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FC797C1">
      <w:pPr>
        <w:pStyle w:val="2"/>
        <w:jc w:val="center"/>
        <w:rPr>
          <w:rFonts w:hint="eastAsia" w:ascii="宋体" w:hAnsi="宋体" w:eastAsia="宋体" w:cs="宋体"/>
          <w:b/>
          <w:sz w:val="36"/>
        </w:rPr>
      </w:pPr>
      <w:r>
        <w:rPr>
          <w:rFonts w:hint="eastAsia" w:ascii="宋体" w:hAnsi="宋体" w:eastAsia="宋体" w:cs="宋体"/>
          <w:b/>
          <w:bCs w:val="0"/>
          <w:sz w:val="44"/>
          <w:szCs w:val="44"/>
          <w:lang w:val="en-US" w:eastAsia="zh-CN"/>
        </w:rPr>
        <w:t>目    录</w:t>
      </w:r>
    </w:p>
    <w:p w14:paraId="1E4A37A6">
      <w:pPr>
        <w:pStyle w:val="15"/>
        <w:rPr>
          <w:rStyle w:val="26"/>
        </w:rPr>
      </w:pPr>
      <w:r>
        <w:rPr>
          <w:b w:val="0"/>
          <w:sz w:val="36"/>
        </w:rPr>
        <w:fldChar w:fldCharType="begin"/>
      </w:r>
      <w:r>
        <w:rPr>
          <w:b w:val="0"/>
          <w:sz w:val="36"/>
        </w:rPr>
        <w:instrText xml:space="preserve"> </w:instrText>
      </w:r>
      <w:r>
        <w:rPr>
          <w:rFonts w:hint="eastAsia"/>
          <w:b w:val="0"/>
          <w:sz w:val="36"/>
        </w:rPr>
        <w:instrText xml:space="preserve">TOC \o "1-3" \p " " \h \z \u</w:instrText>
      </w:r>
      <w:r>
        <w:rPr>
          <w:b w:val="0"/>
          <w:sz w:val="36"/>
        </w:rPr>
        <w:instrText xml:space="preserve"> </w:instrText>
      </w:r>
      <w:r>
        <w:rPr>
          <w:b w:val="0"/>
          <w:sz w:val="36"/>
        </w:rPr>
        <w:fldChar w:fldCharType="separate"/>
      </w:r>
      <w:r>
        <w:fldChar w:fldCharType="begin"/>
      </w:r>
      <w:r>
        <w:instrText xml:space="preserve">HYPERLINK  \l "_Toc428781412" </w:instrText>
      </w:r>
      <w:r>
        <w:fldChar w:fldCharType="separate"/>
      </w:r>
      <w:r>
        <w:rPr>
          <w:rStyle w:val="26"/>
          <w:rFonts w:hint="eastAsia"/>
        </w:rPr>
        <w:t>一、政</w:t>
      </w:r>
      <w:r>
        <w:rPr>
          <w:rStyle w:val="26"/>
        </w:rPr>
        <w:t xml:space="preserve"> </w:t>
      </w:r>
      <w:r>
        <w:rPr>
          <w:rStyle w:val="26"/>
          <w:rFonts w:hint="eastAsia"/>
        </w:rPr>
        <w:t>治</w:t>
      </w:r>
      <w:r>
        <w:rPr>
          <w:rStyle w:val="26"/>
        </w:rPr>
        <w:t xml:space="preserve"> </w:t>
      </w:r>
      <w:r>
        <w:rPr>
          <w:rStyle w:val="26"/>
          <w:rFonts w:hint="eastAsia"/>
        </w:rPr>
        <w:t>建</w:t>
      </w:r>
      <w:r>
        <w:rPr>
          <w:rStyle w:val="26"/>
        </w:rPr>
        <w:t xml:space="preserve"> </w:t>
      </w:r>
      <w:r>
        <w:rPr>
          <w:rStyle w:val="26"/>
          <w:rFonts w:hint="eastAsia"/>
        </w:rPr>
        <w:t>设</w:t>
      </w:r>
      <w:r>
        <w:fldChar w:fldCharType="end"/>
      </w:r>
    </w:p>
    <w:p w14:paraId="36EA8C5C"/>
    <w:p w14:paraId="2B98778B">
      <w:pPr>
        <w:pStyle w:val="19"/>
        <w:rPr>
          <w:rStyle w:val="26"/>
        </w:rPr>
      </w:pPr>
      <w:r>
        <w:fldChar w:fldCharType="begin"/>
      </w:r>
      <w:r>
        <w:instrText xml:space="preserve">HYPERLINK  \l "_Toc428781413" </w:instrText>
      </w:r>
      <w:r>
        <w:fldChar w:fldCharType="separate"/>
      </w:r>
      <w:r>
        <w:rPr>
          <w:rStyle w:val="26"/>
          <w:rFonts w:hint="eastAsia"/>
        </w:rPr>
        <w:t>（一）选举、代表</w:t>
      </w:r>
      <w:r>
        <w:fldChar w:fldCharType="end"/>
      </w:r>
    </w:p>
    <w:p w14:paraId="64FB0F59"/>
    <w:p w14:paraId="2CBA63AC">
      <w:pPr>
        <w:pStyle w:val="9"/>
        <w:tabs>
          <w:tab w:val="right" w:leader="middleDot" w:pos="8295"/>
          <w:tab w:val="clear" w:pos="8296"/>
        </w:tabs>
        <w:rPr>
          <w:rFonts w:hint="eastAsia" w:ascii="创艺简仿宋" w:hAnsi="创艺简仿宋" w:eastAsia="创艺简仿宋" w:cs="创艺简仿宋"/>
        </w:rPr>
      </w:pPr>
      <w:r>
        <w:fldChar w:fldCharType="begin"/>
      </w:r>
      <w:r>
        <w:instrText xml:space="preserve">HYPERLINK  \l "_Toc428781414" </w:instrText>
      </w:r>
      <w:r>
        <w:fldChar w:fldCharType="separate"/>
      </w:r>
      <w:r>
        <w:rPr>
          <w:rStyle w:val="26"/>
          <w:rFonts w:hint="eastAsia"/>
        </w:rPr>
        <w:t>北京市区、县、乡、民族乡、镇</w:t>
      </w:r>
      <w:r>
        <w:fldChar w:fldCharType="end"/>
      </w:r>
      <w:r>
        <w:fldChar w:fldCharType="begin"/>
      </w:r>
      <w:r>
        <w:instrText xml:space="preserve">HYPERLINK  \l "_Toc428781415" </w:instrText>
      </w:r>
      <w:r>
        <w:fldChar w:fldCharType="separate"/>
      </w:r>
      <w:r>
        <w:rPr>
          <w:rStyle w:val="26"/>
          <w:rFonts w:hint="eastAsia"/>
        </w:rPr>
        <w:t>人民代表大会代表选举实施细则</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_Toc428781415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w:t>
      </w:r>
      <w:r>
        <w:rPr>
          <w:rFonts w:hint="eastAsia" w:ascii="华文宋体" w:hAnsi="华文宋体" w:eastAsia="华文宋体" w:cs="华文宋体"/>
          <w:sz w:val="24"/>
          <w:szCs w:val="24"/>
        </w:rPr>
        <w:fldChar w:fldCharType="end"/>
      </w:r>
      <w:r>
        <w:fldChar w:fldCharType="end"/>
      </w:r>
    </w:p>
    <w:p w14:paraId="10E22C23">
      <w:pPr>
        <w:pStyle w:val="9"/>
        <w:tabs>
          <w:tab w:val="right" w:leader="middleDot" w:pos="8295"/>
          <w:tab w:val="clear" w:pos="8296"/>
        </w:tabs>
        <w:rPr>
          <w:rFonts w:hint="eastAsia" w:ascii="华文宋体" w:hAnsi="华文宋体" w:eastAsia="华文宋体" w:cs="华文宋体"/>
        </w:rPr>
      </w:pPr>
      <w:r>
        <w:fldChar w:fldCharType="begin"/>
      </w:r>
      <w:r>
        <w:instrText xml:space="preserve">HYPERLINK  \l "_Toc428781416" </w:instrText>
      </w:r>
      <w:r>
        <w:fldChar w:fldCharType="separate"/>
      </w:r>
      <w:r>
        <w:rPr>
          <w:rStyle w:val="26"/>
          <w:rFonts w:hint="eastAsia"/>
        </w:rPr>
        <w:t>北京市人民代表大会代表视察办法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_Toc428781416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5B40133">
      <w:pPr>
        <w:pStyle w:val="9"/>
        <w:tabs>
          <w:tab w:val="right" w:leader="middleDot" w:pos="8295"/>
          <w:tab w:val="clear" w:pos="8296"/>
        </w:tabs>
        <w:rPr>
          <w:rFonts w:hint="eastAsia" w:ascii="华文中宋" w:hAnsi="华文中宋" w:eastAsia="华文中宋" w:cs="华文中宋"/>
        </w:rPr>
      </w:pPr>
      <w:r>
        <w:fldChar w:fldCharType="begin"/>
      </w:r>
      <w:r>
        <w:instrText xml:space="preserve">HYPERLINK  \l "_Toc428781417" </w:instrText>
      </w:r>
      <w:r>
        <w:fldChar w:fldCharType="separate"/>
      </w:r>
      <w:r>
        <w:rPr>
          <w:rStyle w:val="26"/>
          <w:rFonts w:hint="eastAsia"/>
          <w:kern w:val="44"/>
        </w:rPr>
        <w:t>北京市人民代表大会代表建议、</w:t>
      </w:r>
      <w:r>
        <w:fldChar w:fldCharType="end"/>
      </w:r>
      <w:r>
        <w:fldChar w:fldCharType="begin"/>
      </w:r>
      <w:r>
        <w:instrText xml:space="preserve">HYPERLINK  \l "_Toc428781418" </w:instrText>
      </w:r>
      <w:r>
        <w:fldChar w:fldCharType="separate"/>
      </w:r>
      <w:r>
        <w:rPr>
          <w:rStyle w:val="26"/>
          <w:rFonts w:hint="eastAsia"/>
          <w:kern w:val="44"/>
        </w:rPr>
        <w:t>批评和意见办理条例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_Toc428781418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5614D1E">
      <w:pPr>
        <w:pStyle w:val="9"/>
        <w:tabs>
          <w:tab w:val="right" w:leader="middleDot" w:pos="8295"/>
          <w:tab w:val="clear" w:pos="8296"/>
        </w:tabs>
        <w:rPr>
          <w:rFonts w:hint="eastAsia" w:ascii="创艺简仿宋" w:hAnsi="创艺简仿宋" w:eastAsia="创艺简仿宋" w:cs="创艺简仿宋"/>
        </w:rPr>
      </w:pPr>
      <w:r>
        <w:fldChar w:fldCharType="begin"/>
      </w:r>
      <w:r>
        <w:instrText xml:space="preserve">HYPERLINK  \l "_Toc428781419" </w:instrText>
      </w:r>
      <w:r>
        <w:fldChar w:fldCharType="separate"/>
      </w:r>
      <w:r>
        <w:rPr>
          <w:rStyle w:val="26"/>
          <w:rFonts w:hint="eastAsia"/>
          <w:kern w:val="44"/>
        </w:rPr>
        <w:t>北京市实施《中华人民共和国全国</w:t>
      </w:r>
      <w:r>
        <w:fldChar w:fldCharType="end"/>
      </w:r>
      <w:r>
        <w:fldChar w:fldCharType="begin"/>
      </w:r>
      <w:r>
        <w:instrText xml:space="preserve">HYPERLINK  \l "_Toc428781420" </w:instrText>
      </w:r>
      <w:r>
        <w:fldChar w:fldCharType="separate"/>
      </w:r>
      <w:r>
        <w:rPr>
          <w:rStyle w:val="26"/>
          <w:rFonts w:hint="eastAsia"/>
          <w:kern w:val="44"/>
        </w:rPr>
        <w:t>人民代表大会和地方各级人民</w:t>
      </w:r>
      <w:r>
        <w:fldChar w:fldCharType="end"/>
      </w:r>
      <w:r>
        <w:fldChar w:fldCharType="begin"/>
      </w:r>
      <w:r>
        <w:instrText xml:space="preserve">HYPERLINK  \l "_Toc428781421" </w:instrText>
      </w:r>
      <w:r>
        <w:fldChar w:fldCharType="separate"/>
      </w:r>
      <w:r>
        <w:rPr>
          <w:rStyle w:val="26"/>
          <w:rFonts w:hint="eastAsia"/>
          <w:kern w:val="44"/>
        </w:rPr>
        <w:t>代表大会代表法》        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_Toc428781421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47D27F2">
      <w:pPr>
        <w:pStyle w:val="9"/>
        <w:tabs>
          <w:tab w:val="right" w:leader="middleDot" w:pos="8295"/>
          <w:tab w:val="clear" w:pos="8296"/>
        </w:tabs>
        <w:rPr>
          <w:rFonts w:hint="eastAsia" w:ascii="华文宋体" w:hAnsi="华文宋体" w:eastAsia="华文宋体" w:cs="华文宋体"/>
        </w:rPr>
      </w:pPr>
      <w:r>
        <w:fldChar w:fldCharType="begin"/>
      </w:r>
      <w:r>
        <w:instrText xml:space="preserve">HYPERLINK  \l "_Toc428781422" </w:instrText>
      </w:r>
      <w:r>
        <w:fldChar w:fldCharType="separate"/>
      </w:r>
      <w:r>
        <w:rPr>
          <w:rStyle w:val="26"/>
          <w:rFonts w:hint="eastAsia"/>
          <w:kern w:val="44"/>
        </w:rPr>
        <w:t>北京市人民政府办理人民代表大会</w:t>
      </w:r>
      <w:r>
        <w:fldChar w:fldCharType="end"/>
      </w:r>
      <w:r>
        <w:fldChar w:fldCharType="begin"/>
      </w:r>
      <w:r>
        <w:instrText xml:space="preserve">HYPERLINK  \l "_Toc428781423" </w:instrText>
      </w:r>
      <w:r>
        <w:fldChar w:fldCharType="separate"/>
      </w:r>
      <w:r>
        <w:rPr>
          <w:rStyle w:val="26"/>
          <w:rFonts w:hint="eastAsia"/>
          <w:kern w:val="44"/>
        </w:rPr>
        <w:t>代表建议、批评、意见和人民</w:t>
      </w:r>
      <w:r>
        <w:fldChar w:fldCharType="end"/>
      </w:r>
      <w:r>
        <w:fldChar w:fldCharType="begin"/>
      </w:r>
      <w:r>
        <w:instrText xml:space="preserve">HYPERLINK  \l "_Toc428781424" </w:instrText>
      </w:r>
      <w:r>
        <w:fldChar w:fldCharType="separate"/>
      </w:r>
      <w:r>
        <w:rPr>
          <w:rStyle w:val="26"/>
          <w:rFonts w:hint="eastAsia"/>
          <w:kern w:val="44"/>
        </w:rPr>
        <w:t>政治协商会议提案        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_Toc428781424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9AC79F5">
      <w:pPr>
        <w:pStyle w:val="19"/>
        <w:tabs>
          <w:tab w:val="right" w:leader="middleDot" w:pos="8295"/>
          <w:tab w:val="clear" w:pos="8296"/>
        </w:tabs>
        <w:rPr>
          <w:rStyle w:val="26"/>
        </w:rPr>
      </w:pPr>
    </w:p>
    <w:p w14:paraId="79ED1A7D">
      <w:pPr>
        <w:pStyle w:val="19"/>
        <w:tabs>
          <w:tab w:val="right" w:leader="middleDot" w:pos="8295"/>
          <w:tab w:val="clear" w:pos="8296"/>
        </w:tabs>
        <w:rPr>
          <w:rStyle w:val="26"/>
        </w:rPr>
      </w:pPr>
      <w:r>
        <w:fldChar w:fldCharType="begin"/>
      </w:r>
      <w:r>
        <w:instrText xml:space="preserve">HYPERLINK  \l "_Toc428781425" </w:instrText>
      </w:r>
      <w:r>
        <w:fldChar w:fldCharType="separate"/>
      </w:r>
      <w:r>
        <w:rPr>
          <w:rStyle w:val="26"/>
          <w:rFonts w:hint="eastAsia"/>
        </w:rPr>
        <w:t>（二）人大组织</w:t>
      </w:r>
      <w:r>
        <w:fldChar w:fldCharType="end"/>
      </w:r>
    </w:p>
    <w:p w14:paraId="2A0C90A6">
      <w:pPr>
        <w:tabs>
          <w:tab w:val="right" w:leader="middleDot" w:pos="8295"/>
        </w:tabs>
      </w:pPr>
    </w:p>
    <w:p w14:paraId="1540A296">
      <w:pPr>
        <w:pStyle w:val="9"/>
        <w:tabs>
          <w:tab w:val="right" w:leader="middleDot" w:pos="8295"/>
          <w:tab w:val="clear" w:pos="8296"/>
        </w:tabs>
        <w:rPr>
          <w:rFonts w:ascii="Calibri" w:hAnsi="Calibri" w:eastAsia="宋体" w:cs="黑体"/>
        </w:rPr>
      </w:pPr>
      <w:r>
        <w:fldChar w:fldCharType="begin"/>
      </w:r>
      <w:r>
        <w:instrText xml:space="preserve">HYPERLINK  \l "_Toc428781426" </w:instrText>
      </w:r>
      <w:r>
        <w:fldChar w:fldCharType="separate"/>
      </w:r>
      <w:r>
        <w:rPr>
          <w:rStyle w:val="26"/>
          <w:rFonts w:hint="eastAsia"/>
          <w:kern w:val="44"/>
        </w:rPr>
        <w:t>北京市人民代表大会常务委员会议事规则</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_Toc428781426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C6E28A5">
      <w:pPr>
        <w:pStyle w:val="9"/>
        <w:tabs>
          <w:tab w:val="right" w:leader="middleDot" w:pos="8295"/>
          <w:tab w:val="clear" w:pos="8296"/>
        </w:tabs>
        <w:rPr>
          <w:rFonts w:ascii="Calibri" w:hAnsi="Calibri" w:eastAsia="宋体" w:cs="黑体"/>
        </w:rPr>
      </w:pPr>
      <w:r>
        <w:fldChar w:fldCharType="begin"/>
      </w:r>
      <w:r>
        <w:instrText xml:space="preserve">HYPERLINK  \l "_Toc428781427" </w:instrText>
      </w:r>
      <w:r>
        <w:fldChar w:fldCharType="separate"/>
      </w:r>
      <w:r>
        <w:rPr>
          <w:rStyle w:val="26"/>
          <w:rFonts w:hint="eastAsia"/>
          <w:kern w:val="44"/>
        </w:rPr>
        <w:t>北京市乡、民族乡、镇</w:t>
      </w:r>
      <w:r>
        <w:fldChar w:fldCharType="end"/>
      </w:r>
      <w:r>
        <w:fldChar w:fldCharType="begin"/>
      </w:r>
      <w:r>
        <w:instrText xml:space="preserve">HYPERLINK  \l "_Toc428781428" </w:instrText>
      </w:r>
      <w:r>
        <w:fldChar w:fldCharType="separate"/>
      </w:r>
      <w:r>
        <w:rPr>
          <w:rStyle w:val="26"/>
          <w:rFonts w:hint="eastAsia"/>
          <w:kern w:val="44"/>
        </w:rPr>
        <w:t>人民代表大会组织条例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_Toc428781428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A9B7A53">
      <w:pPr>
        <w:pStyle w:val="9"/>
        <w:tabs>
          <w:tab w:val="right" w:leader="middleDot" w:pos="8295"/>
          <w:tab w:val="clear" w:pos="8296"/>
        </w:tabs>
        <w:rPr>
          <w:rFonts w:ascii="Calibri" w:hAnsi="Calibri" w:eastAsia="宋体" w:cs="黑体"/>
        </w:rPr>
      </w:pPr>
      <w:r>
        <w:fldChar w:fldCharType="begin"/>
      </w:r>
      <w:r>
        <w:instrText xml:space="preserve">HYPERLINK  \l "_Toc428781429" </w:instrText>
      </w:r>
      <w:r>
        <w:fldChar w:fldCharType="separate"/>
      </w:r>
      <w:r>
        <w:rPr>
          <w:rStyle w:val="26"/>
          <w:rFonts w:hint="eastAsia"/>
          <w:kern w:val="44"/>
        </w:rPr>
        <w:t>北京市人民代表大会议事规则</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_Toc428781429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2E54FAF">
      <w:pPr>
        <w:pStyle w:val="9"/>
        <w:tabs>
          <w:tab w:val="right" w:leader="middleDot" w:pos="8295"/>
          <w:tab w:val="clear" w:pos="8296"/>
        </w:tabs>
        <w:rPr>
          <w:rFonts w:ascii="Calibri" w:hAnsi="Calibri" w:eastAsia="宋体" w:cs="黑体"/>
        </w:rPr>
      </w:pPr>
      <w:r>
        <w:fldChar w:fldCharType="begin"/>
      </w:r>
      <w:r>
        <w:instrText xml:space="preserve">HYPERLINK  \l "_Toc428781430" </w:instrText>
      </w:r>
      <w:r>
        <w:fldChar w:fldCharType="separate"/>
      </w:r>
      <w:r>
        <w:rPr>
          <w:rStyle w:val="26"/>
          <w:rFonts w:hint="eastAsia"/>
          <w:kern w:val="44"/>
        </w:rPr>
        <w:t>北京市人民代表大会常务</w:t>
      </w:r>
      <w:r>
        <w:fldChar w:fldCharType="end"/>
      </w:r>
      <w:r>
        <w:fldChar w:fldCharType="begin"/>
      </w:r>
      <w:r>
        <w:instrText xml:space="preserve">HYPERLINK  \l "_Toc428781431" </w:instrText>
      </w:r>
      <w:r>
        <w:fldChar w:fldCharType="separate"/>
      </w:r>
      <w:r>
        <w:rPr>
          <w:rStyle w:val="26"/>
          <w:rFonts w:hint="eastAsia"/>
          <w:kern w:val="44"/>
        </w:rPr>
        <w:t>委员会组成人员守则</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_Toc428781431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E6A1A34">
      <w:pPr>
        <w:pStyle w:val="9"/>
        <w:tabs>
          <w:tab w:val="right" w:leader="middleDot" w:pos="8295"/>
          <w:tab w:val="clear" w:pos="8296"/>
        </w:tabs>
        <w:rPr>
          <w:rFonts w:ascii="Calibri" w:hAnsi="Calibri" w:eastAsia="宋体" w:cs="黑体"/>
        </w:rPr>
      </w:pPr>
      <w:r>
        <w:fldChar w:fldCharType="begin"/>
      </w:r>
      <w:r>
        <w:instrText xml:space="preserve">HYPERLINK  \l "_Toc428781432" </w:instrText>
      </w:r>
      <w:r>
        <w:fldChar w:fldCharType="separate"/>
      </w:r>
      <w:r>
        <w:rPr>
          <w:rStyle w:val="26"/>
          <w:rFonts w:hint="eastAsia"/>
          <w:kern w:val="44"/>
        </w:rPr>
        <w:t>关于市人民政府向市人民代表</w:t>
      </w:r>
      <w:r>
        <w:fldChar w:fldCharType="end"/>
      </w:r>
      <w:r>
        <w:fldChar w:fldCharType="begin"/>
      </w:r>
      <w:r>
        <w:instrText xml:space="preserve">HYPERLINK  \l "_Toc428781433" </w:instrText>
      </w:r>
      <w:r>
        <w:fldChar w:fldCharType="separate"/>
      </w:r>
      <w:r>
        <w:rPr>
          <w:rStyle w:val="26"/>
          <w:rFonts w:hint="eastAsia"/>
          <w:kern w:val="44"/>
        </w:rPr>
        <w:t>大会常务委员会报告重大事项的若干规定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_Toc428781433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C7BB9A6">
      <w:pPr>
        <w:pStyle w:val="9"/>
        <w:tabs>
          <w:tab w:val="right" w:leader="middleDot" w:pos="8295"/>
          <w:tab w:val="clear" w:pos="8296"/>
        </w:tabs>
        <w:rPr>
          <w:rFonts w:ascii="Calibri" w:hAnsi="Calibri" w:eastAsia="宋体" w:cs="黑体"/>
        </w:rPr>
      </w:pPr>
      <w:r>
        <w:fldChar w:fldCharType="begin"/>
      </w:r>
      <w:r>
        <w:instrText xml:space="preserve">HYPERLINK  \l "_Toc428781434" </w:instrText>
      </w:r>
      <w:r>
        <w:fldChar w:fldCharType="separate"/>
      </w:r>
      <w:r>
        <w:rPr>
          <w:rStyle w:val="26"/>
          <w:rFonts w:hint="eastAsia"/>
          <w:kern w:val="44"/>
        </w:rPr>
        <w:t>北京市人民代表大会常务委员会</w:t>
      </w:r>
      <w:r>
        <w:fldChar w:fldCharType="end"/>
      </w:r>
      <w:r>
        <w:fldChar w:fldCharType="begin"/>
      </w:r>
      <w:r>
        <w:instrText xml:space="preserve">HYPERLINK  \l "_Toc428781435" </w:instrText>
      </w:r>
      <w:r>
        <w:fldChar w:fldCharType="separate"/>
      </w:r>
      <w:r>
        <w:rPr>
          <w:rStyle w:val="26"/>
          <w:rFonts w:hint="eastAsia"/>
          <w:kern w:val="44"/>
        </w:rPr>
        <w:t>任免国家机关工作人员条例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_Toc428781435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463A265">
      <w:pPr>
        <w:pStyle w:val="9"/>
        <w:tabs>
          <w:tab w:val="right" w:leader="middleDot" w:pos="8295"/>
          <w:tab w:val="clear" w:pos="8296"/>
        </w:tabs>
        <w:rPr>
          <w:rFonts w:ascii="Calibri" w:hAnsi="Calibri" w:eastAsia="宋体" w:cs="黑体"/>
        </w:rPr>
      </w:pPr>
      <w:r>
        <w:fldChar w:fldCharType="begin"/>
      </w:r>
      <w:r>
        <w:instrText xml:space="preserve">HYPERLINK  \l "_Toc428781436" </w:instrText>
      </w:r>
      <w:r>
        <w:fldChar w:fldCharType="separate"/>
      </w:r>
      <w:r>
        <w:rPr>
          <w:rStyle w:val="26"/>
          <w:rFonts w:hint="eastAsia"/>
          <w:kern w:val="44"/>
        </w:rPr>
        <w:t>北京市各级人民代表大会常务委员会</w:t>
      </w:r>
      <w:r>
        <w:fldChar w:fldCharType="end"/>
      </w:r>
      <w:r>
        <w:fldChar w:fldCharType="begin"/>
      </w:r>
      <w:r>
        <w:instrText xml:space="preserve">HYPERLINK  \l "_Toc428781437" </w:instrText>
      </w:r>
      <w:r>
        <w:fldChar w:fldCharType="separate"/>
      </w:r>
      <w:r>
        <w:rPr>
          <w:rStyle w:val="26"/>
          <w:rFonts w:hint="eastAsia"/>
          <w:kern w:val="44"/>
        </w:rPr>
        <w:t>检查法律法规实施情况办法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_Toc428781437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FF76D6F">
      <w:pPr>
        <w:pStyle w:val="9"/>
        <w:tabs>
          <w:tab w:val="right" w:leader="middleDot" w:pos="8295"/>
          <w:tab w:val="clear" w:pos="8296"/>
        </w:tabs>
        <w:rPr>
          <w:rFonts w:ascii="Calibri" w:hAnsi="Calibri" w:eastAsia="宋体" w:cs="黑体"/>
        </w:rPr>
      </w:pPr>
      <w:r>
        <w:fldChar w:fldCharType="begin"/>
      </w:r>
      <w:r>
        <w:instrText xml:space="preserve">HYPERLINK  \l "_Toc428781438" </w:instrText>
      </w:r>
      <w:r>
        <w:fldChar w:fldCharType="separate"/>
      </w:r>
      <w:r>
        <w:rPr>
          <w:rStyle w:val="26"/>
          <w:rFonts w:hint="eastAsia"/>
          <w:kern w:val="44"/>
        </w:rPr>
        <w:t>北京市各级人民代表大会常务委员会</w:t>
      </w:r>
      <w:r>
        <w:fldChar w:fldCharType="end"/>
      </w:r>
      <w:r>
        <w:fldChar w:fldCharType="begin"/>
      </w:r>
      <w:r>
        <w:instrText xml:space="preserve">HYPERLINK  \l "_Toc428781439" </w:instrText>
      </w:r>
      <w:r>
        <w:fldChar w:fldCharType="separate"/>
      </w:r>
      <w:r>
        <w:rPr>
          <w:rStyle w:val="26"/>
          <w:rFonts w:hint="eastAsia"/>
          <w:kern w:val="44"/>
        </w:rPr>
        <w:t>听取和审议人民政府、人民法院和</w:t>
      </w:r>
      <w:r>
        <w:fldChar w:fldCharType="end"/>
      </w:r>
      <w:r>
        <w:fldChar w:fldCharType="begin"/>
      </w:r>
      <w:r>
        <w:instrText xml:space="preserve">HYPERLINK  \l "_Toc428781440" </w:instrText>
      </w:r>
      <w:r>
        <w:fldChar w:fldCharType="separate"/>
      </w:r>
      <w:r>
        <w:rPr>
          <w:rStyle w:val="26"/>
          <w:rFonts w:hint="eastAsia"/>
          <w:kern w:val="44"/>
        </w:rPr>
        <w:t>人民检察院       专项工作报告办法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_Toc428781440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647C68B">
      <w:pPr>
        <w:pStyle w:val="19"/>
        <w:tabs>
          <w:tab w:val="right" w:leader="middleDot" w:pos="8295"/>
          <w:tab w:val="clear" w:pos="8296"/>
        </w:tabs>
        <w:rPr>
          <w:rStyle w:val="26"/>
        </w:rPr>
      </w:pPr>
    </w:p>
    <w:p w14:paraId="1CBB75BD">
      <w:pPr>
        <w:pStyle w:val="19"/>
        <w:tabs>
          <w:tab w:val="right" w:leader="middleDot" w:pos="8295"/>
          <w:tab w:val="clear" w:pos="8296"/>
        </w:tabs>
        <w:rPr>
          <w:rStyle w:val="26"/>
        </w:rPr>
      </w:pPr>
      <w:r>
        <w:fldChar w:fldCharType="begin"/>
      </w:r>
      <w:r>
        <w:instrText xml:space="preserve">HYPERLINK  \l "_Toc428781441" </w:instrText>
      </w:r>
      <w:r>
        <w:fldChar w:fldCharType="separate"/>
      </w:r>
      <w:r>
        <w:rPr>
          <w:rStyle w:val="26"/>
          <w:rFonts w:hint="eastAsia"/>
        </w:rPr>
        <w:t>（三）基层组织</w:t>
      </w:r>
      <w:r>
        <w:fldChar w:fldCharType="end"/>
      </w:r>
    </w:p>
    <w:p w14:paraId="4299C2AE"/>
    <w:p w14:paraId="558B1581">
      <w:pPr>
        <w:pStyle w:val="9"/>
        <w:tabs>
          <w:tab w:val="right" w:leader="middleDot" w:pos="8295"/>
          <w:tab w:val="clear" w:pos="8296"/>
        </w:tabs>
        <w:rPr>
          <w:rFonts w:ascii="Calibri" w:hAnsi="Calibri" w:eastAsia="宋体" w:cs="黑体"/>
        </w:rPr>
      </w:pPr>
      <w:r>
        <w:fldChar w:fldCharType="begin"/>
      </w:r>
      <w:r>
        <w:instrText xml:space="preserve">HYPERLINK  \l "_Toc428781442" </w:instrText>
      </w:r>
      <w:r>
        <w:fldChar w:fldCharType="separate"/>
      </w:r>
      <w:r>
        <w:rPr>
          <w:rStyle w:val="26"/>
          <w:rFonts w:hint="eastAsia"/>
          <w:kern w:val="44"/>
        </w:rPr>
        <w:t>北京市实施《中华人民共和国城市</w:t>
      </w:r>
      <w:r>
        <w:fldChar w:fldCharType="end"/>
      </w:r>
      <w:r>
        <w:fldChar w:fldCharType="begin"/>
      </w:r>
      <w:r>
        <w:instrText xml:space="preserve">HYPERLINK  \l "_Toc428781443" </w:instrText>
      </w:r>
      <w:r>
        <w:fldChar w:fldCharType="separate"/>
      </w:r>
      <w:r>
        <w:rPr>
          <w:rStyle w:val="26"/>
          <w:rFonts w:hint="eastAsia"/>
          <w:kern w:val="44"/>
        </w:rPr>
        <w:t>居民委员会组织法》办法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_Toc428781443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DDF9AB0">
      <w:pPr>
        <w:pStyle w:val="9"/>
        <w:tabs>
          <w:tab w:val="right" w:leader="middleDot" w:pos="8295"/>
          <w:tab w:val="clear" w:pos="8296"/>
        </w:tabs>
        <w:rPr>
          <w:rFonts w:hint="eastAsia" w:ascii="华文宋体" w:hAnsi="华文宋体" w:eastAsia="华文宋体" w:cs="华文宋体"/>
        </w:rPr>
      </w:pPr>
      <w:r>
        <w:fldChar w:fldCharType="begin"/>
      </w:r>
      <w:r>
        <w:instrText xml:space="preserve">HYPERLINK  \l "_Toc428781444" </w:instrText>
      </w:r>
      <w:r>
        <w:fldChar w:fldCharType="separate"/>
      </w:r>
      <w:r>
        <w:rPr>
          <w:rStyle w:val="26"/>
          <w:rFonts w:hint="eastAsia"/>
          <w:kern w:val="44"/>
        </w:rPr>
        <w:t>北京市村民委员会选举办法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_Toc428781444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9202274">
      <w:pPr>
        <w:pStyle w:val="9"/>
        <w:tabs>
          <w:tab w:val="right" w:leader="middleDot" w:pos="8295"/>
          <w:tab w:val="clear" w:pos="8296"/>
        </w:tabs>
        <w:rPr>
          <w:rFonts w:ascii="Calibri" w:hAnsi="Calibri" w:eastAsia="宋体" w:cs="黑体"/>
        </w:rPr>
      </w:pPr>
      <w:r>
        <w:fldChar w:fldCharType="begin"/>
      </w:r>
      <w:r>
        <w:instrText xml:space="preserve">HYPERLINK  \l "_Toc428781445" </w:instrText>
      </w:r>
      <w:r>
        <w:fldChar w:fldCharType="separate"/>
      </w:r>
      <w:r>
        <w:rPr>
          <w:rStyle w:val="26"/>
          <w:rFonts w:hint="eastAsia"/>
          <w:kern w:val="44"/>
        </w:rPr>
        <w:t>北京市实施《中华人民共和国村民</w:t>
      </w:r>
      <w:r>
        <w:fldChar w:fldCharType="end"/>
      </w:r>
      <w:r>
        <w:fldChar w:fldCharType="begin"/>
      </w:r>
      <w:r>
        <w:instrText xml:space="preserve">HYPERLINK  \l "_Toc428781446" </w:instrText>
      </w:r>
      <w:r>
        <w:fldChar w:fldCharType="separate"/>
      </w:r>
      <w:r>
        <w:rPr>
          <w:rStyle w:val="26"/>
          <w:rFonts w:hint="eastAsia"/>
          <w:kern w:val="44"/>
        </w:rPr>
        <w:t>委员会组织法》的若干规定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_Toc428781446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45C9713">
      <w:pPr>
        <w:pStyle w:val="9"/>
        <w:tabs>
          <w:tab w:val="right" w:leader="middleDot" w:pos="8295"/>
          <w:tab w:val="clear" w:pos="8296"/>
        </w:tabs>
        <w:rPr>
          <w:rFonts w:ascii="Calibri" w:hAnsi="Calibri" w:eastAsia="宋体" w:cs="黑体"/>
        </w:rPr>
      </w:pPr>
      <w:r>
        <w:fldChar w:fldCharType="begin"/>
      </w:r>
      <w:r>
        <w:instrText xml:space="preserve">HYPERLINK  \l "_Toc428781447" </w:instrText>
      </w:r>
      <w:r>
        <w:fldChar w:fldCharType="separate"/>
      </w:r>
      <w:r>
        <w:rPr>
          <w:rStyle w:val="26"/>
          <w:rFonts w:hint="eastAsia"/>
          <w:kern w:val="44"/>
        </w:rPr>
        <w:t>北京市街道办事处工作规定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_Toc428781447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58C7945">
      <w:pPr>
        <w:pStyle w:val="9"/>
        <w:tabs>
          <w:tab w:val="right" w:leader="middleDot" w:pos="8295"/>
          <w:tab w:val="clear" w:pos="8296"/>
        </w:tabs>
        <w:rPr>
          <w:rFonts w:ascii="Calibri" w:hAnsi="Calibri" w:eastAsia="宋体" w:cs="黑体"/>
        </w:rPr>
      </w:pPr>
      <w:r>
        <w:fldChar w:fldCharType="begin"/>
      </w:r>
      <w:r>
        <w:instrText xml:space="preserve">HYPERLINK  \l "_Toc428781448" </w:instrText>
      </w:r>
      <w:r>
        <w:fldChar w:fldCharType="separate"/>
      </w:r>
      <w:r>
        <w:rPr>
          <w:rStyle w:val="26"/>
          <w:rFonts w:hint="eastAsia"/>
          <w:kern w:val="44"/>
        </w:rPr>
        <w:t>北京市居民委员会选举办法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_Toc428781448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B2F169A">
      <w:pPr>
        <w:pStyle w:val="19"/>
        <w:tabs>
          <w:tab w:val="right" w:leader="middleDot" w:pos="8295"/>
          <w:tab w:val="clear" w:pos="8296"/>
        </w:tabs>
        <w:spacing w:line="300" w:lineRule="exact"/>
        <w:rPr>
          <w:rStyle w:val="26"/>
        </w:rPr>
      </w:pPr>
    </w:p>
    <w:p w14:paraId="0FA5C21F">
      <w:pPr>
        <w:pStyle w:val="19"/>
        <w:tabs>
          <w:tab w:val="right" w:leader="middleDot" w:pos="8295"/>
          <w:tab w:val="clear" w:pos="8296"/>
        </w:tabs>
        <w:rPr>
          <w:rStyle w:val="26"/>
        </w:rPr>
      </w:pPr>
      <w:r>
        <w:fldChar w:fldCharType="begin"/>
      </w:r>
      <w:r>
        <w:instrText xml:space="preserve">HYPERLINK  \l "_Toc428781449" </w:instrText>
      </w:r>
      <w:r>
        <w:fldChar w:fldCharType="separate"/>
      </w:r>
      <w:r>
        <w:rPr>
          <w:rStyle w:val="26"/>
          <w:rFonts w:hint="eastAsia"/>
        </w:rPr>
        <w:t>（四）立法制度</w:t>
      </w:r>
      <w:r>
        <w:fldChar w:fldCharType="end"/>
      </w:r>
    </w:p>
    <w:p w14:paraId="6597EF86">
      <w:pPr>
        <w:spacing w:line="300" w:lineRule="exact"/>
      </w:pPr>
    </w:p>
    <w:p w14:paraId="5C5D9418">
      <w:pPr>
        <w:pStyle w:val="9"/>
        <w:tabs>
          <w:tab w:val="right" w:leader="middleDot" w:pos="8295"/>
          <w:tab w:val="clear" w:pos="8296"/>
        </w:tabs>
        <w:rPr>
          <w:rFonts w:ascii="Calibri" w:hAnsi="Calibri" w:eastAsia="宋体" w:cs="黑体"/>
        </w:rPr>
      </w:pPr>
      <w:r>
        <w:fldChar w:fldCharType="begin"/>
      </w:r>
      <w:r>
        <w:instrText xml:space="preserve">HYPERLINK  \l "_Toc428781450" </w:instrText>
      </w:r>
      <w:r>
        <w:fldChar w:fldCharType="separate"/>
      </w:r>
      <w:r>
        <w:rPr>
          <w:rStyle w:val="26"/>
          <w:rFonts w:hint="eastAsia"/>
          <w:kern w:val="44"/>
        </w:rPr>
        <w:t>关于议案的若干暂行规定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_Toc428781450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082AB67">
      <w:pPr>
        <w:pStyle w:val="9"/>
        <w:tabs>
          <w:tab w:val="right" w:leader="middleDot" w:pos="8295"/>
          <w:tab w:val="clear" w:pos="8296"/>
        </w:tabs>
        <w:rPr>
          <w:rFonts w:ascii="Calibri" w:hAnsi="Calibri" w:eastAsia="宋体" w:cs="黑体"/>
        </w:rPr>
      </w:pPr>
      <w:r>
        <w:fldChar w:fldCharType="begin"/>
      </w:r>
      <w:r>
        <w:instrText xml:space="preserve">HYPERLINK  \l "_Toc428781451" </w:instrText>
      </w:r>
      <w:r>
        <w:fldChar w:fldCharType="separate"/>
      </w:r>
      <w:r>
        <w:rPr>
          <w:rStyle w:val="26"/>
          <w:rFonts w:hint="eastAsia"/>
          <w:kern w:val="44"/>
        </w:rPr>
        <w:t>北京市制定地方性法规条例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_Toc428781451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587B38C">
      <w:pPr>
        <w:pStyle w:val="9"/>
        <w:tabs>
          <w:tab w:val="right" w:leader="middleDot" w:pos="8295"/>
          <w:tab w:val="clear" w:pos="8296"/>
        </w:tabs>
        <w:rPr>
          <w:rFonts w:ascii="Calibri" w:hAnsi="Calibri" w:eastAsia="宋体" w:cs="黑体"/>
        </w:rPr>
      </w:pPr>
      <w:r>
        <w:fldChar w:fldCharType="begin"/>
      </w:r>
      <w:r>
        <w:instrText xml:space="preserve">HYPERLINK  \l "_Toc428781452" </w:instrText>
      </w:r>
      <w:r>
        <w:fldChar w:fldCharType="separate"/>
      </w:r>
      <w:r>
        <w:rPr>
          <w:rStyle w:val="26"/>
          <w:rFonts w:hint="eastAsia"/>
          <w:kern w:val="44"/>
        </w:rPr>
        <w:t>北京市各级人民代表大会常务委员会</w:t>
      </w:r>
      <w:r>
        <w:fldChar w:fldCharType="end"/>
      </w:r>
      <w:r>
        <w:fldChar w:fldCharType="begin"/>
      </w:r>
      <w:r>
        <w:instrText xml:space="preserve">HYPERLINK  \l "_Toc428781453" </w:instrText>
      </w:r>
      <w:r>
        <w:fldChar w:fldCharType="separate"/>
      </w:r>
      <w:r>
        <w:rPr>
          <w:rStyle w:val="26"/>
          <w:rFonts w:hint="eastAsia"/>
          <w:kern w:val="44"/>
        </w:rPr>
        <w:t>规范性文件备案审查条例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_Toc428781453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01F3766">
      <w:pPr>
        <w:pStyle w:val="9"/>
        <w:tabs>
          <w:tab w:val="right" w:leader="middleDot" w:pos="8295"/>
          <w:tab w:val="clear" w:pos="8296"/>
        </w:tabs>
        <w:rPr>
          <w:rFonts w:ascii="Calibri" w:hAnsi="Calibri" w:eastAsia="宋体" w:cs="黑体"/>
        </w:rPr>
      </w:pPr>
      <w:r>
        <w:fldChar w:fldCharType="begin"/>
      </w:r>
      <w:r>
        <w:instrText xml:space="preserve">HYPERLINK  \l "_Toc428781454" </w:instrText>
      </w:r>
      <w:r>
        <w:fldChar w:fldCharType="separate"/>
      </w:r>
      <w:r>
        <w:rPr>
          <w:rStyle w:val="26"/>
          <w:rFonts w:hint="eastAsia"/>
          <w:kern w:val="44"/>
        </w:rPr>
        <w:t>北京市人民政府规章制定办法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_Toc428781454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4F7093C">
      <w:pPr>
        <w:pStyle w:val="9"/>
        <w:tabs>
          <w:tab w:val="right" w:leader="middleDot" w:pos="8295"/>
          <w:tab w:val="clear" w:pos="8296"/>
        </w:tabs>
        <w:rPr>
          <w:rFonts w:ascii="Calibri" w:hAnsi="Calibri" w:eastAsia="宋体" w:cs="黑体"/>
        </w:rPr>
      </w:pPr>
      <w:r>
        <w:fldChar w:fldCharType="begin"/>
      </w:r>
      <w:r>
        <w:instrText xml:space="preserve">HYPERLINK  \l "_Toc428781455" </w:instrText>
      </w:r>
      <w:r>
        <w:fldChar w:fldCharType="separate"/>
      </w:r>
      <w:r>
        <w:rPr>
          <w:rStyle w:val="26"/>
          <w:rFonts w:hint="eastAsia"/>
          <w:kern w:val="44"/>
        </w:rPr>
        <w:t>北京市行政规范性文件备案监督办法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_Toc428781455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26389BE">
      <w:pPr>
        <w:pStyle w:val="19"/>
        <w:tabs>
          <w:tab w:val="right" w:leader="middleDot" w:pos="8295"/>
          <w:tab w:val="clear" w:pos="8296"/>
        </w:tabs>
        <w:rPr>
          <w:rStyle w:val="26"/>
        </w:rPr>
      </w:pPr>
    </w:p>
    <w:p w14:paraId="74D3F9E9">
      <w:pPr>
        <w:pStyle w:val="19"/>
        <w:tabs>
          <w:tab w:val="right" w:leader="middleDot" w:pos="8295"/>
          <w:tab w:val="clear" w:pos="8296"/>
        </w:tabs>
        <w:rPr>
          <w:rStyle w:val="26"/>
        </w:rPr>
      </w:pPr>
      <w:r>
        <w:fldChar w:fldCharType="begin"/>
      </w:r>
      <w:r>
        <w:instrText xml:space="preserve">HYPERLINK  \l "_Toc428781456" </w:instrText>
      </w:r>
      <w:r>
        <w:fldChar w:fldCharType="separate"/>
      </w:r>
      <w:r>
        <w:rPr>
          <w:rStyle w:val="26"/>
          <w:rFonts w:hint="eastAsia"/>
        </w:rPr>
        <w:t>（五）民族、宗教</w:t>
      </w:r>
      <w:r>
        <w:fldChar w:fldCharType="end"/>
      </w:r>
    </w:p>
    <w:p w14:paraId="21C06EDF"/>
    <w:p w14:paraId="64E1429F">
      <w:pPr>
        <w:pStyle w:val="9"/>
        <w:tabs>
          <w:tab w:val="right" w:leader="middleDot" w:pos="8295"/>
          <w:tab w:val="clear" w:pos="8296"/>
        </w:tabs>
        <w:rPr>
          <w:rFonts w:ascii="Calibri" w:hAnsi="Calibri" w:eastAsia="宋体" w:cs="黑体"/>
        </w:rPr>
      </w:pPr>
      <w:r>
        <w:fldChar w:fldCharType="begin"/>
      </w:r>
      <w:r>
        <w:instrText xml:space="preserve">HYPERLINK  \l "_Toc428781457" </w:instrText>
      </w:r>
      <w:r>
        <w:fldChar w:fldCharType="separate"/>
      </w:r>
      <w:r>
        <w:rPr>
          <w:rStyle w:val="26"/>
          <w:rFonts w:hint="eastAsia"/>
          <w:kern w:val="44"/>
        </w:rPr>
        <w:t>北京市少数民族权益保障条例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_Toc428781457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1877870">
      <w:pPr>
        <w:pStyle w:val="9"/>
        <w:tabs>
          <w:tab w:val="right" w:leader="middleDot" w:pos="8295"/>
          <w:tab w:val="clear" w:pos="8296"/>
        </w:tabs>
        <w:rPr>
          <w:rFonts w:ascii="Calibri" w:hAnsi="Calibri" w:eastAsia="宋体" w:cs="黑体"/>
        </w:rPr>
      </w:pPr>
      <w:r>
        <w:fldChar w:fldCharType="begin"/>
      </w:r>
      <w:r>
        <w:instrText xml:space="preserve">HYPERLINK  \l "_Toc428781458" </w:instrText>
      </w:r>
      <w:r>
        <w:fldChar w:fldCharType="separate"/>
      </w:r>
      <w:r>
        <w:rPr>
          <w:rStyle w:val="26"/>
          <w:rFonts w:hint="eastAsia"/>
          <w:kern w:val="44"/>
        </w:rPr>
        <w:t>北京市宗教事务条例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_Toc428781458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C03AF36">
      <w:pPr>
        <w:pStyle w:val="9"/>
        <w:tabs>
          <w:tab w:val="right" w:leader="middleDot" w:pos="8295"/>
          <w:tab w:val="clear" w:pos="8296"/>
        </w:tabs>
        <w:rPr>
          <w:rFonts w:ascii="Calibri" w:hAnsi="Calibri" w:eastAsia="宋体" w:cs="黑体"/>
        </w:rPr>
      </w:pPr>
      <w:r>
        <w:fldChar w:fldCharType="begin"/>
      </w:r>
      <w:r>
        <w:instrText xml:space="preserve">HYPERLINK  \l "_Toc428781459" </w:instrText>
      </w:r>
      <w:r>
        <w:fldChar w:fldCharType="separate"/>
      </w:r>
      <w:r>
        <w:rPr>
          <w:rStyle w:val="26"/>
          <w:rFonts w:hint="eastAsia"/>
          <w:kern w:val="44"/>
        </w:rPr>
        <w:t>关于生产经营清真食品必须尊重少数</w:t>
      </w:r>
      <w:r>
        <w:fldChar w:fldCharType="end"/>
      </w:r>
      <w:r>
        <w:fldChar w:fldCharType="begin"/>
      </w:r>
      <w:r>
        <w:instrText xml:space="preserve">HYPERLINK  \l "_Toc428781460" </w:instrText>
      </w:r>
      <w:r>
        <w:fldChar w:fldCharType="separate"/>
      </w:r>
      <w:r>
        <w:rPr>
          <w:rStyle w:val="26"/>
          <w:rFonts w:hint="eastAsia"/>
          <w:kern w:val="44"/>
        </w:rPr>
        <w:t>民族风俗习惯的若干规定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_Toc428781460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79A67B8">
      <w:pPr>
        <w:pStyle w:val="19"/>
        <w:tabs>
          <w:tab w:val="right" w:leader="middleDot" w:pos="8295"/>
          <w:tab w:val="clear" w:pos="8296"/>
        </w:tabs>
        <w:rPr>
          <w:rStyle w:val="26"/>
        </w:rPr>
      </w:pPr>
    </w:p>
    <w:p w14:paraId="32CCD1FF">
      <w:pPr>
        <w:pStyle w:val="19"/>
        <w:tabs>
          <w:tab w:val="right" w:leader="middleDot" w:pos="8295"/>
          <w:tab w:val="clear" w:pos="8296"/>
        </w:tabs>
        <w:rPr>
          <w:rStyle w:val="26"/>
        </w:rPr>
      </w:pPr>
      <w:r>
        <w:fldChar w:fldCharType="begin"/>
      </w:r>
      <w:r>
        <w:instrText xml:space="preserve">HYPERLINK  \l "_Toc428781461" </w:instrText>
      </w:r>
      <w:r>
        <w:fldChar w:fldCharType="separate"/>
      </w:r>
      <w:r>
        <w:rPr>
          <w:rStyle w:val="26"/>
          <w:rFonts w:hint="eastAsia"/>
        </w:rPr>
        <w:t>（六）行政综合</w:t>
      </w:r>
      <w:r>
        <w:fldChar w:fldCharType="end"/>
      </w:r>
    </w:p>
    <w:p w14:paraId="140DAC39"/>
    <w:p w14:paraId="29368BAC">
      <w:pPr>
        <w:pStyle w:val="9"/>
        <w:tabs>
          <w:tab w:val="right" w:leader="middleDot" w:pos="8295"/>
          <w:tab w:val="clear" w:pos="8296"/>
        </w:tabs>
        <w:rPr>
          <w:rFonts w:ascii="Calibri" w:hAnsi="Calibri" w:eastAsia="宋体" w:cs="黑体"/>
        </w:rPr>
      </w:pPr>
      <w:r>
        <w:fldChar w:fldCharType="begin"/>
      </w:r>
      <w:r>
        <w:instrText xml:space="preserve">HYPERLINK  \l "_Toc428781462" </w:instrText>
      </w:r>
      <w:r>
        <w:fldChar w:fldCharType="separate"/>
      </w:r>
      <w:r>
        <w:rPr>
          <w:rStyle w:val="26"/>
          <w:rFonts w:hint="eastAsia"/>
          <w:kern w:val="44"/>
        </w:rPr>
        <w:t>北京市实施《中华人民共和国</w:t>
      </w:r>
      <w:r>
        <w:fldChar w:fldCharType="end"/>
      </w:r>
      <w:r>
        <w:fldChar w:fldCharType="begin"/>
      </w:r>
      <w:r>
        <w:instrText xml:space="preserve">HYPERLINK  \l "_Toc428781463" </w:instrText>
      </w:r>
      <w:r>
        <w:fldChar w:fldCharType="separate"/>
      </w:r>
      <w:r>
        <w:rPr>
          <w:rStyle w:val="26"/>
          <w:rFonts w:hint="eastAsia"/>
          <w:kern w:val="44"/>
        </w:rPr>
        <w:t>突发事件应对法》办法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_Toc428781463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82E700E">
      <w:pPr>
        <w:pStyle w:val="9"/>
        <w:tabs>
          <w:tab w:val="right" w:leader="middleDot" w:pos="8295"/>
          <w:tab w:val="clear" w:pos="8296"/>
        </w:tabs>
        <w:rPr>
          <w:rFonts w:ascii="Calibri" w:hAnsi="Calibri" w:eastAsia="宋体" w:cs="黑体"/>
        </w:rPr>
      </w:pPr>
      <w:r>
        <w:fldChar w:fldCharType="begin"/>
      </w:r>
      <w:r>
        <w:instrText xml:space="preserve">HYPERLINK  \l "_Toc428781464" </w:instrText>
      </w:r>
      <w:r>
        <w:fldChar w:fldCharType="separate"/>
      </w:r>
      <w:r>
        <w:rPr>
          <w:rStyle w:val="26"/>
          <w:rFonts w:hint="eastAsia"/>
          <w:kern w:val="44"/>
        </w:rPr>
        <w:t>北京市信访条例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_Toc428781464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121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3FFED7B">
      <w:pPr>
        <w:pStyle w:val="9"/>
        <w:tabs>
          <w:tab w:val="right" w:leader="middleDot" w:pos="8295"/>
          <w:tab w:val="clear" w:pos="8296"/>
        </w:tabs>
        <w:rPr>
          <w:rFonts w:ascii="Calibri" w:hAnsi="Calibri" w:eastAsia="宋体" w:cs="黑体"/>
        </w:rPr>
      </w:pPr>
      <w:r>
        <w:fldChar w:fldCharType="begin"/>
      </w:r>
      <w:r>
        <w:instrText xml:space="preserve">HYPERLINK  \l "_Toc428781465" </w:instrText>
      </w:r>
      <w:r>
        <w:fldChar w:fldCharType="separate"/>
      </w:r>
      <w:r>
        <w:rPr>
          <w:rStyle w:val="26"/>
          <w:rFonts w:hint="eastAsia"/>
          <w:kern w:val="44"/>
        </w:rPr>
        <w:t>北京市规章设定罚款限额规定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_Toc428781465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131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CD019C1">
      <w:pPr>
        <w:pStyle w:val="9"/>
        <w:tabs>
          <w:tab w:val="right" w:leader="middleDot" w:pos="8295"/>
          <w:tab w:val="clear" w:pos="8296"/>
        </w:tabs>
        <w:rPr>
          <w:rFonts w:ascii="Calibri" w:hAnsi="Calibri" w:eastAsia="宋体" w:cs="黑体"/>
        </w:rPr>
      </w:pPr>
      <w:r>
        <w:fldChar w:fldCharType="begin"/>
      </w:r>
      <w:r>
        <w:instrText xml:space="preserve">HYPERLINK  \l "_Toc428781466" </w:instrText>
      </w:r>
      <w:r>
        <w:fldChar w:fldCharType="separate"/>
      </w:r>
      <w:r>
        <w:rPr>
          <w:rStyle w:val="26"/>
          <w:rFonts w:hint="eastAsia"/>
          <w:kern w:val="44"/>
        </w:rPr>
        <w:t>北京市行政执法和行政执法监督暂行规定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_Toc428781466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132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34E4C2A">
      <w:pPr>
        <w:pStyle w:val="9"/>
        <w:tabs>
          <w:tab w:val="right" w:leader="middleDot" w:pos="8295"/>
          <w:tab w:val="clear" w:pos="8296"/>
        </w:tabs>
        <w:rPr>
          <w:rFonts w:ascii="Calibri" w:hAnsi="Calibri" w:eastAsia="宋体" w:cs="黑体"/>
        </w:rPr>
      </w:pPr>
      <w:r>
        <w:fldChar w:fldCharType="begin"/>
      </w:r>
      <w:r>
        <w:instrText xml:space="preserve">HYPERLINK  \l "_Toc428781467" </w:instrText>
      </w:r>
      <w:r>
        <w:fldChar w:fldCharType="separate"/>
      </w:r>
      <w:r>
        <w:rPr>
          <w:rStyle w:val="26"/>
          <w:rFonts w:hint="eastAsia"/>
          <w:kern w:val="44"/>
        </w:rPr>
        <w:t>北京市行政处罚听证程序实施办法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_Toc428781467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135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640F500">
      <w:pPr>
        <w:pStyle w:val="9"/>
        <w:tabs>
          <w:tab w:val="right" w:leader="middleDot" w:pos="8295"/>
          <w:tab w:val="clear" w:pos="8296"/>
        </w:tabs>
        <w:rPr>
          <w:rFonts w:ascii="Calibri" w:hAnsi="Calibri" w:eastAsia="宋体" w:cs="黑体"/>
        </w:rPr>
      </w:pPr>
      <w:r>
        <w:fldChar w:fldCharType="begin"/>
      </w:r>
      <w:r>
        <w:instrText xml:space="preserve">HYPERLINK  \l "_Toc428781468" </w:instrText>
      </w:r>
      <w:r>
        <w:fldChar w:fldCharType="separate"/>
      </w:r>
      <w:r>
        <w:rPr>
          <w:rStyle w:val="26"/>
          <w:rFonts w:hint="eastAsia"/>
          <w:kern w:val="44"/>
        </w:rPr>
        <w:t>北京市实施行政处罚程序若干规定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_Toc428781468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137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12785C8">
      <w:pPr>
        <w:pStyle w:val="9"/>
        <w:tabs>
          <w:tab w:val="right" w:leader="middleDot" w:pos="8295"/>
          <w:tab w:val="clear" w:pos="8296"/>
        </w:tabs>
        <w:rPr>
          <w:rFonts w:ascii="Calibri" w:hAnsi="Calibri" w:eastAsia="宋体" w:cs="黑体"/>
        </w:rPr>
      </w:pPr>
      <w:r>
        <w:fldChar w:fldCharType="begin"/>
      </w:r>
      <w:r>
        <w:instrText xml:space="preserve">HYPERLINK  \l "_Toc428781469" </w:instrText>
      </w:r>
      <w:r>
        <w:fldChar w:fldCharType="separate"/>
      </w:r>
      <w:r>
        <w:rPr>
          <w:rStyle w:val="26"/>
          <w:rFonts w:hint="eastAsia"/>
          <w:kern w:val="44"/>
        </w:rPr>
        <w:t>北京市行政区域界线管理办法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_Toc428781469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140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8AEF06E">
      <w:pPr>
        <w:pStyle w:val="9"/>
        <w:tabs>
          <w:tab w:val="right" w:leader="middleDot" w:pos="8295"/>
          <w:tab w:val="clear" w:pos="8296"/>
        </w:tabs>
        <w:rPr>
          <w:rFonts w:ascii="Calibri" w:hAnsi="Calibri" w:eastAsia="宋体" w:cs="黑体"/>
        </w:rPr>
      </w:pPr>
      <w:r>
        <w:fldChar w:fldCharType="begin"/>
      </w:r>
      <w:r>
        <w:instrText xml:space="preserve">HYPERLINK  \l "_Toc428781470" </w:instrText>
      </w:r>
      <w:r>
        <w:fldChar w:fldCharType="separate"/>
      </w:r>
      <w:r>
        <w:rPr>
          <w:rStyle w:val="26"/>
          <w:rFonts w:hint="eastAsia"/>
          <w:kern w:val="44"/>
        </w:rPr>
        <w:t>北京市行政问责办法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_Toc428781470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143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E16AF43">
      <w:pPr>
        <w:pStyle w:val="9"/>
        <w:tabs>
          <w:tab w:val="right" w:leader="middleDot" w:pos="8295"/>
          <w:tab w:val="clear" w:pos="8296"/>
        </w:tabs>
        <w:rPr>
          <w:rFonts w:ascii="Calibri" w:hAnsi="Calibri" w:eastAsia="宋体" w:cs="黑体"/>
        </w:rPr>
      </w:pPr>
      <w:r>
        <w:fldChar w:fldCharType="begin"/>
      </w:r>
      <w:r>
        <w:instrText xml:space="preserve">HYPERLINK  \l "_Toc428781471" </w:instrText>
      </w:r>
      <w:r>
        <w:fldChar w:fldCharType="separate"/>
      </w:r>
      <w:r>
        <w:rPr>
          <w:rStyle w:val="26"/>
          <w:rFonts w:hint="eastAsia"/>
          <w:kern w:val="44"/>
        </w:rPr>
        <w:t>北京市实施国家重大活动保障措施的若干规定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_Toc428781471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149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B2F0A2E">
      <w:pPr>
        <w:pStyle w:val="9"/>
        <w:tabs>
          <w:tab w:val="right" w:leader="middleDot" w:pos="8295"/>
          <w:tab w:val="clear" w:pos="8296"/>
        </w:tabs>
        <w:rPr>
          <w:rFonts w:ascii="Calibri" w:hAnsi="Calibri" w:eastAsia="宋体" w:cs="黑体"/>
        </w:rPr>
      </w:pPr>
      <w:r>
        <w:fldChar w:fldCharType="begin"/>
      </w:r>
      <w:r>
        <w:instrText xml:space="preserve">HYPERLINK  \l "_Toc428781472" </w:instrText>
      </w:r>
      <w:r>
        <w:fldChar w:fldCharType="separate"/>
      </w:r>
      <w:r>
        <w:rPr>
          <w:rStyle w:val="26"/>
          <w:rFonts w:hint="eastAsia"/>
          <w:kern w:val="44"/>
        </w:rPr>
        <w:t>北京市政府信息公开规定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_Toc428781472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150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C71B946">
      <w:pPr>
        <w:pStyle w:val="9"/>
        <w:tabs>
          <w:tab w:val="right" w:leader="middleDot" w:pos="8295"/>
          <w:tab w:val="clear" w:pos="8296"/>
        </w:tabs>
        <w:rPr>
          <w:rFonts w:ascii="Calibri" w:hAnsi="Calibri" w:eastAsia="宋体" w:cs="黑体"/>
        </w:rPr>
      </w:pPr>
      <w:r>
        <w:fldChar w:fldCharType="begin"/>
      </w:r>
      <w:r>
        <w:instrText xml:space="preserve">HYPERLINK  \l "_Toc428781473" </w:instrText>
      </w:r>
      <w:r>
        <w:fldChar w:fldCharType="separate"/>
      </w:r>
      <w:r>
        <w:rPr>
          <w:rStyle w:val="26"/>
          <w:rFonts w:hint="eastAsia"/>
          <w:kern w:val="44"/>
        </w:rPr>
        <w:t>北京市重大建设项目稽察办法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_Toc428781473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157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7311C33">
      <w:pPr>
        <w:pStyle w:val="19"/>
        <w:tabs>
          <w:tab w:val="right" w:leader="middleDot" w:pos="8295"/>
          <w:tab w:val="clear" w:pos="8296"/>
        </w:tabs>
        <w:rPr>
          <w:rStyle w:val="26"/>
        </w:rPr>
      </w:pPr>
    </w:p>
    <w:p w14:paraId="46A56CEE">
      <w:pPr>
        <w:pStyle w:val="19"/>
        <w:tabs>
          <w:tab w:val="right" w:leader="middleDot" w:pos="8295"/>
          <w:tab w:val="clear" w:pos="8296"/>
        </w:tabs>
        <w:rPr>
          <w:rStyle w:val="26"/>
        </w:rPr>
      </w:pPr>
      <w:r>
        <w:fldChar w:fldCharType="begin"/>
      </w:r>
      <w:r>
        <w:instrText xml:space="preserve">HYPERLINK  \l "_Toc428781474" </w:instrText>
      </w:r>
      <w:r>
        <w:fldChar w:fldCharType="separate"/>
      </w:r>
      <w:r>
        <w:rPr>
          <w:rStyle w:val="26"/>
          <w:rFonts w:hint="eastAsia"/>
        </w:rPr>
        <w:t>（七）司法行政</w:t>
      </w:r>
      <w:r>
        <w:fldChar w:fldCharType="end"/>
      </w:r>
    </w:p>
    <w:p w14:paraId="670210C1"/>
    <w:p w14:paraId="6F959A6A">
      <w:pPr>
        <w:pStyle w:val="9"/>
        <w:tabs>
          <w:tab w:val="right" w:leader="middleDot" w:pos="8295"/>
          <w:tab w:val="clear" w:pos="8296"/>
        </w:tabs>
        <w:rPr>
          <w:rFonts w:ascii="Calibri" w:hAnsi="Calibri" w:eastAsia="宋体" w:cs="黑体"/>
        </w:rPr>
      </w:pPr>
      <w:r>
        <w:fldChar w:fldCharType="begin"/>
      </w:r>
      <w:r>
        <w:instrText xml:space="preserve">HYPERLINK  \l "_Toc428781475" </w:instrText>
      </w:r>
      <w:r>
        <w:fldChar w:fldCharType="separate"/>
      </w:r>
      <w:r>
        <w:rPr>
          <w:rStyle w:val="26"/>
          <w:rFonts w:hint="eastAsia"/>
          <w:kern w:val="44"/>
        </w:rPr>
        <w:t>北京市法律援助条例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_Toc428781475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161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953A286">
      <w:pPr>
        <w:pStyle w:val="9"/>
        <w:tabs>
          <w:tab w:val="right" w:leader="middleDot" w:pos="8295"/>
          <w:tab w:val="clear" w:pos="8296"/>
        </w:tabs>
        <w:rPr>
          <w:rStyle w:val="26"/>
        </w:rPr>
      </w:pPr>
      <w:r>
        <w:fldChar w:fldCharType="begin"/>
      </w:r>
      <w:r>
        <w:instrText xml:space="preserve">HYPERLINK  \l "_Toc428781476" </w:instrText>
      </w:r>
      <w:r>
        <w:fldChar w:fldCharType="separate"/>
      </w:r>
      <w:r>
        <w:rPr>
          <w:rStyle w:val="26"/>
          <w:rFonts w:hint="eastAsia"/>
          <w:kern w:val="44"/>
        </w:rPr>
        <w:t>关于所外执行劳动教养的暂行规定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_Toc428781476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167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309E925"/>
    <w:p w14:paraId="7D507C7D">
      <w:pPr>
        <w:pStyle w:val="19"/>
        <w:tabs>
          <w:tab w:val="right" w:leader="middleDot" w:pos="8295"/>
          <w:tab w:val="clear" w:pos="8296"/>
        </w:tabs>
        <w:rPr>
          <w:rStyle w:val="26"/>
        </w:rPr>
      </w:pPr>
      <w:r>
        <w:fldChar w:fldCharType="begin"/>
      </w:r>
      <w:r>
        <w:instrText xml:space="preserve">HYPERLINK  \l "_Toc428781477" </w:instrText>
      </w:r>
      <w:r>
        <w:fldChar w:fldCharType="separate"/>
      </w:r>
      <w:r>
        <w:rPr>
          <w:rStyle w:val="26"/>
          <w:rFonts w:hint="eastAsia"/>
        </w:rPr>
        <w:t>（八）游行示威</w:t>
      </w:r>
      <w:r>
        <w:fldChar w:fldCharType="end"/>
      </w:r>
    </w:p>
    <w:p w14:paraId="30931052"/>
    <w:p w14:paraId="5386B596">
      <w:pPr>
        <w:pStyle w:val="9"/>
        <w:tabs>
          <w:tab w:val="right" w:leader="middleDot" w:pos="8295"/>
          <w:tab w:val="clear" w:pos="8296"/>
        </w:tabs>
        <w:rPr>
          <w:rFonts w:ascii="Calibri" w:hAnsi="Calibri" w:eastAsia="宋体" w:cs="黑体"/>
        </w:rPr>
      </w:pPr>
      <w:r>
        <w:fldChar w:fldCharType="begin"/>
      </w:r>
      <w:r>
        <w:instrText xml:space="preserve">HYPERLINK  \l "_Toc428781478" </w:instrText>
      </w:r>
      <w:r>
        <w:fldChar w:fldCharType="separate"/>
      </w:r>
      <w:r>
        <w:rPr>
          <w:rStyle w:val="26"/>
          <w:rFonts w:hint="eastAsia"/>
          <w:kern w:val="44"/>
        </w:rPr>
        <w:t>北京市实施《中华人民共和国</w:t>
      </w:r>
      <w:r>
        <w:fldChar w:fldCharType="end"/>
      </w:r>
      <w:r>
        <w:fldChar w:fldCharType="begin"/>
      </w:r>
      <w:r>
        <w:instrText xml:space="preserve">HYPERLINK  \l "_Toc428781479" </w:instrText>
      </w:r>
      <w:r>
        <w:fldChar w:fldCharType="separate"/>
      </w:r>
      <w:r>
        <w:rPr>
          <w:rStyle w:val="26"/>
          <w:rFonts w:hint="eastAsia"/>
          <w:kern w:val="44"/>
        </w:rPr>
        <w:t>集会游行示威法》办法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_Toc428781479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168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71B5807">
      <w:pPr>
        <w:pStyle w:val="9"/>
        <w:tabs>
          <w:tab w:val="right" w:leader="middleDot" w:pos="8295"/>
          <w:tab w:val="clear" w:pos="8296"/>
        </w:tabs>
        <w:rPr>
          <w:rStyle w:val="26"/>
          <w:rFonts w:ascii="Calibri" w:hAnsi="Calibri" w:eastAsia="宋体" w:cs="黑体"/>
          <w:color w:val="auto"/>
          <w:u w:val="none"/>
        </w:rPr>
      </w:pPr>
      <w:r>
        <w:fldChar w:fldCharType="begin"/>
      </w:r>
      <w:r>
        <w:instrText xml:space="preserve">HYPERLINK  \l "_Toc428781480" </w:instrText>
      </w:r>
      <w:r>
        <w:fldChar w:fldCharType="separate"/>
      </w:r>
      <w:r>
        <w:rPr>
          <w:rStyle w:val="26"/>
          <w:rFonts w:hint="eastAsia"/>
          <w:kern w:val="44"/>
        </w:rPr>
        <w:t>北京市人民政府关于不得举行集会游行</w:t>
      </w:r>
      <w:r>
        <w:fldChar w:fldCharType="end"/>
      </w:r>
      <w:r>
        <w:fldChar w:fldCharType="begin"/>
      </w:r>
      <w:r>
        <w:instrText xml:space="preserve">HYPERLINK  \l "_Toc428781481" </w:instrText>
      </w:r>
      <w:r>
        <w:fldChar w:fldCharType="separate"/>
      </w:r>
      <w:r>
        <w:rPr>
          <w:rStyle w:val="26"/>
          <w:rFonts w:hint="eastAsia"/>
          <w:kern w:val="44"/>
        </w:rPr>
        <w:t>示威场所周边范围的规定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_Toc428781481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171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F2589D5"/>
    <w:p w14:paraId="23DEF5AA">
      <w:pPr>
        <w:pStyle w:val="19"/>
        <w:tabs>
          <w:tab w:val="right" w:leader="middleDot" w:pos="8295"/>
          <w:tab w:val="clear" w:pos="8296"/>
        </w:tabs>
        <w:rPr>
          <w:rStyle w:val="26"/>
        </w:rPr>
      </w:pPr>
      <w:r>
        <w:fldChar w:fldCharType="begin"/>
      </w:r>
      <w:r>
        <w:instrText xml:space="preserve">HYPERLINK  \l "_Toc428781482" </w:instrText>
      </w:r>
      <w:r>
        <w:fldChar w:fldCharType="separate"/>
      </w:r>
      <w:r>
        <w:rPr>
          <w:rStyle w:val="26"/>
          <w:rFonts w:hint="eastAsia"/>
        </w:rPr>
        <w:t>（九）军事、国防</w:t>
      </w:r>
      <w:r>
        <w:fldChar w:fldCharType="end"/>
      </w:r>
    </w:p>
    <w:p w14:paraId="39B82106"/>
    <w:p w14:paraId="6921C766">
      <w:pPr>
        <w:pStyle w:val="9"/>
        <w:tabs>
          <w:tab w:val="right" w:leader="middleDot" w:pos="8295"/>
          <w:tab w:val="clear" w:pos="8296"/>
        </w:tabs>
        <w:rPr>
          <w:rFonts w:ascii="Calibri" w:hAnsi="Calibri" w:eastAsia="宋体" w:cs="黑体"/>
        </w:rPr>
      </w:pPr>
      <w:r>
        <w:fldChar w:fldCharType="begin"/>
      </w:r>
      <w:r>
        <w:instrText xml:space="preserve">HYPERLINK  \l "_Toc428781483" </w:instrText>
      </w:r>
      <w:r>
        <w:fldChar w:fldCharType="separate"/>
      </w:r>
      <w:r>
        <w:rPr>
          <w:rStyle w:val="26"/>
          <w:rFonts w:hint="eastAsia"/>
          <w:kern w:val="44"/>
        </w:rPr>
        <w:t>北京市民兵预备役工作条例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_Toc428781483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172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3102E7E">
      <w:pPr>
        <w:pStyle w:val="9"/>
        <w:tabs>
          <w:tab w:val="right" w:leader="middleDot" w:pos="8295"/>
          <w:tab w:val="clear" w:pos="8296"/>
        </w:tabs>
        <w:rPr>
          <w:rFonts w:ascii="Calibri" w:hAnsi="Calibri" w:eastAsia="宋体" w:cs="黑体"/>
        </w:rPr>
      </w:pPr>
      <w:r>
        <w:fldChar w:fldCharType="begin"/>
      </w:r>
      <w:r>
        <w:instrText xml:space="preserve">HYPERLINK  \l "_Toc428781484" </w:instrText>
      </w:r>
      <w:r>
        <w:fldChar w:fldCharType="separate"/>
      </w:r>
      <w:r>
        <w:rPr>
          <w:rStyle w:val="26"/>
          <w:rFonts w:hint="eastAsia"/>
          <w:kern w:val="44"/>
        </w:rPr>
        <w:t>北京市人民防空条例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_Toc428781484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175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82CA19D">
      <w:pPr>
        <w:pStyle w:val="9"/>
        <w:tabs>
          <w:tab w:val="right" w:leader="middleDot" w:pos="8295"/>
          <w:tab w:val="clear" w:pos="8296"/>
        </w:tabs>
        <w:rPr>
          <w:rFonts w:ascii="Calibri" w:hAnsi="Calibri" w:eastAsia="宋体" w:cs="黑体"/>
        </w:rPr>
      </w:pPr>
      <w:r>
        <w:fldChar w:fldCharType="begin"/>
      </w:r>
      <w:r>
        <w:instrText xml:space="preserve">HYPERLINK  \l "_Toc428781485" </w:instrText>
      </w:r>
      <w:r>
        <w:fldChar w:fldCharType="separate"/>
      </w:r>
      <w:r>
        <w:rPr>
          <w:rStyle w:val="26"/>
          <w:rFonts w:hint="eastAsia"/>
          <w:kern w:val="44"/>
        </w:rPr>
        <w:t>北京市征兵工作条例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_Toc428781485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181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6803387">
      <w:pPr>
        <w:pStyle w:val="9"/>
        <w:tabs>
          <w:tab w:val="right" w:leader="middleDot" w:pos="8295"/>
          <w:tab w:val="clear" w:pos="8296"/>
        </w:tabs>
        <w:rPr>
          <w:rFonts w:ascii="Calibri" w:hAnsi="Calibri" w:eastAsia="宋体" w:cs="黑体"/>
        </w:rPr>
      </w:pPr>
      <w:r>
        <w:fldChar w:fldCharType="begin"/>
      </w:r>
      <w:r>
        <w:instrText xml:space="preserve">HYPERLINK  \l "_Toc428781486" </w:instrText>
      </w:r>
      <w:r>
        <w:fldChar w:fldCharType="separate"/>
      </w:r>
      <w:r>
        <w:rPr>
          <w:rStyle w:val="26"/>
          <w:rFonts w:hint="eastAsia"/>
          <w:kern w:val="44"/>
        </w:rPr>
        <w:t>北京市实施《退伍义务兵安置条例》的若干规定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_Toc428781486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187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8F6AE22">
      <w:pPr>
        <w:pStyle w:val="9"/>
        <w:tabs>
          <w:tab w:val="right" w:leader="middleDot" w:pos="8295"/>
          <w:tab w:val="clear" w:pos="8296"/>
        </w:tabs>
        <w:rPr>
          <w:rFonts w:ascii="Calibri" w:hAnsi="Calibri" w:eastAsia="宋体" w:cs="黑体"/>
        </w:rPr>
      </w:pPr>
      <w:r>
        <w:fldChar w:fldCharType="begin"/>
      </w:r>
      <w:r>
        <w:instrText xml:space="preserve">HYPERLINK  \l "_Toc428781487" </w:instrText>
      </w:r>
      <w:r>
        <w:fldChar w:fldCharType="separate"/>
      </w:r>
      <w:r>
        <w:rPr>
          <w:rStyle w:val="26"/>
          <w:rFonts w:hint="eastAsia"/>
          <w:kern w:val="44"/>
        </w:rPr>
        <w:t>北京市保护军事设施安全若干规定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_Toc428781487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190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37A068F">
      <w:pPr>
        <w:pStyle w:val="9"/>
        <w:tabs>
          <w:tab w:val="right" w:leader="middleDot" w:pos="8295"/>
          <w:tab w:val="clear" w:pos="8296"/>
        </w:tabs>
        <w:rPr>
          <w:rFonts w:ascii="Calibri" w:hAnsi="Calibri" w:eastAsia="宋体" w:cs="黑体"/>
        </w:rPr>
      </w:pPr>
      <w:r>
        <w:fldChar w:fldCharType="begin"/>
      </w:r>
      <w:r>
        <w:instrText xml:space="preserve">HYPERLINK  \l "_Toc428781488" </w:instrText>
      </w:r>
      <w:r>
        <w:fldChar w:fldCharType="separate"/>
      </w:r>
      <w:r>
        <w:rPr>
          <w:rStyle w:val="26"/>
          <w:rFonts w:hint="eastAsia"/>
          <w:kern w:val="44"/>
        </w:rPr>
        <w:t>北京市民用运力国防动员办法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_Toc428781488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193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A1DA801">
      <w:pPr>
        <w:pStyle w:val="19"/>
        <w:tabs>
          <w:tab w:val="right" w:leader="middleDot" w:pos="8295"/>
          <w:tab w:val="clear" w:pos="8296"/>
        </w:tabs>
        <w:rPr>
          <w:rStyle w:val="26"/>
        </w:rPr>
      </w:pPr>
    </w:p>
    <w:p w14:paraId="2CD1BE4C">
      <w:pPr>
        <w:pStyle w:val="19"/>
        <w:tabs>
          <w:tab w:val="right" w:leader="middleDot" w:pos="8295"/>
          <w:tab w:val="clear" w:pos="8296"/>
        </w:tabs>
        <w:rPr>
          <w:rStyle w:val="26"/>
        </w:rPr>
      </w:pPr>
      <w:r>
        <w:fldChar w:fldCharType="begin"/>
      </w:r>
      <w:r>
        <w:instrText xml:space="preserve">HYPERLINK  \l "_Toc428781489" </w:instrText>
      </w:r>
      <w:r>
        <w:fldChar w:fldCharType="separate"/>
      </w:r>
      <w:r>
        <w:rPr>
          <w:rStyle w:val="26"/>
          <w:rFonts w:hint="eastAsia"/>
        </w:rPr>
        <w:t>（十）保密、档案</w:t>
      </w:r>
      <w:r>
        <w:fldChar w:fldCharType="end"/>
      </w:r>
    </w:p>
    <w:p w14:paraId="587102E7"/>
    <w:p w14:paraId="2A7F05F9">
      <w:pPr>
        <w:pStyle w:val="9"/>
        <w:tabs>
          <w:tab w:val="right" w:leader="middleDot" w:pos="8295"/>
          <w:tab w:val="clear" w:pos="8296"/>
        </w:tabs>
        <w:rPr>
          <w:rFonts w:ascii="Calibri" w:hAnsi="Calibri" w:eastAsia="宋体" w:cs="黑体"/>
        </w:rPr>
      </w:pPr>
      <w:r>
        <w:fldChar w:fldCharType="begin"/>
      </w:r>
      <w:r>
        <w:instrText xml:space="preserve">HYPERLINK  \l "_Toc428781490" </w:instrText>
      </w:r>
      <w:r>
        <w:fldChar w:fldCharType="separate"/>
      </w:r>
      <w:r>
        <w:rPr>
          <w:rStyle w:val="26"/>
          <w:rFonts w:hint="eastAsia"/>
          <w:kern w:val="44"/>
        </w:rPr>
        <w:t>北京市实施《中华人民共和国</w:t>
      </w:r>
      <w:r>
        <w:fldChar w:fldCharType="end"/>
      </w:r>
      <w:r>
        <w:fldChar w:fldCharType="begin"/>
      </w:r>
      <w:r>
        <w:instrText xml:space="preserve">HYPERLINK  \l "_Toc428781491" </w:instrText>
      </w:r>
      <w:r>
        <w:fldChar w:fldCharType="separate"/>
      </w:r>
      <w:r>
        <w:rPr>
          <w:rStyle w:val="26"/>
          <w:rFonts w:hint="eastAsia"/>
          <w:kern w:val="44"/>
        </w:rPr>
        <w:t>保守国家秘密法》若干规定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_Toc428781491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196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33D410D">
      <w:pPr>
        <w:pStyle w:val="9"/>
        <w:tabs>
          <w:tab w:val="right" w:leader="middleDot" w:pos="8295"/>
          <w:tab w:val="clear" w:pos="8296"/>
        </w:tabs>
        <w:rPr>
          <w:rStyle w:val="26"/>
        </w:rPr>
      </w:pPr>
      <w:r>
        <w:fldChar w:fldCharType="begin"/>
      </w:r>
      <w:r>
        <w:instrText xml:space="preserve">HYPERLINK  \l "_Toc428781492" </w:instrText>
      </w:r>
      <w:r>
        <w:fldChar w:fldCharType="separate"/>
      </w:r>
      <w:r>
        <w:rPr>
          <w:rStyle w:val="26"/>
          <w:rFonts w:hint="eastAsia"/>
          <w:kern w:val="44"/>
        </w:rPr>
        <w:t>北京市实施《中华人民共和国档案法》办法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_Toc428781492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199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4E8C0FE"/>
    <w:p w14:paraId="595E1A93">
      <w:pPr>
        <w:pStyle w:val="19"/>
        <w:tabs>
          <w:tab w:val="right" w:leader="middleDot" w:pos="8295"/>
          <w:tab w:val="clear" w:pos="8296"/>
        </w:tabs>
        <w:rPr>
          <w:rStyle w:val="26"/>
        </w:rPr>
      </w:pPr>
      <w:r>
        <w:fldChar w:fldCharType="begin"/>
      </w:r>
      <w:r>
        <w:instrText xml:space="preserve">HYPERLINK  \l "_Toc428781493" </w:instrText>
      </w:r>
      <w:r>
        <w:fldChar w:fldCharType="separate"/>
      </w:r>
      <w:r>
        <w:rPr>
          <w:rStyle w:val="26"/>
          <w:rFonts w:hint="eastAsia"/>
        </w:rPr>
        <w:t>（十一）其</w:t>
      </w:r>
      <w:r>
        <w:rPr>
          <w:rStyle w:val="26"/>
        </w:rPr>
        <w:t xml:space="preserve">  </w:t>
      </w:r>
      <w:r>
        <w:rPr>
          <w:rStyle w:val="26"/>
          <w:rFonts w:hint="eastAsia"/>
        </w:rPr>
        <w:t>他</w:t>
      </w:r>
      <w:r>
        <w:fldChar w:fldCharType="end"/>
      </w:r>
    </w:p>
    <w:p w14:paraId="0E7C74AC"/>
    <w:p w14:paraId="69DFB8D7">
      <w:pPr>
        <w:pStyle w:val="9"/>
        <w:tabs>
          <w:tab w:val="right" w:leader="middleDot" w:pos="8295"/>
          <w:tab w:val="clear" w:pos="8296"/>
        </w:tabs>
        <w:rPr>
          <w:rFonts w:ascii="Calibri" w:hAnsi="Calibri" w:eastAsia="宋体" w:cs="黑体"/>
        </w:rPr>
      </w:pPr>
      <w:r>
        <w:fldChar w:fldCharType="begin"/>
      </w:r>
      <w:r>
        <w:instrText xml:space="preserve">HYPERLINK  \l "_Toc428781494" </w:instrText>
      </w:r>
      <w:r>
        <w:fldChar w:fldCharType="separate"/>
      </w:r>
      <w:r>
        <w:rPr>
          <w:rStyle w:val="26"/>
          <w:rFonts w:hint="eastAsia"/>
          <w:kern w:val="44"/>
        </w:rPr>
        <w:t>北京市事业单位登记管理办法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_Toc428781494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204</w:t>
      </w:r>
      <w:r>
        <w:rPr>
          <w:rFonts w:hint="eastAsia" w:ascii="华文宋体" w:hAnsi="华文宋体" w:eastAsia="华文宋体" w:cs="华文宋体"/>
          <w:sz w:val="24"/>
          <w:szCs w:val="24"/>
        </w:rPr>
        <w:fldChar w:fldCharType="end"/>
      </w:r>
      <w:r>
        <w:rPr>
          <w:rFonts w:hint="eastAsia" w:ascii="创艺简中圆" w:hAnsi="创艺简中圆" w:eastAsia="创艺简中圆" w:cs="创艺简中圆"/>
        </w:rPr>
        <w:fldChar w:fldCharType="end"/>
      </w:r>
    </w:p>
    <w:p w14:paraId="0FCE4BA2">
      <w:pPr>
        <w:pStyle w:val="9"/>
        <w:tabs>
          <w:tab w:val="right" w:leader="middleDot" w:pos="8295"/>
          <w:tab w:val="clear" w:pos="8296"/>
        </w:tabs>
        <w:rPr>
          <w:rFonts w:ascii="Calibri" w:hAnsi="Calibri" w:eastAsia="宋体" w:cs="黑体"/>
        </w:rPr>
      </w:pPr>
      <w:r>
        <w:fldChar w:fldCharType="begin"/>
      </w:r>
      <w:r>
        <w:instrText xml:space="preserve">HYPERLINK  \l "_Toc428781495" </w:instrText>
      </w:r>
      <w:r>
        <w:fldChar w:fldCharType="separate"/>
      </w:r>
      <w:r>
        <w:rPr>
          <w:rStyle w:val="26"/>
          <w:rFonts w:hint="eastAsia"/>
          <w:kern w:val="44"/>
        </w:rPr>
        <w:t>北京市人事争议仲裁办法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_Toc428781495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206</w:t>
      </w:r>
      <w:r>
        <w:rPr>
          <w:rFonts w:hint="eastAsia" w:ascii="华文宋体" w:hAnsi="华文宋体" w:eastAsia="华文宋体" w:cs="华文宋体"/>
          <w:sz w:val="24"/>
          <w:szCs w:val="24"/>
        </w:rPr>
        <w:fldChar w:fldCharType="end"/>
      </w:r>
      <w:r>
        <w:rPr>
          <w:rFonts w:hint="eastAsia" w:ascii="创艺简中圆" w:hAnsi="创艺简中圆" w:eastAsia="创艺简中圆" w:cs="创艺简中圆"/>
        </w:rPr>
        <w:fldChar w:fldCharType="end"/>
      </w:r>
    </w:p>
    <w:p w14:paraId="609F11F4">
      <w:pPr>
        <w:pStyle w:val="15"/>
        <w:tabs>
          <w:tab w:val="right" w:leader="middleDot" w:pos="8295"/>
          <w:tab w:val="clear" w:pos="8296"/>
        </w:tabs>
        <w:rPr>
          <w:rStyle w:val="26"/>
        </w:rPr>
      </w:pPr>
    </w:p>
    <w:p w14:paraId="79FBBDFC">
      <w:pPr>
        <w:pStyle w:val="15"/>
        <w:tabs>
          <w:tab w:val="right" w:leader="middleDot" w:pos="8295"/>
          <w:tab w:val="clear" w:pos="8296"/>
        </w:tabs>
        <w:rPr>
          <w:rStyle w:val="26"/>
        </w:rPr>
      </w:pPr>
      <w:r>
        <w:fldChar w:fldCharType="begin"/>
      </w:r>
      <w:r>
        <w:instrText xml:space="preserve">HYPERLINK  \l "_Toc428781496" </w:instrText>
      </w:r>
      <w:r>
        <w:fldChar w:fldCharType="separate"/>
      </w:r>
      <w:r>
        <w:rPr>
          <w:rStyle w:val="26"/>
          <w:rFonts w:hint="eastAsia"/>
        </w:rPr>
        <w:t>二、经</w:t>
      </w:r>
      <w:r>
        <w:rPr>
          <w:rStyle w:val="26"/>
        </w:rPr>
        <w:t xml:space="preserve"> </w:t>
      </w:r>
      <w:r>
        <w:rPr>
          <w:rStyle w:val="26"/>
          <w:rFonts w:hint="eastAsia"/>
        </w:rPr>
        <w:t>济</w:t>
      </w:r>
      <w:r>
        <w:rPr>
          <w:rStyle w:val="26"/>
        </w:rPr>
        <w:t xml:space="preserve"> </w:t>
      </w:r>
      <w:r>
        <w:rPr>
          <w:rStyle w:val="26"/>
          <w:rFonts w:hint="eastAsia"/>
        </w:rPr>
        <w:t>建</w:t>
      </w:r>
      <w:r>
        <w:rPr>
          <w:rStyle w:val="26"/>
        </w:rPr>
        <w:t xml:space="preserve"> </w:t>
      </w:r>
      <w:r>
        <w:rPr>
          <w:rStyle w:val="26"/>
          <w:rFonts w:hint="eastAsia"/>
        </w:rPr>
        <w:t>设</w:t>
      </w:r>
      <w:r>
        <w:fldChar w:fldCharType="end"/>
      </w:r>
    </w:p>
    <w:p w14:paraId="1389AA35"/>
    <w:p w14:paraId="10E8FECC">
      <w:pPr>
        <w:pStyle w:val="19"/>
        <w:tabs>
          <w:tab w:val="right" w:leader="middleDot" w:pos="8295"/>
          <w:tab w:val="clear" w:pos="8296"/>
        </w:tabs>
        <w:rPr>
          <w:rStyle w:val="26"/>
        </w:rPr>
      </w:pPr>
      <w:r>
        <w:fldChar w:fldCharType="begin"/>
      </w:r>
      <w:r>
        <w:instrText xml:space="preserve">HYPERLINK  \l "_Toc428781497" </w:instrText>
      </w:r>
      <w:r>
        <w:fldChar w:fldCharType="separate"/>
      </w:r>
      <w:r>
        <w:rPr>
          <w:rStyle w:val="26"/>
          <w:rFonts w:hint="eastAsia"/>
        </w:rPr>
        <w:t>（一）财</w:t>
      </w:r>
      <w:r>
        <w:rPr>
          <w:rStyle w:val="26"/>
        </w:rPr>
        <w:t xml:space="preserve">  </w:t>
      </w:r>
      <w:r>
        <w:rPr>
          <w:rStyle w:val="26"/>
          <w:rFonts w:hint="eastAsia"/>
        </w:rPr>
        <w:t>政</w:t>
      </w:r>
      <w:r>
        <w:fldChar w:fldCharType="end"/>
      </w:r>
    </w:p>
    <w:p w14:paraId="2307C49F"/>
    <w:p w14:paraId="2BA8AA7C">
      <w:pPr>
        <w:pStyle w:val="9"/>
        <w:tabs>
          <w:tab w:val="right" w:leader="middleDot" w:pos="8295"/>
          <w:tab w:val="clear" w:pos="8296"/>
        </w:tabs>
        <w:rPr>
          <w:rFonts w:hint="eastAsia" w:ascii="创艺简中圆" w:hAnsi="创艺简中圆" w:eastAsia="创艺简中圆" w:cs="创艺简中圆"/>
        </w:rPr>
      </w:pPr>
      <w:r>
        <w:fldChar w:fldCharType="begin"/>
      </w:r>
      <w:r>
        <w:instrText xml:space="preserve">HYPERLINK  \l "_Toc428781498" </w:instrText>
      </w:r>
      <w:r>
        <w:fldChar w:fldCharType="separate"/>
      </w:r>
      <w:r>
        <w:rPr>
          <w:rStyle w:val="26"/>
          <w:rFonts w:hint="eastAsia"/>
          <w:kern w:val="44"/>
        </w:rPr>
        <w:t>北京市</w:t>
      </w:r>
      <w:r>
        <w:rPr>
          <w:rStyle w:val="26"/>
          <w:rFonts w:hint="eastAsia"/>
          <w:kern w:val="44"/>
          <w:lang w:eastAsia="zh-CN"/>
        </w:rPr>
        <w:t>行政事业性收费</w:t>
      </w:r>
      <w:r>
        <w:rPr>
          <w:rStyle w:val="26"/>
          <w:rFonts w:hint="eastAsia"/>
          <w:kern w:val="44"/>
        </w:rPr>
        <w:t>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_Toc428781498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211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142E45A">
      <w:pPr>
        <w:pStyle w:val="9"/>
        <w:tabs>
          <w:tab w:val="right" w:leader="middleDot" w:pos="8295"/>
          <w:tab w:val="clear" w:pos="8296"/>
        </w:tabs>
        <w:rPr>
          <w:rFonts w:ascii="Calibri" w:hAnsi="Calibri" w:eastAsia="宋体" w:cs="黑体"/>
        </w:rPr>
      </w:pPr>
      <w:r>
        <w:fldChar w:fldCharType="begin"/>
      </w:r>
      <w:r>
        <w:instrText xml:space="preserve">HYPERLINK  \l "_Toc428781499" </w:instrText>
      </w:r>
      <w:r>
        <w:fldChar w:fldCharType="separate"/>
      </w:r>
      <w:r>
        <w:rPr>
          <w:rStyle w:val="26"/>
          <w:rFonts w:hint="eastAsia"/>
          <w:kern w:val="44"/>
        </w:rPr>
        <w:t>北京市预算监督条例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_Toc428781499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215</w:t>
      </w:r>
      <w:r>
        <w:rPr>
          <w:rFonts w:hint="eastAsia" w:ascii="华文宋体" w:hAnsi="华文宋体" w:eastAsia="华文宋体" w:cs="华文宋体"/>
          <w:sz w:val="24"/>
          <w:szCs w:val="24"/>
        </w:rPr>
        <w:fldChar w:fldCharType="end"/>
      </w:r>
      <w:r>
        <w:fldChar w:fldCharType="end"/>
      </w:r>
    </w:p>
    <w:p w14:paraId="12894A46">
      <w:pPr>
        <w:pStyle w:val="9"/>
        <w:tabs>
          <w:tab w:val="right" w:leader="middleDot" w:pos="8295"/>
          <w:tab w:val="clear" w:pos="8296"/>
        </w:tabs>
        <w:rPr>
          <w:rFonts w:hint="eastAsia" w:ascii="创艺简中圆" w:hAnsi="创艺简中圆" w:eastAsia="创艺简中圆" w:cs="创艺简中圆"/>
        </w:rPr>
      </w:pPr>
      <w:r>
        <w:fldChar w:fldCharType="begin"/>
      </w:r>
      <w:r>
        <w:instrText xml:space="preserve">HYPERLINK  \l "_Toc428781500" </w:instrText>
      </w:r>
      <w:r>
        <w:fldChar w:fldCharType="separate"/>
      </w:r>
      <w:r>
        <w:rPr>
          <w:rStyle w:val="26"/>
          <w:rFonts w:hint="eastAsia"/>
          <w:kern w:val="44"/>
        </w:rPr>
        <w:t>北京市罚没财物收据使用和管理暂行办法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_Toc428781500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221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E6A4E7C">
      <w:pPr>
        <w:pStyle w:val="9"/>
        <w:tabs>
          <w:tab w:val="right" w:leader="middleDot" w:pos="8295"/>
          <w:tab w:val="clear" w:pos="8296"/>
        </w:tabs>
        <w:rPr>
          <w:rFonts w:ascii="Calibri" w:hAnsi="Calibri" w:eastAsia="宋体" w:cs="黑体"/>
        </w:rPr>
      </w:pPr>
      <w:r>
        <w:fldChar w:fldCharType="begin"/>
      </w:r>
      <w:r>
        <w:instrText xml:space="preserve">HYPERLINK  \l "_Toc428781501" </w:instrText>
      </w:r>
      <w:r>
        <w:fldChar w:fldCharType="separate"/>
      </w:r>
      <w:r>
        <w:rPr>
          <w:rStyle w:val="26"/>
          <w:rFonts w:hint="eastAsia"/>
          <w:kern w:val="44"/>
        </w:rPr>
        <w:t>北京市征收外商投资企业土地使用费规定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_Toc428781501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223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D3B98E5">
      <w:pPr>
        <w:pStyle w:val="9"/>
        <w:tabs>
          <w:tab w:val="right" w:leader="middleDot" w:pos="8295"/>
          <w:tab w:val="clear" w:pos="8296"/>
        </w:tabs>
        <w:rPr>
          <w:rFonts w:ascii="Calibri" w:hAnsi="Calibri" w:eastAsia="宋体" w:cs="黑体"/>
        </w:rPr>
      </w:pPr>
      <w:r>
        <w:fldChar w:fldCharType="begin"/>
      </w:r>
      <w:r>
        <w:instrText xml:space="preserve">HYPERLINK  \l "_Toc428781502" </w:instrText>
      </w:r>
      <w:r>
        <w:fldChar w:fldCharType="separate"/>
      </w:r>
      <w:r>
        <w:rPr>
          <w:rStyle w:val="26"/>
          <w:rFonts w:hint="eastAsia"/>
          <w:kern w:val="44"/>
        </w:rPr>
        <w:t>北京市实施《国家赔偿费用管理办法》的规定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_Toc428781502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224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582144A">
      <w:pPr>
        <w:pStyle w:val="9"/>
        <w:tabs>
          <w:tab w:val="right" w:leader="middleDot" w:pos="8295"/>
          <w:tab w:val="clear" w:pos="8296"/>
        </w:tabs>
        <w:rPr>
          <w:rFonts w:ascii="Calibri" w:hAnsi="Calibri" w:eastAsia="宋体" w:cs="黑体"/>
        </w:rPr>
      </w:pPr>
      <w:r>
        <w:fldChar w:fldCharType="begin"/>
      </w:r>
      <w:r>
        <w:instrText xml:space="preserve">HYPERLINK  \l "_Toc428781503" </w:instrText>
      </w:r>
      <w:r>
        <w:fldChar w:fldCharType="separate"/>
      </w:r>
      <w:r>
        <w:rPr>
          <w:rStyle w:val="26"/>
          <w:rFonts w:hint="eastAsia"/>
          <w:kern w:val="44"/>
        </w:rPr>
        <w:t>北京市会计管理办法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_Toc428781503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226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640538D">
      <w:pPr>
        <w:pStyle w:val="19"/>
        <w:tabs>
          <w:tab w:val="right" w:leader="middleDot" w:pos="8295"/>
          <w:tab w:val="clear" w:pos="8296"/>
        </w:tabs>
        <w:rPr>
          <w:rStyle w:val="26"/>
        </w:rPr>
      </w:pPr>
    </w:p>
    <w:p w14:paraId="68B5B940">
      <w:pPr>
        <w:pStyle w:val="19"/>
        <w:tabs>
          <w:tab w:val="right" w:leader="middleDot" w:pos="8295"/>
          <w:tab w:val="clear" w:pos="8296"/>
        </w:tabs>
        <w:rPr>
          <w:rStyle w:val="26"/>
        </w:rPr>
      </w:pPr>
      <w:r>
        <w:fldChar w:fldCharType="begin"/>
      </w:r>
      <w:r>
        <w:instrText xml:space="preserve">HYPERLINK  \l "_Toc428781504" </w:instrText>
      </w:r>
      <w:r>
        <w:fldChar w:fldCharType="separate"/>
      </w:r>
      <w:r>
        <w:rPr>
          <w:rStyle w:val="26"/>
          <w:rFonts w:hint="eastAsia"/>
        </w:rPr>
        <w:t>（二）税</w:t>
      </w:r>
      <w:r>
        <w:rPr>
          <w:rStyle w:val="26"/>
        </w:rPr>
        <w:t xml:space="preserve">  </w:t>
      </w:r>
      <w:r>
        <w:rPr>
          <w:rStyle w:val="26"/>
          <w:rFonts w:hint="eastAsia"/>
        </w:rPr>
        <w:t>务</w:t>
      </w:r>
      <w:r>
        <w:fldChar w:fldCharType="end"/>
      </w:r>
    </w:p>
    <w:p w14:paraId="7A848319"/>
    <w:p w14:paraId="617799F4">
      <w:pPr>
        <w:pStyle w:val="9"/>
        <w:tabs>
          <w:tab w:val="right" w:leader="middleDot" w:pos="8295"/>
          <w:tab w:val="clear" w:pos="8296"/>
        </w:tabs>
        <w:rPr>
          <w:rFonts w:hint="eastAsia" w:ascii="华文宋体" w:hAnsi="华文宋体" w:eastAsia="华文宋体" w:cs="华文宋体"/>
          <w:sz w:val="24"/>
          <w:szCs w:val="24"/>
        </w:rPr>
      </w:pPr>
      <w:r>
        <w:fldChar w:fldCharType="begin"/>
      </w:r>
      <w:r>
        <w:instrText xml:space="preserve">HYPERLINK  \l "_Toc428781505" </w:instrText>
      </w:r>
      <w:r>
        <w:fldChar w:fldCharType="separate"/>
      </w:r>
      <w:r>
        <w:rPr>
          <w:rStyle w:val="26"/>
          <w:rFonts w:hint="eastAsia"/>
          <w:kern w:val="44"/>
        </w:rPr>
        <w:t>北京市实施《中华人民共和国</w:t>
      </w:r>
      <w:r>
        <w:fldChar w:fldCharType="end"/>
      </w:r>
      <w:r>
        <w:fldChar w:fldCharType="begin"/>
      </w:r>
      <w:r>
        <w:instrText xml:space="preserve">HYPERLINK  \l "_Toc428781506" </w:instrText>
      </w:r>
      <w:r>
        <w:fldChar w:fldCharType="separate"/>
      </w:r>
      <w:r>
        <w:rPr>
          <w:rStyle w:val="26"/>
          <w:rFonts w:hint="eastAsia"/>
          <w:kern w:val="44"/>
        </w:rPr>
        <w:t>城市维护建设税暂行条例》的细则</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_Toc428781506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230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AF719BE">
      <w:pPr>
        <w:pStyle w:val="9"/>
        <w:tabs>
          <w:tab w:val="right" w:leader="middleDot" w:pos="8295"/>
          <w:tab w:val="clear" w:pos="8296"/>
        </w:tabs>
        <w:rPr>
          <w:rFonts w:ascii="Calibri" w:hAnsi="Calibri" w:eastAsia="宋体" w:cs="黑体"/>
        </w:rPr>
      </w:pPr>
      <w:r>
        <w:fldChar w:fldCharType="begin"/>
      </w:r>
      <w:r>
        <w:instrText xml:space="preserve">HYPERLINK  \l "_Toc428781507" </w:instrText>
      </w:r>
      <w:r>
        <w:fldChar w:fldCharType="separate"/>
      </w:r>
      <w:r>
        <w:rPr>
          <w:rStyle w:val="26"/>
          <w:rFonts w:hint="eastAsia"/>
          <w:kern w:val="44"/>
        </w:rPr>
        <w:t>北京市施行《中华人民共和国</w:t>
      </w:r>
      <w:r>
        <w:fldChar w:fldCharType="end"/>
      </w:r>
      <w:r>
        <w:fldChar w:fldCharType="begin"/>
      </w:r>
      <w:r>
        <w:instrText xml:space="preserve">HYPERLINK  \l "_Toc428781508" </w:instrText>
      </w:r>
      <w:r>
        <w:fldChar w:fldCharType="separate"/>
      </w:r>
      <w:r>
        <w:rPr>
          <w:rStyle w:val="26"/>
          <w:rFonts w:hint="eastAsia"/>
          <w:kern w:val="44"/>
        </w:rPr>
        <w:t>房产税暂行条例》的细则</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_Toc428781508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231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4ECCDC1">
      <w:pPr>
        <w:pStyle w:val="9"/>
        <w:tabs>
          <w:tab w:val="right" w:leader="middleDot" w:pos="8295"/>
          <w:tab w:val="clear" w:pos="8296"/>
        </w:tabs>
        <w:rPr>
          <w:rFonts w:ascii="Calibri" w:hAnsi="Calibri" w:eastAsia="宋体" w:cs="黑体"/>
        </w:rPr>
      </w:pPr>
      <w:r>
        <w:fldChar w:fldCharType="begin"/>
      </w:r>
      <w:r>
        <w:instrText xml:space="preserve">HYPERLINK  \l "_Toc428781509" </w:instrText>
      </w:r>
      <w:r>
        <w:fldChar w:fldCharType="separate"/>
      </w:r>
      <w:r>
        <w:rPr>
          <w:rStyle w:val="26"/>
          <w:rFonts w:hint="eastAsia"/>
          <w:kern w:val="44"/>
        </w:rPr>
        <w:t>北京市实施《中华人民共和国城镇</w:t>
      </w:r>
      <w:r>
        <w:fldChar w:fldCharType="end"/>
      </w:r>
      <w:r>
        <w:fldChar w:fldCharType="begin"/>
      </w:r>
      <w:r>
        <w:instrText xml:space="preserve">HYPERLINK  \l "_Toc428781510" </w:instrText>
      </w:r>
      <w:r>
        <w:fldChar w:fldCharType="separate"/>
      </w:r>
      <w:r>
        <w:rPr>
          <w:rStyle w:val="26"/>
          <w:rFonts w:hint="eastAsia"/>
          <w:kern w:val="44"/>
        </w:rPr>
        <w:t>土地使用税暂行条例》办法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_Toc428781510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232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8B1399A">
      <w:pPr>
        <w:pStyle w:val="9"/>
        <w:tabs>
          <w:tab w:val="right" w:leader="middleDot" w:pos="8295"/>
          <w:tab w:val="clear" w:pos="8296"/>
        </w:tabs>
        <w:rPr>
          <w:rFonts w:ascii="Calibri" w:hAnsi="Calibri" w:eastAsia="宋体" w:cs="黑体"/>
        </w:rPr>
      </w:pPr>
      <w:r>
        <w:fldChar w:fldCharType="begin"/>
      </w:r>
      <w:r>
        <w:instrText xml:space="preserve">HYPERLINK  \l "_Toc428781511" </w:instrText>
      </w:r>
      <w:r>
        <w:fldChar w:fldCharType="separate"/>
      </w:r>
      <w:r>
        <w:rPr>
          <w:rStyle w:val="26"/>
          <w:rFonts w:hint="eastAsia"/>
          <w:kern w:val="44"/>
        </w:rPr>
        <w:t>北京市契税管理规定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_Toc428781511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234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FBC5324">
      <w:pPr>
        <w:pStyle w:val="9"/>
        <w:tabs>
          <w:tab w:val="right" w:leader="middleDot" w:pos="8295"/>
          <w:tab w:val="clear" w:pos="8296"/>
        </w:tabs>
        <w:rPr>
          <w:rFonts w:ascii="Calibri" w:hAnsi="Calibri" w:eastAsia="宋体" w:cs="黑体"/>
        </w:rPr>
      </w:pPr>
      <w:r>
        <w:fldChar w:fldCharType="begin"/>
      </w:r>
      <w:r>
        <w:instrText xml:space="preserve">HYPERLINK  \l "_Toc428781512" </w:instrText>
      </w:r>
      <w:r>
        <w:fldChar w:fldCharType="separate"/>
      </w:r>
      <w:r>
        <w:rPr>
          <w:rStyle w:val="26"/>
          <w:rFonts w:hint="eastAsia"/>
          <w:kern w:val="44"/>
        </w:rPr>
        <w:t>北京市实施《中华人民共和国</w:t>
      </w:r>
      <w:r>
        <w:fldChar w:fldCharType="end"/>
      </w:r>
      <w:r>
        <w:fldChar w:fldCharType="begin"/>
      </w:r>
      <w:r>
        <w:instrText xml:space="preserve">HYPERLINK  \l "_Toc428781513" </w:instrText>
      </w:r>
      <w:r>
        <w:fldChar w:fldCharType="separate"/>
      </w:r>
      <w:r>
        <w:rPr>
          <w:rStyle w:val="26"/>
          <w:rFonts w:hint="eastAsia"/>
          <w:kern w:val="44"/>
        </w:rPr>
        <w:t>耕地占用税暂行条例》办法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_Toc428781513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236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E26DAB9">
      <w:pPr>
        <w:pStyle w:val="19"/>
        <w:tabs>
          <w:tab w:val="right" w:leader="middleDot" w:pos="8295"/>
          <w:tab w:val="clear" w:pos="8296"/>
        </w:tabs>
        <w:rPr>
          <w:rStyle w:val="26"/>
        </w:rPr>
      </w:pPr>
    </w:p>
    <w:p w14:paraId="230F2F11">
      <w:pPr>
        <w:pStyle w:val="19"/>
        <w:tabs>
          <w:tab w:val="right" w:leader="middleDot" w:pos="8295"/>
          <w:tab w:val="clear" w:pos="8296"/>
        </w:tabs>
        <w:rPr>
          <w:rStyle w:val="26"/>
        </w:rPr>
      </w:pPr>
      <w:r>
        <w:fldChar w:fldCharType="begin"/>
      </w:r>
      <w:r>
        <w:instrText xml:space="preserve">HYPERLINK  \l "_Toc428781514" </w:instrText>
      </w:r>
      <w:r>
        <w:fldChar w:fldCharType="separate"/>
      </w:r>
      <w:r>
        <w:rPr>
          <w:rStyle w:val="26"/>
          <w:rFonts w:hint="eastAsia"/>
        </w:rPr>
        <w:t>（三）交通运输</w:t>
      </w:r>
      <w:r>
        <w:fldChar w:fldCharType="end"/>
      </w:r>
    </w:p>
    <w:p w14:paraId="622262A4"/>
    <w:p w14:paraId="29D91CDF">
      <w:pPr>
        <w:pStyle w:val="9"/>
        <w:tabs>
          <w:tab w:val="right" w:leader="middleDot" w:pos="8295"/>
          <w:tab w:val="clear" w:pos="8296"/>
        </w:tabs>
        <w:rPr>
          <w:rFonts w:ascii="Calibri" w:hAnsi="Calibri" w:eastAsia="宋体" w:cs="黑体"/>
        </w:rPr>
      </w:pPr>
      <w:r>
        <w:fldChar w:fldCharType="begin"/>
      </w:r>
      <w:r>
        <w:instrText xml:space="preserve">HYPERLINK  \l "_Toc428781515" </w:instrText>
      </w:r>
      <w:r>
        <w:fldChar w:fldCharType="separate"/>
      </w:r>
      <w:r>
        <w:rPr>
          <w:rStyle w:val="26"/>
          <w:rFonts w:hint="eastAsia"/>
          <w:kern w:val="44"/>
        </w:rPr>
        <w:t>北京市出租汽车管理条例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_Toc428781515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237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525A0FA">
      <w:pPr>
        <w:pStyle w:val="9"/>
        <w:tabs>
          <w:tab w:val="right" w:leader="middleDot" w:pos="8295"/>
          <w:tab w:val="clear" w:pos="8296"/>
        </w:tabs>
        <w:rPr>
          <w:rFonts w:ascii="Calibri" w:hAnsi="Calibri" w:eastAsia="宋体" w:cs="黑体"/>
        </w:rPr>
      </w:pPr>
      <w:r>
        <w:fldChar w:fldCharType="begin"/>
      </w:r>
      <w:r>
        <w:instrText xml:space="preserve">HYPERLINK  \l "_Toc428781516" </w:instrText>
      </w:r>
      <w:r>
        <w:fldChar w:fldCharType="separate"/>
      </w:r>
      <w:r>
        <w:rPr>
          <w:rStyle w:val="26"/>
          <w:rFonts w:hint="eastAsia"/>
          <w:kern w:val="44"/>
        </w:rPr>
        <w:t>北京市实施《中华人民共和国</w:t>
      </w:r>
      <w:r>
        <w:fldChar w:fldCharType="end"/>
      </w:r>
      <w:r>
        <w:fldChar w:fldCharType="begin"/>
      </w:r>
      <w:r>
        <w:instrText xml:space="preserve">HYPERLINK  \l "_Toc428781517" </w:instrText>
      </w:r>
      <w:r>
        <w:fldChar w:fldCharType="separate"/>
      </w:r>
      <w:r>
        <w:rPr>
          <w:rStyle w:val="26"/>
          <w:rFonts w:hint="eastAsia"/>
          <w:kern w:val="44"/>
        </w:rPr>
        <w:t>道路交通安全法》办法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_Toc428781517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244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EC37C8D">
      <w:pPr>
        <w:pStyle w:val="9"/>
        <w:tabs>
          <w:tab w:val="right" w:leader="middleDot" w:pos="8295"/>
          <w:tab w:val="clear" w:pos="8296"/>
        </w:tabs>
        <w:rPr>
          <w:rFonts w:ascii="Calibri" w:hAnsi="Calibri" w:eastAsia="宋体" w:cs="黑体"/>
        </w:rPr>
      </w:pPr>
      <w:r>
        <w:fldChar w:fldCharType="begin"/>
      </w:r>
      <w:r>
        <w:instrText xml:space="preserve">HYPERLINK  \l "_Toc428781518" </w:instrText>
      </w:r>
      <w:r>
        <w:fldChar w:fldCharType="separate"/>
      </w:r>
      <w:r>
        <w:rPr>
          <w:rStyle w:val="26"/>
          <w:rFonts w:hint="eastAsia"/>
          <w:kern w:val="44"/>
        </w:rPr>
        <w:t>北京市公路条例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_Toc428781518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261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FEA7869">
      <w:pPr>
        <w:pStyle w:val="9"/>
        <w:tabs>
          <w:tab w:val="right" w:leader="middleDot" w:pos="8295"/>
          <w:tab w:val="clear" w:pos="8296"/>
        </w:tabs>
        <w:rPr>
          <w:rFonts w:ascii="Calibri" w:hAnsi="Calibri" w:eastAsia="宋体" w:cs="黑体"/>
        </w:rPr>
      </w:pPr>
      <w:r>
        <w:fldChar w:fldCharType="begin"/>
      </w:r>
      <w:r>
        <w:instrText xml:space="preserve">HYPERLINK  \l "_Toc428781519" </w:instrText>
      </w:r>
      <w:r>
        <w:fldChar w:fldCharType="separate"/>
      </w:r>
      <w:r>
        <w:rPr>
          <w:rStyle w:val="26"/>
          <w:rFonts w:hint="eastAsia"/>
          <w:kern w:val="44"/>
        </w:rPr>
        <w:t>北京市道路运输条例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_Toc428781519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268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F0A94F5">
      <w:pPr>
        <w:pStyle w:val="9"/>
        <w:tabs>
          <w:tab w:val="right" w:leader="middleDot" w:pos="8295"/>
          <w:tab w:val="clear" w:pos="8296"/>
        </w:tabs>
        <w:rPr>
          <w:rFonts w:ascii="Calibri" w:hAnsi="Calibri" w:eastAsia="宋体" w:cs="黑体"/>
        </w:rPr>
      </w:pPr>
      <w:r>
        <w:fldChar w:fldCharType="begin"/>
      </w:r>
      <w:r>
        <w:instrText xml:space="preserve">HYPERLINK  \l "_Toc428781520" </w:instrText>
      </w:r>
      <w:r>
        <w:fldChar w:fldCharType="separate"/>
      </w:r>
      <w:r>
        <w:rPr>
          <w:rStyle w:val="26"/>
          <w:rFonts w:hint="eastAsia"/>
          <w:kern w:val="44"/>
        </w:rPr>
        <w:t>北京市出租汽车计价器管理暂行规定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_Toc428781520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279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5AE835D">
      <w:pPr>
        <w:pStyle w:val="9"/>
        <w:tabs>
          <w:tab w:val="right" w:leader="middleDot" w:pos="8295"/>
          <w:tab w:val="clear" w:pos="8296"/>
        </w:tabs>
        <w:rPr>
          <w:rFonts w:ascii="Calibri" w:hAnsi="Calibri" w:eastAsia="宋体" w:cs="黑体"/>
        </w:rPr>
      </w:pPr>
      <w:r>
        <w:fldChar w:fldCharType="begin"/>
      </w:r>
      <w:r>
        <w:instrText xml:space="preserve">HYPERLINK  \l "_Toc428781521" </w:instrText>
      </w:r>
      <w:r>
        <w:fldChar w:fldCharType="separate"/>
      </w:r>
      <w:r>
        <w:rPr>
          <w:rStyle w:val="26"/>
          <w:rFonts w:hint="eastAsia"/>
          <w:kern w:val="44"/>
        </w:rPr>
        <w:t>北京市人力三轮车客货运输业管理办法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_Toc428781521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281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2DF3089">
      <w:pPr>
        <w:pStyle w:val="9"/>
        <w:tabs>
          <w:tab w:val="right" w:leader="middleDot" w:pos="8295"/>
          <w:tab w:val="clear" w:pos="8296"/>
        </w:tabs>
        <w:rPr>
          <w:rFonts w:ascii="Calibri" w:hAnsi="Calibri" w:eastAsia="宋体" w:cs="黑体"/>
        </w:rPr>
      </w:pPr>
      <w:r>
        <w:fldChar w:fldCharType="begin"/>
      </w:r>
      <w:r>
        <w:instrText xml:space="preserve">HYPERLINK  \l "_Toc428781522" </w:instrText>
      </w:r>
      <w:r>
        <w:fldChar w:fldCharType="separate"/>
      </w:r>
      <w:r>
        <w:rPr>
          <w:rStyle w:val="26"/>
          <w:rFonts w:hint="eastAsia"/>
          <w:kern w:val="44"/>
        </w:rPr>
        <w:t>北京市铁路干线两侧隔离带</w:t>
      </w:r>
      <w:r>
        <w:fldChar w:fldCharType="end"/>
      </w:r>
      <w:r>
        <w:fldChar w:fldCharType="begin"/>
      </w:r>
      <w:r>
        <w:instrText xml:space="preserve">HYPERLINK  \l "_Toc428781523" </w:instrText>
      </w:r>
      <w:r>
        <w:fldChar w:fldCharType="separate"/>
      </w:r>
      <w:r>
        <w:rPr>
          <w:rStyle w:val="26"/>
          <w:rFonts w:hint="eastAsia"/>
          <w:kern w:val="44"/>
        </w:rPr>
        <w:t>规划建设管理暂行规定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_Toc428781523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283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FEBF388">
      <w:pPr>
        <w:pStyle w:val="9"/>
        <w:tabs>
          <w:tab w:val="right" w:leader="middleDot" w:pos="8295"/>
          <w:tab w:val="clear" w:pos="8296"/>
        </w:tabs>
        <w:rPr>
          <w:rFonts w:ascii="Calibri" w:hAnsi="Calibri" w:eastAsia="宋体" w:cs="黑体"/>
        </w:rPr>
      </w:pPr>
      <w:r>
        <w:fldChar w:fldCharType="begin"/>
      </w:r>
      <w:r>
        <w:instrText xml:space="preserve">HYPERLINK  \l "_Toc428781524" </w:instrText>
      </w:r>
      <w:r>
        <w:fldChar w:fldCharType="separate"/>
      </w:r>
      <w:r>
        <w:rPr>
          <w:rStyle w:val="26"/>
          <w:rFonts w:hint="eastAsia"/>
          <w:kern w:val="44"/>
        </w:rPr>
        <w:t>北京市大中型公共建筑停车场</w:t>
      </w:r>
      <w:r>
        <w:fldChar w:fldCharType="end"/>
      </w:r>
      <w:r>
        <w:fldChar w:fldCharType="begin"/>
      </w:r>
      <w:r>
        <w:instrText xml:space="preserve">HYPERLINK  \l "_Toc428781525" </w:instrText>
      </w:r>
      <w:r>
        <w:fldChar w:fldCharType="separate"/>
      </w:r>
      <w:r>
        <w:rPr>
          <w:rStyle w:val="26"/>
          <w:rFonts w:hint="eastAsia"/>
          <w:kern w:val="44"/>
        </w:rPr>
        <w:t>建设管理暂行规定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_Toc428781525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285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0A1F64D">
      <w:pPr>
        <w:pStyle w:val="9"/>
        <w:tabs>
          <w:tab w:val="right" w:leader="middleDot" w:pos="8295"/>
          <w:tab w:val="clear" w:pos="8296"/>
        </w:tabs>
        <w:rPr>
          <w:rFonts w:ascii="Calibri" w:hAnsi="Calibri" w:eastAsia="宋体" w:cs="黑体"/>
        </w:rPr>
      </w:pPr>
      <w:r>
        <w:fldChar w:fldCharType="begin"/>
      </w:r>
      <w:r>
        <w:instrText xml:space="preserve">HYPERLINK  \l "_Toc428781526" </w:instrText>
      </w:r>
      <w:r>
        <w:fldChar w:fldCharType="separate"/>
      </w:r>
      <w:r>
        <w:rPr>
          <w:rStyle w:val="26"/>
          <w:rFonts w:hint="eastAsia"/>
          <w:kern w:val="44"/>
        </w:rPr>
        <w:t>北京市铁路专用线共用管理办法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_Toc428781526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287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078130A">
      <w:pPr>
        <w:pStyle w:val="9"/>
        <w:tabs>
          <w:tab w:val="right" w:leader="middleDot" w:pos="8295"/>
          <w:tab w:val="clear" w:pos="8296"/>
        </w:tabs>
        <w:rPr>
          <w:rFonts w:ascii="Calibri" w:hAnsi="Calibri" w:eastAsia="宋体" w:cs="黑体"/>
        </w:rPr>
      </w:pPr>
      <w:r>
        <w:fldChar w:fldCharType="begin"/>
      </w:r>
      <w:r>
        <w:instrText xml:space="preserve">HYPERLINK  \l "_Toc428781527" </w:instrText>
      </w:r>
      <w:r>
        <w:fldChar w:fldCharType="separate"/>
      </w:r>
      <w:r>
        <w:rPr>
          <w:rStyle w:val="26"/>
          <w:rFonts w:hint="eastAsia"/>
          <w:kern w:val="44"/>
        </w:rPr>
        <w:t>北京市地下铁道列车车票使用办法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_Toc428781527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289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C31C8DF">
      <w:pPr>
        <w:pStyle w:val="9"/>
        <w:tabs>
          <w:tab w:val="right" w:leader="middleDot" w:pos="8295"/>
          <w:tab w:val="clear" w:pos="8296"/>
        </w:tabs>
        <w:rPr>
          <w:rFonts w:ascii="Calibri" w:hAnsi="Calibri" w:eastAsia="宋体" w:cs="黑体"/>
        </w:rPr>
      </w:pPr>
      <w:r>
        <w:fldChar w:fldCharType="begin"/>
      </w:r>
      <w:r>
        <w:instrText xml:space="preserve">HYPERLINK  \l "_Toc428781528" </w:instrText>
      </w:r>
      <w:r>
        <w:fldChar w:fldCharType="separate"/>
      </w:r>
      <w:r>
        <w:rPr>
          <w:rStyle w:val="26"/>
          <w:rFonts w:hint="eastAsia"/>
          <w:kern w:val="44"/>
        </w:rPr>
        <w:t>北京市地下铁道通风亭管理规定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_Toc428781528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290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CC7A2AC">
      <w:pPr>
        <w:pStyle w:val="9"/>
        <w:tabs>
          <w:tab w:val="right" w:leader="middleDot" w:pos="8295"/>
          <w:tab w:val="clear" w:pos="8296"/>
        </w:tabs>
        <w:rPr>
          <w:rFonts w:ascii="Calibri" w:hAnsi="Calibri" w:eastAsia="宋体" w:cs="黑体"/>
        </w:rPr>
      </w:pPr>
      <w:r>
        <w:fldChar w:fldCharType="begin"/>
      </w:r>
      <w:r>
        <w:instrText xml:space="preserve">HYPERLINK  \l "_Toc428781529" </w:instrText>
      </w:r>
      <w:r>
        <w:fldChar w:fldCharType="separate"/>
      </w:r>
      <w:r>
        <w:rPr>
          <w:rStyle w:val="26"/>
          <w:rFonts w:hint="eastAsia"/>
          <w:kern w:val="44"/>
        </w:rPr>
        <w:t>北京市人民政府关于禁止车辆</w:t>
      </w:r>
      <w:r>
        <w:fldChar w:fldCharType="end"/>
      </w:r>
      <w:r>
        <w:fldChar w:fldCharType="begin"/>
      </w:r>
      <w:r>
        <w:instrText xml:space="preserve">HYPERLINK  \l "_Toc428781530" </w:instrText>
      </w:r>
      <w:r>
        <w:fldChar w:fldCharType="separate"/>
      </w:r>
      <w:r>
        <w:rPr>
          <w:rStyle w:val="26"/>
          <w:rFonts w:hint="eastAsia"/>
          <w:kern w:val="44"/>
        </w:rPr>
        <w:t>运输泄漏遗撒的规定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_Toc428781530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291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B3FA3CB">
      <w:pPr>
        <w:pStyle w:val="9"/>
        <w:tabs>
          <w:tab w:val="right" w:leader="middleDot" w:pos="8295"/>
          <w:tab w:val="clear" w:pos="8296"/>
        </w:tabs>
        <w:rPr>
          <w:rFonts w:ascii="Calibri" w:hAnsi="Calibri" w:eastAsia="宋体" w:cs="黑体"/>
        </w:rPr>
      </w:pPr>
      <w:r>
        <w:fldChar w:fldCharType="begin"/>
      </w:r>
      <w:r>
        <w:instrText xml:space="preserve">HYPERLINK  \l "_Toc428781531" </w:instrText>
      </w:r>
      <w:r>
        <w:fldChar w:fldCharType="separate"/>
      </w:r>
      <w:r>
        <w:rPr>
          <w:rStyle w:val="26"/>
          <w:rFonts w:hint="eastAsia"/>
          <w:kern w:val="44"/>
        </w:rPr>
        <w:t>北京市公共汽车电车车票使用办法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_Toc428781531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293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49208BD">
      <w:pPr>
        <w:pStyle w:val="9"/>
        <w:tabs>
          <w:tab w:val="right" w:leader="middleDot" w:pos="8295"/>
          <w:tab w:val="clear" w:pos="8296"/>
        </w:tabs>
        <w:rPr>
          <w:rFonts w:ascii="Calibri" w:hAnsi="Calibri" w:eastAsia="宋体" w:cs="黑体"/>
        </w:rPr>
      </w:pPr>
      <w:r>
        <w:fldChar w:fldCharType="begin"/>
      </w:r>
      <w:r>
        <w:instrText xml:space="preserve">HYPERLINK  \l "_Toc428781532" </w:instrText>
      </w:r>
      <w:r>
        <w:fldChar w:fldCharType="separate"/>
      </w:r>
      <w:r>
        <w:rPr>
          <w:rStyle w:val="26"/>
          <w:rFonts w:hint="eastAsia"/>
          <w:kern w:val="44"/>
        </w:rPr>
        <w:t>北京市非机动车停车管理办法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_Toc428781532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294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E05A2A6">
      <w:pPr>
        <w:pStyle w:val="9"/>
        <w:tabs>
          <w:tab w:val="right" w:leader="middleDot" w:pos="8295"/>
          <w:tab w:val="clear" w:pos="8296"/>
        </w:tabs>
        <w:rPr>
          <w:rFonts w:ascii="Calibri" w:hAnsi="Calibri" w:eastAsia="宋体" w:cs="黑体"/>
        </w:rPr>
      </w:pPr>
      <w:r>
        <w:fldChar w:fldCharType="begin"/>
      </w:r>
      <w:r>
        <w:instrText xml:space="preserve">HYPERLINK  \l "_Toc428781533" </w:instrText>
      </w:r>
      <w:r>
        <w:fldChar w:fldCharType="separate"/>
      </w:r>
      <w:r>
        <w:rPr>
          <w:rStyle w:val="26"/>
          <w:rFonts w:hint="eastAsia"/>
          <w:kern w:val="44"/>
        </w:rPr>
        <w:t>北京市城市轨道交通安全运营管理办法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_Toc428781533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296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8769C52">
      <w:pPr>
        <w:pStyle w:val="9"/>
        <w:tabs>
          <w:tab w:val="right" w:leader="middleDot" w:pos="8295"/>
          <w:tab w:val="clear" w:pos="8296"/>
        </w:tabs>
        <w:rPr>
          <w:rFonts w:ascii="Calibri" w:hAnsi="Calibri" w:eastAsia="宋体" w:cs="黑体"/>
        </w:rPr>
      </w:pPr>
      <w:r>
        <w:fldChar w:fldCharType="begin"/>
      </w:r>
      <w:r>
        <w:instrText xml:space="preserve">HYPERLINK  \l "_Toc428781534" </w:instrText>
      </w:r>
      <w:r>
        <w:fldChar w:fldCharType="separate"/>
      </w:r>
      <w:r>
        <w:rPr>
          <w:rStyle w:val="26"/>
          <w:rFonts w:hint="eastAsia"/>
          <w:kern w:val="44"/>
        </w:rPr>
        <w:t>北京市城市道路管理办法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_Toc428781534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302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13D5460">
      <w:pPr>
        <w:pStyle w:val="9"/>
        <w:tabs>
          <w:tab w:val="right" w:leader="middleDot" w:pos="8295"/>
          <w:tab w:val="clear" w:pos="8296"/>
        </w:tabs>
        <w:rPr>
          <w:rFonts w:ascii="Calibri" w:hAnsi="Calibri" w:eastAsia="宋体" w:cs="黑体"/>
        </w:rPr>
      </w:pPr>
      <w:r>
        <w:fldChar w:fldCharType="begin"/>
      </w:r>
      <w:r>
        <w:instrText xml:space="preserve">HYPERLINK  \l "_Toc428781535" </w:instrText>
      </w:r>
      <w:r>
        <w:fldChar w:fldCharType="separate"/>
      </w:r>
      <w:r>
        <w:rPr>
          <w:rStyle w:val="26"/>
          <w:rFonts w:hint="eastAsia"/>
          <w:kern w:val="44"/>
        </w:rPr>
        <w:t>北京市道路交通安全防范责任制管理办法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_Toc428781535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306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6152DE0">
      <w:pPr>
        <w:pStyle w:val="9"/>
        <w:tabs>
          <w:tab w:val="right" w:leader="middleDot" w:pos="8295"/>
          <w:tab w:val="clear" w:pos="8296"/>
        </w:tabs>
        <w:rPr>
          <w:rFonts w:hint="eastAsia" w:ascii="华文宋体" w:hAnsi="华文宋体" w:eastAsia="华文宋体" w:cs="华文宋体"/>
          <w:sz w:val="24"/>
          <w:szCs w:val="24"/>
        </w:rPr>
      </w:pPr>
      <w:r>
        <w:fldChar w:fldCharType="begin"/>
      </w:r>
      <w:r>
        <w:instrText xml:space="preserve">HYPERLINK  \l "_Toc428781536" </w:instrText>
      </w:r>
      <w:r>
        <w:fldChar w:fldCharType="separate"/>
      </w:r>
      <w:r>
        <w:rPr>
          <w:rStyle w:val="26"/>
          <w:rFonts w:hint="eastAsia"/>
          <w:kern w:val="44"/>
        </w:rPr>
        <w:t>北京市民用机场净空保护区域管理若干规定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_Toc428781536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308</w:t>
      </w:r>
      <w:r>
        <w:rPr>
          <w:rFonts w:hint="eastAsia" w:ascii="华文宋体" w:hAnsi="华文宋体" w:eastAsia="华文宋体" w:cs="华文宋体"/>
          <w:sz w:val="24"/>
          <w:szCs w:val="24"/>
        </w:rPr>
        <w:fldChar w:fldCharType="end"/>
      </w:r>
      <w:r>
        <w:fldChar w:fldCharType="end"/>
      </w:r>
    </w:p>
    <w:p w14:paraId="471C4A51">
      <w:pPr>
        <w:pStyle w:val="9"/>
        <w:tabs>
          <w:tab w:val="right" w:leader="middleDot" w:pos="8295"/>
          <w:tab w:val="clear" w:pos="8296"/>
        </w:tabs>
        <w:rPr>
          <w:rFonts w:ascii="Calibri" w:hAnsi="Calibri" w:eastAsia="宋体" w:cs="黑体"/>
        </w:rPr>
      </w:pPr>
      <w:r>
        <w:fldChar w:fldCharType="begin"/>
      </w:r>
      <w:r>
        <w:instrText xml:space="preserve">HYPERLINK  \l "_Toc428781537" </w:instrText>
      </w:r>
      <w:r>
        <w:fldChar w:fldCharType="separate"/>
      </w:r>
      <w:r>
        <w:rPr>
          <w:rStyle w:val="26"/>
          <w:rFonts w:hint="eastAsia" w:ascii="黑体" w:hAnsi="黑体"/>
          <w:kern w:val="44"/>
        </w:rPr>
        <w:t>北京市小客车数量调控暂行规定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_Toc428781537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310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EBB0B1E">
      <w:pPr>
        <w:pStyle w:val="9"/>
        <w:tabs>
          <w:tab w:val="right" w:leader="middleDot" w:pos="8295"/>
          <w:tab w:val="clear" w:pos="8296"/>
        </w:tabs>
        <w:rPr>
          <w:rFonts w:ascii="Calibri" w:hAnsi="Calibri" w:eastAsia="宋体" w:cs="黑体"/>
        </w:rPr>
      </w:pPr>
      <w:r>
        <w:fldChar w:fldCharType="begin"/>
      </w:r>
      <w:r>
        <w:instrText xml:space="preserve">HYPERLINK  \l "_Toc428781538" </w:instrText>
      </w:r>
      <w:r>
        <w:fldChar w:fldCharType="separate"/>
      </w:r>
      <w:r>
        <w:rPr>
          <w:rStyle w:val="26"/>
          <w:rFonts w:hint="eastAsia"/>
          <w:kern w:val="44"/>
        </w:rPr>
        <w:t>北京市汽车租赁管理办法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_Toc428781538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312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1103B5E">
      <w:pPr>
        <w:pStyle w:val="9"/>
        <w:tabs>
          <w:tab w:val="right" w:leader="middleDot" w:pos="8295"/>
          <w:tab w:val="clear" w:pos="8296"/>
        </w:tabs>
        <w:rPr>
          <w:rFonts w:ascii="Calibri" w:hAnsi="Calibri" w:eastAsia="宋体" w:cs="黑体"/>
        </w:rPr>
      </w:pPr>
      <w:r>
        <w:fldChar w:fldCharType="begin"/>
      </w:r>
      <w:r>
        <w:instrText xml:space="preserve">HYPERLINK  \l "_Toc428781539" </w:instrText>
      </w:r>
      <w:r>
        <w:fldChar w:fldCharType="separate"/>
      </w:r>
      <w:r>
        <w:rPr>
          <w:rStyle w:val="26"/>
          <w:rFonts w:hint="eastAsia"/>
          <w:kern w:val="44"/>
        </w:rPr>
        <w:t>北京市机动车停车管理办法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_Toc428781539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316</w:t>
      </w:r>
      <w:r>
        <w:rPr>
          <w:rFonts w:hint="eastAsia" w:ascii="华文宋体" w:hAnsi="华文宋体" w:eastAsia="华文宋体" w:cs="华文宋体"/>
          <w:sz w:val="24"/>
          <w:szCs w:val="24"/>
        </w:rPr>
        <w:fldChar w:fldCharType="end"/>
      </w:r>
      <w:r>
        <w:fldChar w:fldCharType="end"/>
      </w:r>
    </w:p>
    <w:p w14:paraId="6FBBA578">
      <w:pPr>
        <w:pStyle w:val="9"/>
        <w:tabs>
          <w:tab w:val="right" w:leader="middleDot" w:pos="8295"/>
          <w:tab w:val="clear" w:pos="8296"/>
        </w:tabs>
        <w:rPr>
          <w:rFonts w:ascii="Calibri" w:hAnsi="Calibri" w:eastAsia="宋体" w:cs="黑体"/>
        </w:rPr>
      </w:pPr>
      <w:r>
        <w:fldChar w:fldCharType="begin"/>
      </w:r>
      <w:r>
        <w:instrText xml:space="preserve">HYPERLINK  \l "_Toc428781540" </w:instrText>
      </w:r>
      <w:r>
        <w:fldChar w:fldCharType="separate"/>
      </w:r>
      <w:r>
        <w:rPr>
          <w:rStyle w:val="26"/>
          <w:rFonts w:hint="eastAsia"/>
          <w:kern w:val="44"/>
        </w:rPr>
        <w:t>北京市民用运输机场管理办法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_Toc428781540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322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A406938">
      <w:pPr>
        <w:pStyle w:val="19"/>
        <w:tabs>
          <w:tab w:val="right" w:leader="middleDot" w:pos="8295"/>
          <w:tab w:val="clear" w:pos="8296"/>
        </w:tabs>
        <w:rPr>
          <w:rStyle w:val="26"/>
        </w:rPr>
      </w:pPr>
    </w:p>
    <w:p w14:paraId="313CF2FA">
      <w:pPr>
        <w:pStyle w:val="19"/>
        <w:tabs>
          <w:tab w:val="right" w:leader="middleDot" w:pos="8295"/>
          <w:tab w:val="clear" w:pos="8296"/>
        </w:tabs>
        <w:rPr>
          <w:rStyle w:val="26"/>
        </w:rPr>
      </w:pPr>
      <w:r>
        <w:fldChar w:fldCharType="begin"/>
      </w:r>
      <w:r>
        <w:instrText xml:space="preserve">HYPERLINK  \l "_Toc428781541" </w:instrText>
      </w:r>
      <w:r>
        <w:fldChar w:fldCharType="separate"/>
      </w:r>
      <w:r>
        <w:rPr>
          <w:rStyle w:val="26"/>
          <w:rFonts w:hint="eastAsia"/>
        </w:rPr>
        <w:t>（四）信息通讯</w:t>
      </w:r>
      <w:r>
        <w:fldChar w:fldCharType="end"/>
      </w:r>
    </w:p>
    <w:p w14:paraId="4B30B9D8"/>
    <w:p w14:paraId="56A99B08">
      <w:pPr>
        <w:pStyle w:val="9"/>
        <w:tabs>
          <w:tab w:val="right" w:leader="middleDot" w:pos="8295"/>
          <w:tab w:val="clear" w:pos="8296"/>
        </w:tabs>
        <w:rPr>
          <w:rFonts w:ascii="Calibri" w:hAnsi="Calibri" w:eastAsia="宋体" w:cs="黑体"/>
        </w:rPr>
      </w:pPr>
      <w:r>
        <w:fldChar w:fldCharType="begin"/>
      </w:r>
      <w:r>
        <w:instrText xml:space="preserve">HYPERLINK  \l "_Toc428781542" </w:instrText>
      </w:r>
      <w:r>
        <w:fldChar w:fldCharType="separate"/>
      </w:r>
      <w:r>
        <w:rPr>
          <w:rStyle w:val="26"/>
          <w:rFonts w:hint="eastAsia"/>
          <w:kern w:val="44"/>
        </w:rPr>
        <w:t>北京市邮政通信条例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_Toc428781542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325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AE98BE2">
      <w:pPr>
        <w:pStyle w:val="9"/>
        <w:tabs>
          <w:tab w:val="right" w:leader="middleDot" w:pos="8295"/>
          <w:tab w:val="clear" w:pos="8296"/>
        </w:tabs>
        <w:rPr>
          <w:rFonts w:ascii="Calibri" w:hAnsi="Calibri" w:eastAsia="宋体" w:cs="黑体"/>
        </w:rPr>
      </w:pPr>
      <w:r>
        <w:fldChar w:fldCharType="begin"/>
      </w:r>
      <w:r>
        <w:instrText xml:space="preserve">HYPERLINK  \l "_Toc428781543" </w:instrText>
      </w:r>
      <w:r>
        <w:fldChar w:fldCharType="separate"/>
      </w:r>
      <w:r>
        <w:rPr>
          <w:rStyle w:val="26"/>
          <w:rFonts w:hint="eastAsia"/>
          <w:kern w:val="44"/>
        </w:rPr>
        <w:t>北京市信息化促进条例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_Toc428781543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330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EF6916E">
      <w:pPr>
        <w:pStyle w:val="9"/>
        <w:tabs>
          <w:tab w:val="right" w:leader="middleDot" w:pos="8295"/>
          <w:tab w:val="clear" w:pos="8296"/>
        </w:tabs>
        <w:rPr>
          <w:rFonts w:ascii="Calibri" w:hAnsi="Calibri" w:eastAsia="宋体" w:cs="黑体"/>
        </w:rPr>
      </w:pPr>
      <w:r>
        <w:fldChar w:fldCharType="begin"/>
      </w:r>
      <w:r>
        <w:instrText xml:space="preserve">HYPERLINK  \l "_Toc428781544" </w:instrText>
      </w:r>
      <w:r>
        <w:fldChar w:fldCharType="separate"/>
      </w:r>
      <w:r>
        <w:rPr>
          <w:rStyle w:val="26"/>
          <w:rFonts w:hint="eastAsia"/>
          <w:kern w:val="44"/>
        </w:rPr>
        <w:t>北京市人民政府关于居民楼</w:t>
      </w:r>
      <w:r>
        <w:fldChar w:fldCharType="end"/>
      </w:r>
      <w:r>
        <w:fldChar w:fldCharType="begin"/>
      </w:r>
      <w:r>
        <w:instrText xml:space="preserve">HYPERLINK  \l "_Toc428781545" </w:instrText>
      </w:r>
      <w:r>
        <w:fldChar w:fldCharType="separate"/>
      </w:r>
      <w:r>
        <w:rPr>
          <w:rStyle w:val="26"/>
          <w:rFonts w:hint="eastAsia"/>
          <w:kern w:val="44"/>
        </w:rPr>
        <w:t>邮政工作的若干规定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_Toc428781545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336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3A0580B">
      <w:pPr>
        <w:pStyle w:val="9"/>
        <w:tabs>
          <w:tab w:val="right" w:leader="middleDot" w:pos="8295"/>
          <w:tab w:val="clear" w:pos="8296"/>
        </w:tabs>
        <w:rPr>
          <w:rFonts w:ascii="Calibri" w:hAnsi="Calibri" w:eastAsia="宋体" w:cs="黑体"/>
        </w:rPr>
      </w:pPr>
      <w:r>
        <w:fldChar w:fldCharType="begin"/>
      </w:r>
      <w:r>
        <w:instrText xml:space="preserve">HYPERLINK  \l "_Toc428781546" </w:instrText>
      </w:r>
      <w:r>
        <w:fldChar w:fldCharType="separate"/>
      </w:r>
      <w:r>
        <w:rPr>
          <w:rStyle w:val="26"/>
          <w:rFonts w:hint="eastAsia"/>
          <w:kern w:val="44"/>
        </w:rPr>
        <w:t>北京市邮票和集邮品管理办法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_Toc428781546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338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F457A80">
      <w:pPr>
        <w:pStyle w:val="9"/>
        <w:tabs>
          <w:tab w:val="right" w:leader="middleDot" w:pos="8295"/>
          <w:tab w:val="clear" w:pos="8296"/>
        </w:tabs>
        <w:rPr>
          <w:rFonts w:ascii="Calibri" w:hAnsi="Calibri" w:eastAsia="宋体" w:cs="黑体"/>
        </w:rPr>
      </w:pPr>
      <w:r>
        <w:fldChar w:fldCharType="begin"/>
      </w:r>
      <w:r>
        <w:instrText xml:space="preserve">HYPERLINK  \l "_Toc428781547" </w:instrText>
      </w:r>
      <w:r>
        <w:fldChar w:fldCharType="separate"/>
      </w:r>
      <w:r>
        <w:rPr>
          <w:rStyle w:val="26"/>
          <w:rFonts w:hint="eastAsia"/>
          <w:kern w:val="44"/>
        </w:rPr>
        <w:t>北京市政务与公共服务信息化</w:t>
      </w:r>
      <w:r>
        <w:fldChar w:fldCharType="end"/>
      </w:r>
      <w:r>
        <w:fldChar w:fldCharType="begin"/>
      </w:r>
      <w:r>
        <w:instrText xml:space="preserve">HYPERLINK  \l "_Toc428781548" </w:instrText>
      </w:r>
      <w:r>
        <w:fldChar w:fldCharType="separate"/>
      </w:r>
      <w:r>
        <w:rPr>
          <w:rStyle w:val="26"/>
          <w:rFonts w:hint="eastAsia"/>
          <w:kern w:val="44"/>
        </w:rPr>
        <w:t>工程建设管理办法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_Toc428781548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340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FAAF497">
      <w:pPr>
        <w:pStyle w:val="9"/>
        <w:tabs>
          <w:tab w:val="right" w:leader="middleDot" w:pos="8295"/>
          <w:tab w:val="clear" w:pos="8296"/>
        </w:tabs>
        <w:rPr>
          <w:rFonts w:ascii="Calibri" w:hAnsi="Calibri" w:eastAsia="宋体" w:cs="黑体"/>
        </w:rPr>
      </w:pPr>
      <w:r>
        <w:fldChar w:fldCharType="begin"/>
      </w:r>
      <w:r>
        <w:instrText xml:space="preserve">HYPERLINK  \l "_Toc428781549" </w:instrText>
      </w:r>
      <w:r>
        <w:fldChar w:fldCharType="separate"/>
      </w:r>
      <w:r>
        <w:rPr>
          <w:rStyle w:val="26"/>
          <w:rFonts w:hint="eastAsia"/>
          <w:kern w:val="44"/>
        </w:rPr>
        <w:t>北京市邮政通信设施建设与使用管理规定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_Toc428781549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342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9190EE8">
      <w:pPr>
        <w:pStyle w:val="9"/>
        <w:tabs>
          <w:tab w:val="right" w:leader="middleDot" w:pos="8295"/>
          <w:tab w:val="clear" w:pos="8296"/>
        </w:tabs>
        <w:rPr>
          <w:rFonts w:ascii="Calibri" w:hAnsi="Calibri" w:eastAsia="宋体" w:cs="黑体"/>
        </w:rPr>
      </w:pPr>
      <w:r>
        <w:fldChar w:fldCharType="begin"/>
      </w:r>
      <w:r>
        <w:instrText xml:space="preserve">HYPERLINK  \l "_Toc428781550" </w:instrText>
      </w:r>
      <w:r>
        <w:fldChar w:fldCharType="separate"/>
      </w:r>
      <w:r>
        <w:rPr>
          <w:rStyle w:val="26"/>
          <w:rFonts w:hint="eastAsia"/>
          <w:kern w:val="44"/>
        </w:rPr>
        <w:t>北京市公共服务网络与信息系统安全管理规定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_Toc428781550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344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BD4729D">
      <w:pPr>
        <w:pStyle w:val="9"/>
        <w:tabs>
          <w:tab w:val="right" w:leader="middleDot" w:pos="8295"/>
          <w:tab w:val="clear" w:pos="8296"/>
        </w:tabs>
        <w:rPr>
          <w:rFonts w:ascii="Calibri" w:hAnsi="Calibri" w:eastAsia="宋体" w:cs="黑体"/>
        </w:rPr>
      </w:pPr>
      <w:r>
        <w:fldChar w:fldCharType="begin"/>
      </w:r>
      <w:r>
        <w:instrText xml:space="preserve">HYPERLINK  \l "_Toc428781551" </w:instrText>
      </w:r>
      <w:r>
        <w:fldChar w:fldCharType="separate"/>
      </w:r>
      <w:r>
        <w:rPr>
          <w:rStyle w:val="26"/>
          <w:rFonts w:hint="eastAsia"/>
          <w:kern w:val="44"/>
        </w:rPr>
        <w:t>北京市无线电管理办法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_Toc428781551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346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2D923AB">
      <w:pPr>
        <w:pStyle w:val="9"/>
        <w:tabs>
          <w:tab w:val="right" w:leader="middleDot" w:pos="8295"/>
          <w:tab w:val="clear" w:pos="8296"/>
        </w:tabs>
        <w:rPr>
          <w:rFonts w:ascii="Calibri" w:hAnsi="Calibri" w:eastAsia="宋体" w:cs="黑体"/>
        </w:rPr>
      </w:pPr>
      <w:r>
        <w:fldChar w:fldCharType="begin"/>
      </w:r>
      <w:r>
        <w:instrText xml:space="preserve">HYPERLINK  \l "_Toc428781552" </w:instrText>
      </w:r>
      <w:r>
        <w:fldChar w:fldCharType="separate"/>
      </w:r>
      <w:r>
        <w:rPr>
          <w:rStyle w:val="26"/>
          <w:rFonts w:hint="eastAsia"/>
          <w:kern w:val="44"/>
        </w:rPr>
        <w:t>北京市快递安全管理办法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_Toc428781552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350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EC57EE9">
      <w:pPr>
        <w:pStyle w:val="19"/>
        <w:tabs>
          <w:tab w:val="right" w:leader="middleDot" w:pos="8295"/>
          <w:tab w:val="clear" w:pos="8296"/>
        </w:tabs>
        <w:rPr>
          <w:rStyle w:val="26"/>
        </w:rPr>
      </w:pPr>
    </w:p>
    <w:p w14:paraId="236977F1">
      <w:pPr>
        <w:pStyle w:val="19"/>
        <w:tabs>
          <w:tab w:val="right" w:leader="middleDot" w:pos="8295"/>
          <w:tab w:val="clear" w:pos="8296"/>
        </w:tabs>
        <w:rPr>
          <w:rStyle w:val="26"/>
        </w:rPr>
      </w:pPr>
      <w:r>
        <w:fldChar w:fldCharType="begin"/>
      </w:r>
      <w:r>
        <w:instrText xml:space="preserve">HYPERLINK  \l "_Toc428781553" </w:instrText>
      </w:r>
      <w:r>
        <w:fldChar w:fldCharType="separate"/>
      </w:r>
      <w:r>
        <w:rPr>
          <w:rStyle w:val="26"/>
          <w:rFonts w:hint="eastAsia"/>
        </w:rPr>
        <w:t>（五）城乡规划建设</w:t>
      </w:r>
      <w:r>
        <w:fldChar w:fldCharType="end"/>
      </w:r>
    </w:p>
    <w:p w14:paraId="651EF63D"/>
    <w:p w14:paraId="5FA94CAA">
      <w:pPr>
        <w:pStyle w:val="9"/>
        <w:tabs>
          <w:tab w:val="right" w:leader="middleDot" w:pos="8295"/>
          <w:tab w:val="clear" w:pos="8296"/>
        </w:tabs>
        <w:rPr>
          <w:rFonts w:ascii="Calibri" w:hAnsi="Calibri" w:eastAsia="宋体" w:cs="黑体"/>
        </w:rPr>
      </w:pPr>
      <w:r>
        <w:fldChar w:fldCharType="begin"/>
      </w:r>
      <w:r>
        <w:instrText xml:space="preserve">HYPERLINK  \l "_Toc428781554" </w:instrText>
      </w:r>
      <w:r>
        <w:fldChar w:fldCharType="separate"/>
      </w:r>
      <w:r>
        <w:rPr>
          <w:rStyle w:val="26"/>
          <w:rFonts w:hint="eastAsia"/>
          <w:kern w:val="44"/>
        </w:rPr>
        <w:t>北京市招标投标条例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_Toc428781554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353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20C13FD">
      <w:pPr>
        <w:pStyle w:val="9"/>
        <w:tabs>
          <w:tab w:val="right" w:leader="middleDot" w:pos="8295"/>
          <w:tab w:val="clear" w:pos="8296"/>
        </w:tabs>
        <w:rPr>
          <w:rFonts w:ascii="Calibri" w:hAnsi="Calibri" w:eastAsia="宋体" w:cs="黑体"/>
        </w:rPr>
      </w:pPr>
      <w:r>
        <w:fldChar w:fldCharType="begin"/>
      </w:r>
      <w:r>
        <w:instrText xml:space="preserve">HYPERLINK  \l "_Toc428781555" </w:instrText>
      </w:r>
      <w:r>
        <w:fldChar w:fldCharType="separate"/>
      </w:r>
      <w:r>
        <w:rPr>
          <w:rStyle w:val="26"/>
          <w:rFonts w:hint="eastAsia"/>
          <w:kern w:val="44"/>
        </w:rPr>
        <w:t>北京市城市基础设施特许经营条例</w:t>
      </w:r>
      <w:r>
        <w:rPr>
          <w:rFonts w:hint="eastAsia" w:ascii="创艺简中圆" w:hAnsi="创艺简中圆" w:eastAsia="创艺简中圆" w:cs="创艺简中圆"/>
        </w:rPr>
        <w:tab/>
      </w:r>
      <w:r>
        <w:rPr>
          <w:rFonts w:hint="eastAsia" w:ascii="华文宋体" w:hAnsi="华文宋体" w:eastAsia="华文宋体" w:cs="华文宋体"/>
          <w:kern w:val="2"/>
          <w:sz w:val="24"/>
          <w:szCs w:val="24"/>
          <w:lang w:val="en-US" w:eastAsia="zh-CN" w:bidi="ar-SA"/>
        </w:rPr>
        <w:fldChar w:fldCharType="begin"/>
      </w:r>
      <w:r>
        <w:rPr>
          <w:rFonts w:hint="eastAsia" w:ascii="华文宋体" w:hAnsi="华文宋体" w:eastAsia="华文宋体" w:cs="华文宋体"/>
          <w:kern w:val="2"/>
          <w:sz w:val="24"/>
          <w:szCs w:val="24"/>
          <w:lang w:val="en-US" w:eastAsia="zh-CN" w:bidi="ar-SA"/>
        </w:rPr>
        <w:instrText xml:space="preserve"> PAGEREF _Toc428781555 \h </w:instrText>
      </w:r>
      <w:r>
        <w:rPr>
          <w:rFonts w:hint="eastAsia" w:ascii="华文宋体" w:hAnsi="华文宋体" w:eastAsia="华文宋体" w:cs="华文宋体"/>
          <w:kern w:val="2"/>
          <w:sz w:val="24"/>
          <w:szCs w:val="24"/>
          <w:lang w:val="en-US" w:eastAsia="zh-CN" w:bidi="ar-SA"/>
        </w:rPr>
        <w:fldChar w:fldCharType="separate"/>
      </w:r>
      <w:r>
        <w:rPr>
          <w:rFonts w:hint="eastAsia" w:ascii="华文宋体" w:hAnsi="华文宋体" w:eastAsia="华文宋体" w:cs="华文宋体"/>
          <w:kern w:val="2"/>
          <w:sz w:val="24"/>
          <w:szCs w:val="24"/>
          <w:lang w:val="en-US" w:eastAsia="zh-CN" w:bidi="ar-SA"/>
        </w:rPr>
        <w:t>360</w:t>
      </w:r>
      <w:r>
        <w:rPr>
          <w:rFonts w:hint="eastAsia" w:ascii="华文宋体" w:hAnsi="华文宋体" w:eastAsia="华文宋体" w:cs="华文宋体"/>
          <w:kern w:val="2"/>
          <w:sz w:val="24"/>
          <w:szCs w:val="24"/>
          <w:lang w:val="en-US" w:eastAsia="zh-CN" w:bidi="ar-SA"/>
        </w:rPr>
        <w:fldChar w:fldCharType="end"/>
      </w:r>
      <w:r>
        <w:rPr>
          <w:rFonts w:hint="eastAsia" w:ascii="华文宋体" w:hAnsi="华文宋体" w:eastAsia="华文宋体" w:cs="华文宋体"/>
          <w:kern w:val="2"/>
          <w:sz w:val="24"/>
          <w:szCs w:val="24"/>
          <w:lang w:val="en-US" w:eastAsia="zh-CN" w:bidi="ar-SA"/>
        </w:rPr>
        <w:fldChar w:fldCharType="end"/>
      </w:r>
    </w:p>
    <w:p w14:paraId="30E58C51">
      <w:pPr>
        <w:pStyle w:val="9"/>
        <w:tabs>
          <w:tab w:val="right" w:leader="middleDot" w:pos="8295"/>
          <w:tab w:val="clear" w:pos="8296"/>
        </w:tabs>
        <w:rPr>
          <w:rFonts w:ascii="Calibri" w:hAnsi="Calibri" w:eastAsia="宋体" w:cs="黑体"/>
        </w:rPr>
      </w:pPr>
      <w:r>
        <w:fldChar w:fldCharType="begin"/>
      </w:r>
      <w:r>
        <w:instrText xml:space="preserve">HYPERLINK  \l "_Toc428781556" </w:instrText>
      </w:r>
      <w:r>
        <w:fldChar w:fldCharType="separate"/>
      </w:r>
      <w:r>
        <w:rPr>
          <w:rStyle w:val="26"/>
          <w:rFonts w:hint="eastAsia"/>
          <w:kern w:val="44"/>
        </w:rPr>
        <w:t>北京市城乡规划条例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_Toc428781556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365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110CEFC">
      <w:pPr>
        <w:pStyle w:val="9"/>
        <w:tabs>
          <w:tab w:val="right" w:leader="middleDot" w:pos="8295"/>
          <w:tab w:val="clear" w:pos="8296"/>
        </w:tabs>
        <w:rPr>
          <w:rFonts w:ascii="Calibri" w:hAnsi="Calibri" w:eastAsia="宋体" w:cs="黑体"/>
        </w:rPr>
      </w:pPr>
      <w:r>
        <w:fldChar w:fldCharType="begin"/>
      </w:r>
      <w:r>
        <w:instrText xml:space="preserve">HYPERLINK  \l "_Toc428781557" </w:instrText>
      </w:r>
      <w:r>
        <w:fldChar w:fldCharType="separate"/>
      </w:r>
      <w:r>
        <w:rPr>
          <w:rStyle w:val="26"/>
          <w:rFonts w:hint="eastAsia"/>
          <w:kern w:val="44"/>
        </w:rPr>
        <w:t>关于在城市干道两侧划定隔离带的规定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_Toc428781557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375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FAB083E">
      <w:pPr>
        <w:pStyle w:val="9"/>
        <w:tabs>
          <w:tab w:val="right" w:leader="middleDot" w:pos="8295"/>
          <w:tab w:val="clear" w:pos="8296"/>
        </w:tabs>
        <w:rPr>
          <w:rFonts w:ascii="Calibri" w:hAnsi="Calibri" w:eastAsia="宋体" w:cs="黑体"/>
        </w:rPr>
      </w:pPr>
      <w:r>
        <w:fldChar w:fldCharType="begin"/>
      </w:r>
      <w:r>
        <w:instrText xml:space="preserve">HYPERLINK  \l "_Toc428781558" </w:instrText>
      </w:r>
      <w:r>
        <w:fldChar w:fldCharType="separate"/>
      </w:r>
      <w:r>
        <w:rPr>
          <w:rStyle w:val="26"/>
          <w:rFonts w:hint="eastAsia"/>
          <w:kern w:val="44"/>
        </w:rPr>
        <w:t>关于划定市区河道两侧隔离带的规定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_Toc428781558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377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FF2737F">
      <w:pPr>
        <w:pStyle w:val="9"/>
        <w:tabs>
          <w:tab w:val="right" w:leader="middleDot" w:pos="8295"/>
          <w:tab w:val="clear" w:pos="8296"/>
        </w:tabs>
        <w:rPr>
          <w:rFonts w:ascii="Calibri" w:hAnsi="Calibri" w:eastAsia="宋体" w:cs="黑体"/>
        </w:rPr>
      </w:pPr>
      <w:r>
        <w:fldChar w:fldCharType="begin"/>
      </w:r>
      <w:r>
        <w:instrText xml:space="preserve">HYPERLINK  \l "_Toc428781559" </w:instrText>
      </w:r>
      <w:r>
        <w:fldChar w:fldCharType="separate"/>
      </w:r>
      <w:r>
        <w:rPr>
          <w:rStyle w:val="26"/>
          <w:rFonts w:hint="eastAsia"/>
          <w:kern w:val="44"/>
        </w:rPr>
        <w:t>北京市人民政府关于在城市道路两侧</w:t>
      </w:r>
      <w:r>
        <w:fldChar w:fldCharType="end"/>
      </w:r>
      <w:r>
        <w:fldChar w:fldCharType="begin"/>
      </w:r>
      <w:r>
        <w:instrText xml:space="preserve">HYPERLINK  \l "_Toc428781560" </w:instrText>
      </w:r>
      <w:r>
        <w:fldChar w:fldCharType="separate"/>
      </w:r>
      <w:r>
        <w:rPr>
          <w:rStyle w:val="26"/>
          <w:rFonts w:hint="eastAsia"/>
          <w:kern w:val="44"/>
        </w:rPr>
        <w:t>和交叉路口周围新建、改建建筑</w:t>
      </w:r>
      <w:r>
        <w:fldChar w:fldCharType="end"/>
      </w:r>
      <w:r>
        <w:fldChar w:fldCharType="begin"/>
      </w:r>
      <w:r>
        <w:instrText xml:space="preserve">HYPERLINK  \l "_Toc428781561" </w:instrText>
      </w:r>
      <w:r>
        <w:fldChar w:fldCharType="separate"/>
      </w:r>
      <w:r>
        <w:rPr>
          <w:rStyle w:val="26"/>
          <w:rFonts w:hint="eastAsia"/>
          <w:kern w:val="44"/>
        </w:rPr>
        <w:t>工程的若干         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_Toc428781561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382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33FE1DD">
      <w:pPr>
        <w:pStyle w:val="9"/>
        <w:tabs>
          <w:tab w:val="right" w:leader="middleDot" w:pos="8295"/>
          <w:tab w:val="clear" w:pos="8296"/>
        </w:tabs>
        <w:rPr>
          <w:rFonts w:ascii="Calibri" w:hAnsi="Calibri" w:eastAsia="宋体" w:cs="黑体"/>
        </w:rPr>
      </w:pPr>
      <w:r>
        <w:fldChar w:fldCharType="begin"/>
      </w:r>
      <w:r>
        <w:instrText xml:space="preserve">HYPERLINK  \l "_Toc428781562" </w:instrText>
      </w:r>
      <w:r>
        <w:fldChar w:fldCharType="separate"/>
      </w:r>
      <w:r>
        <w:rPr>
          <w:rStyle w:val="26"/>
          <w:rFonts w:hint="eastAsia"/>
          <w:kern w:val="44"/>
        </w:rPr>
        <w:t>关于城市干道两侧隔离带内现有村镇</w:t>
      </w:r>
      <w:r>
        <w:fldChar w:fldCharType="end"/>
      </w:r>
      <w:r>
        <w:fldChar w:fldCharType="begin"/>
      </w:r>
      <w:r>
        <w:instrText xml:space="preserve">HYPERLINK  \l "_Toc428781563" </w:instrText>
      </w:r>
      <w:r>
        <w:fldChar w:fldCharType="separate"/>
      </w:r>
      <w:r>
        <w:rPr>
          <w:rStyle w:val="26"/>
          <w:rFonts w:hint="eastAsia"/>
          <w:kern w:val="44"/>
        </w:rPr>
        <w:t>建设管理的若干规定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_Toc428781563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383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3FF6F24">
      <w:pPr>
        <w:pStyle w:val="9"/>
        <w:tabs>
          <w:tab w:val="right" w:leader="middleDot" w:pos="8295"/>
          <w:tab w:val="clear" w:pos="8296"/>
        </w:tabs>
        <w:rPr>
          <w:rFonts w:ascii="Calibri" w:hAnsi="Calibri" w:eastAsia="宋体" w:cs="黑体"/>
        </w:rPr>
      </w:pPr>
      <w:r>
        <w:fldChar w:fldCharType="begin"/>
      </w:r>
      <w:r>
        <w:instrText xml:space="preserve">HYPERLINK  \l "_Toc428781564" </w:instrText>
      </w:r>
      <w:r>
        <w:fldChar w:fldCharType="separate"/>
      </w:r>
      <w:r>
        <w:rPr>
          <w:rStyle w:val="26"/>
          <w:rFonts w:hint="eastAsia"/>
          <w:kern w:val="44"/>
        </w:rPr>
        <w:t>北京市城市建设临时用地和临时</w:t>
      </w:r>
      <w:r>
        <w:fldChar w:fldCharType="end"/>
      </w:r>
      <w:r>
        <w:fldChar w:fldCharType="begin"/>
      </w:r>
      <w:r>
        <w:instrText xml:space="preserve">HYPERLINK  \l "_Toc428781565" </w:instrText>
      </w:r>
      <w:r>
        <w:fldChar w:fldCharType="separate"/>
      </w:r>
      <w:r>
        <w:rPr>
          <w:rStyle w:val="26"/>
          <w:rFonts w:hint="eastAsia"/>
          <w:kern w:val="44"/>
        </w:rPr>
        <w:t>建设工程管理暂行规定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_Toc428781565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384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BD75E39">
      <w:pPr>
        <w:pStyle w:val="9"/>
        <w:tabs>
          <w:tab w:val="right" w:leader="middleDot" w:pos="8295"/>
          <w:tab w:val="clear" w:pos="8296"/>
        </w:tabs>
        <w:rPr>
          <w:rFonts w:ascii="Calibri" w:hAnsi="Calibri" w:eastAsia="宋体" w:cs="黑体"/>
        </w:rPr>
      </w:pPr>
      <w:r>
        <w:fldChar w:fldCharType="begin"/>
      </w:r>
      <w:r>
        <w:instrText xml:space="preserve">HYPERLINK  \l "_Toc428781566" </w:instrText>
      </w:r>
      <w:r>
        <w:fldChar w:fldCharType="separate"/>
      </w:r>
      <w:r>
        <w:rPr>
          <w:rStyle w:val="26"/>
          <w:rFonts w:hint="eastAsia"/>
          <w:kern w:val="44"/>
        </w:rPr>
        <w:t>北京市人民政府关于外地建筑</w:t>
      </w:r>
      <w:r>
        <w:fldChar w:fldCharType="end"/>
      </w:r>
      <w:r>
        <w:fldChar w:fldCharType="begin"/>
      </w:r>
      <w:r>
        <w:instrText xml:space="preserve">HYPERLINK  \l "_Toc428781567" </w:instrText>
      </w:r>
      <w:r>
        <w:fldChar w:fldCharType="separate"/>
      </w:r>
      <w:r>
        <w:rPr>
          <w:rStyle w:val="26"/>
          <w:rFonts w:hint="eastAsia"/>
          <w:kern w:val="44"/>
        </w:rPr>
        <w:t>企业来京施工管理暂行规定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_Toc428781567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385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B91D7EF">
      <w:pPr>
        <w:pStyle w:val="9"/>
        <w:tabs>
          <w:tab w:val="right" w:leader="middleDot" w:pos="8295"/>
          <w:tab w:val="clear" w:pos="8296"/>
        </w:tabs>
        <w:rPr>
          <w:rFonts w:ascii="Calibri" w:hAnsi="Calibri" w:eastAsia="宋体" w:cs="黑体"/>
        </w:rPr>
      </w:pPr>
      <w:r>
        <w:fldChar w:fldCharType="begin"/>
      </w:r>
      <w:r>
        <w:instrText xml:space="preserve">HYPERLINK  \l "_Toc428781568" </w:instrText>
      </w:r>
      <w:r>
        <w:fldChar w:fldCharType="separate"/>
      </w:r>
      <w:r>
        <w:rPr>
          <w:rStyle w:val="26"/>
          <w:rFonts w:hint="eastAsia"/>
          <w:kern w:val="44"/>
        </w:rPr>
        <w:t>北京市生活居住建筑间距暂行规定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_Toc428781568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387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4888480">
      <w:pPr>
        <w:pStyle w:val="9"/>
        <w:tabs>
          <w:tab w:val="right" w:leader="middleDot" w:pos="8295"/>
          <w:tab w:val="clear" w:pos="8296"/>
        </w:tabs>
        <w:rPr>
          <w:rFonts w:ascii="Calibri" w:hAnsi="Calibri" w:eastAsia="宋体" w:cs="黑体"/>
        </w:rPr>
      </w:pPr>
      <w:r>
        <w:fldChar w:fldCharType="begin"/>
      </w:r>
      <w:r>
        <w:instrText xml:space="preserve">HYPERLINK  \l "_Toc428781569" </w:instrText>
      </w:r>
      <w:r>
        <w:fldChar w:fldCharType="separate"/>
      </w:r>
      <w:r>
        <w:rPr>
          <w:rStyle w:val="26"/>
          <w:rFonts w:hint="eastAsia"/>
          <w:kern w:val="44"/>
        </w:rPr>
        <w:t>北京市城镇私有房屋翻建</w:t>
      </w:r>
      <w:r>
        <w:fldChar w:fldCharType="end"/>
      </w:r>
      <w:r>
        <w:fldChar w:fldCharType="begin"/>
      </w:r>
      <w:r>
        <w:instrText xml:space="preserve">HYPERLINK  \l "_Toc428781570" </w:instrText>
      </w:r>
      <w:r>
        <w:fldChar w:fldCharType="separate"/>
      </w:r>
      <w:r>
        <w:rPr>
          <w:rStyle w:val="26"/>
          <w:rFonts w:hint="eastAsia"/>
          <w:kern w:val="44"/>
        </w:rPr>
        <w:t>扩建规划管理若干规定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_Toc428781570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390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54BBA97">
      <w:pPr>
        <w:pStyle w:val="9"/>
        <w:tabs>
          <w:tab w:val="right" w:leader="middleDot" w:pos="8295"/>
          <w:tab w:val="clear" w:pos="8296"/>
        </w:tabs>
        <w:rPr>
          <w:rFonts w:ascii="Calibri" w:hAnsi="Calibri" w:eastAsia="宋体" w:cs="黑体"/>
        </w:rPr>
      </w:pPr>
      <w:r>
        <w:fldChar w:fldCharType="begin"/>
      </w:r>
      <w:r>
        <w:instrText xml:space="preserve">HYPERLINK  \l "_Toc428781571" </w:instrText>
      </w:r>
      <w:r>
        <w:fldChar w:fldCharType="separate"/>
      </w:r>
      <w:r>
        <w:rPr>
          <w:rStyle w:val="26"/>
          <w:rFonts w:hint="eastAsia"/>
          <w:kern w:val="44"/>
        </w:rPr>
        <w:t>北京市工程建设监理管理办法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_Toc428781571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392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8802129">
      <w:pPr>
        <w:pStyle w:val="9"/>
        <w:tabs>
          <w:tab w:val="right" w:leader="middleDot" w:pos="8295"/>
          <w:tab w:val="clear" w:pos="8296"/>
        </w:tabs>
        <w:rPr>
          <w:rFonts w:ascii="Calibri" w:hAnsi="Calibri" w:eastAsia="宋体" w:cs="黑体"/>
        </w:rPr>
      </w:pPr>
      <w:r>
        <w:fldChar w:fldCharType="begin"/>
      </w:r>
      <w:r>
        <w:instrText xml:space="preserve">HYPERLINK  \l "_Toc428781572" </w:instrText>
      </w:r>
      <w:r>
        <w:fldChar w:fldCharType="separate"/>
      </w:r>
      <w:r>
        <w:rPr>
          <w:rStyle w:val="26"/>
          <w:rFonts w:hint="eastAsia"/>
          <w:kern w:val="44"/>
        </w:rPr>
        <w:t>北京市工程建设场地地震安全性评价管理办法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_Toc428781572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395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DAB2510">
      <w:pPr>
        <w:pStyle w:val="9"/>
        <w:tabs>
          <w:tab w:val="right" w:leader="middleDot" w:pos="8295"/>
          <w:tab w:val="clear" w:pos="8296"/>
        </w:tabs>
        <w:rPr>
          <w:rFonts w:ascii="Calibri" w:hAnsi="Calibri" w:eastAsia="宋体" w:cs="黑体"/>
        </w:rPr>
      </w:pPr>
      <w:r>
        <w:fldChar w:fldCharType="begin"/>
      </w:r>
      <w:r>
        <w:instrText xml:space="preserve">HYPERLINK  \l "_Toc428781573" </w:instrText>
      </w:r>
      <w:r>
        <w:fldChar w:fldCharType="separate"/>
      </w:r>
      <w:r>
        <w:rPr>
          <w:rStyle w:val="26"/>
          <w:rFonts w:hint="eastAsia"/>
          <w:kern w:val="44"/>
        </w:rPr>
        <w:t>北京市人民防空工程建设</w:t>
      </w:r>
      <w:r>
        <w:fldChar w:fldCharType="end"/>
      </w:r>
      <w:r>
        <w:fldChar w:fldCharType="begin"/>
      </w:r>
      <w:r>
        <w:instrText xml:space="preserve">HYPERLINK  \l "_Toc428781574" </w:instrText>
      </w:r>
      <w:r>
        <w:fldChar w:fldCharType="separate"/>
      </w:r>
      <w:r>
        <w:rPr>
          <w:rStyle w:val="26"/>
          <w:rFonts w:hint="eastAsia"/>
          <w:kern w:val="44"/>
        </w:rPr>
        <w:t>与使用管理规定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_Toc428781574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397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BFBAAF1">
      <w:pPr>
        <w:pStyle w:val="9"/>
        <w:tabs>
          <w:tab w:val="right" w:leader="middleDot" w:pos="8295"/>
          <w:tab w:val="clear" w:pos="8296"/>
        </w:tabs>
        <w:rPr>
          <w:rFonts w:ascii="Calibri" w:hAnsi="Calibri" w:eastAsia="宋体" w:cs="黑体"/>
        </w:rPr>
      </w:pPr>
      <w:r>
        <w:fldChar w:fldCharType="begin"/>
      </w:r>
      <w:r>
        <w:instrText xml:space="preserve">HYPERLINK  \l "_Toc428781575" </w:instrText>
      </w:r>
      <w:r>
        <w:fldChar w:fldCharType="separate"/>
      </w:r>
      <w:r>
        <w:rPr>
          <w:rStyle w:val="26"/>
          <w:rFonts w:hint="eastAsia"/>
          <w:kern w:val="44"/>
        </w:rPr>
        <w:t>北京市建设工程绿化用地</w:t>
      </w:r>
      <w:r>
        <w:fldChar w:fldCharType="end"/>
      </w:r>
      <w:r>
        <w:fldChar w:fldCharType="begin"/>
      </w:r>
      <w:r>
        <w:instrText xml:space="preserve">HYPERLINK  \l "_Toc428781576" </w:instrText>
      </w:r>
      <w:r>
        <w:fldChar w:fldCharType="separate"/>
      </w:r>
      <w:r>
        <w:rPr>
          <w:rStyle w:val="26"/>
          <w:rFonts w:hint="eastAsia"/>
          <w:kern w:val="44"/>
        </w:rPr>
        <w:t>面积比例实施办法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_Toc428781576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401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DA63592">
      <w:pPr>
        <w:pStyle w:val="9"/>
        <w:tabs>
          <w:tab w:val="right" w:leader="middleDot" w:pos="8295"/>
          <w:tab w:val="clear" w:pos="8296"/>
        </w:tabs>
        <w:rPr>
          <w:rFonts w:ascii="Calibri" w:hAnsi="Calibri" w:eastAsia="宋体" w:cs="黑体"/>
        </w:rPr>
      </w:pPr>
      <w:r>
        <w:fldChar w:fldCharType="begin"/>
      </w:r>
      <w:r>
        <w:instrText xml:space="preserve">HYPERLINK  \l "_Toc428781577" </w:instrText>
      </w:r>
      <w:r>
        <w:fldChar w:fldCharType="separate"/>
      </w:r>
      <w:r>
        <w:rPr>
          <w:rStyle w:val="26"/>
          <w:rFonts w:hint="eastAsia"/>
          <w:kern w:val="44"/>
        </w:rPr>
        <w:t>北京市人民政府关于郊区城镇和农村</w:t>
      </w:r>
      <w:r>
        <w:fldChar w:fldCharType="end"/>
      </w:r>
      <w:r>
        <w:fldChar w:fldCharType="begin"/>
      </w:r>
      <w:r>
        <w:instrText xml:space="preserve">HYPERLINK  \l "_Toc428781578" </w:instrText>
      </w:r>
      <w:r>
        <w:fldChar w:fldCharType="separate"/>
      </w:r>
      <w:r>
        <w:rPr>
          <w:rStyle w:val="26"/>
          <w:rFonts w:hint="eastAsia"/>
          <w:kern w:val="44"/>
        </w:rPr>
        <w:t>建设规划管理的若干规定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_Toc428781578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403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38E6A61">
      <w:pPr>
        <w:pStyle w:val="9"/>
        <w:tabs>
          <w:tab w:val="right" w:leader="middleDot" w:pos="8295"/>
          <w:tab w:val="clear" w:pos="8296"/>
        </w:tabs>
        <w:rPr>
          <w:rFonts w:ascii="Calibri" w:hAnsi="Calibri" w:eastAsia="宋体" w:cs="黑体"/>
        </w:rPr>
      </w:pPr>
      <w:r>
        <w:fldChar w:fldCharType="begin"/>
      </w:r>
      <w:r>
        <w:instrText xml:space="preserve">HYPERLINK  \l "_Toc428781579" </w:instrText>
      </w:r>
      <w:r>
        <w:fldChar w:fldCharType="separate"/>
      </w:r>
      <w:r>
        <w:rPr>
          <w:rStyle w:val="26"/>
          <w:rFonts w:hint="eastAsia"/>
          <w:kern w:val="44"/>
        </w:rPr>
        <w:t>北京市人民政府关于严格限制在城市</w:t>
      </w:r>
      <w:r>
        <w:fldChar w:fldCharType="end"/>
      </w:r>
      <w:r>
        <w:fldChar w:fldCharType="begin"/>
      </w:r>
      <w:r>
        <w:instrText xml:space="preserve">HYPERLINK  \l "_Toc428781580" </w:instrText>
      </w:r>
      <w:r>
        <w:fldChar w:fldCharType="separate"/>
      </w:r>
      <w:r>
        <w:rPr>
          <w:rStyle w:val="26"/>
          <w:rFonts w:hint="eastAsia"/>
          <w:kern w:val="44"/>
        </w:rPr>
        <w:t>建设中分散插建楼房的规定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_Toc428781580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404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74856B6">
      <w:pPr>
        <w:pStyle w:val="9"/>
        <w:tabs>
          <w:tab w:val="right" w:leader="middleDot" w:pos="8295"/>
          <w:tab w:val="clear" w:pos="8296"/>
        </w:tabs>
        <w:rPr>
          <w:rFonts w:ascii="Calibri" w:hAnsi="Calibri" w:eastAsia="宋体" w:cs="黑体"/>
        </w:rPr>
      </w:pPr>
      <w:r>
        <w:fldChar w:fldCharType="begin"/>
      </w:r>
      <w:r>
        <w:instrText xml:space="preserve">HYPERLINK  \l "_Toc428781581" </w:instrText>
      </w:r>
      <w:r>
        <w:fldChar w:fldCharType="separate"/>
      </w:r>
      <w:r>
        <w:rPr>
          <w:rStyle w:val="26"/>
          <w:rFonts w:hint="eastAsia"/>
          <w:kern w:val="44"/>
        </w:rPr>
        <w:t>北京市建设工程规划监督</w:t>
      </w:r>
      <w:r>
        <w:fldChar w:fldCharType="end"/>
      </w:r>
      <w:r>
        <w:fldChar w:fldCharType="begin"/>
      </w:r>
      <w:r>
        <w:instrText xml:space="preserve">HYPERLINK  \l "_Toc428781582" </w:instrText>
      </w:r>
      <w:r>
        <w:fldChar w:fldCharType="separate"/>
      </w:r>
      <w:r>
        <w:rPr>
          <w:rStyle w:val="26"/>
          <w:rFonts w:hint="eastAsia"/>
          <w:kern w:val="44"/>
        </w:rPr>
        <w:t>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_Toc428781582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405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C30A68A">
      <w:pPr>
        <w:pStyle w:val="9"/>
        <w:tabs>
          <w:tab w:val="right" w:leader="middleDot" w:pos="8295"/>
          <w:tab w:val="clear" w:pos="8296"/>
        </w:tabs>
        <w:rPr>
          <w:rFonts w:ascii="Calibri" w:hAnsi="Calibri" w:eastAsia="宋体" w:cs="黑体"/>
        </w:rPr>
      </w:pPr>
      <w:r>
        <w:fldChar w:fldCharType="begin"/>
      </w:r>
      <w:r>
        <w:instrText xml:space="preserve">HYPERLINK  \l "_Toc428781583" </w:instrText>
      </w:r>
      <w:r>
        <w:fldChar w:fldCharType="separate"/>
      </w:r>
      <w:r>
        <w:rPr>
          <w:rStyle w:val="26"/>
          <w:rFonts w:hint="eastAsia"/>
          <w:kern w:val="44"/>
        </w:rPr>
        <w:t>北京市工程建设项目招标</w:t>
      </w:r>
      <w:r>
        <w:fldChar w:fldCharType="end"/>
      </w:r>
      <w:r>
        <w:fldChar w:fldCharType="begin"/>
      </w:r>
      <w:r>
        <w:instrText xml:space="preserve">HYPERLINK  \l "_Toc428781584" </w:instrText>
      </w:r>
      <w:r>
        <w:fldChar w:fldCharType="separate"/>
      </w:r>
      <w:r>
        <w:rPr>
          <w:rStyle w:val="26"/>
          <w:rFonts w:hint="eastAsia"/>
          <w:kern w:val="44"/>
        </w:rPr>
        <w:t>范围和规模标准规定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_Toc428781584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407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89163A2">
      <w:pPr>
        <w:pStyle w:val="9"/>
        <w:tabs>
          <w:tab w:val="right" w:leader="middleDot" w:pos="8295"/>
          <w:tab w:val="clear" w:pos="8296"/>
        </w:tabs>
        <w:rPr>
          <w:rFonts w:ascii="Calibri" w:hAnsi="Calibri" w:eastAsia="宋体" w:cs="黑体"/>
        </w:rPr>
      </w:pPr>
      <w:r>
        <w:fldChar w:fldCharType="begin"/>
      </w:r>
      <w:r>
        <w:instrText xml:space="preserve">HYPERLINK  \l "_Toc428781585" </w:instrText>
      </w:r>
      <w:r>
        <w:fldChar w:fldCharType="separate"/>
      </w:r>
      <w:r>
        <w:rPr>
          <w:rStyle w:val="26"/>
          <w:rFonts w:hint="eastAsia"/>
          <w:kern w:val="44"/>
        </w:rPr>
        <w:t>北京市建设工程招标</w:t>
      </w:r>
      <w:r>
        <w:fldChar w:fldCharType="end"/>
      </w:r>
      <w:r>
        <w:fldChar w:fldCharType="begin"/>
      </w:r>
      <w:r>
        <w:instrText xml:space="preserve">HYPERLINK  \l "_Toc428781586" </w:instrText>
      </w:r>
      <w:r>
        <w:fldChar w:fldCharType="separate"/>
      </w:r>
      <w:r>
        <w:rPr>
          <w:rStyle w:val="26"/>
          <w:rFonts w:hint="eastAsia"/>
          <w:kern w:val="44"/>
        </w:rPr>
        <w:t>投标监督管理规定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_Toc428781586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410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F192DA5">
      <w:pPr>
        <w:pStyle w:val="9"/>
        <w:tabs>
          <w:tab w:val="right" w:leader="middleDot" w:pos="8295"/>
          <w:tab w:val="clear" w:pos="8296"/>
        </w:tabs>
        <w:rPr>
          <w:rFonts w:ascii="Calibri" w:hAnsi="Calibri" w:eastAsia="宋体" w:cs="黑体"/>
        </w:rPr>
      </w:pPr>
      <w:r>
        <w:fldChar w:fldCharType="begin"/>
      </w:r>
      <w:r>
        <w:instrText xml:space="preserve">HYPERLINK  \l "_Toc428781587" </w:instrText>
      </w:r>
      <w:r>
        <w:fldChar w:fldCharType="separate"/>
      </w:r>
      <w:r>
        <w:rPr>
          <w:rStyle w:val="26"/>
          <w:rFonts w:hint="eastAsia"/>
          <w:kern w:val="44"/>
        </w:rPr>
        <w:t>北京市城市建设档案管理办法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_Toc428781587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413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F7AD1DE">
      <w:pPr>
        <w:pStyle w:val="9"/>
        <w:tabs>
          <w:tab w:val="right" w:leader="middleDot" w:pos="8295"/>
          <w:tab w:val="clear" w:pos="8296"/>
        </w:tabs>
        <w:rPr>
          <w:rFonts w:ascii="Calibri" w:hAnsi="Calibri" w:eastAsia="宋体" w:cs="黑体"/>
        </w:rPr>
      </w:pPr>
      <w:r>
        <w:fldChar w:fldCharType="begin"/>
      </w:r>
      <w:r>
        <w:instrText xml:space="preserve">HYPERLINK  \l "_Toc428781588" </w:instrText>
      </w:r>
      <w:r>
        <w:fldChar w:fldCharType="separate"/>
      </w:r>
      <w:r>
        <w:rPr>
          <w:rStyle w:val="26"/>
          <w:rFonts w:hint="eastAsia"/>
          <w:kern w:val="44"/>
        </w:rPr>
        <w:t>北京市建筑工程施工许可办法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_Toc428781588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416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B4EF356">
      <w:pPr>
        <w:pStyle w:val="9"/>
        <w:tabs>
          <w:tab w:val="right" w:leader="middleDot" w:pos="8295"/>
          <w:tab w:val="clear" w:pos="8296"/>
        </w:tabs>
        <w:rPr>
          <w:rFonts w:ascii="Calibri" w:hAnsi="Calibri" w:eastAsia="宋体" w:cs="黑体"/>
        </w:rPr>
      </w:pPr>
      <w:r>
        <w:fldChar w:fldCharType="begin"/>
      </w:r>
      <w:r>
        <w:instrText xml:space="preserve">HYPERLINK  \l "_Toc428781589" </w:instrText>
      </w:r>
      <w:r>
        <w:fldChar w:fldCharType="separate"/>
      </w:r>
      <w:r>
        <w:rPr>
          <w:rStyle w:val="26"/>
          <w:rFonts w:hint="eastAsia"/>
          <w:kern w:val="44"/>
        </w:rPr>
        <w:t>北京市建设征地补偿安置办法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_Toc428781589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419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4177F7C">
      <w:pPr>
        <w:pStyle w:val="9"/>
        <w:tabs>
          <w:tab w:val="right" w:leader="middleDot" w:pos="8295"/>
          <w:tab w:val="clear" w:pos="8296"/>
        </w:tabs>
        <w:rPr>
          <w:rFonts w:ascii="Calibri" w:hAnsi="Calibri" w:eastAsia="宋体" w:cs="黑体"/>
        </w:rPr>
      </w:pPr>
      <w:r>
        <w:fldChar w:fldCharType="begin"/>
      </w:r>
      <w:r>
        <w:instrText xml:space="preserve">HYPERLINK  \l "_Toc428781590" </w:instrText>
      </w:r>
      <w:r>
        <w:fldChar w:fldCharType="separate"/>
      </w:r>
      <w:r>
        <w:rPr>
          <w:rStyle w:val="26"/>
          <w:rFonts w:hint="eastAsia"/>
          <w:kern w:val="44"/>
        </w:rPr>
        <w:t>北京市禁止违法建设若干规定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_Toc428781590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425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3FD8C77">
      <w:pPr>
        <w:pStyle w:val="9"/>
        <w:tabs>
          <w:tab w:val="right" w:leader="middleDot" w:pos="8295"/>
          <w:tab w:val="clear" w:pos="8296"/>
        </w:tabs>
        <w:rPr>
          <w:rFonts w:ascii="Calibri" w:hAnsi="Calibri" w:eastAsia="宋体" w:cs="黑体"/>
        </w:rPr>
      </w:pPr>
      <w:r>
        <w:fldChar w:fldCharType="begin"/>
      </w:r>
      <w:r>
        <w:instrText xml:space="preserve">HYPERLINK  \l "_Toc428781591" </w:instrText>
      </w:r>
      <w:r>
        <w:fldChar w:fldCharType="separate"/>
      </w:r>
      <w:r>
        <w:rPr>
          <w:rStyle w:val="26"/>
          <w:rFonts w:hint="eastAsia"/>
          <w:kern w:val="44"/>
        </w:rPr>
        <w:t>北京市房屋建筑使用</w:t>
      </w:r>
      <w:r>
        <w:fldChar w:fldCharType="end"/>
      </w:r>
      <w:r>
        <w:fldChar w:fldCharType="begin"/>
      </w:r>
      <w:r>
        <w:instrText xml:space="preserve">HYPERLINK  \l "_Toc428781592" </w:instrText>
      </w:r>
      <w:r>
        <w:fldChar w:fldCharType="separate"/>
      </w:r>
      <w:r>
        <w:rPr>
          <w:rStyle w:val="26"/>
          <w:rFonts w:hint="eastAsia"/>
          <w:kern w:val="44"/>
        </w:rPr>
        <w:t>安全管理办法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_Toc428781592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429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1595199">
      <w:pPr>
        <w:pStyle w:val="9"/>
        <w:tabs>
          <w:tab w:val="right" w:leader="middleDot" w:pos="8295"/>
          <w:tab w:val="clear" w:pos="8296"/>
        </w:tabs>
        <w:rPr>
          <w:rFonts w:ascii="Calibri" w:hAnsi="Calibri" w:eastAsia="宋体" w:cs="黑体"/>
        </w:rPr>
      </w:pPr>
      <w:r>
        <w:fldChar w:fldCharType="begin"/>
      </w:r>
      <w:r>
        <w:instrText xml:space="preserve">HYPERLINK  \l "_Toc428781593" </w:instrText>
      </w:r>
      <w:r>
        <w:fldChar w:fldCharType="separate"/>
      </w:r>
      <w:r>
        <w:rPr>
          <w:rStyle w:val="26"/>
          <w:rFonts w:hint="eastAsia"/>
          <w:kern w:val="44"/>
        </w:rPr>
        <w:t>北京市建设工程施工</w:t>
      </w:r>
      <w:r>
        <w:fldChar w:fldCharType="end"/>
      </w:r>
      <w:r>
        <w:fldChar w:fldCharType="begin"/>
      </w:r>
      <w:r>
        <w:instrText xml:space="preserve">HYPERLINK  \l "_Toc428781594" </w:instrText>
      </w:r>
      <w:r>
        <w:fldChar w:fldCharType="separate"/>
      </w:r>
      <w:r>
        <w:rPr>
          <w:rStyle w:val="26"/>
          <w:rFonts w:hint="eastAsia"/>
          <w:kern w:val="44"/>
        </w:rPr>
        <w:t>现场管理办法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_Toc428781594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434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885EA3A">
      <w:pPr>
        <w:pStyle w:val="9"/>
        <w:tabs>
          <w:tab w:val="right" w:leader="middleDot" w:pos="8295"/>
          <w:tab w:val="clear" w:pos="8296"/>
        </w:tabs>
        <w:rPr>
          <w:rFonts w:ascii="Calibri" w:hAnsi="Calibri" w:eastAsia="宋体" w:cs="黑体"/>
        </w:rPr>
      </w:pPr>
      <w:r>
        <w:fldChar w:fldCharType="begin"/>
      </w:r>
      <w:r>
        <w:instrText xml:space="preserve">HYPERLINK  \l "_Toc428781595" </w:instrText>
      </w:r>
      <w:r>
        <w:fldChar w:fldCharType="separate"/>
      </w:r>
      <w:r>
        <w:rPr>
          <w:rStyle w:val="26"/>
          <w:rFonts w:hint="eastAsia"/>
          <w:kern w:val="44"/>
        </w:rPr>
        <w:t>北京市民用建筑节能管理办法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_Toc428781595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439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77CDC88">
      <w:pPr>
        <w:pStyle w:val="19"/>
        <w:tabs>
          <w:tab w:val="right" w:leader="middleDot" w:pos="8295"/>
          <w:tab w:val="clear" w:pos="8296"/>
        </w:tabs>
        <w:rPr>
          <w:rStyle w:val="26"/>
        </w:rPr>
      </w:pPr>
    </w:p>
    <w:p w14:paraId="6E398181">
      <w:pPr>
        <w:pStyle w:val="19"/>
        <w:tabs>
          <w:tab w:val="right" w:leader="middleDot" w:pos="8295"/>
          <w:tab w:val="clear" w:pos="8296"/>
        </w:tabs>
        <w:rPr>
          <w:rStyle w:val="26"/>
        </w:rPr>
      </w:pPr>
      <w:r>
        <w:fldChar w:fldCharType="begin"/>
      </w:r>
      <w:r>
        <w:instrText xml:space="preserve">HYPERLINK  \l "_Toc428781596" </w:instrText>
      </w:r>
      <w:r>
        <w:fldChar w:fldCharType="separate"/>
      </w:r>
      <w:r>
        <w:rPr>
          <w:rStyle w:val="26"/>
          <w:rFonts w:hint="eastAsia"/>
        </w:rPr>
        <w:t>（六）房地产</w:t>
      </w:r>
      <w:r>
        <w:fldChar w:fldCharType="end"/>
      </w:r>
    </w:p>
    <w:p w14:paraId="79BB31AB"/>
    <w:p w14:paraId="003004E4">
      <w:pPr>
        <w:pStyle w:val="9"/>
        <w:tabs>
          <w:tab w:val="right" w:leader="middleDot" w:pos="8295"/>
          <w:tab w:val="clear" w:pos="8296"/>
        </w:tabs>
        <w:rPr>
          <w:rFonts w:ascii="Calibri" w:hAnsi="Calibri" w:eastAsia="宋体" w:cs="黑体"/>
        </w:rPr>
      </w:pPr>
      <w:r>
        <w:fldChar w:fldCharType="begin"/>
      </w:r>
      <w:r>
        <w:instrText xml:space="preserve">HYPERLINK  \l "_Toc428781597" </w:instrText>
      </w:r>
      <w:r>
        <w:fldChar w:fldCharType="separate"/>
      </w:r>
      <w:r>
        <w:rPr>
          <w:rStyle w:val="26"/>
          <w:rFonts w:hint="eastAsia"/>
          <w:kern w:val="44"/>
        </w:rPr>
        <w:t>北京市人民政府关于城市</w:t>
      </w:r>
      <w:r>
        <w:fldChar w:fldCharType="end"/>
      </w:r>
      <w:r>
        <w:fldChar w:fldCharType="begin"/>
      </w:r>
      <w:r>
        <w:instrText xml:space="preserve">HYPERLINK  \l "_Toc428781598" </w:instrText>
      </w:r>
      <w:r>
        <w:fldChar w:fldCharType="separate"/>
      </w:r>
      <w:r>
        <w:rPr>
          <w:rStyle w:val="26"/>
          <w:rFonts w:hint="eastAsia"/>
          <w:kern w:val="44"/>
        </w:rPr>
        <w:t>公有房屋管理的若干规定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_Toc428781598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445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8E6F98D">
      <w:pPr>
        <w:pStyle w:val="9"/>
        <w:tabs>
          <w:tab w:val="right" w:leader="middleDot" w:pos="8295"/>
          <w:tab w:val="clear" w:pos="8296"/>
        </w:tabs>
        <w:rPr>
          <w:rFonts w:ascii="Calibri" w:hAnsi="Calibri" w:eastAsia="宋体" w:cs="黑体"/>
        </w:rPr>
      </w:pPr>
      <w:r>
        <w:fldChar w:fldCharType="begin"/>
      </w:r>
      <w:r>
        <w:instrText xml:space="preserve">HYPERLINK  \l "_Toc428781599" </w:instrText>
      </w:r>
      <w:r>
        <w:fldChar w:fldCharType="separate"/>
      </w:r>
      <w:r>
        <w:rPr>
          <w:rStyle w:val="26"/>
          <w:rFonts w:hint="eastAsia"/>
          <w:kern w:val="44"/>
        </w:rPr>
        <w:t>北京市私有住宅楼房管理与维修办法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_Toc428781599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448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5AA5119">
      <w:pPr>
        <w:pStyle w:val="9"/>
        <w:tabs>
          <w:tab w:val="right" w:leader="middleDot" w:pos="8295"/>
          <w:tab w:val="clear" w:pos="8296"/>
        </w:tabs>
        <w:rPr>
          <w:rFonts w:ascii="Calibri" w:hAnsi="Calibri" w:eastAsia="宋体" w:cs="黑体"/>
        </w:rPr>
      </w:pPr>
      <w:r>
        <w:fldChar w:fldCharType="begin"/>
      </w:r>
      <w:r>
        <w:instrText xml:space="preserve">HYPERLINK  \l "_Toc428781600" </w:instrText>
      </w:r>
      <w:r>
        <w:fldChar w:fldCharType="separate"/>
      </w:r>
      <w:r>
        <w:rPr>
          <w:rStyle w:val="26"/>
          <w:rFonts w:hint="eastAsia"/>
          <w:kern w:val="44"/>
        </w:rPr>
        <w:t>北京市职工购买公有住宅楼房管理办法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_Toc428781600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450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77803CA">
      <w:pPr>
        <w:pStyle w:val="9"/>
        <w:tabs>
          <w:tab w:val="right" w:leader="middleDot" w:pos="8295"/>
          <w:tab w:val="clear" w:pos="8296"/>
        </w:tabs>
        <w:rPr>
          <w:rFonts w:ascii="Calibri" w:hAnsi="Calibri" w:eastAsia="宋体" w:cs="黑体"/>
        </w:rPr>
      </w:pPr>
      <w:r>
        <w:fldChar w:fldCharType="begin"/>
      </w:r>
      <w:r>
        <w:instrText xml:space="preserve">HYPERLINK  \l "_Toc428781601" </w:instrText>
      </w:r>
      <w:r>
        <w:fldChar w:fldCharType="separate"/>
      </w:r>
      <w:r>
        <w:rPr>
          <w:rStyle w:val="26"/>
          <w:rFonts w:hint="eastAsia"/>
          <w:kern w:val="44"/>
        </w:rPr>
        <w:t>北京市城镇住宅合作社管理办法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_Toc428781601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452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7244474">
      <w:pPr>
        <w:pStyle w:val="9"/>
        <w:tabs>
          <w:tab w:val="right" w:leader="middleDot" w:pos="8295"/>
          <w:tab w:val="clear" w:pos="8296"/>
        </w:tabs>
        <w:rPr>
          <w:rFonts w:ascii="Calibri" w:hAnsi="Calibri" w:eastAsia="宋体" w:cs="黑体"/>
        </w:rPr>
      </w:pPr>
      <w:r>
        <w:fldChar w:fldCharType="begin"/>
      </w:r>
      <w:r>
        <w:instrText xml:space="preserve">HYPERLINK  \l "_Toc428781602" </w:instrText>
      </w:r>
      <w:r>
        <w:fldChar w:fldCharType="separate"/>
      </w:r>
      <w:r>
        <w:rPr>
          <w:rStyle w:val="26"/>
          <w:rFonts w:hint="eastAsia"/>
          <w:kern w:val="44"/>
        </w:rPr>
        <w:t>关于对世界银行贷款项目内住房合股</w:t>
      </w:r>
      <w:r>
        <w:fldChar w:fldCharType="end"/>
      </w:r>
      <w:r>
        <w:fldChar w:fldCharType="begin"/>
      </w:r>
      <w:r>
        <w:instrText xml:space="preserve">HYPERLINK  \l "_Toc428781603" </w:instrText>
      </w:r>
      <w:r>
        <w:fldChar w:fldCharType="separate"/>
      </w:r>
      <w:r>
        <w:rPr>
          <w:rStyle w:val="26"/>
          <w:rFonts w:hint="eastAsia"/>
          <w:kern w:val="44"/>
        </w:rPr>
        <w:t>公司的住房承租人违约处理程序的规定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_Toc428781603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454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02BA839">
      <w:pPr>
        <w:pStyle w:val="9"/>
        <w:tabs>
          <w:tab w:val="right" w:leader="middleDot" w:pos="8295"/>
          <w:tab w:val="clear" w:pos="8296"/>
        </w:tabs>
        <w:rPr>
          <w:rFonts w:ascii="Calibri" w:hAnsi="Calibri" w:eastAsia="宋体" w:cs="黑体"/>
        </w:rPr>
      </w:pPr>
      <w:r>
        <w:fldChar w:fldCharType="begin"/>
      </w:r>
      <w:r>
        <w:instrText xml:space="preserve">HYPERLINK  \l "_Toc428781604" </w:instrText>
      </w:r>
      <w:r>
        <w:fldChar w:fldCharType="separate"/>
      </w:r>
      <w:r>
        <w:rPr>
          <w:rStyle w:val="26"/>
          <w:rFonts w:hint="eastAsia"/>
          <w:kern w:val="44"/>
        </w:rPr>
        <w:t>北京市商品住宅销售价格构成管理办法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_Toc428781604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455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2443A0D">
      <w:pPr>
        <w:pStyle w:val="9"/>
        <w:tabs>
          <w:tab w:val="right" w:leader="middleDot" w:pos="8295"/>
          <w:tab w:val="clear" w:pos="8296"/>
        </w:tabs>
        <w:rPr>
          <w:rFonts w:ascii="Calibri" w:hAnsi="Calibri" w:eastAsia="宋体" w:cs="黑体"/>
        </w:rPr>
      </w:pPr>
      <w:r>
        <w:fldChar w:fldCharType="begin"/>
      </w:r>
      <w:r>
        <w:instrText xml:space="preserve">HYPERLINK  \l "_Toc428781605" </w:instrText>
      </w:r>
      <w:r>
        <w:fldChar w:fldCharType="separate"/>
      </w:r>
      <w:r>
        <w:rPr>
          <w:rStyle w:val="26"/>
          <w:rFonts w:hint="eastAsia"/>
          <w:kern w:val="44"/>
        </w:rPr>
        <w:t>北京市集体土地房屋拆迁管理办法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_Toc428781605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457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E9DE92C">
      <w:pPr>
        <w:pStyle w:val="9"/>
        <w:tabs>
          <w:tab w:val="right" w:leader="middleDot" w:pos="8295"/>
          <w:tab w:val="clear" w:pos="8296"/>
        </w:tabs>
        <w:rPr>
          <w:rFonts w:ascii="Calibri" w:hAnsi="Calibri" w:eastAsia="宋体" w:cs="黑体"/>
        </w:rPr>
      </w:pPr>
      <w:r>
        <w:fldChar w:fldCharType="begin"/>
      </w:r>
      <w:r>
        <w:instrText xml:space="preserve">HYPERLINK  \l "_Toc428781606" </w:instrText>
      </w:r>
      <w:r>
        <w:fldChar w:fldCharType="separate"/>
      </w:r>
      <w:r>
        <w:rPr>
          <w:rStyle w:val="26"/>
          <w:rFonts w:hint="eastAsia"/>
          <w:kern w:val="44"/>
        </w:rPr>
        <w:t>北京市住宅区及住宅安全防范</w:t>
      </w:r>
      <w:r>
        <w:fldChar w:fldCharType="end"/>
      </w:r>
      <w:r>
        <w:fldChar w:fldCharType="begin"/>
      </w:r>
      <w:r>
        <w:instrText xml:space="preserve">HYPERLINK  \l "_Toc428781607" </w:instrText>
      </w:r>
      <w:r>
        <w:fldChar w:fldCharType="separate"/>
      </w:r>
      <w:r>
        <w:rPr>
          <w:rStyle w:val="26"/>
          <w:rFonts w:hint="eastAsia"/>
          <w:kern w:val="44"/>
        </w:rPr>
        <w:t>设施建设和使用管理办法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_Toc428781607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461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8250987">
      <w:pPr>
        <w:pStyle w:val="9"/>
        <w:tabs>
          <w:tab w:val="right" w:leader="middleDot" w:pos="8295"/>
          <w:tab w:val="clear" w:pos="8296"/>
        </w:tabs>
        <w:rPr>
          <w:rFonts w:ascii="Calibri" w:hAnsi="Calibri" w:eastAsia="宋体" w:cs="黑体"/>
        </w:rPr>
      </w:pPr>
      <w:r>
        <w:fldChar w:fldCharType="begin"/>
      </w:r>
      <w:r>
        <w:instrText xml:space="preserve">HYPERLINK  \l "_Toc428781608" </w:instrText>
      </w:r>
      <w:r>
        <w:fldChar w:fldCharType="separate"/>
      </w:r>
      <w:r>
        <w:rPr>
          <w:rStyle w:val="26"/>
          <w:rFonts w:hint="eastAsia"/>
          <w:kern w:val="44"/>
        </w:rPr>
        <w:t>北京市城市房地产转让管理办法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_Toc428781608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463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D4D875C">
      <w:pPr>
        <w:pStyle w:val="9"/>
        <w:tabs>
          <w:tab w:val="right" w:leader="middleDot" w:pos="8295"/>
          <w:tab w:val="clear" w:pos="8296"/>
        </w:tabs>
        <w:rPr>
          <w:rFonts w:ascii="Calibri" w:hAnsi="Calibri" w:eastAsia="宋体" w:cs="黑体"/>
        </w:rPr>
      </w:pPr>
      <w:r>
        <w:fldChar w:fldCharType="begin"/>
      </w:r>
      <w:r>
        <w:instrText xml:space="preserve">HYPERLINK  \l "_Toc428781609" </w:instrText>
      </w:r>
      <w:r>
        <w:fldChar w:fldCharType="separate"/>
      </w:r>
      <w:r>
        <w:rPr>
          <w:rStyle w:val="26"/>
          <w:rFonts w:hint="eastAsia"/>
          <w:kern w:val="44"/>
        </w:rPr>
        <w:t>北京市实施《住房公积金管理条例》若干规定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_Toc428781609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471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ACAC477">
      <w:pPr>
        <w:pStyle w:val="9"/>
        <w:tabs>
          <w:tab w:val="right" w:leader="middleDot" w:pos="8295"/>
          <w:tab w:val="clear" w:pos="8296"/>
        </w:tabs>
        <w:rPr>
          <w:rFonts w:ascii="Calibri" w:hAnsi="Calibri" w:eastAsia="宋体" w:cs="黑体"/>
        </w:rPr>
      </w:pPr>
      <w:r>
        <w:fldChar w:fldCharType="begin"/>
      </w:r>
      <w:r>
        <w:instrText xml:space="preserve">HYPERLINK  \l "_Toc428781610" </w:instrText>
      </w:r>
      <w:r>
        <w:fldChar w:fldCharType="separate"/>
      </w:r>
      <w:r>
        <w:rPr>
          <w:rStyle w:val="26"/>
          <w:rFonts w:hint="eastAsia"/>
          <w:kern w:val="44"/>
        </w:rPr>
        <w:t>北京市房屋租赁管理若干规定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_Toc428781610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473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7D8EF20">
      <w:pPr>
        <w:pStyle w:val="9"/>
        <w:tabs>
          <w:tab w:val="right" w:leader="middleDot" w:pos="8295"/>
          <w:tab w:val="clear" w:pos="8296"/>
        </w:tabs>
        <w:rPr>
          <w:rFonts w:ascii="Calibri" w:hAnsi="Calibri" w:eastAsia="宋体" w:cs="黑体"/>
        </w:rPr>
      </w:pPr>
      <w:r>
        <w:fldChar w:fldCharType="begin"/>
      </w:r>
      <w:r>
        <w:instrText xml:space="preserve">HYPERLINK  \l "_Toc428781611" </w:instrText>
      </w:r>
      <w:r>
        <w:fldChar w:fldCharType="separate"/>
      </w:r>
      <w:r>
        <w:rPr>
          <w:rStyle w:val="26"/>
          <w:rFonts w:hint="eastAsia"/>
          <w:kern w:val="44"/>
        </w:rPr>
        <w:t>北京市物业管理办法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_Toc428781611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479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FB8CB85">
      <w:pPr>
        <w:pStyle w:val="19"/>
        <w:tabs>
          <w:tab w:val="right" w:leader="middleDot" w:pos="8295"/>
          <w:tab w:val="clear" w:pos="8296"/>
        </w:tabs>
        <w:rPr>
          <w:rStyle w:val="26"/>
        </w:rPr>
      </w:pPr>
    </w:p>
    <w:p w14:paraId="1393B306">
      <w:pPr>
        <w:pStyle w:val="19"/>
        <w:tabs>
          <w:tab w:val="right" w:leader="middleDot" w:pos="8295"/>
          <w:tab w:val="clear" w:pos="8296"/>
        </w:tabs>
        <w:rPr>
          <w:rStyle w:val="26"/>
        </w:rPr>
      </w:pPr>
      <w:r>
        <w:fldChar w:fldCharType="begin"/>
      </w:r>
      <w:r>
        <w:instrText xml:space="preserve">HYPERLINK  \l "_Toc428781612" </w:instrText>
      </w:r>
      <w:r>
        <w:fldChar w:fldCharType="separate"/>
      </w:r>
      <w:r>
        <w:rPr>
          <w:rStyle w:val="26"/>
          <w:rFonts w:hint="eastAsia"/>
        </w:rPr>
        <w:t>（七）农</w:t>
      </w:r>
      <w:r>
        <w:rPr>
          <w:rStyle w:val="26"/>
        </w:rPr>
        <w:t xml:space="preserve">  </w:t>
      </w:r>
      <w:r>
        <w:rPr>
          <w:rStyle w:val="26"/>
          <w:rFonts w:hint="eastAsia"/>
        </w:rPr>
        <w:t>业</w:t>
      </w:r>
      <w:r>
        <w:fldChar w:fldCharType="end"/>
      </w:r>
    </w:p>
    <w:p w14:paraId="029F8FDE"/>
    <w:p w14:paraId="2349A7D2">
      <w:pPr>
        <w:pStyle w:val="9"/>
        <w:tabs>
          <w:tab w:val="right" w:leader="middleDot" w:pos="8295"/>
          <w:tab w:val="clear" w:pos="8296"/>
        </w:tabs>
        <w:rPr>
          <w:rFonts w:ascii="Calibri" w:hAnsi="Calibri" w:eastAsia="宋体" w:cs="黑体"/>
        </w:rPr>
      </w:pPr>
      <w:r>
        <w:fldChar w:fldCharType="begin"/>
      </w:r>
      <w:r>
        <w:instrText xml:space="preserve">HYPERLINK  \l "_Toc428781613" </w:instrText>
      </w:r>
      <w:r>
        <w:fldChar w:fldCharType="separate"/>
      </w:r>
      <w:r>
        <w:rPr>
          <w:rStyle w:val="26"/>
          <w:rFonts w:hint="eastAsia"/>
          <w:kern w:val="44"/>
        </w:rPr>
        <w:t>北京市实施《中华人民共和国渔业法》办法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_Toc428781613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487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43F1A25">
      <w:pPr>
        <w:pStyle w:val="9"/>
        <w:tabs>
          <w:tab w:val="right" w:leader="middleDot" w:pos="8295"/>
          <w:tab w:val="clear" w:pos="8296"/>
        </w:tabs>
        <w:rPr>
          <w:rFonts w:ascii="Calibri" w:hAnsi="Calibri" w:eastAsia="宋体" w:cs="黑体"/>
        </w:rPr>
      </w:pPr>
      <w:r>
        <w:fldChar w:fldCharType="begin"/>
      </w:r>
      <w:r>
        <w:instrText xml:space="preserve">HYPERLINK  \l "_Toc428781614" </w:instrText>
      </w:r>
      <w:r>
        <w:fldChar w:fldCharType="separate"/>
      </w:r>
      <w:r>
        <w:rPr>
          <w:rStyle w:val="26"/>
          <w:rFonts w:hint="eastAsia"/>
          <w:kern w:val="44"/>
        </w:rPr>
        <w:t>北京市农村集体资产管理条例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_Toc428781614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491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43757B9">
      <w:pPr>
        <w:pStyle w:val="9"/>
        <w:tabs>
          <w:tab w:val="right" w:leader="middleDot" w:pos="8295"/>
          <w:tab w:val="clear" w:pos="8296"/>
        </w:tabs>
        <w:rPr>
          <w:rFonts w:ascii="Calibri" w:hAnsi="Calibri" w:eastAsia="宋体" w:cs="黑体"/>
        </w:rPr>
      </w:pPr>
      <w:r>
        <w:fldChar w:fldCharType="begin"/>
      </w:r>
      <w:r>
        <w:instrText xml:space="preserve">HYPERLINK  \l "_Toc428781615" </w:instrText>
      </w:r>
      <w:r>
        <w:fldChar w:fldCharType="separate"/>
      </w:r>
      <w:r>
        <w:rPr>
          <w:rStyle w:val="26"/>
          <w:rFonts w:hint="eastAsia"/>
          <w:kern w:val="44"/>
        </w:rPr>
        <w:t>北京市基本农田保护条例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_Toc428781615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495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99804CB">
      <w:pPr>
        <w:pStyle w:val="9"/>
        <w:tabs>
          <w:tab w:val="right" w:leader="middleDot" w:pos="8295"/>
          <w:tab w:val="clear" w:pos="8296"/>
        </w:tabs>
        <w:rPr>
          <w:rFonts w:ascii="Calibri" w:hAnsi="Calibri" w:eastAsia="宋体" w:cs="黑体"/>
        </w:rPr>
      </w:pPr>
      <w:r>
        <w:fldChar w:fldCharType="begin"/>
      </w:r>
      <w:r>
        <w:instrText xml:space="preserve">HYPERLINK  \l "_Toc428781616" </w:instrText>
      </w:r>
      <w:r>
        <w:fldChar w:fldCharType="separate"/>
      </w:r>
      <w:r>
        <w:rPr>
          <w:rStyle w:val="26"/>
          <w:rFonts w:hint="eastAsia"/>
          <w:kern w:val="44"/>
        </w:rPr>
        <w:t>北京市农民负担管理条例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_Toc428781616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498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0802F8E">
      <w:pPr>
        <w:pStyle w:val="9"/>
        <w:tabs>
          <w:tab w:val="right" w:leader="middleDot" w:pos="8295"/>
          <w:tab w:val="clear" w:pos="8296"/>
        </w:tabs>
        <w:rPr>
          <w:rFonts w:ascii="Calibri" w:hAnsi="Calibri" w:eastAsia="宋体" w:cs="黑体"/>
        </w:rPr>
      </w:pPr>
      <w:r>
        <w:fldChar w:fldCharType="begin"/>
      </w:r>
      <w:r>
        <w:instrText xml:space="preserve">HYPERLINK  \l "_Toc428781617" </w:instrText>
      </w:r>
      <w:r>
        <w:fldChar w:fldCharType="separate"/>
      </w:r>
      <w:r>
        <w:rPr>
          <w:rStyle w:val="26"/>
          <w:rFonts w:hint="eastAsia"/>
          <w:kern w:val="44"/>
        </w:rPr>
        <w:t>北京市农村集体所有荒山荒滩租赁条例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_Toc428781617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502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549484D">
      <w:pPr>
        <w:pStyle w:val="9"/>
        <w:tabs>
          <w:tab w:val="right" w:leader="middleDot" w:pos="8295"/>
          <w:tab w:val="clear" w:pos="8296"/>
        </w:tabs>
        <w:rPr>
          <w:rFonts w:ascii="Calibri" w:hAnsi="Calibri" w:eastAsia="宋体" w:cs="黑体"/>
        </w:rPr>
      </w:pPr>
      <w:r>
        <w:fldChar w:fldCharType="begin"/>
      </w:r>
      <w:r>
        <w:instrText xml:space="preserve">HYPERLINK  \l "_Toc428781618" </w:instrText>
      </w:r>
      <w:r>
        <w:fldChar w:fldCharType="separate"/>
      </w:r>
      <w:r>
        <w:rPr>
          <w:rStyle w:val="26"/>
          <w:rFonts w:hint="eastAsia"/>
          <w:kern w:val="44"/>
        </w:rPr>
        <w:t>北京市实施《中华人民共和国</w:t>
      </w:r>
      <w:r>
        <w:fldChar w:fldCharType="end"/>
      </w:r>
      <w:r>
        <w:fldChar w:fldCharType="begin"/>
      </w:r>
      <w:r>
        <w:instrText xml:space="preserve">HYPERLINK  \l "_Toc428781619" </w:instrText>
      </w:r>
      <w:r>
        <w:fldChar w:fldCharType="separate"/>
      </w:r>
      <w:r>
        <w:rPr>
          <w:rStyle w:val="26"/>
          <w:rFonts w:hint="eastAsia"/>
          <w:kern w:val="44"/>
        </w:rPr>
        <w:t>农业技术推广法》办法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_Toc428781619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505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69AE293">
      <w:pPr>
        <w:pStyle w:val="9"/>
        <w:tabs>
          <w:tab w:val="right" w:leader="middleDot" w:pos="8295"/>
          <w:tab w:val="clear" w:pos="8296"/>
        </w:tabs>
        <w:rPr>
          <w:rFonts w:hint="eastAsia" w:ascii="创艺简中圆" w:hAnsi="创艺简中圆" w:eastAsia="创艺简中圆" w:cs="创艺简中圆"/>
        </w:rPr>
      </w:pPr>
      <w:r>
        <w:fldChar w:fldCharType="begin"/>
      </w:r>
      <w:r>
        <w:instrText xml:space="preserve">HYPERLINK  \l "_Toc428781620" </w:instrText>
      </w:r>
      <w:r>
        <w:fldChar w:fldCharType="separate"/>
      </w:r>
      <w:r>
        <w:rPr>
          <w:rStyle w:val="26"/>
          <w:rFonts w:hint="eastAsia"/>
          <w:kern w:val="44"/>
        </w:rPr>
        <w:t>北京市农业承包合同条例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_Toc428781620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509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1E0E6BD">
      <w:pPr>
        <w:pStyle w:val="9"/>
        <w:tabs>
          <w:tab w:val="right" w:leader="middleDot" w:pos="8295"/>
          <w:tab w:val="clear" w:pos="8296"/>
        </w:tabs>
        <w:rPr>
          <w:rFonts w:ascii="Calibri" w:hAnsi="Calibri" w:eastAsia="宋体" w:cs="黑体"/>
        </w:rPr>
      </w:pPr>
      <w:r>
        <w:fldChar w:fldCharType="begin"/>
      </w:r>
      <w:r>
        <w:instrText xml:space="preserve">HYPERLINK  \l "_Toc428781621" </w:instrText>
      </w:r>
      <w:r>
        <w:fldChar w:fldCharType="separate"/>
      </w:r>
      <w:r>
        <w:rPr>
          <w:rStyle w:val="26"/>
          <w:rFonts w:hint="eastAsia"/>
          <w:kern w:val="44"/>
        </w:rPr>
        <w:t>北京市实施《中华人民共和国种子法》办法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_Toc428781621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513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702A970">
      <w:pPr>
        <w:pStyle w:val="9"/>
        <w:tabs>
          <w:tab w:val="right" w:leader="middleDot" w:pos="8295"/>
          <w:tab w:val="clear" w:pos="8296"/>
        </w:tabs>
        <w:rPr>
          <w:rFonts w:ascii="Calibri" w:hAnsi="Calibri" w:eastAsia="宋体" w:cs="黑体"/>
        </w:rPr>
      </w:pPr>
      <w:r>
        <w:fldChar w:fldCharType="begin"/>
      </w:r>
      <w:r>
        <w:instrText xml:space="preserve">HYPERLINK  \l "_Toc428781622" </w:instrText>
      </w:r>
      <w:r>
        <w:fldChar w:fldCharType="separate"/>
      </w:r>
      <w:r>
        <w:rPr>
          <w:rStyle w:val="26"/>
          <w:rFonts w:hint="eastAsia"/>
          <w:kern w:val="44"/>
        </w:rPr>
        <w:t>北京市实施《中华人民共和国</w:t>
      </w:r>
      <w:r>
        <w:fldChar w:fldCharType="end"/>
      </w:r>
      <w:r>
        <w:fldChar w:fldCharType="begin"/>
      </w:r>
      <w:r>
        <w:instrText xml:space="preserve">HYPERLINK  \l "_Toc428781623" </w:instrText>
      </w:r>
      <w:r>
        <w:fldChar w:fldCharType="separate"/>
      </w:r>
      <w:r>
        <w:rPr>
          <w:rStyle w:val="26"/>
          <w:rFonts w:hint="eastAsia"/>
          <w:kern w:val="44"/>
        </w:rPr>
        <w:t>农民专业合作社法》办法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_Toc428781623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520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76C7FFF">
      <w:pPr>
        <w:pStyle w:val="9"/>
        <w:tabs>
          <w:tab w:val="right" w:leader="middleDot" w:pos="8295"/>
          <w:tab w:val="clear" w:pos="8296"/>
        </w:tabs>
        <w:rPr>
          <w:rFonts w:ascii="Calibri" w:hAnsi="Calibri" w:eastAsia="宋体" w:cs="黑体"/>
        </w:rPr>
      </w:pPr>
      <w:r>
        <w:fldChar w:fldCharType="begin"/>
      </w:r>
      <w:r>
        <w:instrText xml:space="preserve">HYPERLINK  \l "_Toc428781624" </w:instrText>
      </w:r>
      <w:r>
        <w:fldChar w:fldCharType="separate"/>
      </w:r>
      <w:r>
        <w:rPr>
          <w:rStyle w:val="26"/>
          <w:rFonts w:hint="eastAsia"/>
          <w:kern w:val="44"/>
        </w:rPr>
        <w:t>北京市农业机械化促进条例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_Toc428781624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527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6FE6504">
      <w:pPr>
        <w:pStyle w:val="9"/>
        <w:tabs>
          <w:tab w:val="right" w:leader="middleDot" w:pos="8295"/>
          <w:tab w:val="clear" w:pos="8296"/>
        </w:tabs>
        <w:rPr>
          <w:rFonts w:ascii="Calibri" w:hAnsi="Calibri" w:eastAsia="宋体" w:cs="黑体"/>
        </w:rPr>
      </w:pPr>
      <w:r>
        <w:fldChar w:fldCharType="begin"/>
      </w:r>
      <w:r>
        <w:instrText xml:space="preserve">HYPERLINK  \l "_Toc428781625" </w:instrText>
      </w:r>
      <w:r>
        <w:fldChar w:fldCharType="separate"/>
      </w:r>
      <w:r>
        <w:rPr>
          <w:rStyle w:val="26"/>
          <w:rFonts w:hint="eastAsia"/>
          <w:kern w:val="44"/>
        </w:rPr>
        <w:t>北京市农业承包合同纠纷仲裁办法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_Toc428781625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533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5A256F6">
      <w:pPr>
        <w:pStyle w:val="9"/>
        <w:tabs>
          <w:tab w:val="right" w:leader="middleDot" w:pos="8295"/>
          <w:tab w:val="clear" w:pos="8296"/>
        </w:tabs>
        <w:rPr>
          <w:rFonts w:ascii="Calibri" w:hAnsi="Calibri" w:eastAsia="宋体" w:cs="黑体"/>
        </w:rPr>
      </w:pPr>
      <w:r>
        <w:fldChar w:fldCharType="begin"/>
      </w:r>
      <w:r>
        <w:instrText xml:space="preserve">HYPERLINK  \l "_Toc428781626" </w:instrText>
      </w:r>
      <w:r>
        <w:fldChar w:fldCharType="separate"/>
      </w:r>
      <w:r>
        <w:rPr>
          <w:rStyle w:val="26"/>
          <w:rFonts w:hint="eastAsia"/>
          <w:kern w:val="44"/>
        </w:rPr>
        <w:t>北京市实施《森林病虫害防治条例》若干规定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_Toc428781626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535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114F7DF">
      <w:pPr>
        <w:pStyle w:val="9"/>
        <w:tabs>
          <w:tab w:val="right" w:leader="middleDot" w:pos="8295"/>
          <w:tab w:val="clear" w:pos="8296"/>
        </w:tabs>
        <w:rPr>
          <w:rFonts w:ascii="Calibri" w:hAnsi="Calibri" w:eastAsia="宋体" w:cs="黑体"/>
        </w:rPr>
      </w:pPr>
      <w:r>
        <w:fldChar w:fldCharType="begin"/>
      </w:r>
      <w:r>
        <w:instrText xml:space="preserve">HYPERLINK  \l "_Toc428781627" </w:instrText>
      </w:r>
      <w:r>
        <w:fldChar w:fldCharType="separate"/>
      </w:r>
      <w:r>
        <w:rPr>
          <w:rStyle w:val="26"/>
          <w:rFonts w:hint="eastAsia"/>
          <w:kern w:val="44"/>
        </w:rPr>
        <w:t>北京市农业机械安全监督管理办法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_Toc428781627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537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440895B">
      <w:pPr>
        <w:pStyle w:val="9"/>
        <w:tabs>
          <w:tab w:val="right" w:leader="middleDot" w:pos="8295"/>
          <w:tab w:val="clear" w:pos="8296"/>
        </w:tabs>
        <w:rPr>
          <w:rFonts w:ascii="Calibri" w:hAnsi="Calibri" w:eastAsia="宋体" w:cs="黑体"/>
        </w:rPr>
      </w:pPr>
      <w:r>
        <w:fldChar w:fldCharType="begin"/>
      </w:r>
      <w:r>
        <w:instrText xml:space="preserve">HYPERLINK  \l "_Toc428781628" </w:instrText>
      </w:r>
      <w:r>
        <w:fldChar w:fldCharType="separate"/>
      </w:r>
      <w:r>
        <w:rPr>
          <w:rStyle w:val="26"/>
          <w:rFonts w:hint="eastAsia"/>
          <w:kern w:val="44"/>
        </w:rPr>
        <w:t>北京市实施《水产资源繁殖保护条例》若干规定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_Toc428781628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539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26773CB">
      <w:pPr>
        <w:pStyle w:val="19"/>
        <w:tabs>
          <w:tab w:val="right" w:leader="middleDot" w:pos="8295"/>
          <w:tab w:val="clear" w:pos="8296"/>
        </w:tabs>
        <w:rPr>
          <w:rStyle w:val="26"/>
        </w:rPr>
      </w:pPr>
    </w:p>
    <w:p w14:paraId="6B3B969F">
      <w:pPr>
        <w:pStyle w:val="19"/>
        <w:tabs>
          <w:tab w:val="right" w:leader="middleDot" w:pos="8295"/>
          <w:tab w:val="clear" w:pos="8296"/>
        </w:tabs>
        <w:rPr>
          <w:rStyle w:val="26"/>
        </w:rPr>
      </w:pPr>
      <w:r>
        <w:fldChar w:fldCharType="begin"/>
      </w:r>
      <w:r>
        <w:instrText xml:space="preserve">HYPERLINK  \l "_Toc428781629" </w:instrText>
      </w:r>
      <w:r>
        <w:fldChar w:fldCharType="separate"/>
      </w:r>
      <w:r>
        <w:rPr>
          <w:rStyle w:val="26"/>
          <w:rFonts w:hint="eastAsia"/>
        </w:rPr>
        <w:t>（八）审</w:t>
      </w:r>
      <w:r>
        <w:rPr>
          <w:rStyle w:val="26"/>
        </w:rPr>
        <w:t xml:space="preserve">  </w:t>
      </w:r>
      <w:r>
        <w:rPr>
          <w:rStyle w:val="26"/>
          <w:rFonts w:hint="eastAsia"/>
        </w:rPr>
        <w:t>计</w:t>
      </w:r>
      <w:r>
        <w:fldChar w:fldCharType="end"/>
      </w:r>
    </w:p>
    <w:p w14:paraId="5CDE7B23"/>
    <w:p w14:paraId="51B5A2C3">
      <w:pPr>
        <w:pStyle w:val="9"/>
        <w:tabs>
          <w:tab w:val="right" w:leader="middleDot" w:pos="8295"/>
          <w:tab w:val="clear" w:pos="8296"/>
        </w:tabs>
        <w:rPr>
          <w:rFonts w:ascii="Calibri" w:hAnsi="Calibri" w:eastAsia="宋体" w:cs="黑体"/>
        </w:rPr>
      </w:pPr>
      <w:r>
        <w:fldChar w:fldCharType="begin"/>
      </w:r>
      <w:r>
        <w:instrText xml:space="preserve">HYPERLINK  \l "_Toc428781630" </w:instrText>
      </w:r>
      <w:r>
        <w:fldChar w:fldCharType="separate"/>
      </w:r>
      <w:r>
        <w:rPr>
          <w:rStyle w:val="26"/>
          <w:rFonts w:hint="eastAsia"/>
          <w:kern w:val="44"/>
        </w:rPr>
        <w:t>北京市农村集体经济审计条例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_Toc428781630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540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32C29DE">
      <w:pPr>
        <w:pStyle w:val="9"/>
        <w:tabs>
          <w:tab w:val="right" w:leader="middleDot" w:pos="8295"/>
          <w:tab w:val="clear" w:pos="8296"/>
        </w:tabs>
        <w:rPr>
          <w:rFonts w:ascii="Calibri" w:hAnsi="Calibri" w:eastAsia="宋体" w:cs="黑体"/>
        </w:rPr>
      </w:pPr>
      <w:r>
        <w:fldChar w:fldCharType="begin"/>
      </w:r>
      <w:r>
        <w:instrText xml:space="preserve">HYPERLINK  \l "_Toc428781631" </w:instrText>
      </w:r>
      <w:r>
        <w:fldChar w:fldCharType="separate"/>
      </w:r>
      <w:r>
        <w:rPr>
          <w:rStyle w:val="26"/>
          <w:rFonts w:hint="eastAsia"/>
          <w:kern w:val="44"/>
        </w:rPr>
        <w:t>北京市审计条例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_Toc428781631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544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A82BE1E">
      <w:pPr>
        <w:pStyle w:val="9"/>
        <w:tabs>
          <w:tab w:val="right" w:leader="middleDot" w:pos="8295"/>
          <w:tab w:val="clear" w:pos="8296"/>
        </w:tabs>
        <w:rPr>
          <w:rFonts w:ascii="Calibri" w:hAnsi="Calibri" w:eastAsia="宋体" w:cs="黑体"/>
        </w:rPr>
      </w:pPr>
      <w:r>
        <w:fldChar w:fldCharType="begin"/>
      </w:r>
      <w:r>
        <w:instrText xml:space="preserve">HYPERLINK  \l "_Toc428781632" </w:instrText>
      </w:r>
      <w:r>
        <w:fldChar w:fldCharType="separate"/>
      </w:r>
      <w:r>
        <w:rPr>
          <w:rStyle w:val="26"/>
          <w:rFonts w:hint="eastAsia"/>
          <w:kern w:val="44"/>
        </w:rPr>
        <w:t>北京市预算执行情况审计监督暂行办法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_Toc428781632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549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3AAF85F">
      <w:pPr>
        <w:pStyle w:val="19"/>
        <w:tabs>
          <w:tab w:val="right" w:leader="middleDot" w:pos="8295"/>
          <w:tab w:val="clear" w:pos="8296"/>
        </w:tabs>
        <w:rPr>
          <w:rStyle w:val="26"/>
        </w:rPr>
      </w:pPr>
    </w:p>
    <w:p w14:paraId="6680BC15">
      <w:pPr>
        <w:pStyle w:val="19"/>
        <w:tabs>
          <w:tab w:val="right" w:leader="middleDot" w:pos="8295"/>
          <w:tab w:val="clear" w:pos="8296"/>
        </w:tabs>
        <w:rPr>
          <w:rStyle w:val="26"/>
        </w:rPr>
      </w:pPr>
      <w:r>
        <w:fldChar w:fldCharType="begin"/>
      </w:r>
      <w:r>
        <w:instrText xml:space="preserve">HYPERLINK  \l "_Toc428781633" </w:instrText>
      </w:r>
      <w:r>
        <w:fldChar w:fldCharType="separate"/>
      </w:r>
      <w:r>
        <w:rPr>
          <w:rStyle w:val="26"/>
          <w:rFonts w:hint="eastAsia"/>
        </w:rPr>
        <w:t>（九）统</w:t>
      </w:r>
      <w:r>
        <w:rPr>
          <w:rStyle w:val="26"/>
        </w:rPr>
        <w:t xml:space="preserve">  </w:t>
      </w:r>
      <w:r>
        <w:rPr>
          <w:rStyle w:val="26"/>
          <w:rFonts w:hint="eastAsia"/>
        </w:rPr>
        <w:t>计</w:t>
      </w:r>
      <w:r>
        <w:fldChar w:fldCharType="end"/>
      </w:r>
    </w:p>
    <w:p w14:paraId="553289F8"/>
    <w:p w14:paraId="0CD660C8">
      <w:pPr>
        <w:pStyle w:val="9"/>
        <w:tabs>
          <w:tab w:val="right" w:leader="middleDot" w:pos="8295"/>
          <w:tab w:val="clear" w:pos="8296"/>
        </w:tabs>
        <w:rPr>
          <w:rFonts w:ascii="Calibri" w:hAnsi="Calibri" w:eastAsia="宋体" w:cs="黑体"/>
        </w:rPr>
      </w:pPr>
      <w:r>
        <w:fldChar w:fldCharType="begin"/>
      </w:r>
      <w:r>
        <w:instrText xml:space="preserve">HYPERLINK  \l "_Toc428781634" </w:instrText>
      </w:r>
      <w:r>
        <w:fldChar w:fldCharType="separate"/>
      </w:r>
      <w:r>
        <w:rPr>
          <w:rStyle w:val="26"/>
          <w:rFonts w:hint="eastAsia"/>
          <w:kern w:val="44"/>
        </w:rPr>
        <w:t>北京市统计管理条例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_Toc428781634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552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BEC64A4">
      <w:pPr>
        <w:pStyle w:val="19"/>
        <w:tabs>
          <w:tab w:val="right" w:leader="middleDot" w:pos="8295"/>
          <w:tab w:val="clear" w:pos="8296"/>
        </w:tabs>
        <w:rPr>
          <w:rStyle w:val="26"/>
        </w:rPr>
      </w:pPr>
    </w:p>
    <w:p w14:paraId="6EF6E883">
      <w:pPr>
        <w:pStyle w:val="19"/>
        <w:tabs>
          <w:tab w:val="right" w:leader="middleDot" w:pos="8295"/>
          <w:tab w:val="clear" w:pos="8296"/>
        </w:tabs>
        <w:rPr>
          <w:rStyle w:val="26"/>
        </w:rPr>
      </w:pPr>
      <w:r>
        <w:fldChar w:fldCharType="begin"/>
      </w:r>
      <w:r>
        <w:instrText xml:space="preserve">HYPERLINK  \l "_Toc428781635" </w:instrText>
      </w:r>
      <w:r>
        <w:fldChar w:fldCharType="separate"/>
      </w:r>
      <w:r>
        <w:rPr>
          <w:rStyle w:val="26"/>
          <w:rFonts w:hint="eastAsia"/>
        </w:rPr>
        <w:t>（十）价格管理</w:t>
      </w:r>
      <w:r>
        <w:fldChar w:fldCharType="end"/>
      </w:r>
    </w:p>
    <w:p w14:paraId="2C406C2F"/>
    <w:p w14:paraId="6CBB8AA4">
      <w:pPr>
        <w:pStyle w:val="9"/>
        <w:tabs>
          <w:tab w:val="right" w:leader="middleDot" w:pos="8295"/>
          <w:tab w:val="clear" w:pos="8296"/>
        </w:tabs>
        <w:rPr>
          <w:rFonts w:ascii="Calibri" w:hAnsi="Calibri" w:eastAsia="宋体" w:cs="黑体"/>
        </w:rPr>
      </w:pPr>
      <w:r>
        <w:fldChar w:fldCharType="begin"/>
      </w:r>
      <w:r>
        <w:instrText xml:space="preserve">HYPERLINK  \l "_Toc428781636" </w:instrText>
      </w:r>
      <w:r>
        <w:fldChar w:fldCharType="separate"/>
      </w:r>
      <w:r>
        <w:rPr>
          <w:rStyle w:val="26"/>
          <w:rFonts w:hint="eastAsia"/>
          <w:kern w:val="44"/>
        </w:rPr>
        <w:t>北京市涉案财产价格鉴定管理办法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_Toc428781636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557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0FFA18B">
      <w:pPr>
        <w:pStyle w:val="9"/>
        <w:tabs>
          <w:tab w:val="right" w:leader="middleDot" w:pos="8295"/>
          <w:tab w:val="clear" w:pos="8296"/>
        </w:tabs>
        <w:rPr>
          <w:rFonts w:ascii="Calibri" w:hAnsi="Calibri" w:eastAsia="宋体" w:cs="黑体"/>
        </w:rPr>
      </w:pPr>
      <w:r>
        <w:fldChar w:fldCharType="begin"/>
      </w:r>
      <w:r>
        <w:instrText xml:space="preserve">HYPERLINK  \l "_Toc428781637" </w:instrText>
      </w:r>
      <w:r>
        <w:fldChar w:fldCharType="separate"/>
      </w:r>
      <w:r>
        <w:rPr>
          <w:rStyle w:val="26"/>
          <w:rFonts w:hint="eastAsia"/>
          <w:kern w:val="44"/>
        </w:rPr>
        <w:t>北京市价格监测办法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_Toc428781637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560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BB12FDF">
      <w:pPr>
        <w:pStyle w:val="19"/>
        <w:tabs>
          <w:tab w:val="right" w:leader="middleDot" w:pos="8295"/>
          <w:tab w:val="clear" w:pos="8296"/>
        </w:tabs>
        <w:spacing w:line="300" w:lineRule="exact"/>
        <w:rPr>
          <w:rStyle w:val="26"/>
        </w:rPr>
      </w:pPr>
    </w:p>
    <w:p w14:paraId="2AFA5EAD">
      <w:pPr>
        <w:pStyle w:val="19"/>
        <w:tabs>
          <w:tab w:val="right" w:leader="middleDot" w:pos="8295"/>
          <w:tab w:val="clear" w:pos="8296"/>
        </w:tabs>
        <w:rPr>
          <w:rStyle w:val="26"/>
        </w:rPr>
      </w:pPr>
      <w:r>
        <w:fldChar w:fldCharType="begin"/>
      </w:r>
      <w:r>
        <w:instrText xml:space="preserve">HYPERLINK  \l "_Toc428781638" </w:instrText>
      </w:r>
      <w:r>
        <w:fldChar w:fldCharType="separate"/>
      </w:r>
      <w:r>
        <w:rPr>
          <w:rStyle w:val="26"/>
          <w:rFonts w:hint="eastAsia"/>
        </w:rPr>
        <w:t>（十一）质量监督</w:t>
      </w:r>
      <w:r>
        <w:fldChar w:fldCharType="end"/>
      </w:r>
    </w:p>
    <w:p w14:paraId="5E22CC93">
      <w:pPr>
        <w:spacing w:line="300" w:lineRule="exact"/>
      </w:pPr>
    </w:p>
    <w:p w14:paraId="470EE503">
      <w:pPr>
        <w:pStyle w:val="9"/>
        <w:tabs>
          <w:tab w:val="right" w:leader="middleDot" w:pos="8295"/>
          <w:tab w:val="clear" w:pos="8296"/>
        </w:tabs>
        <w:rPr>
          <w:rFonts w:ascii="Calibri" w:hAnsi="Calibri" w:eastAsia="宋体" w:cs="黑体"/>
        </w:rPr>
      </w:pPr>
      <w:r>
        <w:fldChar w:fldCharType="begin"/>
      </w:r>
      <w:r>
        <w:instrText xml:space="preserve">HYPERLINK  \l "_Toc428781639" </w:instrText>
      </w:r>
      <w:r>
        <w:fldChar w:fldCharType="separate"/>
      </w:r>
      <w:r>
        <w:rPr>
          <w:rStyle w:val="26"/>
          <w:rFonts w:hint="eastAsia"/>
          <w:kern w:val="44"/>
        </w:rPr>
        <w:t>北京市产品质量监督管理条例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_Toc428781639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563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3094BB8">
      <w:pPr>
        <w:pStyle w:val="9"/>
        <w:tabs>
          <w:tab w:val="right" w:leader="middleDot" w:pos="8295"/>
          <w:tab w:val="clear" w:pos="8296"/>
        </w:tabs>
        <w:rPr>
          <w:rFonts w:ascii="Calibri" w:hAnsi="Calibri" w:eastAsia="宋体" w:cs="黑体"/>
        </w:rPr>
      </w:pPr>
      <w:r>
        <w:fldChar w:fldCharType="begin"/>
      </w:r>
      <w:r>
        <w:instrText xml:space="preserve">HYPERLINK  \l "_Toc428781640" </w:instrText>
      </w:r>
      <w:r>
        <w:fldChar w:fldCharType="separate"/>
      </w:r>
      <w:r>
        <w:rPr>
          <w:rStyle w:val="26"/>
          <w:rFonts w:hint="eastAsia"/>
          <w:kern w:val="44"/>
        </w:rPr>
        <w:t>北京市实施《中华人民共和国强制检定的</w:t>
      </w:r>
      <w:r>
        <w:fldChar w:fldCharType="end"/>
      </w:r>
      <w:r>
        <w:fldChar w:fldCharType="begin"/>
      </w:r>
      <w:r>
        <w:instrText xml:space="preserve">HYPERLINK  \l "_Toc428781641" </w:instrText>
      </w:r>
      <w:r>
        <w:fldChar w:fldCharType="separate"/>
      </w:r>
      <w:r>
        <w:rPr>
          <w:rStyle w:val="26"/>
          <w:rFonts w:hint="eastAsia"/>
          <w:kern w:val="44"/>
        </w:rPr>
        <w:t>工作计量器具检定管理办法》的若干            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_Toc428781641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568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94143F7">
      <w:pPr>
        <w:pStyle w:val="9"/>
        <w:tabs>
          <w:tab w:val="right" w:leader="middleDot" w:pos="8295"/>
          <w:tab w:val="clear" w:pos="8296"/>
        </w:tabs>
        <w:rPr>
          <w:rFonts w:ascii="Calibri" w:hAnsi="Calibri" w:eastAsia="宋体" w:cs="黑体"/>
        </w:rPr>
      </w:pPr>
      <w:r>
        <w:fldChar w:fldCharType="begin"/>
      </w:r>
      <w:r>
        <w:instrText xml:space="preserve">HYPERLINK  \l "_Toc428781642" </w:instrText>
      </w:r>
      <w:r>
        <w:fldChar w:fldCharType="separate"/>
      </w:r>
      <w:r>
        <w:rPr>
          <w:rStyle w:val="26"/>
          <w:rFonts w:hint="eastAsia"/>
          <w:kern w:val="44"/>
        </w:rPr>
        <w:t>北京市工业产品企业标准备案规定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_Toc428781642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570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E68B96B">
      <w:pPr>
        <w:pStyle w:val="9"/>
        <w:tabs>
          <w:tab w:val="right" w:leader="middleDot" w:pos="8295"/>
          <w:tab w:val="clear" w:pos="8296"/>
        </w:tabs>
        <w:rPr>
          <w:rFonts w:ascii="Calibri" w:hAnsi="Calibri" w:eastAsia="宋体" w:cs="黑体"/>
        </w:rPr>
      </w:pPr>
      <w:r>
        <w:fldChar w:fldCharType="begin"/>
      </w:r>
      <w:r>
        <w:instrText xml:space="preserve">HYPERLINK  \l "_Toc428781643" </w:instrText>
      </w:r>
      <w:r>
        <w:fldChar w:fldCharType="separate"/>
      </w:r>
      <w:r>
        <w:rPr>
          <w:rStyle w:val="26"/>
          <w:rFonts w:hint="eastAsia"/>
          <w:kern w:val="44"/>
        </w:rPr>
        <w:t>北京市关于在公众交易中禁止使用杆秤的规定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_Toc428781643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571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B21A36F">
      <w:pPr>
        <w:pStyle w:val="9"/>
        <w:tabs>
          <w:tab w:val="right" w:leader="middleDot" w:pos="8295"/>
          <w:tab w:val="clear" w:pos="8296"/>
        </w:tabs>
        <w:rPr>
          <w:rFonts w:ascii="Calibri" w:hAnsi="Calibri" w:eastAsia="宋体" w:cs="黑体"/>
        </w:rPr>
      </w:pPr>
      <w:r>
        <w:fldChar w:fldCharType="begin"/>
      </w:r>
      <w:r>
        <w:instrText xml:space="preserve">HYPERLINK  \l "_Toc428781644" </w:instrText>
      </w:r>
      <w:r>
        <w:fldChar w:fldCharType="separate"/>
      </w:r>
      <w:r>
        <w:rPr>
          <w:rStyle w:val="26"/>
          <w:rFonts w:hint="eastAsia"/>
          <w:kern w:val="44"/>
        </w:rPr>
        <w:t>北京市计量监督管理规定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_Toc428781644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572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59FFAC9">
      <w:pPr>
        <w:pStyle w:val="19"/>
        <w:tabs>
          <w:tab w:val="right" w:leader="middleDot" w:pos="8295"/>
          <w:tab w:val="clear" w:pos="8296"/>
        </w:tabs>
        <w:rPr>
          <w:rStyle w:val="26"/>
        </w:rPr>
      </w:pPr>
    </w:p>
    <w:p w14:paraId="3D9AF414">
      <w:pPr>
        <w:pStyle w:val="19"/>
        <w:tabs>
          <w:tab w:val="right" w:leader="middleDot" w:pos="8295"/>
          <w:tab w:val="clear" w:pos="8296"/>
        </w:tabs>
        <w:rPr>
          <w:rStyle w:val="26"/>
        </w:rPr>
      </w:pPr>
      <w:r>
        <w:fldChar w:fldCharType="begin"/>
      </w:r>
      <w:r>
        <w:instrText xml:space="preserve">HYPERLINK  \l "_Toc428781645" </w:instrText>
      </w:r>
      <w:r>
        <w:fldChar w:fldCharType="separate"/>
      </w:r>
      <w:r>
        <w:rPr>
          <w:rStyle w:val="26"/>
          <w:rFonts w:hint="eastAsia"/>
        </w:rPr>
        <w:t>（十二）检验检疫</w:t>
      </w:r>
      <w:r>
        <w:fldChar w:fldCharType="end"/>
      </w:r>
    </w:p>
    <w:p w14:paraId="024FF767"/>
    <w:p w14:paraId="3B43321A">
      <w:pPr>
        <w:pStyle w:val="9"/>
        <w:tabs>
          <w:tab w:val="right" w:leader="middleDot" w:pos="8295"/>
          <w:tab w:val="clear" w:pos="8296"/>
        </w:tabs>
        <w:rPr>
          <w:rFonts w:ascii="Calibri" w:hAnsi="Calibri" w:eastAsia="宋体" w:cs="黑体"/>
        </w:rPr>
      </w:pPr>
      <w:r>
        <w:fldChar w:fldCharType="begin"/>
      </w:r>
      <w:r>
        <w:instrText xml:space="preserve">HYPERLINK  \l "_Toc428781646" </w:instrText>
      </w:r>
      <w:r>
        <w:fldChar w:fldCharType="separate"/>
      </w:r>
      <w:r>
        <w:rPr>
          <w:rStyle w:val="26"/>
          <w:rFonts w:hint="eastAsia"/>
          <w:kern w:val="44"/>
        </w:rPr>
        <w:t>北京市动物防疫条例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_Toc428781646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575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6572D77">
      <w:pPr>
        <w:pStyle w:val="9"/>
        <w:tabs>
          <w:tab w:val="right" w:leader="middleDot" w:pos="8295"/>
          <w:tab w:val="clear" w:pos="8296"/>
        </w:tabs>
        <w:rPr>
          <w:rFonts w:ascii="Calibri" w:hAnsi="Calibri" w:eastAsia="宋体" w:cs="黑体"/>
        </w:rPr>
      </w:pPr>
      <w:r>
        <w:fldChar w:fldCharType="begin"/>
      </w:r>
      <w:r>
        <w:instrText xml:space="preserve">HYPERLINK  \l "_Toc428781647" </w:instrText>
      </w:r>
      <w:r>
        <w:fldChar w:fldCharType="separate"/>
      </w:r>
      <w:r>
        <w:rPr>
          <w:rStyle w:val="26"/>
          <w:rFonts w:hint="eastAsia"/>
          <w:kern w:val="44"/>
        </w:rPr>
        <w:t>北京市林业植物检疫办法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_Toc428781647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585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F6FCCDC">
      <w:pPr>
        <w:pStyle w:val="9"/>
        <w:tabs>
          <w:tab w:val="right" w:leader="middleDot" w:pos="8295"/>
          <w:tab w:val="clear" w:pos="8296"/>
        </w:tabs>
        <w:rPr>
          <w:rFonts w:ascii="Calibri" w:hAnsi="Calibri" w:eastAsia="宋体" w:cs="黑体"/>
        </w:rPr>
      </w:pPr>
      <w:r>
        <w:fldChar w:fldCharType="begin"/>
      </w:r>
      <w:r>
        <w:instrText xml:space="preserve">HYPERLINK  \l "_Toc428781648" </w:instrText>
      </w:r>
      <w:r>
        <w:fldChar w:fldCharType="separate"/>
      </w:r>
      <w:r>
        <w:rPr>
          <w:rStyle w:val="26"/>
          <w:rFonts w:hint="eastAsia"/>
          <w:kern w:val="44"/>
        </w:rPr>
        <w:t>北京市农业植物检疫办法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_Toc428781648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589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72D51FF">
      <w:pPr>
        <w:pStyle w:val="19"/>
        <w:tabs>
          <w:tab w:val="right" w:leader="middleDot" w:pos="8295"/>
          <w:tab w:val="clear" w:pos="8296"/>
        </w:tabs>
        <w:rPr>
          <w:rStyle w:val="26"/>
        </w:rPr>
      </w:pPr>
    </w:p>
    <w:p w14:paraId="5240B1F2">
      <w:pPr>
        <w:pStyle w:val="19"/>
        <w:tabs>
          <w:tab w:val="right" w:leader="middleDot" w:pos="8295"/>
          <w:tab w:val="clear" w:pos="8296"/>
        </w:tabs>
        <w:rPr>
          <w:rStyle w:val="26"/>
        </w:rPr>
      </w:pPr>
      <w:r>
        <w:fldChar w:fldCharType="begin"/>
      </w:r>
      <w:r>
        <w:instrText xml:space="preserve">HYPERLINK  \l "_Toc428781649" </w:instrText>
      </w:r>
      <w:r>
        <w:fldChar w:fldCharType="separate"/>
      </w:r>
      <w:r>
        <w:rPr>
          <w:rStyle w:val="26"/>
          <w:rFonts w:hint="eastAsia"/>
        </w:rPr>
        <w:t>（十三）知识产权</w:t>
      </w:r>
      <w:r>
        <w:fldChar w:fldCharType="end"/>
      </w:r>
    </w:p>
    <w:p w14:paraId="56FEB00B"/>
    <w:p w14:paraId="06F4017B">
      <w:pPr>
        <w:pStyle w:val="9"/>
        <w:tabs>
          <w:tab w:val="right" w:leader="middleDot" w:pos="8295"/>
          <w:tab w:val="clear" w:pos="8296"/>
        </w:tabs>
        <w:rPr>
          <w:rFonts w:ascii="Calibri" w:hAnsi="Calibri" w:eastAsia="宋体" w:cs="黑体"/>
        </w:rPr>
      </w:pPr>
      <w:r>
        <w:fldChar w:fldCharType="begin"/>
      </w:r>
      <w:r>
        <w:instrText xml:space="preserve">HYPERLINK  \l "_Toc428781650" </w:instrText>
      </w:r>
      <w:r>
        <w:fldChar w:fldCharType="separate"/>
      </w:r>
      <w:r>
        <w:rPr>
          <w:rStyle w:val="26"/>
          <w:rFonts w:hint="eastAsia"/>
          <w:kern w:val="44"/>
        </w:rPr>
        <w:t>北京市专利保护和促进条例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_Toc428781650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593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54A7EDD">
      <w:pPr>
        <w:pStyle w:val="9"/>
        <w:tabs>
          <w:tab w:val="right" w:leader="middleDot" w:pos="8295"/>
          <w:tab w:val="clear" w:pos="8296"/>
        </w:tabs>
        <w:rPr>
          <w:rFonts w:ascii="Calibri" w:hAnsi="Calibri" w:eastAsia="宋体" w:cs="黑体"/>
        </w:rPr>
      </w:pPr>
      <w:r>
        <w:fldChar w:fldCharType="begin"/>
      </w:r>
      <w:r>
        <w:instrText xml:space="preserve">HYPERLINK  \l "_Toc428781651" </w:instrText>
      </w:r>
      <w:r>
        <w:fldChar w:fldCharType="separate"/>
      </w:r>
      <w:r>
        <w:rPr>
          <w:rStyle w:val="26"/>
          <w:rFonts w:hint="eastAsia"/>
          <w:kern w:val="44"/>
        </w:rPr>
        <w:t>北京市奥林匹克知识产权保护规定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_Toc428781651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599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867EF93">
      <w:pPr>
        <w:pStyle w:val="9"/>
        <w:tabs>
          <w:tab w:val="right" w:leader="middleDot" w:pos="8295"/>
          <w:tab w:val="clear" w:pos="8296"/>
        </w:tabs>
        <w:rPr>
          <w:rFonts w:ascii="Calibri" w:hAnsi="Calibri" w:eastAsia="宋体" w:cs="黑体"/>
        </w:rPr>
      </w:pPr>
      <w:r>
        <w:fldChar w:fldCharType="begin"/>
      </w:r>
      <w:r>
        <w:instrText xml:space="preserve">HYPERLINK  \l "_Toc428781652" </w:instrText>
      </w:r>
      <w:r>
        <w:fldChar w:fldCharType="separate"/>
      </w:r>
      <w:r>
        <w:rPr>
          <w:rStyle w:val="26"/>
          <w:rFonts w:hint="eastAsia"/>
          <w:kern w:val="44"/>
        </w:rPr>
        <w:t>北京市展会知识产权</w:t>
      </w:r>
      <w:r>
        <w:fldChar w:fldCharType="end"/>
      </w:r>
      <w:r>
        <w:fldChar w:fldCharType="begin"/>
      </w:r>
      <w:r>
        <w:instrText xml:space="preserve">HYPERLINK  \l "_Toc428781653" </w:instrText>
      </w:r>
      <w:r>
        <w:fldChar w:fldCharType="separate"/>
      </w:r>
      <w:r>
        <w:rPr>
          <w:rStyle w:val="26"/>
          <w:rFonts w:hint="eastAsia"/>
          <w:kern w:val="44"/>
        </w:rPr>
        <w:t>保护办法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_Toc428781653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602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AFAF680">
      <w:pPr>
        <w:pStyle w:val="19"/>
        <w:tabs>
          <w:tab w:val="right" w:leader="middleDot" w:pos="8295"/>
          <w:tab w:val="clear" w:pos="8296"/>
        </w:tabs>
        <w:rPr>
          <w:rStyle w:val="26"/>
        </w:rPr>
      </w:pPr>
    </w:p>
    <w:p w14:paraId="002EF1B7">
      <w:pPr>
        <w:pStyle w:val="19"/>
        <w:tabs>
          <w:tab w:val="right" w:leader="middleDot" w:pos="8295"/>
          <w:tab w:val="clear" w:pos="8296"/>
        </w:tabs>
        <w:rPr>
          <w:rStyle w:val="26"/>
        </w:rPr>
      </w:pPr>
      <w:r>
        <w:fldChar w:fldCharType="begin"/>
      </w:r>
      <w:r>
        <w:instrText xml:space="preserve">HYPERLINK  \l "_Toc428781654" </w:instrText>
      </w:r>
      <w:r>
        <w:fldChar w:fldCharType="separate"/>
      </w:r>
      <w:r>
        <w:rPr>
          <w:rStyle w:val="26"/>
          <w:rFonts w:hint="eastAsia"/>
        </w:rPr>
        <w:t>（十四）商</w:t>
      </w:r>
      <w:r>
        <w:rPr>
          <w:rStyle w:val="26"/>
        </w:rPr>
        <w:t xml:space="preserve">  </w:t>
      </w:r>
      <w:r>
        <w:rPr>
          <w:rStyle w:val="26"/>
          <w:rFonts w:hint="eastAsia"/>
        </w:rPr>
        <w:t>业</w:t>
      </w:r>
      <w:r>
        <w:fldChar w:fldCharType="end"/>
      </w:r>
    </w:p>
    <w:p w14:paraId="6670C87D"/>
    <w:p w14:paraId="0A3F971B">
      <w:pPr>
        <w:pStyle w:val="9"/>
        <w:tabs>
          <w:tab w:val="right" w:leader="middleDot" w:pos="8295"/>
          <w:tab w:val="clear" w:pos="8296"/>
        </w:tabs>
        <w:rPr>
          <w:rFonts w:ascii="Calibri" w:hAnsi="Calibri" w:eastAsia="宋体" w:cs="黑体"/>
        </w:rPr>
      </w:pPr>
      <w:r>
        <w:fldChar w:fldCharType="begin"/>
      </w:r>
      <w:r>
        <w:instrText xml:space="preserve">HYPERLINK  \l "_Toc428781655" </w:instrText>
      </w:r>
      <w:r>
        <w:fldChar w:fldCharType="separate"/>
      </w:r>
      <w:r>
        <w:rPr>
          <w:rStyle w:val="26"/>
          <w:rFonts w:hint="eastAsia"/>
          <w:kern w:val="44"/>
        </w:rPr>
        <w:t>北京市盐业管理若干规定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_Toc428781655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605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8440E63">
      <w:pPr>
        <w:pStyle w:val="9"/>
        <w:tabs>
          <w:tab w:val="right" w:leader="middleDot" w:pos="8295"/>
          <w:tab w:val="clear" w:pos="8296"/>
        </w:tabs>
        <w:rPr>
          <w:rFonts w:ascii="Calibri" w:hAnsi="Calibri" w:eastAsia="宋体" w:cs="黑体"/>
        </w:rPr>
      </w:pPr>
      <w:r>
        <w:fldChar w:fldCharType="begin"/>
      </w:r>
      <w:r>
        <w:instrText xml:space="preserve">HYPERLINK  \l "_Toc428781656" </w:instrText>
      </w:r>
      <w:r>
        <w:fldChar w:fldCharType="separate"/>
      </w:r>
      <w:r>
        <w:rPr>
          <w:rStyle w:val="26"/>
          <w:rFonts w:hint="eastAsia"/>
          <w:kern w:val="44"/>
        </w:rPr>
        <w:t>北京市洗浴和美容美发经营</w:t>
      </w:r>
      <w:r>
        <w:fldChar w:fldCharType="end"/>
      </w:r>
      <w:r>
        <w:fldChar w:fldCharType="begin"/>
      </w:r>
      <w:r>
        <w:instrText xml:space="preserve">HYPERLINK  \l "_Toc428781657" </w:instrText>
      </w:r>
      <w:r>
        <w:fldChar w:fldCharType="separate"/>
      </w:r>
      <w:r>
        <w:rPr>
          <w:rStyle w:val="26"/>
          <w:rFonts w:hint="eastAsia"/>
          <w:kern w:val="44"/>
        </w:rPr>
        <w:t>场所管理若干规定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_Toc428781657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607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1CBCF7A">
      <w:pPr>
        <w:pStyle w:val="9"/>
        <w:tabs>
          <w:tab w:val="right" w:leader="middleDot" w:pos="8295"/>
          <w:tab w:val="clear" w:pos="8296"/>
        </w:tabs>
        <w:rPr>
          <w:rFonts w:ascii="Calibri" w:hAnsi="Calibri" w:eastAsia="宋体" w:cs="黑体"/>
        </w:rPr>
      </w:pPr>
      <w:r>
        <w:fldChar w:fldCharType="begin"/>
      </w:r>
      <w:r>
        <w:instrText xml:space="preserve">HYPERLINK  \l "_Toc428781658" </w:instrText>
      </w:r>
      <w:r>
        <w:fldChar w:fldCharType="separate"/>
      </w:r>
      <w:r>
        <w:rPr>
          <w:rStyle w:val="26"/>
          <w:rFonts w:hint="eastAsia"/>
          <w:kern w:val="44"/>
        </w:rPr>
        <w:t>北京市摩托车报废管理办法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_Toc428781658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609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8B51396">
      <w:pPr>
        <w:pStyle w:val="9"/>
        <w:tabs>
          <w:tab w:val="right" w:leader="middleDot" w:pos="8295"/>
          <w:tab w:val="clear" w:pos="8296"/>
        </w:tabs>
        <w:rPr>
          <w:rFonts w:ascii="Calibri" w:hAnsi="Calibri" w:eastAsia="宋体" w:cs="黑体"/>
        </w:rPr>
      </w:pPr>
      <w:r>
        <w:fldChar w:fldCharType="begin"/>
      </w:r>
      <w:r>
        <w:instrText xml:space="preserve">HYPERLINK  \l "_Toc428781659" </w:instrText>
      </w:r>
      <w:r>
        <w:fldChar w:fldCharType="separate"/>
      </w:r>
      <w:r>
        <w:rPr>
          <w:rStyle w:val="26"/>
          <w:rFonts w:hint="eastAsia"/>
          <w:kern w:val="44"/>
        </w:rPr>
        <w:t>北京市商业零售经营单位</w:t>
      </w:r>
      <w:r>
        <w:fldChar w:fldCharType="end"/>
      </w:r>
      <w:r>
        <w:fldChar w:fldCharType="begin"/>
      </w:r>
      <w:r>
        <w:instrText xml:space="preserve">HYPERLINK  \l "_Toc428781660" </w:instrText>
      </w:r>
      <w:r>
        <w:fldChar w:fldCharType="separate"/>
      </w:r>
      <w:r>
        <w:rPr>
          <w:rStyle w:val="26"/>
          <w:rFonts w:hint="eastAsia"/>
          <w:kern w:val="44"/>
        </w:rPr>
        <w:t>促销活动管理规定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_Toc428781660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611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95E76F3">
      <w:pPr>
        <w:pStyle w:val="9"/>
        <w:tabs>
          <w:tab w:val="right" w:leader="middleDot" w:pos="8295"/>
          <w:tab w:val="clear" w:pos="8296"/>
        </w:tabs>
        <w:rPr>
          <w:rFonts w:ascii="Calibri" w:hAnsi="Calibri" w:eastAsia="宋体" w:cs="黑体"/>
        </w:rPr>
      </w:pPr>
      <w:r>
        <w:fldChar w:fldCharType="begin"/>
      </w:r>
      <w:r>
        <w:instrText xml:space="preserve">HYPERLINK  \l "_Toc428781661" </w:instrText>
      </w:r>
      <w:r>
        <w:fldChar w:fldCharType="separate"/>
      </w:r>
      <w:r>
        <w:rPr>
          <w:rStyle w:val="26"/>
          <w:rFonts w:hint="eastAsia"/>
          <w:kern w:val="44"/>
        </w:rPr>
        <w:t>北京市储备粮管理办法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_Toc428781661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613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BD67E1B">
      <w:pPr>
        <w:pStyle w:val="9"/>
        <w:tabs>
          <w:tab w:val="right" w:leader="middleDot" w:pos="8295"/>
          <w:tab w:val="clear" w:pos="8296"/>
        </w:tabs>
        <w:rPr>
          <w:rFonts w:ascii="Calibri" w:hAnsi="Calibri" w:eastAsia="宋体" w:cs="黑体"/>
        </w:rPr>
      </w:pPr>
      <w:r>
        <w:fldChar w:fldCharType="begin"/>
      </w:r>
      <w:r>
        <w:instrText xml:space="preserve">HYPERLINK  \l "_Toc428781662" </w:instrText>
      </w:r>
      <w:r>
        <w:fldChar w:fldCharType="separate"/>
      </w:r>
      <w:r>
        <w:rPr>
          <w:rStyle w:val="26"/>
          <w:rFonts w:hint="eastAsia"/>
          <w:kern w:val="44"/>
        </w:rPr>
        <w:t>北京市蔬菜零售网点建设管理办法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_Toc428781662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616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76FD22A">
      <w:pPr>
        <w:pStyle w:val="19"/>
        <w:tabs>
          <w:tab w:val="right" w:leader="middleDot" w:pos="8295"/>
          <w:tab w:val="clear" w:pos="8296"/>
        </w:tabs>
        <w:rPr>
          <w:rStyle w:val="26"/>
        </w:rPr>
      </w:pPr>
    </w:p>
    <w:p w14:paraId="0CCA8866">
      <w:pPr>
        <w:pStyle w:val="19"/>
        <w:tabs>
          <w:tab w:val="right" w:leader="middleDot" w:pos="8295"/>
          <w:tab w:val="clear" w:pos="8296"/>
        </w:tabs>
        <w:rPr>
          <w:rStyle w:val="26"/>
        </w:rPr>
      </w:pPr>
      <w:r>
        <w:fldChar w:fldCharType="begin"/>
      </w:r>
      <w:r>
        <w:instrText xml:space="preserve">HYPERLINK  \l "_Toc428781663" </w:instrText>
      </w:r>
      <w:r>
        <w:fldChar w:fldCharType="separate"/>
      </w:r>
      <w:r>
        <w:rPr>
          <w:rStyle w:val="26"/>
          <w:rFonts w:hint="eastAsia"/>
        </w:rPr>
        <w:t>（十五）工商管理</w:t>
      </w:r>
      <w:r>
        <w:fldChar w:fldCharType="end"/>
      </w:r>
    </w:p>
    <w:p w14:paraId="626D2405"/>
    <w:p w14:paraId="496B167B">
      <w:pPr>
        <w:pStyle w:val="9"/>
        <w:tabs>
          <w:tab w:val="right" w:leader="middleDot" w:pos="8295"/>
          <w:tab w:val="clear" w:pos="8296"/>
        </w:tabs>
        <w:rPr>
          <w:rFonts w:ascii="Calibri" w:hAnsi="Calibri" w:eastAsia="宋体" w:cs="黑体"/>
        </w:rPr>
      </w:pPr>
      <w:r>
        <w:fldChar w:fldCharType="begin"/>
      </w:r>
      <w:r>
        <w:instrText xml:space="preserve">HYPERLINK  \l "_Toc428781664" </w:instrText>
      </w:r>
      <w:r>
        <w:fldChar w:fldCharType="separate"/>
      </w:r>
      <w:r>
        <w:rPr>
          <w:rStyle w:val="26"/>
          <w:rFonts w:hint="eastAsia"/>
          <w:kern w:val="44"/>
        </w:rPr>
        <w:t>北京市反不正当竞争条例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_Toc428781664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619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BE6D281">
      <w:pPr>
        <w:pStyle w:val="9"/>
        <w:tabs>
          <w:tab w:val="right" w:leader="middleDot" w:pos="8295"/>
          <w:tab w:val="clear" w:pos="8296"/>
        </w:tabs>
        <w:rPr>
          <w:rFonts w:ascii="Calibri" w:hAnsi="Calibri" w:eastAsia="宋体" w:cs="黑体"/>
        </w:rPr>
      </w:pPr>
      <w:r>
        <w:fldChar w:fldCharType="begin"/>
      </w:r>
      <w:r>
        <w:instrText xml:space="preserve">HYPERLINK  \l "_Toc428781665" </w:instrText>
      </w:r>
      <w:r>
        <w:fldChar w:fldCharType="separate"/>
      </w:r>
      <w:r>
        <w:rPr>
          <w:rStyle w:val="26"/>
          <w:rFonts w:hint="eastAsia"/>
          <w:kern w:val="44"/>
        </w:rPr>
        <w:t>北京市生活消费品、生产资料市场管理条例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_Toc428781665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625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75CEC62">
      <w:pPr>
        <w:pStyle w:val="9"/>
        <w:tabs>
          <w:tab w:val="right" w:leader="middleDot" w:pos="8295"/>
          <w:tab w:val="clear" w:pos="8296"/>
        </w:tabs>
        <w:rPr>
          <w:rFonts w:ascii="Calibri" w:hAnsi="Calibri" w:eastAsia="宋体" w:cs="黑体"/>
        </w:rPr>
      </w:pPr>
      <w:r>
        <w:fldChar w:fldCharType="begin"/>
      </w:r>
      <w:r>
        <w:instrText xml:space="preserve">HYPERLINK  \l "_Toc428781666" </w:instrText>
      </w:r>
      <w:r>
        <w:fldChar w:fldCharType="separate"/>
      </w:r>
      <w:r>
        <w:rPr>
          <w:rStyle w:val="26"/>
          <w:rFonts w:hint="eastAsia"/>
          <w:kern w:val="44"/>
        </w:rPr>
        <w:t>北京市机动车市场管理暂行规定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_Toc428781666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631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D7C6D7D">
      <w:pPr>
        <w:pStyle w:val="9"/>
        <w:tabs>
          <w:tab w:val="right" w:leader="middleDot" w:pos="8295"/>
          <w:tab w:val="clear" w:pos="8296"/>
        </w:tabs>
        <w:rPr>
          <w:rFonts w:ascii="Calibri" w:hAnsi="Calibri" w:eastAsia="宋体" w:cs="黑体"/>
        </w:rPr>
      </w:pPr>
      <w:r>
        <w:fldChar w:fldCharType="begin"/>
      </w:r>
      <w:r>
        <w:instrText xml:space="preserve">HYPERLINK  \l "_Toc428781667" </w:instrText>
      </w:r>
      <w:r>
        <w:fldChar w:fldCharType="separate"/>
      </w:r>
      <w:r>
        <w:rPr>
          <w:rStyle w:val="26"/>
          <w:rFonts w:hint="eastAsia"/>
          <w:kern w:val="44"/>
        </w:rPr>
        <w:t>北京市行政机关归集和公布</w:t>
      </w:r>
      <w:r>
        <w:fldChar w:fldCharType="end"/>
      </w:r>
      <w:r>
        <w:fldChar w:fldCharType="begin"/>
      </w:r>
      <w:r>
        <w:instrText xml:space="preserve">HYPERLINK  \l "_Toc428781668" </w:instrText>
      </w:r>
      <w:r>
        <w:fldChar w:fldCharType="separate"/>
      </w:r>
      <w:r>
        <w:rPr>
          <w:rStyle w:val="26"/>
          <w:rFonts w:hint="eastAsia"/>
          <w:kern w:val="44"/>
        </w:rPr>
        <w:t>企业信用信息管理办法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_Toc428781668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633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7893415">
      <w:pPr>
        <w:pStyle w:val="9"/>
        <w:tabs>
          <w:tab w:val="right" w:leader="middleDot" w:pos="8295"/>
          <w:tab w:val="clear" w:pos="8296"/>
        </w:tabs>
        <w:rPr>
          <w:rFonts w:ascii="Calibri" w:hAnsi="Calibri" w:eastAsia="宋体" w:cs="黑体"/>
        </w:rPr>
      </w:pPr>
      <w:r>
        <w:fldChar w:fldCharType="begin"/>
      </w:r>
      <w:r>
        <w:instrText xml:space="preserve">HYPERLINK  \l "_Toc428781669" </w:instrText>
      </w:r>
      <w:r>
        <w:fldChar w:fldCharType="separate"/>
      </w:r>
      <w:r>
        <w:rPr>
          <w:rStyle w:val="26"/>
          <w:rFonts w:hint="eastAsia"/>
          <w:kern w:val="44"/>
        </w:rPr>
        <w:t>北京市户外广告设置管理办法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_Toc428781669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637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D2E7786">
      <w:pPr>
        <w:pStyle w:val="9"/>
        <w:tabs>
          <w:tab w:val="right" w:leader="middleDot" w:pos="8295"/>
          <w:tab w:val="clear" w:pos="8296"/>
        </w:tabs>
        <w:rPr>
          <w:rFonts w:ascii="Calibri" w:hAnsi="Calibri" w:eastAsia="宋体" w:cs="黑体"/>
        </w:rPr>
      </w:pPr>
      <w:r>
        <w:fldChar w:fldCharType="begin"/>
      </w:r>
      <w:r>
        <w:instrText xml:space="preserve">HYPERLINK  \l "_Toc428781670" </w:instrText>
      </w:r>
      <w:r>
        <w:fldChar w:fldCharType="separate"/>
      </w:r>
      <w:r>
        <w:rPr>
          <w:rStyle w:val="26"/>
          <w:rFonts w:hint="eastAsia"/>
          <w:kern w:val="44"/>
        </w:rPr>
        <w:t>中关村国家自主创新示范区企业登记办法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_Toc428781670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642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6C9853D">
      <w:pPr>
        <w:pStyle w:val="19"/>
        <w:tabs>
          <w:tab w:val="right" w:leader="middleDot" w:pos="8295"/>
          <w:tab w:val="clear" w:pos="8296"/>
        </w:tabs>
        <w:spacing w:line="300" w:lineRule="exact"/>
        <w:rPr>
          <w:rStyle w:val="26"/>
        </w:rPr>
      </w:pPr>
    </w:p>
    <w:p w14:paraId="62F60259">
      <w:pPr>
        <w:pStyle w:val="19"/>
        <w:tabs>
          <w:tab w:val="right" w:leader="middleDot" w:pos="8295"/>
          <w:tab w:val="clear" w:pos="8296"/>
        </w:tabs>
        <w:rPr>
          <w:rStyle w:val="26"/>
        </w:rPr>
      </w:pPr>
      <w:r>
        <w:fldChar w:fldCharType="begin"/>
      </w:r>
      <w:r>
        <w:instrText xml:space="preserve">HYPERLINK  \l "_Toc428781671" </w:instrText>
      </w:r>
      <w:r>
        <w:fldChar w:fldCharType="separate"/>
      </w:r>
      <w:r>
        <w:rPr>
          <w:rStyle w:val="26"/>
          <w:rFonts w:hint="eastAsia"/>
        </w:rPr>
        <w:t>（十六）企业发展</w:t>
      </w:r>
      <w:r>
        <w:fldChar w:fldCharType="end"/>
      </w:r>
    </w:p>
    <w:p w14:paraId="7A52A429">
      <w:pPr>
        <w:spacing w:line="300" w:lineRule="exact"/>
      </w:pPr>
    </w:p>
    <w:p w14:paraId="717E8B3B">
      <w:pPr>
        <w:pStyle w:val="9"/>
        <w:tabs>
          <w:tab w:val="right" w:leader="middleDot" w:pos="8295"/>
          <w:tab w:val="clear" w:pos="8296"/>
        </w:tabs>
        <w:rPr>
          <w:rFonts w:ascii="Calibri" w:hAnsi="Calibri" w:eastAsia="宋体" w:cs="黑体"/>
        </w:rPr>
      </w:pPr>
      <w:r>
        <w:fldChar w:fldCharType="begin"/>
      </w:r>
      <w:r>
        <w:instrText xml:space="preserve">HYPERLINK  \l "_Toc428781672" </w:instrText>
      </w:r>
      <w:r>
        <w:fldChar w:fldCharType="separate"/>
      </w:r>
      <w:r>
        <w:rPr>
          <w:rStyle w:val="26"/>
          <w:rFonts w:hint="eastAsia"/>
          <w:kern w:val="44"/>
        </w:rPr>
        <w:t>北京市乡村集体企业承包经营条例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_Toc428781672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645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0B33770">
      <w:pPr>
        <w:pStyle w:val="9"/>
        <w:tabs>
          <w:tab w:val="right" w:leader="middleDot" w:pos="8295"/>
          <w:tab w:val="clear" w:pos="8296"/>
        </w:tabs>
        <w:rPr>
          <w:rFonts w:ascii="Calibri" w:hAnsi="Calibri" w:eastAsia="宋体" w:cs="黑体"/>
        </w:rPr>
      </w:pPr>
      <w:r>
        <w:fldChar w:fldCharType="begin"/>
      </w:r>
      <w:r>
        <w:instrText xml:space="preserve">HYPERLINK  \l "_Toc428781673" </w:instrText>
      </w:r>
      <w:r>
        <w:fldChar w:fldCharType="separate"/>
      </w:r>
      <w:r>
        <w:rPr>
          <w:rStyle w:val="26"/>
          <w:rFonts w:hint="eastAsia"/>
          <w:kern w:val="44"/>
        </w:rPr>
        <w:t>北京市农村股份合作企业暂行条例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_Toc428781673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651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0D96E1C">
      <w:pPr>
        <w:pStyle w:val="9"/>
        <w:tabs>
          <w:tab w:val="right" w:leader="middleDot" w:pos="8295"/>
          <w:tab w:val="clear" w:pos="8296"/>
        </w:tabs>
        <w:rPr>
          <w:rFonts w:ascii="Calibri" w:hAnsi="Calibri" w:eastAsia="宋体" w:cs="黑体"/>
        </w:rPr>
      </w:pPr>
      <w:r>
        <w:fldChar w:fldCharType="begin"/>
      </w:r>
      <w:r>
        <w:instrText xml:space="preserve">HYPERLINK  \l "_Toc428781674" </w:instrText>
      </w:r>
      <w:r>
        <w:fldChar w:fldCharType="separate"/>
      </w:r>
      <w:r>
        <w:rPr>
          <w:rStyle w:val="26"/>
          <w:rFonts w:hint="eastAsia"/>
          <w:kern w:val="44"/>
        </w:rPr>
        <w:t>北京市促进私营个体经济发展条例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_Toc428781674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658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9117ECB">
      <w:pPr>
        <w:pStyle w:val="9"/>
        <w:tabs>
          <w:tab w:val="right" w:leader="middleDot" w:pos="8295"/>
          <w:tab w:val="clear" w:pos="8296"/>
        </w:tabs>
        <w:rPr>
          <w:rFonts w:ascii="Calibri" w:hAnsi="Calibri" w:eastAsia="宋体" w:cs="黑体"/>
        </w:rPr>
      </w:pPr>
      <w:r>
        <w:fldChar w:fldCharType="begin"/>
      </w:r>
      <w:r>
        <w:instrText xml:space="preserve">HYPERLINK  \l "_Toc428781675" </w:instrText>
      </w:r>
      <w:r>
        <w:fldChar w:fldCharType="separate"/>
      </w:r>
      <w:r>
        <w:rPr>
          <w:rStyle w:val="26"/>
          <w:rFonts w:hint="eastAsia"/>
          <w:kern w:val="44"/>
        </w:rPr>
        <w:t>北京市促进中小企业发展条例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_Toc428781675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662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ACDD6D5">
      <w:pPr>
        <w:pStyle w:val="9"/>
        <w:tabs>
          <w:tab w:val="right" w:leader="middleDot" w:pos="8295"/>
          <w:tab w:val="clear" w:pos="8296"/>
        </w:tabs>
        <w:rPr>
          <w:rFonts w:ascii="Calibri" w:hAnsi="Calibri" w:eastAsia="宋体" w:cs="黑体"/>
        </w:rPr>
      </w:pPr>
      <w:r>
        <w:fldChar w:fldCharType="begin"/>
      </w:r>
      <w:r>
        <w:instrText xml:space="preserve">HYPERLINK  \l "_Toc428781676" </w:instrText>
      </w:r>
      <w:r>
        <w:fldChar w:fldCharType="separate"/>
      </w:r>
      <w:r>
        <w:rPr>
          <w:rStyle w:val="26"/>
          <w:rFonts w:hint="eastAsia"/>
          <w:kern w:val="44"/>
        </w:rPr>
        <w:t>北京市全民所有制工业企业</w:t>
      </w:r>
      <w:r>
        <w:fldChar w:fldCharType="end"/>
      </w:r>
      <w:r>
        <w:fldChar w:fldCharType="begin"/>
      </w:r>
      <w:r>
        <w:instrText xml:space="preserve">HYPERLINK  \l "_Toc428781677" </w:instrText>
      </w:r>
      <w:r>
        <w:fldChar w:fldCharType="separate"/>
      </w:r>
      <w:r>
        <w:rPr>
          <w:rStyle w:val="26"/>
          <w:rFonts w:hint="eastAsia"/>
          <w:kern w:val="44"/>
        </w:rPr>
        <w:t>转换经营机制实施办法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_Toc428781677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667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90DC22C">
      <w:pPr>
        <w:pStyle w:val="9"/>
        <w:tabs>
          <w:tab w:val="right" w:leader="middleDot" w:pos="8295"/>
          <w:tab w:val="clear" w:pos="8296"/>
        </w:tabs>
        <w:rPr>
          <w:rFonts w:ascii="Calibri" w:hAnsi="Calibri" w:eastAsia="宋体" w:cs="黑体"/>
        </w:rPr>
      </w:pPr>
      <w:r>
        <w:fldChar w:fldCharType="begin"/>
      </w:r>
      <w:r>
        <w:instrText xml:space="preserve">HYPERLINK  \l "_Toc428781678" </w:instrText>
      </w:r>
      <w:r>
        <w:fldChar w:fldCharType="separate"/>
      </w:r>
      <w:r>
        <w:rPr>
          <w:rStyle w:val="26"/>
          <w:rFonts w:hint="eastAsia"/>
          <w:kern w:val="44"/>
        </w:rPr>
        <w:t>北京市劳动就业服务企业管理实施办法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_Toc428781678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677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9038702">
      <w:pPr>
        <w:pStyle w:val="9"/>
        <w:tabs>
          <w:tab w:val="right" w:leader="middleDot" w:pos="8295"/>
          <w:tab w:val="clear" w:pos="8296"/>
        </w:tabs>
        <w:rPr>
          <w:rFonts w:ascii="Calibri" w:hAnsi="Calibri" w:eastAsia="宋体" w:cs="黑体"/>
        </w:rPr>
      </w:pPr>
      <w:r>
        <w:fldChar w:fldCharType="begin"/>
      </w:r>
      <w:r>
        <w:instrText xml:space="preserve">HYPERLINK  \l "_Toc428781679" </w:instrText>
      </w:r>
      <w:r>
        <w:fldChar w:fldCharType="separate"/>
      </w:r>
      <w:r>
        <w:rPr>
          <w:rStyle w:val="26"/>
          <w:rFonts w:hint="eastAsia"/>
          <w:kern w:val="44"/>
        </w:rPr>
        <w:t>北京市城镇集体所有制企业民主选举</w:t>
      </w:r>
      <w:r>
        <w:fldChar w:fldCharType="end"/>
      </w:r>
      <w:r>
        <w:fldChar w:fldCharType="begin"/>
      </w:r>
      <w:r>
        <w:instrText xml:space="preserve">HYPERLINK  \l "_Toc428781680" </w:instrText>
      </w:r>
      <w:r>
        <w:fldChar w:fldCharType="separate"/>
      </w:r>
      <w:r>
        <w:rPr>
          <w:rStyle w:val="26"/>
          <w:rFonts w:hint="eastAsia"/>
          <w:kern w:val="44"/>
        </w:rPr>
        <w:t>厂长（经理）暂行办法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_Toc428781680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679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248E527">
      <w:pPr>
        <w:pStyle w:val="9"/>
        <w:tabs>
          <w:tab w:val="right" w:leader="middleDot" w:pos="8295"/>
          <w:tab w:val="clear" w:pos="8296"/>
        </w:tabs>
        <w:rPr>
          <w:rFonts w:ascii="Calibri" w:hAnsi="Calibri" w:eastAsia="宋体" w:cs="黑体"/>
        </w:rPr>
      </w:pPr>
      <w:r>
        <w:fldChar w:fldCharType="begin"/>
      </w:r>
      <w:r>
        <w:instrText xml:space="preserve">HYPERLINK  \l "_Toc428781681" </w:instrText>
      </w:r>
      <w:r>
        <w:fldChar w:fldCharType="separate"/>
      </w:r>
      <w:r>
        <w:rPr>
          <w:rStyle w:val="26"/>
          <w:rFonts w:hint="eastAsia"/>
          <w:kern w:val="44"/>
        </w:rPr>
        <w:t>北京市城镇企业实行股份合作制办法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_Toc428781681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680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7B82F9E">
      <w:pPr>
        <w:pStyle w:val="9"/>
        <w:tabs>
          <w:tab w:val="right" w:leader="middleDot" w:pos="8295"/>
          <w:tab w:val="clear" w:pos="8296"/>
        </w:tabs>
        <w:rPr>
          <w:rFonts w:ascii="Calibri" w:hAnsi="Calibri" w:eastAsia="宋体" w:cs="黑体"/>
        </w:rPr>
      </w:pPr>
      <w:r>
        <w:fldChar w:fldCharType="begin"/>
      </w:r>
      <w:r>
        <w:instrText xml:space="preserve">HYPERLINK  \l "_Toc428781682" </w:instrText>
      </w:r>
      <w:r>
        <w:fldChar w:fldCharType="separate"/>
      </w:r>
      <w:r>
        <w:rPr>
          <w:rStyle w:val="26"/>
          <w:rFonts w:hint="eastAsia"/>
          <w:kern w:val="44"/>
        </w:rPr>
        <w:t>北京市产权交易管理规定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_Toc428781682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687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EA60198">
      <w:pPr>
        <w:pStyle w:val="19"/>
        <w:tabs>
          <w:tab w:val="right" w:leader="middleDot" w:pos="8295"/>
          <w:tab w:val="clear" w:pos="8296"/>
        </w:tabs>
        <w:rPr>
          <w:rStyle w:val="26"/>
        </w:rPr>
      </w:pPr>
    </w:p>
    <w:p w14:paraId="4EDE1E68">
      <w:pPr>
        <w:pStyle w:val="19"/>
        <w:tabs>
          <w:tab w:val="right" w:leader="middleDot" w:pos="8295"/>
          <w:tab w:val="clear" w:pos="8296"/>
        </w:tabs>
        <w:rPr>
          <w:rStyle w:val="26"/>
        </w:rPr>
      </w:pPr>
      <w:r>
        <w:fldChar w:fldCharType="begin"/>
      </w:r>
      <w:r>
        <w:instrText xml:space="preserve">HYPERLINK  \l "_Toc428781683" </w:instrText>
      </w:r>
      <w:r>
        <w:fldChar w:fldCharType="separate"/>
      </w:r>
      <w:r>
        <w:rPr>
          <w:rStyle w:val="26"/>
          <w:rFonts w:hint="eastAsia"/>
        </w:rPr>
        <w:t>（十七）其</w:t>
      </w:r>
      <w:r>
        <w:rPr>
          <w:rStyle w:val="26"/>
        </w:rPr>
        <w:t xml:space="preserve">  </w:t>
      </w:r>
      <w:r>
        <w:rPr>
          <w:rStyle w:val="26"/>
          <w:rFonts w:hint="eastAsia"/>
        </w:rPr>
        <w:t>他</w:t>
      </w:r>
      <w:r>
        <w:fldChar w:fldCharType="end"/>
      </w:r>
    </w:p>
    <w:p w14:paraId="174E0B27"/>
    <w:p w14:paraId="6151706A">
      <w:pPr>
        <w:pStyle w:val="9"/>
        <w:tabs>
          <w:tab w:val="right" w:leader="middleDot" w:pos="8295"/>
          <w:tab w:val="clear" w:pos="8296"/>
        </w:tabs>
        <w:rPr>
          <w:rFonts w:ascii="Calibri" w:hAnsi="Calibri" w:eastAsia="宋体" w:cs="黑体"/>
        </w:rPr>
      </w:pPr>
      <w:r>
        <w:fldChar w:fldCharType="begin"/>
      </w:r>
      <w:r>
        <w:instrText xml:space="preserve">HYPERLINK  \l "_Toc428781684" </w:instrText>
      </w:r>
      <w:r>
        <w:fldChar w:fldCharType="separate"/>
      </w:r>
      <w:r>
        <w:rPr>
          <w:rStyle w:val="26"/>
          <w:rFonts w:hint="eastAsia"/>
          <w:kern w:val="44"/>
        </w:rPr>
        <w:t>北京经济技术开发区条例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_Toc428781684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691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15AFC99">
      <w:pPr>
        <w:pStyle w:val="9"/>
        <w:tabs>
          <w:tab w:val="right" w:leader="middleDot" w:pos="8295"/>
          <w:tab w:val="clear" w:pos="8296"/>
        </w:tabs>
        <w:rPr>
          <w:rFonts w:ascii="Calibri" w:hAnsi="Calibri" w:eastAsia="宋体" w:cs="黑体"/>
        </w:rPr>
      </w:pPr>
      <w:r>
        <w:fldChar w:fldCharType="begin"/>
      </w:r>
      <w:r>
        <w:instrText xml:space="preserve">HYPERLINK  \l "_Toc428781685" </w:instrText>
      </w:r>
      <w:r>
        <w:fldChar w:fldCharType="separate"/>
      </w:r>
      <w:r>
        <w:rPr>
          <w:rStyle w:val="26"/>
          <w:rFonts w:hint="eastAsia"/>
          <w:kern w:val="44"/>
        </w:rPr>
        <w:t>北京市人民政府关于实施</w:t>
      </w:r>
      <w:r>
        <w:fldChar w:fldCharType="end"/>
      </w:r>
      <w:r>
        <w:fldChar w:fldCharType="begin"/>
      </w:r>
      <w:r>
        <w:instrText xml:space="preserve">HYPERLINK  \l "_Toc428781686" </w:instrText>
      </w:r>
      <w:r>
        <w:fldChar w:fldCharType="separate"/>
      </w:r>
      <w:r>
        <w:rPr>
          <w:rStyle w:val="26"/>
          <w:rFonts w:hint="eastAsia"/>
          <w:kern w:val="44"/>
        </w:rPr>
        <w:t>《北京经济技术开发区条例》办法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_Toc428781686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694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E68E16A">
      <w:pPr>
        <w:pStyle w:val="9"/>
        <w:tabs>
          <w:tab w:val="right" w:leader="middleDot" w:pos="8295"/>
          <w:tab w:val="clear" w:pos="8296"/>
        </w:tabs>
        <w:rPr>
          <w:rFonts w:ascii="Calibri" w:hAnsi="Calibri" w:eastAsia="宋体" w:cs="黑体"/>
        </w:rPr>
      </w:pPr>
      <w:r>
        <w:fldChar w:fldCharType="begin"/>
      </w:r>
      <w:r>
        <w:instrText xml:space="preserve">HYPERLINK  \l "_Toc428781687" </w:instrText>
      </w:r>
      <w:r>
        <w:fldChar w:fldCharType="separate"/>
      </w:r>
      <w:r>
        <w:rPr>
          <w:rStyle w:val="26"/>
          <w:rFonts w:hint="eastAsia"/>
          <w:kern w:val="44"/>
        </w:rPr>
        <w:t>北京天竺综合保税区管理办法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_Toc428781687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697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47271D1">
      <w:pPr>
        <w:pStyle w:val="15"/>
        <w:tabs>
          <w:tab w:val="right" w:leader="middleDot" w:pos="8295"/>
          <w:tab w:val="clear" w:pos="8296"/>
        </w:tabs>
        <w:rPr>
          <w:rStyle w:val="26"/>
        </w:rPr>
      </w:pPr>
    </w:p>
    <w:p w14:paraId="531E5815">
      <w:pPr>
        <w:pStyle w:val="15"/>
        <w:tabs>
          <w:tab w:val="right" w:leader="middleDot" w:pos="8295"/>
          <w:tab w:val="clear" w:pos="8296"/>
        </w:tabs>
        <w:rPr>
          <w:rStyle w:val="26"/>
        </w:rPr>
      </w:pPr>
      <w:r>
        <w:fldChar w:fldCharType="begin"/>
      </w:r>
      <w:r>
        <w:instrText xml:space="preserve">HYPERLINK  \l "_Toc428781688" </w:instrText>
      </w:r>
      <w:r>
        <w:fldChar w:fldCharType="separate"/>
      </w:r>
      <w:r>
        <w:rPr>
          <w:rStyle w:val="26"/>
          <w:rFonts w:hint="eastAsia"/>
        </w:rPr>
        <w:t>三、文</w:t>
      </w:r>
      <w:r>
        <w:rPr>
          <w:rStyle w:val="26"/>
        </w:rPr>
        <w:t xml:space="preserve"> </w:t>
      </w:r>
      <w:r>
        <w:rPr>
          <w:rStyle w:val="26"/>
          <w:rFonts w:hint="eastAsia"/>
        </w:rPr>
        <w:t>化</w:t>
      </w:r>
      <w:r>
        <w:rPr>
          <w:rStyle w:val="26"/>
        </w:rPr>
        <w:t xml:space="preserve"> </w:t>
      </w:r>
      <w:r>
        <w:rPr>
          <w:rStyle w:val="26"/>
          <w:rFonts w:hint="eastAsia"/>
        </w:rPr>
        <w:t>建</w:t>
      </w:r>
      <w:r>
        <w:rPr>
          <w:rStyle w:val="26"/>
        </w:rPr>
        <w:t xml:space="preserve"> </w:t>
      </w:r>
      <w:r>
        <w:rPr>
          <w:rStyle w:val="26"/>
          <w:rFonts w:hint="eastAsia"/>
        </w:rPr>
        <w:t>设</w:t>
      </w:r>
      <w:r>
        <w:fldChar w:fldCharType="end"/>
      </w:r>
    </w:p>
    <w:p w14:paraId="349255CD"/>
    <w:p w14:paraId="69479BAC">
      <w:pPr>
        <w:pStyle w:val="19"/>
        <w:tabs>
          <w:tab w:val="right" w:leader="middleDot" w:pos="8295"/>
          <w:tab w:val="clear" w:pos="8296"/>
        </w:tabs>
        <w:rPr>
          <w:rStyle w:val="26"/>
        </w:rPr>
      </w:pPr>
      <w:r>
        <w:fldChar w:fldCharType="begin"/>
      </w:r>
      <w:r>
        <w:instrText xml:space="preserve">HYPERLINK  \l "_Toc428781689" </w:instrText>
      </w:r>
      <w:r>
        <w:fldChar w:fldCharType="separate"/>
      </w:r>
      <w:r>
        <w:rPr>
          <w:rStyle w:val="26"/>
          <w:rFonts w:hint="eastAsia"/>
        </w:rPr>
        <w:t>（一）教</w:t>
      </w:r>
      <w:r>
        <w:rPr>
          <w:rStyle w:val="26"/>
        </w:rPr>
        <w:t xml:space="preserve">  </w:t>
      </w:r>
      <w:r>
        <w:rPr>
          <w:rStyle w:val="26"/>
          <w:rFonts w:hint="eastAsia"/>
        </w:rPr>
        <w:t>育</w:t>
      </w:r>
      <w:r>
        <w:fldChar w:fldCharType="end"/>
      </w:r>
    </w:p>
    <w:p w14:paraId="633D4979"/>
    <w:p w14:paraId="6CBBC25A">
      <w:pPr>
        <w:pStyle w:val="9"/>
        <w:tabs>
          <w:tab w:val="right" w:leader="middleDot" w:pos="8295"/>
          <w:tab w:val="clear" w:pos="8296"/>
        </w:tabs>
        <w:rPr>
          <w:rFonts w:ascii="Calibri" w:hAnsi="Calibri" w:eastAsia="宋体" w:cs="黑体"/>
        </w:rPr>
      </w:pPr>
      <w:r>
        <w:fldChar w:fldCharType="begin"/>
      </w:r>
      <w:r>
        <w:instrText xml:space="preserve">HYPERLINK  \l "_Toc428781690" </w:instrText>
      </w:r>
      <w:r>
        <w:fldChar w:fldCharType="separate"/>
      </w:r>
      <w:r>
        <w:rPr>
          <w:rStyle w:val="26"/>
          <w:rFonts w:hint="eastAsia"/>
          <w:kern w:val="44"/>
        </w:rPr>
        <w:t>北京市实施《中华人民共和国义务教育法》办法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_Toc428781690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701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166DAEC">
      <w:pPr>
        <w:pStyle w:val="9"/>
        <w:tabs>
          <w:tab w:val="right" w:leader="middleDot" w:pos="8295"/>
          <w:tab w:val="clear" w:pos="8296"/>
        </w:tabs>
        <w:rPr>
          <w:rFonts w:ascii="Calibri" w:hAnsi="Calibri" w:eastAsia="宋体" w:cs="黑体"/>
        </w:rPr>
      </w:pPr>
      <w:r>
        <w:fldChar w:fldCharType="begin"/>
      </w:r>
      <w:r>
        <w:instrText xml:space="preserve">HYPERLINK  \l "_Toc428781691" </w:instrText>
      </w:r>
      <w:r>
        <w:fldChar w:fldCharType="separate"/>
      </w:r>
      <w:r>
        <w:rPr>
          <w:rStyle w:val="26"/>
          <w:rFonts w:hint="eastAsia"/>
          <w:kern w:val="44"/>
        </w:rPr>
        <w:t>北京市实施《中华人民共和国教师法》办法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_Toc428781691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708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47A1A57">
      <w:pPr>
        <w:pStyle w:val="9"/>
        <w:tabs>
          <w:tab w:val="right" w:leader="middleDot" w:pos="8295"/>
          <w:tab w:val="clear" w:pos="8296"/>
        </w:tabs>
        <w:rPr>
          <w:rFonts w:ascii="Calibri" w:hAnsi="Calibri" w:eastAsia="宋体" w:cs="黑体"/>
        </w:rPr>
      </w:pPr>
      <w:r>
        <w:fldChar w:fldCharType="begin"/>
      </w:r>
      <w:r>
        <w:instrText xml:space="preserve">HYPERLINK  \l "_Toc428781692" </w:instrText>
      </w:r>
      <w:r>
        <w:fldChar w:fldCharType="separate"/>
      </w:r>
      <w:r>
        <w:rPr>
          <w:rStyle w:val="26"/>
          <w:rFonts w:hint="eastAsia"/>
          <w:kern w:val="44"/>
        </w:rPr>
        <w:t>北京市专业技术人员继续教育规定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_Toc428781692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711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9C54F1B">
      <w:pPr>
        <w:pStyle w:val="9"/>
        <w:tabs>
          <w:tab w:val="right" w:leader="middleDot" w:pos="8295"/>
          <w:tab w:val="clear" w:pos="8296"/>
        </w:tabs>
        <w:rPr>
          <w:rFonts w:ascii="Calibri" w:hAnsi="Calibri" w:eastAsia="宋体" w:cs="黑体"/>
        </w:rPr>
      </w:pPr>
      <w:r>
        <w:fldChar w:fldCharType="begin"/>
      </w:r>
      <w:r>
        <w:instrText xml:space="preserve">HYPERLINK  \l "_Toc428781693" </w:instrText>
      </w:r>
      <w:r>
        <w:fldChar w:fldCharType="separate"/>
      </w:r>
      <w:r>
        <w:rPr>
          <w:rStyle w:val="26"/>
          <w:rFonts w:hint="eastAsia"/>
          <w:kern w:val="44"/>
        </w:rPr>
        <w:t>北京市实施《中华人民共和国职业教育法》办法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_Toc428781693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713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23924E9">
      <w:pPr>
        <w:pStyle w:val="9"/>
        <w:tabs>
          <w:tab w:val="right" w:leader="middleDot" w:pos="8295"/>
          <w:tab w:val="clear" w:pos="8296"/>
        </w:tabs>
        <w:rPr>
          <w:rFonts w:ascii="Calibri" w:hAnsi="Calibri" w:eastAsia="宋体" w:cs="黑体"/>
        </w:rPr>
      </w:pPr>
      <w:r>
        <w:fldChar w:fldCharType="begin"/>
      </w:r>
      <w:r>
        <w:instrText xml:space="preserve">HYPERLINK  \l "_Toc428781694" </w:instrText>
      </w:r>
      <w:r>
        <w:fldChar w:fldCharType="separate"/>
      </w:r>
      <w:r>
        <w:rPr>
          <w:rStyle w:val="26"/>
          <w:rFonts w:hint="eastAsia"/>
          <w:kern w:val="44"/>
        </w:rPr>
        <w:t>北京市学前教育条例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_Toc428781694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717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0447E6F">
      <w:pPr>
        <w:pStyle w:val="9"/>
        <w:tabs>
          <w:tab w:val="right" w:leader="middleDot" w:pos="8295"/>
          <w:tab w:val="clear" w:pos="8296"/>
        </w:tabs>
        <w:rPr>
          <w:rFonts w:ascii="Calibri" w:hAnsi="Calibri" w:eastAsia="宋体" w:cs="黑体"/>
        </w:rPr>
      </w:pPr>
      <w:r>
        <w:fldChar w:fldCharType="begin"/>
      </w:r>
      <w:r>
        <w:instrText xml:space="preserve">HYPERLINK  \l "_Toc428781695" </w:instrText>
      </w:r>
      <w:r>
        <w:fldChar w:fldCharType="separate"/>
      </w:r>
      <w:r>
        <w:rPr>
          <w:rStyle w:val="26"/>
          <w:rFonts w:hint="eastAsia"/>
          <w:kern w:val="44"/>
        </w:rPr>
        <w:t>北京市实施《中华人民共和国</w:t>
      </w:r>
      <w:r>
        <w:fldChar w:fldCharType="end"/>
      </w:r>
      <w:r>
        <w:fldChar w:fldCharType="begin"/>
      </w:r>
      <w:r>
        <w:instrText xml:space="preserve">HYPERLINK  \l "_Toc428781696" </w:instrText>
      </w:r>
      <w:r>
        <w:fldChar w:fldCharType="separate"/>
      </w:r>
      <w:r>
        <w:rPr>
          <w:rStyle w:val="26"/>
          <w:rFonts w:hint="eastAsia"/>
          <w:kern w:val="44"/>
        </w:rPr>
        <w:t>国家通用语言文字法》若干规定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_Toc428781696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721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25F4439">
      <w:pPr>
        <w:pStyle w:val="9"/>
        <w:tabs>
          <w:tab w:val="right" w:leader="middleDot" w:pos="8295"/>
          <w:tab w:val="clear" w:pos="8296"/>
        </w:tabs>
        <w:rPr>
          <w:rFonts w:ascii="Calibri" w:hAnsi="Calibri" w:eastAsia="宋体" w:cs="黑体"/>
        </w:rPr>
      </w:pPr>
      <w:r>
        <w:fldChar w:fldCharType="begin"/>
      </w:r>
      <w:r>
        <w:instrText xml:space="preserve">HYPERLINK  \l "_Toc428781697" </w:instrText>
      </w:r>
      <w:r>
        <w:fldChar w:fldCharType="separate"/>
      </w:r>
      <w:r>
        <w:rPr>
          <w:rStyle w:val="26"/>
          <w:rFonts w:hint="eastAsia"/>
          <w:kern w:val="44"/>
        </w:rPr>
        <w:t>北京市实施《中华人民共和国民办教育促进法》办法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_Toc428781697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723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B94DCEA">
      <w:pPr>
        <w:pStyle w:val="9"/>
        <w:tabs>
          <w:tab w:val="right" w:leader="middleDot" w:pos="8295"/>
          <w:tab w:val="clear" w:pos="8296"/>
        </w:tabs>
        <w:rPr>
          <w:rFonts w:ascii="Calibri" w:hAnsi="Calibri" w:eastAsia="宋体" w:cs="黑体"/>
        </w:rPr>
      </w:pPr>
      <w:r>
        <w:fldChar w:fldCharType="begin"/>
      </w:r>
      <w:r>
        <w:instrText xml:space="preserve">HYPERLINK  \l "_Toc428781698" </w:instrText>
      </w:r>
      <w:r>
        <w:fldChar w:fldCharType="separate"/>
      </w:r>
      <w:r>
        <w:rPr>
          <w:rStyle w:val="26"/>
          <w:rFonts w:hint="eastAsia"/>
          <w:kern w:val="44"/>
        </w:rPr>
        <w:t>北京市实施《中华人民共和国国防教育法》办法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_Toc428781698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727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5B8E88E">
      <w:pPr>
        <w:tabs>
          <w:tab w:val="right" w:leader="middleDot" w:pos="8295"/>
        </w:tabs>
        <w:ind w:firstLine="0" w:firstLineChars="0"/>
        <w:jc w:val="left"/>
        <w:rPr>
          <w:rFonts w:ascii="Calibri" w:hAnsi="Calibri" w:eastAsia="宋体" w:cs="黑体"/>
        </w:rPr>
      </w:pPr>
      <w:r>
        <w:rPr>
          <w:rFonts w:hint="eastAsia"/>
        </w:rPr>
        <w:t>北京市教师申诉办法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730</w:t>
      </w:r>
    </w:p>
    <w:p w14:paraId="094C6B12">
      <w:pPr>
        <w:pStyle w:val="9"/>
        <w:tabs>
          <w:tab w:val="right" w:leader="middleDot" w:pos="8295"/>
          <w:tab w:val="clear" w:pos="8296"/>
        </w:tabs>
        <w:rPr>
          <w:rFonts w:ascii="Calibri" w:hAnsi="Calibri" w:eastAsia="宋体" w:cs="黑体"/>
        </w:rPr>
      </w:pPr>
      <w:r>
        <w:fldChar w:fldCharType="begin"/>
      </w:r>
      <w:r>
        <w:instrText xml:space="preserve">HYPERLINK  \l "_Toc428781700" </w:instrText>
      </w:r>
      <w:r>
        <w:fldChar w:fldCharType="separate"/>
      </w:r>
      <w:r>
        <w:rPr>
          <w:rStyle w:val="26"/>
          <w:rFonts w:hint="eastAsia"/>
          <w:kern w:val="44"/>
        </w:rPr>
        <w:t>北京市教育督导规定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_Toc428781700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732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85BB255">
      <w:pPr>
        <w:pStyle w:val="9"/>
        <w:tabs>
          <w:tab w:val="right" w:leader="middleDot" w:pos="8295"/>
          <w:tab w:val="clear" w:pos="8296"/>
        </w:tabs>
        <w:rPr>
          <w:rFonts w:ascii="Calibri" w:hAnsi="Calibri" w:eastAsia="宋体" w:cs="黑体"/>
        </w:rPr>
      </w:pPr>
      <w:r>
        <w:fldChar w:fldCharType="begin"/>
      </w:r>
      <w:r>
        <w:instrText xml:space="preserve">HYPERLINK  \l "_Toc428781701" </w:instrText>
      </w:r>
      <w:r>
        <w:fldChar w:fldCharType="separate"/>
      </w:r>
      <w:r>
        <w:rPr>
          <w:rStyle w:val="26"/>
          <w:rFonts w:hint="eastAsia"/>
          <w:kern w:val="44"/>
        </w:rPr>
        <w:t>北京市人民政府关于对违反师范毕业生</w:t>
      </w:r>
      <w:r>
        <w:fldChar w:fldCharType="end"/>
      </w:r>
      <w:r>
        <w:fldChar w:fldCharType="begin"/>
      </w:r>
      <w:r>
        <w:instrText xml:space="preserve">HYPERLINK  \l "_Toc428781702" </w:instrText>
      </w:r>
      <w:r>
        <w:fldChar w:fldCharType="separate"/>
      </w:r>
      <w:r>
        <w:rPr>
          <w:rStyle w:val="26"/>
          <w:rFonts w:hint="eastAsia"/>
          <w:kern w:val="44"/>
        </w:rPr>
        <w:t>服务期制度者追缴专业奖学金和培养费的        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_Toc428781702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736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5E7B039">
      <w:pPr>
        <w:pStyle w:val="19"/>
        <w:tabs>
          <w:tab w:val="right" w:leader="middleDot" w:pos="8295"/>
          <w:tab w:val="clear" w:pos="8296"/>
        </w:tabs>
        <w:rPr>
          <w:rStyle w:val="26"/>
        </w:rPr>
      </w:pPr>
    </w:p>
    <w:p w14:paraId="0D34AD8B">
      <w:pPr>
        <w:pStyle w:val="19"/>
        <w:tabs>
          <w:tab w:val="right" w:leader="middleDot" w:pos="8295"/>
          <w:tab w:val="clear" w:pos="8296"/>
        </w:tabs>
        <w:rPr>
          <w:rStyle w:val="26"/>
        </w:rPr>
      </w:pPr>
      <w:r>
        <w:fldChar w:fldCharType="begin"/>
      </w:r>
      <w:r>
        <w:instrText xml:space="preserve">HYPERLINK  \l "_Toc428781703" </w:instrText>
      </w:r>
      <w:r>
        <w:fldChar w:fldCharType="separate"/>
      </w:r>
      <w:r>
        <w:rPr>
          <w:rStyle w:val="26"/>
          <w:rFonts w:hint="eastAsia"/>
        </w:rPr>
        <w:t>（二）科</w:t>
      </w:r>
      <w:r>
        <w:rPr>
          <w:rStyle w:val="26"/>
        </w:rPr>
        <w:t xml:space="preserve">  </w:t>
      </w:r>
      <w:r>
        <w:rPr>
          <w:rStyle w:val="26"/>
          <w:rFonts w:hint="eastAsia"/>
        </w:rPr>
        <w:t>技</w:t>
      </w:r>
      <w:r>
        <w:fldChar w:fldCharType="end"/>
      </w:r>
    </w:p>
    <w:p w14:paraId="49D5608D"/>
    <w:p w14:paraId="1EA74470">
      <w:pPr>
        <w:pStyle w:val="9"/>
        <w:tabs>
          <w:tab w:val="right" w:leader="middleDot" w:pos="8295"/>
          <w:tab w:val="clear" w:pos="8296"/>
        </w:tabs>
        <w:rPr>
          <w:rFonts w:ascii="Calibri" w:hAnsi="Calibri" w:eastAsia="宋体" w:cs="黑体"/>
        </w:rPr>
      </w:pPr>
      <w:r>
        <w:fldChar w:fldCharType="begin"/>
      </w:r>
      <w:r>
        <w:instrText xml:space="preserve">HYPERLINK  \l "_Toc428781704" </w:instrText>
      </w:r>
      <w:r>
        <w:fldChar w:fldCharType="separate"/>
      </w:r>
      <w:r>
        <w:rPr>
          <w:rStyle w:val="26"/>
          <w:rFonts w:hint="eastAsia"/>
          <w:kern w:val="44"/>
        </w:rPr>
        <w:t>北京市实验动物管理条例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_Toc428781704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737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CEBDE0D">
      <w:pPr>
        <w:pStyle w:val="9"/>
        <w:tabs>
          <w:tab w:val="right" w:leader="middleDot" w:pos="8295"/>
          <w:tab w:val="clear" w:pos="8296"/>
        </w:tabs>
        <w:rPr>
          <w:rFonts w:hint="eastAsia" w:ascii="华文宋体" w:hAnsi="华文宋体" w:eastAsia="华文宋体" w:cs="华文宋体"/>
          <w:sz w:val="24"/>
          <w:szCs w:val="24"/>
        </w:rPr>
      </w:pPr>
      <w:r>
        <w:fldChar w:fldCharType="begin"/>
      </w:r>
      <w:r>
        <w:instrText xml:space="preserve">HYPERLINK  \l "_Toc428781705" </w:instrText>
      </w:r>
      <w:r>
        <w:fldChar w:fldCharType="separate"/>
      </w:r>
      <w:r>
        <w:rPr>
          <w:rStyle w:val="26"/>
          <w:rFonts w:hint="eastAsia"/>
          <w:kern w:val="44"/>
        </w:rPr>
        <w:t>北京市科学技术普及条例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_Toc428781705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741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7A4688D">
      <w:pPr>
        <w:pStyle w:val="9"/>
        <w:tabs>
          <w:tab w:val="right" w:leader="middleDot" w:pos="8295"/>
          <w:tab w:val="clear" w:pos="8296"/>
        </w:tabs>
        <w:rPr>
          <w:rFonts w:ascii="Calibri" w:hAnsi="Calibri" w:eastAsia="宋体" w:cs="黑体"/>
        </w:rPr>
      </w:pPr>
      <w:r>
        <w:fldChar w:fldCharType="begin"/>
      </w:r>
      <w:r>
        <w:instrText xml:space="preserve">HYPERLINK  \l "_Toc428781706" </w:instrText>
      </w:r>
      <w:r>
        <w:fldChar w:fldCharType="separate"/>
      </w:r>
      <w:r>
        <w:rPr>
          <w:rStyle w:val="26"/>
          <w:rFonts w:hint="eastAsia"/>
          <w:kern w:val="44"/>
        </w:rPr>
        <w:t>北京市技术市场条例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_Toc428781706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745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70EEDE4">
      <w:pPr>
        <w:tabs>
          <w:tab w:val="right" w:leader="middleDot" w:pos="8295"/>
        </w:tabs>
        <w:ind w:firstLine="0" w:firstLineChars="0"/>
        <w:jc w:val="left"/>
        <w:rPr>
          <w:rFonts w:ascii="Calibri" w:hAnsi="Calibri" w:eastAsia="宋体" w:cs="黑体"/>
        </w:rPr>
      </w:pPr>
      <w:r>
        <w:rPr>
          <w:rFonts w:hint="eastAsia"/>
        </w:rPr>
        <w:t>中关村国家自主创新示范区条例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750</w:t>
      </w:r>
    </w:p>
    <w:p w14:paraId="1F5EF38E">
      <w:pPr>
        <w:pStyle w:val="9"/>
        <w:tabs>
          <w:tab w:val="right" w:leader="middleDot" w:pos="8295"/>
          <w:tab w:val="clear" w:pos="8296"/>
        </w:tabs>
        <w:rPr>
          <w:rFonts w:ascii="Calibri" w:hAnsi="Calibri" w:eastAsia="宋体" w:cs="黑体"/>
        </w:rPr>
      </w:pPr>
      <w:r>
        <w:fldChar w:fldCharType="begin"/>
      </w:r>
      <w:r>
        <w:instrText xml:space="preserve">HYPERLINK  \l "_Toc428781708" </w:instrText>
      </w:r>
      <w:r>
        <w:fldChar w:fldCharType="separate"/>
      </w:r>
      <w:r>
        <w:rPr>
          <w:rStyle w:val="26"/>
          <w:rFonts w:hint="eastAsia"/>
          <w:kern w:val="44"/>
        </w:rPr>
        <w:t>北京市科学技术奖励办法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_Toc428781708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759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4B8AF61">
      <w:pPr>
        <w:pStyle w:val="9"/>
        <w:tabs>
          <w:tab w:val="right" w:leader="middleDot" w:pos="8295"/>
          <w:tab w:val="clear" w:pos="8296"/>
        </w:tabs>
        <w:rPr>
          <w:rFonts w:ascii="Calibri" w:hAnsi="Calibri" w:eastAsia="宋体" w:cs="黑体"/>
        </w:rPr>
      </w:pPr>
      <w:r>
        <w:fldChar w:fldCharType="begin"/>
      </w:r>
      <w:r>
        <w:instrText xml:space="preserve">HYPERLINK  \l "_Toc428781709" </w:instrText>
      </w:r>
      <w:r>
        <w:fldChar w:fldCharType="separate"/>
      </w:r>
      <w:r>
        <w:rPr>
          <w:rStyle w:val="26"/>
          <w:rFonts w:hint="eastAsia"/>
          <w:kern w:val="44"/>
        </w:rPr>
        <w:t>北京市自然科学基金管理办法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_Toc428781709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762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831C08B">
      <w:pPr>
        <w:pStyle w:val="19"/>
        <w:tabs>
          <w:tab w:val="right" w:leader="middleDot" w:pos="8295"/>
          <w:tab w:val="clear" w:pos="8296"/>
        </w:tabs>
        <w:rPr>
          <w:rStyle w:val="26"/>
        </w:rPr>
      </w:pPr>
    </w:p>
    <w:p w14:paraId="315DA4D5">
      <w:pPr>
        <w:pStyle w:val="19"/>
        <w:tabs>
          <w:tab w:val="right" w:leader="middleDot" w:pos="8295"/>
          <w:tab w:val="clear" w:pos="8296"/>
        </w:tabs>
        <w:rPr>
          <w:rStyle w:val="26"/>
        </w:rPr>
      </w:pPr>
      <w:r>
        <w:fldChar w:fldCharType="begin"/>
      </w:r>
      <w:r>
        <w:instrText xml:space="preserve">HYPERLINK  \l "_Toc428781710" </w:instrText>
      </w:r>
      <w:r>
        <w:fldChar w:fldCharType="separate"/>
      </w:r>
      <w:r>
        <w:rPr>
          <w:rStyle w:val="26"/>
          <w:rFonts w:hint="eastAsia"/>
        </w:rPr>
        <w:t>（三）出版传播</w:t>
      </w:r>
      <w:r>
        <w:fldChar w:fldCharType="end"/>
      </w:r>
    </w:p>
    <w:p w14:paraId="3F9743D5"/>
    <w:p w14:paraId="6D4DD60E">
      <w:pPr>
        <w:pStyle w:val="9"/>
        <w:tabs>
          <w:tab w:val="right" w:leader="middleDot" w:pos="8295"/>
          <w:tab w:val="clear" w:pos="8296"/>
        </w:tabs>
        <w:rPr>
          <w:rFonts w:ascii="Calibri" w:hAnsi="Calibri" w:eastAsia="宋体" w:cs="黑体"/>
        </w:rPr>
      </w:pPr>
      <w:r>
        <w:fldChar w:fldCharType="begin"/>
      </w:r>
      <w:r>
        <w:instrText xml:space="preserve">HYPERLINK  \l "_Toc428781711" </w:instrText>
      </w:r>
      <w:r>
        <w:fldChar w:fldCharType="separate"/>
      </w:r>
      <w:r>
        <w:rPr>
          <w:rStyle w:val="26"/>
          <w:rFonts w:hint="eastAsia"/>
          <w:kern w:val="44"/>
        </w:rPr>
        <w:t>北京市音像制品管理条例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_Toc428781711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769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343E12D">
      <w:pPr>
        <w:pStyle w:val="9"/>
        <w:tabs>
          <w:tab w:val="right" w:leader="middleDot" w:pos="8295"/>
          <w:tab w:val="clear" w:pos="8296"/>
        </w:tabs>
        <w:rPr>
          <w:rFonts w:ascii="Calibri" w:hAnsi="Calibri" w:eastAsia="宋体" w:cs="黑体"/>
        </w:rPr>
      </w:pPr>
      <w:r>
        <w:fldChar w:fldCharType="begin"/>
      </w:r>
      <w:r>
        <w:instrText xml:space="preserve">HYPERLINK  \l "_Toc428781712" </w:instrText>
      </w:r>
      <w:r>
        <w:fldChar w:fldCharType="separate"/>
      </w:r>
      <w:r>
        <w:rPr>
          <w:rStyle w:val="26"/>
          <w:rFonts w:hint="eastAsia"/>
          <w:kern w:val="44"/>
        </w:rPr>
        <w:t>北京市图书报刊电子出版物管理条例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_Toc428781712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774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C5505D5">
      <w:pPr>
        <w:pStyle w:val="9"/>
        <w:tabs>
          <w:tab w:val="right" w:leader="middleDot" w:pos="8295"/>
          <w:tab w:val="clear" w:pos="8296"/>
        </w:tabs>
        <w:rPr>
          <w:rFonts w:ascii="Calibri" w:hAnsi="Calibri" w:eastAsia="宋体" w:cs="黑体"/>
        </w:rPr>
      </w:pPr>
      <w:r>
        <w:fldChar w:fldCharType="begin"/>
      </w:r>
      <w:r>
        <w:instrText xml:space="preserve">HYPERLINK  \l "_Toc428781713" </w:instrText>
      </w:r>
      <w:r>
        <w:fldChar w:fldCharType="separate"/>
      </w:r>
      <w:r>
        <w:rPr>
          <w:rStyle w:val="26"/>
          <w:rFonts w:hint="eastAsia"/>
          <w:kern w:val="44"/>
        </w:rPr>
        <w:t>北京市实施《卫星地面接收设施接收外国卫星</w:t>
      </w:r>
      <w:r>
        <w:fldChar w:fldCharType="end"/>
      </w:r>
      <w:r>
        <w:fldChar w:fldCharType="begin"/>
      </w:r>
      <w:r>
        <w:instrText xml:space="preserve">HYPERLINK  \l "_Toc428781714" </w:instrText>
      </w:r>
      <w:r>
        <w:fldChar w:fldCharType="separate"/>
      </w:r>
      <w:r>
        <w:rPr>
          <w:rStyle w:val="26"/>
          <w:rFonts w:hint="eastAsia"/>
          <w:kern w:val="44"/>
        </w:rPr>
        <w:t>传送电视节目管理办法》若干              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_Toc428781714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779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5E1C068">
      <w:pPr>
        <w:pStyle w:val="9"/>
        <w:tabs>
          <w:tab w:val="right" w:leader="middleDot" w:pos="8295"/>
          <w:tab w:val="clear" w:pos="8296"/>
        </w:tabs>
        <w:rPr>
          <w:rStyle w:val="26"/>
          <w:rFonts w:ascii="Calibri" w:hAnsi="Calibri" w:eastAsia="宋体" w:cs="黑体"/>
          <w:color w:val="auto"/>
          <w:u w:val="none"/>
        </w:rPr>
      </w:pPr>
      <w:r>
        <w:fldChar w:fldCharType="begin"/>
      </w:r>
      <w:r>
        <w:instrText xml:space="preserve">HYPERLINK  \l "_Toc428781715" </w:instrText>
      </w:r>
      <w:r>
        <w:fldChar w:fldCharType="separate"/>
      </w:r>
      <w:r>
        <w:rPr>
          <w:rStyle w:val="26"/>
          <w:rFonts w:hint="eastAsia"/>
          <w:kern w:val="44"/>
        </w:rPr>
        <w:t>北京市涉外宾馆卫星电视广播地面</w:t>
      </w:r>
      <w:r>
        <w:fldChar w:fldCharType="end"/>
      </w:r>
      <w:r>
        <w:fldChar w:fldCharType="begin"/>
      </w:r>
      <w:r>
        <w:instrText xml:space="preserve">HYPERLINK  \l "_Toc428781716" </w:instrText>
      </w:r>
      <w:r>
        <w:fldChar w:fldCharType="separate"/>
      </w:r>
      <w:r>
        <w:rPr>
          <w:rStyle w:val="26"/>
          <w:rFonts w:hint="eastAsia"/>
          <w:kern w:val="44"/>
        </w:rPr>
        <w:t>接收设施接收卫星传送境外电视节目管理            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_Toc428781716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781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C50DDE1"/>
    <w:p w14:paraId="0C5D48E4">
      <w:pPr>
        <w:pStyle w:val="19"/>
        <w:tabs>
          <w:tab w:val="right" w:leader="middleDot" w:pos="8295"/>
          <w:tab w:val="clear" w:pos="8296"/>
        </w:tabs>
        <w:rPr>
          <w:rStyle w:val="26"/>
        </w:rPr>
      </w:pPr>
      <w:r>
        <w:fldChar w:fldCharType="begin"/>
      </w:r>
      <w:r>
        <w:instrText xml:space="preserve">HYPERLINK  \l "_Toc428781717" </w:instrText>
      </w:r>
      <w:r>
        <w:fldChar w:fldCharType="separate"/>
      </w:r>
      <w:r>
        <w:rPr>
          <w:rStyle w:val="26"/>
          <w:rFonts w:hint="eastAsia"/>
        </w:rPr>
        <w:t>（四）文化管理</w:t>
      </w:r>
      <w:r>
        <w:fldChar w:fldCharType="end"/>
      </w:r>
    </w:p>
    <w:p w14:paraId="1AA8969C"/>
    <w:p w14:paraId="2DED7D28">
      <w:pPr>
        <w:pStyle w:val="9"/>
        <w:tabs>
          <w:tab w:val="right" w:leader="middleDot" w:pos="8295"/>
          <w:tab w:val="clear" w:pos="8296"/>
        </w:tabs>
        <w:rPr>
          <w:rFonts w:ascii="Calibri" w:hAnsi="Calibri" w:eastAsia="宋体" w:cs="黑体"/>
        </w:rPr>
      </w:pPr>
      <w:r>
        <w:fldChar w:fldCharType="begin"/>
      </w:r>
      <w:r>
        <w:instrText xml:space="preserve">HYPERLINK  \l "_Toc428781718" </w:instrText>
      </w:r>
      <w:r>
        <w:fldChar w:fldCharType="separate"/>
      </w:r>
      <w:r>
        <w:rPr>
          <w:rStyle w:val="26"/>
          <w:rFonts w:hint="eastAsia"/>
          <w:kern w:val="44"/>
        </w:rPr>
        <w:t>北京市博物馆条例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_Toc428781718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783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B28542F">
      <w:pPr>
        <w:pStyle w:val="9"/>
        <w:tabs>
          <w:tab w:val="right" w:leader="middleDot" w:pos="8295"/>
          <w:tab w:val="clear" w:pos="8296"/>
        </w:tabs>
        <w:rPr>
          <w:rFonts w:ascii="Calibri" w:hAnsi="Calibri" w:eastAsia="宋体" w:cs="黑体"/>
        </w:rPr>
      </w:pPr>
      <w:r>
        <w:fldChar w:fldCharType="begin"/>
      </w:r>
      <w:r>
        <w:instrText xml:space="preserve">HYPERLINK  \l "_Toc428781719" </w:instrText>
      </w:r>
      <w:r>
        <w:fldChar w:fldCharType="separate"/>
      </w:r>
      <w:r>
        <w:rPr>
          <w:rStyle w:val="26"/>
          <w:rFonts w:hint="eastAsia"/>
          <w:kern w:val="44"/>
        </w:rPr>
        <w:t>北京市图书馆条例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_Toc428781719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787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733B2B3">
      <w:pPr>
        <w:pStyle w:val="9"/>
        <w:tabs>
          <w:tab w:val="right" w:leader="middleDot" w:pos="8295"/>
          <w:tab w:val="clear" w:pos="8296"/>
        </w:tabs>
        <w:rPr>
          <w:rFonts w:ascii="Calibri" w:hAnsi="Calibri" w:eastAsia="宋体" w:cs="黑体"/>
        </w:rPr>
      </w:pPr>
      <w:r>
        <w:fldChar w:fldCharType="begin"/>
      </w:r>
      <w:r>
        <w:instrText xml:space="preserve">HYPERLINK  \l "_Toc428781720" </w:instrText>
      </w:r>
      <w:r>
        <w:fldChar w:fldCharType="separate"/>
      </w:r>
      <w:r>
        <w:rPr>
          <w:rStyle w:val="26"/>
          <w:rFonts w:hint="eastAsia"/>
          <w:kern w:val="44"/>
        </w:rPr>
        <w:t>北京市传统工艺美术保护办法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_Toc428781720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792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E162252">
      <w:pPr>
        <w:pStyle w:val="9"/>
        <w:tabs>
          <w:tab w:val="right" w:leader="middleDot" w:pos="8295"/>
          <w:tab w:val="clear" w:pos="8296"/>
        </w:tabs>
        <w:rPr>
          <w:rFonts w:ascii="Calibri" w:hAnsi="Calibri" w:eastAsia="宋体" w:cs="黑体"/>
        </w:rPr>
      </w:pPr>
      <w:r>
        <w:fldChar w:fldCharType="begin"/>
      </w:r>
      <w:r>
        <w:instrText xml:space="preserve">HYPERLINK  \l "_Toc428781721" </w:instrText>
      </w:r>
      <w:r>
        <w:fldChar w:fldCharType="separate"/>
      </w:r>
      <w:r>
        <w:rPr>
          <w:rStyle w:val="26"/>
          <w:rFonts w:hint="eastAsia"/>
          <w:kern w:val="44"/>
        </w:rPr>
        <w:t>北京市实施《地方志工作条例》办法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_Toc428781721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796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A627F77">
      <w:pPr>
        <w:pStyle w:val="9"/>
        <w:tabs>
          <w:tab w:val="right" w:leader="middleDot" w:pos="8295"/>
          <w:tab w:val="clear" w:pos="8296"/>
        </w:tabs>
        <w:rPr>
          <w:rFonts w:ascii="Calibri" w:hAnsi="Calibri" w:eastAsia="宋体" w:cs="黑体"/>
        </w:rPr>
      </w:pPr>
      <w:r>
        <w:fldChar w:fldCharType="begin"/>
      </w:r>
      <w:r>
        <w:instrText xml:space="preserve">HYPERLINK  \l "_Toc428781722" </w:instrText>
      </w:r>
      <w:r>
        <w:fldChar w:fldCharType="separate"/>
      </w:r>
      <w:r>
        <w:rPr>
          <w:rStyle w:val="26"/>
          <w:rFonts w:hint="eastAsia"/>
          <w:kern w:val="44"/>
        </w:rPr>
        <w:t>北京市文化市场综合行政执法办法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_Toc428781722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798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FB3261E">
      <w:pPr>
        <w:pStyle w:val="19"/>
        <w:tabs>
          <w:tab w:val="right" w:leader="middleDot" w:pos="8295"/>
          <w:tab w:val="clear" w:pos="8296"/>
        </w:tabs>
        <w:rPr>
          <w:rStyle w:val="26"/>
        </w:rPr>
      </w:pPr>
    </w:p>
    <w:p w14:paraId="75486F50">
      <w:pPr>
        <w:pStyle w:val="19"/>
        <w:tabs>
          <w:tab w:val="right" w:leader="middleDot" w:pos="8295"/>
          <w:tab w:val="clear" w:pos="8296"/>
        </w:tabs>
        <w:rPr>
          <w:rStyle w:val="26"/>
        </w:rPr>
      </w:pPr>
      <w:r>
        <w:fldChar w:fldCharType="begin"/>
      </w:r>
      <w:r>
        <w:instrText xml:space="preserve">HYPERLINK  \l "_Toc428781723" </w:instrText>
      </w:r>
      <w:r>
        <w:fldChar w:fldCharType="separate"/>
      </w:r>
      <w:r>
        <w:rPr>
          <w:rStyle w:val="26"/>
          <w:rFonts w:hint="eastAsia"/>
        </w:rPr>
        <w:t>（五）文物保护</w:t>
      </w:r>
      <w:r>
        <w:fldChar w:fldCharType="end"/>
      </w:r>
    </w:p>
    <w:p w14:paraId="275BD6D2"/>
    <w:p w14:paraId="28117182">
      <w:pPr>
        <w:pStyle w:val="9"/>
        <w:tabs>
          <w:tab w:val="right" w:leader="middleDot" w:pos="8295"/>
          <w:tab w:val="clear" w:pos="8296"/>
        </w:tabs>
        <w:rPr>
          <w:rFonts w:ascii="Calibri" w:hAnsi="Calibri" w:eastAsia="宋体" w:cs="黑体"/>
        </w:rPr>
      </w:pPr>
      <w:r>
        <w:fldChar w:fldCharType="begin"/>
      </w:r>
      <w:r>
        <w:instrText xml:space="preserve">HYPERLINK  \l "_Toc428781724" </w:instrText>
      </w:r>
      <w:r>
        <w:fldChar w:fldCharType="separate"/>
      </w:r>
      <w:r>
        <w:rPr>
          <w:rStyle w:val="26"/>
          <w:rFonts w:hint="eastAsia"/>
          <w:kern w:val="44"/>
        </w:rPr>
        <w:t>北京市实施《中华人民共和国文物保护法》办法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_Toc428781724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802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9551C02">
      <w:pPr>
        <w:pStyle w:val="9"/>
        <w:tabs>
          <w:tab w:val="right" w:leader="middleDot" w:pos="8295"/>
          <w:tab w:val="clear" w:pos="8296"/>
        </w:tabs>
        <w:rPr>
          <w:rFonts w:ascii="Calibri" w:hAnsi="Calibri" w:eastAsia="宋体" w:cs="黑体"/>
        </w:rPr>
      </w:pPr>
      <w:r>
        <w:fldChar w:fldCharType="begin"/>
      </w:r>
      <w:r>
        <w:instrText xml:space="preserve">HYPERLINK  \l "_Toc428781725" </w:instrText>
      </w:r>
      <w:r>
        <w:fldChar w:fldCharType="separate"/>
      </w:r>
      <w:r>
        <w:rPr>
          <w:rStyle w:val="26"/>
          <w:rFonts w:hint="eastAsia"/>
          <w:kern w:val="44"/>
        </w:rPr>
        <w:t>北京历史文化名城保护条例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_Toc428781725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806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A1C7EF5">
      <w:pPr>
        <w:pStyle w:val="9"/>
        <w:tabs>
          <w:tab w:val="right" w:leader="middleDot" w:pos="8295"/>
          <w:tab w:val="clear" w:pos="8296"/>
        </w:tabs>
        <w:rPr>
          <w:rFonts w:ascii="Calibri" w:hAnsi="Calibri" w:eastAsia="宋体" w:cs="黑体"/>
        </w:rPr>
      </w:pPr>
      <w:r>
        <w:fldChar w:fldCharType="begin"/>
      </w:r>
      <w:r>
        <w:instrText xml:space="preserve">HYPERLINK  \l "_Toc428781726" </w:instrText>
      </w:r>
      <w:r>
        <w:fldChar w:fldCharType="separate"/>
      </w:r>
      <w:r>
        <w:rPr>
          <w:rStyle w:val="26"/>
          <w:rFonts w:hint="eastAsia"/>
          <w:kern w:val="44"/>
        </w:rPr>
        <w:t>北京市利用文物保护单位</w:t>
      </w:r>
      <w:r>
        <w:fldChar w:fldCharType="end"/>
      </w:r>
      <w:r>
        <w:fldChar w:fldCharType="begin"/>
      </w:r>
      <w:r>
        <w:instrText xml:space="preserve">HYPERLINK  \l "_Toc428781727" </w:instrText>
      </w:r>
      <w:r>
        <w:fldChar w:fldCharType="separate"/>
      </w:r>
      <w:r>
        <w:rPr>
          <w:rStyle w:val="26"/>
          <w:rFonts w:hint="eastAsia"/>
          <w:kern w:val="44"/>
        </w:rPr>
        <w:t>拍摄电影、电视管理暂行办法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_Toc428781727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811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57E21CB">
      <w:pPr>
        <w:pStyle w:val="9"/>
        <w:tabs>
          <w:tab w:val="right" w:leader="middleDot" w:pos="8295"/>
          <w:tab w:val="clear" w:pos="8296"/>
        </w:tabs>
        <w:rPr>
          <w:rFonts w:ascii="Calibri" w:hAnsi="Calibri" w:eastAsia="宋体" w:cs="黑体"/>
        </w:rPr>
      </w:pPr>
      <w:r>
        <w:fldChar w:fldCharType="begin"/>
      </w:r>
      <w:r>
        <w:instrText xml:space="preserve">HYPERLINK  \l "_Toc428781728" </w:instrText>
      </w:r>
      <w:r>
        <w:fldChar w:fldCharType="separate"/>
      </w:r>
      <w:r>
        <w:rPr>
          <w:rStyle w:val="26"/>
          <w:rFonts w:hint="eastAsia"/>
          <w:kern w:val="44"/>
        </w:rPr>
        <w:t>北京市文物保护单位保护范围</w:t>
      </w:r>
      <w:r>
        <w:fldChar w:fldCharType="end"/>
      </w:r>
      <w:r>
        <w:fldChar w:fldCharType="begin"/>
      </w:r>
      <w:r>
        <w:instrText xml:space="preserve">HYPERLINK  \l "_Toc428781729" </w:instrText>
      </w:r>
      <w:r>
        <w:fldChar w:fldCharType="separate"/>
      </w:r>
      <w:r>
        <w:rPr>
          <w:rStyle w:val="26"/>
          <w:rFonts w:hint="eastAsia"/>
          <w:kern w:val="44"/>
        </w:rPr>
        <w:t>及建设控制地带管理规定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_Toc428781729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813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DDA937D">
      <w:pPr>
        <w:pStyle w:val="9"/>
        <w:tabs>
          <w:tab w:val="right" w:leader="middleDot" w:pos="8295"/>
          <w:tab w:val="clear" w:pos="8296"/>
        </w:tabs>
        <w:rPr>
          <w:rFonts w:ascii="Calibri" w:hAnsi="Calibri" w:eastAsia="宋体" w:cs="黑体"/>
        </w:rPr>
      </w:pPr>
      <w:r>
        <w:fldChar w:fldCharType="begin"/>
      </w:r>
      <w:r>
        <w:instrText xml:space="preserve">HYPERLINK  \l "_Toc428781730" </w:instrText>
      </w:r>
      <w:r>
        <w:fldChar w:fldCharType="separate"/>
      </w:r>
      <w:r>
        <w:rPr>
          <w:rStyle w:val="26"/>
          <w:rFonts w:hint="eastAsia"/>
          <w:kern w:val="44"/>
        </w:rPr>
        <w:t>北京市文物保护单位巡视检查报告制度暂行规定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_Toc428781730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815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3CCD96F">
      <w:pPr>
        <w:pStyle w:val="9"/>
        <w:tabs>
          <w:tab w:val="right" w:leader="middleDot" w:pos="8295"/>
          <w:tab w:val="clear" w:pos="8296"/>
        </w:tabs>
        <w:rPr>
          <w:rFonts w:ascii="Calibri" w:hAnsi="Calibri" w:eastAsia="宋体" w:cs="黑体"/>
        </w:rPr>
      </w:pPr>
      <w:r>
        <w:fldChar w:fldCharType="begin"/>
      </w:r>
      <w:r>
        <w:instrText xml:space="preserve">HYPERLINK  \l "_Toc428781731" </w:instrText>
      </w:r>
      <w:r>
        <w:fldChar w:fldCharType="separate"/>
      </w:r>
      <w:r>
        <w:rPr>
          <w:rStyle w:val="26"/>
          <w:rFonts w:hint="eastAsia"/>
          <w:kern w:val="44"/>
        </w:rPr>
        <w:t>北京市人民政府关于严格控制</w:t>
      </w:r>
      <w:r>
        <w:fldChar w:fldCharType="end"/>
      </w:r>
      <w:r>
        <w:fldChar w:fldCharType="begin"/>
      </w:r>
      <w:r>
        <w:instrText xml:space="preserve">HYPERLINK  \l "_Toc428781732" </w:instrText>
      </w:r>
      <w:r>
        <w:fldChar w:fldCharType="separate"/>
      </w:r>
      <w:r>
        <w:rPr>
          <w:rStyle w:val="26"/>
          <w:rFonts w:hint="eastAsia"/>
          <w:kern w:val="44"/>
        </w:rPr>
        <w:t>颐和园、圆明园地区建设工程的规定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_Toc428781732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817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ADA2A3D">
      <w:pPr>
        <w:pStyle w:val="9"/>
        <w:tabs>
          <w:tab w:val="right" w:leader="middleDot" w:pos="8295"/>
          <w:tab w:val="clear" w:pos="8296"/>
        </w:tabs>
        <w:rPr>
          <w:rFonts w:ascii="Calibri" w:hAnsi="Calibri" w:eastAsia="宋体" w:cs="黑体"/>
        </w:rPr>
      </w:pPr>
      <w:r>
        <w:fldChar w:fldCharType="begin"/>
      </w:r>
      <w:r>
        <w:instrText xml:space="preserve">HYPERLINK  \l "_Toc428781733" </w:instrText>
      </w:r>
      <w:r>
        <w:fldChar w:fldCharType="separate"/>
      </w:r>
      <w:r>
        <w:rPr>
          <w:rStyle w:val="26"/>
          <w:rFonts w:hint="eastAsia"/>
          <w:kern w:val="44"/>
        </w:rPr>
        <w:t>北京市人民政府关于加强</w:t>
      </w:r>
      <w:r>
        <w:fldChar w:fldCharType="end"/>
      </w:r>
      <w:r>
        <w:fldChar w:fldCharType="begin"/>
      </w:r>
      <w:r>
        <w:instrText xml:space="preserve">HYPERLINK  \l "_Toc428781734" </w:instrText>
      </w:r>
      <w:r>
        <w:fldChar w:fldCharType="separate"/>
      </w:r>
      <w:r>
        <w:rPr>
          <w:rStyle w:val="26"/>
          <w:rFonts w:hint="eastAsia"/>
          <w:kern w:val="44"/>
        </w:rPr>
        <w:t>八达岭</w:t>
      </w:r>
      <w:r>
        <w:rPr>
          <w:rStyle w:val="26"/>
          <w:rFonts w:ascii="楷体" w:hAnsi="楷体" w:eastAsia="楷体"/>
          <w:kern w:val="44"/>
        </w:rPr>
        <w:t>——</w:t>
      </w:r>
      <w:r>
        <w:rPr>
          <w:rStyle w:val="26"/>
          <w:rFonts w:hint="eastAsia"/>
          <w:kern w:val="44"/>
        </w:rPr>
        <w:t>十三陵风景名胜区规划管理的规定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_Toc428781734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819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728997E">
      <w:pPr>
        <w:pStyle w:val="9"/>
        <w:tabs>
          <w:tab w:val="right" w:leader="middleDot" w:pos="8295"/>
          <w:tab w:val="clear" w:pos="8296"/>
        </w:tabs>
        <w:rPr>
          <w:rFonts w:ascii="Calibri" w:hAnsi="Calibri" w:eastAsia="宋体" w:cs="黑体"/>
        </w:rPr>
      </w:pPr>
      <w:r>
        <w:fldChar w:fldCharType="begin"/>
      </w:r>
      <w:r>
        <w:instrText xml:space="preserve">HYPERLINK  \l "_Toc428781735" </w:instrText>
      </w:r>
      <w:r>
        <w:fldChar w:fldCharType="separate"/>
      </w:r>
      <w:r>
        <w:rPr>
          <w:rStyle w:val="26"/>
          <w:rFonts w:hint="eastAsia"/>
          <w:kern w:val="44"/>
        </w:rPr>
        <w:t>北京市明十三陵保护管理办法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_Toc428781735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821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D137DC5">
      <w:pPr>
        <w:pStyle w:val="9"/>
        <w:tabs>
          <w:tab w:val="right" w:leader="middleDot" w:pos="8295"/>
          <w:tab w:val="clear" w:pos="8296"/>
        </w:tabs>
        <w:rPr>
          <w:rFonts w:ascii="Calibri" w:hAnsi="Calibri" w:eastAsia="宋体" w:cs="黑体"/>
        </w:rPr>
      </w:pPr>
      <w:r>
        <w:fldChar w:fldCharType="begin"/>
      </w:r>
      <w:r>
        <w:instrText xml:space="preserve">HYPERLINK  \l "_Toc428781736" </w:instrText>
      </w:r>
      <w:r>
        <w:fldChar w:fldCharType="separate"/>
      </w:r>
      <w:r>
        <w:rPr>
          <w:rStyle w:val="26"/>
          <w:rFonts w:hint="eastAsia"/>
          <w:kern w:val="44"/>
        </w:rPr>
        <w:t>北京市长城保护管理办法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_Toc428781736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823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58E36BD">
      <w:pPr>
        <w:pStyle w:val="9"/>
        <w:tabs>
          <w:tab w:val="right" w:leader="middleDot" w:pos="8295"/>
          <w:tab w:val="clear" w:pos="8296"/>
        </w:tabs>
        <w:rPr>
          <w:rFonts w:ascii="Calibri" w:hAnsi="Calibri" w:eastAsia="宋体" w:cs="黑体"/>
        </w:rPr>
      </w:pPr>
      <w:r>
        <w:fldChar w:fldCharType="begin"/>
      </w:r>
      <w:r>
        <w:instrText xml:space="preserve">HYPERLINK  \l "_Toc428781737" </w:instrText>
      </w:r>
      <w:r>
        <w:fldChar w:fldCharType="separate"/>
      </w:r>
      <w:r>
        <w:rPr>
          <w:rStyle w:val="26"/>
          <w:rFonts w:hint="eastAsia"/>
          <w:kern w:val="44"/>
        </w:rPr>
        <w:t>周口店遗址保护管理办法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_Toc428781737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826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DAE7FE3">
      <w:pPr>
        <w:pStyle w:val="9"/>
        <w:tabs>
          <w:tab w:val="right" w:leader="middleDot" w:pos="8295"/>
          <w:tab w:val="clear" w:pos="8296"/>
        </w:tabs>
        <w:rPr>
          <w:rFonts w:ascii="Calibri" w:hAnsi="Calibri" w:eastAsia="宋体" w:cs="黑体"/>
        </w:rPr>
      </w:pPr>
      <w:r>
        <w:fldChar w:fldCharType="begin"/>
      </w:r>
      <w:r>
        <w:instrText xml:space="preserve">HYPERLINK  \l "_Toc428781738" </w:instrText>
      </w:r>
      <w:r>
        <w:fldChar w:fldCharType="separate"/>
      </w:r>
      <w:r>
        <w:rPr>
          <w:rStyle w:val="26"/>
          <w:rFonts w:hint="eastAsia"/>
          <w:kern w:val="44"/>
        </w:rPr>
        <w:t>北京市地下文物保护管理办法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_Toc428781738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829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FD30274">
      <w:pPr>
        <w:pStyle w:val="19"/>
        <w:tabs>
          <w:tab w:val="right" w:leader="middleDot" w:pos="8295"/>
          <w:tab w:val="clear" w:pos="8296"/>
        </w:tabs>
        <w:rPr>
          <w:rStyle w:val="26"/>
        </w:rPr>
      </w:pPr>
    </w:p>
    <w:p w14:paraId="1DA96864">
      <w:pPr>
        <w:pStyle w:val="19"/>
        <w:tabs>
          <w:tab w:val="right" w:leader="middleDot" w:pos="8295"/>
          <w:tab w:val="clear" w:pos="8296"/>
        </w:tabs>
        <w:rPr>
          <w:rStyle w:val="26"/>
        </w:rPr>
      </w:pPr>
      <w:r>
        <w:fldChar w:fldCharType="begin"/>
      </w:r>
      <w:r>
        <w:instrText xml:space="preserve">HYPERLINK  \l "_Toc428781739" </w:instrText>
      </w:r>
      <w:r>
        <w:fldChar w:fldCharType="separate"/>
      </w:r>
      <w:r>
        <w:rPr>
          <w:rStyle w:val="26"/>
          <w:rFonts w:hint="eastAsia"/>
        </w:rPr>
        <w:t>（六）体</w:t>
      </w:r>
      <w:r>
        <w:rPr>
          <w:rStyle w:val="26"/>
        </w:rPr>
        <w:t xml:space="preserve">  </w:t>
      </w:r>
      <w:r>
        <w:rPr>
          <w:rStyle w:val="26"/>
          <w:rFonts w:hint="eastAsia"/>
        </w:rPr>
        <w:t>育</w:t>
      </w:r>
      <w:r>
        <w:fldChar w:fldCharType="end"/>
      </w:r>
    </w:p>
    <w:p w14:paraId="15366135"/>
    <w:p w14:paraId="1333C76C">
      <w:pPr>
        <w:pStyle w:val="9"/>
        <w:tabs>
          <w:tab w:val="right" w:leader="middleDot" w:pos="8295"/>
          <w:tab w:val="clear" w:pos="8296"/>
        </w:tabs>
        <w:rPr>
          <w:rFonts w:ascii="Calibri" w:hAnsi="Calibri" w:eastAsia="宋体" w:cs="黑体"/>
        </w:rPr>
      </w:pPr>
      <w:r>
        <w:fldChar w:fldCharType="begin"/>
      </w:r>
      <w:r>
        <w:instrText xml:space="preserve">HYPERLINK  \l "_Toc428781740" </w:instrText>
      </w:r>
      <w:r>
        <w:fldChar w:fldCharType="separate"/>
      </w:r>
      <w:r>
        <w:rPr>
          <w:rStyle w:val="26"/>
          <w:rFonts w:hint="eastAsia"/>
          <w:kern w:val="44"/>
        </w:rPr>
        <w:t>北京市体育设施管理条例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_Toc428781740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832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44619FE">
      <w:pPr>
        <w:pStyle w:val="9"/>
        <w:tabs>
          <w:tab w:val="right" w:leader="middleDot" w:pos="8295"/>
          <w:tab w:val="clear" w:pos="8296"/>
        </w:tabs>
        <w:rPr>
          <w:rFonts w:ascii="Calibri" w:hAnsi="Calibri" w:eastAsia="宋体" w:cs="黑体"/>
        </w:rPr>
      </w:pPr>
      <w:r>
        <w:fldChar w:fldCharType="begin"/>
      </w:r>
      <w:r>
        <w:instrText xml:space="preserve">HYPERLINK  \l "_Toc428781741" </w:instrText>
      </w:r>
      <w:r>
        <w:fldChar w:fldCharType="separate"/>
      </w:r>
      <w:r>
        <w:rPr>
          <w:rStyle w:val="26"/>
          <w:rFonts w:hint="eastAsia"/>
          <w:kern w:val="44"/>
        </w:rPr>
        <w:t>北京市全民健身条例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_Toc428781741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835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3AD8C3C">
      <w:pPr>
        <w:pStyle w:val="9"/>
        <w:tabs>
          <w:tab w:val="right" w:leader="middleDot" w:pos="8295"/>
          <w:tab w:val="clear" w:pos="8296"/>
        </w:tabs>
        <w:rPr>
          <w:rFonts w:ascii="Calibri" w:hAnsi="Calibri" w:eastAsia="宋体" w:cs="黑体"/>
        </w:rPr>
      </w:pPr>
      <w:r>
        <w:fldChar w:fldCharType="begin"/>
      </w:r>
      <w:r>
        <w:instrText xml:space="preserve">HYPERLINK  \l "_Toc428781742" </w:instrText>
      </w:r>
      <w:r>
        <w:fldChar w:fldCharType="separate"/>
      </w:r>
      <w:r>
        <w:rPr>
          <w:rStyle w:val="26"/>
          <w:rFonts w:hint="eastAsia"/>
          <w:kern w:val="44"/>
        </w:rPr>
        <w:t>北京市体育竞赛管理办法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_Toc428781742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839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D19CB14">
      <w:pPr>
        <w:pStyle w:val="19"/>
        <w:tabs>
          <w:tab w:val="right" w:leader="middleDot" w:pos="8295"/>
          <w:tab w:val="clear" w:pos="8296"/>
        </w:tabs>
        <w:rPr>
          <w:rStyle w:val="26"/>
        </w:rPr>
      </w:pPr>
    </w:p>
    <w:p w14:paraId="24B1FE07">
      <w:pPr>
        <w:pStyle w:val="19"/>
        <w:tabs>
          <w:tab w:val="right" w:leader="middleDot" w:pos="8295"/>
          <w:tab w:val="clear" w:pos="8296"/>
        </w:tabs>
        <w:rPr>
          <w:rStyle w:val="26"/>
        </w:rPr>
      </w:pPr>
      <w:r>
        <w:fldChar w:fldCharType="begin"/>
      </w:r>
      <w:r>
        <w:instrText xml:space="preserve">HYPERLINK  \l "_Toc428781743" </w:instrText>
      </w:r>
      <w:r>
        <w:fldChar w:fldCharType="separate"/>
      </w:r>
      <w:r>
        <w:rPr>
          <w:rStyle w:val="26"/>
          <w:rFonts w:hint="eastAsia"/>
        </w:rPr>
        <w:t>（七）旅</w:t>
      </w:r>
      <w:r>
        <w:rPr>
          <w:rStyle w:val="26"/>
        </w:rPr>
        <w:t xml:space="preserve">  </w:t>
      </w:r>
      <w:r>
        <w:rPr>
          <w:rStyle w:val="26"/>
          <w:rFonts w:hint="eastAsia"/>
        </w:rPr>
        <w:t>游</w:t>
      </w:r>
      <w:r>
        <w:fldChar w:fldCharType="end"/>
      </w:r>
    </w:p>
    <w:p w14:paraId="7139C3B2"/>
    <w:p w14:paraId="1B0F8CB5">
      <w:pPr>
        <w:pStyle w:val="9"/>
        <w:tabs>
          <w:tab w:val="right" w:leader="middleDot" w:pos="8295"/>
          <w:tab w:val="clear" w:pos="8296"/>
        </w:tabs>
        <w:rPr>
          <w:rFonts w:ascii="Calibri" w:hAnsi="Calibri" w:eastAsia="宋体" w:cs="黑体"/>
        </w:rPr>
      </w:pPr>
      <w:r>
        <w:fldChar w:fldCharType="begin"/>
      </w:r>
      <w:r>
        <w:instrText xml:space="preserve">HYPERLINK  \l "_Toc428781744" </w:instrText>
      </w:r>
      <w:r>
        <w:fldChar w:fldCharType="separate"/>
      </w:r>
      <w:r>
        <w:rPr>
          <w:rStyle w:val="26"/>
          <w:rFonts w:hint="eastAsia"/>
          <w:kern w:val="44"/>
        </w:rPr>
        <w:t>北京市旅游管理条例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_Toc428781744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843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489E3A2">
      <w:pPr>
        <w:pStyle w:val="9"/>
        <w:tabs>
          <w:tab w:val="right" w:leader="middleDot" w:pos="8295"/>
          <w:tab w:val="clear" w:pos="8296"/>
        </w:tabs>
        <w:rPr>
          <w:rFonts w:ascii="Calibri" w:hAnsi="Calibri" w:eastAsia="宋体" w:cs="黑体"/>
        </w:rPr>
      </w:pPr>
      <w:r>
        <w:fldChar w:fldCharType="begin"/>
      </w:r>
      <w:r>
        <w:instrText xml:space="preserve">HYPERLINK  \l "_Toc428781745" </w:instrText>
      </w:r>
      <w:r>
        <w:fldChar w:fldCharType="separate"/>
      </w:r>
      <w:r>
        <w:rPr>
          <w:rStyle w:val="26"/>
          <w:rFonts w:hint="eastAsia"/>
          <w:kern w:val="44"/>
        </w:rPr>
        <w:t>北京市人力客运三轮车胡同游特许经营若干规定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_Toc428781745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851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40BD650">
      <w:pPr>
        <w:ind w:left="0" w:leftChars="0" w:firstLine="0" w:firstLineChars="0"/>
      </w:pPr>
    </w:p>
    <w:p w14:paraId="6F937788">
      <w:pPr>
        <w:ind w:left="0" w:leftChars="0" w:firstLine="0" w:firstLineChars="0"/>
      </w:pPr>
    </w:p>
    <w:p w14:paraId="6BF090B0">
      <w:pPr>
        <w:pStyle w:val="15"/>
        <w:tabs>
          <w:tab w:val="right" w:leader="middleDot" w:pos="8295"/>
          <w:tab w:val="clear" w:pos="8296"/>
        </w:tabs>
        <w:rPr>
          <w:rFonts w:ascii="Calibri" w:hAnsi="Calibri" w:eastAsia="宋体" w:cs="黑体"/>
          <w:b w:val="0"/>
          <w:sz w:val="21"/>
          <w:szCs w:val="22"/>
        </w:rPr>
      </w:pPr>
      <w:r>
        <w:fldChar w:fldCharType="begin"/>
      </w:r>
      <w:r>
        <w:instrText xml:space="preserve">HYPERLINK  \l "_Toc428781746" </w:instrText>
      </w:r>
      <w:r>
        <w:fldChar w:fldCharType="separate"/>
      </w:r>
      <w:r>
        <w:rPr>
          <w:rStyle w:val="26"/>
          <w:rFonts w:hint="eastAsia"/>
        </w:rPr>
        <w:t>四、社</w:t>
      </w:r>
      <w:r>
        <w:rPr>
          <w:rStyle w:val="26"/>
        </w:rPr>
        <w:t xml:space="preserve"> </w:t>
      </w:r>
      <w:r>
        <w:rPr>
          <w:rStyle w:val="26"/>
          <w:rFonts w:hint="eastAsia"/>
        </w:rPr>
        <w:t>会</w:t>
      </w:r>
      <w:r>
        <w:rPr>
          <w:rStyle w:val="26"/>
        </w:rPr>
        <w:t xml:space="preserve"> </w:t>
      </w:r>
      <w:r>
        <w:rPr>
          <w:rStyle w:val="26"/>
          <w:rFonts w:hint="eastAsia"/>
        </w:rPr>
        <w:t>建</w:t>
      </w:r>
      <w:r>
        <w:rPr>
          <w:rStyle w:val="26"/>
        </w:rPr>
        <w:t xml:space="preserve"> </w:t>
      </w:r>
      <w:r>
        <w:rPr>
          <w:rStyle w:val="26"/>
          <w:rFonts w:hint="eastAsia"/>
        </w:rPr>
        <w:t>设</w:t>
      </w:r>
      <w:r>
        <w:fldChar w:fldCharType="end"/>
      </w:r>
    </w:p>
    <w:p w14:paraId="55B4D9A0">
      <w:pPr>
        <w:pStyle w:val="19"/>
        <w:tabs>
          <w:tab w:val="right" w:leader="middleDot" w:pos="8295"/>
          <w:tab w:val="clear" w:pos="8296"/>
        </w:tabs>
        <w:rPr>
          <w:rStyle w:val="26"/>
        </w:rPr>
      </w:pPr>
    </w:p>
    <w:p w14:paraId="0FC8CA3B">
      <w:pPr>
        <w:pStyle w:val="19"/>
        <w:tabs>
          <w:tab w:val="right" w:leader="middleDot" w:pos="8295"/>
          <w:tab w:val="clear" w:pos="8296"/>
        </w:tabs>
        <w:rPr>
          <w:rStyle w:val="26"/>
        </w:rPr>
      </w:pPr>
      <w:r>
        <w:fldChar w:fldCharType="begin"/>
      </w:r>
      <w:r>
        <w:instrText xml:space="preserve">HYPERLINK  \l "_Toc428781747" </w:instrText>
      </w:r>
      <w:r>
        <w:fldChar w:fldCharType="separate"/>
      </w:r>
      <w:r>
        <w:rPr>
          <w:rStyle w:val="26"/>
          <w:rFonts w:hint="eastAsia"/>
        </w:rPr>
        <w:t>（一）治安管理</w:t>
      </w:r>
      <w:r>
        <w:fldChar w:fldCharType="end"/>
      </w:r>
    </w:p>
    <w:p w14:paraId="3E85C368"/>
    <w:p w14:paraId="417CDCBD">
      <w:pPr>
        <w:pStyle w:val="9"/>
        <w:tabs>
          <w:tab w:val="right" w:leader="middleDot" w:pos="8295"/>
          <w:tab w:val="clear" w:pos="8296"/>
        </w:tabs>
        <w:rPr>
          <w:rFonts w:ascii="Calibri" w:hAnsi="Calibri" w:eastAsia="宋体" w:cs="黑体"/>
        </w:rPr>
      </w:pPr>
      <w:r>
        <w:fldChar w:fldCharType="begin"/>
      </w:r>
      <w:r>
        <w:instrText xml:space="preserve">HYPERLINK  \l "_Toc428781748" </w:instrText>
      </w:r>
      <w:r>
        <w:fldChar w:fldCharType="separate"/>
      </w:r>
      <w:r>
        <w:rPr>
          <w:rStyle w:val="26"/>
          <w:rFonts w:hint="eastAsia"/>
        </w:rPr>
        <w:t>北京市禁止赌博条例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_Toc428781748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857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831F0C6">
      <w:pPr>
        <w:pStyle w:val="9"/>
        <w:tabs>
          <w:tab w:val="right" w:leader="middleDot" w:pos="8295"/>
          <w:tab w:val="clear" w:pos="8296"/>
        </w:tabs>
        <w:rPr>
          <w:rFonts w:ascii="Calibri" w:hAnsi="Calibri" w:eastAsia="宋体" w:cs="黑体"/>
        </w:rPr>
      </w:pPr>
      <w:r>
        <w:fldChar w:fldCharType="begin"/>
      </w:r>
      <w:r>
        <w:instrText xml:space="preserve">HYPERLINK  \l "_Toc428781749" </w:instrText>
      </w:r>
      <w:r>
        <w:fldChar w:fldCharType="separate"/>
      </w:r>
      <w:r>
        <w:rPr>
          <w:rStyle w:val="26"/>
          <w:rFonts w:hint="eastAsia"/>
        </w:rPr>
        <w:t>北京市社会治安综合治理条例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_Toc428781749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859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17BD064">
      <w:pPr>
        <w:pStyle w:val="9"/>
        <w:tabs>
          <w:tab w:val="right" w:leader="middleDot" w:pos="8295"/>
          <w:tab w:val="clear" w:pos="8296"/>
        </w:tabs>
        <w:rPr>
          <w:rFonts w:ascii="Calibri" w:hAnsi="Calibri" w:eastAsia="宋体" w:cs="黑体"/>
        </w:rPr>
      </w:pPr>
      <w:r>
        <w:fldChar w:fldCharType="begin"/>
      </w:r>
      <w:r>
        <w:instrText xml:space="preserve">HYPERLINK  \l "_Toc428781750" </w:instrText>
      </w:r>
      <w:r>
        <w:fldChar w:fldCharType="separate"/>
      </w:r>
      <w:r>
        <w:rPr>
          <w:rStyle w:val="26"/>
          <w:rFonts w:hint="eastAsia"/>
        </w:rPr>
        <w:t>北京市消防条例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_Toc428781750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865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70328E2">
      <w:pPr>
        <w:tabs>
          <w:tab w:val="right" w:leader="middleDot" w:pos="8295"/>
        </w:tabs>
        <w:ind w:firstLine="0" w:firstLineChars="0"/>
        <w:jc w:val="left"/>
        <w:rPr>
          <w:rFonts w:ascii="Calibri" w:hAnsi="Calibri" w:eastAsia="宋体" w:cs="黑体"/>
        </w:rPr>
      </w:pPr>
      <w:r>
        <w:rPr>
          <w:rFonts w:hint="eastAsia"/>
        </w:rPr>
        <w:t>北京市预防和查处窃电行为条例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880</w:t>
      </w:r>
    </w:p>
    <w:p w14:paraId="524C770B">
      <w:pPr>
        <w:pStyle w:val="9"/>
        <w:tabs>
          <w:tab w:val="right" w:leader="middleDot" w:pos="8295"/>
          <w:tab w:val="clear" w:pos="8296"/>
        </w:tabs>
        <w:rPr>
          <w:rFonts w:ascii="Calibri" w:hAnsi="Calibri" w:eastAsia="宋体" w:cs="黑体"/>
        </w:rPr>
      </w:pPr>
      <w:r>
        <w:fldChar w:fldCharType="begin"/>
      </w:r>
      <w:r>
        <w:instrText xml:space="preserve">HYPERLINK  \l "_Toc428781752" </w:instrText>
      </w:r>
      <w:r>
        <w:fldChar w:fldCharType="separate"/>
      </w:r>
      <w:r>
        <w:rPr>
          <w:rStyle w:val="26"/>
          <w:rFonts w:hint="eastAsia"/>
        </w:rPr>
        <w:t>北京市中小学生人身伤害事故预防与处理条例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_Toc428781752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883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8F61B32">
      <w:pPr>
        <w:pStyle w:val="9"/>
        <w:tabs>
          <w:tab w:val="right" w:leader="middleDot" w:pos="8295"/>
          <w:tab w:val="clear" w:pos="8296"/>
        </w:tabs>
        <w:rPr>
          <w:rFonts w:ascii="Calibri" w:hAnsi="Calibri" w:eastAsia="宋体" w:cs="黑体"/>
        </w:rPr>
      </w:pPr>
      <w:r>
        <w:fldChar w:fldCharType="begin"/>
      </w:r>
      <w:r>
        <w:instrText xml:space="preserve">HYPERLINK  \l "_Toc428781753" </w:instrText>
      </w:r>
      <w:r>
        <w:fldChar w:fldCharType="separate"/>
      </w:r>
      <w:r>
        <w:rPr>
          <w:rStyle w:val="26"/>
          <w:rFonts w:hint="eastAsia"/>
        </w:rPr>
        <w:t>北京市养犬管理规定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_Toc428781753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888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B6B4FBF">
      <w:pPr>
        <w:pStyle w:val="9"/>
        <w:tabs>
          <w:tab w:val="right" w:leader="middleDot" w:pos="8295"/>
          <w:tab w:val="clear" w:pos="8296"/>
        </w:tabs>
        <w:rPr>
          <w:rFonts w:ascii="Calibri" w:hAnsi="Calibri" w:eastAsia="宋体" w:cs="黑体"/>
        </w:rPr>
      </w:pPr>
      <w:r>
        <w:fldChar w:fldCharType="begin"/>
      </w:r>
      <w:r>
        <w:instrText xml:space="preserve">HYPERLINK  \l "_Toc428781754" </w:instrText>
      </w:r>
      <w:r>
        <w:fldChar w:fldCharType="separate"/>
      </w:r>
      <w:r>
        <w:rPr>
          <w:rStyle w:val="26"/>
          <w:rFonts w:hint="eastAsia"/>
        </w:rPr>
        <w:t>北京市大型群众性活动安全管理条例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_Toc428781754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893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809543F">
      <w:pPr>
        <w:pStyle w:val="9"/>
        <w:tabs>
          <w:tab w:val="right" w:leader="middleDot" w:pos="8295"/>
          <w:tab w:val="clear" w:pos="8296"/>
        </w:tabs>
        <w:rPr>
          <w:rFonts w:ascii="Calibri" w:hAnsi="Calibri" w:eastAsia="宋体" w:cs="黑体"/>
        </w:rPr>
      </w:pPr>
      <w:r>
        <w:fldChar w:fldCharType="begin"/>
      </w:r>
      <w:r>
        <w:instrText xml:space="preserve">HYPERLINK  \l "_Toc428781755" </w:instrText>
      </w:r>
      <w:r>
        <w:fldChar w:fldCharType="separate"/>
      </w:r>
      <w:r>
        <w:rPr>
          <w:rStyle w:val="26"/>
          <w:rFonts w:hint="eastAsia"/>
        </w:rPr>
        <w:t>北京市烟花爆竹安全管理规定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_Toc428781755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899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3CE7BF1">
      <w:pPr>
        <w:pStyle w:val="9"/>
        <w:tabs>
          <w:tab w:val="right" w:leader="middleDot" w:pos="8295"/>
          <w:tab w:val="clear" w:pos="8296"/>
        </w:tabs>
        <w:rPr>
          <w:rFonts w:ascii="Calibri" w:hAnsi="Calibri" w:eastAsia="宋体" w:cs="黑体"/>
        </w:rPr>
      </w:pPr>
      <w:r>
        <w:fldChar w:fldCharType="begin"/>
      </w:r>
      <w:r>
        <w:instrText xml:space="preserve">HYPERLINK  \l "_Toc428781756" </w:instrText>
      </w:r>
      <w:r>
        <w:fldChar w:fldCharType="separate"/>
      </w:r>
      <w:r>
        <w:rPr>
          <w:rStyle w:val="26"/>
          <w:rFonts w:hint="eastAsia"/>
        </w:rPr>
        <w:t>北京市轨道交通运营安全条例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_Toc428781756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902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DCBED17">
      <w:pPr>
        <w:pStyle w:val="9"/>
        <w:tabs>
          <w:tab w:val="right" w:leader="middleDot" w:pos="8295"/>
          <w:tab w:val="clear" w:pos="8296"/>
        </w:tabs>
        <w:rPr>
          <w:rFonts w:ascii="Calibri" w:hAnsi="Calibri" w:eastAsia="宋体" w:cs="黑体"/>
        </w:rPr>
      </w:pPr>
      <w:r>
        <w:fldChar w:fldCharType="begin"/>
      </w:r>
      <w:r>
        <w:instrText xml:space="preserve">HYPERLINK  \l "_Toc428781757" </w:instrText>
      </w:r>
      <w:r>
        <w:fldChar w:fldCharType="separate"/>
      </w:r>
      <w:r>
        <w:rPr>
          <w:rStyle w:val="26"/>
          <w:rFonts w:hint="eastAsia"/>
        </w:rPr>
        <w:t>北京市刻字业管理暂行办法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_Toc428781757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913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EB04134">
      <w:pPr>
        <w:pStyle w:val="9"/>
        <w:tabs>
          <w:tab w:val="right" w:leader="middleDot" w:pos="8295"/>
          <w:tab w:val="clear" w:pos="8296"/>
        </w:tabs>
        <w:rPr>
          <w:rFonts w:ascii="Calibri" w:hAnsi="Calibri" w:eastAsia="宋体" w:cs="黑体"/>
        </w:rPr>
      </w:pPr>
      <w:r>
        <w:fldChar w:fldCharType="begin"/>
      </w:r>
      <w:r>
        <w:instrText xml:space="preserve">HYPERLINK  \l "_Toc428781758" </w:instrText>
      </w:r>
      <w:r>
        <w:fldChar w:fldCharType="separate"/>
      </w:r>
      <w:r>
        <w:rPr>
          <w:rStyle w:val="26"/>
          <w:rFonts w:hint="eastAsia"/>
        </w:rPr>
        <w:t>北京市水域游船安全管理规定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_Toc428781758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914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418EB08">
      <w:pPr>
        <w:pStyle w:val="9"/>
        <w:tabs>
          <w:tab w:val="right" w:leader="middleDot" w:pos="8295"/>
          <w:tab w:val="clear" w:pos="8296"/>
        </w:tabs>
        <w:rPr>
          <w:rFonts w:ascii="Calibri" w:hAnsi="Calibri" w:eastAsia="宋体" w:cs="黑体"/>
        </w:rPr>
      </w:pPr>
      <w:r>
        <w:fldChar w:fldCharType="begin"/>
      </w:r>
      <w:r>
        <w:instrText xml:space="preserve">HYPERLINK  \l "_Toc428781759" </w:instrText>
      </w:r>
      <w:r>
        <w:fldChar w:fldCharType="separate"/>
      </w:r>
      <w:r>
        <w:rPr>
          <w:rStyle w:val="26"/>
          <w:rFonts w:hint="eastAsia"/>
        </w:rPr>
        <w:t>关于加强建设工程施工现场治安保卫工作的规定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_Toc428781759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915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4279E16">
      <w:pPr>
        <w:pStyle w:val="9"/>
        <w:tabs>
          <w:tab w:val="right" w:leader="middleDot" w:pos="8295"/>
          <w:tab w:val="clear" w:pos="8296"/>
        </w:tabs>
        <w:rPr>
          <w:rFonts w:ascii="Calibri" w:hAnsi="Calibri" w:eastAsia="宋体" w:cs="黑体"/>
        </w:rPr>
      </w:pPr>
      <w:r>
        <w:fldChar w:fldCharType="begin"/>
      </w:r>
      <w:r>
        <w:instrText xml:space="preserve">HYPERLINK  \l "_Toc428781760" </w:instrText>
      </w:r>
      <w:r>
        <w:fldChar w:fldCharType="separate"/>
      </w:r>
      <w:r>
        <w:rPr>
          <w:rStyle w:val="26"/>
          <w:rFonts w:hint="eastAsia"/>
        </w:rPr>
        <w:t>北京市机动车维修行业治安管理若干规定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_Toc428781760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917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743130C">
      <w:pPr>
        <w:pStyle w:val="9"/>
        <w:tabs>
          <w:tab w:val="right" w:leader="middleDot" w:pos="8295"/>
          <w:tab w:val="clear" w:pos="8296"/>
        </w:tabs>
        <w:rPr>
          <w:rFonts w:ascii="Calibri" w:hAnsi="Calibri" w:eastAsia="宋体" w:cs="黑体"/>
        </w:rPr>
      </w:pPr>
      <w:r>
        <w:fldChar w:fldCharType="begin"/>
      </w:r>
      <w:r>
        <w:instrText xml:space="preserve">HYPERLINK  \l "_Toc428781761" </w:instrText>
      </w:r>
      <w:r>
        <w:fldChar w:fldCharType="separate"/>
      </w:r>
      <w:r>
        <w:rPr>
          <w:rStyle w:val="26"/>
          <w:rFonts w:hint="eastAsia"/>
        </w:rPr>
        <w:t>北京市外地来京人员户籍管理规定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_Toc428781761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918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25734CE">
      <w:pPr>
        <w:pStyle w:val="9"/>
        <w:tabs>
          <w:tab w:val="right" w:leader="middleDot" w:pos="8295"/>
          <w:tab w:val="clear" w:pos="8296"/>
        </w:tabs>
        <w:rPr>
          <w:rFonts w:ascii="Calibri" w:hAnsi="Calibri" w:eastAsia="宋体" w:cs="黑体"/>
        </w:rPr>
      </w:pPr>
      <w:r>
        <w:fldChar w:fldCharType="begin"/>
      </w:r>
      <w:r>
        <w:instrText xml:space="preserve">HYPERLINK  \l "_Toc428781762" </w:instrText>
      </w:r>
      <w:r>
        <w:fldChar w:fldCharType="separate"/>
      </w:r>
      <w:r>
        <w:rPr>
          <w:rStyle w:val="26"/>
          <w:rFonts w:hint="eastAsia"/>
        </w:rPr>
        <w:t>北京市城镇居民住宅防火安全管理规定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_Toc428781762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921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3C891CC">
      <w:pPr>
        <w:pStyle w:val="9"/>
        <w:tabs>
          <w:tab w:val="right" w:leader="middleDot" w:pos="8295"/>
          <w:tab w:val="clear" w:pos="8296"/>
        </w:tabs>
        <w:rPr>
          <w:rFonts w:ascii="Calibri" w:hAnsi="Calibri" w:eastAsia="宋体" w:cs="黑体"/>
        </w:rPr>
      </w:pPr>
      <w:r>
        <w:fldChar w:fldCharType="begin"/>
      </w:r>
      <w:r>
        <w:instrText xml:space="preserve">HYPERLINK  \l "_Toc428781763" </w:instrText>
      </w:r>
      <w:r>
        <w:fldChar w:fldCharType="separate"/>
      </w:r>
      <w:r>
        <w:rPr>
          <w:rStyle w:val="26"/>
          <w:rFonts w:hint="eastAsia"/>
        </w:rPr>
        <w:t>北京市出租汽车治安管理规定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_Toc428781763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923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D078244">
      <w:pPr>
        <w:pStyle w:val="9"/>
        <w:tabs>
          <w:tab w:val="right" w:leader="middleDot" w:pos="8295"/>
          <w:tab w:val="clear" w:pos="8296"/>
        </w:tabs>
        <w:rPr>
          <w:rFonts w:ascii="Calibri" w:hAnsi="Calibri" w:eastAsia="宋体" w:cs="黑体"/>
        </w:rPr>
      </w:pPr>
      <w:r>
        <w:fldChar w:fldCharType="begin"/>
      </w:r>
      <w:r>
        <w:instrText xml:space="preserve">HYPERLINK  \l "_Toc428781764" </w:instrText>
      </w:r>
      <w:r>
        <w:fldChar w:fldCharType="separate"/>
      </w:r>
      <w:r>
        <w:rPr>
          <w:rStyle w:val="26"/>
          <w:rFonts w:hint="eastAsia"/>
        </w:rPr>
        <w:t>北京市建设工程施工现场消防安全管理规定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_Toc428781764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925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C446660">
      <w:pPr>
        <w:pStyle w:val="9"/>
        <w:tabs>
          <w:tab w:val="right" w:leader="middleDot" w:pos="8295"/>
          <w:tab w:val="clear" w:pos="8296"/>
        </w:tabs>
        <w:rPr>
          <w:rFonts w:ascii="Calibri" w:hAnsi="Calibri" w:eastAsia="宋体" w:cs="黑体"/>
        </w:rPr>
      </w:pPr>
      <w:r>
        <w:fldChar w:fldCharType="begin"/>
      </w:r>
      <w:r>
        <w:instrText xml:space="preserve">HYPERLINK  \l "_Toc428781765" </w:instrText>
      </w:r>
      <w:r>
        <w:fldChar w:fldCharType="separate"/>
      </w:r>
      <w:r>
        <w:rPr>
          <w:rStyle w:val="26"/>
          <w:rFonts w:hint="eastAsia"/>
        </w:rPr>
        <w:t>北京市养犬登记和年检管理办法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_Toc428781765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927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5BFFB46">
      <w:pPr>
        <w:tabs>
          <w:tab w:val="right" w:leader="middleDot" w:pos="8295"/>
        </w:tabs>
        <w:ind w:firstLine="0" w:firstLineChars="0"/>
        <w:jc w:val="left"/>
        <w:rPr>
          <w:rFonts w:ascii="Calibri" w:hAnsi="Calibri" w:eastAsia="宋体" w:cs="黑体"/>
        </w:rPr>
      </w:pPr>
      <w:r>
        <w:rPr>
          <w:rFonts w:hint="eastAsia"/>
        </w:rPr>
        <w:t>北京市消防安全责任监督管理办法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930</w:t>
      </w:r>
    </w:p>
    <w:p w14:paraId="5FD5F0EF">
      <w:pPr>
        <w:pStyle w:val="9"/>
        <w:tabs>
          <w:tab w:val="right" w:leader="middleDot" w:pos="8295"/>
          <w:tab w:val="clear" w:pos="8296"/>
        </w:tabs>
        <w:rPr>
          <w:rFonts w:ascii="Calibri" w:hAnsi="Calibri" w:eastAsia="宋体" w:cs="黑体"/>
        </w:rPr>
      </w:pPr>
      <w:r>
        <w:fldChar w:fldCharType="begin"/>
      </w:r>
      <w:r>
        <w:instrText xml:space="preserve">HYPERLINK  \l "_Toc428781767" </w:instrText>
      </w:r>
      <w:r>
        <w:fldChar w:fldCharType="separate"/>
      </w:r>
      <w:r>
        <w:rPr>
          <w:rStyle w:val="26"/>
          <w:rFonts w:hint="eastAsia"/>
        </w:rPr>
        <w:t>北京市旅馆业治安管理规定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_Toc428781767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934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1B611BF">
      <w:pPr>
        <w:pStyle w:val="9"/>
        <w:tabs>
          <w:tab w:val="right" w:leader="middleDot" w:pos="8295"/>
          <w:tab w:val="clear" w:pos="8296"/>
        </w:tabs>
        <w:rPr>
          <w:rFonts w:ascii="Calibri" w:hAnsi="Calibri" w:eastAsia="宋体" w:cs="黑体"/>
        </w:rPr>
      </w:pPr>
      <w:r>
        <w:fldChar w:fldCharType="begin"/>
      </w:r>
      <w:r>
        <w:instrText xml:space="preserve">HYPERLINK  \l "_Toc428781768" </w:instrText>
      </w:r>
      <w:r>
        <w:fldChar w:fldCharType="separate"/>
      </w:r>
      <w:r>
        <w:rPr>
          <w:rStyle w:val="26"/>
          <w:rFonts w:hint="eastAsia"/>
        </w:rPr>
        <w:t>北京市公共安全图像信息系统管理办法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_Toc428781768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938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352728F">
      <w:pPr>
        <w:pStyle w:val="9"/>
        <w:tabs>
          <w:tab w:val="right" w:leader="middleDot" w:pos="8295"/>
          <w:tab w:val="clear" w:pos="8296"/>
        </w:tabs>
        <w:rPr>
          <w:rFonts w:ascii="Calibri" w:hAnsi="Calibri" w:eastAsia="宋体" w:cs="黑体"/>
        </w:rPr>
      </w:pPr>
      <w:r>
        <w:fldChar w:fldCharType="begin"/>
      </w:r>
      <w:r>
        <w:instrText xml:space="preserve">HYPERLINK  \l "_Toc428781769" </w:instrText>
      </w:r>
      <w:r>
        <w:fldChar w:fldCharType="separate"/>
      </w:r>
      <w:r>
        <w:rPr>
          <w:rStyle w:val="26"/>
          <w:rFonts w:hint="eastAsia"/>
        </w:rPr>
        <w:t>北京市大型社会活动安全检查办法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_Toc428781769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941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9D360AA">
      <w:pPr>
        <w:pStyle w:val="9"/>
        <w:tabs>
          <w:tab w:val="right" w:leader="middleDot" w:pos="8295"/>
          <w:tab w:val="clear" w:pos="8296"/>
        </w:tabs>
        <w:rPr>
          <w:rFonts w:ascii="Calibri" w:hAnsi="Calibri" w:eastAsia="宋体" w:cs="黑体"/>
        </w:rPr>
      </w:pPr>
      <w:r>
        <w:fldChar w:fldCharType="begin"/>
      </w:r>
      <w:r>
        <w:instrText xml:space="preserve">HYPERLINK  \l "_Toc428781770" </w:instrText>
      </w:r>
      <w:r>
        <w:fldChar w:fldCharType="separate"/>
      </w:r>
      <w:r>
        <w:rPr>
          <w:rStyle w:val="26"/>
          <w:rFonts w:hint="eastAsia"/>
        </w:rPr>
        <w:t>北京市农村消防安全管理规定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_Toc428781770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944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7C7BA9E">
      <w:pPr>
        <w:pStyle w:val="19"/>
        <w:tabs>
          <w:tab w:val="right" w:leader="middleDot" w:pos="8295"/>
          <w:tab w:val="clear" w:pos="8296"/>
        </w:tabs>
        <w:rPr>
          <w:rStyle w:val="26"/>
        </w:rPr>
      </w:pPr>
    </w:p>
    <w:p w14:paraId="18EEE0F5">
      <w:pPr>
        <w:pStyle w:val="19"/>
        <w:tabs>
          <w:tab w:val="right" w:leader="middleDot" w:pos="8295"/>
          <w:tab w:val="clear" w:pos="8296"/>
        </w:tabs>
        <w:rPr>
          <w:rStyle w:val="26"/>
        </w:rPr>
      </w:pPr>
    </w:p>
    <w:p w14:paraId="78CD10D9"/>
    <w:p w14:paraId="719136E0">
      <w:pPr>
        <w:pStyle w:val="19"/>
        <w:tabs>
          <w:tab w:val="right" w:leader="middleDot" w:pos="8295"/>
          <w:tab w:val="clear" w:pos="8296"/>
        </w:tabs>
        <w:rPr>
          <w:rStyle w:val="26"/>
        </w:rPr>
      </w:pPr>
      <w:r>
        <w:fldChar w:fldCharType="begin"/>
      </w:r>
      <w:r>
        <w:instrText xml:space="preserve">HYPERLINK  \l "_Toc428781771" </w:instrText>
      </w:r>
      <w:r>
        <w:fldChar w:fldCharType="separate"/>
      </w:r>
      <w:r>
        <w:rPr>
          <w:rStyle w:val="26"/>
          <w:rFonts w:hint="eastAsia"/>
        </w:rPr>
        <w:t>（二）安全生产</w:t>
      </w:r>
      <w:r>
        <w:fldChar w:fldCharType="end"/>
      </w:r>
    </w:p>
    <w:p w14:paraId="343D8FE0"/>
    <w:p w14:paraId="16CC6AF2">
      <w:pPr>
        <w:pStyle w:val="9"/>
        <w:tabs>
          <w:tab w:val="right" w:leader="middleDot" w:pos="8295"/>
          <w:tab w:val="clear" w:pos="8296"/>
        </w:tabs>
        <w:rPr>
          <w:rFonts w:ascii="Calibri" w:hAnsi="Calibri" w:eastAsia="宋体" w:cs="黑体"/>
        </w:rPr>
      </w:pPr>
      <w:r>
        <w:fldChar w:fldCharType="begin"/>
      </w:r>
      <w:r>
        <w:instrText xml:space="preserve">HYPERLINK  \l "_Toc428781772" </w:instrText>
      </w:r>
      <w:r>
        <w:fldChar w:fldCharType="separate"/>
      </w:r>
      <w:r>
        <w:rPr>
          <w:rStyle w:val="26"/>
          <w:rFonts w:hint="eastAsia"/>
        </w:rPr>
        <w:t>北京市安全生产条例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_Toc428781772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947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C38FF99">
      <w:pPr>
        <w:pStyle w:val="9"/>
        <w:tabs>
          <w:tab w:val="right" w:leader="middleDot" w:pos="8295"/>
          <w:tab w:val="clear" w:pos="8296"/>
        </w:tabs>
        <w:rPr>
          <w:rFonts w:ascii="Calibri" w:hAnsi="Calibri" w:eastAsia="宋体" w:cs="黑体"/>
        </w:rPr>
      </w:pPr>
      <w:r>
        <w:fldChar w:fldCharType="begin"/>
      </w:r>
      <w:r>
        <w:instrText xml:space="preserve">HYPERLINK  \l "_Toc428781773" </w:instrText>
      </w:r>
      <w:r>
        <w:fldChar w:fldCharType="separate"/>
      </w:r>
      <w:r>
        <w:rPr>
          <w:rStyle w:val="26"/>
          <w:rFonts w:hint="eastAsia"/>
        </w:rPr>
        <w:t>北京市安装使用电网安全管理规定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_Toc428781773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961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54A28CB">
      <w:pPr>
        <w:pStyle w:val="9"/>
        <w:tabs>
          <w:tab w:val="right" w:leader="middleDot" w:pos="8295"/>
          <w:tab w:val="clear" w:pos="8296"/>
        </w:tabs>
        <w:rPr>
          <w:rFonts w:ascii="Calibri" w:hAnsi="Calibri" w:eastAsia="宋体" w:cs="黑体"/>
        </w:rPr>
      </w:pPr>
      <w:r>
        <w:fldChar w:fldCharType="begin"/>
      </w:r>
      <w:r>
        <w:instrText xml:space="preserve">HYPERLINK  \l "_Toc428781774" </w:instrText>
      </w:r>
      <w:r>
        <w:fldChar w:fldCharType="separate"/>
      </w:r>
      <w:r>
        <w:rPr>
          <w:rStyle w:val="26"/>
          <w:rFonts w:hint="eastAsia"/>
        </w:rPr>
        <w:t>北京市防止非正常死亡事故目标管理办法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_Toc428781774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962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B01A6EC">
      <w:pPr>
        <w:pStyle w:val="9"/>
        <w:tabs>
          <w:tab w:val="right" w:leader="middleDot" w:pos="8295"/>
          <w:tab w:val="clear" w:pos="8296"/>
        </w:tabs>
        <w:rPr>
          <w:rFonts w:ascii="Calibri" w:hAnsi="Calibri" w:eastAsia="宋体" w:cs="黑体"/>
        </w:rPr>
      </w:pPr>
      <w:r>
        <w:fldChar w:fldCharType="begin"/>
      </w:r>
      <w:r>
        <w:instrText xml:space="preserve">HYPERLINK  \l "_Toc428781775" </w:instrText>
      </w:r>
      <w:r>
        <w:fldChar w:fldCharType="separate"/>
      </w:r>
      <w:r>
        <w:rPr>
          <w:rStyle w:val="26"/>
          <w:rFonts w:hint="eastAsia"/>
        </w:rPr>
        <w:t>北京市关于重大安全事故行政责任追究的规定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_Toc428781775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963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F573033">
      <w:pPr>
        <w:pStyle w:val="9"/>
        <w:tabs>
          <w:tab w:val="right" w:leader="middleDot" w:pos="8295"/>
          <w:tab w:val="clear" w:pos="8296"/>
        </w:tabs>
        <w:rPr>
          <w:rFonts w:ascii="Calibri" w:hAnsi="Calibri" w:eastAsia="宋体" w:cs="黑体"/>
        </w:rPr>
      </w:pPr>
      <w:r>
        <w:fldChar w:fldCharType="begin"/>
      </w:r>
      <w:r>
        <w:instrText xml:space="preserve">HYPERLINK  \l "_Toc428781776" </w:instrText>
      </w:r>
      <w:r>
        <w:fldChar w:fldCharType="separate"/>
      </w:r>
      <w:r>
        <w:rPr>
          <w:rStyle w:val="26"/>
          <w:rFonts w:hint="eastAsia"/>
        </w:rPr>
        <w:t>北京市人民防空工程和普通</w:t>
      </w:r>
      <w:r>
        <w:fldChar w:fldCharType="end"/>
      </w:r>
      <w:r>
        <w:fldChar w:fldCharType="begin"/>
      </w:r>
      <w:r>
        <w:instrText xml:space="preserve">HYPERLINK  \l "_Toc428781777" </w:instrText>
      </w:r>
      <w:r>
        <w:fldChar w:fldCharType="separate"/>
      </w:r>
      <w:r>
        <w:rPr>
          <w:rStyle w:val="26"/>
          <w:rFonts w:hint="eastAsia"/>
        </w:rPr>
        <w:t>地下室安全使用管理办法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_Toc428781777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966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EF9CBC1">
      <w:pPr>
        <w:pStyle w:val="9"/>
        <w:tabs>
          <w:tab w:val="right" w:leader="middleDot" w:pos="8295"/>
          <w:tab w:val="clear" w:pos="8296"/>
        </w:tabs>
        <w:rPr>
          <w:rFonts w:ascii="Calibri" w:hAnsi="Calibri" w:eastAsia="宋体" w:cs="黑体"/>
        </w:rPr>
      </w:pPr>
      <w:r>
        <w:fldChar w:fldCharType="begin"/>
      </w:r>
      <w:r>
        <w:instrText xml:space="preserve">HYPERLINK  \l "_Toc428781778" </w:instrText>
      </w:r>
      <w:r>
        <w:fldChar w:fldCharType="separate"/>
      </w:r>
      <w:r>
        <w:rPr>
          <w:rStyle w:val="26"/>
          <w:rFonts w:hint="eastAsia"/>
        </w:rPr>
        <w:t>北京市商业零售经营单位安全生产规定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_Toc428781778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971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396CCFB">
      <w:pPr>
        <w:pStyle w:val="9"/>
        <w:tabs>
          <w:tab w:val="right" w:leader="middleDot" w:pos="8295"/>
          <w:tab w:val="clear" w:pos="8296"/>
        </w:tabs>
        <w:rPr>
          <w:rFonts w:ascii="Calibri" w:hAnsi="Calibri" w:eastAsia="宋体" w:cs="黑体"/>
        </w:rPr>
      </w:pPr>
      <w:r>
        <w:fldChar w:fldCharType="begin"/>
      </w:r>
      <w:r>
        <w:instrText xml:space="preserve">HYPERLINK  \l "_Toc428781779" </w:instrText>
      </w:r>
      <w:r>
        <w:fldChar w:fldCharType="separate"/>
      </w:r>
      <w:r>
        <w:rPr>
          <w:rStyle w:val="26"/>
          <w:rFonts w:hint="eastAsia"/>
        </w:rPr>
        <w:t>北京市餐饮经营单位安全生产规定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_Toc428781779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975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AAE415F">
      <w:pPr>
        <w:pStyle w:val="9"/>
        <w:tabs>
          <w:tab w:val="right" w:leader="middleDot" w:pos="8295"/>
          <w:tab w:val="clear" w:pos="8296"/>
        </w:tabs>
        <w:rPr>
          <w:rFonts w:ascii="Calibri" w:hAnsi="Calibri" w:eastAsia="宋体" w:cs="黑体"/>
        </w:rPr>
      </w:pPr>
      <w:r>
        <w:fldChar w:fldCharType="begin"/>
      </w:r>
      <w:r>
        <w:instrText xml:space="preserve">HYPERLINK  \l "_Toc428781780" </w:instrText>
      </w:r>
      <w:r>
        <w:fldChar w:fldCharType="separate"/>
      </w:r>
      <w:r>
        <w:rPr>
          <w:rStyle w:val="26"/>
          <w:rFonts w:hint="eastAsia"/>
        </w:rPr>
        <w:t>北京市星级饭店安全生产规定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_Toc428781780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978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362BDA0">
      <w:pPr>
        <w:pStyle w:val="9"/>
        <w:tabs>
          <w:tab w:val="right" w:leader="middleDot" w:pos="8295"/>
          <w:tab w:val="clear" w:pos="8296"/>
        </w:tabs>
        <w:rPr>
          <w:rFonts w:ascii="Calibri" w:hAnsi="Calibri" w:eastAsia="宋体" w:cs="黑体"/>
        </w:rPr>
      </w:pPr>
      <w:r>
        <w:fldChar w:fldCharType="begin"/>
      </w:r>
      <w:r>
        <w:instrText xml:space="preserve">HYPERLINK  \l "_Toc428781781" </w:instrText>
      </w:r>
      <w:r>
        <w:fldChar w:fldCharType="separate"/>
      </w:r>
      <w:r>
        <w:rPr>
          <w:rStyle w:val="26"/>
          <w:rFonts w:hint="eastAsia"/>
        </w:rPr>
        <w:t>北京市体育运动项目经营单位安全生产规定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_Toc428781781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981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984B86F">
      <w:pPr>
        <w:pStyle w:val="9"/>
        <w:tabs>
          <w:tab w:val="right" w:leader="middleDot" w:pos="8295"/>
          <w:tab w:val="clear" w:pos="8296"/>
        </w:tabs>
        <w:rPr>
          <w:rFonts w:ascii="Calibri" w:hAnsi="Calibri" w:eastAsia="宋体" w:cs="黑体"/>
        </w:rPr>
      </w:pPr>
      <w:r>
        <w:fldChar w:fldCharType="begin"/>
      </w:r>
      <w:r>
        <w:instrText xml:space="preserve">HYPERLINK  \l "_Toc428781782" </w:instrText>
      </w:r>
      <w:r>
        <w:fldChar w:fldCharType="separate"/>
      </w:r>
      <w:r>
        <w:rPr>
          <w:rStyle w:val="26"/>
          <w:rFonts w:hint="eastAsia"/>
        </w:rPr>
        <w:t>北京市文化娱乐场所经营单位安全生产规定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_Toc428781782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984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313E122">
      <w:pPr>
        <w:pStyle w:val="9"/>
        <w:tabs>
          <w:tab w:val="right" w:leader="middleDot" w:pos="8295"/>
          <w:tab w:val="clear" w:pos="8296"/>
        </w:tabs>
        <w:rPr>
          <w:rFonts w:ascii="Calibri" w:hAnsi="Calibri" w:eastAsia="宋体" w:cs="黑体"/>
        </w:rPr>
      </w:pPr>
      <w:r>
        <w:fldChar w:fldCharType="begin"/>
      </w:r>
      <w:r>
        <w:instrText xml:space="preserve">HYPERLINK  \l "_Toc428781783" </w:instrText>
      </w:r>
      <w:r>
        <w:fldChar w:fldCharType="separate"/>
      </w:r>
      <w:r>
        <w:rPr>
          <w:rStyle w:val="26"/>
          <w:rFonts w:hint="eastAsia"/>
        </w:rPr>
        <w:t>北京市电梯安全监督管理办法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_Toc428781783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987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B067052">
      <w:pPr>
        <w:pStyle w:val="9"/>
        <w:tabs>
          <w:tab w:val="right" w:leader="middleDot" w:pos="8295"/>
          <w:tab w:val="clear" w:pos="8296"/>
        </w:tabs>
        <w:rPr>
          <w:rFonts w:ascii="Calibri" w:hAnsi="Calibri" w:eastAsia="宋体" w:cs="黑体"/>
        </w:rPr>
      </w:pPr>
      <w:r>
        <w:fldChar w:fldCharType="begin"/>
      </w:r>
      <w:r>
        <w:instrText xml:space="preserve">HYPERLINK  \l "_Toc428781784" </w:instrText>
      </w:r>
      <w:r>
        <w:fldChar w:fldCharType="separate"/>
      </w:r>
      <w:r>
        <w:rPr>
          <w:rStyle w:val="26"/>
          <w:rFonts w:hint="eastAsia"/>
        </w:rPr>
        <w:t>北京市生产安全事故报告和调查处理办法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_Toc428781784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993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637B7C4">
      <w:pPr>
        <w:pStyle w:val="19"/>
        <w:tabs>
          <w:tab w:val="right" w:leader="middleDot" w:pos="8295"/>
          <w:tab w:val="clear" w:pos="8296"/>
        </w:tabs>
        <w:rPr>
          <w:rStyle w:val="26"/>
        </w:rPr>
      </w:pPr>
    </w:p>
    <w:p w14:paraId="0B310ED2">
      <w:pPr>
        <w:pStyle w:val="19"/>
        <w:tabs>
          <w:tab w:val="right" w:leader="middleDot" w:pos="8295"/>
          <w:tab w:val="clear" w:pos="8296"/>
        </w:tabs>
        <w:rPr>
          <w:rStyle w:val="26"/>
        </w:rPr>
      </w:pPr>
      <w:r>
        <w:fldChar w:fldCharType="begin"/>
      </w:r>
      <w:r>
        <w:instrText xml:space="preserve">HYPERLINK  \l "_Toc428781785" </w:instrText>
      </w:r>
      <w:r>
        <w:fldChar w:fldCharType="separate"/>
      </w:r>
      <w:r>
        <w:rPr>
          <w:rStyle w:val="26"/>
          <w:rFonts w:hint="eastAsia"/>
        </w:rPr>
        <w:t>（三）民</w:t>
      </w:r>
      <w:r>
        <w:rPr>
          <w:rStyle w:val="26"/>
        </w:rPr>
        <w:t xml:space="preserve">  </w:t>
      </w:r>
      <w:r>
        <w:rPr>
          <w:rStyle w:val="26"/>
          <w:rFonts w:hint="eastAsia"/>
        </w:rPr>
        <w:t>政</w:t>
      </w:r>
      <w:r>
        <w:fldChar w:fldCharType="end"/>
      </w:r>
    </w:p>
    <w:p w14:paraId="598072D1"/>
    <w:p w14:paraId="69CACE7D">
      <w:pPr>
        <w:pStyle w:val="9"/>
        <w:tabs>
          <w:tab w:val="right" w:leader="middleDot" w:pos="8295"/>
          <w:tab w:val="clear" w:pos="8296"/>
        </w:tabs>
        <w:rPr>
          <w:rFonts w:ascii="Calibri" w:hAnsi="Calibri" w:eastAsia="宋体" w:cs="黑体"/>
        </w:rPr>
      </w:pPr>
      <w:r>
        <w:fldChar w:fldCharType="begin"/>
      </w:r>
      <w:r>
        <w:instrText xml:space="preserve">HYPERLINK  \l "_Toc428781786" </w:instrText>
      </w:r>
      <w:r>
        <w:fldChar w:fldCharType="separate"/>
      </w:r>
      <w:r>
        <w:rPr>
          <w:rStyle w:val="26"/>
          <w:rFonts w:hint="eastAsia"/>
        </w:rPr>
        <w:t>北京市殡葬管理条例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_Toc428781786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997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70279AC">
      <w:pPr>
        <w:pStyle w:val="9"/>
        <w:tabs>
          <w:tab w:val="right" w:leader="middleDot" w:pos="8295"/>
          <w:tab w:val="clear" w:pos="8296"/>
        </w:tabs>
        <w:rPr>
          <w:rFonts w:ascii="Calibri" w:hAnsi="Calibri" w:eastAsia="宋体" w:cs="黑体"/>
        </w:rPr>
      </w:pPr>
      <w:r>
        <w:fldChar w:fldCharType="begin"/>
      </w:r>
      <w:r>
        <w:instrText xml:space="preserve">HYPERLINK  \l "_Toc428781787" </w:instrText>
      </w:r>
      <w:r>
        <w:fldChar w:fldCharType="separate"/>
      </w:r>
      <w:r>
        <w:rPr>
          <w:rStyle w:val="26"/>
          <w:rFonts w:hint="eastAsia"/>
        </w:rPr>
        <w:t>北京市见义勇为人员奖励和保护条例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_Toc428781787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1001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4F22AF6">
      <w:pPr>
        <w:pStyle w:val="9"/>
        <w:tabs>
          <w:tab w:val="right" w:leader="middleDot" w:pos="8295"/>
          <w:tab w:val="clear" w:pos="8296"/>
        </w:tabs>
        <w:rPr>
          <w:rFonts w:ascii="Calibri" w:hAnsi="Calibri" w:eastAsia="宋体" w:cs="黑体"/>
        </w:rPr>
      </w:pPr>
      <w:r>
        <w:fldChar w:fldCharType="begin"/>
      </w:r>
      <w:r>
        <w:instrText xml:space="preserve">HYPERLINK  \l "_Toc428781788" </w:instrText>
      </w:r>
      <w:r>
        <w:fldChar w:fldCharType="separate"/>
      </w:r>
      <w:r>
        <w:rPr>
          <w:rStyle w:val="26"/>
          <w:rFonts w:hint="eastAsia"/>
        </w:rPr>
        <w:t>北京市实行婚前医学检查管理规定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_Toc428781788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1003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6DF6C95">
      <w:pPr>
        <w:pStyle w:val="9"/>
        <w:tabs>
          <w:tab w:val="right" w:leader="middleDot" w:pos="8295"/>
          <w:tab w:val="clear" w:pos="8296"/>
        </w:tabs>
        <w:rPr>
          <w:rFonts w:ascii="Calibri" w:hAnsi="Calibri" w:eastAsia="宋体" w:cs="黑体"/>
        </w:rPr>
      </w:pPr>
      <w:r>
        <w:fldChar w:fldCharType="begin"/>
      </w:r>
      <w:r>
        <w:instrText xml:space="preserve">HYPERLINK  \l "_Toc428781789" </w:instrText>
      </w:r>
      <w:r>
        <w:fldChar w:fldCharType="separate"/>
      </w:r>
      <w:r>
        <w:rPr>
          <w:rStyle w:val="26"/>
          <w:rFonts w:hint="eastAsia"/>
        </w:rPr>
        <w:t>北京市拥军优属工作若干规定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_Toc428781789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1005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45C64FB">
      <w:pPr>
        <w:pStyle w:val="9"/>
        <w:tabs>
          <w:tab w:val="right" w:leader="middleDot" w:pos="8295"/>
          <w:tab w:val="clear" w:pos="8296"/>
        </w:tabs>
        <w:rPr>
          <w:rFonts w:ascii="Calibri" w:hAnsi="Calibri" w:eastAsia="宋体" w:cs="黑体"/>
        </w:rPr>
      </w:pPr>
      <w:r>
        <w:fldChar w:fldCharType="begin"/>
      </w:r>
      <w:r>
        <w:instrText xml:space="preserve">HYPERLINK  \l "_Toc428781790" </w:instrText>
      </w:r>
      <w:r>
        <w:fldChar w:fldCharType="separate"/>
      </w:r>
      <w:r>
        <w:rPr>
          <w:rStyle w:val="26"/>
          <w:rFonts w:hint="eastAsia"/>
        </w:rPr>
        <w:t>《北京市见义勇为人员奖励和保护条例》实施办法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_Toc428781790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1007</w:t>
      </w:r>
      <w:r>
        <w:rPr>
          <w:rFonts w:hint="eastAsia" w:ascii="华文宋体" w:hAnsi="华文宋体" w:eastAsia="华文宋体" w:cs="华文宋体"/>
          <w:sz w:val="24"/>
          <w:szCs w:val="24"/>
        </w:rPr>
        <w:fldChar w:fldCharType="end"/>
      </w:r>
      <w:r>
        <w:fldChar w:fldCharType="end"/>
      </w:r>
    </w:p>
    <w:p w14:paraId="54148782">
      <w:pPr>
        <w:pStyle w:val="9"/>
        <w:tabs>
          <w:tab w:val="right" w:leader="middleDot" w:pos="8295"/>
          <w:tab w:val="clear" w:pos="8296"/>
        </w:tabs>
        <w:rPr>
          <w:rFonts w:ascii="Calibri" w:hAnsi="Calibri" w:eastAsia="宋体" w:cs="黑体"/>
        </w:rPr>
      </w:pPr>
      <w:r>
        <w:fldChar w:fldCharType="begin"/>
      </w:r>
      <w:r>
        <w:instrText xml:space="preserve">HYPERLINK  \l "_Toc428781791" </w:instrText>
      </w:r>
      <w:r>
        <w:fldChar w:fldCharType="separate"/>
      </w:r>
      <w:r>
        <w:rPr>
          <w:rStyle w:val="26"/>
          <w:rFonts w:hint="eastAsia"/>
        </w:rPr>
        <w:t>北京市实施《婚姻登记条例》若干规定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_Toc428781791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1011</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6E3AF2C">
      <w:pPr>
        <w:pStyle w:val="9"/>
        <w:tabs>
          <w:tab w:val="right" w:leader="middleDot" w:pos="8295"/>
          <w:tab w:val="clear" w:pos="8296"/>
        </w:tabs>
        <w:rPr>
          <w:rFonts w:ascii="Calibri" w:hAnsi="Calibri" w:eastAsia="宋体" w:cs="黑体"/>
        </w:rPr>
      </w:pPr>
      <w:r>
        <w:fldChar w:fldCharType="begin"/>
      </w:r>
      <w:r>
        <w:instrText xml:space="preserve">HYPERLINK  \l "_Toc428781792" </w:instrText>
      </w:r>
      <w:r>
        <w:fldChar w:fldCharType="separate"/>
      </w:r>
      <w:r>
        <w:rPr>
          <w:rStyle w:val="26"/>
          <w:rFonts w:hint="eastAsia"/>
        </w:rPr>
        <w:t>北京市实施《军人抚恤优待条例》办法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_Toc428781792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1013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C7DDBB3">
      <w:pPr>
        <w:pStyle w:val="9"/>
        <w:tabs>
          <w:tab w:val="right" w:leader="middleDot" w:pos="8295"/>
          <w:tab w:val="clear" w:pos="8296"/>
        </w:tabs>
        <w:rPr>
          <w:rFonts w:ascii="Calibri" w:hAnsi="Calibri" w:eastAsia="宋体" w:cs="黑体"/>
        </w:rPr>
      </w:pPr>
      <w:r>
        <w:fldChar w:fldCharType="begin"/>
      </w:r>
      <w:r>
        <w:instrText xml:space="preserve">HYPERLINK  \l "_Toc428781793" </w:instrText>
      </w:r>
      <w:r>
        <w:fldChar w:fldCharType="separate"/>
      </w:r>
      <w:r>
        <w:rPr>
          <w:rStyle w:val="26"/>
          <w:rFonts w:hint="eastAsia"/>
        </w:rPr>
        <w:t>北京市实施《农村五保供养工作条例》办法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_Toc428781793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1017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7A1452B">
      <w:pPr>
        <w:pStyle w:val="19"/>
        <w:tabs>
          <w:tab w:val="right" w:leader="middleDot" w:pos="8295"/>
          <w:tab w:val="clear" w:pos="8296"/>
        </w:tabs>
        <w:rPr>
          <w:rStyle w:val="26"/>
        </w:rPr>
      </w:pPr>
    </w:p>
    <w:p w14:paraId="7E8403A8">
      <w:pPr>
        <w:pStyle w:val="19"/>
        <w:tabs>
          <w:tab w:val="right" w:leader="middleDot" w:pos="8295"/>
          <w:tab w:val="clear" w:pos="8296"/>
        </w:tabs>
        <w:rPr>
          <w:rStyle w:val="26"/>
        </w:rPr>
      </w:pPr>
      <w:r>
        <w:fldChar w:fldCharType="begin"/>
      </w:r>
      <w:r>
        <w:instrText xml:space="preserve">HYPERLINK  \l "_Toc428781794" </w:instrText>
      </w:r>
      <w:r>
        <w:fldChar w:fldCharType="separate"/>
      </w:r>
      <w:r>
        <w:rPr>
          <w:rStyle w:val="26"/>
          <w:rFonts w:hint="eastAsia"/>
        </w:rPr>
        <w:t>（四）社会组织</w:t>
      </w:r>
      <w:r>
        <w:fldChar w:fldCharType="end"/>
      </w:r>
    </w:p>
    <w:p w14:paraId="25B2CF40"/>
    <w:p w14:paraId="0A216582">
      <w:pPr>
        <w:tabs>
          <w:tab w:val="right" w:leader="middleDot" w:pos="8295"/>
        </w:tabs>
        <w:ind w:firstLine="0" w:firstLineChars="0"/>
        <w:jc w:val="left"/>
        <w:rPr>
          <w:rFonts w:ascii="Calibri" w:hAnsi="Calibri" w:eastAsia="宋体" w:cs="黑体"/>
        </w:rPr>
      </w:pPr>
      <w:r>
        <w:rPr>
          <w:rFonts w:hint="eastAsia"/>
        </w:rPr>
        <w:t>北京市实施《中华人民共和国红十字会法》办法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1020</w:t>
      </w:r>
    </w:p>
    <w:p w14:paraId="46726129">
      <w:pPr>
        <w:pStyle w:val="9"/>
        <w:tabs>
          <w:tab w:val="right" w:leader="middleDot" w:pos="8295"/>
          <w:tab w:val="clear" w:pos="8296"/>
        </w:tabs>
        <w:rPr>
          <w:rFonts w:ascii="Calibri" w:hAnsi="Calibri" w:eastAsia="宋体" w:cs="黑体"/>
        </w:rPr>
      </w:pPr>
      <w:r>
        <w:fldChar w:fldCharType="begin"/>
      </w:r>
      <w:r>
        <w:instrText xml:space="preserve">HYPERLINK  \l "_Toc428781796" </w:instrText>
      </w:r>
      <w:r>
        <w:fldChar w:fldCharType="separate"/>
      </w:r>
      <w:r>
        <w:rPr>
          <w:rStyle w:val="26"/>
          <w:rFonts w:hint="eastAsia"/>
        </w:rPr>
        <w:t>北京市实施《中华人民共和国工会法》办法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_Toc428781796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1022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F1D0EEE">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北京市志愿服务促进条例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1030</w:t>
      </w:r>
    </w:p>
    <w:p w14:paraId="658979B6">
      <w:pPr>
        <w:pStyle w:val="9"/>
        <w:tabs>
          <w:tab w:val="right" w:leader="middleDot" w:pos="8295"/>
          <w:tab w:val="clear" w:pos="8296"/>
        </w:tabs>
        <w:rPr>
          <w:rFonts w:ascii="Calibri" w:hAnsi="Calibri" w:eastAsia="宋体" w:cs="黑体"/>
        </w:rPr>
      </w:pPr>
      <w:r>
        <w:fldChar w:fldCharType="begin"/>
      </w:r>
      <w:r>
        <w:instrText xml:space="preserve">HYPERLINK  \l "_Toc428781798" </w:instrText>
      </w:r>
      <w:r>
        <w:fldChar w:fldCharType="separate"/>
      </w:r>
      <w:r>
        <w:rPr>
          <w:rStyle w:val="26"/>
          <w:rFonts w:hint="eastAsia"/>
        </w:rPr>
        <w:t>北京市促进慈善事业若干规定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_Toc428781798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1034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744AA1C">
      <w:pPr>
        <w:pStyle w:val="19"/>
        <w:tabs>
          <w:tab w:val="right" w:leader="middleDot" w:pos="8295"/>
          <w:tab w:val="clear" w:pos="8296"/>
        </w:tabs>
        <w:rPr>
          <w:rStyle w:val="26"/>
        </w:rPr>
      </w:pPr>
    </w:p>
    <w:p w14:paraId="5BF83129">
      <w:pPr>
        <w:pStyle w:val="19"/>
        <w:tabs>
          <w:tab w:val="right" w:leader="middleDot" w:pos="8295"/>
          <w:tab w:val="clear" w:pos="8296"/>
        </w:tabs>
        <w:rPr>
          <w:rStyle w:val="26"/>
        </w:rPr>
      </w:pPr>
      <w:r>
        <w:fldChar w:fldCharType="begin"/>
      </w:r>
      <w:r>
        <w:instrText xml:space="preserve">HYPERLINK  \l "_Toc428781799" </w:instrText>
      </w:r>
      <w:r>
        <w:fldChar w:fldCharType="separate"/>
      </w:r>
      <w:r>
        <w:rPr>
          <w:rStyle w:val="26"/>
          <w:rFonts w:hint="eastAsia"/>
        </w:rPr>
        <w:t>（五）特殊权益保障</w:t>
      </w:r>
      <w:r>
        <w:fldChar w:fldCharType="end"/>
      </w:r>
    </w:p>
    <w:p w14:paraId="492867ED"/>
    <w:p w14:paraId="74B1C8E7">
      <w:pPr>
        <w:pStyle w:val="9"/>
        <w:tabs>
          <w:tab w:val="right" w:leader="middleDot" w:pos="8295"/>
          <w:tab w:val="clear" w:pos="8296"/>
        </w:tabs>
        <w:rPr>
          <w:rFonts w:ascii="Calibri" w:hAnsi="Calibri" w:eastAsia="宋体" w:cs="黑体"/>
        </w:rPr>
      </w:pPr>
      <w:r>
        <w:fldChar w:fldCharType="begin"/>
      </w:r>
      <w:r>
        <w:instrText xml:space="preserve">HYPERLINK  \l "_Toc428781800" </w:instrText>
      </w:r>
      <w:r>
        <w:fldChar w:fldCharType="separate"/>
      </w:r>
      <w:r>
        <w:rPr>
          <w:rStyle w:val="26"/>
          <w:rFonts w:hint="eastAsia"/>
        </w:rPr>
        <w:t>北京市未成年人保护条例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_Toc428781800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1038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FA5841E">
      <w:pPr>
        <w:pStyle w:val="9"/>
        <w:tabs>
          <w:tab w:val="right" w:leader="middleDot" w:pos="8295"/>
          <w:tab w:val="clear" w:pos="8296"/>
        </w:tabs>
        <w:rPr>
          <w:rFonts w:ascii="Calibri" w:hAnsi="Calibri" w:eastAsia="宋体" w:cs="黑体"/>
        </w:rPr>
      </w:pPr>
      <w:r>
        <w:fldChar w:fldCharType="begin"/>
      </w:r>
      <w:r>
        <w:instrText xml:space="preserve">HYPERLINK  \l "_Toc428781801" </w:instrText>
      </w:r>
      <w:r>
        <w:fldChar w:fldCharType="separate"/>
      </w:r>
      <w:r>
        <w:rPr>
          <w:rStyle w:val="26"/>
          <w:rFonts w:hint="eastAsia"/>
        </w:rPr>
        <w:t>北京市实施《中华人民共和国</w:t>
      </w:r>
      <w:r>
        <w:fldChar w:fldCharType="end"/>
      </w:r>
      <w:r>
        <w:fldChar w:fldCharType="begin"/>
      </w:r>
      <w:r>
        <w:instrText xml:space="preserve">HYPERLINK  \l "_Toc428781802" </w:instrText>
      </w:r>
      <w:r>
        <w:fldChar w:fldCharType="separate"/>
      </w:r>
      <w:r>
        <w:rPr>
          <w:rStyle w:val="26"/>
          <w:rFonts w:hint="eastAsia"/>
        </w:rPr>
        <w:t>归侨侨眷权益保护法》办法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_Toc428781802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1046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68E7470">
      <w:pPr>
        <w:pStyle w:val="9"/>
        <w:tabs>
          <w:tab w:val="right" w:leader="middleDot" w:pos="8295"/>
          <w:tab w:val="clear" w:pos="8296"/>
        </w:tabs>
        <w:rPr>
          <w:rFonts w:ascii="Calibri" w:hAnsi="Calibri" w:eastAsia="宋体" w:cs="黑体"/>
        </w:rPr>
      </w:pPr>
      <w:r>
        <w:fldChar w:fldCharType="begin"/>
      </w:r>
      <w:r>
        <w:instrText xml:space="preserve">HYPERLINK  \l "_Toc428781803" </w:instrText>
      </w:r>
      <w:r>
        <w:fldChar w:fldCharType="separate"/>
      </w:r>
      <w:r>
        <w:rPr>
          <w:rStyle w:val="26"/>
          <w:rFonts w:hint="eastAsia"/>
        </w:rPr>
        <w:t>北京市实施《中华人民共和国妇女权益保障法》办法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_Toc428781803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1049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251F510">
      <w:pPr>
        <w:pStyle w:val="9"/>
        <w:tabs>
          <w:tab w:val="right" w:leader="middleDot" w:pos="8295"/>
          <w:tab w:val="clear" w:pos="8296"/>
        </w:tabs>
        <w:rPr>
          <w:rFonts w:ascii="Calibri" w:hAnsi="Calibri" w:eastAsia="宋体" w:cs="黑体"/>
        </w:rPr>
      </w:pPr>
      <w:r>
        <w:fldChar w:fldCharType="begin"/>
      </w:r>
      <w:r>
        <w:instrText xml:space="preserve">HYPERLINK  \l "_Toc428781804" </w:instrText>
      </w:r>
      <w:r>
        <w:fldChar w:fldCharType="separate"/>
      </w:r>
      <w:r>
        <w:rPr>
          <w:rStyle w:val="26"/>
          <w:rFonts w:hint="eastAsia"/>
        </w:rPr>
        <w:t>北京市实施《中华人民共和国残疾人保障法》办法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_Toc428781804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1056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96262BE">
      <w:pPr>
        <w:pStyle w:val="9"/>
        <w:tabs>
          <w:tab w:val="right" w:leader="middleDot" w:pos="8295"/>
          <w:tab w:val="clear" w:pos="8296"/>
        </w:tabs>
        <w:rPr>
          <w:rFonts w:ascii="Calibri" w:hAnsi="Calibri" w:eastAsia="宋体" w:cs="黑体"/>
        </w:rPr>
      </w:pPr>
      <w:r>
        <w:fldChar w:fldCharType="begin"/>
      </w:r>
      <w:r>
        <w:instrText xml:space="preserve">HYPERLINK  \l "_Toc428781805" </w:instrText>
      </w:r>
      <w:r>
        <w:fldChar w:fldCharType="separate"/>
      </w:r>
      <w:r>
        <w:rPr>
          <w:rStyle w:val="26"/>
          <w:rFonts w:hint="eastAsia"/>
        </w:rPr>
        <w:t>北京市实施《中华人民共和国</w:t>
      </w:r>
      <w:r>
        <w:fldChar w:fldCharType="end"/>
      </w:r>
      <w:r>
        <w:fldChar w:fldCharType="begin"/>
      </w:r>
      <w:r>
        <w:instrText xml:space="preserve">HYPERLINK  \l "_Toc428781806" </w:instrText>
      </w:r>
      <w:r>
        <w:fldChar w:fldCharType="separate"/>
      </w:r>
      <w:r>
        <w:rPr>
          <w:rStyle w:val="26"/>
          <w:rFonts w:hint="eastAsia"/>
        </w:rPr>
        <w:t>消费者权益保护法》办法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_Toc428781806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1065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5721814">
      <w:pPr>
        <w:pStyle w:val="9"/>
        <w:tabs>
          <w:tab w:val="right" w:leader="middleDot" w:pos="8295"/>
          <w:tab w:val="clear" w:pos="8296"/>
        </w:tabs>
        <w:rPr>
          <w:rFonts w:ascii="Calibri" w:hAnsi="Calibri" w:eastAsia="宋体" w:cs="黑体"/>
        </w:rPr>
      </w:pPr>
      <w:r>
        <w:fldChar w:fldCharType="begin"/>
      </w:r>
      <w:r>
        <w:instrText xml:space="preserve">HYPERLINK  \l "_Toc428781807" </w:instrText>
      </w:r>
      <w:r>
        <w:fldChar w:fldCharType="separate"/>
      </w:r>
      <w:r>
        <w:rPr>
          <w:rStyle w:val="26"/>
          <w:rFonts w:hint="eastAsia"/>
        </w:rPr>
        <w:t>北京市老年人权益保障条例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_Toc428781807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1068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06618EF">
      <w:pPr>
        <w:pStyle w:val="9"/>
        <w:tabs>
          <w:tab w:val="right" w:leader="middleDot" w:pos="8295"/>
          <w:tab w:val="clear" w:pos="8296"/>
        </w:tabs>
        <w:rPr>
          <w:rFonts w:ascii="Calibri" w:hAnsi="Calibri" w:eastAsia="宋体" w:cs="黑体"/>
        </w:rPr>
      </w:pPr>
      <w:r>
        <w:fldChar w:fldCharType="begin"/>
      </w:r>
      <w:r>
        <w:instrText xml:space="preserve">HYPERLINK  \l "_Toc428781808" </w:instrText>
      </w:r>
      <w:r>
        <w:fldChar w:fldCharType="separate"/>
      </w:r>
      <w:r>
        <w:rPr>
          <w:rStyle w:val="26"/>
          <w:rFonts w:hint="eastAsia"/>
        </w:rPr>
        <w:t>北京市实施《女职工劳动保护规定》的若干规定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_Toc428781808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1072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2CCB84D9">
      <w:pPr>
        <w:pStyle w:val="9"/>
        <w:tabs>
          <w:tab w:val="right" w:leader="middleDot" w:pos="8295"/>
          <w:tab w:val="clear" w:pos="8296"/>
        </w:tabs>
        <w:rPr>
          <w:rFonts w:ascii="Calibri" w:hAnsi="Calibri" w:eastAsia="宋体" w:cs="黑体"/>
        </w:rPr>
      </w:pPr>
      <w:r>
        <w:fldChar w:fldCharType="begin"/>
      </w:r>
      <w:r>
        <w:instrText xml:space="preserve">HYPERLINK  \l "_Toc428781809" </w:instrText>
      </w:r>
      <w:r>
        <w:fldChar w:fldCharType="separate"/>
      </w:r>
      <w:r>
        <w:rPr>
          <w:rStyle w:val="26"/>
          <w:rFonts w:hint="eastAsia"/>
        </w:rPr>
        <w:t>北京市按比例安排残疾人就业办法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_Toc428781809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1074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9563163">
      <w:pPr>
        <w:pStyle w:val="9"/>
        <w:tabs>
          <w:tab w:val="right" w:leader="middleDot" w:pos="8295"/>
          <w:tab w:val="clear" w:pos="8296"/>
        </w:tabs>
        <w:rPr>
          <w:rFonts w:ascii="Calibri" w:hAnsi="Calibri" w:eastAsia="宋体" w:cs="黑体"/>
        </w:rPr>
      </w:pPr>
      <w:r>
        <w:fldChar w:fldCharType="begin"/>
      </w:r>
      <w:r>
        <w:instrText xml:space="preserve">HYPERLINK  \l "_Toc428781810" </w:instrText>
      </w:r>
      <w:r>
        <w:fldChar w:fldCharType="separate"/>
      </w:r>
      <w:r>
        <w:rPr>
          <w:rStyle w:val="26"/>
          <w:rFonts w:hint="eastAsia"/>
        </w:rPr>
        <w:t>北京市实施《城市居民最低生活保障条例》办法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_Toc428781810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1076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B03A22F">
      <w:pPr>
        <w:pStyle w:val="19"/>
        <w:tabs>
          <w:tab w:val="right" w:leader="middleDot" w:pos="8295"/>
          <w:tab w:val="clear" w:pos="8296"/>
        </w:tabs>
        <w:rPr>
          <w:rStyle w:val="26"/>
        </w:rPr>
      </w:pPr>
    </w:p>
    <w:p w14:paraId="6D1978FF">
      <w:pPr>
        <w:pStyle w:val="19"/>
        <w:tabs>
          <w:tab w:val="right" w:leader="middleDot" w:pos="8295"/>
          <w:tab w:val="clear" w:pos="8296"/>
        </w:tabs>
        <w:rPr>
          <w:rStyle w:val="26"/>
        </w:rPr>
      </w:pPr>
      <w:r>
        <w:fldChar w:fldCharType="begin"/>
      </w:r>
      <w:r>
        <w:instrText xml:space="preserve">HYPERLINK  \l "_Toc428781811" </w:instrText>
      </w:r>
      <w:r>
        <w:fldChar w:fldCharType="separate"/>
      </w:r>
      <w:r>
        <w:rPr>
          <w:rStyle w:val="26"/>
          <w:rFonts w:hint="eastAsia"/>
        </w:rPr>
        <w:t>（六）劳动用工</w:t>
      </w:r>
      <w:r>
        <w:fldChar w:fldCharType="end"/>
      </w:r>
    </w:p>
    <w:p w14:paraId="12741CED"/>
    <w:p w14:paraId="304C9596">
      <w:pPr>
        <w:pStyle w:val="9"/>
        <w:tabs>
          <w:tab w:val="right" w:leader="middleDot" w:pos="8295"/>
          <w:tab w:val="clear" w:pos="8296"/>
        </w:tabs>
        <w:rPr>
          <w:rFonts w:ascii="Calibri" w:hAnsi="Calibri" w:eastAsia="宋体" w:cs="黑体"/>
        </w:rPr>
      </w:pPr>
      <w:r>
        <w:fldChar w:fldCharType="begin"/>
      </w:r>
      <w:r>
        <w:instrText xml:space="preserve">HYPERLINK  \l "_Toc428781812" </w:instrText>
      </w:r>
      <w:r>
        <w:fldChar w:fldCharType="separate"/>
      </w:r>
      <w:r>
        <w:rPr>
          <w:rStyle w:val="26"/>
          <w:rFonts w:hint="eastAsia"/>
        </w:rPr>
        <w:t>北京市人才市场管理条例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_Toc428781812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1079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8F080E7">
      <w:pPr>
        <w:pStyle w:val="9"/>
        <w:tabs>
          <w:tab w:val="right" w:leader="middleDot" w:pos="8295"/>
          <w:tab w:val="clear" w:pos="8296"/>
        </w:tabs>
        <w:rPr>
          <w:rFonts w:ascii="Calibri" w:hAnsi="Calibri" w:eastAsia="宋体" w:cs="黑体"/>
        </w:rPr>
      </w:pPr>
      <w:r>
        <w:fldChar w:fldCharType="begin"/>
      </w:r>
      <w:r>
        <w:instrText xml:space="preserve">HYPERLINK  \l "_Toc428781813" </w:instrText>
      </w:r>
      <w:r>
        <w:fldChar w:fldCharType="separate"/>
      </w:r>
      <w:r>
        <w:rPr>
          <w:rStyle w:val="26"/>
          <w:rFonts w:hint="eastAsia"/>
        </w:rPr>
        <w:t>北京市劳动力市场管理条例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_Toc428781813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1084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FC5C8A2">
      <w:pPr>
        <w:pStyle w:val="9"/>
        <w:tabs>
          <w:tab w:val="right" w:leader="middleDot" w:pos="8295"/>
          <w:tab w:val="clear" w:pos="8296"/>
        </w:tabs>
        <w:rPr>
          <w:rFonts w:ascii="Calibri" w:hAnsi="Calibri" w:eastAsia="宋体" w:cs="黑体"/>
        </w:rPr>
      </w:pPr>
      <w:r>
        <w:fldChar w:fldCharType="begin"/>
      </w:r>
      <w:r>
        <w:instrText xml:space="preserve">HYPERLINK  \l "_Toc428781814" </w:instrText>
      </w:r>
      <w:r>
        <w:fldChar w:fldCharType="separate"/>
      </w:r>
      <w:r>
        <w:rPr>
          <w:rStyle w:val="26"/>
          <w:rFonts w:hint="eastAsia"/>
        </w:rPr>
        <w:t>北京市集体合同条例</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_Toc428781814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1089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845918C">
      <w:pPr>
        <w:pStyle w:val="9"/>
        <w:tabs>
          <w:tab w:val="right" w:leader="middleDot" w:pos="8295"/>
          <w:tab w:val="clear" w:pos="8296"/>
        </w:tabs>
        <w:rPr>
          <w:rFonts w:ascii="Calibri" w:hAnsi="Calibri" w:eastAsia="宋体" w:cs="黑体"/>
        </w:rPr>
      </w:pPr>
      <w:r>
        <w:fldChar w:fldCharType="begin"/>
      </w:r>
      <w:r>
        <w:instrText xml:space="preserve">HYPERLINK  \l "_Toc428781815" </w:instrText>
      </w:r>
      <w:r>
        <w:fldChar w:fldCharType="separate"/>
      </w:r>
      <w:r>
        <w:rPr>
          <w:rStyle w:val="26"/>
          <w:rFonts w:hint="eastAsia"/>
        </w:rPr>
        <w:t>北京市工人技师考评和聘任暂行办法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_Toc428781815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1096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0D56244">
      <w:pPr>
        <w:pStyle w:val="9"/>
        <w:tabs>
          <w:tab w:val="right" w:leader="middleDot" w:pos="8295"/>
          <w:tab w:val="clear" w:pos="8296"/>
        </w:tabs>
        <w:rPr>
          <w:rFonts w:ascii="Calibri" w:hAnsi="Calibri" w:eastAsia="宋体" w:cs="黑体"/>
        </w:rPr>
      </w:pPr>
      <w:r>
        <w:fldChar w:fldCharType="begin"/>
      </w:r>
      <w:r>
        <w:instrText xml:space="preserve">HYPERLINK  \l "_Toc428781816" </w:instrText>
      </w:r>
      <w:r>
        <w:fldChar w:fldCharType="separate"/>
      </w:r>
      <w:r>
        <w:rPr>
          <w:rStyle w:val="26"/>
          <w:rFonts w:hint="eastAsia"/>
        </w:rPr>
        <w:t>北京市人民政府关于外国企业常驻代表</w:t>
      </w:r>
      <w:r>
        <w:fldChar w:fldCharType="end"/>
      </w:r>
      <w:r>
        <w:fldChar w:fldCharType="begin"/>
      </w:r>
      <w:r>
        <w:instrText xml:space="preserve">HYPERLINK  \l "_Toc428781817" </w:instrText>
      </w:r>
      <w:r>
        <w:fldChar w:fldCharType="separate"/>
      </w:r>
      <w:r>
        <w:rPr>
          <w:rStyle w:val="26"/>
          <w:rFonts w:hint="eastAsia"/>
        </w:rPr>
        <w:t>机构聘用中国雇员的管理规定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_Toc428781817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1098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0D0A122">
      <w:pPr>
        <w:pStyle w:val="9"/>
        <w:tabs>
          <w:tab w:val="right" w:leader="middleDot" w:pos="8295"/>
          <w:tab w:val="clear" w:pos="8296"/>
        </w:tabs>
      </w:pPr>
      <w:r>
        <w:fldChar w:fldCharType="begin"/>
      </w:r>
      <w:r>
        <w:instrText xml:space="preserve">HYPERLINK  \l "_Toc428781818" </w:instrText>
      </w:r>
      <w:r>
        <w:fldChar w:fldCharType="separate"/>
      </w:r>
      <w:r>
        <w:rPr>
          <w:rStyle w:val="26"/>
          <w:rFonts w:hint="eastAsia"/>
        </w:rPr>
        <w:t>北京市人才招聘管理办法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_Toc428781818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1100</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B4D260A">
      <w:pPr>
        <w:pStyle w:val="9"/>
        <w:tabs>
          <w:tab w:val="right" w:leader="middleDot" w:pos="8295"/>
          <w:tab w:val="clear" w:pos="8296"/>
        </w:tabs>
        <w:rPr>
          <w:rFonts w:hint="eastAsia"/>
        </w:rPr>
      </w:pPr>
      <w:r>
        <w:fldChar w:fldCharType="begin"/>
      </w:r>
      <w:r>
        <w:instrText xml:space="preserve">HYPERLINK  \l "_Toc428781819" </w:instrText>
      </w:r>
      <w:r>
        <w:fldChar w:fldCharType="separate"/>
      </w:r>
      <w:r>
        <w:rPr>
          <w:rStyle w:val="26"/>
          <w:rFonts w:hint="eastAsia"/>
        </w:rPr>
        <w:t>北京市人才市场中介服务机构管理办法</w:t>
      </w:r>
      <w:r>
        <w:rPr>
          <w:rFonts w:hint="eastAsia"/>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_Toc428781819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1102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96518D1">
      <w:pPr>
        <w:pStyle w:val="9"/>
        <w:tabs>
          <w:tab w:val="right" w:leader="middleDot" w:pos="8295"/>
          <w:tab w:val="clear" w:pos="8296"/>
        </w:tabs>
        <w:rPr>
          <w:rFonts w:ascii="Calibri" w:hAnsi="Calibri" w:eastAsia="宋体" w:cs="黑体"/>
        </w:rPr>
      </w:pPr>
      <w:r>
        <w:fldChar w:fldCharType="begin"/>
      </w:r>
      <w:r>
        <w:instrText xml:space="preserve">HYPERLINK  \l "_Toc428781820" </w:instrText>
      </w:r>
      <w:r>
        <w:fldChar w:fldCharType="separate"/>
      </w:r>
      <w:r>
        <w:rPr>
          <w:rStyle w:val="26"/>
          <w:rFonts w:hint="eastAsia"/>
        </w:rPr>
        <w:t>北京市人才招聘洽谈会管理办法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_Toc428781820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1103</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FD6B707">
      <w:pPr>
        <w:pStyle w:val="9"/>
        <w:tabs>
          <w:tab w:val="right" w:leader="middleDot" w:pos="8295"/>
          <w:tab w:val="clear" w:pos="8296"/>
        </w:tabs>
        <w:rPr>
          <w:rFonts w:ascii="Calibri" w:hAnsi="Calibri" w:eastAsia="宋体" w:cs="黑体"/>
        </w:rPr>
      </w:pPr>
      <w:r>
        <w:fldChar w:fldCharType="begin"/>
      </w:r>
      <w:r>
        <w:instrText xml:space="preserve">HYPERLINK  \l "_Toc428781821" </w:instrText>
      </w:r>
      <w:r>
        <w:fldChar w:fldCharType="separate"/>
      </w:r>
      <w:r>
        <w:rPr>
          <w:rStyle w:val="26"/>
          <w:rFonts w:hint="eastAsia"/>
        </w:rPr>
        <w:t>北京市职业介绍管理规定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_Toc428781821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1105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E0C4840">
      <w:pPr>
        <w:pStyle w:val="9"/>
        <w:tabs>
          <w:tab w:val="right" w:leader="middleDot" w:pos="8295"/>
          <w:tab w:val="clear" w:pos="8296"/>
        </w:tabs>
        <w:rPr>
          <w:rFonts w:hint="eastAsia"/>
        </w:rPr>
      </w:pPr>
      <w:r>
        <w:fldChar w:fldCharType="begin"/>
      </w:r>
      <w:r>
        <w:instrText xml:space="preserve">HYPERLINK  \l "_Toc428781822" </w:instrText>
      </w:r>
      <w:r>
        <w:fldChar w:fldCharType="separate"/>
      </w:r>
      <w:r>
        <w:rPr>
          <w:rStyle w:val="26"/>
          <w:rFonts w:hint="eastAsia"/>
        </w:rPr>
        <w:t>中关村科技园区接收非北京生源高校毕业生办法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_Toc428781822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1108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066FF8D0">
      <w:pPr>
        <w:pStyle w:val="9"/>
        <w:tabs>
          <w:tab w:val="right" w:leader="middleDot" w:pos="8295"/>
          <w:tab w:val="clear" w:pos="8296"/>
        </w:tabs>
        <w:rPr>
          <w:rFonts w:hint="eastAsia" w:ascii="创艺简中圆" w:hAnsi="创艺简中圆" w:eastAsia="创艺简中圆" w:cs="创艺简中圆"/>
        </w:rPr>
      </w:pPr>
      <w:r>
        <w:fldChar w:fldCharType="begin"/>
      </w:r>
      <w:r>
        <w:instrText xml:space="preserve">HYPERLINK  \l "_Toc428781823" </w:instrText>
      </w:r>
      <w:r>
        <w:fldChar w:fldCharType="separate"/>
      </w:r>
      <w:r>
        <w:rPr>
          <w:rStyle w:val="26"/>
          <w:rFonts w:hint="eastAsia"/>
        </w:rPr>
        <w:t>北京市劳动合同规定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_Toc428781823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1109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65A5843C">
      <w:pPr>
        <w:pStyle w:val="19"/>
        <w:tabs>
          <w:tab w:val="right" w:leader="middleDot" w:pos="8295"/>
          <w:tab w:val="clear" w:pos="8296"/>
        </w:tabs>
        <w:rPr>
          <w:rStyle w:val="26"/>
        </w:rPr>
      </w:pPr>
    </w:p>
    <w:p w14:paraId="2F9926ED">
      <w:pPr>
        <w:pStyle w:val="19"/>
        <w:tabs>
          <w:tab w:val="right" w:leader="middleDot" w:pos="8295"/>
          <w:tab w:val="clear" w:pos="8296"/>
        </w:tabs>
        <w:rPr>
          <w:rStyle w:val="26"/>
        </w:rPr>
      </w:pPr>
      <w:r>
        <w:fldChar w:fldCharType="begin"/>
      </w:r>
      <w:r>
        <w:instrText xml:space="preserve">HYPERLINK  \l "_Toc428781824" </w:instrText>
      </w:r>
      <w:r>
        <w:fldChar w:fldCharType="separate"/>
      </w:r>
      <w:r>
        <w:rPr>
          <w:rStyle w:val="26"/>
          <w:rFonts w:hint="eastAsia"/>
        </w:rPr>
        <w:t>（七）社会保险</w:t>
      </w:r>
      <w:r>
        <w:fldChar w:fldCharType="end"/>
      </w:r>
    </w:p>
    <w:p w14:paraId="1010F426"/>
    <w:p w14:paraId="67185EA6">
      <w:pPr>
        <w:pStyle w:val="9"/>
        <w:tabs>
          <w:tab w:val="right" w:leader="middleDot" w:pos="8295"/>
          <w:tab w:val="clear" w:pos="8296"/>
        </w:tabs>
        <w:rPr>
          <w:rFonts w:ascii="Calibri" w:hAnsi="Calibri" w:eastAsia="宋体" w:cs="黑体"/>
        </w:rPr>
      </w:pPr>
      <w:r>
        <w:fldChar w:fldCharType="begin"/>
      </w:r>
      <w:r>
        <w:instrText xml:space="preserve">HYPERLINK  \l "_Toc428781825" </w:instrText>
      </w:r>
      <w:r>
        <w:fldChar w:fldCharType="separate"/>
      </w:r>
      <w:r>
        <w:rPr>
          <w:rStyle w:val="26"/>
          <w:rFonts w:hint="eastAsia"/>
        </w:rPr>
        <w:t>北京市就业援助规定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_Toc428781825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1115</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F6DE5BA">
      <w:pPr>
        <w:pStyle w:val="9"/>
        <w:tabs>
          <w:tab w:val="right" w:leader="middleDot" w:pos="8295"/>
          <w:tab w:val="clear" w:pos="8296"/>
        </w:tabs>
        <w:rPr>
          <w:rFonts w:ascii="Calibri" w:hAnsi="Calibri" w:eastAsia="宋体" w:cs="黑体"/>
        </w:rPr>
      </w:pPr>
      <w:r>
        <w:fldChar w:fldCharType="begin"/>
      </w:r>
      <w:r>
        <w:instrText xml:space="preserve">HYPERLINK  \l "_Toc428781826" </w:instrText>
      </w:r>
      <w:r>
        <w:fldChar w:fldCharType="separate"/>
      </w:r>
      <w:r>
        <w:rPr>
          <w:rStyle w:val="26"/>
          <w:rFonts w:hint="eastAsia"/>
        </w:rPr>
        <w:t>北京市失业保险规定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_Toc428781826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1118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2D1554A">
      <w:pPr>
        <w:pStyle w:val="9"/>
        <w:tabs>
          <w:tab w:val="right" w:leader="middleDot" w:pos="8295"/>
          <w:tab w:val="clear" w:pos="8296"/>
        </w:tabs>
        <w:rPr>
          <w:rFonts w:ascii="Calibri" w:hAnsi="Calibri" w:eastAsia="宋体" w:cs="黑体"/>
        </w:rPr>
      </w:pPr>
      <w:r>
        <w:fldChar w:fldCharType="begin"/>
      </w:r>
      <w:r>
        <w:instrText xml:space="preserve">HYPERLINK  \l "_Toc428781827" </w:instrText>
      </w:r>
      <w:r>
        <w:fldChar w:fldCharType="separate"/>
      </w:r>
      <w:r>
        <w:rPr>
          <w:rStyle w:val="26"/>
          <w:rFonts w:hint="eastAsia"/>
        </w:rPr>
        <w:t>北京市养老服务机构管理办法</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_Toc428781827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1124</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3378ABF6">
      <w:pPr>
        <w:pStyle w:val="9"/>
        <w:tabs>
          <w:tab w:val="right" w:leader="middleDot" w:pos="8295"/>
          <w:tab w:val="clear" w:pos="8296"/>
        </w:tabs>
        <w:rPr>
          <w:rFonts w:ascii="Calibri" w:hAnsi="Calibri" w:eastAsia="宋体" w:cs="黑体"/>
        </w:rPr>
      </w:pPr>
      <w:r>
        <w:fldChar w:fldCharType="begin"/>
      </w:r>
      <w:r>
        <w:instrText xml:space="preserve">HYPERLINK  \l "_Toc428781828" </w:instrText>
      </w:r>
      <w:r>
        <w:fldChar w:fldCharType="separate"/>
      </w:r>
      <w:r>
        <w:rPr>
          <w:rStyle w:val="26"/>
          <w:rFonts w:hint="eastAsia"/>
        </w:rPr>
        <w:t>北京市基本医疗保险规定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_Toc428781828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1128</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74273E0C">
      <w:pPr>
        <w:pStyle w:val="9"/>
        <w:tabs>
          <w:tab w:val="right" w:leader="middleDot" w:pos="8295"/>
          <w:tab w:val="clear" w:pos="8296"/>
        </w:tabs>
        <w:rPr>
          <w:rFonts w:ascii="Calibri" w:hAnsi="Calibri" w:eastAsia="宋体" w:cs="黑体"/>
        </w:rPr>
      </w:pPr>
      <w:r>
        <w:fldChar w:fldCharType="begin"/>
      </w:r>
      <w:r>
        <w:instrText xml:space="preserve">HYPERLINK  \l "_Toc428781829" </w:instrText>
      </w:r>
      <w:r>
        <w:fldChar w:fldCharType="separate"/>
      </w:r>
      <w:r>
        <w:rPr>
          <w:rStyle w:val="26"/>
          <w:rFonts w:hint="eastAsia"/>
        </w:rPr>
        <w:t>北京市社会保险费征缴若干规定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_Toc428781829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1137</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444728F">
      <w:pPr>
        <w:pStyle w:val="9"/>
        <w:tabs>
          <w:tab w:val="right" w:leader="middleDot" w:pos="8295"/>
          <w:tab w:val="clear" w:pos="8296"/>
        </w:tabs>
        <w:rPr>
          <w:rFonts w:ascii="Calibri" w:hAnsi="Calibri" w:eastAsia="宋体" w:cs="黑体"/>
        </w:rPr>
      </w:pPr>
      <w:r>
        <w:fldChar w:fldCharType="begin"/>
      </w:r>
      <w:r>
        <w:instrText xml:space="preserve">HYPERLINK  \l "_Toc428781830" </w:instrText>
      </w:r>
      <w:r>
        <w:fldChar w:fldCharType="separate"/>
      </w:r>
      <w:r>
        <w:rPr>
          <w:rStyle w:val="26"/>
          <w:rFonts w:hint="eastAsia"/>
        </w:rPr>
        <w:t>北京市企业职工生育保险规定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_Toc428781830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1139</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513AAA95">
      <w:pPr>
        <w:pStyle w:val="9"/>
        <w:tabs>
          <w:tab w:val="right" w:leader="middleDot" w:pos="8295"/>
          <w:tab w:val="clear" w:pos="8296"/>
        </w:tabs>
        <w:rPr>
          <w:rFonts w:ascii="Calibri" w:hAnsi="Calibri" w:eastAsia="宋体" w:cs="黑体"/>
        </w:rPr>
      </w:pPr>
      <w:r>
        <w:fldChar w:fldCharType="begin"/>
      </w:r>
      <w:r>
        <w:instrText xml:space="preserve">HYPERLINK  \l "_Toc428781831" </w:instrText>
      </w:r>
      <w:r>
        <w:fldChar w:fldCharType="separate"/>
      </w:r>
      <w:r>
        <w:rPr>
          <w:rStyle w:val="26"/>
          <w:rFonts w:hint="eastAsia"/>
        </w:rPr>
        <w:t>北京市基本养老保险规定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_Toc428781831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1142</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1BA6E3C7">
      <w:pPr>
        <w:pStyle w:val="9"/>
        <w:tabs>
          <w:tab w:val="right" w:leader="middleDot" w:pos="8295"/>
          <w:tab w:val="clear" w:pos="8296"/>
        </w:tabs>
        <w:rPr>
          <w:rFonts w:ascii="Calibri" w:hAnsi="Calibri" w:eastAsia="宋体" w:cs="黑体"/>
        </w:rPr>
      </w:pPr>
      <w:r>
        <w:fldChar w:fldCharType="begin"/>
      </w:r>
      <w:r>
        <w:instrText xml:space="preserve">HYPERLINK  \l "_Toc428781832" </w:instrText>
      </w:r>
      <w:r>
        <w:fldChar w:fldCharType="separate"/>
      </w:r>
      <w:r>
        <w:rPr>
          <w:rStyle w:val="26"/>
          <w:rFonts w:hint="eastAsia"/>
        </w:rPr>
        <w:t>北京市实施《工伤保险条例》若干规定</w:t>
      </w:r>
      <w:r>
        <w:rPr>
          <w:rFonts w:hint="eastAsia" w:ascii="创艺简中圆" w:hAnsi="创艺简中圆" w:eastAsia="创艺简中圆" w:cs="创艺简中圆"/>
        </w:rPr>
        <w:tab/>
      </w:r>
      <w:r>
        <w:rPr>
          <w:rFonts w:hint="eastAsia" w:ascii="华文宋体" w:hAnsi="华文宋体" w:eastAsia="华文宋体" w:cs="华文宋体"/>
          <w:sz w:val="24"/>
          <w:szCs w:val="24"/>
        </w:rPr>
        <w:fldChar w:fldCharType="begin"/>
      </w:r>
      <w:r>
        <w:rPr>
          <w:rFonts w:hint="eastAsia" w:ascii="华文宋体" w:hAnsi="华文宋体" w:eastAsia="华文宋体" w:cs="华文宋体"/>
          <w:sz w:val="24"/>
          <w:szCs w:val="24"/>
        </w:rPr>
        <w:instrText xml:space="preserve"> PAGEREF _Toc428781832 \h </w:instrText>
      </w:r>
      <w:r>
        <w:rPr>
          <w:rFonts w:hint="eastAsia" w:ascii="华文宋体" w:hAnsi="华文宋体" w:eastAsia="华文宋体" w:cs="华文宋体"/>
          <w:sz w:val="24"/>
          <w:szCs w:val="24"/>
        </w:rPr>
        <w:fldChar w:fldCharType="separate"/>
      </w:r>
      <w:r>
        <w:rPr>
          <w:rFonts w:hint="eastAsia" w:ascii="华文宋体" w:hAnsi="华文宋体" w:eastAsia="华文宋体" w:cs="华文宋体"/>
          <w:sz w:val="24"/>
          <w:szCs w:val="24"/>
        </w:rPr>
        <w:t>1146</w:t>
      </w:r>
      <w:r>
        <w:rPr>
          <w:rFonts w:hint="eastAsia" w:ascii="华文宋体" w:hAnsi="华文宋体" w:eastAsia="华文宋体" w:cs="华文宋体"/>
          <w:sz w:val="24"/>
          <w:szCs w:val="24"/>
        </w:rPr>
        <w:fldChar w:fldCharType="end"/>
      </w:r>
      <w:r>
        <w:rPr>
          <w:rFonts w:hint="eastAsia" w:ascii="华文宋体" w:hAnsi="华文宋体" w:eastAsia="华文宋体" w:cs="华文宋体"/>
          <w:sz w:val="24"/>
          <w:szCs w:val="24"/>
        </w:rPr>
        <w:fldChar w:fldCharType="end"/>
      </w:r>
    </w:p>
    <w:p w14:paraId="4217A3D9">
      <w:pPr>
        <w:pStyle w:val="19"/>
        <w:tabs>
          <w:tab w:val="right" w:leader="middleDot" w:pos="8295"/>
          <w:tab w:val="clear" w:pos="8296"/>
        </w:tabs>
        <w:rPr>
          <w:rStyle w:val="26"/>
        </w:rPr>
      </w:pPr>
    </w:p>
    <w:p w14:paraId="5F603F20">
      <w:pPr>
        <w:pStyle w:val="19"/>
        <w:tabs>
          <w:tab w:val="right" w:leader="middleDot" w:pos="8295"/>
          <w:tab w:val="clear" w:pos="8296"/>
        </w:tabs>
        <w:rPr>
          <w:rStyle w:val="26"/>
        </w:rPr>
      </w:pPr>
      <w:r>
        <w:fldChar w:fldCharType="begin"/>
      </w:r>
      <w:r>
        <w:instrText xml:space="preserve">HYPERLINK  \l "_Toc428781833" </w:instrText>
      </w:r>
      <w:r>
        <w:fldChar w:fldCharType="separate"/>
      </w:r>
      <w:r>
        <w:rPr>
          <w:rStyle w:val="26"/>
          <w:rFonts w:hint="eastAsia"/>
        </w:rPr>
        <w:t>（八）工</w:t>
      </w:r>
      <w:r>
        <w:rPr>
          <w:rStyle w:val="26"/>
        </w:rPr>
        <w:t xml:space="preserve">  </w:t>
      </w:r>
      <w:r>
        <w:rPr>
          <w:rStyle w:val="26"/>
          <w:rFonts w:hint="eastAsia"/>
        </w:rPr>
        <w:t>资</w:t>
      </w:r>
      <w:r>
        <w:fldChar w:fldCharType="end"/>
      </w:r>
    </w:p>
    <w:p w14:paraId="7CC148FF"/>
    <w:p w14:paraId="3F90EF8A">
      <w:pPr>
        <w:tabs>
          <w:tab w:val="right" w:leader="middleDot" w:pos="8295"/>
        </w:tabs>
        <w:ind w:firstLine="0" w:firstLineChars="0"/>
        <w:jc w:val="left"/>
        <w:rPr>
          <w:rFonts w:hint="eastAsia" w:ascii="Calibri" w:hAnsi="Calibri" w:eastAsia="宋体" w:cs="黑体"/>
          <w:lang w:eastAsia="zh-CN"/>
        </w:rPr>
      </w:pPr>
      <w:r>
        <w:rPr>
          <w:rFonts w:hint="eastAsia"/>
        </w:rPr>
        <w:t>北京市最低工资规定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1150</w:t>
      </w:r>
    </w:p>
    <w:p w14:paraId="1592B315">
      <w:pPr>
        <w:pStyle w:val="9"/>
        <w:tabs>
          <w:tab w:val="right" w:leader="middleDot" w:pos="8295"/>
          <w:tab w:val="clear" w:pos="8296"/>
        </w:tabs>
        <w:rPr>
          <w:rFonts w:ascii="Calibri" w:hAnsi="Calibri" w:eastAsia="宋体" w:cs="黑体"/>
        </w:rPr>
      </w:pPr>
      <w:r>
        <w:fldChar w:fldCharType="begin"/>
      </w:r>
      <w:r>
        <w:instrText xml:space="preserve">HYPERLINK  \l "_Toc428781835" </w:instrText>
      </w:r>
      <w:r>
        <w:fldChar w:fldCharType="separate"/>
      </w:r>
      <w:r>
        <w:rPr>
          <w:rStyle w:val="26"/>
          <w:rFonts w:hint="eastAsia"/>
        </w:rPr>
        <w:t>北京市工资支付规定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_Toc428781835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1152</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19AC7BE3">
      <w:pPr>
        <w:pStyle w:val="19"/>
        <w:tabs>
          <w:tab w:val="right" w:leader="middleDot" w:pos="8295"/>
          <w:tab w:val="clear" w:pos="8296"/>
        </w:tabs>
        <w:rPr>
          <w:rStyle w:val="26"/>
        </w:rPr>
      </w:pPr>
    </w:p>
    <w:p w14:paraId="5D62121C">
      <w:pPr>
        <w:pStyle w:val="19"/>
        <w:tabs>
          <w:tab w:val="right" w:leader="middleDot" w:pos="8295"/>
          <w:tab w:val="clear" w:pos="8296"/>
        </w:tabs>
        <w:rPr>
          <w:rStyle w:val="26"/>
        </w:rPr>
      </w:pPr>
    </w:p>
    <w:p w14:paraId="23FEC49D">
      <w:pPr>
        <w:pStyle w:val="19"/>
        <w:tabs>
          <w:tab w:val="right" w:leader="middleDot" w:pos="8295"/>
          <w:tab w:val="clear" w:pos="8296"/>
        </w:tabs>
        <w:rPr>
          <w:rStyle w:val="26"/>
        </w:rPr>
      </w:pPr>
      <w:r>
        <w:fldChar w:fldCharType="begin"/>
      </w:r>
      <w:r>
        <w:instrText xml:space="preserve">HYPERLINK  \l "_Toc428781836" </w:instrText>
      </w:r>
      <w:r>
        <w:fldChar w:fldCharType="separate"/>
      </w:r>
      <w:r>
        <w:rPr>
          <w:rStyle w:val="26"/>
          <w:rFonts w:hint="eastAsia"/>
        </w:rPr>
        <w:t>（九）城市管理</w:t>
      </w:r>
      <w:r>
        <w:fldChar w:fldCharType="end"/>
      </w:r>
    </w:p>
    <w:p w14:paraId="2397AC89"/>
    <w:p w14:paraId="3CEED759">
      <w:pPr>
        <w:pStyle w:val="9"/>
        <w:tabs>
          <w:tab w:val="right" w:leader="middleDot" w:pos="8295"/>
          <w:tab w:val="clear" w:pos="8296"/>
        </w:tabs>
        <w:rPr>
          <w:rFonts w:ascii="Calibri" w:hAnsi="Calibri" w:eastAsia="宋体" w:cs="黑体"/>
        </w:rPr>
      </w:pPr>
      <w:r>
        <w:fldChar w:fldCharType="begin"/>
      </w:r>
      <w:r>
        <w:instrText xml:space="preserve">HYPERLINK  \l "_Toc428781837" </w:instrText>
      </w:r>
      <w:r>
        <w:fldChar w:fldCharType="separate"/>
      </w:r>
      <w:r>
        <w:rPr>
          <w:rStyle w:val="26"/>
          <w:rFonts w:hint="eastAsia"/>
        </w:rPr>
        <w:t>北京市市容环境卫生条例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_Toc428781837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1157</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5B03D5D2">
      <w:pPr>
        <w:pStyle w:val="9"/>
        <w:tabs>
          <w:tab w:val="right" w:leader="middleDot" w:pos="8295"/>
          <w:tab w:val="clear" w:pos="8296"/>
        </w:tabs>
        <w:rPr>
          <w:rFonts w:ascii="Calibri" w:hAnsi="Calibri" w:eastAsia="宋体" w:cs="黑体"/>
        </w:rPr>
      </w:pPr>
      <w:r>
        <w:fldChar w:fldCharType="begin"/>
      </w:r>
      <w:r>
        <w:instrText xml:space="preserve">HYPERLINK  \l "_Toc428781838" </w:instrText>
      </w:r>
      <w:r>
        <w:fldChar w:fldCharType="separate"/>
      </w:r>
      <w:r>
        <w:rPr>
          <w:rStyle w:val="26"/>
          <w:rFonts w:hint="eastAsia"/>
        </w:rPr>
        <w:t>北京市无障碍设施建设和管理条例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_Toc428781838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1169</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18176AB1">
      <w:pPr>
        <w:pStyle w:val="9"/>
        <w:tabs>
          <w:tab w:val="right" w:leader="middleDot" w:pos="8295"/>
          <w:tab w:val="clear" w:pos="8296"/>
        </w:tabs>
        <w:rPr>
          <w:rFonts w:ascii="Calibri" w:hAnsi="Calibri" w:eastAsia="宋体" w:cs="黑体"/>
        </w:rPr>
      </w:pPr>
      <w:r>
        <w:fldChar w:fldCharType="begin"/>
      </w:r>
      <w:r>
        <w:instrText xml:space="preserve">HYPERLINK  \l "_Toc428781839" </w:instrText>
      </w:r>
      <w:r>
        <w:fldChar w:fldCharType="separate"/>
      </w:r>
      <w:r>
        <w:rPr>
          <w:rStyle w:val="26"/>
          <w:rFonts w:hint="eastAsia"/>
        </w:rPr>
        <w:t>北京市生活垃圾管理条例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_Toc428781839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1173</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18A22083">
      <w:pPr>
        <w:pStyle w:val="9"/>
        <w:tabs>
          <w:tab w:val="right" w:leader="middleDot" w:pos="8295"/>
          <w:tab w:val="clear" w:pos="8296"/>
        </w:tabs>
        <w:rPr>
          <w:rFonts w:ascii="Calibri" w:hAnsi="Calibri" w:eastAsia="宋体" w:cs="黑体"/>
        </w:rPr>
      </w:pPr>
      <w:r>
        <w:fldChar w:fldCharType="begin"/>
      </w:r>
      <w:r>
        <w:instrText xml:space="preserve">HYPERLINK  \l "_Toc428781840" </w:instrText>
      </w:r>
      <w:r>
        <w:fldChar w:fldCharType="separate"/>
      </w:r>
      <w:r>
        <w:rPr>
          <w:rStyle w:val="26"/>
          <w:rFonts w:hint="eastAsia"/>
        </w:rPr>
        <w:t>北京市中水设施建设管理试行办法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_Toc428781840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1184</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0DBA7E76">
      <w:pPr>
        <w:pStyle w:val="9"/>
        <w:tabs>
          <w:tab w:val="right" w:leader="middleDot" w:pos="8295"/>
          <w:tab w:val="clear" w:pos="8296"/>
        </w:tabs>
        <w:rPr>
          <w:rFonts w:ascii="Calibri" w:hAnsi="Calibri" w:eastAsia="宋体" w:cs="黑体"/>
        </w:rPr>
      </w:pPr>
      <w:r>
        <w:fldChar w:fldCharType="begin"/>
      </w:r>
      <w:r>
        <w:instrText xml:space="preserve">HYPERLINK  \l "_Toc428781841" </w:instrText>
      </w:r>
      <w:r>
        <w:fldChar w:fldCharType="separate"/>
      </w:r>
      <w:r>
        <w:rPr>
          <w:rStyle w:val="26"/>
          <w:rFonts w:hint="eastAsia"/>
        </w:rPr>
        <w:t>北京市人民政府关于加强建设</w:t>
      </w:r>
      <w:r>
        <w:fldChar w:fldCharType="end"/>
      </w:r>
      <w:r>
        <w:fldChar w:fldCharType="begin"/>
      </w:r>
      <w:r>
        <w:instrText xml:space="preserve">HYPERLINK  \l "_Toc428781842" </w:instrText>
      </w:r>
      <w:r>
        <w:fldChar w:fldCharType="separate"/>
      </w:r>
      <w:r>
        <w:rPr>
          <w:rStyle w:val="26"/>
          <w:rFonts w:hint="eastAsia"/>
        </w:rPr>
        <w:t>单位代征的城市绿化用地管理的若干规定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_Toc428781842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1186</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AF0541F">
      <w:pPr>
        <w:pStyle w:val="9"/>
        <w:tabs>
          <w:tab w:val="right" w:leader="middleDot" w:pos="8295"/>
          <w:tab w:val="clear" w:pos="8296"/>
        </w:tabs>
        <w:rPr>
          <w:rFonts w:ascii="Calibri" w:hAnsi="Calibri" w:eastAsia="宋体" w:cs="黑体"/>
        </w:rPr>
      </w:pPr>
      <w:r>
        <w:fldChar w:fldCharType="begin"/>
      </w:r>
      <w:r>
        <w:instrText xml:space="preserve">HYPERLINK  \l "_Toc428781843" </w:instrText>
      </w:r>
      <w:r>
        <w:fldChar w:fldCharType="separate"/>
      </w:r>
      <w:r>
        <w:rPr>
          <w:rStyle w:val="26"/>
          <w:rFonts w:hint="eastAsia"/>
        </w:rPr>
        <w:t>北京市用水单位水量平衡测试管理规定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_Toc428781843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1187</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5022568D">
      <w:pPr>
        <w:pStyle w:val="9"/>
        <w:tabs>
          <w:tab w:val="right" w:leader="middleDot" w:pos="8295"/>
          <w:tab w:val="clear" w:pos="8296"/>
        </w:tabs>
        <w:rPr>
          <w:rFonts w:hint="eastAsia" w:ascii="创艺简中圆" w:hAnsi="创艺简中圆" w:eastAsia="创艺简中圆" w:cs="创艺简中圆"/>
          <w:kern w:val="2"/>
          <w:sz w:val="21"/>
          <w:szCs w:val="22"/>
          <w:lang w:val="en-US" w:eastAsia="zh-CN" w:bidi="ar-SA"/>
        </w:rPr>
      </w:pPr>
      <w:r>
        <w:fldChar w:fldCharType="begin"/>
      </w:r>
      <w:r>
        <w:instrText xml:space="preserve">HYPERLINK  \l "_Toc428781844" </w:instrText>
      </w:r>
      <w:r>
        <w:fldChar w:fldCharType="separate"/>
      </w:r>
      <w:r>
        <w:rPr>
          <w:rStyle w:val="26"/>
          <w:rFonts w:hint="eastAsia"/>
        </w:rPr>
        <w:t>北京市城市雕塑建设管理暂行规定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_Toc428781844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1188</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7E062081">
      <w:pPr>
        <w:pStyle w:val="9"/>
        <w:tabs>
          <w:tab w:val="right" w:leader="middleDot" w:pos="8295"/>
          <w:tab w:val="clear" w:pos="8296"/>
        </w:tabs>
        <w:rPr>
          <w:rFonts w:ascii="Calibri" w:hAnsi="Calibri" w:eastAsia="宋体" w:cs="黑体"/>
        </w:rPr>
      </w:pPr>
      <w:r>
        <w:fldChar w:fldCharType="begin"/>
      </w:r>
      <w:r>
        <w:instrText xml:space="preserve">HYPERLINK  \l "_Toc428781845" </w:instrText>
      </w:r>
      <w:r>
        <w:fldChar w:fldCharType="separate"/>
      </w:r>
      <w:r>
        <w:rPr>
          <w:rStyle w:val="26"/>
          <w:rFonts w:hint="eastAsia"/>
        </w:rPr>
        <w:t>北京市城市道路和公共场所</w:t>
      </w:r>
      <w:r>
        <w:fldChar w:fldCharType="end"/>
      </w:r>
      <w:r>
        <w:fldChar w:fldCharType="begin"/>
      </w:r>
      <w:r>
        <w:instrText xml:space="preserve">HYPERLINK  \l "_Toc428781846" </w:instrText>
      </w:r>
      <w:r>
        <w:fldChar w:fldCharType="separate"/>
      </w:r>
      <w:r>
        <w:rPr>
          <w:rStyle w:val="26"/>
          <w:rFonts w:hint="eastAsia"/>
        </w:rPr>
        <w:t>环境卫生管理若干规定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_Toc428781846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1189</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A68DCCF">
      <w:pPr>
        <w:pStyle w:val="9"/>
        <w:tabs>
          <w:tab w:val="right" w:leader="middleDot" w:pos="8295"/>
          <w:tab w:val="clear" w:pos="8296"/>
        </w:tabs>
        <w:rPr>
          <w:rFonts w:ascii="Calibri" w:hAnsi="Calibri" w:eastAsia="宋体" w:cs="黑体"/>
        </w:rPr>
      </w:pPr>
      <w:r>
        <w:fldChar w:fldCharType="begin"/>
      </w:r>
      <w:r>
        <w:instrText xml:space="preserve">HYPERLINK  \l "_Toc428781847" </w:instrText>
      </w:r>
      <w:r>
        <w:fldChar w:fldCharType="separate"/>
      </w:r>
      <w:r>
        <w:rPr>
          <w:rStyle w:val="26"/>
          <w:rFonts w:hint="eastAsia"/>
        </w:rPr>
        <w:t>北京市地下设施检查井井盖管理规定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_Toc428781847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1191</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784502F0">
      <w:pPr>
        <w:pStyle w:val="9"/>
        <w:tabs>
          <w:tab w:val="right" w:leader="middleDot" w:pos="8295"/>
          <w:tab w:val="clear" w:pos="8296"/>
        </w:tabs>
        <w:rPr>
          <w:rFonts w:ascii="Calibri" w:hAnsi="Calibri" w:eastAsia="宋体" w:cs="黑体"/>
        </w:rPr>
      </w:pPr>
      <w:r>
        <w:fldChar w:fldCharType="begin"/>
      </w:r>
      <w:r>
        <w:instrText xml:space="preserve">HYPERLINK  \l "_Toc428781848" </w:instrText>
      </w:r>
      <w:r>
        <w:fldChar w:fldCharType="separate"/>
      </w:r>
      <w:r>
        <w:rPr>
          <w:rStyle w:val="26"/>
          <w:rFonts w:hint="eastAsia"/>
        </w:rPr>
        <w:t>北京市城市公共供水管理办法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_Toc428781848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1193</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13E2D28C">
      <w:pPr>
        <w:pStyle w:val="9"/>
        <w:tabs>
          <w:tab w:val="right" w:leader="middleDot" w:pos="8295"/>
          <w:tab w:val="clear" w:pos="8296"/>
        </w:tabs>
        <w:rPr>
          <w:rFonts w:ascii="Calibri" w:hAnsi="Calibri" w:eastAsia="宋体" w:cs="黑体"/>
        </w:rPr>
      </w:pPr>
      <w:r>
        <w:fldChar w:fldCharType="begin"/>
      </w:r>
      <w:r>
        <w:instrText xml:space="preserve">HYPERLINK  \l "_Toc428781849" </w:instrText>
      </w:r>
      <w:r>
        <w:fldChar w:fldCharType="separate"/>
      </w:r>
      <w:r>
        <w:rPr>
          <w:rStyle w:val="26"/>
          <w:rFonts w:hint="eastAsia"/>
        </w:rPr>
        <w:t>北京市人民政府关于扫雪铲冰管理的规定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_Toc428781849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1197</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1F3FCD3">
      <w:pPr>
        <w:pStyle w:val="9"/>
        <w:tabs>
          <w:tab w:val="right" w:leader="middleDot" w:pos="8295"/>
          <w:tab w:val="clear" w:pos="8296"/>
        </w:tabs>
        <w:rPr>
          <w:rFonts w:ascii="Calibri" w:hAnsi="Calibri" w:eastAsia="宋体" w:cs="黑体"/>
        </w:rPr>
      </w:pPr>
      <w:r>
        <w:fldChar w:fldCharType="begin"/>
      </w:r>
      <w:r>
        <w:instrText xml:space="preserve">HYPERLINK  \l "_Toc428781850" </w:instrText>
      </w:r>
      <w:r>
        <w:fldChar w:fldCharType="separate"/>
      </w:r>
      <w:r>
        <w:rPr>
          <w:rStyle w:val="26"/>
          <w:rFonts w:hint="eastAsia"/>
        </w:rPr>
        <w:t>北京市人民政府关于加强垃圾渣土管理的规定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_Toc428781850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1198</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4253E72F">
      <w:pPr>
        <w:pStyle w:val="9"/>
        <w:tabs>
          <w:tab w:val="right" w:leader="middleDot" w:pos="8295"/>
          <w:tab w:val="clear" w:pos="8296"/>
        </w:tabs>
        <w:rPr>
          <w:rFonts w:ascii="Calibri" w:hAnsi="Calibri" w:eastAsia="宋体" w:cs="黑体"/>
        </w:rPr>
      </w:pPr>
      <w:r>
        <w:fldChar w:fldCharType="begin"/>
      </w:r>
      <w:r>
        <w:instrText xml:space="preserve">HYPERLINK  \l "_Toc428781851" </w:instrText>
      </w:r>
      <w:r>
        <w:fldChar w:fldCharType="separate"/>
      </w:r>
      <w:r>
        <w:rPr>
          <w:rStyle w:val="26"/>
          <w:rFonts w:hint="eastAsia"/>
        </w:rPr>
        <w:t>北京市“门前三包”责任制管理办法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_Toc428781851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1201</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2CF93606">
      <w:pPr>
        <w:pStyle w:val="9"/>
        <w:tabs>
          <w:tab w:val="right" w:leader="middleDot" w:pos="8295"/>
          <w:tab w:val="clear" w:pos="8296"/>
        </w:tabs>
        <w:rPr>
          <w:rFonts w:ascii="Calibri" w:hAnsi="Calibri" w:eastAsia="宋体" w:cs="黑体"/>
        </w:rPr>
      </w:pPr>
      <w:r>
        <w:fldChar w:fldCharType="begin"/>
      </w:r>
      <w:r>
        <w:instrText xml:space="preserve">HYPERLINK  \l "_Toc428781852" </w:instrText>
      </w:r>
      <w:r>
        <w:fldChar w:fldCharType="separate"/>
      </w:r>
      <w:r>
        <w:rPr>
          <w:rStyle w:val="26"/>
          <w:rFonts w:hint="eastAsia"/>
        </w:rPr>
        <w:t>北京市城市建筑物外立面保持整洁管理规定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_Toc428781852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1203</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43B717E9">
      <w:pPr>
        <w:pStyle w:val="9"/>
        <w:tabs>
          <w:tab w:val="right" w:leader="middleDot" w:pos="8295"/>
          <w:tab w:val="clear" w:pos="8296"/>
        </w:tabs>
        <w:rPr>
          <w:rFonts w:ascii="Calibri" w:hAnsi="Calibri" w:eastAsia="宋体" w:cs="黑体"/>
        </w:rPr>
      </w:pPr>
      <w:r>
        <w:fldChar w:fldCharType="begin"/>
      </w:r>
      <w:r>
        <w:instrText xml:space="preserve">HYPERLINK  \l "_Toc428781853" </w:instrText>
      </w:r>
      <w:r>
        <w:fldChar w:fldCharType="separate"/>
      </w:r>
      <w:r>
        <w:rPr>
          <w:rStyle w:val="26"/>
          <w:rFonts w:hint="eastAsia"/>
        </w:rPr>
        <w:t>北京市禁止露天烧烤食品的规定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_Toc428781853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1205</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7CA6DF2B">
      <w:pPr>
        <w:pStyle w:val="9"/>
        <w:tabs>
          <w:tab w:val="right" w:leader="middleDot" w:pos="8295"/>
          <w:tab w:val="clear" w:pos="8296"/>
        </w:tabs>
        <w:rPr>
          <w:rFonts w:ascii="Calibri" w:hAnsi="Calibri" w:eastAsia="宋体" w:cs="黑体"/>
        </w:rPr>
      </w:pPr>
      <w:r>
        <w:fldChar w:fldCharType="begin"/>
      </w:r>
      <w:r>
        <w:instrText xml:space="preserve">HYPERLINK  \l "_Toc428781854" </w:instrText>
      </w:r>
      <w:r>
        <w:fldChar w:fldCharType="separate"/>
      </w:r>
      <w:r>
        <w:rPr>
          <w:rStyle w:val="26"/>
          <w:rFonts w:hint="eastAsia"/>
        </w:rPr>
        <w:t>北京市标语宣传品设置管理规定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_Toc428781854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1206</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3E2F11FF">
      <w:pPr>
        <w:pStyle w:val="9"/>
        <w:tabs>
          <w:tab w:val="right" w:leader="middleDot" w:pos="8295"/>
          <w:tab w:val="clear" w:pos="8296"/>
        </w:tabs>
        <w:rPr>
          <w:rFonts w:ascii="Calibri" w:hAnsi="Calibri" w:eastAsia="宋体" w:cs="黑体"/>
        </w:rPr>
      </w:pPr>
      <w:r>
        <w:fldChar w:fldCharType="begin"/>
      </w:r>
      <w:r>
        <w:instrText xml:space="preserve">HYPERLINK  \l "_Toc428781855" </w:instrText>
      </w:r>
      <w:r>
        <w:fldChar w:fldCharType="separate"/>
      </w:r>
      <w:r>
        <w:rPr>
          <w:rStyle w:val="26"/>
          <w:rFonts w:hint="eastAsia"/>
        </w:rPr>
        <w:t>北京市自建设施供水管理办法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_Toc428781855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1209</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41233CD">
      <w:pPr>
        <w:pStyle w:val="9"/>
        <w:tabs>
          <w:tab w:val="right" w:leader="middleDot" w:pos="8295"/>
          <w:tab w:val="clear" w:pos="8296"/>
        </w:tabs>
        <w:rPr>
          <w:rFonts w:ascii="Calibri" w:hAnsi="Calibri" w:eastAsia="宋体" w:cs="黑体"/>
        </w:rPr>
      </w:pPr>
      <w:r>
        <w:fldChar w:fldCharType="begin"/>
      </w:r>
      <w:r>
        <w:instrText xml:space="preserve">HYPERLINK  \l "_Toc428781856" </w:instrText>
      </w:r>
      <w:r>
        <w:fldChar w:fldCharType="separate"/>
      </w:r>
      <w:r>
        <w:rPr>
          <w:rStyle w:val="26"/>
          <w:rFonts w:hint="eastAsia"/>
        </w:rPr>
        <w:t>北京市实施城市管理相对集中</w:t>
      </w:r>
      <w:r>
        <w:fldChar w:fldCharType="end"/>
      </w:r>
      <w:r>
        <w:fldChar w:fldCharType="begin"/>
      </w:r>
      <w:r>
        <w:instrText xml:space="preserve">HYPERLINK  \l "_Toc428781857" </w:instrText>
      </w:r>
      <w:r>
        <w:fldChar w:fldCharType="separate"/>
      </w:r>
      <w:r>
        <w:rPr>
          <w:rStyle w:val="26"/>
          <w:rFonts w:hint="eastAsia"/>
        </w:rPr>
        <w:t>行政处罚权办法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_Toc428781857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1212</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0638F7B6">
      <w:pPr>
        <w:pStyle w:val="9"/>
        <w:tabs>
          <w:tab w:val="right" w:leader="middleDot" w:pos="8295"/>
          <w:tab w:val="clear" w:pos="8296"/>
        </w:tabs>
        <w:rPr>
          <w:rFonts w:ascii="Calibri" w:hAnsi="Calibri" w:eastAsia="宋体" w:cs="黑体"/>
        </w:rPr>
      </w:pPr>
      <w:r>
        <w:fldChar w:fldCharType="begin"/>
      </w:r>
      <w:r>
        <w:instrText xml:space="preserve">HYPERLINK  \l "_Toc428781858" </w:instrText>
      </w:r>
      <w:r>
        <w:fldChar w:fldCharType="separate"/>
      </w:r>
      <w:r>
        <w:rPr>
          <w:rStyle w:val="26"/>
          <w:rFonts w:hint="eastAsia"/>
        </w:rPr>
        <w:t>北京市公共厕所管理办法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_Toc428781858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1216</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7FA63942">
      <w:pPr>
        <w:pStyle w:val="9"/>
        <w:tabs>
          <w:tab w:val="right" w:leader="middleDot" w:pos="8295"/>
          <w:tab w:val="clear" w:pos="8296"/>
        </w:tabs>
        <w:rPr>
          <w:rFonts w:ascii="Calibri" w:hAnsi="Calibri" w:eastAsia="宋体" w:cs="黑体"/>
        </w:rPr>
      </w:pPr>
      <w:r>
        <w:fldChar w:fldCharType="begin"/>
      </w:r>
      <w:r>
        <w:instrText xml:space="preserve">HYPERLINK  \l "_Toc428781859" </w:instrText>
      </w:r>
      <w:r>
        <w:fldChar w:fldCharType="separate"/>
      </w:r>
      <w:r>
        <w:rPr>
          <w:rStyle w:val="26"/>
          <w:rFonts w:hint="eastAsia"/>
        </w:rPr>
        <w:t>北京市排水和再生水管理办法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_Toc428781859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1219</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24D337D">
      <w:pPr>
        <w:pStyle w:val="9"/>
        <w:tabs>
          <w:tab w:val="right" w:leader="middleDot" w:pos="8295"/>
          <w:tab w:val="clear" w:pos="8296"/>
        </w:tabs>
        <w:rPr>
          <w:rFonts w:ascii="Calibri" w:hAnsi="Calibri" w:eastAsia="宋体" w:cs="黑体"/>
        </w:rPr>
      </w:pPr>
      <w:r>
        <w:fldChar w:fldCharType="begin"/>
      </w:r>
      <w:r>
        <w:instrText xml:space="preserve">HYPERLINK  \l "_Toc428781860" </w:instrText>
      </w:r>
      <w:r>
        <w:fldChar w:fldCharType="separate"/>
      </w:r>
      <w:r>
        <w:rPr>
          <w:rStyle w:val="26"/>
          <w:rFonts w:hint="eastAsia"/>
        </w:rPr>
        <w:t>北京市供热采暖管理办法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_Toc428781860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1225</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7EF2D134">
      <w:pPr>
        <w:pStyle w:val="9"/>
        <w:tabs>
          <w:tab w:val="right" w:leader="middleDot" w:pos="8295"/>
          <w:tab w:val="clear" w:pos="8296"/>
        </w:tabs>
        <w:rPr>
          <w:rFonts w:ascii="Calibri" w:hAnsi="Calibri" w:eastAsia="宋体" w:cs="黑体"/>
        </w:rPr>
      </w:pPr>
      <w:r>
        <w:fldChar w:fldCharType="begin"/>
      </w:r>
      <w:r>
        <w:instrText xml:space="preserve">HYPERLINK  \l "_Toc428781861" </w:instrText>
      </w:r>
      <w:r>
        <w:fldChar w:fldCharType="separate"/>
      </w:r>
      <w:r>
        <w:rPr>
          <w:rStyle w:val="26"/>
          <w:rFonts w:hint="eastAsia"/>
        </w:rPr>
        <w:t>北京市架空线管理若干规定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_Toc428781861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1231</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469B5FD4">
      <w:pPr>
        <w:pStyle w:val="9"/>
        <w:tabs>
          <w:tab w:val="right" w:leader="middleDot" w:pos="8295"/>
          <w:tab w:val="clear" w:pos="8296"/>
        </w:tabs>
        <w:rPr>
          <w:rFonts w:ascii="Calibri" w:hAnsi="Calibri" w:eastAsia="宋体" w:cs="黑体"/>
        </w:rPr>
      </w:pPr>
      <w:r>
        <w:fldChar w:fldCharType="begin"/>
      </w:r>
      <w:r>
        <w:instrText xml:space="preserve">HYPERLINK  \l "_Toc428781862" </w:instrText>
      </w:r>
      <w:r>
        <w:fldChar w:fldCharType="separate"/>
      </w:r>
      <w:r>
        <w:rPr>
          <w:rStyle w:val="26"/>
          <w:rFonts w:hint="eastAsia"/>
        </w:rPr>
        <w:t>北京市门楼牌管理办法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_Toc428781862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1234</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4E83C74F">
      <w:pPr>
        <w:pStyle w:val="19"/>
        <w:tabs>
          <w:tab w:val="right" w:leader="middleDot" w:pos="8295"/>
          <w:tab w:val="clear" w:pos="8296"/>
        </w:tabs>
        <w:rPr>
          <w:rStyle w:val="26"/>
        </w:rPr>
      </w:pPr>
    </w:p>
    <w:p w14:paraId="1B30FF3F">
      <w:pPr>
        <w:pStyle w:val="19"/>
        <w:tabs>
          <w:tab w:val="right" w:leader="middleDot" w:pos="8295"/>
          <w:tab w:val="clear" w:pos="8296"/>
        </w:tabs>
        <w:rPr>
          <w:rStyle w:val="26"/>
        </w:rPr>
      </w:pPr>
      <w:r>
        <w:fldChar w:fldCharType="begin"/>
      </w:r>
      <w:r>
        <w:instrText xml:space="preserve">HYPERLINK  \l "_Toc428781863" </w:instrText>
      </w:r>
      <w:r>
        <w:fldChar w:fldCharType="separate"/>
      </w:r>
      <w:r>
        <w:rPr>
          <w:rStyle w:val="26"/>
          <w:rFonts w:hint="eastAsia"/>
        </w:rPr>
        <w:t>（十）医药卫生</w:t>
      </w:r>
      <w:r>
        <w:fldChar w:fldCharType="end"/>
      </w:r>
    </w:p>
    <w:p w14:paraId="3C9FE247"/>
    <w:p w14:paraId="0A65C891">
      <w:pPr>
        <w:pStyle w:val="9"/>
        <w:tabs>
          <w:tab w:val="right" w:leader="middleDot" w:pos="8295"/>
          <w:tab w:val="clear" w:pos="8296"/>
        </w:tabs>
        <w:rPr>
          <w:rFonts w:ascii="Calibri" w:hAnsi="Calibri" w:eastAsia="宋体" w:cs="黑体"/>
        </w:rPr>
      </w:pPr>
      <w:r>
        <w:fldChar w:fldCharType="begin"/>
      </w:r>
      <w:r>
        <w:instrText xml:space="preserve">HYPERLINK  \l "_Toc428781864" </w:instrText>
      </w:r>
      <w:r>
        <w:fldChar w:fldCharType="separate"/>
      </w:r>
      <w:r>
        <w:rPr>
          <w:rStyle w:val="26"/>
          <w:rFonts w:hint="eastAsia"/>
        </w:rPr>
        <w:t>北京市实施《中华人民共和国母婴保健法》办法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_Toc428781864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1237</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06FDCC9C">
      <w:pPr>
        <w:pStyle w:val="9"/>
        <w:tabs>
          <w:tab w:val="right" w:leader="middleDot" w:pos="8295"/>
          <w:tab w:val="clear" w:pos="8296"/>
        </w:tabs>
        <w:rPr>
          <w:rFonts w:ascii="Calibri" w:hAnsi="Calibri" w:eastAsia="宋体" w:cs="黑体"/>
        </w:rPr>
      </w:pPr>
      <w:r>
        <w:fldChar w:fldCharType="begin"/>
      </w:r>
      <w:r>
        <w:instrText xml:space="preserve">HYPERLINK  \l "_Toc428781865" </w:instrText>
      </w:r>
      <w:r>
        <w:fldChar w:fldCharType="separate"/>
      </w:r>
      <w:r>
        <w:rPr>
          <w:rStyle w:val="26"/>
          <w:rFonts w:hint="eastAsia"/>
        </w:rPr>
        <w:t>北京市生活饮用水卫生监督管理条例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_Toc428781865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1242</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575827ED">
      <w:pPr>
        <w:pStyle w:val="9"/>
        <w:tabs>
          <w:tab w:val="right" w:leader="middleDot" w:pos="8295"/>
          <w:tab w:val="clear" w:pos="8296"/>
        </w:tabs>
        <w:rPr>
          <w:rFonts w:ascii="Calibri" w:hAnsi="Calibri" w:eastAsia="宋体" w:cs="黑体"/>
        </w:rPr>
      </w:pPr>
      <w:r>
        <w:fldChar w:fldCharType="begin"/>
      </w:r>
      <w:r>
        <w:instrText xml:space="preserve">HYPERLINK  \l "_Toc428781866" </w:instrText>
      </w:r>
      <w:r>
        <w:fldChar w:fldCharType="separate"/>
      </w:r>
      <w:r>
        <w:rPr>
          <w:rStyle w:val="26"/>
          <w:rFonts w:hint="eastAsia"/>
        </w:rPr>
        <w:t>北京市发展中医条例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_Toc428781866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1246</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017F73D7">
      <w:pPr>
        <w:tabs>
          <w:tab w:val="right" w:leader="middleDot" w:pos="8295"/>
        </w:tabs>
        <w:ind w:firstLine="0" w:firstLineChars="0"/>
        <w:jc w:val="left"/>
        <w:rPr>
          <w:rFonts w:hint="eastAsia"/>
        </w:rPr>
      </w:pPr>
      <w:r>
        <w:rPr>
          <w:rFonts w:hint="eastAsia"/>
        </w:rPr>
        <w:t>北京市人口与计划生育条例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1250</w:t>
      </w:r>
    </w:p>
    <w:p w14:paraId="78F0A1D9">
      <w:pPr>
        <w:pStyle w:val="9"/>
        <w:tabs>
          <w:tab w:val="right" w:leader="middleDot" w:pos="8295"/>
          <w:tab w:val="clear" w:pos="8296"/>
        </w:tabs>
        <w:rPr>
          <w:rFonts w:ascii="Calibri" w:hAnsi="Calibri" w:eastAsia="宋体" w:cs="黑体"/>
        </w:rPr>
      </w:pPr>
      <w:r>
        <w:fldChar w:fldCharType="begin"/>
      </w:r>
      <w:r>
        <w:instrText xml:space="preserve">HYPERLINK  \l "_Toc428781868" </w:instrText>
      </w:r>
      <w:r>
        <w:fldChar w:fldCharType="separate"/>
      </w:r>
      <w:r>
        <w:rPr>
          <w:rStyle w:val="26"/>
          <w:rFonts w:hint="eastAsia"/>
        </w:rPr>
        <w:t>北京市精神卫生条例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_Toc428781868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1256</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0664634C">
      <w:pPr>
        <w:pStyle w:val="9"/>
        <w:tabs>
          <w:tab w:val="right" w:leader="middleDot" w:pos="8295"/>
          <w:tab w:val="clear" w:pos="8296"/>
        </w:tabs>
        <w:rPr>
          <w:rFonts w:ascii="Calibri" w:hAnsi="Calibri" w:eastAsia="宋体" w:cs="黑体"/>
        </w:rPr>
      </w:pPr>
      <w:r>
        <w:fldChar w:fldCharType="begin"/>
      </w:r>
      <w:r>
        <w:instrText xml:space="preserve">HYPERLINK  \l "_Toc428781869" </w:instrText>
      </w:r>
      <w:r>
        <w:fldChar w:fldCharType="separate"/>
      </w:r>
      <w:r>
        <w:rPr>
          <w:rStyle w:val="26"/>
          <w:rFonts w:hint="eastAsia"/>
        </w:rPr>
        <w:t>北京市控制吸烟条例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_Toc428781869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1263</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39E04757">
      <w:pPr>
        <w:pStyle w:val="9"/>
        <w:tabs>
          <w:tab w:val="right" w:leader="middleDot" w:pos="8295"/>
          <w:tab w:val="clear" w:pos="8296"/>
        </w:tabs>
        <w:rPr>
          <w:rFonts w:hint="eastAsia" w:ascii="创艺简中圆" w:hAnsi="创艺简中圆" w:eastAsia="创艺简中圆" w:cs="创艺简中圆"/>
          <w:kern w:val="2"/>
          <w:sz w:val="21"/>
          <w:szCs w:val="22"/>
          <w:lang w:val="en-US" w:eastAsia="zh-CN" w:bidi="ar-SA"/>
        </w:rPr>
      </w:pPr>
      <w:r>
        <w:fldChar w:fldCharType="begin"/>
      </w:r>
      <w:r>
        <w:instrText xml:space="preserve">HYPERLINK  \l "_Toc428781870" </w:instrText>
      </w:r>
      <w:r>
        <w:fldChar w:fldCharType="separate"/>
      </w:r>
      <w:r>
        <w:rPr>
          <w:rStyle w:val="26"/>
          <w:rFonts w:hint="eastAsia"/>
        </w:rPr>
        <w:t>北京市暂住人口计划生育管理办法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_Toc428781870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1267</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36F6771">
      <w:pPr>
        <w:pStyle w:val="9"/>
        <w:tabs>
          <w:tab w:val="right" w:leader="middleDot" w:pos="8295"/>
          <w:tab w:val="clear" w:pos="8296"/>
        </w:tabs>
        <w:rPr>
          <w:rFonts w:ascii="Calibri" w:hAnsi="Calibri" w:eastAsia="宋体" w:cs="黑体"/>
        </w:rPr>
      </w:pPr>
      <w:r>
        <w:fldChar w:fldCharType="begin"/>
      </w:r>
      <w:r>
        <w:instrText xml:space="preserve">HYPERLINK  \l "_Toc428781871" </w:instrText>
      </w:r>
      <w:r>
        <w:fldChar w:fldCharType="separate"/>
      </w:r>
      <w:r>
        <w:rPr>
          <w:rStyle w:val="26"/>
          <w:rFonts w:hint="eastAsia"/>
        </w:rPr>
        <w:t>北京市实施《食盐加碘消除碘缺乏</w:t>
      </w:r>
      <w:r>
        <w:fldChar w:fldCharType="end"/>
      </w:r>
      <w:r>
        <w:fldChar w:fldCharType="begin"/>
      </w:r>
      <w:r>
        <w:instrText xml:space="preserve">HYPERLINK  \l "_Toc428781872" </w:instrText>
      </w:r>
      <w:r>
        <w:fldChar w:fldCharType="separate"/>
      </w:r>
      <w:r>
        <w:rPr>
          <w:rStyle w:val="26"/>
          <w:rFonts w:hint="eastAsia"/>
        </w:rPr>
        <w:t>危害管理条例》办法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_Toc428781872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1269</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213120A9">
      <w:pPr>
        <w:pStyle w:val="9"/>
        <w:tabs>
          <w:tab w:val="right" w:leader="middleDot" w:pos="8295"/>
          <w:tab w:val="clear" w:pos="8296"/>
        </w:tabs>
        <w:rPr>
          <w:rFonts w:ascii="Calibri" w:hAnsi="Calibri" w:eastAsia="宋体" w:cs="黑体"/>
        </w:rPr>
      </w:pPr>
      <w:r>
        <w:fldChar w:fldCharType="begin"/>
      </w:r>
      <w:r>
        <w:instrText xml:space="preserve">HYPERLINK  \l "_Toc428781873" </w:instrText>
      </w:r>
      <w:r>
        <w:fldChar w:fldCharType="separate"/>
      </w:r>
      <w:r>
        <w:rPr>
          <w:rStyle w:val="26"/>
          <w:rFonts w:hint="eastAsia"/>
        </w:rPr>
        <w:t>北京市除四害工作管理规定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_Toc428781873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1271</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BAE1276">
      <w:pPr>
        <w:pStyle w:val="9"/>
        <w:tabs>
          <w:tab w:val="right" w:leader="middleDot" w:pos="8295"/>
          <w:tab w:val="clear" w:pos="8296"/>
        </w:tabs>
        <w:rPr>
          <w:rFonts w:ascii="Calibri" w:hAnsi="Calibri" w:eastAsia="宋体" w:cs="黑体"/>
        </w:rPr>
      </w:pPr>
      <w:r>
        <w:fldChar w:fldCharType="begin"/>
      </w:r>
      <w:r>
        <w:instrText xml:space="preserve">HYPERLINK  \l "_Toc428781874" </w:instrText>
      </w:r>
      <w:r>
        <w:fldChar w:fldCharType="separate"/>
      </w:r>
      <w:r>
        <w:rPr>
          <w:rStyle w:val="26"/>
          <w:rFonts w:hint="eastAsia"/>
        </w:rPr>
        <w:t>北京市生育服务证管理办法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_Toc428781874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1274</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C59A9A6">
      <w:pPr>
        <w:pStyle w:val="9"/>
        <w:tabs>
          <w:tab w:val="right" w:leader="middleDot" w:pos="8295"/>
          <w:tab w:val="clear" w:pos="8296"/>
        </w:tabs>
        <w:rPr>
          <w:rFonts w:ascii="Calibri" w:hAnsi="Calibri" w:eastAsia="宋体" w:cs="黑体"/>
        </w:rPr>
      </w:pPr>
      <w:r>
        <w:fldChar w:fldCharType="begin"/>
      </w:r>
      <w:r>
        <w:instrText xml:space="preserve">HYPERLINK  \l "_Toc428781875" </w:instrText>
      </w:r>
      <w:r>
        <w:fldChar w:fldCharType="separate"/>
      </w:r>
      <w:r>
        <w:rPr>
          <w:rStyle w:val="26"/>
          <w:rFonts w:hint="eastAsia"/>
        </w:rPr>
        <w:t>北京市社会抚养费征收管理办法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_Toc428781875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1276</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7110238B">
      <w:pPr>
        <w:pStyle w:val="9"/>
        <w:tabs>
          <w:tab w:val="right" w:leader="middleDot" w:pos="8295"/>
          <w:tab w:val="clear" w:pos="8296"/>
        </w:tabs>
        <w:rPr>
          <w:rFonts w:ascii="Calibri" w:hAnsi="Calibri" w:eastAsia="宋体" w:cs="黑体"/>
        </w:rPr>
      </w:pPr>
      <w:r>
        <w:fldChar w:fldCharType="begin"/>
      </w:r>
      <w:r>
        <w:instrText xml:space="preserve">HYPERLINK  \l "_Toc428781876" </w:instrText>
      </w:r>
      <w:r>
        <w:fldChar w:fldCharType="separate"/>
      </w:r>
      <w:r>
        <w:rPr>
          <w:rStyle w:val="26"/>
          <w:rFonts w:hint="eastAsia"/>
        </w:rPr>
        <w:t>北京市流动人口计划生育管理规定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_Toc428781876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1278</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14067F3">
      <w:pPr>
        <w:pStyle w:val="9"/>
        <w:tabs>
          <w:tab w:val="right" w:leader="middleDot" w:pos="8295"/>
          <w:tab w:val="clear" w:pos="8296"/>
        </w:tabs>
        <w:rPr>
          <w:rFonts w:ascii="Calibri" w:hAnsi="Calibri" w:eastAsia="宋体" w:cs="黑体"/>
        </w:rPr>
      </w:pPr>
      <w:r>
        <w:fldChar w:fldCharType="begin"/>
      </w:r>
      <w:r>
        <w:instrText xml:space="preserve">HYPERLINK  \l "_Toc428781877" </w:instrText>
      </w:r>
      <w:r>
        <w:fldChar w:fldCharType="separate"/>
      </w:r>
      <w:r>
        <w:rPr>
          <w:rStyle w:val="26"/>
          <w:rFonts w:hint="eastAsia"/>
        </w:rPr>
        <w:t>北京市公共场所禁止吸烟范围若干规定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_Toc428781877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1281</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7CE0209D">
      <w:pPr>
        <w:pStyle w:val="9"/>
        <w:tabs>
          <w:tab w:val="right" w:leader="middleDot" w:pos="8295"/>
          <w:tab w:val="clear" w:pos="8296"/>
        </w:tabs>
        <w:rPr>
          <w:rFonts w:ascii="Calibri" w:hAnsi="Calibri" w:eastAsia="宋体" w:cs="黑体"/>
        </w:rPr>
      </w:pPr>
      <w:r>
        <w:fldChar w:fldCharType="begin"/>
      </w:r>
      <w:r>
        <w:instrText xml:space="preserve">HYPERLINK  \l "_Toc428781878" </w:instrText>
      </w:r>
      <w:r>
        <w:fldChar w:fldCharType="separate"/>
      </w:r>
      <w:r>
        <w:rPr>
          <w:rStyle w:val="26"/>
          <w:rFonts w:hint="eastAsia"/>
        </w:rPr>
        <w:t>北京市献血管理办法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_Toc428781878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1283</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0B943346">
      <w:pPr>
        <w:pStyle w:val="9"/>
        <w:tabs>
          <w:tab w:val="right" w:leader="middleDot" w:pos="8295"/>
          <w:tab w:val="clear" w:pos="8296"/>
        </w:tabs>
        <w:rPr>
          <w:rFonts w:ascii="Calibri" w:hAnsi="Calibri" w:eastAsia="宋体" w:cs="黑体"/>
        </w:rPr>
      </w:pPr>
      <w:r>
        <w:fldChar w:fldCharType="begin"/>
      </w:r>
      <w:r>
        <w:instrText xml:space="preserve">HYPERLINK  \l "_Toc428781879" </w:instrText>
      </w:r>
      <w:r>
        <w:fldChar w:fldCharType="separate"/>
      </w:r>
      <w:r>
        <w:rPr>
          <w:rStyle w:val="26"/>
          <w:rFonts w:hint="eastAsia"/>
        </w:rPr>
        <w:t>北京市集中空调通风系统卫生管理办法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_Toc428781879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1286</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423F4EB9">
      <w:pPr>
        <w:pStyle w:val="19"/>
        <w:tabs>
          <w:tab w:val="right" w:leader="middleDot" w:pos="8295"/>
          <w:tab w:val="clear" w:pos="8296"/>
        </w:tabs>
        <w:rPr>
          <w:rStyle w:val="26"/>
        </w:rPr>
      </w:pPr>
    </w:p>
    <w:p w14:paraId="247C9785">
      <w:pPr>
        <w:pStyle w:val="19"/>
        <w:tabs>
          <w:tab w:val="right" w:leader="middleDot" w:pos="8295"/>
          <w:tab w:val="clear" w:pos="8296"/>
        </w:tabs>
        <w:rPr>
          <w:rStyle w:val="26"/>
        </w:rPr>
      </w:pPr>
      <w:r>
        <w:fldChar w:fldCharType="begin"/>
      </w:r>
      <w:r>
        <w:instrText xml:space="preserve">HYPERLINK  \l "_Toc428781880" </w:instrText>
      </w:r>
      <w:r>
        <w:fldChar w:fldCharType="separate"/>
      </w:r>
      <w:r>
        <w:rPr>
          <w:rStyle w:val="26"/>
          <w:rFonts w:hint="eastAsia"/>
        </w:rPr>
        <w:t>（十一）食品安全</w:t>
      </w:r>
      <w:r>
        <w:fldChar w:fldCharType="end"/>
      </w:r>
    </w:p>
    <w:p w14:paraId="66F40696"/>
    <w:p w14:paraId="775193E1">
      <w:pPr>
        <w:pStyle w:val="9"/>
        <w:tabs>
          <w:tab w:val="right" w:leader="middleDot" w:pos="8295"/>
          <w:tab w:val="clear" w:pos="8296"/>
        </w:tabs>
        <w:rPr>
          <w:rFonts w:ascii="Calibri" w:hAnsi="Calibri" w:eastAsia="宋体" w:cs="黑体"/>
        </w:rPr>
      </w:pPr>
      <w:r>
        <w:fldChar w:fldCharType="begin"/>
      </w:r>
      <w:r>
        <w:instrText xml:space="preserve">HYPERLINK  \l "_Toc428781881" </w:instrText>
      </w:r>
      <w:r>
        <w:fldChar w:fldCharType="separate"/>
      </w:r>
      <w:r>
        <w:rPr>
          <w:rStyle w:val="26"/>
          <w:rFonts w:hint="eastAsia"/>
        </w:rPr>
        <w:t>北京市食品安全条例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_Toc428781881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1289</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44E31120">
      <w:pPr>
        <w:pStyle w:val="9"/>
        <w:tabs>
          <w:tab w:val="right" w:leader="middleDot" w:pos="8295"/>
          <w:tab w:val="clear" w:pos="8296"/>
        </w:tabs>
        <w:rPr>
          <w:rStyle w:val="26"/>
        </w:rPr>
      </w:pPr>
      <w:r>
        <w:fldChar w:fldCharType="begin"/>
      </w:r>
      <w:r>
        <w:instrText xml:space="preserve">HYPERLINK  \l "_Toc428781882" </w:instrText>
      </w:r>
      <w:r>
        <w:fldChar w:fldCharType="separate"/>
      </w:r>
      <w:r>
        <w:rPr>
          <w:rStyle w:val="26"/>
          <w:rFonts w:hint="eastAsia"/>
        </w:rPr>
        <w:t>北京市食品安全监督管理规定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_Toc428781882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1303</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3C83F527"/>
    <w:p w14:paraId="05D4D8E6">
      <w:pPr>
        <w:pStyle w:val="19"/>
        <w:tabs>
          <w:tab w:val="right" w:leader="middleDot" w:pos="8295"/>
          <w:tab w:val="clear" w:pos="8296"/>
        </w:tabs>
        <w:rPr>
          <w:rStyle w:val="26"/>
        </w:rPr>
      </w:pPr>
      <w:r>
        <w:fldChar w:fldCharType="begin"/>
      </w:r>
      <w:r>
        <w:instrText xml:space="preserve">HYPERLINK  \l "_Toc428781883" </w:instrText>
      </w:r>
      <w:r>
        <w:fldChar w:fldCharType="separate"/>
      </w:r>
      <w:r>
        <w:rPr>
          <w:rStyle w:val="26"/>
          <w:rFonts w:hint="eastAsia"/>
        </w:rPr>
        <w:t>（十二）社</w:t>
      </w:r>
      <w:r>
        <w:rPr>
          <w:rStyle w:val="26"/>
        </w:rPr>
        <w:t xml:space="preserve">  </w:t>
      </w:r>
      <w:r>
        <w:rPr>
          <w:rStyle w:val="26"/>
          <w:rFonts w:hint="eastAsia"/>
        </w:rPr>
        <w:t>区</w:t>
      </w:r>
      <w:r>
        <w:fldChar w:fldCharType="end"/>
      </w:r>
    </w:p>
    <w:p w14:paraId="3CE20317"/>
    <w:p w14:paraId="2DE083D1">
      <w:pPr>
        <w:pStyle w:val="9"/>
        <w:tabs>
          <w:tab w:val="right" w:leader="middleDot" w:pos="8295"/>
          <w:tab w:val="clear" w:pos="8296"/>
        </w:tabs>
        <w:rPr>
          <w:rFonts w:ascii="Calibri" w:hAnsi="Calibri" w:eastAsia="宋体" w:cs="黑体"/>
        </w:rPr>
      </w:pPr>
      <w:r>
        <w:fldChar w:fldCharType="begin"/>
      </w:r>
      <w:r>
        <w:instrText xml:space="preserve">HYPERLINK  \l "_Toc428781884" </w:instrText>
      </w:r>
      <w:r>
        <w:fldChar w:fldCharType="separate"/>
      </w:r>
      <w:r>
        <w:rPr>
          <w:rStyle w:val="26"/>
          <w:rFonts w:hint="eastAsia"/>
        </w:rPr>
        <w:t>北京市社区服务设施管理若干规定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_Toc428781884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1307</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316BBB51">
      <w:pPr>
        <w:pStyle w:val="9"/>
        <w:tabs>
          <w:tab w:val="right" w:leader="middleDot" w:pos="8295"/>
          <w:tab w:val="clear" w:pos="8296"/>
        </w:tabs>
        <w:rPr>
          <w:rFonts w:ascii="Calibri" w:hAnsi="Calibri" w:eastAsia="宋体" w:cs="黑体"/>
        </w:rPr>
      </w:pPr>
      <w:r>
        <w:fldChar w:fldCharType="begin"/>
      </w:r>
      <w:r>
        <w:instrText xml:space="preserve">HYPERLINK  \l "_Toc428781885" </w:instrText>
      </w:r>
      <w:r>
        <w:fldChar w:fldCharType="separate"/>
      </w:r>
      <w:r>
        <w:rPr>
          <w:rStyle w:val="26"/>
          <w:rFonts w:hint="eastAsia"/>
        </w:rPr>
        <w:t>关于利用单位内部设施开展社区服务的若干规定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_Toc428781885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1309</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7B554E93">
      <w:pPr>
        <w:pStyle w:val="9"/>
        <w:tabs>
          <w:tab w:val="right" w:leader="middleDot" w:pos="8295"/>
          <w:tab w:val="clear" w:pos="8296"/>
        </w:tabs>
        <w:rPr>
          <w:rStyle w:val="26"/>
        </w:rPr>
      </w:pPr>
      <w:r>
        <w:fldChar w:fldCharType="begin"/>
      </w:r>
      <w:r>
        <w:instrText xml:space="preserve">HYPERLINK  \l "_Toc428781886" </w:instrText>
      </w:r>
      <w:r>
        <w:fldChar w:fldCharType="separate"/>
      </w:r>
      <w:r>
        <w:rPr>
          <w:rStyle w:val="26"/>
          <w:rFonts w:hint="eastAsia"/>
        </w:rPr>
        <w:t>北京市社区居民委员会办公用房管理若干规定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_Toc428781886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1311</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2DA94945"/>
    <w:p w14:paraId="04719E43">
      <w:pPr>
        <w:pStyle w:val="19"/>
        <w:tabs>
          <w:tab w:val="right" w:leader="middleDot" w:pos="8295"/>
          <w:tab w:val="clear" w:pos="8296"/>
        </w:tabs>
        <w:rPr>
          <w:rStyle w:val="26"/>
        </w:rPr>
      </w:pPr>
      <w:r>
        <w:fldChar w:fldCharType="begin"/>
      </w:r>
      <w:r>
        <w:instrText xml:space="preserve">HYPERLINK  \l "_Toc428781887" </w:instrText>
      </w:r>
      <w:r>
        <w:fldChar w:fldCharType="separate"/>
      </w:r>
      <w:r>
        <w:rPr>
          <w:rStyle w:val="26"/>
          <w:rFonts w:hint="eastAsia"/>
        </w:rPr>
        <w:t>（十三）区域管理</w:t>
      </w:r>
      <w:r>
        <w:fldChar w:fldCharType="end"/>
      </w:r>
    </w:p>
    <w:p w14:paraId="1D955B44"/>
    <w:p w14:paraId="5FF560F7">
      <w:pPr>
        <w:pStyle w:val="9"/>
        <w:tabs>
          <w:tab w:val="right" w:leader="middleDot" w:pos="8295"/>
          <w:tab w:val="clear" w:pos="8296"/>
        </w:tabs>
        <w:rPr>
          <w:rFonts w:ascii="Calibri" w:hAnsi="Calibri" w:eastAsia="宋体" w:cs="黑体"/>
        </w:rPr>
      </w:pPr>
      <w:r>
        <w:fldChar w:fldCharType="begin"/>
      </w:r>
      <w:r>
        <w:instrText xml:space="preserve">HYPERLINK  \l "_Toc428781888" </w:instrText>
      </w:r>
      <w:r>
        <w:fldChar w:fldCharType="separate"/>
      </w:r>
      <w:r>
        <w:rPr>
          <w:rStyle w:val="26"/>
          <w:rFonts w:hint="eastAsia"/>
        </w:rPr>
        <w:t>北京市王府井步行街地区管理规定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_Toc428781888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1312</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3B8C080">
      <w:pPr>
        <w:pStyle w:val="9"/>
        <w:tabs>
          <w:tab w:val="right" w:leader="middleDot" w:pos="8295"/>
          <w:tab w:val="clear" w:pos="8296"/>
        </w:tabs>
        <w:rPr>
          <w:rFonts w:ascii="Calibri" w:hAnsi="Calibri" w:eastAsia="宋体" w:cs="黑体"/>
        </w:rPr>
      </w:pPr>
      <w:r>
        <w:fldChar w:fldCharType="begin"/>
      </w:r>
      <w:r>
        <w:instrText xml:space="preserve">HYPERLINK  \l "_Toc428781889" </w:instrText>
      </w:r>
      <w:r>
        <w:fldChar w:fldCharType="separate"/>
      </w:r>
      <w:r>
        <w:rPr>
          <w:rStyle w:val="26"/>
          <w:rFonts w:hint="eastAsia"/>
        </w:rPr>
        <w:t>北京市天安门地区管理规定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_Toc428781889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1314</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10B73C00">
      <w:pPr>
        <w:pStyle w:val="19"/>
        <w:tabs>
          <w:tab w:val="right" w:leader="middleDot" w:pos="8295"/>
          <w:tab w:val="clear" w:pos="8296"/>
        </w:tabs>
        <w:rPr>
          <w:rStyle w:val="26"/>
        </w:rPr>
      </w:pPr>
    </w:p>
    <w:p w14:paraId="1474EE1D">
      <w:pPr>
        <w:pStyle w:val="19"/>
        <w:tabs>
          <w:tab w:val="right" w:leader="middleDot" w:pos="8295"/>
          <w:tab w:val="clear" w:pos="8296"/>
        </w:tabs>
        <w:rPr>
          <w:rStyle w:val="26"/>
        </w:rPr>
      </w:pPr>
      <w:r>
        <w:fldChar w:fldCharType="begin"/>
      </w:r>
      <w:r>
        <w:instrText xml:space="preserve">HYPERLINK  \l "_Toc428781890" </w:instrText>
      </w:r>
      <w:r>
        <w:fldChar w:fldCharType="separate"/>
      </w:r>
      <w:r>
        <w:rPr>
          <w:rStyle w:val="26"/>
          <w:rFonts w:hint="eastAsia"/>
        </w:rPr>
        <w:t>（十四）其</w:t>
      </w:r>
      <w:r>
        <w:rPr>
          <w:rStyle w:val="26"/>
        </w:rPr>
        <w:t xml:space="preserve">  </w:t>
      </w:r>
      <w:r>
        <w:rPr>
          <w:rStyle w:val="26"/>
          <w:rFonts w:hint="eastAsia"/>
        </w:rPr>
        <w:t>他</w:t>
      </w:r>
      <w:r>
        <w:fldChar w:fldCharType="end"/>
      </w:r>
    </w:p>
    <w:p w14:paraId="61250E33"/>
    <w:p w14:paraId="7633EB33">
      <w:pPr>
        <w:pStyle w:val="9"/>
        <w:tabs>
          <w:tab w:val="right" w:leader="middleDot" w:pos="8295"/>
          <w:tab w:val="clear" w:pos="8296"/>
        </w:tabs>
        <w:rPr>
          <w:rStyle w:val="26"/>
        </w:rPr>
      </w:pPr>
      <w:r>
        <w:fldChar w:fldCharType="begin"/>
      </w:r>
      <w:r>
        <w:instrText xml:space="preserve">HYPERLINK  \l "_Toc428781891" </w:instrText>
      </w:r>
      <w:r>
        <w:fldChar w:fldCharType="separate"/>
      </w:r>
      <w:r>
        <w:rPr>
          <w:rStyle w:val="26"/>
          <w:rFonts w:hint="eastAsia"/>
        </w:rPr>
        <w:t>北京市组织机构代码管理办法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_Toc428781891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1316</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1AD7B9A8"/>
    <w:p w14:paraId="34E40C80">
      <w:pPr>
        <w:pStyle w:val="15"/>
        <w:tabs>
          <w:tab w:val="right" w:leader="middleDot" w:pos="8295"/>
          <w:tab w:val="clear" w:pos="8296"/>
        </w:tabs>
        <w:rPr>
          <w:rStyle w:val="26"/>
        </w:rPr>
      </w:pPr>
      <w:r>
        <w:fldChar w:fldCharType="begin"/>
      </w:r>
      <w:r>
        <w:instrText xml:space="preserve">HYPERLINK  \l "_Toc428781892" </w:instrText>
      </w:r>
      <w:r>
        <w:fldChar w:fldCharType="separate"/>
      </w:r>
      <w:r>
        <w:rPr>
          <w:rStyle w:val="26"/>
          <w:rFonts w:hint="eastAsia"/>
        </w:rPr>
        <w:t>五、生</w:t>
      </w:r>
      <w:r>
        <w:rPr>
          <w:rStyle w:val="26"/>
        </w:rPr>
        <w:t xml:space="preserve"> </w:t>
      </w:r>
      <w:r>
        <w:rPr>
          <w:rStyle w:val="26"/>
          <w:rFonts w:hint="eastAsia"/>
        </w:rPr>
        <w:t>态</w:t>
      </w:r>
      <w:r>
        <w:rPr>
          <w:rStyle w:val="26"/>
        </w:rPr>
        <w:t xml:space="preserve"> </w:t>
      </w:r>
      <w:r>
        <w:rPr>
          <w:rStyle w:val="26"/>
          <w:rFonts w:hint="eastAsia"/>
        </w:rPr>
        <w:t>文</w:t>
      </w:r>
      <w:r>
        <w:rPr>
          <w:rStyle w:val="26"/>
        </w:rPr>
        <w:t xml:space="preserve"> </w:t>
      </w:r>
      <w:r>
        <w:rPr>
          <w:rStyle w:val="26"/>
          <w:rFonts w:hint="eastAsia"/>
        </w:rPr>
        <w:t>明</w:t>
      </w:r>
      <w:r>
        <w:fldChar w:fldCharType="end"/>
      </w:r>
    </w:p>
    <w:p w14:paraId="187DEF5F"/>
    <w:p w14:paraId="1AACB0AF">
      <w:pPr>
        <w:pStyle w:val="19"/>
        <w:tabs>
          <w:tab w:val="right" w:leader="middleDot" w:pos="8295"/>
          <w:tab w:val="clear" w:pos="8296"/>
        </w:tabs>
        <w:rPr>
          <w:rStyle w:val="26"/>
        </w:rPr>
      </w:pPr>
      <w:r>
        <w:fldChar w:fldCharType="begin"/>
      </w:r>
      <w:r>
        <w:instrText xml:space="preserve">HYPERLINK  \l "_Toc428781893" </w:instrText>
      </w:r>
      <w:r>
        <w:fldChar w:fldCharType="separate"/>
      </w:r>
      <w:r>
        <w:rPr>
          <w:rStyle w:val="26"/>
          <w:rFonts w:hint="eastAsia"/>
        </w:rPr>
        <w:t>（一）国土资源</w:t>
      </w:r>
      <w:r>
        <w:fldChar w:fldCharType="end"/>
      </w:r>
    </w:p>
    <w:p w14:paraId="6C20AAF4"/>
    <w:p w14:paraId="4357FC40">
      <w:pPr>
        <w:pStyle w:val="9"/>
        <w:tabs>
          <w:tab w:val="right" w:leader="middleDot" w:pos="8295"/>
          <w:tab w:val="clear" w:pos="8296"/>
        </w:tabs>
        <w:rPr>
          <w:rFonts w:ascii="Calibri" w:hAnsi="Calibri" w:eastAsia="宋体" w:cs="黑体"/>
        </w:rPr>
      </w:pPr>
      <w:r>
        <w:fldChar w:fldCharType="begin"/>
      </w:r>
      <w:r>
        <w:instrText xml:space="preserve">HYPERLINK  \l "_Toc428781894" </w:instrText>
      </w:r>
      <w:r>
        <w:fldChar w:fldCharType="separate"/>
      </w:r>
      <w:r>
        <w:rPr>
          <w:rStyle w:val="26"/>
          <w:rFonts w:hint="eastAsia"/>
        </w:rPr>
        <w:t>北京市实施《中华人民共和国土地管理法》办法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_Toc428781894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1323</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284E5AC3">
      <w:pPr>
        <w:tabs>
          <w:tab w:val="right" w:leader="middleDot" w:pos="8295"/>
        </w:tabs>
        <w:ind w:firstLine="0" w:firstLineChars="0"/>
        <w:jc w:val="left"/>
        <w:rPr>
          <w:rFonts w:ascii="Calibri" w:hAnsi="Calibri" w:eastAsia="宋体" w:cs="黑体"/>
        </w:rPr>
      </w:pPr>
      <w:r>
        <w:rPr>
          <w:rFonts w:hint="eastAsia"/>
        </w:rPr>
        <w:t>北京市实施《中华人民共和国矿山安全法》办法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1330</w:t>
      </w:r>
    </w:p>
    <w:p w14:paraId="1D7AD430">
      <w:pPr>
        <w:pStyle w:val="9"/>
        <w:tabs>
          <w:tab w:val="right" w:leader="middleDot" w:pos="8295"/>
          <w:tab w:val="clear" w:pos="8296"/>
        </w:tabs>
        <w:rPr>
          <w:rFonts w:ascii="Calibri" w:hAnsi="Calibri" w:eastAsia="宋体" w:cs="黑体"/>
        </w:rPr>
      </w:pPr>
      <w:r>
        <w:fldChar w:fldCharType="begin"/>
      </w:r>
      <w:r>
        <w:instrText xml:space="preserve">HYPERLINK  \l "_Toc428781896" </w:instrText>
      </w:r>
      <w:r>
        <w:fldChar w:fldCharType="separate"/>
      </w:r>
      <w:r>
        <w:rPr>
          <w:rStyle w:val="26"/>
          <w:rFonts w:hint="eastAsia"/>
        </w:rPr>
        <w:t>北京市矿产资源管理条例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_Toc428781896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1334</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00AAC0F7">
      <w:pPr>
        <w:pStyle w:val="9"/>
        <w:tabs>
          <w:tab w:val="right" w:leader="middleDot" w:pos="8295"/>
          <w:tab w:val="clear" w:pos="8296"/>
        </w:tabs>
        <w:rPr>
          <w:rFonts w:ascii="Calibri" w:hAnsi="Calibri" w:eastAsia="宋体" w:cs="黑体"/>
        </w:rPr>
      </w:pPr>
      <w:r>
        <w:fldChar w:fldCharType="begin"/>
      </w:r>
      <w:r>
        <w:instrText xml:space="preserve">HYPERLINK  \l "_Toc428781897" </w:instrText>
      </w:r>
      <w:r>
        <w:fldChar w:fldCharType="separate"/>
      </w:r>
      <w:r>
        <w:rPr>
          <w:rStyle w:val="26"/>
          <w:rFonts w:hint="eastAsia"/>
        </w:rPr>
        <w:t>北京市测绘条例</w:t>
      </w:r>
      <w:r>
        <w:rPr>
          <w:rFonts w:hint="eastAsi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_Toc428781897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1339</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5D6DB8F4">
      <w:pPr>
        <w:pStyle w:val="9"/>
        <w:tabs>
          <w:tab w:val="right" w:leader="middleDot" w:pos="8295"/>
          <w:tab w:val="clear" w:pos="8296"/>
        </w:tabs>
        <w:rPr>
          <w:rFonts w:ascii="Calibri" w:hAnsi="Calibri" w:eastAsia="宋体" w:cs="黑体"/>
        </w:rPr>
      </w:pPr>
      <w:r>
        <w:fldChar w:fldCharType="begin"/>
      </w:r>
      <w:r>
        <w:instrText xml:space="preserve">HYPERLINK  \l "_Toc428781898" </w:instrText>
      </w:r>
      <w:r>
        <w:fldChar w:fldCharType="separate"/>
      </w:r>
      <w:r>
        <w:rPr>
          <w:rStyle w:val="26"/>
          <w:rFonts w:hint="eastAsia"/>
        </w:rPr>
        <w:t>北京市河道砂石开采管理暂行规定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_Toc428781898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1346</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1A487C8D">
      <w:pPr>
        <w:pStyle w:val="9"/>
        <w:tabs>
          <w:tab w:val="right" w:leader="middleDot" w:pos="8295"/>
          <w:tab w:val="clear" w:pos="8296"/>
        </w:tabs>
        <w:rPr>
          <w:rFonts w:ascii="Calibri" w:hAnsi="Calibri" w:eastAsia="宋体" w:cs="黑体"/>
        </w:rPr>
      </w:pPr>
      <w:r>
        <w:fldChar w:fldCharType="begin"/>
      </w:r>
      <w:r>
        <w:instrText xml:space="preserve">HYPERLINK  \l "_Toc428781899" </w:instrText>
      </w:r>
      <w:r>
        <w:fldChar w:fldCharType="separate"/>
      </w:r>
      <w:r>
        <w:rPr>
          <w:rStyle w:val="26"/>
          <w:rFonts w:hint="eastAsia"/>
        </w:rPr>
        <w:t>北京市人民政府关于加强</w:t>
      </w:r>
      <w:r>
        <w:fldChar w:fldCharType="end"/>
      </w:r>
      <w:r>
        <w:fldChar w:fldCharType="begin"/>
      </w:r>
      <w:r>
        <w:instrText xml:space="preserve">HYPERLINK  \l "_Toc428781900" </w:instrText>
      </w:r>
      <w:r>
        <w:fldChar w:fldCharType="separate"/>
      </w:r>
      <w:r>
        <w:rPr>
          <w:rStyle w:val="26"/>
          <w:rFonts w:hint="eastAsia"/>
        </w:rPr>
        <w:t>农村村民建房用地管理若干规定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_Toc428781900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1347</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0BC6B48E">
      <w:pPr>
        <w:pStyle w:val="9"/>
        <w:tabs>
          <w:tab w:val="right" w:leader="middleDot" w:pos="8295"/>
          <w:tab w:val="clear" w:pos="8296"/>
        </w:tabs>
        <w:rPr>
          <w:rFonts w:ascii="Calibri" w:hAnsi="Calibri" w:eastAsia="宋体" w:cs="黑体"/>
        </w:rPr>
      </w:pPr>
      <w:r>
        <w:fldChar w:fldCharType="begin"/>
      </w:r>
      <w:r>
        <w:instrText xml:space="preserve">HYPERLINK  \l "_Toc428781901" </w:instrText>
      </w:r>
      <w:r>
        <w:fldChar w:fldCharType="separate"/>
      </w:r>
      <w:r>
        <w:rPr>
          <w:rStyle w:val="26"/>
          <w:rFonts w:hint="eastAsia"/>
        </w:rPr>
        <w:t>北京市实施《中华人民共和国城镇</w:t>
      </w:r>
      <w:r>
        <w:fldChar w:fldCharType="end"/>
      </w:r>
      <w:r>
        <w:fldChar w:fldCharType="begin"/>
      </w:r>
      <w:r>
        <w:instrText xml:space="preserve">HYPERLINK  \l "_Toc428781902" </w:instrText>
      </w:r>
      <w:r>
        <w:fldChar w:fldCharType="separate"/>
      </w:r>
      <w:r>
        <w:rPr>
          <w:rStyle w:val="26"/>
          <w:rFonts w:hint="eastAsia"/>
        </w:rPr>
        <w:t>国有土地使用权出让和转让暂行条例》办法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_Toc428781902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1349</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9850E12">
      <w:pPr>
        <w:pStyle w:val="9"/>
        <w:tabs>
          <w:tab w:val="right" w:leader="middleDot" w:pos="8295"/>
          <w:tab w:val="clear" w:pos="8296"/>
        </w:tabs>
        <w:rPr>
          <w:rFonts w:ascii="Calibri" w:hAnsi="Calibri" w:eastAsia="宋体" w:cs="黑体"/>
        </w:rPr>
      </w:pPr>
      <w:r>
        <w:fldChar w:fldCharType="begin"/>
      </w:r>
      <w:r>
        <w:instrText xml:space="preserve">HYPERLINK  \l "_Toc428781903" </w:instrText>
      </w:r>
      <w:r>
        <w:fldChar w:fldCharType="separate"/>
      </w:r>
      <w:r>
        <w:rPr>
          <w:rStyle w:val="26"/>
          <w:rFonts w:hint="eastAsia"/>
        </w:rPr>
        <w:t>北京市实施《矿产资源补偿费征收管理规定》办法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_Toc428781903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1353</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31B07965">
      <w:pPr>
        <w:pStyle w:val="9"/>
        <w:tabs>
          <w:tab w:val="right" w:leader="middleDot" w:pos="8295"/>
          <w:tab w:val="clear" w:pos="8296"/>
        </w:tabs>
        <w:rPr>
          <w:rFonts w:ascii="Calibri" w:hAnsi="Calibri" w:eastAsia="宋体" w:cs="黑体"/>
        </w:rPr>
      </w:pPr>
      <w:r>
        <w:fldChar w:fldCharType="begin"/>
      </w:r>
      <w:r>
        <w:instrText xml:space="preserve">HYPERLINK  \l "_Toc428781904" </w:instrText>
      </w:r>
      <w:r>
        <w:fldChar w:fldCharType="separate"/>
      </w:r>
      <w:r>
        <w:rPr>
          <w:rStyle w:val="26"/>
          <w:rFonts w:hint="eastAsia"/>
        </w:rPr>
        <w:t>北京市闲置土地处理办法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_Toc428781904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1355</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25F2878D">
      <w:pPr>
        <w:pStyle w:val="9"/>
        <w:tabs>
          <w:tab w:val="right" w:leader="middleDot" w:pos="8295"/>
          <w:tab w:val="clear" w:pos="8296"/>
        </w:tabs>
        <w:rPr>
          <w:rFonts w:ascii="Calibri" w:hAnsi="Calibri" w:eastAsia="宋体" w:cs="黑体"/>
        </w:rPr>
      </w:pPr>
      <w:r>
        <w:fldChar w:fldCharType="begin"/>
      </w:r>
      <w:r>
        <w:instrText xml:space="preserve">HYPERLINK  \l "_Toc428781905" </w:instrText>
      </w:r>
      <w:r>
        <w:fldChar w:fldCharType="separate"/>
      </w:r>
      <w:r>
        <w:rPr>
          <w:rStyle w:val="26"/>
          <w:rFonts w:hint="eastAsia"/>
        </w:rPr>
        <w:t>北京市违反土地管理规定行政责任追究办法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_Toc428781905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1357</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3DBB5ABE">
      <w:pPr>
        <w:pStyle w:val="19"/>
        <w:tabs>
          <w:tab w:val="right" w:leader="middleDot" w:pos="8295"/>
          <w:tab w:val="clear" w:pos="8296"/>
        </w:tabs>
        <w:rPr>
          <w:rStyle w:val="26"/>
        </w:rPr>
      </w:pPr>
    </w:p>
    <w:p w14:paraId="64DB8E3D">
      <w:pPr>
        <w:pStyle w:val="19"/>
        <w:tabs>
          <w:tab w:val="right" w:leader="middleDot" w:pos="8295"/>
          <w:tab w:val="clear" w:pos="8296"/>
        </w:tabs>
        <w:rPr>
          <w:rStyle w:val="26"/>
        </w:rPr>
      </w:pPr>
      <w:r>
        <w:fldChar w:fldCharType="begin"/>
      </w:r>
      <w:r>
        <w:instrText xml:space="preserve">HYPERLINK  \l "_Toc428781906" </w:instrText>
      </w:r>
      <w:r>
        <w:fldChar w:fldCharType="separate"/>
      </w:r>
      <w:r>
        <w:rPr>
          <w:rStyle w:val="26"/>
          <w:rFonts w:hint="eastAsia"/>
        </w:rPr>
        <w:t>（二）水资源</w:t>
      </w:r>
      <w:r>
        <w:fldChar w:fldCharType="end"/>
      </w:r>
    </w:p>
    <w:p w14:paraId="53BA3297"/>
    <w:p w14:paraId="112A2BE1">
      <w:pPr>
        <w:pStyle w:val="9"/>
        <w:tabs>
          <w:tab w:val="right" w:leader="middleDot" w:pos="8295"/>
          <w:tab w:val="clear" w:pos="8296"/>
        </w:tabs>
        <w:rPr>
          <w:rFonts w:ascii="Calibri" w:hAnsi="Calibri" w:eastAsia="宋体" w:cs="黑体"/>
        </w:rPr>
      </w:pPr>
      <w:r>
        <w:fldChar w:fldCharType="begin"/>
      </w:r>
      <w:r>
        <w:instrText xml:space="preserve">HYPERLINK  \l "_Toc428781907" </w:instrText>
      </w:r>
      <w:r>
        <w:fldChar w:fldCharType="separate"/>
      </w:r>
      <w:r>
        <w:rPr>
          <w:rStyle w:val="26"/>
          <w:rFonts w:hint="eastAsia"/>
        </w:rPr>
        <w:t>北京市实施《中华人民共和国水土保持法》办法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_Toc428781907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1361</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55CF863D">
      <w:pPr>
        <w:pStyle w:val="9"/>
        <w:tabs>
          <w:tab w:val="right" w:leader="middleDot" w:pos="8295"/>
          <w:tab w:val="clear" w:pos="8296"/>
        </w:tabs>
        <w:rPr>
          <w:rFonts w:ascii="Calibri" w:hAnsi="Calibri" w:eastAsia="宋体" w:cs="黑体"/>
        </w:rPr>
      </w:pPr>
      <w:r>
        <w:fldChar w:fldCharType="begin"/>
      </w:r>
      <w:r>
        <w:instrText xml:space="preserve">HYPERLINK  \l "_Toc428781908" </w:instrText>
      </w:r>
      <w:r>
        <w:fldChar w:fldCharType="separate"/>
      </w:r>
      <w:r>
        <w:rPr>
          <w:rStyle w:val="26"/>
          <w:rFonts w:hint="eastAsia"/>
        </w:rPr>
        <w:t>北京市实施《中华人民共和国水法》办法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_Toc428781908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1366</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0F30192C">
      <w:pPr>
        <w:pStyle w:val="9"/>
        <w:tabs>
          <w:tab w:val="right" w:leader="middleDot" w:pos="8295"/>
          <w:tab w:val="clear" w:pos="8296"/>
        </w:tabs>
        <w:rPr>
          <w:rFonts w:ascii="Calibri" w:hAnsi="Calibri" w:eastAsia="宋体" w:cs="黑体"/>
        </w:rPr>
      </w:pPr>
      <w:r>
        <w:fldChar w:fldCharType="begin"/>
      </w:r>
      <w:r>
        <w:instrText xml:space="preserve">HYPERLINK  \l "_Toc428781909" </w:instrText>
      </w:r>
      <w:r>
        <w:fldChar w:fldCharType="separate"/>
      </w:r>
      <w:r>
        <w:rPr>
          <w:rStyle w:val="26"/>
          <w:rFonts w:hint="eastAsia"/>
        </w:rPr>
        <w:t>北京市河湖保护管理条例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_Toc428781909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1373</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4952583E">
      <w:pPr>
        <w:tabs>
          <w:tab w:val="right" w:leader="middleDot" w:pos="8295"/>
        </w:tabs>
        <w:ind w:firstLine="0" w:firstLineChars="0"/>
        <w:jc w:val="left"/>
        <w:rPr>
          <w:rFonts w:hint="eastAsia" w:ascii="Calibri" w:hAnsi="Calibri" w:eastAsia="宋体" w:cs="黑体"/>
          <w:lang w:eastAsia="zh-CN"/>
        </w:rPr>
      </w:pPr>
      <w:r>
        <w:rPr>
          <w:rFonts w:hint="eastAsia"/>
        </w:rPr>
        <w:t>北京市城市自来水厂地下水源保护管理办法</w:t>
      </w:r>
      <w:r>
        <w:rPr>
          <w:rFonts w:hint="eastAsia"/>
        </w:rPr>
        <w:tab/>
      </w:r>
      <w:r>
        <w:rPr>
          <w:rFonts w:hint="eastAsia" w:ascii="华文宋体" w:hAnsi="华文宋体" w:eastAsia="华文宋体" w:cs="华文宋体"/>
          <w:kern w:val="2"/>
          <w:sz w:val="24"/>
          <w:szCs w:val="24"/>
          <w:lang w:val="en-US" w:eastAsia="zh-CN" w:bidi="ar-SA"/>
        </w:rPr>
        <w:t>1380</w:t>
      </w:r>
    </w:p>
    <w:p w14:paraId="08BBBA09">
      <w:pPr>
        <w:pStyle w:val="9"/>
        <w:tabs>
          <w:tab w:val="right" w:leader="middleDot" w:pos="8295"/>
          <w:tab w:val="clear" w:pos="8296"/>
        </w:tabs>
        <w:rPr>
          <w:rFonts w:ascii="Calibri" w:hAnsi="Calibri" w:eastAsia="宋体" w:cs="黑体"/>
        </w:rPr>
      </w:pPr>
      <w:r>
        <w:fldChar w:fldCharType="begin"/>
      </w:r>
      <w:r>
        <w:instrText xml:space="preserve">HYPERLINK  \l "_Toc428781911" </w:instrText>
      </w:r>
      <w:r>
        <w:fldChar w:fldCharType="separate"/>
      </w:r>
      <w:r>
        <w:rPr>
          <w:rStyle w:val="26"/>
          <w:rFonts w:hint="eastAsia"/>
        </w:rPr>
        <w:t>北京市节约用水办法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_Toc428781911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1383</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12CA8F48">
      <w:pPr>
        <w:pStyle w:val="9"/>
        <w:tabs>
          <w:tab w:val="right" w:leader="middleDot" w:pos="8295"/>
          <w:tab w:val="clear" w:pos="8296"/>
        </w:tabs>
        <w:rPr>
          <w:rFonts w:ascii="Calibri" w:hAnsi="Calibri" w:eastAsia="宋体" w:cs="黑体"/>
        </w:rPr>
      </w:pPr>
      <w:r>
        <w:fldChar w:fldCharType="begin"/>
      </w:r>
      <w:r>
        <w:instrText xml:space="preserve">HYPERLINK  \l "_Toc428781912" </w:instrText>
      </w:r>
      <w:r>
        <w:fldChar w:fldCharType="separate"/>
      </w:r>
      <w:r>
        <w:rPr>
          <w:rStyle w:val="26"/>
          <w:rFonts w:hint="eastAsia"/>
        </w:rPr>
        <w:t>《北京市实施〈中华人民共和国水土保持法〉办法》</w:t>
      </w:r>
      <w:r>
        <w:fldChar w:fldCharType="end"/>
      </w:r>
      <w:r>
        <w:fldChar w:fldCharType="begin"/>
      </w:r>
      <w:r>
        <w:instrText xml:space="preserve">HYPERLINK  \l "_Toc428781913" </w:instrText>
      </w:r>
      <w:r>
        <w:fldChar w:fldCharType="separate"/>
      </w:r>
      <w:r>
        <w:rPr>
          <w:rStyle w:val="26"/>
          <w:rFonts w:hint="eastAsia"/>
        </w:rPr>
        <w:t>罚款处罚规定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_Toc428781913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1391</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3A90537">
      <w:pPr>
        <w:pStyle w:val="19"/>
        <w:tabs>
          <w:tab w:val="right" w:leader="middleDot" w:pos="8295"/>
          <w:tab w:val="clear" w:pos="8296"/>
        </w:tabs>
        <w:rPr>
          <w:rStyle w:val="26"/>
        </w:rPr>
      </w:pPr>
    </w:p>
    <w:p w14:paraId="28D97C75">
      <w:pPr>
        <w:pStyle w:val="19"/>
        <w:tabs>
          <w:tab w:val="right" w:leader="middleDot" w:pos="8295"/>
          <w:tab w:val="clear" w:pos="8296"/>
        </w:tabs>
        <w:rPr>
          <w:rStyle w:val="26"/>
        </w:rPr>
      </w:pPr>
      <w:r>
        <w:fldChar w:fldCharType="begin"/>
      </w:r>
      <w:r>
        <w:instrText xml:space="preserve">HYPERLINK  \l "_Toc428781914" </w:instrText>
      </w:r>
      <w:r>
        <w:fldChar w:fldCharType="separate"/>
      </w:r>
      <w:r>
        <w:rPr>
          <w:rStyle w:val="26"/>
          <w:rFonts w:hint="eastAsia"/>
        </w:rPr>
        <w:t>（三）动植物资源</w:t>
      </w:r>
      <w:r>
        <w:fldChar w:fldCharType="end"/>
      </w:r>
    </w:p>
    <w:p w14:paraId="2CB11F7C"/>
    <w:p w14:paraId="12CB2A12">
      <w:pPr>
        <w:pStyle w:val="9"/>
        <w:tabs>
          <w:tab w:val="right" w:leader="middleDot" w:pos="8295"/>
          <w:tab w:val="clear" w:pos="8296"/>
        </w:tabs>
        <w:rPr>
          <w:rFonts w:ascii="Calibri" w:hAnsi="Calibri" w:eastAsia="宋体" w:cs="黑体"/>
        </w:rPr>
      </w:pPr>
      <w:r>
        <w:fldChar w:fldCharType="begin"/>
      </w:r>
      <w:r>
        <w:instrText xml:space="preserve">HYPERLINK  \l "_Toc428781915" </w:instrText>
      </w:r>
      <w:r>
        <w:fldChar w:fldCharType="separate"/>
      </w:r>
      <w:r>
        <w:rPr>
          <w:rStyle w:val="26"/>
          <w:rFonts w:hint="eastAsia"/>
        </w:rPr>
        <w:t>北京市实施《中华人民共和国野生动物保护法》办法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_Toc428781915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1392</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5EFB05D3">
      <w:pPr>
        <w:pStyle w:val="9"/>
        <w:tabs>
          <w:tab w:val="right" w:leader="middleDot" w:pos="8295"/>
          <w:tab w:val="clear" w:pos="8296"/>
        </w:tabs>
        <w:rPr>
          <w:rFonts w:ascii="Calibri" w:hAnsi="Calibri" w:eastAsia="宋体" w:cs="黑体"/>
        </w:rPr>
      </w:pPr>
      <w:r>
        <w:fldChar w:fldCharType="begin"/>
      </w:r>
      <w:r>
        <w:instrText xml:space="preserve">HYPERLINK  \l "_Toc428781916" </w:instrText>
      </w:r>
      <w:r>
        <w:fldChar w:fldCharType="separate"/>
      </w:r>
      <w:r>
        <w:rPr>
          <w:rStyle w:val="26"/>
          <w:rFonts w:hint="eastAsia"/>
        </w:rPr>
        <w:t>北京市古树名木保护管理条例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_Toc428781916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1395</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4CB0C495">
      <w:pPr>
        <w:pStyle w:val="9"/>
        <w:tabs>
          <w:tab w:val="right" w:leader="middleDot" w:pos="8295"/>
          <w:tab w:val="clear" w:pos="8296"/>
        </w:tabs>
        <w:rPr>
          <w:rFonts w:ascii="Calibri" w:hAnsi="Calibri" w:eastAsia="宋体" w:cs="黑体"/>
        </w:rPr>
      </w:pPr>
      <w:r>
        <w:fldChar w:fldCharType="begin"/>
      </w:r>
      <w:r>
        <w:instrText xml:space="preserve">HYPERLINK  \l "_Toc428781917" </w:instrText>
      </w:r>
      <w:r>
        <w:fldChar w:fldCharType="separate"/>
      </w:r>
      <w:r>
        <w:rPr>
          <w:rStyle w:val="26"/>
          <w:rFonts w:hint="eastAsia"/>
        </w:rPr>
        <w:t>北京市森林资源保护管理条例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_Toc428781917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1398</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401A776E">
      <w:pPr>
        <w:pStyle w:val="9"/>
        <w:tabs>
          <w:tab w:val="right" w:leader="middleDot" w:pos="8295"/>
          <w:tab w:val="clear" w:pos="8296"/>
        </w:tabs>
        <w:rPr>
          <w:rFonts w:ascii="Calibri" w:hAnsi="Calibri" w:eastAsia="宋体" w:cs="黑体"/>
        </w:rPr>
      </w:pPr>
      <w:r>
        <w:fldChar w:fldCharType="begin"/>
      </w:r>
      <w:r>
        <w:instrText xml:space="preserve">HYPERLINK  \l "_Toc428781918" </w:instrText>
      </w:r>
      <w:r>
        <w:fldChar w:fldCharType="separate"/>
      </w:r>
      <w:r>
        <w:rPr>
          <w:rStyle w:val="26"/>
          <w:rFonts w:hint="eastAsia"/>
        </w:rPr>
        <w:t>《北京市森林资源保护管理条例》实施办法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_Toc428781918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1404</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3A55073F">
      <w:pPr>
        <w:pStyle w:val="9"/>
        <w:tabs>
          <w:tab w:val="right" w:leader="middleDot" w:pos="8295"/>
          <w:tab w:val="clear" w:pos="8296"/>
        </w:tabs>
        <w:rPr>
          <w:rFonts w:ascii="Calibri" w:hAnsi="Calibri" w:eastAsia="宋体" w:cs="黑体"/>
        </w:rPr>
      </w:pPr>
      <w:r>
        <w:fldChar w:fldCharType="begin"/>
      </w:r>
      <w:r>
        <w:instrText xml:space="preserve">HYPERLINK  \l "_Toc428781919" </w:instrText>
      </w:r>
      <w:r>
        <w:fldChar w:fldCharType="separate"/>
      </w:r>
      <w:r>
        <w:rPr>
          <w:rStyle w:val="26"/>
          <w:rFonts w:hint="eastAsia"/>
        </w:rPr>
        <w:t>北京市重点保护陆生野生动物造成损失补偿办法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_Toc428781919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1406</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49A02128">
      <w:pPr>
        <w:pStyle w:val="9"/>
        <w:tabs>
          <w:tab w:val="right" w:leader="middleDot" w:pos="8295"/>
          <w:tab w:val="clear" w:pos="8296"/>
        </w:tabs>
        <w:rPr>
          <w:rFonts w:ascii="Calibri" w:hAnsi="Calibri" w:eastAsia="宋体" w:cs="黑体"/>
        </w:rPr>
      </w:pPr>
      <w:r>
        <w:fldChar w:fldCharType="begin"/>
      </w:r>
      <w:r>
        <w:instrText xml:space="preserve">HYPERLINK  \l "_Toc428781920" </w:instrText>
      </w:r>
      <w:r>
        <w:fldChar w:fldCharType="separate"/>
      </w:r>
      <w:r>
        <w:rPr>
          <w:rStyle w:val="26"/>
          <w:rFonts w:hint="eastAsia"/>
        </w:rPr>
        <w:t>北京市森林防火办法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_Toc428781920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1408</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5DFB4C2">
      <w:pPr>
        <w:pStyle w:val="19"/>
        <w:tabs>
          <w:tab w:val="right" w:leader="middleDot" w:pos="8295"/>
          <w:tab w:val="clear" w:pos="8296"/>
        </w:tabs>
        <w:rPr>
          <w:rStyle w:val="26"/>
        </w:rPr>
      </w:pPr>
    </w:p>
    <w:p w14:paraId="3550A69B">
      <w:pPr>
        <w:pStyle w:val="19"/>
        <w:tabs>
          <w:tab w:val="right" w:leader="middleDot" w:pos="8295"/>
          <w:tab w:val="clear" w:pos="8296"/>
        </w:tabs>
        <w:rPr>
          <w:rStyle w:val="26"/>
        </w:rPr>
      </w:pPr>
      <w:r>
        <w:fldChar w:fldCharType="begin"/>
      </w:r>
      <w:r>
        <w:instrText xml:space="preserve">HYPERLINK  \l "_Toc428781921" </w:instrText>
      </w:r>
      <w:r>
        <w:fldChar w:fldCharType="separate"/>
      </w:r>
      <w:r>
        <w:rPr>
          <w:rStyle w:val="26"/>
          <w:rFonts w:hint="eastAsia"/>
        </w:rPr>
        <w:t>（四）河湖工程</w:t>
      </w:r>
      <w:r>
        <w:fldChar w:fldCharType="end"/>
      </w:r>
    </w:p>
    <w:p w14:paraId="63E15DAE"/>
    <w:p w14:paraId="21805B80">
      <w:pPr>
        <w:pStyle w:val="9"/>
        <w:tabs>
          <w:tab w:val="right" w:leader="middleDot" w:pos="8295"/>
          <w:tab w:val="clear" w:pos="8296"/>
        </w:tabs>
        <w:rPr>
          <w:rFonts w:ascii="Calibri" w:hAnsi="Calibri" w:eastAsia="宋体" w:cs="黑体"/>
        </w:rPr>
      </w:pPr>
      <w:r>
        <w:fldChar w:fldCharType="begin"/>
      </w:r>
      <w:r>
        <w:instrText xml:space="preserve">HYPERLINK  \l "_Toc428781922" </w:instrText>
      </w:r>
      <w:r>
        <w:fldChar w:fldCharType="separate"/>
      </w:r>
      <w:r>
        <w:rPr>
          <w:rStyle w:val="26"/>
          <w:rFonts w:hint="eastAsia"/>
        </w:rPr>
        <w:t>北京市水利工程保护管理条例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_Toc428781922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1411</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75807979">
      <w:pPr>
        <w:pStyle w:val="9"/>
        <w:tabs>
          <w:tab w:val="right" w:leader="middleDot" w:pos="8295"/>
          <w:tab w:val="clear" w:pos="8296"/>
        </w:tabs>
        <w:rPr>
          <w:rFonts w:ascii="Calibri" w:hAnsi="Calibri" w:eastAsia="宋体" w:cs="黑体"/>
        </w:rPr>
      </w:pPr>
      <w:r>
        <w:fldChar w:fldCharType="begin"/>
      </w:r>
      <w:r>
        <w:instrText xml:space="preserve">HYPERLINK  \l "_Toc428781923" </w:instrText>
      </w:r>
      <w:r>
        <w:fldChar w:fldCharType="separate"/>
      </w:r>
      <w:r>
        <w:rPr>
          <w:rStyle w:val="26"/>
          <w:rFonts w:hint="eastAsia"/>
        </w:rPr>
        <w:t>北京市密云水库怀柔水库和</w:t>
      </w:r>
      <w:r>
        <w:fldChar w:fldCharType="end"/>
      </w:r>
      <w:r>
        <w:fldChar w:fldCharType="begin"/>
      </w:r>
      <w:r>
        <w:instrText xml:space="preserve">HYPERLINK  \l "_Toc428781924" </w:instrText>
      </w:r>
      <w:r>
        <w:fldChar w:fldCharType="separate"/>
      </w:r>
      <w:r>
        <w:rPr>
          <w:rStyle w:val="26"/>
          <w:rFonts w:hint="eastAsia"/>
        </w:rPr>
        <w:t>京密引水渠水源保护管理条例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_Toc428781924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1415</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230FB3B8">
      <w:pPr>
        <w:tabs>
          <w:tab w:val="right" w:leader="middleDot" w:pos="8295"/>
        </w:tabs>
        <w:ind w:firstLine="0" w:firstLineChars="0"/>
        <w:jc w:val="left"/>
        <w:rPr>
          <w:rFonts w:ascii="Calibri" w:hAnsi="Calibri" w:eastAsia="宋体" w:cs="黑体"/>
        </w:rPr>
      </w:pPr>
      <w:r>
        <w:rPr>
          <w:rFonts w:hint="eastAsia"/>
        </w:rPr>
        <w:t>关于划定郊区主要河道保护范围的规定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1420</w:t>
      </w:r>
    </w:p>
    <w:p w14:paraId="2AAA7DAA">
      <w:pPr>
        <w:pStyle w:val="9"/>
        <w:tabs>
          <w:tab w:val="right" w:leader="middleDot" w:pos="8295"/>
          <w:tab w:val="clear" w:pos="8296"/>
        </w:tabs>
        <w:rPr>
          <w:rFonts w:ascii="Calibri" w:hAnsi="Calibri" w:eastAsia="宋体" w:cs="黑体"/>
        </w:rPr>
      </w:pPr>
      <w:r>
        <w:fldChar w:fldCharType="begin"/>
      </w:r>
      <w:r>
        <w:instrText xml:space="preserve">HYPERLINK  \l "_Toc428781926" </w:instrText>
      </w:r>
      <w:r>
        <w:fldChar w:fldCharType="separate"/>
      </w:r>
      <w:r>
        <w:rPr>
          <w:rStyle w:val="26"/>
          <w:rFonts w:hint="eastAsia"/>
        </w:rPr>
        <w:t>北京市实施《中华人民共和国河道管理条例》和</w:t>
      </w:r>
      <w:r>
        <w:fldChar w:fldCharType="end"/>
      </w:r>
      <w:r>
        <w:fldChar w:fldCharType="begin"/>
      </w:r>
      <w:r>
        <w:instrText xml:space="preserve">HYPERLINK  \l "_Toc428781927" </w:instrText>
      </w:r>
      <w:r>
        <w:fldChar w:fldCharType="separate"/>
      </w:r>
      <w:r>
        <w:rPr>
          <w:rStyle w:val="26"/>
          <w:rFonts w:hint="eastAsia"/>
        </w:rPr>
        <w:t>《北京市水利工程保护管理条例》的        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_Toc428781927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1423</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1802799D">
      <w:pPr>
        <w:pStyle w:val="9"/>
        <w:tabs>
          <w:tab w:val="right" w:leader="middleDot" w:pos="8295"/>
          <w:tab w:val="clear" w:pos="8296"/>
        </w:tabs>
        <w:rPr>
          <w:rFonts w:ascii="Calibri" w:hAnsi="Calibri" w:eastAsia="宋体" w:cs="黑体"/>
        </w:rPr>
      </w:pPr>
      <w:r>
        <w:fldChar w:fldCharType="begin"/>
      </w:r>
      <w:r>
        <w:instrText xml:space="preserve">HYPERLINK  \l "_Toc428781928" </w:instrText>
      </w:r>
      <w:r>
        <w:fldChar w:fldCharType="separate"/>
      </w:r>
      <w:r>
        <w:rPr>
          <w:rStyle w:val="26"/>
          <w:rFonts w:hint="eastAsia"/>
        </w:rPr>
        <w:t>北京市征收防洪工程建设维护管理费暂行规定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_Toc428781928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1425</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5D1EE9DF">
      <w:pPr>
        <w:pStyle w:val="9"/>
        <w:tabs>
          <w:tab w:val="right" w:leader="middleDot" w:pos="8295"/>
          <w:tab w:val="clear" w:pos="8296"/>
        </w:tabs>
        <w:rPr>
          <w:rFonts w:ascii="Calibri" w:hAnsi="Calibri" w:eastAsia="宋体" w:cs="黑体"/>
        </w:rPr>
      </w:pPr>
      <w:r>
        <w:fldChar w:fldCharType="begin"/>
      </w:r>
      <w:r>
        <w:instrText xml:space="preserve">HYPERLINK  \l "_Toc428781929" </w:instrText>
      </w:r>
      <w:r>
        <w:fldChar w:fldCharType="separate"/>
      </w:r>
      <w:r>
        <w:rPr>
          <w:rStyle w:val="26"/>
          <w:rFonts w:hint="eastAsia"/>
        </w:rPr>
        <w:t>北京市南水北调工程保护办法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_Toc428781929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1426</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20815180">
      <w:pPr>
        <w:pStyle w:val="19"/>
        <w:tabs>
          <w:tab w:val="right" w:leader="middleDot" w:pos="8295"/>
          <w:tab w:val="clear" w:pos="8296"/>
        </w:tabs>
        <w:rPr>
          <w:rStyle w:val="26"/>
        </w:rPr>
      </w:pPr>
    </w:p>
    <w:p w14:paraId="24C95B9F">
      <w:pPr>
        <w:pStyle w:val="19"/>
        <w:tabs>
          <w:tab w:val="right" w:leader="middleDot" w:pos="8295"/>
          <w:tab w:val="clear" w:pos="8296"/>
        </w:tabs>
        <w:rPr>
          <w:rStyle w:val="26"/>
        </w:rPr>
      </w:pPr>
      <w:r>
        <w:fldChar w:fldCharType="begin"/>
      </w:r>
      <w:r>
        <w:instrText xml:space="preserve">HYPERLINK  \l "_Toc428781930" </w:instrText>
      </w:r>
      <w:r>
        <w:fldChar w:fldCharType="separate"/>
      </w:r>
      <w:r>
        <w:rPr>
          <w:rStyle w:val="26"/>
          <w:rFonts w:hint="eastAsia"/>
        </w:rPr>
        <w:t>（五）能</w:t>
      </w:r>
      <w:r>
        <w:rPr>
          <w:rStyle w:val="26"/>
        </w:rPr>
        <w:t xml:space="preserve">  </w:t>
      </w:r>
      <w:r>
        <w:rPr>
          <w:rStyle w:val="26"/>
          <w:rFonts w:hint="eastAsia"/>
        </w:rPr>
        <w:t>源</w:t>
      </w:r>
      <w:r>
        <w:fldChar w:fldCharType="end"/>
      </w:r>
    </w:p>
    <w:p w14:paraId="156604FA"/>
    <w:p w14:paraId="2100671F">
      <w:pPr>
        <w:pStyle w:val="9"/>
        <w:tabs>
          <w:tab w:val="right" w:leader="middleDot" w:pos="8295"/>
          <w:tab w:val="clear" w:pos="8296"/>
        </w:tabs>
        <w:rPr>
          <w:rFonts w:ascii="Calibri" w:hAnsi="Calibri" w:eastAsia="宋体" w:cs="黑体"/>
        </w:rPr>
      </w:pPr>
      <w:r>
        <w:fldChar w:fldCharType="begin"/>
      </w:r>
      <w:r>
        <w:instrText xml:space="preserve">HYPERLINK  \l "_Toc428781931" </w:instrText>
      </w:r>
      <w:r>
        <w:fldChar w:fldCharType="separate"/>
      </w:r>
      <w:r>
        <w:rPr>
          <w:rStyle w:val="26"/>
          <w:rFonts w:hint="eastAsia"/>
        </w:rPr>
        <w:t>北京市燃气管理条例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_Toc428781931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1429</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0D1FDA17">
      <w:pPr>
        <w:pStyle w:val="9"/>
        <w:tabs>
          <w:tab w:val="right" w:leader="middleDot" w:pos="8295"/>
          <w:tab w:val="clear" w:pos="8296"/>
        </w:tabs>
        <w:rPr>
          <w:rFonts w:ascii="Calibri" w:hAnsi="Calibri" w:eastAsia="宋体" w:cs="黑体"/>
        </w:rPr>
      </w:pPr>
      <w:r>
        <w:fldChar w:fldCharType="begin"/>
      </w:r>
      <w:r>
        <w:instrText xml:space="preserve">HYPERLINK  \l "_Toc428781932" </w:instrText>
      </w:r>
      <w:r>
        <w:fldChar w:fldCharType="separate"/>
      </w:r>
      <w:r>
        <w:rPr>
          <w:rStyle w:val="26"/>
          <w:rFonts w:hint="eastAsia"/>
        </w:rPr>
        <w:t>北京市实施《中华人民共和国节约能源法》办法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_Toc428781932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1437</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7F68A1CE">
      <w:pPr>
        <w:pStyle w:val="9"/>
        <w:tabs>
          <w:tab w:val="right" w:leader="middleDot" w:pos="8295"/>
          <w:tab w:val="clear" w:pos="8296"/>
        </w:tabs>
        <w:rPr>
          <w:rFonts w:ascii="Calibri" w:hAnsi="Calibri" w:eastAsia="宋体" w:cs="黑体"/>
        </w:rPr>
      </w:pPr>
      <w:r>
        <w:fldChar w:fldCharType="begin"/>
      </w:r>
      <w:r>
        <w:instrText xml:space="preserve">HYPERLINK  \l "_Toc428781933" </w:instrText>
      </w:r>
      <w:r>
        <w:fldChar w:fldCharType="separate"/>
      </w:r>
      <w:r>
        <w:rPr>
          <w:rStyle w:val="26"/>
          <w:rFonts w:hint="eastAsia"/>
        </w:rPr>
        <w:t>北京市清洁燃料车辆加气站管理规定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_Toc428781933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1444</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184A298B">
      <w:pPr>
        <w:pStyle w:val="9"/>
        <w:tabs>
          <w:tab w:val="right" w:leader="middleDot" w:pos="8295"/>
          <w:tab w:val="clear" w:pos="8296"/>
        </w:tabs>
        <w:rPr>
          <w:rFonts w:ascii="Calibri" w:hAnsi="Calibri" w:eastAsia="宋体" w:cs="黑体"/>
        </w:rPr>
      </w:pPr>
      <w:r>
        <w:fldChar w:fldCharType="begin"/>
      </w:r>
      <w:r>
        <w:instrText xml:space="preserve">HYPERLINK  \l "_Toc428781934" </w:instrText>
      </w:r>
      <w:r>
        <w:fldChar w:fldCharType="separate"/>
      </w:r>
      <w:r>
        <w:rPr>
          <w:rStyle w:val="26"/>
          <w:rFonts w:hint="eastAsia"/>
        </w:rPr>
        <w:t>北京市地热资源管理办法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_Toc428781934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1446</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4E432162">
      <w:pPr>
        <w:pStyle w:val="9"/>
        <w:tabs>
          <w:tab w:val="right" w:leader="middleDot" w:pos="8295"/>
          <w:tab w:val="clear" w:pos="8296"/>
        </w:tabs>
        <w:rPr>
          <w:rFonts w:hint="eastAsia" w:ascii="创艺简中圆" w:hAnsi="创艺简中圆" w:eastAsia="创艺简中圆" w:cs="创艺简中圆"/>
          <w:kern w:val="2"/>
          <w:sz w:val="21"/>
          <w:szCs w:val="22"/>
          <w:lang w:val="en-US" w:eastAsia="zh-CN" w:bidi="ar-SA"/>
        </w:rPr>
      </w:pPr>
      <w:r>
        <w:fldChar w:fldCharType="begin"/>
      </w:r>
      <w:r>
        <w:instrText xml:space="preserve">HYPERLINK  \l "_Toc428781935" </w:instrText>
      </w:r>
      <w:r>
        <w:fldChar w:fldCharType="separate"/>
      </w:r>
      <w:r>
        <w:rPr>
          <w:rStyle w:val="26"/>
          <w:rFonts w:hint="eastAsia"/>
        </w:rPr>
        <w:t>北京市人民政府关于对使用煤炭质量的监督规定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_Toc428781935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1448</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443B076A">
      <w:pPr>
        <w:pStyle w:val="9"/>
        <w:tabs>
          <w:tab w:val="right" w:leader="middleDot" w:pos="8295"/>
          <w:tab w:val="clear" w:pos="8296"/>
        </w:tabs>
        <w:rPr>
          <w:rFonts w:ascii="Calibri" w:hAnsi="Calibri" w:eastAsia="宋体" w:cs="黑体"/>
        </w:rPr>
      </w:pPr>
      <w:r>
        <w:fldChar w:fldCharType="begin"/>
      </w:r>
      <w:r>
        <w:instrText xml:space="preserve">HYPERLINK  \l "_Toc428781936" </w:instrText>
      </w:r>
      <w:r>
        <w:fldChar w:fldCharType="separate"/>
      </w:r>
      <w:r>
        <w:rPr>
          <w:rStyle w:val="26"/>
          <w:rFonts w:hint="eastAsia"/>
        </w:rPr>
        <w:t>北京市节能监察办法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_Toc428781936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1449</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718771E6">
      <w:pPr>
        <w:pStyle w:val="19"/>
        <w:tabs>
          <w:tab w:val="right" w:leader="middleDot" w:pos="8295"/>
          <w:tab w:val="clear" w:pos="8296"/>
        </w:tabs>
        <w:rPr>
          <w:rStyle w:val="26"/>
        </w:rPr>
      </w:pPr>
    </w:p>
    <w:p w14:paraId="7059C151">
      <w:pPr>
        <w:pStyle w:val="19"/>
        <w:tabs>
          <w:tab w:val="right" w:leader="middleDot" w:pos="8295"/>
          <w:tab w:val="clear" w:pos="8296"/>
        </w:tabs>
        <w:rPr>
          <w:rStyle w:val="26"/>
        </w:rPr>
      </w:pPr>
      <w:r>
        <w:fldChar w:fldCharType="begin"/>
      </w:r>
      <w:r>
        <w:instrText xml:space="preserve">HYPERLINK  \l "_Toc428781937" </w:instrText>
      </w:r>
      <w:r>
        <w:fldChar w:fldCharType="separate"/>
      </w:r>
      <w:r>
        <w:rPr>
          <w:rStyle w:val="26"/>
          <w:rFonts w:hint="eastAsia"/>
        </w:rPr>
        <w:t>（六）生态环境</w:t>
      </w:r>
      <w:r>
        <w:fldChar w:fldCharType="end"/>
      </w:r>
    </w:p>
    <w:p w14:paraId="36153191"/>
    <w:p w14:paraId="7E1BF985">
      <w:pPr>
        <w:pStyle w:val="9"/>
        <w:tabs>
          <w:tab w:val="right" w:leader="middleDot" w:pos="8295"/>
          <w:tab w:val="clear" w:pos="8296"/>
        </w:tabs>
        <w:rPr>
          <w:color w:val="0000FF"/>
          <w:u w:val="single"/>
        </w:rPr>
      </w:pPr>
      <w:r>
        <w:fldChar w:fldCharType="begin"/>
      </w:r>
      <w:r>
        <w:instrText xml:space="preserve">HYPERLINK  \l "_Toc428781938" </w:instrText>
      </w:r>
      <w:r>
        <w:fldChar w:fldCharType="separate"/>
      </w:r>
      <w:r>
        <w:rPr>
          <w:rStyle w:val="26"/>
          <w:rFonts w:hint="eastAsia"/>
        </w:rPr>
        <w:t>北京市公园条例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_Toc428781938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1453</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17A1D1A7">
      <w:pPr>
        <w:pStyle w:val="9"/>
        <w:tabs>
          <w:tab w:val="right" w:leader="middleDot" w:pos="8295"/>
          <w:tab w:val="clear" w:pos="8296"/>
        </w:tabs>
        <w:rPr>
          <w:rFonts w:ascii="Calibri" w:hAnsi="Calibri" w:eastAsia="宋体" w:cs="黑体"/>
        </w:rPr>
      </w:pPr>
      <w:r>
        <w:fldChar w:fldCharType="begin"/>
      </w:r>
      <w:r>
        <w:instrText xml:space="preserve">HYPERLINK  \l "_Toc428781939" </w:instrText>
      </w:r>
      <w:r>
        <w:fldChar w:fldCharType="separate"/>
      </w:r>
      <w:r>
        <w:rPr>
          <w:rStyle w:val="26"/>
          <w:rFonts w:hint="eastAsia"/>
        </w:rPr>
        <w:t>北京市绿化条例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_Toc428781939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1460</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22582E88">
      <w:pPr>
        <w:pStyle w:val="9"/>
        <w:tabs>
          <w:tab w:val="right" w:leader="middleDot" w:pos="8295"/>
          <w:tab w:val="clear" w:pos="8296"/>
        </w:tabs>
        <w:rPr>
          <w:rFonts w:ascii="Calibri" w:hAnsi="Calibri" w:eastAsia="宋体" w:cs="黑体"/>
        </w:rPr>
      </w:pPr>
      <w:r>
        <w:fldChar w:fldCharType="begin"/>
      </w:r>
      <w:r>
        <w:instrText xml:space="preserve">HYPERLINK  \l "_Toc428781940" </w:instrText>
      </w:r>
      <w:r>
        <w:fldChar w:fldCharType="separate"/>
      </w:r>
      <w:r>
        <w:rPr>
          <w:rStyle w:val="26"/>
          <w:rFonts w:hint="eastAsia"/>
        </w:rPr>
        <w:t>北京市水污染防治条例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_Toc428781940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1468</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503913B5">
      <w:pPr>
        <w:pStyle w:val="9"/>
        <w:tabs>
          <w:tab w:val="right" w:leader="middleDot" w:pos="8295"/>
          <w:tab w:val="clear" w:pos="8296"/>
        </w:tabs>
        <w:rPr>
          <w:rFonts w:ascii="Calibri" w:hAnsi="Calibri" w:eastAsia="宋体" w:cs="黑体"/>
        </w:rPr>
      </w:pPr>
      <w:r>
        <w:fldChar w:fldCharType="begin"/>
      </w:r>
      <w:r>
        <w:instrText xml:space="preserve">HYPERLINK  \l "_Toc428781941" </w:instrText>
      </w:r>
      <w:r>
        <w:fldChar w:fldCharType="separate"/>
      </w:r>
      <w:r>
        <w:rPr>
          <w:rStyle w:val="26"/>
          <w:rFonts w:hint="eastAsia"/>
        </w:rPr>
        <w:t>北京市湿地保护条例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_Toc428781941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1480</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19A83171">
      <w:pPr>
        <w:pStyle w:val="9"/>
        <w:tabs>
          <w:tab w:val="right" w:leader="middleDot" w:pos="8295"/>
          <w:tab w:val="clear" w:pos="8296"/>
        </w:tabs>
        <w:rPr>
          <w:rFonts w:ascii="Calibri" w:hAnsi="Calibri" w:eastAsia="宋体" w:cs="黑体"/>
        </w:rPr>
      </w:pPr>
      <w:r>
        <w:fldChar w:fldCharType="begin"/>
      </w:r>
      <w:r>
        <w:instrText xml:space="preserve">HYPERLINK  \l "_Toc428781942" </w:instrText>
      </w:r>
      <w:r>
        <w:fldChar w:fldCharType="separate"/>
      </w:r>
      <w:r>
        <w:rPr>
          <w:rStyle w:val="26"/>
          <w:rFonts w:hint="eastAsia"/>
        </w:rPr>
        <w:t>北京市大气污染防治条例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_Toc428781942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1486</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5EF0E29A">
      <w:pPr>
        <w:pStyle w:val="9"/>
        <w:tabs>
          <w:tab w:val="right" w:leader="middleDot" w:pos="8295"/>
          <w:tab w:val="clear" w:pos="8296"/>
        </w:tabs>
        <w:rPr>
          <w:rFonts w:ascii="Calibri" w:hAnsi="Calibri" w:eastAsia="宋体" w:cs="黑体"/>
        </w:rPr>
      </w:pPr>
      <w:r>
        <w:fldChar w:fldCharType="begin"/>
      </w:r>
      <w:r>
        <w:instrText xml:space="preserve">HYPERLINK  \l "_Toc428781943" </w:instrText>
      </w:r>
      <w:r>
        <w:fldChar w:fldCharType="separate"/>
      </w:r>
      <w:r>
        <w:rPr>
          <w:rStyle w:val="26"/>
          <w:rFonts w:hint="eastAsia"/>
        </w:rPr>
        <w:t>北京市人民政府关于百花山和</w:t>
      </w:r>
      <w:r>
        <w:fldChar w:fldCharType="end"/>
      </w:r>
      <w:r>
        <w:fldChar w:fldCharType="begin"/>
      </w:r>
      <w:r>
        <w:instrText xml:space="preserve">HYPERLINK  \l "_Toc428781944" </w:instrText>
      </w:r>
      <w:r>
        <w:fldChar w:fldCharType="separate"/>
      </w:r>
      <w:r>
        <w:rPr>
          <w:rStyle w:val="26"/>
          <w:rFonts w:hint="eastAsia"/>
        </w:rPr>
        <w:t>松山自然保护区管理暂行规定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_Toc428781944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1499</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4979BBB3">
      <w:pPr>
        <w:pStyle w:val="9"/>
        <w:tabs>
          <w:tab w:val="right" w:leader="middleDot" w:pos="8295"/>
          <w:tab w:val="clear" w:pos="8296"/>
        </w:tabs>
        <w:rPr>
          <w:rFonts w:ascii="Calibri" w:hAnsi="Calibri" w:eastAsia="宋体" w:cs="黑体"/>
        </w:rPr>
      </w:pPr>
      <w:r>
        <w:fldChar w:fldCharType="begin"/>
      </w:r>
      <w:r>
        <w:instrText xml:space="preserve">HYPERLINK  \l "_Toc428781945" </w:instrText>
      </w:r>
      <w:r>
        <w:fldChar w:fldCharType="separate"/>
      </w:r>
      <w:r>
        <w:rPr>
          <w:rStyle w:val="26"/>
          <w:rFonts w:hint="eastAsia"/>
        </w:rPr>
        <w:t>北京市限制销售、使用塑料袋</w:t>
      </w:r>
      <w:r>
        <w:fldChar w:fldCharType="end"/>
      </w:r>
      <w:r>
        <w:fldChar w:fldCharType="begin"/>
      </w:r>
      <w:r>
        <w:instrText xml:space="preserve">HYPERLINK  \l "_Toc428781946" </w:instrText>
      </w:r>
      <w:r>
        <w:fldChar w:fldCharType="separate"/>
      </w:r>
      <w:r>
        <w:rPr>
          <w:rStyle w:val="26"/>
          <w:rFonts w:hint="eastAsia"/>
        </w:rPr>
        <w:t>和一次性塑料餐具管理办法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_Toc428781946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1501</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770D6164">
      <w:pPr>
        <w:pStyle w:val="9"/>
        <w:tabs>
          <w:tab w:val="right" w:leader="middleDot" w:pos="8295"/>
          <w:tab w:val="clear" w:pos="8296"/>
        </w:tabs>
        <w:rPr>
          <w:rFonts w:ascii="Calibri" w:hAnsi="Calibri" w:eastAsia="宋体" w:cs="黑体"/>
        </w:rPr>
      </w:pPr>
      <w:r>
        <w:fldChar w:fldCharType="begin"/>
      </w:r>
      <w:r>
        <w:instrText xml:space="preserve">HYPERLINK  \l "_Toc428781947" </w:instrText>
      </w:r>
      <w:r>
        <w:fldChar w:fldCharType="separate"/>
      </w:r>
      <w:r>
        <w:rPr>
          <w:rStyle w:val="26"/>
          <w:rFonts w:hint="eastAsia"/>
        </w:rPr>
        <w:t>北京市环境噪声污染防治办法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_Toc428781947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1503</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DC95ACB">
      <w:pPr>
        <w:pStyle w:val="19"/>
        <w:tabs>
          <w:tab w:val="right" w:leader="middleDot" w:pos="8295"/>
          <w:tab w:val="clear" w:pos="8296"/>
        </w:tabs>
        <w:rPr>
          <w:rStyle w:val="26"/>
        </w:rPr>
      </w:pPr>
    </w:p>
    <w:p w14:paraId="66E4B4C4">
      <w:pPr>
        <w:pStyle w:val="19"/>
        <w:tabs>
          <w:tab w:val="right" w:leader="middleDot" w:pos="8295"/>
          <w:tab w:val="clear" w:pos="8296"/>
        </w:tabs>
        <w:rPr>
          <w:rStyle w:val="26"/>
        </w:rPr>
      </w:pPr>
      <w:r>
        <w:fldChar w:fldCharType="begin"/>
      </w:r>
      <w:r>
        <w:instrText xml:space="preserve">HYPERLINK  \l "_Toc428781948" </w:instrText>
      </w:r>
      <w:r>
        <w:fldChar w:fldCharType="separate"/>
      </w:r>
      <w:r>
        <w:rPr>
          <w:rStyle w:val="26"/>
          <w:rFonts w:hint="eastAsia"/>
        </w:rPr>
        <w:t>（七）灾害防御</w:t>
      </w:r>
      <w:r>
        <w:fldChar w:fldCharType="end"/>
      </w:r>
    </w:p>
    <w:p w14:paraId="3425C497"/>
    <w:p w14:paraId="1865F1CE">
      <w:pPr>
        <w:pStyle w:val="9"/>
        <w:tabs>
          <w:tab w:val="right" w:leader="middleDot" w:pos="8295"/>
          <w:tab w:val="clear" w:pos="8296"/>
        </w:tabs>
        <w:rPr>
          <w:rFonts w:ascii="Calibri" w:hAnsi="Calibri" w:eastAsia="宋体" w:cs="黑体"/>
        </w:rPr>
      </w:pPr>
      <w:r>
        <w:fldChar w:fldCharType="begin"/>
      </w:r>
      <w:r>
        <w:instrText xml:space="preserve">HYPERLINK  \l "_Toc428781949" </w:instrText>
      </w:r>
      <w:r>
        <w:fldChar w:fldCharType="separate"/>
      </w:r>
      <w:r>
        <w:rPr>
          <w:rStyle w:val="26"/>
          <w:rFonts w:hint="eastAsia"/>
        </w:rPr>
        <w:t>北京市实施《中华人民共和国防洪法》办法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_Toc428781949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1508</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55FF27DE">
      <w:pPr>
        <w:pStyle w:val="9"/>
        <w:tabs>
          <w:tab w:val="right" w:leader="middleDot" w:pos="8295"/>
          <w:tab w:val="clear" w:pos="8296"/>
        </w:tabs>
        <w:rPr>
          <w:rFonts w:hint="eastAsia" w:ascii="创艺简中圆" w:hAnsi="创艺简中圆" w:eastAsia="创艺简中圆" w:cs="创艺简中圆"/>
          <w:kern w:val="2"/>
          <w:sz w:val="21"/>
          <w:szCs w:val="22"/>
          <w:lang w:val="en-US" w:eastAsia="zh-CN" w:bidi="ar-SA"/>
        </w:rPr>
      </w:pPr>
      <w:r>
        <w:fldChar w:fldCharType="begin"/>
      </w:r>
      <w:r>
        <w:instrText xml:space="preserve">HYPERLINK  \l "_Toc428781950" </w:instrText>
      </w:r>
      <w:r>
        <w:fldChar w:fldCharType="separate"/>
      </w:r>
      <w:r>
        <w:rPr>
          <w:rStyle w:val="26"/>
          <w:rFonts w:hint="eastAsia"/>
        </w:rPr>
        <w:t>北京市实施《中华人民共和国气象法》办法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sz w:val="24"/>
          <w:szCs w:val="24"/>
          <w:lang w:val="en-US" w:eastAsia="zh-CN"/>
        </w:rPr>
        <w:fldChar w:fldCharType="begin"/>
      </w:r>
      <w:r>
        <w:rPr>
          <w:rFonts w:hint="eastAsia" w:ascii="华文宋体" w:hAnsi="华文宋体" w:eastAsia="华文宋体" w:cs="华文宋体"/>
          <w:sz w:val="24"/>
          <w:szCs w:val="24"/>
          <w:lang w:val="en-US" w:eastAsia="zh-CN"/>
        </w:rPr>
        <w:instrText xml:space="preserve"> PAGEREF _Toc428781950 \h </w:instrText>
      </w:r>
      <w:r>
        <w:rPr>
          <w:rFonts w:hint="eastAsia" w:ascii="华文宋体" w:hAnsi="华文宋体" w:eastAsia="华文宋体" w:cs="华文宋体"/>
          <w:sz w:val="24"/>
          <w:szCs w:val="24"/>
          <w:lang w:val="en-US" w:eastAsia="zh-CN"/>
        </w:rPr>
        <w:fldChar w:fldCharType="separate"/>
      </w:r>
      <w:r>
        <w:rPr>
          <w:rFonts w:hint="eastAsia" w:ascii="华文宋体" w:hAnsi="华文宋体" w:eastAsia="华文宋体" w:cs="华文宋体"/>
          <w:sz w:val="24"/>
          <w:szCs w:val="24"/>
          <w:lang w:val="en-US" w:eastAsia="zh-CN"/>
        </w:rPr>
        <w:t>1515</w:t>
      </w:r>
      <w:r>
        <w:rPr>
          <w:rFonts w:hint="eastAsia" w:ascii="华文宋体" w:hAnsi="华文宋体" w:eastAsia="华文宋体" w:cs="华文宋体"/>
          <w:sz w:val="24"/>
          <w:szCs w:val="24"/>
          <w:lang w:val="en-US" w:eastAsia="zh-CN"/>
        </w:rPr>
        <w:fldChar w:fldCharType="end"/>
      </w:r>
      <w:r>
        <w:rPr>
          <w:rFonts w:hint="eastAsia" w:ascii="华文宋体" w:hAnsi="华文宋体" w:eastAsia="华文宋体" w:cs="华文宋体"/>
          <w:sz w:val="24"/>
          <w:szCs w:val="24"/>
        </w:rPr>
        <w:fldChar w:fldCharType="end"/>
      </w:r>
    </w:p>
    <w:p w14:paraId="61B62E1E">
      <w:pPr>
        <w:tabs>
          <w:tab w:val="right" w:leader="middleDot" w:pos="8295"/>
        </w:tabs>
        <w:ind w:firstLine="0" w:firstLineChars="0"/>
        <w:jc w:val="left"/>
        <w:rPr>
          <w:rFonts w:hint="eastAsia"/>
          <w:lang w:val="en-US" w:eastAsia="zh-CN"/>
        </w:rPr>
      </w:pPr>
      <w:r>
        <w:rPr>
          <w:rFonts w:hint="eastAsia"/>
        </w:rPr>
        <w:t>北京市实施《中华人民共和国防震减灾法》规定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1520</w:t>
      </w:r>
    </w:p>
    <w:p w14:paraId="44A61C0F">
      <w:pPr>
        <w:tabs>
          <w:tab w:val="right" w:leader="middleDot" w:pos="8295"/>
        </w:tabs>
        <w:ind w:firstLine="0" w:firstLineChars="0"/>
        <w:jc w:val="left"/>
        <w:rPr>
          <w:rFonts w:hint="eastAsia"/>
        </w:rPr>
      </w:pPr>
      <w:r>
        <w:rPr>
          <w:rFonts w:hint="eastAsia"/>
        </w:rPr>
        <w:t>北京市防御雷电灾害若干规定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1524</w:t>
      </w:r>
    </w:p>
    <w:p w14:paraId="5440F1C7">
      <w:pPr>
        <w:tabs>
          <w:tab w:val="right" w:leader="middleDot" w:pos="8295"/>
        </w:tabs>
        <w:ind w:firstLine="0" w:firstLineChars="0"/>
        <w:jc w:val="left"/>
        <w:rPr>
          <w:rFonts w:hint="eastAsia"/>
          <w:lang w:val="en-US" w:eastAsia="zh-CN"/>
        </w:rPr>
      </w:pPr>
    </w:p>
    <w:p w14:paraId="5A4AC135">
      <w:pPr>
        <w:pStyle w:val="9"/>
        <w:tabs>
          <w:tab w:val="right" w:leader="middleDot" w:pos="8295"/>
          <w:tab w:val="clear" w:pos="8296"/>
        </w:tabs>
        <w:rPr>
          <w:rFonts w:ascii="Calibri" w:hAnsi="Calibri" w:eastAsia="宋体" w:cs="黑体"/>
        </w:rPr>
      </w:pPr>
    </w:p>
    <w:p w14:paraId="7F03D0D1">
      <w:pPr>
        <w:ind w:firstLine="0" w:firstLineChars="0"/>
        <w:jc w:val="center"/>
        <w:rPr>
          <w:rFonts w:ascii="宋体" w:hAnsi="宋体"/>
          <w:b/>
          <w:sz w:val="36"/>
        </w:rPr>
      </w:pPr>
      <w:r>
        <w:rPr>
          <w:rFonts w:ascii="宋体" w:hAnsi="宋体"/>
          <w:b/>
          <w:sz w:val="36"/>
        </w:rPr>
        <w:fldChar w:fldCharType="end"/>
      </w:r>
    </w:p>
    <w:p w14:paraId="3EDBCA9C">
      <w:pPr>
        <w:rPr>
          <w:szCs w:val="21"/>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p>
    <w:p w14:paraId="47950107">
      <w:pPr>
        <w:pageBreakBefore/>
      </w:pPr>
    </w:p>
    <w:p w14:paraId="5EB7566A"/>
    <w:p w14:paraId="3834D55E"/>
    <w:p w14:paraId="2E9BB57E"/>
    <w:p w14:paraId="170A5A76"/>
    <w:p w14:paraId="31C9A5C5"/>
    <w:p w14:paraId="1E289EE7"/>
    <w:p w14:paraId="21AA2E72"/>
    <w:p w14:paraId="1BCC60C1"/>
    <w:p w14:paraId="7C67E1B3"/>
    <w:p w14:paraId="46C8590F"/>
    <w:p w14:paraId="36C17AA9">
      <w:pPr>
        <w:pStyle w:val="2"/>
      </w:pPr>
      <w:bookmarkStart w:id="0" w:name="_Toc428779930"/>
      <w:bookmarkStart w:id="1" w:name="_Toc427651364"/>
      <w:bookmarkStart w:id="2" w:name="_Toc422471040"/>
      <w:bookmarkStart w:id="3" w:name="_Toc427651706"/>
      <w:bookmarkStart w:id="4" w:name="_Toc428781412"/>
      <w:r>
        <w:rPr>
          <w:rFonts w:hint="eastAsia"/>
        </w:rPr>
        <w:t>一、政 治 建 设</w:t>
      </w:r>
      <w:bookmarkEnd w:id="0"/>
      <w:bookmarkEnd w:id="1"/>
      <w:bookmarkEnd w:id="2"/>
      <w:bookmarkEnd w:id="3"/>
      <w:bookmarkEnd w:id="4"/>
    </w:p>
    <w:p w14:paraId="5C257D9B">
      <w:pPr>
        <w:spacing w:line="240" w:lineRule="auto"/>
        <w:ind w:firstLine="640"/>
        <w:rPr>
          <w:rFonts w:hint="eastAsia" w:ascii="楷体_GB2312" w:hAnsi="楷体_GB2312" w:eastAsia="楷体_GB2312" w:cs="楷体_GB2312"/>
          <w:b w:val="0"/>
          <w:bCs w:val="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本部分包含选举、代表，人大组织，基层组织，立法制度，民族、宗教，行政综合，司法行政，游行示威，军事、国防，保密、档案，其他等11个方面，共51部法规规章。</w:t>
      </w:r>
    </w:p>
    <w:p w14:paraId="30DF0782"/>
    <w:p w14:paraId="5D68FAD1"/>
    <w:p w14:paraId="2118BB85"/>
    <w:p w14:paraId="0DD528DA"/>
    <w:p w14:paraId="35274229"/>
    <w:p w14:paraId="247E581C"/>
    <w:p w14:paraId="6CC51319"/>
    <w:p w14:paraId="4DFDDC88"/>
    <w:p w14:paraId="4312297A"/>
    <w:p w14:paraId="4E2BC62B"/>
    <w:p w14:paraId="7E2D2709"/>
    <w:p w14:paraId="4C832B25"/>
    <w:p w14:paraId="6948E75B"/>
    <w:p w14:paraId="6D686AD2"/>
    <w:p w14:paraId="4695EB78"/>
    <w:p w14:paraId="7496AB59"/>
    <w:p w14:paraId="6F704138"/>
    <w:p w14:paraId="1EBCB3E7">
      <w:pPr>
        <w:ind w:firstLine="0" w:firstLineChars="0"/>
      </w:pPr>
    </w:p>
    <w:p w14:paraId="0A535C5E">
      <w:pPr>
        <w:ind w:firstLine="0" w:firstLineChars="0"/>
      </w:pPr>
    </w:p>
    <w:p w14:paraId="4EF84EBA">
      <w:pPr>
        <w:ind w:firstLine="0" w:firstLineChars="0"/>
      </w:pPr>
    </w:p>
    <w:p w14:paraId="217FE0F4">
      <w:pPr>
        <w:ind w:firstLine="0" w:firstLineChars="0"/>
        <w:sectPr>
          <w:headerReference r:id="rId11" w:type="default"/>
          <w:footerReference r:id="rId12" w:type="default"/>
          <w:footerReference r:id="rId13" w:type="even"/>
          <w:type w:val="continuous"/>
          <w:pgSz w:w="11906" w:h="16838"/>
          <w:pgMar w:top="1440" w:right="1800" w:bottom="1440" w:left="1800" w:header="851" w:footer="992" w:gutter="0"/>
          <w:pgNumType w:start="1"/>
          <w:cols w:space="720" w:num="1"/>
          <w:titlePg/>
          <w:docGrid w:type="lines" w:linePitch="312" w:charSpace="0"/>
        </w:sectPr>
      </w:pPr>
    </w:p>
    <w:p w14:paraId="061A3EDC">
      <w:pPr>
        <w:pStyle w:val="3"/>
        <w:pageBreakBefore/>
        <w:rPr>
          <w:kern w:val="44"/>
        </w:rPr>
      </w:pPr>
      <w:bookmarkStart w:id="5" w:name="_Toc428781413"/>
      <w:bookmarkStart w:id="6" w:name="_Toc427651707"/>
      <w:bookmarkStart w:id="7" w:name="_Toc428779931"/>
      <w:bookmarkStart w:id="8" w:name="_Toc422471041"/>
      <w:bookmarkStart w:id="9" w:name="_Toc427651365"/>
      <w:r>
        <w:rPr>
          <w:rFonts w:hint="eastAsia"/>
          <w:kern w:val="44"/>
        </w:rPr>
        <w:t>（一）选举、代表</w:t>
      </w:r>
      <w:bookmarkEnd w:id="5"/>
      <w:bookmarkEnd w:id="6"/>
      <w:bookmarkEnd w:id="7"/>
      <w:bookmarkEnd w:id="8"/>
      <w:bookmarkEnd w:id="9"/>
    </w:p>
    <w:p w14:paraId="6F26CBA1"/>
    <w:p w14:paraId="75AB92E7">
      <w:pPr>
        <w:pStyle w:val="4"/>
      </w:pPr>
      <w:bookmarkStart w:id="10" w:name="_Toc428781414"/>
      <w:bookmarkStart w:id="11" w:name="_Toc427651366"/>
      <w:bookmarkStart w:id="12" w:name="_Toc427651708"/>
      <w:bookmarkStart w:id="13" w:name="_Toc428779932"/>
      <w:bookmarkStart w:id="14" w:name="_Toc422471042"/>
      <w:r>
        <w:rPr>
          <w:rFonts w:hint="eastAsia"/>
        </w:rPr>
        <w:t>北京市区、县、乡、民族乡、镇</w:t>
      </w:r>
      <w:bookmarkEnd w:id="10"/>
      <w:bookmarkEnd w:id="11"/>
      <w:bookmarkEnd w:id="12"/>
      <w:bookmarkEnd w:id="13"/>
      <w:bookmarkEnd w:id="14"/>
    </w:p>
    <w:p w14:paraId="41321984">
      <w:pPr>
        <w:pStyle w:val="4"/>
        <w:rPr>
          <w:sz w:val="44"/>
        </w:rPr>
      </w:pPr>
      <w:bookmarkStart w:id="15" w:name="_Toc422471043"/>
      <w:bookmarkStart w:id="16" w:name="_Toc427651709"/>
      <w:bookmarkStart w:id="17" w:name="_Toc427651367"/>
      <w:bookmarkStart w:id="18" w:name="_Toc428781415"/>
      <w:bookmarkStart w:id="19" w:name="_Toc428779933"/>
      <w:r>
        <w:rPr>
          <w:rFonts w:hint="eastAsia"/>
        </w:rPr>
        <w:t>人民代表大会代表选举实施细则</w:t>
      </w:r>
      <w:bookmarkEnd w:id="15"/>
      <w:bookmarkEnd w:id="16"/>
      <w:bookmarkEnd w:id="17"/>
      <w:bookmarkEnd w:id="18"/>
      <w:bookmarkEnd w:id="19"/>
    </w:p>
    <w:p w14:paraId="7D4F7CBF">
      <w:pPr>
        <w:ind w:left="630" w:leftChars="300" w:right="630" w:rightChars="300"/>
        <w:jc w:val="left"/>
        <w:rPr>
          <w:rFonts w:ascii="楷体" w:hAnsi="楷体" w:eastAsia="楷体"/>
          <w:kern w:val="44"/>
          <w:sz w:val="18"/>
        </w:rPr>
      </w:pPr>
      <w:r>
        <w:rPr>
          <w:rFonts w:hint="eastAsia" w:ascii="楷体" w:hAnsi="楷体" w:eastAsia="楷体"/>
          <w:kern w:val="44"/>
        </w:rPr>
        <w:t>（1984年2月22日北京市第八届人民代表大会常务委员会第九次会议通过　 根据1986年12月26日</w:t>
      </w:r>
      <w:r>
        <w:rPr>
          <w:rFonts w:hint="eastAsia" w:ascii="楷体" w:hAnsi="楷体" w:eastAsia="楷体"/>
          <w:kern w:val="21"/>
        </w:rPr>
        <w:t>北京市第八届人民代表大会常务委员会第三十三次会议通过的《关于区县乡镇人民代表大会换届选举工作若干问题的决定》修正　根据1993年7月</w:t>
      </w:r>
      <w:r>
        <w:rPr>
          <w:rFonts w:hint="eastAsia" w:ascii="楷体" w:hAnsi="楷体" w:eastAsia="楷体"/>
          <w:kern w:val="44"/>
        </w:rPr>
        <w:t>26日北京市第十届人民代表大会常务委员会第四次会议通过的《关于区县乡镇人民代表大会换届选举若干问题</w:t>
      </w:r>
      <w:r>
        <w:rPr>
          <w:rFonts w:hint="eastAsia" w:ascii="楷体" w:hAnsi="楷体" w:eastAsia="楷体"/>
        </w:rPr>
        <w:t>的决定》修正  1998年7</w:t>
      </w:r>
      <w:r>
        <w:rPr>
          <w:rFonts w:hint="eastAsia" w:ascii="楷体" w:hAnsi="楷体" w:eastAsia="楷体"/>
          <w:kern w:val="44"/>
        </w:rPr>
        <w:t>月31日北京市第十一届人民代表大会常务委员会第四次会议修订  2003年9月5日北京市第十二届人民代表大会常务委员会第六次会议修正  2005年5月20日北京市第十二届人民代表大会常务委员会第二十次会议修正　根据2011年5月27日北京市第十三届人民代表大会常务委员会第二十五次会议通过的《关于修改〈北京市区、县、乡、民族乡、镇人民代表大会代表选举实施细则〉的决定》修正）</w:t>
      </w:r>
    </w:p>
    <w:p w14:paraId="2BCB5DEB">
      <w:pPr>
        <w:ind w:left="630" w:leftChars="300" w:right="630" w:rightChars="300"/>
        <w:jc w:val="left"/>
        <w:rPr>
          <w:rFonts w:ascii="楷体" w:hAnsi="楷体" w:eastAsia="楷体"/>
          <w:kern w:val="44"/>
        </w:rPr>
      </w:pPr>
    </w:p>
    <w:p w14:paraId="03D52CF0">
      <w:pPr>
        <w:ind w:firstLine="0" w:firstLineChars="0"/>
        <w:jc w:val="center"/>
        <w:rPr>
          <w:b/>
          <w:kern w:val="44"/>
        </w:rPr>
      </w:pPr>
      <w:r>
        <w:rPr>
          <w:rFonts w:hint="eastAsia"/>
          <w:b/>
          <w:kern w:val="44"/>
          <w:sz w:val="28"/>
        </w:rPr>
        <w:t>第一章　总　则</w:t>
      </w:r>
    </w:p>
    <w:p w14:paraId="1C087222">
      <w:pPr>
        <w:kinsoku w:val="0"/>
      </w:pPr>
    </w:p>
    <w:p w14:paraId="5827E698">
      <w:pPr>
        <w:kinsoku w:val="0"/>
        <w:ind w:firstLine="422"/>
        <w:rPr>
          <w:rFonts w:ascii="宋体" w:hAnsi="宋体"/>
          <w:kern w:val="44"/>
        </w:rPr>
      </w:pPr>
      <w:r>
        <w:rPr>
          <w:rFonts w:hint="eastAsia" w:ascii="宋体" w:hAnsi="宋体"/>
          <w:b/>
          <w:kern w:val="44"/>
        </w:rPr>
        <w:t>第一条</w:t>
      </w:r>
      <w:r>
        <w:rPr>
          <w:rFonts w:hint="eastAsia" w:ascii="宋体" w:hAnsi="宋体"/>
          <w:kern w:val="44"/>
        </w:rPr>
        <w:t>　根据《中华人民共和国全国人民代表大会和地方各级人民代表大会选举法》（以下简称《选举法》）和《全国人民代表大会常务委员会关于县级以下人民代表大会代表直接选举的若干规定》，结合本市具体情况，制定本实施细则。</w:t>
      </w:r>
    </w:p>
    <w:p w14:paraId="5CC2E968">
      <w:pPr>
        <w:ind w:firstLine="422"/>
        <w:rPr>
          <w:rFonts w:ascii="宋体" w:hAnsi="宋体"/>
          <w:kern w:val="44"/>
        </w:rPr>
      </w:pPr>
      <w:r>
        <w:rPr>
          <w:rFonts w:hint="eastAsia" w:ascii="宋体" w:hAnsi="宋体"/>
          <w:b/>
          <w:kern w:val="44"/>
        </w:rPr>
        <w:t>第二条</w:t>
      </w:r>
      <w:r>
        <w:rPr>
          <w:rFonts w:hint="eastAsia" w:ascii="宋体" w:hAnsi="宋体"/>
          <w:kern w:val="44"/>
        </w:rPr>
        <w:t>　选举区、县、乡、民族乡、镇人民代表大会代表，必须充分发扬社会主义民主，严格依法办事，以保障选民当家作主，行使选举权利。</w:t>
      </w:r>
    </w:p>
    <w:p w14:paraId="5DFD34F9">
      <w:pPr>
        <w:ind w:firstLine="422"/>
        <w:rPr>
          <w:rFonts w:ascii="宋体" w:hAnsi="宋体"/>
          <w:kern w:val="44"/>
        </w:rPr>
      </w:pPr>
      <w:r>
        <w:rPr>
          <w:rFonts w:hint="eastAsia" w:ascii="宋体" w:hAnsi="宋体"/>
          <w:b/>
          <w:kern w:val="44"/>
        </w:rPr>
        <w:t>第三条</w:t>
      </w:r>
      <w:r>
        <w:rPr>
          <w:rFonts w:hint="eastAsia" w:ascii="宋体" w:hAnsi="宋体"/>
          <w:kern w:val="44"/>
        </w:rPr>
        <w:t>　区、县、乡、民族乡、镇人民代表大会代表，由选民直接选举产生，每届任期五年。</w:t>
      </w:r>
    </w:p>
    <w:p w14:paraId="681781F6">
      <w:pPr>
        <w:ind w:firstLine="422"/>
        <w:rPr>
          <w:rFonts w:ascii="宋体" w:hAnsi="宋体"/>
          <w:kern w:val="44"/>
        </w:rPr>
      </w:pPr>
      <w:r>
        <w:rPr>
          <w:rFonts w:hint="eastAsia" w:ascii="宋体" w:hAnsi="宋体"/>
          <w:b/>
          <w:kern w:val="44"/>
        </w:rPr>
        <w:t>第四条</w:t>
      </w:r>
      <w:r>
        <w:rPr>
          <w:rFonts w:hint="eastAsia" w:ascii="宋体" w:hAnsi="宋体"/>
          <w:kern w:val="44"/>
        </w:rPr>
        <w:t>　年满十八周岁的公民，不分民族、种族、性别、职业、家庭出身、宗教信仰、教育程度、财产状况、居住期限，都有选举权和被选举权。</w:t>
      </w:r>
    </w:p>
    <w:p w14:paraId="595E502B">
      <w:pPr>
        <w:rPr>
          <w:rFonts w:ascii="宋体" w:hAnsi="宋体"/>
          <w:kern w:val="44"/>
        </w:rPr>
      </w:pPr>
      <w:r>
        <w:rPr>
          <w:rFonts w:hint="eastAsia" w:ascii="宋体" w:hAnsi="宋体"/>
          <w:kern w:val="44"/>
        </w:rPr>
        <w:t>依照法律被剥夺政治权利的人没有选举权和被选举权。</w:t>
      </w:r>
    </w:p>
    <w:p w14:paraId="3764851B">
      <w:pPr>
        <w:ind w:firstLine="422"/>
        <w:rPr>
          <w:rFonts w:ascii="宋体" w:hAnsi="宋体"/>
          <w:kern w:val="44"/>
        </w:rPr>
      </w:pPr>
      <w:r>
        <w:rPr>
          <w:rFonts w:hint="eastAsia" w:ascii="宋体" w:hAnsi="宋体"/>
          <w:b/>
          <w:kern w:val="44"/>
        </w:rPr>
        <w:t>第五条</w:t>
      </w:r>
      <w:r>
        <w:rPr>
          <w:rFonts w:hint="eastAsia" w:ascii="宋体" w:hAnsi="宋体"/>
          <w:kern w:val="44"/>
        </w:rPr>
        <w:t>　每一选民在一次选举中只有一个投票权。</w:t>
      </w:r>
    </w:p>
    <w:p w14:paraId="019D1836">
      <w:pPr>
        <w:ind w:firstLine="422"/>
        <w:rPr>
          <w:rFonts w:ascii="宋体" w:hAnsi="宋体"/>
          <w:kern w:val="44"/>
        </w:rPr>
      </w:pPr>
      <w:r>
        <w:rPr>
          <w:rFonts w:hint="eastAsia" w:ascii="宋体" w:hAnsi="宋体"/>
          <w:b/>
          <w:kern w:val="44"/>
        </w:rPr>
        <w:t>第六条</w:t>
      </w:r>
      <w:r>
        <w:rPr>
          <w:rFonts w:hint="eastAsia" w:ascii="宋体" w:hAnsi="宋体"/>
          <w:kern w:val="44"/>
        </w:rPr>
        <w:t>　区、县、乡、民族乡、镇人民代表大会代表应当具有广泛的代表性，应当有适当数量的基层代表，特别是工人、农民和知识分子代表；应当有适当数量的妇女代表，并逐步提高妇女代表的比例；在归侨人数较多的地区，应当有适当名额的归侨代表。</w:t>
      </w:r>
    </w:p>
    <w:p w14:paraId="68F72FE3">
      <w:pPr>
        <w:ind w:firstLine="422"/>
        <w:rPr>
          <w:rFonts w:ascii="宋体" w:hAnsi="宋体"/>
          <w:kern w:val="44"/>
        </w:rPr>
      </w:pPr>
      <w:r>
        <w:rPr>
          <w:rFonts w:hint="eastAsia" w:ascii="宋体" w:hAnsi="宋体"/>
          <w:b/>
          <w:kern w:val="44"/>
        </w:rPr>
        <w:t>第七条</w:t>
      </w:r>
      <w:r>
        <w:rPr>
          <w:rFonts w:hint="eastAsia" w:ascii="宋体" w:hAnsi="宋体"/>
          <w:kern w:val="44"/>
        </w:rPr>
        <w:t>　少数民族的选举按照《选举法》有关规定办理。</w:t>
      </w:r>
    </w:p>
    <w:p w14:paraId="4C97BAAA">
      <w:pPr>
        <w:ind w:firstLine="422"/>
        <w:rPr>
          <w:rFonts w:ascii="宋体" w:hAnsi="宋体"/>
          <w:kern w:val="44"/>
        </w:rPr>
      </w:pPr>
      <w:r>
        <w:rPr>
          <w:rFonts w:hint="eastAsia" w:ascii="宋体" w:hAnsi="宋体"/>
          <w:b/>
          <w:kern w:val="44"/>
        </w:rPr>
        <w:t>第八条</w:t>
      </w:r>
      <w:r>
        <w:rPr>
          <w:rFonts w:hint="eastAsia" w:ascii="宋体" w:hAnsi="宋体"/>
          <w:kern w:val="44"/>
        </w:rPr>
        <w:t>　驻京人民解放军</w:t>
      </w:r>
      <w:r>
        <w:rPr>
          <w:rFonts w:hint="eastAsia" w:ascii="宋体" w:hAnsi="宋体"/>
          <w:spacing w:val="20"/>
          <w:kern w:val="44"/>
        </w:rPr>
        <w:t>按照《</w:t>
      </w:r>
      <w:r>
        <w:rPr>
          <w:rFonts w:hint="eastAsia" w:ascii="宋体" w:hAnsi="宋体"/>
          <w:kern w:val="44"/>
        </w:rPr>
        <w:t>中国人民解放军选举全国人民代表大会和县级以上地方各级人民代表大会代表的办法》选举所在区、县人民代表大会的代表。</w:t>
      </w:r>
    </w:p>
    <w:p w14:paraId="3BBA7044">
      <w:pPr>
        <w:ind w:firstLine="422"/>
        <w:rPr>
          <w:rFonts w:ascii="宋体" w:hAnsi="宋体"/>
          <w:kern w:val="44"/>
        </w:rPr>
      </w:pPr>
      <w:r>
        <w:rPr>
          <w:rFonts w:hint="eastAsia" w:ascii="宋体" w:hAnsi="宋体"/>
          <w:b/>
          <w:kern w:val="44"/>
        </w:rPr>
        <w:t>第九条</w:t>
      </w:r>
      <w:r>
        <w:rPr>
          <w:rFonts w:hint="eastAsia" w:ascii="宋体" w:hAnsi="宋体"/>
          <w:kern w:val="44"/>
        </w:rPr>
        <w:t>　选举经费列入财政预算，由国库开支，保证选举工作的需要。</w:t>
      </w:r>
    </w:p>
    <w:p w14:paraId="148D1724">
      <w:pPr>
        <w:rPr>
          <w:rFonts w:ascii="宋体" w:hAnsi="宋体"/>
          <w:kern w:val="44"/>
        </w:rPr>
      </w:pPr>
    </w:p>
    <w:p w14:paraId="6F306CBD">
      <w:pPr>
        <w:ind w:firstLine="0" w:firstLineChars="0"/>
        <w:jc w:val="center"/>
        <w:rPr>
          <w:b/>
          <w:kern w:val="44"/>
          <w:sz w:val="28"/>
          <w:szCs w:val="28"/>
        </w:rPr>
      </w:pPr>
      <w:r>
        <w:rPr>
          <w:rFonts w:hint="eastAsia"/>
          <w:b/>
          <w:kern w:val="44"/>
          <w:sz w:val="28"/>
          <w:szCs w:val="28"/>
        </w:rPr>
        <w:t>第二章　选举机构</w:t>
      </w:r>
    </w:p>
    <w:p w14:paraId="3B353021">
      <w:pPr>
        <w:ind w:firstLine="422"/>
        <w:rPr>
          <w:rFonts w:ascii="宋体" w:hAnsi="宋体"/>
          <w:b/>
          <w:kern w:val="44"/>
        </w:rPr>
      </w:pPr>
    </w:p>
    <w:p w14:paraId="75FCF17A">
      <w:pPr>
        <w:ind w:firstLine="422"/>
        <w:rPr>
          <w:rFonts w:ascii="宋体" w:hAnsi="宋体"/>
          <w:kern w:val="44"/>
        </w:rPr>
      </w:pPr>
      <w:r>
        <w:rPr>
          <w:rFonts w:hint="eastAsia" w:ascii="宋体" w:hAnsi="宋体"/>
          <w:b/>
          <w:kern w:val="44"/>
        </w:rPr>
        <w:t>第十条</w:t>
      </w:r>
      <w:r>
        <w:rPr>
          <w:rFonts w:hint="eastAsia" w:ascii="宋体" w:hAnsi="宋体"/>
          <w:kern w:val="44"/>
        </w:rPr>
        <w:t>　市人民代表大会常务委员会指导本市区、县、乡、民族乡、镇人民代表大会代表的选举工作。经市人民代表大会常务委员会决定，在代表选举期间设立市选举工作办公室，办理指导选举工作的有关事宜。</w:t>
      </w:r>
    </w:p>
    <w:p w14:paraId="7171936D">
      <w:pPr>
        <w:ind w:firstLine="422"/>
        <w:rPr>
          <w:rFonts w:ascii="宋体" w:hAnsi="宋体"/>
          <w:kern w:val="44"/>
        </w:rPr>
      </w:pPr>
      <w:r>
        <w:rPr>
          <w:rFonts w:hint="eastAsia" w:ascii="宋体" w:hAnsi="宋体"/>
          <w:b/>
          <w:kern w:val="44"/>
        </w:rPr>
        <w:t>第十一条</w:t>
      </w:r>
      <w:r>
        <w:rPr>
          <w:rFonts w:hint="eastAsia" w:ascii="宋体" w:hAnsi="宋体"/>
          <w:kern w:val="44"/>
        </w:rPr>
        <w:t>　区、县、乡、民族乡、镇选举本级人民代表大会代表时，设立选举委员会，主持本级人民代表大会代表的选举。选举委员会受区、县人民代表大会常务委员会的领导。</w:t>
      </w:r>
    </w:p>
    <w:p w14:paraId="77D01C66">
      <w:pPr>
        <w:rPr>
          <w:rFonts w:ascii="宋体" w:hAnsi="宋体"/>
          <w:kern w:val="44"/>
        </w:rPr>
      </w:pPr>
      <w:r>
        <w:rPr>
          <w:rFonts w:hint="eastAsia" w:ascii="宋体" w:hAnsi="宋体"/>
          <w:kern w:val="44"/>
        </w:rPr>
        <w:t>选举委员会的主任、副主任和委员由区、县人民代表大会常务委员会任命。选举委员会的主任、副主任和委员为代表候选人的，应当辞去选举委员会的职务。</w:t>
      </w:r>
    </w:p>
    <w:p w14:paraId="538A6613">
      <w:pPr>
        <w:ind w:firstLine="422"/>
        <w:rPr>
          <w:rFonts w:ascii="宋体" w:hAnsi="宋体"/>
          <w:kern w:val="44"/>
        </w:rPr>
      </w:pPr>
      <w:r>
        <w:rPr>
          <w:rFonts w:hint="eastAsia" w:ascii="宋体" w:hAnsi="宋体"/>
          <w:b/>
          <w:kern w:val="44"/>
        </w:rPr>
        <w:t>第十二条</w:t>
      </w:r>
      <w:r>
        <w:rPr>
          <w:rFonts w:hint="eastAsia" w:ascii="宋体" w:hAnsi="宋体"/>
          <w:kern w:val="44"/>
        </w:rPr>
        <w:t>　选举委员会的职责是：</w:t>
      </w:r>
    </w:p>
    <w:p w14:paraId="45926DDB">
      <w:pPr>
        <w:rPr>
          <w:rFonts w:ascii="宋体" w:hAnsi="宋体"/>
          <w:kern w:val="44"/>
        </w:rPr>
      </w:pPr>
      <w:r>
        <w:rPr>
          <w:rFonts w:hint="eastAsia" w:ascii="宋体" w:hAnsi="宋体"/>
          <w:kern w:val="44"/>
        </w:rPr>
        <w:t>（一）划分选举本级人民代表大会代表的选区，分配各选区应选代表的名额；</w:t>
      </w:r>
    </w:p>
    <w:p w14:paraId="505AF309">
      <w:pPr>
        <w:rPr>
          <w:rFonts w:ascii="宋体" w:hAnsi="宋体"/>
          <w:kern w:val="44"/>
        </w:rPr>
      </w:pPr>
      <w:r>
        <w:rPr>
          <w:rFonts w:hint="eastAsia" w:ascii="宋体" w:hAnsi="宋体"/>
          <w:kern w:val="44"/>
        </w:rPr>
        <w:t>（二）进行选民登记，审查选民资格，公布选民名单，发选民证；受理对于选民名单不同意见的申诉，并作出决定；</w:t>
      </w:r>
    </w:p>
    <w:p w14:paraId="3A518B79">
      <w:pPr>
        <w:rPr>
          <w:rFonts w:ascii="宋体" w:hAnsi="宋体"/>
          <w:kern w:val="44"/>
        </w:rPr>
      </w:pPr>
      <w:r>
        <w:rPr>
          <w:rFonts w:hint="eastAsia" w:ascii="宋体" w:hAnsi="宋体"/>
          <w:kern w:val="44"/>
        </w:rPr>
        <w:t>（三）确定投票选举日期；</w:t>
      </w:r>
    </w:p>
    <w:p w14:paraId="04EB45ED">
      <w:pPr>
        <w:rPr>
          <w:rFonts w:ascii="宋体" w:hAnsi="宋体"/>
          <w:kern w:val="44"/>
        </w:rPr>
      </w:pPr>
      <w:r>
        <w:rPr>
          <w:rFonts w:hint="eastAsia" w:ascii="宋体" w:hAnsi="宋体"/>
          <w:kern w:val="44"/>
        </w:rPr>
        <w:t xml:space="preserve">（四）了解核实并组织介绍代表候选人的情况，汇总公布代表候选人名单；根据较多数选民的意见，确定和公布正式代表候选人名单； </w:t>
      </w:r>
    </w:p>
    <w:p w14:paraId="02185ED9">
      <w:pPr>
        <w:rPr>
          <w:rFonts w:ascii="宋体" w:hAnsi="宋体"/>
          <w:kern w:val="44"/>
        </w:rPr>
      </w:pPr>
      <w:r>
        <w:rPr>
          <w:rFonts w:hint="eastAsia" w:ascii="宋体" w:hAnsi="宋体"/>
          <w:kern w:val="44"/>
        </w:rPr>
        <w:t>（五）主持投票选举；</w:t>
      </w:r>
    </w:p>
    <w:p w14:paraId="31F7B11B">
      <w:pPr>
        <w:rPr>
          <w:rFonts w:ascii="宋体" w:hAnsi="宋体"/>
          <w:kern w:val="44"/>
        </w:rPr>
      </w:pPr>
      <w:r>
        <w:rPr>
          <w:rFonts w:hint="eastAsia" w:ascii="宋体" w:hAnsi="宋体"/>
          <w:kern w:val="44"/>
        </w:rPr>
        <w:t>（六）确定选举结果是否有效，公布当选代表名单，发给代表当选通知书；</w:t>
      </w:r>
    </w:p>
    <w:p w14:paraId="6912448C">
      <w:pPr>
        <w:rPr>
          <w:rFonts w:ascii="宋体" w:hAnsi="宋体"/>
          <w:kern w:val="44"/>
        </w:rPr>
      </w:pPr>
      <w:r>
        <w:rPr>
          <w:rFonts w:hint="eastAsia" w:ascii="宋体" w:hAnsi="宋体"/>
          <w:kern w:val="44"/>
        </w:rPr>
        <w:t>（七）法律规定的其他职责。</w:t>
      </w:r>
    </w:p>
    <w:p w14:paraId="067F76A3">
      <w:pPr>
        <w:rPr>
          <w:rFonts w:ascii="宋体" w:hAnsi="宋体"/>
          <w:kern w:val="44"/>
        </w:rPr>
      </w:pPr>
      <w:r>
        <w:rPr>
          <w:rFonts w:hint="eastAsia" w:ascii="宋体" w:hAnsi="宋体"/>
          <w:kern w:val="44"/>
        </w:rPr>
        <w:t>选举委员会应当及时公布选举信息。</w:t>
      </w:r>
    </w:p>
    <w:p w14:paraId="5005C021">
      <w:pPr>
        <w:ind w:firstLine="422"/>
        <w:rPr>
          <w:rFonts w:ascii="宋体" w:hAnsi="宋体"/>
          <w:kern w:val="44"/>
        </w:rPr>
      </w:pPr>
      <w:r>
        <w:rPr>
          <w:rFonts w:hint="eastAsia" w:ascii="宋体" w:hAnsi="宋体"/>
          <w:b/>
          <w:kern w:val="44"/>
        </w:rPr>
        <w:t>第十三条</w:t>
      </w:r>
      <w:r>
        <w:rPr>
          <w:rFonts w:hint="eastAsia" w:ascii="宋体" w:hAnsi="宋体"/>
          <w:kern w:val="44"/>
        </w:rPr>
        <w:t>　选举委员会设立办公室，办理选举的具体事务。</w:t>
      </w:r>
    </w:p>
    <w:p w14:paraId="7881FF3F">
      <w:pPr>
        <w:ind w:firstLine="422"/>
        <w:rPr>
          <w:rFonts w:ascii="宋体" w:hAnsi="宋体"/>
          <w:kern w:val="44"/>
        </w:rPr>
      </w:pPr>
      <w:r>
        <w:rPr>
          <w:rFonts w:hint="eastAsia" w:ascii="宋体" w:hAnsi="宋体"/>
          <w:b/>
          <w:kern w:val="44"/>
        </w:rPr>
        <w:t>第十四条</w:t>
      </w:r>
      <w:r>
        <w:rPr>
          <w:rFonts w:hint="eastAsia" w:ascii="宋体" w:hAnsi="宋体"/>
          <w:kern w:val="44"/>
        </w:rPr>
        <w:t>　区、县选举委员会按照区、县人民政府派出机关和乡、民族乡、镇的管辖范围，设立选举委员会分会。</w:t>
      </w:r>
    </w:p>
    <w:p w14:paraId="40BDB5F4">
      <w:pPr>
        <w:rPr>
          <w:rFonts w:ascii="宋体" w:hAnsi="宋体"/>
          <w:kern w:val="44"/>
        </w:rPr>
      </w:pPr>
      <w:r>
        <w:rPr>
          <w:rFonts w:hint="eastAsia" w:ascii="宋体" w:hAnsi="宋体"/>
          <w:kern w:val="44"/>
        </w:rPr>
        <w:t>划分为几个选区的较大单位，以及可以单独组织选举的行业或者系统，根据实际情况，也可以设立选举委员会分会。</w:t>
      </w:r>
    </w:p>
    <w:p w14:paraId="47FD5971">
      <w:pPr>
        <w:rPr>
          <w:rFonts w:ascii="宋体" w:hAnsi="宋体"/>
          <w:kern w:val="44"/>
        </w:rPr>
      </w:pPr>
      <w:r>
        <w:rPr>
          <w:rFonts w:hint="eastAsia" w:ascii="宋体" w:hAnsi="宋体"/>
          <w:kern w:val="44"/>
        </w:rPr>
        <w:t>选举委员会分会的职责由选举委员会确定。</w:t>
      </w:r>
    </w:p>
    <w:p w14:paraId="5FC25C77">
      <w:pPr>
        <w:rPr>
          <w:rFonts w:ascii="宋体" w:hAnsi="宋体"/>
          <w:kern w:val="44"/>
        </w:rPr>
      </w:pPr>
      <w:r>
        <w:rPr>
          <w:rFonts w:hint="eastAsia" w:ascii="宋体" w:hAnsi="宋体"/>
          <w:kern w:val="44"/>
        </w:rPr>
        <w:t>选举委员会分会的主任、副主任和委员，由选举委员会任命。</w:t>
      </w:r>
    </w:p>
    <w:p w14:paraId="07B4E38A">
      <w:pPr>
        <w:ind w:firstLine="422"/>
        <w:rPr>
          <w:rFonts w:ascii="宋体" w:hAnsi="宋体"/>
          <w:kern w:val="44"/>
        </w:rPr>
      </w:pPr>
      <w:r>
        <w:rPr>
          <w:rFonts w:hint="eastAsia" w:ascii="宋体" w:hAnsi="宋体"/>
          <w:b/>
          <w:kern w:val="44"/>
        </w:rPr>
        <w:t>第十五条</w:t>
      </w:r>
      <w:r>
        <w:rPr>
          <w:rFonts w:hint="eastAsia" w:ascii="宋体" w:hAnsi="宋体"/>
          <w:kern w:val="44"/>
        </w:rPr>
        <w:t>　选区设立选区工作组，在选举委员会或者选举委员会分会的领导下，办理本选区的选举事务。</w:t>
      </w:r>
    </w:p>
    <w:p w14:paraId="65BF85CD">
      <w:pPr>
        <w:rPr>
          <w:rFonts w:ascii="宋体" w:hAnsi="宋体"/>
          <w:kern w:val="44"/>
        </w:rPr>
      </w:pPr>
      <w:r>
        <w:rPr>
          <w:rFonts w:hint="eastAsia" w:ascii="宋体" w:hAnsi="宋体"/>
          <w:kern w:val="44"/>
        </w:rPr>
        <w:t>选区工作组的组长、副组长，由选举委员会任命；经选举委员会授权，也可以由选举委员会分会任命。</w:t>
      </w:r>
    </w:p>
    <w:p w14:paraId="0916EDAC">
      <w:pPr>
        <w:ind w:firstLine="422"/>
        <w:rPr>
          <w:rFonts w:ascii="宋体" w:hAnsi="宋体"/>
          <w:kern w:val="44"/>
        </w:rPr>
      </w:pPr>
      <w:r>
        <w:rPr>
          <w:rFonts w:hint="eastAsia" w:ascii="宋体" w:hAnsi="宋体"/>
          <w:b/>
          <w:kern w:val="44"/>
        </w:rPr>
        <w:t>第十六条</w:t>
      </w:r>
      <w:r>
        <w:rPr>
          <w:rFonts w:hint="eastAsia" w:ascii="宋体" w:hAnsi="宋体"/>
          <w:kern w:val="44"/>
        </w:rPr>
        <w:t>　选区工作组的职责是：</w:t>
      </w:r>
    </w:p>
    <w:p w14:paraId="76EBC0F2">
      <w:pPr>
        <w:rPr>
          <w:rFonts w:ascii="宋体" w:hAnsi="宋体"/>
          <w:kern w:val="44"/>
        </w:rPr>
      </w:pPr>
      <w:r>
        <w:rPr>
          <w:rFonts w:hint="eastAsia" w:ascii="宋体" w:hAnsi="宋体"/>
          <w:kern w:val="44"/>
        </w:rPr>
        <w:t>（一）宣传有关选举的法律、法规和政策规定；</w:t>
      </w:r>
    </w:p>
    <w:p w14:paraId="7A44E2F6">
      <w:pPr>
        <w:rPr>
          <w:rFonts w:ascii="宋体" w:hAnsi="宋体"/>
          <w:kern w:val="44"/>
        </w:rPr>
      </w:pPr>
      <w:r>
        <w:rPr>
          <w:rFonts w:hint="eastAsia" w:ascii="宋体" w:hAnsi="宋体"/>
          <w:kern w:val="44"/>
        </w:rPr>
        <w:t>（二）办理选民登记和选民名单核对；</w:t>
      </w:r>
    </w:p>
    <w:p w14:paraId="459061D8">
      <w:pPr>
        <w:rPr>
          <w:rFonts w:ascii="宋体" w:hAnsi="宋体"/>
          <w:kern w:val="44"/>
        </w:rPr>
      </w:pPr>
      <w:r>
        <w:rPr>
          <w:rFonts w:hint="eastAsia" w:ascii="宋体" w:hAnsi="宋体"/>
          <w:kern w:val="44"/>
        </w:rPr>
        <w:t>（三）组织选民推荐、协商代表候选人；</w:t>
      </w:r>
    </w:p>
    <w:p w14:paraId="7F85D95B">
      <w:pPr>
        <w:rPr>
          <w:rFonts w:ascii="宋体" w:hAnsi="宋体"/>
          <w:kern w:val="44"/>
        </w:rPr>
      </w:pPr>
      <w:r>
        <w:rPr>
          <w:rFonts w:hint="eastAsia" w:ascii="宋体" w:hAnsi="宋体"/>
          <w:kern w:val="44"/>
        </w:rPr>
        <w:t>（四）协助了解核实和组织介绍代表候选人的情况；</w:t>
      </w:r>
    </w:p>
    <w:p w14:paraId="104F4CCB">
      <w:pPr>
        <w:rPr>
          <w:rFonts w:ascii="宋体" w:hAnsi="宋体"/>
          <w:kern w:val="44"/>
        </w:rPr>
      </w:pPr>
      <w:r>
        <w:rPr>
          <w:rFonts w:hint="eastAsia" w:ascii="宋体" w:hAnsi="宋体"/>
          <w:kern w:val="44"/>
        </w:rPr>
        <w:t>（五）安排投票选举事务；</w:t>
      </w:r>
    </w:p>
    <w:p w14:paraId="0BD6F7F0">
      <w:pPr>
        <w:rPr>
          <w:rFonts w:ascii="宋体" w:hAnsi="宋体"/>
          <w:kern w:val="44"/>
        </w:rPr>
      </w:pPr>
      <w:r>
        <w:rPr>
          <w:rFonts w:hint="eastAsia" w:ascii="宋体" w:hAnsi="宋体"/>
          <w:kern w:val="44"/>
        </w:rPr>
        <w:t>（六）办理选举委员会或者选举委员会分会交办的其他事项。</w:t>
      </w:r>
    </w:p>
    <w:p w14:paraId="06A1B312">
      <w:pPr>
        <w:ind w:firstLine="422"/>
        <w:rPr>
          <w:rFonts w:ascii="宋体" w:hAnsi="宋体"/>
          <w:kern w:val="44"/>
        </w:rPr>
      </w:pPr>
      <w:r>
        <w:rPr>
          <w:rFonts w:hint="eastAsia" w:ascii="宋体" w:hAnsi="宋体"/>
          <w:b/>
          <w:kern w:val="44"/>
        </w:rPr>
        <w:t>第十七条</w:t>
      </w:r>
      <w:r>
        <w:rPr>
          <w:rFonts w:hint="eastAsia" w:ascii="宋体" w:hAnsi="宋体"/>
          <w:kern w:val="44"/>
        </w:rPr>
        <w:t>　选区内的机关、团体、企业事业单位和其他组织，应当积极主动协助做好选举工作，并确定专人配合做好有关工作。</w:t>
      </w:r>
    </w:p>
    <w:p w14:paraId="17384892">
      <w:pPr>
        <w:ind w:firstLine="422"/>
        <w:rPr>
          <w:rFonts w:ascii="宋体" w:hAnsi="宋体"/>
          <w:kern w:val="44"/>
        </w:rPr>
      </w:pPr>
      <w:r>
        <w:rPr>
          <w:rFonts w:hint="eastAsia" w:ascii="宋体" w:hAnsi="宋体"/>
          <w:b/>
          <w:kern w:val="44"/>
        </w:rPr>
        <w:t>第十八条</w:t>
      </w:r>
      <w:r>
        <w:rPr>
          <w:rFonts w:hint="eastAsia" w:ascii="宋体" w:hAnsi="宋体"/>
          <w:kern w:val="44"/>
        </w:rPr>
        <w:t>　选区可以按照便于召开会议和讨论协商问题的原则，划分若干选民小组，由本组选民推选正、副组长，主持选民小组会议。</w:t>
      </w:r>
    </w:p>
    <w:p w14:paraId="3549FAAD">
      <w:pPr>
        <w:rPr>
          <w:rFonts w:ascii="宋体" w:hAnsi="宋体"/>
          <w:kern w:val="44"/>
        </w:rPr>
      </w:pPr>
    </w:p>
    <w:p w14:paraId="472CF911">
      <w:pPr>
        <w:ind w:firstLine="0" w:firstLineChars="0"/>
        <w:jc w:val="center"/>
        <w:rPr>
          <w:b/>
          <w:sz w:val="28"/>
          <w:szCs w:val="28"/>
        </w:rPr>
      </w:pPr>
      <w:r>
        <w:rPr>
          <w:rFonts w:hint="eastAsia"/>
          <w:b/>
          <w:sz w:val="28"/>
          <w:szCs w:val="28"/>
        </w:rPr>
        <w:t>第三章　代表名额的确定和分配</w:t>
      </w:r>
    </w:p>
    <w:p w14:paraId="6E826D33"/>
    <w:p w14:paraId="1C88B718">
      <w:pPr>
        <w:ind w:firstLine="422"/>
        <w:rPr>
          <w:rFonts w:ascii="宋体" w:hAnsi="宋体"/>
          <w:kern w:val="44"/>
        </w:rPr>
      </w:pPr>
      <w:r>
        <w:rPr>
          <w:rFonts w:hint="eastAsia" w:ascii="宋体" w:hAnsi="宋体"/>
          <w:b/>
          <w:kern w:val="44"/>
        </w:rPr>
        <w:t>第十九条</w:t>
      </w:r>
      <w:r>
        <w:rPr>
          <w:rFonts w:hint="eastAsia" w:ascii="宋体" w:hAnsi="宋体"/>
          <w:kern w:val="44"/>
        </w:rPr>
        <w:t>　区、县、乡、民族乡、镇人民代表大会代表的名额，依照《选举法》确定：</w:t>
      </w:r>
    </w:p>
    <w:p w14:paraId="62B67FF8">
      <w:pPr>
        <w:rPr>
          <w:rFonts w:ascii="宋体" w:hAnsi="宋体"/>
          <w:kern w:val="44"/>
        </w:rPr>
      </w:pPr>
      <w:r>
        <w:rPr>
          <w:rFonts w:hint="eastAsia" w:ascii="宋体" w:hAnsi="宋体"/>
          <w:kern w:val="44"/>
        </w:rPr>
        <w:t>（一）区、县的代表名额基数为一百二十名，每五千人可以增加一名代表；人口超过一百六十五万的，代表总名额不得超过四百五十名；</w:t>
      </w:r>
    </w:p>
    <w:p w14:paraId="3F668DEE">
      <w:pPr>
        <w:rPr>
          <w:rFonts w:ascii="宋体" w:hAnsi="宋体"/>
          <w:kern w:val="44"/>
        </w:rPr>
      </w:pPr>
      <w:r>
        <w:rPr>
          <w:rFonts w:hint="eastAsia" w:ascii="宋体" w:hAnsi="宋体"/>
          <w:kern w:val="44"/>
        </w:rPr>
        <w:t>（二）乡、民族乡、镇的代表名额基数为四十名，每一千五百人可以增加一名代表；但是，代表总名额不得超过一百六十名；人口不足二千的乡、民族乡、镇的代表总名额可以少于四十名。</w:t>
      </w:r>
    </w:p>
    <w:p w14:paraId="5AD971D5">
      <w:pPr>
        <w:rPr>
          <w:rFonts w:ascii="宋体" w:hAnsi="宋体"/>
          <w:kern w:val="44"/>
        </w:rPr>
      </w:pPr>
      <w:r>
        <w:rPr>
          <w:rFonts w:hint="eastAsia" w:ascii="宋体" w:hAnsi="宋体"/>
          <w:kern w:val="44"/>
        </w:rPr>
        <w:t>按照前款规定的代表名额基数与按人口数增加的代表数相加，即为区、县、乡、民族乡、镇人民代表大会的代表总名额。</w:t>
      </w:r>
    </w:p>
    <w:p w14:paraId="116F3675">
      <w:pPr>
        <w:rPr>
          <w:rFonts w:ascii="宋体" w:hAnsi="宋体"/>
          <w:kern w:val="44"/>
        </w:rPr>
      </w:pPr>
      <w:r>
        <w:rPr>
          <w:rFonts w:hint="eastAsia" w:ascii="宋体" w:hAnsi="宋体"/>
          <w:kern w:val="44"/>
        </w:rPr>
        <w:t>聚居的少数民族多或者人口居住分散的县、乡、民族乡，经市人民代表大会常务委员会决定，代表名额可以另加百分之五。</w:t>
      </w:r>
    </w:p>
    <w:p w14:paraId="37BC8611">
      <w:pPr>
        <w:ind w:firstLine="422"/>
        <w:rPr>
          <w:rFonts w:ascii="宋体" w:hAnsi="宋体"/>
          <w:kern w:val="44"/>
        </w:rPr>
      </w:pPr>
      <w:r>
        <w:rPr>
          <w:rFonts w:hint="eastAsia" w:ascii="宋体" w:hAnsi="宋体"/>
          <w:b/>
          <w:kern w:val="44"/>
        </w:rPr>
        <w:t>第二十条</w:t>
      </w:r>
      <w:r>
        <w:rPr>
          <w:rFonts w:hint="eastAsia" w:ascii="宋体" w:hAnsi="宋体"/>
          <w:kern w:val="44"/>
        </w:rPr>
        <w:t>　区、县的人民代表大会代表的具体名额，由市人民代表大会常务委员会依照《选举法》确定，报全国人民代表大会常务委员会备案。乡、民族乡、镇的人民代表大会代表的具体名额，由区、县人民代表大会常务委员会依照《选举法》确定，报市人民代表大会常务委员会备案。</w:t>
      </w:r>
    </w:p>
    <w:p w14:paraId="08CB7250">
      <w:pPr>
        <w:ind w:firstLine="422"/>
        <w:rPr>
          <w:rFonts w:ascii="宋体" w:hAnsi="宋体"/>
          <w:kern w:val="44"/>
        </w:rPr>
      </w:pPr>
      <w:r>
        <w:rPr>
          <w:rFonts w:hint="eastAsia" w:ascii="宋体" w:hAnsi="宋体"/>
          <w:b/>
          <w:kern w:val="44"/>
        </w:rPr>
        <w:t>第二十一条</w:t>
      </w:r>
      <w:r>
        <w:rPr>
          <w:rFonts w:hint="eastAsia" w:ascii="宋体" w:hAnsi="宋体"/>
          <w:kern w:val="44"/>
        </w:rPr>
        <w:t>　区、县、乡、民族乡、镇人民代表大会的代表总名额经确定后，不再变动。如果由于行政区划变动或者重大工程建设等原因造成人口较大变动的，代表总名额依照《选举法》的规定重新确定。</w:t>
      </w:r>
    </w:p>
    <w:p w14:paraId="7292435B">
      <w:pPr>
        <w:ind w:firstLine="422"/>
        <w:rPr>
          <w:rFonts w:ascii="宋体" w:hAnsi="宋体"/>
          <w:kern w:val="44"/>
        </w:rPr>
      </w:pPr>
      <w:r>
        <w:rPr>
          <w:rFonts w:hint="eastAsia" w:ascii="宋体" w:hAnsi="宋体"/>
          <w:b/>
          <w:kern w:val="44"/>
        </w:rPr>
        <w:t>第二十二条</w:t>
      </w:r>
      <w:r>
        <w:rPr>
          <w:rFonts w:hint="eastAsia" w:ascii="宋体" w:hAnsi="宋体"/>
          <w:kern w:val="44"/>
        </w:rPr>
        <w:t>　区、县、乡、民族乡、镇人民代表大会代表名额，由本级选举委员会根据各选区的人口数，按照每一代表所代表的城乡人口数相同的原则，以及保证各地区、各民族、各方面都有适当数量的代表的要求进行分配。</w:t>
      </w:r>
    </w:p>
    <w:p w14:paraId="0EC4269E">
      <w:pPr>
        <w:ind w:firstLine="422"/>
        <w:rPr>
          <w:rFonts w:ascii="宋体" w:hAnsi="宋体"/>
          <w:kern w:val="44"/>
        </w:rPr>
      </w:pPr>
      <w:r>
        <w:rPr>
          <w:rFonts w:hint="eastAsia" w:ascii="宋体" w:hAnsi="宋体"/>
          <w:b/>
          <w:kern w:val="44"/>
        </w:rPr>
        <w:t>第二十三条</w:t>
      </w:r>
      <w:r>
        <w:rPr>
          <w:rFonts w:hint="eastAsia" w:ascii="宋体" w:hAnsi="宋体"/>
          <w:kern w:val="44"/>
        </w:rPr>
        <w:t xml:space="preserve">  区、县行政区域内，中央、市属企业事业单位职工人数在总人口中所占比例较大的，由中央、市属企业事业单位组成的单独选区或者联合选区选举产生的每一代表所代表的人口数，可以适当多于所在区、县每一代表所代表的人口数。</w:t>
      </w:r>
    </w:p>
    <w:p w14:paraId="1C954EA5">
      <w:pPr>
        <w:ind w:firstLine="422"/>
        <w:rPr>
          <w:rFonts w:ascii="宋体" w:hAnsi="宋体"/>
          <w:kern w:val="44"/>
        </w:rPr>
      </w:pPr>
      <w:r>
        <w:rPr>
          <w:rFonts w:hint="eastAsia" w:ascii="宋体" w:hAnsi="宋体"/>
          <w:b/>
          <w:kern w:val="44"/>
        </w:rPr>
        <w:t>第二十四条</w:t>
      </w:r>
      <w:r>
        <w:rPr>
          <w:rFonts w:hint="eastAsia" w:ascii="宋体" w:hAnsi="宋体"/>
          <w:kern w:val="44"/>
        </w:rPr>
        <w:t>　驻区、县人民解放军应选区、县人民代表大会代表的名额，由区、县人民代表大会常务委员会决定。</w:t>
      </w:r>
    </w:p>
    <w:p w14:paraId="0699D82B">
      <w:pPr>
        <w:rPr>
          <w:rFonts w:ascii="宋体" w:hAnsi="宋体"/>
          <w:kern w:val="44"/>
        </w:rPr>
      </w:pPr>
    </w:p>
    <w:p w14:paraId="65A685B2">
      <w:pPr>
        <w:ind w:firstLine="0" w:firstLineChars="0"/>
        <w:jc w:val="center"/>
        <w:rPr>
          <w:b/>
          <w:kern w:val="44"/>
          <w:sz w:val="28"/>
          <w:szCs w:val="28"/>
        </w:rPr>
      </w:pPr>
      <w:r>
        <w:rPr>
          <w:rFonts w:hint="eastAsia"/>
          <w:b/>
          <w:kern w:val="44"/>
          <w:sz w:val="28"/>
          <w:szCs w:val="28"/>
        </w:rPr>
        <w:t>第四章　选区划分</w:t>
      </w:r>
    </w:p>
    <w:p w14:paraId="5F00821F"/>
    <w:p w14:paraId="23A5A2B2">
      <w:pPr>
        <w:ind w:firstLine="422"/>
        <w:rPr>
          <w:rFonts w:ascii="宋体" w:hAnsi="宋体"/>
          <w:kern w:val="44"/>
        </w:rPr>
      </w:pPr>
      <w:r>
        <w:rPr>
          <w:rFonts w:hint="eastAsia" w:ascii="宋体" w:hAnsi="宋体"/>
          <w:b/>
          <w:kern w:val="44"/>
        </w:rPr>
        <w:t>第二十五条</w:t>
      </w:r>
      <w:r>
        <w:rPr>
          <w:rFonts w:hint="eastAsia" w:ascii="宋体" w:hAnsi="宋体"/>
          <w:kern w:val="44"/>
        </w:rPr>
        <w:t>　选区的划分，应当便于选民参加选举活动和选举的组织工作，便于选民了解代表，以及便于代表联系选民和接受选民的监督。</w:t>
      </w:r>
    </w:p>
    <w:p w14:paraId="556E7A81">
      <w:pPr>
        <w:ind w:firstLine="422"/>
        <w:rPr>
          <w:rFonts w:ascii="宋体" w:hAnsi="宋体"/>
          <w:kern w:val="44"/>
        </w:rPr>
      </w:pPr>
      <w:r>
        <w:rPr>
          <w:rFonts w:hint="eastAsia" w:ascii="宋体" w:hAnsi="宋体"/>
          <w:b/>
          <w:kern w:val="44"/>
        </w:rPr>
        <w:t>第二十六条</w:t>
      </w:r>
      <w:r>
        <w:rPr>
          <w:rFonts w:hint="eastAsia" w:ascii="宋体" w:hAnsi="宋体"/>
          <w:kern w:val="44"/>
        </w:rPr>
        <w:t>　选区的大小，按照每一选区选一名至三名代表划分。</w:t>
      </w:r>
    </w:p>
    <w:p w14:paraId="143A30F4">
      <w:pPr>
        <w:rPr>
          <w:rFonts w:ascii="宋体" w:hAnsi="宋体"/>
          <w:kern w:val="44"/>
        </w:rPr>
      </w:pPr>
      <w:r>
        <w:rPr>
          <w:rFonts w:hint="eastAsia" w:ascii="宋体" w:hAnsi="宋体"/>
          <w:kern w:val="44"/>
        </w:rPr>
        <w:t>本行政区域内各选区每一代表所代表的人口数应当大体相等。</w:t>
      </w:r>
    </w:p>
    <w:p w14:paraId="440CB831">
      <w:pPr>
        <w:ind w:firstLine="422"/>
        <w:rPr>
          <w:rFonts w:ascii="宋体" w:hAnsi="宋体"/>
          <w:kern w:val="44"/>
        </w:rPr>
      </w:pPr>
      <w:r>
        <w:rPr>
          <w:rFonts w:hint="eastAsia" w:ascii="宋体" w:hAnsi="宋体"/>
          <w:b/>
          <w:kern w:val="44"/>
        </w:rPr>
        <w:t>第二十七条</w:t>
      </w:r>
      <w:r>
        <w:rPr>
          <w:rFonts w:hint="eastAsia" w:ascii="宋体" w:hAnsi="宋体"/>
          <w:kern w:val="44"/>
        </w:rPr>
        <w:t>　选区可以按居住状况划分，也可以按生产单位、事业单位、工作单位划分。</w:t>
      </w:r>
    </w:p>
    <w:p w14:paraId="466CC2E2">
      <w:pPr>
        <w:rPr>
          <w:rFonts w:ascii="宋体" w:hAnsi="宋体"/>
          <w:kern w:val="44"/>
        </w:rPr>
      </w:pPr>
      <w:r>
        <w:rPr>
          <w:rFonts w:hint="eastAsia" w:ascii="宋体" w:hAnsi="宋体"/>
          <w:kern w:val="44"/>
        </w:rPr>
        <w:t>生产单位、事业单位、工作单位的选民人数能够划为一个选区的，可以划为单一选区；人数过多的，可以划为几个选区；人数不足以划一个选区的，可以与邻近的单位划为联合选区，也可以与附近居民、村民划为混合选区。</w:t>
      </w:r>
    </w:p>
    <w:p w14:paraId="1DB10577">
      <w:pPr>
        <w:ind w:firstLine="422"/>
        <w:rPr>
          <w:rFonts w:ascii="宋体" w:hAnsi="宋体"/>
          <w:kern w:val="44"/>
        </w:rPr>
      </w:pPr>
      <w:r>
        <w:rPr>
          <w:rFonts w:hint="eastAsia" w:ascii="宋体" w:hAnsi="宋体"/>
          <w:b/>
          <w:kern w:val="44"/>
        </w:rPr>
        <w:t>第二十八条</w:t>
      </w:r>
      <w:r>
        <w:rPr>
          <w:rFonts w:hint="eastAsia" w:ascii="宋体" w:hAnsi="宋体"/>
          <w:kern w:val="44"/>
        </w:rPr>
        <w:t>　驻在乡、民族乡、镇行政区域内的区、县属单位的职工，应当参加乡、民族乡、镇人民代表大会代表的选举；中央、市属单位的职工，可以只参加区、县人民代表大会代表的选举，不参加乡、民族乡、镇人民代表大会代表的选举，如需要参加，由乡、民族乡、镇选举委员会同有关单位协商决定。</w:t>
      </w:r>
    </w:p>
    <w:p w14:paraId="4620CDF2">
      <w:pPr>
        <w:rPr>
          <w:rFonts w:ascii="宋体" w:hAnsi="宋体"/>
          <w:kern w:val="44"/>
        </w:rPr>
      </w:pPr>
    </w:p>
    <w:p w14:paraId="6428A21E">
      <w:pPr>
        <w:ind w:firstLine="0" w:firstLineChars="0"/>
        <w:jc w:val="center"/>
        <w:rPr>
          <w:b/>
          <w:kern w:val="44"/>
          <w:sz w:val="28"/>
          <w:szCs w:val="28"/>
        </w:rPr>
      </w:pPr>
      <w:r>
        <w:rPr>
          <w:rFonts w:hint="eastAsia"/>
          <w:b/>
          <w:kern w:val="44"/>
          <w:sz w:val="28"/>
          <w:szCs w:val="28"/>
        </w:rPr>
        <w:t>第五章　选民登记</w:t>
      </w:r>
    </w:p>
    <w:p w14:paraId="7B3544F1">
      <w:pPr>
        <w:ind w:firstLine="560"/>
        <w:rPr>
          <w:kern w:val="44"/>
          <w:sz w:val="28"/>
          <w:szCs w:val="28"/>
        </w:rPr>
      </w:pPr>
    </w:p>
    <w:p w14:paraId="4BEDF6A3">
      <w:pPr>
        <w:ind w:firstLine="422"/>
        <w:rPr>
          <w:rFonts w:ascii="宋体" w:hAnsi="宋体"/>
          <w:kern w:val="44"/>
        </w:rPr>
      </w:pPr>
      <w:r>
        <w:rPr>
          <w:rFonts w:hint="eastAsia" w:ascii="宋体" w:hAnsi="宋体"/>
          <w:b/>
          <w:kern w:val="44"/>
        </w:rPr>
        <w:t>第二十九条</w:t>
      </w:r>
      <w:r>
        <w:rPr>
          <w:rFonts w:hint="eastAsia" w:ascii="宋体" w:hAnsi="宋体"/>
          <w:kern w:val="44"/>
        </w:rPr>
        <w:t>　选民按选区登记或者进行选民名单核对。</w:t>
      </w:r>
    </w:p>
    <w:p w14:paraId="79F1E986">
      <w:pPr>
        <w:rPr>
          <w:rFonts w:ascii="宋体" w:hAnsi="宋体"/>
          <w:kern w:val="44"/>
        </w:rPr>
      </w:pPr>
      <w:r>
        <w:rPr>
          <w:rFonts w:hint="eastAsia" w:ascii="宋体" w:hAnsi="宋体"/>
          <w:kern w:val="44"/>
        </w:rPr>
        <w:t>选区设立选民登记站，办理选民的登记和选民名单的核对工作。</w:t>
      </w:r>
    </w:p>
    <w:p w14:paraId="31895A93">
      <w:pPr>
        <w:rPr>
          <w:rFonts w:ascii="宋体" w:hAnsi="宋体"/>
          <w:kern w:val="44"/>
        </w:rPr>
      </w:pPr>
      <w:r>
        <w:rPr>
          <w:rFonts w:hint="eastAsia" w:ascii="宋体" w:hAnsi="宋体"/>
          <w:kern w:val="44"/>
        </w:rPr>
        <w:t>每次选举前，上次选民登记后年满十八周岁的、被剥夺政治权利期满后恢复政治权利的选民到登记站进行登记；已经登记过的选民经核对确认后，列入本次选举的选民名单；选民登记后迁出原选区的，由新迁入的选区核对确认后列入新迁入选区选民名单；对死亡的和依照法律被剥夺政治权利的人，从选民名单上除名。</w:t>
      </w:r>
    </w:p>
    <w:p w14:paraId="5A449352">
      <w:pPr>
        <w:rPr>
          <w:rFonts w:ascii="宋体" w:hAnsi="宋体"/>
          <w:kern w:val="44"/>
        </w:rPr>
      </w:pPr>
      <w:r>
        <w:rPr>
          <w:rFonts w:hint="eastAsia" w:ascii="宋体" w:hAnsi="宋体"/>
          <w:kern w:val="44"/>
        </w:rPr>
        <w:t>年满十八周岁选民年龄的计算，以所在地区的选举日为标准。</w:t>
      </w:r>
    </w:p>
    <w:p w14:paraId="2B372F5B">
      <w:pPr>
        <w:ind w:firstLine="422"/>
        <w:rPr>
          <w:rFonts w:ascii="宋体" w:hAnsi="宋体"/>
          <w:kern w:val="44"/>
        </w:rPr>
      </w:pPr>
      <w:r>
        <w:rPr>
          <w:rFonts w:hint="eastAsia" w:ascii="宋体" w:hAnsi="宋体"/>
          <w:b/>
          <w:kern w:val="44"/>
        </w:rPr>
        <w:t>第三十条</w:t>
      </w:r>
      <w:r>
        <w:rPr>
          <w:rFonts w:hint="eastAsia" w:ascii="宋体" w:hAnsi="宋体"/>
          <w:kern w:val="44"/>
        </w:rPr>
        <w:t>　在本市有正式户口的选民，按下列办法登记：</w:t>
      </w:r>
    </w:p>
    <w:p w14:paraId="35AEA724">
      <w:pPr>
        <w:rPr>
          <w:rFonts w:ascii="宋体" w:hAnsi="宋体"/>
          <w:kern w:val="44"/>
        </w:rPr>
      </w:pPr>
      <w:r>
        <w:rPr>
          <w:rFonts w:hint="eastAsia" w:ascii="宋体" w:hAnsi="宋体"/>
          <w:kern w:val="44"/>
        </w:rPr>
        <w:t>（一）居民、村民在户口所在地登记，户口所在地与现居住地不一致的，经确认选民资格，可以在现居住地登记；</w:t>
      </w:r>
    </w:p>
    <w:p w14:paraId="2FC61400">
      <w:pPr>
        <w:rPr>
          <w:rFonts w:ascii="宋体" w:hAnsi="宋体"/>
          <w:kern w:val="44"/>
        </w:rPr>
      </w:pPr>
      <w:r>
        <w:rPr>
          <w:rFonts w:hint="eastAsia" w:ascii="宋体" w:hAnsi="宋体"/>
          <w:kern w:val="44"/>
        </w:rPr>
        <w:t>（二）机关、团体、企业事业单位职工在本单位登记；</w:t>
      </w:r>
    </w:p>
    <w:p w14:paraId="2AA43DC0">
      <w:pPr>
        <w:rPr>
          <w:rFonts w:ascii="宋体" w:hAnsi="宋体"/>
          <w:kern w:val="44"/>
        </w:rPr>
      </w:pPr>
      <w:r>
        <w:rPr>
          <w:rFonts w:hint="eastAsia" w:ascii="宋体" w:hAnsi="宋体"/>
          <w:kern w:val="44"/>
        </w:rPr>
        <w:t>（三）离休、退休人员一般在户口所在地登记，如本人要求，也可以回原工作单位登记；</w:t>
      </w:r>
    </w:p>
    <w:p w14:paraId="08D5143D">
      <w:pPr>
        <w:rPr>
          <w:rFonts w:ascii="宋体" w:hAnsi="宋体"/>
          <w:kern w:val="44"/>
        </w:rPr>
      </w:pPr>
      <w:r>
        <w:rPr>
          <w:rFonts w:hint="eastAsia" w:ascii="宋体" w:hAnsi="宋体"/>
          <w:kern w:val="44"/>
        </w:rPr>
        <w:t>（四）在校学生在本校登记。</w:t>
      </w:r>
    </w:p>
    <w:p w14:paraId="17B3E784">
      <w:pPr>
        <w:rPr>
          <w:rFonts w:ascii="宋体" w:hAnsi="宋体"/>
          <w:kern w:val="44"/>
        </w:rPr>
      </w:pPr>
      <w:r>
        <w:rPr>
          <w:rFonts w:hint="eastAsia" w:ascii="宋体" w:hAnsi="宋体"/>
          <w:kern w:val="44"/>
        </w:rPr>
        <w:t>驻京人民武装警察部队参加所在区、县的选举，人员在本部队登记。</w:t>
      </w:r>
    </w:p>
    <w:p w14:paraId="6B4A508F">
      <w:pPr>
        <w:rPr>
          <w:rFonts w:ascii="宋体" w:hAnsi="宋体"/>
          <w:kern w:val="44"/>
        </w:rPr>
      </w:pPr>
      <w:r>
        <w:rPr>
          <w:rFonts w:hint="eastAsia" w:ascii="宋体" w:hAnsi="宋体"/>
          <w:kern w:val="44"/>
        </w:rPr>
        <w:t>选民名单公布后至投票选举日前，正式户口迁入本市的和恢复政治权利的人员，按上述规定补办登记手续。</w:t>
      </w:r>
    </w:p>
    <w:p w14:paraId="6DD28F2E">
      <w:pPr>
        <w:rPr>
          <w:rFonts w:ascii="宋体" w:hAnsi="宋体"/>
          <w:kern w:val="44"/>
        </w:rPr>
      </w:pPr>
      <w:r>
        <w:rPr>
          <w:rFonts w:hint="eastAsia" w:ascii="宋体" w:hAnsi="宋体"/>
          <w:kern w:val="44"/>
        </w:rPr>
        <w:t>选民已经迁出本市，但是没有转出户口的，可以发给选民资格证明，在现居住地参加选举。</w:t>
      </w:r>
    </w:p>
    <w:p w14:paraId="49B890CC">
      <w:pPr>
        <w:rPr>
          <w:rFonts w:ascii="宋体" w:hAnsi="宋体"/>
          <w:kern w:val="44"/>
        </w:rPr>
      </w:pPr>
      <w:r>
        <w:rPr>
          <w:rFonts w:hint="eastAsia" w:ascii="宋体" w:hAnsi="宋体"/>
          <w:kern w:val="44"/>
        </w:rPr>
        <w:t>机关、团体、企业事业单位应当主动与所在选区联系选民登记事宜，并及时将选民名单送到选区工作组。</w:t>
      </w:r>
    </w:p>
    <w:p w14:paraId="4B04C95A">
      <w:pPr>
        <w:ind w:firstLine="422"/>
        <w:rPr>
          <w:rFonts w:ascii="宋体" w:hAnsi="宋体"/>
          <w:kern w:val="44"/>
        </w:rPr>
      </w:pPr>
      <w:r>
        <w:rPr>
          <w:rFonts w:hint="eastAsia" w:ascii="宋体" w:hAnsi="宋体"/>
          <w:b/>
          <w:kern w:val="44"/>
        </w:rPr>
        <w:t>第三十一条</w:t>
      </w:r>
      <w:r>
        <w:rPr>
          <w:rFonts w:hint="eastAsia" w:ascii="宋体" w:hAnsi="宋体"/>
          <w:kern w:val="44"/>
        </w:rPr>
        <w:t>　户口在外省市现居住在本市的人员，一般应当在户口所在地参加选举；不能回户口所在地参加选举的，由本人提供户口所在地出具的选民资格证明，也可以在现居住地进行登记。</w:t>
      </w:r>
    </w:p>
    <w:p w14:paraId="60D50232">
      <w:pPr>
        <w:ind w:firstLine="422"/>
        <w:rPr>
          <w:rFonts w:ascii="宋体" w:hAnsi="宋体"/>
          <w:kern w:val="44"/>
        </w:rPr>
      </w:pPr>
      <w:r>
        <w:rPr>
          <w:rFonts w:hint="eastAsia" w:ascii="宋体" w:hAnsi="宋体"/>
          <w:b/>
          <w:kern w:val="44"/>
        </w:rPr>
        <w:t>第三十二条</w:t>
      </w:r>
      <w:r>
        <w:rPr>
          <w:rFonts w:hint="eastAsia" w:ascii="宋体" w:hAnsi="宋体"/>
          <w:kern w:val="44"/>
        </w:rPr>
        <w:t>　原籍在本市或者出国前在本市居住的旅居国外的中华人民共和国公民，选举期间在本市的，可以参加本市的选举。</w:t>
      </w:r>
    </w:p>
    <w:p w14:paraId="1CAB1CAA">
      <w:pPr>
        <w:ind w:firstLine="422"/>
        <w:rPr>
          <w:rFonts w:ascii="宋体" w:hAnsi="宋体"/>
          <w:kern w:val="44"/>
        </w:rPr>
      </w:pPr>
      <w:r>
        <w:rPr>
          <w:rFonts w:hint="eastAsia" w:ascii="宋体" w:hAnsi="宋体"/>
          <w:b/>
          <w:kern w:val="44"/>
        </w:rPr>
        <w:t>第三十三条</w:t>
      </w:r>
      <w:r>
        <w:rPr>
          <w:rFonts w:hint="eastAsia" w:ascii="宋体" w:hAnsi="宋体"/>
          <w:kern w:val="44"/>
        </w:rPr>
        <w:t>　不能行使选举权利的精神病患者和其他无行为能力的人，经选举委员会确认，不列入选民名单。</w:t>
      </w:r>
    </w:p>
    <w:p w14:paraId="5DCF5E4E">
      <w:pPr>
        <w:ind w:firstLine="422"/>
        <w:rPr>
          <w:rFonts w:ascii="宋体" w:hAnsi="宋体"/>
          <w:kern w:val="44"/>
        </w:rPr>
      </w:pPr>
      <w:r>
        <w:rPr>
          <w:rFonts w:hint="eastAsia" w:ascii="宋体" w:hAnsi="宋体"/>
          <w:b/>
          <w:kern w:val="44"/>
        </w:rPr>
        <w:t>第三十四条</w:t>
      </w:r>
      <w:r>
        <w:rPr>
          <w:rFonts w:hint="eastAsia" w:ascii="宋体" w:hAnsi="宋体"/>
          <w:kern w:val="44"/>
        </w:rPr>
        <w:t>　因危害国家安全或者其他严重刑事犯罪案被羁押，正在受侦查、起诉、审判的人，经人民检察院或者人民法院决定，在被羁押期间停止行使选举权利。</w:t>
      </w:r>
    </w:p>
    <w:p w14:paraId="6704AEA7">
      <w:pPr>
        <w:ind w:firstLine="422"/>
        <w:rPr>
          <w:rFonts w:ascii="宋体" w:hAnsi="宋体"/>
          <w:kern w:val="44"/>
        </w:rPr>
      </w:pPr>
      <w:r>
        <w:rPr>
          <w:rFonts w:hint="eastAsia" w:ascii="宋体" w:hAnsi="宋体"/>
          <w:b/>
          <w:kern w:val="44"/>
        </w:rPr>
        <w:t>第三十五条</w:t>
      </w:r>
      <w:r>
        <w:rPr>
          <w:rFonts w:hint="eastAsia" w:ascii="宋体" w:hAnsi="宋体"/>
          <w:kern w:val="44"/>
        </w:rPr>
        <w:t xml:space="preserve">　下列人员准予行使选举权利： </w:t>
      </w:r>
    </w:p>
    <w:p w14:paraId="78A425FB">
      <w:pPr>
        <w:rPr>
          <w:rFonts w:ascii="宋体" w:hAnsi="宋体"/>
          <w:kern w:val="44"/>
        </w:rPr>
      </w:pPr>
      <w:r>
        <w:rPr>
          <w:rFonts w:hint="eastAsia" w:ascii="宋体" w:hAnsi="宋体"/>
          <w:kern w:val="44"/>
        </w:rPr>
        <w:t>（一）被判处有期徒刑缓刑、拘役或者管制而没有附加剥夺政治权利的；</w:t>
      </w:r>
    </w:p>
    <w:p w14:paraId="1A6EF3F5">
      <w:pPr>
        <w:rPr>
          <w:rFonts w:ascii="宋体" w:hAnsi="宋体"/>
          <w:kern w:val="44"/>
        </w:rPr>
      </w:pPr>
      <w:r>
        <w:rPr>
          <w:rFonts w:hint="eastAsia" w:ascii="宋体" w:hAnsi="宋体"/>
          <w:kern w:val="44"/>
        </w:rPr>
        <w:t>（二）正在取保候审或者被监视居住的；</w:t>
      </w:r>
    </w:p>
    <w:p w14:paraId="3DBB210D">
      <w:pPr>
        <w:rPr>
          <w:rFonts w:ascii="宋体" w:hAnsi="宋体"/>
          <w:kern w:val="44"/>
        </w:rPr>
      </w:pPr>
      <w:r>
        <w:rPr>
          <w:rFonts w:hint="eastAsia" w:ascii="宋体" w:hAnsi="宋体"/>
          <w:kern w:val="44"/>
        </w:rPr>
        <w:t>（三）正在受拘留处罚的；</w:t>
      </w:r>
    </w:p>
    <w:p w14:paraId="15C22C50">
      <w:pPr>
        <w:rPr>
          <w:rFonts w:ascii="宋体" w:hAnsi="宋体"/>
          <w:kern w:val="44"/>
        </w:rPr>
      </w:pPr>
      <w:r>
        <w:rPr>
          <w:rFonts w:hint="eastAsia" w:ascii="宋体" w:hAnsi="宋体"/>
          <w:kern w:val="44"/>
        </w:rPr>
        <w:t>（四）被判处有期徒刑而没有附加剥夺政治权利的；</w:t>
      </w:r>
    </w:p>
    <w:p w14:paraId="441F2F6A">
      <w:pPr>
        <w:rPr>
          <w:rFonts w:ascii="宋体" w:hAnsi="宋体"/>
          <w:kern w:val="44"/>
        </w:rPr>
      </w:pPr>
      <w:r>
        <w:rPr>
          <w:rFonts w:hint="eastAsia" w:ascii="宋体" w:hAnsi="宋体"/>
          <w:kern w:val="44"/>
        </w:rPr>
        <w:t>（五）被羁押，正在受侦查、起诉、审判，人民检察院或者人民法院没有决定停止行使选举权利的；</w:t>
      </w:r>
    </w:p>
    <w:p w14:paraId="54072FEB">
      <w:pPr>
        <w:rPr>
          <w:rFonts w:ascii="宋体" w:hAnsi="宋体"/>
          <w:kern w:val="44"/>
        </w:rPr>
      </w:pPr>
      <w:r>
        <w:rPr>
          <w:rFonts w:hint="eastAsia" w:ascii="宋体" w:hAnsi="宋体"/>
          <w:kern w:val="44"/>
        </w:rPr>
        <w:t>（六）正在被劳动教养的。</w:t>
      </w:r>
    </w:p>
    <w:p w14:paraId="05E58756">
      <w:pPr>
        <w:rPr>
          <w:rFonts w:ascii="宋体" w:hAnsi="宋体"/>
          <w:kern w:val="44"/>
        </w:rPr>
      </w:pPr>
      <w:r>
        <w:rPr>
          <w:rFonts w:hint="eastAsia" w:ascii="宋体" w:hAnsi="宋体"/>
          <w:kern w:val="44"/>
        </w:rPr>
        <w:t>（一）至（三）项所列人员，现有工作单位的，在工作单位进行选民登记，参加选举；没有工作单位的，在户口所在地进行选民登记，参加选举。被判处拘役或者正在受拘留处罚的人，经选举委员会和执行机关决定，可以在流动票箱投票，也可以委托有选举权的亲属或者其他选民代为投票。</w:t>
      </w:r>
    </w:p>
    <w:p w14:paraId="2F99AD20">
      <w:pPr>
        <w:rPr>
          <w:rFonts w:ascii="宋体" w:hAnsi="宋体"/>
          <w:kern w:val="44"/>
        </w:rPr>
      </w:pPr>
      <w:r>
        <w:rPr>
          <w:rFonts w:hint="eastAsia" w:ascii="宋体" w:hAnsi="宋体"/>
          <w:kern w:val="44"/>
        </w:rPr>
        <w:t>（四）至（六）项所列人员，由监狱、看守所、劳教所分别负责审查，并发给选民权利证明，一般由本人将选民权利证明和委托书寄交原户口所在地选区有选举权的亲属或者其他选民，委托其到选区登记，代为投票。</w:t>
      </w:r>
    </w:p>
    <w:p w14:paraId="5CAD8132">
      <w:pPr>
        <w:ind w:firstLine="422"/>
        <w:rPr>
          <w:rFonts w:ascii="宋体" w:hAnsi="宋体"/>
          <w:kern w:val="44"/>
        </w:rPr>
      </w:pPr>
      <w:r>
        <w:rPr>
          <w:rFonts w:hint="eastAsia" w:ascii="宋体" w:hAnsi="宋体"/>
          <w:b/>
          <w:kern w:val="44"/>
        </w:rPr>
        <w:t>第三十六条</w:t>
      </w:r>
      <w:r>
        <w:rPr>
          <w:rFonts w:hint="eastAsia" w:ascii="宋体" w:hAnsi="宋体"/>
          <w:kern w:val="44"/>
        </w:rPr>
        <w:t>　选民登记和选民名单核对工作结束后，由选举委员会在投票选举日的二十日以前公布选民名单，公布投票选举日期和地点。</w:t>
      </w:r>
    </w:p>
    <w:p w14:paraId="738DF0CB">
      <w:pPr>
        <w:rPr>
          <w:rFonts w:ascii="宋体" w:hAnsi="宋体"/>
          <w:kern w:val="44"/>
        </w:rPr>
      </w:pPr>
      <w:r>
        <w:rPr>
          <w:rFonts w:hint="eastAsia" w:ascii="宋体" w:hAnsi="宋体"/>
          <w:kern w:val="44"/>
        </w:rPr>
        <w:t>选民对于公布的选民名单有不同意见，可以在选民名单公布之日起五日内向选举委员会提出申诉。选举委员会对申诉意见，应当在三日内作出处理决定。申诉人如果对处理决定不服，可以在投票选举日的五日以前向区、县人民法院起诉，人民法院应当在投票选举日以前作出判决。人民法院的判决为最后决定。</w:t>
      </w:r>
    </w:p>
    <w:p w14:paraId="24EB0F39">
      <w:pPr>
        <w:rPr>
          <w:rFonts w:ascii="宋体" w:hAnsi="宋体"/>
          <w:kern w:val="44"/>
        </w:rPr>
      </w:pPr>
    </w:p>
    <w:p w14:paraId="795854A9">
      <w:pPr>
        <w:ind w:firstLine="0" w:firstLineChars="0"/>
        <w:jc w:val="center"/>
        <w:rPr>
          <w:b/>
          <w:kern w:val="44"/>
          <w:sz w:val="28"/>
          <w:szCs w:val="28"/>
        </w:rPr>
      </w:pPr>
      <w:r>
        <w:rPr>
          <w:rFonts w:hint="eastAsia"/>
          <w:b/>
          <w:kern w:val="44"/>
          <w:sz w:val="28"/>
          <w:szCs w:val="28"/>
        </w:rPr>
        <w:t>第六章　代表候选人的提出</w:t>
      </w:r>
    </w:p>
    <w:p w14:paraId="745EF05E">
      <w:pPr>
        <w:ind w:firstLine="422"/>
        <w:rPr>
          <w:rFonts w:ascii="宋体" w:hAnsi="宋体"/>
          <w:b/>
          <w:kern w:val="44"/>
        </w:rPr>
      </w:pPr>
    </w:p>
    <w:p w14:paraId="45D56575">
      <w:pPr>
        <w:ind w:firstLine="422"/>
        <w:rPr>
          <w:rFonts w:ascii="宋体" w:hAnsi="宋体"/>
          <w:kern w:val="44"/>
        </w:rPr>
      </w:pPr>
      <w:r>
        <w:rPr>
          <w:rFonts w:hint="eastAsia" w:ascii="宋体" w:hAnsi="宋体"/>
          <w:b/>
          <w:kern w:val="44"/>
        </w:rPr>
        <w:t>第三十七条</w:t>
      </w:r>
      <w:r>
        <w:rPr>
          <w:rFonts w:hint="eastAsia" w:ascii="宋体" w:hAnsi="宋体"/>
          <w:kern w:val="44"/>
        </w:rPr>
        <w:t>　代表候选人按选区提名产生。凡本区、县或本乡、民族乡、镇的选民都可以被提名为本区、县或本乡、民族乡、镇人民代表大会代表候选人。</w:t>
      </w:r>
    </w:p>
    <w:p w14:paraId="31F09B0D">
      <w:pPr>
        <w:ind w:firstLine="422"/>
        <w:rPr>
          <w:rFonts w:ascii="宋体" w:hAnsi="宋体"/>
          <w:kern w:val="44"/>
        </w:rPr>
      </w:pPr>
      <w:r>
        <w:rPr>
          <w:rFonts w:hint="eastAsia" w:ascii="宋体" w:hAnsi="宋体"/>
          <w:b/>
          <w:kern w:val="44"/>
        </w:rPr>
        <w:t>第三十八条</w:t>
      </w:r>
      <w:r>
        <w:rPr>
          <w:rFonts w:hint="eastAsia" w:ascii="宋体" w:hAnsi="宋体"/>
          <w:kern w:val="44"/>
        </w:rPr>
        <w:t>　代表候选人按下列办法提名：</w:t>
      </w:r>
    </w:p>
    <w:p w14:paraId="3E624466">
      <w:pPr>
        <w:rPr>
          <w:rFonts w:ascii="宋体" w:hAnsi="宋体"/>
          <w:kern w:val="44"/>
        </w:rPr>
      </w:pPr>
      <w:r>
        <w:rPr>
          <w:rFonts w:hint="eastAsia" w:ascii="宋体" w:hAnsi="宋体"/>
          <w:kern w:val="44"/>
        </w:rPr>
        <w:t>（一）各政党、各人民团体，可以联合或者单独推荐代表候选人，并由选举委员会介绍到选区。各政党、各人民团体联合或者单独推荐区、县人民代表大会代表候选人的名额总数，一般不超过应选代表总名额的百分之二十；推荐乡、民族乡、镇人民代表大会代表候选人的名额总数，一般不超过应选代表总名额的百分之十五。</w:t>
      </w:r>
    </w:p>
    <w:p w14:paraId="6E260D76">
      <w:pPr>
        <w:rPr>
          <w:rFonts w:ascii="宋体" w:hAnsi="宋体"/>
          <w:kern w:val="44"/>
        </w:rPr>
      </w:pPr>
      <w:r>
        <w:rPr>
          <w:rFonts w:hint="eastAsia" w:ascii="宋体" w:hAnsi="宋体"/>
          <w:kern w:val="44"/>
        </w:rPr>
        <w:t>（二）选民十人以上联名，可以推荐代表候选人。</w:t>
      </w:r>
    </w:p>
    <w:p w14:paraId="449C2203">
      <w:pPr>
        <w:rPr>
          <w:rFonts w:ascii="宋体" w:hAnsi="宋体"/>
          <w:kern w:val="44"/>
        </w:rPr>
      </w:pPr>
      <w:r>
        <w:rPr>
          <w:rFonts w:hint="eastAsia" w:ascii="宋体" w:hAnsi="宋体"/>
          <w:kern w:val="44"/>
        </w:rPr>
        <w:t>各政党、各人民团体联合或者单独推荐的代表候选人的人数，每一选民参加联名推荐的代表候选人的人数，均不得超过本选区应选代表的名额。</w:t>
      </w:r>
    </w:p>
    <w:p w14:paraId="0906D316">
      <w:pPr>
        <w:rPr>
          <w:rFonts w:ascii="宋体" w:hAnsi="宋体"/>
          <w:kern w:val="44"/>
        </w:rPr>
      </w:pPr>
      <w:r>
        <w:rPr>
          <w:rFonts w:hint="eastAsia" w:ascii="宋体" w:hAnsi="宋体"/>
          <w:kern w:val="44"/>
        </w:rPr>
        <w:t>推荐者应当向选举委员会介绍代表候选人的情况。接受推荐的代表候选人应当向选举委员会如实提供个人身份、简历等基本情况。提供的基本情况不实的，选举委员会应当向选民通报。</w:t>
      </w:r>
    </w:p>
    <w:p w14:paraId="267B58AF">
      <w:pPr>
        <w:ind w:firstLine="422"/>
        <w:rPr>
          <w:rFonts w:ascii="宋体" w:hAnsi="宋体"/>
          <w:kern w:val="44"/>
        </w:rPr>
      </w:pPr>
      <w:r>
        <w:rPr>
          <w:rFonts w:hint="eastAsia" w:ascii="宋体" w:hAnsi="宋体"/>
          <w:b/>
          <w:kern w:val="44"/>
        </w:rPr>
        <w:t>第三十九条</w:t>
      </w:r>
      <w:r>
        <w:rPr>
          <w:rFonts w:hint="eastAsia" w:ascii="宋体" w:hAnsi="宋体"/>
          <w:kern w:val="44"/>
        </w:rPr>
        <w:t>　各选区对于合法提出的代表候选人都应当列入代表候选人名单，如实上报，不得隐瞒、调换或者增减，选举委员会汇总的代表候选人名单及代表候选人的基本情况，于投票选举日的十五日以前，按选区公布。</w:t>
      </w:r>
    </w:p>
    <w:p w14:paraId="5C52AF98">
      <w:pPr>
        <w:ind w:firstLine="422"/>
        <w:rPr>
          <w:rFonts w:ascii="宋体" w:hAnsi="宋体"/>
          <w:kern w:val="44"/>
        </w:rPr>
      </w:pPr>
      <w:r>
        <w:rPr>
          <w:rFonts w:hint="eastAsia" w:ascii="宋体" w:hAnsi="宋体"/>
          <w:b/>
          <w:kern w:val="44"/>
        </w:rPr>
        <w:t>第四十条</w:t>
      </w:r>
      <w:r>
        <w:rPr>
          <w:rFonts w:hint="eastAsia" w:ascii="宋体" w:hAnsi="宋体"/>
          <w:kern w:val="44"/>
        </w:rPr>
        <w:t>　选举委员会将代表候选人名单交各该选区的选民小组讨论、协商，确定正式代表候选人名单。如果所提代表候选人的人数超过本实施细则第四十二条规定的最高差额比例，由选举委员会交各该选区的选民小组讨论、协商，也可以先由选区工作组召集选民小组推选或者几个选民小组联合推选的选民代表进行民主协商后，再将协商意见交选民小组进行讨论、协商，根据较多数选民的意见，确定正式代表候选人名单；对正式代表候选人不能形成较为一致意见的，进行预选，根据预选时得票多少的顺序，确定正式代表候选人名单。正式代表候选人名单及代表候选人的基本情况应当在投票选举日的七日以前公布。</w:t>
      </w:r>
    </w:p>
    <w:p w14:paraId="3A2FA050">
      <w:pPr>
        <w:ind w:firstLine="422"/>
        <w:rPr>
          <w:rFonts w:ascii="宋体" w:hAnsi="宋体"/>
          <w:kern w:val="44"/>
        </w:rPr>
      </w:pPr>
      <w:r>
        <w:rPr>
          <w:rFonts w:hint="eastAsia" w:ascii="宋体" w:hAnsi="宋体"/>
          <w:b/>
          <w:kern w:val="44"/>
        </w:rPr>
        <w:t>第四十一条</w:t>
      </w:r>
      <w:r>
        <w:rPr>
          <w:rFonts w:hint="eastAsia" w:ascii="宋体" w:hAnsi="宋体"/>
          <w:kern w:val="44"/>
        </w:rPr>
        <w:t>　预选按选区进行，参加预选的选民人数不得少于该选区选民总数的三分之一；预选采用无记名投票的方式，可以召开选民大会或者以选民小组为单位进行投票；预选由选举委员会主持，或者由选举委员会委托选区工作组主持；预选结果由选举委员会审查确认后向选民公告。</w:t>
      </w:r>
    </w:p>
    <w:p w14:paraId="6D14DB14">
      <w:pPr>
        <w:ind w:firstLine="422"/>
        <w:rPr>
          <w:rFonts w:ascii="宋体" w:hAnsi="宋体"/>
          <w:kern w:val="44"/>
        </w:rPr>
      </w:pPr>
      <w:r>
        <w:rPr>
          <w:rFonts w:hint="eastAsia" w:ascii="宋体" w:hAnsi="宋体"/>
          <w:b/>
          <w:kern w:val="44"/>
        </w:rPr>
        <w:t>第四十二条</w:t>
      </w:r>
      <w:r>
        <w:rPr>
          <w:rFonts w:hint="eastAsia" w:ascii="宋体" w:hAnsi="宋体"/>
          <w:kern w:val="44"/>
        </w:rPr>
        <w:t>　正式代表候选人的人数，应当多于应选代表名额三分之一至一倍。</w:t>
      </w:r>
    </w:p>
    <w:p w14:paraId="35407AC9">
      <w:pPr>
        <w:ind w:firstLine="422"/>
        <w:rPr>
          <w:rFonts w:ascii="宋体" w:hAnsi="宋体"/>
          <w:kern w:val="44"/>
        </w:rPr>
      </w:pPr>
      <w:r>
        <w:rPr>
          <w:rFonts w:hint="eastAsia" w:ascii="宋体" w:hAnsi="宋体"/>
          <w:b/>
          <w:kern w:val="44"/>
        </w:rPr>
        <w:t>第四十三条</w:t>
      </w:r>
      <w:r>
        <w:rPr>
          <w:rFonts w:hint="eastAsia" w:ascii="宋体" w:hAnsi="宋体"/>
          <w:kern w:val="44"/>
        </w:rPr>
        <w:t>　代表候选人名单，按姓名笔划顺序排列。经预选确定的，按得票多少顺序排列；票数相等的，按姓名笔划顺序排列。</w:t>
      </w:r>
    </w:p>
    <w:p w14:paraId="3BF3827B">
      <w:pPr>
        <w:ind w:firstLine="422"/>
        <w:rPr>
          <w:rFonts w:ascii="宋体" w:hAnsi="宋体"/>
          <w:kern w:val="44"/>
        </w:rPr>
      </w:pPr>
      <w:r>
        <w:rPr>
          <w:rFonts w:hint="eastAsia" w:ascii="宋体" w:hAnsi="宋体"/>
          <w:b/>
          <w:kern w:val="44"/>
        </w:rPr>
        <w:t>第四十四条</w:t>
      </w:r>
      <w:r>
        <w:rPr>
          <w:rFonts w:hint="eastAsia" w:ascii="宋体" w:hAnsi="宋体"/>
          <w:kern w:val="44"/>
        </w:rPr>
        <w:t>　选举委员会应当向选民介绍代表候选人的情况。推荐代表候选人的政党、人民团体和选民可以在选民小组会议上介绍所推荐的代表候选人的情况。选举委员会根据选民的要求，应当在投票选举前组织代表候选人与选民见面，由代表候选人介绍本人的情况，回答选民的问题。</w:t>
      </w:r>
    </w:p>
    <w:p w14:paraId="43273F9D">
      <w:pPr>
        <w:rPr>
          <w:rFonts w:ascii="宋体" w:hAnsi="宋体"/>
          <w:kern w:val="44"/>
        </w:rPr>
      </w:pPr>
      <w:r>
        <w:rPr>
          <w:rFonts w:hint="eastAsia" w:ascii="宋体" w:hAnsi="宋体"/>
          <w:kern w:val="44"/>
        </w:rPr>
        <w:t>对代表候选人的介绍在投票选举日必须停止。</w:t>
      </w:r>
    </w:p>
    <w:p w14:paraId="7A27C36A">
      <w:pPr>
        <w:rPr>
          <w:rFonts w:ascii="宋体" w:hAnsi="宋体"/>
          <w:kern w:val="44"/>
        </w:rPr>
      </w:pPr>
    </w:p>
    <w:p w14:paraId="42E8EECD">
      <w:pPr>
        <w:ind w:firstLine="0" w:firstLineChars="0"/>
        <w:jc w:val="center"/>
        <w:rPr>
          <w:b/>
          <w:kern w:val="44"/>
          <w:sz w:val="28"/>
          <w:szCs w:val="28"/>
        </w:rPr>
      </w:pPr>
      <w:r>
        <w:rPr>
          <w:rFonts w:hint="eastAsia"/>
          <w:b/>
          <w:kern w:val="44"/>
          <w:sz w:val="28"/>
          <w:szCs w:val="28"/>
        </w:rPr>
        <w:t>第七章　选举程序</w:t>
      </w:r>
    </w:p>
    <w:p w14:paraId="43D176DA">
      <w:pPr>
        <w:ind w:firstLine="422"/>
        <w:rPr>
          <w:rFonts w:ascii="宋体" w:hAnsi="宋体"/>
          <w:b/>
          <w:kern w:val="44"/>
        </w:rPr>
      </w:pPr>
    </w:p>
    <w:p w14:paraId="2BFDBBC5">
      <w:pPr>
        <w:ind w:firstLine="422"/>
        <w:rPr>
          <w:rFonts w:ascii="宋体" w:hAnsi="宋体"/>
          <w:kern w:val="44"/>
        </w:rPr>
      </w:pPr>
      <w:r>
        <w:rPr>
          <w:rFonts w:hint="eastAsia" w:ascii="宋体" w:hAnsi="宋体"/>
          <w:b/>
          <w:kern w:val="44"/>
        </w:rPr>
        <w:t>第四十五条</w:t>
      </w:r>
      <w:r>
        <w:rPr>
          <w:rFonts w:hint="eastAsia" w:ascii="宋体" w:hAnsi="宋体"/>
          <w:kern w:val="44"/>
        </w:rPr>
        <w:t>　区、县、乡、民族乡、镇人民代表大会代表的选举，应当严格依照法定程序进行，并接受监督。任何组织或者个人都不得以任何方式干预选民自由行使选举权。</w:t>
      </w:r>
    </w:p>
    <w:p w14:paraId="05186DC4">
      <w:pPr>
        <w:ind w:firstLine="422"/>
        <w:rPr>
          <w:rFonts w:ascii="宋体" w:hAnsi="宋体"/>
          <w:kern w:val="44"/>
        </w:rPr>
      </w:pPr>
      <w:r>
        <w:rPr>
          <w:rFonts w:hint="eastAsia" w:ascii="宋体" w:hAnsi="宋体"/>
          <w:b/>
          <w:kern w:val="44"/>
        </w:rPr>
        <w:t>第四十六条</w:t>
      </w:r>
      <w:r>
        <w:rPr>
          <w:rFonts w:hint="eastAsia" w:ascii="宋体" w:hAnsi="宋体"/>
          <w:kern w:val="44"/>
        </w:rPr>
        <w:t>　各选区应按选举委员会确定的投票选举日进行选举。</w:t>
      </w:r>
    </w:p>
    <w:p w14:paraId="04B177B0">
      <w:pPr>
        <w:rPr>
          <w:rFonts w:ascii="宋体" w:hAnsi="宋体"/>
          <w:kern w:val="44"/>
        </w:rPr>
      </w:pPr>
      <w:r>
        <w:rPr>
          <w:rFonts w:hint="eastAsia" w:ascii="宋体" w:hAnsi="宋体"/>
          <w:kern w:val="44"/>
        </w:rPr>
        <w:t>选民凭选民证在进行登记或者进行名单核对的选区参加选举。</w:t>
      </w:r>
    </w:p>
    <w:p w14:paraId="135AA1D9">
      <w:pPr>
        <w:ind w:firstLine="422"/>
        <w:rPr>
          <w:rFonts w:ascii="宋体" w:hAnsi="宋体"/>
          <w:kern w:val="44"/>
        </w:rPr>
      </w:pPr>
      <w:r>
        <w:rPr>
          <w:rFonts w:hint="eastAsia" w:ascii="宋体" w:hAnsi="宋体"/>
          <w:b/>
          <w:kern w:val="44"/>
        </w:rPr>
        <w:t>第四十七条</w:t>
      </w:r>
      <w:r>
        <w:rPr>
          <w:rFonts w:hint="eastAsia" w:ascii="宋体" w:hAnsi="宋体"/>
          <w:kern w:val="44"/>
        </w:rPr>
        <w:t>　选举委员会应当根据各选区选民分布情况，按照方便选民投票的原则设立一个或者几个投票站，进行选举。选民居住比较集中的，可以召开选举大会，进行选举；因患有疾病等原因行动不便或者居住分散并且交通不便的选民，可以在流动票箱投票。</w:t>
      </w:r>
    </w:p>
    <w:p w14:paraId="1FFBD05B">
      <w:pPr>
        <w:rPr>
          <w:rFonts w:ascii="宋体" w:hAnsi="宋体"/>
          <w:kern w:val="44"/>
        </w:rPr>
      </w:pPr>
      <w:r>
        <w:rPr>
          <w:rFonts w:hint="eastAsia" w:ascii="宋体" w:hAnsi="宋体"/>
          <w:kern w:val="44"/>
        </w:rPr>
        <w:t>投票选举由选举委员会委派人员主持。</w:t>
      </w:r>
    </w:p>
    <w:p w14:paraId="0771C1A0">
      <w:pPr>
        <w:ind w:firstLine="422"/>
        <w:rPr>
          <w:rFonts w:ascii="宋体" w:hAnsi="宋体"/>
          <w:kern w:val="44"/>
        </w:rPr>
      </w:pPr>
      <w:r>
        <w:rPr>
          <w:rFonts w:hint="eastAsia" w:ascii="宋体" w:hAnsi="宋体"/>
          <w:b/>
          <w:kern w:val="44"/>
        </w:rPr>
        <w:t>第四十八条</w:t>
      </w:r>
      <w:r>
        <w:rPr>
          <w:rFonts w:hint="eastAsia" w:ascii="宋体" w:hAnsi="宋体"/>
          <w:kern w:val="44"/>
        </w:rPr>
        <w:t>　投票选举时，应当有由选民推选的监票人对发票、投票、计票的工作过程进行监督，并且有若干名熟悉投票程序的工作人员，向选民说明投票应注意的事项，办理组织投票选举的具体事务，维持投票秩序。</w:t>
      </w:r>
    </w:p>
    <w:p w14:paraId="61C1EEC0">
      <w:pPr>
        <w:jc w:val="left"/>
        <w:rPr>
          <w:rFonts w:ascii="宋体" w:hAnsi="宋体"/>
          <w:kern w:val="44"/>
        </w:rPr>
      </w:pPr>
      <w:r>
        <w:rPr>
          <w:rFonts w:hint="eastAsia" w:ascii="宋体" w:hAnsi="宋体"/>
          <w:kern w:val="44"/>
        </w:rPr>
        <w:t>投票站、选举大会的每个票箱和设立的每个流动票箱应当有两名以上监票人。</w:t>
      </w:r>
    </w:p>
    <w:p w14:paraId="603EE930">
      <w:pPr>
        <w:jc w:val="left"/>
        <w:rPr>
          <w:rFonts w:ascii="宋体" w:hAnsi="宋体"/>
          <w:kern w:val="44"/>
        </w:rPr>
      </w:pPr>
      <w:r>
        <w:rPr>
          <w:rFonts w:hint="eastAsia" w:ascii="宋体" w:hAnsi="宋体"/>
          <w:kern w:val="44"/>
        </w:rPr>
        <w:t>代表候选人及其近亲属不得担任本选区投票选举的监票人、计票人。</w:t>
      </w:r>
    </w:p>
    <w:p w14:paraId="4DE5023B">
      <w:pPr>
        <w:ind w:firstLine="422"/>
        <w:jc w:val="left"/>
        <w:rPr>
          <w:rFonts w:ascii="宋体" w:hAnsi="宋体"/>
          <w:kern w:val="44"/>
        </w:rPr>
      </w:pPr>
      <w:r>
        <w:rPr>
          <w:rFonts w:hint="eastAsia" w:ascii="宋体" w:hAnsi="宋体"/>
          <w:b/>
          <w:kern w:val="44"/>
        </w:rPr>
        <w:t>第四十九条</w:t>
      </w:r>
      <w:r>
        <w:rPr>
          <w:rFonts w:hint="eastAsia" w:ascii="宋体" w:hAnsi="宋体"/>
          <w:kern w:val="44"/>
        </w:rPr>
        <w:t>　区、县、乡、民族乡、镇人民代表大会代表的选举，实行无记名投票。</w:t>
      </w:r>
    </w:p>
    <w:p w14:paraId="305F53C8">
      <w:pPr>
        <w:jc w:val="left"/>
        <w:rPr>
          <w:rFonts w:ascii="宋体" w:hAnsi="宋体"/>
          <w:kern w:val="44"/>
        </w:rPr>
      </w:pPr>
      <w:r>
        <w:rPr>
          <w:rFonts w:hint="eastAsia" w:ascii="宋体" w:hAnsi="宋体"/>
          <w:kern w:val="44"/>
        </w:rPr>
        <w:t>投票选举时，应当设有秘密写票处。选民写票，其他人不得围观和干预。选民如果是文盲或者因残疾不能书写选票的，可以委托其信任的人代写。</w:t>
      </w:r>
    </w:p>
    <w:p w14:paraId="475F1E2D">
      <w:pPr>
        <w:ind w:firstLine="422"/>
        <w:jc w:val="left"/>
        <w:rPr>
          <w:rFonts w:ascii="宋体" w:hAnsi="宋体"/>
          <w:kern w:val="44"/>
        </w:rPr>
      </w:pPr>
      <w:r>
        <w:rPr>
          <w:rFonts w:hint="eastAsia" w:ascii="宋体" w:hAnsi="宋体"/>
          <w:b/>
          <w:kern w:val="44"/>
        </w:rPr>
        <w:t>第五十条</w:t>
      </w:r>
      <w:r>
        <w:rPr>
          <w:rFonts w:hint="eastAsia" w:ascii="宋体" w:hAnsi="宋体"/>
          <w:kern w:val="44"/>
        </w:rPr>
        <w:t>　选民应当到投票站或者参加选举大会投票。在选举期间外出的选民，经选举委员会同意，可以书面委托本选区其他选民代为投票。每一选民接受的委托不得超过三人，并应当持委托人的委托书和选民证领取选票，按照委托人的意愿代为投票。</w:t>
      </w:r>
    </w:p>
    <w:p w14:paraId="775A438F">
      <w:pPr>
        <w:ind w:firstLine="422"/>
        <w:jc w:val="left"/>
        <w:rPr>
          <w:rFonts w:ascii="宋体" w:hAnsi="宋体"/>
          <w:kern w:val="44"/>
        </w:rPr>
      </w:pPr>
      <w:r>
        <w:rPr>
          <w:rFonts w:hint="eastAsia" w:ascii="宋体" w:hAnsi="宋体"/>
          <w:b/>
          <w:kern w:val="44"/>
        </w:rPr>
        <w:t>第五十一条</w:t>
      </w:r>
      <w:r>
        <w:rPr>
          <w:rFonts w:hint="eastAsia" w:ascii="宋体" w:hAnsi="宋体"/>
          <w:kern w:val="44"/>
        </w:rPr>
        <w:t>　选民对于代表候选人可以投赞成票，可以投反对票，可以另选其他选民，也可以弃权。</w:t>
      </w:r>
    </w:p>
    <w:p w14:paraId="75273EAB">
      <w:pPr>
        <w:ind w:firstLine="422"/>
        <w:jc w:val="left"/>
        <w:rPr>
          <w:rFonts w:ascii="宋体" w:hAnsi="宋体"/>
          <w:kern w:val="44"/>
        </w:rPr>
      </w:pPr>
      <w:r>
        <w:rPr>
          <w:rFonts w:hint="eastAsia" w:ascii="宋体" w:hAnsi="宋体"/>
          <w:b/>
          <w:kern w:val="44"/>
        </w:rPr>
        <w:t>第五十二条</w:t>
      </w:r>
      <w:r>
        <w:rPr>
          <w:rFonts w:hint="eastAsia" w:ascii="宋体" w:hAnsi="宋体"/>
          <w:kern w:val="44"/>
        </w:rPr>
        <w:t>　投票前，由监票人当众检查票箱并加封条，然后开始投票。投票结束，当众封箱。开箱计票时，应当将投票人数和票数加以核对，并作出记录，由监票人签字。流动票箱应当与本选区其他票箱一起，在监票人监督下开箱计票。</w:t>
      </w:r>
    </w:p>
    <w:p w14:paraId="63A0790B">
      <w:pPr>
        <w:ind w:firstLine="422"/>
        <w:jc w:val="left"/>
        <w:rPr>
          <w:rFonts w:ascii="宋体" w:hAnsi="宋体"/>
          <w:kern w:val="44"/>
        </w:rPr>
      </w:pPr>
      <w:r>
        <w:rPr>
          <w:rFonts w:hint="eastAsia" w:ascii="宋体" w:hAnsi="宋体"/>
          <w:b/>
          <w:kern w:val="44"/>
        </w:rPr>
        <w:t>第五十三条</w:t>
      </w:r>
      <w:r>
        <w:rPr>
          <w:rFonts w:hint="eastAsia" w:ascii="宋体" w:hAnsi="宋体"/>
          <w:kern w:val="44"/>
        </w:rPr>
        <w:t>　每次选举所投的票数，等于或者少于投票人数的有效，多于投票人数的无效。</w:t>
      </w:r>
    </w:p>
    <w:p w14:paraId="6310C9D9">
      <w:pPr>
        <w:jc w:val="left"/>
        <w:rPr>
          <w:rFonts w:ascii="宋体" w:hAnsi="宋体"/>
          <w:kern w:val="44"/>
        </w:rPr>
      </w:pPr>
      <w:r>
        <w:rPr>
          <w:rFonts w:hint="eastAsia" w:ascii="宋体" w:hAnsi="宋体"/>
          <w:kern w:val="44"/>
        </w:rPr>
        <w:t>每一张选票所选的人数，等于或者少于规定应选代表人数的有效，多于规定应选代表人数的作废。</w:t>
      </w:r>
    </w:p>
    <w:p w14:paraId="3475A193">
      <w:pPr>
        <w:ind w:firstLine="422"/>
        <w:jc w:val="left"/>
        <w:rPr>
          <w:rFonts w:ascii="宋体" w:hAnsi="宋体"/>
          <w:kern w:val="44"/>
        </w:rPr>
      </w:pPr>
      <w:r>
        <w:rPr>
          <w:rFonts w:hint="eastAsia" w:ascii="宋体" w:hAnsi="宋体"/>
          <w:b/>
          <w:kern w:val="44"/>
        </w:rPr>
        <w:t>第五十四条</w:t>
      </w:r>
      <w:r>
        <w:rPr>
          <w:rFonts w:hint="eastAsia" w:ascii="宋体" w:hAnsi="宋体"/>
          <w:kern w:val="44"/>
        </w:rPr>
        <w:t>　选区全体选民的过半数参加投票，选举有效。代表候选人获得参加投票的选民过半数的选票时，始得当选。</w:t>
      </w:r>
    </w:p>
    <w:p w14:paraId="2CB56A7D">
      <w:pPr>
        <w:jc w:val="left"/>
        <w:rPr>
          <w:rFonts w:ascii="宋体" w:hAnsi="宋体"/>
          <w:kern w:val="44"/>
        </w:rPr>
      </w:pPr>
      <w:r>
        <w:rPr>
          <w:rFonts w:hint="eastAsia" w:ascii="宋体" w:hAnsi="宋体"/>
          <w:kern w:val="44"/>
        </w:rPr>
        <w:t>获得过半数选票的代表候选人人数超过应选代表名额时，以得票多的当选。如遇票数相等不能确定当选人时，应当就票数相等的候选人再次投票，以得票多的当选。</w:t>
      </w:r>
    </w:p>
    <w:p w14:paraId="676DA43A">
      <w:pPr>
        <w:jc w:val="left"/>
        <w:rPr>
          <w:rFonts w:ascii="宋体" w:hAnsi="宋体"/>
          <w:kern w:val="44"/>
        </w:rPr>
      </w:pPr>
      <w:r>
        <w:rPr>
          <w:rFonts w:hint="eastAsia" w:ascii="宋体" w:hAnsi="宋体"/>
          <w:kern w:val="44"/>
        </w:rPr>
        <w:t>获得过半数选票的当选代表的人数少于应选代表的名额时，不足的名额另行选举。另行选举时，根据在第一次投票时得票多少的顺序，按照本实施细则第四十二条规定的差额比例，确定候选人名单。如果只选一人，候选人应为二人。另行选举时，代表候选人以得票多的当选，但是得票数不得少于选票的三分之一。</w:t>
      </w:r>
    </w:p>
    <w:p w14:paraId="4E551595">
      <w:pPr>
        <w:ind w:firstLine="422"/>
        <w:jc w:val="left"/>
        <w:rPr>
          <w:rFonts w:ascii="宋体" w:hAnsi="宋体"/>
          <w:kern w:val="44"/>
        </w:rPr>
      </w:pPr>
      <w:r>
        <w:rPr>
          <w:rFonts w:hint="eastAsia" w:ascii="宋体" w:hAnsi="宋体"/>
          <w:b/>
          <w:kern w:val="44"/>
        </w:rPr>
        <w:t>第五十五条</w:t>
      </w:r>
      <w:r>
        <w:rPr>
          <w:rFonts w:hint="eastAsia" w:ascii="宋体" w:hAnsi="宋体"/>
          <w:kern w:val="44"/>
        </w:rPr>
        <w:t>　各选区的选举结果由选举委员会依法确定是否有效，并分别在各选区予以公布。</w:t>
      </w:r>
    </w:p>
    <w:p w14:paraId="1C1A2FB4">
      <w:pPr>
        <w:ind w:firstLine="422"/>
        <w:jc w:val="left"/>
        <w:rPr>
          <w:rFonts w:ascii="宋体" w:hAnsi="宋体"/>
          <w:kern w:val="44"/>
        </w:rPr>
      </w:pPr>
      <w:r>
        <w:rPr>
          <w:rFonts w:hint="eastAsia" w:ascii="宋体" w:hAnsi="宋体"/>
          <w:b/>
          <w:kern w:val="44"/>
        </w:rPr>
        <w:t>第五十六条</w:t>
      </w:r>
      <w:r>
        <w:rPr>
          <w:rFonts w:hint="eastAsia" w:ascii="宋体" w:hAnsi="宋体"/>
          <w:kern w:val="44"/>
        </w:rPr>
        <w:t>　区、县和乡、民族乡、镇人民代表大会代表均不得同时担任无隶属关系的其他行政区域的各级人民代表大会代表。</w:t>
      </w:r>
    </w:p>
    <w:p w14:paraId="2CDF29E2">
      <w:pPr>
        <w:jc w:val="left"/>
        <w:rPr>
          <w:rFonts w:ascii="宋体" w:hAnsi="宋体"/>
          <w:kern w:val="44"/>
        </w:rPr>
      </w:pPr>
    </w:p>
    <w:p w14:paraId="1EFF5A1B">
      <w:pPr>
        <w:ind w:firstLine="0" w:firstLineChars="0"/>
        <w:jc w:val="center"/>
        <w:rPr>
          <w:b/>
          <w:kern w:val="44"/>
          <w:sz w:val="28"/>
          <w:szCs w:val="28"/>
        </w:rPr>
      </w:pPr>
      <w:r>
        <w:rPr>
          <w:rFonts w:hint="eastAsia"/>
          <w:b/>
          <w:kern w:val="44"/>
          <w:sz w:val="28"/>
          <w:szCs w:val="28"/>
        </w:rPr>
        <w:t>第八章　代表的补选</w:t>
      </w:r>
    </w:p>
    <w:p w14:paraId="7F3C0885">
      <w:pPr>
        <w:ind w:firstLine="422"/>
        <w:jc w:val="left"/>
        <w:rPr>
          <w:rFonts w:ascii="宋体" w:hAnsi="宋体"/>
          <w:b/>
          <w:kern w:val="44"/>
        </w:rPr>
      </w:pPr>
    </w:p>
    <w:p w14:paraId="6949AEFC">
      <w:pPr>
        <w:ind w:firstLine="422"/>
        <w:jc w:val="left"/>
        <w:rPr>
          <w:rFonts w:ascii="宋体" w:hAnsi="宋体"/>
          <w:kern w:val="44"/>
        </w:rPr>
      </w:pPr>
      <w:r>
        <w:rPr>
          <w:rFonts w:hint="eastAsia" w:ascii="宋体" w:hAnsi="宋体"/>
          <w:b/>
          <w:kern w:val="44"/>
        </w:rPr>
        <w:t>第五十七条</w:t>
      </w:r>
      <w:r>
        <w:rPr>
          <w:rFonts w:hint="eastAsia" w:ascii="宋体" w:hAnsi="宋体"/>
          <w:kern w:val="44"/>
        </w:rPr>
        <w:t>　区、县、乡、民族乡、镇人民代表大会的代表在任期内，因故出缺，由原选区补选。</w:t>
      </w:r>
    </w:p>
    <w:p w14:paraId="5D0E9765">
      <w:pPr>
        <w:ind w:firstLine="422"/>
        <w:jc w:val="left"/>
        <w:rPr>
          <w:rFonts w:ascii="宋体" w:hAnsi="宋体"/>
          <w:kern w:val="44"/>
        </w:rPr>
      </w:pPr>
      <w:r>
        <w:rPr>
          <w:rFonts w:hint="eastAsia" w:ascii="宋体" w:hAnsi="宋体"/>
          <w:b/>
          <w:kern w:val="44"/>
        </w:rPr>
        <w:t>第五十八条</w:t>
      </w:r>
      <w:r>
        <w:rPr>
          <w:rFonts w:hint="eastAsia" w:ascii="宋体" w:hAnsi="宋体"/>
          <w:kern w:val="44"/>
        </w:rPr>
        <w:t>　补选区、县、乡、民族乡、镇人民代表大会代表，由区、县人民代表大会常务委员会决定，在区、县人民代表大会常务委员会领导下，设立补选机构，主持补选工作。</w:t>
      </w:r>
    </w:p>
    <w:p w14:paraId="53A6F149">
      <w:pPr>
        <w:ind w:firstLine="422"/>
        <w:jc w:val="left"/>
        <w:rPr>
          <w:rFonts w:ascii="宋体" w:hAnsi="宋体"/>
          <w:kern w:val="44"/>
        </w:rPr>
      </w:pPr>
      <w:r>
        <w:rPr>
          <w:rFonts w:hint="eastAsia" w:ascii="宋体" w:hAnsi="宋体"/>
          <w:b/>
          <w:kern w:val="44"/>
        </w:rPr>
        <w:t>第五十九条</w:t>
      </w:r>
      <w:r>
        <w:rPr>
          <w:rFonts w:hint="eastAsia" w:ascii="宋体" w:hAnsi="宋体"/>
          <w:kern w:val="44"/>
        </w:rPr>
        <w:t>　补选出缺的代表时，应当重新核对选区现有选民名单。在投票选举日的十五日以前由补选机构公布选民名单、投票选举日期和地点。</w:t>
      </w:r>
    </w:p>
    <w:p w14:paraId="22FA326C">
      <w:pPr>
        <w:ind w:firstLine="422"/>
        <w:jc w:val="left"/>
        <w:rPr>
          <w:rFonts w:ascii="宋体" w:hAnsi="宋体"/>
          <w:kern w:val="44"/>
        </w:rPr>
      </w:pPr>
      <w:r>
        <w:rPr>
          <w:rFonts w:hint="eastAsia" w:ascii="宋体" w:hAnsi="宋体"/>
          <w:b/>
          <w:kern w:val="44"/>
        </w:rPr>
        <w:t>第六十条</w:t>
      </w:r>
      <w:r>
        <w:rPr>
          <w:rFonts w:hint="eastAsia" w:ascii="宋体" w:hAnsi="宋体"/>
          <w:kern w:val="44"/>
        </w:rPr>
        <w:t>　补选代表，代表候选人的人数可以多于应选代表的名额，也可以同应选代表的名额相等，代表候选人的具体人数由区、县人民代表大会常务委员会决定。</w:t>
      </w:r>
    </w:p>
    <w:p w14:paraId="09806559">
      <w:pPr>
        <w:ind w:firstLine="422"/>
        <w:jc w:val="left"/>
        <w:rPr>
          <w:rFonts w:ascii="宋体" w:hAnsi="宋体"/>
          <w:kern w:val="44"/>
        </w:rPr>
      </w:pPr>
      <w:r>
        <w:rPr>
          <w:rFonts w:hint="eastAsia" w:ascii="宋体" w:hAnsi="宋体"/>
          <w:b/>
          <w:kern w:val="44"/>
        </w:rPr>
        <w:t>第六十一条</w:t>
      </w:r>
      <w:r>
        <w:rPr>
          <w:rFonts w:hint="eastAsia" w:ascii="宋体" w:hAnsi="宋体"/>
          <w:kern w:val="44"/>
        </w:rPr>
        <w:t>　补选机构应当在投票选举日的五日以前，公布代表候选人名单及代表候选人的基本情况。经选民酝酿协商后，由补选机构根据较多数选民的意见确定正式代表候选人名单，并在投票选举日的三日以前公布。</w:t>
      </w:r>
    </w:p>
    <w:p w14:paraId="15813AEA">
      <w:pPr>
        <w:ind w:firstLine="422"/>
        <w:jc w:val="left"/>
        <w:rPr>
          <w:rFonts w:ascii="宋体" w:hAnsi="宋体"/>
          <w:kern w:val="44"/>
        </w:rPr>
      </w:pPr>
      <w:r>
        <w:rPr>
          <w:rFonts w:hint="eastAsia" w:ascii="宋体" w:hAnsi="宋体"/>
          <w:b/>
          <w:kern w:val="44"/>
        </w:rPr>
        <w:t>第六十二条</w:t>
      </w:r>
      <w:r>
        <w:rPr>
          <w:rFonts w:hint="eastAsia" w:ascii="宋体" w:hAnsi="宋体"/>
          <w:kern w:val="44"/>
        </w:rPr>
        <w:t>　补选代表，采用无记名投票方式进行。选区全体选民的过半数参加投票，补选有效。代表候选人获得参加投票的选民过半数的选票时，始得当选。</w:t>
      </w:r>
    </w:p>
    <w:p w14:paraId="69F7FEFC">
      <w:pPr>
        <w:ind w:firstLine="422"/>
        <w:jc w:val="left"/>
        <w:rPr>
          <w:rFonts w:ascii="宋体" w:hAnsi="宋体"/>
          <w:kern w:val="44"/>
        </w:rPr>
      </w:pPr>
      <w:r>
        <w:rPr>
          <w:rFonts w:hint="eastAsia" w:ascii="宋体" w:hAnsi="宋体"/>
          <w:b/>
          <w:kern w:val="44"/>
        </w:rPr>
        <w:t>第六十三条</w:t>
      </w:r>
      <w:r>
        <w:rPr>
          <w:rFonts w:hint="eastAsia" w:ascii="宋体" w:hAnsi="宋体"/>
          <w:kern w:val="44"/>
        </w:rPr>
        <w:t>　补选出缺的代表时，本章没有规定的，适用本实施细则的其他有关规定。</w:t>
      </w:r>
    </w:p>
    <w:p w14:paraId="59A0E89E">
      <w:pPr>
        <w:jc w:val="left"/>
        <w:rPr>
          <w:rFonts w:ascii="宋体" w:hAnsi="宋体"/>
          <w:kern w:val="44"/>
        </w:rPr>
      </w:pPr>
    </w:p>
    <w:p w14:paraId="65F64AE2">
      <w:pPr>
        <w:ind w:firstLine="0" w:firstLineChars="0"/>
        <w:jc w:val="center"/>
        <w:rPr>
          <w:b/>
          <w:kern w:val="44"/>
          <w:sz w:val="28"/>
          <w:szCs w:val="28"/>
        </w:rPr>
      </w:pPr>
      <w:r>
        <w:rPr>
          <w:rFonts w:hint="eastAsia"/>
          <w:b/>
          <w:kern w:val="44"/>
          <w:sz w:val="28"/>
          <w:szCs w:val="28"/>
        </w:rPr>
        <w:t>第九章　对破坏选举的制裁</w:t>
      </w:r>
    </w:p>
    <w:p w14:paraId="106A563D">
      <w:pPr>
        <w:ind w:firstLine="422"/>
        <w:jc w:val="left"/>
        <w:rPr>
          <w:rFonts w:ascii="宋体" w:hAnsi="宋体"/>
          <w:b/>
          <w:kern w:val="44"/>
        </w:rPr>
      </w:pPr>
    </w:p>
    <w:p w14:paraId="4B98FB11">
      <w:pPr>
        <w:ind w:firstLine="422"/>
        <w:jc w:val="left"/>
        <w:rPr>
          <w:rFonts w:ascii="宋体" w:hAnsi="宋体"/>
          <w:kern w:val="44"/>
        </w:rPr>
      </w:pPr>
      <w:r>
        <w:rPr>
          <w:rFonts w:hint="eastAsia" w:ascii="宋体" w:hAnsi="宋体"/>
          <w:b/>
          <w:kern w:val="44"/>
        </w:rPr>
        <w:t>第六十四条</w:t>
      </w:r>
      <w:r>
        <w:rPr>
          <w:rFonts w:hint="eastAsia" w:ascii="宋体" w:hAnsi="宋体"/>
          <w:kern w:val="44"/>
        </w:rPr>
        <w:t>　为保障选民自由行使选举权和被选举权，对有下列行为之一，破坏选举，违反治安管理规定的，依法给予治安管理处罚；构成犯罪的，依法追究刑事责任：</w:t>
      </w:r>
    </w:p>
    <w:p w14:paraId="2654BE6C">
      <w:pPr>
        <w:jc w:val="left"/>
        <w:rPr>
          <w:rFonts w:ascii="宋体" w:hAnsi="宋体"/>
          <w:kern w:val="44"/>
        </w:rPr>
      </w:pPr>
      <w:r>
        <w:rPr>
          <w:rFonts w:hint="eastAsia" w:ascii="宋体" w:hAnsi="宋体"/>
          <w:kern w:val="44"/>
        </w:rPr>
        <w:t>（一）以金钱或者其他财物贿赂选民，妨害选民自由行使选举权和被选举权的；</w:t>
      </w:r>
    </w:p>
    <w:p w14:paraId="0DF630D2">
      <w:pPr>
        <w:jc w:val="left"/>
        <w:rPr>
          <w:rFonts w:ascii="宋体" w:hAnsi="宋体"/>
          <w:kern w:val="44"/>
        </w:rPr>
      </w:pPr>
      <w:r>
        <w:rPr>
          <w:rFonts w:hint="eastAsia" w:ascii="宋体" w:hAnsi="宋体"/>
          <w:kern w:val="44"/>
        </w:rPr>
        <w:t>（二）以暴力、威胁、欺骗或者其他非法手段妨害选民自由行使选举权和被选举权的；</w:t>
      </w:r>
    </w:p>
    <w:p w14:paraId="4197EB4F">
      <w:pPr>
        <w:jc w:val="left"/>
        <w:rPr>
          <w:rFonts w:ascii="宋体" w:hAnsi="宋体"/>
          <w:kern w:val="44"/>
        </w:rPr>
      </w:pPr>
      <w:r>
        <w:rPr>
          <w:rFonts w:hint="eastAsia" w:ascii="宋体" w:hAnsi="宋体"/>
          <w:kern w:val="44"/>
        </w:rPr>
        <w:t>（三）伪造选举文件、虚报选举票数或者有其他违法行为的；</w:t>
      </w:r>
    </w:p>
    <w:p w14:paraId="289D13C2">
      <w:pPr>
        <w:jc w:val="left"/>
        <w:rPr>
          <w:rFonts w:ascii="宋体" w:hAnsi="宋体"/>
          <w:kern w:val="44"/>
        </w:rPr>
      </w:pPr>
      <w:r>
        <w:rPr>
          <w:rFonts w:hint="eastAsia" w:ascii="宋体" w:hAnsi="宋体"/>
          <w:kern w:val="44"/>
        </w:rPr>
        <w:t>（四）对于控告、检举选举中违法行为的人，或者对于提出要求罢免代表的人进行压制、报复的。</w:t>
      </w:r>
    </w:p>
    <w:p w14:paraId="2BE12DA4">
      <w:pPr>
        <w:jc w:val="left"/>
        <w:rPr>
          <w:rFonts w:ascii="宋体" w:hAnsi="宋体"/>
          <w:kern w:val="44"/>
        </w:rPr>
      </w:pPr>
      <w:r>
        <w:rPr>
          <w:rFonts w:hint="eastAsia" w:ascii="宋体" w:hAnsi="宋体"/>
          <w:kern w:val="44"/>
        </w:rPr>
        <w:t>国家工作人员有前款所列行为的，还应当依法给予行政处分。</w:t>
      </w:r>
    </w:p>
    <w:p w14:paraId="6DFEAF47">
      <w:pPr>
        <w:jc w:val="left"/>
        <w:rPr>
          <w:rFonts w:ascii="宋体" w:hAnsi="宋体"/>
          <w:kern w:val="44"/>
        </w:rPr>
      </w:pPr>
      <w:r>
        <w:rPr>
          <w:rFonts w:hint="eastAsia" w:ascii="宋体" w:hAnsi="宋体"/>
          <w:kern w:val="44"/>
        </w:rPr>
        <w:t>以本条第一款所列违法行为当选的，其当选无效。</w:t>
      </w:r>
    </w:p>
    <w:p w14:paraId="0119461B">
      <w:pPr>
        <w:ind w:firstLine="422"/>
        <w:jc w:val="left"/>
        <w:rPr>
          <w:rFonts w:ascii="宋体" w:hAnsi="宋体"/>
          <w:kern w:val="44"/>
        </w:rPr>
      </w:pPr>
      <w:r>
        <w:rPr>
          <w:rFonts w:hint="eastAsia" w:ascii="宋体" w:hAnsi="宋体"/>
          <w:b/>
          <w:kern w:val="44"/>
        </w:rPr>
        <w:t>第六十五条</w:t>
      </w:r>
      <w:r>
        <w:rPr>
          <w:rFonts w:hint="eastAsia" w:ascii="宋体" w:hAnsi="宋体"/>
          <w:kern w:val="44"/>
        </w:rPr>
        <w:t>　选举委员会发现有破坏选举的行为或者收到对破坏选举行为的举报，应当及时依法调查处理；需要追究法律责任的，及时移送有关机关予以处理。</w:t>
      </w:r>
    </w:p>
    <w:p w14:paraId="34EC6A23">
      <w:pPr>
        <w:jc w:val="left"/>
        <w:rPr>
          <w:rFonts w:ascii="宋体" w:hAnsi="宋体"/>
          <w:kern w:val="44"/>
        </w:rPr>
      </w:pPr>
    </w:p>
    <w:p w14:paraId="7A15E4AD">
      <w:pPr>
        <w:ind w:firstLine="0" w:firstLineChars="0"/>
        <w:jc w:val="center"/>
        <w:rPr>
          <w:b/>
          <w:kern w:val="44"/>
          <w:sz w:val="28"/>
          <w:szCs w:val="28"/>
        </w:rPr>
      </w:pPr>
      <w:r>
        <w:rPr>
          <w:rFonts w:hint="eastAsia"/>
          <w:b/>
          <w:kern w:val="44"/>
          <w:sz w:val="28"/>
          <w:szCs w:val="28"/>
        </w:rPr>
        <w:t>第十章　附　则</w:t>
      </w:r>
    </w:p>
    <w:p w14:paraId="3A5D5AC0">
      <w:pPr>
        <w:ind w:firstLine="422"/>
        <w:jc w:val="left"/>
        <w:rPr>
          <w:rFonts w:ascii="宋体" w:hAnsi="宋体"/>
          <w:b/>
          <w:kern w:val="44"/>
        </w:rPr>
      </w:pPr>
    </w:p>
    <w:p w14:paraId="480B007C">
      <w:pPr>
        <w:ind w:firstLine="422"/>
        <w:jc w:val="left"/>
        <w:rPr>
          <w:rFonts w:ascii="宋体" w:hAnsi="宋体"/>
          <w:kern w:val="44"/>
        </w:rPr>
      </w:pPr>
      <w:r>
        <w:rPr>
          <w:rFonts w:hint="eastAsia" w:ascii="宋体" w:hAnsi="宋体"/>
          <w:b/>
          <w:kern w:val="44"/>
        </w:rPr>
        <w:t>第六十六条</w:t>
      </w:r>
      <w:r>
        <w:rPr>
          <w:rFonts w:hint="eastAsia" w:ascii="宋体" w:hAnsi="宋体"/>
          <w:kern w:val="44"/>
        </w:rPr>
        <w:t>　本实施细则自公布之日起实施。</w:t>
      </w:r>
    </w:p>
    <w:p w14:paraId="28C91F48">
      <w:pPr>
        <w:pStyle w:val="4"/>
        <w:pageBreakBefore/>
      </w:pPr>
      <w:bookmarkStart w:id="20" w:name="_Toc422471044"/>
      <w:bookmarkStart w:id="21" w:name="_Toc427651710"/>
      <w:bookmarkStart w:id="22" w:name="_Toc428781416"/>
      <w:bookmarkStart w:id="23" w:name="_Toc427651368"/>
      <w:bookmarkStart w:id="24" w:name="_Toc428779934"/>
      <w:r>
        <w:rPr>
          <w:rFonts w:hint="eastAsia"/>
        </w:rPr>
        <w:t>北京市人民代表大会代表</w:t>
      </w:r>
      <w:bookmarkEnd w:id="20"/>
      <w:bookmarkStart w:id="25" w:name="_Toc422471045"/>
      <w:r>
        <w:rPr>
          <w:rFonts w:hint="eastAsia"/>
        </w:rPr>
        <w:t>视察办法</w:t>
      </w:r>
      <w:bookmarkEnd w:id="21"/>
      <w:bookmarkEnd w:id="22"/>
      <w:bookmarkEnd w:id="23"/>
      <w:bookmarkEnd w:id="24"/>
      <w:bookmarkEnd w:id="25"/>
    </w:p>
    <w:p w14:paraId="18BEE986">
      <w:pPr>
        <w:ind w:left="630" w:leftChars="300" w:right="630" w:rightChars="300"/>
        <w:jc w:val="left"/>
        <w:rPr>
          <w:rFonts w:ascii="楷体" w:hAnsi="楷体" w:eastAsia="楷体"/>
          <w:kern w:val="44"/>
        </w:rPr>
      </w:pPr>
      <w:r>
        <w:rPr>
          <w:rFonts w:hint="eastAsia" w:ascii="楷体" w:hAnsi="楷体" w:eastAsia="楷体"/>
          <w:kern w:val="44"/>
        </w:rPr>
        <w:t>（1996年9月6日北京市第十届人民代表大会常务委员会第三十次会议通过　 2007年10月30日北京市第十二届人民代表大会常务委员会第三十九次会议修订）</w:t>
      </w:r>
    </w:p>
    <w:p w14:paraId="20DF984A">
      <w:pPr>
        <w:jc w:val="left"/>
        <w:rPr>
          <w:rFonts w:ascii="楷体" w:hAnsi="楷体" w:eastAsia="楷体"/>
          <w:kern w:val="44"/>
        </w:rPr>
      </w:pPr>
    </w:p>
    <w:p w14:paraId="784EDB94">
      <w:pPr>
        <w:ind w:firstLine="422"/>
        <w:jc w:val="left"/>
        <w:rPr>
          <w:rFonts w:ascii="宋体" w:hAnsi="宋体"/>
          <w:kern w:val="44"/>
        </w:rPr>
      </w:pPr>
      <w:r>
        <w:rPr>
          <w:rFonts w:hint="eastAsia" w:ascii="宋体" w:hAnsi="宋体"/>
          <w:b/>
          <w:kern w:val="44"/>
        </w:rPr>
        <w:t>第一条</w:t>
      </w:r>
      <w:r>
        <w:rPr>
          <w:rFonts w:hint="eastAsia" w:ascii="宋体" w:hAnsi="宋体"/>
          <w:kern w:val="44"/>
        </w:rPr>
        <w:t>　为了保证北京市人民代表大会代表（以下简称代表）依法进行视察，增强视察实效，根据《中华人民共和国全国人民代表大会和地方各级人民代表大会代表法》和有关法律，结合本市实际，制定本办法。</w:t>
      </w:r>
    </w:p>
    <w:p w14:paraId="42C44F76">
      <w:pPr>
        <w:ind w:firstLine="422"/>
        <w:jc w:val="left"/>
        <w:rPr>
          <w:rFonts w:ascii="宋体" w:hAnsi="宋体"/>
          <w:kern w:val="44"/>
        </w:rPr>
      </w:pPr>
      <w:r>
        <w:rPr>
          <w:rFonts w:hint="eastAsia" w:ascii="宋体" w:hAnsi="宋体"/>
          <w:b/>
          <w:kern w:val="44"/>
        </w:rPr>
        <w:t>第二条</w:t>
      </w:r>
      <w:r>
        <w:rPr>
          <w:rFonts w:hint="eastAsia" w:ascii="宋体" w:hAnsi="宋体"/>
          <w:kern w:val="44"/>
        </w:rPr>
        <w:t>　代表在市人民代表大会闭会期间对本市各级国家机关和有关单位的工作进行视察，是依法执行代表职务的重要活动，是市人民代表大会及其常务委员会对国家机关工作进行监督的一项重要基础工作。</w:t>
      </w:r>
    </w:p>
    <w:p w14:paraId="551EC218">
      <w:pPr>
        <w:jc w:val="left"/>
        <w:rPr>
          <w:rFonts w:ascii="宋体" w:hAnsi="宋体"/>
          <w:kern w:val="44"/>
        </w:rPr>
      </w:pPr>
      <w:r>
        <w:rPr>
          <w:rFonts w:hint="eastAsia" w:ascii="宋体" w:hAnsi="宋体"/>
          <w:kern w:val="44"/>
        </w:rPr>
        <w:t>本市一切组织和个人都必须尊重代表的权利，支持代表依法进行视察。</w:t>
      </w:r>
    </w:p>
    <w:p w14:paraId="19139DE9">
      <w:pPr>
        <w:ind w:firstLine="422"/>
        <w:jc w:val="left"/>
        <w:rPr>
          <w:rFonts w:ascii="宋体" w:hAnsi="宋体"/>
          <w:kern w:val="44"/>
        </w:rPr>
      </w:pPr>
      <w:r>
        <w:rPr>
          <w:rFonts w:hint="eastAsia" w:ascii="宋体" w:hAnsi="宋体"/>
          <w:b/>
          <w:kern w:val="44"/>
        </w:rPr>
        <w:t>第三条</w:t>
      </w:r>
      <w:r>
        <w:rPr>
          <w:rFonts w:hint="eastAsia" w:ascii="宋体" w:hAnsi="宋体"/>
          <w:kern w:val="44"/>
        </w:rPr>
        <w:t>　市人民代表大会常务委员会（以下简称市人大常委会）在市人民代表大会召开之前，应当组织或者委托区、县人大常委会组织代表就市人民代表大会及其常务委员会决议、决定的贯彻落实情况，本市国民经济和社会发展计划、预算的执行情况，以及人民群众普遍关心的问题进行集中视察。</w:t>
      </w:r>
    </w:p>
    <w:p w14:paraId="575C3B7D">
      <w:pPr>
        <w:jc w:val="left"/>
        <w:rPr>
          <w:rFonts w:ascii="宋体" w:hAnsi="宋体"/>
          <w:kern w:val="44"/>
        </w:rPr>
      </w:pPr>
      <w:r>
        <w:rPr>
          <w:rFonts w:hint="eastAsia" w:ascii="宋体" w:hAnsi="宋体"/>
          <w:kern w:val="44"/>
        </w:rPr>
        <w:t>集中视察应当制定视察方案，确定视察内容时应当听取代表和有关方面的意见。视察方案经市人大常委会主任会议同意后实施。</w:t>
      </w:r>
    </w:p>
    <w:p w14:paraId="20301CB3">
      <w:pPr>
        <w:ind w:firstLine="422"/>
        <w:jc w:val="left"/>
        <w:rPr>
          <w:rFonts w:ascii="宋体" w:hAnsi="宋体"/>
          <w:kern w:val="44"/>
        </w:rPr>
      </w:pPr>
      <w:r>
        <w:rPr>
          <w:rFonts w:hint="eastAsia" w:ascii="宋体" w:hAnsi="宋体"/>
          <w:b/>
          <w:kern w:val="44"/>
        </w:rPr>
        <w:t>第四条</w:t>
      </w:r>
      <w:r>
        <w:rPr>
          <w:rFonts w:hint="eastAsia" w:ascii="宋体" w:hAnsi="宋体"/>
          <w:kern w:val="44"/>
        </w:rPr>
        <w:t>　市人大常委会工作机构可以根据市人大常委会的工作计划和要求组织代表进行专题视察。</w:t>
      </w:r>
    </w:p>
    <w:p w14:paraId="2E813FA1">
      <w:pPr>
        <w:jc w:val="left"/>
        <w:rPr>
          <w:rFonts w:ascii="宋体" w:hAnsi="宋体"/>
          <w:kern w:val="44"/>
        </w:rPr>
      </w:pPr>
      <w:r>
        <w:rPr>
          <w:rFonts w:hint="eastAsia" w:ascii="宋体" w:hAnsi="宋体"/>
          <w:kern w:val="44"/>
        </w:rPr>
        <w:t>市人大常委会可以根据需要委托区、县人大常委会组织代表进行专题视察。</w:t>
      </w:r>
    </w:p>
    <w:p w14:paraId="44A2FE33">
      <w:pPr>
        <w:jc w:val="left"/>
        <w:rPr>
          <w:rFonts w:ascii="宋体" w:hAnsi="宋体"/>
          <w:kern w:val="44"/>
        </w:rPr>
      </w:pPr>
      <w:r>
        <w:rPr>
          <w:rFonts w:hint="eastAsia" w:ascii="宋体" w:hAnsi="宋体"/>
          <w:kern w:val="44"/>
        </w:rPr>
        <w:t>驻京部队代表的专题视察，由市人大常委会有关工作机构和驻京部队有关部门共同组  织。</w:t>
      </w:r>
    </w:p>
    <w:p w14:paraId="67CFEA32">
      <w:pPr>
        <w:ind w:firstLine="422"/>
        <w:jc w:val="left"/>
        <w:rPr>
          <w:rFonts w:ascii="宋体" w:hAnsi="宋体"/>
          <w:kern w:val="44"/>
        </w:rPr>
      </w:pPr>
      <w:r>
        <w:rPr>
          <w:rFonts w:hint="eastAsia" w:ascii="宋体" w:hAnsi="宋体"/>
          <w:b/>
          <w:kern w:val="44"/>
        </w:rPr>
        <w:t>第五条</w:t>
      </w:r>
      <w:r>
        <w:rPr>
          <w:rFonts w:hint="eastAsia" w:ascii="宋体" w:hAnsi="宋体"/>
          <w:kern w:val="44"/>
        </w:rPr>
        <w:t>　代表小组视察一般在代表原选举单位的行政区域内进行。代表小组组长就视察的内容和时间征求代表意见后，同所在区、县人大常委会研究安排。</w:t>
      </w:r>
    </w:p>
    <w:p w14:paraId="0FC1C317">
      <w:pPr>
        <w:ind w:firstLine="422"/>
        <w:jc w:val="left"/>
        <w:rPr>
          <w:rFonts w:ascii="宋体" w:hAnsi="宋体"/>
          <w:kern w:val="44"/>
        </w:rPr>
      </w:pPr>
      <w:r>
        <w:rPr>
          <w:rFonts w:hint="eastAsia" w:ascii="宋体" w:hAnsi="宋体"/>
          <w:b/>
          <w:kern w:val="44"/>
        </w:rPr>
        <w:t>第六条</w:t>
      </w:r>
      <w:r>
        <w:rPr>
          <w:rFonts w:hint="eastAsia" w:ascii="宋体" w:hAnsi="宋体"/>
          <w:kern w:val="44"/>
        </w:rPr>
        <w:t>　根据代表的要求，经市和区、县人大常委会联系安排，代表可以持代表证就地进行视察。</w:t>
      </w:r>
    </w:p>
    <w:p w14:paraId="6E547879">
      <w:pPr>
        <w:jc w:val="left"/>
        <w:rPr>
          <w:rFonts w:ascii="宋体" w:hAnsi="宋体"/>
          <w:kern w:val="44"/>
        </w:rPr>
      </w:pPr>
      <w:r>
        <w:rPr>
          <w:rFonts w:hint="eastAsia" w:ascii="宋体" w:hAnsi="宋体"/>
          <w:kern w:val="44"/>
        </w:rPr>
        <w:t>市人大常委会可以建议代表就某一问题持代表证进行视察。</w:t>
      </w:r>
    </w:p>
    <w:p w14:paraId="5B299D07">
      <w:pPr>
        <w:ind w:firstLine="422"/>
        <w:jc w:val="left"/>
        <w:rPr>
          <w:rFonts w:ascii="宋体" w:hAnsi="宋体"/>
          <w:kern w:val="44"/>
        </w:rPr>
      </w:pPr>
      <w:r>
        <w:rPr>
          <w:rFonts w:hint="eastAsia" w:ascii="宋体" w:hAnsi="宋体"/>
          <w:b/>
          <w:kern w:val="44"/>
        </w:rPr>
        <w:t>第七条</w:t>
      </w:r>
      <w:r>
        <w:rPr>
          <w:rFonts w:hint="eastAsia" w:ascii="宋体" w:hAnsi="宋体"/>
          <w:kern w:val="44"/>
        </w:rPr>
        <w:t>　视察应当采取多种形式，兼顾不同类型单位，便于代表全面、真实地了解情况。</w:t>
      </w:r>
    </w:p>
    <w:p w14:paraId="4608316B">
      <w:pPr>
        <w:jc w:val="left"/>
        <w:rPr>
          <w:rFonts w:ascii="宋体" w:hAnsi="宋体"/>
          <w:kern w:val="44"/>
        </w:rPr>
      </w:pPr>
      <w:r>
        <w:rPr>
          <w:rFonts w:hint="eastAsia" w:ascii="宋体" w:hAnsi="宋体"/>
          <w:kern w:val="44"/>
        </w:rPr>
        <w:t>视察应当注重实效，俭朴节约。</w:t>
      </w:r>
    </w:p>
    <w:p w14:paraId="7B57AE14">
      <w:pPr>
        <w:ind w:firstLine="422"/>
        <w:jc w:val="left"/>
        <w:rPr>
          <w:rFonts w:ascii="宋体" w:hAnsi="宋体"/>
          <w:kern w:val="44"/>
        </w:rPr>
      </w:pPr>
      <w:r>
        <w:rPr>
          <w:rFonts w:hint="eastAsia" w:ascii="宋体" w:hAnsi="宋体"/>
          <w:b/>
          <w:kern w:val="44"/>
        </w:rPr>
        <w:t>第八条</w:t>
      </w:r>
      <w:r>
        <w:rPr>
          <w:rFonts w:hint="eastAsia" w:ascii="宋体" w:hAnsi="宋体"/>
          <w:kern w:val="44"/>
        </w:rPr>
        <w:t>　代表应当积极参加视察。代表接到视察通知后因故不能参加时，应当请假。</w:t>
      </w:r>
    </w:p>
    <w:p w14:paraId="0A253B15">
      <w:pPr>
        <w:jc w:val="left"/>
        <w:rPr>
          <w:rFonts w:ascii="宋体" w:hAnsi="宋体"/>
          <w:kern w:val="44"/>
        </w:rPr>
      </w:pPr>
      <w:r>
        <w:rPr>
          <w:rFonts w:hint="eastAsia" w:ascii="宋体" w:hAnsi="宋体"/>
          <w:kern w:val="44"/>
        </w:rPr>
        <w:t>代表参加视察，应当遵守法律、法规，学习和宣传与视察内容有关的法律、法规和国家的方针、政策，深入了解情况，听取人民群众以及有关方面的意见和要求。</w:t>
      </w:r>
    </w:p>
    <w:p w14:paraId="0F6AE527">
      <w:pPr>
        <w:ind w:firstLine="422"/>
        <w:jc w:val="left"/>
        <w:rPr>
          <w:rFonts w:ascii="宋体" w:hAnsi="宋体"/>
          <w:kern w:val="44"/>
        </w:rPr>
      </w:pPr>
      <w:r>
        <w:rPr>
          <w:rFonts w:hint="eastAsia" w:ascii="宋体" w:hAnsi="宋体"/>
          <w:b/>
          <w:kern w:val="44"/>
        </w:rPr>
        <w:t>第九条</w:t>
      </w:r>
      <w:r>
        <w:rPr>
          <w:rFonts w:hint="eastAsia" w:ascii="宋体" w:hAnsi="宋体"/>
          <w:kern w:val="44"/>
        </w:rPr>
        <w:t>　代表视察时，可以向被视察单位提出建议、批评和意见，但不直接处理问题。</w:t>
      </w:r>
    </w:p>
    <w:p w14:paraId="3DE62FF0">
      <w:pPr>
        <w:jc w:val="left"/>
        <w:rPr>
          <w:rFonts w:ascii="宋体" w:hAnsi="宋体"/>
          <w:kern w:val="44"/>
        </w:rPr>
      </w:pPr>
      <w:r>
        <w:rPr>
          <w:rFonts w:hint="eastAsia" w:ascii="宋体" w:hAnsi="宋体"/>
          <w:kern w:val="44"/>
        </w:rPr>
        <w:t>代表视察中发现需要由本市有关国家机关和组织研究处理的问题，可以按照《北京市人民代表大会代表建议、批评和意见办理条例》的规定，书面提出建议、批评和意见。</w:t>
      </w:r>
    </w:p>
    <w:p w14:paraId="31A0AA58">
      <w:pPr>
        <w:ind w:firstLine="422"/>
        <w:jc w:val="left"/>
        <w:rPr>
          <w:rFonts w:ascii="宋体" w:hAnsi="宋体"/>
          <w:kern w:val="44"/>
        </w:rPr>
      </w:pPr>
      <w:r>
        <w:rPr>
          <w:rFonts w:hint="eastAsia" w:ascii="宋体" w:hAnsi="宋体"/>
          <w:b/>
          <w:kern w:val="44"/>
        </w:rPr>
        <w:t>第十条</w:t>
      </w:r>
      <w:r>
        <w:rPr>
          <w:rFonts w:hint="eastAsia" w:ascii="宋体" w:hAnsi="宋体"/>
          <w:kern w:val="44"/>
        </w:rPr>
        <w:t>　代表参加市人大常委会统一安排的视察，可以就视察中发现的重大问题，向市人大常委会有关工作机构书面提出约见本级或者下级有关国家机关负责人。</w:t>
      </w:r>
    </w:p>
    <w:p w14:paraId="36072A7E">
      <w:pPr>
        <w:jc w:val="left"/>
        <w:rPr>
          <w:rFonts w:ascii="宋体" w:hAnsi="宋体"/>
          <w:kern w:val="44"/>
        </w:rPr>
      </w:pPr>
      <w:r>
        <w:rPr>
          <w:rFonts w:hint="eastAsia" w:ascii="宋体" w:hAnsi="宋体"/>
          <w:kern w:val="44"/>
        </w:rPr>
        <w:t>市人大常委会有关工作机构接到代表提出的约见要求后，应当及时同有关国家机关联系，并作出安排。</w:t>
      </w:r>
    </w:p>
    <w:p w14:paraId="3E22B530">
      <w:pPr>
        <w:jc w:val="left"/>
        <w:rPr>
          <w:rFonts w:ascii="宋体" w:hAnsi="宋体"/>
          <w:kern w:val="44"/>
        </w:rPr>
      </w:pPr>
      <w:r>
        <w:rPr>
          <w:rFonts w:hint="eastAsia" w:ascii="宋体" w:hAnsi="宋体"/>
          <w:kern w:val="44"/>
        </w:rPr>
        <w:t>被约见的有关国家机关负责人或者其委托的负责人员应当听取代表的建议、批评和意见，给予必要的说明和回答。</w:t>
      </w:r>
    </w:p>
    <w:p w14:paraId="46197C48">
      <w:pPr>
        <w:ind w:firstLine="422"/>
        <w:jc w:val="left"/>
        <w:rPr>
          <w:rFonts w:ascii="宋体" w:hAnsi="宋体"/>
          <w:kern w:val="44"/>
        </w:rPr>
      </w:pPr>
      <w:r>
        <w:rPr>
          <w:rFonts w:hint="eastAsia" w:ascii="宋体" w:hAnsi="宋体"/>
          <w:b/>
          <w:kern w:val="44"/>
        </w:rPr>
        <w:t>第十一条</w:t>
      </w:r>
      <w:r>
        <w:rPr>
          <w:rFonts w:hint="eastAsia" w:ascii="宋体" w:hAnsi="宋体"/>
          <w:kern w:val="44"/>
        </w:rPr>
        <w:t>　本市各级国家机关和有关单位，在接受代表视察时，应当提供相关材料，其负责人应当向代表如实汇报情况，认真听取代表意见，回答代表提出的问题。</w:t>
      </w:r>
    </w:p>
    <w:p w14:paraId="3714629B">
      <w:pPr>
        <w:jc w:val="left"/>
        <w:rPr>
          <w:rFonts w:ascii="宋体" w:hAnsi="宋体"/>
          <w:kern w:val="44"/>
        </w:rPr>
      </w:pPr>
      <w:r>
        <w:rPr>
          <w:rFonts w:hint="eastAsia" w:ascii="宋体" w:hAnsi="宋体"/>
          <w:kern w:val="44"/>
        </w:rPr>
        <w:t>有关国家机关和组织接到代表书面提出的建议、批评和意见后，应当按照《北京市人民代表大会代表建议、批评和意见办理条例》的规定认真办理，并答复代表。</w:t>
      </w:r>
    </w:p>
    <w:p w14:paraId="01EDE8C2">
      <w:pPr>
        <w:ind w:firstLine="422"/>
        <w:jc w:val="left"/>
        <w:rPr>
          <w:rFonts w:ascii="宋体" w:hAnsi="宋体"/>
          <w:kern w:val="44"/>
        </w:rPr>
      </w:pPr>
      <w:r>
        <w:rPr>
          <w:rFonts w:hint="eastAsia" w:ascii="宋体" w:hAnsi="宋体"/>
          <w:b/>
          <w:kern w:val="44"/>
        </w:rPr>
        <w:t>第十二条</w:t>
      </w:r>
      <w:r>
        <w:rPr>
          <w:rFonts w:hint="eastAsia" w:ascii="宋体" w:hAnsi="宋体"/>
          <w:kern w:val="44"/>
        </w:rPr>
        <w:t>　视察结束后，市人大常委会有关工作机构应当及时汇总代表提出的意见和建议，交有关国家机关和组织研究处理。</w:t>
      </w:r>
    </w:p>
    <w:p w14:paraId="39CB38FF">
      <w:pPr>
        <w:ind w:firstLine="422"/>
        <w:jc w:val="left"/>
        <w:rPr>
          <w:rFonts w:ascii="宋体" w:hAnsi="宋体"/>
          <w:kern w:val="44"/>
        </w:rPr>
      </w:pPr>
      <w:r>
        <w:rPr>
          <w:rFonts w:hint="eastAsia" w:ascii="宋体" w:hAnsi="宋体"/>
          <w:b/>
          <w:kern w:val="44"/>
        </w:rPr>
        <w:t>第十三条</w:t>
      </w:r>
      <w:r>
        <w:rPr>
          <w:rFonts w:hint="eastAsia" w:ascii="宋体" w:hAnsi="宋体"/>
          <w:kern w:val="44"/>
        </w:rPr>
        <w:t>　代表视察经费列入市级预算，专款专用。</w:t>
      </w:r>
    </w:p>
    <w:p w14:paraId="2A258012">
      <w:pPr>
        <w:ind w:firstLine="422"/>
        <w:jc w:val="left"/>
        <w:rPr>
          <w:rFonts w:ascii="宋体" w:hAnsi="宋体"/>
          <w:kern w:val="44"/>
        </w:rPr>
      </w:pPr>
      <w:r>
        <w:rPr>
          <w:rFonts w:hint="eastAsia" w:ascii="宋体" w:hAnsi="宋体"/>
          <w:b/>
          <w:kern w:val="44"/>
        </w:rPr>
        <w:t>第十四条</w:t>
      </w:r>
      <w:r>
        <w:rPr>
          <w:rFonts w:hint="eastAsia" w:ascii="宋体" w:hAnsi="宋体"/>
          <w:kern w:val="44"/>
        </w:rPr>
        <w:t>　代表所在单位应当支持代表参加视察，对代表参加视察的时间必须给予保障。</w:t>
      </w:r>
    </w:p>
    <w:p w14:paraId="2D62FBBB">
      <w:pPr>
        <w:jc w:val="left"/>
        <w:rPr>
          <w:rFonts w:ascii="宋体" w:hAnsi="宋体"/>
          <w:kern w:val="44"/>
        </w:rPr>
      </w:pPr>
      <w:r>
        <w:rPr>
          <w:rFonts w:hint="eastAsia" w:ascii="宋体" w:hAnsi="宋体"/>
          <w:kern w:val="44"/>
        </w:rPr>
        <w:t>代表参加视察，按正常出勤对待，享受所在单位的工资、奖金和其他待遇。</w:t>
      </w:r>
    </w:p>
    <w:p w14:paraId="28B7EB3F">
      <w:pPr>
        <w:ind w:firstLine="422"/>
        <w:jc w:val="left"/>
        <w:rPr>
          <w:rFonts w:ascii="宋体" w:hAnsi="宋体"/>
          <w:kern w:val="44"/>
        </w:rPr>
      </w:pPr>
      <w:r>
        <w:rPr>
          <w:rFonts w:hint="eastAsia" w:ascii="宋体" w:hAnsi="宋体"/>
          <w:b/>
          <w:kern w:val="44"/>
        </w:rPr>
        <w:t>第十五条</w:t>
      </w:r>
      <w:r>
        <w:rPr>
          <w:rFonts w:hint="eastAsia" w:ascii="宋体" w:hAnsi="宋体"/>
          <w:kern w:val="44"/>
        </w:rPr>
        <w:t>　拒绝或者阻碍代表依法进行视察以及对提出批评或者反映问题的代表进行威胁或者打击报复的，依照《中华人民共和国全国人民代表大会和地方各级人民代表大会代表法》的规定处理。</w:t>
      </w:r>
    </w:p>
    <w:p w14:paraId="760DB731">
      <w:pPr>
        <w:ind w:firstLine="422"/>
        <w:jc w:val="left"/>
        <w:rPr>
          <w:rFonts w:ascii="宋体" w:hAnsi="宋体"/>
          <w:kern w:val="44"/>
        </w:rPr>
      </w:pPr>
      <w:r>
        <w:rPr>
          <w:rFonts w:hint="eastAsia" w:ascii="宋体" w:hAnsi="宋体"/>
          <w:b/>
          <w:kern w:val="44"/>
        </w:rPr>
        <w:t>第十六条</w:t>
      </w:r>
      <w:r>
        <w:rPr>
          <w:rFonts w:hint="eastAsia" w:ascii="宋体" w:hAnsi="宋体"/>
          <w:kern w:val="44"/>
        </w:rPr>
        <w:t>　本市各区、县人民代表大会代表以及乡、民族乡、镇人民代表大会代表的视察，可以参照本办法执行。</w:t>
      </w:r>
    </w:p>
    <w:p w14:paraId="21CC0EDF">
      <w:pPr>
        <w:ind w:firstLine="422"/>
        <w:jc w:val="left"/>
        <w:rPr>
          <w:rFonts w:ascii="宋体" w:hAnsi="宋体"/>
          <w:kern w:val="44"/>
        </w:rPr>
      </w:pPr>
      <w:r>
        <w:rPr>
          <w:rFonts w:hint="eastAsia" w:ascii="宋体" w:hAnsi="宋体"/>
          <w:b/>
          <w:kern w:val="44"/>
        </w:rPr>
        <w:t>第十七条</w:t>
      </w:r>
      <w:r>
        <w:rPr>
          <w:rFonts w:hint="eastAsia" w:ascii="宋体" w:hAnsi="宋体"/>
          <w:kern w:val="44"/>
        </w:rPr>
        <w:t>　本办法自公布之日起施行。</w:t>
      </w:r>
    </w:p>
    <w:p w14:paraId="12B3D707">
      <w:pPr>
        <w:pStyle w:val="4"/>
        <w:pageBreakBefore/>
        <w:rPr>
          <w:kern w:val="44"/>
        </w:rPr>
      </w:pPr>
      <w:bookmarkStart w:id="26" w:name="_Toc427651711"/>
      <w:bookmarkStart w:id="27" w:name="_Toc422471046"/>
      <w:bookmarkStart w:id="28" w:name="_Toc428781417"/>
      <w:bookmarkStart w:id="29" w:name="_Toc428779935"/>
      <w:bookmarkStart w:id="30" w:name="_Toc427651369"/>
      <w:r>
        <w:rPr>
          <w:rFonts w:hint="eastAsia"/>
          <w:kern w:val="44"/>
        </w:rPr>
        <w:t>北京市人民代表大会代表建议、</w:t>
      </w:r>
      <w:bookmarkEnd w:id="26"/>
      <w:bookmarkEnd w:id="27"/>
      <w:bookmarkEnd w:id="28"/>
      <w:bookmarkEnd w:id="29"/>
      <w:bookmarkEnd w:id="30"/>
    </w:p>
    <w:p w14:paraId="586619CC">
      <w:pPr>
        <w:pStyle w:val="4"/>
        <w:rPr>
          <w:kern w:val="44"/>
        </w:rPr>
      </w:pPr>
      <w:bookmarkStart w:id="31" w:name="_Toc427651370"/>
      <w:bookmarkStart w:id="32" w:name="_Toc428781418"/>
      <w:bookmarkStart w:id="33" w:name="_Toc428779936"/>
      <w:bookmarkStart w:id="34" w:name="_Toc427651712"/>
      <w:bookmarkStart w:id="35" w:name="_Toc422471047"/>
      <w:r>
        <w:rPr>
          <w:rFonts w:hint="eastAsia"/>
          <w:kern w:val="44"/>
        </w:rPr>
        <w:t>批评和意见办理条例</w:t>
      </w:r>
      <w:bookmarkEnd w:id="31"/>
      <w:bookmarkEnd w:id="32"/>
      <w:bookmarkEnd w:id="33"/>
      <w:bookmarkEnd w:id="34"/>
      <w:bookmarkEnd w:id="35"/>
    </w:p>
    <w:p w14:paraId="522A3E7F">
      <w:pPr>
        <w:ind w:left="630" w:leftChars="300" w:right="630" w:rightChars="300"/>
        <w:jc w:val="center"/>
        <w:rPr>
          <w:rFonts w:ascii="楷体" w:hAnsi="楷体" w:eastAsia="楷体"/>
          <w:kern w:val="44"/>
        </w:rPr>
      </w:pPr>
      <w:r>
        <w:rPr>
          <w:rFonts w:hint="eastAsia" w:ascii="楷体" w:hAnsi="楷体" w:eastAsia="楷体"/>
          <w:kern w:val="44"/>
        </w:rPr>
        <w:t>（2014年1月22日北京市第十四届人民代表大会第二次会议通过）</w:t>
      </w:r>
    </w:p>
    <w:p w14:paraId="2A78E8CD">
      <w:pPr>
        <w:jc w:val="left"/>
        <w:rPr>
          <w:rFonts w:ascii="宋体" w:hAnsi="宋体"/>
          <w:kern w:val="44"/>
        </w:rPr>
      </w:pPr>
    </w:p>
    <w:p w14:paraId="48F146AB">
      <w:pPr>
        <w:ind w:firstLine="0" w:firstLineChars="0"/>
        <w:jc w:val="center"/>
        <w:rPr>
          <w:b/>
          <w:kern w:val="44"/>
          <w:sz w:val="28"/>
        </w:rPr>
      </w:pPr>
      <w:r>
        <w:rPr>
          <w:rFonts w:hint="eastAsia"/>
          <w:b/>
          <w:kern w:val="44"/>
          <w:sz w:val="28"/>
        </w:rPr>
        <w:t>第一章　总　则</w:t>
      </w:r>
    </w:p>
    <w:p w14:paraId="503819F0">
      <w:pPr>
        <w:ind w:firstLine="422"/>
        <w:jc w:val="left"/>
        <w:rPr>
          <w:rFonts w:ascii="宋体" w:hAnsi="宋体"/>
          <w:b/>
          <w:kern w:val="44"/>
        </w:rPr>
      </w:pPr>
    </w:p>
    <w:p w14:paraId="77DD1844">
      <w:pPr>
        <w:ind w:firstLine="422"/>
        <w:jc w:val="left"/>
        <w:rPr>
          <w:rFonts w:ascii="宋体" w:hAnsi="宋体"/>
          <w:kern w:val="44"/>
        </w:rPr>
      </w:pPr>
      <w:r>
        <w:rPr>
          <w:rFonts w:hint="eastAsia" w:ascii="宋体" w:hAnsi="宋体"/>
          <w:b/>
          <w:kern w:val="44"/>
        </w:rPr>
        <w:t>第一条</w:t>
      </w:r>
      <w:r>
        <w:rPr>
          <w:rFonts w:hint="eastAsia" w:ascii="宋体" w:hAnsi="宋体"/>
          <w:kern w:val="44"/>
        </w:rPr>
        <w:t xml:space="preserve">  为了坚持和完善人民代表大会制度，保障代表依法行使提出建议、批评和意见的权利，规范市人民代表大会代表建议、批评和意见的提出、交办、办理和监督工作，根据《中华人民共和国全国人民代表大会和地方各级人民代表大会代表法》和有关法律，结合本市实际情况，制定本条例。</w:t>
      </w:r>
    </w:p>
    <w:p w14:paraId="3BB03C80">
      <w:pPr>
        <w:ind w:firstLine="422"/>
        <w:jc w:val="left"/>
        <w:rPr>
          <w:rFonts w:ascii="宋体" w:hAnsi="宋体"/>
          <w:kern w:val="44"/>
        </w:rPr>
      </w:pPr>
      <w:r>
        <w:rPr>
          <w:rFonts w:hint="eastAsia" w:ascii="宋体" w:hAnsi="宋体"/>
          <w:b/>
          <w:kern w:val="44"/>
        </w:rPr>
        <w:t>第二条</w:t>
      </w:r>
      <w:r>
        <w:rPr>
          <w:rFonts w:hint="eastAsia" w:ascii="宋体" w:hAnsi="宋体"/>
          <w:kern w:val="44"/>
        </w:rPr>
        <w:t>　代表建议、批评和意见的提出、交办、办理和监督，适用本条例。</w:t>
      </w:r>
    </w:p>
    <w:p w14:paraId="082CC800">
      <w:pPr>
        <w:jc w:val="left"/>
        <w:rPr>
          <w:rFonts w:ascii="宋体" w:hAnsi="宋体"/>
          <w:kern w:val="44"/>
        </w:rPr>
      </w:pPr>
      <w:r>
        <w:rPr>
          <w:rFonts w:hint="eastAsia" w:ascii="宋体" w:hAnsi="宋体"/>
          <w:kern w:val="44"/>
        </w:rPr>
        <w:t>前款规定的代表建议、批评和意见，包括代表在市人民代表大会会议期间和闭会期间按照规定格式书面提出的建议、批评和意见，以及市人民代表大会主席团审议决定作为建议、批评和意见处理的代表或者代表团提出的议案。</w:t>
      </w:r>
    </w:p>
    <w:p w14:paraId="43D20034">
      <w:pPr>
        <w:ind w:firstLine="422"/>
        <w:jc w:val="left"/>
        <w:rPr>
          <w:rFonts w:ascii="宋体" w:hAnsi="宋体"/>
          <w:kern w:val="44"/>
        </w:rPr>
      </w:pPr>
      <w:r>
        <w:rPr>
          <w:rFonts w:hint="eastAsia" w:ascii="宋体" w:hAnsi="宋体"/>
          <w:b/>
          <w:kern w:val="44"/>
        </w:rPr>
        <w:t>第三条</w:t>
      </w:r>
      <w:r>
        <w:rPr>
          <w:rFonts w:hint="eastAsia" w:ascii="宋体" w:hAnsi="宋体"/>
          <w:kern w:val="44"/>
        </w:rPr>
        <w:t>　代表是国家权力机关的组成人员，对本市各方面的工作提出建议、批评和意见，是代表依法享有的权利，是代表执行代表职务的重要方式之一。</w:t>
      </w:r>
    </w:p>
    <w:p w14:paraId="6F177E07">
      <w:pPr>
        <w:jc w:val="left"/>
        <w:rPr>
          <w:rFonts w:ascii="宋体" w:hAnsi="宋体"/>
          <w:kern w:val="44"/>
        </w:rPr>
      </w:pPr>
      <w:r>
        <w:rPr>
          <w:rFonts w:hint="eastAsia" w:ascii="宋体" w:hAnsi="宋体"/>
          <w:kern w:val="44"/>
        </w:rPr>
        <w:t>代表提出建议、批评和意见是反映人民群众意愿，汇集人民群众智慧，保证人民通过人民代表大会参与管理国家事务、管理经济和文化事业、管理社会事务的重要途径。</w:t>
      </w:r>
    </w:p>
    <w:p w14:paraId="44153F07">
      <w:pPr>
        <w:jc w:val="left"/>
        <w:rPr>
          <w:rFonts w:ascii="宋体" w:hAnsi="宋体"/>
          <w:kern w:val="44"/>
        </w:rPr>
      </w:pPr>
      <w:r>
        <w:rPr>
          <w:rFonts w:hint="eastAsia" w:ascii="宋体" w:hAnsi="宋体"/>
          <w:kern w:val="44"/>
        </w:rPr>
        <w:t>代表建议、批评和意见，是有关机关和组织科学决策、依法行政、公正司法的民意来源和重要参考。办理代表建议、批评和意见，是有关机关和组织的法定职责和密切与人民群众联系的重要方式。</w:t>
      </w:r>
    </w:p>
    <w:p w14:paraId="02433ECC">
      <w:pPr>
        <w:ind w:firstLine="422"/>
        <w:jc w:val="left"/>
        <w:rPr>
          <w:rFonts w:ascii="宋体" w:hAnsi="宋体"/>
          <w:kern w:val="44"/>
        </w:rPr>
      </w:pPr>
      <w:r>
        <w:rPr>
          <w:rFonts w:hint="eastAsia" w:ascii="宋体" w:hAnsi="宋体"/>
          <w:b/>
          <w:kern w:val="44"/>
        </w:rPr>
        <w:t>第四条</w:t>
      </w:r>
      <w:r>
        <w:rPr>
          <w:rFonts w:hint="eastAsia" w:ascii="宋体" w:hAnsi="宋体"/>
          <w:kern w:val="44"/>
        </w:rPr>
        <w:t>　代表建议、批评和意见的提出和办理，应当统筹兼顾国家利益、社会公共利益和部分地区、部分人民群众的具体利益。</w:t>
      </w:r>
    </w:p>
    <w:p w14:paraId="2F01FEE7">
      <w:pPr>
        <w:ind w:firstLine="422"/>
        <w:jc w:val="left"/>
        <w:rPr>
          <w:rFonts w:ascii="宋体" w:hAnsi="宋体"/>
          <w:kern w:val="44"/>
        </w:rPr>
      </w:pPr>
      <w:r>
        <w:rPr>
          <w:rFonts w:hint="eastAsia" w:ascii="宋体" w:hAnsi="宋体"/>
          <w:b/>
          <w:kern w:val="44"/>
        </w:rPr>
        <w:t>第五条</w:t>
      </w:r>
      <w:r>
        <w:rPr>
          <w:rFonts w:hint="eastAsia" w:ascii="宋体" w:hAnsi="宋体"/>
          <w:kern w:val="44"/>
        </w:rPr>
        <w:t>　有关机关和组织应当加强对代表建议、批评和意见的整体研究和办理工作的统筹协调，建立办理工作制度，完善办理程序，提高办理工作的质量和效率。</w:t>
      </w:r>
    </w:p>
    <w:p w14:paraId="1130B49B">
      <w:pPr>
        <w:jc w:val="left"/>
        <w:rPr>
          <w:rFonts w:ascii="宋体" w:hAnsi="宋体"/>
          <w:kern w:val="44"/>
        </w:rPr>
      </w:pPr>
      <w:r>
        <w:rPr>
          <w:rFonts w:hint="eastAsia" w:ascii="宋体" w:hAnsi="宋体"/>
          <w:kern w:val="44"/>
        </w:rPr>
        <w:t>有关机关和组织应当将代表建议、批评和意见办理工作与依法履行职责有机结合，认真采纳代表合理的建议和意见，使人民群众的意志和愿望有序进入决策和工作当中。</w:t>
      </w:r>
    </w:p>
    <w:p w14:paraId="76FA5C37">
      <w:pPr>
        <w:ind w:firstLine="422"/>
        <w:jc w:val="left"/>
        <w:rPr>
          <w:rFonts w:ascii="宋体" w:hAnsi="宋体"/>
          <w:kern w:val="44"/>
        </w:rPr>
      </w:pPr>
      <w:r>
        <w:rPr>
          <w:rFonts w:hint="eastAsia" w:ascii="宋体" w:hAnsi="宋体"/>
          <w:b/>
          <w:kern w:val="44"/>
        </w:rPr>
        <w:t>第六条</w:t>
      </w:r>
      <w:r>
        <w:rPr>
          <w:rFonts w:hint="eastAsia" w:ascii="宋体" w:hAnsi="宋体"/>
          <w:kern w:val="44"/>
        </w:rPr>
        <w:t>　市人民代表大会常务委员会应当加强组织、协调工作，为代表提出建议、批评和意见提供服务保障，对办理工作履行监督职责。</w:t>
      </w:r>
    </w:p>
    <w:p w14:paraId="096ED5A3">
      <w:pPr>
        <w:jc w:val="left"/>
        <w:rPr>
          <w:rFonts w:ascii="宋体" w:hAnsi="宋体"/>
          <w:kern w:val="44"/>
        </w:rPr>
      </w:pPr>
    </w:p>
    <w:p w14:paraId="72239B6A">
      <w:pPr>
        <w:ind w:firstLine="0" w:firstLineChars="0"/>
        <w:jc w:val="center"/>
        <w:rPr>
          <w:b/>
          <w:kern w:val="44"/>
          <w:sz w:val="28"/>
        </w:rPr>
      </w:pPr>
      <w:r>
        <w:rPr>
          <w:rFonts w:hint="eastAsia"/>
          <w:b/>
          <w:kern w:val="44"/>
          <w:sz w:val="28"/>
        </w:rPr>
        <w:t>第二章　代表建议、批评和意见的提出</w:t>
      </w:r>
    </w:p>
    <w:p w14:paraId="2EAA30E6">
      <w:pPr>
        <w:ind w:firstLine="422"/>
        <w:jc w:val="left"/>
        <w:rPr>
          <w:rFonts w:ascii="宋体" w:hAnsi="宋体"/>
          <w:b/>
          <w:kern w:val="44"/>
        </w:rPr>
      </w:pPr>
    </w:p>
    <w:p w14:paraId="5BA494AA">
      <w:pPr>
        <w:ind w:firstLine="422"/>
        <w:jc w:val="left"/>
        <w:rPr>
          <w:rFonts w:ascii="宋体" w:hAnsi="宋体"/>
          <w:kern w:val="44"/>
        </w:rPr>
      </w:pPr>
      <w:r>
        <w:rPr>
          <w:rFonts w:hint="eastAsia" w:ascii="宋体" w:hAnsi="宋体"/>
          <w:b/>
          <w:kern w:val="44"/>
        </w:rPr>
        <w:t>第七条</w:t>
      </w:r>
      <w:r>
        <w:rPr>
          <w:rFonts w:hint="eastAsia" w:ascii="宋体" w:hAnsi="宋体"/>
          <w:kern w:val="44"/>
        </w:rPr>
        <w:t>　代表应当与原选举单位和人民群众保持密切联系，了解有关机关和组织的工作情况，使提出的建议、批评和意见反映人民群众的意愿和客观实际情况。</w:t>
      </w:r>
    </w:p>
    <w:p w14:paraId="6CCC1814">
      <w:pPr>
        <w:ind w:firstLine="422"/>
        <w:jc w:val="left"/>
        <w:rPr>
          <w:rFonts w:ascii="宋体" w:hAnsi="宋体"/>
          <w:kern w:val="44"/>
        </w:rPr>
      </w:pPr>
      <w:r>
        <w:rPr>
          <w:rFonts w:hint="eastAsia" w:ascii="宋体" w:hAnsi="宋体"/>
          <w:b/>
          <w:kern w:val="44"/>
        </w:rPr>
        <w:t>第八条</w:t>
      </w:r>
      <w:r>
        <w:rPr>
          <w:rFonts w:hint="eastAsia" w:ascii="宋体" w:hAnsi="宋体"/>
          <w:kern w:val="44"/>
        </w:rPr>
        <w:t>　代表建议、批评和意见，在市人民代表大会会议期间向大会提出，在市人民代表大会闭会期间向市人民代表大会常务委员会提出。</w:t>
      </w:r>
    </w:p>
    <w:p w14:paraId="706096D4">
      <w:pPr>
        <w:ind w:firstLine="422"/>
        <w:jc w:val="left"/>
        <w:rPr>
          <w:rFonts w:ascii="宋体" w:hAnsi="宋体"/>
          <w:kern w:val="44"/>
        </w:rPr>
      </w:pPr>
      <w:r>
        <w:rPr>
          <w:rFonts w:hint="eastAsia" w:ascii="宋体" w:hAnsi="宋体"/>
          <w:b/>
          <w:kern w:val="44"/>
        </w:rPr>
        <w:t>第九条</w:t>
      </w:r>
      <w:r>
        <w:rPr>
          <w:rFonts w:hint="eastAsia" w:ascii="宋体" w:hAnsi="宋体"/>
          <w:kern w:val="44"/>
        </w:rPr>
        <w:t>　代表建议、批评和意见应当包括下列内容：</w:t>
      </w:r>
    </w:p>
    <w:p w14:paraId="04ECCA5A">
      <w:pPr>
        <w:jc w:val="left"/>
        <w:rPr>
          <w:rFonts w:ascii="宋体" w:hAnsi="宋体"/>
          <w:kern w:val="44"/>
        </w:rPr>
      </w:pPr>
      <w:r>
        <w:rPr>
          <w:rFonts w:hint="eastAsia" w:ascii="宋体" w:hAnsi="宋体"/>
          <w:kern w:val="44"/>
        </w:rPr>
        <w:t>（一）标题；</w:t>
      </w:r>
    </w:p>
    <w:p w14:paraId="15C49711">
      <w:pPr>
        <w:jc w:val="left"/>
        <w:rPr>
          <w:rFonts w:ascii="宋体" w:hAnsi="宋体"/>
          <w:kern w:val="44"/>
        </w:rPr>
      </w:pPr>
      <w:r>
        <w:rPr>
          <w:rFonts w:hint="eastAsia" w:ascii="宋体" w:hAnsi="宋体"/>
          <w:kern w:val="44"/>
        </w:rPr>
        <w:t>（二）事由，即有关方面工作的情况和存在的问题；</w:t>
      </w:r>
    </w:p>
    <w:p w14:paraId="3DB17497">
      <w:pPr>
        <w:jc w:val="left"/>
        <w:rPr>
          <w:rFonts w:ascii="宋体" w:hAnsi="宋体"/>
          <w:kern w:val="44"/>
        </w:rPr>
      </w:pPr>
      <w:r>
        <w:rPr>
          <w:rFonts w:hint="eastAsia" w:ascii="宋体" w:hAnsi="宋体"/>
          <w:kern w:val="44"/>
        </w:rPr>
        <w:t>（三）具体工作建议；</w:t>
      </w:r>
    </w:p>
    <w:p w14:paraId="3ABC1EE1">
      <w:pPr>
        <w:jc w:val="left"/>
        <w:rPr>
          <w:rFonts w:ascii="宋体" w:hAnsi="宋体"/>
          <w:kern w:val="44"/>
        </w:rPr>
      </w:pPr>
      <w:r>
        <w:rPr>
          <w:rFonts w:hint="eastAsia" w:ascii="宋体" w:hAnsi="宋体"/>
          <w:kern w:val="44"/>
        </w:rPr>
        <w:t>（四）代表姓名、代表证号码和联系方式。</w:t>
      </w:r>
    </w:p>
    <w:p w14:paraId="70993C6B">
      <w:pPr>
        <w:jc w:val="left"/>
        <w:rPr>
          <w:rFonts w:ascii="宋体" w:hAnsi="宋体"/>
          <w:kern w:val="44"/>
        </w:rPr>
      </w:pPr>
      <w:r>
        <w:rPr>
          <w:rFonts w:hint="eastAsia" w:ascii="宋体" w:hAnsi="宋体"/>
          <w:kern w:val="44"/>
        </w:rPr>
        <w:t>代表建议、批评和意见应当一事一议，内容明确具体，注重反映实际情况和问题。</w:t>
      </w:r>
    </w:p>
    <w:p w14:paraId="7436CB69">
      <w:pPr>
        <w:ind w:firstLine="422"/>
        <w:jc w:val="left"/>
        <w:rPr>
          <w:rFonts w:ascii="宋体" w:hAnsi="宋体"/>
          <w:kern w:val="44"/>
        </w:rPr>
      </w:pPr>
      <w:r>
        <w:rPr>
          <w:rFonts w:hint="eastAsia" w:ascii="宋体" w:hAnsi="宋体"/>
          <w:b/>
          <w:kern w:val="44"/>
        </w:rPr>
        <w:t>第十条</w:t>
      </w:r>
      <w:r>
        <w:rPr>
          <w:rFonts w:hint="eastAsia" w:ascii="宋体" w:hAnsi="宋体"/>
          <w:kern w:val="44"/>
        </w:rPr>
        <w:t>　代表建议、批评和意见可以一人提出，也可以联名提出。一人提出和联名提出具有同等效力。</w:t>
      </w:r>
    </w:p>
    <w:p w14:paraId="46FE39B2">
      <w:pPr>
        <w:ind w:firstLine="422"/>
        <w:jc w:val="left"/>
        <w:rPr>
          <w:rFonts w:ascii="宋体" w:hAnsi="宋体"/>
          <w:kern w:val="44"/>
        </w:rPr>
      </w:pPr>
      <w:r>
        <w:rPr>
          <w:rFonts w:hint="eastAsia" w:ascii="宋体" w:hAnsi="宋体"/>
          <w:b/>
          <w:kern w:val="44"/>
        </w:rPr>
        <w:t>第十一条</w:t>
      </w:r>
      <w:r>
        <w:rPr>
          <w:rFonts w:hint="eastAsia" w:ascii="宋体" w:hAnsi="宋体"/>
          <w:kern w:val="44"/>
        </w:rPr>
        <w:t>　代表联名提出建议、批评和意见的，领衔代表应当向参加联名的代表介绍建议、批评和意见的内容；参加联名的代表应当确认建议、批评和意见的内容符合自己的意愿。</w:t>
      </w:r>
    </w:p>
    <w:p w14:paraId="1CBEC73C">
      <w:pPr>
        <w:ind w:firstLine="422"/>
        <w:jc w:val="left"/>
        <w:rPr>
          <w:rFonts w:ascii="宋体" w:hAnsi="宋体"/>
          <w:kern w:val="44"/>
        </w:rPr>
      </w:pPr>
      <w:r>
        <w:rPr>
          <w:rFonts w:hint="eastAsia" w:ascii="宋体" w:hAnsi="宋体"/>
          <w:b/>
          <w:kern w:val="44"/>
        </w:rPr>
        <w:t>第十二条</w:t>
      </w:r>
      <w:r>
        <w:rPr>
          <w:rFonts w:hint="eastAsia" w:ascii="宋体" w:hAnsi="宋体"/>
          <w:kern w:val="44"/>
        </w:rPr>
        <w:t>　代表提出建议、批评和意见，应当遵守相关法律规定，正确处理从事个人职业活动与执行代表职务的关系，不得牟取个人利益。</w:t>
      </w:r>
    </w:p>
    <w:p w14:paraId="491AA829">
      <w:pPr>
        <w:jc w:val="left"/>
        <w:rPr>
          <w:rFonts w:ascii="宋体" w:hAnsi="宋体"/>
          <w:kern w:val="44"/>
        </w:rPr>
      </w:pPr>
      <w:r>
        <w:rPr>
          <w:rFonts w:hint="eastAsia" w:ascii="宋体" w:hAnsi="宋体"/>
          <w:kern w:val="44"/>
        </w:rPr>
        <w:t>下列事项，不应当作为代表建议、批评和意见提出：</w:t>
      </w:r>
    </w:p>
    <w:p w14:paraId="7E56CDC2">
      <w:pPr>
        <w:jc w:val="left"/>
        <w:rPr>
          <w:rFonts w:ascii="宋体" w:hAnsi="宋体"/>
          <w:kern w:val="44"/>
        </w:rPr>
      </w:pPr>
      <w:r>
        <w:rPr>
          <w:rFonts w:hint="eastAsia" w:ascii="宋体" w:hAnsi="宋体"/>
          <w:kern w:val="44"/>
        </w:rPr>
        <w:t>（一）涉及解决代表本人或者亲属个人问题的；</w:t>
      </w:r>
    </w:p>
    <w:p w14:paraId="6B56DB2E">
      <w:pPr>
        <w:jc w:val="left"/>
        <w:rPr>
          <w:rFonts w:ascii="宋体" w:hAnsi="宋体"/>
          <w:kern w:val="44"/>
        </w:rPr>
      </w:pPr>
      <w:r>
        <w:rPr>
          <w:rFonts w:hint="eastAsia" w:ascii="宋体" w:hAnsi="宋体"/>
          <w:kern w:val="44"/>
        </w:rPr>
        <w:t>（二）属于法律或者政策咨询、学术探讨、产品推介的；</w:t>
      </w:r>
    </w:p>
    <w:p w14:paraId="2C2DA069">
      <w:pPr>
        <w:jc w:val="left"/>
        <w:rPr>
          <w:rFonts w:ascii="宋体" w:hAnsi="宋体"/>
          <w:kern w:val="44"/>
        </w:rPr>
      </w:pPr>
      <w:r>
        <w:rPr>
          <w:rFonts w:hint="eastAsia" w:ascii="宋体" w:hAnsi="宋体"/>
          <w:kern w:val="44"/>
        </w:rPr>
        <w:t>（三）代转他人信件的；</w:t>
      </w:r>
    </w:p>
    <w:p w14:paraId="066C052E">
      <w:pPr>
        <w:jc w:val="left"/>
        <w:rPr>
          <w:rFonts w:ascii="宋体" w:hAnsi="宋体"/>
          <w:kern w:val="44"/>
        </w:rPr>
      </w:pPr>
      <w:r>
        <w:rPr>
          <w:rFonts w:hint="eastAsia" w:ascii="宋体" w:hAnsi="宋体"/>
          <w:kern w:val="44"/>
        </w:rPr>
        <w:t>（四）涉及检举、控告或者申诉的；</w:t>
      </w:r>
    </w:p>
    <w:p w14:paraId="2F60F6B0">
      <w:pPr>
        <w:jc w:val="left"/>
        <w:rPr>
          <w:rFonts w:ascii="宋体" w:hAnsi="宋体"/>
          <w:kern w:val="44"/>
        </w:rPr>
      </w:pPr>
      <w:r>
        <w:rPr>
          <w:rFonts w:hint="eastAsia" w:ascii="宋体" w:hAnsi="宋体"/>
          <w:kern w:val="44"/>
        </w:rPr>
        <w:t>（五）对尚未审理终结的具体司法案件提出具体裁判意见的；</w:t>
      </w:r>
    </w:p>
    <w:p w14:paraId="48092798">
      <w:pPr>
        <w:jc w:val="left"/>
        <w:rPr>
          <w:rFonts w:ascii="宋体" w:hAnsi="宋体"/>
          <w:kern w:val="44"/>
        </w:rPr>
      </w:pPr>
      <w:r>
        <w:rPr>
          <w:rFonts w:hint="eastAsia" w:ascii="宋体" w:hAnsi="宋体"/>
          <w:kern w:val="44"/>
        </w:rPr>
        <w:t>（六）对正在进行的招标投标活动提出具体中标意见的；</w:t>
      </w:r>
    </w:p>
    <w:p w14:paraId="0A094A65">
      <w:pPr>
        <w:jc w:val="left"/>
        <w:rPr>
          <w:rFonts w:ascii="宋体" w:hAnsi="宋体"/>
          <w:kern w:val="44"/>
        </w:rPr>
      </w:pPr>
      <w:r>
        <w:rPr>
          <w:rFonts w:hint="eastAsia" w:ascii="宋体" w:hAnsi="宋体"/>
          <w:kern w:val="44"/>
        </w:rPr>
        <w:t>（七）可能与个人利益存在关联或者干涉正常经济活动和市场主体公平竞争的。</w:t>
      </w:r>
    </w:p>
    <w:p w14:paraId="0FE0D6B6">
      <w:pPr>
        <w:ind w:firstLine="422"/>
        <w:jc w:val="left"/>
        <w:rPr>
          <w:rFonts w:ascii="宋体" w:hAnsi="宋体"/>
          <w:kern w:val="44"/>
        </w:rPr>
      </w:pPr>
      <w:r>
        <w:rPr>
          <w:rFonts w:hint="eastAsia" w:ascii="宋体" w:hAnsi="宋体"/>
          <w:b/>
          <w:kern w:val="44"/>
        </w:rPr>
        <w:t>第十三条</w:t>
      </w:r>
      <w:r>
        <w:rPr>
          <w:rFonts w:hint="eastAsia" w:ascii="宋体" w:hAnsi="宋体"/>
          <w:kern w:val="44"/>
        </w:rPr>
        <w:t>　代表建议、批评和意见的受理、确认、登记，在市人民代表大会会议期间，由大会秘书处负责；在市人民代表大会闭会期间，由市人民代表大会常务委员会代表联络工作部门负责。</w:t>
      </w:r>
    </w:p>
    <w:p w14:paraId="1FD22264">
      <w:pPr>
        <w:jc w:val="left"/>
        <w:rPr>
          <w:rFonts w:ascii="宋体" w:hAnsi="宋体"/>
          <w:kern w:val="44"/>
        </w:rPr>
      </w:pPr>
      <w:r>
        <w:rPr>
          <w:rFonts w:hint="eastAsia" w:ascii="宋体" w:hAnsi="宋体"/>
          <w:kern w:val="44"/>
        </w:rPr>
        <w:t>代表可以在交办前撤回本人提出的建议、批评和意见。</w:t>
      </w:r>
    </w:p>
    <w:p w14:paraId="453B4CC2">
      <w:pPr>
        <w:jc w:val="left"/>
        <w:rPr>
          <w:rFonts w:ascii="宋体" w:hAnsi="宋体"/>
          <w:kern w:val="44"/>
        </w:rPr>
      </w:pPr>
      <w:r>
        <w:rPr>
          <w:rFonts w:hint="eastAsia" w:ascii="宋体" w:hAnsi="宋体"/>
          <w:kern w:val="44"/>
        </w:rPr>
        <w:t>代表建议、批评和意见的内容属于本条例第十二条规定情形的，大会秘书处的工作机构或者市人民代表大会常务委员会代表联络工作部门可以建议代表撤回。</w:t>
      </w:r>
    </w:p>
    <w:p w14:paraId="02E763FC">
      <w:pPr>
        <w:jc w:val="left"/>
        <w:rPr>
          <w:rFonts w:ascii="宋体" w:hAnsi="宋体"/>
          <w:kern w:val="44"/>
        </w:rPr>
      </w:pPr>
    </w:p>
    <w:p w14:paraId="29C7D46E">
      <w:pPr>
        <w:ind w:firstLine="0" w:firstLineChars="0"/>
        <w:jc w:val="center"/>
        <w:rPr>
          <w:b/>
          <w:kern w:val="44"/>
          <w:sz w:val="28"/>
          <w:szCs w:val="28"/>
        </w:rPr>
      </w:pPr>
      <w:r>
        <w:rPr>
          <w:rFonts w:hint="eastAsia"/>
          <w:b/>
          <w:kern w:val="44"/>
          <w:sz w:val="28"/>
          <w:szCs w:val="28"/>
        </w:rPr>
        <w:t>第三章　代表建议、批评和意见的交办</w:t>
      </w:r>
    </w:p>
    <w:p w14:paraId="07A01B9F">
      <w:pPr>
        <w:ind w:firstLine="422"/>
        <w:jc w:val="left"/>
        <w:rPr>
          <w:rFonts w:ascii="宋体" w:hAnsi="宋体"/>
          <w:b/>
          <w:kern w:val="44"/>
        </w:rPr>
      </w:pPr>
    </w:p>
    <w:p w14:paraId="5E12D2D1">
      <w:pPr>
        <w:ind w:firstLine="422"/>
        <w:jc w:val="left"/>
        <w:rPr>
          <w:rFonts w:ascii="宋体" w:hAnsi="宋体"/>
          <w:kern w:val="44"/>
        </w:rPr>
      </w:pPr>
      <w:r>
        <w:rPr>
          <w:rFonts w:hint="eastAsia" w:ascii="宋体" w:hAnsi="宋体"/>
          <w:b/>
          <w:kern w:val="44"/>
        </w:rPr>
        <w:t>第十四条</w:t>
      </w:r>
      <w:r>
        <w:rPr>
          <w:rFonts w:hint="eastAsia" w:ascii="宋体" w:hAnsi="宋体"/>
          <w:kern w:val="44"/>
        </w:rPr>
        <w:t>　代表在市人民代表大会会议期间提出的建议、批评和意见，由大会秘书处于大会闭会之日，移交市人民代表大会常务委员会统一处理。</w:t>
      </w:r>
    </w:p>
    <w:p w14:paraId="2D1E148F">
      <w:pPr>
        <w:ind w:firstLine="422"/>
        <w:jc w:val="left"/>
        <w:rPr>
          <w:rFonts w:ascii="宋体" w:hAnsi="宋体"/>
          <w:kern w:val="44"/>
        </w:rPr>
      </w:pPr>
      <w:r>
        <w:rPr>
          <w:rFonts w:hint="eastAsia" w:ascii="宋体" w:hAnsi="宋体"/>
          <w:b/>
          <w:kern w:val="44"/>
        </w:rPr>
        <w:t>第十五条</w:t>
      </w:r>
      <w:r>
        <w:rPr>
          <w:rFonts w:hint="eastAsia" w:ascii="宋体" w:hAnsi="宋体"/>
          <w:kern w:val="44"/>
        </w:rPr>
        <w:t>　市人民代表大会常务委员会应当对代表在市人民代表大会会议期间提出的建议、批评和意见进行整体研究、综合分析，确定办理责任，提出办理要求，分别交有关机关和组织研究办理。交办后，应当将交办情况告知代表。</w:t>
      </w:r>
    </w:p>
    <w:p w14:paraId="4A5D4CC1">
      <w:pPr>
        <w:jc w:val="left"/>
        <w:rPr>
          <w:rFonts w:ascii="宋体" w:hAnsi="宋体"/>
          <w:kern w:val="44"/>
        </w:rPr>
      </w:pPr>
      <w:r>
        <w:rPr>
          <w:rFonts w:hint="eastAsia" w:ascii="宋体" w:hAnsi="宋体"/>
          <w:kern w:val="44"/>
        </w:rPr>
        <w:t>属于本条例第十二条规定情形的，不予交办并告知代表。</w:t>
      </w:r>
    </w:p>
    <w:p w14:paraId="4CD58C09">
      <w:pPr>
        <w:ind w:firstLine="422"/>
        <w:jc w:val="left"/>
        <w:rPr>
          <w:rFonts w:ascii="宋体" w:hAnsi="宋体"/>
          <w:kern w:val="44"/>
        </w:rPr>
      </w:pPr>
      <w:r>
        <w:rPr>
          <w:rFonts w:hint="eastAsia" w:ascii="宋体" w:hAnsi="宋体"/>
          <w:b/>
          <w:kern w:val="44"/>
        </w:rPr>
        <w:t>第十六条</w:t>
      </w:r>
      <w:r>
        <w:rPr>
          <w:rFonts w:hint="eastAsia" w:ascii="宋体" w:hAnsi="宋体"/>
          <w:kern w:val="44"/>
        </w:rPr>
        <w:t>　在市人民代表大会闭会期间提出的代表建议、批评和意见，由市人民代表大会常务委员会主任会议负责交有关机关和组织研究办理。</w:t>
      </w:r>
    </w:p>
    <w:p w14:paraId="7C63BF74">
      <w:pPr>
        <w:ind w:firstLine="0" w:firstLineChars="0"/>
        <w:jc w:val="center"/>
        <w:rPr>
          <w:b/>
          <w:kern w:val="44"/>
          <w:sz w:val="28"/>
          <w:szCs w:val="28"/>
        </w:rPr>
      </w:pPr>
    </w:p>
    <w:p w14:paraId="24248665">
      <w:pPr>
        <w:ind w:firstLine="0" w:firstLineChars="0"/>
        <w:jc w:val="center"/>
        <w:rPr>
          <w:b/>
          <w:kern w:val="44"/>
          <w:sz w:val="28"/>
          <w:szCs w:val="28"/>
        </w:rPr>
      </w:pPr>
    </w:p>
    <w:p w14:paraId="3F2EA0CE">
      <w:pPr>
        <w:ind w:firstLine="0" w:firstLineChars="0"/>
        <w:jc w:val="center"/>
        <w:rPr>
          <w:b/>
          <w:kern w:val="44"/>
          <w:sz w:val="28"/>
          <w:szCs w:val="28"/>
        </w:rPr>
      </w:pPr>
      <w:r>
        <w:rPr>
          <w:rFonts w:hint="eastAsia"/>
          <w:b/>
          <w:kern w:val="44"/>
          <w:sz w:val="28"/>
          <w:szCs w:val="28"/>
        </w:rPr>
        <w:t>第四章　代表建议、批评和意见的办理</w:t>
      </w:r>
    </w:p>
    <w:p w14:paraId="3A354BCF"/>
    <w:p w14:paraId="24C8ACFA">
      <w:pPr>
        <w:ind w:firstLine="422"/>
        <w:jc w:val="left"/>
        <w:rPr>
          <w:rFonts w:ascii="宋体" w:hAnsi="宋体"/>
          <w:kern w:val="44"/>
        </w:rPr>
      </w:pPr>
      <w:r>
        <w:rPr>
          <w:rFonts w:hint="eastAsia" w:ascii="宋体" w:hAnsi="宋体"/>
          <w:b/>
          <w:kern w:val="44"/>
        </w:rPr>
        <w:t>第十七条</w:t>
      </w:r>
      <w:r>
        <w:rPr>
          <w:rFonts w:hint="eastAsia" w:ascii="宋体" w:hAnsi="宋体"/>
          <w:kern w:val="44"/>
        </w:rPr>
        <w:t>　有关机关和组织办理代表建议、批评和意见，应当建立集体统一负责和分工负责相结合的工作制度。</w:t>
      </w:r>
    </w:p>
    <w:p w14:paraId="09D3FB30">
      <w:pPr>
        <w:jc w:val="left"/>
        <w:rPr>
          <w:rFonts w:ascii="宋体" w:hAnsi="宋体"/>
          <w:kern w:val="44"/>
        </w:rPr>
      </w:pPr>
      <w:r>
        <w:rPr>
          <w:rFonts w:hint="eastAsia" w:ascii="宋体" w:hAnsi="宋体"/>
          <w:kern w:val="44"/>
        </w:rPr>
        <w:t>有关机关和组织根据代表建议、批评和意见的内容，可以责成下一级机关或者有关工作部门具体承办。需要两个以上承办单位共同研究办理的，应当确定牵头负责的单位和责任人，加强对办理工作的沟通协调。</w:t>
      </w:r>
    </w:p>
    <w:p w14:paraId="6BD14D1B">
      <w:pPr>
        <w:ind w:firstLine="422"/>
        <w:jc w:val="left"/>
        <w:rPr>
          <w:rFonts w:ascii="宋体" w:hAnsi="宋体"/>
          <w:kern w:val="44"/>
        </w:rPr>
      </w:pPr>
      <w:r>
        <w:rPr>
          <w:rFonts w:hint="eastAsia" w:ascii="宋体" w:hAnsi="宋体"/>
          <w:b/>
          <w:kern w:val="44"/>
        </w:rPr>
        <w:t>第十八条</w:t>
      </w:r>
      <w:r>
        <w:rPr>
          <w:rFonts w:hint="eastAsia" w:ascii="宋体" w:hAnsi="宋体"/>
          <w:kern w:val="44"/>
        </w:rPr>
        <w:t>　有关机关和组织及其承办单位应当对代表建议、批评和意见进行认真分析，根据所反映问题的类别和性质，依据法定职责、权限、工作程序和条件，确定办理的方式、途径和方法。</w:t>
      </w:r>
    </w:p>
    <w:p w14:paraId="54554C91">
      <w:pPr>
        <w:ind w:firstLine="422"/>
        <w:jc w:val="left"/>
        <w:rPr>
          <w:rFonts w:ascii="宋体" w:hAnsi="宋体"/>
          <w:kern w:val="44"/>
        </w:rPr>
      </w:pPr>
      <w:r>
        <w:rPr>
          <w:rFonts w:hint="eastAsia" w:ascii="宋体" w:hAnsi="宋体"/>
          <w:b/>
          <w:kern w:val="44"/>
        </w:rPr>
        <w:t>第十九条</w:t>
      </w:r>
      <w:r>
        <w:rPr>
          <w:rFonts w:hint="eastAsia" w:ascii="宋体" w:hAnsi="宋体"/>
          <w:kern w:val="44"/>
        </w:rPr>
        <w:t>　有关机关和组织及其承办单位办理代表建议、批评和意见，应当加强同代表的联系，充分听取代表的意见，理解代表的具体意向，并就办理代表建议、批评和意见的情况与代表进行沟通。</w:t>
      </w:r>
    </w:p>
    <w:p w14:paraId="06F71349">
      <w:pPr>
        <w:jc w:val="left"/>
        <w:rPr>
          <w:rFonts w:ascii="宋体" w:hAnsi="宋体"/>
          <w:kern w:val="44"/>
        </w:rPr>
      </w:pPr>
      <w:r>
        <w:rPr>
          <w:rFonts w:hint="eastAsia" w:ascii="宋体" w:hAnsi="宋体"/>
          <w:kern w:val="44"/>
        </w:rPr>
        <w:t>有关机关和组织及其承办单位在制定政策、进行决策的过程中，可以邀请提出相关建  议、批评和意见的代表参与，听取意见和建议。</w:t>
      </w:r>
    </w:p>
    <w:p w14:paraId="28920753">
      <w:pPr>
        <w:ind w:firstLine="422"/>
        <w:jc w:val="left"/>
        <w:rPr>
          <w:rFonts w:ascii="宋体" w:hAnsi="宋体"/>
          <w:kern w:val="44"/>
        </w:rPr>
      </w:pPr>
      <w:r>
        <w:rPr>
          <w:rFonts w:hint="eastAsia" w:ascii="宋体" w:hAnsi="宋体"/>
          <w:b/>
          <w:kern w:val="44"/>
        </w:rPr>
        <w:t>第二十条</w:t>
      </w:r>
      <w:r>
        <w:rPr>
          <w:rFonts w:hint="eastAsia" w:ascii="宋体" w:hAnsi="宋体"/>
          <w:kern w:val="44"/>
        </w:rPr>
        <w:t>　代表建议、批评和意见的内容超出本市有关机关和组织权限的，可以由市人民代表大会常务委员会协调本市选出的全国人民代表大会代表向全国人民代表大会及其常务委员会反映，也可以由有关机关、组织或者其承办单位向其上级机关和组织反映。</w:t>
      </w:r>
    </w:p>
    <w:p w14:paraId="19B47081">
      <w:pPr>
        <w:ind w:firstLine="422"/>
        <w:jc w:val="left"/>
        <w:rPr>
          <w:rFonts w:ascii="宋体" w:hAnsi="宋体"/>
          <w:kern w:val="44"/>
        </w:rPr>
      </w:pPr>
      <w:r>
        <w:rPr>
          <w:rFonts w:hint="eastAsia" w:ascii="宋体" w:hAnsi="宋体"/>
          <w:b/>
          <w:kern w:val="44"/>
        </w:rPr>
        <w:t>第二十一条</w:t>
      </w:r>
      <w:r>
        <w:rPr>
          <w:rFonts w:hint="eastAsia" w:ascii="宋体" w:hAnsi="宋体"/>
          <w:kern w:val="44"/>
        </w:rPr>
        <w:t>　有关机关、组织或者其承办单位应当自代表建议、批评和意见交办之日起三个月内答复代表；涉及面广、处理难度大的，经交办机关同意，至迟不得超过六个月答复代表。</w:t>
      </w:r>
    </w:p>
    <w:p w14:paraId="7EE01ECC">
      <w:pPr>
        <w:ind w:firstLine="422"/>
        <w:jc w:val="left"/>
        <w:rPr>
          <w:rFonts w:ascii="宋体" w:hAnsi="宋体"/>
          <w:kern w:val="44"/>
        </w:rPr>
      </w:pPr>
      <w:r>
        <w:rPr>
          <w:rFonts w:hint="eastAsia" w:ascii="宋体" w:hAnsi="宋体"/>
          <w:b/>
          <w:kern w:val="44"/>
        </w:rPr>
        <w:t>第二十二条</w:t>
      </w:r>
      <w:r>
        <w:rPr>
          <w:rFonts w:hint="eastAsia" w:ascii="宋体" w:hAnsi="宋体"/>
          <w:kern w:val="44"/>
        </w:rPr>
        <w:t>　有关机关、组织或者其承办单位答复代表，应当针对代表建议、批评和意见的内容，态度诚恳，明确具体，实事求是。</w:t>
      </w:r>
    </w:p>
    <w:p w14:paraId="2044F9F3">
      <w:pPr>
        <w:jc w:val="left"/>
        <w:rPr>
          <w:rFonts w:ascii="宋体" w:hAnsi="宋体"/>
          <w:kern w:val="44"/>
        </w:rPr>
      </w:pPr>
      <w:r>
        <w:rPr>
          <w:rFonts w:hint="eastAsia" w:ascii="宋体" w:hAnsi="宋体"/>
          <w:kern w:val="44"/>
        </w:rPr>
        <w:t>有关机关、组织或者其承办单位的答复意见应当采用公文形式。</w:t>
      </w:r>
    </w:p>
    <w:p w14:paraId="73C93190">
      <w:pPr>
        <w:ind w:firstLine="422"/>
        <w:jc w:val="left"/>
        <w:rPr>
          <w:rFonts w:ascii="宋体" w:hAnsi="宋体"/>
          <w:kern w:val="44"/>
        </w:rPr>
      </w:pPr>
      <w:r>
        <w:rPr>
          <w:rFonts w:hint="eastAsia" w:ascii="宋体" w:hAnsi="宋体"/>
          <w:b/>
          <w:kern w:val="44"/>
        </w:rPr>
        <w:t>第二十三条</w:t>
      </w:r>
      <w:r>
        <w:rPr>
          <w:rFonts w:hint="eastAsia" w:ascii="宋体" w:hAnsi="宋体"/>
          <w:kern w:val="44"/>
        </w:rPr>
        <w:t>　代表应当自收到答复意见后十五个工作日内，就建议、批评和意见的办理情况反馈书面意见。</w:t>
      </w:r>
    </w:p>
    <w:p w14:paraId="552C55DA">
      <w:pPr>
        <w:jc w:val="left"/>
        <w:rPr>
          <w:rFonts w:ascii="宋体" w:hAnsi="宋体"/>
          <w:kern w:val="44"/>
        </w:rPr>
      </w:pPr>
      <w:r>
        <w:rPr>
          <w:rFonts w:hint="eastAsia" w:ascii="宋体" w:hAnsi="宋体"/>
          <w:kern w:val="44"/>
        </w:rPr>
        <w:t>代表因特殊原因难以及时反馈意见的，应当自行或者委托他人说明情况。</w:t>
      </w:r>
    </w:p>
    <w:p w14:paraId="15434571">
      <w:pPr>
        <w:ind w:firstLine="422"/>
        <w:jc w:val="left"/>
        <w:rPr>
          <w:rFonts w:ascii="宋体" w:hAnsi="宋体"/>
          <w:kern w:val="44"/>
        </w:rPr>
      </w:pPr>
      <w:r>
        <w:rPr>
          <w:rFonts w:hint="eastAsia" w:ascii="宋体" w:hAnsi="宋体"/>
          <w:b/>
          <w:kern w:val="44"/>
        </w:rPr>
        <w:t>第二十四条</w:t>
      </w:r>
      <w:r>
        <w:rPr>
          <w:rFonts w:hint="eastAsia" w:ascii="宋体" w:hAnsi="宋体"/>
          <w:kern w:val="44"/>
        </w:rPr>
        <w:t>　有关机关和组织应当将答复意见以及代表对办理情况的反馈意见，及时送市人民代表大会常务委员会。</w:t>
      </w:r>
    </w:p>
    <w:p w14:paraId="4FEA60E4">
      <w:pPr>
        <w:ind w:firstLine="422"/>
        <w:jc w:val="left"/>
        <w:rPr>
          <w:rFonts w:ascii="宋体" w:hAnsi="宋体"/>
          <w:kern w:val="44"/>
        </w:rPr>
      </w:pPr>
      <w:r>
        <w:rPr>
          <w:rFonts w:hint="eastAsia" w:ascii="宋体" w:hAnsi="宋体"/>
          <w:b/>
          <w:kern w:val="44"/>
        </w:rPr>
        <w:t>第二十五条</w:t>
      </w:r>
      <w:r>
        <w:rPr>
          <w:rFonts w:hint="eastAsia" w:ascii="宋体" w:hAnsi="宋体"/>
          <w:kern w:val="44"/>
        </w:rPr>
        <w:t>　有关机关、组织或者其承办单位办理代表建议、批评和意见的过程中，不得泄露代表依法受到保护的个人信息。</w:t>
      </w:r>
    </w:p>
    <w:p w14:paraId="0A10403A">
      <w:pPr>
        <w:jc w:val="left"/>
        <w:rPr>
          <w:rFonts w:ascii="宋体" w:hAnsi="宋体"/>
          <w:kern w:val="44"/>
        </w:rPr>
      </w:pPr>
      <w:r>
        <w:rPr>
          <w:rFonts w:hint="eastAsia" w:ascii="宋体" w:hAnsi="宋体"/>
          <w:kern w:val="44"/>
        </w:rPr>
        <w:t>有关机关、组织或者其承办单位的答复意见应当遵守国家有关保密的规定。</w:t>
      </w:r>
    </w:p>
    <w:p w14:paraId="573E6006">
      <w:pPr>
        <w:ind w:firstLine="422"/>
        <w:jc w:val="left"/>
        <w:rPr>
          <w:rFonts w:ascii="宋体" w:hAnsi="宋体"/>
          <w:kern w:val="44"/>
        </w:rPr>
      </w:pPr>
      <w:r>
        <w:rPr>
          <w:rFonts w:hint="eastAsia" w:ascii="宋体" w:hAnsi="宋体"/>
          <w:b/>
          <w:kern w:val="44"/>
        </w:rPr>
        <w:t>第二十六条</w:t>
      </w:r>
      <w:r>
        <w:rPr>
          <w:rFonts w:hint="eastAsia" w:ascii="宋体" w:hAnsi="宋体"/>
          <w:kern w:val="44"/>
        </w:rPr>
        <w:t>　有关机关、组织或者其承办单位对于答复代表在一定时限内解决的问题，应当认真落实，并及时将工作进展情况书面告知代表；因情况变化导致不能落实的，应当以书面形式向代表说明原因，并告知市人民代表大会常务委员会代表联络工作部门。</w:t>
      </w:r>
    </w:p>
    <w:p w14:paraId="23D870EA">
      <w:pPr>
        <w:jc w:val="left"/>
        <w:rPr>
          <w:rFonts w:ascii="宋体" w:hAnsi="宋体"/>
          <w:kern w:val="44"/>
        </w:rPr>
      </w:pPr>
      <w:r>
        <w:rPr>
          <w:rFonts w:hint="eastAsia" w:ascii="宋体" w:hAnsi="宋体"/>
          <w:kern w:val="44"/>
        </w:rPr>
        <w:t>有关机关和组织应当建立代表建议、批评和意见办理工作信息库或者工作档案，跟踪检查答复意见的落实情况，督促承办单位按照答复代表的工作方案或者工作计划完成落实工作。</w:t>
      </w:r>
    </w:p>
    <w:p w14:paraId="0F606BB1">
      <w:pPr>
        <w:ind w:firstLine="0" w:firstLineChars="0"/>
        <w:jc w:val="center"/>
        <w:rPr>
          <w:rFonts w:hint="eastAsia"/>
          <w:b/>
          <w:kern w:val="44"/>
          <w:sz w:val="28"/>
          <w:szCs w:val="28"/>
        </w:rPr>
      </w:pPr>
    </w:p>
    <w:p w14:paraId="20346FD6">
      <w:pPr>
        <w:ind w:firstLine="0" w:firstLineChars="0"/>
        <w:jc w:val="center"/>
        <w:rPr>
          <w:b/>
          <w:kern w:val="44"/>
          <w:sz w:val="28"/>
          <w:szCs w:val="28"/>
        </w:rPr>
      </w:pPr>
      <w:r>
        <w:rPr>
          <w:rFonts w:hint="eastAsia"/>
          <w:b/>
          <w:kern w:val="44"/>
          <w:sz w:val="28"/>
          <w:szCs w:val="28"/>
        </w:rPr>
        <w:t>第五章　代表建议、批评和意见</w:t>
      </w:r>
    </w:p>
    <w:p w14:paraId="4EDFBAA6">
      <w:pPr>
        <w:ind w:firstLine="0" w:firstLineChars="0"/>
        <w:jc w:val="center"/>
        <w:rPr>
          <w:b/>
          <w:kern w:val="44"/>
          <w:sz w:val="28"/>
          <w:szCs w:val="28"/>
        </w:rPr>
      </w:pPr>
      <w:r>
        <w:rPr>
          <w:rFonts w:hint="eastAsia"/>
          <w:b/>
          <w:kern w:val="44"/>
          <w:sz w:val="28"/>
          <w:szCs w:val="28"/>
        </w:rPr>
        <w:t xml:space="preserve">   办理工作的监督</w:t>
      </w:r>
    </w:p>
    <w:p w14:paraId="240C01EA">
      <w:pPr>
        <w:ind w:firstLine="0" w:firstLineChars="0"/>
        <w:jc w:val="center"/>
        <w:rPr>
          <w:kern w:val="44"/>
          <w:sz w:val="28"/>
          <w:szCs w:val="28"/>
        </w:rPr>
      </w:pPr>
    </w:p>
    <w:p w14:paraId="64000809">
      <w:pPr>
        <w:ind w:firstLine="422"/>
        <w:jc w:val="left"/>
        <w:rPr>
          <w:rFonts w:ascii="宋体" w:hAnsi="宋体"/>
          <w:kern w:val="44"/>
        </w:rPr>
      </w:pPr>
      <w:r>
        <w:rPr>
          <w:rFonts w:hint="eastAsia" w:ascii="宋体" w:hAnsi="宋体"/>
          <w:b/>
          <w:kern w:val="44"/>
        </w:rPr>
        <w:t>第二十七条</w:t>
      </w:r>
      <w:r>
        <w:rPr>
          <w:rFonts w:hint="eastAsia" w:ascii="宋体" w:hAnsi="宋体"/>
          <w:kern w:val="44"/>
        </w:rPr>
        <w:t>　市人民代表大会常务委员会应当加强对代表建议、批评和意见办理工作的监督，督促有关机关和组织认真研究办理，做好答复意见落实工作。</w:t>
      </w:r>
    </w:p>
    <w:p w14:paraId="55D00553">
      <w:pPr>
        <w:jc w:val="left"/>
        <w:rPr>
          <w:rFonts w:ascii="宋体" w:hAnsi="宋体"/>
          <w:kern w:val="44"/>
        </w:rPr>
      </w:pPr>
      <w:r>
        <w:rPr>
          <w:rFonts w:hint="eastAsia" w:ascii="宋体" w:hAnsi="宋体"/>
          <w:kern w:val="44"/>
        </w:rPr>
        <w:t>市人民代表大会专门委员会、市人民代表大会常务委员会工作机构，应当针对代表建议、批评和意见集中反映的问题组织专题调研、视察或者专题座谈会，督促承办单位做好办理工作。</w:t>
      </w:r>
    </w:p>
    <w:p w14:paraId="2D2E7046">
      <w:pPr>
        <w:jc w:val="left"/>
        <w:rPr>
          <w:rFonts w:ascii="宋体" w:hAnsi="宋体"/>
          <w:kern w:val="44"/>
        </w:rPr>
      </w:pPr>
      <w:r>
        <w:rPr>
          <w:rFonts w:hint="eastAsia" w:ascii="宋体" w:hAnsi="宋体"/>
          <w:kern w:val="44"/>
        </w:rPr>
        <w:t>市人民代表大会专门委员会、市人民代表大会常务委员会工作机构，应当加强对代表建议、批评和意见答复意见落实情况的跟踪，督促承办单位按照答复代表的工作方案或者工作计划完成各项工作。</w:t>
      </w:r>
    </w:p>
    <w:p w14:paraId="4684D1D4">
      <w:pPr>
        <w:jc w:val="left"/>
        <w:rPr>
          <w:rFonts w:ascii="宋体" w:hAnsi="宋体"/>
          <w:kern w:val="44"/>
        </w:rPr>
      </w:pPr>
      <w:r>
        <w:rPr>
          <w:rFonts w:hint="eastAsia" w:ascii="宋体" w:hAnsi="宋体"/>
          <w:kern w:val="44"/>
        </w:rPr>
        <w:t>对办理代表建议、批评和意见敷衍塞责的，市人民代表大会常务委员会应当对有关机关和组织提出改进意见；需要重新办理的，应当要求有关机关和组织重新研究办理并在二个月内重新答复代表。</w:t>
      </w:r>
    </w:p>
    <w:p w14:paraId="091DF6A3">
      <w:pPr>
        <w:ind w:firstLine="422"/>
        <w:jc w:val="left"/>
        <w:rPr>
          <w:rFonts w:ascii="宋体" w:hAnsi="宋体"/>
          <w:kern w:val="44"/>
        </w:rPr>
      </w:pPr>
      <w:r>
        <w:rPr>
          <w:rFonts w:hint="eastAsia" w:ascii="宋体" w:hAnsi="宋体"/>
          <w:b/>
          <w:kern w:val="44"/>
        </w:rPr>
        <w:t>第二十八条</w:t>
      </w:r>
      <w:r>
        <w:rPr>
          <w:rFonts w:hint="eastAsia" w:ascii="宋体" w:hAnsi="宋体"/>
          <w:kern w:val="44"/>
        </w:rPr>
        <w:t>　市人民代表大会常务委员会每年听取并审议市人民政府、市高级人民法院、市人民检察院以及市人民代表大会常务委员会代表联络工作部门关于代表建议、批评和意见办理情况的报告，并将报告印发下一次人民代表大会会议。</w:t>
      </w:r>
    </w:p>
    <w:p w14:paraId="7E72AC8D">
      <w:pPr>
        <w:ind w:firstLine="422"/>
        <w:jc w:val="left"/>
        <w:rPr>
          <w:rFonts w:ascii="宋体" w:hAnsi="宋体"/>
          <w:kern w:val="44"/>
        </w:rPr>
      </w:pPr>
      <w:r>
        <w:rPr>
          <w:rFonts w:hint="eastAsia" w:ascii="宋体" w:hAnsi="宋体"/>
          <w:b/>
          <w:kern w:val="44"/>
        </w:rPr>
        <w:t>第二十九条</w:t>
      </w:r>
      <w:r>
        <w:rPr>
          <w:rFonts w:hint="eastAsia" w:ascii="宋体" w:hAnsi="宋体"/>
          <w:kern w:val="44"/>
        </w:rPr>
        <w:t>　市人民代表大会常务委员会听取和审议本级人民政府、人民法院和人民检察院的专项工作报告，以及组织对有关法律、法规实施情况进行执法检查，可以根据代表建议、批评和意见集中反映的问题确定议题。</w:t>
      </w:r>
    </w:p>
    <w:p w14:paraId="5848113F">
      <w:pPr>
        <w:ind w:firstLine="422"/>
        <w:jc w:val="left"/>
        <w:rPr>
          <w:rFonts w:ascii="宋体" w:hAnsi="宋体"/>
          <w:kern w:val="44"/>
        </w:rPr>
      </w:pPr>
      <w:r>
        <w:rPr>
          <w:rFonts w:hint="eastAsia" w:ascii="宋体" w:hAnsi="宋体"/>
          <w:b/>
          <w:kern w:val="44"/>
        </w:rPr>
        <w:t>第三十条</w:t>
      </w:r>
      <w:r>
        <w:rPr>
          <w:rFonts w:hint="eastAsia" w:ascii="宋体" w:hAnsi="宋体"/>
          <w:kern w:val="44"/>
        </w:rPr>
        <w:t>　市人民代表大会常务委员会向社会公布代表建议、批评和意见的提出和办理情况。</w:t>
      </w:r>
    </w:p>
    <w:p w14:paraId="1881A078">
      <w:pPr>
        <w:ind w:firstLine="422"/>
        <w:jc w:val="left"/>
        <w:rPr>
          <w:rFonts w:ascii="宋体" w:hAnsi="宋体"/>
          <w:kern w:val="44"/>
        </w:rPr>
      </w:pPr>
      <w:r>
        <w:rPr>
          <w:rFonts w:hint="eastAsia" w:ascii="宋体" w:hAnsi="宋体"/>
          <w:b/>
          <w:kern w:val="44"/>
        </w:rPr>
        <w:t>第三十一条</w:t>
      </w:r>
      <w:r>
        <w:rPr>
          <w:rFonts w:hint="eastAsia" w:ascii="宋体" w:hAnsi="宋体"/>
          <w:kern w:val="44"/>
        </w:rPr>
        <w:t>　有关机关和组织应当对办理代表建议、批评和意见工作成效显著的承办单位和个人予以表彰和奖励。</w:t>
      </w:r>
    </w:p>
    <w:p w14:paraId="43F56612">
      <w:pPr>
        <w:jc w:val="left"/>
        <w:rPr>
          <w:rFonts w:ascii="宋体" w:hAnsi="宋体"/>
          <w:kern w:val="44"/>
        </w:rPr>
      </w:pPr>
      <w:r>
        <w:rPr>
          <w:rFonts w:hint="eastAsia" w:ascii="宋体" w:hAnsi="宋体"/>
          <w:kern w:val="44"/>
        </w:rPr>
        <w:t>有关机关和组织应当加强对代表建议、批评和意见办理工作的监督检查，对违反本条例第二十一条、第二十五条、第二十六条第一款规定的单位和个人，应当根据情节，进行通报批评或者给予处分。</w:t>
      </w:r>
    </w:p>
    <w:p w14:paraId="09CD25EC">
      <w:pPr>
        <w:jc w:val="left"/>
        <w:rPr>
          <w:rFonts w:ascii="宋体" w:hAnsi="宋体"/>
          <w:kern w:val="44"/>
        </w:rPr>
      </w:pPr>
    </w:p>
    <w:p w14:paraId="5E480E0B">
      <w:pPr>
        <w:ind w:firstLine="0" w:firstLineChars="0"/>
        <w:jc w:val="center"/>
        <w:rPr>
          <w:b/>
          <w:kern w:val="44"/>
          <w:sz w:val="28"/>
        </w:rPr>
      </w:pPr>
      <w:r>
        <w:rPr>
          <w:rFonts w:hint="eastAsia"/>
          <w:b/>
          <w:kern w:val="44"/>
          <w:sz w:val="28"/>
        </w:rPr>
        <w:t>第六章　附　则</w:t>
      </w:r>
    </w:p>
    <w:p w14:paraId="5737AC2D">
      <w:pPr>
        <w:ind w:firstLine="422"/>
        <w:jc w:val="left"/>
        <w:rPr>
          <w:rFonts w:ascii="宋体" w:hAnsi="宋体"/>
          <w:b/>
          <w:kern w:val="44"/>
        </w:rPr>
      </w:pPr>
    </w:p>
    <w:p w14:paraId="624CEB59">
      <w:pPr>
        <w:ind w:firstLine="422"/>
        <w:jc w:val="left"/>
        <w:rPr>
          <w:rFonts w:ascii="宋体" w:hAnsi="宋体"/>
          <w:kern w:val="44"/>
        </w:rPr>
      </w:pPr>
      <w:r>
        <w:rPr>
          <w:rFonts w:hint="eastAsia" w:ascii="宋体" w:hAnsi="宋体"/>
          <w:b/>
          <w:kern w:val="44"/>
        </w:rPr>
        <w:t>第三十二条</w:t>
      </w:r>
      <w:r>
        <w:rPr>
          <w:rFonts w:hint="eastAsia" w:ascii="宋体" w:hAnsi="宋体"/>
          <w:kern w:val="44"/>
        </w:rPr>
        <w:t>　本条例所称有关机关和组织，是指市人民代表大会常务委员会、市人民政府、市高级人民法院、市人民检察院以及本市其他具有办理代表建议、批评和意见职责的机关和组织。</w:t>
      </w:r>
    </w:p>
    <w:p w14:paraId="79385143">
      <w:pPr>
        <w:jc w:val="left"/>
        <w:rPr>
          <w:rFonts w:ascii="宋体" w:hAnsi="宋体"/>
          <w:kern w:val="44"/>
        </w:rPr>
      </w:pPr>
      <w:r>
        <w:rPr>
          <w:rFonts w:hint="eastAsia" w:ascii="宋体" w:hAnsi="宋体"/>
          <w:kern w:val="44"/>
        </w:rPr>
        <w:t>本条例所称承办单位，是指按照有关机关和组织的要求，具体承办代表建议、批评和意见的市人民代表大会专门委员会、市人民代表大会常务委员会工作机构、市人民政府有关部门、区县人民政府、市高级人民法院和市人民检察院工作机构以及其他机关和组织的有关部门或者工作机构。</w:t>
      </w:r>
    </w:p>
    <w:p w14:paraId="646641FA">
      <w:pPr>
        <w:ind w:firstLine="422"/>
        <w:jc w:val="left"/>
        <w:rPr>
          <w:rFonts w:ascii="宋体" w:hAnsi="宋体"/>
          <w:kern w:val="44"/>
        </w:rPr>
      </w:pPr>
      <w:r>
        <w:rPr>
          <w:rFonts w:hint="eastAsia" w:ascii="宋体" w:hAnsi="宋体"/>
          <w:b/>
          <w:kern w:val="44"/>
        </w:rPr>
        <w:t>第三十三条</w:t>
      </w:r>
      <w:r>
        <w:rPr>
          <w:rFonts w:hint="eastAsia" w:ascii="宋体" w:hAnsi="宋体"/>
          <w:kern w:val="44"/>
        </w:rPr>
        <w:t>　区、县、乡、民族乡、镇人民代表大会代表建议、批评和意见的提出、交办、办理和监督，参照本条例的规定执行。</w:t>
      </w:r>
    </w:p>
    <w:p w14:paraId="48D1EF1B">
      <w:pPr>
        <w:ind w:firstLine="422"/>
        <w:jc w:val="left"/>
        <w:rPr>
          <w:rFonts w:ascii="宋体" w:hAnsi="宋体"/>
          <w:kern w:val="44"/>
        </w:rPr>
      </w:pPr>
      <w:r>
        <w:rPr>
          <w:rFonts w:hint="eastAsia" w:ascii="宋体" w:hAnsi="宋体"/>
          <w:b/>
          <w:kern w:val="44"/>
        </w:rPr>
        <w:t>第三十四条</w:t>
      </w:r>
      <w:r>
        <w:rPr>
          <w:rFonts w:hint="eastAsia" w:ascii="宋体" w:hAnsi="宋体"/>
          <w:kern w:val="44"/>
        </w:rPr>
        <w:t>　本条例自公布之日起施行。1995年9月22日北京市第十届人民代表大会常务委员会第二十次会议通过，2005年9月9日北京市第十二届人民代表大会常务委员会第二十二次会议修订的《北京市人民代表大会代表建议、批评和意见办理条例》，同时废止。</w:t>
      </w:r>
    </w:p>
    <w:p w14:paraId="416D3983">
      <w:pPr>
        <w:pStyle w:val="4"/>
        <w:pageBreakBefore/>
        <w:rPr>
          <w:kern w:val="44"/>
        </w:rPr>
      </w:pPr>
      <w:bookmarkStart w:id="36" w:name="_Toc427651371"/>
      <w:bookmarkStart w:id="37" w:name="_Toc428779937"/>
      <w:bookmarkStart w:id="38" w:name="_Toc422471048"/>
      <w:bookmarkStart w:id="39" w:name="_Toc427651713"/>
      <w:bookmarkStart w:id="40" w:name="_Toc428781419"/>
      <w:r>
        <w:rPr>
          <w:rFonts w:hint="eastAsia"/>
          <w:kern w:val="44"/>
        </w:rPr>
        <w:t>北京市实施《中华人民共和国全国</w:t>
      </w:r>
      <w:bookmarkEnd w:id="36"/>
      <w:bookmarkEnd w:id="37"/>
      <w:bookmarkEnd w:id="38"/>
      <w:bookmarkEnd w:id="39"/>
      <w:bookmarkEnd w:id="40"/>
    </w:p>
    <w:p w14:paraId="503498D5">
      <w:pPr>
        <w:pStyle w:val="4"/>
        <w:rPr>
          <w:kern w:val="44"/>
        </w:rPr>
      </w:pPr>
      <w:bookmarkStart w:id="41" w:name="_Toc427651372"/>
      <w:bookmarkStart w:id="42" w:name="_Toc427651714"/>
      <w:bookmarkStart w:id="43" w:name="_Toc428779938"/>
      <w:bookmarkStart w:id="44" w:name="_Toc422471049"/>
      <w:bookmarkStart w:id="45" w:name="_Toc428781420"/>
      <w:r>
        <w:rPr>
          <w:rFonts w:hint="eastAsia"/>
          <w:kern w:val="44"/>
        </w:rPr>
        <w:t>人民代表大会和地方各级人民</w:t>
      </w:r>
      <w:bookmarkEnd w:id="41"/>
      <w:bookmarkEnd w:id="42"/>
      <w:bookmarkEnd w:id="43"/>
      <w:bookmarkEnd w:id="44"/>
      <w:bookmarkEnd w:id="45"/>
    </w:p>
    <w:p w14:paraId="7F970EDD">
      <w:pPr>
        <w:pStyle w:val="4"/>
        <w:rPr>
          <w:kern w:val="44"/>
        </w:rPr>
      </w:pPr>
      <w:bookmarkStart w:id="46" w:name="_Toc422471050"/>
      <w:bookmarkStart w:id="47" w:name="_Toc427651373"/>
      <w:bookmarkStart w:id="48" w:name="_Toc427651715"/>
      <w:bookmarkStart w:id="49" w:name="_Toc428779939"/>
      <w:bookmarkStart w:id="50" w:name="_Toc428781421"/>
      <w:r>
        <w:rPr>
          <w:rFonts w:hint="eastAsia"/>
          <w:kern w:val="44"/>
        </w:rPr>
        <w:t>代表大会代表法》办法</w:t>
      </w:r>
      <w:bookmarkEnd w:id="46"/>
      <w:bookmarkEnd w:id="47"/>
      <w:bookmarkEnd w:id="48"/>
      <w:bookmarkEnd w:id="49"/>
      <w:bookmarkEnd w:id="50"/>
    </w:p>
    <w:p w14:paraId="0583139C">
      <w:pPr>
        <w:ind w:left="630" w:leftChars="300" w:right="630" w:rightChars="300"/>
        <w:jc w:val="left"/>
        <w:rPr>
          <w:rFonts w:ascii="楷体" w:hAnsi="楷体" w:eastAsia="楷体"/>
          <w:kern w:val="44"/>
        </w:rPr>
      </w:pPr>
      <w:r>
        <w:rPr>
          <w:rFonts w:hint="eastAsia" w:ascii="楷体" w:hAnsi="楷体" w:eastAsia="楷体"/>
          <w:kern w:val="44"/>
        </w:rPr>
        <w:t>（2014年1月22日北京市第十四届人民代表大会第二次会议通过 ）</w:t>
      </w:r>
    </w:p>
    <w:p w14:paraId="4A0FBFB1">
      <w:pPr>
        <w:ind w:left="630" w:leftChars="300" w:right="630" w:rightChars="300"/>
        <w:jc w:val="left"/>
        <w:rPr>
          <w:rFonts w:ascii="楷体" w:hAnsi="楷体" w:eastAsia="楷体"/>
          <w:kern w:val="44"/>
        </w:rPr>
      </w:pPr>
    </w:p>
    <w:p w14:paraId="4D3A123F">
      <w:pPr>
        <w:ind w:firstLine="0" w:firstLineChars="0"/>
        <w:jc w:val="center"/>
        <w:rPr>
          <w:b/>
          <w:kern w:val="44"/>
          <w:sz w:val="28"/>
          <w:szCs w:val="28"/>
        </w:rPr>
      </w:pPr>
      <w:r>
        <w:rPr>
          <w:rFonts w:hint="eastAsia"/>
          <w:b/>
          <w:kern w:val="44"/>
          <w:sz w:val="28"/>
          <w:szCs w:val="28"/>
        </w:rPr>
        <w:t>第一章　总　则</w:t>
      </w:r>
    </w:p>
    <w:p w14:paraId="3FBE50B1">
      <w:pPr>
        <w:ind w:firstLine="422"/>
        <w:rPr>
          <w:b/>
        </w:rPr>
      </w:pPr>
    </w:p>
    <w:p w14:paraId="438AF15F">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为了实施《中华人民共和国全国人民代表大会和地方各级人民代表大会代表法》，保证本市各级人民代表大会代表依法行使代表的职权，履行代表的义务，发挥代表作用，结合本市实际情况，制定本办法。</w:t>
      </w:r>
    </w:p>
    <w:p w14:paraId="06242AE7">
      <w:pPr>
        <w:ind w:firstLine="422"/>
        <w:jc w:val="left"/>
        <w:rPr>
          <w:rFonts w:ascii="宋体" w:hAnsi="宋体"/>
          <w:kern w:val="44"/>
        </w:rPr>
      </w:pPr>
      <w:r>
        <w:rPr>
          <w:rFonts w:hint="eastAsia" w:ascii="宋体" w:hAnsi="宋体"/>
          <w:b/>
          <w:kern w:val="44"/>
        </w:rPr>
        <w:t>第二条</w:t>
      </w:r>
      <w:r>
        <w:rPr>
          <w:rFonts w:hint="eastAsia" w:ascii="宋体" w:hAnsi="宋体"/>
          <w:kern w:val="44"/>
        </w:rPr>
        <w:t>　本市各级人民代表大会代表，是本市各级国家权力机关组成人员，代表人民的利益和意志，依照宪法和法律赋予本级人民代表大会的各项职权，参加行使国家权力。</w:t>
      </w:r>
    </w:p>
    <w:p w14:paraId="794AFC65">
      <w:pPr>
        <w:jc w:val="left"/>
        <w:rPr>
          <w:rFonts w:ascii="宋体" w:hAnsi="宋体"/>
          <w:kern w:val="44"/>
        </w:rPr>
      </w:pPr>
      <w:r>
        <w:rPr>
          <w:rFonts w:hint="eastAsia" w:ascii="宋体" w:hAnsi="宋体"/>
          <w:kern w:val="44"/>
        </w:rPr>
        <w:t>代表受原选区选民或者原选举单位的监督。</w:t>
      </w:r>
    </w:p>
    <w:p w14:paraId="23930479">
      <w:pPr>
        <w:ind w:firstLine="422"/>
        <w:jc w:val="left"/>
        <w:rPr>
          <w:rFonts w:ascii="宋体" w:hAnsi="宋体"/>
          <w:kern w:val="44"/>
        </w:rPr>
      </w:pPr>
      <w:r>
        <w:rPr>
          <w:rFonts w:hint="eastAsia" w:ascii="宋体" w:hAnsi="宋体"/>
          <w:b/>
          <w:kern w:val="44"/>
        </w:rPr>
        <w:t>第三条</w:t>
      </w:r>
      <w:r>
        <w:rPr>
          <w:rFonts w:hint="eastAsia" w:ascii="宋体" w:hAnsi="宋体"/>
          <w:kern w:val="44"/>
        </w:rPr>
        <w:t>　代表享有下列权利：</w:t>
      </w:r>
    </w:p>
    <w:p w14:paraId="7382A579">
      <w:pPr>
        <w:jc w:val="left"/>
        <w:rPr>
          <w:rFonts w:ascii="宋体" w:hAnsi="宋体"/>
          <w:kern w:val="44"/>
        </w:rPr>
      </w:pPr>
      <w:r>
        <w:rPr>
          <w:rFonts w:hint="eastAsia" w:ascii="宋体" w:hAnsi="宋体"/>
          <w:kern w:val="44"/>
        </w:rPr>
        <w:t>（一）出席本级人民代表大会会议，参加审议各项议案、报告和其他议题，发表意见；</w:t>
      </w:r>
    </w:p>
    <w:p w14:paraId="157A8CEE">
      <w:pPr>
        <w:jc w:val="left"/>
        <w:rPr>
          <w:rFonts w:ascii="宋体" w:hAnsi="宋体"/>
          <w:kern w:val="44"/>
        </w:rPr>
      </w:pPr>
      <w:r>
        <w:rPr>
          <w:rFonts w:hint="eastAsia" w:ascii="宋体" w:hAnsi="宋体"/>
          <w:kern w:val="44"/>
        </w:rPr>
        <w:t>（二）依法联名提出议案、质询案、罢免案等；</w:t>
      </w:r>
    </w:p>
    <w:p w14:paraId="020AA39D">
      <w:pPr>
        <w:jc w:val="left"/>
        <w:rPr>
          <w:rFonts w:ascii="宋体" w:hAnsi="宋体"/>
          <w:kern w:val="44"/>
        </w:rPr>
      </w:pPr>
      <w:r>
        <w:rPr>
          <w:rFonts w:hint="eastAsia" w:ascii="宋体" w:hAnsi="宋体"/>
          <w:kern w:val="44"/>
        </w:rPr>
        <w:t>（三）提出对各方面工作的建议、批评和意见；</w:t>
      </w:r>
    </w:p>
    <w:p w14:paraId="07B85049">
      <w:pPr>
        <w:jc w:val="left"/>
        <w:rPr>
          <w:rFonts w:ascii="宋体" w:hAnsi="宋体"/>
          <w:kern w:val="44"/>
        </w:rPr>
      </w:pPr>
      <w:r>
        <w:rPr>
          <w:rFonts w:hint="eastAsia" w:ascii="宋体" w:hAnsi="宋体"/>
          <w:kern w:val="44"/>
        </w:rPr>
        <w:t>（四）参加本级人民代表大会的各项选举；</w:t>
      </w:r>
    </w:p>
    <w:p w14:paraId="482824C8">
      <w:pPr>
        <w:jc w:val="left"/>
        <w:rPr>
          <w:rFonts w:ascii="宋体" w:hAnsi="宋体"/>
          <w:kern w:val="44"/>
        </w:rPr>
      </w:pPr>
      <w:r>
        <w:rPr>
          <w:rFonts w:hint="eastAsia" w:ascii="宋体" w:hAnsi="宋体"/>
          <w:kern w:val="44"/>
        </w:rPr>
        <w:t>（五）参加本级人民代表大会的各项表决；</w:t>
      </w:r>
    </w:p>
    <w:p w14:paraId="2A704B39">
      <w:pPr>
        <w:jc w:val="left"/>
        <w:rPr>
          <w:rFonts w:ascii="宋体" w:hAnsi="宋体"/>
          <w:kern w:val="44"/>
        </w:rPr>
      </w:pPr>
      <w:r>
        <w:rPr>
          <w:rFonts w:hint="eastAsia" w:ascii="宋体" w:hAnsi="宋体"/>
          <w:kern w:val="44"/>
        </w:rPr>
        <w:t>（六）获得依法执行代表职务所需的信息和各项保障；</w:t>
      </w:r>
    </w:p>
    <w:p w14:paraId="7D782C6D">
      <w:pPr>
        <w:jc w:val="left"/>
        <w:rPr>
          <w:rFonts w:ascii="宋体" w:hAnsi="宋体"/>
          <w:kern w:val="44"/>
        </w:rPr>
      </w:pPr>
      <w:r>
        <w:rPr>
          <w:rFonts w:hint="eastAsia" w:ascii="宋体" w:hAnsi="宋体"/>
          <w:kern w:val="44"/>
        </w:rPr>
        <w:t>（七）法律规定的其他权利。</w:t>
      </w:r>
    </w:p>
    <w:p w14:paraId="612C55DA">
      <w:pPr>
        <w:ind w:firstLine="422"/>
        <w:jc w:val="left"/>
        <w:rPr>
          <w:rFonts w:ascii="宋体" w:hAnsi="宋体"/>
          <w:kern w:val="44"/>
        </w:rPr>
      </w:pPr>
      <w:r>
        <w:rPr>
          <w:rFonts w:hint="eastAsia" w:ascii="宋体" w:hAnsi="宋体"/>
          <w:b/>
          <w:kern w:val="44"/>
        </w:rPr>
        <w:t>第四条</w:t>
      </w:r>
      <w:r>
        <w:rPr>
          <w:rFonts w:hint="eastAsia" w:ascii="宋体" w:hAnsi="宋体"/>
          <w:kern w:val="44"/>
        </w:rPr>
        <w:t>　代表应当履行下列义务：</w:t>
      </w:r>
    </w:p>
    <w:p w14:paraId="26A3C21D">
      <w:pPr>
        <w:jc w:val="left"/>
        <w:rPr>
          <w:rFonts w:ascii="宋体" w:hAnsi="宋体"/>
          <w:kern w:val="44"/>
        </w:rPr>
      </w:pPr>
      <w:r>
        <w:rPr>
          <w:rFonts w:hint="eastAsia" w:ascii="宋体" w:hAnsi="宋体"/>
          <w:kern w:val="44"/>
        </w:rPr>
        <w:t>（一）模范地遵守宪法、法律和法规，保守国家秘密，在自己参加的生产、工作和社会活动中，协助宪法、法律和法规的实施；</w:t>
      </w:r>
    </w:p>
    <w:p w14:paraId="3AD3035D">
      <w:pPr>
        <w:jc w:val="left"/>
        <w:rPr>
          <w:rFonts w:ascii="宋体" w:hAnsi="宋体"/>
          <w:kern w:val="44"/>
        </w:rPr>
      </w:pPr>
      <w:r>
        <w:rPr>
          <w:rFonts w:hint="eastAsia" w:ascii="宋体" w:hAnsi="宋体"/>
          <w:kern w:val="44"/>
        </w:rPr>
        <w:t>（二）按时出席本级人民代表大会会议，认真审议各项议案、报告和其他议题，发表意见，做好会议期间的各项工作；</w:t>
      </w:r>
    </w:p>
    <w:p w14:paraId="7A0E5C03">
      <w:pPr>
        <w:jc w:val="left"/>
        <w:rPr>
          <w:rFonts w:ascii="宋体" w:hAnsi="宋体"/>
          <w:kern w:val="44"/>
        </w:rPr>
      </w:pPr>
      <w:r>
        <w:rPr>
          <w:rFonts w:hint="eastAsia" w:ascii="宋体" w:hAnsi="宋体"/>
          <w:kern w:val="44"/>
        </w:rPr>
        <w:t>（三）积极参加统一组织的视察、专题调研、执法检查等履职活动；</w:t>
      </w:r>
    </w:p>
    <w:p w14:paraId="5EF84497">
      <w:pPr>
        <w:jc w:val="left"/>
        <w:rPr>
          <w:rFonts w:ascii="宋体" w:hAnsi="宋体"/>
          <w:kern w:val="44"/>
        </w:rPr>
      </w:pPr>
      <w:r>
        <w:rPr>
          <w:rFonts w:hint="eastAsia" w:ascii="宋体" w:hAnsi="宋体"/>
          <w:kern w:val="44"/>
        </w:rPr>
        <w:t>（四）加强履职学习和调查研究，不断提高执行代表职务的能力；</w:t>
      </w:r>
    </w:p>
    <w:p w14:paraId="596A339A">
      <w:pPr>
        <w:jc w:val="left"/>
        <w:rPr>
          <w:rFonts w:ascii="宋体" w:hAnsi="宋体"/>
          <w:kern w:val="44"/>
        </w:rPr>
      </w:pPr>
      <w:r>
        <w:rPr>
          <w:rFonts w:hint="eastAsia" w:ascii="宋体" w:hAnsi="宋体"/>
          <w:kern w:val="44"/>
        </w:rPr>
        <w:t>（五）与原选区选民或者原选举单位和人民群众保持密切联系，听取和反映他们的意见和要求，努力为人民服务；</w:t>
      </w:r>
    </w:p>
    <w:p w14:paraId="4E537AFE">
      <w:pPr>
        <w:jc w:val="left"/>
        <w:rPr>
          <w:rFonts w:ascii="宋体" w:hAnsi="宋体"/>
          <w:kern w:val="44"/>
        </w:rPr>
      </w:pPr>
      <w:r>
        <w:rPr>
          <w:rFonts w:hint="eastAsia" w:ascii="宋体" w:hAnsi="宋体"/>
          <w:kern w:val="44"/>
        </w:rPr>
        <w:t>（六）自觉遵守社会公德，廉洁自律，公道正派，勤勉尽责；</w:t>
      </w:r>
    </w:p>
    <w:p w14:paraId="6925926D">
      <w:pPr>
        <w:jc w:val="left"/>
        <w:rPr>
          <w:rFonts w:ascii="宋体" w:hAnsi="宋体"/>
          <w:kern w:val="44"/>
        </w:rPr>
      </w:pPr>
      <w:r>
        <w:rPr>
          <w:rFonts w:hint="eastAsia" w:ascii="宋体" w:hAnsi="宋体"/>
          <w:kern w:val="44"/>
        </w:rPr>
        <w:t>（七）法律规定的其他义务。</w:t>
      </w:r>
    </w:p>
    <w:p w14:paraId="248D7891">
      <w:pPr>
        <w:ind w:firstLine="422"/>
        <w:jc w:val="left"/>
        <w:rPr>
          <w:rFonts w:ascii="宋体" w:hAnsi="宋体"/>
          <w:kern w:val="44"/>
        </w:rPr>
      </w:pPr>
      <w:r>
        <w:rPr>
          <w:rFonts w:hint="eastAsia" w:ascii="宋体" w:hAnsi="宋体"/>
          <w:b/>
          <w:kern w:val="44"/>
        </w:rPr>
        <w:t>第五条</w:t>
      </w:r>
      <w:r>
        <w:rPr>
          <w:rFonts w:hint="eastAsia" w:ascii="宋体" w:hAnsi="宋体"/>
          <w:kern w:val="44"/>
        </w:rPr>
        <w:t>　</w:t>
      </w:r>
      <w:r>
        <w:rPr>
          <w:rFonts w:hint="eastAsia" w:ascii="宋体" w:hAnsi="宋体"/>
          <w:spacing w:val="4"/>
          <w:kern w:val="44"/>
        </w:rPr>
        <w:t>代表依照《中华人民共和国全国人民代表大会和地方各级人民代表大会代表法》和本办法的规定，在本级人民代表大会会议期间的工作和在本级人民代表大会闭会期间的活动，都是执行代表职务。</w:t>
      </w:r>
    </w:p>
    <w:p w14:paraId="30CEA49F">
      <w:pPr>
        <w:jc w:val="left"/>
        <w:rPr>
          <w:rFonts w:ascii="宋体" w:hAnsi="宋体"/>
          <w:kern w:val="44"/>
        </w:rPr>
      </w:pPr>
      <w:r>
        <w:rPr>
          <w:rFonts w:hint="eastAsia" w:ascii="宋体" w:hAnsi="宋体"/>
          <w:kern w:val="44"/>
        </w:rPr>
        <w:t>代表不脱离各自的生产和工作。代表出席本级人民代表大会会议，参加闭会期间统一组织的履职活动，应当安排好本人的生产和工作，优先执行代表职务。</w:t>
      </w:r>
    </w:p>
    <w:p w14:paraId="1BDF7F8A">
      <w:pPr>
        <w:ind w:firstLine="422"/>
        <w:jc w:val="left"/>
        <w:rPr>
          <w:rFonts w:ascii="宋体" w:hAnsi="宋体"/>
          <w:kern w:val="44"/>
        </w:rPr>
      </w:pPr>
      <w:r>
        <w:rPr>
          <w:rFonts w:hint="eastAsia" w:ascii="宋体" w:hAnsi="宋体"/>
          <w:b/>
          <w:kern w:val="44"/>
        </w:rPr>
        <w:t>第六条</w:t>
      </w:r>
      <w:r>
        <w:rPr>
          <w:rFonts w:hint="eastAsia" w:ascii="宋体" w:hAnsi="宋体"/>
          <w:kern w:val="44"/>
        </w:rPr>
        <w:t>　本市国家机关、社会团体和企业、事业单位应当为代表执行代表职务提供保障。</w:t>
      </w:r>
    </w:p>
    <w:p w14:paraId="5EF58045">
      <w:pPr>
        <w:jc w:val="left"/>
        <w:rPr>
          <w:rFonts w:ascii="宋体" w:hAnsi="宋体"/>
          <w:kern w:val="44"/>
        </w:rPr>
      </w:pPr>
    </w:p>
    <w:p w14:paraId="778F9C87">
      <w:pPr>
        <w:ind w:firstLine="0" w:firstLineChars="0"/>
        <w:jc w:val="center"/>
        <w:rPr>
          <w:b/>
          <w:kern w:val="44"/>
          <w:sz w:val="28"/>
          <w:szCs w:val="28"/>
        </w:rPr>
      </w:pPr>
      <w:r>
        <w:rPr>
          <w:rFonts w:hint="eastAsia"/>
          <w:b/>
          <w:kern w:val="44"/>
          <w:sz w:val="28"/>
          <w:szCs w:val="28"/>
        </w:rPr>
        <w:t>第二章　代表在本级人民代表大会</w:t>
      </w:r>
    </w:p>
    <w:p w14:paraId="6142B34D">
      <w:pPr>
        <w:ind w:firstLine="0" w:firstLineChars="0"/>
        <w:jc w:val="center"/>
        <w:rPr>
          <w:b/>
          <w:kern w:val="44"/>
          <w:sz w:val="28"/>
          <w:szCs w:val="28"/>
        </w:rPr>
      </w:pPr>
      <w:r>
        <w:rPr>
          <w:rFonts w:hint="eastAsia"/>
          <w:b/>
          <w:kern w:val="44"/>
          <w:sz w:val="28"/>
          <w:szCs w:val="28"/>
        </w:rPr>
        <w:t>会议期间的工作</w:t>
      </w:r>
    </w:p>
    <w:p w14:paraId="35ADF631">
      <w:pPr>
        <w:ind w:firstLine="422"/>
        <w:jc w:val="left"/>
        <w:rPr>
          <w:rFonts w:ascii="宋体" w:hAnsi="宋体"/>
          <w:b/>
          <w:kern w:val="44"/>
        </w:rPr>
      </w:pPr>
    </w:p>
    <w:p w14:paraId="2BC6F189">
      <w:pPr>
        <w:ind w:firstLine="422"/>
        <w:jc w:val="left"/>
        <w:rPr>
          <w:rFonts w:ascii="宋体" w:hAnsi="宋体"/>
          <w:kern w:val="44"/>
        </w:rPr>
      </w:pPr>
      <w:r>
        <w:rPr>
          <w:rFonts w:hint="eastAsia" w:ascii="宋体" w:hAnsi="宋体"/>
          <w:b/>
          <w:kern w:val="44"/>
        </w:rPr>
        <w:t>第七条</w:t>
      </w:r>
      <w:r>
        <w:rPr>
          <w:rFonts w:hint="eastAsia" w:ascii="宋体" w:hAnsi="宋体"/>
          <w:kern w:val="44"/>
        </w:rPr>
        <w:t>　代表应当按时出席本级人民代表大会会议。因健康等特殊原因不能出席会议的，市和区、县人民代表大会代表应当向代表团团长书面请假并得到批准，乡、民族乡、镇人民代表大会代表应当向人民代表大会主席或者副主席书面请假并得到批准。</w:t>
      </w:r>
    </w:p>
    <w:p w14:paraId="21440D7D">
      <w:pPr>
        <w:jc w:val="left"/>
        <w:rPr>
          <w:rFonts w:ascii="宋体" w:hAnsi="宋体"/>
          <w:kern w:val="44"/>
        </w:rPr>
      </w:pPr>
      <w:r>
        <w:rPr>
          <w:rFonts w:hint="eastAsia" w:ascii="宋体" w:hAnsi="宋体"/>
          <w:kern w:val="44"/>
        </w:rPr>
        <w:t>在人民代表大会会议期间，因健康等特殊原因临时不能出席本级人民代表大会全体会议、代表团全体会议、小组会议的，市和区、县人民代表大会代表应当向代表团团长请假并得到批准，乡、民族乡、镇人民代表大会代表应当向人民代表大会主席或者副主席请假并得到批准。</w:t>
      </w:r>
    </w:p>
    <w:p w14:paraId="4EE7D311">
      <w:pPr>
        <w:ind w:firstLine="422"/>
        <w:jc w:val="left"/>
        <w:rPr>
          <w:rFonts w:ascii="宋体" w:hAnsi="宋体"/>
          <w:kern w:val="44"/>
        </w:rPr>
      </w:pPr>
      <w:r>
        <w:rPr>
          <w:rFonts w:hint="eastAsia" w:ascii="宋体" w:hAnsi="宋体"/>
          <w:b/>
          <w:kern w:val="44"/>
        </w:rPr>
        <w:t>第八条</w:t>
      </w:r>
      <w:r>
        <w:rPr>
          <w:rFonts w:hint="eastAsia" w:ascii="宋体" w:hAnsi="宋体"/>
          <w:kern w:val="44"/>
        </w:rPr>
        <w:t>　市和区、县人民代表大会代表应当根据本级人民代表大会常务委员会的安排，做好出席代表大会会议前的下列准备工作：</w:t>
      </w:r>
    </w:p>
    <w:p w14:paraId="6872BE9F">
      <w:pPr>
        <w:jc w:val="left"/>
        <w:rPr>
          <w:rFonts w:ascii="宋体" w:hAnsi="宋体"/>
          <w:kern w:val="44"/>
        </w:rPr>
      </w:pPr>
      <w:r>
        <w:rPr>
          <w:rFonts w:hint="eastAsia" w:ascii="宋体" w:hAnsi="宋体"/>
          <w:kern w:val="44"/>
        </w:rPr>
        <w:t>（一）围绕代表大会将要审议的议题进行视察；</w:t>
      </w:r>
    </w:p>
    <w:p w14:paraId="016FAB63">
      <w:pPr>
        <w:jc w:val="left"/>
        <w:rPr>
          <w:rFonts w:ascii="宋体" w:hAnsi="宋体"/>
          <w:kern w:val="44"/>
        </w:rPr>
      </w:pPr>
      <w:r>
        <w:rPr>
          <w:rFonts w:hint="eastAsia" w:ascii="宋体" w:hAnsi="宋体"/>
          <w:kern w:val="44"/>
        </w:rPr>
        <w:t>（二）讨论准备提请代表大会会议审议的主要文件；</w:t>
      </w:r>
    </w:p>
    <w:p w14:paraId="612BC547">
      <w:pPr>
        <w:jc w:val="left"/>
        <w:rPr>
          <w:rFonts w:ascii="宋体" w:hAnsi="宋体"/>
          <w:kern w:val="44"/>
        </w:rPr>
      </w:pPr>
      <w:r>
        <w:rPr>
          <w:rFonts w:hint="eastAsia" w:ascii="宋体" w:hAnsi="宋体"/>
          <w:kern w:val="44"/>
        </w:rPr>
        <w:t>（三）讨论酝酿有关选举事项；</w:t>
      </w:r>
    </w:p>
    <w:p w14:paraId="41430118">
      <w:pPr>
        <w:jc w:val="left"/>
        <w:rPr>
          <w:rFonts w:ascii="宋体" w:hAnsi="宋体"/>
          <w:kern w:val="44"/>
        </w:rPr>
      </w:pPr>
      <w:r>
        <w:rPr>
          <w:rFonts w:hint="eastAsia" w:ascii="宋体" w:hAnsi="宋体"/>
          <w:kern w:val="44"/>
        </w:rPr>
        <w:t>（四）听取原选区选民或者原选举单位和人民群众的意见和要求；</w:t>
      </w:r>
    </w:p>
    <w:p w14:paraId="3DE1838E">
      <w:pPr>
        <w:jc w:val="left"/>
        <w:rPr>
          <w:rFonts w:ascii="宋体" w:hAnsi="宋体"/>
          <w:kern w:val="44"/>
        </w:rPr>
      </w:pPr>
      <w:r>
        <w:rPr>
          <w:rFonts w:hint="eastAsia" w:ascii="宋体" w:hAnsi="宋体"/>
          <w:kern w:val="44"/>
        </w:rPr>
        <w:t>（五）准备向代表大会提出议案以及建议、批评和意见。</w:t>
      </w:r>
    </w:p>
    <w:p w14:paraId="4C356C54">
      <w:pPr>
        <w:jc w:val="left"/>
        <w:rPr>
          <w:rFonts w:ascii="宋体" w:hAnsi="宋体"/>
          <w:kern w:val="44"/>
        </w:rPr>
      </w:pPr>
      <w:r>
        <w:rPr>
          <w:rFonts w:hint="eastAsia" w:ascii="宋体" w:hAnsi="宋体"/>
          <w:kern w:val="44"/>
        </w:rPr>
        <w:t>乡、民族乡、镇人民代表大会代表根据本级人民代表大会主席、副主席的安排，进行大会前的各项准备工作。</w:t>
      </w:r>
    </w:p>
    <w:p w14:paraId="0CADD307">
      <w:pPr>
        <w:ind w:firstLine="422"/>
        <w:jc w:val="left"/>
        <w:rPr>
          <w:rFonts w:ascii="宋体" w:hAnsi="宋体"/>
          <w:kern w:val="44"/>
        </w:rPr>
      </w:pPr>
      <w:r>
        <w:rPr>
          <w:rFonts w:hint="eastAsia" w:ascii="宋体" w:hAnsi="宋体"/>
          <w:b/>
          <w:kern w:val="44"/>
        </w:rPr>
        <w:t>第九条</w:t>
      </w:r>
      <w:r>
        <w:rPr>
          <w:rFonts w:hint="eastAsia" w:ascii="宋体" w:hAnsi="宋体"/>
          <w:kern w:val="44"/>
        </w:rPr>
        <w:t>　代表参加大会全体会议、代表团全体会议、小组会议，审议列入大会议程的各项议案和报告。</w:t>
      </w:r>
    </w:p>
    <w:p w14:paraId="7E55A649">
      <w:pPr>
        <w:jc w:val="left"/>
        <w:rPr>
          <w:rFonts w:ascii="宋体" w:hAnsi="宋体"/>
          <w:kern w:val="44"/>
        </w:rPr>
      </w:pPr>
      <w:r>
        <w:rPr>
          <w:rFonts w:hint="eastAsia" w:ascii="宋体" w:hAnsi="宋体"/>
          <w:kern w:val="44"/>
        </w:rPr>
        <w:t>代表可以按照大会主席团通过的会议日程安排，参加专门性问题的讨论和在大会上发言；可以被推选或者受邀请列席主席团会议、专门委员会会议，发表意见。</w:t>
      </w:r>
    </w:p>
    <w:p w14:paraId="5A24C5B9">
      <w:pPr>
        <w:jc w:val="left"/>
        <w:rPr>
          <w:rFonts w:ascii="宋体" w:hAnsi="宋体"/>
          <w:kern w:val="44"/>
        </w:rPr>
      </w:pPr>
      <w:r>
        <w:rPr>
          <w:rFonts w:hint="eastAsia" w:ascii="宋体" w:hAnsi="宋体"/>
          <w:kern w:val="44"/>
        </w:rPr>
        <w:t>代表应当围绕会议议题发表意见，遵守议事规则。</w:t>
      </w:r>
    </w:p>
    <w:p w14:paraId="3EDB9739">
      <w:pPr>
        <w:ind w:firstLine="422"/>
        <w:jc w:val="left"/>
        <w:rPr>
          <w:rFonts w:ascii="宋体" w:hAnsi="宋体"/>
          <w:kern w:val="44"/>
        </w:rPr>
      </w:pPr>
      <w:r>
        <w:rPr>
          <w:rFonts w:hint="eastAsia" w:ascii="宋体" w:hAnsi="宋体"/>
          <w:b/>
          <w:kern w:val="44"/>
        </w:rPr>
        <w:t>第十条</w:t>
      </w:r>
      <w:r>
        <w:rPr>
          <w:rFonts w:hint="eastAsia" w:ascii="宋体" w:hAnsi="宋体"/>
          <w:kern w:val="44"/>
        </w:rPr>
        <w:t>　市和区、县人民代表大会代表十人以上联名或者一个代表团以全体代表的过半数通过，乡、民族乡、镇人民代表大会代表五人以上联名，可以向本级人民代表大会书面提出属于本级人民代表大会职权范围内的议案。</w:t>
      </w:r>
    </w:p>
    <w:p w14:paraId="5CD8A904">
      <w:pPr>
        <w:jc w:val="left"/>
        <w:rPr>
          <w:rFonts w:ascii="宋体" w:hAnsi="宋体"/>
          <w:kern w:val="44"/>
        </w:rPr>
      </w:pPr>
      <w:r>
        <w:rPr>
          <w:rFonts w:hint="eastAsia" w:ascii="宋体" w:hAnsi="宋体"/>
          <w:kern w:val="44"/>
        </w:rPr>
        <w:t>议案应当有案由、案据和方案。议案的内容主要包括：</w:t>
      </w:r>
    </w:p>
    <w:p w14:paraId="1BDD4E2A">
      <w:pPr>
        <w:jc w:val="left"/>
        <w:rPr>
          <w:rFonts w:ascii="宋体" w:hAnsi="宋体"/>
          <w:kern w:val="44"/>
        </w:rPr>
      </w:pPr>
      <w:r>
        <w:rPr>
          <w:rFonts w:hint="eastAsia" w:ascii="宋体" w:hAnsi="宋体"/>
          <w:kern w:val="44"/>
        </w:rPr>
        <w:t>（一）制定、修改和解释地方性法规的事项；</w:t>
      </w:r>
    </w:p>
    <w:p w14:paraId="6CF9962D">
      <w:pPr>
        <w:jc w:val="left"/>
        <w:rPr>
          <w:rFonts w:ascii="宋体" w:hAnsi="宋体"/>
          <w:kern w:val="44"/>
        </w:rPr>
      </w:pPr>
      <w:r>
        <w:rPr>
          <w:rFonts w:hint="eastAsia" w:ascii="宋体" w:hAnsi="宋体"/>
          <w:kern w:val="44"/>
        </w:rPr>
        <w:t>（二）保证宪法和法律在本行政区域内遵守和执行的事项；</w:t>
      </w:r>
    </w:p>
    <w:p w14:paraId="0A9041B3">
      <w:pPr>
        <w:jc w:val="left"/>
        <w:rPr>
          <w:rFonts w:ascii="宋体" w:hAnsi="宋体"/>
          <w:kern w:val="44"/>
        </w:rPr>
      </w:pPr>
      <w:r>
        <w:rPr>
          <w:rFonts w:hint="eastAsia" w:ascii="宋体" w:hAnsi="宋体"/>
          <w:kern w:val="44"/>
        </w:rPr>
        <w:t>（三）本级人民代表大会讨论、决定本行政区域的重大事项；</w:t>
      </w:r>
    </w:p>
    <w:p w14:paraId="7D75F857">
      <w:pPr>
        <w:jc w:val="left"/>
        <w:rPr>
          <w:rFonts w:ascii="宋体" w:hAnsi="宋体"/>
          <w:kern w:val="44"/>
        </w:rPr>
      </w:pPr>
      <w:r>
        <w:rPr>
          <w:rFonts w:hint="eastAsia" w:ascii="宋体" w:hAnsi="宋体"/>
          <w:kern w:val="44"/>
        </w:rPr>
        <w:t>（四）对本级人民政府、人民法院、人民检察院实施监督方面的事项；</w:t>
      </w:r>
    </w:p>
    <w:p w14:paraId="51F7C2E4">
      <w:pPr>
        <w:jc w:val="left"/>
        <w:rPr>
          <w:rFonts w:ascii="宋体" w:hAnsi="宋体"/>
          <w:kern w:val="44"/>
        </w:rPr>
      </w:pPr>
      <w:r>
        <w:rPr>
          <w:rFonts w:hint="eastAsia" w:ascii="宋体" w:hAnsi="宋体"/>
          <w:kern w:val="44"/>
        </w:rPr>
        <w:t>（五）属于本级人民代表大会职权范围人民群众普遍关心的其他事项。</w:t>
      </w:r>
    </w:p>
    <w:p w14:paraId="6F721042">
      <w:pPr>
        <w:jc w:val="left"/>
        <w:rPr>
          <w:rFonts w:ascii="宋体" w:hAnsi="宋体"/>
          <w:kern w:val="44"/>
        </w:rPr>
      </w:pPr>
      <w:r>
        <w:rPr>
          <w:rFonts w:hint="eastAsia" w:ascii="宋体" w:hAnsi="宋体"/>
          <w:kern w:val="44"/>
        </w:rPr>
        <w:t>代表或者代表团提出的议案，经大会主席团审议决定，可以列入大会议程，可以根据议案集中反映的问题一并交主管机关研究办理，并由人民代表大会常务委员会进行审议，也可以作为代表建议、批评和意见处理。</w:t>
      </w:r>
    </w:p>
    <w:p w14:paraId="1DE035CC">
      <w:pPr>
        <w:jc w:val="left"/>
        <w:rPr>
          <w:rFonts w:ascii="宋体" w:hAnsi="宋体"/>
          <w:kern w:val="44"/>
        </w:rPr>
      </w:pPr>
      <w:r>
        <w:rPr>
          <w:rFonts w:hint="eastAsia" w:ascii="宋体" w:hAnsi="宋体"/>
          <w:kern w:val="44"/>
        </w:rPr>
        <w:t>列入会议议程的议案，在交付大会表决前，提出议案的代表或者代表团要求撤回的，经大会主席团同意，会议对该项议案的审议即行终止。</w:t>
      </w:r>
    </w:p>
    <w:p w14:paraId="0705B49A">
      <w:pPr>
        <w:ind w:firstLine="422"/>
        <w:jc w:val="left"/>
        <w:rPr>
          <w:rFonts w:ascii="宋体" w:hAnsi="宋体"/>
          <w:kern w:val="44"/>
        </w:rPr>
      </w:pPr>
      <w:r>
        <w:rPr>
          <w:rFonts w:hint="eastAsia" w:ascii="宋体" w:hAnsi="宋体"/>
          <w:b/>
          <w:kern w:val="44"/>
        </w:rPr>
        <w:t>第十一条</w:t>
      </w:r>
      <w:r>
        <w:rPr>
          <w:rFonts w:hint="eastAsia" w:ascii="宋体" w:hAnsi="宋体"/>
          <w:kern w:val="44"/>
        </w:rPr>
        <w:t>　代表在审议议案和报告时，可以就审议内容的相关问题提出询问，被询问的本级有关国家机关应当派负责人或者有关负责人员回答询问。</w:t>
      </w:r>
    </w:p>
    <w:p w14:paraId="39FC5571">
      <w:pPr>
        <w:jc w:val="left"/>
        <w:rPr>
          <w:rFonts w:ascii="宋体" w:hAnsi="宋体"/>
          <w:kern w:val="44"/>
        </w:rPr>
      </w:pPr>
      <w:r>
        <w:rPr>
          <w:rFonts w:hint="eastAsia" w:ascii="宋体" w:hAnsi="宋体"/>
          <w:kern w:val="44"/>
        </w:rPr>
        <w:t>根据代表要求或者工作需要，经市和区、县人民代表大会主席团安排，可以由本级人民代表大会常务委员会、人民政府、人民法院、人民检察院有关部门的负责人员，集中接受代表询问。</w:t>
      </w:r>
    </w:p>
    <w:p w14:paraId="73A71F7D">
      <w:pPr>
        <w:ind w:firstLine="422"/>
        <w:jc w:val="left"/>
        <w:rPr>
          <w:rFonts w:ascii="宋体" w:hAnsi="宋体"/>
          <w:kern w:val="44"/>
        </w:rPr>
      </w:pPr>
      <w:r>
        <w:rPr>
          <w:rFonts w:hint="eastAsia" w:ascii="宋体" w:hAnsi="宋体"/>
          <w:b/>
          <w:kern w:val="44"/>
        </w:rPr>
        <w:t>第十二条</w:t>
      </w:r>
      <w:r>
        <w:rPr>
          <w:rFonts w:hint="eastAsia" w:ascii="宋体" w:hAnsi="宋体"/>
          <w:kern w:val="44"/>
        </w:rPr>
        <w:t>　市和区、县人民代表大会会议期间，代表十人以上联名或者一个代表团以全体代表的过半数通过，可以书面提出对本级人民政府及其所属各部门和人民法院、人民检察院的质询案。乡、民族乡、镇人民代表大会会议期间，代表十人以上联名，可以书面提出对本级人民政府的质询案。</w:t>
      </w:r>
    </w:p>
    <w:p w14:paraId="52E91C0F">
      <w:pPr>
        <w:jc w:val="left"/>
        <w:rPr>
          <w:rFonts w:ascii="宋体" w:hAnsi="宋体"/>
          <w:kern w:val="44"/>
        </w:rPr>
      </w:pPr>
      <w:r>
        <w:rPr>
          <w:rFonts w:hint="eastAsia" w:ascii="宋体" w:hAnsi="宋体"/>
          <w:kern w:val="44"/>
        </w:rPr>
        <w:t>质询案应当写明质询对象、质询的问题和内容。</w:t>
      </w:r>
    </w:p>
    <w:p w14:paraId="07C57426">
      <w:pPr>
        <w:jc w:val="left"/>
        <w:rPr>
          <w:rFonts w:ascii="宋体" w:hAnsi="宋体"/>
          <w:kern w:val="44"/>
        </w:rPr>
      </w:pPr>
      <w:r>
        <w:rPr>
          <w:rFonts w:hint="eastAsia" w:ascii="宋体" w:hAnsi="宋体"/>
          <w:kern w:val="44"/>
        </w:rPr>
        <w:t>质询案按照主席团的决定，由受质询机关的负责人在主席团会议、有关的专门委员会会议或者有关的代表团会议上口头答复，或者由受质询机关书面答复。在主席团会议或者有关的专门委员会会议上答复的，提出质询案的代表团团长或者代表有权列席会议，发表意见。</w:t>
      </w:r>
    </w:p>
    <w:p w14:paraId="1558F318">
      <w:pPr>
        <w:jc w:val="left"/>
        <w:rPr>
          <w:rFonts w:ascii="宋体" w:hAnsi="宋体"/>
          <w:kern w:val="44"/>
        </w:rPr>
      </w:pPr>
      <w:r>
        <w:rPr>
          <w:rFonts w:hint="eastAsia" w:ascii="宋体" w:hAnsi="宋体"/>
          <w:kern w:val="44"/>
        </w:rPr>
        <w:t>提出质询案的代表半数以上对答复不满意的，可以要求受质询机关再作答复。</w:t>
      </w:r>
    </w:p>
    <w:p w14:paraId="7761E70D">
      <w:pPr>
        <w:ind w:firstLine="422"/>
        <w:jc w:val="left"/>
        <w:rPr>
          <w:rFonts w:ascii="宋体" w:hAnsi="宋体"/>
          <w:kern w:val="44"/>
        </w:rPr>
      </w:pPr>
      <w:r>
        <w:rPr>
          <w:rFonts w:hint="eastAsia" w:ascii="宋体" w:hAnsi="宋体"/>
          <w:b/>
          <w:kern w:val="44"/>
        </w:rPr>
        <w:t>第十三条</w:t>
      </w:r>
      <w:r>
        <w:rPr>
          <w:rFonts w:hint="eastAsia" w:ascii="宋体" w:hAnsi="宋体"/>
          <w:kern w:val="44"/>
        </w:rPr>
        <w:t>　市和区、县人民代表大会会议期间，十分之一以上代表联名，可以提出对本级人民代表大会常务委员会组成人员、人民政府组成人员、人民法院院长、人民检察院检察长的罢免案。乡、民族乡、镇人民代表大会会议期间，五分之一以上代表联名，可以提出对人民代表大会主席、副主席，乡长、副乡长，镇长、副镇长的罢免案。罢免案由主席团提请大会审议。</w:t>
      </w:r>
    </w:p>
    <w:p w14:paraId="38AFCAF8">
      <w:pPr>
        <w:jc w:val="left"/>
        <w:rPr>
          <w:rFonts w:ascii="宋体" w:hAnsi="宋体"/>
          <w:kern w:val="44"/>
        </w:rPr>
      </w:pPr>
      <w:r>
        <w:rPr>
          <w:rFonts w:hint="eastAsia" w:ascii="宋体" w:hAnsi="宋体"/>
          <w:kern w:val="44"/>
        </w:rPr>
        <w:t>罢免案应当写明罢免的理由，并提供有关材料。</w:t>
      </w:r>
    </w:p>
    <w:p w14:paraId="618F984C">
      <w:pPr>
        <w:ind w:firstLine="422"/>
        <w:jc w:val="left"/>
        <w:rPr>
          <w:rFonts w:ascii="宋体" w:hAnsi="宋体"/>
          <w:kern w:val="44"/>
        </w:rPr>
      </w:pPr>
      <w:r>
        <w:rPr>
          <w:rFonts w:hint="eastAsia" w:ascii="宋体" w:hAnsi="宋体"/>
          <w:b/>
          <w:kern w:val="44"/>
        </w:rPr>
        <w:t>第十四条</w:t>
      </w:r>
      <w:r>
        <w:rPr>
          <w:rFonts w:hint="eastAsia" w:ascii="宋体" w:hAnsi="宋体"/>
          <w:kern w:val="44"/>
        </w:rPr>
        <w:t>　市和区、县人民代表大会会议期间，主席团、十分之一以上的代表联名或者三个以上代表团，可以提议组织关于特定问题的调查委员会，由主席团提请代表大会全体会议决定。</w:t>
      </w:r>
    </w:p>
    <w:p w14:paraId="45D6DEC0">
      <w:pPr>
        <w:jc w:val="left"/>
        <w:rPr>
          <w:rFonts w:ascii="宋体" w:hAnsi="宋体"/>
          <w:kern w:val="44"/>
        </w:rPr>
      </w:pPr>
      <w:r>
        <w:rPr>
          <w:rFonts w:hint="eastAsia" w:ascii="宋体" w:hAnsi="宋体"/>
          <w:kern w:val="44"/>
        </w:rPr>
        <w:t>提议应当写明调查的对象、内容和要求。</w:t>
      </w:r>
    </w:p>
    <w:p w14:paraId="3CEBC632">
      <w:pPr>
        <w:jc w:val="left"/>
        <w:rPr>
          <w:rFonts w:ascii="宋体" w:hAnsi="宋体"/>
          <w:kern w:val="44"/>
        </w:rPr>
      </w:pPr>
    </w:p>
    <w:p w14:paraId="2FCC6591">
      <w:pPr>
        <w:ind w:firstLine="0" w:firstLineChars="0"/>
        <w:jc w:val="center"/>
        <w:rPr>
          <w:b/>
          <w:kern w:val="44"/>
          <w:sz w:val="28"/>
        </w:rPr>
      </w:pPr>
      <w:r>
        <w:rPr>
          <w:rFonts w:hint="eastAsia"/>
          <w:b/>
          <w:kern w:val="44"/>
          <w:sz w:val="28"/>
        </w:rPr>
        <w:t>第三章　代表在本级人民代表大会</w:t>
      </w:r>
    </w:p>
    <w:p w14:paraId="5CACE2DF">
      <w:pPr>
        <w:ind w:firstLine="0" w:firstLineChars="0"/>
        <w:jc w:val="center"/>
        <w:rPr>
          <w:b/>
          <w:kern w:val="44"/>
          <w:sz w:val="28"/>
        </w:rPr>
      </w:pPr>
      <w:r>
        <w:rPr>
          <w:rFonts w:hint="eastAsia"/>
          <w:b/>
          <w:kern w:val="44"/>
          <w:sz w:val="28"/>
        </w:rPr>
        <w:t>闭会期间的活动</w:t>
      </w:r>
    </w:p>
    <w:p w14:paraId="43AEE00E"/>
    <w:p w14:paraId="139DFD0D">
      <w:pPr>
        <w:ind w:firstLine="422"/>
        <w:jc w:val="left"/>
        <w:rPr>
          <w:rFonts w:ascii="宋体" w:hAnsi="宋体"/>
          <w:kern w:val="44"/>
        </w:rPr>
      </w:pPr>
      <w:r>
        <w:rPr>
          <w:rFonts w:hint="eastAsia" w:ascii="宋体" w:hAnsi="宋体"/>
          <w:b/>
          <w:kern w:val="44"/>
        </w:rPr>
        <w:t>第十五条</w:t>
      </w:r>
      <w:r>
        <w:rPr>
          <w:rFonts w:hint="eastAsia" w:ascii="宋体" w:hAnsi="宋体"/>
          <w:kern w:val="44"/>
        </w:rPr>
        <w:t>　市和区、县人民代表大会常务委员会，负责组织本级人民代表大会代表和受委托组织上一级人民代表大会代表开展闭会期间的活动。</w:t>
      </w:r>
    </w:p>
    <w:p w14:paraId="1C6C4353">
      <w:pPr>
        <w:jc w:val="left"/>
        <w:rPr>
          <w:rFonts w:ascii="宋体" w:hAnsi="宋体"/>
          <w:kern w:val="44"/>
        </w:rPr>
      </w:pPr>
      <w:r>
        <w:rPr>
          <w:rFonts w:hint="eastAsia" w:ascii="宋体" w:hAnsi="宋体"/>
          <w:kern w:val="44"/>
        </w:rPr>
        <w:t>乡、民族乡、镇人民代表大会主席、副主席，负责组织本级人民代表大会代表开展闭会期间的活动。</w:t>
      </w:r>
    </w:p>
    <w:p w14:paraId="441E90E9">
      <w:pPr>
        <w:ind w:firstLine="422"/>
        <w:jc w:val="left"/>
        <w:rPr>
          <w:rFonts w:ascii="宋体" w:hAnsi="宋体"/>
          <w:kern w:val="44"/>
        </w:rPr>
      </w:pPr>
      <w:r>
        <w:rPr>
          <w:rFonts w:hint="eastAsia" w:ascii="宋体" w:hAnsi="宋体"/>
          <w:b/>
          <w:kern w:val="44"/>
        </w:rPr>
        <w:t>第十六条</w:t>
      </w:r>
      <w:r>
        <w:rPr>
          <w:rFonts w:hint="eastAsia" w:ascii="宋体" w:hAnsi="宋体"/>
          <w:kern w:val="44"/>
        </w:rPr>
        <w:t>　代表在代表大会闭会期间的活动，以集体活动为主，以代表小组活动为基本形式。</w:t>
      </w:r>
    </w:p>
    <w:p w14:paraId="1F726C9A">
      <w:pPr>
        <w:jc w:val="left"/>
        <w:rPr>
          <w:rFonts w:ascii="宋体" w:hAnsi="宋体"/>
          <w:kern w:val="44"/>
        </w:rPr>
      </w:pPr>
      <w:r>
        <w:rPr>
          <w:rFonts w:hint="eastAsia" w:ascii="宋体" w:hAnsi="宋体"/>
          <w:kern w:val="44"/>
        </w:rPr>
        <w:t>代表在本级或者下级人民代表大会常务委员会协助下，可以按照行业、工作单位、居住区域，或者按照人民代表大会会议期间划分的小组，组成代表小组或者联组，开展代表活动。</w:t>
      </w:r>
    </w:p>
    <w:p w14:paraId="25320856">
      <w:pPr>
        <w:jc w:val="left"/>
        <w:rPr>
          <w:rFonts w:ascii="宋体" w:hAnsi="宋体"/>
          <w:kern w:val="44"/>
        </w:rPr>
      </w:pPr>
      <w:r>
        <w:rPr>
          <w:rFonts w:hint="eastAsia" w:ascii="宋体" w:hAnsi="宋体"/>
          <w:kern w:val="44"/>
        </w:rPr>
        <w:t>代表可以参加一个代表小组。代表小组或者联组应当推选组长、副组长，制定闭会期间活动计划，每年活动不少于两次。</w:t>
      </w:r>
    </w:p>
    <w:p w14:paraId="66A6BD0D">
      <w:pPr>
        <w:ind w:firstLine="422"/>
        <w:jc w:val="left"/>
        <w:rPr>
          <w:rFonts w:ascii="宋体" w:hAnsi="宋体"/>
          <w:kern w:val="44"/>
        </w:rPr>
      </w:pPr>
      <w:r>
        <w:rPr>
          <w:rFonts w:hint="eastAsia" w:ascii="宋体" w:hAnsi="宋体"/>
          <w:b/>
          <w:kern w:val="44"/>
        </w:rPr>
        <w:t>第十七条</w:t>
      </w:r>
      <w:r>
        <w:rPr>
          <w:rFonts w:hint="eastAsia" w:ascii="宋体" w:hAnsi="宋体"/>
          <w:kern w:val="44"/>
        </w:rPr>
        <w:t>　市和区、县人民代表大会代表根据人民代表大会常务委员会及其工作机构的统一安排，参加有组织的视察、执法检查和调查研究，了解本级或者下级国家机关和有关单位的工作情况，听取人民群众的意见和要求。</w:t>
      </w:r>
    </w:p>
    <w:p w14:paraId="2F51AF04">
      <w:pPr>
        <w:jc w:val="left"/>
        <w:rPr>
          <w:rFonts w:ascii="宋体" w:hAnsi="宋体"/>
          <w:kern w:val="44"/>
        </w:rPr>
      </w:pPr>
      <w:r>
        <w:rPr>
          <w:rFonts w:hint="eastAsia" w:ascii="宋体" w:hAnsi="宋体"/>
          <w:kern w:val="44"/>
        </w:rPr>
        <w:t>代表可以持代表证就地进行视察。市和区、县人民代表大会常务委员会根据代表的要求，联系安排本级或者上级的代表持代表证就地进行视察。</w:t>
      </w:r>
    </w:p>
    <w:p w14:paraId="08305944">
      <w:pPr>
        <w:jc w:val="left"/>
        <w:rPr>
          <w:rFonts w:ascii="宋体" w:hAnsi="宋体"/>
          <w:kern w:val="44"/>
        </w:rPr>
      </w:pPr>
      <w:r>
        <w:rPr>
          <w:rFonts w:hint="eastAsia" w:ascii="宋体" w:hAnsi="宋体"/>
          <w:kern w:val="44"/>
        </w:rPr>
        <w:t>对代表的视察、执法检查和调查研究，有关国家机关和单位的负责人应当如实汇报情况，回答代表提出的问题，提供有关材料。</w:t>
      </w:r>
    </w:p>
    <w:p w14:paraId="5D0A5F12">
      <w:pPr>
        <w:jc w:val="left"/>
        <w:rPr>
          <w:rFonts w:ascii="宋体" w:hAnsi="宋体"/>
          <w:kern w:val="44"/>
        </w:rPr>
      </w:pPr>
      <w:r>
        <w:rPr>
          <w:rFonts w:hint="eastAsia" w:ascii="宋体" w:hAnsi="宋体"/>
          <w:kern w:val="44"/>
        </w:rPr>
        <w:t>代表在视察、执法检查和调查研究过程中可以向有关单位提出建议、批评和意见，但不直接处理问题。</w:t>
      </w:r>
    </w:p>
    <w:p w14:paraId="31E924B2">
      <w:pPr>
        <w:ind w:firstLine="422"/>
        <w:jc w:val="left"/>
        <w:rPr>
          <w:rFonts w:ascii="宋体" w:hAnsi="宋体"/>
          <w:kern w:val="44"/>
        </w:rPr>
      </w:pPr>
      <w:r>
        <w:rPr>
          <w:rFonts w:hint="eastAsia" w:ascii="宋体" w:hAnsi="宋体"/>
          <w:b/>
          <w:kern w:val="44"/>
        </w:rPr>
        <w:t>第十八条</w:t>
      </w:r>
      <w:r>
        <w:rPr>
          <w:rFonts w:hint="eastAsia" w:ascii="宋体" w:hAnsi="宋体"/>
          <w:kern w:val="44"/>
        </w:rPr>
        <w:t>　代表参加本级人民代表大会常务委员会组织的视察、调查研究活动形成的报告，由人民代表大会常务委员会工作机构转交有关机关、组织或者其工作部门研究处理。接受报告的有关机关、组织或者其工作部门应当将研究处理情况向代表反馈，也可以委托人民代表大会常务委员会工作机构向代表反馈。</w:t>
      </w:r>
    </w:p>
    <w:p w14:paraId="78132A2A">
      <w:pPr>
        <w:ind w:firstLine="422"/>
        <w:jc w:val="left"/>
        <w:rPr>
          <w:rFonts w:ascii="宋体" w:hAnsi="宋体"/>
          <w:kern w:val="44"/>
        </w:rPr>
      </w:pPr>
      <w:r>
        <w:rPr>
          <w:rFonts w:hint="eastAsia" w:ascii="宋体" w:hAnsi="宋体"/>
          <w:b/>
          <w:kern w:val="44"/>
        </w:rPr>
        <w:t>第十九条</w:t>
      </w:r>
      <w:r>
        <w:rPr>
          <w:rFonts w:hint="eastAsia" w:ascii="宋体" w:hAnsi="宋体"/>
          <w:kern w:val="44"/>
        </w:rPr>
        <w:t>　代表按照本办法第十七条第一款规定进行视察，可以提出约见本级或者下级有关国家机关负责人。被约见的有关国家机关负责人或者由他委托的负责人员应当听取代表的建议、批评和意见。</w:t>
      </w:r>
    </w:p>
    <w:p w14:paraId="1D51B395">
      <w:pPr>
        <w:jc w:val="left"/>
        <w:rPr>
          <w:rFonts w:ascii="宋体" w:hAnsi="宋体"/>
          <w:kern w:val="44"/>
        </w:rPr>
      </w:pPr>
    </w:p>
    <w:p w14:paraId="0B8BF38B">
      <w:pPr>
        <w:ind w:firstLine="0" w:firstLineChars="0"/>
        <w:jc w:val="center"/>
        <w:rPr>
          <w:rFonts w:ascii="宋体" w:hAnsi="宋体"/>
          <w:b/>
          <w:kern w:val="44"/>
          <w:sz w:val="28"/>
        </w:rPr>
      </w:pPr>
      <w:r>
        <w:rPr>
          <w:rFonts w:hint="eastAsia" w:ascii="宋体" w:hAnsi="宋体"/>
          <w:b/>
          <w:kern w:val="44"/>
          <w:sz w:val="28"/>
        </w:rPr>
        <w:t>第四章　代表与原选区选民或者原选举</w:t>
      </w:r>
    </w:p>
    <w:p w14:paraId="2C7BCDB8">
      <w:pPr>
        <w:ind w:firstLine="0" w:firstLineChars="0"/>
        <w:jc w:val="center"/>
        <w:rPr>
          <w:rFonts w:ascii="宋体" w:hAnsi="宋体"/>
          <w:b/>
          <w:kern w:val="44"/>
          <w:sz w:val="28"/>
        </w:rPr>
      </w:pPr>
      <w:r>
        <w:rPr>
          <w:rFonts w:hint="eastAsia" w:ascii="宋体" w:hAnsi="宋体"/>
          <w:b/>
          <w:kern w:val="44"/>
          <w:sz w:val="28"/>
        </w:rPr>
        <w:t xml:space="preserve">  单位和人民群众的联系</w:t>
      </w:r>
    </w:p>
    <w:p w14:paraId="7DBE5FA5">
      <w:pPr>
        <w:jc w:val="left"/>
        <w:rPr>
          <w:rFonts w:ascii="宋体" w:hAnsi="宋体"/>
          <w:kern w:val="44"/>
        </w:rPr>
      </w:pPr>
    </w:p>
    <w:p w14:paraId="4A6D515D">
      <w:pPr>
        <w:ind w:firstLine="422"/>
        <w:jc w:val="left"/>
        <w:rPr>
          <w:rFonts w:ascii="宋体" w:hAnsi="宋体"/>
          <w:kern w:val="44"/>
        </w:rPr>
      </w:pPr>
      <w:r>
        <w:rPr>
          <w:rFonts w:hint="eastAsia" w:ascii="宋体" w:hAnsi="宋体"/>
          <w:b/>
          <w:kern w:val="44"/>
        </w:rPr>
        <w:t>第二十条</w:t>
      </w:r>
      <w:r>
        <w:rPr>
          <w:rFonts w:hint="eastAsia" w:ascii="宋体" w:hAnsi="宋体"/>
          <w:kern w:val="44"/>
        </w:rPr>
        <w:t>　代表应当与原选区选民或者原选举单位和人民群众保持密切联系，通过多种方式，听取和反映他们的意见和要求。</w:t>
      </w:r>
    </w:p>
    <w:p w14:paraId="09C6D334">
      <w:pPr>
        <w:ind w:firstLine="422"/>
        <w:jc w:val="left"/>
        <w:rPr>
          <w:rFonts w:ascii="宋体" w:hAnsi="宋体"/>
          <w:kern w:val="44"/>
        </w:rPr>
      </w:pPr>
      <w:r>
        <w:rPr>
          <w:rFonts w:hint="eastAsia" w:ascii="宋体" w:hAnsi="宋体"/>
          <w:b/>
          <w:kern w:val="44"/>
        </w:rPr>
        <w:t>第二十一条</w:t>
      </w:r>
      <w:r>
        <w:rPr>
          <w:rFonts w:hint="eastAsia" w:ascii="宋体" w:hAnsi="宋体"/>
          <w:kern w:val="44"/>
        </w:rPr>
        <w:t>　市人民代表大会代表可以通过下列方式与原选举单位和人民群众保持密切联系：</w:t>
      </w:r>
    </w:p>
    <w:p w14:paraId="3A8DA372">
      <w:pPr>
        <w:jc w:val="left"/>
        <w:rPr>
          <w:rFonts w:ascii="宋体" w:hAnsi="宋体"/>
          <w:kern w:val="44"/>
        </w:rPr>
      </w:pPr>
      <w:r>
        <w:rPr>
          <w:rFonts w:hint="eastAsia" w:ascii="宋体" w:hAnsi="宋体"/>
          <w:kern w:val="44"/>
        </w:rPr>
        <w:t>（一）列席原选举单位的人民代表大会会议；</w:t>
      </w:r>
    </w:p>
    <w:p w14:paraId="24021DEB">
      <w:pPr>
        <w:jc w:val="left"/>
        <w:rPr>
          <w:rFonts w:ascii="宋体" w:hAnsi="宋体"/>
          <w:kern w:val="44"/>
        </w:rPr>
      </w:pPr>
      <w:r>
        <w:rPr>
          <w:rFonts w:hint="eastAsia" w:ascii="宋体" w:hAnsi="宋体"/>
          <w:kern w:val="44"/>
        </w:rPr>
        <w:t>（二）应邀列席原选举单位的人民代表大会常务委员会会议；</w:t>
      </w:r>
    </w:p>
    <w:p w14:paraId="22B3E3DC">
      <w:pPr>
        <w:jc w:val="left"/>
        <w:rPr>
          <w:rFonts w:ascii="宋体" w:hAnsi="宋体"/>
          <w:kern w:val="44"/>
        </w:rPr>
      </w:pPr>
      <w:r>
        <w:rPr>
          <w:rFonts w:hint="eastAsia" w:ascii="宋体" w:hAnsi="宋体"/>
          <w:kern w:val="44"/>
        </w:rPr>
        <w:t>（三）按照原选举单位的人民代表大会常务委员会的安排，与原选举单位代表建立固定联系；</w:t>
      </w:r>
    </w:p>
    <w:p w14:paraId="7E14545A">
      <w:pPr>
        <w:jc w:val="left"/>
        <w:rPr>
          <w:rFonts w:ascii="宋体" w:hAnsi="宋体"/>
          <w:kern w:val="44"/>
        </w:rPr>
      </w:pPr>
      <w:r>
        <w:rPr>
          <w:rFonts w:hint="eastAsia" w:ascii="宋体" w:hAnsi="宋体"/>
          <w:kern w:val="44"/>
        </w:rPr>
        <w:t>（四）参加原选举单位的人民代表大会常务委员会统一组织的区、县人民代表大会代表联系选民的活动。</w:t>
      </w:r>
    </w:p>
    <w:p w14:paraId="1173AAE4">
      <w:pPr>
        <w:ind w:firstLine="422"/>
        <w:jc w:val="left"/>
        <w:rPr>
          <w:rFonts w:ascii="宋体" w:hAnsi="宋体"/>
          <w:kern w:val="44"/>
        </w:rPr>
      </w:pPr>
      <w:r>
        <w:rPr>
          <w:rFonts w:hint="eastAsia" w:ascii="宋体" w:hAnsi="宋体"/>
          <w:b/>
          <w:kern w:val="44"/>
        </w:rPr>
        <w:t>第二十二条</w:t>
      </w:r>
      <w:r>
        <w:rPr>
          <w:rFonts w:hint="eastAsia" w:ascii="宋体" w:hAnsi="宋体"/>
          <w:kern w:val="44"/>
        </w:rPr>
        <w:t>　区、县、乡、民族乡、镇人民代表大会代表可以通过参加统一组织的选民接待日、座谈会、视察、专题调研等活动以及走访选民等方式，保持与原选区选民和人民群众的密切联系。</w:t>
      </w:r>
    </w:p>
    <w:p w14:paraId="712777C7">
      <w:pPr>
        <w:jc w:val="left"/>
        <w:rPr>
          <w:rFonts w:ascii="宋体" w:hAnsi="宋体"/>
          <w:kern w:val="44"/>
        </w:rPr>
      </w:pPr>
      <w:r>
        <w:rPr>
          <w:rFonts w:hint="eastAsia" w:ascii="宋体" w:hAnsi="宋体"/>
          <w:kern w:val="44"/>
        </w:rPr>
        <w:t>区、县、乡、民族乡、镇人民代表大会代表参加选民接待日活动每年应当不少于两次。</w:t>
      </w:r>
    </w:p>
    <w:p w14:paraId="12C919A9">
      <w:pPr>
        <w:ind w:firstLine="422"/>
        <w:jc w:val="left"/>
        <w:rPr>
          <w:rFonts w:ascii="宋体" w:hAnsi="宋体"/>
          <w:kern w:val="44"/>
        </w:rPr>
      </w:pPr>
      <w:r>
        <w:rPr>
          <w:rFonts w:hint="eastAsia" w:ascii="宋体" w:hAnsi="宋体"/>
          <w:b/>
          <w:kern w:val="44"/>
        </w:rPr>
        <w:t>第二十三条</w:t>
      </w:r>
      <w:r>
        <w:rPr>
          <w:rFonts w:hint="eastAsia" w:ascii="宋体" w:hAnsi="宋体"/>
          <w:kern w:val="44"/>
        </w:rPr>
        <w:t>　代表可以通过下列方式反映原选区选民或者原选举单位和人民群众的意见和要求：</w:t>
      </w:r>
    </w:p>
    <w:p w14:paraId="3988DF12">
      <w:pPr>
        <w:jc w:val="left"/>
        <w:rPr>
          <w:rFonts w:ascii="宋体" w:hAnsi="宋体"/>
          <w:kern w:val="44"/>
        </w:rPr>
      </w:pPr>
      <w:r>
        <w:rPr>
          <w:rFonts w:hint="eastAsia" w:ascii="宋体" w:hAnsi="宋体"/>
          <w:kern w:val="44"/>
        </w:rPr>
        <w:t>（一）在出席本级人民代表大会会议时，提出议案，对各项议题发表审议意见；</w:t>
      </w:r>
    </w:p>
    <w:p w14:paraId="3C76ABF0">
      <w:pPr>
        <w:jc w:val="left"/>
        <w:rPr>
          <w:rFonts w:ascii="宋体" w:hAnsi="宋体"/>
          <w:kern w:val="44"/>
        </w:rPr>
      </w:pPr>
      <w:r>
        <w:rPr>
          <w:rFonts w:hint="eastAsia" w:ascii="宋体" w:hAnsi="宋体"/>
          <w:kern w:val="44"/>
        </w:rPr>
        <w:t>（二）向本级人民代表大会及其常务委员会提出建议、批评和意见；</w:t>
      </w:r>
    </w:p>
    <w:p w14:paraId="52FBEB36">
      <w:pPr>
        <w:jc w:val="left"/>
        <w:rPr>
          <w:rFonts w:ascii="宋体" w:hAnsi="宋体"/>
          <w:kern w:val="44"/>
        </w:rPr>
      </w:pPr>
      <w:r>
        <w:rPr>
          <w:rFonts w:hint="eastAsia" w:ascii="宋体" w:hAnsi="宋体"/>
          <w:kern w:val="44"/>
        </w:rPr>
        <w:t>（三）向上一级人民代表大会代表反映；</w:t>
      </w:r>
    </w:p>
    <w:p w14:paraId="3C10FDBA">
      <w:pPr>
        <w:jc w:val="left"/>
        <w:rPr>
          <w:rFonts w:ascii="宋体" w:hAnsi="宋体"/>
          <w:kern w:val="44"/>
        </w:rPr>
      </w:pPr>
      <w:r>
        <w:rPr>
          <w:rFonts w:hint="eastAsia" w:ascii="宋体" w:hAnsi="宋体"/>
          <w:kern w:val="44"/>
        </w:rPr>
        <w:t>（四）向本级人民政府及其所属各部门、人民法院和人民检察院反映。</w:t>
      </w:r>
    </w:p>
    <w:p w14:paraId="11514B23">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和区、县人民代表大会常务委员会应当建立本市各级人民代表大会代表之间的联系制度，并为代表密切与原选区选民或者原选举单位和人民群众的联系提供保障，畅通代表了解和反映人民群众的意见和要求的渠道。</w:t>
      </w:r>
    </w:p>
    <w:p w14:paraId="2663DF46">
      <w:pPr>
        <w:jc w:val="left"/>
        <w:rPr>
          <w:rFonts w:ascii="宋体" w:hAnsi="宋体"/>
          <w:kern w:val="44"/>
        </w:rPr>
      </w:pPr>
      <w:r>
        <w:rPr>
          <w:rFonts w:hint="eastAsia" w:ascii="宋体" w:hAnsi="宋体"/>
          <w:kern w:val="44"/>
        </w:rPr>
        <w:t>区、县人民代表大会常务委员会，乡、民族乡、镇人民代表大会，应当设立代表信箱，为本级人民代表大会代表安排固定时间和固定场所接待选民。</w:t>
      </w:r>
    </w:p>
    <w:p w14:paraId="5E207A6F">
      <w:pPr>
        <w:jc w:val="left"/>
        <w:rPr>
          <w:rFonts w:ascii="宋体" w:hAnsi="宋体"/>
          <w:kern w:val="44"/>
        </w:rPr>
      </w:pPr>
      <w:r>
        <w:rPr>
          <w:rFonts w:hint="eastAsia" w:ascii="宋体" w:hAnsi="宋体"/>
          <w:kern w:val="44"/>
        </w:rPr>
        <w:t>本市各级人民政府及其所属各部门、各级人民法院和人民检察院应当确定机构或者人员负责代表工作，便于代表及时反映人民群众的意见和要求，了解执行代表职务所需要的信息。</w:t>
      </w:r>
    </w:p>
    <w:p w14:paraId="759D51CA">
      <w:pPr>
        <w:jc w:val="left"/>
        <w:rPr>
          <w:rFonts w:ascii="宋体" w:hAnsi="宋体"/>
          <w:kern w:val="44"/>
        </w:rPr>
      </w:pPr>
    </w:p>
    <w:p w14:paraId="3888BEDF">
      <w:pPr>
        <w:ind w:firstLine="0" w:firstLineChars="0"/>
        <w:jc w:val="center"/>
        <w:rPr>
          <w:rFonts w:ascii="宋体" w:hAnsi="宋体"/>
          <w:b/>
          <w:kern w:val="44"/>
          <w:sz w:val="28"/>
        </w:rPr>
      </w:pPr>
      <w:r>
        <w:rPr>
          <w:rFonts w:hint="eastAsia" w:ascii="宋体" w:hAnsi="宋体"/>
          <w:b/>
          <w:kern w:val="44"/>
          <w:sz w:val="28"/>
        </w:rPr>
        <w:t>第五章　代表执行职务的保障</w:t>
      </w:r>
    </w:p>
    <w:p w14:paraId="7B71D20F">
      <w:pPr>
        <w:jc w:val="left"/>
        <w:rPr>
          <w:rFonts w:ascii="宋体" w:hAnsi="宋体"/>
          <w:kern w:val="44"/>
        </w:rPr>
      </w:pPr>
    </w:p>
    <w:p w14:paraId="655CB145">
      <w:pPr>
        <w:ind w:firstLine="422"/>
        <w:jc w:val="left"/>
        <w:rPr>
          <w:rFonts w:ascii="宋体" w:hAnsi="宋体"/>
          <w:kern w:val="44"/>
        </w:rPr>
      </w:pPr>
      <w:r>
        <w:rPr>
          <w:rFonts w:hint="eastAsia" w:ascii="宋体" w:hAnsi="宋体"/>
          <w:b/>
          <w:kern w:val="44"/>
        </w:rPr>
        <w:t>第二十五条</w:t>
      </w:r>
      <w:r>
        <w:rPr>
          <w:rFonts w:hint="eastAsia" w:ascii="宋体" w:hAnsi="宋体"/>
          <w:kern w:val="44"/>
        </w:rPr>
        <w:t>　代表在人民代表大会各种会议上的发言和表决，不受法律追究。</w:t>
      </w:r>
    </w:p>
    <w:p w14:paraId="4E42D353">
      <w:pPr>
        <w:ind w:firstLine="422"/>
        <w:jc w:val="left"/>
        <w:rPr>
          <w:rFonts w:ascii="宋体" w:hAnsi="宋体"/>
          <w:kern w:val="44"/>
        </w:rPr>
      </w:pPr>
      <w:r>
        <w:rPr>
          <w:rFonts w:hint="eastAsia" w:ascii="宋体" w:hAnsi="宋体"/>
          <w:b/>
          <w:kern w:val="44"/>
        </w:rPr>
        <w:t>第二十六条</w:t>
      </w:r>
      <w:r>
        <w:rPr>
          <w:rFonts w:hint="eastAsia" w:ascii="宋体" w:hAnsi="宋体"/>
          <w:kern w:val="44"/>
        </w:rPr>
        <w:t>　市和区、县人民代表大会代表，非经本级人民代表大会主席团许可，在本级人民代表大会闭会期间，非经本级人民代表大会常务委员会许可，不受逮捕或者刑事审判。如果因为是现行犯被拘留，执行拘留的机关应当立即向该级人民代表大会主席团或者人民代表大会常务委员会报告。</w:t>
      </w:r>
    </w:p>
    <w:p w14:paraId="48959086">
      <w:pPr>
        <w:jc w:val="left"/>
        <w:rPr>
          <w:rFonts w:ascii="宋体" w:hAnsi="宋体"/>
          <w:kern w:val="44"/>
        </w:rPr>
      </w:pPr>
      <w:r>
        <w:rPr>
          <w:rFonts w:hint="eastAsia" w:ascii="宋体" w:hAnsi="宋体"/>
          <w:kern w:val="44"/>
        </w:rPr>
        <w:t>对市和区、县人民代表大会代表，如果采取法律规定的其他限制人身自由的措施，应当经该级人民代表大会主席团或者人民代表大会常务委员会许可。</w:t>
      </w:r>
    </w:p>
    <w:p w14:paraId="1532A355">
      <w:pPr>
        <w:jc w:val="left"/>
        <w:rPr>
          <w:rFonts w:ascii="宋体" w:hAnsi="宋体"/>
          <w:kern w:val="44"/>
        </w:rPr>
      </w:pPr>
      <w:r>
        <w:rPr>
          <w:rFonts w:hint="eastAsia" w:ascii="宋体" w:hAnsi="宋体"/>
          <w:kern w:val="44"/>
        </w:rPr>
        <w:t>人民代表大会主席团或者常务委员会受理有关机关依照本条规定提请许可的申请，应当审查是否存在对代表在人民代表大会各种会议上的发言和表决进行法律追究，或者对代表提出建议、批评和意见等其他执行职务行为打击报复的情形，并据此作出决定。</w:t>
      </w:r>
    </w:p>
    <w:p w14:paraId="4973D9CC">
      <w:pPr>
        <w:jc w:val="left"/>
        <w:rPr>
          <w:rFonts w:ascii="宋体" w:hAnsi="宋体"/>
          <w:kern w:val="44"/>
        </w:rPr>
      </w:pPr>
      <w:r>
        <w:rPr>
          <w:rFonts w:hint="eastAsia" w:ascii="宋体" w:hAnsi="宋体"/>
          <w:kern w:val="44"/>
        </w:rPr>
        <w:t>乡、民族乡、镇人民代表大会代表，如果被逮捕、受刑事审判或者被采取法律规定的其他限制人身自由的措施，执行机关应当立即报告乡、民族乡、镇的人民代表大会。</w:t>
      </w:r>
    </w:p>
    <w:p w14:paraId="17532686">
      <w:pPr>
        <w:ind w:firstLine="422"/>
        <w:jc w:val="left"/>
        <w:rPr>
          <w:rFonts w:ascii="宋体" w:hAnsi="宋体"/>
          <w:kern w:val="44"/>
        </w:rPr>
      </w:pPr>
      <w:r>
        <w:rPr>
          <w:rFonts w:hint="eastAsia" w:ascii="宋体" w:hAnsi="宋体"/>
          <w:b/>
          <w:kern w:val="44"/>
        </w:rPr>
        <w:t>第二十七条</w:t>
      </w:r>
      <w:r>
        <w:rPr>
          <w:rFonts w:hint="eastAsia" w:ascii="宋体" w:hAnsi="宋体"/>
          <w:kern w:val="44"/>
        </w:rPr>
        <w:t>　代表在代表大会闭会期间执行代表职务占用的工作时间，代表所在单位必须给予保障。本级人民代表大会或者其常务委员会安排的代表活动，代表接到通知后可以向所在单位提出请假申请，单位应当予以批准；代表所在单位接到通知的，应当及时告知代表，代表提出请假申请的，单位应当予以批准。</w:t>
      </w:r>
    </w:p>
    <w:p w14:paraId="53CB8BED">
      <w:pPr>
        <w:jc w:val="left"/>
        <w:rPr>
          <w:rFonts w:ascii="宋体" w:hAnsi="宋体"/>
          <w:kern w:val="44"/>
        </w:rPr>
      </w:pPr>
      <w:r>
        <w:rPr>
          <w:rFonts w:hint="eastAsia" w:ascii="宋体" w:hAnsi="宋体"/>
          <w:kern w:val="44"/>
        </w:rPr>
        <w:t>代表所在单位对代表按照前款规定执行代表职务，应当按正常出勤对待，享受所在单位工资、奖金和其他待遇。代表参加代表活动期间，原来承担的生产和工作任务应当相应免除、减少或者调整。实行工作量化管理或者考核的单位，应当根据代表执行代表职务占用的工作时间，相应计算工作量。</w:t>
      </w:r>
    </w:p>
    <w:p w14:paraId="42FA67A6">
      <w:pPr>
        <w:jc w:val="left"/>
        <w:rPr>
          <w:rFonts w:ascii="宋体" w:hAnsi="宋体"/>
          <w:kern w:val="44"/>
        </w:rPr>
      </w:pPr>
      <w:r>
        <w:rPr>
          <w:rFonts w:hint="eastAsia" w:ascii="宋体" w:hAnsi="宋体"/>
          <w:kern w:val="44"/>
        </w:rPr>
        <w:t>代表所在单位可以根据本单位实际情况指定机构或者人员，配合市和区、县人民代表大会常务委员会代表联络工作部门以及乡、民族乡、镇人民代表大会主席、副主席，共同为代表执行代表职务提供服务。</w:t>
      </w:r>
    </w:p>
    <w:p w14:paraId="5277E6DD">
      <w:pPr>
        <w:ind w:firstLine="422"/>
        <w:jc w:val="left"/>
        <w:rPr>
          <w:rFonts w:ascii="宋体" w:hAnsi="宋体"/>
          <w:kern w:val="44"/>
        </w:rPr>
      </w:pPr>
      <w:r>
        <w:rPr>
          <w:rFonts w:hint="eastAsia" w:ascii="宋体" w:hAnsi="宋体"/>
          <w:b/>
          <w:kern w:val="44"/>
        </w:rPr>
        <w:t>第二十八条</w:t>
      </w:r>
      <w:r>
        <w:rPr>
          <w:rFonts w:hint="eastAsia" w:ascii="宋体" w:hAnsi="宋体"/>
          <w:kern w:val="44"/>
        </w:rPr>
        <w:t>　代表活动经费列入本级财政预算，专款专用。</w:t>
      </w:r>
    </w:p>
    <w:p w14:paraId="415A68B9">
      <w:pPr>
        <w:jc w:val="left"/>
        <w:rPr>
          <w:rFonts w:ascii="宋体" w:hAnsi="宋体"/>
          <w:kern w:val="44"/>
        </w:rPr>
      </w:pPr>
      <w:r>
        <w:rPr>
          <w:rFonts w:hint="eastAsia" w:ascii="宋体" w:hAnsi="宋体"/>
          <w:kern w:val="44"/>
        </w:rPr>
        <w:t>受上一级人民代表大会常务委员会委托组织代表活动，应当由上一级人民代表大会常务委员会拨付活动经费。</w:t>
      </w:r>
    </w:p>
    <w:p w14:paraId="0E9336A6">
      <w:pPr>
        <w:jc w:val="left"/>
        <w:rPr>
          <w:rFonts w:ascii="宋体" w:hAnsi="宋体"/>
          <w:kern w:val="44"/>
        </w:rPr>
      </w:pPr>
      <w:r>
        <w:rPr>
          <w:rFonts w:hint="eastAsia" w:ascii="宋体" w:hAnsi="宋体"/>
          <w:kern w:val="44"/>
        </w:rPr>
        <w:t>无固定工资收入的代表执行代表职务，根据实际情况由本级财政给予适当补贴。</w:t>
      </w:r>
    </w:p>
    <w:p w14:paraId="5CD9A375">
      <w:pPr>
        <w:ind w:firstLine="422"/>
        <w:jc w:val="left"/>
        <w:rPr>
          <w:rFonts w:ascii="宋体" w:hAnsi="宋体"/>
          <w:kern w:val="44"/>
        </w:rPr>
      </w:pPr>
      <w:r>
        <w:rPr>
          <w:rFonts w:hint="eastAsia" w:ascii="宋体" w:hAnsi="宋体"/>
          <w:b/>
          <w:kern w:val="44"/>
        </w:rPr>
        <w:t>第二十九条</w:t>
      </w:r>
      <w:r>
        <w:rPr>
          <w:rFonts w:hint="eastAsia" w:ascii="宋体" w:hAnsi="宋体"/>
          <w:kern w:val="44"/>
        </w:rPr>
        <w:t>　市和区、县人民代表大会常务委员会及其工作机构、街道人大代表工作机构以及乡、民族乡、镇人民代表大会主席、副主席，应当为代表依法履行职责，开展闭会期间活动提供条件和服务。</w:t>
      </w:r>
    </w:p>
    <w:p w14:paraId="6C826C93">
      <w:pPr>
        <w:jc w:val="left"/>
        <w:rPr>
          <w:rFonts w:ascii="宋体" w:hAnsi="宋体"/>
          <w:kern w:val="44"/>
        </w:rPr>
      </w:pPr>
      <w:r>
        <w:rPr>
          <w:rFonts w:hint="eastAsia" w:ascii="宋体" w:hAnsi="宋体"/>
          <w:kern w:val="44"/>
        </w:rPr>
        <w:t>市和区、县人民代表大会常务委员会，市人民代表大会专门委员会，应当加强与代表  的联系，根据各项工作的需要邀请代表列席常务委员会会议、专门委员会会议，参加立法、执法检查、专题调研、议案办理、国民经济和社会发展计划及预算审查等活动，听取代表的意见和建议，扩大代表对本级人民代表大会常务委员会工作的参与。</w:t>
      </w:r>
    </w:p>
    <w:p w14:paraId="7DF89AED">
      <w:pPr>
        <w:ind w:firstLine="422"/>
        <w:jc w:val="left"/>
        <w:rPr>
          <w:rFonts w:ascii="宋体" w:hAnsi="宋体"/>
          <w:kern w:val="44"/>
        </w:rPr>
      </w:pPr>
      <w:r>
        <w:rPr>
          <w:rFonts w:hint="eastAsia" w:ascii="宋体" w:hAnsi="宋体"/>
          <w:b/>
          <w:kern w:val="44"/>
        </w:rPr>
        <w:t>第三十条</w:t>
      </w:r>
      <w:r>
        <w:rPr>
          <w:rFonts w:hint="eastAsia" w:ascii="宋体" w:hAnsi="宋体"/>
          <w:kern w:val="44"/>
        </w:rPr>
        <w:t>　市和区、县人民代表大会常务委员会应当对本级人民代表大会代表建议、批评和意见的办理情况进行监督，听取并审议有关国家机关办理代表建议、批评和意见情况的报告，并将报告印发下一次人民代表大会会议。</w:t>
      </w:r>
    </w:p>
    <w:p w14:paraId="4A49B250">
      <w:pPr>
        <w:jc w:val="left"/>
        <w:rPr>
          <w:rFonts w:ascii="宋体" w:hAnsi="宋体"/>
          <w:kern w:val="44"/>
        </w:rPr>
      </w:pPr>
      <w:r>
        <w:rPr>
          <w:rFonts w:hint="eastAsia" w:ascii="宋体" w:hAnsi="宋体"/>
          <w:kern w:val="44"/>
        </w:rPr>
        <w:t>乡、民族乡、镇人民代表大会主席、副主席应当对本级人民代表大会代表建议、批评和意见的办理情况进行监督。</w:t>
      </w:r>
    </w:p>
    <w:p w14:paraId="690AFB43">
      <w:pPr>
        <w:jc w:val="left"/>
        <w:rPr>
          <w:rFonts w:ascii="宋体" w:hAnsi="宋体"/>
          <w:kern w:val="44"/>
        </w:rPr>
      </w:pPr>
      <w:r>
        <w:rPr>
          <w:rFonts w:hint="eastAsia" w:ascii="宋体" w:hAnsi="宋体"/>
          <w:kern w:val="44"/>
        </w:rPr>
        <w:t>有关国家机关和组织及其承办单位应当认真研究办理代表提出的建议、批评和意见，自交办之日起三个月内答复；涉及面广、处理难度大的，经交办机关同意，至迟不得超过六个月答复。</w:t>
      </w:r>
    </w:p>
    <w:p w14:paraId="63FA903A">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市和区、县人民代表大会常务委员会应当通过多种形式，为代表提供有关法律法规、人民代表大会常务委员会公报、立法和监督工作计划、重要工作情况以及其他参阅资料。</w:t>
      </w:r>
    </w:p>
    <w:p w14:paraId="1458516E">
      <w:pPr>
        <w:jc w:val="left"/>
        <w:rPr>
          <w:rFonts w:ascii="宋体" w:hAnsi="宋体"/>
          <w:kern w:val="44"/>
        </w:rPr>
      </w:pPr>
      <w:r>
        <w:rPr>
          <w:rFonts w:hint="eastAsia" w:ascii="宋体" w:hAnsi="宋体"/>
          <w:kern w:val="44"/>
        </w:rPr>
        <w:t>市和区、县人民政府、人民法院、人民检察院应当通过多种形式及时向代表通报有关工作情况，提供公报以及相关资料。</w:t>
      </w:r>
    </w:p>
    <w:p w14:paraId="6E8D45DB">
      <w:pPr>
        <w:jc w:val="left"/>
        <w:rPr>
          <w:rFonts w:ascii="宋体" w:hAnsi="宋体"/>
          <w:kern w:val="44"/>
        </w:rPr>
      </w:pPr>
      <w:r>
        <w:rPr>
          <w:rFonts w:hint="eastAsia" w:ascii="宋体" w:hAnsi="宋体"/>
          <w:kern w:val="44"/>
        </w:rPr>
        <w:t>乡、民族乡、镇人民代表大会主席、副主席，乡、民族乡、镇人民政府应当及时向代表通报重要工作情况。</w:t>
      </w:r>
    </w:p>
    <w:p w14:paraId="3A67F9AE">
      <w:pPr>
        <w:ind w:firstLine="422"/>
        <w:jc w:val="left"/>
        <w:rPr>
          <w:rFonts w:ascii="宋体" w:hAnsi="宋体"/>
          <w:kern w:val="44"/>
        </w:rPr>
      </w:pPr>
      <w:r>
        <w:rPr>
          <w:rFonts w:hint="eastAsia" w:ascii="宋体" w:hAnsi="宋体"/>
          <w:b/>
          <w:kern w:val="44"/>
        </w:rPr>
        <w:t>第三十二条</w:t>
      </w:r>
      <w:r>
        <w:rPr>
          <w:rFonts w:hint="eastAsia" w:ascii="宋体" w:hAnsi="宋体"/>
          <w:kern w:val="44"/>
        </w:rPr>
        <w:t>　市和区、县人民代表大会常务委员会，应当根据代表履行职责的需要，组织本级人民代表大会代表和受委托组织上一级人民代表大会代表履职学习。乡、民族乡、镇人民代表大会主席、副主席，应当组织本级人民代表大会代表履职学习。</w:t>
      </w:r>
    </w:p>
    <w:p w14:paraId="1BA7D6F6">
      <w:pPr>
        <w:jc w:val="left"/>
        <w:rPr>
          <w:rFonts w:ascii="宋体" w:hAnsi="宋体"/>
          <w:kern w:val="44"/>
        </w:rPr>
      </w:pPr>
      <w:r>
        <w:rPr>
          <w:rFonts w:hint="eastAsia" w:ascii="宋体" w:hAnsi="宋体"/>
          <w:kern w:val="44"/>
        </w:rPr>
        <w:t>乡、民族乡、镇的人民代表大会代表可以参加上级人民代表大会常务委员会组织的代表履职学习。</w:t>
      </w:r>
    </w:p>
    <w:p w14:paraId="7812A636">
      <w:pPr>
        <w:ind w:firstLine="422"/>
        <w:jc w:val="left"/>
        <w:rPr>
          <w:rFonts w:ascii="宋体" w:hAnsi="宋体"/>
          <w:kern w:val="44"/>
        </w:rPr>
      </w:pPr>
      <w:r>
        <w:rPr>
          <w:rFonts w:hint="eastAsia" w:ascii="宋体" w:hAnsi="宋体"/>
          <w:b/>
          <w:kern w:val="44"/>
        </w:rPr>
        <w:t>第三十三条</w:t>
      </w:r>
      <w:r>
        <w:rPr>
          <w:rFonts w:hint="eastAsia" w:ascii="宋体" w:hAnsi="宋体"/>
          <w:kern w:val="44"/>
        </w:rPr>
        <w:t>　代表所在单位或者上级单位，应当按照有关规定，将代表列入传达、阅读文件人员范围。市和区、县人民代表大会常务委员会工作机构，乡、民族乡、镇人民代表大会主席、副主席，应当对本级人民代表大会代表传达、阅读有关文件作出安排。</w:t>
      </w:r>
    </w:p>
    <w:p w14:paraId="0AE61F34">
      <w:pPr>
        <w:ind w:firstLine="422"/>
        <w:jc w:val="left"/>
        <w:rPr>
          <w:rFonts w:ascii="宋体" w:hAnsi="宋体"/>
          <w:kern w:val="44"/>
        </w:rPr>
      </w:pPr>
      <w:r>
        <w:rPr>
          <w:rFonts w:hint="eastAsia" w:ascii="宋体" w:hAnsi="宋体"/>
          <w:b/>
          <w:kern w:val="44"/>
        </w:rPr>
        <w:t>第三十四条</w:t>
      </w:r>
      <w:r>
        <w:rPr>
          <w:rFonts w:hint="eastAsia" w:ascii="宋体" w:hAnsi="宋体"/>
          <w:kern w:val="44"/>
        </w:rPr>
        <w:t>　少数民族代表执行代表职务时，有关部门应当在语言文字方面给予必要的帮助，并尊重他们的生活习惯。</w:t>
      </w:r>
    </w:p>
    <w:p w14:paraId="60EE76D6">
      <w:pPr>
        <w:ind w:firstLine="422"/>
        <w:jc w:val="left"/>
        <w:rPr>
          <w:rFonts w:ascii="宋体" w:hAnsi="宋体"/>
          <w:kern w:val="44"/>
        </w:rPr>
      </w:pPr>
      <w:r>
        <w:rPr>
          <w:rFonts w:hint="eastAsia" w:ascii="宋体" w:hAnsi="宋体"/>
          <w:b/>
          <w:kern w:val="44"/>
        </w:rPr>
        <w:t>第三十五条</w:t>
      </w:r>
      <w:r>
        <w:rPr>
          <w:rFonts w:hint="eastAsia" w:ascii="宋体" w:hAnsi="宋体"/>
          <w:kern w:val="44"/>
        </w:rPr>
        <w:t>　一切组织和个人都必须尊重代表的权利，支持代表执行代表职务。</w:t>
      </w:r>
    </w:p>
    <w:p w14:paraId="3AE155A4">
      <w:pPr>
        <w:jc w:val="left"/>
        <w:rPr>
          <w:rFonts w:ascii="宋体" w:hAnsi="宋体"/>
          <w:kern w:val="44"/>
        </w:rPr>
      </w:pPr>
      <w:r>
        <w:rPr>
          <w:rFonts w:hint="eastAsia" w:ascii="宋体" w:hAnsi="宋体"/>
          <w:kern w:val="44"/>
        </w:rPr>
        <w:t>有义务协助代表执行代表职务而拒绝履行义务的，有关单位应当予以批评教育，直至给予行政处分。</w:t>
      </w:r>
    </w:p>
    <w:p w14:paraId="41BEDA2D">
      <w:pPr>
        <w:jc w:val="left"/>
        <w:rPr>
          <w:rFonts w:ascii="宋体" w:hAnsi="宋体"/>
          <w:kern w:val="44"/>
        </w:rPr>
      </w:pPr>
      <w:r>
        <w:rPr>
          <w:rFonts w:hint="eastAsia" w:ascii="宋体" w:hAnsi="宋体"/>
          <w:kern w:val="44"/>
        </w:rPr>
        <w:t>阻碍代表依法执行代表职务的，根据情节，由所在单位或者上级机关给予行政处分，或者适用《中华人民共和国治安管理处罚法》第五十条的处罚规定；以暴力、威胁方法阻碍代表依法执行代表职务的，依照刑法有关规定追究刑事责任。</w:t>
      </w:r>
    </w:p>
    <w:p w14:paraId="52EFD87A">
      <w:pPr>
        <w:jc w:val="left"/>
        <w:rPr>
          <w:rFonts w:ascii="宋体" w:hAnsi="宋体"/>
          <w:kern w:val="44"/>
        </w:rPr>
      </w:pPr>
      <w:r>
        <w:rPr>
          <w:rFonts w:hint="eastAsia" w:ascii="宋体" w:hAnsi="宋体"/>
          <w:kern w:val="44"/>
        </w:rPr>
        <w:t>对代表依法执行代表职务进行打击报复的，由所在单位或者上级机关责令改正或者给予行政处分；国家工作人员进行打击报复构成犯罪的，依照刑法有关规定追究刑事责任。</w:t>
      </w:r>
    </w:p>
    <w:p w14:paraId="249D60E5">
      <w:pPr>
        <w:jc w:val="left"/>
        <w:rPr>
          <w:rFonts w:ascii="宋体" w:hAnsi="宋体"/>
          <w:kern w:val="44"/>
        </w:rPr>
      </w:pPr>
    </w:p>
    <w:p w14:paraId="70E21CDA">
      <w:pPr>
        <w:ind w:firstLine="0" w:firstLineChars="0"/>
        <w:jc w:val="center"/>
        <w:rPr>
          <w:rFonts w:ascii="宋体" w:hAnsi="宋体"/>
          <w:b/>
          <w:kern w:val="44"/>
          <w:sz w:val="28"/>
        </w:rPr>
      </w:pPr>
      <w:r>
        <w:rPr>
          <w:rFonts w:hint="eastAsia" w:ascii="宋体" w:hAnsi="宋体"/>
          <w:b/>
          <w:kern w:val="44"/>
          <w:sz w:val="28"/>
        </w:rPr>
        <w:t>第六章　对代表的监督</w:t>
      </w:r>
    </w:p>
    <w:p w14:paraId="12F1FC25">
      <w:pPr>
        <w:jc w:val="left"/>
        <w:rPr>
          <w:rFonts w:ascii="宋体" w:hAnsi="宋体"/>
          <w:kern w:val="44"/>
        </w:rPr>
      </w:pPr>
    </w:p>
    <w:p w14:paraId="52E2AE8C">
      <w:pPr>
        <w:ind w:firstLine="422"/>
        <w:jc w:val="left"/>
        <w:rPr>
          <w:rFonts w:ascii="宋体" w:hAnsi="宋体"/>
          <w:kern w:val="44"/>
        </w:rPr>
      </w:pPr>
      <w:r>
        <w:rPr>
          <w:rFonts w:hint="eastAsia" w:ascii="宋体" w:hAnsi="宋体"/>
          <w:b/>
          <w:kern w:val="44"/>
        </w:rPr>
        <w:t>第三十六条</w:t>
      </w:r>
      <w:r>
        <w:rPr>
          <w:rFonts w:hint="eastAsia" w:ascii="宋体" w:hAnsi="宋体"/>
          <w:kern w:val="44"/>
        </w:rPr>
        <w:t>　代表应当采取多种方式经常听取原选区选民或者原选举单位和人民群众对代表履职的意见，回答原选区选民或者原选举单位对代表工作和代表活动的询问，接受监督。</w:t>
      </w:r>
    </w:p>
    <w:p w14:paraId="3A1FDD04">
      <w:pPr>
        <w:jc w:val="left"/>
        <w:rPr>
          <w:rFonts w:ascii="宋体" w:hAnsi="宋体"/>
          <w:kern w:val="44"/>
        </w:rPr>
      </w:pPr>
      <w:r>
        <w:rPr>
          <w:rFonts w:hint="eastAsia" w:ascii="宋体" w:hAnsi="宋体"/>
          <w:kern w:val="44"/>
        </w:rPr>
        <w:t>区、县、乡、民族乡、镇人民代表大会代表应当以书面或者口头方式，向原选区选民报告履职情况。</w:t>
      </w:r>
    </w:p>
    <w:p w14:paraId="32409B5B">
      <w:pPr>
        <w:jc w:val="left"/>
        <w:rPr>
          <w:rFonts w:ascii="宋体" w:hAnsi="宋体"/>
          <w:kern w:val="44"/>
        </w:rPr>
      </w:pPr>
      <w:r>
        <w:rPr>
          <w:rFonts w:hint="eastAsia" w:ascii="宋体" w:hAnsi="宋体"/>
          <w:kern w:val="44"/>
        </w:rPr>
        <w:t>市人民代表大会代表可以根据原选举单位的人民代表大会常务委员会的安排，报告履职情况。</w:t>
      </w:r>
    </w:p>
    <w:p w14:paraId="3BBA213B">
      <w:pPr>
        <w:ind w:firstLine="422"/>
        <w:jc w:val="left"/>
        <w:rPr>
          <w:rFonts w:ascii="宋体" w:hAnsi="宋体"/>
          <w:kern w:val="44"/>
        </w:rPr>
      </w:pPr>
      <w:r>
        <w:rPr>
          <w:rFonts w:hint="eastAsia" w:ascii="宋体" w:hAnsi="宋体"/>
          <w:b/>
          <w:kern w:val="44"/>
        </w:rPr>
        <w:t>第三十七条</w:t>
      </w:r>
      <w:r>
        <w:rPr>
          <w:rFonts w:hint="eastAsia" w:ascii="宋体" w:hAnsi="宋体"/>
          <w:kern w:val="44"/>
        </w:rPr>
        <w:t>　代表应当正确处理从事个人职业活动与执行代表职务的关系。执行代表职务时，不得干涉具体司法案件或者招标投标等经济活动牟取个人利益；不得接受企业事业单位、社会团体或者个人给予的报酬或者出资赞助；对涉及本人或者亲属的具体案件以及与本人或者亲属有利害关系的其他事项，应当回避。</w:t>
      </w:r>
    </w:p>
    <w:p w14:paraId="5BB96DC0">
      <w:pPr>
        <w:ind w:firstLine="422"/>
        <w:jc w:val="left"/>
        <w:rPr>
          <w:rFonts w:ascii="宋体" w:hAnsi="宋体"/>
          <w:kern w:val="44"/>
        </w:rPr>
      </w:pPr>
      <w:r>
        <w:rPr>
          <w:rFonts w:hint="eastAsia" w:ascii="宋体" w:hAnsi="宋体"/>
          <w:b/>
          <w:kern w:val="44"/>
        </w:rPr>
        <w:t>第三十八条</w:t>
      </w:r>
      <w:r>
        <w:rPr>
          <w:rFonts w:hint="eastAsia" w:ascii="宋体" w:hAnsi="宋体"/>
          <w:kern w:val="44"/>
        </w:rPr>
        <w:t>　代表有下列情形之一的，暂时停止执行代表职务，由代表资格审查委员会向本级人民代表大会常务委员会或者乡、民族乡、镇的人民代表大会报告：</w:t>
      </w:r>
    </w:p>
    <w:p w14:paraId="5F303AD4">
      <w:pPr>
        <w:jc w:val="left"/>
        <w:rPr>
          <w:rFonts w:ascii="宋体" w:hAnsi="宋体"/>
          <w:kern w:val="44"/>
        </w:rPr>
      </w:pPr>
      <w:r>
        <w:rPr>
          <w:rFonts w:hint="eastAsia" w:ascii="宋体" w:hAnsi="宋体"/>
          <w:kern w:val="44"/>
        </w:rPr>
        <w:t>（一）因刑事案件被羁押正在受侦查、起诉、审判的；</w:t>
      </w:r>
    </w:p>
    <w:p w14:paraId="71F70DB5">
      <w:pPr>
        <w:jc w:val="left"/>
        <w:rPr>
          <w:rFonts w:ascii="宋体" w:hAnsi="宋体"/>
          <w:kern w:val="44"/>
        </w:rPr>
      </w:pPr>
      <w:r>
        <w:rPr>
          <w:rFonts w:hint="eastAsia" w:ascii="宋体" w:hAnsi="宋体"/>
          <w:kern w:val="44"/>
        </w:rPr>
        <w:t>（二）被依法判处管制、拘役或者有期徒刑而没有附加剥夺政治权利，正在服刑的。</w:t>
      </w:r>
    </w:p>
    <w:p w14:paraId="1E1375E8">
      <w:pPr>
        <w:jc w:val="left"/>
        <w:rPr>
          <w:rFonts w:ascii="宋体" w:hAnsi="宋体"/>
          <w:kern w:val="44"/>
        </w:rPr>
      </w:pPr>
      <w:r>
        <w:rPr>
          <w:rFonts w:hint="eastAsia" w:ascii="宋体" w:hAnsi="宋体"/>
          <w:kern w:val="44"/>
        </w:rPr>
        <w:t>前款所列情形在代表任期内消失后，恢复其执行代表职务，但代表资格终止者除外。</w:t>
      </w:r>
    </w:p>
    <w:p w14:paraId="4EADF0D5">
      <w:pPr>
        <w:ind w:firstLine="422"/>
        <w:jc w:val="left"/>
        <w:rPr>
          <w:rFonts w:ascii="宋体" w:hAnsi="宋体"/>
          <w:kern w:val="44"/>
        </w:rPr>
      </w:pPr>
      <w:r>
        <w:rPr>
          <w:rFonts w:hint="eastAsia" w:ascii="宋体" w:hAnsi="宋体"/>
          <w:b/>
          <w:kern w:val="44"/>
        </w:rPr>
        <w:t>第三十九条</w:t>
      </w:r>
      <w:r>
        <w:rPr>
          <w:rFonts w:hint="eastAsia" w:ascii="宋体" w:hAnsi="宋体"/>
          <w:kern w:val="44"/>
        </w:rPr>
        <w:t>　代表有下列情形之一的，其代表资格终止：</w:t>
      </w:r>
    </w:p>
    <w:p w14:paraId="768A1177">
      <w:pPr>
        <w:jc w:val="left"/>
        <w:rPr>
          <w:rFonts w:ascii="宋体" w:hAnsi="宋体"/>
          <w:kern w:val="44"/>
        </w:rPr>
      </w:pPr>
      <w:r>
        <w:rPr>
          <w:rFonts w:hint="eastAsia" w:ascii="宋体" w:hAnsi="宋体"/>
          <w:kern w:val="44"/>
        </w:rPr>
        <w:t>（一）本市各级人民代表大会代表迁出或者调离本行政区域的；</w:t>
      </w:r>
    </w:p>
    <w:p w14:paraId="1A516300">
      <w:pPr>
        <w:jc w:val="left"/>
        <w:rPr>
          <w:rFonts w:ascii="宋体" w:hAnsi="宋体"/>
          <w:kern w:val="44"/>
        </w:rPr>
      </w:pPr>
      <w:r>
        <w:rPr>
          <w:rFonts w:hint="eastAsia" w:ascii="宋体" w:hAnsi="宋体"/>
          <w:kern w:val="44"/>
        </w:rPr>
        <w:t>（二）辞职被接受的；</w:t>
      </w:r>
    </w:p>
    <w:p w14:paraId="56C40738">
      <w:pPr>
        <w:jc w:val="left"/>
        <w:rPr>
          <w:rFonts w:ascii="宋体" w:hAnsi="宋体"/>
          <w:kern w:val="44"/>
        </w:rPr>
      </w:pPr>
      <w:r>
        <w:rPr>
          <w:rFonts w:hint="eastAsia" w:ascii="宋体" w:hAnsi="宋体"/>
          <w:kern w:val="44"/>
        </w:rPr>
        <w:t>（三）未经批准两次不出席本级人民代表大会会议的；</w:t>
      </w:r>
    </w:p>
    <w:p w14:paraId="52CFF7F6">
      <w:pPr>
        <w:jc w:val="left"/>
        <w:rPr>
          <w:rFonts w:ascii="宋体" w:hAnsi="宋体"/>
          <w:kern w:val="44"/>
        </w:rPr>
      </w:pPr>
      <w:r>
        <w:rPr>
          <w:rFonts w:hint="eastAsia" w:ascii="宋体" w:hAnsi="宋体"/>
          <w:kern w:val="44"/>
        </w:rPr>
        <w:t>（四）被罢免的；</w:t>
      </w:r>
    </w:p>
    <w:p w14:paraId="2FF00D78">
      <w:pPr>
        <w:jc w:val="left"/>
        <w:rPr>
          <w:rFonts w:ascii="宋体" w:hAnsi="宋体"/>
          <w:kern w:val="44"/>
        </w:rPr>
      </w:pPr>
      <w:r>
        <w:rPr>
          <w:rFonts w:hint="eastAsia" w:ascii="宋体" w:hAnsi="宋体"/>
          <w:kern w:val="44"/>
        </w:rPr>
        <w:t>（五）丧失中华人民共和国国籍的；</w:t>
      </w:r>
    </w:p>
    <w:p w14:paraId="14E1C2AB">
      <w:pPr>
        <w:jc w:val="left"/>
        <w:rPr>
          <w:rFonts w:ascii="宋体" w:hAnsi="宋体"/>
          <w:kern w:val="44"/>
        </w:rPr>
      </w:pPr>
      <w:r>
        <w:rPr>
          <w:rFonts w:hint="eastAsia" w:ascii="宋体" w:hAnsi="宋体"/>
          <w:kern w:val="44"/>
        </w:rPr>
        <w:t>（六）依照法律被剥夺政治权利的；</w:t>
      </w:r>
    </w:p>
    <w:p w14:paraId="3D4B608F">
      <w:pPr>
        <w:jc w:val="left"/>
        <w:rPr>
          <w:rFonts w:ascii="宋体" w:hAnsi="宋体"/>
          <w:kern w:val="44"/>
        </w:rPr>
      </w:pPr>
      <w:r>
        <w:rPr>
          <w:rFonts w:hint="eastAsia" w:ascii="宋体" w:hAnsi="宋体"/>
          <w:kern w:val="44"/>
        </w:rPr>
        <w:t>（七）丧失行为能力的。</w:t>
      </w:r>
    </w:p>
    <w:p w14:paraId="4DDA0488">
      <w:pPr>
        <w:jc w:val="left"/>
        <w:rPr>
          <w:rFonts w:ascii="宋体" w:hAnsi="宋体"/>
          <w:kern w:val="44"/>
        </w:rPr>
      </w:pPr>
      <w:r>
        <w:rPr>
          <w:rFonts w:hint="eastAsia" w:ascii="宋体" w:hAnsi="宋体"/>
          <w:kern w:val="44"/>
        </w:rPr>
        <w:t>代表资格被依法终止的，由代表资格审查委员会报本级人民代表大会常务委员会或者乡、民族乡、镇人民代表大会，由本级人民代表大会常务委员会或者乡、民族乡、镇人民代表大会予以公告。</w:t>
      </w:r>
    </w:p>
    <w:p w14:paraId="2E4A0A23">
      <w:pPr>
        <w:jc w:val="left"/>
        <w:rPr>
          <w:rFonts w:ascii="宋体" w:hAnsi="宋体"/>
          <w:kern w:val="44"/>
        </w:rPr>
      </w:pPr>
    </w:p>
    <w:p w14:paraId="5524FABF">
      <w:pPr>
        <w:jc w:val="left"/>
        <w:rPr>
          <w:rFonts w:ascii="宋体" w:hAnsi="宋体"/>
          <w:kern w:val="44"/>
        </w:rPr>
      </w:pPr>
    </w:p>
    <w:p w14:paraId="63CC4F69">
      <w:pPr>
        <w:ind w:firstLine="0" w:firstLineChars="0"/>
        <w:jc w:val="center"/>
        <w:rPr>
          <w:rFonts w:ascii="宋体" w:hAnsi="宋体"/>
          <w:b/>
          <w:kern w:val="44"/>
          <w:sz w:val="28"/>
        </w:rPr>
      </w:pPr>
      <w:r>
        <w:rPr>
          <w:rFonts w:hint="eastAsia" w:ascii="宋体" w:hAnsi="宋体"/>
          <w:b/>
          <w:kern w:val="44"/>
          <w:sz w:val="28"/>
        </w:rPr>
        <w:t>第七章　附　则</w:t>
      </w:r>
    </w:p>
    <w:p w14:paraId="396EA374">
      <w:pPr>
        <w:rPr>
          <w:kern w:val="44"/>
        </w:rPr>
      </w:pPr>
    </w:p>
    <w:p w14:paraId="5C42FDDF">
      <w:pPr>
        <w:ind w:firstLine="422"/>
        <w:jc w:val="left"/>
        <w:rPr>
          <w:rFonts w:ascii="宋体" w:hAnsi="宋体"/>
          <w:kern w:val="44"/>
        </w:rPr>
      </w:pPr>
      <w:r>
        <w:rPr>
          <w:rFonts w:hint="eastAsia" w:ascii="宋体" w:hAnsi="宋体"/>
          <w:b/>
          <w:kern w:val="44"/>
        </w:rPr>
        <w:t>第四十条</w:t>
      </w:r>
      <w:r>
        <w:rPr>
          <w:rFonts w:hint="eastAsia" w:ascii="宋体" w:hAnsi="宋体"/>
          <w:kern w:val="44"/>
        </w:rPr>
        <w:t>　本办法自公布之日起施行。1992年11月21日北京市第九届人民代表大会常务委员会第三十七次会议通过，2006年9月15日北京市第十二届人民代表大会常务委员会第三十次会议修订的《北京市实施〈中华人民共和国全国人民代表大会和地方各级人民代表大会代表法〉办法》，同时废止。</w:t>
      </w:r>
    </w:p>
    <w:p w14:paraId="1C7B7AC1">
      <w:pPr>
        <w:pStyle w:val="4"/>
        <w:pageBreakBefore/>
        <w:rPr>
          <w:kern w:val="44"/>
        </w:rPr>
      </w:pPr>
      <w:bookmarkStart w:id="51" w:name="_Toc428781422"/>
      <w:bookmarkStart w:id="52" w:name="_Toc427651716"/>
      <w:bookmarkStart w:id="53" w:name="_Toc427651374"/>
      <w:bookmarkStart w:id="54" w:name="_Toc428779940"/>
      <w:bookmarkStart w:id="55" w:name="_Toc422471051"/>
      <w:r>
        <w:rPr>
          <w:rFonts w:hint="eastAsia"/>
          <w:kern w:val="44"/>
        </w:rPr>
        <w:t>北京市人民政府办理人民代表大会</w:t>
      </w:r>
      <w:bookmarkEnd w:id="51"/>
      <w:bookmarkEnd w:id="52"/>
      <w:bookmarkEnd w:id="53"/>
      <w:bookmarkEnd w:id="54"/>
      <w:bookmarkEnd w:id="55"/>
    </w:p>
    <w:p w14:paraId="14605BF6">
      <w:pPr>
        <w:pStyle w:val="4"/>
        <w:rPr>
          <w:kern w:val="44"/>
        </w:rPr>
      </w:pPr>
      <w:bookmarkStart w:id="56" w:name="_Toc428781423"/>
      <w:bookmarkStart w:id="57" w:name="_Toc422471052"/>
      <w:bookmarkStart w:id="58" w:name="_Toc428779941"/>
      <w:bookmarkStart w:id="59" w:name="_Toc427651375"/>
      <w:bookmarkStart w:id="60" w:name="_Toc427651717"/>
      <w:r>
        <w:rPr>
          <w:rFonts w:hint="eastAsia"/>
          <w:kern w:val="44"/>
        </w:rPr>
        <w:t>代表建议、批评、意见和人民</w:t>
      </w:r>
      <w:bookmarkEnd w:id="56"/>
      <w:bookmarkEnd w:id="57"/>
      <w:bookmarkEnd w:id="58"/>
      <w:bookmarkEnd w:id="59"/>
      <w:bookmarkEnd w:id="60"/>
      <w:bookmarkStart w:id="61" w:name="_Toc422471053"/>
    </w:p>
    <w:p w14:paraId="53F57D5A">
      <w:pPr>
        <w:pStyle w:val="4"/>
        <w:rPr>
          <w:kern w:val="44"/>
        </w:rPr>
      </w:pPr>
      <w:bookmarkStart w:id="62" w:name="_Toc427651376"/>
      <w:bookmarkStart w:id="63" w:name="_Toc428779942"/>
      <w:bookmarkStart w:id="64" w:name="_Toc427651718"/>
      <w:bookmarkStart w:id="65" w:name="_Toc428781424"/>
      <w:r>
        <w:rPr>
          <w:rFonts w:hint="eastAsia"/>
          <w:kern w:val="44"/>
        </w:rPr>
        <w:t>政治协商会议提案办法</w:t>
      </w:r>
      <w:bookmarkEnd w:id="61"/>
      <w:bookmarkEnd w:id="62"/>
      <w:bookmarkEnd w:id="63"/>
      <w:bookmarkEnd w:id="64"/>
      <w:bookmarkEnd w:id="65"/>
    </w:p>
    <w:p w14:paraId="4096A299">
      <w:pPr>
        <w:ind w:left="630" w:leftChars="300" w:right="630" w:rightChars="300"/>
        <w:jc w:val="center"/>
        <w:rPr>
          <w:rFonts w:ascii="楷体" w:hAnsi="楷体" w:eastAsia="楷体"/>
          <w:kern w:val="44"/>
        </w:rPr>
      </w:pPr>
      <w:r>
        <w:rPr>
          <w:rFonts w:hint="eastAsia" w:ascii="楷体" w:hAnsi="楷体" w:eastAsia="楷体"/>
          <w:kern w:val="44"/>
        </w:rPr>
        <w:t>（2014年12月17日北京市人民政府第263号令公布）</w:t>
      </w:r>
    </w:p>
    <w:p w14:paraId="771872B6">
      <w:pPr>
        <w:jc w:val="left"/>
        <w:rPr>
          <w:rFonts w:ascii="宋体" w:hAnsi="宋体"/>
          <w:kern w:val="44"/>
        </w:rPr>
      </w:pPr>
    </w:p>
    <w:p w14:paraId="0E352559">
      <w:pPr>
        <w:ind w:firstLine="0" w:firstLineChars="0"/>
        <w:jc w:val="center"/>
        <w:rPr>
          <w:rFonts w:ascii="宋体" w:hAnsi="宋体"/>
          <w:b/>
          <w:kern w:val="44"/>
          <w:sz w:val="28"/>
        </w:rPr>
      </w:pPr>
      <w:r>
        <w:rPr>
          <w:rFonts w:hint="eastAsia" w:ascii="宋体" w:hAnsi="宋体"/>
          <w:b/>
          <w:kern w:val="44"/>
          <w:sz w:val="28"/>
        </w:rPr>
        <w:t>第一章　总　则</w:t>
      </w:r>
    </w:p>
    <w:p w14:paraId="208560F3">
      <w:pPr>
        <w:jc w:val="left"/>
        <w:rPr>
          <w:rFonts w:ascii="宋体" w:hAnsi="宋体"/>
          <w:kern w:val="44"/>
        </w:rPr>
      </w:pPr>
    </w:p>
    <w:p w14:paraId="062C3A0D">
      <w:pPr>
        <w:ind w:firstLine="422"/>
        <w:jc w:val="left"/>
        <w:rPr>
          <w:rFonts w:ascii="宋体" w:hAnsi="宋体"/>
          <w:kern w:val="44"/>
        </w:rPr>
      </w:pPr>
      <w:r>
        <w:rPr>
          <w:rFonts w:hint="eastAsia" w:ascii="宋体" w:hAnsi="宋体"/>
          <w:b/>
          <w:kern w:val="44"/>
        </w:rPr>
        <w:t>第一条</w:t>
      </w:r>
      <w:r>
        <w:rPr>
          <w:rFonts w:hint="eastAsia" w:ascii="宋体" w:hAnsi="宋体"/>
          <w:kern w:val="44"/>
        </w:rPr>
        <w:t>　为做好人民代表大会（以下简称人大）代表建议、批评、意见和人民政治协商会议（以下简称政协）提案办理工作，保障人大代表行使提出建议、批评和意见的权利，发挥政协在政治协商、民主监督、参政议政中的作用，根据法律、法规和国家有关规定，结合本市实际情况，制定本办法。</w:t>
      </w:r>
    </w:p>
    <w:p w14:paraId="3450DD1D">
      <w:pPr>
        <w:ind w:firstLine="422"/>
        <w:jc w:val="left"/>
        <w:rPr>
          <w:rFonts w:ascii="宋体" w:hAnsi="宋体"/>
          <w:kern w:val="44"/>
        </w:rPr>
      </w:pPr>
      <w:r>
        <w:rPr>
          <w:rFonts w:hint="eastAsia" w:ascii="宋体" w:hAnsi="宋体"/>
          <w:b/>
          <w:kern w:val="44"/>
        </w:rPr>
        <w:t>第二条</w:t>
      </w:r>
      <w:r>
        <w:rPr>
          <w:rFonts w:hint="eastAsia" w:ascii="宋体" w:hAnsi="宋体"/>
          <w:kern w:val="44"/>
        </w:rPr>
        <w:t>　市人民政府及其承办单位办理人大代表建议、批评、意见和政协提案，适用本办法。</w:t>
      </w:r>
    </w:p>
    <w:p w14:paraId="5A70D415">
      <w:pPr>
        <w:jc w:val="left"/>
        <w:rPr>
          <w:rFonts w:ascii="宋体" w:hAnsi="宋体"/>
          <w:kern w:val="44"/>
        </w:rPr>
      </w:pPr>
      <w:r>
        <w:rPr>
          <w:rFonts w:hint="eastAsia" w:ascii="宋体" w:hAnsi="宋体"/>
          <w:kern w:val="44"/>
        </w:rPr>
        <w:t>本办法所称人大代表建议、批评、意见，是指全国人大代表、市人大代表提出的，需由市人民政府及其承办单位办理的书面建议、批评和意见，以及市人民代表大会主席团审议决定作为建议、批评和意见处理，需由市人民政府及其承办单位办理的代表或者代表团提出的议案（以下简称建议）。</w:t>
      </w:r>
    </w:p>
    <w:p w14:paraId="5E450BB0">
      <w:pPr>
        <w:jc w:val="left"/>
        <w:rPr>
          <w:rFonts w:ascii="宋体" w:hAnsi="宋体"/>
          <w:kern w:val="44"/>
        </w:rPr>
      </w:pPr>
      <w:r>
        <w:rPr>
          <w:rFonts w:hint="eastAsia" w:ascii="宋体" w:hAnsi="宋体"/>
          <w:kern w:val="44"/>
        </w:rPr>
        <w:t>本办法所称政协提案，是指全国政协委员、市政协委员和参加政协的各人民团体以及政协各专门委员会（以下统称提案者）提出的，需由市人民政府及其承办单位办理的书面意见和建议（以下简称提案）。</w:t>
      </w:r>
    </w:p>
    <w:p w14:paraId="2CCD24E8">
      <w:pPr>
        <w:ind w:firstLine="422"/>
        <w:jc w:val="left"/>
        <w:rPr>
          <w:rFonts w:ascii="宋体" w:hAnsi="宋体"/>
          <w:kern w:val="44"/>
        </w:rPr>
      </w:pPr>
      <w:r>
        <w:rPr>
          <w:rFonts w:hint="eastAsia" w:ascii="宋体" w:hAnsi="宋体"/>
          <w:b/>
          <w:kern w:val="44"/>
        </w:rPr>
        <w:t>第三条</w:t>
      </w:r>
      <w:r>
        <w:rPr>
          <w:rFonts w:hint="eastAsia" w:ascii="宋体" w:hAnsi="宋体"/>
          <w:kern w:val="44"/>
        </w:rPr>
        <w:t>　市人民政府统筹建议、提案办理工作，由市长负责，常务副市长分管，市人民政府办公厅负责具体组织、指导、检查、督办、协调等工作。</w:t>
      </w:r>
    </w:p>
    <w:p w14:paraId="5754D2AD">
      <w:pPr>
        <w:jc w:val="left"/>
        <w:rPr>
          <w:rFonts w:ascii="宋体" w:hAnsi="宋体"/>
          <w:kern w:val="44"/>
        </w:rPr>
      </w:pPr>
      <w:r>
        <w:rPr>
          <w:rFonts w:hint="eastAsia" w:ascii="宋体" w:hAnsi="宋体"/>
          <w:kern w:val="44"/>
        </w:rPr>
        <w:t>承办单位建议、提案办理工作，由其主要负责人负责，分管负责人组织落实，并指定部门具体负责。</w:t>
      </w:r>
    </w:p>
    <w:p w14:paraId="53D98C87">
      <w:pPr>
        <w:ind w:firstLine="422"/>
        <w:jc w:val="left"/>
        <w:rPr>
          <w:rFonts w:ascii="宋体" w:hAnsi="宋体"/>
          <w:kern w:val="44"/>
        </w:rPr>
      </w:pPr>
      <w:r>
        <w:rPr>
          <w:rFonts w:hint="eastAsia" w:ascii="宋体" w:hAnsi="宋体"/>
          <w:b/>
          <w:kern w:val="44"/>
        </w:rPr>
        <w:t>第四条</w:t>
      </w:r>
      <w:r>
        <w:rPr>
          <w:rFonts w:hint="eastAsia" w:ascii="宋体" w:hAnsi="宋体"/>
          <w:kern w:val="44"/>
        </w:rPr>
        <w:t>　市人民政府及其承办单位应当建立健全建议、提案办理工作责任制度，对建议、提案实行分类管理，严格办理程序，按照法律、法规、规章和政策，结合本市实际情况，认真研究办理，并按期答复。</w:t>
      </w:r>
    </w:p>
    <w:p w14:paraId="05063634">
      <w:pPr>
        <w:jc w:val="left"/>
        <w:rPr>
          <w:rFonts w:ascii="宋体" w:hAnsi="宋体"/>
          <w:kern w:val="44"/>
        </w:rPr>
      </w:pPr>
    </w:p>
    <w:p w14:paraId="5CA23E4F">
      <w:pPr>
        <w:ind w:firstLine="0" w:firstLineChars="0"/>
        <w:jc w:val="center"/>
        <w:rPr>
          <w:rFonts w:ascii="宋体" w:hAnsi="宋体"/>
          <w:b/>
          <w:kern w:val="44"/>
          <w:sz w:val="28"/>
        </w:rPr>
      </w:pPr>
      <w:r>
        <w:rPr>
          <w:rFonts w:hint="eastAsia" w:ascii="宋体" w:hAnsi="宋体"/>
          <w:b/>
          <w:kern w:val="44"/>
          <w:sz w:val="28"/>
        </w:rPr>
        <w:t>第二章  交  办</w:t>
      </w:r>
    </w:p>
    <w:p w14:paraId="5CBEE57D">
      <w:pPr>
        <w:jc w:val="left"/>
        <w:rPr>
          <w:rFonts w:ascii="宋体" w:hAnsi="宋体"/>
          <w:kern w:val="44"/>
        </w:rPr>
      </w:pPr>
    </w:p>
    <w:p w14:paraId="63F3C43E">
      <w:pPr>
        <w:ind w:firstLine="422"/>
        <w:jc w:val="left"/>
        <w:rPr>
          <w:rFonts w:ascii="宋体" w:hAnsi="宋体"/>
          <w:kern w:val="44"/>
        </w:rPr>
      </w:pPr>
      <w:r>
        <w:rPr>
          <w:rFonts w:hint="eastAsia" w:ascii="宋体" w:hAnsi="宋体"/>
          <w:b/>
          <w:kern w:val="44"/>
        </w:rPr>
        <w:t>第五条</w:t>
      </w:r>
      <w:r>
        <w:rPr>
          <w:rFonts w:hint="eastAsia" w:ascii="宋体" w:hAnsi="宋体"/>
          <w:kern w:val="44"/>
        </w:rPr>
        <w:t>　全国人大代表建议和全国政协提案，以及市人大、市政协闭会期间的建议、提案，由市人民政府办公厅根据建议、提案内容协商有关单位提出交办意见，报请市人民政府同意，交承办单位办理。</w:t>
      </w:r>
    </w:p>
    <w:p w14:paraId="142E6555">
      <w:pPr>
        <w:jc w:val="left"/>
        <w:rPr>
          <w:rFonts w:ascii="宋体" w:hAnsi="宋体"/>
          <w:kern w:val="44"/>
        </w:rPr>
      </w:pPr>
      <w:r>
        <w:rPr>
          <w:rFonts w:hint="eastAsia" w:ascii="宋体" w:hAnsi="宋体"/>
          <w:kern w:val="44"/>
        </w:rPr>
        <w:t>市人大会议、市政协全体会议期间的建议、提案，由市人民政府办公厅根据建议、提案内容协商有关单位提出交办意见，报请市人民政府有关会议研究决定，交承办单位办理。</w:t>
      </w:r>
    </w:p>
    <w:p w14:paraId="5A987EBD">
      <w:pPr>
        <w:jc w:val="left"/>
        <w:rPr>
          <w:rFonts w:ascii="宋体" w:hAnsi="宋体"/>
          <w:kern w:val="44"/>
        </w:rPr>
      </w:pPr>
      <w:r>
        <w:rPr>
          <w:rFonts w:hint="eastAsia" w:ascii="宋体" w:hAnsi="宋体"/>
          <w:kern w:val="44"/>
        </w:rPr>
        <w:t>市人民政府办公厅提出的交办意见应当明确建议、提案的承办单位和答复截止日期。建议、提案需要两个或者两个以上承办单位共同研究办理的，应当确定主办单位和会办单位。</w:t>
      </w:r>
    </w:p>
    <w:p w14:paraId="19C9A1A8">
      <w:pPr>
        <w:ind w:firstLine="422"/>
        <w:jc w:val="left"/>
        <w:rPr>
          <w:rFonts w:ascii="宋体" w:hAnsi="宋体"/>
          <w:kern w:val="44"/>
        </w:rPr>
      </w:pPr>
      <w:r>
        <w:rPr>
          <w:rFonts w:hint="eastAsia" w:ascii="宋体" w:hAnsi="宋体"/>
          <w:b/>
          <w:kern w:val="44"/>
        </w:rPr>
        <w:t>第六条</w:t>
      </w:r>
      <w:r>
        <w:rPr>
          <w:rFonts w:hint="eastAsia" w:ascii="宋体" w:hAnsi="宋体"/>
          <w:kern w:val="44"/>
        </w:rPr>
        <w:t>　承办单位收到建议、提案后，对不属于本单位职责范围的建议、提案，应当自收到之日起七个工作日内，以书面形式向市人民政府办公厅说明情况；经市人民政府办公厅同意后，将建议、提案退回。承办单位不得擅自滞留或者自行转办建议、提案。</w:t>
      </w:r>
    </w:p>
    <w:p w14:paraId="4BA543E6">
      <w:pPr>
        <w:jc w:val="left"/>
        <w:rPr>
          <w:rFonts w:ascii="宋体" w:hAnsi="宋体"/>
          <w:kern w:val="44"/>
        </w:rPr>
      </w:pPr>
      <w:r>
        <w:rPr>
          <w:rFonts w:hint="eastAsia" w:ascii="宋体" w:hAnsi="宋体"/>
          <w:kern w:val="44"/>
        </w:rPr>
        <w:t>市人民政府办公厅对承办单位退回的建议、提案，应当自收到之日起五个工作日内按规定程序另行交办。</w:t>
      </w:r>
    </w:p>
    <w:p w14:paraId="20391C34">
      <w:pPr>
        <w:jc w:val="left"/>
        <w:rPr>
          <w:rFonts w:ascii="宋体" w:hAnsi="宋体"/>
          <w:kern w:val="44"/>
        </w:rPr>
      </w:pPr>
    </w:p>
    <w:p w14:paraId="7CAFCC15">
      <w:pPr>
        <w:ind w:firstLine="0" w:firstLineChars="0"/>
        <w:jc w:val="center"/>
        <w:rPr>
          <w:rFonts w:ascii="宋体" w:hAnsi="宋体"/>
          <w:b/>
          <w:kern w:val="44"/>
          <w:sz w:val="28"/>
        </w:rPr>
      </w:pPr>
      <w:r>
        <w:rPr>
          <w:rFonts w:hint="eastAsia" w:ascii="宋体" w:hAnsi="宋体"/>
          <w:b/>
          <w:kern w:val="44"/>
          <w:sz w:val="28"/>
        </w:rPr>
        <w:t>第三章  办　理</w:t>
      </w:r>
    </w:p>
    <w:p w14:paraId="655CFF70">
      <w:pPr>
        <w:jc w:val="left"/>
        <w:rPr>
          <w:rFonts w:ascii="宋体" w:hAnsi="宋体"/>
          <w:kern w:val="44"/>
        </w:rPr>
      </w:pPr>
    </w:p>
    <w:p w14:paraId="21B7363C">
      <w:pPr>
        <w:ind w:firstLine="422"/>
        <w:jc w:val="left"/>
        <w:rPr>
          <w:rFonts w:ascii="宋体" w:hAnsi="宋体"/>
          <w:kern w:val="44"/>
        </w:rPr>
      </w:pPr>
      <w:r>
        <w:rPr>
          <w:rFonts w:hint="eastAsia" w:ascii="宋体" w:hAnsi="宋体"/>
          <w:b/>
          <w:kern w:val="44"/>
        </w:rPr>
        <w:t>第七条</w:t>
      </w:r>
      <w:r>
        <w:rPr>
          <w:rFonts w:hint="eastAsia" w:ascii="宋体" w:hAnsi="宋体"/>
          <w:kern w:val="44"/>
        </w:rPr>
        <w:t>　承办单位应当对建议、提案进行认真分析，集体讨论研究确定本单位办理建议、提案工作方案，根据所反映问题的类别和性质，依据法定职权、工作程序和条件，确定办理的方式、途径和方法。</w:t>
      </w:r>
    </w:p>
    <w:p w14:paraId="766CD702">
      <w:pPr>
        <w:ind w:firstLine="422"/>
        <w:jc w:val="left"/>
        <w:rPr>
          <w:rFonts w:ascii="宋体" w:hAnsi="宋体"/>
          <w:kern w:val="44"/>
        </w:rPr>
      </w:pPr>
      <w:r>
        <w:rPr>
          <w:rFonts w:hint="eastAsia" w:ascii="宋体" w:hAnsi="宋体"/>
          <w:b/>
          <w:kern w:val="44"/>
        </w:rPr>
        <w:t>第八条</w:t>
      </w:r>
      <w:r>
        <w:rPr>
          <w:rFonts w:hint="eastAsia" w:ascii="宋体" w:hAnsi="宋体"/>
          <w:kern w:val="44"/>
        </w:rPr>
        <w:t>　承办单位应当确定具体承办建议、提案的责任人。对于综合性强、涉及面广、办理难度大的建议、提案，承办单位主要负责人应当组织研究办理；确有必要的，承办单位可以报请市人民政府研究、协调办理。</w:t>
      </w:r>
    </w:p>
    <w:p w14:paraId="7097D4B1">
      <w:pPr>
        <w:ind w:firstLine="422"/>
        <w:jc w:val="left"/>
        <w:rPr>
          <w:rFonts w:ascii="宋体" w:hAnsi="宋体"/>
          <w:kern w:val="44"/>
        </w:rPr>
      </w:pPr>
      <w:r>
        <w:rPr>
          <w:rFonts w:hint="eastAsia" w:ascii="宋体" w:hAnsi="宋体"/>
          <w:b/>
          <w:kern w:val="44"/>
        </w:rPr>
        <w:t>第九条</w:t>
      </w:r>
      <w:r>
        <w:rPr>
          <w:rFonts w:hint="eastAsia" w:ascii="宋体" w:hAnsi="宋体"/>
          <w:kern w:val="44"/>
        </w:rPr>
        <w:t>　承办单位办理建议、提案，应当加强同代表、提案者的联系，充分听取其意见，理解其具体意向，并就办理情况与代表、提案者及时进行沟通。承办单位可以与代表、提案者单独沟通，也可以集中沟通。</w:t>
      </w:r>
    </w:p>
    <w:p w14:paraId="7A6A3A9E">
      <w:pPr>
        <w:ind w:firstLine="422"/>
        <w:jc w:val="left"/>
        <w:rPr>
          <w:rFonts w:ascii="宋体" w:hAnsi="宋体"/>
          <w:kern w:val="44"/>
        </w:rPr>
      </w:pPr>
      <w:r>
        <w:rPr>
          <w:rFonts w:hint="eastAsia" w:ascii="宋体" w:hAnsi="宋体"/>
          <w:b/>
          <w:kern w:val="44"/>
        </w:rPr>
        <w:t>第十条</w:t>
      </w:r>
      <w:r>
        <w:rPr>
          <w:rFonts w:hint="eastAsia" w:ascii="宋体" w:hAnsi="宋体"/>
          <w:kern w:val="44"/>
        </w:rPr>
        <w:t>　建议、提案由两个或者两个以上单位共同研究办理的，会办单位应当与主办单位密切配合，及时向主办单位提交会办意见；主办单位应当及时综合各会办单位意见，提出答复意见，并抄送会办单位。根据需要，主办单位可以会同会办单位共同听取代表、提案者的意见，会办单位应当积极配合。</w:t>
      </w:r>
    </w:p>
    <w:p w14:paraId="6F9DCBA8">
      <w:pPr>
        <w:ind w:firstLine="422"/>
        <w:jc w:val="left"/>
        <w:rPr>
          <w:rFonts w:ascii="宋体" w:hAnsi="宋体"/>
          <w:kern w:val="44"/>
        </w:rPr>
      </w:pPr>
      <w:r>
        <w:rPr>
          <w:rFonts w:hint="eastAsia" w:ascii="宋体" w:hAnsi="宋体"/>
          <w:b/>
          <w:kern w:val="44"/>
        </w:rPr>
        <w:t>第十一条</w:t>
      </w:r>
      <w:r>
        <w:rPr>
          <w:rFonts w:hint="eastAsia" w:ascii="宋体" w:hAnsi="宋体"/>
          <w:kern w:val="44"/>
        </w:rPr>
        <w:t>　承办单位应当重视采纳代表、提案者的合理意见和建议。对于应该解决且能够解决的问题，应当及时解决；对于应该解决但短时间内难以落实解决措施的，应当列入工作计划，逐步解决；因为客观条件所限，确实不能解决的，应当向代表、提案者充分说明原因。</w:t>
      </w:r>
    </w:p>
    <w:p w14:paraId="3DBCC787">
      <w:pPr>
        <w:ind w:firstLine="422"/>
        <w:jc w:val="left"/>
        <w:rPr>
          <w:rFonts w:ascii="宋体" w:hAnsi="宋体"/>
          <w:kern w:val="44"/>
        </w:rPr>
      </w:pPr>
      <w:r>
        <w:rPr>
          <w:rFonts w:hint="eastAsia" w:ascii="宋体" w:hAnsi="宋体"/>
          <w:b/>
          <w:kern w:val="44"/>
        </w:rPr>
        <w:t>第十二条</w:t>
      </w:r>
      <w:r>
        <w:rPr>
          <w:rFonts w:hint="eastAsia" w:ascii="宋体" w:hAnsi="宋体"/>
          <w:kern w:val="44"/>
        </w:rPr>
        <w:t>　承办单位办理建议、提案，应当在市人民政府办公厅确定的期限内予以答复；答复应当针对建议、提案的内容，采用公文形式，并遵守国家有关保密的规定。</w:t>
      </w:r>
    </w:p>
    <w:p w14:paraId="663ADC20">
      <w:pPr>
        <w:ind w:firstLine="422"/>
        <w:jc w:val="left"/>
        <w:rPr>
          <w:rFonts w:ascii="宋体" w:hAnsi="宋体"/>
          <w:kern w:val="44"/>
        </w:rPr>
      </w:pPr>
      <w:r>
        <w:rPr>
          <w:rFonts w:hint="eastAsia" w:ascii="宋体" w:hAnsi="宋体"/>
          <w:b/>
          <w:kern w:val="44"/>
        </w:rPr>
        <w:t>第十三条</w:t>
      </w:r>
      <w:r>
        <w:rPr>
          <w:rFonts w:hint="eastAsia" w:ascii="宋体" w:hAnsi="宋体"/>
          <w:kern w:val="44"/>
        </w:rPr>
        <w:t>　全国人大代表建议和全国政协提案，由承办单位提出答复意见，报经市人民政府同意，由市人民政府答复。</w:t>
      </w:r>
    </w:p>
    <w:p w14:paraId="43942AD8">
      <w:pPr>
        <w:jc w:val="left"/>
        <w:rPr>
          <w:rFonts w:ascii="宋体" w:hAnsi="宋体"/>
          <w:kern w:val="44"/>
        </w:rPr>
      </w:pPr>
      <w:r>
        <w:rPr>
          <w:rFonts w:hint="eastAsia" w:ascii="宋体" w:hAnsi="宋体"/>
          <w:kern w:val="44"/>
        </w:rPr>
        <w:t>市人大代表建议、市政协提案，由承办单位提出答复意见并予以答复。</w:t>
      </w:r>
    </w:p>
    <w:p w14:paraId="7BDCBC04">
      <w:pPr>
        <w:ind w:firstLine="422"/>
        <w:jc w:val="left"/>
        <w:rPr>
          <w:rFonts w:ascii="宋体" w:hAnsi="宋体"/>
          <w:kern w:val="44"/>
        </w:rPr>
      </w:pPr>
      <w:r>
        <w:rPr>
          <w:rFonts w:hint="eastAsia" w:ascii="宋体" w:hAnsi="宋体"/>
          <w:b/>
          <w:kern w:val="44"/>
        </w:rPr>
        <w:t>第十四条</w:t>
      </w:r>
      <w:r>
        <w:rPr>
          <w:rFonts w:hint="eastAsia" w:ascii="宋体" w:hAnsi="宋体"/>
          <w:kern w:val="44"/>
        </w:rPr>
        <w:t>　代表、委员单独提出的建议、提案，答复代表、委员本人；联名提出的建议、提案，可以仅答复领衔代表、第一提案者。</w:t>
      </w:r>
    </w:p>
    <w:p w14:paraId="0A9090D3">
      <w:pPr>
        <w:jc w:val="left"/>
        <w:rPr>
          <w:rFonts w:ascii="宋体" w:hAnsi="宋体"/>
          <w:kern w:val="44"/>
        </w:rPr>
      </w:pPr>
      <w:r>
        <w:rPr>
          <w:rFonts w:hint="eastAsia" w:ascii="宋体" w:hAnsi="宋体"/>
          <w:kern w:val="44"/>
        </w:rPr>
        <w:t>参加政协的人民团体、政协专门委员会提出的提案，答复提出提案的人民团体、专门委员会。</w:t>
      </w:r>
    </w:p>
    <w:p w14:paraId="2DF694C1">
      <w:pPr>
        <w:ind w:firstLine="422"/>
        <w:jc w:val="left"/>
        <w:rPr>
          <w:rFonts w:ascii="宋体" w:hAnsi="宋体"/>
          <w:kern w:val="44"/>
        </w:rPr>
      </w:pPr>
      <w:r>
        <w:rPr>
          <w:rFonts w:hint="eastAsia" w:ascii="宋体" w:hAnsi="宋体"/>
          <w:b/>
          <w:kern w:val="44"/>
        </w:rPr>
        <w:t>第十五条</w:t>
      </w:r>
      <w:r>
        <w:rPr>
          <w:rFonts w:hint="eastAsia" w:ascii="宋体" w:hAnsi="宋体"/>
          <w:kern w:val="44"/>
        </w:rPr>
        <w:t>　承办单位对于答复代表、提案者在一定期限内解决的问题，应当认真落实，并及时以书面形式告知工作进展情况；因情况变化导致不能落实的，应当以书面形式说明原因，并报送市人民政府办公厅以及市人大常委会代表联络工作部门或者市政协提案工作部门。</w:t>
      </w:r>
    </w:p>
    <w:p w14:paraId="111AD768">
      <w:pPr>
        <w:ind w:firstLine="422"/>
        <w:jc w:val="left"/>
        <w:rPr>
          <w:rFonts w:ascii="宋体" w:hAnsi="宋体"/>
          <w:kern w:val="44"/>
        </w:rPr>
      </w:pPr>
      <w:r>
        <w:rPr>
          <w:rFonts w:hint="eastAsia" w:ascii="宋体" w:hAnsi="宋体"/>
          <w:b/>
          <w:kern w:val="44"/>
        </w:rPr>
        <w:t>第十六条</w:t>
      </w:r>
      <w:r>
        <w:rPr>
          <w:rFonts w:hint="eastAsia" w:ascii="宋体" w:hAnsi="宋体"/>
          <w:kern w:val="44"/>
        </w:rPr>
        <w:t>　市人民政府及其承办单位制定关系人民群众切身利益、关系首都经济社会发展全局的政策，应当邀请提出相关建议、提案的代表或者提案者参与，听取其意见和建议。</w:t>
      </w:r>
    </w:p>
    <w:p w14:paraId="7BFD33F4">
      <w:pPr>
        <w:ind w:firstLine="422"/>
        <w:jc w:val="left"/>
        <w:rPr>
          <w:rFonts w:ascii="宋体" w:hAnsi="宋体"/>
          <w:kern w:val="44"/>
        </w:rPr>
      </w:pPr>
      <w:r>
        <w:rPr>
          <w:rFonts w:hint="eastAsia" w:ascii="宋体" w:hAnsi="宋体"/>
          <w:b/>
          <w:kern w:val="44"/>
        </w:rPr>
        <w:t>第十七条</w:t>
      </w:r>
      <w:r>
        <w:rPr>
          <w:rFonts w:hint="eastAsia" w:ascii="宋体" w:hAnsi="宋体"/>
          <w:kern w:val="44"/>
        </w:rPr>
        <w:t>　承办单位办理建议、提案，不得泄露代表、委员依法受到保护的个人信息。</w:t>
      </w:r>
    </w:p>
    <w:p w14:paraId="0CB61395">
      <w:pPr>
        <w:ind w:firstLine="422"/>
        <w:jc w:val="left"/>
        <w:rPr>
          <w:rFonts w:ascii="宋体" w:hAnsi="宋体"/>
          <w:kern w:val="44"/>
        </w:rPr>
      </w:pPr>
      <w:r>
        <w:rPr>
          <w:rFonts w:hint="eastAsia" w:ascii="宋体" w:hAnsi="宋体"/>
          <w:b/>
          <w:kern w:val="44"/>
        </w:rPr>
        <w:t>第十八条</w:t>
      </w:r>
      <w:r>
        <w:rPr>
          <w:rFonts w:hint="eastAsia" w:ascii="宋体" w:hAnsi="宋体"/>
          <w:kern w:val="44"/>
        </w:rPr>
        <w:t>　建议、提案的原件、答复意见原件以及办理过程中的其他有关材料，应当按照档案管理的规定存档。</w:t>
      </w:r>
    </w:p>
    <w:p w14:paraId="46119B9D">
      <w:pPr>
        <w:jc w:val="left"/>
        <w:rPr>
          <w:rFonts w:ascii="宋体" w:hAnsi="宋体"/>
          <w:kern w:val="44"/>
        </w:rPr>
      </w:pPr>
    </w:p>
    <w:p w14:paraId="0EA95197">
      <w:pPr>
        <w:ind w:firstLine="0" w:firstLineChars="0"/>
        <w:jc w:val="center"/>
        <w:rPr>
          <w:rFonts w:ascii="宋体" w:hAnsi="宋体"/>
          <w:b/>
          <w:kern w:val="44"/>
          <w:sz w:val="28"/>
        </w:rPr>
      </w:pPr>
      <w:r>
        <w:rPr>
          <w:rFonts w:hint="eastAsia" w:ascii="宋体" w:hAnsi="宋体"/>
          <w:b/>
          <w:kern w:val="44"/>
          <w:sz w:val="28"/>
        </w:rPr>
        <w:t>第四章　监督检查</w:t>
      </w:r>
    </w:p>
    <w:p w14:paraId="1B6D6517">
      <w:pPr>
        <w:jc w:val="left"/>
        <w:rPr>
          <w:rFonts w:ascii="宋体" w:hAnsi="宋体"/>
          <w:kern w:val="44"/>
        </w:rPr>
      </w:pPr>
    </w:p>
    <w:p w14:paraId="334AD134">
      <w:pPr>
        <w:ind w:firstLine="422"/>
        <w:jc w:val="left"/>
        <w:rPr>
          <w:rFonts w:ascii="宋体" w:hAnsi="宋体"/>
          <w:kern w:val="44"/>
        </w:rPr>
      </w:pPr>
      <w:r>
        <w:rPr>
          <w:rFonts w:hint="eastAsia" w:ascii="宋体" w:hAnsi="宋体"/>
          <w:b/>
          <w:kern w:val="44"/>
        </w:rPr>
        <w:t>第十九条</w:t>
      </w:r>
      <w:r>
        <w:rPr>
          <w:rFonts w:hint="eastAsia" w:ascii="宋体" w:hAnsi="宋体"/>
          <w:kern w:val="44"/>
        </w:rPr>
        <w:t>　市人民政府及其承办单位应当接受全国人大常委会、全国政协以及市人大常委会、市政协对建议、提案办理工作的监督检查，做好建议、提案办理工作。</w:t>
      </w:r>
    </w:p>
    <w:p w14:paraId="55435E98">
      <w:pPr>
        <w:ind w:firstLine="422"/>
        <w:jc w:val="left"/>
        <w:rPr>
          <w:rFonts w:ascii="宋体" w:hAnsi="宋体"/>
          <w:kern w:val="44"/>
        </w:rPr>
      </w:pPr>
      <w:r>
        <w:rPr>
          <w:rFonts w:hint="eastAsia" w:ascii="宋体" w:hAnsi="宋体"/>
          <w:b/>
          <w:kern w:val="44"/>
        </w:rPr>
        <w:t>第二十条</w:t>
      </w:r>
      <w:r>
        <w:rPr>
          <w:rFonts w:hint="eastAsia" w:ascii="宋体" w:hAnsi="宋体"/>
          <w:kern w:val="44"/>
        </w:rPr>
        <w:t>　市人民政府办公厅应当建立建议、提案办理工作信息库或者工作档案，跟踪检查答复意见的落实情况，督促承办单位按照答复代表、委员的工作方案或者工作计划完成落实工作。</w:t>
      </w:r>
    </w:p>
    <w:p w14:paraId="72B713F9">
      <w:pPr>
        <w:ind w:firstLine="422"/>
        <w:jc w:val="left"/>
        <w:rPr>
          <w:rFonts w:ascii="宋体" w:hAnsi="宋体"/>
          <w:kern w:val="44"/>
        </w:rPr>
      </w:pPr>
      <w:r>
        <w:rPr>
          <w:rFonts w:hint="eastAsia" w:ascii="宋体" w:hAnsi="宋体"/>
          <w:b/>
          <w:kern w:val="44"/>
        </w:rPr>
        <w:t>第二十一条</w:t>
      </w:r>
      <w:r>
        <w:rPr>
          <w:rFonts w:hint="eastAsia" w:ascii="宋体" w:hAnsi="宋体"/>
          <w:kern w:val="44"/>
        </w:rPr>
        <w:t>　市人民政府及其承办单位应当按照规定公开建议、提案的办理情况。</w:t>
      </w:r>
    </w:p>
    <w:p w14:paraId="02126696">
      <w:pPr>
        <w:ind w:firstLine="422"/>
        <w:jc w:val="left"/>
        <w:rPr>
          <w:rFonts w:ascii="宋体" w:hAnsi="宋体"/>
          <w:kern w:val="44"/>
        </w:rPr>
      </w:pPr>
      <w:r>
        <w:rPr>
          <w:rFonts w:hint="eastAsia" w:ascii="宋体" w:hAnsi="宋体"/>
          <w:b/>
          <w:kern w:val="44"/>
        </w:rPr>
        <w:t>第二十二条</w:t>
      </w:r>
      <w:r>
        <w:rPr>
          <w:rFonts w:hint="eastAsia" w:ascii="宋体" w:hAnsi="宋体"/>
          <w:kern w:val="44"/>
        </w:rPr>
        <w:t>　市人民政府对承办单位建议、提案办理工作进行考核。</w:t>
      </w:r>
    </w:p>
    <w:p w14:paraId="5EE34ABD">
      <w:pPr>
        <w:jc w:val="left"/>
        <w:rPr>
          <w:rFonts w:ascii="宋体" w:hAnsi="宋体"/>
          <w:kern w:val="44"/>
        </w:rPr>
      </w:pPr>
      <w:r>
        <w:rPr>
          <w:rFonts w:hint="eastAsia" w:ascii="宋体" w:hAnsi="宋体"/>
          <w:kern w:val="44"/>
        </w:rPr>
        <w:t>承办单位办理建议、提案敷衍塞责，擅自超出办理时限，或者违反本办法其他有关规定的，按照国家和本市有关规定对直接负责的主管人员和其他直接负责人员给予行政问责和行政处分。</w:t>
      </w:r>
    </w:p>
    <w:p w14:paraId="0CB2A389">
      <w:pPr>
        <w:jc w:val="left"/>
        <w:rPr>
          <w:rFonts w:ascii="宋体" w:hAnsi="宋体"/>
          <w:kern w:val="44"/>
        </w:rPr>
      </w:pPr>
    </w:p>
    <w:p w14:paraId="1F1E41A4">
      <w:pPr>
        <w:ind w:firstLine="0" w:firstLineChars="0"/>
        <w:jc w:val="center"/>
        <w:rPr>
          <w:rFonts w:ascii="宋体" w:hAnsi="宋体"/>
          <w:b/>
          <w:kern w:val="44"/>
        </w:rPr>
      </w:pPr>
      <w:r>
        <w:rPr>
          <w:rFonts w:hint="eastAsia" w:ascii="宋体" w:hAnsi="宋体"/>
          <w:b/>
          <w:kern w:val="44"/>
          <w:sz w:val="28"/>
        </w:rPr>
        <w:t>第五章　附　则</w:t>
      </w:r>
    </w:p>
    <w:p w14:paraId="7CE5A71E">
      <w:pPr>
        <w:jc w:val="left"/>
        <w:rPr>
          <w:rFonts w:ascii="宋体" w:hAnsi="宋体"/>
          <w:kern w:val="44"/>
        </w:rPr>
      </w:pPr>
    </w:p>
    <w:p w14:paraId="6B42A9B5">
      <w:pPr>
        <w:ind w:firstLine="422"/>
        <w:jc w:val="left"/>
        <w:rPr>
          <w:rFonts w:ascii="宋体" w:hAnsi="宋体"/>
          <w:kern w:val="44"/>
        </w:rPr>
      </w:pPr>
      <w:r>
        <w:rPr>
          <w:rFonts w:hint="eastAsia" w:ascii="宋体" w:hAnsi="宋体"/>
          <w:b/>
          <w:kern w:val="44"/>
        </w:rPr>
        <w:t>第二十三条</w:t>
      </w:r>
      <w:r>
        <w:rPr>
          <w:rFonts w:hint="eastAsia" w:ascii="宋体" w:hAnsi="宋体"/>
          <w:kern w:val="44"/>
        </w:rPr>
        <w:t>　本办法所称承办单位，是指具体承办建议、提案的市人民政府办公厅和市人民政府组成部门、直属特设机构、直属机构和其他相关单位，以及区、县人民政府。</w:t>
      </w:r>
    </w:p>
    <w:p w14:paraId="3DF1E3E0">
      <w:pPr>
        <w:jc w:val="left"/>
        <w:rPr>
          <w:rFonts w:ascii="宋体" w:hAnsi="宋体"/>
          <w:kern w:val="44"/>
        </w:rPr>
      </w:pPr>
      <w:r>
        <w:rPr>
          <w:rFonts w:hint="eastAsia" w:ascii="宋体" w:hAnsi="宋体"/>
          <w:kern w:val="44"/>
        </w:rPr>
        <w:t>承办单位被撤销、合并或者调整职权的，由继续行使其职权的单位负责承接建议、提案办理工作。</w:t>
      </w:r>
    </w:p>
    <w:p w14:paraId="334DA531">
      <w:pPr>
        <w:ind w:firstLine="422"/>
        <w:jc w:val="left"/>
        <w:rPr>
          <w:rFonts w:ascii="宋体" w:hAnsi="宋体"/>
          <w:kern w:val="44"/>
        </w:rPr>
      </w:pPr>
      <w:r>
        <w:rPr>
          <w:rFonts w:hint="eastAsia" w:ascii="宋体" w:hAnsi="宋体"/>
          <w:b/>
          <w:kern w:val="44"/>
        </w:rPr>
        <w:t>第二十四条</w:t>
      </w:r>
      <w:r>
        <w:rPr>
          <w:rFonts w:hint="eastAsia" w:ascii="宋体" w:hAnsi="宋体"/>
          <w:kern w:val="44"/>
        </w:rPr>
        <w:t>　区、县人民政府办理本级人民代表大会代表建议和人民政协提案，参照本办法执行。</w:t>
      </w:r>
    </w:p>
    <w:p w14:paraId="2E4B44AF">
      <w:pPr>
        <w:ind w:firstLine="422"/>
        <w:jc w:val="left"/>
        <w:rPr>
          <w:rFonts w:ascii="宋体" w:hAnsi="宋体"/>
          <w:kern w:val="44"/>
        </w:rPr>
      </w:pPr>
      <w:r>
        <w:rPr>
          <w:rFonts w:hint="eastAsia" w:ascii="宋体" w:hAnsi="宋体"/>
          <w:b/>
          <w:kern w:val="44"/>
        </w:rPr>
        <w:t>第二十五条</w:t>
      </w:r>
      <w:r>
        <w:rPr>
          <w:rFonts w:hint="eastAsia" w:ascii="宋体" w:hAnsi="宋体"/>
          <w:kern w:val="44"/>
        </w:rPr>
        <w:t>　本办法自2015年2月1日起施行。2006年1月9日市人民政府第165号令公布的《北京市人民政府办理人民代表大会代表建议、批评、意见和人民政治协商会议委员提案办法》同时废止。</w:t>
      </w:r>
    </w:p>
    <w:p w14:paraId="1E4BFAFB">
      <w:pPr>
        <w:pStyle w:val="3"/>
        <w:pageBreakBefore/>
        <w:rPr>
          <w:kern w:val="44"/>
        </w:rPr>
      </w:pPr>
      <w:bookmarkStart w:id="66" w:name="_Toc428781425"/>
      <w:bookmarkStart w:id="67" w:name="_Toc422471054"/>
      <w:bookmarkStart w:id="68" w:name="_Toc428779943"/>
      <w:bookmarkStart w:id="69" w:name="_Toc427651377"/>
      <w:bookmarkStart w:id="70" w:name="_Toc427651719"/>
      <w:r>
        <w:rPr>
          <w:rFonts w:hint="eastAsia"/>
          <w:kern w:val="44"/>
        </w:rPr>
        <w:t>（二）人大组织</w:t>
      </w:r>
      <w:bookmarkEnd w:id="66"/>
      <w:bookmarkEnd w:id="67"/>
      <w:bookmarkEnd w:id="68"/>
      <w:bookmarkEnd w:id="69"/>
      <w:bookmarkEnd w:id="70"/>
    </w:p>
    <w:p w14:paraId="0221B107"/>
    <w:p w14:paraId="79247F45">
      <w:pPr>
        <w:pStyle w:val="4"/>
        <w:rPr>
          <w:kern w:val="44"/>
        </w:rPr>
      </w:pPr>
      <w:bookmarkStart w:id="71" w:name="_Toc422471055"/>
      <w:bookmarkStart w:id="72" w:name="_Toc428781426"/>
      <w:bookmarkStart w:id="73" w:name="_Toc427651720"/>
      <w:bookmarkStart w:id="74" w:name="_Toc428779944"/>
      <w:bookmarkStart w:id="75" w:name="_Toc427651378"/>
      <w:r>
        <w:rPr>
          <w:rFonts w:hint="eastAsia"/>
          <w:kern w:val="44"/>
        </w:rPr>
        <w:t>北京市人民代表大会常务</w:t>
      </w:r>
      <w:bookmarkEnd w:id="71"/>
      <w:bookmarkStart w:id="76" w:name="_Toc422471056"/>
      <w:r>
        <w:rPr>
          <w:rFonts w:hint="eastAsia"/>
          <w:kern w:val="44"/>
        </w:rPr>
        <w:t>委员会议事规则</w:t>
      </w:r>
      <w:bookmarkEnd w:id="72"/>
      <w:bookmarkEnd w:id="73"/>
      <w:bookmarkEnd w:id="74"/>
      <w:bookmarkEnd w:id="75"/>
      <w:bookmarkEnd w:id="76"/>
    </w:p>
    <w:p w14:paraId="54E7659E">
      <w:pPr>
        <w:ind w:left="630" w:leftChars="300" w:right="630" w:rightChars="300"/>
        <w:jc w:val="left"/>
        <w:rPr>
          <w:rFonts w:ascii="楷体" w:hAnsi="楷体" w:eastAsia="楷体"/>
          <w:kern w:val="44"/>
        </w:rPr>
      </w:pPr>
      <w:r>
        <w:rPr>
          <w:rFonts w:hint="eastAsia" w:ascii="楷体" w:hAnsi="楷体" w:eastAsia="楷体"/>
          <w:kern w:val="44"/>
        </w:rPr>
        <w:t>（1988年5月14日北京市第九届人民代表大会常务委员会第二次会议通过　1999年6月24日北京市第十一届人民代表大会常务委员会第十一次会议第一次修订　根据2001年8月3日北京市第十一届人民代表大会常务委员会第二十八次会议通过的《北京市人民代表大会常务委员会议事规则修正案》第二次修正　根据2007年3月30日北京市第十二届人民代表大会常务委员会第三十五次会议通过的《北京市人民代表大会常务委员会议事规则修正案》第三次修正　根据2010年12月23日北京市第十三届人民代表大会常务委员会第二十二次会议《关于修改部分地方性法规的决定》第四次修正）</w:t>
      </w:r>
    </w:p>
    <w:p w14:paraId="39C05C69">
      <w:pPr>
        <w:ind w:left="630" w:leftChars="300" w:right="630" w:rightChars="300"/>
        <w:jc w:val="left"/>
        <w:rPr>
          <w:rFonts w:ascii="楷体" w:hAnsi="楷体" w:eastAsia="楷体"/>
          <w:kern w:val="44"/>
        </w:rPr>
      </w:pPr>
    </w:p>
    <w:p w14:paraId="4C70521D">
      <w:pPr>
        <w:ind w:firstLine="0" w:firstLineChars="0"/>
        <w:jc w:val="center"/>
        <w:rPr>
          <w:rFonts w:ascii="宋体" w:hAnsi="宋体"/>
          <w:b/>
          <w:kern w:val="44"/>
          <w:sz w:val="28"/>
        </w:rPr>
      </w:pPr>
      <w:r>
        <w:rPr>
          <w:rFonts w:hint="eastAsia" w:ascii="宋体" w:hAnsi="宋体"/>
          <w:b/>
          <w:kern w:val="44"/>
          <w:sz w:val="28"/>
        </w:rPr>
        <w:t>第一章　总　则</w:t>
      </w:r>
    </w:p>
    <w:p w14:paraId="75FCDFAA">
      <w:pPr>
        <w:jc w:val="left"/>
        <w:rPr>
          <w:rFonts w:ascii="宋体" w:hAnsi="宋体"/>
          <w:kern w:val="44"/>
        </w:rPr>
      </w:pPr>
    </w:p>
    <w:p w14:paraId="3A05A15A">
      <w:pPr>
        <w:ind w:firstLine="422"/>
        <w:jc w:val="left"/>
        <w:rPr>
          <w:rFonts w:ascii="宋体" w:hAnsi="宋体"/>
          <w:kern w:val="44"/>
        </w:rPr>
      </w:pPr>
      <w:r>
        <w:rPr>
          <w:rFonts w:hint="eastAsia" w:ascii="宋体" w:hAnsi="宋体"/>
          <w:b/>
          <w:kern w:val="44"/>
        </w:rPr>
        <w:t>第一条</w:t>
      </w:r>
      <w:r>
        <w:rPr>
          <w:rFonts w:hint="eastAsia" w:ascii="宋体" w:hAnsi="宋体"/>
          <w:kern w:val="44"/>
        </w:rPr>
        <w:t>　根据宪法、地方各级人民代表大会和地方各级人民政府组织法，结合北京市人民代表大会常务委员会（ 以下简称常务委员会 ）工作的实践经验，制定本议事规则。</w:t>
      </w:r>
    </w:p>
    <w:p w14:paraId="5DA89B82">
      <w:pPr>
        <w:ind w:firstLine="422"/>
        <w:jc w:val="left"/>
        <w:rPr>
          <w:rFonts w:ascii="宋体" w:hAnsi="宋体"/>
          <w:kern w:val="44"/>
        </w:rPr>
      </w:pPr>
      <w:r>
        <w:rPr>
          <w:rFonts w:hint="eastAsia" w:ascii="宋体" w:hAnsi="宋体"/>
          <w:b/>
          <w:kern w:val="44"/>
        </w:rPr>
        <w:t>第二条</w:t>
      </w:r>
      <w:r>
        <w:rPr>
          <w:rFonts w:hint="eastAsia" w:ascii="宋体" w:hAnsi="宋体"/>
          <w:kern w:val="44"/>
        </w:rPr>
        <w:t>　常务委员会审议议案、决定问题，应当充分发扬民主，实行民主集中制的原则。</w:t>
      </w:r>
    </w:p>
    <w:p w14:paraId="7084DF94">
      <w:pPr>
        <w:jc w:val="left"/>
        <w:rPr>
          <w:rFonts w:ascii="宋体" w:hAnsi="宋体"/>
          <w:kern w:val="44"/>
        </w:rPr>
      </w:pPr>
      <w:r>
        <w:rPr>
          <w:rFonts w:hint="eastAsia" w:ascii="宋体" w:hAnsi="宋体"/>
          <w:kern w:val="44"/>
        </w:rPr>
        <w:t>常务委员会组成人员应当依法履行职责，参加集体行使职权的活动。</w:t>
      </w:r>
    </w:p>
    <w:p w14:paraId="39F94211">
      <w:pPr>
        <w:jc w:val="left"/>
        <w:rPr>
          <w:rFonts w:ascii="宋体" w:hAnsi="宋体"/>
          <w:kern w:val="44"/>
        </w:rPr>
      </w:pPr>
    </w:p>
    <w:p w14:paraId="0AF87970">
      <w:pPr>
        <w:ind w:firstLine="0" w:firstLineChars="0"/>
        <w:jc w:val="center"/>
        <w:rPr>
          <w:rFonts w:ascii="宋体" w:hAnsi="宋体"/>
          <w:b/>
          <w:kern w:val="44"/>
          <w:sz w:val="28"/>
        </w:rPr>
      </w:pPr>
      <w:r>
        <w:rPr>
          <w:rFonts w:hint="eastAsia" w:ascii="宋体" w:hAnsi="宋体"/>
          <w:b/>
          <w:kern w:val="44"/>
          <w:sz w:val="28"/>
        </w:rPr>
        <w:t>第二章　会议的召开</w:t>
      </w:r>
    </w:p>
    <w:p w14:paraId="455D4D01">
      <w:pPr>
        <w:jc w:val="left"/>
        <w:rPr>
          <w:rFonts w:ascii="宋体" w:hAnsi="宋体"/>
          <w:kern w:val="44"/>
        </w:rPr>
      </w:pPr>
    </w:p>
    <w:p w14:paraId="63254ECC">
      <w:pPr>
        <w:ind w:firstLine="422"/>
        <w:jc w:val="left"/>
        <w:rPr>
          <w:rFonts w:ascii="宋体" w:hAnsi="宋体"/>
          <w:kern w:val="44"/>
        </w:rPr>
      </w:pPr>
      <w:r>
        <w:rPr>
          <w:rFonts w:hint="eastAsia" w:ascii="宋体" w:hAnsi="宋体"/>
          <w:b/>
          <w:kern w:val="44"/>
        </w:rPr>
        <w:t>第三条</w:t>
      </w:r>
      <w:r>
        <w:rPr>
          <w:rFonts w:hint="eastAsia" w:ascii="宋体" w:hAnsi="宋体"/>
          <w:kern w:val="44"/>
        </w:rPr>
        <w:t>　常务委员会会议每两个月至少举行一次。</w:t>
      </w:r>
    </w:p>
    <w:p w14:paraId="52EEB598">
      <w:pPr>
        <w:jc w:val="left"/>
        <w:rPr>
          <w:rFonts w:ascii="宋体" w:hAnsi="宋体"/>
          <w:kern w:val="44"/>
        </w:rPr>
      </w:pPr>
      <w:r>
        <w:rPr>
          <w:rFonts w:hint="eastAsia" w:ascii="宋体" w:hAnsi="宋体"/>
          <w:kern w:val="44"/>
        </w:rPr>
        <w:t>常务委员会会议由主任召集并主持，主任可以委托副主任主持会议。</w:t>
      </w:r>
    </w:p>
    <w:p w14:paraId="160209AB">
      <w:pPr>
        <w:ind w:firstLine="422"/>
        <w:jc w:val="left"/>
        <w:rPr>
          <w:rFonts w:ascii="宋体" w:hAnsi="宋体"/>
          <w:kern w:val="44"/>
        </w:rPr>
      </w:pPr>
      <w:r>
        <w:rPr>
          <w:rFonts w:hint="eastAsia" w:ascii="宋体" w:hAnsi="宋体"/>
          <w:b/>
          <w:kern w:val="44"/>
        </w:rPr>
        <w:t>第四条</w:t>
      </w:r>
      <w:r>
        <w:rPr>
          <w:rFonts w:hint="eastAsia" w:ascii="宋体" w:hAnsi="宋体"/>
          <w:kern w:val="44"/>
        </w:rPr>
        <w:t>　常务委员会会议的开会日期由主任会议决定。主任会议拟定会议议程草案，提请常务委员会会议通过。</w:t>
      </w:r>
    </w:p>
    <w:p w14:paraId="1037F072">
      <w:pPr>
        <w:jc w:val="left"/>
        <w:rPr>
          <w:rFonts w:ascii="宋体" w:hAnsi="宋体"/>
          <w:kern w:val="44"/>
        </w:rPr>
      </w:pPr>
      <w:r>
        <w:rPr>
          <w:rFonts w:hint="eastAsia" w:ascii="宋体" w:hAnsi="宋体"/>
          <w:kern w:val="44"/>
        </w:rPr>
        <w:t>常务委员会会议期间，需要临时调整议程，由主任或者主任会议提请常务委员会会议决定。</w:t>
      </w:r>
    </w:p>
    <w:p w14:paraId="0CFA12A1">
      <w:pPr>
        <w:ind w:firstLine="422"/>
        <w:jc w:val="left"/>
        <w:rPr>
          <w:rFonts w:ascii="宋体" w:hAnsi="宋体"/>
          <w:kern w:val="44"/>
        </w:rPr>
      </w:pPr>
      <w:r>
        <w:rPr>
          <w:rFonts w:hint="eastAsia" w:ascii="宋体" w:hAnsi="宋体"/>
          <w:b/>
          <w:kern w:val="44"/>
        </w:rPr>
        <w:t>第五条</w:t>
      </w:r>
      <w:r>
        <w:rPr>
          <w:rFonts w:hint="eastAsia" w:ascii="宋体" w:hAnsi="宋体"/>
          <w:kern w:val="44"/>
        </w:rPr>
        <w:t>　常务委员会举行会议，应当于会议举行7日前，将开会日期、建议会议讨论的主要事项通知常务委员会组成人员，并将会议准备审议的主要文件同时送达。</w:t>
      </w:r>
    </w:p>
    <w:p w14:paraId="535916CC">
      <w:pPr>
        <w:jc w:val="left"/>
        <w:rPr>
          <w:rFonts w:ascii="宋体" w:hAnsi="宋体"/>
          <w:kern w:val="44"/>
        </w:rPr>
      </w:pPr>
      <w:r>
        <w:rPr>
          <w:rFonts w:hint="eastAsia" w:ascii="宋体" w:hAnsi="宋体"/>
          <w:kern w:val="44"/>
        </w:rPr>
        <w:t>临时召集的会议，可以临时通知。</w:t>
      </w:r>
    </w:p>
    <w:p w14:paraId="15178BE6">
      <w:pPr>
        <w:ind w:firstLine="422"/>
        <w:jc w:val="left"/>
        <w:rPr>
          <w:rFonts w:ascii="宋体" w:hAnsi="宋体"/>
          <w:kern w:val="44"/>
        </w:rPr>
      </w:pPr>
      <w:r>
        <w:rPr>
          <w:rFonts w:hint="eastAsia" w:ascii="宋体" w:hAnsi="宋体"/>
          <w:b/>
          <w:kern w:val="44"/>
        </w:rPr>
        <w:t>第六条</w:t>
      </w:r>
      <w:r>
        <w:rPr>
          <w:rFonts w:hint="eastAsia" w:ascii="宋体" w:hAnsi="宋体"/>
          <w:kern w:val="44"/>
        </w:rPr>
        <w:t>　常务委员会组成人员必须出席常务委员会会议。因病或者其他特殊原因不能出席会议的，应当由本人向常务委员会主任或者秘书长请假。</w:t>
      </w:r>
    </w:p>
    <w:p w14:paraId="28C0AA65">
      <w:pPr>
        <w:jc w:val="left"/>
        <w:rPr>
          <w:rFonts w:ascii="宋体" w:hAnsi="宋体"/>
          <w:kern w:val="44"/>
        </w:rPr>
      </w:pPr>
      <w:r>
        <w:rPr>
          <w:rFonts w:hint="eastAsia" w:ascii="宋体" w:hAnsi="宋体"/>
          <w:kern w:val="44"/>
        </w:rPr>
        <w:t>常务委员会组成人员在会议举行前，应当阅读会议文件，准备审议意见。</w:t>
      </w:r>
    </w:p>
    <w:p w14:paraId="5CCBC9B4">
      <w:pPr>
        <w:ind w:firstLine="422"/>
        <w:jc w:val="left"/>
        <w:rPr>
          <w:rFonts w:ascii="宋体" w:hAnsi="宋体"/>
          <w:kern w:val="44"/>
        </w:rPr>
      </w:pPr>
      <w:r>
        <w:rPr>
          <w:rFonts w:hint="eastAsia" w:ascii="宋体" w:hAnsi="宋体"/>
          <w:b/>
          <w:kern w:val="44"/>
        </w:rPr>
        <w:t>第七条</w:t>
      </w:r>
      <w:r>
        <w:rPr>
          <w:rFonts w:hint="eastAsia" w:ascii="宋体" w:hAnsi="宋体"/>
          <w:kern w:val="44"/>
        </w:rPr>
        <w:t>　常务委员会会议必须有常务委员会全体组成人员的过半数出席，方能举行。</w:t>
      </w:r>
    </w:p>
    <w:p w14:paraId="4D22D2E0">
      <w:pPr>
        <w:ind w:firstLine="422"/>
        <w:jc w:val="left"/>
        <w:rPr>
          <w:rFonts w:ascii="宋体" w:hAnsi="宋体"/>
          <w:kern w:val="44"/>
        </w:rPr>
      </w:pPr>
      <w:r>
        <w:rPr>
          <w:rFonts w:hint="eastAsia" w:ascii="宋体" w:hAnsi="宋体"/>
          <w:b/>
          <w:kern w:val="44"/>
        </w:rPr>
        <w:t>第八条</w:t>
      </w:r>
      <w:r>
        <w:rPr>
          <w:rFonts w:hint="eastAsia" w:ascii="宋体" w:hAnsi="宋体"/>
          <w:kern w:val="44"/>
        </w:rPr>
        <w:t>　常务委员会会议以组成人员全体会议的形式举行，根据审议议题的需要，也可以举行分组会议。</w:t>
      </w:r>
    </w:p>
    <w:p w14:paraId="25D03FC4">
      <w:pPr>
        <w:ind w:firstLine="422"/>
        <w:jc w:val="left"/>
        <w:rPr>
          <w:rFonts w:ascii="宋体" w:hAnsi="宋体"/>
          <w:kern w:val="44"/>
        </w:rPr>
      </w:pPr>
      <w:r>
        <w:rPr>
          <w:rFonts w:hint="eastAsia" w:ascii="宋体" w:hAnsi="宋体"/>
          <w:b/>
          <w:kern w:val="44"/>
        </w:rPr>
        <w:t>第九条</w:t>
      </w:r>
      <w:r>
        <w:rPr>
          <w:rFonts w:hint="eastAsia" w:ascii="宋体" w:hAnsi="宋体"/>
          <w:kern w:val="44"/>
        </w:rPr>
        <w:t>　常务委员会举行会议的时候，市人民政府、市高级人民法院和市人民检察院的负责人列席会议。</w:t>
      </w:r>
    </w:p>
    <w:p w14:paraId="35D9FBF6">
      <w:pPr>
        <w:jc w:val="left"/>
        <w:rPr>
          <w:rFonts w:ascii="宋体" w:hAnsi="宋体"/>
          <w:kern w:val="44"/>
        </w:rPr>
      </w:pPr>
      <w:r>
        <w:rPr>
          <w:rFonts w:hint="eastAsia" w:ascii="宋体" w:hAnsi="宋体"/>
          <w:kern w:val="44"/>
        </w:rPr>
        <w:t>不是常务委员会组成人员的市人民代表大会专门委员会组成人员、常务委员会副秘书长、各工作机构的负责人列席会议。</w:t>
      </w:r>
    </w:p>
    <w:p w14:paraId="4CCC48D0">
      <w:pPr>
        <w:jc w:val="left"/>
        <w:rPr>
          <w:rFonts w:ascii="宋体" w:hAnsi="宋体"/>
          <w:kern w:val="44"/>
        </w:rPr>
      </w:pPr>
      <w:r>
        <w:rPr>
          <w:rFonts w:hint="eastAsia" w:ascii="宋体" w:hAnsi="宋体"/>
          <w:kern w:val="44"/>
        </w:rPr>
        <w:t>各区、县人民代表大会常务委员会主任或者副主任1人列席会议。</w:t>
      </w:r>
    </w:p>
    <w:p w14:paraId="36123824">
      <w:pPr>
        <w:jc w:val="left"/>
        <w:rPr>
          <w:rFonts w:ascii="宋体" w:hAnsi="宋体"/>
          <w:kern w:val="44"/>
        </w:rPr>
      </w:pPr>
      <w:r>
        <w:rPr>
          <w:rFonts w:hint="eastAsia" w:ascii="宋体" w:hAnsi="宋体"/>
          <w:kern w:val="44"/>
        </w:rPr>
        <w:t>根据会议议程，可以邀请有关的市人大代表，市人民政府有关部门负责人，市第一、第二中级人民法院和市人民检察院第一、第二分院的负责人及其他有关人员列席会议。</w:t>
      </w:r>
    </w:p>
    <w:p w14:paraId="27639998">
      <w:pPr>
        <w:ind w:firstLine="422"/>
        <w:jc w:val="left"/>
        <w:rPr>
          <w:rFonts w:ascii="宋体" w:hAnsi="宋体"/>
          <w:kern w:val="44"/>
        </w:rPr>
      </w:pPr>
      <w:r>
        <w:rPr>
          <w:rFonts w:hint="eastAsia" w:ascii="宋体" w:hAnsi="宋体"/>
          <w:b/>
          <w:kern w:val="44"/>
        </w:rPr>
        <w:t>第十条</w:t>
      </w:r>
      <w:r>
        <w:rPr>
          <w:rFonts w:hint="eastAsia" w:ascii="宋体" w:hAnsi="宋体"/>
          <w:kern w:val="44"/>
        </w:rPr>
        <w:t>　常务委员会举行会议的时候，经主任会议决定，可以允许本市公民旁听会议。</w:t>
      </w:r>
    </w:p>
    <w:p w14:paraId="59D36AA3">
      <w:pPr>
        <w:jc w:val="left"/>
        <w:rPr>
          <w:rFonts w:ascii="宋体" w:hAnsi="宋体"/>
          <w:kern w:val="44"/>
        </w:rPr>
      </w:pPr>
    </w:p>
    <w:p w14:paraId="103F235E">
      <w:pPr>
        <w:ind w:firstLine="0" w:firstLineChars="0"/>
        <w:jc w:val="center"/>
        <w:rPr>
          <w:rFonts w:ascii="宋体" w:hAnsi="宋体"/>
          <w:b/>
          <w:kern w:val="44"/>
          <w:sz w:val="28"/>
        </w:rPr>
      </w:pPr>
      <w:r>
        <w:rPr>
          <w:rFonts w:hint="eastAsia" w:ascii="宋体" w:hAnsi="宋体"/>
          <w:b/>
          <w:kern w:val="44"/>
          <w:sz w:val="28"/>
        </w:rPr>
        <w:t>第三章　议案的提出和审议</w:t>
      </w:r>
    </w:p>
    <w:p w14:paraId="4510CAE1">
      <w:pPr>
        <w:jc w:val="left"/>
        <w:rPr>
          <w:rFonts w:ascii="宋体" w:hAnsi="宋体"/>
          <w:kern w:val="44"/>
        </w:rPr>
      </w:pPr>
    </w:p>
    <w:p w14:paraId="248532AB">
      <w:pPr>
        <w:ind w:firstLine="422"/>
        <w:jc w:val="left"/>
        <w:rPr>
          <w:rFonts w:ascii="宋体" w:hAnsi="宋体"/>
          <w:kern w:val="44"/>
        </w:rPr>
      </w:pPr>
      <w:r>
        <w:rPr>
          <w:rFonts w:hint="eastAsia" w:ascii="宋体" w:hAnsi="宋体"/>
          <w:b/>
          <w:kern w:val="44"/>
        </w:rPr>
        <w:t>第十一条</w:t>
      </w:r>
      <w:r>
        <w:rPr>
          <w:rFonts w:hint="eastAsia" w:ascii="宋体" w:hAnsi="宋体"/>
          <w:kern w:val="44"/>
        </w:rPr>
        <w:t>　主任会议可以向常务委员会提出属于常务委员会职权范围内的议案，由常务委员会会议审议。</w:t>
      </w:r>
    </w:p>
    <w:p w14:paraId="06610C41">
      <w:pPr>
        <w:jc w:val="left"/>
        <w:rPr>
          <w:rFonts w:ascii="宋体" w:hAnsi="宋体"/>
          <w:kern w:val="44"/>
        </w:rPr>
      </w:pPr>
      <w:r>
        <w:rPr>
          <w:rFonts w:hint="eastAsia" w:ascii="宋体" w:hAnsi="宋体"/>
          <w:kern w:val="44"/>
        </w:rPr>
        <w:t>市人民政府、市人民代表大会专门委员会，可以向常务委员会提出属于常务委员会职权范围内的议案，由主任会议决定提请常务委员会会议审议；或者先交有关的专门委员会、常务委员会有关工作机构研究，提出意见，再提请常务委员会会议审议。</w:t>
      </w:r>
    </w:p>
    <w:p w14:paraId="7F4F157E">
      <w:pPr>
        <w:jc w:val="left"/>
        <w:rPr>
          <w:rFonts w:ascii="宋体" w:hAnsi="宋体"/>
          <w:kern w:val="44"/>
        </w:rPr>
      </w:pPr>
      <w:r>
        <w:rPr>
          <w:rFonts w:hint="eastAsia" w:ascii="宋体" w:hAnsi="宋体"/>
          <w:kern w:val="44"/>
        </w:rPr>
        <w:t>常务委员会组成人员5人以上联名，可以向常务委员会提出属于常务委员会职权范围内的议案，由主任会议决定是否提请常务委员会会议审议，或者先交有关的专门委员会、常务委员会有关工作机构研究，提出意见，再决定是否提请常务委员会会议审议；不提请常务委员会会议审议的，应当向提议案人说明，必要时向常务委员会会议报告。</w:t>
      </w:r>
    </w:p>
    <w:p w14:paraId="7B5D0FF1">
      <w:pPr>
        <w:ind w:firstLine="422"/>
        <w:jc w:val="left"/>
        <w:rPr>
          <w:rFonts w:ascii="宋体" w:hAnsi="宋体"/>
          <w:kern w:val="44"/>
        </w:rPr>
      </w:pPr>
      <w:r>
        <w:rPr>
          <w:rFonts w:hint="eastAsia" w:ascii="宋体" w:hAnsi="宋体"/>
          <w:b/>
          <w:kern w:val="44"/>
        </w:rPr>
        <w:t>第十二条</w:t>
      </w:r>
      <w:r>
        <w:rPr>
          <w:rFonts w:hint="eastAsia" w:ascii="宋体" w:hAnsi="宋体"/>
          <w:kern w:val="44"/>
        </w:rPr>
        <w:t>　常务委员会的工作机构受主任会议委托，可以拟定议案草案，并向常务委员会会议作说明。</w:t>
      </w:r>
    </w:p>
    <w:p w14:paraId="45F88992">
      <w:pPr>
        <w:ind w:firstLine="422"/>
        <w:jc w:val="left"/>
        <w:rPr>
          <w:rFonts w:ascii="宋体" w:hAnsi="宋体"/>
          <w:kern w:val="44"/>
        </w:rPr>
      </w:pPr>
      <w:r>
        <w:rPr>
          <w:rFonts w:hint="eastAsia" w:ascii="宋体" w:hAnsi="宋体"/>
          <w:b/>
          <w:kern w:val="44"/>
        </w:rPr>
        <w:t>第十三条</w:t>
      </w:r>
      <w:r>
        <w:rPr>
          <w:rFonts w:hint="eastAsia" w:ascii="宋体" w:hAnsi="宋体"/>
          <w:kern w:val="44"/>
        </w:rPr>
        <w:t>　议案的提出，必须用书面形式，写明议题、理由和解决的方案。</w:t>
      </w:r>
    </w:p>
    <w:p w14:paraId="6D392FFF">
      <w:pPr>
        <w:ind w:firstLine="422"/>
        <w:jc w:val="left"/>
        <w:rPr>
          <w:rFonts w:ascii="宋体" w:hAnsi="宋体"/>
          <w:kern w:val="44"/>
        </w:rPr>
      </w:pPr>
      <w:r>
        <w:rPr>
          <w:rFonts w:hint="eastAsia" w:ascii="宋体" w:hAnsi="宋体"/>
          <w:b/>
          <w:kern w:val="44"/>
        </w:rPr>
        <w:t>第十四条</w:t>
      </w:r>
      <w:r>
        <w:rPr>
          <w:rFonts w:hint="eastAsia" w:ascii="宋体" w:hAnsi="宋体"/>
          <w:kern w:val="44"/>
        </w:rPr>
        <w:t>　对列入常务委员会会议议程的议案，提议案的机关或者提议案人、有关的专门委员会及常务委员会有关工作机构应当提供有关资料。</w:t>
      </w:r>
    </w:p>
    <w:p w14:paraId="6EA57541">
      <w:pPr>
        <w:ind w:firstLine="422"/>
        <w:jc w:val="left"/>
        <w:rPr>
          <w:rFonts w:ascii="宋体" w:hAnsi="宋体"/>
          <w:kern w:val="44"/>
        </w:rPr>
      </w:pPr>
      <w:r>
        <w:rPr>
          <w:rFonts w:hint="eastAsia" w:ascii="宋体" w:hAnsi="宋体"/>
          <w:b/>
          <w:kern w:val="44"/>
        </w:rPr>
        <w:t>第十五条</w:t>
      </w:r>
      <w:r>
        <w:rPr>
          <w:rFonts w:hint="eastAsia" w:ascii="宋体" w:hAnsi="宋体"/>
          <w:kern w:val="44"/>
        </w:rPr>
        <w:t>　常务委员会会议审议议案的时候，听取关于议案的说明。有关机关的主要负责人应当到会，听取意见，回答询问。</w:t>
      </w:r>
    </w:p>
    <w:p w14:paraId="3B104A2A">
      <w:pPr>
        <w:jc w:val="left"/>
        <w:rPr>
          <w:rFonts w:ascii="宋体" w:hAnsi="宋体"/>
          <w:kern w:val="44"/>
        </w:rPr>
      </w:pPr>
      <w:r>
        <w:rPr>
          <w:rFonts w:hint="eastAsia" w:ascii="宋体" w:hAnsi="宋体"/>
          <w:kern w:val="44"/>
        </w:rPr>
        <w:t>提议案机关或者提议案人可以对议案作补充说明。</w:t>
      </w:r>
    </w:p>
    <w:p w14:paraId="751F5847">
      <w:pPr>
        <w:ind w:firstLine="422"/>
        <w:jc w:val="left"/>
        <w:rPr>
          <w:rFonts w:ascii="宋体" w:hAnsi="宋体"/>
          <w:kern w:val="44"/>
        </w:rPr>
      </w:pPr>
      <w:r>
        <w:rPr>
          <w:rFonts w:hint="eastAsia" w:ascii="宋体" w:hAnsi="宋体"/>
          <w:b/>
          <w:kern w:val="44"/>
        </w:rPr>
        <w:t>第十六条</w:t>
      </w:r>
      <w:r>
        <w:rPr>
          <w:rFonts w:hint="eastAsia" w:ascii="宋体" w:hAnsi="宋体"/>
          <w:kern w:val="44"/>
        </w:rPr>
        <w:t>　地方性法规案的提出、审议和表决，按照《北京市制定地方性法规条例》的规定办理。</w:t>
      </w:r>
    </w:p>
    <w:p w14:paraId="7F599474">
      <w:pPr>
        <w:ind w:firstLine="422"/>
        <w:jc w:val="left"/>
        <w:rPr>
          <w:rFonts w:ascii="宋体" w:hAnsi="宋体"/>
          <w:kern w:val="44"/>
        </w:rPr>
      </w:pPr>
      <w:r>
        <w:rPr>
          <w:rFonts w:hint="eastAsia" w:ascii="宋体" w:hAnsi="宋体"/>
          <w:b/>
          <w:kern w:val="44"/>
        </w:rPr>
        <w:t>第十七条</w:t>
      </w:r>
      <w:r>
        <w:rPr>
          <w:rFonts w:hint="eastAsia" w:ascii="宋体" w:hAnsi="宋体"/>
          <w:kern w:val="44"/>
        </w:rPr>
        <w:t>　常务委员会会议审议任免案，撤销职务案，罢免案，撤销不适当的决议、决定和命令案的时候，提议案的机关或者提议案人应当说明理由和介绍情况，并回答询问。</w:t>
      </w:r>
    </w:p>
    <w:p w14:paraId="303B0754">
      <w:pPr>
        <w:jc w:val="left"/>
        <w:rPr>
          <w:rFonts w:ascii="宋体" w:hAnsi="宋体"/>
          <w:kern w:val="44"/>
        </w:rPr>
      </w:pPr>
      <w:r>
        <w:rPr>
          <w:rFonts w:hint="eastAsia" w:ascii="宋体" w:hAnsi="宋体"/>
          <w:kern w:val="44"/>
        </w:rPr>
        <w:t>被撤职、罢免的人员，被撤销决议、决定和命令的机关负责人，可以到会申诉或者提出书面申诉意见。</w:t>
      </w:r>
    </w:p>
    <w:p w14:paraId="0A0A6F61">
      <w:pPr>
        <w:ind w:firstLine="422"/>
        <w:jc w:val="left"/>
        <w:rPr>
          <w:rFonts w:ascii="宋体" w:hAnsi="宋体"/>
          <w:kern w:val="44"/>
        </w:rPr>
      </w:pPr>
      <w:r>
        <w:rPr>
          <w:rFonts w:hint="eastAsia" w:ascii="宋体" w:hAnsi="宋体"/>
          <w:b/>
          <w:kern w:val="44"/>
        </w:rPr>
        <w:t>第十八条</w:t>
      </w:r>
      <w:r>
        <w:rPr>
          <w:rFonts w:hint="eastAsia" w:ascii="宋体" w:hAnsi="宋体"/>
          <w:kern w:val="44"/>
        </w:rPr>
        <w:t>　常务委员会会议审议议案遇有重大问题需要进一步研究的，经主任会议提出、全体会议同意，可以交专门委员会进一步审议、提出审议报告，或者交有关机关、常务委员会有关工作机构进行研究，提出报告，再由常务委员会会议审议。</w:t>
      </w:r>
    </w:p>
    <w:p w14:paraId="05C7D022">
      <w:pPr>
        <w:ind w:firstLine="422"/>
        <w:jc w:val="left"/>
        <w:rPr>
          <w:rFonts w:ascii="宋体" w:hAnsi="宋体"/>
          <w:kern w:val="44"/>
        </w:rPr>
      </w:pPr>
      <w:r>
        <w:rPr>
          <w:rFonts w:hint="eastAsia" w:ascii="宋体" w:hAnsi="宋体"/>
          <w:b/>
          <w:kern w:val="44"/>
        </w:rPr>
        <w:t>第十九条</w:t>
      </w:r>
      <w:r>
        <w:rPr>
          <w:rFonts w:hint="eastAsia" w:ascii="宋体" w:hAnsi="宋体"/>
          <w:kern w:val="44"/>
        </w:rPr>
        <w:t>　主任会议、市人民代表大会专门委员会、提议案的机关或者常务委员会组成人员5人以上联名，可以对准备表决的议案提出修正案。</w:t>
      </w:r>
    </w:p>
    <w:p w14:paraId="32509747">
      <w:pPr>
        <w:jc w:val="left"/>
        <w:rPr>
          <w:rFonts w:ascii="宋体" w:hAnsi="宋体"/>
          <w:kern w:val="44"/>
        </w:rPr>
      </w:pPr>
      <w:r>
        <w:rPr>
          <w:rFonts w:hint="eastAsia" w:ascii="宋体" w:hAnsi="宋体"/>
          <w:kern w:val="44"/>
        </w:rPr>
        <w:t>修正案必须用书面形式，在议案交付表决前一天提出，并附有修正案草案。</w:t>
      </w:r>
    </w:p>
    <w:p w14:paraId="3105C58E">
      <w:pPr>
        <w:ind w:firstLine="422"/>
        <w:jc w:val="left"/>
        <w:rPr>
          <w:rFonts w:ascii="宋体" w:hAnsi="宋体"/>
          <w:kern w:val="44"/>
        </w:rPr>
      </w:pPr>
      <w:r>
        <w:rPr>
          <w:rFonts w:hint="eastAsia" w:ascii="宋体" w:hAnsi="宋体"/>
          <w:b/>
          <w:kern w:val="44"/>
        </w:rPr>
        <w:t>第二十条</w:t>
      </w:r>
      <w:r>
        <w:rPr>
          <w:rFonts w:hint="eastAsia" w:ascii="宋体" w:hAnsi="宋体"/>
          <w:kern w:val="44"/>
        </w:rPr>
        <w:t>　列入常务委员会会议议程的议案，在交付表决前，提议案的机关或者提议案人要求撤回的，经主任会议同意，对该议案的审议即行终止。</w:t>
      </w:r>
    </w:p>
    <w:p w14:paraId="3168A0A0">
      <w:pPr>
        <w:ind w:firstLine="422"/>
        <w:jc w:val="left"/>
        <w:rPr>
          <w:rFonts w:ascii="宋体" w:hAnsi="宋体"/>
          <w:kern w:val="44"/>
        </w:rPr>
      </w:pPr>
      <w:r>
        <w:rPr>
          <w:rFonts w:hint="eastAsia" w:ascii="宋体" w:hAnsi="宋体"/>
          <w:b/>
          <w:kern w:val="44"/>
        </w:rPr>
        <w:t>第二十一条</w:t>
      </w:r>
      <w:r>
        <w:rPr>
          <w:rFonts w:hint="eastAsia" w:ascii="宋体" w:hAnsi="宋体"/>
          <w:kern w:val="44"/>
        </w:rPr>
        <w:t>　常务委员会认为必要时，可以组织关于特定问题的调查委员会，并且根据调查委员会的报告，作出相应的决议。</w:t>
      </w:r>
    </w:p>
    <w:p w14:paraId="1E0D8642">
      <w:pPr>
        <w:jc w:val="left"/>
        <w:rPr>
          <w:rFonts w:ascii="宋体" w:hAnsi="宋体"/>
          <w:kern w:val="44"/>
        </w:rPr>
      </w:pPr>
    </w:p>
    <w:p w14:paraId="5DB6AF37">
      <w:pPr>
        <w:ind w:firstLine="0" w:firstLineChars="0"/>
        <w:jc w:val="center"/>
        <w:rPr>
          <w:rFonts w:ascii="宋体" w:hAnsi="宋体"/>
          <w:b/>
          <w:kern w:val="44"/>
          <w:sz w:val="28"/>
        </w:rPr>
      </w:pPr>
      <w:r>
        <w:rPr>
          <w:rFonts w:hint="eastAsia" w:ascii="宋体" w:hAnsi="宋体"/>
          <w:b/>
          <w:kern w:val="44"/>
          <w:sz w:val="28"/>
        </w:rPr>
        <w:t>第四章　听取和审议工作报告</w:t>
      </w:r>
    </w:p>
    <w:p w14:paraId="626F0FF9">
      <w:pPr>
        <w:jc w:val="left"/>
        <w:rPr>
          <w:rFonts w:ascii="宋体" w:hAnsi="宋体"/>
          <w:kern w:val="44"/>
        </w:rPr>
      </w:pPr>
    </w:p>
    <w:p w14:paraId="24894777">
      <w:pPr>
        <w:ind w:firstLine="422"/>
        <w:jc w:val="left"/>
        <w:rPr>
          <w:rFonts w:ascii="宋体" w:hAnsi="宋体"/>
          <w:kern w:val="44"/>
        </w:rPr>
      </w:pPr>
      <w:r>
        <w:rPr>
          <w:rFonts w:hint="eastAsia" w:ascii="宋体" w:hAnsi="宋体"/>
          <w:b/>
          <w:kern w:val="44"/>
        </w:rPr>
        <w:t>第二十二条</w:t>
      </w:r>
      <w:r>
        <w:rPr>
          <w:rFonts w:hint="eastAsia" w:ascii="宋体" w:hAnsi="宋体"/>
          <w:kern w:val="44"/>
        </w:rPr>
        <w:t>　常务委员会会议听取和审议市人民政府、市高级人民法院、市人民检察院工作报告的时候，应当由报告机关的主要负责人到会作报告，听取意见，回答询问。</w:t>
      </w:r>
    </w:p>
    <w:p w14:paraId="6462256B">
      <w:pPr>
        <w:ind w:firstLine="422"/>
        <w:jc w:val="left"/>
        <w:rPr>
          <w:rFonts w:ascii="宋体" w:hAnsi="宋体"/>
          <w:kern w:val="44"/>
        </w:rPr>
      </w:pPr>
      <w:r>
        <w:rPr>
          <w:rFonts w:hint="eastAsia" w:ascii="宋体" w:hAnsi="宋体"/>
          <w:b/>
          <w:kern w:val="44"/>
        </w:rPr>
        <w:t>第二十三条</w:t>
      </w:r>
      <w:r>
        <w:rPr>
          <w:rFonts w:hint="eastAsia" w:ascii="宋体" w:hAnsi="宋体"/>
          <w:kern w:val="44"/>
        </w:rPr>
        <w:t>　市人民政府、市高级人民法院或者市人民检察院应当在常务委员会举行会议的20日前，由其办事机构将专项工作报告送交市人民代表大会有关专门委员会或者常务委员会有关工作机构征求意见；市人民政府、市高级人民法院或者市人民检察院对报告修改后，在常务委员会举行会议的10日前送交常务委员会。</w:t>
      </w:r>
    </w:p>
    <w:p w14:paraId="1EF74ED6">
      <w:pPr>
        <w:ind w:firstLine="422"/>
        <w:jc w:val="left"/>
        <w:rPr>
          <w:rFonts w:ascii="宋体" w:hAnsi="宋体"/>
          <w:kern w:val="44"/>
        </w:rPr>
      </w:pPr>
      <w:r>
        <w:rPr>
          <w:rFonts w:hint="eastAsia" w:ascii="宋体" w:hAnsi="宋体"/>
          <w:b/>
          <w:kern w:val="44"/>
        </w:rPr>
        <w:t>第二十四条</w:t>
      </w:r>
      <w:r>
        <w:rPr>
          <w:rFonts w:hint="eastAsia" w:ascii="宋体" w:hAnsi="宋体"/>
          <w:kern w:val="44"/>
        </w:rPr>
        <w:t>　常务委员会认为必要时，可以对审议的报告作出决议。</w:t>
      </w:r>
    </w:p>
    <w:p w14:paraId="6F2B129C">
      <w:pPr>
        <w:ind w:firstLine="422"/>
        <w:jc w:val="left"/>
        <w:rPr>
          <w:rFonts w:ascii="宋体" w:hAnsi="宋体"/>
          <w:kern w:val="44"/>
        </w:rPr>
      </w:pPr>
      <w:r>
        <w:rPr>
          <w:rFonts w:hint="eastAsia" w:ascii="宋体" w:hAnsi="宋体"/>
          <w:b/>
          <w:kern w:val="44"/>
        </w:rPr>
        <w:t>第二十五条</w:t>
      </w:r>
      <w:r>
        <w:rPr>
          <w:rFonts w:hint="eastAsia" w:ascii="宋体" w:hAnsi="宋体"/>
          <w:kern w:val="44"/>
        </w:rPr>
        <w:t>　常务委员会组成人员对专项工作报告的审议意见，由常务委员会有关工作机构整理，经主管主任或者秘书长签发，由办公厅转交有关机关研究处理。有关机关应当于收到审议意见书后三个月内，将常务委员会审议意见的研究处理方案送交市人民代表大会有关专门委员会或者常务委员会有关工作机构；一年内，将审议意见的研究处理情况送交市人民代表大会有关专门委员会或者常务委员会有关工作机构征求意见，并向常务委员会提出书面报告。</w:t>
      </w:r>
    </w:p>
    <w:p w14:paraId="303B2942">
      <w:pPr>
        <w:jc w:val="left"/>
        <w:rPr>
          <w:rFonts w:ascii="宋体" w:hAnsi="宋体"/>
          <w:kern w:val="44"/>
        </w:rPr>
      </w:pPr>
      <w:r>
        <w:rPr>
          <w:rFonts w:hint="eastAsia" w:ascii="宋体" w:hAnsi="宋体"/>
          <w:kern w:val="44"/>
        </w:rPr>
        <w:t>常务委员会听取的专项工作报告及审议意见，市人民政府、市高级人民法院或者市人民检察院对审议意见研究处理情况或者执行决议情况的报告，由常务委员会的有关工作机构向市人民代表大会代表通报并向社会公布。</w:t>
      </w:r>
    </w:p>
    <w:p w14:paraId="09937E04">
      <w:pPr>
        <w:ind w:firstLine="422"/>
        <w:jc w:val="left"/>
        <w:rPr>
          <w:rFonts w:ascii="宋体" w:hAnsi="宋体"/>
          <w:kern w:val="44"/>
        </w:rPr>
      </w:pPr>
      <w:r>
        <w:rPr>
          <w:rFonts w:hint="eastAsia" w:ascii="宋体" w:hAnsi="宋体"/>
          <w:b/>
          <w:kern w:val="44"/>
        </w:rPr>
        <w:t>第二十六条</w:t>
      </w:r>
      <w:r>
        <w:rPr>
          <w:rFonts w:hint="eastAsia" w:ascii="宋体" w:hAnsi="宋体"/>
          <w:kern w:val="44"/>
        </w:rPr>
        <w:t>　常务委员会会议审议市人民代表大会主席团交付审议的议案办理情况的报告，应当邀请领衔提出议案的代表列席会议，并将审议结果向提出议案的代表团或者代表通报。</w:t>
      </w:r>
    </w:p>
    <w:p w14:paraId="72A9203B">
      <w:pPr>
        <w:ind w:firstLine="422"/>
        <w:jc w:val="left"/>
        <w:rPr>
          <w:rFonts w:ascii="宋体" w:hAnsi="宋体"/>
          <w:kern w:val="44"/>
        </w:rPr>
      </w:pPr>
      <w:r>
        <w:rPr>
          <w:rFonts w:hint="eastAsia" w:ascii="宋体" w:hAnsi="宋体"/>
          <w:b/>
          <w:kern w:val="44"/>
        </w:rPr>
        <w:t>第二十七条</w:t>
      </w:r>
      <w:r>
        <w:rPr>
          <w:rFonts w:hint="eastAsia" w:ascii="宋体" w:hAnsi="宋体"/>
          <w:kern w:val="44"/>
        </w:rPr>
        <w:t>　常务委员会组成人员对市人民代表大会主席团交付审议的议案办理情况的报告意见较多时，是否由报告机关在以后的常务委员会会议上作补充报告或者重新报告，由主任会议决定。</w:t>
      </w:r>
    </w:p>
    <w:p w14:paraId="7EA7B5A9">
      <w:pPr>
        <w:jc w:val="left"/>
        <w:rPr>
          <w:rFonts w:ascii="宋体" w:hAnsi="宋体"/>
          <w:kern w:val="44"/>
        </w:rPr>
      </w:pPr>
    </w:p>
    <w:p w14:paraId="40E09A34">
      <w:pPr>
        <w:ind w:firstLine="0" w:firstLineChars="0"/>
        <w:jc w:val="center"/>
        <w:rPr>
          <w:rFonts w:ascii="宋体" w:hAnsi="宋体"/>
          <w:b/>
          <w:kern w:val="44"/>
          <w:sz w:val="28"/>
        </w:rPr>
      </w:pPr>
      <w:r>
        <w:rPr>
          <w:rFonts w:hint="eastAsia" w:ascii="宋体" w:hAnsi="宋体"/>
          <w:b/>
          <w:kern w:val="44"/>
          <w:sz w:val="28"/>
        </w:rPr>
        <w:t>第五章　质  询</w:t>
      </w:r>
    </w:p>
    <w:p w14:paraId="565BC645">
      <w:pPr>
        <w:jc w:val="left"/>
        <w:rPr>
          <w:rFonts w:ascii="宋体" w:hAnsi="宋体"/>
          <w:kern w:val="44"/>
        </w:rPr>
      </w:pPr>
    </w:p>
    <w:p w14:paraId="4CD5DB29">
      <w:pPr>
        <w:ind w:firstLine="422"/>
        <w:jc w:val="left"/>
        <w:rPr>
          <w:rFonts w:ascii="宋体" w:hAnsi="宋体"/>
          <w:kern w:val="44"/>
        </w:rPr>
      </w:pPr>
      <w:r>
        <w:rPr>
          <w:rFonts w:hint="eastAsia" w:ascii="宋体" w:hAnsi="宋体"/>
          <w:b/>
          <w:kern w:val="44"/>
        </w:rPr>
        <w:t>第二十八条</w:t>
      </w:r>
      <w:r>
        <w:rPr>
          <w:rFonts w:hint="eastAsia" w:ascii="宋体" w:hAnsi="宋体"/>
          <w:kern w:val="44"/>
        </w:rPr>
        <w:t>　在常务委员会会议期间，常务委员会组成人员5人以上联名，可以书面提出对市人民政府及其所属工作部门，市高级人民法院和市第一、第二中级人民法院，市人民检察院和市人民检察院第一、第二分院的质询案。</w:t>
      </w:r>
    </w:p>
    <w:p w14:paraId="50D6A0D1">
      <w:pPr>
        <w:jc w:val="left"/>
        <w:rPr>
          <w:rFonts w:ascii="宋体" w:hAnsi="宋体"/>
          <w:kern w:val="44"/>
        </w:rPr>
      </w:pPr>
      <w:r>
        <w:rPr>
          <w:rFonts w:hint="eastAsia" w:ascii="宋体" w:hAnsi="宋体"/>
          <w:kern w:val="44"/>
        </w:rPr>
        <w:t>质询案必须写明质询对象、质询的问题和内容。</w:t>
      </w:r>
    </w:p>
    <w:p w14:paraId="122D31A0">
      <w:pPr>
        <w:ind w:firstLine="422"/>
        <w:jc w:val="left"/>
        <w:rPr>
          <w:rFonts w:ascii="宋体" w:hAnsi="宋体"/>
          <w:kern w:val="44"/>
        </w:rPr>
      </w:pPr>
      <w:r>
        <w:rPr>
          <w:rFonts w:hint="eastAsia" w:ascii="宋体" w:hAnsi="宋体"/>
          <w:b/>
          <w:kern w:val="44"/>
        </w:rPr>
        <w:t>第二十九条</w:t>
      </w:r>
      <w:r>
        <w:rPr>
          <w:rFonts w:hint="eastAsia" w:ascii="宋体" w:hAnsi="宋体"/>
          <w:kern w:val="44"/>
        </w:rPr>
        <w:t>　质询案由主任会议决定，交由受质询机关的负责人在常务委员会会议上或者有关的专门委员会会议上口头答复，或者交由受质询机关书面答复。在专门委员会会议上答复的，专门委员会应当向常务委员会或者主任会议提出报告。</w:t>
      </w:r>
    </w:p>
    <w:p w14:paraId="2F18433C">
      <w:pPr>
        <w:jc w:val="left"/>
        <w:rPr>
          <w:rFonts w:ascii="宋体" w:hAnsi="宋体"/>
          <w:kern w:val="44"/>
        </w:rPr>
      </w:pPr>
      <w:r>
        <w:rPr>
          <w:rFonts w:hint="eastAsia" w:ascii="宋体" w:hAnsi="宋体"/>
          <w:kern w:val="44"/>
        </w:rPr>
        <w:t>质询案以书面答复的，应当由受质询机关负责人签署，印发常务委员会组成人员和有关的专门委员会。</w:t>
      </w:r>
    </w:p>
    <w:p w14:paraId="4EB4D2B7">
      <w:pPr>
        <w:ind w:firstLine="422"/>
        <w:jc w:val="left"/>
        <w:rPr>
          <w:rFonts w:ascii="宋体" w:hAnsi="宋体"/>
          <w:kern w:val="44"/>
        </w:rPr>
      </w:pPr>
      <w:r>
        <w:rPr>
          <w:rFonts w:hint="eastAsia" w:ascii="宋体" w:hAnsi="宋体"/>
          <w:b/>
          <w:kern w:val="44"/>
        </w:rPr>
        <w:t>第三十条</w:t>
      </w:r>
      <w:r>
        <w:rPr>
          <w:rFonts w:hint="eastAsia" w:ascii="宋体" w:hAnsi="宋体"/>
          <w:kern w:val="44"/>
        </w:rPr>
        <w:t>　提质询案的常务委员会组成人员的过半数对受质询机关的答复不满意的，可以提出要求，经主任会议决定，由受质询机关再作答复。必要时，常务委员会会议可以作出决议，由受质询机关执行。</w:t>
      </w:r>
    </w:p>
    <w:p w14:paraId="62286CE2">
      <w:pPr>
        <w:ind w:firstLine="422"/>
        <w:jc w:val="left"/>
        <w:rPr>
          <w:rFonts w:ascii="宋体" w:hAnsi="宋体"/>
          <w:kern w:val="44"/>
        </w:rPr>
      </w:pPr>
      <w:r>
        <w:rPr>
          <w:rFonts w:hint="eastAsia" w:ascii="宋体" w:hAnsi="宋体"/>
          <w:b/>
          <w:kern w:val="44"/>
        </w:rPr>
        <w:t>第三十一条</w:t>
      </w:r>
      <w:r>
        <w:rPr>
          <w:rFonts w:hint="eastAsia" w:ascii="宋体" w:hAnsi="宋体"/>
          <w:kern w:val="44"/>
        </w:rPr>
        <w:t>　受质询机关一般应当在提出质询案的常务委员会会议期间答复，不能作出答复的，应当说明理由，由主任会议确定答复时间。</w:t>
      </w:r>
    </w:p>
    <w:p w14:paraId="631A7DE6">
      <w:pPr>
        <w:jc w:val="left"/>
        <w:rPr>
          <w:rFonts w:ascii="宋体" w:hAnsi="宋体"/>
          <w:kern w:val="44"/>
        </w:rPr>
      </w:pPr>
    </w:p>
    <w:p w14:paraId="25400AEB">
      <w:pPr>
        <w:ind w:firstLine="0" w:firstLineChars="0"/>
        <w:jc w:val="center"/>
        <w:rPr>
          <w:rFonts w:ascii="宋体" w:hAnsi="宋体"/>
          <w:b/>
          <w:kern w:val="44"/>
          <w:sz w:val="28"/>
        </w:rPr>
      </w:pPr>
      <w:r>
        <w:rPr>
          <w:rFonts w:hint="eastAsia" w:ascii="宋体" w:hAnsi="宋体"/>
          <w:b/>
          <w:kern w:val="44"/>
          <w:sz w:val="28"/>
        </w:rPr>
        <w:t>第六章　发言和表决</w:t>
      </w:r>
    </w:p>
    <w:p w14:paraId="713375DA">
      <w:pPr>
        <w:jc w:val="left"/>
        <w:rPr>
          <w:rFonts w:ascii="宋体" w:hAnsi="宋体"/>
          <w:kern w:val="44"/>
        </w:rPr>
      </w:pPr>
    </w:p>
    <w:p w14:paraId="6E5B3257">
      <w:pPr>
        <w:ind w:firstLine="422"/>
        <w:jc w:val="left"/>
        <w:rPr>
          <w:rFonts w:ascii="宋体" w:hAnsi="宋体"/>
          <w:kern w:val="44"/>
        </w:rPr>
      </w:pPr>
      <w:r>
        <w:rPr>
          <w:rFonts w:hint="eastAsia" w:ascii="宋体" w:hAnsi="宋体"/>
          <w:b/>
          <w:kern w:val="44"/>
        </w:rPr>
        <w:t>第三十二条</w:t>
      </w:r>
      <w:r>
        <w:rPr>
          <w:rFonts w:hint="eastAsia" w:ascii="宋体" w:hAnsi="宋体"/>
          <w:kern w:val="44"/>
        </w:rPr>
        <w:t>　常务委员会组成人员在常务委员会会议上的发言和表决，列席会议的市人大代表在常务委员会会议上的发言，不受法律追究。</w:t>
      </w:r>
    </w:p>
    <w:p w14:paraId="1FD37549">
      <w:pPr>
        <w:ind w:firstLine="422"/>
        <w:jc w:val="left"/>
        <w:rPr>
          <w:rFonts w:ascii="宋体" w:hAnsi="宋体"/>
          <w:kern w:val="44"/>
        </w:rPr>
      </w:pPr>
      <w:r>
        <w:rPr>
          <w:rFonts w:hint="eastAsia" w:ascii="宋体" w:hAnsi="宋体"/>
          <w:b/>
          <w:kern w:val="44"/>
        </w:rPr>
        <w:t>第三十三条</w:t>
      </w:r>
      <w:r>
        <w:rPr>
          <w:rFonts w:hint="eastAsia" w:ascii="宋体" w:hAnsi="宋体"/>
          <w:kern w:val="44"/>
        </w:rPr>
        <w:t>　常务委员会组成人员和列席会议的人员在常务委员会全体会议或者分组会议上的发言，第一次不超过10分钟，第二次对同一问题的发言不超过5分钟。事先提出要求，经会议主持人同意的，可以适当延长发言时间。</w:t>
      </w:r>
    </w:p>
    <w:p w14:paraId="6A9D8F49">
      <w:pPr>
        <w:jc w:val="left"/>
        <w:rPr>
          <w:rFonts w:ascii="宋体" w:hAnsi="宋体"/>
          <w:kern w:val="44"/>
        </w:rPr>
      </w:pPr>
      <w:r>
        <w:rPr>
          <w:rFonts w:hint="eastAsia" w:ascii="宋体" w:hAnsi="宋体"/>
          <w:kern w:val="44"/>
        </w:rPr>
        <w:t>对于超过时间或者与议题无关的发言，会议主持人可以制止。</w:t>
      </w:r>
    </w:p>
    <w:p w14:paraId="29AF942E">
      <w:pPr>
        <w:jc w:val="left"/>
        <w:rPr>
          <w:rFonts w:ascii="宋体" w:hAnsi="宋体"/>
          <w:kern w:val="44"/>
        </w:rPr>
      </w:pPr>
      <w:r>
        <w:rPr>
          <w:rFonts w:hint="eastAsia" w:ascii="宋体" w:hAnsi="宋体"/>
          <w:kern w:val="44"/>
        </w:rPr>
        <w:t>常务委员会组成人员可以向常务委员会会议提交书面发言，由常务委员会办公厅印发出席和列席人员。</w:t>
      </w:r>
    </w:p>
    <w:p w14:paraId="5D687D60">
      <w:pPr>
        <w:ind w:firstLine="422"/>
        <w:jc w:val="left"/>
        <w:rPr>
          <w:rFonts w:ascii="宋体" w:hAnsi="宋体"/>
          <w:kern w:val="44"/>
        </w:rPr>
      </w:pPr>
      <w:r>
        <w:rPr>
          <w:rFonts w:hint="eastAsia" w:ascii="宋体" w:hAnsi="宋体"/>
          <w:b/>
          <w:kern w:val="44"/>
        </w:rPr>
        <w:t>第三十四条</w:t>
      </w:r>
      <w:r>
        <w:rPr>
          <w:rFonts w:hint="eastAsia" w:ascii="宋体" w:hAnsi="宋体"/>
          <w:kern w:val="44"/>
        </w:rPr>
        <w:t>　会议主持人宣布议案交付表决后，常务委员会组成人员不再对议案发表意见，但与表决有关的程序问题不受此限。</w:t>
      </w:r>
    </w:p>
    <w:p w14:paraId="01F1FD4F">
      <w:pPr>
        <w:ind w:firstLine="422"/>
        <w:jc w:val="left"/>
        <w:rPr>
          <w:rFonts w:ascii="宋体" w:hAnsi="宋体"/>
          <w:kern w:val="44"/>
        </w:rPr>
      </w:pPr>
      <w:r>
        <w:rPr>
          <w:rFonts w:hint="eastAsia" w:ascii="宋体" w:hAnsi="宋体"/>
          <w:b/>
          <w:kern w:val="44"/>
        </w:rPr>
        <w:t>第三十五条</w:t>
      </w:r>
      <w:r>
        <w:rPr>
          <w:rFonts w:hint="eastAsia" w:ascii="宋体" w:hAnsi="宋体"/>
          <w:kern w:val="44"/>
        </w:rPr>
        <w:t>　表决议案由常务委员会全体组成人员的过半数通过。</w:t>
      </w:r>
    </w:p>
    <w:p w14:paraId="697B389B">
      <w:pPr>
        <w:jc w:val="left"/>
        <w:rPr>
          <w:rFonts w:ascii="宋体" w:hAnsi="宋体"/>
          <w:kern w:val="44"/>
        </w:rPr>
      </w:pPr>
      <w:r>
        <w:rPr>
          <w:rFonts w:hint="eastAsia" w:ascii="宋体" w:hAnsi="宋体"/>
          <w:kern w:val="44"/>
        </w:rPr>
        <w:t>表决结果由会议主持人当场宣布。</w:t>
      </w:r>
    </w:p>
    <w:p w14:paraId="515587E5">
      <w:pPr>
        <w:ind w:firstLine="422"/>
        <w:jc w:val="left"/>
        <w:rPr>
          <w:rFonts w:ascii="宋体" w:hAnsi="宋体"/>
          <w:kern w:val="44"/>
        </w:rPr>
      </w:pPr>
      <w:r>
        <w:rPr>
          <w:rFonts w:hint="eastAsia" w:ascii="宋体" w:hAnsi="宋体"/>
          <w:b/>
          <w:kern w:val="44"/>
        </w:rPr>
        <w:t>第三十六条</w:t>
      </w:r>
      <w:r>
        <w:rPr>
          <w:rFonts w:hint="eastAsia" w:ascii="宋体" w:hAnsi="宋体"/>
          <w:kern w:val="44"/>
        </w:rPr>
        <w:t>　交付表决的议案，有修正案的，先表决修正案。</w:t>
      </w:r>
    </w:p>
    <w:p w14:paraId="72AC2AEF">
      <w:pPr>
        <w:ind w:firstLine="422"/>
        <w:jc w:val="left"/>
        <w:rPr>
          <w:rFonts w:ascii="宋体" w:hAnsi="宋体"/>
          <w:kern w:val="44"/>
        </w:rPr>
      </w:pPr>
      <w:r>
        <w:rPr>
          <w:rFonts w:hint="eastAsia" w:ascii="宋体" w:hAnsi="宋体"/>
          <w:b/>
          <w:kern w:val="44"/>
        </w:rPr>
        <w:t>第三十七条</w:t>
      </w:r>
      <w:r>
        <w:rPr>
          <w:rFonts w:hint="eastAsia" w:ascii="宋体" w:hAnsi="宋体"/>
          <w:kern w:val="44"/>
        </w:rPr>
        <w:t>　任免案一般应当逐人表决，根据情况也可以合并表决。</w:t>
      </w:r>
    </w:p>
    <w:p w14:paraId="13CDBDAF">
      <w:pPr>
        <w:ind w:firstLine="422"/>
        <w:jc w:val="left"/>
        <w:rPr>
          <w:rFonts w:ascii="宋体" w:hAnsi="宋体"/>
          <w:kern w:val="44"/>
        </w:rPr>
      </w:pPr>
      <w:r>
        <w:rPr>
          <w:rFonts w:hint="eastAsia" w:ascii="宋体" w:hAnsi="宋体"/>
          <w:b/>
          <w:kern w:val="44"/>
        </w:rPr>
        <w:t>第三十八条</w:t>
      </w:r>
      <w:r>
        <w:rPr>
          <w:rFonts w:hint="eastAsia" w:ascii="宋体" w:hAnsi="宋体"/>
          <w:kern w:val="44"/>
        </w:rPr>
        <w:t>　常务委员会会议表决议案，采用无记名投票方式、按表决器方式、举手方式或者其他方式。法律、法规对表决方式有规定的，从其规定；法律、法规没有规定的，由主任会议决定。</w:t>
      </w:r>
    </w:p>
    <w:p w14:paraId="4BFBCE7F">
      <w:pPr>
        <w:jc w:val="left"/>
        <w:rPr>
          <w:rFonts w:ascii="宋体" w:hAnsi="宋体"/>
          <w:kern w:val="44"/>
        </w:rPr>
      </w:pPr>
    </w:p>
    <w:p w14:paraId="115227B3">
      <w:pPr>
        <w:ind w:firstLine="0" w:firstLineChars="0"/>
        <w:jc w:val="center"/>
        <w:rPr>
          <w:rFonts w:ascii="宋体" w:hAnsi="宋体"/>
          <w:b/>
          <w:kern w:val="44"/>
          <w:sz w:val="28"/>
        </w:rPr>
      </w:pPr>
      <w:r>
        <w:rPr>
          <w:rFonts w:hint="eastAsia" w:ascii="宋体" w:hAnsi="宋体"/>
          <w:b/>
          <w:kern w:val="44"/>
          <w:sz w:val="28"/>
        </w:rPr>
        <w:t>第七章　附  则</w:t>
      </w:r>
    </w:p>
    <w:p w14:paraId="133B5610">
      <w:pPr>
        <w:jc w:val="left"/>
        <w:rPr>
          <w:rFonts w:ascii="宋体" w:hAnsi="宋体"/>
          <w:kern w:val="44"/>
        </w:rPr>
      </w:pPr>
    </w:p>
    <w:p w14:paraId="66CCFB1F">
      <w:pPr>
        <w:ind w:firstLine="422"/>
        <w:jc w:val="left"/>
        <w:rPr>
          <w:rFonts w:ascii="宋体" w:hAnsi="宋体"/>
          <w:kern w:val="44"/>
        </w:rPr>
      </w:pPr>
      <w:r>
        <w:rPr>
          <w:rFonts w:hint="eastAsia" w:ascii="宋体" w:hAnsi="宋体"/>
          <w:b/>
          <w:kern w:val="44"/>
        </w:rPr>
        <w:t>第三十九条</w:t>
      </w:r>
      <w:r>
        <w:rPr>
          <w:rFonts w:hint="eastAsia" w:ascii="宋体" w:hAnsi="宋体"/>
          <w:kern w:val="44"/>
        </w:rPr>
        <w:t>　常务委员会会议由有关工作机构负责录音、制作光盘存档。会议通过的地方性法规、决议、决定，会议纪要和其他主要文件，刊登常务委员会公报，印发常务委员会组成人员和市人大代表。</w:t>
      </w:r>
    </w:p>
    <w:p w14:paraId="0F5DE8FD">
      <w:pPr>
        <w:ind w:firstLine="422"/>
        <w:jc w:val="left"/>
        <w:rPr>
          <w:rFonts w:ascii="宋体" w:hAnsi="宋体"/>
          <w:kern w:val="44"/>
        </w:rPr>
      </w:pPr>
      <w:r>
        <w:rPr>
          <w:rFonts w:hint="eastAsia" w:ascii="宋体" w:hAnsi="宋体"/>
          <w:b/>
          <w:kern w:val="44"/>
        </w:rPr>
        <w:t>第四十条</w:t>
      </w:r>
      <w:r>
        <w:rPr>
          <w:rFonts w:hint="eastAsia" w:ascii="宋体" w:hAnsi="宋体"/>
          <w:kern w:val="44"/>
        </w:rPr>
        <w:t>　常务委员会会议通过的地方性法规和决议、决定，依法分别报上级机关备案或者批准，并在《北京日报》上公布。</w:t>
      </w:r>
    </w:p>
    <w:p w14:paraId="5CC603CF">
      <w:pPr>
        <w:ind w:firstLine="422"/>
        <w:jc w:val="left"/>
        <w:rPr>
          <w:rFonts w:ascii="宋体" w:hAnsi="宋体"/>
          <w:kern w:val="44"/>
        </w:rPr>
      </w:pPr>
      <w:r>
        <w:rPr>
          <w:rFonts w:hint="eastAsia" w:ascii="宋体" w:hAnsi="宋体"/>
          <w:b/>
          <w:kern w:val="44"/>
        </w:rPr>
        <w:t>第四十一条</w:t>
      </w:r>
      <w:r>
        <w:rPr>
          <w:rFonts w:hint="eastAsia" w:ascii="宋体" w:hAnsi="宋体"/>
          <w:kern w:val="44"/>
        </w:rPr>
        <w:t>　本规则由主任会议负责解释。</w:t>
      </w:r>
    </w:p>
    <w:p w14:paraId="5272EC50">
      <w:pPr>
        <w:ind w:firstLine="422"/>
        <w:jc w:val="left"/>
        <w:rPr>
          <w:rFonts w:ascii="宋体" w:hAnsi="宋体"/>
          <w:kern w:val="44"/>
        </w:rPr>
      </w:pPr>
      <w:r>
        <w:rPr>
          <w:rFonts w:hint="eastAsia" w:ascii="宋体" w:hAnsi="宋体"/>
          <w:b/>
          <w:kern w:val="44"/>
        </w:rPr>
        <w:t>第四十二条</w:t>
      </w:r>
      <w:r>
        <w:rPr>
          <w:rFonts w:hint="eastAsia" w:ascii="宋体" w:hAnsi="宋体"/>
          <w:kern w:val="44"/>
        </w:rPr>
        <w:t>　本规则自通过之日起施行。</w:t>
      </w:r>
    </w:p>
    <w:p w14:paraId="1CA392F0">
      <w:pPr>
        <w:pStyle w:val="4"/>
        <w:pageBreakBefore/>
        <w:rPr>
          <w:kern w:val="44"/>
        </w:rPr>
      </w:pPr>
      <w:bookmarkStart w:id="77" w:name="_Toc427651379"/>
      <w:bookmarkStart w:id="78" w:name="_Toc428779945"/>
      <w:bookmarkStart w:id="79" w:name="_Toc428781427"/>
      <w:bookmarkStart w:id="80" w:name="_Toc427651721"/>
      <w:bookmarkStart w:id="81" w:name="_Toc422471057"/>
      <w:r>
        <w:rPr>
          <w:rFonts w:hint="eastAsia"/>
          <w:kern w:val="44"/>
        </w:rPr>
        <w:t>北京市乡、民族乡、镇</w:t>
      </w:r>
      <w:bookmarkEnd w:id="77"/>
      <w:bookmarkEnd w:id="78"/>
      <w:bookmarkEnd w:id="79"/>
      <w:bookmarkEnd w:id="80"/>
    </w:p>
    <w:p w14:paraId="6B430826">
      <w:pPr>
        <w:pStyle w:val="4"/>
        <w:rPr>
          <w:kern w:val="44"/>
        </w:rPr>
      </w:pPr>
      <w:bookmarkStart w:id="82" w:name="_Toc428781428"/>
      <w:bookmarkStart w:id="83" w:name="_Toc428779946"/>
      <w:bookmarkStart w:id="84" w:name="_Toc427651380"/>
      <w:bookmarkStart w:id="85" w:name="_Toc427651722"/>
      <w:r>
        <w:rPr>
          <w:rFonts w:hint="eastAsia"/>
          <w:kern w:val="44"/>
        </w:rPr>
        <w:t>人民</w:t>
      </w:r>
      <w:bookmarkEnd w:id="81"/>
      <w:bookmarkStart w:id="86" w:name="_Toc422471058"/>
      <w:r>
        <w:rPr>
          <w:rFonts w:hint="eastAsia"/>
          <w:kern w:val="44"/>
        </w:rPr>
        <w:t>代表大会组织条例</w:t>
      </w:r>
      <w:bookmarkEnd w:id="82"/>
      <w:bookmarkEnd w:id="83"/>
      <w:bookmarkEnd w:id="84"/>
      <w:bookmarkEnd w:id="85"/>
      <w:bookmarkEnd w:id="86"/>
    </w:p>
    <w:p w14:paraId="361F9B63">
      <w:pPr>
        <w:ind w:left="630" w:leftChars="300" w:right="630" w:rightChars="300"/>
        <w:jc w:val="left"/>
        <w:rPr>
          <w:rFonts w:ascii="楷体" w:hAnsi="楷体" w:eastAsia="楷体"/>
          <w:kern w:val="44"/>
        </w:rPr>
      </w:pPr>
      <w:r>
        <w:rPr>
          <w:rFonts w:hint="eastAsia" w:ascii="楷体" w:hAnsi="楷体" w:eastAsia="楷体"/>
          <w:kern w:val="44"/>
        </w:rPr>
        <w:t>（1989年9月21日北京市第九届人民代表大会常务委员会第十三次会议通过　根据1996年5月30日北京市第十届人民代表大会常务委员会第二十七次会议《关于修改〈北京市乡、民族乡、镇人民代表大会组织条例〉的决定》第一次修正　根据2010年12月23日北京市第十三届人民代表大会常务委员会第二十二次会议《关于修改部分地方性法规的决定》第二次修正 ）</w:t>
      </w:r>
    </w:p>
    <w:p w14:paraId="66677B41">
      <w:pPr>
        <w:ind w:left="630" w:leftChars="300" w:right="630" w:rightChars="300"/>
        <w:jc w:val="left"/>
        <w:rPr>
          <w:rFonts w:ascii="楷体" w:hAnsi="楷体" w:eastAsia="楷体"/>
          <w:kern w:val="44"/>
        </w:rPr>
      </w:pPr>
    </w:p>
    <w:p w14:paraId="6700CCB2">
      <w:pPr>
        <w:ind w:firstLine="0" w:firstLineChars="0"/>
        <w:jc w:val="center"/>
        <w:rPr>
          <w:rFonts w:ascii="宋体" w:hAnsi="宋体"/>
          <w:b/>
          <w:kern w:val="44"/>
          <w:sz w:val="28"/>
        </w:rPr>
      </w:pPr>
      <w:r>
        <w:rPr>
          <w:rFonts w:hint="eastAsia" w:ascii="宋体" w:hAnsi="宋体"/>
          <w:b/>
          <w:kern w:val="44"/>
          <w:sz w:val="28"/>
        </w:rPr>
        <w:t>第一章　总　则</w:t>
      </w:r>
    </w:p>
    <w:p w14:paraId="0AC15709">
      <w:pPr>
        <w:jc w:val="left"/>
        <w:rPr>
          <w:rFonts w:ascii="宋体" w:hAnsi="宋体"/>
          <w:kern w:val="44"/>
        </w:rPr>
      </w:pPr>
    </w:p>
    <w:p w14:paraId="024AA177">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为加强乡、民族乡、镇人民代表大会制度建设，根据《中华人民共和国宪法》和《中华人民共和国地方各级人民代表大会和地方各级人民政府组织法》的有关规定，结合本市具体情况，制定本条例。</w:t>
      </w:r>
    </w:p>
    <w:p w14:paraId="17722538">
      <w:pPr>
        <w:ind w:firstLine="422"/>
        <w:jc w:val="left"/>
        <w:rPr>
          <w:rFonts w:ascii="宋体" w:hAnsi="宋体"/>
          <w:kern w:val="44"/>
        </w:rPr>
      </w:pPr>
      <w:r>
        <w:rPr>
          <w:rFonts w:hint="eastAsia" w:ascii="宋体" w:hAnsi="宋体"/>
          <w:b/>
          <w:kern w:val="44"/>
        </w:rPr>
        <w:t>第二条</w:t>
      </w:r>
      <w:r>
        <w:rPr>
          <w:rFonts w:hint="eastAsia" w:ascii="宋体" w:hAnsi="宋体"/>
          <w:kern w:val="44"/>
        </w:rPr>
        <w:t>　乡、民族乡、镇人民代表大会是基层地方国家权力机关，实行民主集中制的原则。</w:t>
      </w:r>
    </w:p>
    <w:p w14:paraId="286DBA8E">
      <w:pPr>
        <w:jc w:val="left"/>
        <w:rPr>
          <w:rFonts w:ascii="宋体" w:hAnsi="宋体"/>
          <w:kern w:val="44"/>
        </w:rPr>
      </w:pPr>
      <w:r>
        <w:rPr>
          <w:rFonts w:hint="eastAsia" w:ascii="宋体" w:hAnsi="宋体"/>
          <w:kern w:val="44"/>
        </w:rPr>
        <w:t>乡、民族乡、镇人民代表大会由选民直接选举代表组成，对人民负责，受人民监督。</w:t>
      </w:r>
    </w:p>
    <w:p w14:paraId="3546A32B">
      <w:pPr>
        <w:jc w:val="left"/>
        <w:rPr>
          <w:rFonts w:ascii="宋体" w:hAnsi="宋体"/>
          <w:kern w:val="44"/>
        </w:rPr>
      </w:pPr>
      <w:r>
        <w:rPr>
          <w:rFonts w:hint="eastAsia" w:ascii="宋体" w:hAnsi="宋体"/>
          <w:kern w:val="44"/>
        </w:rPr>
        <w:t>乡、民族乡、镇人民政府由乡、民族乡、镇人民代表大会选举产生，对它负责，受它监督。</w:t>
      </w:r>
    </w:p>
    <w:p w14:paraId="17B9B5D5">
      <w:pPr>
        <w:ind w:firstLine="422"/>
        <w:jc w:val="left"/>
        <w:rPr>
          <w:rFonts w:ascii="宋体" w:hAnsi="宋体"/>
          <w:kern w:val="44"/>
        </w:rPr>
      </w:pPr>
      <w:r>
        <w:rPr>
          <w:rFonts w:hint="eastAsia" w:ascii="宋体" w:hAnsi="宋体"/>
          <w:b/>
          <w:kern w:val="44"/>
        </w:rPr>
        <w:t>第三条</w:t>
      </w:r>
      <w:r>
        <w:rPr>
          <w:rFonts w:hint="eastAsia" w:ascii="宋体" w:hAnsi="宋体"/>
          <w:kern w:val="44"/>
        </w:rPr>
        <w:t>　乡、民族乡、镇人民代表大会每届任期五年。</w:t>
      </w:r>
    </w:p>
    <w:p w14:paraId="03DE6074">
      <w:pPr>
        <w:jc w:val="left"/>
        <w:rPr>
          <w:rFonts w:ascii="宋体" w:hAnsi="宋体"/>
          <w:kern w:val="44"/>
        </w:rPr>
      </w:pPr>
    </w:p>
    <w:p w14:paraId="76BEBFFF">
      <w:pPr>
        <w:ind w:firstLine="0" w:firstLineChars="0"/>
        <w:jc w:val="center"/>
        <w:rPr>
          <w:rFonts w:ascii="宋体" w:hAnsi="宋体"/>
          <w:b/>
          <w:kern w:val="44"/>
          <w:sz w:val="28"/>
        </w:rPr>
      </w:pPr>
      <w:r>
        <w:rPr>
          <w:rFonts w:hint="eastAsia" w:ascii="宋体" w:hAnsi="宋体"/>
          <w:b/>
          <w:kern w:val="44"/>
          <w:sz w:val="28"/>
        </w:rPr>
        <w:t>第二章　乡、民族乡、镇人民</w:t>
      </w:r>
    </w:p>
    <w:p w14:paraId="7B31DD34">
      <w:pPr>
        <w:ind w:firstLine="0" w:firstLineChars="0"/>
        <w:jc w:val="center"/>
        <w:rPr>
          <w:rFonts w:ascii="宋体" w:hAnsi="宋体"/>
          <w:b/>
          <w:kern w:val="44"/>
          <w:sz w:val="28"/>
        </w:rPr>
      </w:pPr>
      <w:r>
        <w:rPr>
          <w:rFonts w:hint="eastAsia" w:ascii="宋体" w:hAnsi="宋体"/>
          <w:b/>
          <w:kern w:val="44"/>
          <w:sz w:val="28"/>
        </w:rPr>
        <w:t xml:space="preserve">    代表大会的职权</w:t>
      </w:r>
    </w:p>
    <w:p w14:paraId="2125E9E9">
      <w:pPr>
        <w:jc w:val="left"/>
        <w:rPr>
          <w:rFonts w:ascii="宋体" w:hAnsi="宋体"/>
          <w:kern w:val="44"/>
        </w:rPr>
      </w:pPr>
    </w:p>
    <w:p w14:paraId="39026B79">
      <w:pPr>
        <w:ind w:firstLine="422"/>
        <w:jc w:val="left"/>
        <w:rPr>
          <w:rFonts w:ascii="宋体" w:hAnsi="宋体"/>
          <w:kern w:val="44"/>
        </w:rPr>
      </w:pPr>
      <w:r>
        <w:rPr>
          <w:rFonts w:hint="eastAsia" w:ascii="宋体" w:hAnsi="宋体"/>
          <w:b/>
          <w:kern w:val="44"/>
        </w:rPr>
        <w:t>第四条</w:t>
      </w:r>
      <w:r>
        <w:rPr>
          <w:rFonts w:hint="eastAsia" w:ascii="宋体" w:hAnsi="宋体"/>
          <w:kern w:val="44"/>
        </w:rPr>
        <w:t>　乡、民族乡、镇人民代表大会行使下列职权：</w:t>
      </w:r>
    </w:p>
    <w:p w14:paraId="6C03FE35">
      <w:pPr>
        <w:jc w:val="left"/>
        <w:rPr>
          <w:rFonts w:ascii="宋体" w:hAnsi="宋体"/>
          <w:kern w:val="44"/>
        </w:rPr>
      </w:pPr>
      <w:r>
        <w:rPr>
          <w:rFonts w:hint="eastAsia" w:ascii="宋体" w:hAnsi="宋体"/>
          <w:kern w:val="44"/>
        </w:rPr>
        <w:t>（一）在本行政区域内，保证宪法、法律、行政法规、本市地方性法规、行政规章和上级人民代表大会及其常务委员决议的遵守和执行；</w:t>
      </w:r>
    </w:p>
    <w:p w14:paraId="083E228B">
      <w:pPr>
        <w:jc w:val="left"/>
        <w:rPr>
          <w:rFonts w:ascii="宋体" w:hAnsi="宋体"/>
          <w:kern w:val="44"/>
        </w:rPr>
      </w:pPr>
      <w:r>
        <w:rPr>
          <w:rFonts w:hint="eastAsia" w:ascii="宋体" w:hAnsi="宋体"/>
          <w:kern w:val="44"/>
        </w:rPr>
        <w:t>（二）在职权范围内通过和发布决议；</w:t>
      </w:r>
    </w:p>
    <w:p w14:paraId="2B3B3016">
      <w:pPr>
        <w:jc w:val="left"/>
        <w:rPr>
          <w:rFonts w:ascii="宋体" w:hAnsi="宋体"/>
          <w:kern w:val="44"/>
        </w:rPr>
      </w:pPr>
      <w:r>
        <w:rPr>
          <w:rFonts w:hint="eastAsia" w:ascii="宋体" w:hAnsi="宋体"/>
          <w:kern w:val="44"/>
        </w:rPr>
        <w:t>（三）根据国家计划，审查和决定本行政区域内的经济建设、文化建设和公共事业建设的计划；</w:t>
      </w:r>
    </w:p>
    <w:p w14:paraId="4D1ECE31">
      <w:pPr>
        <w:jc w:val="left"/>
        <w:rPr>
          <w:rFonts w:ascii="宋体" w:hAnsi="宋体"/>
          <w:kern w:val="44"/>
        </w:rPr>
      </w:pPr>
      <w:r>
        <w:rPr>
          <w:rFonts w:hint="eastAsia" w:ascii="宋体" w:hAnsi="宋体"/>
          <w:kern w:val="44"/>
        </w:rPr>
        <w:t>（四）审查和批准本行政区域内的财政预算和预算执行情况的报告；</w:t>
      </w:r>
    </w:p>
    <w:p w14:paraId="35FDB3BA">
      <w:pPr>
        <w:jc w:val="left"/>
        <w:rPr>
          <w:rFonts w:ascii="宋体" w:hAnsi="宋体"/>
          <w:kern w:val="44"/>
        </w:rPr>
      </w:pPr>
      <w:r>
        <w:rPr>
          <w:rFonts w:hint="eastAsia" w:ascii="宋体" w:hAnsi="宋体"/>
          <w:kern w:val="44"/>
        </w:rPr>
        <w:t>（五）讨论决定本行政区域内的经济、民政、民族、治安、教育、科技、村镇建设、环境和资源保护、文化、卫生、计划生育等工作中的重大事项；</w:t>
      </w:r>
    </w:p>
    <w:p w14:paraId="55AD865B">
      <w:pPr>
        <w:jc w:val="left"/>
        <w:rPr>
          <w:rFonts w:ascii="宋体" w:hAnsi="宋体"/>
          <w:kern w:val="44"/>
        </w:rPr>
      </w:pPr>
      <w:r>
        <w:rPr>
          <w:rFonts w:hint="eastAsia" w:ascii="宋体" w:hAnsi="宋体"/>
          <w:kern w:val="44"/>
        </w:rPr>
        <w:t>（六）选举本级人民代表大会主席、副主席，乡长、副乡长，镇长、副镇长；</w:t>
      </w:r>
    </w:p>
    <w:p w14:paraId="4015E876">
      <w:pPr>
        <w:jc w:val="left"/>
        <w:rPr>
          <w:rFonts w:ascii="宋体" w:hAnsi="宋体"/>
          <w:kern w:val="44"/>
        </w:rPr>
      </w:pPr>
      <w:r>
        <w:rPr>
          <w:rFonts w:hint="eastAsia" w:ascii="宋体" w:hAnsi="宋体"/>
          <w:kern w:val="44"/>
        </w:rPr>
        <w:t>（七）依法罢免本级人民代表大会主席、副主席，乡长、副乡长，镇长、副镇长；</w:t>
      </w:r>
    </w:p>
    <w:p w14:paraId="21D0D73D">
      <w:pPr>
        <w:jc w:val="left"/>
        <w:rPr>
          <w:rFonts w:ascii="宋体" w:hAnsi="宋体"/>
          <w:kern w:val="44"/>
        </w:rPr>
      </w:pPr>
      <w:r>
        <w:rPr>
          <w:rFonts w:hint="eastAsia" w:ascii="宋体" w:hAnsi="宋体"/>
          <w:kern w:val="44"/>
        </w:rPr>
        <w:t>（八）听取和审查本级人民政府的工作报告；</w:t>
      </w:r>
    </w:p>
    <w:p w14:paraId="02278791">
      <w:pPr>
        <w:jc w:val="left"/>
        <w:rPr>
          <w:rFonts w:ascii="宋体" w:hAnsi="宋体"/>
          <w:kern w:val="44"/>
        </w:rPr>
      </w:pPr>
      <w:r>
        <w:rPr>
          <w:rFonts w:hint="eastAsia" w:ascii="宋体" w:hAnsi="宋体"/>
          <w:kern w:val="44"/>
        </w:rPr>
        <w:t>（九）撤销本级人民政府的不适当的决定和命令；</w:t>
      </w:r>
    </w:p>
    <w:p w14:paraId="31F3B748">
      <w:pPr>
        <w:jc w:val="left"/>
        <w:rPr>
          <w:rFonts w:ascii="宋体" w:hAnsi="宋体"/>
          <w:kern w:val="44"/>
        </w:rPr>
      </w:pPr>
      <w:r>
        <w:rPr>
          <w:rFonts w:hint="eastAsia" w:ascii="宋体" w:hAnsi="宋体"/>
          <w:kern w:val="44"/>
        </w:rPr>
        <w:t>（十）保护社会主义全民所有的财产和劳动群众集体所有的财产，保护公民私人所有的合法财产，维护社会秩序，保障公民的人身权利、民主权利和其他权利；</w:t>
      </w:r>
    </w:p>
    <w:p w14:paraId="4837D64C">
      <w:pPr>
        <w:jc w:val="left"/>
        <w:rPr>
          <w:rFonts w:ascii="宋体" w:hAnsi="宋体"/>
          <w:kern w:val="44"/>
        </w:rPr>
      </w:pPr>
      <w:r>
        <w:rPr>
          <w:rFonts w:hint="eastAsia" w:ascii="宋体" w:hAnsi="宋体"/>
          <w:kern w:val="44"/>
        </w:rPr>
        <w:t>（十一）保护各种经济组织的合法权益，保护农村承包经营户、个体工商户的合法权益；</w:t>
      </w:r>
    </w:p>
    <w:p w14:paraId="708CEACF">
      <w:pPr>
        <w:jc w:val="left"/>
        <w:rPr>
          <w:rFonts w:ascii="宋体" w:hAnsi="宋体"/>
          <w:kern w:val="44"/>
        </w:rPr>
      </w:pPr>
      <w:r>
        <w:rPr>
          <w:rFonts w:hint="eastAsia" w:ascii="宋体" w:hAnsi="宋体"/>
          <w:kern w:val="44"/>
        </w:rPr>
        <w:t>（十二）保护少数民族的权利；</w:t>
      </w:r>
    </w:p>
    <w:p w14:paraId="0C792E7D">
      <w:pPr>
        <w:jc w:val="left"/>
        <w:rPr>
          <w:rFonts w:ascii="宋体" w:hAnsi="宋体"/>
          <w:kern w:val="44"/>
        </w:rPr>
      </w:pPr>
      <w:r>
        <w:rPr>
          <w:rFonts w:hint="eastAsia" w:ascii="宋体" w:hAnsi="宋体"/>
          <w:kern w:val="44"/>
        </w:rPr>
        <w:t>（十三）保障宪法和法律赋予妇女的男女平等、同工同酬和婚姻自由等各项权利。</w:t>
      </w:r>
    </w:p>
    <w:p w14:paraId="245A4333">
      <w:pPr>
        <w:jc w:val="left"/>
        <w:rPr>
          <w:rFonts w:ascii="宋体" w:hAnsi="宋体"/>
          <w:kern w:val="44"/>
        </w:rPr>
      </w:pPr>
      <w:r>
        <w:rPr>
          <w:rFonts w:hint="eastAsia" w:ascii="宋体" w:hAnsi="宋体"/>
          <w:kern w:val="44"/>
        </w:rPr>
        <w:t>民族乡和有少数民族聚居的乡、镇的人民代表大会在行使职权的时候，应当采取适合民族特点的具体措施。</w:t>
      </w:r>
    </w:p>
    <w:p w14:paraId="47B8D130">
      <w:pPr>
        <w:jc w:val="left"/>
        <w:rPr>
          <w:rFonts w:ascii="宋体" w:hAnsi="宋体"/>
          <w:kern w:val="44"/>
        </w:rPr>
      </w:pPr>
    </w:p>
    <w:p w14:paraId="470CE6DF">
      <w:pPr>
        <w:ind w:firstLine="0" w:firstLineChars="0"/>
        <w:jc w:val="center"/>
        <w:rPr>
          <w:rFonts w:ascii="宋体" w:hAnsi="宋体"/>
          <w:b/>
          <w:kern w:val="44"/>
          <w:sz w:val="28"/>
        </w:rPr>
      </w:pPr>
      <w:r>
        <w:rPr>
          <w:rFonts w:hint="eastAsia" w:ascii="宋体" w:hAnsi="宋体"/>
          <w:b/>
          <w:kern w:val="44"/>
          <w:sz w:val="28"/>
        </w:rPr>
        <w:t>第三章　乡、民族乡、镇人民</w:t>
      </w:r>
    </w:p>
    <w:p w14:paraId="458278F0">
      <w:pPr>
        <w:ind w:firstLine="0" w:firstLineChars="0"/>
        <w:jc w:val="center"/>
        <w:rPr>
          <w:rFonts w:ascii="宋体" w:hAnsi="宋体"/>
          <w:b/>
          <w:kern w:val="44"/>
          <w:sz w:val="28"/>
        </w:rPr>
      </w:pPr>
      <w:r>
        <w:rPr>
          <w:rFonts w:hint="eastAsia" w:ascii="宋体" w:hAnsi="宋体"/>
          <w:b/>
          <w:kern w:val="44"/>
          <w:sz w:val="28"/>
        </w:rPr>
        <w:t xml:space="preserve">  代表大会会议</w:t>
      </w:r>
    </w:p>
    <w:p w14:paraId="485CFFE5">
      <w:pPr>
        <w:jc w:val="left"/>
        <w:rPr>
          <w:rFonts w:ascii="宋体" w:hAnsi="宋体"/>
          <w:kern w:val="44"/>
        </w:rPr>
      </w:pPr>
    </w:p>
    <w:p w14:paraId="060F2F47">
      <w:pPr>
        <w:ind w:firstLine="422"/>
        <w:jc w:val="left"/>
        <w:rPr>
          <w:rFonts w:ascii="宋体" w:hAnsi="宋体"/>
          <w:kern w:val="44"/>
        </w:rPr>
      </w:pPr>
      <w:r>
        <w:rPr>
          <w:rFonts w:hint="eastAsia" w:ascii="宋体" w:hAnsi="宋体"/>
          <w:b/>
          <w:kern w:val="44"/>
        </w:rPr>
        <w:t>第五条</w:t>
      </w:r>
      <w:r>
        <w:rPr>
          <w:rFonts w:hint="eastAsia" w:ascii="宋体" w:hAnsi="宋体"/>
          <w:kern w:val="44"/>
        </w:rPr>
        <w:t>　乡、民族乡、镇人民代表大会会议，每半年至少举行一次；每年的第一次会议，应当不迟于三月底前举行。</w:t>
      </w:r>
    </w:p>
    <w:p w14:paraId="7A5EC2F5">
      <w:pPr>
        <w:jc w:val="left"/>
        <w:rPr>
          <w:rFonts w:ascii="宋体" w:hAnsi="宋体"/>
          <w:kern w:val="44"/>
        </w:rPr>
      </w:pPr>
      <w:r>
        <w:rPr>
          <w:rFonts w:hint="eastAsia" w:ascii="宋体" w:hAnsi="宋体"/>
          <w:kern w:val="44"/>
        </w:rPr>
        <w:t>每届乡、民族乡、镇人民代表大会第一次会议，在本届人民代表大会代表选举完成后的两个月内举行，由上次人民代表大会主席团召集。</w:t>
      </w:r>
    </w:p>
    <w:p w14:paraId="18D5D61A">
      <w:pPr>
        <w:jc w:val="left"/>
        <w:rPr>
          <w:rFonts w:ascii="宋体" w:hAnsi="宋体"/>
          <w:kern w:val="44"/>
        </w:rPr>
      </w:pPr>
      <w:r>
        <w:rPr>
          <w:rFonts w:hint="eastAsia" w:ascii="宋体" w:hAnsi="宋体"/>
          <w:kern w:val="44"/>
        </w:rPr>
        <w:t>经过五分之一以上代表提议或者主席团决定，可以临时召集乡、民族乡、镇人民代表大会会议。</w:t>
      </w:r>
    </w:p>
    <w:p w14:paraId="6C65B1CD">
      <w:pPr>
        <w:ind w:firstLine="422"/>
        <w:jc w:val="left"/>
        <w:rPr>
          <w:rFonts w:ascii="宋体" w:hAnsi="宋体"/>
          <w:kern w:val="44"/>
        </w:rPr>
      </w:pPr>
      <w:r>
        <w:rPr>
          <w:rFonts w:hint="eastAsia" w:ascii="宋体" w:hAnsi="宋体"/>
          <w:b/>
          <w:kern w:val="44"/>
        </w:rPr>
        <w:t>第六条</w:t>
      </w:r>
      <w:r>
        <w:rPr>
          <w:rFonts w:hint="eastAsia" w:ascii="宋体" w:hAnsi="宋体"/>
          <w:kern w:val="44"/>
        </w:rPr>
        <w:t>　乡、民族乡、镇人民代表大会会议，必须有三分之二以上代表出席，始得举行。</w:t>
      </w:r>
    </w:p>
    <w:p w14:paraId="189B42B0">
      <w:pPr>
        <w:ind w:firstLine="422"/>
        <w:jc w:val="left"/>
        <w:rPr>
          <w:rFonts w:ascii="宋体" w:hAnsi="宋体"/>
          <w:kern w:val="44"/>
        </w:rPr>
      </w:pPr>
      <w:r>
        <w:rPr>
          <w:rFonts w:hint="eastAsia" w:ascii="宋体" w:hAnsi="宋体"/>
          <w:b/>
          <w:kern w:val="44"/>
        </w:rPr>
        <w:t>第七条</w:t>
      </w:r>
      <w:r>
        <w:rPr>
          <w:rFonts w:hint="eastAsia" w:ascii="宋体" w:hAnsi="宋体"/>
          <w:kern w:val="44"/>
        </w:rPr>
        <w:t>　乡、民族乡、镇人民代表大会会议，由主席团召集并主持。</w:t>
      </w:r>
    </w:p>
    <w:p w14:paraId="6B8B6AC7">
      <w:pPr>
        <w:ind w:firstLine="422"/>
        <w:jc w:val="left"/>
        <w:rPr>
          <w:rFonts w:ascii="宋体" w:hAnsi="宋体"/>
          <w:kern w:val="44"/>
        </w:rPr>
      </w:pPr>
      <w:r>
        <w:rPr>
          <w:rFonts w:hint="eastAsia" w:ascii="宋体" w:hAnsi="宋体"/>
          <w:b/>
          <w:kern w:val="44"/>
        </w:rPr>
        <w:t>第八条</w:t>
      </w:r>
      <w:r>
        <w:rPr>
          <w:rFonts w:hint="eastAsia" w:ascii="宋体" w:hAnsi="宋体"/>
          <w:kern w:val="44"/>
        </w:rPr>
        <w:t>　乡、民族乡、镇人民代表大会每次会议举行预备会议，通过本次会议的议程和其他准备事项的决定。</w:t>
      </w:r>
    </w:p>
    <w:p w14:paraId="48194B20">
      <w:pPr>
        <w:jc w:val="left"/>
        <w:rPr>
          <w:rFonts w:ascii="宋体" w:hAnsi="宋体"/>
          <w:kern w:val="44"/>
        </w:rPr>
      </w:pPr>
      <w:r>
        <w:rPr>
          <w:rFonts w:hint="eastAsia" w:ascii="宋体" w:hAnsi="宋体"/>
          <w:kern w:val="44"/>
        </w:rPr>
        <w:t>每届人民代表大会第一次会议的预备会议，由上次人民代表大会主席团主持。</w:t>
      </w:r>
    </w:p>
    <w:p w14:paraId="0481ADB6">
      <w:pPr>
        <w:ind w:firstLine="422"/>
        <w:jc w:val="left"/>
        <w:rPr>
          <w:rFonts w:ascii="宋体" w:hAnsi="宋体"/>
          <w:kern w:val="44"/>
        </w:rPr>
      </w:pPr>
      <w:r>
        <w:rPr>
          <w:rFonts w:hint="eastAsia" w:ascii="宋体" w:hAnsi="宋体"/>
          <w:b/>
          <w:kern w:val="44"/>
        </w:rPr>
        <w:t>第九条</w:t>
      </w:r>
      <w:r>
        <w:rPr>
          <w:rFonts w:hint="eastAsia" w:ascii="宋体" w:hAnsi="宋体"/>
          <w:kern w:val="44"/>
        </w:rPr>
        <w:t>　乡、民族乡、镇人民代表大会举行会议的时候，主席团和本级人民政府，可以提出属于本级人民代表大会职权范围内的议案，由主席团决定提交人民代表大会会议审议。</w:t>
      </w:r>
    </w:p>
    <w:p w14:paraId="2005CD30">
      <w:pPr>
        <w:jc w:val="left"/>
        <w:rPr>
          <w:rFonts w:ascii="宋体" w:hAnsi="宋体"/>
          <w:kern w:val="44"/>
        </w:rPr>
      </w:pPr>
      <w:r>
        <w:rPr>
          <w:rFonts w:hint="eastAsia" w:ascii="宋体" w:hAnsi="宋体"/>
          <w:kern w:val="44"/>
        </w:rPr>
        <w:t>乡、民族乡、镇人民代表大会代表五人以上联名可以提出属于本级人民代表大会职权范围内的议案，由主席团决定是否列入会议议程。</w:t>
      </w:r>
    </w:p>
    <w:p w14:paraId="692E4F87">
      <w:pPr>
        <w:jc w:val="left"/>
        <w:rPr>
          <w:rFonts w:ascii="宋体" w:hAnsi="宋体"/>
          <w:kern w:val="44"/>
        </w:rPr>
      </w:pPr>
      <w:r>
        <w:rPr>
          <w:rFonts w:hint="eastAsia" w:ascii="宋体" w:hAnsi="宋体"/>
          <w:kern w:val="44"/>
        </w:rPr>
        <w:t>列入会议议程的议案，在交付大会表决前，提案人要求撤回的，经主席团同意，会议对该项议案的审议即行终止。</w:t>
      </w:r>
    </w:p>
    <w:p w14:paraId="48232386">
      <w:pPr>
        <w:ind w:firstLine="422"/>
        <w:jc w:val="left"/>
        <w:rPr>
          <w:rFonts w:ascii="宋体" w:hAnsi="宋体"/>
          <w:kern w:val="44"/>
        </w:rPr>
      </w:pPr>
      <w:r>
        <w:rPr>
          <w:rFonts w:hint="eastAsia" w:ascii="宋体" w:hAnsi="宋体"/>
          <w:b/>
          <w:kern w:val="44"/>
        </w:rPr>
        <w:t>第十条</w:t>
      </w:r>
      <w:r>
        <w:rPr>
          <w:rFonts w:hint="eastAsia" w:ascii="宋体" w:hAnsi="宋体"/>
          <w:kern w:val="44"/>
        </w:rPr>
        <w:t>　乡、民族乡、镇人民代表大会对各项议案的审议在大会全体会议上进行。代表人数较多的，也可以分组讨论，然后大会审议。</w:t>
      </w:r>
    </w:p>
    <w:p w14:paraId="3A5641D5">
      <w:pPr>
        <w:ind w:firstLine="422"/>
        <w:jc w:val="left"/>
        <w:rPr>
          <w:rFonts w:ascii="宋体" w:hAnsi="宋体"/>
          <w:kern w:val="44"/>
        </w:rPr>
      </w:pPr>
      <w:r>
        <w:rPr>
          <w:rFonts w:hint="eastAsia" w:ascii="宋体" w:hAnsi="宋体"/>
          <w:b/>
          <w:kern w:val="44"/>
        </w:rPr>
        <w:t>第十一条</w:t>
      </w:r>
      <w:r>
        <w:rPr>
          <w:rFonts w:hint="eastAsia" w:ascii="宋体" w:hAnsi="宋体"/>
          <w:kern w:val="44"/>
        </w:rPr>
        <w:t>　乡、民族乡、镇人民代表大会进行选举和作出决议，以全体代表的过半数通过。</w:t>
      </w:r>
    </w:p>
    <w:p w14:paraId="215348DF">
      <w:pPr>
        <w:ind w:firstLine="422"/>
        <w:jc w:val="left"/>
        <w:rPr>
          <w:rFonts w:ascii="宋体" w:hAnsi="宋体"/>
          <w:kern w:val="44"/>
        </w:rPr>
      </w:pPr>
      <w:r>
        <w:rPr>
          <w:rFonts w:hint="eastAsia" w:ascii="宋体" w:hAnsi="宋体"/>
          <w:b/>
          <w:kern w:val="44"/>
        </w:rPr>
        <w:t>第十二条</w:t>
      </w:r>
      <w:r>
        <w:rPr>
          <w:rFonts w:hint="eastAsia" w:ascii="宋体" w:hAnsi="宋体"/>
          <w:kern w:val="44"/>
        </w:rPr>
        <w:t>　乡、民族乡、镇人民代表大会举行会议的时候，代表十人以上联名可以书面提出对本级人民政府的质询案。代表总数在四十人以下的，五分之一以上代表联名也可以提出质询案。质询案必须写明质询对象、质询的问题和内容。</w:t>
      </w:r>
    </w:p>
    <w:p w14:paraId="10263645">
      <w:pPr>
        <w:jc w:val="left"/>
        <w:rPr>
          <w:rFonts w:ascii="宋体" w:hAnsi="宋体"/>
          <w:kern w:val="44"/>
        </w:rPr>
      </w:pPr>
      <w:r>
        <w:rPr>
          <w:rFonts w:hint="eastAsia" w:ascii="宋体" w:hAnsi="宋体"/>
          <w:kern w:val="44"/>
        </w:rPr>
        <w:t>质询案由主席团决定交由受质询机关在主席团会议、大会全体会议上口头答复，或者由受质询机关书面答复。在主席团会议上答复的，提质询案的代表有权列席会议，发表意见；主席团认为必要的时候，可以将答复质询案的情况报告印发会议。</w:t>
      </w:r>
    </w:p>
    <w:p w14:paraId="7ADAEA48">
      <w:pPr>
        <w:jc w:val="left"/>
        <w:rPr>
          <w:rFonts w:ascii="宋体" w:hAnsi="宋体"/>
          <w:kern w:val="44"/>
        </w:rPr>
      </w:pPr>
      <w:r>
        <w:rPr>
          <w:rFonts w:hint="eastAsia" w:ascii="宋体" w:hAnsi="宋体"/>
          <w:kern w:val="44"/>
        </w:rPr>
        <w:t>质询案以口头答复的，应当由受质询机关的负责人到会答复；质询案以书面答复的，应当由受质询机关的负责人签署，由主席团印发会议或者印发提质询案的代表。</w:t>
      </w:r>
    </w:p>
    <w:p w14:paraId="399B89A1">
      <w:pPr>
        <w:jc w:val="left"/>
        <w:rPr>
          <w:rFonts w:ascii="宋体" w:hAnsi="宋体"/>
          <w:kern w:val="44"/>
        </w:rPr>
      </w:pPr>
      <w:r>
        <w:rPr>
          <w:rFonts w:hint="eastAsia" w:ascii="宋体" w:hAnsi="宋体"/>
          <w:kern w:val="44"/>
        </w:rPr>
        <w:t>提出质询案的代表半数以上对答复不满意的，经主席团决定，由受质询机关再作答复；质询案情况复杂的，经主席团决定，由受质询机关在大会后三个月内向有关代表作出答复，并向主席团报告。</w:t>
      </w:r>
    </w:p>
    <w:p w14:paraId="23DA80B4">
      <w:pPr>
        <w:ind w:firstLine="422"/>
        <w:jc w:val="left"/>
        <w:rPr>
          <w:rFonts w:ascii="宋体" w:hAnsi="宋体"/>
          <w:kern w:val="44"/>
        </w:rPr>
      </w:pPr>
      <w:r>
        <w:rPr>
          <w:rFonts w:hint="eastAsia" w:ascii="宋体" w:hAnsi="宋体"/>
          <w:b/>
          <w:kern w:val="44"/>
        </w:rPr>
        <w:t>第十三条</w:t>
      </w:r>
      <w:r>
        <w:rPr>
          <w:rFonts w:hint="eastAsia" w:ascii="宋体" w:hAnsi="宋体"/>
          <w:kern w:val="44"/>
        </w:rPr>
        <w:t>　乡、民族乡、镇人民代表大会审议议案的时候，代表可以向本级人民政府提出询问，由有关机关负责人说明。</w:t>
      </w:r>
    </w:p>
    <w:p w14:paraId="7133F2D4">
      <w:pPr>
        <w:ind w:firstLine="422"/>
        <w:jc w:val="left"/>
        <w:rPr>
          <w:rFonts w:ascii="宋体" w:hAnsi="宋体"/>
          <w:kern w:val="44"/>
        </w:rPr>
      </w:pPr>
      <w:r>
        <w:rPr>
          <w:rFonts w:hint="eastAsia" w:ascii="宋体" w:hAnsi="宋体"/>
          <w:b/>
          <w:kern w:val="44"/>
        </w:rPr>
        <w:t>第十四条</w:t>
      </w:r>
      <w:r>
        <w:rPr>
          <w:rFonts w:hint="eastAsia" w:ascii="宋体" w:hAnsi="宋体"/>
          <w:kern w:val="44"/>
        </w:rPr>
        <w:t>　乡、民族乡、镇人民代表大会代表在会议期间对各方面工作提出的建议、批评和意见，由主席团交有关机关和组织研究处理并负责答复。有关机关和组织应当在三个月内，情况复杂的不超过六个月，予以答复。对迫切需要办理又有条件办理的，有关机关和组织应当在会议期间办理或者提出办理方案答复代表。</w:t>
      </w:r>
    </w:p>
    <w:p w14:paraId="45827DC9">
      <w:pPr>
        <w:ind w:firstLine="422"/>
        <w:jc w:val="left"/>
        <w:rPr>
          <w:rFonts w:ascii="宋体" w:hAnsi="宋体"/>
          <w:kern w:val="44"/>
        </w:rPr>
      </w:pPr>
      <w:r>
        <w:rPr>
          <w:rFonts w:hint="eastAsia" w:ascii="宋体" w:hAnsi="宋体"/>
          <w:b/>
          <w:kern w:val="44"/>
        </w:rPr>
        <w:t>第十五条</w:t>
      </w:r>
      <w:r>
        <w:rPr>
          <w:rFonts w:hint="eastAsia" w:ascii="宋体" w:hAnsi="宋体"/>
          <w:kern w:val="44"/>
        </w:rPr>
        <w:t>　每届乡、民族乡、镇人民代表大会第一次会议，由主席团在代表中提名，大会通过，设立代表资格审查委员会，其职权行使至本届人民代表大会任期届满为止。</w:t>
      </w:r>
    </w:p>
    <w:p w14:paraId="533E350D">
      <w:pPr>
        <w:jc w:val="left"/>
        <w:rPr>
          <w:rFonts w:ascii="宋体" w:hAnsi="宋体"/>
          <w:kern w:val="44"/>
        </w:rPr>
      </w:pPr>
      <w:r>
        <w:rPr>
          <w:rFonts w:hint="eastAsia" w:ascii="宋体" w:hAnsi="宋体"/>
          <w:kern w:val="44"/>
        </w:rPr>
        <w:t>新的一届乡、民族乡、镇人民代表大会代表选出后，由上届代表资格审查委员会进行审查并向上届人民代表大会主席团提出报告，经主席团审议通过后，在新的一届人民代表大会第一次会议的预备会议上宣布。</w:t>
      </w:r>
    </w:p>
    <w:p w14:paraId="3C8F9E27">
      <w:pPr>
        <w:ind w:firstLine="422"/>
        <w:jc w:val="left"/>
        <w:rPr>
          <w:rFonts w:ascii="宋体" w:hAnsi="宋体"/>
          <w:kern w:val="44"/>
        </w:rPr>
      </w:pPr>
      <w:r>
        <w:rPr>
          <w:rFonts w:hint="eastAsia" w:ascii="宋体" w:hAnsi="宋体"/>
          <w:b/>
          <w:kern w:val="44"/>
        </w:rPr>
        <w:t>第十六条</w:t>
      </w:r>
      <w:r>
        <w:rPr>
          <w:rFonts w:hint="eastAsia" w:ascii="宋体" w:hAnsi="宋体"/>
          <w:kern w:val="44"/>
        </w:rPr>
        <w:t>　乡、民族乡、镇人民代表大会举行会议的时候，乡长、副乡长，镇长、副镇长列席会议；其他有关机关、团体负责人，经主席团决定，可以列席会议。</w:t>
      </w:r>
    </w:p>
    <w:p w14:paraId="58122D1D">
      <w:pPr>
        <w:jc w:val="left"/>
        <w:rPr>
          <w:rFonts w:ascii="宋体" w:hAnsi="宋体"/>
          <w:kern w:val="44"/>
        </w:rPr>
      </w:pPr>
      <w:r>
        <w:rPr>
          <w:rFonts w:hint="eastAsia" w:ascii="宋体" w:hAnsi="宋体"/>
          <w:kern w:val="44"/>
        </w:rPr>
        <w:t>列席人数不得超过代表总数的二分之一。</w:t>
      </w:r>
    </w:p>
    <w:p w14:paraId="65D32DB0">
      <w:pPr>
        <w:jc w:val="left"/>
        <w:rPr>
          <w:rFonts w:ascii="宋体" w:hAnsi="宋体"/>
          <w:kern w:val="44"/>
        </w:rPr>
      </w:pPr>
    </w:p>
    <w:p w14:paraId="144DBBD7">
      <w:pPr>
        <w:ind w:firstLine="0" w:firstLineChars="0"/>
        <w:jc w:val="center"/>
        <w:rPr>
          <w:rFonts w:ascii="宋体" w:hAnsi="宋体"/>
          <w:b/>
          <w:kern w:val="44"/>
          <w:sz w:val="28"/>
        </w:rPr>
      </w:pPr>
      <w:r>
        <w:rPr>
          <w:rFonts w:hint="eastAsia" w:ascii="宋体" w:hAnsi="宋体"/>
          <w:b/>
          <w:kern w:val="44"/>
          <w:sz w:val="28"/>
        </w:rPr>
        <w:t>第四章　乡、民族乡、镇人民代表大会</w:t>
      </w:r>
    </w:p>
    <w:p w14:paraId="7B0D5A13">
      <w:pPr>
        <w:ind w:firstLine="0" w:firstLineChars="0"/>
        <w:jc w:val="center"/>
        <w:rPr>
          <w:rFonts w:ascii="宋体" w:hAnsi="宋体"/>
          <w:b/>
          <w:kern w:val="44"/>
          <w:sz w:val="28"/>
        </w:rPr>
      </w:pPr>
      <w:r>
        <w:rPr>
          <w:rFonts w:hint="eastAsia" w:ascii="宋体" w:hAnsi="宋体"/>
          <w:b/>
          <w:kern w:val="44"/>
          <w:sz w:val="28"/>
        </w:rPr>
        <w:t xml:space="preserve">  主席团，主席、副主席</w:t>
      </w:r>
    </w:p>
    <w:p w14:paraId="6D047DE6">
      <w:pPr>
        <w:jc w:val="left"/>
        <w:rPr>
          <w:rFonts w:ascii="宋体" w:hAnsi="宋体"/>
          <w:kern w:val="44"/>
        </w:rPr>
      </w:pPr>
    </w:p>
    <w:p w14:paraId="43067EB5">
      <w:pPr>
        <w:ind w:firstLine="422"/>
        <w:jc w:val="left"/>
        <w:rPr>
          <w:rFonts w:ascii="宋体" w:hAnsi="宋体"/>
          <w:kern w:val="44"/>
        </w:rPr>
      </w:pPr>
      <w:r>
        <w:rPr>
          <w:rFonts w:hint="eastAsia" w:ascii="宋体" w:hAnsi="宋体"/>
          <w:b/>
          <w:kern w:val="44"/>
        </w:rPr>
        <w:t>第十七条</w:t>
      </w:r>
      <w:r>
        <w:rPr>
          <w:rFonts w:hint="eastAsia" w:ascii="宋体" w:hAnsi="宋体"/>
          <w:kern w:val="44"/>
        </w:rPr>
        <w:t>　乡、民族乡、镇人民代表大会主席团由本级人民代表大会会议选举产生。</w:t>
      </w:r>
    </w:p>
    <w:p w14:paraId="0E4941B4">
      <w:pPr>
        <w:jc w:val="left"/>
        <w:rPr>
          <w:rFonts w:ascii="宋体" w:hAnsi="宋体"/>
          <w:kern w:val="44"/>
        </w:rPr>
      </w:pPr>
      <w:r>
        <w:rPr>
          <w:rFonts w:hint="eastAsia" w:ascii="宋体" w:hAnsi="宋体"/>
          <w:kern w:val="44"/>
        </w:rPr>
        <w:t>主席团一般由五人至九人组成。</w:t>
      </w:r>
    </w:p>
    <w:p w14:paraId="31E6ACFB">
      <w:pPr>
        <w:ind w:firstLine="422"/>
        <w:jc w:val="left"/>
        <w:rPr>
          <w:rFonts w:ascii="宋体" w:hAnsi="宋体"/>
          <w:kern w:val="44"/>
        </w:rPr>
      </w:pPr>
      <w:r>
        <w:rPr>
          <w:rFonts w:hint="eastAsia" w:ascii="宋体" w:hAnsi="宋体"/>
          <w:b/>
          <w:kern w:val="44"/>
        </w:rPr>
        <w:t>第十八条</w:t>
      </w:r>
      <w:r>
        <w:rPr>
          <w:rFonts w:hint="eastAsia" w:ascii="宋体" w:hAnsi="宋体"/>
          <w:kern w:val="44"/>
        </w:rPr>
        <w:t>　乡、民族乡、镇人民代表大会主席团，决定人民代表大会会议召开的日期，提出会议议程草案，并做好会议前的各项筹备工作。</w:t>
      </w:r>
    </w:p>
    <w:p w14:paraId="7DBB16E8">
      <w:pPr>
        <w:ind w:firstLine="422"/>
        <w:jc w:val="left"/>
        <w:rPr>
          <w:rFonts w:ascii="宋体" w:hAnsi="宋体"/>
          <w:kern w:val="44"/>
        </w:rPr>
      </w:pPr>
      <w:r>
        <w:rPr>
          <w:rFonts w:hint="eastAsia" w:ascii="宋体" w:hAnsi="宋体"/>
          <w:b/>
          <w:kern w:val="44"/>
        </w:rPr>
        <w:t>第十九条</w:t>
      </w:r>
      <w:r>
        <w:rPr>
          <w:rFonts w:hint="eastAsia" w:ascii="宋体" w:hAnsi="宋体"/>
          <w:kern w:val="44"/>
        </w:rPr>
        <w:t>　乡、民族乡、镇人民代表大会设主席，并可以设副主席一人至二人。主席、副主席由本级人民代表大会从代表中选出，任期同本级人民代表大会每届任期相同。主席、副主席为主席团成员。主席负责召集并主持主席团会议。</w:t>
      </w:r>
    </w:p>
    <w:p w14:paraId="362A384F">
      <w:pPr>
        <w:jc w:val="left"/>
        <w:rPr>
          <w:rFonts w:ascii="宋体" w:hAnsi="宋体"/>
          <w:kern w:val="44"/>
        </w:rPr>
      </w:pPr>
      <w:r>
        <w:rPr>
          <w:rFonts w:hint="eastAsia" w:ascii="宋体" w:hAnsi="宋体"/>
          <w:kern w:val="44"/>
        </w:rPr>
        <w:t>乡、民族乡、镇人民代表大会主席、副主席不得担任国家行政机关的职务；如果担任国家行政机关的职务，必须向本级人民代表大会辞去主席、副主席的职务。</w:t>
      </w:r>
    </w:p>
    <w:p w14:paraId="2401172F">
      <w:pPr>
        <w:jc w:val="left"/>
        <w:rPr>
          <w:rFonts w:ascii="宋体" w:hAnsi="宋体"/>
          <w:kern w:val="44"/>
        </w:rPr>
      </w:pPr>
      <w:r>
        <w:rPr>
          <w:rFonts w:hint="eastAsia" w:ascii="宋体" w:hAnsi="宋体"/>
          <w:kern w:val="44"/>
        </w:rPr>
        <w:t>乡、民族乡、镇人民代表大会可以设秘书一人，协助主席、副主席办理日常事务。</w:t>
      </w:r>
    </w:p>
    <w:p w14:paraId="5B5BF277">
      <w:pPr>
        <w:ind w:firstLine="422"/>
        <w:jc w:val="left"/>
        <w:rPr>
          <w:rFonts w:ascii="宋体" w:hAnsi="宋体"/>
          <w:kern w:val="44"/>
        </w:rPr>
      </w:pPr>
      <w:r>
        <w:rPr>
          <w:rFonts w:hint="eastAsia" w:ascii="宋体" w:hAnsi="宋体"/>
          <w:b/>
          <w:kern w:val="44"/>
        </w:rPr>
        <w:t>第二十条</w:t>
      </w:r>
      <w:r>
        <w:rPr>
          <w:rFonts w:hint="eastAsia" w:ascii="宋体" w:hAnsi="宋体"/>
          <w:kern w:val="44"/>
        </w:rPr>
        <w:t>　乡、民族乡、镇人民代表大会主席、副主席中至少有一人为专职。</w:t>
      </w:r>
    </w:p>
    <w:p w14:paraId="1A345060">
      <w:pPr>
        <w:jc w:val="left"/>
        <w:rPr>
          <w:rFonts w:ascii="宋体" w:hAnsi="宋体"/>
          <w:kern w:val="44"/>
        </w:rPr>
      </w:pPr>
      <w:r>
        <w:rPr>
          <w:rFonts w:hint="eastAsia" w:ascii="宋体" w:hAnsi="宋体"/>
          <w:kern w:val="44"/>
        </w:rPr>
        <w:t>主席、副主席在本级人民代表大会闭会期间负责下列工作：</w:t>
      </w:r>
    </w:p>
    <w:p w14:paraId="7C56D439">
      <w:pPr>
        <w:jc w:val="left"/>
        <w:rPr>
          <w:rFonts w:ascii="宋体" w:hAnsi="宋体"/>
          <w:kern w:val="44"/>
        </w:rPr>
      </w:pPr>
      <w:r>
        <w:rPr>
          <w:rFonts w:hint="eastAsia" w:ascii="宋体" w:hAnsi="宋体"/>
          <w:kern w:val="44"/>
        </w:rPr>
        <w:t>（一）了解和调查宪法、法律、法规以及上级人民代表大会及其常务委员会和本级人民代表大会决议在本行政区域内的遵守和执行情况，提出意见、建议；</w:t>
      </w:r>
    </w:p>
    <w:p w14:paraId="4AA377B3">
      <w:pPr>
        <w:jc w:val="left"/>
        <w:rPr>
          <w:rFonts w:ascii="宋体" w:hAnsi="宋体"/>
          <w:kern w:val="44"/>
        </w:rPr>
      </w:pPr>
      <w:r>
        <w:rPr>
          <w:rFonts w:hint="eastAsia" w:ascii="宋体" w:hAnsi="宋体"/>
          <w:kern w:val="44"/>
        </w:rPr>
        <w:t>（二）督促检查本级人民政府及有关部门办理代表提出的建议、批评和意见；</w:t>
      </w:r>
    </w:p>
    <w:p w14:paraId="44C972C0">
      <w:pPr>
        <w:jc w:val="left"/>
        <w:rPr>
          <w:rFonts w:ascii="宋体" w:hAnsi="宋体"/>
          <w:kern w:val="44"/>
        </w:rPr>
      </w:pPr>
      <w:r>
        <w:rPr>
          <w:rFonts w:hint="eastAsia" w:ascii="宋体" w:hAnsi="宋体"/>
          <w:kern w:val="44"/>
        </w:rPr>
        <w:t>（三）组织代表开展民主评议，向被评议部门提出建议、批评和意见，督促整改；</w:t>
      </w:r>
    </w:p>
    <w:p w14:paraId="3D8BAD07">
      <w:pPr>
        <w:jc w:val="left"/>
        <w:rPr>
          <w:rFonts w:ascii="宋体" w:hAnsi="宋体"/>
          <w:kern w:val="44"/>
        </w:rPr>
      </w:pPr>
      <w:r>
        <w:rPr>
          <w:rFonts w:hint="eastAsia" w:ascii="宋体" w:hAnsi="宋体"/>
          <w:kern w:val="44"/>
        </w:rPr>
        <w:t>（四）组织代表开展视察、检查和调查等活动；</w:t>
      </w:r>
    </w:p>
    <w:p w14:paraId="31DB9B93">
      <w:pPr>
        <w:jc w:val="left"/>
        <w:rPr>
          <w:rFonts w:ascii="宋体" w:hAnsi="宋体"/>
          <w:kern w:val="44"/>
        </w:rPr>
      </w:pPr>
      <w:r>
        <w:rPr>
          <w:rFonts w:hint="eastAsia" w:ascii="宋体" w:hAnsi="宋体"/>
          <w:kern w:val="44"/>
        </w:rPr>
        <w:t>（五）联系本级人民代表大会代表，推动代表小组开展活动，交流经验；</w:t>
      </w:r>
    </w:p>
    <w:p w14:paraId="6E4F7FCC">
      <w:pPr>
        <w:jc w:val="left"/>
        <w:rPr>
          <w:rFonts w:ascii="宋体" w:hAnsi="宋体"/>
          <w:kern w:val="44"/>
        </w:rPr>
      </w:pPr>
      <w:r>
        <w:rPr>
          <w:rFonts w:hint="eastAsia" w:ascii="宋体" w:hAnsi="宋体"/>
          <w:kern w:val="44"/>
        </w:rPr>
        <w:t>（六）接待和办理人民代表和群众的来信来访，向有关部门反映代表和群众的建议、批评和意见；</w:t>
      </w:r>
    </w:p>
    <w:p w14:paraId="5E52F330">
      <w:pPr>
        <w:jc w:val="left"/>
        <w:rPr>
          <w:rFonts w:ascii="宋体" w:hAnsi="宋体"/>
          <w:kern w:val="44"/>
        </w:rPr>
      </w:pPr>
      <w:r>
        <w:rPr>
          <w:rFonts w:hint="eastAsia" w:ascii="宋体" w:hAnsi="宋体"/>
          <w:kern w:val="44"/>
        </w:rPr>
        <w:t>（七）办理本级人民代表大会交办的有关事项。</w:t>
      </w:r>
    </w:p>
    <w:p w14:paraId="26BEFCED">
      <w:pPr>
        <w:ind w:firstLine="422"/>
        <w:jc w:val="left"/>
        <w:rPr>
          <w:rFonts w:ascii="宋体" w:hAnsi="宋体"/>
          <w:kern w:val="44"/>
        </w:rPr>
      </w:pPr>
      <w:r>
        <w:rPr>
          <w:rFonts w:hint="eastAsia" w:ascii="宋体" w:hAnsi="宋体"/>
          <w:b/>
          <w:kern w:val="44"/>
        </w:rPr>
        <w:t>第二十一条</w:t>
      </w:r>
      <w:r>
        <w:rPr>
          <w:rFonts w:hint="eastAsia" w:ascii="宋体" w:hAnsi="宋体"/>
          <w:kern w:val="44"/>
        </w:rPr>
        <w:t>　乡、民族乡、镇人民代表大会主席、副主席在大会闭会期间可以召开主席团会议讨论有关事项。民主评议方案、闭会期间的工作计划和代表活动计划等，应当经主席团会议讨论。</w:t>
      </w:r>
    </w:p>
    <w:p w14:paraId="6DDFC93A">
      <w:pPr>
        <w:jc w:val="left"/>
        <w:rPr>
          <w:rFonts w:ascii="宋体" w:hAnsi="宋体"/>
          <w:kern w:val="44"/>
        </w:rPr>
      </w:pPr>
      <w:r>
        <w:rPr>
          <w:rFonts w:hint="eastAsia" w:ascii="宋体" w:hAnsi="宋体"/>
          <w:kern w:val="44"/>
        </w:rPr>
        <w:t>乡、民族乡、镇人民代表大会主席或者副主席应当定期向本级人民代表大会报告闭会期间的工作。</w:t>
      </w:r>
    </w:p>
    <w:p w14:paraId="3905F799">
      <w:pPr>
        <w:ind w:firstLine="422"/>
        <w:jc w:val="left"/>
        <w:rPr>
          <w:rFonts w:ascii="宋体" w:hAnsi="宋体"/>
          <w:kern w:val="44"/>
        </w:rPr>
      </w:pPr>
      <w:r>
        <w:rPr>
          <w:rFonts w:hint="eastAsia" w:ascii="宋体" w:hAnsi="宋体"/>
          <w:b/>
          <w:kern w:val="44"/>
        </w:rPr>
        <w:t>第二十二条</w:t>
      </w:r>
      <w:r>
        <w:rPr>
          <w:rFonts w:hint="eastAsia" w:ascii="宋体" w:hAnsi="宋体"/>
          <w:kern w:val="44"/>
        </w:rPr>
        <w:t>　乡、民族乡、镇人民代表大会主席或者副主席，根据工作需要，可以参加本级人民政府的会议。</w:t>
      </w:r>
    </w:p>
    <w:p w14:paraId="2C897E8A">
      <w:pPr>
        <w:jc w:val="left"/>
        <w:rPr>
          <w:rFonts w:ascii="宋体" w:hAnsi="宋体"/>
          <w:kern w:val="44"/>
        </w:rPr>
      </w:pPr>
    </w:p>
    <w:p w14:paraId="1EE6119F">
      <w:pPr>
        <w:ind w:firstLine="0" w:firstLineChars="0"/>
        <w:jc w:val="center"/>
        <w:rPr>
          <w:rFonts w:ascii="宋体" w:hAnsi="宋体"/>
          <w:b/>
          <w:kern w:val="44"/>
          <w:sz w:val="28"/>
        </w:rPr>
      </w:pPr>
      <w:r>
        <w:rPr>
          <w:rFonts w:hint="eastAsia" w:ascii="宋体" w:hAnsi="宋体"/>
          <w:b/>
          <w:kern w:val="44"/>
          <w:sz w:val="28"/>
        </w:rPr>
        <w:t>第五章  乡、民族乡、镇人民代表大会主</w:t>
      </w:r>
    </w:p>
    <w:p w14:paraId="3DCC3752">
      <w:pPr>
        <w:ind w:firstLine="0" w:firstLineChars="0"/>
        <w:jc w:val="center"/>
        <w:rPr>
          <w:rFonts w:ascii="宋体" w:hAnsi="宋体"/>
          <w:b/>
          <w:kern w:val="44"/>
          <w:sz w:val="28"/>
        </w:rPr>
      </w:pPr>
      <w:r>
        <w:rPr>
          <w:rFonts w:hint="eastAsia" w:ascii="宋体" w:hAnsi="宋体"/>
          <w:b/>
          <w:kern w:val="44"/>
          <w:sz w:val="28"/>
        </w:rPr>
        <w:t xml:space="preserve">        席、副主席，乡长、副乡长，镇</w:t>
      </w:r>
    </w:p>
    <w:p w14:paraId="0474C62E">
      <w:pPr>
        <w:ind w:firstLine="0" w:firstLineChars="0"/>
        <w:jc w:val="center"/>
        <w:rPr>
          <w:rFonts w:ascii="宋体" w:hAnsi="宋体"/>
          <w:b/>
          <w:kern w:val="44"/>
          <w:sz w:val="28"/>
        </w:rPr>
      </w:pPr>
      <w:r>
        <w:rPr>
          <w:rFonts w:hint="eastAsia" w:ascii="宋体" w:hAnsi="宋体"/>
          <w:b/>
          <w:kern w:val="44"/>
          <w:sz w:val="28"/>
        </w:rPr>
        <w:t xml:space="preserve">        长、副镇长的选举、罢免和补选</w:t>
      </w:r>
    </w:p>
    <w:p w14:paraId="55780FA4">
      <w:pPr>
        <w:jc w:val="left"/>
        <w:rPr>
          <w:rFonts w:ascii="宋体" w:hAnsi="宋体"/>
          <w:kern w:val="44"/>
        </w:rPr>
      </w:pPr>
    </w:p>
    <w:p w14:paraId="157B9236">
      <w:pPr>
        <w:ind w:firstLine="422"/>
        <w:jc w:val="left"/>
        <w:rPr>
          <w:rFonts w:ascii="宋体" w:hAnsi="宋体"/>
          <w:kern w:val="44"/>
        </w:rPr>
      </w:pPr>
      <w:r>
        <w:rPr>
          <w:rFonts w:hint="eastAsia" w:ascii="宋体" w:hAnsi="宋体"/>
          <w:b/>
          <w:kern w:val="44"/>
        </w:rPr>
        <w:t>第二十三条</w:t>
      </w:r>
      <w:r>
        <w:rPr>
          <w:rFonts w:hint="eastAsia" w:ascii="宋体" w:hAnsi="宋体"/>
          <w:kern w:val="44"/>
        </w:rPr>
        <w:t>　每届乡、民族乡、镇人民代表大会第一次会议，选举产生本级人民代表大会主席、副主席，乡长、副乡长，镇长、副镇长。</w:t>
      </w:r>
    </w:p>
    <w:p w14:paraId="61E5289E">
      <w:pPr>
        <w:jc w:val="left"/>
        <w:rPr>
          <w:rFonts w:ascii="宋体" w:hAnsi="宋体"/>
          <w:kern w:val="44"/>
        </w:rPr>
      </w:pPr>
      <w:r>
        <w:rPr>
          <w:rFonts w:hint="eastAsia" w:ascii="宋体" w:hAnsi="宋体"/>
          <w:kern w:val="44"/>
        </w:rPr>
        <w:t>民族乡的乡长由建立民族乡的少数民族公民担任。</w:t>
      </w:r>
    </w:p>
    <w:p w14:paraId="0033A379">
      <w:pPr>
        <w:ind w:firstLine="422"/>
        <w:jc w:val="left"/>
        <w:rPr>
          <w:rFonts w:ascii="宋体" w:hAnsi="宋体"/>
          <w:kern w:val="44"/>
        </w:rPr>
      </w:pPr>
      <w:r>
        <w:rPr>
          <w:rFonts w:hint="eastAsia" w:ascii="宋体" w:hAnsi="宋体"/>
          <w:b/>
          <w:kern w:val="44"/>
        </w:rPr>
        <w:t>第二十四条</w:t>
      </w:r>
      <w:r>
        <w:rPr>
          <w:rFonts w:hint="eastAsia" w:ascii="宋体" w:hAnsi="宋体"/>
          <w:kern w:val="44"/>
        </w:rPr>
        <w:t>　乡、民族乡、镇人民代表大会主席、副主席，乡长、副乡长，镇长、副镇长的候选人，由本级人民代表大会主席团提名或者代表十人以上书面联名提出。</w:t>
      </w:r>
    </w:p>
    <w:p w14:paraId="63E65E24">
      <w:pPr>
        <w:jc w:val="left"/>
        <w:rPr>
          <w:rFonts w:ascii="宋体" w:hAnsi="宋体"/>
          <w:kern w:val="44"/>
        </w:rPr>
      </w:pPr>
      <w:r>
        <w:rPr>
          <w:rFonts w:hint="eastAsia" w:ascii="宋体" w:hAnsi="宋体"/>
          <w:kern w:val="44"/>
        </w:rPr>
        <w:t>主席团提名的候选人人数，每一代表与其他代表联合提名的候选人人数，均不得超过应选名额。</w:t>
      </w:r>
    </w:p>
    <w:p w14:paraId="5C055E51">
      <w:pPr>
        <w:jc w:val="left"/>
        <w:rPr>
          <w:rFonts w:ascii="宋体" w:hAnsi="宋体"/>
          <w:kern w:val="44"/>
        </w:rPr>
      </w:pPr>
      <w:r>
        <w:rPr>
          <w:rFonts w:hint="eastAsia" w:ascii="宋体" w:hAnsi="宋体"/>
          <w:kern w:val="44"/>
        </w:rPr>
        <w:t>提名人应当如实介绍所提名的候选人的情况。</w:t>
      </w:r>
    </w:p>
    <w:p w14:paraId="59B1CE21">
      <w:pPr>
        <w:ind w:firstLine="422"/>
        <w:jc w:val="left"/>
        <w:rPr>
          <w:rFonts w:ascii="宋体" w:hAnsi="宋体"/>
          <w:kern w:val="44"/>
        </w:rPr>
      </w:pPr>
      <w:r>
        <w:rPr>
          <w:rFonts w:hint="eastAsia" w:ascii="宋体" w:hAnsi="宋体"/>
          <w:b/>
          <w:kern w:val="44"/>
        </w:rPr>
        <w:t>第二十五条</w:t>
      </w:r>
      <w:r>
        <w:rPr>
          <w:rFonts w:hint="eastAsia" w:ascii="宋体" w:hAnsi="宋体"/>
          <w:kern w:val="44"/>
        </w:rPr>
        <w:t>　乡、民族乡、镇人民代表大会主席，乡长，镇长的候选人数一般应多一人，进行差额选举；如果提名的候选人只有一人，也可以等额选举。副主席，副乡长，副镇长的候选人数应比应选人数多一人至三人，由本级人民代表大会根据应选人数在选举办法中规定具体差额数，进行差额选举。</w:t>
      </w:r>
    </w:p>
    <w:p w14:paraId="39BD96D7">
      <w:pPr>
        <w:jc w:val="left"/>
        <w:rPr>
          <w:rFonts w:ascii="宋体" w:hAnsi="宋体"/>
          <w:kern w:val="44"/>
        </w:rPr>
      </w:pPr>
      <w:r>
        <w:rPr>
          <w:rFonts w:hint="eastAsia" w:ascii="宋体" w:hAnsi="宋体"/>
          <w:kern w:val="44"/>
        </w:rPr>
        <w:t>如果提名的候选人数符合选举办法规定的差额数，由主席团提交代表酝酿、讨论后，进行选举。如果提名的候选人数超过选举办法规定的差额数，由主席团提交代表酝酿、讨论后，进行预选，根据在预选中得票多少的顺序，按照选举办法规定的差额数，确定正式候选人名单，进行选举。</w:t>
      </w:r>
    </w:p>
    <w:p w14:paraId="59378957">
      <w:pPr>
        <w:ind w:firstLine="422"/>
        <w:jc w:val="left"/>
        <w:rPr>
          <w:rFonts w:ascii="宋体" w:hAnsi="宋体"/>
          <w:kern w:val="44"/>
        </w:rPr>
      </w:pPr>
      <w:r>
        <w:rPr>
          <w:rFonts w:hint="eastAsia" w:ascii="宋体" w:hAnsi="宋体"/>
          <w:b/>
          <w:kern w:val="44"/>
        </w:rPr>
        <w:t>第二十六条</w:t>
      </w:r>
      <w:r>
        <w:rPr>
          <w:rFonts w:hint="eastAsia" w:ascii="宋体" w:hAnsi="宋体"/>
          <w:kern w:val="44"/>
        </w:rPr>
        <w:t>　选举采用无记名投票方式。代表对于确定的候选人，可以投赞成票，可以投反对票，可以依照选举办法的规定另选他人，也可以弃权。</w:t>
      </w:r>
    </w:p>
    <w:p w14:paraId="0F9C833C">
      <w:pPr>
        <w:jc w:val="left"/>
        <w:rPr>
          <w:rFonts w:ascii="宋体" w:hAnsi="宋体"/>
          <w:kern w:val="44"/>
        </w:rPr>
      </w:pPr>
      <w:r>
        <w:rPr>
          <w:rFonts w:hint="eastAsia" w:ascii="宋体" w:hAnsi="宋体"/>
          <w:kern w:val="44"/>
        </w:rPr>
        <w:t>每次选举所投的票数，等于或者少于投票人数的有效，多于投票人数的无效。</w:t>
      </w:r>
    </w:p>
    <w:p w14:paraId="11A8850B">
      <w:pPr>
        <w:jc w:val="left"/>
        <w:rPr>
          <w:rFonts w:ascii="宋体" w:hAnsi="宋体"/>
          <w:kern w:val="44"/>
        </w:rPr>
      </w:pPr>
      <w:r>
        <w:rPr>
          <w:rFonts w:hint="eastAsia" w:ascii="宋体" w:hAnsi="宋体"/>
          <w:kern w:val="44"/>
        </w:rPr>
        <w:t>每一选票所选的人数，等于或者少于规定应选名额的有效，多于应选名额的作废。</w:t>
      </w:r>
    </w:p>
    <w:p w14:paraId="7D76910A">
      <w:pPr>
        <w:ind w:firstLine="422"/>
        <w:jc w:val="left"/>
        <w:rPr>
          <w:rFonts w:ascii="宋体" w:hAnsi="宋体"/>
          <w:kern w:val="44"/>
        </w:rPr>
      </w:pPr>
      <w:r>
        <w:rPr>
          <w:rFonts w:hint="eastAsia" w:ascii="宋体" w:hAnsi="宋体"/>
          <w:b/>
          <w:kern w:val="44"/>
        </w:rPr>
        <w:t>第二十七条</w:t>
      </w:r>
      <w:r>
        <w:rPr>
          <w:rFonts w:hint="eastAsia" w:ascii="宋体" w:hAnsi="宋体"/>
          <w:kern w:val="44"/>
        </w:rPr>
        <w:t>　候选人获得过半数选票的人数超过应选名额时，以得票多的当选。如遇票数相等不能确定当选人时，应当就票数相等的人再次投票，以得票多的当选。</w:t>
      </w:r>
    </w:p>
    <w:p w14:paraId="49BF58C9">
      <w:pPr>
        <w:jc w:val="left"/>
        <w:rPr>
          <w:rFonts w:ascii="宋体" w:hAnsi="宋体"/>
          <w:kern w:val="44"/>
        </w:rPr>
      </w:pPr>
      <w:r>
        <w:rPr>
          <w:rFonts w:hint="eastAsia" w:ascii="宋体" w:hAnsi="宋体"/>
          <w:kern w:val="44"/>
        </w:rPr>
        <w:t>获得过半数选票的当选人数少于应选名额时，不足的名额另行选举。另行选举时，可以根据在第一次投票时得票多少的顺序确定候选人，也可以依照本条例规定的程序另行提名、确定候选人。经本级人民代表大会决定，不足的名额的另行选举可以在本次人民代表大会会议上进行，也可以在下一次人民代表大会会议上进行。</w:t>
      </w:r>
    </w:p>
    <w:p w14:paraId="7175EB1D">
      <w:pPr>
        <w:jc w:val="left"/>
        <w:rPr>
          <w:rFonts w:ascii="宋体" w:hAnsi="宋体"/>
          <w:kern w:val="44"/>
        </w:rPr>
      </w:pPr>
      <w:r>
        <w:rPr>
          <w:rFonts w:hint="eastAsia" w:ascii="宋体" w:hAnsi="宋体"/>
          <w:kern w:val="44"/>
        </w:rPr>
        <w:t>另行选举乡、民族乡、镇人民代表大会副主席，副乡长，副镇长时，依照本条例第二十五条的规定，确定差额数，进行差额选举。</w:t>
      </w:r>
    </w:p>
    <w:p w14:paraId="1F748978">
      <w:pPr>
        <w:ind w:firstLine="422"/>
        <w:jc w:val="left"/>
        <w:rPr>
          <w:rFonts w:ascii="宋体" w:hAnsi="宋体"/>
          <w:kern w:val="44"/>
        </w:rPr>
      </w:pPr>
      <w:r>
        <w:rPr>
          <w:rFonts w:hint="eastAsia" w:ascii="宋体" w:hAnsi="宋体"/>
          <w:b/>
          <w:kern w:val="44"/>
        </w:rPr>
        <w:t>第二十八条</w:t>
      </w:r>
      <w:r>
        <w:rPr>
          <w:rFonts w:hint="eastAsia" w:ascii="宋体" w:hAnsi="宋体"/>
          <w:kern w:val="44"/>
        </w:rPr>
        <w:t>　乡、民族乡、镇人民代表大会主席、副主席，乡长、副乡长，镇长、副镇长，可以向本级人民代表大会提出辞职，由大会决定是否接受辞职。</w:t>
      </w:r>
    </w:p>
    <w:p w14:paraId="54C79D6B">
      <w:pPr>
        <w:jc w:val="left"/>
        <w:rPr>
          <w:rFonts w:ascii="宋体" w:hAnsi="宋体"/>
          <w:kern w:val="44"/>
        </w:rPr>
      </w:pPr>
      <w:r>
        <w:rPr>
          <w:rFonts w:hint="eastAsia" w:ascii="宋体" w:hAnsi="宋体"/>
          <w:kern w:val="44"/>
        </w:rPr>
        <w:t>乡、民族乡、镇人民代表大会主席、副主席，乡长、副乡长，镇长、副镇长在任期内一般不应变动。个别确需变动的，应当由人民代表大会决定接受辞职或者免职。在人民代表大会未决定接受辞职或者免职前，不得离职。</w:t>
      </w:r>
    </w:p>
    <w:p w14:paraId="09964439">
      <w:pPr>
        <w:ind w:firstLine="422"/>
        <w:jc w:val="left"/>
        <w:rPr>
          <w:rFonts w:ascii="宋体" w:hAnsi="宋体"/>
          <w:kern w:val="44"/>
        </w:rPr>
      </w:pPr>
      <w:r>
        <w:rPr>
          <w:rFonts w:hint="eastAsia" w:ascii="宋体" w:hAnsi="宋体"/>
          <w:b/>
          <w:kern w:val="44"/>
        </w:rPr>
        <w:t>第二十九条</w:t>
      </w:r>
      <w:r>
        <w:rPr>
          <w:rFonts w:hint="eastAsia" w:ascii="宋体" w:hAnsi="宋体"/>
          <w:kern w:val="44"/>
        </w:rPr>
        <w:t>　乡、民族乡、镇人民代表大会举行会议的时候，主席团或者五分之一以上代表联名，可以提出对本级人民代表大会主席、副主席，乡长、副乡长，镇长、副镇长的罢免案，由主席团提请大会审议。罢免案应当写明罢免理由。</w:t>
      </w:r>
    </w:p>
    <w:p w14:paraId="0BD210B4">
      <w:pPr>
        <w:jc w:val="left"/>
        <w:rPr>
          <w:rFonts w:ascii="宋体" w:hAnsi="宋体"/>
          <w:kern w:val="44"/>
        </w:rPr>
      </w:pPr>
      <w:r>
        <w:rPr>
          <w:rFonts w:hint="eastAsia" w:ascii="宋体" w:hAnsi="宋体"/>
          <w:kern w:val="44"/>
        </w:rPr>
        <w:t>被提出罢免的人员有权在主席团会议或者大会全体会议上提出申辩意见，或者书面提出申辩意见。在主席团会议上书面提出的申辩意见，由主席团印发会议。</w:t>
      </w:r>
    </w:p>
    <w:p w14:paraId="1D7F395E">
      <w:pPr>
        <w:jc w:val="left"/>
        <w:rPr>
          <w:rFonts w:ascii="宋体" w:hAnsi="宋体"/>
          <w:kern w:val="44"/>
        </w:rPr>
      </w:pPr>
      <w:r>
        <w:rPr>
          <w:rFonts w:hint="eastAsia" w:ascii="宋体" w:hAnsi="宋体"/>
          <w:kern w:val="44"/>
        </w:rPr>
        <w:t>乡、民族乡、镇人民代表大会主席、副主席的代表职务被罢免的，其主席、副主席的职务相应撤销，由主席团予以公告。</w:t>
      </w:r>
    </w:p>
    <w:p w14:paraId="314F19AF">
      <w:pPr>
        <w:ind w:firstLine="422"/>
        <w:jc w:val="left"/>
        <w:rPr>
          <w:rFonts w:ascii="宋体" w:hAnsi="宋体"/>
          <w:kern w:val="44"/>
        </w:rPr>
      </w:pPr>
      <w:r>
        <w:rPr>
          <w:rFonts w:hint="eastAsia" w:ascii="宋体" w:hAnsi="宋体"/>
          <w:b/>
          <w:kern w:val="44"/>
        </w:rPr>
        <w:t>第三十条</w:t>
      </w:r>
      <w:r>
        <w:rPr>
          <w:rFonts w:hint="eastAsia" w:ascii="宋体" w:hAnsi="宋体"/>
          <w:kern w:val="44"/>
        </w:rPr>
        <w:t>　补选乡、民族乡、镇人民代表大会主席、副主席，乡长、副乡长，镇长、副镇长，应当召开人民代表大会会议。补选时，候选人数可以多于应选人数，也可以同应选人数相等。选举办法由本级人民代表大会决定。</w:t>
      </w:r>
    </w:p>
    <w:p w14:paraId="3BF31765">
      <w:pPr>
        <w:jc w:val="left"/>
        <w:rPr>
          <w:rFonts w:ascii="宋体" w:hAnsi="宋体"/>
          <w:kern w:val="44"/>
        </w:rPr>
      </w:pPr>
    </w:p>
    <w:p w14:paraId="55F8497A">
      <w:pPr>
        <w:ind w:firstLine="0" w:firstLineChars="0"/>
        <w:jc w:val="center"/>
        <w:rPr>
          <w:rFonts w:ascii="宋体" w:hAnsi="宋体"/>
          <w:b/>
          <w:kern w:val="44"/>
          <w:sz w:val="28"/>
        </w:rPr>
      </w:pPr>
      <w:r>
        <w:rPr>
          <w:rFonts w:hint="eastAsia" w:ascii="宋体" w:hAnsi="宋体"/>
          <w:b/>
          <w:kern w:val="44"/>
          <w:sz w:val="28"/>
        </w:rPr>
        <w:t>第六章　乡、民族乡、镇人民</w:t>
      </w:r>
    </w:p>
    <w:p w14:paraId="47C642CC">
      <w:pPr>
        <w:ind w:firstLine="0" w:firstLineChars="0"/>
        <w:jc w:val="center"/>
        <w:rPr>
          <w:rFonts w:ascii="宋体" w:hAnsi="宋体"/>
          <w:b/>
          <w:kern w:val="44"/>
          <w:sz w:val="28"/>
        </w:rPr>
      </w:pPr>
      <w:r>
        <w:rPr>
          <w:rFonts w:hint="eastAsia" w:ascii="宋体" w:hAnsi="宋体"/>
          <w:b/>
          <w:kern w:val="44"/>
          <w:sz w:val="28"/>
        </w:rPr>
        <w:t xml:space="preserve">  代表大会代表</w:t>
      </w:r>
    </w:p>
    <w:p w14:paraId="1ED18FEA">
      <w:pPr>
        <w:jc w:val="left"/>
        <w:rPr>
          <w:rFonts w:ascii="宋体" w:hAnsi="宋体"/>
          <w:kern w:val="44"/>
        </w:rPr>
      </w:pPr>
    </w:p>
    <w:p w14:paraId="757669F3">
      <w:pPr>
        <w:ind w:firstLine="422"/>
        <w:jc w:val="left"/>
        <w:rPr>
          <w:rFonts w:ascii="宋体" w:hAnsi="宋体"/>
          <w:kern w:val="44"/>
        </w:rPr>
      </w:pPr>
      <w:r>
        <w:rPr>
          <w:rFonts w:hint="eastAsia" w:ascii="宋体" w:hAnsi="宋体"/>
          <w:b/>
          <w:kern w:val="44"/>
        </w:rPr>
        <w:t>第三十一条</w:t>
      </w:r>
      <w:r>
        <w:rPr>
          <w:rFonts w:hint="eastAsia" w:ascii="宋体" w:hAnsi="宋体"/>
          <w:kern w:val="44"/>
        </w:rPr>
        <w:t>　乡、民族乡、镇人民代表大会代表名额的确定和代表的选举，按照《中华人民共和国全国人民代表大会和地方各级人民代表大会选举法》和《北京市区、县、乡、民族乡、镇人民代表大会代表选举实施细则》的规定办理。</w:t>
      </w:r>
    </w:p>
    <w:p w14:paraId="2E2E3273">
      <w:pPr>
        <w:ind w:firstLine="422"/>
        <w:jc w:val="left"/>
        <w:rPr>
          <w:rFonts w:ascii="宋体" w:hAnsi="宋体"/>
          <w:kern w:val="44"/>
        </w:rPr>
      </w:pPr>
      <w:r>
        <w:rPr>
          <w:rFonts w:hint="eastAsia" w:ascii="宋体" w:hAnsi="宋体"/>
          <w:b/>
          <w:kern w:val="44"/>
        </w:rPr>
        <w:t>第三十二条</w:t>
      </w:r>
      <w:r>
        <w:rPr>
          <w:rFonts w:hint="eastAsia" w:ascii="宋体" w:hAnsi="宋体"/>
          <w:kern w:val="44"/>
        </w:rPr>
        <w:t>　乡、民族乡、镇人民代表大会代表任期，从每届人民代表大会举行第一次会议开始，到下届人民代表大会举行第一次会议为止。</w:t>
      </w:r>
    </w:p>
    <w:p w14:paraId="79BBEC2F">
      <w:pPr>
        <w:ind w:firstLine="422"/>
        <w:jc w:val="left"/>
        <w:rPr>
          <w:rFonts w:ascii="宋体" w:hAnsi="宋体"/>
          <w:kern w:val="44"/>
        </w:rPr>
      </w:pPr>
      <w:r>
        <w:rPr>
          <w:rFonts w:hint="eastAsia" w:ascii="宋体" w:hAnsi="宋体"/>
          <w:b/>
          <w:kern w:val="44"/>
        </w:rPr>
        <w:t>第三十三条</w:t>
      </w:r>
      <w:r>
        <w:rPr>
          <w:rFonts w:hint="eastAsia" w:ascii="宋体" w:hAnsi="宋体"/>
          <w:kern w:val="44"/>
        </w:rPr>
        <w:t>　乡、民族乡、镇人民代表大会代表在人民代表大会会议上的发言和表决，不受法律追究。</w:t>
      </w:r>
    </w:p>
    <w:p w14:paraId="144F120A">
      <w:pPr>
        <w:ind w:firstLine="422"/>
        <w:jc w:val="left"/>
        <w:rPr>
          <w:rFonts w:ascii="宋体" w:hAnsi="宋体"/>
          <w:kern w:val="44"/>
        </w:rPr>
      </w:pPr>
      <w:r>
        <w:rPr>
          <w:rFonts w:hint="eastAsia" w:ascii="宋体" w:hAnsi="宋体"/>
          <w:b/>
          <w:kern w:val="44"/>
        </w:rPr>
        <w:t>第三十四条</w:t>
      </w:r>
      <w:r>
        <w:rPr>
          <w:rFonts w:hint="eastAsia" w:ascii="宋体" w:hAnsi="宋体"/>
          <w:kern w:val="44"/>
        </w:rPr>
        <w:t>　乡、民族乡、镇人民代表大会代表，如果被逮捕、受刑事审判或者被采取法律规定的其他限制人身自由的措施，执行机关应当立即报告乡、民族乡、镇人民代表大会。</w:t>
      </w:r>
    </w:p>
    <w:p w14:paraId="40BFC2FB">
      <w:pPr>
        <w:ind w:firstLine="422"/>
        <w:jc w:val="left"/>
        <w:rPr>
          <w:rFonts w:ascii="宋体" w:hAnsi="宋体"/>
          <w:kern w:val="44"/>
        </w:rPr>
      </w:pPr>
      <w:r>
        <w:rPr>
          <w:rFonts w:hint="eastAsia" w:ascii="宋体" w:hAnsi="宋体"/>
          <w:b/>
          <w:kern w:val="44"/>
        </w:rPr>
        <w:t>第三十五条</w:t>
      </w:r>
      <w:r>
        <w:rPr>
          <w:rFonts w:hint="eastAsia" w:ascii="宋体" w:hAnsi="宋体"/>
          <w:kern w:val="44"/>
        </w:rPr>
        <w:t>　乡、民族乡、镇人民代表大会代表应当出席本级人民代表大会会议。因病或者其他特殊原因不能出席会议的，必须向主席或者副主席书面请假，并由主席或者副主席报告大会主席团。未经批准两次不出席本级人民代表大会会议的代表，代表资格终止。</w:t>
      </w:r>
    </w:p>
    <w:p w14:paraId="0527D016">
      <w:pPr>
        <w:ind w:firstLine="422"/>
        <w:jc w:val="left"/>
        <w:rPr>
          <w:rFonts w:ascii="宋体" w:hAnsi="宋体"/>
          <w:kern w:val="44"/>
        </w:rPr>
      </w:pPr>
      <w:r>
        <w:rPr>
          <w:rFonts w:hint="eastAsia" w:ascii="宋体" w:hAnsi="宋体"/>
          <w:b/>
          <w:kern w:val="44"/>
        </w:rPr>
        <w:t>第三十六条</w:t>
      </w:r>
      <w:r>
        <w:rPr>
          <w:rFonts w:hint="eastAsia" w:ascii="宋体" w:hAnsi="宋体"/>
          <w:kern w:val="44"/>
        </w:rPr>
        <w:t>　乡、民族乡、镇人民代表大会代表在出席人民代表大会会议和执行代表职务的时候，其所在单位必须给予时间保障，按正常出勤对待，享受应得的工资和其他待遇。</w:t>
      </w:r>
    </w:p>
    <w:p w14:paraId="66BBB9EC">
      <w:pPr>
        <w:jc w:val="left"/>
        <w:rPr>
          <w:rFonts w:ascii="宋体" w:hAnsi="宋体"/>
          <w:kern w:val="44"/>
        </w:rPr>
      </w:pPr>
      <w:r>
        <w:rPr>
          <w:rFonts w:hint="eastAsia" w:ascii="宋体" w:hAnsi="宋体"/>
          <w:kern w:val="44"/>
        </w:rPr>
        <w:t>代表执行代表职务，可以根据实际情况给予适当补贴。</w:t>
      </w:r>
    </w:p>
    <w:p w14:paraId="24276DDC">
      <w:pPr>
        <w:jc w:val="left"/>
        <w:rPr>
          <w:rFonts w:ascii="宋体" w:hAnsi="宋体"/>
          <w:kern w:val="44"/>
        </w:rPr>
      </w:pPr>
      <w:r>
        <w:rPr>
          <w:rFonts w:hint="eastAsia" w:ascii="宋体" w:hAnsi="宋体"/>
          <w:kern w:val="44"/>
        </w:rPr>
        <w:t>代表活动所需经费，列入本级财政预算。</w:t>
      </w:r>
    </w:p>
    <w:p w14:paraId="71CEC8F6">
      <w:pPr>
        <w:ind w:firstLine="422"/>
        <w:jc w:val="left"/>
        <w:rPr>
          <w:rFonts w:ascii="宋体" w:hAnsi="宋体"/>
          <w:kern w:val="44"/>
        </w:rPr>
      </w:pPr>
      <w:r>
        <w:rPr>
          <w:rFonts w:hint="eastAsia" w:ascii="宋体" w:hAnsi="宋体"/>
          <w:b/>
          <w:kern w:val="44"/>
        </w:rPr>
        <w:t>第三十七条</w:t>
      </w:r>
      <w:r>
        <w:rPr>
          <w:rFonts w:hint="eastAsia" w:ascii="宋体" w:hAnsi="宋体"/>
          <w:kern w:val="44"/>
        </w:rPr>
        <w:t>　乡、民族乡、镇人民代表大会代表必须模范地遵守宪法和法律，保守国家秘密，并且在自己参加的生产、工作和社会生活中，协助宪法和法律的实施，努力为人民服务。</w:t>
      </w:r>
    </w:p>
    <w:p w14:paraId="0525EC1A">
      <w:pPr>
        <w:ind w:firstLine="422"/>
        <w:jc w:val="left"/>
        <w:rPr>
          <w:rFonts w:ascii="宋体" w:hAnsi="宋体"/>
          <w:kern w:val="44"/>
        </w:rPr>
      </w:pPr>
      <w:r>
        <w:rPr>
          <w:rFonts w:hint="eastAsia" w:ascii="宋体" w:hAnsi="宋体"/>
          <w:b/>
          <w:kern w:val="44"/>
        </w:rPr>
        <w:t>第三十八条</w:t>
      </w:r>
      <w:r>
        <w:rPr>
          <w:rFonts w:hint="eastAsia" w:ascii="宋体" w:hAnsi="宋体"/>
          <w:kern w:val="44"/>
        </w:rPr>
        <w:t>　乡、民族乡、镇人民代表大会代表应当和选民保持密切联系，宣传法律和政策，协助本级人民政府推行工作，并且向人民代表大会和人民政府反映群众的意见和要求。</w:t>
      </w:r>
    </w:p>
    <w:p w14:paraId="1F171F7D">
      <w:pPr>
        <w:jc w:val="left"/>
        <w:rPr>
          <w:rFonts w:ascii="宋体" w:hAnsi="宋体"/>
          <w:kern w:val="44"/>
        </w:rPr>
      </w:pPr>
      <w:r>
        <w:rPr>
          <w:rFonts w:hint="eastAsia" w:ascii="宋体" w:hAnsi="宋体"/>
          <w:kern w:val="44"/>
        </w:rPr>
        <w:t>乡、民族乡、镇人民代表大会代表在闭会期间可以建立代表小组，开展代表活动。</w:t>
      </w:r>
    </w:p>
    <w:p w14:paraId="28774EBB">
      <w:pPr>
        <w:ind w:firstLine="422"/>
        <w:jc w:val="left"/>
        <w:rPr>
          <w:rFonts w:ascii="宋体" w:hAnsi="宋体"/>
          <w:kern w:val="44"/>
        </w:rPr>
      </w:pPr>
      <w:r>
        <w:rPr>
          <w:rFonts w:hint="eastAsia" w:ascii="宋体" w:hAnsi="宋体"/>
          <w:b/>
          <w:kern w:val="44"/>
        </w:rPr>
        <w:t>第三十九条</w:t>
      </w:r>
      <w:r>
        <w:rPr>
          <w:rFonts w:hint="eastAsia" w:ascii="宋体" w:hAnsi="宋体"/>
          <w:kern w:val="44"/>
        </w:rPr>
        <w:t>　乡、民族乡、镇应当建立人民代表大会代表联系选民的制度，以及主席、副主席和本级人民政府领导人员联系代表的制度。</w:t>
      </w:r>
    </w:p>
    <w:p w14:paraId="1A089FDA">
      <w:pPr>
        <w:ind w:firstLine="422"/>
        <w:jc w:val="left"/>
        <w:rPr>
          <w:rFonts w:ascii="宋体" w:hAnsi="宋体"/>
          <w:kern w:val="44"/>
        </w:rPr>
      </w:pPr>
      <w:r>
        <w:rPr>
          <w:rFonts w:hint="eastAsia" w:ascii="宋体" w:hAnsi="宋体"/>
          <w:b/>
          <w:kern w:val="44"/>
        </w:rPr>
        <w:t>第四十条</w:t>
      </w:r>
      <w:r>
        <w:rPr>
          <w:rFonts w:hint="eastAsia" w:ascii="宋体" w:hAnsi="宋体"/>
          <w:kern w:val="44"/>
        </w:rPr>
        <w:t>　乡、民族乡、镇人民代表大会代表受选民的监督。选民有权罢免自己选出的代表。罢免代表须经原选区过半数的选民通过。</w:t>
      </w:r>
    </w:p>
    <w:p w14:paraId="3648C2F3">
      <w:pPr>
        <w:ind w:firstLine="422"/>
        <w:jc w:val="left"/>
        <w:rPr>
          <w:rFonts w:ascii="宋体" w:hAnsi="宋体"/>
          <w:kern w:val="44"/>
        </w:rPr>
      </w:pPr>
      <w:r>
        <w:rPr>
          <w:rFonts w:hint="eastAsia" w:ascii="宋体" w:hAnsi="宋体"/>
          <w:b/>
          <w:kern w:val="44"/>
        </w:rPr>
        <w:t>第四十一条</w:t>
      </w:r>
      <w:r>
        <w:rPr>
          <w:rFonts w:hint="eastAsia" w:ascii="宋体" w:hAnsi="宋体"/>
          <w:kern w:val="44"/>
        </w:rPr>
        <w:t>　乡、民族乡、镇人民代表大会代表因故出缺，由原选区选民补选。</w:t>
      </w:r>
    </w:p>
    <w:p w14:paraId="286D9D90">
      <w:pPr>
        <w:jc w:val="left"/>
        <w:rPr>
          <w:rFonts w:ascii="宋体" w:hAnsi="宋体"/>
          <w:kern w:val="44"/>
        </w:rPr>
      </w:pPr>
      <w:r>
        <w:rPr>
          <w:rFonts w:hint="eastAsia" w:ascii="宋体" w:hAnsi="宋体"/>
          <w:kern w:val="44"/>
        </w:rPr>
        <w:t>乡、民族乡、镇人民代表大会表在任期内调离或者迁出本行政区域的，其代表资格自行终止，缺额另行补选。</w:t>
      </w:r>
    </w:p>
    <w:p w14:paraId="4CE0D3C4">
      <w:pPr>
        <w:jc w:val="left"/>
        <w:rPr>
          <w:rFonts w:ascii="宋体" w:hAnsi="宋体"/>
          <w:kern w:val="44"/>
        </w:rPr>
      </w:pPr>
      <w:r>
        <w:rPr>
          <w:rFonts w:hint="eastAsia" w:ascii="宋体" w:hAnsi="宋体"/>
          <w:kern w:val="44"/>
        </w:rPr>
        <w:t>补选出缺的代表，代表候选人的名额可以多于应选代表的名额，也可以同应选代表的名额相等。</w:t>
      </w:r>
    </w:p>
    <w:p w14:paraId="76639900">
      <w:pPr>
        <w:jc w:val="left"/>
        <w:rPr>
          <w:rFonts w:ascii="宋体" w:hAnsi="宋体"/>
          <w:kern w:val="44"/>
        </w:rPr>
      </w:pPr>
    </w:p>
    <w:p w14:paraId="518CFBD7">
      <w:pPr>
        <w:ind w:firstLine="0" w:firstLineChars="0"/>
        <w:jc w:val="center"/>
        <w:rPr>
          <w:rFonts w:ascii="宋体" w:hAnsi="宋体"/>
          <w:b/>
          <w:kern w:val="44"/>
          <w:sz w:val="28"/>
        </w:rPr>
      </w:pPr>
      <w:r>
        <w:rPr>
          <w:rFonts w:hint="eastAsia" w:ascii="宋体" w:hAnsi="宋体"/>
          <w:b/>
          <w:kern w:val="44"/>
          <w:sz w:val="28"/>
        </w:rPr>
        <w:t>第七章　附　则</w:t>
      </w:r>
    </w:p>
    <w:p w14:paraId="0D3AF1E1">
      <w:pPr>
        <w:jc w:val="left"/>
        <w:rPr>
          <w:rFonts w:ascii="宋体" w:hAnsi="宋体"/>
          <w:kern w:val="44"/>
        </w:rPr>
      </w:pPr>
    </w:p>
    <w:p w14:paraId="54E3166F">
      <w:pPr>
        <w:ind w:firstLine="422"/>
        <w:jc w:val="left"/>
        <w:rPr>
          <w:rFonts w:ascii="宋体" w:hAnsi="宋体"/>
          <w:kern w:val="44"/>
        </w:rPr>
      </w:pPr>
      <w:r>
        <w:rPr>
          <w:rFonts w:hint="eastAsia" w:ascii="宋体" w:hAnsi="宋体"/>
          <w:b/>
          <w:kern w:val="44"/>
        </w:rPr>
        <w:t>第四十二条</w:t>
      </w:r>
      <w:r>
        <w:rPr>
          <w:rFonts w:hint="eastAsia" w:ascii="宋体" w:hAnsi="宋体"/>
          <w:kern w:val="44"/>
        </w:rPr>
        <w:t>　本条例自1990年1月1日起施行。</w:t>
      </w:r>
    </w:p>
    <w:p w14:paraId="55C676D3">
      <w:pPr>
        <w:jc w:val="left"/>
        <w:rPr>
          <w:rFonts w:ascii="宋体" w:hAnsi="宋体"/>
          <w:kern w:val="44"/>
        </w:rPr>
      </w:pPr>
    </w:p>
    <w:p w14:paraId="15C06194">
      <w:pPr>
        <w:pStyle w:val="4"/>
        <w:pageBreakBefore/>
        <w:rPr>
          <w:kern w:val="44"/>
        </w:rPr>
      </w:pPr>
      <w:bookmarkStart w:id="87" w:name="_Toc422471059"/>
      <w:bookmarkStart w:id="88" w:name="_Toc427651381"/>
      <w:bookmarkStart w:id="89" w:name="_Toc427651723"/>
      <w:bookmarkStart w:id="90" w:name="_Toc428779947"/>
      <w:bookmarkStart w:id="91" w:name="_Toc428781429"/>
      <w:r>
        <w:rPr>
          <w:rFonts w:hint="eastAsia"/>
          <w:kern w:val="44"/>
        </w:rPr>
        <w:t>北京市人民代表大会</w:t>
      </w:r>
      <w:bookmarkEnd w:id="87"/>
      <w:bookmarkStart w:id="92" w:name="_Toc422471060"/>
      <w:r>
        <w:rPr>
          <w:rFonts w:hint="eastAsia"/>
          <w:kern w:val="44"/>
        </w:rPr>
        <w:t>议事规则</w:t>
      </w:r>
      <w:bookmarkEnd w:id="88"/>
      <w:bookmarkEnd w:id="89"/>
      <w:bookmarkEnd w:id="90"/>
      <w:bookmarkEnd w:id="91"/>
      <w:bookmarkEnd w:id="92"/>
    </w:p>
    <w:p w14:paraId="6801812E">
      <w:pPr>
        <w:ind w:left="630" w:leftChars="300" w:right="630" w:rightChars="300"/>
        <w:jc w:val="left"/>
        <w:rPr>
          <w:rFonts w:ascii="楷体" w:hAnsi="楷体" w:eastAsia="楷体"/>
          <w:kern w:val="44"/>
        </w:rPr>
      </w:pPr>
      <w:r>
        <w:rPr>
          <w:rFonts w:hint="eastAsia" w:ascii="楷体" w:hAnsi="楷体" w:eastAsia="楷体"/>
          <w:kern w:val="44"/>
        </w:rPr>
        <w:t>（1990年3月9日北京市第九届人民代表大会第三次会议通过  根据2001年8月3日北京市第十一届人民代表大会常务委员会第二十八次会议通过的《北京市人民代表大会议事规则修正案》第一次修正　根据2004年12月2日北京市第十二届人民代表大会常务委员会第十七次会议通过的《北京市人民代表大会议事规则修正案》第二次修正　根据2010年12月23日北京市第十三届人民代表大会常务委员会第二十二次会议《关于修改部分地方性法规的决定》第三次修正 ）</w:t>
      </w:r>
    </w:p>
    <w:p w14:paraId="4E45BDEF">
      <w:pPr>
        <w:ind w:left="630" w:leftChars="300" w:right="630" w:rightChars="300"/>
        <w:jc w:val="left"/>
        <w:rPr>
          <w:rFonts w:ascii="楷体" w:hAnsi="楷体" w:eastAsia="楷体"/>
          <w:kern w:val="44"/>
        </w:rPr>
      </w:pPr>
    </w:p>
    <w:p w14:paraId="42E05558">
      <w:pPr>
        <w:ind w:firstLine="0" w:firstLineChars="0"/>
        <w:jc w:val="center"/>
        <w:rPr>
          <w:rFonts w:ascii="宋体" w:hAnsi="宋体"/>
          <w:b/>
          <w:kern w:val="44"/>
          <w:sz w:val="28"/>
        </w:rPr>
      </w:pPr>
      <w:r>
        <w:rPr>
          <w:rFonts w:hint="eastAsia" w:ascii="宋体" w:hAnsi="宋体"/>
          <w:b/>
          <w:kern w:val="44"/>
          <w:sz w:val="28"/>
        </w:rPr>
        <w:t>第一章　总　则</w:t>
      </w:r>
    </w:p>
    <w:p w14:paraId="2E0A5833">
      <w:pPr>
        <w:jc w:val="left"/>
        <w:rPr>
          <w:rFonts w:ascii="宋体" w:hAnsi="宋体"/>
          <w:kern w:val="44"/>
        </w:rPr>
      </w:pPr>
    </w:p>
    <w:p w14:paraId="205531F7">
      <w:pPr>
        <w:ind w:firstLine="422"/>
        <w:jc w:val="left"/>
        <w:rPr>
          <w:rFonts w:ascii="宋体" w:hAnsi="宋体"/>
          <w:kern w:val="44"/>
        </w:rPr>
      </w:pPr>
      <w:r>
        <w:rPr>
          <w:rFonts w:hint="eastAsia" w:ascii="宋体" w:hAnsi="宋体"/>
          <w:b/>
          <w:kern w:val="44"/>
        </w:rPr>
        <w:t>第一条</w:t>
      </w:r>
      <w:r>
        <w:rPr>
          <w:rFonts w:hint="eastAsia" w:ascii="宋体" w:hAnsi="宋体"/>
          <w:kern w:val="44"/>
        </w:rPr>
        <w:t>　根据宪法、地方各级人民代表大会和地方各级人民政府组织法、全国人民代表大会和地方各级人民代表大会选举法，结合北京市人民代表大会的具体实践，制定本规则。</w:t>
      </w:r>
    </w:p>
    <w:p w14:paraId="17AC640C">
      <w:pPr>
        <w:ind w:firstLine="422"/>
        <w:jc w:val="left"/>
        <w:rPr>
          <w:rFonts w:ascii="宋体" w:hAnsi="宋体"/>
          <w:kern w:val="44"/>
        </w:rPr>
      </w:pPr>
      <w:r>
        <w:rPr>
          <w:rFonts w:hint="eastAsia" w:ascii="宋体" w:hAnsi="宋体"/>
          <w:b/>
          <w:kern w:val="44"/>
        </w:rPr>
        <w:t>第二条</w:t>
      </w:r>
      <w:r>
        <w:rPr>
          <w:rFonts w:hint="eastAsia" w:ascii="宋体" w:hAnsi="宋体"/>
          <w:kern w:val="44"/>
        </w:rPr>
        <w:t>　北京市人民代表大会审议决定问题，应当充分发扬民主，严格依法办事，实行民主集中制的原则。</w:t>
      </w:r>
    </w:p>
    <w:p w14:paraId="077A99E6">
      <w:pPr>
        <w:jc w:val="left"/>
        <w:rPr>
          <w:rFonts w:ascii="宋体" w:hAnsi="宋体"/>
          <w:kern w:val="44"/>
        </w:rPr>
      </w:pPr>
    </w:p>
    <w:p w14:paraId="2ED9AE4A">
      <w:pPr>
        <w:ind w:firstLine="0" w:firstLineChars="0"/>
        <w:jc w:val="center"/>
        <w:rPr>
          <w:rFonts w:ascii="宋体" w:hAnsi="宋体"/>
          <w:b/>
          <w:kern w:val="44"/>
          <w:sz w:val="28"/>
        </w:rPr>
      </w:pPr>
      <w:r>
        <w:rPr>
          <w:rFonts w:hint="eastAsia" w:ascii="宋体" w:hAnsi="宋体"/>
          <w:b/>
          <w:kern w:val="44"/>
          <w:sz w:val="28"/>
        </w:rPr>
        <w:t>第二章　会议的举行</w:t>
      </w:r>
    </w:p>
    <w:p w14:paraId="1F501DB6">
      <w:pPr>
        <w:jc w:val="left"/>
        <w:rPr>
          <w:rFonts w:ascii="宋体" w:hAnsi="宋体"/>
          <w:kern w:val="44"/>
        </w:rPr>
      </w:pPr>
    </w:p>
    <w:p w14:paraId="558C2560">
      <w:pPr>
        <w:ind w:firstLine="422"/>
        <w:jc w:val="left"/>
        <w:rPr>
          <w:rFonts w:ascii="宋体" w:hAnsi="宋体"/>
          <w:kern w:val="44"/>
        </w:rPr>
      </w:pPr>
      <w:r>
        <w:rPr>
          <w:rFonts w:hint="eastAsia" w:ascii="宋体" w:hAnsi="宋体"/>
          <w:b/>
          <w:kern w:val="44"/>
        </w:rPr>
        <w:t>第三条</w:t>
      </w:r>
      <w:r>
        <w:rPr>
          <w:rFonts w:hint="eastAsia" w:ascii="宋体" w:hAnsi="宋体"/>
          <w:kern w:val="44"/>
        </w:rPr>
        <w:t>　市人民代表大会会议由市人民代表大会常务委员会召集。每届市人民代表大会第一次会议，在本届市人民代表大会代表选举完成后的两个月内，由上届市人民代表大会常务委员会召集。</w:t>
      </w:r>
    </w:p>
    <w:p w14:paraId="68726CAA">
      <w:pPr>
        <w:ind w:firstLine="422"/>
        <w:jc w:val="left"/>
        <w:rPr>
          <w:rFonts w:ascii="宋体" w:hAnsi="宋体"/>
          <w:kern w:val="44"/>
        </w:rPr>
      </w:pPr>
      <w:r>
        <w:rPr>
          <w:rFonts w:hint="eastAsia" w:ascii="宋体" w:hAnsi="宋体"/>
          <w:b/>
          <w:kern w:val="44"/>
        </w:rPr>
        <w:t>第四条</w:t>
      </w:r>
      <w:r>
        <w:rPr>
          <w:rFonts w:hint="eastAsia" w:ascii="宋体" w:hAnsi="宋体"/>
          <w:kern w:val="44"/>
        </w:rPr>
        <w:t>　市人民代表大会会议每年至少举行一次。每年第一次会议一般于第一季度举行。市人民代表大会常务委员会认为必要，或者经过五分之一以上代表提议，可以临时召集市人民代表大会会议。</w:t>
      </w:r>
    </w:p>
    <w:p w14:paraId="32D85C96">
      <w:pPr>
        <w:ind w:firstLine="422"/>
        <w:jc w:val="left"/>
        <w:rPr>
          <w:rFonts w:ascii="宋体" w:hAnsi="宋体"/>
          <w:kern w:val="44"/>
        </w:rPr>
      </w:pPr>
      <w:r>
        <w:rPr>
          <w:rFonts w:hint="eastAsia" w:ascii="宋体" w:hAnsi="宋体"/>
          <w:b/>
          <w:kern w:val="44"/>
        </w:rPr>
        <w:t>第五条</w:t>
      </w:r>
      <w:r>
        <w:rPr>
          <w:rFonts w:hint="eastAsia" w:ascii="宋体" w:hAnsi="宋体"/>
          <w:kern w:val="44"/>
        </w:rPr>
        <w:t>　市人民代表大会会议有三分之二以上的代表出席，始得举行。</w:t>
      </w:r>
    </w:p>
    <w:p w14:paraId="4D776F28">
      <w:pPr>
        <w:ind w:firstLine="422"/>
        <w:jc w:val="left"/>
        <w:rPr>
          <w:rFonts w:ascii="宋体" w:hAnsi="宋体"/>
          <w:kern w:val="44"/>
        </w:rPr>
      </w:pPr>
      <w:r>
        <w:rPr>
          <w:rFonts w:hint="eastAsia" w:ascii="宋体" w:hAnsi="宋体"/>
          <w:b/>
          <w:kern w:val="44"/>
        </w:rPr>
        <w:t>第六条</w:t>
      </w:r>
      <w:r>
        <w:rPr>
          <w:rFonts w:hint="eastAsia" w:ascii="宋体" w:hAnsi="宋体"/>
          <w:kern w:val="44"/>
        </w:rPr>
        <w:t>　市人民代表大会常务委员会在市人民代表大会会议举行前，进行下列准备工作：</w:t>
      </w:r>
    </w:p>
    <w:p w14:paraId="5E7EB3F7">
      <w:pPr>
        <w:jc w:val="left"/>
        <w:rPr>
          <w:rFonts w:ascii="宋体" w:hAnsi="宋体"/>
          <w:kern w:val="44"/>
        </w:rPr>
      </w:pPr>
      <w:r>
        <w:rPr>
          <w:rFonts w:hint="eastAsia" w:ascii="宋体" w:hAnsi="宋体"/>
          <w:kern w:val="44"/>
        </w:rPr>
        <w:t>（一）决定开会日期；</w:t>
      </w:r>
    </w:p>
    <w:p w14:paraId="3001EAAB">
      <w:pPr>
        <w:jc w:val="left"/>
        <w:rPr>
          <w:rFonts w:ascii="宋体" w:hAnsi="宋体"/>
          <w:kern w:val="44"/>
        </w:rPr>
      </w:pPr>
      <w:r>
        <w:rPr>
          <w:rFonts w:hint="eastAsia" w:ascii="宋体" w:hAnsi="宋体"/>
          <w:kern w:val="44"/>
        </w:rPr>
        <w:t>（二）提出会议议程草案；</w:t>
      </w:r>
    </w:p>
    <w:p w14:paraId="192280A8">
      <w:pPr>
        <w:jc w:val="left"/>
        <w:rPr>
          <w:rFonts w:ascii="宋体" w:hAnsi="宋体"/>
          <w:kern w:val="44"/>
        </w:rPr>
      </w:pPr>
      <w:r>
        <w:rPr>
          <w:rFonts w:hint="eastAsia" w:ascii="宋体" w:hAnsi="宋体"/>
          <w:kern w:val="44"/>
        </w:rPr>
        <w:t>（三）提出主席团和秘书长名单草案，提出议案审查委员会等需要设立的委员会的组成人员名单草案；</w:t>
      </w:r>
    </w:p>
    <w:p w14:paraId="4DC536D2">
      <w:pPr>
        <w:jc w:val="left"/>
        <w:rPr>
          <w:rFonts w:ascii="宋体" w:hAnsi="宋体"/>
          <w:kern w:val="44"/>
        </w:rPr>
      </w:pPr>
      <w:r>
        <w:rPr>
          <w:rFonts w:hint="eastAsia" w:ascii="宋体" w:hAnsi="宋体"/>
          <w:kern w:val="44"/>
        </w:rPr>
        <w:t>（四）决定列席会议人员名单；</w:t>
      </w:r>
    </w:p>
    <w:p w14:paraId="5A4652DD">
      <w:pPr>
        <w:jc w:val="left"/>
        <w:rPr>
          <w:rFonts w:ascii="宋体" w:hAnsi="宋体"/>
          <w:kern w:val="44"/>
        </w:rPr>
      </w:pPr>
      <w:r>
        <w:rPr>
          <w:rFonts w:hint="eastAsia" w:ascii="宋体" w:hAnsi="宋体"/>
          <w:kern w:val="44"/>
        </w:rPr>
        <w:t>（五）会议的其他准备事项。</w:t>
      </w:r>
    </w:p>
    <w:p w14:paraId="53B23098">
      <w:pPr>
        <w:ind w:firstLine="422"/>
        <w:jc w:val="left"/>
        <w:rPr>
          <w:rFonts w:ascii="宋体" w:hAnsi="宋体"/>
          <w:kern w:val="44"/>
        </w:rPr>
      </w:pPr>
      <w:r>
        <w:rPr>
          <w:rFonts w:hint="eastAsia" w:ascii="宋体" w:hAnsi="宋体"/>
          <w:b/>
          <w:kern w:val="44"/>
        </w:rPr>
        <w:t>第七条</w:t>
      </w:r>
      <w:r>
        <w:rPr>
          <w:rFonts w:hint="eastAsia" w:ascii="宋体" w:hAnsi="宋体"/>
          <w:kern w:val="44"/>
        </w:rPr>
        <w:t>　市人民代表大会常务委员会在市人民代表大会会议举行的一个月前，将开会日期和建议会议讨论的主要事项通知代表。</w:t>
      </w:r>
    </w:p>
    <w:p w14:paraId="2DB1F9B9">
      <w:pPr>
        <w:jc w:val="left"/>
        <w:rPr>
          <w:rFonts w:ascii="宋体" w:hAnsi="宋体"/>
          <w:kern w:val="44"/>
        </w:rPr>
      </w:pPr>
      <w:r>
        <w:rPr>
          <w:rFonts w:hint="eastAsia" w:ascii="宋体" w:hAnsi="宋体"/>
          <w:kern w:val="44"/>
        </w:rPr>
        <w:t>临时召集的市人民代表大会会议，临时通知。</w:t>
      </w:r>
    </w:p>
    <w:p w14:paraId="22171C41">
      <w:pPr>
        <w:ind w:firstLine="422"/>
        <w:jc w:val="left"/>
        <w:rPr>
          <w:rFonts w:ascii="宋体" w:hAnsi="宋体"/>
          <w:kern w:val="44"/>
        </w:rPr>
      </w:pPr>
      <w:r>
        <w:rPr>
          <w:rFonts w:hint="eastAsia" w:ascii="宋体" w:hAnsi="宋体"/>
          <w:b/>
          <w:kern w:val="44"/>
        </w:rPr>
        <w:t>第八条</w:t>
      </w:r>
      <w:r>
        <w:rPr>
          <w:rFonts w:hint="eastAsia" w:ascii="宋体" w:hAnsi="宋体"/>
          <w:kern w:val="44"/>
        </w:rPr>
        <w:t>　市人民代表大会预备会议举行前，代表按照选举单位组成代表团，由市人民代表大会常务委员会委托区、县人大常委会和北京卫戍区政治部召集全团代表，推选代表团团长、副团长。团长召集并主持代表团全体会议，副团长协助团长工作。代表团可以分设若干代表小组，代表小组会议推选小组召集人。</w:t>
      </w:r>
    </w:p>
    <w:p w14:paraId="09F44F71">
      <w:pPr>
        <w:jc w:val="left"/>
        <w:rPr>
          <w:rFonts w:ascii="宋体" w:hAnsi="宋体"/>
          <w:kern w:val="44"/>
        </w:rPr>
      </w:pPr>
      <w:r>
        <w:rPr>
          <w:rFonts w:hint="eastAsia" w:ascii="宋体" w:hAnsi="宋体"/>
          <w:kern w:val="44"/>
        </w:rPr>
        <w:t>代表团全体会议或者代表小组会议讨论召开代表大会的有关事项：</w:t>
      </w:r>
    </w:p>
    <w:p w14:paraId="12DB442E">
      <w:pPr>
        <w:jc w:val="left"/>
        <w:rPr>
          <w:rFonts w:ascii="宋体" w:hAnsi="宋体"/>
          <w:kern w:val="44"/>
        </w:rPr>
      </w:pPr>
      <w:r>
        <w:rPr>
          <w:rFonts w:hint="eastAsia" w:ascii="宋体" w:hAnsi="宋体"/>
          <w:kern w:val="44"/>
        </w:rPr>
        <w:t>（一）讨论市人民代表大会常务委员会准备提请市人民代表大会预备会议通过的会议议程草案；</w:t>
      </w:r>
    </w:p>
    <w:p w14:paraId="066EEE04">
      <w:pPr>
        <w:jc w:val="left"/>
        <w:rPr>
          <w:rFonts w:ascii="宋体" w:hAnsi="宋体"/>
          <w:kern w:val="44"/>
        </w:rPr>
      </w:pPr>
      <w:r>
        <w:rPr>
          <w:rFonts w:hint="eastAsia" w:ascii="宋体" w:hAnsi="宋体"/>
          <w:kern w:val="44"/>
        </w:rPr>
        <w:t>（二）讨论市人民代表大会常务委员会准备向市人民代表大会预备会议提出的主席团和秘书长名单草案，议案审查委员会等需要设立的委员会的组成人员名单草案；</w:t>
      </w:r>
    </w:p>
    <w:p w14:paraId="28D50135">
      <w:pPr>
        <w:jc w:val="left"/>
        <w:rPr>
          <w:rFonts w:ascii="宋体" w:hAnsi="宋体"/>
          <w:kern w:val="44"/>
        </w:rPr>
      </w:pPr>
      <w:r>
        <w:rPr>
          <w:rFonts w:hint="eastAsia" w:ascii="宋体" w:hAnsi="宋体"/>
          <w:kern w:val="44"/>
        </w:rPr>
        <w:t>（三）讨论准备提请代表大会会议审议的工作报告征求意见稿和地方性法规草案稿；</w:t>
      </w:r>
    </w:p>
    <w:p w14:paraId="0079F33D">
      <w:pPr>
        <w:jc w:val="left"/>
        <w:rPr>
          <w:rFonts w:ascii="宋体" w:hAnsi="宋体"/>
          <w:kern w:val="44"/>
        </w:rPr>
      </w:pPr>
      <w:r>
        <w:rPr>
          <w:rFonts w:hint="eastAsia" w:ascii="宋体" w:hAnsi="宋体"/>
          <w:kern w:val="44"/>
        </w:rPr>
        <w:t>（四）在代表大会会议有选举议程时，讨论选举的准备工作；</w:t>
      </w:r>
    </w:p>
    <w:p w14:paraId="2AD349DC">
      <w:pPr>
        <w:jc w:val="left"/>
        <w:rPr>
          <w:rFonts w:ascii="宋体" w:hAnsi="宋体"/>
          <w:kern w:val="44"/>
        </w:rPr>
      </w:pPr>
      <w:r>
        <w:rPr>
          <w:rFonts w:hint="eastAsia" w:ascii="宋体" w:hAnsi="宋体"/>
          <w:kern w:val="44"/>
        </w:rPr>
        <w:t>（五）提出或者准备向代表大会会议提出议案和建议、批评和意见；</w:t>
      </w:r>
    </w:p>
    <w:p w14:paraId="45AA0AB7">
      <w:pPr>
        <w:jc w:val="left"/>
        <w:rPr>
          <w:rFonts w:ascii="宋体" w:hAnsi="宋体"/>
          <w:kern w:val="44"/>
        </w:rPr>
      </w:pPr>
      <w:r>
        <w:rPr>
          <w:rFonts w:hint="eastAsia" w:ascii="宋体" w:hAnsi="宋体"/>
          <w:kern w:val="44"/>
        </w:rPr>
        <w:t>（六）讨论代表大会会议的其他准备事项。</w:t>
      </w:r>
    </w:p>
    <w:p w14:paraId="1BC71672">
      <w:pPr>
        <w:ind w:firstLine="422"/>
        <w:jc w:val="left"/>
        <w:rPr>
          <w:rFonts w:ascii="宋体" w:hAnsi="宋体"/>
          <w:kern w:val="44"/>
        </w:rPr>
      </w:pPr>
      <w:r>
        <w:rPr>
          <w:rFonts w:hint="eastAsia" w:ascii="宋体" w:hAnsi="宋体"/>
          <w:b/>
          <w:kern w:val="44"/>
        </w:rPr>
        <w:t>第九条</w:t>
      </w:r>
      <w:r>
        <w:rPr>
          <w:rFonts w:hint="eastAsia" w:ascii="宋体" w:hAnsi="宋体"/>
          <w:kern w:val="44"/>
        </w:rPr>
        <w:t>　市人民代表大会常务委员会，或者主任会议在常务委员会授权的范围内，可以根据各代表团提出的意见，对会议议程草案、主席团和秘书长等各项名单草案以及关于会议的其他准备事项提出调整意见，提请市人民代表大会预备会议审议。</w:t>
      </w:r>
    </w:p>
    <w:p w14:paraId="3AE6D88D">
      <w:pPr>
        <w:ind w:firstLine="422"/>
        <w:jc w:val="left"/>
        <w:rPr>
          <w:rFonts w:ascii="宋体" w:hAnsi="宋体"/>
          <w:kern w:val="44"/>
        </w:rPr>
      </w:pPr>
      <w:r>
        <w:rPr>
          <w:rFonts w:hint="eastAsia" w:ascii="宋体" w:hAnsi="宋体"/>
          <w:b/>
          <w:kern w:val="44"/>
        </w:rPr>
        <w:t>第十条</w:t>
      </w:r>
      <w:r>
        <w:rPr>
          <w:rFonts w:hint="eastAsia" w:ascii="宋体" w:hAnsi="宋体"/>
          <w:kern w:val="44"/>
        </w:rPr>
        <w:t>　市人民代表大会会议举行前，召开预备会议，选举本次会议的主席团和秘书长，通过会议议程、大会设立的各委员会组成人员名单和其他准备事项的决定。</w:t>
      </w:r>
    </w:p>
    <w:p w14:paraId="380BFF95">
      <w:pPr>
        <w:jc w:val="left"/>
        <w:rPr>
          <w:rFonts w:ascii="宋体" w:hAnsi="宋体"/>
          <w:kern w:val="44"/>
        </w:rPr>
      </w:pPr>
      <w:r>
        <w:rPr>
          <w:rFonts w:hint="eastAsia" w:ascii="宋体" w:hAnsi="宋体"/>
          <w:kern w:val="44"/>
        </w:rPr>
        <w:t>预备会议由市人民代表大会常务委员会主持。每届市人民代表大会第一次会议的预备会议，由上届市人民代表大会常务委员会主持。</w:t>
      </w:r>
    </w:p>
    <w:p w14:paraId="2852C711">
      <w:pPr>
        <w:ind w:firstLine="422"/>
        <w:jc w:val="left"/>
        <w:rPr>
          <w:rFonts w:ascii="宋体" w:hAnsi="宋体"/>
          <w:kern w:val="44"/>
        </w:rPr>
      </w:pPr>
      <w:r>
        <w:rPr>
          <w:rFonts w:hint="eastAsia" w:ascii="宋体" w:hAnsi="宋体"/>
          <w:b/>
          <w:kern w:val="44"/>
        </w:rPr>
        <w:t>第十一条</w:t>
      </w:r>
      <w:r>
        <w:rPr>
          <w:rFonts w:hint="eastAsia" w:ascii="宋体" w:hAnsi="宋体"/>
          <w:kern w:val="44"/>
        </w:rPr>
        <w:t>　市人民代表大会会议由主席团主持。</w:t>
      </w:r>
    </w:p>
    <w:p w14:paraId="4F1CE3DF">
      <w:pPr>
        <w:jc w:val="left"/>
        <w:rPr>
          <w:rFonts w:ascii="宋体" w:hAnsi="宋体"/>
          <w:kern w:val="44"/>
        </w:rPr>
      </w:pPr>
      <w:r>
        <w:rPr>
          <w:rFonts w:hint="eastAsia" w:ascii="宋体" w:hAnsi="宋体"/>
          <w:kern w:val="44"/>
        </w:rPr>
        <w:t>主席团的决定，以主席团全体成员的过半数通过。</w:t>
      </w:r>
    </w:p>
    <w:p w14:paraId="7CAD31F7">
      <w:pPr>
        <w:ind w:firstLine="422"/>
        <w:jc w:val="left"/>
        <w:rPr>
          <w:rFonts w:ascii="宋体" w:hAnsi="宋体"/>
          <w:kern w:val="44"/>
        </w:rPr>
      </w:pPr>
      <w:r>
        <w:rPr>
          <w:rFonts w:hint="eastAsia" w:ascii="宋体" w:hAnsi="宋体"/>
          <w:b/>
          <w:kern w:val="44"/>
        </w:rPr>
        <w:t>第十二条</w:t>
      </w:r>
      <w:r>
        <w:rPr>
          <w:rFonts w:hint="eastAsia" w:ascii="宋体" w:hAnsi="宋体"/>
          <w:kern w:val="44"/>
        </w:rPr>
        <w:t>　主席团第一次会议推选主席团成员若干人担任常务主席，推选主席团成员若干人分别担任每次大会全体会议的执行主席，并决定下列事项：</w:t>
      </w:r>
    </w:p>
    <w:p w14:paraId="63C95611">
      <w:pPr>
        <w:jc w:val="left"/>
        <w:rPr>
          <w:rFonts w:ascii="宋体" w:hAnsi="宋体"/>
          <w:kern w:val="44"/>
        </w:rPr>
      </w:pPr>
      <w:r>
        <w:rPr>
          <w:rFonts w:hint="eastAsia" w:ascii="宋体" w:hAnsi="宋体"/>
          <w:kern w:val="44"/>
        </w:rPr>
        <w:t>（一）会议日程；</w:t>
      </w:r>
    </w:p>
    <w:p w14:paraId="46C34283">
      <w:pPr>
        <w:jc w:val="left"/>
        <w:rPr>
          <w:rFonts w:ascii="宋体" w:hAnsi="宋体"/>
          <w:kern w:val="44"/>
        </w:rPr>
      </w:pPr>
      <w:r>
        <w:rPr>
          <w:rFonts w:hint="eastAsia" w:ascii="宋体" w:hAnsi="宋体"/>
          <w:kern w:val="44"/>
        </w:rPr>
        <w:t>（二）副秘书长的人选；</w:t>
      </w:r>
    </w:p>
    <w:p w14:paraId="5454C807">
      <w:pPr>
        <w:jc w:val="left"/>
        <w:rPr>
          <w:rFonts w:ascii="宋体" w:hAnsi="宋体"/>
          <w:kern w:val="44"/>
        </w:rPr>
      </w:pPr>
      <w:r>
        <w:rPr>
          <w:rFonts w:hint="eastAsia" w:ascii="宋体" w:hAnsi="宋体"/>
          <w:kern w:val="44"/>
        </w:rPr>
        <w:t>（三）大会新闻发言人；</w:t>
      </w:r>
    </w:p>
    <w:p w14:paraId="24881607">
      <w:pPr>
        <w:jc w:val="left"/>
        <w:rPr>
          <w:rFonts w:ascii="宋体" w:hAnsi="宋体"/>
          <w:kern w:val="44"/>
        </w:rPr>
      </w:pPr>
      <w:r>
        <w:rPr>
          <w:rFonts w:hint="eastAsia" w:ascii="宋体" w:hAnsi="宋体"/>
          <w:kern w:val="44"/>
        </w:rPr>
        <w:t>（四）代表提出议案的截止日期；</w:t>
      </w:r>
    </w:p>
    <w:p w14:paraId="7F1CEF2A">
      <w:pPr>
        <w:jc w:val="left"/>
        <w:rPr>
          <w:rFonts w:ascii="宋体" w:hAnsi="宋体"/>
          <w:kern w:val="44"/>
        </w:rPr>
      </w:pPr>
      <w:r>
        <w:rPr>
          <w:rFonts w:hint="eastAsia" w:ascii="宋体" w:hAnsi="宋体"/>
          <w:kern w:val="44"/>
        </w:rPr>
        <w:t>（五）其他需要决定的事项。</w:t>
      </w:r>
    </w:p>
    <w:p w14:paraId="3B5CEB93">
      <w:pPr>
        <w:ind w:firstLine="422"/>
        <w:jc w:val="left"/>
        <w:rPr>
          <w:rFonts w:ascii="宋体" w:hAnsi="宋体"/>
          <w:kern w:val="44"/>
        </w:rPr>
      </w:pPr>
      <w:r>
        <w:rPr>
          <w:rFonts w:hint="eastAsia" w:ascii="宋体" w:hAnsi="宋体"/>
          <w:b/>
          <w:kern w:val="44"/>
        </w:rPr>
        <w:t>第十三条</w:t>
      </w:r>
      <w:r>
        <w:rPr>
          <w:rFonts w:hint="eastAsia" w:ascii="宋体" w:hAnsi="宋体"/>
          <w:kern w:val="44"/>
        </w:rPr>
        <w:t>　主席团常务主席召集并主持主席团会议。主席团第一次会议由市人民代表大会常务委员会主任或者主任委托的副主任召集。</w:t>
      </w:r>
    </w:p>
    <w:p w14:paraId="7C0DFA3E">
      <w:pPr>
        <w:ind w:firstLine="422"/>
        <w:jc w:val="left"/>
        <w:rPr>
          <w:rFonts w:ascii="宋体" w:hAnsi="宋体"/>
          <w:kern w:val="44"/>
        </w:rPr>
      </w:pPr>
      <w:r>
        <w:rPr>
          <w:rFonts w:hint="eastAsia" w:ascii="宋体" w:hAnsi="宋体"/>
          <w:b/>
          <w:kern w:val="44"/>
        </w:rPr>
        <w:t>第十四条</w:t>
      </w:r>
      <w:r>
        <w:rPr>
          <w:rFonts w:hint="eastAsia" w:ascii="宋体" w:hAnsi="宋体"/>
          <w:kern w:val="44"/>
        </w:rPr>
        <w:t>　市人民代表大会举行会议的时候，市人民代表大会代表应当出席；因病或者其他特殊原因不能出席会议的，必须向代表团团长请假，并由代表团报告大会秘书长。</w:t>
      </w:r>
    </w:p>
    <w:p w14:paraId="7B6BB714">
      <w:pPr>
        <w:ind w:firstLine="422"/>
        <w:jc w:val="left"/>
        <w:rPr>
          <w:rFonts w:ascii="宋体" w:hAnsi="宋体"/>
          <w:kern w:val="44"/>
        </w:rPr>
      </w:pPr>
      <w:r>
        <w:rPr>
          <w:rFonts w:hint="eastAsia" w:ascii="宋体" w:hAnsi="宋体"/>
          <w:b/>
          <w:kern w:val="44"/>
        </w:rPr>
        <w:t>第十五条</w:t>
      </w:r>
      <w:r>
        <w:rPr>
          <w:rFonts w:hint="eastAsia" w:ascii="宋体" w:hAnsi="宋体"/>
          <w:kern w:val="44"/>
        </w:rPr>
        <w:t>　市人民代表大会会议公开举行。根据主席团常务主席的决定，大会新闻发言人可以举行新闻发布会、记者招待会。新闻记者经大会秘书处同意，可以采访报道。大会全体会议设旁听席，旁听办法另行规定。</w:t>
      </w:r>
    </w:p>
    <w:p w14:paraId="0D9CC9EE">
      <w:pPr>
        <w:jc w:val="left"/>
        <w:rPr>
          <w:rFonts w:ascii="宋体" w:hAnsi="宋体"/>
          <w:kern w:val="44"/>
        </w:rPr>
      </w:pPr>
      <w:r>
        <w:rPr>
          <w:rFonts w:hint="eastAsia" w:ascii="宋体" w:hAnsi="宋体"/>
          <w:kern w:val="44"/>
        </w:rPr>
        <w:t>市人民代表大会在必要的时候，可以举行秘密会议。举行秘密会议，经主席团征求各代表团的意见后，由主席团会议决定。</w:t>
      </w:r>
    </w:p>
    <w:p w14:paraId="20585D09">
      <w:pPr>
        <w:ind w:firstLine="422"/>
        <w:jc w:val="left"/>
        <w:rPr>
          <w:rFonts w:ascii="宋体" w:hAnsi="宋体"/>
          <w:kern w:val="44"/>
        </w:rPr>
      </w:pPr>
      <w:r>
        <w:rPr>
          <w:rFonts w:hint="eastAsia" w:ascii="宋体" w:hAnsi="宋体"/>
          <w:b/>
          <w:kern w:val="44"/>
        </w:rPr>
        <w:t>第十六条</w:t>
      </w:r>
      <w:r>
        <w:rPr>
          <w:rFonts w:hint="eastAsia" w:ascii="宋体" w:hAnsi="宋体"/>
          <w:kern w:val="44"/>
        </w:rPr>
        <w:t>　市人民代表大会会议设立秘书处，由秘书长和副秘书长组成，办理主席团交付的事项和处理会议日常事务工作。</w:t>
      </w:r>
    </w:p>
    <w:p w14:paraId="75DA347E">
      <w:pPr>
        <w:jc w:val="left"/>
        <w:rPr>
          <w:rFonts w:ascii="宋体" w:hAnsi="宋体"/>
          <w:kern w:val="44"/>
        </w:rPr>
      </w:pPr>
    </w:p>
    <w:p w14:paraId="1AA4A66C">
      <w:pPr>
        <w:ind w:firstLine="0" w:firstLineChars="0"/>
        <w:jc w:val="both"/>
        <w:rPr>
          <w:rFonts w:ascii="宋体" w:hAnsi="宋体"/>
          <w:b/>
          <w:kern w:val="44"/>
          <w:sz w:val="28"/>
        </w:rPr>
      </w:pPr>
      <w:r>
        <w:rPr>
          <w:rFonts w:hint="eastAsia" w:ascii="宋体" w:hAnsi="宋体"/>
          <w:b/>
          <w:kern w:val="44"/>
          <w:sz w:val="28"/>
          <w:lang w:val="en-US" w:eastAsia="zh-CN"/>
        </w:rPr>
        <w:t xml:space="preserve">            </w:t>
      </w:r>
      <w:r>
        <w:rPr>
          <w:rFonts w:hint="eastAsia" w:ascii="宋体" w:hAnsi="宋体"/>
          <w:b/>
          <w:kern w:val="44"/>
          <w:sz w:val="28"/>
        </w:rPr>
        <w:t>第三章　</w:t>
      </w:r>
      <w:r>
        <w:rPr>
          <w:rFonts w:hint="eastAsia" w:ascii="宋体" w:hAnsi="宋体"/>
          <w:b/>
          <w:kern w:val="44"/>
          <w:sz w:val="28"/>
          <w:lang w:val="en-US" w:eastAsia="zh-CN"/>
        </w:rPr>
        <w:t xml:space="preserve"> </w:t>
      </w:r>
      <w:r>
        <w:rPr>
          <w:rFonts w:hint="eastAsia" w:ascii="宋体" w:hAnsi="宋体"/>
          <w:b/>
          <w:kern w:val="44"/>
          <w:sz w:val="28"/>
        </w:rPr>
        <w:t>审议工作报告、地方性法规案</w:t>
      </w:r>
    </w:p>
    <w:p w14:paraId="52FBFB81">
      <w:pPr>
        <w:ind w:firstLine="1105" w:firstLineChars="393"/>
        <w:jc w:val="both"/>
        <w:rPr>
          <w:rFonts w:ascii="宋体" w:hAnsi="宋体"/>
          <w:b/>
          <w:kern w:val="44"/>
          <w:sz w:val="28"/>
        </w:rPr>
      </w:pPr>
      <w:r>
        <w:rPr>
          <w:rFonts w:hint="eastAsia" w:ascii="宋体" w:hAnsi="宋体"/>
          <w:b/>
          <w:kern w:val="44"/>
          <w:sz w:val="28"/>
        </w:rPr>
        <w:t xml:space="preserve"> </w:t>
      </w:r>
      <w:r>
        <w:rPr>
          <w:rFonts w:hint="eastAsia" w:ascii="宋体" w:hAnsi="宋体"/>
          <w:b/>
          <w:kern w:val="44"/>
          <w:sz w:val="28"/>
          <w:lang w:val="en-US" w:eastAsia="zh-CN"/>
        </w:rPr>
        <w:t xml:space="preserve">            </w:t>
      </w:r>
      <w:r>
        <w:rPr>
          <w:rFonts w:hint="eastAsia" w:ascii="宋体" w:hAnsi="宋体"/>
          <w:b/>
          <w:kern w:val="44"/>
          <w:sz w:val="28"/>
        </w:rPr>
        <w:t>和议案，审查国民经济、社会</w:t>
      </w:r>
    </w:p>
    <w:p w14:paraId="033C5981">
      <w:pPr>
        <w:ind w:firstLine="2783" w:firstLineChars="990"/>
        <w:jc w:val="both"/>
        <w:rPr>
          <w:rFonts w:ascii="宋体" w:hAnsi="宋体"/>
          <w:b/>
          <w:kern w:val="44"/>
          <w:sz w:val="28"/>
        </w:rPr>
      </w:pPr>
      <w:r>
        <w:rPr>
          <w:rFonts w:hint="eastAsia" w:ascii="宋体" w:hAnsi="宋体"/>
          <w:b/>
          <w:kern w:val="44"/>
          <w:sz w:val="28"/>
          <w:lang w:val="en-US" w:eastAsia="zh-CN"/>
        </w:rPr>
        <w:t xml:space="preserve"> </w:t>
      </w:r>
      <w:r>
        <w:rPr>
          <w:rFonts w:hint="eastAsia" w:ascii="宋体" w:hAnsi="宋体"/>
          <w:b/>
          <w:kern w:val="44"/>
          <w:sz w:val="28"/>
        </w:rPr>
        <w:t>发展计划和财政预算</w:t>
      </w:r>
    </w:p>
    <w:p w14:paraId="699EBE83">
      <w:pPr>
        <w:jc w:val="left"/>
        <w:rPr>
          <w:rFonts w:ascii="宋体" w:hAnsi="宋体"/>
          <w:kern w:val="44"/>
        </w:rPr>
      </w:pPr>
    </w:p>
    <w:p w14:paraId="1C95B057">
      <w:pPr>
        <w:ind w:firstLine="422"/>
        <w:jc w:val="left"/>
        <w:rPr>
          <w:rFonts w:ascii="宋体" w:hAnsi="宋体"/>
          <w:kern w:val="44"/>
        </w:rPr>
      </w:pPr>
      <w:r>
        <w:rPr>
          <w:rFonts w:hint="eastAsia" w:ascii="宋体" w:hAnsi="宋体"/>
          <w:b/>
          <w:kern w:val="44"/>
        </w:rPr>
        <w:t>第十七条</w:t>
      </w:r>
      <w:r>
        <w:rPr>
          <w:rFonts w:hint="eastAsia" w:ascii="宋体" w:hAnsi="宋体"/>
          <w:kern w:val="44"/>
        </w:rPr>
        <w:t>　市人民代表大会全体会议听取市人民代表大会常务委员会的工作报告。</w:t>
      </w:r>
    </w:p>
    <w:p w14:paraId="62BA7056">
      <w:pPr>
        <w:jc w:val="left"/>
        <w:rPr>
          <w:rFonts w:ascii="宋体" w:hAnsi="宋体"/>
          <w:kern w:val="44"/>
        </w:rPr>
      </w:pPr>
      <w:r>
        <w:rPr>
          <w:rFonts w:hint="eastAsia" w:ascii="宋体" w:hAnsi="宋体"/>
          <w:kern w:val="44"/>
        </w:rPr>
        <w:t>市人民代表大会全体会议听取市人民政府和市高级人民法院、市人民检察院的工作报告。</w:t>
      </w:r>
    </w:p>
    <w:p w14:paraId="20747896">
      <w:pPr>
        <w:jc w:val="left"/>
        <w:rPr>
          <w:rFonts w:ascii="宋体" w:hAnsi="宋体"/>
          <w:kern w:val="44"/>
        </w:rPr>
      </w:pPr>
      <w:r>
        <w:rPr>
          <w:rFonts w:hint="eastAsia" w:ascii="宋体" w:hAnsi="宋体"/>
          <w:kern w:val="44"/>
        </w:rPr>
        <w:t>市人民政府向大会提交关于国民经济和社会发展计划及计划执行情况、关于财政预算及预算执行情况的报告。</w:t>
      </w:r>
    </w:p>
    <w:p w14:paraId="023D9BCE">
      <w:pPr>
        <w:jc w:val="left"/>
        <w:rPr>
          <w:rFonts w:ascii="宋体" w:hAnsi="宋体"/>
          <w:kern w:val="44"/>
        </w:rPr>
      </w:pPr>
      <w:r>
        <w:rPr>
          <w:rFonts w:hint="eastAsia" w:ascii="宋体" w:hAnsi="宋体"/>
          <w:kern w:val="44"/>
        </w:rPr>
        <w:t>报告工作的机关根据审议的需要向会议提供有关资料。</w:t>
      </w:r>
    </w:p>
    <w:p w14:paraId="5DA98AC2">
      <w:pPr>
        <w:ind w:firstLine="422"/>
        <w:jc w:val="left"/>
        <w:rPr>
          <w:rFonts w:ascii="宋体" w:hAnsi="宋体"/>
          <w:kern w:val="44"/>
        </w:rPr>
      </w:pPr>
      <w:r>
        <w:rPr>
          <w:rFonts w:hint="eastAsia" w:ascii="宋体" w:hAnsi="宋体"/>
          <w:b/>
          <w:kern w:val="44"/>
        </w:rPr>
        <w:t>第十八条</w:t>
      </w:r>
      <w:r>
        <w:rPr>
          <w:rFonts w:hint="eastAsia" w:ascii="宋体" w:hAnsi="宋体"/>
          <w:kern w:val="44"/>
        </w:rPr>
        <w:t>　市人民代表大会举行会议的时候，主席团、市人民代表大会常务委员会、市人民代表大会专门委员会、市人民政府、一个代表团以全体代表的过半数通过或者代表10人以上联名，可以向市人民代表大会提出属于市人民代表大会职权范围内的议案。</w:t>
      </w:r>
    </w:p>
    <w:p w14:paraId="1F857836">
      <w:pPr>
        <w:jc w:val="left"/>
        <w:rPr>
          <w:rFonts w:ascii="宋体" w:hAnsi="宋体"/>
          <w:kern w:val="44"/>
        </w:rPr>
      </w:pPr>
      <w:r>
        <w:rPr>
          <w:rFonts w:hint="eastAsia" w:ascii="宋体" w:hAnsi="宋体"/>
          <w:kern w:val="44"/>
        </w:rPr>
        <w:t>议案的提出，应当用书面形式，写明议题、理由和解决的方案。</w:t>
      </w:r>
    </w:p>
    <w:p w14:paraId="397EBF13">
      <w:pPr>
        <w:jc w:val="left"/>
        <w:rPr>
          <w:rFonts w:ascii="宋体" w:hAnsi="宋体"/>
          <w:kern w:val="44"/>
        </w:rPr>
      </w:pPr>
      <w:r>
        <w:rPr>
          <w:rFonts w:hint="eastAsia" w:ascii="宋体" w:hAnsi="宋体"/>
          <w:kern w:val="44"/>
        </w:rPr>
        <w:t>议案经主席团决定列入会议议程后，提案人应当向会议提出关于议案的说明和提供有关资料。</w:t>
      </w:r>
    </w:p>
    <w:p w14:paraId="2346B058">
      <w:pPr>
        <w:ind w:firstLine="422"/>
        <w:jc w:val="left"/>
        <w:rPr>
          <w:rFonts w:ascii="宋体" w:hAnsi="宋体"/>
          <w:kern w:val="44"/>
        </w:rPr>
      </w:pPr>
      <w:r>
        <w:rPr>
          <w:rFonts w:hint="eastAsia" w:ascii="宋体" w:hAnsi="宋体"/>
          <w:b/>
          <w:kern w:val="44"/>
        </w:rPr>
        <w:t>第十九条</w:t>
      </w:r>
      <w:r>
        <w:rPr>
          <w:rFonts w:hint="eastAsia" w:ascii="宋体" w:hAnsi="宋体"/>
          <w:kern w:val="44"/>
        </w:rPr>
        <w:t>　地方性法规案的提出、审议和表决，依照《北京市制定地方性法规条例》的规定办理。</w:t>
      </w:r>
    </w:p>
    <w:p w14:paraId="261859A2">
      <w:pPr>
        <w:ind w:firstLine="422"/>
        <w:jc w:val="left"/>
        <w:rPr>
          <w:rFonts w:ascii="宋体" w:hAnsi="宋体"/>
          <w:kern w:val="44"/>
        </w:rPr>
      </w:pPr>
      <w:r>
        <w:rPr>
          <w:rFonts w:hint="eastAsia" w:ascii="宋体" w:hAnsi="宋体"/>
          <w:b/>
          <w:kern w:val="44"/>
        </w:rPr>
        <w:t>第二十条</w:t>
      </w:r>
      <w:r>
        <w:rPr>
          <w:rFonts w:hint="eastAsia" w:ascii="宋体" w:hAnsi="宋体"/>
          <w:kern w:val="44"/>
        </w:rPr>
        <w:t>　代表团审议工作报告和议案，审查国民经济、社会发展计划和计划执行情况，审查财政预算及预算执行情况，由代表团全体会议、代表小组会议审议。</w:t>
      </w:r>
    </w:p>
    <w:p w14:paraId="240F4EF2">
      <w:pPr>
        <w:jc w:val="left"/>
        <w:rPr>
          <w:rFonts w:ascii="宋体" w:hAnsi="宋体"/>
          <w:kern w:val="44"/>
        </w:rPr>
      </w:pPr>
      <w:r>
        <w:rPr>
          <w:rFonts w:hint="eastAsia" w:ascii="宋体" w:hAnsi="宋体"/>
          <w:kern w:val="44"/>
        </w:rPr>
        <w:t>市人民政府、市人民代表大会常务委员会、市高级人民法院、市人民检察院及上述机关所属工作部门的负责人，应当到会，听取意见，回答问题。</w:t>
      </w:r>
    </w:p>
    <w:p w14:paraId="46928B4B">
      <w:pPr>
        <w:ind w:firstLine="422"/>
        <w:jc w:val="left"/>
        <w:rPr>
          <w:rFonts w:ascii="宋体" w:hAnsi="宋体"/>
          <w:kern w:val="44"/>
        </w:rPr>
      </w:pPr>
      <w:r>
        <w:rPr>
          <w:rFonts w:hint="eastAsia" w:ascii="宋体" w:hAnsi="宋体"/>
          <w:b/>
          <w:kern w:val="44"/>
        </w:rPr>
        <w:t>第二十一条</w:t>
      </w:r>
      <w:r>
        <w:rPr>
          <w:rFonts w:hint="eastAsia" w:ascii="宋体" w:hAnsi="宋体"/>
          <w:kern w:val="44"/>
        </w:rPr>
        <w:t>　主席团会议听取各代表团审议工作报告、地方性法规案和议案，审查国民经济、社会发展计划和计划执行情况，审查财政预算及预算执行情况提出的意见，并听取有关机关的说明，进行讨论，讨论的结果由代表团团长向代表通报。</w:t>
      </w:r>
    </w:p>
    <w:p w14:paraId="3BE06FFF">
      <w:pPr>
        <w:ind w:firstLine="422"/>
        <w:jc w:val="left"/>
        <w:rPr>
          <w:rFonts w:ascii="宋体" w:hAnsi="宋体"/>
          <w:kern w:val="44"/>
        </w:rPr>
      </w:pPr>
      <w:r>
        <w:rPr>
          <w:rFonts w:hint="eastAsia" w:ascii="宋体" w:hAnsi="宋体"/>
          <w:b/>
          <w:kern w:val="44"/>
        </w:rPr>
        <w:t>第二十二条</w:t>
      </w:r>
      <w:r>
        <w:rPr>
          <w:rFonts w:hint="eastAsia" w:ascii="宋体" w:hAnsi="宋体"/>
          <w:kern w:val="44"/>
        </w:rPr>
        <w:t>　主席团常务主席根据代表要求或者工作需要，可以就专门性问题召集有关代表进行讨论；有关机关和部门的负责人参加会议，汇报情况，听取意见，回答问题。</w:t>
      </w:r>
    </w:p>
    <w:p w14:paraId="4F8C5811">
      <w:pPr>
        <w:ind w:firstLine="422"/>
        <w:jc w:val="left"/>
        <w:rPr>
          <w:rFonts w:ascii="宋体" w:hAnsi="宋体"/>
          <w:kern w:val="44"/>
        </w:rPr>
      </w:pPr>
      <w:r>
        <w:rPr>
          <w:rFonts w:hint="eastAsia" w:ascii="宋体" w:hAnsi="宋体"/>
          <w:b/>
          <w:kern w:val="44"/>
        </w:rPr>
        <w:t>第二十三条</w:t>
      </w:r>
      <w:r>
        <w:rPr>
          <w:rFonts w:hint="eastAsia" w:ascii="宋体" w:hAnsi="宋体"/>
          <w:kern w:val="44"/>
        </w:rPr>
        <w:t>　主席团可以召开大会全体会议进行大会发言，就大会审议的议题发表意见。</w:t>
      </w:r>
    </w:p>
    <w:p w14:paraId="4799D366">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人民代表大会财政经济委员会根据各代表团的审议意见，对关于国民经济和社会发展计划及计划执行情况的报告、关于财政预算及预算执行情况的报告进行审查，向主席团提出审查结果的报告，经主席团会议审议通过后，印发代表。</w:t>
      </w:r>
    </w:p>
    <w:p w14:paraId="3522E760">
      <w:pPr>
        <w:jc w:val="left"/>
        <w:rPr>
          <w:rFonts w:ascii="宋体" w:hAnsi="宋体"/>
          <w:kern w:val="44"/>
        </w:rPr>
      </w:pPr>
      <w:r>
        <w:rPr>
          <w:rFonts w:hint="eastAsia" w:ascii="宋体" w:hAnsi="宋体"/>
          <w:kern w:val="44"/>
        </w:rPr>
        <w:t>议案审查委员会对主席团交付的议案进行审查，提出议案处理意见的报告，经主席团会议审议通过后，印发代表。</w:t>
      </w:r>
    </w:p>
    <w:p w14:paraId="0E5F9E36">
      <w:pPr>
        <w:ind w:firstLine="422"/>
        <w:jc w:val="left"/>
        <w:rPr>
          <w:rFonts w:ascii="宋体" w:hAnsi="宋体"/>
          <w:kern w:val="44"/>
        </w:rPr>
      </w:pPr>
      <w:r>
        <w:rPr>
          <w:rFonts w:hint="eastAsia" w:ascii="宋体" w:hAnsi="宋体"/>
          <w:b/>
          <w:kern w:val="44"/>
        </w:rPr>
        <w:t>第二十五条</w:t>
      </w:r>
      <w:r>
        <w:rPr>
          <w:rFonts w:hint="eastAsia" w:ascii="宋体" w:hAnsi="宋体"/>
          <w:kern w:val="44"/>
        </w:rPr>
        <w:t>　各审查委员会在审议有关工作报告和议案，涉及专门性问题的时候，可以邀请有关方面的代表、提案人和专家列席会议，发表意见。</w:t>
      </w:r>
    </w:p>
    <w:p w14:paraId="7399FCF1">
      <w:pPr>
        <w:ind w:firstLine="422"/>
        <w:jc w:val="left"/>
        <w:rPr>
          <w:rFonts w:ascii="宋体" w:hAnsi="宋体"/>
          <w:kern w:val="44"/>
        </w:rPr>
      </w:pPr>
      <w:r>
        <w:rPr>
          <w:rFonts w:hint="eastAsia" w:ascii="宋体" w:hAnsi="宋体"/>
          <w:b/>
          <w:kern w:val="44"/>
        </w:rPr>
        <w:t>第二十六条</w:t>
      </w:r>
      <w:r>
        <w:rPr>
          <w:rFonts w:hint="eastAsia" w:ascii="宋体" w:hAnsi="宋体"/>
          <w:kern w:val="44"/>
        </w:rPr>
        <w:t>　主席团集中代表的意见，提出关于工作报告和有关议案的决议草案，交各代表团审议，并根据代表意见修改后，提请大会全体会议表决。</w:t>
      </w:r>
    </w:p>
    <w:p w14:paraId="355CF553">
      <w:pPr>
        <w:jc w:val="left"/>
        <w:rPr>
          <w:rFonts w:ascii="宋体" w:hAnsi="宋体"/>
          <w:kern w:val="44"/>
        </w:rPr>
      </w:pPr>
      <w:r>
        <w:rPr>
          <w:rFonts w:hint="eastAsia" w:ascii="宋体" w:hAnsi="宋体"/>
          <w:kern w:val="44"/>
        </w:rPr>
        <w:t>市人民代表大会财政经济委员会提出关于国民经济、社会发展计划的决议草案和财政预算及预算执行情况的决议草案，经主席团审议后，印发代表，提请大会全体会议表决。</w:t>
      </w:r>
    </w:p>
    <w:p w14:paraId="3EBD5690">
      <w:pPr>
        <w:ind w:firstLine="422"/>
        <w:jc w:val="left"/>
        <w:rPr>
          <w:rFonts w:ascii="宋体" w:hAnsi="宋体"/>
          <w:kern w:val="44"/>
        </w:rPr>
      </w:pPr>
      <w:r>
        <w:rPr>
          <w:rFonts w:hint="eastAsia" w:ascii="宋体" w:hAnsi="宋体"/>
          <w:b/>
          <w:kern w:val="44"/>
        </w:rPr>
        <w:t>第二十七条</w:t>
      </w:r>
      <w:r>
        <w:rPr>
          <w:rFonts w:hint="eastAsia" w:ascii="宋体" w:hAnsi="宋体"/>
          <w:kern w:val="44"/>
        </w:rPr>
        <w:t>　列入会议议程的议案，在交付表决前，提案人要求撤回的，经主席团同意，会议对该议案的审议即行终止。</w:t>
      </w:r>
    </w:p>
    <w:p w14:paraId="7FF00864">
      <w:pPr>
        <w:ind w:firstLine="422"/>
        <w:jc w:val="left"/>
        <w:rPr>
          <w:rFonts w:ascii="宋体" w:hAnsi="宋体"/>
          <w:kern w:val="44"/>
        </w:rPr>
      </w:pPr>
      <w:r>
        <w:rPr>
          <w:rFonts w:hint="eastAsia" w:ascii="宋体" w:hAnsi="宋体"/>
          <w:b/>
          <w:kern w:val="44"/>
        </w:rPr>
        <w:t>第二十八条</w:t>
      </w:r>
      <w:r>
        <w:rPr>
          <w:rFonts w:hint="eastAsia" w:ascii="宋体" w:hAnsi="宋体"/>
          <w:kern w:val="44"/>
        </w:rPr>
        <w:t>　列入会议议程的议案，在审议中有重大问题需要进一步研究的，经主席团提出，由大会全体会议决定，可以授权市人民代表大会常务委员会审议决定，并报市人民代表大会下次会议备案；或者责成市人民代表大会常务委员会进行研究，提出意见，提请市人民代表大会下次会议审议。</w:t>
      </w:r>
    </w:p>
    <w:p w14:paraId="0F75B977">
      <w:pPr>
        <w:ind w:firstLine="422"/>
        <w:jc w:val="left"/>
        <w:rPr>
          <w:rFonts w:ascii="宋体" w:hAnsi="宋体"/>
          <w:kern w:val="44"/>
        </w:rPr>
      </w:pPr>
      <w:r>
        <w:rPr>
          <w:rFonts w:hint="eastAsia" w:ascii="宋体" w:hAnsi="宋体"/>
          <w:b/>
          <w:kern w:val="44"/>
        </w:rPr>
        <w:t>第二十九条</w:t>
      </w:r>
      <w:r>
        <w:rPr>
          <w:rFonts w:hint="eastAsia" w:ascii="宋体" w:hAnsi="宋体"/>
          <w:kern w:val="44"/>
        </w:rPr>
        <w:t>　市人民代表大会代表向市人民代表大会提出的对各方面工作的建议、批评和意见，由市人民代表大会常务委员会办事机构交由有关机关、组织研究处理，并应当自代表建议、批评和意见交办之日起三个月内办理完毕，予以答复；问题复杂的，经交办机关同意，至迟不得超过六个月予以答复。代表对办理结果不同意的，经市人民代表大会常务委员会代表联络工作部门会同有关部门研究，需要再次办理的，可以责成承办单位在二个月内重新研究办理并答复代表。</w:t>
      </w:r>
    </w:p>
    <w:p w14:paraId="42CFC99C">
      <w:pPr>
        <w:jc w:val="left"/>
        <w:rPr>
          <w:rFonts w:ascii="宋体" w:hAnsi="宋体"/>
          <w:kern w:val="44"/>
        </w:rPr>
      </w:pPr>
    </w:p>
    <w:p w14:paraId="0C39D27E">
      <w:pPr>
        <w:ind w:firstLine="0" w:firstLineChars="0"/>
        <w:jc w:val="center"/>
        <w:rPr>
          <w:rFonts w:ascii="宋体" w:hAnsi="宋体"/>
          <w:b/>
          <w:kern w:val="44"/>
          <w:sz w:val="28"/>
        </w:rPr>
      </w:pPr>
      <w:r>
        <w:rPr>
          <w:rFonts w:hint="eastAsia" w:ascii="宋体" w:hAnsi="宋体"/>
          <w:b/>
          <w:kern w:val="44"/>
          <w:sz w:val="28"/>
        </w:rPr>
        <w:t>第四章　选举、辞职、罢免和补选</w:t>
      </w:r>
    </w:p>
    <w:p w14:paraId="3EEBFFDB">
      <w:pPr>
        <w:jc w:val="left"/>
        <w:rPr>
          <w:rFonts w:ascii="宋体" w:hAnsi="宋体"/>
          <w:kern w:val="44"/>
        </w:rPr>
      </w:pPr>
    </w:p>
    <w:p w14:paraId="34F0E0AE">
      <w:pPr>
        <w:ind w:firstLine="422"/>
        <w:jc w:val="left"/>
        <w:rPr>
          <w:rFonts w:ascii="宋体" w:hAnsi="宋体"/>
          <w:kern w:val="44"/>
        </w:rPr>
      </w:pPr>
      <w:r>
        <w:rPr>
          <w:rFonts w:hint="eastAsia" w:ascii="宋体" w:hAnsi="宋体"/>
          <w:b/>
          <w:kern w:val="44"/>
        </w:rPr>
        <w:t>第三十条</w:t>
      </w:r>
      <w:r>
        <w:rPr>
          <w:rFonts w:hint="eastAsia" w:ascii="宋体" w:hAnsi="宋体"/>
          <w:kern w:val="44"/>
        </w:rPr>
        <w:t>　市人民代表大会常务委员会组成人员，市长、副市长，市高级人民法院院长，市人民检察院检察长，本市出席全国人民代表大会的代表，由市人民代表大会依法选举。</w:t>
      </w:r>
    </w:p>
    <w:p w14:paraId="1C4F74D9">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市人民代表大会进行选举，应当制定选举办法。选举办法草案由主席团提出，经各代表团审议后，由大会全体会议通过。</w:t>
      </w:r>
    </w:p>
    <w:p w14:paraId="489D76D7">
      <w:pPr>
        <w:ind w:firstLine="422"/>
        <w:jc w:val="left"/>
        <w:rPr>
          <w:rFonts w:ascii="宋体" w:hAnsi="宋体"/>
          <w:kern w:val="44"/>
        </w:rPr>
      </w:pPr>
      <w:r>
        <w:rPr>
          <w:rFonts w:hint="eastAsia" w:ascii="宋体" w:hAnsi="宋体"/>
          <w:b/>
          <w:kern w:val="44"/>
        </w:rPr>
        <w:t>第三十二条</w:t>
      </w:r>
      <w:r>
        <w:rPr>
          <w:rFonts w:hint="eastAsia" w:ascii="宋体" w:hAnsi="宋体"/>
          <w:kern w:val="44"/>
        </w:rPr>
        <w:t>　市人民代表大会常务委员会组成人员，市长、副市长，市高级人民法院院长，市人民检察院检察长的候选人，由主席团或者代表30人以上联名推荐。</w:t>
      </w:r>
    </w:p>
    <w:p w14:paraId="43AF1BD3">
      <w:pPr>
        <w:jc w:val="left"/>
        <w:rPr>
          <w:rFonts w:ascii="宋体" w:hAnsi="宋体"/>
          <w:kern w:val="44"/>
        </w:rPr>
      </w:pPr>
      <w:r>
        <w:rPr>
          <w:rFonts w:hint="eastAsia" w:ascii="宋体" w:hAnsi="宋体"/>
          <w:kern w:val="44"/>
        </w:rPr>
        <w:t>本市出席全国人民代表大会代表的候选人，可以由各政党、各人民团体联合或者单独推荐，也可以由代表10人以上联名推荐。</w:t>
      </w:r>
    </w:p>
    <w:p w14:paraId="4522C6C1">
      <w:pPr>
        <w:jc w:val="left"/>
        <w:rPr>
          <w:rFonts w:ascii="宋体" w:hAnsi="宋体"/>
          <w:kern w:val="44"/>
        </w:rPr>
      </w:pPr>
      <w:r>
        <w:rPr>
          <w:rFonts w:hint="eastAsia" w:ascii="宋体" w:hAnsi="宋体"/>
          <w:kern w:val="44"/>
        </w:rPr>
        <w:t>市人民代表大会专门委员会组成人员的人选，由主席团在市人民代表大会代表中提名，大会通过。</w:t>
      </w:r>
    </w:p>
    <w:p w14:paraId="1478310C">
      <w:pPr>
        <w:ind w:firstLine="422"/>
        <w:jc w:val="left"/>
        <w:rPr>
          <w:rFonts w:ascii="宋体" w:hAnsi="宋体"/>
          <w:kern w:val="44"/>
        </w:rPr>
      </w:pPr>
      <w:r>
        <w:rPr>
          <w:rFonts w:hint="eastAsia" w:ascii="宋体" w:hAnsi="宋体"/>
          <w:b/>
          <w:kern w:val="44"/>
        </w:rPr>
        <w:t>第三十三条</w:t>
      </w:r>
      <w:r>
        <w:rPr>
          <w:rFonts w:hint="eastAsia" w:ascii="宋体" w:hAnsi="宋体"/>
          <w:kern w:val="44"/>
        </w:rPr>
        <w:t>　推荐候选人的主席团、政党、团体或者代表，应当向会议介绍候选人的情况，并对代表提出的问题作必要的说明。</w:t>
      </w:r>
    </w:p>
    <w:p w14:paraId="279EC365">
      <w:pPr>
        <w:ind w:firstLine="422"/>
        <w:jc w:val="left"/>
        <w:rPr>
          <w:rFonts w:ascii="宋体" w:hAnsi="宋体"/>
          <w:kern w:val="44"/>
        </w:rPr>
      </w:pPr>
      <w:r>
        <w:rPr>
          <w:rFonts w:hint="eastAsia" w:ascii="宋体" w:hAnsi="宋体"/>
          <w:b/>
          <w:kern w:val="44"/>
        </w:rPr>
        <w:t>第三十四条</w:t>
      </w:r>
      <w:r>
        <w:rPr>
          <w:rFonts w:hint="eastAsia" w:ascii="宋体" w:hAnsi="宋体"/>
          <w:kern w:val="44"/>
        </w:rPr>
        <w:t>　主席团将依法提出的全部候选人名单提交全体代表酝酿、讨论、协商之后，根据较多数代表的意见确定正式候选人名单。</w:t>
      </w:r>
    </w:p>
    <w:p w14:paraId="74431527">
      <w:pPr>
        <w:ind w:firstLine="422"/>
        <w:jc w:val="left"/>
        <w:rPr>
          <w:rFonts w:ascii="宋体" w:hAnsi="宋体"/>
          <w:kern w:val="44"/>
        </w:rPr>
      </w:pPr>
      <w:r>
        <w:rPr>
          <w:rFonts w:hint="eastAsia" w:ascii="宋体" w:hAnsi="宋体"/>
          <w:b/>
          <w:kern w:val="44"/>
        </w:rPr>
        <w:t>第三十五条</w:t>
      </w:r>
      <w:r>
        <w:rPr>
          <w:rFonts w:hint="eastAsia" w:ascii="宋体" w:hAnsi="宋体"/>
          <w:kern w:val="44"/>
        </w:rPr>
        <w:t>　市人民代表大会会议选举，采用无记名投票方式。得票数超过全体代表的半数的，始得当选。</w:t>
      </w:r>
    </w:p>
    <w:p w14:paraId="1E27EECB">
      <w:pPr>
        <w:jc w:val="left"/>
        <w:rPr>
          <w:rFonts w:ascii="宋体" w:hAnsi="宋体"/>
          <w:kern w:val="44"/>
        </w:rPr>
      </w:pPr>
      <w:r>
        <w:rPr>
          <w:rFonts w:hint="eastAsia" w:ascii="宋体" w:hAnsi="宋体"/>
          <w:kern w:val="44"/>
        </w:rPr>
        <w:t>选举结果，由主席团依法确定是否有效，并向大会宣布。当选人的得票数，应当公布。</w:t>
      </w:r>
    </w:p>
    <w:p w14:paraId="51BB920F">
      <w:pPr>
        <w:ind w:firstLine="422"/>
        <w:jc w:val="left"/>
        <w:rPr>
          <w:rFonts w:ascii="宋体" w:hAnsi="宋体"/>
          <w:kern w:val="44"/>
        </w:rPr>
      </w:pPr>
      <w:r>
        <w:rPr>
          <w:rFonts w:hint="eastAsia" w:ascii="宋体" w:hAnsi="宋体"/>
          <w:b/>
          <w:kern w:val="44"/>
        </w:rPr>
        <w:t>第三十六条</w:t>
      </w:r>
      <w:r>
        <w:rPr>
          <w:rFonts w:hint="eastAsia" w:ascii="宋体" w:hAnsi="宋体"/>
          <w:kern w:val="44"/>
        </w:rPr>
        <w:t>　市人民代表大会会议期间，市人民代表大会常务委员会的组成人员，市长、副市长，市高级人民法院院长，市人民检察院检察长提出辞职的，由主席团将其辞职请求交各代表团审议后，提请大会全体会议决定是否接受辞职。大会闭会期间提出辞职的，由市人民代表大会常务委员会决定是否接受辞职。市人民代表大会常务委员会决定接受辞职后，应当报市人民代表大会下次会议备案。</w:t>
      </w:r>
    </w:p>
    <w:p w14:paraId="05FA6BD2">
      <w:pPr>
        <w:ind w:firstLine="422"/>
        <w:jc w:val="left"/>
        <w:rPr>
          <w:rFonts w:ascii="宋体" w:hAnsi="宋体"/>
          <w:kern w:val="44"/>
        </w:rPr>
      </w:pPr>
      <w:r>
        <w:rPr>
          <w:rFonts w:hint="eastAsia" w:ascii="宋体" w:hAnsi="宋体"/>
          <w:b/>
          <w:kern w:val="44"/>
        </w:rPr>
        <w:t>第三十七条</w:t>
      </w:r>
      <w:r>
        <w:rPr>
          <w:rFonts w:hint="eastAsia" w:ascii="宋体" w:hAnsi="宋体"/>
          <w:kern w:val="44"/>
        </w:rPr>
        <w:t>　主席团、市人民代表大会常务委员会或者十分之一以上的代表联名，可以提出对市人民代表大会常务委员会的组成人员、市长、副市长、市高级人民法院院长、市人民检察院检察长、本市选出的全国人民代表大会代表的罢免案，由主席团交各代表团审议后，提请大会全体会议表决；或者由主席团提议，经大会全体会议决定，组织调查委员会，由市人民代表大会下次会议根据调查委员会的报告审议决定。对于副市长或者本市出席全国人民代表大会代表的罢免案，经代表大会全体会议决定，可以授权市人民代表大会常务委员会根据调查委员会的报告，依法决定是否撤销其副市长或者罢免其代表职务，并向市人民代表大会下次会议报告。</w:t>
      </w:r>
    </w:p>
    <w:p w14:paraId="57D651F3">
      <w:pPr>
        <w:jc w:val="left"/>
        <w:rPr>
          <w:rFonts w:ascii="宋体" w:hAnsi="宋体"/>
          <w:kern w:val="44"/>
        </w:rPr>
      </w:pPr>
      <w:r>
        <w:rPr>
          <w:rFonts w:hint="eastAsia" w:ascii="宋体" w:hAnsi="宋体"/>
          <w:kern w:val="44"/>
        </w:rPr>
        <w:t>罢免案应当写明罢免理由，并提供有关的材料。</w:t>
      </w:r>
    </w:p>
    <w:p w14:paraId="13CB6C34">
      <w:pPr>
        <w:jc w:val="left"/>
        <w:rPr>
          <w:rFonts w:ascii="宋体" w:hAnsi="宋体"/>
          <w:kern w:val="44"/>
        </w:rPr>
      </w:pPr>
      <w:r>
        <w:rPr>
          <w:rFonts w:hint="eastAsia" w:ascii="宋体" w:hAnsi="宋体"/>
          <w:kern w:val="44"/>
        </w:rPr>
        <w:t>罢免案提请大会全体会议表决前，被提议罢免的人员有权在主席团会议和大会全体会议上提出申辩意见，或者书面提出申辩意见，由主席团印发代表。</w:t>
      </w:r>
    </w:p>
    <w:p w14:paraId="63FE3E86">
      <w:pPr>
        <w:ind w:firstLine="422"/>
        <w:jc w:val="left"/>
        <w:rPr>
          <w:rFonts w:ascii="宋体" w:hAnsi="宋体"/>
          <w:kern w:val="44"/>
        </w:rPr>
      </w:pPr>
      <w:r>
        <w:rPr>
          <w:rFonts w:hint="eastAsia" w:ascii="宋体" w:hAnsi="宋体"/>
          <w:b/>
          <w:kern w:val="44"/>
        </w:rPr>
        <w:t>第三十八条</w:t>
      </w:r>
      <w:r>
        <w:rPr>
          <w:rFonts w:hint="eastAsia" w:ascii="宋体" w:hAnsi="宋体"/>
          <w:kern w:val="44"/>
        </w:rPr>
        <w:t>　市人民代表大会选出市人民检察院检察长，接受市人民检察院检察长辞职，或者罢免市人民检察院检察长职务，须报经最高人民检察院检察长提请全国人民代表大会常务委员会批准。</w:t>
      </w:r>
    </w:p>
    <w:p w14:paraId="25B9AE25">
      <w:pPr>
        <w:jc w:val="left"/>
        <w:rPr>
          <w:rFonts w:ascii="宋体" w:hAnsi="宋体"/>
          <w:kern w:val="44"/>
        </w:rPr>
      </w:pPr>
      <w:r>
        <w:rPr>
          <w:rFonts w:hint="eastAsia" w:ascii="宋体" w:hAnsi="宋体"/>
          <w:kern w:val="44"/>
        </w:rPr>
        <w:t>罢免本市选出的全国人民代表大会代表的决议，须报全国人民代表大会常务委员会备案。</w:t>
      </w:r>
    </w:p>
    <w:p w14:paraId="3D2A3E7C">
      <w:pPr>
        <w:ind w:firstLine="422"/>
        <w:jc w:val="left"/>
        <w:rPr>
          <w:rFonts w:ascii="宋体" w:hAnsi="宋体"/>
          <w:kern w:val="44"/>
        </w:rPr>
      </w:pPr>
      <w:r>
        <w:rPr>
          <w:rFonts w:hint="eastAsia" w:ascii="宋体" w:hAnsi="宋体"/>
          <w:b/>
          <w:kern w:val="44"/>
        </w:rPr>
        <w:t>第三十九条</w:t>
      </w:r>
      <w:r>
        <w:rPr>
          <w:rFonts w:hint="eastAsia" w:ascii="宋体" w:hAnsi="宋体"/>
          <w:kern w:val="44"/>
        </w:rPr>
        <w:t>　市人民代表大会常务委员会组成人员、市长、市高级人民法院院长、市人民检察院检察长出缺，由市人民代表大会补选；副市长、本市出席全国人民代表大会的代表出缺，除市人民代表大会闭会期间，由市人民代表大会常务委员会依法个别任命、补选外，由市人民代表大会补选。</w:t>
      </w:r>
    </w:p>
    <w:p w14:paraId="75E03C65">
      <w:pPr>
        <w:jc w:val="left"/>
        <w:rPr>
          <w:rFonts w:ascii="宋体" w:hAnsi="宋体"/>
          <w:kern w:val="44"/>
        </w:rPr>
      </w:pPr>
      <w:r>
        <w:rPr>
          <w:rFonts w:hint="eastAsia" w:ascii="宋体" w:hAnsi="宋体"/>
          <w:kern w:val="44"/>
        </w:rPr>
        <w:t>补选办法草案，由主席团提出，大会全体会议通过。</w:t>
      </w:r>
    </w:p>
    <w:p w14:paraId="5523E4AC">
      <w:pPr>
        <w:jc w:val="left"/>
        <w:rPr>
          <w:rFonts w:ascii="宋体" w:hAnsi="宋体"/>
          <w:kern w:val="44"/>
        </w:rPr>
      </w:pPr>
    </w:p>
    <w:p w14:paraId="7D203540">
      <w:pPr>
        <w:ind w:firstLine="0" w:firstLineChars="0"/>
        <w:jc w:val="center"/>
        <w:rPr>
          <w:rFonts w:ascii="宋体" w:hAnsi="宋体"/>
          <w:b/>
          <w:kern w:val="44"/>
          <w:sz w:val="28"/>
        </w:rPr>
      </w:pPr>
      <w:r>
        <w:rPr>
          <w:rFonts w:hint="eastAsia" w:ascii="宋体" w:hAnsi="宋体"/>
          <w:b/>
          <w:kern w:val="44"/>
          <w:sz w:val="28"/>
        </w:rPr>
        <w:t>第五章　询问和质询</w:t>
      </w:r>
    </w:p>
    <w:p w14:paraId="2947988C">
      <w:pPr>
        <w:jc w:val="left"/>
        <w:rPr>
          <w:rFonts w:ascii="宋体" w:hAnsi="宋体"/>
          <w:kern w:val="44"/>
        </w:rPr>
      </w:pPr>
    </w:p>
    <w:p w14:paraId="73C37320">
      <w:pPr>
        <w:ind w:firstLine="422"/>
        <w:jc w:val="left"/>
        <w:rPr>
          <w:rFonts w:ascii="宋体" w:hAnsi="宋体"/>
          <w:kern w:val="44"/>
        </w:rPr>
      </w:pPr>
      <w:r>
        <w:rPr>
          <w:rFonts w:hint="eastAsia" w:ascii="宋体" w:hAnsi="宋体"/>
          <w:b/>
          <w:kern w:val="44"/>
        </w:rPr>
        <w:t>第四十条</w:t>
      </w:r>
      <w:r>
        <w:rPr>
          <w:rFonts w:hint="eastAsia" w:ascii="宋体" w:hAnsi="宋体"/>
          <w:kern w:val="44"/>
        </w:rPr>
        <w:t>　代表团和代表小组审议工作报告和议案，审查国民经济、社会发展计划和财政预算的时候，代表可以提出询问，由到会的有关机关负责人作出回答，或者由有关机关派人到会回答。</w:t>
      </w:r>
    </w:p>
    <w:p w14:paraId="7DA945F1">
      <w:pPr>
        <w:jc w:val="left"/>
        <w:rPr>
          <w:rFonts w:ascii="宋体" w:hAnsi="宋体"/>
          <w:kern w:val="44"/>
        </w:rPr>
      </w:pPr>
      <w:r>
        <w:rPr>
          <w:rFonts w:hint="eastAsia" w:ascii="宋体" w:hAnsi="宋体"/>
          <w:kern w:val="44"/>
        </w:rPr>
        <w:t>主席团和有关委员会审议工作报告和议案，审查国民经济、社会发展计划和财政预算的时候，市人民政府或者有关机关负责人应当到会，听取意见，回答询问，并可以对有关报告或者议案作补充说明。</w:t>
      </w:r>
    </w:p>
    <w:p w14:paraId="2B179E24">
      <w:pPr>
        <w:ind w:firstLine="422"/>
        <w:jc w:val="left"/>
        <w:rPr>
          <w:rFonts w:ascii="宋体" w:hAnsi="宋体"/>
          <w:kern w:val="44"/>
        </w:rPr>
      </w:pPr>
      <w:r>
        <w:rPr>
          <w:rFonts w:hint="eastAsia" w:ascii="宋体" w:hAnsi="宋体"/>
          <w:b/>
          <w:kern w:val="44"/>
        </w:rPr>
        <w:t>第四十一条</w:t>
      </w:r>
      <w:r>
        <w:rPr>
          <w:rFonts w:hint="eastAsia" w:ascii="宋体" w:hAnsi="宋体"/>
          <w:kern w:val="44"/>
        </w:rPr>
        <w:t>　市人民代表大会会议期间，一个代表团以全体代表的过半数通过或者代表10人以上联名，可以书面提出对市人民政府和它所属各工作部门、市高级人民法院、市人民检察院的质询案。</w:t>
      </w:r>
    </w:p>
    <w:p w14:paraId="554110D8">
      <w:pPr>
        <w:jc w:val="left"/>
        <w:rPr>
          <w:rFonts w:ascii="宋体" w:hAnsi="宋体"/>
          <w:kern w:val="44"/>
        </w:rPr>
      </w:pPr>
      <w:r>
        <w:rPr>
          <w:rFonts w:hint="eastAsia" w:ascii="宋体" w:hAnsi="宋体"/>
          <w:kern w:val="44"/>
        </w:rPr>
        <w:t>质询案必须写明质询对象、质询的问题和内容。</w:t>
      </w:r>
    </w:p>
    <w:p w14:paraId="48564B34">
      <w:pPr>
        <w:ind w:firstLine="422"/>
        <w:jc w:val="left"/>
        <w:rPr>
          <w:rFonts w:ascii="宋体" w:hAnsi="宋体"/>
          <w:kern w:val="44"/>
        </w:rPr>
      </w:pPr>
      <w:r>
        <w:rPr>
          <w:rFonts w:hint="eastAsia" w:ascii="宋体" w:hAnsi="宋体"/>
          <w:b/>
          <w:kern w:val="44"/>
        </w:rPr>
        <w:t>第四十二条</w:t>
      </w:r>
      <w:r>
        <w:rPr>
          <w:rFonts w:hint="eastAsia" w:ascii="宋体" w:hAnsi="宋体"/>
          <w:kern w:val="44"/>
        </w:rPr>
        <w:t>　质询案按照主席团的决定，在会议期间由受质询机关的负责人在主席团会议、有关的专门委员会会议或者有关的代表团会议上口头答复，或者由受质询机关书面答复。</w:t>
      </w:r>
    </w:p>
    <w:p w14:paraId="43BCD0C3">
      <w:pPr>
        <w:jc w:val="left"/>
        <w:rPr>
          <w:rFonts w:ascii="宋体" w:hAnsi="宋体"/>
          <w:kern w:val="44"/>
        </w:rPr>
      </w:pPr>
      <w:r>
        <w:rPr>
          <w:rFonts w:hint="eastAsia" w:ascii="宋体" w:hAnsi="宋体"/>
          <w:kern w:val="44"/>
        </w:rPr>
        <w:t>在主席团会议和有关的专门委员会会议上答复的，提质询案的代表团团长或者代表有权列席会议，发表意见。</w:t>
      </w:r>
    </w:p>
    <w:p w14:paraId="7C794584">
      <w:pPr>
        <w:jc w:val="left"/>
        <w:rPr>
          <w:rFonts w:ascii="宋体" w:hAnsi="宋体"/>
          <w:kern w:val="44"/>
        </w:rPr>
      </w:pPr>
      <w:r>
        <w:rPr>
          <w:rFonts w:hint="eastAsia" w:ascii="宋体" w:hAnsi="宋体"/>
          <w:kern w:val="44"/>
        </w:rPr>
        <w:t>在专门委员会或者代表团会议上答复的，有关的专门委员会或者代表团应当将答复质询案的情况向主席团报告。</w:t>
      </w:r>
    </w:p>
    <w:p w14:paraId="2DE93EA2">
      <w:pPr>
        <w:jc w:val="left"/>
        <w:rPr>
          <w:rFonts w:ascii="宋体" w:hAnsi="宋体"/>
          <w:kern w:val="44"/>
        </w:rPr>
      </w:pPr>
      <w:r>
        <w:rPr>
          <w:rFonts w:hint="eastAsia" w:ascii="宋体" w:hAnsi="宋体"/>
          <w:kern w:val="44"/>
        </w:rPr>
        <w:t>质询案以书面答复的，受质询机关的负责人应当签署，由主席团决定印发提质询案的代表团或者代表。</w:t>
      </w:r>
    </w:p>
    <w:p w14:paraId="41A4ECC1">
      <w:pPr>
        <w:jc w:val="left"/>
        <w:rPr>
          <w:rFonts w:ascii="宋体" w:hAnsi="宋体"/>
          <w:kern w:val="44"/>
        </w:rPr>
      </w:pPr>
      <w:r>
        <w:rPr>
          <w:rFonts w:hint="eastAsia" w:ascii="宋体" w:hAnsi="宋体"/>
          <w:kern w:val="44"/>
        </w:rPr>
        <w:t>提质询案的代表团或者代表对答复质询不满意的，可以提出要求，经主席团决定，由受质询机关再作答复。</w:t>
      </w:r>
    </w:p>
    <w:p w14:paraId="15E7A6E2">
      <w:pPr>
        <w:jc w:val="left"/>
        <w:rPr>
          <w:rFonts w:ascii="宋体" w:hAnsi="宋体"/>
          <w:kern w:val="44"/>
        </w:rPr>
      </w:pPr>
      <w:r>
        <w:rPr>
          <w:rFonts w:hint="eastAsia" w:ascii="宋体" w:hAnsi="宋体"/>
          <w:kern w:val="44"/>
        </w:rPr>
        <w:t>主席团认为必要的时候，可以将答复质询案的情况向各代表团通报。</w:t>
      </w:r>
    </w:p>
    <w:p w14:paraId="2051E9BD">
      <w:pPr>
        <w:jc w:val="left"/>
        <w:rPr>
          <w:rFonts w:ascii="宋体" w:hAnsi="宋体"/>
          <w:kern w:val="44"/>
        </w:rPr>
      </w:pPr>
    </w:p>
    <w:p w14:paraId="25AF2ABB">
      <w:pPr>
        <w:ind w:firstLine="0" w:firstLineChars="0"/>
        <w:jc w:val="center"/>
        <w:rPr>
          <w:rFonts w:ascii="宋体" w:hAnsi="宋体"/>
          <w:b/>
          <w:kern w:val="44"/>
          <w:sz w:val="28"/>
        </w:rPr>
      </w:pPr>
      <w:r>
        <w:rPr>
          <w:rFonts w:hint="eastAsia" w:ascii="宋体" w:hAnsi="宋体"/>
          <w:b/>
          <w:kern w:val="44"/>
          <w:sz w:val="28"/>
        </w:rPr>
        <w:t>第六章　调查委员会</w:t>
      </w:r>
    </w:p>
    <w:p w14:paraId="5F2CCA9A">
      <w:pPr>
        <w:jc w:val="left"/>
        <w:rPr>
          <w:rFonts w:ascii="宋体" w:hAnsi="宋体"/>
          <w:kern w:val="44"/>
        </w:rPr>
      </w:pPr>
    </w:p>
    <w:p w14:paraId="2FE53B8D">
      <w:pPr>
        <w:ind w:firstLine="422"/>
        <w:jc w:val="left"/>
        <w:rPr>
          <w:rFonts w:ascii="宋体" w:hAnsi="宋体"/>
          <w:kern w:val="44"/>
        </w:rPr>
      </w:pPr>
      <w:r>
        <w:rPr>
          <w:rFonts w:hint="eastAsia" w:ascii="宋体" w:hAnsi="宋体"/>
          <w:b/>
          <w:kern w:val="44"/>
        </w:rPr>
        <w:t>第四十三条</w:t>
      </w:r>
      <w:r>
        <w:rPr>
          <w:rFonts w:hint="eastAsia" w:ascii="宋体" w:hAnsi="宋体"/>
          <w:kern w:val="44"/>
        </w:rPr>
        <w:t>　市人民代表大会认为必要的时候，可以组织关于特定问题的调查委员会。</w:t>
      </w:r>
    </w:p>
    <w:p w14:paraId="095886A3">
      <w:pPr>
        <w:ind w:firstLine="422"/>
        <w:jc w:val="left"/>
        <w:rPr>
          <w:rFonts w:ascii="宋体" w:hAnsi="宋体"/>
          <w:kern w:val="44"/>
        </w:rPr>
      </w:pPr>
      <w:r>
        <w:rPr>
          <w:rFonts w:hint="eastAsia" w:ascii="宋体" w:hAnsi="宋体"/>
          <w:b/>
          <w:kern w:val="44"/>
        </w:rPr>
        <w:t>第四十四条</w:t>
      </w:r>
      <w:r>
        <w:rPr>
          <w:rFonts w:hint="eastAsia" w:ascii="宋体" w:hAnsi="宋体"/>
          <w:kern w:val="44"/>
        </w:rPr>
        <w:t>　主席团、三个以上代表团或者十分之一以上的代表联名，可以提议组织关于特定问题的调查委员会，由主席团提请大会全体会议决定。</w:t>
      </w:r>
    </w:p>
    <w:p w14:paraId="05888495">
      <w:pPr>
        <w:jc w:val="left"/>
        <w:rPr>
          <w:rFonts w:ascii="宋体" w:hAnsi="宋体"/>
          <w:kern w:val="44"/>
        </w:rPr>
      </w:pPr>
      <w:r>
        <w:rPr>
          <w:rFonts w:hint="eastAsia" w:ascii="宋体" w:hAnsi="宋体"/>
          <w:kern w:val="44"/>
        </w:rPr>
        <w:t>调查委员会由主任委员、副主任委员若干人和委员若干人组成，由主席团在代表中提名，提请大会全体会议通过。调查委员会可以聘请专家参加调查工作。</w:t>
      </w:r>
    </w:p>
    <w:p w14:paraId="5E366ECA">
      <w:pPr>
        <w:ind w:firstLine="422"/>
        <w:jc w:val="left"/>
        <w:rPr>
          <w:rFonts w:ascii="宋体" w:hAnsi="宋体"/>
          <w:kern w:val="44"/>
        </w:rPr>
      </w:pPr>
      <w:r>
        <w:rPr>
          <w:rFonts w:hint="eastAsia" w:ascii="宋体" w:hAnsi="宋体"/>
          <w:b/>
          <w:kern w:val="44"/>
        </w:rPr>
        <w:t>第四十五条</w:t>
      </w:r>
      <w:r>
        <w:rPr>
          <w:rFonts w:hint="eastAsia" w:ascii="宋体" w:hAnsi="宋体"/>
          <w:kern w:val="44"/>
        </w:rPr>
        <w:t>　调查委员会进行调查的时候，本市国家机关、社会团体和公民都有义务如实向它提供材料。提供材料的公民要求调查委员会对材料来源保密的，调查委员会应当予以保密。</w:t>
      </w:r>
    </w:p>
    <w:p w14:paraId="0E8DB7AB">
      <w:pPr>
        <w:ind w:firstLine="422"/>
        <w:jc w:val="left"/>
        <w:rPr>
          <w:rFonts w:ascii="宋体" w:hAnsi="宋体"/>
          <w:kern w:val="44"/>
        </w:rPr>
      </w:pPr>
      <w:r>
        <w:rPr>
          <w:rFonts w:hint="eastAsia" w:ascii="宋体" w:hAnsi="宋体"/>
          <w:b/>
          <w:kern w:val="44"/>
        </w:rPr>
        <w:t>第四十六条</w:t>
      </w:r>
      <w:r>
        <w:rPr>
          <w:rFonts w:hint="eastAsia" w:ascii="宋体" w:hAnsi="宋体"/>
          <w:kern w:val="44"/>
        </w:rPr>
        <w:t>　调查委员会应当向市人民代表大会提出调查报告。市人民代表大会根据调查委员会的报告，可以作出相应的决议。</w:t>
      </w:r>
    </w:p>
    <w:p w14:paraId="77C00140">
      <w:pPr>
        <w:jc w:val="left"/>
        <w:rPr>
          <w:rFonts w:ascii="宋体" w:hAnsi="宋体"/>
          <w:kern w:val="44"/>
        </w:rPr>
      </w:pPr>
      <w:r>
        <w:rPr>
          <w:rFonts w:hint="eastAsia" w:ascii="宋体" w:hAnsi="宋体"/>
          <w:kern w:val="44"/>
        </w:rPr>
        <w:t>市人民代表大会可以授权市人民代表大会常务委员会在市人民代表大会闭会期间，听取调查委员会的调查报告，并可以作出相应的决议，报市人民代表大会下次会议备案。</w:t>
      </w:r>
    </w:p>
    <w:p w14:paraId="1547DF71">
      <w:pPr>
        <w:jc w:val="left"/>
        <w:rPr>
          <w:rFonts w:ascii="宋体" w:hAnsi="宋体"/>
          <w:kern w:val="44"/>
        </w:rPr>
      </w:pPr>
    </w:p>
    <w:p w14:paraId="36D0525A">
      <w:pPr>
        <w:ind w:firstLine="0" w:firstLineChars="0"/>
        <w:jc w:val="center"/>
        <w:rPr>
          <w:rFonts w:ascii="宋体" w:hAnsi="宋体"/>
          <w:b/>
          <w:kern w:val="44"/>
          <w:sz w:val="28"/>
        </w:rPr>
      </w:pPr>
      <w:r>
        <w:rPr>
          <w:rFonts w:hint="eastAsia" w:ascii="宋体" w:hAnsi="宋体"/>
          <w:b/>
          <w:kern w:val="44"/>
          <w:sz w:val="28"/>
        </w:rPr>
        <w:t>第七章　发言和表决</w:t>
      </w:r>
    </w:p>
    <w:p w14:paraId="4775612C">
      <w:pPr>
        <w:jc w:val="left"/>
        <w:rPr>
          <w:rFonts w:ascii="宋体" w:hAnsi="宋体"/>
          <w:kern w:val="44"/>
        </w:rPr>
      </w:pPr>
    </w:p>
    <w:p w14:paraId="5D4FF898">
      <w:pPr>
        <w:ind w:firstLine="422"/>
        <w:jc w:val="left"/>
        <w:rPr>
          <w:rFonts w:ascii="宋体" w:hAnsi="宋体"/>
          <w:kern w:val="44"/>
        </w:rPr>
      </w:pPr>
      <w:r>
        <w:rPr>
          <w:rFonts w:hint="eastAsia" w:ascii="宋体" w:hAnsi="宋体"/>
          <w:b/>
          <w:kern w:val="44"/>
        </w:rPr>
        <w:t>第四十七条</w:t>
      </w:r>
      <w:r>
        <w:rPr>
          <w:rFonts w:hint="eastAsia" w:ascii="宋体" w:hAnsi="宋体"/>
          <w:kern w:val="44"/>
        </w:rPr>
        <w:t>　市人民代表大会代表在市人民代表大会各种会议上的发言和表决，不受法律追究。</w:t>
      </w:r>
    </w:p>
    <w:p w14:paraId="041101FC">
      <w:pPr>
        <w:ind w:firstLine="422"/>
        <w:jc w:val="left"/>
        <w:rPr>
          <w:rFonts w:ascii="宋体" w:hAnsi="宋体"/>
          <w:kern w:val="44"/>
        </w:rPr>
      </w:pPr>
      <w:r>
        <w:rPr>
          <w:rFonts w:hint="eastAsia" w:ascii="宋体" w:hAnsi="宋体"/>
          <w:b/>
          <w:kern w:val="44"/>
        </w:rPr>
        <w:t>第四十八条</w:t>
      </w:r>
      <w:r>
        <w:rPr>
          <w:rFonts w:hint="eastAsia" w:ascii="宋体" w:hAnsi="宋体"/>
          <w:kern w:val="44"/>
        </w:rPr>
        <w:t>　市人民代表大会会议期间，代表在代表团会议和代表小组会议上的发言，由大会秘书处整理简报印发会议。根据代表要求，可以将代表本人整理的发言材料印发会议。</w:t>
      </w:r>
    </w:p>
    <w:p w14:paraId="2793AA28">
      <w:pPr>
        <w:ind w:firstLine="422"/>
        <w:jc w:val="left"/>
        <w:rPr>
          <w:rFonts w:ascii="宋体" w:hAnsi="宋体"/>
          <w:kern w:val="44"/>
        </w:rPr>
      </w:pPr>
      <w:r>
        <w:rPr>
          <w:rFonts w:hint="eastAsia" w:ascii="宋体" w:hAnsi="宋体"/>
          <w:b/>
          <w:kern w:val="44"/>
        </w:rPr>
        <w:t>第四十九条</w:t>
      </w:r>
      <w:r>
        <w:rPr>
          <w:rFonts w:hint="eastAsia" w:ascii="宋体" w:hAnsi="宋体"/>
          <w:kern w:val="44"/>
        </w:rPr>
        <w:t>　代表在大会全体会议上发言的，每人可以发言两次，第一次不超过15分钟，第二次不超过5分钟。</w:t>
      </w:r>
    </w:p>
    <w:p w14:paraId="0319D2B7">
      <w:pPr>
        <w:jc w:val="left"/>
        <w:rPr>
          <w:rFonts w:ascii="宋体" w:hAnsi="宋体"/>
          <w:kern w:val="44"/>
        </w:rPr>
      </w:pPr>
      <w:r>
        <w:rPr>
          <w:rFonts w:hint="eastAsia" w:ascii="宋体" w:hAnsi="宋体"/>
          <w:kern w:val="44"/>
        </w:rPr>
        <w:t>要求在大会全体会议上发言的代表，应当准备书面材料，在会前向大会秘书处报名，由大会执行主席安排发言顺序。在大会全体会议上临时要求发言的，经大会执行主席许可，始得发言。</w:t>
      </w:r>
    </w:p>
    <w:p w14:paraId="4B1A866F">
      <w:pPr>
        <w:jc w:val="left"/>
        <w:rPr>
          <w:rFonts w:ascii="宋体" w:hAnsi="宋体"/>
          <w:kern w:val="44"/>
        </w:rPr>
      </w:pPr>
      <w:r>
        <w:rPr>
          <w:rFonts w:hint="eastAsia" w:ascii="宋体" w:hAnsi="宋体"/>
          <w:kern w:val="44"/>
        </w:rPr>
        <w:t>代表报名后因时间关系未能在大会发言或者要求书面发言的，由大会秘书处将发言材料印发全体代表。</w:t>
      </w:r>
    </w:p>
    <w:p w14:paraId="1E9681B7">
      <w:pPr>
        <w:ind w:firstLine="422"/>
        <w:jc w:val="left"/>
        <w:rPr>
          <w:rFonts w:ascii="宋体" w:hAnsi="宋体"/>
          <w:kern w:val="44"/>
        </w:rPr>
      </w:pPr>
      <w:r>
        <w:rPr>
          <w:rFonts w:hint="eastAsia" w:ascii="宋体" w:hAnsi="宋体"/>
          <w:b/>
          <w:kern w:val="44"/>
        </w:rPr>
        <w:t>第五十条</w:t>
      </w:r>
      <w:r>
        <w:rPr>
          <w:rFonts w:hint="eastAsia" w:ascii="宋体" w:hAnsi="宋体"/>
          <w:kern w:val="44"/>
        </w:rPr>
        <w:t>　主席团成员和代表团团长或者代表团推选的代表在主席团会议上发言的，每人可以就同一议题发言两次，第一次不超过15分钟，第二次不超过5分钟。经会议主持人许可，发言时间可以适当延长。</w:t>
      </w:r>
    </w:p>
    <w:p w14:paraId="1238AE37">
      <w:pPr>
        <w:ind w:firstLine="422"/>
        <w:jc w:val="left"/>
        <w:rPr>
          <w:rFonts w:ascii="宋体" w:hAnsi="宋体"/>
          <w:kern w:val="44"/>
        </w:rPr>
      </w:pPr>
      <w:r>
        <w:rPr>
          <w:rFonts w:hint="eastAsia" w:ascii="宋体" w:hAnsi="宋体"/>
          <w:b/>
          <w:kern w:val="44"/>
        </w:rPr>
        <w:t>第五十一条</w:t>
      </w:r>
      <w:r>
        <w:rPr>
          <w:rFonts w:hint="eastAsia" w:ascii="宋体" w:hAnsi="宋体"/>
          <w:kern w:val="44"/>
        </w:rPr>
        <w:t>　大会全体会议表决议案，以全体代表的过半数通过。表决结果由会议主持人当场宣布。</w:t>
      </w:r>
    </w:p>
    <w:p w14:paraId="70DC02B0">
      <w:pPr>
        <w:ind w:firstLine="422"/>
        <w:jc w:val="left"/>
        <w:rPr>
          <w:rFonts w:ascii="宋体" w:hAnsi="宋体"/>
          <w:kern w:val="44"/>
        </w:rPr>
      </w:pPr>
      <w:r>
        <w:rPr>
          <w:rFonts w:hint="eastAsia" w:ascii="宋体" w:hAnsi="宋体"/>
          <w:b/>
          <w:kern w:val="44"/>
        </w:rPr>
        <w:t>第五十二条</w:t>
      </w:r>
      <w:r>
        <w:rPr>
          <w:rFonts w:hint="eastAsia" w:ascii="宋体" w:hAnsi="宋体"/>
          <w:kern w:val="44"/>
        </w:rPr>
        <w:t>　会议表决议案采用投票方式、按表决器方式、举手方式或者其他方式，由主席团决定。</w:t>
      </w:r>
    </w:p>
    <w:p w14:paraId="54FDFAEF">
      <w:pPr>
        <w:jc w:val="left"/>
        <w:rPr>
          <w:rFonts w:ascii="宋体" w:hAnsi="宋体"/>
          <w:kern w:val="44"/>
        </w:rPr>
      </w:pPr>
    </w:p>
    <w:p w14:paraId="73679065">
      <w:pPr>
        <w:ind w:firstLine="0" w:firstLineChars="0"/>
        <w:jc w:val="center"/>
        <w:rPr>
          <w:rFonts w:ascii="宋体" w:hAnsi="宋体"/>
          <w:b/>
          <w:kern w:val="44"/>
          <w:sz w:val="28"/>
        </w:rPr>
      </w:pPr>
      <w:r>
        <w:rPr>
          <w:rFonts w:hint="eastAsia" w:ascii="宋体" w:hAnsi="宋体"/>
          <w:b/>
          <w:kern w:val="44"/>
          <w:sz w:val="28"/>
        </w:rPr>
        <w:t>第八章　附  则</w:t>
      </w:r>
    </w:p>
    <w:p w14:paraId="1B7BA718">
      <w:pPr>
        <w:jc w:val="left"/>
        <w:rPr>
          <w:rFonts w:ascii="宋体" w:hAnsi="宋体"/>
          <w:kern w:val="44"/>
        </w:rPr>
      </w:pPr>
    </w:p>
    <w:p w14:paraId="76C03FF3">
      <w:pPr>
        <w:ind w:firstLine="422"/>
        <w:jc w:val="left"/>
        <w:rPr>
          <w:rFonts w:ascii="宋体" w:hAnsi="宋体"/>
          <w:kern w:val="44"/>
        </w:rPr>
      </w:pPr>
      <w:r>
        <w:rPr>
          <w:rFonts w:hint="eastAsia" w:ascii="宋体" w:hAnsi="宋体"/>
          <w:b/>
          <w:kern w:val="44"/>
        </w:rPr>
        <w:t>第五十三条</w:t>
      </w:r>
      <w:r>
        <w:rPr>
          <w:rFonts w:hint="eastAsia" w:ascii="宋体" w:hAnsi="宋体"/>
          <w:kern w:val="44"/>
        </w:rPr>
        <w:t>　本规则自公布之日起施行。</w:t>
      </w:r>
    </w:p>
    <w:p w14:paraId="65B4FAB5">
      <w:pPr>
        <w:pStyle w:val="4"/>
        <w:pageBreakBefore/>
      </w:pPr>
      <w:bookmarkStart w:id="93" w:name="_Toc428779948"/>
      <w:bookmarkStart w:id="94" w:name="_Toc427651724"/>
      <w:bookmarkStart w:id="95" w:name="_Toc422471061"/>
      <w:bookmarkStart w:id="96" w:name="_Toc427651382"/>
      <w:bookmarkStart w:id="97" w:name="_Toc428781430"/>
      <w:r>
        <w:rPr>
          <w:rFonts w:hint="eastAsia"/>
        </w:rPr>
        <w:t>北京市人民代表大会常务</w:t>
      </w:r>
      <w:bookmarkEnd w:id="93"/>
      <w:bookmarkEnd w:id="94"/>
      <w:bookmarkEnd w:id="95"/>
      <w:bookmarkEnd w:id="96"/>
      <w:bookmarkEnd w:id="97"/>
    </w:p>
    <w:p w14:paraId="201ACE09">
      <w:pPr>
        <w:pStyle w:val="4"/>
      </w:pPr>
      <w:bookmarkStart w:id="98" w:name="_Toc422471062"/>
      <w:bookmarkStart w:id="99" w:name="_Toc428779949"/>
      <w:bookmarkStart w:id="100" w:name="_Toc427651383"/>
      <w:bookmarkStart w:id="101" w:name="_Toc427651725"/>
      <w:bookmarkStart w:id="102" w:name="_Toc428781431"/>
      <w:r>
        <w:rPr>
          <w:rFonts w:hint="eastAsia"/>
        </w:rPr>
        <w:t>委员会组成人员守则</w:t>
      </w:r>
      <w:bookmarkEnd w:id="98"/>
      <w:bookmarkEnd w:id="99"/>
      <w:bookmarkEnd w:id="100"/>
      <w:bookmarkEnd w:id="101"/>
      <w:bookmarkEnd w:id="102"/>
    </w:p>
    <w:p w14:paraId="48076E0A">
      <w:pPr>
        <w:spacing w:line="354" w:lineRule="exact"/>
        <w:ind w:left="630" w:leftChars="300" w:right="630" w:rightChars="300"/>
        <w:jc w:val="left"/>
        <w:rPr>
          <w:rFonts w:ascii="楷体" w:hAnsi="楷体" w:eastAsia="楷体"/>
          <w:kern w:val="44"/>
        </w:rPr>
      </w:pPr>
      <w:r>
        <w:rPr>
          <w:rFonts w:hint="eastAsia" w:ascii="楷体" w:hAnsi="楷体" w:eastAsia="楷体"/>
          <w:kern w:val="44"/>
        </w:rPr>
        <w:t>（1993年9月16日北京市第十届人民代表大会常务委员会第五次会议通过　1998年2月27日北京市第十一届人民代表大会常务委员会第一次会议第一次修订　根据2010年12月23日北京市第十三届人民代表大会常务委员会第二十二次会议《关于修改部分地方性法规的决定》第二次修正 ）</w:t>
      </w:r>
    </w:p>
    <w:p w14:paraId="50FDB919">
      <w:pPr>
        <w:spacing w:line="240" w:lineRule="exact"/>
        <w:ind w:left="630" w:leftChars="300" w:right="630" w:rightChars="300"/>
        <w:jc w:val="left"/>
        <w:rPr>
          <w:rFonts w:ascii="楷体" w:hAnsi="楷体" w:eastAsia="楷体"/>
          <w:kern w:val="44"/>
        </w:rPr>
      </w:pPr>
    </w:p>
    <w:p w14:paraId="2F48098C">
      <w:pPr>
        <w:spacing w:line="352" w:lineRule="exact"/>
        <w:jc w:val="left"/>
        <w:rPr>
          <w:rFonts w:ascii="宋体" w:hAnsi="宋体"/>
          <w:kern w:val="44"/>
        </w:rPr>
      </w:pPr>
      <w:r>
        <w:rPr>
          <w:rFonts w:hint="eastAsia" w:ascii="宋体" w:hAnsi="宋体"/>
          <w:kern w:val="44"/>
        </w:rPr>
        <w:t>北京市人民代表大会常务委员会组成人员（以下简称常委会组成人员）肩负着市人大代表和全市人民的重托，在市人民代表大会闭会期间集体行使地方国家权力机关的职权，应当以高度的责任感和使命感，严肃认真、兢兢业业地履行宪法和法律赋予的庄严职责。为此，制定本守则。</w:t>
      </w:r>
    </w:p>
    <w:p w14:paraId="1B30CA95">
      <w:pPr>
        <w:spacing w:line="352" w:lineRule="exact"/>
        <w:ind w:firstLine="422"/>
        <w:jc w:val="left"/>
        <w:rPr>
          <w:rFonts w:ascii="宋体" w:hAnsi="宋体"/>
          <w:kern w:val="44"/>
        </w:rPr>
      </w:pPr>
      <w:r>
        <w:rPr>
          <w:rFonts w:hint="eastAsia" w:ascii="宋体" w:hAnsi="宋体"/>
          <w:b/>
          <w:kern w:val="44"/>
        </w:rPr>
        <w:t>第一条</w:t>
      </w:r>
      <w:r>
        <w:rPr>
          <w:rFonts w:hint="eastAsia" w:ascii="宋体" w:hAnsi="宋体"/>
          <w:kern w:val="44"/>
        </w:rPr>
        <w:t>　常委会组成人员要认真学习马列主义、毛泽东思想、邓小平理论，学习宪法、有关的法律、法规和国家的方针政策，了解市情、国情，掌握行使职权所必备的知识。</w:t>
      </w:r>
    </w:p>
    <w:p w14:paraId="5499AA4F">
      <w:pPr>
        <w:spacing w:line="352" w:lineRule="exact"/>
        <w:ind w:firstLine="422"/>
        <w:jc w:val="left"/>
        <w:rPr>
          <w:rFonts w:ascii="宋体" w:hAnsi="宋体"/>
          <w:kern w:val="44"/>
        </w:rPr>
      </w:pPr>
      <w:r>
        <w:rPr>
          <w:rFonts w:hint="eastAsia" w:ascii="宋体" w:hAnsi="宋体"/>
          <w:b/>
          <w:kern w:val="44"/>
        </w:rPr>
        <w:t>第二条</w:t>
      </w:r>
      <w:r>
        <w:rPr>
          <w:rFonts w:hint="eastAsia" w:ascii="宋体" w:hAnsi="宋体"/>
          <w:kern w:val="44"/>
        </w:rPr>
        <w:t>　常委会组成人员行使职权应当遵循以下指导思想：高举邓小平理论的伟大旗帜，坚持中国共产党的基本路线、基本纲领和基本方针，严格遵守宪法和法律，认真执行代表大会决议，积极推进本市社会主义物质文明、精神文明和民主法制建设，促进社会全面进步。</w:t>
      </w:r>
    </w:p>
    <w:p w14:paraId="1708CCD5">
      <w:pPr>
        <w:spacing w:line="352" w:lineRule="exact"/>
        <w:ind w:firstLine="422"/>
        <w:jc w:val="left"/>
        <w:rPr>
          <w:rFonts w:ascii="宋体" w:hAnsi="宋体"/>
          <w:kern w:val="44"/>
        </w:rPr>
      </w:pPr>
      <w:r>
        <w:rPr>
          <w:rFonts w:hint="eastAsia" w:ascii="宋体" w:hAnsi="宋体"/>
          <w:b/>
          <w:kern w:val="44"/>
        </w:rPr>
        <w:t>第三条</w:t>
      </w:r>
      <w:r>
        <w:rPr>
          <w:rFonts w:hint="eastAsia" w:ascii="宋体" w:hAnsi="宋体"/>
          <w:kern w:val="44"/>
        </w:rPr>
        <w:t>　常委会组成人员要根据每年度各次常委会会议的预定日期，妥善安排工作和社会活动，在时间上要服从常委会会议的需要。因病或者其他特殊原因不能出席常委会会议的，应当向常委会主任或者秘书长请假；中途退席的，须经秘书长同意。</w:t>
      </w:r>
    </w:p>
    <w:p w14:paraId="30DA7397">
      <w:pPr>
        <w:spacing w:line="352" w:lineRule="exact"/>
        <w:jc w:val="left"/>
        <w:rPr>
          <w:rFonts w:ascii="宋体" w:hAnsi="宋体"/>
          <w:kern w:val="44"/>
        </w:rPr>
      </w:pPr>
      <w:r>
        <w:rPr>
          <w:rFonts w:hint="eastAsia" w:ascii="宋体" w:hAnsi="宋体"/>
          <w:kern w:val="44"/>
        </w:rPr>
        <w:t>常委会组成人员离开本市连续二年以上不能出席会议的，无生病等特殊原因一年内缺席时间超过全年会议总天数一半以上的，或者有其他原因难以履行职责的，可以依法辞去常委会组成人员职务。</w:t>
      </w:r>
    </w:p>
    <w:p w14:paraId="5F27FD35">
      <w:pPr>
        <w:spacing w:line="352" w:lineRule="exact"/>
        <w:ind w:firstLine="422"/>
        <w:jc w:val="left"/>
        <w:rPr>
          <w:rFonts w:ascii="宋体" w:hAnsi="宋体"/>
          <w:kern w:val="44"/>
        </w:rPr>
      </w:pPr>
      <w:r>
        <w:rPr>
          <w:rFonts w:hint="eastAsia" w:ascii="宋体" w:hAnsi="宋体"/>
          <w:b/>
          <w:kern w:val="44"/>
        </w:rPr>
        <w:t>第四条</w:t>
      </w:r>
      <w:r>
        <w:rPr>
          <w:rFonts w:hint="eastAsia" w:ascii="宋体" w:hAnsi="宋体"/>
          <w:kern w:val="44"/>
        </w:rPr>
        <w:t>　常委会组成人员在常委会会议举行前，要阅读预先送达的会议文件和有关资料，积极参加有关的调查、视察，做好审议准备；在审议议题和表决时，要按照常委会议事规则的规定，围绕会议议题积极发表意见、参与表决；在依法表决后，要自觉服从表决结果。</w:t>
      </w:r>
    </w:p>
    <w:p w14:paraId="07B0C8C8">
      <w:pPr>
        <w:spacing w:line="352" w:lineRule="exact"/>
        <w:ind w:firstLine="422"/>
        <w:jc w:val="left"/>
        <w:rPr>
          <w:rFonts w:ascii="宋体" w:hAnsi="宋体"/>
          <w:kern w:val="44"/>
        </w:rPr>
      </w:pPr>
      <w:r>
        <w:rPr>
          <w:rFonts w:hint="eastAsia" w:ascii="宋体" w:hAnsi="宋体"/>
          <w:b/>
          <w:kern w:val="44"/>
        </w:rPr>
        <w:t>第五条</w:t>
      </w:r>
      <w:r>
        <w:rPr>
          <w:rFonts w:hint="eastAsia" w:ascii="宋体" w:hAnsi="宋体"/>
          <w:kern w:val="44"/>
        </w:rPr>
        <w:t>　常委会组成人员要积极参加检查法律、法规和决议、决定执行情况等方面的活动。参加市人民代表大会专门委员会或者常委会工作委员会的委员，要积极参与专门委员会或者工作委员会的工作，遵守专门委员会或者工作委员会的工作制度。</w:t>
      </w:r>
    </w:p>
    <w:p w14:paraId="5BFAD187">
      <w:pPr>
        <w:spacing w:line="352" w:lineRule="exact"/>
        <w:ind w:firstLine="422"/>
        <w:jc w:val="left"/>
        <w:rPr>
          <w:rFonts w:ascii="宋体" w:hAnsi="宋体"/>
          <w:kern w:val="44"/>
        </w:rPr>
      </w:pPr>
      <w:r>
        <w:rPr>
          <w:rFonts w:hint="eastAsia" w:ascii="宋体" w:hAnsi="宋体"/>
          <w:b/>
          <w:kern w:val="44"/>
        </w:rPr>
        <w:t>第六条</w:t>
      </w:r>
      <w:r>
        <w:rPr>
          <w:rFonts w:hint="eastAsia" w:ascii="宋体" w:hAnsi="宋体"/>
          <w:kern w:val="44"/>
        </w:rPr>
        <w:t>　常委会组成人员要密切联系市人大代表和人民群众，深入体察民情，听取他们的意见和要求，向常委会反映情况，自觉接受市人大代表和人民群众的监督。</w:t>
      </w:r>
    </w:p>
    <w:p w14:paraId="5CB961F3">
      <w:pPr>
        <w:spacing w:line="352" w:lineRule="exact"/>
        <w:ind w:firstLine="422"/>
        <w:jc w:val="left"/>
        <w:rPr>
          <w:rFonts w:ascii="宋体" w:hAnsi="宋体"/>
          <w:kern w:val="44"/>
        </w:rPr>
      </w:pPr>
      <w:r>
        <w:rPr>
          <w:rFonts w:hint="eastAsia" w:ascii="宋体" w:hAnsi="宋体"/>
          <w:b/>
          <w:kern w:val="44"/>
        </w:rPr>
        <w:t>第七条</w:t>
      </w:r>
      <w:r>
        <w:rPr>
          <w:rFonts w:hint="eastAsia" w:ascii="宋体" w:hAnsi="宋体"/>
          <w:kern w:val="44"/>
        </w:rPr>
        <w:t>　常委会组成人员要清正廉洁，克己奉公，积极向腐败现象作斗争。</w:t>
      </w:r>
    </w:p>
    <w:p w14:paraId="280873C2">
      <w:pPr>
        <w:spacing w:line="352" w:lineRule="exact"/>
        <w:ind w:firstLine="422"/>
        <w:jc w:val="left"/>
        <w:rPr>
          <w:rFonts w:ascii="宋体" w:hAnsi="宋体"/>
          <w:kern w:val="44"/>
        </w:rPr>
      </w:pPr>
      <w:r>
        <w:rPr>
          <w:rFonts w:hint="eastAsia" w:ascii="宋体" w:hAnsi="宋体"/>
          <w:b/>
          <w:kern w:val="44"/>
        </w:rPr>
        <w:t>第八条</w:t>
      </w:r>
      <w:r>
        <w:rPr>
          <w:rFonts w:hint="eastAsia" w:ascii="宋体" w:hAnsi="宋体"/>
          <w:kern w:val="44"/>
        </w:rPr>
        <w:t>　常委会组成人员要严守国家秘密。凡属规定不应公开的内容，不得以任何方式传播。</w:t>
      </w:r>
    </w:p>
    <w:p w14:paraId="78FAE763">
      <w:pPr>
        <w:spacing w:line="352" w:lineRule="exact"/>
        <w:ind w:firstLine="422"/>
        <w:jc w:val="left"/>
        <w:rPr>
          <w:rFonts w:ascii="宋体" w:hAnsi="宋体"/>
          <w:kern w:val="44"/>
        </w:rPr>
      </w:pPr>
      <w:r>
        <w:rPr>
          <w:rFonts w:hint="eastAsia" w:ascii="宋体" w:hAnsi="宋体"/>
          <w:b/>
          <w:kern w:val="44"/>
        </w:rPr>
        <w:t>第九条</w:t>
      </w:r>
      <w:r>
        <w:rPr>
          <w:rFonts w:hint="eastAsia" w:ascii="宋体" w:hAnsi="宋体"/>
          <w:kern w:val="44"/>
        </w:rPr>
        <w:t>　常委会组成人员严重违反本守则的，应当根据常委会主任会议的决定，向主任会议或者常委会会议作出检查。</w:t>
      </w:r>
    </w:p>
    <w:p w14:paraId="14570B74">
      <w:pPr>
        <w:spacing w:line="352" w:lineRule="exact"/>
        <w:ind w:firstLine="422"/>
        <w:jc w:val="left"/>
        <w:rPr>
          <w:rFonts w:ascii="宋体" w:hAnsi="宋体"/>
          <w:kern w:val="44"/>
        </w:rPr>
      </w:pPr>
      <w:r>
        <w:rPr>
          <w:rFonts w:hint="eastAsia" w:ascii="宋体" w:hAnsi="宋体"/>
          <w:b/>
          <w:kern w:val="44"/>
        </w:rPr>
        <w:t>第十条</w:t>
      </w:r>
      <w:r>
        <w:rPr>
          <w:rFonts w:hint="eastAsia" w:ascii="宋体" w:hAnsi="宋体"/>
          <w:kern w:val="44"/>
        </w:rPr>
        <w:t>　本守则自通过之日起施行。</w:t>
      </w:r>
    </w:p>
    <w:p w14:paraId="2598E76C">
      <w:pPr>
        <w:pStyle w:val="4"/>
        <w:pageBreakBefore/>
        <w:rPr>
          <w:kern w:val="44"/>
        </w:rPr>
      </w:pPr>
      <w:bookmarkStart w:id="103" w:name="_Toc428779950"/>
      <w:bookmarkStart w:id="104" w:name="_Toc427651726"/>
      <w:bookmarkStart w:id="105" w:name="_Toc428781432"/>
      <w:bookmarkStart w:id="106" w:name="_Toc427651384"/>
      <w:bookmarkStart w:id="107" w:name="_Toc422471063"/>
      <w:r>
        <w:rPr>
          <w:rFonts w:hint="eastAsia"/>
          <w:kern w:val="44"/>
        </w:rPr>
        <w:t>关于市人民政府向市人民代表</w:t>
      </w:r>
      <w:bookmarkEnd w:id="103"/>
      <w:bookmarkEnd w:id="104"/>
      <w:bookmarkEnd w:id="105"/>
      <w:bookmarkEnd w:id="106"/>
      <w:bookmarkEnd w:id="107"/>
    </w:p>
    <w:p w14:paraId="059A48F3">
      <w:pPr>
        <w:pStyle w:val="4"/>
        <w:rPr>
          <w:kern w:val="44"/>
        </w:rPr>
      </w:pPr>
      <w:bookmarkStart w:id="108" w:name="_Toc422471064"/>
      <w:bookmarkStart w:id="109" w:name="_Toc428779951"/>
      <w:bookmarkStart w:id="110" w:name="_Toc427651385"/>
      <w:bookmarkStart w:id="111" w:name="_Toc427651727"/>
      <w:bookmarkStart w:id="112" w:name="_Toc428781433"/>
      <w:r>
        <w:rPr>
          <w:rFonts w:hint="eastAsia"/>
          <w:kern w:val="44"/>
        </w:rPr>
        <w:t>大会常务委员会报告重大事项</w:t>
      </w:r>
      <w:bookmarkEnd w:id="108"/>
      <w:bookmarkStart w:id="113" w:name="_Toc422471065"/>
      <w:r>
        <w:rPr>
          <w:rFonts w:hint="eastAsia"/>
          <w:kern w:val="44"/>
        </w:rPr>
        <w:t>的若干规定</w:t>
      </w:r>
      <w:bookmarkEnd w:id="109"/>
      <w:bookmarkEnd w:id="110"/>
      <w:bookmarkEnd w:id="111"/>
      <w:bookmarkEnd w:id="112"/>
      <w:bookmarkEnd w:id="113"/>
    </w:p>
    <w:p w14:paraId="40E787D3">
      <w:pPr>
        <w:ind w:left="630" w:leftChars="300" w:right="630" w:rightChars="300"/>
        <w:jc w:val="left"/>
        <w:rPr>
          <w:rFonts w:ascii="楷体" w:hAnsi="楷体" w:eastAsia="楷体"/>
          <w:kern w:val="44"/>
        </w:rPr>
      </w:pPr>
      <w:r>
        <w:rPr>
          <w:rFonts w:hint="eastAsia" w:ascii="楷体" w:hAnsi="楷体" w:eastAsia="楷体"/>
          <w:kern w:val="44"/>
        </w:rPr>
        <w:t>（1996年10月17日北京市第十届人民代表大会常务委员会第三十一次会议通过  1996年10月17日北京市人民代表大会常务委员会公告第60号公布施行）</w:t>
      </w:r>
    </w:p>
    <w:p w14:paraId="321532F7">
      <w:pPr>
        <w:ind w:left="630" w:leftChars="300" w:right="630" w:rightChars="300"/>
        <w:jc w:val="left"/>
        <w:rPr>
          <w:rFonts w:ascii="楷体" w:hAnsi="楷体" w:eastAsia="楷体"/>
          <w:kern w:val="44"/>
        </w:rPr>
      </w:pPr>
    </w:p>
    <w:p w14:paraId="100B7A85">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为了加强市人大常委会对市人民政府工作的监督，促进重大决策的民主化、科学化，根据宪法和有关法律，制定本规定。</w:t>
      </w:r>
    </w:p>
    <w:p w14:paraId="5995D433">
      <w:pPr>
        <w:ind w:firstLine="422"/>
        <w:jc w:val="left"/>
        <w:rPr>
          <w:rFonts w:ascii="宋体" w:hAnsi="宋体"/>
          <w:kern w:val="44"/>
        </w:rPr>
      </w:pPr>
      <w:r>
        <w:rPr>
          <w:rFonts w:hint="eastAsia" w:ascii="宋体" w:hAnsi="宋体"/>
          <w:b/>
          <w:kern w:val="44"/>
        </w:rPr>
        <w:t>第二条</w:t>
      </w:r>
      <w:r>
        <w:rPr>
          <w:rFonts w:hint="eastAsia" w:ascii="宋体" w:hAnsi="宋体"/>
          <w:kern w:val="44"/>
        </w:rPr>
        <w:t>　市人民政府根据本市经济和社会发展的需要对城市总体规划进行局部调整，应当报市人大常委会备案；对总体布局作重大变更的，须经市人大常委会审查同意后报国务院审批。</w:t>
      </w:r>
    </w:p>
    <w:p w14:paraId="009CD9EA">
      <w:pPr>
        <w:ind w:firstLine="422"/>
        <w:jc w:val="left"/>
        <w:rPr>
          <w:rFonts w:ascii="宋体" w:hAnsi="宋体"/>
          <w:kern w:val="44"/>
        </w:rPr>
      </w:pPr>
      <w:r>
        <w:rPr>
          <w:rFonts w:hint="eastAsia" w:ascii="宋体" w:hAnsi="宋体"/>
          <w:b/>
          <w:kern w:val="44"/>
        </w:rPr>
        <w:t>第三条</w:t>
      </w:r>
      <w:r>
        <w:rPr>
          <w:rFonts w:hint="eastAsia" w:ascii="宋体" w:hAnsi="宋体"/>
          <w:kern w:val="44"/>
        </w:rPr>
        <w:t>　本市国民经济和社会发展年度计划的部分变更，由市人民政府提出建议，提请市人大常委会审议和决定。</w:t>
      </w:r>
    </w:p>
    <w:p w14:paraId="1C5B8FF3">
      <w:pPr>
        <w:ind w:firstLine="422"/>
        <w:jc w:val="left"/>
        <w:rPr>
          <w:rFonts w:ascii="宋体" w:hAnsi="宋体"/>
          <w:kern w:val="44"/>
        </w:rPr>
      </w:pPr>
      <w:r>
        <w:rPr>
          <w:rFonts w:hint="eastAsia" w:ascii="宋体" w:hAnsi="宋体"/>
          <w:b/>
          <w:kern w:val="44"/>
        </w:rPr>
        <w:t>第四条</w:t>
      </w:r>
      <w:r>
        <w:rPr>
          <w:rFonts w:hint="eastAsia" w:ascii="宋体" w:hAnsi="宋体"/>
          <w:kern w:val="44"/>
        </w:rPr>
        <w:t>　本市年度预算依法进行的调整，由市人民政府提出调整方案，提请市人大常委会审查和批准。</w:t>
      </w:r>
    </w:p>
    <w:p w14:paraId="0A91E21C">
      <w:pPr>
        <w:ind w:firstLine="422"/>
        <w:jc w:val="left"/>
        <w:rPr>
          <w:rFonts w:ascii="宋体" w:hAnsi="宋体"/>
          <w:kern w:val="44"/>
        </w:rPr>
      </w:pPr>
      <w:r>
        <w:rPr>
          <w:rFonts w:hint="eastAsia" w:ascii="宋体" w:hAnsi="宋体"/>
          <w:b/>
          <w:kern w:val="44"/>
        </w:rPr>
        <w:t>第五条</w:t>
      </w:r>
      <w:r>
        <w:rPr>
          <w:rFonts w:hint="eastAsia" w:ascii="宋体" w:hAnsi="宋体"/>
          <w:kern w:val="44"/>
        </w:rPr>
        <w:t>　本市下列事项，市人民政府应当向市人大常委会报告：</w:t>
      </w:r>
    </w:p>
    <w:p w14:paraId="24928AC2">
      <w:pPr>
        <w:jc w:val="left"/>
        <w:rPr>
          <w:rFonts w:ascii="宋体" w:hAnsi="宋体"/>
          <w:kern w:val="44"/>
        </w:rPr>
      </w:pPr>
      <w:r>
        <w:rPr>
          <w:rFonts w:hint="eastAsia" w:ascii="宋体" w:hAnsi="宋体"/>
          <w:kern w:val="44"/>
        </w:rPr>
        <w:t>（一）有关经济建设和社会发展的重大改革方案；</w:t>
      </w:r>
    </w:p>
    <w:p w14:paraId="6D633502">
      <w:pPr>
        <w:jc w:val="left"/>
        <w:rPr>
          <w:rFonts w:ascii="宋体" w:hAnsi="宋体"/>
          <w:kern w:val="44"/>
        </w:rPr>
      </w:pPr>
      <w:r>
        <w:rPr>
          <w:rFonts w:hint="eastAsia" w:ascii="宋体" w:hAnsi="宋体"/>
          <w:kern w:val="44"/>
        </w:rPr>
        <w:t>（二）本市国民经济和社会发展年度计划外的重大建设项目；</w:t>
      </w:r>
    </w:p>
    <w:p w14:paraId="39EE54E2">
      <w:pPr>
        <w:jc w:val="left"/>
        <w:rPr>
          <w:rFonts w:ascii="宋体" w:hAnsi="宋体"/>
          <w:kern w:val="44"/>
        </w:rPr>
      </w:pPr>
      <w:r>
        <w:rPr>
          <w:rFonts w:hint="eastAsia" w:ascii="宋体" w:hAnsi="宋体"/>
          <w:kern w:val="44"/>
        </w:rPr>
        <w:t>（三）社会主义精神文明建设的规划和重大部署；</w:t>
      </w:r>
    </w:p>
    <w:p w14:paraId="373FFB3E">
      <w:pPr>
        <w:jc w:val="left"/>
        <w:rPr>
          <w:rFonts w:ascii="宋体" w:hAnsi="宋体"/>
          <w:kern w:val="44"/>
        </w:rPr>
      </w:pPr>
      <w:r>
        <w:rPr>
          <w:rFonts w:hint="eastAsia" w:ascii="宋体" w:hAnsi="宋体"/>
          <w:kern w:val="44"/>
        </w:rPr>
        <w:t>（四）同外国缔结友好城市；</w:t>
      </w:r>
    </w:p>
    <w:p w14:paraId="3531F48E">
      <w:pPr>
        <w:jc w:val="left"/>
        <w:rPr>
          <w:rFonts w:ascii="宋体" w:hAnsi="宋体"/>
          <w:kern w:val="44"/>
        </w:rPr>
      </w:pPr>
      <w:r>
        <w:rPr>
          <w:rFonts w:hint="eastAsia" w:ascii="宋体" w:hAnsi="宋体"/>
          <w:kern w:val="44"/>
        </w:rPr>
        <w:t>（五）人民群众普遍关心的其他重大问题。</w:t>
      </w:r>
    </w:p>
    <w:p w14:paraId="7ABE36BB">
      <w:pPr>
        <w:ind w:firstLine="422"/>
        <w:jc w:val="left"/>
        <w:rPr>
          <w:rFonts w:ascii="宋体" w:hAnsi="宋体"/>
          <w:kern w:val="44"/>
        </w:rPr>
      </w:pPr>
      <w:r>
        <w:rPr>
          <w:rFonts w:hint="eastAsia" w:ascii="宋体" w:hAnsi="宋体"/>
          <w:b/>
          <w:kern w:val="44"/>
        </w:rPr>
        <w:t>第六条</w:t>
      </w:r>
      <w:r>
        <w:rPr>
          <w:rFonts w:hint="eastAsia" w:ascii="宋体" w:hAnsi="宋体"/>
          <w:kern w:val="44"/>
        </w:rPr>
        <w:t>　本规定第五条所列事项的报告，应当分送市人大常委会组成人员，必要时由市人大常委会审议，并可以作出相应的决议。</w:t>
      </w:r>
    </w:p>
    <w:p w14:paraId="193A0130">
      <w:pPr>
        <w:ind w:firstLine="422"/>
        <w:jc w:val="left"/>
        <w:rPr>
          <w:rFonts w:ascii="宋体" w:hAnsi="宋体"/>
          <w:kern w:val="44"/>
        </w:rPr>
      </w:pPr>
      <w:r>
        <w:rPr>
          <w:rFonts w:hint="eastAsia" w:ascii="宋体" w:hAnsi="宋体"/>
          <w:b/>
          <w:kern w:val="44"/>
        </w:rPr>
        <w:t>第七条</w:t>
      </w:r>
      <w:r>
        <w:rPr>
          <w:rFonts w:hint="eastAsia" w:ascii="宋体" w:hAnsi="宋体"/>
          <w:kern w:val="44"/>
        </w:rPr>
        <w:t>　本规定自公布之日起施行。</w:t>
      </w:r>
    </w:p>
    <w:p w14:paraId="6E81C0BB">
      <w:pPr>
        <w:pStyle w:val="4"/>
        <w:pageBreakBefore/>
        <w:rPr>
          <w:kern w:val="44"/>
        </w:rPr>
      </w:pPr>
      <w:bookmarkStart w:id="114" w:name="_Toc422471066"/>
      <w:bookmarkStart w:id="115" w:name="_Toc428781434"/>
      <w:bookmarkStart w:id="116" w:name="_Toc427651386"/>
      <w:bookmarkStart w:id="117" w:name="_Toc427651728"/>
      <w:bookmarkStart w:id="118" w:name="_Toc428779952"/>
      <w:r>
        <w:rPr>
          <w:rFonts w:hint="eastAsia"/>
          <w:kern w:val="44"/>
        </w:rPr>
        <w:t>北京市人民代表大会常务委员会</w:t>
      </w:r>
      <w:bookmarkEnd w:id="114"/>
      <w:bookmarkEnd w:id="115"/>
      <w:bookmarkEnd w:id="116"/>
      <w:bookmarkEnd w:id="117"/>
      <w:bookmarkEnd w:id="118"/>
    </w:p>
    <w:p w14:paraId="3AF705F0">
      <w:pPr>
        <w:pStyle w:val="4"/>
        <w:rPr>
          <w:kern w:val="44"/>
        </w:rPr>
      </w:pPr>
      <w:bookmarkStart w:id="119" w:name="_Toc422471067"/>
      <w:bookmarkStart w:id="120" w:name="_Toc427651387"/>
      <w:bookmarkStart w:id="121" w:name="_Toc428779953"/>
      <w:bookmarkStart w:id="122" w:name="_Toc427651729"/>
      <w:bookmarkStart w:id="123" w:name="_Toc428781435"/>
      <w:r>
        <w:rPr>
          <w:rFonts w:hint="eastAsia"/>
          <w:kern w:val="44"/>
        </w:rPr>
        <w:t>任免国家机关工作人员条例</w:t>
      </w:r>
      <w:bookmarkEnd w:id="119"/>
      <w:bookmarkEnd w:id="120"/>
      <w:bookmarkEnd w:id="121"/>
      <w:bookmarkEnd w:id="122"/>
      <w:bookmarkEnd w:id="123"/>
    </w:p>
    <w:p w14:paraId="1E36D360">
      <w:pPr>
        <w:ind w:left="630" w:leftChars="300" w:right="630" w:rightChars="300"/>
        <w:jc w:val="left"/>
        <w:rPr>
          <w:rFonts w:ascii="楷体" w:hAnsi="楷体" w:eastAsia="楷体"/>
          <w:kern w:val="44"/>
        </w:rPr>
      </w:pPr>
      <w:r>
        <w:rPr>
          <w:rFonts w:hint="eastAsia" w:ascii="楷体" w:hAnsi="楷体" w:eastAsia="楷体"/>
          <w:kern w:val="44"/>
        </w:rPr>
        <w:t>（2000年11月3日北京市第十一届人民代表大会常务委员会第二十二次会议通过　根据2007年3月30日北京市第十二届人民代表大会常务委员会第三十五次会议通过的《北京市人民代表大会常务委员会任免国家机关工作人员条例修正案》修正 ）</w:t>
      </w:r>
    </w:p>
    <w:p w14:paraId="09DCA1E8">
      <w:pPr>
        <w:ind w:left="630" w:leftChars="300" w:right="630" w:rightChars="300"/>
        <w:jc w:val="left"/>
        <w:rPr>
          <w:rFonts w:ascii="楷体" w:hAnsi="楷体" w:eastAsia="楷体"/>
          <w:kern w:val="44"/>
        </w:rPr>
      </w:pPr>
    </w:p>
    <w:p w14:paraId="3B2A68C3">
      <w:pPr>
        <w:ind w:firstLine="0" w:firstLineChars="0"/>
        <w:jc w:val="center"/>
        <w:rPr>
          <w:rFonts w:ascii="宋体" w:hAnsi="宋体"/>
          <w:b/>
          <w:kern w:val="44"/>
          <w:sz w:val="28"/>
        </w:rPr>
      </w:pPr>
      <w:r>
        <w:rPr>
          <w:rFonts w:hint="eastAsia" w:ascii="宋体" w:hAnsi="宋体"/>
          <w:b/>
          <w:kern w:val="44"/>
          <w:sz w:val="28"/>
        </w:rPr>
        <w:t>第一章　总　则</w:t>
      </w:r>
    </w:p>
    <w:p w14:paraId="213E9A22">
      <w:pPr>
        <w:jc w:val="left"/>
        <w:rPr>
          <w:rFonts w:ascii="宋体" w:hAnsi="宋体"/>
          <w:kern w:val="44"/>
        </w:rPr>
      </w:pPr>
    </w:p>
    <w:p w14:paraId="337F146F">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北京市人民代表大会常务委员会（以下简称市人大常委会）任免国家机关工作人员的活动，根据《中华人民共和国宪法》、《中华人民共和国地方各级人民代表大会和地方各级人民政府组织法》和其他法律的有关规定，结合本市实际情况，制定本条例。</w:t>
      </w:r>
    </w:p>
    <w:p w14:paraId="570914C7">
      <w:pPr>
        <w:ind w:firstLine="422"/>
        <w:jc w:val="left"/>
        <w:rPr>
          <w:rFonts w:ascii="宋体" w:hAnsi="宋体"/>
          <w:kern w:val="44"/>
        </w:rPr>
      </w:pPr>
      <w:r>
        <w:rPr>
          <w:rFonts w:hint="eastAsia" w:ascii="宋体" w:hAnsi="宋体"/>
          <w:b/>
          <w:kern w:val="44"/>
        </w:rPr>
        <w:t>第二条</w:t>
      </w:r>
      <w:r>
        <w:rPr>
          <w:rFonts w:hint="eastAsia" w:ascii="宋体" w:hAnsi="宋体"/>
          <w:kern w:val="44"/>
        </w:rPr>
        <w:t>　市人大常委会贯彻中国共产党和国家关于干部队伍建设方针和管理原则，充分发扬民主，实行民主集中制，根据有关法律、法规和本条例的规定任免本市国家机关工作人员。</w:t>
      </w:r>
    </w:p>
    <w:p w14:paraId="787DD7DD">
      <w:pPr>
        <w:ind w:firstLine="422"/>
        <w:jc w:val="left"/>
        <w:rPr>
          <w:rFonts w:ascii="宋体" w:hAnsi="宋体"/>
          <w:kern w:val="44"/>
        </w:rPr>
      </w:pPr>
      <w:r>
        <w:rPr>
          <w:rFonts w:hint="eastAsia" w:ascii="宋体" w:hAnsi="宋体"/>
          <w:b/>
          <w:kern w:val="44"/>
        </w:rPr>
        <w:t>第三条</w:t>
      </w:r>
      <w:r>
        <w:rPr>
          <w:rFonts w:hint="eastAsia" w:ascii="宋体" w:hAnsi="宋体"/>
          <w:kern w:val="44"/>
        </w:rPr>
        <w:t>　市人大常委会对权限范围内的本市国家机关工作人员的任命、免职和代理人选的推选、决定，适用于本条例。</w:t>
      </w:r>
    </w:p>
    <w:p w14:paraId="61ACA299">
      <w:pPr>
        <w:jc w:val="left"/>
        <w:rPr>
          <w:rFonts w:ascii="宋体" w:hAnsi="宋体"/>
          <w:kern w:val="44"/>
        </w:rPr>
      </w:pPr>
      <w:r>
        <w:rPr>
          <w:rFonts w:hint="eastAsia" w:ascii="宋体" w:hAnsi="宋体"/>
          <w:kern w:val="44"/>
        </w:rPr>
        <w:t>北京市人民代表大会选举的和市人大常委会任命的国家机关工作人员的辞职、撤职，按本条例的规定执行。</w:t>
      </w:r>
    </w:p>
    <w:p w14:paraId="1FBA11D7">
      <w:pPr>
        <w:ind w:firstLine="422"/>
        <w:jc w:val="left"/>
        <w:rPr>
          <w:rFonts w:ascii="宋体" w:hAnsi="宋体"/>
          <w:kern w:val="44"/>
        </w:rPr>
      </w:pPr>
      <w:r>
        <w:rPr>
          <w:rFonts w:hint="eastAsia" w:ascii="宋体" w:hAnsi="宋体"/>
          <w:b/>
          <w:kern w:val="44"/>
        </w:rPr>
        <w:t>第四条</w:t>
      </w:r>
      <w:r>
        <w:rPr>
          <w:rFonts w:hint="eastAsia" w:ascii="宋体" w:hAnsi="宋体"/>
          <w:kern w:val="44"/>
        </w:rPr>
        <w:t>　市人大常委会人事任免工作机构负责有关任免事项的具体工作。</w:t>
      </w:r>
    </w:p>
    <w:p w14:paraId="664172AF">
      <w:pPr>
        <w:jc w:val="left"/>
        <w:rPr>
          <w:rFonts w:ascii="宋体" w:hAnsi="宋体"/>
          <w:kern w:val="44"/>
        </w:rPr>
      </w:pPr>
    </w:p>
    <w:p w14:paraId="418C3A33">
      <w:pPr>
        <w:ind w:firstLine="0" w:firstLineChars="0"/>
        <w:jc w:val="center"/>
        <w:rPr>
          <w:rFonts w:ascii="宋体" w:hAnsi="宋体"/>
          <w:b/>
          <w:kern w:val="44"/>
          <w:sz w:val="28"/>
        </w:rPr>
      </w:pPr>
      <w:r>
        <w:rPr>
          <w:rFonts w:hint="eastAsia" w:ascii="宋体" w:hAnsi="宋体"/>
          <w:b/>
          <w:kern w:val="44"/>
          <w:sz w:val="28"/>
        </w:rPr>
        <w:t>第二章　任免权限</w:t>
      </w:r>
    </w:p>
    <w:p w14:paraId="5308B887">
      <w:pPr>
        <w:jc w:val="left"/>
        <w:rPr>
          <w:rFonts w:ascii="宋体" w:hAnsi="宋体"/>
          <w:kern w:val="44"/>
        </w:rPr>
      </w:pPr>
    </w:p>
    <w:p w14:paraId="74BF28D4">
      <w:pPr>
        <w:ind w:firstLine="422"/>
        <w:jc w:val="left"/>
        <w:rPr>
          <w:rFonts w:ascii="宋体" w:hAnsi="宋体"/>
          <w:kern w:val="44"/>
        </w:rPr>
      </w:pPr>
      <w:r>
        <w:rPr>
          <w:rFonts w:hint="eastAsia" w:ascii="宋体" w:hAnsi="宋体"/>
          <w:b/>
          <w:kern w:val="44"/>
        </w:rPr>
        <w:t>第五条</w:t>
      </w:r>
      <w:r>
        <w:rPr>
          <w:rFonts w:hint="eastAsia" w:ascii="宋体" w:hAnsi="宋体"/>
          <w:kern w:val="44"/>
        </w:rPr>
        <w:t>　市人大常委会任免本市国家权力机关下列人员：</w:t>
      </w:r>
    </w:p>
    <w:p w14:paraId="21656315">
      <w:pPr>
        <w:jc w:val="left"/>
        <w:rPr>
          <w:rFonts w:ascii="宋体" w:hAnsi="宋体"/>
          <w:kern w:val="44"/>
        </w:rPr>
      </w:pPr>
      <w:r>
        <w:rPr>
          <w:rFonts w:hint="eastAsia" w:ascii="宋体" w:hAnsi="宋体"/>
          <w:kern w:val="44"/>
        </w:rPr>
        <w:t>（一）在市人民代表大会闭会期间，根据市人大常委会主任会议的提名，补充任命市人民代表大会专门委员会的个别副主任委员和部分委员，免去个别副主任委员和部分委员的职务。市人民代表大会专门委员会成员人选必须是市人大代表。</w:t>
      </w:r>
    </w:p>
    <w:p w14:paraId="6DC447FF">
      <w:pPr>
        <w:jc w:val="left"/>
        <w:rPr>
          <w:rFonts w:ascii="宋体" w:hAnsi="宋体"/>
          <w:kern w:val="44"/>
        </w:rPr>
      </w:pPr>
      <w:r>
        <w:rPr>
          <w:rFonts w:hint="eastAsia" w:ascii="宋体" w:hAnsi="宋体"/>
          <w:kern w:val="44"/>
        </w:rPr>
        <w:t>（二）根据市人大常委会主任会议的提名，通过市人大常委会代表资格审查委员会的主任委员、副主任委员和委员的任免。市人大常委会代表资格审查委员会组成人员人选必须是市人大常委会组成人员。</w:t>
      </w:r>
    </w:p>
    <w:p w14:paraId="0C3CCB28">
      <w:pPr>
        <w:jc w:val="left"/>
        <w:rPr>
          <w:rFonts w:ascii="宋体" w:hAnsi="宋体"/>
          <w:kern w:val="44"/>
        </w:rPr>
      </w:pPr>
      <w:r>
        <w:rPr>
          <w:rFonts w:hint="eastAsia" w:ascii="宋体" w:hAnsi="宋体"/>
          <w:kern w:val="44"/>
        </w:rPr>
        <w:t>（三）根据市人大常委会关于成立特定问题调查委员会的决定，由市人大常委会主任会议提名，通过特定问题调查委员会主任委员、副主任委员和委员。特定问题调查委员会组成人员必须是市人大常委会组成人员和其他市人大代表。</w:t>
      </w:r>
    </w:p>
    <w:p w14:paraId="4A12E45A">
      <w:pPr>
        <w:jc w:val="left"/>
        <w:rPr>
          <w:rFonts w:ascii="宋体" w:hAnsi="宋体"/>
          <w:kern w:val="44"/>
        </w:rPr>
      </w:pPr>
      <w:r>
        <w:rPr>
          <w:rFonts w:hint="eastAsia" w:ascii="宋体" w:hAnsi="宋体"/>
          <w:kern w:val="44"/>
        </w:rPr>
        <w:t>（四）根据市人大常委会主任会议的提名，通过市人大常委会副秘书长，市人大常委会各工作机构主任、副主任的任免。</w:t>
      </w:r>
    </w:p>
    <w:p w14:paraId="1A87FCDC">
      <w:pPr>
        <w:ind w:firstLine="422"/>
        <w:jc w:val="left"/>
        <w:rPr>
          <w:rFonts w:ascii="宋体" w:hAnsi="宋体"/>
          <w:kern w:val="44"/>
        </w:rPr>
      </w:pPr>
      <w:r>
        <w:rPr>
          <w:rFonts w:hint="eastAsia" w:ascii="宋体" w:hAnsi="宋体"/>
          <w:b/>
          <w:kern w:val="44"/>
        </w:rPr>
        <w:t>第六条</w:t>
      </w:r>
      <w:r>
        <w:rPr>
          <w:rFonts w:hint="eastAsia" w:ascii="宋体" w:hAnsi="宋体"/>
          <w:kern w:val="44"/>
        </w:rPr>
        <w:t>　市人大常委会任免本市国家行政机关下列人员：</w:t>
      </w:r>
    </w:p>
    <w:p w14:paraId="398E8A09">
      <w:pPr>
        <w:jc w:val="left"/>
        <w:rPr>
          <w:rFonts w:ascii="宋体" w:hAnsi="宋体"/>
          <w:kern w:val="44"/>
        </w:rPr>
      </w:pPr>
      <w:r>
        <w:rPr>
          <w:rFonts w:hint="eastAsia" w:ascii="宋体" w:hAnsi="宋体"/>
          <w:kern w:val="44"/>
        </w:rPr>
        <w:t>（一）在市人民代表大会闭会期间，根据市长的提名，在市长缺位时根据市人大常委会主任会议的提名，决定个别副市长的任免。</w:t>
      </w:r>
    </w:p>
    <w:p w14:paraId="737396E4">
      <w:pPr>
        <w:jc w:val="left"/>
        <w:rPr>
          <w:rFonts w:ascii="宋体" w:hAnsi="宋体"/>
          <w:kern w:val="44"/>
        </w:rPr>
      </w:pPr>
      <w:r>
        <w:rPr>
          <w:rFonts w:hint="eastAsia" w:ascii="宋体" w:hAnsi="宋体"/>
          <w:kern w:val="44"/>
        </w:rPr>
        <w:t>（二）根据市长的提名，决定市人民政府秘书长和市人民政府组成部门的局长、主任的任免，报国务院备案。</w:t>
      </w:r>
    </w:p>
    <w:p w14:paraId="6E1B72F9">
      <w:pPr>
        <w:ind w:firstLine="422"/>
        <w:jc w:val="left"/>
        <w:rPr>
          <w:rFonts w:ascii="宋体" w:hAnsi="宋体"/>
          <w:kern w:val="44"/>
        </w:rPr>
      </w:pPr>
      <w:r>
        <w:rPr>
          <w:rFonts w:hint="eastAsia" w:ascii="宋体" w:hAnsi="宋体"/>
          <w:b/>
          <w:kern w:val="44"/>
        </w:rPr>
        <w:t>第七条</w:t>
      </w:r>
      <w:r>
        <w:rPr>
          <w:rFonts w:hint="eastAsia" w:ascii="宋体" w:hAnsi="宋体"/>
          <w:kern w:val="44"/>
        </w:rPr>
        <w:t>　市人大常委会任免本市国家审判机关下列人员：</w:t>
      </w:r>
    </w:p>
    <w:p w14:paraId="6AF4AE42">
      <w:pPr>
        <w:jc w:val="left"/>
        <w:rPr>
          <w:rFonts w:ascii="宋体" w:hAnsi="宋体"/>
          <w:kern w:val="44"/>
        </w:rPr>
      </w:pPr>
      <w:r>
        <w:rPr>
          <w:rFonts w:hint="eastAsia" w:ascii="宋体" w:hAnsi="宋体"/>
          <w:kern w:val="44"/>
        </w:rPr>
        <w:t>（一）根据市人大常委会主任会议的提名，决定市各中级人民法院院长的任免。</w:t>
      </w:r>
    </w:p>
    <w:p w14:paraId="3728BBF1">
      <w:pPr>
        <w:jc w:val="left"/>
        <w:rPr>
          <w:rFonts w:ascii="宋体" w:hAnsi="宋体"/>
          <w:kern w:val="44"/>
        </w:rPr>
      </w:pPr>
      <w:r>
        <w:rPr>
          <w:rFonts w:hint="eastAsia" w:ascii="宋体" w:hAnsi="宋体"/>
          <w:kern w:val="44"/>
        </w:rPr>
        <w:t>（二）根据市高级人民法院院长的提请，任免市高级人民法院和市各中级人民法院副院长、审判委员会委员、庭长、副庭长、审判员。</w:t>
      </w:r>
    </w:p>
    <w:p w14:paraId="24226774">
      <w:pPr>
        <w:ind w:firstLine="422"/>
        <w:jc w:val="left"/>
        <w:rPr>
          <w:rFonts w:ascii="宋体" w:hAnsi="宋体"/>
          <w:kern w:val="44"/>
        </w:rPr>
      </w:pPr>
      <w:r>
        <w:rPr>
          <w:rFonts w:hint="eastAsia" w:ascii="宋体" w:hAnsi="宋体"/>
          <w:b/>
          <w:kern w:val="44"/>
        </w:rPr>
        <w:t>第八条</w:t>
      </w:r>
      <w:r>
        <w:rPr>
          <w:rFonts w:hint="eastAsia" w:ascii="宋体" w:hAnsi="宋体"/>
          <w:kern w:val="44"/>
        </w:rPr>
        <w:t>　市人大常委会任免本市国家检察机关下列人员：</w:t>
      </w:r>
    </w:p>
    <w:p w14:paraId="3DF3022D">
      <w:pPr>
        <w:jc w:val="left"/>
        <w:rPr>
          <w:rFonts w:ascii="宋体" w:hAnsi="宋体"/>
          <w:kern w:val="44"/>
        </w:rPr>
      </w:pPr>
      <w:r>
        <w:rPr>
          <w:rFonts w:hint="eastAsia" w:ascii="宋体" w:hAnsi="宋体"/>
          <w:kern w:val="44"/>
        </w:rPr>
        <w:t>（一）根据市人民检察院检察长的提名，决定市人民检察院各分院检察长的任免。</w:t>
      </w:r>
    </w:p>
    <w:p w14:paraId="4D327CC1">
      <w:pPr>
        <w:jc w:val="left"/>
        <w:rPr>
          <w:rFonts w:ascii="宋体" w:hAnsi="宋体"/>
          <w:kern w:val="44"/>
        </w:rPr>
      </w:pPr>
      <w:r>
        <w:rPr>
          <w:rFonts w:hint="eastAsia" w:ascii="宋体" w:hAnsi="宋体"/>
          <w:kern w:val="44"/>
        </w:rPr>
        <w:t>（二）根据市人民检察院检察长的提请，任免市人民检察院和市人民检察院各分院的副检察长、检察委员会委员、检察员。</w:t>
      </w:r>
    </w:p>
    <w:p w14:paraId="69E8CF9B">
      <w:pPr>
        <w:jc w:val="left"/>
        <w:rPr>
          <w:rFonts w:ascii="宋体" w:hAnsi="宋体"/>
          <w:kern w:val="44"/>
        </w:rPr>
      </w:pPr>
      <w:r>
        <w:rPr>
          <w:rFonts w:hint="eastAsia" w:ascii="宋体" w:hAnsi="宋体"/>
          <w:kern w:val="44"/>
        </w:rPr>
        <w:t>（三）根据市人民检察院检察长的提请，批准任免本市各区、县人民检察院检察长。</w:t>
      </w:r>
    </w:p>
    <w:p w14:paraId="5C2AA505">
      <w:pPr>
        <w:ind w:firstLine="422"/>
        <w:jc w:val="left"/>
        <w:rPr>
          <w:rFonts w:ascii="宋体" w:hAnsi="宋体"/>
          <w:kern w:val="44"/>
        </w:rPr>
      </w:pPr>
      <w:r>
        <w:rPr>
          <w:rFonts w:hint="eastAsia" w:ascii="宋体" w:hAnsi="宋体"/>
          <w:b/>
          <w:kern w:val="44"/>
        </w:rPr>
        <w:t>第九条</w:t>
      </w:r>
      <w:r>
        <w:rPr>
          <w:rFonts w:hint="eastAsia" w:ascii="宋体" w:hAnsi="宋体"/>
          <w:kern w:val="44"/>
        </w:rPr>
        <w:t>　在市人民代表大会闭会期间，市人大常委会推选和决定下列代理人选：</w:t>
      </w:r>
    </w:p>
    <w:p w14:paraId="29B05CA4">
      <w:pPr>
        <w:jc w:val="left"/>
        <w:rPr>
          <w:rFonts w:ascii="宋体" w:hAnsi="宋体"/>
          <w:kern w:val="44"/>
        </w:rPr>
      </w:pPr>
      <w:r>
        <w:rPr>
          <w:rFonts w:hint="eastAsia" w:ascii="宋体" w:hAnsi="宋体"/>
          <w:kern w:val="44"/>
        </w:rPr>
        <w:t>（一）市人大常委会主任因为健康情况不能工作或者缺位的时候，根据市人大常委会主任会议的提名，在副主任中推选一人代理主任的职务，直到主任恢复健康或者人民代表大会选出新的主任为止。</w:t>
      </w:r>
    </w:p>
    <w:p w14:paraId="7F64E60C">
      <w:pPr>
        <w:jc w:val="left"/>
        <w:rPr>
          <w:rFonts w:ascii="宋体" w:hAnsi="宋体"/>
          <w:kern w:val="44"/>
        </w:rPr>
      </w:pPr>
      <w:r>
        <w:rPr>
          <w:rFonts w:hint="eastAsia" w:ascii="宋体" w:hAnsi="宋体"/>
          <w:kern w:val="44"/>
        </w:rPr>
        <w:t>（二）市长因故不能担任职务的时候，根据市人大常委会主任会议的提名，从副市长中决定代理的人选。</w:t>
      </w:r>
    </w:p>
    <w:p w14:paraId="76F10C2B">
      <w:pPr>
        <w:jc w:val="left"/>
        <w:rPr>
          <w:rFonts w:ascii="宋体" w:hAnsi="宋体"/>
          <w:kern w:val="44"/>
        </w:rPr>
      </w:pPr>
      <w:r>
        <w:rPr>
          <w:rFonts w:hint="eastAsia" w:ascii="宋体" w:hAnsi="宋体"/>
          <w:kern w:val="44"/>
        </w:rPr>
        <w:t>（三）市高级人民法院院长因故不能担任职务的时候，根据市人大常委会主任会议的提名，从副院长中决定代理的人选。</w:t>
      </w:r>
    </w:p>
    <w:p w14:paraId="01757B55">
      <w:pPr>
        <w:jc w:val="left"/>
        <w:rPr>
          <w:rFonts w:ascii="宋体" w:hAnsi="宋体"/>
          <w:kern w:val="44"/>
        </w:rPr>
      </w:pPr>
      <w:r>
        <w:rPr>
          <w:rFonts w:hint="eastAsia" w:ascii="宋体" w:hAnsi="宋体"/>
          <w:kern w:val="44"/>
        </w:rPr>
        <w:t>（四）市人民检察院检察长因故不能担任职务的时候，根据市人大常委会主任会议的提名，从副检察长中决定代理的人选。决定代理检察长，须报最高人民检察院和全国人民代表大会常务委员会备案。</w:t>
      </w:r>
    </w:p>
    <w:p w14:paraId="02C22A8F">
      <w:pPr>
        <w:jc w:val="left"/>
        <w:rPr>
          <w:rFonts w:ascii="宋体" w:hAnsi="宋体"/>
          <w:kern w:val="44"/>
        </w:rPr>
      </w:pPr>
    </w:p>
    <w:p w14:paraId="1B4FA80D">
      <w:pPr>
        <w:ind w:firstLine="0" w:firstLineChars="0"/>
        <w:jc w:val="center"/>
        <w:rPr>
          <w:rFonts w:ascii="宋体" w:hAnsi="宋体"/>
          <w:b/>
          <w:kern w:val="44"/>
          <w:sz w:val="28"/>
        </w:rPr>
      </w:pPr>
      <w:r>
        <w:rPr>
          <w:rFonts w:hint="eastAsia" w:ascii="宋体" w:hAnsi="宋体"/>
          <w:b/>
          <w:kern w:val="44"/>
          <w:sz w:val="28"/>
        </w:rPr>
        <w:t>第三章　任免程序</w:t>
      </w:r>
    </w:p>
    <w:p w14:paraId="6A94F032">
      <w:pPr>
        <w:jc w:val="left"/>
        <w:rPr>
          <w:rFonts w:ascii="宋体" w:hAnsi="宋体"/>
          <w:kern w:val="44"/>
        </w:rPr>
      </w:pPr>
    </w:p>
    <w:p w14:paraId="66BE3299">
      <w:pPr>
        <w:ind w:firstLine="422"/>
        <w:jc w:val="left"/>
        <w:rPr>
          <w:rFonts w:ascii="宋体" w:hAnsi="宋体"/>
          <w:kern w:val="44"/>
        </w:rPr>
      </w:pPr>
      <w:r>
        <w:rPr>
          <w:rFonts w:hint="eastAsia" w:ascii="宋体" w:hAnsi="宋体"/>
          <w:b/>
          <w:kern w:val="44"/>
        </w:rPr>
        <w:t>第十条</w:t>
      </w:r>
      <w:r>
        <w:rPr>
          <w:rFonts w:hint="eastAsia" w:ascii="宋体" w:hAnsi="宋体"/>
          <w:kern w:val="44"/>
        </w:rPr>
        <w:t>　市人大常委会主任会议提出的任免案，直接提请市人大常委会会议审议。</w:t>
      </w:r>
    </w:p>
    <w:p w14:paraId="1FBECE34">
      <w:pPr>
        <w:ind w:firstLine="422"/>
        <w:jc w:val="left"/>
        <w:rPr>
          <w:rFonts w:ascii="宋体" w:hAnsi="宋体"/>
          <w:kern w:val="44"/>
        </w:rPr>
      </w:pPr>
      <w:r>
        <w:rPr>
          <w:rFonts w:hint="eastAsia" w:ascii="宋体" w:hAnsi="宋体"/>
          <w:b/>
          <w:kern w:val="44"/>
        </w:rPr>
        <w:t>第十一条</w:t>
      </w:r>
      <w:r>
        <w:rPr>
          <w:rFonts w:hint="eastAsia" w:ascii="宋体" w:hAnsi="宋体"/>
          <w:kern w:val="44"/>
        </w:rPr>
        <w:t>　市长、市高级人民法院院长、市人民检察院检察长提出的任免案，由市人大常委会主任会议决定提请市人大常委会会议审议。</w:t>
      </w:r>
    </w:p>
    <w:p w14:paraId="6541679C">
      <w:pPr>
        <w:jc w:val="left"/>
        <w:rPr>
          <w:rFonts w:ascii="宋体" w:hAnsi="宋体"/>
          <w:kern w:val="44"/>
        </w:rPr>
      </w:pPr>
      <w:r>
        <w:rPr>
          <w:rFonts w:hint="eastAsia" w:ascii="宋体" w:hAnsi="宋体"/>
          <w:kern w:val="44"/>
        </w:rPr>
        <w:t>市长、市高级人民法院院长、市人民检察院检察长提请市人大常委会审议的任免案，应当在市人大常委会举行会议的15日以前向市人大常委会提出，特殊情况不能按期提出的应当向市人大常委会主任会议说明。</w:t>
      </w:r>
    </w:p>
    <w:p w14:paraId="629D4C76">
      <w:pPr>
        <w:ind w:firstLine="422"/>
        <w:jc w:val="left"/>
        <w:rPr>
          <w:rFonts w:ascii="宋体" w:hAnsi="宋体"/>
          <w:kern w:val="44"/>
        </w:rPr>
      </w:pPr>
      <w:r>
        <w:rPr>
          <w:rFonts w:hint="eastAsia" w:ascii="宋体" w:hAnsi="宋体"/>
          <w:b/>
          <w:kern w:val="44"/>
        </w:rPr>
        <w:t>第十二条</w:t>
      </w:r>
      <w:r>
        <w:rPr>
          <w:rFonts w:hint="eastAsia" w:ascii="宋体" w:hAnsi="宋体"/>
          <w:kern w:val="44"/>
        </w:rPr>
        <w:t>　任免案以书面的形式提出。</w:t>
      </w:r>
    </w:p>
    <w:p w14:paraId="45298ED0">
      <w:pPr>
        <w:jc w:val="left"/>
        <w:rPr>
          <w:rFonts w:ascii="宋体" w:hAnsi="宋体"/>
          <w:kern w:val="44"/>
        </w:rPr>
      </w:pPr>
      <w:r>
        <w:rPr>
          <w:rFonts w:hint="eastAsia" w:ascii="宋体" w:hAnsi="宋体"/>
          <w:kern w:val="44"/>
        </w:rPr>
        <w:t>任免案应当附拟任职人员的简况、任职理由，拟免职人员的免职理由，并同时报送提请人说明情况的材料。</w:t>
      </w:r>
    </w:p>
    <w:p w14:paraId="70B1E1D2">
      <w:pPr>
        <w:ind w:firstLine="422"/>
        <w:jc w:val="left"/>
        <w:rPr>
          <w:rFonts w:ascii="宋体" w:hAnsi="宋体"/>
          <w:kern w:val="44"/>
        </w:rPr>
      </w:pPr>
      <w:r>
        <w:rPr>
          <w:rFonts w:hint="eastAsia" w:ascii="宋体" w:hAnsi="宋体"/>
          <w:b/>
          <w:kern w:val="44"/>
        </w:rPr>
        <w:t>第十三条</w:t>
      </w:r>
      <w:r>
        <w:rPr>
          <w:rFonts w:hint="eastAsia" w:ascii="宋体" w:hAnsi="宋体"/>
          <w:kern w:val="44"/>
        </w:rPr>
        <w:t>　市人大常委会会议审议任免案的时候，提请人或者其委托的人员应当到会说明情况。市高级人民法院院长提请任免审判委员会委员、庭长、副庭长、审判员，市人民检察院检察长提请任免检察委员会委员、检察员，一般以书面的形式说明。</w:t>
      </w:r>
    </w:p>
    <w:p w14:paraId="2C3FF253">
      <w:pPr>
        <w:jc w:val="left"/>
        <w:rPr>
          <w:rFonts w:ascii="宋体" w:hAnsi="宋体"/>
          <w:kern w:val="44"/>
        </w:rPr>
      </w:pPr>
      <w:r>
        <w:rPr>
          <w:rFonts w:hint="eastAsia" w:ascii="宋体" w:hAnsi="宋体"/>
          <w:kern w:val="44"/>
        </w:rPr>
        <w:t>市人大常委会会议审议任命案时，提请人应当介绍提名拟任下列职务的人选同市人大常委会组成人员见面：</w:t>
      </w:r>
    </w:p>
    <w:p w14:paraId="30BBA2D4">
      <w:pPr>
        <w:jc w:val="left"/>
        <w:rPr>
          <w:rFonts w:ascii="宋体" w:hAnsi="宋体"/>
          <w:kern w:val="44"/>
        </w:rPr>
      </w:pPr>
      <w:r>
        <w:rPr>
          <w:rFonts w:hint="eastAsia" w:ascii="宋体" w:hAnsi="宋体"/>
          <w:kern w:val="44"/>
        </w:rPr>
        <w:t>（一）市人民代表大会专门委员会副主任委员和委员，市人大常委会副秘书长和各工作机构的主任、副主任。</w:t>
      </w:r>
    </w:p>
    <w:p w14:paraId="592BD5FD">
      <w:pPr>
        <w:jc w:val="left"/>
        <w:rPr>
          <w:rFonts w:ascii="宋体" w:hAnsi="宋体"/>
          <w:kern w:val="44"/>
        </w:rPr>
      </w:pPr>
      <w:r>
        <w:rPr>
          <w:rFonts w:hint="eastAsia" w:ascii="宋体" w:hAnsi="宋体"/>
          <w:kern w:val="44"/>
        </w:rPr>
        <w:t>（二）市人民政府副市长和秘书长，市人民政府组成部门的局长、主任。</w:t>
      </w:r>
    </w:p>
    <w:p w14:paraId="7390F27E">
      <w:pPr>
        <w:jc w:val="left"/>
        <w:rPr>
          <w:rFonts w:ascii="宋体" w:hAnsi="宋体"/>
          <w:kern w:val="44"/>
        </w:rPr>
      </w:pPr>
      <w:r>
        <w:rPr>
          <w:rFonts w:hint="eastAsia" w:ascii="宋体" w:hAnsi="宋体"/>
          <w:kern w:val="44"/>
        </w:rPr>
        <w:t>（三）市高级人民法院副院长和市各中级人民法院院长、副院长。</w:t>
      </w:r>
    </w:p>
    <w:p w14:paraId="2C6D823F">
      <w:pPr>
        <w:jc w:val="left"/>
        <w:rPr>
          <w:rFonts w:ascii="宋体" w:hAnsi="宋体"/>
          <w:kern w:val="44"/>
        </w:rPr>
      </w:pPr>
      <w:r>
        <w:rPr>
          <w:rFonts w:hint="eastAsia" w:ascii="宋体" w:hAnsi="宋体"/>
          <w:kern w:val="44"/>
        </w:rPr>
        <w:t>（四）市人民检察院副检察长和市人民检察院各分院检察长、副检察长。</w:t>
      </w:r>
    </w:p>
    <w:p w14:paraId="00D4569F">
      <w:pPr>
        <w:ind w:firstLine="422"/>
        <w:jc w:val="left"/>
        <w:rPr>
          <w:rFonts w:ascii="宋体" w:hAnsi="宋体"/>
          <w:kern w:val="44"/>
        </w:rPr>
      </w:pPr>
      <w:r>
        <w:rPr>
          <w:rFonts w:hint="eastAsia" w:ascii="宋体" w:hAnsi="宋体"/>
          <w:b/>
          <w:kern w:val="44"/>
        </w:rPr>
        <w:t>第十四条</w:t>
      </w:r>
      <w:r>
        <w:rPr>
          <w:rFonts w:hint="eastAsia" w:ascii="宋体" w:hAnsi="宋体"/>
          <w:kern w:val="44"/>
        </w:rPr>
        <w:t>　市人大常委会会议审议任免案，可以在全体会议上进行，根据需要也可以分组进行。</w:t>
      </w:r>
    </w:p>
    <w:p w14:paraId="16E247B0">
      <w:pPr>
        <w:jc w:val="left"/>
        <w:rPr>
          <w:rFonts w:ascii="宋体" w:hAnsi="宋体"/>
          <w:kern w:val="44"/>
        </w:rPr>
      </w:pPr>
      <w:r>
        <w:rPr>
          <w:rFonts w:hint="eastAsia" w:ascii="宋体" w:hAnsi="宋体"/>
          <w:kern w:val="44"/>
        </w:rPr>
        <w:t>提请人或者其委托的人员对审议中提出的问题，应当予以说明。</w:t>
      </w:r>
    </w:p>
    <w:p w14:paraId="06DAFD6A">
      <w:pPr>
        <w:ind w:firstLine="422"/>
        <w:jc w:val="left"/>
        <w:rPr>
          <w:rFonts w:ascii="宋体" w:hAnsi="宋体"/>
          <w:kern w:val="44"/>
        </w:rPr>
      </w:pPr>
      <w:r>
        <w:rPr>
          <w:rFonts w:hint="eastAsia" w:ascii="宋体" w:hAnsi="宋体"/>
          <w:b/>
          <w:kern w:val="44"/>
        </w:rPr>
        <w:t>第十五条</w:t>
      </w:r>
      <w:r>
        <w:rPr>
          <w:rFonts w:hint="eastAsia" w:ascii="宋体" w:hAnsi="宋体"/>
          <w:kern w:val="44"/>
        </w:rPr>
        <w:t>　市人大常委会会议表决任免案前，市人大常委会组成人员认为有重大问题需要进一步研究的，经市人大常委会主任或者主任会议提议，出席会议的市人大常委会组成人员的过半数同意，可以暂不付表决。</w:t>
      </w:r>
    </w:p>
    <w:p w14:paraId="2A68B5B0">
      <w:pPr>
        <w:jc w:val="left"/>
        <w:rPr>
          <w:rFonts w:ascii="宋体" w:hAnsi="宋体"/>
          <w:kern w:val="44"/>
        </w:rPr>
      </w:pPr>
      <w:r>
        <w:rPr>
          <w:rFonts w:hint="eastAsia" w:ascii="宋体" w:hAnsi="宋体"/>
          <w:kern w:val="44"/>
        </w:rPr>
        <w:t>市人大常委会会议表决任免案前，提请人要求撤回的，应当提出书面报告并说明理由，经市人大常委会主任会议同意，并向市人大常委会报告，对该任免案的审议即行终止。</w:t>
      </w:r>
    </w:p>
    <w:p w14:paraId="602C6226">
      <w:pPr>
        <w:ind w:firstLine="422"/>
        <w:jc w:val="left"/>
        <w:rPr>
          <w:rFonts w:ascii="宋体" w:hAnsi="宋体"/>
          <w:kern w:val="44"/>
        </w:rPr>
      </w:pPr>
      <w:r>
        <w:rPr>
          <w:rFonts w:hint="eastAsia" w:ascii="宋体" w:hAnsi="宋体"/>
          <w:b/>
          <w:kern w:val="44"/>
        </w:rPr>
        <w:t>第十六条</w:t>
      </w:r>
      <w:r>
        <w:rPr>
          <w:rFonts w:hint="eastAsia" w:ascii="宋体" w:hAnsi="宋体"/>
          <w:kern w:val="44"/>
        </w:rPr>
        <w:t>　市人大常委会对本市国家机关工作人员的任免，由市人大常委会全体会议表决通过。</w:t>
      </w:r>
    </w:p>
    <w:p w14:paraId="1C09480F">
      <w:pPr>
        <w:jc w:val="left"/>
        <w:rPr>
          <w:rFonts w:ascii="宋体" w:hAnsi="宋体"/>
          <w:kern w:val="44"/>
        </w:rPr>
      </w:pPr>
      <w:r>
        <w:rPr>
          <w:rFonts w:hint="eastAsia" w:ascii="宋体" w:hAnsi="宋体"/>
          <w:kern w:val="44"/>
        </w:rPr>
        <w:t>表决采用无记名投票方式、按表决器方式或者其他方式。</w:t>
      </w:r>
    </w:p>
    <w:p w14:paraId="25CADCE0">
      <w:pPr>
        <w:jc w:val="left"/>
        <w:rPr>
          <w:rFonts w:ascii="宋体" w:hAnsi="宋体"/>
          <w:kern w:val="44"/>
        </w:rPr>
      </w:pPr>
      <w:r>
        <w:rPr>
          <w:rFonts w:hint="eastAsia" w:ascii="宋体" w:hAnsi="宋体"/>
          <w:kern w:val="44"/>
        </w:rPr>
        <w:t>采用无记名投票方式进行表决，在表决前从出席会议的市人大常委会组成人员中推选两名监票人，对发票、投票、计票进行监督。</w:t>
      </w:r>
    </w:p>
    <w:p w14:paraId="71E0F4E8">
      <w:pPr>
        <w:jc w:val="left"/>
        <w:rPr>
          <w:rFonts w:ascii="宋体" w:hAnsi="宋体"/>
          <w:kern w:val="44"/>
        </w:rPr>
      </w:pPr>
      <w:r>
        <w:rPr>
          <w:rFonts w:hint="eastAsia" w:ascii="宋体" w:hAnsi="宋体"/>
          <w:kern w:val="44"/>
        </w:rPr>
        <w:t>采用按表决器方式进行表决，表决器发生故障时，可以采用举手或者其他方式进行表决。</w:t>
      </w:r>
    </w:p>
    <w:p w14:paraId="1DD71737">
      <w:pPr>
        <w:ind w:firstLine="422"/>
        <w:jc w:val="left"/>
        <w:rPr>
          <w:rFonts w:ascii="宋体" w:hAnsi="宋体"/>
          <w:kern w:val="44"/>
        </w:rPr>
      </w:pPr>
      <w:r>
        <w:rPr>
          <w:rFonts w:hint="eastAsia" w:ascii="宋体" w:hAnsi="宋体"/>
          <w:b/>
          <w:kern w:val="44"/>
        </w:rPr>
        <w:t>第十七条</w:t>
      </w:r>
      <w:r>
        <w:rPr>
          <w:rFonts w:hint="eastAsia" w:ascii="宋体" w:hAnsi="宋体"/>
          <w:kern w:val="44"/>
        </w:rPr>
        <w:t>　下列事项采用无记名投票方式进行表决：</w:t>
      </w:r>
    </w:p>
    <w:p w14:paraId="5FD9D64E">
      <w:pPr>
        <w:jc w:val="left"/>
        <w:rPr>
          <w:rFonts w:ascii="宋体" w:hAnsi="宋体"/>
          <w:kern w:val="44"/>
        </w:rPr>
      </w:pPr>
      <w:r>
        <w:rPr>
          <w:rFonts w:hint="eastAsia" w:ascii="宋体" w:hAnsi="宋体"/>
          <w:kern w:val="44"/>
        </w:rPr>
        <w:t>（一）推选市人大常委会代理主任。</w:t>
      </w:r>
    </w:p>
    <w:p w14:paraId="696AACEF">
      <w:pPr>
        <w:jc w:val="left"/>
        <w:rPr>
          <w:rFonts w:ascii="宋体" w:hAnsi="宋体"/>
          <w:kern w:val="44"/>
        </w:rPr>
      </w:pPr>
      <w:r>
        <w:rPr>
          <w:rFonts w:hint="eastAsia" w:ascii="宋体" w:hAnsi="宋体"/>
          <w:kern w:val="44"/>
        </w:rPr>
        <w:t>（二）决定市长的代理人选，决定个别副市长和市人民政府秘书长、市人民政府组成部门的局长、主任的任命。</w:t>
      </w:r>
    </w:p>
    <w:p w14:paraId="3145C26C">
      <w:pPr>
        <w:jc w:val="left"/>
        <w:rPr>
          <w:rFonts w:ascii="宋体" w:hAnsi="宋体"/>
          <w:kern w:val="44"/>
        </w:rPr>
      </w:pPr>
      <w:r>
        <w:rPr>
          <w:rFonts w:hint="eastAsia" w:ascii="宋体" w:hAnsi="宋体"/>
          <w:kern w:val="44"/>
        </w:rPr>
        <w:t>（三）决定市高级人民法院院长的代理人选，决定市各中级人民法院院长的任命。</w:t>
      </w:r>
    </w:p>
    <w:p w14:paraId="026CC428">
      <w:pPr>
        <w:jc w:val="left"/>
        <w:rPr>
          <w:rFonts w:ascii="宋体" w:hAnsi="宋体"/>
          <w:kern w:val="44"/>
        </w:rPr>
      </w:pPr>
      <w:r>
        <w:rPr>
          <w:rFonts w:hint="eastAsia" w:ascii="宋体" w:hAnsi="宋体"/>
          <w:kern w:val="44"/>
        </w:rPr>
        <w:t>（四）决定市人民检察院检察长的代理人选，决定市人民检察院各分院检察长的任命。</w:t>
      </w:r>
    </w:p>
    <w:p w14:paraId="2389F5BE">
      <w:pPr>
        <w:ind w:firstLine="422"/>
        <w:jc w:val="left"/>
        <w:rPr>
          <w:rFonts w:ascii="宋体" w:hAnsi="宋体"/>
          <w:kern w:val="44"/>
        </w:rPr>
      </w:pPr>
      <w:r>
        <w:rPr>
          <w:rFonts w:hint="eastAsia" w:ascii="宋体" w:hAnsi="宋体"/>
          <w:b/>
          <w:kern w:val="44"/>
        </w:rPr>
        <w:t>第十八条</w:t>
      </w:r>
      <w:r>
        <w:rPr>
          <w:rFonts w:hint="eastAsia" w:ascii="宋体" w:hAnsi="宋体"/>
          <w:kern w:val="44"/>
        </w:rPr>
        <w:t>　下列事项采用按表决器方式逐人进行表决：</w:t>
      </w:r>
    </w:p>
    <w:p w14:paraId="64880790">
      <w:pPr>
        <w:jc w:val="left"/>
        <w:rPr>
          <w:rFonts w:ascii="宋体" w:hAnsi="宋体"/>
          <w:kern w:val="44"/>
        </w:rPr>
      </w:pPr>
      <w:r>
        <w:rPr>
          <w:rFonts w:hint="eastAsia" w:ascii="宋体" w:hAnsi="宋体"/>
          <w:kern w:val="44"/>
        </w:rPr>
        <w:t>（一）通过市人民代表大会专门委员会个别副主任委员、部分委员的补充任命和免职，通过市人大常委会副秘书长和各工作机构主任、副主任的任免。</w:t>
      </w:r>
    </w:p>
    <w:p w14:paraId="4D0E7F9F">
      <w:pPr>
        <w:jc w:val="left"/>
        <w:rPr>
          <w:rFonts w:ascii="宋体" w:hAnsi="宋体"/>
          <w:kern w:val="44"/>
        </w:rPr>
      </w:pPr>
      <w:r>
        <w:rPr>
          <w:rFonts w:hint="eastAsia" w:ascii="宋体" w:hAnsi="宋体"/>
          <w:kern w:val="44"/>
        </w:rPr>
        <w:t>（二）决定个别副市长和市人民政府秘书长、市人民政府组成部门的局长、主任的免职。</w:t>
      </w:r>
    </w:p>
    <w:p w14:paraId="229299BF">
      <w:pPr>
        <w:jc w:val="left"/>
        <w:rPr>
          <w:rFonts w:ascii="宋体" w:hAnsi="宋体"/>
          <w:kern w:val="44"/>
        </w:rPr>
      </w:pPr>
      <w:r>
        <w:rPr>
          <w:rFonts w:hint="eastAsia" w:ascii="宋体" w:hAnsi="宋体"/>
          <w:kern w:val="44"/>
        </w:rPr>
        <w:t>（三）决定市各中级人民法院院长的免职，任免市高级人民法院和市各中级人民法院副院长。</w:t>
      </w:r>
    </w:p>
    <w:p w14:paraId="4D7B43D6">
      <w:pPr>
        <w:jc w:val="left"/>
        <w:rPr>
          <w:rFonts w:ascii="宋体" w:hAnsi="宋体"/>
          <w:kern w:val="44"/>
        </w:rPr>
      </w:pPr>
      <w:r>
        <w:rPr>
          <w:rFonts w:hint="eastAsia" w:ascii="宋体" w:hAnsi="宋体"/>
          <w:kern w:val="44"/>
        </w:rPr>
        <w:t>（四）决定市人民检察院各分院检察长的免职，任免市人民检察院和市人民检察院各分院副检察长。</w:t>
      </w:r>
    </w:p>
    <w:p w14:paraId="683CD866">
      <w:pPr>
        <w:ind w:firstLine="422"/>
        <w:jc w:val="left"/>
        <w:rPr>
          <w:rFonts w:ascii="宋体" w:hAnsi="宋体"/>
          <w:kern w:val="44"/>
        </w:rPr>
      </w:pPr>
      <w:r>
        <w:rPr>
          <w:rFonts w:hint="eastAsia" w:ascii="宋体" w:hAnsi="宋体"/>
          <w:b/>
          <w:kern w:val="44"/>
        </w:rPr>
        <w:t>第十九条</w:t>
      </w:r>
      <w:r>
        <w:rPr>
          <w:rFonts w:hint="eastAsia" w:ascii="宋体" w:hAnsi="宋体"/>
          <w:kern w:val="44"/>
        </w:rPr>
        <w:t>　下列事项采用按表决器的方式进行表决，审议时无异议的可以对同一任免案提请任免的人员合并进行表决，有异议的可以对有异议的人员单独进行表决：</w:t>
      </w:r>
    </w:p>
    <w:p w14:paraId="13355224">
      <w:pPr>
        <w:jc w:val="left"/>
        <w:rPr>
          <w:rFonts w:ascii="宋体" w:hAnsi="宋体"/>
          <w:kern w:val="44"/>
        </w:rPr>
      </w:pPr>
      <w:r>
        <w:rPr>
          <w:rFonts w:hint="eastAsia" w:ascii="宋体" w:hAnsi="宋体"/>
          <w:kern w:val="44"/>
        </w:rPr>
        <w:t>（一）通过市人大常委会代表资格审查委员会主任委员、副主任委员、委员的任免，通过市人大常委会特定问题调查委员会主任委员、副主任委员、委员的任免。</w:t>
      </w:r>
    </w:p>
    <w:p w14:paraId="3ECC13EA">
      <w:pPr>
        <w:jc w:val="left"/>
        <w:rPr>
          <w:rFonts w:ascii="宋体" w:hAnsi="宋体"/>
          <w:kern w:val="44"/>
        </w:rPr>
      </w:pPr>
      <w:r>
        <w:rPr>
          <w:rFonts w:hint="eastAsia" w:ascii="宋体" w:hAnsi="宋体"/>
          <w:kern w:val="44"/>
        </w:rPr>
        <w:t>（二）任免市高级人民法院和市各中级人民法院审判委员会委员、庭长、副庭长、审判员。</w:t>
      </w:r>
    </w:p>
    <w:p w14:paraId="047B88AC">
      <w:pPr>
        <w:jc w:val="left"/>
        <w:rPr>
          <w:rFonts w:ascii="宋体" w:hAnsi="宋体"/>
          <w:kern w:val="44"/>
        </w:rPr>
      </w:pPr>
      <w:r>
        <w:rPr>
          <w:rFonts w:hint="eastAsia" w:ascii="宋体" w:hAnsi="宋体"/>
          <w:kern w:val="44"/>
        </w:rPr>
        <w:t>（三）任免市人民检察院和市人民检察院各分院检察委员会委员、检察员，批准任免本市各区、县人民检察院检察长。</w:t>
      </w:r>
    </w:p>
    <w:p w14:paraId="2AAAAC9C">
      <w:pPr>
        <w:ind w:firstLine="422"/>
        <w:jc w:val="left"/>
        <w:rPr>
          <w:rFonts w:ascii="宋体" w:hAnsi="宋体"/>
          <w:kern w:val="44"/>
        </w:rPr>
      </w:pPr>
      <w:r>
        <w:rPr>
          <w:rFonts w:hint="eastAsia" w:ascii="宋体" w:hAnsi="宋体"/>
          <w:b/>
          <w:kern w:val="44"/>
        </w:rPr>
        <w:t>第二十条</w:t>
      </w:r>
      <w:r>
        <w:rPr>
          <w:rFonts w:hint="eastAsia" w:ascii="宋体" w:hAnsi="宋体"/>
          <w:kern w:val="44"/>
        </w:rPr>
        <w:t>　市人大常委会组成人员对本市国家机关工作人员的任免进行表决时，可以表示赞成，可以表示反对，也可以弃权。</w:t>
      </w:r>
    </w:p>
    <w:p w14:paraId="077E6BBC">
      <w:pPr>
        <w:jc w:val="left"/>
        <w:rPr>
          <w:rFonts w:ascii="宋体" w:hAnsi="宋体"/>
          <w:kern w:val="44"/>
        </w:rPr>
      </w:pPr>
      <w:r>
        <w:rPr>
          <w:rFonts w:hint="eastAsia" w:ascii="宋体" w:hAnsi="宋体"/>
          <w:kern w:val="44"/>
        </w:rPr>
        <w:t>表决对本市国家机关工作人员的任免，由市人大常委会以全体组成人员的过半数通过。</w:t>
      </w:r>
    </w:p>
    <w:p w14:paraId="066EC14A">
      <w:pPr>
        <w:jc w:val="left"/>
        <w:rPr>
          <w:rFonts w:ascii="宋体" w:hAnsi="宋体"/>
          <w:kern w:val="44"/>
        </w:rPr>
      </w:pPr>
      <w:r>
        <w:rPr>
          <w:rFonts w:hint="eastAsia" w:ascii="宋体" w:hAnsi="宋体"/>
          <w:kern w:val="44"/>
        </w:rPr>
        <w:t>表决结果由会议主持人当场宣布。</w:t>
      </w:r>
    </w:p>
    <w:p w14:paraId="1F5D55B2">
      <w:pPr>
        <w:ind w:firstLine="422"/>
        <w:jc w:val="left"/>
        <w:rPr>
          <w:rFonts w:ascii="宋体" w:hAnsi="宋体"/>
          <w:kern w:val="44"/>
        </w:rPr>
      </w:pPr>
      <w:r>
        <w:rPr>
          <w:rFonts w:hint="eastAsia" w:ascii="宋体" w:hAnsi="宋体"/>
          <w:b/>
          <w:kern w:val="44"/>
        </w:rPr>
        <w:t>第二十一条</w:t>
      </w:r>
      <w:r>
        <w:rPr>
          <w:rFonts w:hint="eastAsia" w:ascii="宋体" w:hAnsi="宋体"/>
          <w:kern w:val="44"/>
        </w:rPr>
        <w:t>　市人大常委会任命的下列国家机关工作人员，由市人大常委会颁发任命书，任命书由市人大常委会主任署名。</w:t>
      </w:r>
    </w:p>
    <w:p w14:paraId="7E7826E7">
      <w:pPr>
        <w:jc w:val="left"/>
        <w:rPr>
          <w:rFonts w:ascii="宋体" w:hAnsi="宋体"/>
          <w:kern w:val="44"/>
        </w:rPr>
      </w:pPr>
      <w:r>
        <w:rPr>
          <w:rFonts w:hint="eastAsia" w:ascii="宋体" w:hAnsi="宋体"/>
          <w:kern w:val="44"/>
        </w:rPr>
        <w:t>（一）市人大常委会副秘书长和各工作机构的主任、副主任。</w:t>
      </w:r>
    </w:p>
    <w:p w14:paraId="056443A6">
      <w:pPr>
        <w:jc w:val="left"/>
        <w:rPr>
          <w:rFonts w:ascii="宋体" w:hAnsi="宋体"/>
          <w:kern w:val="44"/>
        </w:rPr>
      </w:pPr>
      <w:r>
        <w:rPr>
          <w:rFonts w:hint="eastAsia" w:ascii="宋体" w:hAnsi="宋体"/>
          <w:kern w:val="44"/>
        </w:rPr>
        <w:t>（二）市人民政府秘书长，市人民政府组成部门的局长、主任。</w:t>
      </w:r>
    </w:p>
    <w:p w14:paraId="5C15EFF5">
      <w:pPr>
        <w:jc w:val="left"/>
        <w:rPr>
          <w:rFonts w:ascii="宋体" w:hAnsi="宋体"/>
          <w:kern w:val="44"/>
        </w:rPr>
      </w:pPr>
      <w:r>
        <w:rPr>
          <w:rFonts w:hint="eastAsia" w:ascii="宋体" w:hAnsi="宋体"/>
          <w:kern w:val="44"/>
        </w:rPr>
        <w:t>（三）市高级人民法院副院长，市各中级人民法院院长和副院长，市高级人民法院和市各中级人民法院审判委员会委员、庭长、副庭长、审判员。</w:t>
      </w:r>
    </w:p>
    <w:p w14:paraId="1F68C3F3">
      <w:pPr>
        <w:jc w:val="left"/>
        <w:rPr>
          <w:rFonts w:ascii="宋体" w:hAnsi="宋体"/>
          <w:kern w:val="44"/>
        </w:rPr>
      </w:pPr>
      <w:r>
        <w:rPr>
          <w:rFonts w:hint="eastAsia" w:ascii="宋体" w:hAnsi="宋体"/>
          <w:kern w:val="44"/>
        </w:rPr>
        <w:t>（四）市人民检察院副检察长，市人民检察院各分院检察长、副检察长，市人民检察院和市人民检察院各分院检察委员会委员、检察员。</w:t>
      </w:r>
    </w:p>
    <w:p w14:paraId="24473C4F">
      <w:pPr>
        <w:jc w:val="left"/>
        <w:rPr>
          <w:rFonts w:ascii="宋体" w:hAnsi="宋体"/>
          <w:kern w:val="44"/>
        </w:rPr>
      </w:pPr>
      <w:r>
        <w:rPr>
          <w:rFonts w:hint="eastAsia" w:ascii="宋体" w:hAnsi="宋体"/>
          <w:kern w:val="44"/>
        </w:rPr>
        <w:t>市人大常委会副秘书长和各工作机构的主任、副主任，市人民政府秘书长，市人民政府组成部门的局长、主任，市高级人民法院副院长和市各中级人民法院院长、副院长，市人民检察院副检察长和市人民检察院各分院检察长、副检察长的任命书，由市人大常委会主任在市人大常委会会议上颁发。</w:t>
      </w:r>
    </w:p>
    <w:p w14:paraId="19160C31">
      <w:pPr>
        <w:ind w:firstLine="422"/>
        <w:jc w:val="left"/>
        <w:rPr>
          <w:rFonts w:ascii="宋体" w:hAnsi="宋体"/>
          <w:kern w:val="44"/>
        </w:rPr>
      </w:pPr>
      <w:r>
        <w:rPr>
          <w:rFonts w:hint="eastAsia" w:ascii="宋体" w:hAnsi="宋体"/>
          <w:b/>
          <w:kern w:val="44"/>
        </w:rPr>
        <w:t>第二十二条</w:t>
      </w:r>
      <w:r>
        <w:rPr>
          <w:rFonts w:hint="eastAsia" w:ascii="宋体" w:hAnsi="宋体"/>
          <w:kern w:val="44"/>
        </w:rPr>
        <w:t>　市人大常委会通过本市国家机关工作人员的任免后，应当自通过之日起3日内发文通知有关机关，并在市人大常委会公报上予以公告。</w:t>
      </w:r>
    </w:p>
    <w:p w14:paraId="4B8DCE12">
      <w:pPr>
        <w:jc w:val="left"/>
        <w:rPr>
          <w:rFonts w:ascii="宋体" w:hAnsi="宋体"/>
          <w:kern w:val="44"/>
        </w:rPr>
      </w:pPr>
      <w:r>
        <w:rPr>
          <w:rFonts w:hint="eastAsia" w:ascii="宋体" w:hAnsi="宋体"/>
          <w:kern w:val="44"/>
        </w:rPr>
        <w:t>市人大常委会代理主任，市人民代表大会专门委员会副主任委员、委员，市人大常委会副秘书长和各工作机构的主任，市人民政府代理市长、副市长和秘书长，市人民政府组成部门的局长、主任，市高级人民法院代理院长、副院长和市各中级人民法院院长、副院长，市人民检察院代理检察长、副检察长和市人民检察院各分院检察长、副检察长，以上人员的任免案在市人大常委会会议通过后，即通过本市新闻媒体予以公布。</w:t>
      </w:r>
    </w:p>
    <w:p w14:paraId="343781F4">
      <w:pPr>
        <w:ind w:firstLine="422"/>
        <w:jc w:val="left"/>
        <w:rPr>
          <w:rFonts w:ascii="宋体" w:hAnsi="宋体"/>
          <w:kern w:val="44"/>
        </w:rPr>
      </w:pPr>
      <w:r>
        <w:rPr>
          <w:rFonts w:hint="eastAsia" w:ascii="宋体" w:hAnsi="宋体"/>
          <w:b/>
          <w:kern w:val="44"/>
        </w:rPr>
        <w:t>第二十三条</w:t>
      </w:r>
      <w:r>
        <w:rPr>
          <w:rFonts w:hint="eastAsia" w:ascii="宋体" w:hAnsi="宋体"/>
          <w:kern w:val="44"/>
        </w:rPr>
        <w:t>　新的一届市人民政府领导人员依法选举产生后，市长应当在两个月内提出任命市人民政府组成人员的议案，市人大常委会应当及时召开会议进行审议。</w:t>
      </w:r>
    </w:p>
    <w:p w14:paraId="31E757AD">
      <w:pPr>
        <w:jc w:val="left"/>
        <w:rPr>
          <w:rFonts w:ascii="宋体" w:hAnsi="宋体"/>
          <w:kern w:val="44"/>
        </w:rPr>
      </w:pPr>
      <w:r>
        <w:rPr>
          <w:rFonts w:hint="eastAsia" w:ascii="宋体" w:hAnsi="宋体"/>
          <w:kern w:val="44"/>
        </w:rPr>
        <w:t>新的一届市人大常委会依法选举产生后，应当在召开第一次或者第二次常委会会议时，根据市人大常委会主任会议的提名，通过市人大常委会各工作机构主任的任命，决定市各中级人民法院院长的任命；根据市人民检察院检察长的提名，决定市人民检察院各分院检察长的任命。个别人选因特殊情况在两次会议上不能提请任命的，提请人应当向市人大常委会主任会议说明，并最迟提请下一次市人大常委会会议任命。</w:t>
      </w:r>
    </w:p>
    <w:p w14:paraId="5E3BC123">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市人民政府组成部门经国务院批准新设立和改变名称的，按本条例的有关规定决定任命该部门的局长或者主任，改变名称的部门需免去原局长或者主任的职务。</w:t>
      </w:r>
    </w:p>
    <w:p w14:paraId="35E09914">
      <w:pPr>
        <w:jc w:val="left"/>
        <w:rPr>
          <w:rFonts w:ascii="宋体" w:hAnsi="宋体"/>
          <w:kern w:val="44"/>
        </w:rPr>
      </w:pPr>
      <w:r>
        <w:rPr>
          <w:rFonts w:hint="eastAsia" w:ascii="宋体" w:hAnsi="宋体"/>
          <w:kern w:val="44"/>
        </w:rPr>
        <w:t>市人民政府组成部门经国务院批准撤销、合并或者不再列为政府组成部门的，由市人民政府报市人大常委会备案，该部门的局长或者主任不再办理免职手续。</w:t>
      </w:r>
    </w:p>
    <w:p w14:paraId="4FE15251">
      <w:pPr>
        <w:jc w:val="left"/>
        <w:rPr>
          <w:rFonts w:ascii="宋体" w:hAnsi="宋体"/>
          <w:kern w:val="44"/>
        </w:rPr>
      </w:pPr>
    </w:p>
    <w:p w14:paraId="03C8EEDF">
      <w:pPr>
        <w:ind w:firstLine="0" w:firstLineChars="0"/>
        <w:jc w:val="center"/>
        <w:rPr>
          <w:rFonts w:ascii="宋体" w:hAnsi="宋体"/>
          <w:b/>
          <w:kern w:val="44"/>
          <w:sz w:val="28"/>
        </w:rPr>
      </w:pPr>
      <w:r>
        <w:rPr>
          <w:rFonts w:hint="eastAsia" w:ascii="宋体" w:hAnsi="宋体"/>
          <w:b/>
          <w:kern w:val="44"/>
          <w:sz w:val="28"/>
        </w:rPr>
        <w:t>第四章　辞职与撤职</w:t>
      </w:r>
    </w:p>
    <w:p w14:paraId="4DB5CA51">
      <w:pPr>
        <w:jc w:val="left"/>
        <w:rPr>
          <w:rFonts w:ascii="宋体" w:hAnsi="宋体"/>
          <w:kern w:val="44"/>
        </w:rPr>
      </w:pPr>
    </w:p>
    <w:p w14:paraId="1F20C8EB">
      <w:pPr>
        <w:ind w:firstLine="422"/>
        <w:jc w:val="left"/>
        <w:rPr>
          <w:rFonts w:ascii="宋体" w:hAnsi="宋体"/>
          <w:kern w:val="44"/>
        </w:rPr>
      </w:pPr>
      <w:r>
        <w:rPr>
          <w:rFonts w:hint="eastAsia" w:ascii="宋体" w:hAnsi="宋体"/>
          <w:b/>
          <w:kern w:val="44"/>
        </w:rPr>
        <w:t>第二十五条</w:t>
      </w:r>
      <w:r>
        <w:rPr>
          <w:rFonts w:hint="eastAsia" w:ascii="宋体" w:hAnsi="宋体"/>
          <w:kern w:val="44"/>
        </w:rPr>
        <w:t>　在市人民代表大会闭会期间，市人大常委会组成人员、市长、副市长、市高级人民法院院长、市人民检察院检察长可以向市人大常委会提出辞职，由市人大常委会决定是否接受辞职，决定接受辞职的，报市人民代表大会备案。市人民检察院检察长的辞职，须报经最高人民检察院检察长提请全国人民代表大会常务委员会批准。</w:t>
      </w:r>
    </w:p>
    <w:p w14:paraId="0FF6DE12">
      <w:pPr>
        <w:jc w:val="left"/>
        <w:rPr>
          <w:rFonts w:ascii="宋体" w:hAnsi="宋体"/>
          <w:kern w:val="44"/>
        </w:rPr>
      </w:pPr>
      <w:r>
        <w:rPr>
          <w:rFonts w:hint="eastAsia" w:ascii="宋体" w:hAnsi="宋体"/>
          <w:kern w:val="44"/>
        </w:rPr>
        <w:t>市人大常委会任命的市国家机关其他工作人员提出的辞职请求，由市人大常委会决定是否接受辞职。</w:t>
      </w:r>
    </w:p>
    <w:p w14:paraId="3C4A0673">
      <w:pPr>
        <w:jc w:val="left"/>
        <w:rPr>
          <w:rFonts w:ascii="宋体" w:hAnsi="宋体"/>
          <w:kern w:val="44"/>
        </w:rPr>
      </w:pPr>
      <w:r>
        <w:rPr>
          <w:rFonts w:hint="eastAsia" w:ascii="宋体" w:hAnsi="宋体"/>
          <w:kern w:val="44"/>
        </w:rPr>
        <w:t>市人大常委会组成人员不得担任国家行政机关、审判机关和检察机关的职务；如果担任上述职务，必须向市人大常委会辞去市人大常委会的职务。</w:t>
      </w:r>
    </w:p>
    <w:p w14:paraId="5650AFC9">
      <w:pPr>
        <w:jc w:val="left"/>
        <w:rPr>
          <w:rFonts w:ascii="宋体" w:hAnsi="宋体"/>
          <w:kern w:val="44"/>
        </w:rPr>
      </w:pPr>
      <w:r>
        <w:rPr>
          <w:rFonts w:hint="eastAsia" w:ascii="宋体" w:hAnsi="宋体"/>
          <w:kern w:val="44"/>
        </w:rPr>
        <w:t>辞职请求以书面的形式提出。</w:t>
      </w:r>
    </w:p>
    <w:p w14:paraId="13A6D4E6">
      <w:pPr>
        <w:jc w:val="left"/>
        <w:rPr>
          <w:rFonts w:ascii="宋体" w:hAnsi="宋体"/>
          <w:kern w:val="44"/>
        </w:rPr>
      </w:pPr>
      <w:r>
        <w:rPr>
          <w:rFonts w:hint="eastAsia" w:ascii="宋体" w:hAnsi="宋体"/>
          <w:kern w:val="44"/>
        </w:rPr>
        <w:t>市人大常委会会议对市国家机关工作人员的辞职进行表决，采用按表决器的方式，依照本条例第十六条、第二十条的规定办理。</w:t>
      </w:r>
    </w:p>
    <w:p w14:paraId="76E88029">
      <w:pPr>
        <w:ind w:firstLine="422"/>
        <w:jc w:val="left"/>
        <w:rPr>
          <w:rFonts w:ascii="宋体" w:hAnsi="宋体"/>
          <w:kern w:val="44"/>
        </w:rPr>
      </w:pPr>
      <w:r>
        <w:rPr>
          <w:rFonts w:hint="eastAsia" w:ascii="宋体" w:hAnsi="宋体"/>
          <w:b/>
          <w:kern w:val="44"/>
        </w:rPr>
        <w:t>第二十六条</w:t>
      </w:r>
      <w:r>
        <w:rPr>
          <w:rFonts w:hint="eastAsia" w:ascii="宋体" w:hAnsi="宋体"/>
          <w:kern w:val="44"/>
        </w:rPr>
        <w:t>　市人大常委会组成人员和市人民代表大会专门委员会成员的市人大代表资格终止的，其担任的市人大常委会和专门委员会的职务相应撤销或者相应终止，由市人大常委会予以公告。</w:t>
      </w:r>
    </w:p>
    <w:p w14:paraId="217D41EC">
      <w:pPr>
        <w:ind w:firstLine="422"/>
        <w:jc w:val="left"/>
        <w:rPr>
          <w:rFonts w:ascii="宋体" w:hAnsi="宋体"/>
          <w:kern w:val="44"/>
        </w:rPr>
      </w:pPr>
      <w:r>
        <w:rPr>
          <w:rFonts w:hint="eastAsia" w:ascii="宋体" w:hAnsi="宋体"/>
          <w:b/>
          <w:kern w:val="44"/>
        </w:rPr>
        <w:t>第二十七条</w:t>
      </w:r>
      <w:r>
        <w:rPr>
          <w:rFonts w:hint="eastAsia" w:ascii="宋体" w:hAnsi="宋体"/>
          <w:kern w:val="44"/>
        </w:rPr>
        <w:t>　市人大常委会可以撤销由市人大常委会任命的下列本市国家机关工作人员的职务：</w:t>
      </w:r>
    </w:p>
    <w:p w14:paraId="53E7752C">
      <w:pPr>
        <w:jc w:val="left"/>
        <w:rPr>
          <w:rFonts w:ascii="宋体" w:hAnsi="宋体"/>
          <w:kern w:val="44"/>
        </w:rPr>
      </w:pPr>
      <w:r>
        <w:rPr>
          <w:rFonts w:hint="eastAsia" w:ascii="宋体" w:hAnsi="宋体"/>
          <w:kern w:val="44"/>
        </w:rPr>
        <w:t>（一）市人大常委会民法副秘书长和各工作机构主任、副主任。</w:t>
      </w:r>
    </w:p>
    <w:p w14:paraId="45EB5A37">
      <w:pPr>
        <w:jc w:val="left"/>
        <w:rPr>
          <w:rFonts w:ascii="宋体" w:hAnsi="宋体"/>
          <w:kern w:val="44"/>
        </w:rPr>
      </w:pPr>
      <w:r>
        <w:rPr>
          <w:rFonts w:hint="eastAsia" w:ascii="宋体" w:hAnsi="宋体"/>
          <w:kern w:val="44"/>
        </w:rPr>
        <w:t>（二）市人民政府个别副市长和秘书长，市人民政府组成部门的局长、主任。</w:t>
      </w:r>
    </w:p>
    <w:p w14:paraId="4D6B25C5">
      <w:pPr>
        <w:jc w:val="left"/>
        <w:rPr>
          <w:rFonts w:ascii="宋体" w:hAnsi="宋体"/>
          <w:kern w:val="44"/>
        </w:rPr>
      </w:pPr>
      <w:r>
        <w:rPr>
          <w:rFonts w:hint="eastAsia" w:ascii="宋体" w:hAnsi="宋体"/>
          <w:kern w:val="44"/>
        </w:rPr>
        <w:t>（三）市高级人民法院和市各中级人民法院副院长、审判委员会委员、庭长、副庭长、审判员，市各中级人院院长。</w:t>
      </w:r>
    </w:p>
    <w:p w14:paraId="17768365">
      <w:pPr>
        <w:jc w:val="left"/>
        <w:rPr>
          <w:rFonts w:ascii="宋体" w:hAnsi="宋体"/>
          <w:kern w:val="44"/>
        </w:rPr>
      </w:pPr>
      <w:r>
        <w:rPr>
          <w:rFonts w:hint="eastAsia" w:ascii="宋体" w:hAnsi="宋体"/>
          <w:kern w:val="44"/>
        </w:rPr>
        <w:t>在市人民代表大会闭会期间，市人大常委会认为市高级人民法院院长需要撤换，须报请最高人民法院报经全国人民代表大会常务委员会批准。</w:t>
      </w:r>
    </w:p>
    <w:p w14:paraId="45DC124A">
      <w:pPr>
        <w:jc w:val="left"/>
        <w:rPr>
          <w:rFonts w:ascii="宋体" w:hAnsi="宋体"/>
          <w:kern w:val="44"/>
        </w:rPr>
      </w:pPr>
      <w:r>
        <w:rPr>
          <w:rFonts w:hint="eastAsia" w:ascii="宋体" w:hAnsi="宋体"/>
          <w:kern w:val="44"/>
        </w:rPr>
        <w:t>在本市区、县人民代表大会闭会期间，根据区、县人大常委会的决定和市高级人民法院的提请，批准撤换本市区、县人民法院院长。</w:t>
      </w:r>
    </w:p>
    <w:p w14:paraId="42A9533B">
      <w:pPr>
        <w:jc w:val="left"/>
        <w:rPr>
          <w:rFonts w:ascii="宋体" w:hAnsi="宋体"/>
          <w:kern w:val="44"/>
        </w:rPr>
      </w:pPr>
      <w:r>
        <w:rPr>
          <w:rFonts w:hint="eastAsia" w:ascii="宋体" w:hAnsi="宋体"/>
          <w:kern w:val="44"/>
        </w:rPr>
        <w:t>（四）市人民检察院和市人民检察院各分院副检察长、检察委员会委员、检察员，市人民检察院各分院检察长。</w:t>
      </w:r>
    </w:p>
    <w:p w14:paraId="62C4199C">
      <w:pPr>
        <w:jc w:val="left"/>
        <w:rPr>
          <w:rFonts w:ascii="宋体" w:hAnsi="宋体"/>
          <w:kern w:val="44"/>
        </w:rPr>
      </w:pPr>
      <w:r>
        <w:rPr>
          <w:rFonts w:hint="eastAsia" w:ascii="宋体" w:hAnsi="宋体"/>
          <w:kern w:val="44"/>
        </w:rPr>
        <w:t>根据市人民检察院检察长的建议，撤换本市各区、县人民检察院检察长、副检察长、检察委员会委员。</w:t>
      </w:r>
    </w:p>
    <w:p w14:paraId="1126C878">
      <w:pPr>
        <w:ind w:firstLine="422"/>
        <w:jc w:val="left"/>
        <w:rPr>
          <w:rFonts w:ascii="宋体" w:hAnsi="宋体"/>
          <w:kern w:val="44"/>
        </w:rPr>
      </w:pPr>
      <w:r>
        <w:rPr>
          <w:rFonts w:hint="eastAsia" w:ascii="宋体" w:hAnsi="宋体"/>
          <w:b/>
          <w:kern w:val="44"/>
        </w:rPr>
        <w:t>第二十八条</w:t>
      </w:r>
      <w:r>
        <w:rPr>
          <w:rFonts w:hint="eastAsia" w:ascii="宋体" w:hAnsi="宋体"/>
          <w:kern w:val="44"/>
        </w:rPr>
        <w:t>　市人大常委会主任会议、市人大常委会五分之一以上的组成人员书面联名，可以向市人大常委会提出属于市人大常委会权限范围内的撤职案。</w:t>
      </w:r>
    </w:p>
    <w:p w14:paraId="0EE2E7D0">
      <w:pPr>
        <w:jc w:val="left"/>
        <w:rPr>
          <w:rFonts w:ascii="宋体" w:hAnsi="宋体"/>
          <w:kern w:val="44"/>
        </w:rPr>
      </w:pPr>
      <w:r>
        <w:rPr>
          <w:rFonts w:hint="eastAsia" w:ascii="宋体" w:hAnsi="宋体"/>
          <w:kern w:val="44"/>
        </w:rPr>
        <w:t>市人民政府、市高级人民法院、市人民检察院可以向市人大常委会提出属于市人大常委会权限范围内的本机关工作人员的撤职案，分别由市长、市高级人民法院院长、市人民检察院检察长签署提出。</w:t>
      </w:r>
    </w:p>
    <w:p w14:paraId="5DB4FC8B">
      <w:pPr>
        <w:jc w:val="left"/>
        <w:rPr>
          <w:rFonts w:ascii="宋体" w:hAnsi="宋体"/>
          <w:kern w:val="44"/>
        </w:rPr>
      </w:pPr>
      <w:r>
        <w:rPr>
          <w:rFonts w:hint="eastAsia" w:ascii="宋体" w:hAnsi="宋体"/>
          <w:kern w:val="44"/>
        </w:rPr>
        <w:t>提出的撤职案，应当写明撤职理由。</w:t>
      </w:r>
    </w:p>
    <w:p w14:paraId="1E3AB82A">
      <w:pPr>
        <w:ind w:firstLine="422"/>
        <w:jc w:val="left"/>
        <w:rPr>
          <w:rFonts w:ascii="宋体" w:hAnsi="宋体"/>
          <w:kern w:val="44"/>
        </w:rPr>
      </w:pPr>
      <w:r>
        <w:rPr>
          <w:rFonts w:hint="eastAsia" w:ascii="宋体" w:hAnsi="宋体"/>
          <w:b/>
          <w:kern w:val="44"/>
        </w:rPr>
        <w:t>第二十九条</w:t>
      </w:r>
      <w:r>
        <w:rPr>
          <w:rFonts w:hint="eastAsia" w:ascii="宋体" w:hAnsi="宋体"/>
          <w:kern w:val="44"/>
        </w:rPr>
        <w:t>　市人大常委会主任会议提出的撤职案，直接提请市人大常委会会议审议。</w:t>
      </w:r>
    </w:p>
    <w:p w14:paraId="486D4FD7">
      <w:pPr>
        <w:jc w:val="left"/>
        <w:rPr>
          <w:rFonts w:ascii="宋体" w:hAnsi="宋体"/>
          <w:kern w:val="44"/>
        </w:rPr>
      </w:pPr>
      <w:r>
        <w:rPr>
          <w:rFonts w:hint="eastAsia" w:ascii="宋体" w:hAnsi="宋体"/>
          <w:kern w:val="44"/>
        </w:rPr>
        <w:t>市人民政府、市高级人民法院、市人民检察院提出的撤职案，由市人大常委会主任会议决定提请市人大常委会会议审议。</w:t>
      </w:r>
    </w:p>
    <w:p w14:paraId="539BF293">
      <w:pPr>
        <w:jc w:val="left"/>
        <w:rPr>
          <w:rFonts w:ascii="宋体" w:hAnsi="宋体"/>
          <w:kern w:val="44"/>
        </w:rPr>
      </w:pPr>
      <w:r>
        <w:rPr>
          <w:rFonts w:hint="eastAsia" w:ascii="宋体" w:hAnsi="宋体"/>
          <w:kern w:val="44"/>
        </w:rPr>
        <w:t>市人大常委会五分之一以上组成人员联名提出的撤职案，由市人大常委会主任会议决定是否提请市人大常委会会议审议。</w:t>
      </w:r>
    </w:p>
    <w:p w14:paraId="3A687788">
      <w:pPr>
        <w:ind w:firstLine="422"/>
        <w:jc w:val="left"/>
        <w:rPr>
          <w:rFonts w:ascii="宋体" w:hAnsi="宋体"/>
          <w:kern w:val="44"/>
        </w:rPr>
      </w:pPr>
      <w:r>
        <w:rPr>
          <w:rFonts w:hint="eastAsia" w:ascii="宋体" w:hAnsi="宋体"/>
          <w:b/>
          <w:kern w:val="44"/>
        </w:rPr>
        <w:t>第三十条</w:t>
      </w:r>
      <w:r>
        <w:rPr>
          <w:rFonts w:hint="eastAsia" w:ascii="宋体" w:hAnsi="宋体"/>
          <w:kern w:val="44"/>
        </w:rPr>
        <w:t xml:space="preserve">  市人大常委会会议审议撤职案时，提案人应当到会说明理由，回答问题。</w:t>
      </w:r>
    </w:p>
    <w:p w14:paraId="3CBA7E2D">
      <w:pPr>
        <w:jc w:val="left"/>
        <w:rPr>
          <w:rFonts w:ascii="宋体" w:hAnsi="宋体"/>
          <w:kern w:val="44"/>
        </w:rPr>
      </w:pPr>
      <w:r>
        <w:rPr>
          <w:rFonts w:hint="eastAsia" w:ascii="宋体" w:hAnsi="宋体"/>
          <w:kern w:val="44"/>
        </w:rPr>
        <w:t>被提名撤销职务的人员有权提出申诉意见。</w:t>
      </w:r>
    </w:p>
    <w:p w14:paraId="51EFB86D">
      <w:pPr>
        <w:jc w:val="left"/>
        <w:rPr>
          <w:rFonts w:ascii="宋体" w:hAnsi="宋体"/>
          <w:kern w:val="44"/>
        </w:rPr>
      </w:pPr>
      <w:r>
        <w:rPr>
          <w:rFonts w:hint="eastAsia" w:ascii="宋体" w:hAnsi="宋体"/>
          <w:kern w:val="44"/>
        </w:rPr>
        <w:t>市人大常委会会议对撤职案进行表决，采用无记名投票的方式，依照本条例第十六条、第二十条的规定办理。</w:t>
      </w:r>
    </w:p>
    <w:p w14:paraId="35A1E06A">
      <w:pPr>
        <w:jc w:val="left"/>
        <w:rPr>
          <w:rFonts w:ascii="宋体" w:hAnsi="宋体"/>
          <w:kern w:val="44"/>
        </w:rPr>
      </w:pPr>
    </w:p>
    <w:p w14:paraId="56E40349">
      <w:pPr>
        <w:ind w:firstLine="0" w:firstLineChars="0"/>
        <w:jc w:val="center"/>
        <w:rPr>
          <w:rFonts w:ascii="宋体" w:hAnsi="宋体"/>
          <w:b/>
          <w:kern w:val="44"/>
          <w:sz w:val="28"/>
        </w:rPr>
      </w:pPr>
      <w:r>
        <w:rPr>
          <w:rFonts w:hint="eastAsia" w:ascii="宋体" w:hAnsi="宋体"/>
          <w:b/>
          <w:kern w:val="44"/>
          <w:sz w:val="28"/>
        </w:rPr>
        <w:t>第五章　附　则</w:t>
      </w:r>
    </w:p>
    <w:p w14:paraId="23034AC9">
      <w:pPr>
        <w:jc w:val="left"/>
        <w:rPr>
          <w:rFonts w:ascii="宋体" w:hAnsi="宋体"/>
          <w:kern w:val="44"/>
        </w:rPr>
      </w:pPr>
    </w:p>
    <w:p w14:paraId="1D393AF5">
      <w:pPr>
        <w:ind w:firstLine="422"/>
        <w:jc w:val="left"/>
        <w:rPr>
          <w:rFonts w:ascii="宋体" w:hAnsi="宋体"/>
          <w:kern w:val="44"/>
        </w:rPr>
      </w:pPr>
      <w:r>
        <w:rPr>
          <w:rFonts w:hint="eastAsia" w:ascii="宋体" w:hAnsi="宋体"/>
          <w:b/>
          <w:kern w:val="44"/>
        </w:rPr>
        <w:t>第三十一条</w:t>
      </w:r>
      <w:r>
        <w:rPr>
          <w:rFonts w:hint="eastAsia" w:ascii="宋体" w:hAnsi="宋体"/>
          <w:kern w:val="44"/>
        </w:rPr>
        <w:t>　本条例由市人大常委会负责解释。</w:t>
      </w:r>
    </w:p>
    <w:p w14:paraId="19AF14D7">
      <w:pPr>
        <w:ind w:firstLine="422"/>
        <w:jc w:val="left"/>
        <w:rPr>
          <w:rFonts w:ascii="宋体" w:hAnsi="宋体"/>
          <w:kern w:val="44"/>
        </w:rPr>
      </w:pPr>
      <w:r>
        <w:rPr>
          <w:rFonts w:hint="eastAsia" w:ascii="宋体" w:hAnsi="宋体"/>
          <w:b/>
          <w:kern w:val="44"/>
        </w:rPr>
        <w:t>第三十二条</w:t>
      </w:r>
      <w:r>
        <w:rPr>
          <w:rFonts w:hint="eastAsia" w:ascii="宋体" w:hAnsi="宋体"/>
          <w:kern w:val="44"/>
        </w:rPr>
        <w:t>　本条例自公布之日起施行。</w:t>
      </w:r>
    </w:p>
    <w:p w14:paraId="469B4D12">
      <w:pPr>
        <w:pStyle w:val="4"/>
        <w:pageBreakBefore/>
        <w:rPr>
          <w:kern w:val="44"/>
        </w:rPr>
      </w:pPr>
      <w:bookmarkStart w:id="124" w:name="_Toc427651388"/>
      <w:bookmarkStart w:id="125" w:name="_Toc428781436"/>
      <w:bookmarkStart w:id="126" w:name="_Toc427651730"/>
      <w:bookmarkStart w:id="127" w:name="_Toc422471068"/>
      <w:bookmarkStart w:id="128" w:name="_Toc428779954"/>
      <w:r>
        <w:rPr>
          <w:rFonts w:hint="eastAsia"/>
          <w:kern w:val="44"/>
        </w:rPr>
        <w:t>北京市各级人民代表大会常务委员会</w:t>
      </w:r>
      <w:bookmarkEnd w:id="124"/>
      <w:bookmarkEnd w:id="125"/>
      <w:bookmarkEnd w:id="126"/>
      <w:bookmarkEnd w:id="127"/>
      <w:bookmarkEnd w:id="128"/>
    </w:p>
    <w:p w14:paraId="7312B70B">
      <w:pPr>
        <w:pStyle w:val="4"/>
        <w:rPr>
          <w:kern w:val="44"/>
        </w:rPr>
      </w:pPr>
      <w:bookmarkStart w:id="129" w:name="_Toc428781437"/>
      <w:bookmarkStart w:id="130" w:name="_Toc428779955"/>
      <w:bookmarkStart w:id="131" w:name="_Toc422471069"/>
      <w:bookmarkStart w:id="132" w:name="_Toc427651389"/>
      <w:bookmarkStart w:id="133" w:name="_Toc427651731"/>
      <w:r>
        <w:rPr>
          <w:rFonts w:hint="eastAsia"/>
          <w:kern w:val="44"/>
        </w:rPr>
        <w:t>检查法律法规实施情况办法</w:t>
      </w:r>
      <w:bookmarkEnd w:id="129"/>
      <w:bookmarkEnd w:id="130"/>
      <w:bookmarkEnd w:id="131"/>
      <w:bookmarkEnd w:id="132"/>
      <w:bookmarkEnd w:id="133"/>
    </w:p>
    <w:p w14:paraId="0795DB9F">
      <w:pPr>
        <w:ind w:left="630" w:leftChars="300" w:right="630" w:rightChars="300"/>
        <w:jc w:val="left"/>
        <w:rPr>
          <w:rFonts w:ascii="楷体" w:hAnsi="楷体" w:eastAsia="楷体"/>
          <w:kern w:val="44"/>
        </w:rPr>
      </w:pPr>
      <w:r>
        <w:rPr>
          <w:rFonts w:hint="eastAsia" w:ascii="楷体" w:hAnsi="楷体" w:eastAsia="楷体"/>
          <w:kern w:val="44"/>
        </w:rPr>
        <w:t>（2007年11月30日北京市第十二届人民代表大会常务委员会第四十次会议通过）</w:t>
      </w:r>
    </w:p>
    <w:p w14:paraId="284F4B84">
      <w:pPr>
        <w:jc w:val="left"/>
        <w:rPr>
          <w:rFonts w:ascii="宋体" w:hAnsi="宋体"/>
          <w:kern w:val="44"/>
        </w:rPr>
      </w:pPr>
    </w:p>
    <w:p w14:paraId="17072728">
      <w:pPr>
        <w:ind w:firstLine="422"/>
        <w:jc w:val="left"/>
        <w:rPr>
          <w:rFonts w:ascii="宋体" w:hAnsi="宋体"/>
          <w:kern w:val="44"/>
        </w:rPr>
      </w:pPr>
      <w:r>
        <w:rPr>
          <w:rFonts w:hint="eastAsia" w:ascii="宋体" w:hAnsi="宋体"/>
          <w:b/>
          <w:kern w:val="44"/>
        </w:rPr>
        <w:t>第一条</w:t>
      </w:r>
      <w:r>
        <w:rPr>
          <w:rFonts w:hint="eastAsia" w:ascii="宋体" w:hAnsi="宋体"/>
          <w:kern w:val="44"/>
        </w:rPr>
        <w:t xml:space="preserve">  为了保证法律、法规在本行政区域内的实施，增强监督工作实效，根据《中华人民共和国各级人民代表大会常务委员会监督法》，结合本市实际，制定本办法。</w:t>
      </w:r>
    </w:p>
    <w:p w14:paraId="39127E8F">
      <w:pPr>
        <w:ind w:firstLine="422"/>
        <w:jc w:val="left"/>
        <w:rPr>
          <w:rFonts w:ascii="宋体" w:hAnsi="宋体"/>
          <w:kern w:val="44"/>
        </w:rPr>
      </w:pPr>
      <w:r>
        <w:rPr>
          <w:rFonts w:hint="eastAsia" w:ascii="宋体" w:hAnsi="宋体"/>
          <w:b/>
          <w:kern w:val="44"/>
        </w:rPr>
        <w:t>第二条</w:t>
      </w:r>
      <w:r>
        <w:rPr>
          <w:rFonts w:hint="eastAsia" w:ascii="宋体" w:hAnsi="宋体"/>
          <w:kern w:val="44"/>
        </w:rPr>
        <w:t>　市和区、县人民代表大会常务委员会（以下简称常务委员会）每年选择若干关系本行政区域改革发展稳定大局和群众切身利益、社会普遍关注的重大问题，有计划地对法律、法规的实施情况组织执法检查。</w:t>
      </w:r>
    </w:p>
    <w:p w14:paraId="54B6B36B">
      <w:pPr>
        <w:ind w:firstLine="422"/>
        <w:jc w:val="left"/>
        <w:rPr>
          <w:rFonts w:ascii="宋体" w:hAnsi="宋体"/>
          <w:kern w:val="44"/>
        </w:rPr>
      </w:pPr>
      <w:r>
        <w:rPr>
          <w:rFonts w:hint="eastAsia" w:ascii="宋体" w:hAnsi="宋体"/>
          <w:b/>
          <w:kern w:val="44"/>
        </w:rPr>
        <w:t>第三条</w:t>
      </w:r>
      <w:r>
        <w:rPr>
          <w:rFonts w:hint="eastAsia" w:ascii="宋体" w:hAnsi="宋体"/>
          <w:kern w:val="44"/>
        </w:rPr>
        <w:t>　常务委员会执法检查的议题建议，由人民代表大会专门委员会（以下简称人大专门委员会）或者常务委员会工作机构，根据职责分工汇总整理，按照工作程序规定的时间提出：</w:t>
      </w:r>
    </w:p>
    <w:p w14:paraId="01A3461F">
      <w:pPr>
        <w:jc w:val="left"/>
        <w:rPr>
          <w:rFonts w:ascii="宋体" w:hAnsi="宋体"/>
          <w:kern w:val="44"/>
        </w:rPr>
      </w:pPr>
      <w:r>
        <w:rPr>
          <w:rFonts w:hint="eastAsia" w:ascii="宋体" w:hAnsi="宋体"/>
          <w:kern w:val="44"/>
        </w:rPr>
        <w:t>（一）常务委员会在行使职权过程中发现的法律、法规实施中存在的突出问题，由有关人大专门委员会或者常务委员会工作机构整理提出。</w:t>
      </w:r>
    </w:p>
    <w:p w14:paraId="0264604F">
      <w:pPr>
        <w:jc w:val="left"/>
        <w:rPr>
          <w:rFonts w:ascii="宋体" w:hAnsi="宋体"/>
          <w:kern w:val="44"/>
        </w:rPr>
      </w:pPr>
      <w:r>
        <w:rPr>
          <w:rFonts w:hint="eastAsia" w:ascii="宋体" w:hAnsi="宋体"/>
          <w:kern w:val="44"/>
        </w:rPr>
        <w:t>（二）本级人民代表大会代表（以下简称人大代表）对人民政府、人民法院和人民检察院（以下简称“一府两院”）工作提出的建议、批评和意见集中反映的问题，由常务委员会代表联络工作部门整理提出。</w:t>
      </w:r>
    </w:p>
    <w:p w14:paraId="5EB1E325">
      <w:pPr>
        <w:jc w:val="left"/>
        <w:rPr>
          <w:rFonts w:ascii="宋体" w:hAnsi="宋体"/>
          <w:kern w:val="44"/>
        </w:rPr>
      </w:pPr>
      <w:r>
        <w:rPr>
          <w:rFonts w:hint="eastAsia" w:ascii="宋体" w:hAnsi="宋体"/>
          <w:kern w:val="44"/>
        </w:rPr>
        <w:t>（三）常务委员会组成人员提出的比较集中的问题，由常务委员会办公厅（室）整理提出，常务委员会有关工作机构配合。</w:t>
      </w:r>
    </w:p>
    <w:p w14:paraId="0CD72929">
      <w:pPr>
        <w:jc w:val="left"/>
        <w:rPr>
          <w:rFonts w:ascii="宋体" w:hAnsi="宋体"/>
          <w:kern w:val="44"/>
        </w:rPr>
      </w:pPr>
      <w:r>
        <w:rPr>
          <w:rFonts w:hint="eastAsia" w:ascii="宋体" w:hAnsi="宋体"/>
          <w:kern w:val="44"/>
        </w:rPr>
        <w:t>（四）人大专门委员会或者常务委员会工作机构在调查研究中发现的突出问题，由开展该项调查研究工作的人大专门委员会或者常务委员会工作机构整理提出。</w:t>
      </w:r>
    </w:p>
    <w:p w14:paraId="23F952E8">
      <w:pPr>
        <w:jc w:val="left"/>
        <w:rPr>
          <w:rFonts w:ascii="宋体" w:hAnsi="宋体"/>
          <w:kern w:val="44"/>
        </w:rPr>
      </w:pPr>
      <w:r>
        <w:rPr>
          <w:rFonts w:hint="eastAsia" w:ascii="宋体" w:hAnsi="宋体"/>
          <w:kern w:val="44"/>
        </w:rPr>
        <w:t>（五）人民来信来访集中反映的问题，由常务委员会信访工作部门整理提出。</w:t>
      </w:r>
    </w:p>
    <w:p w14:paraId="67C227D8">
      <w:pPr>
        <w:jc w:val="left"/>
        <w:rPr>
          <w:rFonts w:ascii="宋体" w:hAnsi="宋体"/>
          <w:kern w:val="44"/>
        </w:rPr>
      </w:pPr>
      <w:r>
        <w:rPr>
          <w:rFonts w:hint="eastAsia" w:ascii="宋体" w:hAnsi="宋体"/>
          <w:kern w:val="44"/>
        </w:rPr>
        <w:t>（六）社会普遍关注的其他问题，由常务委员会办公厅（室）整理提出，常务委员会有关工作机构配合。</w:t>
      </w:r>
    </w:p>
    <w:p w14:paraId="5B2ECA5F">
      <w:pPr>
        <w:jc w:val="left"/>
        <w:rPr>
          <w:rFonts w:ascii="宋体" w:hAnsi="宋体"/>
          <w:kern w:val="44"/>
        </w:rPr>
      </w:pPr>
      <w:r>
        <w:rPr>
          <w:rFonts w:hint="eastAsia" w:ascii="宋体" w:hAnsi="宋体"/>
          <w:kern w:val="44"/>
        </w:rPr>
        <w:t>（七）</w:t>
      </w:r>
      <w:r>
        <w:rPr>
          <w:rFonts w:hint="eastAsia" w:ascii="宋体" w:hAnsi="宋体"/>
          <w:spacing w:val="20"/>
          <w:kern w:val="44"/>
        </w:rPr>
        <w:t>“</w:t>
      </w:r>
      <w:r>
        <w:rPr>
          <w:rFonts w:hint="eastAsia" w:ascii="宋体" w:hAnsi="宋体"/>
          <w:kern w:val="44"/>
        </w:rPr>
        <w:t>一府两院</w:t>
      </w:r>
      <w:r>
        <w:rPr>
          <w:rFonts w:hint="eastAsia" w:ascii="宋体" w:hAnsi="宋体"/>
          <w:spacing w:val="20"/>
          <w:kern w:val="44"/>
        </w:rPr>
        <w:t>”</w:t>
      </w:r>
      <w:r>
        <w:rPr>
          <w:rFonts w:hint="eastAsia" w:ascii="宋体" w:hAnsi="宋体"/>
          <w:kern w:val="44"/>
        </w:rPr>
        <w:t>可以向本级人民代表大会常务委员会书面提出执法检查项目的建议，由常务委员会办公厅（室）整理提出。s</w:t>
      </w:r>
    </w:p>
    <w:p w14:paraId="7A4C22DF">
      <w:pPr>
        <w:ind w:firstLine="422"/>
        <w:jc w:val="left"/>
        <w:rPr>
          <w:rFonts w:ascii="宋体" w:hAnsi="宋体"/>
          <w:kern w:val="44"/>
        </w:rPr>
      </w:pPr>
      <w:r>
        <w:rPr>
          <w:rFonts w:hint="eastAsia" w:ascii="宋体" w:hAnsi="宋体"/>
          <w:b/>
          <w:kern w:val="44"/>
        </w:rPr>
        <w:t>第四条</w:t>
      </w:r>
      <w:r>
        <w:rPr>
          <w:rFonts w:hint="eastAsia" w:ascii="宋体" w:hAnsi="宋体"/>
          <w:kern w:val="44"/>
        </w:rPr>
        <w:t>　常务委员会办公厅（室）负责汇总各人大专门委员会、常务委员会工作机构以及其他有关方面提出的执法检查议题建议，与“一府两院”沟通协调，提出常务委员会年度执法检查计划建议。年度计划建议应当包括执法检查的项目、理由、重点、时间安排和具体组织实施的有关人大专门委员会或者常务委员会工作机构等。</w:t>
      </w:r>
    </w:p>
    <w:p w14:paraId="70DF64D7">
      <w:pPr>
        <w:ind w:firstLine="422"/>
        <w:jc w:val="left"/>
        <w:rPr>
          <w:rFonts w:ascii="宋体" w:hAnsi="宋体"/>
          <w:kern w:val="44"/>
        </w:rPr>
      </w:pPr>
      <w:r>
        <w:rPr>
          <w:rFonts w:hint="eastAsia" w:ascii="宋体" w:hAnsi="宋体"/>
          <w:b/>
          <w:kern w:val="44"/>
        </w:rPr>
        <w:t>第五条</w:t>
      </w:r>
      <w:r>
        <w:rPr>
          <w:rFonts w:hint="eastAsia" w:ascii="宋体" w:hAnsi="宋体"/>
          <w:kern w:val="44"/>
        </w:rPr>
        <w:t>　常务委员会年度执法检查计划，经常务委员会主任会议（以下简称主任会议）通过，由常务委员会有关工作机构印发常务委员会组成人员，通报本级人大代表，以书面形式通知本级“一府两院”，并通过常务委员会门户网站和其他新闻媒体向社会公布。</w:t>
      </w:r>
    </w:p>
    <w:p w14:paraId="22A42EC4">
      <w:pPr>
        <w:ind w:firstLine="422"/>
        <w:jc w:val="left"/>
        <w:rPr>
          <w:rFonts w:ascii="宋体" w:hAnsi="宋体"/>
          <w:kern w:val="44"/>
        </w:rPr>
      </w:pPr>
      <w:r>
        <w:rPr>
          <w:rFonts w:hint="eastAsia" w:ascii="宋体" w:hAnsi="宋体"/>
          <w:b/>
          <w:kern w:val="44"/>
        </w:rPr>
        <w:t>第六条</w:t>
      </w:r>
      <w:r>
        <w:rPr>
          <w:rFonts w:hint="eastAsia" w:ascii="宋体" w:hAnsi="宋体"/>
          <w:kern w:val="44"/>
        </w:rPr>
        <w:t>　主任会议根据实际需要或者“一府两院”的要求，可以适当调整年度执法检查计划，并由常务委员会办公厅（室）及时通知“一府两院”办事机构。</w:t>
      </w:r>
    </w:p>
    <w:p w14:paraId="7C43B782">
      <w:pPr>
        <w:ind w:firstLine="422"/>
        <w:jc w:val="left"/>
        <w:rPr>
          <w:rFonts w:ascii="宋体" w:hAnsi="宋体"/>
          <w:kern w:val="44"/>
        </w:rPr>
      </w:pPr>
      <w:r>
        <w:rPr>
          <w:rFonts w:hint="eastAsia" w:ascii="宋体" w:hAnsi="宋体"/>
          <w:b/>
          <w:kern w:val="44"/>
        </w:rPr>
        <w:t>第七条</w:t>
      </w:r>
      <w:r>
        <w:rPr>
          <w:rFonts w:hint="eastAsia" w:ascii="宋体" w:hAnsi="宋体"/>
          <w:kern w:val="44"/>
        </w:rPr>
        <w:t>　常务委员会执法检查工作由本级有关人大专门委员会或者常务委员会工作机构具体组织实施。</w:t>
      </w:r>
    </w:p>
    <w:p w14:paraId="758F56A8">
      <w:pPr>
        <w:jc w:val="left"/>
        <w:rPr>
          <w:rFonts w:ascii="宋体" w:hAnsi="宋体"/>
          <w:kern w:val="44"/>
        </w:rPr>
      </w:pPr>
      <w:r>
        <w:rPr>
          <w:rFonts w:hint="eastAsia" w:ascii="宋体" w:hAnsi="宋体"/>
          <w:kern w:val="44"/>
        </w:rPr>
        <w:t>常务委员会根据年度执法检查计划，按照精干、效能、便于活动的原则，组织执法检查组。</w:t>
      </w:r>
    </w:p>
    <w:p w14:paraId="35AE678A">
      <w:pPr>
        <w:jc w:val="left"/>
        <w:rPr>
          <w:rFonts w:ascii="宋体" w:hAnsi="宋体"/>
          <w:kern w:val="44"/>
        </w:rPr>
      </w:pPr>
      <w:r>
        <w:rPr>
          <w:rFonts w:hint="eastAsia" w:ascii="宋体" w:hAnsi="宋体"/>
          <w:kern w:val="44"/>
        </w:rPr>
        <w:t>执法检查组的组成人员，从本级人民代表大会常务委员会组成人员以及本级人大专门（工作）委员会组成人员中确定，并可以邀请本级人大代表参加。</w:t>
      </w:r>
    </w:p>
    <w:p w14:paraId="045BFD05">
      <w:pPr>
        <w:ind w:firstLine="422"/>
        <w:jc w:val="left"/>
        <w:rPr>
          <w:rFonts w:ascii="宋体" w:hAnsi="宋体"/>
          <w:kern w:val="44"/>
        </w:rPr>
      </w:pPr>
      <w:r>
        <w:rPr>
          <w:rFonts w:hint="eastAsia" w:ascii="宋体" w:hAnsi="宋体"/>
          <w:b/>
          <w:kern w:val="44"/>
        </w:rPr>
        <w:t>第八条</w:t>
      </w:r>
      <w:r>
        <w:rPr>
          <w:rFonts w:hint="eastAsia" w:ascii="宋体" w:hAnsi="宋体"/>
          <w:kern w:val="44"/>
        </w:rPr>
        <w:t>　执法检查组应当制定执法检查的具体方案。方案应当包括检查的重点内容，检查的时间、方法和步骤，以及具体组织实施的有关人大专门委员会或者常务委员会工作机构等。方案经主任会议讨论通过后组织实施。</w:t>
      </w:r>
    </w:p>
    <w:p w14:paraId="5E7B57CC">
      <w:pPr>
        <w:ind w:firstLine="422"/>
        <w:jc w:val="left"/>
        <w:rPr>
          <w:rFonts w:ascii="宋体" w:hAnsi="宋体"/>
          <w:kern w:val="44"/>
        </w:rPr>
      </w:pPr>
      <w:r>
        <w:rPr>
          <w:rFonts w:hint="eastAsia" w:ascii="宋体" w:hAnsi="宋体"/>
          <w:b/>
          <w:kern w:val="44"/>
        </w:rPr>
        <w:t>第九条</w:t>
      </w:r>
      <w:r>
        <w:rPr>
          <w:rFonts w:hint="eastAsia" w:ascii="宋体" w:hAnsi="宋体"/>
          <w:kern w:val="44"/>
        </w:rPr>
        <w:t>　执法检查组可以分若干小组，围绕有关主题，分别开展执法检查工作。</w:t>
      </w:r>
    </w:p>
    <w:p w14:paraId="03082283">
      <w:pPr>
        <w:jc w:val="left"/>
        <w:rPr>
          <w:rFonts w:ascii="宋体" w:hAnsi="宋体"/>
          <w:kern w:val="44"/>
        </w:rPr>
      </w:pPr>
      <w:r>
        <w:rPr>
          <w:rFonts w:hint="eastAsia" w:ascii="宋体" w:hAnsi="宋体"/>
          <w:kern w:val="44"/>
        </w:rPr>
        <w:t>执法检查组全体会议听取法律、法规实施主管机关关于法律、法规实施情况的汇报，全面了解执法情况。</w:t>
      </w:r>
    </w:p>
    <w:p w14:paraId="4F35A8F0">
      <w:pPr>
        <w:jc w:val="left"/>
        <w:rPr>
          <w:rFonts w:ascii="宋体" w:hAnsi="宋体"/>
          <w:kern w:val="44"/>
        </w:rPr>
      </w:pPr>
      <w:r>
        <w:rPr>
          <w:rFonts w:hint="eastAsia" w:ascii="宋体" w:hAnsi="宋体"/>
          <w:kern w:val="44"/>
        </w:rPr>
        <w:t>执法检查组应当加强信息收集和整理，采取多种方式，了解法律、法规实施的实际情况，研究法律、法规实施中存在的问题。必要时，可以委托有关机构进行调查并出具报告。</w:t>
      </w:r>
    </w:p>
    <w:p w14:paraId="3698D99D">
      <w:pPr>
        <w:ind w:firstLine="422"/>
        <w:jc w:val="left"/>
        <w:rPr>
          <w:rFonts w:ascii="宋体" w:hAnsi="宋体"/>
          <w:kern w:val="44"/>
        </w:rPr>
      </w:pPr>
      <w:r>
        <w:rPr>
          <w:rFonts w:hint="eastAsia" w:ascii="宋体" w:hAnsi="宋体"/>
          <w:b/>
          <w:kern w:val="44"/>
        </w:rPr>
        <w:t>第十条</w:t>
      </w:r>
      <w:r>
        <w:rPr>
          <w:rFonts w:hint="eastAsia" w:ascii="宋体" w:hAnsi="宋体"/>
          <w:kern w:val="44"/>
        </w:rPr>
        <w:t>　“一府两院”以及相关单位应当按照常务委员会的工作程序，协助、配合执法检查组的工作。</w:t>
      </w:r>
    </w:p>
    <w:p w14:paraId="429B91FB">
      <w:pPr>
        <w:ind w:firstLine="422"/>
        <w:jc w:val="left"/>
        <w:rPr>
          <w:rFonts w:ascii="宋体" w:hAnsi="宋体"/>
          <w:kern w:val="44"/>
        </w:rPr>
      </w:pPr>
      <w:r>
        <w:rPr>
          <w:rFonts w:hint="eastAsia" w:ascii="宋体" w:hAnsi="宋体"/>
          <w:b/>
          <w:kern w:val="44"/>
        </w:rPr>
        <w:t>第十一条</w:t>
      </w:r>
      <w:r>
        <w:rPr>
          <w:rFonts w:hint="eastAsia" w:ascii="宋体" w:hAnsi="宋体"/>
          <w:kern w:val="44"/>
        </w:rPr>
        <w:t>　执法检查组不直接处理具体问题。</w:t>
      </w:r>
    </w:p>
    <w:p w14:paraId="0253D2BF">
      <w:pPr>
        <w:jc w:val="left"/>
        <w:rPr>
          <w:rFonts w:ascii="宋体" w:hAnsi="宋体"/>
          <w:kern w:val="44"/>
        </w:rPr>
      </w:pPr>
      <w:r>
        <w:rPr>
          <w:rFonts w:hint="eastAsia" w:ascii="宋体" w:hAnsi="宋体"/>
          <w:kern w:val="44"/>
        </w:rPr>
        <w:t>执法检查中发现的具体案件和收到的群众来信，执法检查组应当转交常务委员会信访工作部门，由其统一转交有关部门研究处理。</w:t>
      </w:r>
    </w:p>
    <w:p w14:paraId="35482FDF">
      <w:pPr>
        <w:ind w:firstLine="422"/>
        <w:jc w:val="left"/>
        <w:rPr>
          <w:rFonts w:ascii="宋体" w:hAnsi="宋体"/>
          <w:kern w:val="44"/>
        </w:rPr>
      </w:pPr>
      <w:r>
        <w:rPr>
          <w:rFonts w:hint="eastAsia" w:ascii="宋体" w:hAnsi="宋体"/>
          <w:b/>
          <w:kern w:val="44"/>
        </w:rPr>
        <w:t>第十二条</w:t>
      </w:r>
      <w:r>
        <w:rPr>
          <w:rFonts w:hint="eastAsia" w:ascii="宋体" w:hAnsi="宋体"/>
          <w:kern w:val="44"/>
        </w:rPr>
        <w:t>　执法检查组应当在执法检查结束后及时提出执法检查报告，由主任会议决定提请常务委员会审议。</w:t>
      </w:r>
    </w:p>
    <w:p w14:paraId="3753BCF4">
      <w:pPr>
        <w:jc w:val="left"/>
        <w:rPr>
          <w:rFonts w:ascii="宋体" w:hAnsi="宋体"/>
          <w:kern w:val="44"/>
        </w:rPr>
      </w:pPr>
      <w:r>
        <w:rPr>
          <w:rFonts w:hint="eastAsia" w:ascii="宋体" w:hAnsi="宋体"/>
          <w:kern w:val="44"/>
        </w:rPr>
        <w:t>执法检查报告包括下列内容：</w:t>
      </w:r>
    </w:p>
    <w:p w14:paraId="2A08C9D8">
      <w:pPr>
        <w:jc w:val="left"/>
        <w:rPr>
          <w:rFonts w:ascii="宋体" w:hAnsi="宋体"/>
          <w:kern w:val="44"/>
        </w:rPr>
      </w:pPr>
      <w:r>
        <w:rPr>
          <w:rFonts w:hint="eastAsia" w:ascii="宋体" w:hAnsi="宋体"/>
          <w:kern w:val="44"/>
        </w:rPr>
        <w:t>（一）对所检查的法律、法规实施情况进行评价，提出执法中存在的问题和改进执法工作的建议；</w:t>
      </w:r>
    </w:p>
    <w:p w14:paraId="5F13AAA4">
      <w:pPr>
        <w:jc w:val="left"/>
        <w:rPr>
          <w:rFonts w:ascii="宋体" w:hAnsi="宋体"/>
          <w:kern w:val="44"/>
        </w:rPr>
      </w:pPr>
      <w:r>
        <w:rPr>
          <w:rFonts w:hint="eastAsia" w:ascii="宋体" w:hAnsi="宋体"/>
          <w:kern w:val="44"/>
        </w:rPr>
        <w:t>（二）对有关法律、法规提出修改完善的建议。</w:t>
      </w:r>
    </w:p>
    <w:p w14:paraId="72E91BC6">
      <w:pPr>
        <w:ind w:firstLine="422"/>
        <w:jc w:val="left"/>
        <w:rPr>
          <w:rFonts w:ascii="宋体" w:hAnsi="宋体"/>
          <w:kern w:val="44"/>
        </w:rPr>
      </w:pPr>
      <w:r>
        <w:rPr>
          <w:rFonts w:hint="eastAsia" w:ascii="宋体" w:hAnsi="宋体"/>
          <w:b/>
          <w:kern w:val="44"/>
        </w:rPr>
        <w:t>第十三条</w:t>
      </w:r>
      <w:r>
        <w:rPr>
          <w:rFonts w:hint="eastAsia" w:ascii="宋体" w:hAnsi="宋体"/>
          <w:kern w:val="44"/>
        </w:rPr>
        <w:t>　执法检查报告由执法检查组组长或者由组长委托副组长向常务委员会会议报告。</w:t>
      </w:r>
    </w:p>
    <w:p w14:paraId="108E3EB0">
      <w:pPr>
        <w:jc w:val="left"/>
        <w:rPr>
          <w:rFonts w:ascii="宋体" w:hAnsi="宋体"/>
          <w:kern w:val="44"/>
        </w:rPr>
      </w:pPr>
      <w:r>
        <w:rPr>
          <w:rFonts w:hint="eastAsia" w:ascii="宋体" w:hAnsi="宋体"/>
          <w:kern w:val="44"/>
        </w:rPr>
        <w:t>法律、法规实施主管机关应当向常务委员会会议提交书面报告。常务委员会审议执法检查报告时，“一府两院”负责人或者有关部门负责人应当到会听取意见，回答询问。</w:t>
      </w:r>
    </w:p>
    <w:p w14:paraId="1A33F9AB">
      <w:pPr>
        <w:ind w:firstLine="422"/>
        <w:jc w:val="left"/>
        <w:rPr>
          <w:rFonts w:ascii="宋体" w:hAnsi="宋体"/>
          <w:kern w:val="44"/>
        </w:rPr>
      </w:pPr>
      <w:r>
        <w:rPr>
          <w:rFonts w:hint="eastAsia" w:ascii="宋体" w:hAnsi="宋体"/>
          <w:b/>
          <w:kern w:val="44"/>
        </w:rPr>
        <w:t>第十四条</w:t>
      </w:r>
      <w:r>
        <w:rPr>
          <w:rFonts w:hint="eastAsia" w:ascii="宋体" w:hAnsi="宋体"/>
          <w:kern w:val="44"/>
        </w:rPr>
        <w:t>　市人民代表大会常务委员会组织执法检查，根据需要，可以委托区、县人民代表大会常务委员会对有关法律、法规在本行政区域的实施情况进行检查。委托执法检查项目，应当事先与区、县人民代表大会常务委员会协商确定。受委托的区、县人民代表大会常务委员会应当提出执法检查情况报告，报送市人民代表大会常务委员会。</w:t>
      </w:r>
    </w:p>
    <w:p w14:paraId="5E32B5E6">
      <w:pPr>
        <w:jc w:val="left"/>
        <w:rPr>
          <w:rFonts w:ascii="宋体" w:hAnsi="宋体"/>
          <w:kern w:val="44"/>
        </w:rPr>
      </w:pPr>
      <w:r>
        <w:rPr>
          <w:rFonts w:hint="eastAsia" w:ascii="宋体" w:hAnsi="宋体"/>
          <w:kern w:val="44"/>
        </w:rPr>
        <w:t>市人民代表大会常务委员会受全国人民代表大会常务委员会委托进行的执法检查，有关市人大专门委员会或者常务委员会工作机构应当提出执法检查情况报告，由常务委员会办公厅报送全国人民代表大会常务委员会。</w:t>
      </w:r>
    </w:p>
    <w:p w14:paraId="1963EFC4">
      <w:pPr>
        <w:ind w:firstLine="422"/>
        <w:jc w:val="left"/>
        <w:rPr>
          <w:rFonts w:ascii="宋体" w:hAnsi="宋体"/>
          <w:kern w:val="44"/>
        </w:rPr>
      </w:pPr>
      <w:r>
        <w:rPr>
          <w:rFonts w:hint="eastAsia" w:ascii="宋体" w:hAnsi="宋体"/>
          <w:b/>
          <w:kern w:val="44"/>
        </w:rPr>
        <w:t>第十五条</w:t>
      </w:r>
      <w:r>
        <w:rPr>
          <w:rFonts w:hint="eastAsia" w:ascii="宋体" w:hAnsi="宋体"/>
          <w:kern w:val="44"/>
        </w:rPr>
        <w:t>　常务委员会组成人员对执法检查报告的审议意见，由有关人大专门委员会或者常务委员会工作机构在常务委员会会议结束后及时整理，经主任会议讨论通过，形成审议意见书。审议意见书的内容应当包括对“一府两院”贯彻实施法律、法规情况的总体评价，存在的主要问题，改进工作的建议和办理期限等。</w:t>
      </w:r>
    </w:p>
    <w:p w14:paraId="3499847F">
      <w:pPr>
        <w:jc w:val="left"/>
        <w:rPr>
          <w:rFonts w:ascii="宋体" w:hAnsi="宋体"/>
          <w:kern w:val="44"/>
        </w:rPr>
      </w:pPr>
      <w:r>
        <w:rPr>
          <w:rFonts w:hint="eastAsia" w:ascii="宋体" w:hAnsi="宋体"/>
          <w:kern w:val="44"/>
        </w:rPr>
        <w:t>审议意见书连同执法检查报告，由常务委员会办公厅（室）负责送交本级“一府两院”研究处理。同时，由常务委员会有关工作机构通报本级人大代表，并通过常务委员会门户网站和其他新闻媒体向社会公布。</w:t>
      </w:r>
    </w:p>
    <w:p w14:paraId="0EA7E2E3">
      <w:pPr>
        <w:ind w:firstLine="422"/>
        <w:jc w:val="left"/>
        <w:rPr>
          <w:rFonts w:ascii="宋体" w:hAnsi="宋体"/>
          <w:kern w:val="44"/>
        </w:rPr>
      </w:pPr>
      <w:r>
        <w:rPr>
          <w:rFonts w:hint="eastAsia" w:ascii="宋体" w:hAnsi="宋体"/>
          <w:b/>
          <w:kern w:val="44"/>
        </w:rPr>
        <w:t>第十六条</w:t>
      </w:r>
      <w:r>
        <w:rPr>
          <w:rFonts w:hint="eastAsia" w:ascii="宋体" w:hAnsi="宋体"/>
          <w:kern w:val="44"/>
        </w:rPr>
        <w:t>　“一府两院”应当于收到审议意见书后三个月内，将常务委员会审议意见的研究处理方案送交有关人大专门委员会或者常务委员会工作机构；一年内，将审议意见的研究处理情况送交有关人大专门委员会或者常务委员会工作机构征求意见，并向常务委员会提出书面报告。经主任会议决定，由常务委员会有关工作机构印发常务委员会组成人员和参加执法检查的人大代表，通报本级人大代表，并通过常务委员会门户网站和其他新闻媒体向社会公布。</w:t>
      </w:r>
    </w:p>
    <w:p w14:paraId="727618AE">
      <w:pPr>
        <w:jc w:val="left"/>
        <w:rPr>
          <w:rFonts w:ascii="宋体" w:hAnsi="宋体"/>
          <w:kern w:val="44"/>
        </w:rPr>
      </w:pPr>
      <w:r>
        <w:rPr>
          <w:rFonts w:hint="eastAsia" w:ascii="宋体" w:hAnsi="宋体"/>
          <w:kern w:val="44"/>
        </w:rPr>
        <w:t>主任会议认为必要时，可以决定将“一府两院”落实常务委员会审议意见情况的报告提请常务委员会审议，或者由常务委员会组织跟踪检查；常务委员会也可以委托本级有关人大专门委员会或者常务委员会工作机构组织跟踪检查。跟踪检查结束后，常务委员会执法检查组、有关人大专门委员会或者常务委员会工作机构应当提出跟踪检查报告，由主任会议决定印发常务委员会组成人员。</w:t>
      </w:r>
    </w:p>
    <w:p w14:paraId="3ED4320D">
      <w:pPr>
        <w:ind w:firstLine="422"/>
        <w:jc w:val="left"/>
        <w:rPr>
          <w:rFonts w:ascii="宋体" w:hAnsi="宋体"/>
          <w:kern w:val="44"/>
        </w:rPr>
      </w:pPr>
      <w:r>
        <w:rPr>
          <w:rFonts w:hint="eastAsia" w:ascii="宋体" w:hAnsi="宋体"/>
          <w:b/>
          <w:kern w:val="44"/>
        </w:rPr>
        <w:t>第十七条</w:t>
      </w:r>
      <w:r>
        <w:rPr>
          <w:rFonts w:hint="eastAsia" w:ascii="宋体" w:hAnsi="宋体"/>
          <w:kern w:val="44"/>
        </w:rPr>
        <w:t>　常务委员会有关工作机构根据年度执法检查计划，制定具体的新闻报道计划，组织新闻媒体对执法检查工作进行宣传报道。</w:t>
      </w:r>
    </w:p>
    <w:p w14:paraId="7ABE40E7">
      <w:pPr>
        <w:ind w:firstLine="422"/>
        <w:jc w:val="left"/>
        <w:rPr>
          <w:rFonts w:ascii="宋体" w:hAnsi="宋体"/>
          <w:kern w:val="44"/>
        </w:rPr>
      </w:pPr>
      <w:r>
        <w:rPr>
          <w:rFonts w:hint="eastAsia" w:ascii="宋体" w:hAnsi="宋体"/>
          <w:b/>
          <w:kern w:val="44"/>
        </w:rPr>
        <w:t>第十八条</w:t>
      </w:r>
      <w:r>
        <w:rPr>
          <w:rFonts w:hint="eastAsia" w:ascii="宋体" w:hAnsi="宋体"/>
          <w:kern w:val="44"/>
        </w:rPr>
        <w:t>　市人民代表大会常务委员会可以委托区、县人民代表大会常务委员会对本行政区域内市级垂直领导的机构实施法律、法规的情况进行检查。</w:t>
      </w:r>
    </w:p>
    <w:p w14:paraId="17D57A2E">
      <w:pPr>
        <w:jc w:val="left"/>
        <w:rPr>
          <w:rFonts w:ascii="宋体" w:hAnsi="宋体"/>
          <w:kern w:val="44"/>
        </w:rPr>
      </w:pPr>
      <w:r>
        <w:rPr>
          <w:rFonts w:hint="eastAsia" w:ascii="宋体" w:hAnsi="宋体"/>
          <w:kern w:val="44"/>
        </w:rPr>
        <w:t>区、县人民代表大会常务委员会审议执法检查报告后，将执法检查报告连同常务委员会组成人员的审议意见通报被检查的市级垂直领导的机构；同时报市人民代表大会常务委员会，由常务委员会办公厅转交市人民政府研究处理。</w:t>
      </w:r>
    </w:p>
    <w:p w14:paraId="13C50A55">
      <w:pPr>
        <w:ind w:firstLine="422"/>
        <w:jc w:val="left"/>
        <w:rPr>
          <w:rFonts w:ascii="宋体" w:hAnsi="宋体"/>
          <w:kern w:val="44"/>
        </w:rPr>
      </w:pPr>
      <w:r>
        <w:rPr>
          <w:rFonts w:hint="eastAsia" w:ascii="宋体" w:hAnsi="宋体"/>
          <w:b/>
          <w:kern w:val="44"/>
        </w:rPr>
        <w:t>第十九条</w:t>
      </w:r>
      <w:r>
        <w:rPr>
          <w:rFonts w:hint="eastAsia" w:ascii="宋体" w:hAnsi="宋体"/>
          <w:kern w:val="44"/>
        </w:rPr>
        <w:t>　实施本办法的工作程序，由常务委员会办公厅（室）制定。</w:t>
      </w:r>
    </w:p>
    <w:p w14:paraId="79CF9CD1">
      <w:pPr>
        <w:ind w:firstLine="422"/>
        <w:jc w:val="left"/>
        <w:rPr>
          <w:rFonts w:ascii="宋体" w:hAnsi="宋体"/>
          <w:kern w:val="44"/>
        </w:rPr>
      </w:pPr>
      <w:r>
        <w:rPr>
          <w:rFonts w:hint="eastAsia" w:ascii="宋体" w:hAnsi="宋体"/>
          <w:b/>
          <w:kern w:val="44"/>
        </w:rPr>
        <w:t>第二十条</w:t>
      </w:r>
      <w:r>
        <w:rPr>
          <w:rFonts w:hint="eastAsia" w:ascii="宋体" w:hAnsi="宋体"/>
          <w:kern w:val="44"/>
        </w:rPr>
        <w:t>　本办法自2008年1月1日起施行。</w:t>
      </w:r>
    </w:p>
    <w:p w14:paraId="169A4625">
      <w:pPr>
        <w:pStyle w:val="4"/>
        <w:pageBreakBefore/>
        <w:rPr>
          <w:kern w:val="44"/>
        </w:rPr>
      </w:pPr>
      <w:bookmarkStart w:id="134" w:name="_Toc428779956"/>
      <w:bookmarkStart w:id="135" w:name="_Toc422471070"/>
      <w:bookmarkStart w:id="136" w:name="_Toc427651732"/>
      <w:bookmarkStart w:id="137" w:name="_Toc427651390"/>
      <w:bookmarkStart w:id="138" w:name="_Toc428781438"/>
      <w:r>
        <w:rPr>
          <w:rFonts w:hint="eastAsia"/>
          <w:kern w:val="44"/>
        </w:rPr>
        <w:t>北京市各级人民代表大会常务委员会</w:t>
      </w:r>
      <w:bookmarkEnd w:id="134"/>
      <w:bookmarkEnd w:id="135"/>
      <w:bookmarkEnd w:id="136"/>
      <w:bookmarkEnd w:id="137"/>
      <w:bookmarkEnd w:id="138"/>
    </w:p>
    <w:p w14:paraId="4D72A2E2">
      <w:pPr>
        <w:pStyle w:val="4"/>
        <w:rPr>
          <w:kern w:val="44"/>
        </w:rPr>
      </w:pPr>
      <w:bookmarkStart w:id="139" w:name="_Toc427651733"/>
      <w:bookmarkStart w:id="140" w:name="_Toc427651391"/>
      <w:bookmarkStart w:id="141" w:name="_Toc428781439"/>
      <w:bookmarkStart w:id="142" w:name="_Toc422471071"/>
      <w:bookmarkStart w:id="143" w:name="_Toc428779957"/>
      <w:r>
        <w:rPr>
          <w:rFonts w:hint="eastAsia"/>
          <w:kern w:val="44"/>
        </w:rPr>
        <w:t>听取和审议人民政府、人民法院和</w:t>
      </w:r>
      <w:bookmarkEnd w:id="139"/>
      <w:bookmarkEnd w:id="140"/>
      <w:bookmarkEnd w:id="141"/>
      <w:bookmarkEnd w:id="142"/>
      <w:bookmarkEnd w:id="143"/>
    </w:p>
    <w:p w14:paraId="5533E30C">
      <w:pPr>
        <w:pStyle w:val="4"/>
        <w:rPr>
          <w:kern w:val="44"/>
        </w:rPr>
      </w:pPr>
      <w:bookmarkStart w:id="144" w:name="_Toc427651734"/>
      <w:bookmarkStart w:id="145" w:name="_Toc422471072"/>
      <w:bookmarkStart w:id="146" w:name="_Toc427651392"/>
      <w:bookmarkStart w:id="147" w:name="_Toc428781440"/>
      <w:bookmarkStart w:id="148" w:name="_Toc428779958"/>
      <w:r>
        <w:rPr>
          <w:rFonts w:hint="eastAsia"/>
          <w:kern w:val="44"/>
        </w:rPr>
        <w:t>人民检察院专项工作报告办法</w:t>
      </w:r>
      <w:bookmarkEnd w:id="144"/>
      <w:bookmarkEnd w:id="145"/>
      <w:bookmarkEnd w:id="146"/>
      <w:bookmarkEnd w:id="147"/>
      <w:bookmarkEnd w:id="148"/>
    </w:p>
    <w:p w14:paraId="609DB3FC">
      <w:pPr>
        <w:ind w:left="630" w:leftChars="300" w:right="630" w:rightChars="300"/>
        <w:jc w:val="left"/>
        <w:rPr>
          <w:rFonts w:ascii="楷体" w:hAnsi="楷体" w:eastAsia="楷体"/>
          <w:kern w:val="44"/>
        </w:rPr>
      </w:pPr>
      <w:r>
        <w:rPr>
          <w:rFonts w:hint="eastAsia" w:ascii="楷体" w:hAnsi="楷体" w:eastAsia="楷体"/>
          <w:kern w:val="44"/>
        </w:rPr>
        <w:t>（2007年11月30日北京市第十二届人民代表大会常务委员会第四十次会议通过）</w:t>
      </w:r>
    </w:p>
    <w:p w14:paraId="2ED0B4C3">
      <w:pPr>
        <w:ind w:left="630" w:leftChars="300" w:right="630" w:rightChars="300"/>
        <w:jc w:val="left"/>
        <w:rPr>
          <w:rFonts w:ascii="楷体" w:hAnsi="楷体" w:eastAsia="楷体"/>
          <w:kern w:val="44"/>
        </w:rPr>
      </w:pPr>
    </w:p>
    <w:p w14:paraId="771E184E">
      <w:pPr>
        <w:ind w:firstLine="422"/>
        <w:jc w:val="left"/>
        <w:rPr>
          <w:rFonts w:ascii="宋体" w:hAnsi="宋体"/>
          <w:kern w:val="44"/>
        </w:rPr>
      </w:pPr>
      <w:r>
        <w:rPr>
          <w:rFonts w:hint="eastAsia" w:ascii="宋体" w:hAnsi="宋体"/>
          <w:b/>
          <w:kern w:val="44"/>
        </w:rPr>
        <w:t>第一条</w:t>
      </w:r>
      <w:r>
        <w:rPr>
          <w:rFonts w:hint="eastAsia" w:ascii="宋体" w:hAnsi="宋体"/>
          <w:kern w:val="44"/>
        </w:rPr>
        <w:t>　为了提高听取和审议人民政府、人民法院和人民检察院（以下简称“一府两院”）专项工作报告的质量，增强监督工作实效，根据《中华人民共和国各级人民代表大会常务委员会监督法》，结合本市实际，制定本办法。</w:t>
      </w:r>
    </w:p>
    <w:p w14:paraId="69504FB7">
      <w:pPr>
        <w:ind w:firstLine="422"/>
        <w:jc w:val="left"/>
        <w:rPr>
          <w:rFonts w:ascii="宋体" w:hAnsi="宋体"/>
          <w:kern w:val="44"/>
        </w:rPr>
      </w:pPr>
      <w:r>
        <w:rPr>
          <w:rFonts w:hint="eastAsia" w:ascii="宋体" w:hAnsi="宋体"/>
          <w:b/>
          <w:kern w:val="44"/>
        </w:rPr>
        <w:t>第二条</w:t>
      </w:r>
      <w:r>
        <w:rPr>
          <w:rFonts w:hint="eastAsia" w:ascii="宋体" w:hAnsi="宋体"/>
          <w:kern w:val="44"/>
        </w:rPr>
        <w:t>　市和区、县人民代表大会常务委员会（以下简称常务委员会）每年选择若干关系本行政区域改革发展稳定大局和群众切身利益、社会普遍关注的重大问题，有计划地安排听取和审议本级“一府两院”的专项工作报告。</w:t>
      </w:r>
    </w:p>
    <w:p w14:paraId="199EC0F7">
      <w:pPr>
        <w:ind w:firstLine="422"/>
        <w:jc w:val="left"/>
        <w:rPr>
          <w:rFonts w:ascii="宋体" w:hAnsi="宋体"/>
          <w:kern w:val="44"/>
        </w:rPr>
      </w:pPr>
      <w:r>
        <w:rPr>
          <w:rFonts w:hint="eastAsia" w:ascii="宋体" w:hAnsi="宋体"/>
          <w:b/>
          <w:kern w:val="44"/>
        </w:rPr>
        <w:t>第三条</w:t>
      </w:r>
      <w:r>
        <w:rPr>
          <w:rFonts w:hint="eastAsia" w:ascii="宋体" w:hAnsi="宋体"/>
          <w:kern w:val="44"/>
        </w:rPr>
        <w:t>　常务委员会听取和审议专项工作报告的议题建议，由人民代表大会专门委员会（以下简称人大专门委员会）或者常务委员会工作机构，根据职责分工汇总整理，按照工作程序规定的时间提出：</w:t>
      </w:r>
    </w:p>
    <w:p w14:paraId="57318466">
      <w:pPr>
        <w:jc w:val="left"/>
        <w:rPr>
          <w:rFonts w:ascii="宋体" w:hAnsi="宋体"/>
          <w:kern w:val="44"/>
        </w:rPr>
      </w:pPr>
      <w:r>
        <w:rPr>
          <w:rFonts w:hint="eastAsia" w:ascii="宋体" w:hAnsi="宋体"/>
          <w:kern w:val="44"/>
        </w:rPr>
        <w:t>（一）常务委员会在执法检查中发现的突出问题，由组织检查的有关人大专门委员会或者常务委员会工作机构整理提出。</w:t>
      </w:r>
    </w:p>
    <w:p w14:paraId="50F14C39">
      <w:pPr>
        <w:jc w:val="left"/>
        <w:rPr>
          <w:rFonts w:ascii="宋体" w:hAnsi="宋体"/>
          <w:kern w:val="44"/>
        </w:rPr>
      </w:pPr>
      <w:r>
        <w:rPr>
          <w:rFonts w:hint="eastAsia" w:ascii="宋体" w:hAnsi="宋体"/>
          <w:kern w:val="44"/>
        </w:rPr>
        <w:t>（二）本级人民代表大会代表（以下简称人大代表）对“一府两院”工作提出的建议、批评和意见集中反映的问题，由常务委员会代表联络工作部门整理提出。</w:t>
      </w:r>
    </w:p>
    <w:p w14:paraId="45C037B9">
      <w:pPr>
        <w:jc w:val="left"/>
        <w:rPr>
          <w:rFonts w:ascii="宋体" w:hAnsi="宋体"/>
          <w:kern w:val="44"/>
        </w:rPr>
      </w:pPr>
      <w:r>
        <w:rPr>
          <w:rFonts w:hint="eastAsia" w:ascii="宋体" w:hAnsi="宋体"/>
          <w:kern w:val="44"/>
        </w:rPr>
        <w:t>（三）常务委员会组成人员提出的比较集中的问题，由常务委员会办公厅（室）整理提出，常务委员会有关工作机构配合。</w:t>
      </w:r>
    </w:p>
    <w:p w14:paraId="3CA6704D">
      <w:pPr>
        <w:jc w:val="left"/>
        <w:rPr>
          <w:rFonts w:ascii="宋体" w:hAnsi="宋体"/>
          <w:kern w:val="44"/>
        </w:rPr>
      </w:pPr>
      <w:r>
        <w:rPr>
          <w:rFonts w:hint="eastAsia" w:ascii="宋体" w:hAnsi="宋体"/>
          <w:kern w:val="44"/>
        </w:rPr>
        <w:t>（四）人大专门委员会或者常务委员会工作机构在调查研究中发现的突出问题，由开展该项调查研究工作的人大专门委员会或者常务委员会工作机构整理提出。</w:t>
      </w:r>
    </w:p>
    <w:p w14:paraId="082A3F2F">
      <w:pPr>
        <w:jc w:val="left"/>
        <w:rPr>
          <w:rFonts w:ascii="宋体" w:hAnsi="宋体"/>
          <w:kern w:val="44"/>
        </w:rPr>
      </w:pPr>
      <w:r>
        <w:rPr>
          <w:rFonts w:hint="eastAsia" w:ascii="宋体" w:hAnsi="宋体"/>
          <w:kern w:val="44"/>
        </w:rPr>
        <w:t>（五）人民来信来访集中反映的问题，由常务委员会信访工作部门整理提出。</w:t>
      </w:r>
    </w:p>
    <w:p w14:paraId="3EED476D">
      <w:pPr>
        <w:jc w:val="left"/>
        <w:rPr>
          <w:rFonts w:ascii="宋体" w:hAnsi="宋体"/>
          <w:kern w:val="44"/>
        </w:rPr>
      </w:pPr>
      <w:r>
        <w:rPr>
          <w:rFonts w:hint="eastAsia" w:ascii="宋体" w:hAnsi="宋体"/>
          <w:kern w:val="44"/>
        </w:rPr>
        <w:t>（六）社会普遍关注的其他问题，由常务委员会办公厅（室）整理提出，常务委员会有关工作机构配合。</w:t>
      </w:r>
    </w:p>
    <w:p w14:paraId="6417F4D0">
      <w:pPr>
        <w:jc w:val="left"/>
        <w:rPr>
          <w:rFonts w:ascii="宋体" w:hAnsi="宋体"/>
          <w:kern w:val="44"/>
        </w:rPr>
      </w:pPr>
      <w:r>
        <w:rPr>
          <w:rFonts w:hint="eastAsia" w:ascii="宋体" w:hAnsi="宋体"/>
          <w:kern w:val="44"/>
        </w:rPr>
        <w:t>（七）“一府两院”要求报告专项工作的建议，由常务委员会办公厅（室）整理提出。</w:t>
      </w:r>
    </w:p>
    <w:p w14:paraId="7D0698F6">
      <w:pPr>
        <w:jc w:val="left"/>
        <w:rPr>
          <w:rFonts w:ascii="宋体" w:hAnsi="宋体"/>
          <w:kern w:val="44"/>
        </w:rPr>
      </w:pPr>
      <w:r>
        <w:rPr>
          <w:rFonts w:hint="eastAsia" w:ascii="宋体" w:hAnsi="宋体"/>
          <w:kern w:val="44"/>
        </w:rPr>
        <w:t>有关人大专门委员会或者常务委员会工作机构在向常务委员会提出听取和审议专项工作报告的议题建议前，应当与“一府两院”及其有关部门沟通、协商。</w:t>
      </w:r>
    </w:p>
    <w:p w14:paraId="2A4D568E">
      <w:pPr>
        <w:ind w:firstLine="422"/>
        <w:jc w:val="left"/>
        <w:rPr>
          <w:rFonts w:ascii="宋体" w:hAnsi="宋体"/>
          <w:kern w:val="44"/>
        </w:rPr>
      </w:pPr>
      <w:r>
        <w:rPr>
          <w:rFonts w:hint="eastAsia" w:ascii="宋体" w:hAnsi="宋体"/>
          <w:b/>
          <w:kern w:val="44"/>
        </w:rPr>
        <w:t>第四条</w:t>
      </w:r>
      <w:r>
        <w:rPr>
          <w:rFonts w:hint="eastAsia" w:ascii="宋体" w:hAnsi="宋体"/>
          <w:kern w:val="44"/>
        </w:rPr>
        <w:t>　常务委员会办公厅（室）负责汇总各人大专门委员会、常务委员会工作机构以及其他有关方面提出的听取和审议“一府两院”专项工作报告议题建议，与“一府两院”沟通协调后，提出常务委员会听取和审议专项工作报告的年度计划建议。年度计划建议应当包括常务委员会听取和审议专项工作报告的项目、理由、重点、时间安排和协助常委会此项工作的有关人大专门委员会或者常务委员会工作机构等。</w:t>
      </w:r>
    </w:p>
    <w:p w14:paraId="78C6E8E4">
      <w:pPr>
        <w:ind w:firstLine="422"/>
        <w:jc w:val="left"/>
        <w:rPr>
          <w:rFonts w:ascii="宋体" w:hAnsi="宋体"/>
          <w:kern w:val="44"/>
        </w:rPr>
      </w:pPr>
      <w:r>
        <w:rPr>
          <w:rFonts w:hint="eastAsia" w:ascii="宋体" w:hAnsi="宋体"/>
          <w:b/>
          <w:kern w:val="44"/>
        </w:rPr>
        <w:t>第五条</w:t>
      </w:r>
      <w:r>
        <w:rPr>
          <w:rFonts w:hint="eastAsia" w:ascii="宋体" w:hAnsi="宋体"/>
          <w:kern w:val="44"/>
        </w:rPr>
        <w:t>　常务委员会听取和审议专项工作报告的年度计划，经常务委员会主任会议（以下简称主任会议）通过，由常务委员会有关工作机构印发常务委员会组成人员，通报本级人大代表，以书面形式通知本级“一府两院”，并通过常务委员会门户网站和其他新闻媒体向社会公布。</w:t>
      </w:r>
    </w:p>
    <w:p w14:paraId="3FE14BC6">
      <w:pPr>
        <w:ind w:firstLine="422"/>
        <w:jc w:val="left"/>
        <w:rPr>
          <w:rFonts w:ascii="宋体" w:hAnsi="宋体"/>
          <w:kern w:val="44"/>
        </w:rPr>
      </w:pPr>
      <w:r>
        <w:rPr>
          <w:rFonts w:hint="eastAsia" w:ascii="宋体" w:hAnsi="宋体"/>
          <w:b/>
          <w:kern w:val="44"/>
        </w:rPr>
        <w:t>第六条</w:t>
      </w:r>
      <w:r>
        <w:rPr>
          <w:rFonts w:hint="eastAsia" w:ascii="宋体" w:hAnsi="宋体"/>
          <w:kern w:val="44"/>
        </w:rPr>
        <w:t>　主任会议根据实际需要或者“一府两院”的要求，可以适当调整听取和审议“一府两院”专项工作报告的年度计划，并由常务委员会办公厅（室）及时通知 “一府两院”的办事机构。</w:t>
      </w:r>
    </w:p>
    <w:p w14:paraId="35F5AFA2">
      <w:pPr>
        <w:ind w:firstLine="422"/>
        <w:jc w:val="left"/>
        <w:rPr>
          <w:rFonts w:ascii="宋体" w:hAnsi="宋体"/>
          <w:kern w:val="44"/>
        </w:rPr>
      </w:pPr>
      <w:r>
        <w:rPr>
          <w:rFonts w:hint="eastAsia" w:ascii="宋体" w:hAnsi="宋体"/>
          <w:b/>
          <w:kern w:val="44"/>
        </w:rPr>
        <w:t>第七条</w:t>
      </w:r>
      <w:r>
        <w:rPr>
          <w:rFonts w:hint="eastAsia" w:ascii="宋体" w:hAnsi="宋体"/>
          <w:kern w:val="44"/>
        </w:rPr>
        <w:t>　有关人大专门委员会或者常务委员会工作机构应当根据常务委员会听取和审议“一府两院”专项工作报告计划，按照职责分工制定具体实施方案；常务委员会听取和审议“一府两院”专项工作报告前，受主任会议委托，组织常务委员会组成人员、人大专门（工作）委员会组成人员、人大代表进行视察或者专题调查研究；视察或者专题调查研究结束后，应当形成专题报告，为常务委员会审议该项工作报告提供参考，并将视察、专题调查研究中发现的问题以及各方面对该项工作的意见汇总整理，及时交“一府两院”研究处理。</w:t>
      </w:r>
    </w:p>
    <w:p w14:paraId="0A2A75C8">
      <w:pPr>
        <w:ind w:firstLine="422"/>
        <w:jc w:val="left"/>
        <w:rPr>
          <w:rFonts w:ascii="宋体" w:hAnsi="宋体"/>
          <w:kern w:val="44"/>
        </w:rPr>
      </w:pPr>
      <w:r>
        <w:rPr>
          <w:rFonts w:hint="eastAsia" w:ascii="宋体" w:hAnsi="宋体"/>
          <w:b/>
          <w:kern w:val="44"/>
        </w:rPr>
        <w:t>第八条</w:t>
      </w:r>
      <w:r>
        <w:rPr>
          <w:rFonts w:hint="eastAsia" w:ascii="宋体" w:hAnsi="宋体"/>
          <w:kern w:val="44"/>
        </w:rPr>
        <w:t>　“一府两院”以及相关单位应当按照常务委员会的工作程序，协助、配合常务委员会组织的视察或者专题调查研究。</w:t>
      </w:r>
    </w:p>
    <w:p w14:paraId="7AB7CA2F">
      <w:pPr>
        <w:jc w:val="left"/>
        <w:rPr>
          <w:rFonts w:ascii="宋体" w:hAnsi="宋体"/>
          <w:kern w:val="44"/>
        </w:rPr>
      </w:pPr>
      <w:r>
        <w:rPr>
          <w:rFonts w:hint="eastAsia" w:ascii="宋体" w:hAnsi="宋体"/>
          <w:kern w:val="44"/>
        </w:rPr>
        <w:t>“一府两院”对有关人大专门委员会或者常务委员会工作机构汇总整理的意见，应当研究处理并在专项工作报告中作出回应，明确意见采纳情况。</w:t>
      </w:r>
    </w:p>
    <w:p w14:paraId="775566AF">
      <w:pPr>
        <w:ind w:firstLine="422"/>
        <w:jc w:val="left"/>
        <w:rPr>
          <w:rFonts w:ascii="宋体" w:hAnsi="宋体"/>
          <w:kern w:val="44"/>
        </w:rPr>
      </w:pPr>
      <w:r>
        <w:rPr>
          <w:rFonts w:hint="eastAsia" w:ascii="宋体" w:hAnsi="宋体"/>
          <w:b/>
          <w:kern w:val="44"/>
        </w:rPr>
        <w:t>第九条</w:t>
      </w:r>
      <w:r>
        <w:rPr>
          <w:rFonts w:hint="eastAsia" w:ascii="宋体" w:hAnsi="宋体"/>
          <w:kern w:val="44"/>
        </w:rPr>
        <w:t>　常务委员会举行会议二十日前，“一府两院”办事机构应当将专项工作报告送交有关人大专门委员会或者常务委员会工作机构征求意见。常务委员会举行会议十日前， “一府两院”应当将修改后的专项工作报告送交常务委员会。</w:t>
      </w:r>
    </w:p>
    <w:p w14:paraId="696B8DC1">
      <w:pPr>
        <w:jc w:val="left"/>
        <w:rPr>
          <w:rFonts w:ascii="宋体" w:hAnsi="宋体"/>
          <w:kern w:val="44"/>
        </w:rPr>
      </w:pPr>
      <w:r>
        <w:rPr>
          <w:rFonts w:hint="eastAsia" w:ascii="宋体" w:hAnsi="宋体"/>
          <w:kern w:val="44"/>
        </w:rPr>
        <w:t>常务委员会举行会议七日前，常务委员会工作机构应当将专项工作报告送发常务委员会组成人员。</w:t>
      </w:r>
    </w:p>
    <w:p w14:paraId="2FF54520">
      <w:pPr>
        <w:jc w:val="left"/>
        <w:rPr>
          <w:rFonts w:ascii="宋体" w:hAnsi="宋体"/>
          <w:kern w:val="44"/>
        </w:rPr>
      </w:pPr>
      <w:r>
        <w:rPr>
          <w:rFonts w:hint="eastAsia" w:ascii="宋体" w:hAnsi="宋体"/>
          <w:kern w:val="44"/>
        </w:rPr>
        <w:t>临时召集的会议不适用前两款的期限规定。</w:t>
      </w:r>
    </w:p>
    <w:p w14:paraId="46DBE41B">
      <w:pPr>
        <w:ind w:firstLine="422"/>
        <w:jc w:val="left"/>
        <w:rPr>
          <w:rFonts w:ascii="宋体" w:hAnsi="宋体"/>
          <w:kern w:val="44"/>
        </w:rPr>
      </w:pPr>
      <w:r>
        <w:rPr>
          <w:rFonts w:hint="eastAsia" w:ascii="宋体" w:hAnsi="宋体"/>
          <w:b/>
          <w:kern w:val="44"/>
        </w:rPr>
        <w:t>第十条</w:t>
      </w:r>
      <w:r>
        <w:rPr>
          <w:rFonts w:hint="eastAsia" w:ascii="宋体" w:hAnsi="宋体"/>
          <w:kern w:val="44"/>
        </w:rPr>
        <w:t>　常务委员会召开全体会议听取“一府两院”的专项工作报告。</w:t>
      </w:r>
    </w:p>
    <w:p w14:paraId="49E08C69">
      <w:pPr>
        <w:jc w:val="left"/>
        <w:rPr>
          <w:rFonts w:ascii="宋体" w:hAnsi="宋体"/>
          <w:kern w:val="44"/>
        </w:rPr>
      </w:pPr>
      <w:r>
        <w:rPr>
          <w:rFonts w:hint="eastAsia" w:ascii="宋体" w:hAnsi="宋体"/>
          <w:kern w:val="44"/>
        </w:rPr>
        <w:t>专项工作报告由“一府两院”的负责人向常务委员会报告，人民政府也可以委托有关部门负责人向常务委员会报告。受主任会议委托，有关人大专门委员会或者常务委员会工作机构可以对“一府两院”的专项工作及报告提出意见和建议，向常务委员会报告，供常务委员会审议时参考。</w:t>
      </w:r>
    </w:p>
    <w:p w14:paraId="54C0E73F">
      <w:pPr>
        <w:jc w:val="left"/>
        <w:rPr>
          <w:rFonts w:ascii="宋体" w:hAnsi="宋体"/>
          <w:kern w:val="44"/>
        </w:rPr>
      </w:pPr>
      <w:r>
        <w:rPr>
          <w:rFonts w:hint="eastAsia" w:ascii="宋体" w:hAnsi="宋体"/>
          <w:kern w:val="44"/>
        </w:rPr>
        <w:t>常务委员会听取专项工作报告时，常务委员会有关工作机构应当将专项工作报告通报本级人大代表，并通过常务委员会门户网站和其他新闻媒体向社会公布。</w:t>
      </w:r>
    </w:p>
    <w:p w14:paraId="144A9974">
      <w:pPr>
        <w:ind w:firstLine="422"/>
        <w:jc w:val="left"/>
        <w:rPr>
          <w:rFonts w:ascii="宋体" w:hAnsi="宋体"/>
          <w:kern w:val="44"/>
        </w:rPr>
      </w:pPr>
      <w:r>
        <w:rPr>
          <w:rFonts w:hint="eastAsia" w:ascii="宋体" w:hAnsi="宋体"/>
          <w:b/>
          <w:kern w:val="44"/>
        </w:rPr>
        <w:t>第十一条</w:t>
      </w:r>
      <w:r>
        <w:rPr>
          <w:rFonts w:hint="eastAsia" w:ascii="宋体" w:hAnsi="宋体"/>
          <w:kern w:val="44"/>
        </w:rPr>
        <w:t>　常务委员会召开全体会议或者分组会议审议专项工作报告，“一府两院”负责人或者有关部门负责人应当到会听取意见，回答询问。</w:t>
      </w:r>
    </w:p>
    <w:p w14:paraId="36C87BC1">
      <w:pPr>
        <w:ind w:firstLine="422"/>
        <w:jc w:val="left"/>
        <w:rPr>
          <w:rFonts w:ascii="宋体" w:hAnsi="宋体"/>
          <w:kern w:val="44"/>
        </w:rPr>
      </w:pPr>
      <w:r>
        <w:rPr>
          <w:rFonts w:hint="eastAsia" w:ascii="宋体" w:hAnsi="宋体"/>
          <w:b/>
          <w:kern w:val="44"/>
        </w:rPr>
        <w:t>第十二条</w:t>
      </w:r>
      <w:r>
        <w:rPr>
          <w:rFonts w:hint="eastAsia" w:ascii="宋体" w:hAnsi="宋体"/>
          <w:kern w:val="44"/>
        </w:rPr>
        <w:t>　常务委员会听取和审议专项工作报告时，可以安排参加视察或者专题调查研究的人大代表列席常务委员会会议，听取专项工作报告，提出意见。</w:t>
      </w:r>
    </w:p>
    <w:p w14:paraId="196A4B8A">
      <w:pPr>
        <w:ind w:firstLine="422"/>
        <w:jc w:val="left"/>
        <w:rPr>
          <w:rFonts w:ascii="宋体" w:hAnsi="宋体"/>
          <w:kern w:val="44"/>
        </w:rPr>
      </w:pPr>
      <w:r>
        <w:rPr>
          <w:rFonts w:hint="eastAsia" w:ascii="宋体" w:hAnsi="宋体"/>
          <w:b/>
          <w:kern w:val="44"/>
        </w:rPr>
        <w:t>第十三条</w:t>
      </w:r>
      <w:r>
        <w:rPr>
          <w:rFonts w:hint="eastAsia" w:ascii="宋体" w:hAnsi="宋体"/>
          <w:kern w:val="44"/>
        </w:rPr>
        <w:t>　常务委员会认为必要时，可以对专项工作报告作出决议。同时，由常务委员会有关工作机构通报本级人大代表，并通过常务委员会门户网站和其他新闻媒体向社会公布。</w:t>
      </w:r>
    </w:p>
    <w:p w14:paraId="17CD3258">
      <w:pPr>
        <w:ind w:firstLine="422"/>
        <w:jc w:val="left"/>
        <w:rPr>
          <w:rFonts w:ascii="宋体" w:hAnsi="宋体"/>
          <w:kern w:val="44"/>
        </w:rPr>
      </w:pPr>
      <w:r>
        <w:rPr>
          <w:rFonts w:hint="eastAsia" w:ascii="宋体" w:hAnsi="宋体"/>
          <w:b/>
          <w:kern w:val="44"/>
        </w:rPr>
        <w:t>第十四条</w:t>
      </w:r>
      <w:r>
        <w:rPr>
          <w:rFonts w:hint="eastAsia" w:ascii="宋体" w:hAnsi="宋体"/>
          <w:kern w:val="44"/>
        </w:rPr>
        <w:t>　常务委员会组成人员对专项工作报告的审议意见，由有关人大专门委员会或者常务委员会工作机构在常务委员会会议结束后及时整理，经主任会议讨论通过，形成审议意见书。审议意见书的内容应当包括对“一府两院”专项工作报告的总体评价、存在的主要问题、改进工作的建议和办理期限等。</w:t>
      </w:r>
    </w:p>
    <w:p w14:paraId="5CCD9DAE">
      <w:pPr>
        <w:jc w:val="left"/>
        <w:rPr>
          <w:rFonts w:ascii="宋体" w:hAnsi="宋体"/>
          <w:kern w:val="44"/>
        </w:rPr>
      </w:pPr>
      <w:r>
        <w:rPr>
          <w:rFonts w:hint="eastAsia" w:ascii="宋体" w:hAnsi="宋体"/>
          <w:kern w:val="44"/>
        </w:rPr>
        <w:t>审议意见书由常务委员会办公厅（室）送交“一府两院”办事机构，由“一府两院”研究处理。同时，由常务委员会有关工作机构通报本级人大代表，并通过常务委员会门户网站和其他新闻媒体向社会公布。</w:t>
      </w:r>
    </w:p>
    <w:p w14:paraId="5D95D1A0">
      <w:pPr>
        <w:ind w:firstLine="422"/>
        <w:jc w:val="left"/>
        <w:rPr>
          <w:rFonts w:ascii="宋体" w:hAnsi="宋体"/>
          <w:kern w:val="44"/>
        </w:rPr>
      </w:pPr>
      <w:r>
        <w:rPr>
          <w:rFonts w:hint="eastAsia" w:ascii="宋体" w:hAnsi="宋体"/>
          <w:b/>
          <w:kern w:val="44"/>
        </w:rPr>
        <w:t>第十五条</w:t>
      </w:r>
      <w:r>
        <w:rPr>
          <w:rFonts w:hint="eastAsia" w:ascii="宋体" w:hAnsi="宋体"/>
          <w:kern w:val="44"/>
        </w:rPr>
        <w:t>　“一府两院”应当于收到审议意见书后三个月内，由其办事机构将常务委员会审议意见的研究处理方案送交有关人大专门委员会或者常务委员会工作机构；一年内，将审议意见的研究处理情况送交有关人大专门委员会或者常务委员会工作机构征求意见后，向常务委员会提出书面报告。经主任会议决定，由常务委员会有关工作机构印发常务委员会组成人员，通报本级人大代表，并通过常务委员会门户网站和其他新闻媒体向社会公布。</w:t>
      </w:r>
    </w:p>
    <w:p w14:paraId="4231E908">
      <w:pPr>
        <w:jc w:val="left"/>
        <w:rPr>
          <w:rFonts w:ascii="宋体" w:hAnsi="宋体"/>
          <w:kern w:val="44"/>
        </w:rPr>
      </w:pPr>
      <w:r>
        <w:rPr>
          <w:rFonts w:hint="eastAsia" w:ascii="宋体" w:hAnsi="宋体"/>
          <w:kern w:val="44"/>
        </w:rPr>
        <w:t>有关人大专门委员会或者常务委员会工作机构可以对“一府两院”的研究处理工作进行督办，并提出督办情况的报告，由主任会议决定印发常务委员会组成人员。</w:t>
      </w:r>
    </w:p>
    <w:p w14:paraId="3DA12FFC">
      <w:pPr>
        <w:jc w:val="left"/>
        <w:rPr>
          <w:rFonts w:ascii="宋体" w:hAnsi="宋体"/>
          <w:kern w:val="44"/>
        </w:rPr>
      </w:pPr>
      <w:r>
        <w:rPr>
          <w:rFonts w:hint="eastAsia" w:ascii="宋体" w:hAnsi="宋体"/>
          <w:kern w:val="44"/>
        </w:rPr>
        <w:t>主任会议认为必要时，可以决定将“一府两院”落实常务委员会审议意见情况的报告提请常务委员会审议。</w:t>
      </w:r>
    </w:p>
    <w:p w14:paraId="06C96291">
      <w:pPr>
        <w:ind w:firstLine="422"/>
        <w:jc w:val="left"/>
        <w:rPr>
          <w:rFonts w:ascii="宋体" w:hAnsi="宋体"/>
          <w:kern w:val="44"/>
        </w:rPr>
      </w:pPr>
      <w:r>
        <w:rPr>
          <w:rFonts w:hint="eastAsia" w:ascii="宋体" w:hAnsi="宋体"/>
          <w:b/>
          <w:kern w:val="44"/>
        </w:rPr>
        <w:t>第十六条</w:t>
      </w:r>
      <w:r>
        <w:rPr>
          <w:rFonts w:hint="eastAsia" w:ascii="宋体" w:hAnsi="宋体"/>
          <w:kern w:val="44"/>
        </w:rPr>
        <w:t>　实施本办法的工作程序，由常务委员会办公厅（室）制定。</w:t>
      </w:r>
    </w:p>
    <w:p w14:paraId="18109A1E">
      <w:pPr>
        <w:ind w:firstLine="422"/>
        <w:jc w:val="left"/>
        <w:rPr>
          <w:rFonts w:ascii="宋体" w:hAnsi="宋体"/>
          <w:kern w:val="44"/>
        </w:rPr>
      </w:pPr>
      <w:r>
        <w:rPr>
          <w:rFonts w:hint="eastAsia" w:ascii="宋体" w:hAnsi="宋体"/>
          <w:b/>
          <w:kern w:val="44"/>
        </w:rPr>
        <w:t>第十七条</w:t>
      </w:r>
      <w:r>
        <w:rPr>
          <w:rFonts w:hint="eastAsia" w:ascii="宋体" w:hAnsi="宋体"/>
          <w:kern w:val="44"/>
        </w:rPr>
        <w:t>　本办法自2008年1月1日起施行。</w:t>
      </w:r>
    </w:p>
    <w:p w14:paraId="5F295DE7">
      <w:pPr>
        <w:pStyle w:val="3"/>
        <w:pageBreakBefore/>
        <w:rPr>
          <w:kern w:val="44"/>
        </w:rPr>
      </w:pPr>
      <w:bookmarkStart w:id="149" w:name="_Toc427651735"/>
      <w:bookmarkStart w:id="150" w:name="_Toc427651393"/>
      <w:bookmarkStart w:id="151" w:name="_Toc428781441"/>
      <w:bookmarkStart w:id="152" w:name="_Toc428779959"/>
      <w:bookmarkStart w:id="153" w:name="_Toc422471073"/>
      <w:r>
        <w:rPr>
          <w:rFonts w:hint="eastAsia"/>
          <w:kern w:val="44"/>
        </w:rPr>
        <w:t>（三）基层组织</w:t>
      </w:r>
      <w:bookmarkEnd w:id="149"/>
      <w:bookmarkEnd w:id="150"/>
      <w:bookmarkEnd w:id="151"/>
      <w:bookmarkEnd w:id="152"/>
      <w:bookmarkEnd w:id="153"/>
    </w:p>
    <w:p w14:paraId="53257604"/>
    <w:p w14:paraId="181D24DF">
      <w:pPr>
        <w:pStyle w:val="4"/>
        <w:rPr>
          <w:kern w:val="44"/>
        </w:rPr>
      </w:pPr>
      <w:bookmarkStart w:id="154" w:name="_Toc427651736"/>
      <w:bookmarkStart w:id="155" w:name="_Toc428781442"/>
      <w:bookmarkStart w:id="156" w:name="_Toc422471074"/>
      <w:bookmarkStart w:id="157" w:name="_Toc428779960"/>
      <w:bookmarkStart w:id="158" w:name="_Toc427651394"/>
      <w:r>
        <w:rPr>
          <w:rFonts w:hint="eastAsia"/>
          <w:kern w:val="44"/>
        </w:rPr>
        <w:t>北京市实施《中华人民共和国城市</w:t>
      </w:r>
      <w:bookmarkEnd w:id="154"/>
      <w:bookmarkEnd w:id="155"/>
      <w:bookmarkEnd w:id="156"/>
      <w:bookmarkEnd w:id="157"/>
      <w:bookmarkEnd w:id="158"/>
    </w:p>
    <w:p w14:paraId="023AD815">
      <w:pPr>
        <w:pStyle w:val="4"/>
        <w:rPr>
          <w:kern w:val="44"/>
        </w:rPr>
      </w:pPr>
      <w:bookmarkStart w:id="159" w:name="_Toc428779961"/>
      <w:bookmarkStart w:id="160" w:name="_Toc427651737"/>
      <w:bookmarkStart w:id="161" w:name="_Toc427651395"/>
      <w:bookmarkStart w:id="162" w:name="_Toc422471075"/>
      <w:bookmarkStart w:id="163" w:name="_Toc428781443"/>
      <w:r>
        <w:rPr>
          <w:rFonts w:hint="eastAsia"/>
          <w:kern w:val="44"/>
        </w:rPr>
        <w:t>居民委员会组织法》办法</w:t>
      </w:r>
      <w:bookmarkEnd w:id="159"/>
      <w:bookmarkEnd w:id="160"/>
      <w:bookmarkEnd w:id="161"/>
      <w:bookmarkEnd w:id="162"/>
      <w:bookmarkEnd w:id="163"/>
    </w:p>
    <w:p w14:paraId="1132A864">
      <w:pPr>
        <w:ind w:left="630" w:leftChars="300" w:right="630" w:rightChars="300"/>
        <w:jc w:val="left"/>
        <w:rPr>
          <w:rFonts w:ascii="楷体" w:hAnsi="楷体" w:eastAsia="楷体"/>
          <w:kern w:val="44"/>
        </w:rPr>
      </w:pPr>
      <w:r>
        <w:rPr>
          <w:rFonts w:hint="eastAsia" w:ascii="楷体" w:hAnsi="楷体" w:eastAsia="楷体"/>
          <w:kern w:val="44"/>
        </w:rPr>
        <w:t>（1991年12月21日北京市第九届人民代表大会常务委员会第三十一次会议通过  1991年12月21日北京市人民代表大会常务委员会公告第24号公布施行）</w:t>
      </w:r>
    </w:p>
    <w:p w14:paraId="17A332CC">
      <w:pPr>
        <w:jc w:val="left"/>
        <w:rPr>
          <w:rFonts w:ascii="楷体" w:hAnsi="楷体" w:eastAsia="楷体"/>
          <w:kern w:val="44"/>
        </w:rPr>
      </w:pPr>
    </w:p>
    <w:p w14:paraId="1244C8C7">
      <w:pPr>
        <w:spacing w:line="356" w:lineRule="exact"/>
        <w:ind w:firstLine="422"/>
        <w:jc w:val="left"/>
        <w:rPr>
          <w:rFonts w:ascii="宋体" w:hAnsi="宋体"/>
          <w:kern w:val="44"/>
        </w:rPr>
      </w:pPr>
      <w:r>
        <w:rPr>
          <w:rFonts w:hint="eastAsia" w:ascii="宋体" w:hAnsi="宋体"/>
          <w:b/>
          <w:kern w:val="44"/>
        </w:rPr>
        <w:t>第一条</w:t>
      </w:r>
      <w:r>
        <w:rPr>
          <w:rFonts w:hint="eastAsia" w:ascii="宋体" w:hAnsi="宋体"/>
          <w:kern w:val="44"/>
        </w:rPr>
        <w:t>　为了实施《中华人民共和国城市居民委员会组织法》，结合本市实际情况，制定本办法。</w:t>
      </w:r>
    </w:p>
    <w:p w14:paraId="1DF3B6DD">
      <w:pPr>
        <w:spacing w:line="356" w:lineRule="exact"/>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本办法适用于本市行政区域内的居民委员会。</w:t>
      </w:r>
    </w:p>
    <w:p w14:paraId="2B44400B">
      <w:pPr>
        <w:spacing w:line="356" w:lineRule="exact"/>
        <w:ind w:firstLine="422"/>
        <w:jc w:val="left"/>
        <w:rPr>
          <w:rFonts w:ascii="宋体" w:hAnsi="宋体"/>
          <w:kern w:val="44"/>
        </w:rPr>
      </w:pPr>
      <w:r>
        <w:rPr>
          <w:rFonts w:hint="eastAsia" w:ascii="宋体" w:hAnsi="宋体"/>
          <w:b/>
          <w:kern w:val="44"/>
        </w:rPr>
        <w:t>第三条</w:t>
      </w:r>
      <w:r>
        <w:rPr>
          <w:rFonts w:hint="eastAsia" w:ascii="宋体" w:hAnsi="宋体"/>
          <w:kern w:val="44"/>
        </w:rPr>
        <w:t>　居民委员会是居民自我管理、自我教育、自我服务的基层群众性自治组织。</w:t>
      </w:r>
    </w:p>
    <w:p w14:paraId="48580497">
      <w:pPr>
        <w:spacing w:line="356" w:lineRule="exact"/>
        <w:ind w:firstLine="422"/>
        <w:jc w:val="left"/>
        <w:rPr>
          <w:rFonts w:ascii="宋体" w:hAnsi="宋体"/>
          <w:kern w:val="44"/>
        </w:rPr>
      </w:pPr>
      <w:r>
        <w:rPr>
          <w:rFonts w:hint="eastAsia" w:ascii="宋体" w:hAnsi="宋体"/>
          <w:b/>
          <w:kern w:val="44"/>
        </w:rPr>
        <w:t>第四条</w:t>
      </w:r>
      <w:r>
        <w:rPr>
          <w:rFonts w:hint="eastAsia" w:ascii="宋体" w:hAnsi="宋体"/>
          <w:kern w:val="44"/>
        </w:rPr>
        <w:t>　本市各级人民政府和街道办事处对居民委员会的工作给予指导、支持和帮助。居民委员会协助本市各级人民政府和街道办事处开展工作。</w:t>
      </w:r>
    </w:p>
    <w:p w14:paraId="6D4D0513">
      <w:pPr>
        <w:spacing w:line="356" w:lineRule="exact"/>
        <w:ind w:firstLine="422"/>
        <w:jc w:val="left"/>
        <w:rPr>
          <w:rFonts w:ascii="宋体" w:hAnsi="宋体"/>
          <w:kern w:val="44"/>
        </w:rPr>
      </w:pPr>
      <w:r>
        <w:rPr>
          <w:rFonts w:hint="eastAsia" w:ascii="宋体" w:hAnsi="宋体"/>
          <w:b/>
          <w:kern w:val="44"/>
        </w:rPr>
        <w:t>第五条</w:t>
      </w:r>
      <w:r>
        <w:rPr>
          <w:rFonts w:hint="eastAsia" w:ascii="宋体" w:hAnsi="宋体"/>
          <w:kern w:val="44"/>
        </w:rPr>
        <w:t>　居民委员会的任务：</w:t>
      </w:r>
    </w:p>
    <w:p w14:paraId="07037F43">
      <w:pPr>
        <w:spacing w:line="356" w:lineRule="exact"/>
        <w:jc w:val="left"/>
        <w:rPr>
          <w:rFonts w:ascii="宋体" w:hAnsi="宋体"/>
          <w:kern w:val="44"/>
        </w:rPr>
      </w:pPr>
      <w:r>
        <w:rPr>
          <w:rFonts w:hint="eastAsia" w:ascii="宋体" w:hAnsi="宋体"/>
          <w:kern w:val="44"/>
        </w:rPr>
        <w:t>（一）宣传宪法、法律、法规、规章和国家的政策，维护居民的合法权益，教育居民履行依法应尽的义务，爱护公共财产，开展多种形式的社会主义精神文明建设活动；</w:t>
      </w:r>
    </w:p>
    <w:p w14:paraId="4BA1CB60">
      <w:pPr>
        <w:spacing w:line="356" w:lineRule="exact"/>
        <w:jc w:val="left"/>
        <w:rPr>
          <w:rFonts w:ascii="宋体" w:hAnsi="宋体"/>
          <w:kern w:val="44"/>
        </w:rPr>
      </w:pPr>
      <w:r>
        <w:rPr>
          <w:rFonts w:hint="eastAsia" w:ascii="宋体" w:hAnsi="宋体"/>
          <w:kern w:val="44"/>
        </w:rPr>
        <w:t>（二）办理本居住地区居民的公共事务和公益事业；</w:t>
      </w:r>
    </w:p>
    <w:p w14:paraId="76144119">
      <w:pPr>
        <w:spacing w:line="356" w:lineRule="exact"/>
        <w:jc w:val="left"/>
        <w:rPr>
          <w:rFonts w:ascii="宋体" w:hAnsi="宋体"/>
          <w:kern w:val="44"/>
        </w:rPr>
      </w:pPr>
      <w:r>
        <w:rPr>
          <w:rFonts w:hint="eastAsia" w:ascii="宋体" w:hAnsi="宋体"/>
          <w:kern w:val="44"/>
        </w:rPr>
        <w:t>（三）调解民间纠纷；</w:t>
      </w:r>
    </w:p>
    <w:p w14:paraId="5A09DC75">
      <w:pPr>
        <w:spacing w:line="356" w:lineRule="exact"/>
        <w:jc w:val="left"/>
        <w:rPr>
          <w:rFonts w:ascii="宋体" w:hAnsi="宋体"/>
          <w:kern w:val="44"/>
        </w:rPr>
      </w:pPr>
      <w:r>
        <w:rPr>
          <w:rFonts w:hint="eastAsia" w:ascii="宋体" w:hAnsi="宋体"/>
          <w:kern w:val="44"/>
        </w:rPr>
        <w:t>（四）协助维护社会治安；</w:t>
      </w:r>
    </w:p>
    <w:p w14:paraId="55B72447">
      <w:pPr>
        <w:spacing w:line="356" w:lineRule="exact"/>
        <w:jc w:val="left"/>
        <w:rPr>
          <w:rFonts w:ascii="宋体" w:hAnsi="宋体"/>
          <w:kern w:val="44"/>
        </w:rPr>
      </w:pPr>
      <w:r>
        <w:rPr>
          <w:rFonts w:hint="eastAsia" w:ascii="宋体" w:hAnsi="宋体"/>
          <w:kern w:val="44"/>
        </w:rPr>
        <w:t>（五）协助人民政府和街道办事处做好与居民利益有关的公共卫生、计划生育、社会福利、优抚救济、青少年教育保护等项工作；</w:t>
      </w:r>
    </w:p>
    <w:p w14:paraId="462FF6A5">
      <w:pPr>
        <w:spacing w:line="356" w:lineRule="exact"/>
        <w:jc w:val="left"/>
        <w:rPr>
          <w:rFonts w:ascii="宋体" w:hAnsi="宋体"/>
          <w:kern w:val="44"/>
        </w:rPr>
      </w:pPr>
      <w:r>
        <w:rPr>
          <w:rFonts w:hint="eastAsia" w:ascii="宋体" w:hAnsi="宋体"/>
          <w:kern w:val="44"/>
        </w:rPr>
        <w:t>（六）向人民政府和街道办事处反映居民的意见、要求和提出建议。</w:t>
      </w:r>
    </w:p>
    <w:p w14:paraId="7CC7453E">
      <w:pPr>
        <w:spacing w:line="356" w:lineRule="exact"/>
        <w:ind w:firstLine="422"/>
        <w:jc w:val="left"/>
        <w:rPr>
          <w:rFonts w:ascii="宋体" w:hAnsi="宋体"/>
          <w:kern w:val="44"/>
        </w:rPr>
      </w:pPr>
      <w:r>
        <w:rPr>
          <w:rFonts w:hint="eastAsia" w:ascii="宋体" w:hAnsi="宋体"/>
          <w:b/>
          <w:kern w:val="44"/>
        </w:rPr>
        <w:t>第六条</w:t>
      </w:r>
      <w:r>
        <w:rPr>
          <w:rFonts w:hint="eastAsia" w:ascii="宋体" w:hAnsi="宋体"/>
          <w:kern w:val="44"/>
        </w:rPr>
        <w:t>　居民委员会应当开展便民利民的社区服务活动，可以兴办有关的生产生活服务事业。生产生活服务事业的具体管理办法，由市人民政府制定。</w:t>
      </w:r>
    </w:p>
    <w:p w14:paraId="3511A644">
      <w:pPr>
        <w:spacing w:line="356" w:lineRule="exact"/>
        <w:ind w:firstLine="422"/>
        <w:jc w:val="left"/>
        <w:rPr>
          <w:rFonts w:ascii="宋体" w:hAnsi="宋体"/>
          <w:kern w:val="44"/>
        </w:rPr>
      </w:pPr>
      <w:r>
        <w:rPr>
          <w:rFonts w:hint="eastAsia" w:ascii="宋体" w:hAnsi="宋体"/>
          <w:b/>
          <w:kern w:val="44"/>
        </w:rPr>
        <w:t>第七条</w:t>
      </w:r>
      <w:r>
        <w:rPr>
          <w:rFonts w:hint="eastAsia" w:ascii="宋体" w:hAnsi="宋体"/>
          <w:kern w:val="44"/>
        </w:rPr>
        <w:t>　居民委员会管理本居民委员会的财产。任何部门、单位和个人不得侵犯居民委员会的财产所有权。</w:t>
      </w:r>
    </w:p>
    <w:p w14:paraId="28E1B494">
      <w:pPr>
        <w:spacing w:line="356" w:lineRule="exact"/>
        <w:ind w:firstLine="422"/>
        <w:jc w:val="left"/>
        <w:rPr>
          <w:rFonts w:ascii="宋体" w:hAnsi="宋体"/>
          <w:kern w:val="44"/>
        </w:rPr>
      </w:pPr>
      <w:r>
        <w:rPr>
          <w:rFonts w:hint="eastAsia" w:ascii="宋体" w:hAnsi="宋体"/>
          <w:b/>
          <w:kern w:val="44"/>
        </w:rPr>
        <w:t>第八条</w:t>
      </w:r>
      <w:r>
        <w:rPr>
          <w:rFonts w:hint="eastAsia" w:ascii="宋体" w:hAnsi="宋体"/>
          <w:kern w:val="44"/>
        </w:rPr>
        <w:t>　多民族居住地区的居民委员会，应当教育居民互相帮助，互相尊重，加强民族团结。</w:t>
      </w:r>
    </w:p>
    <w:p w14:paraId="546A075E">
      <w:pPr>
        <w:spacing w:line="356" w:lineRule="exact"/>
        <w:ind w:firstLine="422"/>
        <w:jc w:val="left"/>
        <w:rPr>
          <w:rFonts w:ascii="宋体" w:hAnsi="宋体"/>
          <w:kern w:val="44"/>
        </w:rPr>
      </w:pPr>
      <w:r>
        <w:rPr>
          <w:rFonts w:hint="eastAsia" w:ascii="宋体" w:hAnsi="宋体"/>
          <w:b/>
          <w:kern w:val="44"/>
        </w:rPr>
        <w:t>第九条</w:t>
      </w:r>
      <w:r>
        <w:rPr>
          <w:rFonts w:hint="eastAsia" w:ascii="宋体" w:hAnsi="宋体"/>
          <w:kern w:val="44"/>
        </w:rPr>
        <w:t>　居民委员会根据居民居住状况，按照便于居民自治的原则，一般在一百户至七百户的范围内设立。特殊情况下，可以在不足一百户或者超过七百户的范围内设立。</w:t>
      </w:r>
    </w:p>
    <w:p w14:paraId="2355E808">
      <w:pPr>
        <w:spacing w:line="356" w:lineRule="exact"/>
        <w:jc w:val="left"/>
        <w:rPr>
          <w:rFonts w:ascii="宋体" w:hAnsi="宋体"/>
          <w:kern w:val="44"/>
        </w:rPr>
      </w:pPr>
      <w:r>
        <w:rPr>
          <w:rFonts w:hint="eastAsia" w:ascii="宋体" w:hAnsi="宋体"/>
          <w:kern w:val="44"/>
        </w:rPr>
        <w:t>居民委员会的设立、撤销、规模调整，由所在地的街道办事处或者乡、民族乡、镇人民政府提出，报区、县人民政府决定。</w:t>
      </w:r>
    </w:p>
    <w:p w14:paraId="460338EB">
      <w:pPr>
        <w:spacing w:line="356" w:lineRule="exact"/>
        <w:ind w:firstLine="422"/>
        <w:jc w:val="left"/>
        <w:rPr>
          <w:rFonts w:ascii="宋体" w:hAnsi="宋体"/>
          <w:kern w:val="44"/>
        </w:rPr>
      </w:pPr>
      <w:r>
        <w:rPr>
          <w:rFonts w:hint="eastAsia" w:ascii="宋体" w:hAnsi="宋体"/>
          <w:b/>
          <w:kern w:val="44"/>
        </w:rPr>
        <w:t>第十条</w:t>
      </w:r>
      <w:r>
        <w:rPr>
          <w:rFonts w:hint="eastAsia" w:ascii="宋体" w:hAnsi="宋体"/>
          <w:kern w:val="44"/>
        </w:rPr>
        <w:t>　居民委员会由主任、副主任和委员共五至九人组成。因特殊情况需要增加或者减少居民委员会成员人数的，由所在地的街道办事处或者乡、民族乡、镇人民政府提出，报区、县人民政府批准。</w:t>
      </w:r>
    </w:p>
    <w:p w14:paraId="13591607">
      <w:pPr>
        <w:spacing w:line="356" w:lineRule="exact"/>
        <w:jc w:val="left"/>
        <w:rPr>
          <w:rFonts w:ascii="宋体" w:hAnsi="宋体"/>
          <w:kern w:val="44"/>
        </w:rPr>
      </w:pPr>
      <w:r>
        <w:rPr>
          <w:rFonts w:hint="eastAsia" w:ascii="宋体" w:hAnsi="宋体"/>
          <w:kern w:val="44"/>
        </w:rPr>
        <w:t>多民族居住地区的居民委员会中应当有人数较少的民族的成员。</w:t>
      </w:r>
    </w:p>
    <w:p w14:paraId="129832A0">
      <w:pPr>
        <w:spacing w:line="356" w:lineRule="exact"/>
        <w:ind w:firstLine="422"/>
        <w:jc w:val="left"/>
        <w:rPr>
          <w:rFonts w:ascii="宋体" w:hAnsi="宋体"/>
          <w:kern w:val="44"/>
        </w:rPr>
      </w:pPr>
      <w:r>
        <w:rPr>
          <w:rFonts w:hint="eastAsia" w:ascii="宋体" w:hAnsi="宋体"/>
          <w:b/>
          <w:kern w:val="44"/>
        </w:rPr>
        <w:t>第十一条</w:t>
      </w:r>
      <w:r>
        <w:rPr>
          <w:rFonts w:hint="eastAsia" w:ascii="宋体" w:hAnsi="宋体"/>
          <w:kern w:val="44"/>
        </w:rPr>
        <w:t>　居民委员会主任、副主任和委员，由本居住地区全体有选举权的居民或者由每户派代表选举产生；根据居民意见，也可以由每个居民小组选举代表二至三人选举产生。居民委员会每届任期三年，其成员可以连选连任。</w:t>
      </w:r>
    </w:p>
    <w:p w14:paraId="566632E0">
      <w:pPr>
        <w:spacing w:line="356" w:lineRule="exact"/>
        <w:jc w:val="left"/>
        <w:rPr>
          <w:rFonts w:ascii="宋体" w:hAnsi="宋体"/>
          <w:kern w:val="44"/>
        </w:rPr>
      </w:pPr>
      <w:r>
        <w:rPr>
          <w:rFonts w:hint="eastAsia" w:ascii="宋体" w:hAnsi="宋体"/>
          <w:kern w:val="44"/>
        </w:rPr>
        <w:t>居民委员会的选举工作，在区、县、乡、镇人民政府和街道办事处的指导下进行。居民委员会成立选举领导小组，主持本居民委员会的选举工作。</w:t>
      </w:r>
    </w:p>
    <w:p w14:paraId="3CB38CA6">
      <w:pPr>
        <w:spacing w:line="356" w:lineRule="exact"/>
        <w:ind w:firstLine="422"/>
        <w:jc w:val="left"/>
        <w:rPr>
          <w:rFonts w:ascii="宋体" w:hAnsi="宋体"/>
          <w:kern w:val="44"/>
        </w:rPr>
      </w:pPr>
      <w:r>
        <w:rPr>
          <w:rFonts w:hint="eastAsia" w:ascii="宋体" w:hAnsi="宋体"/>
          <w:b/>
          <w:kern w:val="44"/>
        </w:rPr>
        <w:t>第十二条</w:t>
      </w:r>
      <w:r>
        <w:rPr>
          <w:rFonts w:hint="eastAsia" w:ascii="宋体" w:hAnsi="宋体"/>
          <w:kern w:val="44"/>
        </w:rPr>
        <w:t>　年满十八周岁的本居住地区居民，不分民族、种族、性别、职业、家庭出身、宗教信仰、教育程度、财产状况、居住期限，都有选举权和被选举权；但是依照法律被剥夺政治权利的人除外。</w:t>
      </w:r>
    </w:p>
    <w:p w14:paraId="107D892E">
      <w:pPr>
        <w:spacing w:line="356" w:lineRule="exact"/>
        <w:ind w:firstLine="422"/>
        <w:jc w:val="left"/>
        <w:rPr>
          <w:rFonts w:ascii="宋体" w:hAnsi="宋体"/>
          <w:kern w:val="44"/>
        </w:rPr>
      </w:pPr>
      <w:r>
        <w:rPr>
          <w:rFonts w:hint="eastAsia" w:ascii="宋体" w:hAnsi="宋体"/>
          <w:b/>
          <w:kern w:val="44"/>
        </w:rPr>
        <w:t>第十三条</w:t>
      </w:r>
      <w:r>
        <w:rPr>
          <w:rFonts w:hint="eastAsia" w:ascii="宋体" w:hAnsi="宋体"/>
          <w:kern w:val="44"/>
        </w:rPr>
        <w:t>　居民委员会成员候选人，由有选举权的居民十人以上联合提名，或者由户代表五人以上联合提名；也可以由每个居民小组选举的代表联合提名。</w:t>
      </w:r>
    </w:p>
    <w:p w14:paraId="131E05E8">
      <w:pPr>
        <w:spacing w:line="356" w:lineRule="exact"/>
        <w:jc w:val="left"/>
        <w:rPr>
          <w:rFonts w:ascii="宋体" w:hAnsi="宋体"/>
          <w:kern w:val="44"/>
        </w:rPr>
      </w:pPr>
      <w:r>
        <w:rPr>
          <w:rFonts w:hint="eastAsia" w:ascii="宋体" w:hAnsi="宋体"/>
          <w:kern w:val="44"/>
        </w:rPr>
        <w:t>候选人一般应多于应选名额一至二人，实行差额选举；如果提名的候选人与应选名额相等，也可以等额选举。</w:t>
      </w:r>
    </w:p>
    <w:p w14:paraId="4E3F4E30">
      <w:pPr>
        <w:spacing w:line="356" w:lineRule="exact"/>
        <w:ind w:firstLine="422"/>
        <w:jc w:val="left"/>
        <w:rPr>
          <w:rFonts w:ascii="宋体" w:hAnsi="宋体"/>
          <w:kern w:val="44"/>
        </w:rPr>
      </w:pPr>
      <w:r>
        <w:rPr>
          <w:rFonts w:hint="eastAsia" w:ascii="宋体" w:hAnsi="宋体"/>
          <w:b/>
          <w:kern w:val="44"/>
        </w:rPr>
        <w:t>第十四条</w:t>
      </w:r>
      <w:r>
        <w:rPr>
          <w:rFonts w:hint="eastAsia" w:ascii="宋体" w:hAnsi="宋体"/>
          <w:kern w:val="44"/>
        </w:rPr>
        <w:t>　居民委员会成员可以向居民委员会提出辞职。居民委员会可以接受个别成员的辞职。居民委员会对其出缺的个别成员，可以从本地区居民中聘请代理人员，并提请居民会议补选。</w:t>
      </w:r>
    </w:p>
    <w:p w14:paraId="5892BC3A">
      <w:pPr>
        <w:spacing w:line="356" w:lineRule="exact"/>
        <w:ind w:firstLine="422"/>
        <w:jc w:val="left"/>
        <w:rPr>
          <w:rFonts w:ascii="宋体" w:hAnsi="宋体"/>
          <w:kern w:val="44"/>
        </w:rPr>
      </w:pPr>
      <w:r>
        <w:rPr>
          <w:rFonts w:hint="eastAsia" w:ascii="宋体" w:hAnsi="宋体"/>
          <w:b/>
          <w:kern w:val="44"/>
        </w:rPr>
        <w:t>第十五条</w:t>
      </w:r>
      <w:r>
        <w:rPr>
          <w:rFonts w:hint="eastAsia" w:ascii="宋体" w:hAnsi="宋体"/>
          <w:kern w:val="44"/>
        </w:rPr>
        <w:t>　居民会议由十八周岁以上的居民组成。</w:t>
      </w:r>
    </w:p>
    <w:p w14:paraId="36DB45F4">
      <w:pPr>
        <w:spacing w:line="356" w:lineRule="exact"/>
        <w:jc w:val="left"/>
        <w:rPr>
          <w:rFonts w:ascii="宋体" w:hAnsi="宋体"/>
          <w:kern w:val="44"/>
        </w:rPr>
      </w:pPr>
      <w:r>
        <w:rPr>
          <w:rFonts w:hint="eastAsia" w:ascii="宋体" w:hAnsi="宋体"/>
          <w:kern w:val="44"/>
        </w:rPr>
        <w:t>居民会议可以由全体十八周岁以上的居民或者每户派代表参加，也可以由每个居民小组选举代表二至三人参加。</w:t>
      </w:r>
    </w:p>
    <w:p w14:paraId="60CB61E1">
      <w:pPr>
        <w:spacing w:line="356" w:lineRule="exact"/>
        <w:jc w:val="left"/>
        <w:rPr>
          <w:rFonts w:ascii="宋体" w:hAnsi="宋体"/>
          <w:kern w:val="44"/>
        </w:rPr>
      </w:pPr>
      <w:r>
        <w:rPr>
          <w:rFonts w:hint="eastAsia" w:ascii="宋体" w:hAnsi="宋体"/>
          <w:kern w:val="44"/>
        </w:rPr>
        <w:t>居民会议必须有全体十八周岁以上的居民、户的代表或者居民小组选举的代表的过半数出席，才能举行。会议的决定，由出席人的过半数通过。</w:t>
      </w:r>
    </w:p>
    <w:p w14:paraId="4D1A231F">
      <w:pPr>
        <w:spacing w:line="356" w:lineRule="exact"/>
        <w:ind w:firstLine="422"/>
        <w:jc w:val="left"/>
        <w:rPr>
          <w:rFonts w:ascii="宋体" w:hAnsi="宋体"/>
          <w:kern w:val="44"/>
        </w:rPr>
      </w:pPr>
      <w:r>
        <w:rPr>
          <w:rFonts w:hint="eastAsia" w:ascii="宋体" w:hAnsi="宋体"/>
          <w:b/>
          <w:kern w:val="44"/>
        </w:rPr>
        <w:t>第十六条</w:t>
      </w:r>
      <w:r>
        <w:rPr>
          <w:rFonts w:hint="eastAsia" w:ascii="宋体" w:hAnsi="宋体"/>
          <w:kern w:val="44"/>
        </w:rPr>
        <w:t>　居民委员会向居民会议负责并报告工作。</w:t>
      </w:r>
    </w:p>
    <w:p w14:paraId="440AC02E">
      <w:pPr>
        <w:spacing w:line="356" w:lineRule="exact"/>
        <w:jc w:val="left"/>
        <w:rPr>
          <w:rFonts w:ascii="宋体" w:hAnsi="宋体"/>
          <w:kern w:val="44"/>
        </w:rPr>
      </w:pPr>
      <w:r>
        <w:rPr>
          <w:rFonts w:hint="eastAsia" w:ascii="宋体" w:hAnsi="宋体"/>
          <w:kern w:val="44"/>
        </w:rPr>
        <w:t>居民会议由居民委员会召集和主持。居民会议每年至少举行二次。有五分之一以上的十八周岁以上的居民、五分之一以上的户或者三分之一以上的居民小组提议，应当召集居民会议。</w:t>
      </w:r>
    </w:p>
    <w:p w14:paraId="2D997B40">
      <w:pPr>
        <w:spacing w:line="356" w:lineRule="exact"/>
        <w:ind w:firstLine="422"/>
        <w:jc w:val="left"/>
        <w:rPr>
          <w:rFonts w:ascii="宋体" w:hAnsi="宋体"/>
          <w:kern w:val="44"/>
        </w:rPr>
      </w:pPr>
      <w:r>
        <w:rPr>
          <w:rFonts w:hint="eastAsia" w:ascii="宋体" w:hAnsi="宋体"/>
          <w:b/>
          <w:kern w:val="44"/>
        </w:rPr>
        <w:t>第十七条</w:t>
      </w:r>
      <w:r>
        <w:rPr>
          <w:rFonts w:hint="eastAsia" w:ascii="宋体" w:hAnsi="宋体"/>
          <w:kern w:val="44"/>
        </w:rPr>
        <w:t>　居民会议的任务：</w:t>
      </w:r>
    </w:p>
    <w:p w14:paraId="1105AFA9">
      <w:pPr>
        <w:spacing w:line="356" w:lineRule="exact"/>
        <w:jc w:val="left"/>
        <w:rPr>
          <w:rFonts w:ascii="宋体" w:hAnsi="宋体"/>
          <w:kern w:val="44"/>
        </w:rPr>
      </w:pPr>
      <w:r>
        <w:rPr>
          <w:rFonts w:hint="eastAsia" w:ascii="宋体" w:hAnsi="宋体"/>
          <w:kern w:val="44"/>
        </w:rPr>
        <w:t>（一）制定居民公约；</w:t>
      </w:r>
    </w:p>
    <w:p w14:paraId="06AB78D9">
      <w:pPr>
        <w:spacing w:line="356" w:lineRule="exact"/>
        <w:jc w:val="left"/>
        <w:rPr>
          <w:rFonts w:ascii="宋体" w:hAnsi="宋体"/>
          <w:kern w:val="44"/>
        </w:rPr>
      </w:pPr>
      <w:r>
        <w:rPr>
          <w:rFonts w:hint="eastAsia" w:ascii="宋体" w:hAnsi="宋体"/>
          <w:kern w:val="44"/>
        </w:rPr>
        <w:t>（二）审议居民委员会的工作计划和工作报告；</w:t>
      </w:r>
    </w:p>
    <w:p w14:paraId="3BD90A05">
      <w:pPr>
        <w:spacing w:line="356" w:lineRule="exact"/>
        <w:jc w:val="left"/>
        <w:rPr>
          <w:rFonts w:ascii="宋体" w:hAnsi="宋体"/>
          <w:kern w:val="44"/>
        </w:rPr>
      </w:pPr>
      <w:r>
        <w:rPr>
          <w:rFonts w:hint="eastAsia" w:ascii="宋体" w:hAnsi="宋体"/>
          <w:kern w:val="44"/>
        </w:rPr>
        <w:t>（三）决定兴办本居住地区的公益事业；</w:t>
      </w:r>
    </w:p>
    <w:p w14:paraId="706E5D07">
      <w:pPr>
        <w:spacing w:line="356" w:lineRule="exact"/>
        <w:jc w:val="left"/>
        <w:rPr>
          <w:rFonts w:ascii="宋体" w:hAnsi="宋体"/>
          <w:kern w:val="44"/>
        </w:rPr>
      </w:pPr>
      <w:r>
        <w:rPr>
          <w:rFonts w:hint="eastAsia" w:ascii="宋体" w:hAnsi="宋体"/>
          <w:kern w:val="44"/>
        </w:rPr>
        <w:t>（四）撤换或者补选居民委员会成员；</w:t>
      </w:r>
    </w:p>
    <w:p w14:paraId="167462E4">
      <w:pPr>
        <w:spacing w:line="356" w:lineRule="exact"/>
        <w:jc w:val="left"/>
        <w:rPr>
          <w:rFonts w:ascii="宋体" w:hAnsi="宋体"/>
          <w:kern w:val="44"/>
        </w:rPr>
      </w:pPr>
      <w:r>
        <w:rPr>
          <w:rFonts w:hint="eastAsia" w:ascii="宋体" w:hAnsi="宋体"/>
          <w:kern w:val="44"/>
        </w:rPr>
        <w:t>（五）决定涉及本地区全体居民利益的其他重要问题。</w:t>
      </w:r>
    </w:p>
    <w:p w14:paraId="7CBA7F7F">
      <w:pPr>
        <w:spacing w:line="356" w:lineRule="exact"/>
        <w:ind w:firstLine="422"/>
        <w:jc w:val="left"/>
        <w:rPr>
          <w:rFonts w:ascii="宋体" w:hAnsi="宋体"/>
          <w:kern w:val="44"/>
        </w:rPr>
      </w:pPr>
      <w:r>
        <w:rPr>
          <w:rFonts w:hint="eastAsia" w:ascii="宋体" w:hAnsi="宋体"/>
          <w:b/>
          <w:kern w:val="44"/>
        </w:rPr>
        <w:t>第十八条</w:t>
      </w:r>
      <w:r>
        <w:rPr>
          <w:rFonts w:hint="eastAsia" w:ascii="宋体" w:hAnsi="宋体"/>
          <w:kern w:val="44"/>
        </w:rPr>
        <w:t>　居民公约须报街道办事处或者乡、民族乡、镇人民政府备案，由居民委员会组织、监督实施。居民应当执行居民会议的决定，遵守居民公约。</w:t>
      </w:r>
    </w:p>
    <w:p w14:paraId="6E2615C7">
      <w:pPr>
        <w:spacing w:line="356" w:lineRule="exact"/>
        <w:jc w:val="left"/>
        <w:rPr>
          <w:rFonts w:ascii="宋体" w:hAnsi="宋体"/>
          <w:kern w:val="44"/>
        </w:rPr>
      </w:pPr>
      <w:r>
        <w:rPr>
          <w:rFonts w:hint="eastAsia" w:ascii="宋体" w:hAnsi="宋体"/>
          <w:kern w:val="44"/>
        </w:rPr>
        <w:t>居民公约的内容不得与宪法、法律、法规、规章和国家的政策相抵触。</w:t>
      </w:r>
    </w:p>
    <w:p w14:paraId="15822B77">
      <w:pPr>
        <w:spacing w:line="356" w:lineRule="exact"/>
        <w:ind w:firstLine="422"/>
        <w:jc w:val="left"/>
        <w:rPr>
          <w:rFonts w:ascii="宋体" w:hAnsi="宋体"/>
          <w:kern w:val="44"/>
        </w:rPr>
      </w:pPr>
      <w:r>
        <w:rPr>
          <w:rFonts w:hint="eastAsia" w:ascii="宋体" w:hAnsi="宋体"/>
          <w:b/>
          <w:kern w:val="44"/>
        </w:rPr>
        <w:t>第十九条</w:t>
      </w:r>
      <w:r>
        <w:rPr>
          <w:rFonts w:hint="eastAsia" w:ascii="宋体" w:hAnsi="宋体"/>
          <w:kern w:val="44"/>
        </w:rPr>
        <w:t>　居民委员会决定问题，采取少数服从多数的原则。</w:t>
      </w:r>
    </w:p>
    <w:p w14:paraId="578DBDEB">
      <w:pPr>
        <w:spacing w:line="356" w:lineRule="exact"/>
        <w:jc w:val="left"/>
        <w:rPr>
          <w:rFonts w:ascii="宋体" w:hAnsi="宋体"/>
          <w:kern w:val="44"/>
        </w:rPr>
      </w:pPr>
      <w:r>
        <w:rPr>
          <w:rFonts w:hint="eastAsia" w:ascii="宋体" w:hAnsi="宋体"/>
          <w:kern w:val="44"/>
        </w:rPr>
        <w:t>居民委员会进行工作，应当采取民主和说服教育的方法，不得强迫命令。</w:t>
      </w:r>
    </w:p>
    <w:p w14:paraId="4CF0B5C1">
      <w:pPr>
        <w:spacing w:line="356" w:lineRule="exact"/>
        <w:ind w:firstLine="422"/>
        <w:jc w:val="left"/>
        <w:rPr>
          <w:rFonts w:ascii="宋体" w:hAnsi="宋体"/>
          <w:kern w:val="44"/>
        </w:rPr>
      </w:pPr>
      <w:r>
        <w:rPr>
          <w:rFonts w:hint="eastAsia" w:ascii="宋体" w:hAnsi="宋体"/>
          <w:b/>
          <w:kern w:val="44"/>
        </w:rPr>
        <w:t>第二十条</w:t>
      </w:r>
      <w:r>
        <w:rPr>
          <w:rFonts w:hint="eastAsia" w:ascii="宋体" w:hAnsi="宋体"/>
          <w:kern w:val="44"/>
        </w:rPr>
        <w:t>　居民委员会成员应当遵守宪法、法律、法规、规章和国家的政策，办事公道，发扬奉献精神，热心为居民服务。</w:t>
      </w:r>
    </w:p>
    <w:p w14:paraId="68A2FC5F">
      <w:pPr>
        <w:spacing w:line="356" w:lineRule="exact"/>
        <w:ind w:firstLine="422"/>
        <w:jc w:val="left"/>
        <w:rPr>
          <w:rFonts w:ascii="宋体" w:hAnsi="宋体"/>
          <w:kern w:val="44"/>
        </w:rPr>
      </w:pPr>
      <w:r>
        <w:rPr>
          <w:rFonts w:hint="eastAsia" w:ascii="宋体" w:hAnsi="宋体"/>
          <w:b/>
          <w:kern w:val="44"/>
        </w:rPr>
        <w:t>第二十一条</w:t>
      </w:r>
      <w:r>
        <w:rPr>
          <w:rFonts w:hint="eastAsia" w:ascii="宋体" w:hAnsi="宋体"/>
          <w:kern w:val="44"/>
        </w:rPr>
        <w:t>　居民委员会根据需要设人民调解、治安保卫、公共卫生、计划生育、社会福利、青少年教育保护等委员会。居民委员会成员可以兼任下属的委员会的主任或者副主任。</w:t>
      </w:r>
    </w:p>
    <w:p w14:paraId="20DE46CA">
      <w:pPr>
        <w:spacing w:line="356" w:lineRule="exact"/>
        <w:jc w:val="left"/>
        <w:rPr>
          <w:rFonts w:ascii="宋体" w:hAnsi="宋体"/>
          <w:kern w:val="44"/>
        </w:rPr>
      </w:pPr>
      <w:r>
        <w:rPr>
          <w:rFonts w:hint="eastAsia" w:ascii="宋体" w:hAnsi="宋体"/>
          <w:kern w:val="44"/>
        </w:rPr>
        <w:t>居民不足二百户的居民委员会可以不设下属的委员会，由居民委员会的成员分工负责有关工作。</w:t>
      </w:r>
    </w:p>
    <w:p w14:paraId="736995BD">
      <w:pPr>
        <w:spacing w:line="356" w:lineRule="exact"/>
        <w:ind w:firstLine="422"/>
        <w:jc w:val="left"/>
        <w:rPr>
          <w:rFonts w:ascii="宋体" w:hAnsi="宋体"/>
          <w:kern w:val="44"/>
        </w:rPr>
      </w:pPr>
      <w:r>
        <w:rPr>
          <w:rFonts w:hint="eastAsia" w:ascii="宋体" w:hAnsi="宋体"/>
          <w:b/>
          <w:kern w:val="44"/>
        </w:rPr>
        <w:t>第二十二条</w:t>
      </w:r>
      <w:r>
        <w:rPr>
          <w:rFonts w:hint="eastAsia" w:ascii="宋体" w:hAnsi="宋体"/>
          <w:kern w:val="44"/>
        </w:rPr>
        <w:t>　居民委员会可以根据居民居住状况，一般每十五户至五十户设立一个居民小组。居民小组的组长由本组居民推选。</w:t>
      </w:r>
    </w:p>
    <w:p w14:paraId="1E87BA2F">
      <w:pPr>
        <w:spacing w:line="356" w:lineRule="exact"/>
        <w:ind w:firstLine="422"/>
        <w:jc w:val="left"/>
        <w:rPr>
          <w:rFonts w:ascii="宋体" w:hAnsi="宋体"/>
          <w:kern w:val="44"/>
        </w:rPr>
      </w:pPr>
      <w:r>
        <w:rPr>
          <w:rFonts w:hint="eastAsia" w:ascii="宋体" w:hAnsi="宋体"/>
          <w:b/>
          <w:kern w:val="44"/>
        </w:rPr>
        <w:t>第二十三条</w:t>
      </w:r>
      <w:r>
        <w:rPr>
          <w:rFonts w:hint="eastAsia" w:ascii="宋体" w:hAnsi="宋体"/>
          <w:kern w:val="44"/>
        </w:rPr>
        <w:t>　依照法律被剥夺政治权利的人编入居民小组，居民委员会应当对他们进行监督和教育。</w:t>
      </w:r>
    </w:p>
    <w:p w14:paraId="539E3758">
      <w:pPr>
        <w:spacing w:line="356" w:lineRule="exact"/>
        <w:ind w:firstLine="422"/>
        <w:jc w:val="left"/>
        <w:rPr>
          <w:rFonts w:ascii="宋体" w:hAnsi="宋体"/>
          <w:kern w:val="44"/>
        </w:rPr>
      </w:pPr>
      <w:r>
        <w:rPr>
          <w:rFonts w:hint="eastAsia" w:ascii="宋体" w:hAnsi="宋体"/>
          <w:b/>
          <w:kern w:val="44"/>
        </w:rPr>
        <w:t>第二十四条</w:t>
      </w:r>
      <w:r>
        <w:rPr>
          <w:rFonts w:hint="eastAsia" w:ascii="宋体" w:hAnsi="宋体"/>
          <w:kern w:val="44"/>
        </w:rPr>
        <w:t>　居民委员会办理本居住地区的公益事业所需的费用，经居民会议讨论决定，可以根据自愿原则向居民筹集，也可以向本居住地区的受益单位筹集，但是必须经受益单位同意；收支账目应当及时公布，接受居民监督。</w:t>
      </w:r>
    </w:p>
    <w:p w14:paraId="06227655">
      <w:pPr>
        <w:spacing w:line="356" w:lineRule="exact"/>
        <w:ind w:firstLine="422"/>
        <w:jc w:val="left"/>
        <w:rPr>
          <w:rFonts w:ascii="宋体" w:hAnsi="宋体"/>
          <w:kern w:val="44"/>
        </w:rPr>
      </w:pPr>
      <w:r>
        <w:rPr>
          <w:rFonts w:hint="eastAsia" w:ascii="宋体" w:hAnsi="宋体"/>
          <w:b/>
          <w:kern w:val="44"/>
        </w:rPr>
        <w:t>第二十五条</w:t>
      </w:r>
      <w:r>
        <w:rPr>
          <w:rFonts w:hint="eastAsia" w:ascii="宋体" w:hAnsi="宋体"/>
          <w:kern w:val="44"/>
        </w:rPr>
        <w:t>　居民委员会的工作经费和居民委员会成员的生活补贴费应当得到保证。</w:t>
      </w:r>
    </w:p>
    <w:p w14:paraId="0FB968C4">
      <w:pPr>
        <w:spacing w:line="356" w:lineRule="exact"/>
        <w:jc w:val="left"/>
        <w:rPr>
          <w:rFonts w:ascii="宋体" w:hAnsi="宋体"/>
          <w:kern w:val="44"/>
        </w:rPr>
      </w:pPr>
      <w:r>
        <w:rPr>
          <w:rFonts w:hint="eastAsia" w:ascii="宋体" w:hAnsi="宋体"/>
          <w:kern w:val="44"/>
        </w:rPr>
        <w:t>居民委员会的工作经费和居民委员会成员的生活补贴费的范围、标准由市人民政府规定。所需费用由市和区、县人民政府负责解决，街道办事处或者乡、民族乡、镇人民政府可以给予适当补贴；经居民会议同意，也可以从居民委员会的经济收入中给予适当补助。</w:t>
      </w:r>
    </w:p>
    <w:p w14:paraId="13CDA7DD">
      <w:pPr>
        <w:spacing w:line="356" w:lineRule="exact"/>
        <w:ind w:firstLine="422"/>
        <w:jc w:val="left"/>
        <w:rPr>
          <w:rFonts w:ascii="宋体" w:hAnsi="宋体"/>
          <w:kern w:val="44"/>
        </w:rPr>
      </w:pPr>
      <w:r>
        <w:rPr>
          <w:rFonts w:hint="eastAsia" w:ascii="宋体" w:hAnsi="宋体"/>
          <w:b/>
          <w:kern w:val="44"/>
        </w:rPr>
        <w:t>第二十六条</w:t>
      </w:r>
      <w:r>
        <w:rPr>
          <w:rFonts w:hint="eastAsia" w:ascii="宋体" w:hAnsi="宋体"/>
          <w:kern w:val="44"/>
        </w:rPr>
        <w:t>　居民委员会的办公用房，由当地人民政府统筹解决。新建、改建居住区的居民委员会办公用房，应当纳入城市建设规划，并按照居住区公共设施配套建设的有关规定建设。</w:t>
      </w:r>
    </w:p>
    <w:p w14:paraId="75DB5F74">
      <w:pPr>
        <w:spacing w:line="356" w:lineRule="exact"/>
        <w:jc w:val="left"/>
        <w:rPr>
          <w:rFonts w:ascii="宋体" w:hAnsi="宋体"/>
          <w:kern w:val="44"/>
        </w:rPr>
      </w:pPr>
      <w:r>
        <w:rPr>
          <w:rFonts w:hint="eastAsia" w:ascii="宋体" w:hAnsi="宋体"/>
          <w:kern w:val="44"/>
        </w:rPr>
        <w:t>居民委员会为本地区居民兴办公益事业和开展便民利民的社区服务活动需要租用公有房屋的，房屋管理部门应当提供方便并予以照顾。</w:t>
      </w:r>
    </w:p>
    <w:p w14:paraId="0B101292">
      <w:pPr>
        <w:spacing w:line="356" w:lineRule="exact"/>
        <w:ind w:firstLine="422"/>
        <w:jc w:val="left"/>
        <w:rPr>
          <w:rFonts w:ascii="宋体" w:hAnsi="宋体"/>
          <w:kern w:val="44"/>
        </w:rPr>
      </w:pPr>
      <w:r>
        <w:rPr>
          <w:rFonts w:hint="eastAsia" w:ascii="宋体" w:hAnsi="宋体"/>
          <w:b/>
          <w:kern w:val="44"/>
        </w:rPr>
        <w:t>第二十七条</w:t>
      </w:r>
      <w:r>
        <w:rPr>
          <w:rFonts w:hint="eastAsia" w:ascii="宋体" w:hAnsi="宋体"/>
          <w:kern w:val="44"/>
        </w:rPr>
        <w:t>　机关、团体、部队、企业事业组织，不参加所在地的居民委员会，但是应当支持所在地的居民委员会的工作。所在地的居民委员会讨论同上述单位有关的问题，需要他们参加会议时，他们应当派代表参加，并且遵守居民委员会的有关决定和居民公约。</w:t>
      </w:r>
    </w:p>
    <w:p w14:paraId="5A3DEE51">
      <w:pPr>
        <w:spacing w:line="356" w:lineRule="exact"/>
        <w:jc w:val="left"/>
        <w:rPr>
          <w:rFonts w:ascii="宋体" w:hAnsi="宋体"/>
          <w:kern w:val="44"/>
        </w:rPr>
      </w:pPr>
      <w:r>
        <w:rPr>
          <w:rFonts w:hint="eastAsia" w:ascii="宋体" w:hAnsi="宋体"/>
          <w:kern w:val="44"/>
        </w:rPr>
        <w:t>前款所列单位的职工及家属、军人及随军家属，参加居住地区的居民委员会；家属聚居区应当单独成立家属委员会，承担居民委员会的工作，在区、县人民政府或者街道办事处、乡、民族乡、镇人民政府及本单位的指导下进行工作。家属委员会的工作经费、办公用房和家属委员会成员的生活补贴费，由所在单位解决。在家属委员会工作的在职人员，享受与所在单位其他职工同等的待遇。</w:t>
      </w:r>
    </w:p>
    <w:p w14:paraId="0DD58576">
      <w:pPr>
        <w:spacing w:line="356" w:lineRule="exact"/>
        <w:ind w:firstLine="422"/>
        <w:jc w:val="left"/>
        <w:rPr>
          <w:rFonts w:ascii="宋体" w:hAnsi="宋体"/>
          <w:kern w:val="44"/>
        </w:rPr>
      </w:pPr>
      <w:r>
        <w:rPr>
          <w:rFonts w:hint="eastAsia" w:ascii="宋体" w:hAnsi="宋体"/>
          <w:b/>
          <w:kern w:val="44"/>
        </w:rPr>
        <w:t>第二十八条</w:t>
      </w:r>
      <w:r>
        <w:rPr>
          <w:rFonts w:hint="eastAsia" w:ascii="宋体" w:hAnsi="宋体"/>
          <w:kern w:val="44"/>
        </w:rPr>
        <w:t>　本市各级人民政府有关部门，需要居民委员会或者它的下属委员会协助进行的工作，应当经区、县人民政府或者街道办事处、乡、民族乡、镇人民政府同意并统一安排。</w:t>
      </w:r>
    </w:p>
    <w:p w14:paraId="179229AB">
      <w:pPr>
        <w:spacing w:line="356" w:lineRule="exact"/>
        <w:jc w:val="left"/>
        <w:rPr>
          <w:rFonts w:ascii="宋体" w:hAnsi="宋体"/>
          <w:kern w:val="44"/>
        </w:rPr>
      </w:pPr>
      <w:r>
        <w:rPr>
          <w:rFonts w:hint="eastAsia" w:ascii="宋体" w:hAnsi="宋体"/>
          <w:kern w:val="44"/>
        </w:rPr>
        <w:t>未经区、县人民政府或者街道办事处、乡、民族乡、镇人民政府同意而要求居民委员会协助工作的，居民委员会可以拒绝。</w:t>
      </w:r>
    </w:p>
    <w:p w14:paraId="34F6DFC7">
      <w:pPr>
        <w:spacing w:line="356" w:lineRule="exact"/>
        <w:ind w:firstLine="422"/>
        <w:jc w:val="left"/>
        <w:rPr>
          <w:rFonts w:ascii="宋体" w:hAnsi="宋体"/>
          <w:kern w:val="44"/>
        </w:rPr>
      </w:pPr>
      <w:r>
        <w:rPr>
          <w:rFonts w:hint="eastAsia" w:ascii="宋体" w:hAnsi="宋体"/>
          <w:b/>
          <w:kern w:val="44"/>
        </w:rPr>
        <w:t>第二十九条</w:t>
      </w:r>
      <w:r>
        <w:rPr>
          <w:rFonts w:hint="eastAsia" w:ascii="宋体" w:hAnsi="宋体"/>
          <w:kern w:val="44"/>
        </w:rPr>
        <w:t>　本市各级人民政府应当对积极开展工作成绩显著的居民委员会及其成员，对支持、帮助居民委员会开展工作并有突出贡献的单位和个人给予表彰。</w:t>
      </w:r>
    </w:p>
    <w:p w14:paraId="4278D610">
      <w:pPr>
        <w:spacing w:line="356" w:lineRule="exact"/>
        <w:ind w:firstLine="422"/>
        <w:jc w:val="left"/>
        <w:rPr>
          <w:rFonts w:ascii="宋体" w:hAnsi="宋体"/>
          <w:kern w:val="44"/>
        </w:rPr>
      </w:pPr>
      <w:r>
        <w:rPr>
          <w:rFonts w:hint="eastAsia" w:ascii="宋体" w:hAnsi="宋体"/>
          <w:b/>
          <w:kern w:val="44"/>
        </w:rPr>
        <w:t>第三十条</w:t>
      </w:r>
      <w:r>
        <w:rPr>
          <w:rFonts w:hint="eastAsia" w:ascii="宋体" w:hAnsi="宋体"/>
          <w:kern w:val="44"/>
        </w:rPr>
        <w:t>　本办法具体应用中的问题，由北京市民政局负责解释。</w:t>
      </w:r>
    </w:p>
    <w:p w14:paraId="0DBE85F3">
      <w:pPr>
        <w:spacing w:line="356" w:lineRule="exact"/>
        <w:ind w:firstLine="422"/>
        <w:jc w:val="left"/>
        <w:rPr>
          <w:rFonts w:ascii="宋体" w:hAnsi="宋体"/>
          <w:kern w:val="44"/>
        </w:rPr>
      </w:pPr>
      <w:r>
        <w:rPr>
          <w:rFonts w:hint="eastAsia" w:ascii="宋体" w:hAnsi="宋体"/>
          <w:b/>
          <w:kern w:val="44"/>
        </w:rPr>
        <w:t>第三十一条</w:t>
      </w:r>
      <w:r>
        <w:rPr>
          <w:rFonts w:hint="eastAsia" w:ascii="宋体" w:hAnsi="宋体"/>
          <w:kern w:val="44"/>
        </w:rPr>
        <w:t>　本办法自公布之日起施行。</w:t>
      </w:r>
    </w:p>
    <w:p w14:paraId="3174B414">
      <w:pPr>
        <w:pStyle w:val="4"/>
        <w:pageBreakBefore/>
        <w:rPr>
          <w:kern w:val="44"/>
        </w:rPr>
      </w:pPr>
      <w:bookmarkStart w:id="164" w:name="_Toc427651396"/>
      <w:bookmarkStart w:id="165" w:name="_Toc427651738"/>
      <w:bookmarkStart w:id="166" w:name="_Toc428779962"/>
      <w:bookmarkStart w:id="167" w:name="_Toc428781444"/>
      <w:bookmarkStart w:id="168" w:name="_Toc422471076"/>
      <w:r>
        <w:rPr>
          <w:rFonts w:hint="eastAsia"/>
          <w:kern w:val="44"/>
        </w:rPr>
        <w:t>北京市村民委员会选举办法</w:t>
      </w:r>
      <w:bookmarkEnd w:id="164"/>
      <w:bookmarkEnd w:id="165"/>
      <w:bookmarkEnd w:id="166"/>
      <w:bookmarkEnd w:id="167"/>
      <w:bookmarkEnd w:id="168"/>
    </w:p>
    <w:p w14:paraId="3883771D">
      <w:pPr>
        <w:ind w:left="630" w:leftChars="300" w:right="630" w:rightChars="300"/>
        <w:jc w:val="left"/>
        <w:rPr>
          <w:rFonts w:ascii="楷体" w:hAnsi="楷体" w:eastAsia="楷体"/>
          <w:kern w:val="44"/>
        </w:rPr>
      </w:pPr>
      <w:r>
        <w:rPr>
          <w:rFonts w:hint="eastAsia" w:ascii="楷体" w:hAnsi="楷体" w:eastAsia="楷体"/>
          <w:kern w:val="44"/>
        </w:rPr>
        <w:t>（2000年9月22日北京市第十一届人民代表大会常务委员会第二十一次会议通过　2012年9月28日北京市第十三届人民代表大会常务委员会第三十五次会议修订）</w:t>
      </w:r>
    </w:p>
    <w:p w14:paraId="0A41B95B">
      <w:pPr>
        <w:ind w:left="630" w:leftChars="300" w:right="630" w:rightChars="300"/>
        <w:jc w:val="left"/>
        <w:rPr>
          <w:rFonts w:ascii="楷体" w:hAnsi="楷体" w:eastAsia="楷体"/>
          <w:kern w:val="44"/>
        </w:rPr>
      </w:pPr>
    </w:p>
    <w:p w14:paraId="4CEDF300">
      <w:pPr>
        <w:ind w:firstLine="0" w:firstLineChars="0"/>
        <w:jc w:val="center"/>
        <w:rPr>
          <w:rFonts w:ascii="宋体" w:hAnsi="宋体"/>
          <w:b/>
          <w:kern w:val="44"/>
          <w:sz w:val="28"/>
        </w:rPr>
      </w:pPr>
      <w:r>
        <w:rPr>
          <w:rFonts w:hint="eastAsia" w:ascii="宋体" w:hAnsi="宋体"/>
          <w:b/>
          <w:kern w:val="44"/>
          <w:sz w:val="28"/>
        </w:rPr>
        <w:t>第一章　总　则</w:t>
      </w:r>
    </w:p>
    <w:p w14:paraId="502F1610">
      <w:pPr>
        <w:jc w:val="left"/>
        <w:rPr>
          <w:rFonts w:ascii="宋体" w:hAnsi="宋体"/>
          <w:kern w:val="44"/>
        </w:rPr>
      </w:pPr>
    </w:p>
    <w:p w14:paraId="316F881B">
      <w:pPr>
        <w:ind w:firstLine="422"/>
        <w:jc w:val="left"/>
        <w:rPr>
          <w:rFonts w:ascii="宋体" w:hAnsi="宋体"/>
          <w:kern w:val="44"/>
        </w:rPr>
      </w:pPr>
      <w:r>
        <w:rPr>
          <w:rFonts w:hint="eastAsia" w:ascii="宋体" w:hAnsi="宋体"/>
          <w:b/>
          <w:kern w:val="44"/>
        </w:rPr>
        <w:t>第一条</w:t>
      </w:r>
      <w:r>
        <w:rPr>
          <w:rFonts w:hint="eastAsia" w:ascii="宋体" w:hAnsi="宋体"/>
          <w:kern w:val="44"/>
        </w:rPr>
        <w:t>　为规范村民委员会选举，保障村民依法行使民主权利，根据《中华人民共和国村民委员会组织法》，结合本市实际，制定本办法。</w:t>
      </w:r>
    </w:p>
    <w:p w14:paraId="68B996AB">
      <w:pPr>
        <w:ind w:firstLine="422"/>
        <w:jc w:val="left"/>
        <w:rPr>
          <w:rFonts w:ascii="宋体" w:hAnsi="宋体"/>
          <w:kern w:val="44"/>
        </w:rPr>
      </w:pPr>
      <w:r>
        <w:rPr>
          <w:rFonts w:hint="eastAsia" w:ascii="宋体" w:hAnsi="宋体"/>
          <w:b/>
          <w:kern w:val="44"/>
        </w:rPr>
        <w:t>第二条</w:t>
      </w:r>
      <w:r>
        <w:rPr>
          <w:rFonts w:hint="eastAsia" w:ascii="宋体" w:hAnsi="宋体"/>
          <w:kern w:val="44"/>
        </w:rPr>
        <w:t>　村民委员会主任、副主任和委员，由本村有选举权的村民直接选举产生。任何组织或者个人不得指定、委派或者撤换村民委员会成员。</w:t>
      </w:r>
    </w:p>
    <w:p w14:paraId="7AFA3F02">
      <w:pPr>
        <w:ind w:firstLine="422"/>
        <w:jc w:val="left"/>
        <w:rPr>
          <w:rFonts w:ascii="宋体" w:hAnsi="宋体"/>
          <w:kern w:val="44"/>
        </w:rPr>
      </w:pPr>
      <w:r>
        <w:rPr>
          <w:rFonts w:hint="eastAsia" w:ascii="宋体" w:hAnsi="宋体"/>
          <w:b/>
          <w:kern w:val="44"/>
        </w:rPr>
        <w:t>第三条</w:t>
      </w:r>
      <w:r>
        <w:rPr>
          <w:rFonts w:hint="eastAsia" w:ascii="宋体" w:hAnsi="宋体"/>
          <w:kern w:val="44"/>
        </w:rPr>
        <w:t>　村民委员会由主任、副主任和委员共三至七人组成，至少有一名妇女成员。村民委员会成员的具体人数和妇女成员所担任的职位由村民会议或者村民代表会议决定。</w:t>
      </w:r>
    </w:p>
    <w:p w14:paraId="760BBC07">
      <w:pPr>
        <w:ind w:firstLine="422"/>
        <w:jc w:val="left"/>
        <w:rPr>
          <w:rFonts w:ascii="宋体" w:hAnsi="宋体"/>
          <w:kern w:val="44"/>
        </w:rPr>
      </w:pPr>
      <w:r>
        <w:rPr>
          <w:rFonts w:hint="eastAsia" w:ascii="宋体" w:hAnsi="宋体"/>
          <w:b/>
          <w:kern w:val="44"/>
        </w:rPr>
        <w:t>第四条</w:t>
      </w:r>
      <w:r>
        <w:rPr>
          <w:rFonts w:hint="eastAsia" w:ascii="宋体" w:hAnsi="宋体"/>
          <w:kern w:val="44"/>
        </w:rPr>
        <w:t>　村民委员会每届任期三年，届满应当举行换届选举。村民委员会成员可以连选连任。</w:t>
      </w:r>
    </w:p>
    <w:p w14:paraId="4D6F288C">
      <w:pPr>
        <w:ind w:firstLine="422"/>
        <w:jc w:val="left"/>
        <w:rPr>
          <w:rFonts w:ascii="宋体" w:hAnsi="宋体"/>
          <w:kern w:val="44"/>
        </w:rPr>
      </w:pPr>
      <w:r>
        <w:rPr>
          <w:rFonts w:hint="eastAsia" w:ascii="宋体" w:hAnsi="宋体"/>
          <w:b/>
          <w:kern w:val="44"/>
        </w:rPr>
        <w:t>第五条</w:t>
      </w:r>
      <w:r>
        <w:rPr>
          <w:rFonts w:hint="eastAsia" w:ascii="宋体" w:hAnsi="宋体"/>
          <w:kern w:val="44"/>
        </w:rPr>
        <w:t>　村民委员会的换届选举工作由市人民政府统一部署。区、县和乡、民族乡、镇人民政府负责组织和指导选举工作的具体实施。</w:t>
      </w:r>
    </w:p>
    <w:p w14:paraId="311406EB">
      <w:pPr>
        <w:ind w:firstLine="422"/>
        <w:jc w:val="left"/>
        <w:rPr>
          <w:rFonts w:ascii="宋体" w:hAnsi="宋体"/>
          <w:kern w:val="44"/>
        </w:rPr>
      </w:pPr>
      <w:r>
        <w:rPr>
          <w:rFonts w:hint="eastAsia" w:ascii="宋体" w:hAnsi="宋体"/>
          <w:b/>
          <w:kern w:val="44"/>
        </w:rPr>
        <w:t>第六条</w:t>
      </w:r>
      <w:r>
        <w:rPr>
          <w:rFonts w:hint="eastAsia" w:ascii="宋体" w:hAnsi="宋体"/>
          <w:kern w:val="44"/>
        </w:rPr>
        <w:t>　中国共产党在农村的基层组织，按照《中国共产党章程》，在村民委员会选举工作中发挥领导核心作用，依照宪法和有关法律、法规，支持和保障村民直接行使民主权利。</w:t>
      </w:r>
    </w:p>
    <w:p w14:paraId="0988B5C4">
      <w:pPr>
        <w:ind w:firstLine="422"/>
        <w:jc w:val="left"/>
        <w:rPr>
          <w:rFonts w:ascii="宋体" w:hAnsi="宋体"/>
          <w:kern w:val="44"/>
        </w:rPr>
      </w:pPr>
      <w:r>
        <w:rPr>
          <w:rFonts w:hint="eastAsia" w:ascii="宋体" w:hAnsi="宋体"/>
          <w:b/>
          <w:kern w:val="44"/>
        </w:rPr>
        <w:t>第七条</w:t>
      </w:r>
      <w:r>
        <w:rPr>
          <w:rFonts w:hint="eastAsia" w:ascii="宋体" w:hAnsi="宋体"/>
          <w:kern w:val="44"/>
        </w:rPr>
        <w:t>　村民委员会的选举经费由村自行解决，确有困难的，乡、民族乡、镇人民政府应当给予适当补助。</w:t>
      </w:r>
    </w:p>
    <w:p w14:paraId="519CD6F6">
      <w:pPr>
        <w:jc w:val="left"/>
        <w:rPr>
          <w:rFonts w:ascii="宋体" w:hAnsi="宋体"/>
          <w:kern w:val="44"/>
        </w:rPr>
      </w:pPr>
      <w:r>
        <w:rPr>
          <w:rFonts w:hint="eastAsia" w:ascii="宋体" w:hAnsi="宋体"/>
          <w:kern w:val="44"/>
        </w:rPr>
        <w:t>各级人民政府组织指导村民委员会选举工作所需经费由同级财政安排。</w:t>
      </w:r>
    </w:p>
    <w:p w14:paraId="1619100F">
      <w:pPr>
        <w:jc w:val="left"/>
        <w:rPr>
          <w:rFonts w:ascii="宋体" w:hAnsi="宋体"/>
          <w:kern w:val="44"/>
        </w:rPr>
      </w:pPr>
    </w:p>
    <w:p w14:paraId="0FBD43D3">
      <w:pPr>
        <w:ind w:firstLine="0" w:firstLineChars="0"/>
        <w:jc w:val="center"/>
        <w:rPr>
          <w:rFonts w:ascii="宋体" w:hAnsi="宋体"/>
          <w:b/>
          <w:kern w:val="44"/>
          <w:sz w:val="28"/>
        </w:rPr>
      </w:pPr>
      <w:r>
        <w:rPr>
          <w:rFonts w:hint="eastAsia" w:ascii="宋体" w:hAnsi="宋体"/>
          <w:b/>
          <w:kern w:val="44"/>
          <w:sz w:val="28"/>
        </w:rPr>
        <w:t>第二章　选举工作机构</w:t>
      </w:r>
    </w:p>
    <w:p w14:paraId="0AF36831">
      <w:pPr>
        <w:jc w:val="left"/>
        <w:rPr>
          <w:rFonts w:ascii="宋体" w:hAnsi="宋体"/>
          <w:kern w:val="44"/>
        </w:rPr>
      </w:pPr>
    </w:p>
    <w:p w14:paraId="2CC9F096">
      <w:pPr>
        <w:ind w:firstLine="422"/>
        <w:jc w:val="left"/>
        <w:rPr>
          <w:rFonts w:ascii="宋体" w:hAnsi="宋体"/>
          <w:kern w:val="44"/>
        </w:rPr>
      </w:pPr>
      <w:r>
        <w:rPr>
          <w:rFonts w:hint="eastAsia" w:ascii="宋体" w:hAnsi="宋体"/>
          <w:b/>
          <w:kern w:val="44"/>
        </w:rPr>
        <w:t>第八条</w:t>
      </w:r>
      <w:r>
        <w:rPr>
          <w:rFonts w:hint="eastAsia" w:ascii="宋体" w:hAnsi="宋体"/>
          <w:kern w:val="44"/>
        </w:rPr>
        <w:t>　村民委员会选举期间，市和区、县人民政府成立负责村民委员会选举工作的机构，组织领导下级人民政府指导村民委员会选举工作。</w:t>
      </w:r>
    </w:p>
    <w:p w14:paraId="02E4A99F">
      <w:pPr>
        <w:jc w:val="left"/>
        <w:rPr>
          <w:rFonts w:ascii="宋体" w:hAnsi="宋体"/>
          <w:kern w:val="44"/>
        </w:rPr>
      </w:pPr>
      <w:r>
        <w:rPr>
          <w:rFonts w:hint="eastAsia" w:ascii="宋体" w:hAnsi="宋体"/>
          <w:kern w:val="44"/>
        </w:rPr>
        <w:t>乡、民族乡、镇人民政府成立村民委员会选举工作指导机构，负责制定本辖区村民委员会选举工作实施方案，部署选举工作，动员村民依法参加选举，协助确认登记参加选举的村民资格等工作。</w:t>
      </w:r>
    </w:p>
    <w:p w14:paraId="3CC98EBF">
      <w:pPr>
        <w:ind w:firstLine="422"/>
        <w:jc w:val="left"/>
        <w:rPr>
          <w:rFonts w:ascii="宋体" w:hAnsi="宋体"/>
          <w:kern w:val="44"/>
        </w:rPr>
      </w:pPr>
      <w:r>
        <w:rPr>
          <w:rFonts w:hint="eastAsia" w:ascii="宋体" w:hAnsi="宋体"/>
          <w:b/>
          <w:kern w:val="44"/>
        </w:rPr>
        <w:t>第九条</w:t>
      </w:r>
      <w:r>
        <w:rPr>
          <w:rFonts w:hint="eastAsia" w:ascii="宋体" w:hAnsi="宋体"/>
          <w:kern w:val="44"/>
        </w:rPr>
        <w:t>　村民委员会的选举工作由村民选举委员会主持。村民选举委员会由主任和委员共五至九人组成，由村民会议或者村民代表会议、各村民小组会议推选产生。</w:t>
      </w:r>
    </w:p>
    <w:p w14:paraId="3665A044">
      <w:pPr>
        <w:jc w:val="left"/>
        <w:rPr>
          <w:rFonts w:ascii="宋体" w:hAnsi="宋体"/>
          <w:kern w:val="44"/>
        </w:rPr>
      </w:pPr>
      <w:r>
        <w:rPr>
          <w:rFonts w:hint="eastAsia" w:ascii="宋体" w:hAnsi="宋体"/>
          <w:kern w:val="44"/>
        </w:rPr>
        <w:t>村民选举委员会成员名单应当及时向村民公告，并报乡、民族乡、镇人民政府备案。</w:t>
      </w:r>
    </w:p>
    <w:p w14:paraId="68D9BF8C">
      <w:pPr>
        <w:ind w:firstLine="422"/>
        <w:jc w:val="left"/>
        <w:rPr>
          <w:rFonts w:ascii="宋体" w:hAnsi="宋体"/>
          <w:kern w:val="44"/>
        </w:rPr>
      </w:pPr>
      <w:r>
        <w:rPr>
          <w:rFonts w:hint="eastAsia" w:ascii="宋体" w:hAnsi="宋体"/>
          <w:b/>
          <w:kern w:val="44"/>
        </w:rPr>
        <w:t>第十条</w:t>
      </w:r>
      <w:r>
        <w:rPr>
          <w:rFonts w:hint="eastAsia" w:ascii="宋体" w:hAnsi="宋体"/>
          <w:kern w:val="44"/>
        </w:rPr>
        <w:t>　 村民选举委员会履行下列职责：</w:t>
      </w:r>
    </w:p>
    <w:p w14:paraId="2A5395E0">
      <w:pPr>
        <w:jc w:val="left"/>
        <w:rPr>
          <w:rFonts w:ascii="宋体" w:hAnsi="宋体"/>
          <w:kern w:val="44"/>
        </w:rPr>
      </w:pPr>
      <w:r>
        <w:rPr>
          <w:rFonts w:hint="eastAsia" w:ascii="宋体" w:hAnsi="宋体"/>
          <w:kern w:val="44"/>
        </w:rPr>
        <w:t>（一）宣传选举的目的、意义和有关法律、法规；</w:t>
      </w:r>
    </w:p>
    <w:p w14:paraId="2C3975C2">
      <w:pPr>
        <w:jc w:val="left"/>
        <w:rPr>
          <w:rFonts w:ascii="宋体" w:hAnsi="宋体"/>
          <w:kern w:val="44"/>
        </w:rPr>
      </w:pPr>
      <w:r>
        <w:rPr>
          <w:rFonts w:hint="eastAsia" w:ascii="宋体" w:hAnsi="宋体"/>
          <w:kern w:val="44"/>
        </w:rPr>
        <w:t>（二）制定选举工作实施方案；</w:t>
      </w:r>
    </w:p>
    <w:p w14:paraId="668C2B12">
      <w:pPr>
        <w:jc w:val="left"/>
        <w:rPr>
          <w:rFonts w:ascii="宋体" w:hAnsi="宋体"/>
          <w:kern w:val="44"/>
        </w:rPr>
      </w:pPr>
      <w:r>
        <w:rPr>
          <w:rFonts w:hint="eastAsia" w:ascii="宋体" w:hAnsi="宋体"/>
          <w:kern w:val="44"/>
        </w:rPr>
        <w:t>（三）确定和培训选举工作人员；</w:t>
      </w:r>
    </w:p>
    <w:p w14:paraId="4BF49CEE">
      <w:pPr>
        <w:jc w:val="left"/>
        <w:rPr>
          <w:rFonts w:ascii="宋体" w:hAnsi="宋体"/>
          <w:kern w:val="44"/>
        </w:rPr>
      </w:pPr>
      <w:r>
        <w:rPr>
          <w:rFonts w:hint="eastAsia" w:ascii="宋体" w:hAnsi="宋体"/>
          <w:kern w:val="44"/>
        </w:rPr>
        <w:t>（四）审查、登记并公布参加选举的村民名单；</w:t>
      </w:r>
    </w:p>
    <w:p w14:paraId="3D03E0B8">
      <w:pPr>
        <w:jc w:val="left"/>
        <w:rPr>
          <w:rFonts w:ascii="宋体" w:hAnsi="宋体"/>
          <w:kern w:val="44"/>
        </w:rPr>
      </w:pPr>
      <w:r>
        <w:rPr>
          <w:rFonts w:hint="eastAsia" w:ascii="宋体" w:hAnsi="宋体"/>
          <w:kern w:val="44"/>
        </w:rPr>
        <w:t>（五）组织提名村民委员会成员候选人，审查候选人资格，确定并公布候选人名单，组织宣传介绍候选人；</w:t>
      </w:r>
    </w:p>
    <w:p w14:paraId="65C97637">
      <w:pPr>
        <w:jc w:val="left"/>
        <w:rPr>
          <w:rFonts w:ascii="宋体" w:hAnsi="宋体"/>
          <w:kern w:val="44"/>
        </w:rPr>
      </w:pPr>
      <w:r>
        <w:rPr>
          <w:rFonts w:hint="eastAsia" w:ascii="宋体" w:hAnsi="宋体"/>
          <w:kern w:val="44"/>
        </w:rPr>
        <w:t>（六）确定并公告选举日期、投票方式、投票地点和投票时间；</w:t>
      </w:r>
    </w:p>
    <w:p w14:paraId="4DF40D4C">
      <w:pPr>
        <w:jc w:val="left"/>
        <w:rPr>
          <w:rFonts w:ascii="宋体" w:hAnsi="宋体"/>
          <w:kern w:val="44"/>
        </w:rPr>
      </w:pPr>
      <w:r>
        <w:rPr>
          <w:rFonts w:hint="eastAsia" w:ascii="宋体" w:hAnsi="宋体"/>
          <w:kern w:val="44"/>
        </w:rPr>
        <w:t>（七）主持选举大会，组织选举投票、公开计票，认定疑难选票，确认选举效力，公布选举结果，并报乡、民族乡、镇人民政府备案；</w:t>
      </w:r>
    </w:p>
    <w:p w14:paraId="0A39C225">
      <w:pPr>
        <w:jc w:val="left"/>
        <w:rPr>
          <w:rFonts w:ascii="宋体" w:hAnsi="宋体"/>
          <w:kern w:val="44"/>
        </w:rPr>
      </w:pPr>
      <w:r>
        <w:rPr>
          <w:rFonts w:hint="eastAsia" w:ascii="宋体" w:hAnsi="宋体"/>
          <w:kern w:val="44"/>
        </w:rPr>
        <w:t>（八）受理有关选举工作的申诉；</w:t>
      </w:r>
    </w:p>
    <w:p w14:paraId="2B2F3ECB">
      <w:pPr>
        <w:jc w:val="left"/>
        <w:rPr>
          <w:rFonts w:ascii="宋体" w:hAnsi="宋体"/>
          <w:kern w:val="44"/>
        </w:rPr>
      </w:pPr>
      <w:r>
        <w:rPr>
          <w:rFonts w:hint="eastAsia" w:ascii="宋体" w:hAnsi="宋体"/>
          <w:kern w:val="44"/>
        </w:rPr>
        <w:t>（九）主持村民委员会的工作移交；</w:t>
      </w:r>
    </w:p>
    <w:p w14:paraId="1E79809E">
      <w:pPr>
        <w:jc w:val="left"/>
        <w:rPr>
          <w:rFonts w:ascii="宋体" w:hAnsi="宋体"/>
          <w:kern w:val="44"/>
        </w:rPr>
      </w:pPr>
      <w:r>
        <w:rPr>
          <w:rFonts w:hint="eastAsia" w:ascii="宋体" w:hAnsi="宋体"/>
          <w:kern w:val="44"/>
        </w:rPr>
        <w:t>（十）总结选举工作，整理、建立选举工作档案；</w:t>
      </w:r>
    </w:p>
    <w:p w14:paraId="347288BC">
      <w:pPr>
        <w:jc w:val="left"/>
        <w:rPr>
          <w:rFonts w:ascii="宋体" w:hAnsi="宋体"/>
          <w:kern w:val="44"/>
        </w:rPr>
      </w:pPr>
      <w:r>
        <w:rPr>
          <w:rFonts w:hint="eastAsia" w:ascii="宋体" w:hAnsi="宋体"/>
          <w:kern w:val="44"/>
        </w:rPr>
        <w:t>（十一）办理其他选举工作事项。</w:t>
      </w:r>
    </w:p>
    <w:p w14:paraId="627032A5">
      <w:pPr>
        <w:jc w:val="left"/>
        <w:rPr>
          <w:rFonts w:ascii="宋体" w:hAnsi="宋体"/>
          <w:kern w:val="44"/>
        </w:rPr>
      </w:pPr>
      <w:r>
        <w:rPr>
          <w:rFonts w:hint="eastAsia" w:ascii="宋体" w:hAnsi="宋体"/>
          <w:kern w:val="44"/>
        </w:rPr>
        <w:t>村民选举委员会遵循少数服从多数的议事原则。</w:t>
      </w:r>
    </w:p>
    <w:p w14:paraId="2BDA092A">
      <w:pPr>
        <w:jc w:val="left"/>
        <w:rPr>
          <w:rFonts w:ascii="宋体" w:hAnsi="宋体"/>
          <w:kern w:val="44"/>
        </w:rPr>
      </w:pPr>
      <w:r>
        <w:rPr>
          <w:rFonts w:hint="eastAsia" w:ascii="宋体" w:hAnsi="宋体"/>
          <w:kern w:val="44"/>
        </w:rPr>
        <w:t>村民选举委员会履行职责，从组成之日起至完成村民委员会工作交接之日止。</w:t>
      </w:r>
    </w:p>
    <w:p w14:paraId="4D629E0B">
      <w:pPr>
        <w:ind w:firstLine="422"/>
        <w:jc w:val="left"/>
        <w:rPr>
          <w:rFonts w:ascii="宋体" w:hAnsi="宋体"/>
          <w:kern w:val="44"/>
        </w:rPr>
      </w:pPr>
      <w:r>
        <w:rPr>
          <w:rFonts w:hint="eastAsia" w:ascii="宋体" w:hAnsi="宋体"/>
          <w:b/>
          <w:kern w:val="44"/>
        </w:rPr>
        <w:t>第十一条</w:t>
      </w:r>
      <w:r>
        <w:rPr>
          <w:rFonts w:hint="eastAsia" w:ascii="宋体" w:hAnsi="宋体"/>
          <w:kern w:val="44"/>
        </w:rPr>
        <w:t>　村民选举委员会成员不依法履行职责的，经村民会议、村民代表会议或者推选其为村民选举委员会成员的村民小组会议讨论决定，予以免职。乡、民族乡、镇村民委员会选举工作指导机构对不依法履行职责的村民选举委员会成员，可以提出免职建议。</w:t>
      </w:r>
    </w:p>
    <w:p w14:paraId="0F22145F">
      <w:pPr>
        <w:jc w:val="left"/>
        <w:rPr>
          <w:rFonts w:ascii="宋体" w:hAnsi="宋体"/>
          <w:kern w:val="44"/>
        </w:rPr>
      </w:pPr>
      <w:r>
        <w:rPr>
          <w:rFonts w:hint="eastAsia" w:ascii="宋体" w:hAnsi="宋体"/>
          <w:kern w:val="44"/>
        </w:rPr>
        <w:t>村民选举委员会成员被提名为村民委员会成员候选人，应当退出村民选举委员会。</w:t>
      </w:r>
    </w:p>
    <w:p w14:paraId="3007D8AD">
      <w:pPr>
        <w:jc w:val="left"/>
        <w:rPr>
          <w:rFonts w:ascii="宋体" w:hAnsi="宋体"/>
          <w:kern w:val="44"/>
        </w:rPr>
      </w:pPr>
      <w:r>
        <w:rPr>
          <w:rFonts w:hint="eastAsia" w:ascii="宋体" w:hAnsi="宋体"/>
          <w:kern w:val="44"/>
        </w:rPr>
        <w:t>村民选举委员会因故出现缺额，按照原推选结果依次递补；没有候补人选的，也可另行推选。</w:t>
      </w:r>
    </w:p>
    <w:p w14:paraId="0C257B28">
      <w:pPr>
        <w:jc w:val="left"/>
        <w:rPr>
          <w:rFonts w:ascii="宋体" w:hAnsi="宋体"/>
          <w:kern w:val="44"/>
        </w:rPr>
      </w:pPr>
    </w:p>
    <w:p w14:paraId="61FAEA64">
      <w:pPr>
        <w:ind w:firstLine="0" w:firstLineChars="0"/>
        <w:jc w:val="center"/>
        <w:rPr>
          <w:rFonts w:ascii="宋体" w:hAnsi="宋体"/>
          <w:b/>
          <w:kern w:val="44"/>
          <w:sz w:val="28"/>
        </w:rPr>
      </w:pPr>
      <w:r>
        <w:rPr>
          <w:rFonts w:hint="eastAsia" w:ascii="宋体" w:hAnsi="宋体"/>
          <w:b/>
          <w:kern w:val="44"/>
          <w:sz w:val="28"/>
        </w:rPr>
        <w:t>第三章　参加选举村民的登记</w:t>
      </w:r>
    </w:p>
    <w:p w14:paraId="705229CC">
      <w:pPr>
        <w:jc w:val="left"/>
        <w:rPr>
          <w:rFonts w:ascii="宋体" w:hAnsi="宋体"/>
          <w:kern w:val="44"/>
        </w:rPr>
      </w:pPr>
    </w:p>
    <w:p w14:paraId="7772E797">
      <w:pPr>
        <w:ind w:firstLine="422"/>
        <w:jc w:val="left"/>
        <w:rPr>
          <w:rFonts w:ascii="宋体" w:hAnsi="宋体"/>
          <w:kern w:val="44"/>
        </w:rPr>
      </w:pPr>
      <w:r>
        <w:rPr>
          <w:rFonts w:hint="eastAsia" w:ascii="宋体" w:hAnsi="宋体"/>
          <w:b/>
          <w:kern w:val="44"/>
        </w:rPr>
        <w:t>第十二条</w:t>
      </w:r>
      <w:r>
        <w:rPr>
          <w:rFonts w:hint="eastAsia" w:ascii="宋体" w:hAnsi="宋体"/>
          <w:kern w:val="44"/>
        </w:rPr>
        <w:t>　年满十八周岁的村民，不分民族、种族、性别、职业、家庭出身、宗教信仰、教育程度、财产状况、居住期限，都有选举权和被选举权；但是，依照法律被剥夺政治权利的人除外。</w:t>
      </w:r>
    </w:p>
    <w:p w14:paraId="4FE52D94">
      <w:pPr>
        <w:jc w:val="left"/>
        <w:rPr>
          <w:rFonts w:ascii="宋体" w:hAnsi="宋体"/>
          <w:kern w:val="44"/>
        </w:rPr>
      </w:pPr>
      <w:r>
        <w:rPr>
          <w:rFonts w:hint="eastAsia" w:ascii="宋体" w:hAnsi="宋体"/>
          <w:kern w:val="44"/>
        </w:rPr>
        <w:t>村民的年龄计算到选举日为止。</w:t>
      </w:r>
    </w:p>
    <w:p w14:paraId="451D3941">
      <w:pPr>
        <w:ind w:firstLine="422"/>
        <w:jc w:val="left"/>
        <w:rPr>
          <w:rFonts w:ascii="宋体" w:hAnsi="宋体"/>
          <w:kern w:val="44"/>
        </w:rPr>
      </w:pPr>
      <w:r>
        <w:rPr>
          <w:rFonts w:hint="eastAsia" w:ascii="宋体" w:hAnsi="宋体"/>
          <w:b/>
          <w:kern w:val="44"/>
        </w:rPr>
        <w:t>第十三条</w:t>
      </w:r>
      <w:r>
        <w:rPr>
          <w:rFonts w:hint="eastAsia" w:ascii="宋体" w:hAnsi="宋体"/>
          <w:kern w:val="44"/>
        </w:rPr>
        <w:t>　村民委员会选举前，应当对下列人员进行登记，列入参加选举村民名单：</w:t>
      </w:r>
    </w:p>
    <w:p w14:paraId="72E48F83">
      <w:pPr>
        <w:jc w:val="left"/>
        <w:rPr>
          <w:rFonts w:ascii="宋体" w:hAnsi="宋体"/>
          <w:kern w:val="44"/>
        </w:rPr>
      </w:pPr>
      <w:r>
        <w:rPr>
          <w:rFonts w:hint="eastAsia" w:ascii="宋体" w:hAnsi="宋体"/>
          <w:kern w:val="44"/>
        </w:rPr>
        <w:t>（一）户籍在本村并且在本村居住的村民；</w:t>
      </w:r>
    </w:p>
    <w:p w14:paraId="561A793D">
      <w:pPr>
        <w:jc w:val="left"/>
        <w:rPr>
          <w:rFonts w:ascii="宋体" w:hAnsi="宋体"/>
          <w:kern w:val="44"/>
        </w:rPr>
      </w:pPr>
      <w:r>
        <w:rPr>
          <w:rFonts w:hint="eastAsia" w:ascii="宋体" w:hAnsi="宋体"/>
          <w:kern w:val="44"/>
        </w:rPr>
        <w:t>（二）户籍在本村，不在本村居住，本人表示参加选举的村民；</w:t>
      </w:r>
    </w:p>
    <w:p w14:paraId="72C05E7D">
      <w:pPr>
        <w:jc w:val="left"/>
        <w:rPr>
          <w:rFonts w:ascii="宋体" w:hAnsi="宋体"/>
          <w:kern w:val="44"/>
        </w:rPr>
      </w:pPr>
      <w:r>
        <w:rPr>
          <w:rFonts w:hint="eastAsia" w:ascii="宋体" w:hAnsi="宋体"/>
          <w:kern w:val="44"/>
        </w:rPr>
        <w:t>（三）原为本村农业户籍，现已转为非农业户籍，但仍在本村居住或者工作，并且未参加居民委员会选举，经村民会议或者村民代表会议同意参加选举的人员；</w:t>
      </w:r>
    </w:p>
    <w:p w14:paraId="726BA6FF">
      <w:pPr>
        <w:jc w:val="left"/>
        <w:rPr>
          <w:rFonts w:ascii="宋体" w:hAnsi="宋体"/>
          <w:kern w:val="44"/>
        </w:rPr>
      </w:pPr>
      <w:r>
        <w:rPr>
          <w:rFonts w:hint="eastAsia" w:ascii="宋体" w:hAnsi="宋体"/>
          <w:kern w:val="44"/>
        </w:rPr>
        <w:t>（四）户籍不在本村，在本村居住或者工作一年以上，本人申请参加选举，并且经村民会议或者村民代表会议同意参加选举的公民。</w:t>
      </w:r>
    </w:p>
    <w:p w14:paraId="69723DAE">
      <w:pPr>
        <w:jc w:val="left"/>
        <w:rPr>
          <w:rFonts w:ascii="宋体" w:hAnsi="宋体"/>
          <w:kern w:val="44"/>
        </w:rPr>
      </w:pPr>
      <w:r>
        <w:rPr>
          <w:rFonts w:hint="eastAsia" w:ascii="宋体" w:hAnsi="宋体"/>
          <w:kern w:val="44"/>
        </w:rPr>
        <w:t>已在户籍所在地或者居住地登记参加选举的人员，不得再参加其他地方村民委员会选举。</w:t>
      </w:r>
    </w:p>
    <w:p w14:paraId="1F10DF12">
      <w:pPr>
        <w:ind w:firstLine="422"/>
        <w:jc w:val="left"/>
        <w:rPr>
          <w:rFonts w:ascii="宋体" w:hAnsi="宋体"/>
          <w:kern w:val="44"/>
        </w:rPr>
      </w:pPr>
      <w:r>
        <w:rPr>
          <w:rFonts w:hint="eastAsia" w:ascii="宋体" w:hAnsi="宋体"/>
          <w:b/>
          <w:kern w:val="44"/>
        </w:rPr>
        <w:t>第十四条</w:t>
      </w:r>
      <w:r>
        <w:rPr>
          <w:rFonts w:hint="eastAsia" w:ascii="宋体" w:hAnsi="宋体"/>
          <w:kern w:val="44"/>
        </w:rPr>
        <w:t>　村民有下列情形之一，经村民选举委员会确认，不列入参加选举的村民名单：</w:t>
      </w:r>
    </w:p>
    <w:p w14:paraId="27D66A41">
      <w:pPr>
        <w:jc w:val="left"/>
        <w:rPr>
          <w:rFonts w:ascii="宋体" w:hAnsi="宋体"/>
          <w:kern w:val="44"/>
        </w:rPr>
      </w:pPr>
      <w:r>
        <w:rPr>
          <w:rFonts w:hint="eastAsia" w:ascii="宋体" w:hAnsi="宋体"/>
          <w:kern w:val="44"/>
        </w:rPr>
        <w:t>（一）丧失行为能力的；</w:t>
      </w:r>
    </w:p>
    <w:p w14:paraId="57B94FB7">
      <w:pPr>
        <w:jc w:val="left"/>
        <w:rPr>
          <w:rFonts w:ascii="宋体" w:hAnsi="宋体"/>
          <w:kern w:val="44"/>
        </w:rPr>
      </w:pPr>
      <w:r>
        <w:rPr>
          <w:rFonts w:hint="eastAsia" w:ascii="宋体" w:hAnsi="宋体"/>
          <w:kern w:val="44"/>
        </w:rPr>
        <w:t>（二）依照法律被剥夺政治权利的；</w:t>
      </w:r>
    </w:p>
    <w:p w14:paraId="58C9CB01">
      <w:pPr>
        <w:jc w:val="left"/>
        <w:rPr>
          <w:rFonts w:ascii="宋体" w:hAnsi="宋体"/>
          <w:kern w:val="44"/>
        </w:rPr>
      </w:pPr>
      <w:r>
        <w:rPr>
          <w:rFonts w:hint="eastAsia" w:ascii="宋体" w:hAnsi="宋体"/>
          <w:kern w:val="44"/>
        </w:rPr>
        <w:t>（三）登记期间，经公告、电话、信函等多种方式确实无法取得联系的。</w:t>
      </w:r>
    </w:p>
    <w:p w14:paraId="019E8D4E">
      <w:pPr>
        <w:jc w:val="left"/>
        <w:rPr>
          <w:rFonts w:ascii="宋体" w:hAnsi="宋体"/>
          <w:kern w:val="44"/>
        </w:rPr>
      </w:pPr>
      <w:r>
        <w:rPr>
          <w:rFonts w:hint="eastAsia" w:ascii="宋体" w:hAnsi="宋体"/>
          <w:kern w:val="44"/>
        </w:rPr>
        <w:t>选举日前，以上情形消失的，经村民选举委员会确认，应当列入参加选举的村民名单。</w:t>
      </w:r>
    </w:p>
    <w:p w14:paraId="14CE3FBC">
      <w:pPr>
        <w:ind w:firstLine="422"/>
        <w:jc w:val="left"/>
        <w:rPr>
          <w:rFonts w:ascii="宋体" w:hAnsi="宋体"/>
          <w:kern w:val="44"/>
        </w:rPr>
      </w:pPr>
      <w:r>
        <w:rPr>
          <w:rFonts w:hint="eastAsia" w:ascii="宋体" w:hAnsi="宋体"/>
          <w:b/>
          <w:kern w:val="44"/>
        </w:rPr>
        <w:t>第十五条</w:t>
      </w:r>
      <w:r>
        <w:rPr>
          <w:rFonts w:hint="eastAsia" w:ascii="宋体" w:hAnsi="宋体"/>
          <w:kern w:val="44"/>
        </w:rPr>
        <w:t>　登记参加选举的村民名单应当在选举日的二十日前由村民选举委员会张榜公布。村民对登记参加选举的村民名单有异议的，应当自名单公布之日起五日内向村民选举委员会提出申诉；村民选举委员会应当自收到申诉之日起三日内作出书面处理决定，并公布处理结果。</w:t>
      </w:r>
    </w:p>
    <w:p w14:paraId="2CEC8C5E">
      <w:pPr>
        <w:jc w:val="left"/>
        <w:rPr>
          <w:rFonts w:ascii="宋体" w:hAnsi="宋体"/>
          <w:kern w:val="44"/>
        </w:rPr>
      </w:pPr>
      <w:r>
        <w:rPr>
          <w:rFonts w:hint="eastAsia" w:ascii="宋体" w:hAnsi="宋体"/>
          <w:kern w:val="44"/>
        </w:rPr>
        <w:t>对登记参加选举的村民，由村民选举委员会发给参选证。</w:t>
      </w:r>
    </w:p>
    <w:p w14:paraId="4F454C24">
      <w:pPr>
        <w:jc w:val="left"/>
        <w:rPr>
          <w:rFonts w:ascii="宋体" w:hAnsi="宋体"/>
          <w:kern w:val="44"/>
        </w:rPr>
      </w:pPr>
    </w:p>
    <w:p w14:paraId="7D7A598A">
      <w:pPr>
        <w:ind w:firstLine="0" w:firstLineChars="0"/>
        <w:jc w:val="center"/>
        <w:rPr>
          <w:rFonts w:ascii="宋体" w:hAnsi="宋体"/>
          <w:b/>
          <w:kern w:val="44"/>
          <w:sz w:val="28"/>
        </w:rPr>
      </w:pPr>
      <w:r>
        <w:rPr>
          <w:rFonts w:hint="eastAsia" w:ascii="宋体" w:hAnsi="宋体"/>
          <w:b/>
          <w:kern w:val="44"/>
          <w:sz w:val="28"/>
        </w:rPr>
        <w:t>第四章　候选人的产生</w:t>
      </w:r>
    </w:p>
    <w:p w14:paraId="5EFCF9AB">
      <w:pPr>
        <w:jc w:val="left"/>
        <w:rPr>
          <w:rFonts w:ascii="宋体" w:hAnsi="宋体"/>
          <w:kern w:val="44"/>
        </w:rPr>
      </w:pPr>
    </w:p>
    <w:p w14:paraId="7DE1195C">
      <w:pPr>
        <w:ind w:firstLine="422"/>
        <w:jc w:val="left"/>
        <w:rPr>
          <w:rFonts w:ascii="宋体" w:hAnsi="宋体"/>
          <w:kern w:val="44"/>
        </w:rPr>
      </w:pPr>
      <w:r>
        <w:rPr>
          <w:rFonts w:hint="eastAsia" w:ascii="宋体" w:hAnsi="宋体"/>
          <w:b/>
          <w:kern w:val="44"/>
        </w:rPr>
        <w:t>第十六条</w:t>
      </w:r>
      <w:r>
        <w:rPr>
          <w:rFonts w:hint="eastAsia" w:ascii="宋体" w:hAnsi="宋体"/>
          <w:kern w:val="44"/>
        </w:rPr>
        <w:t>　村民委员会成员候选人，由登记参加选举的村民直接提名产生。村民选举委员会应当组织召开候选人提名会议，投票产生候选人。提名会议应当有登记参加选举的村民过半数参加。</w:t>
      </w:r>
    </w:p>
    <w:p w14:paraId="4CE5B798">
      <w:pPr>
        <w:jc w:val="left"/>
        <w:rPr>
          <w:rFonts w:ascii="宋体" w:hAnsi="宋体"/>
          <w:kern w:val="44"/>
        </w:rPr>
      </w:pPr>
      <w:r>
        <w:rPr>
          <w:rFonts w:hint="eastAsia" w:ascii="宋体" w:hAnsi="宋体"/>
          <w:kern w:val="44"/>
        </w:rPr>
        <w:t>村民委员会主任、副主任、委员候选人数应当分别多于应选名额一至二人，按照获得提名得票多少的顺序确定。</w:t>
      </w:r>
    </w:p>
    <w:p w14:paraId="29BD1ABC">
      <w:pPr>
        <w:jc w:val="left"/>
        <w:rPr>
          <w:rFonts w:ascii="宋体" w:hAnsi="宋体"/>
          <w:kern w:val="44"/>
        </w:rPr>
      </w:pPr>
      <w:r>
        <w:rPr>
          <w:rFonts w:hint="eastAsia" w:ascii="宋体" w:hAnsi="宋体"/>
          <w:kern w:val="44"/>
        </w:rPr>
        <w:t>每个登记参加选举的村民提名的候选人人数，不得超过应选名额。</w:t>
      </w:r>
    </w:p>
    <w:p w14:paraId="19ADE535">
      <w:pPr>
        <w:ind w:firstLine="422"/>
        <w:jc w:val="left"/>
        <w:rPr>
          <w:rFonts w:ascii="宋体" w:hAnsi="宋体"/>
          <w:kern w:val="44"/>
        </w:rPr>
      </w:pPr>
      <w:r>
        <w:rPr>
          <w:rFonts w:hint="eastAsia" w:ascii="宋体" w:hAnsi="宋体"/>
          <w:b/>
          <w:kern w:val="44"/>
        </w:rPr>
        <w:t>第十七条</w:t>
      </w:r>
      <w:r>
        <w:rPr>
          <w:rFonts w:hint="eastAsia" w:ascii="宋体" w:hAnsi="宋体"/>
          <w:kern w:val="44"/>
        </w:rPr>
        <w:t>　村民提名村民委员会成员候选人，应当从全体村民利益出发，推荐奉公守法、品行良好、公道正派、热心公益、具有一定文化水平和工作能力的村民为候选人。</w:t>
      </w:r>
    </w:p>
    <w:p w14:paraId="3F1E6341">
      <w:pPr>
        <w:ind w:firstLine="422"/>
        <w:jc w:val="left"/>
        <w:rPr>
          <w:rFonts w:ascii="宋体" w:hAnsi="宋体"/>
          <w:kern w:val="44"/>
        </w:rPr>
      </w:pPr>
      <w:r>
        <w:rPr>
          <w:rFonts w:hint="eastAsia" w:ascii="宋体" w:hAnsi="宋体"/>
          <w:b/>
          <w:kern w:val="44"/>
        </w:rPr>
        <w:t>第十八条</w:t>
      </w:r>
      <w:r>
        <w:rPr>
          <w:rFonts w:hint="eastAsia" w:ascii="宋体" w:hAnsi="宋体"/>
          <w:kern w:val="44"/>
        </w:rPr>
        <w:t>　具有《中华人民共和国村民委员会组织法》第十八条规定情形的，不提名为村民委员会成员候选人。</w:t>
      </w:r>
    </w:p>
    <w:p w14:paraId="1D0002B2">
      <w:pPr>
        <w:jc w:val="left"/>
        <w:rPr>
          <w:rFonts w:ascii="宋体" w:hAnsi="宋体"/>
          <w:kern w:val="44"/>
        </w:rPr>
      </w:pPr>
      <w:r>
        <w:rPr>
          <w:rFonts w:hint="eastAsia" w:ascii="宋体" w:hAnsi="宋体"/>
          <w:kern w:val="44"/>
        </w:rPr>
        <w:t>前款规定以外的严重违反法律、法规，或者被依法限制人身自由客观上不能履行村民委员会成员职责的村民，经村民会议或者村民代表会议决定，不提名为村民委员会成员候选人。</w:t>
      </w:r>
    </w:p>
    <w:p w14:paraId="7DB2B10F">
      <w:pPr>
        <w:ind w:firstLine="422"/>
        <w:jc w:val="left"/>
        <w:rPr>
          <w:rFonts w:ascii="宋体" w:hAnsi="宋体"/>
          <w:kern w:val="44"/>
        </w:rPr>
      </w:pPr>
      <w:r>
        <w:rPr>
          <w:rFonts w:hint="eastAsia" w:ascii="宋体" w:hAnsi="宋体"/>
          <w:b/>
          <w:kern w:val="44"/>
        </w:rPr>
        <w:t>第十九条</w:t>
      </w:r>
      <w:r>
        <w:rPr>
          <w:rFonts w:hint="eastAsia" w:ascii="宋体" w:hAnsi="宋体"/>
          <w:kern w:val="44"/>
        </w:rPr>
        <w:t>　村民选举委员会应当在选举日前组织村民委员会成员候选人与村民见面，向登记参加选举的村民介绍候选人情况，由候选人介绍履行职责的设想，回答村民提出的问题。</w:t>
      </w:r>
    </w:p>
    <w:p w14:paraId="43E2C6F4">
      <w:pPr>
        <w:ind w:firstLine="422"/>
        <w:jc w:val="left"/>
        <w:rPr>
          <w:rFonts w:ascii="宋体" w:hAnsi="宋体"/>
          <w:kern w:val="44"/>
        </w:rPr>
      </w:pPr>
      <w:r>
        <w:rPr>
          <w:rFonts w:hint="eastAsia" w:ascii="宋体" w:hAnsi="宋体"/>
          <w:b/>
          <w:kern w:val="44"/>
        </w:rPr>
        <w:t>第二十条</w:t>
      </w:r>
      <w:r>
        <w:rPr>
          <w:rFonts w:hint="eastAsia" w:ascii="宋体" w:hAnsi="宋体"/>
          <w:kern w:val="44"/>
        </w:rPr>
        <w:t>　村民委员会成员候选人名单应当在选举日的五日前，按照获得提名票数多少的顺序张榜公布。</w:t>
      </w:r>
    </w:p>
    <w:p w14:paraId="7E84FC03">
      <w:pPr>
        <w:jc w:val="left"/>
        <w:rPr>
          <w:rFonts w:ascii="宋体" w:hAnsi="宋体"/>
          <w:kern w:val="44"/>
        </w:rPr>
      </w:pPr>
    </w:p>
    <w:p w14:paraId="63419AEB">
      <w:pPr>
        <w:ind w:firstLine="0" w:firstLineChars="0"/>
        <w:jc w:val="center"/>
        <w:rPr>
          <w:rFonts w:ascii="宋体" w:hAnsi="宋体"/>
          <w:b/>
          <w:kern w:val="44"/>
          <w:sz w:val="28"/>
        </w:rPr>
      </w:pPr>
      <w:r>
        <w:rPr>
          <w:rFonts w:hint="eastAsia" w:ascii="宋体" w:hAnsi="宋体"/>
          <w:b/>
          <w:kern w:val="44"/>
          <w:sz w:val="28"/>
        </w:rPr>
        <w:t>第五章　投票选举</w:t>
      </w:r>
    </w:p>
    <w:p w14:paraId="0694C909">
      <w:pPr>
        <w:jc w:val="left"/>
        <w:rPr>
          <w:rFonts w:ascii="宋体" w:hAnsi="宋体"/>
          <w:kern w:val="44"/>
        </w:rPr>
      </w:pPr>
    </w:p>
    <w:p w14:paraId="4757CCB2">
      <w:pPr>
        <w:ind w:firstLine="422"/>
        <w:jc w:val="left"/>
        <w:rPr>
          <w:rFonts w:ascii="宋体" w:hAnsi="宋体"/>
          <w:kern w:val="44"/>
        </w:rPr>
      </w:pPr>
      <w:r>
        <w:rPr>
          <w:rFonts w:hint="eastAsia" w:ascii="宋体" w:hAnsi="宋体"/>
          <w:b/>
          <w:kern w:val="44"/>
        </w:rPr>
        <w:t>第二十一条</w:t>
      </w:r>
      <w:r>
        <w:rPr>
          <w:rFonts w:hint="eastAsia" w:ascii="宋体" w:hAnsi="宋体"/>
          <w:kern w:val="44"/>
        </w:rPr>
        <w:t>　村民选举委员会应当在选举日前做好以下准备工作：</w:t>
      </w:r>
    </w:p>
    <w:p w14:paraId="6049B3A2">
      <w:pPr>
        <w:jc w:val="left"/>
        <w:rPr>
          <w:rFonts w:ascii="宋体" w:hAnsi="宋体"/>
          <w:kern w:val="44"/>
        </w:rPr>
      </w:pPr>
      <w:r>
        <w:rPr>
          <w:rFonts w:hint="eastAsia" w:ascii="宋体" w:hAnsi="宋体"/>
          <w:kern w:val="44"/>
        </w:rPr>
        <w:t>（一）制定投票办法，公布投票选举的具体时间和地点；</w:t>
      </w:r>
    </w:p>
    <w:p w14:paraId="4E1E0602">
      <w:pPr>
        <w:jc w:val="left"/>
        <w:rPr>
          <w:rFonts w:ascii="宋体" w:hAnsi="宋体"/>
          <w:kern w:val="44"/>
        </w:rPr>
      </w:pPr>
      <w:r>
        <w:rPr>
          <w:rFonts w:hint="eastAsia" w:ascii="宋体" w:hAnsi="宋体"/>
          <w:kern w:val="44"/>
        </w:rPr>
        <w:t>（二）准备选票和票箱，布置选举大会会场和投票站，设立发票处和秘密写票处；</w:t>
      </w:r>
    </w:p>
    <w:p w14:paraId="4D0BC2CE">
      <w:pPr>
        <w:jc w:val="left"/>
        <w:rPr>
          <w:rFonts w:ascii="宋体" w:hAnsi="宋体"/>
          <w:kern w:val="44"/>
        </w:rPr>
      </w:pPr>
      <w:r>
        <w:rPr>
          <w:rFonts w:hint="eastAsia" w:ascii="宋体" w:hAnsi="宋体"/>
          <w:kern w:val="44"/>
        </w:rPr>
        <w:t>（三）确定和培训监票人、唱票人、计票人、代书人及其他选举工作人员；</w:t>
      </w:r>
    </w:p>
    <w:p w14:paraId="3DBEA3C9">
      <w:pPr>
        <w:jc w:val="left"/>
        <w:rPr>
          <w:rFonts w:ascii="宋体" w:hAnsi="宋体"/>
          <w:kern w:val="44"/>
        </w:rPr>
      </w:pPr>
      <w:r>
        <w:rPr>
          <w:rFonts w:hint="eastAsia" w:ascii="宋体" w:hAnsi="宋体"/>
          <w:kern w:val="44"/>
        </w:rPr>
        <w:t>（四）其他选举事务工作。</w:t>
      </w:r>
    </w:p>
    <w:p w14:paraId="3B9F8DBD">
      <w:pPr>
        <w:jc w:val="left"/>
        <w:rPr>
          <w:rFonts w:ascii="宋体" w:hAnsi="宋体"/>
          <w:kern w:val="44"/>
        </w:rPr>
      </w:pPr>
      <w:r>
        <w:rPr>
          <w:rFonts w:hint="eastAsia" w:ascii="宋体" w:hAnsi="宋体"/>
          <w:kern w:val="44"/>
        </w:rPr>
        <w:t>村民委员会成员候选人及其配偶、直系亲属不得担任监票人、唱票人、计票人、代书人和其他选举工作人员。</w:t>
      </w:r>
    </w:p>
    <w:p w14:paraId="4D0F8C17">
      <w:pPr>
        <w:ind w:firstLine="422"/>
        <w:jc w:val="left"/>
        <w:rPr>
          <w:rFonts w:ascii="宋体" w:hAnsi="宋体"/>
          <w:kern w:val="44"/>
        </w:rPr>
      </w:pPr>
      <w:r>
        <w:rPr>
          <w:rFonts w:hint="eastAsia" w:ascii="宋体" w:hAnsi="宋体"/>
          <w:b/>
          <w:kern w:val="44"/>
        </w:rPr>
        <w:t>第二十二条</w:t>
      </w:r>
      <w:r>
        <w:rPr>
          <w:rFonts w:hint="eastAsia" w:ascii="宋体" w:hAnsi="宋体"/>
          <w:kern w:val="44"/>
        </w:rPr>
        <w:t>　选举村民委员会，可以采取一次投票选举主任、副主任和委员的方式；也可以采取分次投票选举主任、副主任和委员的方式。具体选举方式，由村民选举委员会根据多数登记参加选举村民的意见在选举方案中确定。</w:t>
      </w:r>
    </w:p>
    <w:p w14:paraId="0698BABF">
      <w:pPr>
        <w:ind w:firstLine="422"/>
        <w:jc w:val="left"/>
        <w:rPr>
          <w:rFonts w:ascii="宋体" w:hAnsi="宋体"/>
          <w:kern w:val="44"/>
        </w:rPr>
      </w:pPr>
      <w:r>
        <w:rPr>
          <w:rFonts w:hint="eastAsia" w:ascii="宋体" w:hAnsi="宋体"/>
          <w:b/>
          <w:kern w:val="44"/>
        </w:rPr>
        <w:t>第二十三条</w:t>
      </w:r>
      <w:r>
        <w:rPr>
          <w:rFonts w:hint="eastAsia" w:ascii="宋体" w:hAnsi="宋体"/>
          <w:kern w:val="44"/>
        </w:rPr>
        <w:t>　投票选举时，应当由村民选举委员会主持召开选举大会。村民选举委员会应当根据村民居住状况和便于组织选举的原则，设立中心投票会场和若干投票站。对老年人、残疾人等因行动困难不便到会场或者投票站投票的，可以设立流动票箱。每个投票站或者流动票箱必须有三名以上监票人负责。</w:t>
      </w:r>
    </w:p>
    <w:p w14:paraId="279D1BAA">
      <w:pPr>
        <w:ind w:firstLine="422"/>
        <w:jc w:val="left"/>
        <w:rPr>
          <w:rFonts w:ascii="宋体" w:hAnsi="宋体"/>
          <w:kern w:val="44"/>
        </w:rPr>
      </w:pPr>
      <w:r>
        <w:rPr>
          <w:rFonts w:hint="eastAsia" w:ascii="宋体" w:hAnsi="宋体"/>
          <w:b/>
          <w:kern w:val="44"/>
        </w:rPr>
        <w:t>第二十四条</w:t>
      </w:r>
      <w:r>
        <w:rPr>
          <w:rFonts w:hint="eastAsia" w:ascii="宋体" w:hAnsi="宋体"/>
          <w:kern w:val="44"/>
        </w:rPr>
        <w:t>　选举现场应当设立代书处。</w:t>
      </w:r>
    </w:p>
    <w:p w14:paraId="6B6A4CC0">
      <w:pPr>
        <w:jc w:val="left"/>
        <w:rPr>
          <w:rFonts w:ascii="宋体" w:hAnsi="宋体"/>
          <w:kern w:val="44"/>
        </w:rPr>
      </w:pPr>
      <w:r>
        <w:rPr>
          <w:rFonts w:hint="eastAsia" w:ascii="宋体" w:hAnsi="宋体"/>
          <w:kern w:val="44"/>
        </w:rPr>
        <w:t>投票时，村民自己不能填写选票的，可以委托代书人代写。代书人不得违背委托人的意愿。</w:t>
      </w:r>
    </w:p>
    <w:p w14:paraId="7456A6EF">
      <w:pPr>
        <w:jc w:val="left"/>
        <w:rPr>
          <w:rFonts w:ascii="宋体" w:hAnsi="宋体"/>
          <w:kern w:val="44"/>
        </w:rPr>
      </w:pPr>
      <w:r>
        <w:rPr>
          <w:rFonts w:hint="eastAsia" w:ascii="宋体" w:hAnsi="宋体"/>
          <w:kern w:val="44"/>
        </w:rPr>
        <w:t>任何人不得强制村民委托代书人填写选票。</w:t>
      </w:r>
    </w:p>
    <w:p w14:paraId="6333B8AC">
      <w:pPr>
        <w:jc w:val="left"/>
        <w:rPr>
          <w:rFonts w:ascii="宋体" w:hAnsi="宋体"/>
          <w:kern w:val="44"/>
        </w:rPr>
      </w:pPr>
      <w:r>
        <w:rPr>
          <w:rFonts w:hint="eastAsia" w:ascii="宋体" w:hAnsi="宋体"/>
          <w:kern w:val="44"/>
        </w:rPr>
        <w:t>村民及代书人填写选票，其他人不得围观和干预。</w:t>
      </w:r>
    </w:p>
    <w:p w14:paraId="00F87DAE">
      <w:pPr>
        <w:ind w:firstLine="422"/>
        <w:jc w:val="left"/>
        <w:rPr>
          <w:rFonts w:ascii="宋体" w:hAnsi="宋体"/>
          <w:kern w:val="44"/>
        </w:rPr>
      </w:pPr>
      <w:r>
        <w:rPr>
          <w:rFonts w:hint="eastAsia" w:ascii="宋体" w:hAnsi="宋体"/>
          <w:b/>
          <w:kern w:val="44"/>
        </w:rPr>
        <w:t>第二十五条</w:t>
      </w:r>
      <w:r>
        <w:rPr>
          <w:rFonts w:hint="eastAsia" w:ascii="宋体" w:hAnsi="宋体"/>
          <w:kern w:val="44"/>
        </w:rPr>
        <w:t>　登记参加选举的村民，选举期间外出不能参加投票的，可以书面委托本村具有选举权的近亲属代为投票，委托投票手续应当在投票选举日前办理。</w:t>
      </w:r>
    </w:p>
    <w:p w14:paraId="0BE2BE84">
      <w:pPr>
        <w:jc w:val="left"/>
        <w:rPr>
          <w:rFonts w:ascii="宋体" w:hAnsi="宋体"/>
          <w:kern w:val="44"/>
        </w:rPr>
      </w:pPr>
      <w:r>
        <w:rPr>
          <w:rFonts w:hint="eastAsia" w:ascii="宋体" w:hAnsi="宋体"/>
          <w:kern w:val="44"/>
        </w:rPr>
        <w:t>每一村民接受委托投票不得超过三人。受委托人应当按照委托人的意愿填写选票和投票。村民委员会成员候选人不得接受他人委托代为投票。</w:t>
      </w:r>
    </w:p>
    <w:p w14:paraId="7C9A781D">
      <w:pPr>
        <w:jc w:val="left"/>
        <w:rPr>
          <w:rFonts w:ascii="宋体" w:hAnsi="宋体"/>
          <w:kern w:val="44"/>
        </w:rPr>
      </w:pPr>
      <w:r>
        <w:rPr>
          <w:rFonts w:hint="eastAsia" w:ascii="宋体" w:hAnsi="宋体"/>
          <w:kern w:val="44"/>
        </w:rPr>
        <w:t>村民选举委员会应当公布委托人和受委托人的名单，并在发票时查验委托书。</w:t>
      </w:r>
    </w:p>
    <w:p w14:paraId="77BAD5A2">
      <w:pPr>
        <w:ind w:firstLine="422"/>
        <w:jc w:val="left"/>
        <w:rPr>
          <w:rFonts w:ascii="宋体" w:hAnsi="宋体"/>
          <w:kern w:val="44"/>
        </w:rPr>
      </w:pPr>
      <w:r>
        <w:rPr>
          <w:rFonts w:hint="eastAsia" w:ascii="宋体" w:hAnsi="宋体"/>
          <w:b/>
          <w:kern w:val="44"/>
        </w:rPr>
        <w:t>第二十六条</w:t>
      </w:r>
      <w:r>
        <w:rPr>
          <w:rFonts w:hint="eastAsia" w:ascii="宋体" w:hAnsi="宋体"/>
          <w:kern w:val="44"/>
        </w:rPr>
        <w:t>　村民委员会选举采取无记名投票方式。登记参加选举的村民对候选人可以投赞成票、反对票或者另选他人，也可以弃权。</w:t>
      </w:r>
    </w:p>
    <w:p w14:paraId="6BCAA10E">
      <w:pPr>
        <w:ind w:firstLine="422"/>
        <w:jc w:val="left"/>
        <w:rPr>
          <w:rFonts w:ascii="宋体" w:hAnsi="宋体"/>
          <w:kern w:val="44"/>
        </w:rPr>
      </w:pPr>
      <w:r>
        <w:rPr>
          <w:rFonts w:hint="eastAsia" w:ascii="宋体" w:hAnsi="宋体"/>
          <w:b/>
          <w:kern w:val="44"/>
        </w:rPr>
        <w:t>第二十七条</w:t>
      </w:r>
      <w:r>
        <w:rPr>
          <w:rFonts w:hint="eastAsia" w:ascii="宋体" w:hAnsi="宋体"/>
          <w:kern w:val="44"/>
        </w:rPr>
        <w:t xml:space="preserve">  投票选举前，村民选举委员会应当核实参加选举的人数；投票结束后，所有投票箱应当立即集中到选举大会会场，当众开箱，公开唱票、计票，当场公布选举结果。</w:t>
      </w:r>
    </w:p>
    <w:p w14:paraId="43B3BD9D">
      <w:pPr>
        <w:ind w:firstLine="422"/>
        <w:jc w:val="left"/>
        <w:rPr>
          <w:rFonts w:ascii="宋体" w:hAnsi="宋体"/>
        </w:rPr>
      </w:pPr>
      <w:r>
        <w:rPr>
          <w:rFonts w:hint="eastAsia" w:ascii="宋体" w:hAnsi="宋体"/>
          <w:b/>
        </w:rPr>
        <w:t>第二十八条</w:t>
      </w:r>
      <w:r>
        <w:rPr>
          <w:rFonts w:hint="eastAsia" w:ascii="宋体" w:hAnsi="宋体"/>
        </w:rPr>
        <w:t xml:space="preserve">  选举村民委员会，有登记参加选举的村民过半数投票，选举有效。</w:t>
      </w:r>
    </w:p>
    <w:p w14:paraId="7A7D4F2B">
      <w:pPr>
        <w:jc w:val="left"/>
        <w:rPr>
          <w:rFonts w:ascii="宋体" w:hAnsi="宋体"/>
          <w:kern w:val="44"/>
        </w:rPr>
      </w:pPr>
      <w:r>
        <w:rPr>
          <w:rFonts w:hint="eastAsia" w:ascii="宋体" w:hAnsi="宋体"/>
          <w:kern w:val="44"/>
        </w:rPr>
        <w:t>每次选举所投的票数，等于或者少于投票人数的有效，多于投票人数的无效；每一选票所选的人数，等于或者少于应选名额的有效，多于应选名额的无效。选票无法辨认的，经村民选举委员会认定，作废票处理。废票计入选票总数。</w:t>
      </w:r>
    </w:p>
    <w:p w14:paraId="31AD74B5">
      <w:pPr>
        <w:ind w:firstLine="422"/>
        <w:jc w:val="left"/>
        <w:rPr>
          <w:rFonts w:ascii="宋体" w:hAnsi="宋体"/>
          <w:kern w:val="44"/>
        </w:rPr>
      </w:pPr>
      <w:r>
        <w:rPr>
          <w:rFonts w:hint="eastAsia" w:ascii="宋体" w:hAnsi="宋体"/>
          <w:b/>
          <w:kern w:val="44"/>
        </w:rPr>
        <w:t>第二十九条</w:t>
      </w:r>
      <w:r>
        <w:rPr>
          <w:rFonts w:hint="eastAsia" w:ascii="宋体" w:hAnsi="宋体"/>
          <w:kern w:val="44"/>
        </w:rPr>
        <w:t>　候选人获得参加投票的村民过半数的选票，始得当选。获得过半数选票的候选人人数多于应选名额时，以得票多者当选。如遇票数相同，无法确定当选人时，应当就得票相同的候选人再次投票，以得票多者当选。</w:t>
      </w:r>
    </w:p>
    <w:p w14:paraId="18516D3F">
      <w:pPr>
        <w:ind w:firstLine="422"/>
        <w:jc w:val="left"/>
        <w:rPr>
          <w:rFonts w:ascii="宋体" w:hAnsi="宋体"/>
          <w:kern w:val="44"/>
        </w:rPr>
      </w:pPr>
      <w:r>
        <w:rPr>
          <w:rFonts w:hint="eastAsia" w:ascii="宋体" w:hAnsi="宋体"/>
          <w:b/>
          <w:kern w:val="44"/>
        </w:rPr>
        <w:t>第三十条</w:t>
      </w:r>
      <w:r>
        <w:rPr>
          <w:rFonts w:hint="eastAsia" w:ascii="宋体" w:hAnsi="宋体"/>
          <w:kern w:val="44"/>
        </w:rPr>
        <w:t>　当选的村民委员会成员人数少于应选名额时，应当在十五日内就不足的名额另行选举。</w:t>
      </w:r>
    </w:p>
    <w:p w14:paraId="5A29EDEE">
      <w:pPr>
        <w:jc w:val="left"/>
        <w:rPr>
          <w:rFonts w:ascii="宋体" w:hAnsi="宋体"/>
          <w:kern w:val="44"/>
        </w:rPr>
      </w:pPr>
      <w:r>
        <w:rPr>
          <w:rFonts w:hint="eastAsia" w:ascii="宋体" w:hAnsi="宋体"/>
          <w:kern w:val="44"/>
        </w:rPr>
        <w:t>另行选举时，根据第一次投票时得票多少的顺序，差额确定候选人。候选人以得票多者当选，但得票数不得少于已投选票总数的三分之一。</w:t>
      </w:r>
    </w:p>
    <w:p w14:paraId="3828BC68">
      <w:pPr>
        <w:jc w:val="left"/>
        <w:rPr>
          <w:rFonts w:ascii="宋体" w:hAnsi="宋体"/>
          <w:kern w:val="44"/>
        </w:rPr>
      </w:pPr>
      <w:r>
        <w:rPr>
          <w:rFonts w:hint="eastAsia" w:ascii="宋体" w:hAnsi="宋体"/>
          <w:kern w:val="44"/>
        </w:rPr>
        <w:t>另行选举后，当选人数超过三人并已选出村民委员会主任，但仍不足应选名额时，经村民会议或者村民代表会议决定，可以不再另行选举。</w:t>
      </w:r>
    </w:p>
    <w:p w14:paraId="6171CFD7">
      <w:pPr>
        <w:ind w:firstLine="422"/>
        <w:jc w:val="left"/>
        <w:rPr>
          <w:rFonts w:ascii="宋体" w:hAnsi="宋体"/>
          <w:kern w:val="44"/>
        </w:rPr>
      </w:pPr>
      <w:r>
        <w:rPr>
          <w:rFonts w:hint="eastAsia" w:ascii="宋体" w:hAnsi="宋体"/>
          <w:b/>
          <w:kern w:val="44"/>
        </w:rPr>
        <w:t>第三十一条</w:t>
      </w:r>
      <w:r>
        <w:rPr>
          <w:rFonts w:hint="eastAsia" w:ascii="宋体" w:hAnsi="宋体"/>
          <w:kern w:val="44"/>
        </w:rPr>
        <w:t>　村民选举委员会确认选举有效后，当场公布选举结果，并报乡、民族乡、镇人民政府备案。</w:t>
      </w:r>
    </w:p>
    <w:p w14:paraId="1A496CD8">
      <w:pPr>
        <w:ind w:firstLine="422"/>
        <w:jc w:val="left"/>
        <w:rPr>
          <w:rFonts w:ascii="宋体" w:hAnsi="宋体"/>
          <w:kern w:val="44"/>
        </w:rPr>
      </w:pPr>
      <w:r>
        <w:rPr>
          <w:rFonts w:hint="eastAsia" w:ascii="宋体" w:hAnsi="宋体"/>
          <w:b/>
          <w:kern w:val="44"/>
        </w:rPr>
        <w:t>第三十二条</w:t>
      </w:r>
      <w:r>
        <w:rPr>
          <w:rFonts w:hint="eastAsia" w:ascii="宋体" w:hAnsi="宋体"/>
          <w:kern w:val="44"/>
        </w:rPr>
        <w:t>　村民委员会应当自新一届村民委员会产生之日起十日内，向新一届村民委员会完成公共财物、集体财务账目、债权债务凭证、档案资料、印章等工作移交。工作移交由村民选举委员会主持，由乡、民族乡、镇人民政府监督。</w:t>
      </w:r>
    </w:p>
    <w:p w14:paraId="6354877A">
      <w:pPr>
        <w:spacing w:line="300" w:lineRule="exact"/>
        <w:jc w:val="left"/>
        <w:rPr>
          <w:rFonts w:ascii="宋体" w:hAnsi="宋体"/>
          <w:kern w:val="44"/>
        </w:rPr>
      </w:pPr>
    </w:p>
    <w:p w14:paraId="68CA71DD">
      <w:pPr>
        <w:ind w:firstLine="0" w:firstLineChars="0"/>
        <w:jc w:val="center"/>
        <w:rPr>
          <w:rFonts w:ascii="宋体" w:hAnsi="宋体"/>
          <w:b/>
          <w:kern w:val="44"/>
          <w:sz w:val="28"/>
        </w:rPr>
      </w:pPr>
      <w:r>
        <w:rPr>
          <w:rFonts w:hint="eastAsia" w:ascii="宋体" w:hAnsi="宋体"/>
          <w:b/>
          <w:kern w:val="44"/>
          <w:sz w:val="28"/>
        </w:rPr>
        <w:t>第六章　罢免、辞职和补选</w:t>
      </w:r>
    </w:p>
    <w:p w14:paraId="4B967564">
      <w:pPr>
        <w:spacing w:line="300" w:lineRule="exact"/>
        <w:jc w:val="left"/>
        <w:rPr>
          <w:rFonts w:ascii="宋体" w:hAnsi="宋体"/>
          <w:kern w:val="44"/>
        </w:rPr>
      </w:pPr>
    </w:p>
    <w:p w14:paraId="748C7750">
      <w:pPr>
        <w:ind w:firstLine="422"/>
        <w:jc w:val="left"/>
        <w:rPr>
          <w:rFonts w:ascii="宋体" w:hAnsi="宋体"/>
          <w:kern w:val="44"/>
        </w:rPr>
      </w:pPr>
      <w:r>
        <w:rPr>
          <w:rFonts w:hint="eastAsia" w:ascii="宋体" w:hAnsi="宋体"/>
          <w:b/>
          <w:kern w:val="44"/>
        </w:rPr>
        <w:t>第三十三条</w:t>
      </w:r>
      <w:r>
        <w:rPr>
          <w:rFonts w:hint="eastAsia" w:ascii="宋体" w:hAnsi="宋体"/>
          <w:kern w:val="44"/>
        </w:rPr>
        <w:t>　村民委员会成员受村民监督。</w:t>
      </w:r>
    </w:p>
    <w:p w14:paraId="5E07AA61">
      <w:pPr>
        <w:jc w:val="left"/>
        <w:rPr>
          <w:rFonts w:ascii="宋体" w:hAnsi="宋体"/>
          <w:kern w:val="44"/>
        </w:rPr>
      </w:pPr>
      <w:r>
        <w:rPr>
          <w:rFonts w:hint="eastAsia" w:ascii="宋体" w:hAnsi="宋体"/>
          <w:kern w:val="44"/>
        </w:rPr>
        <w:t>本村五分之一以上有选举权的村民或者三分之一以上的村民代表联名，可以提出罢免村民委员会成员的要求。罢免要求和理由应当以书面形式同时向村民委员会和村务监督委员会提出。村民委员会应当在接到罢免要求之日起三十日内，就罢免理由和联名情况进行调查核实，并依法召集登记参加选举的村民进行无记名投票表决。村务监督委员会应当对村民委员会成员的罢免工作进行监督。</w:t>
      </w:r>
    </w:p>
    <w:p w14:paraId="7462E999">
      <w:pPr>
        <w:jc w:val="left"/>
        <w:rPr>
          <w:rFonts w:ascii="宋体" w:hAnsi="宋体"/>
          <w:kern w:val="44"/>
        </w:rPr>
      </w:pPr>
      <w:r>
        <w:rPr>
          <w:rFonts w:hint="eastAsia" w:ascii="宋体" w:hAnsi="宋体"/>
          <w:kern w:val="44"/>
        </w:rPr>
        <w:t>村民委员会逾期不召集登记参加选举的村民投票表决罢免要求的，乡、民族乡、镇人民政府可以督促村民委员会召集；经督促仍不召集的，乡、民族乡、镇人民政府可以召集登记参加选举的村民投票表决。</w:t>
      </w:r>
    </w:p>
    <w:p w14:paraId="2DFFDFC0">
      <w:pPr>
        <w:jc w:val="left"/>
        <w:rPr>
          <w:rFonts w:ascii="宋体" w:hAnsi="宋体"/>
          <w:kern w:val="44"/>
        </w:rPr>
      </w:pPr>
      <w:r>
        <w:rPr>
          <w:rFonts w:hint="eastAsia" w:ascii="宋体" w:hAnsi="宋体"/>
          <w:kern w:val="44"/>
        </w:rPr>
        <w:t>乡、民族乡、镇人民政府对严重违反国家法律、法规受到处罚的村民委员会成员，可以向村民委员会提出罢免建议。</w:t>
      </w:r>
    </w:p>
    <w:p w14:paraId="5A9F2FCA">
      <w:pPr>
        <w:ind w:firstLine="422"/>
        <w:jc w:val="left"/>
        <w:rPr>
          <w:rFonts w:ascii="宋体" w:hAnsi="宋体"/>
          <w:kern w:val="44"/>
        </w:rPr>
      </w:pPr>
      <w:r>
        <w:rPr>
          <w:rFonts w:hint="eastAsia" w:ascii="宋体" w:hAnsi="宋体"/>
          <w:b/>
          <w:kern w:val="44"/>
        </w:rPr>
        <w:t>第三十四条</w:t>
      </w:r>
      <w:r>
        <w:rPr>
          <w:rFonts w:hint="eastAsia" w:ascii="宋体" w:hAnsi="宋体"/>
          <w:kern w:val="44"/>
        </w:rPr>
        <w:t>　登记参加选举的村民讨论表决罢免要求时，被提出罢免的村民委员会成员有权出席会议并提出申辩意见。</w:t>
      </w:r>
    </w:p>
    <w:p w14:paraId="5B708AF3">
      <w:pPr>
        <w:jc w:val="left"/>
        <w:rPr>
          <w:rFonts w:ascii="宋体" w:hAnsi="宋体"/>
          <w:kern w:val="44"/>
        </w:rPr>
      </w:pPr>
      <w:r>
        <w:rPr>
          <w:rFonts w:hint="eastAsia" w:ascii="宋体" w:hAnsi="宋体"/>
          <w:kern w:val="44"/>
        </w:rPr>
        <w:t>罢免村民委员会成员，须有登记参加选举的村民过半数投票，并须经参加投票的村民过半数通过。表决的程序和方法适用本办法规定的选举程序和方法。表决结果当日公布，并报乡、民族乡、镇人民政府备案。</w:t>
      </w:r>
    </w:p>
    <w:p w14:paraId="4696B00E">
      <w:pPr>
        <w:jc w:val="left"/>
        <w:rPr>
          <w:rFonts w:ascii="宋体" w:hAnsi="宋体"/>
          <w:kern w:val="44"/>
        </w:rPr>
      </w:pPr>
      <w:r>
        <w:rPr>
          <w:rFonts w:hint="eastAsia" w:ascii="宋体" w:hAnsi="宋体"/>
          <w:kern w:val="44"/>
        </w:rPr>
        <w:t>罢免未获通过的，届期内以同一事实和理由再次提出罢免要求的，村民委员会可以不再核查处理，但应当说明理由。</w:t>
      </w:r>
    </w:p>
    <w:p w14:paraId="53BBCB38">
      <w:pPr>
        <w:ind w:firstLine="422"/>
        <w:jc w:val="left"/>
        <w:rPr>
          <w:rFonts w:ascii="宋体" w:hAnsi="宋体"/>
          <w:kern w:val="44"/>
        </w:rPr>
      </w:pPr>
      <w:r>
        <w:rPr>
          <w:rFonts w:hint="eastAsia" w:ascii="宋体" w:hAnsi="宋体"/>
          <w:b/>
          <w:kern w:val="44"/>
        </w:rPr>
        <w:t>第三十五条</w:t>
      </w:r>
      <w:r>
        <w:rPr>
          <w:rFonts w:hint="eastAsia" w:ascii="宋体" w:hAnsi="宋体"/>
          <w:kern w:val="44"/>
        </w:rPr>
        <w:t>　村民委员会成员要求辞职的，应当以书面形式向村民委员会提出，由村民委员会召集村民会议或者村民代表会议讨论决定，并予以公告。</w:t>
      </w:r>
    </w:p>
    <w:p w14:paraId="2637A89E">
      <w:pPr>
        <w:ind w:firstLine="422"/>
        <w:jc w:val="left"/>
        <w:rPr>
          <w:rFonts w:ascii="宋体" w:hAnsi="宋体"/>
          <w:kern w:val="44"/>
        </w:rPr>
      </w:pPr>
      <w:r>
        <w:rPr>
          <w:rFonts w:hint="eastAsia" w:ascii="宋体" w:hAnsi="宋体"/>
          <w:b/>
          <w:kern w:val="44"/>
        </w:rPr>
        <w:t>第三十六条</w:t>
      </w:r>
      <w:r>
        <w:rPr>
          <w:rFonts w:hint="eastAsia" w:ascii="宋体" w:hAnsi="宋体"/>
          <w:kern w:val="44"/>
        </w:rPr>
        <w:t>　村民委员会成员因罢免、辞职、职务终止等原因出现缺额，可以由村民会议或者村民代表会议进行补选。补选结果当日公布，并报乡、民族乡、镇人民政府备案。补选程序参照《中华人民共和国村民委员会组织法》和本办法有关规定办理。</w:t>
      </w:r>
    </w:p>
    <w:p w14:paraId="584EC4AE">
      <w:pPr>
        <w:jc w:val="left"/>
        <w:rPr>
          <w:rFonts w:ascii="宋体" w:hAnsi="宋体"/>
          <w:kern w:val="44"/>
        </w:rPr>
      </w:pPr>
      <w:r>
        <w:rPr>
          <w:rFonts w:hint="eastAsia" w:ascii="宋体" w:hAnsi="宋体"/>
          <w:kern w:val="44"/>
        </w:rPr>
        <w:t>补选的村民委员会成员，其任期到本届村民委员会任期届满为止。</w:t>
      </w:r>
    </w:p>
    <w:p w14:paraId="284E75F4">
      <w:pPr>
        <w:jc w:val="left"/>
        <w:rPr>
          <w:rFonts w:ascii="宋体" w:hAnsi="宋体"/>
          <w:kern w:val="44"/>
        </w:rPr>
      </w:pPr>
    </w:p>
    <w:p w14:paraId="0ECB3D56">
      <w:pPr>
        <w:ind w:firstLine="0" w:firstLineChars="0"/>
        <w:jc w:val="center"/>
        <w:rPr>
          <w:rFonts w:ascii="宋体" w:hAnsi="宋体"/>
          <w:b/>
          <w:kern w:val="44"/>
          <w:sz w:val="28"/>
        </w:rPr>
      </w:pPr>
      <w:r>
        <w:rPr>
          <w:rFonts w:hint="eastAsia" w:ascii="宋体" w:hAnsi="宋体"/>
          <w:b/>
          <w:kern w:val="44"/>
          <w:sz w:val="28"/>
        </w:rPr>
        <w:t>第七章　监督管理</w:t>
      </w:r>
    </w:p>
    <w:p w14:paraId="0EFFEF48">
      <w:pPr>
        <w:jc w:val="left"/>
        <w:rPr>
          <w:rFonts w:ascii="宋体" w:hAnsi="宋体"/>
          <w:kern w:val="44"/>
        </w:rPr>
      </w:pPr>
    </w:p>
    <w:p w14:paraId="000E038B">
      <w:pPr>
        <w:ind w:firstLine="422"/>
        <w:jc w:val="left"/>
        <w:rPr>
          <w:rFonts w:ascii="宋体" w:hAnsi="宋体"/>
          <w:kern w:val="44"/>
        </w:rPr>
      </w:pPr>
      <w:r>
        <w:rPr>
          <w:rFonts w:hint="eastAsia" w:ascii="宋体" w:hAnsi="宋体"/>
          <w:b/>
          <w:kern w:val="44"/>
        </w:rPr>
        <w:t>第三十七条</w:t>
      </w:r>
      <w:r>
        <w:rPr>
          <w:rFonts w:hint="eastAsia" w:ascii="宋体" w:hAnsi="宋体"/>
          <w:kern w:val="44"/>
        </w:rPr>
        <w:t>　本市区、县、乡、民族乡、镇人民代表大会和市、区、县人民代表大会常务委员会对村民委员会选举进行监督、检查，保证《中华人民共和国村民委员会组织法》和本办法在本行政区域内的贯彻实施。</w:t>
      </w:r>
    </w:p>
    <w:p w14:paraId="64121F32">
      <w:pPr>
        <w:ind w:firstLine="422"/>
        <w:jc w:val="left"/>
        <w:rPr>
          <w:rFonts w:ascii="宋体" w:hAnsi="宋体"/>
          <w:kern w:val="44"/>
        </w:rPr>
      </w:pPr>
      <w:r>
        <w:rPr>
          <w:rFonts w:hint="eastAsia" w:ascii="宋体" w:hAnsi="宋体"/>
          <w:b/>
          <w:kern w:val="44"/>
        </w:rPr>
        <w:t>第三十八条</w:t>
      </w:r>
      <w:r>
        <w:rPr>
          <w:rFonts w:hint="eastAsia" w:ascii="宋体" w:hAnsi="宋体"/>
          <w:kern w:val="44"/>
        </w:rPr>
        <w:t>　对下列行为，村民有权向乡、民族乡、镇的人民代表大会和人民政府或者区、县的人民代表大会常务委员会和人民政府及其有关主管部门举报，乡、民族乡、镇或者区、县人民政府应当及时调查并依法处理；违反治安管理规定的，由公安机关依法处理；构成犯罪的，依法追究刑事责任：</w:t>
      </w:r>
    </w:p>
    <w:p w14:paraId="37F8FA6C">
      <w:pPr>
        <w:jc w:val="left"/>
        <w:rPr>
          <w:rFonts w:ascii="宋体" w:hAnsi="宋体"/>
          <w:kern w:val="44"/>
        </w:rPr>
      </w:pPr>
      <w:r>
        <w:rPr>
          <w:rFonts w:hint="eastAsia" w:ascii="宋体" w:hAnsi="宋体"/>
          <w:kern w:val="44"/>
        </w:rPr>
        <w:t>（一）以暴力、威胁、欺骗、诬告、诽谤等不正当手段，妨害村民行使选举权和被选举权，破坏村民委员会选举的；</w:t>
      </w:r>
    </w:p>
    <w:p w14:paraId="40B0E4BE">
      <w:pPr>
        <w:jc w:val="left"/>
        <w:rPr>
          <w:rFonts w:ascii="宋体" w:hAnsi="宋体"/>
          <w:kern w:val="44"/>
        </w:rPr>
      </w:pPr>
      <w:r>
        <w:rPr>
          <w:rFonts w:hint="eastAsia" w:ascii="宋体" w:hAnsi="宋体"/>
          <w:kern w:val="44"/>
        </w:rPr>
        <w:t>（二）直接或者指使他人，以财物或者其他利益贿赂登记参加选举的村民、选举工作人员或者其他有关人员的；</w:t>
      </w:r>
    </w:p>
    <w:p w14:paraId="35761207">
      <w:pPr>
        <w:jc w:val="left"/>
        <w:rPr>
          <w:rFonts w:ascii="宋体" w:hAnsi="宋体"/>
          <w:kern w:val="44"/>
        </w:rPr>
      </w:pPr>
      <w:r>
        <w:rPr>
          <w:rFonts w:hint="eastAsia" w:ascii="宋体" w:hAnsi="宋体"/>
          <w:kern w:val="44"/>
        </w:rPr>
        <w:t>（三）伪造选举文件，涂改、伪造、毁坏选票或者虚报选票数的；</w:t>
      </w:r>
    </w:p>
    <w:p w14:paraId="04E5AC07">
      <w:pPr>
        <w:jc w:val="left"/>
        <w:rPr>
          <w:rFonts w:ascii="宋体" w:hAnsi="宋体"/>
          <w:kern w:val="44"/>
        </w:rPr>
      </w:pPr>
      <w:r>
        <w:rPr>
          <w:rFonts w:hint="eastAsia" w:ascii="宋体" w:hAnsi="宋体"/>
          <w:kern w:val="44"/>
        </w:rPr>
        <w:t>（四）擅自调整、变更村民委员会成员候选人或者指定、委派、撤换村民委员会成员的；</w:t>
      </w:r>
    </w:p>
    <w:p w14:paraId="70F69AFF">
      <w:pPr>
        <w:jc w:val="left"/>
        <w:rPr>
          <w:rFonts w:ascii="宋体" w:hAnsi="宋体"/>
          <w:kern w:val="44"/>
        </w:rPr>
      </w:pPr>
      <w:r>
        <w:rPr>
          <w:rFonts w:hint="eastAsia" w:ascii="宋体" w:hAnsi="宋体"/>
          <w:kern w:val="44"/>
        </w:rPr>
        <w:t>（五）对控告、检举村民委员会选举中违法行为或者提出罢免村民委员会成员要求的人进行压制、打击报复的；</w:t>
      </w:r>
    </w:p>
    <w:p w14:paraId="0296D373">
      <w:pPr>
        <w:jc w:val="left"/>
        <w:rPr>
          <w:rFonts w:ascii="宋体" w:hAnsi="宋体"/>
          <w:kern w:val="44"/>
        </w:rPr>
      </w:pPr>
      <w:r>
        <w:rPr>
          <w:rFonts w:hint="eastAsia" w:ascii="宋体" w:hAnsi="宋体"/>
          <w:kern w:val="44"/>
        </w:rPr>
        <w:t>（六）无正当理由拖延村民委员会换届选举的；</w:t>
      </w:r>
    </w:p>
    <w:p w14:paraId="58C38B6D">
      <w:pPr>
        <w:jc w:val="left"/>
        <w:rPr>
          <w:rFonts w:ascii="宋体" w:hAnsi="宋体"/>
          <w:kern w:val="44"/>
        </w:rPr>
      </w:pPr>
      <w:r>
        <w:rPr>
          <w:rFonts w:hint="eastAsia" w:ascii="宋体" w:hAnsi="宋体"/>
          <w:kern w:val="44"/>
        </w:rPr>
        <w:t>（七）其他干扰、妨碍选举工作正常进行的。</w:t>
      </w:r>
    </w:p>
    <w:p w14:paraId="1E7F07BE">
      <w:pPr>
        <w:jc w:val="left"/>
        <w:rPr>
          <w:rFonts w:ascii="宋体" w:hAnsi="宋体"/>
          <w:kern w:val="44"/>
        </w:rPr>
      </w:pPr>
      <w:r>
        <w:rPr>
          <w:rFonts w:hint="eastAsia" w:ascii="宋体" w:hAnsi="宋体"/>
          <w:kern w:val="44"/>
        </w:rPr>
        <w:t>以暴力、威胁、欺骗、贿赂、伪造选票、虚报选举票数等不正当手段当选村民委员会成员的，乡、民族乡、镇或者区、县人民政府调查确认后，宣布当选无效。</w:t>
      </w:r>
    </w:p>
    <w:p w14:paraId="001C051D">
      <w:pPr>
        <w:jc w:val="left"/>
        <w:rPr>
          <w:rFonts w:ascii="宋体" w:hAnsi="宋体"/>
          <w:kern w:val="44"/>
        </w:rPr>
      </w:pPr>
    </w:p>
    <w:p w14:paraId="4BBEEE4D">
      <w:pPr>
        <w:ind w:firstLine="0" w:firstLineChars="0"/>
        <w:jc w:val="center"/>
        <w:rPr>
          <w:rFonts w:ascii="宋体" w:hAnsi="宋体"/>
          <w:b/>
          <w:kern w:val="44"/>
          <w:sz w:val="28"/>
        </w:rPr>
      </w:pPr>
      <w:r>
        <w:rPr>
          <w:rFonts w:hint="eastAsia" w:ascii="宋体" w:hAnsi="宋体"/>
          <w:b/>
          <w:kern w:val="44"/>
          <w:sz w:val="28"/>
        </w:rPr>
        <w:t>第八章　附　则</w:t>
      </w:r>
    </w:p>
    <w:p w14:paraId="050ECAFA">
      <w:pPr>
        <w:jc w:val="left"/>
        <w:rPr>
          <w:rFonts w:ascii="宋体" w:hAnsi="宋体"/>
          <w:kern w:val="44"/>
        </w:rPr>
      </w:pPr>
    </w:p>
    <w:p w14:paraId="1BA79524">
      <w:pPr>
        <w:ind w:firstLine="422"/>
        <w:jc w:val="left"/>
        <w:rPr>
          <w:rFonts w:ascii="宋体" w:hAnsi="宋体"/>
          <w:kern w:val="44"/>
        </w:rPr>
      </w:pPr>
      <w:r>
        <w:rPr>
          <w:rFonts w:hint="eastAsia" w:ascii="宋体" w:hAnsi="宋体"/>
          <w:b/>
          <w:kern w:val="44"/>
        </w:rPr>
        <w:t>第三十九条</w:t>
      </w:r>
      <w:r>
        <w:rPr>
          <w:rFonts w:hint="eastAsia" w:ascii="宋体" w:hAnsi="宋体"/>
          <w:kern w:val="44"/>
        </w:rPr>
        <w:t>　辖区范围内有村的街道办事处，在村民委员会选举中履行本办法规定的应当由乡、民族乡、镇人民政府履行的职责。</w:t>
      </w:r>
    </w:p>
    <w:p w14:paraId="478828BE">
      <w:pPr>
        <w:ind w:firstLine="422"/>
        <w:jc w:val="left"/>
        <w:rPr>
          <w:rFonts w:ascii="宋体" w:hAnsi="宋体"/>
          <w:kern w:val="44"/>
        </w:rPr>
      </w:pPr>
      <w:r>
        <w:rPr>
          <w:rFonts w:hint="eastAsia" w:ascii="宋体" w:hAnsi="宋体"/>
          <w:b/>
          <w:kern w:val="44"/>
        </w:rPr>
        <w:t>第四十条</w:t>
      </w:r>
      <w:r>
        <w:rPr>
          <w:rFonts w:hint="eastAsia" w:ascii="宋体" w:hAnsi="宋体"/>
          <w:kern w:val="44"/>
        </w:rPr>
        <w:t>　本办法自2012年11月1日起施行。</w:t>
      </w:r>
    </w:p>
    <w:p w14:paraId="0CD22582">
      <w:pPr>
        <w:pStyle w:val="4"/>
        <w:pageBreakBefore/>
        <w:rPr>
          <w:kern w:val="44"/>
        </w:rPr>
      </w:pPr>
      <w:bookmarkStart w:id="169" w:name="_Toc428781445"/>
      <w:bookmarkStart w:id="170" w:name="_Toc427651397"/>
      <w:bookmarkStart w:id="171" w:name="_Toc422471077"/>
      <w:bookmarkStart w:id="172" w:name="_Toc427651739"/>
      <w:bookmarkStart w:id="173" w:name="_Toc428779963"/>
      <w:r>
        <w:rPr>
          <w:rFonts w:hint="eastAsia"/>
          <w:kern w:val="44"/>
        </w:rPr>
        <w:t>北京市实施《中华人民共和国村民</w:t>
      </w:r>
      <w:bookmarkEnd w:id="169"/>
      <w:bookmarkEnd w:id="170"/>
      <w:bookmarkEnd w:id="171"/>
      <w:bookmarkEnd w:id="172"/>
      <w:bookmarkEnd w:id="173"/>
    </w:p>
    <w:p w14:paraId="70B53C97">
      <w:pPr>
        <w:pStyle w:val="4"/>
        <w:rPr>
          <w:kern w:val="44"/>
        </w:rPr>
      </w:pPr>
      <w:bookmarkStart w:id="174" w:name="_Toc427651398"/>
      <w:bookmarkStart w:id="175" w:name="_Toc422471078"/>
      <w:bookmarkStart w:id="176" w:name="_Toc427651740"/>
      <w:bookmarkStart w:id="177" w:name="_Toc428779964"/>
      <w:bookmarkStart w:id="178" w:name="_Toc428781446"/>
      <w:r>
        <w:rPr>
          <w:rFonts w:hint="eastAsia"/>
          <w:kern w:val="44"/>
        </w:rPr>
        <w:t>委员会组织法》的若干规定</w:t>
      </w:r>
      <w:bookmarkEnd w:id="174"/>
      <w:bookmarkEnd w:id="175"/>
      <w:bookmarkEnd w:id="176"/>
      <w:bookmarkEnd w:id="177"/>
      <w:bookmarkEnd w:id="178"/>
    </w:p>
    <w:p w14:paraId="0507537F">
      <w:pPr>
        <w:ind w:left="630" w:leftChars="300" w:right="630" w:rightChars="300"/>
        <w:jc w:val="left"/>
        <w:rPr>
          <w:rFonts w:ascii="楷体" w:hAnsi="楷体" w:eastAsia="楷体"/>
          <w:kern w:val="44"/>
        </w:rPr>
      </w:pPr>
      <w:r>
        <w:rPr>
          <w:rFonts w:hint="eastAsia" w:ascii="楷体" w:hAnsi="楷体" w:eastAsia="楷体"/>
          <w:kern w:val="44"/>
        </w:rPr>
        <w:t>（2001年8月3日北京市第十一届人民代表大会常务委员会第二十八次会议通过　2012年9月28日北京市第十三届人民代表大会常务委员会第三十五次会议修订）</w:t>
      </w:r>
    </w:p>
    <w:p w14:paraId="6ED89989">
      <w:pPr>
        <w:ind w:left="630" w:leftChars="300" w:right="630" w:rightChars="300"/>
        <w:jc w:val="left"/>
        <w:rPr>
          <w:rFonts w:ascii="楷体" w:hAnsi="楷体" w:eastAsia="楷体"/>
          <w:kern w:val="44"/>
        </w:rPr>
      </w:pPr>
    </w:p>
    <w:p w14:paraId="44EA080A">
      <w:pPr>
        <w:ind w:firstLine="422"/>
        <w:jc w:val="left"/>
        <w:rPr>
          <w:rFonts w:ascii="宋体" w:hAnsi="宋体"/>
          <w:kern w:val="44"/>
        </w:rPr>
      </w:pPr>
      <w:r>
        <w:rPr>
          <w:rFonts w:hint="eastAsia" w:ascii="宋体" w:hAnsi="宋体"/>
          <w:b/>
          <w:kern w:val="44"/>
        </w:rPr>
        <w:t>第一条</w:t>
      </w:r>
      <w:r>
        <w:rPr>
          <w:rFonts w:hint="eastAsia" w:ascii="宋体" w:hAnsi="宋体"/>
          <w:kern w:val="44"/>
        </w:rPr>
        <w:t>　为实施《中华人民共和国村民委员会组织法》，根据本市实际，制定本规定。</w:t>
      </w:r>
    </w:p>
    <w:p w14:paraId="3BA4EFEC">
      <w:pPr>
        <w:ind w:firstLine="422"/>
        <w:jc w:val="left"/>
        <w:rPr>
          <w:rFonts w:ascii="宋体" w:hAnsi="宋体"/>
          <w:kern w:val="44"/>
        </w:rPr>
      </w:pPr>
      <w:r>
        <w:rPr>
          <w:rFonts w:hint="eastAsia" w:ascii="宋体" w:hAnsi="宋体"/>
          <w:b/>
          <w:kern w:val="44"/>
        </w:rPr>
        <w:t>第二条</w:t>
      </w:r>
      <w:r>
        <w:rPr>
          <w:rFonts w:hint="eastAsia" w:ascii="宋体" w:hAnsi="宋体"/>
          <w:kern w:val="44"/>
        </w:rPr>
        <w:t>　本市按照党的领导、人民当家作主、依法治国有机统一的要求，依法推进村民自治制度建设，促进农村经济社会发展。</w:t>
      </w:r>
    </w:p>
    <w:p w14:paraId="2EA42BDC">
      <w:pPr>
        <w:ind w:firstLine="422"/>
        <w:jc w:val="left"/>
        <w:rPr>
          <w:rFonts w:ascii="宋体" w:hAnsi="宋体"/>
          <w:kern w:val="44"/>
        </w:rPr>
      </w:pPr>
      <w:r>
        <w:rPr>
          <w:rFonts w:hint="eastAsia" w:ascii="宋体" w:hAnsi="宋体"/>
          <w:b/>
          <w:kern w:val="44"/>
        </w:rPr>
        <w:t>第三条</w:t>
      </w:r>
      <w:r>
        <w:rPr>
          <w:rFonts w:hint="eastAsia" w:ascii="宋体" w:hAnsi="宋体"/>
          <w:kern w:val="44"/>
        </w:rPr>
        <w:t>　村民委员会是村民自我管理、自我教育、自我服务的基层群众性自治组织，实行民主选举、民主决策、民主管理、民主监督。</w:t>
      </w:r>
    </w:p>
    <w:p w14:paraId="54EC9EE6">
      <w:pPr>
        <w:jc w:val="left"/>
        <w:rPr>
          <w:rFonts w:ascii="宋体" w:hAnsi="宋体"/>
          <w:kern w:val="44"/>
        </w:rPr>
      </w:pPr>
      <w:r>
        <w:rPr>
          <w:rFonts w:hint="eastAsia" w:ascii="宋体" w:hAnsi="宋体"/>
          <w:kern w:val="44"/>
        </w:rPr>
        <w:t>村民委员会办理本村的公共事务和公益事业，调解民间纠纷，协助维护社会治安，向人民政府反映村民的意见、要求和提出建议。</w:t>
      </w:r>
    </w:p>
    <w:p w14:paraId="6614D8D5">
      <w:pPr>
        <w:jc w:val="left"/>
        <w:rPr>
          <w:rFonts w:ascii="宋体" w:hAnsi="宋体"/>
          <w:kern w:val="44"/>
        </w:rPr>
      </w:pPr>
      <w:r>
        <w:rPr>
          <w:rFonts w:hint="eastAsia" w:ascii="宋体" w:hAnsi="宋体"/>
          <w:kern w:val="44"/>
        </w:rPr>
        <w:t>村民委员会向村民会议、村民代表会议负责并报告工作。</w:t>
      </w:r>
    </w:p>
    <w:p w14:paraId="0D71C90C">
      <w:pPr>
        <w:jc w:val="left"/>
        <w:rPr>
          <w:rFonts w:ascii="宋体" w:hAnsi="宋体"/>
          <w:kern w:val="44"/>
        </w:rPr>
      </w:pPr>
      <w:r>
        <w:rPr>
          <w:rFonts w:hint="eastAsia" w:ascii="宋体" w:hAnsi="宋体"/>
          <w:kern w:val="44"/>
        </w:rPr>
        <w:t>村民委员会实行少数服从多数的民主决策机制和公开透明的工作原则，建立健全各种工作制度。</w:t>
      </w:r>
    </w:p>
    <w:p w14:paraId="4BA16336">
      <w:pPr>
        <w:ind w:firstLine="422"/>
        <w:jc w:val="left"/>
        <w:rPr>
          <w:rFonts w:ascii="宋体" w:hAnsi="宋体"/>
          <w:kern w:val="44"/>
        </w:rPr>
      </w:pPr>
      <w:r>
        <w:rPr>
          <w:rFonts w:hint="eastAsia" w:ascii="宋体" w:hAnsi="宋体"/>
          <w:b/>
          <w:kern w:val="44"/>
        </w:rPr>
        <w:t>第四条</w:t>
      </w:r>
      <w:r>
        <w:rPr>
          <w:rFonts w:hint="eastAsia" w:ascii="宋体" w:hAnsi="宋体"/>
          <w:kern w:val="44"/>
        </w:rPr>
        <w:t>　中国共产党在农村的基层组织，按照《中国共产党章程》以及《中国共产党农村基层组织工作条例》进行工作，发挥领导核心作用，领导和支持村民委员会行使职权；依照宪法和法律，支持和保障村民开展自治活动、直接行使民主权利，推进农村基层民主。</w:t>
      </w:r>
    </w:p>
    <w:p w14:paraId="1BA333E1">
      <w:pPr>
        <w:ind w:firstLine="422"/>
        <w:jc w:val="left"/>
        <w:rPr>
          <w:rFonts w:ascii="宋体" w:hAnsi="宋体"/>
          <w:kern w:val="44"/>
        </w:rPr>
      </w:pPr>
      <w:r>
        <w:rPr>
          <w:rFonts w:hint="eastAsia" w:ascii="宋体" w:hAnsi="宋体"/>
          <w:b/>
          <w:kern w:val="44"/>
        </w:rPr>
        <w:t>第五条</w:t>
      </w:r>
      <w:r>
        <w:rPr>
          <w:rFonts w:hint="eastAsia" w:ascii="宋体" w:hAnsi="宋体"/>
          <w:kern w:val="44"/>
        </w:rPr>
        <w:t>　乡、民族乡、镇人民政府指导、支持和帮助村民委员会建立健全各项自治制度，依法开展自治活动，但不得干预依法属于村民自治范围内的事项，不得侵占或者自行处置村集体财产。</w:t>
      </w:r>
    </w:p>
    <w:p w14:paraId="53C966F3">
      <w:pPr>
        <w:jc w:val="left"/>
        <w:rPr>
          <w:rFonts w:ascii="宋体" w:hAnsi="宋体"/>
          <w:kern w:val="44"/>
        </w:rPr>
      </w:pPr>
      <w:r>
        <w:rPr>
          <w:rFonts w:hint="eastAsia" w:ascii="宋体" w:hAnsi="宋体"/>
          <w:kern w:val="44"/>
        </w:rPr>
        <w:t>村民委员会协助乡、民族乡、镇人民政府开展工作。</w:t>
      </w:r>
    </w:p>
    <w:p w14:paraId="4FD4740D">
      <w:pPr>
        <w:ind w:firstLine="422"/>
        <w:jc w:val="left"/>
        <w:rPr>
          <w:rFonts w:ascii="宋体" w:hAnsi="宋体"/>
          <w:kern w:val="44"/>
        </w:rPr>
      </w:pPr>
      <w:r>
        <w:rPr>
          <w:rFonts w:hint="eastAsia" w:ascii="宋体" w:hAnsi="宋体"/>
          <w:b/>
          <w:kern w:val="44"/>
        </w:rPr>
        <w:t>第六条</w:t>
      </w:r>
      <w:r>
        <w:rPr>
          <w:rFonts w:hint="eastAsia" w:ascii="宋体" w:hAnsi="宋体"/>
          <w:kern w:val="44"/>
        </w:rPr>
        <w:t>　村民委员会应当尊重并支持集体经济组织依法独立进行经济活动的自主权，维护以家庭承包经营为基础、统分结合的双层经营体制，保障集体经济组织和村民、承包经营户、联户或者合伙的合法财产权和其他合法权益。</w:t>
      </w:r>
    </w:p>
    <w:p w14:paraId="1F5CAA26">
      <w:pPr>
        <w:ind w:firstLine="422"/>
        <w:jc w:val="left"/>
        <w:rPr>
          <w:rFonts w:ascii="宋体" w:hAnsi="宋体"/>
          <w:kern w:val="44"/>
        </w:rPr>
      </w:pPr>
      <w:r>
        <w:rPr>
          <w:rFonts w:hint="eastAsia" w:ascii="宋体" w:hAnsi="宋体"/>
          <w:b/>
          <w:kern w:val="44"/>
        </w:rPr>
        <w:t>第七条</w:t>
      </w:r>
      <w:r>
        <w:rPr>
          <w:rFonts w:hint="eastAsia" w:ascii="宋体" w:hAnsi="宋体"/>
          <w:kern w:val="44"/>
        </w:rPr>
        <w:t>　村民委员会根据需要设人民调解、治安保卫、公共卫生与计划生育、文化体育、妇女儿童等委员会。村民委员会成员可以兼任下属委员会的成员。人口少的村的村民委员会可以不设下属委员会，由村民委员会成员分工负责有关工作。</w:t>
      </w:r>
    </w:p>
    <w:p w14:paraId="2FB55702">
      <w:pPr>
        <w:jc w:val="left"/>
        <w:rPr>
          <w:rFonts w:ascii="宋体" w:hAnsi="宋体"/>
          <w:kern w:val="44"/>
        </w:rPr>
      </w:pPr>
      <w:r>
        <w:rPr>
          <w:rFonts w:hint="eastAsia" w:ascii="宋体" w:hAnsi="宋体"/>
          <w:kern w:val="44"/>
        </w:rPr>
        <w:t>村民委员会设立下属委员会的，应当在村民委员会选举结果公布后十五日内由村民会议或者村民代表会议推选产生下属委员会成员。</w:t>
      </w:r>
    </w:p>
    <w:p w14:paraId="1312D8C4">
      <w:pPr>
        <w:ind w:firstLine="422"/>
        <w:jc w:val="left"/>
        <w:rPr>
          <w:rFonts w:ascii="宋体" w:hAnsi="宋体"/>
          <w:kern w:val="44"/>
        </w:rPr>
      </w:pPr>
      <w:r>
        <w:rPr>
          <w:rFonts w:hint="eastAsia" w:ascii="宋体" w:hAnsi="宋体"/>
          <w:b/>
          <w:kern w:val="44"/>
        </w:rPr>
        <w:t>第八条</w:t>
      </w:r>
      <w:r>
        <w:rPr>
          <w:rFonts w:hint="eastAsia" w:ascii="宋体" w:hAnsi="宋体"/>
          <w:kern w:val="44"/>
        </w:rPr>
        <w:t>　村民委员会可以根据村民居住状况、集体土地所有权关系等分设若干村民小组。</w:t>
      </w:r>
    </w:p>
    <w:p w14:paraId="135D8928">
      <w:pPr>
        <w:ind w:firstLine="422"/>
        <w:jc w:val="left"/>
        <w:rPr>
          <w:rFonts w:ascii="宋体" w:hAnsi="宋体"/>
          <w:kern w:val="44"/>
        </w:rPr>
      </w:pPr>
      <w:r>
        <w:rPr>
          <w:rFonts w:hint="eastAsia" w:ascii="宋体" w:hAnsi="宋体"/>
          <w:b/>
          <w:kern w:val="44"/>
        </w:rPr>
        <w:t>第九条</w:t>
      </w:r>
      <w:r>
        <w:rPr>
          <w:rFonts w:hint="eastAsia" w:ascii="宋体" w:hAnsi="宋体"/>
          <w:kern w:val="44"/>
        </w:rPr>
        <w:t>　村民委员会应当宣传贯彻宪法、法律、法规和国家的政策，维护村民的合法权益；教育和推动村民履行纳税、服兵役、拥军优属、抢险救灾、计划生育等法律规定的义务，爱护公共财产，开展爱国卫生运动。</w:t>
      </w:r>
    </w:p>
    <w:p w14:paraId="66C8787D">
      <w:pPr>
        <w:jc w:val="left"/>
        <w:rPr>
          <w:rFonts w:ascii="宋体" w:hAnsi="宋体"/>
          <w:kern w:val="44"/>
        </w:rPr>
      </w:pPr>
      <w:r>
        <w:rPr>
          <w:rFonts w:hint="eastAsia" w:ascii="宋体" w:hAnsi="宋体"/>
          <w:kern w:val="44"/>
        </w:rPr>
        <w:t>多民族村民居住的村，村民委员会应当教育和引导村民加强民族团结，互相帮助，互相尊重。</w:t>
      </w:r>
    </w:p>
    <w:p w14:paraId="5A450A66">
      <w:pPr>
        <w:ind w:firstLine="422"/>
        <w:jc w:val="left"/>
        <w:rPr>
          <w:rFonts w:ascii="宋体" w:hAnsi="宋体"/>
          <w:kern w:val="44"/>
        </w:rPr>
      </w:pPr>
      <w:r>
        <w:rPr>
          <w:rFonts w:hint="eastAsia" w:ascii="宋体" w:hAnsi="宋体"/>
          <w:b/>
          <w:kern w:val="44"/>
        </w:rPr>
        <w:t>第十条</w:t>
      </w:r>
      <w:r>
        <w:rPr>
          <w:rFonts w:hint="eastAsia" w:ascii="宋体" w:hAnsi="宋体"/>
          <w:kern w:val="44"/>
        </w:rPr>
        <w:t>　村民委员会应当依法调解民间纠纷，维护生产、生活秩序；协助政府做好流动人口的服务和管理工作。</w:t>
      </w:r>
    </w:p>
    <w:p w14:paraId="5C3ADCD8">
      <w:pPr>
        <w:ind w:firstLine="422"/>
        <w:jc w:val="left"/>
        <w:rPr>
          <w:rFonts w:ascii="宋体" w:hAnsi="宋体"/>
          <w:kern w:val="44"/>
        </w:rPr>
      </w:pPr>
      <w:r>
        <w:rPr>
          <w:rFonts w:hint="eastAsia" w:ascii="宋体" w:hAnsi="宋体"/>
          <w:b/>
          <w:kern w:val="44"/>
        </w:rPr>
        <w:t>第十一条</w:t>
      </w:r>
      <w:r>
        <w:rPr>
          <w:rFonts w:hint="eastAsia" w:ascii="宋体" w:hAnsi="宋体"/>
          <w:kern w:val="44"/>
        </w:rPr>
        <w:t>　村民委员会应当发展文化教育，开展健康有益的文体娱乐活动，提高村民思想道德素质和科学文化水平，树立社会主义新风尚，促进村和村之间的团结、互助，开展多种形式的社会主义精神文明建设活动。</w:t>
      </w:r>
    </w:p>
    <w:p w14:paraId="7523BEE0">
      <w:pPr>
        <w:ind w:firstLine="422"/>
        <w:jc w:val="left"/>
        <w:rPr>
          <w:rFonts w:ascii="宋体" w:hAnsi="宋体"/>
          <w:kern w:val="44"/>
        </w:rPr>
      </w:pPr>
      <w:r>
        <w:rPr>
          <w:rFonts w:hint="eastAsia" w:ascii="宋体" w:hAnsi="宋体"/>
          <w:b/>
          <w:kern w:val="44"/>
        </w:rPr>
        <w:t>第十二条</w:t>
      </w:r>
      <w:r>
        <w:rPr>
          <w:rFonts w:hint="eastAsia" w:ascii="宋体" w:hAnsi="宋体"/>
          <w:kern w:val="44"/>
        </w:rPr>
        <w:t>　村民委员会应当支持和组织村民依法发展各种形式的合作经济和其他经济，承担本村生产的服务和协调工作，促进农村生产建设和经济发展，引导村民合理利用自然资源，保护和改善生态环境。</w:t>
      </w:r>
    </w:p>
    <w:p w14:paraId="21BB9483">
      <w:pPr>
        <w:ind w:firstLine="422"/>
        <w:jc w:val="left"/>
        <w:rPr>
          <w:rFonts w:ascii="宋体" w:hAnsi="宋体"/>
          <w:kern w:val="44"/>
        </w:rPr>
      </w:pPr>
      <w:r>
        <w:rPr>
          <w:rFonts w:hint="eastAsia" w:ascii="宋体" w:hAnsi="宋体"/>
          <w:b/>
          <w:kern w:val="44"/>
        </w:rPr>
        <w:t>第十三条</w:t>
      </w:r>
      <w:r>
        <w:rPr>
          <w:rFonts w:hint="eastAsia" w:ascii="宋体" w:hAnsi="宋体"/>
          <w:kern w:val="44"/>
        </w:rPr>
        <w:t>　村民委员会应当组织开展公益服务和便民利民服务，鼓励和引导村民建立服务性、公益性和互助性社会组织，并支持其依法开展活动，推动农村社区建设。</w:t>
      </w:r>
    </w:p>
    <w:p w14:paraId="08317A14">
      <w:pPr>
        <w:ind w:firstLine="422"/>
        <w:jc w:val="left"/>
        <w:rPr>
          <w:rFonts w:ascii="宋体" w:hAnsi="宋体"/>
          <w:kern w:val="44"/>
        </w:rPr>
      </w:pPr>
      <w:r>
        <w:rPr>
          <w:rFonts w:hint="eastAsia" w:ascii="宋体" w:hAnsi="宋体"/>
          <w:b/>
          <w:kern w:val="44"/>
        </w:rPr>
        <w:t>第十四条</w:t>
      </w:r>
      <w:r>
        <w:rPr>
          <w:rFonts w:hint="eastAsia" w:ascii="宋体" w:hAnsi="宋体"/>
          <w:kern w:val="44"/>
        </w:rPr>
        <w:t>　村民委员会成员的任期和离任经济责任审计，由乡、民族乡、镇人民政府负责组织，区、县人民政府农村集体经济审计机构根据实际情况也可以组织审计，审计结果应当按照国家和本市规定及时向村民公布。</w:t>
      </w:r>
    </w:p>
    <w:p w14:paraId="109EE24B">
      <w:pPr>
        <w:ind w:firstLine="422"/>
        <w:jc w:val="left"/>
        <w:rPr>
          <w:rFonts w:ascii="宋体" w:hAnsi="宋体"/>
          <w:kern w:val="44"/>
        </w:rPr>
      </w:pPr>
      <w:r>
        <w:rPr>
          <w:rFonts w:hint="eastAsia" w:ascii="宋体" w:hAnsi="宋体"/>
          <w:b/>
          <w:kern w:val="44"/>
        </w:rPr>
        <w:t>第十五条</w:t>
      </w:r>
      <w:r>
        <w:rPr>
          <w:rFonts w:hint="eastAsia" w:ascii="宋体" w:hAnsi="宋体"/>
          <w:kern w:val="44"/>
        </w:rPr>
        <w:t>　村民会议由本村十八周岁以上的村民组成。</w:t>
      </w:r>
    </w:p>
    <w:p w14:paraId="1ECD414D">
      <w:pPr>
        <w:jc w:val="left"/>
        <w:rPr>
          <w:rFonts w:ascii="宋体" w:hAnsi="宋体"/>
          <w:kern w:val="44"/>
        </w:rPr>
      </w:pPr>
      <w:r>
        <w:rPr>
          <w:rFonts w:hint="eastAsia" w:ascii="宋体" w:hAnsi="宋体"/>
          <w:kern w:val="44"/>
        </w:rPr>
        <w:t>村民会议每年至少召开一次，由村民委员会召集，并应当提前十日通知村民。</w:t>
      </w:r>
    </w:p>
    <w:p w14:paraId="64E6B1ED">
      <w:pPr>
        <w:jc w:val="left"/>
        <w:rPr>
          <w:rFonts w:ascii="宋体" w:hAnsi="宋体"/>
          <w:kern w:val="44"/>
        </w:rPr>
      </w:pPr>
      <w:r>
        <w:rPr>
          <w:rFonts w:hint="eastAsia" w:ascii="宋体" w:hAnsi="宋体"/>
          <w:kern w:val="44"/>
        </w:rPr>
        <w:t>召开村民会议，应当有本村十八周岁以上村民的过半数，或者有本村三分之二以上的户的代表参加，村民会议所作决定应当经到会人员的过半数通过。</w:t>
      </w:r>
    </w:p>
    <w:p w14:paraId="6CE74FCC">
      <w:pPr>
        <w:jc w:val="left"/>
        <w:rPr>
          <w:rFonts w:ascii="宋体" w:hAnsi="宋体"/>
          <w:kern w:val="44"/>
        </w:rPr>
      </w:pPr>
      <w:r>
        <w:rPr>
          <w:rFonts w:hint="eastAsia" w:ascii="宋体" w:hAnsi="宋体"/>
          <w:kern w:val="44"/>
        </w:rPr>
        <w:t>召开村民会议，根据需要可以邀请驻本村的企业、事业单位和群众组织派代表列席。</w:t>
      </w:r>
    </w:p>
    <w:p w14:paraId="7B3758E9">
      <w:pPr>
        <w:ind w:firstLine="422"/>
        <w:jc w:val="left"/>
        <w:rPr>
          <w:rFonts w:ascii="宋体" w:hAnsi="宋体"/>
          <w:kern w:val="44"/>
        </w:rPr>
      </w:pPr>
      <w:r>
        <w:rPr>
          <w:rFonts w:hint="eastAsia" w:ascii="宋体" w:hAnsi="宋体"/>
          <w:b/>
          <w:kern w:val="44"/>
        </w:rPr>
        <w:t>第十六条</w:t>
      </w:r>
      <w:r>
        <w:rPr>
          <w:rFonts w:hint="eastAsia" w:ascii="宋体" w:hAnsi="宋体"/>
          <w:kern w:val="44"/>
        </w:rPr>
        <w:t>　一百户以上或者居住分散的村，可以设立村民代表会议，讨论决定村民会议授权的事项。村民代表会议由村民委员会成员和村民代表组成，村民代表应当占村民代表会议组成人员的五分之四以上，妇女村民代表应当占村民代表会议组成人员的三分之一以上。</w:t>
      </w:r>
    </w:p>
    <w:p w14:paraId="0114617F">
      <w:pPr>
        <w:ind w:firstLine="422"/>
        <w:jc w:val="left"/>
        <w:rPr>
          <w:rFonts w:ascii="宋体" w:hAnsi="宋体"/>
          <w:kern w:val="44"/>
        </w:rPr>
      </w:pPr>
      <w:r>
        <w:rPr>
          <w:rFonts w:hint="eastAsia" w:ascii="宋体" w:hAnsi="宋体"/>
          <w:b/>
          <w:kern w:val="44"/>
        </w:rPr>
        <w:t>第十七条</w:t>
      </w:r>
      <w:r>
        <w:rPr>
          <w:rFonts w:hint="eastAsia" w:ascii="宋体" w:hAnsi="宋体"/>
          <w:kern w:val="44"/>
        </w:rPr>
        <w:t>　村民会议根据法律、法规和相关政策，结合本村实际情况，制定和修改村民自治章程、村规民约。</w:t>
      </w:r>
    </w:p>
    <w:p w14:paraId="6148FA0C">
      <w:pPr>
        <w:jc w:val="left"/>
        <w:rPr>
          <w:rFonts w:ascii="宋体" w:hAnsi="宋体"/>
          <w:kern w:val="44"/>
        </w:rPr>
      </w:pPr>
      <w:r>
        <w:rPr>
          <w:rFonts w:hint="eastAsia" w:ascii="宋体" w:hAnsi="宋体"/>
          <w:kern w:val="44"/>
        </w:rPr>
        <w:t>村民自治章程应当包括本村村民会议、村民代表会议开展民主决策的基本规则，民主管理和民主监督的基本工作制度，公益事业服务和公共事务管理，以及村民自治的其他重大事项。</w:t>
      </w:r>
    </w:p>
    <w:p w14:paraId="1463A966">
      <w:pPr>
        <w:jc w:val="left"/>
        <w:rPr>
          <w:rFonts w:ascii="宋体" w:hAnsi="宋体"/>
          <w:kern w:val="44"/>
        </w:rPr>
      </w:pPr>
      <w:r>
        <w:rPr>
          <w:rFonts w:hint="eastAsia" w:ascii="宋体" w:hAnsi="宋体"/>
          <w:kern w:val="44"/>
        </w:rPr>
        <w:t>村民委员会应当在广泛征集村民意见的基础上，提出制定或者修改村民自治章程、村规民约的建议。村民自治章程、村规民约经村民会议讨论通过后，由村民委员会报乡、民族乡、镇人民政府备案。</w:t>
      </w:r>
    </w:p>
    <w:p w14:paraId="6458B52B">
      <w:pPr>
        <w:ind w:firstLine="422"/>
        <w:jc w:val="left"/>
        <w:rPr>
          <w:rFonts w:ascii="宋体" w:hAnsi="宋体"/>
          <w:kern w:val="44"/>
        </w:rPr>
      </w:pPr>
      <w:r>
        <w:rPr>
          <w:rFonts w:hint="eastAsia" w:ascii="宋体" w:hAnsi="宋体"/>
          <w:b/>
          <w:kern w:val="44"/>
        </w:rPr>
        <w:t>第十八条</w:t>
      </w:r>
      <w:r>
        <w:rPr>
          <w:rFonts w:hint="eastAsia" w:ascii="宋体" w:hAnsi="宋体"/>
          <w:kern w:val="44"/>
        </w:rPr>
        <w:t>　村民会议审议村民委员会的年度工作报告，评议村民委员会成员的工作；有权撤销或者变更村民委员会不适当的决定；有权撤销或者变更村民代表会议不适当的决定。</w:t>
      </w:r>
    </w:p>
    <w:p w14:paraId="268831E6">
      <w:pPr>
        <w:jc w:val="left"/>
        <w:rPr>
          <w:rFonts w:ascii="宋体" w:hAnsi="宋体"/>
          <w:kern w:val="44"/>
        </w:rPr>
      </w:pPr>
      <w:r>
        <w:rPr>
          <w:rFonts w:hint="eastAsia" w:ascii="宋体" w:hAnsi="宋体"/>
          <w:kern w:val="44"/>
        </w:rPr>
        <w:t>村民会议可以授权村民代表会议审议村民委员会的年度工作报告，评议村民委员会成员的工作，撤销或者变更村民委员会不适当的决定。</w:t>
      </w:r>
    </w:p>
    <w:p w14:paraId="3094E4FE">
      <w:pPr>
        <w:ind w:firstLine="422"/>
        <w:jc w:val="left"/>
        <w:rPr>
          <w:rFonts w:ascii="宋体" w:hAnsi="宋体"/>
          <w:kern w:val="44"/>
        </w:rPr>
      </w:pPr>
      <w:r>
        <w:rPr>
          <w:rFonts w:hint="eastAsia" w:ascii="宋体" w:hAnsi="宋体"/>
          <w:b/>
          <w:kern w:val="44"/>
        </w:rPr>
        <w:t>第十九条</w:t>
      </w:r>
      <w:r>
        <w:rPr>
          <w:rFonts w:hint="eastAsia" w:ascii="宋体" w:hAnsi="宋体"/>
          <w:kern w:val="44"/>
        </w:rPr>
        <w:t>　涉及村民利益的下列事项，经村民会议或者村民会议授权村民代表会议讨论决定，方可办理：</w:t>
      </w:r>
    </w:p>
    <w:p w14:paraId="0A3E0009">
      <w:pPr>
        <w:jc w:val="left"/>
        <w:rPr>
          <w:rFonts w:ascii="宋体" w:hAnsi="宋体"/>
          <w:kern w:val="44"/>
        </w:rPr>
      </w:pPr>
      <w:r>
        <w:rPr>
          <w:rFonts w:hint="eastAsia" w:ascii="宋体" w:hAnsi="宋体"/>
          <w:kern w:val="44"/>
        </w:rPr>
        <w:t>（一）本村享受误工补贴或者村财务开支的人员，以及补贴或者报酬标准；</w:t>
      </w:r>
    </w:p>
    <w:p w14:paraId="0D229D23">
      <w:pPr>
        <w:jc w:val="left"/>
        <w:rPr>
          <w:rFonts w:ascii="宋体" w:hAnsi="宋体"/>
          <w:kern w:val="44"/>
        </w:rPr>
      </w:pPr>
      <w:r>
        <w:rPr>
          <w:rFonts w:hint="eastAsia" w:ascii="宋体" w:hAnsi="宋体"/>
          <w:kern w:val="44"/>
        </w:rPr>
        <w:t>（二）本村公益事业的兴办和筹资筹劳方案及建设承包方案；</w:t>
      </w:r>
    </w:p>
    <w:p w14:paraId="17F615F3">
      <w:pPr>
        <w:jc w:val="left"/>
        <w:rPr>
          <w:rFonts w:ascii="宋体" w:hAnsi="宋体"/>
          <w:kern w:val="44"/>
        </w:rPr>
      </w:pPr>
      <w:r>
        <w:rPr>
          <w:rFonts w:hint="eastAsia" w:ascii="宋体" w:hAnsi="宋体"/>
          <w:kern w:val="44"/>
        </w:rPr>
        <w:t>（三）村公益事业专项补助资金的使用方案；</w:t>
      </w:r>
    </w:p>
    <w:p w14:paraId="7021C5FE">
      <w:pPr>
        <w:jc w:val="left"/>
        <w:rPr>
          <w:rFonts w:ascii="宋体" w:hAnsi="宋体"/>
          <w:kern w:val="44"/>
        </w:rPr>
      </w:pPr>
      <w:r>
        <w:rPr>
          <w:rFonts w:hint="eastAsia" w:ascii="宋体" w:hAnsi="宋体"/>
          <w:kern w:val="44"/>
        </w:rPr>
        <w:t>（四）村日常运行经费的使用方案；</w:t>
      </w:r>
    </w:p>
    <w:p w14:paraId="442FC959">
      <w:pPr>
        <w:jc w:val="left"/>
        <w:rPr>
          <w:rFonts w:ascii="宋体" w:hAnsi="宋体"/>
          <w:kern w:val="44"/>
        </w:rPr>
      </w:pPr>
      <w:r>
        <w:rPr>
          <w:rFonts w:hint="eastAsia" w:ascii="宋体" w:hAnsi="宋体"/>
          <w:kern w:val="44"/>
        </w:rPr>
        <w:t>（五）按照国家和本市规定应当由村民会议讨论决定的事项。</w:t>
      </w:r>
    </w:p>
    <w:p w14:paraId="31EB50DD">
      <w:pPr>
        <w:jc w:val="left"/>
        <w:rPr>
          <w:rFonts w:ascii="宋体" w:hAnsi="宋体"/>
          <w:kern w:val="44"/>
        </w:rPr>
      </w:pPr>
      <w:r>
        <w:rPr>
          <w:rFonts w:hint="eastAsia" w:ascii="宋体" w:hAnsi="宋体"/>
          <w:kern w:val="44"/>
        </w:rPr>
        <w:t>村民会议授权村民代表会议讨论决定的具体事项应当在村民自治章程中规定。</w:t>
      </w:r>
    </w:p>
    <w:p w14:paraId="547E460D">
      <w:pPr>
        <w:ind w:firstLine="422"/>
        <w:jc w:val="left"/>
        <w:rPr>
          <w:rFonts w:ascii="宋体" w:hAnsi="宋体"/>
          <w:kern w:val="44"/>
        </w:rPr>
      </w:pPr>
      <w:r>
        <w:rPr>
          <w:rFonts w:hint="eastAsia" w:ascii="宋体" w:hAnsi="宋体"/>
          <w:b/>
          <w:kern w:val="44"/>
        </w:rPr>
        <w:t>第二十条</w:t>
      </w:r>
      <w:r>
        <w:rPr>
          <w:rFonts w:hint="eastAsia" w:ascii="宋体" w:hAnsi="宋体"/>
          <w:kern w:val="44"/>
        </w:rPr>
        <w:t>　村民代表会议由村民委员会召集。村民代表会议每季度至少召开一次。特殊情况或者有五分之一以上的村民代表提议，应当在五日内召集村民代表会议。村民代表会议有三分之二以上的组成人员参加方可召开，所作决定应当经到会人员的过半数同意。</w:t>
      </w:r>
    </w:p>
    <w:p w14:paraId="5F4DBA61">
      <w:pPr>
        <w:jc w:val="left"/>
        <w:rPr>
          <w:rFonts w:ascii="宋体" w:hAnsi="宋体"/>
          <w:kern w:val="44"/>
        </w:rPr>
      </w:pPr>
      <w:r>
        <w:rPr>
          <w:rFonts w:hint="eastAsia" w:ascii="宋体" w:hAnsi="宋体"/>
          <w:kern w:val="44"/>
        </w:rPr>
        <w:t>召开村民代表会议，根据需要可以邀请驻本村的企业、事业单位和群众组织派代表列席会议。</w:t>
      </w:r>
    </w:p>
    <w:p w14:paraId="17B2FA6B">
      <w:pPr>
        <w:ind w:firstLine="422"/>
        <w:jc w:val="left"/>
        <w:rPr>
          <w:rFonts w:ascii="宋体" w:hAnsi="宋体"/>
          <w:kern w:val="44"/>
        </w:rPr>
      </w:pPr>
      <w:r>
        <w:rPr>
          <w:rFonts w:hint="eastAsia" w:ascii="宋体" w:hAnsi="宋体"/>
          <w:b/>
          <w:kern w:val="44"/>
        </w:rPr>
        <w:t>第二十一条</w:t>
      </w:r>
      <w:r>
        <w:rPr>
          <w:rFonts w:hint="eastAsia" w:ascii="宋体" w:hAnsi="宋体"/>
          <w:kern w:val="44"/>
        </w:rPr>
        <w:t>　村民代表会议的议题应当由村民委员会在会议召开的三日前公布。村民代表在会前应当征求所代表的村民的意见，对村民代表会议决定的事项，应当及时向所代表的村民进行传达。</w:t>
      </w:r>
    </w:p>
    <w:p w14:paraId="3C21841C">
      <w:pPr>
        <w:ind w:firstLine="422"/>
        <w:jc w:val="left"/>
        <w:rPr>
          <w:rFonts w:ascii="宋体" w:hAnsi="宋体"/>
          <w:kern w:val="44"/>
        </w:rPr>
      </w:pPr>
      <w:r>
        <w:rPr>
          <w:rFonts w:hint="eastAsia" w:ascii="宋体" w:hAnsi="宋体"/>
          <w:b/>
          <w:kern w:val="44"/>
        </w:rPr>
        <w:t>第二十二条</w:t>
      </w:r>
      <w:r>
        <w:rPr>
          <w:rFonts w:hint="eastAsia" w:ascii="宋体" w:hAnsi="宋体"/>
          <w:kern w:val="44"/>
        </w:rPr>
        <w:t>　村民代表由村民按每五户至十五户推选一人，或者由各村民小组推选若干人。</w:t>
      </w:r>
    </w:p>
    <w:p w14:paraId="76271480">
      <w:pPr>
        <w:jc w:val="left"/>
        <w:rPr>
          <w:rFonts w:ascii="宋体" w:hAnsi="宋体"/>
          <w:kern w:val="44"/>
        </w:rPr>
      </w:pPr>
      <w:r>
        <w:rPr>
          <w:rFonts w:hint="eastAsia" w:ascii="宋体" w:hAnsi="宋体"/>
          <w:kern w:val="44"/>
        </w:rPr>
        <w:t>村民代表由村民小组推选的，村民代表总数一般不得少于三十人。</w:t>
      </w:r>
    </w:p>
    <w:p w14:paraId="1791FCBB">
      <w:pPr>
        <w:jc w:val="left"/>
        <w:rPr>
          <w:rFonts w:ascii="宋体" w:hAnsi="宋体"/>
          <w:kern w:val="44"/>
        </w:rPr>
      </w:pPr>
      <w:r>
        <w:rPr>
          <w:rFonts w:hint="eastAsia" w:ascii="宋体" w:hAnsi="宋体"/>
          <w:kern w:val="44"/>
        </w:rPr>
        <w:t>多民族村民居住的村，应当有人口较少的民族的代表。</w:t>
      </w:r>
    </w:p>
    <w:p w14:paraId="50E230B4">
      <w:pPr>
        <w:jc w:val="left"/>
        <w:rPr>
          <w:rFonts w:ascii="宋体" w:hAnsi="宋体"/>
          <w:kern w:val="44"/>
        </w:rPr>
      </w:pPr>
      <w:r>
        <w:rPr>
          <w:rFonts w:hint="eastAsia" w:ascii="宋体" w:hAnsi="宋体"/>
          <w:kern w:val="44"/>
        </w:rPr>
        <w:t>任何组织和个人不得指定、委派或者撤换村民代表。</w:t>
      </w:r>
    </w:p>
    <w:p w14:paraId="6593F0D0">
      <w:pPr>
        <w:ind w:firstLine="422"/>
        <w:jc w:val="left"/>
        <w:rPr>
          <w:rFonts w:ascii="宋体" w:hAnsi="宋体"/>
          <w:kern w:val="44"/>
        </w:rPr>
      </w:pPr>
      <w:r>
        <w:rPr>
          <w:rFonts w:hint="eastAsia" w:ascii="宋体" w:hAnsi="宋体"/>
          <w:b/>
          <w:kern w:val="44"/>
        </w:rPr>
        <w:t>第二十三条</w:t>
      </w:r>
      <w:r>
        <w:rPr>
          <w:rFonts w:hint="eastAsia" w:ascii="宋体" w:hAnsi="宋体"/>
          <w:kern w:val="44"/>
        </w:rPr>
        <w:t>　村民代表应当具备下列条件：</w:t>
      </w:r>
    </w:p>
    <w:p w14:paraId="6FFEE0FA">
      <w:pPr>
        <w:jc w:val="left"/>
        <w:rPr>
          <w:rFonts w:ascii="宋体" w:hAnsi="宋体"/>
          <w:kern w:val="44"/>
        </w:rPr>
      </w:pPr>
      <w:r>
        <w:rPr>
          <w:rFonts w:hint="eastAsia" w:ascii="宋体" w:hAnsi="宋体"/>
          <w:kern w:val="44"/>
        </w:rPr>
        <w:t>（一）年满十八周岁，具有选举权和被选举权的本村村民；</w:t>
      </w:r>
    </w:p>
    <w:p w14:paraId="15E5EE29">
      <w:pPr>
        <w:jc w:val="left"/>
        <w:rPr>
          <w:rFonts w:ascii="宋体" w:hAnsi="宋体"/>
          <w:kern w:val="44"/>
        </w:rPr>
      </w:pPr>
      <w:r>
        <w:rPr>
          <w:rFonts w:hint="eastAsia" w:ascii="宋体" w:hAnsi="宋体"/>
          <w:kern w:val="44"/>
        </w:rPr>
        <w:t>（二）遵纪守法、品行良好，办事公道，有较高的群众威信；</w:t>
      </w:r>
    </w:p>
    <w:p w14:paraId="6F0C3767">
      <w:pPr>
        <w:jc w:val="left"/>
        <w:rPr>
          <w:rFonts w:ascii="宋体" w:hAnsi="宋体"/>
          <w:kern w:val="44"/>
        </w:rPr>
      </w:pPr>
      <w:r>
        <w:rPr>
          <w:rFonts w:hint="eastAsia" w:ascii="宋体" w:hAnsi="宋体"/>
          <w:kern w:val="44"/>
        </w:rPr>
        <w:t>（三）具有正常履行职责的身体条件；</w:t>
      </w:r>
    </w:p>
    <w:p w14:paraId="67E085CB">
      <w:pPr>
        <w:jc w:val="left"/>
        <w:rPr>
          <w:rFonts w:ascii="宋体" w:hAnsi="宋体"/>
          <w:kern w:val="44"/>
        </w:rPr>
      </w:pPr>
      <w:r>
        <w:rPr>
          <w:rFonts w:hint="eastAsia" w:ascii="宋体" w:hAnsi="宋体"/>
          <w:kern w:val="44"/>
        </w:rPr>
        <w:t>（四）具有一定议事能力。</w:t>
      </w:r>
    </w:p>
    <w:p w14:paraId="2A56F7AC">
      <w:pPr>
        <w:ind w:firstLine="422"/>
        <w:jc w:val="left"/>
        <w:rPr>
          <w:rFonts w:ascii="宋体" w:hAnsi="宋体"/>
          <w:kern w:val="44"/>
        </w:rPr>
      </w:pPr>
      <w:r>
        <w:rPr>
          <w:rFonts w:hint="eastAsia" w:ascii="宋体" w:hAnsi="宋体"/>
          <w:b/>
          <w:kern w:val="44"/>
        </w:rPr>
        <w:t>第二十四条</w:t>
      </w:r>
      <w:r>
        <w:rPr>
          <w:rFonts w:hint="eastAsia" w:ascii="宋体" w:hAnsi="宋体"/>
          <w:kern w:val="44"/>
        </w:rPr>
        <w:t>　村民代表应当向其推选户或者村民小组负责，接受村民监督。</w:t>
      </w:r>
    </w:p>
    <w:p w14:paraId="7A7D23D0">
      <w:pPr>
        <w:jc w:val="left"/>
        <w:rPr>
          <w:rFonts w:ascii="宋体" w:hAnsi="宋体"/>
          <w:kern w:val="44"/>
        </w:rPr>
      </w:pPr>
      <w:r>
        <w:rPr>
          <w:rFonts w:hint="eastAsia" w:ascii="宋体" w:hAnsi="宋体"/>
          <w:kern w:val="44"/>
        </w:rPr>
        <w:t>村民代表的职责：</w:t>
      </w:r>
    </w:p>
    <w:p w14:paraId="004793EB">
      <w:pPr>
        <w:jc w:val="left"/>
        <w:rPr>
          <w:rFonts w:ascii="宋体" w:hAnsi="宋体"/>
          <w:kern w:val="44"/>
        </w:rPr>
      </w:pPr>
      <w:r>
        <w:rPr>
          <w:rFonts w:hint="eastAsia" w:ascii="宋体" w:hAnsi="宋体"/>
          <w:kern w:val="44"/>
        </w:rPr>
        <w:t>（一）参加村民代表会议，讨论决定村民会议授权的事项；</w:t>
      </w:r>
    </w:p>
    <w:p w14:paraId="392F2E69">
      <w:pPr>
        <w:jc w:val="left"/>
        <w:rPr>
          <w:rFonts w:ascii="宋体" w:hAnsi="宋体"/>
          <w:kern w:val="44"/>
        </w:rPr>
      </w:pPr>
      <w:r>
        <w:rPr>
          <w:rFonts w:hint="eastAsia" w:ascii="宋体" w:hAnsi="宋体"/>
          <w:kern w:val="44"/>
        </w:rPr>
        <w:t>（二）联系其推选户或者村民小组，反映其推选户或者村民小组的意见和建议；</w:t>
      </w:r>
    </w:p>
    <w:p w14:paraId="7CC18421">
      <w:pPr>
        <w:jc w:val="left"/>
        <w:rPr>
          <w:rFonts w:ascii="宋体" w:hAnsi="宋体"/>
          <w:kern w:val="44"/>
        </w:rPr>
      </w:pPr>
      <w:r>
        <w:rPr>
          <w:rFonts w:hint="eastAsia" w:ascii="宋体" w:hAnsi="宋体"/>
          <w:kern w:val="44"/>
        </w:rPr>
        <w:t>（三）向其推选户或者村民小组传达村民代表会议决定，并动员村民遵守和执行；</w:t>
      </w:r>
    </w:p>
    <w:p w14:paraId="03420780">
      <w:pPr>
        <w:jc w:val="left"/>
        <w:rPr>
          <w:rFonts w:ascii="宋体" w:hAnsi="宋体"/>
          <w:kern w:val="44"/>
        </w:rPr>
      </w:pPr>
      <w:r>
        <w:rPr>
          <w:rFonts w:hint="eastAsia" w:ascii="宋体" w:hAnsi="宋体"/>
          <w:kern w:val="44"/>
        </w:rPr>
        <w:t>（四）村民自治章程中规定的其他职责。</w:t>
      </w:r>
    </w:p>
    <w:p w14:paraId="781CE8D7">
      <w:pPr>
        <w:jc w:val="left"/>
        <w:rPr>
          <w:rFonts w:ascii="宋体" w:hAnsi="宋体"/>
          <w:kern w:val="44"/>
        </w:rPr>
      </w:pPr>
      <w:r>
        <w:rPr>
          <w:rFonts w:hint="eastAsia" w:ascii="宋体" w:hAnsi="宋体"/>
          <w:kern w:val="44"/>
        </w:rPr>
        <w:t>村民代表不依法履行职责的，由原推选户或者村民小组撤换。</w:t>
      </w:r>
    </w:p>
    <w:p w14:paraId="7DC3CCC2">
      <w:pPr>
        <w:ind w:firstLine="422"/>
        <w:jc w:val="left"/>
        <w:rPr>
          <w:rFonts w:ascii="宋体" w:hAnsi="宋体"/>
          <w:kern w:val="44"/>
        </w:rPr>
      </w:pPr>
      <w:r>
        <w:rPr>
          <w:rFonts w:hint="eastAsia" w:ascii="宋体" w:hAnsi="宋体"/>
          <w:b/>
          <w:kern w:val="44"/>
        </w:rPr>
        <w:t>第二十五条</w:t>
      </w:r>
      <w:r>
        <w:rPr>
          <w:rFonts w:hint="eastAsia" w:ascii="宋体" w:hAnsi="宋体"/>
          <w:kern w:val="44"/>
        </w:rPr>
        <w:t>　召开村民小组会议，应当有本村民小组十八周岁以上的村民三分之二以上，或者本村民小组三分之二以上的户的代表参加，所作决定应当经到会人员的过半数同意。</w:t>
      </w:r>
    </w:p>
    <w:p w14:paraId="7416E40B">
      <w:pPr>
        <w:jc w:val="left"/>
        <w:rPr>
          <w:rFonts w:ascii="宋体" w:hAnsi="宋体"/>
          <w:kern w:val="44"/>
        </w:rPr>
      </w:pPr>
      <w:r>
        <w:rPr>
          <w:rFonts w:hint="eastAsia" w:ascii="宋体" w:hAnsi="宋体"/>
          <w:kern w:val="44"/>
        </w:rPr>
        <w:t>村民小组组长应当在新一届村民委员会产生后十五日内由村民小组会议从本组村民中推选产生。村民小组组长任期与村民委员会的任期相同，可以连选连任。</w:t>
      </w:r>
    </w:p>
    <w:p w14:paraId="71FBF68F">
      <w:pPr>
        <w:jc w:val="left"/>
        <w:rPr>
          <w:rFonts w:ascii="宋体" w:hAnsi="宋体"/>
          <w:kern w:val="44"/>
        </w:rPr>
      </w:pPr>
      <w:r>
        <w:rPr>
          <w:rFonts w:hint="eastAsia" w:ascii="宋体" w:hAnsi="宋体"/>
          <w:kern w:val="44"/>
        </w:rPr>
        <w:t>村民小组组长负责组织督促本组村民执行村民委员会的决定，完成村民委员会交给的工作任务，办理本组的公共事务和公益事业，并向村民委员会反映本组村民的意见和要求。</w:t>
      </w:r>
    </w:p>
    <w:p w14:paraId="2595A164">
      <w:pPr>
        <w:ind w:firstLine="422"/>
        <w:jc w:val="left"/>
        <w:rPr>
          <w:rFonts w:ascii="宋体" w:hAnsi="宋体"/>
          <w:kern w:val="44"/>
        </w:rPr>
      </w:pPr>
      <w:r>
        <w:rPr>
          <w:rFonts w:hint="eastAsia" w:ascii="宋体" w:hAnsi="宋体"/>
          <w:b/>
          <w:kern w:val="44"/>
        </w:rPr>
        <w:t>第二十六条</w:t>
      </w:r>
      <w:r>
        <w:rPr>
          <w:rFonts w:hint="eastAsia" w:ascii="宋体" w:hAnsi="宋体"/>
          <w:kern w:val="44"/>
        </w:rPr>
        <w:t>　村民小组组长、村民代表认为需要由村民委员会研究决定的事项，可以向村民委员会提出。村民委员会不采纳的，应当说明理由。</w:t>
      </w:r>
    </w:p>
    <w:p w14:paraId="6E4F3C6A">
      <w:pPr>
        <w:ind w:firstLine="422"/>
        <w:jc w:val="left"/>
        <w:rPr>
          <w:rFonts w:ascii="宋体" w:hAnsi="宋体"/>
          <w:kern w:val="44"/>
        </w:rPr>
      </w:pPr>
      <w:r>
        <w:rPr>
          <w:rFonts w:hint="eastAsia" w:ascii="宋体" w:hAnsi="宋体"/>
          <w:b/>
          <w:kern w:val="44"/>
        </w:rPr>
        <w:t>第二十七条</w:t>
      </w:r>
      <w:r>
        <w:rPr>
          <w:rFonts w:hint="eastAsia" w:ascii="宋体" w:hAnsi="宋体"/>
          <w:kern w:val="44"/>
        </w:rPr>
        <w:t>　村应当建立村务监督委员会，负责村民民主理财、监督村务公开等制度的落实，履行依法公布村民委员会成员职务的自行终止、监督村民委员会成员的罢免工作等职责。</w:t>
      </w:r>
    </w:p>
    <w:p w14:paraId="00C3E7AC">
      <w:pPr>
        <w:jc w:val="left"/>
        <w:rPr>
          <w:rFonts w:ascii="宋体" w:hAnsi="宋体"/>
          <w:kern w:val="44"/>
        </w:rPr>
      </w:pPr>
      <w:r>
        <w:rPr>
          <w:rFonts w:hint="eastAsia" w:ascii="宋体" w:hAnsi="宋体"/>
          <w:kern w:val="44"/>
        </w:rPr>
        <w:t>村务监督委员会由三至五人组成，由村民会议或者村民代表会议在村民中推选产生，其中应当有具备财会、管理知识的人员。村务监督委员会成员与村民委员会成员同期换届，任期与村民委员会成员相同。村民委员会成员及其近亲属不得担任村务监督委员会成员。</w:t>
      </w:r>
    </w:p>
    <w:p w14:paraId="2BCC84A2">
      <w:pPr>
        <w:jc w:val="left"/>
        <w:rPr>
          <w:rFonts w:ascii="宋体" w:hAnsi="宋体"/>
          <w:kern w:val="44"/>
        </w:rPr>
      </w:pPr>
      <w:r>
        <w:rPr>
          <w:rFonts w:hint="eastAsia" w:ascii="宋体" w:hAnsi="宋体"/>
          <w:kern w:val="44"/>
        </w:rPr>
        <w:t>村务监督委员会向村民会议和村民代表会议负责并报告工作，村务监督委员会成员可以列席村民委员会会议和村民代表会议。</w:t>
      </w:r>
    </w:p>
    <w:p w14:paraId="6E312A8C">
      <w:pPr>
        <w:jc w:val="left"/>
        <w:rPr>
          <w:rFonts w:ascii="宋体" w:hAnsi="宋体"/>
          <w:kern w:val="44"/>
        </w:rPr>
      </w:pPr>
      <w:r>
        <w:rPr>
          <w:rFonts w:hint="eastAsia" w:ascii="宋体" w:hAnsi="宋体"/>
          <w:kern w:val="44"/>
        </w:rPr>
        <w:t>村务监督委员会成员不依法履行职责的，由村民会议或者村民代表会议撤换。</w:t>
      </w:r>
    </w:p>
    <w:p w14:paraId="1F298E9A">
      <w:pPr>
        <w:ind w:firstLine="422"/>
        <w:jc w:val="left"/>
        <w:rPr>
          <w:rFonts w:ascii="宋体" w:hAnsi="宋体"/>
          <w:kern w:val="44"/>
        </w:rPr>
      </w:pPr>
      <w:r>
        <w:rPr>
          <w:rFonts w:hint="eastAsia" w:ascii="宋体" w:hAnsi="宋体"/>
          <w:b/>
          <w:kern w:val="44"/>
        </w:rPr>
        <w:t>第二十八条</w:t>
      </w:r>
      <w:r>
        <w:rPr>
          <w:rFonts w:hint="eastAsia" w:ascii="宋体" w:hAnsi="宋体"/>
          <w:kern w:val="44"/>
        </w:rPr>
        <w:t>　村民委员会实行村务公开制度。</w:t>
      </w:r>
    </w:p>
    <w:p w14:paraId="5E499FDE">
      <w:pPr>
        <w:jc w:val="left"/>
        <w:rPr>
          <w:rFonts w:ascii="宋体" w:hAnsi="宋体"/>
          <w:kern w:val="44"/>
        </w:rPr>
      </w:pPr>
      <w:r>
        <w:rPr>
          <w:rFonts w:hint="eastAsia" w:ascii="宋体" w:hAnsi="宋体"/>
          <w:kern w:val="44"/>
        </w:rPr>
        <w:t>村民委员会应当及时公布下列事项，接受村民的监督：</w:t>
      </w:r>
    </w:p>
    <w:p w14:paraId="5F15BA3E">
      <w:pPr>
        <w:jc w:val="left"/>
        <w:rPr>
          <w:rFonts w:ascii="宋体" w:hAnsi="宋体"/>
          <w:kern w:val="44"/>
        </w:rPr>
      </w:pPr>
      <w:r>
        <w:rPr>
          <w:rFonts w:hint="eastAsia" w:ascii="宋体" w:hAnsi="宋体"/>
          <w:kern w:val="44"/>
        </w:rPr>
        <w:t>（一）村民会议或者村民代表会议讨论决定的事项及其实施情况；</w:t>
      </w:r>
    </w:p>
    <w:p w14:paraId="070E4730">
      <w:pPr>
        <w:jc w:val="left"/>
        <w:rPr>
          <w:rFonts w:ascii="宋体" w:hAnsi="宋体"/>
          <w:kern w:val="44"/>
        </w:rPr>
      </w:pPr>
      <w:r>
        <w:rPr>
          <w:rFonts w:hint="eastAsia" w:ascii="宋体" w:hAnsi="宋体"/>
          <w:kern w:val="44"/>
        </w:rPr>
        <w:t>（二）国家计划生育政策的落实方案；</w:t>
      </w:r>
    </w:p>
    <w:p w14:paraId="57A89DF6">
      <w:pPr>
        <w:jc w:val="left"/>
        <w:rPr>
          <w:rFonts w:ascii="宋体" w:hAnsi="宋体"/>
          <w:kern w:val="44"/>
        </w:rPr>
      </w:pPr>
      <w:r>
        <w:rPr>
          <w:rFonts w:hint="eastAsia" w:ascii="宋体" w:hAnsi="宋体"/>
          <w:kern w:val="44"/>
        </w:rPr>
        <w:t>（三）村社会保障、合作医疗、优抚救济政策、工作措施和落实情况；</w:t>
      </w:r>
    </w:p>
    <w:p w14:paraId="66932E58">
      <w:pPr>
        <w:jc w:val="left"/>
        <w:rPr>
          <w:rFonts w:ascii="宋体" w:hAnsi="宋体"/>
          <w:kern w:val="44"/>
        </w:rPr>
      </w:pPr>
      <w:r>
        <w:rPr>
          <w:rFonts w:hint="eastAsia" w:ascii="宋体" w:hAnsi="宋体"/>
          <w:kern w:val="44"/>
        </w:rPr>
        <w:t>（四）政府拨付和接受社会捐赠的救灾救助、补贴补助、支援新农村建设等资金、物资的管理使用情况；</w:t>
      </w:r>
    </w:p>
    <w:p w14:paraId="51DE13E5">
      <w:pPr>
        <w:jc w:val="left"/>
        <w:rPr>
          <w:rFonts w:ascii="宋体" w:hAnsi="宋体"/>
          <w:kern w:val="44"/>
        </w:rPr>
      </w:pPr>
      <w:r>
        <w:rPr>
          <w:rFonts w:hint="eastAsia" w:ascii="宋体" w:hAnsi="宋体"/>
          <w:kern w:val="44"/>
        </w:rPr>
        <w:t>（五）村财务收支情况；</w:t>
      </w:r>
    </w:p>
    <w:p w14:paraId="712892D7">
      <w:pPr>
        <w:jc w:val="left"/>
        <w:rPr>
          <w:rFonts w:ascii="宋体" w:hAnsi="宋体"/>
          <w:kern w:val="44"/>
        </w:rPr>
      </w:pPr>
      <w:r>
        <w:rPr>
          <w:rFonts w:hint="eastAsia" w:ascii="宋体" w:hAnsi="宋体"/>
          <w:kern w:val="44"/>
        </w:rPr>
        <w:t>（六）村民负担费用的收缴及使用情况；</w:t>
      </w:r>
    </w:p>
    <w:p w14:paraId="3A34549C">
      <w:pPr>
        <w:jc w:val="left"/>
        <w:rPr>
          <w:rFonts w:ascii="宋体" w:hAnsi="宋体"/>
          <w:kern w:val="44"/>
        </w:rPr>
      </w:pPr>
      <w:r>
        <w:rPr>
          <w:rFonts w:hint="eastAsia" w:ascii="宋体" w:hAnsi="宋体"/>
          <w:kern w:val="44"/>
        </w:rPr>
        <w:t>（七）农转非情况；</w:t>
      </w:r>
    </w:p>
    <w:p w14:paraId="574D46F6">
      <w:pPr>
        <w:jc w:val="left"/>
        <w:rPr>
          <w:rFonts w:ascii="宋体" w:hAnsi="宋体"/>
          <w:kern w:val="44"/>
        </w:rPr>
      </w:pPr>
      <w:r>
        <w:rPr>
          <w:rFonts w:hint="eastAsia" w:ascii="宋体" w:hAnsi="宋体"/>
          <w:kern w:val="44"/>
        </w:rPr>
        <w:t>（八）村民委员会协助政府开展工作的情况；</w:t>
      </w:r>
    </w:p>
    <w:p w14:paraId="47D04C45">
      <w:pPr>
        <w:jc w:val="left"/>
        <w:rPr>
          <w:rFonts w:ascii="宋体" w:hAnsi="宋体"/>
          <w:kern w:val="44"/>
        </w:rPr>
      </w:pPr>
      <w:r>
        <w:rPr>
          <w:rFonts w:hint="eastAsia" w:ascii="宋体" w:hAnsi="宋体"/>
          <w:kern w:val="44"/>
        </w:rPr>
        <w:t>（九）村民自治章程、村规民约的制定实施情况；</w:t>
      </w:r>
    </w:p>
    <w:p w14:paraId="0D43D81B">
      <w:pPr>
        <w:jc w:val="left"/>
        <w:rPr>
          <w:rFonts w:ascii="宋体" w:hAnsi="宋体"/>
          <w:kern w:val="44"/>
        </w:rPr>
      </w:pPr>
      <w:r>
        <w:rPr>
          <w:rFonts w:hint="eastAsia" w:ascii="宋体" w:hAnsi="宋体"/>
          <w:kern w:val="44"/>
        </w:rPr>
        <w:t>（十）按照国家和本市规定应当公布的其他事项。</w:t>
      </w:r>
    </w:p>
    <w:p w14:paraId="1050A750">
      <w:pPr>
        <w:ind w:firstLine="422"/>
        <w:jc w:val="left"/>
        <w:rPr>
          <w:rFonts w:ascii="宋体" w:hAnsi="宋体"/>
          <w:kern w:val="44"/>
        </w:rPr>
      </w:pPr>
      <w:r>
        <w:rPr>
          <w:rFonts w:hint="eastAsia" w:ascii="宋体" w:hAnsi="宋体"/>
          <w:b/>
          <w:kern w:val="44"/>
        </w:rPr>
        <w:t>第二十九条</w:t>
      </w:r>
      <w:r>
        <w:rPr>
          <w:rFonts w:hint="eastAsia" w:ascii="宋体" w:hAnsi="宋体"/>
          <w:kern w:val="44"/>
        </w:rPr>
        <w:t>　村民委员会应当在本村明显的地方设置固定的村务公开栏和意见箱。村务公开还可以采取广播、闭路电视、网络、刊物等辅助形式。</w:t>
      </w:r>
    </w:p>
    <w:p w14:paraId="0A9BF078">
      <w:pPr>
        <w:jc w:val="left"/>
        <w:rPr>
          <w:rFonts w:ascii="宋体" w:hAnsi="宋体"/>
          <w:kern w:val="44"/>
        </w:rPr>
      </w:pPr>
      <w:r>
        <w:rPr>
          <w:rFonts w:hint="eastAsia" w:ascii="宋体" w:hAnsi="宋体"/>
          <w:kern w:val="44"/>
        </w:rPr>
        <w:t>村民委员会应当广泛听取群众对村务公开的意见，接受群众查询，并做好答复工作。</w:t>
      </w:r>
    </w:p>
    <w:p w14:paraId="6362ED18">
      <w:pPr>
        <w:jc w:val="left"/>
        <w:rPr>
          <w:rFonts w:ascii="宋体" w:hAnsi="宋体"/>
          <w:kern w:val="44"/>
        </w:rPr>
      </w:pPr>
      <w:r>
        <w:rPr>
          <w:rFonts w:hint="eastAsia" w:ascii="宋体" w:hAnsi="宋体"/>
          <w:kern w:val="44"/>
        </w:rPr>
        <w:t>村务公开不及时或者公开内容不真实的，村民有权向村民委员会提出质询，向村务监督委员会投诉，向乡、民族乡、镇人民政府，区、县人民政府及其有关主管部门反映。有关人民政府或者主管部门应当负责调查核实，责令依法公布；经查证确有违法行为的，有关人员应当依法承担责任。</w:t>
      </w:r>
    </w:p>
    <w:p w14:paraId="72CEDB08">
      <w:pPr>
        <w:ind w:firstLine="422"/>
        <w:jc w:val="left"/>
        <w:rPr>
          <w:rFonts w:ascii="宋体" w:hAnsi="宋体"/>
          <w:kern w:val="44"/>
        </w:rPr>
      </w:pPr>
      <w:r>
        <w:rPr>
          <w:rFonts w:hint="eastAsia" w:ascii="宋体" w:hAnsi="宋体"/>
          <w:b/>
          <w:kern w:val="44"/>
        </w:rPr>
        <w:t>第三十条</w:t>
      </w:r>
      <w:r>
        <w:rPr>
          <w:rFonts w:hint="eastAsia" w:ascii="宋体" w:hAnsi="宋体"/>
          <w:kern w:val="44"/>
        </w:rPr>
        <w:t>　村应当建立健全财务管理制度。</w:t>
      </w:r>
    </w:p>
    <w:p w14:paraId="150B88D7">
      <w:pPr>
        <w:jc w:val="left"/>
        <w:rPr>
          <w:rFonts w:ascii="宋体" w:hAnsi="宋体"/>
          <w:kern w:val="44"/>
        </w:rPr>
      </w:pPr>
      <w:r>
        <w:rPr>
          <w:rFonts w:hint="eastAsia" w:ascii="宋体" w:hAnsi="宋体"/>
          <w:kern w:val="44"/>
        </w:rPr>
        <w:t>村财务经村民会议或者村民代表会议讨论决定，可以采取会计委托代理等财务管理方式。</w:t>
      </w:r>
    </w:p>
    <w:p w14:paraId="2CF9311B">
      <w:pPr>
        <w:jc w:val="left"/>
        <w:rPr>
          <w:rFonts w:ascii="宋体" w:hAnsi="宋体"/>
          <w:kern w:val="44"/>
        </w:rPr>
      </w:pPr>
      <w:r>
        <w:rPr>
          <w:rFonts w:hint="eastAsia" w:ascii="宋体" w:hAnsi="宋体"/>
          <w:kern w:val="44"/>
        </w:rPr>
        <w:t>村民委员会成员的配偶、直系亲属不得担任本村财务管理工作人员。</w:t>
      </w:r>
    </w:p>
    <w:p w14:paraId="1D5D2B80">
      <w:pPr>
        <w:ind w:firstLine="422"/>
        <w:jc w:val="left"/>
        <w:rPr>
          <w:rFonts w:ascii="宋体" w:hAnsi="宋体"/>
          <w:kern w:val="44"/>
        </w:rPr>
      </w:pPr>
      <w:r>
        <w:rPr>
          <w:rFonts w:hint="eastAsia" w:ascii="宋体" w:hAnsi="宋体"/>
          <w:b/>
          <w:kern w:val="44"/>
        </w:rPr>
        <w:t>第三十一条</w:t>
      </w:r>
      <w:r>
        <w:rPr>
          <w:rFonts w:hint="eastAsia" w:ascii="宋体" w:hAnsi="宋体"/>
          <w:kern w:val="44"/>
        </w:rPr>
        <w:t>　村应当建立村民委员会印章使用的审批、登记、备案等管理制度，并纳入村民自治章程或者村规民约。</w:t>
      </w:r>
    </w:p>
    <w:p w14:paraId="4DFD4AB1">
      <w:pPr>
        <w:ind w:firstLine="422"/>
        <w:jc w:val="left"/>
        <w:rPr>
          <w:rFonts w:ascii="宋体" w:hAnsi="宋体"/>
          <w:kern w:val="44"/>
        </w:rPr>
      </w:pPr>
      <w:r>
        <w:rPr>
          <w:rFonts w:hint="eastAsia" w:ascii="宋体" w:hAnsi="宋体"/>
          <w:b/>
          <w:kern w:val="44"/>
        </w:rPr>
        <w:t>第三十二条</w:t>
      </w:r>
      <w:r>
        <w:rPr>
          <w:rFonts w:hint="eastAsia" w:ascii="宋体" w:hAnsi="宋体"/>
          <w:kern w:val="44"/>
        </w:rPr>
        <w:t>　村民委员会和村务监督委员会应当建立村务档案。村务档案包括：选举文件和选票，会议记录，公益设施基本资料，基本建设资料，村务公开资料，村民自治章程，村规民约等，以及按照国家和本市规定需要建立村务档案的文件材料。</w:t>
      </w:r>
    </w:p>
    <w:p w14:paraId="48555989">
      <w:pPr>
        <w:jc w:val="left"/>
        <w:rPr>
          <w:rFonts w:ascii="宋体" w:hAnsi="宋体"/>
          <w:kern w:val="44"/>
        </w:rPr>
      </w:pPr>
      <w:r>
        <w:rPr>
          <w:rFonts w:hint="eastAsia" w:ascii="宋体" w:hAnsi="宋体"/>
          <w:kern w:val="44"/>
        </w:rPr>
        <w:t>村务档案的归档范围和档案保管期限应当符合本市档案管理的有关规定。</w:t>
      </w:r>
    </w:p>
    <w:p w14:paraId="48A8C3A9">
      <w:pPr>
        <w:ind w:firstLine="422"/>
        <w:jc w:val="left"/>
        <w:rPr>
          <w:rFonts w:ascii="宋体" w:hAnsi="宋体"/>
          <w:kern w:val="44"/>
        </w:rPr>
      </w:pPr>
      <w:r>
        <w:rPr>
          <w:rFonts w:hint="eastAsia" w:ascii="宋体" w:hAnsi="宋体"/>
          <w:b/>
          <w:kern w:val="44"/>
        </w:rPr>
        <w:t>第三十三条</w:t>
      </w:r>
      <w:r>
        <w:rPr>
          <w:rFonts w:hint="eastAsia" w:ascii="宋体" w:hAnsi="宋体"/>
          <w:kern w:val="44"/>
        </w:rPr>
        <w:t>　村民委员会成员应当接受村民会议或者村民代表会议对其履行职责情况和廉洁情况的民主评议；由村民或者村集体承担误工补贴的聘用人员，应当接受村民会议或者村民代表会议对其履行职责情况的民主评议。民主评议每年至少进行一次，由村务监督委员会主持，并公布评议结果。</w:t>
      </w:r>
    </w:p>
    <w:p w14:paraId="69895BB6">
      <w:pPr>
        <w:jc w:val="left"/>
        <w:rPr>
          <w:rFonts w:ascii="宋体" w:hAnsi="宋体"/>
          <w:kern w:val="44"/>
        </w:rPr>
      </w:pPr>
      <w:r>
        <w:rPr>
          <w:rFonts w:hint="eastAsia" w:ascii="宋体" w:hAnsi="宋体"/>
          <w:kern w:val="44"/>
        </w:rPr>
        <w:t>村民委员会成员连续两次被评议不称职的，其职务终止，由村务监督委员会予以公布。</w:t>
      </w:r>
    </w:p>
    <w:p w14:paraId="57AD5EF2">
      <w:pPr>
        <w:ind w:firstLine="422"/>
        <w:jc w:val="left"/>
        <w:rPr>
          <w:rFonts w:ascii="宋体" w:hAnsi="宋体"/>
          <w:kern w:val="44"/>
        </w:rPr>
      </w:pPr>
      <w:r>
        <w:rPr>
          <w:rFonts w:hint="eastAsia" w:ascii="宋体" w:hAnsi="宋体"/>
          <w:b/>
          <w:kern w:val="44"/>
        </w:rPr>
        <w:t>第三十四条</w:t>
      </w:r>
      <w:r>
        <w:rPr>
          <w:rFonts w:hint="eastAsia" w:ascii="宋体" w:hAnsi="宋体"/>
          <w:kern w:val="44"/>
        </w:rPr>
        <w:t>　区、县民政部门和乡、民族乡、镇人民政府负责制定和实施村民委员会成员的培训计划，实行培训制度。村民委员会成员至少在当选后的两个月内接受一次培训。培训经费由区、县和乡、民族乡、镇人民政府承担。</w:t>
      </w:r>
    </w:p>
    <w:p w14:paraId="220E5125">
      <w:pPr>
        <w:ind w:firstLine="422"/>
        <w:jc w:val="left"/>
        <w:rPr>
          <w:rFonts w:ascii="宋体" w:hAnsi="宋体"/>
          <w:kern w:val="44"/>
        </w:rPr>
      </w:pPr>
      <w:r>
        <w:rPr>
          <w:rFonts w:hint="eastAsia" w:ascii="宋体" w:hAnsi="宋体"/>
          <w:b/>
          <w:kern w:val="44"/>
        </w:rPr>
        <w:t>第三十五条</w:t>
      </w:r>
      <w:r>
        <w:rPr>
          <w:rFonts w:hint="eastAsia" w:ascii="宋体" w:hAnsi="宋体"/>
          <w:kern w:val="44"/>
        </w:rPr>
        <w:t>　本市实行村级公益事业专项补助制度，并逐步提高补助标准。乡、民族乡、镇人民政府应当加强对村级公益事业专项补助资金使用的审核和监督。</w:t>
      </w:r>
    </w:p>
    <w:p w14:paraId="3B7DEC1E">
      <w:pPr>
        <w:ind w:firstLine="422"/>
        <w:jc w:val="left"/>
        <w:rPr>
          <w:rFonts w:ascii="宋体" w:hAnsi="宋体"/>
          <w:kern w:val="44"/>
        </w:rPr>
      </w:pPr>
      <w:r>
        <w:rPr>
          <w:rFonts w:hint="eastAsia" w:ascii="宋体" w:hAnsi="宋体"/>
          <w:b/>
          <w:kern w:val="44"/>
        </w:rPr>
        <w:t>第三十六条</w:t>
      </w:r>
      <w:r>
        <w:rPr>
          <w:rFonts w:hint="eastAsia" w:ascii="宋体" w:hAnsi="宋体"/>
          <w:kern w:val="44"/>
        </w:rPr>
        <w:t>　本市区、县人民代表大会及其常务委员会，乡、民族乡、镇人民代表大会在本行政区域内保证《中华人民共和国村民委员会组织法》和本规定的实施，保障村民依法行使自治权利。</w:t>
      </w:r>
    </w:p>
    <w:p w14:paraId="7F56C76E">
      <w:pPr>
        <w:ind w:firstLine="422"/>
        <w:jc w:val="left"/>
        <w:rPr>
          <w:rFonts w:ascii="宋体" w:hAnsi="宋体"/>
          <w:kern w:val="44"/>
        </w:rPr>
      </w:pPr>
      <w:r>
        <w:rPr>
          <w:rFonts w:hint="eastAsia" w:ascii="宋体" w:hAnsi="宋体"/>
          <w:b/>
          <w:kern w:val="44"/>
        </w:rPr>
        <w:t>第三十七条</w:t>
      </w:r>
      <w:r>
        <w:rPr>
          <w:rFonts w:hint="eastAsia" w:ascii="宋体" w:hAnsi="宋体"/>
          <w:kern w:val="44"/>
        </w:rPr>
        <w:t>　本规定自2012年11月1日起施行。</w:t>
      </w:r>
    </w:p>
    <w:p w14:paraId="32B385B1">
      <w:pPr>
        <w:pStyle w:val="4"/>
        <w:pageBreakBefore/>
        <w:rPr>
          <w:kern w:val="44"/>
        </w:rPr>
      </w:pPr>
      <w:bookmarkStart w:id="179" w:name="_Toc427651741"/>
      <w:bookmarkStart w:id="180" w:name="_Toc428781447"/>
      <w:bookmarkStart w:id="181" w:name="_Toc422471079"/>
      <w:bookmarkStart w:id="182" w:name="_Toc428779965"/>
      <w:bookmarkStart w:id="183" w:name="_Toc427651399"/>
      <w:r>
        <w:rPr>
          <w:rFonts w:hint="eastAsia"/>
          <w:kern w:val="44"/>
        </w:rPr>
        <w:t>北京市街道办事处工作规定</w:t>
      </w:r>
      <w:bookmarkEnd w:id="179"/>
      <w:bookmarkEnd w:id="180"/>
      <w:bookmarkEnd w:id="181"/>
      <w:bookmarkEnd w:id="182"/>
      <w:bookmarkEnd w:id="183"/>
    </w:p>
    <w:p w14:paraId="7C9C6F9E">
      <w:pPr>
        <w:ind w:left="630" w:leftChars="300" w:right="630" w:rightChars="300"/>
        <w:jc w:val="center"/>
        <w:rPr>
          <w:rFonts w:ascii="楷体" w:hAnsi="楷体" w:eastAsia="楷体"/>
          <w:kern w:val="44"/>
        </w:rPr>
      </w:pPr>
      <w:r>
        <w:rPr>
          <w:rFonts w:hint="eastAsia" w:ascii="楷体" w:hAnsi="楷体" w:eastAsia="楷体"/>
          <w:kern w:val="44"/>
        </w:rPr>
        <w:t>（1999年1月14日北京市人民政府第23号令发布）</w:t>
      </w:r>
    </w:p>
    <w:p w14:paraId="18675CC1">
      <w:pPr>
        <w:ind w:left="630" w:leftChars="300" w:right="630" w:rightChars="300"/>
        <w:jc w:val="left"/>
        <w:rPr>
          <w:rFonts w:ascii="楷体" w:hAnsi="楷体" w:eastAsia="楷体"/>
          <w:kern w:val="44"/>
        </w:rPr>
      </w:pPr>
    </w:p>
    <w:p w14:paraId="19373EEF">
      <w:pPr>
        <w:ind w:firstLine="0" w:firstLineChars="0"/>
        <w:jc w:val="center"/>
        <w:rPr>
          <w:rFonts w:ascii="宋体" w:hAnsi="宋体"/>
          <w:b/>
          <w:kern w:val="44"/>
          <w:sz w:val="28"/>
        </w:rPr>
      </w:pPr>
      <w:r>
        <w:rPr>
          <w:rFonts w:hint="eastAsia" w:ascii="宋体" w:hAnsi="宋体"/>
          <w:b/>
          <w:kern w:val="44"/>
          <w:sz w:val="28"/>
        </w:rPr>
        <w:t>第一章　总　则</w:t>
      </w:r>
    </w:p>
    <w:p w14:paraId="785BBCD0">
      <w:pPr>
        <w:jc w:val="left"/>
        <w:rPr>
          <w:rFonts w:ascii="宋体" w:hAnsi="宋体"/>
          <w:kern w:val="44"/>
        </w:rPr>
      </w:pPr>
    </w:p>
    <w:p w14:paraId="595F60CA">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为加强本市街道办事处建设，充分发挥街道办事处在城市管理工作中的基础作用，根据国家有关法律、法规，结合本市实际情况，制定本规定。</w:t>
      </w:r>
    </w:p>
    <w:p w14:paraId="5490DFD1">
      <w:pPr>
        <w:ind w:firstLine="422"/>
        <w:jc w:val="left"/>
        <w:rPr>
          <w:rFonts w:ascii="宋体" w:hAnsi="宋体"/>
          <w:kern w:val="44"/>
        </w:rPr>
      </w:pPr>
      <w:r>
        <w:rPr>
          <w:rFonts w:hint="eastAsia" w:ascii="宋体" w:hAnsi="宋体"/>
          <w:b/>
          <w:kern w:val="44"/>
        </w:rPr>
        <w:t>第二条</w:t>
      </w:r>
      <w:r>
        <w:rPr>
          <w:rFonts w:hint="eastAsia" w:ascii="宋体" w:hAnsi="宋体"/>
          <w:kern w:val="44"/>
        </w:rPr>
        <w:t>　街道办事处是区人民政府的派出机关，受区人民政府领导，依据法律、法规的规定，在本辖区内行使政府管理职能。</w:t>
      </w:r>
    </w:p>
    <w:p w14:paraId="4622367A">
      <w:pPr>
        <w:ind w:firstLine="422"/>
        <w:jc w:val="left"/>
        <w:rPr>
          <w:rFonts w:ascii="宋体" w:hAnsi="宋体"/>
          <w:kern w:val="44"/>
        </w:rPr>
      </w:pPr>
      <w:r>
        <w:rPr>
          <w:rFonts w:hint="eastAsia" w:ascii="宋体" w:hAnsi="宋体"/>
          <w:b/>
          <w:kern w:val="44"/>
        </w:rPr>
        <w:t>第三条</w:t>
      </w:r>
      <w:r>
        <w:rPr>
          <w:rFonts w:hint="eastAsia" w:ascii="宋体" w:hAnsi="宋体"/>
          <w:kern w:val="44"/>
        </w:rPr>
        <w:t>　街道办事处的工作以居民工作为基础，以城市管理和社区服务为重点，把辖区建设成社会稳定、秩序良好、环境整洁、生活方便、文化繁荣、经济发达的文明社区。</w:t>
      </w:r>
    </w:p>
    <w:p w14:paraId="55147FBE">
      <w:pPr>
        <w:jc w:val="left"/>
        <w:rPr>
          <w:rFonts w:ascii="宋体" w:hAnsi="宋体"/>
          <w:kern w:val="44"/>
        </w:rPr>
      </w:pPr>
    </w:p>
    <w:p w14:paraId="597AFDFF">
      <w:pPr>
        <w:ind w:firstLine="0" w:firstLineChars="0"/>
        <w:jc w:val="center"/>
        <w:rPr>
          <w:rFonts w:ascii="宋体" w:hAnsi="宋体"/>
          <w:b/>
          <w:kern w:val="44"/>
          <w:sz w:val="28"/>
        </w:rPr>
      </w:pPr>
      <w:r>
        <w:rPr>
          <w:rFonts w:hint="eastAsia" w:ascii="宋体" w:hAnsi="宋体"/>
          <w:b/>
          <w:kern w:val="44"/>
          <w:sz w:val="28"/>
        </w:rPr>
        <w:t>第二章  组织机构</w:t>
      </w:r>
    </w:p>
    <w:p w14:paraId="2D89E05A">
      <w:pPr>
        <w:jc w:val="left"/>
        <w:rPr>
          <w:rFonts w:ascii="宋体" w:hAnsi="宋体"/>
          <w:kern w:val="44"/>
        </w:rPr>
      </w:pPr>
    </w:p>
    <w:p w14:paraId="64295139">
      <w:pPr>
        <w:ind w:firstLine="422"/>
        <w:jc w:val="left"/>
        <w:rPr>
          <w:rFonts w:ascii="宋体" w:hAnsi="宋体"/>
          <w:kern w:val="44"/>
        </w:rPr>
      </w:pPr>
      <w:r>
        <w:rPr>
          <w:rFonts w:hint="eastAsia" w:ascii="宋体" w:hAnsi="宋体"/>
          <w:b/>
          <w:kern w:val="44"/>
        </w:rPr>
        <w:t>第四条</w:t>
      </w:r>
      <w:r>
        <w:rPr>
          <w:rFonts w:hint="eastAsia" w:ascii="宋体" w:hAnsi="宋体"/>
          <w:kern w:val="44"/>
        </w:rPr>
        <w:t>　街道办事处的设立、更名、合并、撤销由区人民政府提出申请，市民政局审核后报市人民政府批准。</w:t>
      </w:r>
    </w:p>
    <w:p w14:paraId="3A20EB85">
      <w:pPr>
        <w:ind w:firstLine="422"/>
        <w:jc w:val="left"/>
        <w:rPr>
          <w:rFonts w:ascii="宋体" w:hAnsi="宋体"/>
          <w:kern w:val="44"/>
        </w:rPr>
      </w:pPr>
      <w:r>
        <w:rPr>
          <w:rFonts w:hint="eastAsia" w:ascii="宋体" w:hAnsi="宋体"/>
          <w:b/>
          <w:kern w:val="44"/>
        </w:rPr>
        <w:t>第五条</w:t>
      </w:r>
      <w:r>
        <w:rPr>
          <w:rFonts w:hint="eastAsia" w:ascii="宋体" w:hAnsi="宋体"/>
          <w:kern w:val="44"/>
        </w:rPr>
        <w:t>　街道办事处内部工作机构设置，根据职能和任务，按照精简、效能的原则，由区人民政府批准。</w:t>
      </w:r>
    </w:p>
    <w:p w14:paraId="40B1792D">
      <w:pPr>
        <w:ind w:firstLine="422"/>
        <w:jc w:val="left"/>
        <w:rPr>
          <w:rFonts w:ascii="宋体" w:hAnsi="宋体"/>
          <w:kern w:val="44"/>
        </w:rPr>
      </w:pPr>
      <w:r>
        <w:rPr>
          <w:rFonts w:hint="eastAsia" w:ascii="宋体" w:hAnsi="宋体"/>
          <w:b/>
          <w:kern w:val="44"/>
        </w:rPr>
        <w:t>第六条</w:t>
      </w:r>
      <w:r>
        <w:rPr>
          <w:rFonts w:hint="eastAsia" w:ascii="宋体" w:hAnsi="宋体"/>
          <w:kern w:val="44"/>
        </w:rPr>
        <w:t>　街道办事处设主任一人，根据辖区规模和工作需要，设副主任一至四人。</w:t>
      </w:r>
    </w:p>
    <w:p w14:paraId="596374AB">
      <w:pPr>
        <w:jc w:val="left"/>
        <w:rPr>
          <w:rFonts w:ascii="宋体" w:hAnsi="宋体"/>
          <w:kern w:val="44"/>
        </w:rPr>
      </w:pPr>
      <w:r>
        <w:rPr>
          <w:rFonts w:hint="eastAsia" w:ascii="宋体" w:hAnsi="宋体"/>
          <w:kern w:val="44"/>
        </w:rPr>
        <w:t>街道办事处主任、副主任由区人民政府任命。</w:t>
      </w:r>
    </w:p>
    <w:p w14:paraId="6317C59A">
      <w:pPr>
        <w:ind w:firstLine="422"/>
        <w:jc w:val="left"/>
        <w:rPr>
          <w:rFonts w:ascii="宋体" w:hAnsi="宋体"/>
          <w:kern w:val="44"/>
        </w:rPr>
      </w:pPr>
      <w:r>
        <w:rPr>
          <w:rFonts w:hint="eastAsia" w:ascii="宋体" w:hAnsi="宋体"/>
          <w:b/>
          <w:kern w:val="44"/>
        </w:rPr>
        <w:t>第七条</w:t>
      </w:r>
      <w:r>
        <w:rPr>
          <w:rFonts w:hint="eastAsia" w:ascii="宋体" w:hAnsi="宋体"/>
          <w:kern w:val="44"/>
        </w:rPr>
        <w:t>　区人民政府设立主管街道工作的机构，具体负责对本区街道办事处工作的指导、协调和监督。</w:t>
      </w:r>
    </w:p>
    <w:p w14:paraId="6AEDD69D">
      <w:pPr>
        <w:jc w:val="left"/>
        <w:rPr>
          <w:rFonts w:ascii="宋体" w:hAnsi="宋体"/>
          <w:kern w:val="44"/>
        </w:rPr>
      </w:pPr>
    </w:p>
    <w:p w14:paraId="3FE1BFA0">
      <w:pPr>
        <w:ind w:firstLine="0" w:firstLineChars="0"/>
        <w:jc w:val="center"/>
        <w:rPr>
          <w:rFonts w:ascii="宋体" w:hAnsi="宋体"/>
          <w:b/>
          <w:kern w:val="44"/>
          <w:sz w:val="28"/>
        </w:rPr>
      </w:pPr>
      <w:r>
        <w:rPr>
          <w:rFonts w:hint="eastAsia" w:ascii="宋体" w:hAnsi="宋体"/>
          <w:b/>
          <w:kern w:val="44"/>
          <w:sz w:val="28"/>
        </w:rPr>
        <w:t>第三章  工作职责</w:t>
      </w:r>
    </w:p>
    <w:p w14:paraId="64CDAA9E">
      <w:pPr>
        <w:jc w:val="left"/>
        <w:rPr>
          <w:rFonts w:ascii="宋体" w:hAnsi="宋体"/>
          <w:kern w:val="44"/>
        </w:rPr>
      </w:pPr>
    </w:p>
    <w:p w14:paraId="3E8CA334">
      <w:pPr>
        <w:ind w:firstLine="422"/>
        <w:jc w:val="left"/>
        <w:rPr>
          <w:rFonts w:ascii="宋体" w:hAnsi="宋体"/>
          <w:kern w:val="44"/>
        </w:rPr>
      </w:pPr>
      <w:r>
        <w:rPr>
          <w:rFonts w:hint="eastAsia" w:ascii="宋体" w:hAnsi="宋体"/>
          <w:b/>
          <w:kern w:val="44"/>
        </w:rPr>
        <w:t>第八条</w:t>
      </w:r>
      <w:r>
        <w:rPr>
          <w:rFonts w:hint="eastAsia" w:ascii="宋体" w:hAnsi="宋体"/>
          <w:kern w:val="44"/>
        </w:rPr>
        <w:t>　贯彻执行法律、法规、规章和市、区人民政府的决定、命令、指示，完成市、区人民政府部署的各项任务。</w:t>
      </w:r>
    </w:p>
    <w:p w14:paraId="27961736">
      <w:pPr>
        <w:ind w:firstLine="422"/>
        <w:jc w:val="left"/>
        <w:rPr>
          <w:rFonts w:ascii="宋体" w:hAnsi="宋体"/>
          <w:kern w:val="44"/>
        </w:rPr>
      </w:pPr>
      <w:r>
        <w:rPr>
          <w:rFonts w:hint="eastAsia" w:ascii="宋体" w:hAnsi="宋体"/>
          <w:b/>
          <w:kern w:val="44"/>
        </w:rPr>
        <w:t>第九条</w:t>
      </w:r>
      <w:r>
        <w:rPr>
          <w:rFonts w:hint="eastAsia" w:ascii="宋体" w:hAnsi="宋体"/>
          <w:kern w:val="44"/>
        </w:rPr>
        <w:t>　对辖区内城市管理工作履行以下职责：</w:t>
      </w:r>
    </w:p>
    <w:p w14:paraId="188137B9">
      <w:pPr>
        <w:jc w:val="left"/>
        <w:rPr>
          <w:rFonts w:ascii="宋体" w:hAnsi="宋体"/>
          <w:kern w:val="44"/>
        </w:rPr>
      </w:pPr>
      <w:r>
        <w:rPr>
          <w:rFonts w:hint="eastAsia" w:ascii="宋体" w:hAnsi="宋体"/>
          <w:kern w:val="44"/>
        </w:rPr>
        <w:t>（一）负责居民区、街巷胡同的环境卫生和绿化美化的管理工作，组织单位和居民开展爱国卫生运动，落实门前三包制度。</w:t>
      </w:r>
    </w:p>
    <w:p w14:paraId="1721AA0A">
      <w:pPr>
        <w:jc w:val="left"/>
        <w:rPr>
          <w:rFonts w:ascii="宋体" w:hAnsi="宋体"/>
          <w:kern w:val="44"/>
        </w:rPr>
      </w:pPr>
      <w:r>
        <w:rPr>
          <w:rFonts w:hint="eastAsia" w:ascii="宋体" w:hAnsi="宋体"/>
          <w:kern w:val="44"/>
        </w:rPr>
        <w:t>（二）组织和监督对违法建筑、违法占用道路、无照经营以及违反市容环境卫生、绿化管理规定行为的查处工作。</w:t>
      </w:r>
    </w:p>
    <w:p w14:paraId="2ABC5CB8">
      <w:pPr>
        <w:jc w:val="left"/>
        <w:rPr>
          <w:rFonts w:ascii="宋体" w:hAnsi="宋体"/>
          <w:kern w:val="44"/>
        </w:rPr>
      </w:pPr>
      <w:r>
        <w:rPr>
          <w:rFonts w:hint="eastAsia" w:ascii="宋体" w:hAnsi="宋体"/>
          <w:kern w:val="44"/>
        </w:rPr>
        <w:t>（三）配合市、区环境保护部门监督环境污染项目的治理。</w:t>
      </w:r>
    </w:p>
    <w:p w14:paraId="7B35597A">
      <w:pPr>
        <w:jc w:val="left"/>
        <w:rPr>
          <w:rFonts w:ascii="宋体" w:hAnsi="宋体"/>
          <w:kern w:val="44"/>
        </w:rPr>
      </w:pPr>
      <w:r>
        <w:rPr>
          <w:rFonts w:hint="eastAsia" w:ascii="宋体" w:hAnsi="宋体"/>
          <w:kern w:val="44"/>
        </w:rPr>
        <w:t>（四）协同建设主管部门监督施工单位依法施工，防治施工扬尘、扰民。配合建设单位、施工单位做好居民工作，维护施工秩序。</w:t>
      </w:r>
    </w:p>
    <w:p w14:paraId="1CD16764">
      <w:pPr>
        <w:jc w:val="left"/>
        <w:rPr>
          <w:rFonts w:ascii="宋体" w:hAnsi="宋体"/>
          <w:kern w:val="44"/>
        </w:rPr>
      </w:pPr>
      <w:r>
        <w:rPr>
          <w:rFonts w:hint="eastAsia" w:ascii="宋体" w:hAnsi="宋体"/>
          <w:kern w:val="44"/>
        </w:rPr>
        <w:t>（五）对居住小区的物业管理进行指导和监督检查。</w:t>
      </w:r>
    </w:p>
    <w:p w14:paraId="70BF792B">
      <w:pPr>
        <w:ind w:firstLine="422"/>
        <w:jc w:val="left"/>
        <w:rPr>
          <w:rFonts w:ascii="宋体" w:hAnsi="宋体"/>
          <w:kern w:val="44"/>
        </w:rPr>
      </w:pPr>
      <w:r>
        <w:rPr>
          <w:rFonts w:hint="eastAsia" w:ascii="宋体" w:hAnsi="宋体"/>
          <w:b/>
          <w:kern w:val="44"/>
        </w:rPr>
        <w:t>第十条</w:t>
      </w:r>
      <w:r>
        <w:rPr>
          <w:rFonts w:hint="eastAsia" w:ascii="宋体" w:hAnsi="宋体"/>
          <w:kern w:val="44"/>
        </w:rPr>
        <w:t>　对辖区内社会管理工作履行以下职责：</w:t>
      </w:r>
    </w:p>
    <w:p w14:paraId="29423416">
      <w:pPr>
        <w:jc w:val="left"/>
        <w:rPr>
          <w:rFonts w:ascii="宋体" w:hAnsi="宋体"/>
          <w:kern w:val="44"/>
        </w:rPr>
      </w:pPr>
      <w:r>
        <w:rPr>
          <w:rFonts w:hint="eastAsia" w:ascii="宋体" w:hAnsi="宋体"/>
          <w:kern w:val="44"/>
        </w:rPr>
        <w:t>（一）组织单位和居民开展多种形式的社会主义精神文明建设创建活动。</w:t>
      </w:r>
    </w:p>
    <w:p w14:paraId="173F3FC1">
      <w:pPr>
        <w:jc w:val="left"/>
        <w:rPr>
          <w:rFonts w:ascii="宋体" w:hAnsi="宋体"/>
          <w:kern w:val="44"/>
        </w:rPr>
      </w:pPr>
      <w:r>
        <w:rPr>
          <w:rFonts w:hint="eastAsia" w:ascii="宋体" w:hAnsi="宋体"/>
          <w:kern w:val="44"/>
        </w:rPr>
        <w:t>（二）制定本辖区社会治安综合治理规划，并组织落实。</w:t>
      </w:r>
    </w:p>
    <w:p w14:paraId="23902DFC">
      <w:pPr>
        <w:jc w:val="left"/>
        <w:rPr>
          <w:rFonts w:ascii="宋体" w:hAnsi="宋体"/>
          <w:kern w:val="44"/>
        </w:rPr>
      </w:pPr>
      <w:r>
        <w:rPr>
          <w:rFonts w:hint="eastAsia" w:ascii="宋体" w:hAnsi="宋体"/>
          <w:kern w:val="44"/>
        </w:rPr>
        <w:t>（三）负责外来人口以及向外来人口出租房屋的综合管理。</w:t>
      </w:r>
    </w:p>
    <w:p w14:paraId="18B0136E">
      <w:pPr>
        <w:jc w:val="left"/>
        <w:rPr>
          <w:rFonts w:ascii="宋体" w:hAnsi="宋体"/>
          <w:kern w:val="44"/>
        </w:rPr>
      </w:pPr>
      <w:r>
        <w:rPr>
          <w:rFonts w:hint="eastAsia" w:ascii="宋体" w:hAnsi="宋体"/>
          <w:kern w:val="44"/>
        </w:rPr>
        <w:t>（四）负责婚姻登记管理、计划生育、统计、红十字会、人民调解工作。协调有关部门做好劳动就业工作。</w:t>
      </w:r>
    </w:p>
    <w:p w14:paraId="23E06841">
      <w:pPr>
        <w:jc w:val="left"/>
        <w:rPr>
          <w:rFonts w:ascii="宋体" w:hAnsi="宋体"/>
          <w:kern w:val="44"/>
        </w:rPr>
      </w:pPr>
      <w:r>
        <w:rPr>
          <w:rFonts w:hint="eastAsia" w:ascii="宋体" w:hAnsi="宋体"/>
          <w:kern w:val="44"/>
        </w:rPr>
        <w:t>（五）负责拥军优属、民兵预备役、征兵、人民防空等工作。</w:t>
      </w:r>
    </w:p>
    <w:p w14:paraId="4D47B6DC">
      <w:pPr>
        <w:jc w:val="left"/>
        <w:rPr>
          <w:rFonts w:ascii="宋体" w:hAnsi="宋体"/>
          <w:kern w:val="44"/>
        </w:rPr>
      </w:pPr>
      <w:r>
        <w:rPr>
          <w:rFonts w:hint="eastAsia" w:ascii="宋体" w:hAnsi="宋体"/>
          <w:kern w:val="44"/>
        </w:rPr>
        <w:t>（六）维护老年人、妇女、未成年人和残疾人的合法权益。</w:t>
      </w:r>
    </w:p>
    <w:p w14:paraId="5A16CD2D">
      <w:pPr>
        <w:ind w:firstLine="422"/>
        <w:jc w:val="left"/>
        <w:rPr>
          <w:rFonts w:ascii="宋体" w:hAnsi="宋体"/>
          <w:kern w:val="44"/>
        </w:rPr>
      </w:pPr>
      <w:r>
        <w:rPr>
          <w:rFonts w:hint="eastAsia" w:ascii="宋体" w:hAnsi="宋体"/>
          <w:b/>
          <w:kern w:val="44"/>
        </w:rPr>
        <w:t>第十一条</w:t>
      </w:r>
      <w:r>
        <w:rPr>
          <w:rFonts w:hint="eastAsia" w:ascii="宋体" w:hAnsi="宋体"/>
          <w:kern w:val="44"/>
        </w:rPr>
        <w:t>　对社区服务工作履行以下职责：</w:t>
      </w:r>
    </w:p>
    <w:p w14:paraId="3B14CC5C">
      <w:pPr>
        <w:jc w:val="left"/>
        <w:rPr>
          <w:rFonts w:ascii="宋体" w:hAnsi="宋体"/>
          <w:kern w:val="44"/>
        </w:rPr>
      </w:pPr>
      <w:r>
        <w:rPr>
          <w:rFonts w:hint="eastAsia" w:ascii="宋体" w:hAnsi="宋体"/>
          <w:kern w:val="44"/>
        </w:rPr>
        <w:t>（一）制定社区服务发展规划，发展社区服务设施，合理配置社区服务资源。</w:t>
      </w:r>
    </w:p>
    <w:p w14:paraId="549468E9">
      <w:pPr>
        <w:jc w:val="left"/>
        <w:rPr>
          <w:rFonts w:ascii="宋体" w:hAnsi="宋体"/>
          <w:kern w:val="44"/>
        </w:rPr>
      </w:pPr>
      <w:r>
        <w:rPr>
          <w:rFonts w:hint="eastAsia" w:ascii="宋体" w:hAnsi="宋体"/>
          <w:kern w:val="44"/>
        </w:rPr>
        <w:t>（二）组织社区服务志愿者队伍，动员单位和居民兴办社区服务事业。</w:t>
      </w:r>
    </w:p>
    <w:p w14:paraId="0FA09CC3">
      <w:pPr>
        <w:jc w:val="left"/>
        <w:rPr>
          <w:rFonts w:ascii="宋体" w:hAnsi="宋体"/>
          <w:kern w:val="44"/>
        </w:rPr>
      </w:pPr>
      <w:r>
        <w:rPr>
          <w:rFonts w:hint="eastAsia" w:ascii="宋体" w:hAnsi="宋体"/>
          <w:kern w:val="44"/>
        </w:rPr>
        <w:t>（三）兴办社会福利事业，做好社会救助、社会保险等社会保障工作。</w:t>
      </w:r>
    </w:p>
    <w:p w14:paraId="5664549D">
      <w:pPr>
        <w:ind w:firstLine="422"/>
        <w:jc w:val="left"/>
        <w:rPr>
          <w:rFonts w:ascii="宋体" w:hAnsi="宋体"/>
          <w:kern w:val="44"/>
        </w:rPr>
      </w:pPr>
      <w:r>
        <w:rPr>
          <w:rFonts w:hint="eastAsia" w:ascii="宋体" w:hAnsi="宋体"/>
          <w:b/>
          <w:kern w:val="44"/>
        </w:rPr>
        <w:t>第十二条</w:t>
      </w:r>
      <w:r>
        <w:rPr>
          <w:rFonts w:hint="eastAsia" w:ascii="宋体" w:hAnsi="宋体"/>
          <w:kern w:val="44"/>
        </w:rPr>
        <w:t>　对居民工作履行以下职责：</w:t>
      </w:r>
    </w:p>
    <w:p w14:paraId="7F5A005C">
      <w:pPr>
        <w:jc w:val="left"/>
        <w:rPr>
          <w:rFonts w:ascii="宋体" w:hAnsi="宋体"/>
          <w:kern w:val="44"/>
        </w:rPr>
      </w:pPr>
      <w:r>
        <w:rPr>
          <w:rFonts w:hint="eastAsia" w:ascii="宋体" w:hAnsi="宋体"/>
          <w:kern w:val="44"/>
        </w:rPr>
        <w:t>（一）指导居（家）委会工作，及时向上级政府反映居民的意见和要求。</w:t>
      </w:r>
    </w:p>
    <w:p w14:paraId="30D40B05">
      <w:pPr>
        <w:jc w:val="left"/>
        <w:rPr>
          <w:rFonts w:ascii="宋体" w:hAnsi="宋体"/>
          <w:kern w:val="44"/>
        </w:rPr>
      </w:pPr>
      <w:r>
        <w:rPr>
          <w:rFonts w:hint="eastAsia" w:ascii="宋体" w:hAnsi="宋体"/>
          <w:kern w:val="44"/>
        </w:rPr>
        <w:t>（二）对居民进行法制和社会公德教育，组织居民参与社区环境整治等社会公益活动。</w:t>
      </w:r>
    </w:p>
    <w:p w14:paraId="3130A3F8">
      <w:pPr>
        <w:jc w:val="left"/>
        <w:rPr>
          <w:rFonts w:ascii="宋体" w:hAnsi="宋体"/>
          <w:kern w:val="44"/>
        </w:rPr>
      </w:pPr>
      <w:r>
        <w:rPr>
          <w:rFonts w:hint="eastAsia" w:ascii="宋体" w:hAnsi="宋体"/>
          <w:kern w:val="44"/>
        </w:rPr>
        <w:t>（三）组织开展群众文化、体育活动和社区教育、卫生工作，普及科学常识。</w:t>
      </w:r>
    </w:p>
    <w:p w14:paraId="17A03EF1">
      <w:pPr>
        <w:ind w:firstLine="422"/>
        <w:jc w:val="left"/>
        <w:rPr>
          <w:rFonts w:ascii="宋体" w:hAnsi="宋体"/>
          <w:b/>
          <w:kern w:val="44"/>
        </w:rPr>
      </w:pPr>
    </w:p>
    <w:p w14:paraId="5B0E2219">
      <w:pPr>
        <w:ind w:firstLine="0" w:firstLineChars="0"/>
        <w:jc w:val="center"/>
        <w:rPr>
          <w:rFonts w:ascii="宋体" w:hAnsi="宋体"/>
          <w:b/>
          <w:kern w:val="44"/>
          <w:sz w:val="28"/>
        </w:rPr>
      </w:pPr>
      <w:r>
        <w:rPr>
          <w:rFonts w:hint="eastAsia" w:ascii="宋体" w:hAnsi="宋体"/>
          <w:b/>
          <w:kern w:val="44"/>
          <w:sz w:val="28"/>
        </w:rPr>
        <w:t>第四章  工作职权</w:t>
      </w:r>
    </w:p>
    <w:p w14:paraId="569F81AD">
      <w:pPr>
        <w:jc w:val="left"/>
        <w:rPr>
          <w:rFonts w:ascii="宋体" w:hAnsi="宋体"/>
          <w:kern w:val="44"/>
        </w:rPr>
      </w:pPr>
    </w:p>
    <w:p w14:paraId="507E4573">
      <w:pPr>
        <w:ind w:firstLine="422"/>
        <w:jc w:val="left"/>
        <w:rPr>
          <w:rFonts w:ascii="宋体" w:hAnsi="宋体"/>
          <w:kern w:val="44"/>
        </w:rPr>
      </w:pPr>
      <w:r>
        <w:rPr>
          <w:rFonts w:hint="eastAsia" w:ascii="宋体" w:hAnsi="宋体"/>
          <w:b/>
          <w:kern w:val="44"/>
        </w:rPr>
        <w:t xml:space="preserve">第十三条  </w:t>
      </w:r>
      <w:r>
        <w:rPr>
          <w:rFonts w:hint="eastAsia" w:ascii="宋体" w:hAnsi="宋体"/>
          <w:kern w:val="44"/>
        </w:rPr>
        <w:t>向辖区内机关、团体和企事业单位布置地区性、社会性、群众性的工作任务，并监督检查落实情况。</w:t>
      </w:r>
    </w:p>
    <w:p w14:paraId="3D60457D">
      <w:pPr>
        <w:ind w:firstLine="422"/>
        <w:jc w:val="left"/>
        <w:rPr>
          <w:rFonts w:ascii="宋体" w:hAnsi="宋体"/>
          <w:kern w:val="44"/>
        </w:rPr>
      </w:pPr>
      <w:r>
        <w:rPr>
          <w:rFonts w:hint="eastAsia" w:ascii="宋体" w:hAnsi="宋体"/>
          <w:b/>
          <w:kern w:val="44"/>
        </w:rPr>
        <w:t>第十四条</w:t>
      </w:r>
      <w:r>
        <w:rPr>
          <w:rFonts w:hint="eastAsia" w:ascii="宋体" w:hAnsi="宋体"/>
          <w:kern w:val="44"/>
        </w:rPr>
        <w:t xml:space="preserve">  统筹协调并监督检查公安、工商、税务、环卫、绿化、统计、房管等智能部门派出机构或专职人员的行政执法工作。</w:t>
      </w:r>
    </w:p>
    <w:p w14:paraId="44B7F61D">
      <w:pPr>
        <w:ind w:firstLine="422"/>
        <w:jc w:val="left"/>
        <w:rPr>
          <w:rFonts w:ascii="宋体" w:hAnsi="宋体"/>
          <w:kern w:val="44"/>
        </w:rPr>
      </w:pPr>
      <w:r>
        <w:rPr>
          <w:rFonts w:hint="eastAsia" w:ascii="宋体" w:hAnsi="宋体"/>
          <w:b/>
          <w:kern w:val="44"/>
        </w:rPr>
        <w:t>第十五条</w:t>
      </w:r>
      <w:r>
        <w:rPr>
          <w:rFonts w:hint="eastAsia" w:ascii="宋体" w:hAnsi="宋体"/>
          <w:kern w:val="44"/>
        </w:rPr>
        <w:t xml:space="preserve">  领导、指挥地区城市管理检查分队的行政执法工作。</w:t>
      </w:r>
    </w:p>
    <w:p w14:paraId="7B0B4902">
      <w:pPr>
        <w:ind w:firstLine="422"/>
        <w:jc w:val="left"/>
        <w:rPr>
          <w:rFonts w:ascii="宋体" w:hAnsi="宋体"/>
          <w:kern w:val="44"/>
        </w:rPr>
      </w:pPr>
      <w:r>
        <w:rPr>
          <w:rFonts w:hint="eastAsia" w:ascii="宋体" w:hAnsi="宋体"/>
          <w:b/>
          <w:kern w:val="44"/>
        </w:rPr>
        <w:t>第十六条</w:t>
      </w:r>
      <w:r>
        <w:rPr>
          <w:rFonts w:hint="eastAsia" w:ascii="宋体" w:hAnsi="宋体"/>
          <w:kern w:val="44"/>
        </w:rPr>
        <w:t>　参加辖区内新建居住区配套公共设施的验收工作。对未按规划要求落实配套公共设施或者建设质量存在问题的，有权提请规划、建设行政主管部门予以纠正。</w:t>
      </w:r>
    </w:p>
    <w:p w14:paraId="4F56B451">
      <w:pPr>
        <w:ind w:firstLine="422"/>
        <w:jc w:val="left"/>
        <w:rPr>
          <w:rFonts w:ascii="宋体" w:hAnsi="宋体"/>
          <w:kern w:val="44"/>
        </w:rPr>
      </w:pPr>
      <w:r>
        <w:rPr>
          <w:rFonts w:hint="eastAsia" w:ascii="宋体" w:hAnsi="宋体"/>
          <w:b/>
          <w:kern w:val="44"/>
        </w:rPr>
        <w:t>第十七条</w:t>
      </w:r>
      <w:r>
        <w:rPr>
          <w:rFonts w:hint="eastAsia" w:ascii="宋体" w:hAnsi="宋体"/>
          <w:kern w:val="44"/>
        </w:rPr>
        <w:t>　组织辖区内单位和居民对区人民政府职能部门派出机构或专职人员的工作进行考核和民主评议，并将评议结果和考核意见向区人民政府和主管部门报告。有关部门对派出机构负责人或专职人员进行任免、调动、奖惩前，应当听取街道办事处的意见。</w:t>
      </w:r>
    </w:p>
    <w:p w14:paraId="427755B7">
      <w:pPr>
        <w:jc w:val="left"/>
        <w:rPr>
          <w:rFonts w:ascii="宋体" w:hAnsi="宋体"/>
          <w:kern w:val="44"/>
        </w:rPr>
      </w:pPr>
    </w:p>
    <w:p w14:paraId="3B56579C">
      <w:pPr>
        <w:ind w:firstLine="0" w:firstLineChars="0"/>
        <w:jc w:val="center"/>
        <w:rPr>
          <w:rFonts w:ascii="宋体" w:hAnsi="宋体"/>
          <w:b/>
          <w:kern w:val="44"/>
          <w:sz w:val="28"/>
        </w:rPr>
      </w:pPr>
      <w:r>
        <w:rPr>
          <w:rFonts w:hint="eastAsia" w:ascii="宋体" w:hAnsi="宋体"/>
          <w:b/>
          <w:kern w:val="44"/>
          <w:sz w:val="28"/>
        </w:rPr>
        <w:t>第五章  工作制度</w:t>
      </w:r>
    </w:p>
    <w:p w14:paraId="513D34FB">
      <w:pPr>
        <w:jc w:val="left"/>
        <w:rPr>
          <w:rFonts w:ascii="宋体" w:hAnsi="宋体"/>
          <w:kern w:val="44"/>
        </w:rPr>
      </w:pPr>
    </w:p>
    <w:p w14:paraId="64E9DC13">
      <w:pPr>
        <w:ind w:firstLine="422"/>
        <w:jc w:val="left"/>
        <w:rPr>
          <w:rFonts w:ascii="宋体" w:hAnsi="宋体"/>
          <w:kern w:val="44"/>
        </w:rPr>
      </w:pPr>
      <w:r>
        <w:rPr>
          <w:rFonts w:hint="eastAsia" w:ascii="宋体" w:hAnsi="宋体"/>
          <w:b/>
          <w:kern w:val="44"/>
        </w:rPr>
        <w:t>第十八条</w:t>
      </w:r>
      <w:r>
        <w:rPr>
          <w:rFonts w:hint="eastAsia" w:ascii="宋体" w:hAnsi="宋体"/>
          <w:kern w:val="44"/>
        </w:rPr>
        <w:t>　街道办事处实行主任负责制。建立主任办公会议制度，研究决定街道办事处重要工作事项。</w:t>
      </w:r>
    </w:p>
    <w:p w14:paraId="3328F448">
      <w:pPr>
        <w:ind w:firstLine="422"/>
        <w:jc w:val="left"/>
        <w:rPr>
          <w:rFonts w:ascii="宋体" w:hAnsi="宋体"/>
          <w:kern w:val="44"/>
        </w:rPr>
      </w:pPr>
      <w:r>
        <w:rPr>
          <w:rFonts w:hint="eastAsia" w:ascii="宋体" w:hAnsi="宋体"/>
          <w:b/>
          <w:kern w:val="44"/>
        </w:rPr>
        <w:t>第十九条</w:t>
      </w:r>
      <w:r>
        <w:rPr>
          <w:rFonts w:hint="eastAsia" w:ascii="宋体" w:hAnsi="宋体"/>
          <w:kern w:val="44"/>
        </w:rPr>
        <w:t>　建立街道管理委员会会议制度，统筹协调地区性行政管理工作。街道管理委员会会议成员由街道工委、街道办事处、区人民政府职能部门派出机构的负责人组成。</w:t>
      </w:r>
    </w:p>
    <w:p w14:paraId="283B0459">
      <w:pPr>
        <w:ind w:firstLine="422"/>
        <w:jc w:val="left"/>
        <w:rPr>
          <w:rFonts w:ascii="宋体" w:hAnsi="宋体"/>
          <w:kern w:val="44"/>
        </w:rPr>
      </w:pPr>
      <w:r>
        <w:rPr>
          <w:rFonts w:hint="eastAsia" w:ascii="宋体" w:hAnsi="宋体"/>
          <w:b/>
          <w:kern w:val="44"/>
        </w:rPr>
        <w:t>第二十条</w:t>
      </w:r>
      <w:r>
        <w:rPr>
          <w:rFonts w:hint="eastAsia" w:ascii="宋体" w:hAnsi="宋体"/>
          <w:kern w:val="44"/>
        </w:rPr>
        <w:t>　建立街道居民代表会议制度。居民代表会议每年至少召开一次，由街道办事处向居民代表报告工作，听取意见，接受监督。居民代表由辖区单位和居民推荐产生。</w:t>
      </w:r>
    </w:p>
    <w:p w14:paraId="67721AF4">
      <w:pPr>
        <w:ind w:firstLine="422"/>
        <w:jc w:val="left"/>
        <w:rPr>
          <w:rFonts w:ascii="宋体" w:hAnsi="宋体"/>
          <w:kern w:val="44"/>
        </w:rPr>
      </w:pPr>
      <w:r>
        <w:rPr>
          <w:rFonts w:hint="eastAsia" w:ascii="宋体" w:hAnsi="宋体"/>
          <w:b/>
          <w:kern w:val="44"/>
        </w:rPr>
        <w:t>第二十一条</w:t>
      </w:r>
      <w:r>
        <w:rPr>
          <w:rFonts w:hint="eastAsia" w:ascii="宋体" w:hAnsi="宋体"/>
          <w:kern w:val="44"/>
        </w:rPr>
        <w:t>　区人民政府有关职能部门不得直接向街道办事处布置任务；确需街道办事处协助完成的工作，必须报区人民政府批准，由区人民政府主管街道工作的机构统一协调和部署。</w:t>
      </w:r>
    </w:p>
    <w:p w14:paraId="73CB6417">
      <w:pPr>
        <w:jc w:val="left"/>
        <w:rPr>
          <w:rFonts w:ascii="宋体" w:hAnsi="宋体"/>
          <w:kern w:val="44"/>
        </w:rPr>
      </w:pPr>
    </w:p>
    <w:p w14:paraId="50832686">
      <w:pPr>
        <w:ind w:firstLine="0" w:firstLineChars="0"/>
        <w:jc w:val="center"/>
        <w:rPr>
          <w:rFonts w:ascii="宋体" w:hAnsi="宋体"/>
          <w:b/>
          <w:kern w:val="44"/>
          <w:sz w:val="28"/>
        </w:rPr>
      </w:pPr>
      <w:r>
        <w:rPr>
          <w:rFonts w:hint="eastAsia" w:ascii="宋体" w:hAnsi="宋体"/>
          <w:b/>
          <w:kern w:val="44"/>
          <w:sz w:val="28"/>
        </w:rPr>
        <w:t>第六章　经　费</w:t>
      </w:r>
    </w:p>
    <w:p w14:paraId="068EB370">
      <w:pPr>
        <w:jc w:val="left"/>
        <w:rPr>
          <w:rFonts w:ascii="宋体" w:hAnsi="宋体"/>
          <w:kern w:val="44"/>
        </w:rPr>
      </w:pPr>
    </w:p>
    <w:p w14:paraId="5DA98590">
      <w:pPr>
        <w:ind w:firstLine="422"/>
        <w:jc w:val="left"/>
        <w:rPr>
          <w:rFonts w:ascii="宋体" w:hAnsi="宋体"/>
          <w:kern w:val="44"/>
        </w:rPr>
      </w:pPr>
      <w:r>
        <w:rPr>
          <w:rFonts w:hint="eastAsia" w:ascii="宋体" w:hAnsi="宋体"/>
          <w:b/>
          <w:kern w:val="44"/>
        </w:rPr>
        <w:t>第二十二条</w:t>
      </w:r>
      <w:r>
        <w:rPr>
          <w:rFonts w:hint="eastAsia" w:ascii="宋体" w:hAnsi="宋体"/>
          <w:kern w:val="44"/>
        </w:rPr>
        <w:t>　街道办事处工作人员为国家公务员。街道办事处的行政事业经费，由区人民政府负责解决。</w:t>
      </w:r>
    </w:p>
    <w:p w14:paraId="6DA963B1">
      <w:pPr>
        <w:jc w:val="left"/>
        <w:rPr>
          <w:rFonts w:ascii="宋体" w:hAnsi="宋体"/>
          <w:kern w:val="44"/>
        </w:rPr>
      </w:pPr>
      <w:r>
        <w:rPr>
          <w:rFonts w:hint="eastAsia" w:ascii="宋体" w:hAnsi="宋体"/>
          <w:kern w:val="44"/>
        </w:rPr>
        <w:t>街道办事处不得开办企业、市场以及从事经商活动。</w:t>
      </w:r>
    </w:p>
    <w:p w14:paraId="0C306708">
      <w:pPr>
        <w:ind w:firstLine="422"/>
        <w:jc w:val="left"/>
        <w:rPr>
          <w:rFonts w:ascii="宋体" w:hAnsi="宋体"/>
          <w:kern w:val="44"/>
        </w:rPr>
      </w:pPr>
      <w:r>
        <w:rPr>
          <w:rFonts w:hint="eastAsia" w:ascii="宋体" w:hAnsi="宋体"/>
          <w:b/>
          <w:kern w:val="44"/>
        </w:rPr>
        <w:t>第二十三条</w:t>
      </w:r>
      <w:r>
        <w:rPr>
          <w:rFonts w:hint="eastAsia" w:ascii="宋体" w:hAnsi="宋体"/>
          <w:kern w:val="44"/>
        </w:rPr>
        <w:t>　市、区实行财政转移支付制度，增加对城市管理和社区服务的投入。</w:t>
      </w:r>
    </w:p>
    <w:p w14:paraId="5D219CD5">
      <w:pPr>
        <w:jc w:val="left"/>
        <w:rPr>
          <w:rFonts w:ascii="宋体" w:hAnsi="宋体"/>
          <w:kern w:val="44"/>
        </w:rPr>
      </w:pPr>
      <w:r>
        <w:rPr>
          <w:rFonts w:hint="eastAsia" w:ascii="宋体" w:hAnsi="宋体"/>
          <w:kern w:val="44"/>
        </w:rPr>
        <w:t>市、区建立城市管理专项资金，专项用于街道的建设和管理工作。</w:t>
      </w:r>
    </w:p>
    <w:p w14:paraId="40D3D04D">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市、区人民政府用于居住小区的环卫、绿化、房管、道路和统计、外来人口管理等工作的专项经费，相应核拨给街道办事处集中管理，用于街道辖区专业管理部门的定向支出。</w:t>
      </w:r>
    </w:p>
    <w:p w14:paraId="723AF430">
      <w:pPr>
        <w:ind w:firstLine="422"/>
        <w:jc w:val="left"/>
        <w:rPr>
          <w:rFonts w:ascii="宋体" w:hAnsi="宋体"/>
          <w:kern w:val="44"/>
        </w:rPr>
      </w:pPr>
      <w:r>
        <w:rPr>
          <w:rFonts w:hint="eastAsia" w:ascii="宋体" w:hAnsi="宋体"/>
          <w:b/>
          <w:kern w:val="44"/>
        </w:rPr>
        <w:t>第二十五条</w:t>
      </w:r>
      <w:r>
        <w:rPr>
          <w:rFonts w:hint="eastAsia" w:ascii="宋体" w:hAnsi="宋体"/>
          <w:kern w:val="44"/>
        </w:rPr>
        <w:t>　街道财政严格实行收支两条线管理。街道财政预决算应纳入区财政预决算，并依法提请区人民代表大会审查。街道财务支出受审计机关审计。</w:t>
      </w:r>
    </w:p>
    <w:p w14:paraId="0B5178C7">
      <w:pPr>
        <w:jc w:val="left"/>
        <w:rPr>
          <w:rFonts w:ascii="宋体" w:hAnsi="宋体"/>
          <w:kern w:val="44"/>
        </w:rPr>
      </w:pPr>
    </w:p>
    <w:p w14:paraId="5CD609D1">
      <w:pPr>
        <w:ind w:firstLine="0" w:firstLineChars="0"/>
        <w:jc w:val="center"/>
        <w:rPr>
          <w:rFonts w:ascii="宋体" w:hAnsi="宋体"/>
          <w:b/>
          <w:kern w:val="44"/>
          <w:sz w:val="28"/>
        </w:rPr>
      </w:pPr>
      <w:r>
        <w:rPr>
          <w:rFonts w:hint="eastAsia" w:ascii="宋体" w:hAnsi="宋体"/>
          <w:b/>
          <w:kern w:val="44"/>
          <w:sz w:val="28"/>
        </w:rPr>
        <w:t>第七章  附　则</w:t>
      </w:r>
    </w:p>
    <w:p w14:paraId="7BBE8760">
      <w:pPr>
        <w:jc w:val="left"/>
        <w:rPr>
          <w:rFonts w:ascii="宋体" w:hAnsi="宋体"/>
          <w:kern w:val="44"/>
        </w:rPr>
      </w:pPr>
    </w:p>
    <w:p w14:paraId="111E94D1">
      <w:pPr>
        <w:ind w:firstLine="422"/>
        <w:jc w:val="left"/>
        <w:rPr>
          <w:rFonts w:ascii="宋体" w:hAnsi="宋体"/>
          <w:kern w:val="44"/>
        </w:rPr>
      </w:pPr>
      <w:r>
        <w:rPr>
          <w:rFonts w:hint="eastAsia" w:ascii="宋体" w:hAnsi="宋体"/>
          <w:b/>
          <w:kern w:val="44"/>
        </w:rPr>
        <w:t>第二十六条</w:t>
      </w:r>
      <w:r>
        <w:rPr>
          <w:rFonts w:hint="eastAsia" w:ascii="宋体" w:hAnsi="宋体"/>
          <w:kern w:val="44"/>
        </w:rPr>
        <w:t>　市、区人民政府对认真履行职责，廉洁奉公，依法行政，在街道工作中做出突出成绩的街道办事处及其工作人员给予表彰和奖励。对街道办事处的不当行为，区人民政府应当及时纠正、处理，并视情节轻重，对主管领导和直接责任人员给予批评教育或按有关规定给予行政处分。</w:t>
      </w:r>
    </w:p>
    <w:p w14:paraId="41BD2235">
      <w:pPr>
        <w:ind w:firstLine="422"/>
        <w:jc w:val="left"/>
        <w:rPr>
          <w:rFonts w:ascii="宋体" w:hAnsi="宋体"/>
          <w:kern w:val="44"/>
        </w:rPr>
      </w:pPr>
      <w:r>
        <w:rPr>
          <w:rFonts w:hint="eastAsia" w:ascii="宋体" w:hAnsi="宋体"/>
          <w:b/>
          <w:kern w:val="44"/>
        </w:rPr>
        <w:t>第二十七条</w:t>
      </w:r>
      <w:r>
        <w:rPr>
          <w:rFonts w:hint="eastAsia" w:ascii="宋体" w:hAnsi="宋体"/>
          <w:kern w:val="44"/>
        </w:rPr>
        <w:t>　市人民政府有关职能部门应当根据本规定提出实施意见；区人民政府可以根据本规定，并结合本区实际情况制定实施办法。</w:t>
      </w:r>
    </w:p>
    <w:p w14:paraId="7DE41DA2">
      <w:pPr>
        <w:ind w:firstLine="422"/>
        <w:jc w:val="left"/>
        <w:rPr>
          <w:rFonts w:ascii="宋体" w:hAnsi="宋体"/>
          <w:kern w:val="44"/>
        </w:rPr>
      </w:pPr>
      <w:r>
        <w:rPr>
          <w:rFonts w:hint="eastAsia" w:ascii="宋体" w:hAnsi="宋体"/>
          <w:b/>
          <w:kern w:val="44"/>
        </w:rPr>
        <w:t>第二十八条</w:t>
      </w:r>
      <w:r>
        <w:rPr>
          <w:rFonts w:hint="eastAsia" w:ascii="宋体" w:hAnsi="宋体"/>
          <w:kern w:val="44"/>
        </w:rPr>
        <w:t>　本规定自发布之日起施行。</w:t>
      </w:r>
    </w:p>
    <w:p w14:paraId="2AA86A6B">
      <w:pPr>
        <w:pStyle w:val="4"/>
        <w:pageBreakBefore/>
        <w:rPr>
          <w:kern w:val="44"/>
        </w:rPr>
      </w:pPr>
      <w:bookmarkStart w:id="184" w:name="_Toc427651400"/>
      <w:bookmarkStart w:id="185" w:name="_Toc428779966"/>
      <w:bookmarkStart w:id="186" w:name="_Toc422471080"/>
      <w:bookmarkStart w:id="187" w:name="_Toc427651742"/>
      <w:bookmarkStart w:id="188" w:name="_Toc428781448"/>
      <w:r>
        <w:rPr>
          <w:rFonts w:hint="eastAsia"/>
          <w:kern w:val="44"/>
        </w:rPr>
        <w:t>北京市居民委员会选举办法</w:t>
      </w:r>
      <w:bookmarkEnd w:id="184"/>
      <w:bookmarkEnd w:id="185"/>
      <w:bookmarkEnd w:id="186"/>
      <w:bookmarkEnd w:id="187"/>
      <w:bookmarkEnd w:id="188"/>
    </w:p>
    <w:p w14:paraId="13A55143">
      <w:pPr>
        <w:ind w:left="630" w:leftChars="300" w:right="630" w:rightChars="300"/>
        <w:jc w:val="center"/>
        <w:rPr>
          <w:rFonts w:ascii="楷体" w:hAnsi="楷体" w:eastAsia="楷体"/>
          <w:kern w:val="44"/>
        </w:rPr>
      </w:pPr>
      <w:r>
        <w:rPr>
          <w:rFonts w:hint="eastAsia" w:ascii="楷体" w:hAnsi="楷体" w:eastAsia="楷体"/>
          <w:kern w:val="44"/>
        </w:rPr>
        <w:t>（2000年4月26日北京市人民政府第54号令发布）</w:t>
      </w:r>
    </w:p>
    <w:p w14:paraId="622DDB1C">
      <w:pPr>
        <w:ind w:left="630" w:leftChars="300" w:right="630" w:rightChars="300"/>
        <w:jc w:val="left"/>
        <w:rPr>
          <w:rFonts w:ascii="楷体" w:hAnsi="楷体" w:eastAsia="楷体"/>
          <w:kern w:val="44"/>
        </w:rPr>
      </w:pPr>
    </w:p>
    <w:p w14:paraId="516D11C8">
      <w:pPr>
        <w:ind w:firstLine="0" w:firstLineChars="0"/>
        <w:jc w:val="center"/>
        <w:rPr>
          <w:rFonts w:ascii="宋体" w:hAnsi="宋体"/>
          <w:b/>
          <w:kern w:val="44"/>
          <w:sz w:val="28"/>
        </w:rPr>
      </w:pPr>
      <w:r>
        <w:rPr>
          <w:rFonts w:hint="eastAsia" w:ascii="宋体" w:hAnsi="宋体"/>
          <w:b/>
          <w:kern w:val="44"/>
          <w:sz w:val="28"/>
        </w:rPr>
        <w:t>第一章　总　则</w:t>
      </w:r>
    </w:p>
    <w:p w14:paraId="50057E8E">
      <w:pPr>
        <w:jc w:val="left"/>
        <w:rPr>
          <w:rFonts w:ascii="宋体" w:hAnsi="宋体"/>
          <w:kern w:val="44"/>
        </w:rPr>
      </w:pPr>
    </w:p>
    <w:p w14:paraId="38E4178C">
      <w:pPr>
        <w:ind w:firstLine="422"/>
        <w:jc w:val="left"/>
        <w:rPr>
          <w:rFonts w:ascii="宋体" w:hAnsi="宋体"/>
          <w:kern w:val="44"/>
        </w:rPr>
      </w:pPr>
      <w:r>
        <w:rPr>
          <w:rFonts w:hint="eastAsia" w:ascii="宋体" w:hAnsi="宋体"/>
          <w:b/>
          <w:kern w:val="44"/>
        </w:rPr>
        <w:t>第一条</w:t>
      </w:r>
      <w:r>
        <w:rPr>
          <w:rFonts w:hint="eastAsia" w:ascii="宋体" w:hAnsi="宋体"/>
          <w:kern w:val="44"/>
        </w:rPr>
        <w:t>　为规范居民委员会选举工作，保障居民依法行使民主选举权利，根据《中华人民共和国城市居民委员会组织法》和《北京市实施〈中华人民共和国城市居民委员会组织法〉办法》，结合我市实际，制定本办法。</w:t>
      </w:r>
    </w:p>
    <w:p w14:paraId="7DB83BE3">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本办法适用于本市行政区域内的居民委员会选举工作。</w:t>
      </w:r>
    </w:p>
    <w:p w14:paraId="3600DDF6">
      <w:pPr>
        <w:ind w:firstLine="422"/>
        <w:jc w:val="left"/>
        <w:rPr>
          <w:rFonts w:ascii="宋体" w:hAnsi="宋体"/>
          <w:kern w:val="44"/>
        </w:rPr>
      </w:pPr>
      <w:r>
        <w:rPr>
          <w:rFonts w:hint="eastAsia" w:ascii="宋体" w:hAnsi="宋体"/>
          <w:b/>
          <w:kern w:val="44"/>
        </w:rPr>
        <w:t>第三条</w:t>
      </w:r>
      <w:r>
        <w:rPr>
          <w:rFonts w:hint="eastAsia" w:ascii="宋体" w:hAnsi="宋体"/>
          <w:kern w:val="44"/>
        </w:rPr>
        <w:t>　居民委员会选举应当坚持公平、公正、公开的原则。</w:t>
      </w:r>
    </w:p>
    <w:p w14:paraId="65452784">
      <w:pPr>
        <w:jc w:val="left"/>
        <w:rPr>
          <w:rFonts w:ascii="宋体" w:hAnsi="宋体"/>
          <w:kern w:val="44"/>
        </w:rPr>
      </w:pPr>
      <w:r>
        <w:rPr>
          <w:rFonts w:hint="eastAsia" w:ascii="宋体" w:hAnsi="宋体"/>
          <w:kern w:val="44"/>
        </w:rPr>
        <w:t>任何组织和个人不得指定、委派或者非经法定程序撤换居民委员会成员。</w:t>
      </w:r>
    </w:p>
    <w:p w14:paraId="5B3A3E6E">
      <w:pPr>
        <w:ind w:firstLine="422"/>
        <w:jc w:val="left"/>
        <w:rPr>
          <w:rFonts w:ascii="宋体" w:hAnsi="宋体"/>
          <w:kern w:val="44"/>
        </w:rPr>
      </w:pPr>
      <w:r>
        <w:rPr>
          <w:rFonts w:hint="eastAsia" w:ascii="宋体" w:hAnsi="宋体"/>
          <w:b/>
          <w:kern w:val="44"/>
        </w:rPr>
        <w:t>第四条</w:t>
      </w:r>
      <w:r>
        <w:rPr>
          <w:rFonts w:hint="eastAsia" w:ascii="宋体" w:hAnsi="宋体"/>
          <w:kern w:val="44"/>
        </w:rPr>
        <w:t>　居民委员会由主任、副主任、委员共5至9人组成，其中主任1人、副主任1至2人，委员若干人。组成人数由街道（地区）办事处、乡（镇）人民政府根据实际情况确定。</w:t>
      </w:r>
    </w:p>
    <w:p w14:paraId="4ED739A4">
      <w:pPr>
        <w:jc w:val="left"/>
        <w:rPr>
          <w:rFonts w:ascii="宋体" w:hAnsi="宋体"/>
          <w:kern w:val="44"/>
        </w:rPr>
      </w:pPr>
      <w:r>
        <w:rPr>
          <w:rFonts w:hint="eastAsia" w:ascii="宋体" w:hAnsi="宋体"/>
          <w:kern w:val="44"/>
        </w:rPr>
        <w:t>多民族居住地区，居民委员会中应当有人数较少的民族的成员。</w:t>
      </w:r>
    </w:p>
    <w:p w14:paraId="6B9C2CE7">
      <w:pPr>
        <w:ind w:firstLine="422"/>
        <w:jc w:val="left"/>
        <w:rPr>
          <w:rFonts w:ascii="宋体" w:hAnsi="宋体"/>
          <w:kern w:val="44"/>
        </w:rPr>
      </w:pPr>
      <w:r>
        <w:rPr>
          <w:rFonts w:hint="eastAsia" w:ascii="宋体" w:hAnsi="宋体"/>
          <w:b/>
          <w:kern w:val="44"/>
        </w:rPr>
        <w:t>第五条</w:t>
      </w:r>
      <w:r>
        <w:rPr>
          <w:rFonts w:hint="eastAsia" w:ascii="宋体" w:hAnsi="宋体"/>
          <w:kern w:val="44"/>
        </w:rPr>
        <w:t>　居民委员会主任、副主任、委员由本居住地区全体有选举权的居民或者由每户派代表选举产生；根据居民意见，也可以由居民小组代表选举产生。</w:t>
      </w:r>
    </w:p>
    <w:p w14:paraId="4DA552E1">
      <w:pPr>
        <w:jc w:val="left"/>
        <w:rPr>
          <w:rFonts w:ascii="宋体" w:hAnsi="宋体"/>
          <w:kern w:val="44"/>
        </w:rPr>
      </w:pPr>
      <w:r>
        <w:rPr>
          <w:rFonts w:hint="eastAsia" w:ascii="宋体" w:hAnsi="宋体"/>
          <w:kern w:val="44"/>
        </w:rPr>
        <w:t>居民委员会每届任期3年，居民委员会成员可以连选连任。</w:t>
      </w:r>
    </w:p>
    <w:p w14:paraId="533D58B3">
      <w:pPr>
        <w:jc w:val="left"/>
        <w:rPr>
          <w:rFonts w:ascii="宋体" w:hAnsi="宋体"/>
          <w:kern w:val="44"/>
        </w:rPr>
      </w:pPr>
      <w:r>
        <w:rPr>
          <w:rFonts w:hint="eastAsia" w:ascii="宋体" w:hAnsi="宋体"/>
          <w:kern w:val="44"/>
        </w:rPr>
        <w:t>新建居民委员会时间超过1年的，与全市居民委员会同时换届选举。</w:t>
      </w:r>
    </w:p>
    <w:p w14:paraId="7A96C6FF">
      <w:pPr>
        <w:ind w:firstLine="422"/>
        <w:jc w:val="left"/>
        <w:rPr>
          <w:rFonts w:ascii="宋体" w:hAnsi="宋体"/>
          <w:kern w:val="44"/>
        </w:rPr>
      </w:pPr>
      <w:r>
        <w:rPr>
          <w:rFonts w:hint="eastAsia" w:ascii="宋体" w:hAnsi="宋体"/>
          <w:b/>
          <w:kern w:val="44"/>
        </w:rPr>
        <w:t>第六条</w:t>
      </w:r>
      <w:r>
        <w:rPr>
          <w:rFonts w:hint="eastAsia" w:ascii="宋体" w:hAnsi="宋体"/>
          <w:kern w:val="44"/>
        </w:rPr>
        <w:t>　居民小组一般由15至50户居民组成，每个居民小组可以选举2至3名居民代表，居民代表任期与居民委员会任期相同。</w:t>
      </w:r>
    </w:p>
    <w:p w14:paraId="38971599">
      <w:pPr>
        <w:ind w:firstLine="422"/>
        <w:jc w:val="left"/>
        <w:rPr>
          <w:rFonts w:ascii="宋体" w:hAnsi="宋体"/>
          <w:kern w:val="44"/>
        </w:rPr>
      </w:pPr>
      <w:r>
        <w:rPr>
          <w:rFonts w:hint="eastAsia" w:ascii="宋体" w:hAnsi="宋体"/>
          <w:b/>
          <w:kern w:val="44"/>
        </w:rPr>
        <w:t>第七条</w:t>
      </w:r>
      <w:r>
        <w:rPr>
          <w:rFonts w:hint="eastAsia" w:ascii="宋体" w:hAnsi="宋体"/>
          <w:kern w:val="44"/>
        </w:rPr>
        <w:t>　居民委员会的换届选举工作由市人民政府统一部署，在区、县、乡（镇）人民政府和街道（地区）办事处指导下进行。</w:t>
      </w:r>
    </w:p>
    <w:p w14:paraId="72E56F35">
      <w:pPr>
        <w:ind w:firstLine="422"/>
        <w:jc w:val="left"/>
        <w:rPr>
          <w:rFonts w:ascii="宋体" w:hAnsi="宋体"/>
          <w:kern w:val="44"/>
        </w:rPr>
      </w:pPr>
      <w:r>
        <w:rPr>
          <w:rFonts w:hint="eastAsia" w:ascii="宋体" w:hAnsi="宋体"/>
          <w:b/>
          <w:kern w:val="44"/>
        </w:rPr>
        <w:t>第八条</w:t>
      </w:r>
      <w:r>
        <w:rPr>
          <w:rFonts w:hint="eastAsia" w:ascii="宋体" w:hAnsi="宋体"/>
          <w:kern w:val="44"/>
        </w:rPr>
        <w:t>　居民委员会选举工作所需经费由区、县财政列支。</w:t>
      </w:r>
    </w:p>
    <w:p w14:paraId="363A3C11">
      <w:pPr>
        <w:jc w:val="left"/>
        <w:rPr>
          <w:rFonts w:ascii="宋体" w:hAnsi="宋体"/>
          <w:kern w:val="44"/>
        </w:rPr>
      </w:pPr>
    </w:p>
    <w:p w14:paraId="5C3F58B7">
      <w:pPr>
        <w:ind w:firstLine="0" w:firstLineChars="0"/>
        <w:jc w:val="center"/>
        <w:rPr>
          <w:rFonts w:ascii="宋体" w:hAnsi="宋体"/>
          <w:b/>
          <w:kern w:val="44"/>
          <w:sz w:val="28"/>
        </w:rPr>
      </w:pPr>
      <w:r>
        <w:rPr>
          <w:rFonts w:hint="eastAsia" w:ascii="宋体" w:hAnsi="宋体"/>
          <w:b/>
          <w:kern w:val="44"/>
          <w:sz w:val="28"/>
        </w:rPr>
        <w:t>第二章　选举工作机构</w:t>
      </w:r>
    </w:p>
    <w:p w14:paraId="15EDE689">
      <w:pPr>
        <w:jc w:val="left"/>
        <w:rPr>
          <w:rFonts w:ascii="宋体" w:hAnsi="宋体"/>
          <w:kern w:val="44"/>
        </w:rPr>
      </w:pPr>
    </w:p>
    <w:p w14:paraId="02CB193B">
      <w:pPr>
        <w:ind w:firstLine="422"/>
        <w:jc w:val="left"/>
        <w:rPr>
          <w:rFonts w:ascii="宋体" w:hAnsi="宋体"/>
          <w:kern w:val="44"/>
        </w:rPr>
      </w:pPr>
      <w:r>
        <w:rPr>
          <w:rFonts w:hint="eastAsia" w:ascii="宋体" w:hAnsi="宋体"/>
          <w:b/>
          <w:kern w:val="44"/>
        </w:rPr>
        <w:t>第九条</w:t>
      </w:r>
      <w:r>
        <w:rPr>
          <w:rFonts w:hint="eastAsia" w:ascii="宋体" w:hAnsi="宋体"/>
          <w:kern w:val="44"/>
        </w:rPr>
        <w:t>　居民委员会换届选举期间，街道（地区）办事处、乡（镇）人民政府应当成立居民委员会选举工作指导小组，其主要职责是：</w:t>
      </w:r>
    </w:p>
    <w:p w14:paraId="07AE93AB">
      <w:pPr>
        <w:jc w:val="left"/>
        <w:rPr>
          <w:rFonts w:ascii="宋体" w:hAnsi="宋体"/>
          <w:kern w:val="44"/>
        </w:rPr>
      </w:pPr>
      <w:r>
        <w:rPr>
          <w:rFonts w:hint="eastAsia" w:ascii="宋体" w:hAnsi="宋体"/>
          <w:kern w:val="44"/>
        </w:rPr>
        <w:t>（一）制定选举工作计划并组织实施；</w:t>
      </w:r>
    </w:p>
    <w:p w14:paraId="62CD3B27">
      <w:pPr>
        <w:jc w:val="left"/>
        <w:rPr>
          <w:rFonts w:ascii="宋体" w:hAnsi="宋体"/>
          <w:kern w:val="44"/>
        </w:rPr>
      </w:pPr>
      <w:r>
        <w:rPr>
          <w:rFonts w:hint="eastAsia" w:ascii="宋体" w:hAnsi="宋体"/>
          <w:kern w:val="44"/>
        </w:rPr>
        <w:t>（二）宣传有关法律、法规；</w:t>
      </w:r>
    </w:p>
    <w:p w14:paraId="3FB2CC2D">
      <w:pPr>
        <w:jc w:val="left"/>
        <w:rPr>
          <w:rFonts w:ascii="宋体" w:hAnsi="宋体"/>
          <w:kern w:val="44"/>
        </w:rPr>
      </w:pPr>
      <w:r>
        <w:rPr>
          <w:rFonts w:hint="eastAsia" w:ascii="宋体" w:hAnsi="宋体"/>
          <w:kern w:val="44"/>
        </w:rPr>
        <w:t>（三）确定投票选举日期；</w:t>
      </w:r>
    </w:p>
    <w:p w14:paraId="2F808DDD">
      <w:pPr>
        <w:jc w:val="left"/>
        <w:rPr>
          <w:rFonts w:ascii="宋体" w:hAnsi="宋体"/>
          <w:kern w:val="44"/>
        </w:rPr>
      </w:pPr>
      <w:r>
        <w:rPr>
          <w:rFonts w:hint="eastAsia" w:ascii="宋体" w:hAnsi="宋体"/>
          <w:kern w:val="44"/>
        </w:rPr>
        <w:t>（四）培训选举工作人员；</w:t>
      </w:r>
    </w:p>
    <w:p w14:paraId="42D4BDCD">
      <w:pPr>
        <w:jc w:val="left"/>
        <w:rPr>
          <w:rFonts w:ascii="宋体" w:hAnsi="宋体"/>
          <w:kern w:val="44"/>
        </w:rPr>
      </w:pPr>
      <w:r>
        <w:rPr>
          <w:rFonts w:hint="eastAsia" w:ascii="宋体" w:hAnsi="宋体"/>
          <w:kern w:val="44"/>
        </w:rPr>
        <w:t>（五）受理选举工作中的来信、来访。</w:t>
      </w:r>
    </w:p>
    <w:p w14:paraId="157F7AE4">
      <w:pPr>
        <w:ind w:firstLine="422"/>
        <w:jc w:val="left"/>
        <w:rPr>
          <w:rFonts w:ascii="宋体" w:hAnsi="宋体"/>
          <w:kern w:val="44"/>
        </w:rPr>
      </w:pPr>
      <w:r>
        <w:rPr>
          <w:rFonts w:hint="eastAsia" w:ascii="宋体" w:hAnsi="宋体"/>
          <w:b/>
          <w:kern w:val="44"/>
        </w:rPr>
        <w:t>第十条</w:t>
      </w:r>
      <w:r>
        <w:rPr>
          <w:rFonts w:hint="eastAsia" w:ascii="宋体" w:hAnsi="宋体"/>
          <w:kern w:val="44"/>
        </w:rPr>
        <w:t>　居民委员会的选举，由居民选举委员会主持。</w:t>
      </w:r>
    </w:p>
    <w:p w14:paraId="0563A55D">
      <w:pPr>
        <w:jc w:val="left"/>
        <w:rPr>
          <w:rFonts w:ascii="宋体" w:hAnsi="宋体"/>
          <w:kern w:val="44"/>
        </w:rPr>
      </w:pPr>
      <w:r>
        <w:rPr>
          <w:rFonts w:hint="eastAsia" w:ascii="宋体" w:hAnsi="宋体"/>
          <w:kern w:val="44"/>
        </w:rPr>
        <w:t>居民选举委员会由居民会议推举主任、委员共5至9人组成。其主要职责是：</w:t>
      </w:r>
    </w:p>
    <w:p w14:paraId="7B693435">
      <w:pPr>
        <w:jc w:val="left"/>
        <w:rPr>
          <w:rFonts w:ascii="宋体" w:hAnsi="宋体"/>
          <w:kern w:val="44"/>
        </w:rPr>
      </w:pPr>
      <w:r>
        <w:rPr>
          <w:rFonts w:hint="eastAsia" w:ascii="宋体" w:hAnsi="宋体"/>
          <w:kern w:val="44"/>
        </w:rPr>
        <w:t>（一）开展选举的宣传、发动工作；</w:t>
      </w:r>
    </w:p>
    <w:p w14:paraId="08426617">
      <w:pPr>
        <w:jc w:val="left"/>
        <w:rPr>
          <w:rFonts w:ascii="宋体" w:hAnsi="宋体"/>
          <w:kern w:val="44"/>
        </w:rPr>
      </w:pPr>
      <w:r>
        <w:rPr>
          <w:rFonts w:hint="eastAsia" w:ascii="宋体" w:hAnsi="宋体"/>
          <w:kern w:val="44"/>
        </w:rPr>
        <w:t>（二）依法制定选举工作方案；</w:t>
      </w:r>
    </w:p>
    <w:p w14:paraId="51B59F71">
      <w:pPr>
        <w:jc w:val="left"/>
        <w:rPr>
          <w:rFonts w:ascii="宋体" w:hAnsi="宋体"/>
          <w:kern w:val="44"/>
        </w:rPr>
      </w:pPr>
      <w:r>
        <w:rPr>
          <w:rFonts w:hint="eastAsia" w:ascii="宋体" w:hAnsi="宋体"/>
          <w:kern w:val="44"/>
        </w:rPr>
        <w:t>（三）组织选民登记，审查选民资格；</w:t>
      </w:r>
    </w:p>
    <w:p w14:paraId="6CBBF8D0">
      <w:pPr>
        <w:jc w:val="left"/>
        <w:rPr>
          <w:rFonts w:ascii="宋体" w:hAnsi="宋体"/>
          <w:kern w:val="44"/>
        </w:rPr>
      </w:pPr>
      <w:r>
        <w:rPr>
          <w:rFonts w:hint="eastAsia" w:ascii="宋体" w:hAnsi="宋体"/>
          <w:kern w:val="44"/>
        </w:rPr>
        <w:t>（四）组织选民提名候选人，审查候选人资格，公布正式候选人名单；</w:t>
      </w:r>
    </w:p>
    <w:p w14:paraId="01488B12">
      <w:pPr>
        <w:jc w:val="left"/>
        <w:rPr>
          <w:rFonts w:ascii="宋体" w:hAnsi="宋体"/>
          <w:kern w:val="44"/>
        </w:rPr>
      </w:pPr>
      <w:r>
        <w:rPr>
          <w:rFonts w:hint="eastAsia" w:ascii="宋体" w:hAnsi="宋体"/>
          <w:kern w:val="44"/>
        </w:rPr>
        <w:t>（五）公告选举日期、时间、地点及选举方式；</w:t>
      </w:r>
    </w:p>
    <w:p w14:paraId="784C9EFA">
      <w:pPr>
        <w:jc w:val="left"/>
        <w:rPr>
          <w:rFonts w:ascii="宋体" w:hAnsi="宋体"/>
          <w:kern w:val="44"/>
        </w:rPr>
      </w:pPr>
      <w:r>
        <w:rPr>
          <w:rFonts w:hint="eastAsia" w:ascii="宋体" w:hAnsi="宋体"/>
          <w:kern w:val="44"/>
        </w:rPr>
        <w:t>（六）主持投票选举，公布选举结果；</w:t>
      </w:r>
    </w:p>
    <w:p w14:paraId="48582371">
      <w:pPr>
        <w:jc w:val="left"/>
        <w:rPr>
          <w:rFonts w:ascii="宋体" w:hAnsi="宋体"/>
          <w:kern w:val="44"/>
        </w:rPr>
      </w:pPr>
      <w:r>
        <w:rPr>
          <w:rFonts w:hint="eastAsia" w:ascii="宋体" w:hAnsi="宋体"/>
          <w:kern w:val="44"/>
        </w:rPr>
        <w:t>（七）总结选举工作，建立选举工作档案。</w:t>
      </w:r>
    </w:p>
    <w:p w14:paraId="2C6A336A">
      <w:pPr>
        <w:jc w:val="left"/>
        <w:rPr>
          <w:rFonts w:ascii="宋体" w:hAnsi="宋体"/>
          <w:kern w:val="44"/>
        </w:rPr>
      </w:pPr>
      <w:r>
        <w:rPr>
          <w:rFonts w:hint="eastAsia" w:ascii="宋体" w:hAnsi="宋体"/>
          <w:kern w:val="44"/>
        </w:rPr>
        <w:t>居民选举委员会行使工作职责至新一届居民委员会召开第一次会议时止。</w:t>
      </w:r>
    </w:p>
    <w:p w14:paraId="6D96AF4A">
      <w:pPr>
        <w:jc w:val="left"/>
        <w:rPr>
          <w:rFonts w:ascii="宋体" w:hAnsi="宋体"/>
          <w:kern w:val="44"/>
        </w:rPr>
      </w:pPr>
      <w:r>
        <w:rPr>
          <w:rFonts w:hint="eastAsia" w:ascii="宋体" w:hAnsi="宋体"/>
          <w:kern w:val="44"/>
        </w:rPr>
        <w:t>居民选举委员会成员被确定为居民委员会成员正式候选人的，其居民选举委员会成员资格自行终止。居民选举委员会成员不足5人的，由居民会议补选。</w:t>
      </w:r>
    </w:p>
    <w:p w14:paraId="68875883">
      <w:pPr>
        <w:jc w:val="left"/>
        <w:rPr>
          <w:rFonts w:ascii="宋体" w:hAnsi="宋体"/>
          <w:kern w:val="44"/>
        </w:rPr>
      </w:pPr>
    </w:p>
    <w:p w14:paraId="279A716F">
      <w:pPr>
        <w:ind w:firstLine="0" w:firstLineChars="0"/>
        <w:jc w:val="center"/>
        <w:rPr>
          <w:rFonts w:ascii="宋体" w:hAnsi="宋体"/>
          <w:b/>
          <w:kern w:val="44"/>
          <w:sz w:val="28"/>
        </w:rPr>
      </w:pPr>
      <w:r>
        <w:rPr>
          <w:rFonts w:hint="eastAsia" w:ascii="宋体" w:hAnsi="宋体"/>
          <w:b/>
          <w:kern w:val="44"/>
          <w:sz w:val="28"/>
        </w:rPr>
        <w:t>第三章　选民登记</w:t>
      </w:r>
    </w:p>
    <w:p w14:paraId="564BAF0D">
      <w:pPr>
        <w:jc w:val="left"/>
        <w:rPr>
          <w:rFonts w:ascii="宋体" w:hAnsi="宋体"/>
          <w:kern w:val="44"/>
        </w:rPr>
      </w:pPr>
    </w:p>
    <w:p w14:paraId="1288C044">
      <w:pPr>
        <w:ind w:firstLine="422"/>
        <w:jc w:val="left"/>
        <w:rPr>
          <w:rFonts w:ascii="宋体" w:hAnsi="宋体"/>
          <w:kern w:val="44"/>
        </w:rPr>
      </w:pPr>
      <w:r>
        <w:rPr>
          <w:rFonts w:hint="eastAsia" w:ascii="宋体" w:hAnsi="宋体"/>
          <w:b/>
          <w:kern w:val="44"/>
        </w:rPr>
        <w:t>第十一条</w:t>
      </w:r>
      <w:r>
        <w:rPr>
          <w:rFonts w:hint="eastAsia" w:ascii="宋体" w:hAnsi="宋体"/>
          <w:kern w:val="44"/>
        </w:rPr>
        <w:t>　年满18周岁的本市居民，不分民族、种族、性别、职业、家庭出身、宗教信仰、教育程度、财产状况、居住期限，都有选举权和被选举权。依照法律被剥夺政治权利的人除外。</w:t>
      </w:r>
    </w:p>
    <w:p w14:paraId="3FBDD408">
      <w:pPr>
        <w:ind w:firstLine="422"/>
        <w:jc w:val="left"/>
        <w:rPr>
          <w:rFonts w:ascii="宋体" w:hAnsi="宋体"/>
          <w:kern w:val="44"/>
        </w:rPr>
      </w:pPr>
      <w:r>
        <w:rPr>
          <w:rFonts w:hint="eastAsia" w:ascii="宋体" w:hAnsi="宋体"/>
          <w:b/>
          <w:kern w:val="44"/>
        </w:rPr>
        <w:t>第十二条</w:t>
      </w:r>
      <w:r>
        <w:rPr>
          <w:rFonts w:hint="eastAsia" w:ascii="宋体" w:hAnsi="宋体"/>
          <w:kern w:val="44"/>
        </w:rPr>
        <w:t>　有选民资格的居民在户口所在地的居民选举委员会进行选民登记；户口所在地与居住地不一致且在居住地居住1年以上的，也可以在居住地的居民选举委员会进行选民登记。未在规定期限内进行选民登记的居民，丧失选民资格。</w:t>
      </w:r>
    </w:p>
    <w:p w14:paraId="31BAE85C">
      <w:pPr>
        <w:ind w:firstLine="422"/>
        <w:jc w:val="left"/>
        <w:rPr>
          <w:rFonts w:ascii="宋体" w:hAnsi="宋体"/>
          <w:kern w:val="44"/>
        </w:rPr>
      </w:pPr>
      <w:r>
        <w:rPr>
          <w:rFonts w:hint="eastAsia" w:ascii="宋体" w:hAnsi="宋体"/>
          <w:b/>
          <w:kern w:val="44"/>
        </w:rPr>
        <w:t>第十三条</w:t>
      </w:r>
      <w:r>
        <w:rPr>
          <w:rFonts w:hint="eastAsia" w:ascii="宋体" w:hAnsi="宋体"/>
          <w:kern w:val="44"/>
        </w:rPr>
        <w:t>　采取居民小组代表方式选举的，应当公布居民小组代表名单。</w:t>
      </w:r>
    </w:p>
    <w:p w14:paraId="2496DA0F">
      <w:pPr>
        <w:jc w:val="left"/>
        <w:rPr>
          <w:rFonts w:ascii="宋体" w:hAnsi="宋体"/>
          <w:kern w:val="44"/>
        </w:rPr>
      </w:pPr>
    </w:p>
    <w:p w14:paraId="37067E0C">
      <w:pPr>
        <w:ind w:firstLine="0" w:firstLineChars="0"/>
        <w:jc w:val="center"/>
        <w:rPr>
          <w:rFonts w:ascii="宋体" w:hAnsi="宋体"/>
          <w:b/>
          <w:kern w:val="44"/>
          <w:sz w:val="28"/>
        </w:rPr>
      </w:pPr>
      <w:r>
        <w:rPr>
          <w:rFonts w:hint="eastAsia" w:ascii="宋体" w:hAnsi="宋体"/>
          <w:b/>
          <w:kern w:val="44"/>
          <w:sz w:val="28"/>
        </w:rPr>
        <w:t>第四章　候选人产生</w:t>
      </w:r>
    </w:p>
    <w:p w14:paraId="769D04C6">
      <w:pPr>
        <w:jc w:val="left"/>
        <w:rPr>
          <w:rFonts w:ascii="宋体" w:hAnsi="宋体"/>
          <w:kern w:val="44"/>
        </w:rPr>
      </w:pPr>
    </w:p>
    <w:p w14:paraId="52ADC4FF">
      <w:pPr>
        <w:ind w:firstLine="422"/>
        <w:jc w:val="left"/>
        <w:rPr>
          <w:rFonts w:ascii="宋体" w:hAnsi="宋体"/>
          <w:kern w:val="44"/>
        </w:rPr>
      </w:pPr>
      <w:r>
        <w:rPr>
          <w:rFonts w:hint="eastAsia" w:ascii="宋体" w:hAnsi="宋体"/>
          <w:b/>
          <w:kern w:val="44"/>
        </w:rPr>
        <w:t>第十四条</w:t>
      </w:r>
      <w:r>
        <w:rPr>
          <w:rFonts w:hint="eastAsia" w:ascii="宋体" w:hAnsi="宋体"/>
          <w:kern w:val="44"/>
        </w:rPr>
        <w:t>　居民委员会成员候选人应当遵守宪法、法律、法规和国家政策，具有一定的组织领导能力和文化知识，廉洁奉公，作风民主，办事公道，身体健康，年富力强，热心为居民服务。</w:t>
      </w:r>
    </w:p>
    <w:p w14:paraId="5D8A3B5F">
      <w:pPr>
        <w:ind w:firstLine="422"/>
        <w:jc w:val="left"/>
        <w:rPr>
          <w:rFonts w:ascii="宋体" w:hAnsi="宋体"/>
          <w:kern w:val="44"/>
        </w:rPr>
      </w:pPr>
      <w:r>
        <w:rPr>
          <w:rFonts w:hint="eastAsia" w:ascii="宋体" w:hAnsi="宋体"/>
          <w:b/>
          <w:kern w:val="44"/>
        </w:rPr>
        <w:t>第十五条</w:t>
      </w:r>
      <w:r>
        <w:rPr>
          <w:rFonts w:hint="eastAsia" w:ascii="宋体" w:hAnsi="宋体"/>
          <w:kern w:val="44"/>
        </w:rPr>
        <w:t>　居民委员会成员候选人的提出，可以采取选民10人以上联合提名、户代表5人以上联合提名、居民小组代表联合提名等方式。提名时，对候选人只有1次提名权，且提名人数不得超过应选人数。</w:t>
      </w:r>
    </w:p>
    <w:p w14:paraId="659C375E">
      <w:pPr>
        <w:ind w:firstLine="422"/>
        <w:jc w:val="left"/>
        <w:rPr>
          <w:rFonts w:ascii="宋体" w:hAnsi="宋体"/>
          <w:kern w:val="44"/>
        </w:rPr>
      </w:pPr>
      <w:r>
        <w:rPr>
          <w:rFonts w:hint="eastAsia" w:ascii="宋体" w:hAnsi="宋体"/>
          <w:b/>
          <w:kern w:val="44"/>
        </w:rPr>
        <w:t>第十六条</w:t>
      </w:r>
      <w:r>
        <w:rPr>
          <w:rFonts w:hint="eastAsia" w:ascii="宋体" w:hAnsi="宋体"/>
          <w:kern w:val="44"/>
        </w:rPr>
        <w:t>　居民委员会成员实行差额选举，正式候选人应当多于应选名额1至2人。如果提名的候选人与应选名额相等，也可以等额选举。</w:t>
      </w:r>
    </w:p>
    <w:p w14:paraId="1330DF53">
      <w:pPr>
        <w:jc w:val="left"/>
        <w:rPr>
          <w:rFonts w:ascii="宋体" w:hAnsi="宋体"/>
          <w:kern w:val="44"/>
        </w:rPr>
      </w:pPr>
      <w:r>
        <w:rPr>
          <w:rFonts w:hint="eastAsia" w:ascii="宋体" w:hAnsi="宋体"/>
          <w:kern w:val="44"/>
        </w:rPr>
        <w:t>提名的候选人多于正式候选人人数时，由居民选举委员会召集居民会议以无记名投票、公开计票的方式进行预选，按得票多少顺序确定正式候选人。</w:t>
      </w:r>
    </w:p>
    <w:p w14:paraId="33B5074A">
      <w:pPr>
        <w:jc w:val="left"/>
        <w:rPr>
          <w:rFonts w:ascii="宋体" w:hAnsi="宋体"/>
          <w:kern w:val="44"/>
        </w:rPr>
      </w:pPr>
      <w:r>
        <w:rPr>
          <w:rFonts w:hint="eastAsia" w:ascii="宋体" w:hAnsi="宋体"/>
          <w:kern w:val="44"/>
        </w:rPr>
        <w:t>正式候选人名单在选举日5日以前张榜公布。</w:t>
      </w:r>
    </w:p>
    <w:p w14:paraId="5287BC76">
      <w:pPr>
        <w:ind w:firstLine="422"/>
        <w:jc w:val="left"/>
        <w:rPr>
          <w:rFonts w:ascii="宋体" w:hAnsi="宋体"/>
          <w:kern w:val="44"/>
        </w:rPr>
      </w:pPr>
      <w:r>
        <w:rPr>
          <w:rFonts w:hint="eastAsia" w:ascii="宋体" w:hAnsi="宋体"/>
          <w:b/>
          <w:kern w:val="44"/>
        </w:rPr>
        <w:t>第十七条</w:t>
      </w:r>
      <w:r>
        <w:rPr>
          <w:rFonts w:hint="eastAsia" w:ascii="宋体" w:hAnsi="宋体"/>
          <w:kern w:val="44"/>
        </w:rPr>
        <w:t>　居民选举委员会负责向居民介绍候选人的情况，也可以组织候选人同选民见面并回答选民提出的问题。</w:t>
      </w:r>
    </w:p>
    <w:p w14:paraId="5D99CF96">
      <w:pPr>
        <w:jc w:val="left"/>
        <w:rPr>
          <w:rFonts w:ascii="宋体" w:hAnsi="宋体"/>
          <w:kern w:val="44"/>
        </w:rPr>
      </w:pPr>
      <w:r>
        <w:rPr>
          <w:rFonts w:hint="eastAsia" w:ascii="宋体" w:hAnsi="宋体"/>
          <w:kern w:val="44"/>
        </w:rPr>
        <w:t>投票选举日必须停止对候选人的介绍。</w:t>
      </w:r>
    </w:p>
    <w:p w14:paraId="1E4ADF48">
      <w:pPr>
        <w:spacing w:line="300" w:lineRule="exact"/>
        <w:jc w:val="left"/>
        <w:rPr>
          <w:rFonts w:ascii="宋体" w:hAnsi="宋体"/>
          <w:kern w:val="44"/>
        </w:rPr>
      </w:pPr>
    </w:p>
    <w:p w14:paraId="46082198">
      <w:pPr>
        <w:ind w:firstLine="0" w:firstLineChars="0"/>
        <w:jc w:val="center"/>
        <w:rPr>
          <w:rFonts w:ascii="宋体" w:hAnsi="宋体"/>
          <w:b/>
          <w:kern w:val="44"/>
          <w:sz w:val="28"/>
        </w:rPr>
      </w:pPr>
      <w:r>
        <w:rPr>
          <w:rFonts w:hint="eastAsia" w:ascii="宋体" w:hAnsi="宋体"/>
          <w:b/>
          <w:kern w:val="44"/>
          <w:sz w:val="28"/>
        </w:rPr>
        <w:t>第五章  选举程序</w:t>
      </w:r>
    </w:p>
    <w:p w14:paraId="210641CC">
      <w:pPr>
        <w:spacing w:line="300" w:lineRule="exact"/>
        <w:jc w:val="left"/>
        <w:rPr>
          <w:rFonts w:ascii="宋体" w:hAnsi="宋体"/>
          <w:kern w:val="44"/>
        </w:rPr>
      </w:pPr>
    </w:p>
    <w:p w14:paraId="0042C679">
      <w:pPr>
        <w:ind w:firstLine="422"/>
        <w:jc w:val="left"/>
        <w:rPr>
          <w:rFonts w:ascii="宋体" w:hAnsi="宋体"/>
          <w:kern w:val="44"/>
        </w:rPr>
      </w:pPr>
      <w:r>
        <w:rPr>
          <w:rFonts w:hint="eastAsia" w:ascii="宋体" w:hAnsi="宋体"/>
          <w:b/>
          <w:kern w:val="44"/>
        </w:rPr>
        <w:t>第十八条</w:t>
      </w:r>
      <w:r>
        <w:rPr>
          <w:rFonts w:hint="eastAsia" w:ascii="宋体" w:hAnsi="宋体"/>
          <w:kern w:val="44"/>
        </w:rPr>
        <w:t>　选举居民委员会，应当召开选举大会。选举大会应当当场推选监票人、唱票人、计票人，负责核对票数和投票人数、监票、唱票、计票。</w:t>
      </w:r>
    </w:p>
    <w:p w14:paraId="6C16450E">
      <w:pPr>
        <w:jc w:val="left"/>
        <w:rPr>
          <w:rFonts w:ascii="宋体" w:hAnsi="宋体"/>
          <w:kern w:val="44"/>
        </w:rPr>
      </w:pPr>
      <w:r>
        <w:rPr>
          <w:rFonts w:hint="eastAsia" w:ascii="宋体" w:hAnsi="宋体"/>
          <w:kern w:val="44"/>
        </w:rPr>
        <w:t>居民委员会成员正式候选人不得担任监票、唱票、计票等工作。</w:t>
      </w:r>
    </w:p>
    <w:p w14:paraId="649A1EDD">
      <w:pPr>
        <w:ind w:firstLine="422"/>
        <w:jc w:val="left"/>
        <w:rPr>
          <w:rFonts w:ascii="宋体" w:hAnsi="宋体"/>
          <w:kern w:val="44"/>
        </w:rPr>
      </w:pPr>
      <w:r>
        <w:rPr>
          <w:rFonts w:hint="eastAsia" w:ascii="宋体" w:hAnsi="宋体"/>
          <w:b/>
          <w:kern w:val="44"/>
        </w:rPr>
        <w:t>第十九条</w:t>
      </w:r>
      <w:r>
        <w:rPr>
          <w:rFonts w:hint="eastAsia" w:ascii="宋体" w:hAnsi="宋体"/>
          <w:kern w:val="44"/>
        </w:rPr>
        <w:t>　居民选举委员会应当根据选民居住状况和便于组织选举的原则，设立中心投票会场。对不便到会场投票的，可以设若干投票站和流动投票箱。每个投票站或者流动票箱必须有2名以上监票人员负责。</w:t>
      </w:r>
    </w:p>
    <w:p w14:paraId="57272EBE">
      <w:pPr>
        <w:jc w:val="left"/>
        <w:rPr>
          <w:rFonts w:ascii="宋体" w:hAnsi="宋体"/>
          <w:kern w:val="44"/>
        </w:rPr>
      </w:pPr>
      <w:r>
        <w:rPr>
          <w:rFonts w:hint="eastAsia" w:ascii="宋体" w:hAnsi="宋体"/>
          <w:kern w:val="44"/>
        </w:rPr>
        <w:t>投票前，居民选举委员会应当介绍选举办法，提出具体要求。</w:t>
      </w:r>
    </w:p>
    <w:p w14:paraId="7B948136">
      <w:pPr>
        <w:ind w:firstLine="422"/>
        <w:jc w:val="left"/>
        <w:rPr>
          <w:rFonts w:ascii="宋体" w:hAnsi="宋体"/>
          <w:kern w:val="44"/>
        </w:rPr>
      </w:pPr>
      <w:r>
        <w:rPr>
          <w:rFonts w:hint="eastAsia" w:ascii="宋体" w:hAnsi="宋体"/>
          <w:b/>
          <w:kern w:val="44"/>
        </w:rPr>
        <w:t>第二十条</w:t>
      </w:r>
      <w:r>
        <w:rPr>
          <w:rFonts w:hint="eastAsia" w:ascii="宋体" w:hAnsi="宋体"/>
          <w:kern w:val="44"/>
        </w:rPr>
        <w:t>　在选举日不能参加投票的选民可以书面委托其他选民代为投票。每一选民接受委托投票不得超过3人。</w:t>
      </w:r>
    </w:p>
    <w:p w14:paraId="6FE8C9E9">
      <w:pPr>
        <w:jc w:val="left"/>
        <w:rPr>
          <w:rFonts w:ascii="宋体" w:hAnsi="宋体"/>
          <w:kern w:val="44"/>
        </w:rPr>
      </w:pPr>
      <w:r>
        <w:rPr>
          <w:rFonts w:hint="eastAsia" w:ascii="宋体" w:hAnsi="宋体"/>
          <w:kern w:val="44"/>
        </w:rPr>
        <w:t>选民自己不能填写选票的，可以委托除正式候选人以外自己信任的人代写，代写人不得违背委托人的意志。</w:t>
      </w:r>
    </w:p>
    <w:p w14:paraId="0EA31F23">
      <w:pPr>
        <w:ind w:firstLine="422"/>
        <w:jc w:val="left"/>
        <w:rPr>
          <w:rFonts w:ascii="宋体" w:hAnsi="宋体"/>
          <w:kern w:val="44"/>
        </w:rPr>
      </w:pPr>
      <w:r>
        <w:rPr>
          <w:rFonts w:hint="eastAsia" w:ascii="宋体" w:hAnsi="宋体"/>
          <w:b/>
          <w:kern w:val="44"/>
        </w:rPr>
        <w:t>第二十一条</w:t>
      </w:r>
      <w:r>
        <w:rPr>
          <w:rFonts w:hint="eastAsia" w:ascii="宋体" w:hAnsi="宋体"/>
          <w:kern w:val="44"/>
        </w:rPr>
        <w:t>　选举居民委员会成员可以按职务分次投票选举，也可以一次性投票选举，具体投票方式由居民选举委员会确定。</w:t>
      </w:r>
    </w:p>
    <w:p w14:paraId="505CAB17">
      <w:pPr>
        <w:jc w:val="left"/>
        <w:rPr>
          <w:rFonts w:ascii="宋体" w:hAnsi="宋体"/>
          <w:kern w:val="44"/>
        </w:rPr>
      </w:pPr>
      <w:r>
        <w:rPr>
          <w:rFonts w:hint="eastAsia" w:ascii="宋体" w:hAnsi="宋体"/>
          <w:kern w:val="44"/>
        </w:rPr>
        <w:t>主任、副主任不得由当选的委员推选产生。</w:t>
      </w:r>
    </w:p>
    <w:p w14:paraId="176C2596">
      <w:pPr>
        <w:ind w:firstLine="422"/>
        <w:jc w:val="left"/>
        <w:rPr>
          <w:rFonts w:ascii="宋体" w:hAnsi="宋体"/>
          <w:kern w:val="44"/>
        </w:rPr>
      </w:pPr>
      <w:r>
        <w:rPr>
          <w:rFonts w:hint="eastAsia" w:ascii="宋体" w:hAnsi="宋体"/>
          <w:b/>
          <w:kern w:val="44"/>
        </w:rPr>
        <w:t>第二十二条</w:t>
      </w:r>
      <w:r>
        <w:rPr>
          <w:rFonts w:hint="eastAsia" w:ascii="宋体" w:hAnsi="宋体"/>
          <w:kern w:val="44"/>
        </w:rPr>
        <w:t>　选举采取无记名投票的方式进行。</w:t>
      </w:r>
    </w:p>
    <w:p w14:paraId="37C80508">
      <w:pPr>
        <w:jc w:val="left"/>
        <w:rPr>
          <w:rFonts w:ascii="宋体" w:hAnsi="宋体"/>
          <w:kern w:val="44"/>
        </w:rPr>
      </w:pPr>
      <w:r>
        <w:rPr>
          <w:rFonts w:hint="eastAsia" w:ascii="宋体" w:hAnsi="宋体"/>
          <w:kern w:val="44"/>
        </w:rPr>
        <w:t>每一选民在一次选举中只有一个投票权。选民对候选人可以投赞成票或者投反对票，也可以另选其他选民或者弃权。</w:t>
      </w:r>
    </w:p>
    <w:p w14:paraId="590AE0BE">
      <w:pPr>
        <w:ind w:firstLine="422"/>
        <w:jc w:val="left"/>
        <w:rPr>
          <w:rFonts w:ascii="宋体" w:hAnsi="宋体"/>
          <w:kern w:val="44"/>
        </w:rPr>
      </w:pPr>
      <w:r>
        <w:rPr>
          <w:rFonts w:hint="eastAsia" w:ascii="宋体" w:hAnsi="宋体"/>
          <w:b/>
          <w:kern w:val="44"/>
        </w:rPr>
        <w:t>第二十三条</w:t>
      </w:r>
      <w:r>
        <w:rPr>
          <w:rFonts w:hint="eastAsia" w:ascii="宋体" w:hAnsi="宋体"/>
          <w:kern w:val="44"/>
        </w:rPr>
        <w:t>　投票结束后，选举委员会工作人员将所有票箱集中到中心会场当众开箱，公开唱票、计票，当场公布选举结果，并当众封存选票。</w:t>
      </w:r>
    </w:p>
    <w:p w14:paraId="31164ACC">
      <w:pPr>
        <w:jc w:val="left"/>
        <w:rPr>
          <w:rFonts w:ascii="宋体" w:hAnsi="宋体"/>
          <w:kern w:val="44"/>
        </w:rPr>
      </w:pPr>
      <w:r>
        <w:rPr>
          <w:rFonts w:hint="eastAsia" w:ascii="宋体" w:hAnsi="宋体"/>
          <w:kern w:val="44"/>
        </w:rPr>
        <w:t xml:space="preserve">每次选举所得的票数等于或者少于投票人数的，选举有效；多于投票人数的，选举无效。选票无法确认的，经居民选举委员会认定，作废票处理。废票计入选票总数。 </w:t>
      </w:r>
    </w:p>
    <w:p w14:paraId="4BE30BA5">
      <w:pPr>
        <w:ind w:firstLine="422"/>
        <w:jc w:val="left"/>
        <w:rPr>
          <w:rFonts w:ascii="宋体" w:hAnsi="宋体"/>
          <w:kern w:val="44"/>
        </w:rPr>
      </w:pPr>
      <w:r>
        <w:rPr>
          <w:rFonts w:hint="eastAsia" w:ascii="宋体" w:hAnsi="宋体"/>
          <w:b/>
          <w:kern w:val="44"/>
        </w:rPr>
        <w:t>第二十四条</w:t>
      </w:r>
      <w:r>
        <w:rPr>
          <w:rFonts w:hint="eastAsia" w:ascii="宋体" w:hAnsi="宋体"/>
          <w:kern w:val="44"/>
        </w:rPr>
        <w:t>　过半数的选民参加投票，选举有效；候选人获得参加投票的选民过半数的选票，始得当选。</w:t>
      </w:r>
    </w:p>
    <w:p w14:paraId="0F64A3A0">
      <w:pPr>
        <w:jc w:val="left"/>
        <w:rPr>
          <w:rFonts w:ascii="宋体" w:hAnsi="宋体"/>
          <w:kern w:val="44"/>
        </w:rPr>
      </w:pPr>
      <w:r>
        <w:rPr>
          <w:rFonts w:hint="eastAsia" w:ascii="宋体" w:hAnsi="宋体"/>
          <w:kern w:val="44"/>
        </w:rPr>
        <w:t>获得过半数选票的候选人数超过该职位的应选名额时，以得票多者当选。如果票数相等不能确定当选人时，应当就票数相等的候选人再次投票，以得票多者当选。</w:t>
      </w:r>
    </w:p>
    <w:p w14:paraId="75E75B1B">
      <w:pPr>
        <w:jc w:val="left"/>
        <w:rPr>
          <w:rFonts w:ascii="宋体" w:hAnsi="宋体"/>
          <w:kern w:val="44"/>
        </w:rPr>
      </w:pPr>
      <w:r>
        <w:rPr>
          <w:rFonts w:hint="eastAsia" w:ascii="宋体" w:hAnsi="宋体"/>
          <w:kern w:val="44"/>
        </w:rPr>
        <w:t>当选人数不足5人，不能组成新一届居民委员会的，应当在10日内就不足的名额另行选举。</w:t>
      </w:r>
    </w:p>
    <w:p w14:paraId="6D1A5EFD">
      <w:pPr>
        <w:jc w:val="left"/>
        <w:rPr>
          <w:rFonts w:ascii="宋体" w:hAnsi="宋体"/>
          <w:kern w:val="44"/>
        </w:rPr>
      </w:pPr>
      <w:r>
        <w:rPr>
          <w:rFonts w:hint="eastAsia" w:ascii="宋体" w:hAnsi="宋体"/>
          <w:kern w:val="44"/>
        </w:rPr>
        <w:t>另行选举时，根据第一次投票时得票多少的顺序，按照本办法第十六条规定的差额数，确定候选人名单。候选人以得票多者当选，但得票数不得少于选票总数的三分之一。</w:t>
      </w:r>
    </w:p>
    <w:p w14:paraId="4FC54E71">
      <w:pPr>
        <w:ind w:firstLine="422"/>
        <w:jc w:val="left"/>
        <w:rPr>
          <w:rFonts w:ascii="宋体" w:hAnsi="宋体"/>
          <w:kern w:val="44"/>
        </w:rPr>
      </w:pPr>
      <w:r>
        <w:rPr>
          <w:rFonts w:hint="eastAsia" w:ascii="宋体" w:hAnsi="宋体"/>
          <w:b/>
          <w:kern w:val="44"/>
        </w:rPr>
        <w:t>第二十五条</w:t>
      </w:r>
      <w:r>
        <w:rPr>
          <w:rFonts w:hint="eastAsia" w:ascii="宋体" w:hAnsi="宋体"/>
          <w:kern w:val="44"/>
        </w:rPr>
        <w:t>　需要重新选举的，应当在1个月内依照本办法规定的程序和方法进行选举。</w:t>
      </w:r>
    </w:p>
    <w:p w14:paraId="42153F6C">
      <w:pPr>
        <w:ind w:firstLine="422"/>
        <w:jc w:val="left"/>
        <w:rPr>
          <w:rFonts w:ascii="宋体" w:hAnsi="宋体"/>
          <w:kern w:val="44"/>
        </w:rPr>
      </w:pPr>
      <w:r>
        <w:rPr>
          <w:rFonts w:hint="eastAsia" w:ascii="宋体" w:hAnsi="宋体"/>
          <w:b/>
          <w:kern w:val="44"/>
        </w:rPr>
        <w:t>第二十六条</w:t>
      </w:r>
      <w:r>
        <w:rPr>
          <w:rFonts w:hint="eastAsia" w:ascii="宋体" w:hAnsi="宋体"/>
          <w:kern w:val="44"/>
        </w:rPr>
        <w:t>　居民委员会的选举结果由居民选举委员会公布后，报所在街道（地区）办事处、乡（镇）人民政府备案。</w:t>
      </w:r>
    </w:p>
    <w:p w14:paraId="0CF2E80F">
      <w:pPr>
        <w:jc w:val="left"/>
        <w:rPr>
          <w:rFonts w:ascii="宋体" w:hAnsi="宋体"/>
          <w:kern w:val="44"/>
        </w:rPr>
      </w:pPr>
    </w:p>
    <w:p w14:paraId="48D76B80">
      <w:pPr>
        <w:ind w:firstLine="0" w:firstLineChars="0"/>
        <w:jc w:val="center"/>
        <w:rPr>
          <w:rFonts w:ascii="宋体" w:hAnsi="宋体"/>
          <w:b/>
          <w:kern w:val="44"/>
          <w:sz w:val="28"/>
        </w:rPr>
      </w:pPr>
      <w:r>
        <w:rPr>
          <w:rFonts w:hint="eastAsia" w:ascii="宋体" w:hAnsi="宋体"/>
          <w:b/>
          <w:kern w:val="44"/>
          <w:sz w:val="28"/>
        </w:rPr>
        <w:t>第六章  罢免、辞职和补选</w:t>
      </w:r>
    </w:p>
    <w:p w14:paraId="17D19EC6">
      <w:pPr>
        <w:ind w:firstLine="0" w:firstLineChars="0"/>
        <w:jc w:val="center"/>
        <w:rPr>
          <w:rFonts w:ascii="宋体" w:hAnsi="宋体"/>
          <w:kern w:val="44"/>
          <w:sz w:val="28"/>
        </w:rPr>
      </w:pPr>
    </w:p>
    <w:p w14:paraId="4E93E1A8">
      <w:pPr>
        <w:ind w:firstLine="422"/>
        <w:jc w:val="left"/>
        <w:rPr>
          <w:rFonts w:ascii="宋体" w:hAnsi="宋体"/>
          <w:kern w:val="44"/>
        </w:rPr>
      </w:pPr>
      <w:r>
        <w:rPr>
          <w:rFonts w:hint="eastAsia" w:ascii="宋体" w:hAnsi="宋体"/>
          <w:b/>
          <w:kern w:val="44"/>
        </w:rPr>
        <w:t>第二十七条</w:t>
      </w:r>
      <w:r>
        <w:rPr>
          <w:rFonts w:hint="eastAsia" w:ascii="宋体" w:hAnsi="宋体"/>
          <w:kern w:val="44"/>
        </w:rPr>
        <w:t>　居民委员会成员受居民监督。居民对违法或者严重失职的居民委员会成员，有权检举或者提出罢免意见。</w:t>
      </w:r>
    </w:p>
    <w:p w14:paraId="5DEA4571">
      <w:pPr>
        <w:ind w:firstLine="422"/>
        <w:jc w:val="left"/>
        <w:rPr>
          <w:rFonts w:ascii="宋体" w:hAnsi="宋体"/>
          <w:kern w:val="44"/>
        </w:rPr>
      </w:pPr>
      <w:r>
        <w:rPr>
          <w:rFonts w:hint="eastAsia" w:ascii="宋体" w:hAnsi="宋体"/>
          <w:b/>
          <w:kern w:val="44"/>
        </w:rPr>
        <w:t>第二十八条</w:t>
      </w:r>
      <w:r>
        <w:rPr>
          <w:rFonts w:hint="eastAsia" w:ascii="宋体" w:hAnsi="宋体"/>
          <w:kern w:val="44"/>
        </w:rPr>
        <w:t>　有10名以上居民代表或者十分之一的户代表联名，可以要求罢免居民委员会成员。罢免要求应当以书面形式向居民委员会和所在街道（地区）办事处、乡（镇）人民政府提出，并写明罢免理由。居民委员会应当及时召开居民会议，进行投票表决。必要时，街道（地区）办事处、乡（镇）人民政府可以召集居民会议，进行投票表决。</w:t>
      </w:r>
    </w:p>
    <w:p w14:paraId="16DDCC6F">
      <w:pPr>
        <w:ind w:firstLine="422"/>
        <w:jc w:val="left"/>
        <w:rPr>
          <w:rFonts w:ascii="宋体" w:hAnsi="宋体"/>
          <w:kern w:val="44"/>
        </w:rPr>
      </w:pPr>
      <w:r>
        <w:rPr>
          <w:rFonts w:hint="eastAsia" w:ascii="宋体" w:hAnsi="宋体"/>
          <w:b/>
          <w:kern w:val="44"/>
        </w:rPr>
        <w:t>第二十九条</w:t>
      </w:r>
      <w:r>
        <w:rPr>
          <w:rFonts w:hint="eastAsia" w:ascii="宋体" w:hAnsi="宋体"/>
          <w:kern w:val="44"/>
        </w:rPr>
        <w:t>　居民会议在讨论罢免建议时，提出罢免建议者应当到会回答问题。被要求罢免的人有权出席会议并申诉意见。</w:t>
      </w:r>
    </w:p>
    <w:p w14:paraId="06850207">
      <w:pPr>
        <w:ind w:firstLine="422"/>
        <w:jc w:val="left"/>
        <w:rPr>
          <w:rFonts w:ascii="宋体" w:hAnsi="宋体"/>
          <w:kern w:val="44"/>
        </w:rPr>
      </w:pPr>
      <w:r>
        <w:rPr>
          <w:rFonts w:hint="eastAsia" w:ascii="宋体" w:hAnsi="宋体"/>
          <w:b/>
          <w:kern w:val="44"/>
        </w:rPr>
        <w:t>第三十条</w:t>
      </w:r>
      <w:r>
        <w:rPr>
          <w:rFonts w:hint="eastAsia" w:ascii="宋体" w:hAnsi="宋体"/>
          <w:kern w:val="44"/>
        </w:rPr>
        <w:t>　居民委员会成员要求辞去职务的，应当书面向居民委员会提出，经居民会议确认。</w:t>
      </w:r>
    </w:p>
    <w:p w14:paraId="3F538BE5">
      <w:pPr>
        <w:ind w:firstLine="422"/>
        <w:jc w:val="left"/>
        <w:rPr>
          <w:rFonts w:ascii="宋体" w:hAnsi="宋体"/>
          <w:kern w:val="44"/>
        </w:rPr>
      </w:pPr>
      <w:r>
        <w:rPr>
          <w:rFonts w:hint="eastAsia" w:ascii="宋体" w:hAnsi="宋体"/>
          <w:b/>
          <w:kern w:val="44"/>
        </w:rPr>
        <w:t>第三十一条</w:t>
      </w:r>
      <w:r>
        <w:rPr>
          <w:rFonts w:hint="eastAsia" w:ascii="宋体" w:hAnsi="宋体"/>
          <w:kern w:val="44"/>
        </w:rPr>
        <w:t>　居民委员会成员出现缺额时，居民委员会可以提请居民会议补选，并报所在街道（地区）办事处、乡（镇）人民政府备案。</w:t>
      </w:r>
    </w:p>
    <w:p w14:paraId="3F8F3501">
      <w:pPr>
        <w:jc w:val="left"/>
        <w:rPr>
          <w:rFonts w:ascii="宋体" w:hAnsi="宋体"/>
          <w:kern w:val="44"/>
        </w:rPr>
      </w:pPr>
      <w:r>
        <w:rPr>
          <w:rFonts w:hint="eastAsia" w:ascii="宋体" w:hAnsi="宋体"/>
          <w:kern w:val="44"/>
        </w:rPr>
        <w:t>补选的居民委员会成员任期到本届居民委员会任期届满为止。</w:t>
      </w:r>
    </w:p>
    <w:p w14:paraId="237DC9F7">
      <w:pPr>
        <w:jc w:val="left"/>
        <w:rPr>
          <w:rFonts w:ascii="宋体" w:hAnsi="宋体"/>
          <w:kern w:val="44"/>
        </w:rPr>
      </w:pPr>
    </w:p>
    <w:p w14:paraId="01BC72B9">
      <w:pPr>
        <w:ind w:firstLine="0" w:firstLineChars="0"/>
        <w:jc w:val="center"/>
        <w:rPr>
          <w:rFonts w:ascii="宋体" w:hAnsi="宋体"/>
          <w:b/>
          <w:kern w:val="44"/>
          <w:sz w:val="28"/>
        </w:rPr>
      </w:pPr>
      <w:r>
        <w:rPr>
          <w:rFonts w:hint="eastAsia" w:ascii="宋体" w:hAnsi="宋体"/>
          <w:b/>
          <w:kern w:val="44"/>
          <w:sz w:val="28"/>
        </w:rPr>
        <w:t>第七章  法律责任</w:t>
      </w:r>
    </w:p>
    <w:p w14:paraId="4D0EDD82">
      <w:pPr>
        <w:jc w:val="left"/>
        <w:rPr>
          <w:rFonts w:ascii="宋体" w:hAnsi="宋体"/>
          <w:kern w:val="44"/>
        </w:rPr>
      </w:pPr>
    </w:p>
    <w:p w14:paraId="1F8F6641">
      <w:pPr>
        <w:ind w:firstLine="422"/>
        <w:jc w:val="left"/>
        <w:rPr>
          <w:rFonts w:ascii="宋体" w:hAnsi="宋体"/>
          <w:kern w:val="44"/>
        </w:rPr>
      </w:pPr>
      <w:r>
        <w:rPr>
          <w:rFonts w:hint="eastAsia" w:ascii="宋体" w:hAnsi="宋体"/>
          <w:b/>
          <w:kern w:val="44"/>
        </w:rPr>
        <w:t>第三十二条</w:t>
      </w:r>
      <w:r>
        <w:rPr>
          <w:rFonts w:hint="eastAsia" w:ascii="宋体" w:hAnsi="宋体"/>
          <w:kern w:val="44"/>
        </w:rPr>
        <w:t>　违反本办法者，由乡（镇）人民政府或者街道（地区）办事处予以纠正；直接责任人为行政机关工作人员的，由所在单位或者行政监察机关给予行政处分。</w:t>
      </w:r>
    </w:p>
    <w:p w14:paraId="7F908E63">
      <w:pPr>
        <w:ind w:firstLine="422"/>
        <w:jc w:val="left"/>
        <w:rPr>
          <w:rFonts w:ascii="宋体" w:hAnsi="宋体"/>
          <w:kern w:val="44"/>
        </w:rPr>
      </w:pPr>
      <w:r>
        <w:rPr>
          <w:rFonts w:hint="eastAsia" w:ascii="宋体" w:hAnsi="宋体"/>
          <w:b/>
          <w:kern w:val="44"/>
        </w:rPr>
        <w:t>第三十三条</w:t>
      </w:r>
      <w:r>
        <w:rPr>
          <w:rFonts w:hint="eastAsia" w:ascii="宋体" w:hAnsi="宋体"/>
          <w:kern w:val="44"/>
        </w:rPr>
        <w:t>　在选举中，违反治安管理规定或者构成犯罪的，由公安机关或者司法机关依法处理。</w:t>
      </w:r>
    </w:p>
    <w:p w14:paraId="08741D35">
      <w:pPr>
        <w:ind w:firstLine="422"/>
        <w:jc w:val="left"/>
        <w:rPr>
          <w:rFonts w:ascii="宋体" w:hAnsi="宋体"/>
          <w:kern w:val="44"/>
        </w:rPr>
      </w:pPr>
      <w:r>
        <w:rPr>
          <w:rFonts w:hint="eastAsia" w:ascii="宋体" w:hAnsi="宋体"/>
          <w:b/>
          <w:kern w:val="44"/>
        </w:rPr>
        <w:t>第三十四条</w:t>
      </w:r>
      <w:r>
        <w:rPr>
          <w:rFonts w:hint="eastAsia" w:ascii="宋体" w:hAnsi="宋体"/>
          <w:kern w:val="44"/>
        </w:rPr>
        <w:t>　对违反本办法的行为，居民有权向区、县、乡（镇）人民政府或者街道（地区）办事处举报，区、县、乡（镇）人民政府或者街道（地区）办事处必须在接到举报之日起30日内给予处理。</w:t>
      </w:r>
    </w:p>
    <w:p w14:paraId="154CA232">
      <w:pPr>
        <w:jc w:val="left"/>
        <w:rPr>
          <w:rFonts w:ascii="宋体" w:hAnsi="宋体"/>
          <w:kern w:val="44"/>
        </w:rPr>
      </w:pPr>
    </w:p>
    <w:p w14:paraId="6EBB7B42">
      <w:pPr>
        <w:ind w:firstLine="0" w:firstLineChars="0"/>
        <w:jc w:val="center"/>
        <w:rPr>
          <w:rFonts w:ascii="宋体" w:hAnsi="宋体"/>
          <w:b/>
          <w:kern w:val="44"/>
          <w:sz w:val="28"/>
        </w:rPr>
      </w:pPr>
      <w:r>
        <w:rPr>
          <w:rFonts w:hint="eastAsia" w:ascii="宋体" w:hAnsi="宋体"/>
          <w:b/>
          <w:kern w:val="44"/>
          <w:sz w:val="28"/>
        </w:rPr>
        <w:t>第八章  附　则</w:t>
      </w:r>
    </w:p>
    <w:p w14:paraId="70931ADB">
      <w:pPr>
        <w:jc w:val="left"/>
        <w:rPr>
          <w:rFonts w:ascii="宋体" w:hAnsi="宋体"/>
          <w:kern w:val="44"/>
        </w:rPr>
      </w:pPr>
    </w:p>
    <w:p w14:paraId="6E8618AE">
      <w:pPr>
        <w:ind w:firstLine="422"/>
        <w:jc w:val="left"/>
        <w:rPr>
          <w:rFonts w:ascii="宋体" w:hAnsi="宋体"/>
          <w:kern w:val="44"/>
        </w:rPr>
      </w:pPr>
      <w:r>
        <w:rPr>
          <w:rFonts w:hint="eastAsia" w:ascii="宋体" w:hAnsi="宋体"/>
          <w:b/>
          <w:kern w:val="44"/>
        </w:rPr>
        <w:t>第三十五条</w:t>
      </w:r>
      <w:r>
        <w:rPr>
          <w:rFonts w:hint="eastAsia" w:ascii="宋体" w:hAnsi="宋体"/>
          <w:kern w:val="44"/>
        </w:rPr>
        <w:t>　本办法自2000年6月1日起施行。</w:t>
      </w:r>
    </w:p>
    <w:p w14:paraId="2605C6FF">
      <w:pPr>
        <w:jc w:val="left"/>
        <w:rPr>
          <w:rFonts w:ascii="宋体" w:hAnsi="宋体"/>
          <w:kern w:val="44"/>
        </w:rPr>
      </w:pPr>
    </w:p>
    <w:p w14:paraId="6516BE2E">
      <w:pPr>
        <w:pStyle w:val="3"/>
        <w:pageBreakBefore/>
        <w:rPr>
          <w:kern w:val="44"/>
        </w:rPr>
      </w:pPr>
      <w:bookmarkStart w:id="189" w:name="_Toc422471081"/>
      <w:bookmarkStart w:id="190" w:name="_Toc428781449"/>
      <w:bookmarkStart w:id="191" w:name="_Toc427651401"/>
      <w:bookmarkStart w:id="192" w:name="_Toc427651743"/>
      <w:bookmarkStart w:id="193" w:name="_Toc428779967"/>
      <w:r>
        <w:rPr>
          <w:rFonts w:hint="eastAsia"/>
          <w:kern w:val="44"/>
        </w:rPr>
        <w:t>（四）立法制度</w:t>
      </w:r>
      <w:bookmarkEnd w:id="189"/>
      <w:bookmarkEnd w:id="190"/>
      <w:bookmarkEnd w:id="191"/>
      <w:bookmarkEnd w:id="192"/>
      <w:bookmarkEnd w:id="193"/>
    </w:p>
    <w:p w14:paraId="179A6E61"/>
    <w:p w14:paraId="445FC4D1">
      <w:pPr>
        <w:pStyle w:val="4"/>
        <w:rPr>
          <w:kern w:val="44"/>
        </w:rPr>
      </w:pPr>
      <w:bookmarkStart w:id="194" w:name="_Toc422471082"/>
      <w:bookmarkStart w:id="195" w:name="_Toc427651744"/>
      <w:bookmarkStart w:id="196" w:name="_Toc427651402"/>
      <w:bookmarkStart w:id="197" w:name="_Toc428781450"/>
      <w:bookmarkStart w:id="198" w:name="_Toc428779968"/>
      <w:r>
        <w:rPr>
          <w:rFonts w:hint="eastAsia"/>
          <w:kern w:val="44"/>
        </w:rPr>
        <w:t>关于议案的若干暂行规定</w:t>
      </w:r>
      <w:bookmarkEnd w:id="194"/>
      <w:bookmarkEnd w:id="195"/>
      <w:bookmarkEnd w:id="196"/>
      <w:bookmarkEnd w:id="197"/>
      <w:bookmarkEnd w:id="198"/>
    </w:p>
    <w:p w14:paraId="4F55CF56">
      <w:pPr>
        <w:ind w:left="630" w:leftChars="300" w:right="630" w:rightChars="300"/>
        <w:jc w:val="left"/>
        <w:rPr>
          <w:rFonts w:ascii="楷体" w:hAnsi="楷体" w:eastAsia="楷体"/>
          <w:kern w:val="44"/>
        </w:rPr>
      </w:pPr>
      <w:r>
        <w:rPr>
          <w:rFonts w:hint="eastAsia" w:ascii="楷体" w:hAnsi="楷体" w:eastAsia="楷体"/>
          <w:kern w:val="44"/>
        </w:rPr>
        <w:t>（1983年3月16日北京市第八届人民代表大会第一次会议通过  根据1987年2月25日北京市第八届人民代表大会常务委员会第三十五次会议《修改〈关于议案的若干暂行规定〉的决定》第一次修正　根据2010年12月23日北京市第十三届人民代表大会常务委员会第二十二次会议《关于修改部分地方性法规的决定》第二次修正 ）</w:t>
      </w:r>
    </w:p>
    <w:p w14:paraId="165445E6">
      <w:pPr>
        <w:ind w:left="630" w:leftChars="300" w:right="630" w:rightChars="300"/>
        <w:jc w:val="left"/>
        <w:rPr>
          <w:rFonts w:ascii="楷体" w:hAnsi="楷体" w:eastAsia="楷体"/>
          <w:kern w:val="44"/>
        </w:rPr>
      </w:pPr>
    </w:p>
    <w:p w14:paraId="212EF7D5">
      <w:pPr>
        <w:ind w:firstLine="422"/>
        <w:jc w:val="left"/>
        <w:rPr>
          <w:rFonts w:ascii="宋体" w:hAnsi="宋体"/>
          <w:kern w:val="44"/>
        </w:rPr>
      </w:pPr>
      <w:r>
        <w:rPr>
          <w:rFonts w:hint="eastAsia" w:ascii="宋体" w:hAnsi="宋体"/>
          <w:b/>
          <w:kern w:val="44"/>
        </w:rPr>
        <w:t>一、</w:t>
      </w:r>
      <w:r>
        <w:rPr>
          <w:rFonts w:hint="eastAsia" w:ascii="宋体" w:hAnsi="宋体"/>
          <w:kern w:val="44"/>
        </w:rPr>
        <w:t>北京市人民代表大会举行会议的时候，设立议案审查委员会，在市人民代表大会主席团领导下进行工作。议案审查委员会组成人员的人选，由市人民代表大会常务委员会在市人民代表大会代表中提名，市人民代表大会或大会预备会议通过。</w:t>
      </w:r>
    </w:p>
    <w:p w14:paraId="2CA1DFB6">
      <w:pPr>
        <w:ind w:firstLine="422"/>
        <w:jc w:val="left"/>
        <w:rPr>
          <w:rFonts w:ascii="宋体" w:hAnsi="宋体"/>
          <w:kern w:val="44"/>
        </w:rPr>
      </w:pPr>
      <w:r>
        <w:rPr>
          <w:rFonts w:hint="eastAsia" w:ascii="宋体" w:hAnsi="宋体"/>
          <w:b/>
          <w:kern w:val="44"/>
        </w:rPr>
        <w:t>二、</w:t>
      </w:r>
      <w:r>
        <w:rPr>
          <w:rFonts w:hint="eastAsia" w:ascii="宋体" w:hAnsi="宋体"/>
          <w:kern w:val="44"/>
        </w:rPr>
        <w:t>北京市人民代表大会主席团、北京市人民代表大会常务委员会、北京市人民代表大会专门委员会、北京市人民政府，可以向北京市人民代表大会提出属于市人民代表大会职权范围内的议案。在代表大会举行会议期间提出的议案，由主席团决定交大会审议，或者并交议案审查委员会审议、提出报告，再由主席团审议决定提交大会表决。</w:t>
      </w:r>
    </w:p>
    <w:p w14:paraId="501DA7B7">
      <w:pPr>
        <w:ind w:firstLine="422"/>
        <w:jc w:val="left"/>
        <w:rPr>
          <w:rFonts w:ascii="宋体" w:hAnsi="宋体"/>
          <w:kern w:val="44"/>
        </w:rPr>
      </w:pPr>
      <w:r>
        <w:rPr>
          <w:rFonts w:hint="eastAsia" w:ascii="宋体" w:hAnsi="宋体"/>
          <w:b/>
          <w:kern w:val="44"/>
        </w:rPr>
        <w:t>三、</w:t>
      </w:r>
      <w:r>
        <w:rPr>
          <w:rFonts w:hint="eastAsia" w:ascii="宋体" w:hAnsi="宋体"/>
          <w:kern w:val="44"/>
        </w:rPr>
        <w:t>一个代表团或者市人民代表大会代表10人以上联名，可以向北京市人民代表大会提出属于市人民代表大会职权范围内的议案，由主席团决定是否列入大会议程，或者先交议案审查委员会审议，提出是否列入大会议程的意见，再决定是否列入大会议程。</w:t>
      </w:r>
    </w:p>
    <w:p w14:paraId="027B4167">
      <w:pPr>
        <w:ind w:firstLine="422"/>
        <w:jc w:val="left"/>
        <w:rPr>
          <w:rFonts w:ascii="宋体" w:hAnsi="宋体"/>
          <w:kern w:val="44"/>
        </w:rPr>
      </w:pPr>
      <w:r>
        <w:rPr>
          <w:rFonts w:hint="eastAsia" w:ascii="宋体" w:hAnsi="宋体"/>
          <w:b/>
          <w:kern w:val="44"/>
        </w:rPr>
        <w:t>四、</w:t>
      </w:r>
      <w:r>
        <w:rPr>
          <w:rFonts w:hint="eastAsia" w:ascii="宋体" w:hAnsi="宋体"/>
          <w:kern w:val="44"/>
        </w:rPr>
        <w:t>北京市人民代表大会常务委员会主任会议可以向北京市人民代表大会常务委员会提出属于常务委员会职权范围内的议案，由常务委员会会议审议。</w:t>
      </w:r>
    </w:p>
    <w:p w14:paraId="5C33FF9C">
      <w:pPr>
        <w:jc w:val="left"/>
        <w:rPr>
          <w:rFonts w:ascii="宋体" w:hAnsi="宋体"/>
          <w:kern w:val="44"/>
        </w:rPr>
      </w:pPr>
      <w:r>
        <w:rPr>
          <w:rFonts w:hint="eastAsia" w:ascii="宋体" w:hAnsi="宋体"/>
          <w:kern w:val="44"/>
        </w:rPr>
        <w:t>北京市人民政府、北京市人民代表大会专门委员会，可以向北京市人民代表大会常务委员会提出属于常务委员会职权范围内的议案，由主任会议决定提请常务委员会会议审议。</w:t>
      </w:r>
    </w:p>
    <w:p w14:paraId="186E1DA7">
      <w:pPr>
        <w:ind w:firstLine="422"/>
        <w:jc w:val="left"/>
        <w:rPr>
          <w:rFonts w:ascii="宋体" w:hAnsi="宋体"/>
          <w:kern w:val="44"/>
        </w:rPr>
      </w:pPr>
      <w:r>
        <w:rPr>
          <w:rFonts w:hint="eastAsia" w:ascii="宋体" w:hAnsi="宋体"/>
          <w:b/>
          <w:kern w:val="44"/>
        </w:rPr>
        <w:t>五、</w:t>
      </w:r>
      <w:r>
        <w:rPr>
          <w:rFonts w:hint="eastAsia" w:ascii="宋体" w:hAnsi="宋体"/>
          <w:kern w:val="44"/>
        </w:rPr>
        <w:t>北京市人民代表大会常务委员会组成人员5人以上，可以向常务委员会提出属于常务委员会职权范围内的议案，由主任会议决定是否提请常务委员会会议审议。</w:t>
      </w:r>
    </w:p>
    <w:p w14:paraId="6E762D15">
      <w:pPr>
        <w:ind w:firstLine="422"/>
        <w:jc w:val="left"/>
        <w:rPr>
          <w:rFonts w:ascii="宋体" w:hAnsi="宋体"/>
          <w:kern w:val="44"/>
        </w:rPr>
      </w:pPr>
      <w:r>
        <w:rPr>
          <w:rFonts w:hint="eastAsia" w:ascii="宋体" w:hAnsi="宋体"/>
          <w:b/>
          <w:kern w:val="44"/>
        </w:rPr>
        <w:t>六、</w:t>
      </w:r>
      <w:r>
        <w:rPr>
          <w:rFonts w:hint="eastAsia" w:ascii="宋体" w:hAnsi="宋体"/>
          <w:kern w:val="44"/>
        </w:rPr>
        <w:t>向北京市人民代表大会或者市人民代表大会常务委员会提出的议案，在交付市人民代表大会或者常务委员会会议表决前，提案人要求撤回的，对该议案的审议即行终止。</w:t>
      </w:r>
    </w:p>
    <w:p w14:paraId="3244BC36">
      <w:pPr>
        <w:ind w:firstLine="422"/>
        <w:jc w:val="left"/>
        <w:rPr>
          <w:rFonts w:ascii="宋体" w:hAnsi="宋体"/>
          <w:kern w:val="44"/>
        </w:rPr>
      </w:pPr>
      <w:r>
        <w:rPr>
          <w:rFonts w:hint="eastAsia" w:ascii="宋体" w:hAnsi="宋体"/>
          <w:b/>
          <w:kern w:val="44"/>
        </w:rPr>
        <w:t>七、</w:t>
      </w:r>
      <w:r>
        <w:rPr>
          <w:rFonts w:hint="eastAsia" w:ascii="宋体" w:hAnsi="宋体"/>
          <w:kern w:val="44"/>
        </w:rPr>
        <w:t>北京市人民代表大会或者市人民代表大会常务委员会审议的议案，付表决时以全体代表或者常务委员会全体组成人员的过半数通过。</w:t>
      </w:r>
    </w:p>
    <w:p w14:paraId="4180A973">
      <w:pPr>
        <w:ind w:firstLine="422"/>
        <w:jc w:val="left"/>
        <w:rPr>
          <w:rFonts w:ascii="宋体" w:hAnsi="宋体"/>
          <w:kern w:val="44"/>
        </w:rPr>
      </w:pPr>
      <w:r>
        <w:rPr>
          <w:rFonts w:hint="eastAsia" w:ascii="宋体" w:hAnsi="宋体"/>
          <w:b/>
          <w:kern w:val="44"/>
        </w:rPr>
        <w:t>八、</w:t>
      </w:r>
      <w:r>
        <w:rPr>
          <w:rFonts w:hint="eastAsia" w:ascii="宋体" w:hAnsi="宋体"/>
          <w:kern w:val="44"/>
        </w:rPr>
        <w:t>北京市人民代表大会代表向市人民代表大会或者市人民代表大会常务委员会提出的对各方面工作的建议、批评和意见，由市人民代表大会常务委员会办事机构分别交由市人民政府、市高级人民法院、市人民检察院及其他有关机关、组织认真研究办理。</w:t>
      </w:r>
    </w:p>
    <w:p w14:paraId="1EC8A88B">
      <w:pPr>
        <w:jc w:val="left"/>
        <w:rPr>
          <w:rFonts w:ascii="宋体" w:hAnsi="宋体"/>
          <w:kern w:val="44"/>
        </w:rPr>
      </w:pPr>
      <w:r>
        <w:rPr>
          <w:rFonts w:hint="eastAsia" w:ascii="宋体" w:hAnsi="宋体"/>
          <w:kern w:val="44"/>
        </w:rPr>
        <w:t>承办单位应当自代表建议、批评和意见交办之日起三个月内办理完毕并答复代表；问题复杂的，经交办机关同意，至迟不得超过六个月予以答复。</w:t>
      </w:r>
    </w:p>
    <w:p w14:paraId="26007141">
      <w:pPr>
        <w:jc w:val="left"/>
        <w:rPr>
          <w:rFonts w:ascii="宋体" w:hAnsi="宋体"/>
          <w:kern w:val="44"/>
        </w:rPr>
      </w:pPr>
      <w:r>
        <w:rPr>
          <w:rFonts w:hint="eastAsia" w:ascii="宋体" w:hAnsi="宋体"/>
          <w:kern w:val="44"/>
        </w:rPr>
        <w:t>在市人民代表大会下一次会议前，市人民代表大会常务委员会听取并审议市人民政府、市高级人民法院、市人民检察院和市人民代表大会常务委员会代表联络工作部门关于代表建议、批评和意见办理情况的报告。</w:t>
      </w:r>
    </w:p>
    <w:p w14:paraId="307E3EE3">
      <w:pPr>
        <w:pStyle w:val="4"/>
        <w:pageBreakBefore/>
        <w:spacing w:before="260" w:after="260"/>
        <w:rPr>
          <w:kern w:val="44"/>
        </w:rPr>
      </w:pPr>
      <w:bookmarkStart w:id="199" w:name="_Toc422471083"/>
      <w:bookmarkStart w:id="200" w:name="_Toc428781451"/>
      <w:bookmarkStart w:id="201" w:name="_Toc428779969"/>
      <w:bookmarkStart w:id="202" w:name="_Toc427651403"/>
      <w:bookmarkStart w:id="203" w:name="_Toc427651745"/>
      <w:r>
        <w:rPr>
          <w:rFonts w:hint="eastAsia"/>
          <w:kern w:val="44"/>
        </w:rPr>
        <w:t>北京市制定地方性法规条例</w:t>
      </w:r>
      <w:bookmarkEnd w:id="199"/>
      <w:bookmarkEnd w:id="200"/>
      <w:bookmarkEnd w:id="201"/>
      <w:bookmarkEnd w:id="202"/>
      <w:bookmarkEnd w:id="203"/>
    </w:p>
    <w:p w14:paraId="2EDDB4C2">
      <w:pPr>
        <w:ind w:left="630" w:leftChars="300" w:right="630" w:rightChars="300"/>
        <w:jc w:val="left"/>
        <w:rPr>
          <w:rFonts w:ascii="楷体" w:hAnsi="楷体" w:eastAsia="楷体"/>
          <w:kern w:val="44"/>
        </w:rPr>
      </w:pPr>
      <w:r>
        <w:rPr>
          <w:rFonts w:hint="eastAsia" w:ascii="楷体" w:hAnsi="楷体" w:eastAsia="楷体"/>
          <w:kern w:val="44"/>
        </w:rPr>
        <w:t>（2001年2月10日北京市第十一届人民代表大会第四次会议通过　根据2003年4月18日北京市第十二届人民代表大会常务委员会第二次会议通过的《北京市制定地方性法规条例修正案》修订）</w:t>
      </w:r>
    </w:p>
    <w:p w14:paraId="2B180760">
      <w:pPr>
        <w:ind w:left="630" w:leftChars="300" w:right="630" w:rightChars="300"/>
        <w:jc w:val="left"/>
        <w:rPr>
          <w:rFonts w:ascii="楷体" w:hAnsi="楷体" w:eastAsia="楷体"/>
          <w:kern w:val="44"/>
        </w:rPr>
      </w:pPr>
    </w:p>
    <w:p w14:paraId="3F747C51">
      <w:pPr>
        <w:ind w:firstLine="0" w:firstLineChars="0"/>
        <w:jc w:val="center"/>
        <w:rPr>
          <w:rFonts w:ascii="宋体" w:hAnsi="宋体"/>
          <w:b/>
          <w:kern w:val="44"/>
          <w:sz w:val="28"/>
        </w:rPr>
      </w:pPr>
      <w:r>
        <w:rPr>
          <w:rFonts w:hint="eastAsia" w:ascii="宋体" w:hAnsi="宋体"/>
          <w:b/>
          <w:kern w:val="44"/>
          <w:sz w:val="28"/>
        </w:rPr>
        <w:t>第一章　总　则</w:t>
      </w:r>
    </w:p>
    <w:p w14:paraId="5D2679BE">
      <w:pPr>
        <w:jc w:val="left"/>
        <w:rPr>
          <w:rFonts w:ascii="宋体" w:hAnsi="宋体"/>
          <w:kern w:val="44"/>
        </w:rPr>
      </w:pPr>
    </w:p>
    <w:p w14:paraId="04560462">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本市制定地方性法规的活动，完善立法程序，根据《中华人民共和国宪法》、《中华人民共和国地方各级人民代表大会和地方各级人民政府组织法》和《中华人民共和国立法法》，结合本市实际，制定本条例。</w:t>
      </w:r>
    </w:p>
    <w:p w14:paraId="32A379B0">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本条例适用于本市地方性法规的制定、修改和废止。地方性法规的解释依照本条例的规定执行。</w:t>
      </w:r>
    </w:p>
    <w:p w14:paraId="0F2C86BA">
      <w:pPr>
        <w:ind w:firstLine="422"/>
        <w:jc w:val="left"/>
        <w:rPr>
          <w:rFonts w:ascii="宋体" w:hAnsi="宋体"/>
          <w:kern w:val="44"/>
        </w:rPr>
      </w:pPr>
      <w:r>
        <w:rPr>
          <w:rFonts w:hint="eastAsia" w:ascii="宋体" w:hAnsi="宋体"/>
          <w:b/>
          <w:kern w:val="44"/>
        </w:rPr>
        <w:t>第三条</w:t>
      </w:r>
      <w:r>
        <w:rPr>
          <w:rFonts w:hint="eastAsia" w:ascii="宋体" w:hAnsi="宋体"/>
          <w:kern w:val="44"/>
        </w:rPr>
        <w:t>　制定地方性法规，应当遵循宪法的基本原则，以不同宪法、法律、行政法规相抵触为前提，从本市的具体情况和实际需要出发，科学合理地规定公民、法人和其他组织的权利与义务、国家机关的权力与责任。</w:t>
      </w:r>
    </w:p>
    <w:p w14:paraId="4ECE34C1">
      <w:pPr>
        <w:ind w:firstLine="422"/>
        <w:jc w:val="left"/>
        <w:rPr>
          <w:rFonts w:ascii="宋体" w:hAnsi="宋体"/>
          <w:kern w:val="44"/>
        </w:rPr>
      </w:pPr>
      <w:r>
        <w:rPr>
          <w:rFonts w:hint="eastAsia" w:ascii="宋体" w:hAnsi="宋体"/>
          <w:b/>
          <w:kern w:val="44"/>
        </w:rPr>
        <w:t>第四条</w:t>
      </w:r>
      <w:r>
        <w:rPr>
          <w:rFonts w:hint="eastAsia" w:ascii="宋体" w:hAnsi="宋体"/>
          <w:kern w:val="44"/>
        </w:rPr>
        <w:t>　制定地方性法规，应当体现人民的意志，发扬社会主义民主，保障人民通过多种途径参与法规的制定活动。</w:t>
      </w:r>
    </w:p>
    <w:p w14:paraId="2D346219">
      <w:pPr>
        <w:jc w:val="left"/>
        <w:rPr>
          <w:rFonts w:ascii="宋体" w:hAnsi="宋体"/>
          <w:kern w:val="44"/>
        </w:rPr>
      </w:pPr>
    </w:p>
    <w:p w14:paraId="673EEBB6">
      <w:pPr>
        <w:ind w:firstLine="0" w:firstLineChars="0"/>
        <w:jc w:val="center"/>
        <w:rPr>
          <w:rFonts w:ascii="宋体" w:hAnsi="宋体"/>
          <w:b/>
          <w:kern w:val="44"/>
          <w:sz w:val="28"/>
        </w:rPr>
      </w:pPr>
      <w:r>
        <w:rPr>
          <w:rFonts w:hint="eastAsia" w:ascii="宋体" w:hAnsi="宋体"/>
          <w:b/>
          <w:kern w:val="44"/>
          <w:sz w:val="28"/>
        </w:rPr>
        <w:t>第二章  制定地方性法规的权限</w:t>
      </w:r>
    </w:p>
    <w:p w14:paraId="1ED2021F">
      <w:pPr>
        <w:jc w:val="left"/>
        <w:rPr>
          <w:rFonts w:ascii="宋体" w:hAnsi="宋体"/>
          <w:kern w:val="44"/>
        </w:rPr>
      </w:pPr>
    </w:p>
    <w:p w14:paraId="67EFD876">
      <w:pPr>
        <w:ind w:firstLine="422"/>
        <w:jc w:val="left"/>
        <w:rPr>
          <w:rFonts w:ascii="宋体" w:hAnsi="宋体"/>
          <w:kern w:val="44"/>
        </w:rPr>
      </w:pPr>
      <w:r>
        <w:rPr>
          <w:rFonts w:hint="eastAsia" w:ascii="宋体" w:hAnsi="宋体"/>
          <w:b/>
          <w:kern w:val="44"/>
        </w:rPr>
        <w:t>第五条</w:t>
      </w:r>
      <w:r>
        <w:rPr>
          <w:rFonts w:hint="eastAsia" w:ascii="宋体" w:hAnsi="宋体"/>
          <w:kern w:val="44"/>
        </w:rPr>
        <w:t>　市人民代表大会和市人民代表大会常务委员会依照宪法、法律规定的权限，制定地方性法规。</w:t>
      </w:r>
    </w:p>
    <w:p w14:paraId="15DCAAEB">
      <w:pPr>
        <w:ind w:firstLine="422"/>
        <w:jc w:val="left"/>
        <w:rPr>
          <w:rFonts w:ascii="宋体" w:hAnsi="宋体"/>
          <w:kern w:val="44"/>
        </w:rPr>
      </w:pPr>
      <w:r>
        <w:rPr>
          <w:rFonts w:hint="eastAsia" w:ascii="宋体" w:hAnsi="宋体"/>
          <w:b/>
          <w:kern w:val="44"/>
        </w:rPr>
        <w:t>第六条</w:t>
      </w:r>
      <w:r>
        <w:rPr>
          <w:rFonts w:hint="eastAsia" w:ascii="宋体" w:hAnsi="宋体"/>
          <w:kern w:val="44"/>
        </w:rPr>
        <w:t>　下列事项由市人民代表大会制定法规：</w:t>
      </w:r>
    </w:p>
    <w:p w14:paraId="6575A63E">
      <w:pPr>
        <w:jc w:val="left"/>
        <w:rPr>
          <w:rFonts w:ascii="宋体" w:hAnsi="宋体"/>
          <w:kern w:val="44"/>
        </w:rPr>
      </w:pPr>
      <w:r>
        <w:rPr>
          <w:rFonts w:hint="eastAsia" w:ascii="宋体" w:hAnsi="宋体"/>
          <w:kern w:val="44"/>
        </w:rPr>
        <w:t>（一）法律规定由市人民代表大会规定的事项；</w:t>
      </w:r>
    </w:p>
    <w:p w14:paraId="6B8934D6">
      <w:pPr>
        <w:jc w:val="left"/>
        <w:rPr>
          <w:rFonts w:ascii="宋体" w:hAnsi="宋体"/>
          <w:kern w:val="44"/>
        </w:rPr>
      </w:pPr>
      <w:r>
        <w:rPr>
          <w:rFonts w:hint="eastAsia" w:ascii="宋体" w:hAnsi="宋体"/>
          <w:kern w:val="44"/>
        </w:rPr>
        <w:t>（二）本市需要制定法规的特别重大事项；</w:t>
      </w:r>
    </w:p>
    <w:p w14:paraId="3947B392">
      <w:pPr>
        <w:jc w:val="left"/>
        <w:rPr>
          <w:rFonts w:ascii="宋体" w:hAnsi="宋体"/>
          <w:kern w:val="44"/>
        </w:rPr>
      </w:pPr>
      <w:r>
        <w:rPr>
          <w:rFonts w:hint="eastAsia" w:ascii="宋体" w:hAnsi="宋体"/>
          <w:kern w:val="44"/>
        </w:rPr>
        <w:t>（三）规范市人民代表大会自身活动的事项和其他事项。</w:t>
      </w:r>
    </w:p>
    <w:p w14:paraId="5692A41C">
      <w:pPr>
        <w:jc w:val="left"/>
        <w:rPr>
          <w:rFonts w:ascii="宋体" w:hAnsi="宋体"/>
          <w:kern w:val="44"/>
        </w:rPr>
      </w:pPr>
      <w:r>
        <w:rPr>
          <w:rFonts w:hint="eastAsia" w:ascii="宋体" w:hAnsi="宋体"/>
          <w:kern w:val="44"/>
        </w:rPr>
        <w:t>前款第（二）项所指的特别重大事项由市人民代表大会主席团认定。</w:t>
      </w:r>
    </w:p>
    <w:p w14:paraId="4C5652B9">
      <w:pPr>
        <w:ind w:firstLine="422"/>
        <w:jc w:val="left"/>
        <w:rPr>
          <w:rFonts w:ascii="宋体" w:hAnsi="宋体"/>
          <w:kern w:val="44"/>
        </w:rPr>
      </w:pPr>
      <w:r>
        <w:rPr>
          <w:rFonts w:hint="eastAsia" w:ascii="宋体" w:hAnsi="宋体"/>
          <w:b/>
          <w:kern w:val="44"/>
        </w:rPr>
        <w:t>第七条</w:t>
      </w:r>
      <w:r>
        <w:rPr>
          <w:rFonts w:hint="eastAsia" w:ascii="宋体" w:hAnsi="宋体"/>
          <w:kern w:val="44"/>
        </w:rPr>
        <w:t>　下列事项由市人民代表大会常务委员会制定法规：</w:t>
      </w:r>
    </w:p>
    <w:p w14:paraId="532779F0">
      <w:pPr>
        <w:jc w:val="left"/>
        <w:rPr>
          <w:rFonts w:ascii="宋体" w:hAnsi="宋体"/>
          <w:kern w:val="44"/>
        </w:rPr>
      </w:pPr>
      <w:r>
        <w:rPr>
          <w:rFonts w:hint="eastAsia" w:ascii="宋体" w:hAnsi="宋体"/>
          <w:kern w:val="44"/>
        </w:rPr>
        <w:t>（一）法律规定由常务委员会规定的事项；</w:t>
      </w:r>
    </w:p>
    <w:p w14:paraId="3685BF79">
      <w:pPr>
        <w:jc w:val="left"/>
        <w:rPr>
          <w:rFonts w:ascii="宋体" w:hAnsi="宋体"/>
          <w:kern w:val="44"/>
        </w:rPr>
      </w:pPr>
      <w:r>
        <w:rPr>
          <w:rFonts w:hint="eastAsia" w:ascii="宋体" w:hAnsi="宋体"/>
          <w:kern w:val="44"/>
        </w:rPr>
        <w:t>（二）市人民代表大会按照本条例第十七条规定的程序，授权常务委员会制定法规的事项；</w:t>
      </w:r>
    </w:p>
    <w:p w14:paraId="667ED96E">
      <w:pPr>
        <w:jc w:val="left"/>
        <w:rPr>
          <w:rFonts w:ascii="宋体" w:hAnsi="宋体"/>
          <w:kern w:val="44"/>
        </w:rPr>
      </w:pPr>
      <w:r>
        <w:rPr>
          <w:rFonts w:hint="eastAsia" w:ascii="宋体" w:hAnsi="宋体"/>
          <w:kern w:val="44"/>
        </w:rPr>
        <w:t>（三）其他应当由常务委员会制定法规的事项。</w:t>
      </w:r>
    </w:p>
    <w:p w14:paraId="5EB64F4E">
      <w:pPr>
        <w:ind w:firstLine="422"/>
        <w:jc w:val="left"/>
        <w:rPr>
          <w:rFonts w:ascii="宋体" w:hAnsi="宋体"/>
          <w:kern w:val="44"/>
        </w:rPr>
      </w:pPr>
      <w:r>
        <w:rPr>
          <w:rFonts w:hint="eastAsia" w:ascii="宋体" w:hAnsi="宋体"/>
          <w:b/>
          <w:kern w:val="44"/>
        </w:rPr>
        <w:t>第八条</w:t>
      </w:r>
      <w:r>
        <w:rPr>
          <w:rFonts w:hint="eastAsia" w:ascii="宋体" w:hAnsi="宋体"/>
          <w:kern w:val="44"/>
        </w:rPr>
        <w:t>　在市人民代表大会闭会期间，市人民代表大会常务委员会可以对市人民代表大会制定的法规进行部分补充和修改，但是不得同该法规的基本原则相抵触。</w:t>
      </w:r>
    </w:p>
    <w:p w14:paraId="130E9D97">
      <w:pPr>
        <w:jc w:val="left"/>
        <w:rPr>
          <w:rFonts w:ascii="宋体" w:hAnsi="宋体"/>
          <w:kern w:val="44"/>
        </w:rPr>
      </w:pPr>
    </w:p>
    <w:p w14:paraId="173E8803">
      <w:pPr>
        <w:jc w:val="left"/>
        <w:rPr>
          <w:rFonts w:ascii="宋体" w:hAnsi="宋体"/>
          <w:kern w:val="44"/>
        </w:rPr>
      </w:pPr>
    </w:p>
    <w:p w14:paraId="6966DDDA">
      <w:pPr>
        <w:ind w:firstLine="0" w:firstLineChars="0"/>
        <w:jc w:val="center"/>
        <w:rPr>
          <w:rFonts w:ascii="宋体" w:hAnsi="宋体"/>
          <w:b/>
          <w:kern w:val="44"/>
          <w:sz w:val="28"/>
        </w:rPr>
      </w:pPr>
      <w:r>
        <w:rPr>
          <w:rFonts w:hint="eastAsia" w:ascii="宋体" w:hAnsi="宋体"/>
          <w:b/>
          <w:kern w:val="44"/>
          <w:sz w:val="28"/>
        </w:rPr>
        <w:t>第三章  制定地方性法规的程序</w:t>
      </w:r>
    </w:p>
    <w:p w14:paraId="20820086">
      <w:pPr>
        <w:ind w:firstLine="0" w:firstLineChars="0"/>
        <w:jc w:val="center"/>
        <w:rPr>
          <w:rFonts w:ascii="宋体" w:hAnsi="宋体"/>
          <w:kern w:val="44"/>
          <w:sz w:val="28"/>
        </w:rPr>
      </w:pPr>
    </w:p>
    <w:p w14:paraId="0853A984">
      <w:pPr>
        <w:ind w:firstLine="0" w:firstLineChars="0"/>
        <w:jc w:val="center"/>
        <w:rPr>
          <w:rFonts w:ascii="宋体" w:hAnsi="宋体"/>
          <w:kern w:val="44"/>
          <w:sz w:val="28"/>
        </w:rPr>
      </w:pPr>
      <w:r>
        <w:rPr>
          <w:rFonts w:hint="eastAsia" w:ascii="宋体" w:hAnsi="宋体"/>
          <w:kern w:val="44"/>
          <w:sz w:val="28"/>
        </w:rPr>
        <w:t>第一节  市人民代表大会制定</w:t>
      </w:r>
    </w:p>
    <w:p w14:paraId="5748D528">
      <w:pPr>
        <w:ind w:firstLine="0" w:firstLineChars="0"/>
        <w:jc w:val="center"/>
        <w:rPr>
          <w:rFonts w:ascii="宋体" w:hAnsi="宋体"/>
          <w:kern w:val="44"/>
          <w:sz w:val="28"/>
        </w:rPr>
      </w:pPr>
      <w:r>
        <w:rPr>
          <w:rFonts w:hint="eastAsia" w:ascii="宋体" w:hAnsi="宋体"/>
          <w:kern w:val="44"/>
          <w:sz w:val="28"/>
        </w:rPr>
        <w:t xml:space="preserve">      地方性法规的程序</w:t>
      </w:r>
    </w:p>
    <w:p w14:paraId="518D769F">
      <w:pPr>
        <w:ind w:firstLine="0" w:firstLineChars="0"/>
        <w:jc w:val="center"/>
        <w:rPr>
          <w:rFonts w:ascii="宋体" w:hAnsi="宋体"/>
          <w:kern w:val="44"/>
          <w:sz w:val="28"/>
        </w:rPr>
      </w:pPr>
    </w:p>
    <w:p w14:paraId="0621A6D4">
      <w:pPr>
        <w:ind w:firstLine="422"/>
        <w:jc w:val="left"/>
        <w:rPr>
          <w:rFonts w:ascii="宋体" w:hAnsi="宋体"/>
          <w:kern w:val="44"/>
        </w:rPr>
      </w:pPr>
      <w:r>
        <w:rPr>
          <w:rFonts w:hint="eastAsia" w:ascii="宋体" w:hAnsi="宋体"/>
          <w:b/>
          <w:kern w:val="44"/>
        </w:rPr>
        <w:t>第九条</w:t>
      </w:r>
      <w:r>
        <w:rPr>
          <w:rFonts w:hint="eastAsia" w:ascii="宋体" w:hAnsi="宋体"/>
          <w:kern w:val="44"/>
        </w:rPr>
        <w:t>　市人民代表大会主席团可以向市人民代表大会提出法规案，由市人民代表大会会议审议。</w:t>
      </w:r>
    </w:p>
    <w:p w14:paraId="0C3FF687">
      <w:pPr>
        <w:jc w:val="left"/>
        <w:rPr>
          <w:rFonts w:ascii="宋体" w:hAnsi="宋体"/>
          <w:kern w:val="44"/>
        </w:rPr>
      </w:pPr>
      <w:r>
        <w:rPr>
          <w:rFonts w:hint="eastAsia" w:ascii="宋体" w:hAnsi="宋体"/>
          <w:kern w:val="44"/>
        </w:rPr>
        <w:t>市人民代表大会常务委员会、市人民政府、市人民代表大会专门委员会，可以向市人民代表大会提出法规案，由主席团决定列入会议议程。</w:t>
      </w:r>
    </w:p>
    <w:p w14:paraId="3B6C691F">
      <w:pPr>
        <w:ind w:firstLine="422"/>
        <w:jc w:val="left"/>
        <w:rPr>
          <w:rFonts w:ascii="宋体" w:hAnsi="宋体"/>
          <w:kern w:val="44"/>
        </w:rPr>
      </w:pPr>
      <w:r>
        <w:rPr>
          <w:rFonts w:hint="eastAsia" w:ascii="宋体" w:hAnsi="宋体"/>
          <w:b/>
          <w:kern w:val="44"/>
        </w:rPr>
        <w:t>第十条</w:t>
      </w:r>
      <w:r>
        <w:rPr>
          <w:rFonts w:hint="eastAsia" w:ascii="宋体" w:hAnsi="宋体"/>
          <w:kern w:val="44"/>
        </w:rPr>
        <w:t>　一个代表团或者十名以上的代表联名，可以向市人民代表大会提出法规案，由主席团决定是否列入会议议程，或者先交法制委员会审议、提出是否列入会议议程的意见，再由主席团决定是否列入会议议程。</w:t>
      </w:r>
    </w:p>
    <w:p w14:paraId="73B29A42">
      <w:pPr>
        <w:jc w:val="left"/>
        <w:rPr>
          <w:rFonts w:ascii="宋体" w:hAnsi="宋体"/>
          <w:kern w:val="44"/>
        </w:rPr>
      </w:pPr>
      <w:r>
        <w:rPr>
          <w:rFonts w:hint="eastAsia" w:ascii="宋体" w:hAnsi="宋体"/>
          <w:kern w:val="44"/>
        </w:rPr>
        <w:t>法制委员会审议的时候，可以邀请提案人列席会议，发表意见。</w:t>
      </w:r>
    </w:p>
    <w:p w14:paraId="1B5C532D">
      <w:pPr>
        <w:ind w:firstLine="422"/>
        <w:jc w:val="left"/>
        <w:rPr>
          <w:rFonts w:ascii="宋体" w:hAnsi="宋体"/>
          <w:kern w:val="44"/>
        </w:rPr>
      </w:pPr>
      <w:r>
        <w:rPr>
          <w:rFonts w:hint="eastAsia" w:ascii="宋体" w:hAnsi="宋体"/>
          <w:b/>
          <w:kern w:val="44"/>
        </w:rPr>
        <w:t>第十一条</w:t>
      </w:r>
      <w:r>
        <w:rPr>
          <w:rFonts w:hint="eastAsia" w:ascii="宋体" w:hAnsi="宋体"/>
          <w:kern w:val="44"/>
        </w:rPr>
        <w:t>　向市人民代表大会提出的法规案，在市人民代表大会闭会期间，可以先向常务委员会提出，经常务委员会会议依照本章第二节规定的程序审议后，决定提请市人民代表大会审议，由常务委员会向大会全体会议作说明，或者由提案人向大会全体会议作说明。</w:t>
      </w:r>
    </w:p>
    <w:p w14:paraId="26FFF23E">
      <w:pPr>
        <w:ind w:firstLine="422"/>
        <w:jc w:val="left"/>
        <w:rPr>
          <w:rFonts w:ascii="宋体" w:hAnsi="宋体"/>
          <w:kern w:val="44"/>
        </w:rPr>
      </w:pPr>
      <w:r>
        <w:rPr>
          <w:rFonts w:hint="eastAsia" w:ascii="宋体" w:hAnsi="宋体"/>
          <w:b/>
          <w:kern w:val="44"/>
        </w:rPr>
        <w:t>第十二条</w:t>
      </w:r>
      <w:r>
        <w:rPr>
          <w:rFonts w:hint="eastAsia" w:ascii="宋体" w:hAnsi="宋体"/>
          <w:kern w:val="44"/>
        </w:rPr>
        <w:t>　常务委员会决定提请市人民代表大会会议审议的法规案，应当在会议举行的一个月前将法规草案发给代表。</w:t>
      </w:r>
    </w:p>
    <w:p w14:paraId="4BBE2F4D">
      <w:pPr>
        <w:ind w:firstLine="422"/>
        <w:jc w:val="left"/>
        <w:rPr>
          <w:rFonts w:ascii="宋体" w:hAnsi="宋体"/>
          <w:kern w:val="44"/>
        </w:rPr>
      </w:pPr>
      <w:r>
        <w:rPr>
          <w:rFonts w:hint="eastAsia" w:ascii="宋体" w:hAnsi="宋体"/>
          <w:b/>
          <w:kern w:val="44"/>
        </w:rPr>
        <w:t>第十三条</w:t>
      </w:r>
      <w:r>
        <w:rPr>
          <w:rFonts w:hint="eastAsia" w:ascii="宋体" w:hAnsi="宋体"/>
          <w:kern w:val="44"/>
        </w:rPr>
        <w:t>　列入市人民代表大会会议议程的法规案，大会全体会议听取提案人的说明后，由各代表团进行审议。</w:t>
      </w:r>
    </w:p>
    <w:p w14:paraId="261BFA09">
      <w:pPr>
        <w:jc w:val="left"/>
        <w:rPr>
          <w:rFonts w:ascii="宋体" w:hAnsi="宋体"/>
          <w:kern w:val="44"/>
        </w:rPr>
      </w:pPr>
      <w:r>
        <w:rPr>
          <w:rFonts w:hint="eastAsia" w:ascii="宋体" w:hAnsi="宋体"/>
          <w:kern w:val="44"/>
        </w:rPr>
        <w:t>各代表团审议法规案时，提案人应当派人听取意见，回答询问。</w:t>
      </w:r>
    </w:p>
    <w:p w14:paraId="551B9C23">
      <w:pPr>
        <w:jc w:val="left"/>
        <w:rPr>
          <w:rFonts w:ascii="宋体" w:hAnsi="宋体"/>
          <w:kern w:val="44"/>
        </w:rPr>
      </w:pPr>
      <w:r>
        <w:rPr>
          <w:rFonts w:hint="eastAsia" w:ascii="宋体" w:hAnsi="宋体"/>
          <w:kern w:val="44"/>
        </w:rPr>
        <w:t>各代表团审议法规案时，根据代表团的要求，有关机关、组织应当派人介绍情况。</w:t>
      </w:r>
    </w:p>
    <w:p w14:paraId="2EFD596F">
      <w:pPr>
        <w:ind w:firstLine="422"/>
        <w:jc w:val="left"/>
        <w:rPr>
          <w:rFonts w:ascii="宋体" w:hAnsi="宋体"/>
          <w:kern w:val="44"/>
        </w:rPr>
      </w:pPr>
      <w:r>
        <w:rPr>
          <w:rFonts w:hint="eastAsia" w:ascii="宋体" w:hAnsi="宋体"/>
          <w:b/>
          <w:kern w:val="44"/>
        </w:rPr>
        <w:t>第十四条</w:t>
      </w:r>
      <w:r>
        <w:rPr>
          <w:rFonts w:hint="eastAsia" w:ascii="宋体" w:hAnsi="宋体"/>
          <w:kern w:val="44"/>
        </w:rPr>
        <w:t>　列入市人民代表大会会议议程的法规案，由法制委员会根据各代表团的审议意见，对法规案进行统一审议，向主席团提出审议结果报告和法规草案修改稿，对重要的不同意见应当在审议结果报告中予以说明，经主席团会议审议通过后，印发会议。</w:t>
      </w:r>
    </w:p>
    <w:p w14:paraId="7D5C4E9F">
      <w:pPr>
        <w:ind w:firstLine="422"/>
        <w:jc w:val="left"/>
        <w:rPr>
          <w:rFonts w:ascii="宋体" w:hAnsi="宋体"/>
          <w:kern w:val="44"/>
        </w:rPr>
      </w:pPr>
      <w:r>
        <w:rPr>
          <w:rFonts w:hint="eastAsia" w:ascii="宋体" w:hAnsi="宋体"/>
          <w:b/>
          <w:kern w:val="44"/>
        </w:rPr>
        <w:t>第十五条</w:t>
      </w:r>
      <w:r>
        <w:rPr>
          <w:rFonts w:hint="eastAsia" w:ascii="宋体" w:hAnsi="宋体"/>
          <w:kern w:val="44"/>
        </w:rPr>
        <w:t>　列入市人民代表大会会议议程的法规案，必要时，主席团常务主席可以召开各代表团团长会议，就法规案中的重大问题听取各代表团的审议意见，进行讨论，并将讨论的情况和意见向主席团报告。</w:t>
      </w:r>
    </w:p>
    <w:p w14:paraId="28CA04C6">
      <w:pPr>
        <w:jc w:val="left"/>
        <w:rPr>
          <w:rFonts w:ascii="宋体" w:hAnsi="宋体"/>
          <w:kern w:val="44"/>
        </w:rPr>
      </w:pPr>
      <w:r>
        <w:rPr>
          <w:rFonts w:hint="eastAsia" w:ascii="宋体" w:hAnsi="宋体"/>
          <w:kern w:val="44"/>
        </w:rPr>
        <w:t>主席团常务主席也可以就法规案中的重大的专门性问题，召集代表团推选的有关代表进行讨论，并将讨论的情况和意见向主席团报告。</w:t>
      </w:r>
    </w:p>
    <w:p w14:paraId="3396EA6F">
      <w:pPr>
        <w:ind w:firstLine="422"/>
        <w:jc w:val="left"/>
        <w:rPr>
          <w:rFonts w:ascii="宋体" w:hAnsi="宋体"/>
          <w:kern w:val="44"/>
        </w:rPr>
      </w:pPr>
      <w:r>
        <w:rPr>
          <w:rFonts w:hint="eastAsia" w:ascii="宋体" w:hAnsi="宋体"/>
          <w:b/>
          <w:kern w:val="44"/>
        </w:rPr>
        <w:t>第十六条</w:t>
      </w:r>
      <w:r>
        <w:rPr>
          <w:rFonts w:hint="eastAsia" w:ascii="宋体" w:hAnsi="宋体"/>
          <w:kern w:val="44"/>
        </w:rPr>
        <w:t>　列入市人民代表大会会议议程的法规案，在交付表决前，提案人要求撤回的，应当说明理由，经主席团同意，并向大会报告，对该法规案的审议即行终止。</w:t>
      </w:r>
    </w:p>
    <w:p w14:paraId="4482F72A">
      <w:pPr>
        <w:ind w:firstLine="422"/>
        <w:jc w:val="left"/>
        <w:rPr>
          <w:rFonts w:ascii="宋体" w:hAnsi="宋体"/>
          <w:kern w:val="44"/>
        </w:rPr>
      </w:pPr>
      <w:r>
        <w:rPr>
          <w:rFonts w:hint="eastAsia" w:ascii="宋体" w:hAnsi="宋体"/>
          <w:b/>
          <w:kern w:val="44"/>
        </w:rPr>
        <w:t>第十七条</w:t>
      </w:r>
      <w:r>
        <w:rPr>
          <w:rFonts w:hint="eastAsia" w:ascii="宋体" w:hAnsi="宋体"/>
          <w:kern w:val="44"/>
        </w:rPr>
        <w:t>　法规案在审议中有重大问题需要进一步研究的，经主席团提出，由大会全体会议决定，可以授权常务委员会根据代表的意见进一步审议，作出决定，并将决定情况向市人民代表大会下次会议报告；也可以授权常务委员会根据代表的意见进一步审议，提出修改方案，提请市人民代表大会下次会议审议决定。</w:t>
      </w:r>
    </w:p>
    <w:p w14:paraId="4AA30CDB">
      <w:pPr>
        <w:ind w:firstLine="422"/>
        <w:jc w:val="left"/>
        <w:rPr>
          <w:rFonts w:ascii="宋体" w:hAnsi="宋体"/>
          <w:kern w:val="44"/>
        </w:rPr>
      </w:pPr>
      <w:r>
        <w:rPr>
          <w:rFonts w:hint="eastAsia" w:ascii="宋体" w:hAnsi="宋体"/>
          <w:b/>
          <w:kern w:val="44"/>
        </w:rPr>
        <w:t>第十八条</w:t>
      </w:r>
      <w:r>
        <w:rPr>
          <w:rFonts w:hint="eastAsia" w:ascii="宋体" w:hAnsi="宋体"/>
          <w:kern w:val="44"/>
        </w:rPr>
        <w:t>　法规草案修改稿经各代表团审议，由法制委员会根据各代表团的审议意见进行修改，提出法规草案表决稿，由主席团提请大会全体会议表决，由全体代表的过半数通过。</w:t>
      </w:r>
    </w:p>
    <w:p w14:paraId="7B260CEB">
      <w:pPr>
        <w:ind w:firstLine="422"/>
        <w:jc w:val="left"/>
        <w:rPr>
          <w:rFonts w:ascii="宋体" w:hAnsi="宋体"/>
          <w:kern w:val="44"/>
        </w:rPr>
      </w:pPr>
      <w:r>
        <w:rPr>
          <w:rFonts w:hint="eastAsia" w:ascii="宋体" w:hAnsi="宋体"/>
          <w:b/>
          <w:kern w:val="44"/>
        </w:rPr>
        <w:t>第十九条</w:t>
      </w:r>
      <w:r>
        <w:rPr>
          <w:rFonts w:hint="eastAsia" w:ascii="宋体" w:hAnsi="宋体"/>
          <w:kern w:val="44"/>
        </w:rPr>
        <w:t>　市人民代表大会通过的法规由大会主席团发布公告予以公布。</w:t>
      </w:r>
    </w:p>
    <w:p w14:paraId="302A871A">
      <w:pPr>
        <w:jc w:val="left"/>
        <w:rPr>
          <w:rFonts w:ascii="宋体" w:hAnsi="宋体"/>
          <w:kern w:val="44"/>
        </w:rPr>
      </w:pPr>
    </w:p>
    <w:p w14:paraId="11CBC710">
      <w:pPr>
        <w:ind w:firstLine="0" w:firstLineChars="0"/>
        <w:jc w:val="center"/>
        <w:rPr>
          <w:rFonts w:ascii="宋体" w:hAnsi="宋体"/>
          <w:kern w:val="44"/>
          <w:sz w:val="28"/>
        </w:rPr>
      </w:pPr>
      <w:r>
        <w:rPr>
          <w:rFonts w:hint="eastAsia" w:ascii="宋体" w:hAnsi="宋体"/>
          <w:kern w:val="44"/>
          <w:sz w:val="28"/>
        </w:rPr>
        <w:t>第二节  市人民代表大会常务委员会</w:t>
      </w:r>
    </w:p>
    <w:p w14:paraId="216FA7F1">
      <w:pPr>
        <w:ind w:firstLine="0" w:firstLineChars="0"/>
        <w:jc w:val="center"/>
        <w:rPr>
          <w:rFonts w:ascii="宋体" w:hAnsi="宋体"/>
          <w:kern w:val="44"/>
          <w:sz w:val="28"/>
        </w:rPr>
      </w:pPr>
      <w:r>
        <w:rPr>
          <w:rFonts w:hint="eastAsia" w:ascii="宋体" w:hAnsi="宋体"/>
          <w:kern w:val="44"/>
          <w:sz w:val="28"/>
        </w:rPr>
        <w:t xml:space="preserve">    制定地方性法规的程序</w:t>
      </w:r>
    </w:p>
    <w:p w14:paraId="15982473">
      <w:pPr>
        <w:jc w:val="left"/>
        <w:rPr>
          <w:rFonts w:ascii="宋体" w:hAnsi="宋体"/>
          <w:kern w:val="44"/>
        </w:rPr>
      </w:pPr>
    </w:p>
    <w:p w14:paraId="51F0F12F">
      <w:pPr>
        <w:ind w:firstLine="422"/>
        <w:jc w:val="left"/>
        <w:rPr>
          <w:rFonts w:ascii="宋体" w:hAnsi="宋体"/>
          <w:kern w:val="44"/>
        </w:rPr>
      </w:pPr>
      <w:r>
        <w:rPr>
          <w:rFonts w:hint="eastAsia" w:ascii="宋体" w:hAnsi="宋体"/>
          <w:b/>
          <w:kern w:val="44"/>
        </w:rPr>
        <w:t>第二十条</w:t>
      </w:r>
      <w:r>
        <w:rPr>
          <w:rFonts w:hint="eastAsia" w:ascii="宋体" w:hAnsi="宋体"/>
          <w:kern w:val="44"/>
        </w:rPr>
        <w:t>　主任会议可以向常务委员会提出法规案，由常务委员会会议审议。</w:t>
      </w:r>
    </w:p>
    <w:p w14:paraId="534B18F2">
      <w:pPr>
        <w:jc w:val="left"/>
        <w:rPr>
          <w:rFonts w:ascii="宋体" w:hAnsi="宋体"/>
          <w:kern w:val="44"/>
        </w:rPr>
      </w:pPr>
      <w:r>
        <w:rPr>
          <w:rFonts w:hint="eastAsia" w:ascii="宋体" w:hAnsi="宋体"/>
          <w:kern w:val="44"/>
        </w:rPr>
        <w:t>市人民政府、市人民代表大会专门委员会，可以向常务委员会提出法规案，由主任会议决定列入常务委员会会议议程，或者先交有关专门委员会、常务委员会有关工作机构研究、提出意见，再决定列入常务委员会会议议程。如果主任会议认为法规案有重大问题需要进一步研究，可以建议提案人修改完善后再向常务委员会提出。</w:t>
      </w:r>
    </w:p>
    <w:p w14:paraId="5303BFAC">
      <w:pPr>
        <w:ind w:firstLine="422"/>
        <w:jc w:val="left"/>
        <w:rPr>
          <w:rFonts w:ascii="宋体" w:hAnsi="宋体"/>
          <w:kern w:val="44"/>
        </w:rPr>
      </w:pPr>
      <w:r>
        <w:rPr>
          <w:rFonts w:hint="eastAsia" w:ascii="宋体" w:hAnsi="宋体"/>
          <w:b/>
          <w:kern w:val="44"/>
        </w:rPr>
        <w:t>第二十一条</w:t>
      </w:r>
      <w:r>
        <w:rPr>
          <w:rFonts w:hint="eastAsia" w:ascii="宋体" w:hAnsi="宋体"/>
          <w:kern w:val="44"/>
        </w:rPr>
        <w:t>　常务委员会组成人员五人以上联名，可以向常务委员会提出法规案，由主任会议决定是否列入常务委员会会议议程，或者先交有关专门委员会、常务委员会有关工作机构研究、提出是否列入会议议程的意见，再决定是否列入常务委员会会议议程。不列入常务委员会会议议程的，应当向常务委员会会议报告并向提案人说明。</w:t>
      </w:r>
    </w:p>
    <w:p w14:paraId="7A6FBA1B">
      <w:pPr>
        <w:jc w:val="left"/>
        <w:rPr>
          <w:rFonts w:ascii="宋体" w:hAnsi="宋体"/>
          <w:kern w:val="44"/>
        </w:rPr>
      </w:pPr>
      <w:r>
        <w:rPr>
          <w:rFonts w:hint="eastAsia" w:ascii="宋体" w:hAnsi="宋体"/>
          <w:kern w:val="44"/>
        </w:rPr>
        <w:t>有关专门委员会、常务委员会有关工作机构研究的时候，可以邀请提案人列席会议，发表意见。</w:t>
      </w:r>
    </w:p>
    <w:p w14:paraId="73783FAD">
      <w:pPr>
        <w:ind w:firstLine="422"/>
        <w:jc w:val="left"/>
        <w:rPr>
          <w:rFonts w:ascii="宋体" w:hAnsi="宋体"/>
          <w:kern w:val="44"/>
        </w:rPr>
      </w:pPr>
      <w:r>
        <w:rPr>
          <w:rFonts w:hint="eastAsia" w:ascii="宋体" w:hAnsi="宋体"/>
          <w:b/>
          <w:kern w:val="44"/>
        </w:rPr>
        <w:t>第二十二条</w:t>
      </w:r>
      <w:r>
        <w:rPr>
          <w:rFonts w:hint="eastAsia" w:ascii="宋体" w:hAnsi="宋体"/>
          <w:kern w:val="44"/>
        </w:rPr>
        <w:t>　列入常务委员会会议议程的法规案，法制委员会和有关专门委员会、常务委员会有关工作机构应当听取各方面的意见。听取意见可以采取座谈会、论证会、听证会等多种形式。</w:t>
      </w:r>
    </w:p>
    <w:p w14:paraId="03E8C6D2">
      <w:pPr>
        <w:jc w:val="left"/>
        <w:rPr>
          <w:rFonts w:ascii="宋体" w:hAnsi="宋体"/>
          <w:kern w:val="44"/>
        </w:rPr>
      </w:pPr>
      <w:r>
        <w:rPr>
          <w:rFonts w:hint="eastAsia" w:ascii="宋体" w:hAnsi="宋体"/>
          <w:kern w:val="44"/>
        </w:rPr>
        <w:t>列入常务委员会会议议程的法规案，有关工作机构应当将法规草案印发有关机关、组织和专家征求意见。</w:t>
      </w:r>
    </w:p>
    <w:p w14:paraId="2B282253">
      <w:pPr>
        <w:ind w:firstLine="422"/>
        <w:jc w:val="left"/>
        <w:rPr>
          <w:rFonts w:ascii="宋体" w:hAnsi="宋体"/>
          <w:kern w:val="44"/>
        </w:rPr>
      </w:pPr>
      <w:r>
        <w:rPr>
          <w:rFonts w:hint="eastAsia" w:ascii="宋体" w:hAnsi="宋体"/>
          <w:b/>
          <w:kern w:val="44"/>
        </w:rPr>
        <w:t>第二十三条</w:t>
      </w:r>
      <w:r>
        <w:rPr>
          <w:rFonts w:hint="eastAsia" w:ascii="宋体" w:hAnsi="宋体"/>
          <w:kern w:val="44"/>
        </w:rPr>
        <w:t>　列入常务委员会会议议程的法规案，在常务委员会会议审议前，有关专门委员会或者常务委员会有关工作机构对立法的必要性、可行性和主要问题进行审议或者审查，提出意见，并向常务委员会会议报告。</w:t>
      </w:r>
    </w:p>
    <w:p w14:paraId="3ED7FC99">
      <w:pPr>
        <w:jc w:val="left"/>
        <w:rPr>
          <w:rFonts w:ascii="宋体" w:hAnsi="宋体"/>
          <w:kern w:val="44"/>
        </w:rPr>
      </w:pPr>
      <w:r>
        <w:rPr>
          <w:rFonts w:hint="eastAsia" w:ascii="宋体" w:hAnsi="宋体"/>
          <w:kern w:val="44"/>
        </w:rPr>
        <w:t>有关专门委员会审议或者常务委员会有关工作机构审查法规案时，可以邀请其他专门委员会或者常务委员会有关工作机构的负责人列席会议，发表意见。</w:t>
      </w:r>
    </w:p>
    <w:p w14:paraId="2D150303">
      <w:pPr>
        <w:jc w:val="left"/>
        <w:rPr>
          <w:rFonts w:ascii="宋体" w:hAnsi="宋体"/>
          <w:kern w:val="44"/>
        </w:rPr>
      </w:pPr>
      <w:r>
        <w:rPr>
          <w:rFonts w:hint="eastAsia" w:ascii="宋体" w:hAnsi="宋体"/>
          <w:kern w:val="44"/>
        </w:rPr>
        <w:t>有关专门委员会审议或者常务委员会有关工作机构审查法规案时，根据需要，可以要求有关机关、组织派人说明情况。</w:t>
      </w:r>
    </w:p>
    <w:p w14:paraId="5E1EF50C">
      <w:pPr>
        <w:ind w:firstLine="422"/>
        <w:jc w:val="left"/>
        <w:rPr>
          <w:rFonts w:ascii="宋体" w:hAnsi="宋体"/>
          <w:kern w:val="44"/>
        </w:rPr>
      </w:pPr>
      <w:r>
        <w:rPr>
          <w:rFonts w:hint="eastAsia" w:ascii="宋体" w:hAnsi="宋体"/>
          <w:b/>
          <w:kern w:val="44"/>
        </w:rPr>
        <w:t>第二十四条</w:t>
      </w:r>
      <w:r>
        <w:rPr>
          <w:rFonts w:hint="eastAsia" w:ascii="宋体" w:hAnsi="宋体"/>
          <w:kern w:val="44"/>
        </w:rPr>
        <w:t>　列入常务委员会会议议程的重要法规案，经主任会议决定，可以将法规草案公布，征求意见。各机关、组织和公民提出的意见送常务委员会有关工作机构。</w:t>
      </w:r>
    </w:p>
    <w:p w14:paraId="17104FCA">
      <w:pPr>
        <w:ind w:firstLine="422"/>
        <w:jc w:val="left"/>
        <w:rPr>
          <w:rFonts w:ascii="宋体" w:hAnsi="宋体"/>
          <w:kern w:val="44"/>
        </w:rPr>
      </w:pPr>
      <w:r>
        <w:rPr>
          <w:rFonts w:hint="eastAsia" w:ascii="宋体" w:hAnsi="宋体"/>
          <w:b/>
          <w:kern w:val="44"/>
        </w:rPr>
        <w:t>第二十五条</w:t>
      </w:r>
      <w:r>
        <w:rPr>
          <w:rFonts w:hint="eastAsia" w:ascii="宋体" w:hAnsi="宋体"/>
          <w:kern w:val="44"/>
        </w:rPr>
        <w:t>　列入常务委员会会议议程的法规案，除特殊情况外，应当在会议举行的七日前将法规草案发给常务委员会组成人员。</w:t>
      </w:r>
    </w:p>
    <w:p w14:paraId="68BBDC81">
      <w:pPr>
        <w:ind w:firstLine="422"/>
        <w:jc w:val="left"/>
        <w:rPr>
          <w:rFonts w:ascii="宋体" w:hAnsi="宋体"/>
          <w:kern w:val="44"/>
        </w:rPr>
      </w:pPr>
      <w:r>
        <w:rPr>
          <w:rFonts w:hint="eastAsia" w:ascii="宋体" w:hAnsi="宋体"/>
          <w:b/>
          <w:kern w:val="44"/>
        </w:rPr>
        <w:t>第二十六条</w:t>
      </w:r>
      <w:r>
        <w:rPr>
          <w:rFonts w:hint="eastAsia" w:ascii="宋体" w:hAnsi="宋体"/>
          <w:kern w:val="44"/>
        </w:rPr>
        <w:t>　列入常务委员会会议议程的法规案，一般应当经两次常务委员会会议审议后再交付表决；各方面意见比较一致的，也可以经一次常务委员会会议审议后交付表决。</w:t>
      </w:r>
    </w:p>
    <w:p w14:paraId="5FAFF92D">
      <w:pPr>
        <w:jc w:val="left"/>
        <w:rPr>
          <w:rFonts w:ascii="宋体" w:hAnsi="宋体"/>
          <w:kern w:val="44"/>
        </w:rPr>
      </w:pPr>
      <w:r>
        <w:rPr>
          <w:rFonts w:hint="eastAsia" w:ascii="宋体" w:hAnsi="宋体"/>
          <w:kern w:val="44"/>
        </w:rPr>
        <w:t>部分修改的法规案，各方面的意见比较一致的，可以经一次常务委员会会议审议即交付表决。</w:t>
      </w:r>
    </w:p>
    <w:p w14:paraId="3A9799BE">
      <w:pPr>
        <w:ind w:firstLine="422"/>
        <w:jc w:val="left"/>
        <w:rPr>
          <w:rFonts w:ascii="宋体" w:hAnsi="宋体"/>
          <w:kern w:val="44"/>
        </w:rPr>
      </w:pPr>
      <w:r>
        <w:rPr>
          <w:rFonts w:hint="eastAsia" w:ascii="宋体" w:hAnsi="宋体"/>
          <w:b/>
          <w:kern w:val="44"/>
        </w:rPr>
        <w:t>第二十七条</w:t>
      </w:r>
      <w:r>
        <w:rPr>
          <w:rFonts w:hint="eastAsia" w:ascii="宋体" w:hAnsi="宋体"/>
          <w:kern w:val="44"/>
        </w:rPr>
        <w:t>　常务委员会会议第一次审议法规案，在全体会议上听取提案人的说明和有关专门委员会或者常务委员会有关工作机构的报告，由全体会议或者分组会议对法规草案进行初步审议。</w:t>
      </w:r>
    </w:p>
    <w:p w14:paraId="136EC5D6">
      <w:pPr>
        <w:jc w:val="left"/>
        <w:rPr>
          <w:rFonts w:ascii="宋体" w:hAnsi="宋体"/>
          <w:kern w:val="44"/>
        </w:rPr>
      </w:pPr>
      <w:r>
        <w:rPr>
          <w:rFonts w:hint="eastAsia" w:ascii="宋体" w:hAnsi="宋体"/>
          <w:kern w:val="44"/>
        </w:rPr>
        <w:t>常务委员会分组会议审议法规案时，提案人应当派人听取意见，回答询问。</w:t>
      </w:r>
    </w:p>
    <w:p w14:paraId="1D550C1E">
      <w:pPr>
        <w:jc w:val="left"/>
        <w:rPr>
          <w:rFonts w:ascii="宋体" w:hAnsi="宋体"/>
          <w:kern w:val="44"/>
        </w:rPr>
      </w:pPr>
      <w:r>
        <w:rPr>
          <w:rFonts w:hint="eastAsia" w:ascii="宋体" w:hAnsi="宋体"/>
          <w:kern w:val="44"/>
        </w:rPr>
        <w:t>常务委员会分组会议审议法规案时，根据小组的要求，有关机关、组织应当派人介绍情况。</w:t>
      </w:r>
    </w:p>
    <w:p w14:paraId="7DD8005F">
      <w:pPr>
        <w:ind w:firstLine="422"/>
        <w:jc w:val="left"/>
        <w:rPr>
          <w:rFonts w:ascii="宋体" w:hAnsi="宋体"/>
          <w:kern w:val="44"/>
        </w:rPr>
      </w:pPr>
      <w:r>
        <w:rPr>
          <w:rFonts w:hint="eastAsia" w:ascii="宋体" w:hAnsi="宋体"/>
          <w:b/>
          <w:kern w:val="44"/>
        </w:rPr>
        <w:t>第二十八条</w:t>
      </w:r>
      <w:r>
        <w:rPr>
          <w:rFonts w:hint="eastAsia" w:ascii="宋体" w:hAnsi="宋体"/>
          <w:kern w:val="44"/>
        </w:rPr>
        <w:t>　法规案经过常务委员会会议第一次审议后，由法制委员会根据常务委员会组成人员和有关专门委员会或者常务委员会有关工作机构以及各方面提出的意见，进行统一审议，提出审议结果报告和法规草案修改稿，对重要的不同意见应当在审议结果报告中予以说明。对有关专门委员会或者常务委员会有关工作机构的重要意见没有采纳的，应当向有关专门委员会或者常务委员会有关工作机构反馈。</w:t>
      </w:r>
    </w:p>
    <w:p w14:paraId="32A61590">
      <w:pPr>
        <w:jc w:val="left"/>
        <w:rPr>
          <w:rFonts w:ascii="宋体" w:hAnsi="宋体"/>
          <w:kern w:val="44"/>
        </w:rPr>
      </w:pPr>
      <w:r>
        <w:rPr>
          <w:rFonts w:hint="eastAsia" w:ascii="宋体" w:hAnsi="宋体"/>
          <w:kern w:val="44"/>
        </w:rPr>
        <w:t>法制委员会审议法规案时，可以邀请有关专门委员会或者常务委员会有关工作机构的负责人列席会议，发表意见。</w:t>
      </w:r>
    </w:p>
    <w:p w14:paraId="70BDC9BE">
      <w:pPr>
        <w:ind w:firstLine="422"/>
        <w:jc w:val="left"/>
        <w:rPr>
          <w:rFonts w:ascii="宋体" w:hAnsi="宋体"/>
          <w:kern w:val="44"/>
        </w:rPr>
      </w:pPr>
      <w:r>
        <w:rPr>
          <w:rFonts w:hint="eastAsia" w:ascii="宋体" w:hAnsi="宋体"/>
          <w:b/>
          <w:kern w:val="44"/>
        </w:rPr>
        <w:t>第二十九条</w:t>
      </w:r>
      <w:r>
        <w:rPr>
          <w:rFonts w:hint="eastAsia" w:ascii="宋体" w:hAnsi="宋体"/>
          <w:kern w:val="44"/>
        </w:rPr>
        <w:t>　常务委员会会议第二次审议法规案，在全体会议上听取法制委员会关于法规草案审议结果的报告，由全体会议或者分组会议对法规草案修改稿进行审议。</w:t>
      </w:r>
    </w:p>
    <w:p w14:paraId="17819533">
      <w:pPr>
        <w:ind w:firstLine="422"/>
        <w:jc w:val="left"/>
        <w:rPr>
          <w:rFonts w:ascii="宋体" w:hAnsi="宋体"/>
          <w:kern w:val="44"/>
        </w:rPr>
      </w:pPr>
      <w:r>
        <w:rPr>
          <w:rFonts w:hint="eastAsia" w:ascii="宋体" w:hAnsi="宋体"/>
          <w:b/>
          <w:kern w:val="44"/>
        </w:rPr>
        <w:t>第三十条</w:t>
      </w:r>
      <w:r>
        <w:rPr>
          <w:rFonts w:hint="eastAsia" w:ascii="宋体" w:hAnsi="宋体"/>
          <w:kern w:val="44"/>
        </w:rPr>
        <w:t>　列入常务委员会会议议程的法规案，在交付表决前，提案人要求撤回的，应当说明理由，经主任会议同意，并向常务委员会报告，会议对该法规案的审议即行终止。</w:t>
      </w:r>
    </w:p>
    <w:p w14:paraId="0D840459">
      <w:pPr>
        <w:ind w:firstLine="422"/>
        <w:jc w:val="left"/>
        <w:rPr>
          <w:rFonts w:ascii="宋体" w:hAnsi="宋体"/>
          <w:kern w:val="44"/>
        </w:rPr>
      </w:pPr>
      <w:r>
        <w:rPr>
          <w:rFonts w:hint="eastAsia" w:ascii="宋体" w:hAnsi="宋体"/>
          <w:b/>
          <w:kern w:val="44"/>
        </w:rPr>
        <w:t>第三十一条</w:t>
      </w:r>
      <w:r>
        <w:rPr>
          <w:rFonts w:hint="eastAsia" w:ascii="宋体" w:hAnsi="宋体"/>
          <w:kern w:val="44"/>
        </w:rPr>
        <w:t>　法规案经常务委员会两次会议审议后，仍有重大问题需要进一步研究的，由主任会议提出，经全体会议同意，可以暂不付表决，交法制委员会进一步审议、修改后，再由主任会议决定提交以后的常务委员会会议继续审议。</w:t>
      </w:r>
    </w:p>
    <w:p w14:paraId="2A4A92FA">
      <w:pPr>
        <w:ind w:firstLine="422"/>
        <w:jc w:val="left"/>
        <w:rPr>
          <w:rFonts w:ascii="宋体" w:hAnsi="宋体"/>
          <w:kern w:val="44"/>
        </w:rPr>
      </w:pPr>
      <w:r>
        <w:rPr>
          <w:rFonts w:hint="eastAsia" w:ascii="宋体" w:hAnsi="宋体"/>
          <w:b/>
          <w:kern w:val="44"/>
        </w:rPr>
        <w:t>第三十二条</w:t>
      </w:r>
      <w:r>
        <w:rPr>
          <w:rFonts w:hint="eastAsia" w:ascii="宋体" w:hAnsi="宋体"/>
          <w:kern w:val="44"/>
        </w:rPr>
        <w:t>　列入常务委员会会议审议的法规案，因各方面对制定该法规的必要性、可行性等重大问题存在较大意见分歧搁置审议已满两年的，或者因暂不付表决经过两年没有再次列入常务委员会会议议程审议的，由主任会议向常务委员会报告，该法规案终止审议。</w:t>
      </w:r>
    </w:p>
    <w:p w14:paraId="641481C8">
      <w:pPr>
        <w:ind w:firstLine="422"/>
        <w:jc w:val="left"/>
        <w:rPr>
          <w:rFonts w:ascii="宋体" w:hAnsi="宋体"/>
          <w:kern w:val="44"/>
        </w:rPr>
      </w:pPr>
      <w:r>
        <w:rPr>
          <w:rFonts w:hint="eastAsia" w:ascii="宋体" w:hAnsi="宋体"/>
          <w:b/>
          <w:kern w:val="44"/>
        </w:rPr>
        <w:t>第三十三条</w:t>
      </w:r>
      <w:r>
        <w:rPr>
          <w:rFonts w:hint="eastAsia" w:ascii="宋体" w:hAnsi="宋体"/>
          <w:kern w:val="44"/>
        </w:rPr>
        <w:t>　法规草案修改稿经常务委员会会议审议，由法制委员会根据常务委员会组成人员的审议意见进行修改，提出法规草案表决稿。</w:t>
      </w:r>
    </w:p>
    <w:p w14:paraId="121EB4D9">
      <w:pPr>
        <w:jc w:val="left"/>
        <w:rPr>
          <w:rFonts w:ascii="宋体" w:hAnsi="宋体"/>
          <w:kern w:val="44"/>
        </w:rPr>
      </w:pPr>
      <w:r>
        <w:rPr>
          <w:rFonts w:hint="eastAsia" w:ascii="宋体" w:hAnsi="宋体"/>
          <w:kern w:val="44"/>
        </w:rPr>
        <w:t>经一次常务委员会会议审议即交付表决的法规案，在常务委员会会议审议后，也应当由法制委员会根据常务委员会组成人员和各方面提出的意见进行审议、修改，提出法规草案表决稿。</w:t>
      </w:r>
    </w:p>
    <w:p w14:paraId="64293CF4">
      <w:pPr>
        <w:jc w:val="left"/>
        <w:rPr>
          <w:rFonts w:ascii="宋体" w:hAnsi="宋体"/>
          <w:kern w:val="44"/>
        </w:rPr>
      </w:pPr>
      <w:r>
        <w:rPr>
          <w:rFonts w:hint="eastAsia" w:ascii="宋体" w:hAnsi="宋体"/>
          <w:kern w:val="44"/>
        </w:rPr>
        <w:t>法规草案表决稿，由主任会议提请常务委员会全体会议表决。</w:t>
      </w:r>
    </w:p>
    <w:p w14:paraId="60A175D5">
      <w:pPr>
        <w:ind w:firstLine="422"/>
        <w:jc w:val="left"/>
        <w:rPr>
          <w:rFonts w:ascii="宋体" w:hAnsi="宋体"/>
          <w:kern w:val="44"/>
        </w:rPr>
      </w:pPr>
      <w:r>
        <w:rPr>
          <w:rFonts w:hint="eastAsia" w:ascii="宋体" w:hAnsi="宋体"/>
          <w:b/>
          <w:kern w:val="44"/>
        </w:rPr>
        <w:t>第三十四条</w:t>
      </w:r>
      <w:r>
        <w:rPr>
          <w:rFonts w:hint="eastAsia" w:ascii="宋体" w:hAnsi="宋体"/>
          <w:kern w:val="44"/>
        </w:rPr>
        <w:t>　常务委员会组成人员五人以上联名，可以在法规草案表决稿交付表决前，书面提出对法规草案表决稿的修正案，由主任会议决定是否提请常务委员会会议审议。不提请常务委员会会议审议的，应当向常务委员会会议报告并向修正案提案人说明。</w:t>
      </w:r>
    </w:p>
    <w:p w14:paraId="1377F65C">
      <w:pPr>
        <w:jc w:val="left"/>
        <w:rPr>
          <w:rFonts w:ascii="宋体" w:hAnsi="宋体"/>
          <w:kern w:val="44"/>
        </w:rPr>
      </w:pPr>
      <w:r>
        <w:rPr>
          <w:rFonts w:hint="eastAsia" w:ascii="宋体" w:hAnsi="宋体"/>
          <w:kern w:val="44"/>
        </w:rPr>
        <w:t>对法规草案表决稿提出修正案，应当写明修正的依据和理由，并附有修正案草案。</w:t>
      </w:r>
    </w:p>
    <w:p w14:paraId="6627AF8A">
      <w:pPr>
        <w:ind w:firstLine="422"/>
        <w:jc w:val="left"/>
        <w:rPr>
          <w:rFonts w:ascii="宋体" w:hAnsi="宋体"/>
          <w:kern w:val="44"/>
        </w:rPr>
      </w:pPr>
      <w:r>
        <w:rPr>
          <w:rFonts w:hint="eastAsia" w:ascii="宋体" w:hAnsi="宋体"/>
          <w:b/>
          <w:kern w:val="44"/>
        </w:rPr>
        <w:t>第三十五条</w:t>
      </w:r>
      <w:r>
        <w:rPr>
          <w:rFonts w:hint="eastAsia" w:ascii="宋体" w:hAnsi="宋体"/>
          <w:kern w:val="44"/>
        </w:rPr>
        <w:t>　常务委员会会议表决法规草案表决稿及其修正案，由常务委员会全体组成人员的过半数通过。有修正案的，先表决修正案。</w:t>
      </w:r>
    </w:p>
    <w:p w14:paraId="3C7705EA">
      <w:pPr>
        <w:ind w:firstLine="422"/>
        <w:jc w:val="left"/>
        <w:rPr>
          <w:rFonts w:ascii="宋体" w:hAnsi="宋体"/>
          <w:kern w:val="44"/>
        </w:rPr>
      </w:pPr>
      <w:r>
        <w:rPr>
          <w:rFonts w:hint="eastAsia" w:ascii="宋体" w:hAnsi="宋体"/>
          <w:b/>
          <w:kern w:val="44"/>
        </w:rPr>
        <w:t>第三十六条</w:t>
      </w:r>
      <w:r>
        <w:rPr>
          <w:rFonts w:hint="eastAsia" w:ascii="宋体" w:hAnsi="宋体"/>
          <w:kern w:val="44"/>
        </w:rPr>
        <w:t>　常务委员会通过的法规由常务委员会发布公告予以公布。</w:t>
      </w:r>
    </w:p>
    <w:p w14:paraId="70BA4A91">
      <w:pPr>
        <w:jc w:val="left"/>
        <w:rPr>
          <w:rFonts w:ascii="宋体" w:hAnsi="宋体"/>
          <w:kern w:val="44"/>
        </w:rPr>
      </w:pPr>
    </w:p>
    <w:p w14:paraId="197DDD80">
      <w:pPr>
        <w:ind w:firstLine="0" w:firstLineChars="0"/>
        <w:jc w:val="center"/>
        <w:rPr>
          <w:rFonts w:ascii="宋体" w:hAnsi="宋体"/>
          <w:kern w:val="44"/>
          <w:sz w:val="28"/>
        </w:rPr>
      </w:pPr>
      <w:r>
        <w:rPr>
          <w:rFonts w:hint="eastAsia" w:ascii="宋体" w:hAnsi="宋体"/>
          <w:kern w:val="44"/>
          <w:sz w:val="28"/>
        </w:rPr>
        <w:t>第三节  其他规定</w:t>
      </w:r>
    </w:p>
    <w:p w14:paraId="6A3E451C">
      <w:pPr>
        <w:jc w:val="left"/>
        <w:rPr>
          <w:rFonts w:ascii="宋体" w:hAnsi="宋体"/>
          <w:kern w:val="44"/>
        </w:rPr>
      </w:pPr>
    </w:p>
    <w:p w14:paraId="375891F7">
      <w:pPr>
        <w:ind w:firstLine="422"/>
        <w:jc w:val="left"/>
        <w:rPr>
          <w:rFonts w:ascii="宋体" w:hAnsi="宋体"/>
          <w:kern w:val="44"/>
        </w:rPr>
      </w:pPr>
      <w:r>
        <w:rPr>
          <w:rFonts w:hint="eastAsia" w:ascii="宋体" w:hAnsi="宋体"/>
          <w:b/>
          <w:kern w:val="44"/>
        </w:rPr>
        <w:t>第三十七条</w:t>
      </w:r>
      <w:r>
        <w:rPr>
          <w:rFonts w:hint="eastAsia" w:ascii="宋体" w:hAnsi="宋体"/>
          <w:kern w:val="44"/>
        </w:rPr>
        <w:t>　向市人民代表大会及其常务委员会提出法规案，应当同时提出法规草案文本及其说明，并提供必要的资料。法规草案的说明应当包括制定该法规的必要性和主要内容。</w:t>
      </w:r>
    </w:p>
    <w:p w14:paraId="6A04A836">
      <w:pPr>
        <w:ind w:firstLine="422"/>
        <w:jc w:val="left"/>
        <w:rPr>
          <w:rFonts w:ascii="宋体" w:hAnsi="宋体"/>
          <w:kern w:val="44"/>
        </w:rPr>
      </w:pPr>
      <w:r>
        <w:rPr>
          <w:rFonts w:hint="eastAsia" w:ascii="宋体" w:hAnsi="宋体"/>
          <w:b/>
          <w:kern w:val="44"/>
        </w:rPr>
        <w:t>第三十八条</w:t>
      </w:r>
      <w:r>
        <w:rPr>
          <w:rFonts w:hint="eastAsia" w:ascii="宋体" w:hAnsi="宋体"/>
          <w:kern w:val="44"/>
        </w:rPr>
        <w:t>　向市人民代表大会及其常务委员会提出的法规案，在列入会议议程前，提案人有权撤回。</w:t>
      </w:r>
    </w:p>
    <w:p w14:paraId="7AAFE02F">
      <w:pPr>
        <w:ind w:firstLine="422"/>
        <w:jc w:val="left"/>
        <w:rPr>
          <w:rFonts w:ascii="宋体" w:hAnsi="宋体"/>
          <w:kern w:val="44"/>
        </w:rPr>
      </w:pPr>
      <w:r>
        <w:rPr>
          <w:rFonts w:hint="eastAsia" w:ascii="宋体" w:hAnsi="宋体"/>
          <w:b/>
          <w:kern w:val="44"/>
        </w:rPr>
        <w:t>第三十九条</w:t>
      </w:r>
      <w:r>
        <w:rPr>
          <w:rFonts w:hint="eastAsia" w:ascii="宋体" w:hAnsi="宋体"/>
          <w:kern w:val="44"/>
        </w:rPr>
        <w:t>　交付市人民代表大会及其常务委员会全体会议表决未获得通过的法规案，如果提案人认为必须制定该法规，可以按照本条例规定的程序重新提出，由主席团、主任会议决定是否列入会议议程；其中，未获得市人民代表大会通过的法规案，应当提请市人民代表大会审议决定。</w:t>
      </w:r>
    </w:p>
    <w:p w14:paraId="50CC4958">
      <w:pPr>
        <w:ind w:firstLine="422"/>
        <w:jc w:val="left"/>
        <w:rPr>
          <w:rFonts w:ascii="宋体" w:hAnsi="宋体"/>
          <w:kern w:val="44"/>
        </w:rPr>
      </w:pPr>
      <w:r>
        <w:rPr>
          <w:rFonts w:hint="eastAsia" w:ascii="宋体" w:hAnsi="宋体"/>
          <w:b/>
          <w:kern w:val="44"/>
        </w:rPr>
        <w:t>第四十条</w:t>
      </w:r>
      <w:r>
        <w:rPr>
          <w:rFonts w:hint="eastAsia" w:ascii="宋体" w:hAnsi="宋体"/>
          <w:kern w:val="44"/>
        </w:rPr>
        <w:t>　法规公布后，应当及时在市人民代表大会常务委员会公报和《北京日报》上刊登。</w:t>
      </w:r>
    </w:p>
    <w:p w14:paraId="3AF8BEEF">
      <w:pPr>
        <w:jc w:val="left"/>
        <w:rPr>
          <w:rFonts w:ascii="宋体" w:hAnsi="宋体"/>
          <w:kern w:val="44"/>
        </w:rPr>
      </w:pPr>
      <w:r>
        <w:rPr>
          <w:rFonts w:hint="eastAsia" w:ascii="宋体" w:hAnsi="宋体"/>
          <w:kern w:val="44"/>
        </w:rPr>
        <w:t>在常务委员会公报上刊登的法规文本为标准文本。</w:t>
      </w:r>
    </w:p>
    <w:p w14:paraId="626B91CC">
      <w:pPr>
        <w:ind w:firstLine="422"/>
        <w:jc w:val="left"/>
        <w:rPr>
          <w:rFonts w:ascii="宋体" w:hAnsi="宋体"/>
          <w:kern w:val="44"/>
        </w:rPr>
      </w:pPr>
      <w:r>
        <w:rPr>
          <w:rFonts w:hint="eastAsia" w:ascii="宋体" w:hAnsi="宋体"/>
          <w:b/>
          <w:kern w:val="44"/>
        </w:rPr>
        <w:t>第四十一条</w:t>
      </w:r>
      <w:r>
        <w:rPr>
          <w:rFonts w:hint="eastAsia" w:ascii="宋体" w:hAnsi="宋体"/>
          <w:kern w:val="44"/>
        </w:rPr>
        <w:t>　法规的修改和废止程序，适用本章第一节、第二节的有关规定。</w:t>
      </w:r>
    </w:p>
    <w:p w14:paraId="6D4F168B">
      <w:pPr>
        <w:jc w:val="left"/>
        <w:rPr>
          <w:rFonts w:ascii="宋体" w:hAnsi="宋体"/>
          <w:kern w:val="44"/>
        </w:rPr>
      </w:pPr>
      <w:r>
        <w:rPr>
          <w:rFonts w:hint="eastAsia" w:ascii="宋体" w:hAnsi="宋体"/>
          <w:kern w:val="44"/>
        </w:rPr>
        <w:t>法规部分条文被修改或者废止的，必须公布新的法规文本。</w:t>
      </w:r>
    </w:p>
    <w:p w14:paraId="47DFA5A6">
      <w:pPr>
        <w:jc w:val="left"/>
        <w:rPr>
          <w:rFonts w:ascii="宋体" w:hAnsi="宋体"/>
          <w:kern w:val="44"/>
        </w:rPr>
      </w:pPr>
    </w:p>
    <w:p w14:paraId="59B6638E">
      <w:pPr>
        <w:ind w:firstLine="0" w:firstLineChars="0"/>
        <w:jc w:val="center"/>
        <w:rPr>
          <w:rFonts w:ascii="宋体" w:hAnsi="宋体"/>
          <w:b/>
          <w:kern w:val="44"/>
          <w:sz w:val="28"/>
        </w:rPr>
      </w:pPr>
      <w:r>
        <w:rPr>
          <w:rFonts w:hint="eastAsia" w:ascii="宋体" w:hAnsi="宋体"/>
          <w:b/>
          <w:kern w:val="44"/>
          <w:sz w:val="28"/>
        </w:rPr>
        <w:t>第四章  地方性法规的解释</w:t>
      </w:r>
    </w:p>
    <w:p w14:paraId="79B5A497">
      <w:pPr>
        <w:jc w:val="left"/>
        <w:rPr>
          <w:rFonts w:ascii="宋体" w:hAnsi="宋体"/>
          <w:kern w:val="44"/>
        </w:rPr>
      </w:pPr>
    </w:p>
    <w:p w14:paraId="62CCDB6D">
      <w:pPr>
        <w:ind w:firstLine="422"/>
        <w:jc w:val="left"/>
        <w:rPr>
          <w:rFonts w:ascii="宋体" w:hAnsi="宋体"/>
          <w:kern w:val="44"/>
        </w:rPr>
      </w:pPr>
      <w:r>
        <w:rPr>
          <w:rFonts w:hint="eastAsia" w:ascii="宋体" w:hAnsi="宋体"/>
          <w:b/>
          <w:kern w:val="44"/>
        </w:rPr>
        <w:t>第四十二条</w:t>
      </w:r>
      <w:r>
        <w:rPr>
          <w:rFonts w:hint="eastAsia" w:ascii="宋体" w:hAnsi="宋体"/>
          <w:kern w:val="44"/>
        </w:rPr>
        <w:t>　法规的解释权属于市人民代表大会常务委员会。</w:t>
      </w:r>
    </w:p>
    <w:p w14:paraId="106545AA">
      <w:pPr>
        <w:jc w:val="left"/>
        <w:rPr>
          <w:rFonts w:ascii="宋体" w:hAnsi="宋体"/>
          <w:kern w:val="44"/>
        </w:rPr>
      </w:pPr>
      <w:r>
        <w:rPr>
          <w:rFonts w:hint="eastAsia" w:ascii="宋体" w:hAnsi="宋体"/>
          <w:kern w:val="44"/>
        </w:rPr>
        <w:t>法规有以下情况之一的，由市人民代表大会常务委员会解释：</w:t>
      </w:r>
    </w:p>
    <w:p w14:paraId="1DDE121B">
      <w:pPr>
        <w:jc w:val="left"/>
        <w:rPr>
          <w:rFonts w:ascii="宋体" w:hAnsi="宋体"/>
          <w:kern w:val="44"/>
        </w:rPr>
      </w:pPr>
      <w:r>
        <w:rPr>
          <w:rFonts w:hint="eastAsia" w:ascii="宋体" w:hAnsi="宋体"/>
          <w:kern w:val="44"/>
        </w:rPr>
        <w:t>（一）法规的规定需要进一步明确具体含义的；</w:t>
      </w:r>
    </w:p>
    <w:p w14:paraId="2221BAA6">
      <w:pPr>
        <w:jc w:val="left"/>
        <w:rPr>
          <w:rFonts w:ascii="宋体" w:hAnsi="宋体"/>
          <w:kern w:val="44"/>
        </w:rPr>
      </w:pPr>
      <w:r>
        <w:rPr>
          <w:rFonts w:hint="eastAsia" w:ascii="宋体" w:hAnsi="宋体"/>
          <w:kern w:val="44"/>
        </w:rPr>
        <w:t>（二）法规制定后出现新的情况，需要明确适用法规依据的。</w:t>
      </w:r>
    </w:p>
    <w:p w14:paraId="6C913437">
      <w:pPr>
        <w:ind w:firstLine="422"/>
        <w:jc w:val="left"/>
        <w:rPr>
          <w:rFonts w:ascii="宋体" w:hAnsi="宋体"/>
          <w:kern w:val="44"/>
        </w:rPr>
      </w:pPr>
      <w:r>
        <w:rPr>
          <w:rFonts w:hint="eastAsia" w:ascii="宋体" w:hAnsi="宋体"/>
          <w:b/>
          <w:kern w:val="44"/>
        </w:rPr>
        <w:t>第四十三条</w:t>
      </w:r>
      <w:r>
        <w:rPr>
          <w:rFonts w:hint="eastAsia" w:ascii="宋体" w:hAnsi="宋体"/>
          <w:kern w:val="44"/>
        </w:rPr>
        <w:t>　市人民政府、市高级人民法院、市人民检察院和市人民代表大会专门委员会以及区、县的人民代表大会常务委员会可以向市人民代表大会常务委员会提出法规解释要求。</w:t>
      </w:r>
    </w:p>
    <w:p w14:paraId="484E2AB7">
      <w:pPr>
        <w:ind w:firstLine="422"/>
        <w:jc w:val="left"/>
        <w:rPr>
          <w:rFonts w:ascii="宋体" w:hAnsi="宋体"/>
          <w:kern w:val="44"/>
        </w:rPr>
      </w:pPr>
      <w:r>
        <w:rPr>
          <w:rFonts w:hint="eastAsia" w:ascii="宋体" w:hAnsi="宋体"/>
          <w:b/>
          <w:kern w:val="44"/>
        </w:rPr>
        <w:t>第四十四条</w:t>
      </w:r>
      <w:r>
        <w:rPr>
          <w:rFonts w:hint="eastAsia" w:ascii="宋体" w:hAnsi="宋体"/>
          <w:kern w:val="44"/>
        </w:rPr>
        <w:t>　常务委员会有关工作机构根据主任会议决定，研究拟订法规解释草案，由主任会议决定列入常务委员会会议议程。</w:t>
      </w:r>
    </w:p>
    <w:p w14:paraId="79CE8E61">
      <w:pPr>
        <w:ind w:firstLine="422"/>
        <w:jc w:val="left"/>
        <w:rPr>
          <w:rFonts w:ascii="宋体" w:hAnsi="宋体"/>
          <w:kern w:val="44"/>
        </w:rPr>
      </w:pPr>
      <w:r>
        <w:rPr>
          <w:rFonts w:hint="eastAsia" w:ascii="宋体" w:hAnsi="宋体"/>
          <w:b/>
          <w:kern w:val="44"/>
        </w:rPr>
        <w:t>第四十五条</w:t>
      </w:r>
      <w:r>
        <w:rPr>
          <w:rFonts w:hint="eastAsia" w:ascii="宋体" w:hAnsi="宋体"/>
          <w:kern w:val="44"/>
        </w:rPr>
        <w:t>　法规解释草案经常务委员会会议审议，由法制委员会根据常务委员会组成人员的审议意见进行审议、修改，提出法规解释草案表决稿，由主任会议提请常务委员会全体会议表决。</w:t>
      </w:r>
    </w:p>
    <w:p w14:paraId="5DAB7271">
      <w:pPr>
        <w:ind w:firstLine="422"/>
        <w:jc w:val="left"/>
        <w:rPr>
          <w:rFonts w:ascii="宋体" w:hAnsi="宋体"/>
          <w:kern w:val="44"/>
        </w:rPr>
      </w:pPr>
      <w:r>
        <w:rPr>
          <w:rFonts w:hint="eastAsia" w:ascii="宋体" w:hAnsi="宋体"/>
          <w:b/>
          <w:kern w:val="44"/>
        </w:rPr>
        <w:t>第四十六条</w:t>
      </w:r>
      <w:r>
        <w:rPr>
          <w:rFonts w:hint="eastAsia" w:ascii="宋体" w:hAnsi="宋体"/>
          <w:kern w:val="44"/>
        </w:rPr>
        <w:t>　法规解释草案表决稿由常务委员会全体组成人员的过半数通过，由常务委员会发布公告予以公布。</w:t>
      </w:r>
    </w:p>
    <w:p w14:paraId="2D2A3CF3">
      <w:pPr>
        <w:ind w:firstLine="422"/>
        <w:jc w:val="left"/>
        <w:rPr>
          <w:rFonts w:ascii="宋体" w:hAnsi="宋体"/>
          <w:kern w:val="44"/>
        </w:rPr>
      </w:pPr>
      <w:r>
        <w:rPr>
          <w:rFonts w:hint="eastAsia" w:ascii="宋体" w:hAnsi="宋体"/>
          <w:b/>
          <w:kern w:val="44"/>
        </w:rPr>
        <w:t>第四十七条</w:t>
      </w:r>
      <w:r>
        <w:rPr>
          <w:rFonts w:hint="eastAsia" w:ascii="宋体" w:hAnsi="宋体"/>
          <w:kern w:val="44"/>
        </w:rPr>
        <w:t>　市人民代表大会常务委员会的法规解释同法规具有同等效力。</w:t>
      </w:r>
    </w:p>
    <w:p w14:paraId="758FDE9F">
      <w:pPr>
        <w:jc w:val="left"/>
        <w:rPr>
          <w:rFonts w:ascii="宋体" w:hAnsi="宋体"/>
          <w:kern w:val="44"/>
        </w:rPr>
      </w:pPr>
    </w:p>
    <w:p w14:paraId="16859A7D">
      <w:pPr>
        <w:ind w:firstLine="0" w:firstLineChars="0"/>
        <w:jc w:val="center"/>
        <w:rPr>
          <w:rFonts w:ascii="宋体" w:hAnsi="宋体"/>
          <w:b/>
          <w:kern w:val="44"/>
          <w:sz w:val="28"/>
        </w:rPr>
      </w:pPr>
      <w:r>
        <w:rPr>
          <w:rFonts w:hint="eastAsia" w:ascii="宋体" w:hAnsi="宋体"/>
          <w:b/>
          <w:kern w:val="44"/>
          <w:sz w:val="28"/>
        </w:rPr>
        <w:t>第五章  附　则</w:t>
      </w:r>
    </w:p>
    <w:p w14:paraId="0BBFC545">
      <w:pPr>
        <w:jc w:val="left"/>
        <w:rPr>
          <w:rFonts w:ascii="宋体" w:hAnsi="宋体"/>
          <w:kern w:val="44"/>
        </w:rPr>
      </w:pPr>
    </w:p>
    <w:p w14:paraId="22F95558">
      <w:pPr>
        <w:ind w:firstLine="422"/>
        <w:jc w:val="left"/>
        <w:rPr>
          <w:rFonts w:ascii="宋体" w:hAnsi="宋体"/>
          <w:kern w:val="44"/>
        </w:rPr>
      </w:pPr>
      <w:r>
        <w:rPr>
          <w:rFonts w:hint="eastAsia" w:ascii="宋体" w:hAnsi="宋体"/>
          <w:b/>
          <w:kern w:val="44"/>
        </w:rPr>
        <w:t>第四十八条</w:t>
      </w:r>
      <w:r>
        <w:rPr>
          <w:rFonts w:hint="eastAsia" w:ascii="宋体" w:hAnsi="宋体"/>
          <w:kern w:val="44"/>
        </w:rPr>
        <w:t>　本条例自公布之日起施行。</w:t>
      </w:r>
    </w:p>
    <w:p w14:paraId="5B309CF9">
      <w:pPr>
        <w:pStyle w:val="4"/>
        <w:pageBreakBefore/>
        <w:rPr>
          <w:kern w:val="44"/>
        </w:rPr>
      </w:pPr>
      <w:bookmarkStart w:id="204" w:name="_Toc428781452"/>
      <w:bookmarkStart w:id="205" w:name="_Toc428779970"/>
      <w:bookmarkStart w:id="206" w:name="_Toc427651404"/>
      <w:bookmarkStart w:id="207" w:name="_Toc422471084"/>
      <w:bookmarkStart w:id="208" w:name="_Toc427651746"/>
      <w:r>
        <w:rPr>
          <w:rFonts w:hint="eastAsia"/>
          <w:kern w:val="44"/>
        </w:rPr>
        <w:t>北京市各级人民代表大会常务委员会</w:t>
      </w:r>
      <w:bookmarkEnd w:id="204"/>
      <w:bookmarkEnd w:id="205"/>
      <w:bookmarkEnd w:id="206"/>
      <w:bookmarkEnd w:id="207"/>
      <w:bookmarkEnd w:id="208"/>
    </w:p>
    <w:p w14:paraId="17FBDC7C">
      <w:pPr>
        <w:pStyle w:val="4"/>
        <w:rPr>
          <w:kern w:val="44"/>
        </w:rPr>
      </w:pPr>
      <w:bookmarkStart w:id="209" w:name="_Toc428781453"/>
      <w:bookmarkStart w:id="210" w:name="_Toc427651405"/>
      <w:bookmarkStart w:id="211" w:name="_Toc422471085"/>
      <w:bookmarkStart w:id="212" w:name="_Toc427651747"/>
      <w:bookmarkStart w:id="213" w:name="_Toc428779971"/>
      <w:r>
        <w:rPr>
          <w:rFonts w:hint="eastAsia"/>
          <w:kern w:val="44"/>
        </w:rPr>
        <w:t>规范性文件备案审查条例</w:t>
      </w:r>
      <w:bookmarkEnd w:id="209"/>
      <w:bookmarkEnd w:id="210"/>
      <w:bookmarkEnd w:id="211"/>
      <w:bookmarkEnd w:id="212"/>
      <w:bookmarkEnd w:id="213"/>
    </w:p>
    <w:p w14:paraId="56E390F5">
      <w:pPr>
        <w:ind w:left="630" w:leftChars="300" w:right="630" w:rightChars="300"/>
        <w:jc w:val="left"/>
        <w:rPr>
          <w:rFonts w:ascii="楷体" w:hAnsi="楷体" w:eastAsia="楷体"/>
          <w:kern w:val="44"/>
        </w:rPr>
      </w:pPr>
      <w:r>
        <w:rPr>
          <w:rFonts w:hint="eastAsia" w:ascii="楷体" w:hAnsi="楷体" w:eastAsia="楷体"/>
          <w:kern w:val="44"/>
        </w:rPr>
        <w:t>（2012年9月28日北京市第十三届人民代表大会常务委员会第三十五次会议通过 ）</w:t>
      </w:r>
    </w:p>
    <w:p w14:paraId="528CA44E">
      <w:pPr>
        <w:ind w:left="630" w:leftChars="300" w:right="630" w:rightChars="300"/>
        <w:jc w:val="left"/>
        <w:rPr>
          <w:rFonts w:ascii="楷体" w:hAnsi="楷体" w:eastAsia="楷体"/>
          <w:kern w:val="44"/>
        </w:rPr>
      </w:pPr>
    </w:p>
    <w:p w14:paraId="54BA183A">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规范性文件的备案审查工作，维护国家法制统一，保障公民、法人和其他组织的合法权益，根据《中华人民共和国各级人民代表大会常务委员会监督法》、《中华人民共和国立法法》等法律的规定，结合本市实际，制定本条例。</w:t>
      </w:r>
    </w:p>
    <w:p w14:paraId="6E2C5107">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所称规范性文件，是指市人民政府，区县人民代表大会及其常务委员会、区县人民政府，以及乡、民族乡、镇人民代表大会在其法定职权范围内按照一定程序制定，涉及公民、法人和其他组织权利和义务，在较长时间内具有普遍约束力的文件。</w:t>
      </w:r>
    </w:p>
    <w:p w14:paraId="4AA9C354">
      <w:pPr>
        <w:ind w:firstLine="422"/>
        <w:jc w:val="left"/>
        <w:rPr>
          <w:rFonts w:ascii="宋体" w:hAnsi="宋体"/>
          <w:kern w:val="44"/>
        </w:rPr>
      </w:pPr>
      <w:r>
        <w:rPr>
          <w:rFonts w:hint="eastAsia" w:ascii="宋体" w:hAnsi="宋体"/>
          <w:b/>
          <w:kern w:val="44"/>
        </w:rPr>
        <w:t>第三条</w:t>
      </w:r>
      <w:r>
        <w:rPr>
          <w:rFonts w:hint="eastAsia" w:ascii="宋体" w:hAnsi="宋体"/>
          <w:kern w:val="44"/>
        </w:rPr>
        <w:t>　下列规范性文件，应当报送市人大常委会备案：</w:t>
      </w:r>
    </w:p>
    <w:p w14:paraId="2A762029">
      <w:pPr>
        <w:jc w:val="left"/>
        <w:rPr>
          <w:rFonts w:ascii="宋体" w:hAnsi="宋体"/>
          <w:kern w:val="44"/>
        </w:rPr>
      </w:pPr>
      <w:r>
        <w:rPr>
          <w:rFonts w:hint="eastAsia" w:ascii="宋体" w:hAnsi="宋体"/>
          <w:kern w:val="44"/>
        </w:rPr>
        <w:t>（一）市人民政府制定的规章；</w:t>
      </w:r>
    </w:p>
    <w:p w14:paraId="4D3CD27A">
      <w:pPr>
        <w:jc w:val="left"/>
        <w:rPr>
          <w:rFonts w:ascii="宋体" w:hAnsi="宋体"/>
          <w:kern w:val="44"/>
        </w:rPr>
      </w:pPr>
      <w:r>
        <w:rPr>
          <w:rFonts w:hint="eastAsia" w:ascii="宋体" w:hAnsi="宋体"/>
          <w:kern w:val="44"/>
        </w:rPr>
        <w:t>（二）市人民政府发布的决定、命令及其他规范性文件；</w:t>
      </w:r>
    </w:p>
    <w:p w14:paraId="4B7D25B0">
      <w:pPr>
        <w:jc w:val="left"/>
        <w:rPr>
          <w:rFonts w:ascii="宋体" w:hAnsi="宋体"/>
          <w:kern w:val="44"/>
        </w:rPr>
      </w:pPr>
      <w:r>
        <w:rPr>
          <w:rFonts w:hint="eastAsia" w:ascii="宋体" w:hAnsi="宋体"/>
          <w:kern w:val="44"/>
        </w:rPr>
        <w:t>（三）区县人民代表大会及其常务委员会作出的决议、决定。</w:t>
      </w:r>
    </w:p>
    <w:p w14:paraId="4330EAAB">
      <w:pPr>
        <w:ind w:firstLine="422"/>
        <w:jc w:val="left"/>
        <w:rPr>
          <w:rFonts w:ascii="宋体" w:hAnsi="宋体"/>
          <w:kern w:val="44"/>
        </w:rPr>
      </w:pPr>
      <w:r>
        <w:rPr>
          <w:rFonts w:hint="eastAsia" w:ascii="宋体" w:hAnsi="宋体"/>
          <w:b/>
          <w:kern w:val="44"/>
        </w:rPr>
        <w:t>第四条</w:t>
      </w:r>
      <w:r>
        <w:rPr>
          <w:rFonts w:hint="eastAsia" w:ascii="宋体" w:hAnsi="宋体"/>
          <w:kern w:val="44"/>
        </w:rPr>
        <w:t>　下列规范性文件，应当报送区县人大常委会备案：</w:t>
      </w:r>
    </w:p>
    <w:p w14:paraId="6A60AB90">
      <w:pPr>
        <w:jc w:val="left"/>
        <w:rPr>
          <w:rFonts w:ascii="宋体" w:hAnsi="宋体"/>
          <w:kern w:val="44"/>
        </w:rPr>
      </w:pPr>
      <w:r>
        <w:rPr>
          <w:rFonts w:hint="eastAsia" w:ascii="宋体" w:hAnsi="宋体"/>
          <w:kern w:val="44"/>
        </w:rPr>
        <w:t>（一）区县人民政府发布的决定、命令及其他规范性文件；</w:t>
      </w:r>
    </w:p>
    <w:p w14:paraId="4FE081AB">
      <w:pPr>
        <w:jc w:val="left"/>
        <w:rPr>
          <w:rFonts w:ascii="宋体" w:hAnsi="宋体"/>
          <w:kern w:val="44"/>
        </w:rPr>
      </w:pPr>
      <w:r>
        <w:rPr>
          <w:rFonts w:hint="eastAsia" w:ascii="宋体" w:hAnsi="宋体"/>
          <w:kern w:val="44"/>
        </w:rPr>
        <w:t>（二）乡、民族乡、镇人民代表大会作出的决议、决定。</w:t>
      </w:r>
    </w:p>
    <w:p w14:paraId="4FED69F4">
      <w:pPr>
        <w:ind w:firstLine="422"/>
        <w:jc w:val="left"/>
        <w:rPr>
          <w:rFonts w:ascii="宋体" w:hAnsi="宋体"/>
          <w:kern w:val="44"/>
        </w:rPr>
      </w:pPr>
      <w:r>
        <w:rPr>
          <w:rFonts w:hint="eastAsia" w:ascii="宋体" w:hAnsi="宋体"/>
          <w:b/>
          <w:kern w:val="44"/>
        </w:rPr>
        <w:t>第五条</w:t>
      </w:r>
      <w:r>
        <w:rPr>
          <w:rFonts w:hint="eastAsia" w:ascii="宋体" w:hAnsi="宋体"/>
          <w:kern w:val="44"/>
        </w:rPr>
        <w:t>　规范性文件制定机关确定的报送备案工作机构应当将规范性文件自公布之日起三十日内报送备案。</w:t>
      </w:r>
    </w:p>
    <w:p w14:paraId="394EC931">
      <w:pPr>
        <w:jc w:val="left"/>
        <w:rPr>
          <w:rFonts w:ascii="宋体" w:hAnsi="宋体"/>
          <w:kern w:val="44"/>
        </w:rPr>
      </w:pPr>
      <w:r>
        <w:rPr>
          <w:rFonts w:hint="eastAsia" w:ascii="宋体" w:hAnsi="宋体"/>
          <w:kern w:val="44"/>
        </w:rPr>
        <w:t>报送规范性文件备案，应当提交备案报告、规范性文件正式文本，有说明和附件的应当附说明和附件。报送规范性文件备案材料应当一式五份，并附电子文本。</w:t>
      </w:r>
    </w:p>
    <w:p w14:paraId="2AE95899">
      <w:pPr>
        <w:jc w:val="left"/>
        <w:rPr>
          <w:rFonts w:ascii="宋体" w:hAnsi="宋体"/>
          <w:kern w:val="44"/>
        </w:rPr>
      </w:pPr>
      <w:r>
        <w:rPr>
          <w:rFonts w:hint="eastAsia" w:ascii="宋体" w:hAnsi="宋体"/>
          <w:kern w:val="44"/>
        </w:rPr>
        <w:t>每年3月1日前，规范性文件制定机关应当将其上一年度制定和废止的规范性文件目录报送备案机关备查。</w:t>
      </w:r>
    </w:p>
    <w:p w14:paraId="7EB62C2B">
      <w:pPr>
        <w:ind w:firstLine="422"/>
        <w:jc w:val="left"/>
        <w:rPr>
          <w:rFonts w:ascii="宋体" w:hAnsi="宋体"/>
          <w:kern w:val="44"/>
        </w:rPr>
      </w:pPr>
      <w:r>
        <w:rPr>
          <w:rFonts w:hint="eastAsia" w:ascii="宋体" w:hAnsi="宋体"/>
          <w:b/>
          <w:kern w:val="44"/>
        </w:rPr>
        <w:t>第六条</w:t>
      </w:r>
      <w:r>
        <w:rPr>
          <w:rFonts w:hint="eastAsia" w:ascii="宋体" w:hAnsi="宋体"/>
          <w:kern w:val="44"/>
        </w:rPr>
        <w:t>　市人大常委会规范性文件备案审查办公室和区县人大常委会确定的规范性文件备案审查工作机构（以下简称备案审查工作机构）负责对备案的规范性文件登记，进行研究，并送有关专门委员会或者常委会有关工作机构审查。</w:t>
      </w:r>
    </w:p>
    <w:p w14:paraId="1E54BA5A">
      <w:pPr>
        <w:jc w:val="left"/>
        <w:rPr>
          <w:rFonts w:ascii="宋体" w:hAnsi="宋体"/>
          <w:kern w:val="44"/>
        </w:rPr>
      </w:pPr>
      <w:r>
        <w:rPr>
          <w:rFonts w:hint="eastAsia" w:ascii="宋体" w:hAnsi="宋体"/>
          <w:kern w:val="44"/>
        </w:rPr>
        <w:t>备案审查工作机构应当向社会公布备案的规范性文件目录。</w:t>
      </w:r>
    </w:p>
    <w:p w14:paraId="18A09668">
      <w:pPr>
        <w:ind w:firstLine="422"/>
        <w:jc w:val="left"/>
        <w:rPr>
          <w:rFonts w:ascii="宋体" w:hAnsi="宋体"/>
          <w:kern w:val="44"/>
        </w:rPr>
      </w:pPr>
      <w:r>
        <w:rPr>
          <w:rFonts w:hint="eastAsia" w:ascii="宋体" w:hAnsi="宋体"/>
          <w:b/>
          <w:kern w:val="44"/>
        </w:rPr>
        <w:t>第七条</w:t>
      </w:r>
      <w:r>
        <w:rPr>
          <w:rFonts w:hint="eastAsia" w:ascii="宋体" w:hAnsi="宋体"/>
          <w:kern w:val="44"/>
        </w:rPr>
        <w:t>　市人民政府、市高级人民法院、市人民检察院、区县人大常委会认为市人大常委会接受备案的规范性文件与法律、法规相抵触的，可以向市人大常委会书面提出审查要求，由市人大常委会规范性文件备案审查办公室接收、登记，进行研究，并送有关专门委员会或者常委会有关工作机构对该规范性文件进行审查。</w:t>
      </w:r>
    </w:p>
    <w:p w14:paraId="4E8B1183">
      <w:pPr>
        <w:jc w:val="left"/>
        <w:rPr>
          <w:rFonts w:ascii="宋体" w:hAnsi="宋体"/>
          <w:kern w:val="44"/>
        </w:rPr>
      </w:pPr>
      <w:r>
        <w:rPr>
          <w:rFonts w:hint="eastAsia" w:ascii="宋体" w:hAnsi="宋体"/>
          <w:kern w:val="44"/>
        </w:rPr>
        <w:t>区县人民政府、区县人民法院、区县人民检察院认为区县人大常委会接受备案的规范性文件与法律、法规相抵触的，可以向区县人大常委会书面提出审查要求，由负责规范性文件备案审查的工作机构接收、登记，进行研究，并送常委会有关工作机构对该规范性文件进行审查。</w:t>
      </w:r>
    </w:p>
    <w:p w14:paraId="2F0A486E">
      <w:pPr>
        <w:ind w:firstLine="422"/>
        <w:jc w:val="left"/>
        <w:rPr>
          <w:rFonts w:ascii="宋体" w:hAnsi="宋体"/>
          <w:kern w:val="44"/>
        </w:rPr>
      </w:pPr>
      <w:r>
        <w:rPr>
          <w:rFonts w:hint="eastAsia" w:ascii="宋体" w:hAnsi="宋体"/>
          <w:b/>
          <w:kern w:val="44"/>
        </w:rPr>
        <w:t>第八条</w:t>
      </w:r>
      <w:r>
        <w:rPr>
          <w:rFonts w:hint="eastAsia" w:ascii="宋体" w:hAnsi="宋体"/>
          <w:kern w:val="44"/>
        </w:rPr>
        <w:t>　本条例第七条规定之外的其他国家机关、社会团体、企业事业组织以及公民认为规范性文件与法律、法规相抵触的，可以向接受该规范性文件备案的市或者区县人大常委会书面提出审查建议，由备案审查工作机构接收、登记，并进行研究，必要时，送有关专门委员会或者常委会有关工作机构进行审查。</w:t>
      </w:r>
    </w:p>
    <w:p w14:paraId="4629602B">
      <w:pPr>
        <w:ind w:firstLine="422"/>
        <w:jc w:val="left"/>
        <w:rPr>
          <w:rFonts w:ascii="宋体" w:hAnsi="宋体"/>
          <w:kern w:val="44"/>
        </w:rPr>
      </w:pPr>
      <w:r>
        <w:rPr>
          <w:rFonts w:hint="eastAsia" w:ascii="宋体" w:hAnsi="宋体"/>
          <w:b/>
          <w:kern w:val="44"/>
        </w:rPr>
        <w:t>第九条</w:t>
      </w:r>
      <w:r>
        <w:rPr>
          <w:rFonts w:hint="eastAsia" w:ascii="宋体" w:hAnsi="宋体"/>
          <w:kern w:val="44"/>
        </w:rPr>
        <w:t>　国家机关、社会团体、企业事业组织以及公民书面提出审查要求或者审查建议，应当写明要求或者建议审查的规范性文件名称、审查的事项和理由。</w:t>
      </w:r>
    </w:p>
    <w:p w14:paraId="65F90606">
      <w:pPr>
        <w:jc w:val="left"/>
        <w:rPr>
          <w:rFonts w:ascii="宋体" w:hAnsi="宋体"/>
          <w:kern w:val="44"/>
        </w:rPr>
      </w:pPr>
      <w:r>
        <w:rPr>
          <w:rFonts w:hint="eastAsia" w:ascii="宋体" w:hAnsi="宋体"/>
          <w:kern w:val="44"/>
        </w:rPr>
        <w:t>备案审查工作机构应当自收到审查要求或者审查建议之日起十五日内，将收到情况以书面、电子邮件等形式告知提出审查要求或者审查建议的国家机关、社会团体、企业事业组织或者公民。对不属于本级人大常委会备案审查范围的审查要求或者审查建议，应当告知其向有权进行备案审查的机关提出。</w:t>
      </w:r>
    </w:p>
    <w:p w14:paraId="305DD55D">
      <w:pPr>
        <w:ind w:firstLine="422"/>
        <w:jc w:val="left"/>
        <w:rPr>
          <w:rFonts w:ascii="宋体" w:hAnsi="宋体"/>
          <w:kern w:val="44"/>
        </w:rPr>
      </w:pPr>
      <w:r>
        <w:rPr>
          <w:rFonts w:hint="eastAsia" w:ascii="宋体" w:hAnsi="宋体"/>
          <w:b/>
          <w:kern w:val="44"/>
        </w:rPr>
        <w:t>第十条</w:t>
      </w:r>
      <w:r>
        <w:rPr>
          <w:rFonts w:hint="eastAsia" w:ascii="宋体" w:hAnsi="宋体"/>
          <w:kern w:val="44"/>
        </w:rPr>
        <w:t>　市人大专门委员会或者市和区县人大常委会工作机构对规范性文件进行审查，认为存在下列不适当情形的，应当会同备案审查工作机构提出书面审查意见，经主任会议研究同意后，建议制定机关自行修改或者废止：</w:t>
      </w:r>
    </w:p>
    <w:p w14:paraId="37A06CB7">
      <w:pPr>
        <w:jc w:val="left"/>
        <w:rPr>
          <w:rFonts w:ascii="宋体" w:hAnsi="宋体"/>
          <w:kern w:val="44"/>
        </w:rPr>
      </w:pPr>
      <w:r>
        <w:rPr>
          <w:rFonts w:hint="eastAsia" w:ascii="宋体" w:hAnsi="宋体"/>
          <w:kern w:val="44"/>
        </w:rPr>
        <w:t>（一）超越法定权限，限制或者剥夺公民、法人和其他组织的合法权利，或者增加公民、法人和其他组织的义务；</w:t>
      </w:r>
    </w:p>
    <w:p w14:paraId="38B1E122">
      <w:pPr>
        <w:jc w:val="left"/>
        <w:rPr>
          <w:rFonts w:ascii="宋体" w:hAnsi="宋体"/>
          <w:kern w:val="44"/>
        </w:rPr>
      </w:pPr>
      <w:r>
        <w:rPr>
          <w:rFonts w:hint="eastAsia" w:ascii="宋体" w:hAnsi="宋体"/>
          <w:kern w:val="44"/>
        </w:rPr>
        <w:t>（二）同法律、法规相抵触；</w:t>
      </w:r>
    </w:p>
    <w:p w14:paraId="41289963">
      <w:pPr>
        <w:jc w:val="left"/>
        <w:rPr>
          <w:rFonts w:ascii="宋体" w:hAnsi="宋体"/>
          <w:kern w:val="44"/>
        </w:rPr>
      </w:pPr>
      <w:r>
        <w:rPr>
          <w:rFonts w:hint="eastAsia" w:ascii="宋体" w:hAnsi="宋体"/>
          <w:kern w:val="44"/>
        </w:rPr>
        <w:t>（三）同上级或者本级人民代表大会及其常务委员会的决议、决定相抵触；</w:t>
      </w:r>
    </w:p>
    <w:p w14:paraId="16DDDE91">
      <w:pPr>
        <w:jc w:val="left"/>
        <w:rPr>
          <w:rFonts w:ascii="宋体" w:hAnsi="宋体"/>
          <w:kern w:val="44"/>
        </w:rPr>
      </w:pPr>
      <w:r>
        <w:rPr>
          <w:rFonts w:hint="eastAsia" w:ascii="宋体" w:hAnsi="宋体"/>
          <w:kern w:val="44"/>
        </w:rPr>
        <w:t>（四）违背法定程序；</w:t>
      </w:r>
    </w:p>
    <w:p w14:paraId="227343AD">
      <w:pPr>
        <w:jc w:val="left"/>
        <w:rPr>
          <w:rFonts w:ascii="宋体" w:hAnsi="宋体"/>
          <w:kern w:val="44"/>
        </w:rPr>
      </w:pPr>
      <w:r>
        <w:rPr>
          <w:rFonts w:hint="eastAsia" w:ascii="宋体" w:hAnsi="宋体"/>
          <w:kern w:val="44"/>
        </w:rPr>
        <w:t>（五）有其他不适当的情形。</w:t>
      </w:r>
    </w:p>
    <w:p w14:paraId="4083D0F8">
      <w:pPr>
        <w:jc w:val="left"/>
        <w:rPr>
          <w:rFonts w:ascii="宋体" w:hAnsi="宋体"/>
          <w:kern w:val="44"/>
        </w:rPr>
      </w:pPr>
      <w:r>
        <w:rPr>
          <w:rFonts w:hint="eastAsia" w:ascii="宋体" w:hAnsi="宋体"/>
          <w:kern w:val="44"/>
        </w:rPr>
        <w:t>市人大专门委员会或者市和区县人大常委会工作机构审查规范性文件，需要了解相关情况的，可以要求规范性文件的制定机关说明情况或者提供相关材料。</w:t>
      </w:r>
    </w:p>
    <w:p w14:paraId="323BF7B2">
      <w:pPr>
        <w:jc w:val="left"/>
        <w:rPr>
          <w:rFonts w:ascii="宋体" w:hAnsi="宋体"/>
          <w:kern w:val="44"/>
        </w:rPr>
      </w:pPr>
      <w:r>
        <w:rPr>
          <w:rFonts w:hint="eastAsia" w:ascii="宋体" w:hAnsi="宋体"/>
          <w:kern w:val="44"/>
        </w:rPr>
        <w:t>在书面审查意见提请主任会议研究前，备案审查工作机构应当会同有关专门委员会或者常委会工作机构与制定机关沟通情况，征询意见。</w:t>
      </w:r>
    </w:p>
    <w:p w14:paraId="02AE6C86">
      <w:pPr>
        <w:ind w:firstLine="422"/>
        <w:jc w:val="left"/>
        <w:rPr>
          <w:rFonts w:ascii="宋体" w:hAnsi="宋体"/>
          <w:kern w:val="44"/>
        </w:rPr>
      </w:pPr>
      <w:r>
        <w:rPr>
          <w:rFonts w:hint="eastAsia" w:ascii="宋体" w:hAnsi="宋体"/>
          <w:b/>
          <w:kern w:val="44"/>
        </w:rPr>
        <w:t>第十一条</w:t>
      </w:r>
      <w:r>
        <w:rPr>
          <w:rFonts w:hint="eastAsia" w:ascii="宋体" w:hAnsi="宋体"/>
          <w:kern w:val="44"/>
        </w:rPr>
        <w:t>　规范性文件的制定机关收到书面审查意见后，应当在六十日内提出是否修改或者废止的书面意见，并送提出审查意见的市或者区县人大常委会。</w:t>
      </w:r>
    </w:p>
    <w:p w14:paraId="7EA56965">
      <w:pPr>
        <w:jc w:val="left"/>
        <w:rPr>
          <w:rFonts w:ascii="宋体" w:hAnsi="宋体"/>
          <w:kern w:val="44"/>
        </w:rPr>
      </w:pPr>
      <w:r>
        <w:rPr>
          <w:rFonts w:hint="eastAsia" w:ascii="宋体" w:hAnsi="宋体"/>
          <w:kern w:val="44"/>
        </w:rPr>
        <w:t>规范性文件的制定机关认为被审查的规范性文件无需修改或者废止的，应当说明理由。</w:t>
      </w:r>
    </w:p>
    <w:p w14:paraId="0C79258C">
      <w:pPr>
        <w:jc w:val="left"/>
        <w:rPr>
          <w:rFonts w:ascii="宋体" w:hAnsi="宋体"/>
          <w:kern w:val="44"/>
        </w:rPr>
      </w:pPr>
      <w:r>
        <w:rPr>
          <w:rFonts w:hint="eastAsia" w:ascii="宋体" w:hAnsi="宋体"/>
          <w:kern w:val="44"/>
        </w:rPr>
        <w:t>规范性文件的制定机关按照审查意见对规范性文件进行修改或者废止的，应当将修改后的规范性文件或者废止规范性文件的情况向提出该规范性文件审查意见的市或者区县人大常委会备案。</w:t>
      </w:r>
    </w:p>
    <w:p w14:paraId="50B7105B">
      <w:pPr>
        <w:ind w:firstLine="422"/>
        <w:jc w:val="left"/>
        <w:rPr>
          <w:rFonts w:ascii="宋体" w:hAnsi="宋体"/>
          <w:kern w:val="44"/>
        </w:rPr>
      </w:pPr>
      <w:r>
        <w:rPr>
          <w:rFonts w:hint="eastAsia" w:ascii="宋体" w:hAnsi="宋体"/>
          <w:b/>
          <w:kern w:val="44"/>
        </w:rPr>
        <w:t>第十二条</w:t>
      </w:r>
      <w:r>
        <w:rPr>
          <w:rFonts w:hint="eastAsia" w:ascii="宋体" w:hAnsi="宋体"/>
          <w:kern w:val="44"/>
        </w:rPr>
        <w:t>　市人大专门委员会或者市和区县人大常委会工作机构认为规范性文件制定机关提出的无需修改或者废止的理由不成立的，应当会同备案审查工作机构向主任会议报告，并提出予以撤销的建议。</w:t>
      </w:r>
    </w:p>
    <w:p w14:paraId="0785F324">
      <w:pPr>
        <w:jc w:val="left"/>
        <w:rPr>
          <w:rFonts w:ascii="宋体" w:hAnsi="宋体"/>
          <w:kern w:val="44"/>
        </w:rPr>
      </w:pPr>
      <w:r>
        <w:rPr>
          <w:rFonts w:hint="eastAsia" w:ascii="宋体" w:hAnsi="宋体"/>
          <w:kern w:val="44"/>
        </w:rPr>
        <w:t>主任会议认为该规范性文件应当予以撤销的，可以提出议案，提请常委会会议审议；市人大有关专门委员会也可以提出撤销该规范性文件的议案，由主任会议决定是否提请常委会会议审议。</w:t>
      </w:r>
    </w:p>
    <w:p w14:paraId="4F6AFDEA">
      <w:pPr>
        <w:ind w:firstLine="422"/>
        <w:jc w:val="left"/>
        <w:rPr>
          <w:rFonts w:ascii="宋体" w:hAnsi="宋体"/>
          <w:kern w:val="44"/>
        </w:rPr>
      </w:pPr>
      <w:r>
        <w:rPr>
          <w:rFonts w:hint="eastAsia" w:ascii="宋体" w:hAnsi="宋体"/>
          <w:b/>
          <w:kern w:val="44"/>
        </w:rPr>
        <w:t>第十三条</w:t>
      </w:r>
      <w:r>
        <w:rPr>
          <w:rFonts w:hint="eastAsia" w:ascii="宋体" w:hAnsi="宋体"/>
          <w:kern w:val="44"/>
        </w:rPr>
        <w:t>　市或者区县人大常委会会议审议有关撤销规范性文件的议案，依照本级人大常委会议事规则的有关规定办理。常委会撤销规范性文件的决定应当向社会公布。</w:t>
      </w:r>
    </w:p>
    <w:p w14:paraId="3AB8A596">
      <w:pPr>
        <w:ind w:firstLine="422"/>
        <w:jc w:val="left"/>
        <w:rPr>
          <w:rFonts w:ascii="宋体" w:hAnsi="宋体"/>
          <w:kern w:val="44"/>
        </w:rPr>
      </w:pPr>
      <w:r>
        <w:rPr>
          <w:rFonts w:hint="eastAsia" w:ascii="宋体" w:hAnsi="宋体"/>
          <w:b/>
          <w:kern w:val="44"/>
        </w:rPr>
        <w:t>第十四条</w:t>
      </w:r>
      <w:r>
        <w:rPr>
          <w:rFonts w:hint="eastAsia" w:ascii="宋体" w:hAnsi="宋体"/>
          <w:kern w:val="44"/>
        </w:rPr>
        <w:t>　根据审查要求或者审查建议进行的规范性文件审查工作结束后，备案审查工作机构应当将审查结果书面告知提出审查要求或者审查建议的国家机关、社会团体、企业事业组织或者公民。</w:t>
      </w:r>
    </w:p>
    <w:p w14:paraId="0A2A1943">
      <w:pPr>
        <w:ind w:firstLine="422"/>
        <w:jc w:val="left"/>
        <w:rPr>
          <w:rFonts w:ascii="宋体" w:hAnsi="宋体"/>
          <w:kern w:val="44"/>
        </w:rPr>
      </w:pPr>
      <w:r>
        <w:rPr>
          <w:rFonts w:hint="eastAsia" w:ascii="宋体" w:hAnsi="宋体"/>
          <w:b/>
          <w:kern w:val="44"/>
        </w:rPr>
        <w:t>第十五条</w:t>
      </w:r>
      <w:r>
        <w:rPr>
          <w:rFonts w:hint="eastAsia" w:ascii="宋体" w:hAnsi="宋体"/>
          <w:kern w:val="44"/>
        </w:rPr>
        <w:t>　备案审查工作机构、市人大专门委员会或者市和区县人大常委会工作机构可以邀请常委会组成人员或者人大代表参加规范性文件审查的研究论证工作；也可以通过召开座谈会、论证会、听证会等方式，听取提出审查要求或者审查建议的国家机关、社会团体、企业事业组织或者公民、相关部门、专家及社会各界的意见。</w:t>
      </w:r>
    </w:p>
    <w:p w14:paraId="1C27F797">
      <w:pPr>
        <w:ind w:firstLine="422"/>
        <w:jc w:val="left"/>
        <w:rPr>
          <w:rFonts w:ascii="宋体" w:hAnsi="宋体"/>
          <w:kern w:val="44"/>
        </w:rPr>
      </w:pPr>
      <w:r>
        <w:rPr>
          <w:rFonts w:hint="eastAsia" w:ascii="宋体" w:hAnsi="宋体"/>
          <w:b/>
          <w:kern w:val="44"/>
        </w:rPr>
        <w:t>第十六条</w:t>
      </w:r>
      <w:r>
        <w:rPr>
          <w:rFonts w:hint="eastAsia" w:ascii="宋体" w:hAnsi="宋体"/>
          <w:kern w:val="44"/>
        </w:rPr>
        <w:t>　备案审查工作机构、市人大专门委员会或者市和区县人大常委会工作机构以及规范性文件制定机关之间，应当加强日常工作的沟通和协调。</w:t>
      </w:r>
    </w:p>
    <w:p w14:paraId="2D6C87FB">
      <w:pPr>
        <w:ind w:firstLine="422"/>
        <w:jc w:val="left"/>
        <w:rPr>
          <w:rFonts w:ascii="宋体" w:hAnsi="宋体"/>
          <w:kern w:val="44"/>
        </w:rPr>
      </w:pPr>
      <w:r>
        <w:rPr>
          <w:rFonts w:hint="eastAsia" w:ascii="宋体" w:hAnsi="宋体"/>
          <w:b/>
          <w:kern w:val="44"/>
        </w:rPr>
        <w:t>第十七条</w:t>
      </w:r>
      <w:r>
        <w:rPr>
          <w:rFonts w:hint="eastAsia" w:ascii="宋体" w:hAnsi="宋体"/>
          <w:kern w:val="44"/>
        </w:rPr>
        <w:t>　规范性文件报送备案工作机构未按照本条例第五条规定的期限将规范性文件报送备案，或者报送的文件材料不齐全的，备案审查工作机构应当通知其限期报送或者补充报送；逾期仍不报送的，备案审查工作机构应当向市或者区县人大常委会主任会议报告，由主任会议决定向规范性文件制定机关予以通报，并限期改正。</w:t>
      </w:r>
    </w:p>
    <w:p w14:paraId="571458B2">
      <w:pPr>
        <w:ind w:firstLine="422"/>
        <w:jc w:val="left"/>
        <w:rPr>
          <w:rFonts w:ascii="宋体" w:hAnsi="宋体"/>
          <w:kern w:val="44"/>
        </w:rPr>
      </w:pPr>
      <w:r>
        <w:rPr>
          <w:rFonts w:hint="eastAsia" w:ascii="宋体" w:hAnsi="宋体"/>
          <w:b/>
          <w:kern w:val="44"/>
        </w:rPr>
        <w:t>第十八条</w:t>
      </w:r>
      <w:r>
        <w:rPr>
          <w:rFonts w:hint="eastAsia" w:ascii="宋体" w:hAnsi="宋体"/>
          <w:kern w:val="44"/>
        </w:rPr>
        <w:t>　实施本条例的工作程序，由市和区县人大常委会办公厅（室）制定。</w:t>
      </w:r>
    </w:p>
    <w:p w14:paraId="058C42AE">
      <w:pPr>
        <w:ind w:firstLine="422"/>
        <w:jc w:val="left"/>
        <w:rPr>
          <w:rFonts w:ascii="宋体" w:hAnsi="宋体"/>
          <w:kern w:val="44"/>
        </w:rPr>
      </w:pPr>
      <w:r>
        <w:rPr>
          <w:rFonts w:hint="eastAsia" w:ascii="宋体" w:hAnsi="宋体"/>
          <w:b/>
          <w:kern w:val="44"/>
        </w:rPr>
        <w:t>第十九条</w:t>
      </w:r>
      <w:r>
        <w:rPr>
          <w:rFonts w:hint="eastAsia" w:ascii="宋体" w:hAnsi="宋体"/>
          <w:kern w:val="44"/>
        </w:rPr>
        <w:t>　本条例自2013年1月1日起施行。</w:t>
      </w:r>
    </w:p>
    <w:p w14:paraId="3779F353">
      <w:pPr>
        <w:pStyle w:val="4"/>
        <w:pageBreakBefore/>
        <w:rPr>
          <w:kern w:val="44"/>
        </w:rPr>
      </w:pPr>
      <w:bookmarkStart w:id="214" w:name="_Toc428781454"/>
      <w:bookmarkStart w:id="215" w:name="_Toc422471086"/>
      <w:bookmarkStart w:id="216" w:name="_Toc427651406"/>
      <w:bookmarkStart w:id="217" w:name="_Toc428779972"/>
      <w:bookmarkStart w:id="218" w:name="_Toc427651748"/>
      <w:r>
        <w:rPr>
          <w:rFonts w:hint="eastAsia"/>
          <w:kern w:val="44"/>
        </w:rPr>
        <w:t>北京市人民政府规章制定办法</w:t>
      </w:r>
      <w:bookmarkEnd w:id="214"/>
      <w:bookmarkEnd w:id="215"/>
      <w:bookmarkEnd w:id="216"/>
      <w:bookmarkEnd w:id="217"/>
      <w:bookmarkEnd w:id="218"/>
    </w:p>
    <w:p w14:paraId="0215FC1E">
      <w:pPr>
        <w:ind w:left="630" w:leftChars="300" w:right="630" w:rightChars="300"/>
        <w:jc w:val="left"/>
        <w:rPr>
          <w:rFonts w:ascii="楷体" w:hAnsi="楷体" w:eastAsia="楷体"/>
          <w:kern w:val="44"/>
        </w:rPr>
      </w:pPr>
      <w:r>
        <w:rPr>
          <w:rFonts w:hint="eastAsia" w:ascii="楷体" w:hAnsi="楷体" w:eastAsia="楷体"/>
          <w:kern w:val="44"/>
        </w:rPr>
        <w:t>（2002年4月25日北京市人民政府第47次常务会议通过  2002年4月29日北京市人民政府第97号令发布）</w:t>
      </w:r>
    </w:p>
    <w:p w14:paraId="40839F95">
      <w:pPr>
        <w:ind w:left="630" w:leftChars="300" w:right="630" w:rightChars="300"/>
        <w:jc w:val="left"/>
        <w:rPr>
          <w:rFonts w:ascii="楷体" w:hAnsi="楷体" w:eastAsia="楷体"/>
          <w:kern w:val="44"/>
        </w:rPr>
      </w:pPr>
    </w:p>
    <w:p w14:paraId="3AFB4883">
      <w:pPr>
        <w:ind w:firstLine="0" w:firstLineChars="0"/>
        <w:jc w:val="center"/>
        <w:rPr>
          <w:rFonts w:ascii="宋体" w:hAnsi="宋体"/>
          <w:b/>
          <w:kern w:val="44"/>
          <w:sz w:val="28"/>
        </w:rPr>
      </w:pPr>
      <w:r>
        <w:rPr>
          <w:rFonts w:hint="eastAsia" w:ascii="宋体" w:hAnsi="宋体"/>
          <w:b/>
          <w:kern w:val="44"/>
          <w:sz w:val="28"/>
        </w:rPr>
        <w:t>第一章　总　则</w:t>
      </w:r>
    </w:p>
    <w:p w14:paraId="2C5E1F34">
      <w:pPr>
        <w:jc w:val="left"/>
        <w:rPr>
          <w:rFonts w:ascii="宋体" w:hAnsi="宋体"/>
          <w:kern w:val="44"/>
        </w:rPr>
      </w:pPr>
    </w:p>
    <w:p w14:paraId="0765EFAD">
      <w:pPr>
        <w:ind w:firstLine="422"/>
        <w:jc w:val="left"/>
        <w:rPr>
          <w:rFonts w:ascii="宋体" w:hAnsi="宋体"/>
          <w:kern w:val="44"/>
        </w:rPr>
      </w:pPr>
      <w:r>
        <w:rPr>
          <w:rFonts w:hint="eastAsia" w:ascii="宋体" w:hAnsi="宋体"/>
          <w:b/>
          <w:kern w:val="44"/>
        </w:rPr>
        <w:t>第一条</w:t>
      </w:r>
      <w:r>
        <w:rPr>
          <w:rFonts w:hint="eastAsia" w:ascii="宋体" w:hAnsi="宋体"/>
          <w:kern w:val="44"/>
        </w:rPr>
        <w:t>　为贯彻《中华人民共和国立法法》（以下简称《立法法》）、《规章制定程序条例》（以下简称《条例》），规范市人民政府规章制定工作，保证市人民政府规章质量，结合本市实际情况，制定本办法。</w:t>
      </w:r>
    </w:p>
    <w:p w14:paraId="09F8198B">
      <w:pPr>
        <w:ind w:firstLine="422"/>
        <w:jc w:val="left"/>
        <w:rPr>
          <w:rFonts w:ascii="宋体" w:hAnsi="宋体"/>
          <w:kern w:val="44"/>
        </w:rPr>
      </w:pPr>
      <w:r>
        <w:rPr>
          <w:rFonts w:hint="eastAsia" w:ascii="宋体" w:hAnsi="宋体"/>
          <w:b/>
          <w:kern w:val="44"/>
        </w:rPr>
        <w:t>第二条</w:t>
      </w:r>
      <w:r>
        <w:rPr>
          <w:rFonts w:hint="eastAsia" w:ascii="宋体" w:hAnsi="宋体"/>
          <w:kern w:val="44"/>
        </w:rPr>
        <w:t>　市人民政府规章（以下简称规章）的立项、起草、审查、决定、公布、备案、解释适用本办法。</w:t>
      </w:r>
    </w:p>
    <w:p w14:paraId="136ABE8E">
      <w:pPr>
        <w:ind w:firstLine="422"/>
        <w:jc w:val="left"/>
        <w:rPr>
          <w:rFonts w:ascii="宋体" w:hAnsi="宋体"/>
          <w:kern w:val="44"/>
        </w:rPr>
      </w:pPr>
      <w:r>
        <w:rPr>
          <w:rFonts w:hint="eastAsia" w:ascii="宋体" w:hAnsi="宋体"/>
          <w:b/>
          <w:kern w:val="44"/>
        </w:rPr>
        <w:t>第三条</w:t>
      </w:r>
      <w:r>
        <w:rPr>
          <w:rFonts w:hint="eastAsia" w:ascii="宋体" w:hAnsi="宋体"/>
          <w:kern w:val="44"/>
        </w:rPr>
        <w:t>　制定规章，应当遵循《立法法》和《条例》确定的立法原则，符合宪法、法律、法规的规定。</w:t>
      </w:r>
    </w:p>
    <w:p w14:paraId="3419E1E6">
      <w:pPr>
        <w:ind w:firstLine="422"/>
        <w:jc w:val="left"/>
        <w:rPr>
          <w:rFonts w:ascii="宋体" w:hAnsi="宋体"/>
          <w:kern w:val="44"/>
        </w:rPr>
      </w:pPr>
      <w:r>
        <w:rPr>
          <w:rFonts w:hint="eastAsia" w:ascii="宋体" w:hAnsi="宋体"/>
          <w:b/>
          <w:kern w:val="44"/>
        </w:rPr>
        <w:t>第四条</w:t>
      </w:r>
      <w:r>
        <w:rPr>
          <w:rFonts w:hint="eastAsia" w:ascii="宋体" w:hAnsi="宋体"/>
          <w:kern w:val="44"/>
        </w:rPr>
        <w:t>　市人民政府对规章的制定工作实行统一领导。</w:t>
      </w:r>
    </w:p>
    <w:p w14:paraId="4630F6A5">
      <w:pPr>
        <w:jc w:val="left"/>
        <w:rPr>
          <w:rFonts w:ascii="宋体" w:hAnsi="宋体"/>
          <w:kern w:val="44"/>
        </w:rPr>
      </w:pPr>
    </w:p>
    <w:p w14:paraId="45BC1E83">
      <w:pPr>
        <w:ind w:firstLine="0" w:firstLineChars="0"/>
        <w:jc w:val="center"/>
        <w:rPr>
          <w:rFonts w:ascii="宋体" w:hAnsi="宋体"/>
          <w:b/>
          <w:kern w:val="44"/>
          <w:sz w:val="28"/>
        </w:rPr>
      </w:pPr>
      <w:r>
        <w:rPr>
          <w:rFonts w:hint="eastAsia" w:ascii="宋体" w:hAnsi="宋体"/>
          <w:b/>
          <w:kern w:val="44"/>
          <w:sz w:val="28"/>
        </w:rPr>
        <w:t>第二章　立　项</w:t>
      </w:r>
    </w:p>
    <w:p w14:paraId="4765F00D">
      <w:pPr>
        <w:jc w:val="left"/>
        <w:rPr>
          <w:rFonts w:ascii="宋体" w:hAnsi="宋体"/>
          <w:kern w:val="44"/>
        </w:rPr>
      </w:pPr>
    </w:p>
    <w:p w14:paraId="51A4205B">
      <w:pPr>
        <w:ind w:firstLine="422"/>
        <w:jc w:val="left"/>
        <w:rPr>
          <w:rFonts w:ascii="宋体" w:hAnsi="宋体"/>
          <w:kern w:val="44"/>
        </w:rPr>
      </w:pPr>
      <w:r>
        <w:rPr>
          <w:rFonts w:hint="eastAsia" w:ascii="宋体" w:hAnsi="宋体"/>
          <w:b/>
          <w:kern w:val="44"/>
        </w:rPr>
        <w:t>第五条</w:t>
      </w:r>
      <w:r>
        <w:rPr>
          <w:rFonts w:hint="eastAsia" w:ascii="宋体" w:hAnsi="宋体"/>
          <w:kern w:val="44"/>
        </w:rPr>
        <w:t>　制定规章应当立项。市人民政府有关部门认为需要制定规章的，应当向市人民政府报请立项。</w:t>
      </w:r>
    </w:p>
    <w:p w14:paraId="4BB40CF2">
      <w:pPr>
        <w:jc w:val="left"/>
        <w:rPr>
          <w:rFonts w:ascii="宋体" w:hAnsi="宋体"/>
          <w:kern w:val="44"/>
        </w:rPr>
      </w:pPr>
      <w:r>
        <w:rPr>
          <w:rFonts w:hint="eastAsia" w:ascii="宋体" w:hAnsi="宋体"/>
          <w:kern w:val="44"/>
        </w:rPr>
        <w:t>报请立项时应当说明制定规章的必要性、有关的法律依据、制定规章的基本思路和拟采取的主要措施等事项。</w:t>
      </w:r>
    </w:p>
    <w:p w14:paraId="201AD93C">
      <w:pPr>
        <w:ind w:firstLine="422"/>
        <w:jc w:val="left"/>
        <w:rPr>
          <w:rFonts w:ascii="宋体" w:hAnsi="宋体"/>
          <w:kern w:val="44"/>
        </w:rPr>
      </w:pPr>
      <w:r>
        <w:rPr>
          <w:rFonts w:hint="eastAsia" w:ascii="宋体" w:hAnsi="宋体"/>
          <w:b/>
          <w:kern w:val="44"/>
        </w:rPr>
        <w:t>第六条</w:t>
      </w:r>
      <w:r>
        <w:rPr>
          <w:rFonts w:hint="eastAsia" w:ascii="宋体" w:hAnsi="宋体"/>
          <w:kern w:val="44"/>
        </w:rPr>
        <w:t>　市人民政府法制办公室（以下简称市政府法制办）负责立项审查。</w:t>
      </w:r>
    </w:p>
    <w:p w14:paraId="67F812EC">
      <w:pPr>
        <w:jc w:val="left"/>
        <w:rPr>
          <w:rFonts w:ascii="宋体" w:hAnsi="宋体"/>
          <w:kern w:val="44"/>
        </w:rPr>
      </w:pPr>
      <w:r>
        <w:rPr>
          <w:rFonts w:hint="eastAsia" w:ascii="宋体" w:hAnsi="宋体"/>
          <w:kern w:val="44"/>
        </w:rPr>
        <w:t>立法必要性不充分，立法思路不符合党和国家基本方针、政策，不符合社会主义市场经济发展和政府职能转变要求的，不予立项。</w:t>
      </w:r>
    </w:p>
    <w:p w14:paraId="1B40F18D">
      <w:pPr>
        <w:ind w:firstLine="422"/>
        <w:jc w:val="left"/>
        <w:rPr>
          <w:rFonts w:ascii="宋体" w:hAnsi="宋体"/>
          <w:kern w:val="44"/>
        </w:rPr>
      </w:pPr>
      <w:r>
        <w:rPr>
          <w:rFonts w:hint="eastAsia" w:ascii="宋体" w:hAnsi="宋体"/>
          <w:b/>
          <w:kern w:val="44"/>
        </w:rPr>
        <w:t>第七条</w:t>
      </w:r>
      <w:r>
        <w:rPr>
          <w:rFonts w:hint="eastAsia" w:ascii="宋体" w:hAnsi="宋体"/>
          <w:kern w:val="44"/>
        </w:rPr>
        <w:t>　拟制定的规章涉及问题复杂的，市政府法制办应当组织召开立项论证会进行论证。</w:t>
      </w:r>
    </w:p>
    <w:p w14:paraId="1E78E16E">
      <w:pPr>
        <w:jc w:val="left"/>
        <w:rPr>
          <w:rFonts w:ascii="宋体" w:hAnsi="宋体"/>
          <w:kern w:val="44"/>
        </w:rPr>
      </w:pPr>
      <w:r>
        <w:rPr>
          <w:rFonts w:hint="eastAsia" w:ascii="宋体" w:hAnsi="宋体"/>
          <w:kern w:val="44"/>
        </w:rPr>
        <w:t>立项论证会应当广泛召集有代表性的部门和人员参加，充分听取与会者的意见。</w:t>
      </w:r>
    </w:p>
    <w:p w14:paraId="12460459">
      <w:pPr>
        <w:ind w:firstLine="422"/>
        <w:jc w:val="left"/>
        <w:rPr>
          <w:rFonts w:ascii="宋体" w:hAnsi="宋体"/>
          <w:kern w:val="44"/>
        </w:rPr>
      </w:pPr>
      <w:r>
        <w:rPr>
          <w:rFonts w:hint="eastAsia" w:ascii="宋体" w:hAnsi="宋体"/>
          <w:b/>
          <w:kern w:val="44"/>
        </w:rPr>
        <w:t>第八条</w:t>
      </w:r>
      <w:r>
        <w:rPr>
          <w:rFonts w:hint="eastAsia" w:ascii="宋体" w:hAnsi="宋体"/>
          <w:kern w:val="44"/>
        </w:rPr>
        <w:t>　市政府法制办应当在收到立项申请后30个工作日内，作出是否同意立项或者召开立项论证会的决定；召开立项论证会的，应当在论证会后15个工作日内作出是否同意立项的决定。</w:t>
      </w:r>
    </w:p>
    <w:p w14:paraId="4D22F02F">
      <w:pPr>
        <w:jc w:val="left"/>
        <w:rPr>
          <w:rFonts w:ascii="宋体" w:hAnsi="宋体"/>
          <w:kern w:val="44"/>
        </w:rPr>
      </w:pPr>
      <w:r>
        <w:rPr>
          <w:rFonts w:hint="eastAsia" w:ascii="宋体" w:hAnsi="宋体"/>
          <w:kern w:val="44"/>
        </w:rPr>
        <w:t>市政府法制办应当将是否同意立项的决定书面告知申请部门。</w:t>
      </w:r>
    </w:p>
    <w:p w14:paraId="21CB0A9C">
      <w:pPr>
        <w:ind w:firstLine="422"/>
        <w:jc w:val="left"/>
        <w:rPr>
          <w:rFonts w:ascii="宋体" w:hAnsi="宋体"/>
          <w:kern w:val="44"/>
        </w:rPr>
      </w:pPr>
      <w:r>
        <w:rPr>
          <w:rFonts w:hint="eastAsia" w:ascii="宋体" w:hAnsi="宋体"/>
          <w:b/>
          <w:kern w:val="44"/>
        </w:rPr>
        <w:t>第九条</w:t>
      </w:r>
      <w:r>
        <w:rPr>
          <w:rFonts w:hint="eastAsia" w:ascii="宋体" w:hAnsi="宋体"/>
          <w:kern w:val="44"/>
        </w:rPr>
        <w:t>　市政府法制办于每年年底根据立项情况和市人民政府工作任务，拟定下一年度规章制定工作计划，报市人民政府批准后执行。</w:t>
      </w:r>
    </w:p>
    <w:p w14:paraId="56F2C720">
      <w:pPr>
        <w:jc w:val="left"/>
        <w:rPr>
          <w:rFonts w:ascii="宋体" w:hAnsi="宋体"/>
          <w:kern w:val="44"/>
        </w:rPr>
      </w:pPr>
      <w:r>
        <w:rPr>
          <w:rFonts w:hint="eastAsia" w:ascii="宋体" w:hAnsi="宋体"/>
          <w:kern w:val="44"/>
        </w:rPr>
        <w:t>起草部门应当按照规章制定工作计划如期完成起草工作；不能如期完成起草工作的，应当向市人民政府书面报告情况，说明原因。</w:t>
      </w:r>
    </w:p>
    <w:p w14:paraId="60657FC2">
      <w:pPr>
        <w:ind w:firstLine="422"/>
        <w:jc w:val="left"/>
        <w:rPr>
          <w:rFonts w:ascii="宋体" w:hAnsi="宋体"/>
          <w:kern w:val="44"/>
        </w:rPr>
      </w:pPr>
      <w:r>
        <w:rPr>
          <w:rFonts w:hint="eastAsia" w:ascii="宋体" w:hAnsi="宋体"/>
          <w:b/>
          <w:kern w:val="44"/>
        </w:rPr>
        <w:t>第十条</w:t>
      </w:r>
      <w:r>
        <w:rPr>
          <w:rFonts w:hint="eastAsia" w:ascii="宋体" w:hAnsi="宋体"/>
          <w:kern w:val="44"/>
        </w:rPr>
        <w:t>　规章制定工作计划可以根据实际情况予以调整。拟增加的计划外项目，按照本章规定立项后，经市人民政府同意后可以列入当年规章制定工作计划。</w:t>
      </w:r>
    </w:p>
    <w:p w14:paraId="0DE931F5">
      <w:pPr>
        <w:jc w:val="left"/>
        <w:rPr>
          <w:rFonts w:ascii="宋体" w:hAnsi="宋体"/>
          <w:kern w:val="44"/>
        </w:rPr>
      </w:pPr>
    </w:p>
    <w:p w14:paraId="7B30BE73">
      <w:pPr>
        <w:ind w:firstLine="0" w:firstLineChars="0"/>
        <w:jc w:val="center"/>
        <w:rPr>
          <w:rFonts w:ascii="宋体" w:hAnsi="宋体"/>
          <w:b/>
          <w:kern w:val="44"/>
          <w:sz w:val="28"/>
        </w:rPr>
      </w:pPr>
      <w:r>
        <w:rPr>
          <w:rFonts w:hint="eastAsia" w:ascii="宋体" w:hAnsi="宋体"/>
          <w:b/>
          <w:kern w:val="44"/>
          <w:sz w:val="28"/>
        </w:rPr>
        <w:t>第三章　起　草</w:t>
      </w:r>
    </w:p>
    <w:p w14:paraId="6EEA96C7">
      <w:pPr>
        <w:jc w:val="left"/>
        <w:rPr>
          <w:rFonts w:ascii="宋体" w:hAnsi="宋体"/>
          <w:kern w:val="44"/>
        </w:rPr>
      </w:pPr>
    </w:p>
    <w:p w14:paraId="3AD574AF">
      <w:pPr>
        <w:ind w:firstLine="422"/>
        <w:jc w:val="left"/>
        <w:rPr>
          <w:rFonts w:ascii="宋体" w:hAnsi="宋体"/>
          <w:kern w:val="44"/>
        </w:rPr>
      </w:pPr>
      <w:r>
        <w:rPr>
          <w:rFonts w:hint="eastAsia" w:ascii="宋体" w:hAnsi="宋体"/>
          <w:b/>
          <w:kern w:val="44"/>
        </w:rPr>
        <w:t>第十一条</w:t>
      </w:r>
      <w:r>
        <w:rPr>
          <w:rFonts w:hint="eastAsia" w:ascii="宋体" w:hAnsi="宋体"/>
          <w:kern w:val="44"/>
        </w:rPr>
        <w:t>　规章由报请立项的部门起草。</w:t>
      </w:r>
    </w:p>
    <w:p w14:paraId="2F9122D8">
      <w:pPr>
        <w:jc w:val="left"/>
        <w:rPr>
          <w:rFonts w:ascii="宋体" w:hAnsi="宋体"/>
          <w:kern w:val="44"/>
        </w:rPr>
      </w:pPr>
      <w:r>
        <w:rPr>
          <w:rFonts w:hint="eastAsia" w:ascii="宋体" w:hAnsi="宋体"/>
          <w:kern w:val="44"/>
        </w:rPr>
        <w:t>规章内容复杂、涉及若干部门的，市人民政府可以确定由其中一个部门或者由市政府法制办起草或者组织起草。</w:t>
      </w:r>
    </w:p>
    <w:p w14:paraId="1E0BD379">
      <w:pPr>
        <w:jc w:val="left"/>
        <w:rPr>
          <w:rFonts w:ascii="宋体" w:hAnsi="宋体"/>
          <w:kern w:val="44"/>
        </w:rPr>
      </w:pPr>
      <w:r>
        <w:rPr>
          <w:rFonts w:hint="eastAsia" w:ascii="宋体" w:hAnsi="宋体"/>
          <w:kern w:val="44"/>
        </w:rPr>
        <w:t>起草规章可以邀请有关专家或者组织参加，也可以委托有关专家或者组织起草。</w:t>
      </w:r>
    </w:p>
    <w:p w14:paraId="38772AAB">
      <w:pPr>
        <w:jc w:val="left"/>
        <w:rPr>
          <w:rFonts w:ascii="宋体" w:hAnsi="宋体"/>
          <w:kern w:val="44"/>
        </w:rPr>
      </w:pPr>
      <w:r>
        <w:rPr>
          <w:rFonts w:hint="eastAsia" w:ascii="宋体" w:hAnsi="宋体"/>
          <w:kern w:val="44"/>
        </w:rPr>
        <w:t>起草规章所需经费，应当列入起草部门的行政经费预算。</w:t>
      </w:r>
    </w:p>
    <w:p w14:paraId="283DD00E">
      <w:pPr>
        <w:ind w:firstLine="422"/>
        <w:jc w:val="left"/>
        <w:rPr>
          <w:rFonts w:ascii="宋体" w:hAnsi="宋体"/>
          <w:kern w:val="44"/>
        </w:rPr>
      </w:pPr>
      <w:r>
        <w:rPr>
          <w:rFonts w:hint="eastAsia" w:ascii="宋体" w:hAnsi="宋体"/>
          <w:b/>
          <w:kern w:val="44"/>
        </w:rPr>
        <w:t>第十二条</w:t>
      </w:r>
      <w:r>
        <w:rPr>
          <w:rFonts w:hint="eastAsia" w:ascii="宋体" w:hAnsi="宋体"/>
          <w:kern w:val="44"/>
        </w:rPr>
        <w:t>　起草规章，应当切实保障公民、法人和其他组织的合法权益，在规定其义务的同时，还应当规定其享有的权利以及保障权利实现的途径。</w:t>
      </w:r>
    </w:p>
    <w:p w14:paraId="32537558">
      <w:pPr>
        <w:ind w:firstLine="422"/>
        <w:jc w:val="left"/>
        <w:rPr>
          <w:rFonts w:ascii="宋体" w:hAnsi="宋体"/>
          <w:kern w:val="44"/>
        </w:rPr>
      </w:pPr>
      <w:r>
        <w:rPr>
          <w:rFonts w:hint="eastAsia" w:ascii="宋体" w:hAnsi="宋体"/>
          <w:b/>
          <w:kern w:val="44"/>
        </w:rPr>
        <w:t>第十三条</w:t>
      </w:r>
      <w:r>
        <w:rPr>
          <w:rFonts w:hint="eastAsia" w:ascii="宋体" w:hAnsi="宋体"/>
          <w:kern w:val="44"/>
        </w:rPr>
        <w:t>　起草规章，应当符合社会主义市场经济发展的客观要求和政府职能转变的要求，不得设定有地方保护、阻碍市场流通和其他妨害公平竞争等内容的条款。</w:t>
      </w:r>
    </w:p>
    <w:p w14:paraId="421A01F2">
      <w:pPr>
        <w:ind w:firstLine="422"/>
        <w:jc w:val="left"/>
        <w:rPr>
          <w:rFonts w:ascii="宋体" w:hAnsi="宋体"/>
          <w:kern w:val="44"/>
        </w:rPr>
      </w:pPr>
      <w:r>
        <w:rPr>
          <w:rFonts w:hint="eastAsia" w:ascii="宋体" w:hAnsi="宋体"/>
          <w:b/>
          <w:kern w:val="44"/>
        </w:rPr>
        <w:t>第十四条</w:t>
      </w:r>
      <w:r>
        <w:rPr>
          <w:rFonts w:hint="eastAsia" w:ascii="宋体" w:hAnsi="宋体"/>
          <w:kern w:val="44"/>
        </w:rPr>
        <w:t>　起草规章，应当从全局和人民的整体利益出发，避免强调部门权力和利益。</w:t>
      </w:r>
    </w:p>
    <w:p w14:paraId="0802C6D8">
      <w:pPr>
        <w:ind w:firstLine="422"/>
        <w:jc w:val="left"/>
        <w:rPr>
          <w:rFonts w:ascii="宋体" w:hAnsi="宋体"/>
          <w:kern w:val="44"/>
        </w:rPr>
      </w:pPr>
      <w:r>
        <w:rPr>
          <w:rFonts w:hint="eastAsia" w:ascii="宋体" w:hAnsi="宋体"/>
          <w:b/>
          <w:kern w:val="44"/>
        </w:rPr>
        <w:t>第十五条</w:t>
      </w:r>
      <w:r>
        <w:rPr>
          <w:rFonts w:hint="eastAsia" w:ascii="宋体" w:hAnsi="宋体"/>
          <w:kern w:val="44"/>
        </w:rPr>
        <w:t>　起草规章，在赋予有关行政机关必要职权的同时，还应当规定其行使职权的条件、程序和应当承担的责任；所规定的管理措施和办事程序，应当有利于提高工作效率，方便当事人。</w:t>
      </w:r>
    </w:p>
    <w:p w14:paraId="2AE9F40E">
      <w:pPr>
        <w:ind w:firstLine="422"/>
        <w:jc w:val="left"/>
        <w:rPr>
          <w:rFonts w:ascii="宋体" w:hAnsi="宋体"/>
          <w:kern w:val="44"/>
        </w:rPr>
      </w:pPr>
      <w:r>
        <w:rPr>
          <w:rFonts w:hint="eastAsia" w:ascii="宋体" w:hAnsi="宋体"/>
          <w:b/>
          <w:kern w:val="44"/>
        </w:rPr>
        <w:t>第十六条</w:t>
      </w:r>
      <w:r>
        <w:rPr>
          <w:rFonts w:hint="eastAsia" w:ascii="宋体" w:hAnsi="宋体"/>
          <w:kern w:val="44"/>
        </w:rPr>
        <w:t>　起草规章，设定行政许可、收费等事项的，应当明确规定取得行政许可的条件、程序和收费的项目及范围等。</w:t>
      </w:r>
    </w:p>
    <w:p w14:paraId="489D5E81">
      <w:pPr>
        <w:ind w:firstLine="422"/>
        <w:jc w:val="left"/>
        <w:rPr>
          <w:rFonts w:ascii="宋体" w:hAnsi="宋体"/>
          <w:kern w:val="44"/>
        </w:rPr>
      </w:pPr>
      <w:r>
        <w:rPr>
          <w:rFonts w:hint="eastAsia" w:ascii="宋体" w:hAnsi="宋体"/>
          <w:b/>
          <w:kern w:val="44"/>
        </w:rPr>
        <w:t>第十七条</w:t>
      </w:r>
      <w:r>
        <w:rPr>
          <w:rFonts w:hint="eastAsia" w:ascii="宋体" w:hAnsi="宋体"/>
          <w:kern w:val="44"/>
        </w:rPr>
        <w:t>　起草规章，应当从本市实际出发，内容具体、明确、详尽，具有可操作性。</w:t>
      </w:r>
    </w:p>
    <w:p w14:paraId="212C82A5">
      <w:pPr>
        <w:ind w:firstLine="422"/>
        <w:jc w:val="left"/>
        <w:rPr>
          <w:rFonts w:ascii="宋体" w:hAnsi="宋体"/>
          <w:kern w:val="44"/>
        </w:rPr>
      </w:pPr>
      <w:r>
        <w:rPr>
          <w:rFonts w:hint="eastAsia" w:ascii="宋体" w:hAnsi="宋体"/>
          <w:b/>
          <w:kern w:val="44"/>
        </w:rPr>
        <w:t>第十八条</w:t>
      </w:r>
      <w:r>
        <w:rPr>
          <w:rFonts w:hint="eastAsia" w:ascii="宋体" w:hAnsi="宋体"/>
          <w:kern w:val="44"/>
        </w:rPr>
        <w:t>　起草规章，应当进行深入的调查研究，总结实践经验，并通过书面和召开座谈会、论证会、听证会等多种形式，发扬社会主义民主，广泛听取有关机关、组织和个人的意见。</w:t>
      </w:r>
    </w:p>
    <w:p w14:paraId="3446042B">
      <w:pPr>
        <w:jc w:val="left"/>
        <w:rPr>
          <w:rFonts w:ascii="宋体" w:hAnsi="宋体"/>
          <w:kern w:val="44"/>
        </w:rPr>
      </w:pPr>
      <w:r>
        <w:rPr>
          <w:rFonts w:hint="eastAsia" w:ascii="宋体" w:hAnsi="宋体"/>
          <w:kern w:val="44"/>
        </w:rPr>
        <w:t>规章起草部门应当组织召开座谈会，认真听取区、县有关部门和基层单位以及管理相对人的意见。涉及重大法律问题或者特殊专业技术问题的，应当召开论证会，听取有关方面的专家或者其他专业人员的意见。</w:t>
      </w:r>
    </w:p>
    <w:p w14:paraId="6003C76A">
      <w:pPr>
        <w:jc w:val="left"/>
        <w:rPr>
          <w:rFonts w:ascii="宋体" w:hAnsi="宋体"/>
          <w:kern w:val="44"/>
        </w:rPr>
      </w:pPr>
      <w:r>
        <w:rPr>
          <w:rFonts w:hint="eastAsia" w:ascii="宋体" w:hAnsi="宋体"/>
          <w:kern w:val="44"/>
        </w:rPr>
        <w:t>规章内容直接涉及公民、法人和其他组织切身利益的，应当举行听证会。对起草的规章内容存在重大分歧、公众关注程度高的，起草部门可以向社会公布草案，征求意见。</w:t>
      </w:r>
    </w:p>
    <w:p w14:paraId="11BC5BB1">
      <w:pPr>
        <w:ind w:firstLine="422"/>
        <w:jc w:val="left"/>
        <w:rPr>
          <w:rFonts w:ascii="宋体" w:hAnsi="宋体"/>
          <w:kern w:val="44"/>
        </w:rPr>
      </w:pPr>
      <w:r>
        <w:rPr>
          <w:rFonts w:hint="eastAsia" w:ascii="宋体" w:hAnsi="宋体"/>
          <w:b/>
          <w:kern w:val="44"/>
        </w:rPr>
        <w:t>第十九条</w:t>
      </w:r>
      <w:r>
        <w:rPr>
          <w:rFonts w:hint="eastAsia" w:ascii="宋体" w:hAnsi="宋体"/>
          <w:kern w:val="44"/>
        </w:rPr>
        <w:t>　起草的规章内容涉及市人民政府其他部门工作的，起草部门应当认真听取意见，主动协调；无法协调一致的，应当将有关意见与规章送审稿一同上报。</w:t>
      </w:r>
    </w:p>
    <w:p w14:paraId="4E282C65">
      <w:pPr>
        <w:jc w:val="left"/>
        <w:rPr>
          <w:rFonts w:ascii="宋体" w:hAnsi="宋体"/>
          <w:kern w:val="44"/>
        </w:rPr>
      </w:pPr>
      <w:r>
        <w:rPr>
          <w:rFonts w:hint="eastAsia" w:ascii="宋体" w:hAnsi="宋体"/>
          <w:kern w:val="44"/>
        </w:rPr>
        <w:t>起草的规章内容涉及有关管理体制、职能调整等应当由市人民政府决策的重大问题，起草部门应当先行报请市人民政府决定。</w:t>
      </w:r>
    </w:p>
    <w:p w14:paraId="204D92AE">
      <w:pPr>
        <w:ind w:firstLine="422"/>
        <w:jc w:val="left"/>
        <w:rPr>
          <w:rFonts w:ascii="宋体" w:hAnsi="宋体"/>
          <w:kern w:val="44"/>
        </w:rPr>
      </w:pPr>
      <w:r>
        <w:rPr>
          <w:rFonts w:hint="eastAsia" w:ascii="宋体" w:hAnsi="宋体"/>
          <w:b/>
          <w:kern w:val="44"/>
        </w:rPr>
        <w:t>第二十条</w:t>
      </w:r>
      <w:r>
        <w:rPr>
          <w:rFonts w:hint="eastAsia" w:ascii="宋体" w:hAnsi="宋体"/>
          <w:kern w:val="44"/>
        </w:rPr>
        <w:t>　规章送审稿应当经起草部门的法制机构审核，由起草部门负责人集体讨论决定后，报送市政府法制办审查。</w:t>
      </w:r>
    </w:p>
    <w:p w14:paraId="24E1BC0F">
      <w:pPr>
        <w:ind w:firstLine="422"/>
        <w:jc w:val="left"/>
        <w:rPr>
          <w:rFonts w:ascii="宋体" w:hAnsi="宋体"/>
          <w:kern w:val="44"/>
        </w:rPr>
      </w:pPr>
      <w:r>
        <w:rPr>
          <w:rFonts w:hint="eastAsia" w:ascii="宋体" w:hAnsi="宋体"/>
          <w:b/>
          <w:kern w:val="44"/>
        </w:rPr>
        <w:t>第二十一条</w:t>
      </w:r>
      <w:r>
        <w:rPr>
          <w:rFonts w:hint="eastAsia" w:ascii="宋体" w:hAnsi="宋体"/>
          <w:kern w:val="44"/>
        </w:rPr>
        <w:t>　报送规章送审稿时，起草部门应当提交下列文件和材料：</w:t>
      </w:r>
    </w:p>
    <w:p w14:paraId="67A0230A">
      <w:pPr>
        <w:jc w:val="left"/>
        <w:rPr>
          <w:rFonts w:ascii="宋体" w:hAnsi="宋体"/>
          <w:kern w:val="44"/>
        </w:rPr>
      </w:pPr>
      <w:r>
        <w:rPr>
          <w:rFonts w:hint="eastAsia" w:ascii="宋体" w:hAnsi="宋体"/>
          <w:kern w:val="44"/>
        </w:rPr>
        <w:t>（一）报送审查的报告；</w:t>
      </w:r>
    </w:p>
    <w:p w14:paraId="4ABB94DC">
      <w:pPr>
        <w:jc w:val="left"/>
        <w:rPr>
          <w:rFonts w:ascii="宋体" w:hAnsi="宋体"/>
          <w:kern w:val="44"/>
        </w:rPr>
      </w:pPr>
      <w:r>
        <w:rPr>
          <w:rFonts w:hint="eastAsia" w:ascii="宋体" w:hAnsi="宋体"/>
          <w:kern w:val="44"/>
        </w:rPr>
        <w:t>（二）规章送审稿正文及其电子文本；</w:t>
      </w:r>
    </w:p>
    <w:p w14:paraId="2220E1C0">
      <w:pPr>
        <w:jc w:val="left"/>
        <w:rPr>
          <w:rFonts w:ascii="宋体" w:hAnsi="宋体"/>
          <w:kern w:val="44"/>
        </w:rPr>
      </w:pPr>
      <w:r>
        <w:rPr>
          <w:rFonts w:hint="eastAsia" w:ascii="宋体" w:hAnsi="宋体"/>
          <w:kern w:val="44"/>
        </w:rPr>
        <w:t>（三）规章送审稿说明及其电子文本；</w:t>
      </w:r>
    </w:p>
    <w:p w14:paraId="19957BDC">
      <w:pPr>
        <w:jc w:val="left"/>
        <w:rPr>
          <w:rFonts w:ascii="宋体" w:hAnsi="宋体"/>
          <w:kern w:val="44"/>
        </w:rPr>
      </w:pPr>
      <w:r>
        <w:rPr>
          <w:rFonts w:hint="eastAsia" w:ascii="宋体" w:hAnsi="宋体"/>
          <w:kern w:val="44"/>
        </w:rPr>
        <w:t>（四）有关机关、组织和个人对规章送审稿的主要不同意见；召开听证会的，应当附有听证会记录；</w:t>
      </w:r>
    </w:p>
    <w:p w14:paraId="287E9EE6">
      <w:pPr>
        <w:jc w:val="left"/>
        <w:rPr>
          <w:rFonts w:ascii="宋体" w:hAnsi="宋体"/>
          <w:kern w:val="44"/>
        </w:rPr>
      </w:pPr>
      <w:r>
        <w:rPr>
          <w:rFonts w:hint="eastAsia" w:ascii="宋体" w:hAnsi="宋体"/>
          <w:kern w:val="44"/>
        </w:rPr>
        <w:t>（五）有关法律依据；</w:t>
      </w:r>
    </w:p>
    <w:p w14:paraId="5A2CDB90">
      <w:pPr>
        <w:jc w:val="left"/>
        <w:rPr>
          <w:rFonts w:ascii="宋体" w:hAnsi="宋体"/>
          <w:kern w:val="44"/>
        </w:rPr>
      </w:pPr>
      <w:r>
        <w:rPr>
          <w:rFonts w:hint="eastAsia" w:ascii="宋体" w:hAnsi="宋体"/>
          <w:kern w:val="44"/>
        </w:rPr>
        <w:t>（六）其他有关材料。</w:t>
      </w:r>
    </w:p>
    <w:p w14:paraId="3748E919">
      <w:pPr>
        <w:ind w:firstLine="422"/>
        <w:jc w:val="left"/>
        <w:rPr>
          <w:rFonts w:ascii="宋体" w:hAnsi="宋体"/>
          <w:kern w:val="44"/>
        </w:rPr>
      </w:pPr>
      <w:r>
        <w:rPr>
          <w:rFonts w:hint="eastAsia" w:ascii="宋体" w:hAnsi="宋体"/>
          <w:b/>
          <w:kern w:val="44"/>
        </w:rPr>
        <w:t>第二十二条</w:t>
      </w:r>
      <w:r>
        <w:rPr>
          <w:rFonts w:hint="eastAsia" w:ascii="宋体" w:hAnsi="宋体"/>
          <w:kern w:val="44"/>
        </w:rPr>
        <w:t>　报送的规章送审稿应当结构完整，体例、文字符合立法技术要求。</w:t>
      </w:r>
    </w:p>
    <w:p w14:paraId="16CC141B">
      <w:pPr>
        <w:ind w:firstLine="422"/>
        <w:jc w:val="left"/>
        <w:rPr>
          <w:rFonts w:ascii="宋体" w:hAnsi="宋体"/>
          <w:kern w:val="44"/>
        </w:rPr>
      </w:pPr>
      <w:r>
        <w:rPr>
          <w:rFonts w:hint="eastAsia" w:ascii="宋体" w:hAnsi="宋体"/>
          <w:b/>
          <w:kern w:val="44"/>
        </w:rPr>
        <w:t>第二十三条</w:t>
      </w:r>
      <w:r>
        <w:rPr>
          <w:rFonts w:hint="eastAsia" w:ascii="宋体" w:hAnsi="宋体"/>
          <w:kern w:val="44"/>
        </w:rPr>
        <w:t>　规章送审稿说明应当包括以下内容：</w:t>
      </w:r>
    </w:p>
    <w:p w14:paraId="18DF2610">
      <w:pPr>
        <w:jc w:val="left"/>
        <w:rPr>
          <w:rFonts w:ascii="宋体" w:hAnsi="宋体"/>
          <w:kern w:val="44"/>
        </w:rPr>
      </w:pPr>
      <w:r>
        <w:rPr>
          <w:rFonts w:hint="eastAsia" w:ascii="宋体" w:hAnsi="宋体"/>
          <w:kern w:val="44"/>
        </w:rPr>
        <w:t>（一）拟规范事项的现状和主要问题；</w:t>
      </w:r>
    </w:p>
    <w:p w14:paraId="7718E106">
      <w:pPr>
        <w:jc w:val="left"/>
        <w:rPr>
          <w:rFonts w:ascii="宋体" w:hAnsi="宋体"/>
          <w:kern w:val="44"/>
        </w:rPr>
      </w:pPr>
      <w:r>
        <w:rPr>
          <w:rFonts w:hint="eastAsia" w:ascii="宋体" w:hAnsi="宋体"/>
          <w:kern w:val="44"/>
        </w:rPr>
        <w:t>（二）起草规章的指导思想与宗旨；</w:t>
      </w:r>
    </w:p>
    <w:p w14:paraId="03C8A14C">
      <w:pPr>
        <w:jc w:val="left"/>
        <w:rPr>
          <w:rFonts w:ascii="宋体" w:hAnsi="宋体"/>
          <w:kern w:val="44"/>
        </w:rPr>
      </w:pPr>
      <w:r>
        <w:rPr>
          <w:rFonts w:hint="eastAsia" w:ascii="宋体" w:hAnsi="宋体"/>
          <w:kern w:val="44"/>
        </w:rPr>
        <w:t>（三）规定的主要措施及其法律依据；</w:t>
      </w:r>
    </w:p>
    <w:p w14:paraId="1A04D948">
      <w:pPr>
        <w:jc w:val="left"/>
        <w:rPr>
          <w:rFonts w:ascii="宋体" w:hAnsi="宋体"/>
          <w:kern w:val="44"/>
        </w:rPr>
      </w:pPr>
      <w:r>
        <w:rPr>
          <w:rFonts w:hint="eastAsia" w:ascii="宋体" w:hAnsi="宋体"/>
          <w:kern w:val="44"/>
        </w:rPr>
        <w:t>（四）施行的可行性及预期效果；</w:t>
      </w:r>
    </w:p>
    <w:p w14:paraId="7E607B88">
      <w:pPr>
        <w:jc w:val="left"/>
        <w:rPr>
          <w:rFonts w:ascii="宋体" w:hAnsi="宋体"/>
          <w:kern w:val="44"/>
        </w:rPr>
      </w:pPr>
      <w:r>
        <w:rPr>
          <w:rFonts w:hint="eastAsia" w:ascii="宋体" w:hAnsi="宋体"/>
          <w:kern w:val="44"/>
        </w:rPr>
        <w:t>（五）对不同意见的处理情况；</w:t>
      </w:r>
    </w:p>
    <w:p w14:paraId="57360952">
      <w:pPr>
        <w:jc w:val="left"/>
        <w:rPr>
          <w:rFonts w:ascii="宋体" w:hAnsi="宋体"/>
          <w:kern w:val="44"/>
        </w:rPr>
      </w:pPr>
      <w:r>
        <w:rPr>
          <w:rFonts w:hint="eastAsia" w:ascii="宋体" w:hAnsi="宋体"/>
          <w:kern w:val="44"/>
        </w:rPr>
        <w:t>（六）需要说明的其他问题。</w:t>
      </w:r>
    </w:p>
    <w:p w14:paraId="738F3CF5">
      <w:pPr>
        <w:ind w:firstLine="422"/>
        <w:jc w:val="left"/>
        <w:rPr>
          <w:rFonts w:ascii="宋体" w:hAnsi="宋体"/>
          <w:kern w:val="44"/>
        </w:rPr>
      </w:pPr>
      <w:r>
        <w:rPr>
          <w:rFonts w:hint="eastAsia" w:ascii="宋体" w:hAnsi="宋体"/>
          <w:b/>
          <w:kern w:val="44"/>
        </w:rPr>
        <w:t>第二十四条</w:t>
      </w:r>
      <w:r>
        <w:rPr>
          <w:rFonts w:hint="eastAsia" w:ascii="宋体" w:hAnsi="宋体"/>
          <w:kern w:val="44"/>
        </w:rPr>
        <w:t>　规章送审稿不符合本办法第二十一条、第二十二条、第二十三条规定的，市政府法制办可以要求起草部门在15日内补充相关材料。</w:t>
      </w:r>
    </w:p>
    <w:p w14:paraId="7B00AFB8">
      <w:pPr>
        <w:jc w:val="left"/>
        <w:rPr>
          <w:rFonts w:ascii="宋体" w:hAnsi="宋体"/>
          <w:kern w:val="44"/>
        </w:rPr>
      </w:pPr>
      <w:r>
        <w:rPr>
          <w:rFonts w:hint="eastAsia" w:ascii="宋体" w:hAnsi="宋体"/>
          <w:kern w:val="44"/>
        </w:rPr>
        <w:t>起草部门未按要求补充相关材料或者起草工作不符合本办法第十九条、第二十条规定的，市政府法制办可以将规章送审稿退回起草部门。</w:t>
      </w:r>
    </w:p>
    <w:p w14:paraId="4AAE5E1C">
      <w:pPr>
        <w:jc w:val="left"/>
        <w:rPr>
          <w:rFonts w:ascii="宋体" w:hAnsi="宋体"/>
          <w:kern w:val="44"/>
        </w:rPr>
      </w:pPr>
    </w:p>
    <w:p w14:paraId="2694A84F">
      <w:pPr>
        <w:ind w:firstLine="0" w:firstLineChars="0"/>
        <w:jc w:val="center"/>
        <w:rPr>
          <w:rFonts w:ascii="宋体" w:hAnsi="宋体"/>
          <w:b/>
          <w:kern w:val="44"/>
          <w:sz w:val="28"/>
        </w:rPr>
      </w:pPr>
      <w:r>
        <w:rPr>
          <w:rFonts w:hint="eastAsia" w:ascii="宋体" w:hAnsi="宋体"/>
          <w:b/>
          <w:kern w:val="44"/>
          <w:sz w:val="28"/>
        </w:rPr>
        <w:t>第四章　审  查</w:t>
      </w:r>
    </w:p>
    <w:p w14:paraId="3732918D">
      <w:pPr>
        <w:jc w:val="left"/>
        <w:rPr>
          <w:rFonts w:ascii="宋体" w:hAnsi="宋体"/>
          <w:kern w:val="44"/>
        </w:rPr>
      </w:pPr>
    </w:p>
    <w:p w14:paraId="4BCBEF63">
      <w:pPr>
        <w:ind w:firstLine="422"/>
        <w:jc w:val="left"/>
        <w:rPr>
          <w:rFonts w:ascii="宋体" w:hAnsi="宋体"/>
          <w:kern w:val="44"/>
        </w:rPr>
      </w:pPr>
      <w:r>
        <w:rPr>
          <w:rFonts w:hint="eastAsia" w:ascii="宋体" w:hAnsi="宋体"/>
          <w:b/>
          <w:kern w:val="44"/>
        </w:rPr>
        <w:t>第二十五条</w:t>
      </w:r>
      <w:r>
        <w:rPr>
          <w:rFonts w:hint="eastAsia" w:ascii="宋体" w:hAnsi="宋体"/>
          <w:kern w:val="44"/>
        </w:rPr>
        <w:t>　规章送审稿由市政府法制办负责统一审查，审查内容包括：</w:t>
      </w:r>
    </w:p>
    <w:p w14:paraId="3505F8D7">
      <w:pPr>
        <w:jc w:val="left"/>
        <w:rPr>
          <w:rFonts w:ascii="宋体" w:hAnsi="宋体"/>
          <w:kern w:val="44"/>
        </w:rPr>
      </w:pPr>
      <w:r>
        <w:rPr>
          <w:rFonts w:hint="eastAsia" w:ascii="宋体" w:hAnsi="宋体"/>
          <w:kern w:val="44"/>
        </w:rPr>
        <w:t>（一）是否符合《立法法》和《条例》规定的原则；</w:t>
      </w:r>
    </w:p>
    <w:p w14:paraId="4083353E">
      <w:pPr>
        <w:jc w:val="left"/>
        <w:rPr>
          <w:rFonts w:ascii="宋体" w:hAnsi="宋体"/>
          <w:kern w:val="44"/>
        </w:rPr>
      </w:pPr>
      <w:r>
        <w:rPr>
          <w:rFonts w:hint="eastAsia" w:ascii="宋体" w:hAnsi="宋体"/>
          <w:kern w:val="44"/>
        </w:rPr>
        <w:t>（二）是否符合本办法第十二条至第十七条的规定；</w:t>
      </w:r>
    </w:p>
    <w:p w14:paraId="6537BBF2">
      <w:pPr>
        <w:jc w:val="left"/>
        <w:rPr>
          <w:rFonts w:ascii="宋体" w:hAnsi="宋体"/>
          <w:kern w:val="44"/>
        </w:rPr>
      </w:pPr>
      <w:r>
        <w:rPr>
          <w:rFonts w:hint="eastAsia" w:ascii="宋体" w:hAnsi="宋体"/>
          <w:kern w:val="44"/>
        </w:rPr>
        <w:t>（三）是否正确处理了有关机关、组织和个人对规章送审稿的不同意见；</w:t>
      </w:r>
    </w:p>
    <w:p w14:paraId="321D602F">
      <w:pPr>
        <w:jc w:val="left"/>
        <w:rPr>
          <w:rFonts w:ascii="宋体" w:hAnsi="宋体"/>
          <w:kern w:val="44"/>
        </w:rPr>
      </w:pPr>
      <w:r>
        <w:rPr>
          <w:rFonts w:hint="eastAsia" w:ascii="宋体" w:hAnsi="宋体"/>
          <w:kern w:val="44"/>
        </w:rPr>
        <w:t>（四）是否符合立法技术的要求；</w:t>
      </w:r>
    </w:p>
    <w:p w14:paraId="51A1C2FA">
      <w:pPr>
        <w:jc w:val="left"/>
        <w:rPr>
          <w:rFonts w:ascii="宋体" w:hAnsi="宋体"/>
          <w:kern w:val="44"/>
        </w:rPr>
      </w:pPr>
      <w:r>
        <w:rPr>
          <w:rFonts w:hint="eastAsia" w:ascii="宋体" w:hAnsi="宋体"/>
          <w:kern w:val="44"/>
        </w:rPr>
        <w:t>（五）需要审查的其他内容。</w:t>
      </w:r>
    </w:p>
    <w:p w14:paraId="1586152E">
      <w:pPr>
        <w:ind w:firstLine="422"/>
        <w:jc w:val="left"/>
        <w:rPr>
          <w:rFonts w:ascii="宋体" w:hAnsi="宋体"/>
          <w:kern w:val="44"/>
        </w:rPr>
      </w:pPr>
      <w:r>
        <w:rPr>
          <w:rFonts w:hint="eastAsia" w:ascii="宋体" w:hAnsi="宋体"/>
          <w:b/>
          <w:kern w:val="44"/>
        </w:rPr>
        <w:t>第二十六条</w:t>
      </w:r>
      <w:r>
        <w:rPr>
          <w:rFonts w:hint="eastAsia" w:ascii="宋体" w:hAnsi="宋体"/>
          <w:kern w:val="44"/>
        </w:rPr>
        <w:t>　市政府法制办应当书面征求区、县人民政府和市有关部门对规章送审稿的意见，也可以根据需要将规章送审稿发送有关组织和专家征求意见。</w:t>
      </w:r>
    </w:p>
    <w:p w14:paraId="64578C23">
      <w:pPr>
        <w:jc w:val="left"/>
        <w:rPr>
          <w:rFonts w:ascii="宋体" w:hAnsi="宋体"/>
          <w:kern w:val="44"/>
        </w:rPr>
      </w:pPr>
      <w:r>
        <w:rPr>
          <w:rFonts w:hint="eastAsia" w:ascii="宋体" w:hAnsi="宋体"/>
          <w:kern w:val="44"/>
        </w:rPr>
        <w:t>规章送审稿内容涉及重大问题的，市政府法制办可以召开由有关组织、专家参加的座谈会、论证会，听取意见，研究论证。</w:t>
      </w:r>
    </w:p>
    <w:p w14:paraId="4CF09452">
      <w:pPr>
        <w:jc w:val="left"/>
        <w:rPr>
          <w:rFonts w:ascii="宋体" w:hAnsi="宋体"/>
          <w:kern w:val="44"/>
        </w:rPr>
      </w:pPr>
      <w:r>
        <w:rPr>
          <w:rFonts w:hint="eastAsia" w:ascii="宋体" w:hAnsi="宋体"/>
          <w:kern w:val="44"/>
        </w:rPr>
        <w:t>规章送审稿内容直接涉及公民、法人或者其他组织切身利益，存在重大意见分歧，起草部门在起草过程中未向社会公开征求意见，也未举行听证会的，经市人民政府批准，市政府法制办可以向社会公开征求意见，也可以举行听证会。</w:t>
      </w:r>
    </w:p>
    <w:p w14:paraId="0675938B">
      <w:pPr>
        <w:ind w:firstLine="422"/>
        <w:jc w:val="left"/>
        <w:rPr>
          <w:rFonts w:ascii="宋体" w:hAnsi="宋体"/>
          <w:kern w:val="44"/>
        </w:rPr>
      </w:pPr>
      <w:r>
        <w:rPr>
          <w:rFonts w:hint="eastAsia" w:ascii="宋体" w:hAnsi="宋体"/>
          <w:b/>
          <w:kern w:val="44"/>
        </w:rPr>
        <w:t>第二十七条</w:t>
      </w:r>
      <w:r>
        <w:rPr>
          <w:rFonts w:hint="eastAsia" w:ascii="宋体" w:hAnsi="宋体"/>
          <w:kern w:val="44"/>
        </w:rPr>
        <w:t>　市政府法制办在审查过程中应当客观公正、实事求是地对待各种不同意见。</w:t>
      </w:r>
    </w:p>
    <w:p w14:paraId="03B6DA7E">
      <w:pPr>
        <w:jc w:val="left"/>
        <w:rPr>
          <w:rFonts w:ascii="宋体" w:hAnsi="宋体"/>
          <w:kern w:val="44"/>
        </w:rPr>
      </w:pPr>
      <w:r>
        <w:rPr>
          <w:rFonts w:hint="eastAsia" w:ascii="宋体" w:hAnsi="宋体"/>
          <w:kern w:val="44"/>
        </w:rPr>
        <w:t>有关机构或者部门对规章送审稿涉及的主要措施、管理体制、权限分工等问题有不同意见的，市政府法制办应当进行协调，力求达成一致意见；不能达成一致意见的，市政府法制办应当报请市人民政府决定。</w:t>
      </w:r>
    </w:p>
    <w:p w14:paraId="631C22EF">
      <w:pPr>
        <w:ind w:firstLine="422"/>
        <w:jc w:val="left"/>
        <w:rPr>
          <w:rFonts w:ascii="宋体" w:hAnsi="宋体"/>
          <w:kern w:val="44"/>
        </w:rPr>
      </w:pPr>
      <w:r>
        <w:rPr>
          <w:rFonts w:hint="eastAsia" w:ascii="宋体" w:hAnsi="宋体"/>
          <w:b/>
          <w:kern w:val="44"/>
        </w:rPr>
        <w:t>第二十八条</w:t>
      </w:r>
      <w:r>
        <w:rPr>
          <w:rFonts w:hint="eastAsia" w:ascii="宋体" w:hAnsi="宋体"/>
          <w:kern w:val="44"/>
        </w:rPr>
        <w:t>　规章送审稿有下列情形之一的，市政府法制办可以要求起草部门重新起草：</w:t>
      </w:r>
    </w:p>
    <w:p w14:paraId="6220EAD0">
      <w:pPr>
        <w:jc w:val="left"/>
        <w:rPr>
          <w:rFonts w:ascii="宋体" w:hAnsi="宋体"/>
          <w:kern w:val="44"/>
        </w:rPr>
      </w:pPr>
      <w:r>
        <w:rPr>
          <w:rFonts w:hint="eastAsia" w:ascii="宋体" w:hAnsi="宋体"/>
          <w:kern w:val="44"/>
        </w:rPr>
        <w:t>（一）主要内容不符合本办法第十二条至第十七条规定的；</w:t>
      </w:r>
    </w:p>
    <w:p w14:paraId="7AAC1529">
      <w:pPr>
        <w:jc w:val="left"/>
        <w:rPr>
          <w:rFonts w:ascii="宋体" w:hAnsi="宋体"/>
          <w:kern w:val="44"/>
        </w:rPr>
      </w:pPr>
      <w:r>
        <w:rPr>
          <w:rFonts w:hint="eastAsia" w:ascii="宋体" w:hAnsi="宋体"/>
          <w:kern w:val="44"/>
        </w:rPr>
        <w:t>（二）设定的主要制度缺少实践基础，需要重新调查研究的。</w:t>
      </w:r>
    </w:p>
    <w:p w14:paraId="4BAAF958">
      <w:pPr>
        <w:ind w:firstLine="422"/>
        <w:jc w:val="left"/>
        <w:rPr>
          <w:rFonts w:ascii="宋体" w:hAnsi="宋体"/>
          <w:kern w:val="44"/>
        </w:rPr>
      </w:pPr>
      <w:r>
        <w:rPr>
          <w:rFonts w:hint="eastAsia" w:ascii="宋体" w:hAnsi="宋体"/>
          <w:b/>
          <w:kern w:val="44"/>
        </w:rPr>
        <w:t>第二十九条</w:t>
      </w:r>
      <w:r>
        <w:rPr>
          <w:rFonts w:hint="eastAsia" w:ascii="宋体" w:hAnsi="宋体"/>
          <w:kern w:val="44"/>
        </w:rPr>
        <w:t>　市政府法制办应当按照规章制定工作计划完成对规章送审稿的审查工作。情况复杂不能按期完成的，经市人民政府批准，可以适当延长。</w:t>
      </w:r>
    </w:p>
    <w:p w14:paraId="55BE1678">
      <w:pPr>
        <w:jc w:val="left"/>
        <w:rPr>
          <w:rFonts w:ascii="宋体" w:hAnsi="宋体"/>
          <w:kern w:val="44"/>
        </w:rPr>
      </w:pPr>
      <w:r>
        <w:rPr>
          <w:rFonts w:hint="eastAsia" w:ascii="宋体" w:hAnsi="宋体"/>
          <w:kern w:val="44"/>
        </w:rPr>
        <w:t>市政府法制办综合各方面的意见，对规章送审稿进行修改，形成规章草案及其说明。说明应当包括制定规章拟解决的主要问题、确定的主要措施以及与有关部门协调的情况等。</w:t>
      </w:r>
    </w:p>
    <w:p w14:paraId="6F0D9DBA">
      <w:pPr>
        <w:jc w:val="left"/>
        <w:rPr>
          <w:rFonts w:ascii="宋体" w:hAnsi="宋体"/>
          <w:kern w:val="44"/>
        </w:rPr>
      </w:pPr>
      <w:r>
        <w:rPr>
          <w:rFonts w:hint="eastAsia" w:ascii="宋体" w:hAnsi="宋体"/>
          <w:kern w:val="44"/>
        </w:rPr>
        <w:t>规章草案和说明由市政府法制办负责人签署后，提请市人民政府审议。</w:t>
      </w:r>
    </w:p>
    <w:p w14:paraId="624A5410">
      <w:pPr>
        <w:jc w:val="left"/>
        <w:rPr>
          <w:rFonts w:ascii="宋体" w:hAnsi="宋体"/>
          <w:kern w:val="44"/>
        </w:rPr>
      </w:pPr>
    </w:p>
    <w:p w14:paraId="50F61F3A">
      <w:pPr>
        <w:ind w:firstLine="0" w:firstLineChars="0"/>
        <w:jc w:val="center"/>
        <w:rPr>
          <w:rFonts w:ascii="宋体" w:hAnsi="宋体"/>
          <w:b/>
          <w:kern w:val="44"/>
          <w:sz w:val="28"/>
        </w:rPr>
      </w:pPr>
      <w:r>
        <w:rPr>
          <w:rFonts w:hint="eastAsia" w:ascii="宋体" w:hAnsi="宋体"/>
          <w:b/>
          <w:kern w:val="44"/>
          <w:sz w:val="28"/>
        </w:rPr>
        <w:t>第五章  决定、公布和备案</w:t>
      </w:r>
    </w:p>
    <w:p w14:paraId="2461EDBF">
      <w:pPr>
        <w:jc w:val="left"/>
        <w:rPr>
          <w:rFonts w:ascii="宋体" w:hAnsi="宋体"/>
          <w:kern w:val="44"/>
        </w:rPr>
      </w:pPr>
    </w:p>
    <w:p w14:paraId="343A9B28">
      <w:pPr>
        <w:ind w:firstLine="422"/>
        <w:jc w:val="left"/>
        <w:rPr>
          <w:rFonts w:ascii="宋体" w:hAnsi="宋体"/>
          <w:kern w:val="44"/>
        </w:rPr>
      </w:pPr>
      <w:r>
        <w:rPr>
          <w:rFonts w:hint="eastAsia" w:ascii="宋体" w:hAnsi="宋体"/>
          <w:b/>
          <w:kern w:val="44"/>
        </w:rPr>
        <w:t>第三十条</w:t>
      </w:r>
      <w:r>
        <w:rPr>
          <w:rFonts w:hint="eastAsia" w:ascii="宋体" w:hAnsi="宋体"/>
          <w:kern w:val="44"/>
        </w:rPr>
        <w:t>　规章应当由市人民政府常务会议或者全体会议审议决定。</w:t>
      </w:r>
    </w:p>
    <w:p w14:paraId="64FCA2E0">
      <w:pPr>
        <w:jc w:val="left"/>
        <w:rPr>
          <w:rFonts w:ascii="宋体" w:hAnsi="宋体"/>
          <w:kern w:val="44"/>
        </w:rPr>
      </w:pPr>
      <w:r>
        <w:rPr>
          <w:rFonts w:hint="eastAsia" w:ascii="宋体" w:hAnsi="宋体"/>
          <w:kern w:val="44"/>
        </w:rPr>
        <w:t>审议规章草案时，由市政府法制办作说明。</w:t>
      </w:r>
    </w:p>
    <w:p w14:paraId="3BDEBF25">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市政府法制办根据市人民政府常务会议或者全体会议的审议意见对规章草案进行修改，形成草案修改稿，报请市长签署命令，予以公布。</w:t>
      </w:r>
    </w:p>
    <w:p w14:paraId="67046D83">
      <w:pPr>
        <w:ind w:firstLine="422"/>
        <w:jc w:val="left"/>
        <w:rPr>
          <w:rFonts w:ascii="宋体" w:hAnsi="宋体"/>
          <w:kern w:val="44"/>
        </w:rPr>
      </w:pPr>
      <w:r>
        <w:rPr>
          <w:rFonts w:hint="eastAsia" w:ascii="宋体" w:hAnsi="宋体"/>
          <w:b/>
          <w:kern w:val="44"/>
        </w:rPr>
        <w:t>第三十二条</w:t>
      </w:r>
      <w:r>
        <w:rPr>
          <w:rFonts w:hint="eastAsia" w:ascii="宋体" w:hAnsi="宋体"/>
          <w:kern w:val="44"/>
        </w:rPr>
        <w:t>　规章应当自公布之日起30日后施行，但符合《条例》第三十二条有关规定的除外。</w:t>
      </w:r>
    </w:p>
    <w:p w14:paraId="52355B5D">
      <w:pPr>
        <w:jc w:val="left"/>
        <w:rPr>
          <w:rFonts w:ascii="宋体" w:hAnsi="宋体"/>
          <w:kern w:val="44"/>
        </w:rPr>
      </w:pPr>
      <w:r>
        <w:rPr>
          <w:rFonts w:hint="eastAsia" w:ascii="宋体" w:hAnsi="宋体"/>
          <w:kern w:val="44"/>
        </w:rPr>
        <w:t>为实施规章制定的办法、细则等行政措施，应当与规章同时施行。</w:t>
      </w:r>
    </w:p>
    <w:p w14:paraId="4E0035AC">
      <w:pPr>
        <w:ind w:firstLine="422"/>
        <w:jc w:val="left"/>
        <w:rPr>
          <w:rFonts w:ascii="宋体" w:hAnsi="宋体"/>
          <w:kern w:val="44"/>
        </w:rPr>
      </w:pPr>
      <w:r>
        <w:rPr>
          <w:rFonts w:hint="eastAsia" w:ascii="宋体" w:hAnsi="宋体"/>
          <w:b/>
          <w:kern w:val="44"/>
        </w:rPr>
        <w:t>第三十三条</w:t>
      </w:r>
      <w:r>
        <w:rPr>
          <w:rFonts w:hint="eastAsia" w:ascii="宋体" w:hAnsi="宋体"/>
          <w:kern w:val="44"/>
        </w:rPr>
        <w:t>　规章签署公布后，《北京市人民政府公报》和《北京日报》应当及时刊登。</w:t>
      </w:r>
    </w:p>
    <w:p w14:paraId="57D9E5D2">
      <w:pPr>
        <w:jc w:val="left"/>
        <w:rPr>
          <w:rFonts w:ascii="宋体" w:hAnsi="宋体"/>
          <w:kern w:val="44"/>
        </w:rPr>
      </w:pPr>
      <w:r>
        <w:rPr>
          <w:rFonts w:hint="eastAsia" w:ascii="宋体" w:hAnsi="宋体"/>
          <w:kern w:val="44"/>
        </w:rPr>
        <w:t>《北京市人民政府公报》刊登的规章文本为标准文本。</w:t>
      </w:r>
    </w:p>
    <w:p w14:paraId="0506FB0F">
      <w:pPr>
        <w:jc w:val="left"/>
        <w:rPr>
          <w:rFonts w:ascii="宋体" w:hAnsi="宋体"/>
          <w:kern w:val="44"/>
        </w:rPr>
      </w:pPr>
      <w:r>
        <w:rPr>
          <w:rFonts w:hint="eastAsia" w:ascii="宋体" w:hAnsi="宋体"/>
          <w:kern w:val="44"/>
        </w:rPr>
        <w:t>市人民政府印制一定数量的规章文本，供公众查询索取。</w:t>
      </w:r>
    </w:p>
    <w:p w14:paraId="7984B6C1">
      <w:pPr>
        <w:ind w:firstLine="422"/>
        <w:jc w:val="left"/>
        <w:rPr>
          <w:rFonts w:ascii="宋体" w:hAnsi="宋体"/>
          <w:kern w:val="44"/>
        </w:rPr>
      </w:pPr>
      <w:r>
        <w:rPr>
          <w:rFonts w:hint="eastAsia" w:ascii="宋体" w:hAnsi="宋体"/>
          <w:b/>
          <w:kern w:val="44"/>
        </w:rPr>
        <w:t>第三十四条</w:t>
      </w:r>
      <w:r>
        <w:rPr>
          <w:rFonts w:hint="eastAsia" w:ascii="宋体" w:hAnsi="宋体"/>
          <w:kern w:val="44"/>
        </w:rPr>
        <w:t>　规章公布后，依照规定向国务院和市人民代表大会常务委员会备案。</w:t>
      </w:r>
    </w:p>
    <w:p w14:paraId="1EE8B450">
      <w:pPr>
        <w:jc w:val="left"/>
        <w:rPr>
          <w:rFonts w:ascii="宋体" w:hAnsi="宋体"/>
          <w:kern w:val="44"/>
        </w:rPr>
      </w:pPr>
    </w:p>
    <w:p w14:paraId="0C1C1804">
      <w:pPr>
        <w:ind w:firstLine="0" w:firstLineChars="0"/>
        <w:jc w:val="center"/>
        <w:rPr>
          <w:rFonts w:ascii="宋体" w:hAnsi="宋体"/>
          <w:b/>
          <w:kern w:val="44"/>
          <w:sz w:val="28"/>
        </w:rPr>
      </w:pPr>
      <w:r>
        <w:rPr>
          <w:rFonts w:hint="eastAsia" w:ascii="宋体" w:hAnsi="宋体"/>
          <w:b/>
          <w:kern w:val="44"/>
          <w:sz w:val="28"/>
        </w:rPr>
        <w:t>第六章  解释、修改和废止</w:t>
      </w:r>
    </w:p>
    <w:p w14:paraId="7C3AFA73">
      <w:pPr>
        <w:jc w:val="left"/>
        <w:rPr>
          <w:rFonts w:ascii="宋体" w:hAnsi="宋体"/>
          <w:kern w:val="44"/>
        </w:rPr>
      </w:pPr>
    </w:p>
    <w:p w14:paraId="03A3DD09">
      <w:pPr>
        <w:ind w:firstLine="422"/>
        <w:jc w:val="left"/>
        <w:rPr>
          <w:rFonts w:ascii="宋体" w:hAnsi="宋体"/>
          <w:kern w:val="44"/>
        </w:rPr>
      </w:pPr>
      <w:r>
        <w:rPr>
          <w:rFonts w:hint="eastAsia" w:ascii="宋体" w:hAnsi="宋体"/>
          <w:b/>
          <w:kern w:val="44"/>
        </w:rPr>
        <w:t>第三十五条</w:t>
      </w:r>
      <w:r>
        <w:rPr>
          <w:rFonts w:hint="eastAsia" w:ascii="宋体" w:hAnsi="宋体"/>
          <w:kern w:val="44"/>
        </w:rPr>
        <w:t>　规章解释权属于市人民政府。</w:t>
      </w:r>
    </w:p>
    <w:p w14:paraId="492A3B7C">
      <w:pPr>
        <w:jc w:val="left"/>
        <w:rPr>
          <w:rFonts w:ascii="宋体" w:hAnsi="宋体"/>
          <w:kern w:val="44"/>
        </w:rPr>
      </w:pPr>
      <w:r>
        <w:rPr>
          <w:rFonts w:hint="eastAsia" w:ascii="宋体" w:hAnsi="宋体"/>
          <w:kern w:val="44"/>
        </w:rPr>
        <w:t>规章有下列情况之一的，由市人民政府解释：</w:t>
      </w:r>
    </w:p>
    <w:p w14:paraId="2077EB39">
      <w:pPr>
        <w:jc w:val="left"/>
        <w:rPr>
          <w:rFonts w:ascii="宋体" w:hAnsi="宋体"/>
          <w:kern w:val="44"/>
        </w:rPr>
      </w:pPr>
      <w:r>
        <w:rPr>
          <w:rFonts w:hint="eastAsia" w:ascii="宋体" w:hAnsi="宋体"/>
          <w:kern w:val="44"/>
        </w:rPr>
        <w:t>（一）规章的规定需要进一步明确具体含义的；</w:t>
      </w:r>
    </w:p>
    <w:p w14:paraId="692E3A62">
      <w:pPr>
        <w:jc w:val="left"/>
        <w:rPr>
          <w:rFonts w:ascii="宋体" w:hAnsi="宋体"/>
          <w:kern w:val="44"/>
        </w:rPr>
      </w:pPr>
      <w:r>
        <w:rPr>
          <w:rFonts w:hint="eastAsia" w:ascii="宋体" w:hAnsi="宋体"/>
          <w:kern w:val="44"/>
        </w:rPr>
        <w:t>（二）规章制定后出现新的情况，需要明确适用规章依据的。</w:t>
      </w:r>
    </w:p>
    <w:p w14:paraId="5A57FF01">
      <w:pPr>
        <w:jc w:val="left"/>
        <w:rPr>
          <w:rFonts w:ascii="宋体" w:hAnsi="宋体"/>
          <w:kern w:val="44"/>
        </w:rPr>
      </w:pPr>
      <w:r>
        <w:rPr>
          <w:rFonts w:hint="eastAsia" w:ascii="宋体" w:hAnsi="宋体"/>
          <w:kern w:val="44"/>
        </w:rPr>
        <w:t>规章解释由市政府法制办参照规章送审稿审查程序提出意见，报请市人民政府批准后公布。</w:t>
      </w:r>
    </w:p>
    <w:p w14:paraId="6A996806">
      <w:pPr>
        <w:jc w:val="left"/>
        <w:rPr>
          <w:rFonts w:ascii="宋体" w:hAnsi="宋体"/>
          <w:kern w:val="44"/>
        </w:rPr>
      </w:pPr>
      <w:r>
        <w:rPr>
          <w:rFonts w:hint="eastAsia" w:ascii="宋体" w:hAnsi="宋体"/>
          <w:kern w:val="44"/>
        </w:rPr>
        <w:t>规章解释同规章具有同等效力。</w:t>
      </w:r>
    </w:p>
    <w:p w14:paraId="2FD794DA">
      <w:pPr>
        <w:ind w:firstLine="422"/>
        <w:jc w:val="left"/>
        <w:rPr>
          <w:rFonts w:ascii="宋体" w:hAnsi="宋体"/>
          <w:kern w:val="44"/>
        </w:rPr>
      </w:pPr>
      <w:r>
        <w:rPr>
          <w:rFonts w:hint="eastAsia" w:ascii="宋体" w:hAnsi="宋体"/>
          <w:b/>
          <w:kern w:val="44"/>
        </w:rPr>
        <w:t>第三十六条</w:t>
      </w:r>
      <w:r>
        <w:rPr>
          <w:rFonts w:hint="eastAsia" w:ascii="宋体" w:hAnsi="宋体"/>
          <w:kern w:val="44"/>
        </w:rPr>
        <w:t>　有下列情形之一的，有关行政主管部门或者市政府法制办应当及时提出修改、废止规章的建议：</w:t>
      </w:r>
    </w:p>
    <w:p w14:paraId="6DCC9B5A">
      <w:pPr>
        <w:jc w:val="left"/>
        <w:rPr>
          <w:rFonts w:ascii="宋体" w:hAnsi="宋体"/>
          <w:kern w:val="44"/>
        </w:rPr>
      </w:pPr>
      <w:r>
        <w:rPr>
          <w:rFonts w:hint="eastAsia" w:ascii="宋体" w:hAnsi="宋体"/>
          <w:kern w:val="44"/>
        </w:rPr>
        <w:t>（一）规章依据的上位法已经修改或者废止的；</w:t>
      </w:r>
    </w:p>
    <w:p w14:paraId="12BE2109">
      <w:pPr>
        <w:jc w:val="left"/>
        <w:rPr>
          <w:rFonts w:ascii="宋体" w:hAnsi="宋体"/>
          <w:kern w:val="44"/>
        </w:rPr>
      </w:pPr>
      <w:r>
        <w:rPr>
          <w:rFonts w:hint="eastAsia" w:ascii="宋体" w:hAnsi="宋体"/>
          <w:kern w:val="44"/>
        </w:rPr>
        <w:t>（二）规章主要内容被有关上位法或者其他规章替代的；</w:t>
      </w:r>
    </w:p>
    <w:p w14:paraId="10FFB9CA">
      <w:pPr>
        <w:jc w:val="left"/>
        <w:rPr>
          <w:rFonts w:ascii="宋体" w:hAnsi="宋体"/>
          <w:kern w:val="44"/>
        </w:rPr>
      </w:pPr>
      <w:r>
        <w:rPr>
          <w:rFonts w:hint="eastAsia" w:ascii="宋体" w:hAnsi="宋体"/>
          <w:kern w:val="44"/>
        </w:rPr>
        <w:t>（三）规章规范的社会实际情况发生重大变化的；</w:t>
      </w:r>
    </w:p>
    <w:p w14:paraId="7A9DAD53">
      <w:pPr>
        <w:jc w:val="left"/>
        <w:rPr>
          <w:rFonts w:ascii="宋体" w:hAnsi="宋体"/>
          <w:kern w:val="44"/>
        </w:rPr>
      </w:pPr>
      <w:r>
        <w:rPr>
          <w:rFonts w:hint="eastAsia" w:ascii="宋体" w:hAnsi="宋体"/>
          <w:kern w:val="44"/>
        </w:rPr>
        <w:t>（四）其他应当修改、废止规章的情形。</w:t>
      </w:r>
    </w:p>
    <w:p w14:paraId="576E6ED7">
      <w:pPr>
        <w:jc w:val="left"/>
        <w:rPr>
          <w:rFonts w:ascii="宋体" w:hAnsi="宋体"/>
          <w:kern w:val="44"/>
        </w:rPr>
      </w:pPr>
      <w:r>
        <w:rPr>
          <w:rFonts w:hint="eastAsia" w:ascii="宋体" w:hAnsi="宋体"/>
          <w:kern w:val="44"/>
        </w:rPr>
        <w:t>属于前款第（一）项、第（二）项的，应当在1个月内向市人民政府提出修改或者废止规章的建议。</w:t>
      </w:r>
    </w:p>
    <w:p w14:paraId="5A10544E">
      <w:pPr>
        <w:jc w:val="left"/>
        <w:rPr>
          <w:rFonts w:ascii="宋体" w:hAnsi="宋体"/>
          <w:kern w:val="44"/>
        </w:rPr>
      </w:pPr>
      <w:r>
        <w:rPr>
          <w:rFonts w:hint="eastAsia" w:ascii="宋体" w:hAnsi="宋体"/>
          <w:kern w:val="44"/>
        </w:rPr>
        <w:t>修改、废止规章，参照规章制定的有关规定执行。</w:t>
      </w:r>
    </w:p>
    <w:p w14:paraId="07236F49">
      <w:pPr>
        <w:jc w:val="left"/>
        <w:rPr>
          <w:rFonts w:ascii="宋体" w:hAnsi="宋体"/>
          <w:kern w:val="44"/>
        </w:rPr>
      </w:pPr>
      <w:r>
        <w:rPr>
          <w:rFonts w:hint="eastAsia" w:ascii="宋体" w:hAnsi="宋体"/>
          <w:kern w:val="44"/>
        </w:rPr>
        <w:t>规章修改后，应当及时公布新的规章文本。</w:t>
      </w:r>
    </w:p>
    <w:p w14:paraId="448D9B76">
      <w:pPr>
        <w:jc w:val="left"/>
        <w:rPr>
          <w:rFonts w:ascii="宋体" w:hAnsi="宋体"/>
          <w:kern w:val="44"/>
        </w:rPr>
      </w:pPr>
    </w:p>
    <w:p w14:paraId="7EDFEBAD">
      <w:pPr>
        <w:ind w:firstLine="0" w:firstLineChars="0"/>
        <w:jc w:val="center"/>
        <w:rPr>
          <w:rFonts w:ascii="宋体" w:hAnsi="宋体"/>
          <w:b/>
          <w:kern w:val="44"/>
          <w:sz w:val="28"/>
        </w:rPr>
      </w:pPr>
      <w:r>
        <w:rPr>
          <w:rFonts w:hint="eastAsia" w:ascii="宋体" w:hAnsi="宋体"/>
          <w:b/>
          <w:kern w:val="44"/>
          <w:sz w:val="28"/>
        </w:rPr>
        <w:t>第七章  其他规定</w:t>
      </w:r>
    </w:p>
    <w:p w14:paraId="2E0BF1C3">
      <w:pPr>
        <w:jc w:val="left"/>
        <w:rPr>
          <w:rFonts w:ascii="宋体" w:hAnsi="宋体"/>
          <w:kern w:val="44"/>
        </w:rPr>
      </w:pPr>
    </w:p>
    <w:p w14:paraId="126F5CF6">
      <w:pPr>
        <w:ind w:firstLine="422"/>
        <w:jc w:val="left"/>
        <w:rPr>
          <w:rFonts w:ascii="宋体" w:hAnsi="宋体"/>
          <w:kern w:val="44"/>
        </w:rPr>
      </w:pPr>
      <w:r>
        <w:rPr>
          <w:rFonts w:hint="eastAsia" w:ascii="宋体" w:hAnsi="宋体"/>
          <w:b/>
          <w:kern w:val="44"/>
        </w:rPr>
        <w:t>第三十七条</w:t>
      </w:r>
      <w:r>
        <w:rPr>
          <w:rFonts w:hint="eastAsia" w:ascii="宋体" w:hAnsi="宋体"/>
          <w:kern w:val="44"/>
        </w:rPr>
        <w:t>　区、县人民政府和市人民政府各部门制定、发布行政措施，应当遵循法制统一原则，不得与法律、法规和规章相抵触。</w:t>
      </w:r>
    </w:p>
    <w:p w14:paraId="2CE4FD10">
      <w:pPr>
        <w:jc w:val="left"/>
        <w:rPr>
          <w:rFonts w:ascii="宋体" w:hAnsi="宋体"/>
          <w:kern w:val="44"/>
        </w:rPr>
      </w:pPr>
      <w:r>
        <w:rPr>
          <w:rFonts w:hint="eastAsia" w:ascii="宋体" w:hAnsi="宋体"/>
          <w:kern w:val="44"/>
        </w:rPr>
        <w:t>行政措施不得设定行政处罚、行政许可，不得擅自规定行政性收费；对法律、法规和规章已规定的行政处罚、行政许可和行政性收费，不得改变适用条件和范围。</w:t>
      </w:r>
    </w:p>
    <w:p w14:paraId="5CF3A39D">
      <w:pPr>
        <w:ind w:firstLine="422"/>
        <w:jc w:val="left"/>
        <w:rPr>
          <w:rFonts w:ascii="宋体" w:hAnsi="宋体"/>
          <w:kern w:val="44"/>
        </w:rPr>
      </w:pPr>
      <w:r>
        <w:rPr>
          <w:rFonts w:hint="eastAsia" w:ascii="宋体" w:hAnsi="宋体"/>
          <w:b/>
          <w:kern w:val="44"/>
        </w:rPr>
        <w:t>第三十八条</w:t>
      </w:r>
      <w:r>
        <w:rPr>
          <w:rFonts w:hint="eastAsia" w:ascii="宋体" w:hAnsi="宋体"/>
          <w:kern w:val="44"/>
        </w:rPr>
        <w:t>　制定行政措施，应当经制定机关的法制机构进行合法性审查。</w:t>
      </w:r>
    </w:p>
    <w:p w14:paraId="6E544238">
      <w:pPr>
        <w:jc w:val="left"/>
        <w:rPr>
          <w:rFonts w:ascii="宋体" w:hAnsi="宋体"/>
          <w:kern w:val="44"/>
        </w:rPr>
      </w:pPr>
      <w:r>
        <w:rPr>
          <w:rFonts w:hint="eastAsia" w:ascii="宋体" w:hAnsi="宋体"/>
          <w:kern w:val="44"/>
        </w:rPr>
        <w:t>行政措施应当以公众可以获知的途径公布，并按规定向市人民政府备案。</w:t>
      </w:r>
    </w:p>
    <w:p w14:paraId="1282D242">
      <w:pPr>
        <w:jc w:val="left"/>
        <w:rPr>
          <w:rFonts w:ascii="宋体" w:hAnsi="宋体"/>
          <w:kern w:val="44"/>
        </w:rPr>
      </w:pPr>
      <w:r>
        <w:rPr>
          <w:rFonts w:hint="eastAsia" w:ascii="宋体" w:hAnsi="宋体"/>
          <w:kern w:val="44"/>
        </w:rPr>
        <w:t>区、县人民政府和市人民政府各部门可以根据本办法，规定本单位行政措施的制定程序。</w:t>
      </w:r>
    </w:p>
    <w:p w14:paraId="53EFA7CF">
      <w:pPr>
        <w:ind w:firstLine="422"/>
        <w:jc w:val="left"/>
        <w:rPr>
          <w:rFonts w:ascii="宋体" w:hAnsi="宋体"/>
          <w:kern w:val="44"/>
        </w:rPr>
      </w:pPr>
      <w:r>
        <w:rPr>
          <w:rFonts w:hint="eastAsia" w:ascii="宋体" w:hAnsi="宋体"/>
          <w:b/>
          <w:kern w:val="44"/>
        </w:rPr>
        <w:t>第三十九条</w:t>
      </w:r>
      <w:r>
        <w:rPr>
          <w:rFonts w:hint="eastAsia" w:ascii="宋体" w:hAnsi="宋体"/>
          <w:kern w:val="44"/>
        </w:rPr>
        <w:t>　机关、组织和个人认为行政措施同法律、法规、规章相抵触的，可以向市人民政府提出意见，由市政府法制办研究处理。</w:t>
      </w:r>
    </w:p>
    <w:p w14:paraId="69500688">
      <w:pPr>
        <w:jc w:val="left"/>
        <w:rPr>
          <w:rFonts w:ascii="宋体" w:hAnsi="宋体"/>
          <w:kern w:val="44"/>
        </w:rPr>
      </w:pPr>
    </w:p>
    <w:p w14:paraId="564ADBD4">
      <w:pPr>
        <w:ind w:firstLine="0" w:firstLineChars="0"/>
        <w:jc w:val="center"/>
        <w:rPr>
          <w:rFonts w:ascii="宋体" w:hAnsi="宋体"/>
          <w:b/>
          <w:kern w:val="44"/>
          <w:sz w:val="28"/>
        </w:rPr>
      </w:pPr>
      <w:r>
        <w:rPr>
          <w:rFonts w:hint="eastAsia" w:ascii="宋体" w:hAnsi="宋体"/>
          <w:b/>
          <w:kern w:val="44"/>
          <w:sz w:val="28"/>
        </w:rPr>
        <w:t>第八章  附  则</w:t>
      </w:r>
    </w:p>
    <w:p w14:paraId="7FB5A93A">
      <w:pPr>
        <w:jc w:val="left"/>
        <w:rPr>
          <w:rFonts w:ascii="宋体" w:hAnsi="宋体"/>
          <w:kern w:val="44"/>
        </w:rPr>
      </w:pPr>
    </w:p>
    <w:p w14:paraId="55E28121">
      <w:pPr>
        <w:ind w:firstLine="422"/>
        <w:jc w:val="left"/>
        <w:rPr>
          <w:rFonts w:ascii="宋体" w:hAnsi="宋体"/>
          <w:kern w:val="44"/>
        </w:rPr>
      </w:pPr>
      <w:r>
        <w:rPr>
          <w:rFonts w:hint="eastAsia" w:ascii="宋体" w:hAnsi="宋体"/>
          <w:b/>
          <w:kern w:val="44"/>
        </w:rPr>
        <w:t>第四十条</w:t>
      </w:r>
      <w:r>
        <w:rPr>
          <w:rFonts w:hint="eastAsia" w:ascii="宋体" w:hAnsi="宋体"/>
          <w:kern w:val="44"/>
        </w:rPr>
        <w:t>　规章外文译本编译、中外文版本汇编的工作由市政府法制办负责。</w:t>
      </w:r>
    </w:p>
    <w:p w14:paraId="15578440">
      <w:pPr>
        <w:ind w:firstLine="422"/>
        <w:jc w:val="left"/>
        <w:rPr>
          <w:rFonts w:ascii="宋体" w:hAnsi="宋体"/>
          <w:kern w:val="44"/>
        </w:rPr>
      </w:pPr>
      <w:r>
        <w:rPr>
          <w:rFonts w:hint="eastAsia" w:ascii="宋体" w:hAnsi="宋体"/>
          <w:b/>
          <w:kern w:val="44"/>
        </w:rPr>
        <w:t>第四十一条</w:t>
      </w:r>
      <w:r>
        <w:rPr>
          <w:rFonts w:hint="eastAsia" w:ascii="宋体" w:hAnsi="宋体"/>
          <w:kern w:val="44"/>
        </w:rPr>
        <w:t>　拟订市人民政府提请市人民代表大会或者其常务委员会审议的地方性法规草案，参照本办法的有关规定执行。</w:t>
      </w:r>
    </w:p>
    <w:p w14:paraId="699BC4DD">
      <w:pPr>
        <w:ind w:firstLine="422"/>
        <w:jc w:val="left"/>
        <w:rPr>
          <w:rFonts w:ascii="宋体" w:hAnsi="宋体"/>
          <w:kern w:val="44"/>
        </w:rPr>
      </w:pPr>
      <w:r>
        <w:rPr>
          <w:rFonts w:hint="eastAsia" w:ascii="宋体" w:hAnsi="宋体"/>
          <w:b/>
          <w:kern w:val="44"/>
        </w:rPr>
        <w:t>第四十二条</w:t>
      </w:r>
      <w:r>
        <w:rPr>
          <w:rFonts w:hint="eastAsia" w:ascii="宋体" w:hAnsi="宋体"/>
          <w:kern w:val="44"/>
        </w:rPr>
        <w:t>　本办法自2002年6月1日起施行。1990年7月19日市人民政府发布的《北京市人民政府规章制定程序暂行办法》同时废止。</w:t>
      </w:r>
    </w:p>
    <w:p w14:paraId="4E531F26">
      <w:pPr>
        <w:pStyle w:val="4"/>
        <w:pageBreakBefore/>
        <w:rPr>
          <w:kern w:val="44"/>
        </w:rPr>
      </w:pPr>
      <w:bookmarkStart w:id="219" w:name="_Toc422471087"/>
      <w:bookmarkStart w:id="220" w:name="_Toc427651749"/>
      <w:bookmarkStart w:id="221" w:name="_Toc427651407"/>
      <w:bookmarkStart w:id="222" w:name="_Toc428781455"/>
      <w:bookmarkStart w:id="223" w:name="_Toc428779973"/>
      <w:r>
        <w:rPr>
          <w:rFonts w:hint="eastAsia"/>
          <w:kern w:val="44"/>
        </w:rPr>
        <w:t>北京市行政规范性文件备案</w:t>
      </w:r>
      <w:bookmarkEnd w:id="219"/>
      <w:bookmarkStart w:id="224" w:name="_Toc422471088"/>
      <w:r>
        <w:rPr>
          <w:rFonts w:hint="eastAsia"/>
          <w:kern w:val="44"/>
        </w:rPr>
        <w:t>监督办法</w:t>
      </w:r>
      <w:bookmarkEnd w:id="220"/>
      <w:bookmarkEnd w:id="221"/>
      <w:bookmarkEnd w:id="222"/>
      <w:bookmarkEnd w:id="223"/>
      <w:bookmarkEnd w:id="224"/>
    </w:p>
    <w:p w14:paraId="7DD2C49F">
      <w:pPr>
        <w:ind w:left="630" w:leftChars="300" w:right="630" w:rightChars="300"/>
        <w:jc w:val="left"/>
        <w:rPr>
          <w:rFonts w:ascii="宋体" w:hAnsi="宋体"/>
          <w:kern w:val="44"/>
        </w:rPr>
      </w:pPr>
      <w:r>
        <w:rPr>
          <w:rFonts w:hint="eastAsia" w:ascii="宋体" w:hAnsi="宋体"/>
          <w:kern w:val="44"/>
        </w:rPr>
        <w:t>（2005年9月20日北京市人民政府第43次常务会议审议通过  2005年10月8日北京市人民政府第160号令发布）</w:t>
      </w:r>
    </w:p>
    <w:p w14:paraId="28CD6923">
      <w:pPr>
        <w:ind w:left="630" w:leftChars="300" w:right="630" w:rightChars="300"/>
        <w:jc w:val="left"/>
        <w:rPr>
          <w:rFonts w:ascii="宋体" w:hAnsi="宋体"/>
          <w:kern w:val="44"/>
        </w:rPr>
      </w:pPr>
    </w:p>
    <w:p w14:paraId="222AB99B">
      <w:pPr>
        <w:ind w:firstLine="422"/>
        <w:jc w:val="left"/>
        <w:rPr>
          <w:rFonts w:ascii="宋体" w:hAnsi="宋体"/>
          <w:kern w:val="44"/>
        </w:rPr>
      </w:pPr>
      <w:r>
        <w:rPr>
          <w:rFonts w:hint="eastAsia" w:ascii="宋体" w:hAnsi="宋体"/>
          <w:b/>
          <w:kern w:val="44"/>
        </w:rPr>
        <w:t>第一条</w:t>
      </w:r>
      <w:r>
        <w:rPr>
          <w:rFonts w:hint="eastAsia" w:ascii="宋体" w:hAnsi="宋体"/>
          <w:kern w:val="44"/>
        </w:rPr>
        <w:t>　为规范行政规范性文件的备案工作， 推进各级行政机关依法行政，根据《中华人民共和国地方各级人民代表大会和地方各级人民政府组织法》、国务院《法规规章备案条例》和有关法律、法规，结合本市实际情况，制定本办法。</w:t>
      </w:r>
    </w:p>
    <w:p w14:paraId="2CBAF7D2">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本办法所称行政规范性文件，是指本市各级人民政府及其所属部门和派出机关（以下简称制定机关）行使法定职权时，制定和公布的对公民、法人和其他组织具有普遍约束力的文件。</w:t>
      </w:r>
    </w:p>
    <w:p w14:paraId="6C493BE2">
      <w:pPr>
        <w:jc w:val="left"/>
        <w:rPr>
          <w:rFonts w:ascii="宋体" w:hAnsi="宋体"/>
          <w:kern w:val="44"/>
        </w:rPr>
      </w:pPr>
      <w:r>
        <w:rPr>
          <w:rFonts w:hint="eastAsia" w:ascii="宋体" w:hAnsi="宋体"/>
          <w:kern w:val="44"/>
        </w:rPr>
        <w:t>制定机关内部工作制度、人事任免决定等不属于本办法所称行政规范性文件。</w:t>
      </w:r>
    </w:p>
    <w:p w14:paraId="583D2093">
      <w:pPr>
        <w:ind w:firstLine="422"/>
        <w:jc w:val="left"/>
        <w:rPr>
          <w:rFonts w:ascii="宋体" w:hAnsi="宋体"/>
          <w:kern w:val="44"/>
        </w:rPr>
      </w:pPr>
      <w:r>
        <w:rPr>
          <w:rFonts w:hint="eastAsia" w:ascii="宋体" w:hAnsi="宋体"/>
          <w:b/>
          <w:kern w:val="44"/>
        </w:rPr>
        <w:t>第三条</w:t>
      </w:r>
      <w:r>
        <w:rPr>
          <w:rFonts w:hint="eastAsia" w:ascii="宋体" w:hAnsi="宋体"/>
          <w:kern w:val="44"/>
        </w:rPr>
        <w:t>　制定行政规范性文件，应当符合宪法、法律、法规、规章的规定，符合制定机关法定职权范围，遵守行政机关公文处理规定。</w:t>
      </w:r>
    </w:p>
    <w:p w14:paraId="4E5B334F">
      <w:pPr>
        <w:jc w:val="left"/>
        <w:rPr>
          <w:rFonts w:ascii="宋体" w:hAnsi="宋体"/>
          <w:kern w:val="44"/>
        </w:rPr>
      </w:pPr>
      <w:r>
        <w:rPr>
          <w:rFonts w:hint="eastAsia" w:ascii="宋体" w:hAnsi="宋体"/>
          <w:kern w:val="44"/>
        </w:rPr>
        <w:t>制定机关应当对行政规范性文件的合法性负责。</w:t>
      </w:r>
    </w:p>
    <w:p w14:paraId="48D28B5C">
      <w:pPr>
        <w:ind w:firstLine="422"/>
        <w:jc w:val="left"/>
        <w:rPr>
          <w:rFonts w:ascii="宋体" w:hAnsi="宋体"/>
          <w:kern w:val="44"/>
        </w:rPr>
      </w:pPr>
      <w:r>
        <w:rPr>
          <w:rFonts w:hint="eastAsia" w:ascii="宋体" w:hAnsi="宋体"/>
          <w:b/>
          <w:kern w:val="44"/>
        </w:rPr>
        <w:t>第四条</w:t>
      </w:r>
      <w:r>
        <w:rPr>
          <w:rFonts w:hint="eastAsia" w:ascii="宋体" w:hAnsi="宋体"/>
          <w:kern w:val="44"/>
        </w:rPr>
        <w:t>　行政规范性文件不得设定下列内容：</w:t>
      </w:r>
    </w:p>
    <w:p w14:paraId="20FE6757">
      <w:pPr>
        <w:jc w:val="left"/>
        <w:rPr>
          <w:rFonts w:ascii="宋体" w:hAnsi="宋体"/>
          <w:kern w:val="44"/>
        </w:rPr>
      </w:pPr>
      <w:r>
        <w:rPr>
          <w:rFonts w:hint="eastAsia" w:ascii="宋体" w:hAnsi="宋体"/>
          <w:kern w:val="44"/>
        </w:rPr>
        <w:t>（一）行政处罚；</w:t>
      </w:r>
    </w:p>
    <w:p w14:paraId="1A6A4A37">
      <w:pPr>
        <w:jc w:val="left"/>
        <w:rPr>
          <w:rFonts w:ascii="宋体" w:hAnsi="宋体"/>
          <w:kern w:val="44"/>
        </w:rPr>
      </w:pPr>
      <w:r>
        <w:rPr>
          <w:rFonts w:hint="eastAsia" w:ascii="宋体" w:hAnsi="宋体"/>
          <w:kern w:val="44"/>
        </w:rPr>
        <w:t>（二）行政许可；</w:t>
      </w:r>
    </w:p>
    <w:p w14:paraId="322B058D">
      <w:pPr>
        <w:jc w:val="left"/>
        <w:rPr>
          <w:rFonts w:ascii="宋体" w:hAnsi="宋体"/>
          <w:kern w:val="44"/>
        </w:rPr>
      </w:pPr>
      <w:r>
        <w:rPr>
          <w:rFonts w:hint="eastAsia" w:ascii="宋体" w:hAnsi="宋体"/>
          <w:kern w:val="44"/>
        </w:rPr>
        <w:t>（三）行政性收费；</w:t>
      </w:r>
    </w:p>
    <w:p w14:paraId="1DDDBF65">
      <w:pPr>
        <w:jc w:val="left"/>
        <w:rPr>
          <w:rFonts w:ascii="宋体" w:hAnsi="宋体"/>
          <w:kern w:val="44"/>
        </w:rPr>
      </w:pPr>
      <w:r>
        <w:rPr>
          <w:rFonts w:hint="eastAsia" w:ascii="宋体" w:hAnsi="宋体"/>
          <w:kern w:val="44"/>
        </w:rPr>
        <w:t>（四）其他应当由法律、法规、规章规定的事项。</w:t>
      </w:r>
    </w:p>
    <w:p w14:paraId="068C5C1F">
      <w:pPr>
        <w:jc w:val="left"/>
        <w:rPr>
          <w:rFonts w:ascii="宋体" w:hAnsi="宋体"/>
          <w:kern w:val="44"/>
        </w:rPr>
      </w:pPr>
      <w:r>
        <w:rPr>
          <w:rFonts w:hint="eastAsia" w:ascii="宋体" w:hAnsi="宋体"/>
          <w:kern w:val="44"/>
        </w:rPr>
        <w:t>行政规范性文件对实施法律、法规、规章作出的具体规定，不得增设公民、法人和其他组织的义务，不得限制法律、法规、规章赋予公民、法人和其他组织的权利。</w:t>
      </w:r>
    </w:p>
    <w:p w14:paraId="6D21054B">
      <w:pPr>
        <w:ind w:firstLine="422"/>
        <w:jc w:val="left"/>
        <w:rPr>
          <w:rFonts w:ascii="宋体" w:hAnsi="宋体"/>
          <w:kern w:val="44"/>
        </w:rPr>
      </w:pPr>
      <w:r>
        <w:rPr>
          <w:rFonts w:hint="eastAsia" w:ascii="宋体" w:hAnsi="宋体"/>
          <w:b/>
          <w:kern w:val="44"/>
        </w:rPr>
        <w:t>第五条</w:t>
      </w:r>
      <w:r>
        <w:rPr>
          <w:rFonts w:hint="eastAsia" w:ascii="宋体" w:hAnsi="宋体"/>
          <w:kern w:val="44"/>
        </w:rPr>
        <w:t>　行政规范性文件应当自施行之日起30日前公布，未经公布的，不得作为实施行政管理的依据；但因保障国家安全、重大公共利益的需要，或者公布后不立即施行将有碍法律、法规、规章执行等情形的除外。</w:t>
      </w:r>
    </w:p>
    <w:p w14:paraId="261069B4">
      <w:pPr>
        <w:ind w:firstLine="422"/>
        <w:jc w:val="left"/>
        <w:rPr>
          <w:rFonts w:ascii="宋体" w:hAnsi="宋体"/>
          <w:kern w:val="44"/>
        </w:rPr>
      </w:pPr>
      <w:r>
        <w:rPr>
          <w:rFonts w:hint="eastAsia" w:ascii="宋体" w:hAnsi="宋体"/>
          <w:b/>
          <w:kern w:val="44"/>
        </w:rPr>
        <w:t>第六条</w:t>
      </w:r>
      <w:r>
        <w:rPr>
          <w:rFonts w:hint="eastAsia" w:ascii="宋体" w:hAnsi="宋体"/>
          <w:kern w:val="44"/>
        </w:rPr>
        <w:t>　公众有权查阅已经公布的行政规范性文件，制定机关有义务为公众查阅提供方便。</w:t>
      </w:r>
    </w:p>
    <w:p w14:paraId="1C6A2EC3">
      <w:pPr>
        <w:jc w:val="left"/>
        <w:rPr>
          <w:rFonts w:ascii="宋体" w:hAnsi="宋体"/>
          <w:kern w:val="44"/>
        </w:rPr>
      </w:pPr>
      <w:r>
        <w:rPr>
          <w:rFonts w:hint="eastAsia" w:ascii="宋体" w:hAnsi="宋体"/>
          <w:kern w:val="44"/>
        </w:rPr>
        <w:t>制定机关应当在本机关的办公场所或者其他指定场所提供行政规范性文件文本，供公众免费查阅，并且应当将行政规范性文件在本机关或者上级主管机关的网站（页）上予以刊登。本级政府有公报的，应当在本级政府公报上予以刊登。</w:t>
      </w:r>
    </w:p>
    <w:p w14:paraId="353E3E33">
      <w:pPr>
        <w:ind w:firstLine="422"/>
        <w:jc w:val="left"/>
        <w:rPr>
          <w:rFonts w:ascii="宋体" w:hAnsi="宋体"/>
          <w:kern w:val="44"/>
        </w:rPr>
      </w:pPr>
      <w:r>
        <w:rPr>
          <w:rFonts w:hint="eastAsia" w:ascii="宋体" w:hAnsi="宋体"/>
          <w:b/>
          <w:kern w:val="44"/>
        </w:rPr>
        <w:t>第七条</w:t>
      </w:r>
      <w:r>
        <w:rPr>
          <w:rFonts w:hint="eastAsia" w:ascii="宋体" w:hAnsi="宋体"/>
          <w:kern w:val="44"/>
        </w:rPr>
        <w:t>　市和区、县档案馆是本级人民政府指定查阅行政规范性文件的场所。</w:t>
      </w:r>
    </w:p>
    <w:p w14:paraId="0A2B1F6D">
      <w:pPr>
        <w:jc w:val="left"/>
        <w:rPr>
          <w:rFonts w:ascii="宋体" w:hAnsi="宋体"/>
          <w:kern w:val="44"/>
        </w:rPr>
      </w:pPr>
      <w:r>
        <w:rPr>
          <w:rFonts w:hint="eastAsia" w:ascii="宋体" w:hAnsi="宋体"/>
          <w:kern w:val="44"/>
        </w:rPr>
        <w:t>市和区、县档案馆应当做好行政规范性文件目录检索和全文查阅等服务工作，供公众免费查阅。</w:t>
      </w:r>
    </w:p>
    <w:p w14:paraId="48802F7D">
      <w:pPr>
        <w:ind w:firstLine="422"/>
        <w:jc w:val="left"/>
        <w:rPr>
          <w:rFonts w:ascii="宋体" w:hAnsi="宋体"/>
          <w:kern w:val="44"/>
        </w:rPr>
      </w:pPr>
      <w:r>
        <w:rPr>
          <w:rFonts w:hint="eastAsia" w:ascii="宋体" w:hAnsi="宋体"/>
          <w:b/>
          <w:kern w:val="44"/>
        </w:rPr>
        <w:t>第八条</w:t>
      </w:r>
      <w:r>
        <w:rPr>
          <w:rFonts w:hint="eastAsia" w:ascii="宋体" w:hAnsi="宋体"/>
          <w:kern w:val="44"/>
        </w:rPr>
        <w:t>　行政规范性文件应当自公布之日起15日内，由制定机关按照下列规定抄送档案馆：</w:t>
      </w:r>
    </w:p>
    <w:p w14:paraId="613008B4">
      <w:pPr>
        <w:jc w:val="left"/>
        <w:rPr>
          <w:rFonts w:ascii="宋体" w:hAnsi="宋体"/>
          <w:kern w:val="44"/>
        </w:rPr>
      </w:pPr>
      <w:r>
        <w:rPr>
          <w:rFonts w:hint="eastAsia" w:ascii="宋体" w:hAnsi="宋体"/>
          <w:kern w:val="44"/>
        </w:rPr>
        <w:t>（一）市人民政府所属部门和派出机关制定的行政规范性文件抄送市档案馆；</w:t>
      </w:r>
    </w:p>
    <w:p w14:paraId="72A9D481">
      <w:pPr>
        <w:jc w:val="left"/>
        <w:rPr>
          <w:rFonts w:ascii="宋体" w:hAnsi="宋体"/>
          <w:kern w:val="44"/>
        </w:rPr>
      </w:pPr>
      <w:r>
        <w:rPr>
          <w:rFonts w:hint="eastAsia" w:ascii="宋体" w:hAnsi="宋体"/>
          <w:kern w:val="44"/>
        </w:rPr>
        <w:t>（二）区、县人民政府及其所属部门、派出机关和乡镇人民政府制定的行政规范性文件抄送本区、县档案馆。</w:t>
      </w:r>
    </w:p>
    <w:p w14:paraId="76554E79">
      <w:pPr>
        <w:jc w:val="left"/>
        <w:rPr>
          <w:rFonts w:ascii="宋体" w:hAnsi="宋体"/>
          <w:kern w:val="44"/>
        </w:rPr>
      </w:pPr>
      <w:r>
        <w:rPr>
          <w:rFonts w:hint="eastAsia" w:ascii="宋体" w:hAnsi="宋体"/>
          <w:kern w:val="44"/>
        </w:rPr>
        <w:t>向档案馆抄送的行政规范性文件应当包含纸质的正式文本和电子文本。</w:t>
      </w:r>
    </w:p>
    <w:p w14:paraId="0FBD0B42">
      <w:pPr>
        <w:ind w:firstLine="422"/>
        <w:jc w:val="left"/>
        <w:rPr>
          <w:rFonts w:ascii="宋体" w:hAnsi="宋体"/>
          <w:kern w:val="44"/>
        </w:rPr>
      </w:pPr>
      <w:r>
        <w:rPr>
          <w:rFonts w:hint="eastAsia" w:ascii="宋体" w:hAnsi="宋体"/>
          <w:b/>
          <w:kern w:val="44"/>
        </w:rPr>
        <w:t>第九条</w:t>
      </w:r>
      <w:r>
        <w:rPr>
          <w:rFonts w:hint="eastAsia" w:ascii="宋体" w:hAnsi="宋体"/>
          <w:kern w:val="44"/>
        </w:rPr>
        <w:t>　行政规范性文件应当于公布之日起15日内，由制定机关按照下列规定向上一级行政机关（以下简称备案监督机关）报送备案：</w:t>
      </w:r>
    </w:p>
    <w:p w14:paraId="03BA717B">
      <w:pPr>
        <w:jc w:val="left"/>
        <w:rPr>
          <w:rFonts w:ascii="宋体" w:hAnsi="宋体"/>
          <w:kern w:val="44"/>
        </w:rPr>
      </w:pPr>
      <w:r>
        <w:rPr>
          <w:rFonts w:hint="eastAsia" w:ascii="宋体" w:hAnsi="宋体"/>
          <w:kern w:val="44"/>
        </w:rPr>
        <w:t>（一）区、县和乡、镇人民政府制定的行政规范性文件，向上一级人民政府报送备案；</w:t>
      </w:r>
    </w:p>
    <w:p w14:paraId="1BCAC9D1">
      <w:pPr>
        <w:jc w:val="left"/>
        <w:rPr>
          <w:rFonts w:ascii="宋体" w:hAnsi="宋体"/>
          <w:kern w:val="44"/>
        </w:rPr>
      </w:pPr>
      <w:r>
        <w:rPr>
          <w:rFonts w:hint="eastAsia" w:ascii="宋体" w:hAnsi="宋体"/>
          <w:kern w:val="44"/>
        </w:rPr>
        <w:t>（二）市和区、县人民政府所属部门和派出机关制定的行政规范性文件，向本级人民政府报送备案；两个以上政府所属部门或者派出机关联合制定的行政规范性文件，由主办部门向本级人民政府报送备案。</w:t>
      </w:r>
    </w:p>
    <w:p w14:paraId="6CD501B3">
      <w:pPr>
        <w:ind w:firstLine="422"/>
        <w:jc w:val="left"/>
        <w:rPr>
          <w:rFonts w:ascii="宋体" w:hAnsi="宋体"/>
          <w:kern w:val="44"/>
        </w:rPr>
      </w:pPr>
      <w:r>
        <w:rPr>
          <w:rFonts w:hint="eastAsia" w:ascii="宋体" w:hAnsi="宋体"/>
          <w:b/>
          <w:kern w:val="44"/>
        </w:rPr>
        <w:t>第十条</w:t>
      </w:r>
      <w:r>
        <w:rPr>
          <w:rFonts w:hint="eastAsia" w:ascii="宋体" w:hAnsi="宋体"/>
          <w:kern w:val="44"/>
        </w:rPr>
        <w:t>　备案监督机关的法制机构具体负责行政规范性文件的备案登记和合法性审查工作。</w:t>
      </w:r>
    </w:p>
    <w:p w14:paraId="02685B69">
      <w:pPr>
        <w:jc w:val="left"/>
        <w:rPr>
          <w:rFonts w:ascii="宋体" w:hAnsi="宋体"/>
          <w:kern w:val="44"/>
        </w:rPr>
      </w:pPr>
      <w:r>
        <w:rPr>
          <w:rFonts w:hint="eastAsia" w:ascii="宋体" w:hAnsi="宋体"/>
          <w:kern w:val="44"/>
        </w:rPr>
        <w:t>依照本办法的规定报送备案的行政规范性文件，径送备案监督机关的法制机构。</w:t>
      </w:r>
    </w:p>
    <w:p w14:paraId="380CD444">
      <w:pPr>
        <w:ind w:firstLine="422"/>
        <w:jc w:val="left"/>
        <w:rPr>
          <w:rFonts w:ascii="宋体" w:hAnsi="宋体"/>
          <w:kern w:val="44"/>
        </w:rPr>
      </w:pPr>
      <w:r>
        <w:rPr>
          <w:rFonts w:hint="eastAsia" w:ascii="宋体" w:hAnsi="宋体"/>
          <w:b/>
          <w:kern w:val="44"/>
        </w:rPr>
        <w:t>第十一条</w:t>
      </w:r>
      <w:r>
        <w:rPr>
          <w:rFonts w:hint="eastAsia" w:ascii="宋体" w:hAnsi="宋体"/>
          <w:kern w:val="44"/>
        </w:rPr>
        <w:t>　制定机关报送备案，应当提交备案报告和行政规范性文件纸质的正式文本和电子文本。</w:t>
      </w:r>
    </w:p>
    <w:p w14:paraId="02D68F9D">
      <w:pPr>
        <w:jc w:val="left"/>
        <w:rPr>
          <w:rFonts w:ascii="宋体" w:hAnsi="宋体"/>
          <w:kern w:val="44"/>
        </w:rPr>
      </w:pPr>
      <w:r>
        <w:rPr>
          <w:rFonts w:hint="eastAsia" w:ascii="宋体" w:hAnsi="宋体"/>
          <w:kern w:val="44"/>
        </w:rPr>
        <w:t>备案报告的内容应当包括制定该行政规范性文件的依据、目的、主要内容的说明以及制定机关法制机构的审核意见。</w:t>
      </w:r>
    </w:p>
    <w:p w14:paraId="2C48F1A9">
      <w:pPr>
        <w:jc w:val="left"/>
        <w:rPr>
          <w:rFonts w:ascii="宋体" w:hAnsi="宋体"/>
          <w:kern w:val="44"/>
        </w:rPr>
      </w:pPr>
      <w:r>
        <w:rPr>
          <w:rFonts w:hint="eastAsia" w:ascii="宋体" w:hAnsi="宋体"/>
          <w:kern w:val="44"/>
        </w:rPr>
        <w:t>有关备案文书的格式，由市人民政府法制办公室统一制定。</w:t>
      </w:r>
    </w:p>
    <w:p w14:paraId="29273BDA">
      <w:pPr>
        <w:ind w:firstLine="422"/>
        <w:jc w:val="left"/>
        <w:rPr>
          <w:rFonts w:ascii="宋体" w:hAnsi="宋体"/>
          <w:kern w:val="44"/>
        </w:rPr>
      </w:pPr>
      <w:r>
        <w:rPr>
          <w:rFonts w:hint="eastAsia" w:ascii="宋体" w:hAnsi="宋体"/>
          <w:b/>
          <w:kern w:val="44"/>
        </w:rPr>
        <w:t>第十二条</w:t>
      </w:r>
      <w:r>
        <w:rPr>
          <w:rFonts w:hint="eastAsia" w:ascii="宋体" w:hAnsi="宋体"/>
          <w:kern w:val="44"/>
        </w:rPr>
        <w:t>　报送行政规范性文件符合本办法第二条、第九条、第十一条规定的，备案监督机关的法制机构予以备案登记；对不属于行政规范性文件的，不予备案登记；报送行政规范性文件不符合第十一条规定的，暂缓办理备案登记，并通知制定机关补正，补正后符合规定的，予以备案登记。</w:t>
      </w:r>
    </w:p>
    <w:p w14:paraId="6FC22BF8">
      <w:pPr>
        <w:jc w:val="left"/>
        <w:rPr>
          <w:rFonts w:ascii="宋体" w:hAnsi="宋体"/>
          <w:kern w:val="44"/>
        </w:rPr>
      </w:pPr>
      <w:r>
        <w:rPr>
          <w:rFonts w:hint="eastAsia" w:ascii="宋体" w:hAnsi="宋体"/>
          <w:kern w:val="44"/>
        </w:rPr>
        <w:t>报送行政规范性文件不符合第九条规定的，接收备案材料的法制机构应当告知制定机关按照第九条规定向相关备案监督机关报送。</w:t>
      </w:r>
    </w:p>
    <w:p w14:paraId="0B33E7A9">
      <w:pPr>
        <w:jc w:val="left"/>
        <w:rPr>
          <w:rFonts w:ascii="宋体" w:hAnsi="宋体"/>
          <w:kern w:val="44"/>
        </w:rPr>
      </w:pPr>
      <w:r>
        <w:rPr>
          <w:rFonts w:hint="eastAsia" w:ascii="宋体" w:hAnsi="宋体"/>
          <w:kern w:val="44"/>
        </w:rPr>
        <w:t>经备案登记的行政规范性文件，由备案监督机关的法制机构按月公布目录。</w:t>
      </w:r>
    </w:p>
    <w:p w14:paraId="56029B24">
      <w:pPr>
        <w:ind w:firstLine="422"/>
        <w:jc w:val="left"/>
        <w:rPr>
          <w:rFonts w:ascii="宋体" w:hAnsi="宋体"/>
          <w:kern w:val="44"/>
        </w:rPr>
      </w:pPr>
      <w:r>
        <w:rPr>
          <w:rFonts w:hint="eastAsia" w:ascii="宋体" w:hAnsi="宋体"/>
          <w:b/>
          <w:kern w:val="44"/>
        </w:rPr>
        <w:t>第十三条</w:t>
      </w:r>
      <w:r>
        <w:rPr>
          <w:rFonts w:hint="eastAsia" w:ascii="宋体" w:hAnsi="宋体"/>
          <w:kern w:val="44"/>
        </w:rPr>
        <w:t>　备案监督机关的法制机构应当在收到报送备案的行政规范性文件之日起15日内，向制定机关回复予以备案登记、不予备案登记或者暂缓办理备案登记的书面意见。</w:t>
      </w:r>
    </w:p>
    <w:p w14:paraId="76004E5A">
      <w:pPr>
        <w:ind w:firstLine="422"/>
        <w:jc w:val="left"/>
        <w:rPr>
          <w:rFonts w:ascii="宋体" w:hAnsi="宋体"/>
          <w:kern w:val="44"/>
        </w:rPr>
      </w:pPr>
      <w:r>
        <w:rPr>
          <w:rFonts w:hint="eastAsia" w:ascii="宋体" w:hAnsi="宋体"/>
          <w:b/>
          <w:kern w:val="44"/>
        </w:rPr>
        <w:t>第十四条</w:t>
      </w:r>
      <w:r>
        <w:rPr>
          <w:rFonts w:hint="eastAsia" w:ascii="宋体" w:hAnsi="宋体"/>
          <w:kern w:val="44"/>
        </w:rPr>
        <w:t>　备案监督机关的法制机构应当就下列事项对备案登记的行政规范性文件进行审查：</w:t>
      </w:r>
    </w:p>
    <w:p w14:paraId="2ECFF781">
      <w:pPr>
        <w:jc w:val="left"/>
        <w:rPr>
          <w:rFonts w:ascii="宋体" w:hAnsi="宋体"/>
          <w:kern w:val="44"/>
        </w:rPr>
      </w:pPr>
      <w:r>
        <w:rPr>
          <w:rFonts w:hint="eastAsia" w:ascii="宋体" w:hAnsi="宋体"/>
          <w:kern w:val="44"/>
        </w:rPr>
        <w:t>（一）是否与法律、法规、规章相抵触；</w:t>
      </w:r>
    </w:p>
    <w:p w14:paraId="1841EB64">
      <w:pPr>
        <w:jc w:val="left"/>
        <w:rPr>
          <w:rFonts w:ascii="宋体" w:hAnsi="宋体"/>
          <w:kern w:val="44"/>
        </w:rPr>
      </w:pPr>
      <w:r>
        <w:rPr>
          <w:rFonts w:hint="eastAsia" w:ascii="宋体" w:hAnsi="宋体"/>
          <w:kern w:val="44"/>
        </w:rPr>
        <w:t>（二）制定机关是否具有相应的法定职权。</w:t>
      </w:r>
    </w:p>
    <w:p w14:paraId="231AA4B3">
      <w:pPr>
        <w:ind w:firstLine="422"/>
        <w:jc w:val="left"/>
        <w:rPr>
          <w:rFonts w:ascii="宋体" w:hAnsi="宋体"/>
          <w:kern w:val="44"/>
        </w:rPr>
      </w:pPr>
      <w:r>
        <w:rPr>
          <w:rFonts w:hint="eastAsia" w:ascii="宋体" w:hAnsi="宋体"/>
          <w:b/>
          <w:kern w:val="44"/>
        </w:rPr>
        <w:t>第十五条</w:t>
      </w:r>
      <w:r>
        <w:rPr>
          <w:rFonts w:hint="eastAsia" w:ascii="宋体" w:hAnsi="宋体"/>
          <w:kern w:val="44"/>
        </w:rPr>
        <w:t>　备案监督机关的法制机构对行政规范性文件进行审查时，需要制定机关补充提供相关材料的，制定机关应当按照备案监督机关的法制机构的要求及时报送。</w:t>
      </w:r>
    </w:p>
    <w:p w14:paraId="69336870">
      <w:pPr>
        <w:jc w:val="left"/>
        <w:rPr>
          <w:rFonts w:ascii="宋体" w:hAnsi="宋体"/>
          <w:kern w:val="44"/>
        </w:rPr>
      </w:pPr>
      <w:r>
        <w:rPr>
          <w:rFonts w:hint="eastAsia" w:ascii="宋体" w:hAnsi="宋体"/>
          <w:kern w:val="44"/>
        </w:rPr>
        <w:t>审查中需要征求下级人民政府和相关部门意见的，被征求意见的机关应当按照备案监督机关的法制机构的要求予以回复。</w:t>
      </w:r>
    </w:p>
    <w:p w14:paraId="13AC538B">
      <w:pPr>
        <w:ind w:firstLine="422"/>
        <w:jc w:val="left"/>
        <w:rPr>
          <w:rFonts w:ascii="宋体" w:hAnsi="宋体"/>
          <w:kern w:val="44"/>
        </w:rPr>
      </w:pPr>
      <w:r>
        <w:rPr>
          <w:rFonts w:hint="eastAsia" w:ascii="宋体" w:hAnsi="宋体"/>
          <w:b/>
          <w:kern w:val="44"/>
        </w:rPr>
        <w:t>第十六条</w:t>
      </w:r>
      <w:r>
        <w:rPr>
          <w:rFonts w:hint="eastAsia" w:ascii="宋体" w:hAnsi="宋体"/>
          <w:kern w:val="44"/>
        </w:rPr>
        <w:t>　经审查，发现行政规范性文件的内容有同法律、法规、规章相抵触或者超越制定机关法定职权情形的，备案监督机关的法制机构应当及时向制定机关提出自行撤销或者改正的审查处理意见；制定机关拒绝改正的，由备案监督机关的法制机构报请备案监督机关决定，必要时，由备案监督机关直接予以撤销。</w:t>
      </w:r>
    </w:p>
    <w:p w14:paraId="185DE665">
      <w:pPr>
        <w:ind w:firstLine="422"/>
        <w:jc w:val="left"/>
        <w:rPr>
          <w:rFonts w:ascii="宋体" w:hAnsi="宋体"/>
          <w:kern w:val="44"/>
        </w:rPr>
      </w:pPr>
      <w:r>
        <w:rPr>
          <w:rFonts w:hint="eastAsia" w:ascii="宋体" w:hAnsi="宋体"/>
          <w:b/>
          <w:kern w:val="44"/>
        </w:rPr>
        <w:t>第十七条</w:t>
      </w:r>
      <w:r>
        <w:rPr>
          <w:rFonts w:hint="eastAsia" w:ascii="宋体" w:hAnsi="宋体"/>
          <w:kern w:val="44"/>
        </w:rPr>
        <w:t>　制定机关应当自收到审查处理意见或者决定之日起10日内，将处理结果报告作出审查处理意见的备案监督机关的法制机构或者作出决定的备案监督机关。</w:t>
      </w:r>
    </w:p>
    <w:p w14:paraId="62A0C6EA">
      <w:pPr>
        <w:ind w:firstLine="422"/>
        <w:jc w:val="left"/>
        <w:rPr>
          <w:rFonts w:ascii="宋体" w:hAnsi="宋体"/>
          <w:kern w:val="44"/>
        </w:rPr>
      </w:pPr>
      <w:r>
        <w:rPr>
          <w:rFonts w:hint="eastAsia" w:ascii="宋体" w:hAnsi="宋体"/>
          <w:b/>
          <w:kern w:val="44"/>
        </w:rPr>
        <w:t>第十八条</w:t>
      </w:r>
      <w:r>
        <w:rPr>
          <w:rFonts w:hint="eastAsia" w:ascii="宋体" w:hAnsi="宋体"/>
          <w:kern w:val="44"/>
        </w:rPr>
        <w:t>　国家机关、社会团体、企业事业组织和公民认为行政规范性文件内容与法律、法规、规章相抵触或者超越制定机关法定职权，可以向备案监督机关提出书面审查建议，由备案监督机关的法制机构研究并提出处理意见，按照规定程序处理。</w:t>
      </w:r>
    </w:p>
    <w:p w14:paraId="4D4C28CA">
      <w:pPr>
        <w:ind w:firstLine="422"/>
        <w:jc w:val="left"/>
        <w:rPr>
          <w:rFonts w:ascii="宋体" w:hAnsi="宋体"/>
          <w:kern w:val="44"/>
        </w:rPr>
      </w:pPr>
      <w:r>
        <w:rPr>
          <w:rFonts w:hint="eastAsia" w:ascii="宋体" w:hAnsi="宋体"/>
          <w:b/>
          <w:kern w:val="44"/>
        </w:rPr>
        <w:t>第十九条</w:t>
      </w:r>
      <w:r>
        <w:rPr>
          <w:rFonts w:hint="eastAsia" w:ascii="宋体" w:hAnsi="宋体"/>
          <w:kern w:val="44"/>
        </w:rPr>
        <w:t>　制定机关应当于每年3月1日前将本机关上一年度制定的行政规范性文件目录报送备案监督机关的法制机构。</w:t>
      </w:r>
    </w:p>
    <w:p w14:paraId="2438BB37">
      <w:pPr>
        <w:jc w:val="left"/>
        <w:rPr>
          <w:rFonts w:ascii="宋体" w:hAnsi="宋体"/>
          <w:kern w:val="44"/>
        </w:rPr>
      </w:pPr>
      <w:r>
        <w:rPr>
          <w:rFonts w:hint="eastAsia" w:ascii="宋体" w:hAnsi="宋体"/>
          <w:kern w:val="44"/>
        </w:rPr>
        <w:t>备案监督机关的法制机构应当于每年第一季度内，将上一年度行政规范性文件备案情况予以通报。</w:t>
      </w:r>
    </w:p>
    <w:p w14:paraId="3BBE3F9B">
      <w:pPr>
        <w:ind w:firstLine="422"/>
        <w:jc w:val="left"/>
        <w:rPr>
          <w:rFonts w:ascii="宋体" w:hAnsi="宋体"/>
          <w:kern w:val="44"/>
        </w:rPr>
      </w:pPr>
      <w:r>
        <w:rPr>
          <w:rFonts w:hint="eastAsia" w:ascii="宋体" w:hAnsi="宋体"/>
          <w:b/>
          <w:kern w:val="44"/>
        </w:rPr>
        <w:t>第二十条</w:t>
      </w:r>
      <w:r>
        <w:rPr>
          <w:rFonts w:hint="eastAsia" w:ascii="宋体" w:hAnsi="宋体"/>
          <w:kern w:val="44"/>
        </w:rPr>
        <w:t>　制定机关公布的行政规范性文件未按规定报送备案或者未按时上报行政规范性文件目录的，由备案监督机关的法制机构通知制定机关限期报送，并给予通报；拒不报送的，由人事任免机关或者监察机关按照处理权限，追究制定机关直接负责的主管人员和其他直接责任人员的责任。</w:t>
      </w:r>
    </w:p>
    <w:p w14:paraId="64333099">
      <w:pPr>
        <w:ind w:firstLine="422"/>
        <w:jc w:val="left"/>
        <w:rPr>
          <w:rFonts w:ascii="宋体" w:hAnsi="宋体"/>
          <w:kern w:val="44"/>
        </w:rPr>
      </w:pPr>
      <w:r>
        <w:rPr>
          <w:rFonts w:hint="eastAsia" w:ascii="宋体" w:hAnsi="宋体"/>
          <w:b/>
          <w:kern w:val="44"/>
        </w:rPr>
        <w:t>第二十一条</w:t>
      </w:r>
      <w:r>
        <w:rPr>
          <w:rFonts w:hint="eastAsia" w:ascii="宋体" w:hAnsi="宋体"/>
          <w:kern w:val="44"/>
        </w:rPr>
        <w:t>　制定机关违反本办法制定行政规范性文件，并损害公民、法人或者其他组织合法权益的，由人事任免机关或者监察机关按照处理权限，追究制定机关直接负责的主管人员和其他直接责任人员的责任。</w:t>
      </w:r>
    </w:p>
    <w:p w14:paraId="3321BB49">
      <w:pPr>
        <w:ind w:firstLine="422"/>
        <w:jc w:val="left"/>
        <w:rPr>
          <w:rFonts w:ascii="宋体" w:hAnsi="宋体"/>
          <w:kern w:val="44"/>
        </w:rPr>
      </w:pPr>
      <w:r>
        <w:rPr>
          <w:rFonts w:hint="eastAsia" w:ascii="宋体" w:hAnsi="宋体"/>
          <w:b/>
          <w:kern w:val="44"/>
        </w:rPr>
        <w:t>第二十二条</w:t>
      </w:r>
      <w:r>
        <w:rPr>
          <w:rFonts w:hint="eastAsia" w:ascii="宋体" w:hAnsi="宋体"/>
          <w:kern w:val="44"/>
        </w:rPr>
        <w:t>　市人民政府制定的行政规范性文件的备案，依据国家有关规定执行。</w:t>
      </w:r>
    </w:p>
    <w:p w14:paraId="7EC0A0F6">
      <w:pPr>
        <w:jc w:val="left"/>
        <w:rPr>
          <w:rFonts w:ascii="宋体" w:hAnsi="宋体"/>
          <w:kern w:val="44"/>
        </w:rPr>
      </w:pPr>
      <w:r>
        <w:rPr>
          <w:rFonts w:hint="eastAsia" w:ascii="宋体" w:hAnsi="宋体"/>
          <w:kern w:val="44"/>
        </w:rPr>
        <w:t>法律、法规、规章授权行使行政职能的组织、市以下垂直管理部门的下属行政机关和部门管理的行政机关的行政规范性文件的备案，参照本办法执行。</w:t>
      </w:r>
    </w:p>
    <w:p w14:paraId="1E2BB7FD">
      <w:pPr>
        <w:ind w:firstLine="422"/>
        <w:jc w:val="left"/>
        <w:rPr>
          <w:rFonts w:ascii="宋体" w:hAnsi="宋体"/>
          <w:kern w:val="44"/>
        </w:rPr>
      </w:pPr>
      <w:r>
        <w:rPr>
          <w:rFonts w:hint="eastAsia" w:ascii="宋体" w:hAnsi="宋体"/>
          <w:b/>
          <w:kern w:val="44"/>
        </w:rPr>
        <w:t>第二十三条</w:t>
      </w:r>
      <w:r>
        <w:rPr>
          <w:rFonts w:hint="eastAsia" w:ascii="宋体" w:hAnsi="宋体"/>
          <w:kern w:val="44"/>
        </w:rPr>
        <w:t>　本办法自2006年1月1日起施行。北京市人民政府1994年7月7日发布的《北京市行政措施备案规定》同时废止。</w:t>
      </w:r>
    </w:p>
    <w:p w14:paraId="1D59A593">
      <w:pPr>
        <w:pStyle w:val="3"/>
        <w:pageBreakBefore/>
        <w:rPr>
          <w:kern w:val="44"/>
        </w:rPr>
      </w:pPr>
      <w:bookmarkStart w:id="225" w:name="_Toc427651750"/>
      <w:bookmarkStart w:id="226" w:name="_Toc422471089"/>
      <w:bookmarkStart w:id="227" w:name="_Toc427651408"/>
      <w:bookmarkStart w:id="228" w:name="_Toc428781456"/>
      <w:bookmarkStart w:id="229" w:name="_Toc428779974"/>
      <w:r>
        <w:rPr>
          <w:rFonts w:hint="eastAsia"/>
          <w:kern w:val="44"/>
        </w:rPr>
        <w:t>（五）民族、宗教</w:t>
      </w:r>
      <w:bookmarkEnd w:id="225"/>
      <w:bookmarkEnd w:id="226"/>
      <w:bookmarkEnd w:id="227"/>
      <w:bookmarkEnd w:id="228"/>
      <w:bookmarkEnd w:id="229"/>
    </w:p>
    <w:p w14:paraId="6D83EE56">
      <w:pPr>
        <w:spacing w:line="240" w:lineRule="exact"/>
      </w:pPr>
    </w:p>
    <w:p w14:paraId="12ECF778">
      <w:pPr>
        <w:pStyle w:val="4"/>
        <w:rPr>
          <w:kern w:val="44"/>
        </w:rPr>
      </w:pPr>
      <w:bookmarkStart w:id="230" w:name="_Toc427651751"/>
      <w:bookmarkStart w:id="231" w:name="_Toc422471090"/>
      <w:bookmarkStart w:id="232" w:name="_Toc427651409"/>
      <w:bookmarkStart w:id="233" w:name="_Toc428779975"/>
      <w:bookmarkStart w:id="234" w:name="_Toc428781457"/>
      <w:r>
        <w:rPr>
          <w:rFonts w:hint="eastAsia"/>
          <w:kern w:val="44"/>
        </w:rPr>
        <w:t>北京市少数民族权益保障条例</w:t>
      </w:r>
      <w:bookmarkEnd w:id="230"/>
      <w:bookmarkEnd w:id="231"/>
      <w:bookmarkEnd w:id="232"/>
      <w:bookmarkEnd w:id="233"/>
      <w:bookmarkEnd w:id="234"/>
    </w:p>
    <w:p w14:paraId="22D657CE">
      <w:pPr>
        <w:ind w:left="630" w:leftChars="300" w:right="630" w:rightChars="300"/>
        <w:jc w:val="left"/>
        <w:rPr>
          <w:rFonts w:ascii="楷体" w:hAnsi="楷体" w:eastAsia="楷体"/>
          <w:kern w:val="44"/>
        </w:rPr>
      </w:pPr>
      <w:r>
        <w:rPr>
          <w:rFonts w:hint="eastAsia" w:ascii="楷体" w:hAnsi="楷体" w:eastAsia="楷体"/>
          <w:kern w:val="44"/>
        </w:rPr>
        <w:t>（1998年11月5日北京市第十一届人民代表大会常务委员会第六次会议通过）</w:t>
      </w:r>
    </w:p>
    <w:p w14:paraId="17D6C888">
      <w:pPr>
        <w:ind w:left="630" w:leftChars="300" w:right="630" w:rightChars="300"/>
        <w:jc w:val="left"/>
        <w:rPr>
          <w:rFonts w:ascii="楷体" w:hAnsi="楷体" w:eastAsia="楷体"/>
          <w:kern w:val="44"/>
        </w:rPr>
      </w:pPr>
    </w:p>
    <w:p w14:paraId="07302CC6">
      <w:pPr>
        <w:ind w:firstLine="0" w:firstLineChars="0"/>
        <w:jc w:val="center"/>
        <w:rPr>
          <w:rFonts w:ascii="宋体" w:hAnsi="宋体"/>
          <w:b/>
          <w:kern w:val="44"/>
          <w:sz w:val="28"/>
        </w:rPr>
      </w:pPr>
      <w:r>
        <w:rPr>
          <w:rFonts w:hint="eastAsia" w:ascii="宋体" w:hAnsi="宋体"/>
          <w:b/>
          <w:kern w:val="44"/>
          <w:sz w:val="28"/>
        </w:rPr>
        <w:t>第一章　总　则</w:t>
      </w:r>
    </w:p>
    <w:p w14:paraId="328D55EA">
      <w:pPr>
        <w:jc w:val="left"/>
        <w:rPr>
          <w:rFonts w:ascii="宋体" w:hAnsi="宋体"/>
          <w:kern w:val="44"/>
        </w:rPr>
      </w:pPr>
    </w:p>
    <w:p w14:paraId="2C4D3EA3">
      <w:pPr>
        <w:ind w:firstLine="422"/>
        <w:jc w:val="left"/>
        <w:rPr>
          <w:rFonts w:ascii="宋体" w:hAnsi="宋体"/>
          <w:kern w:val="44"/>
        </w:rPr>
      </w:pPr>
      <w:r>
        <w:rPr>
          <w:rFonts w:hint="eastAsia" w:ascii="宋体" w:hAnsi="宋体"/>
          <w:b/>
          <w:kern w:val="44"/>
        </w:rPr>
        <w:t>第一条</w:t>
      </w:r>
      <w:r>
        <w:rPr>
          <w:rFonts w:hint="eastAsia" w:ascii="宋体" w:hAnsi="宋体"/>
          <w:kern w:val="44"/>
        </w:rPr>
        <w:t>　为了保障少数民族的合法权益，维护和发展平等、团结、互助的社会主义民族关系，促进各民族共同繁荣，根据宪法和有关法律、法规，结合本市实际情况，制定本条例。</w:t>
      </w:r>
    </w:p>
    <w:p w14:paraId="30A87FC3">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本条例适用于本市行政区域内居住的由国家正式认定的除汉族以外的各民族。</w:t>
      </w:r>
    </w:p>
    <w:p w14:paraId="38078C7D">
      <w:pPr>
        <w:ind w:firstLine="422"/>
        <w:jc w:val="left"/>
        <w:rPr>
          <w:rFonts w:ascii="宋体" w:hAnsi="宋体"/>
          <w:kern w:val="44"/>
        </w:rPr>
      </w:pPr>
      <w:r>
        <w:rPr>
          <w:rFonts w:hint="eastAsia" w:ascii="宋体" w:hAnsi="宋体"/>
          <w:b/>
          <w:kern w:val="44"/>
        </w:rPr>
        <w:t>第三条</w:t>
      </w:r>
      <w:r>
        <w:rPr>
          <w:rFonts w:hint="eastAsia" w:ascii="宋体" w:hAnsi="宋体"/>
          <w:kern w:val="44"/>
        </w:rPr>
        <w:t>　少数民族公民享有宪法和法律规定的权利，并履行宪法和法律规定的义务。</w:t>
      </w:r>
    </w:p>
    <w:p w14:paraId="133E452A">
      <w:pPr>
        <w:jc w:val="left"/>
        <w:rPr>
          <w:rFonts w:ascii="宋体" w:hAnsi="宋体"/>
          <w:kern w:val="44"/>
        </w:rPr>
      </w:pPr>
      <w:r>
        <w:rPr>
          <w:rFonts w:hint="eastAsia" w:ascii="宋体" w:hAnsi="宋体"/>
          <w:kern w:val="44"/>
        </w:rPr>
        <w:t>任何组织和个人不得侵犯少数民族公民的合法权益。禁止民族歧视和破坏民族</w:t>
      </w:r>
      <w:r>
        <w:rPr>
          <w:rFonts w:hint="eastAsia" w:ascii="宋体" w:hAnsi="宋体"/>
          <w:spacing w:val="20"/>
          <w:kern w:val="44"/>
        </w:rPr>
        <w:t>团结、</w:t>
      </w:r>
      <w:r>
        <w:rPr>
          <w:rFonts w:hint="eastAsia" w:ascii="宋体" w:hAnsi="宋体"/>
          <w:kern w:val="44"/>
        </w:rPr>
        <w:t>损害民族关系的行为。</w:t>
      </w:r>
    </w:p>
    <w:p w14:paraId="76BE2DA5">
      <w:pPr>
        <w:ind w:firstLine="422"/>
        <w:jc w:val="left"/>
        <w:rPr>
          <w:rFonts w:ascii="宋体" w:hAnsi="宋体"/>
          <w:kern w:val="44"/>
        </w:rPr>
      </w:pPr>
      <w:r>
        <w:rPr>
          <w:rFonts w:hint="eastAsia" w:ascii="宋体" w:hAnsi="宋体"/>
          <w:b/>
          <w:kern w:val="44"/>
        </w:rPr>
        <w:t>第四条</w:t>
      </w:r>
      <w:r>
        <w:rPr>
          <w:rFonts w:hint="eastAsia" w:ascii="宋体" w:hAnsi="宋体"/>
          <w:kern w:val="44"/>
        </w:rPr>
        <w:t>　本市各单位应当对各民族公民进行民族政策和民族团结的教育。</w:t>
      </w:r>
    </w:p>
    <w:p w14:paraId="15D6EAE7">
      <w:pPr>
        <w:ind w:firstLine="422"/>
        <w:jc w:val="left"/>
        <w:rPr>
          <w:rFonts w:ascii="宋体" w:hAnsi="宋体"/>
          <w:kern w:val="44"/>
        </w:rPr>
      </w:pPr>
      <w:r>
        <w:rPr>
          <w:rFonts w:hint="eastAsia" w:ascii="宋体" w:hAnsi="宋体"/>
          <w:b/>
          <w:kern w:val="44"/>
        </w:rPr>
        <w:t>第五条</w:t>
      </w:r>
      <w:r>
        <w:rPr>
          <w:rFonts w:hint="eastAsia" w:ascii="宋体" w:hAnsi="宋体"/>
          <w:kern w:val="44"/>
        </w:rPr>
        <w:t>　本市各级人民政府应当将适应少数民族需要的经济、文化、教育、科技事业，纳入国民经济和社会发展计划。</w:t>
      </w:r>
    </w:p>
    <w:p w14:paraId="461E28F4">
      <w:pPr>
        <w:jc w:val="left"/>
        <w:rPr>
          <w:rFonts w:ascii="宋体" w:hAnsi="宋体"/>
          <w:kern w:val="44"/>
        </w:rPr>
      </w:pPr>
      <w:r>
        <w:rPr>
          <w:rFonts w:hint="eastAsia" w:ascii="宋体" w:hAnsi="宋体"/>
          <w:kern w:val="44"/>
        </w:rPr>
        <w:t>对于发展少数民族经济、文化、教育、科技事业所需要的资金，各级人民政府及其有关主管部门应当根据财力予以安排。</w:t>
      </w:r>
    </w:p>
    <w:p w14:paraId="5F045519">
      <w:pPr>
        <w:ind w:firstLine="422"/>
        <w:jc w:val="left"/>
        <w:rPr>
          <w:rFonts w:ascii="宋体" w:hAnsi="宋体"/>
          <w:kern w:val="44"/>
        </w:rPr>
      </w:pPr>
      <w:r>
        <w:rPr>
          <w:rFonts w:hint="eastAsia" w:ascii="宋体" w:hAnsi="宋体"/>
          <w:b/>
          <w:kern w:val="44"/>
        </w:rPr>
        <w:t>第六条</w:t>
      </w:r>
      <w:r>
        <w:rPr>
          <w:rFonts w:hint="eastAsia" w:ascii="宋体" w:hAnsi="宋体"/>
          <w:kern w:val="44"/>
        </w:rPr>
        <w:t>　市民族事务行政部门负责本市行政区域内的民族事务工作；区、县民族事务行政部门负责本辖区内的民族事务工作。</w:t>
      </w:r>
    </w:p>
    <w:p w14:paraId="3996709C">
      <w:pPr>
        <w:ind w:firstLine="422"/>
        <w:jc w:val="left"/>
        <w:rPr>
          <w:rFonts w:ascii="宋体" w:hAnsi="宋体"/>
          <w:kern w:val="44"/>
        </w:rPr>
      </w:pPr>
      <w:r>
        <w:rPr>
          <w:rFonts w:hint="eastAsia" w:ascii="宋体" w:hAnsi="宋体"/>
          <w:b/>
          <w:kern w:val="44"/>
        </w:rPr>
        <w:t>第七条</w:t>
      </w:r>
      <w:r>
        <w:rPr>
          <w:rFonts w:hint="eastAsia" w:ascii="宋体" w:hAnsi="宋体"/>
          <w:kern w:val="44"/>
        </w:rPr>
        <w:t>　少数民族公民对侵害自己合法权益的行为有权向有关国家机关提出申诉或者控告，有关国家机关必须及时依法处理。</w:t>
      </w:r>
    </w:p>
    <w:p w14:paraId="60A7039C">
      <w:pPr>
        <w:jc w:val="left"/>
        <w:rPr>
          <w:rFonts w:ascii="宋体" w:hAnsi="宋体"/>
          <w:kern w:val="44"/>
        </w:rPr>
      </w:pPr>
    </w:p>
    <w:p w14:paraId="4849A526">
      <w:pPr>
        <w:ind w:firstLine="0" w:firstLineChars="0"/>
        <w:jc w:val="center"/>
        <w:rPr>
          <w:rFonts w:ascii="宋体" w:hAnsi="宋体"/>
          <w:b/>
          <w:kern w:val="44"/>
          <w:sz w:val="28"/>
        </w:rPr>
      </w:pPr>
      <w:r>
        <w:rPr>
          <w:rFonts w:hint="eastAsia" w:ascii="宋体" w:hAnsi="宋体"/>
          <w:b/>
          <w:kern w:val="44"/>
          <w:sz w:val="28"/>
        </w:rPr>
        <w:t>第二章　保障政治平等权利</w:t>
      </w:r>
    </w:p>
    <w:p w14:paraId="618E8898">
      <w:pPr>
        <w:jc w:val="left"/>
        <w:rPr>
          <w:rFonts w:ascii="宋体" w:hAnsi="宋体"/>
          <w:kern w:val="44"/>
        </w:rPr>
      </w:pPr>
    </w:p>
    <w:p w14:paraId="718F92DF">
      <w:pPr>
        <w:ind w:firstLine="422"/>
        <w:jc w:val="left"/>
        <w:rPr>
          <w:rFonts w:ascii="宋体" w:hAnsi="宋体"/>
          <w:kern w:val="44"/>
        </w:rPr>
      </w:pPr>
      <w:r>
        <w:rPr>
          <w:rFonts w:hint="eastAsia" w:ascii="宋体" w:hAnsi="宋体"/>
          <w:b/>
          <w:kern w:val="44"/>
        </w:rPr>
        <w:t>第八条</w:t>
      </w:r>
      <w:r>
        <w:rPr>
          <w:rFonts w:hint="eastAsia" w:ascii="宋体" w:hAnsi="宋体"/>
          <w:kern w:val="44"/>
        </w:rPr>
        <w:t>　市和区、县，民族乡以及有一定数量少数民族人口的乡、镇人民代表大会应当有少数民族的代表。</w:t>
      </w:r>
    </w:p>
    <w:p w14:paraId="7A43E248">
      <w:pPr>
        <w:jc w:val="left"/>
        <w:rPr>
          <w:rFonts w:ascii="宋体" w:hAnsi="宋体"/>
          <w:kern w:val="44"/>
        </w:rPr>
      </w:pPr>
      <w:r>
        <w:rPr>
          <w:rFonts w:hint="eastAsia" w:ascii="宋体" w:hAnsi="宋体"/>
          <w:kern w:val="44"/>
        </w:rPr>
        <w:t>本市各级人民代表大会少数民族代表的选举，依照《中华人民共和国全国人民代表大会和地方各级人民代表大会选举法》和本市有关规定执行。</w:t>
      </w:r>
    </w:p>
    <w:p w14:paraId="460BB2DC">
      <w:pPr>
        <w:ind w:firstLine="422"/>
        <w:jc w:val="left"/>
        <w:rPr>
          <w:rFonts w:ascii="宋体" w:hAnsi="宋体"/>
          <w:kern w:val="44"/>
        </w:rPr>
      </w:pPr>
      <w:r>
        <w:rPr>
          <w:rFonts w:hint="eastAsia" w:ascii="宋体" w:hAnsi="宋体"/>
          <w:b/>
          <w:kern w:val="44"/>
        </w:rPr>
        <w:t>第九条</w:t>
      </w:r>
      <w:r>
        <w:rPr>
          <w:rFonts w:hint="eastAsia" w:ascii="宋体" w:hAnsi="宋体"/>
          <w:kern w:val="44"/>
        </w:rPr>
        <w:t>　本市各级国家机关保障少数民族参与管理国家事务的权利。在制定涉及少数民族的重要政策、决定以及处理涉及少数民族的重要问题时，应当听取少数民族代表人士的意见，发挥少数民族在发展经济、维护社会稳定、促进社会团结进步方面的积极作用。</w:t>
      </w:r>
    </w:p>
    <w:p w14:paraId="7A517D61">
      <w:pPr>
        <w:ind w:firstLine="422"/>
        <w:jc w:val="left"/>
        <w:rPr>
          <w:rFonts w:ascii="宋体" w:hAnsi="宋体"/>
          <w:kern w:val="44"/>
        </w:rPr>
      </w:pPr>
      <w:r>
        <w:rPr>
          <w:rFonts w:hint="eastAsia" w:ascii="宋体" w:hAnsi="宋体"/>
          <w:b/>
          <w:kern w:val="44"/>
        </w:rPr>
        <w:t>第十条</w:t>
      </w:r>
      <w:r>
        <w:rPr>
          <w:rFonts w:hint="eastAsia" w:ascii="宋体" w:hAnsi="宋体"/>
          <w:kern w:val="44"/>
        </w:rPr>
        <w:t>　本市各级人民政府应当制定规划并采取措施，有计划地选拔、培养和使用少数民族干部。</w:t>
      </w:r>
    </w:p>
    <w:p w14:paraId="3D6696A2">
      <w:pPr>
        <w:jc w:val="left"/>
        <w:rPr>
          <w:rFonts w:ascii="宋体" w:hAnsi="宋体"/>
          <w:kern w:val="44"/>
        </w:rPr>
      </w:pPr>
      <w:r>
        <w:rPr>
          <w:rFonts w:hint="eastAsia" w:ascii="宋体" w:hAnsi="宋体"/>
          <w:kern w:val="44"/>
        </w:rPr>
        <w:t>少数民族人口较多的区、县和乡、镇人民政府、街道办事处，以及国家和本市认定的直接为少数民族生产、生活服务的单位和部门，应当配备少数民族领导成员和工作人员。</w:t>
      </w:r>
    </w:p>
    <w:p w14:paraId="10D45F9C">
      <w:pPr>
        <w:ind w:firstLine="422"/>
        <w:jc w:val="left"/>
        <w:rPr>
          <w:rFonts w:ascii="宋体" w:hAnsi="宋体"/>
          <w:kern w:val="44"/>
        </w:rPr>
      </w:pPr>
      <w:r>
        <w:rPr>
          <w:rFonts w:hint="eastAsia" w:ascii="宋体" w:hAnsi="宋体"/>
          <w:b/>
          <w:kern w:val="44"/>
        </w:rPr>
        <w:t>第十一条</w:t>
      </w:r>
      <w:r>
        <w:rPr>
          <w:rFonts w:hint="eastAsia" w:ascii="宋体" w:hAnsi="宋体"/>
          <w:kern w:val="44"/>
        </w:rPr>
        <w:t>　少数民族人口达到总人口30％以上的乡级行政区域，可以设立民族乡；特殊情况的，可以略低于这个比例。民族乡的乡长由建立民族乡的少数民族公民担任。民族乡的建立以及合并、撤销，由区、县人民政府报请市人民政府审批。</w:t>
      </w:r>
    </w:p>
    <w:p w14:paraId="5092EF73">
      <w:pPr>
        <w:jc w:val="left"/>
        <w:rPr>
          <w:rFonts w:ascii="宋体" w:hAnsi="宋体"/>
          <w:kern w:val="44"/>
        </w:rPr>
      </w:pPr>
      <w:r>
        <w:rPr>
          <w:rFonts w:hint="eastAsia" w:ascii="宋体" w:hAnsi="宋体"/>
          <w:kern w:val="44"/>
        </w:rPr>
        <w:t>少数民族人口达到总人口30％以上的村，可以向区、县人民政府申请认定为民族村。</w:t>
      </w:r>
    </w:p>
    <w:p w14:paraId="01AE14EB">
      <w:pPr>
        <w:jc w:val="left"/>
        <w:rPr>
          <w:rFonts w:ascii="宋体" w:hAnsi="宋体"/>
          <w:kern w:val="44"/>
        </w:rPr>
      </w:pPr>
      <w:r>
        <w:rPr>
          <w:rFonts w:hint="eastAsia" w:ascii="宋体" w:hAnsi="宋体"/>
          <w:kern w:val="44"/>
        </w:rPr>
        <w:t>民族村的主要领导成员中，应当有建立民族村的少数民族公民。</w:t>
      </w:r>
    </w:p>
    <w:p w14:paraId="470F1E58">
      <w:pPr>
        <w:ind w:firstLine="422"/>
        <w:jc w:val="left"/>
        <w:rPr>
          <w:rFonts w:ascii="宋体" w:hAnsi="宋体"/>
          <w:kern w:val="44"/>
        </w:rPr>
      </w:pPr>
      <w:r>
        <w:rPr>
          <w:rFonts w:hint="eastAsia" w:ascii="宋体" w:hAnsi="宋体"/>
          <w:b/>
          <w:kern w:val="44"/>
        </w:rPr>
        <w:t>第十二条</w:t>
      </w:r>
      <w:r>
        <w:rPr>
          <w:rFonts w:hint="eastAsia" w:ascii="宋体" w:hAnsi="宋体"/>
          <w:kern w:val="44"/>
        </w:rPr>
        <w:t>　少数民族公民依法享有平等就业和选择职业的权利。</w:t>
      </w:r>
    </w:p>
    <w:p w14:paraId="4DFC6EDA">
      <w:pPr>
        <w:jc w:val="left"/>
        <w:rPr>
          <w:rFonts w:ascii="宋体" w:hAnsi="宋体"/>
          <w:kern w:val="44"/>
        </w:rPr>
      </w:pPr>
      <w:r>
        <w:rPr>
          <w:rFonts w:hint="eastAsia" w:ascii="宋体" w:hAnsi="宋体"/>
          <w:kern w:val="44"/>
        </w:rPr>
        <w:t>本市各级国家机关、各类企业和事业单位，在招收、招聘、录用人员时，不得歧视少数民族公民。</w:t>
      </w:r>
    </w:p>
    <w:p w14:paraId="2EAD459F">
      <w:pPr>
        <w:jc w:val="left"/>
        <w:rPr>
          <w:rFonts w:ascii="宋体" w:hAnsi="宋体"/>
          <w:kern w:val="44"/>
        </w:rPr>
      </w:pPr>
    </w:p>
    <w:p w14:paraId="60461C88">
      <w:pPr>
        <w:ind w:firstLine="0" w:firstLineChars="0"/>
        <w:jc w:val="center"/>
        <w:rPr>
          <w:rFonts w:ascii="宋体" w:hAnsi="宋体"/>
          <w:b/>
          <w:kern w:val="44"/>
          <w:sz w:val="28"/>
        </w:rPr>
      </w:pPr>
      <w:r>
        <w:rPr>
          <w:rFonts w:hint="eastAsia" w:ascii="宋体" w:hAnsi="宋体"/>
          <w:b/>
          <w:kern w:val="44"/>
          <w:sz w:val="28"/>
        </w:rPr>
        <w:t>第三章　发展经济</w:t>
      </w:r>
    </w:p>
    <w:p w14:paraId="6FEF2491">
      <w:pPr>
        <w:jc w:val="left"/>
        <w:rPr>
          <w:rFonts w:ascii="宋体" w:hAnsi="宋体"/>
          <w:kern w:val="44"/>
        </w:rPr>
      </w:pPr>
    </w:p>
    <w:p w14:paraId="049A82CC">
      <w:pPr>
        <w:ind w:firstLine="422"/>
        <w:jc w:val="left"/>
        <w:rPr>
          <w:rFonts w:ascii="宋体" w:hAnsi="宋体"/>
          <w:kern w:val="44"/>
        </w:rPr>
      </w:pPr>
      <w:r>
        <w:rPr>
          <w:rFonts w:hint="eastAsia" w:ascii="宋体" w:hAnsi="宋体"/>
          <w:b/>
          <w:kern w:val="44"/>
        </w:rPr>
        <w:t>第十三条</w:t>
      </w:r>
      <w:r>
        <w:rPr>
          <w:rFonts w:hint="eastAsia" w:ascii="宋体" w:hAnsi="宋体"/>
          <w:kern w:val="44"/>
        </w:rPr>
        <w:t>　市和区、县人民政府的有关主管部门应当在每年财政预算安排的专项资金中安排一定数额的扶持少数民族经济发展资金。</w:t>
      </w:r>
    </w:p>
    <w:p w14:paraId="04116F1A">
      <w:pPr>
        <w:ind w:firstLine="422"/>
        <w:jc w:val="left"/>
        <w:rPr>
          <w:rFonts w:ascii="宋体" w:hAnsi="宋体"/>
          <w:kern w:val="44"/>
        </w:rPr>
      </w:pPr>
      <w:r>
        <w:rPr>
          <w:rFonts w:hint="eastAsia" w:ascii="宋体" w:hAnsi="宋体"/>
          <w:b/>
          <w:kern w:val="44"/>
        </w:rPr>
        <w:t>第十四条</w:t>
      </w:r>
      <w:r>
        <w:rPr>
          <w:rFonts w:hint="eastAsia" w:ascii="宋体" w:hAnsi="宋体"/>
          <w:kern w:val="44"/>
        </w:rPr>
        <w:t>　区、县人民政府在编制财政预算时按照优待民族乡的原则对民族乡的财政给予照顾和支持。</w:t>
      </w:r>
    </w:p>
    <w:p w14:paraId="5C3CD758">
      <w:pPr>
        <w:ind w:firstLine="422"/>
        <w:jc w:val="left"/>
        <w:rPr>
          <w:rFonts w:ascii="宋体" w:hAnsi="宋体"/>
          <w:kern w:val="44"/>
        </w:rPr>
      </w:pPr>
      <w:r>
        <w:rPr>
          <w:rFonts w:hint="eastAsia" w:ascii="宋体" w:hAnsi="宋体"/>
          <w:b/>
          <w:kern w:val="44"/>
        </w:rPr>
        <w:t>第十五条</w:t>
      </w:r>
      <w:r>
        <w:rPr>
          <w:rFonts w:hint="eastAsia" w:ascii="宋体" w:hAnsi="宋体"/>
          <w:kern w:val="44"/>
        </w:rPr>
        <w:t>　市和区、县人民政府及其有关部门在安排经济、科技开发项目和专项资金，开展对口支援和经济、技术合作等方面，应当对民族乡、村优先给予照顾和支持。</w:t>
      </w:r>
    </w:p>
    <w:p w14:paraId="5EC60636">
      <w:pPr>
        <w:jc w:val="left"/>
        <w:rPr>
          <w:rFonts w:ascii="宋体" w:hAnsi="宋体"/>
          <w:kern w:val="44"/>
        </w:rPr>
      </w:pPr>
      <w:r>
        <w:rPr>
          <w:rFonts w:hint="eastAsia" w:ascii="宋体" w:hAnsi="宋体"/>
          <w:kern w:val="44"/>
        </w:rPr>
        <w:t>市和区、县人民政府及其有关部门应当帮助民族乡加强农业、林业、水利、电力、交通等基础设施建设。</w:t>
      </w:r>
    </w:p>
    <w:p w14:paraId="6AB7EF81">
      <w:pPr>
        <w:ind w:firstLine="422"/>
        <w:jc w:val="left"/>
        <w:rPr>
          <w:rFonts w:ascii="宋体" w:hAnsi="宋体"/>
          <w:kern w:val="44"/>
        </w:rPr>
      </w:pPr>
      <w:r>
        <w:rPr>
          <w:rFonts w:hint="eastAsia" w:ascii="宋体" w:hAnsi="宋体"/>
          <w:b/>
          <w:kern w:val="44"/>
        </w:rPr>
        <w:t>第十六条</w:t>
      </w:r>
      <w:r>
        <w:rPr>
          <w:rFonts w:hint="eastAsia" w:ascii="宋体" w:hAnsi="宋体"/>
          <w:kern w:val="44"/>
        </w:rPr>
        <w:t>　本市各级人民政府对人均收入低于所在区、县农村人均收入水平的民族乡、村，应当采取措施予以扶持。</w:t>
      </w:r>
    </w:p>
    <w:p w14:paraId="05ECCBF0">
      <w:pPr>
        <w:ind w:firstLine="422"/>
        <w:jc w:val="left"/>
        <w:rPr>
          <w:rFonts w:ascii="宋体" w:hAnsi="宋体"/>
          <w:kern w:val="44"/>
        </w:rPr>
      </w:pPr>
      <w:r>
        <w:rPr>
          <w:rFonts w:hint="eastAsia" w:ascii="宋体" w:hAnsi="宋体"/>
          <w:b/>
          <w:kern w:val="44"/>
        </w:rPr>
        <w:t>第十七条</w:t>
      </w:r>
      <w:r>
        <w:rPr>
          <w:rFonts w:hint="eastAsia" w:ascii="宋体" w:hAnsi="宋体"/>
          <w:kern w:val="44"/>
        </w:rPr>
        <w:t>　本市鼓励兴办适应少数民族需要的经济实体，开发具有少数民族特色的产品。</w:t>
      </w:r>
    </w:p>
    <w:p w14:paraId="069B49B4">
      <w:pPr>
        <w:jc w:val="left"/>
        <w:rPr>
          <w:rFonts w:ascii="宋体" w:hAnsi="宋体"/>
          <w:kern w:val="44"/>
        </w:rPr>
      </w:pPr>
      <w:r>
        <w:rPr>
          <w:rFonts w:hint="eastAsia" w:ascii="宋体" w:hAnsi="宋体"/>
          <w:kern w:val="44"/>
        </w:rPr>
        <w:t>本市各级人民政府及其有关部门对国家和本市认定的民族贸易、民族用品企业，以少数民族为主要服务对象的饮食、副食经营单位和食品生产、加工企业，按照国家和本市有关规定给予税收、信贷、财政等方面的扶持。</w:t>
      </w:r>
    </w:p>
    <w:p w14:paraId="73B0D866">
      <w:pPr>
        <w:jc w:val="left"/>
        <w:rPr>
          <w:rFonts w:ascii="宋体" w:hAnsi="宋体"/>
          <w:kern w:val="44"/>
        </w:rPr>
      </w:pPr>
    </w:p>
    <w:p w14:paraId="47E55C12">
      <w:pPr>
        <w:ind w:firstLine="0" w:firstLineChars="0"/>
        <w:jc w:val="center"/>
        <w:rPr>
          <w:rFonts w:ascii="宋体" w:hAnsi="宋体"/>
          <w:b/>
          <w:kern w:val="44"/>
          <w:sz w:val="28"/>
        </w:rPr>
      </w:pPr>
      <w:r>
        <w:rPr>
          <w:rFonts w:hint="eastAsia" w:ascii="宋体" w:hAnsi="宋体"/>
          <w:b/>
          <w:kern w:val="44"/>
          <w:sz w:val="28"/>
        </w:rPr>
        <w:t>第四章　发展教育、文化、卫生事业</w:t>
      </w:r>
    </w:p>
    <w:p w14:paraId="20FAD5BA">
      <w:pPr>
        <w:jc w:val="left"/>
        <w:rPr>
          <w:rFonts w:ascii="宋体" w:hAnsi="宋体"/>
          <w:kern w:val="44"/>
        </w:rPr>
      </w:pPr>
    </w:p>
    <w:p w14:paraId="13BBE4A2">
      <w:pPr>
        <w:ind w:firstLine="422"/>
        <w:jc w:val="left"/>
        <w:rPr>
          <w:rFonts w:ascii="宋体" w:hAnsi="宋体"/>
          <w:kern w:val="44"/>
        </w:rPr>
      </w:pPr>
      <w:r>
        <w:rPr>
          <w:rFonts w:hint="eastAsia" w:ascii="宋体" w:hAnsi="宋体"/>
          <w:b/>
          <w:kern w:val="44"/>
        </w:rPr>
        <w:t>第十八条</w:t>
      </w:r>
      <w:r>
        <w:rPr>
          <w:rFonts w:hint="eastAsia" w:ascii="宋体" w:hAnsi="宋体"/>
          <w:kern w:val="44"/>
        </w:rPr>
        <w:t>　本市少数民族公民依法享有平等的受教育机会。</w:t>
      </w:r>
    </w:p>
    <w:p w14:paraId="78151E1A">
      <w:pPr>
        <w:jc w:val="left"/>
        <w:rPr>
          <w:rFonts w:ascii="宋体" w:hAnsi="宋体"/>
          <w:kern w:val="44"/>
        </w:rPr>
      </w:pPr>
      <w:r>
        <w:rPr>
          <w:rFonts w:hint="eastAsia" w:ascii="宋体" w:hAnsi="宋体"/>
          <w:kern w:val="44"/>
        </w:rPr>
        <w:t>本市各级人民政府应当重视发展少数民族教育事业，加强对少数民族教育事业的领导和支持。</w:t>
      </w:r>
    </w:p>
    <w:p w14:paraId="5639E0CE">
      <w:pPr>
        <w:ind w:firstLine="422"/>
        <w:jc w:val="left"/>
        <w:rPr>
          <w:rFonts w:ascii="宋体" w:hAnsi="宋体"/>
          <w:kern w:val="44"/>
        </w:rPr>
      </w:pPr>
      <w:r>
        <w:rPr>
          <w:rFonts w:hint="eastAsia" w:ascii="宋体" w:hAnsi="宋体"/>
          <w:b/>
          <w:kern w:val="44"/>
        </w:rPr>
        <w:t>第十九条</w:t>
      </w:r>
      <w:r>
        <w:rPr>
          <w:rFonts w:hint="eastAsia" w:ascii="宋体" w:hAnsi="宋体"/>
          <w:kern w:val="44"/>
        </w:rPr>
        <w:t>　少数民族公民较集中的地区，根据少数民族的特点和需要，经有关部门批准，可以设置民族学校和托幼园（所）。</w:t>
      </w:r>
    </w:p>
    <w:p w14:paraId="6979392F">
      <w:pPr>
        <w:jc w:val="left"/>
        <w:rPr>
          <w:rFonts w:ascii="宋体" w:hAnsi="宋体"/>
          <w:kern w:val="44"/>
        </w:rPr>
      </w:pPr>
      <w:r>
        <w:rPr>
          <w:rFonts w:hint="eastAsia" w:ascii="宋体" w:hAnsi="宋体"/>
          <w:kern w:val="44"/>
        </w:rPr>
        <w:t>市和区、县教育行政部门在安排教育资金时应当考虑对少数民族教育的扶持；帮助民族学校和民族托幼园（所）加强教师队伍建设，改善办学条件，提高教育质量。</w:t>
      </w:r>
    </w:p>
    <w:p w14:paraId="5060737D">
      <w:pPr>
        <w:ind w:firstLine="422"/>
        <w:jc w:val="left"/>
        <w:rPr>
          <w:rFonts w:ascii="宋体" w:hAnsi="宋体"/>
          <w:kern w:val="44"/>
        </w:rPr>
      </w:pPr>
      <w:r>
        <w:rPr>
          <w:rFonts w:hint="eastAsia" w:ascii="宋体" w:hAnsi="宋体"/>
          <w:b/>
          <w:kern w:val="44"/>
        </w:rPr>
        <w:t>第二十条</w:t>
      </w:r>
      <w:r>
        <w:rPr>
          <w:rFonts w:hint="eastAsia" w:ascii="宋体" w:hAnsi="宋体"/>
          <w:kern w:val="44"/>
        </w:rPr>
        <w:t>　民族学校和托幼园（所）中的领导成员、教师和管理人员，应当有少数民族公民。</w:t>
      </w:r>
    </w:p>
    <w:p w14:paraId="77074AF4">
      <w:pPr>
        <w:jc w:val="left"/>
        <w:rPr>
          <w:rFonts w:ascii="宋体" w:hAnsi="宋体"/>
          <w:kern w:val="44"/>
        </w:rPr>
      </w:pPr>
      <w:r>
        <w:rPr>
          <w:rFonts w:hint="eastAsia" w:ascii="宋体" w:hAnsi="宋体"/>
          <w:kern w:val="44"/>
        </w:rPr>
        <w:t>民族学校应当开展民族政策、民族常识和民族团结的教育。</w:t>
      </w:r>
    </w:p>
    <w:p w14:paraId="1D8D4AE9">
      <w:pPr>
        <w:ind w:firstLine="422"/>
        <w:jc w:val="left"/>
        <w:rPr>
          <w:rFonts w:ascii="宋体" w:hAnsi="宋体"/>
          <w:kern w:val="44"/>
        </w:rPr>
      </w:pPr>
      <w:r>
        <w:rPr>
          <w:rFonts w:hint="eastAsia" w:ascii="宋体" w:hAnsi="宋体"/>
          <w:b/>
          <w:kern w:val="44"/>
        </w:rPr>
        <w:t>第二十一条</w:t>
      </w:r>
      <w:r>
        <w:rPr>
          <w:rFonts w:hint="eastAsia" w:ascii="宋体" w:hAnsi="宋体"/>
          <w:kern w:val="44"/>
        </w:rPr>
        <w:t>　本市中等学校、高等院校应当按照国家和本市有关规定，对少数民族考生在录取标准和条件方面给予适当照顾。具体办法由市民族事务行政部门会同市教育行政部门制定。</w:t>
      </w:r>
    </w:p>
    <w:p w14:paraId="16E4C75B">
      <w:pPr>
        <w:ind w:firstLine="422"/>
        <w:jc w:val="left"/>
        <w:rPr>
          <w:rFonts w:ascii="宋体" w:hAnsi="宋体"/>
          <w:kern w:val="44"/>
        </w:rPr>
      </w:pPr>
      <w:r>
        <w:rPr>
          <w:rFonts w:hint="eastAsia" w:ascii="宋体" w:hAnsi="宋体"/>
          <w:b/>
          <w:kern w:val="44"/>
        </w:rPr>
        <w:t>第二十二条</w:t>
      </w:r>
      <w:r>
        <w:rPr>
          <w:rFonts w:hint="eastAsia" w:ascii="宋体" w:hAnsi="宋体"/>
          <w:kern w:val="44"/>
        </w:rPr>
        <w:t>　市和区、县民族事务行政部门应当根据需要协助教育、劳动行政部门举办民族职业学校（班），开展适合少数民族特点的职业培训。</w:t>
      </w:r>
    </w:p>
    <w:p w14:paraId="6066E2C8">
      <w:pPr>
        <w:ind w:firstLine="422"/>
        <w:jc w:val="left"/>
        <w:rPr>
          <w:rFonts w:ascii="宋体" w:hAnsi="宋体"/>
          <w:kern w:val="44"/>
        </w:rPr>
      </w:pPr>
      <w:r>
        <w:rPr>
          <w:rFonts w:hint="eastAsia" w:ascii="宋体" w:hAnsi="宋体"/>
          <w:b/>
          <w:kern w:val="44"/>
        </w:rPr>
        <w:t>第二十三条</w:t>
      </w:r>
      <w:r>
        <w:rPr>
          <w:rFonts w:hint="eastAsia" w:ascii="宋体" w:hAnsi="宋体"/>
          <w:kern w:val="44"/>
        </w:rPr>
        <w:t>　本市各级人民政府应当重视少数民族文化建设，适当投入经费；加强对少数民族传统文化的保护、发掘和整理；帮助少数民族开展具有民族特色的健康的文化、艺术、体育活动；帮助民族乡、村和少数民族公民较多的地区逐步建立和完善文化站（室）。</w:t>
      </w:r>
    </w:p>
    <w:p w14:paraId="24D2BBB3">
      <w:pPr>
        <w:ind w:firstLine="422"/>
        <w:jc w:val="left"/>
        <w:rPr>
          <w:rFonts w:ascii="宋体" w:hAnsi="宋体"/>
          <w:kern w:val="44"/>
        </w:rPr>
      </w:pPr>
      <w:r>
        <w:rPr>
          <w:rFonts w:hint="eastAsia" w:ascii="宋体" w:hAnsi="宋体"/>
          <w:b/>
          <w:kern w:val="44"/>
        </w:rPr>
        <w:t>第二十四条</w:t>
      </w:r>
      <w:r>
        <w:rPr>
          <w:rFonts w:hint="eastAsia" w:ascii="宋体" w:hAnsi="宋体"/>
          <w:kern w:val="44"/>
        </w:rPr>
        <w:t>　本市各级人民政府应当重视发展少数民族公民较多的地区和民族乡、村的医疗卫生事业，办好少数民族公民较多地区的医院、卫生院（站），帮助培养少数民族医务人员，鼓励少数民族传统医药科学的挖掘、整理。</w:t>
      </w:r>
    </w:p>
    <w:p w14:paraId="18B7417C">
      <w:pPr>
        <w:jc w:val="left"/>
        <w:rPr>
          <w:rFonts w:ascii="宋体" w:hAnsi="宋体"/>
          <w:kern w:val="44"/>
        </w:rPr>
      </w:pPr>
    </w:p>
    <w:p w14:paraId="0FE74DA4">
      <w:pPr>
        <w:ind w:firstLine="0" w:firstLineChars="0"/>
        <w:jc w:val="center"/>
        <w:rPr>
          <w:rFonts w:ascii="宋体" w:hAnsi="宋体"/>
          <w:b/>
          <w:kern w:val="44"/>
          <w:sz w:val="28"/>
        </w:rPr>
      </w:pPr>
      <w:r>
        <w:rPr>
          <w:rFonts w:hint="eastAsia" w:ascii="宋体" w:hAnsi="宋体"/>
          <w:b/>
          <w:kern w:val="44"/>
          <w:sz w:val="28"/>
        </w:rPr>
        <w:t>第五章　尊重民族风俗习惯</w:t>
      </w:r>
    </w:p>
    <w:p w14:paraId="3E2FD22D">
      <w:pPr>
        <w:jc w:val="left"/>
        <w:rPr>
          <w:rFonts w:ascii="宋体" w:hAnsi="宋体"/>
          <w:kern w:val="44"/>
        </w:rPr>
      </w:pPr>
    </w:p>
    <w:p w14:paraId="5C447CEC">
      <w:pPr>
        <w:ind w:firstLine="422"/>
        <w:jc w:val="left"/>
        <w:rPr>
          <w:rFonts w:ascii="宋体" w:hAnsi="宋体"/>
          <w:kern w:val="44"/>
        </w:rPr>
      </w:pPr>
      <w:r>
        <w:rPr>
          <w:rFonts w:hint="eastAsia" w:ascii="宋体" w:hAnsi="宋体"/>
          <w:b/>
          <w:kern w:val="44"/>
        </w:rPr>
        <w:t>第二十五条</w:t>
      </w:r>
      <w:r>
        <w:rPr>
          <w:rFonts w:hint="eastAsia" w:ascii="宋体" w:hAnsi="宋体"/>
          <w:kern w:val="44"/>
        </w:rPr>
        <w:t>　少数民族公民有保持或者改革自己风俗习惯的自由，任何组织和个人不得干涉。</w:t>
      </w:r>
    </w:p>
    <w:p w14:paraId="7213EF31">
      <w:pPr>
        <w:ind w:firstLine="422"/>
        <w:jc w:val="left"/>
        <w:rPr>
          <w:rFonts w:ascii="宋体" w:hAnsi="宋体"/>
          <w:kern w:val="44"/>
        </w:rPr>
      </w:pPr>
      <w:r>
        <w:rPr>
          <w:rFonts w:hint="eastAsia" w:ascii="宋体" w:hAnsi="宋体"/>
          <w:b/>
          <w:kern w:val="44"/>
        </w:rPr>
        <w:t>第二十六条</w:t>
      </w:r>
      <w:r>
        <w:rPr>
          <w:rFonts w:hint="eastAsia" w:ascii="宋体" w:hAnsi="宋体"/>
          <w:kern w:val="44"/>
        </w:rPr>
        <w:t>　新闻出版、文艺创作、广播影视等宣传部门应当根据法律、法规和民族政策，做好宣传工作。严禁在各类图书、报刊、广播、影视、音乐、戏曲和其他宣传活动中出现煽动民族分裂，破坏民族团结，侮辱、歧视少数民族，侵害少数民族风俗习惯，伤害民族感情的内容。</w:t>
      </w:r>
    </w:p>
    <w:p w14:paraId="66C9C609">
      <w:pPr>
        <w:ind w:firstLine="422"/>
        <w:jc w:val="left"/>
        <w:rPr>
          <w:rFonts w:ascii="宋体" w:hAnsi="宋体"/>
          <w:kern w:val="44"/>
        </w:rPr>
      </w:pPr>
      <w:r>
        <w:rPr>
          <w:rFonts w:hint="eastAsia" w:ascii="宋体" w:hAnsi="宋体"/>
          <w:b/>
          <w:kern w:val="44"/>
        </w:rPr>
        <w:t>第二十七条</w:t>
      </w:r>
      <w:r>
        <w:rPr>
          <w:rFonts w:hint="eastAsia" w:ascii="宋体" w:hAnsi="宋体"/>
          <w:kern w:val="44"/>
        </w:rPr>
        <w:t>　禁止使用带有侮辱、歧视少数民族性质的称谓、地名和伤害少数民族感情的牌匾、字号。</w:t>
      </w:r>
    </w:p>
    <w:p w14:paraId="77BD6FCF">
      <w:pPr>
        <w:ind w:firstLine="422"/>
        <w:jc w:val="left"/>
        <w:rPr>
          <w:rFonts w:ascii="宋体" w:hAnsi="宋体"/>
          <w:kern w:val="44"/>
        </w:rPr>
      </w:pPr>
      <w:r>
        <w:rPr>
          <w:rFonts w:hint="eastAsia" w:ascii="宋体" w:hAnsi="宋体"/>
          <w:b/>
          <w:kern w:val="44"/>
        </w:rPr>
        <w:t>第二十八条</w:t>
      </w:r>
      <w:r>
        <w:rPr>
          <w:rFonts w:hint="eastAsia" w:ascii="宋体" w:hAnsi="宋体"/>
          <w:kern w:val="44"/>
        </w:rPr>
        <w:t>　市和区、县人民政府及其有关部门应当统筹规划，在有清真饮食习惯的少数民族公民较多的地区和车站、机场、商业中心等客流量大的地区设置清真饮食、副食、食品经营网点。</w:t>
      </w:r>
    </w:p>
    <w:p w14:paraId="651730B9">
      <w:pPr>
        <w:ind w:firstLine="422"/>
        <w:jc w:val="left"/>
        <w:rPr>
          <w:rFonts w:ascii="宋体" w:hAnsi="宋体"/>
          <w:kern w:val="44"/>
        </w:rPr>
      </w:pPr>
      <w:r>
        <w:rPr>
          <w:rFonts w:hint="eastAsia" w:ascii="宋体" w:hAnsi="宋体"/>
          <w:b/>
          <w:kern w:val="44"/>
        </w:rPr>
        <w:t>第二十九条</w:t>
      </w:r>
      <w:r>
        <w:rPr>
          <w:rFonts w:hint="eastAsia" w:ascii="宋体" w:hAnsi="宋体"/>
          <w:kern w:val="44"/>
        </w:rPr>
        <w:t>　清真食品生产、加工、经营场所必须经区、县民族事务行政部门登记、审验后，悬挂由市民族事务行政部门统一制发的清真专用标志。</w:t>
      </w:r>
    </w:p>
    <w:p w14:paraId="31A98AA8">
      <w:pPr>
        <w:jc w:val="left"/>
        <w:rPr>
          <w:rFonts w:ascii="宋体" w:hAnsi="宋体"/>
          <w:kern w:val="44"/>
        </w:rPr>
      </w:pPr>
      <w:r>
        <w:rPr>
          <w:rFonts w:hint="eastAsia" w:ascii="宋体" w:hAnsi="宋体"/>
          <w:kern w:val="44"/>
        </w:rPr>
        <w:t>禁止转让、出租、买卖、借用清真专用标志。</w:t>
      </w:r>
    </w:p>
    <w:p w14:paraId="17CB55E6">
      <w:pPr>
        <w:jc w:val="left"/>
        <w:rPr>
          <w:rFonts w:ascii="宋体" w:hAnsi="宋体"/>
          <w:kern w:val="44"/>
        </w:rPr>
      </w:pPr>
      <w:r>
        <w:rPr>
          <w:rFonts w:hint="eastAsia" w:ascii="宋体" w:hAnsi="宋体"/>
          <w:kern w:val="44"/>
        </w:rPr>
        <w:t>经营非清真食品不得使用清真标志。</w:t>
      </w:r>
    </w:p>
    <w:p w14:paraId="7A3C2DC0">
      <w:pPr>
        <w:ind w:firstLine="422"/>
        <w:jc w:val="left"/>
        <w:rPr>
          <w:rFonts w:ascii="宋体" w:hAnsi="宋体"/>
          <w:kern w:val="44"/>
        </w:rPr>
      </w:pPr>
      <w:r>
        <w:rPr>
          <w:rFonts w:hint="eastAsia" w:ascii="宋体" w:hAnsi="宋体"/>
          <w:b/>
          <w:kern w:val="44"/>
        </w:rPr>
        <w:t>第三十条</w:t>
      </w:r>
      <w:r>
        <w:rPr>
          <w:rFonts w:hint="eastAsia" w:ascii="宋体" w:hAnsi="宋体"/>
          <w:kern w:val="44"/>
        </w:rPr>
        <w:t>　清真饮食、副食经营单位和食品生产、加工企业应当配备一定比例的有清真饮食习惯的少数民族职工和管理人员，负责人中应当有具有清真饮食习惯的少数民族公民。</w:t>
      </w:r>
    </w:p>
    <w:p w14:paraId="517A8B3E">
      <w:pPr>
        <w:jc w:val="left"/>
        <w:rPr>
          <w:rFonts w:ascii="宋体" w:hAnsi="宋体"/>
          <w:kern w:val="44"/>
        </w:rPr>
      </w:pPr>
      <w:r>
        <w:rPr>
          <w:rFonts w:hint="eastAsia" w:ascii="宋体" w:hAnsi="宋体"/>
          <w:kern w:val="44"/>
        </w:rPr>
        <w:t>生产、经营清真食品的运输车辆、计量器具、储藏容器和加工、销售场地等应当保证专用。</w:t>
      </w:r>
    </w:p>
    <w:p w14:paraId="09ADBA13">
      <w:pPr>
        <w:ind w:firstLine="422"/>
        <w:jc w:val="left"/>
        <w:rPr>
          <w:rFonts w:ascii="宋体" w:hAnsi="宋体"/>
          <w:kern w:val="44"/>
        </w:rPr>
      </w:pPr>
      <w:r>
        <w:rPr>
          <w:rFonts w:hint="eastAsia" w:ascii="宋体" w:hAnsi="宋体"/>
          <w:b/>
          <w:kern w:val="44"/>
        </w:rPr>
        <w:t>第三十一条</w:t>
      </w:r>
      <w:r>
        <w:rPr>
          <w:rFonts w:hint="eastAsia" w:ascii="宋体" w:hAnsi="宋体"/>
          <w:kern w:val="44"/>
        </w:rPr>
        <w:t>　以有清真饮食习惯的少数民族公民为主要服务对象的国有饮食、副食、食品经营网点，应当坚持其服务方向；确需撤销、合并或者改变其服务方向的，必须征得市或者区、县民族事务行政部门的同意。</w:t>
      </w:r>
    </w:p>
    <w:p w14:paraId="4A45EF61">
      <w:pPr>
        <w:ind w:firstLine="422"/>
        <w:jc w:val="left"/>
        <w:rPr>
          <w:rFonts w:ascii="宋体" w:hAnsi="宋体"/>
          <w:kern w:val="44"/>
        </w:rPr>
      </w:pPr>
      <w:r>
        <w:rPr>
          <w:rFonts w:hint="eastAsia" w:ascii="宋体" w:hAnsi="宋体"/>
          <w:b/>
          <w:kern w:val="44"/>
        </w:rPr>
        <w:t>第三十二条</w:t>
      </w:r>
      <w:r>
        <w:rPr>
          <w:rFonts w:hint="eastAsia" w:ascii="宋体" w:hAnsi="宋体"/>
          <w:kern w:val="44"/>
        </w:rPr>
        <w:t>　在有清真饮食习惯的少数民族公民较多的单位可以设立清真食堂或者清真灶；未设立的，应当按照本市有关规定给予补助。</w:t>
      </w:r>
    </w:p>
    <w:p w14:paraId="4501920F">
      <w:pPr>
        <w:ind w:firstLine="422"/>
        <w:jc w:val="left"/>
        <w:rPr>
          <w:rFonts w:ascii="宋体" w:hAnsi="宋体"/>
          <w:kern w:val="44"/>
        </w:rPr>
      </w:pPr>
      <w:r>
        <w:rPr>
          <w:rFonts w:hint="eastAsia" w:ascii="宋体" w:hAnsi="宋体"/>
          <w:b/>
          <w:kern w:val="44"/>
        </w:rPr>
        <w:t>第三十三条</w:t>
      </w:r>
      <w:r>
        <w:rPr>
          <w:rFonts w:hint="eastAsia" w:ascii="宋体" w:hAnsi="宋体"/>
          <w:kern w:val="44"/>
        </w:rPr>
        <w:t>　少数民族职工参加本民族重大节日活动，应当按照国家有关规定放假，并照发工资。</w:t>
      </w:r>
    </w:p>
    <w:p w14:paraId="469A7BF3">
      <w:pPr>
        <w:ind w:firstLine="422"/>
        <w:jc w:val="left"/>
        <w:rPr>
          <w:rFonts w:ascii="宋体" w:hAnsi="宋体"/>
          <w:kern w:val="44"/>
        </w:rPr>
      </w:pPr>
      <w:r>
        <w:rPr>
          <w:rFonts w:hint="eastAsia" w:ascii="宋体" w:hAnsi="宋体"/>
          <w:b/>
          <w:kern w:val="44"/>
        </w:rPr>
        <w:t>第三十四条</w:t>
      </w:r>
      <w:r>
        <w:rPr>
          <w:rFonts w:hint="eastAsia" w:ascii="宋体" w:hAnsi="宋体"/>
          <w:kern w:val="44"/>
        </w:rPr>
        <w:t>　宾馆、旅店以及其他公共活动场所，不得以风俗习惯为由，拒绝接待少数民族公民。</w:t>
      </w:r>
    </w:p>
    <w:p w14:paraId="47456819">
      <w:pPr>
        <w:ind w:firstLine="422"/>
        <w:jc w:val="left"/>
        <w:rPr>
          <w:rFonts w:ascii="宋体" w:hAnsi="宋体"/>
          <w:kern w:val="44"/>
        </w:rPr>
      </w:pPr>
      <w:r>
        <w:rPr>
          <w:rFonts w:hint="eastAsia" w:ascii="宋体" w:hAnsi="宋体"/>
          <w:b/>
          <w:kern w:val="44"/>
        </w:rPr>
        <w:t>第三十五条</w:t>
      </w:r>
      <w:r>
        <w:rPr>
          <w:rFonts w:hint="eastAsia" w:ascii="宋体" w:hAnsi="宋体"/>
          <w:kern w:val="44"/>
        </w:rPr>
        <w:t>　本市各级人民政府以及有关部门应当按照国家和本市有关规定，为具有特殊丧葬习惯的少数民族公民提供必要的条件，做好殡葬服务和管理工作。</w:t>
      </w:r>
    </w:p>
    <w:p w14:paraId="40344C2E">
      <w:pPr>
        <w:jc w:val="left"/>
        <w:rPr>
          <w:rFonts w:ascii="宋体" w:hAnsi="宋体"/>
          <w:kern w:val="44"/>
        </w:rPr>
      </w:pPr>
      <w:r>
        <w:rPr>
          <w:rFonts w:hint="eastAsia" w:ascii="宋体" w:hAnsi="宋体"/>
          <w:kern w:val="44"/>
        </w:rPr>
        <w:t>对少数民族公民自愿实行丧葬改革的，应当给予支持。</w:t>
      </w:r>
    </w:p>
    <w:p w14:paraId="67926184">
      <w:pPr>
        <w:ind w:firstLine="422"/>
        <w:jc w:val="left"/>
        <w:rPr>
          <w:rFonts w:ascii="宋体" w:hAnsi="宋体"/>
          <w:kern w:val="44"/>
        </w:rPr>
      </w:pPr>
      <w:r>
        <w:rPr>
          <w:rFonts w:hint="eastAsia" w:ascii="宋体" w:hAnsi="宋体"/>
          <w:b/>
          <w:kern w:val="44"/>
        </w:rPr>
        <w:t>第三十六条</w:t>
      </w:r>
      <w:r>
        <w:rPr>
          <w:rFonts w:hint="eastAsia" w:ascii="宋体" w:hAnsi="宋体"/>
          <w:kern w:val="44"/>
        </w:rPr>
        <w:t>　本市各级国家机关保障少数民族公民的宗教信仰自由，保护合法的宗教活动。</w:t>
      </w:r>
    </w:p>
    <w:p w14:paraId="263E4F70">
      <w:pPr>
        <w:jc w:val="left"/>
        <w:rPr>
          <w:rFonts w:ascii="宋体" w:hAnsi="宋体"/>
          <w:kern w:val="44"/>
        </w:rPr>
      </w:pPr>
      <w:r>
        <w:rPr>
          <w:rFonts w:hint="eastAsia" w:ascii="宋体" w:hAnsi="宋体"/>
          <w:kern w:val="44"/>
        </w:rPr>
        <w:t>任何组织和个人不得强制少数民族公民信仰宗教或者不信仰宗教，不得歧视信仰宗教或者不信仰宗教的少数民族公民。</w:t>
      </w:r>
    </w:p>
    <w:p w14:paraId="3FC7A5BB">
      <w:pPr>
        <w:jc w:val="left"/>
        <w:rPr>
          <w:rFonts w:ascii="宋体" w:hAnsi="宋体"/>
          <w:kern w:val="44"/>
        </w:rPr>
      </w:pPr>
    </w:p>
    <w:p w14:paraId="397F74E8">
      <w:pPr>
        <w:ind w:firstLine="0" w:firstLineChars="0"/>
        <w:jc w:val="center"/>
        <w:rPr>
          <w:rFonts w:ascii="宋体" w:hAnsi="宋体"/>
          <w:b/>
          <w:kern w:val="44"/>
          <w:sz w:val="28"/>
        </w:rPr>
      </w:pPr>
      <w:r>
        <w:rPr>
          <w:rFonts w:hint="eastAsia" w:ascii="宋体" w:hAnsi="宋体"/>
          <w:b/>
          <w:kern w:val="44"/>
          <w:sz w:val="28"/>
        </w:rPr>
        <w:t>第六章　奖励与处罚</w:t>
      </w:r>
    </w:p>
    <w:p w14:paraId="6DF0B77A">
      <w:pPr>
        <w:jc w:val="left"/>
        <w:rPr>
          <w:rFonts w:ascii="宋体" w:hAnsi="宋体"/>
          <w:kern w:val="44"/>
        </w:rPr>
      </w:pPr>
    </w:p>
    <w:p w14:paraId="458131C9">
      <w:pPr>
        <w:ind w:firstLine="422"/>
        <w:jc w:val="left"/>
        <w:rPr>
          <w:rFonts w:ascii="宋体" w:hAnsi="宋体"/>
          <w:kern w:val="44"/>
        </w:rPr>
      </w:pPr>
      <w:r>
        <w:rPr>
          <w:rFonts w:hint="eastAsia" w:ascii="宋体" w:hAnsi="宋体"/>
          <w:b/>
          <w:kern w:val="44"/>
        </w:rPr>
        <w:t>第三十七条</w:t>
      </w:r>
      <w:r>
        <w:rPr>
          <w:rFonts w:hint="eastAsia" w:ascii="宋体" w:hAnsi="宋体"/>
          <w:kern w:val="44"/>
        </w:rPr>
        <w:t>　市和区、县人民政府以及有关部门，对有下列情形之一的单位或者个人，给予表彰、奖励：</w:t>
      </w:r>
    </w:p>
    <w:p w14:paraId="318FADA5">
      <w:pPr>
        <w:jc w:val="left"/>
        <w:rPr>
          <w:rFonts w:ascii="宋体" w:hAnsi="宋体"/>
          <w:kern w:val="44"/>
        </w:rPr>
      </w:pPr>
      <w:r>
        <w:rPr>
          <w:rFonts w:hint="eastAsia" w:ascii="宋体" w:hAnsi="宋体"/>
          <w:kern w:val="44"/>
        </w:rPr>
        <w:t>（一）认真贯彻执行法律、法规和民族政策，为维护祖国统一，增进民族团结，维护社会稳定作出突出贡献的；</w:t>
      </w:r>
    </w:p>
    <w:p w14:paraId="73CCDBC6">
      <w:pPr>
        <w:jc w:val="left"/>
        <w:rPr>
          <w:rFonts w:ascii="宋体" w:hAnsi="宋体"/>
          <w:kern w:val="44"/>
        </w:rPr>
      </w:pPr>
      <w:r>
        <w:rPr>
          <w:rFonts w:hint="eastAsia" w:ascii="宋体" w:hAnsi="宋体"/>
          <w:kern w:val="44"/>
        </w:rPr>
        <w:t>（二）在少数民族经济、文化、教育、科技等项工作中取得显著成绩的；</w:t>
      </w:r>
    </w:p>
    <w:p w14:paraId="546FC512">
      <w:pPr>
        <w:jc w:val="left"/>
        <w:rPr>
          <w:rFonts w:ascii="宋体" w:hAnsi="宋体"/>
          <w:kern w:val="44"/>
        </w:rPr>
      </w:pPr>
      <w:r>
        <w:rPr>
          <w:rFonts w:hint="eastAsia" w:ascii="宋体" w:hAnsi="宋体"/>
          <w:kern w:val="44"/>
        </w:rPr>
        <w:t>（三）在支援民族地区社会主义物质文明和精神文明建设事业中取得显著成绩的；</w:t>
      </w:r>
    </w:p>
    <w:p w14:paraId="47041507">
      <w:pPr>
        <w:jc w:val="left"/>
        <w:rPr>
          <w:rFonts w:ascii="宋体" w:hAnsi="宋体"/>
          <w:kern w:val="44"/>
        </w:rPr>
      </w:pPr>
      <w:r>
        <w:rPr>
          <w:rFonts w:hint="eastAsia" w:ascii="宋体" w:hAnsi="宋体"/>
          <w:kern w:val="44"/>
        </w:rPr>
        <w:t>（四）长期从事民族工作，全心全意为各民族服务，并取得突出成绩的。</w:t>
      </w:r>
    </w:p>
    <w:p w14:paraId="6EBCD0C1">
      <w:pPr>
        <w:ind w:firstLine="422"/>
        <w:jc w:val="left"/>
        <w:rPr>
          <w:rFonts w:ascii="宋体" w:hAnsi="宋体"/>
          <w:kern w:val="44"/>
        </w:rPr>
      </w:pPr>
      <w:r>
        <w:rPr>
          <w:rFonts w:hint="eastAsia" w:ascii="宋体" w:hAnsi="宋体"/>
          <w:b/>
          <w:kern w:val="44"/>
        </w:rPr>
        <w:t>第三十八条</w:t>
      </w:r>
      <w:r>
        <w:rPr>
          <w:rFonts w:hint="eastAsia" w:ascii="宋体" w:hAnsi="宋体"/>
          <w:kern w:val="44"/>
        </w:rPr>
        <w:t>　违反本条例第二十六条的规定，复制、印刷、出版、发行、销售、出租、放映有歧视、侮辱少数民族内容的音像制品、出版物的，构成犯罪的，依法追究刑事责任；尚不构成犯罪的，按照国家和本市有关规定予以处罚。</w:t>
      </w:r>
    </w:p>
    <w:p w14:paraId="41718AB2">
      <w:pPr>
        <w:ind w:firstLine="422"/>
        <w:jc w:val="left"/>
        <w:rPr>
          <w:rFonts w:ascii="宋体" w:hAnsi="宋体"/>
          <w:kern w:val="44"/>
        </w:rPr>
      </w:pPr>
      <w:r>
        <w:rPr>
          <w:rFonts w:hint="eastAsia" w:ascii="宋体" w:hAnsi="宋体"/>
          <w:b/>
          <w:kern w:val="44"/>
        </w:rPr>
        <w:t>第三十九条</w:t>
      </w:r>
      <w:r>
        <w:rPr>
          <w:rFonts w:hint="eastAsia" w:ascii="宋体" w:hAnsi="宋体"/>
          <w:kern w:val="44"/>
        </w:rPr>
        <w:t>　违反本条例第二十九条的规定，转让、出租、买卖、借用清真专用标志，经营非清真食品使用清真标志的，由市或者区、县民族事务行政部门对其清真标志予以撤除，并可处以200元以上2000元以下罚款。</w:t>
      </w:r>
    </w:p>
    <w:p w14:paraId="2B39CA1A">
      <w:pPr>
        <w:ind w:firstLine="422"/>
        <w:jc w:val="left"/>
        <w:rPr>
          <w:rFonts w:ascii="宋体" w:hAnsi="宋体"/>
          <w:kern w:val="44"/>
        </w:rPr>
      </w:pPr>
      <w:r>
        <w:rPr>
          <w:rFonts w:hint="eastAsia" w:ascii="宋体" w:hAnsi="宋体"/>
          <w:b/>
          <w:kern w:val="44"/>
        </w:rPr>
        <w:t>第四十条</w:t>
      </w:r>
      <w:r>
        <w:rPr>
          <w:rFonts w:hint="eastAsia" w:ascii="宋体" w:hAnsi="宋体"/>
          <w:kern w:val="44"/>
        </w:rPr>
        <w:t>　违反本条例第三十条第二款的规定，对清真食品的运输车辆、计量器具、储藏容器和加工、销售场地等未实行专用的，由市或者区、县民族事务行政部门责令立即改正，情节严重的可处以1000元以上1万元以下罚款。</w:t>
      </w:r>
    </w:p>
    <w:p w14:paraId="5E49A424">
      <w:pPr>
        <w:spacing w:line="240" w:lineRule="exact"/>
        <w:jc w:val="left"/>
        <w:rPr>
          <w:rFonts w:ascii="宋体" w:hAnsi="宋体"/>
          <w:kern w:val="44"/>
        </w:rPr>
      </w:pPr>
    </w:p>
    <w:p w14:paraId="17DB9446">
      <w:pPr>
        <w:ind w:firstLine="0" w:firstLineChars="0"/>
        <w:jc w:val="center"/>
        <w:rPr>
          <w:rFonts w:ascii="宋体" w:hAnsi="宋体"/>
          <w:b/>
          <w:kern w:val="44"/>
          <w:sz w:val="28"/>
        </w:rPr>
      </w:pPr>
      <w:r>
        <w:rPr>
          <w:rFonts w:hint="eastAsia" w:ascii="宋体" w:hAnsi="宋体"/>
          <w:b/>
          <w:kern w:val="44"/>
          <w:sz w:val="28"/>
        </w:rPr>
        <w:t>第七章　附　则</w:t>
      </w:r>
    </w:p>
    <w:p w14:paraId="01BE972C">
      <w:pPr>
        <w:spacing w:line="240" w:lineRule="exact"/>
        <w:jc w:val="left"/>
        <w:rPr>
          <w:rFonts w:ascii="宋体" w:hAnsi="宋体"/>
          <w:kern w:val="44"/>
        </w:rPr>
      </w:pPr>
    </w:p>
    <w:p w14:paraId="1E838712">
      <w:pPr>
        <w:ind w:firstLine="422"/>
        <w:jc w:val="left"/>
        <w:rPr>
          <w:rFonts w:ascii="宋体" w:hAnsi="宋体"/>
          <w:kern w:val="44"/>
        </w:rPr>
      </w:pPr>
      <w:r>
        <w:rPr>
          <w:rFonts w:hint="eastAsia" w:ascii="宋体" w:hAnsi="宋体"/>
          <w:b/>
          <w:kern w:val="44"/>
        </w:rPr>
        <w:t>第四十一条</w:t>
      </w:r>
      <w:r>
        <w:rPr>
          <w:rFonts w:hint="eastAsia" w:ascii="宋体" w:hAnsi="宋体"/>
          <w:kern w:val="44"/>
        </w:rPr>
        <w:t>　本条例具体应用中的问题，由市民族事务行政部门负责解释。</w:t>
      </w:r>
    </w:p>
    <w:p w14:paraId="456A7E66">
      <w:pPr>
        <w:ind w:firstLine="422"/>
        <w:jc w:val="left"/>
        <w:rPr>
          <w:rFonts w:ascii="宋体" w:hAnsi="宋体"/>
          <w:kern w:val="44"/>
        </w:rPr>
      </w:pPr>
      <w:r>
        <w:rPr>
          <w:rFonts w:hint="eastAsia" w:ascii="宋体" w:hAnsi="宋体"/>
          <w:b/>
          <w:kern w:val="44"/>
        </w:rPr>
        <w:t>第四十二条</w:t>
      </w:r>
      <w:r>
        <w:rPr>
          <w:rFonts w:hint="eastAsia" w:ascii="宋体" w:hAnsi="宋体"/>
          <w:kern w:val="44"/>
        </w:rPr>
        <w:t>　本条例自1999年1月1日起施行。</w:t>
      </w:r>
    </w:p>
    <w:p w14:paraId="0DE36DC0">
      <w:pPr>
        <w:pStyle w:val="4"/>
        <w:pageBreakBefore/>
        <w:rPr>
          <w:kern w:val="44"/>
        </w:rPr>
      </w:pPr>
      <w:bookmarkStart w:id="235" w:name="_Toc422471091"/>
      <w:bookmarkStart w:id="236" w:name="_Toc428781458"/>
      <w:bookmarkStart w:id="237" w:name="_Toc427651752"/>
      <w:bookmarkStart w:id="238" w:name="_Toc428779976"/>
      <w:bookmarkStart w:id="239" w:name="_Toc427651410"/>
      <w:r>
        <w:rPr>
          <w:rFonts w:hint="eastAsia"/>
          <w:kern w:val="44"/>
        </w:rPr>
        <w:t>北京市宗教事务条例</w:t>
      </w:r>
      <w:bookmarkEnd w:id="235"/>
      <w:bookmarkEnd w:id="236"/>
      <w:bookmarkEnd w:id="237"/>
      <w:bookmarkEnd w:id="238"/>
      <w:bookmarkEnd w:id="239"/>
    </w:p>
    <w:p w14:paraId="1DD957C0">
      <w:pPr>
        <w:ind w:left="630" w:leftChars="300" w:right="630" w:rightChars="300"/>
        <w:jc w:val="left"/>
        <w:rPr>
          <w:rFonts w:ascii="楷体" w:hAnsi="楷体" w:eastAsia="楷体"/>
          <w:kern w:val="44"/>
        </w:rPr>
      </w:pPr>
      <w:r>
        <w:rPr>
          <w:rFonts w:hint="eastAsia" w:ascii="楷体" w:hAnsi="楷体" w:eastAsia="楷体"/>
          <w:kern w:val="44"/>
        </w:rPr>
        <w:t>（2002年7月18日北京市第十一届人民代表大会常务委员会第三十五次会议通过　根据2006年7月28日北京市第十二届人民代表大会常务委员会第二十九次会议通过的《北京市宗教事务条例修正案》修正）</w:t>
      </w:r>
    </w:p>
    <w:p w14:paraId="33807A29">
      <w:pPr>
        <w:ind w:left="630" w:leftChars="300" w:right="630" w:rightChars="300"/>
        <w:jc w:val="left"/>
        <w:rPr>
          <w:rFonts w:ascii="宋体" w:hAnsi="宋体"/>
          <w:kern w:val="44"/>
        </w:rPr>
      </w:pPr>
    </w:p>
    <w:p w14:paraId="5DD1B601">
      <w:pPr>
        <w:ind w:firstLine="0" w:firstLineChars="0"/>
        <w:jc w:val="center"/>
        <w:rPr>
          <w:rFonts w:ascii="宋体" w:hAnsi="宋体"/>
          <w:b/>
          <w:kern w:val="44"/>
          <w:sz w:val="28"/>
        </w:rPr>
      </w:pPr>
      <w:r>
        <w:rPr>
          <w:rFonts w:hint="eastAsia" w:ascii="宋体" w:hAnsi="宋体"/>
          <w:b/>
          <w:kern w:val="44"/>
          <w:sz w:val="28"/>
        </w:rPr>
        <w:t>第一章　总　则</w:t>
      </w:r>
    </w:p>
    <w:p w14:paraId="4D587E49">
      <w:pPr>
        <w:jc w:val="left"/>
        <w:rPr>
          <w:rFonts w:ascii="宋体" w:hAnsi="宋体"/>
          <w:kern w:val="44"/>
        </w:rPr>
      </w:pPr>
    </w:p>
    <w:p w14:paraId="0B0BA86F">
      <w:pPr>
        <w:ind w:firstLine="422"/>
        <w:jc w:val="left"/>
        <w:rPr>
          <w:rFonts w:ascii="宋体" w:hAnsi="宋体"/>
          <w:kern w:val="44"/>
        </w:rPr>
      </w:pPr>
      <w:r>
        <w:rPr>
          <w:rFonts w:hint="eastAsia" w:ascii="宋体" w:hAnsi="宋体"/>
          <w:b/>
          <w:kern w:val="44"/>
        </w:rPr>
        <w:t>第一条</w:t>
      </w:r>
      <w:r>
        <w:rPr>
          <w:rFonts w:hint="eastAsia" w:ascii="宋体" w:hAnsi="宋体"/>
          <w:kern w:val="44"/>
        </w:rPr>
        <w:t>　为了保障公民宗教信仰自由，依法管理宗教事务，根据宪法和有关法律、法规，结合本市实际情况，制定本条例。</w:t>
      </w:r>
    </w:p>
    <w:p w14:paraId="5AB58929">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本条例适用于本市的宗教事务。</w:t>
      </w:r>
    </w:p>
    <w:p w14:paraId="04674D2F">
      <w:pPr>
        <w:jc w:val="left"/>
        <w:rPr>
          <w:rFonts w:ascii="宋体" w:hAnsi="宋体"/>
          <w:kern w:val="44"/>
        </w:rPr>
      </w:pPr>
      <w:r>
        <w:rPr>
          <w:rFonts w:hint="eastAsia" w:ascii="宋体" w:hAnsi="宋体"/>
          <w:kern w:val="44"/>
        </w:rPr>
        <w:t>本条例所称宗教事务是指因宗教而产生的，涉及国家、社会、群众利益的各项社会公共事务。</w:t>
      </w:r>
    </w:p>
    <w:p w14:paraId="41347F79">
      <w:pPr>
        <w:ind w:firstLine="422"/>
        <w:jc w:val="left"/>
        <w:rPr>
          <w:rFonts w:ascii="宋体" w:hAnsi="宋体"/>
          <w:kern w:val="44"/>
        </w:rPr>
      </w:pPr>
      <w:r>
        <w:rPr>
          <w:rFonts w:hint="eastAsia" w:ascii="宋体" w:hAnsi="宋体"/>
          <w:b/>
          <w:kern w:val="44"/>
        </w:rPr>
        <w:t>第三条</w:t>
      </w:r>
      <w:r>
        <w:rPr>
          <w:rFonts w:hint="eastAsia" w:ascii="宋体" w:hAnsi="宋体"/>
          <w:kern w:val="44"/>
        </w:rPr>
        <w:t>　公民宗教信仰自由的权利受法律保护。任何组织和个人不得强制公民信仰宗教或者不信仰宗教，不得歧视信仰宗教的公民和不信仰宗教的公民。</w:t>
      </w:r>
    </w:p>
    <w:p w14:paraId="2D6ADCBA">
      <w:pPr>
        <w:jc w:val="left"/>
        <w:rPr>
          <w:rFonts w:ascii="宋体" w:hAnsi="宋体"/>
          <w:kern w:val="44"/>
        </w:rPr>
      </w:pPr>
      <w:r>
        <w:rPr>
          <w:rFonts w:hint="eastAsia" w:ascii="宋体" w:hAnsi="宋体"/>
          <w:kern w:val="44"/>
        </w:rPr>
        <w:t>宗教活动应当在宪法和法律、法规允许的范围内进行。任何组织和个人不得利用宗教活动或者以宗教名义进行破坏社会秩序、损害公民身体健康、妨碍国家教育制度的活动。</w:t>
      </w:r>
    </w:p>
    <w:p w14:paraId="233FD149">
      <w:pPr>
        <w:jc w:val="left"/>
        <w:rPr>
          <w:rFonts w:ascii="宋体" w:hAnsi="宋体"/>
          <w:kern w:val="44"/>
        </w:rPr>
      </w:pPr>
      <w:r>
        <w:rPr>
          <w:rFonts w:hint="eastAsia" w:ascii="宋体" w:hAnsi="宋体"/>
          <w:kern w:val="44"/>
        </w:rPr>
        <w:t>坚持独立自主自办的原则，宗教团体和宗教事务不受境外组织和个人的支配。</w:t>
      </w:r>
    </w:p>
    <w:p w14:paraId="7832D021">
      <w:pPr>
        <w:ind w:firstLine="422"/>
        <w:jc w:val="left"/>
        <w:rPr>
          <w:rFonts w:ascii="宋体" w:hAnsi="宋体"/>
          <w:kern w:val="44"/>
        </w:rPr>
      </w:pPr>
      <w:r>
        <w:rPr>
          <w:rFonts w:hint="eastAsia" w:ascii="宋体" w:hAnsi="宋体"/>
          <w:b/>
          <w:kern w:val="44"/>
        </w:rPr>
        <w:t>第四条</w:t>
      </w:r>
      <w:r>
        <w:rPr>
          <w:rFonts w:hint="eastAsia" w:ascii="宋体" w:hAnsi="宋体"/>
          <w:kern w:val="44"/>
        </w:rPr>
        <w:t>　本市依法保护正常的宗教活动，维护宗教团体、宗教活动场所、宗教教职人员和信教公民的合法权益，制止和打击利用宗教活动或者以宗教名义进行的违法犯罪活动。</w:t>
      </w:r>
    </w:p>
    <w:p w14:paraId="4CD1D780">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市和区、县人民政府宗教事务行政部门按照各自管理权限主管本行政区域内的宗教事务。</w:t>
      </w:r>
    </w:p>
    <w:p w14:paraId="3B167EA6">
      <w:pPr>
        <w:jc w:val="left"/>
        <w:rPr>
          <w:rFonts w:ascii="宋体" w:hAnsi="宋体"/>
          <w:kern w:val="44"/>
        </w:rPr>
      </w:pPr>
      <w:r>
        <w:rPr>
          <w:rFonts w:hint="eastAsia" w:ascii="宋体" w:hAnsi="宋体"/>
          <w:kern w:val="44"/>
        </w:rPr>
        <w:t>市和区、县人民政府有关部门依法履行各自职责，做好有关宗教事务的管理工作。</w:t>
      </w:r>
    </w:p>
    <w:p w14:paraId="74A7D831">
      <w:pPr>
        <w:jc w:val="left"/>
        <w:rPr>
          <w:rFonts w:ascii="宋体" w:hAnsi="宋体"/>
          <w:kern w:val="44"/>
        </w:rPr>
      </w:pPr>
      <w:r>
        <w:rPr>
          <w:rFonts w:hint="eastAsia" w:ascii="宋体" w:hAnsi="宋体"/>
          <w:kern w:val="44"/>
        </w:rPr>
        <w:t>乡、民族乡、镇人民政府应当在区、县人民政府宗教事务行政部门的指导下，做好本辖区的宗教事务管理工作。</w:t>
      </w:r>
    </w:p>
    <w:p w14:paraId="0A84465C">
      <w:pPr>
        <w:jc w:val="left"/>
        <w:rPr>
          <w:rFonts w:ascii="宋体" w:hAnsi="宋体"/>
          <w:kern w:val="44"/>
        </w:rPr>
      </w:pPr>
    </w:p>
    <w:p w14:paraId="607B8FF6">
      <w:pPr>
        <w:ind w:firstLine="0" w:firstLineChars="0"/>
        <w:jc w:val="center"/>
        <w:rPr>
          <w:rFonts w:ascii="宋体" w:hAnsi="宋体"/>
          <w:b/>
          <w:kern w:val="44"/>
          <w:sz w:val="28"/>
        </w:rPr>
      </w:pPr>
      <w:r>
        <w:rPr>
          <w:rFonts w:hint="eastAsia" w:ascii="宋体" w:hAnsi="宋体"/>
          <w:b/>
          <w:kern w:val="44"/>
          <w:sz w:val="28"/>
        </w:rPr>
        <w:t>第二章  宗教团体</w:t>
      </w:r>
    </w:p>
    <w:p w14:paraId="4B7E507E">
      <w:pPr>
        <w:jc w:val="left"/>
        <w:rPr>
          <w:rFonts w:ascii="宋体" w:hAnsi="宋体"/>
          <w:kern w:val="44"/>
        </w:rPr>
      </w:pPr>
    </w:p>
    <w:p w14:paraId="5E9F3C4E">
      <w:pPr>
        <w:ind w:firstLine="422"/>
        <w:jc w:val="left"/>
        <w:rPr>
          <w:rFonts w:ascii="宋体" w:hAnsi="宋体"/>
          <w:kern w:val="44"/>
        </w:rPr>
      </w:pPr>
      <w:r>
        <w:rPr>
          <w:rFonts w:hint="eastAsia" w:ascii="宋体" w:hAnsi="宋体"/>
          <w:b/>
          <w:kern w:val="44"/>
        </w:rPr>
        <w:t>第六条</w:t>
      </w:r>
      <w:r>
        <w:rPr>
          <w:rFonts w:hint="eastAsia" w:ascii="宋体" w:hAnsi="宋体"/>
          <w:kern w:val="44"/>
        </w:rPr>
        <w:t>　成立宗教团体应当按照国家有关社会团体登记管理的规定，经市或者区、县人民政府宗教事务行政部门审查同意，向相应的社会团体登记管理机关申请登记。</w:t>
      </w:r>
    </w:p>
    <w:p w14:paraId="1FBD5DD1">
      <w:pPr>
        <w:jc w:val="left"/>
        <w:rPr>
          <w:rFonts w:ascii="宋体" w:hAnsi="宋体"/>
          <w:kern w:val="44"/>
        </w:rPr>
      </w:pPr>
      <w:r>
        <w:rPr>
          <w:rFonts w:hint="eastAsia" w:ascii="宋体" w:hAnsi="宋体"/>
          <w:kern w:val="44"/>
        </w:rPr>
        <w:t>宗教团体变更登记内容或者注销应当到原审查、登记机关办理相关手续。</w:t>
      </w:r>
    </w:p>
    <w:p w14:paraId="507E6457">
      <w:pPr>
        <w:ind w:firstLine="422"/>
        <w:jc w:val="left"/>
        <w:rPr>
          <w:rFonts w:ascii="宋体" w:hAnsi="宋体"/>
          <w:kern w:val="44"/>
        </w:rPr>
      </w:pPr>
      <w:r>
        <w:rPr>
          <w:rFonts w:hint="eastAsia" w:ascii="宋体" w:hAnsi="宋体"/>
          <w:b/>
          <w:kern w:val="44"/>
        </w:rPr>
        <w:t>第七条</w:t>
      </w:r>
      <w:r>
        <w:rPr>
          <w:rFonts w:hint="eastAsia" w:ascii="宋体" w:hAnsi="宋体"/>
          <w:kern w:val="44"/>
        </w:rPr>
        <w:t>　宗教团体应当按照各自章程开展活动，建立健全各项管理制度，自主管理内部事务。</w:t>
      </w:r>
    </w:p>
    <w:p w14:paraId="01880E0A">
      <w:pPr>
        <w:ind w:firstLine="422"/>
        <w:jc w:val="left"/>
        <w:rPr>
          <w:rFonts w:ascii="宋体" w:hAnsi="宋体"/>
          <w:kern w:val="44"/>
        </w:rPr>
      </w:pPr>
      <w:r>
        <w:rPr>
          <w:rFonts w:hint="eastAsia" w:ascii="宋体" w:hAnsi="宋体"/>
          <w:b/>
          <w:kern w:val="44"/>
        </w:rPr>
        <w:t>第八条</w:t>
      </w:r>
      <w:r>
        <w:rPr>
          <w:rFonts w:hint="eastAsia" w:ascii="宋体" w:hAnsi="宋体"/>
          <w:kern w:val="44"/>
        </w:rPr>
        <w:t>　宗教团体可以按照国家和本市有关规定申办以经济自养为目的的企业和社会公益事业。</w:t>
      </w:r>
    </w:p>
    <w:p w14:paraId="04F812A4">
      <w:pPr>
        <w:ind w:firstLine="422"/>
        <w:jc w:val="left"/>
        <w:rPr>
          <w:rFonts w:ascii="宋体" w:hAnsi="宋体"/>
          <w:kern w:val="44"/>
        </w:rPr>
      </w:pPr>
      <w:r>
        <w:rPr>
          <w:rFonts w:hint="eastAsia" w:ascii="宋体" w:hAnsi="宋体"/>
          <w:b/>
          <w:kern w:val="44"/>
        </w:rPr>
        <w:t>第九条</w:t>
      </w:r>
      <w:r>
        <w:rPr>
          <w:rFonts w:hint="eastAsia" w:ascii="宋体" w:hAnsi="宋体"/>
          <w:kern w:val="44"/>
        </w:rPr>
        <w:t>　市宗教团体可以按照国家有关规定开办宗教院校。开办宗教院校应当向市人民政府宗教事务行政部门提出申请，市人民政府宗教事务行政部门应当依照国务院《宗教事务条例》办理。</w:t>
      </w:r>
    </w:p>
    <w:p w14:paraId="3006F4AA">
      <w:pPr>
        <w:jc w:val="left"/>
        <w:rPr>
          <w:rFonts w:ascii="宋体" w:hAnsi="宋体"/>
          <w:kern w:val="44"/>
        </w:rPr>
      </w:pPr>
      <w:r>
        <w:rPr>
          <w:rFonts w:hint="eastAsia" w:ascii="宋体" w:hAnsi="宋体"/>
          <w:kern w:val="44"/>
        </w:rPr>
        <w:t>宗教团体、宗教院校、宗教活动场所可以按照国家和本市有关规定举办宗教培训班。举办宗教培训班应当经有关宗教团体同意后，报市或者区、县人民政府宗教事务行政部门备案。</w:t>
      </w:r>
    </w:p>
    <w:p w14:paraId="23A9D772">
      <w:pPr>
        <w:jc w:val="left"/>
        <w:rPr>
          <w:rFonts w:ascii="宋体" w:hAnsi="宋体"/>
          <w:kern w:val="44"/>
        </w:rPr>
      </w:pPr>
      <w:r>
        <w:rPr>
          <w:rFonts w:hint="eastAsia" w:ascii="宋体" w:hAnsi="宋体"/>
          <w:kern w:val="44"/>
        </w:rPr>
        <w:t>除前两款规定外，其他任何组织和个人不得开办宗教院校、举办宗教培训班。</w:t>
      </w:r>
    </w:p>
    <w:p w14:paraId="7DF5D1B0">
      <w:pPr>
        <w:ind w:firstLine="422"/>
        <w:jc w:val="left"/>
        <w:rPr>
          <w:rFonts w:ascii="宋体" w:hAnsi="宋体"/>
          <w:kern w:val="44"/>
        </w:rPr>
      </w:pPr>
      <w:r>
        <w:rPr>
          <w:rFonts w:hint="eastAsia" w:ascii="宋体" w:hAnsi="宋体"/>
          <w:b/>
          <w:kern w:val="44"/>
        </w:rPr>
        <w:t>第十条</w:t>
      </w:r>
      <w:r>
        <w:rPr>
          <w:rFonts w:hint="eastAsia" w:ascii="宋体" w:hAnsi="宋体"/>
          <w:kern w:val="44"/>
        </w:rPr>
        <w:t>　宗教团体可以进行宗教文化学术交流活动。</w:t>
      </w:r>
    </w:p>
    <w:p w14:paraId="4F097BD5">
      <w:pPr>
        <w:ind w:firstLine="422"/>
        <w:jc w:val="left"/>
        <w:rPr>
          <w:rFonts w:ascii="宋体" w:hAnsi="宋体"/>
          <w:kern w:val="44"/>
        </w:rPr>
      </w:pPr>
      <w:r>
        <w:rPr>
          <w:rFonts w:hint="eastAsia" w:ascii="宋体" w:hAnsi="宋体"/>
          <w:b/>
          <w:kern w:val="44"/>
        </w:rPr>
        <w:t>第十一条</w:t>
      </w:r>
      <w:r>
        <w:rPr>
          <w:rFonts w:hint="eastAsia" w:ascii="宋体" w:hAnsi="宋体"/>
          <w:kern w:val="44"/>
        </w:rPr>
        <w:t>　宗教团体应当接受人民政府及其有关部门的依法管理，协助人民政府宣传国家有关宗教的法律、法规和政策，维护宗教活动场所、宗教教职人员和信教公民的合法权益。</w:t>
      </w:r>
    </w:p>
    <w:p w14:paraId="717E9A30">
      <w:pPr>
        <w:ind w:firstLine="422"/>
        <w:jc w:val="left"/>
        <w:rPr>
          <w:rFonts w:ascii="宋体" w:hAnsi="宋体"/>
          <w:kern w:val="44"/>
        </w:rPr>
      </w:pPr>
      <w:r>
        <w:rPr>
          <w:rFonts w:hint="eastAsia" w:ascii="宋体" w:hAnsi="宋体"/>
          <w:b/>
          <w:kern w:val="44"/>
        </w:rPr>
        <w:t>第十二条</w:t>
      </w:r>
      <w:r>
        <w:rPr>
          <w:rFonts w:hint="eastAsia" w:ascii="宋体" w:hAnsi="宋体"/>
          <w:kern w:val="44"/>
        </w:rPr>
        <w:t>　宗教团体应当对宗教教职人员和信教公民进行爱国主义、社会主义和法制教育。</w:t>
      </w:r>
    </w:p>
    <w:p w14:paraId="5C87FCA8">
      <w:pPr>
        <w:jc w:val="left"/>
        <w:rPr>
          <w:rFonts w:ascii="宋体" w:hAnsi="宋体"/>
          <w:kern w:val="44"/>
        </w:rPr>
      </w:pPr>
    </w:p>
    <w:p w14:paraId="39879E75">
      <w:pPr>
        <w:ind w:firstLine="0" w:firstLineChars="0"/>
        <w:jc w:val="center"/>
        <w:rPr>
          <w:rFonts w:ascii="宋体" w:hAnsi="宋体"/>
          <w:b/>
          <w:kern w:val="44"/>
        </w:rPr>
      </w:pPr>
      <w:r>
        <w:rPr>
          <w:rFonts w:hint="eastAsia" w:ascii="宋体" w:hAnsi="宋体"/>
          <w:b/>
          <w:kern w:val="44"/>
          <w:sz w:val="28"/>
        </w:rPr>
        <w:t>第三章  宗教教职人员</w:t>
      </w:r>
    </w:p>
    <w:p w14:paraId="64B1C8D7">
      <w:pPr>
        <w:jc w:val="left"/>
        <w:rPr>
          <w:rFonts w:ascii="宋体" w:hAnsi="宋体"/>
          <w:kern w:val="44"/>
        </w:rPr>
      </w:pPr>
    </w:p>
    <w:p w14:paraId="1295A37B">
      <w:pPr>
        <w:ind w:firstLine="422"/>
        <w:jc w:val="left"/>
        <w:rPr>
          <w:rFonts w:ascii="宋体" w:hAnsi="宋体"/>
          <w:kern w:val="44"/>
        </w:rPr>
      </w:pPr>
      <w:r>
        <w:rPr>
          <w:rFonts w:hint="eastAsia" w:ascii="宋体" w:hAnsi="宋体"/>
          <w:b/>
          <w:kern w:val="44"/>
        </w:rPr>
        <w:t>第十三条</w:t>
      </w:r>
      <w:r>
        <w:rPr>
          <w:rFonts w:hint="eastAsia" w:ascii="宋体" w:hAnsi="宋体"/>
          <w:kern w:val="44"/>
        </w:rPr>
        <w:t>　宗教教职人员的身份，由依法登记的市宗教团体按照本宗教规定的条件和程序认定或者解除，并报市人民政府宗教事务行政部门备案。</w:t>
      </w:r>
    </w:p>
    <w:p w14:paraId="4087C9E9">
      <w:pPr>
        <w:ind w:firstLine="422"/>
        <w:jc w:val="left"/>
        <w:rPr>
          <w:rFonts w:ascii="宋体" w:hAnsi="宋体"/>
          <w:kern w:val="44"/>
        </w:rPr>
      </w:pPr>
      <w:r>
        <w:rPr>
          <w:rFonts w:hint="eastAsia" w:ascii="宋体" w:hAnsi="宋体"/>
          <w:b/>
          <w:kern w:val="44"/>
        </w:rPr>
        <w:t>第十四条</w:t>
      </w:r>
      <w:r>
        <w:rPr>
          <w:rFonts w:hint="eastAsia" w:ascii="宋体" w:hAnsi="宋体"/>
          <w:kern w:val="44"/>
        </w:rPr>
        <w:t>　经认定并备案的宗教教职人员可以从事宗教教务活动。</w:t>
      </w:r>
    </w:p>
    <w:p w14:paraId="1C5F3C56">
      <w:pPr>
        <w:jc w:val="left"/>
        <w:rPr>
          <w:rFonts w:ascii="宋体" w:hAnsi="宋体"/>
          <w:kern w:val="44"/>
        </w:rPr>
      </w:pPr>
      <w:r>
        <w:rPr>
          <w:rFonts w:hint="eastAsia" w:ascii="宋体" w:hAnsi="宋体"/>
          <w:kern w:val="44"/>
        </w:rPr>
        <w:t>不具备宗教教职人员身份或者不符合本宗教规定的人员不得主持宗教活动。</w:t>
      </w:r>
    </w:p>
    <w:p w14:paraId="6872722B">
      <w:pPr>
        <w:ind w:firstLine="422"/>
        <w:jc w:val="left"/>
        <w:rPr>
          <w:rFonts w:ascii="宋体" w:hAnsi="宋体"/>
          <w:kern w:val="44"/>
        </w:rPr>
      </w:pPr>
      <w:r>
        <w:rPr>
          <w:rFonts w:hint="eastAsia" w:ascii="宋体" w:hAnsi="宋体"/>
          <w:b/>
          <w:kern w:val="44"/>
        </w:rPr>
        <w:t>第十五条</w:t>
      </w:r>
      <w:r>
        <w:rPr>
          <w:rFonts w:hint="eastAsia" w:ascii="宋体" w:hAnsi="宋体"/>
          <w:kern w:val="44"/>
        </w:rPr>
        <w:t>　宗教教职人员在履行职责时，应当遵守国家法律、法规和规章，遵守有关宗教团体和宗教活动场所的管理制度。</w:t>
      </w:r>
    </w:p>
    <w:p w14:paraId="13512C8C">
      <w:pPr>
        <w:ind w:firstLine="422"/>
        <w:jc w:val="left"/>
        <w:rPr>
          <w:rFonts w:ascii="宋体" w:hAnsi="宋体"/>
          <w:kern w:val="44"/>
        </w:rPr>
      </w:pPr>
      <w:r>
        <w:rPr>
          <w:rFonts w:hint="eastAsia" w:ascii="宋体" w:hAnsi="宋体"/>
          <w:b/>
          <w:kern w:val="44"/>
        </w:rPr>
        <w:t>第十六条</w:t>
      </w:r>
      <w:r>
        <w:rPr>
          <w:rFonts w:hint="eastAsia" w:ascii="宋体" w:hAnsi="宋体"/>
          <w:kern w:val="44"/>
        </w:rPr>
        <w:t>　本市宗教教职人员到外地或者外地宗教教职人员到本市主持宗教活动，应当事先取得市宗教团体同意，并报市或者区、县人民政府宗教事务行政部门备案。</w:t>
      </w:r>
    </w:p>
    <w:p w14:paraId="6077F52E">
      <w:pPr>
        <w:jc w:val="left"/>
        <w:rPr>
          <w:rFonts w:ascii="宋体" w:hAnsi="宋体"/>
          <w:kern w:val="44"/>
        </w:rPr>
      </w:pPr>
    </w:p>
    <w:p w14:paraId="0DD94E7C">
      <w:pPr>
        <w:ind w:firstLine="0" w:firstLineChars="0"/>
        <w:jc w:val="center"/>
        <w:rPr>
          <w:rFonts w:ascii="宋体" w:hAnsi="宋体"/>
          <w:b/>
          <w:kern w:val="44"/>
          <w:sz w:val="28"/>
        </w:rPr>
      </w:pPr>
      <w:r>
        <w:rPr>
          <w:rFonts w:hint="eastAsia" w:ascii="宋体" w:hAnsi="宋体"/>
          <w:b/>
          <w:kern w:val="44"/>
          <w:sz w:val="28"/>
        </w:rPr>
        <w:t>第四章  宗教活动场所和宗教活动</w:t>
      </w:r>
    </w:p>
    <w:p w14:paraId="4541AC83">
      <w:pPr>
        <w:jc w:val="left"/>
        <w:rPr>
          <w:rFonts w:ascii="宋体" w:hAnsi="宋体"/>
          <w:kern w:val="44"/>
        </w:rPr>
      </w:pPr>
    </w:p>
    <w:p w14:paraId="652DF7EF">
      <w:pPr>
        <w:ind w:firstLine="422"/>
        <w:jc w:val="left"/>
        <w:rPr>
          <w:rFonts w:ascii="宋体" w:hAnsi="宋体"/>
          <w:kern w:val="44"/>
        </w:rPr>
      </w:pPr>
      <w:r>
        <w:rPr>
          <w:rFonts w:hint="eastAsia" w:ascii="宋体" w:hAnsi="宋体"/>
          <w:b/>
          <w:kern w:val="44"/>
        </w:rPr>
        <w:t>第十七条</w:t>
      </w:r>
      <w:r>
        <w:rPr>
          <w:rFonts w:hint="eastAsia" w:ascii="宋体" w:hAnsi="宋体"/>
          <w:kern w:val="44"/>
        </w:rPr>
        <w:t>　本条例所称宗教活动场所，是指信教公民进行宗教活动的寺院、宫观、清真寺、教堂以及其他固定处所。</w:t>
      </w:r>
    </w:p>
    <w:p w14:paraId="0C4A9EAE">
      <w:pPr>
        <w:ind w:firstLine="422"/>
        <w:jc w:val="left"/>
        <w:rPr>
          <w:rFonts w:ascii="宋体" w:hAnsi="宋体"/>
          <w:kern w:val="44"/>
        </w:rPr>
      </w:pPr>
      <w:r>
        <w:rPr>
          <w:rFonts w:hint="eastAsia" w:ascii="宋体" w:hAnsi="宋体"/>
          <w:b/>
          <w:kern w:val="44"/>
        </w:rPr>
        <w:t>第十八条</w:t>
      </w:r>
      <w:r>
        <w:rPr>
          <w:rFonts w:hint="eastAsia" w:ascii="宋体" w:hAnsi="宋体"/>
          <w:kern w:val="44"/>
        </w:rPr>
        <w:t>　设立宗教活动场所，应当由有关宗教团体向区、县人民政府宗教事务行政部门提出申请，按照国家和本市有关规定，办理相关手续。</w:t>
      </w:r>
    </w:p>
    <w:p w14:paraId="3F3BCD9F">
      <w:pPr>
        <w:jc w:val="left"/>
        <w:rPr>
          <w:rFonts w:ascii="宋体" w:hAnsi="宋体"/>
          <w:kern w:val="44"/>
        </w:rPr>
      </w:pPr>
      <w:r>
        <w:rPr>
          <w:rFonts w:hint="eastAsia" w:ascii="宋体" w:hAnsi="宋体"/>
          <w:kern w:val="44"/>
        </w:rPr>
        <w:t>任何组织和个人不得擅自设立宗教活动场所。</w:t>
      </w:r>
    </w:p>
    <w:p w14:paraId="3649A4E1">
      <w:pPr>
        <w:ind w:firstLine="422"/>
        <w:jc w:val="left"/>
        <w:rPr>
          <w:rFonts w:ascii="宋体" w:hAnsi="宋体"/>
          <w:kern w:val="44"/>
        </w:rPr>
      </w:pPr>
      <w:r>
        <w:rPr>
          <w:rFonts w:hint="eastAsia" w:ascii="宋体" w:hAnsi="宋体"/>
          <w:b/>
          <w:kern w:val="44"/>
        </w:rPr>
        <w:t>第十九条</w:t>
      </w:r>
      <w:r>
        <w:rPr>
          <w:rFonts w:hint="eastAsia" w:ascii="宋体" w:hAnsi="宋体"/>
          <w:kern w:val="44"/>
        </w:rPr>
        <w:t>　宗教活动场所终止、合并、迁移以及变更登记内容，应当向原登记机关办理相关手续。</w:t>
      </w:r>
    </w:p>
    <w:p w14:paraId="3EF65EAE">
      <w:pPr>
        <w:ind w:firstLine="422"/>
        <w:jc w:val="left"/>
        <w:rPr>
          <w:rFonts w:ascii="宋体" w:hAnsi="宋体"/>
          <w:kern w:val="44"/>
        </w:rPr>
      </w:pPr>
      <w:r>
        <w:rPr>
          <w:rFonts w:hint="eastAsia" w:ascii="宋体" w:hAnsi="宋体"/>
          <w:b/>
          <w:kern w:val="44"/>
        </w:rPr>
        <w:t>第二十条</w:t>
      </w:r>
      <w:r>
        <w:rPr>
          <w:rFonts w:hint="eastAsia" w:ascii="宋体" w:hAnsi="宋体"/>
          <w:kern w:val="44"/>
        </w:rPr>
        <w:t>　宗教活动场所应当建立健全管理组织和管理制度，并接受所在区、县人民政府宗教事务行政部门以及其他有关部门的指导、监督、检查。</w:t>
      </w:r>
    </w:p>
    <w:p w14:paraId="53474992">
      <w:pPr>
        <w:ind w:firstLine="422"/>
        <w:jc w:val="left"/>
        <w:rPr>
          <w:rFonts w:ascii="宋体" w:hAnsi="宋体"/>
          <w:kern w:val="44"/>
        </w:rPr>
      </w:pPr>
      <w:r>
        <w:rPr>
          <w:rFonts w:hint="eastAsia" w:ascii="宋体" w:hAnsi="宋体"/>
          <w:b/>
          <w:kern w:val="44"/>
        </w:rPr>
        <w:t>第二十一条</w:t>
      </w:r>
      <w:r>
        <w:rPr>
          <w:rFonts w:hint="eastAsia" w:ascii="宋体" w:hAnsi="宋体"/>
          <w:kern w:val="44"/>
        </w:rPr>
        <w:t>　宗教活动场所的管理组织，可以按照国家有关规定，在宗教活动场所内经营宗教用品、宗教艺术品和宗教出版物。</w:t>
      </w:r>
    </w:p>
    <w:p w14:paraId="6CAF6606">
      <w:pPr>
        <w:ind w:firstLine="422"/>
        <w:jc w:val="left"/>
        <w:rPr>
          <w:rFonts w:ascii="宋体" w:hAnsi="宋体"/>
          <w:kern w:val="44"/>
        </w:rPr>
      </w:pPr>
      <w:r>
        <w:rPr>
          <w:rFonts w:hint="eastAsia" w:ascii="宋体" w:hAnsi="宋体"/>
          <w:b/>
          <w:kern w:val="44"/>
        </w:rPr>
        <w:t>第二十二条</w:t>
      </w:r>
      <w:r>
        <w:rPr>
          <w:rFonts w:hint="eastAsia" w:ascii="宋体" w:hAnsi="宋体"/>
          <w:kern w:val="44"/>
        </w:rPr>
        <w:t xml:space="preserve">  信教公民的集体宗教活动应当在宗教活动场所内进行。</w:t>
      </w:r>
    </w:p>
    <w:p w14:paraId="1EF8D313">
      <w:pPr>
        <w:ind w:firstLine="422"/>
        <w:jc w:val="left"/>
        <w:rPr>
          <w:rFonts w:ascii="宋体" w:hAnsi="宋体"/>
          <w:kern w:val="44"/>
        </w:rPr>
      </w:pPr>
      <w:r>
        <w:rPr>
          <w:rFonts w:hint="eastAsia" w:ascii="宋体" w:hAnsi="宋体"/>
          <w:b/>
          <w:kern w:val="44"/>
        </w:rPr>
        <w:t>第二十三条</w:t>
      </w:r>
      <w:r>
        <w:rPr>
          <w:rFonts w:hint="eastAsia" w:ascii="宋体" w:hAnsi="宋体"/>
          <w:kern w:val="44"/>
        </w:rPr>
        <w:t>　信教公民为满足个人宗教生活需要，可以按照本宗教的教义、教规和习惯，在本人住宅内过宗教生活。</w:t>
      </w:r>
    </w:p>
    <w:p w14:paraId="0199EEB4">
      <w:pPr>
        <w:ind w:firstLine="422"/>
        <w:jc w:val="left"/>
        <w:rPr>
          <w:rFonts w:ascii="宋体" w:hAnsi="宋体"/>
          <w:kern w:val="44"/>
        </w:rPr>
      </w:pPr>
      <w:r>
        <w:rPr>
          <w:rFonts w:hint="eastAsia" w:ascii="宋体" w:hAnsi="宋体"/>
          <w:b/>
          <w:kern w:val="44"/>
        </w:rPr>
        <w:t>第二十四条</w:t>
      </w:r>
      <w:r>
        <w:rPr>
          <w:rFonts w:hint="eastAsia" w:ascii="宋体" w:hAnsi="宋体"/>
          <w:kern w:val="44"/>
        </w:rPr>
        <w:t xml:space="preserve">  进入宗教活动场所或者参加该场所内的宗教活动，应当尊重该宗教的习俗，遵守该场所的管理制度；不得干扰宗教活动的正常开展；不得进行不同信仰或者不同宗教的争论和宣传。</w:t>
      </w:r>
    </w:p>
    <w:p w14:paraId="7E63E4A8">
      <w:pPr>
        <w:ind w:firstLine="422"/>
        <w:jc w:val="left"/>
        <w:rPr>
          <w:rFonts w:ascii="宋体" w:hAnsi="宋体"/>
          <w:kern w:val="44"/>
        </w:rPr>
      </w:pPr>
      <w:r>
        <w:rPr>
          <w:rFonts w:hint="eastAsia" w:ascii="宋体" w:hAnsi="宋体"/>
          <w:b/>
          <w:kern w:val="44"/>
        </w:rPr>
        <w:t>第二十五条</w:t>
      </w:r>
      <w:r>
        <w:rPr>
          <w:rFonts w:hint="eastAsia" w:ascii="宋体" w:hAnsi="宋体"/>
          <w:kern w:val="44"/>
        </w:rPr>
        <w:t>　在宗教活动场所的管理范围内新建、改建或者扩建建筑物，设立商业、服务业设施，举办陈列、展览，拍摄电影、电视片，应当事先征得该宗教活动场所管理组织和市或者区、县人民政府宗教事务行政部门同意，并到有关部门办理手续。</w:t>
      </w:r>
    </w:p>
    <w:p w14:paraId="6AFEBD2B">
      <w:pPr>
        <w:ind w:firstLine="422"/>
        <w:jc w:val="left"/>
        <w:rPr>
          <w:rFonts w:ascii="宋体" w:hAnsi="宋体"/>
          <w:kern w:val="44"/>
        </w:rPr>
      </w:pPr>
      <w:r>
        <w:rPr>
          <w:rFonts w:hint="eastAsia" w:ascii="宋体" w:hAnsi="宋体"/>
          <w:b/>
          <w:kern w:val="44"/>
        </w:rPr>
        <w:t>第二十六条</w:t>
      </w:r>
      <w:r>
        <w:rPr>
          <w:rFonts w:hint="eastAsia" w:ascii="宋体" w:hAnsi="宋体"/>
          <w:kern w:val="44"/>
        </w:rPr>
        <w:t>　在本市举行跨省、自治区、直辖市超过宗教活动场所容纳规模的大型宗教活动，或者在宗教活动场所外举行大型宗教活动，应当依照国务院《宗教事务条例》的规定，办理审批手续。</w:t>
      </w:r>
    </w:p>
    <w:p w14:paraId="5A7D4CF3">
      <w:pPr>
        <w:jc w:val="left"/>
        <w:rPr>
          <w:rFonts w:ascii="宋体" w:hAnsi="宋体"/>
          <w:kern w:val="44"/>
        </w:rPr>
      </w:pPr>
      <w:r>
        <w:rPr>
          <w:rFonts w:hint="eastAsia" w:ascii="宋体" w:hAnsi="宋体"/>
          <w:kern w:val="44"/>
        </w:rPr>
        <w:t>举行其他大型宗教活动，应当经市宗教团体同意，事先向举办地的区、县人民政府宗教事务行政部门报告。举办地的区、县人民政府宗教事务行政部门以及其他有关部门应当依据各自职责实施必要的管理。</w:t>
      </w:r>
    </w:p>
    <w:p w14:paraId="22484EFD">
      <w:pPr>
        <w:ind w:firstLine="422"/>
        <w:jc w:val="left"/>
        <w:rPr>
          <w:rFonts w:ascii="宋体" w:hAnsi="宋体"/>
          <w:kern w:val="44"/>
        </w:rPr>
      </w:pPr>
      <w:r>
        <w:rPr>
          <w:rFonts w:hint="eastAsia" w:ascii="宋体" w:hAnsi="宋体"/>
          <w:b/>
          <w:kern w:val="44"/>
        </w:rPr>
        <w:t>第二十七条</w:t>
      </w:r>
      <w:r>
        <w:rPr>
          <w:rFonts w:hint="eastAsia" w:ascii="宋体" w:hAnsi="宋体"/>
          <w:kern w:val="44"/>
        </w:rPr>
        <w:t>　任何组织和个人不得在宗教活动场所外进行传教活动，不得在公共场所擅自设立宗教设施和宗教造像。</w:t>
      </w:r>
    </w:p>
    <w:p w14:paraId="1339FAED">
      <w:pPr>
        <w:jc w:val="left"/>
        <w:rPr>
          <w:rFonts w:ascii="宋体" w:hAnsi="宋体"/>
          <w:kern w:val="44"/>
        </w:rPr>
      </w:pPr>
    </w:p>
    <w:p w14:paraId="3E09EABA">
      <w:pPr>
        <w:ind w:firstLine="0" w:firstLineChars="0"/>
        <w:jc w:val="center"/>
        <w:rPr>
          <w:rFonts w:ascii="宋体" w:hAnsi="宋体"/>
          <w:b/>
          <w:kern w:val="44"/>
          <w:sz w:val="28"/>
        </w:rPr>
      </w:pPr>
      <w:r>
        <w:rPr>
          <w:rFonts w:hint="eastAsia" w:ascii="宋体" w:hAnsi="宋体"/>
          <w:b/>
          <w:kern w:val="44"/>
          <w:sz w:val="28"/>
        </w:rPr>
        <w:t>第五章  宗教出版物</w:t>
      </w:r>
    </w:p>
    <w:p w14:paraId="105A2D2B">
      <w:pPr>
        <w:jc w:val="left"/>
        <w:rPr>
          <w:rFonts w:ascii="宋体" w:hAnsi="宋体"/>
          <w:kern w:val="44"/>
        </w:rPr>
      </w:pPr>
    </w:p>
    <w:p w14:paraId="06CDF215">
      <w:pPr>
        <w:ind w:firstLine="422"/>
        <w:jc w:val="left"/>
        <w:rPr>
          <w:rFonts w:ascii="宋体" w:hAnsi="宋体"/>
          <w:kern w:val="44"/>
        </w:rPr>
      </w:pPr>
      <w:r>
        <w:rPr>
          <w:rFonts w:hint="eastAsia" w:ascii="宋体" w:hAnsi="宋体"/>
          <w:b/>
          <w:kern w:val="44"/>
        </w:rPr>
        <w:t>第二十八条</w:t>
      </w:r>
      <w:r>
        <w:rPr>
          <w:rFonts w:hint="eastAsia" w:ascii="宋体" w:hAnsi="宋体"/>
          <w:kern w:val="44"/>
        </w:rPr>
        <w:t>　从事公开发行的宗教出版物的出版活动，应当按照国家有关规定办理批准手续。</w:t>
      </w:r>
    </w:p>
    <w:p w14:paraId="1ED8FCAD">
      <w:pPr>
        <w:ind w:firstLine="422"/>
        <w:jc w:val="left"/>
        <w:rPr>
          <w:rFonts w:ascii="宋体" w:hAnsi="宋体"/>
          <w:kern w:val="44"/>
        </w:rPr>
      </w:pPr>
      <w:r>
        <w:rPr>
          <w:rFonts w:hint="eastAsia" w:ascii="宋体" w:hAnsi="宋体"/>
          <w:b/>
          <w:kern w:val="44"/>
        </w:rPr>
        <w:t>第二十九条</w:t>
      </w:r>
      <w:r>
        <w:rPr>
          <w:rFonts w:hint="eastAsia" w:ascii="宋体" w:hAnsi="宋体"/>
          <w:kern w:val="44"/>
        </w:rPr>
        <w:t>　宗教团体、宗教活动场所管理组织印制宗教内部资料性出版物，应当持市人民政府宗教事务行政部门的批准文件，报市人民政府新闻出版行政部门核准， 并办理准印或者复制委托手续。</w:t>
      </w:r>
    </w:p>
    <w:p w14:paraId="2238F25D">
      <w:pPr>
        <w:jc w:val="left"/>
        <w:rPr>
          <w:rFonts w:ascii="宋体" w:hAnsi="宋体"/>
          <w:kern w:val="44"/>
        </w:rPr>
      </w:pPr>
      <w:r>
        <w:rPr>
          <w:rFonts w:hint="eastAsia" w:ascii="宋体" w:hAnsi="宋体"/>
          <w:kern w:val="44"/>
        </w:rPr>
        <w:t>非宗教团体和非宗教活动场所管理组织不得印制宗教内部资料性出版物。</w:t>
      </w:r>
    </w:p>
    <w:p w14:paraId="29D3341A">
      <w:pPr>
        <w:ind w:firstLine="422"/>
        <w:jc w:val="left"/>
        <w:rPr>
          <w:rFonts w:ascii="宋体" w:hAnsi="宋体"/>
          <w:kern w:val="44"/>
        </w:rPr>
      </w:pPr>
      <w:r>
        <w:rPr>
          <w:rFonts w:hint="eastAsia" w:ascii="宋体" w:hAnsi="宋体"/>
          <w:b/>
          <w:kern w:val="44"/>
        </w:rPr>
        <w:t>第三十条</w:t>
      </w:r>
      <w:r>
        <w:rPr>
          <w:rFonts w:hint="eastAsia" w:ascii="宋体" w:hAnsi="宋体"/>
          <w:kern w:val="44"/>
        </w:rPr>
        <w:t>　承印境外宗教出版物，按照国家有关规定办理。</w:t>
      </w:r>
    </w:p>
    <w:p w14:paraId="7C650B95">
      <w:pPr>
        <w:ind w:firstLine="422"/>
        <w:jc w:val="left"/>
        <w:rPr>
          <w:rFonts w:ascii="宋体" w:hAnsi="宋体"/>
          <w:kern w:val="44"/>
        </w:rPr>
      </w:pPr>
      <w:r>
        <w:rPr>
          <w:rFonts w:hint="eastAsia" w:ascii="宋体" w:hAnsi="宋体"/>
          <w:b/>
          <w:kern w:val="44"/>
        </w:rPr>
        <w:t>第三十一条</w:t>
      </w:r>
      <w:r>
        <w:rPr>
          <w:rFonts w:hint="eastAsia" w:ascii="宋体" w:hAnsi="宋体"/>
          <w:kern w:val="44"/>
        </w:rPr>
        <w:t>　任何组织和个人不得复制、运送、销售和散发非法入境的宗教出版物。</w:t>
      </w:r>
    </w:p>
    <w:p w14:paraId="36DAEBB5">
      <w:pPr>
        <w:jc w:val="left"/>
        <w:rPr>
          <w:rFonts w:ascii="宋体" w:hAnsi="宋体"/>
          <w:kern w:val="44"/>
        </w:rPr>
      </w:pPr>
    </w:p>
    <w:p w14:paraId="63CF8D63">
      <w:pPr>
        <w:ind w:firstLine="0" w:firstLineChars="0"/>
        <w:jc w:val="center"/>
        <w:rPr>
          <w:rFonts w:ascii="宋体" w:hAnsi="宋体"/>
          <w:b/>
          <w:kern w:val="44"/>
          <w:sz w:val="28"/>
        </w:rPr>
      </w:pPr>
      <w:r>
        <w:rPr>
          <w:rFonts w:hint="eastAsia" w:ascii="宋体" w:hAnsi="宋体"/>
          <w:b/>
          <w:kern w:val="44"/>
          <w:sz w:val="28"/>
        </w:rPr>
        <w:t>第六章  宗教财产</w:t>
      </w:r>
    </w:p>
    <w:p w14:paraId="3747BD78">
      <w:pPr>
        <w:jc w:val="left"/>
        <w:rPr>
          <w:rFonts w:ascii="宋体" w:hAnsi="宋体"/>
          <w:kern w:val="44"/>
        </w:rPr>
      </w:pPr>
    </w:p>
    <w:p w14:paraId="0F2403FA">
      <w:pPr>
        <w:ind w:firstLine="422"/>
        <w:jc w:val="left"/>
        <w:rPr>
          <w:rFonts w:ascii="宋体" w:hAnsi="宋体"/>
          <w:kern w:val="44"/>
        </w:rPr>
      </w:pPr>
      <w:r>
        <w:rPr>
          <w:rFonts w:hint="eastAsia" w:ascii="宋体" w:hAnsi="宋体"/>
          <w:b/>
          <w:kern w:val="44"/>
        </w:rPr>
        <w:t>第三十二条</w:t>
      </w:r>
      <w:r>
        <w:rPr>
          <w:rFonts w:hint="eastAsia" w:ascii="宋体" w:hAnsi="宋体"/>
          <w:kern w:val="44"/>
        </w:rPr>
        <w:t>　宗教团体、宗教活动场所的合法财产受法律保护，任何组织和个人不得损坏、挪用或者侵占。</w:t>
      </w:r>
    </w:p>
    <w:p w14:paraId="5FA071B6">
      <w:pPr>
        <w:ind w:firstLine="422"/>
        <w:jc w:val="left"/>
        <w:rPr>
          <w:rFonts w:ascii="宋体" w:hAnsi="宋体"/>
          <w:kern w:val="44"/>
        </w:rPr>
      </w:pPr>
      <w:r>
        <w:rPr>
          <w:rFonts w:hint="eastAsia" w:ascii="宋体" w:hAnsi="宋体"/>
          <w:b/>
          <w:kern w:val="44"/>
        </w:rPr>
        <w:t>第三十三条</w:t>
      </w:r>
      <w:r>
        <w:rPr>
          <w:rFonts w:hint="eastAsia" w:ascii="宋体" w:hAnsi="宋体"/>
          <w:kern w:val="44"/>
        </w:rPr>
        <w:t>　宗教团体、宗教活动场所对其所有的房屋和使用的土地，应当依法办理权属登记，领取房屋产权证书和土地使用权证书。房屋、土地权属变更时，应当及时办理变更登记。</w:t>
      </w:r>
    </w:p>
    <w:p w14:paraId="56F13FC7">
      <w:pPr>
        <w:ind w:firstLine="422"/>
        <w:jc w:val="left"/>
        <w:rPr>
          <w:rFonts w:ascii="宋体" w:hAnsi="宋体"/>
          <w:kern w:val="44"/>
        </w:rPr>
      </w:pPr>
      <w:r>
        <w:rPr>
          <w:rFonts w:hint="eastAsia" w:ascii="宋体" w:hAnsi="宋体"/>
          <w:b/>
          <w:kern w:val="44"/>
        </w:rPr>
        <w:t>第三十四条</w:t>
      </w:r>
      <w:r>
        <w:rPr>
          <w:rFonts w:hint="eastAsia" w:ascii="宋体" w:hAnsi="宋体"/>
          <w:kern w:val="44"/>
        </w:rPr>
        <w:t>　宗教团体、宗教活动场所可以按照国家和本市有关规定出租宗教房地产或者利用宗教房地产开展其他经营活动，但是用于宗教活动的房屋、构筑物及其附属的宗教教职人员生活用房不得转让、抵押或者作为实物投资。</w:t>
      </w:r>
    </w:p>
    <w:p w14:paraId="476774B1">
      <w:pPr>
        <w:ind w:firstLine="422"/>
        <w:jc w:val="left"/>
        <w:rPr>
          <w:rFonts w:ascii="宋体" w:hAnsi="宋体"/>
          <w:kern w:val="44"/>
        </w:rPr>
      </w:pPr>
      <w:r>
        <w:rPr>
          <w:rFonts w:hint="eastAsia" w:ascii="宋体" w:hAnsi="宋体"/>
          <w:b/>
          <w:kern w:val="44"/>
        </w:rPr>
        <w:t>第三十五条</w:t>
      </w:r>
      <w:r>
        <w:rPr>
          <w:rFonts w:hint="eastAsia" w:ascii="宋体" w:hAnsi="宋体"/>
          <w:kern w:val="44"/>
        </w:rPr>
        <w:t>　按照城市规划和重点建设工程需要，拆迁宗教团体或者宗教活动场所的房屋的，拆迁人应当征询市或者区、县人民政府宗教事务行政部门的意见，并与宗教团体或者宗教活动场所协商，按照国家和本市有关规定给予合理安置、补偿或者易地重建，满足信教公民开展宗教活动的需要。</w:t>
      </w:r>
    </w:p>
    <w:p w14:paraId="25F00A41">
      <w:pPr>
        <w:ind w:firstLine="422"/>
        <w:jc w:val="left"/>
        <w:rPr>
          <w:rFonts w:ascii="宋体" w:hAnsi="宋体"/>
          <w:kern w:val="44"/>
        </w:rPr>
      </w:pPr>
      <w:r>
        <w:rPr>
          <w:rFonts w:hint="eastAsia" w:ascii="宋体" w:hAnsi="宋体"/>
          <w:b/>
          <w:kern w:val="44"/>
        </w:rPr>
        <w:t>第三十六条</w:t>
      </w:r>
      <w:r>
        <w:rPr>
          <w:rFonts w:hint="eastAsia" w:ascii="宋体" w:hAnsi="宋体"/>
          <w:kern w:val="44"/>
        </w:rPr>
        <w:t>　宗教团体、宗教活动场所可以按照国家有关规定接受和使用组织或者个人自愿捐赠的布施、乜贴、奉献和其他宗教性捐赠。</w:t>
      </w:r>
    </w:p>
    <w:p w14:paraId="539BB949">
      <w:pPr>
        <w:jc w:val="left"/>
        <w:rPr>
          <w:rFonts w:ascii="宋体" w:hAnsi="宋体"/>
          <w:kern w:val="44"/>
        </w:rPr>
      </w:pPr>
      <w:r>
        <w:rPr>
          <w:rFonts w:hint="eastAsia" w:ascii="宋体" w:hAnsi="宋体"/>
          <w:kern w:val="44"/>
        </w:rPr>
        <w:t>非宗教团体和非宗教活动场所不得接受或者变相接受布施、乜贴、奉献和其他宗教性捐赠。</w:t>
      </w:r>
    </w:p>
    <w:p w14:paraId="3BA9CD8D">
      <w:pPr>
        <w:jc w:val="left"/>
        <w:rPr>
          <w:rFonts w:ascii="宋体" w:hAnsi="宋体"/>
          <w:kern w:val="44"/>
        </w:rPr>
      </w:pPr>
    </w:p>
    <w:p w14:paraId="45F67E25">
      <w:pPr>
        <w:ind w:firstLine="0" w:firstLineChars="0"/>
        <w:jc w:val="center"/>
        <w:rPr>
          <w:rFonts w:ascii="宋体" w:hAnsi="宋体"/>
          <w:b/>
          <w:kern w:val="44"/>
          <w:sz w:val="28"/>
        </w:rPr>
      </w:pPr>
      <w:r>
        <w:rPr>
          <w:rFonts w:hint="eastAsia" w:ascii="宋体" w:hAnsi="宋体"/>
          <w:b/>
          <w:kern w:val="44"/>
          <w:sz w:val="28"/>
        </w:rPr>
        <w:t>第七章  宗教涉外事务</w:t>
      </w:r>
    </w:p>
    <w:p w14:paraId="55FE7340">
      <w:pPr>
        <w:jc w:val="left"/>
        <w:rPr>
          <w:rFonts w:ascii="宋体" w:hAnsi="宋体"/>
          <w:kern w:val="44"/>
        </w:rPr>
      </w:pPr>
    </w:p>
    <w:p w14:paraId="25D48D0F">
      <w:pPr>
        <w:ind w:firstLine="422"/>
        <w:jc w:val="left"/>
        <w:rPr>
          <w:rFonts w:ascii="宋体" w:hAnsi="宋体"/>
          <w:kern w:val="44"/>
        </w:rPr>
      </w:pPr>
      <w:r>
        <w:rPr>
          <w:rFonts w:hint="eastAsia" w:ascii="宋体" w:hAnsi="宋体"/>
          <w:b/>
          <w:kern w:val="44"/>
        </w:rPr>
        <w:t>第三十七条</w:t>
      </w:r>
      <w:r>
        <w:rPr>
          <w:rFonts w:hint="eastAsia" w:ascii="宋体" w:hAnsi="宋体"/>
          <w:kern w:val="44"/>
        </w:rPr>
        <w:t>　宗教团体、宗教教职人员在与境外宗教组织和宗教人士开展友好往来和文化学术交流活动中，应当坚持独立自主、相互尊重、互不干涉、平等友好的原则。</w:t>
      </w:r>
    </w:p>
    <w:p w14:paraId="38E528AF">
      <w:pPr>
        <w:ind w:firstLine="422"/>
        <w:jc w:val="left"/>
        <w:rPr>
          <w:rFonts w:ascii="宋体" w:hAnsi="宋体"/>
          <w:kern w:val="44"/>
        </w:rPr>
      </w:pPr>
      <w:r>
        <w:rPr>
          <w:rFonts w:hint="eastAsia" w:ascii="宋体" w:hAnsi="宋体"/>
          <w:b/>
          <w:kern w:val="44"/>
        </w:rPr>
        <w:t>第三十八条</w:t>
      </w:r>
      <w:r>
        <w:rPr>
          <w:rFonts w:hint="eastAsia" w:ascii="宋体" w:hAnsi="宋体"/>
          <w:kern w:val="44"/>
        </w:rPr>
        <w:t>　宗教团体、宗教教职人员因宗教交往需要应邀出访或者邀请境外宗教组织和宗教人士来访，应当按照国家和本市有关规定办理手续。</w:t>
      </w:r>
    </w:p>
    <w:p w14:paraId="3C53B9C7">
      <w:pPr>
        <w:ind w:firstLine="422"/>
        <w:jc w:val="left"/>
        <w:rPr>
          <w:rFonts w:ascii="宋体" w:hAnsi="宋体"/>
          <w:kern w:val="44"/>
        </w:rPr>
      </w:pPr>
      <w:r>
        <w:rPr>
          <w:rFonts w:hint="eastAsia" w:ascii="宋体" w:hAnsi="宋体"/>
          <w:b/>
          <w:kern w:val="44"/>
        </w:rPr>
        <w:t>第三十九条</w:t>
      </w:r>
      <w:r>
        <w:rPr>
          <w:rFonts w:hint="eastAsia" w:ascii="宋体" w:hAnsi="宋体"/>
          <w:kern w:val="44"/>
        </w:rPr>
        <w:t>　宗教团体、宗教活动场所接受境外组织和个人的捐赠，按照国家和本市有关规定办理。</w:t>
      </w:r>
    </w:p>
    <w:p w14:paraId="1823F182">
      <w:pPr>
        <w:jc w:val="left"/>
        <w:rPr>
          <w:rFonts w:ascii="宋体" w:hAnsi="宋体"/>
          <w:kern w:val="44"/>
        </w:rPr>
      </w:pPr>
      <w:r>
        <w:rPr>
          <w:rFonts w:hint="eastAsia" w:ascii="宋体" w:hAnsi="宋体"/>
          <w:kern w:val="44"/>
        </w:rPr>
        <w:t>任何组织和个人不得接受境外宗教组织和个人的委任指令、宗教津贴和传教经费。</w:t>
      </w:r>
    </w:p>
    <w:p w14:paraId="101A63A0">
      <w:pPr>
        <w:ind w:firstLine="422"/>
        <w:jc w:val="left"/>
        <w:rPr>
          <w:rFonts w:ascii="宋体" w:hAnsi="宋体"/>
          <w:kern w:val="44"/>
        </w:rPr>
      </w:pPr>
      <w:r>
        <w:rPr>
          <w:rFonts w:hint="eastAsia" w:ascii="宋体" w:hAnsi="宋体"/>
          <w:b/>
          <w:kern w:val="44"/>
        </w:rPr>
        <w:t>第四十条</w:t>
      </w:r>
      <w:r>
        <w:rPr>
          <w:rFonts w:hint="eastAsia" w:ascii="宋体" w:hAnsi="宋体"/>
          <w:kern w:val="44"/>
        </w:rPr>
        <w:t>　宗教团体、宗教活动场所接收境外宗教出版物，应当经市人民政府宗教事务行政部门审批，再到海关办理手续。</w:t>
      </w:r>
    </w:p>
    <w:p w14:paraId="7B5BF994">
      <w:pPr>
        <w:ind w:firstLine="422"/>
        <w:jc w:val="left"/>
        <w:rPr>
          <w:rFonts w:ascii="宋体" w:hAnsi="宋体"/>
          <w:kern w:val="44"/>
        </w:rPr>
      </w:pPr>
      <w:r>
        <w:rPr>
          <w:rFonts w:hint="eastAsia" w:ascii="宋体" w:hAnsi="宋体"/>
          <w:b/>
          <w:kern w:val="44"/>
        </w:rPr>
        <w:t>第四十一条</w:t>
      </w:r>
      <w:r>
        <w:rPr>
          <w:rFonts w:hint="eastAsia" w:ascii="宋体" w:hAnsi="宋体"/>
          <w:kern w:val="44"/>
        </w:rPr>
        <w:t>　本市国家机关、企业、事业单位、非宗教社会团体和个人在对外进行经贸、教育、科技、文化、卫生、体育、旅游以及其他方面的合作与交流活动中，不得接受附加的宗教条件。</w:t>
      </w:r>
    </w:p>
    <w:p w14:paraId="180A389E">
      <w:pPr>
        <w:ind w:firstLine="422"/>
        <w:jc w:val="left"/>
        <w:rPr>
          <w:rFonts w:ascii="宋体" w:hAnsi="宋体"/>
          <w:kern w:val="44"/>
        </w:rPr>
      </w:pPr>
      <w:r>
        <w:rPr>
          <w:rFonts w:hint="eastAsia" w:ascii="宋体" w:hAnsi="宋体"/>
          <w:b/>
          <w:kern w:val="44"/>
        </w:rPr>
        <w:t>第四十二条</w:t>
      </w:r>
      <w:r>
        <w:rPr>
          <w:rFonts w:hint="eastAsia" w:ascii="宋体" w:hAnsi="宋体"/>
          <w:kern w:val="44"/>
        </w:rPr>
        <w:t>　在本市举行大型国际活动期间，如需设置为外国人提供宗教服务的临时活动处所，应当经市人民政府宗教事务行政部门认可，并由市宗教团体派驻宗教教职人员主持宗教活动。</w:t>
      </w:r>
    </w:p>
    <w:p w14:paraId="7141421A">
      <w:pPr>
        <w:jc w:val="left"/>
        <w:rPr>
          <w:rFonts w:ascii="宋体" w:hAnsi="宋体"/>
          <w:kern w:val="44"/>
        </w:rPr>
      </w:pPr>
    </w:p>
    <w:p w14:paraId="1ECE44CB">
      <w:pPr>
        <w:ind w:firstLine="0" w:firstLineChars="0"/>
        <w:jc w:val="center"/>
        <w:rPr>
          <w:rFonts w:ascii="宋体" w:hAnsi="宋体"/>
          <w:b/>
          <w:kern w:val="44"/>
        </w:rPr>
      </w:pPr>
      <w:r>
        <w:rPr>
          <w:rFonts w:hint="eastAsia" w:ascii="宋体" w:hAnsi="宋体"/>
          <w:b/>
          <w:kern w:val="44"/>
          <w:sz w:val="28"/>
        </w:rPr>
        <w:t>第八章  法律责任</w:t>
      </w:r>
    </w:p>
    <w:p w14:paraId="66C25C40">
      <w:pPr>
        <w:jc w:val="left"/>
        <w:rPr>
          <w:rFonts w:ascii="宋体" w:hAnsi="宋体"/>
          <w:kern w:val="44"/>
        </w:rPr>
      </w:pPr>
    </w:p>
    <w:p w14:paraId="3535470F">
      <w:pPr>
        <w:ind w:firstLine="422"/>
        <w:jc w:val="left"/>
        <w:rPr>
          <w:rFonts w:ascii="宋体" w:hAnsi="宋体"/>
          <w:kern w:val="44"/>
        </w:rPr>
      </w:pPr>
      <w:r>
        <w:rPr>
          <w:rFonts w:hint="eastAsia" w:ascii="宋体" w:hAnsi="宋体"/>
          <w:b/>
          <w:kern w:val="44"/>
        </w:rPr>
        <w:t>第四十三条</w:t>
      </w:r>
      <w:r>
        <w:rPr>
          <w:rFonts w:hint="eastAsia" w:ascii="宋体" w:hAnsi="宋体"/>
          <w:kern w:val="44"/>
        </w:rPr>
        <w:t>　违反本条例的行为，法律、行政法规已经规定法律责任的，依照其规定追究法律责任。</w:t>
      </w:r>
    </w:p>
    <w:p w14:paraId="677E35D9">
      <w:pPr>
        <w:ind w:firstLine="422"/>
        <w:jc w:val="left"/>
        <w:rPr>
          <w:rFonts w:ascii="宋体" w:hAnsi="宋体"/>
          <w:kern w:val="44"/>
        </w:rPr>
      </w:pPr>
      <w:r>
        <w:rPr>
          <w:rFonts w:hint="eastAsia" w:ascii="宋体" w:hAnsi="宋体"/>
          <w:b/>
          <w:kern w:val="44"/>
        </w:rPr>
        <w:t>第四十四条</w:t>
      </w:r>
      <w:r>
        <w:rPr>
          <w:rFonts w:hint="eastAsia" w:ascii="宋体" w:hAnsi="宋体"/>
          <w:kern w:val="44"/>
        </w:rPr>
        <w:t>　违反本条例的规定，侵犯宗教团体、宗教活动场所、宗教教职人员和信教公民合法权益的，由市或者区、县人民政府宗教事务行政部门责令改正；造成损失的，依法承担赔偿责任。</w:t>
      </w:r>
    </w:p>
    <w:p w14:paraId="0A6C2CB2">
      <w:pPr>
        <w:ind w:firstLine="422"/>
        <w:jc w:val="left"/>
        <w:rPr>
          <w:rFonts w:ascii="宋体" w:hAnsi="宋体"/>
          <w:kern w:val="44"/>
        </w:rPr>
      </w:pPr>
      <w:r>
        <w:rPr>
          <w:rFonts w:hint="eastAsia" w:ascii="宋体" w:hAnsi="宋体"/>
          <w:b/>
          <w:kern w:val="44"/>
        </w:rPr>
        <w:t>第四十五条</w:t>
      </w:r>
      <w:r>
        <w:rPr>
          <w:rFonts w:hint="eastAsia" w:ascii="宋体" w:hAnsi="宋体"/>
          <w:kern w:val="44"/>
        </w:rPr>
        <w:t>　违反本条例第六条的规定，未经登记擅自以宗教团体名义进行活动的，由市或者区、县人民政府宗教事务行政部门会同社会团体登记管理机关依法予以取缔，没收非法财产。</w:t>
      </w:r>
    </w:p>
    <w:p w14:paraId="6EA647FE">
      <w:pPr>
        <w:ind w:firstLine="422"/>
        <w:jc w:val="left"/>
        <w:rPr>
          <w:rFonts w:ascii="宋体" w:hAnsi="宋体"/>
          <w:kern w:val="44"/>
        </w:rPr>
      </w:pPr>
      <w:r>
        <w:rPr>
          <w:rFonts w:hint="eastAsia" w:ascii="宋体" w:hAnsi="宋体"/>
          <w:b/>
          <w:kern w:val="44"/>
        </w:rPr>
        <w:t>第四十六条</w:t>
      </w:r>
      <w:r>
        <w:rPr>
          <w:rFonts w:hint="eastAsia" w:ascii="宋体" w:hAnsi="宋体"/>
          <w:kern w:val="44"/>
        </w:rPr>
        <w:t>　违反本条例第二十四条的规定，干扰宗教活动正常开展的，由市或者区、县人民政府宗教事务行政部门责令改正，给予警告。</w:t>
      </w:r>
    </w:p>
    <w:p w14:paraId="773012EB">
      <w:pPr>
        <w:ind w:firstLine="422"/>
        <w:jc w:val="left"/>
        <w:rPr>
          <w:rFonts w:ascii="宋体" w:hAnsi="宋体"/>
          <w:kern w:val="44"/>
        </w:rPr>
      </w:pPr>
      <w:r>
        <w:rPr>
          <w:rFonts w:hint="eastAsia" w:ascii="宋体" w:hAnsi="宋体"/>
          <w:b/>
          <w:kern w:val="44"/>
        </w:rPr>
        <w:t>第四十七条</w:t>
      </w:r>
      <w:r>
        <w:rPr>
          <w:rFonts w:hint="eastAsia" w:ascii="宋体" w:hAnsi="宋体"/>
          <w:kern w:val="44"/>
        </w:rPr>
        <w:t>　违反本条例第九条、第十四条、第十六条、第十八条、第二十七条的规定，有下列情形之一的，由市或者区、县人民政府宗教事务行政部门和其他有关部门予以取缔或者责令停止活动，给予警告；有违法所得的，没收违法所得；有违法房屋、构筑物的，依照有关法律、法规予以处理；有违反治安管理行为的，依法给予治安管理处罚：</w:t>
      </w:r>
    </w:p>
    <w:p w14:paraId="5B7AB49E">
      <w:pPr>
        <w:jc w:val="left"/>
        <w:rPr>
          <w:rFonts w:ascii="宋体" w:hAnsi="宋体"/>
          <w:kern w:val="44"/>
        </w:rPr>
      </w:pPr>
      <w:r>
        <w:rPr>
          <w:rFonts w:hint="eastAsia" w:ascii="宋体" w:hAnsi="宋体"/>
          <w:kern w:val="44"/>
        </w:rPr>
        <w:t>（一）擅自开办宗教院校或者举办宗教培训班的；</w:t>
      </w:r>
    </w:p>
    <w:p w14:paraId="042D5343">
      <w:pPr>
        <w:jc w:val="left"/>
        <w:rPr>
          <w:rFonts w:ascii="宋体" w:hAnsi="宋体"/>
          <w:kern w:val="44"/>
        </w:rPr>
      </w:pPr>
      <w:r>
        <w:rPr>
          <w:rFonts w:hint="eastAsia" w:ascii="宋体" w:hAnsi="宋体"/>
          <w:kern w:val="44"/>
        </w:rPr>
        <w:t>（二）不具备宗教教职人员身份或者不符合本宗教规定的人员主持宗教活动的；</w:t>
      </w:r>
    </w:p>
    <w:p w14:paraId="7172F55F">
      <w:pPr>
        <w:jc w:val="left"/>
        <w:rPr>
          <w:rFonts w:ascii="宋体" w:hAnsi="宋体"/>
          <w:kern w:val="44"/>
        </w:rPr>
      </w:pPr>
      <w:r>
        <w:rPr>
          <w:rFonts w:hint="eastAsia" w:ascii="宋体" w:hAnsi="宋体"/>
          <w:kern w:val="44"/>
        </w:rPr>
        <w:t>（三）未经市宗教团体同意并报市或者区、县人民政府宗教事务行政部门备案，外地宗教教职人员到本市主持宗教活动或者本市宗教教职人员到外地主持宗教活动的；</w:t>
      </w:r>
    </w:p>
    <w:p w14:paraId="789B6BA6">
      <w:pPr>
        <w:jc w:val="left"/>
        <w:rPr>
          <w:rFonts w:ascii="宋体" w:hAnsi="宋体"/>
          <w:kern w:val="44"/>
        </w:rPr>
      </w:pPr>
      <w:r>
        <w:rPr>
          <w:rFonts w:hint="eastAsia" w:ascii="宋体" w:hAnsi="宋体"/>
          <w:kern w:val="44"/>
        </w:rPr>
        <w:t>（四）擅自设立宗教活动场所的；</w:t>
      </w:r>
    </w:p>
    <w:p w14:paraId="6DEBFC0A">
      <w:pPr>
        <w:jc w:val="left"/>
        <w:rPr>
          <w:rFonts w:ascii="宋体" w:hAnsi="宋体"/>
          <w:kern w:val="44"/>
        </w:rPr>
      </w:pPr>
      <w:r>
        <w:rPr>
          <w:rFonts w:hint="eastAsia" w:ascii="宋体" w:hAnsi="宋体"/>
          <w:kern w:val="44"/>
        </w:rPr>
        <w:t>（五）在宗教活动场所外进行传教活动，或者在公共场所擅自设立宗教设施或者宗教造像的。</w:t>
      </w:r>
    </w:p>
    <w:p w14:paraId="5BB8C426">
      <w:pPr>
        <w:ind w:firstLine="422"/>
        <w:jc w:val="left"/>
        <w:rPr>
          <w:rFonts w:ascii="宋体" w:hAnsi="宋体"/>
          <w:kern w:val="44"/>
        </w:rPr>
      </w:pPr>
      <w:r>
        <w:rPr>
          <w:rFonts w:hint="eastAsia" w:ascii="宋体" w:hAnsi="宋体"/>
          <w:b/>
          <w:kern w:val="44"/>
        </w:rPr>
        <w:t>第四十八条</w:t>
      </w:r>
      <w:r>
        <w:rPr>
          <w:rFonts w:hint="eastAsia" w:ascii="宋体" w:hAnsi="宋体"/>
          <w:kern w:val="44"/>
        </w:rPr>
        <w:t>　违反本条例第三十六条的规定，非宗教团体或者非宗教活动场所接受或者变相接受布施、乜贴、奉献或者其他宗教性捐赠的，由市或者区、县人民政府宗教事务行政部门责令停止活动；有违法所得的，没收违法所得；情节严重的，可以并处违法所得1倍以上3倍以下罚款。</w:t>
      </w:r>
    </w:p>
    <w:p w14:paraId="43B42912">
      <w:pPr>
        <w:ind w:firstLine="422"/>
        <w:jc w:val="left"/>
        <w:rPr>
          <w:rFonts w:ascii="宋体" w:hAnsi="宋体"/>
          <w:kern w:val="44"/>
        </w:rPr>
      </w:pPr>
      <w:r>
        <w:rPr>
          <w:rFonts w:hint="eastAsia" w:ascii="宋体" w:hAnsi="宋体"/>
          <w:b/>
          <w:kern w:val="44"/>
        </w:rPr>
        <w:t>第四十九条</w:t>
      </w:r>
      <w:r>
        <w:rPr>
          <w:rFonts w:hint="eastAsia" w:ascii="宋体" w:hAnsi="宋体"/>
          <w:kern w:val="44"/>
        </w:rPr>
        <w:t>　国家工作人员违反本条例的规定，在宗教事务管理工作中滥用职权、玩忽职守、徇私舞弊的，由所在单位或者上级主管部门给予行政处分；构成犯罪的，依法追究刑事责任。</w:t>
      </w:r>
    </w:p>
    <w:p w14:paraId="69C1EE41">
      <w:pPr>
        <w:jc w:val="left"/>
        <w:rPr>
          <w:rFonts w:ascii="宋体" w:hAnsi="宋体"/>
          <w:kern w:val="44"/>
        </w:rPr>
      </w:pPr>
    </w:p>
    <w:p w14:paraId="2D4ED883">
      <w:pPr>
        <w:ind w:firstLine="0" w:firstLineChars="0"/>
        <w:jc w:val="center"/>
        <w:rPr>
          <w:rFonts w:ascii="宋体" w:hAnsi="宋体"/>
          <w:b/>
          <w:kern w:val="44"/>
          <w:sz w:val="28"/>
        </w:rPr>
      </w:pPr>
      <w:r>
        <w:rPr>
          <w:rFonts w:hint="eastAsia" w:ascii="宋体" w:hAnsi="宋体"/>
          <w:b/>
          <w:kern w:val="44"/>
          <w:sz w:val="28"/>
        </w:rPr>
        <w:t>第九章  附　则</w:t>
      </w:r>
    </w:p>
    <w:p w14:paraId="6EA682DD">
      <w:pPr>
        <w:jc w:val="left"/>
        <w:rPr>
          <w:rFonts w:ascii="宋体" w:hAnsi="宋体"/>
          <w:kern w:val="44"/>
        </w:rPr>
      </w:pPr>
    </w:p>
    <w:p w14:paraId="3258D017">
      <w:pPr>
        <w:ind w:firstLine="422"/>
        <w:jc w:val="left"/>
        <w:rPr>
          <w:rFonts w:ascii="宋体" w:hAnsi="宋体"/>
          <w:kern w:val="44"/>
        </w:rPr>
      </w:pPr>
      <w:r>
        <w:rPr>
          <w:rFonts w:hint="eastAsia" w:ascii="宋体" w:hAnsi="宋体"/>
          <w:b/>
          <w:kern w:val="44"/>
        </w:rPr>
        <w:t>第五十条</w:t>
      </w:r>
      <w:r>
        <w:rPr>
          <w:rFonts w:hint="eastAsia" w:ascii="宋体" w:hAnsi="宋体"/>
          <w:kern w:val="44"/>
        </w:rPr>
        <w:t>　外国人在本市进行宗教活动，按照《中华人民共和国境内外国人宗教活动管理规定》和其他有关法律、法规以及本条例的规定执行。</w:t>
      </w:r>
    </w:p>
    <w:p w14:paraId="5B3DFA99">
      <w:pPr>
        <w:ind w:firstLine="422"/>
        <w:jc w:val="left"/>
        <w:rPr>
          <w:rFonts w:ascii="宋体" w:hAnsi="宋体"/>
          <w:kern w:val="44"/>
        </w:rPr>
      </w:pPr>
      <w:r>
        <w:rPr>
          <w:rFonts w:hint="eastAsia" w:ascii="宋体" w:hAnsi="宋体"/>
          <w:b/>
          <w:kern w:val="44"/>
        </w:rPr>
        <w:t>第五十一条</w:t>
      </w:r>
      <w:r>
        <w:rPr>
          <w:rFonts w:hint="eastAsia" w:ascii="宋体" w:hAnsi="宋体"/>
          <w:kern w:val="44"/>
        </w:rPr>
        <w:t>　本条例自2002年11月1日起施行。</w:t>
      </w:r>
    </w:p>
    <w:p w14:paraId="776A5295">
      <w:pPr>
        <w:pStyle w:val="4"/>
        <w:pageBreakBefore/>
        <w:rPr>
          <w:kern w:val="44"/>
        </w:rPr>
      </w:pPr>
      <w:bookmarkStart w:id="240" w:name="_Toc422471092"/>
      <w:bookmarkStart w:id="241" w:name="_Toc427651753"/>
      <w:bookmarkStart w:id="242" w:name="_Toc428779977"/>
      <w:bookmarkStart w:id="243" w:name="_Toc428781459"/>
      <w:bookmarkStart w:id="244" w:name="_Toc427651411"/>
      <w:r>
        <w:rPr>
          <w:rFonts w:hint="eastAsia"/>
          <w:kern w:val="44"/>
        </w:rPr>
        <w:t>关于生产经营清真食品必须尊重少数</w:t>
      </w:r>
      <w:bookmarkEnd w:id="240"/>
      <w:bookmarkEnd w:id="241"/>
      <w:bookmarkEnd w:id="242"/>
      <w:bookmarkEnd w:id="243"/>
      <w:bookmarkEnd w:id="244"/>
    </w:p>
    <w:p w14:paraId="2CC3BBF4">
      <w:pPr>
        <w:pStyle w:val="4"/>
        <w:rPr>
          <w:kern w:val="44"/>
        </w:rPr>
      </w:pPr>
      <w:bookmarkStart w:id="245" w:name="_Toc422471093"/>
      <w:bookmarkStart w:id="246" w:name="_Toc428779978"/>
      <w:bookmarkStart w:id="247" w:name="_Toc427651754"/>
      <w:bookmarkStart w:id="248" w:name="_Toc427651412"/>
      <w:bookmarkStart w:id="249" w:name="_Toc428781460"/>
      <w:r>
        <w:rPr>
          <w:rFonts w:hint="eastAsia"/>
          <w:kern w:val="44"/>
        </w:rPr>
        <w:t>民族风俗习惯的若干规定</w:t>
      </w:r>
      <w:bookmarkEnd w:id="245"/>
      <w:bookmarkEnd w:id="246"/>
      <w:bookmarkEnd w:id="247"/>
      <w:bookmarkEnd w:id="248"/>
      <w:bookmarkEnd w:id="249"/>
    </w:p>
    <w:p w14:paraId="47D4397D">
      <w:pPr>
        <w:ind w:left="630" w:leftChars="300" w:right="630" w:rightChars="300"/>
        <w:jc w:val="left"/>
        <w:rPr>
          <w:rFonts w:ascii="宋体" w:hAnsi="宋体"/>
          <w:kern w:val="44"/>
        </w:rPr>
      </w:pPr>
      <w:r>
        <w:rPr>
          <w:rFonts w:hint="eastAsia" w:ascii="宋体" w:hAnsi="宋体"/>
          <w:kern w:val="44"/>
        </w:rPr>
        <w:t>（1988年3月29日北京市人民政府京政办发26号文件发布  根据1997年12月31日北京市人民政府第12号令第一次修改  根据2004年6月1日北京市人民政府第150号令第二次修改）</w:t>
      </w:r>
    </w:p>
    <w:p w14:paraId="243A8644">
      <w:pPr>
        <w:jc w:val="left"/>
        <w:rPr>
          <w:rFonts w:ascii="宋体" w:hAnsi="宋体"/>
          <w:kern w:val="44"/>
        </w:rPr>
      </w:pPr>
    </w:p>
    <w:p w14:paraId="3B29A141">
      <w:pPr>
        <w:jc w:val="left"/>
        <w:rPr>
          <w:rFonts w:ascii="宋体" w:hAnsi="宋体"/>
          <w:kern w:val="44"/>
        </w:rPr>
      </w:pPr>
      <w:r>
        <w:rPr>
          <w:rFonts w:hint="eastAsia" w:ascii="宋体" w:hAnsi="宋体"/>
          <w:kern w:val="44"/>
        </w:rPr>
        <w:t>为保证生产经营清真食品的行业切实尊重回族、维吾尔族、哈萨克族、柯尔克孜族、塔吉克族、乌孜别克族、塔塔尔族、东乡族、撒拉族、保安族等少数民族（以下简称回族等少数民族）的风俗习惯，增进民族团结，特作如下规定。</w:t>
      </w:r>
    </w:p>
    <w:p w14:paraId="1560FB8D">
      <w:pPr>
        <w:ind w:firstLine="422"/>
        <w:jc w:val="left"/>
        <w:rPr>
          <w:rFonts w:ascii="宋体" w:hAnsi="宋体"/>
          <w:kern w:val="44"/>
        </w:rPr>
      </w:pPr>
      <w:r>
        <w:rPr>
          <w:rFonts w:hint="eastAsia" w:ascii="宋体" w:hAnsi="宋体"/>
          <w:b/>
          <w:kern w:val="44"/>
        </w:rPr>
        <w:t>一、</w:t>
      </w:r>
      <w:r>
        <w:rPr>
          <w:rFonts w:hint="eastAsia" w:ascii="宋体" w:hAnsi="宋体"/>
          <w:kern w:val="44"/>
        </w:rPr>
        <w:t>凡在本市行政区域内生产经营清真食品的单位和个人（包括副食商店、食品商店的清真专柜，以下统称清真食品生产经营者），均须遵守本规定。</w:t>
      </w:r>
    </w:p>
    <w:p w14:paraId="07ADFD84">
      <w:pPr>
        <w:ind w:firstLine="422"/>
        <w:jc w:val="left"/>
        <w:rPr>
          <w:rFonts w:ascii="宋体" w:hAnsi="宋体"/>
          <w:kern w:val="44"/>
        </w:rPr>
      </w:pPr>
      <w:r>
        <w:rPr>
          <w:rFonts w:hint="eastAsia" w:ascii="宋体" w:hAnsi="宋体"/>
          <w:b/>
          <w:kern w:val="44"/>
        </w:rPr>
        <w:t>二、</w:t>
      </w:r>
      <w:r>
        <w:rPr>
          <w:rFonts w:hint="eastAsia" w:ascii="宋体" w:hAnsi="宋体"/>
          <w:kern w:val="44"/>
        </w:rPr>
        <w:t>单位或个人生产经营清真食品，向工商行政管理机关申领营业执照后，应当经区、县民族工作部门登记、审验，悬挂由市民族工作部门统一制发的清真标牌。清真食品生产经营者改业、歇业，除向工商行政管理机关登记外，应当将清真标牌交回区、县民族工作部门。</w:t>
      </w:r>
    </w:p>
    <w:p w14:paraId="7D7B5DEE">
      <w:pPr>
        <w:ind w:firstLine="422"/>
        <w:jc w:val="left"/>
        <w:rPr>
          <w:rFonts w:ascii="宋体" w:hAnsi="宋体"/>
          <w:kern w:val="44"/>
        </w:rPr>
      </w:pPr>
      <w:r>
        <w:rPr>
          <w:rFonts w:hint="eastAsia" w:ascii="宋体" w:hAnsi="宋体"/>
          <w:b/>
          <w:kern w:val="44"/>
        </w:rPr>
        <w:t>三、</w:t>
      </w:r>
      <w:r>
        <w:rPr>
          <w:rFonts w:hint="eastAsia" w:ascii="宋体" w:hAnsi="宋体"/>
          <w:kern w:val="44"/>
        </w:rPr>
        <w:t>清真食品生产经营者，必须遵守下列规定：</w:t>
      </w:r>
    </w:p>
    <w:p w14:paraId="36417FA3">
      <w:pPr>
        <w:jc w:val="left"/>
        <w:rPr>
          <w:rFonts w:ascii="宋体" w:hAnsi="宋体"/>
          <w:kern w:val="44"/>
        </w:rPr>
      </w:pPr>
      <w:r>
        <w:rPr>
          <w:rFonts w:hint="eastAsia" w:ascii="宋体" w:hAnsi="宋体"/>
          <w:kern w:val="44"/>
        </w:rPr>
        <w:t>（一）单位的从业人员中回族等少数民族比例，在经销单位不得少于25％，在生产单位不得少于10％；负责人中至少有一名是回族等少数民族的成员；饮食服务业单位的厨师和主要岗位以及其他单位的采购、仓库保管、技术指导等岗位必须有回族等少数民族的人员。单位的职工食堂必须设清真灶。</w:t>
      </w:r>
    </w:p>
    <w:p w14:paraId="2979D7CA">
      <w:pPr>
        <w:jc w:val="left"/>
        <w:rPr>
          <w:rFonts w:ascii="宋体" w:hAnsi="宋体"/>
          <w:kern w:val="44"/>
        </w:rPr>
      </w:pPr>
      <w:r>
        <w:rPr>
          <w:rFonts w:hint="eastAsia" w:ascii="宋体" w:hAnsi="宋体"/>
          <w:kern w:val="44"/>
        </w:rPr>
        <w:t>（二）在生产经营场所显著位置，悬挂市民族工作部门统一制发的清真标牌。</w:t>
      </w:r>
    </w:p>
    <w:p w14:paraId="026B3F4C">
      <w:pPr>
        <w:jc w:val="left"/>
        <w:rPr>
          <w:rFonts w:ascii="宋体" w:hAnsi="宋体"/>
          <w:kern w:val="44"/>
        </w:rPr>
      </w:pPr>
      <w:r>
        <w:rPr>
          <w:rFonts w:hint="eastAsia" w:ascii="宋体" w:hAnsi="宋体"/>
          <w:kern w:val="44"/>
        </w:rPr>
        <w:t>（三）清真食品的包装上应印有清真标志。牛、羊、驼、鸡、鸭等必须按清真屠宰习惯屠宰，自行采购的要有清真屠宰证明。不得出售回族等少数民族禁忌的食品。</w:t>
      </w:r>
    </w:p>
    <w:p w14:paraId="7F51FBEF">
      <w:pPr>
        <w:jc w:val="left"/>
        <w:rPr>
          <w:rFonts w:ascii="宋体" w:hAnsi="宋体"/>
          <w:kern w:val="44"/>
        </w:rPr>
      </w:pPr>
      <w:r>
        <w:rPr>
          <w:rFonts w:hint="eastAsia" w:ascii="宋体" w:hAnsi="宋体"/>
          <w:kern w:val="44"/>
        </w:rPr>
        <w:t>（四）非清真食品店和副食店中设置的清真专柜，要距出售猪肉及其制品柜三米以上，加工、运输、计量等器具和冷库冷柜等食品容器必须专用。服务人员不得与非清真柜混岗。</w:t>
      </w:r>
    </w:p>
    <w:p w14:paraId="3228BDCB">
      <w:pPr>
        <w:jc w:val="left"/>
        <w:rPr>
          <w:rFonts w:ascii="宋体" w:hAnsi="宋体"/>
          <w:kern w:val="44"/>
        </w:rPr>
      </w:pPr>
      <w:r>
        <w:rPr>
          <w:rFonts w:hint="eastAsia" w:ascii="宋体" w:hAnsi="宋体"/>
          <w:kern w:val="44"/>
        </w:rPr>
        <w:t>（五）教育全体从业人员尊重少数民族风俗习惯，不得在经营场地食用回族等少数民族禁忌的食品。</w:t>
      </w:r>
    </w:p>
    <w:p w14:paraId="705B98ED">
      <w:pPr>
        <w:ind w:firstLine="422"/>
        <w:jc w:val="left"/>
        <w:rPr>
          <w:rFonts w:ascii="宋体" w:hAnsi="宋体"/>
          <w:kern w:val="44"/>
        </w:rPr>
      </w:pPr>
      <w:r>
        <w:rPr>
          <w:rFonts w:hint="eastAsia" w:ascii="宋体" w:hAnsi="宋体"/>
          <w:b/>
          <w:kern w:val="44"/>
        </w:rPr>
        <w:t>四、</w:t>
      </w:r>
      <w:r>
        <w:rPr>
          <w:rFonts w:hint="eastAsia" w:ascii="宋体" w:hAnsi="宋体"/>
          <w:kern w:val="44"/>
        </w:rPr>
        <w:t>违反本规定的，视其具体情节，给予如下处理：</w:t>
      </w:r>
    </w:p>
    <w:p w14:paraId="03928965">
      <w:pPr>
        <w:jc w:val="left"/>
        <w:rPr>
          <w:rFonts w:ascii="宋体" w:hAnsi="宋体"/>
          <w:kern w:val="44"/>
        </w:rPr>
      </w:pPr>
      <w:r>
        <w:rPr>
          <w:rFonts w:hint="eastAsia" w:ascii="宋体" w:hAnsi="宋体"/>
          <w:kern w:val="44"/>
        </w:rPr>
        <w:t>（一）未经批准擅自生产经营清真食品的，由区、县民族工作部门会同工商行政管理机关责令停业或转营他业，没收其非法收入，并对负责人处以200元以下罚款。</w:t>
      </w:r>
    </w:p>
    <w:p w14:paraId="72417264">
      <w:pPr>
        <w:jc w:val="left"/>
        <w:rPr>
          <w:rFonts w:ascii="宋体" w:hAnsi="宋体"/>
          <w:kern w:val="44"/>
        </w:rPr>
      </w:pPr>
      <w:r>
        <w:rPr>
          <w:rFonts w:hint="eastAsia" w:ascii="宋体" w:hAnsi="宋体"/>
          <w:kern w:val="44"/>
        </w:rPr>
        <w:t>（二）违反本规定第三条的，由区、县民族工作部门会同工商行政管理机关，分别给予警告、责令停业整顿，对单位负责人处以100元以下罚款。</w:t>
      </w:r>
    </w:p>
    <w:p w14:paraId="011B3E88">
      <w:pPr>
        <w:ind w:firstLine="422"/>
        <w:jc w:val="left"/>
        <w:rPr>
          <w:rFonts w:ascii="宋体" w:hAnsi="宋体"/>
          <w:kern w:val="44"/>
        </w:rPr>
      </w:pPr>
      <w:r>
        <w:rPr>
          <w:rFonts w:hint="eastAsia" w:ascii="宋体" w:hAnsi="宋体"/>
          <w:b/>
          <w:kern w:val="44"/>
        </w:rPr>
        <w:t>五、</w:t>
      </w:r>
      <w:r>
        <w:rPr>
          <w:rFonts w:hint="eastAsia" w:ascii="宋体" w:hAnsi="宋体"/>
          <w:kern w:val="44"/>
        </w:rPr>
        <w:t>本规定由市民族事务委员会组织实施并负责解释。</w:t>
      </w:r>
    </w:p>
    <w:p w14:paraId="3C0DD012">
      <w:pPr>
        <w:ind w:firstLine="422"/>
        <w:jc w:val="left"/>
        <w:rPr>
          <w:rFonts w:ascii="宋体" w:hAnsi="宋体"/>
          <w:kern w:val="44"/>
        </w:rPr>
      </w:pPr>
      <w:r>
        <w:rPr>
          <w:rFonts w:hint="eastAsia" w:ascii="宋体" w:hAnsi="宋体"/>
          <w:b/>
          <w:kern w:val="44"/>
        </w:rPr>
        <w:t>六、</w:t>
      </w:r>
      <w:r>
        <w:rPr>
          <w:rFonts w:hint="eastAsia" w:ascii="宋体" w:hAnsi="宋体"/>
          <w:kern w:val="44"/>
        </w:rPr>
        <w:t>本规定经市人民政府批准，自1988年4月1日起施行。</w:t>
      </w:r>
    </w:p>
    <w:p w14:paraId="290253B5">
      <w:pPr>
        <w:pStyle w:val="3"/>
        <w:pageBreakBefore/>
        <w:rPr>
          <w:kern w:val="44"/>
        </w:rPr>
      </w:pPr>
      <w:bookmarkStart w:id="250" w:name="_Toc428781461"/>
      <w:bookmarkStart w:id="251" w:name="_Toc427651413"/>
      <w:bookmarkStart w:id="252" w:name="_Toc428779979"/>
      <w:bookmarkStart w:id="253" w:name="_Toc422471094"/>
      <w:bookmarkStart w:id="254" w:name="_Toc427651755"/>
      <w:r>
        <w:rPr>
          <w:rFonts w:hint="eastAsia"/>
          <w:kern w:val="44"/>
        </w:rPr>
        <w:t>（六）行政综合</w:t>
      </w:r>
      <w:bookmarkEnd w:id="250"/>
      <w:bookmarkEnd w:id="251"/>
      <w:bookmarkEnd w:id="252"/>
      <w:bookmarkEnd w:id="253"/>
      <w:bookmarkEnd w:id="254"/>
    </w:p>
    <w:p w14:paraId="19606F29"/>
    <w:p w14:paraId="1D73C81A">
      <w:pPr>
        <w:pStyle w:val="4"/>
        <w:rPr>
          <w:kern w:val="44"/>
        </w:rPr>
      </w:pPr>
      <w:bookmarkStart w:id="255" w:name="_Toc427651414"/>
      <w:bookmarkStart w:id="256" w:name="_Toc427651756"/>
      <w:bookmarkStart w:id="257" w:name="_Toc428779980"/>
      <w:bookmarkStart w:id="258" w:name="_Toc428781462"/>
      <w:bookmarkStart w:id="259" w:name="_Toc422471095"/>
      <w:r>
        <w:rPr>
          <w:rFonts w:hint="eastAsia"/>
          <w:kern w:val="44"/>
        </w:rPr>
        <w:t>北京市实施《中华人民共和国</w:t>
      </w:r>
      <w:bookmarkEnd w:id="255"/>
      <w:bookmarkEnd w:id="256"/>
      <w:bookmarkEnd w:id="257"/>
      <w:bookmarkEnd w:id="258"/>
      <w:bookmarkEnd w:id="259"/>
    </w:p>
    <w:p w14:paraId="1619E627">
      <w:pPr>
        <w:pStyle w:val="4"/>
        <w:rPr>
          <w:kern w:val="44"/>
        </w:rPr>
      </w:pPr>
      <w:bookmarkStart w:id="260" w:name="_Toc427651415"/>
      <w:bookmarkStart w:id="261" w:name="_Toc428781463"/>
      <w:bookmarkStart w:id="262" w:name="_Toc422471096"/>
      <w:bookmarkStart w:id="263" w:name="_Toc428779981"/>
      <w:bookmarkStart w:id="264" w:name="_Toc427651757"/>
      <w:r>
        <w:rPr>
          <w:rFonts w:hint="eastAsia"/>
          <w:kern w:val="44"/>
        </w:rPr>
        <w:t>突发事件应对法》办法</w:t>
      </w:r>
      <w:bookmarkEnd w:id="260"/>
      <w:bookmarkEnd w:id="261"/>
      <w:bookmarkEnd w:id="262"/>
      <w:bookmarkEnd w:id="263"/>
      <w:bookmarkEnd w:id="264"/>
    </w:p>
    <w:p w14:paraId="189F0B32">
      <w:pPr>
        <w:ind w:left="630" w:leftChars="300" w:right="630" w:rightChars="300"/>
        <w:jc w:val="left"/>
        <w:rPr>
          <w:rFonts w:ascii="楷体" w:hAnsi="楷体" w:eastAsia="楷体"/>
          <w:kern w:val="44"/>
        </w:rPr>
      </w:pPr>
      <w:r>
        <w:rPr>
          <w:rFonts w:hint="eastAsia" w:ascii="楷体" w:hAnsi="楷体" w:eastAsia="楷体"/>
          <w:kern w:val="44"/>
        </w:rPr>
        <w:t>（2008年5月23日北京市第十三届人民代表大会常务委员会第四次会议通过）</w:t>
      </w:r>
    </w:p>
    <w:p w14:paraId="54B8D94E">
      <w:pPr>
        <w:ind w:left="630" w:leftChars="300" w:right="630" w:rightChars="300"/>
        <w:jc w:val="left"/>
        <w:rPr>
          <w:rFonts w:ascii="宋体" w:hAnsi="宋体"/>
          <w:kern w:val="44"/>
        </w:rPr>
      </w:pPr>
    </w:p>
    <w:p w14:paraId="055CFE42">
      <w:pPr>
        <w:ind w:firstLine="0" w:firstLineChars="0"/>
        <w:jc w:val="center"/>
        <w:rPr>
          <w:rFonts w:ascii="宋体" w:hAnsi="宋体"/>
          <w:b/>
          <w:kern w:val="44"/>
          <w:sz w:val="28"/>
        </w:rPr>
      </w:pPr>
      <w:r>
        <w:rPr>
          <w:rFonts w:hint="eastAsia" w:ascii="宋体" w:hAnsi="宋体"/>
          <w:b/>
          <w:kern w:val="44"/>
          <w:sz w:val="28"/>
        </w:rPr>
        <w:t>第一章　总　则</w:t>
      </w:r>
    </w:p>
    <w:p w14:paraId="4250E2A7">
      <w:pPr>
        <w:jc w:val="left"/>
        <w:rPr>
          <w:rFonts w:ascii="宋体" w:hAnsi="宋体"/>
          <w:kern w:val="44"/>
        </w:rPr>
      </w:pPr>
    </w:p>
    <w:p w14:paraId="551C5F2D">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为了实施《中华人民共和国突发事件应对法》，根据本市实际情况，制定本办法。</w:t>
      </w:r>
    </w:p>
    <w:p w14:paraId="729962A3">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本办法适用于本市行政区域内突发事件的预防与应急准备、监测与预警、应急处置与救援、事后恢复与重建等应对活动。</w:t>
      </w:r>
    </w:p>
    <w:p w14:paraId="12396086">
      <w:pPr>
        <w:jc w:val="left"/>
        <w:rPr>
          <w:rFonts w:ascii="宋体" w:hAnsi="宋体"/>
          <w:kern w:val="44"/>
        </w:rPr>
      </w:pPr>
      <w:r>
        <w:rPr>
          <w:rFonts w:hint="eastAsia" w:ascii="宋体" w:hAnsi="宋体"/>
          <w:kern w:val="44"/>
        </w:rPr>
        <w:t>本办法所称突发事件，是指突然发生，造成或者可能造成严重社会危害，需要采取应急处置措施予以应对的自然灾害、事故灾难、公共卫生事件和社会安全事件。</w:t>
      </w:r>
    </w:p>
    <w:p w14:paraId="183C31BF">
      <w:pPr>
        <w:jc w:val="left"/>
        <w:rPr>
          <w:rFonts w:ascii="宋体" w:hAnsi="宋体"/>
          <w:kern w:val="44"/>
        </w:rPr>
      </w:pPr>
      <w:r>
        <w:rPr>
          <w:rFonts w:hint="eastAsia" w:ascii="宋体" w:hAnsi="宋体"/>
          <w:kern w:val="44"/>
        </w:rPr>
        <w:t>按照社会危害程度、影响范围等因素，自然灾害、事故灾难、公共卫生事件分为特别重大、重大、较大和一般四级。法律、行政法规或者国务院另有规定的，依照其规定执行。</w:t>
      </w:r>
    </w:p>
    <w:p w14:paraId="6956CBB2">
      <w:pPr>
        <w:ind w:firstLine="422"/>
        <w:jc w:val="left"/>
        <w:rPr>
          <w:rFonts w:ascii="宋体" w:hAnsi="宋体"/>
          <w:kern w:val="44"/>
        </w:rPr>
      </w:pPr>
      <w:r>
        <w:rPr>
          <w:rFonts w:hint="eastAsia" w:ascii="宋体" w:hAnsi="宋体"/>
          <w:b/>
          <w:kern w:val="44"/>
        </w:rPr>
        <w:t>第三条</w:t>
      </w:r>
      <w:r>
        <w:rPr>
          <w:rFonts w:hint="eastAsia" w:ascii="宋体" w:hAnsi="宋体"/>
          <w:kern w:val="44"/>
        </w:rPr>
        <w:t>　本市突发事件应对工作坚持预防为主、预防与应急相结合的原则，实行统一领导、综合协调、分类管理、分级负责、属地管理为主的应急管理体制。</w:t>
      </w:r>
    </w:p>
    <w:p w14:paraId="61621629">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市和区、县人民政府应当组织编制应急体系建设规划，并将其纳入国民经济和社会发展规划。</w:t>
      </w:r>
    </w:p>
    <w:p w14:paraId="4FCDD422">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人民政府是突发事件应对工作的行政领导机关。市和区、县人民政府设立突发事件应急委员会，统一领导、协调本行政区域内突发事件应对工作；根据实际需要，设立突发事件专项应急指挥部，组织、协调、指挥相关类别突发事件的应对工作。</w:t>
      </w:r>
    </w:p>
    <w:p w14:paraId="1D7853C4">
      <w:pPr>
        <w:jc w:val="left"/>
        <w:rPr>
          <w:rFonts w:ascii="宋体" w:hAnsi="宋体"/>
          <w:kern w:val="44"/>
        </w:rPr>
      </w:pPr>
      <w:r>
        <w:rPr>
          <w:rFonts w:hint="eastAsia" w:ascii="宋体" w:hAnsi="宋体"/>
          <w:kern w:val="44"/>
        </w:rPr>
        <w:t>市突发事件应急委员会由市有关负责人，市有关部门、北京卫戍区和武警北京市总队的负责人组成，市人民政府主要负责人任主任；市突发事件专项应急指挥部由市有关负责人任总指挥。区、县突发事件应急委员会和专项应急指挥部的组成，参照市突发事件应急委员会和专项应急指挥部的组成确定。</w:t>
      </w:r>
    </w:p>
    <w:p w14:paraId="7C9B93C1">
      <w:pPr>
        <w:jc w:val="left"/>
        <w:rPr>
          <w:rFonts w:ascii="宋体" w:hAnsi="宋体"/>
          <w:kern w:val="44"/>
        </w:rPr>
      </w:pPr>
      <w:r>
        <w:rPr>
          <w:rFonts w:hint="eastAsia" w:ascii="宋体" w:hAnsi="宋体"/>
          <w:kern w:val="44"/>
        </w:rPr>
        <w:t>市和区、县突发事件应急委员会和专项应急指挥部，应当设立常设办事机构，配备专职工作人员。办事机构负责值守应急、信息汇总、综合协调等工作。</w:t>
      </w:r>
    </w:p>
    <w:p w14:paraId="5C79B231">
      <w:pPr>
        <w:ind w:firstLine="422"/>
        <w:jc w:val="left"/>
        <w:rPr>
          <w:rFonts w:ascii="宋体" w:hAnsi="宋体"/>
          <w:kern w:val="44"/>
        </w:rPr>
      </w:pPr>
      <w:r>
        <w:rPr>
          <w:rFonts w:hint="eastAsia" w:ascii="宋体" w:hAnsi="宋体"/>
          <w:b/>
          <w:kern w:val="44"/>
        </w:rPr>
        <w:t>第六条</w:t>
      </w:r>
      <w:r>
        <w:rPr>
          <w:rFonts w:hint="eastAsia" w:ascii="宋体" w:hAnsi="宋体"/>
          <w:kern w:val="44"/>
        </w:rPr>
        <w:t>　市和区、县人民政府有关部门按照法律、法规、规章的规定和本级人民政府确定的职责，负责相关突发事件应对工作，指导、协助下级人民政府及其相应部门做好有关突发事件的应对工作。</w:t>
      </w:r>
    </w:p>
    <w:p w14:paraId="6CF81594">
      <w:pPr>
        <w:jc w:val="left"/>
        <w:rPr>
          <w:rFonts w:ascii="宋体" w:hAnsi="宋体"/>
          <w:kern w:val="44"/>
        </w:rPr>
      </w:pPr>
      <w:r>
        <w:rPr>
          <w:rFonts w:hint="eastAsia" w:ascii="宋体" w:hAnsi="宋体"/>
          <w:kern w:val="44"/>
        </w:rPr>
        <w:t>市人民政府有关部门可以根据实际情况设立应急管理机构，配备专职工作人员。</w:t>
      </w:r>
    </w:p>
    <w:p w14:paraId="40B4286B">
      <w:pPr>
        <w:jc w:val="left"/>
        <w:rPr>
          <w:rFonts w:ascii="宋体" w:hAnsi="宋体"/>
          <w:kern w:val="44"/>
        </w:rPr>
      </w:pPr>
      <w:r>
        <w:rPr>
          <w:rFonts w:hint="eastAsia" w:ascii="宋体" w:hAnsi="宋体"/>
          <w:kern w:val="44"/>
        </w:rPr>
        <w:t>乡镇人民政府、街道办事处应当设立或者确定应急管理机构，配备专职工作人员。</w:t>
      </w:r>
    </w:p>
    <w:p w14:paraId="4CC238BC">
      <w:pPr>
        <w:ind w:firstLine="422"/>
        <w:jc w:val="left"/>
        <w:rPr>
          <w:rFonts w:ascii="宋体" w:hAnsi="宋体"/>
          <w:kern w:val="44"/>
        </w:rPr>
      </w:pPr>
      <w:r>
        <w:rPr>
          <w:rFonts w:hint="eastAsia" w:ascii="宋体" w:hAnsi="宋体"/>
          <w:b/>
          <w:kern w:val="44"/>
        </w:rPr>
        <w:t>第七条</w:t>
      </w:r>
      <w:r>
        <w:rPr>
          <w:rFonts w:hint="eastAsia" w:ascii="宋体" w:hAnsi="宋体"/>
          <w:kern w:val="44"/>
        </w:rPr>
        <w:t>　市和区、县人民政府应当按照有关规定建立突发事件信息公开制度，完善信息发布和新闻发言人制度，建立健全重大突发事件新闻报道快速反应机制和舆情收集、分析机制，加强对信息发布、新闻报道工作的组织协调和管理。</w:t>
      </w:r>
    </w:p>
    <w:p w14:paraId="032BD79D">
      <w:pPr>
        <w:jc w:val="left"/>
        <w:rPr>
          <w:rFonts w:ascii="宋体" w:hAnsi="宋体"/>
          <w:kern w:val="44"/>
        </w:rPr>
      </w:pPr>
      <w:r>
        <w:rPr>
          <w:rFonts w:hint="eastAsia" w:ascii="宋体" w:hAnsi="宋体"/>
          <w:kern w:val="44"/>
        </w:rPr>
        <w:t>新闻媒体和网站应当客观、真实、准确地报道有关突发事件的信息。</w:t>
      </w:r>
    </w:p>
    <w:p w14:paraId="277F53F5">
      <w:pPr>
        <w:ind w:firstLine="422"/>
        <w:jc w:val="left"/>
        <w:rPr>
          <w:rFonts w:ascii="宋体" w:hAnsi="宋体"/>
          <w:kern w:val="44"/>
        </w:rPr>
      </w:pPr>
      <w:r>
        <w:rPr>
          <w:rFonts w:hint="eastAsia" w:ascii="宋体" w:hAnsi="宋体"/>
          <w:b/>
          <w:kern w:val="44"/>
        </w:rPr>
        <w:t>第八条</w:t>
      </w:r>
      <w:r>
        <w:rPr>
          <w:rFonts w:hint="eastAsia" w:ascii="宋体" w:hAnsi="宋体"/>
          <w:kern w:val="44"/>
        </w:rPr>
        <w:t>　本市建立健全与国家有关部门，驻京中国人民解放军、中国人民武装警察部队，中央驻京大型国有企业、事业单位，周边省、自治区、直辖市的应急联动机制，加强信息沟通和资源共享，提高突发事件应对能力。</w:t>
      </w:r>
    </w:p>
    <w:p w14:paraId="4992A96B">
      <w:pPr>
        <w:ind w:firstLine="422"/>
        <w:jc w:val="left"/>
        <w:rPr>
          <w:rFonts w:ascii="宋体" w:hAnsi="宋体"/>
          <w:kern w:val="44"/>
        </w:rPr>
      </w:pPr>
      <w:r>
        <w:rPr>
          <w:rFonts w:hint="eastAsia" w:ascii="宋体" w:hAnsi="宋体"/>
          <w:b/>
          <w:kern w:val="44"/>
        </w:rPr>
        <w:t>第九条</w:t>
      </w:r>
      <w:r>
        <w:rPr>
          <w:rFonts w:hint="eastAsia" w:ascii="宋体" w:hAnsi="宋体"/>
          <w:kern w:val="44"/>
        </w:rPr>
        <w:t>　市和区县人民政府及其部门、乡镇人民政府、街道办事处的突发事件应对工作实行行政领导负责制。</w:t>
      </w:r>
    </w:p>
    <w:p w14:paraId="223B60F0">
      <w:pPr>
        <w:jc w:val="left"/>
        <w:rPr>
          <w:rFonts w:ascii="宋体" w:hAnsi="宋体"/>
          <w:kern w:val="44"/>
        </w:rPr>
      </w:pPr>
      <w:r>
        <w:rPr>
          <w:rFonts w:hint="eastAsia" w:ascii="宋体" w:hAnsi="宋体"/>
          <w:kern w:val="44"/>
        </w:rPr>
        <w:t>本市将突发事件应对工作纳入行政机关主要负责人和有关负责人职责绩效考核范围，建立健全责任追究制度。</w:t>
      </w:r>
    </w:p>
    <w:p w14:paraId="1638F98B">
      <w:pPr>
        <w:ind w:firstLine="422"/>
        <w:jc w:val="left"/>
        <w:rPr>
          <w:rFonts w:ascii="宋体" w:hAnsi="宋体"/>
          <w:kern w:val="44"/>
        </w:rPr>
      </w:pPr>
      <w:r>
        <w:rPr>
          <w:rFonts w:hint="eastAsia" w:ascii="宋体" w:hAnsi="宋体"/>
          <w:b/>
          <w:kern w:val="44"/>
        </w:rPr>
        <w:t>第十条</w:t>
      </w:r>
      <w:r>
        <w:rPr>
          <w:rFonts w:hint="eastAsia" w:ascii="宋体" w:hAnsi="宋体"/>
          <w:kern w:val="44"/>
        </w:rPr>
        <w:t>　本市建立有效的社会动员机制，充分发挥公民、法人和其他组织在突发事件应对中的作用，增强全民的公共安全和社会责任意识，提高全社会避险、自救、互救等能力。</w:t>
      </w:r>
    </w:p>
    <w:p w14:paraId="353B40CE">
      <w:pPr>
        <w:jc w:val="left"/>
        <w:rPr>
          <w:rFonts w:ascii="宋体" w:hAnsi="宋体"/>
          <w:kern w:val="44"/>
        </w:rPr>
      </w:pPr>
      <w:r>
        <w:rPr>
          <w:rFonts w:hint="eastAsia" w:ascii="宋体" w:hAnsi="宋体"/>
          <w:kern w:val="44"/>
        </w:rPr>
        <w:t>公民、法人和其他组织有义务参与突发事件应对工作。法人和其他组织应当在所在地人民政府的领导下开展突发事件应对工作，建立突发事件应对工作责任制，其主要负责人全面负责。</w:t>
      </w:r>
    </w:p>
    <w:p w14:paraId="2DE85C5E">
      <w:pPr>
        <w:jc w:val="left"/>
        <w:rPr>
          <w:rFonts w:ascii="宋体" w:hAnsi="宋体"/>
          <w:kern w:val="44"/>
        </w:rPr>
      </w:pPr>
      <w:r>
        <w:rPr>
          <w:rFonts w:hint="eastAsia" w:ascii="宋体" w:hAnsi="宋体"/>
          <w:kern w:val="44"/>
        </w:rPr>
        <w:t>居民委员会和村民委员会应当根据所在地人民政府的要求，结合各自的实际情况，开展应急知识宣传教育活动和必要的应急演练；将突发事件应对工作作为自治管理的重要内容，明确突发事件应对工作责任人，协助政府及其有关部门做好突发事件应对工作。</w:t>
      </w:r>
    </w:p>
    <w:p w14:paraId="25455AF1">
      <w:pPr>
        <w:ind w:firstLine="422"/>
        <w:jc w:val="left"/>
        <w:rPr>
          <w:rFonts w:ascii="宋体" w:hAnsi="宋体"/>
          <w:kern w:val="44"/>
        </w:rPr>
      </w:pPr>
      <w:r>
        <w:rPr>
          <w:rFonts w:hint="eastAsia" w:ascii="宋体" w:hAnsi="宋体"/>
          <w:b/>
          <w:kern w:val="44"/>
        </w:rPr>
        <w:t>第十一条</w:t>
      </w:r>
      <w:r>
        <w:rPr>
          <w:rFonts w:hint="eastAsia" w:ascii="宋体" w:hAnsi="宋体"/>
          <w:kern w:val="44"/>
        </w:rPr>
        <w:t>　市和区、县人民政府及其部门应当对在突发事件应对工作中做出突出贡献的单位和个人给予表彰或者奖励。</w:t>
      </w:r>
    </w:p>
    <w:p w14:paraId="79F405B5">
      <w:pPr>
        <w:jc w:val="left"/>
        <w:rPr>
          <w:rFonts w:ascii="宋体" w:hAnsi="宋体"/>
          <w:kern w:val="44"/>
        </w:rPr>
      </w:pPr>
    </w:p>
    <w:p w14:paraId="3E425429">
      <w:pPr>
        <w:ind w:firstLine="0" w:firstLineChars="0"/>
        <w:jc w:val="center"/>
        <w:rPr>
          <w:rFonts w:ascii="宋体" w:hAnsi="宋体"/>
          <w:b/>
          <w:kern w:val="44"/>
          <w:sz w:val="28"/>
        </w:rPr>
      </w:pPr>
      <w:r>
        <w:rPr>
          <w:rFonts w:hint="eastAsia" w:ascii="宋体" w:hAnsi="宋体"/>
          <w:b/>
          <w:kern w:val="44"/>
          <w:sz w:val="28"/>
        </w:rPr>
        <w:t>第二章  预防与应急准备</w:t>
      </w:r>
    </w:p>
    <w:p w14:paraId="695648EB">
      <w:pPr>
        <w:jc w:val="left"/>
        <w:rPr>
          <w:rFonts w:ascii="宋体" w:hAnsi="宋体"/>
          <w:kern w:val="44"/>
        </w:rPr>
      </w:pPr>
    </w:p>
    <w:p w14:paraId="2ADA3547">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本市建立健全科学、规范的突发事件应急预案体系。</w:t>
      </w:r>
    </w:p>
    <w:p w14:paraId="4EB451CF">
      <w:pPr>
        <w:jc w:val="left"/>
        <w:rPr>
          <w:rFonts w:ascii="宋体" w:hAnsi="宋体"/>
          <w:kern w:val="44"/>
        </w:rPr>
      </w:pPr>
      <w:r>
        <w:rPr>
          <w:rFonts w:hint="eastAsia" w:ascii="宋体" w:hAnsi="宋体"/>
          <w:kern w:val="44"/>
        </w:rPr>
        <w:t>市人民政府根据有关法律、法规、规章和国务院及其有关部门的应急预案，结合本市实际情况，制定本市突发事件总体应急预案、专项应急预案和应急保障预案。市人民政府有关部门根据各自职责和市人民政府相关应急预案，制定突发事件部门应急预案。</w:t>
      </w:r>
    </w:p>
    <w:p w14:paraId="3ECA6EE2">
      <w:pPr>
        <w:jc w:val="left"/>
        <w:rPr>
          <w:rFonts w:ascii="宋体" w:hAnsi="宋体"/>
          <w:kern w:val="44"/>
        </w:rPr>
      </w:pPr>
      <w:r>
        <w:rPr>
          <w:rFonts w:hint="eastAsia" w:ascii="宋体" w:hAnsi="宋体"/>
          <w:kern w:val="44"/>
        </w:rPr>
        <w:t>区、县人民政府制定本区、县突发事件总体应急预案、专项应急预案和应急保障预案。区、县人民政府有关部门制定突发事件部门应急预案。</w:t>
      </w:r>
    </w:p>
    <w:p w14:paraId="7C142EEF">
      <w:pPr>
        <w:jc w:val="left"/>
        <w:rPr>
          <w:rFonts w:ascii="宋体" w:hAnsi="宋体"/>
          <w:kern w:val="44"/>
        </w:rPr>
      </w:pPr>
      <w:r>
        <w:rPr>
          <w:rFonts w:hint="eastAsia" w:ascii="宋体" w:hAnsi="宋体"/>
          <w:kern w:val="44"/>
        </w:rPr>
        <w:t>乡镇人民政府、街道办事处制定本区域突发事件应急预案。</w:t>
      </w:r>
    </w:p>
    <w:p w14:paraId="50FAE1E4">
      <w:pPr>
        <w:jc w:val="left"/>
        <w:rPr>
          <w:rFonts w:ascii="宋体" w:hAnsi="宋体"/>
          <w:kern w:val="44"/>
        </w:rPr>
      </w:pPr>
      <w:r>
        <w:rPr>
          <w:rFonts w:hint="eastAsia" w:ascii="宋体" w:hAnsi="宋体"/>
          <w:kern w:val="44"/>
        </w:rPr>
        <w:t>机关、团体和企业、事业单位应当根据法律、法规和本市关于制定应急预案的要求，结合实际情况，制定本单位突发事件应急预案。</w:t>
      </w:r>
    </w:p>
    <w:p w14:paraId="4D7CD98D">
      <w:pPr>
        <w:jc w:val="left"/>
        <w:rPr>
          <w:rFonts w:ascii="宋体" w:hAnsi="宋体"/>
          <w:kern w:val="44"/>
        </w:rPr>
      </w:pPr>
      <w:r>
        <w:rPr>
          <w:rFonts w:hint="eastAsia" w:ascii="宋体" w:hAnsi="宋体"/>
          <w:kern w:val="44"/>
        </w:rPr>
        <w:t>大型社会活动的主办者应当按照国家和本市关于大型社会活动的管理规定，制定保障大型社会活动安全的应急预案。</w:t>
      </w:r>
    </w:p>
    <w:p w14:paraId="08BF03AD">
      <w:pPr>
        <w:ind w:firstLine="422"/>
        <w:jc w:val="left"/>
        <w:rPr>
          <w:rFonts w:ascii="宋体" w:hAnsi="宋体"/>
          <w:kern w:val="44"/>
        </w:rPr>
      </w:pPr>
      <w:r>
        <w:rPr>
          <w:rFonts w:hint="eastAsia" w:ascii="宋体" w:hAnsi="宋体"/>
          <w:b/>
          <w:kern w:val="44"/>
        </w:rPr>
        <w:t>第十三条</w:t>
      </w:r>
      <w:r>
        <w:rPr>
          <w:rFonts w:hint="eastAsia" w:ascii="宋体" w:hAnsi="宋体"/>
          <w:kern w:val="44"/>
        </w:rPr>
        <w:t>　区、县突发事件总体应急预案、专项应急预案和应急保障预案，应当向市人民政府备案；部门应急预案应当向本级人民政府备案；乡镇人民政府、街道办事处制定的应急预案，应当向区、县人民政府备案。</w:t>
      </w:r>
    </w:p>
    <w:p w14:paraId="7CB45932">
      <w:pPr>
        <w:jc w:val="left"/>
        <w:rPr>
          <w:rFonts w:ascii="宋体" w:hAnsi="宋体"/>
          <w:kern w:val="44"/>
        </w:rPr>
      </w:pPr>
      <w:r>
        <w:rPr>
          <w:rFonts w:hint="eastAsia" w:ascii="宋体" w:hAnsi="宋体"/>
          <w:kern w:val="44"/>
        </w:rPr>
        <w:t>市和区、县人民政府确定的重点单位的应急预案，应当按照有关规定分别向市或者所在地区、县人民政府备案；其他单位的应急预案应当向所在地乡镇人民政府、街道办事处备案。</w:t>
      </w:r>
    </w:p>
    <w:p w14:paraId="16D5742D">
      <w:pPr>
        <w:ind w:firstLine="422"/>
        <w:jc w:val="left"/>
        <w:rPr>
          <w:rFonts w:ascii="宋体" w:hAnsi="宋体"/>
          <w:kern w:val="44"/>
        </w:rPr>
      </w:pPr>
      <w:r>
        <w:rPr>
          <w:rFonts w:hint="eastAsia" w:ascii="宋体" w:hAnsi="宋体"/>
          <w:b/>
          <w:kern w:val="44"/>
        </w:rPr>
        <w:t>第十四条</w:t>
      </w:r>
      <w:r>
        <w:rPr>
          <w:rFonts w:hint="eastAsia" w:ascii="宋体" w:hAnsi="宋体"/>
          <w:kern w:val="44"/>
        </w:rPr>
        <w:t>　市和区县人民政府及其部门、乡镇人民政府、街道办事处制定应急预案，应当根据法律、法规的规定，针对突发事件的性质、特点和可能造成的社会危害，具体规定突发事件应对工作的组织指挥体系与职责和突发事件的预防与预警机制、处置程序、应急保障措施以及事后恢复与重建措施等内容。</w:t>
      </w:r>
    </w:p>
    <w:p w14:paraId="0094A1CA">
      <w:pPr>
        <w:jc w:val="left"/>
        <w:rPr>
          <w:rFonts w:ascii="宋体" w:hAnsi="宋体"/>
          <w:kern w:val="44"/>
        </w:rPr>
      </w:pPr>
      <w:r>
        <w:rPr>
          <w:rFonts w:hint="eastAsia" w:ascii="宋体" w:hAnsi="宋体"/>
          <w:kern w:val="44"/>
        </w:rPr>
        <w:t>制定应急预案的行政机关和单位应当根据实际需要和情势变化，适时修订应急预案。</w:t>
      </w:r>
    </w:p>
    <w:p w14:paraId="51D5879A">
      <w:pPr>
        <w:jc w:val="left"/>
        <w:rPr>
          <w:rFonts w:ascii="宋体" w:hAnsi="宋体"/>
          <w:kern w:val="44"/>
        </w:rPr>
      </w:pPr>
      <w:r>
        <w:rPr>
          <w:rFonts w:hint="eastAsia" w:ascii="宋体" w:hAnsi="宋体"/>
          <w:kern w:val="44"/>
        </w:rPr>
        <w:t>市和区县人民政府及其部门、乡镇人民政府、街道办事处制定的应急预案应当按照有关规定及时向社会公布。</w:t>
      </w:r>
    </w:p>
    <w:p w14:paraId="5D1E3496">
      <w:pPr>
        <w:ind w:firstLine="422"/>
        <w:jc w:val="left"/>
        <w:rPr>
          <w:rFonts w:ascii="宋体" w:hAnsi="宋体"/>
          <w:kern w:val="44"/>
        </w:rPr>
      </w:pPr>
      <w:r>
        <w:rPr>
          <w:rFonts w:hint="eastAsia" w:ascii="宋体" w:hAnsi="宋体"/>
          <w:b/>
          <w:kern w:val="44"/>
        </w:rPr>
        <w:t>第十五条</w:t>
      </w:r>
      <w:r>
        <w:rPr>
          <w:rFonts w:hint="eastAsia" w:ascii="宋体" w:hAnsi="宋体"/>
          <w:kern w:val="44"/>
        </w:rPr>
        <w:t>　市突发事件应急委员会应当组织编制突发事件应急预案的制定规范，明确应急预案的体系构成、主要内容、制定和审批程序、管理责任与要求等。</w:t>
      </w:r>
    </w:p>
    <w:p w14:paraId="00F02F7D">
      <w:pPr>
        <w:jc w:val="left"/>
        <w:rPr>
          <w:rFonts w:ascii="宋体" w:hAnsi="宋体"/>
          <w:kern w:val="44"/>
        </w:rPr>
      </w:pPr>
      <w:r>
        <w:rPr>
          <w:rFonts w:hint="eastAsia" w:ascii="宋体" w:hAnsi="宋体"/>
          <w:kern w:val="44"/>
        </w:rPr>
        <w:t>制定应急预案执行国家规定的突发事件分级标准。国家尚未制定分级标准的，市人民政府可以先行制定，报国务院或者国务院确定的部门备案。</w:t>
      </w:r>
    </w:p>
    <w:p w14:paraId="187C4AA4">
      <w:pPr>
        <w:ind w:firstLine="422"/>
        <w:jc w:val="left"/>
        <w:rPr>
          <w:rFonts w:ascii="宋体" w:hAnsi="宋体"/>
          <w:kern w:val="44"/>
        </w:rPr>
      </w:pPr>
      <w:r>
        <w:rPr>
          <w:rFonts w:hint="eastAsia" w:ascii="宋体" w:hAnsi="宋体"/>
          <w:b/>
          <w:kern w:val="44"/>
        </w:rPr>
        <w:t>第十六条</w:t>
      </w:r>
      <w:r>
        <w:rPr>
          <w:rFonts w:hint="eastAsia" w:ascii="宋体" w:hAnsi="宋体"/>
          <w:kern w:val="44"/>
        </w:rPr>
        <w:t>　城乡规划应当符合应对突发事件的需要，统筹安排应对突发事件所必需的设备和基础设施建设，合理确定应急避难场所。已有的城乡规划不符合突发事件应对需要的，应当依照法定程序进行修改；已有的建筑物、构筑物和其他设施不符合突发事件应对需要的，市和区、县人民政府应当采取必要的防范措施，并制定改造计划，逐步组织实施。</w:t>
      </w:r>
    </w:p>
    <w:p w14:paraId="36281057">
      <w:pPr>
        <w:jc w:val="left"/>
        <w:rPr>
          <w:rFonts w:ascii="宋体" w:hAnsi="宋体"/>
          <w:kern w:val="44"/>
        </w:rPr>
      </w:pPr>
      <w:r>
        <w:rPr>
          <w:rFonts w:hint="eastAsia" w:ascii="宋体" w:hAnsi="宋体"/>
          <w:kern w:val="44"/>
        </w:rPr>
        <w:t>市和区、县人民政府确定的应急避难场所，应当设置明显标志，并按照有关规定向社会公布。</w:t>
      </w:r>
    </w:p>
    <w:p w14:paraId="65C48B09">
      <w:pPr>
        <w:jc w:val="left"/>
        <w:rPr>
          <w:rFonts w:ascii="宋体" w:hAnsi="宋体"/>
          <w:kern w:val="44"/>
        </w:rPr>
      </w:pPr>
      <w:r>
        <w:rPr>
          <w:rFonts w:hint="eastAsia" w:ascii="宋体" w:hAnsi="宋体"/>
          <w:kern w:val="44"/>
        </w:rPr>
        <w:t>应急避难场所的所有权人或者管理使用单位，应当加强对应急避难场所的维护和管理，保证其正常使用。</w:t>
      </w:r>
    </w:p>
    <w:p w14:paraId="32E198BC">
      <w:pPr>
        <w:ind w:firstLine="422"/>
        <w:jc w:val="left"/>
        <w:rPr>
          <w:rFonts w:ascii="宋体" w:hAnsi="宋体"/>
          <w:kern w:val="44"/>
        </w:rPr>
      </w:pPr>
      <w:r>
        <w:rPr>
          <w:rFonts w:hint="eastAsia" w:ascii="宋体" w:hAnsi="宋体"/>
          <w:b/>
          <w:kern w:val="44"/>
        </w:rPr>
        <w:t>第十七条</w:t>
      </w:r>
      <w:r>
        <w:rPr>
          <w:rFonts w:hint="eastAsia" w:ascii="宋体" w:hAnsi="宋体"/>
          <w:kern w:val="44"/>
        </w:rPr>
        <w:t>　本市建立突发事件风险管理体系，健全风险识别、评估、控制等风险管理制度和风险管理信息化系统，对可能发生的突发事件进行综合性评估，预防和减少突发事件的发生，最大限度地减轻突发事件的影响。</w:t>
      </w:r>
    </w:p>
    <w:p w14:paraId="327B0F36">
      <w:pPr>
        <w:ind w:firstLine="422"/>
        <w:jc w:val="left"/>
        <w:rPr>
          <w:rFonts w:ascii="宋体" w:hAnsi="宋体"/>
          <w:kern w:val="44"/>
        </w:rPr>
      </w:pPr>
      <w:r>
        <w:rPr>
          <w:rFonts w:hint="eastAsia" w:ascii="宋体" w:hAnsi="宋体"/>
          <w:b/>
          <w:kern w:val="44"/>
        </w:rPr>
        <w:t>第十八条</w:t>
      </w:r>
      <w:r>
        <w:rPr>
          <w:rFonts w:hint="eastAsia" w:ascii="宋体" w:hAnsi="宋体"/>
          <w:kern w:val="44"/>
        </w:rPr>
        <w:t>　市和区、县人民政府应当建立危险源、危险区域的管理制度，依法对本行政区域内容易引发突发事件的危险源、危险区域进行调查、登记、风险评估，定期检查、监控，责令有关单位采取安全防范措施。登记的危险源、危险区域应当按照有关规定向社会公布。</w:t>
      </w:r>
    </w:p>
    <w:p w14:paraId="7859406B">
      <w:pPr>
        <w:jc w:val="left"/>
        <w:rPr>
          <w:rFonts w:ascii="宋体" w:hAnsi="宋体"/>
          <w:kern w:val="44"/>
        </w:rPr>
      </w:pPr>
      <w:r>
        <w:rPr>
          <w:rFonts w:hint="eastAsia" w:ascii="宋体" w:hAnsi="宋体"/>
          <w:kern w:val="44"/>
        </w:rPr>
        <w:t>市和区、县人民政府应当建立危险源、危险区域的信息数据库，按照有关规定实行分类分级管理和动态监控，实时检查、更新和分析信息数据。</w:t>
      </w:r>
    </w:p>
    <w:p w14:paraId="59D19DC2">
      <w:pPr>
        <w:ind w:firstLine="422"/>
        <w:jc w:val="left"/>
        <w:rPr>
          <w:rFonts w:ascii="宋体" w:hAnsi="宋体"/>
          <w:kern w:val="44"/>
        </w:rPr>
      </w:pPr>
      <w:r>
        <w:rPr>
          <w:rFonts w:hint="eastAsia" w:ascii="宋体" w:hAnsi="宋体"/>
          <w:b/>
          <w:kern w:val="44"/>
        </w:rPr>
        <w:t>第十九条</w:t>
      </w:r>
      <w:r>
        <w:rPr>
          <w:rFonts w:hint="eastAsia" w:ascii="宋体" w:hAnsi="宋体"/>
          <w:kern w:val="44"/>
        </w:rPr>
        <w:t>　矿山、建筑施工单位和易燃易爆物品、危险化学品、放射性物品、病原微生物等危险物品的生产、经营、储运、使用、处置单位，应当制定具体应急预案，对生产经营场所、有危险物品的建筑物、构筑物及周边环境定期开展隐患排查和风险评估，及时采取措施消除隐患。</w:t>
      </w:r>
    </w:p>
    <w:p w14:paraId="2B17EC3A">
      <w:pPr>
        <w:jc w:val="left"/>
        <w:rPr>
          <w:rFonts w:ascii="宋体" w:hAnsi="宋体"/>
          <w:kern w:val="44"/>
        </w:rPr>
      </w:pPr>
      <w:r>
        <w:rPr>
          <w:rFonts w:hint="eastAsia" w:ascii="宋体" w:hAnsi="宋体"/>
          <w:kern w:val="44"/>
        </w:rPr>
        <w:t>供水、排水、供电、供煤、供油、供气、供热、交通、通信、有线电视网络等公共设施的经营、管理单位，应当制定具体应急预案，建立安全巡检制度，及时消除事故隐患，保障安全运营。</w:t>
      </w:r>
    </w:p>
    <w:p w14:paraId="70884C66">
      <w:pPr>
        <w:ind w:firstLine="422"/>
        <w:jc w:val="left"/>
        <w:rPr>
          <w:rFonts w:ascii="宋体" w:hAnsi="宋体"/>
          <w:kern w:val="44"/>
        </w:rPr>
      </w:pPr>
      <w:r>
        <w:rPr>
          <w:rFonts w:hint="eastAsia" w:ascii="宋体" w:hAnsi="宋体"/>
          <w:b/>
          <w:kern w:val="44"/>
        </w:rPr>
        <w:t>第二十条</w:t>
      </w:r>
      <w:r>
        <w:rPr>
          <w:rFonts w:hint="eastAsia" w:ascii="宋体" w:hAnsi="宋体"/>
          <w:kern w:val="44"/>
        </w:rPr>
        <w:t>　车站、机场、体育场（馆）、影剧院、歌舞厅、医院、商（市）场、宾馆、饭店、旅游区（点）、互联网上网服务营业场所等公共场所和其他人员密集场所的经营、管理单位，应当遵守下列安全管理规定：</w:t>
      </w:r>
    </w:p>
    <w:p w14:paraId="76DC7EE2">
      <w:pPr>
        <w:jc w:val="left"/>
        <w:rPr>
          <w:rFonts w:ascii="宋体" w:hAnsi="宋体"/>
          <w:kern w:val="44"/>
        </w:rPr>
      </w:pPr>
      <w:r>
        <w:rPr>
          <w:rFonts w:hint="eastAsia" w:ascii="宋体" w:hAnsi="宋体"/>
          <w:kern w:val="44"/>
        </w:rPr>
        <w:t>（一）制定有效的安全管理措施和突发事件应急救援预案，配备应急救援人员；</w:t>
      </w:r>
    </w:p>
    <w:p w14:paraId="4BC2D5DE">
      <w:pPr>
        <w:jc w:val="left"/>
        <w:rPr>
          <w:rFonts w:ascii="宋体" w:hAnsi="宋体"/>
          <w:kern w:val="44"/>
        </w:rPr>
      </w:pPr>
      <w:r>
        <w:rPr>
          <w:rFonts w:hint="eastAsia" w:ascii="宋体" w:hAnsi="宋体"/>
          <w:kern w:val="44"/>
        </w:rPr>
        <w:t>（二）设置符合要求并且标志明显的安全出口和疏散通道，配备应急广播、应急照明设施、消防设备和器材；</w:t>
      </w:r>
    </w:p>
    <w:p w14:paraId="4964FA23">
      <w:pPr>
        <w:jc w:val="left"/>
        <w:rPr>
          <w:rFonts w:ascii="宋体" w:hAnsi="宋体"/>
          <w:kern w:val="44"/>
        </w:rPr>
      </w:pPr>
      <w:r>
        <w:rPr>
          <w:rFonts w:hint="eastAsia" w:ascii="宋体" w:hAnsi="宋体"/>
          <w:kern w:val="44"/>
        </w:rPr>
        <w:t>（三）有关人员掌握应急救援预案的内容，熟练使用应急广播、消防设备和器材，了解安全出口和疏散通道的位置以及本岗位的应急救援职责；</w:t>
      </w:r>
    </w:p>
    <w:p w14:paraId="615C4C40">
      <w:pPr>
        <w:jc w:val="left"/>
        <w:rPr>
          <w:rFonts w:ascii="宋体" w:hAnsi="宋体"/>
          <w:kern w:val="44"/>
        </w:rPr>
      </w:pPr>
      <w:r>
        <w:rPr>
          <w:rFonts w:hint="eastAsia" w:ascii="宋体" w:hAnsi="宋体"/>
          <w:kern w:val="44"/>
        </w:rPr>
        <w:t>（四）根据需要设置相应的安全技术防范设施，建立安全检查制度；</w:t>
      </w:r>
    </w:p>
    <w:p w14:paraId="2148AC43">
      <w:pPr>
        <w:jc w:val="left"/>
        <w:rPr>
          <w:rFonts w:ascii="宋体" w:hAnsi="宋体"/>
          <w:kern w:val="44"/>
        </w:rPr>
      </w:pPr>
      <w:r>
        <w:rPr>
          <w:rFonts w:hint="eastAsia" w:ascii="宋体" w:hAnsi="宋体"/>
          <w:kern w:val="44"/>
        </w:rPr>
        <w:t>（五）对本单位可能发生的突发事件和采取安全措施的情况，及时向所在地人民政府或者人民政府有关部门报告。</w:t>
      </w:r>
    </w:p>
    <w:p w14:paraId="15AA1238">
      <w:pPr>
        <w:ind w:firstLine="422"/>
        <w:jc w:val="left"/>
        <w:rPr>
          <w:rFonts w:ascii="宋体" w:hAnsi="宋体"/>
          <w:kern w:val="44"/>
        </w:rPr>
      </w:pPr>
      <w:r>
        <w:rPr>
          <w:rFonts w:hint="eastAsia" w:ascii="宋体" w:hAnsi="宋体"/>
          <w:b/>
          <w:kern w:val="44"/>
        </w:rPr>
        <w:t>第二十一条</w:t>
      </w:r>
      <w:r>
        <w:rPr>
          <w:rFonts w:hint="eastAsia" w:ascii="宋体" w:hAnsi="宋体"/>
          <w:kern w:val="44"/>
        </w:rPr>
        <w:t>　公共交通工具的经营、管理单位应当制定具体应急预案，为公共交通工具配备报警装置和应急照明设备、消防器材、应急避险工具等应急救援设备，注明其使用方法，并确保正常使用。</w:t>
      </w:r>
    </w:p>
    <w:p w14:paraId="6F10B94F">
      <w:pPr>
        <w:jc w:val="left"/>
        <w:rPr>
          <w:rFonts w:ascii="宋体" w:hAnsi="宋体"/>
          <w:kern w:val="44"/>
        </w:rPr>
      </w:pPr>
      <w:r>
        <w:rPr>
          <w:rFonts w:hint="eastAsia" w:ascii="宋体" w:hAnsi="宋体"/>
          <w:kern w:val="44"/>
        </w:rPr>
        <w:t>城市轨道交通的运营单位应当组织制定安全运营规章制度和操作规程，定期对供电、通信、监控等安全保障系统进行检测、维修、更新和改造；设置导向、疏散、提示、警告、限制、禁止等各类安全标志；乘客流量达到控制标准时，及时进行疏导，并采取分时进入或者限制进入等措施。</w:t>
      </w:r>
    </w:p>
    <w:p w14:paraId="7D9467B8">
      <w:pPr>
        <w:ind w:firstLine="422"/>
        <w:jc w:val="left"/>
        <w:rPr>
          <w:rFonts w:ascii="宋体" w:hAnsi="宋体"/>
          <w:kern w:val="44"/>
        </w:rPr>
      </w:pPr>
      <w:r>
        <w:rPr>
          <w:rFonts w:hint="eastAsia" w:ascii="宋体" w:hAnsi="宋体"/>
          <w:b/>
          <w:kern w:val="44"/>
        </w:rPr>
        <w:t>第二十二条</w:t>
      </w:r>
      <w:r>
        <w:rPr>
          <w:rFonts w:hint="eastAsia" w:ascii="宋体" w:hAnsi="宋体"/>
          <w:kern w:val="44"/>
        </w:rPr>
        <w:t>　本市建立矛盾纠纷排查调处制度，对排查出的可能引发社会安全事件的矛盾纠纷，所在地人民政府和有关部门应当采取措施及时予以化解。</w:t>
      </w:r>
    </w:p>
    <w:p w14:paraId="768EEC89">
      <w:pPr>
        <w:ind w:firstLine="422"/>
        <w:jc w:val="left"/>
        <w:rPr>
          <w:rFonts w:ascii="宋体" w:hAnsi="宋体"/>
          <w:kern w:val="44"/>
        </w:rPr>
      </w:pPr>
      <w:r>
        <w:rPr>
          <w:rFonts w:hint="eastAsia" w:ascii="宋体" w:hAnsi="宋体"/>
          <w:b/>
          <w:kern w:val="44"/>
        </w:rPr>
        <w:t>第二十三条</w:t>
      </w:r>
      <w:r>
        <w:rPr>
          <w:rFonts w:hint="eastAsia" w:ascii="宋体" w:hAnsi="宋体"/>
          <w:kern w:val="44"/>
        </w:rPr>
        <w:t>　市和区、县人民政府应当建立公共安全形势分析会议制度，定期研判突发事件应对的总体形势，部署相关工作。</w:t>
      </w:r>
    </w:p>
    <w:p w14:paraId="5A403C6E">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市和区、县人民政府应当建立突发事件应对专业人才库，根据实际需要聘请有关专家组成专家组，为突发事件应对工作提供决策和处置建议。</w:t>
      </w:r>
    </w:p>
    <w:p w14:paraId="100AE7BC">
      <w:pPr>
        <w:ind w:firstLine="422"/>
        <w:jc w:val="left"/>
        <w:rPr>
          <w:rFonts w:ascii="宋体" w:hAnsi="宋体"/>
          <w:kern w:val="44"/>
        </w:rPr>
      </w:pPr>
      <w:r>
        <w:rPr>
          <w:rFonts w:hint="eastAsia" w:ascii="宋体" w:hAnsi="宋体"/>
          <w:b/>
          <w:kern w:val="44"/>
        </w:rPr>
        <w:t>第二十五条</w:t>
      </w:r>
      <w:r>
        <w:rPr>
          <w:rFonts w:hint="eastAsia" w:ascii="宋体" w:hAnsi="宋体"/>
          <w:kern w:val="44"/>
        </w:rPr>
        <w:t>　本市国家机关应当建立应急管理培训制度，针对不同对象确定教育内容、考核标准，增强国家机关工作人员的安全意识，提高其应对突发事件的决策和处置能力。</w:t>
      </w:r>
    </w:p>
    <w:p w14:paraId="1E709F43">
      <w:pPr>
        <w:ind w:firstLine="422"/>
        <w:jc w:val="left"/>
        <w:rPr>
          <w:rFonts w:ascii="宋体" w:hAnsi="宋体"/>
          <w:kern w:val="44"/>
        </w:rPr>
      </w:pPr>
      <w:r>
        <w:rPr>
          <w:rFonts w:hint="eastAsia" w:ascii="宋体" w:hAnsi="宋体"/>
          <w:b/>
          <w:kern w:val="44"/>
        </w:rPr>
        <w:t>第二十六条</w:t>
      </w:r>
      <w:r>
        <w:rPr>
          <w:rFonts w:hint="eastAsia" w:ascii="宋体" w:hAnsi="宋体"/>
          <w:kern w:val="44"/>
        </w:rPr>
        <w:t>　市和区县人民政府及其部门、乡镇人民政府、街道办事处应当通过多种形式，广泛开展突发事件应对法律、法规和应急知识的宣传教育。</w:t>
      </w:r>
    </w:p>
    <w:p w14:paraId="5B441546">
      <w:pPr>
        <w:jc w:val="left"/>
        <w:rPr>
          <w:rFonts w:ascii="宋体" w:hAnsi="宋体"/>
          <w:kern w:val="44"/>
        </w:rPr>
      </w:pPr>
      <w:r>
        <w:rPr>
          <w:rFonts w:hint="eastAsia" w:ascii="宋体" w:hAnsi="宋体"/>
          <w:kern w:val="44"/>
        </w:rPr>
        <w:t>工会、共产主义青年团、妇女联合会以及其他社会团体，应当结合工作特点，协助人民政府开展突发事件应对法律、法规和应急知识的宣传教育。</w:t>
      </w:r>
    </w:p>
    <w:p w14:paraId="2F0BD6EB">
      <w:pPr>
        <w:jc w:val="left"/>
        <w:rPr>
          <w:rFonts w:ascii="宋体" w:hAnsi="宋体"/>
          <w:kern w:val="44"/>
        </w:rPr>
      </w:pPr>
      <w:r>
        <w:rPr>
          <w:rFonts w:hint="eastAsia" w:ascii="宋体" w:hAnsi="宋体"/>
          <w:kern w:val="44"/>
        </w:rPr>
        <w:t>新闻媒体应当无偿开展突发事件应对工作和应急知识的公益宣传。</w:t>
      </w:r>
    </w:p>
    <w:p w14:paraId="32EE079F">
      <w:pPr>
        <w:ind w:firstLine="422"/>
        <w:jc w:val="left"/>
        <w:rPr>
          <w:rFonts w:ascii="宋体" w:hAnsi="宋体"/>
          <w:kern w:val="44"/>
        </w:rPr>
      </w:pPr>
      <w:r>
        <w:rPr>
          <w:rFonts w:hint="eastAsia" w:ascii="宋体" w:hAnsi="宋体"/>
          <w:b/>
          <w:kern w:val="44"/>
        </w:rPr>
        <w:t>第二十七条</w:t>
      </w:r>
      <w:r>
        <w:rPr>
          <w:rFonts w:hint="eastAsia" w:ascii="宋体" w:hAnsi="宋体"/>
          <w:kern w:val="44"/>
        </w:rPr>
        <w:t>　本市各级各类学校应当将应急知识教育纳入教学内容，根据学生的年龄和认知能力，采取多种形式开展应急知识教育，培养学生的安全意识和自救与互救能力。</w:t>
      </w:r>
    </w:p>
    <w:p w14:paraId="6D0FD8EF">
      <w:pPr>
        <w:jc w:val="left"/>
        <w:rPr>
          <w:rFonts w:ascii="宋体" w:hAnsi="宋体"/>
          <w:kern w:val="44"/>
        </w:rPr>
      </w:pPr>
      <w:r>
        <w:rPr>
          <w:rFonts w:hint="eastAsia" w:ascii="宋体" w:hAnsi="宋体"/>
          <w:kern w:val="44"/>
        </w:rPr>
        <w:t>教育主管部门应当对学校开展应急知识教育进行指导、监督。</w:t>
      </w:r>
    </w:p>
    <w:p w14:paraId="13D6C5B7">
      <w:pPr>
        <w:ind w:firstLine="422"/>
        <w:jc w:val="left"/>
        <w:rPr>
          <w:rFonts w:ascii="宋体" w:hAnsi="宋体"/>
          <w:kern w:val="44"/>
        </w:rPr>
      </w:pPr>
      <w:r>
        <w:rPr>
          <w:rFonts w:hint="eastAsia" w:ascii="宋体" w:hAnsi="宋体"/>
          <w:b/>
          <w:kern w:val="44"/>
        </w:rPr>
        <w:t>第二十八条</w:t>
      </w:r>
      <w:r>
        <w:rPr>
          <w:rFonts w:hint="eastAsia" w:ascii="宋体" w:hAnsi="宋体"/>
          <w:kern w:val="44"/>
        </w:rPr>
        <w:t>　企业、事业单位应当根据本市有关规定，制定突发事件应对的教育培训计划，对本单位职工进行突发事件应对法律、法规和安全管理制度、安全操作规程以及应急知识等方面的教育培训，提高职工安全防范的意识和能力。</w:t>
      </w:r>
    </w:p>
    <w:p w14:paraId="13BB92AF">
      <w:pPr>
        <w:ind w:firstLine="422"/>
        <w:jc w:val="left"/>
        <w:rPr>
          <w:rFonts w:ascii="宋体" w:hAnsi="宋体"/>
          <w:kern w:val="44"/>
        </w:rPr>
      </w:pPr>
      <w:r>
        <w:rPr>
          <w:rFonts w:hint="eastAsia" w:ascii="宋体" w:hAnsi="宋体"/>
          <w:b/>
          <w:kern w:val="44"/>
        </w:rPr>
        <w:t>第二十九条</w:t>
      </w:r>
      <w:r>
        <w:rPr>
          <w:rFonts w:hint="eastAsia" w:ascii="宋体" w:hAnsi="宋体"/>
          <w:kern w:val="44"/>
        </w:rPr>
        <w:t>　本市统筹规划建设防灾减灾教育基地，开展公共安全与应急管理知识的宣传教育。政府投资建设的防灾减灾教育基地应当免费向公众开放。</w:t>
      </w:r>
    </w:p>
    <w:p w14:paraId="140BFF7E">
      <w:pPr>
        <w:ind w:firstLine="422"/>
        <w:jc w:val="left"/>
        <w:rPr>
          <w:rFonts w:ascii="宋体" w:hAnsi="宋体"/>
          <w:kern w:val="44"/>
        </w:rPr>
      </w:pPr>
      <w:r>
        <w:rPr>
          <w:rFonts w:hint="eastAsia" w:ascii="宋体" w:hAnsi="宋体"/>
          <w:b/>
          <w:kern w:val="44"/>
        </w:rPr>
        <w:t>第三十条</w:t>
      </w:r>
      <w:r>
        <w:rPr>
          <w:rFonts w:hint="eastAsia" w:ascii="宋体" w:hAnsi="宋体"/>
          <w:kern w:val="44"/>
        </w:rPr>
        <w:t>　市人民政府依托市公安消防专业队伍，建立综合应急救援队伍。市人民政府有关部门和区、县人民政府应当根据实际需要建立专业应急救援队伍；依托社会力量建立专业应急救援队伍的，应当签订协议，明确双方的权利和义务。</w:t>
      </w:r>
    </w:p>
    <w:p w14:paraId="2C0528A3">
      <w:pPr>
        <w:jc w:val="left"/>
        <w:rPr>
          <w:rFonts w:ascii="宋体" w:hAnsi="宋体"/>
          <w:kern w:val="44"/>
        </w:rPr>
      </w:pPr>
      <w:r>
        <w:rPr>
          <w:rFonts w:hint="eastAsia" w:ascii="宋体" w:hAnsi="宋体"/>
          <w:kern w:val="44"/>
        </w:rPr>
        <w:t>市和区县人民政府有关部门、乡镇人民政府、街道办事处可以组织建立由成年志愿者组成的应急救援队伍。</w:t>
      </w:r>
    </w:p>
    <w:p w14:paraId="75114D50">
      <w:pPr>
        <w:jc w:val="left"/>
        <w:rPr>
          <w:rFonts w:ascii="宋体" w:hAnsi="宋体"/>
          <w:kern w:val="44"/>
        </w:rPr>
      </w:pPr>
      <w:r>
        <w:rPr>
          <w:rFonts w:hint="eastAsia" w:ascii="宋体" w:hAnsi="宋体"/>
          <w:kern w:val="44"/>
        </w:rPr>
        <w:t>机关、团体和企业、事业单位应当建立由本单位职工组成的专职或者兼职应急救援队伍。</w:t>
      </w:r>
    </w:p>
    <w:p w14:paraId="28EDF13C">
      <w:pPr>
        <w:jc w:val="left"/>
        <w:rPr>
          <w:rFonts w:ascii="宋体" w:hAnsi="宋体"/>
          <w:kern w:val="44"/>
        </w:rPr>
      </w:pPr>
      <w:r>
        <w:rPr>
          <w:rFonts w:hint="eastAsia" w:ascii="宋体" w:hAnsi="宋体"/>
          <w:kern w:val="44"/>
        </w:rPr>
        <w:t>建立应急救援队伍的行政机关和单位应当加强对应急救援队伍专业技能的培训，提高抢险救援和安全防护能力。</w:t>
      </w:r>
    </w:p>
    <w:p w14:paraId="267ACF0D">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市和区县突发事件应急委员会、市专项应急指挥部应当采取多种形式，组织跨地区、跨行业的综合应急演练，提高协调配合和现场处置能力。</w:t>
      </w:r>
    </w:p>
    <w:p w14:paraId="04CAB4C9">
      <w:pPr>
        <w:jc w:val="left"/>
        <w:rPr>
          <w:rFonts w:ascii="宋体" w:hAnsi="宋体"/>
          <w:kern w:val="44"/>
        </w:rPr>
      </w:pPr>
      <w:r>
        <w:rPr>
          <w:rFonts w:hint="eastAsia" w:ascii="宋体" w:hAnsi="宋体"/>
          <w:kern w:val="44"/>
        </w:rPr>
        <w:t>市和区县人民政府有关部门、乡镇人民政府、街道办事处应当按照有关规定组织开展应急演练。</w:t>
      </w:r>
    </w:p>
    <w:p w14:paraId="67734C64">
      <w:pPr>
        <w:jc w:val="left"/>
        <w:rPr>
          <w:rFonts w:ascii="宋体" w:hAnsi="宋体"/>
          <w:kern w:val="44"/>
        </w:rPr>
      </w:pPr>
      <w:r>
        <w:rPr>
          <w:rFonts w:hint="eastAsia" w:ascii="宋体" w:hAnsi="宋体"/>
          <w:kern w:val="44"/>
        </w:rPr>
        <w:t>机关、团体和企业、事业单位应当根据实际情况，每年开展不同形式和规模的应急演练。</w:t>
      </w:r>
    </w:p>
    <w:p w14:paraId="585DE44D">
      <w:pPr>
        <w:ind w:firstLine="422"/>
        <w:jc w:val="left"/>
        <w:rPr>
          <w:rFonts w:ascii="宋体" w:hAnsi="宋体"/>
          <w:kern w:val="44"/>
        </w:rPr>
      </w:pPr>
      <w:r>
        <w:rPr>
          <w:rFonts w:hint="eastAsia" w:ascii="宋体" w:hAnsi="宋体"/>
          <w:b/>
          <w:kern w:val="44"/>
        </w:rPr>
        <w:t>第三十二条</w:t>
      </w:r>
      <w:r>
        <w:rPr>
          <w:rFonts w:hint="eastAsia" w:ascii="宋体" w:hAnsi="宋体"/>
          <w:kern w:val="44"/>
        </w:rPr>
        <w:t>　市和区、县人民政府应当设置应对突发事件专项准备资金，保障突发事件应对工作所需经费。应对突发事件专项准备资金的使用办法由市和区、县人民政府制定。</w:t>
      </w:r>
    </w:p>
    <w:p w14:paraId="7505853D">
      <w:pPr>
        <w:jc w:val="left"/>
        <w:rPr>
          <w:rFonts w:ascii="宋体" w:hAnsi="宋体"/>
          <w:kern w:val="44"/>
        </w:rPr>
      </w:pPr>
      <w:r>
        <w:rPr>
          <w:rFonts w:hint="eastAsia" w:ascii="宋体" w:hAnsi="宋体"/>
          <w:kern w:val="44"/>
        </w:rPr>
        <w:t>市和区、县人民政府有关部门所需的突发事件预防与应急准备、监测与预警等工作经费列入部门预算，同级财政部门应当予以保障。</w:t>
      </w:r>
    </w:p>
    <w:p w14:paraId="5F2DF663">
      <w:pPr>
        <w:jc w:val="left"/>
        <w:rPr>
          <w:rFonts w:ascii="宋体" w:hAnsi="宋体"/>
          <w:kern w:val="44"/>
        </w:rPr>
      </w:pPr>
      <w:r>
        <w:rPr>
          <w:rFonts w:hint="eastAsia" w:ascii="宋体" w:hAnsi="宋体"/>
          <w:kern w:val="44"/>
        </w:rPr>
        <w:t>突发事件应对工作经费应当专款专用，审计、财政、监察部门应当加强对突发事件应对工作经费使用的监督。</w:t>
      </w:r>
    </w:p>
    <w:p w14:paraId="4D686B47">
      <w:pPr>
        <w:ind w:firstLine="422"/>
        <w:jc w:val="left"/>
        <w:rPr>
          <w:rFonts w:ascii="宋体" w:hAnsi="宋体"/>
          <w:kern w:val="44"/>
        </w:rPr>
      </w:pPr>
      <w:r>
        <w:rPr>
          <w:rFonts w:hint="eastAsia" w:ascii="宋体" w:hAnsi="宋体"/>
          <w:b/>
          <w:kern w:val="44"/>
        </w:rPr>
        <w:t>第三十三条</w:t>
      </w:r>
      <w:r>
        <w:rPr>
          <w:rFonts w:hint="eastAsia" w:ascii="宋体" w:hAnsi="宋体"/>
          <w:kern w:val="44"/>
        </w:rPr>
        <w:t>　本市建立统一的应急救援物资、应急处置装备和生活必需品等应急物资的储备保障制度。</w:t>
      </w:r>
    </w:p>
    <w:p w14:paraId="73021622">
      <w:pPr>
        <w:jc w:val="left"/>
        <w:rPr>
          <w:rFonts w:ascii="宋体" w:hAnsi="宋体"/>
          <w:kern w:val="44"/>
        </w:rPr>
      </w:pPr>
      <w:r>
        <w:rPr>
          <w:rFonts w:hint="eastAsia" w:ascii="宋体" w:hAnsi="宋体"/>
          <w:kern w:val="44"/>
        </w:rPr>
        <w:t>市发展改革、市商务行政部门应当定期组织征集应急物资储备需求，会同有关部门统筹规划建设应急物资储备库，完善重要应急物资的监管、生产、储备、调拨和紧急配送体系，并根据应对突发事件的需要，采取生产能力储备等方式，与有关企业签订合同，保障应急处置与救援所需物资的生产、供给。</w:t>
      </w:r>
    </w:p>
    <w:p w14:paraId="349FFBD2">
      <w:pPr>
        <w:jc w:val="left"/>
        <w:rPr>
          <w:rFonts w:ascii="宋体" w:hAnsi="宋体"/>
          <w:kern w:val="44"/>
        </w:rPr>
      </w:pPr>
      <w:r>
        <w:rPr>
          <w:rFonts w:hint="eastAsia" w:ascii="宋体" w:hAnsi="宋体"/>
          <w:kern w:val="44"/>
        </w:rPr>
        <w:t>市人民政府应当建立与其他省、自治区、直辖市的应急物资调剂供应渠道。</w:t>
      </w:r>
    </w:p>
    <w:p w14:paraId="38218AFF">
      <w:pPr>
        <w:ind w:firstLine="422"/>
        <w:jc w:val="left"/>
        <w:rPr>
          <w:rFonts w:ascii="宋体" w:hAnsi="宋体"/>
          <w:kern w:val="44"/>
        </w:rPr>
      </w:pPr>
      <w:r>
        <w:rPr>
          <w:rFonts w:hint="eastAsia" w:ascii="宋体" w:hAnsi="宋体"/>
          <w:b/>
          <w:kern w:val="44"/>
        </w:rPr>
        <w:t>第三十四条</w:t>
      </w:r>
      <w:r>
        <w:rPr>
          <w:rFonts w:hint="eastAsia" w:ascii="宋体" w:hAnsi="宋体"/>
          <w:kern w:val="44"/>
        </w:rPr>
        <w:t>　本市制定应急管理技术系统建设规范，统一规划建设应急管理信息化工程，保证应急管理技术系统的互联互通、资源共享。</w:t>
      </w:r>
    </w:p>
    <w:p w14:paraId="016CA528">
      <w:pPr>
        <w:jc w:val="left"/>
        <w:rPr>
          <w:rFonts w:ascii="宋体" w:hAnsi="宋体"/>
          <w:kern w:val="44"/>
        </w:rPr>
      </w:pPr>
      <w:r>
        <w:rPr>
          <w:rFonts w:hint="eastAsia" w:ascii="宋体" w:hAnsi="宋体"/>
          <w:kern w:val="44"/>
        </w:rPr>
        <w:t>应急管理信息化工程的建设单位，应当将工程项目的需求效益、规划布局、技术标准、网络与信息安全、信息资源共享以及其他相关内容，报市突发事件应急委员会常设办事机构、市信息化行政部门审查。</w:t>
      </w:r>
    </w:p>
    <w:p w14:paraId="11893790">
      <w:pPr>
        <w:jc w:val="left"/>
        <w:rPr>
          <w:rFonts w:ascii="宋体" w:hAnsi="宋体"/>
          <w:kern w:val="44"/>
        </w:rPr>
      </w:pPr>
    </w:p>
    <w:p w14:paraId="70352817">
      <w:pPr>
        <w:ind w:firstLine="0" w:firstLineChars="0"/>
        <w:jc w:val="center"/>
        <w:rPr>
          <w:rFonts w:ascii="宋体" w:hAnsi="宋体"/>
          <w:b/>
          <w:kern w:val="44"/>
          <w:sz w:val="28"/>
        </w:rPr>
      </w:pPr>
      <w:r>
        <w:rPr>
          <w:rFonts w:hint="eastAsia" w:ascii="宋体" w:hAnsi="宋体"/>
          <w:b/>
          <w:kern w:val="44"/>
          <w:sz w:val="28"/>
        </w:rPr>
        <w:t>第三章  监测与预警</w:t>
      </w:r>
    </w:p>
    <w:p w14:paraId="46894310">
      <w:pPr>
        <w:jc w:val="left"/>
        <w:rPr>
          <w:rFonts w:ascii="宋体" w:hAnsi="宋体"/>
          <w:kern w:val="44"/>
        </w:rPr>
      </w:pPr>
    </w:p>
    <w:p w14:paraId="79414979">
      <w:pPr>
        <w:ind w:firstLine="422"/>
        <w:jc w:val="left"/>
        <w:rPr>
          <w:rFonts w:ascii="宋体" w:hAnsi="宋体"/>
          <w:kern w:val="44"/>
        </w:rPr>
      </w:pPr>
      <w:r>
        <w:rPr>
          <w:rFonts w:hint="eastAsia" w:ascii="宋体" w:hAnsi="宋体"/>
          <w:b/>
          <w:kern w:val="44"/>
        </w:rPr>
        <w:t>第三十五条</w:t>
      </w:r>
      <w:r>
        <w:rPr>
          <w:rFonts w:hint="eastAsia" w:ascii="宋体" w:hAnsi="宋体"/>
          <w:kern w:val="44"/>
        </w:rPr>
        <w:t>　市人民政府应当建立统一的突发事件信息系统，汇集、储存、分析、传输有关突发事件的信息，并逐步实现与国务院及其部门突发事件信息系统的互联互通。</w:t>
      </w:r>
    </w:p>
    <w:p w14:paraId="297DFB88">
      <w:pPr>
        <w:ind w:firstLine="422"/>
        <w:jc w:val="left"/>
        <w:rPr>
          <w:rFonts w:ascii="宋体" w:hAnsi="宋体"/>
          <w:kern w:val="44"/>
        </w:rPr>
      </w:pPr>
      <w:r>
        <w:rPr>
          <w:rFonts w:hint="eastAsia" w:ascii="宋体" w:hAnsi="宋体"/>
          <w:b/>
          <w:kern w:val="44"/>
        </w:rPr>
        <w:t>第三十六条</w:t>
      </w:r>
      <w:r>
        <w:rPr>
          <w:rFonts w:hint="eastAsia" w:ascii="宋体" w:hAnsi="宋体"/>
          <w:kern w:val="44"/>
        </w:rPr>
        <w:t>　本市建立由各级人民政府、有关主管部门以及专业机构、监测网点、居民委员会和村民委员会等构成的信息收集与报送网络，通过多种途径收集突发事件信息。</w:t>
      </w:r>
    </w:p>
    <w:p w14:paraId="3171CD3F">
      <w:pPr>
        <w:jc w:val="left"/>
        <w:rPr>
          <w:rFonts w:ascii="宋体" w:hAnsi="宋体"/>
          <w:kern w:val="44"/>
        </w:rPr>
      </w:pPr>
      <w:r>
        <w:rPr>
          <w:rFonts w:hint="eastAsia" w:ascii="宋体" w:hAnsi="宋体"/>
          <w:kern w:val="44"/>
        </w:rPr>
        <w:t>区、县人民政府及其有关部门应当在居民委员会、村民委员会和有关单位建立专职或者兼职信息报告员制度。</w:t>
      </w:r>
    </w:p>
    <w:p w14:paraId="6B4265EF">
      <w:pPr>
        <w:jc w:val="left"/>
        <w:rPr>
          <w:rFonts w:ascii="宋体" w:hAnsi="宋体"/>
          <w:kern w:val="44"/>
        </w:rPr>
      </w:pPr>
      <w:r>
        <w:rPr>
          <w:rFonts w:hint="eastAsia" w:ascii="宋体" w:hAnsi="宋体"/>
          <w:kern w:val="44"/>
        </w:rPr>
        <w:t>本市设立并公布全市统一的紧急救助电话号码，方便公众报告突发事件信息。</w:t>
      </w:r>
    </w:p>
    <w:p w14:paraId="162310C1">
      <w:pPr>
        <w:jc w:val="left"/>
        <w:rPr>
          <w:rFonts w:ascii="宋体" w:hAnsi="宋体"/>
          <w:kern w:val="44"/>
        </w:rPr>
      </w:pPr>
      <w:r>
        <w:rPr>
          <w:rFonts w:hint="eastAsia" w:ascii="宋体" w:hAnsi="宋体"/>
          <w:kern w:val="44"/>
        </w:rPr>
        <w:t>获悉突发事件信息的公民、法人或者其他组织，应当立即向所在地人民政府、有关主管部门或者其指定的专业机构报告。</w:t>
      </w:r>
    </w:p>
    <w:p w14:paraId="7826C762">
      <w:pPr>
        <w:ind w:firstLine="422"/>
        <w:jc w:val="left"/>
        <w:rPr>
          <w:rFonts w:ascii="宋体" w:hAnsi="宋体"/>
          <w:kern w:val="44"/>
        </w:rPr>
      </w:pPr>
      <w:r>
        <w:rPr>
          <w:rFonts w:hint="eastAsia" w:ascii="宋体" w:hAnsi="宋体"/>
          <w:b/>
          <w:kern w:val="44"/>
        </w:rPr>
        <w:t>第三十七条</w:t>
      </w:r>
      <w:r>
        <w:rPr>
          <w:rFonts w:hint="eastAsia" w:ascii="宋体" w:hAnsi="宋体"/>
          <w:kern w:val="44"/>
        </w:rPr>
        <w:t>　获悉发生或者可能发生突发事件信息的行政机关，应当按照下列规定报送信息，必要时可以越级上报：</w:t>
      </w:r>
    </w:p>
    <w:p w14:paraId="5B10890E">
      <w:pPr>
        <w:jc w:val="left"/>
        <w:rPr>
          <w:rFonts w:ascii="宋体" w:hAnsi="宋体"/>
          <w:kern w:val="44"/>
        </w:rPr>
      </w:pPr>
      <w:r>
        <w:rPr>
          <w:rFonts w:hint="eastAsia" w:ascii="宋体" w:hAnsi="宋体"/>
          <w:kern w:val="44"/>
        </w:rPr>
        <w:t>（一）乡镇人民政府、街道办事处向区、县人民政府报告；</w:t>
      </w:r>
    </w:p>
    <w:p w14:paraId="116D3DBE">
      <w:pPr>
        <w:jc w:val="left"/>
        <w:rPr>
          <w:rFonts w:ascii="宋体" w:hAnsi="宋体"/>
          <w:kern w:val="44"/>
        </w:rPr>
      </w:pPr>
      <w:r>
        <w:rPr>
          <w:rFonts w:hint="eastAsia" w:ascii="宋体" w:hAnsi="宋体"/>
          <w:kern w:val="44"/>
        </w:rPr>
        <w:t>（二）区、县人民政府有关部门向本级人民政府、市人民政府有关主管部门报告，同时向本级人民政府有关部门和发生地乡镇人民政府、街道办事处通报；</w:t>
      </w:r>
    </w:p>
    <w:p w14:paraId="48B8433A">
      <w:pPr>
        <w:jc w:val="left"/>
        <w:rPr>
          <w:rFonts w:ascii="宋体" w:hAnsi="宋体"/>
          <w:kern w:val="44"/>
        </w:rPr>
      </w:pPr>
      <w:r>
        <w:rPr>
          <w:rFonts w:hint="eastAsia" w:ascii="宋体" w:hAnsi="宋体"/>
          <w:kern w:val="44"/>
        </w:rPr>
        <w:t>（三）区、县人民政府向市人民政府报告，同时向市人民政府有关主管部门通报；</w:t>
      </w:r>
    </w:p>
    <w:p w14:paraId="752EA555">
      <w:pPr>
        <w:jc w:val="left"/>
        <w:rPr>
          <w:rFonts w:ascii="宋体" w:hAnsi="宋体"/>
          <w:kern w:val="44"/>
        </w:rPr>
      </w:pPr>
      <w:r>
        <w:rPr>
          <w:rFonts w:hint="eastAsia" w:ascii="宋体" w:hAnsi="宋体"/>
          <w:kern w:val="44"/>
        </w:rPr>
        <w:t>（四）市人民政府有关部门向市人民政府报告，并按照规定向国务院有关主管部门报告，同时向发生地区、县人民政府和本级人民政府有关部门通报；</w:t>
      </w:r>
    </w:p>
    <w:p w14:paraId="4C66E8D2">
      <w:pPr>
        <w:jc w:val="left"/>
        <w:rPr>
          <w:rFonts w:ascii="宋体" w:hAnsi="宋体"/>
          <w:kern w:val="44"/>
        </w:rPr>
      </w:pPr>
      <w:r>
        <w:rPr>
          <w:rFonts w:hint="eastAsia" w:ascii="宋体" w:hAnsi="宋体"/>
          <w:kern w:val="44"/>
        </w:rPr>
        <w:t>（五）市人民政府获悉重大、特别重大突发事件信息，向国务院报告，必要时通报相关地区人民政府。</w:t>
      </w:r>
    </w:p>
    <w:p w14:paraId="1447C9A7">
      <w:pPr>
        <w:ind w:firstLine="422"/>
        <w:jc w:val="left"/>
        <w:rPr>
          <w:rFonts w:ascii="宋体" w:hAnsi="宋体"/>
          <w:kern w:val="44"/>
        </w:rPr>
      </w:pPr>
      <w:r>
        <w:rPr>
          <w:rFonts w:hint="eastAsia" w:ascii="宋体" w:hAnsi="宋体"/>
          <w:b/>
          <w:kern w:val="44"/>
        </w:rPr>
        <w:t>第三十八条</w:t>
      </w:r>
      <w:r>
        <w:rPr>
          <w:rFonts w:hint="eastAsia" w:ascii="宋体" w:hAnsi="宋体"/>
          <w:kern w:val="44"/>
        </w:rPr>
        <w:t>　获悉发生或者可能发生突发事件信息的行政机关，按照本办法第三十七条规定报送信息，并遵守下列规定：</w:t>
      </w:r>
    </w:p>
    <w:p w14:paraId="5455B95A">
      <w:pPr>
        <w:jc w:val="left"/>
        <w:rPr>
          <w:rFonts w:ascii="宋体" w:hAnsi="宋体"/>
          <w:kern w:val="44"/>
        </w:rPr>
      </w:pPr>
      <w:r>
        <w:rPr>
          <w:rFonts w:hint="eastAsia" w:ascii="宋体" w:hAnsi="宋体"/>
          <w:kern w:val="44"/>
        </w:rPr>
        <w:t>（一）突发事件信息的报送，应当做到及时、客观、真实和准确，不得迟报、谎报、瞒报、漏报，涉及国家秘密的，应当遵守国家有关保密规定；</w:t>
      </w:r>
    </w:p>
    <w:p w14:paraId="0BC9BCD5">
      <w:pPr>
        <w:jc w:val="left"/>
        <w:rPr>
          <w:rFonts w:ascii="宋体" w:hAnsi="宋体"/>
          <w:kern w:val="44"/>
        </w:rPr>
      </w:pPr>
      <w:r>
        <w:rPr>
          <w:rFonts w:hint="eastAsia" w:ascii="宋体" w:hAnsi="宋体"/>
          <w:kern w:val="44"/>
        </w:rPr>
        <w:t>（二）对较大、重大和特别重大突发事件信息，应当立即报告；</w:t>
      </w:r>
    </w:p>
    <w:p w14:paraId="35A55806">
      <w:pPr>
        <w:jc w:val="left"/>
        <w:rPr>
          <w:rFonts w:ascii="宋体" w:hAnsi="宋体"/>
          <w:kern w:val="44"/>
        </w:rPr>
      </w:pPr>
      <w:r>
        <w:rPr>
          <w:rFonts w:hint="eastAsia" w:ascii="宋体" w:hAnsi="宋体"/>
          <w:kern w:val="44"/>
        </w:rPr>
        <w:t>（三）对事件本身比较重要或者发生在重点地区、特殊时间的突发事件信息，应当立即报告，法定节假日、重要会议和重大活动等特殊时期，实行每日报告制度；</w:t>
      </w:r>
    </w:p>
    <w:p w14:paraId="254E413F">
      <w:pPr>
        <w:jc w:val="left"/>
        <w:rPr>
          <w:rFonts w:ascii="宋体" w:hAnsi="宋体"/>
          <w:kern w:val="44"/>
        </w:rPr>
      </w:pPr>
      <w:r>
        <w:rPr>
          <w:rFonts w:hint="eastAsia" w:ascii="宋体" w:hAnsi="宋体"/>
          <w:kern w:val="44"/>
        </w:rPr>
        <w:t>（四）及时续报事件处置的进展情况，直至应急处置工作结束。</w:t>
      </w:r>
    </w:p>
    <w:p w14:paraId="1E87D3C8">
      <w:pPr>
        <w:ind w:firstLine="422"/>
        <w:jc w:val="left"/>
        <w:rPr>
          <w:rFonts w:ascii="宋体" w:hAnsi="宋体"/>
          <w:kern w:val="44"/>
        </w:rPr>
      </w:pPr>
      <w:r>
        <w:rPr>
          <w:rFonts w:hint="eastAsia" w:ascii="宋体" w:hAnsi="宋体"/>
          <w:b/>
          <w:kern w:val="44"/>
        </w:rPr>
        <w:t>第三十九条</w:t>
      </w:r>
      <w:r>
        <w:rPr>
          <w:rFonts w:hint="eastAsia" w:ascii="宋体" w:hAnsi="宋体"/>
          <w:kern w:val="44"/>
        </w:rPr>
        <w:t>　本市建立专业监测和社会监测相结合的突发事件监测体系，建立健全基础信息数据库，对可能发生的突发事件进行跨部门、跨区域、跨灾种的综合监测。</w:t>
      </w:r>
    </w:p>
    <w:p w14:paraId="34BAB305">
      <w:pPr>
        <w:ind w:firstLine="422"/>
        <w:jc w:val="left"/>
        <w:rPr>
          <w:rFonts w:ascii="宋体" w:hAnsi="宋体"/>
          <w:kern w:val="44"/>
        </w:rPr>
      </w:pPr>
      <w:r>
        <w:rPr>
          <w:rFonts w:hint="eastAsia" w:ascii="宋体" w:hAnsi="宋体"/>
          <w:b/>
          <w:kern w:val="44"/>
        </w:rPr>
        <w:t>第四十条</w:t>
      </w:r>
      <w:r>
        <w:rPr>
          <w:rFonts w:hint="eastAsia" w:ascii="宋体" w:hAnsi="宋体"/>
          <w:kern w:val="44"/>
        </w:rPr>
        <w:t>　市和区、县人民政府及其有关部门，应当及时分析突发事件隐患和预警信息，必要时组织相关部门、专业技术人员、专家学者进行会商，对发生突发事件的可能性及其可能造成的影响进行评估。</w:t>
      </w:r>
    </w:p>
    <w:p w14:paraId="1EE0CF5F">
      <w:pPr>
        <w:ind w:firstLine="422"/>
        <w:jc w:val="left"/>
        <w:rPr>
          <w:rFonts w:ascii="宋体" w:hAnsi="宋体"/>
          <w:kern w:val="44"/>
        </w:rPr>
      </w:pPr>
      <w:r>
        <w:rPr>
          <w:rFonts w:hint="eastAsia" w:ascii="宋体" w:hAnsi="宋体"/>
          <w:b/>
          <w:kern w:val="44"/>
        </w:rPr>
        <w:t>第四十一条</w:t>
      </w:r>
      <w:r>
        <w:rPr>
          <w:rFonts w:hint="eastAsia" w:ascii="宋体" w:hAnsi="宋体"/>
          <w:kern w:val="44"/>
        </w:rPr>
        <w:t>　本市按照国家制定的预警级别划分标准建立健全突发事件预警制度。国家尚未制定预警级别划分标准的，市人民政府可以先行制定，报国务院或者国务院确定的部门备案。</w:t>
      </w:r>
    </w:p>
    <w:p w14:paraId="26476F29">
      <w:pPr>
        <w:jc w:val="left"/>
        <w:rPr>
          <w:rFonts w:ascii="宋体" w:hAnsi="宋体"/>
          <w:kern w:val="44"/>
        </w:rPr>
      </w:pPr>
      <w:r>
        <w:rPr>
          <w:rFonts w:hint="eastAsia" w:ascii="宋体" w:hAnsi="宋体"/>
          <w:kern w:val="44"/>
        </w:rPr>
        <w:t>可以预警的自然灾害、事故灾难和公共卫生事件的预警级别，按照突发事件发生的紧急程度、发展势态和可能造成的危害程度分为一级、二级、三级和四级，分别用红色、橙色、黄色和蓝色标示，一级为最高级别。</w:t>
      </w:r>
    </w:p>
    <w:p w14:paraId="10D01FB1">
      <w:pPr>
        <w:ind w:firstLine="422"/>
        <w:jc w:val="left"/>
        <w:rPr>
          <w:rFonts w:ascii="宋体" w:hAnsi="宋体"/>
          <w:kern w:val="44"/>
        </w:rPr>
      </w:pPr>
      <w:r>
        <w:rPr>
          <w:rFonts w:hint="eastAsia" w:ascii="宋体" w:hAnsi="宋体"/>
          <w:b/>
          <w:kern w:val="44"/>
        </w:rPr>
        <w:t>第四十二条</w:t>
      </w:r>
      <w:r>
        <w:rPr>
          <w:rFonts w:hint="eastAsia" w:ascii="宋体" w:hAnsi="宋体"/>
          <w:kern w:val="44"/>
        </w:rPr>
        <w:t>　本市依托市气象部门建立统一的预警信息发布平台，规范预警发布的权限和程序。</w:t>
      </w:r>
    </w:p>
    <w:p w14:paraId="717117FE">
      <w:pPr>
        <w:jc w:val="left"/>
        <w:rPr>
          <w:rFonts w:ascii="宋体" w:hAnsi="宋体"/>
          <w:kern w:val="44"/>
        </w:rPr>
      </w:pPr>
      <w:r>
        <w:rPr>
          <w:rFonts w:hint="eastAsia" w:ascii="宋体" w:hAnsi="宋体"/>
          <w:kern w:val="44"/>
        </w:rPr>
        <w:t>可以预警的自然灾害、事故灾难或者公共卫生事件即将发生或者发生的可能性增大时，根据有关法律、行政法规和国务院规定的权限和程序，由区、县人民政府或者市人民政府授权的有关部门发布三级、四级警报，宣布进入预警期，并报市人民政府备案；发布一级、二级警报，由市人民政府统一发布或者授权市人民政府有关部门、区县人民政府发布，宣布进入预警期，并向驻京部队和可能受到危害的毗邻地区或者相关地区的人民政府通报。</w:t>
      </w:r>
    </w:p>
    <w:p w14:paraId="74A54A25">
      <w:pPr>
        <w:ind w:firstLine="422"/>
        <w:jc w:val="left"/>
        <w:rPr>
          <w:rFonts w:ascii="宋体" w:hAnsi="宋体"/>
          <w:kern w:val="44"/>
        </w:rPr>
      </w:pPr>
      <w:r>
        <w:rPr>
          <w:rFonts w:hint="eastAsia" w:ascii="宋体" w:hAnsi="宋体"/>
          <w:b/>
          <w:kern w:val="44"/>
        </w:rPr>
        <w:t>第四十三条</w:t>
      </w:r>
      <w:r>
        <w:rPr>
          <w:rFonts w:hint="eastAsia" w:ascii="宋体" w:hAnsi="宋体"/>
          <w:kern w:val="44"/>
        </w:rPr>
        <w:t>　发布三级、四级警报，宣布进入预警期后，市人民政府授权的有关部门或者区、县人民政府应当根据即将发生的突发事件的特点和可能造成的危害，采取下列措施：</w:t>
      </w:r>
    </w:p>
    <w:p w14:paraId="6A475CA1">
      <w:pPr>
        <w:jc w:val="left"/>
        <w:rPr>
          <w:rFonts w:ascii="宋体" w:hAnsi="宋体"/>
          <w:kern w:val="44"/>
        </w:rPr>
      </w:pPr>
      <w:r>
        <w:rPr>
          <w:rFonts w:hint="eastAsia" w:ascii="宋体" w:hAnsi="宋体"/>
          <w:kern w:val="44"/>
        </w:rPr>
        <w:t>（一）启动应急预案；</w:t>
      </w:r>
    </w:p>
    <w:p w14:paraId="64F966DF">
      <w:pPr>
        <w:jc w:val="left"/>
        <w:rPr>
          <w:rFonts w:ascii="宋体" w:hAnsi="宋体"/>
          <w:kern w:val="44"/>
        </w:rPr>
      </w:pPr>
      <w:r>
        <w:rPr>
          <w:rFonts w:hint="eastAsia" w:ascii="宋体" w:hAnsi="宋体"/>
          <w:kern w:val="44"/>
        </w:rPr>
        <w:t>（二）责令有关部门、专业机构、监测网点和负有特定职责的人员及时收集、报告有关信息，向社会公布反映突发事件信息的渠道，加强对突发事件发生、发展情况的监测、预报和预警工作；</w:t>
      </w:r>
    </w:p>
    <w:p w14:paraId="663DEE70">
      <w:pPr>
        <w:jc w:val="left"/>
        <w:rPr>
          <w:rFonts w:ascii="宋体" w:hAnsi="宋体"/>
          <w:kern w:val="44"/>
        </w:rPr>
      </w:pPr>
      <w:r>
        <w:rPr>
          <w:rFonts w:hint="eastAsia" w:ascii="宋体" w:hAnsi="宋体"/>
          <w:kern w:val="44"/>
        </w:rPr>
        <w:t>（三）组织有关部门和机构、专业技术人员、有关专家学者，随时对突发事件信息进行分析评估，预测发生突发事件可能性的大小、影响范围和强度以及可能发生的突发事件的级别；</w:t>
      </w:r>
    </w:p>
    <w:p w14:paraId="76490BE2">
      <w:pPr>
        <w:jc w:val="left"/>
        <w:rPr>
          <w:rFonts w:ascii="宋体" w:hAnsi="宋体"/>
          <w:kern w:val="44"/>
        </w:rPr>
      </w:pPr>
      <w:r>
        <w:rPr>
          <w:rFonts w:hint="eastAsia" w:ascii="宋体" w:hAnsi="宋体"/>
          <w:kern w:val="44"/>
        </w:rPr>
        <w:t>（四）定时向社会发布与公众有关的突发事件预测信息和分析评估结果，并对相关信息的报道工作进行管理；</w:t>
      </w:r>
    </w:p>
    <w:p w14:paraId="4E21BFD7">
      <w:pPr>
        <w:jc w:val="left"/>
        <w:rPr>
          <w:rFonts w:ascii="宋体" w:hAnsi="宋体"/>
          <w:kern w:val="44"/>
        </w:rPr>
      </w:pPr>
      <w:r>
        <w:rPr>
          <w:rFonts w:hint="eastAsia" w:ascii="宋体" w:hAnsi="宋体"/>
          <w:kern w:val="44"/>
        </w:rPr>
        <w:t>（五）及时按照有关规定向社会发布可能受到突发事件危害的警告，宣传避免、减轻危害的常识，公布咨询电话。</w:t>
      </w:r>
    </w:p>
    <w:p w14:paraId="6745D045">
      <w:pPr>
        <w:ind w:firstLine="422"/>
        <w:jc w:val="left"/>
        <w:rPr>
          <w:rFonts w:ascii="宋体" w:hAnsi="宋体"/>
          <w:kern w:val="44"/>
        </w:rPr>
      </w:pPr>
      <w:r>
        <w:rPr>
          <w:rFonts w:hint="eastAsia" w:ascii="宋体" w:hAnsi="宋体"/>
          <w:b/>
          <w:kern w:val="44"/>
        </w:rPr>
        <w:t>第四十四条</w:t>
      </w:r>
      <w:r>
        <w:rPr>
          <w:rFonts w:hint="eastAsia" w:ascii="宋体" w:hAnsi="宋体"/>
          <w:kern w:val="44"/>
        </w:rPr>
        <w:t>　发布一级、二级警报，宣布进入预警期后，市或者区县人民政府、市人民政府授权的有关部门除采取本办法第四十三条规定的措施外，还应当针对即将发生的突发事件的特点和可能造成的危害，采取下列一项或者多项措施：</w:t>
      </w:r>
    </w:p>
    <w:p w14:paraId="1EB48064">
      <w:pPr>
        <w:jc w:val="left"/>
        <w:rPr>
          <w:rFonts w:ascii="宋体" w:hAnsi="宋体"/>
          <w:kern w:val="44"/>
        </w:rPr>
      </w:pPr>
      <w:r>
        <w:rPr>
          <w:rFonts w:hint="eastAsia" w:ascii="宋体" w:hAnsi="宋体"/>
          <w:kern w:val="44"/>
        </w:rPr>
        <w:t>（一）责令应急救援队伍、负有特定职责的人员进入待命状态，并动员后备人员做好参加应急救援和处置工作的准备；</w:t>
      </w:r>
    </w:p>
    <w:p w14:paraId="30C03F10">
      <w:pPr>
        <w:jc w:val="left"/>
        <w:rPr>
          <w:rFonts w:ascii="宋体" w:hAnsi="宋体"/>
          <w:kern w:val="44"/>
        </w:rPr>
      </w:pPr>
      <w:r>
        <w:rPr>
          <w:rFonts w:hint="eastAsia" w:ascii="宋体" w:hAnsi="宋体"/>
          <w:kern w:val="44"/>
        </w:rPr>
        <w:t>（二）调集应急救援所需物资、设备、工具，准备应急设施和避难场所，并确保其处于良好状态、随时可以投入正常使用；</w:t>
      </w:r>
    </w:p>
    <w:p w14:paraId="6675E02E">
      <w:pPr>
        <w:jc w:val="left"/>
        <w:rPr>
          <w:rFonts w:ascii="宋体" w:hAnsi="宋体"/>
          <w:kern w:val="44"/>
        </w:rPr>
      </w:pPr>
      <w:r>
        <w:rPr>
          <w:rFonts w:hint="eastAsia" w:ascii="宋体" w:hAnsi="宋体"/>
          <w:kern w:val="44"/>
        </w:rPr>
        <w:t>（三）加强对重点单位、重要部位和重要基础设施的安全保卫，维护社会治安秩序；</w:t>
      </w:r>
    </w:p>
    <w:p w14:paraId="3787B614">
      <w:pPr>
        <w:jc w:val="left"/>
        <w:rPr>
          <w:rFonts w:ascii="宋体" w:hAnsi="宋体"/>
          <w:kern w:val="44"/>
        </w:rPr>
      </w:pPr>
      <w:r>
        <w:rPr>
          <w:rFonts w:hint="eastAsia" w:ascii="宋体" w:hAnsi="宋体"/>
          <w:kern w:val="44"/>
        </w:rPr>
        <w:t>（四）采取必要措施，确保交通、通信、供水、排水、供电、供气、供热等公共设施的安全和正常运行；</w:t>
      </w:r>
    </w:p>
    <w:p w14:paraId="09312966">
      <w:pPr>
        <w:jc w:val="left"/>
        <w:rPr>
          <w:rFonts w:ascii="宋体" w:hAnsi="宋体"/>
          <w:kern w:val="44"/>
        </w:rPr>
      </w:pPr>
      <w:r>
        <w:rPr>
          <w:rFonts w:hint="eastAsia" w:ascii="宋体" w:hAnsi="宋体"/>
          <w:kern w:val="44"/>
        </w:rPr>
        <w:t>（五）及时向社会发布有关采取特定措施避免或者减轻危害的建议、劝告；</w:t>
      </w:r>
    </w:p>
    <w:p w14:paraId="31959874">
      <w:pPr>
        <w:jc w:val="left"/>
        <w:rPr>
          <w:rFonts w:ascii="宋体" w:hAnsi="宋体"/>
          <w:kern w:val="44"/>
        </w:rPr>
      </w:pPr>
      <w:r>
        <w:rPr>
          <w:rFonts w:hint="eastAsia" w:ascii="宋体" w:hAnsi="宋体"/>
          <w:kern w:val="44"/>
        </w:rPr>
        <w:t>（六）转移、疏散或者撤离易受突发事件危害的人员并予以妥善安置，转移重要财产；</w:t>
      </w:r>
    </w:p>
    <w:p w14:paraId="3CDEE8A5">
      <w:pPr>
        <w:jc w:val="left"/>
        <w:rPr>
          <w:rFonts w:ascii="宋体" w:hAnsi="宋体"/>
          <w:kern w:val="44"/>
        </w:rPr>
      </w:pPr>
      <w:r>
        <w:rPr>
          <w:rFonts w:hint="eastAsia" w:ascii="宋体" w:hAnsi="宋体"/>
          <w:kern w:val="44"/>
        </w:rPr>
        <w:t>（七）关闭或者限制使用易受突发事件危害的场所，控制或者限制容易导致危害扩大的公共场所的活动；</w:t>
      </w:r>
    </w:p>
    <w:p w14:paraId="109F9571">
      <w:pPr>
        <w:jc w:val="left"/>
        <w:rPr>
          <w:rFonts w:ascii="宋体" w:hAnsi="宋体"/>
          <w:kern w:val="44"/>
        </w:rPr>
      </w:pPr>
      <w:r>
        <w:rPr>
          <w:rFonts w:hint="eastAsia" w:ascii="宋体" w:hAnsi="宋体"/>
          <w:kern w:val="44"/>
        </w:rPr>
        <w:t>（八）法律、法规、规章规定的其他必要的防范性、保护性措施。</w:t>
      </w:r>
    </w:p>
    <w:p w14:paraId="4AB21BEF">
      <w:pPr>
        <w:ind w:firstLine="422"/>
        <w:jc w:val="left"/>
        <w:rPr>
          <w:rFonts w:ascii="宋体" w:hAnsi="宋体"/>
          <w:kern w:val="44"/>
        </w:rPr>
      </w:pPr>
      <w:r>
        <w:rPr>
          <w:rFonts w:hint="eastAsia" w:ascii="宋体" w:hAnsi="宋体"/>
          <w:b/>
          <w:kern w:val="44"/>
        </w:rPr>
        <w:t>第四十五条</w:t>
      </w:r>
      <w:r>
        <w:rPr>
          <w:rFonts w:hint="eastAsia" w:ascii="宋体" w:hAnsi="宋体"/>
          <w:kern w:val="44"/>
        </w:rPr>
        <w:t>　市或者区县人民政府、市人民政府授权的有关部门发布警报后，应当根据事态的发展情况，按照有关规定适时调整预警级别并重新发布，同时调整已经采取的有关措施。</w:t>
      </w:r>
    </w:p>
    <w:p w14:paraId="305C906F">
      <w:pPr>
        <w:jc w:val="left"/>
        <w:rPr>
          <w:rFonts w:ascii="宋体" w:hAnsi="宋体"/>
          <w:kern w:val="44"/>
        </w:rPr>
      </w:pPr>
      <w:r>
        <w:rPr>
          <w:rFonts w:hint="eastAsia" w:ascii="宋体" w:hAnsi="宋体"/>
          <w:kern w:val="44"/>
        </w:rPr>
        <w:t>有事实证明不可能发生突发事件或者危险已经解除的，发布警报的市或者区县人民政府、市人民政府授权的有关部门应当立即宣布解除警报，终止预警期，并解除已经采取的有关措施。</w:t>
      </w:r>
    </w:p>
    <w:p w14:paraId="1E62E7C1">
      <w:pPr>
        <w:jc w:val="left"/>
        <w:rPr>
          <w:rFonts w:ascii="宋体" w:hAnsi="宋体"/>
          <w:kern w:val="44"/>
        </w:rPr>
      </w:pPr>
    </w:p>
    <w:p w14:paraId="17C7CE7E">
      <w:pPr>
        <w:jc w:val="left"/>
        <w:rPr>
          <w:rFonts w:ascii="宋体" w:hAnsi="宋体"/>
          <w:kern w:val="44"/>
        </w:rPr>
      </w:pPr>
    </w:p>
    <w:p w14:paraId="6021E951">
      <w:pPr>
        <w:ind w:firstLine="0" w:firstLineChars="0"/>
        <w:jc w:val="center"/>
        <w:rPr>
          <w:rFonts w:ascii="宋体" w:hAnsi="宋体"/>
          <w:b/>
          <w:kern w:val="44"/>
          <w:sz w:val="28"/>
        </w:rPr>
      </w:pPr>
      <w:r>
        <w:rPr>
          <w:rFonts w:hint="eastAsia" w:ascii="宋体" w:hAnsi="宋体"/>
          <w:b/>
          <w:kern w:val="44"/>
          <w:sz w:val="28"/>
        </w:rPr>
        <w:t>第四章  应急处置与救援</w:t>
      </w:r>
    </w:p>
    <w:p w14:paraId="486AB7CC">
      <w:pPr>
        <w:jc w:val="left"/>
        <w:rPr>
          <w:rFonts w:ascii="宋体" w:hAnsi="宋体"/>
          <w:kern w:val="44"/>
        </w:rPr>
      </w:pPr>
    </w:p>
    <w:p w14:paraId="57664AF8">
      <w:pPr>
        <w:ind w:firstLine="422"/>
        <w:jc w:val="left"/>
        <w:rPr>
          <w:rFonts w:ascii="宋体" w:hAnsi="宋体"/>
          <w:kern w:val="44"/>
        </w:rPr>
      </w:pPr>
      <w:r>
        <w:rPr>
          <w:rFonts w:hint="eastAsia" w:ascii="宋体" w:hAnsi="宋体"/>
          <w:b/>
          <w:kern w:val="44"/>
        </w:rPr>
        <w:t>第四十六条</w:t>
      </w:r>
      <w:r>
        <w:rPr>
          <w:rFonts w:hint="eastAsia" w:ascii="宋体" w:hAnsi="宋体"/>
          <w:kern w:val="44"/>
        </w:rPr>
        <w:t>　自然灾害、事故灾难或者公共卫生事件发生后，市和区、县人民政府应当根据突发事件的性质、特点和危害程度，按照下列规定指挥协调应急处置工作：</w:t>
      </w:r>
    </w:p>
    <w:p w14:paraId="61D2BD72">
      <w:pPr>
        <w:jc w:val="left"/>
        <w:rPr>
          <w:rFonts w:ascii="宋体" w:hAnsi="宋体"/>
          <w:kern w:val="44"/>
        </w:rPr>
      </w:pPr>
      <w:r>
        <w:rPr>
          <w:rFonts w:hint="eastAsia" w:ascii="宋体" w:hAnsi="宋体"/>
          <w:kern w:val="44"/>
        </w:rPr>
        <w:t>（一）一般突发事件发生后，由发生地区、县突发事件应急委员会指挥协调应急处置工作，根据实际需要，市专项应急指挥部协助做好相关应急处置工作；</w:t>
      </w:r>
    </w:p>
    <w:p w14:paraId="67DAEB4A">
      <w:pPr>
        <w:jc w:val="left"/>
        <w:rPr>
          <w:rFonts w:ascii="宋体" w:hAnsi="宋体"/>
          <w:kern w:val="44"/>
        </w:rPr>
      </w:pPr>
      <w:r>
        <w:rPr>
          <w:rFonts w:hint="eastAsia" w:ascii="宋体" w:hAnsi="宋体"/>
          <w:kern w:val="44"/>
        </w:rPr>
        <w:t>（二）较大突发事件发生后，发生地在东城区、西城区、崇文区、宣武区、朝阳区、海淀区、丰台区、石景山区的，由市专项应急指挥部指挥协调应急处置工作；发生地在其他区、县的，由发生地区、县突发事件应急委员会指挥协调应急处置工作，必要时，市专项应急指挥部协助做好相关应急处置工作；</w:t>
      </w:r>
    </w:p>
    <w:p w14:paraId="776658CD">
      <w:pPr>
        <w:jc w:val="left"/>
        <w:rPr>
          <w:rFonts w:ascii="宋体" w:hAnsi="宋体"/>
          <w:kern w:val="44"/>
        </w:rPr>
      </w:pPr>
      <w:r>
        <w:rPr>
          <w:rFonts w:hint="eastAsia" w:ascii="宋体" w:hAnsi="宋体"/>
          <w:kern w:val="44"/>
        </w:rPr>
        <w:t>（三）重大或者特别重大突发事件发生后，由市突发事件应急委员会统一指挥应急处置工作，相关专项应急指挥部负责具体指挥和处置。</w:t>
      </w:r>
    </w:p>
    <w:p w14:paraId="1F4DF00B">
      <w:pPr>
        <w:jc w:val="left"/>
        <w:rPr>
          <w:rFonts w:ascii="宋体" w:hAnsi="宋体"/>
          <w:kern w:val="44"/>
        </w:rPr>
      </w:pPr>
      <w:r>
        <w:rPr>
          <w:rFonts w:hint="eastAsia" w:ascii="宋体" w:hAnsi="宋体"/>
          <w:kern w:val="44"/>
        </w:rPr>
        <w:t>前款第二项、第三项规定由市突发事件应急委员会、市专项应急指挥部指挥协调应急处置工作的突发事件，发生地区、县人民政府应当按照市总体应急预案、市专项应急预案确定的职责和要求，立即采取措施控制事态发展，组织应急救援和处置，并做好服务保障工作。</w:t>
      </w:r>
    </w:p>
    <w:p w14:paraId="1E27CC65">
      <w:pPr>
        <w:jc w:val="left"/>
        <w:rPr>
          <w:rFonts w:ascii="宋体" w:hAnsi="宋体"/>
          <w:kern w:val="44"/>
        </w:rPr>
      </w:pPr>
      <w:r>
        <w:rPr>
          <w:rFonts w:hint="eastAsia" w:ascii="宋体" w:hAnsi="宋体"/>
          <w:kern w:val="44"/>
        </w:rPr>
        <w:t>突发事件发生后，需要市或者区县突发事件应急委员会、市专项应急指挥部负责人到现场指挥协调的，有关负责人应当及时赶赴现场，指挥协调应急处置工作。</w:t>
      </w:r>
    </w:p>
    <w:p w14:paraId="682C9D3D">
      <w:pPr>
        <w:jc w:val="left"/>
        <w:rPr>
          <w:rFonts w:ascii="宋体" w:hAnsi="宋体"/>
          <w:kern w:val="44"/>
        </w:rPr>
      </w:pPr>
      <w:r>
        <w:rPr>
          <w:rFonts w:hint="eastAsia" w:ascii="宋体" w:hAnsi="宋体"/>
          <w:kern w:val="44"/>
        </w:rPr>
        <w:t>发生地区、县人民政府不能有效控制突发事件事态，或者不能消除突发事件引起的严重社会危害的，应当及时报请市人民政府统一领导应急处置工作；当本市不能有效控制突发事件事态，或者不能消除突发事件引起的严重社会危害时，市人民政府应当报请国务院统一领导应急处置工作。</w:t>
      </w:r>
    </w:p>
    <w:p w14:paraId="6BE13288">
      <w:pPr>
        <w:ind w:firstLine="422"/>
        <w:jc w:val="left"/>
        <w:rPr>
          <w:rFonts w:ascii="宋体" w:hAnsi="宋体"/>
          <w:kern w:val="44"/>
        </w:rPr>
      </w:pPr>
      <w:r>
        <w:rPr>
          <w:rFonts w:hint="eastAsia" w:ascii="宋体" w:hAnsi="宋体"/>
          <w:b/>
          <w:kern w:val="44"/>
        </w:rPr>
        <w:t>第四十七条</w:t>
      </w:r>
      <w:r>
        <w:rPr>
          <w:rFonts w:hint="eastAsia" w:ascii="宋体" w:hAnsi="宋体"/>
          <w:kern w:val="44"/>
        </w:rPr>
        <w:t>　突发事件发生后，发生地乡镇人民政府、街道办事处应当组织进行人员疏散、引导救援等工作，并立即向区、县人民政府报告，必要时可以越级上报。</w:t>
      </w:r>
    </w:p>
    <w:p w14:paraId="4DF5E5F0">
      <w:pPr>
        <w:ind w:firstLine="422"/>
        <w:jc w:val="left"/>
        <w:rPr>
          <w:rFonts w:ascii="宋体" w:hAnsi="宋体"/>
          <w:kern w:val="44"/>
        </w:rPr>
      </w:pPr>
      <w:r>
        <w:rPr>
          <w:rFonts w:hint="eastAsia" w:ascii="宋体" w:hAnsi="宋体"/>
          <w:b/>
          <w:kern w:val="44"/>
        </w:rPr>
        <w:t>第四十八条</w:t>
      </w:r>
      <w:r>
        <w:rPr>
          <w:rFonts w:hint="eastAsia" w:ascii="宋体" w:hAnsi="宋体"/>
          <w:kern w:val="44"/>
        </w:rPr>
        <w:t>　受到自然灾害危害或者发生事故灾难、公共卫生事件的单位，应当采取必要措施防止危害扩大，同时向所在地区、县人民政府报告；对因本单位的问题引发的或者主体是本单位人员的社会安全事件，有关单位应当按照规定上报情况，并迅速派出负责人赶赴现场开展劝解、疏导工作。</w:t>
      </w:r>
    </w:p>
    <w:p w14:paraId="58B84471">
      <w:pPr>
        <w:ind w:firstLine="422"/>
        <w:jc w:val="left"/>
        <w:rPr>
          <w:rFonts w:ascii="宋体" w:hAnsi="宋体"/>
          <w:kern w:val="44"/>
        </w:rPr>
      </w:pPr>
      <w:r>
        <w:rPr>
          <w:rFonts w:hint="eastAsia" w:ascii="宋体" w:hAnsi="宋体"/>
          <w:b/>
          <w:kern w:val="44"/>
        </w:rPr>
        <w:t>第四十九条</w:t>
      </w:r>
      <w:r>
        <w:rPr>
          <w:rFonts w:hint="eastAsia" w:ascii="宋体" w:hAnsi="宋体"/>
          <w:kern w:val="44"/>
        </w:rPr>
        <w:t>　自然灾害、事故灾难或者公共卫生事件发生后，市或者区、县人民政府根据突发事件的性质、特点和危害程度，可以采取下列一项或者多项应急处置措施：</w:t>
      </w:r>
    </w:p>
    <w:p w14:paraId="101CE354">
      <w:pPr>
        <w:jc w:val="left"/>
        <w:rPr>
          <w:rFonts w:ascii="宋体" w:hAnsi="宋体"/>
          <w:kern w:val="44"/>
        </w:rPr>
      </w:pPr>
      <w:r>
        <w:rPr>
          <w:rFonts w:hint="eastAsia" w:ascii="宋体" w:hAnsi="宋体"/>
          <w:kern w:val="44"/>
        </w:rPr>
        <w:t>（一）组织营救和救治受害人员，疏散、撤离并妥善安置受到威胁的人员以及采取其他救助措施；</w:t>
      </w:r>
    </w:p>
    <w:p w14:paraId="7F066B3A">
      <w:pPr>
        <w:jc w:val="left"/>
        <w:rPr>
          <w:rFonts w:ascii="宋体" w:hAnsi="宋体"/>
          <w:kern w:val="44"/>
        </w:rPr>
      </w:pPr>
      <w:r>
        <w:rPr>
          <w:rFonts w:hint="eastAsia" w:ascii="宋体" w:hAnsi="宋体"/>
          <w:kern w:val="44"/>
        </w:rPr>
        <w:t>（二）迅速控制危险源，标明危险区域，封锁危险场所，划定警戒区，实行交通管制以及其他控制措施；</w:t>
      </w:r>
    </w:p>
    <w:p w14:paraId="767E2CF5">
      <w:pPr>
        <w:jc w:val="left"/>
        <w:rPr>
          <w:rFonts w:ascii="宋体" w:hAnsi="宋体"/>
          <w:kern w:val="44"/>
        </w:rPr>
      </w:pPr>
      <w:r>
        <w:rPr>
          <w:rFonts w:hint="eastAsia" w:ascii="宋体" w:hAnsi="宋体"/>
          <w:kern w:val="44"/>
        </w:rPr>
        <w:t>（三）立即抢修被损坏的交通、通信、供水、排水、供电、供气、供热等公共设施，向受到危害的人员提供避难场所和生活必需品，实施医疗救护和卫生防疫以及其他保障措施；</w:t>
      </w:r>
    </w:p>
    <w:p w14:paraId="250BDCF1">
      <w:pPr>
        <w:jc w:val="left"/>
        <w:rPr>
          <w:rFonts w:ascii="宋体" w:hAnsi="宋体"/>
          <w:kern w:val="44"/>
        </w:rPr>
      </w:pPr>
      <w:r>
        <w:rPr>
          <w:rFonts w:hint="eastAsia" w:ascii="宋体" w:hAnsi="宋体"/>
          <w:kern w:val="44"/>
        </w:rPr>
        <w:t>（四）禁止或者限制使用有关设备、设施，关闭或者限制使用有关场所，中止人员密集的活动或者可能导致危害扩大的生产经营活动以及采取其他保护措施；</w:t>
      </w:r>
    </w:p>
    <w:p w14:paraId="0137D9D3">
      <w:pPr>
        <w:jc w:val="left"/>
        <w:rPr>
          <w:rFonts w:ascii="宋体" w:hAnsi="宋体"/>
          <w:kern w:val="44"/>
        </w:rPr>
      </w:pPr>
      <w:r>
        <w:rPr>
          <w:rFonts w:hint="eastAsia" w:ascii="宋体" w:hAnsi="宋体"/>
          <w:kern w:val="44"/>
        </w:rPr>
        <w:t>（五）启用本级人民政府设置的财政预备费和储备的应急救援物资，必要时调用其他急需物资、设备、设施、工具；</w:t>
      </w:r>
    </w:p>
    <w:p w14:paraId="256DD240">
      <w:pPr>
        <w:jc w:val="left"/>
        <w:rPr>
          <w:rFonts w:ascii="宋体" w:hAnsi="宋体"/>
          <w:kern w:val="44"/>
        </w:rPr>
      </w:pPr>
      <w:r>
        <w:rPr>
          <w:rFonts w:hint="eastAsia" w:ascii="宋体" w:hAnsi="宋体"/>
          <w:kern w:val="44"/>
        </w:rPr>
        <w:t>（六）组织公民参加应急救援和处置工作，要求具有特定专长的人员提供服务；</w:t>
      </w:r>
    </w:p>
    <w:p w14:paraId="24486E45">
      <w:pPr>
        <w:jc w:val="left"/>
        <w:rPr>
          <w:rFonts w:ascii="宋体" w:hAnsi="宋体"/>
          <w:kern w:val="44"/>
        </w:rPr>
      </w:pPr>
      <w:r>
        <w:rPr>
          <w:rFonts w:hint="eastAsia" w:ascii="宋体" w:hAnsi="宋体"/>
          <w:kern w:val="44"/>
        </w:rPr>
        <w:t>（七）保障食品、饮用水、燃料等基本生活必需品的供应；</w:t>
      </w:r>
    </w:p>
    <w:p w14:paraId="3BDF9CBC">
      <w:pPr>
        <w:jc w:val="left"/>
        <w:rPr>
          <w:rFonts w:ascii="宋体" w:hAnsi="宋体"/>
          <w:kern w:val="44"/>
        </w:rPr>
      </w:pPr>
      <w:r>
        <w:rPr>
          <w:rFonts w:hint="eastAsia" w:ascii="宋体" w:hAnsi="宋体"/>
          <w:kern w:val="44"/>
        </w:rPr>
        <w:t>（八）依法从严惩处囤积居奇、哄抬物价、制假售假等扰乱市场秩序的行为，稳定市场价格，维护市场秩序；</w:t>
      </w:r>
    </w:p>
    <w:p w14:paraId="3F792019">
      <w:pPr>
        <w:jc w:val="left"/>
        <w:rPr>
          <w:rFonts w:ascii="宋体" w:hAnsi="宋体"/>
          <w:kern w:val="44"/>
        </w:rPr>
      </w:pPr>
      <w:r>
        <w:rPr>
          <w:rFonts w:hint="eastAsia" w:ascii="宋体" w:hAnsi="宋体"/>
          <w:kern w:val="44"/>
        </w:rPr>
        <w:t>（九）依法从严惩处哄抢财物、干扰破坏应急处置工作等扰乱社会秩序的行为，维护社会治安；</w:t>
      </w:r>
    </w:p>
    <w:p w14:paraId="384019D4">
      <w:pPr>
        <w:jc w:val="left"/>
        <w:rPr>
          <w:rFonts w:ascii="宋体" w:hAnsi="宋体"/>
          <w:kern w:val="44"/>
        </w:rPr>
      </w:pPr>
      <w:r>
        <w:rPr>
          <w:rFonts w:hint="eastAsia" w:ascii="宋体" w:hAnsi="宋体"/>
          <w:kern w:val="44"/>
        </w:rPr>
        <w:t>（十）进入相关场所进行检查和封存物品；</w:t>
      </w:r>
    </w:p>
    <w:p w14:paraId="3E8E6088">
      <w:pPr>
        <w:jc w:val="left"/>
        <w:rPr>
          <w:rFonts w:ascii="宋体" w:hAnsi="宋体"/>
          <w:kern w:val="44"/>
        </w:rPr>
      </w:pPr>
      <w:r>
        <w:rPr>
          <w:rFonts w:hint="eastAsia" w:ascii="宋体" w:hAnsi="宋体"/>
          <w:kern w:val="44"/>
        </w:rPr>
        <w:t>（十一）拆除、迁移妨碍应急处置和救援的设施、设备或者其他障碍物等；</w:t>
      </w:r>
    </w:p>
    <w:p w14:paraId="21B65F64">
      <w:pPr>
        <w:jc w:val="left"/>
        <w:rPr>
          <w:rFonts w:ascii="宋体" w:hAnsi="宋体"/>
          <w:kern w:val="44"/>
        </w:rPr>
      </w:pPr>
      <w:r>
        <w:rPr>
          <w:rFonts w:hint="eastAsia" w:ascii="宋体" w:hAnsi="宋体"/>
          <w:kern w:val="44"/>
        </w:rPr>
        <w:t>（十二）防止发生次生、衍生事件的必要措施；</w:t>
      </w:r>
    </w:p>
    <w:p w14:paraId="3DBCF34F">
      <w:pPr>
        <w:jc w:val="left"/>
        <w:rPr>
          <w:rFonts w:ascii="宋体" w:hAnsi="宋体"/>
          <w:kern w:val="44"/>
        </w:rPr>
      </w:pPr>
      <w:r>
        <w:rPr>
          <w:rFonts w:hint="eastAsia" w:ascii="宋体" w:hAnsi="宋体"/>
          <w:kern w:val="44"/>
        </w:rPr>
        <w:t>（十三）有关法律、法规、规章规定以及市人民政府认为必要的其他应急处置措施。</w:t>
      </w:r>
    </w:p>
    <w:p w14:paraId="7D2AABD1">
      <w:pPr>
        <w:ind w:firstLine="422"/>
        <w:jc w:val="left"/>
        <w:rPr>
          <w:rFonts w:ascii="宋体" w:hAnsi="宋体"/>
          <w:kern w:val="44"/>
        </w:rPr>
      </w:pPr>
      <w:r>
        <w:rPr>
          <w:rFonts w:hint="eastAsia" w:ascii="宋体" w:hAnsi="宋体"/>
          <w:b/>
          <w:kern w:val="44"/>
        </w:rPr>
        <w:t>第五十条</w:t>
      </w:r>
      <w:r>
        <w:rPr>
          <w:rFonts w:hint="eastAsia" w:ascii="宋体" w:hAnsi="宋体"/>
          <w:kern w:val="44"/>
        </w:rPr>
        <w:t>　社会安全事件发生后，市或者区、县人民政府应当立即组织有关部门并由公安机关针对事件的性质和特点，依照有关法律、行政法规和国家其他有关规定，采取下列一项或者多项应急处置措施：</w:t>
      </w:r>
    </w:p>
    <w:p w14:paraId="3C11039F">
      <w:pPr>
        <w:jc w:val="left"/>
        <w:rPr>
          <w:rFonts w:ascii="宋体" w:hAnsi="宋体"/>
          <w:kern w:val="44"/>
        </w:rPr>
      </w:pPr>
      <w:r>
        <w:rPr>
          <w:rFonts w:hint="eastAsia" w:ascii="宋体" w:hAnsi="宋体"/>
          <w:kern w:val="44"/>
        </w:rPr>
        <w:t>（一）强制隔离使用器械相互对抗或者以暴力行为参与冲突的当事人，妥善解决现场纠纷和争端，控制事态发展；</w:t>
      </w:r>
    </w:p>
    <w:p w14:paraId="2B4875B0">
      <w:pPr>
        <w:jc w:val="left"/>
        <w:rPr>
          <w:rFonts w:ascii="宋体" w:hAnsi="宋体"/>
          <w:kern w:val="44"/>
        </w:rPr>
      </w:pPr>
      <w:r>
        <w:rPr>
          <w:rFonts w:hint="eastAsia" w:ascii="宋体" w:hAnsi="宋体"/>
          <w:kern w:val="44"/>
        </w:rPr>
        <w:t>（二）对特定区域内的建筑物、交通工具、设备、设施以及燃料、燃气、电力、水的供应进行控制；</w:t>
      </w:r>
    </w:p>
    <w:p w14:paraId="437E1783">
      <w:pPr>
        <w:jc w:val="left"/>
        <w:rPr>
          <w:rFonts w:ascii="宋体" w:hAnsi="宋体"/>
          <w:kern w:val="44"/>
        </w:rPr>
      </w:pPr>
      <w:r>
        <w:rPr>
          <w:rFonts w:hint="eastAsia" w:ascii="宋体" w:hAnsi="宋体"/>
          <w:kern w:val="44"/>
        </w:rPr>
        <w:t>（三）封锁有关场所、道路，查验现场人员的身份证件，限制有关公共场所内的活动；</w:t>
      </w:r>
    </w:p>
    <w:p w14:paraId="03E3ACB4">
      <w:pPr>
        <w:jc w:val="left"/>
        <w:rPr>
          <w:rFonts w:ascii="宋体" w:hAnsi="宋体"/>
          <w:kern w:val="44"/>
        </w:rPr>
      </w:pPr>
      <w:r>
        <w:rPr>
          <w:rFonts w:hint="eastAsia" w:ascii="宋体" w:hAnsi="宋体"/>
          <w:kern w:val="44"/>
        </w:rPr>
        <w:t>（四）加强对易受冲击的核心机关和单位的警卫，在国家机关、军事机关、国家通讯社、广播电台、电视台、外国驻华使领馆等单位附近设置临时警戒线；</w:t>
      </w:r>
    </w:p>
    <w:p w14:paraId="790D2C89">
      <w:pPr>
        <w:jc w:val="left"/>
        <w:rPr>
          <w:rFonts w:ascii="宋体" w:hAnsi="宋体"/>
          <w:kern w:val="44"/>
        </w:rPr>
      </w:pPr>
      <w:r>
        <w:rPr>
          <w:rFonts w:hint="eastAsia" w:ascii="宋体" w:hAnsi="宋体"/>
          <w:kern w:val="44"/>
        </w:rPr>
        <w:t>（五）法律、行政法规和国务院规定的其他必要措施。</w:t>
      </w:r>
    </w:p>
    <w:p w14:paraId="74973E9E">
      <w:pPr>
        <w:jc w:val="left"/>
        <w:rPr>
          <w:rFonts w:ascii="宋体" w:hAnsi="宋体"/>
          <w:kern w:val="44"/>
        </w:rPr>
      </w:pPr>
      <w:r>
        <w:rPr>
          <w:rFonts w:hint="eastAsia" w:ascii="宋体" w:hAnsi="宋体"/>
          <w:kern w:val="44"/>
        </w:rPr>
        <w:t>严重危害社会治安秩序的事件发生时，公安机关应当立即依法出动警力，根据现场情况依法采取相应的强制性措施，尽快使社会秩序恢复正常。</w:t>
      </w:r>
    </w:p>
    <w:p w14:paraId="4499936C">
      <w:pPr>
        <w:ind w:firstLine="422"/>
        <w:jc w:val="left"/>
        <w:rPr>
          <w:rFonts w:ascii="宋体" w:hAnsi="宋体"/>
          <w:kern w:val="44"/>
        </w:rPr>
      </w:pPr>
      <w:r>
        <w:rPr>
          <w:rFonts w:hint="eastAsia" w:ascii="宋体" w:hAnsi="宋体"/>
          <w:b/>
          <w:kern w:val="44"/>
        </w:rPr>
        <w:t>第五十一条</w:t>
      </w:r>
      <w:r>
        <w:rPr>
          <w:rFonts w:hint="eastAsia" w:ascii="宋体" w:hAnsi="宋体"/>
          <w:kern w:val="44"/>
        </w:rPr>
        <w:t>　市或者区县突发事件应急委员会、市专项应急指挥部应当组织协调运输经营单位，优先运送处置突发事件所需物资、设备、工具、应急救援人员和受到突发事件危害的人员；配有统一应急标志的交通工具在应急处置与救援期间优先通行；有关通信运营单位应当采取措施，确保应急指挥通信畅通。</w:t>
      </w:r>
    </w:p>
    <w:p w14:paraId="79CA6569">
      <w:pPr>
        <w:ind w:firstLine="422"/>
        <w:jc w:val="left"/>
        <w:rPr>
          <w:rFonts w:ascii="宋体" w:hAnsi="宋体"/>
          <w:kern w:val="44"/>
        </w:rPr>
      </w:pPr>
      <w:r>
        <w:rPr>
          <w:rFonts w:hint="eastAsia" w:ascii="宋体" w:hAnsi="宋体"/>
          <w:b/>
          <w:kern w:val="44"/>
        </w:rPr>
        <w:t>第五十二条</w:t>
      </w:r>
      <w:r>
        <w:rPr>
          <w:rFonts w:hint="eastAsia" w:ascii="宋体" w:hAnsi="宋体"/>
          <w:kern w:val="44"/>
        </w:rPr>
        <w:t>　市和区、县人民政府应当按照有关规定统一、准确、及时发布有关突发事件事态发展和应急处置工作的信息。</w:t>
      </w:r>
    </w:p>
    <w:p w14:paraId="212F6CF6">
      <w:pPr>
        <w:jc w:val="left"/>
        <w:rPr>
          <w:rFonts w:ascii="宋体" w:hAnsi="宋体"/>
          <w:kern w:val="44"/>
        </w:rPr>
      </w:pPr>
      <w:r>
        <w:rPr>
          <w:rFonts w:hint="eastAsia" w:ascii="宋体" w:hAnsi="宋体"/>
          <w:kern w:val="44"/>
        </w:rPr>
        <w:t>市和区、县人民政府可以通过新闻媒体和政府门户网站，采取授权发布、接受记者采访、举行新闻发布会等形式发布信息。</w:t>
      </w:r>
    </w:p>
    <w:p w14:paraId="00DF194F">
      <w:pPr>
        <w:jc w:val="left"/>
        <w:rPr>
          <w:rFonts w:ascii="宋体" w:hAnsi="宋体"/>
          <w:kern w:val="44"/>
        </w:rPr>
      </w:pPr>
      <w:r>
        <w:rPr>
          <w:rFonts w:hint="eastAsia" w:ascii="宋体" w:hAnsi="宋体"/>
          <w:kern w:val="44"/>
        </w:rPr>
        <w:t>任何单位和个人不得编造、传播有关突发事件事态发展或者应急处置工作的虚假信息。</w:t>
      </w:r>
    </w:p>
    <w:p w14:paraId="040FB7B1">
      <w:pPr>
        <w:ind w:firstLine="422"/>
        <w:jc w:val="left"/>
        <w:rPr>
          <w:rFonts w:ascii="宋体" w:hAnsi="宋体"/>
          <w:kern w:val="44"/>
        </w:rPr>
      </w:pPr>
      <w:r>
        <w:rPr>
          <w:rFonts w:hint="eastAsia" w:ascii="宋体" w:hAnsi="宋体"/>
          <w:b/>
          <w:kern w:val="44"/>
        </w:rPr>
        <w:t>第五十三条</w:t>
      </w:r>
      <w:r>
        <w:rPr>
          <w:rFonts w:hint="eastAsia" w:ascii="宋体" w:hAnsi="宋体"/>
          <w:kern w:val="44"/>
        </w:rPr>
        <w:t>　市或者区县突发事件应急委员会、市专项应急指挥部，应当根据应对突发事件的实际需要，动员公民、法人和其他组织开展自救和互救，协助维护社会秩序。</w:t>
      </w:r>
    </w:p>
    <w:p w14:paraId="66EB9D82">
      <w:pPr>
        <w:jc w:val="left"/>
        <w:rPr>
          <w:rFonts w:ascii="宋体" w:hAnsi="宋体"/>
          <w:kern w:val="44"/>
        </w:rPr>
      </w:pPr>
      <w:r>
        <w:rPr>
          <w:rFonts w:hint="eastAsia" w:ascii="宋体" w:hAnsi="宋体"/>
          <w:kern w:val="44"/>
        </w:rPr>
        <w:t>公民、法人和其他组织应当服从市或者区县突发事件应急委员会、市专项应急指挥部的指挥和安排，配合做好应急处置和救援工作。</w:t>
      </w:r>
    </w:p>
    <w:p w14:paraId="26733C6C">
      <w:pPr>
        <w:jc w:val="left"/>
        <w:rPr>
          <w:rFonts w:ascii="宋体" w:hAnsi="宋体"/>
          <w:kern w:val="44"/>
        </w:rPr>
      </w:pPr>
    </w:p>
    <w:p w14:paraId="4B8DD808">
      <w:pPr>
        <w:ind w:firstLine="0" w:firstLineChars="0"/>
        <w:jc w:val="center"/>
        <w:rPr>
          <w:rFonts w:ascii="宋体" w:hAnsi="宋体"/>
          <w:b/>
          <w:kern w:val="44"/>
          <w:sz w:val="28"/>
        </w:rPr>
      </w:pPr>
      <w:r>
        <w:rPr>
          <w:rFonts w:hint="eastAsia" w:ascii="宋体" w:hAnsi="宋体"/>
          <w:b/>
          <w:kern w:val="44"/>
          <w:sz w:val="28"/>
        </w:rPr>
        <w:t>第五章  事后恢复与重建</w:t>
      </w:r>
    </w:p>
    <w:p w14:paraId="7C1A625C">
      <w:pPr>
        <w:jc w:val="left"/>
        <w:rPr>
          <w:rFonts w:ascii="宋体" w:hAnsi="宋体"/>
          <w:kern w:val="44"/>
        </w:rPr>
      </w:pPr>
    </w:p>
    <w:p w14:paraId="52DB94C8">
      <w:pPr>
        <w:ind w:firstLine="422"/>
        <w:jc w:val="left"/>
        <w:rPr>
          <w:rFonts w:ascii="宋体" w:hAnsi="宋体"/>
          <w:kern w:val="44"/>
        </w:rPr>
      </w:pPr>
      <w:r>
        <w:rPr>
          <w:rFonts w:hint="eastAsia" w:ascii="宋体" w:hAnsi="宋体"/>
          <w:b/>
          <w:kern w:val="44"/>
        </w:rPr>
        <w:t>第五十四条</w:t>
      </w:r>
      <w:r>
        <w:rPr>
          <w:rFonts w:hint="eastAsia" w:ascii="宋体" w:hAnsi="宋体"/>
          <w:kern w:val="44"/>
        </w:rPr>
        <w:t>　突发事件的威胁和危害得到控制或者消除后，市或者区、县人民政府应当及时宣布应急处置结束，停止执行应急处置措施，同时采取或者继续实施必要措施，防止发生自然灾害、事故灾难、公共卫生事件的次生、衍生事件或者重新引发社会安全事件。</w:t>
      </w:r>
    </w:p>
    <w:p w14:paraId="102EBF64">
      <w:pPr>
        <w:ind w:firstLine="422"/>
        <w:jc w:val="left"/>
        <w:rPr>
          <w:rFonts w:ascii="宋体" w:hAnsi="宋体"/>
          <w:kern w:val="44"/>
        </w:rPr>
      </w:pPr>
      <w:r>
        <w:rPr>
          <w:rFonts w:hint="eastAsia" w:ascii="宋体" w:hAnsi="宋体"/>
          <w:b/>
          <w:kern w:val="44"/>
        </w:rPr>
        <w:t>第五十五条</w:t>
      </w:r>
      <w:r>
        <w:rPr>
          <w:rFonts w:hint="eastAsia" w:ascii="宋体" w:hAnsi="宋体"/>
          <w:kern w:val="44"/>
        </w:rPr>
        <w:t>　突发事件应急处置工作结束后，市和区、县人民政府应当及时组织相关部门和专业技术力量，按照有关规定对突发事件造成的损失进行统计、核实和评估。</w:t>
      </w:r>
    </w:p>
    <w:p w14:paraId="1280A7CF">
      <w:pPr>
        <w:jc w:val="left"/>
        <w:rPr>
          <w:rFonts w:ascii="宋体" w:hAnsi="宋体"/>
          <w:kern w:val="44"/>
        </w:rPr>
      </w:pPr>
      <w:r>
        <w:rPr>
          <w:rFonts w:hint="eastAsia" w:ascii="宋体" w:hAnsi="宋体"/>
          <w:kern w:val="44"/>
        </w:rPr>
        <w:t>市和区、县人民政府应当及时组织有关部门和专家调查、分析突发事件发生的原因、过程，对信息报送、应急决策与处置等应对工作进行全面客观的评估，总结经验教训，制定改进措施。</w:t>
      </w:r>
    </w:p>
    <w:p w14:paraId="4E740786">
      <w:pPr>
        <w:ind w:firstLine="422"/>
        <w:jc w:val="left"/>
        <w:rPr>
          <w:rFonts w:ascii="宋体" w:hAnsi="宋体"/>
          <w:kern w:val="44"/>
        </w:rPr>
      </w:pPr>
      <w:r>
        <w:rPr>
          <w:rFonts w:hint="eastAsia" w:ascii="宋体" w:hAnsi="宋体"/>
          <w:b/>
          <w:kern w:val="44"/>
        </w:rPr>
        <w:t>第五十六条</w:t>
      </w:r>
      <w:r>
        <w:rPr>
          <w:rFonts w:hint="eastAsia" w:ascii="宋体" w:hAnsi="宋体"/>
          <w:kern w:val="44"/>
        </w:rPr>
        <w:t>　市和区、县人民政府应当加强对恢复与重建工作的统一领导和部署，按照短期恢复与长远发展并重的原则，制定恢复重建计划，落实恢复与重建所需的资金、物资和技术保障。区、县人民政府落实恢复与重建所需的资金、物资和技术保障有困难的，市人民政府应当予以保障。</w:t>
      </w:r>
    </w:p>
    <w:p w14:paraId="5C70E8E6">
      <w:pPr>
        <w:jc w:val="left"/>
        <w:rPr>
          <w:rFonts w:ascii="宋体" w:hAnsi="宋体"/>
          <w:kern w:val="44"/>
        </w:rPr>
      </w:pPr>
      <w:r>
        <w:rPr>
          <w:rFonts w:hint="eastAsia" w:ascii="宋体" w:hAnsi="宋体"/>
          <w:kern w:val="44"/>
        </w:rPr>
        <w:t>市和区、县人民政府应当加强对恢复与重建资金和物资的监督管理，保证其规范使用。</w:t>
      </w:r>
    </w:p>
    <w:p w14:paraId="70345AA9">
      <w:pPr>
        <w:ind w:firstLine="422"/>
        <w:jc w:val="left"/>
        <w:rPr>
          <w:rFonts w:ascii="宋体" w:hAnsi="宋体"/>
          <w:kern w:val="44"/>
        </w:rPr>
      </w:pPr>
      <w:r>
        <w:rPr>
          <w:rFonts w:hint="eastAsia" w:ascii="宋体" w:hAnsi="宋体"/>
          <w:b/>
          <w:kern w:val="44"/>
        </w:rPr>
        <w:t>第五十七条</w:t>
      </w:r>
      <w:r>
        <w:rPr>
          <w:rFonts w:hint="eastAsia" w:ascii="宋体" w:hAnsi="宋体"/>
          <w:kern w:val="44"/>
        </w:rPr>
        <w:t>　市和区、县人民政府应当组织力量尽快恢复受影响地区的生产、生活和社会秩序，尽快组织修复被损坏的交通、通信、供水、排水、供电、供气、供热、广播、电视等公共设施，及时组织救灾物资和生活必需品的调拨，保障居民基本生活。</w:t>
      </w:r>
    </w:p>
    <w:p w14:paraId="67A5A8E6">
      <w:pPr>
        <w:jc w:val="left"/>
        <w:rPr>
          <w:rFonts w:ascii="宋体" w:hAnsi="宋体"/>
          <w:kern w:val="44"/>
        </w:rPr>
      </w:pPr>
      <w:r>
        <w:rPr>
          <w:rFonts w:hint="eastAsia" w:ascii="宋体" w:hAnsi="宋体"/>
          <w:kern w:val="44"/>
        </w:rPr>
        <w:t>公安机关应当根据实际情况组织加强治安管理工作，预防和制止各种破坏与犯罪活动。</w:t>
      </w:r>
    </w:p>
    <w:p w14:paraId="42DDA6C9">
      <w:pPr>
        <w:ind w:firstLine="422"/>
        <w:jc w:val="left"/>
        <w:rPr>
          <w:rFonts w:ascii="宋体" w:hAnsi="宋体"/>
          <w:kern w:val="44"/>
        </w:rPr>
      </w:pPr>
      <w:r>
        <w:rPr>
          <w:rFonts w:hint="eastAsia" w:ascii="宋体" w:hAnsi="宋体"/>
          <w:b/>
          <w:kern w:val="44"/>
        </w:rPr>
        <w:t>第五十八条</w:t>
      </w:r>
      <w:r>
        <w:rPr>
          <w:rFonts w:hint="eastAsia" w:ascii="宋体" w:hAnsi="宋体"/>
          <w:kern w:val="44"/>
        </w:rPr>
        <w:t>　市和区、县人民政府因应对突发事件采取措施造成公民、法人和其他组织财产损失的，应当按照国家规定给予补偿；国家没有规定的，市人民政府应当组织制定补偿办法。</w:t>
      </w:r>
    </w:p>
    <w:p w14:paraId="2F98E55B">
      <w:pPr>
        <w:jc w:val="left"/>
        <w:rPr>
          <w:rFonts w:ascii="宋体" w:hAnsi="宋体"/>
          <w:kern w:val="44"/>
        </w:rPr>
      </w:pPr>
      <w:r>
        <w:rPr>
          <w:rFonts w:hint="eastAsia" w:ascii="宋体" w:hAnsi="宋体"/>
          <w:kern w:val="44"/>
        </w:rPr>
        <w:t>审计、监察等部门应当对补偿物资和资金的安排、拨付和使用进行监督。</w:t>
      </w:r>
    </w:p>
    <w:p w14:paraId="302FBF86">
      <w:pPr>
        <w:ind w:firstLine="422"/>
        <w:jc w:val="left"/>
        <w:rPr>
          <w:rFonts w:ascii="宋体" w:hAnsi="宋体"/>
          <w:kern w:val="44"/>
        </w:rPr>
      </w:pPr>
      <w:r>
        <w:rPr>
          <w:rFonts w:hint="eastAsia" w:ascii="宋体" w:hAnsi="宋体"/>
          <w:b/>
          <w:kern w:val="44"/>
        </w:rPr>
        <w:t>第五十九条</w:t>
      </w:r>
      <w:r>
        <w:rPr>
          <w:rFonts w:hint="eastAsia" w:ascii="宋体" w:hAnsi="宋体"/>
          <w:kern w:val="44"/>
        </w:rPr>
        <w:t>　市和区、县人民政府应当制定居民住房和基本配套设施修建计划，对受突发事件影响地区的居民进行妥善安置。</w:t>
      </w:r>
    </w:p>
    <w:p w14:paraId="1F8F9216">
      <w:pPr>
        <w:ind w:firstLine="422"/>
        <w:jc w:val="left"/>
        <w:rPr>
          <w:rFonts w:ascii="宋体" w:hAnsi="宋体"/>
          <w:kern w:val="44"/>
        </w:rPr>
      </w:pPr>
      <w:r>
        <w:rPr>
          <w:rFonts w:hint="eastAsia" w:ascii="宋体" w:hAnsi="宋体"/>
          <w:b/>
          <w:kern w:val="44"/>
        </w:rPr>
        <w:t>第六十条</w:t>
      </w:r>
      <w:r>
        <w:rPr>
          <w:rFonts w:hint="eastAsia" w:ascii="宋体" w:hAnsi="宋体"/>
          <w:kern w:val="44"/>
        </w:rPr>
        <w:t>　公民参加应急救援工作或者协助维护社会秩序期间，其在本单位的工资待遇和福利不变。没有工作单位的，由所在地区、县人民政府给予补贴。</w:t>
      </w:r>
    </w:p>
    <w:p w14:paraId="69E88154">
      <w:pPr>
        <w:jc w:val="left"/>
        <w:rPr>
          <w:rFonts w:ascii="宋体" w:hAnsi="宋体"/>
          <w:kern w:val="44"/>
        </w:rPr>
      </w:pPr>
      <w:r>
        <w:rPr>
          <w:rFonts w:hint="eastAsia" w:ascii="宋体" w:hAnsi="宋体"/>
          <w:kern w:val="44"/>
        </w:rPr>
        <w:t>市和区、县人民政府对在应急救援工作中伤亡的人员，依法给予抚恤。</w:t>
      </w:r>
    </w:p>
    <w:p w14:paraId="75B32AEA">
      <w:pPr>
        <w:ind w:firstLine="422"/>
        <w:jc w:val="left"/>
        <w:rPr>
          <w:rFonts w:ascii="宋体" w:hAnsi="宋体"/>
          <w:kern w:val="44"/>
        </w:rPr>
      </w:pPr>
      <w:r>
        <w:rPr>
          <w:rFonts w:hint="eastAsia" w:ascii="宋体" w:hAnsi="宋体"/>
          <w:b/>
          <w:kern w:val="44"/>
        </w:rPr>
        <w:t>第六十一条</w:t>
      </w:r>
      <w:r>
        <w:rPr>
          <w:rFonts w:hint="eastAsia" w:ascii="宋体" w:hAnsi="宋体"/>
          <w:kern w:val="44"/>
        </w:rPr>
        <w:t>　市和区、县人民政府应当根据损失评估情况和有关规定，对受突发事件影响较大的地区和行业给予费用减免、贷款贴息、财政资助等政策扶持，组织提供物资、人力等支持。</w:t>
      </w:r>
    </w:p>
    <w:p w14:paraId="248ABC82">
      <w:pPr>
        <w:ind w:firstLine="422"/>
        <w:jc w:val="left"/>
        <w:rPr>
          <w:rFonts w:ascii="宋体" w:hAnsi="宋体"/>
          <w:kern w:val="44"/>
        </w:rPr>
      </w:pPr>
      <w:r>
        <w:rPr>
          <w:rFonts w:hint="eastAsia" w:ascii="宋体" w:hAnsi="宋体"/>
          <w:b/>
          <w:kern w:val="44"/>
        </w:rPr>
        <w:t>第六十二条</w:t>
      </w:r>
      <w:r>
        <w:rPr>
          <w:rFonts w:hint="eastAsia" w:ascii="宋体" w:hAnsi="宋体"/>
          <w:kern w:val="44"/>
        </w:rPr>
        <w:t>　市和区、县人民政府及其部门应当将突发事件损失情况及时向保险监督管理机构和保险服务机构通报，协助做好保险理赔工作。</w:t>
      </w:r>
    </w:p>
    <w:p w14:paraId="186AD1FF">
      <w:pPr>
        <w:ind w:firstLine="422"/>
        <w:jc w:val="left"/>
        <w:rPr>
          <w:rFonts w:ascii="宋体" w:hAnsi="宋体"/>
          <w:kern w:val="44"/>
        </w:rPr>
      </w:pPr>
      <w:r>
        <w:rPr>
          <w:rFonts w:hint="eastAsia" w:ascii="宋体" w:hAnsi="宋体"/>
          <w:b/>
          <w:kern w:val="44"/>
        </w:rPr>
        <w:t>第六十三条</w:t>
      </w:r>
      <w:r>
        <w:rPr>
          <w:rFonts w:hint="eastAsia" w:ascii="宋体" w:hAnsi="宋体"/>
          <w:kern w:val="44"/>
        </w:rPr>
        <w:t>　市和区、县人民政府及其部门在突发事件应对工作中，应当组织开展心理咨询、抚慰等心理危机干预工作。</w:t>
      </w:r>
    </w:p>
    <w:p w14:paraId="1C3F85CA">
      <w:pPr>
        <w:ind w:firstLine="422"/>
        <w:jc w:val="left"/>
        <w:rPr>
          <w:rFonts w:ascii="宋体" w:hAnsi="宋体"/>
          <w:kern w:val="44"/>
        </w:rPr>
      </w:pPr>
      <w:r>
        <w:rPr>
          <w:rFonts w:hint="eastAsia" w:ascii="宋体" w:hAnsi="宋体"/>
          <w:b/>
          <w:kern w:val="44"/>
        </w:rPr>
        <w:t>第六十四条</w:t>
      </w:r>
      <w:r>
        <w:rPr>
          <w:rFonts w:hint="eastAsia" w:ascii="宋体" w:hAnsi="宋体"/>
          <w:kern w:val="44"/>
        </w:rPr>
        <w:t>　本市建立突发事件应对档案管理制度，对突发事件应对工作进行记录。</w:t>
      </w:r>
    </w:p>
    <w:p w14:paraId="3A7E281A">
      <w:pPr>
        <w:ind w:firstLine="0" w:firstLineChars="0"/>
        <w:jc w:val="center"/>
        <w:rPr>
          <w:rFonts w:ascii="宋体" w:hAnsi="宋体"/>
          <w:b/>
          <w:kern w:val="44"/>
          <w:sz w:val="28"/>
        </w:rPr>
      </w:pPr>
    </w:p>
    <w:p w14:paraId="5F119C74">
      <w:pPr>
        <w:ind w:firstLine="0" w:firstLineChars="0"/>
        <w:jc w:val="center"/>
        <w:rPr>
          <w:rFonts w:ascii="宋体" w:hAnsi="宋体"/>
          <w:b/>
          <w:kern w:val="44"/>
          <w:sz w:val="28"/>
        </w:rPr>
      </w:pPr>
    </w:p>
    <w:p w14:paraId="6646B392">
      <w:pPr>
        <w:ind w:firstLine="0" w:firstLineChars="0"/>
        <w:jc w:val="center"/>
        <w:rPr>
          <w:rFonts w:ascii="宋体" w:hAnsi="宋体"/>
          <w:b/>
          <w:kern w:val="44"/>
          <w:sz w:val="28"/>
        </w:rPr>
      </w:pPr>
      <w:r>
        <w:rPr>
          <w:rFonts w:hint="eastAsia" w:ascii="宋体" w:hAnsi="宋体"/>
          <w:b/>
          <w:kern w:val="44"/>
          <w:sz w:val="28"/>
        </w:rPr>
        <w:t>第六章  法律责任</w:t>
      </w:r>
    </w:p>
    <w:p w14:paraId="0DCC559B">
      <w:pPr>
        <w:jc w:val="left"/>
        <w:rPr>
          <w:rFonts w:ascii="宋体" w:hAnsi="宋体"/>
          <w:kern w:val="44"/>
        </w:rPr>
      </w:pPr>
    </w:p>
    <w:p w14:paraId="0E66EAA3">
      <w:pPr>
        <w:ind w:firstLine="422"/>
        <w:jc w:val="left"/>
        <w:rPr>
          <w:rFonts w:ascii="宋体" w:hAnsi="宋体"/>
          <w:kern w:val="44"/>
        </w:rPr>
      </w:pPr>
      <w:r>
        <w:rPr>
          <w:rFonts w:hint="eastAsia" w:ascii="宋体" w:hAnsi="宋体"/>
          <w:b/>
          <w:kern w:val="44"/>
        </w:rPr>
        <w:t>第六十五条</w:t>
      </w:r>
      <w:r>
        <w:rPr>
          <w:rFonts w:hint="eastAsia" w:ascii="宋体" w:hAnsi="宋体"/>
          <w:kern w:val="44"/>
        </w:rPr>
        <w:t>　对违反本办法的行为，《中华人民共和国突发事件应对法》以及其他有关法律、行政法规已经规定法律责任的，依照法律、行政法规的规定处理。</w:t>
      </w:r>
    </w:p>
    <w:p w14:paraId="4FB57077">
      <w:pPr>
        <w:ind w:firstLine="422"/>
        <w:jc w:val="left"/>
        <w:rPr>
          <w:rFonts w:ascii="宋体" w:hAnsi="宋体"/>
          <w:kern w:val="44"/>
        </w:rPr>
      </w:pPr>
      <w:r>
        <w:rPr>
          <w:rFonts w:hint="eastAsia" w:ascii="宋体" w:hAnsi="宋体"/>
          <w:b/>
          <w:kern w:val="44"/>
        </w:rPr>
        <w:t>第六十六条</w:t>
      </w:r>
      <w:r>
        <w:rPr>
          <w:rFonts w:hint="eastAsia" w:ascii="宋体" w:hAnsi="宋体"/>
          <w:kern w:val="44"/>
        </w:rPr>
        <w:t>　负有突发事件应对管理职责的行政机关违反本办法规定，不履行或者未按照规定履行法定职责的，由其上级行政机关或者监察机关责令改正；有下列情形之一的，根据情节对直接负责的主管人员和其他直接责任人员依法给予行政处分：</w:t>
      </w:r>
    </w:p>
    <w:p w14:paraId="334C2991">
      <w:pPr>
        <w:jc w:val="left"/>
        <w:rPr>
          <w:rFonts w:ascii="宋体" w:hAnsi="宋体"/>
          <w:kern w:val="44"/>
        </w:rPr>
      </w:pPr>
      <w:r>
        <w:rPr>
          <w:rFonts w:hint="eastAsia" w:ascii="宋体" w:hAnsi="宋体"/>
          <w:kern w:val="44"/>
        </w:rPr>
        <w:t>（一）违反本办法第十二条第二、三、四款规定，未制定应急预案的；</w:t>
      </w:r>
    </w:p>
    <w:p w14:paraId="2513A408">
      <w:pPr>
        <w:jc w:val="left"/>
        <w:rPr>
          <w:rFonts w:ascii="宋体" w:hAnsi="宋体"/>
          <w:kern w:val="44"/>
        </w:rPr>
      </w:pPr>
      <w:r>
        <w:rPr>
          <w:rFonts w:hint="eastAsia" w:ascii="宋体" w:hAnsi="宋体"/>
          <w:kern w:val="44"/>
        </w:rPr>
        <w:t>（二）违反本办法第十四条第一款规定，未按照规定制定应急预案的；</w:t>
      </w:r>
    </w:p>
    <w:p w14:paraId="298AAF75">
      <w:pPr>
        <w:jc w:val="left"/>
        <w:rPr>
          <w:rFonts w:ascii="宋体" w:hAnsi="宋体"/>
          <w:kern w:val="44"/>
        </w:rPr>
      </w:pPr>
      <w:r>
        <w:rPr>
          <w:rFonts w:hint="eastAsia" w:ascii="宋体" w:hAnsi="宋体"/>
          <w:kern w:val="44"/>
        </w:rPr>
        <w:t>（三）违反本办法第十六条第一款规定，未对不符合突发事件应对需要的建筑物、构筑物和其他设施采取必要的防范措施，或者未制定改造计划的；</w:t>
      </w:r>
    </w:p>
    <w:p w14:paraId="0D626157">
      <w:pPr>
        <w:jc w:val="left"/>
        <w:rPr>
          <w:rFonts w:ascii="宋体" w:hAnsi="宋体"/>
          <w:kern w:val="44"/>
        </w:rPr>
      </w:pPr>
      <w:r>
        <w:rPr>
          <w:rFonts w:hint="eastAsia" w:ascii="宋体" w:hAnsi="宋体"/>
          <w:kern w:val="44"/>
        </w:rPr>
        <w:t>（四）违反本办法第十六条第二款规定，未设置应急避难场所标志，或者未按照有关规定向社会公布应急避难场所的；</w:t>
      </w:r>
    </w:p>
    <w:p w14:paraId="513917C7">
      <w:pPr>
        <w:jc w:val="left"/>
        <w:rPr>
          <w:rFonts w:ascii="宋体" w:hAnsi="宋体"/>
          <w:kern w:val="44"/>
        </w:rPr>
      </w:pPr>
      <w:r>
        <w:rPr>
          <w:rFonts w:hint="eastAsia" w:ascii="宋体" w:hAnsi="宋体"/>
          <w:kern w:val="44"/>
        </w:rPr>
        <w:t>（五）违反本办法第十八条第一款规定，未履行对危险源、危险区域管理职责的；</w:t>
      </w:r>
    </w:p>
    <w:p w14:paraId="10E8E230">
      <w:pPr>
        <w:jc w:val="left"/>
        <w:rPr>
          <w:rFonts w:ascii="宋体" w:hAnsi="宋体"/>
          <w:kern w:val="44"/>
        </w:rPr>
      </w:pPr>
      <w:r>
        <w:rPr>
          <w:rFonts w:hint="eastAsia" w:ascii="宋体" w:hAnsi="宋体"/>
          <w:kern w:val="44"/>
        </w:rPr>
        <w:t>（六）违反本办法第二十五条规定，未组织应急管理培训的。</w:t>
      </w:r>
    </w:p>
    <w:p w14:paraId="2C4AF8E3">
      <w:pPr>
        <w:ind w:firstLine="422"/>
        <w:jc w:val="left"/>
        <w:rPr>
          <w:rFonts w:ascii="宋体" w:hAnsi="宋体"/>
          <w:kern w:val="44"/>
        </w:rPr>
      </w:pPr>
      <w:r>
        <w:rPr>
          <w:rFonts w:hint="eastAsia" w:ascii="宋体" w:hAnsi="宋体"/>
          <w:b/>
          <w:kern w:val="44"/>
        </w:rPr>
        <w:t>第六十七条</w:t>
      </w:r>
      <w:r>
        <w:rPr>
          <w:rFonts w:hint="eastAsia" w:ascii="宋体" w:hAnsi="宋体"/>
          <w:kern w:val="44"/>
        </w:rPr>
        <w:t>　有关单位有下列情形之一，未采取预防措施，导致发生较大、重大、特别重大突发事件或者突发事件危害扩大的，由市和区、县人民政府责令停产停业，暂扣或者吊销许可证或者营业执照，并处5万元以上20万元以下的罚款；构成违反治安管理行为的，由公安机关依法给予处罚：</w:t>
      </w:r>
    </w:p>
    <w:p w14:paraId="7ED97A16">
      <w:pPr>
        <w:jc w:val="left"/>
        <w:rPr>
          <w:rFonts w:ascii="宋体" w:hAnsi="宋体"/>
          <w:kern w:val="44"/>
        </w:rPr>
      </w:pPr>
      <w:r>
        <w:rPr>
          <w:rFonts w:hint="eastAsia" w:ascii="宋体" w:hAnsi="宋体"/>
          <w:kern w:val="44"/>
        </w:rPr>
        <w:t>（一）违反本办法第十六条第三款规定，未对应急避难场所进行维护、管理，保证其正常使用的；</w:t>
      </w:r>
    </w:p>
    <w:p w14:paraId="4FC9D0D3">
      <w:pPr>
        <w:jc w:val="left"/>
        <w:rPr>
          <w:rFonts w:ascii="宋体" w:hAnsi="宋体"/>
          <w:kern w:val="44"/>
        </w:rPr>
      </w:pPr>
      <w:r>
        <w:rPr>
          <w:rFonts w:hint="eastAsia" w:ascii="宋体" w:hAnsi="宋体"/>
          <w:kern w:val="44"/>
        </w:rPr>
        <w:t>（二）违反本办法第十九条第二款规定，未建立安全巡检制度，或者未及时消除事故隐患的；</w:t>
      </w:r>
    </w:p>
    <w:p w14:paraId="7CF12307">
      <w:pPr>
        <w:jc w:val="left"/>
        <w:rPr>
          <w:rFonts w:ascii="宋体" w:hAnsi="宋体"/>
          <w:kern w:val="44"/>
        </w:rPr>
      </w:pPr>
      <w:r>
        <w:rPr>
          <w:rFonts w:hint="eastAsia" w:ascii="宋体" w:hAnsi="宋体"/>
          <w:kern w:val="44"/>
        </w:rPr>
        <w:t>（三）违反本办法第二十条规定，未遵守有关安全管理规定的；</w:t>
      </w:r>
    </w:p>
    <w:p w14:paraId="0F94AE17">
      <w:pPr>
        <w:jc w:val="left"/>
        <w:rPr>
          <w:rFonts w:ascii="宋体" w:hAnsi="宋体"/>
          <w:kern w:val="44"/>
        </w:rPr>
      </w:pPr>
      <w:r>
        <w:rPr>
          <w:rFonts w:hint="eastAsia" w:ascii="宋体" w:hAnsi="宋体"/>
          <w:kern w:val="44"/>
        </w:rPr>
        <w:t>（四）违反本办法第二十一条第一款规定，未为公共交通工具配备报警装置和应急救援设备的。</w:t>
      </w:r>
    </w:p>
    <w:p w14:paraId="32A923D9">
      <w:pPr>
        <w:jc w:val="left"/>
        <w:rPr>
          <w:rFonts w:ascii="宋体" w:hAnsi="宋体"/>
          <w:kern w:val="44"/>
        </w:rPr>
      </w:pPr>
      <w:r>
        <w:rPr>
          <w:rFonts w:hint="eastAsia" w:ascii="宋体" w:hAnsi="宋体"/>
          <w:kern w:val="44"/>
        </w:rPr>
        <w:t>前款规定的行为，其他法律、行政法规规定由人民政府有关部门依法决定处罚的，依照其规定执行。</w:t>
      </w:r>
    </w:p>
    <w:p w14:paraId="511B84DE">
      <w:pPr>
        <w:jc w:val="left"/>
        <w:rPr>
          <w:rFonts w:ascii="宋体" w:hAnsi="宋体"/>
          <w:kern w:val="44"/>
        </w:rPr>
      </w:pPr>
    </w:p>
    <w:p w14:paraId="03FC76AC">
      <w:pPr>
        <w:ind w:firstLine="0" w:firstLineChars="0"/>
        <w:jc w:val="center"/>
        <w:rPr>
          <w:rFonts w:ascii="宋体" w:hAnsi="宋体"/>
          <w:b/>
          <w:kern w:val="44"/>
          <w:sz w:val="28"/>
        </w:rPr>
      </w:pPr>
      <w:r>
        <w:rPr>
          <w:rFonts w:hint="eastAsia" w:ascii="宋体" w:hAnsi="宋体"/>
          <w:b/>
          <w:kern w:val="44"/>
          <w:sz w:val="28"/>
        </w:rPr>
        <w:t>第七章  附  则</w:t>
      </w:r>
    </w:p>
    <w:p w14:paraId="7096B8A2">
      <w:pPr>
        <w:jc w:val="left"/>
        <w:rPr>
          <w:rFonts w:ascii="宋体" w:hAnsi="宋体"/>
          <w:kern w:val="44"/>
        </w:rPr>
      </w:pPr>
    </w:p>
    <w:p w14:paraId="4664D71C">
      <w:pPr>
        <w:ind w:firstLine="422"/>
        <w:jc w:val="left"/>
        <w:rPr>
          <w:rFonts w:ascii="宋体" w:hAnsi="宋体"/>
          <w:kern w:val="44"/>
        </w:rPr>
      </w:pPr>
      <w:r>
        <w:rPr>
          <w:rFonts w:hint="eastAsia" w:ascii="宋体" w:hAnsi="宋体"/>
          <w:b/>
          <w:kern w:val="44"/>
        </w:rPr>
        <w:t>第六十八条</w:t>
      </w:r>
      <w:r>
        <w:rPr>
          <w:rFonts w:hint="eastAsia" w:ascii="宋体" w:hAnsi="宋体"/>
          <w:kern w:val="44"/>
        </w:rPr>
        <w:t>　本办法自2008年7月1日起施行。</w:t>
      </w:r>
    </w:p>
    <w:p w14:paraId="2FF002BE">
      <w:pPr>
        <w:pStyle w:val="4"/>
        <w:pageBreakBefore/>
        <w:rPr>
          <w:kern w:val="44"/>
        </w:rPr>
      </w:pPr>
      <w:bookmarkStart w:id="265" w:name="_Toc427651416"/>
      <w:bookmarkStart w:id="266" w:name="_Toc428779982"/>
      <w:bookmarkStart w:id="267" w:name="_Toc428781464"/>
      <w:bookmarkStart w:id="268" w:name="_Toc427651758"/>
      <w:bookmarkStart w:id="269" w:name="_Toc422471097"/>
      <w:r>
        <w:rPr>
          <w:rFonts w:hint="eastAsia"/>
          <w:kern w:val="44"/>
        </w:rPr>
        <w:t>北京市信访条例</w:t>
      </w:r>
      <w:bookmarkEnd w:id="265"/>
      <w:bookmarkEnd w:id="266"/>
      <w:bookmarkEnd w:id="267"/>
      <w:bookmarkEnd w:id="268"/>
      <w:bookmarkEnd w:id="269"/>
    </w:p>
    <w:p w14:paraId="1BAB7DF4">
      <w:pPr>
        <w:ind w:left="630" w:leftChars="300" w:right="630" w:rightChars="300"/>
        <w:jc w:val="left"/>
        <w:rPr>
          <w:rFonts w:ascii="楷体" w:hAnsi="楷体" w:eastAsia="楷体"/>
          <w:kern w:val="44"/>
        </w:rPr>
      </w:pPr>
      <w:r>
        <w:rPr>
          <w:rFonts w:hint="eastAsia" w:ascii="楷体" w:hAnsi="楷体" w:eastAsia="楷体"/>
          <w:kern w:val="44"/>
        </w:rPr>
        <w:t>（1994年9月8日北京市第十届人民代表大会常务委员会第十二次会议通过　2006年9月15日北京市第十二届人民代表大会常务委员会第三十次会议修订）</w:t>
      </w:r>
    </w:p>
    <w:p w14:paraId="04C92E29">
      <w:pPr>
        <w:ind w:left="630" w:leftChars="300" w:right="630" w:rightChars="300"/>
        <w:jc w:val="left"/>
        <w:rPr>
          <w:rFonts w:ascii="楷体" w:hAnsi="楷体" w:eastAsia="楷体"/>
          <w:kern w:val="44"/>
        </w:rPr>
      </w:pPr>
    </w:p>
    <w:p w14:paraId="285CD02A">
      <w:pPr>
        <w:ind w:firstLine="0" w:firstLineChars="0"/>
        <w:jc w:val="center"/>
        <w:rPr>
          <w:rFonts w:ascii="宋体" w:hAnsi="宋体"/>
          <w:b/>
          <w:kern w:val="44"/>
          <w:sz w:val="28"/>
        </w:rPr>
      </w:pPr>
      <w:r>
        <w:rPr>
          <w:rFonts w:hint="eastAsia" w:ascii="宋体" w:hAnsi="宋体"/>
          <w:b/>
          <w:kern w:val="44"/>
          <w:sz w:val="28"/>
        </w:rPr>
        <w:t>第一章  总  则</w:t>
      </w:r>
    </w:p>
    <w:p w14:paraId="79C9876D">
      <w:pPr>
        <w:jc w:val="left"/>
        <w:rPr>
          <w:rFonts w:ascii="宋体" w:hAnsi="宋体"/>
          <w:kern w:val="44"/>
        </w:rPr>
      </w:pPr>
    </w:p>
    <w:p w14:paraId="07A2A07B">
      <w:pPr>
        <w:ind w:firstLine="422"/>
        <w:jc w:val="left"/>
        <w:rPr>
          <w:rFonts w:ascii="宋体" w:hAnsi="宋体"/>
          <w:kern w:val="44"/>
        </w:rPr>
      </w:pPr>
      <w:r>
        <w:rPr>
          <w:rFonts w:hint="eastAsia" w:ascii="宋体" w:hAnsi="宋体"/>
          <w:b/>
          <w:kern w:val="44"/>
        </w:rPr>
        <w:t>第一条</w:t>
      </w:r>
      <w:r>
        <w:rPr>
          <w:rFonts w:hint="eastAsia" w:ascii="宋体" w:hAnsi="宋体"/>
          <w:kern w:val="44"/>
        </w:rPr>
        <w:t>　为了保持国家机关同人民群众的密切联系，保护信访人的合法权益，规范信访工作和信访行为，保障信访活动依法有序进行，促进社会主义和谐社会建设，根据《中华人民共和国宪法》、《信访条例》和其他有关法律、行政法规，结合本市实际情况，制定本条例。</w:t>
      </w:r>
    </w:p>
    <w:p w14:paraId="1980B080">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本条例所称信访，是指公民、法人或者其他组织采用书信、电子邮件、传真、电话、走访等形式，向本市国家机关反映情况，提出建议、意见或者投诉请求，依法由有关国家机关处理的活动。</w:t>
      </w:r>
    </w:p>
    <w:p w14:paraId="02E9E548">
      <w:pPr>
        <w:jc w:val="left"/>
        <w:rPr>
          <w:rFonts w:ascii="宋体" w:hAnsi="宋体"/>
          <w:kern w:val="44"/>
        </w:rPr>
      </w:pPr>
      <w:r>
        <w:rPr>
          <w:rFonts w:hint="eastAsia" w:ascii="宋体" w:hAnsi="宋体"/>
          <w:kern w:val="44"/>
        </w:rPr>
        <w:t>本条例所称信访人，是指采用前款规定的形式，反映情况，提出建议、意见或者投诉请求的公民、法人或者其他组织。</w:t>
      </w:r>
    </w:p>
    <w:p w14:paraId="535B1DF8">
      <w:pPr>
        <w:jc w:val="left"/>
        <w:rPr>
          <w:rFonts w:ascii="宋体" w:hAnsi="宋体"/>
          <w:kern w:val="44"/>
        </w:rPr>
      </w:pPr>
      <w:r>
        <w:rPr>
          <w:rFonts w:hint="eastAsia" w:ascii="宋体" w:hAnsi="宋体"/>
          <w:kern w:val="44"/>
        </w:rPr>
        <w:t>本条例所称信访请求，是指信访人向本市国家机关反映的情况，提出的建议、意见或者投诉请求。</w:t>
      </w:r>
    </w:p>
    <w:p w14:paraId="483B23E3">
      <w:pPr>
        <w:jc w:val="left"/>
        <w:rPr>
          <w:rFonts w:ascii="宋体" w:hAnsi="宋体"/>
          <w:kern w:val="44"/>
        </w:rPr>
      </w:pPr>
      <w:r>
        <w:rPr>
          <w:rFonts w:hint="eastAsia" w:ascii="宋体" w:hAnsi="宋体"/>
          <w:kern w:val="44"/>
        </w:rPr>
        <w:t>本条例所称信访事项，是指本市国家机关依法受理的信访请求。</w:t>
      </w:r>
    </w:p>
    <w:p w14:paraId="07846926">
      <w:pPr>
        <w:jc w:val="left"/>
        <w:rPr>
          <w:rFonts w:ascii="宋体" w:hAnsi="宋体"/>
          <w:kern w:val="44"/>
        </w:rPr>
      </w:pPr>
      <w:r>
        <w:rPr>
          <w:rFonts w:hint="eastAsia" w:ascii="宋体" w:hAnsi="宋体"/>
          <w:kern w:val="44"/>
        </w:rPr>
        <w:t>本条例所称国家机关，是指本市各级人民代表大会及其常务委员会、人民政府及其工作部门、人民法院和人民检察院。</w:t>
      </w:r>
    </w:p>
    <w:p w14:paraId="2E1D8FAF">
      <w:pPr>
        <w:ind w:firstLine="422"/>
        <w:jc w:val="left"/>
        <w:rPr>
          <w:rFonts w:ascii="宋体" w:hAnsi="宋体"/>
          <w:kern w:val="44"/>
        </w:rPr>
      </w:pPr>
      <w:r>
        <w:rPr>
          <w:rFonts w:hint="eastAsia" w:ascii="宋体" w:hAnsi="宋体"/>
          <w:b/>
          <w:kern w:val="44"/>
        </w:rPr>
        <w:t>第三条</w:t>
      </w:r>
      <w:r>
        <w:rPr>
          <w:rFonts w:hint="eastAsia" w:ascii="宋体" w:hAnsi="宋体"/>
          <w:kern w:val="44"/>
        </w:rPr>
        <w:t>　本条例适用于本市国家机关的信访工作和信访人的信访活动。</w:t>
      </w:r>
    </w:p>
    <w:p w14:paraId="4FADE2C7">
      <w:pPr>
        <w:jc w:val="left"/>
        <w:rPr>
          <w:rFonts w:ascii="宋体" w:hAnsi="宋体"/>
          <w:kern w:val="44"/>
        </w:rPr>
      </w:pPr>
      <w:r>
        <w:rPr>
          <w:rFonts w:hint="eastAsia" w:ascii="宋体" w:hAnsi="宋体"/>
          <w:kern w:val="44"/>
        </w:rPr>
        <w:t>国家机关处理信访请求，法律、行政法规另有规定的，依照法律、行政法规的规定执行。</w:t>
      </w:r>
    </w:p>
    <w:p w14:paraId="65C264D6">
      <w:pPr>
        <w:ind w:firstLine="422"/>
        <w:jc w:val="left"/>
        <w:rPr>
          <w:rFonts w:ascii="宋体" w:hAnsi="宋体"/>
          <w:kern w:val="44"/>
        </w:rPr>
      </w:pPr>
      <w:r>
        <w:rPr>
          <w:rFonts w:hint="eastAsia" w:ascii="宋体" w:hAnsi="宋体"/>
          <w:b/>
          <w:kern w:val="44"/>
        </w:rPr>
        <w:t>第四条</w:t>
      </w:r>
      <w:r>
        <w:rPr>
          <w:rFonts w:hint="eastAsia" w:ascii="宋体" w:hAnsi="宋体"/>
          <w:kern w:val="44"/>
        </w:rPr>
        <w:t>　国家机关应当加强信访工作，畅通信访渠道，认真处理来信、接待来访，倾听人民群众的意见、建议和要求，接受人民群众的监督，保障信访工作依法有序进行。</w:t>
      </w:r>
    </w:p>
    <w:p w14:paraId="6DD4FBD4">
      <w:pPr>
        <w:ind w:firstLine="422"/>
        <w:jc w:val="left"/>
        <w:rPr>
          <w:rFonts w:ascii="宋体" w:hAnsi="宋体"/>
          <w:kern w:val="44"/>
        </w:rPr>
      </w:pPr>
      <w:r>
        <w:rPr>
          <w:rFonts w:hint="eastAsia" w:ascii="宋体" w:hAnsi="宋体"/>
          <w:b/>
          <w:kern w:val="44"/>
        </w:rPr>
        <w:t>第五条</w:t>
      </w:r>
      <w:r>
        <w:rPr>
          <w:rFonts w:hint="eastAsia" w:ascii="宋体" w:hAnsi="宋体"/>
          <w:kern w:val="44"/>
        </w:rPr>
        <w:t>　本市信访工作应当遵循下列原则：</w:t>
      </w:r>
    </w:p>
    <w:p w14:paraId="58F89EF8">
      <w:pPr>
        <w:jc w:val="left"/>
        <w:rPr>
          <w:rFonts w:ascii="宋体" w:hAnsi="宋体"/>
          <w:kern w:val="44"/>
        </w:rPr>
      </w:pPr>
      <w:r>
        <w:rPr>
          <w:rFonts w:hint="eastAsia" w:ascii="宋体" w:hAnsi="宋体"/>
          <w:kern w:val="44"/>
        </w:rPr>
        <w:t>（一）属地管理、分级负责，谁主管、谁负责；</w:t>
      </w:r>
    </w:p>
    <w:p w14:paraId="1BCBCDBC">
      <w:pPr>
        <w:jc w:val="left"/>
        <w:rPr>
          <w:rFonts w:ascii="宋体" w:hAnsi="宋体"/>
          <w:kern w:val="44"/>
        </w:rPr>
      </w:pPr>
      <w:r>
        <w:rPr>
          <w:rFonts w:hint="eastAsia" w:ascii="宋体" w:hAnsi="宋体"/>
          <w:kern w:val="44"/>
        </w:rPr>
        <w:t>（二）依法、及时、就地解决问题与疏导教育相结合；</w:t>
      </w:r>
    </w:p>
    <w:p w14:paraId="6761A845">
      <w:pPr>
        <w:jc w:val="left"/>
        <w:rPr>
          <w:rFonts w:ascii="宋体" w:hAnsi="宋体"/>
          <w:kern w:val="44"/>
        </w:rPr>
      </w:pPr>
      <w:r>
        <w:rPr>
          <w:rFonts w:hint="eastAsia" w:ascii="宋体" w:hAnsi="宋体"/>
          <w:kern w:val="44"/>
        </w:rPr>
        <w:t>（三）有关的国家机关、基层组织、社会团体、企业事业单位相互配合；</w:t>
      </w:r>
    </w:p>
    <w:p w14:paraId="1489988D">
      <w:pPr>
        <w:jc w:val="left"/>
        <w:rPr>
          <w:rFonts w:ascii="宋体" w:hAnsi="宋体"/>
          <w:kern w:val="44"/>
        </w:rPr>
      </w:pPr>
      <w:r>
        <w:rPr>
          <w:rFonts w:hint="eastAsia" w:ascii="宋体" w:hAnsi="宋体"/>
          <w:kern w:val="44"/>
        </w:rPr>
        <w:t>（四）方便信访人。</w:t>
      </w:r>
    </w:p>
    <w:p w14:paraId="15D27831">
      <w:pPr>
        <w:ind w:firstLine="422"/>
        <w:jc w:val="left"/>
        <w:rPr>
          <w:rFonts w:ascii="宋体" w:hAnsi="宋体"/>
          <w:kern w:val="44"/>
        </w:rPr>
      </w:pPr>
      <w:r>
        <w:rPr>
          <w:rFonts w:hint="eastAsia" w:ascii="宋体" w:hAnsi="宋体"/>
          <w:b/>
          <w:kern w:val="44"/>
        </w:rPr>
        <w:t>第六条</w:t>
      </w:r>
      <w:r>
        <w:rPr>
          <w:rFonts w:hint="eastAsia" w:ascii="宋体" w:hAnsi="宋体"/>
          <w:kern w:val="44"/>
        </w:rPr>
        <w:t>　国家机关信访工作实行领导责任制。</w:t>
      </w:r>
    </w:p>
    <w:p w14:paraId="6BF28712">
      <w:pPr>
        <w:jc w:val="left"/>
        <w:rPr>
          <w:rFonts w:ascii="宋体" w:hAnsi="宋体"/>
          <w:kern w:val="44"/>
        </w:rPr>
      </w:pPr>
      <w:r>
        <w:rPr>
          <w:rFonts w:hint="eastAsia" w:ascii="宋体" w:hAnsi="宋体"/>
          <w:kern w:val="44"/>
        </w:rPr>
        <w:t>国家机关主要负责人对信访工作负总责，主管负责人负主管责任，其他负责人按照工作分工负分管责任。</w:t>
      </w:r>
    </w:p>
    <w:p w14:paraId="15B81F38">
      <w:pPr>
        <w:ind w:firstLine="422"/>
        <w:jc w:val="left"/>
        <w:rPr>
          <w:rFonts w:ascii="宋体" w:hAnsi="宋体"/>
          <w:kern w:val="44"/>
        </w:rPr>
      </w:pPr>
      <w:r>
        <w:rPr>
          <w:rFonts w:hint="eastAsia" w:ascii="宋体" w:hAnsi="宋体"/>
          <w:b/>
          <w:kern w:val="44"/>
        </w:rPr>
        <w:t>第七条</w:t>
      </w:r>
      <w:r>
        <w:rPr>
          <w:rFonts w:hint="eastAsia" w:ascii="宋体" w:hAnsi="宋体"/>
          <w:kern w:val="44"/>
        </w:rPr>
        <w:t>　国家机关应当将通过信访渠道收集的信息纳入决策评价体系，科学、民主决策，依法履行职责，从源头上预防、化解导致信访事项的社会矛盾和纠纷。</w:t>
      </w:r>
    </w:p>
    <w:p w14:paraId="3AA74761">
      <w:pPr>
        <w:jc w:val="left"/>
        <w:rPr>
          <w:rFonts w:ascii="宋体" w:hAnsi="宋体"/>
          <w:kern w:val="44"/>
        </w:rPr>
      </w:pPr>
      <w:r>
        <w:rPr>
          <w:rFonts w:hint="eastAsia" w:ascii="宋体" w:hAnsi="宋体"/>
          <w:kern w:val="44"/>
        </w:rPr>
        <w:t>国家机关应当建立健全社会利益协调机制，综合运用法律、行政、经济、政策等手段和教育、协调、调解等方法，依法、及时、合理地处理群众反映的问题。</w:t>
      </w:r>
    </w:p>
    <w:p w14:paraId="65357BD9">
      <w:pPr>
        <w:ind w:firstLine="422"/>
        <w:jc w:val="left"/>
        <w:rPr>
          <w:rFonts w:ascii="宋体" w:hAnsi="宋体"/>
          <w:kern w:val="44"/>
        </w:rPr>
      </w:pPr>
      <w:r>
        <w:rPr>
          <w:rFonts w:hint="eastAsia" w:ascii="宋体" w:hAnsi="宋体"/>
          <w:b/>
          <w:kern w:val="44"/>
        </w:rPr>
        <w:t>第八条</w:t>
      </w:r>
      <w:r>
        <w:rPr>
          <w:rFonts w:hint="eastAsia" w:ascii="宋体" w:hAnsi="宋体"/>
          <w:kern w:val="44"/>
        </w:rPr>
        <w:t>　国家机关应当建立健全信访工作责任制，将信访工作纳入机关绩效评价指标体系。</w:t>
      </w:r>
    </w:p>
    <w:p w14:paraId="6BC23100">
      <w:pPr>
        <w:ind w:firstLine="422"/>
        <w:jc w:val="left"/>
        <w:rPr>
          <w:rFonts w:ascii="宋体" w:hAnsi="宋体"/>
          <w:kern w:val="44"/>
        </w:rPr>
      </w:pPr>
      <w:r>
        <w:rPr>
          <w:rFonts w:hint="eastAsia" w:ascii="宋体" w:hAnsi="宋体"/>
          <w:b/>
          <w:kern w:val="44"/>
        </w:rPr>
        <w:t>第九条</w:t>
      </w:r>
      <w:r>
        <w:rPr>
          <w:rFonts w:hint="eastAsia" w:ascii="宋体" w:hAnsi="宋体"/>
          <w:kern w:val="44"/>
        </w:rPr>
        <w:t>　本市建立矛盾纠纷排查调处制度，对排查出的可能影响社会稳定的重大社会矛盾和纠纷，采取疏导、协调、交办、督办、工作建议等方式予以化解。</w:t>
      </w:r>
    </w:p>
    <w:p w14:paraId="412D8A4A">
      <w:pPr>
        <w:jc w:val="left"/>
        <w:rPr>
          <w:rFonts w:ascii="宋体" w:hAnsi="宋体"/>
          <w:kern w:val="44"/>
        </w:rPr>
      </w:pPr>
      <w:r>
        <w:rPr>
          <w:rFonts w:hint="eastAsia" w:ascii="宋体" w:hAnsi="宋体"/>
          <w:kern w:val="44"/>
        </w:rPr>
        <w:t>国家机关发现重大、紧急信访信息时，应当按照有关规定及时上报，并在职责范围内依法及时采取措施。</w:t>
      </w:r>
    </w:p>
    <w:p w14:paraId="30F323F3">
      <w:pPr>
        <w:ind w:firstLine="422"/>
        <w:jc w:val="left"/>
        <w:rPr>
          <w:rFonts w:ascii="宋体" w:hAnsi="宋体"/>
          <w:kern w:val="44"/>
        </w:rPr>
      </w:pPr>
      <w:r>
        <w:rPr>
          <w:rFonts w:hint="eastAsia" w:ascii="宋体" w:hAnsi="宋体"/>
          <w:b/>
          <w:kern w:val="44"/>
        </w:rPr>
        <w:t>第十条</w:t>
      </w:r>
      <w:r>
        <w:rPr>
          <w:rFonts w:hint="eastAsia" w:ascii="宋体" w:hAnsi="宋体"/>
          <w:kern w:val="44"/>
        </w:rPr>
        <w:t>　本市建立信访工作联席会议制度，通过会商、协调、督查等方式，研究处理重大、复杂、疑难信访事项。</w:t>
      </w:r>
    </w:p>
    <w:p w14:paraId="70BE638D">
      <w:pPr>
        <w:ind w:firstLine="422"/>
        <w:jc w:val="left"/>
        <w:rPr>
          <w:rFonts w:ascii="宋体" w:hAnsi="宋体"/>
          <w:kern w:val="44"/>
        </w:rPr>
      </w:pPr>
      <w:r>
        <w:rPr>
          <w:rFonts w:hint="eastAsia" w:ascii="宋体" w:hAnsi="宋体"/>
          <w:b/>
          <w:kern w:val="44"/>
        </w:rPr>
        <w:t>第十一条</w:t>
      </w:r>
      <w:r>
        <w:rPr>
          <w:rFonts w:hint="eastAsia" w:ascii="宋体" w:hAnsi="宋体"/>
          <w:kern w:val="44"/>
        </w:rPr>
        <w:t>　国家机关应当建立和完善人民建议征集制度。信访人提出的建议对国民经济和社会发展或者对改进工作以及保护社会公共利益有贡献的，由有关国家机关给予奖励和表彰。</w:t>
      </w:r>
    </w:p>
    <w:p w14:paraId="506EEF1A">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本市社会团体、企业事业单位的主要负责人对本单位信访工作负总责。</w:t>
      </w:r>
    </w:p>
    <w:p w14:paraId="7B22490D">
      <w:pPr>
        <w:jc w:val="left"/>
        <w:rPr>
          <w:rFonts w:ascii="宋体" w:hAnsi="宋体"/>
          <w:kern w:val="44"/>
        </w:rPr>
      </w:pPr>
      <w:r>
        <w:rPr>
          <w:rFonts w:hint="eastAsia" w:ascii="宋体" w:hAnsi="宋体"/>
          <w:kern w:val="44"/>
        </w:rPr>
        <w:t>本市社会团体、企业事业单位应当兼顾单位利益、职工利益和社会公共利益，主动排查、妥善处理本单位导致信访事项的矛盾和纠纷，积极协助国家机关做好涉及本单位的信访工作，共同维护社会稳定。</w:t>
      </w:r>
    </w:p>
    <w:p w14:paraId="4E57AEA5">
      <w:pPr>
        <w:ind w:firstLine="422"/>
        <w:jc w:val="left"/>
        <w:rPr>
          <w:rFonts w:ascii="宋体" w:hAnsi="宋体"/>
          <w:kern w:val="44"/>
        </w:rPr>
      </w:pPr>
      <w:r>
        <w:rPr>
          <w:rFonts w:hint="eastAsia" w:ascii="宋体" w:hAnsi="宋体"/>
          <w:b/>
          <w:kern w:val="44"/>
        </w:rPr>
        <w:t>第十三条</w:t>
      </w:r>
      <w:r>
        <w:rPr>
          <w:rFonts w:hint="eastAsia" w:ascii="宋体" w:hAnsi="宋体"/>
          <w:kern w:val="44"/>
        </w:rPr>
        <w:t>　国家机关可以聘请律师、心理咨询师、相关领域专家、社会志愿者，为信访人和国家机关提供法律和其他专业知识的咨询服务。</w:t>
      </w:r>
    </w:p>
    <w:p w14:paraId="0730E6DE">
      <w:pPr>
        <w:jc w:val="left"/>
        <w:rPr>
          <w:rFonts w:ascii="宋体" w:hAnsi="宋体"/>
          <w:kern w:val="44"/>
        </w:rPr>
      </w:pPr>
      <w:r>
        <w:rPr>
          <w:rFonts w:hint="eastAsia" w:ascii="宋体" w:hAnsi="宋体"/>
          <w:kern w:val="44"/>
        </w:rPr>
        <w:t>司法行政部门应当根据信访工作需要，组织律师采取多种形式为信访人提供法律咨询服务。</w:t>
      </w:r>
    </w:p>
    <w:p w14:paraId="5AA2E279">
      <w:pPr>
        <w:ind w:firstLine="422"/>
        <w:jc w:val="left"/>
        <w:rPr>
          <w:rFonts w:ascii="宋体" w:hAnsi="宋体"/>
          <w:kern w:val="44"/>
        </w:rPr>
      </w:pPr>
      <w:r>
        <w:rPr>
          <w:rFonts w:hint="eastAsia" w:ascii="宋体" w:hAnsi="宋体"/>
          <w:b/>
          <w:kern w:val="44"/>
        </w:rPr>
        <w:t>第十四条</w:t>
      </w:r>
      <w:r>
        <w:rPr>
          <w:rFonts w:hint="eastAsia" w:ascii="宋体" w:hAnsi="宋体"/>
          <w:kern w:val="44"/>
        </w:rPr>
        <w:t>　本市信访工作所需经费，列入各级财政预算。</w:t>
      </w:r>
    </w:p>
    <w:p w14:paraId="3015AC14">
      <w:pPr>
        <w:jc w:val="left"/>
        <w:rPr>
          <w:rFonts w:ascii="宋体" w:hAnsi="宋体"/>
          <w:kern w:val="44"/>
        </w:rPr>
      </w:pPr>
    </w:p>
    <w:p w14:paraId="02D2ED45">
      <w:pPr>
        <w:ind w:firstLine="0" w:firstLineChars="0"/>
        <w:jc w:val="center"/>
        <w:rPr>
          <w:rFonts w:ascii="宋体" w:hAnsi="宋体"/>
          <w:b/>
          <w:kern w:val="44"/>
          <w:sz w:val="28"/>
        </w:rPr>
      </w:pPr>
      <w:r>
        <w:rPr>
          <w:rFonts w:hint="eastAsia" w:ascii="宋体" w:hAnsi="宋体"/>
          <w:b/>
          <w:kern w:val="44"/>
          <w:sz w:val="28"/>
        </w:rPr>
        <w:t>第二章　信访人的权利和义务</w:t>
      </w:r>
    </w:p>
    <w:p w14:paraId="74C3653E">
      <w:pPr>
        <w:jc w:val="left"/>
        <w:rPr>
          <w:rFonts w:ascii="宋体" w:hAnsi="宋体"/>
          <w:kern w:val="44"/>
        </w:rPr>
      </w:pPr>
    </w:p>
    <w:p w14:paraId="0D3A100A">
      <w:pPr>
        <w:ind w:firstLine="422"/>
        <w:jc w:val="left"/>
        <w:rPr>
          <w:rFonts w:ascii="宋体" w:hAnsi="宋体"/>
          <w:kern w:val="44"/>
        </w:rPr>
      </w:pPr>
      <w:r>
        <w:rPr>
          <w:rFonts w:hint="eastAsia" w:ascii="宋体" w:hAnsi="宋体"/>
          <w:b/>
          <w:kern w:val="44"/>
        </w:rPr>
        <w:t>第十五条</w:t>
      </w:r>
      <w:r>
        <w:rPr>
          <w:rFonts w:hint="eastAsia" w:ascii="宋体" w:hAnsi="宋体"/>
          <w:kern w:val="44"/>
        </w:rPr>
        <w:t>　信访人依法信访受法律保护，任何组织和个人不得压制、打击报复。</w:t>
      </w:r>
    </w:p>
    <w:p w14:paraId="1AE6A1E6">
      <w:pPr>
        <w:ind w:firstLine="422"/>
        <w:jc w:val="left"/>
        <w:rPr>
          <w:rFonts w:ascii="宋体" w:hAnsi="宋体"/>
          <w:kern w:val="44"/>
        </w:rPr>
      </w:pPr>
      <w:r>
        <w:rPr>
          <w:rFonts w:hint="eastAsia" w:ascii="宋体" w:hAnsi="宋体"/>
          <w:b/>
          <w:kern w:val="44"/>
        </w:rPr>
        <w:t>第十六条</w:t>
      </w:r>
      <w:r>
        <w:rPr>
          <w:rFonts w:hint="eastAsia" w:ascii="宋体" w:hAnsi="宋体"/>
          <w:kern w:val="44"/>
        </w:rPr>
        <w:t>　信访人在信访活动中依法享有下列权利：</w:t>
      </w:r>
    </w:p>
    <w:p w14:paraId="497ADB53">
      <w:pPr>
        <w:jc w:val="left"/>
        <w:rPr>
          <w:rFonts w:ascii="宋体" w:hAnsi="宋体"/>
          <w:kern w:val="44"/>
        </w:rPr>
      </w:pPr>
      <w:r>
        <w:rPr>
          <w:rFonts w:hint="eastAsia" w:ascii="宋体" w:hAnsi="宋体"/>
          <w:kern w:val="44"/>
        </w:rPr>
        <w:t>（一）了解信访工作制度和信访事项的处理程序；</w:t>
      </w:r>
    </w:p>
    <w:p w14:paraId="130EBEB8">
      <w:pPr>
        <w:jc w:val="left"/>
        <w:rPr>
          <w:rFonts w:ascii="宋体" w:hAnsi="宋体"/>
          <w:kern w:val="44"/>
        </w:rPr>
      </w:pPr>
      <w:r>
        <w:rPr>
          <w:rFonts w:hint="eastAsia" w:ascii="宋体" w:hAnsi="宋体"/>
          <w:kern w:val="44"/>
        </w:rPr>
        <w:t>（二）要求信访工作人员提供与其信访请求有关的咨询服务；</w:t>
      </w:r>
    </w:p>
    <w:p w14:paraId="7D2F3E3C">
      <w:pPr>
        <w:jc w:val="left"/>
        <w:rPr>
          <w:rFonts w:ascii="宋体" w:hAnsi="宋体"/>
          <w:kern w:val="44"/>
        </w:rPr>
      </w:pPr>
      <w:r>
        <w:rPr>
          <w:rFonts w:hint="eastAsia" w:ascii="宋体" w:hAnsi="宋体"/>
          <w:kern w:val="44"/>
        </w:rPr>
        <w:t>（三）对有直接利害关系的信访工作人员提出回避请求；</w:t>
      </w:r>
    </w:p>
    <w:p w14:paraId="6B99BFB3">
      <w:pPr>
        <w:jc w:val="left"/>
        <w:rPr>
          <w:rFonts w:ascii="宋体" w:hAnsi="宋体"/>
          <w:kern w:val="44"/>
        </w:rPr>
      </w:pPr>
      <w:r>
        <w:rPr>
          <w:rFonts w:hint="eastAsia" w:ascii="宋体" w:hAnsi="宋体"/>
          <w:kern w:val="44"/>
        </w:rPr>
        <w:t>（四）向办理机关查询其信访事项的办理情况；</w:t>
      </w:r>
    </w:p>
    <w:p w14:paraId="2BF6B381">
      <w:pPr>
        <w:jc w:val="left"/>
        <w:rPr>
          <w:rFonts w:ascii="宋体" w:hAnsi="宋体"/>
          <w:kern w:val="44"/>
        </w:rPr>
      </w:pPr>
      <w:r>
        <w:rPr>
          <w:rFonts w:hint="eastAsia" w:ascii="宋体" w:hAnsi="宋体"/>
          <w:kern w:val="44"/>
        </w:rPr>
        <w:t>（五）要求对姓名以及涉及个人隐私的事项予以保密；</w:t>
      </w:r>
    </w:p>
    <w:p w14:paraId="591701CD">
      <w:pPr>
        <w:jc w:val="left"/>
        <w:rPr>
          <w:rFonts w:ascii="宋体" w:hAnsi="宋体"/>
          <w:kern w:val="44"/>
        </w:rPr>
      </w:pPr>
      <w:r>
        <w:rPr>
          <w:rFonts w:hint="eastAsia" w:ascii="宋体" w:hAnsi="宋体"/>
          <w:kern w:val="44"/>
        </w:rPr>
        <w:t>（六）法律、法规、规章规定的其他权利。</w:t>
      </w:r>
    </w:p>
    <w:p w14:paraId="031E2CFC">
      <w:pPr>
        <w:ind w:firstLine="422"/>
        <w:jc w:val="left"/>
        <w:rPr>
          <w:rFonts w:ascii="宋体" w:hAnsi="宋体"/>
          <w:kern w:val="44"/>
        </w:rPr>
      </w:pPr>
      <w:r>
        <w:rPr>
          <w:rFonts w:hint="eastAsia" w:ascii="宋体" w:hAnsi="宋体"/>
          <w:b/>
          <w:kern w:val="44"/>
        </w:rPr>
        <w:t>第十七条</w:t>
      </w:r>
      <w:r>
        <w:rPr>
          <w:rFonts w:hint="eastAsia" w:ascii="宋体" w:hAnsi="宋体"/>
          <w:kern w:val="44"/>
        </w:rPr>
        <w:t>　信访人在信访活动中应当依法履行下列义务：</w:t>
      </w:r>
    </w:p>
    <w:p w14:paraId="5F3E1D23">
      <w:pPr>
        <w:jc w:val="left"/>
        <w:rPr>
          <w:rFonts w:ascii="宋体" w:hAnsi="宋体"/>
          <w:kern w:val="44"/>
        </w:rPr>
      </w:pPr>
      <w:r>
        <w:rPr>
          <w:rFonts w:hint="eastAsia" w:ascii="宋体" w:hAnsi="宋体"/>
          <w:kern w:val="44"/>
        </w:rPr>
        <w:t>（一）遵守法律、法规，尊重社会公德，自觉维护社会公共秩序和信访秩序，不得损害国家、社会、集体的利益和其他公民的合法权利；</w:t>
      </w:r>
    </w:p>
    <w:p w14:paraId="195A2EE5">
      <w:pPr>
        <w:jc w:val="left"/>
        <w:rPr>
          <w:rFonts w:ascii="宋体" w:hAnsi="宋体"/>
          <w:kern w:val="44"/>
        </w:rPr>
      </w:pPr>
      <w:r>
        <w:rPr>
          <w:rFonts w:hint="eastAsia" w:ascii="宋体" w:hAnsi="宋体"/>
          <w:kern w:val="44"/>
        </w:rPr>
        <w:t>（二）提出的信访请求客观真实，不得歪曲、捏造事实，不得诬告、陷害他人；</w:t>
      </w:r>
    </w:p>
    <w:p w14:paraId="40146961">
      <w:pPr>
        <w:jc w:val="left"/>
        <w:rPr>
          <w:rFonts w:ascii="宋体" w:hAnsi="宋体"/>
          <w:kern w:val="44"/>
        </w:rPr>
      </w:pPr>
      <w:r>
        <w:rPr>
          <w:rFonts w:hint="eastAsia" w:ascii="宋体" w:hAnsi="宋体"/>
          <w:kern w:val="44"/>
        </w:rPr>
        <w:t>（三）依照法律、法规规定的方式和程序进行信访活动；</w:t>
      </w:r>
    </w:p>
    <w:p w14:paraId="701C9E41">
      <w:pPr>
        <w:jc w:val="left"/>
        <w:rPr>
          <w:rFonts w:ascii="宋体" w:hAnsi="宋体"/>
          <w:kern w:val="44"/>
        </w:rPr>
      </w:pPr>
      <w:r>
        <w:rPr>
          <w:rFonts w:hint="eastAsia" w:ascii="宋体" w:hAnsi="宋体"/>
          <w:kern w:val="44"/>
        </w:rPr>
        <w:t>（四）履行符合法律、法规、规章、政策的处理决定；</w:t>
      </w:r>
    </w:p>
    <w:p w14:paraId="6E474F3C">
      <w:pPr>
        <w:jc w:val="left"/>
        <w:rPr>
          <w:rFonts w:ascii="宋体" w:hAnsi="宋体"/>
          <w:kern w:val="44"/>
        </w:rPr>
      </w:pPr>
      <w:r>
        <w:rPr>
          <w:rFonts w:hint="eastAsia" w:ascii="宋体" w:hAnsi="宋体"/>
          <w:kern w:val="44"/>
        </w:rPr>
        <w:t>（五）法律、法规规定的其他义务。</w:t>
      </w:r>
    </w:p>
    <w:p w14:paraId="60082F9F">
      <w:pPr>
        <w:jc w:val="left"/>
        <w:rPr>
          <w:rFonts w:ascii="宋体" w:hAnsi="宋体"/>
          <w:kern w:val="44"/>
        </w:rPr>
      </w:pPr>
    </w:p>
    <w:p w14:paraId="4C057D15">
      <w:pPr>
        <w:ind w:firstLine="0" w:firstLineChars="0"/>
        <w:jc w:val="center"/>
        <w:rPr>
          <w:rFonts w:ascii="宋体" w:hAnsi="宋体"/>
          <w:b/>
          <w:kern w:val="44"/>
        </w:rPr>
      </w:pPr>
      <w:r>
        <w:rPr>
          <w:rFonts w:hint="eastAsia" w:ascii="宋体" w:hAnsi="宋体"/>
          <w:b/>
          <w:kern w:val="44"/>
          <w:sz w:val="28"/>
        </w:rPr>
        <w:t>第三章　信访工作机构和信访工作人员</w:t>
      </w:r>
    </w:p>
    <w:p w14:paraId="68C2F82A">
      <w:pPr>
        <w:jc w:val="left"/>
        <w:rPr>
          <w:rFonts w:ascii="宋体" w:hAnsi="宋体"/>
          <w:kern w:val="44"/>
        </w:rPr>
      </w:pPr>
    </w:p>
    <w:p w14:paraId="5D5C82F2">
      <w:pPr>
        <w:ind w:firstLine="422"/>
        <w:jc w:val="left"/>
        <w:rPr>
          <w:rFonts w:ascii="宋体" w:hAnsi="宋体"/>
          <w:kern w:val="44"/>
        </w:rPr>
      </w:pPr>
      <w:r>
        <w:rPr>
          <w:rFonts w:hint="eastAsia" w:ascii="宋体" w:hAnsi="宋体"/>
          <w:b/>
          <w:kern w:val="44"/>
        </w:rPr>
        <w:t>第十八条</w:t>
      </w:r>
      <w:r>
        <w:rPr>
          <w:rFonts w:hint="eastAsia" w:ascii="宋体" w:hAnsi="宋体"/>
          <w:kern w:val="44"/>
        </w:rPr>
        <w:t>　各级人民代表大会常务委员会应当设立信访工作机构，配备专职工作人员。</w:t>
      </w:r>
    </w:p>
    <w:p w14:paraId="1B35C751">
      <w:pPr>
        <w:jc w:val="left"/>
        <w:rPr>
          <w:rFonts w:ascii="宋体" w:hAnsi="宋体"/>
          <w:kern w:val="44"/>
        </w:rPr>
      </w:pPr>
      <w:r>
        <w:rPr>
          <w:rFonts w:hint="eastAsia" w:ascii="宋体" w:hAnsi="宋体"/>
          <w:kern w:val="44"/>
        </w:rPr>
        <w:t>各级人民政府及街道办事处应当设立信访工作机构，配备专职信访工作人员；各级人民政府工作部门应当根据需要设立或者确定负责信访工作的机构，配备相应的专、兼职工作人员。</w:t>
      </w:r>
    </w:p>
    <w:p w14:paraId="2D45934F">
      <w:pPr>
        <w:jc w:val="left"/>
        <w:rPr>
          <w:rFonts w:ascii="宋体" w:hAnsi="宋体"/>
          <w:kern w:val="44"/>
        </w:rPr>
      </w:pPr>
      <w:r>
        <w:rPr>
          <w:rFonts w:hint="eastAsia" w:ascii="宋体" w:hAnsi="宋体"/>
          <w:kern w:val="44"/>
        </w:rPr>
        <w:t>各级人民法院、人民检察院应当根据需要设立或者确定负责信访工作的机构，配备相应的工作人员。</w:t>
      </w:r>
    </w:p>
    <w:p w14:paraId="2FF422AE">
      <w:pPr>
        <w:ind w:firstLine="422"/>
        <w:jc w:val="left"/>
        <w:rPr>
          <w:rFonts w:ascii="宋体" w:hAnsi="宋体"/>
          <w:kern w:val="44"/>
        </w:rPr>
      </w:pPr>
      <w:r>
        <w:rPr>
          <w:rFonts w:hint="eastAsia" w:ascii="宋体" w:hAnsi="宋体"/>
          <w:b/>
          <w:kern w:val="44"/>
        </w:rPr>
        <w:t>第十九条</w:t>
      </w:r>
      <w:r>
        <w:rPr>
          <w:rFonts w:hint="eastAsia" w:ascii="宋体" w:hAnsi="宋体"/>
          <w:kern w:val="44"/>
        </w:rPr>
        <w:t>　信访工作机构履行下列职责：</w:t>
      </w:r>
    </w:p>
    <w:p w14:paraId="0E553F66">
      <w:pPr>
        <w:jc w:val="left"/>
        <w:rPr>
          <w:rFonts w:ascii="宋体" w:hAnsi="宋体"/>
          <w:kern w:val="44"/>
        </w:rPr>
      </w:pPr>
      <w:r>
        <w:rPr>
          <w:rFonts w:hint="eastAsia" w:ascii="宋体" w:hAnsi="宋体"/>
          <w:kern w:val="44"/>
        </w:rPr>
        <w:t>（一）处理信访请求；</w:t>
      </w:r>
    </w:p>
    <w:p w14:paraId="142966B9">
      <w:pPr>
        <w:jc w:val="left"/>
        <w:rPr>
          <w:rFonts w:ascii="宋体" w:hAnsi="宋体"/>
          <w:kern w:val="44"/>
        </w:rPr>
      </w:pPr>
      <w:r>
        <w:rPr>
          <w:rFonts w:hint="eastAsia" w:ascii="宋体" w:hAnsi="宋体"/>
          <w:kern w:val="44"/>
        </w:rPr>
        <w:t>（二）办理信访事项；</w:t>
      </w:r>
    </w:p>
    <w:p w14:paraId="78F4D3CE">
      <w:pPr>
        <w:jc w:val="left"/>
        <w:rPr>
          <w:rFonts w:ascii="宋体" w:hAnsi="宋体"/>
          <w:kern w:val="44"/>
        </w:rPr>
      </w:pPr>
      <w:r>
        <w:rPr>
          <w:rFonts w:hint="eastAsia" w:ascii="宋体" w:hAnsi="宋体"/>
          <w:kern w:val="44"/>
        </w:rPr>
        <w:t>（三）协调、督促检查信访请求的处理和信访事项办理意见的落实，提出改进工作、追究责任的建议；</w:t>
      </w:r>
    </w:p>
    <w:p w14:paraId="2B10BBE7">
      <w:pPr>
        <w:jc w:val="left"/>
        <w:rPr>
          <w:rFonts w:ascii="宋体" w:hAnsi="宋体"/>
          <w:kern w:val="44"/>
        </w:rPr>
      </w:pPr>
      <w:r>
        <w:rPr>
          <w:rFonts w:hint="eastAsia" w:ascii="宋体" w:hAnsi="宋体"/>
          <w:kern w:val="44"/>
        </w:rPr>
        <w:t>（四）提供与信访人提出的信访请求有关的咨询服务；</w:t>
      </w:r>
    </w:p>
    <w:p w14:paraId="453A0879">
      <w:pPr>
        <w:jc w:val="left"/>
        <w:rPr>
          <w:rFonts w:ascii="宋体" w:hAnsi="宋体"/>
          <w:kern w:val="44"/>
        </w:rPr>
      </w:pPr>
      <w:r>
        <w:rPr>
          <w:rFonts w:hint="eastAsia" w:ascii="宋体" w:hAnsi="宋体"/>
          <w:kern w:val="44"/>
        </w:rPr>
        <w:t>（五）研究、分析信访情况，开展调查研究，及时向有关国家机关提出完善政策和改进工作的建议；</w:t>
      </w:r>
    </w:p>
    <w:p w14:paraId="49E4EBF8">
      <w:pPr>
        <w:jc w:val="left"/>
        <w:rPr>
          <w:rFonts w:ascii="宋体" w:hAnsi="宋体"/>
          <w:kern w:val="44"/>
        </w:rPr>
      </w:pPr>
      <w:r>
        <w:rPr>
          <w:rFonts w:hint="eastAsia" w:ascii="宋体" w:hAnsi="宋体"/>
          <w:kern w:val="44"/>
        </w:rPr>
        <w:t>（六）指导、督促、检查下级国家机关的信访工作，总结交流信访工作经验；</w:t>
      </w:r>
    </w:p>
    <w:p w14:paraId="3B4311C8">
      <w:pPr>
        <w:jc w:val="left"/>
        <w:rPr>
          <w:rFonts w:ascii="宋体" w:hAnsi="宋体"/>
          <w:kern w:val="44"/>
        </w:rPr>
      </w:pPr>
      <w:r>
        <w:rPr>
          <w:rFonts w:hint="eastAsia" w:ascii="宋体" w:hAnsi="宋体"/>
          <w:kern w:val="44"/>
        </w:rPr>
        <w:t>（七）宣传有关法律、法规、政策，引导信访人依法信访；</w:t>
      </w:r>
    </w:p>
    <w:p w14:paraId="2278AC2F">
      <w:pPr>
        <w:jc w:val="left"/>
        <w:rPr>
          <w:rFonts w:ascii="宋体" w:hAnsi="宋体"/>
          <w:kern w:val="44"/>
        </w:rPr>
      </w:pPr>
      <w:r>
        <w:rPr>
          <w:rFonts w:hint="eastAsia" w:ascii="宋体" w:hAnsi="宋体"/>
          <w:kern w:val="44"/>
        </w:rPr>
        <w:t>（八）其他依法应当履行的职责。</w:t>
      </w:r>
    </w:p>
    <w:p w14:paraId="07AF2255">
      <w:pPr>
        <w:ind w:firstLine="422"/>
        <w:jc w:val="left"/>
        <w:rPr>
          <w:rFonts w:ascii="宋体" w:hAnsi="宋体"/>
          <w:kern w:val="44"/>
        </w:rPr>
      </w:pPr>
      <w:r>
        <w:rPr>
          <w:rFonts w:hint="eastAsia" w:ascii="宋体" w:hAnsi="宋体"/>
          <w:b/>
          <w:kern w:val="44"/>
        </w:rPr>
        <w:t>第二十条</w:t>
      </w:r>
      <w:r>
        <w:rPr>
          <w:rFonts w:hint="eastAsia" w:ascii="宋体" w:hAnsi="宋体"/>
          <w:kern w:val="44"/>
        </w:rPr>
        <w:t>　信访工作机构应当在信访接待场所、本机关网站或者通过其他方式向社会公布下列事项：</w:t>
      </w:r>
    </w:p>
    <w:p w14:paraId="29AD1C85">
      <w:pPr>
        <w:jc w:val="left"/>
        <w:rPr>
          <w:rFonts w:ascii="宋体" w:hAnsi="宋体"/>
          <w:kern w:val="44"/>
        </w:rPr>
      </w:pPr>
      <w:r>
        <w:rPr>
          <w:rFonts w:hint="eastAsia" w:ascii="宋体" w:hAnsi="宋体"/>
          <w:kern w:val="44"/>
        </w:rPr>
        <w:t>（一）信访工作机构的通信地址、电子信箱、受理电话、接待场所、来访接待时间；</w:t>
      </w:r>
    </w:p>
    <w:p w14:paraId="209C4361">
      <w:pPr>
        <w:jc w:val="left"/>
        <w:rPr>
          <w:rFonts w:ascii="宋体" w:hAnsi="宋体"/>
          <w:kern w:val="44"/>
        </w:rPr>
      </w:pPr>
      <w:r>
        <w:rPr>
          <w:rFonts w:hint="eastAsia" w:ascii="宋体" w:hAnsi="宋体"/>
          <w:kern w:val="44"/>
        </w:rPr>
        <w:t>（二）本机关信访事项受理范围；</w:t>
      </w:r>
    </w:p>
    <w:p w14:paraId="14B7260E">
      <w:pPr>
        <w:jc w:val="left"/>
        <w:rPr>
          <w:rFonts w:ascii="宋体" w:hAnsi="宋体"/>
          <w:kern w:val="44"/>
        </w:rPr>
      </w:pPr>
      <w:r>
        <w:rPr>
          <w:rFonts w:hint="eastAsia" w:ascii="宋体" w:hAnsi="宋体"/>
          <w:kern w:val="44"/>
        </w:rPr>
        <w:t>（三）与信访工作有关的法律、法规、规章、工作规范以及信访事项的处理程序；</w:t>
      </w:r>
    </w:p>
    <w:p w14:paraId="7242F4C2">
      <w:pPr>
        <w:jc w:val="left"/>
        <w:rPr>
          <w:rFonts w:ascii="宋体" w:hAnsi="宋体"/>
          <w:kern w:val="44"/>
        </w:rPr>
      </w:pPr>
      <w:r>
        <w:rPr>
          <w:rFonts w:hint="eastAsia" w:ascii="宋体" w:hAnsi="宋体"/>
          <w:kern w:val="44"/>
        </w:rPr>
        <w:t>（四）查询信访事项办理情况的方式；</w:t>
      </w:r>
    </w:p>
    <w:p w14:paraId="223A913E">
      <w:pPr>
        <w:jc w:val="left"/>
        <w:rPr>
          <w:rFonts w:ascii="宋体" w:hAnsi="宋体"/>
          <w:kern w:val="44"/>
        </w:rPr>
      </w:pPr>
      <w:r>
        <w:rPr>
          <w:rFonts w:hint="eastAsia" w:ascii="宋体" w:hAnsi="宋体"/>
          <w:kern w:val="44"/>
        </w:rPr>
        <w:t>（五）实行负责人信访接待日的机关，公开接待日的安排；</w:t>
      </w:r>
    </w:p>
    <w:p w14:paraId="7270C8F2">
      <w:pPr>
        <w:jc w:val="left"/>
        <w:rPr>
          <w:rFonts w:ascii="宋体" w:hAnsi="宋体"/>
          <w:kern w:val="44"/>
        </w:rPr>
      </w:pPr>
      <w:r>
        <w:rPr>
          <w:rFonts w:hint="eastAsia" w:ascii="宋体" w:hAnsi="宋体"/>
          <w:kern w:val="44"/>
        </w:rPr>
        <w:t>（六）其他方便信访人的事项。</w:t>
      </w:r>
    </w:p>
    <w:p w14:paraId="6E333A23">
      <w:pPr>
        <w:jc w:val="left"/>
        <w:rPr>
          <w:rFonts w:ascii="宋体" w:hAnsi="宋体"/>
          <w:kern w:val="44"/>
        </w:rPr>
      </w:pPr>
      <w:r>
        <w:rPr>
          <w:rFonts w:hint="eastAsia" w:ascii="宋体" w:hAnsi="宋体"/>
          <w:kern w:val="44"/>
        </w:rPr>
        <w:t>信访人要求对公示内容予以说明、解释的，信访工作机构应当予以说明、解释。</w:t>
      </w:r>
    </w:p>
    <w:p w14:paraId="06B46BBB">
      <w:pPr>
        <w:ind w:firstLine="422"/>
        <w:jc w:val="left"/>
        <w:rPr>
          <w:rFonts w:ascii="宋体" w:hAnsi="宋体"/>
          <w:kern w:val="44"/>
        </w:rPr>
      </w:pPr>
      <w:r>
        <w:rPr>
          <w:rFonts w:hint="eastAsia" w:ascii="宋体" w:hAnsi="宋体"/>
          <w:b/>
          <w:kern w:val="44"/>
        </w:rPr>
        <w:t>第二十一条</w:t>
      </w:r>
      <w:r>
        <w:rPr>
          <w:rFonts w:hint="eastAsia" w:ascii="宋体" w:hAnsi="宋体"/>
          <w:kern w:val="44"/>
        </w:rPr>
        <w:t>　信访工作机构应当通过互联互通的信访信息系统，实现国家机关信访工作机构之间信访信息资源共享。</w:t>
      </w:r>
    </w:p>
    <w:p w14:paraId="2CBDDE77">
      <w:pPr>
        <w:ind w:firstLine="422"/>
        <w:jc w:val="left"/>
        <w:rPr>
          <w:rFonts w:ascii="宋体" w:hAnsi="宋体"/>
          <w:kern w:val="44"/>
        </w:rPr>
      </w:pPr>
      <w:r>
        <w:rPr>
          <w:rFonts w:hint="eastAsia" w:ascii="宋体" w:hAnsi="宋体"/>
          <w:b/>
          <w:kern w:val="44"/>
        </w:rPr>
        <w:t>第二十二条</w:t>
      </w:r>
      <w:r>
        <w:rPr>
          <w:rFonts w:hint="eastAsia" w:ascii="宋体" w:hAnsi="宋体"/>
          <w:kern w:val="44"/>
        </w:rPr>
        <w:t>　信访工作人员在信访工作中，应当遵守下列规定：</w:t>
      </w:r>
    </w:p>
    <w:p w14:paraId="102BE49B">
      <w:pPr>
        <w:jc w:val="left"/>
        <w:rPr>
          <w:rFonts w:ascii="宋体" w:hAnsi="宋体"/>
          <w:kern w:val="44"/>
        </w:rPr>
      </w:pPr>
      <w:r>
        <w:rPr>
          <w:rFonts w:hint="eastAsia" w:ascii="宋体" w:hAnsi="宋体"/>
          <w:kern w:val="44"/>
        </w:rPr>
        <w:t>（一）文明接待，尊重信访人，不得刁难和歧视信访人。对依法不予受理的信访请求，应当告知信访人并做好解释、疏导工作；</w:t>
      </w:r>
    </w:p>
    <w:p w14:paraId="54FC8FD9">
      <w:pPr>
        <w:jc w:val="left"/>
        <w:rPr>
          <w:rFonts w:ascii="宋体" w:hAnsi="宋体"/>
          <w:kern w:val="44"/>
        </w:rPr>
      </w:pPr>
      <w:r>
        <w:rPr>
          <w:rFonts w:hint="eastAsia" w:ascii="宋体" w:hAnsi="宋体"/>
          <w:kern w:val="44"/>
        </w:rPr>
        <w:t>（二）按照信访工作的处理程序，依法及时处理信访事项，不得置之不理、敷衍塞责、推诿拖延。对不属于本机关受理的信访请求，应当告知信访人向有权处理的国家机关提出；</w:t>
      </w:r>
    </w:p>
    <w:p w14:paraId="0251CC53">
      <w:pPr>
        <w:jc w:val="left"/>
        <w:rPr>
          <w:rFonts w:ascii="宋体" w:hAnsi="宋体"/>
          <w:kern w:val="44"/>
        </w:rPr>
      </w:pPr>
      <w:r>
        <w:rPr>
          <w:rFonts w:hint="eastAsia" w:ascii="宋体" w:hAnsi="宋体"/>
          <w:kern w:val="44"/>
        </w:rPr>
        <w:t>（三）坚持原则，秉公办事，不得徇私舞弊、收受贿赂、接受信访人请客送礼；</w:t>
      </w:r>
    </w:p>
    <w:p w14:paraId="1FA4C594">
      <w:pPr>
        <w:jc w:val="left"/>
        <w:rPr>
          <w:rFonts w:ascii="宋体" w:hAnsi="宋体"/>
          <w:kern w:val="44"/>
        </w:rPr>
      </w:pPr>
      <w:r>
        <w:rPr>
          <w:rFonts w:hint="eastAsia" w:ascii="宋体" w:hAnsi="宋体"/>
          <w:kern w:val="44"/>
        </w:rPr>
        <w:t>（四）遵守保密制度，不得泄露控告人、检举人的姓名及控告、检举的内容，不得泄露、扩散信访人要求保密及可能对信访人权益造成损害的内容；</w:t>
      </w:r>
    </w:p>
    <w:p w14:paraId="36590520">
      <w:pPr>
        <w:jc w:val="left"/>
        <w:rPr>
          <w:rFonts w:ascii="宋体" w:hAnsi="宋体"/>
          <w:kern w:val="44"/>
        </w:rPr>
      </w:pPr>
      <w:r>
        <w:rPr>
          <w:rFonts w:hint="eastAsia" w:ascii="宋体" w:hAnsi="宋体"/>
          <w:kern w:val="44"/>
        </w:rPr>
        <w:t>（五）对信访人有关信访事项办理情况的查询，除涉及国家秘密、商业秘密、个人隐私的事项外，应当如实答复，不得拒绝；</w:t>
      </w:r>
    </w:p>
    <w:p w14:paraId="0137FBB9">
      <w:pPr>
        <w:jc w:val="left"/>
        <w:rPr>
          <w:rFonts w:ascii="宋体" w:hAnsi="宋体"/>
          <w:kern w:val="44"/>
        </w:rPr>
      </w:pPr>
      <w:r>
        <w:rPr>
          <w:rFonts w:hint="eastAsia" w:ascii="宋体" w:hAnsi="宋体"/>
          <w:kern w:val="44"/>
        </w:rPr>
        <w:t>（六）与信访人或者信访事项有直接利害关系的，应当回避；</w:t>
      </w:r>
    </w:p>
    <w:p w14:paraId="1B6582DF">
      <w:pPr>
        <w:jc w:val="left"/>
        <w:rPr>
          <w:rFonts w:ascii="宋体" w:hAnsi="宋体"/>
          <w:kern w:val="44"/>
        </w:rPr>
      </w:pPr>
      <w:r>
        <w:rPr>
          <w:rFonts w:hint="eastAsia" w:ascii="宋体" w:hAnsi="宋体"/>
          <w:kern w:val="44"/>
        </w:rPr>
        <w:t>（七）按照档案管理的规定，建立并妥善保管信访档案，不得丢失、篡改、隐匿或者擅自销毁。</w:t>
      </w:r>
    </w:p>
    <w:p w14:paraId="54EB646D">
      <w:pPr>
        <w:jc w:val="left"/>
        <w:rPr>
          <w:rFonts w:ascii="宋体" w:hAnsi="宋体"/>
          <w:kern w:val="44"/>
        </w:rPr>
      </w:pPr>
    </w:p>
    <w:p w14:paraId="3938C118">
      <w:pPr>
        <w:ind w:firstLine="0" w:firstLineChars="0"/>
        <w:jc w:val="center"/>
        <w:rPr>
          <w:rFonts w:ascii="宋体" w:hAnsi="宋体"/>
          <w:b/>
          <w:kern w:val="44"/>
          <w:sz w:val="28"/>
        </w:rPr>
      </w:pPr>
      <w:r>
        <w:rPr>
          <w:rFonts w:hint="eastAsia" w:ascii="宋体" w:hAnsi="宋体"/>
          <w:b/>
          <w:kern w:val="44"/>
          <w:sz w:val="28"/>
        </w:rPr>
        <w:t>第四章　信访请求的提出</w:t>
      </w:r>
    </w:p>
    <w:p w14:paraId="289169A5">
      <w:pPr>
        <w:jc w:val="left"/>
        <w:rPr>
          <w:rFonts w:ascii="宋体" w:hAnsi="宋体"/>
          <w:kern w:val="44"/>
        </w:rPr>
      </w:pPr>
    </w:p>
    <w:p w14:paraId="2C12E597">
      <w:pPr>
        <w:ind w:firstLine="422"/>
        <w:jc w:val="left"/>
        <w:rPr>
          <w:rFonts w:ascii="宋体" w:hAnsi="宋体"/>
          <w:kern w:val="44"/>
        </w:rPr>
      </w:pPr>
      <w:r>
        <w:rPr>
          <w:rFonts w:hint="eastAsia" w:ascii="宋体" w:hAnsi="宋体"/>
          <w:b/>
          <w:kern w:val="44"/>
        </w:rPr>
        <w:t>第二十三条</w:t>
      </w:r>
      <w:r>
        <w:rPr>
          <w:rFonts w:hint="eastAsia" w:ascii="宋体" w:hAnsi="宋体"/>
          <w:kern w:val="44"/>
        </w:rPr>
        <w:t>　信访人提出信访请求，应当向依法有权处理的国家机关提出。</w:t>
      </w:r>
    </w:p>
    <w:p w14:paraId="3C811184">
      <w:pPr>
        <w:jc w:val="left"/>
        <w:rPr>
          <w:rFonts w:ascii="宋体" w:hAnsi="宋体"/>
          <w:kern w:val="44"/>
        </w:rPr>
      </w:pPr>
      <w:r>
        <w:rPr>
          <w:rFonts w:hint="eastAsia" w:ascii="宋体" w:hAnsi="宋体"/>
          <w:kern w:val="44"/>
        </w:rPr>
        <w:t>对依法应当通过诉讼、仲裁、行政复议等法定途径解决的信访请求，信访人应当依照法定程序提出。</w:t>
      </w:r>
    </w:p>
    <w:p w14:paraId="1160F1B0">
      <w:pPr>
        <w:ind w:firstLine="422"/>
        <w:jc w:val="left"/>
        <w:rPr>
          <w:rFonts w:ascii="宋体" w:hAnsi="宋体"/>
          <w:kern w:val="44"/>
        </w:rPr>
      </w:pPr>
      <w:r>
        <w:rPr>
          <w:rFonts w:hint="eastAsia" w:ascii="宋体" w:hAnsi="宋体"/>
          <w:b/>
          <w:kern w:val="44"/>
        </w:rPr>
        <w:t>第二十四条</w:t>
      </w:r>
      <w:r>
        <w:rPr>
          <w:rFonts w:hint="eastAsia" w:ascii="宋体" w:hAnsi="宋体"/>
          <w:kern w:val="44"/>
        </w:rPr>
        <w:t>　信访人提出信访请求，一般应当采用书信、电子邮件等书面形式；提出投诉请求的，应当提供真实姓名（名称）、住址、联系方式和基本事实、理由、明确的请求。</w:t>
      </w:r>
    </w:p>
    <w:p w14:paraId="63ACA49B">
      <w:pPr>
        <w:jc w:val="left"/>
        <w:rPr>
          <w:rFonts w:ascii="宋体" w:hAnsi="宋体"/>
          <w:kern w:val="44"/>
        </w:rPr>
      </w:pPr>
      <w:r>
        <w:rPr>
          <w:rFonts w:hint="eastAsia" w:ascii="宋体" w:hAnsi="宋体"/>
          <w:kern w:val="44"/>
        </w:rPr>
        <w:t>信访人采用口头形式提出信访请求的，有关国家机关应当如实记录。</w:t>
      </w:r>
    </w:p>
    <w:p w14:paraId="33462367">
      <w:pPr>
        <w:jc w:val="left"/>
        <w:rPr>
          <w:rFonts w:ascii="宋体" w:hAnsi="宋体"/>
          <w:kern w:val="44"/>
        </w:rPr>
      </w:pPr>
      <w:r>
        <w:rPr>
          <w:rFonts w:hint="eastAsia" w:ascii="宋体" w:hAnsi="宋体"/>
          <w:kern w:val="44"/>
        </w:rPr>
        <w:t>国家机关为方便、规范信访人提出信访请求，可以向信访人提供格式化文本。</w:t>
      </w:r>
    </w:p>
    <w:p w14:paraId="0DDE817D">
      <w:pPr>
        <w:ind w:firstLine="422"/>
        <w:jc w:val="left"/>
        <w:rPr>
          <w:rFonts w:ascii="宋体" w:hAnsi="宋体"/>
          <w:kern w:val="44"/>
        </w:rPr>
      </w:pPr>
      <w:r>
        <w:rPr>
          <w:rFonts w:hint="eastAsia" w:ascii="宋体" w:hAnsi="宋体"/>
          <w:b/>
          <w:kern w:val="44"/>
        </w:rPr>
        <w:t>第二十五条</w:t>
      </w:r>
      <w:r>
        <w:rPr>
          <w:rFonts w:hint="eastAsia" w:ascii="宋体" w:hAnsi="宋体"/>
          <w:kern w:val="44"/>
        </w:rPr>
        <w:t>　信访人采用走访形式提出信访请求的，应当在公布的接待时间到依法有权处理的本级或者上级机关设立或者指定的信访接待场所提出。</w:t>
      </w:r>
    </w:p>
    <w:p w14:paraId="207B2153">
      <w:pPr>
        <w:jc w:val="left"/>
        <w:rPr>
          <w:rFonts w:ascii="宋体" w:hAnsi="宋体"/>
          <w:kern w:val="44"/>
        </w:rPr>
      </w:pPr>
      <w:r>
        <w:rPr>
          <w:rFonts w:hint="eastAsia" w:ascii="宋体" w:hAnsi="宋体"/>
          <w:kern w:val="44"/>
        </w:rPr>
        <w:t>多人采用走访形式提出共同信访请求的，应当推举代表，代表人数不得超过五人。代表应当如实向其他信访人转达处理或者答复意见。</w:t>
      </w:r>
    </w:p>
    <w:p w14:paraId="2BE2749F">
      <w:pPr>
        <w:ind w:firstLine="422"/>
        <w:jc w:val="left"/>
        <w:rPr>
          <w:rFonts w:ascii="宋体" w:hAnsi="宋体"/>
          <w:kern w:val="44"/>
        </w:rPr>
      </w:pPr>
      <w:r>
        <w:rPr>
          <w:rFonts w:hint="eastAsia" w:ascii="宋体" w:hAnsi="宋体"/>
          <w:b/>
          <w:kern w:val="44"/>
        </w:rPr>
        <w:t>第二十六条</w:t>
      </w:r>
      <w:r>
        <w:rPr>
          <w:rFonts w:hint="eastAsia" w:ascii="宋体" w:hAnsi="宋体"/>
          <w:kern w:val="44"/>
        </w:rPr>
        <w:t>　信访人要求采用书面形式告知、答复的，应当采用书信、传真、电子邮件或者走访形式提出信访请求。</w:t>
      </w:r>
    </w:p>
    <w:p w14:paraId="6F2B9FE8">
      <w:pPr>
        <w:ind w:firstLine="422"/>
        <w:jc w:val="left"/>
        <w:rPr>
          <w:rFonts w:ascii="宋体" w:hAnsi="宋体"/>
          <w:kern w:val="44"/>
        </w:rPr>
      </w:pPr>
      <w:r>
        <w:rPr>
          <w:rFonts w:hint="eastAsia" w:ascii="宋体" w:hAnsi="宋体"/>
          <w:b/>
          <w:kern w:val="44"/>
        </w:rPr>
        <w:t>第二十七条</w:t>
      </w:r>
      <w:r>
        <w:rPr>
          <w:rFonts w:hint="eastAsia" w:ascii="宋体" w:hAnsi="宋体"/>
          <w:kern w:val="44"/>
        </w:rPr>
        <w:t>　信访人可以委托代理人提出信访请求。代理人向有关国家机关提出信访请求时，应当出示授权委托书，在授权范围内行使代理权。</w:t>
      </w:r>
    </w:p>
    <w:p w14:paraId="2EB95A2E">
      <w:pPr>
        <w:jc w:val="left"/>
        <w:rPr>
          <w:rFonts w:ascii="宋体" w:hAnsi="宋体"/>
          <w:kern w:val="44"/>
        </w:rPr>
      </w:pPr>
      <w:r>
        <w:rPr>
          <w:rFonts w:hint="eastAsia" w:ascii="宋体" w:hAnsi="宋体"/>
          <w:kern w:val="44"/>
        </w:rPr>
        <w:t>委托人明确表示不再提出信访请求，代理人继续提出的，有关国家机关不再受理。</w:t>
      </w:r>
    </w:p>
    <w:p w14:paraId="2763F9EF">
      <w:pPr>
        <w:ind w:firstLine="422"/>
        <w:jc w:val="left"/>
        <w:rPr>
          <w:rFonts w:ascii="宋体" w:hAnsi="宋体"/>
          <w:kern w:val="44"/>
        </w:rPr>
      </w:pPr>
      <w:r>
        <w:rPr>
          <w:rFonts w:hint="eastAsia" w:ascii="宋体" w:hAnsi="宋体"/>
          <w:b/>
          <w:kern w:val="44"/>
        </w:rPr>
        <w:t>第二十八条</w:t>
      </w:r>
      <w:r>
        <w:rPr>
          <w:rFonts w:hint="eastAsia" w:ascii="宋体" w:hAnsi="宋体"/>
          <w:kern w:val="44"/>
        </w:rPr>
        <w:t>　无民事行为能力人或者限制民事行为能力人的信访请求，由其监护人代为提出。</w:t>
      </w:r>
    </w:p>
    <w:p w14:paraId="4143B0B3">
      <w:pPr>
        <w:jc w:val="left"/>
        <w:rPr>
          <w:rFonts w:ascii="宋体" w:hAnsi="宋体"/>
          <w:kern w:val="44"/>
        </w:rPr>
      </w:pPr>
      <w:r>
        <w:rPr>
          <w:rFonts w:hint="eastAsia" w:ascii="宋体" w:hAnsi="宋体"/>
          <w:kern w:val="44"/>
        </w:rPr>
        <w:t>因身体障碍不能正常表述本人意愿者提出信访请求的，应当委托他人代为提出。</w:t>
      </w:r>
    </w:p>
    <w:p w14:paraId="348B47B9">
      <w:pPr>
        <w:jc w:val="left"/>
        <w:rPr>
          <w:rFonts w:ascii="宋体" w:hAnsi="宋体"/>
          <w:kern w:val="44"/>
        </w:rPr>
      </w:pPr>
      <w:r>
        <w:rPr>
          <w:rFonts w:hint="eastAsia" w:ascii="宋体" w:hAnsi="宋体"/>
          <w:kern w:val="44"/>
        </w:rPr>
        <w:t>传染病患者、疑似传染病患者需要以走访形式提出信访请求的，应当委托他人代为提出。</w:t>
      </w:r>
    </w:p>
    <w:p w14:paraId="270D0282">
      <w:pPr>
        <w:jc w:val="left"/>
        <w:rPr>
          <w:rFonts w:ascii="宋体" w:hAnsi="宋体"/>
          <w:kern w:val="44"/>
        </w:rPr>
      </w:pPr>
    </w:p>
    <w:p w14:paraId="4F21AE63">
      <w:pPr>
        <w:ind w:firstLine="0" w:firstLineChars="0"/>
        <w:jc w:val="center"/>
        <w:rPr>
          <w:rFonts w:ascii="宋体" w:hAnsi="宋体"/>
          <w:b/>
          <w:kern w:val="44"/>
          <w:sz w:val="28"/>
        </w:rPr>
      </w:pPr>
      <w:r>
        <w:rPr>
          <w:rFonts w:hint="eastAsia" w:ascii="宋体" w:hAnsi="宋体"/>
          <w:b/>
          <w:kern w:val="44"/>
          <w:sz w:val="28"/>
        </w:rPr>
        <w:t>第五章　人民代表大会及其常务委员会</w:t>
      </w:r>
    </w:p>
    <w:p w14:paraId="01F3A785">
      <w:pPr>
        <w:ind w:firstLine="0" w:firstLineChars="0"/>
        <w:jc w:val="center"/>
        <w:rPr>
          <w:rFonts w:ascii="宋体" w:hAnsi="宋体"/>
          <w:b/>
          <w:kern w:val="44"/>
          <w:sz w:val="28"/>
        </w:rPr>
      </w:pPr>
      <w:r>
        <w:rPr>
          <w:rFonts w:hint="eastAsia" w:ascii="宋体" w:hAnsi="宋体"/>
          <w:b/>
          <w:kern w:val="44"/>
        </w:rPr>
        <w:t xml:space="preserve">   </w:t>
      </w:r>
      <w:r>
        <w:rPr>
          <w:rFonts w:hint="eastAsia" w:ascii="宋体" w:hAnsi="宋体"/>
          <w:b/>
          <w:kern w:val="44"/>
          <w:sz w:val="28"/>
        </w:rPr>
        <w:t>信访事项的受理和办理</w:t>
      </w:r>
    </w:p>
    <w:p w14:paraId="67A037F3">
      <w:pPr>
        <w:ind w:firstLine="0" w:firstLineChars="0"/>
        <w:jc w:val="center"/>
        <w:rPr>
          <w:rFonts w:ascii="宋体" w:hAnsi="宋体"/>
          <w:kern w:val="44"/>
          <w:sz w:val="28"/>
        </w:rPr>
      </w:pPr>
    </w:p>
    <w:p w14:paraId="7B119875">
      <w:pPr>
        <w:ind w:firstLine="422"/>
        <w:jc w:val="left"/>
        <w:rPr>
          <w:rFonts w:ascii="宋体" w:hAnsi="宋体"/>
          <w:kern w:val="44"/>
        </w:rPr>
      </w:pPr>
      <w:r>
        <w:rPr>
          <w:rFonts w:hint="eastAsia" w:ascii="宋体" w:hAnsi="宋体"/>
          <w:b/>
          <w:kern w:val="44"/>
        </w:rPr>
        <w:t>第二十九条</w:t>
      </w:r>
      <w:r>
        <w:rPr>
          <w:rFonts w:hint="eastAsia" w:ascii="宋体" w:hAnsi="宋体"/>
          <w:kern w:val="44"/>
        </w:rPr>
        <w:t>　信访人可以就下列事项向本市各级人民代表大会及其常务委员会提出信访请求：</w:t>
      </w:r>
    </w:p>
    <w:p w14:paraId="43292F21">
      <w:pPr>
        <w:jc w:val="left"/>
        <w:rPr>
          <w:rFonts w:ascii="宋体" w:hAnsi="宋体"/>
          <w:kern w:val="44"/>
        </w:rPr>
      </w:pPr>
      <w:r>
        <w:rPr>
          <w:rFonts w:hint="eastAsia" w:ascii="宋体" w:hAnsi="宋体"/>
          <w:kern w:val="44"/>
        </w:rPr>
        <w:t>（一）对本级人民代表大会及其常务委员会颁布的地方性法规，通过的决议、决定的意见和建议；</w:t>
      </w:r>
    </w:p>
    <w:p w14:paraId="25E9D0F6">
      <w:pPr>
        <w:jc w:val="left"/>
        <w:rPr>
          <w:rFonts w:ascii="宋体" w:hAnsi="宋体"/>
          <w:kern w:val="44"/>
        </w:rPr>
      </w:pPr>
      <w:r>
        <w:rPr>
          <w:rFonts w:hint="eastAsia" w:ascii="宋体" w:hAnsi="宋体"/>
          <w:kern w:val="44"/>
        </w:rPr>
        <w:t>（二）对本级人民政府的决定、制定的规范性文件的意见和建议；</w:t>
      </w:r>
    </w:p>
    <w:p w14:paraId="34DD4493">
      <w:pPr>
        <w:jc w:val="left"/>
        <w:rPr>
          <w:rFonts w:ascii="宋体" w:hAnsi="宋体"/>
          <w:kern w:val="44"/>
        </w:rPr>
      </w:pPr>
      <w:r>
        <w:rPr>
          <w:rFonts w:hint="eastAsia" w:ascii="宋体" w:hAnsi="宋体"/>
          <w:kern w:val="44"/>
        </w:rPr>
        <w:t>（三）对本级人民政府、人民法院、人民检察院工作的意见和建议；</w:t>
      </w:r>
    </w:p>
    <w:p w14:paraId="214185FA">
      <w:pPr>
        <w:jc w:val="left"/>
        <w:rPr>
          <w:rFonts w:ascii="宋体" w:hAnsi="宋体"/>
          <w:kern w:val="44"/>
        </w:rPr>
      </w:pPr>
      <w:r>
        <w:rPr>
          <w:rFonts w:hint="eastAsia" w:ascii="宋体" w:hAnsi="宋体"/>
          <w:kern w:val="44"/>
        </w:rPr>
        <w:t>（四）对本级人民代表大会及其常务委员会选举、决定任命、批准任命的国家机关工作人员违法失职行为的申诉、控告或者检举；</w:t>
      </w:r>
    </w:p>
    <w:p w14:paraId="294945F3">
      <w:pPr>
        <w:jc w:val="left"/>
        <w:rPr>
          <w:rFonts w:ascii="宋体" w:hAnsi="宋体"/>
          <w:kern w:val="44"/>
        </w:rPr>
      </w:pPr>
      <w:r>
        <w:rPr>
          <w:rFonts w:hint="eastAsia" w:ascii="宋体" w:hAnsi="宋体"/>
          <w:kern w:val="44"/>
        </w:rPr>
        <w:t>（五）对本级人民代表大会代表、人民代表大会常务委员会组成人员以及人民代表大会常务委员会机关工作人员的建议、批评、意见和违法失职行为的申诉、控告或者检举；</w:t>
      </w:r>
    </w:p>
    <w:p w14:paraId="794CD9F1">
      <w:pPr>
        <w:jc w:val="left"/>
        <w:rPr>
          <w:rFonts w:ascii="宋体" w:hAnsi="宋体"/>
          <w:kern w:val="44"/>
        </w:rPr>
      </w:pPr>
      <w:r>
        <w:rPr>
          <w:rFonts w:hint="eastAsia" w:ascii="宋体" w:hAnsi="宋体"/>
          <w:kern w:val="44"/>
        </w:rPr>
        <w:t>（六）对下一级人民代表大会及其常务委员会不适当的决议、决定的意见和建议；</w:t>
      </w:r>
    </w:p>
    <w:p w14:paraId="5BBC09DE">
      <w:pPr>
        <w:jc w:val="left"/>
        <w:rPr>
          <w:rFonts w:ascii="宋体" w:hAnsi="宋体"/>
          <w:kern w:val="44"/>
        </w:rPr>
      </w:pPr>
      <w:r>
        <w:rPr>
          <w:rFonts w:hint="eastAsia" w:ascii="宋体" w:hAnsi="宋体"/>
          <w:kern w:val="44"/>
        </w:rPr>
        <w:t>（七）依法应当由人民代表大会及其常务委员会受理的其他信访请求。</w:t>
      </w:r>
    </w:p>
    <w:p w14:paraId="07B2C438">
      <w:pPr>
        <w:ind w:firstLine="422"/>
        <w:jc w:val="left"/>
        <w:rPr>
          <w:rFonts w:ascii="宋体" w:hAnsi="宋体"/>
          <w:kern w:val="44"/>
        </w:rPr>
      </w:pPr>
      <w:r>
        <w:rPr>
          <w:rFonts w:hint="eastAsia" w:ascii="宋体" w:hAnsi="宋体"/>
          <w:b/>
          <w:kern w:val="44"/>
        </w:rPr>
        <w:t>第三十条</w:t>
      </w:r>
      <w:r>
        <w:rPr>
          <w:rFonts w:hint="eastAsia" w:ascii="宋体" w:hAnsi="宋体"/>
          <w:kern w:val="44"/>
        </w:rPr>
        <w:t>　本市各级人民代表大会及其常务委员会对人民政府、人民法院、人民检察院职责范围内的信访事项不包办代替、不直接处理。</w:t>
      </w:r>
    </w:p>
    <w:p w14:paraId="73AD6E51">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市和区、县人民代表大会常务委员会信访工作机构收到信访请求，应当予以登记，在15日内分别按下列方式处理：</w:t>
      </w:r>
    </w:p>
    <w:p w14:paraId="25CA0110">
      <w:pPr>
        <w:jc w:val="left"/>
        <w:rPr>
          <w:rFonts w:ascii="宋体" w:hAnsi="宋体"/>
          <w:kern w:val="44"/>
        </w:rPr>
      </w:pPr>
      <w:r>
        <w:rPr>
          <w:rFonts w:hint="eastAsia" w:ascii="宋体" w:hAnsi="宋体"/>
          <w:kern w:val="44"/>
        </w:rPr>
        <w:t>（一）属于本级人民代表大会及其常务委员会信访事项受理范围内的信访请求，转送常务委员会有关工作机构办理，并答复信访人；</w:t>
      </w:r>
    </w:p>
    <w:p w14:paraId="13DB1C94">
      <w:pPr>
        <w:jc w:val="left"/>
        <w:rPr>
          <w:rFonts w:ascii="宋体" w:hAnsi="宋体"/>
          <w:kern w:val="44"/>
        </w:rPr>
      </w:pPr>
      <w:r>
        <w:rPr>
          <w:rFonts w:hint="eastAsia" w:ascii="宋体" w:hAnsi="宋体"/>
          <w:kern w:val="44"/>
        </w:rPr>
        <w:t>（二）属于本级或者下级人民政府及其工作部门、人民法院、人民检察院职责范围内的信访请求，转送相关国家机关处理，可以要求反馈处理结果，由办理机关答复信访人。</w:t>
      </w:r>
    </w:p>
    <w:p w14:paraId="123BF124">
      <w:pPr>
        <w:ind w:firstLine="422"/>
        <w:jc w:val="left"/>
        <w:rPr>
          <w:rFonts w:ascii="宋体" w:hAnsi="宋体"/>
          <w:kern w:val="44"/>
        </w:rPr>
      </w:pPr>
      <w:r>
        <w:rPr>
          <w:rFonts w:hint="eastAsia" w:ascii="宋体" w:hAnsi="宋体"/>
          <w:b/>
          <w:kern w:val="44"/>
        </w:rPr>
        <w:t>第三十二条</w:t>
      </w:r>
      <w:r>
        <w:rPr>
          <w:rFonts w:hint="eastAsia" w:ascii="宋体" w:hAnsi="宋体"/>
          <w:kern w:val="44"/>
        </w:rPr>
        <w:t>　下列信访请求不予受理：</w:t>
      </w:r>
    </w:p>
    <w:p w14:paraId="6932CE72">
      <w:pPr>
        <w:jc w:val="left"/>
        <w:rPr>
          <w:rFonts w:ascii="宋体" w:hAnsi="宋体"/>
          <w:kern w:val="44"/>
        </w:rPr>
      </w:pPr>
      <w:r>
        <w:rPr>
          <w:rFonts w:hint="eastAsia" w:ascii="宋体" w:hAnsi="宋体"/>
          <w:kern w:val="44"/>
        </w:rPr>
        <w:t>（一）对依照法律程序正在审理之中的案件提出的信访请求；</w:t>
      </w:r>
    </w:p>
    <w:p w14:paraId="21EC5D4B">
      <w:pPr>
        <w:jc w:val="left"/>
        <w:rPr>
          <w:rFonts w:ascii="宋体" w:hAnsi="宋体"/>
          <w:kern w:val="44"/>
        </w:rPr>
      </w:pPr>
      <w:r>
        <w:rPr>
          <w:rFonts w:hint="eastAsia" w:ascii="宋体" w:hAnsi="宋体"/>
          <w:kern w:val="44"/>
        </w:rPr>
        <w:t>（二）经过行政机关复核，信访人仍然以同一事实和理由提出的信访请求；</w:t>
      </w:r>
    </w:p>
    <w:p w14:paraId="47D1901A">
      <w:pPr>
        <w:jc w:val="left"/>
        <w:rPr>
          <w:rFonts w:ascii="宋体" w:hAnsi="宋体"/>
          <w:kern w:val="44"/>
        </w:rPr>
      </w:pPr>
      <w:r>
        <w:rPr>
          <w:rFonts w:hint="eastAsia" w:ascii="宋体" w:hAnsi="宋体"/>
          <w:kern w:val="44"/>
        </w:rPr>
        <w:t>（三）其他依照法律规定不予受理的信访请求。</w:t>
      </w:r>
    </w:p>
    <w:p w14:paraId="06CF70C2">
      <w:pPr>
        <w:jc w:val="left"/>
        <w:rPr>
          <w:rFonts w:ascii="宋体" w:hAnsi="宋体"/>
          <w:kern w:val="44"/>
        </w:rPr>
      </w:pPr>
    </w:p>
    <w:p w14:paraId="312FA1DF">
      <w:pPr>
        <w:ind w:firstLine="0" w:firstLineChars="0"/>
        <w:jc w:val="center"/>
        <w:rPr>
          <w:rFonts w:ascii="宋体" w:hAnsi="宋体"/>
          <w:b/>
          <w:kern w:val="44"/>
          <w:sz w:val="28"/>
        </w:rPr>
      </w:pPr>
      <w:r>
        <w:rPr>
          <w:rFonts w:hint="eastAsia" w:ascii="宋体" w:hAnsi="宋体"/>
          <w:b/>
          <w:kern w:val="44"/>
          <w:sz w:val="28"/>
        </w:rPr>
        <w:t>第六章  人民政府及其工作部门</w:t>
      </w:r>
    </w:p>
    <w:p w14:paraId="57EDE61D">
      <w:pPr>
        <w:ind w:firstLine="1124" w:firstLineChars="400"/>
        <w:jc w:val="center"/>
        <w:rPr>
          <w:rFonts w:ascii="宋体" w:hAnsi="宋体"/>
          <w:b/>
          <w:kern w:val="44"/>
          <w:sz w:val="28"/>
        </w:rPr>
      </w:pPr>
      <w:r>
        <w:rPr>
          <w:rFonts w:hint="eastAsia" w:ascii="宋体" w:hAnsi="宋体"/>
          <w:b/>
          <w:kern w:val="44"/>
          <w:sz w:val="28"/>
        </w:rPr>
        <w:t xml:space="preserve"> 信访事项的受理和办理</w:t>
      </w:r>
    </w:p>
    <w:p w14:paraId="2B4B91C5">
      <w:pPr>
        <w:ind w:firstLine="0" w:firstLineChars="0"/>
        <w:jc w:val="center"/>
        <w:rPr>
          <w:rFonts w:ascii="宋体" w:hAnsi="宋体"/>
          <w:kern w:val="44"/>
          <w:sz w:val="28"/>
        </w:rPr>
      </w:pPr>
    </w:p>
    <w:p w14:paraId="2B9EB803">
      <w:pPr>
        <w:ind w:firstLine="0" w:firstLineChars="0"/>
        <w:jc w:val="center"/>
        <w:rPr>
          <w:rFonts w:ascii="宋体" w:hAnsi="宋体"/>
          <w:kern w:val="44"/>
          <w:sz w:val="28"/>
        </w:rPr>
      </w:pPr>
      <w:r>
        <w:rPr>
          <w:rFonts w:hint="eastAsia" w:ascii="宋体" w:hAnsi="宋体"/>
          <w:kern w:val="44"/>
          <w:sz w:val="28"/>
        </w:rPr>
        <w:t>第一节　受理和办理</w:t>
      </w:r>
    </w:p>
    <w:p w14:paraId="2F6BC61F">
      <w:pPr>
        <w:jc w:val="left"/>
        <w:rPr>
          <w:rFonts w:ascii="宋体" w:hAnsi="宋体"/>
          <w:kern w:val="44"/>
        </w:rPr>
      </w:pPr>
    </w:p>
    <w:p w14:paraId="5FB13FB8">
      <w:pPr>
        <w:ind w:firstLine="422"/>
        <w:jc w:val="left"/>
        <w:rPr>
          <w:rFonts w:ascii="宋体" w:hAnsi="宋体"/>
          <w:kern w:val="44"/>
        </w:rPr>
      </w:pPr>
      <w:r>
        <w:rPr>
          <w:rFonts w:hint="eastAsia" w:ascii="宋体" w:hAnsi="宋体"/>
          <w:b/>
          <w:kern w:val="44"/>
        </w:rPr>
        <w:t>第三十三条</w:t>
      </w:r>
      <w:r>
        <w:rPr>
          <w:rFonts w:hint="eastAsia" w:ascii="宋体" w:hAnsi="宋体"/>
          <w:kern w:val="44"/>
        </w:rPr>
        <w:t>　信访人对下列组织、人员的职务行为可以向有关行政机关提出信访请求：</w:t>
      </w:r>
    </w:p>
    <w:p w14:paraId="6930CB18">
      <w:pPr>
        <w:jc w:val="left"/>
        <w:rPr>
          <w:rFonts w:ascii="宋体" w:hAnsi="宋体"/>
          <w:kern w:val="44"/>
        </w:rPr>
      </w:pPr>
      <w:r>
        <w:rPr>
          <w:rFonts w:hint="eastAsia" w:ascii="宋体" w:hAnsi="宋体"/>
          <w:kern w:val="44"/>
        </w:rPr>
        <w:t>（一）行政机关及其工作人员；</w:t>
      </w:r>
    </w:p>
    <w:p w14:paraId="7FAF26EF">
      <w:pPr>
        <w:jc w:val="left"/>
        <w:rPr>
          <w:rFonts w:ascii="宋体" w:hAnsi="宋体"/>
          <w:kern w:val="44"/>
        </w:rPr>
      </w:pPr>
      <w:r>
        <w:rPr>
          <w:rFonts w:hint="eastAsia" w:ascii="宋体" w:hAnsi="宋体"/>
          <w:kern w:val="44"/>
        </w:rPr>
        <w:t>（二）法律、法规授权的具有管理公共事务职能的组织及其工作人员；</w:t>
      </w:r>
    </w:p>
    <w:p w14:paraId="4D0BF7F9">
      <w:pPr>
        <w:jc w:val="left"/>
        <w:rPr>
          <w:rFonts w:ascii="宋体" w:hAnsi="宋体"/>
          <w:kern w:val="44"/>
        </w:rPr>
      </w:pPr>
      <w:r>
        <w:rPr>
          <w:rFonts w:hint="eastAsia" w:ascii="宋体" w:hAnsi="宋体"/>
          <w:kern w:val="44"/>
        </w:rPr>
        <w:t>（三）提供公共服务的企业事业单位及其工作人员；</w:t>
      </w:r>
    </w:p>
    <w:p w14:paraId="550FD1BB">
      <w:pPr>
        <w:jc w:val="left"/>
        <w:rPr>
          <w:rFonts w:ascii="宋体" w:hAnsi="宋体"/>
          <w:kern w:val="44"/>
        </w:rPr>
      </w:pPr>
      <w:r>
        <w:rPr>
          <w:rFonts w:hint="eastAsia" w:ascii="宋体" w:hAnsi="宋体"/>
          <w:kern w:val="44"/>
        </w:rPr>
        <w:t>（四）社会团体或者其他企业事业单位中由国家行政机关任命、派出的人员；</w:t>
      </w:r>
    </w:p>
    <w:p w14:paraId="668C3745">
      <w:pPr>
        <w:jc w:val="left"/>
        <w:rPr>
          <w:rFonts w:ascii="宋体" w:hAnsi="宋体"/>
          <w:kern w:val="44"/>
        </w:rPr>
      </w:pPr>
      <w:r>
        <w:rPr>
          <w:rFonts w:hint="eastAsia" w:ascii="宋体" w:hAnsi="宋体"/>
          <w:kern w:val="44"/>
        </w:rPr>
        <w:t>（五）村民委员会、居民委员会及其成员。</w:t>
      </w:r>
    </w:p>
    <w:p w14:paraId="34C50BC0">
      <w:pPr>
        <w:ind w:firstLine="422"/>
        <w:jc w:val="left"/>
        <w:rPr>
          <w:rFonts w:ascii="宋体" w:hAnsi="宋体"/>
          <w:kern w:val="44"/>
        </w:rPr>
      </w:pPr>
      <w:r>
        <w:rPr>
          <w:rFonts w:hint="eastAsia" w:ascii="宋体" w:hAnsi="宋体"/>
          <w:b/>
          <w:kern w:val="44"/>
        </w:rPr>
        <w:t>第三十四条</w:t>
      </w:r>
      <w:r>
        <w:rPr>
          <w:rFonts w:hint="eastAsia" w:ascii="宋体" w:hAnsi="宋体"/>
          <w:kern w:val="44"/>
        </w:rPr>
        <w:t>　人民政府信访工作机构收到信访请求，应当予以登记，在15日内分别按下列方式处理：</w:t>
      </w:r>
    </w:p>
    <w:p w14:paraId="33A4526F">
      <w:pPr>
        <w:jc w:val="left"/>
        <w:rPr>
          <w:rFonts w:ascii="宋体" w:hAnsi="宋体"/>
          <w:kern w:val="44"/>
        </w:rPr>
      </w:pPr>
      <w:r>
        <w:rPr>
          <w:rFonts w:hint="eastAsia" w:ascii="宋体" w:hAnsi="宋体"/>
          <w:kern w:val="44"/>
        </w:rPr>
        <w:t>（一）依照法定职责属于本级人民政府或者其工作部门处理的信访请求，应当转送有权处理的行政机关；情况重大、紧急的，应当及时提出建议，报请本级人民政府决定；</w:t>
      </w:r>
    </w:p>
    <w:p w14:paraId="11D4D222">
      <w:pPr>
        <w:jc w:val="left"/>
        <w:rPr>
          <w:rFonts w:ascii="宋体" w:hAnsi="宋体"/>
          <w:kern w:val="44"/>
        </w:rPr>
      </w:pPr>
      <w:r>
        <w:rPr>
          <w:rFonts w:hint="eastAsia" w:ascii="宋体" w:hAnsi="宋体"/>
          <w:kern w:val="44"/>
        </w:rPr>
        <w:t>（二）依照法定职责属于下级行政机关处理的信访请求，区分情况，转送下一级人民政府信访工作机构，或者直接转送有权处理的机关并抄送下一级人民政府信访工作机构；</w:t>
      </w:r>
    </w:p>
    <w:p w14:paraId="7B1B6C83">
      <w:pPr>
        <w:jc w:val="left"/>
        <w:rPr>
          <w:rFonts w:ascii="宋体" w:hAnsi="宋体"/>
          <w:kern w:val="44"/>
        </w:rPr>
      </w:pPr>
      <w:r>
        <w:rPr>
          <w:rFonts w:hint="eastAsia" w:ascii="宋体" w:hAnsi="宋体"/>
          <w:kern w:val="44"/>
        </w:rPr>
        <w:t>（三）对转送中的重要情况需要反馈结果的，可以直接交有权处理的行政机关，并要求其在指定期限内反馈结果。</w:t>
      </w:r>
    </w:p>
    <w:p w14:paraId="4E0F9C0D">
      <w:pPr>
        <w:jc w:val="left"/>
        <w:rPr>
          <w:rFonts w:ascii="宋体" w:hAnsi="宋体"/>
          <w:kern w:val="44"/>
        </w:rPr>
      </w:pPr>
      <w:r>
        <w:rPr>
          <w:rFonts w:hint="eastAsia" w:ascii="宋体" w:hAnsi="宋体"/>
          <w:kern w:val="44"/>
        </w:rPr>
        <w:t>县级以上人民政府信访工作机构应当定期向下一级人民政府信访工作机构通报转送、交办情况，下级人民政府信访工作机构应当定期向上一级人民政府信访工作机构报告转送、交办信访请求的受理或者办理情况。</w:t>
      </w:r>
    </w:p>
    <w:p w14:paraId="4086CE0B">
      <w:pPr>
        <w:ind w:firstLine="422"/>
        <w:jc w:val="left"/>
        <w:rPr>
          <w:rFonts w:ascii="宋体" w:hAnsi="宋体"/>
          <w:kern w:val="44"/>
        </w:rPr>
      </w:pPr>
      <w:r>
        <w:rPr>
          <w:rFonts w:hint="eastAsia" w:ascii="宋体" w:hAnsi="宋体"/>
          <w:b/>
          <w:kern w:val="44"/>
        </w:rPr>
        <w:t>第三十五条</w:t>
      </w:r>
      <w:r>
        <w:rPr>
          <w:rFonts w:hint="eastAsia" w:ascii="宋体" w:hAnsi="宋体"/>
          <w:kern w:val="44"/>
        </w:rPr>
        <w:t>　人民政府信访工作机构以外的政府工作部门收到信访请求，应当登记，并自收到信访请求之日起15日内分别按下列方式处理：</w:t>
      </w:r>
    </w:p>
    <w:p w14:paraId="6FDC1C8C">
      <w:pPr>
        <w:jc w:val="left"/>
        <w:rPr>
          <w:rFonts w:ascii="宋体" w:hAnsi="宋体"/>
          <w:kern w:val="44"/>
        </w:rPr>
      </w:pPr>
      <w:r>
        <w:rPr>
          <w:rFonts w:hint="eastAsia" w:ascii="宋体" w:hAnsi="宋体"/>
          <w:kern w:val="44"/>
        </w:rPr>
        <w:t>（一）信访人直接向其提出的信访请求，按照本部门法定职责范围和本条例第二十三条第二款规定作出受理或者不予受理的决定，并书面告知信访人；属于下级工作部门职责范围内的，转送下级工作部门，同时告知信访人；</w:t>
      </w:r>
    </w:p>
    <w:p w14:paraId="50858CCE">
      <w:pPr>
        <w:jc w:val="left"/>
        <w:rPr>
          <w:rFonts w:ascii="宋体" w:hAnsi="宋体"/>
          <w:kern w:val="44"/>
        </w:rPr>
      </w:pPr>
      <w:r>
        <w:rPr>
          <w:rFonts w:hint="eastAsia" w:ascii="宋体" w:hAnsi="宋体"/>
          <w:kern w:val="44"/>
        </w:rPr>
        <w:t>（二）上级工作部门转送、交办的信访请求，属于本部门法定职责范围的，应当受理，并书面告知信访人，按要求报告上级工作部门；不属于本部门职责范围内的，应当自收到该信访请求之日起5个工作日内向转送、交办工作部门提出异议，并交还相关材料。</w:t>
      </w:r>
    </w:p>
    <w:p w14:paraId="0FFE88BF">
      <w:pPr>
        <w:ind w:firstLine="422"/>
        <w:jc w:val="left"/>
        <w:rPr>
          <w:rFonts w:ascii="宋体" w:hAnsi="宋体"/>
          <w:kern w:val="44"/>
        </w:rPr>
      </w:pPr>
      <w:r>
        <w:rPr>
          <w:rFonts w:hint="eastAsia" w:ascii="宋体" w:hAnsi="宋体"/>
          <w:b/>
          <w:kern w:val="44"/>
        </w:rPr>
        <w:t>第三十六条</w:t>
      </w:r>
      <w:r>
        <w:rPr>
          <w:rFonts w:hint="eastAsia" w:ascii="宋体" w:hAnsi="宋体"/>
          <w:kern w:val="44"/>
        </w:rPr>
        <w:t>　人民政府信访工作机构对本级政府工作部门或者下级人民政府，上级政府工作部门对下级政府工作部门应当受理的信访请求而未受理的，可以要求其受理，在指定时限内办结，并报告办理结果。</w:t>
      </w:r>
    </w:p>
    <w:p w14:paraId="4836D32A">
      <w:pPr>
        <w:ind w:firstLine="422"/>
        <w:jc w:val="left"/>
        <w:rPr>
          <w:rFonts w:ascii="宋体" w:hAnsi="宋体"/>
          <w:kern w:val="44"/>
        </w:rPr>
      </w:pPr>
      <w:r>
        <w:rPr>
          <w:rFonts w:hint="eastAsia" w:ascii="宋体" w:hAnsi="宋体"/>
          <w:b/>
          <w:kern w:val="44"/>
        </w:rPr>
        <w:t>第三十七条</w:t>
      </w:r>
      <w:r>
        <w:rPr>
          <w:rFonts w:hint="eastAsia" w:ascii="宋体" w:hAnsi="宋体"/>
          <w:kern w:val="44"/>
        </w:rPr>
        <w:t>　有下列情形之一的，信访人向受理、办理机关的上级机关再提出同一信访请求的，该上级机关不予受理：</w:t>
      </w:r>
    </w:p>
    <w:p w14:paraId="3BD1CE1D">
      <w:pPr>
        <w:jc w:val="left"/>
        <w:rPr>
          <w:rFonts w:ascii="宋体" w:hAnsi="宋体"/>
          <w:kern w:val="44"/>
        </w:rPr>
      </w:pPr>
      <w:r>
        <w:rPr>
          <w:rFonts w:hint="eastAsia" w:ascii="宋体" w:hAnsi="宋体"/>
          <w:kern w:val="44"/>
        </w:rPr>
        <w:t>（一）信访请求正在审查期间的；</w:t>
      </w:r>
    </w:p>
    <w:p w14:paraId="2722601A">
      <w:pPr>
        <w:jc w:val="left"/>
        <w:rPr>
          <w:rFonts w:ascii="宋体" w:hAnsi="宋体"/>
          <w:kern w:val="44"/>
        </w:rPr>
      </w:pPr>
      <w:r>
        <w:rPr>
          <w:rFonts w:hint="eastAsia" w:ascii="宋体" w:hAnsi="宋体"/>
          <w:kern w:val="44"/>
        </w:rPr>
        <w:t>（二）信访事项已经受理或者正在办理的；</w:t>
      </w:r>
    </w:p>
    <w:p w14:paraId="7E273E70">
      <w:pPr>
        <w:jc w:val="left"/>
        <w:rPr>
          <w:rFonts w:ascii="宋体" w:hAnsi="宋体"/>
          <w:kern w:val="44"/>
        </w:rPr>
      </w:pPr>
      <w:r>
        <w:rPr>
          <w:rFonts w:hint="eastAsia" w:ascii="宋体" w:hAnsi="宋体"/>
          <w:kern w:val="44"/>
        </w:rPr>
        <w:t>（三）信访事项的办理、复查意见作出后，信访人无正当理由未在规定期限内提出复查、复核申请的。</w:t>
      </w:r>
    </w:p>
    <w:p w14:paraId="37354030">
      <w:pPr>
        <w:ind w:firstLine="422"/>
        <w:jc w:val="left"/>
        <w:rPr>
          <w:rFonts w:ascii="宋体" w:hAnsi="宋体"/>
          <w:kern w:val="44"/>
        </w:rPr>
      </w:pPr>
      <w:r>
        <w:rPr>
          <w:rFonts w:hint="eastAsia" w:ascii="宋体" w:hAnsi="宋体"/>
          <w:b/>
          <w:kern w:val="44"/>
        </w:rPr>
        <w:t>第三十八条</w:t>
      </w:r>
      <w:r>
        <w:rPr>
          <w:rFonts w:hint="eastAsia" w:ascii="宋体" w:hAnsi="宋体"/>
          <w:kern w:val="44"/>
        </w:rPr>
        <w:t>　信访事项涉及两个以上工作部门的，由相关工作部门依照各自职责分别受理；需要共同受理的，出现争议时，应当上报其共同的上一级行政机关决定主办机关。</w:t>
      </w:r>
    </w:p>
    <w:p w14:paraId="1150BD99">
      <w:pPr>
        <w:ind w:firstLine="422"/>
        <w:jc w:val="left"/>
        <w:rPr>
          <w:rFonts w:ascii="宋体" w:hAnsi="宋体"/>
          <w:kern w:val="44"/>
        </w:rPr>
      </w:pPr>
      <w:r>
        <w:rPr>
          <w:rFonts w:hint="eastAsia" w:ascii="宋体" w:hAnsi="宋体"/>
          <w:b/>
          <w:kern w:val="44"/>
        </w:rPr>
        <w:t>第三十九条</w:t>
      </w:r>
      <w:r>
        <w:rPr>
          <w:rFonts w:hint="eastAsia" w:ascii="宋体" w:hAnsi="宋体"/>
          <w:kern w:val="44"/>
        </w:rPr>
        <w:t>　人民政府工作部门受理信访事项后，认为涉及本级人民政府其他工作部门法定职责需要协调的，可以请求本级人民政府信访工作机构协调。协调后仍然不能达成一致意见的，信访工作机构可以向本级人民政府报告，按决定办理。</w:t>
      </w:r>
    </w:p>
    <w:p w14:paraId="1CBE9EC9">
      <w:pPr>
        <w:ind w:firstLine="422"/>
        <w:jc w:val="left"/>
        <w:rPr>
          <w:rFonts w:ascii="宋体" w:hAnsi="宋体"/>
          <w:kern w:val="44"/>
        </w:rPr>
      </w:pPr>
      <w:r>
        <w:rPr>
          <w:rFonts w:hint="eastAsia" w:ascii="宋体" w:hAnsi="宋体"/>
          <w:b/>
          <w:kern w:val="44"/>
        </w:rPr>
        <w:t>第四十条</w:t>
      </w:r>
      <w:r>
        <w:rPr>
          <w:rFonts w:hint="eastAsia" w:ascii="宋体" w:hAnsi="宋体"/>
          <w:kern w:val="44"/>
        </w:rPr>
        <w:t>　人民政府及其工作部门决定受理的信访事项，应当自受理之日起60日内办结；情况复杂的，经本机关负责人批准，可以适当延长办理期限，但延长期限不得超过30日，并告知信访人延期理由。法律、行政法规另有规定的，从其规定。</w:t>
      </w:r>
    </w:p>
    <w:p w14:paraId="4AF8195D">
      <w:pPr>
        <w:ind w:firstLine="422"/>
        <w:jc w:val="left"/>
        <w:rPr>
          <w:rFonts w:ascii="宋体" w:hAnsi="宋体"/>
          <w:kern w:val="44"/>
        </w:rPr>
      </w:pPr>
      <w:r>
        <w:rPr>
          <w:rFonts w:hint="eastAsia" w:ascii="宋体" w:hAnsi="宋体"/>
          <w:b/>
          <w:kern w:val="44"/>
        </w:rPr>
        <w:t>第四十一条</w:t>
      </w:r>
      <w:r>
        <w:rPr>
          <w:rFonts w:hint="eastAsia" w:ascii="宋体" w:hAnsi="宋体"/>
          <w:kern w:val="44"/>
        </w:rPr>
        <w:t>　人民政府及其工作部门对于重大、复杂、疑难的信访事项，可以依照规定程序举行听证。</w:t>
      </w:r>
    </w:p>
    <w:p w14:paraId="35A27E80">
      <w:pPr>
        <w:ind w:firstLine="422"/>
        <w:jc w:val="left"/>
        <w:rPr>
          <w:rFonts w:ascii="宋体" w:hAnsi="宋体"/>
          <w:kern w:val="44"/>
        </w:rPr>
      </w:pPr>
      <w:r>
        <w:rPr>
          <w:rFonts w:hint="eastAsia" w:ascii="宋体" w:hAnsi="宋体"/>
          <w:b/>
          <w:kern w:val="44"/>
        </w:rPr>
        <w:t>第四十二条</w:t>
      </w:r>
      <w:r>
        <w:rPr>
          <w:rFonts w:hint="eastAsia" w:ascii="宋体" w:hAnsi="宋体"/>
          <w:kern w:val="44"/>
        </w:rPr>
        <w:t>　人民政府及其工作部门受理信访事项后，应当依据相关的法律、法规、规章及其他有关规定，分别作出以下处理，并书面答复信访人：</w:t>
      </w:r>
    </w:p>
    <w:p w14:paraId="72843061">
      <w:pPr>
        <w:jc w:val="left"/>
        <w:rPr>
          <w:rFonts w:ascii="宋体" w:hAnsi="宋体"/>
          <w:kern w:val="44"/>
        </w:rPr>
      </w:pPr>
      <w:r>
        <w:rPr>
          <w:rFonts w:hint="eastAsia" w:ascii="宋体" w:hAnsi="宋体"/>
          <w:kern w:val="44"/>
        </w:rPr>
        <w:t>（一）请求事实清楚，符合或者部分符合法律、法规、规章或者其他有关规定的，予以支持或者部分支持；</w:t>
      </w:r>
    </w:p>
    <w:p w14:paraId="0EBBE05D">
      <w:pPr>
        <w:jc w:val="left"/>
        <w:rPr>
          <w:rFonts w:ascii="宋体" w:hAnsi="宋体"/>
          <w:kern w:val="44"/>
        </w:rPr>
      </w:pPr>
      <w:r>
        <w:rPr>
          <w:rFonts w:hint="eastAsia" w:ascii="宋体" w:hAnsi="宋体"/>
          <w:kern w:val="44"/>
        </w:rPr>
        <w:t>（二）请求缺乏事实根据或者不符合法律、法规、规章或者其他有关规定的，不予支持；</w:t>
      </w:r>
    </w:p>
    <w:p w14:paraId="267D0695">
      <w:pPr>
        <w:jc w:val="left"/>
        <w:rPr>
          <w:rFonts w:ascii="宋体" w:hAnsi="宋体"/>
          <w:kern w:val="44"/>
        </w:rPr>
      </w:pPr>
      <w:r>
        <w:rPr>
          <w:rFonts w:hint="eastAsia" w:ascii="宋体" w:hAnsi="宋体"/>
          <w:kern w:val="44"/>
        </w:rPr>
        <w:t>（三）请求事由缺乏法律依据无法解决的，告知信访人，并做好解释工作。</w:t>
      </w:r>
    </w:p>
    <w:p w14:paraId="1F179E2B">
      <w:pPr>
        <w:jc w:val="left"/>
        <w:rPr>
          <w:rFonts w:ascii="宋体" w:hAnsi="宋体"/>
          <w:kern w:val="44"/>
        </w:rPr>
      </w:pPr>
      <w:r>
        <w:rPr>
          <w:rFonts w:hint="eastAsia" w:ascii="宋体" w:hAnsi="宋体"/>
          <w:kern w:val="44"/>
        </w:rPr>
        <w:t>人民政府及其工作部门依照前款第（一）项规定作出支持或者部分支持信访请求意见的，应当督促有关机关或者单位执行。</w:t>
      </w:r>
    </w:p>
    <w:p w14:paraId="59675B3C">
      <w:pPr>
        <w:ind w:firstLine="422"/>
        <w:jc w:val="left"/>
        <w:rPr>
          <w:rFonts w:ascii="宋体" w:hAnsi="宋体"/>
          <w:kern w:val="44"/>
        </w:rPr>
      </w:pPr>
      <w:r>
        <w:rPr>
          <w:rFonts w:hint="eastAsia" w:ascii="宋体" w:hAnsi="宋体"/>
          <w:b/>
          <w:kern w:val="44"/>
        </w:rPr>
        <w:t>第四十三条</w:t>
      </w:r>
      <w:r>
        <w:rPr>
          <w:rFonts w:hint="eastAsia" w:ascii="宋体" w:hAnsi="宋体"/>
          <w:kern w:val="44"/>
        </w:rPr>
        <w:t>　信访事项答复意见应当包括下列事项：</w:t>
      </w:r>
    </w:p>
    <w:p w14:paraId="10046E56">
      <w:pPr>
        <w:jc w:val="left"/>
        <w:rPr>
          <w:rFonts w:ascii="宋体" w:hAnsi="宋体"/>
          <w:kern w:val="44"/>
        </w:rPr>
      </w:pPr>
      <w:r>
        <w:rPr>
          <w:rFonts w:hint="eastAsia" w:ascii="宋体" w:hAnsi="宋体"/>
          <w:kern w:val="44"/>
        </w:rPr>
        <w:t>（一）信访人的投诉请求；</w:t>
      </w:r>
    </w:p>
    <w:p w14:paraId="54DE22FB">
      <w:pPr>
        <w:jc w:val="left"/>
        <w:rPr>
          <w:rFonts w:ascii="宋体" w:hAnsi="宋体"/>
          <w:kern w:val="44"/>
        </w:rPr>
      </w:pPr>
      <w:r>
        <w:rPr>
          <w:rFonts w:hint="eastAsia" w:ascii="宋体" w:hAnsi="宋体"/>
          <w:kern w:val="44"/>
        </w:rPr>
        <w:t>（二）对基本事实的认定；</w:t>
      </w:r>
    </w:p>
    <w:p w14:paraId="4A30CFF8">
      <w:pPr>
        <w:jc w:val="left"/>
        <w:rPr>
          <w:rFonts w:ascii="宋体" w:hAnsi="宋体"/>
          <w:kern w:val="44"/>
        </w:rPr>
      </w:pPr>
      <w:r>
        <w:rPr>
          <w:rFonts w:hint="eastAsia" w:ascii="宋体" w:hAnsi="宋体"/>
          <w:kern w:val="44"/>
        </w:rPr>
        <w:t>（三）依据的法律、法规、规章及其他有关规定；</w:t>
      </w:r>
    </w:p>
    <w:p w14:paraId="612D445A">
      <w:pPr>
        <w:jc w:val="left"/>
        <w:rPr>
          <w:rFonts w:ascii="宋体" w:hAnsi="宋体"/>
          <w:kern w:val="44"/>
        </w:rPr>
      </w:pPr>
      <w:r>
        <w:rPr>
          <w:rFonts w:hint="eastAsia" w:ascii="宋体" w:hAnsi="宋体"/>
          <w:kern w:val="44"/>
        </w:rPr>
        <w:t>（四）对信访事项的处理意见；</w:t>
      </w:r>
    </w:p>
    <w:p w14:paraId="6D8B0630">
      <w:pPr>
        <w:jc w:val="left"/>
        <w:rPr>
          <w:rFonts w:ascii="宋体" w:hAnsi="宋体"/>
          <w:kern w:val="44"/>
        </w:rPr>
      </w:pPr>
      <w:r>
        <w:rPr>
          <w:rFonts w:hint="eastAsia" w:ascii="宋体" w:hAnsi="宋体"/>
          <w:kern w:val="44"/>
        </w:rPr>
        <w:t>（五）信访人不服答复意见寻求救济的法定途径和期限。</w:t>
      </w:r>
    </w:p>
    <w:p w14:paraId="24749301">
      <w:pPr>
        <w:ind w:firstLine="422"/>
        <w:jc w:val="left"/>
        <w:rPr>
          <w:rFonts w:ascii="宋体" w:hAnsi="宋体"/>
          <w:kern w:val="44"/>
        </w:rPr>
      </w:pPr>
      <w:r>
        <w:rPr>
          <w:rFonts w:hint="eastAsia" w:ascii="宋体" w:hAnsi="宋体"/>
          <w:b/>
          <w:kern w:val="44"/>
        </w:rPr>
        <w:t>第四十四条</w:t>
      </w:r>
      <w:r>
        <w:rPr>
          <w:rFonts w:hint="eastAsia" w:ascii="宋体" w:hAnsi="宋体"/>
          <w:kern w:val="44"/>
        </w:rPr>
        <w:t>　人民政府及其工作部门对于以下情形，分别按照下列方式处理：</w:t>
      </w:r>
    </w:p>
    <w:p w14:paraId="6AAD643B">
      <w:pPr>
        <w:jc w:val="left"/>
        <w:rPr>
          <w:rFonts w:ascii="宋体" w:hAnsi="宋体"/>
          <w:kern w:val="44"/>
        </w:rPr>
      </w:pPr>
      <w:r>
        <w:rPr>
          <w:rFonts w:hint="eastAsia" w:ascii="宋体" w:hAnsi="宋体"/>
          <w:kern w:val="44"/>
        </w:rPr>
        <w:t>（一）信访事项涉及多个有权处理机关办理的，由主办机关集中相关办理意见，答复信访人；</w:t>
      </w:r>
    </w:p>
    <w:p w14:paraId="3CDECB3F">
      <w:pPr>
        <w:jc w:val="left"/>
        <w:rPr>
          <w:rFonts w:ascii="宋体" w:hAnsi="宋体"/>
          <w:kern w:val="44"/>
        </w:rPr>
      </w:pPr>
      <w:r>
        <w:rPr>
          <w:rFonts w:hint="eastAsia" w:ascii="宋体" w:hAnsi="宋体"/>
          <w:kern w:val="44"/>
        </w:rPr>
        <w:t>（二）多人提出共同信访事项的，可以对代表告知、答复；</w:t>
      </w:r>
    </w:p>
    <w:p w14:paraId="1E19D040">
      <w:pPr>
        <w:jc w:val="left"/>
        <w:rPr>
          <w:rFonts w:ascii="宋体" w:hAnsi="宋体"/>
          <w:kern w:val="44"/>
        </w:rPr>
      </w:pPr>
      <w:r>
        <w:rPr>
          <w:rFonts w:hint="eastAsia" w:ascii="宋体" w:hAnsi="宋体"/>
          <w:kern w:val="44"/>
        </w:rPr>
        <w:t>（三）与信访请求有关的咨询，以及建议、意见类信访事项，可以口头告知、答复；</w:t>
      </w:r>
    </w:p>
    <w:p w14:paraId="215CC296">
      <w:pPr>
        <w:jc w:val="left"/>
        <w:rPr>
          <w:rFonts w:ascii="宋体" w:hAnsi="宋体"/>
          <w:kern w:val="44"/>
        </w:rPr>
      </w:pPr>
      <w:r>
        <w:rPr>
          <w:rFonts w:hint="eastAsia" w:ascii="宋体" w:hAnsi="宋体"/>
          <w:kern w:val="44"/>
        </w:rPr>
        <w:t>（四）因信访人的姓名（名称）、住址、联系方式不清、不实等原因无法告知、答复的，不予告知、答复。</w:t>
      </w:r>
    </w:p>
    <w:p w14:paraId="486B6342">
      <w:pPr>
        <w:ind w:firstLine="422"/>
        <w:jc w:val="left"/>
        <w:rPr>
          <w:rFonts w:ascii="宋体" w:hAnsi="宋体"/>
          <w:kern w:val="44"/>
        </w:rPr>
      </w:pPr>
      <w:r>
        <w:rPr>
          <w:rFonts w:hint="eastAsia" w:ascii="宋体" w:hAnsi="宋体"/>
          <w:b/>
          <w:kern w:val="44"/>
        </w:rPr>
        <w:t>第四十五条</w:t>
      </w:r>
      <w:r>
        <w:rPr>
          <w:rFonts w:hint="eastAsia" w:ascii="宋体" w:hAnsi="宋体"/>
          <w:kern w:val="44"/>
        </w:rPr>
        <w:t>　人民政府及其工作部门自收到信访请求之日起15日内已经办结的信访事项，经信访人同意，可以口头告知、答复。</w:t>
      </w:r>
    </w:p>
    <w:p w14:paraId="418ABA11">
      <w:pPr>
        <w:ind w:firstLine="422"/>
        <w:jc w:val="left"/>
        <w:rPr>
          <w:rFonts w:ascii="宋体" w:hAnsi="宋体"/>
          <w:kern w:val="44"/>
        </w:rPr>
      </w:pPr>
      <w:r>
        <w:rPr>
          <w:rFonts w:hint="eastAsia" w:ascii="宋体" w:hAnsi="宋体"/>
          <w:b/>
          <w:kern w:val="44"/>
        </w:rPr>
        <w:t>第四十六条</w:t>
      </w:r>
      <w:r>
        <w:rPr>
          <w:rFonts w:hint="eastAsia" w:ascii="宋体" w:hAnsi="宋体"/>
          <w:kern w:val="44"/>
        </w:rPr>
        <w:t>　人民政府及其工作部门对交办的信访事项应当在指定的期限内将办理结果报送至交办机关；不能按期办结的，应当说明原因并报告阶段性工作情况。法律、法规另有规定的，从其规定。</w:t>
      </w:r>
    </w:p>
    <w:p w14:paraId="5448BAB0">
      <w:pPr>
        <w:jc w:val="left"/>
        <w:rPr>
          <w:rFonts w:ascii="宋体" w:hAnsi="宋体"/>
          <w:kern w:val="44"/>
        </w:rPr>
      </w:pPr>
    </w:p>
    <w:p w14:paraId="08DAEEAE">
      <w:pPr>
        <w:ind w:firstLine="0" w:firstLineChars="0"/>
        <w:jc w:val="center"/>
        <w:rPr>
          <w:rFonts w:ascii="宋体" w:hAnsi="宋体"/>
          <w:kern w:val="44"/>
        </w:rPr>
      </w:pPr>
      <w:r>
        <w:rPr>
          <w:rFonts w:hint="eastAsia" w:ascii="宋体" w:hAnsi="宋体"/>
          <w:kern w:val="44"/>
          <w:sz w:val="28"/>
        </w:rPr>
        <w:t>第二节　复查、复核和督办</w:t>
      </w:r>
    </w:p>
    <w:p w14:paraId="3C4B5B62">
      <w:pPr>
        <w:jc w:val="left"/>
        <w:rPr>
          <w:rFonts w:ascii="宋体" w:hAnsi="宋体"/>
          <w:kern w:val="44"/>
        </w:rPr>
      </w:pPr>
    </w:p>
    <w:p w14:paraId="21D04E50">
      <w:pPr>
        <w:ind w:firstLine="422"/>
        <w:jc w:val="left"/>
        <w:rPr>
          <w:rFonts w:ascii="宋体" w:hAnsi="宋体"/>
          <w:kern w:val="44"/>
        </w:rPr>
      </w:pPr>
      <w:r>
        <w:rPr>
          <w:rFonts w:hint="eastAsia" w:ascii="宋体" w:hAnsi="宋体"/>
          <w:b/>
          <w:kern w:val="44"/>
        </w:rPr>
        <w:t>第四十七条</w:t>
      </w:r>
      <w:r>
        <w:rPr>
          <w:rFonts w:hint="eastAsia" w:ascii="宋体" w:hAnsi="宋体"/>
          <w:kern w:val="44"/>
        </w:rPr>
        <w:t xml:space="preserve">  信访人对人民政府及其工作部门作出的信访事项办理意见不服的，可以自收到办理意见之日起30日内请求原办理机关的上一级行政机关复查；对复查意见不服的，可以自收到复查意见之日起30日内请求复查机关的上一级行政机关复核。</w:t>
      </w:r>
    </w:p>
    <w:p w14:paraId="07C10A01">
      <w:pPr>
        <w:jc w:val="left"/>
        <w:rPr>
          <w:rFonts w:ascii="宋体" w:hAnsi="宋体"/>
          <w:kern w:val="44"/>
        </w:rPr>
      </w:pPr>
      <w:r>
        <w:rPr>
          <w:rFonts w:hint="eastAsia" w:ascii="宋体" w:hAnsi="宋体"/>
          <w:kern w:val="44"/>
        </w:rPr>
        <w:t>信访人的复查、复核申请应当针对答复意见，以书面形式提出，并附办理意见；提出复核申请的，还应当附复查意见。</w:t>
      </w:r>
    </w:p>
    <w:p w14:paraId="589289EC">
      <w:pPr>
        <w:ind w:firstLine="422"/>
        <w:jc w:val="left"/>
        <w:rPr>
          <w:rFonts w:ascii="宋体" w:hAnsi="宋体"/>
          <w:kern w:val="44"/>
        </w:rPr>
      </w:pPr>
      <w:r>
        <w:rPr>
          <w:rFonts w:hint="eastAsia" w:ascii="宋体" w:hAnsi="宋体"/>
          <w:b/>
          <w:kern w:val="44"/>
        </w:rPr>
        <w:t>第四十八条</w:t>
      </w:r>
      <w:r>
        <w:rPr>
          <w:rFonts w:hint="eastAsia" w:ascii="宋体" w:hAnsi="宋体"/>
          <w:kern w:val="44"/>
        </w:rPr>
        <w:t>　乡、镇人民政府和街道办事处是信访事项办理机关的，区、县人民政府是复查机关；区、县人民政府是办理、复查机关的，市人民政府是复查、复核机关；区、县民政府工作部门是办理机关的，上一级工作部门或者本级人民政府是复查机关；市人民政府工作部门是办理、复查机关的，市人民政府是复查、复核机关。</w:t>
      </w:r>
    </w:p>
    <w:p w14:paraId="28802504">
      <w:pPr>
        <w:jc w:val="left"/>
        <w:rPr>
          <w:rFonts w:ascii="宋体" w:hAnsi="宋体"/>
          <w:kern w:val="44"/>
        </w:rPr>
      </w:pPr>
      <w:r>
        <w:rPr>
          <w:rFonts w:hint="eastAsia" w:ascii="宋体" w:hAnsi="宋体"/>
          <w:kern w:val="44"/>
        </w:rPr>
        <w:t>对实行垂直领导的行政机关的办理意见、复查意见不服的，向上一级主管部门申请复查、复核。</w:t>
      </w:r>
    </w:p>
    <w:p w14:paraId="3FC75DEF">
      <w:pPr>
        <w:ind w:firstLine="422"/>
        <w:jc w:val="left"/>
        <w:rPr>
          <w:rFonts w:ascii="宋体" w:hAnsi="宋体"/>
          <w:kern w:val="44"/>
        </w:rPr>
      </w:pPr>
      <w:r>
        <w:rPr>
          <w:rFonts w:hint="eastAsia" w:ascii="宋体" w:hAnsi="宋体"/>
          <w:b/>
          <w:kern w:val="44"/>
        </w:rPr>
        <w:t>第四十九条</w:t>
      </w:r>
      <w:r>
        <w:rPr>
          <w:rFonts w:hint="eastAsia" w:ascii="宋体" w:hAnsi="宋体"/>
          <w:kern w:val="44"/>
        </w:rPr>
        <w:t>　市和区、县人民政府应当成立由本级人民政府分管领导负责，相关工作部门负责人参加的复查、复核委员会，负责本级人民政府的复查、复核工作。复查、复核委员会确定办事机构，负责日常工作。</w:t>
      </w:r>
    </w:p>
    <w:p w14:paraId="4775291C">
      <w:pPr>
        <w:jc w:val="left"/>
        <w:rPr>
          <w:rFonts w:ascii="宋体" w:hAnsi="宋体"/>
          <w:kern w:val="44"/>
        </w:rPr>
      </w:pPr>
      <w:r>
        <w:rPr>
          <w:rFonts w:hint="eastAsia" w:ascii="宋体" w:hAnsi="宋体"/>
          <w:kern w:val="44"/>
        </w:rPr>
        <w:t>市人民政府工作部门可以成立复查、复核委员会，负责本部门的复查、复核工作。</w:t>
      </w:r>
    </w:p>
    <w:p w14:paraId="5C996763">
      <w:pPr>
        <w:ind w:firstLine="422"/>
        <w:jc w:val="left"/>
        <w:rPr>
          <w:rFonts w:ascii="宋体" w:hAnsi="宋体"/>
          <w:kern w:val="44"/>
        </w:rPr>
      </w:pPr>
      <w:r>
        <w:rPr>
          <w:rFonts w:hint="eastAsia" w:ascii="宋体" w:hAnsi="宋体"/>
          <w:b/>
          <w:kern w:val="44"/>
        </w:rPr>
        <w:t>第五十条</w:t>
      </w:r>
      <w:r>
        <w:rPr>
          <w:rFonts w:hint="eastAsia" w:ascii="宋体" w:hAnsi="宋体"/>
          <w:kern w:val="44"/>
        </w:rPr>
        <w:t>　复查、复核机关经审查决定受理复查、复核申请的，应当书面告知信访人，自收到申请之日起30日内，按照下列方式作出复查、复核意见，并书面答复：</w:t>
      </w:r>
    </w:p>
    <w:p w14:paraId="70D0079E">
      <w:pPr>
        <w:jc w:val="left"/>
        <w:rPr>
          <w:rFonts w:ascii="宋体" w:hAnsi="宋体"/>
          <w:kern w:val="44"/>
        </w:rPr>
      </w:pPr>
      <w:r>
        <w:rPr>
          <w:rFonts w:hint="eastAsia" w:ascii="宋体" w:hAnsi="宋体"/>
          <w:kern w:val="44"/>
        </w:rPr>
        <w:t>（一）办理、复查意见认定事实清楚，适用依据正确的，予以维持；</w:t>
      </w:r>
    </w:p>
    <w:p w14:paraId="5AA24C3F">
      <w:pPr>
        <w:jc w:val="left"/>
        <w:rPr>
          <w:rFonts w:ascii="宋体" w:hAnsi="宋体"/>
          <w:kern w:val="44"/>
        </w:rPr>
      </w:pPr>
      <w:r>
        <w:rPr>
          <w:rFonts w:hint="eastAsia" w:ascii="宋体" w:hAnsi="宋体"/>
          <w:kern w:val="44"/>
        </w:rPr>
        <w:t>（二）办理、复查意见认定事实不清，适用依据错误，或者违反法定程序的，区分情况，予以撤销、变更或者责令办理、复查机关限期重新作出答复意见。</w:t>
      </w:r>
    </w:p>
    <w:p w14:paraId="099100AC">
      <w:pPr>
        <w:jc w:val="left"/>
        <w:rPr>
          <w:rFonts w:ascii="宋体" w:hAnsi="宋体"/>
          <w:kern w:val="44"/>
        </w:rPr>
      </w:pPr>
      <w:r>
        <w:rPr>
          <w:rFonts w:hint="eastAsia" w:ascii="宋体" w:hAnsi="宋体"/>
          <w:kern w:val="44"/>
        </w:rPr>
        <w:t>办理、复查机关由于认定事实不清、适用依据错误，被责令重新作出答复意见的，不得作出与原意见相同或者基本相同的答复意见。</w:t>
      </w:r>
    </w:p>
    <w:p w14:paraId="202A2103">
      <w:pPr>
        <w:jc w:val="left"/>
        <w:rPr>
          <w:rFonts w:ascii="宋体" w:hAnsi="宋体"/>
          <w:kern w:val="44"/>
        </w:rPr>
      </w:pPr>
      <w:r>
        <w:rPr>
          <w:rFonts w:hint="eastAsia" w:ascii="宋体" w:hAnsi="宋体"/>
          <w:kern w:val="44"/>
        </w:rPr>
        <w:t>复查、复核机关经审查决定不予受理的复查、复核申请，应当书面告知信访人理由。</w:t>
      </w:r>
    </w:p>
    <w:p w14:paraId="4168AAED">
      <w:pPr>
        <w:jc w:val="left"/>
        <w:rPr>
          <w:rFonts w:ascii="宋体" w:hAnsi="宋体"/>
          <w:kern w:val="44"/>
        </w:rPr>
      </w:pPr>
      <w:r>
        <w:rPr>
          <w:rFonts w:hint="eastAsia" w:ascii="宋体" w:hAnsi="宋体"/>
          <w:kern w:val="44"/>
        </w:rPr>
        <w:t>复杂、疑难的信访事项在法定期限内无法作出复查、复核意见的，经本级复查、复核委员会批准，可以延长期限，但延长期限不得超过30日，并告知信访人延期理由。</w:t>
      </w:r>
    </w:p>
    <w:p w14:paraId="26BF48DE">
      <w:pPr>
        <w:ind w:firstLine="422"/>
        <w:jc w:val="left"/>
        <w:rPr>
          <w:rFonts w:ascii="宋体" w:hAnsi="宋体"/>
          <w:kern w:val="44"/>
        </w:rPr>
      </w:pPr>
      <w:r>
        <w:rPr>
          <w:rFonts w:hint="eastAsia" w:ascii="宋体" w:hAnsi="宋体"/>
          <w:b/>
          <w:kern w:val="44"/>
        </w:rPr>
        <w:t>第五十一条</w:t>
      </w:r>
      <w:r>
        <w:rPr>
          <w:rFonts w:hint="eastAsia" w:ascii="宋体" w:hAnsi="宋体"/>
          <w:kern w:val="44"/>
        </w:rPr>
        <w:t>　信访人对复核意见不服，仍然以同一事实和理由提出信访请求的，人民政府信访工作机构和相关工作部门不再受理。</w:t>
      </w:r>
    </w:p>
    <w:p w14:paraId="086CD106">
      <w:pPr>
        <w:ind w:firstLine="422"/>
        <w:jc w:val="left"/>
        <w:rPr>
          <w:rFonts w:ascii="宋体" w:hAnsi="宋体"/>
          <w:kern w:val="44"/>
        </w:rPr>
      </w:pPr>
      <w:r>
        <w:rPr>
          <w:rFonts w:hint="eastAsia" w:ascii="宋体" w:hAnsi="宋体"/>
          <w:b/>
          <w:kern w:val="44"/>
        </w:rPr>
        <w:t>第五十二条</w:t>
      </w:r>
      <w:r>
        <w:rPr>
          <w:rFonts w:hint="eastAsia" w:ascii="宋体" w:hAnsi="宋体"/>
          <w:kern w:val="44"/>
        </w:rPr>
        <w:t>　市和区、县人民政府信访工作机构发现下级人民政府及其工作部门有下列情形之一的，应当及时督办，并提出改进建议：</w:t>
      </w:r>
    </w:p>
    <w:p w14:paraId="523479EB">
      <w:pPr>
        <w:jc w:val="left"/>
        <w:rPr>
          <w:rFonts w:ascii="宋体" w:hAnsi="宋体"/>
          <w:kern w:val="44"/>
        </w:rPr>
      </w:pPr>
      <w:r>
        <w:rPr>
          <w:rFonts w:hint="eastAsia" w:ascii="宋体" w:hAnsi="宋体"/>
          <w:kern w:val="44"/>
        </w:rPr>
        <w:t>（一）无正当理由未按规定的办理期限办结信访事项的；</w:t>
      </w:r>
    </w:p>
    <w:p w14:paraId="035890AD">
      <w:pPr>
        <w:jc w:val="left"/>
        <w:rPr>
          <w:rFonts w:ascii="宋体" w:hAnsi="宋体"/>
          <w:kern w:val="44"/>
        </w:rPr>
      </w:pPr>
      <w:r>
        <w:rPr>
          <w:rFonts w:hint="eastAsia" w:ascii="宋体" w:hAnsi="宋体"/>
          <w:kern w:val="44"/>
        </w:rPr>
        <w:t>（二）未按规定反馈信访事项办理结果的；</w:t>
      </w:r>
    </w:p>
    <w:p w14:paraId="54FE94FD">
      <w:pPr>
        <w:jc w:val="left"/>
        <w:rPr>
          <w:rFonts w:ascii="宋体" w:hAnsi="宋体"/>
          <w:kern w:val="44"/>
        </w:rPr>
      </w:pPr>
      <w:r>
        <w:rPr>
          <w:rFonts w:hint="eastAsia" w:ascii="宋体" w:hAnsi="宋体"/>
          <w:kern w:val="44"/>
        </w:rPr>
        <w:t>（三）未按规定程序办理信访事项的；</w:t>
      </w:r>
    </w:p>
    <w:p w14:paraId="70ACC214">
      <w:pPr>
        <w:jc w:val="left"/>
        <w:rPr>
          <w:rFonts w:ascii="宋体" w:hAnsi="宋体"/>
          <w:kern w:val="44"/>
        </w:rPr>
      </w:pPr>
      <w:r>
        <w:rPr>
          <w:rFonts w:hint="eastAsia" w:ascii="宋体" w:hAnsi="宋体"/>
          <w:kern w:val="44"/>
        </w:rPr>
        <w:t>（四）办理信访事项推诿、敷衍、拖延的；</w:t>
      </w:r>
    </w:p>
    <w:p w14:paraId="22B74A65">
      <w:pPr>
        <w:jc w:val="left"/>
        <w:rPr>
          <w:rFonts w:ascii="宋体" w:hAnsi="宋体"/>
          <w:kern w:val="44"/>
        </w:rPr>
      </w:pPr>
      <w:r>
        <w:rPr>
          <w:rFonts w:hint="eastAsia" w:ascii="宋体" w:hAnsi="宋体"/>
          <w:kern w:val="44"/>
        </w:rPr>
        <w:t>（五）不执行信访答复意见的；</w:t>
      </w:r>
    </w:p>
    <w:p w14:paraId="385DC477">
      <w:pPr>
        <w:jc w:val="left"/>
        <w:rPr>
          <w:rFonts w:ascii="宋体" w:hAnsi="宋体"/>
          <w:kern w:val="44"/>
        </w:rPr>
      </w:pPr>
      <w:r>
        <w:rPr>
          <w:rFonts w:hint="eastAsia" w:ascii="宋体" w:hAnsi="宋体"/>
          <w:kern w:val="44"/>
        </w:rPr>
        <w:t>（六）答复意见认定事实不清、依据或者程序存在明显错误的；</w:t>
      </w:r>
    </w:p>
    <w:p w14:paraId="1D4BE091">
      <w:pPr>
        <w:jc w:val="left"/>
        <w:rPr>
          <w:rFonts w:ascii="宋体" w:hAnsi="宋体"/>
          <w:kern w:val="44"/>
        </w:rPr>
      </w:pPr>
      <w:r>
        <w:rPr>
          <w:rFonts w:hint="eastAsia" w:ascii="宋体" w:hAnsi="宋体"/>
          <w:kern w:val="44"/>
        </w:rPr>
        <w:t>（七）虚报办理结果或者办理结果不落实的；</w:t>
      </w:r>
    </w:p>
    <w:p w14:paraId="0E59816E">
      <w:pPr>
        <w:jc w:val="left"/>
        <w:rPr>
          <w:rFonts w:ascii="宋体" w:hAnsi="宋体"/>
          <w:kern w:val="44"/>
        </w:rPr>
      </w:pPr>
      <w:r>
        <w:rPr>
          <w:rFonts w:hint="eastAsia" w:ascii="宋体" w:hAnsi="宋体"/>
          <w:kern w:val="44"/>
        </w:rPr>
        <w:t>（八）其他需要督办的情形。</w:t>
      </w:r>
    </w:p>
    <w:p w14:paraId="58130601">
      <w:pPr>
        <w:jc w:val="left"/>
        <w:rPr>
          <w:rFonts w:ascii="宋体" w:hAnsi="宋体"/>
          <w:kern w:val="44"/>
        </w:rPr>
      </w:pPr>
      <w:r>
        <w:rPr>
          <w:rFonts w:hint="eastAsia" w:ascii="宋体" w:hAnsi="宋体"/>
          <w:kern w:val="44"/>
        </w:rPr>
        <w:t>收到改进建议的行政机关应当在指定时限内书面反馈情况，未采纳建议的，应当在3个工作日内说明理由。</w:t>
      </w:r>
    </w:p>
    <w:p w14:paraId="08EC2792">
      <w:pPr>
        <w:ind w:firstLine="422"/>
        <w:jc w:val="left"/>
        <w:rPr>
          <w:rFonts w:ascii="宋体" w:hAnsi="宋体"/>
          <w:kern w:val="44"/>
        </w:rPr>
      </w:pPr>
      <w:r>
        <w:rPr>
          <w:rFonts w:hint="eastAsia" w:ascii="宋体" w:hAnsi="宋体"/>
          <w:b/>
          <w:kern w:val="44"/>
        </w:rPr>
        <w:t>第五十三条</w:t>
      </w:r>
      <w:r>
        <w:rPr>
          <w:rFonts w:hint="eastAsia" w:ascii="宋体" w:hAnsi="宋体"/>
          <w:kern w:val="44"/>
        </w:rPr>
        <w:t>　市和区、县人民政府信访工作机构和政府工作部门应当针对信访人在一定时期内反映的热点、难点问题开展调查研究工作，向本级人民政府及其工作部门或者通过本级向上级人民政府及其工作部门提出完善政策或者改进工作的建议。</w:t>
      </w:r>
    </w:p>
    <w:p w14:paraId="543FCE41">
      <w:pPr>
        <w:jc w:val="left"/>
        <w:rPr>
          <w:rFonts w:ascii="宋体" w:hAnsi="宋体"/>
          <w:kern w:val="44"/>
        </w:rPr>
      </w:pPr>
    </w:p>
    <w:p w14:paraId="6E9ED4EC">
      <w:pPr>
        <w:ind w:firstLine="0" w:firstLineChars="0"/>
        <w:jc w:val="center"/>
        <w:rPr>
          <w:rFonts w:ascii="宋体" w:hAnsi="宋体"/>
          <w:b/>
          <w:kern w:val="44"/>
          <w:sz w:val="28"/>
        </w:rPr>
      </w:pPr>
      <w:r>
        <w:rPr>
          <w:rFonts w:hint="eastAsia" w:ascii="宋体" w:hAnsi="宋体"/>
          <w:b/>
          <w:kern w:val="44"/>
          <w:sz w:val="28"/>
        </w:rPr>
        <w:t>第七章　人民法院、人民检察院</w:t>
      </w:r>
    </w:p>
    <w:p w14:paraId="360528C0">
      <w:pPr>
        <w:ind w:firstLine="0" w:firstLineChars="0"/>
        <w:jc w:val="center"/>
        <w:rPr>
          <w:rFonts w:ascii="宋体" w:hAnsi="宋体"/>
          <w:b/>
          <w:kern w:val="44"/>
          <w:sz w:val="28"/>
        </w:rPr>
      </w:pPr>
      <w:r>
        <w:rPr>
          <w:rFonts w:hint="eastAsia" w:ascii="宋体" w:hAnsi="宋体"/>
          <w:b/>
          <w:kern w:val="44"/>
          <w:sz w:val="28"/>
        </w:rPr>
        <w:t xml:space="preserve">       信访事项的受理和办理</w:t>
      </w:r>
    </w:p>
    <w:p w14:paraId="0D8FCFAE">
      <w:pPr>
        <w:jc w:val="left"/>
        <w:rPr>
          <w:rFonts w:ascii="宋体" w:hAnsi="宋体"/>
          <w:kern w:val="44"/>
        </w:rPr>
      </w:pPr>
    </w:p>
    <w:p w14:paraId="321023F6">
      <w:pPr>
        <w:ind w:firstLine="422"/>
        <w:jc w:val="left"/>
        <w:rPr>
          <w:rFonts w:ascii="宋体" w:hAnsi="宋体"/>
          <w:kern w:val="44"/>
        </w:rPr>
      </w:pPr>
      <w:r>
        <w:rPr>
          <w:rFonts w:hint="eastAsia" w:ascii="宋体" w:hAnsi="宋体"/>
          <w:b/>
          <w:kern w:val="44"/>
        </w:rPr>
        <w:t>第五十四条</w:t>
      </w:r>
      <w:r>
        <w:rPr>
          <w:rFonts w:hint="eastAsia" w:ascii="宋体" w:hAnsi="宋体"/>
          <w:kern w:val="44"/>
        </w:rPr>
        <w:t>　信访人可以就下列事项向本市各级人民法院提出信访请求：</w:t>
      </w:r>
    </w:p>
    <w:p w14:paraId="0EACF556">
      <w:pPr>
        <w:jc w:val="left"/>
        <w:rPr>
          <w:rFonts w:ascii="宋体" w:hAnsi="宋体"/>
          <w:kern w:val="44"/>
        </w:rPr>
      </w:pPr>
      <w:r>
        <w:rPr>
          <w:rFonts w:hint="eastAsia" w:ascii="宋体" w:hAnsi="宋体"/>
          <w:kern w:val="44"/>
        </w:rPr>
        <w:t>（一）对人民法院工作的建议、批评和意见；</w:t>
      </w:r>
    </w:p>
    <w:p w14:paraId="6B3A2007">
      <w:pPr>
        <w:jc w:val="left"/>
        <w:rPr>
          <w:rFonts w:ascii="宋体" w:hAnsi="宋体"/>
          <w:kern w:val="44"/>
        </w:rPr>
      </w:pPr>
      <w:r>
        <w:rPr>
          <w:rFonts w:hint="eastAsia" w:ascii="宋体" w:hAnsi="宋体"/>
          <w:kern w:val="44"/>
        </w:rPr>
        <w:t>（二）对人民法院工作人员的违法失职行为的举报、控告或者申诉；</w:t>
      </w:r>
    </w:p>
    <w:p w14:paraId="1B071B8D">
      <w:pPr>
        <w:jc w:val="left"/>
        <w:rPr>
          <w:rFonts w:ascii="宋体" w:hAnsi="宋体"/>
          <w:kern w:val="44"/>
        </w:rPr>
      </w:pPr>
      <w:r>
        <w:rPr>
          <w:rFonts w:hint="eastAsia" w:ascii="宋体" w:hAnsi="宋体"/>
          <w:kern w:val="44"/>
        </w:rPr>
        <w:t>（三）依法应当由人民法院受理的其他信访请求。</w:t>
      </w:r>
    </w:p>
    <w:p w14:paraId="19ABC47D">
      <w:pPr>
        <w:ind w:firstLine="422"/>
        <w:jc w:val="left"/>
        <w:rPr>
          <w:rFonts w:ascii="宋体" w:hAnsi="宋体"/>
          <w:kern w:val="44"/>
        </w:rPr>
      </w:pPr>
      <w:r>
        <w:rPr>
          <w:rFonts w:hint="eastAsia" w:ascii="宋体" w:hAnsi="宋体"/>
          <w:b/>
          <w:kern w:val="44"/>
        </w:rPr>
        <w:t>第五十五条</w:t>
      </w:r>
      <w:r>
        <w:rPr>
          <w:rFonts w:hint="eastAsia" w:ascii="宋体" w:hAnsi="宋体"/>
          <w:kern w:val="44"/>
        </w:rPr>
        <w:t>　信访人可以就下列事项向本市各级人民检察院提出信访请求：</w:t>
      </w:r>
    </w:p>
    <w:p w14:paraId="6FDF2D79">
      <w:pPr>
        <w:jc w:val="left"/>
        <w:rPr>
          <w:rFonts w:ascii="宋体" w:hAnsi="宋体"/>
          <w:kern w:val="44"/>
        </w:rPr>
      </w:pPr>
      <w:r>
        <w:rPr>
          <w:rFonts w:hint="eastAsia" w:ascii="宋体" w:hAnsi="宋体"/>
          <w:kern w:val="44"/>
        </w:rPr>
        <w:t>（一）对人民检察院工作的建议、批评和意见；</w:t>
      </w:r>
    </w:p>
    <w:p w14:paraId="303CF892">
      <w:pPr>
        <w:jc w:val="left"/>
        <w:rPr>
          <w:rFonts w:ascii="宋体" w:hAnsi="宋体"/>
          <w:kern w:val="44"/>
        </w:rPr>
      </w:pPr>
      <w:r>
        <w:rPr>
          <w:rFonts w:hint="eastAsia" w:ascii="宋体" w:hAnsi="宋体"/>
          <w:kern w:val="44"/>
        </w:rPr>
        <w:t>（二）对人民检察院工作人员的违法失职行为的举报、控告或者申诉；</w:t>
      </w:r>
    </w:p>
    <w:p w14:paraId="7960872D">
      <w:pPr>
        <w:jc w:val="left"/>
        <w:rPr>
          <w:rFonts w:ascii="宋体" w:hAnsi="宋体"/>
          <w:kern w:val="44"/>
        </w:rPr>
      </w:pPr>
      <w:r>
        <w:rPr>
          <w:rFonts w:hint="eastAsia" w:ascii="宋体" w:hAnsi="宋体"/>
          <w:kern w:val="44"/>
        </w:rPr>
        <w:t>（三）依法应当由人民检察院受理的其他信访请求。</w:t>
      </w:r>
    </w:p>
    <w:p w14:paraId="6184F98D">
      <w:pPr>
        <w:ind w:firstLine="422"/>
        <w:jc w:val="left"/>
        <w:rPr>
          <w:rFonts w:ascii="宋体" w:hAnsi="宋体"/>
          <w:kern w:val="44"/>
        </w:rPr>
      </w:pPr>
      <w:r>
        <w:rPr>
          <w:rFonts w:hint="eastAsia" w:ascii="宋体" w:hAnsi="宋体"/>
          <w:b/>
          <w:kern w:val="44"/>
        </w:rPr>
        <w:t>第五十六条</w:t>
      </w:r>
      <w:r>
        <w:rPr>
          <w:rFonts w:hint="eastAsia" w:ascii="宋体" w:hAnsi="宋体"/>
          <w:kern w:val="44"/>
        </w:rPr>
        <w:t>　人民法院、人民检察院对信访人提出的属于其职责范围内的信访请求，应当予以登记，依照法律或者相关规定处理，告知、答复信访人。</w:t>
      </w:r>
    </w:p>
    <w:p w14:paraId="71806344">
      <w:pPr>
        <w:jc w:val="left"/>
        <w:rPr>
          <w:rFonts w:ascii="宋体" w:hAnsi="宋体"/>
          <w:kern w:val="44"/>
        </w:rPr>
      </w:pPr>
    </w:p>
    <w:p w14:paraId="00A3A8D2">
      <w:pPr>
        <w:ind w:firstLine="0" w:firstLineChars="0"/>
        <w:jc w:val="center"/>
        <w:rPr>
          <w:rFonts w:ascii="宋体" w:hAnsi="宋体"/>
          <w:b/>
          <w:kern w:val="44"/>
          <w:sz w:val="28"/>
        </w:rPr>
      </w:pPr>
      <w:r>
        <w:rPr>
          <w:rFonts w:hint="eastAsia" w:ascii="宋体" w:hAnsi="宋体"/>
          <w:b/>
          <w:kern w:val="44"/>
          <w:sz w:val="28"/>
        </w:rPr>
        <w:t>第八章　信访秩序</w:t>
      </w:r>
    </w:p>
    <w:p w14:paraId="76580622">
      <w:pPr>
        <w:jc w:val="left"/>
        <w:rPr>
          <w:rFonts w:ascii="宋体" w:hAnsi="宋体"/>
          <w:kern w:val="44"/>
        </w:rPr>
      </w:pPr>
    </w:p>
    <w:p w14:paraId="7D744594">
      <w:pPr>
        <w:ind w:firstLine="422"/>
        <w:jc w:val="left"/>
        <w:rPr>
          <w:rFonts w:ascii="宋体" w:hAnsi="宋体"/>
          <w:kern w:val="44"/>
        </w:rPr>
      </w:pPr>
      <w:r>
        <w:rPr>
          <w:rFonts w:hint="eastAsia" w:ascii="宋体" w:hAnsi="宋体"/>
          <w:b/>
          <w:kern w:val="44"/>
        </w:rPr>
        <w:t>第五十七条</w:t>
      </w:r>
      <w:r>
        <w:rPr>
          <w:rFonts w:hint="eastAsia" w:ascii="宋体" w:hAnsi="宋体"/>
          <w:kern w:val="44"/>
        </w:rPr>
        <w:t>　信访活动应当依法、有序进行，国家机关及其工作人员、信访人应当共同维护信访秩序。</w:t>
      </w:r>
    </w:p>
    <w:p w14:paraId="6EC6965E">
      <w:pPr>
        <w:jc w:val="left"/>
        <w:rPr>
          <w:rFonts w:ascii="宋体" w:hAnsi="宋体"/>
          <w:kern w:val="44"/>
        </w:rPr>
      </w:pPr>
      <w:r>
        <w:rPr>
          <w:rFonts w:hint="eastAsia" w:ascii="宋体" w:hAnsi="宋体"/>
          <w:kern w:val="44"/>
        </w:rPr>
        <w:t>社会团体、企业事业单位和基层组织应当协助国家机关维护信访秩序。</w:t>
      </w:r>
    </w:p>
    <w:p w14:paraId="7C2DC4EA">
      <w:pPr>
        <w:ind w:firstLine="422"/>
        <w:jc w:val="left"/>
        <w:rPr>
          <w:rFonts w:ascii="宋体" w:hAnsi="宋体"/>
          <w:kern w:val="44"/>
        </w:rPr>
      </w:pPr>
      <w:r>
        <w:rPr>
          <w:rFonts w:hint="eastAsia" w:ascii="宋体" w:hAnsi="宋体"/>
          <w:b/>
          <w:kern w:val="44"/>
        </w:rPr>
        <w:t>第五十八条</w:t>
      </w:r>
      <w:r>
        <w:rPr>
          <w:rFonts w:hint="eastAsia" w:ascii="宋体" w:hAnsi="宋体"/>
          <w:kern w:val="44"/>
        </w:rPr>
        <w:t>　信访人应当遵守法律、法规和有关规定，不得有下列行为：</w:t>
      </w:r>
    </w:p>
    <w:p w14:paraId="108430FD">
      <w:pPr>
        <w:jc w:val="left"/>
        <w:rPr>
          <w:rFonts w:ascii="宋体" w:hAnsi="宋体"/>
          <w:kern w:val="44"/>
        </w:rPr>
      </w:pPr>
      <w:r>
        <w:rPr>
          <w:rFonts w:hint="eastAsia" w:ascii="宋体" w:hAnsi="宋体"/>
          <w:kern w:val="44"/>
        </w:rPr>
        <w:t>（一）在非信访接待场所采用走访形式提出信访请求的；</w:t>
      </w:r>
    </w:p>
    <w:p w14:paraId="2406B9E2">
      <w:pPr>
        <w:jc w:val="left"/>
        <w:rPr>
          <w:rFonts w:ascii="宋体" w:hAnsi="宋体"/>
          <w:kern w:val="44"/>
        </w:rPr>
      </w:pPr>
      <w:r>
        <w:rPr>
          <w:rFonts w:hint="eastAsia" w:ascii="宋体" w:hAnsi="宋体"/>
          <w:kern w:val="44"/>
        </w:rPr>
        <w:t>（二）在国家机关办公场所及其周边、公共场所非法聚集、滋事，围堵、冲击国家机关，拦截公务车辆，堵塞、阻断交通，或者以自杀、自伤、自残相威胁的；</w:t>
      </w:r>
    </w:p>
    <w:p w14:paraId="38785B85">
      <w:pPr>
        <w:jc w:val="left"/>
        <w:rPr>
          <w:rFonts w:ascii="宋体" w:hAnsi="宋体"/>
          <w:kern w:val="44"/>
        </w:rPr>
      </w:pPr>
      <w:r>
        <w:rPr>
          <w:rFonts w:hint="eastAsia" w:ascii="宋体" w:hAnsi="宋体"/>
          <w:kern w:val="44"/>
        </w:rPr>
        <w:t>（三）扰乱机关、团体、企业事业单位正常工作、生产、经营秩序的；</w:t>
      </w:r>
    </w:p>
    <w:p w14:paraId="705341A2">
      <w:pPr>
        <w:jc w:val="left"/>
        <w:rPr>
          <w:rFonts w:ascii="宋体" w:hAnsi="宋体"/>
          <w:kern w:val="44"/>
        </w:rPr>
      </w:pPr>
      <w:r>
        <w:rPr>
          <w:rFonts w:hint="eastAsia" w:ascii="宋体" w:hAnsi="宋体"/>
          <w:kern w:val="44"/>
        </w:rPr>
        <w:t>（四）携带危险物品、管制器具的；</w:t>
      </w:r>
    </w:p>
    <w:p w14:paraId="7A9ED241">
      <w:pPr>
        <w:jc w:val="left"/>
        <w:rPr>
          <w:rFonts w:ascii="宋体" w:hAnsi="宋体"/>
          <w:kern w:val="44"/>
        </w:rPr>
      </w:pPr>
      <w:r>
        <w:rPr>
          <w:rFonts w:hint="eastAsia" w:ascii="宋体" w:hAnsi="宋体"/>
          <w:kern w:val="44"/>
        </w:rPr>
        <w:t>（五）侮辱、殴打、威胁履行信访工作职责的人员，或者非法限制他人人身自由的；</w:t>
      </w:r>
    </w:p>
    <w:p w14:paraId="3F9DE703">
      <w:pPr>
        <w:jc w:val="left"/>
        <w:rPr>
          <w:rFonts w:ascii="宋体" w:hAnsi="宋体"/>
          <w:kern w:val="44"/>
        </w:rPr>
      </w:pPr>
      <w:r>
        <w:rPr>
          <w:rFonts w:hint="eastAsia" w:ascii="宋体" w:hAnsi="宋体"/>
          <w:kern w:val="44"/>
        </w:rPr>
        <w:t>（六）阻碍国家机关工作人员依法执行职务的；</w:t>
      </w:r>
    </w:p>
    <w:p w14:paraId="65646435">
      <w:pPr>
        <w:jc w:val="left"/>
        <w:rPr>
          <w:rFonts w:ascii="宋体" w:hAnsi="宋体"/>
          <w:kern w:val="44"/>
        </w:rPr>
      </w:pPr>
      <w:r>
        <w:rPr>
          <w:rFonts w:hint="eastAsia" w:ascii="宋体" w:hAnsi="宋体"/>
          <w:kern w:val="44"/>
        </w:rPr>
        <w:t>（七）歪曲、捏造事实，散布谣言或者以其他方法故意扰乱公共秩序的；</w:t>
      </w:r>
    </w:p>
    <w:p w14:paraId="33305485">
      <w:pPr>
        <w:jc w:val="left"/>
        <w:rPr>
          <w:rFonts w:ascii="宋体" w:hAnsi="宋体"/>
          <w:kern w:val="44"/>
        </w:rPr>
      </w:pPr>
      <w:r>
        <w:rPr>
          <w:rFonts w:hint="eastAsia" w:ascii="宋体" w:hAnsi="宋体"/>
          <w:kern w:val="44"/>
        </w:rPr>
        <w:t>（八）煽动、串联、胁迫、以财物诱使、幕后操纵他人信访或者以信访为名借机敛财的；</w:t>
      </w:r>
    </w:p>
    <w:p w14:paraId="47ACC406">
      <w:pPr>
        <w:jc w:val="left"/>
        <w:rPr>
          <w:rFonts w:ascii="宋体" w:hAnsi="宋体"/>
          <w:kern w:val="44"/>
        </w:rPr>
      </w:pPr>
      <w:r>
        <w:rPr>
          <w:rFonts w:hint="eastAsia" w:ascii="宋体" w:hAnsi="宋体"/>
          <w:kern w:val="44"/>
        </w:rPr>
        <w:t>（九）在信访接待场所滞留，或者将无民事行为能力人、限制民事行为能力人、生活不能自理的人弃留在信访接待场所的；</w:t>
      </w:r>
    </w:p>
    <w:p w14:paraId="6AD91A19">
      <w:pPr>
        <w:jc w:val="left"/>
        <w:rPr>
          <w:rFonts w:ascii="宋体" w:hAnsi="宋体"/>
          <w:kern w:val="44"/>
        </w:rPr>
      </w:pPr>
      <w:r>
        <w:rPr>
          <w:rFonts w:hint="eastAsia" w:ascii="宋体" w:hAnsi="宋体"/>
          <w:kern w:val="44"/>
        </w:rPr>
        <w:t>（十）其他扰乱公共秩序、妨害国家和公共安全的行为。</w:t>
      </w:r>
    </w:p>
    <w:p w14:paraId="256B2464">
      <w:pPr>
        <w:ind w:firstLine="422"/>
        <w:jc w:val="left"/>
        <w:rPr>
          <w:rFonts w:ascii="宋体" w:hAnsi="宋体"/>
          <w:kern w:val="44"/>
        </w:rPr>
      </w:pPr>
      <w:r>
        <w:rPr>
          <w:rFonts w:hint="eastAsia" w:ascii="宋体" w:hAnsi="宋体"/>
          <w:b/>
          <w:kern w:val="44"/>
        </w:rPr>
        <w:t>第五十九条</w:t>
      </w:r>
      <w:r>
        <w:rPr>
          <w:rFonts w:hint="eastAsia" w:ascii="宋体" w:hAnsi="宋体"/>
          <w:kern w:val="44"/>
        </w:rPr>
        <w:t>　信访工作机构对滞留的无民事行为能力人、限制民事行为能力人、生活不能自理的人，应当通知其监护人或者有关单位将其带回。</w:t>
      </w:r>
    </w:p>
    <w:p w14:paraId="1A740AA0">
      <w:pPr>
        <w:jc w:val="left"/>
        <w:rPr>
          <w:rFonts w:ascii="宋体" w:hAnsi="宋体"/>
          <w:kern w:val="44"/>
        </w:rPr>
      </w:pPr>
      <w:r>
        <w:rPr>
          <w:rFonts w:hint="eastAsia" w:ascii="宋体" w:hAnsi="宋体"/>
          <w:kern w:val="44"/>
        </w:rPr>
        <w:t>信访工作机构对来访的传染病患者、疑似传染病患者，应当通知属地卫生部门依据相关法律、法规处理。</w:t>
      </w:r>
    </w:p>
    <w:p w14:paraId="1CBF9BCE">
      <w:pPr>
        <w:ind w:firstLine="422"/>
        <w:jc w:val="left"/>
        <w:rPr>
          <w:rFonts w:ascii="宋体" w:hAnsi="宋体"/>
          <w:kern w:val="44"/>
        </w:rPr>
      </w:pPr>
      <w:r>
        <w:rPr>
          <w:rFonts w:hint="eastAsia" w:ascii="宋体" w:hAnsi="宋体"/>
          <w:b/>
          <w:kern w:val="44"/>
        </w:rPr>
        <w:t>第六十条</w:t>
      </w:r>
      <w:r>
        <w:rPr>
          <w:rFonts w:hint="eastAsia" w:ascii="宋体" w:hAnsi="宋体"/>
          <w:kern w:val="44"/>
        </w:rPr>
        <w:t>　信访人严重扰乱公共秩序、妨害公共安全的，公安机关应当依法、及时采取必要的现场处置措施。事件引发地政府有关部门及相关责任单位应当及时到场，教育、疏导、劝返信访人。事件发生地政府应当积极配合。</w:t>
      </w:r>
    </w:p>
    <w:p w14:paraId="550D7A39">
      <w:pPr>
        <w:jc w:val="left"/>
        <w:rPr>
          <w:rFonts w:ascii="宋体" w:hAnsi="宋体"/>
          <w:kern w:val="44"/>
        </w:rPr>
      </w:pPr>
    </w:p>
    <w:p w14:paraId="70028962">
      <w:pPr>
        <w:ind w:firstLine="0" w:firstLineChars="0"/>
        <w:jc w:val="center"/>
        <w:rPr>
          <w:rFonts w:ascii="宋体" w:hAnsi="宋体"/>
          <w:b/>
          <w:kern w:val="44"/>
          <w:sz w:val="28"/>
        </w:rPr>
      </w:pPr>
      <w:r>
        <w:rPr>
          <w:rFonts w:hint="eastAsia" w:ascii="宋体" w:hAnsi="宋体"/>
          <w:b/>
          <w:kern w:val="44"/>
          <w:sz w:val="28"/>
        </w:rPr>
        <w:t>第九章　法律责任</w:t>
      </w:r>
    </w:p>
    <w:p w14:paraId="1E0B5FAA">
      <w:pPr>
        <w:jc w:val="left"/>
        <w:rPr>
          <w:rFonts w:ascii="宋体" w:hAnsi="宋体"/>
          <w:kern w:val="44"/>
        </w:rPr>
      </w:pPr>
    </w:p>
    <w:p w14:paraId="143E76AF">
      <w:pPr>
        <w:ind w:firstLine="422"/>
        <w:jc w:val="left"/>
        <w:rPr>
          <w:rFonts w:ascii="宋体" w:hAnsi="宋体"/>
          <w:kern w:val="44"/>
        </w:rPr>
      </w:pPr>
      <w:r>
        <w:rPr>
          <w:rFonts w:hint="eastAsia" w:ascii="宋体" w:hAnsi="宋体"/>
          <w:b/>
          <w:kern w:val="44"/>
        </w:rPr>
        <w:t>第六十一条</w:t>
      </w:r>
      <w:r>
        <w:rPr>
          <w:rFonts w:hint="eastAsia" w:ascii="宋体" w:hAnsi="宋体"/>
          <w:kern w:val="44"/>
        </w:rPr>
        <w:t>　国家机关及其工作人员侵害公民、法人或者其他组织的合法权益，导致信访事项发生，造成严重后果，构成犯罪的，对直接负责的主管人员和其他直接责任人员依法追究刑事责任；尚不构成犯罪的，依法给予行政处分。</w:t>
      </w:r>
    </w:p>
    <w:p w14:paraId="32643860">
      <w:pPr>
        <w:ind w:firstLine="422"/>
        <w:jc w:val="left"/>
        <w:rPr>
          <w:rFonts w:ascii="宋体" w:hAnsi="宋体"/>
          <w:kern w:val="44"/>
        </w:rPr>
      </w:pPr>
      <w:r>
        <w:rPr>
          <w:rFonts w:hint="eastAsia" w:ascii="宋体" w:hAnsi="宋体"/>
          <w:b/>
          <w:kern w:val="44"/>
        </w:rPr>
        <w:t>第六十二条</w:t>
      </w:r>
      <w:r>
        <w:rPr>
          <w:rFonts w:hint="eastAsia" w:ascii="宋体" w:hAnsi="宋体"/>
          <w:kern w:val="44"/>
        </w:rPr>
        <w:t>　国家机关在信访工作中违反本条例规定的，由有权处理的国家机关责令改正；造成严重后果，构成犯罪的，对直接负责的主管人员和其他直接责任人员依法追究刑事责任；尚不构成犯罪的，依法给予行政处分。</w:t>
      </w:r>
    </w:p>
    <w:p w14:paraId="461B5E30">
      <w:pPr>
        <w:ind w:firstLine="422"/>
        <w:jc w:val="left"/>
        <w:rPr>
          <w:rFonts w:ascii="宋体" w:hAnsi="宋体"/>
          <w:kern w:val="44"/>
        </w:rPr>
      </w:pPr>
      <w:r>
        <w:rPr>
          <w:rFonts w:hint="eastAsia" w:ascii="宋体" w:hAnsi="宋体"/>
          <w:b/>
          <w:kern w:val="44"/>
        </w:rPr>
        <w:t>第六十三条</w:t>
      </w:r>
      <w:r>
        <w:rPr>
          <w:rFonts w:hint="eastAsia" w:ascii="宋体" w:hAnsi="宋体"/>
          <w:kern w:val="44"/>
        </w:rPr>
        <w:t>　国家机关信访工作人员违反本条例第二十二条规定的，由所在单位批评教育；情节严重，构成犯罪的，依法追究刑事责任；尚不构成犯罪的，依法给予行政处分。</w:t>
      </w:r>
    </w:p>
    <w:p w14:paraId="1DF57797">
      <w:pPr>
        <w:ind w:firstLine="422"/>
        <w:jc w:val="left"/>
        <w:rPr>
          <w:rFonts w:ascii="宋体" w:hAnsi="宋体"/>
          <w:kern w:val="44"/>
        </w:rPr>
      </w:pPr>
      <w:r>
        <w:rPr>
          <w:rFonts w:hint="eastAsia" w:ascii="宋体" w:hAnsi="宋体"/>
          <w:b/>
          <w:kern w:val="44"/>
        </w:rPr>
        <w:t>第六十四条</w:t>
      </w:r>
      <w:r>
        <w:rPr>
          <w:rFonts w:hint="eastAsia" w:ascii="宋体" w:hAnsi="宋体"/>
          <w:kern w:val="44"/>
        </w:rPr>
        <w:t>　国家机关违反本条例第五十二条规定，经督办拒不纠正的，由有关国家机关予以通报批评；造成严重后果的，追究其相关责任。</w:t>
      </w:r>
    </w:p>
    <w:p w14:paraId="4048026E">
      <w:pPr>
        <w:ind w:firstLine="422"/>
        <w:jc w:val="left"/>
        <w:rPr>
          <w:rFonts w:ascii="宋体" w:hAnsi="宋体"/>
          <w:kern w:val="44"/>
        </w:rPr>
      </w:pPr>
      <w:r>
        <w:rPr>
          <w:rFonts w:hint="eastAsia" w:ascii="宋体" w:hAnsi="宋体"/>
          <w:b/>
          <w:kern w:val="44"/>
        </w:rPr>
        <w:t>第六十五条</w:t>
      </w:r>
      <w:r>
        <w:rPr>
          <w:rFonts w:hint="eastAsia" w:ascii="宋体" w:hAnsi="宋体"/>
          <w:kern w:val="44"/>
        </w:rPr>
        <w:t>　国家机关及其工作人员对可能造成社会影响的重大、紧急信访事项和信访信息，隐瞒、谎报、缓报，或者授意他人隐瞒、谎报、缓报，造成严重后果，构成犯罪的，对直接负责的主管人员和其他直接责任人员依法追究刑事责任；尚不构成犯罪的，依法给予行政处分。</w:t>
      </w:r>
    </w:p>
    <w:p w14:paraId="4CD08D44">
      <w:pPr>
        <w:ind w:firstLine="422"/>
        <w:jc w:val="left"/>
        <w:rPr>
          <w:rFonts w:ascii="宋体" w:hAnsi="宋体"/>
          <w:kern w:val="44"/>
        </w:rPr>
      </w:pPr>
      <w:r>
        <w:rPr>
          <w:rFonts w:hint="eastAsia" w:ascii="宋体" w:hAnsi="宋体"/>
          <w:b/>
          <w:kern w:val="44"/>
        </w:rPr>
        <w:t>第六十六条</w:t>
      </w:r>
      <w:r>
        <w:rPr>
          <w:rFonts w:hint="eastAsia" w:ascii="宋体" w:hAnsi="宋体"/>
          <w:kern w:val="44"/>
        </w:rPr>
        <w:t>　压制、打击报复信访人，构成犯罪的，依法追究刑事责任；尚不构成犯罪的，依法给予行政处分。</w:t>
      </w:r>
    </w:p>
    <w:p w14:paraId="4B4DDDCE">
      <w:pPr>
        <w:ind w:firstLine="422"/>
        <w:jc w:val="left"/>
        <w:rPr>
          <w:rFonts w:ascii="宋体" w:hAnsi="宋体"/>
          <w:kern w:val="44"/>
        </w:rPr>
      </w:pPr>
      <w:r>
        <w:rPr>
          <w:rFonts w:hint="eastAsia" w:ascii="宋体" w:hAnsi="宋体"/>
          <w:b/>
          <w:kern w:val="44"/>
        </w:rPr>
        <w:t>第六十七条</w:t>
      </w:r>
      <w:r>
        <w:rPr>
          <w:rFonts w:hint="eastAsia" w:ascii="宋体" w:hAnsi="宋体"/>
          <w:kern w:val="44"/>
        </w:rPr>
        <w:t>　信访人违反本条例第十七条、第二十五条、第五十八条规定的，由有关国家机关工作人员劝阻、批评或者教育。</w:t>
      </w:r>
    </w:p>
    <w:p w14:paraId="364E8AE2">
      <w:pPr>
        <w:jc w:val="left"/>
        <w:rPr>
          <w:rFonts w:ascii="宋体" w:hAnsi="宋体"/>
          <w:kern w:val="44"/>
        </w:rPr>
      </w:pPr>
      <w:r>
        <w:rPr>
          <w:rFonts w:hint="eastAsia" w:ascii="宋体" w:hAnsi="宋体"/>
          <w:kern w:val="44"/>
        </w:rPr>
        <w:t>经劝阻、批评或者教育无效的，由公安机关予以警告、训诫或者制止；违反集会游行示威或者治安管理法律、行政法规的，由公安机关依法采取必要的现场处置措施，给予治安管理处罚；构成犯罪的，依法追究刑事责任。</w:t>
      </w:r>
    </w:p>
    <w:p w14:paraId="28DCC1CF">
      <w:pPr>
        <w:jc w:val="left"/>
        <w:rPr>
          <w:rFonts w:ascii="宋体" w:hAnsi="宋体"/>
          <w:kern w:val="44"/>
        </w:rPr>
      </w:pPr>
    </w:p>
    <w:p w14:paraId="5A155CAA">
      <w:pPr>
        <w:ind w:firstLine="0" w:firstLineChars="0"/>
        <w:jc w:val="center"/>
        <w:rPr>
          <w:rFonts w:ascii="宋体" w:hAnsi="宋体"/>
          <w:b/>
          <w:kern w:val="44"/>
          <w:sz w:val="28"/>
        </w:rPr>
      </w:pPr>
      <w:r>
        <w:rPr>
          <w:rFonts w:hint="eastAsia" w:ascii="宋体" w:hAnsi="宋体"/>
          <w:b/>
          <w:kern w:val="44"/>
          <w:sz w:val="28"/>
        </w:rPr>
        <w:t>第十章　附  则</w:t>
      </w:r>
    </w:p>
    <w:p w14:paraId="1FB041C2">
      <w:pPr>
        <w:jc w:val="left"/>
        <w:rPr>
          <w:rFonts w:ascii="宋体" w:hAnsi="宋体"/>
          <w:kern w:val="44"/>
        </w:rPr>
      </w:pPr>
    </w:p>
    <w:p w14:paraId="11354E4D">
      <w:pPr>
        <w:ind w:firstLine="422"/>
        <w:jc w:val="left"/>
        <w:rPr>
          <w:rFonts w:ascii="宋体" w:hAnsi="宋体"/>
          <w:kern w:val="44"/>
        </w:rPr>
      </w:pPr>
      <w:r>
        <w:rPr>
          <w:rFonts w:hint="eastAsia" w:ascii="宋体" w:hAnsi="宋体"/>
          <w:b/>
          <w:kern w:val="44"/>
        </w:rPr>
        <w:t>第六十八条</w:t>
      </w:r>
      <w:r>
        <w:rPr>
          <w:rFonts w:hint="eastAsia" w:ascii="宋体" w:hAnsi="宋体"/>
          <w:kern w:val="44"/>
        </w:rPr>
        <w:t>　本市国有资产监督管理部门监管的企业事业单位的信访工作，由本市国有资产监督管理部门参照本条例制定具体办法。</w:t>
      </w:r>
    </w:p>
    <w:p w14:paraId="436CB60B">
      <w:pPr>
        <w:ind w:firstLine="422"/>
        <w:jc w:val="left"/>
        <w:rPr>
          <w:rFonts w:ascii="宋体" w:hAnsi="宋体"/>
          <w:kern w:val="44"/>
        </w:rPr>
      </w:pPr>
      <w:r>
        <w:rPr>
          <w:rFonts w:hint="eastAsia" w:ascii="宋体" w:hAnsi="宋体"/>
          <w:b/>
          <w:kern w:val="44"/>
        </w:rPr>
        <w:t>第六十九条</w:t>
      </w:r>
      <w:r>
        <w:rPr>
          <w:rFonts w:hint="eastAsia" w:ascii="宋体" w:hAnsi="宋体"/>
          <w:kern w:val="44"/>
        </w:rPr>
        <w:t xml:space="preserve">  外国人、无国籍人、外国组织提出的信访请求的处理，参照本条例执行。</w:t>
      </w:r>
    </w:p>
    <w:p w14:paraId="71F3AD7E">
      <w:pPr>
        <w:ind w:firstLine="422"/>
        <w:jc w:val="left"/>
        <w:rPr>
          <w:rFonts w:ascii="宋体" w:hAnsi="宋体"/>
          <w:kern w:val="44"/>
        </w:rPr>
      </w:pPr>
      <w:r>
        <w:rPr>
          <w:rFonts w:hint="eastAsia" w:ascii="宋体" w:hAnsi="宋体"/>
          <w:b/>
          <w:kern w:val="44"/>
        </w:rPr>
        <w:t>第七十条</w:t>
      </w:r>
      <w:r>
        <w:rPr>
          <w:rFonts w:hint="eastAsia" w:ascii="宋体" w:hAnsi="宋体"/>
          <w:kern w:val="44"/>
        </w:rPr>
        <w:t xml:space="preserve">  本条例自2007年1月1日起施行。</w:t>
      </w:r>
    </w:p>
    <w:p w14:paraId="070CC928">
      <w:pPr>
        <w:pStyle w:val="4"/>
        <w:pageBreakBefore/>
        <w:rPr>
          <w:kern w:val="44"/>
        </w:rPr>
      </w:pPr>
      <w:bookmarkStart w:id="270" w:name="_Toc427651417"/>
      <w:bookmarkStart w:id="271" w:name="_Toc428779983"/>
      <w:bookmarkStart w:id="272" w:name="_Toc427651759"/>
      <w:bookmarkStart w:id="273" w:name="_Toc422471098"/>
      <w:bookmarkStart w:id="274" w:name="_Toc428781465"/>
      <w:r>
        <w:rPr>
          <w:rFonts w:hint="eastAsia"/>
          <w:kern w:val="44"/>
        </w:rPr>
        <w:t>北京市规章设定罚款限额规定</w:t>
      </w:r>
      <w:bookmarkEnd w:id="270"/>
      <w:bookmarkEnd w:id="271"/>
      <w:bookmarkEnd w:id="272"/>
      <w:bookmarkEnd w:id="273"/>
      <w:bookmarkEnd w:id="274"/>
    </w:p>
    <w:p w14:paraId="399D1998">
      <w:pPr>
        <w:ind w:left="630" w:leftChars="300" w:right="630" w:rightChars="300"/>
        <w:jc w:val="left"/>
        <w:rPr>
          <w:rFonts w:ascii="楷体" w:hAnsi="楷体" w:eastAsia="楷体"/>
          <w:kern w:val="44"/>
        </w:rPr>
      </w:pPr>
      <w:r>
        <w:rPr>
          <w:rFonts w:hint="eastAsia" w:ascii="楷体" w:hAnsi="楷体" w:eastAsia="楷体"/>
          <w:kern w:val="44"/>
        </w:rPr>
        <w:t>（1996年9月3日北京市第十届人民代表大会常务委员会第三十次会议通过  根据2007年3月30日北京市第十二届人民代表大会常务委员会第三十五次会议通过的《北京市规章设定罚款限额规定修正案》修正）</w:t>
      </w:r>
    </w:p>
    <w:p w14:paraId="2EA2A9D1">
      <w:pPr>
        <w:ind w:left="630" w:leftChars="300" w:right="630" w:rightChars="300"/>
        <w:jc w:val="left"/>
        <w:rPr>
          <w:rFonts w:ascii="楷体" w:hAnsi="楷体" w:eastAsia="楷体"/>
          <w:kern w:val="44"/>
        </w:rPr>
      </w:pPr>
    </w:p>
    <w:p w14:paraId="10FCFA4D">
      <w:pPr>
        <w:ind w:firstLine="422"/>
        <w:jc w:val="left"/>
        <w:rPr>
          <w:rFonts w:ascii="宋体" w:hAnsi="宋体"/>
          <w:kern w:val="44"/>
        </w:rPr>
      </w:pPr>
      <w:r>
        <w:rPr>
          <w:rFonts w:hint="eastAsia" w:ascii="宋体" w:hAnsi="宋体"/>
          <w:b/>
          <w:kern w:val="44"/>
        </w:rPr>
        <w:t>第一条</w:t>
      </w:r>
      <w:r>
        <w:rPr>
          <w:rFonts w:hint="eastAsia" w:ascii="宋体" w:hAnsi="宋体"/>
          <w:kern w:val="44"/>
        </w:rPr>
        <w:t>　根据《中华人民共和国行政处罚法》第十三条的规定，结合本市实际情况，制定本规定。</w:t>
      </w:r>
    </w:p>
    <w:p w14:paraId="12E93268">
      <w:pPr>
        <w:ind w:firstLine="422"/>
        <w:jc w:val="left"/>
        <w:rPr>
          <w:rFonts w:ascii="宋体" w:hAnsi="宋体"/>
          <w:kern w:val="44"/>
        </w:rPr>
      </w:pPr>
      <w:r>
        <w:rPr>
          <w:rFonts w:hint="eastAsia" w:ascii="宋体" w:hAnsi="宋体"/>
          <w:b/>
          <w:kern w:val="44"/>
        </w:rPr>
        <w:t>第二条</w:t>
      </w:r>
      <w:r>
        <w:rPr>
          <w:rFonts w:hint="eastAsia" w:ascii="宋体" w:hAnsi="宋体"/>
          <w:kern w:val="44"/>
        </w:rPr>
        <w:t>　市人民政府制定的规章，对违反行政管理秩序的行为需要设定罚款的，设定罚款的限额为3万元。但对涉及公共安全、生态环境保护、有限自然资源开发利用以及关系人身健康、生命财产安全方面的违反行政管理秩序的行为，可以设定不超过10万元的罚款。</w:t>
      </w:r>
    </w:p>
    <w:p w14:paraId="78118444">
      <w:pPr>
        <w:ind w:firstLine="422"/>
        <w:jc w:val="left"/>
        <w:rPr>
          <w:rFonts w:ascii="宋体" w:hAnsi="宋体"/>
          <w:kern w:val="44"/>
        </w:rPr>
      </w:pPr>
      <w:r>
        <w:rPr>
          <w:rFonts w:hint="eastAsia" w:ascii="宋体" w:hAnsi="宋体"/>
          <w:b/>
          <w:kern w:val="44"/>
        </w:rPr>
        <w:t>第三条</w:t>
      </w:r>
      <w:r>
        <w:rPr>
          <w:rFonts w:hint="eastAsia" w:ascii="宋体" w:hAnsi="宋体"/>
          <w:kern w:val="44"/>
        </w:rPr>
        <w:t>　市人民政府制定规章时，可以在前条规定的罚款限额内，根据过罚相当的原则，对公民、法人或者其他组织违反行政管理秩序的行为设定不同幅度的罚款。</w:t>
      </w:r>
    </w:p>
    <w:p w14:paraId="6E90CA6F">
      <w:pPr>
        <w:ind w:firstLine="422"/>
        <w:jc w:val="left"/>
        <w:rPr>
          <w:rFonts w:ascii="宋体" w:hAnsi="宋体"/>
          <w:kern w:val="44"/>
        </w:rPr>
      </w:pPr>
      <w:r>
        <w:rPr>
          <w:rFonts w:hint="eastAsia" w:ascii="宋体" w:hAnsi="宋体"/>
          <w:b/>
          <w:kern w:val="44"/>
        </w:rPr>
        <w:t>第四条</w:t>
      </w:r>
      <w:r>
        <w:rPr>
          <w:rFonts w:hint="eastAsia" w:ascii="宋体" w:hAnsi="宋体"/>
          <w:kern w:val="44"/>
        </w:rPr>
        <w:t>　法律、法规已经设定了罚款，规章需要在其范围内作具体规定的，不适用本规定。</w:t>
      </w:r>
    </w:p>
    <w:p w14:paraId="3F559E65">
      <w:pPr>
        <w:ind w:firstLine="422"/>
        <w:jc w:val="left"/>
        <w:rPr>
          <w:rFonts w:ascii="宋体" w:hAnsi="宋体"/>
          <w:kern w:val="44"/>
        </w:rPr>
      </w:pPr>
      <w:r>
        <w:rPr>
          <w:rFonts w:hint="eastAsia" w:ascii="宋体" w:hAnsi="宋体"/>
          <w:b/>
          <w:kern w:val="44"/>
        </w:rPr>
        <w:t>第五条</w:t>
      </w:r>
      <w:r>
        <w:rPr>
          <w:rFonts w:hint="eastAsia" w:ascii="宋体" w:hAnsi="宋体"/>
          <w:kern w:val="44"/>
        </w:rPr>
        <w:t>　本规定自1996年10月1日起施行。</w:t>
      </w:r>
    </w:p>
    <w:p w14:paraId="798CE91E">
      <w:pPr>
        <w:pStyle w:val="4"/>
        <w:pageBreakBefore/>
        <w:rPr>
          <w:kern w:val="44"/>
        </w:rPr>
      </w:pPr>
      <w:bookmarkStart w:id="275" w:name="_Toc422471099"/>
      <w:bookmarkStart w:id="276" w:name="_Toc428781466"/>
      <w:bookmarkStart w:id="277" w:name="_Toc427651760"/>
      <w:bookmarkStart w:id="278" w:name="_Toc427651418"/>
      <w:bookmarkStart w:id="279" w:name="_Toc428779984"/>
      <w:r>
        <w:rPr>
          <w:rFonts w:hint="eastAsia"/>
          <w:kern w:val="44"/>
        </w:rPr>
        <w:t>北京市行政执法和行政执法</w:t>
      </w:r>
      <w:bookmarkEnd w:id="275"/>
      <w:bookmarkStart w:id="280" w:name="_Toc422471100"/>
      <w:r>
        <w:rPr>
          <w:rFonts w:hint="eastAsia"/>
          <w:kern w:val="44"/>
        </w:rPr>
        <w:t>监督暂行规定</w:t>
      </w:r>
      <w:bookmarkEnd w:id="276"/>
      <w:bookmarkEnd w:id="277"/>
      <w:bookmarkEnd w:id="278"/>
      <w:bookmarkEnd w:id="279"/>
      <w:bookmarkEnd w:id="280"/>
    </w:p>
    <w:p w14:paraId="6619EBEE">
      <w:pPr>
        <w:ind w:left="630" w:leftChars="300" w:right="630" w:rightChars="300"/>
        <w:jc w:val="center"/>
        <w:rPr>
          <w:rFonts w:ascii="楷体" w:hAnsi="楷体" w:eastAsia="楷体"/>
          <w:kern w:val="44"/>
        </w:rPr>
      </w:pPr>
      <w:r>
        <w:rPr>
          <w:rFonts w:hint="eastAsia" w:ascii="楷体" w:hAnsi="楷体" w:eastAsia="楷体"/>
          <w:kern w:val="44"/>
        </w:rPr>
        <w:t>（1990年9月24日北京市人民政府第35号令发布 ）</w:t>
      </w:r>
    </w:p>
    <w:p w14:paraId="3CCC2940">
      <w:pPr>
        <w:ind w:left="630" w:leftChars="300" w:right="630" w:rightChars="300"/>
        <w:jc w:val="center"/>
        <w:rPr>
          <w:rFonts w:ascii="楷体" w:hAnsi="楷体" w:eastAsia="楷体"/>
          <w:kern w:val="44"/>
        </w:rPr>
      </w:pPr>
    </w:p>
    <w:p w14:paraId="2660B7EE">
      <w:pPr>
        <w:ind w:firstLine="422"/>
        <w:jc w:val="left"/>
        <w:rPr>
          <w:rFonts w:ascii="宋体" w:hAnsi="宋体"/>
          <w:kern w:val="44"/>
        </w:rPr>
      </w:pPr>
      <w:r>
        <w:rPr>
          <w:rFonts w:hint="eastAsia" w:ascii="宋体" w:hAnsi="宋体"/>
          <w:b/>
          <w:kern w:val="44"/>
        </w:rPr>
        <w:t>第一条</w:t>
      </w:r>
      <w:r>
        <w:rPr>
          <w:rFonts w:hint="eastAsia" w:ascii="宋体" w:hAnsi="宋体"/>
          <w:kern w:val="44"/>
        </w:rPr>
        <w:t>　为提高本市行政机关依法行政水平，正确、全面地贯彻实施行政管理的法律、法规、规章，根据宪法和地方人民政府组织法的有关规定，制定本规定。</w:t>
      </w:r>
    </w:p>
    <w:p w14:paraId="7D1FDC2B">
      <w:pPr>
        <w:ind w:firstLine="422"/>
        <w:jc w:val="left"/>
        <w:rPr>
          <w:rFonts w:ascii="宋体" w:hAnsi="宋体"/>
          <w:kern w:val="44"/>
        </w:rPr>
      </w:pPr>
      <w:r>
        <w:rPr>
          <w:rFonts w:hint="eastAsia" w:ascii="宋体" w:hAnsi="宋体"/>
          <w:b/>
          <w:kern w:val="44"/>
        </w:rPr>
        <w:t>第二条</w:t>
      </w:r>
      <w:r>
        <w:rPr>
          <w:rFonts w:hint="eastAsia" w:ascii="宋体" w:hAnsi="宋体"/>
          <w:kern w:val="44"/>
        </w:rPr>
        <w:t>　本规定所称行政执法，是指本市各级人民政府及其所属部门（包括派出机构和经合法授权或委托的组织，以下简称行政执法机关），在行政管理工作中执行法律、法规、规章（以下简称法规）的行政行为。</w:t>
      </w:r>
    </w:p>
    <w:p w14:paraId="2C18AF39">
      <w:pPr>
        <w:jc w:val="left"/>
        <w:rPr>
          <w:rFonts w:ascii="宋体" w:hAnsi="宋体"/>
          <w:kern w:val="44"/>
        </w:rPr>
      </w:pPr>
      <w:r>
        <w:rPr>
          <w:rFonts w:hint="eastAsia" w:ascii="宋体" w:hAnsi="宋体"/>
          <w:kern w:val="44"/>
        </w:rPr>
        <w:t>本规定所称行政执法监督，是指本市上级人民政府对下级人民政府、上级行政执法机关对下级行政执法机关、各级人民政府对所属行政执法机关的行政执法实施监督。</w:t>
      </w:r>
    </w:p>
    <w:p w14:paraId="5CA646E0">
      <w:pPr>
        <w:ind w:firstLine="422"/>
        <w:jc w:val="left"/>
        <w:rPr>
          <w:rFonts w:ascii="宋体" w:hAnsi="宋体"/>
          <w:kern w:val="44"/>
        </w:rPr>
      </w:pPr>
      <w:r>
        <w:rPr>
          <w:rFonts w:hint="eastAsia" w:ascii="宋体" w:hAnsi="宋体"/>
          <w:b/>
          <w:kern w:val="44"/>
        </w:rPr>
        <w:t>第三条</w:t>
      </w:r>
      <w:r>
        <w:rPr>
          <w:rFonts w:hint="eastAsia" w:ascii="宋体" w:hAnsi="宋体"/>
          <w:kern w:val="44"/>
        </w:rPr>
        <w:t>　市人民政府领导全市的行政执法和行政执法监督工作。</w:t>
      </w:r>
    </w:p>
    <w:p w14:paraId="579C268B">
      <w:pPr>
        <w:jc w:val="left"/>
        <w:rPr>
          <w:rFonts w:ascii="宋体" w:hAnsi="宋体"/>
          <w:kern w:val="44"/>
        </w:rPr>
      </w:pPr>
      <w:r>
        <w:rPr>
          <w:rFonts w:hint="eastAsia" w:ascii="宋体" w:hAnsi="宋体"/>
          <w:kern w:val="44"/>
        </w:rPr>
        <w:t>区、县、乡、镇人民政府和区人民政府的街道办事处领导本地区的行政执法和行政执法监督工作。</w:t>
      </w:r>
    </w:p>
    <w:p w14:paraId="51AC55B8">
      <w:pPr>
        <w:jc w:val="left"/>
        <w:rPr>
          <w:rFonts w:ascii="宋体" w:hAnsi="宋体"/>
          <w:kern w:val="44"/>
        </w:rPr>
      </w:pPr>
      <w:r>
        <w:rPr>
          <w:rFonts w:hint="eastAsia" w:ascii="宋体" w:hAnsi="宋体"/>
          <w:kern w:val="44"/>
        </w:rPr>
        <w:t>各级行政执法机关在同级人民政府的统一领导下，负责本部门、本系统的行政执法和行政执法监督工作。</w:t>
      </w:r>
    </w:p>
    <w:p w14:paraId="68EA1B9E">
      <w:pPr>
        <w:ind w:firstLine="422"/>
        <w:jc w:val="left"/>
        <w:rPr>
          <w:rFonts w:ascii="宋体" w:hAnsi="宋体"/>
          <w:kern w:val="44"/>
        </w:rPr>
      </w:pPr>
      <w:r>
        <w:rPr>
          <w:rFonts w:hint="eastAsia" w:ascii="宋体" w:hAnsi="宋体"/>
          <w:b/>
          <w:kern w:val="44"/>
        </w:rPr>
        <w:t>第四条</w:t>
      </w:r>
      <w:r>
        <w:rPr>
          <w:rFonts w:hint="eastAsia" w:ascii="宋体" w:hAnsi="宋体"/>
          <w:kern w:val="44"/>
        </w:rPr>
        <w:t>　行政执法机关的执法职责和权限，按法规的规定执行。</w:t>
      </w:r>
    </w:p>
    <w:p w14:paraId="592F8FBF">
      <w:pPr>
        <w:jc w:val="left"/>
        <w:rPr>
          <w:rFonts w:ascii="宋体" w:hAnsi="宋体"/>
          <w:kern w:val="44"/>
        </w:rPr>
      </w:pPr>
      <w:r>
        <w:rPr>
          <w:rFonts w:hint="eastAsia" w:ascii="宋体" w:hAnsi="宋体"/>
          <w:kern w:val="44"/>
        </w:rPr>
        <w:t>除经法规授权或委托，非行政机关或其工作人员不得行使行政执法权。</w:t>
      </w:r>
    </w:p>
    <w:p w14:paraId="4351C845">
      <w:pPr>
        <w:jc w:val="left"/>
        <w:rPr>
          <w:rFonts w:ascii="宋体" w:hAnsi="宋体"/>
          <w:kern w:val="44"/>
        </w:rPr>
      </w:pPr>
      <w:r>
        <w:rPr>
          <w:rFonts w:hint="eastAsia" w:ascii="宋体" w:hAnsi="宋体"/>
          <w:kern w:val="44"/>
        </w:rPr>
        <w:t>委托执法，必须经市人民政府批准。</w:t>
      </w:r>
    </w:p>
    <w:p w14:paraId="64849816">
      <w:pPr>
        <w:ind w:firstLine="422"/>
        <w:jc w:val="left"/>
        <w:rPr>
          <w:rFonts w:ascii="宋体" w:hAnsi="宋体"/>
          <w:kern w:val="44"/>
        </w:rPr>
      </w:pPr>
      <w:r>
        <w:rPr>
          <w:rFonts w:hint="eastAsia" w:ascii="宋体" w:hAnsi="宋体"/>
          <w:b/>
          <w:kern w:val="44"/>
        </w:rPr>
        <w:t>第五条</w:t>
      </w:r>
      <w:r>
        <w:rPr>
          <w:rFonts w:hint="eastAsia" w:ascii="宋体" w:hAnsi="宋体"/>
          <w:kern w:val="44"/>
        </w:rPr>
        <w:t>　行政执法，必须做到：</w:t>
      </w:r>
    </w:p>
    <w:p w14:paraId="4B2782AE">
      <w:pPr>
        <w:jc w:val="left"/>
        <w:rPr>
          <w:rFonts w:ascii="宋体" w:hAnsi="宋体"/>
          <w:kern w:val="44"/>
        </w:rPr>
      </w:pPr>
      <w:r>
        <w:rPr>
          <w:rFonts w:hint="eastAsia" w:ascii="宋体" w:hAnsi="宋体"/>
          <w:kern w:val="44"/>
        </w:rPr>
        <w:t>（一）行政决定合法、适当。不得滥施处罚、滥用强制措施，不得违法要求被管理单位或个人（以下简称被管理者）履行义务。</w:t>
      </w:r>
    </w:p>
    <w:p w14:paraId="5BE223D2">
      <w:pPr>
        <w:jc w:val="left"/>
        <w:rPr>
          <w:rFonts w:ascii="宋体" w:hAnsi="宋体"/>
          <w:kern w:val="44"/>
        </w:rPr>
      </w:pPr>
      <w:r>
        <w:rPr>
          <w:rFonts w:hint="eastAsia" w:ascii="宋体" w:hAnsi="宋体"/>
          <w:kern w:val="44"/>
        </w:rPr>
        <w:t>（二）符合法定程序，认定事实清楚，应取证的先取证、后裁决。对依法作出的行政决定，不得随意改变或撤销。 执行行政处罚，在执行前应允许当事人申诉意见。</w:t>
      </w:r>
    </w:p>
    <w:p w14:paraId="361EF6C0">
      <w:pPr>
        <w:jc w:val="left"/>
        <w:rPr>
          <w:rFonts w:ascii="宋体" w:hAnsi="宋体"/>
          <w:kern w:val="44"/>
        </w:rPr>
      </w:pPr>
      <w:r>
        <w:rPr>
          <w:rFonts w:hint="eastAsia" w:ascii="宋体" w:hAnsi="宋体"/>
          <w:kern w:val="44"/>
        </w:rPr>
        <w:t>（三）严格履行法定职责，提高办事效率。不越权执法。对职责范围内的事项，依法办理，不得借故推诿。对不属职责范围内的事项，应予说明或解释。</w:t>
      </w:r>
    </w:p>
    <w:p w14:paraId="77C6A15B">
      <w:pPr>
        <w:jc w:val="left"/>
        <w:rPr>
          <w:rFonts w:ascii="宋体" w:hAnsi="宋体"/>
          <w:kern w:val="44"/>
        </w:rPr>
      </w:pPr>
      <w:r>
        <w:rPr>
          <w:rFonts w:hint="eastAsia" w:ascii="宋体" w:hAnsi="宋体"/>
          <w:kern w:val="44"/>
        </w:rPr>
        <w:t>（四）严格执法，不得放弃法定职责。</w:t>
      </w:r>
    </w:p>
    <w:p w14:paraId="46053FD2">
      <w:pPr>
        <w:ind w:firstLine="422"/>
        <w:jc w:val="left"/>
        <w:rPr>
          <w:rFonts w:ascii="宋体" w:hAnsi="宋体"/>
          <w:kern w:val="44"/>
        </w:rPr>
      </w:pPr>
      <w:r>
        <w:rPr>
          <w:rFonts w:hint="eastAsia" w:ascii="宋体" w:hAnsi="宋体"/>
          <w:b/>
          <w:kern w:val="44"/>
        </w:rPr>
        <w:t>第六条</w:t>
      </w:r>
      <w:r>
        <w:rPr>
          <w:rFonts w:hint="eastAsia" w:ascii="宋体" w:hAnsi="宋体"/>
          <w:kern w:val="44"/>
        </w:rPr>
        <w:t>　行政执法工作中，同一事项涉及两个以上行政执法机关的，除法规另有规定依照法规规定执行外，应按下列规定处理：</w:t>
      </w:r>
    </w:p>
    <w:p w14:paraId="53EFA68A">
      <w:pPr>
        <w:jc w:val="left"/>
        <w:rPr>
          <w:rFonts w:ascii="宋体" w:hAnsi="宋体"/>
          <w:kern w:val="44"/>
        </w:rPr>
      </w:pPr>
      <w:r>
        <w:rPr>
          <w:rFonts w:hint="eastAsia" w:ascii="宋体" w:hAnsi="宋体"/>
          <w:kern w:val="44"/>
        </w:rPr>
        <w:t>（一）对审批事项 ，先受理的机关应主动同相关机关联系。需要取得一致意见的，应协调一致后才能办理。协调不成的，提请共同的上级人民政府裁决。</w:t>
      </w:r>
    </w:p>
    <w:p w14:paraId="098BCA57">
      <w:pPr>
        <w:jc w:val="left"/>
        <w:rPr>
          <w:rFonts w:ascii="宋体" w:hAnsi="宋体"/>
          <w:kern w:val="44"/>
        </w:rPr>
      </w:pPr>
      <w:r>
        <w:rPr>
          <w:rFonts w:hint="eastAsia" w:ascii="宋体" w:hAnsi="宋体"/>
          <w:kern w:val="44"/>
        </w:rPr>
        <w:t>（二）对违法行为，先处理的机关应主动同相关机关联系或在处理后及时移送相关机关。</w:t>
      </w:r>
    </w:p>
    <w:p w14:paraId="62F66BF2">
      <w:pPr>
        <w:jc w:val="left"/>
        <w:rPr>
          <w:rFonts w:ascii="宋体" w:hAnsi="宋体"/>
          <w:kern w:val="44"/>
        </w:rPr>
      </w:pPr>
      <w:r>
        <w:rPr>
          <w:rFonts w:hint="eastAsia" w:ascii="宋体" w:hAnsi="宋体"/>
          <w:kern w:val="44"/>
        </w:rPr>
        <w:t>（三）对先受理的机关联系或移送的事项，应及时办理，并将办理结果告诉先受理的机关。</w:t>
      </w:r>
    </w:p>
    <w:p w14:paraId="6DA4A852">
      <w:pPr>
        <w:ind w:firstLine="422"/>
        <w:jc w:val="left"/>
        <w:rPr>
          <w:rFonts w:ascii="宋体" w:hAnsi="宋体"/>
          <w:kern w:val="44"/>
        </w:rPr>
      </w:pPr>
      <w:r>
        <w:rPr>
          <w:rFonts w:hint="eastAsia" w:ascii="宋体" w:hAnsi="宋体"/>
          <w:b/>
          <w:kern w:val="44"/>
        </w:rPr>
        <w:t>第七条</w:t>
      </w:r>
      <w:r>
        <w:rPr>
          <w:rFonts w:hint="eastAsia" w:ascii="宋体" w:hAnsi="宋体"/>
          <w:kern w:val="44"/>
        </w:rPr>
        <w:t>　行政执法机关应建立执法档案，做好执法统计和执法信息工作。</w:t>
      </w:r>
    </w:p>
    <w:p w14:paraId="5E9A204C">
      <w:pPr>
        <w:ind w:firstLine="422"/>
        <w:jc w:val="left"/>
        <w:rPr>
          <w:rFonts w:ascii="宋体" w:hAnsi="宋体"/>
          <w:kern w:val="44"/>
        </w:rPr>
      </w:pPr>
      <w:r>
        <w:rPr>
          <w:rFonts w:hint="eastAsia" w:ascii="宋体" w:hAnsi="宋体"/>
          <w:b/>
          <w:kern w:val="44"/>
        </w:rPr>
        <w:t>第八条</w:t>
      </w:r>
      <w:r>
        <w:rPr>
          <w:rFonts w:hint="eastAsia" w:ascii="宋体" w:hAnsi="宋体"/>
          <w:kern w:val="44"/>
        </w:rPr>
        <w:t>　行政执法机关负责本部门执法人员的教育和管理，确定岗位责任，建立执法工作制度。</w:t>
      </w:r>
    </w:p>
    <w:p w14:paraId="6918808F">
      <w:pPr>
        <w:jc w:val="left"/>
        <w:rPr>
          <w:rFonts w:ascii="宋体" w:hAnsi="宋体"/>
          <w:kern w:val="44"/>
        </w:rPr>
      </w:pPr>
      <w:r>
        <w:rPr>
          <w:rFonts w:hint="eastAsia" w:ascii="宋体" w:hAnsi="宋体"/>
          <w:kern w:val="44"/>
        </w:rPr>
        <w:t>行政执法机关不得对执法人员规定罚款指标。</w:t>
      </w:r>
    </w:p>
    <w:p w14:paraId="770C83D0">
      <w:pPr>
        <w:ind w:firstLine="422"/>
        <w:jc w:val="left"/>
        <w:rPr>
          <w:rFonts w:ascii="宋体" w:hAnsi="宋体"/>
          <w:kern w:val="44"/>
        </w:rPr>
      </w:pPr>
      <w:r>
        <w:rPr>
          <w:rFonts w:hint="eastAsia" w:ascii="宋体" w:hAnsi="宋体"/>
          <w:b/>
          <w:kern w:val="44"/>
        </w:rPr>
        <w:t>第九条</w:t>
      </w:r>
      <w:r>
        <w:rPr>
          <w:rFonts w:hint="eastAsia" w:ascii="宋体" w:hAnsi="宋体"/>
          <w:kern w:val="44"/>
        </w:rPr>
        <w:t>　行政执法机关的执法人员，必须做到：</w:t>
      </w:r>
    </w:p>
    <w:p w14:paraId="4F370A28">
      <w:pPr>
        <w:jc w:val="left"/>
        <w:rPr>
          <w:rFonts w:ascii="宋体" w:hAnsi="宋体"/>
          <w:kern w:val="44"/>
        </w:rPr>
      </w:pPr>
      <w:r>
        <w:rPr>
          <w:rFonts w:hint="eastAsia" w:ascii="宋体" w:hAnsi="宋体"/>
          <w:kern w:val="44"/>
        </w:rPr>
        <w:t>（一）熟练掌握本部门业务和所执行的法规、执法程序和要求。</w:t>
      </w:r>
    </w:p>
    <w:p w14:paraId="672964DC">
      <w:pPr>
        <w:jc w:val="left"/>
        <w:rPr>
          <w:rFonts w:ascii="宋体" w:hAnsi="宋体"/>
          <w:kern w:val="44"/>
        </w:rPr>
      </w:pPr>
      <w:r>
        <w:rPr>
          <w:rFonts w:hint="eastAsia" w:ascii="宋体" w:hAnsi="宋体"/>
          <w:kern w:val="44"/>
        </w:rPr>
        <w:t>（二）严肃执法，秉公办事。不利用职权谋取不正当利益。</w:t>
      </w:r>
    </w:p>
    <w:p w14:paraId="58A39781">
      <w:pPr>
        <w:jc w:val="left"/>
        <w:rPr>
          <w:rFonts w:ascii="宋体" w:hAnsi="宋体"/>
          <w:kern w:val="44"/>
        </w:rPr>
      </w:pPr>
      <w:r>
        <w:rPr>
          <w:rFonts w:hint="eastAsia" w:ascii="宋体" w:hAnsi="宋体"/>
          <w:kern w:val="44"/>
        </w:rPr>
        <w:t>（三）不收受被管理者的礼物，执勤时不在被管理单位用餐、购物，不利用职务之便接受被管理者的服务。</w:t>
      </w:r>
    </w:p>
    <w:p w14:paraId="452D4090">
      <w:pPr>
        <w:jc w:val="left"/>
        <w:rPr>
          <w:rFonts w:ascii="宋体" w:hAnsi="宋体"/>
          <w:kern w:val="44"/>
        </w:rPr>
      </w:pPr>
      <w:r>
        <w:rPr>
          <w:rFonts w:hint="eastAsia" w:ascii="宋体" w:hAnsi="宋体"/>
          <w:kern w:val="44"/>
        </w:rPr>
        <w:t>（四）按规定着装或佩戴标志，仪容整洁，语言和举止文明，尊重被管理者。查处违法行为时，应坚持先教育后处罚。</w:t>
      </w:r>
    </w:p>
    <w:p w14:paraId="5D0360EE">
      <w:pPr>
        <w:jc w:val="left"/>
        <w:rPr>
          <w:rFonts w:ascii="宋体" w:hAnsi="宋体"/>
          <w:kern w:val="44"/>
        </w:rPr>
      </w:pPr>
      <w:r>
        <w:rPr>
          <w:rFonts w:hint="eastAsia" w:ascii="宋体" w:hAnsi="宋体"/>
          <w:kern w:val="44"/>
        </w:rPr>
        <w:t>（五）坚守岗位，对应处理的事项及时处理。不在执勤岗位上会客或从事与执勤无关的活动。</w:t>
      </w:r>
    </w:p>
    <w:p w14:paraId="38FB82EF">
      <w:pPr>
        <w:jc w:val="left"/>
        <w:rPr>
          <w:rFonts w:ascii="宋体" w:hAnsi="宋体"/>
          <w:kern w:val="44"/>
        </w:rPr>
      </w:pPr>
      <w:r>
        <w:rPr>
          <w:rFonts w:hint="eastAsia" w:ascii="宋体" w:hAnsi="宋体"/>
          <w:kern w:val="44"/>
        </w:rPr>
        <w:t>（六）罚没财物一律上交，不得私分、侵占或截留。</w:t>
      </w:r>
    </w:p>
    <w:p w14:paraId="3F844ADA">
      <w:pPr>
        <w:jc w:val="left"/>
        <w:rPr>
          <w:rFonts w:ascii="宋体" w:hAnsi="宋体"/>
          <w:kern w:val="44"/>
        </w:rPr>
      </w:pPr>
      <w:r>
        <w:rPr>
          <w:rFonts w:hint="eastAsia" w:ascii="宋体" w:hAnsi="宋体"/>
          <w:kern w:val="44"/>
        </w:rPr>
        <w:t>（七）模范遵守法规，不做违法的事情。</w:t>
      </w:r>
    </w:p>
    <w:p w14:paraId="11BF3DEC">
      <w:pPr>
        <w:ind w:firstLine="422"/>
        <w:jc w:val="left"/>
        <w:rPr>
          <w:rFonts w:ascii="宋体" w:hAnsi="宋体"/>
          <w:kern w:val="44"/>
        </w:rPr>
      </w:pPr>
      <w:r>
        <w:rPr>
          <w:rFonts w:hint="eastAsia" w:ascii="宋体" w:hAnsi="宋体"/>
          <w:b/>
          <w:kern w:val="44"/>
        </w:rPr>
        <w:t>第十条</w:t>
      </w:r>
      <w:r>
        <w:rPr>
          <w:rFonts w:hint="eastAsia" w:ascii="宋体" w:hAnsi="宋体"/>
          <w:kern w:val="44"/>
        </w:rPr>
        <w:t>　市、区、县人民政府的法制办公室和乡镇人民政府、区人民政府街道办事处的法制工作机构，是本级人民政府行政执法监督的执行机关。</w:t>
      </w:r>
    </w:p>
    <w:p w14:paraId="4559650D">
      <w:pPr>
        <w:jc w:val="left"/>
        <w:rPr>
          <w:rFonts w:ascii="宋体" w:hAnsi="宋体"/>
          <w:kern w:val="44"/>
        </w:rPr>
      </w:pPr>
      <w:r>
        <w:rPr>
          <w:rFonts w:hint="eastAsia" w:ascii="宋体" w:hAnsi="宋体"/>
          <w:kern w:val="44"/>
        </w:rPr>
        <w:t>市、区、县人民政府各部门的法制处（科），是本部门行政执法监督的执行机构，在同级人民政府行政执法监督执行机关的统筹下，做好本系统、本部门的行政执法监督工作。</w:t>
      </w:r>
    </w:p>
    <w:p w14:paraId="653C6900">
      <w:pPr>
        <w:jc w:val="left"/>
        <w:rPr>
          <w:rFonts w:ascii="宋体" w:hAnsi="宋体"/>
          <w:kern w:val="44"/>
        </w:rPr>
      </w:pPr>
      <w:r>
        <w:rPr>
          <w:rFonts w:hint="eastAsia" w:ascii="宋体" w:hAnsi="宋体"/>
          <w:kern w:val="44"/>
        </w:rPr>
        <w:t>行政执法监督执行机关（以下简称执法监督机关）依照本规定，对行政执法机关及其执法人员的执法和遵守本规定的情况进行监督。</w:t>
      </w:r>
    </w:p>
    <w:p w14:paraId="0CEB7953">
      <w:pPr>
        <w:jc w:val="left"/>
        <w:rPr>
          <w:rFonts w:ascii="宋体" w:hAnsi="宋体"/>
          <w:kern w:val="44"/>
        </w:rPr>
      </w:pPr>
      <w:r>
        <w:rPr>
          <w:rFonts w:hint="eastAsia" w:ascii="宋体" w:hAnsi="宋体"/>
          <w:kern w:val="44"/>
        </w:rPr>
        <w:t>执法监督机关设立专门的监督组织或监督人员，对行政执法机关的执法工作进行巡视、检查。</w:t>
      </w:r>
    </w:p>
    <w:p w14:paraId="7B218E35">
      <w:pPr>
        <w:ind w:firstLine="422"/>
        <w:jc w:val="left"/>
        <w:rPr>
          <w:rFonts w:ascii="宋体" w:hAnsi="宋体"/>
          <w:kern w:val="44"/>
        </w:rPr>
      </w:pPr>
      <w:r>
        <w:rPr>
          <w:rFonts w:hint="eastAsia" w:ascii="宋体" w:hAnsi="宋体"/>
          <w:b/>
          <w:kern w:val="44"/>
        </w:rPr>
        <w:t>第十一条</w:t>
      </w:r>
      <w:r>
        <w:rPr>
          <w:rFonts w:hint="eastAsia" w:ascii="宋体" w:hAnsi="宋体"/>
          <w:kern w:val="44"/>
        </w:rPr>
        <w:t>　行政执法监督的主要形式：</w:t>
      </w:r>
    </w:p>
    <w:p w14:paraId="6099B414">
      <w:pPr>
        <w:jc w:val="left"/>
        <w:rPr>
          <w:rFonts w:ascii="宋体" w:hAnsi="宋体"/>
          <w:kern w:val="44"/>
        </w:rPr>
      </w:pPr>
      <w:r>
        <w:rPr>
          <w:rFonts w:hint="eastAsia" w:ascii="宋体" w:hAnsi="宋体"/>
          <w:kern w:val="44"/>
        </w:rPr>
        <w:t>（一）制定并组织实施执法监督工作计划和制度。</w:t>
      </w:r>
    </w:p>
    <w:p w14:paraId="553A09CF">
      <w:pPr>
        <w:jc w:val="left"/>
        <w:rPr>
          <w:rFonts w:ascii="宋体" w:hAnsi="宋体"/>
          <w:kern w:val="44"/>
        </w:rPr>
      </w:pPr>
      <w:r>
        <w:rPr>
          <w:rFonts w:hint="eastAsia" w:ascii="宋体" w:hAnsi="宋体"/>
          <w:kern w:val="44"/>
        </w:rPr>
        <w:t>（二）实行执法工作报告制度，要求被监督机关提供有关情况。</w:t>
      </w:r>
    </w:p>
    <w:p w14:paraId="5667DA21">
      <w:pPr>
        <w:jc w:val="left"/>
        <w:rPr>
          <w:rFonts w:ascii="宋体" w:hAnsi="宋体"/>
          <w:kern w:val="44"/>
        </w:rPr>
      </w:pPr>
      <w:r>
        <w:rPr>
          <w:rFonts w:hint="eastAsia" w:ascii="宋体" w:hAnsi="宋体"/>
          <w:kern w:val="44"/>
        </w:rPr>
        <w:t>（三）现场检查、重点调查和专项调查。</w:t>
      </w:r>
    </w:p>
    <w:p w14:paraId="28C0C965">
      <w:pPr>
        <w:jc w:val="left"/>
        <w:rPr>
          <w:rFonts w:ascii="宋体" w:hAnsi="宋体"/>
          <w:kern w:val="44"/>
        </w:rPr>
      </w:pPr>
      <w:r>
        <w:rPr>
          <w:rFonts w:hint="eastAsia" w:ascii="宋体" w:hAnsi="宋体"/>
          <w:kern w:val="44"/>
        </w:rPr>
        <w:t>（四）调阅执法案卷和其他有关文书。</w:t>
      </w:r>
    </w:p>
    <w:p w14:paraId="2CA6EADC">
      <w:pPr>
        <w:jc w:val="left"/>
        <w:rPr>
          <w:rFonts w:ascii="宋体" w:hAnsi="宋体"/>
          <w:kern w:val="44"/>
        </w:rPr>
      </w:pPr>
      <w:r>
        <w:rPr>
          <w:rFonts w:hint="eastAsia" w:ascii="宋体" w:hAnsi="宋体"/>
          <w:kern w:val="44"/>
        </w:rPr>
        <w:t>（五）对执法人员进行抽查考核。</w:t>
      </w:r>
    </w:p>
    <w:p w14:paraId="72ACD844">
      <w:pPr>
        <w:jc w:val="left"/>
        <w:rPr>
          <w:rFonts w:ascii="宋体" w:hAnsi="宋体"/>
          <w:kern w:val="44"/>
        </w:rPr>
      </w:pPr>
      <w:r>
        <w:rPr>
          <w:rFonts w:hint="eastAsia" w:ascii="宋体" w:hAnsi="宋体"/>
          <w:kern w:val="44"/>
        </w:rPr>
        <w:t>（六）受理有关执法行为的来信来访。</w:t>
      </w:r>
    </w:p>
    <w:p w14:paraId="48DDE50D">
      <w:pPr>
        <w:jc w:val="left"/>
        <w:rPr>
          <w:rFonts w:ascii="宋体" w:hAnsi="宋体"/>
          <w:kern w:val="44"/>
        </w:rPr>
      </w:pPr>
      <w:r>
        <w:rPr>
          <w:rFonts w:hint="eastAsia" w:ascii="宋体" w:hAnsi="宋体"/>
          <w:kern w:val="44"/>
        </w:rPr>
        <w:t>（七）受理对行政行为的申诉。</w:t>
      </w:r>
    </w:p>
    <w:p w14:paraId="57B35115">
      <w:pPr>
        <w:jc w:val="left"/>
        <w:rPr>
          <w:rFonts w:ascii="宋体" w:hAnsi="宋体"/>
          <w:kern w:val="44"/>
        </w:rPr>
      </w:pPr>
      <w:r>
        <w:rPr>
          <w:rFonts w:hint="eastAsia" w:ascii="宋体" w:hAnsi="宋体"/>
          <w:kern w:val="44"/>
        </w:rPr>
        <w:t>（八）法规规定的其他形式。</w:t>
      </w:r>
    </w:p>
    <w:p w14:paraId="5E9CC7C0">
      <w:pPr>
        <w:ind w:firstLine="422"/>
        <w:jc w:val="left"/>
        <w:rPr>
          <w:rFonts w:ascii="宋体" w:hAnsi="宋体"/>
          <w:kern w:val="44"/>
        </w:rPr>
      </w:pPr>
      <w:r>
        <w:rPr>
          <w:rFonts w:hint="eastAsia" w:ascii="宋体" w:hAnsi="宋体"/>
          <w:b/>
          <w:kern w:val="44"/>
        </w:rPr>
        <w:t>第十二条</w:t>
      </w:r>
      <w:r>
        <w:rPr>
          <w:rFonts w:hint="eastAsia" w:ascii="宋体" w:hAnsi="宋体"/>
          <w:kern w:val="44"/>
        </w:rPr>
        <w:t>　执法监督机关对执法工作中的问题，按下列规定处理：</w:t>
      </w:r>
    </w:p>
    <w:p w14:paraId="75CDDCB9">
      <w:pPr>
        <w:jc w:val="left"/>
        <w:rPr>
          <w:rFonts w:ascii="宋体" w:hAnsi="宋体"/>
          <w:kern w:val="44"/>
        </w:rPr>
      </w:pPr>
      <w:r>
        <w:rPr>
          <w:rFonts w:hint="eastAsia" w:ascii="宋体" w:hAnsi="宋体"/>
          <w:kern w:val="44"/>
        </w:rPr>
        <w:t>（一）对违法设立的执法组织，或不当的授权、委托，报告本级人民政府或其上级行政执法机关责令撤销或纠正。</w:t>
      </w:r>
    </w:p>
    <w:p w14:paraId="5F53EC24">
      <w:pPr>
        <w:jc w:val="left"/>
        <w:rPr>
          <w:rFonts w:ascii="宋体" w:hAnsi="宋体"/>
          <w:kern w:val="44"/>
        </w:rPr>
      </w:pPr>
      <w:r>
        <w:rPr>
          <w:rFonts w:hint="eastAsia" w:ascii="宋体" w:hAnsi="宋体"/>
          <w:kern w:val="44"/>
        </w:rPr>
        <w:t>（二）对不合法或不当的执法行为，通知作出该行为的执法机关撤销或改正，或报告本级人民政府或其上级行政执法机关责令撤销或纠正。</w:t>
      </w:r>
    </w:p>
    <w:p w14:paraId="422058D1">
      <w:pPr>
        <w:jc w:val="left"/>
        <w:rPr>
          <w:rFonts w:ascii="宋体" w:hAnsi="宋体"/>
          <w:kern w:val="44"/>
        </w:rPr>
      </w:pPr>
      <w:r>
        <w:rPr>
          <w:rFonts w:hint="eastAsia" w:ascii="宋体" w:hAnsi="宋体"/>
          <w:kern w:val="44"/>
        </w:rPr>
        <w:t>（三）对行政执法机关提出改进工作的意见和建议，并检查改进工作的情况。</w:t>
      </w:r>
    </w:p>
    <w:p w14:paraId="00A6C2F4">
      <w:pPr>
        <w:jc w:val="left"/>
        <w:rPr>
          <w:rFonts w:ascii="宋体" w:hAnsi="宋体"/>
          <w:kern w:val="44"/>
        </w:rPr>
      </w:pPr>
      <w:r>
        <w:rPr>
          <w:rFonts w:hint="eastAsia" w:ascii="宋体" w:hAnsi="宋体"/>
          <w:kern w:val="44"/>
        </w:rPr>
        <w:t>（四）对法规实施中发现的属于立法的问题，向上级行政执法机关或市人民政府法制办公室反映。</w:t>
      </w:r>
    </w:p>
    <w:p w14:paraId="17F6FA3D">
      <w:pPr>
        <w:jc w:val="left"/>
        <w:rPr>
          <w:rFonts w:ascii="宋体" w:hAnsi="宋体"/>
          <w:kern w:val="44"/>
        </w:rPr>
      </w:pPr>
      <w:r>
        <w:rPr>
          <w:rFonts w:hint="eastAsia" w:ascii="宋体" w:hAnsi="宋体"/>
          <w:kern w:val="44"/>
        </w:rPr>
        <w:t>（五）对行政执法机关之间的执法工作进行协调，或报告本级人民政府或其上级行政执法机关解决。</w:t>
      </w:r>
    </w:p>
    <w:p w14:paraId="7AC2D0DB">
      <w:pPr>
        <w:jc w:val="left"/>
        <w:rPr>
          <w:rFonts w:ascii="宋体" w:hAnsi="宋体"/>
          <w:kern w:val="44"/>
        </w:rPr>
      </w:pPr>
      <w:r>
        <w:rPr>
          <w:rFonts w:hint="eastAsia" w:ascii="宋体" w:hAnsi="宋体"/>
          <w:kern w:val="44"/>
        </w:rPr>
        <w:t>（六）对违法或失职、渎职行为以及执法不力的，通知其所在机关或其上级行政执法机关处理或改正；对责任人分别情况移送监察、检察机关处理。</w:t>
      </w:r>
    </w:p>
    <w:p w14:paraId="4820682C">
      <w:pPr>
        <w:jc w:val="left"/>
        <w:rPr>
          <w:rFonts w:ascii="宋体" w:hAnsi="宋体"/>
          <w:kern w:val="44"/>
        </w:rPr>
      </w:pPr>
      <w:r>
        <w:rPr>
          <w:rFonts w:hint="eastAsia" w:ascii="宋体" w:hAnsi="宋体"/>
          <w:kern w:val="44"/>
        </w:rPr>
        <w:t>执法监督机关发现的上述问题及其处理，应报告同级人民政府法制办公室；重大问题，由区、县人民政府法制办公室报告市人民政府法制办公室。</w:t>
      </w:r>
    </w:p>
    <w:p w14:paraId="5AF85B0A">
      <w:pPr>
        <w:ind w:firstLine="422"/>
        <w:jc w:val="left"/>
        <w:rPr>
          <w:rFonts w:ascii="宋体" w:hAnsi="宋体"/>
          <w:kern w:val="44"/>
        </w:rPr>
      </w:pPr>
      <w:r>
        <w:rPr>
          <w:rFonts w:hint="eastAsia" w:ascii="宋体" w:hAnsi="宋体"/>
          <w:b/>
          <w:kern w:val="44"/>
        </w:rPr>
        <w:t>第十三条</w:t>
      </w:r>
      <w:r>
        <w:rPr>
          <w:rFonts w:hint="eastAsia" w:ascii="宋体" w:hAnsi="宋体"/>
          <w:kern w:val="44"/>
        </w:rPr>
        <w:t>　执法监督机关的工作人员执行职务时，应出示监督检查证，被检查、调查的单位和个人有义务协助。</w:t>
      </w:r>
    </w:p>
    <w:p w14:paraId="61F228F7">
      <w:pPr>
        <w:jc w:val="left"/>
        <w:rPr>
          <w:rFonts w:ascii="宋体" w:hAnsi="宋体"/>
          <w:kern w:val="44"/>
        </w:rPr>
      </w:pPr>
      <w:r>
        <w:rPr>
          <w:rFonts w:hint="eastAsia" w:ascii="宋体" w:hAnsi="宋体"/>
          <w:kern w:val="44"/>
        </w:rPr>
        <w:t>执法监督检查证，由市人民政府制发，每年进行核验。</w:t>
      </w:r>
    </w:p>
    <w:p w14:paraId="27A77EDB">
      <w:pPr>
        <w:ind w:firstLine="422"/>
        <w:jc w:val="left"/>
        <w:rPr>
          <w:rFonts w:ascii="宋体" w:hAnsi="宋体"/>
          <w:kern w:val="44"/>
        </w:rPr>
      </w:pPr>
      <w:r>
        <w:rPr>
          <w:rFonts w:hint="eastAsia" w:ascii="宋体" w:hAnsi="宋体"/>
          <w:b/>
          <w:kern w:val="44"/>
        </w:rPr>
        <w:t>第十四条</w:t>
      </w:r>
      <w:r>
        <w:rPr>
          <w:rFonts w:hint="eastAsia" w:ascii="宋体" w:hAnsi="宋体"/>
          <w:kern w:val="44"/>
        </w:rPr>
        <w:t>　执法监督机关的工作人员，必须模范遵守法规，忠于职守，秉公办事。对有失职守，给法制工作造成损失的，给予行政处分；有严重渎职行为、构成犯罪的，依法追究刑事责任。</w:t>
      </w:r>
    </w:p>
    <w:p w14:paraId="06FAFCDB">
      <w:pPr>
        <w:ind w:firstLine="422"/>
        <w:jc w:val="left"/>
        <w:rPr>
          <w:rFonts w:ascii="宋体" w:hAnsi="宋体"/>
          <w:kern w:val="44"/>
        </w:rPr>
      </w:pPr>
      <w:r>
        <w:rPr>
          <w:rFonts w:hint="eastAsia" w:ascii="宋体" w:hAnsi="宋体"/>
          <w:b/>
          <w:kern w:val="44"/>
        </w:rPr>
        <w:t>第十五条</w:t>
      </w:r>
      <w:r>
        <w:rPr>
          <w:rFonts w:hint="eastAsia" w:ascii="宋体" w:hAnsi="宋体"/>
          <w:kern w:val="44"/>
        </w:rPr>
        <w:t>　对拒绝、阻挠、妨害执法监督机关及其工作人员执行职务的，给予行政处分或行政处罚；构成犯罪的，依法追究刑事责任。</w:t>
      </w:r>
    </w:p>
    <w:p w14:paraId="2AFEF2CF">
      <w:pPr>
        <w:ind w:firstLine="422"/>
        <w:jc w:val="left"/>
        <w:rPr>
          <w:rFonts w:ascii="宋体" w:hAnsi="宋体"/>
          <w:kern w:val="44"/>
        </w:rPr>
      </w:pPr>
      <w:r>
        <w:rPr>
          <w:rFonts w:hint="eastAsia" w:ascii="宋体" w:hAnsi="宋体"/>
          <w:b/>
          <w:kern w:val="44"/>
        </w:rPr>
        <w:t>第十六条</w:t>
      </w:r>
      <w:r>
        <w:rPr>
          <w:rFonts w:hint="eastAsia" w:ascii="宋体" w:hAnsi="宋体"/>
          <w:kern w:val="44"/>
        </w:rPr>
        <w:t>　本规定执行中的具体问题，由市人民政府法制办公室负责解释。</w:t>
      </w:r>
    </w:p>
    <w:p w14:paraId="1EC0F852">
      <w:pPr>
        <w:ind w:firstLine="422"/>
        <w:jc w:val="left"/>
        <w:rPr>
          <w:rFonts w:ascii="宋体" w:hAnsi="宋体"/>
          <w:kern w:val="44"/>
        </w:rPr>
      </w:pPr>
      <w:r>
        <w:rPr>
          <w:rFonts w:hint="eastAsia" w:ascii="宋体" w:hAnsi="宋体"/>
          <w:b/>
          <w:kern w:val="44"/>
        </w:rPr>
        <w:t>第十七条</w:t>
      </w:r>
      <w:r>
        <w:rPr>
          <w:rFonts w:hint="eastAsia" w:ascii="宋体" w:hAnsi="宋体"/>
          <w:kern w:val="44"/>
        </w:rPr>
        <w:t>　本规定自1990年10月1日起施行。</w:t>
      </w:r>
    </w:p>
    <w:p w14:paraId="0957E4DD">
      <w:pPr>
        <w:pStyle w:val="4"/>
        <w:pageBreakBefore/>
        <w:rPr>
          <w:kern w:val="44"/>
        </w:rPr>
      </w:pPr>
      <w:bookmarkStart w:id="281" w:name="_Toc422471101"/>
      <w:bookmarkStart w:id="282" w:name="_Toc427651419"/>
      <w:bookmarkStart w:id="283" w:name="_Toc427651761"/>
      <w:bookmarkStart w:id="284" w:name="_Toc428779985"/>
      <w:bookmarkStart w:id="285" w:name="_Toc428781467"/>
      <w:r>
        <w:rPr>
          <w:rFonts w:hint="eastAsia"/>
          <w:kern w:val="44"/>
        </w:rPr>
        <w:t>北京市行政处罚听证</w:t>
      </w:r>
      <w:bookmarkEnd w:id="281"/>
      <w:bookmarkStart w:id="286" w:name="_Toc422471102"/>
      <w:r>
        <w:rPr>
          <w:rFonts w:hint="eastAsia"/>
          <w:kern w:val="44"/>
        </w:rPr>
        <w:t>程序实施办法</w:t>
      </w:r>
      <w:bookmarkEnd w:id="282"/>
      <w:bookmarkEnd w:id="283"/>
      <w:bookmarkEnd w:id="284"/>
      <w:bookmarkEnd w:id="285"/>
      <w:bookmarkEnd w:id="286"/>
    </w:p>
    <w:p w14:paraId="426F72CC">
      <w:pPr>
        <w:ind w:left="630" w:leftChars="300" w:right="630" w:rightChars="300"/>
        <w:jc w:val="center"/>
        <w:rPr>
          <w:rFonts w:ascii="楷体" w:hAnsi="楷体" w:eastAsia="楷体"/>
          <w:kern w:val="44"/>
        </w:rPr>
      </w:pPr>
      <w:r>
        <w:rPr>
          <w:rFonts w:hint="eastAsia" w:ascii="楷体" w:hAnsi="楷体" w:eastAsia="楷体"/>
          <w:kern w:val="44"/>
        </w:rPr>
        <w:t>（1996年9月23日北京市人民政府第14号令发布 ）</w:t>
      </w:r>
    </w:p>
    <w:p w14:paraId="57D939F4">
      <w:pPr>
        <w:ind w:left="630" w:leftChars="300" w:right="630" w:rightChars="300"/>
        <w:jc w:val="center"/>
        <w:rPr>
          <w:rFonts w:ascii="楷体" w:hAnsi="楷体" w:eastAsia="楷体"/>
          <w:kern w:val="44"/>
        </w:rPr>
      </w:pPr>
    </w:p>
    <w:p w14:paraId="38AE500C">
      <w:pPr>
        <w:ind w:firstLine="422"/>
        <w:jc w:val="left"/>
        <w:rPr>
          <w:rFonts w:ascii="宋体" w:hAnsi="宋体"/>
          <w:kern w:val="44"/>
        </w:rPr>
      </w:pPr>
      <w:r>
        <w:rPr>
          <w:rFonts w:hint="eastAsia" w:ascii="宋体" w:hAnsi="宋体"/>
          <w:b/>
          <w:kern w:val="44"/>
        </w:rPr>
        <w:t>第一条</w:t>
      </w:r>
      <w:r>
        <w:rPr>
          <w:rFonts w:hint="eastAsia" w:ascii="宋体" w:hAnsi="宋体"/>
          <w:kern w:val="44"/>
        </w:rPr>
        <w:t>　为保障听证程序合法、规范、顺利进行，根据《中华人民共和国行政处罚法》（以下简称行政处罚法）有关听证的规定，制定本办法。</w:t>
      </w:r>
    </w:p>
    <w:p w14:paraId="2800B2E9">
      <w:pPr>
        <w:ind w:firstLine="422"/>
        <w:jc w:val="left"/>
        <w:rPr>
          <w:rFonts w:ascii="宋体" w:hAnsi="宋体"/>
          <w:kern w:val="44"/>
        </w:rPr>
      </w:pPr>
      <w:r>
        <w:rPr>
          <w:rFonts w:hint="eastAsia" w:ascii="宋体" w:hAnsi="宋体"/>
          <w:b/>
          <w:kern w:val="44"/>
        </w:rPr>
        <w:t>第二条</w:t>
      </w:r>
      <w:r>
        <w:rPr>
          <w:rFonts w:hint="eastAsia" w:ascii="宋体" w:hAnsi="宋体"/>
          <w:kern w:val="44"/>
        </w:rPr>
        <w:t>　本市各级行政机关（含经依法授权或者受委托的行政执法组织，下同）对当事人依法作出责令停产停业、吊销许可证或者执照、对公民处以超过1000元的罚款，对法人或者其他组织处以超过3万元的罚款，以及市人民政府规定的其他行政处罚决定前，当事人要求举行听证的，依照行政处罚法和本办法执行。</w:t>
      </w:r>
    </w:p>
    <w:p w14:paraId="7145C741">
      <w:pPr>
        <w:ind w:firstLine="422"/>
        <w:jc w:val="left"/>
        <w:rPr>
          <w:rFonts w:ascii="宋体" w:hAnsi="宋体"/>
          <w:kern w:val="44"/>
        </w:rPr>
      </w:pPr>
      <w:r>
        <w:rPr>
          <w:rFonts w:hint="eastAsia" w:ascii="宋体" w:hAnsi="宋体"/>
          <w:b/>
          <w:kern w:val="44"/>
        </w:rPr>
        <w:t>第三条</w:t>
      </w:r>
      <w:r>
        <w:rPr>
          <w:rFonts w:hint="eastAsia" w:ascii="宋体" w:hAnsi="宋体"/>
          <w:kern w:val="44"/>
        </w:rPr>
        <w:t>　听证应当遵循公开、公正和效率的原则，保障当事人的合法权益。</w:t>
      </w:r>
    </w:p>
    <w:p w14:paraId="238E2055">
      <w:pPr>
        <w:ind w:firstLine="422"/>
        <w:jc w:val="left"/>
        <w:rPr>
          <w:rFonts w:ascii="宋体" w:hAnsi="宋体"/>
          <w:kern w:val="44"/>
        </w:rPr>
      </w:pPr>
      <w:r>
        <w:rPr>
          <w:rFonts w:hint="eastAsia" w:ascii="宋体" w:hAnsi="宋体"/>
          <w:b/>
          <w:kern w:val="44"/>
        </w:rPr>
        <w:t>第四条</w:t>
      </w:r>
      <w:r>
        <w:rPr>
          <w:rFonts w:hint="eastAsia" w:ascii="宋体" w:hAnsi="宋体"/>
          <w:kern w:val="44"/>
        </w:rPr>
        <w:t>　听证由作出行政处罚的行政机关组织。具体实施工作由其法制机构或者相应机构负责。</w:t>
      </w:r>
    </w:p>
    <w:p w14:paraId="365FC14B">
      <w:pPr>
        <w:ind w:firstLine="422"/>
        <w:jc w:val="left"/>
        <w:rPr>
          <w:rFonts w:ascii="宋体" w:hAnsi="宋体"/>
          <w:kern w:val="44"/>
        </w:rPr>
      </w:pPr>
      <w:r>
        <w:rPr>
          <w:rFonts w:hint="eastAsia" w:ascii="宋体" w:hAnsi="宋体"/>
          <w:b/>
          <w:kern w:val="44"/>
        </w:rPr>
        <w:t>第五条</w:t>
      </w:r>
      <w:r>
        <w:rPr>
          <w:rFonts w:hint="eastAsia" w:ascii="宋体" w:hAnsi="宋体"/>
          <w:kern w:val="44"/>
        </w:rPr>
        <w:t>　行政机关在案件调查终结后，经行政机关负责人对调查结果进行审查，拟作出本办法第二条规定的行政处罚决定前，应当告知当事人有要求举行听证的权利。</w:t>
      </w:r>
    </w:p>
    <w:p w14:paraId="591E546A">
      <w:pPr>
        <w:jc w:val="left"/>
        <w:rPr>
          <w:rFonts w:ascii="宋体" w:hAnsi="宋体"/>
          <w:kern w:val="44"/>
        </w:rPr>
      </w:pPr>
      <w:r>
        <w:rPr>
          <w:rFonts w:hint="eastAsia" w:ascii="宋体" w:hAnsi="宋体"/>
          <w:kern w:val="44"/>
        </w:rPr>
        <w:t>向当事人告知听证权利时，应当送达听证告知书。听证告知书应当载明认定当事人违法的基本事实和拟作出的行政处罚。</w:t>
      </w:r>
    </w:p>
    <w:p w14:paraId="6D861BC0">
      <w:pPr>
        <w:jc w:val="left"/>
        <w:rPr>
          <w:rFonts w:ascii="宋体" w:hAnsi="宋体"/>
          <w:kern w:val="44"/>
        </w:rPr>
      </w:pPr>
      <w:r>
        <w:rPr>
          <w:rFonts w:hint="eastAsia" w:ascii="宋体" w:hAnsi="宋体"/>
          <w:kern w:val="44"/>
        </w:rPr>
        <w:t>当事人要求听证的，可以在告知书的送达回证上签署意见，也可以在3日内以其他书面方式向行政机关提出听证要求。当事人逾期未提出要求的，视为放弃听证权利。</w:t>
      </w:r>
    </w:p>
    <w:p w14:paraId="12CBD790">
      <w:pPr>
        <w:ind w:firstLine="422"/>
        <w:jc w:val="left"/>
        <w:rPr>
          <w:rFonts w:ascii="宋体" w:hAnsi="宋体"/>
          <w:kern w:val="44"/>
        </w:rPr>
      </w:pPr>
      <w:r>
        <w:rPr>
          <w:rFonts w:hint="eastAsia" w:ascii="宋体" w:hAnsi="宋体"/>
          <w:b/>
          <w:kern w:val="44"/>
        </w:rPr>
        <w:t>第六条</w:t>
      </w:r>
      <w:r>
        <w:rPr>
          <w:rFonts w:hint="eastAsia" w:ascii="宋体" w:hAnsi="宋体"/>
          <w:kern w:val="44"/>
        </w:rPr>
        <w:t>　当事人提出听证要求后，行政机关应当及时组织听证，并在听证举行7日前书面通知当事人举行听证的时间、地点、主持人等有关事项，由当事人在通知书送达回证上签字。</w:t>
      </w:r>
    </w:p>
    <w:p w14:paraId="3900185B">
      <w:pPr>
        <w:jc w:val="left"/>
        <w:rPr>
          <w:rFonts w:ascii="宋体" w:hAnsi="宋体"/>
          <w:kern w:val="44"/>
        </w:rPr>
      </w:pPr>
      <w:r>
        <w:rPr>
          <w:rFonts w:hint="eastAsia" w:ascii="宋体" w:hAnsi="宋体"/>
          <w:kern w:val="44"/>
        </w:rPr>
        <w:t>当事人应当按期参加听证。当事人有正当理由要求延期的，准许延期一次；当事人未按期参加听证并且事先未说明理由的，视为放弃听证权利。</w:t>
      </w:r>
    </w:p>
    <w:p w14:paraId="72388E5C">
      <w:pPr>
        <w:ind w:firstLine="422"/>
        <w:jc w:val="left"/>
        <w:rPr>
          <w:rFonts w:ascii="宋体" w:hAnsi="宋体"/>
          <w:kern w:val="44"/>
        </w:rPr>
      </w:pPr>
      <w:r>
        <w:rPr>
          <w:rFonts w:hint="eastAsia" w:ascii="宋体" w:hAnsi="宋体"/>
          <w:b/>
          <w:kern w:val="44"/>
        </w:rPr>
        <w:t>第七条</w:t>
      </w:r>
      <w:r>
        <w:rPr>
          <w:rFonts w:hint="eastAsia" w:ascii="宋体" w:hAnsi="宋体"/>
          <w:kern w:val="44"/>
        </w:rPr>
        <w:t>　听证由行政机关的法制机构工作人员等非本案调查人员主持，并应当有专人记录。</w:t>
      </w:r>
    </w:p>
    <w:p w14:paraId="0BB8C261">
      <w:pPr>
        <w:jc w:val="left"/>
        <w:rPr>
          <w:rFonts w:ascii="宋体" w:hAnsi="宋体"/>
          <w:kern w:val="44"/>
        </w:rPr>
      </w:pPr>
      <w:r>
        <w:rPr>
          <w:rFonts w:hint="eastAsia" w:ascii="宋体" w:hAnsi="宋体"/>
          <w:kern w:val="44"/>
        </w:rPr>
        <w:t>听证主持人应当由在行政机关从事法制工作2年以上或者从事行政执法工作5年以上、公道正派的人员担任。</w:t>
      </w:r>
    </w:p>
    <w:p w14:paraId="4C5A8F72">
      <w:pPr>
        <w:jc w:val="left"/>
        <w:rPr>
          <w:rFonts w:ascii="宋体" w:hAnsi="宋体"/>
          <w:kern w:val="44"/>
        </w:rPr>
      </w:pPr>
      <w:r>
        <w:rPr>
          <w:rFonts w:hint="eastAsia" w:ascii="宋体" w:hAnsi="宋体"/>
          <w:kern w:val="44"/>
        </w:rPr>
        <w:t>当事人认为听证主持人与本案有直接利害关系，有权向行政机关提出回避申请；是否回避，由行政机关负责人决定。</w:t>
      </w:r>
    </w:p>
    <w:p w14:paraId="4FA7C4B8">
      <w:pPr>
        <w:ind w:firstLine="422"/>
        <w:jc w:val="left"/>
        <w:rPr>
          <w:rFonts w:ascii="宋体" w:hAnsi="宋体"/>
          <w:kern w:val="44"/>
        </w:rPr>
      </w:pPr>
      <w:r>
        <w:rPr>
          <w:rFonts w:hint="eastAsia" w:ascii="宋体" w:hAnsi="宋体"/>
          <w:b/>
          <w:kern w:val="44"/>
        </w:rPr>
        <w:t>第八条</w:t>
      </w:r>
      <w:r>
        <w:rPr>
          <w:rFonts w:hint="eastAsia" w:ascii="宋体" w:hAnsi="宋体"/>
          <w:kern w:val="44"/>
        </w:rPr>
        <w:t>　听证参加人包括行政处罚案件的当事人及其委托代理人，以及该案调查人员。</w:t>
      </w:r>
    </w:p>
    <w:p w14:paraId="1A3A9AAB">
      <w:pPr>
        <w:jc w:val="left"/>
        <w:rPr>
          <w:rFonts w:ascii="宋体" w:hAnsi="宋体"/>
          <w:kern w:val="44"/>
        </w:rPr>
      </w:pPr>
      <w:r>
        <w:rPr>
          <w:rFonts w:hint="eastAsia" w:ascii="宋体" w:hAnsi="宋体"/>
          <w:kern w:val="44"/>
        </w:rPr>
        <w:t>当事人委托代理人参加听证的，应当在举行听证前向行政机关提交授权委托书。</w:t>
      </w:r>
    </w:p>
    <w:p w14:paraId="3704C177">
      <w:pPr>
        <w:ind w:firstLine="422"/>
        <w:jc w:val="left"/>
        <w:rPr>
          <w:rFonts w:ascii="宋体" w:hAnsi="宋体"/>
          <w:kern w:val="44"/>
        </w:rPr>
      </w:pPr>
      <w:r>
        <w:rPr>
          <w:rFonts w:hint="eastAsia" w:ascii="宋体" w:hAnsi="宋体"/>
          <w:b/>
          <w:kern w:val="44"/>
        </w:rPr>
        <w:t>第九条</w:t>
      </w:r>
      <w:r>
        <w:rPr>
          <w:rFonts w:hint="eastAsia" w:ascii="宋体" w:hAnsi="宋体"/>
          <w:kern w:val="44"/>
        </w:rPr>
        <w:t>　除涉及国家机密、商业秘密或者个人隐私外，听证应当公开举行。听证举行前，行政机关应当将听证的内容、时间、地点以及有关事项，予以公告。</w:t>
      </w:r>
    </w:p>
    <w:p w14:paraId="3728334D">
      <w:pPr>
        <w:ind w:firstLine="422"/>
        <w:jc w:val="left"/>
        <w:rPr>
          <w:rFonts w:ascii="宋体" w:hAnsi="宋体"/>
          <w:kern w:val="44"/>
        </w:rPr>
      </w:pPr>
      <w:r>
        <w:rPr>
          <w:rFonts w:hint="eastAsia" w:ascii="宋体" w:hAnsi="宋体"/>
          <w:b/>
          <w:kern w:val="44"/>
        </w:rPr>
        <w:t>第十条</w:t>
      </w:r>
      <w:r>
        <w:rPr>
          <w:rFonts w:hint="eastAsia" w:ascii="宋体" w:hAnsi="宋体"/>
          <w:kern w:val="44"/>
        </w:rPr>
        <w:t>　当事人在听证中的权利和义务：</w:t>
      </w:r>
    </w:p>
    <w:p w14:paraId="7DB5C488">
      <w:pPr>
        <w:jc w:val="left"/>
        <w:rPr>
          <w:rFonts w:ascii="宋体" w:hAnsi="宋体"/>
          <w:kern w:val="44"/>
        </w:rPr>
      </w:pPr>
      <w:r>
        <w:rPr>
          <w:rFonts w:hint="eastAsia" w:ascii="宋体" w:hAnsi="宋体"/>
          <w:kern w:val="44"/>
        </w:rPr>
        <w:t>（一）有权对案件涉及的事实、适用法律及有关情况进行陈述和申辩。</w:t>
      </w:r>
    </w:p>
    <w:p w14:paraId="09087829">
      <w:pPr>
        <w:jc w:val="left"/>
        <w:rPr>
          <w:rFonts w:ascii="宋体" w:hAnsi="宋体"/>
          <w:kern w:val="44"/>
        </w:rPr>
      </w:pPr>
      <w:r>
        <w:rPr>
          <w:rFonts w:hint="eastAsia" w:ascii="宋体" w:hAnsi="宋体"/>
          <w:kern w:val="44"/>
        </w:rPr>
        <w:t>（二）有权对案件调查人员提出的证据进行质证并提出新的证据。</w:t>
      </w:r>
    </w:p>
    <w:p w14:paraId="097526CD">
      <w:pPr>
        <w:jc w:val="left"/>
        <w:rPr>
          <w:rFonts w:ascii="宋体" w:hAnsi="宋体"/>
          <w:kern w:val="44"/>
        </w:rPr>
      </w:pPr>
      <w:r>
        <w:rPr>
          <w:rFonts w:hint="eastAsia" w:ascii="宋体" w:hAnsi="宋体"/>
          <w:kern w:val="44"/>
        </w:rPr>
        <w:t>（三）如实陈述案件事实和回答主持人的提问。</w:t>
      </w:r>
    </w:p>
    <w:p w14:paraId="72DB50C3">
      <w:pPr>
        <w:jc w:val="left"/>
        <w:rPr>
          <w:rFonts w:ascii="宋体" w:hAnsi="宋体"/>
          <w:kern w:val="44"/>
        </w:rPr>
      </w:pPr>
      <w:r>
        <w:rPr>
          <w:rFonts w:hint="eastAsia" w:ascii="宋体" w:hAnsi="宋体"/>
          <w:kern w:val="44"/>
        </w:rPr>
        <w:t>（四）遵守听证会场纪律，服从听证主持人指挥。</w:t>
      </w:r>
    </w:p>
    <w:p w14:paraId="18082CFF">
      <w:pPr>
        <w:ind w:firstLine="422"/>
        <w:jc w:val="left"/>
        <w:rPr>
          <w:rFonts w:ascii="宋体" w:hAnsi="宋体"/>
          <w:kern w:val="44"/>
        </w:rPr>
      </w:pPr>
      <w:r>
        <w:rPr>
          <w:rFonts w:hint="eastAsia" w:ascii="宋体" w:hAnsi="宋体"/>
          <w:b/>
          <w:kern w:val="44"/>
        </w:rPr>
        <w:t>第十一条</w:t>
      </w:r>
      <w:r>
        <w:rPr>
          <w:rFonts w:hint="eastAsia" w:ascii="宋体" w:hAnsi="宋体"/>
          <w:kern w:val="44"/>
        </w:rPr>
        <w:t>　听证应当按下列程序进行：</w:t>
      </w:r>
    </w:p>
    <w:p w14:paraId="45B46267">
      <w:pPr>
        <w:jc w:val="left"/>
        <w:rPr>
          <w:rFonts w:ascii="宋体" w:hAnsi="宋体"/>
          <w:kern w:val="44"/>
        </w:rPr>
      </w:pPr>
      <w:r>
        <w:rPr>
          <w:rFonts w:hint="eastAsia" w:ascii="宋体" w:hAnsi="宋体"/>
          <w:kern w:val="44"/>
        </w:rPr>
        <w:t>（一）听证记录人宣布听证会场纪律、当事人的权利和义务。听证主持人介绍主持人和记录人，询问核实听证参加人的身份，宣布听证开始。</w:t>
      </w:r>
    </w:p>
    <w:p w14:paraId="2AE70865">
      <w:pPr>
        <w:jc w:val="left"/>
        <w:rPr>
          <w:rFonts w:ascii="宋体" w:hAnsi="宋体"/>
          <w:kern w:val="44"/>
        </w:rPr>
      </w:pPr>
      <w:r>
        <w:rPr>
          <w:rFonts w:hint="eastAsia" w:ascii="宋体" w:hAnsi="宋体"/>
          <w:kern w:val="44"/>
        </w:rPr>
        <w:t>（二）案件调查人员提出当事人违法的事实、证据、处罚依据以及行政处罚建议。</w:t>
      </w:r>
    </w:p>
    <w:p w14:paraId="14B24EB5">
      <w:pPr>
        <w:jc w:val="left"/>
        <w:rPr>
          <w:rFonts w:ascii="宋体" w:hAnsi="宋体"/>
          <w:kern w:val="44"/>
        </w:rPr>
      </w:pPr>
      <w:r>
        <w:rPr>
          <w:rFonts w:hint="eastAsia" w:ascii="宋体" w:hAnsi="宋体"/>
          <w:kern w:val="44"/>
        </w:rPr>
        <w:t>（三）当事人就案件的事实进行陈述和辩解，提出有关证据，对调查人员提出的证据进行质证。</w:t>
      </w:r>
    </w:p>
    <w:p w14:paraId="2B0CF749">
      <w:pPr>
        <w:jc w:val="left"/>
        <w:rPr>
          <w:rFonts w:ascii="宋体" w:hAnsi="宋体"/>
          <w:kern w:val="44"/>
        </w:rPr>
      </w:pPr>
      <w:r>
        <w:rPr>
          <w:rFonts w:hint="eastAsia" w:ascii="宋体" w:hAnsi="宋体"/>
          <w:kern w:val="44"/>
        </w:rPr>
        <w:t>（四）听取当事人的最后陈述。</w:t>
      </w:r>
    </w:p>
    <w:p w14:paraId="4BD65954">
      <w:pPr>
        <w:jc w:val="left"/>
        <w:rPr>
          <w:rFonts w:ascii="宋体" w:hAnsi="宋体"/>
          <w:kern w:val="44"/>
        </w:rPr>
      </w:pPr>
      <w:r>
        <w:rPr>
          <w:rFonts w:hint="eastAsia" w:ascii="宋体" w:hAnsi="宋体"/>
          <w:kern w:val="44"/>
        </w:rPr>
        <w:t>（五）主持人宣布听证结束。听证笔录交当事人审核无误后签字或者盖章。</w:t>
      </w:r>
    </w:p>
    <w:p w14:paraId="5AECB66C">
      <w:pPr>
        <w:jc w:val="left"/>
        <w:rPr>
          <w:rFonts w:ascii="宋体" w:hAnsi="宋体"/>
          <w:kern w:val="44"/>
        </w:rPr>
      </w:pPr>
      <w:r>
        <w:rPr>
          <w:rFonts w:hint="eastAsia" w:ascii="宋体" w:hAnsi="宋体"/>
          <w:kern w:val="44"/>
        </w:rPr>
        <w:t>听证主持人在听证中有权对参加人不当的辩论内容予以制止，维护正常的听证秩序。</w:t>
      </w:r>
    </w:p>
    <w:p w14:paraId="25B4070C">
      <w:pPr>
        <w:ind w:firstLine="422"/>
        <w:jc w:val="left"/>
        <w:rPr>
          <w:rFonts w:ascii="宋体" w:hAnsi="宋体"/>
          <w:kern w:val="44"/>
        </w:rPr>
      </w:pPr>
      <w:r>
        <w:rPr>
          <w:rFonts w:hint="eastAsia" w:ascii="宋体" w:hAnsi="宋体"/>
          <w:b/>
          <w:kern w:val="44"/>
        </w:rPr>
        <w:t>第十二条</w:t>
      </w:r>
      <w:r>
        <w:rPr>
          <w:rFonts w:hint="eastAsia" w:ascii="宋体" w:hAnsi="宋体"/>
          <w:kern w:val="44"/>
        </w:rPr>
        <w:t>　听证结束后，听证主持人应当依据听证情况，向行政机关负责人提出书面意见。行政机关负责人应当根据听证主持人的意见和听证笔录，依法作出行政处罚决定。</w:t>
      </w:r>
    </w:p>
    <w:p w14:paraId="1B88FE7A">
      <w:pPr>
        <w:jc w:val="left"/>
        <w:rPr>
          <w:rFonts w:ascii="宋体" w:hAnsi="宋体"/>
          <w:kern w:val="44"/>
        </w:rPr>
      </w:pPr>
      <w:r>
        <w:rPr>
          <w:rFonts w:hint="eastAsia" w:ascii="宋体" w:hAnsi="宋体"/>
          <w:kern w:val="44"/>
        </w:rPr>
        <w:t>听证的举行，不影响当事人申请行政复议、提起行政诉讼以及请求国家赔偿等权利的行使。</w:t>
      </w:r>
    </w:p>
    <w:p w14:paraId="3F277922">
      <w:pPr>
        <w:ind w:firstLine="422"/>
        <w:jc w:val="left"/>
        <w:rPr>
          <w:rFonts w:ascii="宋体" w:hAnsi="宋体"/>
          <w:kern w:val="44"/>
        </w:rPr>
      </w:pPr>
      <w:r>
        <w:rPr>
          <w:rFonts w:hint="eastAsia" w:ascii="宋体" w:hAnsi="宋体"/>
          <w:b/>
          <w:kern w:val="44"/>
        </w:rPr>
        <w:t>第十三条</w:t>
      </w:r>
      <w:r>
        <w:rPr>
          <w:rFonts w:hint="eastAsia" w:ascii="宋体" w:hAnsi="宋体"/>
          <w:kern w:val="44"/>
        </w:rPr>
        <w:t>　行政机关举行听证，不得向当事人收取费用。</w:t>
      </w:r>
    </w:p>
    <w:p w14:paraId="7DD7B366">
      <w:pPr>
        <w:ind w:firstLine="422"/>
        <w:jc w:val="left"/>
        <w:rPr>
          <w:rFonts w:ascii="宋体" w:hAnsi="宋体"/>
          <w:kern w:val="44"/>
        </w:rPr>
      </w:pPr>
      <w:r>
        <w:rPr>
          <w:rFonts w:hint="eastAsia" w:ascii="宋体" w:hAnsi="宋体"/>
          <w:b/>
          <w:kern w:val="44"/>
        </w:rPr>
        <w:t>第十四条</w:t>
      </w:r>
      <w:r>
        <w:rPr>
          <w:rFonts w:hint="eastAsia" w:ascii="宋体" w:hAnsi="宋体"/>
          <w:kern w:val="44"/>
        </w:rPr>
        <w:t>　本办法执行中的具体问题，由市人民政府法制办公室负责解释。</w:t>
      </w:r>
    </w:p>
    <w:p w14:paraId="68674CAB">
      <w:pPr>
        <w:ind w:firstLine="422"/>
        <w:jc w:val="left"/>
        <w:rPr>
          <w:rFonts w:ascii="宋体" w:hAnsi="宋体"/>
          <w:kern w:val="44"/>
        </w:rPr>
      </w:pPr>
      <w:r>
        <w:rPr>
          <w:rFonts w:hint="eastAsia" w:ascii="宋体" w:hAnsi="宋体"/>
          <w:b/>
          <w:kern w:val="44"/>
        </w:rPr>
        <w:t>第十五条</w:t>
      </w:r>
      <w:r>
        <w:rPr>
          <w:rFonts w:hint="eastAsia" w:ascii="宋体" w:hAnsi="宋体"/>
          <w:kern w:val="44"/>
        </w:rPr>
        <w:t>　本办法自1996年10月1日起施行。</w:t>
      </w:r>
    </w:p>
    <w:p w14:paraId="21BBA9E1">
      <w:pPr>
        <w:pStyle w:val="4"/>
        <w:pageBreakBefore/>
        <w:rPr>
          <w:kern w:val="44"/>
        </w:rPr>
      </w:pPr>
      <w:bookmarkStart w:id="287" w:name="_Toc422471103"/>
      <w:bookmarkStart w:id="288" w:name="_Toc428779986"/>
      <w:bookmarkStart w:id="289" w:name="_Toc428781468"/>
      <w:bookmarkStart w:id="290" w:name="_Toc427651420"/>
      <w:bookmarkStart w:id="291" w:name="_Toc427651762"/>
      <w:r>
        <w:rPr>
          <w:rFonts w:hint="eastAsia"/>
          <w:kern w:val="44"/>
        </w:rPr>
        <w:t>北京市实施行政处罚</w:t>
      </w:r>
      <w:bookmarkEnd w:id="287"/>
      <w:bookmarkStart w:id="292" w:name="_Toc422471104"/>
      <w:r>
        <w:rPr>
          <w:rFonts w:hint="eastAsia"/>
          <w:kern w:val="44"/>
        </w:rPr>
        <w:t>程序若干规定</w:t>
      </w:r>
      <w:bookmarkEnd w:id="288"/>
      <w:bookmarkEnd w:id="289"/>
      <w:bookmarkEnd w:id="290"/>
      <w:bookmarkEnd w:id="291"/>
      <w:bookmarkEnd w:id="292"/>
    </w:p>
    <w:p w14:paraId="515029D0">
      <w:pPr>
        <w:ind w:left="630" w:leftChars="300" w:right="630" w:rightChars="300"/>
        <w:jc w:val="center"/>
        <w:rPr>
          <w:rFonts w:ascii="楷体" w:hAnsi="楷体" w:eastAsia="楷体"/>
          <w:kern w:val="44"/>
        </w:rPr>
      </w:pPr>
      <w:r>
        <w:rPr>
          <w:rFonts w:hint="eastAsia" w:ascii="楷体" w:hAnsi="楷体" w:eastAsia="楷体"/>
          <w:kern w:val="44"/>
        </w:rPr>
        <w:t>（1996年9月23日北京市人民政府第15号令发布）</w:t>
      </w:r>
    </w:p>
    <w:p w14:paraId="2FC59316">
      <w:pPr>
        <w:ind w:left="630" w:leftChars="300" w:right="630" w:rightChars="300"/>
        <w:jc w:val="left"/>
        <w:rPr>
          <w:rFonts w:ascii="宋体" w:hAnsi="宋体"/>
          <w:kern w:val="44"/>
        </w:rPr>
      </w:pPr>
    </w:p>
    <w:p w14:paraId="72687770">
      <w:pPr>
        <w:ind w:firstLine="422"/>
        <w:jc w:val="left"/>
        <w:rPr>
          <w:rFonts w:ascii="宋体" w:hAnsi="宋体"/>
          <w:kern w:val="44"/>
        </w:rPr>
      </w:pPr>
      <w:r>
        <w:rPr>
          <w:rFonts w:hint="eastAsia" w:ascii="宋体" w:hAnsi="宋体"/>
          <w:b/>
          <w:kern w:val="44"/>
        </w:rPr>
        <w:t>第一条</w:t>
      </w:r>
      <w:r>
        <w:rPr>
          <w:rFonts w:hint="eastAsia" w:ascii="宋体" w:hAnsi="宋体"/>
          <w:kern w:val="44"/>
        </w:rPr>
        <w:t>　为贯彻实施《中华人民共和国行政处罚法》（以下简称行政处罚法），制定本规定。</w:t>
      </w:r>
    </w:p>
    <w:p w14:paraId="37ABDB94">
      <w:pPr>
        <w:ind w:firstLine="422"/>
        <w:jc w:val="left"/>
        <w:rPr>
          <w:rFonts w:ascii="宋体" w:hAnsi="宋体"/>
          <w:kern w:val="44"/>
        </w:rPr>
      </w:pPr>
      <w:r>
        <w:rPr>
          <w:rFonts w:hint="eastAsia" w:ascii="宋体" w:hAnsi="宋体"/>
          <w:b/>
          <w:kern w:val="44"/>
        </w:rPr>
        <w:t>第二条</w:t>
      </w:r>
      <w:r>
        <w:rPr>
          <w:rFonts w:hint="eastAsia" w:ascii="宋体" w:hAnsi="宋体"/>
          <w:kern w:val="44"/>
        </w:rPr>
        <w:t>　本市各级行政机关以及经合法授权或者受委托的组织（以下统称行政机关）实施行政处罚，应当遵守行政处罚法和本规定。</w:t>
      </w:r>
    </w:p>
    <w:p w14:paraId="1EF2A43B">
      <w:pPr>
        <w:ind w:firstLine="422"/>
        <w:jc w:val="left"/>
        <w:rPr>
          <w:rFonts w:ascii="宋体" w:hAnsi="宋体"/>
          <w:kern w:val="44"/>
        </w:rPr>
      </w:pPr>
      <w:r>
        <w:rPr>
          <w:rFonts w:hint="eastAsia" w:ascii="宋体" w:hAnsi="宋体"/>
          <w:b/>
          <w:kern w:val="44"/>
        </w:rPr>
        <w:t>第三条</w:t>
      </w:r>
      <w:r>
        <w:rPr>
          <w:rFonts w:hint="eastAsia" w:ascii="宋体" w:hAnsi="宋体"/>
          <w:kern w:val="44"/>
        </w:rPr>
        <w:t>　除法律、行政法规另有规定的外，行政处罚由违法行为发生地的市、区、县人民政府及其所属行政机关依照职权管辖。</w:t>
      </w:r>
    </w:p>
    <w:p w14:paraId="773CBF46">
      <w:pPr>
        <w:jc w:val="left"/>
        <w:rPr>
          <w:rFonts w:ascii="宋体" w:hAnsi="宋体"/>
          <w:kern w:val="44"/>
        </w:rPr>
      </w:pPr>
      <w:r>
        <w:rPr>
          <w:rFonts w:hint="eastAsia" w:ascii="宋体" w:hAnsi="宋体"/>
          <w:kern w:val="44"/>
        </w:rPr>
        <w:t>对当事人的同一违法行为，根据不同法律、法规、规章规定，两个以上的行政机关都有管辖权的，应当由先立案的行政机关处罚，但是行政机关在决定行政处罚时，不得给予当事人两次以上罚款的处罚。</w:t>
      </w:r>
    </w:p>
    <w:p w14:paraId="440C7A4D">
      <w:pPr>
        <w:jc w:val="left"/>
        <w:rPr>
          <w:rFonts w:ascii="宋体" w:hAnsi="宋体"/>
          <w:kern w:val="44"/>
        </w:rPr>
      </w:pPr>
      <w:r>
        <w:rPr>
          <w:rFonts w:hint="eastAsia" w:ascii="宋体" w:hAnsi="宋体"/>
          <w:kern w:val="44"/>
        </w:rPr>
        <w:t>行政机关之间对管辖权发生争议时，应当协商解决或者提请共同的上级行政机关指定管辖。</w:t>
      </w:r>
    </w:p>
    <w:p w14:paraId="56264B4A">
      <w:pPr>
        <w:jc w:val="left"/>
        <w:rPr>
          <w:rFonts w:ascii="宋体" w:hAnsi="宋体"/>
          <w:kern w:val="44"/>
        </w:rPr>
      </w:pPr>
      <w:r>
        <w:rPr>
          <w:rFonts w:hint="eastAsia" w:ascii="宋体" w:hAnsi="宋体"/>
          <w:kern w:val="44"/>
        </w:rPr>
        <w:t>一个行政机关对违法行为实施行政处罚后，依法应当移送有关行政机关处理的，应当及时将案件及有关材料移送相应机关，被移送的机关应当接收。</w:t>
      </w:r>
    </w:p>
    <w:p w14:paraId="32757A60">
      <w:pPr>
        <w:ind w:firstLine="422"/>
        <w:jc w:val="left"/>
        <w:rPr>
          <w:rFonts w:ascii="宋体" w:hAnsi="宋体"/>
          <w:kern w:val="44"/>
        </w:rPr>
      </w:pPr>
      <w:r>
        <w:rPr>
          <w:rFonts w:hint="eastAsia" w:ascii="宋体" w:hAnsi="宋体"/>
          <w:b/>
          <w:kern w:val="44"/>
        </w:rPr>
        <w:t>第四条</w:t>
      </w:r>
      <w:r>
        <w:rPr>
          <w:rFonts w:hint="eastAsia" w:ascii="宋体" w:hAnsi="宋体"/>
          <w:kern w:val="44"/>
        </w:rPr>
        <w:t>　市人民政府根据行政处罚法第十六条的规定，可以决定一个行政机关行使有关行政机关的行政处罚权。</w:t>
      </w:r>
    </w:p>
    <w:p w14:paraId="4314DEC4">
      <w:pPr>
        <w:jc w:val="left"/>
        <w:rPr>
          <w:rFonts w:ascii="宋体" w:hAnsi="宋体"/>
          <w:kern w:val="44"/>
        </w:rPr>
      </w:pPr>
      <w:r>
        <w:rPr>
          <w:rFonts w:hint="eastAsia" w:ascii="宋体" w:hAnsi="宋体"/>
          <w:kern w:val="44"/>
        </w:rPr>
        <w:t>行政机关之间委托行使行政处罚权，必须经市人民政府批准，并以书面形式规定委托内容、权限及相应责任。</w:t>
      </w:r>
    </w:p>
    <w:p w14:paraId="7EEC2748">
      <w:pPr>
        <w:ind w:firstLine="422"/>
        <w:jc w:val="left"/>
        <w:rPr>
          <w:rFonts w:ascii="宋体" w:hAnsi="宋体"/>
          <w:kern w:val="44"/>
        </w:rPr>
      </w:pPr>
      <w:r>
        <w:rPr>
          <w:rFonts w:hint="eastAsia" w:ascii="宋体" w:hAnsi="宋体"/>
          <w:b/>
          <w:kern w:val="44"/>
        </w:rPr>
        <w:t>第五条</w:t>
      </w:r>
      <w:r>
        <w:rPr>
          <w:rFonts w:hint="eastAsia" w:ascii="宋体" w:hAnsi="宋体"/>
          <w:kern w:val="44"/>
        </w:rPr>
        <w:t>　行政机关实施行政处罚时，应当责令当事人改正或者限期改正违法行为。法律、法规或者规章规定应当先责令当事人改正违法行为的，依照规定执行。</w:t>
      </w:r>
    </w:p>
    <w:p w14:paraId="1FB4E247">
      <w:pPr>
        <w:ind w:firstLine="422"/>
        <w:jc w:val="left"/>
        <w:rPr>
          <w:rFonts w:ascii="宋体" w:hAnsi="宋体"/>
          <w:kern w:val="44"/>
        </w:rPr>
      </w:pPr>
      <w:r>
        <w:rPr>
          <w:rFonts w:hint="eastAsia" w:ascii="宋体" w:hAnsi="宋体"/>
          <w:b/>
          <w:kern w:val="44"/>
        </w:rPr>
        <w:t>第六条</w:t>
      </w:r>
      <w:r>
        <w:rPr>
          <w:rFonts w:hint="eastAsia" w:ascii="宋体" w:hAnsi="宋体"/>
          <w:kern w:val="44"/>
        </w:rPr>
        <w:t>　当事人违法行为轻微并及时纠正，没有造成危害后果的，不予行政处罚。</w:t>
      </w:r>
    </w:p>
    <w:p w14:paraId="79B1958E">
      <w:pPr>
        <w:ind w:firstLine="422"/>
        <w:jc w:val="left"/>
        <w:rPr>
          <w:rFonts w:ascii="宋体" w:hAnsi="宋体"/>
          <w:kern w:val="44"/>
        </w:rPr>
      </w:pPr>
      <w:r>
        <w:rPr>
          <w:rFonts w:hint="eastAsia" w:ascii="宋体" w:hAnsi="宋体"/>
          <w:b/>
          <w:kern w:val="44"/>
        </w:rPr>
        <w:t>第七条</w:t>
      </w:r>
      <w:r>
        <w:rPr>
          <w:rFonts w:hint="eastAsia" w:ascii="宋体" w:hAnsi="宋体"/>
          <w:kern w:val="44"/>
        </w:rPr>
        <w:t>　执法人员依法当场作出处罚决定，必须遵守下列程序：</w:t>
      </w:r>
    </w:p>
    <w:p w14:paraId="1A5B2404">
      <w:pPr>
        <w:jc w:val="left"/>
        <w:rPr>
          <w:rFonts w:ascii="宋体" w:hAnsi="宋体"/>
          <w:kern w:val="44"/>
        </w:rPr>
      </w:pPr>
      <w:r>
        <w:rPr>
          <w:rFonts w:hint="eastAsia" w:ascii="宋体" w:hAnsi="宋体"/>
          <w:kern w:val="44"/>
        </w:rPr>
        <w:t>（一）向当事人出示身份证件；</w:t>
      </w:r>
    </w:p>
    <w:p w14:paraId="62C55C1B">
      <w:pPr>
        <w:jc w:val="left"/>
        <w:rPr>
          <w:rFonts w:ascii="宋体" w:hAnsi="宋体"/>
          <w:kern w:val="44"/>
        </w:rPr>
      </w:pPr>
      <w:r>
        <w:rPr>
          <w:rFonts w:hint="eastAsia" w:ascii="宋体" w:hAnsi="宋体"/>
          <w:kern w:val="44"/>
        </w:rPr>
        <w:t>（二）告知当事人违法事实、处罚理由和依据；</w:t>
      </w:r>
    </w:p>
    <w:p w14:paraId="3043BA7D">
      <w:pPr>
        <w:jc w:val="left"/>
        <w:rPr>
          <w:rFonts w:ascii="宋体" w:hAnsi="宋体"/>
          <w:kern w:val="44"/>
        </w:rPr>
      </w:pPr>
      <w:r>
        <w:rPr>
          <w:rFonts w:hint="eastAsia" w:ascii="宋体" w:hAnsi="宋体"/>
          <w:kern w:val="44"/>
        </w:rPr>
        <w:t>（三）填写预定格式、编有号码的行政处罚决定书；</w:t>
      </w:r>
    </w:p>
    <w:p w14:paraId="319BCC4B">
      <w:pPr>
        <w:jc w:val="left"/>
        <w:rPr>
          <w:rFonts w:ascii="宋体" w:hAnsi="宋体"/>
          <w:kern w:val="44"/>
        </w:rPr>
      </w:pPr>
      <w:r>
        <w:rPr>
          <w:rFonts w:hint="eastAsia" w:ascii="宋体" w:hAnsi="宋体"/>
          <w:kern w:val="44"/>
        </w:rPr>
        <w:t>（四）将处罚决定书当场交付当事人；</w:t>
      </w:r>
    </w:p>
    <w:p w14:paraId="2051C41A">
      <w:pPr>
        <w:jc w:val="left"/>
        <w:rPr>
          <w:rFonts w:ascii="宋体" w:hAnsi="宋体"/>
          <w:kern w:val="44"/>
        </w:rPr>
      </w:pPr>
      <w:r>
        <w:rPr>
          <w:rFonts w:hint="eastAsia" w:ascii="宋体" w:hAnsi="宋体"/>
          <w:kern w:val="44"/>
        </w:rPr>
        <w:t>（五）在2日内将行政处罚决定报所属行政机关备案。</w:t>
      </w:r>
    </w:p>
    <w:p w14:paraId="219C9447">
      <w:pPr>
        <w:jc w:val="left"/>
        <w:rPr>
          <w:rFonts w:ascii="宋体" w:hAnsi="宋体"/>
          <w:kern w:val="44"/>
        </w:rPr>
      </w:pPr>
      <w:r>
        <w:rPr>
          <w:rFonts w:hint="eastAsia" w:ascii="宋体" w:hAnsi="宋体"/>
          <w:kern w:val="44"/>
        </w:rPr>
        <w:t>依法可以当场收缴罚款的，还必须向当事人出具市财政局统一制发的罚款收据。</w:t>
      </w:r>
    </w:p>
    <w:p w14:paraId="351838D3">
      <w:pPr>
        <w:ind w:firstLine="422"/>
        <w:jc w:val="left"/>
        <w:rPr>
          <w:rFonts w:ascii="宋体" w:hAnsi="宋体"/>
          <w:kern w:val="44"/>
        </w:rPr>
      </w:pPr>
      <w:r>
        <w:rPr>
          <w:rFonts w:hint="eastAsia" w:ascii="宋体" w:hAnsi="宋体"/>
          <w:b/>
          <w:kern w:val="44"/>
        </w:rPr>
        <w:t>第八条</w:t>
      </w:r>
      <w:r>
        <w:rPr>
          <w:rFonts w:hint="eastAsia" w:ascii="宋体" w:hAnsi="宋体"/>
          <w:kern w:val="44"/>
        </w:rPr>
        <w:t>　除依法可以当场决定行政处罚的外，执法人员发现公民、法人或者其他组织有违法行为依法应当给予行政处罚的，应当报行政机关负责人批准立案。</w:t>
      </w:r>
    </w:p>
    <w:p w14:paraId="2A2C163B">
      <w:pPr>
        <w:ind w:firstLine="422"/>
        <w:jc w:val="left"/>
        <w:rPr>
          <w:rFonts w:ascii="宋体" w:hAnsi="宋体"/>
          <w:kern w:val="44"/>
        </w:rPr>
      </w:pPr>
      <w:r>
        <w:rPr>
          <w:rFonts w:hint="eastAsia" w:ascii="宋体" w:hAnsi="宋体"/>
          <w:b/>
          <w:kern w:val="44"/>
        </w:rPr>
        <w:t>第九条</w:t>
      </w:r>
      <w:r>
        <w:rPr>
          <w:rFonts w:hint="eastAsia" w:ascii="宋体" w:hAnsi="宋体"/>
          <w:kern w:val="44"/>
        </w:rPr>
        <w:t>　执法人员调查案件应当收集证据。证据有以下几种：</w:t>
      </w:r>
    </w:p>
    <w:p w14:paraId="026BD9C7">
      <w:pPr>
        <w:jc w:val="left"/>
        <w:rPr>
          <w:rFonts w:ascii="宋体" w:hAnsi="宋体"/>
          <w:kern w:val="44"/>
        </w:rPr>
      </w:pPr>
      <w:r>
        <w:rPr>
          <w:rFonts w:hint="eastAsia" w:ascii="宋体" w:hAnsi="宋体"/>
          <w:kern w:val="44"/>
        </w:rPr>
        <w:t>（一）书证；</w:t>
      </w:r>
    </w:p>
    <w:p w14:paraId="1A4CA062">
      <w:pPr>
        <w:jc w:val="left"/>
        <w:rPr>
          <w:rFonts w:ascii="宋体" w:hAnsi="宋体"/>
          <w:kern w:val="44"/>
        </w:rPr>
      </w:pPr>
      <w:r>
        <w:rPr>
          <w:rFonts w:hint="eastAsia" w:ascii="宋体" w:hAnsi="宋体"/>
          <w:kern w:val="44"/>
        </w:rPr>
        <w:t>（二）物证；</w:t>
      </w:r>
    </w:p>
    <w:p w14:paraId="3EC7FE89">
      <w:pPr>
        <w:jc w:val="left"/>
        <w:rPr>
          <w:rFonts w:ascii="宋体" w:hAnsi="宋体"/>
          <w:kern w:val="44"/>
        </w:rPr>
      </w:pPr>
      <w:r>
        <w:rPr>
          <w:rFonts w:hint="eastAsia" w:ascii="宋体" w:hAnsi="宋体"/>
          <w:kern w:val="44"/>
        </w:rPr>
        <w:t>（三）视听资料；</w:t>
      </w:r>
    </w:p>
    <w:p w14:paraId="192BC726">
      <w:pPr>
        <w:jc w:val="left"/>
        <w:rPr>
          <w:rFonts w:ascii="宋体" w:hAnsi="宋体"/>
          <w:kern w:val="44"/>
        </w:rPr>
      </w:pPr>
      <w:r>
        <w:rPr>
          <w:rFonts w:hint="eastAsia" w:ascii="宋体" w:hAnsi="宋体"/>
          <w:kern w:val="44"/>
        </w:rPr>
        <w:t>（四）证人证言；</w:t>
      </w:r>
    </w:p>
    <w:p w14:paraId="2A2870A9">
      <w:pPr>
        <w:jc w:val="left"/>
        <w:rPr>
          <w:rFonts w:ascii="宋体" w:hAnsi="宋体"/>
          <w:kern w:val="44"/>
        </w:rPr>
      </w:pPr>
      <w:r>
        <w:rPr>
          <w:rFonts w:hint="eastAsia" w:ascii="宋体" w:hAnsi="宋体"/>
          <w:kern w:val="44"/>
        </w:rPr>
        <w:t>（五）当事人的陈述；</w:t>
      </w:r>
    </w:p>
    <w:p w14:paraId="31D647FB">
      <w:pPr>
        <w:jc w:val="left"/>
        <w:rPr>
          <w:rFonts w:ascii="宋体" w:hAnsi="宋体"/>
          <w:kern w:val="44"/>
        </w:rPr>
      </w:pPr>
      <w:r>
        <w:rPr>
          <w:rFonts w:hint="eastAsia" w:ascii="宋体" w:hAnsi="宋体"/>
          <w:kern w:val="44"/>
        </w:rPr>
        <w:t>（六）鉴定结论；</w:t>
      </w:r>
    </w:p>
    <w:p w14:paraId="315365CE">
      <w:pPr>
        <w:jc w:val="left"/>
        <w:rPr>
          <w:rFonts w:ascii="宋体" w:hAnsi="宋体"/>
          <w:kern w:val="44"/>
        </w:rPr>
      </w:pPr>
      <w:r>
        <w:rPr>
          <w:rFonts w:hint="eastAsia" w:ascii="宋体" w:hAnsi="宋体"/>
          <w:kern w:val="44"/>
        </w:rPr>
        <w:t>（七）勘验笔录。</w:t>
      </w:r>
    </w:p>
    <w:p w14:paraId="30CD6DD0">
      <w:pPr>
        <w:ind w:firstLine="422"/>
        <w:jc w:val="left"/>
        <w:rPr>
          <w:rFonts w:ascii="宋体" w:hAnsi="宋体"/>
          <w:kern w:val="44"/>
        </w:rPr>
      </w:pPr>
      <w:r>
        <w:rPr>
          <w:rFonts w:hint="eastAsia" w:ascii="宋体" w:hAnsi="宋体"/>
          <w:b/>
          <w:kern w:val="44"/>
        </w:rPr>
        <w:t>第十条</w:t>
      </w:r>
      <w:r>
        <w:rPr>
          <w:rFonts w:hint="eastAsia" w:ascii="宋体" w:hAnsi="宋体"/>
          <w:kern w:val="44"/>
        </w:rPr>
        <w:t>　执法人员依法向当事人和有关人员调查案件情况，应当向被调查人出示证件，并制作调查或者询问笔录，笔录由当事人和有关人员签名或者盖章。当事人和有关人员拒绝签名或者盖章的，应当有两名以上执法人员在笔录上注明情况并签名。</w:t>
      </w:r>
    </w:p>
    <w:p w14:paraId="6C6F34CF">
      <w:pPr>
        <w:jc w:val="left"/>
        <w:rPr>
          <w:rFonts w:ascii="宋体" w:hAnsi="宋体"/>
          <w:kern w:val="44"/>
        </w:rPr>
      </w:pPr>
      <w:r>
        <w:rPr>
          <w:rFonts w:hint="eastAsia" w:ascii="宋体" w:hAnsi="宋体"/>
          <w:kern w:val="44"/>
        </w:rPr>
        <w:t>行政机关为调查案件需要，有权依法进行现场勘验和技术鉴定。对重要的书证，有权进行复制。</w:t>
      </w:r>
    </w:p>
    <w:p w14:paraId="37C7E90F">
      <w:pPr>
        <w:ind w:firstLine="422"/>
        <w:jc w:val="left"/>
        <w:rPr>
          <w:rFonts w:ascii="宋体" w:hAnsi="宋体"/>
          <w:kern w:val="44"/>
        </w:rPr>
      </w:pPr>
      <w:r>
        <w:rPr>
          <w:rFonts w:hint="eastAsia" w:ascii="宋体" w:hAnsi="宋体"/>
          <w:b/>
          <w:kern w:val="44"/>
        </w:rPr>
        <w:t>第十一条</w:t>
      </w:r>
      <w:r>
        <w:rPr>
          <w:rFonts w:hint="eastAsia" w:ascii="宋体" w:hAnsi="宋体"/>
          <w:kern w:val="44"/>
        </w:rPr>
        <w:t>　执法人员收集证据时，可以采取抽样取证的方法。在证据可能灭失或者以后难以取得的情况下，经行政机关负责人批准，可以先行登记保存。</w:t>
      </w:r>
    </w:p>
    <w:p w14:paraId="3A509C64">
      <w:pPr>
        <w:ind w:firstLine="422"/>
        <w:jc w:val="left"/>
        <w:rPr>
          <w:rFonts w:ascii="宋体" w:hAnsi="宋体"/>
          <w:kern w:val="44"/>
        </w:rPr>
      </w:pPr>
      <w:r>
        <w:rPr>
          <w:rFonts w:hint="eastAsia" w:ascii="宋体" w:hAnsi="宋体"/>
          <w:b/>
          <w:kern w:val="44"/>
        </w:rPr>
        <w:t>第十二条</w:t>
      </w:r>
      <w:r>
        <w:rPr>
          <w:rFonts w:hint="eastAsia" w:ascii="宋体" w:hAnsi="宋体"/>
          <w:kern w:val="44"/>
        </w:rPr>
        <w:t>　行政机关对先行登记保存的证据，应当在7日内作出下列处理决定：</w:t>
      </w:r>
    </w:p>
    <w:p w14:paraId="53E9FB6F">
      <w:pPr>
        <w:jc w:val="left"/>
        <w:rPr>
          <w:rFonts w:ascii="宋体" w:hAnsi="宋体"/>
          <w:kern w:val="44"/>
        </w:rPr>
      </w:pPr>
      <w:r>
        <w:rPr>
          <w:rFonts w:hint="eastAsia" w:ascii="宋体" w:hAnsi="宋体"/>
          <w:kern w:val="44"/>
        </w:rPr>
        <w:t>（一）需要进行技术检验或者鉴定的，送交检验或者鉴定；</w:t>
      </w:r>
    </w:p>
    <w:p w14:paraId="5883D039">
      <w:pPr>
        <w:jc w:val="left"/>
        <w:rPr>
          <w:rFonts w:ascii="宋体" w:hAnsi="宋体"/>
          <w:kern w:val="44"/>
        </w:rPr>
      </w:pPr>
      <w:r>
        <w:rPr>
          <w:rFonts w:hint="eastAsia" w:ascii="宋体" w:hAnsi="宋体"/>
          <w:kern w:val="44"/>
        </w:rPr>
        <w:t>（二）对依法不需要没收的物品，退还当事人；对依法应予没收的财物，决定没收；</w:t>
      </w:r>
    </w:p>
    <w:p w14:paraId="1ECD761C">
      <w:pPr>
        <w:jc w:val="left"/>
        <w:rPr>
          <w:rFonts w:ascii="宋体" w:hAnsi="宋体"/>
          <w:kern w:val="44"/>
        </w:rPr>
      </w:pPr>
      <w:r>
        <w:rPr>
          <w:rFonts w:hint="eastAsia" w:ascii="宋体" w:hAnsi="宋体"/>
          <w:kern w:val="44"/>
        </w:rPr>
        <w:t>（三）对于依法应当移送有关部门处理的，移交有关部门；</w:t>
      </w:r>
    </w:p>
    <w:p w14:paraId="28478949">
      <w:pPr>
        <w:jc w:val="left"/>
        <w:rPr>
          <w:rFonts w:ascii="宋体" w:hAnsi="宋体"/>
          <w:kern w:val="44"/>
        </w:rPr>
      </w:pPr>
      <w:r>
        <w:rPr>
          <w:rFonts w:hint="eastAsia" w:ascii="宋体" w:hAnsi="宋体"/>
          <w:kern w:val="44"/>
        </w:rPr>
        <w:t>（四）法律、法规、规章规定的其他处理方式。</w:t>
      </w:r>
    </w:p>
    <w:p w14:paraId="10EEF0E8">
      <w:pPr>
        <w:ind w:firstLine="422"/>
        <w:jc w:val="left"/>
        <w:rPr>
          <w:rFonts w:ascii="宋体" w:hAnsi="宋体"/>
          <w:kern w:val="44"/>
        </w:rPr>
      </w:pPr>
      <w:r>
        <w:rPr>
          <w:rFonts w:hint="eastAsia" w:ascii="宋体" w:hAnsi="宋体"/>
          <w:b/>
          <w:kern w:val="44"/>
        </w:rPr>
        <w:t>第十三条</w:t>
      </w:r>
      <w:r>
        <w:rPr>
          <w:rFonts w:hint="eastAsia" w:ascii="宋体" w:hAnsi="宋体"/>
          <w:kern w:val="44"/>
        </w:rPr>
        <w:t>　行政机关对证据进行抽样取证或者登记保存，应当有当事人在场。当事人不在场或者拒绝到场的，执法人员可以邀请有关人员参加。</w:t>
      </w:r>
    </w:p>
    <w:p w14:paraId="77C7E8F3">
      <w:pPr>
        <w:jc w:val="left"/>
        <w:rPr>
          <w:rFonts w:ascii="宋体" w:hAnsi="宋体"/>
          <w:kern w:val="44"/>
        </w:rPr>
      </w:pPr>
      <w:r>
        <w:rPr>
          <w:rFonts w:hint="eastAsia" w:ascii="宋体" w:hAnsi="宋体"/>
          <w:kern w:val="44"/>
        </w:rPr>
        <w:t>对抽样取证或者登记保存的物品应当开列清单，一式两份，写明物品名称、数量、规格等事项，由执法人员、当事人签名或者盖章，一份清单交付当事人。当事人拒绝签名、盖章或者接收的，应当有两名以上执法人员在清单上注明情况。</w:t>
      </w:r>
    </w:p>
    <w:p w14:paraId="6CA60BD1">
      <w:pPr>
        <w:jc w:val="left"/>
        <w:rPr>
          <w:rFonts w:ascii="宋体" w:hAnsi="宋体"/>
          <w:kern w:val="44"/>
        </w:rPr>
      </w:pPr>
      <w:r>
        <w:rPr>
          <w:rFonts w:hint="eastAsia" w:ascii="宋体" w:hAnsi="宋体"/>
          <w:kern w:val="44"/>
        </w:rPr>
        <w:t>登记保存物品时，在原地保存可能妨害公共秩序或者公共安全的，可以异地保存。</w:t>
      </w:r>
    </w:p>
    <w:p w14:paraId="3A27C9AD">
      <w:pPr>
        <w:ind w:firstLine="422"/>
        <w:jc w:val="left"/>
        <w:rPr>
          <w:rFonts w:ascii="宋体" w:hAnsi="宋体"/>
          <w:kern w:val="44"/>
        </w:rPr>
      </w:pPr>
      <w:r>
        <w:rPr>
          <w:rFonts w:hint="eastAsia" w:ascii="宋体" w:hAnsi="宋体"/>
          <w:b/>
          <w:kern w:val="44"/>
        </w:rPr>
        <w:t>第十四条</w:t>
      </w:r>
      <w:r>
        <w:rPr>
          <w:rFonts w:hint="eastAsia" w:ascii="宋体" w:hAnsi="宋体"/>
          <w:kern w:val="44"/>
        </w:rPr>
        <w:t>　对违法行为调查终结，执法人员应当就案件的事实、证据、处罚依据和建议，向本行政机关负责人提出书面报告。行政机关负责人应当对调查结果进行审查，并根据情况分别作出给予行政处罚、不予行政处罚或者移送司法机关处理的决定。</w:t>
      </w:r>
    </w:p>
    <w:p w14:paraId="4DFA3301">
      <w:pPr>
        <w:ind w:firstLine="422"/>
        <w:jc w:val="left"/>
        <w:rPr>
          <w:rFonts w:ascii="宋体" w:hAnsi="宋体"/>
          <w:kern w:val="44"/>
        </w:rPr>
      </w:pPr>
      <w:r>
        <w:rPr>
          <w:rFonts w:hint="eastAsia" w:ascii="宋体" w:hAnsi="宋体"/>
          <w:b/>
          <w:kern w:val="44"/>
        </w:rPr>
        <w:t>第十五条</w:t>
      </w:r>
      <w:r>
        <w:rPr>
          <w:rFonts w:hint="eastAsia" w:ascii="宋体" w:hAnsi="宋体"/>
          <w:kern w:val="44"/>
        </w:rPr>
        <w:t>　对给予本规定第十六条所列的行政处罚，以及对情节复杂或者重大违法行为给予其他较重的行政处罚，行政机关负责人应当集体讨论决定。法律、法规、规章规定应当经市或者区、县人民政府批准的行政处罚，应当报经批准后决定。</w:t>
      </w:r>
    </w:p>
    <w:p w14:paraId="5C558CF5">
      <w:pPr>
        <w:jc w:val="left"/>
        <w:rPr>
          <w:rFonts w:ascii="宋体" w:hAnsi="宋体"/>
          <w:kern w:val="44"/>
        </w:rPr>
      </w:pPr>
      <w:r>
        <w:rPr>
          <w:rFonts w:hint="eastAsia" w:ascii="宋体" w:hAnsi="宋体"/>
          <w:kern w:val="44"/>
        </w:rPr>
        <w:t>前款所称其他较重的行政处罚，由市级行政机关确定，并报市人民政府法制办公室备案。</w:t>
      </w:r>
    </w:p>
    <w:p w14:paraId="7942B199">
      <w:pPr>
        <w:ind w:firstLine="422"/>
        <w:jc w:val="left"/>
        <w:rPr>
          <w:rFonts w:ascii="宋体" w:hAnsi="宋体"/>
          <w:kern w:val="44"/>
        </w:rPr>
      </w:pPr>
      <w:r>
        <w:rPr>
          <w:rFonts w:hint="eastAsia" w:ascii="宋体" w:hAnsi="宋体"/>
          <w:b/>
          <w:kern w:val="44"/>
        </w:rPr>
        <w:t>第十六条</w:t>
      </w:r>
      <w:r>
        <w:rPr>
          <w:rFonts w:hint="eastAsia" w:ascii="宋体" w:hAnsi="宋体"/>
          <w:kern w:val="44"/>
        </w:rPr>
        <w:t>　行政机关在对当事人作出责令停产停业、吊销许可证或者执照、较大数额罚款等行政处罚决定前，应当告知当事人有要求举行听证的权利。</w:t>
      </w:r>
    </w:p>
    <w:p w14:paraId="28067A7A">
      <w:pPr>
        <w:jc w:val="left"/>
        <w:rPr>
          <w:rFonts w:ascii="宋体" w:hAnsi="宋体"/>
          <w:kern w:val="44"/>
        </w:rPr>
      </w:pPr>
      <w:r>
        <w:rPr>
          <w:rFonts w:hint="eastAsia" w:ascii="宋体" w:hAnsi="宋体"/>
          <w:kern w:val="44"/>
        </w:rPr>
        <w:t>听证的具体组织实施，按照行政处罚法和《北京市行政处罚听证程序实施办法》执行。</w:t>
      </w:r>
    </w:p>
    <w:p w14:paraId="21023E67">
      <w:pPr>
        <w:ind w:firstLine="422"/>
        <w:jc w:val="left"/>
        <w:rPr>
          <w:rFonts w:ascii="宋体" w:hAnsi="宋体"/>
          <w:kern w:val="44"/>
        </w:rPr>
      </w:pPr>
      <w:r>
        <w:rPr>
          <w:rFonts w:hint="eastAsia" w:ascii="宋体" w:hAnsi="宋体"/>
          <w:b/>
          <w:kern w:val="44"/>
        </w:rPr>
        <w:t>第十七条</w:t>
      </w:r>
      <w:r>
        <w:rPr>
          <w:rFonts w:hint="eastAsia" w:ascii="宋体" w:hAnsi="宋体"/>
          <w:kern w:val="44"/>
        </w:rPr>
        <w:t>　行政机关在作出行政处罚决定之前，必须告知当事人给予处罚的事实、理由和依据，听取当事人的陈述和申辩。</w:t>
      </w:r>
    </w:p>
    <w:p w14:paraId="1C256472">
      <w:pPr>
        <w:ind w:firstLine="422"/>
        <w:jc w:val="left"/>
        <w:rPr>
          <w:rFonts w:ascii="宋体" w:hAnsi="宋体"/>
          <w:kern w:val="44"/>
        </w:rPr>
      </w:pPr>
      <w:r>
        <w:rPr>
          <w:rFonts w:hint="eastAsia" w:ascii="宋体" w:hAnsi="宋体"/>
          <w:b/>
          <w:kern w:val="44"/>
        </w:rPr>
        <w:t>第十八条</w:t>
      </w:r>
      <w:r>
        <w:rPr>
          <w:rFonts w:hint="eastAsia" w:ascii="宋体" w:hAnsi="宋体"/>
          <w:kern w:val="44"/>
        </w:rPr>
        <w:t>　行政机关作出行政处罚决定，应当制作行政处罚决定书。行政处罚决定书应当载明下列事项：</w:t>
      </w:r>
    </w:p>
    <w:p w14:paraId="35B09A1F">
      <w:pPr>
        <w:jc w:val="left"/>
        <w:rPr>
          <w:rFonts w:ascii="宋体" w:hAnsi="宋体"/>
          <w:kern w:val="44"/>
        </w:rPr>
      </w:pPr>
      <w:r>
        <w:rPr>
          <w:rFonts w:hint="eastAsia" w:ascii="宋体" w:hAnsi="宋体"/>
          <w:kern w:val="44"/>
        </w:rPr>
        <w:t>（一）当事人的姓名或者名称、地址；</w:t>
      </w:r>
    </w:p>
    <w:p w14:paraId="6C1EA71C">
      <w:pPr>
        <w:jc w:val="left"/>
        <w:rPr>
          <w:rFonts w:ascii="宋体" w:hAnsi="宋体"/>
          <w:kern w:val="44"/>
        </w:rPr>
      </w:pPr>
      <w:r>
        <w:rPr>
          <w:rFonts w:hint="eastAsia" w:ascii="宋体" w:hAnsi="宋体"/>
          <w:kern w:val="44"/>
        </w:rPr>
        <w:t>（二）违法事实和证据；</w:t>
      </w:r>
    </w:p>
    <w:p w14:paraId="6BD93416">
      <w:pPr>
        <w:jc w:val="left"/>
        <w:rPr>
          <w:rFonts w:ascii="宋体" w:hAnsi="宋体"/>
          <w:kern w:val="44"/>
        </w:rPr>
      </w:pPr>
      <w:r>
        <w:rPr>
          <w:rFonts w:hint="eastAsia" w:ascii="宋体" w:hAnsi="宋体"/>
          <w:kern w:val="44"/>
        </w:rPr>
        <w:t>（三）行政处罚的种类、数额和依据；</w:t>
      </w:r>
    </w:p>
    <w:p w14:paraId="711A4248">
      <w:pPr>
        <w:jc w:val="left"/>
        <w:rPr>
          <w:rFonts w:ascii="宋体" w:hAnsi="宋体"/>
          <w:kern w:val="44"/>
        </w:rPr>
      </w:pPr>
      <w:r>
        <w:rPr>
          <w:rFonts w:hint="eastAsia" w:ascii="宋体" w:hAnsi="宋体"/>
          <w:kern w:val="44"/>
        </w:rPr>
        <w:t>（四）行政处罚的履行方式和期限；</w:t>
      </w:r>
    </w:p>
    <w:p w14:paraId="159009CA">
      <w:pPr>
        <w:jc w:val="left"/>
        <w:rPr>
          <w:rFonts w:ascii="宋体" w:hAnsi="宋体"/>
          <w:kern w:val="44"/>
        </w:rPr>
      </w:pPr>
      <w:r>
        <w:rPr>
          <w:rFonts w:hint="eastAsia" w:ascii="宋体" w:hAnsi="宋体"/>
          <w:kern w:val="44"/>
        </w:rPr>
        <w:t>（五）不服行政处罚决定，申请行政复议或者提起行政诉讼的途径和期限；</w:t>
      </w:r>
    </w:p>
    <w:p w14:paraId="7BFFCCBC">
      <w:pPr>
        <w:jc w:val="left"/>
        <w:rPr>
          <w:rFonts w:ascii="宋体" w:hAnsi="宋体"/>
          <w:kern w:val="44"/>
        </w:rPr>
      </w:pPr>
      <w:r>
        <w:rPr>
          <w:rFonts w:hint="eastAsia" w:ascii="宋体" w:hAnsi="宋体"/>
          <w:kern w:val="44"/>
        </w:rPr>
        <w:t>（六）作出行政处罚决定的行政机关名称和日期，并加盖行政机关印章。</w:t>
      </w:r>
    </w:p>
    <w:p w14:paraId="531182D5">
      <w:pPr>
        <w:jc w:val="left"/>
        <w:rPr>
          <w:rFonts w:ascii="宋体" w:hAnsi="宋体"/>
          <w:kern w:val="44"/>
        </w:rPr>
      </w:pPr>
      <w:r>
        <w:rPr>
          <w:rFonts w:hint="eastAsia" w:ascii="宋体" w:hAnsi="宋体"/>
          <w:kern w:val="44"/>
        </w:rPr>
        <w:t>经市或者区、县人民政府批准的行政处罚，应当在处罚决定书中写明。</w:t>
      </w:r>
    </w:p>
    <w:p w14:paraId="13B87124">
      <w:pPr>
        <w:ind w:firstLine="422"/>
        <w:jc w:val="left"/>
        <w:rPr>
          <w:rFonts w:ascii="宋体" w:hAnsi="宋体"/>
          <w:kern w:val="44"/>
        </w:rPr>
      </w:pPr>
      <w:r>
        <w:rPr>
          <w:rFonts w:hint="eastAsia" w:ascii="宋体" w:hAnsi="宋体"/>
          <w:b/>
          <w:kern w:val="44"/>
        </w:rPr>
        <w:t>第十九条</w:t>
      </w:r>
      <w:r>
        <w:rPr>
          <w:rFonts w:hint="eastAsia" w:ascii="宋体" w:hAnsi="宋体"/>
          <w:kern w:val="44"/>
        </w:rPr>
        <w:t>　行政处罚决定书应当向当事人宣告，并当场交付当事人；当事人不在场的，应当在7日内按照民事诉讼法的规定送达当事人或者当事人指定的代收人。送达处罚决定书，必须由受送达人或者代收人在送达回证上记明收到日期，并签名或者盖章。</w:t>
      </w:r>
    </w:p>
    <w:p w14:paraId="10E729E3">
      <w:pPr>
        <w:jc w:val="left"/>
        <w:rPr>
          <w:rFonts w:ascii="宋体" w:hAnsi="宋体"/>
          <w:kern w:val="44"/>
        </w:rPr>
      </w:pPr>
      <w:r>
        <w:rPr>
          <w:rFonts w:hint="eastAsia" w:ascii="宋体" w:hAnsi="宋体"/>
          <w:kern w:val="44"/>
        </w:rPr>
        <w:t>受送达人拒收处罚决定书的，送达人应当记明拒收的事由和日期，将处罚决定书留置受送达人住所或者收发部门，即视为送达。</w:t>
      </w:r>
    </w:p>
    <w:p w14:paraId="48A5A627">
      <w:pPr>
        <w:jc w:val="left"/>
        <w:rPr>
          <w:rFonts w:ascii="宋体" w:hAnsi="宋体"/>
          <w:kern w:val="44"/>
        </w:rPr>
      </w:pPr>
      <w:r>
        <w:rPr>
          <w:rFonts w:hint="eastAsia" w:ascii="宋体" w:hAnsi="宋体"/>
          <w:kern w:val="44"/>
        </w:rPr>
        <w:t>委托送达的，应当委托行政机关送达。邮寄送达的，必须有邮寄凭证。</w:t>
      </w:r>
    </w:p>
    <w:p w14:paraId="0324E99B">
      <w:pPr>
        <w:ind w:firstLine="422"/>
        <w:jc w:val="left"/>
        <w:rPr>
          <w:rFonts w:ascii="宋体" w:hAnsi="宋体"/>
          <w:kern w:val="44"/>
        </w:rPr>
      </w:pPr>
      <w:r>
        <w:rPr>
          <w:rFonts w:hint="eastAsia" w:ascii="宋体" w:hAnsi="宋体"/>
          <w:b/>
          <w:kern w:val="44"/>
        </w:rPr>
        <w:t>第二十条</w:t>
      </w:r>
      <w:r>
        <w:rPr>
          <w:rFonts w:hint="eastAsia" w:ascii="宋体" w:hAnsi="宋体"/>
          <w:kern w:val="44"/>
        </w:rPr>
        <w:t>　行政处罚决定依法作出后，当事人应当按照行政处罚决定书规定的内容、方式和期限，履行行政处罚决定。</w:t>
      </w:r>
    </w:p>
    <w:p w14:paraId="14BF7A36">
      <w:pPr>
        <w:jc w:val="left"/>
        <w:rPr>
          <w:rFonts w:ascii="宋体" w:hAnsi="宋体"/>
          <w:kern w:val="44"/>
        </w:rPr>
      </w:pPr>
      <w:r>
        <w:rPr>
          <w:rFonts w:hint="eastAsia" w:ascii="宋体" w:hAnsi="宋体"/>
          <w:kern w:val="44"/>
        </w:rPr>
        <w:t>当事人到期不缴纳罚款的，作出处罚决定的行政机关可以依法申请人民法院强制执行，并可以从逾期之日起每日按罚款数额的3％ 加处罚款。</w:t>
      </w:r>
    </w:p>
    <w:p w14:paraId="656C2F65">
      <w:pPr>
        <w:ind w:firstLine="422"/>
        <w:jc w:val="left"/>
        <w:rPr>
          <w:rFonts w:ascii="宋体" w:hAnsi="宋体"/>
          <w:kern w:val="44"/>
        </w:rPr>
      </w:pPr>
      <w:r>
        <w:rPr>
          <w:rFonts w:hint="eastAsia" w:ascii="宋体" w:hAnsi="宋体"/>
          <w:b/>
          <w:kern w:val="44"/>
        </w:rPr>
        <w:t>第二十一条</w:t>
      </w:r>
      <w:r>
        <w:rPr>
          <w:rFonts w:hint="eastAsia" w:ascii="宋体" w:hAnsi="宋体"/>
          <w:kern w:val="44"/>
        </w:rPr>
        <w:t>　当事人确有经济困难，需要延期或者分期缴纳罚款的，应当写出书面申请，提出具体、可行的延期或者分期缴纳罚款的计划，经作出处罚决定的行政机关批准，可以延期或者分期缴纳。</w:t>
      </w:r>
    </w:p>
    <w:p w14:paraId="5D6EAF04">
      <w:pPr>
        <w:ind w:firstLine="422"/>
        <w:jc w:val="left"/>
        <w:rPr>
          <w:rFonts w:ascii="宋体" w:hAnsi="宋体"/>
          <w:kern w:val="44"/>
        </w:rPr>
      </w:pPr>
      <w:r>
        <w:rPr>
          <w:rFonts w:hint="eastAsia" w:ascii="宋体" w:hAnsi="宋体"/>
          <w:b/>
          <w:kern w:val="44"/>
        </w:rPr>
        <w:t>第二十二条</w:t>
      </w:r>
      <w:r>
        <w:rPr>
          <w:rFonts w:hint="eastAsia" w:ascii="宋体" w:hAnsi="宋体"/>
          <w:kern w:val="44"/>
        </w:rPr>
        <w:t>　除行政处罚法规定可以当场收缴罚款的情形外，决定罚款的行政机关或者执法人员应当书面告知当事人向指定的银行缴纳罚款。</w:t>
      </w:r>
    </w:p>
    <w:p w14:paraId="350969BE">
      <w:pPr>
        <w:jc w:val="left"/>
        <w:rPr>
          <w:rFonts w:ascii="宋体" w:hAnsi="宋体"/>
          <w:kern w:val="44"/>
        </w:rPr>
      </w:pPr>
      <w:r>
        <w:rPr>
          <w:rFonts w:hint="eastAsia" w:ascii="宋体" w:hAnsi="宋体"/>
          <w:kern w:val="44"/>
        </w:rPr>
        <w:t>银行代收罚款的具体办法，按照国务院和市人民政府的规定执行。</w:t>
      </w:r>
    </w:p>
    <w:p w14:paraId="46C3320E">
      <w:pPr>
        <w:ind w:firstLine="422"/>
        <w:jc w:val="left"/>
        <w:rPr>
          <w:rFonts w:ascii="宋体" w:hAnsi="宋体"/>
          <w:kern w:val="44"/>
        </w:rPr>
      </w:pPr>
      <w:r>
        <w:rPr>
          <w:rFonts w:hint="eastAsia" w:ascii="宋体" w:hAnsi="宋体"/>
          <w:b/>
          <w:kern w:val="44"/>
        </w:rPr>
        <w:t>第二十三条</w:t>
      </w:r>
      <w:r>
        <w:rPr>
          <w:rFonts w:hint="eastAsia" w:ascii="宋体" w:hAnsi="宋体"/>
          <w:kern w:val="44"/>
        </w:rPr>
        <w:t>　行政机关及其执法人员违反本规定实施行政处罚，或者收缴罚没财物的，按照行政处罚法的规定追究法律责任。</w:t>
      </w:r>
    </w:p>
    <w:p w14:paraId="61CD1B08">
      <w:pPr>
        <w:ind w:firstLine="422"/>
        <w:jc w:val="left"/>
        <w:rPr>
          <w:rFonts w:ascii="宋体" w:hAnsi="宋体"/>
          <w:kern w:val="44"/>
        </w:rPr>
      </w:pPr>
      <w:r>
        <w:rPr>
          <w:rFonts w:hint="eastAsia" w:ascii="宋体" w:hAnsi="宋体"/>
          <w:b/>
          <w:kern w:val="44"/>
        </w:rPr>
        <w:t>第二十四条</w:t>
      </w:r>
      <w:r>
        <w:rPr>
          <w:rFonts w:hint="eastAsia" w:ascii="宋体" w:hAnsi="宋体"/>
          <w:kern w:val="44"/>
        </w:rPr>
        <w:t>　本规定自1996年10月1日起实施。1993年10月12日市人民政府发布的《北京市执行行政处罚若干规定》同时废止。</w:t>
      </w:r>
    </w:p>
    <w:p w14:paraId="03B69E4A">
      <w:pPr>
        <w:jc w:val="left"/>
        <w:rPr>
          <w:rFonts w:ascii="宋体" w:hAnsi="宋体"/>
          <w:kern w:val="44"/>
        </w:rPr>
      </w:pPr>
      <w:r>
        <w:rPr>
          <w:rFonts w:hint="eastAsia" w:ascii="宋体" w:hAnsi="宋体"/>
          <w:kern w:val="44"/>
        </w:rPr>
        <w:t>本规定公布前市属各行政机关以及各区、县人民政府制定的行政处罚程序，与行政处罚法和本规定不符合的，自本规定实施之日起，应当停止执行。</w:t>
      </w:r>
    </w:p>
    <w:p w14:paraId="25288C22">
      <w:pPr>
        <w:pStyle w:val="4"/>
        <w:pageBreakBefore/>
        <w:rPr>
          <w:kern w:val="44"/>
        </w:rPr>
      </w:pPr>
      <w:bookmarkStart w:id="293" w:name="_Toc427651421"/>
      <w:bookmarkStart w:id="294" w:name="_Toc427651763"/>
      <w:bookmarkStart w:id="295" w:name="_Toc428781469"/>
      <w:bookmarkStart w:id="296" w:name="_Toc428779987"/>
      <w:bookmarkStart w:id="297" w:name="_Toc422471105"/>
      <w:r>
        <w:rPr>
          <w:rFonts w:hint="eastAsia"/>
          <w:kern w:val="44"/>
        </w:rPr>
        <w:t>北京市行政区域界线管理办法</w:t>
      </w:r>
      <w:bookmarkEnd w:id="293"/>
      <w:bookmarkEnd w:id="294"/>
      <w:bookmarkEnd w:id="295"/>
      <w:bookmarkEnd w:id="296"/>
      <w:bookmarkEnd w:id="297"/>
    </w:p>
    <w:p w14:paraId="62637859">
      <w:pPr>
        <w:ind w:left="630" w:leftChars="300" w:right="630" w:rightChars="300"/>
        <w:jc w:val="left"/>
        <w:rPr>
          <w:rFonts w:ascii="楷体" w:hAnsi="楷体" w:eastAsia="楷体"/>
          <w:kern w:val="44"/>
        </w:rPr>
      </w:pPr>
      <w:r>
        <w:rPr>
          <w:rFonts w:hint="eastAsia" w:ascii="楷体" w:hAnsi="楷体" w:eastAsia="楷体"/>
          <w:kern w:val="44"/>
        </w:rPr>
        <w:t>（2004年12月21日北京市人民政府第34次常务会议通过  2004年12月30日北京市人民政府第153号令发布）</w:t>
      </w:r>
    </w:p>
    <w:p w14:paraId="3DEF3176">
      <w:pPr>
        <w:ind w:left="630" w:leftChars="300" w:right="630" w:rightChars="300"/>
        <w:jc w:val="left"/>
        <w:rPr>
          <w:rFonts w:ascii="楷体" w:hAnsi="楷体" w:eastAsia="楷体"/>
          <w:kern w:val="44"/>
        </w:rPr>
      </w:pPr>
    </w:p>
    <w:p w14:paraId="692B21B3">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为了加强本市行政区域界线管理，根据国务院《行政区域界线管理条例》的有关规定，结合本市实际情况，制定本办法。</w:t>
      </w:r>
    </w:p>
    <w:p w14:paraId="6DA02887">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本办法所称行政区域界线，是指依照法定权限和程序批准的，由行政区域毗邻的相关人民政府行使行政区域管辖权的分界线。</w:t>
      </w:r>
    </w:p>
    <w:p w14:paraId="6041FFF5">
      <w:pPr>
        <w:ind w:firstLine="422"/>
        <w:jc w:val="left"/>
        <w:rPr>
          <w:rFonts w:ascii="宋体" w:hAnsi="宋体"/>
          <w:kern w:val="44"/>
        </w:rPr>
      </w:pPr>
      <w:r>
        <w:rPr>
          <w:rFonts w:hint="eastAsia" w:ascii="宋体" w:hAnsi="宋体"/>
          <w:b/>
          <w:kern w:val="44"/>
        </w:rPr>
        <w:t>第三条</w:t>
      </w:r>
      <w:r>
        <w:rPr>
          <w:rFonts w:hint="eastAsia" w:ascii="宋体" w:hAnsi="宋体"/>
          <w:kern w:val="44"/>
        </w:rPr>
        <w:t>　本市各级人民政府应当严格执行行政区域界线批准文件和行政区域界线协议书的各项规定，维护行政区域界线的严肃性、稳定性。</w:t>
      </w:r>
    </w:p>
    <w:p w14:paraId="7C5DDEA3">
      <w:pPr>
        <w:ind w:firstLine="422"/>
        <w:jc w:val="left"/>
        <w:rPr>
          <w:rFonts w:ascii="宋体" w:hAnsi="宋体"/>
          <w:kern w:val="44"/>
        </w:rPr>
      </w:pPr>
      <w:r>
        <w:rPr>
          <w:rFonts w:hint="eastAsia" w:ascii="宋体" w:hAnsi="宋体"/>
          <w:b/>
          <w:kern w:val="44"/>
        </w:rPr>
        <w:t>第四条</w:t>
      </w:r>
      <w:r>
        <w:rPr>
          <w:rFonts w:hint="eastAsia" w:ascii="宋体" w:hAnsi="宋体"/>
          <w:kern w:val="44"/>
        </w:rPr>
        <w:t>　对依法公布的行政区域界线，区、县行政区域界线由毗邻的区、县人民政府共同管理；乡、镇行政区域界线由区、县人民政府组织毗邻的乡、镇人民政府共同管理。</w:t>
      </w:r>
    </w:p>
    <w:p w14:paraId="02D4FBBB">
      <w:pPr>
        <w:ind w:firstLine="422"/>
        <w:jc w:val="left"/>
        <w:rPr>
          <w:rFonts w:ascii="宋体" w:hAnsi="宋体"/>
          <w:kern w:val="44"/>
        </w:rPr>
      </w:pPr>
      <w:r>
        <w:rPr>
          <w:rFonts w:hint="eastAsia" w:ascii="宋体" w:hAnsi="宋体"/>
          <w:b/>
          <w:kern w:val="44"/>
        </w:rPr>
        <w:t>第五条</w:t>
      </w:r>
      <w:r>
        <w:rPr>
          <w:rFonts w:hint="eastAsia" w:ascii="宋体" w:hAnsi="宋体"/>
          <w:kern w:val="44"/>
        </w:rPr>
        <w:t>　市民政部门负责全市行政区域界线管理工作。区、县民政部门负责本行政区域界线管理工作。</w:t>
      </w:r>
    </w:p>
    <w:p w14:paraId="36052A0B">
      <w:pPr>
        <w:jc w:val="left"/>
        <w:rPr>
          <w:rFonts w:ascii="宋体" w:hAnsi="宋体"/>
          <w:kern w:val="44"/>
        </w:rPr>
      </w:pPr>
      <w:r>
        <w:rPr>
          <w:rFonts w:hint="eastAsia" w:ascii="宋体" w:hAnsi="宋体"/>
          <w:kern w:val="44"/>
        </w:rPr>
        <w:t>发展改革、规划、建设、国土资源等行政部门按照各自职责，做好本市的行政区域界线管理工作。</w:t>
      </w:r>
    </w:p>
    <w:p w14:paraId="72EA3CD5">
      <w:pPr>
        <w:ind w:firstLine="422"/>
        <w:jc w:val="left"/>
        <w:rPr>
          <w:rFonts w:ascii="宋体" w:hAnsi="宋体"/>
          <w:kern w:val="44"/>
        </w:rPr>
      </w:pPr>
      <w:r>
        <w:rPr>
          <w:rFonts w:hint="eastAsia" w:ascii="宋体" w:hAnsi="宋体"/>
          <w:b/>
          <w:kern w:val="44"/>
        </w:rPr>
        <w:t>第六条</w:t>
      </w:r>
      <w:r>
        <w:rPr>
          <w:rFonts w:hint="eastAsia" w:ascii="宋体" w:hAnsi="宋体"/>
          <w:kern w:val="44"/>
        </w:rPr>
        <w:t>　市和区、县民政部门应当根据工作需要，明确负责行政区域界线管理工作的机构或者人员。</w:t>
      </w:r>
    </w:p>
    <w:p w14:paraId="3F3F9271">
      <w:pPr>
        <w:jc w:val="left"/>
        <w:rPr>
          <w:rFonts w:ascii="宋体" w:hAnsi="宋体"/>
          <w:kern w:val="44"/>
        </w:rPr>
      </w:pPr>
      <w:r>
        <w:rPr>
          <w:rFonts w:hint="eastAsia" w:ascii="宋体" w:hAnsi="宋体"/>
          <w:kern w:val="44"/>
        </w:rPr>
        <w:t>市和区、县民政部门行政区域界线管理工作所需经费应当列入本级人民政府财政预算，由本级财政予以保障。</w:t>
      </w:r>
    </w:p>
    <w:p w14:paraId="68040DD9">
      <w:pPr>
        <w:ind w:firstLine="422"/>
        <w:jc w:val="left"/>
        <w:rPr>
          <w:rFonts w:ascii="宋体" w:hAnsi="宋体"/>
          <w:kern w:val="44"/>
        </w:rPr>
      </w:pPr>
      <w:r>
        <w:rPr>
          <w:rFonts w:hint="eastAsia" w:ascii="宋体" w:hAnsi="宋体"/>
          <w:b/>
          <w:kern w:val="44"/>
        </w:rPr>
        <w:t>第七条</w:t>
      </w:r>
      <w:r>
        <w:rPr>
          <w:rFonts w:hint="eastAsia" w:ascii="宋体" w:hAnsi="宋体"/>
          <w:kern w:val="44"/>
        </w:rPr>
        <w:t>　行政区域界线的实地位置，以界桩和作为行政区域界线标志的河流、沟渠、道路等线状地物，以及行政区域界线协议书中明确规定作为指示行政区域界线走向的其他标志物标定。</w:t>
      </w:r>
    </w:p>
    <w:p w14:paraId="44378521">
      <w:pPr>
        <w:jc w:val="left"/>
        <w:rPr>
          <w:rFonts w:ascii="宋体" w:hAnsi="宋体"/>
          <w:kern w:val="44"/>
        </w:rPr>
      </w:pPr>
      <w:r>
        <w:rPr>
          <w:rFonts w:hint="eastAsia" w:ascii="宋体" w:hAnsi="宋体"/>
          <w:kern w:val="44"/>
        </w:rPr>
        <w:t>行政区域界线标志物的管理工作由毗邻的区、县人民政府签订协议书，实行分工管理。</w:t>
      </w:r>
    </w:p>
    <w:p w14:paraId="58E8F095">
      <w:pPr>
        <w:ind w:firstLine="422"/>
        <w:jc w:val="left"/>
        <w:rPr>
          <w:rFonts w:ascii="宋体" w:hAnsi="宋体"/>
          <w:kern w:val="44"/>
        </w:rPr>
      </w:pPr>
      <w:r>
        <w:rPr>
          <w:rFonts w:hint="eastAsia" w:ascii="宋体" w:hAnsi="宋体"/>
          <w:b/>
          <w:kern w:val="44"/>
        </w:rPr>
        <w:t>第八条</w:t>
      </w:r>
      <w:r>
        <w:rPr>
          <w:rFonts w:hint="eastAsia" w:ascii="宋体" w:hAnsi="宋体"/>
          <w:kern w:val="44"/>
        </w:rPr>
        <w:t>　任何单位和个人不得损毁界桩。</w:t>
      </w:r>
    </w:p>
    <w:p w14:paraId="289B9F1A">
      <w:pPr>
        <w:jc w:val="left"/>
        <w:rPr>
          <w:rFonts w:ascii="宋体" w:hAnsi="宋体"/>
          <w:kern w:val="44"/>
        </w:rPr>
      </w:pPr>
      <w:r>
        <w:rPr>
          <w:rFonts w:hint="eastAsia" w:ascii="宋体" w:hAnsi="宋体"/>
          <w:kern w:val="44"/>
        </w:rPr>
        <w:t>界桩损坏的，界桩管理责任方应当在原地修复；不能在原地修复的，界桩管理责任方应当与毗邻方协商另选适当地点埋设，但不得改变行政区域界线协议书中确定的实地位置。界桩埋设地点确定后，界桩管理责任方与毗邻方应当签订界桩移动协议书，确定界桩埋设方案及相关费用承担等事项。界桩埋设工作完成后，界桩管理责任方与毗邻方应当及时测绘，制作界桩登记表和成果表。</w:t>
      </w:r>
    </w:p>
    <w:p w14:paraId="3BF44B18">
      <w:pPr>
        <w:jc w:val="left"/>
        <w:rPr>
          <w:rFonts w:ascii="宋体" w:hAnsi="宋体"/>
          <w:kern w:val="44"/>
        </w:rPr>
      </w:pPr>
      <w:r>
        <w:rPr>
          <w:rFonts w:hint="eastAsia" w:ascii="宋体" w:hAnsi="宋体"/>
          <w:kern w:val="44"/>
        </w:rPr>
        <w:t>界桩管理责任方应当及时将界桩移动协议书、界桩登记表和成果表报该行政区域界线批准机关备案。</w:t>
      </w:r>
    </w:p>
    <w:p w14:paraId="13326476">
      <w:pPr>
        <w:ind w:firstLine="422"/>
        <w:jc w:val="left"/>
        <w:rPr>
          <w:rFonts w:ascii="宋体" w:hAnsi="宋体"/>
          <w:kern w:val="44"/>
        </w:rPr>
      </w:pPr>
      <w:r>
        <w:rPr>
          <w:rFonts w:hint="eastAsia" w:ascii="宋体" w:hAnsi="宋体"/>
          <w:b/>
          <w:kern w:val="44"/>
        </w:rPr>
        <w:t>第九条</w:t>
      </w:r>
      <w:r>
        <w:rPr>
          <w:rFonts w:hint="eastAsia" w:ascii="宋体" w:hAnsi="宋体"/>
          <w:kern w:val="44"/>
        </w:rPr>
        <w:t>　任何单位和个人不得擅自移动界桩。依法移动界桩的，不得改变行政区域界线的实地位置。</w:t>
      </w:r>
    </w:p>
    <w:p w14:paraId="08569349">
      <w:pPr>
        <w:jc w:val="left"/>
        <w:rPr>
          <w:rFonts w:ascii="宋体" w:hAnsi="宋体"/>
          <w:kern w:val="44"/>
        </w:rPr>
      </w:pPr>
      <w:r>
        <w:rPr>
          <w:rFonts w:hint="eastAsia" w:ascii="宋体" w:hAnsi="宋体"/>
          <w:kern w:val="44"/>
        </w:rPr>
        <w:t>因建设、开发等原因需要移动界桩的，由建设单位向该行政区域界线毗邻一方的区、县民政部门提交移动界桩的申请，行政区域界线毗邻的区、县人民政府共同协商确定新的埋设地点后，按照本办法第八条第二款、第三款的规定埋设新界桩，并将有关文件报该行政区域界线批准机关备案。移动界桩所需费用，由建设单位承担。</w:t>
      </w:r>
    </w:p>
    <w:p w14:paraId="436C5310">
      <w:pPr>
        <w:ind w:firstLine="422"/>
        <w:jc w:val="left"/>
        <w:rPr>
          <w:rFonts w:ascii="宋体" w:hAnsi="宋体"/>
          <w:kern w:val="44"/>
        </w:rPr>
      </w:pPr>
      <w:r>
        <w:rPr>
          <w:rFonts w:hint="eastAsia" w:ascii="宋体" w:hAnsi="宋体"/>
          <w:b/>
          <w:kern w:val="44"/>
        </w:rPr>
        <w:t>第十条</w:t>
      </w:r>
      <w:r>
        <w:rPr>
          <w:rFonts w:hint="eastAsia" w:ascii="宋体" w:hAnsi="宋体"/>
          <w:kern w:val="44"/>
        </w:rPr>
        <w:t>　行政区域界线线状标志物和其他标志物发生改变的，管理责任方应当及时通知毗邻的区、县人民政府，在保持行政区域界线实地位置不变的前提下，协商确定新的标志物。</w:t>
      </w:r>
    </w:p>
    <w:p w14:paraId="11F4A965">
      <w:pPr>
        <w:jc w:val="left"/>
        <w:rPr>
          <w:rFonts w:ascii="宋体" w:hAnsi="宋体"/>
          <w:kern w:val="44"/>
        </w:rPr>
      </w:pPr>
      <w:r>
        <w:rPr>
          <w:rFonts w:hint="eastAsia" w:ascii="宋体" w:hAnsi="宋体"/>
          <w:kern w:val="44"/>
        </w:rPr>
        <w:t>毗邻的区、县民政部门对新的标志物应当共同进行测绘，增补行政区域界线档案资料，并报该行政区域界线批准机关备案。</w:t>
      </w:r>
    </w:p>
    <w:p w14:paraId="34236C11">
      <w:pPr>
        <w:ind w:firstLine="422"/>
        <w:jc w:val="left"/>
        <w:rPr>
          <w:rFonts w:ascii="宋体" w:hAnsi="宋体"/>
          <w:kern w:val="44"/>
        </w:rPr>
      </w:pPr>
      <w:r>
        <w:rPr>
          <w:rFonts w:hint="eastAsia" w:ascii="宋体" w:hAnsi="宋体"/>
          <w:b/>
          <w:kern w:val="44"/>
        </w:rPr>
        <w:t>第十一条</w:t>
      </w:r>
      <w:r>
        <w:rPr>
          <w:rFonts w:hint="eastAsia" w:ascii="宋体" w:hAnsi="宋体"/>
          <w:kern w:val="44"/>
        </w:rPr>
        <w:t>　生产、建设用地确需横跨行政区域界线的，规划行政主管部门应当在批准过程中告知相关区、县人民政府。横跨行政区域界线涉及的地区，由相关区、县人民政府按照法定行政区域界线履行行政管理职能。</w:t>
      </w:r>
    </w:p>
    <w:p w14:paraId="24F09FEC">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本市行政区域内的区、县行政区域界线，由市民政部门组织区、县民政部门进行定期联合检查；乡、镇行政区域界线，由区、县民政部门组织乡、镇人民政府进行定期联合检查。</w:t>
      </w:r>
    </w:p>
    <w:p w14:paraId="3FA05DF6">
      <w:pPr>
        <w:jc w:val="left"/>
        <w:rPr>
          <w:rFonts w:ascii="宋体" w:hAnsi="宋体"/>
          <w:kern w:val="44"/>
        </w:rPr>
      </w:pPr>
      <w:r>
        <w:rPr>
          <w:rFonts w:hint="eastAsia" w:ascii="宋体" w:hAnsi="宋体"/>
          <w:kern w:val="44"/>
        </w:rPr>
        <w:t>遇有自然灾害、河流改道、道路变化、城市建设等影响行政区域界线实地走向的特殊情况，由该行政区域界线毗邻的区、县民政部门共同对行政区域界线的特定地段随时安排联合检查，填写实地检查表，报该行政区域界线批准机关备案。</w:t>
      </w:r>
    </w:p>
    <w:p w14:paraId="61932A75">
      <w:pPr>
        <w:ind w:firstLine="422"/>
        <w:jc w:val="left"/>
        <w:rPr>
          <w:rFonts w:ascii="宋体" w:hAnsi="宋体"/>
          <w:kern w:val="44"/>
        </w:rPr>
      </w:pPr>
      <w:r>
        <w:rPr>
          <w:rFonts w:hint="eastAsia" w:ascii="宋体" w:hAnsi="宋体"/>
          <w:b/>
          <w:kern w:val="44"/>
        </w:rPr>
        <w:t>第十三条</w:t>
      </w:r>
      <w:r>
        <w:rPr>
          <w:rFonts w:hint="eastAsia" w:ascii="宋体" w:hAnsi="宋体"/>
          <w:kern w:val="44"/>
        </w:rPr>
        <w:t>　区、县民政部门联合完成行政区域界线实地检查后，应当及时填写实地检查表。</w:t>
      </w:r>
    </w:p>
    <w:p w14:paraId="03796564">
      <w:pPr>
        <w:jc w:val="left"/>
        <w:rPr>
          <w:rFonts w:ascii="宋体" w:hAnsi="宋体"/>
          <w:kern w:val="44"/>
        </w:rPr>
      </w:pPr>
      <w:r>
        <w:rPr>
          <w:rFonts w:hint="eastAsia" w:ascii="宋体" w:hAnsi="宋体"/>
          <w:kern w:val="44"/>
        </w:rPr>
        <w:t>行政区域界线实地走向难以辨认的，毗邻各方民政部门应当及时组织修测，增设标志物，增补档案资料。</w:t>
      </w:r>
    </w:p>
    <w:p w14:paraId="00C7FC77">
      <w:pPr>
        <w:jc w:val="left"/>
        <w:rPr>
          <w:rFonts w:ascii="宋体" w:hAnsi="宋体"/>
          <w:kern w:val="44"/>
        </w:rPr>
      </w:pPr>
      <w:r>
        <w:rPr>
          <w:rFonts w:hint="eastAsia" w:ascii="宋体" w:hAnsi="宋体"/>
          <w:kern w:val="44"/>
        </w:rPr>
        <w:t>界桩损坏、丢失，其他界线标志物发生变化，越界侵权等问题，由联合检查的相关区、县人民政府负责协商解决。</w:t>
      </w:r>
    </w:p>
    <w:p w14:paraId="7FD8D1BF">
      <w:pPr>
        <w:ind w:firstLine="422"/>
        <w:jc w:val="left"/>
        <w:rPr>
          <w:rFonts w:ascii="宋体" w:hAnsi="宋体"/>
          <w:kern w:val="44"/>
        </w:rPr>
      </w:pPr>
      <w:r>
        <w:rPr>
          <w:rFonts w:hint="eastAsia" w:ascii="宋体" w:hAnsi="宋体"/>
          <w:b/>
          <w:kern w:val="44"/>
        </w:rPr>
        <w:t>第十四条</w:t>
      </w:r>
      <w:r>
        <w:rPr>
          <w:rFonts w:hint="eastAsia" w:ascii="宋体" w:hAnsi="宋体"/>
          <w:kern w:val="44"/>
        </w:rPr>
        <w:t>　勘定行政区域界线以及行政区域界线管理中形成的协议书、工作图、界线标志记录、备案材料、批准文件以及其他有关材料，应当按照有关档案管理的法律、法规，立卷归档，妥善保管。</w:t>
      </w:r>
    </w:p>
    <w:p w14:paraId="3EF6B762">
      <w:pPr>
        <w:ind w:firstLine="422"/>
        <w:jc w:val="left"/>
        <w:rPr>
          <w:rFonts w:ascii="宋体" w:hAnsi="宋体"/>
          <w:kern w:val="44"/>
        </w:rPr>
      </w:pPr>
      <w:r>
        <w:rPr>
          <w:rFonts w:hint="eastAsia" w:ascii="宋体" w:hAnsi="宋体"/>
          <w:b/>
          <w:kern w:val="44"/>
        </w:rPr>
        <w:t>第十五条</w:t>
      </w:r>
      <w:r>
        <w:rPr>
          <w:rFonts w:hint="eastAsia" w:ascii="宋体" w:hAnsi="宋体"/>
          <w:kern w:val="44"/>
        </w:rPr>
        <w:t>　涉及行政区域界线的地图，其行政区域界线的画法应当与行政区域界线详图或者行政区划图一致。</w:t>
      </w:r>
    </w:p>
    <w:p w14:paraId="2585C753">
      <w:pPr>
        <w:ind w:firstLine="422"/>
        <w:jc w:val="left"/>
        <w:rPr>
          <w:rFonts w:ascii="宋体" w:hAnsi="宋体"/>
          <w:kern w:val="44"/>
        </w:rPr>
      </w:pPr>
      <w:r>
        <w:rPr>
          <w:rFonts w:hint="eastAsia" w:ascii="宋体" w:hAnsi="宋体"/>
          <w:b/>
          <w:kern w:val="44"/>
        </w:rPr>
        <w:t>第十六条</w:t>
      </w:r>
      <w:r>
        <w:rPr>
          <w:rFonts w:hint="eastAsia" w:ascii="宋体" w:hAnsi="宋体"/>
          <w:kern w:val="44"/>
        </w:rPr>
        <w:t>　违反本办法的规定，有关国家机关工作人员在行政区域界线管理中有下列行为之一的，根据不同情节，依法给予行政处分；构成犯罪的，依法追究刑事责任：</w:t>
      </w:r>
    </w:p>
    <w:p w14:paraId="7E9A04FD">
      <w:pPr>
        <w:jc w:val="left"/>
        <w:rPr>
          <w:rFonts w:ascii="宋体" w:hAnsi="宋体"/>
          <w:kern w:val="44"/>
        </w:rPr>
      </w:pPr>
      <w:r>
        <w:rPr>
          <w:rFonts w:hint="eastAsia" w:ascii="宋体" w:hAnsi="宋体"/>
          <w:kern w:val="44"/>
        </w:rPr>
        <w:t>（一）不履行行政区域界线批准文件和行政区域界线协议书规定的义务，或者不执行行政区域界线批准机关决定的；</w:t>
      </w:r>
    </w:p>
    <w:p w14:paraId="3C83C70A">
      <w:pPr>
        <w:jc w:val="left"/>
        <w:rPr>
          <w:rFonts w:ascii="宋体" w:hAnsi="宋体"/>
          <w:kern w:val="44"/>
        </w:rPr>
      </w:pPr>
      <w:r>
        <w:rPr>
          <w:rFonts w:hint="eastAsia" w:ascii="宋体" w:hAnsi="宋体"/>
          <w:kern w:val="44"/>
        </w:rPr>
        <w:t>（二）擅自移动、改变行政区域界线标志，或者命令、指使他人擅自移动、改变行政区域界线标志，或者发现他人擅自移动、改变行政区域界线标志不予制止的；</w:t>
      </w:r>
    </w:p>
    <w:p w14:paraId="00E96DF8">
      <w:pPr>
        <w:jc w:val="left"/>
        <w:rPr>
          <w:rFonts w:ascii="宋体" w:hAnsi="宋体"/>
          <w:kern w:val="44"/>
        </w:rPr>
      </w:pPr>
      <w:r>
        <w:rPr>
          <w:rFonts w:hint="eastAsia" w:ascii="宋体" w:hAnsi="宋体"/>
          <w:kern w:val="44"/>
        </w:rPr>
        <w:t>（三）不履行维护界桩的义务，造成界桩丢失、损坏的；</w:t>
      </w:r>
    </w:p>
    <w:p w14:paraId="4484E2A6">
      <w:pPr>
        <w:jc w:val="left"/>
        <w:rPr>
          <w:rFonts w:ascii="宋体" w:hAnsi="宋体"/>
          <w:kern w:val="44"/>
        </w:rPr>
      </w:pPr>
      <w:r>
        <w:rPr>
          <w:rFonts w:hint="eastAsia" w:ascii="宋体" w:hAnsi="宋体"/>
          <w:kern w:val="44"/>
        </w:rPr>
        <w:t>（四）对生产、建设用地横跨行政区域界线涉及的地区不履行行政管理职能，造成管理混乱，影响社会稳定的。</w:t>
      </w:r>
    </w:p>
    <w:p w14:paraId="05A205A7">
      <w:pPr>
        <w:ind w:firstLine="422"/>
        <w:jc w:val="left"/>
        <w:rPr>
          <w:rFonts w:ascii="宋体" w:hAnsi="宋体"/>
          <w:kern w:val="44"/>
        </w:rPr>
      </w:pPr>
      <w:r>
        <w:rPr>
          <w:rFonts w:hint="eastAsia" w:ascii="宋体" w:hAnsi="宋体"/>
          <w:b/>
          <w:kern w:val="44"/>
        </w:rPr>
        <w:t>第十七条</w:t>
      </w:r>
      <w:r>
        <w:rPr>
          <w:rFonts w:hint="eastAsia" w:ascii="宋体" w:hAnsi="宋体"/>
          <w:kern w:val="44"/>
        </w:rPr>
        <w:t>　违反本办法第八条第一款、第九条第一款的规定，损毁或者擅自移动界桩的，当事人应当支付修复或者恢复界桩的费用，并由负责管理该界桩的区、县民政部门处500元以上1000元以下罚款；属于违反治安管理行为的，由公安机关依法处理。</w:t>
      </w:r>
    </w:p>
    <w:p w14:paraId="5BCC52AC">
      <w:pPr>
        <w:ind w:firstLine="422"/>
        <w:jc w:val="left"/>
        <w:rPr>
          <w:rFonts w:ascii="宋体" w:hAnsi="宋体"/>
          <w:kern w:val="44"/>
        </w:rPr>
      </w:pPr>
      <w:r>
        <w:rPr>
          <w:rFonts w:hint="eastAsia" w:ascii="宋体" w:hAnsi="宋体"/>
          <w:b/>
          <w:kern w:val="44"/>
        </w:rPr>
        <w:t>第十八条</w:t>
      </w:r>
      <w:r>
        <w:rPr>
          <w:rFonts w:hint="eastAsia" w:ascii="宋体" w:hAnsi="宋体"/>
          <w:kern w:val="44"/>
        </w:rPr>
        <w:t>　乡、镇人民政府与街道办事处之间以及街道办事处之间的行政管辖范围的分界线的管理，参照本办法执行。</w:t>
      </w:r>
    </w:p>
    <w:p w14:paraId="04BEDD1A">
      <w:pPr>
        <w:ind w:firstLine="422"/>
        <w:jc w:val="left"/>
        <w:rPr>
          <w:rFonts w:ascii="宋体" w:hAnsi="宋体"/>
          <w:kern w:val="44"/>
        </w:rPr>
      </w:pPr>
      <w:r>
        <w:rPr>
          <w:rFonts w:hint="eastAsia" w:ascii="宋体" w:hAnsi="宋体"/>
          <w:b/>
          <w:kern w:val="44"/>
        </w:rPr>
        <w:t>第十九条</w:t>
      </w:r>
      <w:r>
        <w:rPr>
          <w:rFonts w:hint="eastAsia" w:ascii="宋体" w:hAnsi="宋体"/>
          <w:kern w:val="44"/>
        </w:rPr>
        <w:t>　本办法自2005年3月1日起施行。</w:t>
      </w:r>
    </w:p>
    <w:p w14:paraId="2153BF05">
      <w:pPr>
        <w:pStyle w:val="4"/>
        <w:pageBreakBefore/>
        <w:rPr>
          <w:kern w:val="44"/>
        </w:rPr>
      </w:pPr>
      <w:bookmarkStart w:id="298" w:name="_Toc422471106"/>
      <w:bookmarkStart w:id="299" w:name="_Toc428781470"/>
      <w:bookmarkStart w:id="300" w:name="_Toc427651764"/>
      <w:bookmarkStart w:id="301" w:name="_Toc428779988"/>
      <w:bookmarkStart w:id="302" w:name="_Toc427651422"/>
      <w:r>
        <w:rPr>
          <w:rFonts w:hint="eastAsia"/>
          <w:kern w:val="44"/>
        </w:rPr>
        <w:t>北京市行政问责办法</w:t>
      </w:r>
      <w:bookmarkEnd w:id="298"/>
      <w:bookmarkEnd w:id="299"/>
      <w:bookmarkEnd w:id="300"/>
      <w:bookmarkEnd w:id="301"/>
      <w:bookmarkEnd w:id="302"/>
    </w:p>
    <w:p w14:paraId="11E3841B">
      <w:pPr>
        <w:ind w:left="630" w:leftChars="300" w:right="630" w:rightChars="300"/>
        <w:jc w:val="left"/>
        <w:rPr>
          <w:rFonts w:ascii="楷体" w:hAnsi="楷体" w:eastAsia="楷体"/>
          <w:kern w:val="44"/>
        </w:rPr>
      </w:pPr>
      <w:r>
        <w:rPr>
          <w:rFonts w:hint="eastAsia" w:ascii="楷体" w:hAnsi="楷体" w:eastAsia="楷体"/>
          <w:kern w:val="44"/>
        </w:rPr>
        <w:t>（2011年5月19日北京市人民政府第93次常务会议审议通过  2011年6月16日北京市人民政府第233号令公布）</w:t>
      </w:r>
    </w:p>
    <w:p w14:paraId="5E92D5D4">
      <w:pPr>
        <w:ind w:left="630" w:leftChars="300" w:right="630" w:rightChars="300"/>
        <w:jc w:val="left"/>
        <w:rPr>
          <w:rFonts w:ascii="楷体" w:hAnsi="楷体" w:eastAsia="楷体"/>
          <w:kern w:val="44"/>
        </w:rPr>
      </w:pPr>
    </w:p>
    <w:p w14:paraId="21E85C1A">
      <w:pPr>
        <w:ind w:firstLine="0" w:firstLineChars="0"/>
        <w:jc w:val="center"/>
        <w:rPr>
          <w:rFonts w:ascii="宋体" w:hAnsi="宋体"/>
          <w:b/>
          <w:kern w:val="44"/>
          <w:sz w:val="28"/>
        </w:rPr>
      </w:pPr>
      <w:r>
        <w:rPr>
          <w:rFonts w:hint="eastAsia" w:ascii="宋体" w:hAnsi="宋体"/>
          <w:b/>
          <w:kern w:val="44"/>
          <w:sz w:val="28"/>
        </w:rPr>
        <w:t>第一章　总　则</w:t>
      </w:r>
    </w:p>
    <w:p w14:paraId="433BD68D">
      <w:pPr>
        <w:jc w:val="left"/>
        <w:rPr>
          <w:rFonts w:ascii="宋体" w:hAnsi="宋体"/>
          <w:kern w:val="44"/>
        </w:rPr>
      </w:pPr>
    </w:p>
    <w:p w14:paraId="219C7BF4">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为了加强对行政人员的管理和监督，促进行政人员依法履行行政职责，推进依法行政，建设法治政府，根据有关法律、法规，结合本市实际情况，制定本办法。</w:t>
      </w:r>
    </w:p>
    <w:p w14:paraId="65EECE1E">
      <w:pPr>
        <w:ind w:firstLine="422"/>
        <w:jc w:val="left"/>
        <w:rPr>
          <w:rFonts w:ascii="宋体" w:hAnsi="宋体"/>
          <w:kern w:val="44"/>
        </w:rPr>
      </w:pPr>
      <w:r>
        <w:rPr>
          <w:rFonts w:hint="eastAsia" w:ascii="宋体" w:hAnsi="宋体"/>
          <w:b/>
          <w:kern w:val="44"/>
        </w:rPr>
        <w:t>第二条</w:t>
      </w:r>
      <w:r>
        <w:rPr>
          <w:rFonts w:hint="eastAsia" w:ascii="宋体" w:hAnsi="宋体"/>
          <w:kern w:val="44"/>
        </w:rPr>
        <w:t>　本市各级行政机关的工作人员和法律、法规授权的具有公共事务管理职能的组织及国家行政机关依法委托从事公共事务管理活动的组织中从事公务的人员（以下统称行政人员）不履行、违法履行、不当履行行政职责，导致国家利益、公共利益或者公民、法人和其他组织的合法权益受到损害，或者造成不良影响，依照本办法规定追究责任。</w:t>
      </w:r>
    </w:p>
    <w:p w14:paraId="62471550">
      <w:pPr>
        <w:ind w:firstLine="422"/>
        <w:jc w:val="left"/>
        <w:rPr>
          <w:rFonts w:ascii="宋体" w:hAnsi="宋体"/>
          <w:kern w:val="44"/>
        </w:rPr>
      </w:pPr>
      <w:r>
        <w:rPr>
          <w:rFonts w:hint="eastAsia" w:ascii="宋体" w:hAnsi="宋体"/>
          <w:b/>
          <w:kern w:val="44"/>
        </w:rPr>
        <w:t>第三条</w:t>
      </w:r>
      <w:r>
        <w:rPr>
          <w:rFonts w:hint="eastAsia" w:ascii="宋体" w:hAnsi="宋体"/>
          <w:kern w:val="44"/>
        </w:rPr>
        <w:t>　市人民政府统一领导本市行政问责工作。市人民政府工作部门、区县人民政府及其工作部门和乡镇人民政府、街道办事处按照干部管理权限负责行政问责工作的实施。</w:t>
      </w:r>
    </w:p>
    <w:p w14:paraId="58D618A9">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市和区、县监察机关在行政问责工作中履行下列职责：</w:t>
      </w:r>
    </w:p>
    <w:p w14:paraId="0171D8F6">
      <w:pPr>
        <w:jc w:val="left"/>
        <w:rPr>
          <w:rFonts w:ascii="宋体" w:hAnsi="宋体"/>
          <w:kern w:val="44"/>
        </w:rPr>
      </w:pPr>
      <w:r>
        <w:rPr>
          <w:rFonts w:hint="eastAsia" w:ascii="宋体" w:hAnsi="宋体"/>
          <w:kern w:val="44"/>
        </w:rPr>
        <w:t>（一）指导、监督本级人民政府工作部门的行政问责工作；</w:t>
      </w:r>
    </w:p>
    <w:p w14:paraId="2C3C6F98">
      <w:pPr>
        <w:jc w:val="left"/>
        <w:rPr>
          <w:rFonts w:ascii="宋体" w:hAnsi="宋体"/>
          <w:kern w:val="44"/>
        </w:rPr>
      </w:pPr>
      <w:r>
        <w:rPr>
          <w:rFonts w:hint="eastAsia" w:ascii="宋体" w:hAnsi="宋体"/>
          <w:kern w:val="44"/>
        </w:rPr>
        <w:t>（二）研究行政问责工作中出现的重大问题，并向本级人民政府提出相应建议；</w:t>
      </w:r>
    </w:p>
    <w:p w14:paraId="3AE3E28B">
      <w:pPr>
        <w:jc w:val="left"/>
        <w:rPr>
          <w:rFonts w:ascii="宋体" w:hAnsi="宋体"/>
          <w:kern w:val="44"/>
        </w:rPr>
      </w:pPr>
      <w:r>
        <w:rPr>
          <w:rFonts w:hint="eastAsia" w:ascii="宋体" w:hAnsi="宋体"/>
          <w:kern w:val="44"/>
        </w:rPr>
        <w:t>（三）负责受理、调查按照干部管理权限应当由本级人民政府作出处理决定的行政问责案件，并提出处理建议；</w:t>
      </w:r>
    </w:p>
    <w:p w14:paraId="1FDA2A27">
      <w:pPr>
        <w:jc w:val="left"/>
        <w:rPr>
          <w:rFonts w:ascii="宋体" w:hAnsi="宋体"/>
          <w:kern w:val="44"/>
        </w:rPr>
      </w:pPr>
      <w:r>
        <w:rPr>
          <w:rFonts w:hint="eastAsia" w:ascii="宋体" w:hAnsi="宋体"/>
          <w:kern w:val="44"/>
        </w:rPr>
        <w:t>（四）统计、分析本行政区域行政问责的处理情况；</w:t>
      </w:r>
    </w:p>
    <w:p w14:paraId="4BDF6122">
      <w:pPr>
        <w:jc w:val="left"/>
        <w:rPr>
          <w:rFonts w:ascii="宋体" w:hAnsi="宋体"/>
          <w:kern w:val="44"/>
        </w:rPr>
      </w:pPr>
      <w:r>
        <w:rPr>
          <w:rFonts w:hint="eastAsia" w:ascii="宋体" w:hAnsi="宋体"/>
          <w:kern w:val="44"/>
        </w:rPr>
        <w:t>（五）本级人民政府交办的其他行政问责工作。</w:t>
      </w:r>
    </w:p>
    <w:p w14:paraId="0C7DAD15">
      <w:pPr>
        <w:jc w:val="left"/>
        <w:rPr>
          <w:rFonts w:ascii="宋体" w:hAnsi="宋体"/>
          <w:kern w:val="44"/>
        </w:rPr>
      </w:pPr>
      <w:r>
        <w:rPr>
          <w:rFonts w:hint="eastAsia" w:ascii="宋体" w:hAnsi="宋体"/>
          <w:kern w:val="44"/>
        </w:rPr>
        <w:t>其他行政机关应当建立健全工作责任制，明确监察、法制、人事等部门或者机构在行政问责工作中的职责，负责受理投诉、控告和检举，开展调查，提出拟处理意见等工作。</w:t>
      </w:r>
    </w:p>
    <w:p w14:paraId="669405FE">
      <w:pPr>
        <w:ind w:firstLine="422"/>
        <w:jc w:val="left"/>
        <w:rPr>
          <w:rFonts w:ascii="宋体" w:hAnsi="宋体"/>
          <w:kern w:val="44"/>
        </w:rPr>
      </w:pPr>
      <w:r>
        <w:rPr>
          <w:rFonts w:hint="eastAsia" w:ascii="宋体" w:hAnsi="宋体"/>
          <w:b/>
          <w:kern w:val="44"/>
        </w:rPr>
        <w:t>第五条</w:t>
      </w:r>
      <w:r>
        <w:rPr>
          <w:rFonts w:hint="eastAsia" w:ascii="宋体" w:hAnsi="宋体"/>
          <w:kern w:val="44"/>
        </w:rPr>
        <w:t>　行政问责应当坚持实事求是、公平公正、权责统一、教育与惩处相结合的原则，做到事实清楚、证据确凿、定性准确、处理恰当、程序合法、手续完备。</w:t>
      </w:r>
    </w:p>
    <w:p w14:paraId="7D794FB1">
      <w:pPr>
        <w:ind w:firstLine="422"/>
        <w:jc w:val="left"/>
        <w:rPr>
          <w:rFonts w:ascii="宋体" w:hAnsi="宋体"/>
          <w:kern w:val="44"/>
        </w:rPr>
      </w:pPr>
      <w:r>
        <w:rPr>
          <w:rFonts w:hint="eastAsia" w:ascii="宋体" w:hAnsi="宋体"/>
          <w:b/>
          <w:kern w:val="44"/>
        </w:rPr>
        <w:t>第六条</w:t>
      </w:r>
      <w:r>
        <w:rPr>
          <w:rFonts w:hint="eastAsia" w:ascii="宋体" w:hAnsi="宋体"/>
          <w:kern w:val="44"/>
        </w:rPr>
        <w:t>　市人民政府工作部门、区县人民政府应当定期向市监察机关报告行政问责工作情况。</w:t>
      </w:r>
    </w:p>
    <w:p w14:paraId="57094928">
      <w:pPr>
        <w:jc w:val="left"/>
        <w:rPr>
          <w:rFonts w:ascii="宋体" w:hAnsi="宋体"/>
          <w:kern w:val="44"/>
        </w:rPr>
      </w:pPr>
      <w:r>
        <w:rPr>
          <w:rFonts w:hint="eastAsia" w:ascii="宋体" w:hAnsi="宋体"/>
          <w:kern w:val="44"/>
        </w:rPr>
        <w:t>区、县人民政府工作部门和乡镇人民政府、街道办事处应当定期向区、县监察机关报告行政问责工作情况。</w:t>
      </w:r>
    </w:p>
    <w:p w14:paraId="5C9B0EF5">
      <w:pPr>
        <w:ind w:firstLine="422"/>
        <w:jc w:val="left"/>
        <w:rPr>
          <w:rFonts w:ascii="宋体" w:hAnsi="宋体"/>
          <w:kern w:val="44"/>
        </w:rPr>
      </w:pPr>
      <w:r>
        <w:rPr>
          <w:rFonts w:hint="eastAsia" w:ascii="宋体" w:hAnsi="宋体"/>
          <w:b/>
          <w:kern w:val="44"/>
        </w:rPr>
        <w:t>第七条</w:t>
      </w:r>
      <w:r>
        <w:rPr>
          <w:rFonts w:hint="eastAsia" w:ascii="宋体" w:hAnsi="宋体"/>
          <w:kern w:val="44"/>
        </w:rPr>
        <w:t>　行政人员应当依法行政，自觉执行法律、法规、规章和上级的决定、命令、部署，确保政令畅通，提高行政效能，保障公民、法人和其他组织的合法权益。</w:t>
      </w:r>
    </w:p>
    <w:p w14:paraId="5F0DB397">
      <w:pPr>
        <w:jc w:val="left"/>
        <w:rPr>
          <w:rFonts w:ascii="宋体" w:hAnsi="宋体"/>
          <w:kern w:val="44"/>
        </w:rPr>
      </w:pPr>
      <w:r>
        <w:rPr>
          <w:rFonts w:hint="eastAsia" w:ascii="宋体" w:hAnsi="宋体"/>
          <w:kern w:val="44"/>
        </w:rPr>
        <w:t>监察机关、人力资源和社会保障部门、法制工作机构应当通过多种形式对行政人员进行有关建设法治政府知识的培训。</w:t>
      </w:r>
    </w:p>
    <w:p w14:paraId="068A8294">
      <w:pPr>
        <w:spacing w:line="240" w:lineRule="exact"/>
        <w:jc w:val="left"/>
        <w:rPr>
          <w:rFonts w:ascii="宋体" w:hAnsi="宋体"/>
          <w:kern w:val="44"/>
        </w:rPr>
      </w:pPr>
    </w:p>
    <w:p w14:paraId="559A383D">
      <w:pPr>
        <w:ind w:firstLine="562"/>
        <w:jc w:val="center"/>
        <w:rPr>
          <w:rFonts w:ascii="宋体" w:hAnsi="宋体"/>
          <w:b/>
          <w:kern w:val="44"/>
          <w:sz w:val="28"/>
        </w:rPr>
      </w:pPr>
      <w:r>
        <w:rPr>
          <w:rFonts w:hint="eastAsia" w:ascii="宋体" w:hAnsi="宋体"/>
          <w:b/>
          <w:kern w:val="44"/>
          <w:sz w:val="28"/>
        </w:rPr>
        <w:t>第二章　行政问责情形</w:t>
      </w:r>
    </w:p>
    <w:p w14:paraId="51AC0C40">
      <w:pPr>
        <w:spacing w:line="240" w:lineRule="exact"/>
        <w:jc w:val="left"/>
        <w:rPr>
          <w:rFonts w:ascii="宋体" w:hAnsi="宋体"/>
          <w:kern w:val="44"/>
        </w:rPr>
      </w:pPr>
    </w:p>
    <w:p w14:paraId="55309C33">
      <w:pPr>
        <w:ind w:firstLine="422"/>
        <w:jc w:val="left"/>
        <w:rPr>
          <w:rFonts w:ascii="宋体" w:hAnsi="宋体"/>
          <w:kern w:val="44"/>
        </w:rPr>
      </w:pPr>
      <w:r>
        <w:rPr>
          <w:rFonts w:hint="eastAsia" w:ascii="宋体" w:hAnsi="宋体"/>
          <w:b/>
          <w:kern w:val="44"/>
        </w:rPr>
        <w:t>第八条</w:t>
      </w:r>
      <w:r>
        <w:rPr>
          <w:rFonts w:hint="eastAsia" w:ascii="宋体" w:hAnsi="宋体"/>
          <w:kern w:val="44"/>
        </w:rPr>
        <w:t>　行政人员有下列应当履行而未履行行政职责情形之一，导致国家利益、公共利益或者公民、法人和其他组织的合法权益受到损害，或者造成不良影响的，应当进行行政问责：</w:t>
      </w:r>
    </w:p>
    <w:p w14:paraId="114A0B10">
      <w:pPr>
        <w:jc w:val="left"/>
        <w:rPr>
          <w:rFonts w:ascii="宋体" w:hAnsi="宋体"/>
          <w:kern w:val="44"/>
        </w:rPr>
      </w:pPr>
      <w:r>
        <w:rPr>
          <w:rFonts w:hint="eastAsia" w:ascii="宋体" w:hAnsi="宋体"/>
          <w:kern w:val="44"/>
        </w:rPr>
        <w:t>（一）对依申请、请求、申诉的行政行为，未按照规定受理、审查、决定的；</w:t>
      </w:r>
    </w:p>
    <w:p w14:paraId="7813B3E4">
      <w:pPr>
        <w:jc w:val="left"/>
        <w:rPr>
          <w:rFonts w:ascii="宋体" w:hAnsi="宋体"/>
          <w:kern w:val="44"/>
        </w:rPr>
      </w:pPr>
      <w:r>
        <w:rPr>
          <w:rFonts w:hint="eastAsia" w:ascii="宋体" w:hAnsi="宋体"/>
          <w:kern w:val="44"/>
        </w:rPr>
        <w:t>（二）未按照规定检查、检验、检测、检疫的；</w:t>
      </w:r>
    </w:p>
    <w:p w14:paraId="7C4DAFD1">
      <w:pPr>
        <w:jc w:val="left"/>
        <w:rPr>
          <w:rFonts w:ascii="宋体" w:hAnsi="宋体"/>
          <w:kern w:val="44"/>
        </w:rPr>
      </w:pPr>
      <w:r>
        <w:rPr>
          <w:rFonts w:hint="eastAsia" w:ascii="宋体" w:hAnsi="宋体"/>
          <w:kern w:val="44"/>
        </w:rPr>
        <w:t>（三）对发现的违法行为未制止、纠正的；</w:t>
      </w:r>
    </w:p>
    <w:p w14:paraId="7692F99F">
      <w:pPr>
        <w:jc w:val="left"/>
        <w:rPr>
          <w:rFonts w:ascii="宋体" w:hAnsi="宋体"/>
          <w:kern w:val="44"/>
        </w:rPr>
      </w:pPr>
      <w:r>
        <w:rPr>
          <w:rFonts w:hint="eastAsia" w:ascii="宋体" w:hAnsi="宋体"/>
          <w:kern w:val="44"/>
        </w:rPr>
        <w:t>（四）对依法应当给予行政处罚或者采取行政强制措施的违法行为，未予处理的；</w:t>
      </w:r>
    </w:p>
    <w:p w14:paraId="6E9F4A51">
      <w:pPr>
        <w:jc w:val="left"/>
        <w:rPr>
          <w:rFonts w:ascii="宋体" w:hAnsi="宋体"/>
          <w:kern w:val="44"/>
        </w:rPr>
      </w:pPr>
      <w:r>
        <w:rPr>
          <w:rFonts w:hint="eastAsia" w:ascii="宋体" w:hAnsi="宋体"/>
          <w:kern w:val="44"/>
        </w:rPr>
        <w:t>（五）收到公民、法人或者其他组织的投诉、举报后，未按照规定调查、处理的；</w:t>
      </w:r>
    </w:p>
    <w:p w14:paraId="741D3AB6">
      <w:pPr>
        <w:jc w:val="left"/>
        <w:rPr>
          <w:rFonts w:ascii="宋体" w:hAnsi="宋体"/>
          <w:kern w:val="44"/>
        </w:rPr>
      </w:pPr>
      <w:r>
        <w:rPr>
          <w:rFonts w:hint="eastAsia" w:ascii="宋体" w:hAnsi="宋体"/>
          <w:kern w:val="44"/>
        </w:rPr>
        <w:t>（六）应当履行保护公民、法人和其他组织人身权和财产权等法定职责，而未履行的；</w:t>
      </w:r>
    </w:p>
    <w:p w14:paraId="0B9EEEBE">
      <w:pPr>
        <w:jc w:val="left"/>
        <w:rPr>
          <w:rFonts w:ascii="宋体" w:hAnsi="宋体"/>
          <w:kern w:val="44"/>
        </w:rPr>
      </w:pPr>
      <w:r>
        <w:rPr>
          <w:rFonts w:hint="eastAsia" w:ascii="宋体" w:hAnsi="宋体"/>
          <w:kern w:val="44"/>
        </w:rPr>
        <w:t>（七）行政相对人询问有关行政许可、行政给付条件、程序、标准等事项，拒绝答复的；</w:t>
      </w:r>
    </w:p>
    <w:p w14:paraId="510742C3">
      <w:pPr>
        <w:jc w:val="left"/>
        <w:rPr>
          <w:rFonts w:ascii="宋体" w:hAnsi="宋体"/>
          <w:kern w:val="44"/>
        </w:rPr>
      </w:pPr>
      <w:r>
        <w:rPr>
          <w:rFonts w:hint="eastAsia" w:ascii="宋体" w:hAnsi="宋体"/>
          <w:kern w:val="44"/>
        </w:rPr>
        <w:t>（八）未履行行政复议职责、行政诉讼应诉职责、行政赔偿或者行政补偿职责，损害政府与行政相对人关系的；</w:t>
      </w:r>
    </w:p>
    <w:p w14:paraId="7BD0B7A9">
      <w:pPr>
        <w:jc w:val="left"/>
        <w:rPr>
          <w:rFonts w:ascii="宋体" w:hAnsi="宋体"/>
          <w:kern w:val="44"/>
        </w:rPr>
      </w:pPr>
      <w:r>
        <w:rPr>
          <w:rFonts w:hint="eastAsia" w:ascii="宋体" w:hAnsi="宋体"/>
          <w:kern w:val="44"/>
        </w:rPr>
        <w:t>（九）未履行信息公开义务、告知义务或者保密义务的；</w:t>
      </w:r>
    </w:p>
    <w:p w14:paraId="787BA653">
      <w:pPr>
        <w:jc w:val="left"/>
        <w:rPr>
          <w:rFonts w:ascii="宋体" w:hAnsi="宋体"/>
          <w:kern w:val="44"/>
        </w:rPr>
      </w:pPr>
      <w:r>
        <w:rPr>
          <w:rFonts w:hint="eastAsia" w:ascii="宋体" w:hAnsi="宋体"/>
          <w:kern w:val="44"/>
        </w:rPr>
        <w:t>（十）国家和本市规定的其他不履行行政职责的情形。</w:t>
      </w:r>
    </w:p>
    <w:p w14:paraId="2A3F88AC">
      <w:pPr>
        <w:ind w:firstLine="422"/>
        <w:jc w:val="left"/>
        <w:rPr>
          <w:rFonts w:ascii="宋体" w:hAnsi="宋体"/>
          <w:kern w:val="44"/>
        </w:rPr>
      </w:pPr>
      <w:r>
        <w:rPr>
          <w:rFonts w:hint="eastAsia" w:ascii="宋体" w:hAnsi="宋体"/>
          <w:b/>
          <w:kern w:val="44"/>
        </w:rPr>
        <w:t>第九条</w:t>
      </w:r>
      <w:r>
        <w:rPr>
          <w:rFonts w:hint="eastAsia" w:ascii="宋体" w:hAnsi="宋体"/>
          <w:kern w:val="44"/>
        </w:rPr>
        <w:t>　行政人员有下列违法履行行政职责情形之一，导致国家利益、公共利益或者公民、法人和其他组织的合法权益受到损害，或者造成不良影响的，应当进行行政问责：</w:t>
      </w:r>
    </w:p>
    <w:p w14:paraId="242932FF">
      <w:pPr>
        <w:jc w:val="left"/>
        <w:rPr>
          <w:rFonts w:ascii="宋体" w:hAnsi="宋体"/>
          <w:kern w:val="44"/>
        </w:rPr>
      </w:pPr>
      <w:r>
        <w:rPr>
          <w:rFonts w:hint="eastAsia" w:ascii="宋体" w:hAnsi="宋体"/>
          <w:kern w:val="44"/>
        </w:rPr>
        <w:t>（一）违反议事规则，个人或者少数人对重大事项作出决定，或者改变集体作出的决定的；</w:t>
      </w:r>
    </w:p>
    <w:p w14:paraId="113DE643">
      <w:pPr>
        <w:jc w:val="left"/>
        <w:rPr>
          <w:rFonts w:ascii="宋体" w:hAnsi="宋体"/>
          <w:kern w:val="44"/>
        </w:rPr>
      </w:pPr>
      <w:r>
        <w:rPr>
          <w:rFonts w:hint="eastAsia" w:ascii="宋体" w:hAnsi="宋体"/>
          <w:kern w:val="44"/>
        </w:rPr>
        <w:t>（二）无依据实施影响公民、法人和其他组织合法权益或者增加公民、法人和其他组织义务的行政行为的；</w:t>
      </w:r>
    </w:p>
    <w:p w14:paraId="55A1828D">
      <w:pPr>
        <w:jc w:val="left"/>
        <w:rPr>
          <w:rFonts w:ascii="宋体" w:hAnsi="宋体"/>
          <w:kern w:val="44"/>
        </w:rPr>
      </w:pPr>
      <w:r>
        <w:rPr>
          <w:rFonts w:hint="eastAsia" w:ascii="宋体" w:hAnsi="宋体"/>
          <w:kern w:val="44"/>
        </w:rPr>
        <w:t>（三）违反规定的步骤、顺序、方式、形式等规定程序实施行政行为的；</w:t>
      </w:r>
    </w:p>
    <w:p w14:paraId="516ECDD9">
      <w:pPr>
        <w:jc w:val="left"/>
        <w:rPr>
          <w:rFonts w:ascii="宋体" w:hAnsi="宋体"/>
          <w:kern w:val="44"/>
        </w:rPr>
      </w:pPr>
      <w:r>
        <w:rPr>
          <w:rFonts w:hint="eastAsia" w:ascii="宋体" w:hAnsi="宋体"/>
          <w:kern w:val="44"/>
        </w:rPr>
        <w:t>（四）超过法定时限或者合理时限履行职责的；</w:t>
      </w:r>
    </w:p>
    <w:p w14:paraId="0CC6F09A">
      <w:pPr>
        <w:jc w:val="left"/>
        <w:rPr>
          <w:rFonts w:ascii="宋体" w:hAnsi="宋体"/>
          <w:kern w:val="44"/>
        </w:rPr>
      </w:pPr>
      <w:r>
        <w:rPr>
          <w:rFonts w:hint="eastAsia" w:ascii="宋体" w:hAnsi="宋体"/>
          <w:kern w:val="44"/>
        </w:rPr>
        <w:t>（五）超越法定权限实施行政行为的；</w:t>
      </w:r>
    </w:p>
    <w:p w14:paraId="503BD1B2">
      <w:pPr>
        <w:jc w:val="left"/>
        <w:rPr>
          <w:rFonts w:ascii="宋体" w:hAnsi="宋体"/>
          <w:kern w:val="44"/>
        </w:rPr>
      </w:pPr>
      <w:r>
        <w:rPr>
          <w:rFonts w:hint="eastAsia" w:ascii="宋体" w:hAnsi="宋体"/>
          <w:kern w:val="44"/>
        </w:rPr>
        <w:t>（六）隐瞒、截留、挪用、私分或者变相私分行政征收征用款物的；</w:t>
      </w:r>
    </w:p>
    <w:p w14:paraId="3E6E1879">
      <w:pPr>
        <w:jc w:val="left"/>
        <w:rPr>
          <w:rFonts w:ascii="宋体" w:hAnsi="宋体"/>
          <w:kern w:val="44"/>
        </w:rPr>
      </w:pPr>
      <w:r>
        <w:rPr>
          <w:rFonts w:hint="eastAsia" w:ascii="宋体" w:hAnsi="宋体"/>
          <w:kern w:val="44"/>
        </w:rPr>
        <w:t>（七）违法查封、扣押、没收、征收、征用财物的；</w:t>
      </w:r>
    </w:p>
    <w:p w14:paraId="6FF9F424">
      <w:pPr>
        <w:jc w:val="left"/>
        <w:rPr>
          <w:rFonts w:ascii="宋体" w:hAnsi="宋体"/>
          <w:kern w:val="44"/>
        </w:rPr>
      </w:pPr>
      <w:r>
        <w:rPr>
          <w:rFonts w:hint="eastAsia" w:ascii="宋体" w:hAnsi="宋体"/>
          <w:kern w:val="44"/>
        </w:rPr>
        <w:t>（八）不具有行政执法资格或者违反规定使用执法证件的；</w:t>
      </w:r>
    </w:p>
    <w:p w14:paraId="5F5147BD">
      <w:pPr>
        <w:jc w:val="left"/>
        <w:rPr>
          <w:rFonts w:ascii="宋体" w:hAnsi="宋体"/>
          <w:kern w:val="44"/>
        </w:rPr>
      </w:pPr>
      <w:r>
        <w:rPr>
          <w:rFonts w:hint="eastAsia" w:ascii="宋体" w:hAnsi="宋体"/>
          <w:kern w:val="44"/>
        </w:rPr>
        <w:t>（九）违反规定乱收费，或者要求行政相对人接受有偿服务、购买指定商品以及承担其他非法定义务的；</w:t>
      </w:r>
    </w:p>
    <w:p w14:paraId="58E360DE">
      <w:pPr>
        <w:jc w:val="left"/>
        <w:rPr>
          <w:rFonts w:ascii="宋体" w:hAnsi="宋体"/>
          <w:kern w:val="44"/>
        </w:rPr>
      </w:pPr>
      <w:r>
        <w:rPr>
          <w:rFonts w:hint="eastAsia" w:ascii="宋体" w:hAnsi="宋体"/>
          <w:kern w:val="44"/>
        </w:rPr>
        <w:t>（十）违反规定制作法律文书、使用票据的；</w:t>
      </w:r>
    </w:p>
    <w:p w14:paraId="45683231">
      <w:pPr>
        <w:jc w:val="left"/>
        <w:rPr>
          <w:rFonts w:ascii="宋体" w:hAnsi="宋体"/>
          <w:kern w:val="44"/>
        </w:rPr>
      </w:pPr>
      <w:r>
        <w:rPr>
          <w:rFonts w:hint="eastAsia" w:ascii="宋体" w:hAnsi="宋体"/>
          <w:kern w:val="44"/>
        </w:rPr>
        <w:t>（十一）违法委托其他组织或者个人履行职责的；</w:t>
      </w:r>
    </w:p>
    <w:p w14:paraId="4CBF5EC5">
      <w:pPr>
        <w:jc w:val="left"/>
        <w:rPr>
          <w:rFonts w:ascii="宋体" w:hAnsi="宋体"/>
          <w:kern w:val="44"/>
        </w:rPr>
      </w:pPr>
      <w:r>
        <w:rPr>
          <w:rFonts w:hint="eastAsia" w:ascii="宋体" w:hAnsi="宋体"/>
          <w:kern w:val="44"/>
        </w:rPr>
        <w:t>（十二）实施行政行为无事实根据，或者主要事实不清，主要证据不足的；</w:t>
      </w:r>
    </w:p>
    <w:p w14:paraId="6F62BFF4">
      <w:pPr>
        <w:jc w:val="left"/>
        <w:rPr>
          <w:rFonts w:ascii="宋体" w:hAnsi="宋体"/>
          <w:kern w:val="44"/>
        </w:rPr>
      </w:pPr>
      <w:r>
        <w:rPr>
          <w:rFonts w:hint="eastAsia" w:ascii="宋体" w:hAnsi="宋体"/>
          <w:kern w:val="44"/>
        </w:rPr>
        <w:t>（十三）国家和本市规定的其他违法履行行政职责的情形。</w:t>
      </w:r>
    </w:p>
    <w:p w14:paraId="24E829E8">
      <w:pPr>
        <w:ind w:firstLine="422"/>
        <w:jc w:val="left"/>
        <w:rPr>
          <w:rFonts w:ascii="宋体" w:hAnsi="宋体"/>
          <w:kern w:val="44"/>
        </w:rPr>
      </w:pPr>
      <w:r>
        <w:rPr>
          <w:rFonts w:hint="eastAsia" w:ascii="宋体" w:hAnsi="宋体"/>
          <w:b/>
          <w:kern w:val="44"/>
        </w:rPr>
        <w:t>第十条</w:t>
      </w:r>
      <w:r>
        <w:rPr>
          <w:rFonts w:hint="eastAsia" w:ascii="宋体" w:hAnsi="宋体"/>
          <w:kern w:val="44"/>
        </w:rPr>
        <w:t>　行政人员有下列不当履行行政职责情形之一，导致国家利益、公共利益或者公民、法人和其他组织的合法权益受到损害，或者造成不良影响的，应当进行行政问责：</w:t>
      </w:r>
    </w:p>
    <w:p w14:paraId="7F699AD0">
      <w:pPr>
        <w:jc w:val="left"/>
        <w:rPr>
          <w:rFonts w:ascii="宋体" w:hAnsi="宋体"/>
          <w:kern w:val="44"/>
        </w:rPr>
      </w:pPr>
      <w:r>
        <w:rPr>
          <w:rFonts w:hint="eastAsia" w:ascii="宋体" w:hAnsi="宋体"/>
          <w:kern w:val="44"/>
        </w:rPr>
        <w:t>（一）工作作风懈怠、工作态度恶劣的；</w:t>
      </w:r>
    </w:p>
    <w:p w14:paraId="2C969296">
      <w:pPr>
        <w:jc w:val="left"/>
        <w:rPr>
          <w:rFonts w:ascii="宋体" w:hAnsi="宋体"/>
          <w:kern w:val="44"/>
        </w:rPr>
      </w:pPr>
      <w:r>
        <w:rPr>
          <w:rFonts w:hint="eastAsia" w:ascii="宋体" w:hAnsi="宋体"/>
          <w:kern w:val="44"/>
        </w:rPr>
        <w:t>（二）对于明显相同情况的相对人不同对待，歧视特定相对人，或者为实现行政管理目标采取的行政方法、手段明显失当等滥用自由裁量权履行行政职责的；</w:t>
      </w:r>
    </w:p>
    <w:p w14:paraId="6C379812">
      <w:pPr>
        <w:jc w:val="left"/>
        <w:rPr>
          <w:rFonts w:ascii="宋体" w:hAnsi="宋体"/>
          <w:kern w:val="44"/>
        </w:rPr>
      </w:pPr>
      <w:r>
        <w:rPr>
          <w:rFonts w:hint="eastAsia" w:ascii="宋体" w:hAnsi="宋体"/>
          <w:kern w:val="44"/>
        </w:rPr>
        <w:t>（三）国家和本市规定的其他不当履行行政职责的情形。</w:t>
      </w:r>
    </w:p>
    <w:p w14:paraId="4752DD4F">
      <w:pPr>
        <w:jc w:val="left"/>
        <w:rPr>
          <w:rFonts w:ascii="宋体" w:hAnsi="宋体"/>
          <w:kern w:val="44"/>
        </w:rPr>
      </w:pPr>
    </w:p>
    <w:p w14:paraId="039236B0">
      <w:pPr>
        <w:jc w:val="left"/>
        <w:rPr>
          <w:rFonts w:ascii="宋体" w:hAnsi="宋体"/>
          <w:kern w:val="44"/>
        </w:rPr>
      </w:pPr>
    </w:p>
    <w:p w14:paraId="35B04F2A">
      <w:pPr>
        <w:ind w:firstLine="0" w:firstLineChars="0"/>
        <w:jc w:val="center"/>
        <w:rPr>
          <w:rFonts w:ascii="宋体" w:hAnsi="宋体"/>
          <w:b/>
          <w:kern w:val="44"/>
          <w:sz w:val="28"/>
        </w:rPr>
      </w:pPr>
      <w:r>
        <w:rPr>
          <w:rFonts w:hint="eastAsia" w:ascii="宋体" w:hAnsi="宋体"/>
          <w:b/>
          <w:kern w:val="44"/>
          <w:sz w:val="28"/>
        </w:rPr>
        <w:t>第三章　行政问责方式和适用</w:t>
      </w:r>
    </w:p>
    <w:p w14:paraId="78578CF5">
      <w:pPr>
        <w:jc w:val="left"/>
        <w:rPr>
          <w:rFonts w:ascii="宋体" w:hAnsi="宋体"/>
          <w:kern w:val="44"/>
        </w:rPr>
      </w:pPr>
    </w:p>
    <w:p w14:paraId="1AB57286">
      <w:pPr>
        <w:ind w:firstLine="422"/>
        <w:jc w:val="left"/>
        <w:rPr>
          <w:rFonts w:ascii="宋体" w:hAnsi="宋体"/>
          <w:kern w:val="44"/>
        </w:rPr>
      </w:pPr>
      <w:r>
        <w:rPr>
          <w:rFonts w:hint="eastAsia" w:ascii="宋体" w:hAnsi="宋体"/>
          <w:b/>
          <w:kern w:val="44"/>
        </w:rPr>
        <w:t>第十一条</w:t>
      </w:r>
      <w:r>
        <w:rPr>
          <w:rFonts w:hint="eastAsia" w:ascii="宋体" w:hAnsi="宋体"/>
          <w:kern w:val="44"/>
        </w:rPr>
        <w:t>　行政问责的方式为：</w:t>
      </w:r>
    </w:p>
    <w:p w14:paraId="0865A9CC">
      <w:pPr>
        <w:jc w:val="left"/>
        <w:rPr>
          <w:rFonts w:ascii="宋体" w:hAnsi="宋体"/>
          <w:kern w:val="44"/>
        </w:rPr>
      </w:pPr>
      <w:r>
        <w:rPr>
          <w:rFonts w:hint="eastAsia" w:ascii="宋体" w:hAnsi="宋体"/>
          <w:kern w:val="44"/>
        </w:rPr>
        <w:t>（一）责令作出书面检查；</w:t>
      </w:r>
    </w:p>
    <w:p w14:paraId="374AC520">
      <w:pPr>
        <w:jc w:val="left"/>
        <w:rPr>
          <w:rFonts w:ascii="宋体" w:hAnsi="宋体"/>
          <w:kern w:val="44"/>
        </w:rPr>
      </w:pPr>
      <w:r>
        <w:rPr>
          <w:rFonts w:hint="eastAsia" w:ascii="宋体" w:hAnsi="宋体"/>
          <w:kern w:val="44"/>
        </w:rPr>
        <w:t>（二）责令道歉；</w:t>
      </w:r>
    </w:p>
    <w:p w14:paraId="2433173D">
      <w:pPr>
        <w:jc w:val="left"/>
        <w:rPr>
          <w:rFonts w:ascii="宋体" w:hAnsi="宋体"/>
          <w:kern w:val="44"/>
        </w:rPr>
      </w:pPr>
      <w:r>
        <w:rPr>
          <w:rFonts w:hint="eastAsia" w:ascii="宋体" w:hAnsi="宋体"/>
          <w:kern w:val="44"/>
        </w:rPr>
        <w:t>（三）通报批评；</w:t>
      </w:r>
    </w:p>
    <w:p w14:paraId="284A09A8">
      <w:pPr>
        <w:jc w:val="left"/>
        <w:rPr>
          <w:rFonts w:ascii="宋体" w:hAnsi="宋体"/>
          <w:kern w:val="44"/>
        </w:rPr>
      </w:pPr>
      <w:r>
        <w:rPr>
          <w:rFonts w:hint="eastAsia" w:ascii="宋体" w:hAnsi="宋体"/>
          <w:kern w:val="44"/>
        </w:rPr>
        <w:t>（四）行政告诫；</w:t>
      </w:r>
    </w:p>
    <w:p w14:paraId="39E6F7E7">
      <w:pPr>
        <w:jc w:val="left"/>
        <w:rPr>
          <w:rFonts w:ascii="宋体" w:hAnsi="宋体"/>
          <w:kern w:val="44"/>
        </w:rPr>
      </w:pPr>
      <w:r>
        <w:rPr>
          <w:rFonts w:hint="eastAsia" w:ascii="宋体" w:hAnsi="宋体"/>
          <w:kern w:val="44"/>
        </w:rPr>
        <w:t>（五）停职检查；</w:t>
      </w:r>
    </w:p>
    <w:p w14:paraId="0029BE81">
      <w:pPr>
        <w:jc w:val="left"/>
        <w:rPr>
          <w:rFonts w:ascii="宋体" w:hAnsi="宋体"/>
          <w:kern w:val="44"/>
        </w:rPr>
      </w:pPr>
      <w:r>
        <w:rPr>
          <w:rFonts w:hint="eastAsia" w:ascii="宋体" w:hAnsi="宋体"/>
          <w:kern w:val="44"/>
        </w:rPr>
        <w:t>（六）调离工作岗位；</w:t>
      </w:r>
    </w:p>
    <w:p w14:paraId="4080BE90">
      <w:pPr>
        <w:jc w:val="left"/>
        <w:rPr>
          <w:rFonts w:ascii="宋体" w:hAnsi="宋体"/>
          <w:kern w:val="44"/>
        </w:rPr>
      </w:pPr>
      <w:r>
        <w:rPr>
          <w:rFonts w:hint="eastAsia" w:ascii="宋体" w:hAnsi="宋体"/>
          <w:kern w:val="44"/>
        </w:rPr>
        <w:t>（七）责令辞去领导职务；</w:t>
      </w:r>
    </w:p>
    <w:p w14:paraId="323A8D80">
      <w:pPr>
        <w:jc w:val="left"/>
        <w:rPr>
          <w:rFonts w:ascii="宋体" w:hAnsi="宋体"/>
          <w:kern w:val="44"/>
        </w:rPr>
      </w:pPr>
      <w:r>
        <w:rPr>
          <w:rFonts w:hint="eastAsia" w:ascii="宋体" w:hAnsi="宋体"/>
          <w:kern w:val="44"/>
        </w:rPr>
        <w:t>（八）免职。</w:t>
      </w:r>
    </w:p>
    <w:p w14:paraId="1E48E331">
      <w:pPr>
        <w:jc w:val="left"/>
        <w:rPr>
          <w:rFonts w:ascii="宋体" w:hAnsi="宋体"/>
          <w:kern w:val="44"/>
        </w:rPr>
      </w:pPr>
      <w:r>
        <w:rPr>
          <w:rFonts w:hint="eastAsia" w:ascii="宋体" w:hAnsi="宋体"/>
          <w:kern w:val="44"/>
        </w:rPr>
        <w:t>行政人员有本办法规定的违法违纪情形，按照《行政机关公务员处分条例》和其他有关规定应当给予处分的，不得以前款规定的行政问责方式代替行政处分，也不得以行政处分代替前款规定的行政问责方式。</w:t>
      </w:r>
    </w:p>
    <w:p w14:paraId="3794A56D">
      <w:pPr>
        <w:ind w:firstLine="422"/>
        <w:jc w:val="left"/>
        <w:rPr>
          <w:rFonts w:ascii="宋体" w:hAnsi="宋体"/>
          <w:kern w:val="44"/>
        </w:rPr>
      </w:pPr>
      <w:r>
        <w:rPr>
          <w:rFonts w:hint="eastAsia" w:ascii="宋体" w:hAnsi="宋体"/>
          <w:b/>
          <w:kern w:val="44"/>
        </w:rPr>
        <w:t>第十二条</w:t>
      </w:r>
      <w:r>
        <w:rPr>
          <w:rFonts w:hint="eastAsia" w:ascii="宋体" w:hAnsi="宋体"/>
          <w:kern w:val="44"/>
        </w:rPr>
        <w:t>　对应当问责的行政人员，应当根据其行为性质、危害程度等因素确定情节轻重，分别作出如下处理：</w:t>
      </w:r>
    </w:p>
    <w:p w14:paraId="168DE167">
      <w:pPr>
        <w:jc w:val="left"/>
        <w:rPr>
          <w:rFonts w:ascii="宋体" w:hAnsi="宋体"/>
          <w:kern w:val="44"/>
        </w:rPr>
      </w:pPr>
      <w:r>
        <w:rPr>
          <w:rFonts w:hint="eastAsia" w:ascii="宋体" w:hAnsi="宋体"/>
          <w:kern w:val="44"/>
        </w:rPr>
        <w:t>（一）情节较轻的，给予责令作出书面检查、责令道歉、通报批评处理；</w:t>
      </w:r>
    </w:p>
    <w:p w14:paraId="3C2CB714">
      <w:pPr>
        <w:jc w:val="left"/>
        <w:rPr>
          <w:rFonts w:ascii="宋体" w:hAnsi="宋体"/>
          <w:kern w:val="44"/>
        </w:rPr>
      </w:pPr>
      <w:r>
        <w:rPr>
          <w:rFonts w:hint="eastAsia" w:ascii="宋体" w:hAnsi="宋体"/>
          <w:kern w:val="44"/>
        </w:rPr>
        <w:t>（二）情节较重的，给予行政告诫、停职检查、调离工作岗位处理；</w:t>
      </w:r>
    </w:p>
    <w:p w14:paraId="16B0D5D7">
      <w:pPr>
        <w:jc w:val="left"/>
        <w:rPr>
          <w:rFonts w:ascii="宋体" w:hAnsi="宋体"/>
          <w:kern w:val="44"/>
        </w:rPr>
      </w:pPr>
      <w:r>
        <w:rPr>
          <w:rFonts w:hint="eastAsia" w:ascii="宋体" w:hAnsi="宋体"/>
          <w:kern w:val="44"/>
        </w:rPr>
        <w:t>（三）情节严重的，给予责令辞去领导职务、免职处理。</w:t>
      </w:r>
    </w:p>
    <w:p w14:paraId="3F410CA7">
      <w:pPr>
        <w:jc w:val="left"/>
        <w:rPr>
          <w:rFonts w:ascii="宋体" w:hAnsi="宋体"/>
          <w:kern w:val="44"/>
        </w:rPr>
      </w:pPr>
      <w:r>
        <w:rPr>
          <w:rFonts w:hint="eastAsia" w:ascii="宋体" w:hAnsi="宋体"/>
          <w:kern w:val="44"/>
        </w:rPr>
        <w:t>给予行政告诫、停职检查、调离工作岗位、责令辞去领导职务、免职处理的，可以同时适用责令作出书面检查、责令道歉、通报批评。</w:t>
      </w:r>
    </w:p>
    <w:p w14:paraId="6309EC59">
      <w:pPr>
        <w:ind w:firstLine="422"/>
        <w:jc w:val="left"/>
        <w:rPr>
          <w:rFonts w:ascii="宋体" w:hAnsi="宋体"/>
          <w:kern w:val="44"/>
        </w:rPr>
      </w:pPr>
      <w:r>
        <w:rPr>
          <w:rFonts w:hint="eastAsia" w:ascii="宋体" w:hAnsi="宋体"/>
          <w:b/>
          <w:kern w:val="44"/>
        </w:rPr>
        <w:t>第十三条</w:t>
      </w:r>
      <w:r>
        <w:rPr>
          <w:rFonts w:hint="eastAsia" w:ascii="宋体" w:hAnsi="宋体"/>
          <w:kern w:val="44"/>
        </w:rPr>
        <w:t>　有下列情形之一的，应当从重处理：</w:t>
      </w:r>
    </w:p>
    <w:p w14:paraId="38CFC564">
      <w:pPr>
        <w:jc w:val="left"/>
        <w:rPr>
          <w:rFonts w:ascii="宋体" w:hAnsi="宋体"/>
          <w:kern w:val="44"/>
        </w:rPr>
      </w:pPr>
      <w:r>
        <w:rPr>
          <w:rFonts w:hint="eastAsia" w:ascii="宋体" w:hAnsi="宋体"/>
          <w:kern w:val="44"/>
        </w:rPr>
        <w:t>（一）拒绝改正错误的；</w:t>
      </w:r>
    </w:p>
    <w:p w14:paraId="02EDA0D4">
      <w:pPr>
        <w:jc w:val="left"/>
        <w:rPr>
          <w:rFonts w:ascii="宋体" w:hAnsi="宋体"/>
          <w:kern w:val="44"/>
        </w:rPr>
      </w:pPr>
      <w:r>
        <w:rPr>
          <w:rFonts w:hint="eastAsia" w:ascii="宋体" w:hAnsi="宋体"/>
          <w:kern w:val="44"/>
        </w:rPr>
        <w:t>（二）隐瞒事实真相，干扰、阻碍行政问责工作的；</w:t>
      </w:r>
    </w:p>
    <w:p w14:paraId="30E6AA88">
      <w:pPr>
        <w:jc w:val="left"/>
        <w:rPr>
          <w:rFonts w:ascii="宋体" w:hAnsi="宋体"/>
          <w:kern w:val="44"/>
        </w:rPr>
      </w:pPr>
      <w:r>
        <w:rPr>
          <w:rFonts w:hint="eastAsia" w:ascii="宋体" w:hAnsi="宋体"/>
          <w:kern w:val="44"/>
        </w:rPr>
        <w:t>（三）对投诉人、控告人、检举人打击报复的；</w:t>
      </w:r>
    </w:p>
    <w:p w14:paraId="2B18824E">
      <w:pPr>
        <w:jc w:val="left"/>
        <w:rPr>
          <w:rFonts w:ascii="宋体" w:hAnsi="宋体"/>
          <w:kern w:val="44"/>
        </w:rPr>
      </w:pPr>
      <w:r>
        <w:rPr>
          <w:rFonts w:hint="eastAsia" w:ascii="宋体" w:hAnsi="宋体"/>
          <w:kern w:val="44"/>
        </w:rPr>
        <w:t>（四）一年内被给予行政问责两次以上的；</w:t>
      </w:r>
    </w:p>
    <w:p w14:paraId="2F00A611">
      <w:pPr>
        <w:jc w:val="left"/>
        <w:rPr>
          <w:rFonts w:ascii="宋体" w:hAnsi="宋体"/>
          <w:kern w:val="44"/>
        </w:rPr>
      </w:pPr>
      <w:r>
        <w:rPr>
          <w:rFonts w:hint="eastAsia" w:ascii="宋体" w:hAnsi="宋体"/>
          <w:kern w:val="44"/>
        </w:rPr>
        <w:t>（五）在两人以上共同违法违纪行为中起主要作用的；</w:t>
      </w:r>
    </w:p>
    <w:p w14:paraId="25E4E94B">
      <w:pPr>
        <w:jc w:val="left"/>
        <w:rPr>
          <w:rFonts w:ascii="宋体" w:hAnsi="宋体"/>
          <w:kern w:val="44"/>
        </w:rPr>
      </w:pPr>
      <w:r>
        <w:rPr>
          <w:rFonts w:hint="eastAsia" w:ascii="宋体" w:hAnsi="宋体"/>
          <w:kern w:val="44"/>
        </w:rPr>
        <w:t>（六）其他按照规定应当从重处理的。</w:t>
      </w:r>
    </w:p>
    <w:p w14:paraId="6ABB314A">
      <w:pPr>
        <w:ind w:firstLine="422"/>
        <w:jc w:val="left"/>
        <w:rPr>
          <w:rFonts w:ascii="宋体" w:hAnsi="宋体"/>
          <w:kern w:val="44"/>
        </w:rPr>
      </w:pPr>
      <w:r>
        <w:rPr>
          <w:rFonts w:hint="eastAsia" w:ascii="宋体" w:hAnsi="宋体"/>
          <w:b/>
          <w:kern w:val="44"/>
        </w:rPr>
        <w:t>第十四条</w:t>
      </w:r>
      <w:r>
        <w:rPr>
          <w:rFonts w:hint="eastAsia" w:ascii="宋体" w:hAnsi="宋体"/>
          <w:kern w:val="44"/>
        </w:rPr>
        <w:t>　有下列情形之一的，可以从轻或者减轻处理：</w:t>
      </w:r>
    </w:p>
    <w:p w14:paraId="0F5A93AD">
      <w:pPr>
        <w:jc w:val="left"/>
        <w:rPr>
          <w:rFonts w:ascii="宋体" w:hAnsi="宋体"/>
          <w:kern w:val="44"/>
        </w:rPr>
      </w:pPr>
      <w:r>
        <w:rPr>
          <w:rFonts w:hint="eastAsia" w:ascii="宋体" w:hAnsi="宋体"/>
          <w:kern w:val="44"/>
        </w:rPr>
        <w:t>（一）主动交代违法违纪行为的；</w:t>
      </w:r>
    </w:p>
    <w:p w14:paraId="584F2385">
      <w:pPr>
        <w:jc w:val="left"/>
        <w:rPr>
          <w:rFonts w:ascii="宋体" w:hAnsi="宋体"/>
          <w:kern w:val="44"/>
        </w:rPr>
      </w:pPr>
      <w:r>
        <w:rPr>
          <w:rFonts w:hint="eastAsia" w:ascii="宋体" w:hAnsi="宋体"/>
          <w:kern w:val="44"/>
        </w:rPr>
        <w:t>（二）积极配合调查或者有立功表现的；</w:t>
      </w:r>
    </w:p>
    <w:p w14:paraId="3861AC28">
      <w:pPr>
        <w:jc w:val="left"/>
        <w:rPr>
          <w:rFonts w:ascii="宋体" w:hAnsi="宋体"/>
          <w:kern w:val="44"/>
        </w:rPr>
      </w:pPr>
      <w:r>
        <w:rPr>
          <w:rFonts w:hint="eastAsia" w:ascii="宋体" w:hAnsi="宋体"/>
          <w:kern w:val="44"/>
        </w:rPr>
        <w:t>（三）主动采取措施，有效避免或者挽回损失、消除不良影响的；</w:t>
      </w:r>
    </w:p>
    <w:p w14:paraId="6DAACC63">
      <w:pPr>
        <w:jc w:val="left"/>
        <w:rPr>
          <w:rFonts w:ascii="宋体" w:hAnsi="宋体"/>
          <w:kern w:val="44"/>
        </w:rPr>
      </w:pPr>
      <w:r>
        <w:rPr>
          <w:rFonts w:hint="eastAsia" w:ascii="宋体" w:hAnsi="宋体"/>
          <w:kern w:val="44"/>
        </w:rPr>
        <w:t>（四）其他按照规定可以从轻、减轻处理的。</w:t>
      </w:r>
    </w:p>
    <w:p w14:paraId="028F3481">
      <w:pPr>
        <w:ind w:firstLine="422"/>
        <w:jc w:val="left"/>
        <w:rPr>
          <w:rFonts w:ascii="宋体" w:hAnsi="宋体"/>
          <w:kern w:val="44"/>
        </w:rPr>
      </w:pPr>
      <w:r>
        <w:rPr>
          <w:rFonts w:hint="eastAsia" w:ascii="宋体" w:hAnsi="宋体"/>
          <w:b/>
          <w:kern w:val="44"/>
        </w:rPr>
        <w:t>第十五条</w:t>
      </w:r>
      <w:r>
        <w:rPr>
          <w:rFonts w:hint="eastAsia" w:ascii="宋体" w:hAnsi="宋体"/>
          <w:kern w:val="44"/>
        </w:rPr>
        <w:t>　行政人员有本办法规定应当予以行政问责的情形，情节轻微，经过批评教育后改正的，可以免予行政问责。</w:t>
      </w:r>
    </w:p>
    <w:p w14:paraId="1BB0C101">
      <w:pPr>
        <w:jc w:val="left"/>
        <w:rPr>
          <w:rFonts w:ascii="宋体" w:hAnsi="宋体"/>
          <w:kern w:val="44"/>
        </w:rPr>
      </w:pPr>
      <w:r>
        <w:rPr>
          <w:rFonts w:hint="eastAsia" w:ascii="宋体" w:hAnsi="宋体"/>
          <w:kern w:val="44"/>
        </w:rPr>
        <w:t>行政人员在紧急情况下有本办法规定的应当予以行政问责情形，但尽到合理注意义务的，不予行政问责。</w:t>
      </w:r>
    </w:p>
    <w:p w14:paraId="27699A72">
      <w:pPr>
        <w:ind w:firstLine="422"/>
        <w:jc w:val="left"/>
        <w:rPr>
          <w:rFonts w:ascii="宋体" w:hAnsi="宋体"/>
          <w:kern w:val="44"/>
        </w:rPr>
      </w:pPr>
      <w:r>
        <w:rPr>
          <w:rFonts w:hint="eastAsia" w:ascii="宋体" w:hAnsi="宋体"/>
          <w:b/>
          <w:kern w:val="44"/>
        </w:rPr>
        <w:t>第十六条</w:t>
      </w:r>
      <w:r>
        <w:rPr>
          <w:rFonts w:hint="eastAsia" w:ascii="宋体" w:hAnsi="宋体"/>
          <w:kern w:val="44"/>
        </w:rPr>
        <w:t>　行政人员实施行政行为时，认为上级的决定或者命令有错误的，可以向上级提出改正或者撤销该决定、命令的意见；上级不改变该决定、命令，或者要求立即执行的，行政人员应当执行该决定、命令，执行的后果由上级负责，行政人员不承担责任；但是，行政人员执行明显违法的决定、命令的，应当依法承担相应的责任。</w:t>
      </w:r>
    </w:p>
    <w:p w14:paraId="3A916074">
      <w:pPr>
        <w:jc w:val="left"/>
        <w:rPr>
          <w:rFonts w:ascii="宋体" w:hAnsi="宋体"/>
          <w:kern w:val="44"/>
        </w:rPr>
      </w:pPr>
      <w:r>
        <w:rPr>
          <w:rFonts w:hint="eastAsia" w:ascii="宋体" w:hAnsi="宋体"/>
          <w:kern w:val="44"/>
        </w:rPr>
        <w:t>两人以上共同实施行政行为的，主办人员承担主要责任，协办人员承担相应责任；责任无法区分的，共同承担责任。</w:t>
      </w:r>
    </w:p>
    <w:p w14:paraId="6E97F9D2">
      <w:pPr>
        <w:ind w:firstLine="422"/>
        <w:jc w:val="left"/>
        <w:rPr>
          <w:rFonts w:ascii="宋体" w:hAnsi="宋体"/>
          <w:kern w:val="44"/>
        </w:rPr>
      </w:pPr>
      <w:r>
        <w:rPr>
          <w:rFonts w:hint="eastAsia" w:ascii="宋体" w:hAnsi="宋体"/>
          <w:b/>
          <w:kern w:val="44"/>
        </w:rPr>
        <w:t>第十七条</w:t>
      </w:r>
      <w:r>
        <w:rPr>
          <w:rFonts w:hint="eastAsia" w:ascii="宋体" w:hAnsi="宋体"/>
          <w:kern w:val="44"/>
        </w:rPr>
        <w:t>　行政人员有本办法规定的违法违纪情形，受到行政问责，所在单位需要承担法律责任的，单位应当依法承担法律责任，不得以对行政人员的行政问责代替单位应当承担的法律责任。</w:t>
      </w:r>
    </w:p>
    <w:p w14:paraId="2BA083A5">
      <w:pPr>
        <w:ind w:firstLine="422"/>
        <w:jc w:val="left"/>
        <w:rPr>
          <w:rFonts w:ascii="宋体" w:hAnsi="宋体"/>
          <w:kern w:val="44"/>
        </w:rPr>
      </w:pPr>
      <w:r>
        <w:rPr>
          <w:rFonts w:hint="eastAsia" w:ascii="宋体" w:hAnsi="宋体"/>
          <w:b/>
          <w:kern w:val="44"/>
        </w:rPr>
        <w:t>第十八条</w:t>
      </w:r>
      <w:r>
        <w:rPr>
          <w:rFonts w:hint="eastAsia" w:ascii="宋体" w:hAnsi="宋体"/>
          <w:kern w:val="44"/>
        </w:rPr>
        <w:t>　对行政人员的考核、任用、奖励、表彰应当考虑其被行政问责的情况。</w:t>
      </w:r>
    </w:p>
    <w:p w14:paraId="7A6D2439">
      <w:pPr>
        <w:jc w:val="left"/>
        <w:rPr>
          <w:rFonts w:ascii="宋体" w:hAnsi="宋体"/>
          <w:kern w:val="44"/>
        </w:rPr>
      </w:pPr>
      <w:r>
        <w:rPr>
          <w:rFonts w:hint="eastAsia" w:ascii="宋体" w:hAnsi="宋体"/>
          <w:kern w:val="44"/>
        </w:rPr>
        <w:t>受到行政问责的行政人员，取消当年年度相关的考核评优和评选先进的资格。</w:t>
      </w:r>
    </w:p>
    <w:p w14:paraId="55286471">
      <w:pPr>
        <w:jc w:val="left"/>
        <w:rPr>
          <w:rFonts w:ascii="宋体" w:hAnsi="宋体"/>
          <w:kern w:val="44"/>
        </w:rPr>
      </w:pPr>
    </w:p>
    <w:p w14:paraId="2F0FAFF3">
      <w:pPr>
        <w:ind w:firstLine="0" w:firstLineChars="0"/>
        <w:jc w:val="center"/>
        <w:rPr>
          <w:rFonts w:ascii="宋体" w:hAnsi="宋体"/>
          <w:b/>
          <w:kern w:val="44"/>
          <w:sz w:val="28"/>
        </w:rPr>
      </w:pPr>
      <w:r>
        <w:rPr>
          <w:rFonts w:hint="eastAsia" w:ascii="宋体" w:hAnsi="宋体"/>
          <w:b/>
          <w:kern w:val="44"/>
          <w:sz w:val="28"/>
        </w:rPr>
        <w:t>第四章　行政问责程序</w:t>
      </w:r>
    </w:p>
    <w:p w14:paraId="0758A762">
      <w:pPr>
        <w:jc w:val="left"/>
        <w:rPr>
          <w:rFonts w:ascii="宋体" w:hAnsi="宋体"/>
          <w:kern w:val="44"/>
        </w:rPr>
      </w:pPr>
    </w:p>
    <w:p w14:paraId="3A0C8CC5">
      <w:pPr>
        <w:ind w:firstLine="422"/>
        <w:jc w:val="left"/>
        <w:rPr>
          <w:rFonts w:ascii="宋体" w:hAnsi="宋体"/>
          <w:kern w:val="44"/>
        </w:rPr>
      </w:pPr>
      <w:r>
        <w:rPr>
          <w:rFonts w:hint="eastAsia" w:ascii="宋体" w:hAnsi="宋体"/>
          <w:b/>
          <w:kern w:val="44"/>
        </w:rPr>
        <w:t>第十九条</w:t>
      </w:r>
      <w:r>
        <w:rPr>
          <w:rFonts w:hint="eastAsia" w:ascii="宋体" w:hAnsi="宋体"/>
          <w:kern w:val="44"/>
        </w:rPr>
        <w:t>　对下列途径发现的行政人员应当行政问责的线索，按照管理权限初步核实后，对需要行政问责的，应当进行调查：</w:t>
      </w:r>
    </w:p>
    <w:p w14:paraId="494BC4F0">
      <w:pPr>
        <w:jc w:val="left"/>
        <w:rPr>
          <w:rFonts w:ascii="宋体" w:hAnsi="宋体"/>
          <w:kern w:val="44"/>
        </w:rPr>
      </w:pPr>
      <w:r>
        <w:rPr>
          <w:rFonts w:hint="eastAsia" w:ascii="宋体" w:hAnsi="宋体"/>
          <w:kern w:val="44"/>
        </w:rPr>
        <w:t>（一）上级或者本级人大常委会、人民政府的监督、检查；</w:t>
      </w:r>
    </w:p>
    <w:p w14:paraId="6ACC68D1">
      <w:pPr>
        <w:jc w:val="left"/>
        <w:rPr>
          <w:rFonts w:ascii="宋体" w:hAnsi="宋体"/>
          <w:kern w:val="44"/>
        </w:rPr>
      </w:pPr>
      <w:r>
        <w:rPr>
          <w:rFonts w:hint="eastAsia" w:ascii="宋体" w:hAnsi="宋体"/>
          <w:kern w:val="44"/>
        </w:rPr>
        <w:t>（二）监察、审计、法制等行政部门的监督、检查；</w:t>
      </w:r>
    </w:p>
    <w:p w14:paraId="670D3730">
      <w:pPr>
        <w:jc w:val="left"/>
        <w:rPr>
          <w:rFonts w:ascii="宋体" w:hAnsi="宋体"/>
          <w:kern w:val="44"/>
        </w:rPr>
      </w:pPr>
      <w:r>
        <w:rPr>
          <w:rFonts w:hint="eastAsia" w:ascii="宋体" w:hAnsi="宋体"/>
          <w:kern w:val="44"/>
        </w:rPr>
        <w:t>（三）本单位的内部监督、检查；</w:t>
      </w:r>
    </w:p>
    <w:p w14:paraId="24A450D0">
      <w:pPr>
        <w:jc w:val="left"/>
        <w:rPr>
          <w:rFonts w:ascii="宋体" w:hAnsi="宋体"/>
          <w:kern w:val="44"/>
        </w:rPr>
      </w:pPr>
      <w:r>
        <w:rPr>
          <w:rFonts w:hint="eastAsia" w:ascii="宋体" w:hAnsi="宋体"/>
          <w:kern w:val="44"/>
        </w:rPr>
        <w:t>（四）行政诉讼；</w:t>
      </w:r>
    </w:p>
    <w:p w14:paraId="0A814EB4">
      <w:pPr>
        <w:jc w:val="left"/>
        <w:rPr>
          <w:rFonts w:ascii="宋体" w:hAnsi="宋体"/>
          <w:kern w:val="44"/>
        </w:rPr>
      </w:pPr>
      <w:r>
        <w:rPr>
          <w:rFonts w:hint="eastAsia" w:ascii="宋体" w:hAnsi="宋体"/>
          <w:kern w:val="44"/>
        </w:rPr>
        <w:t>（五）行政复议；</w:t>
      </w:r>
    </w:p>
    <w:p w14:paraId="552898DB">
      <w:pPr>
        <w:jc w:val="left"/>
        <w:rPr>
          <w:rFonts w:ascii="宋体" w:hAnsi="宋体"/>
          <w:kern w:val="44"/>
        </w:rPr>
      </w:pPr>
      <w:r>
        <w:rPr>
          <w:rFonts w:hint="eastAsia" w:ascii="宋体" w:hAnsi="宋体"/>
          <w:kern w:val="44"/>
        </w:rPr>
        <w:t>（六）公民、法人和其他组织的投诉、控告、检举；</w:t>
      </w:r>
    </w:p>
    <w:p w14:paraId="40F8CDC1">
      <w:pPr>
        <w:jc w:val="left"/>
        <w:rPr>
          <w:rFonts w:ascii="宋体" w:hAnsi="宋体"/>
          <w:kern w:val="44"/>
        </w:rPr>
      </w:pPr>
      <w:r>
        <w:rPr>
          <w:rFonts w:hint="eastAsia" w:ascii="宋体" w:hAnsi="宋体"/>
          <w:kern w:val="44"/>
        </w:rPr>
        <w:t>（七）公共媒体披露本办法规定的应当予以行政问责的情形且确有证据的报道；</w:t>
      </w:r>
    </w:p>
    <w:p w14:paraId="04630B7F">
      <w:pPr>
        <w:jc w:val="left"/>
        <w:rPr>
          <w:rFonts w:ascii="宋体" w:hAnsi="宋体"/>
          <w:kern w:val="44"/>
        </w:rPr>
      </w:pPr>
      <w:r>
        <w:rPr>
          <w:rFonts w:hint="eastAsia" w:ascii="宋体" w:hAnsi="宋体"/>
          <w:kern w:val="44"/>
        </w:rPr>
        <w:t>（八）其他途径。</w:t>
      </w:r>
    </w:p>
    <w:p w14:paraId="5A78092B">
      <w:pPr>
        <w:ind w:firstLine="422"/>
        <w:jc w:val="left"/>
        <w:rPr>
          <w:rFonts w:ascii="宋体" w:hAnsi="宋体"/>
          <w:kern w:val="44"/>
        </w:rPr>
      </w:pPr>
      <w:r>
        <w:rPr>
          <w:rFonts w:hint="eastAsia" w:ascii="宋体" w:hAnsi="宋体"/>
          <w:b/>
          <w:kern w:val="44"/>
        </w:rPr>
        <w:t>第二十条</w:t>
      </w:r>
      <w:r>
        <w:rPr>
          <w:rFonts w:hint="eastAsia" w:ascii="宋体" w:hAnsi="宋体"/>
          <w:kern w:val="44"/>
        </w:rPr>
        <w:t>　行政问责案件，应当自决定调查之日起3个月内作出行政问责处理决定。情况复杂的，经行政机关主要负责人批准，可以延长3个月。</w:t>
      </w:r>
    </w:p>
    <w:p w14:paraId="2EA8E8EA">
      <w:pPr>
        <w:jc w:val="left"/>
        <w:rPr>
          <w:rFonts w:ascii="宋体" w:hAnsi="宋体"/>
          <w:kern w:val="44"/>
        </w:rPr>
      </w:pPr>
      <w:r>
        <w:rPr>
          <w:rFonts w:hint="eastAsia" w:ascii="宋体" w:hAnsi="宋体"/>
          <w:kern w:val="44"/>
        </w:rPr>
        <w:t>对于事实清楚、不需要进行问责调查的行政问责案件，应当直接作出行政问责处理决定。</w:t>
      </w:r>
    </w:p>
    <w:p w14:paraId="3228549F">
      <w:pPr>
        <w:ind w:firstLine="422"/>
        <w:jc w:val="left"/>
        <w:rPr>
          <w:rFonts w:ascii="宋体" w:hAnsi="宋体"/>
          <w:kern w:val="44"/>
        </w:rPr>
      </w:pPr>
      <w:r>
        <w:rPr>
          <w:rFonts w:hint="eastAsia" w:ascii="宋体" w:hAnsi="宋体"/>
          <w:b/>
          <w:kern w:val="44"/>
        </w:rPr>
        <w:t>第二十一条</w:t>
      </w:r>
      <w:r>
        <w:rPr>
          <w:rFonts w:hint="eastAsia" w:ascii="宋体" w:hAnsi="宋体"/>
          <w:kern w:val="44"/>
        </w:rPr>
        <w:t>　调查行政问责案件，应当由两名以上工作人员进行。</w:t>
      </w:r>
    </w:p>
    <w:p w14:paraId="6CEC1EA9">
      <w:pPr>
        <w:jc w:val="left"/>
        <w:rPr>
          <w:rFonts w:ascii="宋体" w:hAnsi="宋体"/>
          <w:kern w:val="44"/>
        </w:rPr>
      </w:pPr>
      <w:r>
        <w:rPr>
          <w:rFonts w:hint="eastAsia" w:ascii="宋体" w:hAnsi="宋体"/>
          <w:kern w:val="44"/>
        </w:rPr>
        <w:t>调查处理行政问责案件，应当听取被调查的行政人员的陈述和申辩，并予以记录。对其合理意见，应当予以采纳；不予采纳的，应当说明理由。</w:t>
      </w:r>
    </w:p>
    <w:p w14:paraId="38DD4D4D">
      <w:pPr>
        <w:ind w:firstLine="422"/>
        <w:jc w:val="left"/>
        <w:rPr>
          <w:rFonts w:ascii="宋体" w:hAnsi="宋体"/>
          <w:kern w:val="44"/>
        </w:rPr>
      </w:pPr>
      <w:r>
        <w:rPr>
          <w:rFonts w:hint="eastAsia" w:ascii="宋体" w:hAnsi="宋体"/>
          <w:b/>
          <w:kern w:val="44"/>
        </w:rPr>
        <w:t>第二十二条</w:t>
      </w:r>
      <w:r>
        <w:rPr>
          <w:rFonts w:hint="eastAsia" w:ascii="宋体" w:hAnsi="宋体"/>
          <w:kern w:val="44"/>
        </w:rPr>
        <w:t>　参与行政问责案件调查、处理的人员与被调查的行政人员是近亲属关系的，或者与被调查的行政人员有其他关系，可能影响案件公正处理的，应当提出回避申请；被调查的行政人员以及与案件有利害关系的公民、法人或者其他组织有权要求其回避。</w:t>
      </w:r>
    </w:p>
    <w:p w14:paraId="2386FD69">
      <w:pPr>
        <w:jc w:val="left"/>
        <w:rPr>
          <w:rFonts w:ascii="宋体" w:hAnsi="宋体"/>
          <w:kern w:val="44"/>
        </w:rPr>
      </w:pPr>
      <w:r>
        <w:rPr>
          <w:rFonts w:hint="eastAsia" w:ascii="宋体" w:hAnsi="宋体"/>
          <w:kern w:val="44"/>
        </w:rPr>
        <w:t>行政问责决定机关负责人的回避，由行政问责决定机关的上一级行政机关负责人决定；其他调查、处理人员的回避，由行政问责决定机关负责人决定。</w:t>
      </w:r>
    </w:p>
    <w:p w14:paraId="477D6B5D">
      <w:pPr>
        <w:jc w:val="left"/>
        <w:rPr>
          <w:rFonts w:ascii="宋体" w:hAnsi="宋体"/>
          <w:kern w:val="44"/>
        </w:rPr>
      </w:pPr>
      <w:r>
        <w:rPr>
          <w:rFonts w:hint="eastAsia" w:ascii="宋体" w:hAnsi="宋体"/>
          <w:kern w:val="44"/>
        </w:rPr>
        <w:t>行政问责决定机关或者行政问责决定机关的上一级行政机关，发现调查、处理人员有应当回避的情形，可以直接决定该人员回避。</w:t>
      </w:r>
    </w:p>
    <w:p w14:paraId="36DD6530">
      <w:pPr>
        <w:ind w:firstLine="422"/>
        <w:jc w:val="left"/>
        <w:rPr>
          <w:rFonts w:ascii="宋体" w:hAnsi="宋体"/>
          <w:kern w:val="44"/>
        </w:rPr>
      </w:pPr>
      <w:r>
        <w:rPr>
          <w:rFonts w:hint="eastAsia" w:ascii="宋体" w:hAnsi="宋体"/>
          <w:b/>
          <w:kern w:val="44"/>
        </w:rPr>
        <w:t>第二十三条</w:t>
      </w:r>
      <w:r>
        <w:rPr>
          <w:rFonts w:hint="eastAsia" w:ascii="宋体" w:hAnsi="宋体"/>
          <w:kern w:val="44"/>
        </w:rPr>
        <w:t>　调查终结，应当形成调查报告并提出拟处理意见，经行政机关的监察（包括派驻监察机构）、法制、人事等工作部门主要负责人签字，提交行政机关领导成员集体讨论后，作出给予行政问责、免予行政问责或者撤销行政问责案件的书面处理决定。</w:t>
      </w:r>
    </w:p>
    <w:p w14:paraId="66E96CBB">
      <w:pPr>
        <w:ind w:firstLine="422"/>
        <w:jc w:val="left"/>
        <w:rPr>
          <w:rFonts w:ascii="宋体" w:hAnsi="宋体"/>
          <w:kern w:val="44"/>
        </w:rPr>
      </w:pPr>
      <w:r>
        <w:rPr>
          <w:rFonts w:hint="eastAsia" w:ascii="宋体" w:hAnsi="宋体"/>
          <w:b/>
          <w:kern w:val="44"/>
        </w:rPr>
        <w:t>第二十四条</w:t>
      </w:r>
      <w:r>
        <w:rPr>
          <w:rFonts w:hint="eastAsia" w:ascii="宋体" w:hAnsi="宋体"/>
          <w:kern w:val="44"/>
        </w:rPr>
        <w:t>　依照本办法第二十三条规定给予行政问责的，应当在行政问责处理决定书中载明下列内容：</w:t>
      </w:r>
    </w:p>
    <w:p w14:paraId="3A29D042">
      <w:pPr>
        <w:jc w:val="left"/>
        <w:rPr>
          <w:rFonts w:ascii="宋体" w:hAnsi="宋体"/>
          <w:kern w:val="44"/>
        </w:rPr>
      </w:pPr>
      <w:r>
        <w:rPr>
          <w:rFonts w:hint="eastAsia" w:ascii="宋体" w:hAnsi="宋体"/>
          <w:kern w:val="44"/>
        </w:rPr>
        <w:t>（一）受到问责的行政人员的姓名、职务、级别、工作单位等基本情况；</w:t>
      </w:r>
    </w:p>
    <w:p w14:paraId="7BD5DC9B">
      <w:pPr>
        <w:jc w:val="left"/>
        <w:rPr>
          <w:rFonts w:ascii="宋体" w:hAnsi="宋体"/>
          <w:kern w:val="44"/>
        </w:rPr>
      </w:pPr>
      <w:r>
        <w:rPr>
          <w:rFonts w:hint="eastAsia" w:ascii="宋体" w:hAnsi="宋体"/>
          <w:kern w:val="44"/>
        </w:rPr>
        <w:t>（二）违法违纪事实；</w:t>
      </w:r>
    </w:p>
    <w:p w14:paraId="07ED6A1F">
      <w:pPr>
        <w:jc w:val="left"/>
        <w:rPr>
          <w:rFonts w:ascii="宋体" w:hAnsi="宋体"/>
          <w:kern w:val="44"/>
        </w:rPr>
      </w:pPr>
      <w:r>
        <w:rPr>
          <w:rFonts w:hint="eastAsia" w:ascii="宋体" w:hAnsi="宋体"/>
          <w:kern w:val="44"/>
        </w:rPr>
        <w:t>（三）处理结果和依据；</w:t>
      </w:r>
    </w:p>
    <w:p w14:paraId="22B978F2">
      <w:pPr>
        <w:jc w:val="left"/>
        <w:rPr>
          <w:rFonts w:ascii="宋体" w:hAnsi="宋体"/>
          <w:kern w:val="44"/>
        </w:rPr>
      </w:pPr>
      <w:r>
        <w:rPr>
          <w:rFonts w:hint="eastAsia" w:ascii="宋体" w:hAnsi="宋体"/>
          <w:kern w:val="44"/>
        </w:rPr>
        <w:t>（四）不服行政问责处理决定的复核、申诉途径和期限；</w:t>
      </w:r>
    </w:p>
    <w:p w14:paraId="3CF677E6">
      <w:pPr>
        <w:jc w:val="left"/>
        <w:rPr>
          <w:rFonts w:ascii="宋体" w:hAnsi="宋体"/>
          <w:kern w:val="44"/>
        </w:rPr>
      </w:pPr>
      <w:r>
        <w:rPr>
          <w:rFonts w:hint="eastAsia" w:ascii="宋体" w:hAnsi="宋体"/>
          <w:kern w:val="44"/>
        </w:rPr>
        <w:t>（五）行政问责决定机关的名称、印章和作出决定的日期。</w:t>
      </w:r>
    </w:p>
    <w:p w14:paraId="42712DA1">
      <w:pPr>
        <w:ind w:firstLine="422"/>
        <w:jc w:val="left"/>
        <w:rPr>
          <w:rFonts w:ascii="宋体" w:hAnsi="宋体"/>
          <w:kern w:val="44"/>
        </w:rPr>
      </w:pPr>
      <w:r>
        <w:rPr>
          <w:rFonts w:hint="eastAsia" w:ascii="宋体" w:hAnsi="宋体"/>
          <w:b/>
          <w:kern w:val="44"/>
        </w:rPr>
        <w:t>第二十五条</w:t>
      </w:r>
      <w:r>
        <w:rPr>
          <w:rFonts w:hint="eastAsia" w:ascii="宋体" w:hAnsi="宋体"/>
          <w:kern w:val="44"/>
        </w:rPr>
        <w:t>　行政问责处理决定书应当在3个工作日内送达受到问责的行政人员，并应当及时函告有关人力资源和社会保障部门。</w:t>
      </w:r>
    </w:p>
    <w:p w14:paraId="63F31DDC">
      <w:pPr>
        <w:jc w:val="left"/>
        <w:rPr>
          <w:rFonts w:ascii="宋体" w:hAnsi="宋体"/>
          <w:kern w:val="44"/>
        </w:rPr>
      </w:pPr>
      <w:r>
        <w:rPr>
          <w:rFonts w:hint="eastAsia" w:ascii="宋体" w:hAnsi="宋体"/>
          <w:kern w:val="44"/>
        </w:rPr>
        <w:t>有关机关要求处理或者公民、法人和其他组织实名投诉、控告、检举的，应当书面告知其处理结果。</w:t>
      </w:r>
    </w:p>
    <w:p w14:paraId="1337A06E">
      <w:pPr>
        <w:jc w:val="left"/>
        <w:rPr>
          <w:rFonts w:ascii="宋体" w:hAnsi="宋体"/>
          <w:kern w:val="44"/>
        </w:rPr>
      </w:pPr>
      <w:r>
        <w:rPr>
          <w:rFonts w:hint="eastAsia" w:ascii="宋体" w:hAnsi="宋体"/>
          <w:kern w:val="44"/>
        </w:rPr>
        <w:t>行政问责处理决定应当在一定范围公开，对于造成恶劣社会影响的行政问责案件的处理决定，一般应当向社会公开。</w:t>
      </w:r>
    </w:p>
    <w:p w14:paraId="257D6179">
      <w:pPr>
        <w:ind w:firstLine="422"/>
        <w:jc w:val="left"/>
        <w:rPr>
          <w:rFonts w:ascii="宋体" w:hAnsi="宋体"/>
          <w:kern w:val="44"/>
        </w:rPr>
      </w:pPr>
      <w:r>
        <w:rPr>
          <w:rFonts w:hint="eastAsia" w:ascii="宋体" w:hAnsi="宋体"/>
          <w:b/>
          <w:kern w:val="44"/>
        </w:rPr>
        <w:t>第二十六条</w:t>
      </w:r>
      <w:r>
        <w:rPr>
          <w:rFonts w:hint="eastAsia" w:ascii="宋体" w:hAnsi="宋体"/>
          <w:kern w:val="44"/>
        </w:rPr>
        <w:t>　依照本办法规定应当给予行政问责的行政人员已调至其他行政机关工作的，原所在行政机关可以向其现任职行政机关提出处理建议，其现任职行政机关应当依法作出行政问责处理决定。</w:t>
      </w:r>
    </w:p>
    <w:p w14:paraId="0E4C12EF">
      <w:pPr>
        <w:jc w:val="left"/>
        <w:rPr>
          <w:rFonts w:ascii="宋体" w:hAnsi="宋体"/>
          <w:kern w:val="44"/>
        </w:rPr>
      </w:pPr>
    </w:p>
    <w:p w14:paraId="5DB5269A">
      <w:pPr>
        <w:ind w:firstLine="0" w:firstLineChars="0"/>
        <w:jc w:val="center"/>
        <w:rPr>
          <w:rFonts w:ascii="宋体" w:hAnsi="宋体"/>
          <w:b/>
          <w:kern w:val="44"/>
          <w:sz w:val="28"/>
        </w:rPr>
      </w:pPr>
      <w:r>
        <w:rPr>
          <w:rFonts w:hint="eastAsia" w:ascii="宋体" w:hAnsi="宋体"/>
          <w:b/>
          <w:kern w:val="44"/>
          <w:sz w:val="28"/>
        </w:rPr>
        <w:t>第五章　复核申诉</w:t>
      </w:r>
    </w:p>
    <w:p w14:paraId="35A36835">
      <w:pPr>
        <w:jc w:val="left"/>
        <w:rPr>
          <w:rFonts w:ascii="宋体" w:hAnsi="宋体"/>
          <w:kern w:val="44"/>
        </w:rPr>
      </w:pPr>
    </w:p>
    <w:p w14:paraId="437BD27E">
      <w:pPr>
        <w:ind w:firstLine="422"/>
        <w:jc w:val="left"/>
        <w:rPr>
          <w:rFonts w:ascii="宋体" w:hAnsi="宋体"/>
          <w:kern w:val="44"/>
        </w:rPr>
      </w:pPr>
      <w:r>
        <w:rPr>
          <w:rFonts w:hint="eastAsia" w:ascii="宋体" w:hAnsi="宋体"/>
          <w:b/>
          <w:kern w:val="44"/>
        </w:rPr>
        <w:t>第二十七条</w:t>
      </w:r>
      <w:r>
        <w:rPr>
          <w:rFonts w:hint="eastAsia" w:ascii="宋体" w:hAnsi="宋体"/>
          <w:kern w:val="44"/>
        </w:rPr>
        <w:t>　受到问责的行政人员对处理决定不服的，可以自收到处理决定之日起30日内向作出处理决定的机关申请复核；对复核决定不服的，可以自收到复核决定之日起15日内向同级人力资源和社会保障部门或者作出该复核决定的机关的上一级机关提出申诉；也可以不经复核，自收到处理决定之日起30日内直接提出申诉。</w:t>
      </w:r>
    </w:p>
    <w:p w14:paraId="516341B4">
      <w:pPr>
        <w:ind w:firstLine="422"/>
        <w:jc w:val="left"/>
        <w:rPr>
          <w:rFonts w:ascii="宋体" w:hAnsi="宋体"/>
          <w:kern w:val="44"/>
        </w:rPr>
      </w:pPr>
      <w:r>
        <w:rPr>
          <w:rFonts w:hint="eastAsia" w:ascii="宋体" w:hAnsi="宋体"/>
          <w:b/>
          <w:kern w:val="44"/>
        </w:rPr>
        <w:t>第二十八条</w:t>
      </w:r>
      <w:r>
        <w:rPr>
          <w:rFonts w:hint="eastAsia" w:ascii="宋体" w:hAnsi="宋体"/>
          <w:kern w:val="44"/>
        </w:rPr>
        <w:t>　行政机关应当自受理复核申请之日起30日内作出书面复核决定并送达申请人。</w:t>
      </w:r>
    </w:p>
    <w:p w14:paraId="627A3AC7">
      <w:pPr>
        <w:jc w:val="left"/>
        <w:rPr>
          <w:rFonts w:ascii="宋体" w:hAnsi="宋体"/>
          <w:kern w:val="44"/>
        </w:rPr>
      </w:pPr>
      <w:r>
        <w:rPr>
          <w:rFonts w:hint="eastAsia" w:ascii="宋体" w:hAnsi="宋体"/>
          <w:kern w:val="44"/>
        </w:rPr>
        <w:t>申诉受理机关应当自受理申诉之日起60日内作出申诉处理决定书并送达申请人和原处理机关；案情复杂的，可以适当延长，但延长时间不得超过30日。</w:t>
      </w:r>
    </w:p>
    <w:p w14:paraId="747E8A9C">
      <w:pPr>
        <w:jc w:val="left"/>
        <w:rPr>
          <w:rFonts w:ascii="宋体" w:hAnsi="宋体"/>
          <w:kern w:val="44"/>
        </w:rPr>
      </w:pPr>
      <w:r>
        <w:rPr>
          <w:rFonts w:hint="eastAsia" w:ascii="宋体" w:hAnsi="宋体"/>
          <w:kern w:val="44"/>
        </w:rPr>
        <w:t>复核、申诉期间不停止执行原问责处理决定。</w:t>
      </w:r>
    </w:p>
    <w:p w14:paraId="56BDF595">
      <w:pPr>
        <w:jc w:val="left"/>
        <w:rPr>
          <w:rFonts w:ascii="宋体" w:hAnsi="宋体"/>
          <w:kern w:val="44"/>
        </w:rPr>
      </w:pPr>
      <w:r>
        <w:rPr>
          <w:rFonts w:hint="eastAsia" w:ascii="宋体" w:hAnsi="宋体"/>
          <w:kern w:val="44"/>
        </w:rPr>
        <w:t>受到问责的行政人员不因提出复核、申诉被加重处理。</w:t>
      </w:r>
    </w:p>
    <w:p w14:paraId="5FA650BE">
      <w:pPr>
        <w:ind w:firstLine="422"/>
        <w:jc w:val="left"/>
        <w:rPr>
          <w:rFonts w:ascii="宋体" w:hAnsi="宋体"/>
          <w:kern w:val="44"/>
        </w:rPr>
      </w:pPr>
      <w:r>
        <w:rPr>
          <w:rFonts w:hint="eastAsia" w:ascii="宋体" w:hAnsi="宋体"/>
          <w:b/>
          <w:kern w:val="44"/>
        </w:rPr>
        <w:t>第二十九条</w:t>
      </w:r>
      <w:r>
        <w:rPr>
          <w:rFonts w:hint="eastAsia" w:ascii="宋体" w:hAnsi="宋体"/>
          <w:kern w:val="44"/>
        </w:rPr>
        <w:t>　申诉受理机关审查认定原处理决定有错误的，原处理机关应当自收到申诉处理决定书后15日内予以纠正。</w:t>
      </w:r>
    </w:p>
    <w:p w14:paraId="7661D6C9">
      <w:pPr>
        <w:ind w:firstLine="422"/>
        <w:jc w:val="left"/>
        <w:rPr>
          <w:rFonts w:ascii="宋体" w:hAnsi="宋体"/>
          <w:kern w:val="44"/>
        </w:rPr>
      </w:pPr>
      <w:r>
        <w:rPr>
          <w:rFonts w:hint="eastAsia" w:ascii="宋体" w:hAnsi="宋体"/>
          <w:b/>
          <w:kern w:val="44"/>
        </w:rPr>
        <w:t>第三十条</w:t>
      </w:r>
      <w:r>
        <w:rPr>
          <w:rFonts w:hint="eastAsia" w:ascii="宋体" w:hAnsi="宋体"/>
          <w:kern w:val="44"/>
        </w:rPr>
        <w:t>　经复核、申诉认定行政问责处理决定错误，对行政人员造成名誉损害的，原处理机关应当赔礼道歉、恢复名誉、消除影响；造成经济损失的，应当依法补偿。</w:t>
      </w:r>
    </w:p>
    <w:p w14:paraId="265DBB14">
      <w:pPr>
        <w:jc w:val="left"/>
        <w:rPr>
          <w:rFonts w:ascii="宋体" w:hAnsi="宋体"/>
          <w:kern w:val="44"/>
        </w:rPr>
      </w:pPr>
    </w:p>
    <w:p w14:paraId="17FDD1CA">
      <w:pPr>
        <w:ind w:firstLine="0" w:firstLineChars="0"/>
        <w:jc w:val="center"/>
        <w:rPr>
          <w:rFonts w:ascii="宋体" w:hAnsi="宋体"/>
          <w:b/>
          <w:kern w:val="44"/>
          <w:sz w:val="28"/>
        </w:rPr>
      </w:pPr>
      <w:r>
        <w:rPr>
          <w:rFonts w:hint="eastAsia" w:ascii="宋体" w:hAnsi="宋体"/>
          <w:b/>
          <w:kern w:val="44"/>
          <w:sz w:val="28"/>
        </w:rPr>
        <w:t>第六章　附　则</w:t>
      </w:r>
    </w:p>
    <w:p w14:paraId="49BB94EB">
      <w:pPr>
        <w:jc w:val="left"/>
        <w:rPr>
          <w:rFonts w:ascii="宋体" w:hAnsi="宋体"/>
          <w:kern w:val="44"/>
        </w:rPr>
      </w:pPr>
    </w:p>
    <w:p w14:paraId="25FBD0FA">
      <w:pPr>
        <w:ind w:firstLine="422"/>
        <w:jc w:val="left"/>
        <w:rPr>
          <w:rFonts w:ascii="宋体" w:hAnsi="宋体"/>
          <w:kern w:val="44"/>
        </w:rPr>
      </w:pPr>
      <w:r>
        <w:rPr>
          <w:rFonts w:hint="eastAsia" w:ascii="宋体" w:hAnsi="宋体"/>
          <w:b/>
          <w:kern w:val="44"/>
        </w:rPr>
        <w:t>第三十一条</w:t>
      </w:r>
      <w:r>
        <w:rPr>
          <w:rFonts w:hint="eastAsia" w:ascii="宋体" w:hAnsi="宋体"/>
          <w:kern w:val="44"/>
        </w:rPr>
        <w:t>　对经市或者区、县人民代表大会及其常务委员会选举或者决定任命的人员予以停职检查、调离工作岗位、责令辞去领导职务、免职处理的，按照有关法律规定的程序办理。</w:t>
      </w:r>
    </w:p>
    <w:p w14:paraId="43EB832C">
      <w:pPr>
        <w:ind w:firstLine="422"/>
        <w:jc w:val="left"/>
        <w:rPr>
          <w:rFonts w:ascii="宋体" w:hAnsi="宋体"/>
          <w:kern w:val="44"/>
        </w:rPr>
      </w:pPr>
      <w:r>
        <w:rPr>
          <w:rFonts w:hint="eastAsia" w:ascii="宋体" w:hAnsi="宋体"/>
          <w:b/>
          <w:kern w:val="44"/>
        </w:rPr>
        <w:t>第三十二条</w:t>
      </w:r>
      <w:r>
        <w:rPr>
          <w:rFonts w:hint="eastAsia" w:ascii="宋体" w:hAnsi="宋体"/>
          <w:kern w:val="44"/>
        </w:rPr>
        <w:t>　本办法自2011年10月1日起施行。</w:t>
      </w:r>
    </w:p>
    <w:p w14:paraId="5909762A">
      <w:pPr>
        <w:pStyle w:val="4"/>
        <w:pageBreakBefore/>
        <w:rPr>
          <w:kern w:val="44"/>
        </w:rPr>
      </w:pPr>
      <w:bookmarkStart w:id="303" w:name="_Toc422471107"/>
      <w:bookmarkStart w:id="304" w:name="_Toc428779989"/>
      <w:bookmarkStart w:id="305" w:name="_Toc427651423"/>
      <w:bookmarkStart w:id="306" w:name="_Toc427651765"/>
      <w:bookmarkStart w:id="307" w:name="_Toc428781471"/>
      <w:r>
        <w:rPr>
          <w:rFonts w:hint="eastAsia"/>
          <w:kern w:val="44"/>
        </w:rPr>
        <w:t>北京市实施国家重大活动保障</w:t>
      </w:r>
      <w:bookmarkEnd w:id="303"/>
      <w:bookmarkStart w:id="308" w:name="_Toc422471108"/>
      <w:r>
        <w:rPr>
          <w:rFonts w:hint="eastAsia"/>
          <w:kern w:val="44"/>
        </w:rPr>
        <w:t>措施的若干规定</w:t>
      </w:r>
      <w:bookmarkEnd w:id="304"/>
      <w:bookmarkEnd w:id="305"/>
      <w:bookmarkEnd w:id="306"/>
      <w:bookmarkEnd w:id="307"/>
      <w:bookmarkEnd w:id="308"/>
    </w:p>
    <w:p w14:paraId="307EDFCA">
      <w:pPr>
        <w:ind w:left="630" w:leftChars="300" w:right="630" w:rightChars="300"/>
        <w:jc w:val="left"/>
        <w:rPr>
          <w:rFonts w:ascii="楷体" w:hAnsi="楷体" w:eastAsia="楷体"/>
          <w:kern w:val="44"/>
        </w:rPr>
      </w:pPr>
      <w:r>
        <w:rPr>
          <w:rFonts w:hint="eastAsia" w:ascii="楷体" w:hAnsi="楷体" w:eastAsia="楷体"/>
          <w:kern w:val="44"/>
        </w:rPr>
        <w:t>（2014年7月10日市人民政府第48次常务会议审议通过  2014年10月21日北京市人民政府第261号令公布）</w:t>
      </w:r>
    </w:p>
    <w:p w14:paraId="367034C5">
      <w:pPr>
        <w:ind w:left="630" w:leftChars="300" w:right="630" w:rightChars="300"/>
        <w:jc w:val="left"/>
        <w:rPr>
          <w:rFonts w:ascii="楷体" w:hAnsi="楷体" w:eastAsia="楷体"/>
          <w:kern w:val="44"/>
        </w:rPr>
      </w:pPr>
    </w:p>
    <w:p w14:paraId="1CF2A37F">
      <w:pPr>
        <w:ind w:firstLine="422"/>
        <w:jc w:val="left"/>
        <w:rPr>
          <w:rFonts w:ascii="宋体" w:hAnsi="宋体"/>
          <w:kern w:val="44"/>
        </w:rPr>
      </w:pPr>
      <w:r>
        <w:rPr>
          <w:rFonts w:hint="eastAsia" w:ascii="宋体" w:hAnsi="宋体"/>
          <w:b/>
          <w:kern w:val="44"/>
        </w:rPr>
        <w:t>第一条</w:t>
      </w:r>
      <w:r>
        <w:rPr>
          <w:rFonts w:hint="eastAsia" w:ascii="宋体" w:hAnsi="宋体"/>
          <w:kern w:val="44"/>
        </w:rPr>
        <w:t>　为保障国家重大活动的举行，落实相关保障措施，根据有关法律、法规，制定本规定。</w:t>
      </w:r>
    </w:p>
    <w:p w14:paraId="338E4DEB">
      <w:pPr>
        <w:ind w:firstLine="422"/>
        <w:jc w:val="left"/>
        <w:rPr>
          <w:rFonts w:ascii="宋体" w:hAnsi="宋体"/>
          <w:kern w:val="44"/>
        </w:rPr>
      </w:pPr>
      <w:r>
        <w:rPr>
          <w:rFonts w:hint="eastAsia" w:ascii="宋体" w:hAnsi="宋体"/>
          <w:b/>
          <w:kern w:val="44"/>
        </w:rPr>
        <w:t>第二条</w:t>
      </w:r>
      <w:r>
        <w:rPr>
          <w:rFonts w:hint="eastAsia" w:ascii="宋体" w:hAnsi="宋体"/>
          <w:kern w:val="44"/>
        </w:rPr>
        <w:t>　本规定所称国家重大活动，是指在本市行政区域内举行的具有重大国际影响的国事活动、国际交往活动、国家庆典。</w:t>
      </w:r>
    </w:p>
    <w:p w14:paraId="32FE341F">
      <w:pPr>
        <w:jc w:val="left"/>
        <w:rPr>
          <w:rFonts w:ascii="宋体" w:hAnsi="宋体"/>
          <w:kern w:val="44"/>
        </w:rPr>
      </w:pPr>
      <w:r>
        <w:rPr>
          <w:rFonts w:hint="eastAsia" w:ascii="宋体" w:hAnsi="宋体"/>
          <w:kern w:val="44"/>
        </w:rPr>
        <w:t>本规定所称保障措施，是指本市为保障国家重大活动的顺利举行，针对可能存在的风险和影响，在采取常规管理措施不能满足需要的情况下，参照有关法律、法规采取的预防性、临时性专项行政管理措施。</w:t>
      </w:r>
    </w:p>
    <w:p w14:paraId="4BC5ED28">
      <w:pPr>
        <w:ind w:firstLine="422"/>
        <w:jc w:val="left"/>
        <w:rPr>
          <w:rFonts w:ascii="宋体" w:hAnsi="宋体"/>
          <w:kern w:val="44"/>
        </w:rPr>
      </w:pPr>
      <w:r>
        <w:rPr>
          <w:rFonts w:hint="eastAsia" w:ascii="宋体" w:hAnsi="宋体"/>
          <w:b/>
          <w:kern w:val="44"/>
        </w:rPr>
        <w:t>第三条</w:t>
      </w:r>
      <w:r>
        <w:rPr>
          <w:rFonts w:hint="eastAsia" w:ascii="宋体" w:hAnsi="宋体"/>
          <w:kern w:val="44"/>
        </w:rPr>
        <w:t>　在国家重大活动举办期间以及前后延展的合理期限内，根据活动举办单位或者保障单位提出的要求，本市可以在社会秩序、道路交通、生产经营、环境保护等方面采取保障措施。</w:t>
      </w:r>
    </w:p>
    <w:p w14:paraId="01DC1B26">
      <w:pPr>
        <w:ind w:firstLine="422"/>
        <w:jc w:val="left"/>
        <w:rPr>
          <w:rFonts w:ascii="宋体" w:hAnsi="宋体"/>
          <w:kern w:val="44"/>
        </w:rPr>
      </w:pPr>
      <w:r>
        <w:rPr>
          <w:rFonts w:hint="eastAsia" w:ascii="宋体" w:hAnsi="宋体"/>
          <w:b/>
          <w:kern w:val="44"/>
        </w:rPr>
        <w:t>第四条</w:t>
      </w:r>
      <w:r>
        <w:rPr>
          <w:rFonts w:hint="eastAsia" w:ascii="宋体" w:hAnsi="宋体"/>
          <w:kern w:val="44"/>
        </w:rPr>
        <w:t>　本市采取保障措施，应当遵循必要、合理、可行、有效的原则。</w:t>
      </w:r>
    </w:p>
    <w:p w14:paraId="312BEB0B">
      <w:pPr>
        <w:ind w:firstLine="422"/>
        <w:jc w:val="left"/>
        <w:rPr>
          <w:rFonts w:ascii="宋体" w:hAnsi="宋体"/>
          <w:kern w:val="44"/>
        </w:rPr>
      </w:pPr>
      <w:r>
        <w:rPr>
          <w:rFonts w:hint="eastAsia" w:ascii="宋体" w:hAnsi="宋体"/>
          <w:b/>
          <w:kern w:val="44"/>
        </w:rPr>
        <w:t>第五条</w:t>
      </w:r>
      <w:r>
        <w:rPr>
          <w:rFonts w:hint="eastAsia" w:ascii="宋体" w:hAnsi="宋体"/>
          <w:kern w:val="44"/>
        </w:rPr>
        <w:t>　保障措施由市人民政府有关部门或者区县人民政府提出，报市人民政府批准。</w:t>
      </w:r>
    </w:p>
    <w:p w14:paraId="340BD5B3">
      <w:pPr>
        <w:jc w:val="left"/>
        <w:rPr>
          <w:rFonts w:ascii="宋体" w:hAnsi="宋体"/>
          <w:kern w:val="44"/>
        </w:rPr>
      </w:pPr>
      <w:r>
        <w:rPr>
          <w:rFonts w:hint="eastAsia" w:ascii="宋体" w:hAnsi="宋体"/>
          <w:kern w:val="44"/>
        </w:rPr>
        <w:t>保障措施应当明确实施机关、适用范围、管理措施、善后处置和起止时间。</w:t>
      </w:r>
    </w:p>
    <w:p w14:paraId="311E91B0">
      <w:pPr>
        <w:ind w:firstLine="422"/>
        <w:jc w:val="left"/>
        <w:rPr>
          <w:rFonts w:ascii="宋体" w:hAnsi="宋体"/>
          <w:kern w:val="44"/>
        </w:rPr>
      </w:pPr>
      <w:r>
        <w:rPr>
          <w:rFonts w:hint="eastAsia" w:ascii="宋体" w:hAnsi="宋体"/>
          <w:b/>
          <w:kern w:val="44"/>
        </w:rPr>
        <w:t>第六条</w:t>
      </w:r>
      <w:r>
        <w:rPr>
          <w:rFonts w:hint="eastAsia" w:ascii="宋体" w:hAnsi="宋体"/>
          <w:kern w:val="44"/>
        </w:rPr>
        <w:t>　市人民政府有关部门或者区县人民政府提出保障措施时，应当对拟采取的保障措施进行评估论证；在报请市人民政府批准时，将评估论证情况一并进行说明。</w:t>
      </w:r>
    </w:p>
    <w:p w14:paraId="31B37ED3">
      <w:pPr>
        <w:ind w:firstLine="422"/>
        <w:jc w:val="left"/>
        <w:rPr>
          <w:rFonts w:ascii="宋体" w:hAnsi="宋体"/>
          <w:kern w:val="44"/>
        </w:rPr>
      </w:pPr>
      <w:r>
        <w:rPr>
          <w:rFonts w:hint="eastAsia" w:ascii="宋体" w:hAnsi="宋体"/>
          <w:b/>
          <w:kern w:val="44"/>
        </w:rPr>
        <w:t>第七条</w:t>
      </w:r>
      <w:r>
        <w:rPr>
          <w:rFonts w:hint="eastAsia" w:ascii="宋体" w:hAnsi="宋体"/>
          <w:kern w:val="44"/>
        </w:rPr>
        <w:t>　经批准的保障措施，应当在实施前至少15日向国家有关部门报告，并报市人大常委会备案，同时向社会公布。</w:t>
      </w:r>
    </w:p>
    <w:p w14:paraId="30B1944D">
      <w:pPr>
        <w:ind w:firstLine="422"/>
        <w:jc w:val="left"/>
        <w:rPr>
          <w:rFonts w:ascii="宋体" w:hAnsi="宋体"/>
          <w:kern w:val="44"/>
        </w:rPr>
      </w:pPr>
      <w:r>
        <w:rPr>
          <w:rFonts w:hint="eastAsia" w:ascii="宋体" w:hAnsi="宋体"/>
          <w:b/>
          <w:kern w:val="44"/>
        </w:rPr>
        <w:t>第八条</w:t>
      </w:r>
      <w:r>
        <w:rPr>
          <w:rFonts w:hint="eastAsia" w:ascii="宋体" w:hAnsi="宋体"/>
          <w:kern w:val="44"/>
        </w:rPr>
        <w:t>　市人民政府有关部门或者区县人民政府应当严格执行批准的保障措施，不得擅自调整实施机关、扩大适用范围、变更管理措施、延长适用期限。</w:t>
      </w:r>
    </w:p>
    <w:p w14:paraId="038BE895">
      <w:pPr>
        <w:jc w:val="left"/>
        <w:rPr>
          <w:rFonts w:ascii="宋体" w:hAnsi="宋体"/>
          <w:kern w:val="44"/>
        </w:rPr>
      </w:pPr>
      <w:r>
        <w:rPr>
          <w:rFonts w:hint="eastAsia" w:ascii="宋体" w:hAnsi="宋体"/>
          <w:kern w:val="44"/>
        </w:rPr>
        <w:t>保障措施适用期限届满，已采取的保障措施自动失效。</w:t>
      </w:r>
    </w:p>
    <w:p w14:paraId="04E5E35B">
      <w:pPr>
        <w:ind w:firstLine="422"/>
        <w:jc w:val="left"/>
        <w:rPr>
          <w:rFonts w:ascii="宋体" w:hAnsi="宋体"/>
          <w:kern w:val="44"/>
        </w:rPr>
      </w:pPr>
      <w:r>
        <w:rPr>
          <w:rFonts w:hint="eastAsia" w:ascii="宋体" w:hAnsi="宋体"/>
          <w:b/>
          <w:kern w:val="44"/>
        </w:rPr>
        <w:t>第九条</w:t>
      </w:r>
      <w:r>
        <w:rPr>
          <w:rFonts w:hint="eastAsia" w:ascii="宋体" w:hAnsi="宋体"/>
          <w:kern w:val="44"/>
        </w:rPr>
        <w:t>　市和区县人民政府应当做好社会宣传和舆论引导。</w:t>
      </w:r>
    </w:p>
    <w:p w14:paraId="64CD7806">
      <w:pPr>
        <w:jc w:val="left"/>
        <w:rPr>
          <w:rFonts w:ascii="宋体" w:hAnsi="宋体"/>
          <w:kern w:val="44"/>
        </w:rPr>
      </w:pPr>
      <w:r>
        <w:rPr>
          <w:rFonts w:hint="eastAsia" w:ascii="宋体" w:hAnsi="宋体"/>
          <w:kern w:val="44"/>
        </w:rPr>
        <w:t>公民、法人和其他组织应当增强首都意识，积极履行社会责任，自觉调整自身生产生活，配合保障措施的实施。</w:t>
      </w:r>
    </w:p>
    <w:p w14:paraId="6B4D20D3">
      <w:pPr>
        <w:ind w:firstLine="422"/>
        <w:jc w:val="left"/>
        <w:rPr>
          <w:rFonts w:ascii="宋体" w:hAnsi="宋体"/>
          <w:kern w:val="44"/>
        </w:rPr>
      </w:pPr>
      <w:r>
        <w:rPr>
          <w:rFonts w:hint="eastAsia" w:ascii="宋体" w:hAnsi="宋体"/>
          <w:b/>
          <w:kern w:val="44"/>
        </w:rPr>
        <w:t>第十条</w:t>
      </w:r>
      <w:r>
        <w:rPr>
          <w:rFonts w:hint="eastAsia" w:ascii="宋体" w:hAnsi="宋体"/>
          <w:kern w:val="44"/>
        </w:rPr>
        <w:t>　公民、法人或者其他组织不履行相关义务的，有关部门应当依照相关法律、法规或者规章的规定予以处理；阻碍保障措施实施，构成违反治安管理行为的，依法给予治安管理处罚；构成犯罪的，依法追究刑事责任。</w:t>
      </w:r>
    </w:p>
    <w:p w14:paraId="7C128584">
      <w:pPr>
        <w:ind w:firstLine="422"/>
        <w:jc w:val="left"/>
        <w:rPr>
          <w:rFonts w:ascii="宋体" w:hAnsi="宋体"/>
          <w:kern w:val="44"/>
        </w:rPr>
      </w:pPr>
      <w:r>
        <w:rPr>
          <w:rFonts w:hint="eastAsia" w:ascii="宋体" w:hAnsi="宋体"/>
          <w:b/>
          <w:kern w:val="44"/>
        </w:rPr>
        <w:t>第十一条</w:t>
      </w:r>
      <w:r>
        <w:rPr>
          <w:rFonts w:hint="eastAsia" w:ascii="宋体" w:hAnsi="宋体"/>
          <w:kern w:val="44"/>
        </w:rPr>
        <w:t>　本规定自公布之日起施行。</w:t>
      </w:r>
    </w:p>
    <w:p w14:paraId="07EA29DD">
      <w:pPr>
        <w:pStyle w:val="4"/>
        <w:pageBreakBefore/>
        <w:rPr>
          <w:kern w:val="44"/>
        </w:rPr>
      </w:pPr>
      <w:bookmarkStart w:id="309" w:name="_Toc422471109"/>
      <w:bookmarkStart w:id="310" w:name="_Toc427651424"/>
      <w:bookmarkStart w:id="311" w:name="_Toc427651766"/>
      <w:bookmarkStart w:id="312" w:name="_Toc428779990"/>
      <w:bookmarkStart w:id="313" w:name="_Toc428781472"/>
      <w:r>
        <w:rPr>
          <w:rFonts w:hint="eastAsia"/>
          <w:kern w:val="44"/>
        </w:rPr>
        <w:t>北京市政府信息公开规定</w:t>
      </w:r>
      <w:bookmarkEnd w:id="309"/>
      <w:bookmarkEnd w:id="310"/>
      <w:bookmarkEnd w:id="311"/>
      <w:bookmarkEnd w:id="312"/>
      <w:bookmarkEnd w:id="313"/>
    </w:p>
    <w:p w14:paraId="6AE93B96">
      <w:pPr>
        <w:ind w:left="630" w:leftChars="300" w:right="630" w:rightChars="300"/>
        <w:jc w:val="left"/>
        <w:rPr>
          <w:rFonts w:ascii="楷体" w:hAnsi="楷体" w:eastAsia="楷体"/>
          <w:kern w:val="44"/>
        </w:rPr>
      </w:pPr>
      <w:r>
        <w:rPr>
          <w:rFonts w:hint="eastAsia" w:ascii="楷体" w:hAnsi="楷体" w:eastAsia="楷体"/>
          <w:kern w:val="44"/>
        </w:rPr>
        <w:t>（2014年5月21日市人民政府第42次常务会议审议通过  2014年</w:t>
      </w:r>
      <w:r>
        <w:rPr>
          <w:rFonts w:hint="eastAsia" w:ascii="楷体" w:hAnsi="楷体" w:eastAsia="MS Mincho"/>
          <w:kern w:val="44"/>
          <w:lang w:eastAsia="ja-JP"/>
        </w:rPr>
        <w:t>6</w:t>
      </w:r>
      <w:r>
        <w:rPr>
          <w:rFonts w:hint="eastAsia" w:ascii="楷体" w:hAnsi="楷体" w:eastAsia="楷体"/>
          <w:kern w:val="44"/>
        </w:rPr>
        <w:t>月23日北京市人民政府第257号令公布）</w:t>
      </w:r>
    </w:p>
    <w:p w14:paraId="228F3A46">
      <w:pPr>
        <w:ind w:left="630" w:leftChars="300" w:right="630" w:rightChars="300"/>
        <w:jc w:val="left"/>
        <w:rPr>
          <w:rFonts w:ascii="楷体" w:hAnsi="楷体" w:eastAsia="楷体"/>
          <w:kern w:val="44"/>
        </w:rPr>
      </w:pPr>
    </w:p>
    <w:p w14:paraId="03920B21">
      <w:pPr>
        <w:ind w:firstLine="0" w:firstLineChars="0"/>
        <w:jc w:val="center"/>
        <w:rPr>
          <w:rFonts w:ascii="宋体" w:hAnsi="宋体"/>
          <w:b/>
          <w:kern w:val="44"/>
        </w:rPr>
      </w:pPr>
      <w:r>
        <w:rPr>
          <w:rFonts w:hint="eastAsia" w:ascii="宋体" w:hAnsi="宋体"/>
          <w:b/>
          <w:kern w:val="44"/>
          <w:sz w:val="28"/>
        </w:rPr>
        <w:t>第一章　总　则</w:t>
      </w:r>
    </w:p>
    <w:p w14:paraId="55B19A80">
      <w:pPr>
        <w:jc w:val="left"/>
        <w:rPr>
          <w:rFonts w:ascii="宋体" w:hAnsi="宋体"/>
          <w:kern w:val="44"/>
        </w:rPr>
      </w:pPr>
    </w:p>
    <w:p w14:paraId="4D59DA5A">
      <w:pPr>
        <w:ind w:firstLine="422"/>
        <w:jc w:val="left"/>
        <w:rPr>
          <w:rFonts w:ascii="宋体" w:hAnsi="宋体"/>
          <w:kern w:val="44"/>
        </w:rPr>
      </w:pPr>
      <w:r>
        <w:rPr>
          <w:rFonts w:hint="eastAsia" w:ascii="宋体" w:hAnsi="宋体"/>
          <w:b/>
          <w:kern w:val="44"/>
        </w:rPr>
        <w:t>第一条</w:t>
      </w:r>
      <w:r>
        <w:rPr>
          <w:rFonts w:hint="eastAsia" w:ascii="宋体" w:hAnsi="宋体"/>
          <w:kern w:val="44"/>
        </w:rPr>
        <w:t>　依据《中华人民共和国政府信息公开条例》和其他有关法律、法规规定，结合本市实际，制定本规定。</w:t>
      </w:r>
    </w:p>
    <w:p w14:paraId="6B8A8CE5">
      <w:pPr>
        <w:ind w:firstLine="422"/>
        <w:jc w:val="left"/>
        <w:rPr>
          <w:rFonts w:ascii="宋体" w:hAnsi="宋体"/>
          <w:kern w:val="44"/>
        </w:rPr>
      </w:pPr>
      <w:r>
        <w:rPr>
          <w:rFonts w:hint="eastAsia" w:ascii="宋体" w:hAnsi="宋体"/>
          <w:b/>
          <w:kern w:val="44"/>
        </w:rPr>
        <w:t>第二条</w:t>
      </w:r>
      <w:r>
        <w:rPr>
          <w:rFonts w:hint="eastAsia" w:ascii="宋体" w:hAnsi="宋体"/>
          <w:kern w:val="44"/>
        </w:rPr>
        <w:t>　本规定所称政府信息，是指行政机关在履行职责过程中制作或者获取的，以一定形式记录、保存的信息。</w:t>
      </w:r>
    </w:p>
    <w:p w14:paraId="458270DB">
      <w:pPr>
        <w:ind w:firstLine="422"/>
        <w:jc w:val="left"/>
        <w:rPr>
          <w:rFonts w:ascii="宋体" w:hAnsi="宋体"/>
          <w:kern w:val="44"/>
        </w:rPr>
      </w:pPr>
      <w:r>
        <w:rPr>
          <w:rFonts w:hint="eastAsia" w:ascii="宋体" w:hAnsi="宋体"/>
          <w:b/>
          <w:kern w:val="44"/>
        </w:rPr>
        <w:t>第三条</w:t>
      </w:r>
      <w:r>
        <w:rPr>
          <w:rFonts w:hint="eastAsia" w:ascii="宋体" w:hAnsi="宋体"/>
          <w:kern w:val="44"/>
        </w:rPr>
        <w:t>　各级人民政府应当加强对政府信息公开工作的组织领导。</w:t>
      </w:r>
    </w:p>
    <w:p w14:paraId="7A82EA29">
      <w:pPr>
        <w:jc w:val="left"/>
        <w:rPr>
          <w:rFonts w:ascii="宋体" w:hAnsi="宋体"/>
          <w:kern w:val="44"/>
        </w:rPr>
      </w:pPr>
      <w:r>
        <w:rPr>
          <w:rFonts w:hint="eastAsia" w:ascii="宋体" w:hAnsi="宋体"/>
          <w:kern w:val="44"/>
        </w:rPr>
        <w:t>市政府办公厅是本市政府信息公开工作的主管部门，负责推进、指导、协调、监督本市的政府信息公开工作。</w:t>
      </w:r>
    </w:p>
    <w:p w14:paraId="1CEC9414">
      <w:pPr>
        <w:jc w:val="left"/>
        <w:rPr>
          <w:rFonts w:ascii="宋体" w:hAnsi="宋体"/>
          <w:kern w:val="44"/>
        </w:rPr>
      </w:pPr>
      <w:r>
        <w:rPr>
          <w:rFonts w:hint="eastAsia" w:ascii="宋体" w:hAnsi="宋体"/>
          <w:kern w:val="44"/>
        </w:rPr>
        <w:t>区、县人民政府办公室是本区、县政府信息公开工作的主管部门，负责推进、指导、协调、监督本行政区域的政府信息公开工作。</w:t>
      </w:r>
    </w:p>
    <w:p w14:paraId="3369508B">
      <w:pPr>
        <w:jc w:val="left"/>
        <w:rPr>
          <w:rFonts w:ascii="宋体" w:hAnsi="宋体"/>
          <w:kern w:val="44"/>
        </w:rPr>
      </w:pPr>
      <w:r>
        <w:rPr>
          <w:rFonts w:hint="eastAsia" w:ascii="宋体" w:hAnsi="宋体"/>
          <w:kern w:val="44"/>
        </w:rPr>
        <w:t>实行垂直领导的部门在上级主管部门的领导和所在地人民政府统一指导、协调下开展政府信息公开工作。</w:t>
      </w:r>
    </w:p>
    <w:p w14:paraId="5FFEC42D">
      <w:pPr>
        <w:jc w:val="left"/>
        <w:rPr>
          <w:rFonts w:ascii="宋体" w:hAnsi="宋体"/>
          <w:kern w:val="44"/>
        </w:rPr>
      </w:pPr>
      <w:r>
        <w:rPr>
          <w:rFonts w:hint="eastAsia" w:ascii="宋体" w:hAnsi="宋体"/>
          <w:kern w:val="44"/>
        </w:rPr>
        <w:t>实行双重领导的部门在所在地人民政府的领导下开展政府信息公开工作，并接受上级主管部门的指导。</w:t>
      </w:r>
    </w:p>
    <w:p w14:paraId="29C8B4AD">
      <w:pPr>
        <w:ind w:firstLine="422"/>
        <w:jc w:val="left"/>
        <w:rPr>
          <w:rFonts w:ascii="宋体" w:hAnsi="宋体"/>
          <w:kern w:val="44"/>
        </w:rPr>
      </w:pPr>
      <w:r>
        <w:rPr>
          <w:rFonts w:hint="eastAsia" w:ascii="宋体" w:hAnsi="宋体"/>
          <w:b/>
          <w:kern w:val="44"/>
        </w:rPr>
        <w:t>第四条</w:t>
      </w:r>
      <w:r>
        <w:rPr>
          <w:rFonts w:hint="eastAsia" w:ascii="宋体" w:hAnsi="宋体"/>
          <w:kern w:val="44"/>
        </w:rPr>
        <w:t>　各级人民政府以及市和区、县人民政府部门指定的政府信息公开工作机构，应当依法组织开展本行政机关政府信息公开、维护和更新公开的政府信息、对拟公开的政府信息进行保密审查以及编制政府信息公开指南、目录和工作年度报告等政府信息公开的日常工作。</w:t>
      </w:r>
    </w:p>
    <w:p w14:paraId="6F46A5E1">
      <w:pPr>
        <w:ind w:firstLine="422"/>
        <w:jc w:val="left"/>
        <w:rPr>
          <w:rFonts w:ascii="宋体" w:hAnsi="宋体"/>
          <w:kern w:val="44"/>
        </w:rPr>
      </w:pPr>
      <w:r>
        <w:rPr>
          <w:rFonts w:hint="eastAsia" w:ascii="宋体" w:hAnsi="宋体"/>
          <w:b/>
          <w:kern w:val="44"/>
        </w:rPr>
        <w:t>第五条</w:t>
      </w:r>
      <w:r>
        <w:rPr>
          <w:rFonts w:hint="eastAsia" w:ascii="宋体" w:hAnsi="宋体"/>
          <w:kern w:val="44"/>
        </w:rPr>
        <w:t>　行政机关公开政府信息，应当遵循公正、公平、便民、及时、准确的原则。</w:t>
      </w:r>
    </w:p>
    <w:p w14:paraId="04D135FB">
      <w:pPr>
        <w:ind w:firstLine="422"/>
        <w:jc w:val="left"/>
        <w:rPr>
          <w:rFonts w:ascii="宋体" w:hAnsi="宋体"/>
          <w:kern w:val="44"/>
        </w:rPr>
      </w:pPr>
      <w:r>
        <w:rPr>
          <w:rFonts w:hint="eastAsia" w:ascii="宋体" w:hAnsi="宋体"/>
          <w:b/>
          <w:kern w:val="44"/>
        </w:rPr>
        <w:t>第六条</w:t>
      </w:r>
      <w:r>
        <w:rPr>
          <w:rFonts w:hint="eastAsia" w:ascii="宋体" w:hAnsi="宋体"/>
          <w:kern w:val="44"/>
        </w:rPr>
        <w:t>　市或者区、县人民政府的职责由具体工作部门承办的，可以由该工作部门负责相关政府信息公开工作。负责相关政府信息公开工作的具体工作部门由市人民政府向社会公布。</w:t>
      </w:r>
    </w:p>
    <w:p w14:paraId="1C53854F">
      <w:pPr>
        <w:ind w:firstLine="422"/>
        <w:jc w:val="left"/>
        <w:rPr>
          <w:rFonts w:ascii="宋体" w:hAnsi="宋体"/>
          <w:kern w:val="44"/>
        </w:rPr>
      </w:pPr>
      <w:r>
        <w:rPr>
          <w:rFonts w:hint="eastAsia" w:ascii="宋体" w:hAnsi="宋体"/>
          <w:b/>
          <w:kern w:val="44"/>
        </w:rPr>
        <w:t>第七条</w:t>
      </w:r>
      <w:r>
        <w:rPr>
          <w:rFonts w:hint="eastAsia" w:ascii="宋体" w:hAnsi="宋体"/>
          <w:kern w:val="44"/>
        </w:rPr>
        <w:t>　行政机关在政府机构改革中被撤销、合并或者调整职权的，其制作、获取的政府信息，有继续履行相关职权的行政机关的，由该行政机关负责公开；没有继续履行相关职权的行政机关的，由保存该政府信息的单位负责公开。</w:t>
      </w:r>
    </w:p>
    <w:p w14:paraId="24EC91BB">
      <w:pPr>
        <w:jc w:val="left"/>
        <w:rPr>
          <w:rFonts w:ascii="宋体" w:hAnsi="宋体"/>
          <w:kern w:val="44"/>
        </w:rPr>
      </w:pPr>
      <w:r>
        <w:rPr>
          <w:rFonts w:hint="eastAsia" w:ascii="宋体" w:hAnsi="宋体"/>
          <w:kern w:val="44"/>
        </w:rPr>
        <w:t>多个行政机关共同制作的政府信息，由各参与制作的行政机关负责公开。</w:t>
      </w:r>
    </w:p>
    <w:p w14:paraId="4694B432">
      <w:pPr>
        <w:ind w:firstLine="422"/>
        <w:jc w:val="left"/>
        <w:rPr>
          <w:rFonts w:ascii="宋体" w:hAnsi="宋体"/>
          <w:kern w:val="44"/>
        </w:rPr>
      </w:pPr>
      <w:r>
        <w:rPr>
          <w:rFonts w:hint="eastAsia" w:ascii="宋体" w:hAnsi="宋体"/>
          <w:b/>
          <w:kern w:val="44"/>
        </w:rPr>
        <w:t>第八条</w:t>
      </w:r>
      <w:r>
        <w:rPr>
          <w:rFonts w:hint="eastAsia" w:ascii="宋体" w:hAnsi="宋体"/>
          <w:kern w:val="44"/>
        </w:rPr>
        <w:t>　行政机关在公开政府信息前，应当依照《中华人民共和国保守国家秘密法》以及其他法律、法规和国家有关规定对拟公开的政府信息进行审查。</w:t>
      </w:r>
    </w:p>
    <w:p w14:paraId="1C520C1C">
      <w:pPr>
        <w:jc w:val="left"/>
        <w:rPr>
          <w:rFonts w:ascii="宋体" w:hAnsi="宋体"/>
          <w:kern w:val="44"/>
        </w:rPr>
      </w:pPr>
      <w:r>
        <w:rPr>
          <w:rFonts w:hint="eastAsia" w:ascii="宋体" w:hAnsi="宋体"/>
          <w:kern w:val="44"/>
        </w:rPr>
        <w:t>符合下列情形之一的政府信息，不予公开：</w:t>
      </w:r>
    </w:p>
    <w:p w14:paraId="3B7C0657">
      <w:pPr>
        <w:jc w:val="left"/>
        <w:rPr>
          <w:rFonts w:ascii="宋体" w:hAnsi="宋体"/>
          <w:kern w:val="44"/>
        </w:rPr>
      </w:pPr>
      <w:r>
        <w:rPr>
          <w:rFonts w:hint="eastAsia" w:ascii="宋体" w:hAnsi="宋体"/>
          <w:kern w:val="44"/>
        </w:rPr>
        <w:t>（一）根据《中华人民共和国保守国家秘密法》等法律、法规和国家有关规定，涉及国家秘密的；</w:t>
      </w:r>
    </w:p>
    <w:p w14:paraId="41A3A5EF">
      <w:pPr>
        <w:jc w:val="left"/>
        <w:rPr>
          <w:rFonts w:ascii="宋体" w:hAnsi="宋体"/>
          <w:kern w:val="44"/>
        </w:rPr>
      </w:pPr>
      <w:r>
        <w:rPr>
          <w:rFonts w:hint="eastAsia" w:ascii="宋体" w:hAnsi="宋体"/>
          <w:kern w:val="44"/>
        </w:rPr>
        <w:t>（二）根据《中华人民共和国反不正当竞争法》等法律、法规和国家有关规定，涉及不为公众所知悉、能给权利人带来经济利益、具有实用性并经权利人采取保密措施的技术信息和经营信息的；</w:t>
      </w:r>
    </w:p>
    <w:p w14:paraId="24414B0F">
      <w:pPr>
        <w:jc w:val="left"/>
        <w:rPr>
          <w:rFonts w:ascii="宋体" w:hAnsi="宋体"/>
          <w:kern w:val="44"/>
        </w:rPr>
      </w:pPr>
      <w:r>
        <w:rPr>
          <w:rFonts w:hint="eastAsia" w:ascii="宋体" w:hAnsi="宋体"/>
          <w:kern w:val="44"/>
        </w:rPr>
        <w:t>（三）根据相关法律、法规和国家有关规定，涉及他人身份、通讯、健康、婚姻、家庭、财产状况等个人隐私信息的；</w:t>
      </w:r>
    </w:p>
    <w:p w14:paraId="521A7B37">
      <w:pPr>
        <w:jc w:val="left"/>
        <w:rPr>
          <w:rFonts w:ascii="宋体" w:hAnsi="宋体"/>
          <w:kern w:val="44"/>
        </w:rPr>
      </w:pPr>
      <w:r>
        <w:rPr>
          <w:rFonts w:hint="eastAsia" w:ascii="宋体" w:hAnsi="宋体"/>
          <w:kern w:val="44"/>
        </w:rPr>
        <w:t>（四）根据法律、法规和国家有关规定，其他不予公开的。</w:t>
      </w:r>
    </w:p>
    <w:p w14:paraId="2FEBAB7E">
      <w:pPr>
        <w:jc w:val="left"/>
        <w:rPr>
          <w:rFonts w:ascii="宋体" w:hAnsi="宋体"/>
          <w:kern w:val="44"/>
        </w:rPr>
      </w:pPr>
      <w:r>
        <w:rPr>
          <w:rFonts w:hint="eastAsia" w:ascii="宋体" w:hAnsi="宋体"/>
          <w:kern w:val="44"/>
        </w:rPr>
        <w:t>行政机关公开涉及商业秘密、个人隐私的政府信息应当依照本规定第二十七条的规定执行。</w:t>
      </w:r>
    </w:p>
    <w:p w14:paraId="0F31184B">
      <w:pPr>
        <w:ind w:firstLine="422"/>
        <w:jc w:val="left"/>
        <w:rPr>
          <w:rFonts w:ascii="宋体" w:hAnsi="宋体"/>
          <w:kern w:val="44"/>
        </w:rPr>
      </w:pPr>
      <w:r>
        <w:rPr>
          <w:rFonts w:hint="eastAsia" w:ascii="宋体" w:hAnsi="宋体"/>
          <w:b/>
          <w:kern w:val="44"/>
        </w:rPr>
        <w:t>第九条</w:t>
      </w:r>
      <w:r>
        <w:rPr>
          <w:rFonts w:hint="eastAsia" w:ascii="宋体" w:hAnsi="宋体"/>
          <w:kern w:val="44"/>
        </w:rPr>
        <w:t>　行政机关应当建立健全政府信息公开保密审查机制，明确国家秘密、商业秘密和个人隐私的审查程序和责任。</w:t>
      </w:r>
    </w:p>
    <w:p w14:paraId="4009F0B1">
      <w:pPr>
        <w:jc w:val="left"/>
        <w:rPr>
          <w:rFonts w:ascii="宋体" w:hAnsi="宋体"/>
          <w:kern w:val="44"/>
        </w:rPr>
      </w:pPr>
      <w:r>
        <w:rPr>
          <w:rFonts w:hint="eastAsia" w:ascii="宋体" w:hAnsi="宋体"/>
          <w:kern w:val="44"/>
        </w:rPr>
        <w:t>行政机关对政府信息不能确定是否涉及国家秘密时，应当依照法律、法规和国家有关规定报有关主管部门或者同级保密工作部门确定。</w:t>
      </w:r>
    </w:p>
    <w:p w14:paraId="351B7E54">
      <w:pPr>
        <w:ind w:firstLine="422"/>
        <w:jc w:val="left"/>
        <w:rPr>
          <w:rFonts w:ascii="宋体" w:hAnsi="宋体"/>
          <w:kern w:val="44"/>
        </w:rPr>
      </w:pPr>
      <w:r>
        <w:rPr>
          <w:rFonts w:hint="eastAsia" w:ascii="宋体" w:hAnsi="宋体"/>
          <w:b/>
          <w:kern w:val="44"/>
        </w:rPr>
        <w:t>第十条</w:t>
      </w:r>
      <w:r>
        <w:rPr>
          <w:rFonts w:hint="eastAsia" w:ascii="宋体" w:hAnsi="宋体"/>
          <w:kern w:val="44"/>
        </w:rPr>
        <w:t>　行政机关在制作政府信息时，应当确定该政府信息是否公开。对不公开的政府信息，应当注明理由。</w:t>
      </w:r>
    </w:p>
    <w:p w14:paraId="6F9D5A4B">
      <w:pPr>
        <w:jc w:val="left"/>
        <w:rPr>
          <w:rFonts w:ascii="宋体" w:hAnsi="宋体"/>
          <w:kern w:val="44"/>
        </w:rPr>
      </w:pPr>
      <w:r>
        <w:rPr>
          <w:rFonts w:hint="eastAsia" w:ascii="宋体" w:hAnsi="宋体"/>
          <w:kern w:val="44"/>
        </w:rPr>
        <w:t>行政机关应当建立不公开的政府信息的动态管理机制，对符合公开要求的政府信息依法公开。</w:t>
      </w:r>
    </w:p>
    <w:p w14:paraId="3F6B154F">
      <w:pPr>
        <w:ind w:firstLine="422"/>
        <w:jc w:val="left"/>
        <w:rPr>
          <w:rFonts w:ascii="宋体" w:hAnsi="宋体"/>
          <w:kern w:val="44"/>
        </w:rPr>
      </w:pPr>
      <w:r>
        <w:rPr>
          <w:rFonts w:hint="eastAsia" w:ascii="宋体" w:hAnsi="宋体"/>
          <w:b/>
          <w:kern w:val="44"/>
        </w:rPr>
        <w:t>第十一条</w:t>
      </w:r>
      <w:r>
        <w:rPr>
          <w:rFonts w:hint="eastAsia" w:ascii="宋体" w:hAnsi="宋体"/>
          <w:kern w:val="44"/>
        </w:rPr>
        <w:t>　行政机关应当建立健全信息监测和澄清机制。行政机关发现影响或者可能影响社会稳定、扰乱社会管理秩序的虚假或者不完整信息，应当在其职责范围内发布准确的政府信息予以澄清。</w:t>
      </w:r>
    </w:p>
    <w:p w14:paraId="483BD0E5">
      <w:pPr>
        <w:ind w:firstLine="422"/>
        <w:jc w:val="left"/>
        <w:rPr>
          <w:rFonts w:ascii="宋体" w:hAnsi="宋体"/>
          <w:kern w:val="44"/>
        </w:rPr>
      </w:pPr>
      <w:r>
        <w:rPr>
          <w:rFonts w:hint="eastAsia" w:ascii="宋体" w:hAnsi="宋体"/>
          <w:b/>
          <w:kern w:val="44"/>
        </w:rPr>
        <w:t>第十二条</w:t>
      </w:r>
      <w:r>
        <w:rPr>
          <w:rFonts w:hint="eastAsia" w:ascii="宋体" w:hAnsi="宋体"/>
          <w:kern w:val="44"/>
        </w:rPr>
        <w:t>　行政机关应当建立健全政府信息发布协调机制。行政机关发布政府信息涉及其他行政机关的，应当与有关行政机关进行沟通、确认，保证行政机关发布的政府信息准确一致。</w:t>
      </w:r>
    </w:p>
    <w:p w14:paraId="497547F1">
      <w:pPr>
        <w:jc w:val="left"/>
        <w:rPr>
          <w:rFonts w:ascii="宋体" w:hAnsi="宋体"/>
          <w:kern w:val="44"/>
        </w:rPr>
      </w:pPr>
      <w:r>
        <w:rPr>
          <w:rFonts w:hint="eastAsia" w:ascii="宋体" w:hAnsi="宋体"/>
          <w:kern w:val="44"/>
        </w:rPr>
        <w:t>行政机关发布政府信息依照国家和市人民政府有关规定需要批准的，未经批准不得发布。</w:t>
      </w:r>
    </w:p>
    <w:p w14:paraId="6C89C3F5">
      <w:pPr>
        <w:ind w:firstLine="422"/>
        <w:jc w:val="left"/>
        <w:rPr>
          <w:rFonts w:ascii="宋体" w:hAnsi="宋体"/>
          <w:kern w:val="44"/>
        </w:rPr>
      </w:pPr>
      <w:r>
        <w:rPr>
          <w:rFonts w:hint="eastAsia" w:ascii="宋体" w:hAnsi="宋体"/>
          <w:b/>
          <w:kern w:val="44"/>
        </w:rPr>
        <w:t>第十三条</w:t>
      </w:r>
      <w:r>
        <w:rPr>
          <w:rFonts w:hint="eastAsia" w:ascii="宋体" w:hAnsi="宋体"/>
          <w:kern w:val="44"/>
        </w:rPr>
        <w:t>　行政机关公开政府信息，不得危及国家安全、公共安全、经济安全和社会稳定。</w:t>
      </w:r>
    </w:p>
    <w:p w14:paraId="0FCC390B">
      <w:pPr>
        <w:jc w:val="left"/>
        <w:rPr>
          <w:rFonts w:ascii="宋体" w:hAnsi="宋体"/>
          <w:kern w:val="44"/>
        </w:rPr>
      </w:pPr>
    </w:p>
    <w:p w14:paraId="1655FD78">
      <w:pPr>
        <w:ind w:firstLine="0" w:firstLineChars="0"/>
        <w:jc w:val="center"/>
        <w:rPr>
          <w:rFonts w:ascii="宋体" w:hAnsi="宋体"/>
          <w:b/>
          <w:kern w:val="44"/>
          <w:sz w:val="28"/>
        </w:rPr>
      </w:pPr>
      <w:r>
        <w:rPr>
          <w:rFonts w:hint="eastAsia" w:ascii="宋体" w:hAnsi="宋体"/>
          <w:b/>
          <w:kern w:val="44"/>
          <w:sz w:val="28"/>
        </w:rPr>
        <w:t>第二章　主动公开</w:t>
      </w:r>
    </w:p>
    <w:p w14:paraId="3CD2DCDF">
      <w:pPr>
        <w:jc w:val="left"/>
        <w:rPr>
          <w:rFonts w:ascii="宋体" w:hAnsi="宋体"/>
          <w:kern w:val="44"/>
        </w:rPr>
      </w:pPr>
    </w:p>
    <w:p w14:paraId="03BE0A00">
      <w:pPr>
        <w:ind w:firstLine="422"/>
        <w:jc w:val="left"/>
        <w:rPr>
          <w:rFonts w:ascii="宋体" w:hAnsi="宋体"/>
          <w:kern w:val="44"/>
        </w:rPr>
      </w:pPr>
      <w:r>
        <w:rPr>
          <w:rFonts w:hint="eastAsia" w:ascii="宋体" w:hAnsi="宋体"/>
          <w:b/>
          <w:kern w:val="44"/>
        </w:rPr>
        <w:t>第十四条</w:t>
      </w:r>
      <w:r>
        <w:rPr>
          <w:rFonts w:hint="eastAsia" w:ascii="宋体" w:hAnsi="宋体"/>
          <w:kern w:val="44"/>
        </w:rPr>
        <w:t>　除依照《中华人民共和国政府信息公开条例》和国家有关规定主动公开政府信息外，根据本市实际情况，行政机关还应当重点公开以下政府信息：</w:t>
      </w:r>
    </w:p>
    <w:p w14:paraId="5536C0E2">
      <w:pPr>
        <w:jc w:val="left"/>
        <w:rPr>
          <w:rFonts w:ascii="宋体" w:hAnsi="宋体"/>
          <w:kern w:val="44"/>
        </w:rPr>
      </w:pPr>
      <w:r>
        <w:rPr>
          <w:rFonts w:hint="eastAsia" w:ascii="宋体" w:hAnsi="宋体"/>
          <w:kern w:val="44"/>
        </w:rPr>
        <w:t>（一）财政预算决算、“三公”经费和行政经费信息；</w:t>
      </w:r>
    </w:p>
    <w:p w14:paraId="6697AED2">
      <w:pPr>
        <w:jc w:val="left"/>
        <w:rPr>
          <w:rFonts w:ascii="宋体" w:hAnsi="宋体"/>
          <w:kern w:val="44"/>
        </w:rPr>
      </w:pPr>
      <w:r>
        <w:rPr>
          <w:rFonts w:hint="eastAsia" w:ascii="宋体" w:hAnsi="宋体"/>
          <w:kern w:val="44"/>
        </w:rPr>
        <w:t>（二）保障性安居工程建设计划、项目开工和竣工情况，保障性住房的分配和退出等信息；</w:t>
      </w:r>
    </w:p>
    <w:p w14:paraId="3CD18AB9">
      <w:pPr>
        <w:jc w:val="left"/>
        <w:rPr>
          <w:rFonts w:ascii="宋体" w:hAnsi="宋体"/>
          <w:kern w:val="44"/>
        </w:rPr>
      </w:pPr>
      <w:r>
        <w:rPr>
          <w:rFonts w:hint="eastAsia" w:ascii="宋体" w:hAnsi="宋体"/>
          <w:kern w:val="44"/>
        </w:rPr>
        <w:t>（三）食品安全标准，食品生产经营许可、专项检查整治等信息；</w:t>
      </w:r>
    </w:p>
    <w:p w14:paraId="60988442">
      <w:pPr>
        <w:jc w:val="left"/>
        <w:rPr>
          <w:rFonts w:ascii="宋体" w:hAnsi="宋体"/>
          <w:kern w:val="44"/>
        </w:rPr>
      </w:pPr>
      <w:r>
        <w:rPr>
          <w:rFonts w:hint="eastAsia" w:ascii="宋体" w:hAnsi="宋体"/>
          <w:kern w:val="44"/>
        </w:rPr>
        <w:t>（四）环境核查审批、环境状况公报和重特大突发环境事件等信息；</w:t>
      </w:r>
    </w:p>
    <w:p w14:paraId="544B917B">
      <w:pPr>
        <w:jc w:val="left"/>
        <w:rPr>
          <w:rFonts w:ascii="宋体" w:hAnsi="宋体"/>
          <w:kern w:val="44"/>
        </w:rPr>
      </w:pPr>
      <w:r>
        <w:rPr>
          <w:rFonts w:hint="eastAsia" w:ascii="宋体" w:hAnsi="宋体"/>
          <w:kern w:val="44"/>
        </w:rPr>
        <w:t>（五）招投标违法违规行为及处理情况、国有资金占控股或者主导地位依法应当招标的项目等信息；</w:t>
      </w:r>
    </w:p>
    <w:p w14:paraId="677F3B1C">
      <w:pPr>
        <w:jc w:val="left"/>
        <w:rPr>
          <w:rFonts w:ascii="宋体" w:hAnsi="宋体"/>
          <w:kern w:val="44"/>
        </w:rPr>
      </w:pPr>
      <w:r>
        <w:rPr>
          <w:rFonts w:hint="eastAsia" w:ascii="宋体" w:hAnsi="宋体"/>
          <w:kern w:val="44"/>
        </w:rPr>
        <w:t>（六）生产安全事故的政府举措、处置进展、风险预警、防范措施等信息；</w:t>
      </w:r>
    </w:p>
    <w:p w14:paraId="1B324085">
      <w:pPr>
        <w:jc w:val="left"/>
        <w:rPr>
          <w:rFonts w:ascii="宋体" w:hAnsi="宋体"/>
          <w:kern w:val="44"/>
        </w:rPr>
      </w:pPr>
      <w:r>
        <w:rPr>
          <w:rFonts w:hint="eastAsia" w:ascii="宋体" w:hAnsi="宋体"/>
          <w:kern w:val="44"/>
        </w:rPr>
        <w:t>（七）农用地转为建设用地批准、征收集体土地批准、征地公告、征地补偿安置公示、集体土地征收结案等信息；</w:t>
      </w:r>
    </w:p>
    <w:p w14:paraId="12349960">
      <w:pPr>
        <w:jc w:val="left"/>
        <w:rPr>
          <w:rFonts w:ascii="宋体" w:hAnsi="宋体"/>
          <w:kern w:val="44"/>
        </w:rPr>
      </w:pPr>
      <w:r>
        <w:rPr>
          <w:rFonts w:hint="eastAsia" w:ascii="宋体" w:hAnsi="宋体"/>
          <w:kern w:val="44"/>
        </w:rPr>
        <w:t>（八）政府指导价、政府定价和收费标准调整的项目、价格、依据、执行时间和范围等信息；</w:t>
      </w:r>
    </w:p>
    <w:p w14:paraId="31E66988">
      <w:pPr>
        <w:jc w:val="left"/>
        <w:rPr>
          <w:rFonts w:ascii="宋体" w:hAnsi="宋体"/>
          <w:kern w:val="44"/>
        </w:rPr>
      </w:pPr>
      <w:r>
        <w:rPr>
          <w:rFonts w:hint="eastAsia" w:ascii="宋体" w:hAnsi="宋体"/>
          <w:kern w:val="44"/>
        </w:rPr>
        <w:t>（九）本市企业信用信息系统中的警示信息和良好信息；</w:t>
      </w:r>
    </w:p>
    <w:p w14:paraId="25FC92AD">
      <w:pPr>
        <w:jc w:val="left"/>
        <w:rPr>
          <w:rFonts w:ascii="宋体" w:hAnsi="宋体"/>
          <w:kern w:val="44"/>
        </w:rPr>
      </w:pPr>
      <w:r>
        <w:rPr>
          <w:rFonts w:hint="eastAsia" w:ascii="宋体" w:hAnsi="宋体"/>
          <w:kern w:val="44"/>
        </w:rPr>
        <w:t>（十）政府部门预算执行审计结果信息；</w:t>
      </w:r>
    </w:p>
    <w:p w14:paraId="494C2192">
      <w:pPr>
        <w:jc w:val="left"/>
        <w:rPr>
          <w:rFonts w:ascii="宋体" w:hAnsi="宋体"/>
          <w:kern w:val="44"/>
        </w:rPr>
      </w:pPr>
      <w:r>
        <w:rPr>
          <w:rFonts w:hint="eastAsia" w:ascii="宋体" w:hAnsi="宋体"/>
          <w:kern w:val="44"/>
        </w:rPr>
        <w:t>（十一）行政机关对与人民群众利益密切相关的公共企事业单位进行监督管理的信息；</w:t>
      </w:r>
    </w:p>
    <w:p w14:paraId="07B868F5">
      <w:pPr>
        <w:jc w:val="left"/>
        <w:rPr>
          <w:rFonts w:ascii="宋体" w:hAnsi="宋体"/>
          <w:kern w:val="44"/>
        </w:rPr>
      </w:pPr>
      <w:r>
        <w:rPr>
          <w:rFonts w:hint="eastAsia" w:ascii="宋体" w:hAnsi="宋体"/>
          <w:kern w:val="44"/>
        </w:rPr>
        <w:t>（十二）市人民政府决定主动公开的其他信息。</w:t>
      </w:r>
    </w:p>
    <w:p w14:paraId="527934FA">
      <w:pPr>
        <w:ind w:firstLine="422"/>
        <w:jc w:val="left"/>
        <w:rPr>
          <w:rFonts w:ascii="宋体" w:hAnsi="宋体"/>
          <w:kern w:val="44"/>
        </w:rPr>
      </w:pPr>
      <w:r>
        <w:rPr>
          <w:rFonts w:hint="eastAsia" w:ascii="宋体" w:hAnsi="宋体"/>
          <w:b/>
          <w:kern w:val="44"/>
        </w:rPr>
        <w:t>第十五条</w:t>
      </w:r>
      <w:r>
        <w:rPr>
          <w:rFonts w:hint="eastAsia" w:ascii="宋体" w:hAnsi="宋体"/>
          <w:kern w:val="44"/>
        </w:rPr>
        <w:t>　行政机关应当加强政府信息资源的规范化、电子化管理，分类整合政府信息资源，营造公众利用信息资源的良好环境，提升政府信息资源的开发利用水平。</w:t>
      </w:r>
    </w:p>
    <w:p w14:paraId="434D40E0">
      <w:pPr>
        <w:ind w:firstLine="422"/>
        <w:jc w:val="left"/>
        <w:rPr>
          <w:rFonts w:ascii="宋体" w:hAnsi="宋体"/>
          <w:kern w:val="44"/>
        </w:rPr>
      </w:pPr>
      <w:r>
        <w:rPr>
          <w:rFonts w:hint="eastAsia" w:ascii="宋体" w:hAnsi="宋体"/>
          <w:b/>
          <w:kern w:val="44"/>
        </w:rPr>
        <w:t>第十六条</w:t>
      </w:r>
      <w:r>
        <w:rPr>
          <w:rFonts w:hint="eastAsia" w:ascii="宋体" w:hAnsi="宋体"/>
          <w:kern w:val="44"/>
        </w:rPr>
        <w:t>　属于主动公开范围的政府信息，应当自该政府信息形成或者变更之日起15个工作日内予以公开。</w:t>
      </w:r>
    </w:p>
    <w:p w14:paraId="223F44E7">
      <w:pPr>
        <w:jc w:val="left"/>
        <w:rPr>
          <w:rFonts w:ascii="宋体" w:hAnsi="宋体"/>
          <w:kern w:val="44"/>
        </w:rPr>
      </w:pPr>
      <w:r>
        <w:rPr>
          <w:rFonts w:hint="eastAsia" w:ascii="宋体" w:hAnsi="宋体"/>
          <w:kern w:val="44"/>
        </w:rPr>
        <w:t>对自然灾害、事故灾难、公共卫生和社会安全等重大突发事件，主管部门应当及时公开初步核实情况，并根据事态发展和处置情况，持续公开工作进展和政府应对措施等政府信息。</w:t>
      </w:r>
    </w:p>
    <w:p w14:paraId="2C28A245">
      <w:pPr>
        <w:ind w:firstLine="422"/>
        <w:jc w:val="left"/>
        <w:rPr>
          <w:rFonts w:ascii="宋体" w:hAnsi="宋体"/>
          <w:kern w:val="44"/>
        </w:rPr>
      </w:pPr>
      <w:r>
        <w:rPr>
          <w:rFonts w:hint="eastAsia" w:ascii="宋体" w:hAnsi="宋体"/>
          <w:b/>
          <w:kern w:val="44"/>
        </w:rPr>
        <w:t>第十七条</w:t>
      </w:r>
      <w:r>
        <w:rPr>
          <w:rFonts w:hint="eastAsia" w:ascii="宋体" w:hAnsi="宋体"/>
          <w:kern w:val="44"/>
        </w:rPr>
        <w:t>　行政机关应当编制、公布政府信息公开指南和政府信息公开目录，并及时更新。</w:t>
      </w:r>
    </w:p>
    <w:p w14:paraId="1F5C3165">
      <w:pPr>
        <w:jc w:val="left"/>
        <w:rPr>
          <w:rFonts w:ascii="宋体" w:hAnsi="宋体"/>
          <w:kern w:val="44"/>
        </w:rPr>
      </w:pPr>
      <w:r>
        <w:rPr>
          <w:rFonts w:hint="eastAsia" w:ascii="宋体" w:hAnsi="宋体"/>
          <w:kern w:val="44"/>
        </w:rPr>
        <w:t>政府信息公开指南，应当包括政府信息的分类、编排体系、获取方式，政府信息公开工作机构的名称和联系方式，政府信息公开申请的办理程序，权利救济途径等内容。</w:t>
      </w:r>
    </w:p>
    <w:p w14:paraId="2E724E88">
      <w:pPr>
        <w:jc w:val="left"/>
        <w:rPr>
          <w:rFonts w:ascii="宋体" w:hAnsi="宋体"/>
          <w:kern w:val="44"/>
        </w:rPr>
      </w:pPr>
      <w:r>
        <w:rPr>
          <w:rFonts w:hint="eastAsia" w:ascii="宋体" w:hAnsi="宋体"/>
          <w:kern w:val="44"/>
        </w:rPr>
        <w:t>政府信息公开目录，应当包括政府信息的索引、名称、内容概述、生成日期等内容。</w:t>
      </w:r>
    </w:p>
    <w:p w14:paraId="6774E17C">
      <w:pPr>
        <w:ind w:firstLine="422"/>
        <w:jc w:val="left"/>
        <w:rPr>
          <w:rFonts w:ascii="宋体" w:hAnsi="宋体"/>
          <w:kern w:val="44"/>
        </w:rPr>
      </w:pPr>
      <w:r>
        <w:rPr>
          <w:rFonts w:hint="eastAsia" w:ascii="宋体" w:hAnsi="宋体"/>
          <w:b/>
          <w:kern w:val="44"/>
        </w:rPr>
        <w:t>第十八条</w:t>
      </w:r>
      <w:r>
        <w:rPr>
          <w:rFonts w:hint="eastAsia" w:ascii="宋体" w:hAnsi="宋体"/>
          <w:kern w:val="44"/>
        </w:rPr>
        <w:t>　行政机关可以通过下列渠道公开政府信息：</w:t>
      </w:r>
    </w:p>
    <w:p w14:paraId="7727B6EB">
      <w:pPr>
        <w:jc w:val="left"/>
        <w:rPr>
          <w:rFonts w:ascii="宋体" w:hAnsi="宋体"/>
          <w:kern w:val="44"/>
        </w:rPr>
      </w:pPr>
      <w:r>
        <w:rPr>
          <w:rFonts w:hint="eastAsia" w:ascii="宋体" w:hAnsi="宋体"/>
          <w:kern w:val="44"/>
        </w:rPr>
        <w:t>（一）政府网站；</w:t>
      </w:r>
    </w:p>
    <w:p w14:paraId="46C0D114">
      <w:pPr>
        <w:jc w:val="left"/>
        <w:rPr>
          <w:rFonts w:ascii="宋体" w:hAnsi="宋体"/>
          <w:kern w:val="44"/>
        </w:rPr>
      </w:pPr>
      <w:r>
        <w:rPr>
          <w:rFonts w:hint="eastAsia" w:ascii="宋体" w:hAnsi="宋体"/>
          <w:kern w:val="44"/>
        </w:rPr>
        <w:t>（二）政府公报；</w:t>
      </w:r>
    </w:p>
    <w:p w14:paraId="289D94FE">
      <w:pPr>
        <w:jc w:val="left"/>
        <w:rPr>
          <w:rFonts w:ascii="宋体" w:hAnsi="宋体"/>
          <w:kern w:val="44"/>
        </w:rPr>
      </w:pPr>
      <w:r>
        <w:rPr>
          <w:rFonts w:hint="eastAsia" w:ascii="宋体" w:hAnsi="宋体"/>
          <w:kern w:val="44"/>
        </w:rPr>
        <w:t>（三）新闻发布会；</w:t>
      </w:r>
    </w:p>
    <w:p w14:paraId="1B33313B">
      <w:pPr>
        <w:jc w:val="left"/>
        <w:rPr>
          <w:rFonts w:ascii="宋体" w:hAnsi="宋体"/>
          <w:kern w:val="44"/>
        </w:rPr>
      </w:pPr>
      <w:r>
        <w:rPr>
          <w:rFonts w:hint="eastAsia" w:ascii="宋体" w:hAnsi="宋体"/>
          <w:kern w:val="44"/>
        </w:rPr>
        <w:t>（四）报纸、广播、电视；</w:t>
      </w:r>
    </w:p>
    <w:p w14:paraId="53FC9788">
      <w:pPr>
        <w:jc w:val="left"/>
        <w:rPr>
          <w:rFonts w:ascii="宋体" w:hAnsi="宋体"/>
          <w:kern w:val="44"/>
        </w:rPr>
      </w:pPr>
      <w:r>
        <w:rPr>
          <w:rFonts w:hint="eastAsia" w:ascii="宋体" w:hAnsi="宋体"/>
          <w:kern w:val="44"/>
        </w:rPr>
        <w:t>（五）国家档案馆、公共图书馆、政务服务大厅；</w:t>
      </w:r>
    </w:p>
    <w:p w14:paraId="2BB4F387">
      <w:pPr>
        <w:jc w:val="left"/>
        <w:rPr>
          <w:rFonts w:ascii="宋体" w:hAnsi="宋体"/>
          <w:kern w:val="44"/>
        </w:rPr>
      </w:pPr>
      <w:r>
        <w:rPr>
          <w:rFonts w:hint="eastAsia" w:ascii="宋体" w:hAnsi="宋体"/>
          <w:kern w:val="44"/>
        </w:rPr>
        <w:t>（六）公共查阅室、资料索取点、信息公告栏、电子信息屏；</w:t>
      </w:r>
    </w:p>
    <w:p w14:paraId="41E89402">
      <w:pPr>
        <w:jc w:val="left"/>
        <w:rPr>
          <w:rFonts w:ascii="宋体" w:hAnsi="宋体"/>
          <w:kern w:val="44"/>
        </w:rPr>
      </w:pPr>
      <w:r>
        <w:rPr>
          <w:rFonts w:hint="eastAsia" w:ascii="宋体" w:hAnsi="宋体"/>
          <w:kern w:val="44"/>
        </w:rPr>
        <w:t>（七）政务微博等网络平台；</w:t>
      </w:r>
    </w:p>
    <w:p w14:paraId="1B40D2C4">
      <w:pPr>
        <w:jc w:val="left"/>
        <w:rPr>
          <w:rFonts w:ascii="宋体" w:hAnsi="宋体"/>
          <w:kern w:val="44"/>
        </w:rPr>
      </w:pPr>
      <w:r>
        <w:rPr>
          <w:rFonts w:hint="eastAsia" w:ascii="宋体" w:hAnsi="宋体"/>
          <w:kern w:val="44"/>
        </w:rPr>
        <w:t>（八）其他方式和渠道。</w:t>
      </w:r>
    </w:p>
    <w:p w14:paraId="539D121E">
      <w:pPr>
        <w:jc w:val="left"/>
        <w:rPr>
          <w:rFonts w:ascii="宋体" w:hAnsi="宋体"/>
          <w:kern w:val="44"/>
        </w:rPr>
      </w:pPr>
      <w:r>
        <w:rPr>
          <w:rFonts w:hint="eastAsia" w:ascii="宋体" w:hAnsi="宋体"/>
          <w:kern w:val="44"/>
        </w:rPr>
        <w:t>行政机关应当采取便于公众知晓的方式公开信息。</w:t>
      </w:r>
    </w:p>
    <w:p w14:paraId="470BD324">
      <w:pPr>
        <w:ind w:firstLine="422"/>
        <w:jc w:val="left"/>
        <w:rPr>
          <w:rFonts w:ascii="宋体" w:hAnsi="宋体"/>
          <w:kern w:val="44"/>
        </w:rPr>
      </w:pPr>
      <w:r>
        <w:rPr>
          <w:rFonts w:hint="eastAsia" w:ascii="宋体" w:hAnsi="宋体"/>
          <w:b/>
          <w:kern w:val="44"/>
        </w:rPr>
        <w:t>第十九条</w:t>
      </w:r>
      <w:r>
        <w:rPr>
          <w:rFonts w:hint="eastAsia" w:ascii="宋体" w:hAnsi="宋体"/>
          <w:kern w:val="44"/>
        </w:rPr>
        <w:t>　行政机关应当通过政府门户网站及时公开、更新政府信息，并提供信息检索、查阅、下载等服务。</w:t>
      </w:r>
    </w:p>
    <w:p w14:paraId="248CB101">
      <w:pPr>
        <w:ind w:firstLine="422"/>
        <w:jc w:val="left"/>
        <w:rPr>
          <w:rFonts w:ascii="宋体" w:hAnsi="宋体"/>
          <w:kern w:val="44"/>
        </w:rPr>
      </w:pPr>
      <w:r>
        <w:rPr>
          <w:rFonts w:hint="eastAsia" w:ascii="宋体" w:hAnsi="宋体"/>
          <w:b/>
          <w:kern w:val="44"/>
        </w:rPr>
        <w:t>第二十条</w:t>
      </w:r>
      <w:r>
        <w:rPr>
          <w:rFonts w:hint="eastAsia" w:ascii="宋体" w:hAnsi="宋体"/>
          <w:kern w:val="44"/>
        </w:rPr>
        <w:t>　市和区、县人民政府应当在国家档案馆、公共图书馆设置政府信息查阅场所，并配备相应的设施、设备，为公民、法人或者其他组织获取政府信息提供便利。其他行政机关可以根据需要设置政府信息查阅场所、设施。</w:t>
      </w:r>
    </w:p>
    <w:p w14:paraId="283176D3">
      <w:pPr>
        <w:jc w:val="left"/>
        <w:rPr>
          <w:rFonts w:ascii="宋体" w:hAnsi="宋体"/>
          <w:kern w:val="44"/>
        </w:rPr>
      </w:pPr>
      <w:r>
        <w:rPr>
          <w:rFonts w:hint="eastAsia" w:ascii="宋体" w:hAnsi="宋体"/>
          <w:kern w:val="44"/>
        </w:rPr>
        <w:t>行政机关应当向同级行政服务中心、国家档案馆、公共图书馆提供主动公开政府信息的电子文本，移送主动公开的行政规范性文件纸质文本。</w:t>
      </w:r>
    </w:p>
    <w:p w14:paraId="2DE5CEBE">
      <w:pPr>
        <w:ind w:firstLine="422"/>
        <w:jc w:val="left"/>
        <w:rPr>
          <w:rFonts w:ascii="宋体" w:hAnsi="宋体"/>
          <w:kern w:val="44"/>
        </w:rPr>
      </w:pPr>
      <w:r>
        <w:rPr>
          <w:rFonts w:hint="eastAsia" w:ascii="宋体" w:hAnsi="宋体"/>
          <w:b/>
          <w:kern w:val="44"/>
        </w:rPr>
        <w:t>第二十一条</w:t>
      </w:r>
      <w:r>
        <w:rPr>
          <w:rFonts w:hint="eastAsia" w:ascii="宋体" w:hAnsi="宋体"/>
          <w:kern w:val="44"/>
        </w:rPr>
        <w:t>　行政机关应当设置政府信息公开咨询电话，为公民、法人或者其他组织提供咨询服务。</w:t>
      </w:r>
    </w:p>
    <w:p w14:paraId="76AF5378">
      <w:pPr>
        <w:jc w:val="left"/>
        <w:rPr>
          <w:rFonts w:ascii="宋体" w:hAnsi="宋体"/>
          <w:kern w:val="44"/>
        </w:rPr>
      </w:pPr>
      <w:r>
        <w:rPr>
          <w:rFonts w:hint="eastAsia" w:ascii="宋体" w:hAnsi="宋体"/>
          <w:kern w:val="44"/>
        </w:rPr>
        <w:t>市非紧急救助服务中心和各分中心可以为公民、法人或者其他组织提供政府信息公开咨询等服务。</w:t>
      </w:r>
    </w:p>
    <w:p w14:paraId="102F5A62">
      <w:pPr>
        <w:jc w:val="left"/>
        <w:rPr>
          <w:rFonts w:ascii="宋体" w:hAnsi="宋体"/>
          <w:kern w:val="44"/>
        </w:rPr>
      </w:pPr>
    </w:p>
    <w:p w14:paraId="21650FC0">
      <w:pPr>
        <w:ind w:firstLine="0" w:firstLineChars="0"/>
        <w:jc w:val="center"/>
        <w:rPr>
          <w:rFonts w:ascii="宋体" w:hAnsi="宋体"/>
          <w:b/>
          <w:kern w:val="44"/>
          <w:sz w:val="28"/>
        </w:rPr>
      </w:pPr>
      <w:r>
        <w:rPr>
          <w:rFonts w:hint="eastAsia" w:ascii="宋体" w:hAnsi="宋体"/>
          <w:b/>
          <w:kern w:val="44"/>
          <w:sz w:val="28"/>
        </w:rPr>
        <w:t>第三章　依申请公开</w:t>
      </w:r>
    </w:p>
    <w:p w14:paraId="48913B2D">
      <w:pPr>
        <w:jc w:val="left"/>
        <w:rPr>
          <w:rFonts w:ascii="宋体" w:hAnsi="宋体"/>
          <w:kern w:val="44"/>
        </w:rPr>
      </w:pPr>
    </w:p>
    <w:p w14:paraId="112A0649">
      <w:pPr>
        <w:ind w:firstLine="422"/>
        <w:jc w:val="left"/>
        <w:rPr>
          <w:rFonts w:ascii="宋体" w:hAnsi="宋体"/>
          <w:kern w:val="44"/>
        </w:rPr>
      </w:pPr>
      <w:r>
        <w:rPr>
          <w:rFonts w:hint="eastAsia" w:ascii="宋体" w:hAnsi="宋体"/>
          <w:b/>
          <w:kern w:val="44"/>
        </w:rPr>
        <w:t>第二十二条</w:t>
      </w:r>
      <w:r>
        <w:rPr>
          <w:rFonts w:hint="eastAsia" w:ascii="宋体" w:hAnsi="宋体"/>
          <w:kern w:val="44"/>
        </w:rPr>
        <w:t>　行政机关应当公布受理政府信息公开申请的办公地址、办公时间、联系电话、传真号码、电子邮箱、举报电话等，方便公民申请。</w:t>
      </w:r>
    </w:p>
    <w:p w14:paraId="60FC655F">
      <w:pPr>
        <w:jc w:val="left"/>
        <w:rPr>
          <w:rFonts w:ascii="宋体" w:hAnsi="宋体"/>
          <w:kern w:val="44"/>
        </w:rPr>
      </w:pPr>
      <w:r>
        <w:rPr>
          <w:rFonts w:hint="eastAsia" w:ascii="宋体" w:hAnsi="宋体"/>
          <w:kern w:val="44"/>
        </w:rPr>
        <w:t>申请公开政府信息的公民存在阅读困难或者视听障碍的，行政机关应当为其提供必要的帮助。</w:t>
      </w:r>
    </w:p>
    <w:p w14:paraId="06D24A9C">
      <w:pPr>
        <w:ind w:firstLine="422"/>
        <w:jc w:val="left"/>
        <w:rPr>
          <w:rFonts w:ascii="宋体" w:hAnsi="宋体"/>
          <w:kern w:val="44"/>
        </w:rPr>
      </w:pPr>
      <w:r>
        <w:rPr>
          <w:rFonts w:hint="eastAsia" w:ascii="宋体" w:hAnsi="宋体"/>
          <w:b/>
          <w:kern w:val="44"/>
        </w:rPr>
        <w:t>第二十三条</w:t>
      </w:r>
      <w:r>
        <w:rPr>
          <w:rFonts w:hint="eastAsia" w:ascii="宋体" w:hAnsi="宋体"/>
          <w:kern w:val="44"/>
        </w:rPr>
        <w:t>　申请人向行政机关申请获取政府信息，应当采用书面形式（包括数据电文形式）；采用书面形式确有困难的，申请人可以口头提出，由受理该申请的行政机关代为填写政府信息公开申请，并由申请人签字、捺印或者盖章确认。</w:t>
      </w:r>
    </w:p>
    <w:p w14:paraId="42EF854C">
      <w:pPr>
        <w:jc w:val="left"/>
        <w:rPr>
          <w:rFonts w:ascii="宋体" w:hAnsi="宋体"/>
          <w:kern w:val="44"/>
        </w:rPr>
      </w:pPr>
      <w:r>
        <w:rPr>
          <w:rFonts w:hint="eastAsia" w:ascii="宋体" w:hAnsi="宋体"/>
          <w:kern w:val="44"/>
        </w:rPr>
        <w:t>行政机关应当向申请人提供政府信息公开申请书格式文本；申请人也可以采用其他书面形式向行政机关提出申请。</w:t>
      </w:r>
    </w:p>
    <w:p w14:paraId="7C3F3293">
      <w:pPr>
        <w:ind w:firstLine="422"/>
        <w:jc w:val="left"/>
        <w:rPr>
          <w:rFonts w:ascii="宋体" w:hAnsi="宋体"/>
          <w:kern w:val="44"/>
        </w:rPr>
      </w:pPr>
      <w:r>
        <w:rPr>
          <w:rFonts w:hint="eastAsia" w:ascii="宋体" w:hAnsi="宋体"/>
          <w:b/>
          <w:kern w:val="44"/>
        </w:rPr>
        <w:t>第二十四条</w:t>
      </w:r>
      <w:r>
        <w:rPr>
          <w:rFonts w:hint="eastAsia" w:ascii="宋体" w:hAnsi="宋体"/>
          <w:kern w:val="44"/>
        </w:rPr>
        <w:t>　政府信息公开申请应当包括下列内容：</w:t>
      </w:r>
    </w:p>
    <w:p w14:paraId="494CFD39">
      <w:pPr>
        <w:jc w:val="left"/>
        <w:rPr>
          <w:rFonts w:ascii="宋体" w:hAnsi="宋体"/>
          <w:kern w:val="44"/>
        </w:rPr>
      </w:pPr>
      <w:r>
        <w:rPr>
          <w:rFonts w:hint="eastAsia" w:ascii="宋体" w:hAnsi="宋体"/>
          <w:kern w:val="44"/>
        </w:rPr>
        <w:t>（一）申请人以及代理人、代表人的姓名或者名称、证件名称和号码、电话和通讯地址等有效联系方式；</w:t>
      </w:r>
    </w:p>
    <w:p w14:paraId="748884D1">
      <w:pPr>
        <w:jc w:val="left"/>
        <w:rPr>
          <w:rFonts w:ascii="宋体" w:hAnsi="宋体"/>
          <w:kern w:val="44"/>
        </w:rPr>
      </w:pPr>
      <w:r>
        <w:rPr>
          <w:rFonts w:hint="eastAsia" w:ascii="宋体" w:hAnsi="宋体"/>
          <w:kern w:val="44"/>
        </w:rPr>
        <w:t>（二）申请公开政府信息的内容描述，包括能够指向特定政府信息的文件名称、文号或者其他详尽、准确的特征描述；</w:t>
      </w:r>
    </w:p>
    <w:p w14:paraId="61FE12CB">
      <w:pPr>
        <w:jc w:val="left"/>
        <w:rPr>
          <w:rFonts w:ascii="宋体" w:hAnsi="宋体"/>
          <w:kern w:val="44"/>
        </w:rPr>
      </w:pPr>
      <w:r>
        <w:rPr>
          <w:rFonts w:hint="eastAsia" w:ascii="宋体" w:hAnsi="宋体"/>
          <w:kern w:val="44"/>
        </w:rPr>
        <w:t>（三）获取信息的方式以及提供信息的形式要求；</w:t>
      </w:r>
    </w:p>
    <w:p w14:paraId="651ACBBC">
      <w:pPr>
        <w:jc w:val="left"/>
        <w:rPr>
          <w:rFonts w:ascii="宋体" w:hAnsi="宋体"/>
          <w:kern w:val="44"/>
        </w:rPr>
      </w:pPr>
      <w:r>
        <w:rPr>
          <w:rFonts w:hint="eastAsia" w:ascii="宋体" w:hAnsi="宋体"/>
          <w:kern w:val="44"/>
        </w:rPr>
        <w:t>（四）受理机关名称。</w:t>
      </w:r>
    </w:p>
    <w:p w14:paraId="39A5F8DA">
      <w:pPr>
        <w:jc w:val="left"/>
        <w:rPr>
          <w:rFonts w:ascii="宋体" w:hAnsi="宋体"/>
          <w:kern w:val="44"/>
        </w:rPr>
      </w:pPr>
      <w:r>
        <w:rPr>
          <w:rFonts w:hint="eastAsia" w:ascii="宋体" w:hAnsi="宋体"/>
          <w:kern w:val="44"/>
        </w:rPr>
        <w:t>申请人委托代理人提出政府信息公开申请的，应当提供委托代理证明材料。</w:t>
      </w:r>
    </w:p>
    <w:p w14:paraId="015B665D">
      <w:pPr>
        <w:jc w:val="left"/>
        <w:rPr>
          <w:rFonts w:ascii="宋体" w:hAnsi="宋体"/>
          <w:kern w:val="44"/>
        </w:rPr>
      </w:pPr>
      <w:r>
        <w:rPr>
          <w:rFonts w:hint="eastAsia" w:ascii="宋体" w:hAnsi="宋体"/>
          <w:kern w:val="44"/>
        </w:rPr>
        <w:t>5人以上（含5人）共同申请同一政府信息，可以推选1至5名代表提交申请，并提供推举证明材料。</w:t>
      </w:r>
    </w:p>
    <w:p w14:paraId="5965AD79">
      <w:pPr>
        <w:jc w:val="left"/>
        <w:rPr>
          <w:rFonts w:ascii="宋体" w:hAnsi="宋体"/>
          <w:kern w:val="44"/>
        </w:rPr>
      </w:pPr>
      <w:r>
        <w:rPr>
          <w:rFonts w:hint="eastAsia" w:ascii="宋体" w:hAnsi="宋体"/>
          <w:kern w:val="44"/>
        </w:rPr>
        <w:t>受理机关收到申请人公开政府信息的申请后，应当出具登记回执。</w:t>
      </w:r>
    </w:p>
    <w:p w14:paraId="5B232FB0">
      <w:pPr>
        <w:ind w:firstLine="422"/>
        <w:jc w:val="left"/>
        <w:rPr>
          <w:rFonts w:ascii="宋体" w:hAnsi="宋体"/>
          <w:kern w:val="44"/>
        </w:rPr>
      </w:pPr>
      <w:r>
        <w:rPr>
          <w:rFonts w:hint="eastAsia" w:ascii="宋体" w:hAnsi="宋体"/>
          <w:b/>
          <w:kern w:val="44"/>
        </w:rPr>
        <w:t>第二十五条</w:t>
      </w:r>
      <w:r>
        <w:rPr>
          <w:rFonts w:hint="eastAsia" w:ascii="宋体" w:hAnsi="宋体"/>
          <w:kern w:val="44"/>
        </w:rPr>
        <w:t>　行政机关收到政府信息公开申请，能够当场答复的，应当当场予以答复。行政机关不能当场答复的，应当自收到申请之日起15个工作日内予以答复；如需延长答复期限的，应当经本行政机关政府信息公开工作机构负责人同意，并书面告知申请人，延长答复的期限最长不得超过15个工作日。</w:t>
      </w:r>
    </w:p>
    <w:p w14:paraId="1AC73DCA">
      <w:pPr>
        <w:jc w:val="left"/>
        <w:rPr>
          <w:rFonts w:ascii="宋体" w:hAnsi="宋体"/>
          <w:kern w:val="44"/>
        </w:rPr>
      </w:pPr>
      <w:r>
        <w:rPr>
          <w:rFonts w:hint="eastAsia" w:ascii="宋体" w:hAnsi="宋体"/>
          <w:kern w:val="44"/>
        </w:rPr>
        <w:t>因不可抗力或者其他法定事由行政机关不能在规定期限内答复申请人或者向申请人提供政府信息的，期限中止。中止时间不计算在前款规定期限内，障碍消除后期限恢复计算。期限的中止和恢复，行政机关应当向申请人书面说明情况。</w:t>
      </w:r>
    </w:p>
    <w:p w14:paraId="42C8187B">
      <w:pPr>
        <w:ind w:firstLine="422"/>
        <w:jc w:val="left"/>
        <w:rPr>
          <w:rFonts w:ascii="宋体" w:hAnsi="宋体"/>
          <w:kern w:val="44"/>
        </w:rPr>
      </w:pPr>
      <w:r>
        <w:rPr>
          <w:rFonts w:hint="eastAsia" w:ascii="宋体" w:hAnsi="宋体"/>
          <w:b/>
          <w:kern w:val="44"/>
        </w:rPr>
        <w:t>第二十六条</w:t>
      </w:r>
      <w:r>
        <w:rPr>
          <w:rFonts w:hint="eastAsia" w:ascii="宋体" w:hAnsi="宋体"/>
          <w:kern w:val="44"/>
        </w:rPr>
        <w:t>　申请人要求撤回政府信息公开申请的，行政机关应当准许，并登记备案。</w:t>
      </w:r>
    </w:p>
    <w:p w14:paraId="7017548F">
      <w:pPr>
        <w:jc w:val="left"/>
        <w:rPr>
          <w:rFonts w:ascii="宋体" w:hAnsi="宋体"/>
          <w:kern w:val="44"/>
        </w:rPr>
      </w:pPr>
      <w:r>
        <w:rPr>
          <w:rFonts w:hint="eastAsia" w:ascii="宋体" w:hAnsi="宋体"/>
          <w:kern w:val="44"/>
        </w:rPr>
        <w:t>申请人向同一行政机关同时申请两项以上政府信息的，行政机关根据便民原则可以分别答复或者合并答复。</w:t>
      </w:r>
    </w:p>
    <w:p w14:paraId="16C5BA6F">
      <w:pPr>
        <w:ind w:firstLine="422"/>
        <w:jc w:val="left"/>
        <w:rPr>
          <w:rFonts w:ascii="宋体" w:hAnsi="宋体"/>
          <w:kern w:val="44"/>
        </w:rPr>
      </w:pPr>
      <w:r>
        <w:rPr>
          <w:rFonts w:hint="eastAsia" w:ascii="宋体" w:hAnsi="宋体"/>
          <w:b/>
          <w:kern w:val="44"/>
        </w:rPr>
        <w:t>第二十七条</w:t>
      </w:r>
      <w:r>
        <w:rPr>
          <w:rFonts w:hint="eastAsia" w:ascii="宋体" w:hAnsi="宋体"/>
          <w:kern w:val="44"/>
        </w:rPr>
        <w:t>　行政机关认为申请公开的政府信息涉及商业秘密或者个人隐私，公开后可能损害第三方合法权益的，应当书面征求第三方的意见；第三方不同意公开的，行政机关不得公开。但是，行政机关认为不公开可能对公共利益造成重大影响的，应当予以公开。第三方不同意公开，行政机关决定公开的，应当在书面告知第三方后公开。</w:t>
      </w:r>
    </w:p>
    <w:p w14:paraId="0234CE6B">
      <w:pPr>
        <w:jc w:val="left"/>
        <w:rPr>
          <w:rFonts w:ascii="宋体" w:hAnsi="宋体"/>
          <w:kern w:val="44"/>
        </w:rPr>
      </w:pPr>
      <w:r>
        <w:rPr>
          <w:rFonts w:hint="eastAsia" w:ascii="宋体" w:hAnsi="宋体"/>
          <w:kern w:val="44"/>
        </w:rPr>
        <w:t>行政机关征求第三方意见所需时间不计算在本规定第二十五条第一款规定的期限内。</w:t>
      </w:r>
    </w:p>
    <w:p w14:paraId="0C99C875">
      <w:pPr>
        <w:ind w:firstLine="422"/>
        <w:jc w:val="left"/>
        <w:rPr>
          <w:rFonts w:ascii="宋体" w:hAnsi="宋体"/>
          <w:kern w:val="44"/>
        </w:rPr>
      </w:pPr>
      <w:r>
        <w:rPr>
          <w:rFonts w:hint="eastAsia" w:ascii="宋体" w:hAnsi="宋体"/>
          <w:b/>
          <w:kern w:val="44"/>
        </w:rPr>
        <w:t>第二十八条</w:t>
      </w:r>
      <w:r>
        <w:rPr>
          <w:rFonts w:hint="eastAsia" w:ascii="宋体" w:hAnsi="宋体"/>
          <w:kern w:val="44"/>
        </w:rPr>
        <w:t>　对申请公开的政府信息，行政机关根据下列情况分别作出书面答复：</w:t>
      </w:r>
    </w:p>
    <w:p w14:paraId="6E24E277">
      <w:pPr>
        <w:jc w:val="left"/>
        <w:rPr>
          <w:rFonts w:ascii="宋体" w:hAnsi="宋体"/>
          <w:kern w:val="44"/>
        </w:rPr>
      </w:pPr>
      <w:r>
        <w:rPr>
          <w:rFonts w:hint="eastAsia" w:ascii="宋体" w:hAnsi="宋体"/>
          <w:kern w:val="44"/>
        </w:rPr>
        <w:t>（一）申请公开的政府信息已主动公开的，应当告知申请人获取政府信息的方式和途径；</w:t>
      </w:r>
    </w:p>
    <w:p w14:paraId="35BF7740">
      <w:pPr>
        <w:jc w:val="left"/>
        <w:rPr>
          <w:rFonts w:ascii="宋体" w:hAnsi="宋体"/>
          <w:kern w:val="44"/>
        </w:rPr>
      </w:pPr>
      <w:r>
        <w:rPr>
          <w:rFonts w:hint="eastAsia" w:ascii="宋体" w:hAnsi="宋体"/>
          <w:kern w:val="44"/>
        </w:rPr>
        <w:t>（二）申请公开的政府信息属于可以公开的，应当向申请人公开；行政机关或者第三方对政府信息的使用范围有特殊要求的，行政机关应当与申请人约定，申请人签字确认后，按照约定使用公开的政府信息；</w:t>
      </w:r>
    </w:p>
    <w:p w14:paraId="568B488B">
      <w:pPr>
        <w:jc w:val="left"/>
        <w:rPr>
          <w:rFonts w:ascii="宋体" w:hAnsi="宋体"/>
          <w:kern w:val="44"/>
        </w:rPr>
      </w:pPr>
      <w:r>
        <w:rPr>
          <w:rFonts w:hint="eastAsia" w:ascii="宋体" w:hAnsi="宋体"/>
          <w:kern w:val="44"/>
        </w:rPr>
        <w:t>（三）申请公开的政府信息中含有不应当公开的内容，但是能够作区分处理的，应当向申请人提供可以公开的信息内容；对不予公开的部分，应当说明理由；</w:t>
      </w:r>
    </w:p>
    <w:p w14:paraId="2947B5BE">
      <w:pPr>
        <w:jc w:val="left"/>
        <w:rPr>
          <w:rFonts w:ascii="宋体" w:hAnsi="宋体"/>
          <w:kern w:val="44"/>
        </w:rPr>
      </w:pPr>
      <w:r>
        <w:rPr>
          <w:rFonts w:hint="eastAsia" w:ascii="宋体" w:hAnsi="宋体"/>
          <w:kern w:val="44"/>
        </w:rPr>
        <w:t>（四）申请公开的政府信息属于不予公开范围的，应当告知申请人并说明理由；</w:t>
      </w:r>
    </w:p>
    <w:p w14:paraId="5CAAAA97">
      <w:pPr>
        <w:jc w:val="left"/>
        <w:rPr>
          <w:rFonts w:ascii="宋体" w:hAnsi="宋体"/>
          <w:kern w:val="44"/>
        </w:rPr>
      </w:pPr>
      <w:r>
        <w:rPr>
          <w:rFonts w:hint="eastAsia" w:ascii="宋体" w:hAnsi="宋体"/>
          <w:kern w:val="44"/>
        </w:rPr>
        <w:t>（五）申请公开的政府信息属于行政机关在日常工作中制作或者获取的内部管理信息或者处于行政机关讨论、研究或者审查中的过程性信息，应当告知申请人不属于应当公开的政府信息；</w:t>
      </w:r>
    </w:p>
    <w:p w14:paraId="18D2B84B">
      <w:pPr>
        <w:jc w:val="left"/>
        <w:rPr>
          <w:rFonts w:ascii="宋体" w:hAnsi="宋体"/>
          <w:kern w:val="44"/>
        </w:rPr>
      </w:pPr>
      <w:r>
        <w:rPr>
          <w:rFonts w:hint="eastAsia" w:ascii="宋体" w:hAnsi="宋体"/>
          <w:kern w:val="44"/>
        </w:rPr>
        <w:t>（六）申请公开的政府信息所涉事项属于本机关公开范围，但本机关未制作、未获取，或者未以一定形式记录、保存的，应当告知申请人申请的信息不存在并说明理由；</w:t>
      </w:r>
    </w:p>
    <w:p w14:paraId="51AF0B10">
      <w:pPr>
        <w:jc w:val="left"/>
        <w:rPr>
          <w:rFonts w:ascii="宋体" w:hAnsi="宋体"/>
          <w:kern w:val="44"/>
        </w:rPr>
      </w:pPr>
      <w:r>
        <w:rPr>
          <w:rFonts w:hint="eastAsia" w:ascii="宋体" w:hAnsi="宋体"/>
          <w:kern w:val="44"/>
        </w:rPr>
        <w:t>（七）申请公开的政府信息所涉事项不属于本机关公开范围或者属于市人民政府公布由具体工作部门公开的，应当告知申请人，对能够确定该政府信息公开机关的，告知申请人该行政机关的名称、联系方式；</w:t>
      </w:r>
    </w:p>
    <w:p w14:paraId="79BB3472">
      <w:pPr>
        <w:jc w:val="left"/>
        <w:rPr>
          <w:rFonts w:ascii="宋体" w:hAnsi="宋体"/>
          <w:kern w:val="44"/>
        </w:rPr>
      </w:pPr>
      <w:r>
        <w:rPr>
          <w:rFonts w:hint="eastAsia" w:ascii="宋体" w:hAnsi="宋体"/>
          <w:kern w:val="44"/>
        </w:rPr>
        <w:t>（八</w:t>
      </w:r>
      <w:r>
        <w:rPr>
          <w:rFonts w:ascii="宋体" w:hAnsi="宋体"/>
          <w:kern w:val="44"/>
        </w:rPr>
        <w:t>）</w:t>
      </w:r>
      <w:r>
        <w:rPr>
          <w:rFonts w:hint="eastAsia" w:ascii="宋体" w:hAnsi="宋体"/>
          <w:kern w:val="44"/>
        </w:rPr>
        <w:t>申请内容不明确的，应当告知申请人作出更改、补充；</w:t>
      </w:r>
    </w:p>
    <w:p w14:paraId="356BD33B">
      <w:pPr>
        <w:jc w:val="left"/>
        <w:rPr>
          <w:rFonts w:ascii="宋体" w:hAnsi="宋体"/>
          <w:kern w:val="44"/>
        </w:rPr>
      </w:pPr>
      <w:r>
        <w:rPr>
          <w:rFonts w:hint="eastAsia" w:ascii="宋体" w:hAnsi="宋体"/>
          <w:kern w:val="44"/>
        </w:rPr>
        <w:t>（九）同一申的请人向同一行的政机关就同一政府信息重复提出公开申请的，行政机完的关已经依法答复的，可以告知申请人不重复办理。</w:t>
      </w:r>
    </w:p>
    <w:p w14:paraId="3F9F9A54">
      <w:pPr>
        <w:ind w:firstLine="422"/>
        <w:jc w:val="left"/>
        <w:rPr>
          <w:rFonts w:ascii="宋体" w:hAnsi="宋体"/>
          <w:kern w:val="44"/>
        </w:rPr>
      </w:pPr>
      <w:r>
        <w:rPr>
          <w:rFonts w:hint="eastAsia" w:ascii="宋体" w:hAnsi="宋体"/>
          <w:b/>
          <w:kern w:val="44"/>
        </w:rPr>
        <w:t>第二十九条</w:t>
      </w:r>
      <w:r>
        <w:rPr>
          <w:rFonts w:hint="eastAsia" w:ascii="宋体" w:hAnsi="宋体"/>
          <w:kern w:val="44"/>
        </w:rPr>
        <w:t>　行政机关对下列申请事项应当分别按照以下方式处理：</w:t>
      </w:r>
    </w:p>
    <w:p w14:paraId="2D955DB6">
      <w:pPr>
        <w:jc w:val="left"/>
        <w:rPr>
          <w:rFonts w:ascii="宋体" w:hAnsi="宋体"/>
          <w:kern w:val="44"/>
        </w:rPr>
      </w:pPr>
      <w:r>
        <w:rPr>
          <w:rFonts w:hint="eastAsia" w:ascii="宋体" w:hAnsi="宋体"/>
          <w:kern w:val="44"/>
        </w:rPr>
        <w:t>（一）申请内容为咨询、信访、举报等事项，不属于政府信息公开申请范围的，应当告知申请人通过相应渠道提出，对能够确定负责该事项的行政机关的，告知申请人该行政机关的名称、联系方式；</w:t>
      </w:r>
    </w:p>
    <w:p w14:paraId="3094851B">
      <w:pPr>
        <w:jc w:val="left"/>
        <w:rPr>
          <w:rFonts w:ascii="宋体" w:hAnsi="宋体"/>
          <w:kern w:val="44"/>
        </w:rPr>
      </w:pPr>
      <w:r>
        <w:rPr>
          <w:rFonts w:hint="eastAsia" w:ascii="宋体" w:hAnsi="宋体"/>
          <w:kern w:val="44"/>
        </w:rPr>
        <w:t>（二）申请内容属于行政程序中的当事人、利害关系人查阅案卷材料的，应当告知申请人按照相关法律、法规的规定办理；</w:t>
      </w:r>
    </w:p>
    <w:p w14:paraId="4013E133">
      <w:pPr>
        <w:jc w:val="left"/>
        <w:rPr>
          <w:rFonts w:ascii="宋体" w:hAnsi="宋体"/>
          <w:kern w:val="44"/>
        </w:rPr>
      </w:pPr>
      <w:r>
        <w:rPr>
          <w:rFonts w:hint="eastAsia" w:ascii="宋体" w:hAnsi="宋体"/>
          <w:kern w:val="44"/>
        </w:rPr>
        <w:t>（三）申请公开的政府信息已经移交各级国家档案馆的，应当告知申请人按照有关档案管理的法律、行政法规和国家有关规定办理。</w:t>
      </w:r>
    </w:p>
    <w:p w14:paraId="24604135">
      <w:pPr>
        <w:ind w:firstLine="422"/>
        <w:jc w:val="left"/>
        <w:rPr>
          <w:rFonts w:ascii="宋体" w:hAnsi="宋体"/>
          <w:kern w:val="44"/>
        </w:rPr>
      </w:pPr>
      <w:r>
        <w:rPr>
          <w:rFonts w:hint="eastAsia" w:ascii="宋体" w:hAnsi="宋体"/>
          <w:b/>
          <w:kern w:val="44"/>
        </w:rPr>
        <w:t>第三十条</w:t>
      </w:r>
      <w:r>
        <w:rPr>
          <w:rFonts w:hint="eastAsia" w:ascii="宋体" w:hAnsi="宋体"/>
          <w:kern w:val="44"/>
        </w:rPr>
        <w:t>　行政机关向申请人提供的政府信息应当是未经汇总、加工、分析或者重新制作的政府信息。</w:t>
      </w:r>
    </w:p>
    <w:p w14:paraId="06A38E9E">
      <w:pPr>
        <w:jc w:val="left"/>
        <w:rPr>
          <w:rFonts w:ascii="宋体" w:hAnsi="宋体"/>
          <w:kern w:val="44"/>
        </w:rPr>
      </w:pPr>
      <w:r>
        <w:rPr>
          <w:rFonts w:hint="eastAsia" w:ascii="宋体" w:hAnsi="宋体"/>
          <w:kern w:val="44"/>
        </w:rPr>
        <w:t>行政机关依申请公开政府信息，应当按照申请人要求的形式予以提供；无法按照申请人要求的形式提供的，可以通过安排申请人查阅相关资料、提供复制件或者其他适当形式提供。</w:t>
      </w:r>
    </w:p>
    <w:p w14:paraId="4060BC8C">
      <w:pPr>
        <w:ind w:firstLine="422"/>
        <w:jc w:val="left"/>
        <w:rPr>
          <w:rFonts w:ascii="宋体" w:hAnsi="宋体"/>
          <w:kern w:val="44"/>
        </w:rPr>
      </w:pPr>
      <w:r>
        <w:rPr>
          <w:rFonts w:hint="eastAsia" w:ascii="宋体" w:hAnsi="宋体"/>
          <w:b/>
          <w:kern w:val="44"/>
        </w:rPr>
        <w:t>第三十一条</w:t>
      </w:r>
      <w:r>
        <w:rPr>
          <w:rFonts w:hint="eastAsia" w:ascii="宋体" w:hAnsi="宋体"/>
          <w:kern w:val="44"/>
        </w:rPr>
        <w:t>　行政机关应当对以下情况进行记录，并留存相关材料：</w:t>
      </w:r>
    </w:p>
    <w:p w14:paraId="21C904A2">
      <w:pPr>
        <w:jc w:val="left"/>
        <w:rPr>
          <w:rFonts w:ascii="宋体" w:hAnsi="宋体"/>
          <w:kern w:val="44"/>
        </w:rPr>
      </w:pPr>
      <w:r>
        <w:rPr>
          <w:rFonts w:hint="eastAsia" w:ascii="宋体" w:hAnsi="宋体"/>
          <w:kern w:val="44"/>
        </w:rPr>
        <w:t>（一）申请人没有提供有效联系方式，致使行政机关无法向申请人提供书面答复的；</w:t>
      </w:r>
    </w:p>
    <w:p w14:paraId="4E3CEDB4">
      <w:pPr>
        <w:jc w:val="left"/>
        <w:rPr>
          <w:rFonts w:ascii="宋体" w:hAnsi="宋体"/>
          <w:kern w:val="44"/>
        </w:rPr>
      </w:pPr>
      <w:r>
        <w:rPr>
          <w:rFonts w:hint="eastAsia" w:ascii="宋体" w:hAnsi="宋体"/>
          <w:kern w:val="44"/>
        </w:rPr>
        <w:t>（二）征求第三方意见，无法与第三方取得联系或者未收到其回复意见的；</w:t>
      </w:r>
    </w:p>
    <w:p w14:paraId="34078F66">
      <w:pPr>
        <w:jc w:val="left"/>
        <w:rPr>
          <w:rFonts w:ascii="宋体" w:hAnsi="宋体"/>
          <w:kern w:val="44"/>
        </w:rPr>
      </w:pPr>
      <w:r>
        <w:rPr>
          <w:rFonts w:hint="eastAsia" w:ascii="宋体" w:hAnsi="宋体"/>
          <w:kern w:val="44"/>
        </w:rPr>
        <w:t>（三）申请办理中的其他特殊情形。</w:t>
      </w:r>
    </w:p>
    <w:p w14:paraId="6F4D1689">
      <w:pPr>
        <w:ind w:firstLine="422"/>
        <w:jc w:val="left"/>
        <w:rPr>
          <w:rFonts w:ascii="宋体" w:hAnsi="宋体"/>
          <w:kern w:val="44"/>
        </w:rPr>
      </w:pPr>
      <w:r>
        <w:rPr>
          <w:rFonts w:hint="eastAsia" w:ascii="宋体" w:hAnsi="宋体"/>
          <w:b/>
          <w:kern w:val="44"/>
        </w:rPr>
        <w:t>第三十二条</w:t>
      </w:r>
      <w:r>
        <w:rPr>
          <w:rFonts w:hint="eastAsia" w:ascii="宋体" w:hAnsi="宋体"/>
          <w:kern w:val="44"/>
        </w:rPr>
        <w:t>　多人就同一政府信息向同一行政机关提出公开申请，行政机关同意公开，且该政府信息可以为公众知晓的，行政机关可以决定将该政府信息纳入主动公开范围。</w:t>
      </w:r>
    </w:p>
    <w:p w14:paraId="07F1A1DC">
      <w:pPr>
        <w:jc w:val="left"/>
        <w:rPr>
          <w:rFonts w:ascii="宋体" w:hAnsi="宋体"/>
          <w:kern w:val="44"/>
        </w:rPr>
      </w:pPr>
      <w:r>
        <w:rPr>
          <w:rFonts w:hint="eastAsia" w:ascii="宋体" w:hAnsi="宋体"/>
          <w:kern w:val="44"/>
        </w:rPr>
        <w:t>行政机关对申请公开的政府信息决定予以公开的，申请人可以建议行政机关将该信息纳入主动公开范围。</w:t>
      </w:r>
    </w:p>
    <w:p w14:paraId="14C2F765">
      <w:pPr>
        <w:ind w:firstLine="422"/>
        <w:jc w:val="left"/>
        <w:rPr>
          <w:rFonts w:ascii="宋体" w:hAnsi="宋体"/>
          <w:kern w:val="44"/>
        </w:rPr>
      </w:pPr>
      <w:r>
        <w:rPr>
          <w:rFonts w:hint="eastAsia" w:ascii="宋体" w:hAnsi="宋体"/>
          <w:b/>
          <w:kern w:val="44"/>
        </w:rPr>
        <w:t>第三十三条</w:t>
      </w:r>
      <w:r>
        <w:rPr>
          <w:rFonts w:hint="eastAsia" w:ascii="宋体" w:hAnsi="宋体"/>
          <w:kern w:val="44"/>
        </w:rPr>
        <w:t>　公民、法人或者其他组织有证据证明行政机关提供的与其自身相关的政府信息记录不准确的，有权要求该行政机关予以更正。</w:t>
      </w:r>
    </w:p>
    <w:p w14:paraId="2A1457A0">
      <w:pPr>
        <w:jc w:val="left"/>
        <w:rPr>
          <w:rFonts w:ascii="宋体" w:hAnsi="宋体"/>
          <w:kern w:val="44"/>
        </w:rPr>
      </w:pPr>
      <w:r>
        <w:rPr>
          <w:rFonts w:hint="eastAsia" w:ascii="宋体" w:hAnsi="宋体"/>
          <w:kern w:val="44"/>
        </w:rPr>
        <w:t>行政机关有权更正的，应当及时予以更正；无权更正的，应当转送有权更正的行政机关处理，并告知申请人。法律、法规、规章对信息更正有特殊程序规定的，从其规定。</w:t>
      </w:r>
    </w:p>
    <w:p w14:paraId="1B317161">
      <w:pPr>
        <w:ind w:firstLine="422"/>
        <w:jc w:val="left"/>
        <w:rPr>
          <w:rFonts w:ascii="宋体" w:hAnsi="宋体"/>
          <w:kern w:val="44"/>
        </w:rPr>
      </w:pPr>
      <w:r>
        <w:rPr>
          <w:rFonts w:hint="eastAsia" w:ascii="宋体" w:hAnsi="宋体"/>
          <w:b/>
          <w:kern w:val="44"/>
        </w:rPr>
        <w:t>第三十四条</w:t>
      </w:r>
      <w:r>
        <w:rPr>
          <w:rFonts w:hint="eastAsia" w:ascii="宋体" w:hAnsi="宋体"/>
          <w:kern w:val="44"/>
        </w:rPr>
        <w:t>　行政机关依申请提供政府信息，可以收取实际发生的检索、复制、邮寄等成本费用，收取的费用纳入同级财政管理；具体收费标准由本市价格和财政主管部门制定。</w:t>
      </w:r>
    </w:p>
    <w:p w14:paraId="4D4C24FB">
      <w:pPr>
        <w:jc w:val="left"/>
        <w:rPr>
          <w:rFonts w:ascii="宋体" w:hAnsi="宋体"/>
          <w:kern w:val="44"/>
        </w:rPr>
      </w:pPr>
      <w:r>
        <w:rPr>
          <w:rFonts w:hint="eastAsia" w:ascii="宋体" w:hAnsi="宋体"/>
          <w:kern w:val="44"/>
        </w:rPr>
        <w:t>农村五保供养对象、城乡居民最低生活保障对象以及领取国家抚恤补助的优抚对象，经本人申请，凭民政部门颁发的相关证件，受理机关可以免收相关费用。</w:t>
      </w:r>
    </w:p>
    <w:p w14:paraId="07020EF9">
      <w:pPr>
        <w:jc w:val="left"/>
        <w:rPr>
          <w:rFonts w:ascii="宋体" w:hAnsi="宋体"/>
          <w:kern w:val="44"/>
        </w:rPr>
      </w:pPr>
    </w:p>
    <w:p w14:paraId="22BD8C5A">
      <w:pPr>
        <w:ind w:firstLine="0" w:firstLineChars="0"/>
        <w:jc w:val="center"/>
        <w:rPr>
          <w:rFonts w:ascii="宋体" w:hAnsi="宋体"/>
          <w:b/>
          <w:kern w:val="44"/>
          <w:sz w:val="28"/>
        </w:rPr>
      </w:pPr>
      <w:r>
        <w:rPr>
          <w:rFonts w:hint="eastAsia" w:ascii="宋体" w:hAnsi="宋体"/>
          <w:b/>
          <w:kern w:val="44"/>
          <w:sz w:val="28"/>
        </w:rPr>
        <w:t>第四章　监督和保障</w:t>
      </w:r>
    </w:p>
    <w:p w14:paraId="0A470E2F">
      <w:pPr>
        <w:jc w:val="left"/>
        <w:rPr>
          <w:rFonts w:ascii="宋体" w:hAnsi="宋体"/>
          <w:kern w:val="44"/>
        </w:rPr>
      </w:pPr>
    </w:p>
    <w:p w14:paraId="09643C9D">
      <w:pPr>
        <w:ind w:firstLine="422"/>
        <w:jc w:val="left"/>
        <w:rPr>
          <w:rFonts w:ascii="宋体" w:hAnsi="宋体"/>
          <w:kern w:val="44"/>
        </w:rPr>
      </w:pPr>
      <w:r>
        <w:rPr>
          <w:rFonts w:hint="eastAsia" w:ascii="宋体" w:hAnsi="宋体"/>
          <w:b/>
          <w:kern w:val="44"/>
        </w:rPr>
        <w:t>第三十五条</w:t>
      </w:r>
      <w:r>
        <w:rPr>
          <w:rFonts w:hint="eastAsia" w:ascii="宋体" w:hAnsi="宋体"/>
          <w:kern w:val="44"/>
        </w:rPr>
        <w:t>　本市各级人民政府应当建立健全政府信息公开工作考核制度、社会评议制度和责任追究制度，定期对政府信息公开工作进行考核、评议。</w:t>
      </w:r>
    </w:p>
    <w:p w14:paraId="0B8E8A4B">
      <w:pPr>
        <w:ind w:firstLine="422"/>
        <w:jc w:val="left"/>
        <w:rPr>
          <w:rFonts w:ascii="宋体" w:hAnsi="宋体"/>
          <w:kern w:val="44"/>
        </w:rPr>
      </w:pPr>
      <w:r>
        <w:rPr>
          <w:rFonts w:hint="eastAsia" w:ascii="宋体" w:hAnsi="宋体"/>
          <w:b/>
          <w:kern w:val="44"/>
        </w:rPr>
        <w:t>第三十六条</w:t>
      </w:r>
      <w:r>
        <w:rPr>
          <w:rFonts w:hint="eastAsia" w:ascii="宋体" w:hAnsi="宋体"/>
          <w:kern w:val="44"/>
        </w:rPr>
        <w:t>　行政机关应当在每年3月31日前，公布本行政机关的政府信息公开工作年度报告。</w:t>
      </w:r>
    </w:p>
    <w:p w14:paraId="73EC37E4">
      <w:pPr>
        <w:jc w:val="left"/>
        <w:rPr>
          <w:rFonts w:ascii="宋体" w:hAnsi="宋体"/>
          <w:kern w:val="44"/>
        </w:rPr>
      </w:pPr>
      <w:r>
        <w:rPr>
          <w:rFonts w:hint="eastAsia" w:ascii="宋体" w:hAnsi="宋体"/>
          <w:kern w:val="44"/>
        </w:rPr>
        <w:t>政府信息公开工作年度报告应当包括下列内容：</w:t>
      </w:r>
    </w:p>
    <w:p w14:paraId="373B1025">
      <w:pPr>
        <w:jc w:val="left"/>
        <w:rPr>
          <w:rFonts w:ascii="宋体" w:hAnsi="宋体"/>
          <w:kern w:val="44"/>
        </w:rPr>
      </w:pPr>
      <w:r>
        <w:rPr>
          <w:rFonts w:hint="eastAsia" w:ascii="宋体" w:hAnsi="宋体"/>
          <w:kern w:val="44"/>
        </w:rPr>
        <w:t>（一）行政机关政府信息公开组织机构、制度建设、渠道场所、教育培训等年度工作开展情况；</w:t>
      </w:r>
    </w:p>
    <w:p w14:paraId="63CD076F">
      <w:pPr>
        <w:jc w:val="left"/>
        <w:rPr>
          <w:rFonts w:ascii="宋体" w:hAnsi="宋体"/>
          <w:kern w:val="44"/>
        </w:rPr>
      </w:pPr>
      <w:r>
        <w:rPr>
          <w:rFonts w:hint="eastAsia" w:ascii="宋体" w:hAnsi="宋体"/>
          <w:kern w:val="44"/>
        </w:rPr>
        <w:t>（二）行政机关主动公开政府信息的情况；</w:t>
      </w:r>
    </w:p>
    <w:p w14:paraId="16410A82">
      <w:pPr>
        <w:jc w:val="left"/>
        <w:rPr>
          <w:rFonts w:ascii="宋体" w:hAnsi="宋体"/>
          <w:kern w:val="44"/>
        </w:rPr>
      </w:pPr>
      <w:r>
        <w:rPr>
          <w:rFonts w:hint="eastAsia" w:ascii="宋体" w:hAnsi="宋体"/>
          <w:kern w:val="44"/>
        </w:rPr>
        <w:t>（三）行政机关依申请公开政府信息和不予公开政府信息的情况；</w:t>
      </w:r>
    </w:p>
    <w:p w14:paraId="32171D67">
      <w:pPr>
        <w:jc w:val="left"/>
        <w:rPr>
          <w:rFonts w:ascii="宋体" w:hAnsi="宋体"/>
          <w:kern w:val="44"/>
        </w:rPr>
      </w:pPr>
      <w:r>
        <w:rPr>
          <w:rFonts w:hint="eastAsia" w:ascii="宋体" w:hAnsi="宋体"/>
          <w:kern w:val="44"/>
        </w:rPr>
        <w:t>（四）因政府信息公开申请行政复议、提起行政诉讼的情况；</w:t>
      </w:r>
    </w:p>
    <w:p w14:paraId="471D54DD">
      <w:pPr>
        <w:jc w:val="left"/>
        <w:rPr>
          <w:rFonts w:ascii="宋体" w:hAnsi="宋体"/>
          <w:kern w:val="44"/>
        </w:rPr>
      </w:pPr>
      <w:r>
        <w:rPr>
          <w:rFonts w:hint="eastAsia" w:ascii="宋体" w:hAnsi="宋体"/>
          <w:kern w:val="44"/>
        </w:rPr>
        <w:t>（五）政府信息公开的收费以及免除费用的情况；</w:t>
      </w:r>
    </w:p>
    <w:p w14:paraId="29CE5F6A">
      <w:pPr>
        <w:jc w:val="left"/>
        <w:rPr>
          <w:rFonts w:ascii="宋体" w:hAnsi="宋体"/>
          <w:kern w:val="44"/>
        </w:rPr>
      </w:pPr>
      <w:r>
        <w:rPr>
          <w:rFonts w:hint="eastAsia" w:ascii="宋体" w:hAnsi="宋体"/>
          <w:kern w:val="44"/>
        </w:rPr>
        <w:t>（六）政府信息公开工作存在的主要问题以及改进情况；</w:t>
      </w:r>
    </w:p>
    <w:p w14:paraId="2CC69284">
      <w:pPr>
        <w:jc w:val="left"/>
        <w:rPr>
          <w:rFonts w:ascii="宋体" w:hAnsi="宋体"/>
          <w:kern w:val="44"/>
        </w:rPr>
      </w:pPr>
      <w:r>
        <w:rPr>
          <w:rFonts w:hint="eastAsia" w:ascii="宋体" w:hAnsi="宋体"/>
          <w:kern w:val="44"/>
        </w:rPr>
        <w:t>（七）其他需要报告的事项。</w:t>
      </w:r>
    </w:p>
    <w:p w14:paraId="2AB51A62">
      <w:pPr>
        <w:ind w:firstLine="422"/>
        <w:jc w:val="left"/>
        <w:rPr>
          <w:rFonts w:ascii="宋体" w:hAnsi="宋体"/>
          <w:kern w:val="44"/>
        </w:rPr>
      </w:pPr>
      <w:r>
        <w:rPr>
          <w:rFonts w:hint="eastAsia" w:ascii="宋体" w:hAnsi="宋体"/>
          <w:b/>
          <w:kern w:val="44"/>
        </w:rPr>
        <w:t>第三十七条</w:t>
      </w:r>
      <w:r>
        <w:rPr>
          <w:rFonts w:hint="eastAsia" w:ascii="宋体" w:hAnsi="宋体"/>
          <w:kern w:val="44"/>
        </w:rPr>
        <w:t>　市政府办公厅组织开展政府信息公开年度考核工作。政府信息公开年度考核情况应当向社会公布。</w:t>
      </w:r>
    </w:p>
    <w:p w14:paraId="673AD138">
      <w:pPr>
        <w:ind w:firstLine="422"/>
        <w:jc w:val="left"/>
        <w:rPr>
          <w:rFonts w:ascii="宋体" w:hAnsi="宋体"/>
          <w:kern w:val="44"/>
        </w:rPr>
      </w:pPr>
      <w:r>
        <w:rPr>
          <w:rFonts w:hint="eastAsia" w:ascii="宋体" w:hAnsi="宋体"/>
          <w:b/>
          <w:kern w:val="44"/>
        </w:rPr>
        <w:t>第三十八条</w:t>
      </w:r>
      <w:r>
        <w:rPr>
          <w:rFonts w:hint="eastAsia" w:ascii="宋体" w:hAnsi="宋体"/>
          <w:kern w:val="44"/>
        </w:rPr>
        <w:t>　行政机关可以采取多种方式开展社会评议，征求公民、法人或者其他组织对本机关政府信息公开工作的意见和建议。对于合理的意见和建议，行政机关应当予以采纳。</w:t>
      </w:r>
    </w:p>
    <w:p w14:paraId="5E1E364A">
      <w:pPr>
        <w:ind w:firstLine="422"/>
        <w:jc w:val="left"/>
        <w:rPr>
          <w:rFonts w:ascii="宋体" w:hAnsi="宋体"/>
          <w:kern w:val="44"/>
        </w:rPr>
      </w:pPr>
      <w:r>
        <w:rPr>
          <w:rFonts w:hint="eastAsia" w:ascii="宋体" w:hAnsi="宋体"/>
          <w:b/>
          <w:kern w:val="44"/>
        </w:rPr>
        <w:t>第三十九条</w:t>
      </w:r>
      <w:r>
        <w:rPr>
          <w:rFonts w:hint="eastAsia" w:ascii="宋体" w:hAnsi="宋体"/>
          <w:kern w:val="44"/>
        </w:rPr>
        <w:t>　政府信息公开工作主管部门和监察机关负责对行政机关政府信息公开的实施情况进行监督检查，指导、监督本市政府信息公开责任追究工作。责任追究的方式和程序，执行本市行政问责办法。</w:t>
      </w:r>
    </w:p>
    <w:p w14:paraId="1C086F36">
      <w:pPr>
        <w:ind w:firstLine="422"/>
        <w:jc w:val="left"/>
        <w:rPr>
          <w:rFonts w:ascii="宋体" w:hAnsi="宋体"/>
          <w:kern w:val="44"/>
        </w:rPr>
      </w:pPr>
      <w:r>
        <w:rPr>
          <w:rFonts w:hint="eastAsia" w:ascii="宋体" w:hAnsi="宋体"/>
          <w:b/>
          <w:kern w:val="44"/>
        </w:rPr>
        <w:t>第四十条</w:t>
      </w:r>
      <w:r>
        <w:rPr>
          <w:rFonts w:hint="eastAsia" w:ascii="宋体" w:hAnsi="宋体"/>
          <w:kern w:val="44"/>
        </w:rPr>
        <w:t>　公民、法人或者其他组织认为行政机关不依法履行政府信息公开义务的，可以向上级行政机关、监察机关或者政府信息公开工作主管部门举报。收到举报的机关应当予以调查处理。</w:t>
      </w:r>
    </w:p>
    <w:p w14:paraId="73254C7D">
      <w:pPr>
        <w:jc w:val="left"/>
        <w:rPr>
          <w:rFonts w:ascii="宋体" w:hAnsi="宋体"/>
          <w:kern w:val="44"/>
        </w:rPr>
      </w:pPr>
      <w:r>
        <w:rPr>
          <w:rFonts w:hint="eastAsia" w:ascii="宋体" w:hAnsi="宋体"/>
          <w:kern w:val="44"/>
        </w:rPr>
        <w:t>公民、法人或者其他组织认为行政机关在政府信息公开工作中的具体行政行为侵犯其合法权益的，可以依法申请行政复议或者提起行政诉讼。行政机关对在行政复议和行政诉讼中发现的政府信息公开工作相关问题应当及时纠正。</w:t>
      </w:r>
    </w:p>
    <w:p w14:paraId="685B9813">
      <w:pPr>
        <w:ind w:firstLine="422"/>
        <w:jc w:val="left"/>
        <w:rPr>
          <w:rFonts w:ascii="宋体" w:hAnsi="宋体"/>
          <w:kern w:val="44"/>
        </w:rPr>
      </w:pPr>
      <w:r>
        <w:rPr>
          <w:rFonts w:hint="eastAsia" w:ascii="宋体" w:hAnsi="宋体"/>
          <w:b/>
          <w:kern w:val="44"/>
        </w:rPr>
        <w:t>第四十一条</w:t>
      </w:r>
      <w:r>
        <w:rPr>
          <w:rFonts w:hint="eastAsia" w:ascii="宋体" w:hAnsi="宋体"/>
          <w:kern w:val="44"/>
        </w:rPr>
        <w:t>　行政机关违反本规定，未建立健全政府信息发布保密审查机制的，由监察机关、上一级行政机关责令改正；情节严重的，对行政机关主要负责人依法给予处分。</w:t>
      </w:r>
    </w:p>
    <w:p w14:paraId="37DD6317">
      <w:pPr>
        <w:jc w:val="left"/>
        <w:rPr>
          <w:rFonts w:ascii="宋体" w:hAnsi="宋体"/>
          <w:kern w:val="44"/>
        </w:rPr>
      </w:pPr>
      <w:r>
        <w:rPr>
          <w:rFonts w:hint="eastAsia" w:ascii="宋体" w:hAnsi="宋体"/>
          <w:kern w:val="44"/>
        </w:rPr>
        <w:t>行政机关违反本规定，有下列情形之一的，由监察机关、上一级行政机关责令改正；情节严重的，对行政机关直接负责的主管人员和其他直接责任人员依法给予处分；构成犯罪的，依法追究刑事责任：</w:t>
      </w:r>
    </w:p>
    <w:p w14:paraId="3941F0CF">
      <w:pPr>
        <w:jc w:val="left"/>
        <w:rPr>
          <w:rFonts w:ascii="宋体" w:hAnsi="宋体"/>
          <w:kern w:val="44"/>
        </w:rPr>
      </w:pPr>
      <w:r>
        <w:rPr>
          <w:rFonts w:hint="eastAsia" w:ascii="宋体" w:hAnsi="宋体"/>
          <w:kern w:val="44"/>
        </w:rPr>
        <w:t>（一）不依法履行政府信息公开义务的；</w:t>
      </w:r>
    </w:p>
    <w:p w14:paraId="0E9B595B">
      <w:pPr>
        <w:jc w:val="left"/>
        <w:rPr>
          <w:rFonts w:ascii="宋体" w:hAnsi="宋体"/>
          <w:kern w:val="44"/>
        </w:rPr>
      </w:pPr>
      <w:r>
        <w:rPr>
          <w:rFonts w:hint="eastAsia" w:ascii="宋体" w:hAnsi="宋体"/>
          <w:kern w:val="44"/>
        </w:rPr>
        <w:t>（二）不及时更新公开的政府信息内容、政府信息公开指南和政府信息公开目录的；</w:t>
      </w:r>
    </w:p>
    <w:p w14:paraId="2242AB77">
      <w:pPr>
        <w:jc w:val="left"/>
        <w:rPr>
          <w:rFonts w:ascii="宋体" w:hAnsi="宋体"/>
          <w:kern w:val="44"/>
        </w:rPr>
      </w:pPr>
      <w:r>
        <w:rPr>
          <w:rFonts w:hint="eastAsia" w:ascii="宋体" w:hAnsi="宋体"/>
          <w:kern w:val="44"/>
        </w:rPr>
        <w:t>（三）违反规定收取费用的；</w:t>
      </w:r>
    </w:p>
    <w:p w14:paraId="092CAB28">
      <w:pPr>
        <w:jc w:val="left"/>
        <w:rPr>
          <w:rFonts w:ascii="宋体" w:hAnsi="宋体"/>
          <w:kern w:val="44"/>
        </w:rPr>
      </w:pPr>
      <w:r>
        <w:rPr>
          <w:rFonts w:hint="eastAsia" w:ascii="宋体" w:hAnsi="宋体"/>
          <w:kern w:val="44"/>
        </w:rPr>
        <w:t>（四）通过其他组织、个人以有偿服务方式提供政府信息的；</w:t>
      </w:r>
    </w:p>
    <w:p w14:paraId="2A91BC83">
      <w:pPr>
        <w:jc w:val="left"/>
        <w:rPr>
          <w:rFonts w:ascii="宋体" w:hAnsi="宋体"/>
          <w:kern w:val="44"/>
        </w:rPr>
      </w:pPr>
      <w:r>
        <w:rPr>
          <w:rFonts w:hint="eastAsia" w:ascii="宋体" w:hAnsi="宋体"/>
          <w:kern w:val="44"/>
        </w:rPr>
        <w:t>（五）公开不应当公开的政府信息的；</w:t>
      </w:r>
    </w:p>
    <w:p w14:paraId="0BA9BD82">
      <w:pPr>
        <w:jc w:val="left"/>
        <w:rPr>
          <w:rFonts w:ascii="宋体" w:hAnsi="宋体"/>
          <w:kern w:val="44"/>
        </w:rPr>
      </w:pPr>
      <w:r>
        <w:rPr>
          <w:rFonts w:hint="eastAsia" w:ascii="宋体" w:hAnsi="宋体"/>
          <w:kern w:val="44"/>
        </w:rPr>
        <w:t>（六）违反本规定的其他行为。</w:t>
      </w:r>
    </w:p>
    <w:p w14:paraId="6D2EC6DE">
      <w:pPr>
        <w:jc w:val="left"/>
        <w:rPr>
          <w:rFonts w:ascii="宋体" w:hAnsi="宋体"/>
          <w:kern w:val="44"/>
        </w:rPr>
      </w:pPr>
    </w:p>
    <w:p w14:paraId="140267A7">
      <w:pPr>
        <w:ind w:firstLine="0" w:firstLineChars="0"/>
        <w:jc w:val="center"/>
        <w:rPr>
          <w:rFonts w:ascii="宋体" w:hAnsi="宋体"/>
          <w:b/>
          <w:kern w:val="44"/>
          <w:sz w:val="28"/>
        </w:rPr>
      </w:pPr>
      <w:r>
        <w:rPr>
          <w:rFonts w:hint="eastAsia" w:ascii="宋体" w:hAnsi="宋体"/>
          <w:b/>
          <w:kern w:val="44"/>
          <w:sz w:val="28"/>
        </w:rPr>
        <w:t>第五章　附　则</w:t>
      </w:r>
    </w:p>
    <w:p w14:paraId="2E51026F">
      <w:pPr>
        <w:jc w:val="left"/>
        <w:rPr>
          <w:rFonts w:ascii="宋体" w:hAnsi="宋体"/>
          <w:kern w:val="44"/>
        </w:rPr>
      </w:pPr>
    </w:p>
    <w:p w14:paraId="1760190A">
      <w:pPr>
        <w:ind w:firstLine="422"/>
        <w:jc w:val="left"/>
        <w:rPr>
          <w:rFonts w:ascii="宋体" w:hAnsi="宋体"/>
          <w:kern w:val="44"/>
        </w:rPr>
      </w:pPr>
      <w:r>
        <w:rPr>
          <w:rFonts w:hint="eastAsia" w:ascii="宋体" w:hAnsi="宋体"/>
          <w:b/>
          <w:kern w:val="44"/>
        </w:rPr>
        <w:t>第四十二条</w:t>
      </w:r>
      <w:r>
        <w:rPr>
          <w:rFonts w:hint="eastAsia" w:ascii="宋体" w:hAnsi="宋体"/>
          <w:kern w:val="44"/>
        </w:rPr>
        <w:t>　法律、法规授权的具有管理公共事务职能的组织公开政府信息的活动，适用本规定。</w:t>
      </w:r>
    </w:p>
    <w:p w14:paraId="14A7DCBC">
      <w:pPr>
        <w:ind w:firstLine="422"/>
        <w:jc w:val="left"/>
        <w:rPr>
          <w:rFonts w:ascii="宋体" w:hAnsi="宋体"/>
          <w:kern w:val="44"/>
        </w:rPr>
      </w:pPr>
      <w:r>
        <w:rPr>
          <w:rFonts w:hint="eastAsia" w:ascii="宋体" w:hAnsi="宋体"/>
          <w:b/>
          <w:kern w:val="44"/>
        </w:rPr>
        <w:t>第四十三条</w:t>
      </w:r>
      <w:r>
        <w:rPr>
          <w:rFonts w:hint="eastAsia" w:ascii="宋体" w:hAnsi="宋体"/>
          <w:kern w:val="44"/>
        </w:rPr>
        <w:t>　教育、医疗卫生、计划生育、供水、供电、供气、供热、环保、公共交通、通讯等与人民群众利益密切相关的公共企事业单位在提供社会公共服务过程中制作、获取的信息公开，参照本规定执行。</w:t>
      </w:r>
    </w:p>
    <w:p w14:paraId="49F88E84">
      <w:pPr>
        <w:jc w:val="left"/>
        <w:rPr>
          <w:rFonts w:ascii="宋体" w:hAnsi="宋体"/>
          <w:kern w:val="44"/>
        </w:rPr>
      </w:pPr>
      <w:r>
        <w:rPr>
          <w:rFonts w:hint="eastAsia" w:ascii="宋体" w:hAnsi="宋体"/>
          <w:kern w:val="44"/>
        </w:rPr>
        <w:t>有关主管部门应当对所属或者管理的公共企事业单位的信息公开工作进行指导和监督。</w:t>
      </w:r>
    </w:p>
    <w:p w14:paraId="24D93DDF">
      <w:pPr>
        <w:ind w:firstLine="422"/>
        <w:jc w:val="left"/>
        <w:rPr>
          <w:rFonts w:ascii="宋体" w:hAnsi="宋体"/>
          <w:kern w:val="44"/>
        </w:rPr>
      </w:pPr>
      <w:r>
        <w:rPr>
          <w:rFonts w:hint="eastAsia" w:ascii="宋体" w:hAnsi="宋体"/>
          <w:b/>
          <w:kern w:val="44"/>
        </w:rPr>
        <w:t>第四十四条</w:t>
      </w:r>
      <w:r>
        <w:rPr>
          <w:rFonts w:hint="eastAsia" w:ascii="宋体" w:hAnsi="宋体"/>
          <w:kern w:val="44"/>
        </w:rPr>
        <w:t>　法律、法规和国家有关规定对政府信息公开另有规定的，从其规定。</w:t>
      </w:r>
    </w:p>
    <w:p w14:paraId="222F2491">
      <w:pPr>
        <w:ind w:firstLine="422"/>
        <w:jc w:val="left"/>
        <w:rPr>
          <w:rFonts w:ascii="宋体" w:hAnsi="宋体"/>
          <w:kern w:val="44"/>
        </w:rPr>
      </w:pPr>
      <w:r>
        <w:rPr>
          <w:rFonts w:hint="eastAsia" w:ascii="宋体" w:hAnsi="宋体"/>
          <w:b/>
          <w:kern w:val="44"/>
        </w:rPr>
        <w:t>第四十五条</w:t>
      </w:r>
      <w:r>
        <w:rPr>
          <w:rFonts w:hint="eastAsia" w:ascii="宋体" w:hAnsi="宋体"/>
          <w:kern w:val="44"/>
        </w:rPr>
        <w:t>　本规定自2015年1月1日起施行。</w:t>
      </w:r>
    </w:p>
    <w:p w14:paraId="6DD5BD4B">
      <w:pPr>
        <w:pStyle w:val="4"/>
        <w:pageBreakBefore/>
        <w:rPr>
          <w:kern w:val="44"/>
        </w:rPr>
      </w:pPr>
      <w:bookmarkStart w:id="314" w:name="_Toc422471110"/>
      <w:bookmarkStart w:id="315" w:name="_Toc427651425"/>
      <w:bookmarkStart w:id="316" w:name="_Toc427651767"/>
      <w:bookmarkStart w:id="317" w:name="_Toc428779991"/>
      <w:bookmarkStart w:id="318" w:name="_Toc428781473"/>
      <w:r>
        <w:rPr>
          <w:rFonts w:hint="eastAsia"/>
          <w:kern w:val="44"/>
        </w:rPr>
        <w:t>北京市重大建设项目稽察办法</w:t>
      </w:r>
      <w:bookmarkEnd w:id="314"/>
      <w:bookmarkEnd w:id="315"/>
      <w:bookmarkEnd w:id="316"/>
      <w:bookmarkEnd w:id="317"/>
      <w:bookmarkEnd w:id="318"/>
    </w:p>
    <w:p w14:paraId="3F0C990B">
      <w:pPr>
        <w:ind w:left="630" w:leftChars="300" w:right="630" w:rightChars="300"/>
        <w:jc w:val="left"/>
        <w:rPr>
          <w:rFonts w:ascii="楷体" w:hAnsi="楷体" w:eastAsia="楷体"/>
          <w:kern w:val="44"/>
        </w:rPr>
      </w:pPr>
      <w:r>
        <w:rPr>
          <w:rFonts w:hint="eastAsia" w:ascii="楷体" w:hAnsi="楷体" w:eastAsia="楷体"/>
          <w:kern w:val="44"/>
        </w:rPr>
        <w:t>（2014年7月22日市人民政府第50次常务会议审议通过　2014年9月15日北京市人民政府第260号令公布  自2014年11月1日起施行）</w:t>
      </w:r>
    </w:p>
    <w:p w14:paraId="0BD52B30">
      <w:pPr>
        <w:ind w:left="630" w:leftChars="300" w:right="630" w:rightChars="300"/>
        <w:jc w:val="left"/>
        <w:rPr>
          <w:rFonts w:ascii="楷体" w:hAnsi="楷体" w:eastAsia="楷体"/>
          <w:kern w:val="44"/>
        </w:rPr>
      </w:pPr>
    </w:p>
    <w:p w14:paraId="77FAF09F">
      <w:pPr>
        <w:ind w:firstLine="0" w:firstLineChars="0"/>
        <w:jc w:val="center"/>
        <w:rPr>
          <w:rFonts w:ascii="宋体" w:hAnsi="宋体"/>
          <w:b/>
          <w:kern w:val="44"/>
          <w:sz w:val="28"/>
        </w:rPr>
      </w:pPr>
      <w:r>
        <w:rPr>
          <w:rFonts w:hint="eastAsia" w:ascii="宋体" w:hAnsi="宋体"/>
          <w:b/>
          <w:kern w:val="44"/>
          <w:sz w:val="28"/>
        </w:rPr>
        <w:t>第一章　总　则</w:t>
      </w:r>
    </w:p>
    <w:p w14:paraId="6ED79C82">
      <w:pPr>
        <w:jc w:val="left"/>
        <w:rPr>
          <w:rFonts w:ascii="宋体" w:hAnsi="宋体"/>
          <w:kern w:val="44"/>
        </w:rPr>
      </w:pPr>
    </w:p>
    <w:p w14:paraId="15691766">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为加强重大建设项目监督管理，规范重大建设项目稽察行为，保障重大建设项目工程质量和资金使用安全，提高投资效益，根据国家有关规定，结合本市实际情况，制定本办法。</w:t>
      </w:r>
    </w:p>
    <w:p w14:paraId="61140CCB">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本办法所称重大建设项目，是指本市行政区域内使用市和区县人民政府固定资产投资资金、实行审批制管理的建设项目。</w:t>
      </w:r>
    </w:p>
    <w:p w14:paraId="7DF6182F">
      <w:pPr>
        <w:jc w:val="left"/>
        <w:rPr>
          <w:rFonts w:ascii="宋体" w:hAnsi="宋体"/>
          <w:kern w:val="44"/>
        </w:rPr>
      </w:pPr>
      <w:r>
        <w:rPr>
          <w:rFonts w:hint="eastAsia" w:ascii="宋体" w:hAnsi="宋体"/>
          <w:kern w:val="44"/>
        </w:rPr>
        <w:t>本条前款所称固定资产投资资金，包括财政预算内和土地批租收入中用于固定资产投资的资金、中央补助投资资金、国债专项资金以及城市基础设施建设费、水利建设基金等。</w:t>
      </w:r>
    </w:p>
    <w:p w14:paraId="124E653C">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市和区县发展改革行政部门按照重大建设项目管理权限负责本行政区域内的重大建设项目稽察工作。</w:t>
      </w:r>
    </w:p>
    <w:p w14:paraId="0EA1015C">
      <w:pPr>
        <w:jc w:val="left"/>
        <w:rPr>
          <w:rFonts w:ascii="宋体" w:hAnsi="宋体"/>
          <w:kern w:val="44"/>
        </w:rPr>
      </w:pPr>
      <w:r>
        <w:rPr>
          <w:rFonts w:hint="eastAsia" w:ascii="宋体" w:hAnsi="宋体"/>
          <w:kern w:val="44"/>
        </w:rPr>
        <w:t>市发展改革行政部门监督、指导区县发展改革行政部门重大建设项目稽察工作。</w:t>
      </w:r>
    </w:p>
    <w:p w14:paraId="619BEC41">
      <w:pPr>
        <w:ind w:firstLine="422"/>
        <w:jc w:val="left"/>
        <w:rPr>
          <w:rFonts w:ascii="宋体" w:hAnsi="宋体"/>
          <w:kern w:val="44"/>
        </w:rPr>
      </w:pPr>
      <w:r>
        <w:rPr>
          <w:rFonts w:hint="eastAsia" w:ascii="宋体" w:hAnsi="宋体"/>
          <w:b/>
          <w:kern w:val="44"/>
        </w:rPr>
        <w:t>第四条</w:t>
      </w:r>
      <w:r>
        <w:rPr>
          <w:rFonts w:hint="eastAsia" w:ascii="宋体" w:hAnsi="宋体"/>
          <w:kern w:val="44"/>
        </w:rPr>
        <w:t>　开展稽察工作应当遵循职责明晰、各方协作、程序规范和权利义务平衡的原则。</w:t>
      </w:r>
    </w:p>
    <w:p w14:paraId="63153DF0">
      <w:pPr>
        <w:ind w:firstLine="422"/>
        <w:jc w:val="left"/>
        <w:rPr>
          <w:rFonts w:ascii="宋体" w:hAnsi="宋体"/>
          <w:kern w:val="44"/>
        </w:rPr>
      </w:pPr>
      <w:r>
        <w:rPr>
          <w:rFonts w:hint="eastAsia" w:ascii="宋体" w:hAnsi="宋体"/>
          <w:b/>
          <w:kern w:val="44"/>
        </w:rPr>
        <w:t>第五条</w:t>
      </w:r>
      <w:r>
        <w:rPr>
          <w:rFonts w:hint="eastAsia" w:ascii="宋体" w:hAnsi="宋体"/>
          <w:kern w:val="44"/>
        </w:rPr>
        <w:t>　发展改革、财政、审计、监察以及住房和城乡建设、规划、环境保护、交通等行政部门应当建立健全重大建设项目监督协调机制，统筹安排监督计划，加强信息沟通和监管合作，实现监管信息共享和监管结果共用。</w:t>
      </w:r>
    </w:p>
    <w:p w14:paraId="26683427">
      <w:pPr>
        <w:jc w:val="left"/>
        <w:rPr>
          <w:rFonts w:ascii="宋体" w:hAnsi="宋体"/>
          <w:kern w:val="44"/>
        </w:rPr>
      </w:pPr>
      <w:r>
        <w:rPr>
          <w:rFonts w:hint="eastAsia" w:ascii="宋体" w:hAnsi="宋体"/>
          <w:kern w:val="44"/>
        </w:rPr>
        <w:t>发展改革行政部门根据稽察工作需要，可以会同财政、审计、监察以及住房和城乡建设、规划、环境保护、交通等行政部门对重大建设项目开展联合检查。</w:t>
      </w:r>
    </w:p>
    <w:p w14:paraId="434A2F3B">
      <w:pPr>
        <w:jc w:val="left"/>
        <w:rPr>
          <w:rFonts w:ascii="宋体" w:hAnsi="宋体"/>
          <w:kern w:val="44"/>
        </w:rPr>
      </w:pPr>
    </w:p>
    <w:p w14:paraId="4660515C">
      <w:pPr>
        <w:ind w:firstLine="0" w:firstLineChars="0"/>
        <w:jc w:val="center"/>
        <w:rPr>
          <w:rFonts w:ascii="宋体" w:hAnsi="宋体"/>
          <w:b/>
          <w:kern w:val="44"/>
          <w:sz w:val="28"/>
        </w:rPr>
      </w:pPr>
      <w:r>
        <w:rPr>
          <w:rFonts w:hint="eastAsia" w:ascii="宋体" w:hAnsi="宋体"/>
          <w:b/>
          <w:kern w:val="44"/>
          <w:sz w:val="28"/>
        </w:rPr>
        <w:t>第二章　稽察职责</w:t>
      </w:r>
    </w:p>
    <w:p w14:paraId="15E83616">
      <w:pPr>
        <w:jc w:val="left"/>
        <w:rPr>
          <w:rFonts w:ascii="宋体" w:hAnsi="宋体"/>
          <w:kern w:val="44"/>
        </w:rPr>
      </w:pPr>
    </w:p>
    <w:p w14:paraId="0FDD8B20">
      <w:pPr>
        <w:ind w:firstLine="422"/>
        <w:jc w:val="left"/>
        <w:rPr>
          <w:rFonts w:ascii="宋体" w:hAnsi="宋体"/>
          <w:kern w:val="44"/>
        </w:rPr>
      </w:pPr>
      <w:r>
        <w:rPr>
          <w:rFonts w:hint="eastAsia" w:ascii="宋体" w:hAnsi="宋体"/>
          <w:b/>
          <w:kern w:val="44"/>
        </w:rPr>
        <w:t>第六条</w:t>
      </w:r>
      <w:r>
        <w:rPr>
          <w:rFonts w:hint="eastAsia" w:ascii="宋体" w:hAnsi="宋体"/>
          <w:kern w:val="44"/>
        </w:rPr>
        <w:t>　发展改革行政部门在项目审批职责范围内，对重大建设项目的下列情况实施稽察：</w:t>
      </w:r>
    </w:p>
    <w:p w14:paraId="31C7D327">
      <w:pPr>
        <w:jc w:val="left"/>
        <w:rPr>
          <w:rFonts w:ascii="宋体" w:hAnsi="宋体"/>
          <w:kern w:val="44"/>
        </w:rPr>
      </w:pPr>
      <w:r>
        <w:rPr>
          <w:rFonts w:hint="eastAsia" w:ascii="宋体" w:hAnsi="宋体"/>
          <w:kern w:val="44"/>
        </w:rPr>
        <w:t>（一）项目审批手续履行情况；</w:t>
      </w:r>
    </w:p>
    <w:p w14:paraId="5D7CE3BD">
      <w:pPr>
        <w:jc w:val="left"/>
        <w:rPr>
          <w:rFonts w:ascii="宋体" w:hAnsi="宋体"/>
          <w:kern w:val="44"/>
        </w:rPr>
      </w:pPr>
      <w:r>
        <w:rPr>
          <w:rFonts w:hint="eastAsia" w:ascii="宋体" w:hAnsi="宋体"/>
          <w:kern w:val="44"/>
        </w:rPr>
        <w:t>（二）法人责任制和招标投标制的执行情况；</w:t>
      </w:r>
    </w:p>
    <w:p w14:paraId="3095E22F">
      <w:pPr>
        <w:jc w:val="left"/>
        <w:rPr>
          <w:rFonts w:ascii="宋体" w:hAnsi="宋体"/>
          <w:kern w:val="44"/>
        </w:rPr>
      </w:pPr>
      <w:r>
        <w:rPr>
          <w:rFonts w:hint="eastAsia" w:ascii="宋体" w:hAnsi="宋体"/>
          <w:kern w:val="44"/>
        </w:rPr>
        <w:t>（三）资金落实和到位情况；</w:t>
      </w:r>
    </w:p>
    <w:p w14:paraId="4C63CF4B">
      <w:pPr>
        <w:jc w:val="left"/>
        <w:rPr>
          <w:rFonts w:ascii="宋体" w:hAnsi="宋体"/>
          <w:kern w:val="44"/>
        </w:rPr>
      </w:pPr>
      <w:r>
        <w:rPr>
          <w:rFonts w:hint="eastAsia" w:ascii="宋体" w:hAnsi="宋体"/>
          <w:kern w:val="44"/>
        </w:rPr>
        <w:t>（四）建设进度、建设规模、建设内容和建设标准等情况；</w:t>
      </w:r>
    </w:p>
    <w:p w14:paraId="320B7DC7">
      <w:pPr>
        <w:jc w:val="left"/>
        <w:rPr>
          <w:rFonts w:ascii="宋体" w:hAnsi="宋体"/>
          <w:kern w:val="44"/>
        </w:rPr>
      </w:pPr>
      <w:r>
        <w:rPr>
          <w:rFonts w:hint="eastAsia" w:ascii="宋体" w:hAnsi="宋体"/>
          <w:kern w:val="44"/>
        </w:rPr>
        <w:t>（五）投资概算和政府投资计划的执行情况；</w:t>
      </w:r>
    </w:p>
    <w:p w14:paraId="55146EAE">
      <w:pPr>
        <w:jc w:val="left"/>
        <w:rPr>
          <w:rFonts w:ascii="宋体" w:hAnsi="宋体"/>
          <w:kern w:val="44"/>
        </w:rPr>
      </w:pPr>
      <w:r>
        <w:rPr>
          <w:rFonts w:hint="eastAsia" w:ascii="宋体" w:hAnsi="宋体"/>
          <w:kern w:val="44"/>
        </w:rPr>
        <w:t>（六）竣工验收情况；</w:t>
      </w:r>
    </w:p>
    <w:p w14:paraId="25DDBEFB">
      <w:pPr>
        <w:jc w:val="left"/>
        <w:rPr>
          <w:rFonts w:ascii="宋体" w:hAnsi="宋体"/>
          <w:kern w:val="44"/>
        </w:rPr>
      </w:pPr>
      <w:r>
        <w:rPr>
          <w:rFonts w:hint="eastAsia" w:ascii="宋体" w:hAnsi="宋体"/>
          <w:kern w:val="44"/>
        </w:rPr>
        <w:t>（七）社会效益、环境效益和经济效益等情况。</w:t>
      </w:r>
    </w:p>
    <w:p w14:paraId="798DF620">
      <w:pPr>
        <w:jc w:val="left"/>
        <w:rPr>
          <w:rFonts w:ascii="宋体" w:hAnsi="宋体"/>
          <w:kern w:val="44"/>
        </w:rPr>
      </w:pPr>
      <w:r>
        <w:rPr>
          <w:rFonts w:hint="eastAsia" w:ascii="宋体" w:hAnsi="宋体"/>
          <w:kern w:val="44"/>
        </w:rPr>
        <w:t>发展改革行政部门对重大建设项目可以实施从批准项目建议书到项目竣工的全过程稽察，或者对本条前款规定的部分情况实施专项稽察。</w:t>
      </w:r>
    </w:p>
    <w:p w14:paraId="246A37D5">
      <w:pPr>
        <w:ind w:firstLine="422"/>
        <w:jc w:val="left"/>
        <w:rPr>
          <w:rFonts w:ascii="宋体" w:hAnsi="宋体"/>
          <w:kern w:val="44"/>
        </w:rPr>
      </w:pPr>
      <w:r>
        <w:rPr>
          <w:rFonts w:hint="eastAsia" w:ascii="宋体" w:hAnsi="宋体"/>
          <w:b/>
          <w:kern w:val="44"/>
        </w:rPr>
        <w:t>第七条</w:t>
      </w:r>
      <w:r>
        <w:rPr>
          <w:rFonts w:hint="eastAsia" w:ascii="宋体" w:hAnsi="宋体"/>
          <w:kern w:val="44"/>
        </w:rPr>
        <w:t>　单位和个人有权向发展改革行政部门举报涉及本办法第六条规定情况的违法违规问题。</w:t>
      </w:r>
    </w:p>
    <w:p w14:paraId="52AA1417">
      <w:pPr>
        <w:jc w:val="left"/>
        <w:rPr>
          <w:rFonts w:ascii="宋体" w:hAnsi="宋体"/>
          <w:kern w:val="44"/>
        </w:rPr>
      </w:pPr>
      <w:r>
        <w:rPr>
          <w:rFonts w:hint="eastAsia" w:ascii="宋体" w:hAnsi="宋体"/>
          <w:kern w:val="44"/>
        </w:rPr>
        <w:t>发展改革行政部门应当建立健全举报制度，公布举报电话、信箱或者其他举报方式；接到举报后，对于职责范围内的事项，应当及时调查核实，作出处理；对于不属于职责范围内的事项，应当及时转送有权部门处理。处理结果应当记录在案，并告知举报人或者供举报人查询。</w:t>
      </w:r>
    </w:p>
    <w:p w14:paraId="208AF7DD">
      <w:pPr>
        <w:jc w:val="left"/>
        <w:rPr>
          <w:rFonts w:ascii="宋体" w:hAnsi="宋体"/>
          <w:kern w:val="44"/>
        </w:rPr>
      </w:pPr>
      <w:r>
        <w:rPr>
          <w:rFonts w:hint="eastAsia" w:ascii="宋体" w:hAnsi="宋体"/>
          <w:kern w:val="44"/>
        </w:rPr>
        <w:t>政府有关部门应当为举报人保密，不得泄露举报人的信息。</w:t>
      </w:r>
    </w:p>
    <w:p w14:paraId="3FE883E5">
      <w:pPr>
        <w:ind w:firstLine="422"/>
        <w:jc w:val="left"/>
        <w:rPr>
          <w:rFonts w:ascii="宋体" w:hAnsi="宋体"/>
          <w:kern w:val="44"/>
        </w:rPr>
      </w:pPr>
      <w:r>
        <w:rPr>
          <w:rFonts w:hint="eastAsia" w:ascii="宋体" w:hAnsi="宋体"/>
          <w:b/>
          <w:kern w:val="44"/>
        </w:rPr>
        <w:t>第八条</w:t>
      </w:r>
      <w:r>
        <w:rPr>
          <w:rFonts w:hint="eastAsia" w:ascii="宋体" w:hAnsi="宋体"/>
          <w:kern w:val="44"/>
        </w:rPr>
        <w:t>　重大建设项目稽察工作实行稽察特派员负责制。</w:t>
      </w:r>
    </w:p>
    <w:p w14:paraId="318129EB">
      <w:pPr>
        <w:jc w:val="left"/>
        <w:rPr>
          <w:rFonts w:ascii="宋体" w:hAnsi="宋体"/>
          <w:kern w:val="44"/>
        </w:rPr>
      </w:pPr>
      <w:r>
        <w:rPr>
          <w:rFonts w:hint="eastAsia" w:ascii="宋体" w:hAnsi="宋体"/>
          <w:kern w:val="44"/>
        </w:rPr>
        <w:t>发展改革行政部门任命稽察特派员，并配备稽察工作人员协助其工作；必要时，可以聘请专业机构参与稽察工作。</w:t>
      </w:r>
    </w:p>
    <w:p w14:paraId="7D22E939">
      <w:pPr>
        <w:jc w:val="left"/>
        <w:rPr>
          <w:rFonts w:ascii="宋体" w:hAnsi="宋体"/>
          <w:kern w:val="44"/>
        </w:rPr>
      </w:pPr>
      <w:r>
        <w:rPr>
          <w:rFonts w:hint="eastAsia" w:ascii="宋体" w:hAnsi="宋体"/>
          <w:kern w:val="44"/>
        </w:rPr>
        <w:t>稽察特派员和稽察工作人员（以下统称稽察人员）应当熟悉法律、法规、规章和政策，具备与稽察工作相适应的专业知识和业务能力。</w:t>
      </w:r>
    </w:p>
    <w:p w14:paraId="67B9EC00">
      <w:pPr>
        <w:ind w:firstLine="422"/>
        <w:jc w:val="left"/>
        <w:rPr>
          <w:rFonts w:ascii="宋体" w:hAnsi="宋体"/>
          <w:kern w:val="44"/>
        </w:rPr>
      </w:pPr>
      <w:r>
        <w:rPr>
          <w:rFonts w:hint="eastAsia" w:ascii="宋体" w:hAnsi="宋体"/>
          <w:b/>
          <w:kern w:val="44"/>
        </w:rPr>
        <w:t>第九条</w:t>
      </w:r>
      <w:r>
        <w:rPr>
          <w:rFonts w:hint="eastAsia" w:ascii="宋体" w:hAnsi="宋体"/>
          <w:kern w:val="44"/>
        </w:rPr>
        <w:t>　稽察人员与被稽察单位或者稽察事项有利害关系的，应当主动回避。</w:t>
      </w:r>
    </w:p>
    <w:p w14:paraId="31D6353E">
      <w:pPr>
        <w:jc w:val="left"/>
        <w:rPr>
          <w:rFonts w:ascii="宋体" w:hAnsi="宋体"/>
          <w:kern w:val="44"/>
        </w:rPr>
      </w:pPr>
      <w:r>
        <w:rPr>
          <w:rFonts w:hint="eastAsia" w:ascii="宋体" w:hAnsi="宋体"/>
          <w:kern w:val="44"/>
        </w:rPr>
        <w:t>稽察人员未主动回避的，被稽察单位有权向发展改革行政部门提出回避申请，并说明理由；发展改革行政部门有关负责人应当就是否回避作出决定。</w:t>
      </w:r>
    </w:p>
    <w:p w14:paraId="1A7FA87C">
      <w:pPr>
        <w:ind w:firstLine="422"/>
        <w:jc w:val="left"/>
        <w:rPr>
          <w:rFonts w:ascii="宋体" w:hAnsi="宋体"/>
          <w:kern w:val="44"/>
        </w:rPr>
      </w:pPr>
      <w:r>
        <w:rPr>
          <w:rFonts w:hint="eastAsia" w:ascii="宋体" w:hAnsi="宋体"/>
          <w:b/>
          <w:kern w:val="44"/>
        </w:rPr>
        <w:t>第十条</w:t>
      </w:r>
      <w:r>
        <w:rPr>
          <w:rFonts w:hint="eastAsia" w:ascii="宋体" w:hAnsi="宋体"/>
          <w:kern w:val="44"/>
        </w:rPr>
        <w:t>　稽察人员开展稽察工作，不得干预被稽察单位的正常建设及生产经营活动，不得泄露稽察工作中获悉的国家秘密和商业秘密，不得利用职务便利谋取非法利益，不得向被稽察单位收取或者变相收取任何费用。</w:t>
      </w:r>
    </w:p>
    <w:p w14:paraId="649C8E33">
      <w:pPr>
        <w:jc w:val="left"/>
        <w:rPr>
          <w:rFonts w:ascii="宋体" w:hAnsi="宋体"/>
          <w:kern w:val="44"/>
        </w:rPr>
      </w:pPr>
      <w:r>
        <w:rPr>
          <w:rFonts w:hint="eastAsia" w:ascii="宋体" w:hAnsi="宋体"/>
          <w:kern w:val="44"/>
        </w:rPr>
        <w:t>稽察人员不得有下列影响稽察工作客观公正的行为：</w:t>
      </w:r>
    </w:p>
    <w:p w14:paraId="15D0A31F">
      <w:pPr>
        <w:jc w:val="left"/>
        <w:rPr>
          <w:rFonts w:ascii="宋体" w:hAnsi="宋体"/>
          <w:kern w:val="44"/>
        </w:rPr>
      </w:pPr>
      <w:r>
        <w:rPr>
          <w:rFonts w:hint="eastAsia" w:ascii="宋体" w:hAnsi="宋体"/>
          <w:kern w:val="44"/>
        </w:rPr>
        <w:t>（一）接受被稽察单位的馈赠、报酬、福利待遇，在被稽察单位报销费用；</w:t>
      </w:r>
    </w:p>
    <w:p w14:paraId="58798BF6">
      <w:pPr>
        <w:jc w:val="left"/>
        <w:rPr>
          <w:rFonts w:ascii="宋体" w:hAnsi="宋体"/>
          <w:kern w:val="44"/>
        </w:rPr>
      </w:pPr>
      <w:r>
        <w:rPr>
          <w:rFonts w:hint="eastAsia" w:ascii="宋体" w:hAnsi="宋体"/>
          <w:kern w:val="44"/>
        </w:rPr>
        <w:t>（二）参加被稽察单位安排、组织或者支付费用的宴请、娱乐、旅游等活动；</w:t>
      </w:r>
    </w:p>
    <w:p w14:paraId="0FE247E1">
      <w:pPr>
        <w:jc w:val="left"/>
        <w:rPr>
          <w:rFonts w:ascii="宋体" w:hAnsi="宋体"/>
          <w:kern w:val="44"/>
        </w:rPr>
      </w:pPr>
      <w:r>
        <w:rPr>
          <w:rFonts w:hint="eastAsia" w:ascii="宋体" w:hAnsi="宋体"/>
          <w:kern w:val="44"/>
        </w:rPr>
        <w:t>（三）其他可能影响稽察工作客观公正的行为。</w:t>
      </w:r>
    </w:p>
    <w:p w14:paraId="604C9D9D">
      <w:pPr>
        <w:jc w:val="left"/>
        <w:rPr>
          <w:rFonts w:ascii="宋体" w:hAnsi="宋体"/>
          <w:kern w:val="44"/>
        </w:rPr>
      </w:pPr>
      <w:r>
        <w:rPr>
          <w:rFonts w:hint="eastAsia" w:ascii="宋体" w:hAnsi="宋体"/>
          <w:kern w:val="44"/>
        </w:rPr>
        <w:t>单位和个人有权向发展改革行政部门举报稽察人员违反本条第一款、第二款规定的行为。发展改革行政部门接到举报后，应当及时进行调查核实，作出处理。处理结果应当记录在案，并告知举报人或者供举报人查询。</w:t>
      </w:r>
    </w:p>
    <w:p w14:paraId="347C99FA">
      <w:pPr>
        <w:jc w:val="left"/>
        <w:rPr>
          <w:rFonts w:ascii="宋体" w:hAnsi="宋体"/>
          <w:kern w:val="44"/>
        </w:rPr>
      </w:pPr>
    </w:p>
    <w:p w14:paraId="6CCD5DD9">
      <w:pPr>
        <w:ind w:firstLine="0" w:firstLineChars="0"/>
        <w:jc w:val="center"/>
        <w:rPr>
          <w:rFonts w:ascii="宋体" w:hAnsi="宋体"/>
          <w:b/>
          <w:kern w:val="44"/>
          <w:sz w:val="28"/>
        </w:rPr>
      </w:pPr>
      <w:r>
        <w:rPr>
          <w:rFonts w:hint="eastAsia" w:ascii="宋体" w:hAnsi="宋体"/>
          <w:b/>
          <w:kern w:val="44"/>
          <w:sz w:val="28"/>
        </w:rPr>
        <w:t>第三章  稽察程序</w:t>
      </w:r>
    </w:p>
    <w:p w14:paraId="2E800693">
      <w:pPr>
        <w:jc w:val="left"/>
        <w:rPr>
          <w:rFonts w:ascii="宋体" w:hAnsi="宋体"/>
          <w:kern w:val="44"/>
        </w:rPr>
      </w:pPr>
    </w:p>
    <w:p w14:paraId="4080313F">
      <w:pPr>
        <w:ind w:firstLine="422"/>
        <w:jc w:val="left"/>
        <w:rPr>
          <w:rFonts w:ascii="宋体" w:hAnsi="宋体"/>
          <w:kern w:val="44"/>
        </w:rPr>
      </w:pPr>
      <w:r>
        <w:rPr>
          <w:rFonts w:hint="eastAsia" w:ascii="宋体" w:hAnsi="宋体"/>
          <w:b/>
          <w:kern w:val="44"/>
        </w:rPr>
        <w:t>第十一条</w:t>
      </w:r>
      <w:r>
        <w:rPr>
          <w:rFonts w:hint="eastAsia" w:ascii="宋体" w:hAnsi="宋体"/>
          <w:kern w:val="44"/>
        </w:rPr>
        <w:t>　发展改革行政部门根据本级人民政府和上一级发展改革行政部门的要求，结合本行政区域内的投资情况，制定重大建设项目年度稽察计划，报本级人民政府备案。</w:t>
      </w:r>
    </w:p>
    <w:p w14:paraId="5BC569CA">
      <w:pPr>
        <w:ind w:firstLine="422"/>
        <w:jc w:val="left"/>
        <w:rPr>
          <w:rFonts w:ascii="宋体" w:hAnsi="宋体"/>
          <w:kern w:val="44"/>
        </w:rPr>
      </w:pPr>
      <w:r>
        <w:rPr>
          <w:rFonts w:hint="eastAsia" w:ascii="宋体" w:hAnsi="宋体"/>
          <w:b/>
          <w:kern w:val="44"/>
        </w:rPr>
        <w:t>第十二条</w:t>
      </w:r>
      <w:r>
        <w:rPr>
          <w:rFonts w:hint="eastAsia" w:ascii="宋体" w:hAnsi="宋体"/>
          <w:kern w:val="44"/>
        </w:rPr>
        <w:t>　稽察人员应当在5个工作日前向被稽察单位送达书面稽察通知。有证据表明被稽察单位的行为可能危及重大建设项目工程安全或者可能造成国有资产流失等情况时，经发展改革行政部门有关负责人批准，稽察人员可以持书面稽察通知直接实施稽察。</w:t>
      </w:r>
    </w:p>
    <w:p w14:paraId="1E14D20B">
      <w:pPr>
        <w:jc w:val="left"/>
        <w:rPr>
          <w:rFonts w:ascii="宋体" w:hAnsi="宋体"/>
          <w:kern w:val="44"/>
        </w:rPr>
      </w:pPr>
      <w:r>
        <w:rPr>
          <w:rFonts w:hint="eastAsia" w:ascii="宋体" w:hAnsi="宋体"/>
          <w:kern w:val="44"/>
        </w:rPr>
        <w:t>书面稽察通知应当载明稽察项目、内容、时间和要求等事项。</w:t>
      </w:r>
    </w:p>
    <w:p w14:paraId="45AD05B0">
      <w:pPr>
        <w:ind w:firstLine="422"/>
        <w:jc w:val="left"/>
        <w:rPr>
          <w:rFonts w:ascii="宋体" w:hAnsi="宋体"/>
          <w:kern w:val="44"/>
        </w:rPr>
      </w:pPr>
      <w:r>
        <w:rPr>
          <w:rFonts w:hint="eastAsia" w:ascii="宋体" w:hAnsi="宋体"/>
          <w:b/>
          <w:kern w:val="44"/>
        </w:rPr>
        <w:t>第十三条</w:t>
      </w:r>
      <w:r>
        <w:rPr>
          <w:rFonts w:hint="eastAsia" w:ascii="宋体" w:hAnsi="宋体"/>
          <w:kern w:val="44"/>
        </w:rPr>
        <w:t>　稽察人员开展稽察工作可以采取下列措施：</w:t>
      </w:r>
    </w:p>
    <w:p w14:paraId="215350BE">
      <w:pPr>
        <w:jc w:val="left"/>
        <w:rPr>
          <w:rFonts w:ascii="宋体" w:hAnsi="宋体"/>
          <w:kern w:val="44"/>
        </w:rPr>
      </w:pPr>
      <w:r>
        <w:rPr>
          <w:rFonts w:hint="eastAsia" w:ascii="宋体" w:hAnsi="宋体"/>
          <w:kern w:val="44"/>
        </w:rPr>
        <w:t>（一）要求被稽察单位负责人对重大建设项目情况或者重要事项进行说明；</w:t>
      </w:r>
    </w:p>
    <w:p w14:paraId="6AD8CAB0">
      <w:pPr>
        <w:jc w:val="left"/>
        <w:rPr>
          <w:rFonts w:ascii="宋体" w:hAnsi="宋体"/>
          <w:kern w:val="44"/>
        </w:rPr>
      </w:pPr>
      <w:r>
        <w:rPr>
          <w:rFonts w:hint="eastAsia" w:ascii="宋体" w:hAnsi="宋体"/>
          <w:kern w:val="44"/>
        </w:rPr>
        <w:t>（二）查阅反映重大建设项目审批、建设、运营使用、工程技术、财务会计等情况的资料；</w:t>
      </w:r>
    </w:p>
    <w:p w14:paraId="40E4DC39">
      <w:pPr>
        <w:jc w:val="left"/>
        <w:rPr>
          <w:rFonts w:ascii="宋体" w:hAnsi="宋体"/>
          <w:kern w:val="44"/>
        </w:rPr>
      </w:pPr>
      <w:r>
        <w:rPr>
          <w:rFonts w:hint="eastAsia" w:ascii="宋体" w:hAnsi="宋体"/>
          <w:kern w:val="44"/>
        </w:rPr>
        <w:t>（三）采用记录、复印、照相、录音、录像等形式收集证据；</w:t>
      </w:r>
    </w:p>
    <w:p w14:paraId="554B7E62">
      <w:pPr>
        <w:jc w:val="left"/>
        <w:rPr>
          <w:rFonts w:ascii="宋体" w:hAnsi="宋体"/>
          <w:kern w:val="44"/>
        </w:rPr>
      </w:pPr>
      <w:r>
        <w:rPr>
          <w:rFonts w:hint="eastAsia" w:ascii="宋体" w:hAnsi="宋体"/>
          <w:kern w:val="44"/>
        </w:rPr>
        <w:t>（四）检查重大建设项目场所内的工程与设备；</w:t>
      </w:r>
    </w:p>
    <w:p w14:paraId="1BE81CFF">
      <w:pPr>
        <w:jc w:val="left"/>
        <w:rPr>
          <w:rFonts w:ascii="宋体" w:hAnsi="宋体"/>
          <w:kern w:val="44"/>
        </w:rPr>
      </w:pPr>
      <w:r>
        <w:rPr>
          <w:rFonts w:hint="eastAsia" w:ascii="宋体" w:hAnsi="宋体"/>
          <w:kern w:val="44"/>
        </w:rPr>
        <w:t>（五）检查被稽察单位项目管理信息系统；</w:t>
      </w:r>
    </w:p>
    <w:p w14:paraId="31B88377">
      <w:pPr>
        <w:jc w:val="left"/>
        <w:rPr>
          <w:rFonts w:ascii="宋体" w:hAnsi="宋体"/>
          <w:kern w:val="44"/>
        </w:rPr>
      </w:pPr>
      <w:r>
        <w:rPr>
          <w:rFonts w:hint="eastAsia" w:ascii="宋体" w:hAnsi="宋体"/>
          <w:kern w:val="44"/>
        </w:rPr>
        <w:t>（六）向勘察、设计、施工、监理、材料与设备供应、招标代理、咨询评估、项目管理等单位了解、核实有关情况。</w:t>
      </w:r>
    </w:p>
    <w:p w14:paraId="58457A7C">
      <w:pPr>
        <w:ind w:firstLine="422"/>
        <w:jc w:val="left"/>
        <w:rPr>
          <w:rFonts w:ascii="宋体" w:hAnsi="宋体"/>
          <w:kern w:val="44"/>
        </w:rPr>
      </w:pPr>
      <w:r>
        <w:rPr>
          <w:rFonts w:hint="eastAsia" w:ascii="宋体" w:hAnsi="宋体"/>
          <w:b/>
          <w:kern w:val="44"/>
        </w:rPr>
        <w:t>第十四条</w:t>
      </w:r>
      <w:r>
        <w:rPr>
          <w:rFonts w:hint="eastAsia" w:ascii="宋体" w:hAnsi="宋体"/>
          <w:kern w:val="44"/>
        </w:rPr>
        <w:t>　被稽察单位应当配合稽察人员开展稽察工作，及时、如实向稽察人员提供与重大建设项目有关的文件、合同、报表等资料和情况。</w:t>
      </w:r>
    </w:p>
    <w:p w14:paraId="18E37D75">
      <w:pPr>
        <w:ind w:firstLine="422"/>
        <w:jc w:val="left"/>
        <w:rPr>
          <w:rFonts w:ascii="宋体" w:hAnsi="宋体"/>
          <w:kern w:val="44"/>
        </w:rPr>
      </w:pPr>
      <w:r>
        <w:rPr>
          <w:rFonts w:hint="eastAsia" w:ascii="宋体" w:hAnsi="宋体"/>
          <w:b/>
          <w:kern w:val="44"/>
        </w:rPr>
        <w:t>第十五条</w:t>
      </w:r>
      <w:r>
        <w:rPr>
          <w:rFonts w:hint="eastAsia" w:ascii="宋体" w:hAnsi="宋体"/>
          <w:kern w:val="44"/>
        </w:rPr>
        <w:t>　发展改革行政部门根据稽察工作需要，可以对重大建设项目的勘察、设计、施工、监理、材料与设备供应、招标代理、咨询评估、项目管理等单位参与重大建设项目的情况进行调查，并取得相关证明材料。有关单位应当如实反映情况，提供相关证明材料。</w:t>
      </w:r>
    </w:p>
    <w:p w14:paraId="30DAF742">
      <w:pPr>
        <w:ind w:firstLine="422"/>
        <w:jc w:val="left"/>
        <w:rPr>
          <w:rFonts w:ascii="宋体" w:hAnsi="宋体"/>
          <w:kern w:val="44"/>
        </w:rPr>
      </w:pPr>
      <w:r>
        <w:rPr>
          <w:rFonts w:hint="eastAsia" w:ascii="宋体" w:hAnsi="宋体"/>
          <w:b/>
          <w:kern w:val="44"/>
        </w:rPr>
        <w:t>第十六条</w:t>
      </w:r>
      <w:r>
        <w:rPr>
          <w:rFonts w:hint="eastAsia" w:ascii="宋体" w:hAnsi="宋体"/>
          <w:kern w:val="44"/>
        </w:rPr>
        <w:t>　稽察人员应当记录稽察情况，形成稽察记录。</w:t>
      </w:r>
    </w:p>
    <w:p w14:paraId="30FEE57E">
      <w:pPr>
        <w:jc w:val="left"/>
        <w:rPr>
          <w:rFonts w:ascii="宋体" w:hAnsi="宋体"/>
          <w:kern w:val="44"/>
        </w:rPr>
      </w:pPr>
      <w:r>
        <w:rPr>
          <w:rFonts w:hint="eastAsia" w:ascii="宋体" w:hAnsi="宋体"/>
          <w:kern w:val="44"/>
        </w:rPr>
        <w:t>稽察特派员和被稽察单位应当分别在稽察记录上签字、盖章。被稽察单位认为稽察记录有遗漏或者错误的，有权申请补正；经补正，被稽察单位仍有异议的，应当在稽察记录上签署异议意见，并签字、盖章；拒绝签字、盖章的，稽察人员应当记录在案。</w:t>
      </w:r>
    </w:p>
    <w:p w14:paraId="116B1376">
      <w:pPr>
        <w:ind w:firstLine="422"/>
        <w:jc w:val="left"/>
        <w:rPr>
          <w:rFonts w:ascii="宋体" w:hAnsi="宋体"/>
          <w:kern w:val="44"/>
        </w:rPr>
      </w:pPr>
      <w:r>
        <w:rPr>
          <w:rFonts w:hint="eastAsia" w:ascii="宋体" w:hAnsi="宋体"/>
          <w:b/>
          <w:kern w:val="44"/>
        </w:rPr>
        <w:t>第十七条</w:t>
      </w:r>
      <w:r>
        <w:rPr>
          <w:rFonts w:hint="eastAsia" w:ascii="宋体" w:hAnsi="宋体"/>
          <w:kern w:val="44"/>
        </w:rPr>
        <w:t>　稽察特派员应当在稽察工作结束10个工作日内完成稽察情况报告，并及时书面征求被稽察单位意见。被稽察单位应当在收到稽察情况报告10个工作日内向稽察特派员提交书面意见。</w:t>
      </w:r>
    </w:p>
    <w:p w14:paraId="17D93552">
      <w:pPr>
        <w:jc w:val="left"/>
        <w:rPr>
          <w:rFonts w:ascii="宋体" w:hAnsi="宋体"/>
          <w:kern w:val="44"/>
        </w:rPr>
      </w:pPr>
      <w:r>
        <w:rPr>
          <w:rFonts w:hint="eastAsia" w:ascii="宋体" w:hAnsi="宋体"/>
          <w:kern w:val="44"/>
        </w:rPr>
        <w:t>稽察特派员应当在收到被稽察单位的书面意见5个工作日内，向被稽察单位反馈意见采纳情况，说明理由，并将稽察情况报告和被稽察单位的书面意见一并报发展改革行政部门审定。</w:t>
      </w:r>
    </w:p>
    <w:p w14:paraId="0E92346B">
      <w:pPr>
        <w:jc w:val="left"/>
        <w:rPr>
          <w:rFonts w:ascii="宋体" w:hAnsi="宋体"/>
          <w:kern w:val="44"/>
        </w:rPr>
      </w:pPr>
      <w:r>
        <w:rPr>
          <w:rFonts w:hint="eastAsia" w:ascii="宋体" w:hAnsi="宋体"/>
          <w:kern w:val="44"/>
        </w:rPr>
        <w:t>稽察情况报告应当包括重大建设项目的审批情况、实施情况、主要问题、整改意见和处理建议等内容。</w:t>
      </w:r>
    </w:p>
    <w:p w14:paraId="7956B411">
      <w:pPr>
        <w:jc w:val="left"/>
        <w:rPr>
          <w:rFonts w:ascii="宋体" w:hAnsi="宋体"/>
          <w:kern w:val="44"/>
        </w:rPr>
      </w:pPr>
      <w:r>
        <w:rPr>
          <w:rFonts w:hint="eastAsia" w:ascii="宋体" w:hAnsi="宋体"/>
          <w:kern w:val="44"/>
        </w:rPr>
        <w:t>稽察特派员对稽察情况报告的真实性、完整性负责。</w:t>
      </w:r>
    </w:p>
    <w:p w14:paraId="6FEB148F">
      <w:pPr>
        <w:ind w:firstLine="422"/>
        <w:jc w:val="left"/>
        <w:rPr>
          <w:rFonts w:ascii="宋体" w:hAnsi="宋体"/>
          <w:kern w:val="44"/>
        </w:rPr>
      </w:pPr>
      <w:r>
        <w:rPr>
          <w:rFonts w:hint="eastAsia" w:ascii="宋体" w:hAnsi="宋体"/>
          <w:b/>
          <w:kern w:val="44"/>
        </w:rPr>
        <w:t>第十八条</w:t>
      </w:r>
      <w:r>
        <w:rPr>
          <w:rFonts w:hint="eastAsia" w:ascii="宋体" w:hAnsi="宋体"/>
          <w:kern w:val="44"/>
        </w:rPr>
        <w:t>　发展改革行政部门应当在审定稽察特派员提交的稽察情况报告、研究被稽察单位的意见后，向被稽察单位出具稽察结论，同时抄送相关行政部门。</w:t>
      </w:r>
    </w:p>
    <w:p w14:paraId="28B4A731">
      <w:pPr>
        <w:jc w:val="left"/>
        <w:rPr>
          <w:rFonts w:ascii="宋体" w:hAnsi="宋体"/>
          <w:kern w:val="44"/>
        </w:rPr>
      </w:pPr>
      <w:r>
        <w:rPr>
          <w:rFonts w:hint="eastAsia" w:ascii="宋体" w:hAnsi="宋体"/>
          <w:kern w:val="44"/>
        </w:rPr>
        <w:t>稽察结论能够满足相关行政部门履行职责需要的，相关行政部门应当利用，避免不必要的重复检查。</w:t>
      </w:r>
    </w:p>
    <w:p w14:paraId="34AB9155">
      <w:pPr>
        <w:ind w:firstLine="422"/>
        <w:jc w:val="left"/>
        <w:rPr>
          <w:rFonts w:ascii="宋体" w:hAnsi="宋体"/>
          <w:kern w:val="44"/>
        </w:rPr>
      </w:pPr>
      <w:r>
        <w:rPr>
          <w:rFonts w:hint="eastAsia" w:ascii="宋体" w:hAnsi="宋体"/>
          <w:b/>
          <w:kern w:val="44"/>
        </w:rPr>
        <w:t>第十九条</w:t>
      </w:r>
      <w:r>
        <w:rPr>
          <w:rFonts w:hint="eastAsia" w:ascii="宋体" w:hAnsi="宋体"/>
          <w:kern w:val="44"/>
        </w:rPr>
        <w:t>　被稽察单位未执行项目审批内容的，发展改革行政部门应当责令被稽察单位整改，视情节轻重有权作出下列处理决定：</w:t>
      </w:r>
    </w:p>
    <w:p w14:paraId="1C42EDA4">
      <w:pPr>
        <w:jc w:val="left"/>
        <w:rPr>
          <w:rFonts w:ascii="宋体" w:hAnsi="宋体"/>
          <w:kern w:val="44"/>
        </w:rPr>
      </w:pPr>
      <w:r>
        <w:rPr>
          <w:rFonts w:hint="eastAsia" w:ascii="宋体" w:hAnsi="宋体"/>
          <w:kern w:val="44"/>
        </w:rPr>
        <w:t>（一）责令被稽察单位作出检查；</w:t>
      </w:r>
    </w:p>
    <w:p w14:paraId="37FDA43C">
      <w:pPr>
        <w:jc w:val="left"/>
        <w:rPr>
          <w:rFonts w:ascii="宋体" w:hAnsi="宋体"/>
          <w:kern w:val="44"/>
        </w:rPr>
      </w:pPr>
      <w:r>
        <w:rPr>
          <w:rFonts w:hint="eastAsia" w:ascii="宋体" w:hAnsi="宋体"/>
          <w:kern w:val="44"/>
        </w:rPr>
        <w:t>（二）通报批评被稽察单位；</w:t>
      </w:r>
    </w:p>
    <w:p w14:paraId="2B03F80A">
      <w:pPr>
        <w:jc w:val="left"/>
        <w:rPr>
          <w:rFonts w:ascii="宋体" w:hAnsi="宋体"/>
          <w:kern w:val="44"/>
        </w:rPr>
      </w:pPr>
      <w:r>
        <w:rPr>
          <w:rFonts w:hint="eastAsia" w:ascii="宋体" w:hAnsi="宋体"/>
          <w:kern w:val="44"/>
        </w:rPr>
        <w:t>（三）暂停被稽察重大建设项目的执行；</w:t>
      </w:r>
    </w:p>
    <w:p w14:paraId="62794EFB">
      <w:pPr>
        <w:jc w:val="left"/>
        <w:rPr>
          <w:rFonts w:ascii="宋体" w:hAnsi="宋体"/>
          <w:kern w:val="44"/>
        </w:rPr>
      </w:pPr>
      <w:r>
        <w:rPr>
          <w:rFonts w:hint="eastAsia" w:ascii="宋体" w:hAnsi="宋体"/>
          <w:kern w:val="44"/>
        </w:rPr>
        <w:t>（四）暂停下达被稽察重大建设项目的政府投资计划；已下达政府投资计划的，及时通知财政部门暂停拨付建设资金或者收回已经拨付的建设资金；</w:t>
      </w:r>
    </w:p>
    <w:p w14:paraId="49F32D79">
      <w:pPr>
        <w:jc w:val="left"/>
        <w:rPr>
          <w:rFonts w:ascii="宋体" w:hAnsi="宋体"/>
          <w:kern w:val="44"/>
        </w:rPr>
      </w:pPr>
      <w:r>
        <w:rPr>
          <w:rFonts w:hint="eastAsia" w:ascii="宋体" w:hAnsi="宋体"/>
          <w:kern w:val="44"/>
        </w:rPr>
        <w:t>（五）调整被稽察重大建设项目的政府投资计划；</w:t>
      </w:r>
    </w:p>
    <w:p w14:paraId="0D84F65C">
      <w:pPr>
        <w:jc w:val="left"/>
        <w:rPr>
          <w:rFonts w:ascii="宋体" w:hAnsi="宋体"/>
          <w:kern w:val="44"/>
        </w:rPr>
      </w:pPr>
      <w:r>
        <w:rPr>
          <w:rFonts w:hint="eastAsia" w:ascii="宋体" w:hAnsi="宋体"/>
          <w:kern w:val="44"/>
        </w:rPr>
        <w:t>（六）暂停被稽察单位同类新项目的审批。</w:t>
      </w:r>
    </w:p>
    <w:p w14:paraId="2E512292">
      <w:pPr>
        <w:jc w:val="left"/>
        <w:rPr>
          <w:rFonts w:ascii="宋体" w:hAnsi="宋体"/>
          <w:kern w:val="44"/>
        </w:rPr>
      </w:pPr>
      <w:r>
        <w:rPr>
          <w:rFonts w:hint="eastAsia" w:ascii="宋体" w:hAnsi="宋体"/>
          <w:kern w:val="44"/>
        </w:rPr>
        <w:t>被稽察单位骗取项目审批的，发展改革行政部门应当作出撤销审批、追回政府投资的建设资金等处理决定。</w:t>
      </w:r>
    </w:p>
    <w:p w14:paraId="718687E1">
      <w:pPr>
        <w:ind w:firstLine="422"/>
        <w:jc w:val="left"/>
        <w:rPr>
          <w:rFonts w:ascii="宋体" w:hAnsi="宋体"/>
          <w:kern w:val="44"/>
        </w:rPr>
      </w:pPr>
      <w:r>
        <w:rPr>
          <w:rFonts w:hint="eastAsia" w:ascii="宋体" w:hAnsi="宋体"/>
          <w:b/>
          <w:kern w:val="44"/>
        </w:rPr>
        <w:t>第二十条</w:t>
      </w:r>
      <w:r>
        <w:rPr>
          <w:rFonts w:hint="eastAsia" w:ascii="宋体" w:hAnsi="宋体"/>
          <w:kern w:val="44"/>
        </w:rPr>
        <w:t>　被稽察单位应当按照整改通知的要求进行整改，并向发展改革行政部门提交整改报告。整改报告应当包括整改计划、措施和结果。</w:t>
      </w:r>
    </w:p>
    <w:p w14:paraId="3C9E37DF">
      <w:pPr>
        <w:jc w:val="left"/>
        <w:rPr>
          <w:rFonts w:ascii="宋体" w:hAnsi="宋体"/>
          <w:kern w:val="44"/>
        </w:rPr>
      </w:pPr>
      <w:r>
        <w:rPr>
          <w:rFonts w:hint="eastAsia" w:ascii="宋体" w:hAnsi="宋体"/>
          <w:kern w:val="44"/>
        </w:rPr>
        <w:t>发展改革行政部门应当对被稽察单位的整改情况进行复查，建立稽察台账，记录整改情况。</w:t>
      </w:r>
    </w:p>
    <w:p w14:paraId="35549AA2">
      <w:pPr>
        <w:ind w:firstLine="422"/>
        <w:jc w:val="left"/>
        <w:rPr>
          <w:rFonts w:ascii="宋体" w:hAnsi="宋体"/>
          <w:kern w:val="44"/>
        </w:rPr>
      </w:pPr>
      <w:r>
        <w:rPr>
          <w:rFonts w:hint="eastAsia" w:ascii="宋体" w:hAnsi="宋体"/>
          <w:b/>
          <w:kern w:val="44"/>
        </w:rPr>
        <w:t>第二十一条</w:t>
      </w:r>
      <w:r>
        <w:rPr>
          <w:rFonts w:hint="eastAsia" w:ascii="宋体" w:hAnsi="宋体"/>
          <w:kern w:val="44"/>
        </w:rPr>
        <w:t>　发展改革行政部门应当在每年年初，向本级人民政府报告按照上一年度稽察计划要求完成的重大建设项目稽察情况，对发现的问题加强研究，就带有普遍性和规律性的问题，有针对性地提出改进建议。</w:t>
      </w:r>
    </w:p>
    <w:p w14:paraId="671D7C28">
      <w:pPr>
        <w:jc w:val="left"/>
        <w:rPr>
          <w:rFonts w:ascii="宋体" w:hAnsi="宋体"/>
          <w:kern w:val="44"/>
        </w:rPr>
      </w:pPr>
    </w:p>
    <w:p w14:paraId="38326DD9">
      <w:pPr>
        <w:ind w:firstLine="0" w:firstLineChars="0"/>
        <w:jc w:val="center"/>
        <w:rPr>
          <w:rFonts w:ascii="宋体" w:hAnsi="宋体"/>
          <w:b/>
          <w:kern w:val="44"/>
        </w:rPr>
      </w:pPr>
      <w:r>
        <w:rPr>
          <w:rFonts w:hint="eastAsia" w:ascii="宋体" w:hAnsi="宋体"/>
          <w:b/>
          <w:kern w:val="44"/>
          <w:sz w:val="28"/>
        </w:rPr>
        <w:t>第四章  法律责任</w:t>
      </w:r>
    </w:p>
    <w:p w14:paraId="0280156B">
      <w:pPr>
        <w:jc w:val="left"/>
        <w:rPr>
          <w:rFonts w:ascii="宋体" w:hAnsi="宋体"/>
          <w:kern w:val="44"/>
        </w:rPr>
      </w:pPr>
    </w:p>
    <w:p w14:paraId="37126C97">
      <w:pPr>
        <w:ind w:firstLine="422"/>
        <w:jc w:val="left"/>
        <w:rPr>
          <w:rFonts w:ascii="宋体" w:hAnsi="宋体"/>
          <w:kern w:val="44"/>
        </w:rPr>
      </w:pPr>
      <w:r>
        <w:rPr>
          <w:rFonts w:hint="eastAsia" w:ascii="宋体" w:hAnsi="宋体"/>
          <w:b/>
          <w:kern w:val="44"/>
        </w:rPr>
        <w:t>第二十二条</w:t>
      </w:r>
      <w:r>
        <w:rPr>
          <w:rFonts w:hint="eastAsia" w:ascii="宋体" w:hAnsi="宋体"/>
          <w:kern w:val="44"/>
        </w:rPr>
        <w:t>　被稽察单位有下列行为之一的，由发展改革行政部门责令改正；拒不改正的，给予通报批评，可以处3000元以上3万元以下罚款：</w:t>
      </w:r>
    </w:p>
    <w:p w14:paraId="636E4230">
      <w:pPr>
        <w:jc w:val="left"/>
        <w:rPr>
          <w:rFonts w:ascii="宋体" w:hAnsi="宋体"/>
          <w:kern w:val="44"/>
        </w:rPr>
      </w:pPr>
      <w:r>
        <w:rPr>
          <w:rFonts w:hint="eastAsia" w:ascii="宋体" w:hAnsi="宋体"/>
          <w:kern w:val="44"/>
        </w:rPr>
        <w:t>（一）违反本办法第十四条规定，拒不配合稽察人员依法履行职责，或者拖延、不如实提供有关资料和情况的；</w:t>
      </w:r>
    </w:p>
    <w:p w14:paraId="39BA1C52">
      <w:pPr>
        <w:jc w:val="left"/>
        <w:rPr>
          <w:rFonts w:ascii="宋体" w:hAnsi="宋体"/>
          <w:kern w:val="44"/>
        </w:rPr>
      </w:pPr>
      <w:r>
        <w:rPr>
          <w:rFonts w:hint="eastAsia" w:ascii="宋体" w:hAnsi="宋体"/>
          <w:kern w:val="44"/>
        </w:rPr>
        <w:t>（二）违反本办法第二十条第一款规定，未按照要求进行整改或者未提交整改报告的。</w:t>
      </w:r>
    </w:p>
    <w:p w14:paraId="4D3A2E46">
      <w:pPr>
        <w:jc w:val="left"/>
        <w:rPr>
          <w:rFonts w:ascii="宋体" w:hAnsi="宋体"/>
          <w:kern w:val="44"/>
        </w:rPr>
      </w:pPr>
      <w:r>
        <w:rPr>
          <w:rFonts w:hint="eastAsia" w:ascii="宋体" w:hAnsi="宋体"/>
          <w:kern w:val="44"/>
        </w:rPr>
        <w:t>被稽察单位有本条前款所列行为之一的，按照国家和本市有关规定给予直接负责的主管人员和其他直接责任人员行政处分或者行政问责。</w:t>
      </w:r>
    </w:p>
    <w:p w14:paraId="367805FE">
      <w:pPr>
        <w:ind w:firstLine="422"/>
        <w:jc w:val="left"/>
        <w:rPr>
          <w:rFonts w:ascii="宋体" w:hAnsi="宋体"/>
          <w:kern w:val="44"/>
        </w:rPr>
      </w:pPr>
      <w:r>
        <w:rPr>
          <w:rFonts w:hint="eastAsia" w:ascii="宋体" w:hAnsi="宋体"/>
          <w:b/>
          <w:kern w:val="44"/>
        </w:rPr>
        <w:t>第二十三条</w:t>
      </w:r>
      <w:r>
        <w:rPr>
          <w:rFonts w:hint="eastAsia" w:ascii="宋体" w:hAnsi="宋体"/>
          <w:kern w:val="44"/>
        </w:rPr>
        <w:t>　违反本办法第十五条规定，勘察、设计、施工、监理、材料与设备供应、招标代理、咨询评估、项目管理等单位不配合调查、不如实反映情况或者不提供相关证明材料的，由发展改革行政部门给予警告，可以处3000元以上3万元以下罚款。</w:t>
      </w:r>
    </w:p>
    <w:p w14:paraId="27BAE68B">
      <w:pPr>
        <w:ind w:firstLine="422"/>
        <w:jc w:val="left"/>
        <w:rPr>
          <w:rFonts w:ascii="宋体" w:hAnsi="宋体"/>
          <w:kern w:val="44"/>
        </w:rPr>
      </w:pPr>
      <w:r>
        <w:rPr>
          <w:rFonts w:hint="eastAsia" w:ascii="宋体" w:hAnsi="宋体"/>
          <w:b/>
          <w:kern w:val="44"/>
        </w:rPr>
        <w:t>第二十四条</w:t>
      </w:r>
      <w:r>
        <w:rPr>
          <w:rFonts w:hint="eastAsia" w:ascii="宋体" w:hAnsi="宋体"/>
          <w:kern w:val="44"/>
        </w:rPr>
        <w:t>　发展改革行政部门在稽察工作中发现被稽察单位或者勘察、设计、施工、监理、材料与设备供应、招标代理、咨询评估、项目管理等单位有违反其他法律、法规、规章行为的，应当移交有关行政部门依法处理。</w:t>
      </w:r>
    </w:p>
    <w:p w14:paraId="763CFA3E">
      <w:pPr>
        <w:ind w:firstLine="422"/>
        <w:jc w:val="left"/>
        <w:rPr>
          <w:rFonts w:ascii="宋体" w:hAnsi="宋体"/>
          <w:kern w:val="44"/>
        </w:rPr>
      </w:pPr>
      <w:r>
        <w:rPr>
          <w:rFonts w:hint="eastAsia" w:ascii="宋体" w:hAnsi="宋体"/>
          <w:b/>
          <w:kern w:val="44"/>
        </w:rPr>
        <w:t>第二十五条</w:t>
      </w:r>
      <w:r>
        <w:rPr>
          <w:rFonts w:hint="eastAsia" w:ascii="宋体" w:hAnsi="宋体"/>
          <w:kern w:val="44"/>
        </w:rPr>
        <w:t>　稽察人员有下列行为之一的，按照国家或者本市有关规定，由发展改革行政部门或者监察机关给予行政处分或者行政问责；构成犯罪的，依法追究刑事责任：</w:t>
      </w:r>
    </w:p>
    <w:p w14:paraId="0DB6A71F">
      <w:pPr>
        <w:jc w:val="left"/>
        <w:rPr>
          <w:rFonts w:ascii="宋体" w:hAnsi="宋体"/>
          <w:kern w:val="44"/>
        </w:rPr>
      </w:pPr>
      <w:r>
        <w:rPr>
          <w:rFonts w:hint="eastAsia" w:ascii="宋体" w:hAnsi="宋体"/>
          <w:kern w:val="44"/>
        </w:rPr>
        <w:t>（一）对被稽察单位违法违规问题隐匿不报或者有其他失职、渎职行为的；</w:t>
      </w:r>
    </w:p>
    <w:p w14:paraId="6D0B8AB0">
      <w:pPr>
        <w:jc w:val="left"/>
        <w:rPr>
          <w:rFonts w:ascii="宋体" w:hAnsi="宋体"/>
          <w:kern w:val="44"/>
        </w:rPr>
      </w:pPr>
      <w:r>
        <w:rPr>
          <w:rFonts w:hint="eastAsia" w:ascii="宋体" w:hAnsi="宋体"/>
          <w:kern w:val="44"/>
        </w:rPr>
        <w:t>（二）出具虚假稽察情况报告的；</w:t>
      </w:r>
    </w:p>
    <w:p w14:paraId="16FD38A2">
      <w:pPr>
        <w:jc w:val="left"/>
        <w:rPr>
          <w:rFonts w:ascii="宋体" w:hAnsi="宋体"/>
          <w:kern w:val="44"/>
        </w:rPr>
      </w:pPr>
      <w:r>
        <w:rPr>
          <w:rFonts w:hint="eastAsia" w:ascii="宋体" w:hAnsi="宋体"/>
          <w:kern w:val="44"/>
        </w:rPr>
        <w:t>（三）违反本办法第十条第一款、第二款规定行为的。</w:t>
      </w:r>
    </w:p>
    <w:p w14:paraId="2DD6FE07">
      <w:pPr>
        <w:ind w:firstLine="422"/>
        <w:jc w:val="left"/>
        <w:rPr>
          <w:rFonts w:ascii="宋体" w:hAnsi="宋体"/>
          <w:kern w:val="44"/>
        </w:rPr>
      </w:pPr>
      <w:r>
        <w:rPr>
          <w:rFonts w:hint="eastAsia" w:ascii="宋体" w:hAnsi="宋体"/>
          <w:b/>
          <w:kern w:val="44"/>
        </w:rPr>
        <w:t>第二十六条</w:t>
      </w:r>
      <w:r>
        <w:rPr>
          <w:rFonts w:hint="eastAsia" w:ascii="宋体" w:hAnsi="宋体"/>
          <w:kern w:val="44"/>
        </w:rPr>
        <w:t>　法律、法规对重大建设项目建设和管理中的其他违法行为规定有法律责任的，从其规定。</w:t>
      </w:r>
    </w:p>
    <w:p w14:paraId="29190860">
      <w:pPr>
        <w:jc w:val="left"/>
        <w:rPr>
          <w:rFonts w:ascii="宋体" w:hAnsi="宋体"/>
          <w:kern w:val="44"/>
        </w:rPr>
      </w:pPr>
    </w:p>
    <w:p w14:paraId="4C00BFE6">
      <w:pPr>
        <w:ind w:firstLine="0" w:firstLineChars="0"/>
        <w:jc w:val="center"/>
        <w:rPr>
          <w:rFonts w:ascii="宋体" w:hAnsi="宋体"/>
          <w:b/>
          <w:kern w:val="44"/>
          <w:sz w:val="28"/>
        </w:rPr>
      </w:pPr>
      <w:r>
        <w:rPr>
          <w:rFonts w:hint="eastAsia" w:ascii="宋体" w:hAnsi="宋体"/>
          <w:b/>
          <w:kern w:val="44"/>
          <w:sz w:val="28"/>
        </w:rPr>
        <w:t>第五章  附  则</w:t>
      </w:r>
    </w:p>
    <w:p w14:paraId="0337A544">
      <w:pPr>
        <w:jc w:val="left"/>
        <w:rPr>
          <w:rFonts w:ascii="宋体" w:hAnsi="宋体"/>
          <w:kern w:val="44"/>
        </w:rPr>
      </w:pPr>
    </w:p>
    <w:p w14:paraId="5AAC1901">
      <w:pPr>
        <w:ind w:firstLine="422"/>
        <w:jc w:val="left"/>
        <w:rPr>
          <w:rFonts w:ascii="宋体" w:hAnsi="宋体"/>
          <w:kern w:val="44"/>
        </w:rPr>
      </w:pPr>
      <w:r>
        <w:rPr>
          <w:rFonts w:hint="eastAsia" w:ascii="宋体" w:hAnsi="宋体"/>
          <w:b/>
          <w:kern w:val="44"/>
        </w:rPr>
        <w:t>第二十七条</w:t>
      </w:r>
      <w:r>
        <w:rPr>
          <w:rFonts w:hint="eastAsia" w:ascii="宋体" w:hAnsi="宋体"/>
          <w:kern w:val="44"/>
        </w:rPr>
        <w:t>　本办法自2014年11月1日起施行。</w:t>
      </w:r>
    </w:p>
    <w:p w14:paraId="666919E7">
      <w:pPr>
        <w:pStyle w:val="3"/>
        <w:pageBreakBefore/>
        <w:rPr>
          <w:kern w:val="44"/>
        </w:rPr>
      </w:pPr>
      <w:bookmarkStart w:id="319" w:name="_Toc428779992"/>
      <w:bookmarkStart w:id="320" w:name="_Toc428781474"/>
      <w:bookmarkStart w:id="321" w:name="_Toc422471111"/>
      <w:bookmarkStart w:id="322" w:name="_Toc427651768"/>
      <w:bookmarkStart w:id="323" w:name="_Toc427651426"/>
      <w:r>
        <w:rPr>
          <w:rFonts w:hint="eastAsia"/>
          <w:kern w:val="44"/>
        </w:rPr>
        <w:t>（七）司法行政</w:t>
      </w:r>
      <w:bookmarkEnd w:id="319"/>
      <w:bookmarkEnd w:id="320"/>
      <w:bookmarkEnd w:id="321"/>
      <w:bookmarkEnd w:id="322"/>
      <w:bookmarkEnd w:id="323"/>
    </w:p>
    <w:p w14:paraId="729D40B5"/>
    <w:p w14:paraId="5B904DF1">
      <w:pPr>
        <w:pStyle w:val="4"/>
        <w:rPr>
          <w:kern w:val="44"/>
        </w:rPr>
      </w:pPr>
      <w:bookmarkStart w:id="324" w:name="_Toc428781475"/>
      <w:bookmarkStart w:id="325" w:name="_Toc427651769"/>
      <w:bookmarkStart w:id="326" w:name="_Toc427651427"/>
      <w:bookmarkStart w:id="327" w:name="_Toc422471112"/>
      <w:bookmarkStart w:id="328" w:name="_Toc428779993"/>
      <w:r>
        <w:rPr>
          <w:rFonts w:hint="eastAsia"/>
          <w:kern w:val="44"/>
        </w:rPr>
        <w:t>北京市法律援助条例</w:t>
      </w:r>
      <w:bookmarkEnd w:id="324"/>
      <w:bookmarkEnd w:id="325"/>
      <w:bookmarkEnd w:id="326"/>
      <w:bookmarkEnd w:id="327"/>
      <w:bookmarkEnd w:id="328"/>
    </w:p>
    <w:p w14:paraId="28249057">
      <w:pPr>
        <w:ind w:left="630" w:leftChars="300" w:right="630" w:rightChars="300"/>
        <w:jc w:val="left"/>
        <w:rPr>
          <w:rFonts w:ascii="楷体" w:hAnsi="楷体" w:eastAsia="楷体"/>
          <w:kern w:val="44"/>
        </w:rPr>
      </w:pPr>
      <w:r>
        <w:rPr>
          <w:rFonts w:hint="eastAsia" w:ascii="楷体" w:hAnsi="楷体" w:eastAsia="楷体"/>
          <w:kern w:val="44"/>
        </w:rPr>
        <w:t>（2008年12月29日北京市第十三届人民代表大会常务委员会第八次会议通过）</w:t>
      </w:r>
    </w:p>
    <w:p w14:paraId="5DB855C9">
      <w:pPr>
        <w:ind w:left="630" w:leftChars="300" w:right="630" w:rightChars="300"/>
        <w:jc w:val="left"/>
        <w:rPr>
          <w:rFonts w:ascii="楷体" w:hAnsi="楷体" w:eastAsia="楷体"/>
          <w:kern w:val="44"/>
        </w:rPr>
      </w:pPr>
    </w:p>
    <w:p w14:paraId="029D80EB">
      <w:pPr>
        <w:ind w:firstLine="0" w:firstLineChars="0"/>
        <w:jc w:val="center"/>
        <w:rPr>
          <w:rFonts w:ascii="宋体" w:hAnsi="宋体"/>
          <w:b/>
          <w:kern w:val="44"/>
          <w:sz w:val="28"/>
        </w:rPr>
      </w:pPr>
      <w:r>
        <w:rPr>
          <w:rFonts w:hint="eastAsia" w:ascii="宋体" w:hAnsi="宋体"/>
          <w:b/>
          <w:kern w:val="44"/>
          <w:sz w:val="28"/>
        </w:rPr>
        <w:t>第一章　总　则</w:t>
      </w:r>
    </w:p>
    <w:p w14:paraId="22F1A92C">
      <w:pPr>
        <w:jc w:val="left"/>
        <w:rPr>
          <w:rFonts w:ascii="宋体" w:hAnsi="宋体"/>
          <w:kern w:val="44"/>
        </w:rPr>
      </w:pPr>
    </w:p>
    <w:p w14:paraId="3ADBEDA3">
      <w:pPr>
        <w:ind w:firstLine="422"/>
        <w:jc w:val="left"/>
        <w:rPr>
          <w:rFonts w:ascii="宋体" w:hAnsi="宋体"/>
          <w:kern w:val="44"/>
        </w:rPr>
      </w:pPr>
      <w:r>
        <w:rPr>
          <w:rFonts w:hint="eastAsia" w:ascii="宋体" w:hAnsi="宋体"/>
          <w:b/>
          <w:kern w:val="44"/>
        </w:rPr>
        <w:t>第一条</w:t>
      </w:r>
      <w:r>
        <w:rPr>
          <w:rFonts w:hint="eastAsia" w:ascii="宋体" w:hAnsi="宋体"/>
          <w:kern w:val="44"/>
        </w:rPr>
        <w:t>　为了保障经济困难或者符合法定条件的公民获得必要的法律服务，规范法律援助行为，促进法律援助事业发展，根据国务院《法律援助条例》和有关法律、行政法规，结合本市实际情况，制定本条例。</w:t>
      </w:r>
    </w:p>
    <w:p w14:paraId="281064FB">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本条例适用于政府设立的法律援助机构组织法律援助服务机构和法律援助人员，为符合法律、法规规定的公民提供免费法律服务的活动。</w:t>
      </w:r>
    </w:p>
    <w:p w14:paraId="43B95DD0">
      <w:pPr>
        <w:jc w:val="left"/>
        <w:rPr>
          <w:rFonts w:ascii="宋体" w:hAnsi="宋体"/>
          <w:kern w:val="44"/>
        </w:rPr>
      </w:pPr>
      <w:r>
        <w:rPr>
          <w:rFonts w:hint="eastAsia" w:ascii="宋体" w:hAnsi="宋体"/>
          <w:kern w:val="44"/>
        </w:rPr>
        <w:t>本条例所称法律援助服务机构，包括律师事务所和经司法行政部门确认的其他法律服务机构。法律援助服务机构应当接受法律援助机构的指派，安排人员办理法律援助。</w:t>
      </w:r>
    </w:p>
    <w:p w14:paraId="6F2EBA54">
      <w:pPr>
        <w:jc w:val="left"/>
        <w:rPr>
          <w:rFonts w:ascii="宋体" w:hAnsi="宋体"/>
          <w:kern w:val="44"/>
        </w:rPr>
      </w:pPr>
      <w:r>
        <w:rPr>
          <w:rFonts w:hint="eastAsia" w:ascii="宋体" w:hAnsi="宋体"/>
          <w:kern w:val="44"/>
        </w:rPr>
        <w:t>本条例所称法律援助人员，包括接受法律援助机构指派或者安排办理法律援助的律师、基层法律服务工作者、法律援助机构工作人员和法律援助志愿者以及其他法律专业人员。</w:t>
      </w:r>
    </w:p>
    <w:p w14:paraId="19C8F690">
      <w:pPr>
        <w:ind w:firstLine="422"/>
        <w:jc w:val="left"/>
        <w:rPr>
          <w:rFonts w:ascii="宋体" w:hAnsi="宋体"/>
          <w:kern w:val="44"/>
        </w:rPr>
      </w:pPr>
      <w:r>
        <w:rPr>
          <w:rFonts w:hint="eastAsia" w:ascii="宋体" w:hAnsi="宋体"/>
          <w:b/>
          <w:kern w:val="44"/>
        </w:rPr>
        <w:t>第三条</w:t>
      </w:r>
      <w:r>
        <w:rPr>
          <w:rFonts w:hint="eastAsia" w:ascii="宋体" w:hAnsi="宋体"/>
          <w:kern w:val="44"/>
        </w:rPr>
        <w:t>　法律援助是政府的责任。市和区、县人民政府应当采取措施积极推动法律援助工作，将法律援助经费列入同级财政预算，保障法律援助事业与经济、社会协调发展。</w:t>
      </w:r>
    </w:p>
    <w:p w14:paraId="65D7F52C">
      <w:pPr>
        <w:jc w:val="left"/>
        <w:rPr>
          <w:rFonts w:ascii="宋体" w:hAnsi="宋体"/>
          <w:kern w:val="44"/>
        </w:rPr>
      </w:pPr>
      <w:r>
        <w:rPr>
          <w:rFonts w:hint="eastAsia" w:ascii="宋体" w:hAnsi="宋体"/>
          <w:kern w:val="44"/>
        </w:rPr>
        <w:t>法律援助经费应当专款专用，经费的使用应当接受财政、审计等部门的监督。</w:t>
      </w:r>
    </w:p>
    <w:p w14:paraId="1883BDD9">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市和区、县司法行政部门负责本行政区域内法律援助的监督、管理和宣传工作。</w:t>
      </w:r>
    </w:p>
    <w:p w14:paraId="2CD33CAE">
      <w:pPr>
        <w:jc w:val="left"/>
        <w:rPr>
          <w:rFonts w:ascii="宋体" w:hAnsi="宋体"/>
          <w:kern w:val="44"/>
        </w:rPr>
      </w:pPr>
      <w:r>
        <w:rPr>
          <w:rFonts w:hint="eastAsia" w:ascii="宋体" w:hAnsi="宋体"/>
          <w:kern w:val="44"/>
        </w:rPr>
        <w:t>市和区、县司法行政部门确定或者组建的法律援助机构具体负责受理、审查法律援助申请，指派或者安排人员为符合本条例规定的公民提供法律援助和相关服务，并对法律援助人员办理法律援助的活动进行监督、指导。</w:t>
      </w:r>
    </w:p>
    <w:p w14:paraId="63235CF8">
      <w:pPr>
        <w:ind w:firstLine="422"/>
        <w:jc w:val="left"/>
        <w:rPr>
          <w:rFonts w:ascii="宋体" w:hAnsi="宋体"/>
          <w:kern w:val="44"/>
        </w:rPr>
      </w:pPr>
      <w:r>
        <w:rPr>
          <w:rFonts w:hint="eastAsia" w:ascii="宋体" w:hAnsi="宋体"/>
          <w:b/>
          <w:kern w:val="44"/>
        </w:rPr>
        <w:t>第五条</w:t>
      </w:r>
      <w:r>
        <w:rPr>
          <w:rFonts w:hint="eastAsia" w:ascii="宋体" w:hAnsi="宋体"/>
          <w:kern w:val="44"/>
        </w:rPr>
        <w:t>　律师协会应当支持、配合法律援助工作，监督律师依法办理法律援助。</w:t>
      </w:r>
    </w:p>
    <w:p w14:paraId="129A4528">
      <w:pPr>
        <w:jc w:val="left"/>
        <w:rPr>
          <w:rFonts w:ascii="宋体" w:hAnsi="宋体"/>
          <w:kern w:val="44"/>
        </w:rPr>
      </w:pPr>
      <w:r>
        <w:rPr>
          <w:rFonts w:hint="eastAsia" w:ascii="宋体" w:hAnsi="宋体"/>
          <w:kern w:val="44"/>
        </w:rPr>
        <w:t>律师应当依照律师法和本条例的规定履行法律援助义务，为受援人提供符合标准的法律服务，依法维护受援人的合法权益。</w:t>
      </w:r>
    </w:p>
    <w:p w14:paraId="5EB7AD7A">
      <w:pPr>
        <w:ind w:firstLine="422"/>
        <w:jc w:val="left"/>
        <w:rPr>
          <w:rFonts w:ascii="宋体" w:hAnsi="宋体"/>
          <w:kern w:val="44"/>
        </w:rPr>
      </w:pPr>
      <w:r>
        <w:rPr>
          <w:rFonts w:hint="eastAsia" w:ascii="宋体" w:hAnsi="宋体"/>
          <w:b/>
          <w:kern w:val="44"/>
        </w:rPr>
        <w:t>第六条</w:t>
      </w:r>
      <w:r>
        <w:rPr>
          <w:rFonts w:hint="eastAsia" w:ascii="宋体" w:hAnsi="宋体"/>
          <w:kern w:val="44"/>
        </w:rPr>
        <w:t>　社会团体、事业单位等社会组织可以利用自身资源为经济困难的公民提供法律援助。</w:t>
      </w:r>
    </w:p>
    <w:p w14:paraId="5DD0494B">
      <w:pPr>
        <w:jc w:val="left"/>
        <w:rPr>
          <w:rFonts w:ascii="宋体" w:hAnsi="宋体"/>
          <w:kern w:val="44"/>
        </w:rPr>
      </w:pPr>
      <w:r>
        <w:rPr>
          <w:rFonts w:hint="eastAsia" w:ascii="宋体" w:hAnsi="宋体"/>
          <w:kern w:val="44"/>
        </w:rPr>
        <w:t>工会、妇联、残联、共青团等社会团体可以结合各自特点开展与其工作领域相关的法律援助活动。</w:t>
      </w:r>
    </w:p>
    <w:p w14:paraId="2DB93B76">
      <w:pPr>
        <w:ind w:firstLine="422"/>
        <w:jc w:val="left"/>
        <w:rPr>
          <w:rFonts w:ascii="宋体" w:hAnsi="宋体"/>
          <w:kern w:val="44"/>
        </w:rPr>
      </w:pPr>
      <w:r>
        <w:rPr>
          <w:rFonts w:hint="eastAsia" w:ascii="宋体" w:hAnsi="宋体"/>
          <w:b/>
          <w:kern w:val="44"/>
        </w:rPr>
        <w:t>第七条</w:t>
      </w:r>
      <w:r>
        <w:rPr>
          <w:rFonts w:hint="eastAsia" w:ascii="宋体" w:hAnsi="宋体"/>
          <w:kern w:val="44"/>
        </w:rPr>
        <w:t>　鼓励组织和个人以捐赠的形式资助法律援助事业。捐赠财产可以依照国家有关规定享受税收优惠。</w:t>
      </w:r>
    </w:p>
    <w:p w14:paraId="4FE5769A">
      <w:pPr>
        <w:jc w:val="left"/>
        <w:rPr>
          <w:rFonts w:ascii="宋体" w:hAnsi="宋体"/>
          <w:kern w:val="44"/>
        </w:rPr>
      </w:pPr>
      <w:r>
        <w:rPr>
          <w:rFonts w:hint="eastAsia" w:ascii="宋体" w:hAnsi="宋体"/>
          <w:kern w:val="44"/>
        </w:rPr>
        <w:t>依法设立的法律援助基金会可以接受组织和个人对法律援助事业的捐赠。法律援助基金会应当按照章程的规定使用捐赠资金，向社会公开基金的使用情况，并接受财政、审计等部门的监督。</w:t>
      </w:r>
    </w:p>
    <w:p w14:paraId="33A7E19D">
      <w:pPr>
        <w:ind w:firstLine="422"/>
        <w:jc w:val="left"/>
        <w:rPr>
          <w:rFonts w:ascii="宋体" w:hAnsi="宋体"/>
          <w:kern w:val="44"/>
        </w:rPr>
      </w:pPr>
      <w:r>
        <w:rPr>
          <w:rFonts w:hint="eastAsia" w:ascii="宋体" w:hAnsi="宋体"/>
          <w:b/>
          <w:kern w:val="44"/>
        </w:rPr>
        <w:t>第八条</w:t>
      </w:r>
      <w:r>
        <w:rPr>
          <w:rFonts w:hint="eastAsia" w:ascii="宋体" w:hAnsi="宋体"/>
          <w:kern w:val="44"/>
        </w:rPr>
        <w:t>　对在法律援助工作中做出突出贡献的组织和个人，由市和区、县人民政府或者司法行政部门给予表彰、奖励。</w:t>
      </w:r>
    </w:p>
    <w:p w14:paraId="534FA337">
      <w:pPr>
        <w:jc w:val="left"/>
        <w:rPr>
          <w:rFonts w:ascii="宋体" w:hAnsi="宋体"/>
          <w:kern w:val="44"/>
        </w:rPr>
      </w:pPr>
    </w:p>
    <w:p w14:paraId="5937F9BC">
      <w:pPr>
        <w:ind w:firstLine="0" w:firstLineChars="0"/>
        <w:jc w:val="center"/>
        <w:rPr>
          <w:rFonts w:ascii="宋体" w:hAnsi="宋体"/>
          <w:b/>
          <w:kern w:val="44"/>
          <w:sz w:val="28"/>
        </w:rPr>
      </w:pPr>
      <w:r>
        <w:rPr>
          <w:rFonts w:hint="eastAsia" w:ascii="宋体" w:hAnsi="宋体"/>
          <w:b/>
          <w:kern w:val="44"/>
          <w:sz w:val="28"/>
        </w:rPr>
        <w:t>第二章　法律援助范围</w:t>
      </w:r>
    </w:p>
    <w:p w14:paraId="5A3553C6">
      <w:pPr>
        <w:jc w:val="left"/>
        <w:rPr>
          <w:rFonts w:ascii="宋体" w:hAnsi="宋体"/>
          <w:kern w:val="44"/>
        </w:rPr>
      </w:pPr>
    </w:p>
    <w:p w14:paraId="29D22C3C">
      <w:pPr>
        <w:ind w:firstLine="422"/>
        <w:jc w:val="left"/>
        <w:rPr>
          <w:rFonts w:ascii="宋体" w:hAnsi="宋体"/>
          <w:kern w:val="44"/>
        </w:rPr>
      </w:pPr>
      <w:r>
        <w:rPr>
          <w:rFonts w:hint="eastAsia" w:ascii="宋体" w:hAnsi="宋体"/>
          <w:b/>
          <w:kern w:val="44"/>
        </w:rPr>
        <w:t>第九条</w:t>
      </w:r>
      <w:r>
        <w:rPr>
          <w:rFonts w:hint="eastAsia" w:ascii="宋体" w:hAnsi="宋体"/>
          <w:kern w:val="44"/>
        </w:rPr>
        <w:t>　公民对下列需要代理的事项，因经济困难没有委托代理人的，可以向法律援助机构申请法律援助：</w:t>
      </w:r>
    </w:p>
    <w:p w14:paraId="7005028B">
      <w:pPr>
        <w:jc w:val="left"/>
        <w:rPr>
          <w:rFonts w:ascii="宋体" w:hAnsi="宋体"/>
          <w:kern w:val="44"/>
        </w:rPr>
      </w:pPr>
      <w:r>
        <w:rPr>
          <w:rFonts w:hint="eastAsia" w:ascii="宋体" w:hAnsi="宋体"/>
          <w:kern w:val="44"/>
        </w:rPr>
        <w:t>（一）请求国家赔偿的；</w:t>
      </w:r>
    </w:p>
    <w:p w14:paraId="0C376655">
      <w:pPr>
        <w:jc w:val="left"/>
        <w:rPr>
          <w:rFonts w:ascii="宋体" w:hAnsi="宋体"/>
          <w:kern w:val="44"/>
        </w:rPr>
      </w:pPr>
      <w:r>
        <w:rPr>
          <w:rFonts w:hint="eastAsia" w:ascii="宋体" w:hAnsi="宋体"/>
          <w:kern w:val="44"/>
        </w:rPr>
        <w:t>（二）请求给予社会保险待遇或者最低生活保障待遇的；</w:t>
      </w:r>
    </w:p>
    <w:p w14:paraId="3BD1F7C8">
      <w:pPr>
        <w:jc w:val="left"/>
        <w:rPr>
          <w:rFonts w:ascii="宋体" w:hAnsi="宋体"/>
          <w:kern w:val="44"/>
        </w:rPr>
      </w:pPr>
      <w:r>
        <w:rPr>
          <w:rFonts w:hint="eastAsia" w:ascii="宋体" w:hAnsi="宋体"/>
          <w:kern w:val="44"/>
        </w:rPr>
        <w:t>（三）请求发给抚恤金、救济金的；</w:t>
      </w:r>
    </w:p>
    <w:p w14:paraId="749D486D">
      <w:pPr>
        <w:jc w:val="left"/>
        <w:rPr>
          <w:rFonts w:ascii="宋体" w:hAnsi="宋体"/>
          <w:kern w:val="44"/>
        </w:rPr>
      </w:pPr>
      <w:r>
        <w:rPr>
          <w:rFonts w:hint="eastAsia" w:ascii="宋体" w:hAnsi="宋体"/>
          <w:kern w:val="44"/>
        </w:rPr>
        <w:t>（四）请求给付赡养费、抚养费、扶养费的；</w:t>
      </w:r>
    </w:p>
    <w:p w14:paraId="2EF41B5A">
      <w:pPr>
        <w:jc w:val="left"/>
        <w:rPr>
          <w:rFonts w:ascii="宋体" w:hAnsi="宋体"/>
          <w:kern w:val="44"/>
        </w:rPr>
      </w:pPr>
      <w:r>
        <w:rPr>
          <w:rFonts w:hint="eastAsia" w:ascii="宋体" w:hAnsi="宋体"/>
          <w:kern w:val="44"/>
        </w:rPr>
        <w:t>（五）请求支付劳动报酬的；</w:t>
      </w:r>
    </w:p>
    <w:p w14:paraId="298E1BF9">
      <w:pPr>
        <w:jc w:val="left"/>
        <w:rPr>
          <w:rFonts w:ascii="宋体" w:hAnsi="宋体"/>
          <w:kern w:val="44"/>
        </w:rPr>
      </w:pPr>
      <w:r>
        <w:rPr>
          <w:rFonts w:hint="eastAsia" w:ascii="宋体" w:hAnsi="宋体"/>
          <w:kern w:val="44"/>
        </w:rPr>
        <w:t>（六）因家庭暴力、虐待、遗弃，合法权益受到侵害，请求司法保护的；</w:t>
      </w:r>
    </w:p>
    <w:p w14:paraId="41A247BE">
      <w:pPr>
        <w:jc w:val="left"/>
        <w:rPr>
          <w:rFonts w:ascii="宋体" w:hAnsi="宋体"/>
          <w:kern w:val="44"/>
        </w:rPr>
      </w:pPr>
      <w:r>
        <w:rPr>
          <w:rFonts w:hint="eastAsia" w:ascii="宋体" w:hAnsi="宋体"/>
          <w:kern w:val="44"/>
        </w:rPr>
        <w:t>（七）因交通事故、工伤事故、医疗事故、产品质量事故以及其他人身伤害事故造成人身伤害请求赔偿的；</w:t>
      </w:r>
    </w:p>
    <w:p w14:paraId="283F9B57">
      <w:pPr>
        <w:jc w:val="left"/>
        <w:rPr>
          <w:rFonts w:ascii="宋体" w:hAnsi="宋体"/>
          <w:kern w:val="44"/>
        </w:rPr>
      </w:pPr>
      <w:r>
        <w:rPr>
          <w:rFonts w:hint="eastAsia" w:ascii="宋体" w:hAnsi="宋体"/>
          <w:kern w:val="44"/>
        </w:rPr>
        <w:t>（八）法律、法规及市人民政府规定的其他法律援助事项。</w:t>
      </w:r>
    </w:p>
    <w:p w14:paraId="13F8305C">
      <w:pPr>
        <w:ind w:firstLine="422"/>
        <w:jc w:val="left"/>
        <w:rPr>
          <w:rFonts w:ascii="宋体" w:hAnsi="宋体"/>
          <w:kern w:val="44"/>
        </w:rPr>
      </w:pPr>
      <w:r>
        <w:rPr>
          <w:rFonts w:hint="eastAsia" w:ascii="宋体" w:hAnsi="宋体"/>
          <w:b/>
          <w:kern w:val="44"/>
        </w:rPr>
        <w:t>第十条</w:t>
      </w:r>
      <w:r>
        <w:rPr>
          <w:rFonts w:hint="eastAsia" w:ascii="宋体" w:hAnsi="宋体"/>
          <w:kern w:val="44"/>
        </w:rPr>
        <w:t>　公民申请法律援助的经济困难条件，按照国家和本市低收入家庭认定标准执行。</w:t>
      </w:r>
    </w:p>
    <w:p w14:paraId="1F47A507">
      <w:pPr>
        <w:ind w:firstLine="422"/>
        <w:jc w:val="left"/>
        <w:rPr>
          <w:rFonts w:ascii="宋体" w:hAnsi="宋体"/>
          <w:kern w:val="44"/>
        </w:rPr>
      </w:pPr>
      <w:r>
        <w:rPr>
          <w:rFonts w:hint="eastAsia" w:ascii="宋体" w:hAnsi="宋体"/>
          <w:b/>
          <w:kern w:val="44"/>
        </w:rPr>
        <w:t>第十一条</w:t>
      </w:r>
      <w:r>
        <w:rPr>
          <w:rFonts w:hint="eastAsia" w:ascii="宋体" w:hAnsi="宋体"/>
          <w:kern w:val="44"/>
        </w:rPr>
        <w:t>　农民工因请求支付劳动报酬或者工伤赔偿申请法律援助的，不受本条例规定的经济困难条件的限制。</w:t>
      </w:r>
    </w:p>
    <w:p w14:paraId="1DB71B2E">
      <w:pPr>
        <w:ind w:firstLine="422"/>
        <w:jc w:val="left"/>
        <w:rPr>
          <w:rFonts w:ascii="宋体" w:hAnsi="宋体"/>
          <w:kern w:val="44"/>
        </w:rPr>
      </w:pPr>
      <w:r>
        <w:rPr>
          <w:rFonts w:hint="eastAsia" w:ascii="宋体" w:hAnsi="宋体"/>
          <w:b/>
          <w:kern w:val="44"/>
        </w:rPr>
        <w:t>第十二条</w:t>
      </w:r>
      <w:r>
        <w:rPr>
          <w:rFonts w:hint="eastAsia" w:ascii="宋体" w:hAnsi="宋体"/>
          <w:kern w:val="44"/>
        </w:rPr>
        <w:t>　公民因实施见义勇为行为致使自身合法权益受到损害的，可以申请法律援助，不受本条例规定的经济困难条件的限制。</w:t>
      </w:r>
    </w:p>
    <w:p w14:paraId="47186FC9">
      <w:pPr>
        <w:jc w:val="left"/>
        <w:rPr>
          <w:rFonts w:ascii="宋体" w:hAnsi="宋体"/>
          <w:kern w:val="44"/>
        </w:rPr>
      </w:pPr>
      <w:r>
        <w:rPr>
          <w:rFonts w:hint="eastAsia" w:ascii="宋体" w:hAnsi="宋体"/>
          <w:kern w:val="44"/>
        </w:rPr>
        <w:t>见义勇为行为的认定，依照国家和本市有关规定执行。</w:t>
      </w:r>
    </w:p>
    <w:p w14:paraId="3A54D45E">
      <w:pPr>
        <w:ind w:firstLine="422"/>
        <w:jc w:val="left"/>
        <w:rPr>
          <w:rFonts w:ascii="宋体" w:hAnsi="宋体"/>
          <w:kern w:val="44"/>
        </w:rPr>
      </w:pPr>
      <w:r>
        <w:rPr>
          <w:rFonts w:hint="eastAsia" w:ascii="宋体" w:hAnsi="宋体"/>
          <w:b/>
          <w:kern w:val="44"/>
        </w:rPr>
        <w:t>第十三条</w:t>
      </w:r>
      <w:r>
        <w:rPr>
          <w:rFonts w:hint="eastAsia" w:ascii="宋体" w:hAnsi="宋体"/>
          <w:kern w:val="44"/>
        </w:rPr>
        <w:t>　刑事诉讼中有下列情形之一的，公民可以向法律援助机构申请法律援助：</w:t>
      </w:r>
    </w:p>
    <w:p w14:paraId="13B5D863">
      <w:pPr>
        <w:jc w:val="left"/>
        <w:rPr>
          <w:rFonts w:ascii="宋体" w:hAnsi="宋体"/>
          <w:kern w:val="44"/>
        </w:rPr>
      </w:pPr>
      <w:r>
        <w:rPr>
          <w:rFonts w:hint="eastAsia" w:ascii="宋体" w:hAnsi="宋体"/>
          <w:kern w:val="44"/>
        </w:rPr>
        <w:t>（一）侦查阶段犯罪嫌疑人自被第一次讯问或者被采取强制措施之日起，因经济困难没有聘请律师的；</w:t>
      </w:r>
    </w:p>
    <w:p w14:paraId="3717FD34">
      <w:pPr>
        <w:jc w:val="left"/>
        <w:rPr>
          <w:rFonts w:ascii="宋体" w:hAnsi="宋体"/>
          <w:kern w:val="44"/>
        </w:rPr>
      </w:pPr>
      <w:r>
        <w:rPr>
          <w:rFonts w:hint="eastAsia" w:ascii="宋体" w:hAnsi="宋体"/>
          <w:kern w:val="44"/>
        </w:rPr>
        <w:t>（二）公诉案件自案件移送审查起诉之日起，犯罪嫌疑人因经济困难没有委托辩护人的；</w:t>
      </w:r>
    </w:p>
    <w:p w14:paraId="4DA75841">
      <w:pPr>
        <w:jc w:val="left"/>
        <w:rPr>
          <w:rFonts w:ascii="宋体" w:hAnsi="宋体"/>
          <w:kern w:val="44"/>
        </w:rPr>
      </w:pPr>
      <w:r>
        <w:rPr>
          <w:rFonts w:hint="eastAsia" w:ascii="宋体" w:hAnsi="宋体"/>
          <w:kern w:val="44"/>
        </w:rPr>
        <w:t>（三）公诉案件自提起公诉之日起，被告人因经济困难没有委托辩护人的；</w:t>
      </w:r>
    </w:p>
    <w:p w14:paraId="726563F1">
      <w:pPr>
        <w:jc w:val="left"/>
        <w:rPr>
          <w:rFonts w:ascii="宋体" w:hAnsi="宋体"/>
          <w:kern w:val="44"/>
        </w:rPr>
      </w:pPr>
      <w:r>
        <w:rPr>
          <w:rFonts w:hint="eastAsia" w:ascii="宋体" w:hAnsi="宋体"/>
          <w:kern w:val="44"/>
        </w:rPr>
        <w:t>（四）公诉案件中的被害人及其法定代理人或者近亲属，自案件移送审查起诉之日起，因经济困难没有委托诉讼代理人的；</w:t>
      </w:r>
    </w:p>
    <w:p w14:paraId="4CA18753">
      <w:pPr>
        <w:jc w:val="left"/>
        <w:rPr>
          <w:rFonts w:ascii="宋体" w:hAnsi="宋体"/>
          <w:kern w:val="44"/>
        </w:rPr>
      </w:pPr>
      <w:r>
        <w:rPr>
          <w:rFonts w:hint="eastAsia" w:ascii="宋体" w:hAnsi="宋体"/>
          <w:kern w:val="44"/>
        </w:rPr>
        <w:t>（五）自诉案件的自诉人及其法定代理人，自人民法院受理案件之日起，因经济困难没有委托诉讼代理人的。</w:t>
      </w:r>
    </w:p>
    <w:p w14:paraId="377FAB62">
      <w:pPr>
        <w:ind w:firstLine="422"/>
        <w:jc w:val="left"/>
        <w:rPr>
          <w:rFonts w:ascii="宋体" w:hAnsi="宋体"/>
          <w:kern w:val="44"/>
        </w:rPr>
      </w:pPr>
      <w:r>
        <w:rPr>
          <w:rFonts w:hint="eastAsia" w:ascii="宋体" w:hAnsi="宋体"/>
          <w:b/>
          <w:kern w:val="44"/>
        </w:rPr>
        <w:t>第十四条</w:t>
      </w:r>
      <w:r>
        <w:rPr>
          <w:rFonts w:hint="eastAsia" w:ascii="宋体" w:hAnsi="宋体"/>
          <w:kern w:val="44"/>
        </w:rPr>
        <w:t>　公诉人出庭公诉的案件，被告人因经济困难或者其他原因没有委托辩护人，人民法院为被告人指定辩护时，法律援助机构应当提供法律援助。</w:t>
      </w:r>
    </w:p>
    <w:p w14:paraId="195E5D18">
      <w:pPr>
        <w:jc w:val="left"/>
        <w:rPr>
          <w:rFonts w:ascii="宋体" w:hAnsi="宋体"/>
          <w:kern w:val="44"/>
        </w:rPr>
      </w:pPr>
      <w:r>
        <w:rPr>
          <w:rFonts w:hint="eastAsia" w:ascii="宋体" w:hAnsi="宋体"/>
          <w:kern w:val="44"/>
        </w:rPr>
        <w:t>被告人是盲、聋、哑人或者未成年人而没有委托辩护人的，或者被告人可能被判处死刑而没有委托辩护人的，人民法院为被告人指定辩护时，法律援助机构应当提供法律援助，无需对被告人进行经济状况的审查。</w:t>
      </w:r>
    </w:p>
    <w:p w14:paraId="5A45FB39">
      <w:pPr>
        <w:ind w:firstLine="0" w:firstLineChars="0"/>
        <w:jc w:val="center"/>
        <w:rPr>
          <w:rFonts w:hint="eastAsia" w:ascii="宋体" w:hAnsi="宋体"/>
          <w:b/>
          <w:kern w:val="44"/>
          <w:sz w:val="28"/>
        </w:rPr>
      </w:pPr>
    </w:p>
    <w:p w14:paraId="7805D5B3">
      <w:pPr>
        <w:ind w:firstLine="0" w:firstLineChars="0"/>
        <w:jc w:val="center"/>
        <w:rPr>
          <w:rFonts w:ascii="宋体" w:hAnsi="宋体"/>
          <w:b/>
          <w:kern w:val="44"/>
          <w:sz w:val="28"/>
        </w:rPr>
      </w:pPr>
      <w:r>
        <w:rPr>
          <w:rFonts w:hint="eastAsia" w:ascii="宋体" w:hAnsi="宋体"/>
          <w:b/>
          <w:kern w:val="44"/>
          <w:sz w:val="28"/>
        </w:rPr>
        <w:t>第三章　法律援助申请和审查</w:t>
      </w:r>
    </w:p>
    <w:p w14:paraId="5AA9A40E">
      <w:pPr>
        <w:jc w:val="left"/>
        <w:rPr>
          <w:rFonts w:ascii="宋体" w:hAnsi="宋体"/>
          <w:kern w:val="44"/>
        </w:rPr>
      </w:pPr>
    </w:p>
    <w:p w14:paraId="60543EB0">
      <w:pPr>
        <w:ind w:firstLine="422"/>
        <w:jc w:val="left"/>
        <w:rPr>
          <w:rFonts w:ascii="宋体" w:hAnsi="宋体"/>
          <w:kern w:val="44"/>
        </w:rPr>
      </w:pPr>
      <w:r>
        <w:rPr>
          <w:rFonts w:hint="eastAsia" w:ascii="宋体" w:hAnsi="宋体"/>
          <w:b/>
          <w:kern w:val="44"/>
        </w:rPr>
        <w:t>第十五条</w:t>
      </w:r>
      <w:r>
        <w:rPr>
          <w:rFonts w:hint="eastAsia" w:ascii="宋体" w:hAnsi="宋体"/>
          <w:kern w:val="44"/>
        </w:rPr>
        <w:t>　公民申请法律援助的事项属于诉讼事项的，向有管辖权的人民法院所在地的法律援助机构提出；属于侦查或者审查起诉阶段刑事案件的，向办理案件的公安机关或者人民检察院所在地的法律援助机构提出。</w:t>
      </w:r>
    </w:p>
    <w:p w14:paraId="35F43781">
      <w:pPr>
        <w:jc w:val="left"/>
        <w:rPr>
          <w:rFonts w:ascii="宋体" w:hAnsi="宋体"/>
          <w:kern w:val="44"/>
        </w:rPr>
      </w:pPr>
      <w:r>
        <w:rPr>
          <w:rFonts w:hint="eastAsia" w:ascii="宋体" w:hAnsi="宋体"/>
          <w:kern w:val="44"/>
        </w:rPr>
        <w:t>公民申请法律援助的事项属于非诉讼法律事务的，向有权处理机关所在地、申请人住所地或者事项发生地的法律援助机构提出。</w:t>
      </w:r>
    </w:p>
    <w:p w14:paraId="364BD5A2">
      <w:pPr>
        <w:jc w:val="left"/>
        <w:rPr>
          <w:rFonts w:ascii="宋体" w:hAnsi="宋体"/>
          <w:kern w:val="44"/>
        </w:rPr>
      </w:pPr>
      <w:r>
        <w:rPr>
          <w:rFonts w:hint="eastAsia" w:ascii="宋体" w:hAnsi="宋体"/>
          <w:kern w:val="44"/>
        </w:rPr>
        <w:t>按照第一款、第二款规定，两个以上法律援助机构都可以受理申请的，申请人应当向其中一个法律援助机构提出申请。申请人就同一事项向两个以上法律援助机构提出申请的，由最先收到申请的法律援助机构受理。</w:t>
      </w:r>
    </w:p>
    <w:p w14:paraId="18288068">
      <w:pPr>
        <w:ind w:firstLine="422"/>
        <w:jc w:val="left"/>
        <w:rPr>
          <w:rFonts w:ascii="宋体" w:hAnsi="宋体"/>
          <w:kern w:val="44"/>
        </w:rPr>
      </w:pPr>
      <w:r>
        <w:rPr>
          <w:rFonts w:hint="eastAsia" w:ascii="宋体" w:hAnsi="宋体"/>
          <w:b/>
          <w:kern w:val="44"/>
        </w:rPr>
        <w:t>第十六条</w:t>
      </w:r>
      <w:r>
        <w:rPr>
          <w:rFonts w:hint="eastAsia" w:ascii="宋体" w:hAnsi="宋体"/>
          <w:kern w:val="44"/>
        </w:rPr>
        <w:t>　申请人为无民事行为能力人或者限制民事行为能力人的，由其法定代理人、住所地居民委员会或者村民委员会以及法律、法规规定的其他组织、人员代为申请法律援助。</w:t>
      </w:r>
    </w:p>
    <w:p w14:paraId="5F7D5814">
      <w:pPr>
        <w:ind w:firstLine="422"/>
        <w:jc w:val="left"/>
        <w:rPr>
          <w:rFonts w:ascii="宋体" w:hAnsi="宋体"/>
          <w:kern w:val="44"/>
        </w:rPr>
      </w:pPr>
      <w:r>
        <w:rPr>
          <w:rFonts w:hint="eastAsia" w:ascii="宋体" w:hAnsi="宋体"/>
          <w:b/>
          <w:kern w:val="44"/>
        </w:rPr>
        <w:t>第十七条</w:t>
      </w:r>
      <w:r>
        <w:rPr>
          <w:rFonts w:hint="eastAsia" w:ascii="宋体" w:hAnsi="宋体"/>
          <w:kern w:val="44"/>
        </w:rPr>
        <w:t>　被羁押的犯罪嫌疑人、被告人、服刑人员申请法律援助的，可以通过公安机关、人民检察院、人民法院或者监狱管理机关向法律援助机构提出。</w:t>
      </w:r>
    </w:p>
    <w:p w14:paraId="5ACC5803">
      <w:pPr>
        <w:jc w:val="left"/>
        <w:rPr>
          <w:rFonts w:ascii="宋体" w:hAnsi="宋体"/>
          <w:kern w:val="44"/>
        </w:rPr>
      </w:pPr>
      <w:r>
        <w:rPr>
          <w:rFonts w:hint="eastAsia" w:ascii="宋体" w:hAnsi="宋体"/>
          <w:kern w:val="44"/>
        </w:rPr>
        <w:t>公安机关、人民检察院、人民法院或者监狱管理机关收到被羁押的犯罪嫌疑人、被告人、服刑人员提出的法律援助申请后，应当在24小时内转交所在地的法律援助机构。</w:t>
      </w:r>
    </w:p>
    <w:p w14:paraId="3624F038">
      <w:pPr>
        <w:ind w:firstLine="422"/>
        <w:jc w:val="left"/>
        <w:rPr>
          <w:rFonts w:ascii="宋体" w:hAnsi="宋体"/>
          <w:kern w:val="44"/>
        </w:rPr>
      </w:pPr>
      <w:r>
        <w:rPr>
          <w:rFonts w:hint="eastAsia" w:ascii="宋体" w:hAnsi="宋体"/>
          <w:b/>
          <w:kern w:val="44"/>
        </w:rPr>
        <w:t>第十八条</w:t>
      </w:r>
      <w:r>
        <w:rPr>
          <w:rFonts w:hint="eastAsia" w:ascii="宋体" w:hAnsi="宋体"/>
          <w:kern w:val="44"/>
        </w:rPr>
        <w:t xml:space="preserve">  申请法律援助应当以书面形式提出，并填写申请表。以书面形式提出确有困难的，可以口头申请，由法律援助机构工作人员或者代为转交申请的有关机构工作人员作出书面记录。</w:t>
      </w:r>
    </w:p>
    <w:p w14:paraId="60BAF230">
      <w:pPr>
        <w:jc w:val="left"/>
        <w:rPr>
          <w:rFonts w:ascii="宋体" w:hAnsi="宋体"/>
          <w:kern w:val="44"/>
        </w:rPr>
      </w:pPr>
      <w:r>
        <w:rPr>
          <w:rFonts w:hint="eastAsia" w:ascii="宋体" w:hAnsi="宋体"/>
          <w:kern w:val="44"/>
        </w:rPr>
        <w:t>申请法律援助应当提供下列材料：</w:t>
      </w:r>
    </w:p>
    <w:p w14:paraId="1BAAB30F">
      <w:pPr>
        <w:jc w:val="left"/>
        <w:rPr>
          <w:rFonts w:ascii="宋体" w:hAnsi="宋体"/>
          <w:kern w:val="44"/>
        </w:rPr>
      </w:pPr>
      <w:r>
        <w:rPr>
          <w:rFonts w:hint="eastAsia" w:ascii="宋体" w:hAnsi="宋体"/>
          <w:kern w:val="44"/>
        </w:rPr>
        <w:t>（一）身份证或者其他有效的身份证明，代理申请人还应当提交有代理权的证明；</w:t>
      </w:r>
    </w:p>
    <w:p w14:paraId="4E263EB1">
      <w:pPr>
        <w:jc w:val="left"/>
        <w:rPr>
          <w:rFonts w:ascii="宋体" w:hAnsi="宋体"/>
          <w:kern w:val="44"/>
        </w:rPr>
      </w:pPr>
      <w:r>
        <w:rPr>
          <w:rFonts w:hint="eastAsia" w:ascii="宋体" w:hAnsi="宋体"/>
          <w:kern w:val="44"/>
        </w:rPr>
        <w:t>（二）经济困难证明；</w:t>
      </w:r>
    </w:p>
    <w:p w14:paraId="2F627A40">
      <w:pPr>
        <w:jc w:val="left"/>
        <w:rPr>
          <w:rFonts w:ascii="宋体" w:hAnsi="宋体"/>
          <w:kern w:val="44"/>
        </w:rPr>
      </w:pPr>
      <w:r>
        <w:rPr>
          <w:rFonts w:hint="eastAsia" w:ascii="宋体" w:hAnsi="宋体"/>
          <w:kern w:val="44"/>
        </w:rPr>
        <w:t>（三）与申请法律援助事项有关的案件材料。</w:t>
      </w:r>
    </w:p>
    <w:p w14:paraId="21E21556">
      <w:pPr>
        <w:jc w:val="left"/>
        <w:rPr>
          <w:rFonts w:ascii="宋体" w:hAnsi="宋体"/>
          <w:kern w:val="44"/>
        </w:rPr>
      </w:pPr>
      <w:r>
        <w:rPr>
          <w:rFonts w:hint="eastAsia" w:ascii="宋体" w:hAnsi="宋体"/>
          <w:kern w:val="44"/>
        </w:rPr>
        <w:t>经济困难证明由申请人住所地街道办事处、乡镇人民政府出具。经济困难证明应当包括申请人家庭人口状况、就业状况、家庭人均收入等信息。</w:t>
      </w:r>
    </w:p>
    <w:p w14:paraId="0591C011">
      <w:pPr>
        <w:ind w:firstLine="422"/>
        <w:jc w:val="left"/>
        <w:rPr>
          <w:rFonts w:ascii="宋体" w:hAnsi="宋体"/>
        </w:rPr>
      </w:pPr>
      <w:r>
        <w:rPr>
          <w:rFonts w:hint="eastAsia" w:ascii="宋体" w:hAnsi="宋体"/>
          <w:b/>
        </w:rPr>
        <w:t>第十九条</w:t>
      </w:r>
      <w:r>
        <w:rPr>
          <w:rFonts w:hint="eastAsia" w:ascii="宋体" w:hAnsi="宋体"/>
        </w:rPr>
        <w:t xml:space="preserve">  申请人能够证明有下列情形之一的，法律援助机构可以直接认定其经济困难，无需提供第十八条第二款规定的经济困难证明：</w:t>
      </w:r>
    </w:p>
    <w:p w14:paraId="05023B77">
      <w:pPr>
        <w:jc w:val="left"/>
        <w:rPr>
          <w:rFonts w:ascii="宋体" w:hAnsi="宋体"/>
          <w:kern w:val="44"/>
        </w:rPr>
      </w:pPr>
      <w:r>
        <w:rPr>
          <w:rFonts w:hint="eastAsia" w:ascii="宋体" w:hAnsi="宋体"/>
          <w:kern w:val="44"/>
        </w:rPr>
        <w:t>（一）属于农村五保供养对象的；</w:t>
      </w:r>
    </w:p>
    <w:p w14:paraId="3E123EFA">
      <w:pPr>
        <w:jc w:val="left"/>
        <w:rPr>
          <w:rFonts w:ascii="宋体" w:hAnsi="宋体"/>
          <w:kern w:val="44"/>
        </w:rPr>
      </w:pPr>
      <w:r>
        <w:rPr>
          <w:rFonts w:hint="eastAsia" w:ascii="宋体" w:hAnsi="宋体"/>
          <w:kern w:val="44"/>
        </w:rPr>
        <w:t>（二）领取最低生活保障金或者生活困难补助金的；</w:t>
      </w:r>
    </w:p>
    <w:p w14:paraId="5A5CE1CB">
      <w:pPr>
        <w:jc w:val="left"/>
        <w:rPr>
          <w:rFonts w:ascii="宋体" w:hAnsi="宋体"/>
          <w:kern w:val="44"/>
        </w:rPr>
      </w:pPr>
      <w:r>
        <w:rPr>
          <w:rFonts w:hint="eastAsia" w:ascii="宋体" w:hAnsi="宋体"/>
          <w:kern w:val="44"/>
        </w:rPr>
        <w:t>（三）在社会福利机构由政府供养的；</w:t>
      </w:r>
    </w:p>
    <w:p w14:paraId="37D488F3">
      <w:pPr>
        <w:jc w:val="left"/>
        <w:rPr>
          <w:rFonts w:ascii="宋体" w:hAnsi="宋体"/>
          <w:kern w:val="44"/>
        </w:rPr>
      </w:pPr>
      <w:r>
        <w:rPr>
          <w:rFonts w:hint="eastAsia" w:ascii="宋体" w:hAnsi="宋体"/>
          <w:kern w:val="44"/>
        </w:rPr>
        <w:t>（四）重度残疾或者患有重大疾病且无固定生活来源的；</w:t>
      </w:r>
    </w:p>
    <w:p w14:paraId="309938CC">
      <w:pPr>
        <w:jc w:val="left"/>
        <w:rPr>
          <w:rFonts w:ascii="宋体" w:hAnsi="宋体"/>
          <w:kern w:val="44"/>
        </w:rPr>
      </w:pPr>
      <w:r>
        <w:rPr>
          <w:rFonts w:hint="eastAsia" w:ascii="宋体" w:hAnsi="宋体"/>
          <w:kern w:val="44"/>
        </w:rPr>
        <w:t>（五）人民法院给予司法救助的。</w:t>
      </w:r>
    </w:p>
    <w:p w14:paraId="529088DD">
      <w:pPr>
        <w:ind w:firstLine="422"/>
        <w:jc w:val="left"/>
        <w:rPr>
          <w:rFonts w:ascii="宋体" w:hAnsi="宋体"/>
          <w:kern w:val="44"/>
        </w:rPr>
      </w:pPr>
      <w:r>
        <w:rPr>
          <w:rFonts w:hint="eastAsia" w:ascii="宋体" w:hAnsi="宋体"/>
          <w:b/>
          <w:kern w:val="44"/>
        </w:rPr>
        <w:t>第二十条</w:t>
      </w:r>
      <w:r>
        <w:rPr>
          <w:rFonts w:hint="eastAsia" w:ascii="宋体" w:hAnsi="宋体"/>
          <w:kern w:val="44"/>
        </w:rPr>
        <w:t>　法律援助机构收到法律援助申请后，应当进行审查。申请人提供的申请材料不齐全的，法律援助机构应当一次性告知申请人作出补充或者说明，申请人未按照要求补正的，视为撤回申请；对申请材料的真实性有疑问的，可以向有关组织或者个人调查，有关组织或者个人应当协助，不得收取费用。</w:t>
      </w:r>
    </w:p>
    <w:p w14:paraId="197A13ED">
      <w:pPr>
        <w:jc w:val="left"/>
        <w:rPr>
          <w:rFonts w:ascii="宋体" w:hAnsi="宋体"/>
          <w:kern w:val="44"/>
        </w:rPr>
      </w:pPr>
      <w:r>
        <w:rPr>
          <w:rFonts w:hint="eastAsia" w:ascii="宋体" w:hAnsi="宋体"/>
          <w:kern w:val="44"/>
        </w:rPr>
        <w:t>申请材料齐全、符合法定形式，或者申请人按照前款要求提交全部补正申请材料的，法律援助机构应当受理法律援助申请。</w:t>
      </w:r>
    </w:p>
    <w:p w14:paraId="2FFED128">
      <w:pPr>
        <w:ind w:firstLine="422"/>
        <w:jc w:val="left"/>
        <w:rPr>
          <w:rFonts w:ascii="宋体" w:hAnsi="宋体"/>
          <w:kern w:val="44"/>
        </w:rPr>
      </w:pPr>
      <w:r>
        <w:rPr>
          <w:rFonts w:hint="eastAsia" w:ascii="宋体" w:hAnsi="宋体"/>
          <w:b/>
          <w:kern w:val="44"/>
        </w:rPr>
        <w:t>第二十一条</w:t>
      </w:r>
      <w:r>
        <w:rPr>
          <w:rFonts w:hint="eastAsia" w:ascii="宋体" w:hAnsi="宋体"/>
          <w:kern w:val="44"/>
        </w:rPr>
        <w:t>　法律援助机构应当自受理法律援助申请之日起5个工作日内完成审查并作出是否提供法律援助的决定。</w:t>
      </w:r>
    </w:p>
    <w:p w14:paraId="1EAB75A6">
      <w:pPr>
        <w:jc w:val="left"/>
        <w:rPr>
          <w:rFonts w:ascii="宋体" w:hAnsi="宋体"/>
          <w:kern w:val="44"/>
        </w:rPr>
      </w:pPr>
      <w:r>
        <w:rPr>
          <w:rFonts w:hint="eastAsia" w:ascii="宋体" w:hAnsi="宋体"/>
          <w:kern w:val="44"/>
        </w:rPr>
        <w:t>对符合法律援助条件的，法律援助机构应当作出提供法律援助的书面决定，指派法律援助服务机构安排法律援助人员办理法律援助，也可以安排本机构工作人员办理。法律援助机构应当与受援人签订法律援助协议，明确双方的权利和义务。</w:t>
      </w:r>
    </w:p>
    <w:p w14:paraId="03EA19BC">
      <w:pPr>
        <w:jc w:val="left"/>
        <w:rPr>
          <w:rFonts w:ascii="宋体" w:hAnsi="宋体"/>
          <w:kern w:val="44"/>
        </w:rPr>
      </w:pPr>
      <w:r>
        <w:rPr>
          <w:rFonts w:hint="eastAsia" w:ascii="宋体" w:hAnsi="宋体"/>
          <w:kern w:val="44"/>
        </w:rPr>
        <w:t>对不符合法律援助条件的，应当作出不提供法律援助的书面决定并说明理由。</w:t>
      </w:r>
    </w:p>
    <w:p w14:paraId="0F936F8F">
      <w:pPr>
        <w:ind w:firstLine="422"/>
        <w:jc w:val="left"/>
        <w:rPr>
          <w:rFonts w:ascii="宋体" w:hAnsi="宋体"/>
          <w:kern w:val="44"/>
        </w:rPr>
      </w:pPr>
      <w:r>
        <w:rPr>
          <w:rFonts w:hint="eastAsia" w:ascii="宋体" w:hAnsi="宋体"/>
          <w:b/>
          <w:kern w:val="44"/>
        </w:rPr>
        <w:t>第二十二条</w:t>
      </w:r>
      <w:r>
        <w:rPr>
          <w:rFonts w:hint="eastAsia" w:ascii="宋体" w:hAnsi="宋体"/>
          <w:kern w:val="44"/>
        </w:rPr>
        <w:t>　因下列情形之一不能提供法律援助的，法律援助机构应当向申请人说明：</w:t>
      </w:r>
    </w:p>
    <w:p w14:paraId="6292FB75">
      <w:pPr>
        <w:jc w:val="left"/>
        <w:rPr>
          <w:rFonts w:ascii="宋体" w:hAnsi="宋体"/>
          <w:kern w:val="44"/>
        </w:rPr>
      </w:pPr>
      <w:r>
        <w:rPr>
          <w:rFonts w:hint="eastAsia" w:ascii="宋体" w:hAnsi="宋体"/>
          <w:kern w:val="44"/>
        </w:rPr>
        <w:t>（一）申请事项不属于人民法院或者其他非诉讼事务处理机构受理范围的；</w:t>
      </w:r>
    </w:p>
    <w:p w14:paraId="2D65C5B4">
      <w:pPr>
        <w:jc w:val="left"/>
        <w:rPr>
          <w:rFonts w:ascii="宋体" w:hAnsi="宋体"/>
          <w:kern w:val="44"/>
        </w:rPr>
      </w:pPr>
      <w:r>
        <w:rPr>
          <w:rFonts w:hint="eastAsia" w:ascii="宋体" w:hAnsi="宋体"/>
          <w:kern w:val="44"/>
        </w:rPr>
        <w:t>（二）申请相对人不明确的；</w:t>
      </w:r>
    </w:p>
    <w:p w14:paraId="2C7F43A1">
      <w:pPr>
        <w:jc w:val="left"/>
        <w:rPr>
          <w:rFonts w:ascii="宋体" w:hAnsi="宋体"/>
          <w:kern w:val="44"/>
        </w:rPr>
      </w:pPr>
      <w:r>
        <w:rPr>
          <w:rFonts w:hint="eastAsia" w:ascii="宋体" w:hAnsi="宋体"/>
          <w:kern w:val="44"/>
        </w:rPr>
        <w:t>（三）法律援助事项已审结或者处理完毕，申请人以同一事实和理由再次申请法律援助的；</w:t>
      </w:r>
    </w:p>
    <w:p w14:paraId="0CF29A8A">
      <w:pPr>
        <w:jc w:val="left"/>
        <w:rPr>
          <w:rFonts w:ascii="宋体" w:hAnsi="宋体"/>
          <w:kern w:val="44"/>
        </w:rPr>
      </w:pPr>
      <w:r>
        <w:rPr>
          <w:rFonts w:hint="eastAsia" w:ascii="宋体" w:hAnsi="宋体"/>
          <w:kern w:val="44"/>
        </w:rPr>
        <w:t>（四）法律、法规规定不能提供法律援助的其他情形。</w:t>
      </w:r>
    </w:p>
    <w:p w14:paraId="75FAD6EE">
      <w:pPr>
        <w:ind w:firstLine="422"/>
        <w:jc w:val="left"/>
        <w:rPr>
          <w:rFonts w:ascii="宋体" w:hAnsi="宋体"/>
          <w:kern w:val="44"/>
        </w:rPr>
      </w:pPr>
      <w:r>
        <w:rPr>
          <w:rFonts w:hint="eastAsia" w:ascii="宋体" w:hAnsi="宋体"/>
          <w:b/>
          <w:kern w:val="44"/>
        </w:rPr>
        <w:t>第二十三条</w:t>
      </w:r>
      <w:r>
        <w:rPr>
          <w:rFonts w:hint="eastAsia" w:ascii="宋体" w:hAnsi="宋体"/>
          <w:kern w:val="44"/>
        </w:rPr>
        <w:t>　申请人可以撤回法律援助申请。申请人撤回申请后就同一事项再次申请法律援助的，法律援助机构不予受理，但能够证明撤回申请违背申请人真实意思表示的除外。</w:t>
      </w:r>
    </w:p>
    <w:p w14:paraId="647A6AC9">
      <w:pPr>
        <w:ind w:firstLine="422"/>
        <w:jc w:val="left"/>
        <w:rPr>
          <w:rFonts w:ascii="宋体" w:hAnsi="宋体"/>
          <w:kern w:val="44"/>
        </w:rPr>
      </w:pPr>
      <w:r>
        <w:rPr>
          <w:rFonts w:hint="eastAsia" w:ascii="宋体" w:hAnsi="宋体"/>
          <w:b/>
          <w:kern w:val="44"/>
        </w:rPr>
        <w:t>第二十四条</w:t>
      </w:r>
      <w:r>
        <w:rPr>
          <w:rFonts w:hint="eastAsia" w:ascii="宋体" w:hAnsi="宋体"/>
          <w:kern w:val="44"/>
        </w:rPr>
        <w:t>　申请人对法律援助机构作出的不提供法律援助的决定有异议的，可以自收到决定之日起15日内向确定或者组建该法律援助机构的司法行政部门申请复查。</w:t>
      </w:r>
    </w:p>
    <w:p w14:paraId="2BA0C84F">
      <w:pPr>
        <w:jc w:val="left"/>
        <w:rPr>
          <w:rFonts w:ascii="宋体" w:hAnsi="宋体"/>
          <w:kern w:val="44"/>
        </w:rPr>
      </w:pPr>
      <w:r>
        <w:rPr>
          <w:rFonts w:hint="eastAsia" w:ascii="宋体" w:hAnsi="宋体"/>
          <w:kern w:val="44"/>
        </w:rPr>
        <w:t>司法行政部门应当自收到复查申请之日起5个工作日内完成复查。经复查认为符合法律援助条件的，应当以书面形式责令法律援助机构及时提供法律援助，并通知申请人；认为不符合法律援助条件的，应当维持法律援助机构的决定，并将理由告知申请人。</w:t>
      </w:r>
    </w:p>
    <w:p w14:paraId="2C2E8C60">
      <w:pPr>
        <w:jc w:val="left"/>
        <w:rPr>
          <w:rFonts w:ascii="宋体" w:hAnsi="宋体"/>
          <w:kern w:val="44"/>
        </w:rPr>
      </w:pPr>
    </w:p>
    <w:p w14:paraId="26E2A144">
      <w:pPr>
        <w:ind w:firstLine="0" w:firstLineChars="0"/>
        <w:jc w:val="center"/>
        <w:rPr>
          <w:rFonts w:ascii="宋体" w:hAnsi="宋体"/>
          <w:b/>
          <w:kern w:val="44"/>
          <w:sz w:val="28"/>
        </w:rPr>
      </w:pPr>
      <w:r>
        <w:rPr>
          <w:rFonts w:hint="eastAsia" w:ascii="宋体" w:hAnsi="宋体"/>
          <w:b/>
          <w:kern w:val="44"/>
          <w:sz w:val="28"/>
        </w:rPr>
        <w:t>第四章　法律援助实施</w:t>
      </w:r>
    </w:p>
    <w:p w14:paraId="3F70B03C">
      <w:pPr>
        <w:jc w:val="left"/>
        <w:rPr>
          <w:rFonts w:ascii="宋体" w:hAnsi="宋体"/>
          <w:kern w:val="44"/>
        </w:rPr>
      </w:pPr>
    </w:p>
    <w:p w14:paraId="67B91954">
      <w:pPr>
        <w:ind w:firstLine="422"/>
        <w:jc w:val="left"/>
        <w:rPr>
          <w:rFonts w:ascii="宋体" w:hAnsi="宋体"/>
          <w:kern w:val="44"/>
        </w:rPr>
      </w:pPr>
      <w:r>
        <w:rPr>
          <w:rFonts w:hint="eastAsia" w:ascii="宋体" w:hAnsi="宋体"/>
          <w:b/>
          <w:kern w:val="44"/>
        </w:rPr>
        <w:t>第二十五条</w:t>
      </w:r>
      <w:r>
        <w:rPr>
          <w:rFonts w:hint="eastAsia" w:ascii="宋体" w:hAnsi="宋体"/>
          <w:kern w:val="44"/>
        </w:rPr>
        <w:t>　法律援助可以采取下列形式：</w:t>
      </w:r>
    </w:p>
    <w:p w14:paraId="3A2F82A6">
      <w:pPr>
        <w:jc w:val="left"/>
        <w:rPr>
          <w:rFonts w:ascii="宋体" w:hAnsi="宋体"/>
          <w:kern w:val="44"/>
        </w:rPr>
      </w:pPr>
      <w:r>
        <w:rPr>
          <w:rFonts w:hint="eastAsia" w:ascii="宋体" w:hAnsi="宋体"/>
          <w:kern w:val="44"/>
        </w:rPr>
        <w:t>（一）解答法律咨询、代拟法律文书；</w:t>
      </w:r>
    </w:p>
    <w:p w14:paraId="130E59A7">
      <w:pPr>
        <w:jc w:val="left"/>
        <w:rPr>
          <w:rFonts w:ascii="宋体" w:hAnsi="宋体"/>
          <w:kern w:val="44"/>
        </w:rPr>
      </w:pPr>
      <w:r>
        <w:rPr>
          <w:rFonts w:hint="eastAsia" w:ascii="宋体" w:hAnsi="宋体"/>
          <w:kern w:val="44"/>
        </w:rPr>
        <w:t>（二）刑事辩护、刑事代理；</w:t>
      </w:r>
    </w:p>
    <w:p w14:paraId="11D345D2">
      <w:pPr>
        <w:jc w:val="left"/>
        <w:rPr>
          <w:rFonts w:ascii="宋体" w:hAnsi="宋体"/>
          <w:kern w:val="44"/>
        </w:rPr>
      </w:pPr>
      <w:r>
        <w:rPr>
          <w:rFonts w:hint="eastAsia" w:ascii="宋体" w:hAnsi="宋体"/>
          <w:kern w:val="44"/>
        </w:rPr>
        <w:t>（三）民事、行政诉讼代理；</w:t>
      </w:r>
    </w:p>
    <w:p w14:paraId="72475738">
      <w:pPr>
        <w:jc w:val="left"/>
        <w:rPr>
          <w:rFonts w:ascii="宋体" w:hAnsi="宋体"/>
          <w:kern w:val="44"/>
        </w:rPr>
      </w:pPr>
      <w:r>
        <w:rPr>
          <w:rFonts w:hint="eastAsia" w:ascii="宋体" w:hAnsi="宋体"/>
          <w:kern w:val="44"/>
        </w:rPr>
        <w:t>（四）行政复议代理，劳动、人事争议仲裁代理和其他非诉讼法律事务代理；</w:t>
      </w:r>
    </w:p>
    <w:p w14:paraId="4F4B7550">
      <w:pPr>
        <w:jc w:val="left"/>
        <w:rPr>
          <w:rFonts w:ascii="宋体" w:hAnsi="宋体"/>
          <w:kern w:val="44"/>
        </w:rPr>
      </w:pPr>
      <w:r>
        <w:rPr>
          <w:rFonts w:hint="eastAsia" w:ascii="宋体" w:hAnsi="宋体"/>
          <w:kern w:val="44"/>
        </w:rPr>
        <w:t>（五）法律、法规规定的其他法律援助形式。</w:t>
      </w:r>
    </w:p>
    <w:p w14:paraId="7D1C9C18">
      <w:pPr>
        <w:ind w:firstLine="422"/>
        <w:jc w:val="left"/>
        <w:rPr>
          <w:rFonts w:ascii="宋体" w:hAnsi="宋体"/>
          <w:kern w:val="44"/>
        </w:rPr>
      </w:pPr>
      <w:r>
        <w:rPr>
          <w:rFonts w:hint="eastAsia" w:ascii="宋体" w:hAnsi="宋体"/>
          <w:b/>
          <w:kern w:val="44"/>
        </w:rPr>
        <w:t>第二十六条</w:t>
      </w:r>
      <w:r>
        <w:rPr>
          <w:rFonts w:hint="eastAsia" w:ascii="宋体" w:hAnsi="宋体"/>
          <w:kern w:val="44"/>
        </w:rPr>
        <w:t>　由人民法院指定辩护的案件，人民法院应当在开庭10日前将指定辩护通知书和起诉书副本或者判决书副本送交其所在地的法律援助机构。</w:t>
      </w:r>
    </w:p>
    <w:p w14:paraId="04DF6C1E">
      <w:pPr>
        <w:jc w:val="left"/>
        <w:rPr>
          <w:rFonts w:ascii="宋体" w:hAnsi="宋体"/>
          <w:kern w:val="44"/>
        </w:rPr>
      </w:pPr>
      <w:r>
        <w:rPr>
          <w:rFonts w:hint="eastAsia" w:ascii="宋体" w:hAnsi="宋体"/>
          <w:kern w:val="44"/>
        </w:rPr>
        <w:t>法律援助机构应当及时将与案件有关的材料转交法律援助服务机构，并在人民法院开庭3日前，将确定的承办人员名单告知作出指定的人民法院。</w:t>
      </w:r>
    </w:p>
    <w:p w14:paraId="60E495FF">
      <w:pPr>
        <w:ind w:firstLine="422"/>
        <w:jc w:val="left"/>
        <w:rPr>
          <w:rFonts w:ascii="宋体" w:hAnsi="宋体"/>
          <w:kern w:val="44"/>
        </w:rPr>
      </w:pPr>
      <w:r>
        <w:rPr>
          <w:rFonts w:hint="eastAsia" w:ascii="宋体" w:hAnsi="宋体"/>
          <w:b/>
          <w:kern w:val="44"/>
        </w:rPr>
        <w:t>第二十七条</w:t>
      </w:r>
      <w:r>
        <w:rPr>
          <w:rFonts w:hint="eastAsia" w:ascii="宋体" w:hAnsi="宋体"/>
          <w:kern w:val="44"/>
        </w:rPr>
        <w:t>　法律援助机构提供法律援助的诉讼案件，受援人向人民法院提起诉讼的，人民法院应当缓收诉讼费。</w:t>
      </w:r>
    </w:p>
    <w:p w14:paraId="7E8C052E">
      <w:pPr>
        <w:jc w:val="left"/>
        <w:rPr>
          <w:rFonts w:ascii="宋体" w:hAnsi="宋体"/>
          <w:kern w:val="44"/>
        </w:rPr>
      </w:pPr>
      <w:r>
        <w:rPr>
          <w:rFonts w:hint="eastAsia" w:ascii="宋体" w:hAnsi="宋体"/>
          <w:kern w:val="44"/>
        </w:rPr>
        <w:t>人民法院判决受援人胜诉的，诉讼费应当由对方当事人负担；判决受援人败诉的，人民法院根据受援人的经济状况决定减收、免收诉讼费。</w:t>
      </w:r>
    </w:p>
    <w:p w14:paraId="43A0647E">
      <w:pPr>
        <w:ind w:firstLine="422"/>
        <w:jc w:val="left"/>
        <w:rPr>
          <w:rFonts w:ascii="宋体" w:hAnsi="宋体"/>
          <w:kern w:val="44"/>
        </w:rPr>
      </w:pPr>
      <w:r>
        <w:rPr>
          <w:rFonts w:hint="eastAsia" w:ascii="宋体" w:hAnsi="宋体"/>
          <w:b/>
          <w:kern w:val="44"/>
        </w:rPr>
        <w:t>第二十八条</w:t>
      </w:r>
      <w:r>
        <w:rPr>
          <w:rFonts w:hint="eastAsia" w:ascii="宋体" w:hAnsi="宋体"/>
          <w:kern w:val="44"/>
        </w:rPr>
        <w:t>　法律援助人员在办理法律援助案件时，凭法律援助公函利用档案资料、调查取证，国家机关、事业单位等组织应当予以协助。</w:t>
      </w:r>
    </w:p>
    <w:p w14:paraId="4BEA5646">
      <w:pPr>
        <w:jc w:val="left"/>
        <w:rPr>
          <w:rFonts w:ascii="宋体" w:hAnsi="宋体"/>
          <w:kern w:val="44"/>
        </w:rPr>
      </w:pPr>
      <w:r>
        <w:rPr>
          <w:rFonts w:hint="eastAsia" w:ascii="宋体" w:hAnsi="宋体"/>
          <w:kern w:val="44"/>
        </w:rPr>
        <w:t>受援人在接受法律援助过程中所涉及的诉讼费、公证费、鉴定费以及法律援助人员在办案中查阅档案资料、从事调查取证活动所涉及的相关费用，按照国家规定予以免收、减收或者缓收。</w:t>
      </w:r>
    </w:p>
    <w:p w14:paraId="6FF301B4">
      <w:pPr>
        <w:ind w:firstLine="422"/>
        <w:jc w:val="left"/>
        <w:rPr>
          <w:rFonts w:ascii="宋体" w:hAnsi="宋体"/>
          <w:kern w:val="44"/>
        </w:rPr>
      </w:pPr>
      <w:r>
        <w:rPr>
          <w:rFonts w:hint="eastAsia" w:ascii="宋体" w:hAnsi="宋体"/>
          <w:b/>
          <w:kern w:val="44"/>
        </w:rPr>
        <w:t>第二十九条</w:t>
      </w:r>
      <w:r>
        <w:rPr>
          <w:rFonts w:hint="eastAsia" w:ascii="宋体" w:hAnsi="宋体"/>
          <w:kern w:val="44"/>
        </w:rPr>
        <w:t>　有下列情形之一的，法律援助机构可以先行提供法律援助：</w:t>
      </w:r>
    </w:p>
    <w:p w14:paraId="2389458A">
      <w:pPr>
        <w:jc w:val="left"/>
        <w:rPr>
          <w:rFonts w:ascii="宋体" w:hAnsi="宋体"/>
          <w:kern w:val="44"/>
        </w:rPr>
      </w:pPr>
      <w:r>
        <w:rPr>
          <w:rFonts w:hint="eastAsia" w:ascii="宋体" w:hAnsi="宋体"/>
          <w:kern w:val="44"/>
        </w:rPr>
        <w:t>（一）不及时提供法律援助可能使当事人面临重大人身或者财产危险的；</w:t>
      </w:r>
    </w:p>
    <w:p w14:paraId="5889EF7F">
      <w:pPr>
        <w:jc w:val="left"/>
        <w:rPr>
          <w:rFonts w:ascii="宋体" w:hAnsi="宋体"/>
          <w:kern w:val="44"/>
        </w:rPr>
      </w:pPr>
      <w:r>
        <w:rPr>
          <w:rFonts w:hint="eastAsia" w:ascii="宋体" w:hAnsi="宋体"/>
          <w:kern w:val="44"/>
        </w:rPr>
        <w:t>（二）不及时提供法律援助可能会造成不良社会影响的；</w:t>
      </w:r>
    </w:p>
    <w:p w14:paraId="282B2CC2">
      <w:pPr>
        <w:jc w:val="left"/>
        <w:rPr>
          <w:rFonts w:ascii="宋体" w:hAnsi="宋体"/>
          <w:kern w:val="44"/>
        </w:rPr>
      </w:pPr>
      <w:r>
        <w:rPr>
          <w:rFonts w:hint="eastAsia" w:ascii="宋体" w:hAnsi="宋体"/>
          <w:kern w:val="44"/>
        </w:rPr>
        <w:t>（三）有其他紧急或者特殊情形的。</w:t>
      </w:r>
    </w:p>
    <w:p w14:paraId="4E86C210">
      <w:pPr>
        <w:jc w:val="left"/>
        <w:rPr>
          <w:rFonts w:ascii="宋体" w:hAnsi="宋体"/>
          <w:kern w:val="44"/>
        </w:rPr>
      </w:pPr>
      <w:r>
        <w:rPr>
          <w:rFonts w:hint="eastAsia" w:ascii="宋体" w:hAnsi="宋体"/>
          <w:kern w:val="44"/>
        </w:rPr>
        <w:t>法律援助机构发现先行提供法律援助的受援人不符合本条例规定的法律援助条件，应当终止法律援助。因先行提供法律援助而发生的费用，由受援人承担。</w:t>
      </w:r>
    </w:p>
    <w:p w14:paraId="4F3BC8E3">
      <w:pPr>
        <w:ind w:firstLine="422"/>
        <w:jc w:val="left"/>
        <w:rPr>
          <w:rFonts w:ascii="宋体" w:hAnsi="宋体"/>
          <w:kern w:val="44"/>
        </w:rPr>
      </w:pPr>
      <w:r>
        <w:rPr>
          <w:rFonts w:hint="eastAsia" w:ascii="宋体" w:hAnsi="宋体"/>
          <w:b/>
          <w:kern w:val="44"/>
        </w:rPr>
        <w:t>第三十条</w:t>
      </w:r>
      <w:r>
        <w:rPr>
          <w:rFonts w:hint="eastAsia" w:ascii="宋体" w:hAnsi="宋体"/>
          <w:kern w:val="44"/>
        </w:rPr>
        <w:t>　发现下列情形之一的，法律援助人员应当向作出提供法律援助决定的法律援助机构报告，法律援助机构经审查核实，应当终止法律援助：</w:t>
      </w:r>
    </w:p>
    <w:p w14:paraId="297859DA">
      <w:pPr>
        <w:jc w:val="left"/>
        <w:rPr>
          <w:rFonts w:ascii="宋体" w:hAnsi="宋体"/>
          <w:kern w:val="44"/>
        </w:rPr>
      </w:pPr>
      <w:r>
        <w:rPr>
          <w:rFonts w:hint="eastAsia" w:ascii="宋体" w:hAnsi="宋体"/>
          <w:kern w:val="44"/>
        </w:rPr>
        <w:t>（一）以欺骗、隐瞒事实或者其他不正当手段获得法律援助的；</w:t>
      </w:r>
    </w:p>
    <w:p w14:paraId="1F373954">
      <w:pPr>
        <w:jc w:val="left"/>
        <w:rPr>
          <w:rFonts w:ascii="宋体" w:hAnsi="宋体"/>
          <w:kern w:val="44"/>
        </w:rPr>
      </w:pPr>
      <w:r>
        <w:rPr>
          <w:rFonts w:hint="eastAsia" w:ascii="宋体" w:hAnsi="宋体"/>
          <w:kern w:val="44"/>
        </w:rPr>
        <w:t>（二）受援人的经济状况发生变化，不再符合法律援助条件的；</w:t>
      </w:r>
    </w:p>
    <w:p w14:paraId="0C724131">
      <w:pPr>
        <w:jc w:val="left"/>
        <w:rPr>
          <w:rFonts w:ascii="宋体" w:hAnsi="宋体"/>
          <w:kern w:val="44"/>
        </w:rPr>
      </w:pPr>
      <w:r>
        <w:rPr>
          <w:rFonts w:hint="eastAsia" w:ascii="宋体" w:hAnsi="宋体"/>
          <w:kern w:val="44"/>
        </w:rPr>
        <w:t>（三）案件终止审理或者已被撤销的；</w:t>
      </w:r>
    </w:p>
    <w:p w14:paraId="6E77ABFF">
      <w:pPr>
        <w:jc w:val="left"/>
        <w:rPr>
          <w:rFonts w:ascii="宋体" w:hAnsi="宋体"/>
          <w:kern w:val="44"/>
        </w:rPr>
      </w:pPr>
      <w:r>
        <w:rPr>
          <w:rFonts w:hint="eastAsia" w:ascii="宋体" w:hAnsi="宋体"/>
          <w:kern w:val="44"/>
        </w:rPr>
        <w:t>（四）受援人另行委托律师或者其他代理人的；</w:t>
      </w:r>
    </w:p>
    <w:p w14:paraId="69F1A485">
      <w:pPr>
        <w:jc w:val="left"/>
        <w:rPr>
          <w:rFonts w:ascii="宋体" w:hAnsi="宋体"/>
          <w:kern w:val="44"/>
        </w:rPr>
      </w:pPr>
      <w:r>
        <w:rPr>
          <w:rFonts w:hint="eastAsia" w:ascii="宋体" w:hAnsi="宋体"/>
          <w:kern w:val="44"/>
        </w:rPr>
        <w:t>（五）受援人要求终止法律援助的；</w:t>
      </w:r>
    </w:p>
    <w:p w14:paraId="1A5AD7A9">
      <w:pPr>
        <w:jc w:val="left"/>
        <w:rPr>
          <w:rFonts w:ascii="宋体" w:hAnsi="宋体"/>
          <w:kern w:val="44"/>
        </w:rPr>
      </w:pPr>
      <w:r>
        <w:rPr>
          <w:rFonts w:hint="eastAsia" w:ascii="宋体" w:hAnsi="宋体"/>
          <w:kern w:val="44"/>
        </w:rPr>
        <w:t>（六）受援人违反法律援助协议，使协议难以继续履行的。</w:t>
      </w:r>
    </w:p>
    <w:p w14:paraId="0E273711">
      <w:pPr>
        <w:ind w:firstLine="422"/>
        <w:jc w:val="left"/>
        <w:rPr>
          <w:rFonts w:ascii="宋体" w:hAnsi="宋体"/>
          <w:kern w:val="44"/>
        </w:rPr>
      </w:pPr>
      <w:r>
        <w:rPr>
          <w:rFonts w:hint="eastAsia" w:ascii="宋体" w:hAnsi="宋体"/>
          <w:b/>
          <w:kern w:val="44"/>
        </w:rPr>
        <w:t>第三十一条</w:t>
      </w:r>
      <w:r>
        <w:rPr>
          <w:rFonts w:hint="eastAsia" w:ascii="宋体" w:hAnsi="宋体"/>
          <w:kern w:val="44"/>
        </w:rPr>
        <w:t>　法律援助人员应当恪守职业道德和执业纪律，依法实施法律援助，维护受援人的合法权益，并不得实施下列行为：</w:t>
      </w:r>
    </w:p>
    <w:p w14:paraId="7B84EABD">
      <w:pPr>
        <w:jc w:val="left"/>
        <w:rPr>
          <w:rFonts w:ascii="宋体" w:hAnsi="宋体"/>
          <w:kern w:val="44"/>
        </w:rPr>
      </w:pPr>
      <w:r>
        <w:rPr>
          <w:rFonts w:hint="eastAsia" w:ascii="宋体" w:hAnsi="宋体"/>
          <w:kern w:val="44"/>
        </w:rPr>
        <w:t>（一）无正当理由拒绝、拖延或者终止实施法律援助；</w:t>
      </w:r>
    </w:p>
    <w:p w14:paraId="7FDD049C">
      <w:pPr>
        <w:jc w:val="left"/>
        <w:rPr>
          <w:rFonts w:ascii="宋体" w:hAnsi="宋体"/>
          <w:kern w:val="44"/>
        </w:rPr>
      </w:pPr>
      <w:r>
        <w:rPr>
          <w:rFonts w:hint="eastAsia" w:ascii="宋体" w:hAnsi="宋体"/>
          <w:kern w:val="44"/>
        </w:rPr>
        <w:t>（二）向受援人收取财物或者牟取其他不正当利益；</w:t>
      </w:r>
    </w:p>
    <w:p w14:paraId="3DC326B5">
      <w:pPr>
        <w:jc w:val="left"/>
        <w:rPr>
          <w:rFonts w:ascii="宋体" w:hAnsi="宋体"/>
          <w:kern w:val="44"/>
        </w:rPr>
      </w:pPr>
      <w:r>
        <w:rPr>
          <w:rFonts w:hint="eastAsia" w:ascii="宋体" w:hAnsi="宋体"/>
          <w:kern w:val="44"/>
        </w:rPr>
        <w:t>（三）不及时向受援人通报法律援助进展情况；</w:t>
      </w:r>
    </w:p>
    <w:p w14:paraId="44E846D9">
      <w:pPr>
        <w:jc w:val="left"/>
        <w:rPr>
          <w:rFonts w:ascii="宋体" w:hAnsi="宋体"/>
          <w:kern w:val="44"/>
        </w:rPr>
      </w:pPr>
      <w:r>
        <w:rPr>
          <w:rFonts w:hint="eastAsia" w:ascii="宋体" w:hAnsi="宋体"/>
          <w:kern w:val="44"/>
        </w:rPr>
        <w:t>（四）泄露当事人的隐私。</w:t>
      </w:r>
    </w:p>
    <w:p w14:paraId="0DAA0E5A">
      <w:pPr>
        <w:ind w:firstLine="422"/>
        <w:jc w:val="left"/>
        <w:rPr>
          <w:rFonts w:ascii="宋体" w:hAnsi="宋体"/>
          <w:kern w:val="44"/>
        </w:rPr>
      </w:pPr>
      <w:r>
        <w:rPr>
          <w:rFonts w:hint="eastAsia" w:ascii="宋体" w:hAnsi="宋体"/>
          <w:b/>
          <w:kern w:val="44"/>
        </w:rPr>
        <w:t>第三十二条</w:t>
      </w:r>
      <w:r>
        <w:rPr>
          <w:rFonts w:hint="eastAsia" w:ascii="宋体" w:hAnsi="宋体"/>
          <w:kern w:val="44"/>
        </w:rPr>
        <w:t>　法律援助人员办结法律援助案件后应当制作结案报告，并按照归档规范将法律援助过程中形成的法律文书、资料归档，提交法律援助机构。</w:t>
      </w:r>
    </w:p>
    <w:p w14:paraId="1E9E9E38">
      <w:pPr>
        <w:jc w:val="left"/>
        <w:rPr>
          <w:rFonts w:ascii="宋体" w:hAnsi="宋体"/>
          <w:kern w:val="44"/>
        </w:rPr>
      </w:pPr>
      <w:r>
        <w:rPr>
          <w:rFonts w:hint="eastAsia" w:ascii="宋体" w:hAnsi="宋体"/>
          <w:kern w:val="44"/>
        </w:rPr>
        <w:t>法律援助机构收到前款规定的结案材料后，应当进行审查，经审查合格的，向法律援助人员支付办案补贴。</w:t>
      </w:r>
    </w:p>
    <w:p w14:paraId="7DD467EE">
      <w:pPr>
        <w:jc w:val="left"/>
        <w:rPr>
          <w:rFonts w:ascii="宋体" w:hAnsi="宋体"/>
          <w:kern w:val="44"/>
        </w:rPr>
      </w:pPr>
      <w:r>
        <w:rPr>
          <w:rFonts w:hint="eastAsia" w:ascii="宋体" w:hAnsi="宋体"/>
          <w:kern w:val="44"/>
        </w:rPr>
        <w:t>法律援助办案补贴的标准由市司法行政部门会同市财政部门，根据本市经济发展水平，参考法律援助机构办理各类法律援助案件的平均成本等因素核定，并可以根据需要调整。</w:t>
      </w:r>
    </w:p>
    <w:p w14:paraId="0763992F">
      <w:pPr>
        <w:ind w:firstLine="422"/>
        <w:jc w:val="left"/>
        <w:rPr>
          <w:rFonts w:ascii="宋体" w:hAnsi="宋体"/>
          <w:kern w:val="44"/>
        </w:rPr>
      </w:pPr>
      <w:r>
        <w:rPr>
          <w:rFonts w:hint="eastAsia" w:ascii="宋体" w:hAnsi="宋体"/>
          <w:b/>
          <w:kern w:val="44"/>
        </w:rPr>
        <w:t>第三十三条</w:t>
      </w:r>
      <w:r>
        <w:rPr>
          <w:rFonts w:hint="eastAsia" w:ascii="宋体" w:hAnsi="宋体"/>
          <w:kern w:val="44"/>
        </w:rPr>
        <w:t>　受援人有权向法律援助机构或者法律援助人员了解为其提供法律援助的进展情况；有事实证明法律援助人员不依法履行职责的，受援人可以要求更换。</w:t>
      </w:r>
    </w:p>
    <w:p w14:paraId="2B93BE7E">
      <w:pPr>
        <w:jc w:val="left"/>
        <w:rPr>
          <w:rFonts w:ascii="宋体" w:hAnsi="宋体"/>
          <w:kern w:val="44"/>
        </w:rPr>
      </w:pPr>
      <w:r>
        <w:rPr>
          <w:rFonts w:hint="eastAsia" w:ascii="宋体" w:hAnsi="宋体"/>
          <w:kern w:val="44"/>
        </w:rPr>
        <w:t>受援人应当如实陈述与法律援助案件有关的情况，及时提供相关证据材料，协助、配合法律援助机构和法律援助人员开展法律援助工作。</w:t>
      </w:r>
    </w:p>
    <w:p w14:paraId="6AE96E37">
      <w:pPr>
        <w:ind w:firstLine="422"/>
        <w:jc w:val="left"/>
        <w:rPr>
          <w:rFonts w:ascii="宋体" w:hAnsi="宋体"/>
          <w:kern w:val="44"/>
        </w:rPr>
      </w:pPr>
      <w:r>
        <w:rPr>
          <w:rFonts w:hint="eastAsia" w:ascii="宋体" w:hAnsi="宋体"/>
          <w:b/>
          <w:kern w:val="44"/>
        </w:rPr>
        <w:t>第三十四条</w:t>
      </w:r>
      <w:r>
        <w:rPr>
          <w:rFonts w:hint="eastAsia" w:ascii="宋体" w:hAnsi="宋体"/>
          <w:kern w:val="44"/>
        </w:rPr>
        <w:t>　法律援助机构应当采取多种形式将法律援助的条件、程序、期限和申请材料目录、申请示范文本等向社会公示。</w:t>
      </w:r>
    </w:p>
    <w:p w14:paraId="364272C4">
      <w:pPr>
        <w:ind w:firstLine="422"/>
        <w:jc w:val="left"/>
        <w:rPr>
          <w:rFonts w:ascii="宋体" w:hAnsi="宋体"/>
          <w:kern w:val="44"/>
        </w:rPr>
      </w:pPr>
      <w:r>
        <w:rPr>
          <w:rFonts w:hint="eastAsia" w:ascii="宋体" w:hAnsi="宋体"/>
          <w:b/>
          <w:kern w:val="44"/>
        </w:rPr>
        <w:t>第三十五条</w:t>
      </w:r>
      <w:r>
        <w:rPr>
          <w:rFonts w:hint="eastAsia" w:ascii="宋体" w:hAnsi="宋体"/>
          <w:kern w:val="44"/>
        </w:rPr>
        <w:t>　司法行政部门应当建立健全法律援助质量监督制度，制定办理法律援助案件的质量标准，开展法律援助服务质量检查和评估，并将检查和评估结果依法公开。</w:t>
      </w:r>
    </w:p>
    <w:p w14:paraId="19BFCFE2">
      <w:pPr>
        <w:jc w:val="left"/>
        <w:rPr>
          <w:rFonts w:ascii="宋体" w:hAnsi="宋体"/>
          <w:kern w:val="44"/>
        </w:rPr>
      </w:pPr>
    </w:p>
    <w:p w14:paraId="77263FD1">
      <w:pPr>
        <w:ind w:firstLine="0" w:firstLineChars="0"/>
        <w:jc w:val="center"/>
        <w:rPr>
          <w:rFonts w:ascii="宋体" w:hAnsi="宋体"/>
          <w:b/>
          <w:kern w:val="44"/>
          <w:sz w:val="28"/>
        </w:rPr>
      </w:pPr>
      <w:r>
        <w:rPr>
          <w:rFonts w:hint="eastAsia" w:ascii="宋体" w:hAnsi="宋体"/>
          <w:b/>
          <w:kern w:val="44"/>
          <w:sz w:val="28"/>
        </w:rPr>
        <w:t>第五章　法律责任</w:t>
      </w:r>
    </w:p>
    <w:p w14:paraId="7FE899BD">
      <w:pPr>
        <w:jc w:val="left"/>
        <w:rPr>
          <w:rFonts w:ascii="宋体" w:hAnsi="宋体"/>
          <w:kern w:val="44"/>
        </w:rPr>
      </w:pPr>
    </w:p>
    <w:p w14:paraId="55EF3026">
      <w:pPr>
        <w:ind w:firstLine="422"/>
        <w:jc w:val="left"/>
        <w:rPr>
          <w:rFonts w:ascii="宋体" w:hAnsi="宋体"/>
          <w:kern w:val="44"/>
        </w:rPr>
      </w:pPr>
      <w:r>
        <w:rPr>
          <w:rFonts w:hint="eastAsia" w:ascii="宋体" w:hAnsi="宋体"/>
          <w:b/>
          <w:kern w:val="44"/>
        </w:rPr>
        <w:t>第三十六条</w:t>
      </w:r>
      <w:r>
        <w:rPr>
          <w:rFonts w:hint="eastAsia" w:ascii="宋体" w:hAnsi="宋体"/>
          <w:kern w:val="44"/>
        </w:rPr>
        <w:t>　律师事务所拒绝法律援助机构的指派，不安排律师办理法律援助的，由司法行政部门给予警告、责令改正；情节严重的，给予1个月以上3个月以下停业整顿处罚。</w:t>
      </w:r>
    </w:p>
    <w:p w14:paraId="3B3389EA">
      <w:pPr>
        <w:ind w:firstLine="422"/>
        <w:jc w:val="left"/>
        <w:rPr>
          <w:rFonts w:ascii="宋体" w:hAnsi="宋体"/>
          <w:kern w:val="44"/>
        </w:rPr>
      </w:pPr>
      <w:r>
        <w:rPr>
          <w:rFonts w:hint="eastAsia" w:ascii="宋体" w:hAnsi="宋体"/>
          <w:b/>
          <w:kern w:val="44"/>
        </w:rPr>
        <w:t>第三十七条</w:t>
      </w:r>
      <w:r>
        <w:rPr>
          <w:rFonts w:hint="eastAsia" w:ascii="宋体" w:hAnsi="宋体"/>
          <w:kern w:val="44"/>
        </w:rPr>
        <w:t>　律师、基层法律服务工作者违反本条例第三十一条规定，由司法行政部门给予警告、责令改正；情节严重的，给予1个月以上3个月以下停止执业处罚。</w:t>
      </w:r>
    </w:p>
    <w:p w14:paraId="2E261EC4">
      <w:pPr>
        <w:jc w:val="left"/>
        <w:rPr>
          <w:rFonts w:ascii="宋体" w:hAnsi="宋体"/>
          <w:kern w:val="44"/>
        </w:rPr>
      </w:pPr>
      <w:r>
        <w:rPr>
          <w:rFonts w:hint="eastAsia" w:ascii="宋体" w:hAnsi="宋体"/>
          <w:kern w:val="44"/>
        </w:rPr>
        <w:t>有第三十一条第二项违法行为的，由司法行政部门责令退还违法所得的财物，并可处所收财物价值1倍以上3倍以下罚款。</w:t>
      </w:r>
    </w:p>
    <w:p w14:paraId="76E25D45">
      <w:pPr>
        <w:ind w:firstLine="422"/>
        <w:jc w:val="left"/>
        <w:rPr>
          <w:rFonts w:ascii="宋体" w:hAnsi="宋体"/>
          <w:kern w:val="44"/>
        </w:rPr>
      </w:pPr>
      <w:r>
        <w:rPr>
          <w:rFonts w:hint="eastAsia" w:ascii="宋体" w:hAnsi="宋体"/>
          <w:b/>
          <w:kern w:val="44"/>
        </w:rPr>
        <w:t>第三十八条</w:t>
      </w:r>
      <w:r>
        <w:rPr>
          <w:rFonts w:hint="eastAsia" w:ascii="宋体" w:hAnsi="宋体"/>
          <w:kern w:val="44"/>
        </w:rPr>
        <w:t>　违反本条例规定，国务院《法律援助条例》和其他有关法律、法规已规定法律责任的，依照其规定执行。</w:t>
      </w:r>
    </w:p>
    <w:p w14:paraId="50B8AF34">
      <w:pPr>
        <w:jc w:val="left"/>
        <w:rPr>
          <w:rFonts w:ascii="宋体" w:hAnsi="宋体"/>
          <w:kern w:val="44"/>
        </w:rPr>
      </w:pPr>
    </w:p>
    <w:p w14:paraId="4A5530CA">
      <w:pPr>
        <w:ind w:firstLine="0" w:firstLineChars="0"/>
        <w:jc w:val="center"/>
        <w:rPr>
          <w:rFonts w:ascii="宋体" w:hAnsi="宋体"/>
          <w:b/>
          <w:kern w:val="44"/>
          <w:sz w:val="28"/>
        </w:rPr>
      </w:pPr>
      <w:r>
        <w:rPr>
          <w:rFonts w:hint="eastAsia" w:ascii="宋体" w:hAnsi="宋体"/>
          <w:b/>
          <w:kern w:val="44"/>
          <w:sz w:val="28"/>
        </w:rPr>
        <w:t>第六章　附　则</w:t>
      </w:r>
    </w:p>
    <w:p w14:paraId="28B034BC">
      <w:pPr>
        <w:jc w:val="left"/>
        <w:rPr>
          <w:rFonts w:ascii="宋体" w:hAnsi="宋体"/>
          <w:kern w:val="44"/>
        </w:rPr>
      </w:pPr>
    </w:p>
    <w:p w14:paraId="128070B9">
      <w:pPr>
        <w:ind w:firstLine="422"/>
        <w:jc w:val="left"/>
        <w:rPr>
          <w:rFonts w:ascii="宋体" w:hAnsi="宋体"/>
          <w:kern w:val="44"/>
        </w:rPr>
      </w:pPr>
      <w:r>
        <w:rPr>
          <w:rFonts w:hint="eastAsia" w:ascii="宋体" w:hAnsi="宋体"/>
          <w:b/>
          <w:kern w:val="44"/>
        </w:rPr>
        <w:t>第三十九条</w:t>
      </w:r>
      <w:r>
        <w:rPr>
          <w:rFonts w:hint="eastAsia" w:ascii="宋体" w:hAnsi="宋体"/>
          <w:kern w:val="44"/>
        </w:rPr>
        <w:t>　本条例自2009年3月1日起施行。</w:t>
      </w:r>
    </w:p>
    <w:p w14:paraId="610DB57B">
      <w:pPr>
        <w:pStyle w:val="4"/>
        <w:pageBreakBefore/>
        <w:rPr>
          <w:kern w:val="44"/>
        </w:rPr>
      </w:pPr>
      <w:bookmarkStart w:id="329" w:name="_Toc422471113"/>
      <w:bookmarkStart w:id="330" w:name="_Toc427651428"/>
      <w:bookmarkStart w:id="331" w:name="_Toc428779994"/>
      <w:bookmarkStart w:id="332" w:name="_Toc428781476"/>
      <w:bookmarkStart w:id="333" w:name="_Toc427651770"/>
      <w:r>
        <w:rPr>
          <w:rFonts w:hint="eastAsia"/>
          <w:kern w:val="44"/>
        </w:rPr>
        <w:t>关于所外执行劳动教养</w:t>
      </w:r>
      <w:bookmarkEnd w:id="329"/>
      <w:bookmarkStart w:id="334" w:name="_Toc422471114"/>
      <w:r>
        <w:rPr>
          <w:rFonts w:hint="eastAsia"/>
          <w:kern w:val="44"/>
        </w:rPr>
        <w:t>的暂行规定</w:t>
      </w:r>
      <w:bookmarkEnd w:id="330"/>
      <w:bookmarkEnd w:id="331"/>
      <w:bookmarkEnd w:id="332"/>
      <w:bookmarkEnd w:id="333"/>
      <w:bookmarkEnd w:id="334"/>
    </w:p>
    <w:p w14:paraId="59A55D40">
      <w:pPr>
        <w:ind w:left="630" w:leftChars="300" w:right="630" w:rightChars="300"/>
        <w:jc w:val="center"/>
        <w:rPr>
          <w:rFonts w:ascii="楷体" w:hAnsi="楷体" w:eastAsia="楷体"/>
          <w:kern w:val="44"/>
        </w:rPr>
      </w:pPr>
      <w:r>
        <w:rPr>
          <w:rFonts w:hint="eastAsia" w:ascii="楷体" w:hAnsi="楷体" w:eastAsia="楷体"/>
          <w:kern w:val="44"/>
        </w:rPr>
        <w:t>（1984年6月22日北京市人民政府京政办发73号文件发布）</w:t>
      </w:r>
    </w:p>
    <w:p w14:paraId="0E8661A8">
      <w:pPr>
        <w:ind w:left="630" w:leftChars="300" w:right="630" w:rightChars="300"/>
        <w:jc w:val="left"/>
        <w:rPr>
          <w:rFonts w:ascii="楷体" w:hAnsi="楷体" w:eastAsia="楷体"/>
          <w:kern w:val="44"/>
        </w:rPr>
      </w:pPr>
    </w:p>
    <w:p w14:paraId="6E83D68F">
      <w:pPr>
        <w:jc w:val="left"/>
        <w:rPr>
          <w:rFonts w:ascii="宋体" w:hAnsi="宋体"/>
          <w:kern w:val="44"/>
        </w:rPr>
      </w:pPr>
      <w:r>
        <w:rPr>
          <w:rFonts w:hint="eastAsia" w:ascii="宋体" w:hAnsi="宋体"/>
          <w:kern w:val="44"/>
        </w:rPr>
        <w:t>根据国务院批转公安部《劳动教养试行办法》第十六条关于所外执行劳动教养的规定，结合本市具体情况，对所外执行劳动教养的有关问题，规定如下：</w:t>
      </w:r>
    </w:p>
    <w:p w14:paraId="0F2C22BF">
      <w:pPr>
        <w:ind w:firstLine="422"/>
        <w:rPr>
          <w:kern w:val="44"/>
        </w:rPr>
      </w:pPr>
      <w:r>
        <w:rPr>
          <w:rFonts w:hint="eastAsia"/>
          <w:b/>
          <w:kern w:val="44"/>
        </w:rPr>
        <w:t>一、</w:t>
      </w:r>
      <w:r>
        <w:rPr>
          <w:rFonts w:hint="eastAsia"/>
          <w:kern w:val="44"/>
        </w:rPr>
        <w:t>执行条件</w:t>
      </w:r>
    </w:p>
    <w:p w14:paraId="30C40F90">
      <w:pPr>
        <w:jc w:val="left"/>
        <w:rPr>
          <w:rFonts w:ascii="宋体" w:hAnsi="宋体"/>
          <w:kern w:val="44"/>
        </w:rPr>
      </w:pPr>
      <w:r>
        <w:rPr>
          <w:rFonts w:hint="eastAsia" w:ascii="宋体" w:hAnsi="宋体"/>
          <w:kern w:val="44"/>
        </w:rPr>
        <w:t>对违法犯罪被批准劳动教养的职工，具备下列条件之一的，经原单位同意，报请市劳动教养管理委员会批准，可以所外执行：</w:t>
      </w:r>
    </w:p>
    <w:p w14:paraId="5623173C">
      <w:pPr>
        <w:jc w:val="left"/>
        <w:rPr>
          <w:rFonts w:ascii="宋体" w:hAnsi="宋体"/>
          <w:kern w:val="44"/>
        </w:rPr>
      </w:pPr>
      <w:r>
        <w:rPr>
          <w:rFonts w:hint="eastAsia" w:ascii="宋体" w:hAnsi="宋体"/>
          <w:kern w:val="44"/>
        </w:rPr>
        <w:t>（一）违法犯罪情节较轻，认罪认错态度好，平素无劣迹的；</w:t>
      </w:r>
    </w:p>
    <w:p w14:paraId="1127666D">
      <w:pPr>
        <w:jc w:val="left"/>
        <w:rPr>
          <w:rFonts w:ascii="宋体" w:hAnsi="宋体"/>
          <w:kern w:val="44"/>
        </w:rPr>
      </w:pPr>
      <w:r>
        <w:rPr>
          <w:rFonts w:hint="eastAsia" w:ascii="宋体" w:hAnsi="宋体"/>
          <w:kern w:val="44"/>
        </w:rPr>
        <w:t>（二）本人有病或家庭有特殊困难的；</w:t>
      </w:r>
    </w:p>
    <w:p w14:paraId="30172ED9">
      <w:pPr>
        <w:jc w:val="left"/>
        <w:rPr>
          <w:rFonts w:ascii="宋体" w:hAnsi="宋体"/>
          <w:kern w:val="44"/>
        </w:rPr>
      </w:pPr>
      <w:r>
        <w:rPr>
          <w:rFonts w:hint="eastAsia" w:ascii="宋体" w:hAnsi="宋体"/>
          <w:kern w:val="44"/>
        </w:rPr>
        <w:t>（三）原单位工作确实需要，要求自行负责管教的。</w:t>
      </w:r>
    </w:p>
    <w:p w14:paraId="1EEF31B9">
      <w:pPr>
        <w:jc w:val="left"/>
        <w:rPr>
          <w:rFonts w:ascii="宋体" w:hAnsi="宋体"/>
          <w:kern w:val="44"/>
        </w:rPr>
      </w:pPr>
      <w:r>
        <w:rPr>
          <w:rFonts w:hint="eastAsia" w:ascii="宋体" w:hAnsi="宋体"/>
          <w:kern w:val="44"/>
        </w:rPr>
        <w:t>属于上述（一）、（二）两种情况的无业人员，家属、监护人确有管教条件，并具结担保申请所外执行的，经当地公安派出所和居民委员会同意，报请市劳动教养管理委员会批准，也可所外执行。</w:t>
      </w:r>
    </w:p>
    <w:p w14:paraId="0DB396B8">
      <w:pPr>
        <w:ind w:firstLine="422"/>
        <w:rPr>
          <w:kern w:val="44"/>
        </w:rPr>
      </w:pPr>
      <w:r>
        <w:rPr>
          <w:rFonts w:hint="eastAsia"/>
          <w:b/>
          <w:kern w:val="44"/>
        </w:rPr>
        <w:t>二、</w:t>
      </w:r>
      <w:r>
        <w:rPr>
          <w:rFonts w:hint="eastAsia"/>
          <w:kern w:val="44"/>
        </w:rPr>
        <w:t>管理制度</w:t>
      </w:r>
    </w:p>
    <w:p w14:paraId="12A7F8B1">
      <w:pPr>
        <w:jc w:val="left"/>
        <w:rPr>
          <w:rFonts w:ascii="宋体" w:hAnsi="宋体"/>
          <w:kern w:val="44"/>
        </w:rPr>
      </w:pPr>
      <w:r>
        <w:rPr>
          <w:rFonts w:hint="eastAsia" w:ascii="宋体" w:hAnsi="宋体"/>
          <w:kern w:val="44"/>
        </w:rPr>
        <w:t>（一）单位保卫部门负责，在车间班组建立三至五人的小组对所外执行劳动教养的人员进行管理教育，并与住地派出所、治保会取得联系，互相配合。</w:t>
      </w:r>
    </w:p>
    <w:p w14:paraId="2D9945F8">
      <w:pPr>
        <w:jc w:val="left"/>
        <w:rPr>
          <w:rFonts w:ascii="宋体" w:hAnsi="宋体"/>
          <w:kern w:val="44"/>
        </w:rPr>
      </w:pPr>
      <w:r>
        <w:rPr>
          <w:rFonts w:hint="eastAsia" w:ascii="宋体" w:hAnsi="宋体"/>
          <w:kern w:val="44"/>
        </w:rPr>
        <w:t>对所外执行劳动教养的无业人员，由派出所在街道建立管教小组，进行管理教育。</w:t>
      </w:r>
    </w:p>
    <w:p w14:paraId="40919F65">
      <w:pPr>
        <w:jc w:val="left"/>
        <w:rPr>
          <w:rFonts w:ascii="宋体" w:hAnsi="宋体"/>
          <w:kern w:val="44"/>
        </w:rPr>
      </w:pPr>
      <w:r>
        <w:rPr>
          <w:rFonts w:hint="eastAsia" w:ascii="宋体" w:hAnsi="宋体"/>
          <w:kern w:val="44"/>
        </w:rPr>
        <w:t>（二）管教小组应建立劳动教养人员考查手册，记载劳教人员在劳动教养期间遵纪守法、学习、劳动等现实表现情况，实行月检查，季评议，年终鉴定的考查制度。</w:t>
      </w:r>
    </w:p>
    <w:p w14:paraId="519514A1">
      <w:pPr>
        <w:jc w:val="left"/>
        <w:rPr>
          <w:rFonts w:ascii="宋体" w:hAnsi="宋体"/>
          <w:kern w:val="44"/>
        </w:rPr>
      </w:pPr>
      <w:r>
        <w:rPr>
          <w:rFonts w:hint="eastAsia" w:ascii="宋体" w:hAnsi="宋体"/>
          <w:kern w:val="44"/>
        </w:rPr>
        <w:t>（三）所外执行劳动教养人员，可以回家住宿。户口、粮食供应关系不变。</w:t>
      </w:r>
    </w:p>
    <w:p w14:paraId="11C9A364">
      <w:pPr>
        <w:ind w:firstLine="422"/>
        <w:rPr>
          <w:kern w:val="44"/>
        </w:rPr>
      </w:pPr>
      <w:r>
        <w:rPr>
          <w:rFonts w:hint="eastAsia"/>
          <w:b/>
          <w:kern w:val="44"/>
        </w:rPr>
        <w:t>三、</w:t>
      </w:r>
      <w:r>
        <w:rPr>
          <w:rFonts w:hint="eastAsia"/>
          <w:kern w:val="44"/>
        </w:rPr>
        <w:t>生活待遇</w:t>
      </w:r>
    </w:p>
    <w:p w14:paraId="0E93C0DC">
      <w:pPr>
        <w:jc w:val="left"/>
        <w:rPr>
          <w:rFonts w:ascii="宋体" w:hAnsi="宋体"/>
          <w:kern w:val="44"/>
        </w:rPr>
      </w:pPr>
      <w:r>
        <w:rPr>
          <w:rFonts w:hint="eastAsia" w:ascii="宋体" w:hAnsi="宋体"/>
          <w:kern w:val="44"/>
        </w:rPr>
        <w:t>在职职工所外执行劳动教养期间，单位每月发给二十八元生活费。生活确有困难的，生活费可适当提高，但不得超过原工资。解除劳教后恢复原工资或根据同工同酬原则重新评定工资。奖金和其他劳保福利待遇，由执行单位自行决定。劳教期间的工龄不连续计算。</w:t>
      </w:r>
    </w:p>
    <w:p w14:paraId="66EFE22E">
      <w:pPr>
        <w:ind w:firstLine="422"/>
        <w:rPr>
          <w:kern w:val="44"/>
        </w:rPr>
      </w:pPr>
      <w:r>
        <w:rPr>
          <w:rFonts w:hint="eastAsia"/>
          <w:b/>
          <w:kern w:val="44"/>
        </w:rPr>
        <w:t>四、</w:t>
      </w:r>
      <w:r>
        <w:rPr>
          <w:rFonts w:hint="eastAsia"/>
          <w:kern w:val="44"/>
        </w:rPr>
        <w:t>奖惩办法</w:t>
      </w:r>
    </w:p>
    <w:p w14:paraId="6FC39742">
      <w:pPr>
        <w:jc w:val="left"/>
        <w:rPr>
          <w:rFonts w:ascii="宋体" w:hAnsi="宋体"/>
          <w:kern w:val="44"/>
        </w:rPr>
      </w:pPr>
      <w:r>
        <w:rPr>
          <w:rFonts w:hint="eastAsia" w:ascii="宋体" w:hAnsi="宋体"/>
          <w:kern w:val="44"/>
        </w:rPr>
        <w:t>对于在所外执行期间遵守纪律，确有悔改表现，在生产、工作中完成任务好，或有技术革新发明创造，或揭发检举有立功表现的，可以缩短劳动教养期限或提前解除劳动教养，并可给予物质奖励。</w:t>
      </w:r>
    </w:p>
    <w:p w14:paraId="10DC21D0">
      <w:pPr>
        <w:jc w:val="left"/>
        <w:rPr>
          <w:rFonts w:ascii="宋体" w:hAnsi="宋体"/>
          <w:kern w:val="44"/>
        </w:rPr>
      </w:pPr>
      <w:r>
        <w:rPr>
          <w:rFonts w:hint="eastAsia" w:ascii="宋体" w:hAnsi="宋体"/>
          <w:kern w:val="44"/>
        </w:rPr>
        <w:t>对不服管教、经教育不改的，经单位领导批准可以给予警告、记过处分。情节比较重的，可以延长劳动教养期限或收回劳教场所执行。</w:t>
      </w:r>
    </w:p>
    <w:p w14:paraId="0F31682F">
      <w:pPr>
        <w:jc w:val="left"/>
        <w:rPr>
          <w:rFonts w:ascii="宋体" w:hAnsi="宋体"/>
          <w:kern w:val="44"/>
        </w:rPr>
      </w:pPr>
      <w:r>
        <w:rPr>
          <w:rFonts w:hint="eastAsia" w:ascii="宋体" w:hAnsi="宋体"/>
          <w:kern w:val="44"/>
        </w:rPr>
        <w:t>对于需要提前解除劳动教养或缩短、延长劳动教养期限，或收回劳教场所执行的，由劳动教养人员所在单位保卫部门或派出所提出书面意见，连同有关材料，经市公安局有关业务处或区、县公安机关审核后，报市劳动教养管理委员会审批。</w:t>
      </w:r>
    </w:p>
    <w:p w14:paraId="2337754A">
      <w:pPr>
        <w:pStyle w:val="3"/>
        <w:pageBreakBefore/>
        <w:rPr>
          <w:kern w:val="44"/>
        </w:rPr>
      </w:pPr>
      <w:bookmarkStart w:id="335" w:name="_Toc427651429"/>
      <w:bookmarkStart w:id="336" w:name="_Toc428779995"/>
      <w:bookmarkStart w:id="337" w:name="_Toc428781477"/>
      <w:bookmarkStart w:id="338" w:name="_Toc422471115"/>
      <w:bookmarkStart w:id="339" w:name="_Toc427651771"/>
      <w:r>
        <w:rPr>
          <w:rFonts w:hint="eastAsia"/>
          <w:kern w:val="44"/>
        </w:rPr>
        <w:t>（八）游行示威</w:t>
      </w:r>
      <w:bookmarkEnd w:id="335"/>
      <w:bookmarkEnd w:id="336"/>
      <w:bookmarkEnd w:id="337"/>
      <w:bookmarkEnd w:id="338"/>
      <w:bookmarkEnd w:id="339"/>
    </w:p>
    <w:p w14:paraId="76C79F91"/>
    <w:p w14:paraId="513CEE84">
      <w:pPr>
        <w:pStyle w:val="4"/>
        <w:rPr>
          <w:kern w:val="44"/>
        </w:rPr>
      </w:pPr>
      <w:bookmarkStart w:id="340" w:name="_Toc427651772"/>
      <w:bookmarkStart w:id="341" w:name="_Toc422471116"/>
      <w:bookmarkStart w:id="342" w:name="_Toc427651430"/>
      <w:bookmarkStart w:id="343" w:name="_Toc428781478"/>
      <w:bookmarkStart w:id="344" w:name="_Toc428779996"/>
      <w:r>
        <w:rPr>
          <w:rFonts w:hint="eastAsia"/>
          <w:kern w:val="44"/>
        </w:rPr>
        <w:t>北京市实施《中华人民共和国</w:t>
      </w:r>
      <w:bookmarkEnd w:id="340"/>
      <w:bookmarkEnd w:id="341"/>
      <w:bookmarkEnd w:id="342"/>
      <w:bookmarkEnd w:id="343"/>
      <w:bookmarkEnd w:id="344"/>
    </w:p>
    <w:p w14:paraId="4B074DA2">
      <w:pPr>
        <w:pStyle w:val="4"/>
        <w:rPr>
          <w:kern w:val="44"/>
        </w:rPr>
      </w:pPr>
      <w:bookmarkStart w:id="345" w:name="_Toc427651773"/>
      <w:bookmarkStart w:id="346" w:name="_Toc422471117"/>
      <w:bookmarkStart w:id="347" w:name="_Toc427651431"/>
      <w:bookmarkStart w:id="348" w:name="_Toc428779997"/>
      <w:bookmarkStart w:id="349" w:name="_Toc428781479"/>
      <w:r>
        <w:rPr>
          <w:rFonts w:hint="eastAsia"/>
          <w:kern w:val="44"/>
        </w:rPr>
        <w:t>集会游行示威法》办法</w:t>
      </w:r>
      <w:bookmarkEnd w:id="345"/>
      <w:bookmarkEnd w:id="346"/>
      <w:bookmarkEnd w:id="347"/>
      <w:bookmarkEnd w:id="348"/>
      <w:bookmarkEnd w:id="349"/>
    </w:p>
    <w:p w14:paraId="6216229A">
      <w:pPr>
        <w:ind w:left="630" w:leftChars="300" w:right="630" w:rightChars="300"/>
        <w:jc w:val="left"/>
        <w:rPr>
          <w:rFonts w:ascii="楷体" w:hAnsi="楷体" w:eastAsia="楷体"/>
          <w:kern w:val="44"/>
        </w:rPr>
      </w:pPr>
      <w:r>
        <w:rPr>
          <w:rFonts w:hint="eastAsia" w:ascii="楷体" w:hAnsi="楷体" w:eastAsia="楷体"/>
          <w:kern w:val="44"/>
        </w:rPr>
        <w:t>（1989年12月28日北京市第九届人民代表大会常务委员会第十六次会议通过  1989年12月28日北京市人民代表大会常务委员会公告第10号公布施行）</w:t>
      </w:r>
    </w:p>
    <w:p w14:paraId="1F364D2D">
      <w:pPr>
        <w:ind w:left="630" w:leftChars="300" w:right="630" w:rightChars="300"/>
        <w:jc w:val="left"/>
        <w:rPr>
          <w:rFonts w:ascii="楷体" w:hAnsi="楷体" w:eastAsia="楷体"/>
          <w:kern w:val="44"/>
        </w:rPr>
      </w:pPr>
    </w:p>
    <w:p w14:paraId="5E2C99A8">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为了实施《中华人民共和国集会游行示威法》，保障公民依法行使集会、游行、示威的权利，维护首都的社会安定和公共秩序，结合本市情况，制定本办法。</w:t>
      </w:r>
    </w:p>
    <w:p w14:paraId="1DC76FB6">
      <w:pPr>
        <w:ind w:firstLine="422"/>
        <w:jc w:val="left"/>
        <w:rPr>
          <w:rFonts w:ascii="宋体" w:hAnsi="宋体"/>
          <w:kern w:val="44"/>
        </w:rPr>
      </w:pPr>
      <w:r>
        <w:rPr>
          <w:rFonts w:hint="eastAsia" w:ascii="宋体" w:hAnsi="宋体"/>
          <w:b/>
          <w:kern w:val="44"/>
        </w:rPr>
        <w:t>第二条</w:t>
      </w:r>
      <w:r>
        <w:rPr>
          <w:rFonts w:hint="eastAsia" w:ascii="宋体" w:hAnsi="宋体"/>
          <w:kern w:val="44"/>
        </w:rPr>
        <w:t>　凡在本市行政区域内的公共道路和露天公共场所举行集会、游行、示威，必须遵守《中华人民共和国集会游行示威法》和本办法。</w:t>
      </w:r>
    </w:p>
    <w:p w14:paraId="34F67742">
      <w:pPr>
        <w:ind w:firstLine="422"/>
        <w:jc w:val="left"/>
        <w:rPr>
          <w:rFonts w:ascii="宋体" w:hAnsi="宋体"/>
          <w:kern w:val="44"/>
        </w:rPr>
      </w:pPr>
      <w:r>
        <w:rPr>
          <w:rFonts w:hint="eastAsia" w:ascii="宋体" w:hAnsi="宋体"/>
          <w:b/>
          <w:kern w:val="44"/>
        </w:rPr>
        <w:t>第三条</w:t>
      </w:r>
      <w:r>
        <w:rPr>
          <w:rFonts w:hint="eastAsia" w:ascii="宋体" w:hAnsi="宋体"/>
          <w:kern w:val="44"/>
        </w:rPr>
        <w:t>　公民行使集会、游行、示威的权利，各级人民政府应当依法予以保障。</w:t>
      </w:r>
    </w:p>
    <w:p w14:paraId="44C1C7AF">
      <w:pPr>
        <w:jc w:val="left"/>
        <w:rPr>
          <w:rFonts w:ascii="宋体" w:hAnsi="宋体"/>
          <w:kern w:val="44"/>
        </w:rPr>
      </w:pPr>
      <w:r>
        <w:rPr>
          <w:rFonts w:hint="eastAsia" w:ascii="宋体" w:hAnsi="宋体"/>
          <w:kern w:val="44"/>
        </w:rPr>
        <w:t>公民在行使集会、游行、示威的权利的时候，必须遵守宪法和法律，不得反对宪法所确定的基本原则，不得损害国家的、社会的、集体的利益和其他公民的合法的自由和权利。</w:t>
      </w:r>
    </w:p>
    <w:p w14:paraId="41E3BAA2">
      <w:pPr>
        <w:ind w:firstLine="422"/>
        <w:jc w:val="left"/>
        <w:rPr>
          <w:rFonts w:ascii="宋体" w:hAnsi="宋体"/>
          <w:kern w:val="44"/>
        </w:rPr>
      </w:pPr>
      <w:r>
        <w:rPr>
          <w:rFonts w:hint="eastAsia" w:ascii="宋体" w:hAnsi="宋体"/>
          <w:b/>
          <w:kern w:val="44"/>
        </w:rPr>
        <w:t>第四条</w:t>
      </w:r>
      <w:r>
        <w:rPr>
          <w:rFonts w:hint="eastAsia" w:ascii="宋体" w:hAnsi="宋体"/>
          <w:kern w:val="44"/>
        </w:rPr>
        <w:t>　本市集会、游行、示威的主管机关，是集会、游行、示威举行地的公安分局和县公安局；游行、示威路线经过本市两个以上区、县的，主管机关为市公安局。</w:t>
      </w:r>
    </w:p>
    <w:p w14:paraId="79252649">
      <w:pPr>
        <w:ind w:firstLine="422"/>
        <w:jc w:val="left"/>
        <w:rPr>
          <w:rFonts w:ascii="宋体" w:hAnsi="宋体"/>
          <w:kern w:val="44"/>
        </w:rPr>
      </w:pPr>
      <w:r>
        <w:rPr>
          <w:rFonts w:hint="eastAsia" w:ascii="宋体" w:hAnsi="宋体"/>
          <w:b/>
          <w:kern w:val="44"/>
        </w:rPr>
        <w:t>第五条</w:t>
      </w:r>
      <w:r>
        <w:rPr>
          <w:rFonts w:hint="eastAsia" w:ascii="宋体" w:hAnsi="宋体"/>
          <w:kern w:val="44"/>
        </w:rPr>
        <w:t>　举行集会、游行、示威，必须有负责人。负责人必须持本人居民身份证和其他身份证件，在举行集会、游行、示威的5日前向公安机关递交申请书。以信件、电报、电话或者其他方式提出申请的，公安机关不予受理。</w:t>
      </w:r>
    </w:p>
    <w:p w14:paraId="66544E6A">
      <w:pPr>
        <w:jc w:val="left"/>
        <w:rPr>
          <w:rFonts w:ascii="宋体" w:hAnsi="宋体"/>
          <w:kern w:val="44"/>
        </w:rPr>
      </w:pPr>
      <w:r>
        <w:rPr>
          <w:rFonts w:hint="eastAsia" w:ascii="宋体" w:hAnsi="宋体"/>
          <w:kern w:val="44"/>
        </w:rPr>
        <w:t>申请书中应当载明集会、游行、示威的目的、方式、标语、口号、人数、车辆数、使用音响设备的种类与数量、起止时间、地点（包括集合地和解散地）、路线和负责人的姓名、职业、住址。</w:t>
      </w:r>
    </w:p>
    <w:p w14:paraId="4470993B">
      <w:pPr>
        <w:ind w:firstLine="422"/>
        <w:jc w:val="left"/>
        <w:rPr>
          <w:rFonts w:ascii="宋体" w:hAnsi="宋体"/>
          <w:kern w:val="44"/>
        </w:rPr>
      </w:pPr>
      <w:r>
        <w:rPr>
          <w:rFonts w:hint="eastAsia" w:ascii="宋体" w:hAnsi="宋体"/>
          <w:b/>
          <w:kern w:val="44"/>
        </w:rPr>
        <w:t>第六条</w:t>
      </w:r>
      <w:r>
        <w:rPr>
          <w:rFonts w:hint="eastAsia" w:ascii="宋体" w:hAnsi="宋体"/>
          <w:kern w:val="44"/>
        </w:rPr>
        <w:t>　以国家机关、社会团体、企业事业组织的名义组织或者参加集会、游行、示威的，必须经本单位负责人批准。申请书必须加盖该组织的公章。依照《中华人民共和国集会游行示威法》有关规定不需要申请的除外。</w:t>
      </w:r>
    </w:p>
    <w:p w14:paraId="471F07F4">
      <w:pPr>
        <w:ind w:firstLine="422"/>
        <w:jc w:val="left"/>
        <w:rPr>
          <w:rFonts w:ascii="宋体" w:hAnsi="宋体"/>
          <w:kern w:val="44"/>
        </w:rPr>
      </w:pPr>
      <w:r>
        <w:rPr>
          <w:rFonts w:hint="eastAsia" w:ascii="宋体" w:hAnsi="宋体"/>
          <w:b/>
          <w:kern w:val="44"/>
        </w:rPr>
        <w:t>第七条</w:t>
      </w:r>
      <w:r>
        <w:rPr>
          <w:rFonts w:hint="eastAsia" w:ascii="宋体" w:hAnsi="宋体"/>
          <w:kern w:val="44"/>
        </w:rPr>
        <w:t>　公安机关接到集会、游行、示威申请书后，应当依照《中华人民共和国集会游行示威法》的规定，在申请举行日期的2日前，将许可或者不许可的决定通知书送达申请集会、游行、示威的负责人。逾期不送达的，视为许可。负责人不在住址，致使决定通知书无法送达的，视为撤回申请。</w:t>
      </w:r>
    </w:p>
    <w:p w14:paraId="29EF781B">
      <w:pPr>
        <w:ind w:firstLine="422"/>
        <w:jc w:val="left"/>
        <w:rPr>
          <w:rFonts w:ascii="宋体" w:hAnsi="宋体"/>
          <w:kern w:val="44"/>
        </w:rPr>
      </w:pPr>
      <w:r>
        <w:rPr>
          <w:rFonts w:hint="eastAsia" w:ascii="宋体" w:hAnsi="宋体"/>
          <w:b/>
          <w:kern w:val="44"/>
        </w:rPr>
        <w:t>第八条</w:t>
      </w:r>
      <w:r>
        <w:rPr>
          <w:rFonts w:hint="eastAsia" w:ascii="宋体" w:hAnsi="宋体"/>
          <w:kern w:val="44"/>
        </w:rPr>
        <w:t>　申请举行集会、游行、示威要求解决具体问题的，公安机关可以通知有关机关或者单位同申请集会、游行、示威的负责人协商解决问题，并可以将申请举行的时间推迟5日。</w:t>
      </w:r>
    </w:p>
    <w:p w14:paraId="79646609">
      <w:pPr>
        <w:jc w:val="left"/>
        <w:rPr>
          <w:rFonts w:ascii="宋体" w:hAnsi="宋体"/>
          <w:kern w:val="44"/>
        </w:rPr>
      </w:pPr>
      <w:r>
        <w:rPr>
          <w:rFonts w:hint="eastAsia" w:ascii="宋体" w:hAnsi="宋体"/>
          <w:kern w:val="44"/>
        </w:rPr>
        <w:t>有关机关或者单位应当按公安机关规定的时限将协商结果报告公安机关。</w:t>
      </w:r>
    </w:p>
    <w:p w14:paraId="55DE99BB">
      <w:pPr>
        <w:ind w:firstLine="422"/>
        <w:jc w:val="left"/>
        <w:rPr>
          <w:rFonts w:ascii="宋体" w:hAnsi="宋体"/>
          <w:kern w:val="44"/>
        </w:rPr>
      </w:pPr>
      <w:r>
        <w:rPr>
          <w:rFonts w:hint="eastAsia" w:ascii="宋体" w:hAnsi="宋体"/>
          <w:b/>
          <w:kern w:val="44"/>
        </w:rPr>
        <w:t>第九条</w:t>
      </w:r>
      <w:r>
        <w:rPr>
          <w:rFonts w:hint="eastAsia" w:ascii="宋体" w:hAnsi="宋体"/>
          <w:kern w:val="44"/>
        </w:rPr>
        <w:t>　集会、游行、示威的负责人对公安机关不许可的决定不服的，可以自接到决定通知书之日起3日内，向作出不许可决定的公安机关的同级人民政府申请复议。人民政府应当自接到申请复议书之日起3日内作出决定。</w:t>
      </w:r>
    </w:p>
    <w:p w14:paraId="6DEE138D">
      <w:pPr>
        <w:ind w:firstLine="422"/>
        <w:jc w:val="left"/>
        <w:rPr>
          <w:rFonts w:ascii="宋体" w:hAnsi="宋体"/>
          <w:kern w:val="44"/>
        </w:rPr>
      </w:pPr>
      <w:r>
        <w:rPr>
          <w:rFonts w:hint="eastAsia" w:ascii="宋体" w:hAnsi="宋体"/>
          <w:b/>
          <w:kern w:val="44"/>
        </w:rPr>
        <w:t>第十条</w:t>
      </w:r>
      <w:r>
        <w:rPr>
          <w:rFonts w:hint="eastAsia" w:ascii="宋体" w:hAnsi="宋体"/>
          <w:kern w:val="44"/>
        </w:rPr>
        <w:t>　对于依法举行的集会、游行、示威，公安机关应当派出人民警察维持交通秩序和社会秩序。</w:t>
      </w:r>
    </w:p>
    <w:p w14:paraId="04270751">
      <w:pPr>
        <w:ind w:firstLine="422"/>
        <w:jc w:val="left"/>
        <w:rPr>
          <w:rFonts w:ascii="宋体" w:hAnsi="宋体"/>
          <w:kern w:val="44"/>
        </w:rPr>
      </w:pPr>
      <w:r>
        <w:rPr>
          <w:rFonts w:hint="eastAsia" w:ascii="宋体" w:hAnsi="宋体"/>
          <w:b/>
          <w:kern w:val="44"/>
        </w:rPr>
        <w:t>第十一条</w:t>
      </w:r>
      <w:r>
        <w:rPr>
          <w:rFonts w:hint="eastAsia" w:ascii="宋体" w:hAnsi="宋体"/>
          <w:kern w:val="44"/>
        </w:rPr>
        <w:t>　依法举行的集会、游行、示威，除申请参加的人员外，其他人员不得加入。任何人不得以暴力、胁迫或者其他非法手段进行扰乱、冲击和破坏。</w:t>
      </w:r>
    </w:p>
    <w:p w14:paraId="05D2F539">
      <w:pPr>
        <w:ind w:firstLine="422"/>
        <w:jc w:val="left"/>
        <w:rPr>
          <w:rFonts w:ascii="宋体" w:hAnsi="宋体"/>
          <w:kern w:val="44"/>
        </w:rPr>
      </w:pPr>
      <w:r>
        <w:rPr>
          <w:rFonts w:hint="eastAsia" w:ascii="宋体" w:hAnsi="宋体"/>
          <w:b/>
          <w:kern w:val="44"/>
        </w:rPr>
        <w:t>第十二条</w:t>
      </w:r>
      <w:r>
        <w:rPr>
          <w:rFonts w:hint="eastAsia" w:ascii="宋体" w:hAnsi="宋体"/>
          <w:kern w:val="44"/>
        </w:rPr>
        <w:t>　集会、游行、示威在国家机关、军事机关、广播电台、电视台、外国驻华使馆领馆等单位所在地举行或者经过的，公安机关为了维护秩序，可以在附近设置金黄色绳带标志的临时警戒线。临时警戒线未经人民警察许可，任何人不得逾越。</w:t>
      </w:r>
    </w:p>
    <w:p w14:paraId="25EA20AE">
      <w:pPr>
        <w:ind w:firstLine="422"/>
        <w:jc w:val="left"/>
        <w:rPr>
          <w:rFonts w:ascii="宋体" w:hAnsi="宋体"/>
          <w:kern w:val="44"/>
        </w:rPr>
      </w:pPr>
      <w:r>
        <w:rPr>
          <w:rFonts w:hint="eastAsia" w:ascii="宋体" w:hAnsi="宋体"/>
          <w:b/>
          <w:kern w:val="44"/>
        </w:rPr>
        <w:t>第十三条</w:t>
      </w:r>
      <w:r>
        <w:rPr>
          <w:rFonts w:hint="eastAsia" w:ascii="宋体" w:hAnsi="宋体"/>
          <w:kern w:val="44"/>
        </w:rPr>
        <w:t>　在下列场所周边距离10米至300米内，非经国务院或者市人民政府批准，不得举行集会、游行、示威：</w:t>
      </w:r>
    </w:p>
    <w:p w14:paraId="7B652EDA">
      <w:pPr>
        <w:jc w:val="left"/>
        <w:rPr>
          <w:rFonts w:ascii="宋体" w:hAnsi="宋体"/>
          <w:kern w:val="44"/>
        </w:rPr>
      </w:pPr>
      <w:r>
        <w:rPr>
          <w:rFonts w:hint="eastAsia" w:ascii="宋体" w:hAnsi="宋体"/>
          <w:kern w:val="44"/>
        </w:rPr>
        <w:t>（一）全国人民代表大会常务委员会、国务院、中央军事委员会、最高人民法院、最高人民检察院的所在地；</w:t>
      </w:r>
    </w:p>
    <w:p w14:paraId="09BA90E8">
      <w:pPr>
        <w:jc w:val="left"/>
        <w:rPr>
          <w:rFonts w:ascii="宋体" w:hAnsi="宋体"/>
          <w:kern w:val="44"/>
        </w:rPr>
      </w:pPr>
      <w:r>
        <w:rPr>
          <w:rFonts w:hint="eastAsia" w:ascii="宋体" w:hAnsi="宋体"/>
          <w:kern w:val="44"/>
        </w:rPr>
        <w:t>（二）国宾下榻处；</w:t>
      </w:r>
    </w:p>
    <w:p w14:paraId="2A7050E3">
      <w:pPr>
        <w:jc w:val="left"/>
        <w:rPr>
          <w:rFonts w:ascii="宋体" w:hAnsi="宋体"/>
          <w:kern w:val="44"/>
        </w:rPr>
      </w:pPr>
      <w:r>
        <w:rPr>
          <w:rFonts w:hint="eastAsia" w:ascii="宋体" w:hAnsi="宋体"/>
          <w:kern w:val="44"/>
        </w:rPr>
        <w:t>（三）重要军事设施；</w:t>
      </w:r>
    </w:p>
    <w:p w14:paraId="30A76200">
      <w:pPr>
        <w:jc w:val="left"/>
        <w:rPr>
          <w:rFonts w:ascii="宋体" w:hAnsi="宋体"/>
          <w:kern w:val="44"/>
        </w:rPr>
      </w:pPr>
      <w:r>
        <w:rPr>
          <w:rFonts w:hint="eastAsia" w:ascii="宋体" w:hAnsi="宋体"/>
          <w:kern w:val="44"/>
        </w:rPr>
        <w:t>（四）航空港、火车站。</w:t>
      </w:r>
    </w:p>
    <w:p w14:paraId="4EFF0EA2">
      <w:pPr>
        <w:jc w:val="left"/>
        <w:rPr>
          <w:rFonts w:ascii="宋体" w:hAnsi="宋体"/>
          <w:kern w:val="44"/>
        </w:rPr>
      </w:pPr>
      <w:r>
        <w:rPr>
          <w:rFonts w:hint="eastAsia" w:ascii="宋体" w:hAnsi="宋体"/>
          <w:kern w:val="44"/>
        </w:rPr>
        <w:t>前款所列场所的具体周边距离，由市人民政府规定。</w:t>
      </w:r>
    </w:p>
    <w:p w14:paraId="6FB7C00C">
      <w:pPr>
        <w:ind w:firstLine="422"/>
        <w:jc w:val="left"/>
        <w:rPr>
          <w:rFonts w:ascii="宋体" w:hAnsi="宋体"/>
          <w:kern w:val="44"/>
        </w:rPr>
      </w:pPr>
      <w:r>
        <w:rPr>
          <w:rFonts w:hint="eastAsia" w:ascii="宋体" w:hAnsi="宋体"/>
          <w:b/>
          <w:kern w:val="44"/>
        </w:rPr>
        <w:t>第十四条</w:t>
      </w:r>
      <w:r>
        <w:rPr>
          <w:rFonts w:hint="eastAsia" w:ascii="宋体" w:hAnsi="宋体"/>
          <w:kern w:val="44"/>
        </w:rPr>
        <w:t>　未经国务院或者市人民政府批准，不得在天安门广场举行集会、游行、示威。</w:t>
      </w:r>
    </w:p>
    <w:p w14:paraId="1136FCC3">
      <w:pPr>
        <w:ind w:firstLine="422"/>
        <w:jc w:val="left"/>
        <w:rPr>
          <w:rFonts w:ascii="宋体" w:hAnsi="宋体"/>
          <w:kern w:val="44"/>
        </w:rPr>
      </w:pPr>
      <w:r>
        <w:rPr>
          <w:rFonts w:hint="eastAsia" w:ascii="宋体" w:hAnsi="宋体"/>
          <w:b/>
          <w:kern w:val="44"/>
        </w:rPr>
        <w:t>第十五条</w:t>
      </w:r>
      <w:r>
        <w:rPr>
          <w:rFonts w:hint="eastAsia" w:ascii="宋体" w:hAnsi="宋体"/>
          <w:kern w:val="44"/>
        </w:rPr>
        <w:t>　集会、游行、示威应当按照许可的目的、方式、标语、口号、起止时间、地点、路线及其他事项和平地进行。</w:t>
      </w:r>
    </w:p>
    <w:p w14:paraId="3D818B4F">
      <w:pPr>
        <w:jc w:val="left"/>
        <w:rPr>
          <w:rFonts w:ascii="宋体" w:hAnsi="宋体"/>
          <w:kern w:val="44"/>
        </w:rPr>
      </w:pPr>
      <w:r>
        <w:rPr>
          <w:rFonts w:hint="eastAsia" w:ascii="宋体" w:hAnsi="宋体"/>
          <w:kern w:val="44"/>
        </w:rPr>
        <w:t>集会、游行、示威不得携带武器、管制刀具和爆炸物，不得使用暴力或者煽动使用暴力，不得扰乱治安、妨碍交通，不得沿途涂写刻画、张贴标语，不得损坏园林、绿地、公共设施。</w:t>
      </w:r>
    </w:p>
    <w:p w14:paraId="1A170D17">
      <w:pPr>
        <w:ind w:firstLine="422"/>
        <w:jc w:val="left"/>
        <w:rPr>
          <w:rFonts w:ascii="宋体" w:hAnsi="宋体"/>
          <w:kern w:val="44"/>
        </w:rPr>
      </w:pPr>
      <w:r>
        <w:rPr>
          <w:rFonts w:hint="eastAsia" w:ascii="宋体" w:hAnsi="宋体"/>
          <w:b/>
          <w:kern w:val="44"/>
        </w:rPr>
        <w:t>第十六条</w:t>
      </w:r>
      <w:r>
        <w:rPr>
          <w:rFonts w:hint="eastAsia" w:ascii="宋体" w:hAnsi="宋体"/>
          <w:kern w:val="44"/>
        </w:rPr>
        <w:t>　举行集会、游行、示威的负责人必须负责维持秩序，并佩戴明显标志。负责人应当指定参加集会、游行、示威人数十分之二的人员维持秩序。维持秩序的人员应当佩戴统一标志，与现场维持秩序的人民警察保持联系，保障活动依法进行。佩戴的标志样品应当在举行集会、游行、示威的前一日送公安机关备案。</w:t>
      </w:r>
    </w:p>
    <w:p w14:paraId="09526E81">
      <w:pPr>
        <w:ind w:firstLine="422"/>
        <w:jc w:val="left"/>
        <w:rPr>
          <w:rFonts w:ascii="宋体" w:hAnsi="宋体"/>
          <w:kern w:val="44"/>
        </w:rPr>
      </w:pPr>
      <w:r>
        <w:rPr>
          <w:rFonts w:hint="eastAsia" w:ascii="宋体" w:hAnsi="宋体"/>
          <w:b/>
          <w:kern w:val="44"/>
        </w:rPr>
        <w:t>第十七条</w:t>
      </w:r>
      <w:r>
        <w:rPr>
          <w:rFonts w:hint="eastAsia" w:ascii="宋体" w:hAnsi="宋体"/>
          <w:kern w:val="44"/>
        </w:rPr>
        <w:t>　举行集会、游行、示威，有下列情形之一的，公安机关应当予以制止：</w:t>
      </w:r>
    </w:p>
    <w:p w14:paraId="52D84A02">
      <w:pPr>
        <w:jc w:val="left"/>
        <w:rPr>
          <w:rFonts w:ascii="宋体" w:hAnsi="宋体"/>
          <w:kern w:val="44"/>
        </w:rPr>
      </w:pPr>
      <w:r>
        <w:rPr>
          <w:rFonts w:hint="eastAsia" w:ascii="宋体" w:hAnsi="宋体"/>
          <w:kern w:val="44"/>
        </w:rPr>
        <w:t>（一）未依法申请或者申请未获许可的；</w:t>
      </w:r>
    </w:p>
    <w:p w14:paraId="224A7643">
      <w:pPr>
        <w:jc w:val="left"/>
        <w:rPr>
          <w:rFonts w:ascii="宋体" w:hAnsi="宋体"/>
          <w:kern w:val="44"/>
        </w:rPr>
      </w:pPr>
      <w:r>
        <w:rPr>
          <w:rFonts w:hint="eastAsia" w:ascii="宋体" w:hAnsi="宋体"/>
          <w:kern w:val="44"/>
        </w:rPr>
        <w:t>（二）未按照公安机关许可的目的、方式、标语、口号、起止时间、地点、路线进行的；</w:t>
      </w:r>
    </w:p>
    <w:p w14:paraId="0AE46DAF">
      <w:pPr>
        <w:jc w:val="left"/>
        <w:rPr>
          <w:rFonts w:ascii="宋体" w:hAnsi="宋体"/>
          <w:kern w:val="44"/>
        </w:rPr>
      </w:pPr>
      <w:r>
        <w:rPr>
          <w:rFonts w:hint="eastAsia" w:ascii="宋体" w:hAnsi="宋体"/>
          <w:kern w:val="44"/>
        </w:rPr>
        <w:t>（三）在进行中出现危害公共安全或者严重破坏社会秩序情况的。</w:t>
      </w:r>
    </w:p>
    <w:p w14:paraId="7B66075C">
      <w:pPr>
        <w:jc w:val="left"/>
        <w:rPr>
          <w:rFonts w:ascii="宋体" w:hAnsi="宋体"/>
          <w:kern w:val="44"/>
        </w:rPr>
      </w:pPr>
      <w:r>
        <w:rPr>
          <w:rFonts w:hint="eastAsia" w:ascii="宋体" w:hAnsi="宋体"/>
          <w:kern w:val="44"/>
        </w:rPr>
        <w:t>有前款所列情形之一，不听制止的，人民警察现场负责人有权命令解散；拒不解散的，人民警察现场负责人有权依照国家有关规定采取必要手段强行驱散，对拒不服从的人员强行带离现场或者立即予以拘留。</w:t>
      </w:r>
    </w:p>
    <w:p w14:paraId="614FE8D5">
      <w:pPr>
        <w:jc w:val="left"/>
        <w:rPr>
          <w:rFonts w:ascii="宋体" w:hAnsi="宋体"/>
          <w:kern w:val="44"/>
        </w:rPr>
      </w:pPr>
      <w:r>
        <w:rPr>
          <w:rFonts w:hint="eastAsia" w:ascii="宋体" w:hAnsi="宋体"/>
          <w:kern w:val="44"/>
        </w:rPr>
        <w:t>参加集会、游行、示威的人员违反本办法第十二条、第十三条、第十四条的规定，或者有其他违法犯罪行为的，人民警察可以将其强行带离现场或者立即予以拘留。</w:t>
      </w:r>
    </w:p>
    <w:p w14:paraId="611883B9">
      <w:pPr>
        <w:ind w:firstLine="422"/>
        <w:jc w:val="left"/>
        <w:rPr>
          <w:rFonts w:ascii="宋体" w:hAnsi="宋体"/>
          <w:kern w:val="44"/>
        </w:rPr>
      </w:pPr>
      <w:r>
        <w:rPr>
          <w:rFonts w:hint="eastAsia" w:ascii="宋体" w:hAnsi="宋体"/>
          <w:b/>
          <w:kern w:val="44"/>
        </w:rPr>
        <w:t>第十八条</w:t>
      </w:r>
      <w:r>
        <w:rPr>
          <w:rFonts w:hint="eastAsia" w:ascii="宋体" w:hAnsi="宋体"/>
          <w:kern w:val="44"/>
        </w:rPr>
        <w:t>　对违反《中华人民共和国集会游行示威法》和本办法的，依法追究法律责任。</w:t>
      </w:r>
    </w:p>
    <w:p w14:paraId="47BF0C06">
      <w:pPr>
        <w:ind w:firstLine="422"/>
        <w:jc w:val="left"/>
        <w:rPr>
          <w:rFonts w:ascii="宋体" w:hAnsi="宋体"/>
          <w:kern w:val="44"/>
        </w:rPr>
      </w:pPr>
      <w:r>
        <w:rPr>
          <w:rFonts w:hint="eastAsia" w:ascii="宋体" w:hAnsi="宋体"/>
          <w:b/>
          <w:kern w:val="44"/>
        </w:rPr>
        <w:t>第十九条</w:t>
      </w:r>
      <w:r>
        <w:rPr>
          <w:rFonts w:hint="eastAsia" w:ascii="宋体" w:hAnsi="宋体"/>
          <w:kern w:val="44"/>
        </w:rPr>
        <w:t>　本办法具体应用中的问题，由北京市人民政府负责解释。</w:t>
      </w:r>
    </w:p>
    <w:p w14:paraId="47BDA838">
      <w:pPr>
        <w:ind w:firstLine="422"/>
        <w:jc w:val="left"/>
        <w:rPr>
          <w:rFonts w:ascii="宋体" w:hAnsi="宋体"/>
          <w:kern w:val="44"/>
        </w:rPr>
      </w:pPr>
      <w:r>
        <w:rPr>
          <w:rFonts w:hint="eastAsia" w:ascii="宋体" w:hAnsi="宋体"/>
          <w:b/>
          <w:kern w:val="44"/>
        </w:rPr>
        <w:t>第二十条</w:t>
      </w:r>
      <w:r>
        <w:rPr>
          <w:rFonts w:hint="eastAsia" w:ascii="宋体" w:hAnsi="宋体"/>
          <w:kern w:val="44"/>
        </w:rPr>
        <w:t>　本办法自公布之日起施行。1986年12月26日北京市第八届人民代表大会常务委员会第三十三次会议通过的《北京市关于游行示威的若干暂行规定》自本办法施行之日起即行废止。</w:t>
      </w:r>
    </w:p>
    <w:p w14:paraId="4D084B9F">
      <w:pPr>
        <w:pStyle w:val="4"/>
        <w:pageBreakBefore/>
        <w:rPr>
          <w:kern w:val="44"/>
        </w:rPr>
      </w:pPr>
      <w:bookmarkStart w:id="350" w:name="_Toc427651774"/>
      <w:bookmarkStart w:id="351" w:name="_Toc428781480"/>
      <w:bookmarkStart w:id="352" w:name="_Toc422471118"/>
      <w:bookmarkStart w:id="353" w:name="_Toc427651432"/>
      <w:bookmarkStart w:id="354" w:name="_Toc428779998"/>
      <w:r>
        <w:rPr>
          <w:rFonts w:hint="eastAsia"/>
          <w:kern w:val="44"/>
        </w:rPr>
        <w:t>北京市人民政府关于不得举行集会游行</w:t>
      </w:r>
      <w:bookmarkEnd w:id="350"/>
      <w:bookmarkEnd w:id="351"/>
      <w:bookmarkEnd w:id="352"/>
      <w:bookmarkEnd w:id="353"/>
      <w:bookmarkEnd w:id="354"/>
    </w:p>
    <w:p w14:paraId="46251F6F">
      <w:pPr>
        <w:pStyle w:val="4"/>
        <w:rPr>
          <w:kern w:val="44"/>
        </w:rPr>
      </w:pPr>
      <w:bookmarkStart w:id="355" w:name="_Toc428781481"/>
      <w:bookmarkStart w:id="356" w:name="_Toc427651775"/>
      <w:bookmarkStart w:id="357" w:name="_Toc428779999"/>
      <w:bookmarkStart w:id="358" w:name="_Toc422471119"/>
      <w:bookmarkStart w:id="359" w:name="_Toc427651433"/>
      <w:r>
        <w:rPr>
          <w:rFonts w:hint="eastAsia"/>
          <w:kern w:val="44"/>
        </w:rPr>
        <w:t>示威场所周边范围的规定</w:t>
      </w:r>
      <w:bookmarkEnd w:id="355"/>
      <w:bookmarkEnd w:id="356"/>
      <w:bookmarkEnd w:id="357"/>
      <w:bookmarkEnd w:id="358"/>
      <w:bookmarkEnd w:id="359"/>
    </w:p>
    <w:p w14:paraId="206D1564">
      <w:pPr>
        <w:ind w:left="630" w:leftChars="300" w:right="630" w:rightChars="300"/>
        <w:jc w:val="center"/>
        <w:rPr>
          <w:rFonts w:ascii="楷体" w:hAnsi="楷体" w:eastAsia="楷体"/>
          <w:kern w:val="44"/>
        </w:rPr>
      </w:pPr>
      <w:r>
        <w:rPr>
          <w:rFonts w:hint="eastAsia" w:ascii="楷体" w:hAnsi="楷体" w:eastAsia="楷体"/>
          <w:kern w:val="44"/>
        </w:rPr>
        <w:t>（1990年1月11日北京市人民政府第2号令发布）</w:t>
      </w:r>
    </w:p>
    <w:p w14:paraId="0F14260B">
      <w:pPr>
        <w:ind w:left="630" w:leftChars="300" w:right="630" w:rightChars="300"/>
        <w:jc w:val="center"/>
        <w:rPr>
          <w:rFonts w:ascii="楷体" w:hAnsi="楷体" w:eastAsia="楷体"/>
          <w:kern w:val="44"/>
        </w:rPr>
      </w:pPr>
    </w:p>
    <w:p w14:paraId="01D5E995">
      <w:pPr>
        <w:jc w:val="left"/>
        <w:rPr>
          <w:rFonts w:ascii="宋体" w:hAnsi="宋体"/>
          <w:kern w:val="44"/>
        </w:rPr>
      </w:pPr>
      <w:r>
        <w:rPr>
          <w:rFonts w:hint="eastAsia" w:ascii="宋体" w:hAnsi="宋体"/>
          <w:kern w:val="44"/>
        </w:rPr>
        <w:t>《中华人民共和国集会游行示威法》第二十三条和《北京市实施〈中华人民共和国集会游行示威法〉办法》第十三条规定：非经国务院或省、自治区、直辖市人民政府批准，不得举行集会、游行、示威的场所的周边距离为10米至300米内，具体周边距离由省、自治区、直辖市人民政府规定。为此，特作如下规定：</w:t>
      </w:r>
    </w:p>
    <w:p w14:paraId="043AF5AC">
      <w:pPr>
        <w:ind w:firstLine="422"/>
        <w:jc w:val="left"/>
        <w:rPr>
          <w:rFonts w:ascii="宋体" w:hAnsi="宋体"/>
          <w:kern w:val="44"/>
        </w:rPr>
      </w:pPr>
      <w:r>
        <w:rPr>
          <w:rFonts w:hint="eastAsia" w:ascii="宋体" w:hAnsi="宋体"/>
          <w:b/>
          <w:kern w:val="44"/>
        </w:rPr>
        <w:t>一、</w:t>
      </w:r>
      <w:r>
        <w:rPr>
          <w:rFonts w:hint="eastAsia" w:ascii="宋体" w:hAnsi="宋体"/>
          <w:kern w:val="44"/>
        </w:rPr>
        <w:t>下列道路和场所属于非经国务院或市人民政府批准，不得举行集会、游行、示威的场所周边距离的范围：</w:t>
      </w:r>
    </w:p>
    <w:p w14:paraId="488E2FC3">
      <w:pPr>
        <w:jc w:val="left"/>
        <w:rPr>
          <w:rFonts w:ascii="宋体" w:hAnsi="宋体"/>
          <w:kern w:val="44"/>
        </w:rPr>
      </w:pPr>
      <w:r>
        <w:rPr>
          <w:rFonts w:hint="eastAsia" w:ascii="宋体" w:hAnsi="宋体"/>
          <w:kern w:val="44"/>
        </w:rPr>
        <w:t>天安门广场以西至六部口北口的西长安街路段，人民大会堂西侧路、南侧路，人民大会堂西侧路与西交民巷交叉路口以东的西交民巷路段；</w:t>
      </w:r>
    </w:p>
    <w:p w14:paraId="3ED6DF7E">
      <w:pPr>
        <w:jc w:val="left"/>
        <w:rPr>
          <w:rFonts w:ascii="宋体" w:hAnsi="宋体"/>
          <w:kern w:val="44"/>
        </w:rPr>
      </w:pPr>
      <w:r>
        <w:rPr>
          <w:rFonts w:hint="eastAsia" w:ascii="宋体" w:hAnsi="宋体"/>
          <w:kern w:val="44"/>
        </w:rPr>
        <w:t>府右街、文津街、南长街、北长街、景山西街、陟山门街、故宫博物院北门以西的景山前街路段；</w:t>
      </w:r>
    </w:p>
    <w:p w14:paraId="31E89852">
      <w:pPr>
        <w:jc w:val="left"/>
        <w:rPr>
          <w:rFonts w:ascii="宋体" w:hAnsi="宋体"/>
          <w:kern w:val="44"/>
        </w:rPr>
      </w:pPr>
      <w:r>
        <w:rPr>
          <w:rFonts w:hint="eastAsia" w:ascii="宋体" w:hAnsi="宋体"/>
          <w:kern w:val="44"/>
        </w:rPr>
        <w:t>台基厂街、正义路、台基厂街与东交民巷交叉路口以西的东交民巷路段；</w:t>
      </w:r>
    </w:p>
    <w:p w14:paraId="2B4A09D0">
      <w:pPr>
        <w:jc w:val="left"/>
        <w:rPr>
          <w:rFonts w:ascii="宋体" w:hAnsi="宋体"/>
          <w:kern w:val="44"/>
        </w:rPr>
      </w:pPr>
      <w:r>
        <w:rPr>
          <w:rFonts w:hint="eastAsia" w:ascii="宋体" w:hAnsi="宋体"/>
          <w:kern w:val="44"/>
        </w:rPr>
        <w:t>东安门大街与北河沿大街交叉路口以北的北河沿大街路段、智德北巷；</w:t>
      </w:r>
    </w:p>
    <w:p w14:paraId="50DA795F">
      <w:pPr>
        <w:jc w:val="left"/>
        <w:rPr>
          <w:rFonts w:ascii="宋体" w:hAnsi="宋体"/>
          <w:kern w:val="44"/>
        </w:rPr>
      </w:pPr>
      <w:r>
        <w:rPr>
          <w:rFonts w:hint="eastAsia" w:ascii="宋体" w:hAnsi="宋体"/>
          <w:kern w:val="44"/>
        </w:rPr>
        <w:t>阜成路与三里河路交叉路口以南至国家计划委员会办公楼南端的三里河路段，以西到阜成路10号楼的阜成路路段；</w:t>
      </w:r>
    </w:p>
    <w:p w14:paraId="432069A0">
      <w:pPr>
        <w:jc w:val="left"/>
        <w:rPr>
          <w:rFonts w:ascii="宋体" w:hAnsi="宋体"/>
          <w:kern w:val="44"/>
        </w:rPr>
      </w:pPr>
      <w:r>
        <w:rPr>
          <w:rFonts w:hint="eastAsia" w:ascii="宋体" w:hAnsi="宋体"/>
          <w:kern w:val="44"/>
        </w:rPr>
        <w:t>钓鱼台国宾馆以西、以南300米以内的公共道路和露天公共场所；</w:t>
      </w:r>
    </w:p>
    <w:p w14:paraId="76FD3331">
      <w:pPr>
        <w:jc w:val="left"/>
        <w:rPr>
          <w:rFonts w:ascii="宋体" w:hAnsi="宋体"/>
          <w:kern w:val="44"/>
        </w:rPr>
      </w:pPr>
      <w:r>
        <w:rPr>
          <w:rFonts w:hint="eastAsia" w:ascii="宋体" w:hAnsi="宋体"/>
          <w:kern w:val="44"/>
        </w:rPr>
        <w:t>首都机场、火车站、重要军事设施周边距离300米以内的公共道路和露天公共场所。</w:t>
      </w:r>
    </w:p>
    <w:p w14:paraId="5903C443">
      <w:pPr>
        <w:jc w:val="left"/>
        <w:rPr>
          <w:rFonts w:ascii="宋体" w:hAnsi="宋体"/>
          <w:kern w:val="44"/>
        </w:rPr>
      </w:pPr>
      <w:r>
        <w:rPr>
          <w:rFonts w:hint="eastAsia" w:ascii="宋体" w:hAnsi="宋体"/>
          <w:kern w:val="44"/>
        </w:rPr>
        <w:t>重要军事设施按中央军事委员会划定的范围执行。</w:t>
      </w:r>
    </w:p>
    <w:p w14:paraId="057F29D6">
      <w:pPr>
        <w:jc w:val="left"/>
        <w:rPr>
          <w:rFonts w:ascii="宋体" w:hAnsi="宋体"/>
          <w:kern w:val="44"/>
        </w:rPr>
      </w:pPr>
      <w:r>
        <w:rPr>
          <w:rFonts w:hint="eastAsia" w:ascii="宋体" w:hAnsi="宋体"/>
          <w:kern w:val="44"/>
        </w:rPr>
        <w:t>天安门广场：北至天安门城墙和中山公园南门、劳动人民文化宫南门（含东西侧的红墙），南至正阳门，西至人民大会堂东侧栅栏、西交民巷东口，东至历史博物馆、东交民巷和新大路西口。</w:t>
      </w:r>
    </w:p>
    <w:p w14:paraId="25FCC1B4">
      <w:pPr>
        <w:ind w:firstLine="422"/>
        <w:jc w:val="left"/>
        <w:rPr>
          <w:rFonts w:ascii="宋体" w:hAnsi="宋体"/>
          <w:kern w:val="44"/>
        </w:rPr>
      </w:pPr>
      <w:r>
        <w:rPr>
          <w:rFonts w:hint="eastAsia" w:ascii="宋体" w:hAnsi="宋体"/>
          <w:b w:val="0"/>
          <w:bCs/>
          <w:kern w:val="44"/>
        </w:rPr>
        <w:t>二</w:t>
      </w:r>
      <w:r>
        <w:rPr>
          <w:rFonts w:hint="eastAsia" w:ascii="宋体" w:hAnsi="宋体"/>
          <w:b/>
          <w:kern w:val="44"/>
        </w:rPr>
        <w:t>、</w:t>
      </w:r>
      <w:r>
        <w:rPr>
          <w:rFonts w:hint="eastAsia" w:ascii="宋体" w:hAnsi="宋体"/>
          <w:kern w:val="44"/>
        </w:rPr>
        <w:t>非经国务院或市人民政府批准，在本规定第一项划定的范围内举行集会、游行、示威的，按照《中华人民共和国集会游行示威法》和《北京市实施〈中华人民共和国集会游行示威法〉办法》，追究法律责任。</w:t>
      </w:r>
    </w:p>
    <w:p w14:paraId="3AA4BBF7">
      <w:pPr>
        <w:ind w:firstLine="422"/>
        <w:jc w:val="left"/>
        <w:rPr>
          <w:rFonts w:ascii="宋体" w:hAnsi="宋体"/>
          <w:kern w:val="44"/>
        </w:rPr>
      </w:pPr>
      <w:r>
        <w:rPr>
          <w:rFonts w:hint="eastAsia" w:ascii="宋体" w:hAnsi="宋体"/>
          <w:b w:val="0"/>
          <w:bCs/>
          <w:kern w:val="44"/>
        </w:rPr>
        <w:t>三</w:t>
      </w:r>
      <w:r>
        <w:rPr>
          <w:rFonts w:hint="eastAsia" w:ascii="宋体" w:hAnsi="宋体"/>
          <w:b/>
          <w:kern w:val="44"/>
        </w:rPr>
        <w:t>、</w:t>
      </w:r>
      <w:r>
        <w:rPr>
          <w:rFonts w:hint="eastAsia" w:ascii="宋体" w:hAnsi="宋体"/>
          <w:kern w:val="44"/>
        </w:rPr>
        <w:t>本规定执行中的具体问题， 由市公安局负责解释。</w:t>
      </w:r>
    </w:p>
    <w:p w14:paraId="1CC10D1F">
      <w:pPr>
        <w:ind w:firstLine="422"/>
        <w:jc w:val="left"/>
        <w:rPr>
          <w:rFonts w:ascii="宋体" w:hAnsi="宋体"/>
          <w:kern w:val="44"/>
        </w:rPr>
      </w:pPr>
      <w:r>
        <w:rPr>
          <w:rFonts w:hint="eastAsia" w:ascii="宋体" w:hAnsi="宋体"/>
          <w:b w:val="0"/>
          <w:bCs/>
          <w:kern w:val="44"/>
        </w:rPr>
        <w:t>四</w:t>
      </w:r>
      <w:r>
        <w:rPr>
          <w:rFonts w:hint="eastAsia" w:ascii="宋体" w:hAnsi="宋体"/>
          <w:b/>
          <w:kern w:val="44"/>
        </w:rPr>
        <w:t>、</w:t>
      </w:r>
      <w:r>
        <w:rPr>
          <w:rFonts w:hint="eastAsia" w:ascii="宋体" w:hAnsi="宋体"/>
          <w:kern w:val="44"/>
        </w:rPr>
        <w:t>本规定自1990年1月11日起施行。</w:t>
      </w:r>
    </w:p>
    <w:p w14:paraId="4921744E">
      <w:pPr>
        <w:pStyle w:val="3"/>
        <w:pageBreakBefore/>
        <w:rPr>
          <w:kern w:val="44"/>
        </w:rPr>
      </w:pPr>
      <w:bookmarkStart w:id="360" w:name="_Toc427651434"/>
      <w:bookmarkStart w:id="361" w:name="_Toc427651776"/>
      <w:bookmarkStart w:id="362" w:name="_Toc428781482"/>
      <w:bookmarkStart w:id="363" w:name="_Toc428780000"/>
      <w:bookmarkStart w:id="364" w:name="_Toc422471120"/>
      <w:r>
        <w:rPr>
          <w:rFonts w:hint="eastAsia"/>
          <w:kern w:val="44"/>
        </w:rPr>
        <w:t>（九）军事、国防</w:t>
      </w:r>
      <w:bookmarkEnd w:id="360"/>
      <w:bookmarkEnd w:id="361"/>
      <w:bookmarkEnd w:id="362"/>
      <w:bookmarkEnd w:id="363"/>
      <w:bookmarkEnd w:id="364"/>
    </w:p>
    <w:p w14:paraId="11E0A1DC"/>
    <w:p w14:paraId="4479815B">
      <w:pPr>
        <w:pStyle w:val="4"/>
        <w:rPr>
          <w:kern w:val="44"/>
        </w:rPr>
      </w:pPr>
      <w:bookmarkStart w:id="365" w:name="_Toc428780001"/>
      <w:bookmarkStart w:id="366" w:name="_Toc422471121"/>
      <w:bookmarkStart w:id="367" w:name="_Toc427651435"/>
      <w:bookmarkStart w:id="368" w:name="_Toc427651777"/>
      <w:bookmarkStart w:id="369" w:name="_Toc428781483"/>
      <w:r>
        <w:rPr>
          <w:rFonts w:hint="eastAsia"/>
          <w:kern w:val="44"/>
        </w:rPr>
        <w:t>北京市民兵预备役工作条例</w:t>
      </w:r>
      <w:bookmarkEnd w:id="365"/>
      <w:bookmarkEnd w:id="366"/>
      <w:bookmarkEnd w:id="367"/>
      <w:bookmarkEnd w:id="368"/>
      <w:bookmarkEnd w:id="369"/>
    </w:p>
    <w:p w14:paraId="6B482231">
      <w:pPr>
        <w:ind w:left="630" w:leftChars="300" w:right="630" w:rightChars="300"/>
        <w:jc w:val="left"/>
        <w:rPr>
          <w:rFonts w:ascii="楷体" w:hAnsi="楷体" w:eastAsia="楷体"/>
          <w:kern w:val="44"/>
        </w:rPr>
      </w:pPr>
      <w:r>
        <w:rPr>
          <w:rFonts w:hint="eastAsia" w:ascii="楷体" w:hAnsi="楷体" w:eastAsia="楷体"/>
          <w:kern w:val="44"/>
        </w:rPr>
        <w:t>（1994年9月9日北京市第十届人民代表大会常务委员会第十二次会议通过  1994年9月9日北京市人民代表大会常务委员会公告第30号公布  1994年12月1日起施行）</w:t>
      </w:r>
    </w:p>
    <w:p w14:paraId="23208586">
      <w:pPr>
        <w:ind w:left="630" w:leftChars="300" w:right="630" w:rightChars="300"/>
        <w:jc w:val="left"/>
        <w:rPr>
          <w:rFonts w:ascii="楷体" w:hAnsi="楷体" w:eastAsia="楷体"/>
          <w:kern w:val="44"/>
        </w:rPr>
      </w:pPr>
    </w:p>
    <w:p w14:paraId="20F5CF79">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为加强本市民兵、预备役部队建设，根据《中华人民共和国兵役法》和《民兵工作条例》以及国家有关法律、法规的规定，结合本市实际情况，制定本条例。</w:t>
      </w:r>
    </w:p>
    <w:p w14:paraId="750BF278">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本条例适用于户籍在本市的公民和本市行政区域内的机关、团体、企业、事业单位。</w:t>
      </w:r>
    </w:p>
    <w:p w14:paraId="337ED767">
      <w:pPr>
        <w:ind w:firstLine="422"/>
        <w:jc w:val="left"/>
        <w:rPr>
          <w:rFonts w:ascii="宋体" w:hAnsi="宋体"/>
          <w:kern w:val="44"/>
        </w:rPr>
      </w:pPr>
      <w:r>
        <w:rPr>
          <w:rFonts w:hint="eastAsia" w:ascii="宋体" w:hAnsi="宋体"/>
          <w:b/>
          <w:kern w:val="44"/>
        </w:rPr>
        <w:t>第三条</w:t>
      </w:r>
      <w:r>
        <w:rPr>
          <w:rFonts w:hint="eastAsia" w:ascii="宋体" w:hAnsi="宋体"/>
          <w:kern w:val="44"/>
        </w:rPr>
        <w:t>　民兵是中国共产党领导的不脱离生产的群众武装组织，是国家武装力量的组成部分。预备役部队是以现役军人为骨干，以编入民兵组织或者经过登记服预备役的人员为基础组建起来的战时快速动员武装组织。</w:t>
      </w:r>
    </w:p>
    <w:p w14:paraId="588D641E">
      <w:pPr>
        <w:jc w:val="left"/>
        <w:rPr>
          <w:rFonts w:ascii="宋体" w:hAnsi="宋体"/>
          <w:kern w:val="44"/>
        </w:rPr>
      </w:pPr>
      <w:r>
        <w:rPr>
          <w:rFonts w:hint="eastAsia" w:ascii="宋体" w:hAnsi="宋体"/>
          <w:kern w:val="44"/>
        </w:rPr>
        <w:t>民兵、预备役部队的主要任务依照国家的有关规定执行。</w:t>
      </w:r>
    </w:p>
    <w:p w14:paraId="2ACC5236">
      <w:pPr>
        <w:ind w:firstLine="422"/>
        <w:jc w:val="left"/>
        <w:rPr>
          <w:rFonts w:ascii="宋体" w:hAnsi="宋体"/>
          <w:kern w:val="44"/>
        </w:rPr>
      </w:pPr>
      <w:r>
        <w:rPr>
          <w:rFonts w:hint="eastAsia" w:ascii="宋体" w:hAnsi="宋体"/>
          <w:b/>
          <w:kern w:val="44"/>
        </w:rPr>
        <w:t>第四条</w:t>
      </w:r>
      <w:r>
        <w:rPr>
          <w:rFonts w:hint="eastAsia" w:ascii="宋体" w:hAnsi="宋体"/>
          <w:kern w:val="44"/>
        </w:rPr>
        <w:t>　本市民兵、预备役工作在上级军事机关和市人民政府的领导下，由北京卫戍区主管。</w:t>
      </w:r>
    </w:p>
    <w:p w14:paraId="49629899">
      <w:pPr>
        <w:jc w:val="left"/>
        <w:rPr>
          <w:rFonts w:ascii="宋体" w:hAnsi="宋体"/>
          <w:kern w:val="44"/>
        </w:rPr>
      </w:pPr>
      <w:r>
        <w:rPr>
          <w:rFonts w:hint="eastAsia" w:ascii="宋体" w:hAnsi="宋体"/>
          <w:kern w:val="44"/>
        </w:rPr>
        <w:t>各级人民政府必须加强对民兵、预备役工作的领导，统筹安排民兵、预备役工作，组织和监督完成民兵、预备役工作任务。各级人民政府的有关部门，应当协助军事机关开展民兵、预备役工作，解决有关问题。</w:t>
      </w:r>
    </w:p>
    <w:p w14:paraId="3DB77158">
      <w:pPr>
        <w:jc w:val="left"/>
        <w:rPr>
          <w:rFonts w:ascii="宋体" w:hAnsi="宋体"/>
          <w:kern w:val="44"/>
        </w:rPr>
      </w:pPr>
      <w:r>
        <w:rPr>
          <w:rFonts w:hint="eastAsia" w:ascii="宋体" w:hAnsi="宋体"/>
          <w:kern w:val="44"/>
        </w:rPr>
        <w:t>区、县人民武装部是本地区的军事领导指挥机关，负责本区域的民兵、预备役工作。乡、镇、街道和部门、系统以及企业、事业单位的人民武装部负责办理本地区、本部门、本系统、本单位的民兵、预备役工作。</w:t>
      </w:r>
    </w:p>
    <w:p w14:paraId="36F41CFB">
      <w:pPr>
        <w:jc w:val="left"/>
        <w:rPr>
          <w:rFonts w:ascii="宋体" w:hAnsi="宋体"/>
          <w:kern w:val="44"/>
        </w:rPr>
      </w:pPr>
      <w:r>
        <w:rPr>
          <w:rFonts w:hint="eastAsia" w:ascii="宋体" w:hAnsi="宋体"/>
          <w:kern w:val="44"/>
        </w:rPr>
        <w:t>本市民兵、预备役工作实行目标管理责任制。</w:t>
      </w:r>
    </w:p>
    <w:p w14:paraId="031F1FC2">
      <w:pPr>
        <w:ind w:firstLine="422"/>
        <w:jc w:val="left"/>
        <w:rPr>
          <w:rFonts w:ascii="宋体" w:hAnsi="宋体"/>
          <w:kern w:val="44"/>
        </w:rPr>
      </w:pPr>
      <w:r>
        <w:rPr>
          <w:rFonts w:hint="eastAsia" w:ascii="宋体" w:hAnsi="宋体"/>
          <w:b/>
          <w:kern w:val="44"/>
        </w:rPr>
        <w:t>第五条</w:t>
      </w:r>
      <w:r>
        <w:rPr>
          <w:rFonts w:hint="eastAsia" w:ascii="宋体" w:hAnsi="宋体"/>
          <w:kern w:val="44"/>
        </w:rPr>
        <w:t>　企业、事业单位有在职职工1000人以上的，应当设立人民武装部，1000人以下的，根据民兵、预备役工作的实际需要设立人民武装部；按规定不设立人民武装部的单位，应当配备专职人民武装干部，或者确定一个部门负责办理民兵、预备役工作。</w:t>
      </w:r>
    </w:p>
    <w:p w14:paraId="38A059E8">
      <w:pPr>
        <w:jc w:val="left"/>
        <w:rPr>
          <w:rFonts w:ascii="宋体" w:hAnsi="宋体"/>
          <w:kern w:val="44"/>
        </w:rPr>
      </w:pPr>
      <w:r>
        <w:rPr>
          <w:rFonts w:hint="eastAsia" w:ascii="宋体" w:hAnsi="宋体"/>
          <w:kern w:val="44"/>
        </w:rPr>
        <w:t>人民武装部干部的配备和机构的变更，依照国家和本市的有关规定办理，任何单位和部门不得擅自撤销或者合并人民武装部。</w:t>
      </w:r>
    </w:p>
    <w:p w14:paraId="7D01341E">
      <w:pPr>
        <w:ind w:firstLine="422"/>
        <w:jc w:val="left"/>
        <w:rPr>
          <w:rFonts w:ascii="宋体" w:hAnsi="宋体"/>
          <w:kern w:val="44"/>
        </w:rPr>
      </w:pPr>
      <w:r>
        <w:rPr>
          <w:rFonts w:hint="eastAsia" w:ascii="宋体" w:hAnsi="宋体"/>
          <w:b/>
          <w:kern w:val="44"/>
        </w:rPr>
        <w:t>第六条</w:t>
      </w:r>
      <w:r>
        <w:rPr>
          <w:rFonts w:hint="eastAsia" w:ascii="宋体" w:hAnsi="宋体"/>
          <w:kern w:val="44"/>
        </w:rPr>
        <w:t>　依照法律服兵役和参加民兵组织是中华人民共和国公民的光荣义务。凡18岁至35岁符合服兵役条件的本市男性公民，除正在服现役的以外，应当参加民兵组织、服预备役。</w:t>
      </w:r>
    </w:p>
    <w:p w14:paraId="668F1C16">
      <w:pPr>
        <w:jc w:val="left"/>
        <w:rPr>
          <w:rFonts w:ascii="宋体" w:hAnsi="宋体"/>
          <w:kern w:val="44"/>
        </w:rPr>
      </w:pPr>
      <w:r>
        <w:rPr>
          <w:rFonts w:hint="eastAsia" w:ascii="宋体" w:hAnsi="宋体"/>
          <w:kern w:val="44"/>
        </w:rPr>
        <w:t>根据需要，吸收女性公民参加基干民兵组织。</w:t>
      </w:r>
    </w:p>
    <w:p w14:paraId="2B323C20">
      <w:pPr>
        <w:ind w:firstLine="422"/>
        <w:jc w:val="left"/>
        <w:rPr>
          <w:rFonts w:ascii="宋体" w:hAnsi="宋体"/>
          <w:kern w:val="44"/>
        </w:rPr>
      </w:pPr>
      <w:r>
        <w:rPr>
          <w:rFonts w:hint="eastAsia" w:ascii="宋体" w:hAnsi="宋体"/>
          <w:b/>
          <w:kern w:val="44"/>
        </w:rPr>
        <w:t>第七条</w:t>
      </w:r>
      <w:r>
        <w:rPr>
          <w:rFonts w:hint="eastAsia" w:ascii="宋体" w:hAnsi="宋体"/>
          <w:kern w:val="44"/>
        </w:rPr>
        <w:t>　凡是符合建立一个基干民兵班或者民兵排条件的农村乡、镇和行政村，城市企业、事业单位和街道，都应当建立民兵组织。农村一般以行政村为单位编民兵排（基干班）、连或营；城市一般以企业、事业单位、街道为单位编民兵排、连、营、团。</w:t>
      </w:r>
    </w:p>
    <w:p w14:paraId="2B1382D8">
      <w:pPr>
        <w:jc w:val="left"/>
        <w:rPr>
          <w:rFonts w:ascii="宋体" w:hAnsi="宋体"/>
          <w:kern w:val="44"/>
        </w:rPr>
      </w:pPr>
      <w:r>
        <w:rPr>
          <w:rFonts w:hint="eastAsia" w:ascii="宋体" w:hAnsi="宋体"/>
          <w:kern w:val="44"/>
        </w:rPr>
        <w:t>按照规定不建立民兵组织的，应当对符合条件的公民进行预备役登记。</w:t>
      </w:r>
    </w:p>
    <w:p w14:paraId="182CB524">
      <w:pPr>
        <w:jc w:val="left"/>
        <w:rPr>
          <w:rFonts w:ascii="宋体" w:hAnsi="宋体"/>
          <w:kern w:val="44"/>
        </w:rPr>
      </w:pPr>
      <w:r>
        <w:rPr>
          <w:rFonts w:hint="eastAsia" w:ascii="宋体" w:hAnsi="宋体"/>
          <w:kern w:val="44"/>
        </w:rPr>
        <w:t>预备役部队依照上级军事机关的规定组建。</w:t>
      </w:r>
    </w:p>
    <w:p w14:paraId="6331C6FA">
      <w:pPr>
        <w:ind w:firstLine="422"/>
        <w:jc w:val="left"/>
        <w:rPr>
          <w:rFonts w:ascii="宋体" w:hAnsi="宋体"/>
          <w:kern w:val="44"/>
        </w:rPr>
      </w:pPr>
      <w:r>
        <w:rPr>
          <w:rFonts w:hint="eastAsia" w:ascii="宋体" w:hAnsi="宋体"/>
          <w:b/>
          <w:kern w:val="44"/>
        </w:rPr>
        <w:t>第八条</w:t>
      </w:r>
      <w:r>
        <w:rPr>
          <w:rFonts w:hint="eastAsia" w:ascii="宋体" w:hAnsi="宋体"/>
          <w:kern w:val="44"/>
        </w:rPr>
        <w:t>　乡、镇人民政府和街道办事处，企业、事业单位应当把民兵、预备役人员的政治教育纳入全民国防教育计划，保证人员、时间、内容的落实。</w:t>
      </w:r>
    </w:p>
    <w:p w14:paraId="1A348473">
      <w:pPr>
        <w:ind w:firstLine="422"/>
        <w:jc w:val="left"/>
        <w:rPr>
          <w:rFonts w:ascii="宋体" w:hAnsi="宋体"/>
          <w:kern w:val="44"/>
        </w:rPr>
      </w:pPr>
      <w:r>
        <w:rPr>
          <w:rFonts w:hint="eastAsia" w:ascii="宋体" w:hAnsi="宋体"/>
          <w:b/>
          <w:kern w:val="44"/>
        </w:rPr>
        <w:t>第九条</w:t>
      </w:r>
      <w:r>
        <w:rPr>
          <w:rFonts w:hint="eastAsia" w:ascii="宋体" w:hAnsi="宋体"/>
          <w:kern w:val="44"/>
        </w:rPr>
        <w:t>　乡、镇人民政府和街道办事处，企业、事业单位应当围绕经济建设开展民兵、预备役工作，组织发动民兵、预备役人员带头完成生产任务，开展劳动竞赛、技术革新、增产节约等活动，主动承担急难险重及其他公益建设任务，为两个文明建设做贡献。</w:t>
      </w:r>
    </w:p>
    <w:p w14:paraId="28D7E8BF">
      <w:pPr>
        <w:ind w:firstLine="422"/>
        <w:jc w:val="left"/>
        <w:rPr>
          <w:rFonts w:ascii="宋体" w:hAnsi="宋体"/>
          <w:kern w:val="44"/>
        </w:rPr>
      </w:pPr>
      <w:r>
        <w:rPr>
          <w:rFonts w:hint="eastAsia" w:ascii="宋体" w:hAnsi="宋体"/>
          <w:b/>
          <w:kern w:val="44"/>
        </w:rPr>
        <w:t>第十条</w:t>
      </w:r>
      <w:r>
        <w:rPr>
          <w:rFonts w:hint="eastAsia" w:ascii="宋体" w:hAnsi="宋体"/>
          <w:kern w:val="44"/>
        </w:rPr>
        <w:t>　各级人民武装部和预备役师、团应当组织民兵、预备役人员学习科学文化知识和生产技能，因地制宜地开展以劳养武活动。各级人民政府和有关部门对以劳养武活动应当给予支持。</w:t>
      </w:r>
    </w:p>
    <w:p w14:paraId="53D3348E">
      <w:pPr>
        <w:ind w:firstLine="422"/>
        <w:jc w:val="left"/>
        <w:rPr>
          <w:rFonts w:ascii="宋体" w:hAnsi="宋体"/>
          <w:kern w:val="44"/>
        </w:rPr>
      </w:pPr>
      <w:r>
        <w:rPr>
          <w:rFonts w:hint="eastAsia" w:ascii="宋体" w:hAnsi="宋体"/>
          <w:b/>
          <w:kern w:val="44"/>
        </w:rPr>
        <w:t>第十一条</w:t>
      </w:r>
      <w:r>
        <w:rPr>
          <w:rFonts w:hint="eastAsia" w:ascii="宋体" w:hAnsi="宋体"/>
          <w:kern w:val="44"/>
        </w:rPr>
        <w:t>　民兵、预备役部队的军事训练任务，由市人民政府和北京卫戍区下达，区、县人民政府和军事部门应当按要求完成任务。</w:t>
      </w:r>
    </w:p>
    <w:p w14:paraId="23445EC8">
      <w:pPr>
        <w:jc w:val="left"/>
        <w:rPr>
          <w:rFonts w:ascii="宋体" w:hAnsi="宋体"/>
          <w:kern w:val="44"/>
        </w:rPr>
      </w:pPr>
      <w:r>
        <w:rPr>
          <w:rFonts w:hint="eastAsia" w:ascii="宋体" w:hAnsi="宋体"/>
          <w:kern w:val="44"/>
        </w:rPr>
        <w:t>乡、镇人民政府和街道办事处应当根据上级下达的当年军事训练任务，掌握民兵、预备役人员流动情况，保证参加训练的人员、时间的落实。</w:t>
      </w:r>
    </w:p>
    <w:p w14:paraId="4BFA89E1">
      <w:pPr>
        <w:jc w:val="left"/>
        <w:rPr>
          <w:rFonts w:ascii="宋体" w:hAnsi="宋体"/>
          <w:kern w:val="44"/>
        </w:rPr>
      </w:pPr>
      <w:r>
        <w:rPr>
          <w:rFonts w:hint="eastAsia" w:ascii="宋体" w:hAnsi="宋体"/>
          <w:kern w:val="44"/>
        </w:rPr>
        <w:t>企业、事业单位应当把民兵、预备役部队军事训练所需的人员、时间，纳入劳动、人事管理计划，保证军事训练任务的完成。</w:t>
      </w:r>
    </w:p>
    <w:p w14:paraId="65A35B6E">
      <w:pPr>
        <w:ind w:firstLine="422"/>
        <w:jc w:val="left"/>
        <w:rPr>
          <w:rFonts w:ascii="宋体" w:hAnsi="宋体"/>
          <w:kern w:val="44"/>
        </w:rPr>
      </w:pPr>
      <w:r>
        <w:rPr>
          <w:rFonts w:hint="eastAsia" w:ascii="宋体" w:hAnsi="宋体"/>
          <w:b/>
          <w:kern w:val="44"/>
        </w:rPr>
        <w:t>第十二条</w:t>
      </w:r>
      <w:r>
        <w:rPr>
          <w:rFonts w:hint="eastAsia" w:ascii="宋体" w:hAnsi="宋体"/>
          <w:kern w:val="44"/>
        </w:rPr>
        <w:t>　民兵、预备役部队军事训练所需场地、武器装备应当得到保障。军事训练器材、教材，应当严格管理，不得挪作他用。</w:t>
      </w:r>
    </w:p>
    <w:p w14:paraId="778386A9">
      <w:pPr>
        <w:ind w:firstLine="422"/>
        <w:jc w:val="left"/>
        <w:rPr>
          <w:rFonts w:ascii="宋体" w:hAnsi="宋体"/>
          <w:kern w:val="44"/>
        </w:rPr>
      </w:pPr>
      <w:r>
        <w:rPr>
          <w:rFonts w:hint="eastAsia" w:ascii="宋体" w:hAnsi="宋体"/>
          <w:b/>
          <w:kern w:val="44"/>
        </w:rPr>
        <w:t>第十三条</w:t>
      </w:r>
      <w:r>
        <w:rPr>
          <w:rFonts w:hint="eastAsia" w:ascii="宋体" w:hAnsi="宋体"/>
          <w:kern w:val="44"/>
        </w:rPr>
        <w:t>　各级人民政府应当加强对民兵、预备役部队武器装备管理工作的领导。</w:t>
      </w:r>
    </w:p>
    <w:p w14:paraId="4F531030">
      <w:pPr>
        <w:jc w:val="left"/>
        <w:rPr>
          <w:rFonts w:ascii="宋体" w:hAnsi="宋体"/>
          <w:kern w:val="44"/>
        </w:rPr>
      </w:pPr>
      <w:r>
        <w:rPr>
          <w:rFonts w:hint="eastAsia" w:ascii="宋体" w:hAnsi="宋体"/>
          <w:kern w:val="44"/>
        </w:rPr>
        <w:t>民兵、预备役部队武器装备仓库的新建、改建、扩建，应当纳入地方基建计划。配备有民兵、预备役部队武器装备的乡、镇人民政府和企业、事业单位，应当按规定做好武器装备管理、维修工作，落实保管武器装备所需的库（室）、安全设施和看管人员。</w:t>
      </w:r>
    </w:p>
    <w:p w14:paraId="636519D5">
      <w:pPr>
        <w:jc w:val="left"/>
        <w:rPr>
          <w:rFonts w:ascii="宋体" w:hAnsi="宋体"/>
          <w:kern w:val="44"/>
        </w:rPr>
      </w:pPr>
      <w:r>
        <w:rPr>
          <w:rFonts w:hint="eastAsia" w:ascii="宋体" w:hAnsi="宋体"/>
          <w:kern w:val="44"/>
        </w:rPr>
        <w:t>民兵、预备役部队武器装备的配备、调整、使用、调动和安全技术管理等，依照上级军事机关和本市的有关规定办理。</w:t>
      </w:r>
    </w:p>
    <w:p w14:paraId="4798AB55">
      <w:pPr>
        <w:ind w:firstLine="422"/>
        <w:jc w:val="left"/>
        <w:rPr>
          <w:rFonts w:ascii="宋体" w:hAnsi="宋体"/>
          <w:kern w:val="44"/>
        </w:rPr>
      </w:pPr>
      <w:r>
        <w:rPr>
          <w:rFonts w:hint="eastAsia" w:ascii="宋体" w:hAnsi="宋体"/>
          <w:b/>
          <w:kern w:val="44"/>
        </w:rPr>
        <w:t>第十四条</w:t>
      </w:r>
      <w:r>
        <w:rPr>
          <w:rFonts w:hint="eastAsia" w:ascii="宋体" w:hAnsi="宋体"/>
          <w:kern w:val="44"/>
        </w:rPr>
        <w:t>　民兵、预备役部队应当积极参加社会治安综合治理，配合公安部门维护社会治安秩序。</w:t>
      </w:r>
    </w:p>
    <w:p w14:paraId="08C6A2C2">
      <w:pPr>
        <w:jc w:val="left"/>
        <w:rPr>
          <w:rFonts w:ascii="宋体" w:hAnsi="宋体"/>
          <w:kern w:val="44"/>
        </w:rPr>
      </w:pPr>
      <w:r>
        <w:rPr>
          <w:rFonts w:hint="eastAsia" w:ascii="宋体" w:hAnsi="宋体"/>
          <w:kern w:val="44"/>
        </w:rPr>
        <w:t>区、县人民政府和区、县人民武装部以及预备役师、团依照上级的有关规定，组织和落实民兵、预备役部队应急分队，随时担负上级赋予的任务。动用民兵、预备役部队应急分队的批准权限，依照有关规定执行。</w:t>
      </w:r>
    </w:p>
    <w:p w14:paraId="32D2B326">
      <w:pPr>
        <w:ind w:firstLine="422"/>
        <w:jc w:val="left"/>
        <w:rPr>
          <w:rFonts w:ascii="宋体" w:hAnsi="宋体"/>
          <w:kern w:val="44"/>
        </w:rPr>
      </w:pPr>
      <w:r>
        <w:rPr>
          <w:rFonts w:hint="eastAsia" w:ascii="宋体" w:hAnsi="宋体"/>
          <w:b/>
          <w:kern w:val="44"/>
        </w:rPr>
        <w:t>第十五条</w:t>
      </w:r>
      <w:r>
        <w:rPr>
          <w:rFonts w:hint="eastAsia" w:ascii="宋体" w:hAnsi="宋体"/>
          <w:kern w:val="44"/>
        </w:rPr>
        <w:t>　民兵、预备役人员参加军事训练期间原有的待遇不变。是农村村民的，比照当地同等劳动力的收入水平由所在乡、镇人民政府给予误工补贴；是企业、事业单位职工的，由所在单位照发工资和奖金；是城市个体工商者和待业人员的，由所在街道办事处给予适当补助。民兵、预备役人员参加军事训练期间的伙食补助和往返交通费，比照国家和本市有关规定办理。</w:t>
      </w:r>
    </w:p>
    <w:p w14:paraId="6E3145C7">
      <w:pPr>
        <w:ind w:firstLine="422"/>
        <w:jc w:val="left"/>
        <w:rPr>
          <w:rFonts w:ascii="宋体" w:hAnsi="宋体"/>
          <w:kern w:val="44"/>
        </w:rPr>
      </w:pPr>
      <w:r>
        <w:rPr>
          <w:rFonts w:hint="eastAsia" w:ascii="宋体" w:hAnsi="宋体"/>
          <w:b/>
          <w:kern w:val="44"/>
        </w:rPr>
        <w:t>第十六条</w:t>
      </w:r>
      <w:r>
        <w:rPr>
          <w:rFonts w:hint="eastAsia" w:ascii="宋体" w:hAnsi="宋体"/>
          <w:kern w:val="44"/>
        </w:rPr>
        <w:t>　本市民兵、预备役工作所需经费，主要由市人民政府下拨民兵事业费和区、县财政补贴以及实行乡、镇、企业、事业单位统筹的办法解决。统筹的具体办法以及经费的使用、管理等，由市人民政府另行规定。</w:t>
      </w:r>
    </w:p>
    <w:p w14:paraId="451B407F">
      <w:pPr>
        <w:ind w:firstLine="422"/>
        <w:jc w:val="left"/>
        <w:rPr>
          <w:rFonts w:ascii="宋体" w:hAnsi="宋体"/>
          <w:kern w:val="44"/>
        </w:rPr>
      </w:pPr>
      <w:r>
        <w:rPr>
          <w:rFonts w:hint="eastAsia" w:ascii="宋体" w:hAnsi="宋体"/>
          <w:b/>
          <w:kern w:val="44"/>
        </w:rPr>
        <w:t>第十七条</w:t>
      </w:r>
      <w:r>
        <w:rPr>
          <w:rFonts w:hint="eastAsia" w:ascii="宋体" w:hAnsi="宋体"/>
          <w:kern w:val="44"/>
        </w:rPr>
        <w:t>　基层人民武装部和企业、事业单位及其有关人员，在民兵、预备役工作中做出显著成绩的，由当地人民政府或者上级军事部门给予表彰。</w:t>
      </w:r>
    </w:p>
    <w:p w14:paraId="2032E231">
      <w:pPr>
        <w:jc w:val="left"/>
        <w:rPr>
          <w:rFonts w:ascii="宋体" w:hAnsi="宋体"/>
          <w:kern w:val="44"/>
        </w:rPr>
      </w:pPr>
      <w:r>
        <w:rPr>
          <w:rFonts w:hint="eastAsia" w:ascii="宋体" w:hAnsi="宋体"/>
          <w:kern w:val="44"/>
        </w:rPr>
        <w:t>民兵、预备役人员在参战执勤、军事训练、维护社会治安、抢险救灾以及其他民兵、预备役工作中做出显著成绩的，由当地人民政府或者军事部门参照 《中国人民解放军纪律条令》规定的奖励项目和批准权限，或者按照当地人民政府的有关规定，分别给予嘉奖、记功、授予荣誉称号以及其他奖励。</w:t>
      </w:r>
    </w:p>
    <w:p w14:paraId="68E553F1">
      <w:pPr>
        <w:jc w:val="left"/>
        <w:rPr>
          <w:rFonts w:ascii="宋体" w:hAnsi="宋体"/>
          <w:kern w:val="44"/>
        </w:rPr>
      </w:pPr>
      <w:r>
        <w:rPr>
          <w:rFonts w:hint="eastAsia" w:ascii="宋体" w:hAnsi="宋体"/>
          <w:kern w:val="44"/>
        </w:rPr>
        <w:t>民兵、预备役人员因参战执勤、军事训练、维护社会治安、抢险救灾以及其他民兵、预备役工作牺牲、致残的，依照国家和本市有关规定给予抚恤、优待或者安置。</w:t>
      </w:r>
    </w:p>
    <w:p w14:paraId="6BA20FCC">
      <w:pPr>
        <w:ind w:firstLine="422"/>
        <w:jc w:val="left"/>
        <w:rPr>
          <w:rFonts w:ascii="宋体" w:hAnsi="宋体"/>
          <w:kern w:val="44"/>
        </w:rPr>
      </w:pPr>
      <w:r>
        <w:rPr>
          <w:rFonts w:hint="eastAsia" w:ascii="宋体" w:hAnsi="宋体"/>
          <w:b/>
          <w:kern w:val="44"/>
        </w:rPr>
        <w:t>第十八条</w:t>
      </w:r>
      <w:r>
        <w:rPr>
          <w:rFonts w:hint="eastAsia" w:ascii="宋体" w:hAnsi="宋体"/>
          <w:kern w:val="44"/>
        </w:rPr>
        <w:t>　应当参加民兵、预备役组织的公民拒绝参加的，逃避教育训练和执行任务的民兵、预备役人员经教育不改的，由人民武装部提请其所在单位或者当地人民政府有关部门给予下列处分或行政处罚，并强制其履行兵役义务：</w:t>
      </w:r>
    </w:p>
    <w:p w14:paraId="2EEBCD95">
      <w:pPr>
        <w:jc w:val="left"/>
        <w:rPr>
          <w:rFonts w:ascii="宋体" w:hAnsi="宋体"/>
          <w:kern w:val="44"/>
        </w:rPr>
      </w:pPr>
      <w:r>
        <w:rPr>
          <w:rFonts w:hint="eastAsia" w:ascii="宋体" w:hAnsi="宋体"/>
          <w:kern w:val="44"/>
        </w:rPr>
        <w:t>（一）是在职职工的，由所在单位扣发半年至一年的奖金；</w:t>
      </w:r>
    </w:p>
    <w:p w14:paraId="035617EC">
      <w:pPr>
        <w:jc w:val="left"/>
        <w:rPr>
          <w:rFonts w:ascii="宋体" w:hAnsi="宋体"/>
          <w:kern w:val="44"/>
        </w:rPr>
      </w:pPr>
      <w:r>
        <w:rPr>
          <w:rFonts w:hint="eastAsia" w:ascii="宋体" w:hAnsi="宋体"/>
          <w:kern w:val="44"/>
        </w:rPr>
        <w:t>（二）是从事个体经营的，由工商行政管理部门责令暂停营业三个月至半年；</w:t>
      </w:r>
    </w:p>
    <w:p w14:paraId="252425C0">
      <w:pPr>
        <w:jc w:val="left"/>
        <w:rPr>
          <w:rFonts w:ascii="宋体" w:hAnsi="宋体"/>
          <w:kern w:val="44"/>
        </w:rPr>
      </w:pPr>
      <w:r>
        <w:rPr>
          <w:rFonts w:hint="eastAsia" w:ascii="宋体" w:hAnsi="宋体"/>
          <w:kern w:val="44"/>
        </w:rPr>
        <w:t>（三）是城镇待业青年或者农村青年的，由街道办事处或者乡、镇人民政府给予相当于当地一个参加军事训练人员训练所需经费1至3倍的罚款，或者责令其从事同等训练时间的社会公益劳动。</w:t>
      </w:r>
    </w:p>
    <w:p w14:paraId="56932EC0">
      <w:pPr>
        <w:ind w:firstLine="422"/>
        <w:jc w:val="left"/>
        <w:rPr>
          <w:rFonts w:ascii="宋体" w:hAnsi="宋体"/>
          <w:kern w:val="44"/>
        </w:rPr>
      </w:pPr>
      <w:r>
        <w:rPr>
          <w:rFonts w:hint="eastAsia" w:ascii="宋体" w:hAnsi="宋体"/>
          <w:b/>
          <w:kern w:val="44"/>
        </w:rPr>
        <w:t>第十九条</w:t>
      </w:r>
      <w:r>
        <w:rPr>
          <w:rFonts w:hint="eastAsia" w:ascii="宋体" w:hAnsi="宋体"/>
          <w:kern w:val="44"/>
        </w:rPr>
        <w:t>　部门、系统、企业、事业单位应当建立人民武装部和民兵组织而拒绝建立的，擅自撤销、合并人民武装部或者取消民兵、预备役组织的，拒绝接受民兵、预备役工作任务的，不完成军事训练任务的，由当地人民武装部对责任单位进行通报批评、责令限期改正，或者提请同级人民政府按照市人民政府的有关规定给予行政处罚，并可以由其上级主管部门对责任单位的主要负责人给予行政处分。</w:t>
      </w:r>
    </w:p>
    <w:p w14:paraId="51A90B11">
      <w:pPr>
        <w:ind w:firstLine="422"/>
        <w:jc w:val="left"/>
        <w:rPr>
          <w:rFonts w:ascii="宋体" w:hAnsi="宋体"/>
          <w:kern w:val="44"/>
        </w:rPr>
      </w:pPr>
      <w:r>
        <w:rPr>
          <w:rFonts w:hint="eastAsia" w:ascii="宋体" w:hAnsi="宋体"/>
          <w:b/>
          <w:kern w:val="44"/>
        </w:rPr>
        <w:t>第二十条</w:t>
      </w:r>
      <w:r>
        <w:rPr>
          <w:rFonts w:hint="eastAsia" w:ascii="宋体" w:hAnsi="宋体"/>
          <w:kern w:val="44"/>
        </w:rPr>
        <w:t>　对于违反有关规定或者疏于管理而发生武器装备事故的，由当地人民政府或者上级军事部门按照国家和市人民政府的有关规定，对责任单位给予行政处罚；对责任单位的负责人和直接责任人给予行政处分；构成犯罪的，依法追究刑事责任。</w:t>
      </w:r>
    </w:p>
    <w:p w14:paraId="5E3E5A6C">
      <w:pPr>
        <w:ind w:firstLine="422"/>
        <w:jc w:val="left"/>
        <w:rPr>
          <w:rFonts w:ascii="宋体" w:hAnsi="宋体"/>
          <w:kern w:val="44"/>
        </w:rPr>
      </w:pPr>
      <w:r>
        <w:rPr>
          <w:rFonts w:hint="eastAsia" w:ascii="宋体" w:hAnsi="宋体"/>
          <w:b/>
          <w:kern w:val="44"/>
        </w:rPr>
        <w:t>第二十一条</w:t>
      </w:r>
      <w:r>
        <w:rPr>
          <w:rFonts w:hint="eastAsia" w:ascii="宋体" w:hAnsi="宋体"/>
          <w:kern w:val="44"/>
        </w:rPr>
        <w:t>　本条例具体应用中的问题，由市人民政府负责解释。</w:t>
      </w:r>
    </w:p>
    <w:p w14:paraId="7FCD79C8">
      <w:pPr>
        <w:ind w:firstLine="422"/>
        <w:jc w:val="left"/>
        <w:rPr>
          <w:rFonts w:ascii="宋体" w:hAnsi="宋体"/>
          <w:kern w:val="44"/>
        </w:rPr>
      </w:pPr>
      <w:r>
        <w:rPr>
          <w:rFonts w:hint="eastAsia" w:ascii="宋体" w:hAnsi="宋体"/>
          <w:b/>
          <w:kern w:val="44"/>
        </w:rPr>
        <w:t>第二十二条</w:t>
      </w:r>
      <w:r>
        <w:rPr>
          <w:rFonts w:hint="eastAsia" w:ascii="宋体" w:hAnsi="宋体"/>
          <w:kern w:val="44"/>
        </w:rPr>
        <w:t>　本条例自1994年12月1日起施行。</w:t>
      </w:r>
    </w:p>
    <w:p w14:paraId="742A30A2">
      <w:pPr>
        <w:pStyle w:val="4"/>
        <w:pageBreakBefore/>
        <w:rPr>
          <w:kern w:val="44"/>
        </w:rPr>
      </w:pPr>
      <w:bookmarkStart w:id="370" w:name="_Toc427651436"/>
      <w:bookmarkStart w:id="371" w:name="_Toc428780002"/>
      <w:bookmarkStart w:id="372" w:name="_Toc428781484"/>
      <w:bookmarkStart w:id="373" w:name="_Toc427651778"/>
      <w:bookmarkStart w:id="374" w:name="_Toc422471122"/>
      <w:r>
        <w:rPr>
          <w:rFonts w:hint="eastAsia"/>
          <w:kern w:val="44"/>
        </w:rPr>
        <w:t>北京市人民防空条例</w:t>
      </w:r>
      <w:bookmarkEnd w:id="370"/>
      <w:bookmarkEnd w:id="371"/>
      <w:bookmarkEnd w:id="372"/>
      <w:bookmarkEnd w:id="373"/>
      <w:bookmarkEnd w:id="374"/>
    </w:p>
    <w:p w14:paraId="0857033C">
      <w:pPr>
        <w:ind w:left="630" w:leftChars="300" w:right="630" w:rightChars="300"/>
        <w:jc w:val="left"/>
        <w:rPr>
          <w:rFonts w:ascii="楷体" w:hAnsi="楷体" w:eastAsia="楷体"/>
          <w:kern w:val="44"/>
        </w:rPr>
      </w:pPr>
      <w:r>
        <w:rPr>
          <w:rFonts w:hint="eastAsia" w:ascii="楷体" w:hAnsi="楷体" w:eastAsia="楷体"/>
          <w:kern w:val="44"/>
        </w:rPr>
        <w:t>（2002年3月29日北京市第十一届人民代表大会常务委员会第三十三次会议通过）</w:t>
      </w:r>
    </w:p>
    <w:p w14:paraId="0D243043">
      <w:pPr>
        <w:ind w:left="630" w:leftChars="300" w:right="630" w:rightChars="300"/>
        <w:jc w:val="left"/>
        <w:rPr>
          <w:rFonts w:ascii="楷体" w:hAnsi="楷体" w:eastAsia="楷体"/>
          <w:kern w:val="44"/>
        </w:rPr>
      </w:pPr>
    </w:p>
    <w:p w14:paraId="02F60026">
      <w:pPr>
        <w:ind w:firstLine="0" w:firstLineChars="0"/>
        <w:jc w:val="center"/>
        <w:rPr>
          <w:rFonts w:ascii="宋体" w:hAnsi="宋体"/>
          <w:b/>
          <w:kern w:val="44"/>
          <w:sz w:val="28"/>
        </w:rPr>
      </w:pPr>
      <w:r>
        <w:rPr>
          <w:rFonts w:hint="eastAsia" w:ascii="宋体" w:hAnsi="宋体"/>
          <w:b/>
          <w:kern w:val="44"/>
          <w:sz w:val="28"/>
        </w:rPr>
        <w:t>第一章　总　则</w:t>
      </w:r>
    </w:p>
    <w:p w14:paraId="389D5E00">
      <w:pPr>
        <w:jc w:val="left"/>
        <w:rPr>
          <w:rFonts w:ascii="宋体" w:hAnsi="宋体"/>
          <w:kern w:val="44"/>
        </w:rPr>
      </w:pPr>
    </w:p>
    <w:p w14:paraId="7FF0FF45">
      <w:pPr>
        <w:ind w:firstLine="422"/>
        <w:jc w:val="left"/>
        <w:rPr>
          <w:rFonts w:ascii="宋体" w:hAnsi="宋体"/>
          <w:kern w:val="44"/>
        </w:rPr>
      </w:pPr>
      <w:r>
        <w:rPr>
          <w:rFonts w:hint="eastAsia" w:ascii="宋体" w:hAnsi="宋体"/>
          <w:b/>
          <w:kern w:val="44"/>
        </w:rPr>
        <w:t>第一条</w:t>
      </w:r>
      <w:r>
        <w:rPr>
          <w:rFonts w:hint="eastAsia" w:ascii="宋体" w:hAnsi="宋体"/>
          <w:kern w:val="44"/>
        </w:rPr>
        <w:t>　为了有效地组织人民防空，保护人民的生命和财产安全，根据《中华人民共和国人民防空法》，结合本市实际情况，制定本条例。</w:t>
      </w:r>
    </w:p>
    <w:p w14:paraId="4D816E86">
      <w:pPr>
        <w:ind w:firstLine="422"/>
        <w:jc w:val="left"/>
        <w:rPr>
          <w:rFonts w:ascii="宋体" w:hAnsi="宋体"/>
          <w:kern w:val="44"/>
        </w:rPr>
      </w:pPr>
      <w:r>
        <w:rPr>
          <w:rFonts w:hint="eastAsia" w:ascii="宋体" w:hAnsi="宋体"/>
          <w:b/>
          <w:kern w:val="44"/>
        </w:rPr>
        <w:t>第二条</w:t>
      </w:r>
      <w:r>
        <w:rPr>
          <w:rFonts w:hint="eastAsia" w:ascii="宋体" w:hAnsi="宋体"/>
          <w:kern w:val="44"/>
        </w:rPr>
        <w:t>　人民防空是国防的重要组成部分。人民防空建设是国民经济和社会发展的重要方面，是城市建设的重要内容，是利国利民的社会公益事业。</w:t>
      </w:r>
    </w:p>
    <w:p w14:paraId="4E773815">
      <w:pPr>
        <w:jc w:val="left"/>
        <w:rPr>
          <w:rFonts w:ascii="宋体" w:hAnsi="宋体"/>
          <w:kern w:val="44"/>
        </w:rPr>
      </w:pPr>
      <w:r>
        <w:rPr>
          <w:rFonts w:hint="eastAsia" w:ascii="宋体" w:hAnsi="宋体"/>
          <w:kern w:val="44"/>
        </w:rPr>
        <w:t>人民防空实行长期准备、重点建设、平战结合的方针，贯彻与经济建设协调发展，与首都城市建设、平时防灾救灾相结合的原则，努力适应不断发展变化的新形势。</w:t>
      </w:r>
    </w:p>
    <w:p w14:paraId="049B287E">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市和区、县人民政府应当将人民防空建设纳入国民经济和社会发展计划。</w:t>
      </w:r>
    </w:p>
    <w:p w14:paraId="0E4772B2">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市和区、县人民政府应当将负担的人民防空经费列入同级财政预算。</w:t>
      </w:r>
    </w:p>
    <w:p w14:paraId="07737950">
      <w:pPr>
        <w:jc w:val="left"/>
        <w:rPr>
          <w:rFonts w:ascii="宋体" w:hAnsi="宋体"/>
          <w:kern w:val="44"/>
        </w:rPr>
      </w:pPr>
      <w:r>
        <w:rPr>
          <w:rFonts w:hint="eastAsia" w:ascii="宋体" w:hAnsi="宋体"/>
          <w:kern w:val="44"/>
        </w:rPr>
        <w:t>有关单位应当按照国家和本市的规定负担人民防空费用。</w:t>
      </w:r>
    </w:p>
    <w:p w14:paraId="187E89B8">
      <w:pPr>
        <w:ind w:firstLine="422"/>
        <w:jc w:val="left"/>
        <w:rPr>
          <w:rFonts w:ascii="宋体" w:hAnsi="宋体"/>
          <w:kern w:val="44"/>
        </w:rPr>
      </w:pPr>
      <w:r>
        <w:rPr>
          <w:rFonts w:hint="eastAsia" w:ascii="宋体" w:hAnsi="宋体"/>
          <w:b/>
          <w:kern w:val="44"/>
        </w:rPr>
        <w:t>第五条</w:t>
      </w:r>
      <w:r>
        <w:rPr>
          <w:rFonts w:hint="eastAsia" w:ascii="宋体" w:hAnsi="宋体"/>
          <w:kern w:val="44"/>
        </w:rPr>
        <w:t>　市人民政府、北京卫戍区领导本市的人民防空工作。</w:t>
      </w:r>
    </w:p>
    <w:p w14:paraId="12202AA8">
      <w:pPr>
        <w:jc w:val="left"/>
        <w:rPr>
          <w:rFonts w:ascii="宋体" w:hAnsi="宋体"/>
          <w:kern w:val="44"/>
        </w:rPr>
      </w:pPr>
      <w:r>
        <w:rPr>
          <w:rFonts w:hint="eastAsia" w:ascii="宋体" w:hAnsi="宋体"/>
          <w:kern w:val="44"/>
        </w:rPr>
        <w:t>区、县人民政府和同级军事机关领导本区、县的人民防空工作。</w:t>
      </w:r>
    </w:p>
    <w:p w14:paraId="6B6E61F2">
      <w:pPr>
        <w:ind w:firstLine="422"/>
        <w:jc w:val="left"/>
        <w:rPr>
          <w:rFonts w:ascii="宋体" w:hAnsi="宋体"/>
          <w:kern w:val="44"/>
        </w:rPr>
      </w:pPr>
      <w:r>
        <w:rPr>
          <w:rFonts w:hint="eastAsia" w:ascii="宋体" w:hAnsi="宋体"/>
          <w:b/>
          <w:kern w:val="44"/>
        </w:rPr>
        <w:t>第六条</w:t>
      </w:r>
      <w:r>
        <w:rPr>
          <w:rFonts w:hint="eastAsia" w:ascii="宋体" w:hAnsi="宋体"/>
          <w:kern w:val="44"/>
        </w:rPr>
        <w:t>　市人民防空主管部门管理本市的人民防空工作。</w:t>
      </w:r>
    </w:p>
    <w:p w14:paraId="624172F7">
      <w:pPr>
        <w:jc w:val="left"/>
        <w:rPr>
          <w:rFonts w:ascii="宋体" w:hAnsi="宋体"/>
          <w:kern w:val="44"/>
        </w:rPr>
      </w:pPr>
      <w:r>
        <w:rPr>
          <w:rFonts w:hint="eastAsia" w:ascii="宋体" w:hAnsi="宋体"/>
          <w:kern w:val="44"/>
        </w:rPr>
        <w:t>区、县人民防空主管部门管理本区、县的人民防空工作。</w:t>
      </w:r>
    </w:p>
    <w:p w14:paraId="179F6851">
      <w:pPr>
        <w:jc w:val="left"/>
        <w:rPr>
          <w:rFonts w:ascii="宋体" w:hAnsi="宋体"/>
          <w:kern w:val="44"/>
        </w:rPr>
      </w:pPr>
      <w:r>
        <w:rPr>
          <w:rFonts w:hint="eastAsia" w:ascii="宋体" w:hAnsi="宋体"/>
          <w:kern w:val="44"/>
        </w:rPr>
        <w:t>乡、民族乡、镇人民政府和街道办事处可以根据人民防空工作的需要，设置专（兼）职办事机构或者人员，负责本地区的人民防空工作。</w:t>
      </w:r>
    </w:p>
    <w:p w14:paraId="7F9F283B">
      <w:pPr>
        <w:jc w:val="left"/>
        <w:rPr>
          <w:rFonts w:ascii="宋体" w:hAnsi="宋体"/>
          <w:kern w:val="44"/>
        </w:rPr>
      </w:pPr>
      <w:r>
        <w:rPr>
          <w:rFonts w:hint="eastAsia" w:ascii="宋体" w:hAnsi="宋体"/>
          <w:kern w:val="44"/>
        </w:rPr>
        <w:t>发展计划、规划、建设、市政管理、公安、民政、交通、国土房管、卫生、教育、工商行政、税务、通信管理、广播电视等部门按照各自的职责依法做好人民防空工作。</w:t>
      </w:r>
    </w:p>
    <w:p w14:paraId="2B444DBC">
      <w:pPr>
        <w:ind w:firstLine="422"/>
        <w:jc w:val="left"/>
        <w:rPr>
          <w:rFonts w:ascii="宋体" w:hAnsi="宋体"/>
          <w:kern w:val="44"/>
        </w:rPr>
      </w:pPr>
      <w:r>
        <w:rPr>
          <w:rFonts w:hint="eastAsia" w:ascii="宋体" w:hAnsi="宋体"/>
          <w:b/>
          <w:kern w:val="44"/>
        </w:rPr>
        <w:t>第七条</w:t>
      </w:r>
      <w:r>
        <w:rPr>
          <w:rFonts w:hint="eastAsia" w:ascii="宋体" w:hAnsi="宋体"/>
          <w:kern w:val="44"/>
        </w:rPr>
        <w:t>　一切组织和个人都有得到人民防空保护的权利，都必须依法履行人民防空的义务。</w:t>
      </w:r>
    </w:p>
    <w:p w14:paraId="4AD3BC92">
      <w:pPr>
        <w:ind w:firstLine="422"/>
        <w:jc w:val="left"/>
        <w:rPr>
          <w:rFonts w:ascii="宋体" w:hAnsi="宋体"/>
          <w:kern w:val="44"/>
        </w:rPr>
      </w:pPr>
      <w:r>
        <w:rPr>
          <w:rFonts w:hint="eastAsia" w:ascii="宋体" w:hAnsi="宋体"/>
          <w:b/>
          <w:kern w:val="44"/>
        </w:rPr>
        <w:t>第八条</w:t>
      </w:r>
      <w:r>
        <w:rPr>
          <w:rFonts w:hint="eastAsia" w:ascii="宋体" w:hAnsi="宋体"/>
          <w:kern w:val="44"/>
        </w:rPr>
        <w:t>　市、区、县人民政府和同级军事机关对在人民防空工作中做出显著成绩的单位和个人给予表彰、奖励。</w:t>
      </w:r>
    </w:p>
    <w:p w14:paraId="5AA89F1B">
      <w:pPr>
        <w:jc w:val="left"/>
        <w:rPr>
          <w:rFonts w:ascii="宋体" w:hAnsi="宋体"/>
          <w:kern w:val="44"/>
        </w:rPr>
      </w:pPr>
    </w:p>
    <w:p w14:paraId="7FDDF1BA">
      <w:pPr>
        <w:ind w:firstLine="0" w:firstLineChars="0"/>
        <w:jc w:val="center"/>
        <w:rPr>
          <w:rFonts w:ascii="宋体" w:hAnsi="宋体"/>
          <w:b/>
          <w:kern w:val="44"/>
          <w:sz w:val="28"/>
        </w:rPr>
      </w:pPr>
      <w:r>
        <w:rPr>
          <w:rFonts w:hint="eastAsia" w:ascii="宋体" w:hAnsi="宋体"/>
          <w:b/>
          <w:kern w:val="44"/>
          <w:sz w:val="28"/>
        </w:rPr>
        <w:t>第二章　防护重点</w:t>
      </w:r>
    </w:p>
    <w:p w14:paraId="128630FA">
      <w:pPr>
        <w:jc w:val="left"/>
        <w:rPr>
          <w:rFonts w:ascii="宋体" w:hAnsi="宋体"/>
          <w:kern w:val="44"/>
        </w:rPr>
      </w:pPr>
    </w:p>
    <w:p w14:paraId="17EDB603">
      <w:pPr>
        <w:ind w:firstLine="422"/>
        <w:jc w:val="left"/>
        <w:rPr>
          <w:rFonts w:ascii="宋体" w:hAnsi="宋体"/>
          <w:kern w:val="44"/>
        </w:rPr>
      </w:pPr>
      <w:r>
        <w:rPr>
          <w:rFonts w:hint="eastAsia" w:ascii="宋体" w:hAnsi="宋体"/>
          <w:b/>
          <w:kern w:val="44"/>
        </w:rPr>
        <w:t>第九条</w:t>
      </w:r>
      <w:r>
        <w:rPr>
          <w:rFonts w:hint="eastAsia" w:ascii="宋体" w:hAnsi="宋体"/>
          <w:kern w:val="44"/>
        </w:rPr>
        <w:t>　本市是人民防空重点城市。以下地区和目标是人民防空防护重点：</w:t>
      </w:r>
    </w:p>
    <w:p w14:paraId="2C0DB299">
      <w:pPr>
        <w:jc w:val="left"/>
        <w:rPr>
          <w:rFonts w:ascii="宋体" w:hAnsi="宋体"/>
          <w:kern w:val="44"/>
        </w:rPr>
      </w:pPr>
      <w:r>
        <w:rPr>
          <w:rFonts w:hint="eastAsia" w:ascii="宋体" w:hAnsi="宋体"/>
          <w:kern w:val="44"/>
        </w:rPr>
        <w:t>（一）市区和其他人口密集区；</w:t>
      </w:r>
    </w:p>
    <w:p w14:paraId="13A26A46">
      <w:pPr>
        <w:jc w:val="left"/>
        <w:rPr>
          <w:rFonts w:ascii="宋体" w:hAnsi="宋体"/>
          <w:kern w:val="44"/>
        </w:rPr>
      </w:pPr>
      <w:r>
        <w:rPr>
          <w:rFonts w:hint="eastAsia" w:ascii="宋体" w:hAnsi="宋体"/>
          <w:kern w:val="44"/>
        </w:rPr>
        <w:t>（二）重要的工矿企业、科研基地、桥梁、交通枢纽、通信枢纽、仓库、储罐、发电厂、配电站、水库和供水、供热、供气设施等重要经济目标；</w:t>
      </w:r>
    </w:p>
    <w:p w14:paraId="1C933BD5">
      <w:pPr>
        <w:jc w:val="left"/>
        <w:rPr>
          <w:rFonts w:ascii="宋体" w:hAnsi="宋体"/>
          <w:kern w:val="44"/>
        </w:rPr>
      </w:pPr>
      <w:r>
        <w:rPr>
          <w:rFonts w:hint="eastAsia" w:ascii="宋体" w:hAnsi="宋体"/>
          <w:kern w:val="44"/>
        </w:rPr>
        <w:t>（三）重要文物保护单位；</w:t>
      </w:r>
    </w:p>
    <w:p w14:paraId="68649CBB">
      <w:pPr>
        <w:jc w:val="left"/>
        <w:rPr>
          <w:rFonts w:ascii="宋体" w:hAnsi="宋体"/>
          <w:kern w:val="44"/>
        </w:rPr>
      </w:pPr>
      <w:r>
        <w:rPr>
          <w:rFonts w:hint="eastAsia" w:ascii="宋体" w:hAnsi="宋体"/>
          <w:kern w:val="44"/>
        </w:rPr>
        <w:t>（四）广播电视台站等重要目标。</w:t>
      </w:r>
    </w:p>
    <w:p w14:paraId="2A152400">
      <w:pPr>
        <w:jc w:val="left"/>
        <w:rPr>
          <w:rFonts w:ascii="宋体" w:hAnsi="宋体"/>
          <w:kern w:val="44"/>
        </w:rPr>
      </w:pPr>
      <w:r>
        <w:rPr>
          <w:rFonts w:hint="eastAsia" w:ascii="宋体" w:hAnsi="宋体"/>
          <w:kern w:val="44"/>
        </w:rPr>
        <w:t>具体防护重点由市人民政府和北京卫戍区确定。</w:t>
      </w:r>
    </w:p>
    <w:p w14:paraId="750379FA">
      <w:pPr>
        <w:ind w:firstLine="422"/>
        <w:jc w:val="left"/>
        <w:rPr>
          <w:rFonts w:ascii="宋体" w:hAnsi="宋体"/>
          <w:kern w:val="44"/>
        </w:rPr>
      </w:pPr>
      <w:r>
        <w:rPr>
          <w:rFonts w:hint="eastAsia" w:ascii="宋体" w:hAnsi="宋体"/>
          <w:b/>
          <w:kern w:val="44"/>
        </w:rPr>
        <w:t>第十条</w:t>
      </w:r>
      <w:r>
        <w:rPr>
          <w:rFonts w:hint="eastAsia" w:ascii="宋体" w:hAnsi="宋体"/>
          <w:kern w:val="44"/>
        </w:rPr>
        <w:t>　市和区、县人民政府会同同级军事机关制定本行政区域内的防空袭方案及实施计划，必要时经批准可以组织演习。</w:t>
      </w:r>
    </w:p>
    <w:p w14:paraId="148BC4D5">
      <w:pPr>
        <w:jc w:val="left"/>
        <w:rPr>
          <w:rFonts w:ascii="宋体" w:hAnsi="宋体"/>
          <w:kern w:val="44"/>
        </w:rPr>
      </w:pPr>
      <w:r>
        <w:rPr>
          <w:rFonts w:hint="eastAsia" w:ascii="宋体" w:hAnsi="宋体"/>
          <w:kern w:val="44"/>
        </w:rPr>
        <w:t>市防空袭方案及实施计划，按照规定报国家有关部门批准，并向国家人民防空主管部门备案。</w:t>
      </w:r>
    </w:p>
    <w:p w14:paraId="1782B0C5">
      <w:pPr>
        <w:jc w:val="left"/>
        <w:rPr>
          <w:rFonts w:ascii="宋体" w:hAnsi="宋体"/>
          <w:kern w:val="44"/>
        </w:rPr>
      </w:pPr>
      <w:r>
        <w:rPr>
          <w:rFonts w:hint="eastAsia" w:ascii="宋体" w:hAnsi="宋体"/>
          <w:kern w:val="44"/>
        </w:rPr>
        <w:t>区、县防空袭方案及实施计划，报市人民政府和北京卫戍区批准，并向市人民防空主管部门备案。</w:t>
      </w:r>
    </w:p>
    <w:p w14:paraId="5B4214DD">
      <w:pPr>
        <w:jc w:val="left"/>
        <w:rPr>
          <w:rFonts w:ascii="宋体" w:hAnsi="宋体"/>
          <w:kern w:val="44"/>
        </w:rPr>
      </w:pPr>
      <w:r>
        <w:rPr>
          <w:rFonts w:hint="eastAsia" w:ascii="宋体" w:hAnsi="宋体"/>
          <w:kern w:val="44"/>
        </w:rPr>
        <w:t>防空袭方案及实施计划的修订、补充和重大事项的调整，应当报经原批准机关同意。</w:t>
      </w:r>
    </w:p>
    <w:p w14:paraId="5E31FCB0">
      <w:pPr>
        <w:ind w:firstLine="422"/>
        <w:jc w:val="left"/>
        <w:rPr>
          <w:rFonts w:ascii="宋体" w:hAnsi="宋体"/>
          <w:kern w:val="44"/>
        </w:rPr>
      </w:pPr>
      <w:r>
        <w:rPr>
          <w:rFonts w:hint="eastAsia" w:ascii="宋体" w:hAnsi="宋体"/>
          <w:b/>
          <w:kern w:val="44"/>
        </w:rPr>
        <w:t>第十一条</w:t>
      </w:r>
      <w:r>
        <w:rPr>
          <w:rFonts w:hint="eastAsia" w:ascii="宋体" w:hAnsi="宋体"/>
          <w:kern w:val="44"/>
        </w:rPr>
        <w:t>　重要经济目标的单位应当制定防护方案和应急抢险抢修方案，并向所在地区、县人民防空主管部门备案。</w:t>
      </w:r>
    </w:p>
    <w:p w14:paraId="6E27E538">
      <w:pPr>
        <w:ind w:firstLine="422"/>
        <w:jc w:val="left"/>
        <w:rPr>
          <w:rFonts w:ascii="宋体" w:hAnsi="宋体"/>
          <w:kern w:val="44"/>
        </w:rPr>
      </w:pPr>
      <w:r>
        <w:rPr>
          <w:rFonts w:hint="eastAsia" w:ascii="宋体" w:hAnsi="宋体"/>
          <w:b/>
          <w:kern w:val="44"/>
        </w:rPr>
        <w:t>第十二条</w:t>
      </w:r>
      <w:r>
        <w:rPr>
          <w:rFonts w:hint="eastAsia" w:ascii="宋体" w:hAnsi="宋体"/>
          <w:kern w:val="44"/>
        </w:rPr>
        <w:t>　市和区、县人民政府应当将人民防空工程建设规划纳入城市总体规划。城市规划和建设应当符合人民防空要求。</w:t>
      </w:r>
    </w:p>
    <w:p w14:paraId="2A3462EB">
      <w:pPr>
        <w:jc w:val="left"/>
        <w:rPr>
          <w:rFonts w:ascii="宋体" w:hAnsi="宋体"/>
          <w:kern w:val="44"/>
        </w:rPr>
      </w:pPr>
      <w:r>
        <w:rPr>
          <w:rFonts w:hint="eastAsia" w:ascii="宋体" w:hAnsi="宋体"/>
          <w:kern w:val="44"/>
        </w:rPr>
        <w:t>重要经济目标的规划和建设应当征求人民防空主管部门和同级军事机关的意见。对适合建在地下的重要项目或者项目的关键部位，应当结合平时建设有计划地建在地下；不宜建在地下的应当采取伪装等防护措施。</w:t>
      </w:r>
    </w:p>
    <w:p w14:paraId="15FC09CB">
      <w:pPr>
        <w:jc w:val="left"/>
        <w:rPr>
          <w:rFonts w:ascii="宋体" w:hAnsi="宋体"/>
          <w:kern w:val="44"/>
        </w:rPr>
      </w:pPr>
      <w:r>
        <w:rPr>
          <w:rFonts w:hint="eastAsia" w:ascii="宋体" w:hAnsi="宋体"/>
          <w:kern w:val="44"/>
        </w:rPr>
        <w:t>城市地下交通干线、地下商业娱乐设施、地下停车场、地下过街道、共同沟等城市地下空间的开发建设，应当兼顾人民防空需要。</w:t>
      </w:r>
    </w:p>
    <w:p w14:paraId="3008356E">
      <w:pPr>
        <w:ind w:firstLine="422"/>
        <w:jc w:val="left"/>
        <w:rPr>
          <w:rFonts w:ascii="宋体" w:hAnsi="宋体"/>
          <w:kern w:val="44"/>
        </w:rPr>
      </w:pPr>
      <w:r>
        <w:rPr>
          <w:rFonts w:hint="eastAsia" w:ascii="宋体" w:hAnsi="宋体"/>
          <w:b/>
          <w:kern w:val="44"/>
        </w:rPr>
        <w:t>第十三条</w:t>
      </w:r>
      <w:r>
        <w:rPr>
          <w:rFonts w:hint="eastAsia" w:ascii="宋体" w:hAnsi="宋体"/>
          <w:kern w:val="44"/>
        </w:rPr>
        <w:t>　为战时储备粮食、医药、油料和其他必需物资的工程，应当建在地下或者其他隐蔽地点。</w:t>
      </w:r>
    </w:p>
    <w:p w14:paraId="4DABC169">
      <w:pPr>
        <w:jc w:val="left"/>
        <w:rPr>
          <w:rFonts w:ascii="宋体" w:hAnsi="宋体"/>
          <w:kern w:val="44"/>
        </w:rPr>
      </w:pPr>
    </w:p>
    <w:p w14:paraId="32476B8E">
      <w:pPr>
        <w:ind w:firstLine="0" w:firstLineChars="0"/>
        <w:jc w:val="center"/>
        <w:rPr>
          <w:rFonts w:ascii="宋体" w:hAnsi="宋体"/>
          <w:b/>
          <w:kern w:val="44"/>
          <w:sz w:val="28"/>
        </w:rPr>
      </w:pPr>
      <w:r>
        <w:rPr>
          <w:rFonts w:hint="eastAsia" w:ascii="宋体" w:hAnsi="宋体"/>
          <w:b/>
          <w:kern w:val="44"/>
          <w:sz w:val="28"/>
        </w:rPr>
        <w:t>第三章　人民防空工程</w:t>
      </w:r>
    </w:p>
    <w:p w14:paraId="6A38CEA7">
      <w:pPr>
        <w:jc w:val="left"/>
        <w:rPr>
          <w:rFonts w:ascii="宋体" w:hAnsi="宋体"/>
          <w:kern w:val="44"/>
        </w:rPr>
      </w:pPr>
    </w:p>
    <w:p w14:paraId="15498C2C">
      <w:pPr>
        <w:ind w:firstLine="422"/>
        <w:jc w:val="left"/>
        <w:rPr>
          <w:rFonts w:ascii="宋体" w:hAnsi="宋体"/>
          <w:kern w:val="44"/>
        </w:rPr>
      </w:pPr>
      <w:r>
        <w:rPr>
          <w:rFonts w:hint="eastAsia" w:ascii="宋体" w:hAnsi="宋体"/>
          <w:b/>
          <w:kern w:val="44"/>
        </w:rPr>
        <w:t>第十四条</w:t>
      </w:r>
      <w:r>
        <w:rPr>
          <w:rFonts w:hint="eastAsia" w:ascii="宋体" w:hAnsi="宋体"/>
          <w:kern w:val="44"/>
        </w:rPr>
        <w:t>　市和区、县人民政府负责组织为保障战时人员与物资掩蔽、人民防空指挥、医疗救护等单独修建的地下防护建筑的建设。根据形势发展需要，采取有效措施组织人民防空工程应急建设。</w:t>
      </w:r>
    </w:p>
    <w:p w14:paraId="3DB34A32">
      <w:pPr>
        <w:ind w:firstLine="422"/>
        <w:jc w:val="left"/>
        <w:rPr>
          <w:rFonts w:ascii="宋体" w:hAnsi="宋体"/>
          <w:kern w:val="44"/>
        </w:rPr>
      </w:pPr>
      <w:r>
        <w:rPr>
          <w:rFonts w:hint="eastAsia" w:ascii="宋体" w:hAnsi="宋体"/>
          <w:b/>
          <w:kern w:val="44"/>
        </w:rPr>
        <w:t>第十五条</w:t>
      </w:r>
      <w:r>
        <w:rPr>
          <w:rFonts w:hint="eastAsia" w:ascii="宋体" w:hAnsi="宋体"/>
          <w:kern w:val="44"/>
        </w:rPr>
        <w:t>　鼓励、支持企业事业单位、社会团体和个人投资人民防空工程建设。人民防空工程平时由投资者使用管理，收益归投资者所有。</w:t>
      </w:r>
    </w:p>
    <w:p w14:paraId="3E8453CA">
      <w:pPr>
        <w:jc w:val="left"/>
        <w:rPr>
          <w:rFonts w:ascii="宋体" w:hAnsi="宋体"/>
          <w:kern w:val="44"/>
        </w:rPr>
      </w:pPr>
      <w:r>
        <w:rPr>
          <w:rFonts w:hint="eastAsia" w:ascii="宋体" w:hAnsi="宋体"/>
          <w:kern w:val="44"/>
        </w:rPr>
        <w:t>企业事业单位、社会团体和个人投资建设人民防空设施的，享受国家和本市规定的优惠政策。</w:t>
      </w:r>
    </w:p>
    <w:p w14:paraId="0A1D7724">
      <w:pPr>
        <w:ind w:firstLine="422"/>
        <w:jc w:val="left"/>
        <w:rPr>
          <w:rFonts w:ascii="宋体" w:hAnsi="宋体"/>
          <w:kern w:val="44"/>
        </w:rPr>
      </w:pPr>
      <w:r>
        <w:rPr>
          <w:rFonts w:hint="eastAsia" w:ascii="宋体" w:hAnsi="宋体"/>
          <w:b/>
          <w:kern w:val="44"/>
        </w:rPr>
        <w:t>第十六条</w:t>
      </w:r>
      <w:r>
        <w:rPr>
          <w:rFonts w:hint="eastAsia" w:ascii="宋体" w:hAnsi="宋体"/>
          <w:kern w:val="44"/>
        </w:rPr>
        <w:t>　城市新建民用建筑必须按照国家和本市的规定修建防空地下室。</w:t>
      </w:r>
    </w:p>
    <w:p w14:paraId="6C005D7B">
      <w:pPr>
        <w:jc w:val="left"/>
        <w:rPr>
          <w:rFonts w:ascii="宋体" w:hAnsi="宋体"/>
          <w:kern w:val="44"/>
        </w:rPr>
      </w:pPr>
      <w:r>
        <w:rPr>
          <w:rFonts w:hint="eastAsia" w:ascii="宋体" w:hAnsi="宋体"/>
          <w:kern w:val="44"/>
        </w:rPr>
        <w:t>按照规定必须建设防空地下室的建设项目，由于地质条件限制不能修建防空地下室的，按照规定交纳易地建设费，由人民防空主管部门统筹安排组织易地建设。</w:t>
      </w:r>
    </w:p>
    <w:p w14:paraId="7C121F96">
      <w:pPr>
        <w:jc w:val="left"/>
        <w:rPr>
          <w:rFonts w:ascii="宋体" w:hAnsi="宋体"/>
          <w:kern w:val="44"/>
        </w:rPr>
      </w:pPr>
      <w:r>
        <w:rPr>
          <w:rFonts w:hint="eastAsia" w:ascii="宋体" w:hAnsi="宋体"/>
          <w:kern w:val="44"/>
        </w:rPr>
        <w:t>易地建设费的收费标准由市价格主管部门会同市财政主管部门制定。除国家规定的减免项目外，任何部门不得批准减免易地建设费。</w:t>
      </w:r>
    </w:p>
    <w:p w14:paraId="3E497A1F">
      <w:pPr>
        <w:ind w:firstLine="422"/>
        <w:jc w:val="left"/>
        <w:rPr>
          <w:rFonts w:ascii="宋体" w:hAnsi="宋体"/>
          <w:kern w:val="44"/>
        </w:rPr>
      </w:pPr>
      <w:r>
        <w:rPr>
          <w:rFonts w:hint="eastAsia" w:ascii="宋体" w:hAnsi="宋体"/>
          <w:b/>
          <w:kern w:val="44"/>
        </w:rPr>
        <w:t>第十七条</w:t>
      </w:r>
      <w:r>
        <w:rPr>
          <w:rFonts w:hint="eastAsia" w:ascii="宋体" w:hAnsi="宋体"/>
          <w:kern w:val="44"/>
        </w:rPr>
        <w:t>　新建人民防空工程的进出道路、孔口、出入口、口部管理房等设施的设计应当与城市建设规划衔接。</w:t>
      </w:r>
    </w:p>
    <w:p w14:paraId="3B86C2E0">
      <w:pPr>
        <w:jc w:val="left"/>
        <w:rPr>
          <w:rFonts w:ascii="宋体" w:hAnsi="宋体"/>
          <w:kern w:val="44"/>
        </w:rPr>
      </w:pPr>
      <w:r>
        <w:rPr>
          <w:rFonts w:hint="eastAsia" w:ascii="宋体" w:hAnsi="宋体"/>
          <w:kern w:val="44"/>
        </w:rPr>
        <w:t>在已建成的人民防空工程的进出道路、孔口、出入口、口部管理房等设施周边安排建设项目，影响人民防空工程使用的，应当采取相应措施后方可建设。</w:t>
      </w:r>
    </w:p>
    <w:p w14:paraId="649E9D7A">
      <w:pPr>
        <w:ind w:firstLine="422"/>
        <w:jc w:val="left"/>
        <w:rPr>
          <w:rFonts w:ascii="宋体" w:hAnsi="宋体"/>
          <w:kern w:val="44"/>
        </w:rPr>
      </w:pPr>
      <w:r>
        <w:rPr>
          <w:rFonts w:hint="eastAsia" w:ascii="宋体" w:hAnsi="宋体"/>
          <w:b/>
          <w:kern w:val="44"/>
        </w:rPr>
        <w:t>第十八条</w:t>
      </w:r>
      <w:r>
        <w:rPr>
          <w:rFonts w:hint="eastAsia" w:ascii="宋体" w:hAnsi="宋体"/>
          <w:kern w:val="44"/>
        </w:rPr>
        <w:t>　人民防空工程建设的设计、施工、质量必须符合国家规定的防护标准和质量标准。</w:t>
      </w:r>
    </w:p>
    <w:p w14:paraId="7A30C671">
      <w:pPr>
        <w:jc w:val="left"/>
        <w:rPr>
          <w:rFonts w:ascii="宋体" w:hAnsi="宋体"/>
          <w:kern w:val="44"/>
        </w:rPr>
      </w:pPr>
      <w:r>
        <w:rPr>
          <w:rFonts w:hint="eastAsia" w:ascii="宋体" w:hAnsi="宋体"/>
          <w:kern w:val="44"/>
        </w:rPr>
        <w:t>人民防空工程竣工经验收合格的，建设单位应当向人民防空主管部门备案。</w:t>
      </w:r>
    </w:p>
    <w:p w14:paraId="0E90B382">
      <w:pPr>
        <w:ind w:firstLine="422"/>
        <w:jc w:val="left"/>
        <w:rPr>
          <w:rFonts w:ascii="宋体" w:hAnsi="宋体"/>
          <w:kern w:val="44"/>
        </w:rPr>
      </w:pPr>
      <w:r>
        <w:rPr>
          <w:rFonts w:hint="eastAsia" w:ascii="宋体" w:hAnsi="宋体"/>
          <w:b/>
          <w:kern w:val="44"/>
        </w:rPr>
        <w:t>第十九条</w:t>
      </w:r>
      <w:r>
        <w:rPr>
          <w:rFonts w:hint="eastAsia" w:ascii="宋体" w:hAnsi="宋体"/>
          <w:kern w:val="44"/>
        </w:rPr>
        <w:t>　对用于人员掩蔽的人民防空工程和具有一定防护能力的城市地下交通干线、地下商业娱乐设施、地下停车场、地下过街道、共同沟等地下工程，建有或者使用人民防空工程的单位和个人应当设置明显的掩蔽标识，掩蔽标识破损、丢失的，应当及时更换、补设。</w:t>
      </w:r>
    </w:p>
    <w:p w14:paraId="3E8294C3">
      <w:pPr>
        <w:ind w:firstLine="422"/>
        <w:jc w:val="left"/>
        <w:rPr>
          <w:rFonts w:ascii="宋体" w:hAnsi="宋体"/>
          <w:kern w:val="44"/>
        </w:rPr>
      </w:pPr>
      <w:r>
        <w:rPr>
          <w:rFonts w:hint="eastAsia" w:ascii="宋体" w:hAnsi="宋体"/>
          <w:b/>
          <w:kern w:val="44"/>
        </w:rPr>
        <w:t>第二十条</w:t>
      </w:r>
      <w:r>
        <w:rPr>
          <w:rFonts w:hint="eastAsia" w:ascii="宋体" w:hAnsi="宋体"/>
          <w:kern w:val="44"/>
        </w:rPr>
        <w:t>　人民防空主管部门对人民防空工程的维护管理进行监督检查。</w:t>
      </w:r>
    </w:p>
    <w:p w14:paraId="7D703E86">
      <w:pPr>
        <w:jc w:val="left"/>
        <w:rPr>
          <w:rFonts w:ascii="宋体" w:hAnsi="宋体"/>
          <w:kern w:val="44"/>
        </w:rPr>
      </w:pPr>
      <w:r>
        <w:rPr>
          <w:rFonts w:hint="eastAsia" w:ascii="宋体" w:hAnsi="宋体"/>
          <w:kern w:val="44"/>
        </w:rPr>
        <w:t>公用的人民防空工程的维护管理由人民防空主管部门负责，有关单位应当按照国家规定出工维护。有关单位出工确有困难的，按照市价格主管部门规定的标准出资，由人民防空主管部门组织有资质的单位进行维护。</w:t>
      </w:r>
    </w:p>
    <w:p w14:paraId="5E92EA88">
      <w:pPr>
        <w:jc w:val="left"/>
        <w:rPr>
          <w:rFonts w:ascii="宋体" w:hAnsi="宋体"/>
          <w:kern w:val="44"/>
        </w:rPr>
      </w:pPr>
      <w:r>
        <w:rPr>
          <w:rFonts w:hint="eastAsia" w:ascii="宋体" w:hAnsi="宋体"/>
          <w:kern w:val="44"/>
        </w:rPr>
        <w:t>建有或者使用人民防空工程的单位和个人应当按照国家规定，对已经修建或者使用的人民防空工程进行维护管理，使其保持良好的使用状态。</w:t>
      </w:r>
    </w:p>
    <w:p w14:paraId="4663B8F8">
      <w:pPr>
        <w:ind w:firstLine="422"/>
        <w:jc w:val="left"/>
        <w:rPr>
          <w:rFonts w:ascii="宋体" w:hAnsi="宋体"/>
          <w:kern w:val="44"/>
        </w:rPr>
      </w:pPr>
      <w:r>
        <w:rPr>
          <w:rFonts w:hint="eastAsia" w:ascii="宋体" w:hAnsi="宋体"/>
          <w:b/>
          <w:kern w:val="44"/>
        </w:rPr>
        <w:t>第二十一条</w:t>
      </w:r>
      <w:r>
        <w:rPr>
          <w:rFonts w:hint="eastAsia" w:ascii="宋体" w:hAnsi="宋体"/>
          <w:kern w:val="44"/>
        </w:rPr>
        <w:t>　鼓励平时利用人民防空工程为经济建设和人民生活服务。平时利用人民防空工程，不得影响其防空效能。</w:t>
      </w:r>
    </w:p>
    <w:p w14:paraId="2814AF8A">
      <w:pPr>
        <w:ind w:firstLine="422"/>
        <w:jc w:val="left"/>
        <w:rPr>
          <w:rFonts w:ascii="宋体" w:hAnsi="宋体"/>
          <w:kern w:val="44"/>
        </w:rPr>
      </w:pPr>
      <w:r>
        <w:rPr>
          <w:rFonts w:hint="eastAsia" w:ascii="宋体" w:hAnsi="宋体"/>
          <w:b/>
          <w:kern w:val="44"/>
        </w:rPr>
        <w:t>第二十二条</w:t>
      </w:r>
      <w:r>
        <w:rPr>
          <w:rFonts w:hint="eastAsia" w:ascii="宋体" w:hAnsi="宋体"/>
          <w:kern w:val="44"/>
        </w:rPr>
        <w:t>　平时利用人民防空工程应当经所在地区、县人民防空主管部门批准，并按规定使用。根据战时需要，人民防空工程必须在规定时限内完成平战转换。</w:t>
      </w:r>
    </w:p>
    <w:p w14:paraId="18A03DC2">
      <w:pPr>
        <w:jc w:val="left"/>
        <w:rPr>
          <w:rFonts w:ascii="宋体" w:hAnsi="宋体"/>
          <w:kern w:val="44"/>
        </w:rPr>
      </w:pPr>
      <w:r>
        <w:rPr>
          <w:rFonts w:hint="eastAsia" w:ascii="宋体" w:hAnsi="宋体"/>
          <w:kern w:val="44"/>
        </w:rPr>
        <w:t>平时利用人民防空工程，应当保障进出道路、孔口、出入口等的畅通，不得改变人民防空工程主体结构，不得拆除人民防空工程设备设施。</w:t>
      </w:r>
    </w:p>
    <w:p w14:paraId="61CAD4E6">
      <w:pPr>
        <w:jc w:val="left"/>
        <w:rPr>
          <w:rFonts w:ascii="宋体" w:hAnsi="宋体"/>
          <w:kern w:val="44"/>
        </w:rPr>
      </w:pPr>
      <w:r>
        <w:rPr>
          <w:rFonts w:hint="eastAsia" w:ascii="宋体" w:hAnsi="宋体"/>
          <w:kern w:val="44"/>
        </w:rPr>
        <w:t>使用人民防空工程的单位和个人应当建立防火、防汛、治安等责任制度，确保人民防空工程的安全和防空效能。</w:t>
      </w:r>
    </w:p>
    <w:p w14:paraId="617F70E1">
      <w:pPr>
        <w:ind w:firstLine="422"/>
        <w:jc w:val="left"/>
        <w:rPr>
          <w:rFonts w:ascii="宋体" w:hAnsi="宋体"/>
          <w:kern w:val="44"/>
        </w:rPr>
      </w:pPr>
      <w:r>
        <w:rPr>
          <w:rFonts w:hint="eastAsia" w:ascii="宋体" w:hAnsi="宋体"/>
          <w:b/>
          <w:kern w:val="44"/>
        </w:rPr>
        <w:t>第二十三条</w:t>
      </w:r>
      <w:r>
        <w:rPr>
          <w:rFonts w:hint="eastAsia" w:ascii="宋体" w:hAnsi="宋体"/>
          <w:kern w:val="44"/>
        </w:rPr>
        <w:t>　任何组织或者个人不得进行影响人民防空工程使用或者降低防护能力的作业，不得向人民防空工程内排入废水、废气和倾倒废弃物，不得在人民防空工程内生产、储存爆炸、剧毒、易燃、放射性和腐蚀性物品。</w:t>
      </w:r>
    </w:p>
    <w:p w14:paraId="5C6C83EB">
      <w:pPr>
        <w:ind w:firstLine="422"/>
        <w:jc w:val="left"/>
        <w:rPr>
          <w:rFonts w:ascii="宋体" w:hAnsi="宋体"/>
          <w:kern w:val="44"/>
        </w:rPr>
      </w:pPr>
      <w:r>
        <w:rPr>
          <w:rFonts w:hint="eastAsia" w:ascii="宋体" w:hAnsi="宋体"/>
          <w:b/>
          <w:kern w:val="44"/>
        </w:rPr>
        <w:t>第二十四条</w:t>
      </w:r>
      <w:r>
        <w:rPr>
          <w:rFonts w:hint="eastAsia" w:ascii="宋体" w:hAnsi="宋体"/>
          <w:kern w:val="44"/>
        </w:rPr>
        <w:t>　任何组织或者个人不得擅自拆除公用的人民防空工程和专用配套工程；确需拆除的，必须报经所在地区、县人民防空主管部门批准，并由拆除单位补建或者补偿。</w:t>
      </w:r>
    </w:p>
    <w:p w14:paraId="7D93BACF">
      <w:pPr>
        <w:jc w:val="left"/>
        <w:rPr>
          <w:rFonts w:ascii="宋体" w:hAnsi="宋体"/>
          <w:kern w:val="44"/>
        </w:rPr>
      </w:pPr>
      <w:r>
        <w:rPr>
          <w:rFonts w:hint="eastAsia" w:ascii="宋体" w:hAnsi="宋体"/>
          <w:kern w:val="44"/>
        </w:rPr>
        <w:t>其他人民防空工程确需拆除的，报所在地区、县人民防空主管部门备案。</w:t>
      </w:r>
    </w:p>
    <w:p w14:paraId="57ED2A5D">
      <w:pPr>
        <w:ind w:firstLine="422"/>
        <w:jc w:val="left"/>
        <w:rPr>
          <w:rFonts w:ascii="宋体" w:hAnsi="宋体"/>
          <w:kern w:val="44"/>
        </w:rPr>
      </w:pPr>
      <w:r>
        <w:rPr>
          <w:rFonts w:hint="eastAsia" w:ascii="宋体" w:hAnsi="宋体"/>
          <w:b/>
          <w:kern w:val="44"/>
        </w:rPr>
        <w:t>第二十五条</w:t>
      </w:r>
      <w:r>
        <w:rPr>
          <w:rFonts w:hint="eastAsia" w:ascii="宋体" w:hAnsi="宋体"/>
          <w:kern w:val="44"/>
        </w:rPr>
        <w:t>　人民防空主管部门依法收取的人民防空工程易地建设、维护等费用应当纳入财政预算，专款专用，不得挪用和挤占，并接受同级财政、审计部门的监督、检查。</w:t>
      </w:r>
    </w:p>
    <w:p w14:paraId="433B8F05">
      <w:pPr>
        <w:jc w:val="left"/>
        <w:rPr>
          <w:rFonts w:ascii="宋体" w:hAnsi="宋体"/>
          <w:kern w:val="44"/>
        </w:rPr>
      </w:pPr>
    </w:p>
    <w:p w14:paraId="5B528D09">
      <w:pPr>
        <w:ind w:firstLine="0" w:firstLineChars="0"/>
        <w:jc w:val="center"/>
        <w:rPr>
          <w:rFonts w:ascii="宋体" w:hAnsi="宋体"/>
          <w:b/>
          <w:kern w:val="44"/>
          <w:sz w:val="28"/>
        </w:rPr>
      </w:pPr>
      <w:r>
        <w:rPr>
          <w:rFonts w:hint="eastAsia" w:ascii="宋体" w:hAnsi="宋体"/>
          <w:b/>
          <w:kern w:val="44"/>
          <w:sz w:val="28"/>
        </w:rPr>
        <w:t>第四章　通信和警报</w:t>
      </w:r>
    </w:p>
    <w:p w14:paraId="137EE2D6">
      <w:pPr>
        <w:jc w:val="left"/>
        <w:rPr>
          <w:rFonts w:ascii="宋体" w:hAnsi="宋体"/>
          <w:kern w:val="44"/>
        </w:rPr>
      </w:pPr>
    </w:p>
    <w:p w14:paraId="78215073">
      <w:pPr>
        <w:ind w:firstLine="422"/>
        <w:jc w:val="left"/>
        <w:rPr>
          <w:rFonts w:ascii="宋体" w:hAnsi="宋体"/>
          <w:kern w:val="44"/>
        </w:rPr>
      </w:pPr>
      <w:r>
        <w:rPr>
          <w:rFonts w:hint="eastAsia" w:ascii="宋体" w:hAnsi="宋体"/>
          <w:b/>
          <w:kern w:val="44"/>
        </w:rPr>
        <w:t>第二十六条</w:t>
      </w:r>
      <w:r>
        <w:rPr>
          <w:rFonts w:hint="eastAsia" w:ascii="宋体" w:hAnsi="宋体"/>
          <w:kern w:val="44"/>
        </w:rPr>
        <w:t>　市和区、县人民防空主管部门负责制定本行政区域的人民防空通信、警报建设规划，组织本行政区域人民防空通信、警报网的建设和管理。</w:t>
      </w:r>
    </w:p>
    <w:p w14:paraId="615A7AA1">
      <w:pPr>
        <w:ind w:firstLine="422"/>
        <w:jc w:val="left"/>
        <w:rPr>
          <w:rFonts w:ascii="宋体" w:hAnsi="宋体"/>
          <w:kern w:val="44"/>
        </w:rPr>
      </w:pPr>
      <w:r>
        <w:rPr>
          <w:rFonts w:hint="eastAsia" w:ascii="宋体" w:hAnsi="宋体"/>
          <w:b/>
          <w:kern w:val="44"/>
        </w:rPr>
        <w:t>第二十七条</w:t>
      </w:r>
      <w:r>
        <w:rPr>
          <w:rFonts w:hint="eastAsia" w:ascii="宋体" w:hAnsi="宋体"/>
          <w:kern w:val="44"/>
        </w:rPr>
        <w:t>　通信管理、无线电管理部门对人民防空通信、警报所需的专用线（电）路、频率应当予以保障；安装人民防空通信、警报设施，有关单位或者个人应当提供方便条件，不得阻挠。</w:t>
      </w:r>
    </w:p>
    <w:p w14:paraId="3E614F33">
      <w:pPr>
        <w:jc w:val="left"/>
        <w:rPr>
          <w:rFonts w:ascii="宋体" w:hAnsi="宋体"/>
          <w:kern w:val="44"/>
        </w:rPr>
      </w:pPr>
      <w:r>
        <w:rPr>
          <w:rFonts w:hint="eastAsia" w:ascii="宋体" w:hAnsi="宋体"/>
          <w:kern w:val="44"/>
        </w:rPr>
        <w:t>用于人民防空通信的专用频率和防空警报音响信号，任何组织或者个人不得占用、混同。</w:t>
      </w:r>
    </w:p>
    <w:p w14:paraId="14558C89">
      <w:pPr>
        <w:ind w:firstLine="422"/>
        <w:jc w:val="left"/>
        <w:rPr>
          <w:rFonts w:ascii="宋体" w:hAnsi="宋体"/>
          <w:kern w:val="44"/>
        </w:rPr>
      </w:pPr>
      <w:r>
        <w:rPr>
          <w:rFonts w:hint="eastAsia" w:ascii="宋体" w:hAnsi="宋体"/>
          <w:b/>
          <w:kern w:val="44"/>
        </w:rPr>
        <w:t>第二十八条</w:t>
      </w:r>
      <w:r>
        <w:rPr>
          <w:rFonts w:hint="eastAsia" w:ascii="宋体" w:hAnsi="宋体"/>
          <w:kern w:val="44"/>
        </w:rPr>
        <w:t>　重要经济目标的单位应当在人民防空主管部门指导下，按照战时防空袭实际需要，建设本单位的防空警报设施。</w:t>
      </w:r>
    </w:p>
    <w:p w14:paraId="6603C9AC">
      <w:pPr>
        <w:ind w:firstLine="422"/>
        <w:jc w:val="left"/>
        <w:rPr>
          <w:rFonts w:ascii="宋体" w:hAnsi="宋体"/>
          <w:kern w:val="44"/>
        </w:rPr>
      </w:pPr>
      <w:r>
        <w:rPr>
          <w:rFonts w:hint="eastAsia" w:ascii="宋体" w:hAnsi="宋体"/>
          <w:b/>
          <w:kern w:val="44"/>
        </w:rPr>
        <w:t>第二十九条</w:t>
      </w:r>
      <w:r>
        <w:rPr>
          <w:rFonts w:hint="eastAsia" w:ascii="宋体" w:hAnsi="宋体"/>
          <w:kern w:val="44"/>
        </w:rPr>
        <w:t>　人民防空通信、警报设施应当保持良好的使用状态。</w:t>
      </w:r>
    </w:p>
    <w:p w14:paraId="720DDDBF">
      <w:pPr>
        <w:jc w:val="left"/>
        <w:rPr>
          <w:rFonts w:ascii="宋体" w:hAnsi="宋体"/>
          <w:kern w:val="44"/>
        </w:rPr>
      </w:pPr>
      <w:r>
        <w:rPr>
          <w:rFonts w:hint="eastAsia" w:ascii="宋体" w:hAnsi="宋体"/>
          <w:kern w:val="44"/>
        </w:rPr>
        <w:t>设置在有关单位的人民防空警报设施，由其所在单位负责维护管理，不得擅自拆除，不得擅自鸣响。因拆迁、改造建筑物，确需拆除的，报经所在地区、县人民防空主管部门批准。</w:t>
      </w:r>
    </w:p>
    <w:p w14:paraId="72DCC440">
      <w:pPr>
        <w:ind w:firstLine="422"/>
        <w:jc w:val="left"/>
        <w:rPr>
          <w:rFonts w:ascii="宋体" w:hAnsi="宋体"/>
          <w:kern w:val="44"/>
        </w:rPr>
      </w:pPr>
      <w:r>
        <w:rPr>
          <w:rFonts w:hint="eastAsia" w:ascii="宋体" w:hAnsi="宋体"/>
          <w:b/>
          <w:kern w:val="44"/>
        </w:rPr>
        <w:t>第三十条</w:t>
      </w:r>
      <w:r>
        <w:rPr>
          <w:rFonts w:hint="eastAsia" w:ascii="宋体" w:hAnsi="宋体"/>
          <w:kern w:val="44"/>
        </w:rPr>
        <w:t>　市和区、县人民政府根据需要经批准可以组织防空警报试鸣，并在试鸣的5日前发布公告。</w:t>
      </w:r>
    </w:p>
    <w:p w14:paraId="222D8B63">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市和区、县人民防空主管部门应当充分利用人民防空通信、警报设施为城市防灾救灾应急救援服务。</w:t>
      </w:r>
    </w:p>
    <w:p w14:paraId="6D8C4C19">
      <w:pPr>
        <w:jc w:val="left"/>
        <w:rPr>
          <w:rFonts w:ascii="宋体" w:hAnsi="宋体"/>
          <w:kern w:val="44"/>
        </w:rPr>
      </w:pPr>
    </w:p>
    <w:p w14:paraId="16124904">
      <w:pPr>
        <w:ind w:firstLine="0" w:firstLineChars="0"/>
        <w:jc w:val="center"/>
        <w:rPr>
          <w:rFonts w:ascii="宋体" w:hAnsi="宋体"/>
          <w:b/>
          <w:kern w:val="44"/>
          <w:sz w:val="28"/>
        </w:rPr>
      </w:pPr>
      <w:r>
        <w:rPr>
          <w:rFonts w:hint="eastAsia" w:ascii="宋体" w:hAnsi="宋体"/>
          <w:b/>
          <w:kern w:val="44"/>
          <w:sz w:val="28"/>
        </w:rPr>
        <w:t>第五章　疏散和掩蔽</w:t>
      </w:r>
    </w:p>
    <w:p w14:paraId="7D06C285">
      <w:pPr>
        <w:jc w:val="left"/>
        <w:rPr>
          <w:rFonts w:ascii="宋体" w:hAnsi="宋体"/>
          <w:kern w:val="44"/>
        </w:rPr>
      </w:pPr>
    </w:p>
    <w:p w14:paraId="62D91AE9">
      <w:pPr>
        <w:ind w:firstLine="422"/>
        <w:jc w:val="left"/>
        <w:rPr>
          <w:rFonts w:ascii="宋体" w:hAnsi="宋体"/>
          <w:kern w:val="44"/>
        </w:rPr>
      </w:pPr>
      <w:r>
        <w:rPr>
          <w:rFonts w:hint="eastAsia" w:ascii="宋体" w:hAnsi="宋体"/>
          <w:b/>
          <w:kern w:val="44"/>
        </w:rPr>
        <w:t>第三十二条</w:t>
      </w:r>
      <w:r>
        <w:rPr>
          <w:rFonts w:hint="eastAsia" w:ascii="宋体" w:hAnsi="宋体"/>
          <w:kern w:val="44"/>
        </w:rPr>
        <w:t>　人民防空疏散必须根据国家发布的命令，由本市各级人民政府统一组织实施，任何组织不得擅自行动。</w:t>
      </w:r>
    </w:p>
    <w:p w14:paraId="55F94A2E">
      <w:pPr>
        <w:ind w:firstLine="422"/>
        <w:jc w:val="left"/>
        <w:rPr>
          <w:rFonts w:ascii="宋体" w:hAnsi="宋体"/>
          <w:kern w:val="44"/>
        </w:rPr>
      </w:pPr>
      <w:r>
        <w:rPr>
          <w:rFonts w:hint="eastAsia" w:ascii="宋体" w:hAnsi="宋体"/>
          <w:b/>
          <w:kern w:val="44"/>
        </w:rPr>
        <w:t>第三十三条</w:t>
      </w:r>
      <w:r>
        <w:rPr>
          <w:rFonts w:hint="eastAsia" w:ascii="宋体" w:hAnsi="宋体"/>
          <w:kern w:val="44"/>
        </w:rPr>
        <w:t>　市和区、县人民政府应当组织有关部门制定疏散、掩蔽计划，必要时可以组织演练，指导单位和个人辨别防空袭警报音响信号，熟悉疏散路线、掩蔽场所。</w:t>
      </w:r>
    </w:p>
    <w:p w14:paraId="5E1A6896">
      <w:pPr>
        <w:ind w:firstLine="422"/>
        <w:jc w:val="left"/>
        <w:rPr>
          <w:rFonts w:ascii="宋体" w:hAnsi="宋体"/>
          <w:kern w:val="44"/>
        </w:rPr>
      </w:pPr>
      <w:r>
        <w:rPr>
          <w:rFonts w:hint="eastAsia" w:ascii="宋体" w:hAnsi="宋体"/>
          <w:b/>
          <w:kern w:val="44"/>
        </w:rPr>
        <w:t>第三十四条</w:t>
      </w:r>
      <w:r>
        <w:rPr>
          <w:rFonts w:hint="eastAsia" w:ascii="宋体" w:hAnsi="宋体"/>
          <w:kern w:val="44"/>
        </w:rPr>
        <w:t>　市和区、县人民政府应当加强人民防空预定的疏散地建设，做好城市疏散人口安置和物资储运、供应的准备工作。</w:t>
      </w:r>
    </w:p>
    <w:p w14:paraId="6D99428F">
      <w:pPr>
        <w:ind w:firstLine="422"/>
        <w:jc w:val="left"/>
        <w:rPr>
          <w:rFonts w:ascii="宋体" w:hAnsi="宋体"/>
          <w:kern w:val="44"/>
        </w:rPr>
      </w:pPr>
      <w:r>
        <w:rPr>
          <w:rFonts w:hint="eastAsia" w:ascii="宋体" w:hAnsi="宋体"/>
          <w:b/>
          <w:kern w:val="44"/>
        </w:rPr>
        <w:t>第三十五条</w:t>
      </w:r>
      <w:r>
        <w:rPr>
          <w:rFonts w:hint="eastAsia" w:ascii="宋体" w:hAnsi="宋体"/>
          <w:kern w:val="44"/>
        </w:rPr>
        <w:t>　战时人口疏散应当以人口密集区和重要经济目标附近的人员为主，其他地区人员应当根据战时需要组织疏散或者就近实施掩蔽。</w:t>
      </w:r>
    </w:p>
    <w:p w14:paraId="450B679A">
      <w:pPr>
        <w:jc w:val="left"/>
        <w:rPr>
          <w:rFonts w:ascii="宋体" w:hAnsi="宋体"/>
          <w:kern w:val="44"/>
        </w:rPr>
      </w:pPr>
      <w:r>
        <w:rPr>
          <w:rFonts w:hint="eastAsia" w:ascii="宋体" w:hAnsi="宋体"/>
          <w:kern w:val="44"/>
        </w:rPr>
        <w:t>战时一切组织和个人的交通运输工具应当为人民防空疏散服务。</w:t>
      </w:r>
    </w:p>
    <w:p w14:paraId="288F7F07">
      <w:pPr>
        <w:jc w:val="left"/>
        <w:rPr>
          <w:rFonts w:ascii="宋体" w:hAnsi="宋体"/>
          <w:kern w:val="44"/>
        </w:rPr>
      </w:pPr>
    </w:p>
    <w:p w14:paraId="77F2C235">
      <w:pPr>
        <w:ind w:firstLine="0" w:firstLineChars="0"/>
        <w:jc w:val="center"/>
        <w:rPr>
          <w:rFonts w:ascii="宋体" w:hAnsi="宋体"/>
          <w:b/>
          <w:kern w:val="44"/>
          <w:sz w:val="28"/>
        </w:rPr>
      </w:pPr>
      <w:r>
        <w:rPr>
          <w:rFonts w:hint="eastAsia" w:ascii="宋体" w:hAnsi="宋体"/>
          <w:b/>
          <w:kern w:val="44"/>
          <w:sz w:val="28"/>
        </w:rPr>
        <w:t>第六章　群众防空组织</w:t>
      </w:r>
    </w:p>
    <w:p w14:paraId="538704F2">
      <w:pPr>
        <w:jc w:val="left"/>
        <w:rPr>
          <w:rFonts w:ascii="宋体" w:hAnsi="宋体"/>
          <w:kern w:val="44"/>
        </w:rPr>
      </w:pPr>
    </w:p>
    <w:p w14:paraId="1F394E99">
      <w:pPr>
        <w:ind w:firstLine="422"/>
        <w:jc w:val="left"/>
        <w:rPr>
          <w:rFonts w:ascii="宋体" w:hAnsi="宋体"/>
          <w:kern w:val="44"/>
        </w:rPr>
      </w:pPr>
      <w:r>
        <w:rPr>
          <w:rFonts w:hint="eastAsia" w:ascii="宋体" w:hAnsi="宋体"/>
          <w:b/>
          <w:kern w:val="44"/>
        </w:rPr>
        <w:t>第三十六条</w:t>
      </w:r>
      <w:r>
        <w:rPr>
          <w:rFonts w:hint="eastAsia" w:ascii="宋体" w:hAnsi="宋体"/>
          <w:kern w:val="44"/>
        </w:rPr>
        <w:t>　市和区、县人民政府应当根据人民防空的需要，组织有关部门建立群众防空组织。群众防空组织战时承担人民防空任务，平时协助防汛、防震等部门担负抢险救灾任务。</w:t>
      </w:r>
    </w:p>
    <w:p w14:paraId="6BBF55BE">
      <w:pPr>
        <w:ind w:firstLine="422"/>
        <w:jc w:val="left"/>
        <w:rPr>
          <w:rFonts w:ascii="宋体" w:hAnsi="宋体"/>
          <w:kern w:val="44"/>
        </w:rPr>
      </w:pPr>
      <w:r>
        <w:rPr>
          <w:rFonts w:hint="eastAsia" w:ascii="宋体" w:hAnsi="宋体"/>
          <w:b/>
          <w:kern w:val="44"/>
        </w:rPr>
        <w:t>第三十七条</w:t>
      </w:r>
      <w:r>
        <w:rPr>
          <w:rFonts w:hint="eastAsia" w:ascii="宋体" w:hAnsi="宋体"/>
          <w:kern w:val="44"/>
        </w:rPr>
        <w:t>　群众防空组织的组建和任务：</w:t>
      </w:r>
    </w:p>
    <w:p w14:paraId="397FF6C2">
      <w:pPr>
        <w:jc w:val="left"/>
        <w:rPr>
          <w:rFonts w:ascii="宋体" w:hAnsi="宋体"/>
          <w:kern w:val="44"/>
        </w:rPr>
      </w:pPr>
      <w:r>
        <w:rPr>
          <w:rFonts w:hint="eastAsia" w:ascii="宋体" w:hAnsi="宋体"/>
          <w:kern w:val="44"/>
        </w:rPr>
        <w:t>（一）城建、市政管理、电力等部门组建抢险抢修队，负责对工程、道路、桥梁、水库和给排水、电力、燃气等公共设施进行抢险抢修以及抢救人员和物资等项工作；</w:t>
      </w:r>
    </w:p>
    <w:p w14:paraId="403D3889">
      <w:pPr>
        <w:jc w:val="left"/>
        <w:rPr>
          <w:rFonts w:ascii="宋体" w:hAnsi="宋体"/>
          <w:kern w:val="44"/>
        </w:rPr>
      </w:pPr>
      <w:r>
        <w:rPr>
          <w:rFonts w:hint="eastAsia" w:ascii="宋体" w:hAnsi="宋体"/>
          <w:kern w:val="44"/>
        </w:rPr>
        <w:t>（二）卫生、医药部门组建医疗救护队，负责战地救护、运送、治疗伤员和组织防疫灭菌、指导群众进行自救互救等项工作；</w:t>
      </w:r>
    </w:p>
    <w:p w14:paraId="5DC0DF83">
      <w:pPr>
        <w:jc w:val="left"/>
        <w:rPr>
          <w:rFonts w:ascii="宋体" w:hAnsi="宋体"/>
          <w:kern w:val="44"/>
        </w:rPr>
      </w:pPr>
      <w:r>
        <w:rPr>
          <w:rFonts w:hint="eastAsia" w:ascii="宋体" w:hAnsi="宋体"/>
          <w:kern w:val="44"/>
        </w:rPr>
        <w:t>（三）公安部门组建治安队，负责维护社会治安、保卫重要目标、监督灯火管制；</w:t>
      </w:r>
    </w:p>
    <w:p w14:paraId="70B0660E">
      <w:pPr>
        <w:jc w:val="left"/>
        <w:rPr>
          <w:rFonts w:ascii="宋体" w:hAnsi="宋体"/>
          <w:kern w:val="44"/>
        </w:rPr>
      </w:pPr>
      <w:r>
        <w:rPr>
          <w:rFonts w:hint="eastAsia" w:ascii="宋体" w:hAnsi="宋体"/>
          <w:kern w:val="44"/>
        </w:rPr>
        <w:t>（四）公安消防部门组建消防队，负责火情观察，执行对重要目标、设施的防火灭火，配合消除沾染任务；</w:t>
      </w:r>
    </w:p>
    <w:p w14:paraId="7F95A8D4">
      <w:pPr>
        <w:jc w:val="left"/>
        <w:rPr>
          <w:rFonts w:ascii="宋体" w:hAnsi="宋体"/>
          <w:kern w:val="44"/>
        </w:rPr>
      </w:pPr>
      <w:r>
        <w:rPr>
          <w:rFonts w:hint="eastAsia" w:ascii="宋体" w:hAnsi="宋体"/>
          <w:kern w:val="44"/>
        </w:rPr>
        <w:t>（五）公安交通管理部门组建交通队，负责交通管制任务，维护交通秩序；</w:t>
      </w:r>
    </w:p>
    <w:p w14:paraId="273F267A">
      <w:pPr>
        <w:jc w:val="left"/>
        <w:rPr>
          <w:rFonts w:ascii="宋体" w:hAnsi="宋体"/>
          <w:kern w:val="44"/>
        </w:rPr>
      </w:pPr>
      <w:r>
        <w:rPr>
          <w:rFonts w:hint="eastAsia" w:ascii="宋体" w:hAnsi="宋体"/>
          <w:kern w:val="44"/>
        </w:rPr>
        <w:t>（六）卫生、化工、环境保护等部门组建防化防疫队，负责对核武器、化学武器、生物武器袭击的景象、效应进行观测、监测、化验、消毒、消除沾染，并对群众进行相关知识教育等项工作；</w:t>
      </w:r>
    </w:p>
    <w:p w14:paraId="35068B60">
      <w:pPr>
        <w:jc w:val="left"/>
        <w:rPr>
          <w:rFonts w:ascii="宋体" w:hAnsi="宋体"/>
          <w:kern w:val="44"/>
        </w:rPr>
      </w:pPr>
      <w:r>
        <w:rPr>
          <w:rFonts w:hint="eastAsia" w:ascii="宋体" w:hAnsi="宋体"/>
          <w:kern w:val="44"/>
        </w:rPr>
        <w:t>（七）通信管理部门组建通信队，负责对有线、无线、移动通信等设备、设施进行抢修，保障通信畅通；</w:t>
      </w:r>
    </w:p>
    <w:p w14:paraId="79A81930">
      <w:pPr>
        <w:jc w:val="left"/>
        <w:rPr>
          <w:rFonts w:ascii="宋体" w:hAnsi="宋体"/>
          <w:kern w:val="44"/>
        </w:rPr>
      </w:pPr>
      <w:r>
        <w:rPr>
          <w:rFonts w:hint="eastAsia" w:ascii="宋体" w:hAnsi="宋体"/>
          <w:kern w:val="44"/>
        </w:rPr>
        <w:t>（八）交通运输部门组建运输队，负责人口疏散和物资、器材的转运以及运输工具的修理等项工作。</w:t>
      </w:r>
    </w:p>
    <w:p w14:paraId="1E54701C">
      <w:pPr>
        <w:jc w:val="left"/>
        <w:rPr>
          <w:rFonts w:ascii="宋体" w:hAnsi="宋体"/>
          <w:kern w:val="44"/>
        </w:rPr>
      </w:pPr>
      <w:r>
        <w:rPr>
          <w:rFonts w:hint="eastAsia" w:ascii="宋体" w:hAnsi="宋体"/>
          <w:kern w:val="44"/>
        </w:rPr>
        <w:t>市人民政府可以根据需要，组建其他群众防空组织。</w:t>
      </w:r>
    </w:p>
    <w:p w14:paraId="4B954574">
      <w:pPr>
        <w:jc w:val="left"/>
        <w:rPr>
          <w:rFonts w:ascii="宋体" w:hAnsi="宋体"/>
          <w:kern w:val="44"/>
        </w:rPr>
      </w:pPr>
      <w:r>
        <w:rPr>
          <w:rFonts w:hint="eastAsia" w:ascii="宋体" w:hAnsi="宋体"/>
          <w:kern w:val="44"/>
        </w:rPr>
        <w:t>红十字会组织依法进行救护工作。</w:t>
      </w:r>
    </w:p>
    <w:p w14:paraId="1EBD8C4A">
      <w:pPr>
        <w:ind w:firstLine="422"/>
        <w:jc w:val="left"/>
        <w:rPr>
          <w:rFonts w:ascii="宋体" w:hAnsi="宋体"/>
          <w:kern w:val="44"/>
        </w:rPr>
      </w:pPr>
      <w:r>
        <w:rPr>
          <w:rFonts w:hint="eastAsia" w:ascii="宋体" w:hAnsi="宋体"/>
          <w:b/>
          <w:kern w:val="44"/>
        </w:rPr>
        <w:t>第三十八条</w:t>
      </w:r>
      <w:r>
        <w:rPr>
          <w:rFonts w:hint="eastAsia" w:ascii="宋体" w:hAnsi="宋体"/>
          <w:kern w:val="44"/>
        </w:rPr>
        <w:t>　市和区、县人民防空主管部门根据公民自愿原则，可以组织人民防空志愿者队伍。</w:t>
      </w:r>
    </w:p>
    <w:p w14:paraId="19EEF77E">
      <w:pPr>
        <w:jc w:val="left"/>
        <w:rPr>
          <w:rFonts w:ascii="宋体" w:hAnsi="宋体"/>
          <w:kern w:val="44"/>
        </w:rPr>
      </w:pPr>
      <w:r>
        <w:rPr>
          <w:rFonts w:hint="eastAsia" w:ascii="宋体" w:hAnsi="宋体"/>
          <w:kern w:val="44"/>
        </w:rPr>
        <w:t>人民防空志愿者应当参加防空防灾培训，按照要求参加应急救援活动。</w:t>
      </w:r>
    </w:p>
    <w:p w14:paraId="58F4C329">
      <w:pPr>
        <w:ind w:firstLine="422"/>
        <w:jc w:val="left"/>
        <w:rPr>
          <w:rFonts w:ascii="宋体" w:hAnsi="宋体"/>
          <w:kern w:val="44"/>
        </w:rPr>
      </w:pPr>
      <w:r>
        <w:rPr>
          <w:rFonts w:hint="eastAsia" w:ascii="宋体" w:hAnsi="宋体"/>
          <w:b/>
          <w:kern w:val="44"/>
        </w:rPr>
        <w:t>第三十九条</w:t>
      </w:r>
      <w:r>
        <w:rPr>
          <w:rFonts w:hint="eastAsia" w:ascii="宋体" w:hAnsi="宋体"/>
          <w:kern w:val="44"/>
        </w:rPr>
        <w:t>　群众防空组织的专业训练应当根据市人民防空主管部门制定的训练大纲和训练计划，由组建单位组织实施。</w:t>
      </w:r>
    </w:p>
    <w:p w14:paraId="76A420D8">
      <w:pPr>
        <w:jc w:val="left"/>
        <w:rPr>
          <w:rFonts w:ascii="宋体" w:hAnsi="宋体"/>
          <w:kern w:val="44"/>
        </w:rPr>
      </w:pPr>
    </w:p>
    <w:p w14:paraId="4330FC0B">
      <w:pPr>
        <w:ind w:firstLine="0" w:firstLineChars="0"/>
        <w:jc w:val="center"/>
        <w:rPr>
          <w:rFonts w:ascii="宋体" w:hAnsi="宋体"/>
          <w:b/>
          <w:kern w:val="44"/>
          <w:sz w:val="28"/>
        </w:rPr>
      </w:pPr>
      <w:r>
        <w:rPr>
          <w:rFonts w:hint="eastAsia" w:ascii="宋体" w:hAnsi="宋体"/>
          <w:b/>
          <w:kern w:val="44"/>
          <w:sz w:val="28"/>
        </w:rPr>
        <w:t>第七章　人民防空教育</w:t>
      </w:r>
    </w:p>
    <w:p w14:paraId="4667BD5A">
      <w:pPr>
        <w:jc w:val="left"/>
        <w:rPr>
          <w:rFonts w:ascii="宋体" w:hAnsi="宋体"/>
          <w:kern w:val="44"/>
        </w:rPr>
      </w:pPr>
    </w:p>
    <w:p w14:paraId="20E9E541">
      <w:pPr>
        <w:ind w:firstLine="422"/>
        <w:jc w:val="left"/>
        <w:rPr>
          <w:rFonts w:ascii="宋体" w:hAnsi="宋体"/>
          <w:kern w:val="44"/>
        </w:rPr>
      </w:pPr>
      <w:r>
        <w:rPr>
          <w:rFonts w:hint="eastAsia" w:ascii="宋体" w:hAnsi="宋体"/>
          <w:b/>
          <w:kern w:val="44"/>
        </w:rPr>
        <w:t>第四十条</w:t>
      </w:r>
      <w:r>
        <w:rPr>
          <w:rFonts w:hint="eastAsia" w:ascii="宋体" w:hAnsi="宋体"/>
          <w:kern w:val="44"/>
        </w:rPr>
        <w:t>　市和区、县人民政府应当开展人民防空教育，使本市公民增强国防观念，掌握人民防空的基本知识和技能。</w:t>
      </w:r>
    </w:p>
    <w:p w14:paraId="0915A746">
      <w:pPr>
        <w:ind w:firstLine="422"/>
        <w:jc w:val="left"/>
        <w:rPr>
          <w:rFonts w:ascii="宋体" w:hAnsi="宋体"/>
          <w:kern w:val="44"/>
        </w:rPr>
      </w:pPr>
      <w:r>
        <w:rPr>
          <w:rFonts w:hint="eastAsia" w:ascii="宋体" w:hAnsi="宋体"/>
          <w:b/>
          <w:kern w:val="44"/>
        </w:rPr>
        <w:t>第四十一条</w:t>
      </w:r>
      <w:r>
        <w:rPr>
          <w:rFonts w:hint="eastAsia" w:ascii="宋体" w:hAnsi="宋体"/>
          <w:kern w:val="44"/>
        </w:rPr>
        <w:t>　本市教育行政主管部门应当将人民防空教育纳入学校教学计划，由各级教育主管部门和人民防空主管部门组织实施。</w:t>
      </w:r>
    </w:p>
    <w:p w14:paraId="0ADD480C">
      <w:pPr>
        <w:ind w:firstLine="422"/>
        <w:jc w:val="left"/>
        <w:rPr>
          <w:rFonts w:ascii="宋体" w:hAnsi="宋体"/>
          <w:kern w:val="44"/>
        </w:rPr>
      </w:pPr>
      <w:r>
        <w:rPr>
          <w:rFonts w:hint="eastAsia" w:ascii="宋体" w:hAnsi="宋体"/>
          <w:b/>
          <w:kern w:val="44"/>
        </w:rPr>
        <w:t>第四十二条</w:t>
      </w:r>
      <w:r>
        <w:rPr>
          <w:rFonts w:hint="eastAsia" w:ascii="宋体" w:hAnsi="宋体"/>
          <w:kern w:val="44"/>
        </w:rPr>
        <w:t>　国家机关、社会团体、企业事业单位人员的人民防空教育由所在单位组织实施；其他人员的人民防空教育，由街道办事处、乡镇人民政府组织实施。</w:t>
      </w:r>
    </w:p>
    <w:p w14:paraId="567BF872">
      <w:pPr>
        <w:ind w:firstLine="422"/>
        <w:jc w:val="left"/>
        <w:rPr>
          <w:rFonts w:ascii="宋体" w:hAnsi="宋体"/>
          <w:kern w:val="44"/>
        </w:rPr>
      </w:pPr>
      <w:r>
        <w:rPr>
          <w:rFonts w:hint="eastAsia" w:ascii="宋体" w:hAnsi="宋体"/>
          <w:b/>
          <w:kern w:val="44"/>
        </w:rPr>
        <w:t>第四十三条</w:t>
      </w:r>
      <w:r>
        <w:rPr>
          <w:rFonts w:hint="eastAsia" w:ascii="宋体" w:hAnsi="宋体"/>
          <w:kern w:val="44"/>
        </w:rPr>
        <w:t>　本市新闻出版、广播电视、文化等有关部门应当协助开展人民防空教育。</w:t>
      </w:r>
    </w:p>
    <w:p w14:paraId="6522C2DC">
      <w:pPr>
        <w:jc w:val="left"/>
        <w:rPr>
          <w:rFonts w:ascii="宋体" w:hAnsi="宋体"/>
          <w:kern w:val="44"/>
        </w:rPr>
      </w:pPr>
    </w:p>
    <w:p w14:paraId="4A7D306D">
      <w:pPr>
        <w:ind w:firstLine="0" w:firstLineChars="0"/>
        <w:jc w:val="center"/>
        <w:rPr>
          <w:rFonts w:ascii="宋体" w:hAnsi="宋体"/>
          <w:b/>
          <w:kern w:val="44"/>
          <w:sz w:val="22"/>
        </w:rPr>
      </w:pPr>
      <w:r>
        <w:rPr>
          <w:rFonts w:hint="eastAsia" w:ascii="宋体" w:hAnsi="宋体"/>
          <w:b/>
          <w:kern w:val="44"/>
          <w:sz w:val="28"/>
        </w:rPr>
        <w:t>第八章　法律责任</w:t>
      </w:r>
    </w:p>
    <w:p w14:paraId="58DCDBCC">
      <w:pPr>
        <w:jc w:val="left"/>
        <w:rPr>
          <w:rFonts w:ascii="宋体" w:hAnsi="宋体"/>
          <w:kern w:val="44"/>
        </w:rPr>
      </w:pPr>
    </w:p>
    <w:p w14:paraId="5B2871B8">
      <w:pPr>
        <w:ind w:firstLine="422"/>
        <w:jc w:val="left"/>
        <w:rPr>
          <w:rFonts w:ascii="宋体" w:hAnsi="宋体"/>
          <w:kern w:val="44"/>
        </w:rPr>
      </w:pPr>
      <w:r>
        <w:rPr>
          <w:rFonts w:hint="eastAsia" w:ascii="宋体" w:hAnsi="宋体"/>
          <w:b/>
          <w:kern w:val="44"/>
        </w:rPr>
        <w:t>第四十四条</w:t>
      </w:r>
      <w:r>
        <w:rPr>
          <w:rFonts w:hint="eastAsia" w:ascii="宋体" w:hAnsi="宋体"/>
          <w:kern w:val="44"/>
        </w:rPr>
        <w:t>　城市新建民用建筑，违反本条例第十六条第一款规定，不修建防空地下室的，由人民防空主管部门给予警告、责令限期修建，可以按下列规定并处罚款：</w:t>
      </w:r>
    </w:p>
    <w:p w14:paraId="0EC18297">
      <w:pPr>
        <w:jc w:val="left"/>
        <w:rPr>
          <w:rFonts w:ascii="宋体" w:hAnsi="宋体"/>
          <w:kern w:val="44"/>
        </w:rPr>
      </w:pPr>
      <w:r>
        <w:rPr>
          <w:rFonts w:hint="eastAsia" w:ascii="宋体" w:hAnsi="宋体"/>
          <w:kern w:val="44"/>
        </w:rPr>
        <w:t>（一）应建未建面积不到500平方米的，处3万元以下罚款；</w:t>
      </w:r>
    </w:p>
    <w:p w14:paraId="662F1BC6">
      <w:pPr>
        <w:jc w:val="left"/>
        <w:rPr>
          <w:rFonts w:ascii="宋体" w:hAnsi="宋体"/>
          <w:kern w:val="44"/>
        </w:rPr>
      </w:pPr>
      <w:r>
        <w:rPr>
          <w:rFonts w:hint="eastAsia" w:ascii="宋体" w:hAnsi="宋体"/>
          <w:kern w:val="44"/>
        </w:rPr>
        <w:t>（二）应建未建面积在500平方米以上不到1000平方米的，处3万元以上5万元以下罚款；</w:t>
      </w:r>
    </w:p>
    <w:p w14:paraId="4BBB9774">
      <w:pPr>
        <w:jc w:val="left"/>
        <w:rPr>
          <w:rFonts w:ascii="宋体" w:hAnsi="宋体"/>
          <w:kern w:val="44"/>
        </w:rPr>
      </w:pPr>
      <w:r>
        <w:rPr>
          <w:rFonts w:hint="eastAsia" w:ascii="宋体" w:hAnsi="宋体"/>
          <w:kern w:val="44"/>
        </w:rPr>
        <w:t>（三）应建未建面积在1000平方米以上的，处5万元以上10万元以下罚款。</w:t>
      </w:r>
    </w:p>
    <w:p w14:paraId="7313DBB9">
      <w:pPr>
        <w:ind w:firstLine="422"/>
        <w:jc w:val="left"/>
        <w:rPr>
          <w:rFonts w:ascii="宋体" w:hAnsi="宋体"/>
          <w:kern w:val="44"/>
        </w:rPr>
      </w:pPr>
      <w:r>
        <w:rPr>
          <w:rFonts w:hint="eastAsia" w:ascii="宋体" w:hAnsi="宋体"/>
          <w:b/>
          <w:kern w:val="44"/>
        </w:rPr>
        <w:t>第四十五条</w:t>
      </w:r>
      <w:r>
        <w:rPr>
          <w:rFonts w:hint="eastAsia" w:ascii="宋体" w:hAnsi="宋体"/>
          <w:kern w:val="44"/>
        </w:rPr>
        <w:t>　有下列行为之一的，由人民防空主管部门给予警告，责令限期改正，可以对个人并处5000元以下罚款、对单位并处1万元以上5万元以下罚款；造成损失的，应当依法赔偿损失：</w:t>
      </w:r>
    </w:p>
    <w:p w14:paraId="7F69F573">
      <w:pPr>
        <w:jc w:val="left"/>
        <w:rPr>
          <w:rFonts w:ascii="宋体" w:hAnsi="宋体"/>
          <w:kern w:val="44"/>
        </w:rPr>
      </w:pPr>
      <w:r>
        <w:rPr>
          <w:rFonts w:hint="eastAsia" w:ascii="宋体" w:hAnsi="宋体"/>
          <w:kern w:val="44"/>
        </w:rPr>
        <w:t>（一）违反本条例第十八条第一款规定，不按照国家规定的防护标准和质量标准修建人民防空工程的；</w:t>
      </w:r>
    </w:p>
    <w:p w14:paraId="7EBD47D9">
      <w:pPr>
        <w:jc w:val="left"/>
        <w:rPr>
          <w:rFonts w:ascii="宋体" w:hAnsi="宋体"/>
          <w:kern w:val="44"/>
        </w:rPr>
      </w:pPr>
      <w:r>
        <w:rPr>
          <w:rFonts w:hint="eastAsia" w:ascii="宋体" w:hAnsi="宋体"/>
          <w:kern w:val="44"/>
        </w:rPr>
        <w:t>（二）违反本条例第二十二条第二款、第三款规定，改变人民防空工程主体结构、拆除人民防空工程设备设施或者采用其他方法危害人民防空工程安全和防空效能的；</w:t>
      </w:r>
    </w:p>
    <w:p w14:paraId="76BC7E09">
      <w:pPr>
        <w:jc w:val="left"/>
        <w:rPr>
          <w:rFonts w:ascii="宋体" w:hAnsi="宋体"/>
          <w:kern w:val="44"/>
        </w:rPr>
      </w:pPr>
      <w:r>
        <w:rPr>
          <w:rFonts w:hint="eastAsia" w:ascii="宋体" w:hAnsi="宋体"/>
          <w:kern w:val="44"/>
        </w:rPr>
        <w:t>（三）违反本条例第二十三条规定，向人民防空工程内排入废水、废气或者倾倒废弃物的；</w:t>
      </w:r>
    </w:p>
    <w:p w14:paraId="2DBAB9D0">
      <w:pPr>
        <w:jc w:val="left"/>
        <w:rPr>
          <w:rFonts w:ascii="宋体" w:hAnsi="宋体"/>
          <w:kern w:val="44"/>
        </w:rPr>
      </w:pPr>
      <w:r>
        <w:rPr>
          <w:rFonts w:hint="eastAsia" w:ascii="宋体" w:hAnsi="宋体"/>
          <w:kern w:val="44"/>
        </w:rPr>
        <w:t>（四）违反本条例第二十四条第一款规定，擅自拆除公用的人民防空工程和专用配套工程，拒不补建或者补偿的；</w:t>
      </w:r>
    </w:p>
    <w:p w14:paraId="17F9DCDA">
      <w:pPr>
        <w:jc w:val="left"/>
        <w:rPr>
          <w:rFonts w:ascii="宋体" w:hAnsi="宋体"/>
          <w:kern w:val="44"/>
        </w:rPr>
      </w:pPr>
      <w:r>
        <w:rPr>
          <w:rFonts w:hint="eastAsia" w:ascii="宋体" w:hAnsi="宋体"/>
          <w:kern w:val="44"/>
        </w:rPr>
        <w:t>（五）违反本条例第二十七条第一款规定，阻挠安装人民防空通信、警报设施，拒不改正的；</w:t>
      </w:r>
    </w:p>
    <w:p w14:paraId="5BAF1386">
      <w:pPr>
        <w:jc w:val="left"/>
        <w:rPr>
          <w:rFonts w:ascii="宋体" w:hAnsi="宋体"/>
          <w:kern w:val="44"/>
        </w:rPr>
      </w:pPr>
      <w:r>
        <w:rPr>
          <w:rFonts w:hint="eastAsia" w:ascii="宋体" w:hAnsi="宋体"/>
          <w:kern w:val="44"/>
        </w:rPr>
        <w:t>（六）违反本条例第二十七条第二款、第二十九条第二款规定，占用人民防空通信专用频率，使用与人民防空警报相同的音响信号或者擅自拆除人民防空通信、警报设施的。</w:t>
      </w:r>
    </w:p>
    <w:p w14:paraId="5E652AF9">
      <w:pPr>
        <w:ind w:firstLine="422"/>
        <w:jc w:val="left"/>
        <w:rPr>
          <w:rFonts w:ascii="宋体" w:hAnsi="宋体"/>
          <w:kern w:val="44"/>
        </w:rPr>
      </w:pPr>
      <w:r>
        <w:rPr>
          <w:rFonts w:hint="eastAsia" w:ascii="宋体" w:hAnsi="宋体"/>
          <w:b/>
          <w:kern w:val="44"/>
        </w:rPr>
        <w:t>第四十六条</w:t>
      </w:r>
      <w:r>
        <w:rPr>
          <w:rFonts w:hint="eastAsia" w:ascii="宋体" w:hAnsi="宋体"/>
          <w:kern w:val="44"/>
        </w:rPr>
        <w:t>　违反本条例第十八条第二款规定，人民防空工程竣工验收后，不向人民防空主管部门备案的，由人民防空主管部门给予警告，责令限期改正，并可处1万元以下罚款。</w:t>
      </w:r>
    </w:p>
    <w:p w14:paraId="4BF758E9">
      <w:pPr>
        <w:ind w:firstLine="422"/>
        <w:jc w:val="left"/>
        <w:rPr>
          <w:rFonts w:ascii="宋体" w:hAnsi="宋体"/>
          <w:kern w:val="44"/>
        </w:rPr>
      </w:pPr>
      <w:r>
        <w:rPr>
          <w:rFonts w:hint="eastAsia" w:ascii="宋体" w:hAnsi="宋体"/>
          <w:b/>
          <w:kern w:val="44"/>
        </w:rPr>
        <w:t>第四十七条</w:t>
      </w:r>
      <w:r>
        <w:rPr>
          <w:rFonts w:hint="eastAsia" w:ascii="宋体" w:hAnsi="宋体"/>
          <w:kern w:val="44"/>
        </w:rPr>
        <w:t>　违反本条例第二十二条第一款规定，平时利用人民防空工程，未经所在地区、县人民防空主管部门批准或者未按规定使用的，由人民防空主管部门责令限期改正；危害人民防空工程安全和防空效能的，可以对个人并处5000元以下罚款，对单位并处1万元以上5万元以下罚款；造成损失的，应当依法赔偿损失。</w:t>
      </w:r>
    </w:p>
    <w:p w14:paraId="077525A6">
      <w:pPr>
        <w:ind w:firstLine="422"/>
        <w:jc w:val="left"/>
        <w:rPr>
          <w:rFonts w:ascii="宋体" w:hAnsi="宋体"/>
          <w:kern w:val="44"/>
        </w:rPr>
      </w:pPr>
      <w:r>
        <w:rPr>
          <w:rFonts w:hint="eastAsia" w:ascii="宋体" w:hAnsi="宋体"/>
          <w:b/>
          <w:kern w:val="44"/>
        </w:rPr>
        <w:t>第四十八条</w:t>
      </w:r>
      <w:r>
        <w:rPr>
          <w:rFonts w:hint="eastAsia" w:ascii="宋体" w:hAnsi="宋体"/>
          <w:kern w:val="44"/>
        </w:rPr>
        <w:t>　违反本条例规定，故意损坏人民防空工程设施或者在人民防空工程内生产、储存爆炸、剧毒、易燃、放射性等危险品，构成犯罪的，依法追究刑事责任；尚未构成犯罪的，由公安机关依照《中华人民共和国治安管理处罚条例》的有关规定处罚。</w:t>
      </w:r>
    </w:p>
    <w:p w14:paraId="084D21E1">
      <w:pPr>
        <w:ind w:firstLine="422"/>
        <w:jc w:val="left"/>
        <w:rPr>
          <w:rFonts w:ascii="宋体" w:hAnsi="宋体"/>
          <w:kern w:val="44"/>
        </w:rPr>
      </w:pPr>
      <w:r>
        <w:rPr>
          <w:rFonts w:hint="eastAsia" w:ascii="宋体" w:hAnsi="宋体"/>
          <w:b/>
          <w:kern w:val="44"/>
        </w:rPr>
        <w:t>第四十九条</w:t>
      </w:r>
      <w:r>
        <w:rPr>
          <w:rFonts w:hint="eastAsia" w:ascii="宋体" w:hAnsi="宋体"/>
          <w:kern w:val="44"/>
        </w:rPr>
        <w:t>　人民防空主管部门的工作人员有下列行为之一，构成犯罪的，依法追究刑事责任；尚未构成犯罪的，依法给予行政处分；有违法所得的，没收违法所得：</w:t>
      </w:r>
    </w:p>
    <w:p w14:paraId="060ADC2B">
      <w:pPr>
        <w:jc w:val="left"/>
        <w:rPr>
          <w:rFonts w:ascii="宋体" w:hAnsi="宋体"/>
          <w:kern w:val="44"/>
        </w:rPr>
      </w:pPr>
      <w:r>
        <w:rPr>
          <w:rFonts w:hint="eastAsia" w:ascii="宋体" w:hAnsi="宋体"/>
          <w:kern w:val="44"/>
        </w:rPr>
        <w:t>（一）贪污、挪用、挤占人民防空工程易地建设、维护等费用的；</w:t>
      </w:r>
    </w:p>
    <w:p w14:paraId="275D3173">
      <w:pPr>
        <w:jc w:val="left"/>
        <w:rPr>
          <w:rFonts w:ascii="宋体" w:hAnsi="宋体"/>
          <w:kern w:val="44"/>
        </w:rPr>
      </w:pPr>
      <w:r>
        <w:rPr>
          <w:rFonts w:hint="eastAsia" w:ascii="宋体" w:hAnsi="宋体"/>
          <w:kern w:val="44"/>
        </w:rPr>
        <w:t>（二）不按规定履行审批和监督管理职责，致使人民防空工程、人民防空通信和警报设施出现重大损毁，丧失防空效能的；</w:t>
      </w:r>
    </w:p>
    <w:p w14:paraId="24CDB62A">
      <w:pPr>
        <w:jc w:val="left"/>
        <w:rPr>
          <w:rFonts w:ascii="宋体" w:hAnsi="宋体"/>
          <w:kern w:val="44"/>
        </w:rPr>
      </w:pPr>
      <w:r>
        <w:rPr>
          <w:rFonts w:hint="eastAsia" w:ascii="宋体" w:hAnsi="宋体"/>
          <w:kern w:val="44"/>
        </w:rPr>
        <w:t>（三）其他玩忽职守、滥用职权、徇私舞弊的。</w:t>
      </w:r>
    </w:p>
    <w:p w14:paraId="3352FA33">
      <w:pPr>
        <w:jc w:val="left"/>
        <w:rPr>
          <w:rFonts w:ascii="宋体" w:hAnsi="宋体"/>
          <w:kern w:val="44"/>
        </w:rPr>
      </w:pPr>
    </w:p>
    <w:p w14:paraId="30923B38">
      <w:pPr>
        <w:ind w:firstLine="0" w:firstLineChars="0"/>
        <w:jc w:val="center"/>
        <w:rPr>
          <w:rFonts w:ascii="宋体" w:hAnsi="宋体"/>
          <w:b/>
          <w:kern w:val="44"/>
          <w:sz w:val="28"/>
        </w:rPr>
      </w:pPr>
      <w:r>
        <w:rPr>
          <w:rFonts w:hint="eastAsia" w:ascii="宋体" w:hAnsi="宋体"/>
          <w:b/>
          <w:kern w:val="44"/>
          <w:sz w:val="28"/>
        </w:rPr>
        <w:t>第九章　附　则</w:t>
      </w:r>
    </w:p>
    <w:p w14:paraId="4C51D114">
      <w:pPr>
        <w:jc w:val="left"/>
        <w:rPr>
          <w:rFonts w:ascii="宋体" w:hAnsi="宋体"/>
          <w:kern w:val="44"/>
        </w:rPr>
      </w:pPr>
    </w:p>
    <w:p w14:paraId="246A27C5">
      <w:pPr>
        <w:ind w:firstLine="422"/>
        <w:jc w:val="left"/>
        <w:rPr>
          <w:rFonts w:ascii="宋体" w:hAnsi="宋体"/>
          <w:kern w:val="44"/>
        </w:rPr>
      </w:pPr>
      <w:r>
        <w:rPr>
          <w:rFonts w:hint="eastAsia" w:ascii="宋体" w:hAnsi="宋体"/>
          <w:b/>
          <w:kern w:val="44"/>
        </w:rPr>
        <w:t>第五十条</w:t>
      </w:r>
      <w:r>
        <w:rPr>
          <w:rFonts w:hint="eastAsia" w:ascii="宋体" w:hAnsi="宋体"/>
          <w:kern w:val="44"/>
        </w:rPr>
        <w:t>　本条例自2002年5月1日起施行。</w:t>
      </w:r>
    </w:p>
    <w:p w14:paraId="090A4638">
      <w:pPr>
        <w:pStyle w:val="4"/>
        <w:pageBreakBefore/>
        <w:rPr>
          <w:kern w:val="44"/>
        </w:rPr>
      </w:pPr>
      <w:bookmarkStart w:id="375" w:name="_Toc428781485"/>
      <w:bookmarkStart w:id="376" w:name="_Toc427651779"/>
      <w:bookmarkStart w:id="377" w:name="_Toc428780003"/>
      <w:bookmarkStart w:id="378" w:name="_Toc422471123"/>
      <w:bookmarkStart w:id="379" w:name="_Toc427651437"/>
      <w:r>
        <w:rPr>
          <w:rFonts w:hint="eastAsia"/>
          <w:kern w:val="44"/>
        </w:rPr>
        <w:t>北京市征兵工作条例</w:t>
      </w:r>
      <w:bookmarkEnd w:id="375"/>
      <w:bookmarkEnd w:id="376"/>
      <w:bookmarkEnd w:id="377"/>
      <w:bookmarkEnd w:id="378"/>
      <w:bookmarkEnd w:id="379"/>
    </w:p>
    <w:p w14:paraId="378A7829">
      <w:pPr>
        <w:ind w:left="630" w:leftChars="300" w:right="630" w:rightChars="300"/>
        <w:jc w:val="left"/>
        <w:rPr>
          <w:rFonts w:ascii="楷体" w:hAnsi="楷体" w:eastAsia="楷体"/>
          <w:kern w:val="44"/>
        </w:rPr>
      </w:pPr>
      <w:r>
        <w:rPr>
          <w:rFonts w:hint="eastAsia" w:ascii="楷体" w:hAnsi="楷体" w:eastAsia="楷体"/>
          <w:kern w:val="44"/>
        </w:rPr>
        <w:t>（2003年5月30日北京市第十二届人民代表大会常务委员会第四次会议通过 ）</w:t>
      </w:r>
    </w:p>
    <w:p w14:paraId="638C57D9">
      <w:pPr>
        <w:ind w:left="630" w:leftChars="300" w:right="630" w:rightChars="300"/>
        <w:jc w:val="left"/>
        <w:rPr>
          <w:rFonts w:ascii="楷体" w:hAnsi="楷体" w:eastAsia="楷体"/>
          <w:kern w:val="44"/>
        </w:rPr>
      </w:pPr>
    </w:p>
    <w:p w14:paraId="5E5A9990">
      <w:pPr>
        <w:ind w:firstLine="0" w:firstLineChars="0"/>
        <w:jc w:val="center"/>
        <w:rPr>
          <w:rFonts w:ascii="宋体" w:hAnsi="宋体"/>
          <w:b/>
          <w:kern w:val="44"/>
          <w:sz w:val="28"/>
        </w:rPr>
      </w:pPr>
      <w:r>
        <w:rPr>
          <w:rFonts w:hint="eastAsia" w:ascii="宋体" w:hAnsi="宋体"/>
          <w:b/>
          <w:kern w:val="44"/>
          <w:sz w:val="28"/>
        </w:rPr>
        <w:t>第一章　总　则</w:t>
      </w:r>
    </w:p>
    <w:p w14:paraId="69942809">
      <w:pPr>
        <w:jc w:val="left"/>
        <w:rPr>
          <w:rFonts w:ascii="宋体" w:hAnsi="宋体"/>
          <w:kern w:val="44"/>
        </w:rPr>
      </w:pPr>
    </w:p>
    <w:p w14:paraId="2880A68B">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为了加强国防建设，保障征兵工作顺利进行，根据《中华人民共和国兵役法》和《征兵工作条例》以及其他有关法律、法规的规定，结合本市实际情况，制定本条例。</w:t>
      </w:r>
    </w:p>
    <w:p w14:paraId="6FD605A9">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本条例适用于具有本市常住户口的公民和本市行政区域内的机关、团体、企业事业单位以及其他组织。</w:t>
      </w:r>
    </w:p>
    <w:p w14:paraId="2381B7FE">
      <w:pPr>
        <w:ind w:firstLine="422"/>
        <w:jc w:val="left"/>
        <w:rPr>
          <w:rFonts w:ascii="宋体" w:hAnsi="宋体"/>
          <w:kern w:val="44"/>
        </w:rPr>
      </w:pPr>
      <w:r>
        <w:rPr>
          <w:rFonts w:hint="eastAsia" w:ascii="宋体" w:hAnsi="宋体"/>
          <w:b/>
          <w:kern w:val="44"/>
        </w:rPr>
        <w:t>第三条</w:t>
      </w:r>
      <w:r>
        <w:rPr>
          <w:rFonts w:hint="eastAsia" w:ascii="宋体" w:hAnsi="宋体"/>
          <w:kern w:val="44"/>
        </w:rPr>
        <w:t>　保卫祖国、抵抗侵略是每个公民的神圣职责。依法服兵役是公民的光荣义务。</w:t>
      </w:r>
    </w:p>
    <w:p w14:paraId="21E4EFBD">
      <w:pPr>
        <w:jc w:val="left"/>
        <w:rPr>
          <w:rFonts w:ascii="宋体" w:hAnsi="宋体"/>
          <w:kern w:val="44"/>
        </w:rPr>
      </w:pPr>
      <w:r>
        <w:rPr>
          <w:rFonts w:hint="eastAsia" w:ascii="宋体" w:hAnsi="宋体"/>
          <w:kern w:val="44"/>
        </w:rPr>
        <w:t>依法做好征兵工作，是加强部队建设、巩固国防的一项重要任务，是全社会的共同责任。</w:t>
      </w:r>
    </w:p>
    <w:p w14:paraId="58BEB3DB">
      <w:pPr>
        <w:ind w:firstLine="422"/>
        <w:jc w:val="left"/>
        <w:rPr>
          <w:rFonts w:ascii="宋体" w:hAnsi="宋体"/>
          <w:kern w:val="44"/>
        </w:rPr>
      </w:pPr>
      <w:r>
        <w:rPr>
          <w:rFonts w:hint="eastAsia" w:ascii="宋体" w:hAnsi="宋体"/>
          <w:b/>
          <w:kern w:val="44"/>
        </w:rPr>
        <w:t>第四条</w:t>
      </w:r>
      <w:r>
        <w:rPr>
          <w:rFonts w:hint="eastAsia" w:ascii="宋体" w:hAnsi="宋体"/>
          <w:kern w:val="44"/>
        </w:rPr>
        <w:t>　每年12月31日前年满18岁的男性公民，符合条件的，应当被征集服现役。当年未被征集的，在22岁前仍可以被征集服现役。</w:t>
      </w:r>
    </w:p>
    <w:p w14:paraId="43EE1AEB">
      <w:pPr>
        <w:jc w:val="left"/>
        <w:rPr>
          <w:rFonts w:ascii="宋体" w:hAnsi="宋体"/>
          <w:kern w:val="44"/>
        </w:rPr>
      </w:pPr>
      <w:r>
        <w:rPr>
          <w:rFonts w:hint="eastAsia" w:ascii="宋体" w:hAnsi="宋体"/>
          <w:kern w:val="44"/>
        </w:rPr>
        <w:t>女性公民的征集，按照国家有关规定执行。</w:t>
      </w:r>
    </w:p>
    <w:p w14:paraId="1DDC282D">
      <w:pPr>
        <w:jc w:val="left"/>
        <w:rPr>
          <w:rFonts w:ascii="宋体" w:hAnsi="宋体"/>
          <w:kern w:val="44"/>
        </w:rPr>
      </w:pPr>
      <w:r>
        <w:rPr>
          <w:rFonts w:hint="eastAsia" w:ascii="宋体" w:hAnsi="宋体"/>
          <w:kern w:val="44"/>
        </w:rPr>
        <w:t>每年12月31日前年满17岁未满18岁的男女公民，根据军队需要和本人自愿的原则，可以被征集服现役。</w:t>
      </w:r>
    </w:p>
    <w:p w14:paraId="019D16F3">
      <w:pPr>
        <w:jc w:val="left"/>
        <w:rPr>
          <w:rFonts w:ascii="宋体" w:hAnsi="宋体"/>
          <w:kern w:val="44"/>
        </w:rPr>
      </w:pPr>
      <w:r>
        <w:rPr>
          <w:rFonts w:hint="eastAsia" w:ascii="宋体" w:hAnsi="宋体"/>
          <w:kern w:val="44"/>
        </w:rPr>
        <w:t>适龄公民是正在全日制学校就学的学生或者是维持家庭生活的唯一劳动力，可以缓征，但本人自愿的可以被征集服现役。</w:t>
      </w:r>
    </w:p>
    <w:p w14:paraId="4126E40D">
      <w:pPr>
        <w:ind w:firstLine="422"/>
        <w:jc w:val="left"/>
        <w:rPr>
          <w:rFonts w:ascii="宋体" w:hAnsi="宋体"/>
          <w:kern w:val="44"/>
        </w:rPr>
      </w:pPr>
      <w:r>
        <w:rPr>
          <w:rFonts w:hint="eastAsia" w:ascii="宋体" w:hAnsi="宋体"/>
          <w:b/>
          <w:kern w:val="44"/>
        </w:rPr>
        <w:t>第五条</w:t>
      </w:r>
      <w:r>
        <w:rPr>
          <w:rFonts w:hint="eastAsia" w:ascii="宋体" w:hAnsi="宋体"/>
          <w:kern w:val="44"/>
        </w:rPr>
        <w:t>　本市征兵工作实行目标管理责任制。每年的征兵人数、范围、时间和要求，由市人民政府、中国人民解放军北京卫戍区根据国务院和中央军事委员会当年的征兵命令，下达给区、县人民政府。</w:t>
      </w:r>
    </w:p>
    <w:p w14:paraId="2ACC64E9">
      <w:pPr>
        <w:ind w:firstLine="422"/>
        <w:jc w:val="left"/>
        <w:rPr>
          <w:rFonts w:ascii="宋体" w:hAnsi="宋体"/>
          <w:kern w:val="44"/>
        </w:rPr>
      </w:pPr>
      <w:r>
        <w:rPr>
          <w:rFonts w:hint="eastAsia" w:ascii="宋体" w:hAnsi="宋体"/>
          <w:b/>
          <w:kern w:val="44"/>
        </w:rPr>
        <w:t>第六条</w:t>
      </w:r>
      <w:r>
        <w:rPr>
          <w:rFonts w:hint="eastAsia" w:ascii="宋体" w:hAnsi="宋体"/>
          <w:kern w:val="44"/>
        </w:rPr>
        <w:t>　本市征兵工作在上级军事机关和市人民政府的领导下，由市兵役机关组织实施。</w:t>
      </w:r>
    </w:p>
    <w:p w14:paraId="48017EEC">
      <w:pPr>
        <w:jc w:val="left"/>
        <w:rPr>
          <w:rFonts w:ascii="宋体" w:hAnsi="宋体"/>
          <w:kern w:val="44"/>
        </w:rPr>
      </w:pPr>
      <w:r>
        <w:rPr>
          <w:rFonts w:hint="eastAsia" w:ascii="宋体" w:hAnsi="宋体"/>
          <w:kern w:val="44"/>
        </w:rPr>
        <w:t>市和区、县人民政府组织同级兵役机关、公安、卫生、教育、财政、民政等部门组成征兵办公室，负责办理本行政区域内的平时征兵准备、征兵实施、征兵宣传、从非军事部门直接招收志愿兵等项工作。</w:t>
      </w:r>
    </w:p>
    <w:p w14:paraId="2F4C60FD">
      <w:pPr>
        <w:jc w:val="left"/>
        <w:rPr>
          <w:rFonts w:ascii="宋体" w:hAnsi="宋体"/>
          <w:kern w:val="44"/>
        </w:rPr>
      </w:pPr>
      <w:r>
        <w:rPr>
          <w:rFonts w:hint="eastAsia" w:ascii="宋体" w:hAnsi="宋体"/>
          <w:kern w:val="44"/>
        </w:rPr>
        <w:t>乡镇人民政府、街道办事处和机关、团体、企业事业单位以及其他组织，应当根据区、县人民政府的安排和要求，负责本地区、本单位的征兵工作。</w:t>
      </w:r>
    </w:p>
    <w:p w14:paraId="1B6C145F">
      <w:pPr>
        <w:jc w:val="left"/>
        <w:rPr>
          <w:rFonts w:ascii="宋体" w:hAnsi="宋体"/>
          <w:kern w:val="44"/>
        </w:rPr>
      </w:pPr>
      <w:r>
        <w:rPr>
          <w:rFonts w:hint="eastAsia" w:ascii="宋体" w:hAnsi="宋体"/>
          <w:kern w:val="44"/>
        </w:rPr>
        <w:t>工会、共青团、妇联等人民团体以及宣传、新闻单位，应当积极配合征兵办公室做好征兵工作。</w:t>
      </w:r>
    </w:p>
    <w:p w14:paraId="088B3002">
      <w:pPr>
        <w:ind w:firstLine="422"/>
        <w:jc w:val="left"/>
        <w:rPr>
          <w:rFonts w:ascii="宋体" w:hAnsi="宋体"/>
          <w:kern w:val="44"/>
        </w:rPr>
      </w:pPr>
      <w:r>
        <w:rPr>
          <w:rFonts w:hint="eastAsia" w:ascii="宋体" w:hAnsi="宋体"/>
          <w:b/>
          <w:kern w:val="44"/>
        </w:rPr>
        <w:t>第七条</w:t>
      </w:r>
      <w:r>
        <w:rPr>
          <w:rFonts w:hint="eastAsia" w:ascii="宋体" w:hAnsi="宋体"/>
          <w:kern w:val="44"/>
        </w:rPr>
        <w:t>　征兵宣传工作应当纳入本市国防教育和法制宣传教育规划。各部门、各单位应当加强征兵的宣传工作，广泛开展爱国主义、革命英雄主义和依法服兵役的教育，做好应征公民的思想政治工作，鼓励他们为保卫社会主义祖国积极报名应征。</w:t>
      </w:r>
    </w:p>
    <w:p w14:paraId="4EAE158E">
      <w:pPr>
        <w:ind w:firstLine="422"/>
        <w:jc w:val="left"/>
        <w:rPr>
          <w:rFonts w:ascii="宋体" w:hAnsi="宋体"/>
          <w:kern w:val="44"/>
        </w:rPr>
      </w:pPr>
      <w:r>
        <w:rPr>
          <w:rFonts w:hint="eastAsia" w:ascii="宋体" w:hAnsi="宋体"/>
          <w:b/>
          <w:kern w:val="44"/>
        </w:rPr>
        <w:t>第八条</w:t>
      </w:r>
      <w:r>
        <w:rPr>
          <w:rFonts w:hint="eastAsia" w:ascii="宋体" w:hAnsi="宋体"/>
          <w:kern w:val="44"/>
        </w:rPr>
        <w:t>　市和区、县人民政府征兵办公室开展征兵工作所需经费，应当列入同级财政年度预算。</w:t>
      </w:r>
    </w:p>
    <w:p w14:paraId="46FF8364">
      <w:pPr>
        <w:jc w:val="left"/>
        <w:rPr>
          <w:rFonts w:ascii="宋体" w:hAnsi="宋体"/>
          <w:kern w:val="44"/>
        </w:rPr>
      </w:pPr>
      <w:r>
        <w:rPr>
          <w:rFonts w:hint="eastAsia" w:ascii="宋体" w:hAnsi="宋体"/>
          <w:kern w:val="44"/>
        </w:rPr>
        <w:t>机关、团体、企业事业单位以及其他组织所需征兵工作经费，由各单位自行解决。</w:t>
      </w:r>
    </w:p>
    <w:p w14:paraId="35EF7751">
      <w:pPr>
        <w:ind w:firstLine="422"/>
        <w:jc w:val="left"/>
        <w:rPr>
          <w:rFonts w:ascii="宋体" w:hAnsi="宋体"/>
          <w:kern w:val="44"/>
        </w:rPr>
      </w:pPr>
      <w:r>
        <w:rPr>
          <w:rFonts w:hint="eastAsia" w:ascii="宋体" w:hAnsi="宋体"/>
          <w:b/>
          <w:kern w:val="44"/>
        </w:rPr>
        <w:t>第九条</w:t>
      </w:r>
      <w:r>
        <w:rPr>
          <w:rFonts w:hint="eastAsia" w:ascii="宋体" w:hAnsi="宋体"/>
          <w:kern w:val="44"/>
        </w:rPr>
        <w:t>　对在征兵工作中做出显著成绩的单位和个人，由本市各级人民政府给予表彰和奖励。</w:t>
      </w:r>
    </w:p>
    <w:p w14:paraId="085B632F">
      <w:pPr>
        <w:jc w:val="left"/>
        <w:rPr>
          <w:rFonts w:ascii="宋体" w:hAnsi="宋体"/>
          <w:kern w:val="44"/>
        </w:rPr>
      </w:pPr>
    </w:p>
    <w:p w14:paraId="112B9A17">
      <w:pPr>
        <w:ind w:firstLine="0" w:firstLineChars="0"/>
        <w:jc w:val="center"/>
        <w:rPr>
          <w:rFonts w:ascii="宋体" w:hAnsi="宋体"/>
          <w:b/>
          <w:kern w:val="44"/>
        </w:rPr>
      </w:pPr>
      <w:r>
        <w:rPr>
          <w:rFonts w:hint="eastAsia" w:ascii="宋体" w:hAnsi="宋体"/>
          <w:b/>
          <w:kern w:val="44"/>
          <w:sz w:val="28"/>
        </w:rPr>
        <w:t>第二章  兵役登记</w:t>
      </w:r>
    </w:p>
    <w:p w14:paraId="3A28AE2C">
      <w:pPr>
        <w:jc w:val="left"/>
        <w:rPr>
          <w:rFonts w:ascii="宋体" w:hAnsi="宋体"/>
          <w:kern w:val="44"/>
        </w:rPr>
      </w:pPr>
    </w:p>
    <w:p w14:paraId="7526F922">
      <w:pPr>
        <w:ind w:firstLine="422"/>
        <w:jc w:val="left"/>
        <w:rPr>
          <w:rFonts w:ascii="宋体" w:hAnsi="宋体"/>
          <w:kern w:val="44"/>
        </w:rPr>
      </w:pPr>
      <w:r>
        <w:rPr>
          <w:rFonts w:hint="eastAsia" w:ascii="宋体" w:hAnsi="宋体"/>
          <w:b/>
          <w:kern w:val="44"/>
        </w:rPr>
        <w:t>第十条</w:t>
      </w:r>
      <w:r>
        <w:rPr>
          <w:rFonts w:hint="eastAsia" w:ascii="宋体" w:hAnsi="宋体"/>
          <w:kern w:val="44"/>
        </w:rPr>
        <w:t>　兵役登记工作在市人民政府征兵办公室的指导下，由区、县兵役机关组织实施。</w:t>
      </w:r>
    </w:p>
    <w:p w14:paraId="5C466C8B">
      <w:pPr>
        <w:ind w:firstLine="422"/>
        <w:jc w:val="left"/>
        <w:rPr>
          <w:rFonts w:ascii="宋体" w:hAnsi="宋体"/>
          <w:kern w:val="44"/>
        </w:rPr>
      </w:pPr>
      <w:r>
        <w:rPr>
          <w:rFonts w:hint="eastAsia" w:ascii="宋体" w:hAnsi="宋体"/>
          <w:b/>
          <w:kern w:val="44"/>
        </w:rPr>
        <w:t>第十一条</w:t>
      </w:r>
      <w:r>
        <w:rPr>
          <w:rFonts w:hint="eastAsia" w:ascii="宋体" w:hAnsi="宋体"/>
          <w:kern w:val="44"/>
        </w:rPr>
        <w:t>　区、县人民政府征兵办公室应当于当年兵役登记开始10日前发出兵役登记公告。</w:t>
      </w:r>
    </w:p>
    <w:p w14:paraId="6750D727">
      <w:pPr>
        <w:jc w:val="left"/>
        <w:rPr>
          <w:rFonts w:ascii="宋体" w:hAnsi="宋体"/>
          <w:kern w:val="44"/>
        </w:rPr>
      </w:pPr>
      <w:r>
        <w:rPr>
          <w:rFonts w:hint="eastAsia" w:ascii="宋体" w:hAnsi="宋体"/>
          <w:kern w:val="44"/>
        </w:rPr>
        <w:t>乡镇人民政府、街道办事处和机关、团体、企业事业单位以及其他组织，应当根据区、县兵役机关的安排和要求，设立兵役登记站，并于兵役登记开始7日前将登记事项通知适龄男性公民。</w:t>
      </w:r>
    </w:p>
    <w:p w14:paraId="3093AC9C">
      <w:pPr>
        <w:ind w:firstLine="422"/>
        <w:jc w:val="left"/>
        <w:rPr>
          <w:rFonts w:ascii="宋体" w:hAnsi="宋体"/>
          <w:kern w:val="44"/>
        </w:rPr>
      </w:pPr>
      <w:r>
        <w:rPr>
          <w:rFonts w:hint="eastAsia" w:ascii="宋体" w:hAnsi="宋体"/>
          <w:b/>
          <w:kern w:val="44"/>
        </w:rPr>
        <w:t>第十二条</w:t>
      </w:r>
      <w:r>
        <w:rPr>
          <w:rFonts w:hint="eastAsia" w:ascii="宋体" w:hAnsi="宋体"/>
          <w:kern w:val="44"/>
        </w:rPr>
        <w:t>　每年12月31日前年满18岁的男性公民，应当于当年9月30日前，按照区、县兵役机关的通知，持本人身份证、学历证明到兵役登记站进行兵役登记。</w:t>
      </w:r>
    </w:p>
    <w:p w14:paraId="01CD20E8">
      <w:pPr>
        <w:jc w:val="left"/>
        <w:rPr>
          <w:rFonts w:ascii="宋体" w:hAnsi="宋体"/>
          <w:kern w:val="44"/>
        </w:rPr>
      </w:pPr>
      <w:r>
        <w:rPr>
          <w:rFonts w:hint="eastAsia" w:ascii="宋体" w:hAnsi="宋体"/>
          <w:kern w:val="44"/>
        </w:rPr>
        <w:t>适龄男性公民因特殊情况不能到兵役登记站登记的，可以书面委托其亲属或者所在单位代为登记。</w:t>
      </w:r>
    </w:p>
    <w:p w14:paraId="1586D36E">
      <w:pPr>
        <w:ind w:firstLine="422"/>
        <w:jc w:val="left"/>
        <w:rPr>
          <w:rFonts w:ascii="宋体" w:hAnsi="宋体"/>
          <w:kern w:val="44"/>
        </w:rPr>
      </w:pPr>
      <w:r>
        <w:rPr>
          <w:rFonts w:hint="eastAsia" w:ascii="宋体" w:hAnsi="宋体"/>
          <w:b/>
          <w:kern w:val="44"/>
        </w:rPr>
        <w:t>第十三条</w:t>
      </w:r>
      <w:r>
        <w:rPr>
          <w:rFonts w:hint="eastAsia" w:ascii="宋体" w:hAnsi="宋体"/>
          <w:kern w:val="44"/>
        </w:rPr>
        <w:t>　乡镇人民政府、街道办事处和机关、团体、企业事业单位以及其他组织应当根据区、县兵役机关的安排，组织本地区、本单位的适龄男性公民进行兵役登记；依法确定应当服兵役、免服兵役和不得服兵役的人员，并报区、县兵役机关批准；依法对经兵役登记和初步审查合格的应征公民进行体格目测、病史调查和政治、文化素质审查，择优选定当年预定征集的对象，并通知本人。</w:t>
      </w:r>
    </w:p>
    <w:p w14:paraId="3EFE08AB">
      <w:pPr>
        <w:ind w:firstLine="422"/>
        <w:jc w:val="left"/>
        <w:rPr>
          <w:rFonts w:ascii="宋体" w:hAnsi="宋体"/>
          <w:kern w:val="44"/>
        </w:rPr>
      </w:pPr>
      <w:r>
        <w:rPr>
          <w:rFonts w:hint="eastAsia" w:ascii="宋体" w:hAnsi="宋体"/>
          <w:b/>
          <w:kern w:val="44"/>
        </w:rPr>
        <w:t>第十四条</w:t>
      </w:r>
      <w:r>
        <w:rPr>
          <w:rFonts w:hint="eastAsia" w:ascii="宋体" w:hAnsi="宋体"/>
          <w:kern w:val="44"/>
        </w:rPr>
        <w:t>　区、县兵役机关和基层单位应当加强对预定征集的应征公民的管理、教育和考察，了解掌握基本情况。预定征集的应征公民离开本市1个月以上的，应当向所在基层人民武装部报告去向和联系办法，并按照区、县人民政府征兵办公室的通知及时返回应征。</w:t>
      </w:r>
    </w:p>
    <w:p w14:paraId="5096215C">
      <w:pPr>
        <w:ind w:firstLine="422"/>
        <w:jc w:val="left"/>
        <w:rPr>
          <w:rFonts w:ascii="宋体" w:hAnsi="宋体"/>
          <w:kern w:val="44"/>
        </w:rPr>
      </w:pPr>
      <w:r>
        <w:rPr>
          <w:rFonts w:hint="eastAsia" w:ascii="宋体" w:hAnsi="宋体"/>
          <w:b/>
          <w:kern w:val="44"/>
        </w:rPr>
        <w:t>第十五条</w:t>
      </w:r>
      <w:r>
        <w:rPr>
          <w:rFonts w:hint="eastAsia" w:ascii="宋体" w:hAnsi="宋体"/>
          <w:kern w:val="44"/>
        </w:rPr>
        <w:t>　区、县人民政府征兵办公室对经过兵役登记的适龄公民，发放由市人民政府征兵办公室印制的《北京市公民兵役证》，并负责《北京市公民兵役证》的管理、核验工作。</w:t>
      </w:r>
    </w:p>
    <w:p w14:paraId="29009884">
      <w:pPr>
        <w:jc w:val="left"/>
        <w:rPr>
          <w:rFonts w:ascii="宋体" w:hAnsi="宋体"/>
          <w:kern w:val="44"/>
        </w:rPr>
      </w:pPr>
      <w:r>
        <w:rPr>
          <w:rFonts w:hint="eastAsia" w:ascii="宋体" w:hAnsi="宋体"/>
          <w:kern w:val="44"/>
        </w:rPr>
        <w:t>《北京市公民兵役证》由适龄公民本人保管，遗失的应当及时向发证单位申请补发；经兵役登记的适龄公民变更户口所在地、住所地或者就业单位，应当及时到发证单位办理兵役登记变更手续。</w:t>
      </w:r>
    </w:p>
    <w:p w14:paraId="7CC68194">
      <w:pPr>
        <w:jc w:val="left"/>
        <w:rPr>
          <w:rFonts w:ascii="宋体" w:hAnsi="宋体"/>
          <w:kern w:val="44"/>
        </w:rPr>
      </w:pPr>
      <w:r>
        <w:rPr>
          <w:rFonts w:hint="eastAsia" w:ascii="宋体" w:hAnsi="宋体"/>
          <w:kern w:val="44"/>
        </w:rPr>
        <w:t>《北京市公民兵役证》不得转借、涂改、伪造和变造。</w:t>
      </w:r>
    </w:p>
    <w:p w14:paraId="752D81D9">
      <w:pPr>
        <w:ind w:firstLine="422"/>
        <w:jc w:val="left"/>
        <w:rPr>
          <w:rFonts w:ascii="宋体" w:hAnsi="宋体"/>
          <w:kern w:val="44"/>
        </w:rPr>
      </w:pPr>
      <w:r>
        <w:rPr>
          <w:rFonts w:hint="eastAsia" w:ascii="宋体" w:hAnsi="宋体"/>
          <w:b/>
          <w:kern w:val="44"/>
        </w:rPr>
        <w:t>第十六条</w:t>
      </w:r>
      <w:r>
        <w:rPr>
          <w:rFonts w:hint="eastAsia" w:ascii="宋体" w:hAnsi="宋体"/>
          <w:kern w:val="44"/>
        </w:rPr>
        <w:t>　本市有关部门或者单位在招录国家公务员、办理出境或者招生、招工时，应当查验本市适龄公民的《北京市公民兵役证》。</w:t>
      </w:r>
    </w:p>
    <w:p w14:paraId="280EEE59">
      <w:pPr>
        <w:jc w:val="left"/>
        <w:rPr>
          <w:rFonts w:ascii="宋体" w:hAnsi="宋体"/>
          <w:kern w:val="44"/>
        </w:rPr>
      </w:pPr>
    </w:p>
    <w:p w14:paraId="1C9E4B73">
      <w:pPr>
        <w:ind w:firstLine="0" w:firstLineChars="0"/>
        <w:jc w:val="center"/>
        <w:rPr>
          <w:rFonts w:ascii="宋体" w:hAnsi="宋体"/>
          <w:b/>
          <w:kern w:val="44"/>
          <w:sz w:val="28"/>
        </w:rPr>
      </w:pPr>
      <w:r>
        <w:rPr>
          <w:rFonts w:hint="eastAsia" w:ascii="宋体" w:hAnsi="宋体"/>
          <w:b/>
          <w:kern w:val="44"/>
          <w:sz w:val="28"/>
        </w:rPr>
        <w:t>第三章  体格检查</w:t>
      </w:r>
    </w:p>
    <w:p w14:paraId="24AEF6A0">
      <w:pPr>
        <w:jc w:val="left"/>
        <w:rPr>
          <w:rFonts w:ascii="宋体" w:hAnsi="宋体"/>
          <w:kern w:val="44"/>
        </w:rPr>
      </w:pPr>
    </w:p>
    <w:p w14:paraId="50517BEC">
      <w:pPr>
        <w:ind w:firstLine="422"/>
        <w:jc w:val="left"/>
        <w:rPr>
          <w:rFonts w:ascii="宋体" w:hAnsi="宋体"/>
          <w:kern w:val="44"/>
        </w:rPr>
      </w:pPr>
      <w:r>
        <w:rPr>
          <w:rFonts w:hint="eastAsia" w:ascii="宋体" w:hAnsi="宋体"/>
          <w:b/>
          <w:kern w:val="44"/>
        </w:rPr>
        <w:t>第十七条</w:t>
      </w:r>
      <w:r>
        <w:rPr>
          <w:rFonts w:hint="eastAsia" w:ascii="宋体" w:hAnsi="宋体"/>
          <w:kern w:val="44"/>
        </w:rPr>
        <w:t>　应征公民体格检查工作，由区、县人民政府征兵办公室统一组织，同级卫生行政主管部门在二级以上医院设立体检站，抽调医务人员组成体检组具体实施。</w:t>
      </w:r>
    </w:p>
    <w:p w14:paraId="12D58930">
      <w:pPr>
        <w:ind w:firstLine="422"/>
        <w:jc w:val="left"/>
        <w:rPr>
          <w:rFonts w:ascii="宋体" w:hAnsi="宋体"/>
          <w:kern w:val="44"/>
        </w:rPr>
      </w:pPr>
      <w:r>
        <w:rPr>
          <w:rFonts w:hint="eastAsia" w:ascii="宋体" w:hAnsi="宋体"/>
          <w:b/>
          <w:kern w:val="44"/>
        </w:rPr>
        <w:t>第十八条</w:t>
      </w:r>
      <w:r>
        <w:rPr>
          <w:rFonts w:hint="eastAsia" w:ascii="宋体" w:hAnsi="宋体"/>
          <w:kern w:val="44"/>
        </w:rPr>
        <w:t>　市和区、县人民政府征兵办公室会同卫生行政主管部门对参加体格检查工作的医务人员进行培训。</w:t>
      </w:r>
    </w:p>
    <w:p w14:paraId="0FCEA66C">
      <w:pPr>
        <w:jc w:val="left"/>
        <w:rPr>
          <w:rFonts w:ascii="宋体" w:hAnsi="宋体"/>
          <w:kern w:val="44"/>
        </w:rPr>
      </w:pPr>
      <w:r>
        <w:rPr>
          <w:rFonts w:hint="eastAsia" w:ascii="宋体" w:hAnsi="宋体"/>
          <w:kern w:val="44"/>
        </w:rPr>
        <w:t>负责体格检查工作的医务人员，应当按照征兵体格检查标准和有关规定对应征公民进行体格检查。</w:t>
      </w:r>
    </w:p>
    <w:p w14:paraId="67640750">
      <w:pPr>
        <w:ind w:firstLine="422"/>
        <w:jc w:val="left"/>
        <w:rPr>
          <w:rFonts w:ascii="宋体" w:hAnsi="宋体"/>
          <w:kern w:val="44"/>
        </w:rPr>
      </w:pPr>
      <w:r>
        <w:rPr>
          <w:rFonts w:hint="eastAsia" w:ascii="宋体" w:hAnsi="宋体"/>
          <w:b/>
          <w:kern w:val="44"/>
        </w:rPr>
        <w:t>第十九条</w:t>
      </w:r>
      <w:r>
        <w:rPr>
          <w:rFonts w:hint="eastAsia" w:ascii="宋体" w:hAnsi="宋体"/>
          <w:kern w:val="44"/>
        </w:rPr>
        <w:t>　乡镇人民政府、街道办事处和机关、团体、企业事业单位应当根据区、县人民政府下达的征集任务和要求，组织当年预定征集的应征公民参加体格检查。</w:t>
      </w:r>
    </w:p>
    <w:p w14:paraId="5E66506A">
      <w:pPr>
        <w:ind w:firstLine="422"/>
        <w:jc w:val="left"/>
        <w:rPr>
          <w:rFonts w:ascii="宋体" w:hAnsi="宋体"/>
          <w:kern w:val="44"/>
        </w:rPr>
      </w:pPr>
      <w:r>
        <w:rPr>
          <w:rFonts w:hint="eastAsia" w:ascii="宋体" w:hAnsi="宋体"/>
          <w:b/>
          <w:kern w:val="44"/>
        </w:rPr>
        <w:t>第二十条</w:t>
      </w:r>
      <w:r>
        <w:rPr>
          <w:rFonts w:hint="eastAsia" w:ascii="宋体" w:hAnsi="宋体"/>
          <w:kern w:val="44"/>
        </w:rPr>
        <w:t>　应征公民应当按照区、县人民政府征兵办公室的要求参加体格检查，并如实反映健康状况。</w:t>
      </w:r>
    </w:p>
    <w:p w14:paraId="3677533C">
      <w:pPr>
        <w:jc w:val="left"/>
        <w:rPr>
          <w:rFonts w:ascii="宋体" w:hAnsi="宋体"/>
          <w:kern w:val="44"/>
        </w:rPr>
      </w:pPr>
      <w:r>
        <w:rPr>
          <w:rFonts w:hint="eastAsia" w:ascii="宋体" w:hAnsi="宋体"/>
          <w:kern w:val="44"/>
        </w:rPr>
        <w:t>应征公民参加体格检查的，应当视为出勤。</w:t>
      </w:r>
    </w:p>
    <w:p w14:paraId="1934AD5C">
      <w:pPr>
        <w:ind w:firstLine="422"/>
        <w:jc w:val="left"/>
        <w:rPr>
          <w:rFonts w:ascii="宋体" w:hAnsi="宋体"/>
          <w:kern w:val="44"/>
        </w:rPr>
      </w:pPr>
      <w:r>
        <w:rPr>
          <w:rFonts w:hint="eastAsia" w:ascii="宋体" w:hAnsi="宋体"/>
          <w:b/>
          <w:kern w:val="44"/>
        </w:rPr>
        <w:t>第二十一条</w:t>
      </w:r>
      <w:r>
        <w:rPr>
          <w:rFonts w:hint="eastAsia" w:ascii="宋体" w:hAnsi="宋体"/>
          <w:kern w:val="44"/>
        </w:rPr>
        <w:t>　应征公民的体格检查采取基层初检、区县体检、市抽查的方法进行。</w:t>
      </w:r>
    </w:p>
    <w:p w14:paraId="1D8BE517">
      <w:pPr>
        <w:jc w:val="left"/>
        <w:rPr>
          <w:rFonts w:ascii="宋体" w:hAnsi="宋体"/>
          <w:kern w:val="44"/>
        </w:rPr>
      </w:pPr>
      <w:r>
        <w:rPr>
          <w:rFonts w:hint="eastAsia" w:ascii="宋体" w:hAnsi="宋体"/>
          <w:kern w:val="44"/>
        </w:rPr>
        <w:t>对应征公民的抽查人数一般不得少于征兵人数的1/3。经抽查，合格率低于95％的，应当对体格检查合格人员全部进行复查。</w:t>
      </w:r>
    </w:p>
    <w:p w14:paraId="78D27448">
      <w:pPr>
        <w:jc w:val="left"/>
        <w:rPr>
          <w:rFonts w:ascii="宋体" w:hAnsi="宋体"/>
          <w:kern w:val="44"/>
        </w:rPr>
      </w:pPr>
    </w:p>
    <w:p w14:paraId="5DA94452">
      <w:pPr>
        <w:ind w:firstLine="0" w:firstLineChars="0"/>
        <w:jc w:val="center"/>
        <w:rPr>
          <w:rFonts w:ascii="宋体" w:hAnsi="宋体"/>
          <w:b/>
          <w:kern w:val="44"/>
          <w:sz w:val="28"/>
        </w:rPr>
      </w:pPr>
      <w:r>
        <w:rPr>
          <w:rFonts w:hint="eastAsia" w:ascii="宋体" w:hAnsi="宋体"/>
          <w:b/>
          <w:kern w:val="44"/>
          <w:sz w:val="28"/>
        </w:rPr>
        <w:t>第四章  政治审查</w:t>
      </w:r>
    </w:p>
    <w:p w14:paraId="326C8B41">
      <w:pPr>
        <w:jc w:val="left"/>
        <w:rPr>
          <w:rFonts w:ascii="宋体" w:hAnsi="宋体"/>
          <w:kern w:val="44"/>
        </w:rPr>
      </w:pPr>
    </w:p>
    <w:p w14:paraId="0148B6E1">
      <w:pPr>
        <w:ind w:firstLine="422"/>
        <w:jc w:val="left"/>
        <w:rPr>
          <w:rFonts w:ascii="宋体" w:hAnsi="宋体"/>
          <w:kern w:val="44"/>
        </w:rPr>
      </w:pPr>
      <w:r>
        <w:rPr>
          <w:rFonts w:hint="eastAsia" w:ascii="宋体" w:hAnsi="宋体"/>
          <w:b/>
          <w:kern w:val="44"/>
        </w:rPr>
        <w:t>第二十二条</w:t>
      </w:r>
      <w:r>
        <w:rPr>
          <w:rFonts w:hint="eastAsia" w:ascii="宋体" w:hAnsi="宋体"/>
          <w:kern w:val="44"/>
        </w:rPr>
        <w:t>　应征公民的政治审查工作，由区、县人民政府征兵办公室统一组织，公安部门按照政治审查有关规定具体实施。有关单位和个人应当协助配合，如实提供情况。</w:t>
      </w:r>
    </w:p>
    <w:p w14:paraId="3F83413E">
      <w:pPr>
        <w:ind w:firstLine="422"/>
        <w:jc w:val="left"/>
        <w:rPr>
          <w:rFonts w:ascii="宋体" w:hAnsi="宋体"/>
          <w:kern w:val="44"/>
        </w:rPr>
      </w:pPr>
      <w:r>
        <w:rPr>
          <w:rFonts w:hint="eastAsia" w:ascii="宋体" w:hAnsi="宋体"/>
          <w:b/>
          <w:kern w:val="44"/>
        </w:rPr>
        <w:t>第二十三条</w:t>
      </w:r>
      <w:r>
        <w:rPr>
          <w:rFonts w:hint="eastAsia" w:ascii="宋体" w:hAnsi="宋体"/>
          <w:kern w:val="44"/>
        </w:rPr>
        <w:t>　市和区、县人民政府征兵办公室会同公安部门对参加政治审查工作的人员进行业务培训。</w:t>
      </w:r>
    </w:p>
    <w:p w14:paraId="31018AC3">
      <w:pPr>
        <w:jc w:val="left"/>
        <w:rPr>
          <w:rFonts w:ascii="宋体" w:hAnsi="宋体"/>
          <w:kern w:val="44"/>
        </w:rPr>
      </w:pPr>
      <w:r>
        <w:rPr>
          <w:rFonts w:hint="eastAsia" w:ascii="宋体" w:hAnsi="宋体"/>
          <w:kern w:val="44"/>
        </w:rPr>
        <w:t>参加政治审查工作的人员，应当按照征兵政治审查工作的有关规定，对应征公民的有关政治状况等进行审查，重点查清其现实表现。</w:t>
      </w:r>
    </w:p>
    <w:p w14:paraId="6A33BE7B">
      <w:pPr>
        <w:ind w:firstLine="422"/>
        <w:jc w:val="left"/>
        <w:rPr>
          <w:rFonts w:ascii="宋体" w:hAnsi="宋体"/>
          <w:kern w:val="44"/>
        </w:rPr>
      </w:pPr>
      <w:r>
        <w:rPr>
          <w:rFonts w:hint="eastAsia" w:ascii="宋体" w:hAnsi="宋体"/>
          <w:b/>
          <w:kern w:val="44"/>
        </w:rPr>
        <w:t>第二十四条</w:t>
      </w:r>
      <w:r>
        <w:rPr>
          <w:rFonts w:hint="eastAsia" w:ascii="宋体" w:hAnsi="宋体"/>
          <w:kern w:val="44"/>
        </w:rPr>
        <w:t>　应征公民的政治审查工作实行村（居）民委员会、职工所在单位初审，乡镇人民政府、街道办事处和公安派出所复审，区、县人民政府征兵办公室终审的三级审查和相关地区、单位联合交叉审查制度。</w:t>
      </w:r>
    </w:p>
    <w:p w14:paraId="5E03935A">
      <w:pPr>
        <w:jc w:val="left"/>
        <w:rPr>
          <w:rFonts w:ascii="宋体" w:hAnsi="宋体"/>
          <w:kern w:val="44"/>
        </w:rPr>
      </w:pPr>
    </w:p>
    <w:p w14:paraId="5B383330">
      <w:pPr>
        <w:ind w:firstLine="0" w:firstLineChars="0"/>
        <w:jc w:val="center"/>
        <w:rPr>
          <w:rFonts w:ascii="宋体" w:hAnsi="宋体"/>
          <w:b/>
          <w:kern w:val="44"/>
          <w:sz w:val="28"/>
        </w:rPr>
      </w:pPr>
      <w:r>
        <w:rPr>
          <w:rFonts w:hint="eastAsia" w:ascii="宋体" w:hAnsi="宋体"/>
          <w:b/>
          <w:kern w:val="44"/>
          <w:sz w:val="28"/>
        </w:rPr>
        <w:t>第五章  审定、交接与退兵</w:t>
      </w:r>
    </w:p>
    <w:p w14:paraId="76783A44">
      <w:pPr>
        <w:jc w:val="left"/>
        <w:rPr>
          <w:rFonts w:ascii="宋体" w:hAnsi="宋体"/>
          <w:kern w:val="44"/>
        </w:rPr>
      </w:pPr>
    </w:p>
    <w:p w14:paraId="298E4F19">
      <w:pPr>
        <w:ind w:firstLine="422"/>
        <w:jc w:val="left"/>
        <w:rPr>
          <w:rFonts w:ascii="宋体" w:hAnsi="宋体"/>
          <w:kern w:val="44"/>
        </w:rPr>
      </w:pPr>
      <w:r>
        <w:rPr>
          <w:rFonts w:hint="eastAsia" w:ascii="宋体" w:hAnsi="宋体"/>
          <w:b/>
          <w:kern w:val="44"/>
        </w:rPr>
        <w:t>第二十五条</w:t>
      </w:r>
      <w:r>
        <w:rPr>
          <w:rFonts w:hint="eastAsia" w:ascii="宋体" w:hAnsi="宋体"/>
          <w:kern w:val="44"/>
        </w:rPr>
        <w:t>　区、县人民政府征兵办公室应当对体格检查、政治审查合格的应征公民进行全面衡量，在听取乡镇人民政府、街道办事处和有关单位意见的基础上，召集接兵部队负责人审定兵员，择优批准服现役，并将被批准服现役的人员名单予以公布。</w:t>
      </w:r>
    </w:p>
    <w:p w14:paraId="39724E7E">
      <w:pPr>
        <w:ind w:firstLine="422"/>
        <w:jc w:val="left"/>
        <w:rPr>
          <w:rFonts w:ascii="宋体" w:hAnsi="宋体"/>
          <w:kern w:val="44"/>
        </w:rPr>
      </w:pPr>
      <w:r>
        <w:rPr>
          <w:rFonts w:hint="eastAsia" w:ascii="宋体" w:hAnsi="宋体"/>
          <w:b/>
          <w:kern w:val="44"/>
        </w:rPr>
        <w:t>第二十六条</w:t>
      </w:r>
      <w:r>
        <w:rPr>
          <w:rFonts w:hint="eastAsia" w:ascii="宋体" w:hAnsi="宋体"/>
          <w:kern w:val="44"/>
        </w:rPr>
        <w:t>　区、县人民政府征兵办公室应当对被批准服现役的公民办理入伍手续，发给《应征公民入伍通知书》，通知其常住户口所在地的户口登记机关，并统一编制《新兵花名册》，报市人民政府征兵办公室备案。</w:t>
      </w:r>
    </w:p>
    <w:p w14:paraId="46DCB535">
      <w:pPr>
        <w:jc w:val="left"/>
        <w:rPr>
          <w:rFonts w:ascii="宋体" w:hAnsi="宋体"/>
          <w:kern w:val="44"/>
        </w:rPr>
      </w:pPr>
      <w:r>
        <w:rPr>
          <w:rFonts w:hint="eastAsia" w:ascii="宋体" w:hAnsi="宋体"/>
          <w:kern w:val="44"/>
        </w:rPr>
        <w:t>有关单位应当按照区、县人民政府征兵办公室的要求，移交被批准服现役公民的档案材料。</w:t>
      </w:r>
    </w:p>
    <w:p w14:paraId="4B5B8F24">
      <w:pPr>
        <w:ind w:firstLine="422"/>
        <w:jc w:val="left"/>
        <w:rPr>
          <w:rFonts w:ascii="宋体" w:hAnsi="宋体"/>
          <w:kern w:val="44"/>
        </w:rPr>
      </w:pPr>
      <w:r>
        <w:rPr>
          <w:rFonts w:hint="eastAsia" w:ascii="宋体" w:hAnsi="宋体"/>
          <w:b/>
          <w:kern w:val="44"/>
        </w:rPr>
        <w:t>第二十七条</w:t>
      </w:r>
      <w:r>
        <w:rPr>
          <w:rFonts w:hint="eastAsia" w:ascii="宋体" w:hAnsi="宋体"/>
          <w:kern w:val="44"/>
        </w:rPr>
        <w:t>　交接新兵，由区、县人民政府征兵办公室派人送兵、新兵自行到部队报到或者部队派人接兵。</w:t>
      </w:r>
    </w:p>
    <w:p w14:paraId="5C034ECF">
      <w:pPr>
        <w:jc w:val="left"/>
        <w:rPr>
          <w:rFonts w:ascii="宋体" w:hAnsi="宋体"/>
          <w:kern w:val="44"/>
        </w:rPr>
      </w:pPr>
      <w:r>
        <w:rPr>
          <w:rFonts w:hint="eastAsia" w:ascii="宋体" w:hAnsi="宋体"/>
          <w:kern w:val="44"/>
        </w:rPr>
        <w:t>区、县人民政府征兵办公室应当在规定时间、地点办理新兵交接手续。</w:t>
      </w:r>
    </w:p>
    <w:p w14:paraId="2906A806">
      <w:pPr>
        <w:ind w:firstLine="422"/>
        <w:jc w:val="left"/>
        <w:rPr>
          <w:rFonts w:ascii="宋体" w:hAnsi="宋体"/>
          <w:kern w:val="44"/>
        </w:rPr>
      </w:pPr>
      <w:r>
        <w:rPr>
          <w:rFonts w:hint="eastAsia" w:ascii="宋体" w:hAnsi="宋体"/>
          <w:b/>
          <w:kern w:val="44"/>
        </w:rPr>
        <w:t>第二十八条</w:t>
      </w:r>
      <w:r>
        <w:rPr>
          <w:rFonts w:hint="eastAsia" w:ascii="宋体" w:hAnsi="宋体"/>
          <w:kern w:val="44"/>
        </w:rPr>
        <w:t>　新兵到达部队后，按照规定进行检疫和复查，因不符合条件被部队作退兵处理的，由市人民政府征兵办公室按照有关规定办理退兵手续。</w:t>
      </w:r>
    </w:p>
    <w:p w14:paraId="79BFFCC8">
      <w:pPr>
        <w:jc w:val="left"/>
        <w:rPr>
          <w:rFonts w:ascii="宋体" w:hAnsi="宋体"/>
          <w:kern w:val="44"/>
        </w:rPr>
      </w:pPr>
      <w:r>
        <w:rPr>
          <w:rFonts w:hint="eastAsia" w:ascii="宋体" w:hAnsi="宋体"/>
          <w:kern w:val="44"/>
        </w:rPr>
        <w:t>区、县人民政府征兵办公室不得擅自接收或者调换被部队退回的新兵。</w:t>
      </w:r>
    </w:p>
    <w:p w14:paraId="37F5B0B0">
      <w:pPr>
        <w:ind w:firstLine="422"/>
        <w:jc w:val="left"/>
        <w:rPr>
          <w:rFonts w:ascii="宋体" w:hAnsi="宋体"/>
          <w:kern w:val="44"/>
        </w:rPr>
      </w:pPr>
      <w:r>
        <w:rPr>
          <w:rFonts w:hint="eastAsia" w:ascii="宋体" w:hAnsi="宋体"/>
          <w:b/>
          <w:kern w:val="44"/>
        </w:rPr>
        <w:t>第二十九条</w:t>
      </w:r>
      <w:r>
        <w:rPr>
          <w:rFonts w:hint="eastAsia" w:ascii="宋体" w:hAnsi="宋体"/>
          <w:kern w:val="44"/>
        </w:rPr>
        <w:t>　对部队按规定退回的新兵，市人民政府征兵办公室应当通知原征集的区、县人民政府征兵办公室领回，注销其入伍手续，当地公安部门应当予以落户；原是机关、团体、企业事业单位职工的，原单位应当准予复职、复工；原是高等学校学生的，原学校应当准予复学。</w:t>
      </w:r>
    </w:p>
    <w:p w14:paraId="0768A055">
      <w:pPr>
        <w:jc w:val="left"/>
        <w:rPr>
          <w:rFonts w:ascii="宋体" w:hAnsi="宋体"/>
          <w:kern w:val="44"/>
        </w:rPr>
      </w:pPr>
    </w:p>
    <w:p w14:paraId="7CE104C3">
      <w:pPr>
        <w:ind w:firstLine="0" w:firstLineChars="0"/>
        <w:jc w:val="center"/>
        <w:rPr>
          <w:rFonts w:ascii="宋体" w:hAnsi="宋体"/>
          <w:b/>
          <w:kern w:val="44"/>
          <w:sz w:val="28"/>
        </w:rPr>
      </w:pPr>
      <w:r>
        <w:rPr>
          <w:rFonts w:hint="eastAsia" w:ascii="宋体" w:hAnsi="宋体"/>
          <w:b/>
          <w:kern w:val="44"/>
          <w:sz w:val="28"/>
        </w:rPr>
        <w:t>第六章  优待与安置</w:t>
      </w:r>
    </w:p>
    <w:p w14:paraId="158D7F4A">
      <w:pPr>
        <w:jc w:val="left"/>
        <w:rPr>
          <w:rFonts w:ascii="宋体" w:hAnsi="宋体"/>
          <w:kern w:val="44"/>
        </w:rPr>
      </w:pPr>
    </w:p>
    <w:p w14:paraId="6A5B96D1">
      <w:pPr>
        <w:ind w:firstLine="422"/>
        <w:jc w:val="left"/>
        <w:rPr>
          <w:rFonts w:ascii="宋体" w:hAnsi="宋体"/>
          <w:kern w:val="44"/>
        </w:rPr>
      </w:pPr>
      <w:r>
        <w:rPr>
          <w:rFonts w:hint="eastAsia" w:ascii="宋体" w:hAnsi="宋体"/>
          <w:b/>
          <w:kern w:val="44"/>
        </w:rPr>
        <w:t>第三十条</w:t>
      </w:r>
      <w:r>
        <w:rPr>
          <w:rFonts w:hint="eastAsia" w:ascii="宋体" w:hAnsi="宋体"/>
          <w:kern w:val="44"/>
        </w:rPr>
        <w:t>　义务兵及其家属应当受到社会的尊重，享受国家和本市规定的优待。</w:t>
      </w:r>
    </w:p>
    <w:p w14:paraId="0C1A21E4">
      <w:pPr>
        <w:jc w:val="left"/>
        <w:rPr>
          <w:rFonts w:ascii="宋体" w:hAnsi="宋体"/>
          <w:kern w:val="44"/>
        </w:rPr>
      </w:pPr>
      <w:r>
        <w:rPr>
          <w:rFonts w:hint="eastAsia" w:ascii="宋体" w:hAnsi="宋体"/>
          <w:kern w:val="44"/>
        </w:rPr>
        <w:t>本市鼓励机关、团体、企业事业单位以及其他组织和个人开展拥军优属活动。</w:t>
      </w:r>
    </w:p>
    <w:p w14:paraId="25FE0C8B">
      <w:pPr>
        <w:ind w:firstLine="422"/>
        <w:jc w:val="left"/>
        <w:rPr>
          <w:rFonts w:ascii="宋体" w:hAnsi="宋体"/>
          <w:kern w:val="44"/>
        </w:rPr>
      </w:pPr>
      <w:r>
        <w:rPr>
          <w:rFonts w:hint="eastAsia" w:ascii="宋体" w:hAnsi="宋体"/>
          <w:b/>
          <w:kern w:val="44"/>
        </w:rPr>
        <w:t>第三十一条</w:t>
      </w:r>
      <w:r>
        <w:rPr>
          <w:rFonts w:hint="eastAsia" w:ascii="宋体" w:hAnsi="宋体"/>
          <w:kern w:val="44"/>
        </w:rPr>
        <w:t>　义务兵服现役期间，其家属应当享受优待金。优待金的支出纳入财政预算。优待金的标准不低于当地平均生活水平，具体标准和发放办法由市人民政府规定。</w:t>
      </w:r>
    </w:p>
    <w:p w14:paraId="0D2ABA87">
      <w:pPr>
        <w:jc w:val="left"/>
        <w:rPr>
          <w:rFonts w:ascii="宋体" w:hAnsi="宋体"/>
          <w:kern w:val="44"/>
        </w:rPr>
      </w:pPr>
      <w:r>
        <w:rPr>
          <w:rFonts w:hint="eastAsia" w:ascii="宋体" w:hAnsi="宋体"/>
          <w:kern w:val="44"/>
        </w:rPr>
        <w:t>义务兵原所在单位上年度人均收入高于优待金标准的，原所在单位应当给予适当补贴。</w:t>
      </w:r>
    </w:p>
    <w:p w14:paraId="52881F70">
      <w:pPr>
        <w:jc w:val="left"/>
        <w:rPr>
          <w:rFonts w:ascii="宋体" w:hAnsi="宋体"/>
          <w:kern w:val="44"/>
        </w:rPr>
      </w:pPr>
      <w:r>
        <w:rPr>
          <w:rFonts w:hint="eastAsia" w:ascii="宋体" w:hAnsi="宋体"/>
          <w:kern w:val="44"/>
        </w:rPr>
        <w:t>义务兵到国家确定的自然条件恶劣地区服现役的，其家属享受的优待金应当适当增加；对在服现役期间荣立三等功以上的义务兵，由区、县人民政府给予一次性奖励。</w:t>
      </w:r>
    </w:p>
    <w:p w14:paraId="4AC6F4A7">
      <w:pPr>
        <w:jc w:val="left"/>
        <w:rPr>
          <w:rFonts w:ascii="宋体" w:hAnsi="宋体"/>
          <w:kern w:val="44"/>
        </w:rPr>
      </w:pPr>
      <w:r>
        <w:rPr>
          <w:rFonts w:hint="eastAsia" w:ascii="宋体" w:hAnsi="宋体"/>
          <w:kern w:val="44"/>
        </w:rPr>
        <w:t>义务兵家属享受优待金后，生活仍确有困难的，区、县人民政府应当给予补助。</w:t>
      </w:r>
    </w:p>
    <w:p w14:paraId="330A370A">
      <w:pPr>
        <w:ind w:firstLine="422"/>
        <w:jc w:val="left"/>
        <w:rPr>
          <w:rFonts w:ascii="宋体" w:hAnsi="宋体"/>
          <w:kern w:val="44"/>
        </w:rPr>
      </w:pPr>
      <w:r>
        <w:rPr>
          <w:rFonts w:hint="eastAsia" w:ascii="宋体" w:hAnsi="宋体"/>
          <w:b/>
          <w:kern w:val="44"/>
        </w:rPr>
        <w:t>第三十二条</w:t>
      </w:r>
      <w:r>
        <w:rPr>
          <w:rFonts w:hint="eastAsia" w:ascii="宋体" w:hAnsi="宋体"/>
          <w:kern w:val="44"/>
        </w:rPr>
        <w:t>　义务兵原租赁公房的租赁和使用权应当予以保留；住房被拆迁或者其所在地土地被征用的，应当按照有关规定给予补偿安置。</w:t>
      </w:r>
    </w:p>
    <w:p w14:paraId="31630BE6">
      <w:pPr>
        <w:jc w:val="left"/>
        <w:rPr>
          <w:rFonts w:ascii="宋体" w:hAnsi="宋体"/>
          <w:kern w:val="44"/>
        </w:rPr>
      </w:pPr>
      <w:r>
        <w:rPr>
          <w:rFonts w:hint="eastAsia" w:ascii="宋体" w:hAnsi="宋体"/>
          <w:kern w:val="44"/>
        </w:rPr>
        <w:t>入伍前是在职职工的义务兵，由原单位发给离职当月的全部工资、奖金及各种补贴。</w:t>
      </w:r>
    </w:p>
    <w:p w14:paraId="6FE8F3EC">
      <w:pPr>
        <w:jc w:val="left"/>
        <w:rPr>
          <w:rFonts w:ascii="宋体" w:hAnsi="宋体"/>
          <w:kern w:val="44"/>
        </w:rPr>
      </w:pPr>
      <w:r>
        <w:rPr>
          <w:rFonts w:hint="eastAsia" w:ascii="宋体" w:hAnsi="宋体"/>
          <w:kern w:val="44"/>
        </w:rPr>
        <w:t>入伍前是农业户口的义务兵，服现役期间其家庭承包的土地、山林等应当予以保留。</w:t>
      </w:r>
    </w:p>
    <w:p w14:paraId="5D794C20">
      <w:pPr>
        <w:ind w:firstLine="422"/>
        <w:jc w:val="left"/>
        <w:rPr>
          <w:rFonts w:ascii="宋体" w:hAnsi="宋体"/>
          <w:kern w:val="44"/>
        </w:rPr>
      </w:pPr>
      <w:r>
        <w:rPr>
          <w:rFonts w:hint="eastAsia" w:ascii="宋体" w:hAnsi="宋体"/>
          <w:b/>
          <w:kern w:val="44"/>
        </w:rPr>
        <w:t>第三十三条</w:t>
      </w:r>
      <w:r>
        <w:rPr>
          <w:rFonts w:hint="eastAsia" w:ascii="宋体" w:hAnsi="宋体"/>
          <w:kern w:val="44"/>
        </w:rPr>
        <w:t>　义务兵退出现役后，本市各级人民政府和有关单位应当按照国家和本市有关规定妥善安置，不得拒绝接收。</w:t>
      </w:r>
    </w:p>
    <w:p w14:paraId="71777305">
      <w:pPr>
        <w:jc w:val="left"/>
        <w:rPr>
          <w:rFonts w:ascii="宋体" w:hAnsi="宋体"/>
          <w:kern w:val="44"/>
        </w:rPr>
      </w:pPr>
      <w:r>
        <w:rPr>
          <w:rFonts w:hint="eastAsia" w:ascii="宋体" w:hAnsi="宋体"/>
          <w:kern w:val="44"/>
        </w:rPr>
        <w:t>对在自然条件恶劣地区服现役和在服现役期间荣立二等功以上的义务兵，其退伍安置工作，应当按照从优的原则，在就业、农转非等方面给予优惠和照顾。</w:t>
      </w:r>
    </w:p>
    <w:p w14:paraId="03C0D574">
      <w:pPr>
        <w:ind w:firstLine="422"/>
        <w:jc w:val="left"/>
        <w:rPr>
          <w:rFonts w:ascii="宋体" w:hAnsi="宋体"/>
          <w:kern w:val="44"/>
        </w:rPr>
      </w:pPr>
      <w:r>
        <w:rPr>
          <w:rFonts w:hint="eastAsia" w:ascii="宋体" w:hAnsi="宋体"/>
          <w:b/>
          <w:kern w:val="44"/>
        </w:rPr>
        <w:t>第三十四条</w:t>
      </w:r>
      <w:r>
        <w:rPr>
          <w:rFonts w:hint="eastAsia" w:ascii="宋体" w:hAnsi="宋体"/>
          <w:kern w:val="44"/>
        </w:rPr>
        <w:t>　入伍前是在职职工的义务兵退出现役后，原单位应当安排工作。原单位撤销、倒闭等不能安排工作的，由上一级主管单位安置；没有主管单位的，由本市各级人民政府按规定负责安置。义务兵退出现役，予以安置后的工资、社会保险、福利待遇等按照本单位同工种、同岗位、同工龄职工情况确定。</w:t>
      </w:r>
    </w:p>
    <w:p w14:paraId="71D960D4">
      <w:pPr>
        <w:jc w:val="left"/>
        <w:rPr>
          <w:rFonts w:ascii="宋体" w:hAnsi="宋体"/>
          <w:kern w:val="44"/>
        </w:rPr>
      </w:pPr>
      <w:r>
        <w:rPr>
          <w:rFonts w:hint="eastAsia" w:ascii="宋体" w:hAnsi="宋体"/>
          <w:kern w:val="44"/>
        </w:rPr>
        <w:t>非农业户口义务兵退出现役后自谋职业的，区、县人民政府应当给予一次性经济补助，并给予其他政策优惠。</w:t>
      </w:r>
    </w:p>
    <w:p w14:paraId="41410440">
      <w:pPr>
        <w:jc w:val="left"/>
        <w:rPr>
          <w:rFonts w:ascii="宋体" w:hAnsi="宋体"/>
          <w:kern w:val="44"/>
        </w:rPr>
      </w:pPr>
      <w:r>
        <w:rPr>
          <w:rFonts w:hint="eastAsia" w:ascii="宋体" w:hAnsi="宋体"/>
          <w:kern w:val="44"/>
        </w:rPr>
        <w:t>入伍前是非农业户口的义务兵退出现役后，在待安置期间，由区、县人民政府每月按照不低于当地最低生活水平的原则发给生活补助费。</w:t>
      </w:r>
    </w:p>
    <w:p w14:paraId="71644E54">
      <w:pPr>
        <w:ind w:firstLine="422"/>
        <w:jc w:val="left"/>
        <w:rPr>
          <w:rFonts w:ascii="宋体" w:hAnsi="宋体"/>
          <w:kern w:val="44"/>
        </w:rPr>
      </w:pPr>
      <w:r>
        <w:rPr>
          <w:rFonts w:hint="eastAsia" w:ascii="宋体" w:hAnsi="宋体"/>
          <w:b/>
          <w:kern w:val="44"/>
        </w:rPr>
        <w:t>第三十五条</w:t>
      </w:r>
      <w:r>
        <w:rPr>
          <w:rFonts w:hint="eastAsia" w:ascii="宋体" w:hAnsi="宋体"/>
          <w:kern w:val="44"/>
        </w:rPr>
        <w:t>　入伍前是农业户口的义务兵退出现役后，由乡镇人民政府妥善安排他们的生产和生活。机关、团体、企业事业单位在农村招收员工时，在同等条件下，应当优先录用退伍军人。</w:t>
      </w:r>
    </w:p>
    <w:p w14:paraId="47DD539F">
      <w:pPr>
        <w:ind w:firstLine="422"/>
        <w:jc w:val="left"/>
        <w:rPr>
          <w:rFonts w:ascii="宋体" w:hAnsi="宋体"/>
          <w:kern w:val="44"/>
        </w:rPr>
      </w:pPr>
      <w:r>
        <w:rPr>
          <w:rFonts w:hint="eastAsia" w:ascii="宋体" w:hAnsi="宋体"/>
          <w:b/>
          <w:kern w:val="44"/>
        </w:rPr>
        <w:t>第三十六条</w:t>
      </w:r>
      <w:r>
        <w:rPr>
          <w:rFonts w:hint="eastAsia" w:ascii="宋体" w:hAnsi="宋体"/>
          <w:kern w:val="44"/>
        </w:rPr>
        <w:t>　义务兵退出现役后，报考国家公务员、高等学校和中等专业学校的，应当予以优待。</w:t>
      </w:r>
    </w:p>
    <w:p w14:paraId="0A35904E">
      <w:pPr>
        <w:ind w:firstLine="422"/>
        <w:jc w:val="left"/>
        <w:rPr>
          <w:rFonts w:ascii="宋体" w:hAnsi="宋体"/>
          <w:kern w:val="44"/>
        </w:rPr>
      </w:pPr>
      <w:r>
        <w:rPr>
          <w:rFonts w:hint="eastAsia" w:ascii="宋体" w:hAnsi="宋体"/>
          <w:b/>
          <w:kern w:val="44"/>
        </w:rPr>
        <w:t>第三十七条</w:t>
      </w:r>
      <w:r>
        <w:rPr>
          <w:rFonts w:hint="eastAsia" w:ascii="宋体" w:hAnsi="宋体"/>
          <w:kern w:val="44"/>
        </w:rPr>
        <w:t>　义务兵入伍前是全日制高等学校的大学生，原就读学校应当保留其学籍，退伍后准予其复学，并在学费、升学等方面享受国家和本市的优惠政策。</w:t>
      </w:r>
    </w:p>
    <w:p w14:paraId="1DFA40D6">
      <w:pPr>
        <w:ind w:firstLine="422"/>
        <w:jc w:val="left"/>
        <w:rPr>
          <w:rFonts w:ascii="宋体" w:hAnsi="宋体"/>
          <w:kern w:val="44"/>
        </w:rPr>
      </w:pPr>
      <w:r>
        <w:rPr>
          <w:rFonts w:hint="eastAsia" w:ascii="宋体" w:hAnsi="宋体"/>
          <w:b/>
          <w:kern w:val="44"/>
        </w:rPr>
        <w:t>第三十八条</w:t>
      </w:r>
      <w:r>
        <w:rPr>
          <w:rFonts w:hint="eastAsia" w:ascii="宋体" w:hAnsi="宋体"/>
          <w:kern w:val="44"/>
        </w:rPr>
        <w:t>　应征公民经征兵体检、政审合格后，因名额限制未被征集入伍的，一年内各单位在招录国家公务员、招生等时，同等条件下应当优先招用、录取。</w:t>
      </w:r>
    </w:p>
    <w:p w14:paraId="55D8AFCA">
      <w:pPr>
        <w:jc w:val="left"/>
        <w:rPr>
          <w:rFonts w:ascii="宋体" w:hAnsi="宋体"/>
          <w:kern w:val="44"/>
        </w:rPr>
      </w:pPr>
    </w:p>
    <w:p w14:paraId="599025B1">
      <w:pPr>
        <w:ind w:firstLine="0" w:firstLineChars="0"/>
        <w:jc w:val="center"/>
        <w:rPr>
          <w:rFonts w:ascii="宋体" w:hAnsi="宋体"/>
          <w:b/>
          <w:kern w:val="44"/>
          <w:sz w:val="28"/>
        </w:rPr>
      </w:pPr>
      <w:r>
        <w:rPr>
          <w:rFonts w:hint="eastAsia" w:ascii="宋体" w:hAnsi="宋体"/>
          <w:b/>
          <w:kern w:val="44"/>
          <w:sz w:val="28"/>
        </w:rPr>
        <w:t>第七章  法律责任</w:t>
      </w:r>
    </w:p>
    <w:p w14:paraId="504A6574">
      <w:pPr>
        <w:jc w:val="left"/>
        <w:rPr>
          <w:rFonts w:ascii="宋体" w:hAnsi="宋体"/>
          <w:kern w:val="44"/>
        </w:rPr>
      </w:pPr>
    </w:p>
    <w:p w14:paraId="161CD3A0">
      <w:pPr>
        <w:ind w:firstLine="422"/>
        <w:jc w:val="left"/>
        <w:rPr>
          <w:rFonts w:ascii="宋体" w:hAnsi="宋体"/>
          <w:kern w:val="44"/>
        </w:rPr>
      </w:pPr>
      <w:r>
        <w:rPr>
          <w:rFonts w:hint="eastAsia" w:ascii="宋体" w:hAnsi="宋体"/>
          <w:b/>
          <w:kern w:val="44"/>
        </w:rPr>
        <w:t>第三十九条</w:t>
      </w:r>
      <w:r>
        <w:rPr>
          <w:rFonts w:hint="eastAsia" w:ascii="宋体" w:hAnsi="宋体"/>
          <w:kern w:val="44"/>
        </w:rPr>
        <w:t>　有服兵役义务的公民违反本条例有下列行为之一的，由区、县人民政府责令限期改正；逾期不改的，由区、县人民政府强制其履行兵役义务，并可以处年优待金标准1至3倍罚款：</w:t>
      </w:r>
    </w:p>
    <w:p w14:paraId="45E6B0BD">
      <w:pPr>
        <w:jc w:val="left"/>
        <w:rPr>
          <w:rFonts w:ascii="宋体" w:hAnsi="宋体"/>
          <w:kern w:val="44"/>
        </w:rPr>
      </w:pPr>
      <w:r>
        <w:rPr>
          <w:rFonts w:hint="eastAsia" w:ascii="宋体" w:hAnsi="宋体"/>
          <w:kern w:val="44"/>
        </w:rPr>
        <w:t>（一）拒绝、逃避兵役登记和体格检查的；</w:t>
      </w:r>
    </w:p>
    <w:p w14:paraId="26730C20">
      <w:pPr>
        <w:jc w:val="left"/>
        <w:rPr>
          <w:rFonts w:ascii="宋体" w:hAnsi="宋体"/>
          <w:kern w:val="44"/>
        </w:rPr>
      </w:pPr>
      <w:r>
        <w:rPr>
          <w:rFonts w:hint="eastAsia" w:ascii="宋体" w:hAnsi="宋体"/>
          <w:kern w:val="44"/>
        </w:rPr>
        <w:t>（二）应征公民拒绝、逃避征集的。</w:t>
      </w:r>
    </w:p>
    <w:p w14:paraId="7FD8E453">
      <w:pPr>
        <w:jc w:val="left"/>
        <w:rPr>
          <w:rFonts w:ascii="宋体" w:hAnsi="宋体"/>
          <w:kern w:val="44"/>
        </w:rPr>
      </w:pPr>
      <w:r>
        <w:rPr>
          <w:rFonts w:hint="eastAsia" w:ascii="宋体" w:hAnsi="宋体"/>
          <w:kern w:val="44"/>
        </w:rPr>
        <w:t>有前款第（二）项行为，拒不改正的，在两年内不得被录取为国家公务员、国有企业职工，不得出国或者升学。</w:t>
      </w:r>
    </w:p>
    <w:p w14:paraId="01C341A4">
      <w:pPr>
        <w:jc w:val="left"/>
        <w:rPr>
          <w:rFonts w:ascii="宋体" w:hAnsi="宋体"/>
          <w:kern w:val="44"/>
        </w:rPr>
      </w:pPr>
      <w:r>
        <w:rPr>
          <w:rFonts w:hint="eastAsia" w:ascii="宋体" w:hAnsi="宋体"/>
          <w:kern w:val="44"/>
        </w:rPr>
        <w:t>战时有第一款第（二）项行为，构成犯罪的，依法追究刑事责任。</w:t>
      </w:r>
    </w:p>
    <w:p w14:paraId="333AC7D6">
      <w:pPr>
        <w:ind w:firstLine="422"/>
        <w:jc w:val="left"/>
        <w:rPr>
          <w:rFonts w:ascii="宋体" w:hAnsi="宋体"/>
          <w:kern w:val="44"/>
        </w:rPr>
      </w:pPr>
      <w:r>
        <w:rPr>
          <w:rFonts w:hint="eastAsia" w:ascii="宋体" w:hAnsi="宋体"/>
          <w:b/>
          <w:kern w:val="44"/>
        </w:rPr>
        <w:t>第四十条</w:t>
      </w:r>
      <w:r>
        <w:rPr>
          <w:rFonts w:hint="eastAsia" w:ascii="宋体" w:hAnsi="宋体"/>
          <w:kern w:val="44"/>
        </w:rPr>
        <w:t>　违反本条例第十五条第三款规定，转借、涂改、伪造和变造《北京市公民兵役证》逃避兵役登记的，由区、县人民政府责令改正，并可以处年优待金标准1至3倍罚款。涂改、伪造和变造的《北京市公民兵役证》予以没收。</w:t>
      </w:r>
    </w:p>
    <w:p w14:paraId="431C1CEC">
      <w:pPr>
        <w:ind w:firstLine="422"/>
        <w:jc w:val="left"/>
        <w:rPr>
          <w:rFonts w:ascii="宋体" w:hAnsi="宋体"/>
          <w:kern w:val="44"/>
        </w:rPr>
      </w:pPr>
      <w:r>
        <w:rPr>
          <w:rFonts w:hint="eastAsia" w:ascii="宋体" w:hAnsi="宋体"/>
          <w:b/>
          <w:kern w:val="44"/>
        </w:rPr>
        <w:t>第四十一条</w:t>
      </w:r>
      <w:r>
        <w:rPr>
          <w:rFonts w:hint="eastAsia" w:ascii="宋体" w:hAnsi="宋体"/>
          <w:kern w:val="44"/>
        </w:rPr>
        <w:t>　机关、团体、企业事业单位及其他组织违反本条例有下列行为之一的，由区、县人民政府责令改正，并可以处年优待金标准5倍以上10倍以下罚款；对单位直接负责的主管人员和其他直接责任人员，处2000元以上5000元以下罚款：</w:t>
      </w:r>
    </w:p>
    <w:p w14:paraId="6C6922D6">
      <w:pPr>
        <w:jc w:val="left"/>
        <w:rPr>
          <w:rFonts w:ascii="宋体" w:hAnsi="宋体"/>
          <w:kern w:val="44"/>
        </w:rPr>
      </w:pPr>
      <w:r>
        <w:rPr>
          <w:rFonts w:hint="eastAsia" w:ascii="宋体" w:hAnsi="宋体"/>
          <w:kern w:val="44"/>
        </w:rPr>
        <w:t>（一）拒绝完成征兵任务的；</w:t>
      </w:r>
    </w:p>
    <w:p w14:paraId="750E563F">
      <w:pPr>
        <w:jc w:val="left"/>
        <w:rPr>
          <w:rFonts w:ascii="宋体" w:hAnsi="宋体"/>
          <w:kern w:val="44"/>
        </w:rPr>
      </w:pPr>
      <w:r>
        <w:rPr>
          <w:rFonts w:hint="eastAsia" w:ascii="宋体" w:hAnsi="宋体"/>
          <w:kern w:val="44"/>
        </w:rPr>
        <w:t>（二）不按规定组织适龄公民进行兵役登记的；</w:t>
      </w:r>
    </w:p>
    <w:p w14:paraId="4BB10238">
      <w:pPr>
        <w:jc w:val="left"/>
        <w:rPr>
          <w:rFonts w:ascii="宋体" w:hAnsi="宋体"/>
          <w:kern w:val="44"/>
        </w:rPr>
      </w:pPr>
      <w:r>
        <w:rPr>
          <w:rFonts w:hint="eastAsia" w:ascii="宋体" w:hAnsi="宋体"/>
          <w:kern w:val="44"/>
        </w:rPr>
        <w:t>（三）阻挠适龄公民参加兵役登记、体格检查或者应征入伍的；</w:t>
      </w:r>
    </w:p>
    <w:p w14:paraId="466E1587">
      <w:pPr>
        <w:jc w:val="left"/>
        <w:rPr>
          <w:rFonts w:ascii="宋体" w:hAnsi="宋体"/>
          <w:kern w:val="44"/>
        </w:rPr>
      </w:pPr>
      <w:r>
        <w:rPr>
          <w:rFonts w:hint="eastAsia" w:ascii="宋体" w:hAnsi="宋体"/>
          <w:kern w:val="44"/>
        </w:rPr>
        <w:t>（四）隐瞒适龄公民人数、弄虚作假或者采用其他手段庇护应征公民逃避服兵役的；</w:t>
      </w:r>
    </w:p>
    <w:p w14:paraId="22E78293">
      <w:pPr>
        <w:jc w:val="left"/>
        <w:rPr>
          <w:rFonts w:ascii="宋体" w:hAnsi="宋体"/>
          <w:kern w:val="44"/>
        </w:rPr>
      </w:pPr>
      <w:r>
        <w:rPr>
          <w:rFonts w:hint="eastAsia" w:ascii="宋体" w:hAnsi="宋体"/>
          <w:kern w:val="44"/>
        </w:rPr>
        <w:t>（五）录用或者录取本条例第三十九条第二款规定的应征公民就业、就学的；</w:t>
      </w:r>
    </w:p>
    <w:p w14:paraId="7C33E587">
      <w:pPr>
        <w:jc w:val="left"/>
        <w:rPr>
          <w:rFonts w:ascii="宋体" w:hAnsi="宋体"/>
          <w:kern w:val="44"/>
        </w:rPr>
      </w:pPr>
      <w:r>
        <w:rPr>
          <w:rFonts w:hint="eastAsia" w:ascii="宋体" w:hAnsi="宋体"/>
          <w:kern w:val="44"/>
        </w:rPr>
        <w:t>（六）拒绝接收、安置退出现役军人的。</w:t>
      </w:r>
    </w:p>
    <w:p w14:paraId="32ABBC76">
      <w:pPr>
        <w:ind w:firstLine="422"/>
        <w:jc w:val="left"/>
        <w:rPr>
          <w:rFonts w:ascii="宋体" w:hAnsi="宋体"/>
          <w:kern w:val="44"/>
        </w:rPr>
      </w:pPr>
      <w:r>
        <w:rPr>
          <w:rFonts w:hint="eastAsia" w:ascii="宋体" w:hAnsi="宋体"/>
          <w:b/>
          <w:kern w:val="44"/>
        </w:rPr>
        <w:t>第四十二条</w:t>
      </w:r>
      <w:r>
        <w:rPr>
          <w:rFonts w:hint="eastAsia" w:ascii="宋体" w:hAnsi="宋体"/>
          <w:kern w:val="44"/>
        </w:rPr>
        <w:t>　对没有完成征兵任务的区、县人民政府，由市人民政府给予通报批评，并对区、县人民政府的行政负责人给予行政处分；对没有完成征兵任务的乡镇人民政府、街道办事处，由区、县人民政府给予批评，并对行政负责人给予行政处分。</w:t>
      </w:r>
    </w:p>
    <w:p w14:paraId="51CAEE93">
      <w:pPr>
        <w:ind w:firstLine="422"/>
        <w:jc w:val="left"/>
        <w:rPr>
          <w:rFonts w:ascii="宋体" w:hAnsi="宋体"/>
          <w:kern w:val="44"/>
        </w:rPr>
      </w:pPr>
      <w:r>
        <w:rPr>
          <w:rFonts w:hint="eastAsia" w:ascii="宋体" w:hAnsi="宋体"/>
          <w:b/>
          <w:kern w:val="44"/>
        </w:rPr>
        <w:t>第四十三条</w:t>
      </w:r>
      <w:r>
        <w:rPr>
          <w:rFonts w:hint="eastAsia" w:ascii="宋体" w:hAnsi="宋体"/>
          <w:kern w:val="44"/>
        </w:rPr>
        <w:t>　对有扰乱征兵工作秩序，或者阻碍征兵工作人员依法执行职务行为，尚不构成犯罪的，由公安机关依照治安管理的有关规定给予处罚。</w:t>
      </w:r>
    </w:p>
    <w:p w14:paraId="77646A44">
      <w:pPr>
        <w:ind w:firstLine="422"/>
        <w:jc w:val="left"/>
        <w:rPr>
          <w:rFonts w:ascii="宋体" w:hAnsi="宋体"/>
          <w:kern w:val="44"/>
        </w:rPr>
      </w:pPr>
      <w:r>
        <w:rPr>
          <w:rFonts w:hint="eastAsia" w:ascii="宋体" w:hAnsi="宋体"/>
          <w:b/>
          <w:kern w:val="44"/>
        </w:rPr>
        <w:t>第四十四条</w:t>
      </w:r>
      <w:r>
        <w:rPr>
          <w:rFonts w:hint="eastAsia" w:ascii="宋体" w:hAnsi="宋体"/>
          <w:kern w:val="44"/>
        </w:rPr>
        <w:t>　国家工作人员在征兵工作中收受贿赂、徇私舞弊、玩忽职守的，由其所在单位或者上级主管部门给予行政处分；构成犯罪的，依法追究刑事责任。</w:t>
      </w:r>
    </w:p>
    <w:p w14:paraId="11EDEB5D">
      <w:pPr>
        <w:jc w:val="left"/>
        <w:rPr>
          <w:rFonts w:ascii="宋体" w:hAnsi="宋体"/>
          <w:kern w:val="44"/>
        </w:rPr>
      </w:pPr>
    </w:p>
    <w:p w14:paraId="4C0DD6E5">
      <w:pPr>
        <w:ind w:firstLine="0" w:firstLineChars="0"/>
        <w:jc w:val="center"/>
        <w:rPr>
          <w:rFonts w:ascii="宋体" w:hAnsi="宋体"/>
          <w:b/>
          <w:kern w:val="44"/>
          <w:sz w:val="28"/>
        </w:rPr>
      </w:pPr>
      <w:r>
        <w:rPr>
          <w:rFonts w:hint="eastAsia" w:ascii="宋体" w:hAnsi="宋体"/>
          <w:b/>
          <w:kern w:val="44"/>
          <w:sz w:val="28"/>
        </w:rPr>
        <w:t>第八章  附  则</w:t>
      </w:r>
    </w:p>
    <w:p w14:paraId="0EB91A4A">
      <w:pPr>
        <w:jc w:val="left"/>
        <w:rPr>
          <w:rFonts w:ascii="宋体" w:hAnsi="宋体"/>
          <w:kern w:val="44"/>
        </w:rPr>
      </w:pPr>
    </w:p>
    <w:p w14:paraId="752996CD">
      <w:pPr>
        <w:ind w:firstLine="422"/>
        <w:jc w:val="left"/>
        <w:rPr>
          <w:rFonts w:ascii="宋体" w:hAnsi="宋体"/>
          <w:kern w:val="44"/>
        </w:rPr>
      </w:pPr>
      <w:r>
        <w:rPr>
          <w:rFonts w:hint="eastAsia" w:ascii="宋体" w:hAnsi="宋体"/>
          <w:b/>
          <w:kern w:val="44"/>
        </w:rPr>
        <w:t>第四十五条</w:t>
      </w:r>
      <w:r>
        <w:rPr>
          <w:rFonts w:hint="eastAsia" w:ascii="宋体" w:hAnsi="宋体"/>
          <w:kern w:val="44"/>
        </w:rPr>
        <w:t>　本条例自2003年7月1日起施行。</w:t>
      </w:r>
    </w:p>
    <w:p w14:paraId="11D5AF3B">
      <w:pPr>
        <w:jc w:val="left"/>
        <w:rPr>
          <w:rFonts w:ascii="宋体" w:hAnsi="宋体"/>
          <w:kern w:val="44"/>
        </w:rPr>
      </w:pPr>
      <w:r>
        <w:rPr>
          <w:rFonts w:hint="eastAsia" w:ascii="宋体" w:hAnsi="宋体"/>
          <w:kern w:val="44"/>
        </w:rPr>
        <w:t>1993年6月17日北京市第十届人民代表大会常务委员会第三次会议通过的《北京市征兵工作若干规定》，1993年9月23日北京市人民政府第14号令发布的《北京市兵役登记工作规定》和1993年9月23日北京市人民政府第15号令发布的《北京市征兵工作目标管理责任制规定》同时废止。</w:t>
      </w:r>
    </w:p>
    <w:p w14:paraId="4BE4C2BB">
      <w:pPr>
        <w:pStyle w:val="4"/>
        <w:pageBreakBefore/>
        <w:rPr>
          <w:kern w:val="44"/>
        </w:rPr>
      </w:pPr>
      <w:bookmarkStart w:id="380" w:name="_Toc422471124"/>
      <w:bookmarkStart w:id="381" w:name="_Toc428781486"/>
      <w:bookmarkStart w:id="382" w:name="_Toc428780004"/>
      <w:bookmarkStart w:id="383" w:name="_Toc427651780"/>
      <w:bookmarkStart w:id="384" w:name="_Toc427651438"/>
      <w:r>
        <w:rPr>
          <w:rFonts w:hint="eastAsia"/>
          <w:kern w:val="44"/>
        </w:rPr>
        <w:t>北京市实施《退伍义务兵</w:t>
      </w:r>
      <w:bookmarkEnd w:id="380"/>
      <w:bookmarkStart w:id="385" w:name="_Toc422471125"/>
      <w:r>
        <w:rPr>
          <w:rFonts w:hint="eastAsia"/>
          <w:kern w:val="44"/>
        </w:rPr>
        <w:t>安置条例》的若干规定</w:t>
      </w:r>
      <w:bookmarkEnd w:id="381"/>
      <w:bookmarkEnd w:id="382"/>
      <w:bookmarkEnd w:id="383"/>
      <w:bookmarkEnd w:id="384"/>
      <w:bookmarkEnd w:id="385"/>
    </w:p>
    <w:p w14:paraId="3A4EA8E8">
      <w:pPr>
        <w:ind w:left="630" w:leftChars="300" w:right="630" w:rightChars="300"/>
        <w:jc w:val="center"/>
        <w:rPr>
          <w:rFonts w:ascii="楷体" w:hAnsi="楷体" w:eastAsia="楷体"/>
          <w:kern w:val="44"/>
        </w:rPr>
      </w:pPr>
      <w:r>
        <w:rPr>
          <w:rFonts w:hint="eastAsia" w:ascii="楷体" w:hAnsi="楷体" w:eastAsia="楷体"/>
          <w:kern w:val="44"/>
        </w:rPr>
        <w:t>（1989年3月6日北京市人民政府第4号令发布）</w:t>
      </w:r>
    </w:p>
    <w:p w14:paraId="17DB10E9">
      <w:pPr>
        <w:ind w:left="630" w:leftChars="300" w:right="630" w:rightChars="300"/>
        <w:jc w:val="center"/>
        <w:rPr>
          <w:rFonts w:ascii="楷体" w:hAnsi="楷体" w:eastAsia="楷体"/>
          <w:kern w:val="44"/>
        </w:rPr>
      </w:pPr>
    </w:p>
    <w:p w14:paraId="57E5B68F">
      <w:pPr>
        <w:ind w:firstLine="422"/>
        <w:jc w:val="left"/>
        <w:rPr>
          <w:rFonts w:ascii="宋体" w:hAnsi="宋体"/>
          <w:kern w:val="44"/>
        </w:rPr>
      </w:pPr>
      <w:r>
        <w:rPr>
          <w:rFonts w:hint="eastAsia" w:ascii="宋体" w:hAnsi="宋体"/>
          <w:b/>
          <w:kern w:val="44"/>
        </w:rPr>
        <w:t>第一条</w:t>
      </w:r>
      <w:r>
        <w:rPr>
          <w:rFonts w:hint="eastAsia" w:ascii="宋体" w:hAnsi="宋体"/>
          <w:kern w:val="44"/>
        </w:rPr>
        <w:t>　为实施国务院发布的《退伍义务兵安置条例》，做好退伍义务兵安置工作，结合本市具体情况，制定本规定。</w:t>
      </w:r>
    </w:p>
    <w:p w14:paraId="705722AE">
      <w:pPr>
        <w:ind w:firstLine="422"/>
        <w:jc w:val="left"/>
        <w:rPr>
          <w:rFonts w:ascii="宋体" w:hAnsi="宋体"/>
          <w:kern w:val="44"/>
        </w:rPr>
      </w:pPr>
      <w:r>
        <w:rPr>
          <w:rFonts w:hint="eastAsia" w:ascii="宋体" w:hAnsi="宋体"/>
          <w:b/>
          <w:kern w:val="44"/>
        </w:rPr>
        <w:t>第二条</w:t>
      </w:r>
      <w:r>
        <w:rPr>
          <w:rFonts w:hint="eastAsia" w:ascii="宋体" w:hAnsi="宋体"/>
          <w:kern w:val="44"/>
        </w:rPr>
        <w:t>　本市退伍义务兵安置工作， 必须全面执行《退伍义务兵安置条例》和本规定。</w:t>
      </w:r>
    </w:p>
    <w:p w14:paraId="14B54A53">
      <w:pPr>
        <w:ind w:firstLine="422"/>
        <w:jc w:val="left"/>
        <w:rPr>
          <w:rFonts w:ascii="宋体" w:hAnsi="宋体"/>
          <w:kern w:val="44"/>
        </w:rPr>
      </w:pPr>
      <w:r>
        <w:rPr>
          <w:rFonts w:hint="eastAsia" w:ascii="宋体" w:hAnsi="宋体"/>
          <w:b/>
          <w:kern w:val="44"/>
        </w:rPr>
        <w:t>第三条</w:t>
      </w:r>
      <w:r>
        <w:rPr>
          <w:rFonts w:hint="eastAsia" w:ascii="宋体" w:hAnsi="宋体"/>
          <w:kern w:val="44"/>
        </w:rPr>
        <w:t>　市、区、县人民政府接收安置复员退伍军人和军队离休退休干部领导小组，负责退伍义务兵安置工作，领导小组办公室（以下简称安置办公室），具体办理退伍义务兵的接收安置工作。</w:t>
      </w:r>
    </w:p>
    <w:p w14:paraId="6F0CD079">
      <w:pPr>
        <w:jc w:val="left"/>
        <w:rPr>
          <w:rFonts w:ascii="宋体" w:hAnsi="宋体"/>
          <w:kern w:val="44"/>
        </w:rPr>
      </w:pPr>
      <w:r>
        <w:rPr>
          <w:rFonts w:hint="eastAsia" w:ascii="宋体" w:hAnsi="宋体"/>
          <w:kern w:val="44"/>
        </w:rPr>
        <w:t>计划、劳动、人事、公安、财政、人民武装、教育等部门应协助安置办公室做好退伍义务兵的接收安置工作。</w:t>
      </w:r>
    </w:p>
    <w:p w14:paraId="05E759BB">
      <w:pPr>
        <w:ind w:firstLine="422"/>
        <w:jc w:val="left"/>
        <w:rPr>
          <w:rFonts w:ascii="宋体" w:hAnsi="宋体"/>
          <w:kern w:val="44"/>
        </w:rPr>
      </w:pPr>
      <w:r>
        <w:rPr>
          <w:rFonts w:hint="eastAsia" w:ascii="宋体" w:hAnsi="宋体"/>
          <w:b/>
          <w:kern w:val="44"/>
        </w:rPr>
        <w:t>第四条</w:t>
      </w:r>
      <w:r>
        <w:rPr>
          <w:rFonts w:hint="eastAsia" w:ascii="宋体" w:hAnsi="宋体"/>
          <w:kern w:val="44"/>
        </w:rPr>
        <w:t>　区、县安置办公室要创造条件，做好退伍义务兵的就业培训工作，逐步建立培训基地。</w:t>
      </w:r>
    </w:p>
    <w:p w14:paraId="4CFB2E7E">
      <w:pPr>
        <w:jc w:val="left"/>
        <w:rPr>
          <w:rFonts w:ascii="宋体" w:hAnsi="宋体"/>
          <w:kern w:val="44"/>
        </w:rPr>
      </w:pPr>
      <w:r>
        <w:rPr>
          <w:rFonts w:hint="eastAsia" w:ascii="宋体" w:hAnsi="宋体"/>
          <w:kern w:val="44"/>
        </w:rPr>
        <w:t>市、区、县财政每年应安排一定数额的费用，由安置办公室作为退伍义务兵安置、培训工作的专项经费，专款专用。</w:t>
      </w:r>
    </w:p>
    <w:p w14:paraId="2D81A5B3">
      <w:pPr>
        <w:ind w:firstLine="422"/>
        <w:jc w:val="left"/>
        <w:rPr>
          <w:rFonts w:ascii="宋体" w:hAnsi="宋体"/>
          <w:kern w:val="44"/>
        </w:rPr>
      </w:pPr>
      <w:r>
        <w:rPr>
          <w:rFonts w:hint="eastAsia" w:ascii="宋体" w:hAnsi="宋体"/>
          <w:b/>
          <w:kern w:val="44"/>
        </w:rPr>
        <w:t>第五条</w:t>
      </w:r>
      <w:r>
        <w:rPr>
          <w:rFonts w:hint="eastAsia" w:ascii="宋体" w:hAnsi="宋体"/>
          <w:kern w:val="44"/>
        </w:rPr>
        <w:t>　退伍义务兵由原征集地的区、县人民政府负责安置。服役期间家庭住址变迁的，凭公安机关出具的证明，由变迁后的家庭住址所在地的区、县人民政府负责安置。</w:t>
      </w:r>
    </w:p>
    <w:p w14:paraId="574D4A32">
      <w:pPr>
        <w:ind w:firstLine="422"/>
        <w:jc w:val="left"/>
        <w:rPr>
          <w:rFonts w:ascii="宋体" w:hAnsi="宋体"/>
          <w:kern w:val="44"/>
        </w:rPr>
      </w:pPr>
      <w:r>
        <w:rPr>
          <w:rFonts w:hint="eastAsia" w:ascii="宋体" w:hAnsi="宋体"/>
          <w:b/>
          <w:kern w:val="44"/>
        </w:rPr>
        <w:t>第六条</w:t>
      </w:r>
      <w:r>
        <w:rPr>
          <w:rFonts w:hint="eastAsia" w:ascii="宋体" w:hAnsi="宋体"/>
          <w:kern w:val="44"/>
        </w:rPr>
        <w:t>　退伍义务兵须在回到原征集地30天内，持退伍证和服役所在部队的介绍信到所在区、县安置办公室报到，并到人民武装部办理预备役登记。</w:t>
      </w:r>
    </w:p>
    <w:p w14:paraId="3E023B10">
      <w:pPr>
        <w:ind w:firstLine="422"/>
        <w:jc w:val="left"/>
        <w:rPr>
          <w:rFonts w:ascii="宋体" w:hAnsi="宋体"/>
          <w:kern w:val="44"/>
        </w:rPr>
      </w:pPr>
      <w:r>
        <w:rPr>
          <w:rFonts w:hint="eastAsia" w:ascii="宋体" w:hAnsi="宋体"/>
          <w:b/>
          <w:kern w:val="44"/>
        </w:rPr>
        <w:t>第七条</w:t>
      </w:r>
      <w:r>
        <w:rPr>
          <w:rFonts w:hint="eastAsia" w:ascii="宋体" w:hAnsi="宋体"/>
          <w:kern w:val="44"/>
        </w:rPr>
        <w:t>　退伍义务兵入伍前为农业户口的，按下列规定安置：</w:t>
      </w:r>
    </w:p>
    <w:p w14:paraId="4989168D">
      <w:pPr>
        <w:jc w:val="left"/>
        <w:rPr>
          <w:rFonts w:ascii="宋体" w:hAnsi="宋体"/>
          <w:kern w:val="44"/>
        </w:rPr>
      </w:pPr>
      <w:r>
        <w:rPr>
          <w:rFonts w:hint="eastAsia" w:ascii="宋体" w:hAnsi="宋体"/>
          <w:kern w:val="44"/>
        </w:rPr>
        <w:t>（一）对确无住房或严重缺房而自建和靠集体帮助建房又确有困难的，经区、县安置办公室批准，物资、财政等有关部门应安排一定数量的建筑材料和补助经费，帮助解决。</w:t>
      </w:r>
    </w:p>
    <w:p w14:paraId="7C42B036">
      <w:pPr>
        <w:jc w:val="left"/>
        <w:rPr>
          <w:rFonts w:ascii="宋体" w:hAnsi="宋体"/>
          <w:kern w:val="44"/>
        </w:rPr>
      </w:pPr>
      <w:r>
        <w:rPr>
          <w:rFonts w:hint="eastAsia" w:ascii="宋体" w:hAnsi="宋体"/>
          <w:kern w:val="44"/>
        </w:rPr>
        <w:t>（二）对有一定专长的，向有关单位推荐录用。乡镇企业招工时，在同等条件下，应优先录用退伍义务兵。</w:t>
      </w:r>
    </w:p>
    <w:p w14:paraId="621E8CAD">
      <w:pPr>
        <w:jc w:val="left"/>
        <w:rPr>
          <w:rFonts w:ascii="宋体" w:hAnsi="宋体"/>
          <w:kern w:val="44"/>
        </w:rPr>
      </w:pPr>
      <w:r>
        <w:rPr>
          <w:rFonts w:hint="eastAsia" w:ascii="宋体" w:hAnsi="宋体"/>
          <w:kern w:val="44"/>
        </w:rPr>
        <w:t>（三）劳动部门安排在农村招收工人时，录用退伍义务兵的比例不得少于20％，年龄应放宽2至3周岁；对在服役期间荣立三等功、超期服役的退伍义务兵和女性退伍义务兵，在进行文化考核时应给予适当照顾。</w:t>
      </w:r>
    </w:p>
    <w:p w14:paraId="61A94062">
      <w:pPr>
        <w:jc w:val="left"/>
        <w:rPr>
          <w:rFonts w:ascii="宋体" w:hAnsi="宋体"/>
          <w:kern w:val="44"/>
        </w:rPr>
      </w:pPr>
      <w:r>
        <w:rPr>
          <w:rFonts w:hint="eastAsia" w:ascii="宋体" w:hAnsi="宋体"/>
          <w:kern w:val="44"/>
        </w:rPr>
        <w:t>（四）安置后的口粮，由所在地乡、镇人民政府予以解决。</w:t>
      </w:r>
    </w:p>
    <w:p w14:paraId="772439B5">
      <w:pPr>
        <w:ind w:firstLine="422"/>
        <w:jc w:val="left"/>
        <w:rPr>
          <w:rFonts w:ascii="宋体" w:hAnsi="宋体"/>
          <w:kern w:val="44"/>
        </w:rPr>
      </w:pPr>
      <w:r>
        <w:rPr>
          <w:rFonts w:hint="eastAsia" w:ascii="宋体" w:hAnsi="宋体"/>
          <w:b/>
          <w:kern w:val="44"/>
        </w:rPr>
        <w:t>第八条</w:t>
      </w:r>
      <w:r>
        <w:rPr>
          <w:rFonts w:hint="eastAsia" w:ascii="宋体" w:hAnsi="宋体"/>
          <w:kern w:val="44"/>
        </w:rPr>
        <w:t>　入伍前为本市农业户口的退伍义务兵，有下列情形之一的，经本人申请，所在区、县安置办公室核报市安置办公室批准，可以转为非农业户口。</w:t>
      </w:r>
    </w:p>
    <w:p w14:paraId="0118BF2C">
      <w:pPr>
        <w:jc w:val="left"/>
        <w:rPr>
          <w:rFonts w:ascii="宋体" w:hAnsi="宋体"/>
          <w:kern w:val="44"/>
        </w:rPr>
      </w:pPr>
      <w:r>
        <w:rPr>
          <w:rFonts w:hint="eastAsia" w:ascii="宋体" w:hAnsi="宋体"/>
          <w:kern w:val="44"/>
        </w:rPr>
        <w:t>（一）在服役期间获得大军区（含大军区，下同）以上单位授予荣誉称号、荣立二等功以上或荣立两次以上三等功的。</w:t>
      </w:r>
    </w:p>
    <w:p w14:paraId="7BA3CBF1">
      <w:pPr>
        <w:jc w:val="left"/>
        <w:rPr>
          <w:rFonts w:ascii="宋体" w:hAnsi="宋体"/>
          <w:kern w:val="44"/>
        </w:rPr>
      </w:pPr>
      <w:r>
        <w:rPr>
          <w:rFonts w:hint="eastAsia" w:ascii="宋体" w:hAnsi="宋体"/>
          <w:kern w:val="44"/>
        </w:rPr>
        <w:t>（二）在服役期间因战、因公致残被确定为三等以上革命伤残军人的。</w:t>
      </w:r>
    </w:p>
    <w:p w14:paraId="3F04F6E5">
      <w:pPr>
        <w:jc w:val="left"/>
        <w:rPr>
          <w:rFonts w:ascii="宋体" w:hAnsi="宋体"/>
          <w:kern w:val="44"/>
        </w:rPr>
      </w:pPr>
      <w:r>
        <w:rPr>
          <w:rFonts w:hint="eastAsia" w:ascii="宋体" w:hAnsi="宋体"/>
          <w:kern w:val="44"/>
        </w:rPr>
        <w:t>（三）在服役期间因病被确定为二等以上革命伤残军人的。</w:t>
      </w:r>
    </w:p>
    <w:p w14:paraId="1B0FB47F">
      <w:pPr>
        <w:jc w:val="left"/>
        <w:rPr>
          <w:rFonts w:ascii="宋体" w:hAnsi="宋体"/>
          <w:kern w:val="44"/>
        </w:rPr>
      </w:pPr>
      <w:r>
        <w:rPr>
          <w:rFonts w:hint="eastAsia" w:ascii="宋体" w:hAnsi="宋体"/>
          <w:kern w:val="44"/>
        </w:rPr>
        <w:t>（四）父母双亡，回农村无依靠的。</w:t>
      </w:r>
    </w:p>
    <w:p w14:paraId="275A0216">
      <w:pPr>
        <w:jc w:val="left"/>
        <w:rPr>
          <w:rFonts w:ascii="宋体" w:hAnsi="宋体"/>
          <w:kern w:val="44"/>
        </w:rPr>
      </w:pPr>
      <w:r>
        <w:rPr>
          <w:rFonts w:hint="eastAsia" w:ascii="宋体" w:hAnsi="宋体"/>
          <w:kern w:val="44"/>
        </w:rPr>
        <w:t>（五）在服役期间父母有一方死亡，另一方再婚的。</w:t>
      </w:r>
    </w:p>
    <w:p w14:paraId="43976918">
      <w:pPr>
        <w:jc w:val="left"/>
        <w:rPr>
          <w:rFonts w:ascii="宋体" w:hAnsi="宋体"/>
          <w:kern w:val="44"/>
        </w:rPr>
      </w:pPr>
      <w:r>
        <w:rPr>
          <w:rFonts w:hint="eastAsia" w:ascii="宋体" w:hAnsi="宋体"/>
          <w:kern w:val="44"/>
        </w:rPr>
        <w:t>（六）在服役期间父母已转为非农业户口，本人因服役未能按政府规定随父母转为非农业户口的。</w:t>
      </w:r>
    </w:p>
    <w:p w14:paraId="0A44DD65">
      <w:pPr>
        <w:ind w:firstLine="422"/>
        <w:jc w:val="left"/>
        <w:rPr>
          <w:rFonts w:ascii="宋体" w:hAnsi="宋体"/>
          <w:kern w:val="44"/>
        </w:rPr>
      </w:pPr>
      <w:r>
        <w:rPr>
          <w:rFonts w:hint="eastAsia" w:ascii="宋体" w:hAnsi="宋体"/>
          <w:b/>
          <w:kern w:val="44"/>
        </w:rPr>
        <w:t>第九条</w:t>
      </w:r>
      <w:r>
        <w:rPr>
          <w:rFonts w:hint="eastAsia" w:ascii="宋体" w:hAnsi="宋体"/>
          <w:kern w:val="44"/>
        </w:rPr>
        <w:t>　退伍义务兵入伍前为非农业户口的和退伍后按照本规定批准由农业户口转为非农业户口的，按下列规定安置：</w:t>
      </w:r>
    </w:p>
    <w:p w14:paraId="1B0153E1">
      <w:pPr>
        <w:jc w:val="left"/>
        <w:rPr>
          <w:rFonts w:ascii="宋体" w:hAnsi="宋体"/>
          <w:kern w:val="44"/>
        </w:rPr>
      </w:pPr>
      <w:r>
        <w:rPr>
          <w:rFonts w:hint="eastAsia" w:ascii="宋体" w:hAnsi="宋体"/>
          <w:kern w:val="44"/>
        </w:rPr>
        <w:t>（一）由所在区、县人民政府统一安排工作。各接收单位（包括中央各部门在京单位）应按劳动部门当年下达的退伍义务兵分配计划妥善安置。</w:t>
      </w:r>
    </w:p>
    <w:p w14:paraId="1B047C35">
      <w:pPr>
        <w:jc w:val="left"/>
        <w:rPr>
          <w:rFonts w:ascii="宋体" w:hAnsi="宋体"/>
          <w:kern w:val="44"/>
        </w:rPr>
      </w:pPr>
      <w:r>
        <w:rPr>
          <w:rFonts w:hint="eastAsia" w:ascii="宋体" w:hAnsi="宋体"/>
          <w:kern w:val="44"/>
        </w:rPr>
        <w:t>（二）在服役期间获得大军区以上单位授予荣誉称号或荣立二等功以上的，应优先照顾本人志愿。接收单位应优先向他们提供在职学习的机会。</w:t>
      </w:r>
    </w:p>
    <w:p w14:paraId="38B4BFC5">
      <w:pPr>
        <w:jc w:val="left"/>
        <w:rPr>
          <w:rFonts w:ascii="宋体" w:hAnsi="宋体"/>
          <w:kern w:val="44"/>
        </w:rPr>
      </w:pPr>
      <w:r>
        <w:rPr>
          <w:rFonts w:hint="eastAsia" w:ascii="宋体" w:hAnsi="宋体"/>
          <w:kern w:val="44"/>
        </w:rPr>
        <w:t>（三）在服役期间荣立三等功、参战或超期服役的，在条件许可时，应照顾本人的特长和志愿。</w:t>
      </w:r>
    </w:p>
    <w:p w14:paraId="74C0ADAF">
      <w:pPr>
        <w:jc w:val="left"/>
        <w:rPr>
          <w:rFonts w:ascii="宋体" w:hAnsi="宋体"/>
          <w:kern w:val="44"/>
        </w:rPr>
      </w:pPr>
      <w:r>
        <w:rPr>
          <w:rFonts w:hint="eastAsia" w:ascii="宋体" w:hAnsi="宋体"/>
          <w:kern w:val="44"/>
        </w:rPr>
        <w:t>（四）在服役期间学有专长的，应尽量安排能发挥其专长的工作。</w:t>
      </w:r>
    </w:p>
    <w:p w14:paraId="0B9C7B2C">
      <w:pPr>
        <w:jc w:val="left"/>
        <w:rPr>
          <w:rFonts w:ascii="宋体" w:hAnsi="宋体"/>
          <w:kern w:val="44"/>
        </w:rPr>
      </w:pPr>
      <w:r>
        <w:rPr>
          <w:rFonts w:hint="eastAsia" w:ascii="宋体" w:hAnsi="宋体"/>
          <w:kern w:val="44"/>
        </w:rPr>
        <w:t>有下列情形之一的，不予统一安排工作，由其所在街道办事处按待业人员对待：</w:t>
      </w:r>
    </w:p>
    <w:p w14:paraId="3B7BFBFA">
      <w:pPr>
        <w:jc w:val="left"/>
        <w:rPr>
          <w:rFonts w:ascii="宋体" w:hAnsi="宋体"/>
          <w:kern w:val="44"/>
        </w:rPr>
      </w:pPr>
      <w:r>
        <w:rPr>
          <w:rFonts w:hint="eastAsia" w:ascii="宋体" w:hAnsi="宋体"/>
          <w:kern w:val="44"/>
        </w:rPr>
        <w:t>（一）本人要求中途退伍的。</w:t>
      </w:r>
    </w:p>
    <w:p w14:paraId="5E8FDFDF">
      <w:pPr>
        <w:jc w:val="left"/>
        <w:rPr>
          <w:rFonts w:ascii="宋体" w:hAnsi="宋体"/>
          <w:kern w:val="44"/>
        </w:rPr>
      </w:pPr>
      <w:r>
        <w:rPr>
          <w:rFonts w:hint="eastAsia" w:ascii="宋体" w:hAnsi="宋体"/>
          <w:kern w:val="44"/>
        </w:rPr>
        <w:t>（二）被开除军籍或被军队除名的。</w:t>
      </w:r>
    </w:p>
    <w:p w14:paraId="6A17D662">
      <w:pPr>
        <w:jc w:val="left"/>
        <w:rPr>
          <w:rFonts w:ascii="宋体" w:hAnsi="宋体"/>
          <w:kern w:val="44"/>
        </w:rPr>
      </w:pPr>
      <w:r>
        <w:rPr>
          <w:rFonts w:hint="eastAsia" w:ascii="宋体" w:hAnsi="宋体"/>
          <w:kern w:val="44"/>
        </w:rPr>
        <w:t>（三）服役或退伍待安排期间因犯罪被判处有期徒刑以上刑罚的。</w:t>
      </w:r>
    </w:p>
    <w:p w14:paraId="3C884AC8">
      <w:pPr>
        <w:jc w:val="left"/>
        <w:rPr>
          <w:rFonts w:ascii="宋体" w:hAnsi="宋体"/>
          <w:kern w:val="44"/>
        </w:rPr>
      </w:pPr>
      <w:r>
        <w:rPr>
          <w:rFonts w:hint="eastAsia" w:ascii="宋体" w:hAnsi="宋体"/>
          <w:kern w:val="44"/>
        </w:rPr>
        <w:t>（四）出国学习或探亲一年以上的。</w:t>
      </w:r>
    </w:p>
    <w:p w14:paraId="2CEB36AB">
      <w:pPr>
        <w:jc w:val="left"/>
        <w:rPr>
          <w:rFonts w:ascii="宋体" w:hAnsi="宋体"/>
          <w:kern w:val="44"/>
        </w:rPr>
      </w:pPr>
      <w:r>
        <w:rPr>
          <w:rFonts w:hint="eastAsia" w:ascii="宋体" w:hAnsi="宋体"/>
          <w:kern w:val="44"/>
        </w:rPr>
        <w:t>（五）无正当理由不服从统一分配的。</w:t>
      </w:r>
    </w:p>
    <w:p w14:paraId="4FE21A04">
      <w:pPr>
        <w:ind w:firstLine="422"/>
        <w:jc w:val="left"/>
        <w:rPr>
          <w:rFonts w:ascii="宋体" w:hAnsi="宋体"/>
          <w:kern w:val="44"/>
        </w:rPr>
      </w:pPr>
      <w:r>
        <w:rPr>
          <w:rFonts w:hint="eastAsia" w:ascii="宋体" w:hAnsi="宋体"/>
          <w:b/>
          <w:kern w:val="44"/>
        </w:rPr>
        <w:t>第十条</w:t>
      </w:r>
      <w:r>
        <w:rPr>
          <w:rFonts w:hint="eastAsia" w:ascii="宋体" w:hAnsi="宋体"/>
          <w:kern w:val="44"/>
        </w:rPr>
        <w:t>　退伍义务兵入伍前原是国家机关、人民团体、企业、事业单位正式职工，退伍后原则上回原工作单位复工复职。原工作单位已撤销或合并的，由原工作单位的上级机关或合并后的单位负责安置。</w:t>
      </w:r>
    </w:p>
    <w:p w14:paraId="135E7284">
      <w:pPr>
        <w:ind w:firstLine="422"/>
        <w:jc w:val="left"/>
        <w:rPr>
          <w:rFonts w:ascii="宋体" w:hAnsi="宋体"/>
          <w:kern w:val="44"/>
        </w:rPr>
      </w:pPr>
      <w:r>
        <w:rPr>
          <w:rFonts w:hint="eastAsia" w:ascii="宋体" w:hAnsi="宋体"/>
          <w:b/>
          <w:kern w:val="44"/>
        </w:rPr>
        <w:t>第十一条</w:t>
      </w:r>
      <w:r>
        <w:rPr>
          <w:rFonts w:hint="eastAsia" w:ascii="宋体" w:hAnsi="宋体"/>
          <w:kern w:val="44"/>
        </w:rPr>
        <w:t>　退伍义务兵伤残的，入伍前原是国家机关、人民团体、企业、事业单位正式职工的，由原工作单位按国家有关规定负责安置；其余按下列规定安置：</w:t>
      </w:r>
    </w:p>
    <w:p w14:paraId="2DC74401">
      <w:pPr>
        <w:jc w:val="left"/>
        <w:rPr>
          <w:rFonts w:ascii="宋体" w:hAnsi="宋体"/>
          <w:kern w:val="44"/>
        </w:rPr>
      </w:pPr>
      <w:r>
        <w:rPr>
          <w:rFonts w:hint="eastAsia" w:ascii="宋体" w:hAnsi="宋体"/>
          <w:kern w:val="44"/>
        </w:rPr>
        <w:t>（一）因战、因公致残的二等、三等革命伤残军人，由安置办公室安排力所能及的工作，不能安排工作的，由民政部门按有关规定妥善安置。</w:t>
      </w:r>
    </w:p>
    <w:p w14:paraId="5EACB7D3">
      <w:pPr>
        <w:jc w:val="left"/>
        <w:rPr>
          <w:rFonts w:ascii="宋体" w:hAnsi="宋体"/>
          <w:kern w:val="44"/>
        </w:rPr>
      </w:pPr>
      <w:r>
        <w:rPr>
          <w:rFonts w:hint="eastAsia" w:ascii="宋体" w:hAnsi="宋体"/>
          <w:kern w:val="44"/>
        </w:rPr>
        <w:t>（二）特等、一等革命伤残军人可在原征集地安置，也可在其配偶居住地安置，其配偶为农业户口的，可将其配偶和16周岁以下的子女（或已超过16周岁仍在学校学习的）转为非农业户口，并根据当地条件安排其配偶的工作。</w:t>
      </w:r>
    </w:p>
    <w:p w14:paraId="19420845">
      <w:pPr>
        <w:jc w:val="left"/>
        <w:rPr>
          <w:rFonts w:ascii="宋体" w:hAnsi="宋体"/>
          <w:kern w:val="44"/>
        </w:rPr>
      </w:pPr>
      <w:r>
        <w:rPr>
          <w:rFonts w:hint="eastAsia" w:ascii="宋体" w:hAnsi="宋体"/>
          <w:kern w:val="44"/>
        </w:rPr>
        <w:t>（三）因患精神病尚未治愈的，不安排工作，由民政部门按有关规定安置。</w:t>
      </w:r>
    </w:p>
    <w:p w14:paraId="60E0BD28">
      <w:pPr>
        <w:ind w:firstLine="422"/>
        <w:jc w:val="left"/>
        <w:rPr>
          <w:rFonts w:ascii="宋体" w:hAnsi="宋体"/>
          <w:kern w:val="44"/>
        </w:rPr>
      </w:pPr>
      <w:r>
        <w:rPr>
          <w:rFonts w:hint="eastAsia" w:ascii="宋体" w:hAnsi="宋体"/>
          <w:b/>
          <w:kern w:val="44"/>
        </w:rPr>
        <w:t>第十二条</w:t>
      </w:r>
      <w:r>
        <w:rPr>
          <w:rFonts w:hint="eastAsia" w:ascii="宋体" w:hAnsi="宋体"/>
          <w:kern w:val="44"/>
        </w:rPr>
        <w:t>　退伍义务兵要求从事个体经营的，工商、税务、银行等部门应予以照顾。</w:t>
      </w:r>
    </w:p>
    <w:p w14:paraId="74CEEF96">
      <w:pPr>
        <w:ind w:firstLine="422"/>
        <w:jc w:val="left"/>
        <w:rPr>
          <w:rFonts w:ascii="宋体" w:hAnsi="宋体"/>
          <w:kern w:val="44"/>
        </w:rPr>
      </w:pPr>
      <w:r>
        <w:rPr>
          <w:rFonts w:hint="eastAsia" w:ascii="宋体" w:hAnsi="宋体"/>
          <w:b/>
          <w:kern w:val="44"/>
        </w:rPr>
        <w:t>第十三条</w:t>
      </w:r>
      <w:r>
        <w:rPr>
          <w:rFonts w:hint="eastAsia" w:ascii="宋体" w:hAnsi="宋体"/>
          <w:kern w:val="44"/>
        </w:rPr>
        <w:t>　退伍义务兵报考市属高等或中等专业学校，允许连续报考两年（但不计算工龄），在与其他考生同等条件下，招考年龄可放宽3周岁，学校应比当年录取分数线降低10分录取，对在服役期间获得大军区以上单位授予荣誉称号或荣立二等功以上的，可降低20分录取。</w:t>
      </w:r>
    </w:p>
    <w:p w14:paraId="41E6A56E">
      <w:pPr>
        <w:ind w:firstLine="422"/>
        <w:jc w:val="left"/>
        <w:rPr>
          <w:rFonts w:ascii="宋体" w:hAnsi="宋体"/>
          <w:kern w:val="44"/>
        </w:rPr>
      </w:pPr>
      <w:r>
        <w:rPr>
          <w:rFonts w:hint="eastAsia" w:ascii="宋体" w:hAnsi="宋体"/>
          <w:b/>
          <w:kern w:val="44"/>
        </w:rPr>
        <w:t>第十四条</w:t>
      </w:r>
      <w:r>
        <w:rPr>
          <w:rFonts w:hint="eastAsia" w:ascii="宋体" w:hAnsi="宋体"/>
          <w:kern w:val="44"/>
        </w:rPr>
        <w:t>　外地入伍的退伍义务兵，有下列情形之一的，经本人申请，其父母所在地的区、县安置办公室核报市安置办公室批准，可在本市安置：</w:t>
      </w:r>
    </w:p>
    <w:p w14:paraId="7ED71AB9">
      <w:pPr>
        <w:jc w:val="left"/>
        <w:rPr>
          <w:rFonts w:ascii="宋体" w:hAnsi="宋体"/>
          <w:kern w:val="44"/>
        </w:rPr>
      </w:pPr>
      <w:r>
        <w:rPr>
          <w:rFonts w:hint="eastAsia" w:ascii="宋体" w:hAnsi="宋体"/>
          <w:kern w:val="44"/>
        </w:rPr>
        <w:t>（一）父母具有本市常住户口，且在京无子女或子女有严重病残、生活不能自理的。</w:t>
      </w:r>
    </w:p>
    <w:p w14:paraId="4FC8AF71">
      <w:pPr>
        <w:jc w:val="left"/>
        <w:rPr>
          <w:rFonts w:ascii="宋体" w:hAnsi="宋体"/>
          <w:kern w:val="44"/>
        </w:rPr>
      </w:pPr>
      <w:r>
        <w:rPr>
          <w:rFonts w:hint="eastAsia" w:ascii="宋体" w:hAnsi="宋体"/>
          <w:kern w:val="44"/>
        </w:rPr>
        <w:t>（二）父母具有本市常住户口，本人因病残退伍后生活不能自理（凭军队师级以上机关证明和团级以上医院诊断证明 ）， 且在外地无人照顾的。</w:t>
      </w:r>
    </w:p>
    <w:p w14:paraId="5458DCC3">
      <w:pPr>
        <w:jc w:val="left"/>
        <w:rPr>
          <w:rFonts w:ascii="宋体" w:hAnsi="宋体"/>
          <w:kern w:val="44"/>
        </w:rPr>
      </w:pPr>
      <w:r>
        <w:rPr>
          <w:rFonts w:hint="eastAsia" w:ascii="宋体" w:hAnsi="宋体"/>
          <w:kern w:val="44"/>
        </w:rPr>
        <w:t>（三）父母具有本市常住户口，本人在父母原所在边防、海岛或远离居民区的地区入伍，回原征集地安置确有困难的。</w:t>
      </w:r>
    </w:p>
    <w:p w14:paraId="1BA17482">
      <w:pPr>
        <w:jc w:val="left"/>
        <w:rPr>
          <w:rFonts w:ascii="宋体" w:hAnsi="宋体"/>
          <w:kern w:val="44"/>
        </w:rPr>
      </w:pPr>
      <w:r>
        <w:rPr>
          <w:rFonts w:hint="eastAsia" w:ascii="宋体" w:hAnsi="宋体"/>
          <w:kern w:val="44"/>
        </w:rPr>
        <w:t>（四）父母（含其中一方）为军队离休人员并具有本市常住户口；父母（含其中一方）为军队退休人员，具有本市常住户口，本人在父母退休前是随军供养的。</w:t>
      </w:r>
    </w:p>
    <w:p w14:paraId="6095CB32">
      <w:pPr>
        <w:ind w:firstLine="422"/>
        <w:jc w:val="left"/>
        <w:rPr>
          <w:rFonts w:ascii="宋体" w:hAnsi="宋体"/>
          <w:kern w:val="44"/>
        </w:rPr>
      </w:pPr>
      <w:r>
        <w:rPr>
          <w:rFonts w:hint="eastAsia" w:ascii="宋体" w:hAnsi="宋体"/>
          <w:b/>
          <w:kern w:val="44"/>
        </w:rPr>
        <w:t>第十五条</w:t>
      </w:r>
      <w:r>
        <w:rPr>
          <w:rFonts w:hint="eastAsia" w:ascii="宋体" w:hAnsi="宋体"/>
          <w:kern w:val="44"/>
        </w:rPr>
        <w:t>　退伍义务兵安置办公室工作人员必须廉洁奉公，忠于职守，严格依法办事。对滥用职权、徇私舞弊的，依法给予行政处分；触犯刑律的，依法追究刑事责任。</w:t>
      </w:r>
    </w:p>
    <w:p w14:paraId="15BCAC94">
      <w:pPr>
        <w:ind w:firstLine="422"/>
        <w:jc w:val="left"/>
        <w:rPr>
          <w:rFonts w:ascii="宋体" w:hAnsi="宋体"/>
          <w:kern w:val="44"/>
        </w:rPr>
      </w:pPr>
      <w:r>
        <w:rPr>
          <w:rFonts w:hint="eastAsia" w:ascii="宋体" w:hAnsi="宋体"/>
          <w:b/>
          <w:kern w:val="44"/>
        </w:rPr>
        <w:t>第十六条</w:t>
      </w:r>
      <w:r>
        <w:rPr>
          <w:rFonts w:hint="eastAsia" w:ascii="宋体" w:hAnsi="宋体"/>
          <w:kern w:val="44"/>
        </w:rPr>
        <w:t>　本规定执行中的具体问题，由市人民政府安置办公室负责解释。</w:t>
      </w:r>
    </w:p>
    <w:p w14:paraId="22DE6A19">
      <w:pPr>
        <w:ind w:firstLine="422"/>
        <w:jc w:val="left"/>
        <w:rPr>
          <w:rFonts w:ascii="宋体" w:hAnsi="宋体"/>
          <w:kern w:val="44"/>
        </w:rPr>
      </w:pPr>
      <w:r>
        <w:rPr>
          <w:rFonts w:hint="eastAsia" w:ascii="宋体" w:hAnsi="宋体"/>
          <w:b/>
          <w:kern w:val="44"/>
        </w:rPr>
        <w:t>第十七条</w:t>
      </w:r>
      <w:r>
        <w:rPr>
          <w:rFonts w:hint="eastAsia" w:ascii="宋体" w:hAnsi="宋体"/>
          <w:kern w:val="44"/>
        </w:rPr>
        <w:t>　本规定自公布之日起施行。</w:t>
      </w:r>
    </w:p>
    <w:p w14:paraId="07449F26">
      <w:pPr>
        <w:pStyle w:val="4"/>
        <w:pageBreakBefore/>
        <w:rPr>
          <w:kern w:val="44"/>
        </w:rPr>
      </w:pPr>
      <w:bookmarkStart w:id="386" w:name="_Toc422471126"/>
      <w:bookmarkStart w:id="387" w:name="_Toc428780005"/>
      <w:bookmarkStart w:id="388" w:name="_Toc428781487"/>
      <w:bookmarkStart w:id="389" w:name="_Toc427651781"/>
      <w:bookmarkStart w:id="390" w:name="_Toc427651439"/>
      <w:r>
        <w:rPr>
          <w:rFonts w:hint="eastAsia"/>
          <w:kern w:val="44"/>
        </w:rPr>
        <w:t>北京市保护军事设施</w:t>
      </w:r>
      <w:bookmarkEnd w:id="386"/>
      <w:bookmarkStart w:id="391" w:name="_Toc422471127"/>
      <w:r>
        <w:rPr>
          <w:rFonts w:hint="eastAsia"/>
          <w:kern w:val="44"/>
        </w:rPr>
        <w:t>安全若干规定</w:t>
      </w:r>
      <w:bookmarkEnd w:id="387"/>
      <w:bookmarkEnd w:id="388"/>
      <w:bookmarkEnd w:id="389"/>
      <w:bookmarkEnd w:id="390"/>
      <w:bookmarkEnd w:id="391"/>
    </w:p>
    <w:p w14:paraId="48E7698D">
      <w:pPr>
        <w:ind w:left="630" w:leftChars="300" w:right="630" w:rightChars="300"/>
        <w:jc w:val="center"/>
        <w:rPr>
          <w:rFonts w:ascii="楷体" w:hAnsi="楷体" w:eastAsia="楷体"/>
          <w:kern w:val="44"/>
        </w:rPr>
      </w:pPr>
      <w:r>
        <w:rPr>
          <w:rFonts w:hint="eastAsia" w:ascii="楷体" w:hAnsi="楷体" w:eastAsia="楷体"/>
          <w:kern w:val="44"/>
        </w:rPr>
        <w:t>（1991年9月17日北京市人民政府第27号令发布）</w:t>
      </w:r>
    </w:p>
    <w:p w14:paraId="6E021CDE">
      <w:pPr>
        <w:jc w:val="left"/>
        <w:rPr>
          <w:rFonts w:ascii="宋体" w:hAnsi="宋体"/>
          <w:kern w:val="44"/>
        </w:rPr>
      </w:pPr>
    </w:p>
    <w:p w14:paraId="6E57256B">
      <w:pPr>
        <w:ind w:firstLine="422"/>
        <w:jc w:val="left"/>
        <w:rPr>
          <w:rFonts w:ascii="宋体" w:hAnsi="宋体"/>
          <w:kern w:val="44"/>
        </w:rPr>
      </w:pPr>
      <w:r>
        <w:rPr>
          <w:rFonts w:hint="eastAsia" w:ascii="宋体" w:hAnsi="宋体"/>
          <w:b/>
          <w:kern w:val="44"/>
        </w:rPr>
        <w:t>第一条</w:t>
      </w:r>
      <w:r>
        <w:rPr>
          <w:rFonts w:hint="eastAsia" w:ascii="宋体" w:hAnsi="宋体"/>
          <w:kern w:val="44"/>
        </w:rPr>
        <w:t>　为保护军事设施的安全，保障军事设施的使用效能和军事活动的正常进行，根据《中华人民共和国军事设施保护法》，结合本市实际情况，制定本规定。</w:t>
      </w:r>
    </w:p>
    <w:p w14:paraId="5EF5E8C7">
      <w:pPr>
        <w:ind w:firstLine="422"/>
        <w:jc w:val="left"/>
        <w:rPr>
          <w:rFonts w:ascii="宋体" w:hAnsi="宋体"/>
          <w:kern w:val="44"/>
        </w:rPr>
      </w:pPr>
      <w:r>
        <w:rPr>
          <w:rFonts w:hint="eastAsia" w:ascii="宋体" w:hAnsi="宋体"/>
          <w:b/>
          <w:kern w:val="44"/>
        </w:rPr>
        <w:t>第二条</w:t>
      </w:r>
      <w:r>
        <w:rPr>
          <w:rFonts w:hint="eastAsia" w:ascii="宋体" w:hAnsi="宋体"/>
          <w:kern w:val="44"/>
        </w:rPr>
        <w:t>　本规定适用于本市行政区域内军事设施的保护。</w:t>
      </w:r>
    </w:p>
    <w:p w14:paraId="37D2E3DC">
      <w:pPr>
        <w:ind w:firstLine="422"/>
        <w:jc w:val="left"/>
        <w:rPr>
          <w:rFonts w:ascii="宋体" w:hAnsi="宋体"/>
          <w:kern w:val="44"/>
        </w:rPr>
      </w:pPr>
      <w:r>
        <w:rPr>
          <w:rFonts w:hint="eastAsia" w:ascii="宋体" w:hAnsi="宋体"/>
          <w:b/>
          <w:kern w:val="44"/>
        </w:rPr>
        <w:t>第三条</w:t>
      </w:r>
      <w:r>
        <w:rPr>
          <w:rFonts w:hint="eastAsia" w:ascii="宋体" w:hAnsi="宋体"/>
          <w:kern w:val="44"/>
        </w:rPr>
        <w:t>　市人民政府和有军事设施的各区、县人民政府，分别会同有关军事机关成立军事设施保护委员会。军事设施保护委员会的职责是：</w:t>
      </w:r>
    </w:p>
    <w:p w14:paraId="2F377822">
      <w:pPr>
        <w:jc w:val="left"/>
        <w:rPr>
          <w:rFonts w:ascii="宋体" w:hAnsi="宋体"/>
          <w:kern w:val="44"/>
        </w:rPr>
      </w:pPr>
      <w:r>
        <w:rPr>
          <w:rFonts w:hint="eastAsia" w:ascii="宋体" w:hAnsi="宋体"/>
          <w:kern w:val="44"/>
        </w:rPr>
        <w:t>（一）贯彻国家关于保护军事设施的方针、政策和法律、法规、规章，并监督、检查执行情况。</w:t>
      </w:r>
    </w:p>
    <w:p w14:paraId="454FBD95">
      <w:pPr>
        <w:jc w:val="left"/>
        <w:rPr>
          <w:rFonts w:ascii="宋体" w:hAnsi="宋体"/>
          <w:kern w:val="44"/>
        </w:rPr>
      </w:pPr>
      <w:r>
        <w:rPr>
          <w:rFonts w:hint="eastAsia" w:ascii="宋体" w:hAnsi="宋体"/>
          <w:kern w:val="44"/>
        </w:rPr>
        <w:t>（二）协调解决划定军事禁区、军事管理区及军事禁区外围安全控制范围的问题。</w:t>
      </w:r>
    </w:p>
    <w:p w14:paraId="4AFDEF50">
      <w:pPr>
        <w:jc w:val="left"/>
        <w:rPr>
          <w:rFonts w:ascii="宋体" w:hAnsi="宋体"/>
          <w:kern w:val="44"/>
        </w:rPr>
      </w:pPr>
      <w:r>
        <w:rPr>
          <w:rFonts w:hint="eastAsia" w:ascii="宋体" w:hAnsi="宋体"/>
          <w:kern w:val="44"/>
        </w:rPr>
        <w:t>（三）检查军事设施安全保护情况。协调本地区各部门的军事设施保护工作，处理保护军事设施与地方经济建设、群众生产、生活等方面发生的问题，制止危害军事设施安全保密的行为。</w:t>
      </w:r>
    </w:p>
    <w:p w14:paraId="43AD0AC1">
      <w:pPr>
        <w:jc w:val="left"/>
        <w:rPr>
          <w:rFonts w:ascii="宋体" w:hAnsi="宋体"/>
          <w:kern w:val="44"/>
        </w:rPr>
      </w:pPr>
      <w:r>
        <w:rPr>
          <w:rFonts w:hint="eastAsia" w:ascii="宋体" w:hAnsi="宋体"/>
          <w:kern w:val="44"/>
        </w:rPr>
        <w:t>（四）组织保护军事设施的宣传教育工作。</w:t>
      </w:r>
    </w:p>
    <w:p w14:paraId="09FD7AEF">
      <w:pPr>
        <w:jc w:val="left"/>
        <w:rPr>
          <w:rFonts w:ascii="宋体" w:hAnsi="宋体"/>
          <w:kern w:val="44"/>
        </w:rPr>
      </w:pPr>
      <w:r>
        <w:rPr>
          <w:rFonts w:hint="eastAsia" w:ascii="宋体" w:hAnsi="宋体"/>
          <w:kern w:val="44"/>
        </w:rPr>
        <w:t>（五）制定保护军事设施的具体措施，并公告施行。</w:t>
      </w:r>
    </w:p>
    <w:p w14:paraId="6000C030">
      <w:pPr>
        <w:jc w:val="left"/>
        <w:rPr>
          <w:rFonts w:ascii="宋体" w:hAnsi="宋体"/>
          <w:kern w:val="44"/>
        </w:rPr>
      </w:pPr>
      <w:r>
        <w:rPr>
          <w:rFonts w:hint="eastAsia" w:ascii="宋体" w:hAnsi="宋体"/>
          <w:kern w:val="44"/>
        </w:rPr>
        <w:t>军事设施保护委员会下设办公室，具体负责日常工作。</w:t>
      </w:r>
    </w:p>
    <w:p w14:paraId="37700DEB">
      <w:pPr>
        <w:ind w:firstLine="422"/>
        <w:jc w:val="left"/>
        <w:rPr>
          <w:rFonts w:ascii="宋体" w:hAnsi="宋体"/>
          <w:kern w:val="44"/>
        </w:rPr>
      </w:pPr>
      <w:r>
        <w:rPr>
          <w:rFonts w:hint="eastAsia" w:ascii="宋体" w:hAnsi="宋体"/>
          <w:b/>
          <w:kern w:val="44"/>
        </w:rPr>
        <w:t>第四条</w:t>
      </w:r>
      <w:r>
        <w:rPr>
          <w:rFonts w:hint="eastAsia" w:ascii="宋体" w:hAnsi="宋体"/>
          <w:kern w:val="44"/>
        </w:rPr>
        <w:t>　本市军事禁区、军事管理区及军事禁区外围安全控制范围的划定工作，由北京军区和市人民政府依照《华北地区军事设施保护区域划定工作实施办法》统一组织，各级军事设施保护委员会具体承办，按照行政区划实施。</w:t>
      </w:r>
    </w:p>
    <w:p w14:paraId="26ECBFBA">
      <w:pPr>
        <w:jc w:val="left"/>
        <w:rPr>
          <w:rFonts w:ascii="宋体" w:hAnsi="宋体"/>
          <w:kern w:val="44"/>
        </w:rPr>
      </w:pPr>
      <w:r>
        <w:rPr>
          <w:rFonts w:hint="eastAsia" w:ascii="宋体" w:hAnsi="宋体"/>
          <w:kern w:val="44"/>
        </w:rPr>
        <w:t>军事禁区、军事管理区划定后，应明确管理单位和管理职责。</w:t>
      </w:r>
    </w:p>
    <w:p w14:paraId="6AB3250E">
      <w:pPr>
        <w:ind w:firstLine="422"/>
        <w:jc w:val="left"/>
        <w:rPr>
          <w:rFonts w:ascii="宋体" w:hAnsi="宋体"/>
          <w:kern w:val="44"/>
        </w:rPr>
      </w:pPr>
      <w:r>
        <w:rPr>
          <w:rFonts w:hint="eastAsia" w:ascii="宋体" w:hAnsi="宋体"/>
          <w:b/>
          <w:kern w:val="44"/>
        </w:rPr>
        <w:t>第五条</w:t>
      </w:r>
      <w:r>
        <w:rPr>
          <w:rFonts w:hint="eastAsia" w:ascii="宋体" w:hAnsi="宋体"/>
          <w:kern w:val="44"/>
        </w:rPr>
        <w:t>　下列军事禁区，应在其外围划定安全控制范围：</w:t>
      </w:r>
    </w:p>
    <w:p w14:paraId="6C170F6B">
      <w:pPr>
        <w:jc w:val="left"/>
        <w:rPr>
          <w:rFonts w:ascii="宋体" w:hAnsi="宋体"/>
          <w:kern w:val="44"/>
        </w:rPr>
      </w:pPr>
      <w:r>
        <w:rPr>
          <w:rFonts w:hint="eastAsia" w:ascii="宋体" w:hAnsi="宋体"/>
          <w:kern w:val="44"/>
        </w:rPr>
        <w:t>（一）面积较小，仅在内部采取防护措施，不足以保障军事设施安全保密需要的；</w:t>
      </w:r>
    </w:p>
    <w:p w14:paraId="7B23929B">
      <w:pPr>
        <w:jc w:val="left"/>
        <w:rPr>
          <w:rFonts w:ascii="宋体" w:hAnsi="宋体"/>
          <w:kern w:val="44"/>
        </w:rPr>
      </w:pPr>
      <w:r>
        <w:rPr>
          <w:rFonts w:hint="eastAsia" w:ascii="宋体" w:hAnsi="宋体"/>
          <w:kern w:val="44"/>
        </w:rPr>
        <w:t>（二）军事设施具有重大危险因素的；</w:t>
      </w:r>
    </w:p>
    <w:p w14:paraId="6398B8A6">
      <w:pPr>
        <w:jc w:val="left"/>
        <w:rPr>
          <w:rFonts w:ascii="宋体" w:hAnsi="宋体"/>
          <w:kern w:val="44"/>
        </w:rPr>
      </w:pPr>
      <w:r>
        <w:rPr>
          <w:rFonts w:hint="eastAsia" w:ascii="宋体" w:hAnsi="宋体"/>
          <w:kern w:val="44"/>
        </w:rPr>
        <w:t>（三）军事设施有防电磁辐射、电磁干扰等特殊技术要求的。</w:t>
      </w:r>
    </w:p>
    <w:p w14:paraId="68B2D1E0">
      <w:pPr>
        <w:ind w:firstLine="422"/>
        <w:jc w:val="left"/>
        <w:rPr>
          <w:rFonts w:ascii="宋体" w:hAnsi="宋体"/>
          <w:kern w:val="44"/>
        </w:rPr>
      </w:pPr>
      <w:r>
        <w:rPr>
          <w:rFonts w:hint="eastAsia" w:ascii="宋体" w:hAnsi="宋体"/>
          <w:b/>
          <w:kern w:val="44"/>
        </w:rPr>
        <w:t>第六条</w:t>
      </w:r>
      <w:r>
        <w:rPr>
          <w:rFonts w:hint="eastAsia" w:ascii="宋体" w:hAnsi="宋体"/>
          <w:kern w:val="44"/>
        </w:rPr>
        <w:t>　军事禁区外围安全控制范围与军事禁区同时划定，其周边距离应根据军事设施的性质、国家军用技术标准、保密及防电磁辐射、电磁干扰的技术要求、当地地形、历史沿革和保障群众生命财产安全的需要等情况确定，并尽量控制在最小地域。</w:t>
      </w:r>
    </w:p>
    <w:p w14:paraId="1401E3EA">
      <w:pPr>
        <w:ind w:firstLine="422"/>
        <w:jc w:val="left"/>
        <w:rPr>
          <w:rFonts w:ascii="宋体" w:hAnsi="宋体"/>
          <w:kern w:val="44"/>
        </w:rPr>
      </w:pPr>
      <w:r>
        <w:rPr>
          <w:rFonts w:hint="eastAsia" w:ascii="宋体" w:hAnsi="宋体"/>
          <w:b/>
          <w:kern w:val="44"/>
        </w:rPr>
        <w:t>第七条</w:t>
      </w:r>
      <w:r>
        <w:rPr>
          <w:rFonts w:hint="eastAsia" w:ascii="宋体" w:hAnsi="宋体"/>
          <w:kern w:val="44"/>
        </w:rPr>
        <w:t>　军事禁区（不含空中军事禁区）、军事管理区的范围，一般与军事设施的房地产管理范围相一致；军事禁区外围安全控制范围，根据军事设施的使用效能，可与军事设施的房地产管理范围不完全一致。有特殊保护要求的军事设施需要适当扩大保护区域的，由军事设施权属单位或管理单位，在征得当地县级以上人民政府同意后，报北京军区和市人民政府审批。</w:t>
      </w:r>
    </w:p>
    <w:p w14:paraId="2EFFBDF6">
      <w:pPr>
        <w:jc w:val="left"/>
        <w:rPr>
          <w:rFonts w:ascii="宋体" w:hAnsi="宋体"/>
          <w:kern w:val="44"/>
        </w:rPr>
      </w:pPr>
      <w:r>
        <w:rPr>
          <w:rFonts w:hint="eastAsia" w:ascii="宋体" w:hAnsi="宋体"/>
          <w:kern w:val="44"/>
        </w:rPr>
        <w:t>军事禁区范围的划定或者扩大，需要征用土地、林地、草地、水面、滩涂的，依照有关法律、法规的规定办理。</w:t>
      </w:r>
    </w:p>
    <w:p w14:paraId="0351BB06">
      <w:pPr>
        <w:ind w:firstLine="422"/>
        <w:jc w:val="left"/>
        <w:rPr>
          <w:rFonts w:ascii="宋体" w:hAnsi="宋体"/>
          <w:kern w:val="44"/>
        </w:rPr>
      </w:pPr>
      <w:r>
        <w:rPr>
          <w:rFonts w:hint="eastAsia" w:ascii="宋体" w:hAnsi="宋体"/>
          <w:b/>
          <w:kern w:val="44"/>
        </w:rPr>
        <w:t>第八条</w:t>
      </w:r>
      <w:r>
        <w:rPr>
          <w:rFonts w:hint="eastAsia" w:ascii="宋体" w:hAnsi="宋体"/>
          <w:kern w:val="44"/>
        </w:rPr>
        <w:t>　军事禁区、军事管理区的管理单位应当按照划定的范围，为军事禁区、军事管理区修筑围墙、设置铁丝网等障碍物或界线标志，并部署警卫力量守护、看管。</w:t>
      </w:r>
    </w:p>
    <w:p w14:paraId="0177473C">
      <w:pPr>
        <w:jc w:val="left"/>
        <w:rPr>
          <w:rFonts w:ascii="宋体" w:hAnsi="宋体"/>
          <w:kern w:val="44"/>
        </w:rPr>
      </w:pPr>
      <w:r>
        <w:rPr>
          <w:rFonts w:hint="eastAsia" w:ascii="宋体" w:hAnsi="宋体"/>
          <w:kern w:val="44"/>
        </w:rPr>
        <w:t>除经军区级以上军事机关批准的外，禁止军事禁区管理单位以外的人员、车辆、船舶进入禁区，禁止对禁区进行摄影、录音、录相、勘察、测量、描绘和记述资料。</w:t>
      </w:r>
    </w:p>
    <w:p w14:paraId="407D773E">
      <w:pPr>
        <w:jc w:val="left"/>
        <w:rPr>
          <w:rFonts w:ascii="宋体" w:hAnsi="宋体"/>
          <w:kern w:val="44"/>
        </w:rPr>
      </w:pPr>
      <w:r>
        <w:rPr>
          <w:rFonts w:hint="eastAsia" w:ascii="宋体" w:hAnsi="宋体"/>
          <w:kern w:val="44"/>
        </w:rPr>
        <w:t>军事管理区管理单位以外的人员、车辆、船舶进入军事管理区，必须经军事管理区管理单位许可。</w:t>
      </w:r>
    </w:p>
    <w:p w14:paraId="1BA43286">
      <w:pPr>
        <w:ind w:firstLine="422"/>
        <w:jc w:val="left"/>
        <w:rPr>
          <w:rFonts w:ascii="宋体" w:hAnsi="宋体"/>
          <w:kern w:val="44"/>
        </w:rPr>
      </w:pPr>
      <w:r>
        <w:rPr>
          <w:rFonts w:hint="eastAsia" w:ascii="宋体" w:hAnsi="宋体"/>
          <w:b/>
          <w:kern w:val="44"/>
        </w:rPr>
        <w:t>第九条</w:t>
      </w:r>
      <w:r>
        <w:rPr>
          <w:rFonts w:hint="eastAsia" w:ascii="宋体" w:hAnsi="宋体"/>
          <w:kern w:val="44"/>
        </w:rPr>
        <w:t>　军事禁区外围安全控制范围划定后，管理单位应在其外沿设置安全警戒标志；安全警戒标志牌，由市人民政府制作。安全警戒标志牌的设置地点，由管理单位和当地县级以上地方人民政府确定。</w:t>
      </w:r>
    </w:p>
    <w:p w14:paraId="566DF796">
      <w:pPr>
        <w:ind w:firstLine="422"/>
        <w:jc w:val="left"/>
        <w:rPr>
          <w:rFonts w:ascii="宋体" w:hAnsi="宋体"/>
          <w:kern w:val="44"/>
        </w:rPr>
      </w:pPr>
      <w:r>
        <w:rPr>
          <w:rFonts w:hint="eastAsia" w:ascii="宋体" w:hAnsi="宋体"/>
          <w:b/>
          <w:kern w:val="44"/>
        </w:rPr>
        <w:t>第十条</w:t>
      </w:r>
      <w:r>
        <w:rPr>
          <w:rFonts w:hint="eastAsia" w:ascii="宋体" w:hAnsi="宋体"/>
          <w:kern w:val="44"/>
        </w:rPr>
        <w:t>　在军事禁区外围安全控制范围内，不得进行爆破、射击以及其他危害军事设施安全和使用效能的活动。通过安全控制范围内对外开放通道的人员，必须按指定的路线通行，不得在该安全控制范围内停留。</w:t>
      </w:r>
    </w:p>
    <w:p w14:paraId="1F445FA3">
      <w:pPr>
        <w:ind w:firstLine="422"/>
        <w:jc w:val="left"/>
        <w:rPr>
          <w:rFonts w:ascii="宋体" w:hAnsi="宋体"/>
          <w:kern w:val="44"/>
        </w:rPr>
      </w:pPr>
      <w:r>
        <w:rPr>
          <w:rFonts w:hint="eastAsia" w:ascii="宋体" w:hAnsi="宋体"/>
          <w:b/>
          <w:kern w:val="44"/>
        </w:rPr>
        <w:t>第十一条</w:t>
      </w:r>
      <w:r>
        <w:rPr>
          <w:rFonts w:hint="eastAsia" w:ascii="宋体" w:hAnsi="宋体"/>
          <w:kern w:val="44"/>
        </w:rPr>
        <w:t>　未划入军事禁区、军事管理区的军事设施，有军队驻守的，由驻守军队采取措施予以保护；无军队驻守的，由团级以上军事机关委托区、县人民武装部采取措施予以保护。</w:t>
      </w:r>
    </w:p>
    <w:p w14:paraId="5AC5BE46">
      <w:pPr>
        <w:ind w:firstLine="422"/>
        <w:jc w:val="left"/>
        <w:rPr>
          <w:rFonts w:ascii="宋体" w:hAnsi="宋体"/>
          <w:kern w:val="44"/>
        </w:rPr>
      </w:pPr>
      <w:r>
        <w:rPr>
          <w:rFonts w:hint="eastAsia" w:ascii="宋体" w:hAnsi="宋体"/>
          <w:b/>
          <w:kern w:val="44"/>
        </w:rPr>
        <w:t>第十二条</w:t>
      </w:r>
      <w:r>
        <w:rPr>
          <w:rFonts w:hint="eastAsia" w:ascii="宋体" w:hAnsi="宋体"/>
          <w:kern w:val="44"/>
        </w:rPr>
        <w:t>　未划入军事禁区、军事管理区的军事设施位于山区的，禁止在距其外沿200米范围内进行采石、取土、爆破等活动；位于平原的，禁止在距其外沿100米范围内进行拉沙、取土、破坏植被等活动。</w:t>
      </w:r>
    </w:p>
    <w:p w14:paraId="7060EE20">
      <w:pPr>
        <w:ind w:firstLine="422"/>
        <w:jc w:val="left"/>
        <w:rPr>
          <w:rFonts w:ascii="宋体" w:hAnsi="宋体"/>
          <w:kern w:val="44"/>
        </w:rPr>
      </w:pPr>
      <w:r>
        <w:rPr>
          <w:rFonts w:hint="eastAsia" w:ascii="宋体" w:hAnsi="宋体"/>
          <w:b/>
          <w:kern w:val="44"/>
        </w:rPr>
        <w:t>第十三条</w:t>
      </w:r>
      <w:r>
        <w:rPr>
          <w:rFonts w:hint="eastAsia" w:ascii="宋体" w:hAnsi="宋体"/>
          <w:kern w:val="44"/>
        </w:rPr>
        <w:t>　军事设施的管理单位和当地区、县人民政府，应针对该军事设施的实际情况，依法制定具体保护措施，建立健全相应的规章制度，并公告施行。</w:t>
      </w:r>
    </w:p>
    <w:p w14:paraId="077D4383">
      <w:pPr>
        <w:ind w:firstLine="422"/>
        <w:jc w:val="left"/>
        <w:rPr>
          <w:rFonts w:ascii="宋体" w:hAnsi="宋体"/>
          <w:kern w:val="44"/>
        </w:rPr>
      </w:pPr>
      <w:r>
        <w:rPr>
          <w:rFonts w:hint="eastAsia" w:ascii="宋体" w:hAnsi="宋体"/>
          <w:b/>
          <w:kern w:val="44"/>
        </w:rPr>
        <w:t>第十四条</w:t>
      </w:r>
      <w:r>
        <w:rPr>
          <w:rFonts w:hint="eastAsia" w:ascii="宋体" w:hAnsi="宋体"/>
          <w:kern w:val="44"/>
        </w:rPr>
        <w:t>　任何组织和个人都有保护军事设施的义务，对破坏、危害军事设施的行为，有权检举和控告。</w:t>
      </w:r>
    </w:p>
    <w:p w14:paraId="6F7FD3E9">
      <w:pPr>
        <w:jc w:val="left"/>
        <w:rPr>
          <w:rFonts w:ascii="宋体" w:hAnsi="宋体"/>
          <w:kern w:val="44"/>
        </w:rPr>
      </w:pPr>
      <w:r>
        <w:rPr>
          <w:rFonts w:hint="eastAsia" w:ascii="宋体" w:hAnsi="宋体"/>
          <w:kern w:val="44"/>
        </w:rPr>
        <w:t>军事设施附近的机关、团体、企事业单位，以及当地乡镇人民政府、村民委员会和区人民政府街道办事处、居民委员会，应当与军事设施的管理单位配合，做好军事设施的保护工作。</w:t>
      </w:r>
    </w:p>
    <w:p w14:paraId="19EEA0D7">
      <w:pPr>
        <w:jc w:val="left"/>
        <w:rPr>
          <w:rFonts w:ascii="宋体" w:hAnsi="宋体"/>
          <w:kern w:val="44"/>
        </w:rPr>
      </w:pPr>
      <w:r>
        <w:rPr>
          <w:rFonts w:hint="eastAsia" w:ascii="宋体" w:hAnsi="宋体"/>
          <w:kern w:val="44"/>
        </w:rPr>
        <w:t>军事设施附近的村民、居民，应当遵守军事设施管理单位和区、县人民政府制定的该军事设施的具体保护措施。</w:t>
      </w:r>
    </w:p>
    <w:p w14:paraId="3E3DD5B2">
      <w:pPr>
        <w:jc w:val="left"/>
        <w:rPr>
          <w:rFonts w:ascii="宋体" w:hAnsi="宋体"/>
          <w:kern w:val="44"/>
        </w:rPr>
      </w:pPr>
      <w:r>
        <w:rPr>
          <w:rFonts w:hint="eastAsia" w:ascii="宋体" w:hAnsi="宋体"/>
          <w:kern w:val="44"/>
        </w:rPr>
        <w:t>各军事设施管理单位应当严格履行保护军事设施的职责，教育军人爱护军事设施，保守军事设施的秘密，建立健全保护军事设施的规章制度。</w:t>
      </w:r>
    </w:p>
    <w:p w14:paraId="746D21D4">
      <w:pPr>
        <w:ind w:firstLine="422"/>
        <w:jc w:val="left"/>
        <w:rPr>
          <w:rFonts w:ascii="宋体" w:hAnsi="宋体"/>
          <w:kern w:val="44"/>
        </w:rPr>
      </w:pPr>
      <w:r>
        <w:rPr>
          <w:rFonts w:hint="eastAsia" w:ascii="宋体" w:hAnsi="宋体"/>
          <w:b/>
          <w:kern w:val="44"/>
        </w:rPr>
        <w:t>第十五条</w:t>
      </w:r>
      <w:r>
        <w:rPr>
          <w:rFonts w:hint="eastAsia" w:ascii="宋体" w:hAnsi="宋体"/>
          <w:kern w:val="44"/>
        </w:rPr>
        <w:t>　县级以上人民政府编制经济和社会发展计划，应当考虑保护军事设施安全的需要，并征求有关军事机关的意见。</w:t>
      </w:r>
    </w:p>
    <w:p w14:paraId="3BE34B14">
      <w:pPr>
        <w:jc w:val="left"/>
        <w:rPr>
          <w:rFonts w:ascii="宋体" w:hAnsi="宋体"/>
          <w:kern w:val="44"/>
        </w:rPr>
      </w:pPr>
      <w:r>
        <w:rPr>
          <w:rFonts w:hint="eastAsia" w:ascii="宋体" w:hAnsi="宋体"/>
          <w:kern w:val="44"/>
        </w:rPr>
        <w:t>各级人民政府的规划、土地等主管部门在审定建设规划、土地利用时，应当保护地下军事设施。安排建设项目或开辟旅游点，应避开军事设施，确实不能避开，需要将军事设施拆除或改做民用的，由市人民政府和军区级军事机关商定，并报国务院、中央军委批准。</w:t>
      </w:r>
    </w:p>
    <w:p w14:paraId="14AB1826">
      <w:pPr>
        <w:jc w:val="left"/>
        <w:rPr>
          <w:rFonts w:ascii="宋体" w:hAnsi="宋体"/>
          <w:kern w:val="44"/>
        </w:rPr>
      </w:pPr>
      <w:r>
        <w:rPr>
          <w:rFonts w:hint="eastAsia" w:ascii="宋体" w:hAnsi="宋体"/>
          <w:kern w:val="44"/>
        </w:rPr>
        <w:t>军事设施管理单位必要时应当向县级以上人民政府提供地下电缆、管道等军事设施的位置资料。县级以上人民政府应按保密要求保管地下军事设施的有关资料。</w:t>
      </w:r>
    </w:p>
    <w:p w14:paraId="532CFB3F">
      <w:pPr>
        <w:jc w:val="left"/>
        <w:rPr>
          <w:rFonts w:ascii="宋体" w:hAnsi="宋体"/>
          <w:kern w:val="44"/>
        </w:rPr>
      </w:pPr>
      <w:r>
        <w:rPr>
          <w:rFonts w:hint="eastAsia" w:ascii="宋体" w:hAnsi="宋体"/>
          <w:kern w:val="44"/>
        </w:rPr>
        <w:t>建设单位和施工单位应当按照军事设施安全防护要求，对军事设施予以保护。</w:t>
      </w:r>
    </w:p>
    <w:p w14:paraId="3BC24290">
      <w:pPr>
        <w:ind w:firstLine="422"/>
        <w:jc w:val="left"/>
        <w:rPr>
          <w:rFonts w:ascii="宋体" w:hAnsi="宋体"/>
          <w:kern w:val="44"/>
        </w:rPr>
      </w:pPr>
      <w:r>
        <w:rPr>
          <w:rFonts w:hint="eastAsia" w:ascii="宋体" w:hAnsi="宋体"/>
          <w:b/>
          <w:kern w:val="44"/>
        </w:rPr>
        <w:t>第十六条</w:t>
      </w:r>
      <w:r>
        <w:rPr>
          <w:rFonts w:hint="eastAsia" w:ascii="宋体" w:hAnsi="宋体"/>
          <w:kern w:val="44"/>
        </w:rPr>
        <w:t>　禁止任何组织和个人破坏、危害军事设施。对破坏、危害军事设施安全的，按照《中华人民共和国军事设施保护法》的有关规定追究法律责任。</w:t>
      </w:r>
    </w:p>
    <w:p w14:paraId="1339EB7C">
      <w:pPr>
        <w:jc w:val="left"/>
        <w:rPr>
          <w:rFonts w:ascii="宋体" w:hAnsi="宋体"/>
          <w:kern w:val="44"/>
        </w:rPr>
      </w:pPr>
      <w:r>
        <w:rPr>
          <w:rFonts w:hint="eastAsia" w:ascii="宋体" w:hAnsi="宋体"/>
          <w:kern w:val="44"/>
        </w:rPr>
        <w:t>军事设施附近的有关单位不与军事设施管理单位配合，造成军事设施损坏，由其上级主管部门给予单位负责人和责任人行政处分；构成犯罪的，依法追究刑事责任。</w:t>
      </w:r>
    </w:p>
    <w:p w14:paraId="785824E6">
      <w:pPr>
        <w:jc w:val="left"/>
        <w:rPr>
          <w:rFonts w:ascii="宋体" w:hAnsi="宋体"/>
          <w:kern w:val="44"/>
        </w:rPr>
      </w:pPr>
      <w:r>
        <w:rPr>
          <w:rFonts w:hint="eastAsia" w:ascii="宋体" w:hAnsi="宋体"/>
          <w:kern w:val="44"/>
        </w:rPr>
        <w:t>对造成军事设施损坏后果的处理，按照军队有关技术规定执行。</w:t>
      </w:r>
    </w:p>
    <w:p w14:paraId="5BF2DEAA">
      <w:pPr>
        <w:ind w:firstLine="422"/>
        <w:jc w:val="left"/>
        <w:rPr>
          <w:rFonts w:ascii="宋体" w:hAnsi="宋体"/>
          <w:kern w:val="44"/>
        </w:rPr>
      </w:pPr>
      <w:r>
        <w:rPr>
          <w:rFonts w:hint="eastAsia" w:ascii="宋体" w:hAnsi="宋体"/>
          <w:b/>
          <w:kern w:val="44"/>
        </w:rPr>
        <w:t>第十七条</w:t>
      </w:r>
      <w:r>
        <w:rPr>
          <w:rFonts w:hint="eastAsia" w:ascii="宋体" w:hAnsi="宋体"/>
          <w:kern w:val="44"/>
        </w:rPr>
        <w:t>　本规定执行中的具体问题，由市人民政府会同北京卫戍区解释。</w:t>
      </w:r>
    </w:p>
    <w:p w14:paraId="2285CFE2">
      <w:pPr>
        <w:ind w:firstLine="422"/>
        <w:jc w:val="left"/>
        <w:rPr>
          <w:rFonts w:ascii="宋体" w:hAnsi="宋体"/>
          <w:kern w:val="44"/>
        </w:rPr>
      </w:pPr>
      <w:r>
        <w:rPr>
          <w:rFonts w:hint="eastAsia" w:ascii="宋体" w:hAnsi="宋体"/>
          <w:b/>
          <w:kern w:val="44"/>
        </w:rPr>
        <w:t>第十八条</w:t>
      </w:r>
      <w:r>
        <w:rPr>
          <w:rFonts w:hint="eastAsia" w:ascii="宋体" w:hAnsi="宋体"/>
          <w:kern w:val="44"/>
        </w:rPr>
        <w:t>　本规定自1991年10月1日起施行。</w:t>
      </w:r>
    </w:p>
    <w:p w14:paraId="0BEB5095">
      <w:pPr>
        <w:pStyle w:val="4"/>
        <w:pageBreakBefore/>
        <w:rPr>
          <w:kern w:val="44"/>
        </w:rPr>
      </w:pPr>
      <w:bookmarkStart w:id="392" w:name="_Toc422471128"/>
      <w:bookmarkStart w:id="393" w:name="_Toc427651782"/>
      <w:bookmarkStart w:id="394" w:name="_Toc428780006"/>
      <w:bookmarkStart w:id="395" w:name="_Toc428781488"/>
      <w:bookmarkStart w:id="396" w:name="_Toc427651440"/>
      <w:r>
        <w:rPr>
          <w:rFonts w:hint="eastAsia"/>
          <w:kern w:val="44"/>
        </w:rPr>
        <w:t>北京市民用运力国防动员办法</w:t>
      </w:r>
      <w:bookmarkEnd w:id="392"/>
      <w:bookmarkEnd w:id="393"/>
      <w:bookmarkEnd w:id="394"/>
      <w:bookmarkEnd w:id="395"/>
      <w:bookmarkEnd w:id="396"/>
    </w:p>
    <w:p w14:paraId="2B6C1CAC">
      <w:pPr>
        <w:ind w:left="630" w:leftChars="300" w:right="630" w:rightChars="300"/>
        <w:jc w:val="left"/>
        <w:rPr>
          <w:rFonts w:ascii="楷体" w:hAnsi="楷体" w:eastAsia="楷体"/>
          <w:kern w:val="44"/>
        </w:rPr>
      </w:pPr>
      <w:r>
        <w:rPr>
          <w:rFonts w:hint="eastAsia" w:ascii="楷体" w:hAnsi="楷体" w:eastAsia="楷体"/>
          <w:kern w:val="44"/>
        </w:rPr>
        <w:t>（2007年11月8日北京市人民政府第74次常务会议审议通过  2007年11月16日北京市人民政府第198号令公布）</w:t>
      </w:r>
    </w:p>
    <w:p w14:paraId="7D13AC31">
      <w:pPr>
        <w:jc w:val="left"/>
        <w:rPr>
          <w:rFonts w:ascii="宋体" w:hAnsi="宋体"/>
          <w:kern w:val="44"/>
        </w:rPr>
      </w:pPr>
    </w:p>
    <w:p w14:paraId="53AE690E">
      <w:pPr>
        <w:ind w:firstLine="422"/>
        <w:jc w:val="left"/>
        <w:rPr>
          <w:rFonts w:ascii="宋体" w:hAnsi="宋体"/>
          <w:kern w:val="44"/>
        </w:rPr>
      </w:pPr>
      <w:r>
        <w:rPr>
          <w:rFonts w:hint="eastAsia" w:ascii="宋体" w:hAnsi="宋体"/>
          <w:b/>
          <w:kern w:val="44"/>
        </w:rPr>
        <w:t>第一条</w:t>
      </w:r>
      <w:r>
        <w:rPr>
          <w:rFonts w:hint="eastAsia" w:ascii="宋体" w:hAnsi="宋体"/>
          <w:kern w:val="44"/>
        </w:rPr>
        <w:t>　为有效组织和实施北京市民用运力国防动员，根据《民用运力国防动员条例》和其他有关法律、法规，结合本市实际情况，制定本办法。</w:t>
      </w:r>
    </w:p>
    <w:p w14:paraId="11721245">
      <w:pPr>
        <w:ind w:firstLine="422"/>
        <w:jc w:val="left"/>
        <w:rPr>
          <w:rFonts w:ascii="宋体" w:hAnsi="宋体"/>
          <w:kern w:val="44"/>
        </w:rPr>
      </w:pPr>
      <w:r>
        <w:rPr>
          <w:rFonts w:hint="eastAsia" w:ascii="宋体" w:hAnsi="宋体"/>
          <w:b/>
          <w:kern w:val="44"/>
        </w:rPr>
        <w:t>第二条</w:t>
      </w:r>
      <w:r>
        <w:rPr>
          <w:rFonts w:hint="eastAsia" w:ascii="宋体" w:hAnsi="宋体"/>
          <w:kern w:val="44"/>
        </w:rPr>
        <w:t>　本市的民用运力国防动员及其相关活动，应当遵守《民用运力国防动员条例》和本办法。</w:t>
      </w:r>
    </w:p>
    <w:p w14:paraId="75AF92A8">
      <w:pPr>
        <w:jc w:val="left"/>
        <w:rPr>
          <w:rFonts w:ascii="宋体" w:hAnsi="宋体"/>
          <w:kern w:val="44"/>
        </w:rPr>
      </w:pPr>
      <w:r>
        <w:rPr>
          <w:rFonts w:hint="eastAsia" w:ascii="宋体" w:hAnsi="宋体"/>
          <w:kern w:val="44"/>
        </w:rPr>
        <w:t>本办法所称民用运力国防动员，是指依法在平时进行非军事运力国防动员准备，在战时与平时特殊情况下统一组织、调用非军事单位和个人所拥有或者管理的运载工具以及相关设施、设备、人员的活动。</w:t>
      </w:r>
    </w:p>
    <w:p w14:paraId="7C9AFB9C">
      <w:pPr>
        <w:ind w:firstLine="422"/>
        <w:jc w:val="left"/>
        <w:rPr>
          <w:rFonts w:ascii="宋体" w:hAnsi="宋体"/>
          <w:kern w:val="44"/>
        </w:rPr>
      </w:pPr>
      <w:r>
        <w:rPr>
          <w:rFonts w:hint="eastAsia" w:ascii="宋体" w:hAnsi="宋体"/>
          <w:b/>
          <w:kern w:val="44"/>
        </w:rPr>
        <w:t>第三条</w:t>
      </w:r>
      <w:r>
        <w:rPr>
          <w:rFonts w:hint="eastAsia" w:ascii="宋体" w:hAnsi="宋体"/>
          <w:kern w:val="44"/>
        </w:rPr>
        <w:t>　本市拥有或者管理民用运力的单位和个人，应当依法履行民用运力国防动员义务。</w:t>
      </w:r>
    </w:p>
    <w:p w14:paraId="18CCE0C7">
      <w:pPr>
        <w:jc w:val="left"/>
        <w:rPr>
          <w:rFonts w:ascii="宋体" w:hAnsi="宋体"/>
          <w:kern w:val="44"/>
        </w:rPr>
      </w:pPr>
      <w:r>
        <w:rPr>
          <w:rFonts w:hint="eastAsia" w:ascii="宋体" w:hAnsi="宋体"/>
          <w:kern w:val="44"/>
        </w:rPr>
        <w:t>因履行民用运力国防动员义务而造成直接财产损失和人员伤亡的，相关单位和个人依法享有获得补偿和抚恤的权利。</w:t>
      </w:r>
    </w:p>
    <w:p w14:paraId="4238ACF4">
      <w:pPr>
        <w:ind w:firstLine="422"/>
        <w:jc w:val="left"/>
        <w:rPr>
          <w:rFonts w:ascii="宋体" w:hAnsi="宋体"/>
          <w:kern w:val="44"/>
        </w:rPr>
      </w:pPr>
      <w:r>
        <w:rPr>
          <w:rFonts w:hint="eastAsia" w:ascii="宋体" w:hAnsi="宋体"/>
          <w:b/>
          <w:kern w:val="44"/>
        </w:rPr>
        <w:t>第四条</w:t>
      </w:r>
      <w:r>
        <w:rPr>
          <w:rFonts w:hint="eastAsia" w:ascii="宋体" w:hAnsi="宋体"/>
          <w:kern w:val="44"/>
        </w:rPr>
        <w:t>　市国防交通主管机构在市国防动员机构和市人民政府的领导下，负责组织实施本市的民用运力国防动员工作。</w:t>
      </w:r>
    </w:p>
    <w:p w14:paraId="4E6FF5D0">
      <w:pPr>
        <w:jc w:val="left"/>
        <w:rPr>
          <w:rFonts w:ascii="宋体" w:hAnsi="宋体"/>
          <w:kern w:val="44"/>
        </w:rPr>
      </w:pPr>
      <w:r>
        <w:rPr>
          <w:rFonts w:hint="eastAsia" w:ascii="宋体" w:hAnsi="宋体"/>
          <w:kern w:val="44"/>
        </w:rPr>
        <w:t>区、县国防交通主管机构负责具体实施本区、县的民用运力国防动员工作。</w:t>
      </w:r>
    </w:p>
    <w:p w14:paraId="6AD3A5C1">
      <w:pPr>
        <w:jc w:val="left"/>
        <w:rPr>
          <w:rFonts w:ascii="宋体" w:hAnsi="宋体"/>
          <w:kern w:val="44"/>
        </w:rPr>
      </w:pPr>
      <w:r>
        <w:rPr>
          <w:rFonts w:hint="eastAsia" w:ascii="宋体" w:hAnsi="宋体"/>
          <w:kern w:val="44"/>
        </w:rPr>
        <w:t>国民经济动员机构、人民武装动员机构和运输、民政、公安交通以及其他有关管理部门，在各自职责范围内负责相关的民用运力国防动员工作。</w:t>
      </w:r>
    </w:p>
    <w:p w14:paraId="48055CF9">
      <w:pPr>
        <w:ind w:firstLine="422"/>
        <w:jc w:val="left"/>
        <w:rPr>
          <w:rFonts w:ascii="宋体" w:hAnsi="宋体"/>
          <w:kern w:val="44"/>
        </w:rPr>
      </w:pPr>
      <w:r>
        <w:rPr>
          <w:rFonts w:hint="eastAsia" w:ascii="宋体" w:hAnsi="宋体"/>
          <w:b/>
          <w:kern w:val="44"/>
        </w:rPr>
        <w:t>第五条</w:t>
      </w:r>
      <w:r>
        <w:rPr>
          <w:rFonts w:hint="eastAsia" w:ascii="宋体" w:hAnsi="宋体"/>
          <w:kern w:val="44"/>
        </w:rPr>
        <w:t>　本市对民用运力实行国防动员统计、登记制度。下列民用运力应当予以登记：</w:t>
      </w:r>
    </w:p>
    <w:p w14:paraId="6E202E6B">
      <w:pPr>
        <w:jc w:val="left"/>
        <w:rPr>
          <w:rFonts w:ascii="宋体" w:hAnsi="宋体"/>
          <w:kern w:val="44"/>
        </w:rPr>
      </w:pPr>
      <w:r>
        <w:rPr>
          <w:rFonts w:hint="eastAsia" w:ascii="宋体" w:hAnsi="宋体"/>
          <w:kern w:val="44"/>
        </w:rPr>
        <w:t>（一）机动车：</w:t>
      </w:r>
    </w:p>
    <w:p w14:paraId="1B6FDC53">
      <w:pPr>
        <w:jc w:val="left"/>
        <w:rPr>
          <w:rFonts w:ascii="宋体" w:hAnsi="宋体"/>
          <w:kern w:val="44"/>
        </w:rPr>
      </w:pPr>
      <w:r>
        <w:rPr>
          <w:rFonts w:hint="eastAsia" w:ascii="宋体" w:hAnsi="宋体"/>
          <w:kern w:val="44"/>
        </w:rPr>
        <w:t>1．大型客车以及其他四轮驱动的客车；</w:t>
      </w:r>
    </w:p>
    <w:p w14:paraId="62991F8F">
      <w:pPr>
        <w:jc w:val="left"/>
        <w:rPr>
          <w:rFonts w:ascii="宋体" w:hAnsi="宋体"/>
          <w:kern w:val="44"/>
        </w:rPr>
      </w:pPr>
      <w:r>
        <w:rPr>
          <w:rFonts w:hint="eastAsia" w:ascii="宋体" w:hAnsi="宋体"/>
          <w:kern w:val="44"/>
        </w:rPr>
        <w:t>2．重型和中型货车；</w:t>
      </w:r>
    </w:p>
    <w:p w14:paraId="0E0F398F">
      <w:pPr>
        <w:jc w:val="left"/>
        <w:rPr>
          <w:rFonts w:ascii="宋体" w:hAnsi="宋体"/>
          <w:kern w:val="44"/>
        </w:rPr>
      </w:pPr>
      <w:r>
        <w:rPr>
          <w:rFonts w:hint="eastAsia" w:ascii="宋体" w:hAnsi="宋体"/>
          <w:kern w:val="44"/>
        </w:rPr>
        <w:t>3．重型和中型半挂牵引车、重型和中型半挂车、重型和中型全挂车；</w:t>
      </w:r>
    </w:p>
    <w:p w14:paraId="7B9E9B84">
      <w:pPr>
        <w:jc w:val="left"/>
        <w:rPr>
          <w:rFonts w:ascii="宋体" w:hAnsi="宋体"/>
          <w:kern w:val="44"/>
        </w:rPr>
      </w:pPr>
      <w:r>
        <w:rPr>
          <w:rFonts w:hint="eastAsia" w:ascii="宋体" w:hAnsi="宋体"/>
          <w:kern w:val="44"/>
        </w:rPr>
        <w:t>4．运油车、加油车、运水车、洒水车、集装箱车以及救护车、通信车、清障车、电源拖车、汽车抢修车、铲车、工程车、水泥运输车、高空作业车和起重举升车等专用车辆。</w:t>
      </w:r>
    </w:p>
    <w:p w14:paraId="6868544C">
      <w:pPr>
        <w:jc w:val="left"/>
        <w:rPr>
          <w:rFonts w:ascii="宋体" w:hAnsi="宋体"/>
          <w:kern w:val="44"/>
        </w:rPr>
      </w:pPr>
      <w:r>
        <w:rPr>
          <w:rFonts w:hint="eastAsia" w:ascii="宋体" w:hAnsi="宋体"/>
          <w:kern w:val="44"/>
        </w:rPr>
        <w:t>（二）城市轨道交通以及地方铁路、专用铁路的机车、车辆及相关设施、设备。</w:t>
      </w:r>
    </w:p>
    <w:p w14:paraId="5E4747E7">
      <w:pPr>
        <w:jc w:val="left"/>
        <w:rPr>
          <w:rFonts w:ascii="宋体" w:hAnsi="宋体"/>
          <w:kern w:val="44"/>
        </w:rPr>
      </w:pPr>
      <w:r>
        <w:rPr>
          <w:rFonts w:hint="eastAsia" w:ascii="宋体" w:hAnsi="宋体"/>
          <w:kern w:val="44"/>
        </w:rPr>
        <w:t>（三）其他需要登记的民用运力。</w:t>
      </w:r>
    </w:p>
    <w:p w14:paraId="4D47139B">
      <w:pPr>
        <w:ind w:firstLine="422"/>
        <w:jc w:val="left"/>
        <w:rPr>
          <w:rFonts w:ascii="宋体" w:hAnsi="宋体"/>
          <w:kern w:val="44"/>
        </w:rPr>
      </w:pPr>
      <w:r>
        <w:rPr>
          <w:rFonts w:hint="eastAsia" w:ascii="宋体" w:hAnsi="宋体"/>
          <w:b/>
          <w:kern w:val="44"/>
        </w:rPr>
        <w:t>第六条</w:t>
      </w:r>
      <w:r>
        <w:rPr>
          <w:rFonts w:hint="eastAsia" w:ascii="宋体" w:hAnsi="宋体"/>
          <w:kern w:val="44"/>
        </w:rPr>
        <w:t>　市运输、公安交通以及其他有关管理部门，应当按照民用运力国防动员准备工作的要求，在每年1月31日以前，向市国防交通主管机构提供民用运力的年度统计、登记资料和有关情况。</w:t>
      </w:r>
    </w:p>
    <w:p w14:paraId="4BFEF3E0">
      <w:pPr>
        <w:jc w:val="left"/>
        <w:rPr>
          <w:rFonts w:ascii="宋体" w:hAnsi="宋体"/>
          <w:kern w:val="44"/>
        </w:rPr>
      </w:pPr>
      <w:r>
        <w:rPr>
          <w:rFonts w:hint="eastAsia" w:ascii="宋体" w:hAnsi="宋体"/>
          <w:kern w:val="44"/>
        </w:rPr>
        <w:t>市国防交通主管机构应当对民用运力资料和情况进行分类整理、登记造册、及时更新，并负有妥善保管和保守秘密的义务。</w:t>
      </w:r>
    </w:p>
    <w:p w14:paraId="640106C2">
      <w:pPr>
        <w:ind w:firstLine="422"/>
        <w:jc w:val="left"/>
        <w:rPr>
          <w:rFonts w:ascii="宋体" w:hAnsi="宋体"/>
          <w:kern w:val="44"/>
        </w:rPr>
      </w:pPr>
      <w:r>
        <w:rPr>
          <w:rFonts w:hint="eastAsia" w:ascii="宋体" w:hAnsi="宋体"/>
          <w:b/>
          <w:kern w:val="44"/>
        </w:rPr>
        <w:t>第七条</w:t>
      </w:r>
      <w:r>
        <w:rPr>
          <w:rFonts w:hint="eastAsia" w:ascii="宋体" w:hAnsi="宋体"/>
          <w:kern w:val="44"/>
        </w:rPr>
        <w:t>　根据民用运力国防动员的需要，有关部门无法提供相关资料的，国防交通主管机构可以向拥有或者管理民用运力的单位和个人进行补充登记，拥有或者管理民用运力的单位和个人应当予以配合。</w:t>
      </w:r>
    </w:p>
    <w:p w14:paraId="6684438E">
      <w:pPr>
        <w:ind w:firstLine="422"/>
        <w:jc w:val="left"/>
        <w:rPr>
          <w:rFonts w:ascii="宋体" w:hAnsi="宋体"/>
          <w:kern w:val="44"/>
        </w:rPr>
      </w:pPr>
      <w:r>
        <w:rPr>
          <w:rFonts w:hint="eastAsia" w:ascii="宋体" w:hAnsi="宋体"/>
          <w:b/>
          <w:kern w:val="44"/>
        </w:rPr>
        <w:t>第八条</w:t>
      </w:r>
      <w:r>
        <w:rPr>
          <w:rFonts w:hint="eastAsia" w:ascii="宋体" w:hAnsi="宋体"/>
          <w:kern w:val="44"/>
        </w:rPr>
        <w:t>　市国防交通主管机构应当根据上级民用运力国防动员预案和本市民用运力国防动员需要以及民用运力资料，会同有关部门和同级军事机关拟订本市民用运力国防动员预案，并报市国防动员机构批准。</w:t>
      </w:r>
    </w:p>
    <w:p w14:paraId="31437522">
      <w:pPr>
        <w:jc w:val="left"/>
        <w:rPr>
          <w:rFonts w:ascii="宋体" w:hAnsi="宋体"/>
          <w:kern w:val="44"/>
        </w:rPr>
      </w:pPr>
      <w:r>
        <w:rPr>
          <w:rFonts w:hint="eastAsia" w:ascii="宋体" w:hAnsi="宋体"/>
          <w:kern w:val="44"/>
        </w:rPr>
        <w:t>区、县国防交通主管机构应当根据市民用运力国防动员预案，拟订本级预案，并报同级国防动员机构批准。</w:t>
      </w:r>
    </w:p>
    <w:p w14:paraId="4B88AA2B">
      <w:pPr>
        <w:jc w:val="left"/>
        <w:rPr>
          <w:rFonts w:ascii="宋体" w:hAnsi="宋体"/>
          <w:kern w:val="44"/>
        </w:rPr>
      </w:pPr>
      <w:r>
        <w:rPr>
          <w:rFonts w:hint="eastAsia" w:ascii="宋体" w:hAnsi="宋体"/>
          <w:kern w:val="44"/>
        </w:rPr>
        <w:t>民用运力国防动员预案应当报上一级国防交通主管机构备案。</w:t>
      </w:r>
    </w:p>
    <w:p w14:paraId="2C34E855">
      <w:pPr>
        <w:ind w:firstLine="422"/>
        <w:jc w:val="left"/>
        <w:rPr>
          <w:rFonts w:ascii="宋体" w:hAnsi="宋体"/>
          <w:kern w:val="44"/>
        </w:rPr>
      </w:pPr>
      <w:r>
        <w:rPr>
          <w:rFonts w:hint="eastAsia" w:ascii="宋体" w:hAnsi="宋体"/>
          <w:b/>
          <w:kern w:val="44"/>
        </w:rPr>
        <w:t>第九条</w:t>
      </w:r>
      <w:r>
        <w:rPr>
          <w:rFonts w:hint="eastAsia" w:ascii="宋体" w:hAnsi="宋体"/>
          <w:kern w:val="44"/>
        </w:rPr>
        <w:t>　市国防交通主管机构应当会同人民武装动员机构，根据民用运力国防动员预案确定预征民用运力，并向拥有或者管理民用运力的单位和个人发放统一的预征证书。</w:t>
      </w:r>
    </w:p>
    <w:p w14:paraId="751679A0">
      <w:pPr>
        <w:ind w:firstLine="422"/>
        <w:jc w:val="left"/>
        <w:rPr>
          <w:rFonts w:ascii="宋体" w:hAnsi="宋体"/>
          <w:kern w:val="44"/>
        </w:rPr>
      </w:pPr>
      <w:r>
        <w:rPr>
          <w:rFonts w:hint="eastAsia" w:ascii="宋体" w:hAnsi="宋体"/>
          <w:b/>
          <w:kern w:val="44"/>
        </w:rPr>
        <w:t>第十条</w:t>
      </w:r>
      <w:r>
        <w:rPr>
          <w:rFonts w:hint="eastAsia" w:ascii="宋体" w:hAnsi="宋体"/>
          <w:kern w:val="44"/>
        </w:rPr>
        <w:t>　国防交通主管机构、人民武装动员机构应当组织对预征民用运力进行必要的专业技术训练和军事训练，提高快速动员能力。</w:t>
      </w:r>
    </w:p>
    <w:p w14:paraId="6BCA6EDE">
      <w:pPr>
        <w:ind w:firstLine="422"/>
        <w:jc w:val="left"/>
        <w:rPr>
          <w:rFonts w:ascii="宋体" w:hAnsi="宋体"/>
          <w:kern w:val="44"/>
        </w:rPr>
      </w:pPr>
      <w:r>
        <w:rPr>
          <w:rFonts w:hint="eastAsia" w:ascii="宋体" w:hAnsi="宋体"/>
          <w:b/>
          <w:kern w:val="44"/>
        </w:rPr>
        <w:t>第十一条</w:t>
      </w:r>
      <w:r>
        <w:rPr>
          <w:rFonts w:hint="eastAsia" w:ascii="宋体" w:hAnsi="宋体"/>
          <w:kern w:val="44"/>
        </w:rPr>
        <w:t>　有下列情况之一的，领取预征证书的单位和个人应当及时告知发证机关：</w:t>
      </w:r>
    </w:p>
    <w:p w14:paraId="1ACA9382">
      <w:pPr>
        <w:jc w:val="left"/>
        <w:rPr>
          <w:rFonts w:ascii="宋体" w:hAnsi="宋体"/>
          <w:kern w:val="44"/>
        </w:rPr>
      </w:pPr>
      <w:r>
        <w:rPr>
          <w:rFonts w:hint="eastAsia" w:ascii="宋体" w:hAnsi="宋体"/>
          <w:kern w:val="44"/>
        </w:rPr>
        <w:t>（一）预征运载工具连续一年以上不在本市行政区域内的；</w:t>
      </w:r>
    </w:p>
    <w:p w14:paraId="0DE5205F">
      <w:pPr>
        <w:jc w:val="left"/>
        <w:rPr>
          <w:rFonts w:ascii="宋体" w:hAnsi="宋体"/>
          <w:kern w:val="44"/>
        </w:rPr>
      </w:pPr>
      <w:r>
        <w:rPr>
          <w:rFonts w:hint="eastAsia" w:ascii="宋体" w:hAnsi="宋体"/>
          <w:kern w:val="44"/>
        </w:rPr>
        <w:t>（二）预征运载工具更新、改造、转让或者报废的；</w:t>
      </w:r>
    </w:p>
    <w:p w14:paraId="48B6CC1F">
      <w:pPr>
        <w:jc w:val="left"/>
        <w:rPr>
          <w:rFonts w:ascii="宋体" w:hAnsi="宋体"/>
          <w:kern w:val="44"/>
        </w:rPr>
      </w:pPr>
      <w:r>
        <w:rPr>
          <w:rFonts w:hint="eastAsia" w:ascii="宋体" w:hAnsi="宋体"/>
          <w:kern w:val="44"/>
        </w:rPr>
        <w:t>（三）向发证机关提供的联系方式变更的。</w:t>
      </w:r>
    </w:p>
    <w:p w14:paraId="0CFEB16A">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本市民用运力国防动员的实施，按照国家主席发布的动员令或者国务院、中央军事委员会发布的动员决定执行。</w:t>
      </w:r>
    </w:p>
    <w:p w14:paraId="351BED23">
      <w:pPr>
        <w:ind w:firstLine="422"/>
        <w:jc w:val="left"/>
        <w:rPr>
          <w:rFonts w:ascii="宋体" w:hAnsi="宋体"/>
          <w:kern w:val="44"/>
        </w:rPr>
      </w:pPr>
      <w:r>
        <w:rPr>
          <w:rFonts w:hint="eastAsia" w:ascii="宋体" w:hAnsi="宋体"/>
          <w:b/>
          <w:kern w:val="44"/>
        </w:rPr>
        <w:t>第十三条</w:t>
      </w:r>
      <w:r>
        <w:rPr>
          <w:rFonts w:hint="eastAsia" w:ascii="宋体" w:hAnsi="宋体"/>
          <w:kern w:val="44"/>
        </w:rPr>
        <w:t>　需要本市实施民用运力国防动员征用时，市国防交通主管机构应当启动民用运力国防动员预案，作出征用计划安排，按照规定经批准后实施。</w:t>
      </w:r>
    </w:p>
    <w:p w14:paraId="35D56E22">
      <w:pPr>
        <w:ind w:firstLine="422"/>
        <w:jc w:val="left"/>
        <w:rPr>
          <w:rFonts w:ascii="宋体" w:hAnsi="宋体"/>
          <w:kern w:val="44"/>
        </w:rPr>
      </w:pPr>
      <w:r>
        <w:rPr>
          <w:rFonts w:hint="eastAsia" w:ascii="宋体" w:hAnsi="宋体"/>
          <w:b/>
          <w:kern w:val="44"/>
        </w:rPr>
        <w:t>第十四条</w:t>
      </w:r>
      <w:r>
        <w:rPr>
          <w:rFonts w:hint="eastAsia" w:ascii="宋体" w:hAnsi="宋体"/>
          <w:kern w:val="44"/>
        </w:rPr>
        <w:t>　征用民用运力的，国防交通主管机构应当会同同级人民武装动员机构，按照征用计划安排，通知被征民用运力的单位和个人。</w:t>
      </w:r>
    </w:p>
    <w:p w14:paraId="02F0596E">
      <w:pPr>
        <w:jc w:val="left"/>
        <w:rPr>
          <w:rFonts w:ascii="宋体" w:hAnsi="宋体"/>
          <w:kern w:val="44"/>
        </w:rPr>
      </w:pPr>
      <w:r>
        <w:rPr>
          <w:rFonts w:hint="eastAsia" w:ascii="宋体" w:hAnsi="宋体"/>
          <w:kern w:val="44"/>
        </w:rPr>
        <w:t>被征民用运力的单位和个人应当按照通知的要求，组织被征用运载工具和操作、保障人员在规定时间内到达集结地点，并保证被征用运载工具的技术状态良好，操作、保障人员的技能符合军事行动要求。</w:t>
      </w:r>
    </w:p>
    <w:p w14:paraId="5892B222">
      <w:pPr>
        <w:ind w:firstLine="422"/>
        <w:jc w:val="left"/>
        <w:rPr>
          <w:rFonts w:ascii="宋体" w:hAnsi="宋体"/>
          <w:kern w:val="44"/>
        </w:rPr>
      </w:pPr>
      <w:r>
        <w:rPr>
          <w:rFonts w:hint="eastAsia" w:ascii="宋体" w:hAnsi="宋体"/>
          <w:b/>
          <w:kern w:val="44"/>
        </w:rPr>
        <w:t>第十五条</w:t>
      </w:r>
      <w:r>
        <w:rPr>
          <w:rFonts w:hint="eastAsia" w:ascii="宋体" w:hAnsi="宋体"/>
          <w:kern w:val="44"/>
        </w:rPr>
        <w:t>　国防交通主管机构和同级人民武装动员机构以及其他有关部门应当在集结地组成民用运力国防动员征用接收机构，对集结后的民用运力进行查验、登记、编组，按时交付使用单位，并向被征民用运力的单位和个人发放征用证明。被征民用运力交付使用单位时，应当办理交接手续。</w:t>
      </w:r>
    </w:p>
    <w:p w14:paraId="5BA7E4D8">
      <w:pPr>
        <w:ind w:firstLine="422"/>
        <w:jc w:val="left"/>
        <w:rPr>
          <w:rFonts w:ascii="宋体" w:hAnsi="宋体"/>
          <w:kern w:val="44"/>
        </w:rPr>
      </w:pPr>
      <w:r>
        <w:rPr>
          <w:rFonts w:hint="eastAsia" w:ascii="宋体" w:hAnsi="宋体"/>
          <w:b/>
          <w:kern w:val="44"/>
        </w:rPr>
        <w:t>第十六条</w:t>
      </w:r>
      <w:r>
        <w:rPr>
          <w:rFonts w:hint="eastAsia" w:ascii="宋体" w:hAnsi="宋体"/>
          <w:kern w:val="44"/>
        </w:rPr>
        <w:t>　被征民用运力交接后，民用运载工具以及相关设备由使用单位管理，并负责安全防护、后勤保障和技术维修等工作；相关操作、保障人员由使用单位负责管理、调配。</w:t>
      </w:r>
    </w:p>
    <w:p w14:paraId="18A21D4C">
      <w:pPr>
        <w:ind w:firstLine="422"/>
        <w:jc w:val="left"/>
        <w:rPr>
          <w:rFonts w:ascii="宋体" w:hAnsi="宋体"/>
          <w:kern w:val="44"/>
        </w:rPr>
      </w:pPr>
      <w:r>
        <w:rPr>
          <w:rFonts w:hint="eastAsia" w:ascii="宋体" w:hAnsi="宋体"/>
          <w:b/>
          <w:kern w:val="44"/>
        </w:rPr>
        <w:t>第十七条</w:t>
      </w:r>
      <w:r>
        <w:rPr>
          <w:rFonts w:hint="eastAsia" w:ascii="宋体" w:hAnsi="宋体"/>
          <w:kern w:val="44"/>
        </w:rPr>
        <w:t>　被征用的民用运载工具需要加装改造的，由市国民经济动员机构会同市国防交通主管机构和使用单位组织实施。</w:t>
      </w:r>
    </w:p>
    <w:p w14:paraId="022D525A">
      <w:pPr>
        <w:jc w:val="left"/>
        <w:rPr>
          <w:rFonts w:ascii="宋体" w:hAnsi="宋体"/>
          <w:kern w:val="44"/>
        </w:rPr>
      </w:pPr>
      <w:r>
        <w:rPr>
          <w:rFonts w:hint="eastAsia" w:ascii="宋体" w:hAnsi="宋体"/>
          <w:kern w:val="44"/>
        </w:rPr>
        <w:t>承担加装改造任务的单位应当按照要求和技术标准进行加装改造，按期交付使用。</w:t>
      </w:r>
    </w:p>
    <w:p w14:paraId="3C15D085">
      <w:pPr>
        <w:ind w:firstLine="422"/>
        <w:jc w:val="left"/>
        <w:rPr>
          <w:rFonts w:ascii="宋体" w:hAnsi="宋体"/>
          <w:kern w:val="44"/>
        </w:rPr>
      </w:pPr>
      <w:r>
        <w:rPr>
          <w:rFonts w:hint="eastAsia" w:ascii="宋体" w:hAnsi="宋体"/>
          <w:b/>
          <w:kern w:val="44"/>
        </w:rPr>
        <w:t>第十八条</w:t>
      </w:r>
      <w:r>
        <w:rPr>
          <w:rFonts w:hint="eastAsia" w:ascii="宋体" w:hAnsi="宋体"/>
          <w:kern w:val="44"/>
        </w:rPr>
        <w:t>　在本市执行任务的民用运力使用单位，需要本市对被征民用运力提供后勤保障和技术维护的，由市国防交通主管机构协调交通、公安、通信等管理部门以及车辆维修、配件和油料供应等企业予以协助。</w:t>
      </w:r>
    </w:p>
    <w:p w14:paraId="41788D0C">
      <w:pPr>
        <w:ind w:firstLine="422"/>
        <w:jc w:val="left"/>
        <w:rPr>
          <w:rFonts w:ascii="宋体" w:hAnsi="宋体"/>
          <w:kern w:val="44"/>
        </w:rPr>
      </w:pPr>
      <w:r>
        <w:rPr>
          <w:rFonts w:hint="eastAsia" w:ascii="宋体" w:hAnsi="宋体"/>
          <w:b/>
          <w:kern w:val="44"/>
        </w:rPr>
        <w:t>第十九条</w:t>
      </w:r>
      <w:r>
        <w:rPr>
          <w:rFonts w:hint="eastAsia" w:ascii="宋体" w:hAnsi="宋体"/>
          <w:kern w:val="44"/>
        </w:rPr>
        <w:t>　民用运力国防动员任务完成后，民用运力使用单位和民用运力国防动员征用接收机构应当共同对复员的民用运力进行查验。</w:t>
      </w:r>
    </w:p>
    <w:p w14:paraId="3F2A66C1">
      <w:pPr>
        <w:jc w:val="left"/>
        <w:rPr>
          <w:rFonts w:ascii="宋体" w:hAnsi="宋体"/>
          <w:kern w:val="44"/>
        </w:rPr>
      </w:pPr>
      <w:r>
        <w:rPr>
          <w:rFonts w:hint="eastAsia" w:ascii="宋体" w:hAnsi="宋体"/>
          <w:kern w:val="44"/>
        </w:rPr>
        <w:t>民用运力使用单位应当根据查验结果出具被征民用运载工具使用、损毁情况和操作、保障人员伤亡情况的证明，并与征用接收机构办理交接手续。</w:t>
      </w:r>
    </w:p>
    <w:p w14:paraId="11521F60">
      <w:pPr>
        <w:jc w:val="left"/>
        <w:rPr>
          <w:rFonts w:ascii="宋体" w:hAnsi="宋体"/>
          <w:kern w:val="44"/>
        </w:rPr>
      </w:pPr>
      <w:r>
        <w:rPr>
          <w:rFonts w:hint="eastAsia" w:ascii="宋体" w:hAnsi="宋体"/>
          <w:kern w:val="44"/>
        </w:rPr>
        <w:t>征用接收机构接收复员的民用运力后，应当及时交付被征民用运力的单位和个人，并办理移交手续。</w:t>
      </w:r>
    </w:p>
    <w:p w14:paraId="6049C96E">
      <w:pPr>
        <w:ind w:firstLine="422"/>
        <w:jc w:val="left"/>
        <w:rPr>
          <w:rFonts w:ascii="宋体" w:hAnsi="宋体"/>
          <w:kern w:val="44"/>
        </w:rPr>
      </w:pPr>
      <w:r>
        <w:rPr>
          <w:rFonts w:hint="eastAsia" w:ascii="宋体" w:hAnsi="宋体"/>
          <w:b/>
          <w:kern w:val="44"/>
        </w:rPr>
        <w:t>第二十条</w:t>
      </w:r>
      <w:r>
        <w:rPr>
          <w:rFonts w:hint="eastAsia" w:ascii="宋体" w:hAnsi="宋体"/>
          <w:kern w:val="44"/>
        </w:rPr>
        <w:t>　被征民用运力的单位和个人有权要求恢复被加装改造的运载工具。能够恢复的，由市国民经济动员机构会同市国防交通主管机构组织实施恢复；无法恢复的，由市国民经济动员机构出具相关证明。</w:t>
      </w:r>
    </w:p>
    <w:p w14:paraId="4D5A21FB">
      <w:pPr>
        <w:ind w:firstLine="422"/>
        <w:jc w:val="left"/>
        <w:rPr>
          <w:rFonts w:ascii="宋体" w:hAnsi="宋体"/>
          <w:kern w:val="44"/>
        </w:rPr>
      </w:pPr>
      <w:r>
        <w:rPr>
          <w:rFonts w:hint="eastAsia" w:ascii="宋体" w:hAnsi="宋体"/>
          <w:b/>
          <w:kern w:val="44"/>
        </w:rPr>
        <w:t>第二十一条</w:t>
      </w:r>
      <w:r>
        <w:rPr>
          <w:rFonts w:hint="eastAsia" w:ascii="宋体" w:hAnsi="宋体"/>
          <w:kern w:val="44"/>
        </w:rPr>
        <w:t>　对民用运载工具因参加训练造成的直接经济损失，训练的组织者应当给予适当补助。</w:t>
      </w:r>
    </w:p>
    <w:p w14:paraId="25CE81B1">
      <w:pPr>
        <w:jc w:val="left"/>
        <w:rPr>
          <w:rFonts w:ascii="宋体" w:hAnsi="宋体"/>
          <w:kern w:val="44"/>
        </w:rPr>
      </w:pPr>
      <w:r>
        <w:rPr>
          <w:rFonts w:hint="eastAsia" w:ascii="宋体" w:hAnsi="宋体"/>
          <w:kern w:val="44"/>
        </w:rPr>
        <w:t>训练期间的人员工资、补贴等，依照国家和本市有关民兵参加军事训练的规定执行。</w:t>
      </w:r>
    </w:p>
    <w:p w14:paraId="64723E67">
      <w:pPr>
        <w:ind w:firstLine="422"/>
        <w:jc w:val="left"/>
        <w:rPr>
          <w:rFonts w:ascii="宋体" w:hAnsi="宋体"/>
          <w:kern w:val="44"/>
        </w:rPr>
      </w:pPr>
      <w:r>
        <w:rPr>
          <w:rFonts w:hint="eastAsia" w:ascii="宋体" w:hAnsi="宋体"/>
          <w:b/>
          <w:kern w:val="44"/>
        </w:rPr>
        <w:t>第二十二条</w:t>
      </w:r>
      <w:r>
        <w:rPr>
          <w:rFonts w:hint="eastAsia" w:ascii="宋体" w:hAnsi="宋体"/>
          <w:kern w:val="44"/>
        </w:rPr>
        <w:t>　因履行民用运力国防动员义务造成的运载工具和相关设备、设施的损毁、折旧等直接财产损失以及相关操作、保障人员的工资、津贴，依法由地方财政给予补偿的，市和区、县人民政府安排给予补偿。</w:t>
      </w:r>
    </w:p>
    <w:p w14:paraId="00AAB697">
      <w:pPr>
        <w:jc w:val="left"/>
        <w:rPr>
          <w:rFonts w:ascii="宋体" w:hAnsi="宋体"/>
          <w:kern w:val="44"/>
        </w:rPr>
      </w:pPr>
      <w:r>
        <w:rPr>
          <w:rFonts w:hint="eastAsia" w:ascii="宋体" w:hAnsi="宋体"/>
          <w:kern w:val="44"/>
        </w:rPr>
        <w:t>因履行民用运力国防动员义务造成伤亡的人员，其抚恤优待由民政部门依照《军人抚恤优待条例》的规定执行。</w:t>
      </w:r>
    </w:p>
    <w:p w14:paraId="68F1FC7F">
      <w:pPr>
        <w:ind w:firstLine="422"/>
        <w:jc w:val="left"/>
        <w:rPr>
          <w:rFonts w:ascii="宋体" w:hAnsi="宋体"/>
          <w:kern w:val="44"/>
        </w:rPr>
      </w:pPr>
      <w:r>
        <w:rPr>
          <w:rFonts w:hint="eastAsia" w:ascii="宋体" w:hAnsi="宋体"/>
          <w:b/>
          <w:kern w:val="44"/>
        </w:rPr>
        <w:t>第二十三条</w:t>
      </w:r>
      <w:r>
        <w:rPr>
          <w:rFonts w:hint="eastAsia" w:ascii="宋体" w:hAnsi="宋体"/>
          <w:kern w:val="44"/>
        </w:rPr>
        <w:t>　因履行民用运力国防动员义务依法应当予以补偿的，被征民用运力的单位和个人凭相关证明，向下达征用通知的国防交通主管机构提出申请，由受理的国防交通主管机构提出补偿意见，经市国防交通主管机构审核、汇总并报市人民政府批准后实施。</w:t>
      </w:r>
    </w:p>
    <w:p w14:paraId="06C0DBCF">
      <w:pPr>
        <w:ind w:firstLine="422"/>
        <w:jc w:val="left"/>
        <w:rPr>
          <w:rFonts w:ascii="宋体" w:hAnsi="宋体"/>
          <w:kern w:val="44"/>
        </w:rPr>
      </w:pPr>
      <w:r>
        <w:rPr>
          <w:rFonts w:hint="eastAsia" w:ascii="宋体" w:hAnsi="宋体"/>
          <w:b/>
          <w:kern w:val="44"/>
        </w:rPr>
        <w:t>第二十四条</w:t>
      </w:r>
      <w:r>
        <w:rPr>
          <w:rFonts w:hint="eastAsia" w:ascii="宋体" w:hAnsi="宋体"/>
          <w:kern w:val="44"/>
        </w:rPr>
        <w:t>　按照《民用运力国防动员条例》的规定，应当由地方人民政府承担的民用运力国防动员准备所需的费用，由市和区、县国防交通主管机构根据年度民用运力国防动员工作任务提出需求，经同级财政部门审核后，纳入预算。</w:t>
      </w:r>
    </w:p>
    <w:p w14:paraId="651B8DBE">
      <w:pPr>
        <w:jc w:val="left"/>
        <w:rPr>
          <w:rFonts w:ascii="宋体" w:hAnsi="宋体"/>
          <w:kern w:val="44"/>
        </w:rPr>
      </w:pPr>
      <w:r>
        <w:rPr>
          <w:rFonts w:hint="eastAsia" w:ascii="宋体" w:hAnsi="宋体"/>
          <w:kern w:val="44"/>
        </w:rPr>
        <w:t>民用运力国防动员实施所需的费用，按照国家在战时以及和平时期特殊情况下有关国防动员经费保障办法执行。</w:t>
      </w:r>
    </w:p>
    <w:p w14:paraId="0BBFBCB8">
      <w:pPr>
        <w:ind w:firstLine="422"/>
        <w:jc w:val="left"/>
        <w:rPr>
          <w:rFonts w:ascii="宋体" w:hAnsi="宋体"/>
          <w:kern w:val="44"/>
        </w:rPr>
      </w:pPr>
      <w:r>
        <w:rPr>
          <w:rFonts w:hint="eastAsia" w:ascii="宋体" w:hAnsi="宋体"/>
          <w:b/>
          <w:kern w:val="44"/>
        </w:rPr>
        <w:t>第二十五条</w:t>
      </w:r>
      <w:r>
        <w:rPr>
          <w:rFonts w:hint="eastAsia" w:ascii="宋体" w:hAnsi="宋体"/>
          <w:kern w:val="44"/>
        </w:rPr>
        <w:t>　违反本办法第七条规定，有关单位和个人拒绝提供其拥有或者管理的民用运力资料的，由市国防交通主管机构责令改正；拒不改正的，对单位处2000元以上10000元以下罚款，对个人处200元以上1000元以下罚款。</w:t>
      </w:r>
    </w:p>
    <w:p w14:paraId="6CD77B37">
      <w:pPr>
        <w:ind w:firstLine="422"/>
        <w:jc w:val="left"/>
        <w:rPr>
          <w:rFonts w:ascii="宋体" w:hAnsi="宋体"/>
          <w:kern w:val="44"/>
        </w:rPr>
      </w:pPr>
      <w:r>
        <w:rPr>
          <w:rFonts w:hint="eastAsia" w:ascii="宋体" w:hAnsi="宋体"/>
          <w:b/>
          <w:kern w:val="44"/>
        </w:rPr>
        <w:t>第二十六条</w:t>
      </w:r>
      <w:r>
        <w:rPr>
          <w:rFonts w:hint="eastAsia" w:ascii="宋体" w:hAnsi="宋体"/>
          <w:kern w:val="44"/>
        </w:rPr>
        <w:t>　违反本办法第十一条规定，领取预征证书的单位或者个人不履行告知义务的，由市国防交通主管机构责令改正；拒不改正的，对单位处3000元以下罚款，对个人处500元以下罚款。</w:t>
      </w:r>
    </w:p>
    <w:p w14:paraId="761B63D0">
      <w:pPr>
        <w:ind w:firstLine="422"/>
        <w:jc w:val="left"/>
        <w:rPr>
          <w:rFonts w:ascii="宋体" w:hAnsi="宋体"/>
          <w:kern w:val="44"/>
        </w:rPr>
      </w:pPr>
      <w:r>
        <w:rPr>
          <w:rFonts w:hint="eastAsia" w:ascii="宋体" w:hAnsi="宋体"/>
          <w:b/>
          <w:kern w:val="44"/>
        </w:rPr>
        <w:t>第二十七条</w:t>
      </w:r>
      <w:r>
        <w:rPr>
          <w:rFonts w:hint="eastAsia" w:ascii="宋体" w:hAnsi="宋体"/>
          <w:kern w:val="44"/>
        </w:rPr>
        <w:t>　违反本办法，依照相关法律、法规和规章的规定应当予以处罚的，由有关部门依法处罚。</w:t>
      </w:r>
    </w:p>
    <w:p w14:paraId="606B2516">
      <w:pPr>
        <w:ind w:firstLine="422"/>
        <w:jc w:val="left"/>
        <w:rPr>
          <w:rFonts w:ascii="宋体" w:hAnsi="宋体"/>
          <w:kern w:val="44"/>
        </w:rPr>
      </w:pPr>
      <w:r>
        <w:rPr>
          <w:rFonts w:hint="eastAsia" w:ascii="宋体" w:hAnsi="宋体"/>
          <w:b/>
          <w:kern w:val="44"/>
        </w:rPr>
        <w:t>第二十八条</w:t>
      </w:r>
      <w:r>
        <w:rPr>
          <w:rFonts w:hint="eastAsia" w:ascii="宋体" w:hAnsi="宋体"/>
          <w:kern w:val="44"/>
        </w:rPr>
        <w:t>　本办法自2007年12月20日起施行。</w:t>
      </w:r>
    </w:p>
    <w:p w14:paraId="545C2C77">
      <w:pPr>
        <w:pStyle w:val="3"/>
        <w:pageBreakBefore/>
        <w:rPr>
          <w:kern w:val="44"/>
        </w:rPr>
      </w:pPr>
      <w:bookmarkStart w:id="397" w:name="_Toc422471129"/>
      <w:bookmarkStart w:id="398" w:name="_Toc427651783"/>
      <w:bookmarkStart w:id="399" w:name="_Toc427651441"/>
      <w:bookmarkStart w:id="400" w:name="_Toc428780007"/>
      <w:bookmarkStart w:id="401" w:name="_Toc428781489"/>
      <w:r>
        <w:rPr>
          <w:rFonts w:hint="eastAsia"/>
          <w:kern w:val="44"/>
        </w:rPr>
        <w:t>（十）保密、档案</w:t>
      </w:r>
      <w:bookmarkEnd w:id="397"/>
      <w:bookmarkEnd w:id="398"/>
      <w:bookmarkEnd w:id="399"/>
      <w:bookmarkEnd w:id="400"/>
      <w:bookmarkEnd w:id="401"/>
    </w:p>
    <w:p w14:paraId="411B5250"/>
    <w:p w14:paraId="55183B72">
      <w:pPr>
        <w:pStyle w:val="4"/>
        <w:rPr>
          <w:kern w:val="44"/>
        </w:rPr>
      </w:pPr>
      <w:bookmarkStart w:id="402" w:name="_Toc422471130"/>
      <w:bookmarkStart w:id="403" w:name="_Toc428780008"/>
      <w:bookmarkStart w:id="404" w:name="_Toc427651442"/>
      <w:bookmarkStart w:id="405" w:name="_Toc428781490"/>
      <w:bookmarkStart w:id="406" w:name="_Toc427651784"/>
      <w:r>
        <w:rPr>
          <w:rFonts w:hint="eastAsia"/>
          <w:kern w:val="44"/>
        </w:rPr>
        <w:t>北京市实施《中华人民共和国</w:t>
      </w:r>
      <w:bookmarkEnd w:id="402"/>
      <w:bookmarkEnd w:id="403"/>
      <w:bookmarkEnd w:id="404"/>
      <w:bookmarkEnd w:id="405"/>
      <w:bookmarkEnd w:id="406"/>
    </w:p>
    <w:p w14:paraId="1CECF0BD">
      <w:pPr>
        <w:pStyle w:val="4"/>
        <w:rPr>
          <w:kern w:val="44"/>
        </w:rPr>
      </w:pPr>
      <w:bookmarkStart w:id="407" w:name="_Toc427651785"/>
      <w:bookmarkStart w:id="408" w:name="_Toc428780009"/>
      <w:bookmarkStart w:id="409" w:name="_Toc427651443"/>
      <w:bookmarkStart w:id="410" w:name="_Toc428781491"/>
      <w:bookmarkStart w:id="411" w:name="_Toc422471131"/>
      <w:r>
        <w:rPr>
          <w:rFonts w:hint="eastAsia"/>
          <w:kern w:val="44"/>
        </w:rPr>
        <w:t>保守国家秘密法》若干规定</w:t>
      </w:r>
      <w:bookmarkEnd w:id="407"/>
      <w:bookmarkEnd w:id="408"/>
      <w:bookmarkEnd w:id="409"/>
      <w:bookmarkEnd w:id="410"/>
      <w:bookmarkEnd w:id="411"/>
    </w:p>
    <w:p w14:paraId="1D7A5A19">
      <w:pPr>
        <w:ind w:left="630" w:leftChars="300" w:right="630" w:rightChars="300"/>
        <w:jc w:val="left"/>
        <w:rPr>
          <w:rFonts w:ascii="楷体" w:hAnsi="楷体" w:eastAsia="楷体"/>
          <w:kern w:val="44"/>
        </w:rPr>
      </w:pPr>
      <w:r>
        <w:rPr>
          <w:rFonts w:hint="eastAsia" w:ascii="楷体" w:hAnsi="楷体" w:eastAsia="楷体"/>
          <w:kern w:val="44"/>
        </w:rPr>
        <w:t>（1996年9月6日北京市第十届人民代表大会常务委员会第三十次会议通过  1996年9月6日北京市人民代表大会常务委员会公告第57号公布施行）</w:t>
      </w:r>
    </w:p>
    <w:p w14:paraId="602DA1A8">
      <w:pPr>
        <w:jc w:val="left"/>
        <w:rPr>
          <w:rFonts w:ascii="宋体" w:hAnsi="宋体"/>
          <w:kern w:val="44"/>
        </w:rPr>
      </w:pPr>
    </w:p>
    <w:p w14:paraId="5B2C18FD">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为了实施《中华人民共和国保守国家秘密法》和《中华人民共和国保守国家秘密法实施办法》，结合本市实际情况，制定本规定。</w:t>
      </w:r>
    </w:p>
    <w:p w14:paraId="03713897">
      <w:pPr>
        <w:ind w:firstLine="422"/>
        <w:jc w:val="left"/>
        <w:rPr>
          <w:rFonts w:ascii="宋体" w:hAnsi="宋体"/>
          <w:kern w:val="44"/>
        </w:rPr>
      </w:pPr>
      <w:r>
        <w:rPr>
          <w:rFonts w:hint="eastAsia" w:ascii="宋体" w:hAnsi="宋体"/>
          <w:b/>
          <w:kern w:val="44"/>
        </w:rPr>
        <w:t>第二条</w:t>
      </w:r>
      <w:r>
        <w:rPr>
          <w:rFonts w:hint="eastAsia" w:ascii="宋体" w:hAnsi="宋体"/>
          <w:kern w:val="44"/>
        </w:rPr>
        <w:t>　本市的国家机关、政党、社会团体、企业事业单位和保密工作由本市管理的其他单位以及公民，均应当遵守本规定。</w:t>
      </w:r>
    </w:p>
    <w:p w14:paraId="2EACBC40">
      <w:pPr>
        <w:ind w:firstLine="422"/>
        <w:jc w:val="left"/>
        <w:rPr>
          <w:rFonts w:ascii="宋体" w:hAnsi="宋体"/>
          <w:kern w:val="44"/>
        </w:rPr>
      </w:pPr>
      <w:r>
        <w:rPr>
          <w:rFonts w:hint="eastAsia" w:ascii="宋体" w:hAnsi="宋体"/>
          <w:b/>
          <w:kern w:val="44"/>
        </w:rPr>
        <w:t>第三条</w:t>
      </w:r>
      <w:r>
        <w:rPr>
          <w:rFonts w:hint="eastAsia" w:ascii="宋体" w:hAnsi="宋体"/>
          <w:kern w:val="44"/>
        </w:rPr>
        <w:t>　保守国家秘密的工作，实行积极防范、突出重点、既确保国家秘密又便利各项工作的方针，坚持分级负责、严格管理、提高整体防范能力的原则。</w:t>
      </w:r>
    </w:p>
    <w:p w14:paraId="2FF75F91">
      <w:pPr>
        <w:ind w:firstLine="422"/>
        <w:jc w:val="left"/>
        <w:rPr>
          <w:rFonts w:ascii="宋体" w:hAnsi="宋体"/>
          <w:kern w:val="44"/>
        </w:rPr>
      </w:pPr>
      <w:r>
        <w:rPr>
          <w:rFonts w:hint="eastAsia" w:ascii="宋体" w:hAnsi="宋体"/>
          <w:b/>
          <w:kern w:val="44"/>
        </w:rPr>
        <w:t>第四条</w:t>
      </w:r>
      <w:r>
        <w:rPr>
          <w:rFonts w:hint="eastAsia" w:ascii="宋体" w:hAnsi="宋体"/>
          <w:kern w:val="44"/>
        </w:rPr>
        <w:t>　市国家保密局主管全市的保守国家秘密工作，区、县国家保密局在其职权范围内主管本行政区域的保守国家秘密工作（市、区、县国家保密局以下简称保密工作部门）。</w:t>
      </w:r>
    </w:p>
    <w:p w14:paraId="2CF22B75">
      <w:pPr>
        <w:jc w:val="left"/>
        <w:rPr>
          <w:rFonts w:ascii="宋体" w:hAnsi="宋体"/>
          <w:kern w:val="44"/>
        </w:rPr>
      </w:pPr>
      <w:r>
        <w:rPr>
          <w:rFonts w:hint="eastAsia" w:ascii="宋体" w:hAnsi="宋体"/>
          <w:kern w:val="44"/>
        </w:rPr>
        <w:t>市级国家机关在其职权范围内，主管或者指导本系统保守国家秘密的工作。</w:t>
      </w:r>
    </w:p>
    <w:p w14:paraId="42882D1F">
      <w:pPr>
        <w:jc w:val="left"/>
        <w:rPr>
          <w:rFonts w:ascii="宋体" w:hAnsi="宋体"/>
          <w:kern w:val="44"/>
        </w:rPr>
      </w:pPr>
      <w:r>
        <w:rPr>
          <w:rFonts w:hint="eastAsia" w:ascii="宋体" w:hAnsi="宋体"/>
          <w:kern w:val="44"/>
        </w:rPr>
        <w:t>工商行政、公安、国家安全、科技、新闻出版、统计、电信等管理部门按照各自的职责做好保密工作。</w:t>
      </w:r>
    </w:p>
    <w:p w14:paraId="1862DF74">
      <w:pPr>
        <w:ind w:firstLine="422"/>
        <w:jc w:val="left"/>
        <w:rPr>
          <w:rFonts w:ascii="宋体" w:hAnsi="宋体"/>
          <w:kern w:val="44"/>
        </w:rPr>
      </w:pPr>
      <w:r>
        <w:rPr>
          <w:rFonts w:hint="eastAsia" w:ascii="宋体" w:hAnsi="宋体"/>
          <w:b/>
          <w:kern w:val="44"/>
        </w:rPr>
        <w:t>第五条</w:t>
      </w:r>
      <w:r>
        <w:rPr>
          <w:rFonts w:hint="eastAsia" w:ascii="宋体" w:hAnsi="宋体"/>
          <w:kern w:val="44"/>
        </w:rPr>
        <w:t>　国家机关和涉及国家秘密的单位应当建立保密工作组织，确定专职或者兼职保密工作人员，管理本单位的保密工作。</w:t>
      </w:r>
    </w:p>
    <w:p w14:paraId="4D729F8B">
      <w:pPr>
        <w:jc w:val="left"/>
        <w:rPr>
          <w:rFonts w:ascii="宋体" w:hAnsi="宋体"/>
          <w:kern w:val="44"/>
        </w:rPr>
      </w:pPr>
      <w:r>
        <w:rPr>
          <w:rFonts w:hint="eastAsia" w:ascii="宋体" w:hAnsi="宋体"/>
          <w:kern w:val="44"/>
        </w:rPr>
        <w:t>国家机关和涉及国家秘密的单位应当对本机关、单位工作人员进行保密教育，建立保密制度，完善保密设施，定期检查保密工作。</w:t>
      </w:r>
    </w:p>
    <w:p w14:paraId="2E19EB90">
      <w:pPr>
        <w:ind w:firstLine="422"/>
        <w:jc w:val="left"/>
        <w:rPr>
          <w:rFonts w:ascii="宋体" w:hAnsi="宋体"/>
          <w:kern w:val="44"/>
        </w:rPr>
      </w:pPr>
      <w:r>
        <w:rPr>
          <w:rFonts w:hint="eastAsia" w:ascii="宋体" w:hAnsi="宋体"/>
          <w:b/>
          <w:kern w:val="44"/>
        </w:rPr>
        <w:t>第六条</w:t>
      </w:r>
      <w:r>
        <w:rPr>
          <w:rFonts w:hint="eastAsia" w:ascii="宋体" w:hAnsi="宋体"/>
          <w:kern w:val="44"/>
        </w:rPr>
        <w:t>　国家机关和涉及国家秘密的单位对其所产生的国家秘密事项，应当按照国家保密法律、法规的规定及时确定密级、保密期限，及时变更密级或者解密。</w:t>
      </w:r>
    </w:p>
    <w:p w14:paraId="35D178CB">
      <w:pPr>
        <w:ind w:firstLine="422"/>
        <w:jc w:val="left"/>
        <w:rPr>
          <w:rFonts w:ascii="宋体" w:hAnsi="宋体"/>
          <w:kern w:val="44"/>
        </w:rPr>
      </w:pPr>
      <w:r>
        <w:rPr>
          <w:rFonts w:hint="eastAsia" w:ascii="宋体" w:hAnsi="宋体"/>
          <w:b/>
          <w:kern w:val="44"/>
        </w:rPr>
        <w:t>第七条</w:t>
      </w:r>
      <w:r>
        <w:rPr>
          <w:rFonts w:hint="eastAsia" w:ascii="宋体" w:hAnsi="宋体"/>
          <w:kern w:val="44"/>
        </w:rPr>
        <w:t>　国家机关、单位发生或者发现泄密事件，应当在知悉泄密事件的24小时内报告保密工作部门，并立即采取补救措施。</w:t>
      </w:r>
    </w:p>
    <w:p w14:paraId="36CFCAAC">
      <w:pPr>
        <w:ind w:firstLine="422"/>
        <w:jc w:val="left"/>
        <w:rPr>
          <w:rFonts w:ascii="宋体" w:hAnsi="宋体"/>
          <w:kern w:val="44"/>
        </w:rPr>
      </w:pPr>
      <w:r>
        <w:rPr>
          <w:rFonts w:hint="eastAsia" w:ascii="宋体" w:hAnsi="宋体"/>
          <w:b/>
          <w:kern w:val="44"/>
        </w:rPr>
        <w:t>第八条</w:t>
      </w:r>
      <w:r>
        <w:rPr>
          <w:rFonts w:hint="eastAsia" w:ascii="宋体" w:hAnsi="宋体"/>
          <w:kern w:val="44"/>
        </w:rPr>
        <w:t>　国家工作人员或者其他公民发现国家秘密已经或者可能泄露时，应当采取下列措施：</w:t>
      </w:r>
    </w:p>
    <w:p w14:paraId="0ADE9308">
      <w:pPr>
        <w:jc w:val="left"/>
        <w:rPr>
          <w:rFonts w:ascii="宋体" w:hAnsi="宋体"/>
          <w:kern w:val="44"/>
        </w:rPr>
      </w:pPr>
      <w:r>
        <w:rPr>
          <w:rFonts w:hint="eastAsia" w:ascii="宋体" w:hAnsi="宋体"/>
          <w:kern w:val="44"/>
        </w:rPr>
        <w:t>（一）拾获属于国家秘密的文件、资料和其他物品，应当及时送交有关机关、单位或者保密工作部门；</w:t>
      </w:r>
    </w:p>
    <w:p w14:paraId="3FB921E8">
      <w:pPr>
        <w:jc w:val="left"/>
        <w:rPr>
          <w:rFonts w:ascii="宋体" w:hAnsi="宋体"/>
          <w:kern w:val="44"/>
        </w:rPr>
      </w:pPr>
      <w:r>
        <w:rPr>
          <w:rFonts w:hint="eastAsia" w:ascii="宋体" w:hAnsi="宋体"/>
          <w:kern w:val="44"/>
        </w:rPr>
        <w:t>（二）发现出售、收买属于国家秘密的文件、资料和其他物品，应当及时报告保密工作部门或者公安、国家安全机关处理；</w:t>
      </w:r>
    </w:p>
    <w:p w14:paraId="0BEB0D21">
      <w:pPr>
        <w:jc w:val="left"/>
        <w:rPr>
          <w:rFonts w:ascii="宋体" w:hAnsi="宋体"/>
          <w:kern w:val="44"/>
        </w:rPr>
      </w:pPr>
      <w:r>
        <w:rPr>
          <w:rFonts w:hint="eastAsia" w:ascii="宋体" w:hAnsi="宋体"/>
          <w:kern w:val="44"/>
        </w:rPr>
        <w:t>（三）发现盗窃、抢夺属于国家秘密的文件、资料和其他物品，应当立即报告保密工作部门或者公安、国家安全机关，并有权制止；</w:t>
      </w:r>
    </w:p>
    <w:p w14:paraId="5627A370">
      <w:pPr>
        <w:jc w:val="left"/>
        <w:rPr>
          <w:rFonts w:ascii="宋体" w:hAnsi="宋体"/>
          <w:kern w:val="44"/>
        </w:rPr>
      </w:pPr>
      <w:r>
        <w:rPr>
          <w:rFonts w:hint="eastAsia" w:ascii="宋体" w:hAnsi="宋体"/>
          <w:kern w:val="44"/>
        </w:rPr>
        <w:t>（四）发现泄露或者可能泄露国家秘密的线索，应当及时向有关机关、单位或者保密工作部门举报。</w:t>
      </w:r>
    </w:p>
    <w:p w14:paraId="2F12D826">
      <w:pPr>
        <w:jc w:val="left"/>
        <w:rPr>
          <w:rFonts w:ascii="宋体" w:hAnsi="宋体"/>
          <w:kern w:val="44"/>
        </w:rPr>
      </w:pPr>
      <w:r>
        <w:rPr>
          <w:rFonts w:hint="eastAsia" w:ascii="宋体" w:hAnsi="宋体"/>
          <w:kern w:val="44"/>
        </w:rPr>
        <w:t>有关机关、单位接到前款第（一）项所列属于国家秘密的文件、资料和其他物品，应当妥善保管，防止扩散，并将有关材料及时移送保密工作部门处理。</w:t>
      </w:r>
    </w:p>
    <w:p w14:paraId="57B85E12">
      <w:pPr>
        <w:ind w:firstLine="422"/>
        <w:jc w:val="left"/>
        <w:rPr>
          <w:rFonts w:ascii="宋体" w:hAnsi="宋体"/>
          <w:kern w:val="44"/>
        </w:rPr>
      </w:pPr>
      <w:r>
        <w:rPr>
          <w:rFonts w:hint="eastAsia" w:ascii="宋体" w:hAnsi="宋体"/>
          <w:b/>
          <w:kern w:val="44"/>
        </w:rPr>
        <w:t>第九条</w:t>
      </w:r>
      <w:r>
        <w:rPr>
          <w:rFonts w:hint="eastAsia" w:ascii="宋体" w:hAnsi="宋体"/>
          <w:kern w:val="44"/>
        </w:rPr>
        <w:t>　在对外交往与合作中不得泄露国家秘密。对方以正当理由和合法途径要求提供国家秘密事项时，有关部门应当拟定提供方案，并经单位负责人和保密工作机构审查。属于本机关、单位业务范围内的事项，报上级业务主管部门审批，并向同级保密工作部门通报有关情况；属于本机关、单位业务范围外的事项，报有相应确定密级权的保密工作部门审批。</w:t>
      </w:r>
    </w:p>
    <w:p w14:paraId="3BE4D898">
      <w:pPr>
        <w:jc w:val="left"/>
        <w:rPr>
          <w:rFonts w:ascii="宋体" w:hAnsi="宋体"/>
          <w:kern w:val="44"/>
        </w:rPr>
      </w:pPr>
      <w:r>
        <w:rPr>
          <w:rFonts w:hint="eastAsia" w:ascii="宋体" w:hAnsi="宋体"/>
          <w:kern w:val="44"/>
        </w:rPr>
        <w:t>对方需要携带属于国家秘密的文件资料和其他物品出境的，应当由提供单位到保密工作部门办理《国家秘密载体出境许可证》。</w:t>
      </w:r>
    </w:p>
    <w:p w14:paraId="1A4EB230">
      <w:pPr>
        <w:jc w:val="left"/>
        <w:rPr>
          <w:rFonts w:ascii="宋体" w:hAnsi="宋体"/>
          <w:kern w:val="44"/>
        </w:rPr>
      </w:pPr>
      <w:r>
        <w:rPr>
          <w:rFonts w:hint="eastAsia" w:ascii="宋体" w:hAnsi="宋体"/>
          <w:kern w:val="44"/>
        </w:rPr>
        <w:t>对外提供国家秘密事项涉及多部门或者发生争议的，由保密工作部门进行协调工作。</w:t>
      </w:r>
    </w:p>
    <w:p w14:paraId="161169DC">
      <w:pPr>
        <w:ind w:firstLine="422"/>
        <w:jc w:val="left"/>
        <w:rPr>
          <w:rFonts w:ascii="宋体" w:hAnsi="宋体"/>
          <w:kern w:val="44"/>
        </w:rPr>
      </w:pPr>
      <w:r>
        <w:rPr>
          <w:rFonts w:hint="eastAsia" w:ascii="宋体" w:hAnsi="宋体"/>
          <w:b/>
          <w:kern w:val="44"/>
        </w:rPr>
        <w:t>第十条</w:t>
      </w:r>
      <w:r>
        <w:rPr>
          <w:rFonts w:hint="eastAsia" w:ascii="宋体" w:hAnsi="宋体"/>
          <w:kern w:val="44"/>
        </w:rPr>
        <w:t>　召开涉及国家秘密内容的会议，主办单位应当采取以下措施：</w:t>
      </w:r>
    </w:p>
    <w:p w14:paraId="6563F7E3">
      <w:pPr>
        <w:jc w:val="left"/>
        <w:rPr>
          <w:rFonts w:ascii="宋体" w:hAnsi="宋体"/>
          <w:kern w:val="44"/>
        </w:rPr>
      </w:pPr>
      <w:r>
        <w:rPr>
          <w:rFonts w:hint="eastAsia" w:ascii="宋体" w:hAnsi="宋体"/>
          <w:kern w:val="44"/>
        </w:rPr>
        <w:t>（一）选择具备保密条件的会议场所；</w:t>
      </w:r>
    </w:p>
    <w:p w14:paraId="029A8988">
      <w:pPr>
        <w:jc w:val="left"/>
        <w:rPr>
          <w:rFonts w:ascii="宋体" w:hAnsi="宋体"/>
          <w:kern w:val="44"/>
        </w:rPr>
      </w:pPr>
      <w:r>
        <w:rPr>
          <w:rFonts w:hint="eastAsia" w:ascii="宋体" w:hAnsi="宋体"/>
          <w:kern w:val="44"/>
        </w:rPr>
        <w:t>（二）会谈召开前应当对会议场所进行保密检查；</w:t>
      </w:r>
    </w:p>
    <w:p w14:paraId="588ED9DC">
      <w:pPr>
        <w:jc w:val="left"/>
        <w:rPr>
          <w:rFonts w:ascii="宋体" w:hAnsi="宋体"/>
          <w:kern w:val="44"/>
        </w:rPr>
      </w:pPr>
      <w:r>
        <w:rPr>
          <w:rFonts w:hint="eastAsia" w:ascii="宋体" w:hAnsi="宋体"/>
          <w:kern w:val="44"/>
        </w:rPr>
        <w:t>（三）根据工作需要，限定参加会议人员的范围，对参加涉及绝密级事项会议的人员应当予以指定；</w:t>
      </w:r>
    </w:p>
    <w:p w14:paraId="3333A3D9">
      <w:pPr>
        <w:jc w:val="left"/>
        <w:rPr>
          <w:rFonts w:ascii="宋体" w:hAnsi="宋体"/>
          <w:kern w:val="44"/>
        </w:rPr>
      </w:pPr>
      <w:r>
        <w:rPr>
          <w:rFonts w:hint="eastAsia" w:ascii="宋体" w:hAnsi="宋体"/>
          <w:kern w:val="44"/>
        </w:rPr>
        <w:t>（四）对参加会议人员提出保密要求；</w:t>
      </w:r>
    </w:p>
    <w:p w14:paraId="39476978">
      <w:pPr>
        <w:jc w:val="left"/>
        <w:rPr>
          <w:rFonts w:ascii="宋体" w:hAnsi="宋体"/>
          <w:kern w:val="44"/>
        </w:rPr>
      </w:pPr>
      <w:r>
        <w:rPr>
          <w:rFonts w:hint="eastAsia" w:ascii="宋体" w:hAnsi="宋体"/>
          <w:kern w:val="44"/>
        </w:rPr>
        <w:t>（五）依照保密规定使用会议设备和管理会议文件、资料；</w:t>
      </w:r>
    </w:p>
    <w:p w14:paraId="6232479B">
      <w:pPr>
        <w:jc w:val="left"/>
        <w:rPr>
          <w:rFonts w:ascii="宋体" w:hAnsi="宋体"/>
          <w:kern w:val="44"/>
        </w:rPr>
      </w:pPr>
      <w:r>
        <w:rPr>
          <w:rFonts w:hint="eastAsia" w:ascii="宋体" w:hAnsi="宋体"/>
          <w:kern w:val="44"/>
        </w:rPr>
        <w:t>（六）确定会议内容是否传达以及传达范围。</w:t>
      </w:r>
    </w:p>
    <w:p w14:paraId="73126BCD">
      <w:pPr>
        <w:ind w:firstLine="422"/>
        <w:jc w:val="left"/>
        <w:rPr>
          <w:rFonts w:ascii="宋体" w:hAnsi="宋体"/>
          <w:kern w:val="44"/>
        </w:rPr>
      </w:pPr>
      <w:r>
        <w:rPr>
          <w:rFonts w:hint="eastAsia" w:ascii="宋体" w:hAnsi="宋体"/>
          <w:b/>
          <w:kern w:val="44"/>
        </w:rPr>
        <w:t>第十一条</w:t>
      </w:r>
      <w:r>
        <w:rPr>
          <w:rFonts w:hint="eastAsia" w:ascii="宋体" w:hAnsi="宋体"/>
          <w:kern w:val="44"/>
        </w:rPr>
        <w:t>　举办重大涉及国家秘密的活动，主办单位应当制定专项保密方案并报市保密工作部门；提供活动场所的单位，应当协助主办单位做好保密工作。</w:t>
      </w:r>
    </w:p>
    <w:p w14:paraId="3E5555E2">
      <w:pPr>
        <w:jc w:val="left"/>
        <w:rPr>
          <w:rFonts w:ascii="宋体" w:hAnsi="宋体"/>
          <w:kern w:val="44"/>
        </w:rPr>
      </w:pPr>
      <w:r>
        <w:rPr>
          <w:rFonts w:hint="eastAsia" w:ascii="宋体" w:hAnsi="宋体"/>
          <w:kern w:val="44"/>
        </w:rPr>
        <w:t>保密工作部门认为必要时，可以主动参与制定保密方案，并与主办单位共同组织和监督实施。</w:t>
      </w:r>
    </w:p>
    <w:p w14:paraId="4FCDF27C">
      <w:pPr>
        <w:ind w:firstLine="422"/>
        <w:jc w:val="left"/>
        <w:rPr>
          <w:rFonts w:ascii="宋体" w:hAnsi="宋体"/>
          <w:kern w:val="44"/>
        </w:rPr>
      </w:pPr>
      <w:r>
        <w:rPr>
          <w:rFonts w:hint="eastAsia" w:ascii="宋体" w:hAnsi="宋体"/>
          <w:b/>
          <w:kern w:val="44"/>
        </w:rPr>
        <w:t>第十二条</w:t>
      </w:r>
      <w:r>
        <w:rPr>
          <w:rFonts w:hint="eastAsia" w:ascii="宋体" w:hAnsi="宋体"/>
          <w:kern w:val="44"/>
        </w:rPr>
        <w:t>　参与涉及国家秘密的科学技术项目立项定密、成果鉴定、密级评价的专家、技术人员和其他知密人员，应当承担保密义务，不得泄露、使用或者向他人提供、转让该项技术。</w:t>
      </w:r>
    </w:p>
    <w:p w14:paraId="63AF86A2">
      <w:pPr>
        <w:ind w:firstLine="422"/>
        <w:jc w:val="left"/>
        <w:rPr>
          <w:rFonts w:ascii="宋体" w:hAnsi="宋体"/>
          <w:kern w:val="44"/>
        </w:rPr>
      </w:pPr>
      <w:r>
        <w:rPr>
          <w:rFonts w:hint="eastAsia" w:ascii="宋体" w:hAnsi="宋体"/>
          <w:b/>
          <w:kern w:val="44"/>
        </w:rPr>
        <w:t>第十三条</w:t>
      </w:r>
      <w:r>
        <w:rPr>
          <w:rFonts w:hint="eastAsia" w:ascii="宋体" w:hAnsi="宋体"/>
          <w:kern w:val="44"/>
        </w:rPr>
        <w:t>　涉及国家科学技术秘密的国内转让、对外出口等的保密工作，应当按照国家和本市有关规定执行。</w:t>
      </w:r>
    </w:p>
    <w:p w14:paraId="7401C20D">
      <w:pPr>
        <w:ind w:firstLine="422"/>
        <w:jc w:val="left"/>
        <w:rPr>
          <w:rFonts w:ascii="宋体" w:hAnsi="宋体"/>
          <w:kern w:val="44"/>
        </w:rPr>
      </w:pPr>
      <w:r>
        <w:rPr>
          <w:rFonts w:hint="eastAsia" w:ascii="宋体" w:hAnsi="宋体"/>
          <w:b/>
          <w:kern w:val="44"/>
        </w:rPr>
        <w:t>第十四条</w:t>
      </w:r>
      <w:r>
        <w:rPr>
          <w:rFonts w:hint="eastAsia" w:ascii="宋体" w:hAnsi="宋体"/>
          <w:kern w:val="44"/>
        </w:rPr>
        <w:t>　在有线、无线通信中传递国家秘密的，应当采取与其密级相对应的保密措施。</w:t>
      </w:r>
    </w:p>
    <w:p w14:paraId="4301D09D">
      <w:pPr>
        <w:ind w:firstLine="422"/>
        <w:jc w:val="left"/>
        <w:rPr>
          <w:rFonts w:ascii="宋体" w:hAnsi="宋体"/>
          <w:kern w:val="44"/>
        </w:rPr>
      </w:pPr>
      <w:r>
        <w:rPr>
          <w:rFonts w:hint="eastAsia" w:ascii="宋体" w:hAnsi="宋体"/>
          <w:b/>
          <w:kern w:val="44"/>
        </w:rPr>
        <w:t>第十五条</w:t>
      </w:r>
      <w:r>
        <w:rPr>
          <w:rFonts w:hint="eastAsia" w:ascii="宋体" w:hAnsi="宋体"/>
          <w:kern w:val="44"/>
        </w:rPr>
        <w:t>　组建、使用专用无线电通信网的，应当到保密工作部门进行保密审查和领取《建网保密审查使用许可证》。</w:t>
      </w:r>
    </w:p>
    <w:p w14:paraId="2941A86A">
      <w:pPr>
        <w:ind w:firstLine="422"/>
        <w:jc w:val="left"/>
        <w:rPr>
          <w:rFonts w:ascii="宋体" w:hAnsi="宋体"/>
          <w:kern w:val="44"/>
        </w:rPr>
      </w:pPr>
      <w:r>
        <w:rPr>
          <w:rFonts w:hint="eastAsia" w:ascii="宋体" w:hAnsi="宋体"/>
          <w:b/>
          <w:kern w:val="44"/>
        </w:rPr>
        <w:t>第十六条</w:t>
      </w:r>
      <w:r>
        <w:rPr>
          <w:rFonts w:hint="eastAsia" w:ascii="宋体" w:hAnsi="宋体"/>
          <w:kern w:val="44"/>
        </w:rPr>
        <w:t>　使用办公自动化设备，应当遵守下列规定：</w:t>
      </w:r>
    </w:p>
    <w:p w14:paraId="72464D26">
      <w:pPr>
        <w:jc w:val="left"/>
        <w:rPr>
          <w:rFonts w:ascii="宋体" w:hAnsi="宋体"/>
          <w:kern w:val="44"/>
        </w:rPr>
      </w:pPr>
      <w:r>
        <w:rPr>
          <w:rFonts w:hint="eastAsia" w:ascii="宋体" w:hAnsi="宋体"/>
          <w:kern w:val="44"/>
        </w:rPr>
        <w:t>（一）不得在没有保密措施的传真机、计算机上传输或者处理涉及国家秘密的信息；</w:t>
      </w:r>
    </w:p>
    <w:p w14:paraId="28E4CFC1">
      <w:pPr>
        <w:jc w:val="left"/>
        <w:rPr>
          <w:rFonts w:ascii="宋体" w:hAnsi="宋体"/>
          <w:kern w:val="44"/>
        </w:rPr>
      </w:pPr>
      <w:r>
        <w:rPr>
          <w:rFonts w:hint="eastAsia" w:ascii="宋体" w:hAnsi="宋体"/>
          <w:kern w:val="44"/>
        </w:rPr>
        <w:t>（二）使用计算机信息网络国际联网传输信息不得涉及国家秘密；</w:t>
      </w:r>
    </w:p>
    <w:p w14:paraId="4F060600">
      <w:pPr>
        <w:jc w:val="left"/>
        <w:rPr>
          <w:rFonts w:ascii="宋体" w:hAnsi="宋体"/>
          <w:kern w:val="44"/>
        </w:rPr>
      </w:pPr>
      <w:r>
        <w:rPr>
          <w:rFonts w:hint="eastAsia" w:ascii="宋体" w:hAnsi="宋体"/>
          <w:kern w:val="44"/>
        </w:rPr>
        <w:t>（三）未经原确定密级的国家机关、单位批准，不得复制涉及国家秘密的信息；</w:t>
      </w:r>
    </w:p>
    <w:p w14:paraId="650081ED">
      <w:pPr>
        <w:jc w:val="left"/>
        <w:rPr>
          <w:rFonts w:ascii="宋体" w:hAnsi="宋体"/>
          <w:kern w:val="44"/>
        </w:rPr>
      </w:pPr>
      <w:r>
        <w:rPr>
          <w:rFonts w:hint="eastAsia" w:ascii="宋体" w:hAnsi="宋体"/>
          <w:kern w:val="44"/>
        </w:rPr>
        <w:t>（四）不得使用无线话筒传达涉及国家秘密的信息。</w:t>
      </w:r>
    </w:p>
    <w:p w14:paraId="78C546E0">
      <w:pPr>
        <w:ind w:firstLine="422"/>
        <w:jc w:val="left"/>
        <w:rPr>
          <w:rFonts w:ascii="宋体" w:hAnsi="宋体"/>
          <w:kern w:val="44"/>
        </w:rPr>
      </w:pPr>
      <w:r>
        <w:rPr>
          <w:rFonts w:hint="eastAsia" w:ascii="宋体" w:hAnsi="宋体"/>
          <w:b/>
          <w:kern w:val="44"/>
        </w:rPr>
        <w:t>第十七条</w:t>
      </w:r>
      <w:r>
        <w:rPr>
          <w:rFonts w:hint="eastAsia" w:ascii="宋体" w:hAnsi="宋体"/>
          <w:kern w:val="44"/>
        </w:rPr>
        <w:t>　经营印刷、复印业务的单位和个体工商户应当向保密工作部门办理备案注册手续。</w:t>
      </w:r>
    </w:p>
    <w:p w14:paraId="7E800198">
      <w:pPr>
        <w:jc w:val="left"/>
        <w:rPr>
          <w:rFonts w:ascii="宋体" w:hAnsi="宋体"/>
          <w:kern w:val="44"/>
        </w:rPr>
      </w:pPr>
      <w:r>
        <w:rPr>
          <w:rFonts w:hint="eastAsia" w:ascii="宋体" w:hAnsi="宋体"/>
          <w:kern w:val="44"/>
        </w:rPr>
        <w:t>从事复制属于国家秘密的文件、资料和其他物品的单位，应当到保密工作部门申请办理国家秘密载体复制许可证件，并按照规定到保密工作部门进行年检。</w:t>
      </w:r>
    </w:p>
    <w:p w14:paraId="04F730D6">
      <w:pPr>
        <w:jc w:val="left"/>
        <w:rPr>
          <w:rFonts w:ascii="宋体" w:hAnsi="宋体"/>
          <w:kern w:val="44"/>
        </w:rPr>
      </w:pPr>
      <w:r>
        <w:rPr>
          <w:rFonts w:hint="eastAsia" w:ascii="宋体" w:hAnsi="宋体"/>
          <w:kern w:val="44"/>
        </w:rPr>
        <w:t>从事复制属于国家秘密的文件、资料和其他物品的单位在承接复制国家秘密载体的业务时，应当查验国家秘密载体准印手续。</w:t>
      </w:r>
    </w:p>
    <w:p w14:paraId="27DC91A2">
      <w:pPr>
        <w:ind w:firstLine="422"/>
        <w:jc w:val="left"/>
        <w:rPr>
          <w:rFonts w:ascii="宋体" w:hAnsi="宋体"/>
          <w:kern w:val="44"/>
        </w:rPr>
      </w:pPr>
      <w:r>
        <w:rPr>
          <w:rFonts w:hint="eastAsia" w:ascii="宋体" w:hAnsi="宋体"/>
          <w:b/>
          <w:kern w:val="44"/>
        </w:rPr>
        <w:t>第十八条</w:t>
      </w:r>
      <w:r>
        <w:rPr>
          <w:rFonts w:hint="eastAsia" w:ascii="宋体" w:hAnsi="宋体"/>
          <w:kern w:val="44"/>
        </w:rPr>
        <w:t>　复制属于国家秘密的文件、资料和其他物品的，应当按照规定办理国家秘密载体准印手续，并到取得国家秘密载体复制许可证件的单位进行复制。</w:t>
      </w:r>
    </w:p>
    <w:p w14:paraId="3334E377">
      <w:pPr>
        <w:ind w:firstLine="422"/>
        <w:jc w:val="left"/>
        <w:rPr>
          <w:rFonts w:ascii="宋体" w:hAnsi="宋体"/>
          <w:kern w:val="44"/>
        </w:rPr>
      </w:pPr>
      <w:r>
        <w:rPr>
          <w:rFonts w:hint="eastAsia" w:ascii="宋体" w:hAnsi="宋体"/>
          <w:b/>
          <w:kern w:val="44"/>
        </w:rPr>
        <w:t>第十九条</w:t>
      </w:r>
      <w:r>
        <w:rPr>
          <w:rFonts w:hint="eastAsia" w:ascii="宋体" w:hAnsi="宋体"/>
          <w:kern w:val="44"/>
        </w:rPr>
        <w:t>　销毁属于国家秘密的文件、资料和其他物品，应当到保密工作部门指定的单位。</w:t>
      </w:r>
    </w:p>
    <w:p w14:paraId="2519269B">
      <w:pPr>
        <w:jc w:val="left"/>
        <w:rPr>
          <w:rFonts w:ascii="宋体" w:hAnsi="宋体"/>
          <w:kern w:val="44"/>
        </w:rPr>
      </w:pPr>
      <w:r>
        <w:rPr>
          <w:rFonts w:hint="eastAsia" w:ascii="宋体" w:hAnsi="宋体"/>
          <w:kern w:val="44"/>
        </w:rPr>
        <w:t>不得向个体商贩、废品收购单位出售属于国家秘密的文件、资料和其他物品。</w:t>
      </w:r>
    </w:p>
    <w:p w14:paraId="669EADFC">
      <w:pPr>
        <w:ind w:firstLine="422"/>
        <w:jc w:val="left"/>
        <w:rPr>
          <w:rFonts w:ascii="宋体" w:hAnsi="宋体"/>
          <w:kern w:val="44"/>
        </w:rPr>
      </w:pPr>
      <w:r>
        <w:rPr>
          <w:rFonts w:hint="eastAsia" w:ascii="宋体" w:hAnsi="宋体"/>
          <w:b/>
          <w:kern w:val="44"/>
        </w:rPr>
        <w:t>第二十条</w:t>
      </w:r>
      <w:r>
        <w:rPr>
          <w:rFonts w:hint="eastAsia" w:ascii="宋体" w:hAnsi="宋体"/>
          <w:kern w:val="44"/>
        </w:rPr>
        <w:t>　不得使用未采取保密措施的交通工具运送属于国家秘密的文件、资料和其他物品。</w:t>
      </w:r>
    </w:p>
    <w:p w14:paraId="78CC6B3B">
      <w:pPr>
        <w:jc w:val="left"/>
        <w:rPr>
          <w:rFonts w:ascii="宋体" w:hAnsi="宋体"/>
          <w:kern w:val="44"/>
        </w:rPr>
      </w:pPr>
      <w:r>
        <w:rPr>
          <w:rFonts w:hint="eastAsia" w:ascii="宋体" w:hAnsi="宋体"/>
          <w:kern w:val="44"/>
        </w:rPr>
        <w:t>不得携带属于国家秘密的文件、资料和其他物品出入公共场所或者探亲访友。</w:t>
      </w:r>
    </w:p>
    <w:p w14:paraId="7FCCDC96">
      <w:pPr>
        <w:ind w:firstLine="422"/>
        <w:jc w:val="left"/>
        <w:rPr>
          <w:rFonts w:ascii="宋体" w:hAnsi="宋体"/>
          <w:kern w:val="44"/>
        </w:rPr>
      </w:pPr>
      <w:r>
        <w:rPr>
          <w:rFonts w:hint="eastAsia" w:ascii="宋体" w:hAnsi="宋体"/>
          <w:b/>
          <w:kern w:val="44"/>
        </w:rPr>
        <w:t>第二十一条</w:t>
      </w:r>
      <w:r>
        <w:rPr>
          <w:rFonts w:hint="eastAsia" w:ascii="宋体" w:hAnsi="宋体"/>
          <w:kern w:val="44"/>
        </w:rPr>
        <w:t>　新闻出版、报道单位和提供信息的单位，对拟公开出版、报道的信息和提供的信息应当进行保密审查。</w:t>
      </w:r>
    </w:p>
    <w:p w14:paraId="5E556A0B">
      <w:pPr>
        <w:jc w:val="left"/>
        <w:rPr>
          <w:rFonts w:ascii="宋体" w:hAnsi="宋体"/>
          <w:kern w:val="44"/>
        </w:rPr>
      </w:pPr>
      <w:r>
        <w:rPr>
          <w:rFonts w:hint="eastAsia" w:ascii="宋体" w:hAnsi="宋体"/>
          <w:kern w:val="44"/>
        </w:rPr>
        <w:t>公开发行的书刊、音像制品、电子出版物以及用于公开交流的学术论文，不得涉及国家秘密。</w:t>
      </w:r>
    </w:p>
    <w:p w14:paraId="0F571011">
      <w:pPr>
        <w:ind w:firstLine="422"/>
        <w:jc w:val="left"/>
        <w:rPr>
          <w:rFonts w:ascii="宋体" w:hAnsi="宋体"/>
          <w:kern w:val="44"/>
        </w:rPr>
      </w:pPr>
      <w:r>
        <w:rPr>
          <w:rFonts w:hint="eastAsia" w:ascii="宋体" w:hAnsi="宋体"/>
          <w:b/>
          <w:kern w:val="44"/>
        </w:rPr>
        <w:t>第二十二条</w:t>
      </w:r>
      <w:r>
        <w:rPr>
          <w:rFonts w:hint="eastAsia" w:ascii="宋体" w:hAnsi="宋体"/>
          <w:kern w:val="44"/>
        </w:rPr>
        <w:t>　接受境外机构、团体和个人社会调查，或者境外机构、团体和个人进行社会调查，不得涉及国家秘密。</w:t>
      </w:r>
    </w:p>
    <w:p w14:paraId="735C2EA3">
      <w:pPr>
        <w:ind w:firstLine="422"/>
        <w:jc w:val="left"/>
        <w:rPr>
          <w:rFonts w:ascii="宋体" w:hAnsi="宋体"/>
          <w:kern w:val="44"/>
        </w:rPr>
      </w:pPr>
      <w:r>
        <w:rPr>
          <w:rFonts w:hint="eastAsia" w:ascii="宋体" w:hAnsi="宋体"/>
          <w:b/>
          <w:kern w:val="44"/>
        </w:rPr>
        <w:t>第二十三条</w:t>
      </w:r>
      <w:r>
        <w:rPr>
          <w:rFonts w:hint="eastAsia" w:ascii="宋体" w:hAnsi="宋体"/>
          <w:kern w:val="44"/>
        </w:rPr>
        <w:t>　违反本规定泄露国家秘密，情节轻微的，由保密工作部门给予批评教育，并由有关机关、单位对泄密责任者酌情给予处理。</w:t>
      </w:r>
    </w:p>
    <w:p w14:paraId="1E9B772E">
      <w:pPr>
        <w:ind w:firstLine="422"/>
        <w:jc w:val="left"/>
        <w:rPr>
          <w:rFonts w:ascii="宋体" w:hAnsi="宋体"/>
          <w:kern w:val="44"/>
        </w:rPr>
      </w:pPr>
      <w:r>
        <w:rPr>
          <w:rFonts w:hint="eastAsia" w:ascii="宋体" w:hAnsi="宋体"/>
          <w:b/>
          <w:kern w:val="44"/>
        </w:rPr>
        <w:t>第二十四条</w:t>
      </w:r>
      <w:r>
        <w:rPr>
          <w:rFonts w:hint="eastAsia" w:ascii="宋体" w:hAnsi="宋体"/>
          <w:kern w:val="44"/>
        </w:rPr>
        <w:t>　取得国家秘密载体复制许可证件的复制单位违反规定泄露国家秘密的，由保密工作部门吊销其国家秘密载体复制许可证件，并提请工商行政管理机关依法处理。</w:t>
      </w:r>
    </w:p>
    <w:p w14:paraId="4FAC7A85">
      <w:pPr>
        <w:jc w:val="left"/>
        <w:rPr>
          <w:rFonts w:ascii="宋体" w:hAnsi="宋体"/>
          <w:kern w:val="44"/>
        </w:rPr>
      </w:pPr>
      <w:r>
        <w:rPr>
          <w:rFonts w:hint="eastAsia" w:ascii="宋体" w:hAnsi="宋体"/>
          <w:kern w:val="44"/>
        </w:rPr>
        <w:t>未取得国家秘密载体复制许可证件的印刷、复印单位和个体工商户违反规定复制属于国家秘密的文件、资料和其他物品的，由工商行政管理机关依法处理。</w:t>
      </w:r>
    </w:p>
    <w:p w14:paraId="37241029">
      <w:pPr>
        <w:ind w:firstLine="422"/>
        <w:jc w:val="left"/>
        <w:rPr>
          <w:rFonts w:ascii="宋体" w:hAnsi="宋体"/>
          <w:kern w:val="44"/>
        </w:rPr>
      </w:pPr>
      <w:r>
        <w:rPr>
          <w:rFonts w:hint="eastAsia" w:ascii="宋体" w:hAnsi="宋体"/>
          <w:b/>
          <w:kern w:val="44"/>
        </w:rPr>
        <w:t>第二十五条</w:t>
      </w:r>
      <w:r>
        <w:rPr>
          <w:rFonts w:hint="eastAsia" w:ascii="宋体" w:hAnsi="宋体"/>
          <w:kern w:val="44"/>
        </w:rPr>
        <w:t>　保密工作部门对非法复制、使用、传输、买卖属于国家秘密的文件、资料和其他物品的，可以采取责令停止复制、停止使用，以及扣留和查封措施。</w:t>
      </w:r>
    </w:p>
    <w:p w14:paraId="5DA09A79">
      <w:pPr>
        <w:ind w:firstLine="422"/>
        <w:jc w:val="left"/>
        <w:rPr>
          <w:rFonts w:ascii="宋体" w:hAnsi="宋体"/>
          <w:kern w:val="44"/>
        </w:rPr>
      </w:pPr>
      <w:r>
        <w:rPr>
          <w:rFonts w:hint="eastAsia" w:ascii="宋体" w:hAnsi="宋体"/>
          <w:b/>
          <w:kern w:val="44"/>
        </w:rPr>
        <w:t>第二十六条</w:t>
      </w:r>
      <w:r>
        <w:rPr>
          <w:rFonts w:hint="eastAsia" w:ascii="宋体" w:hAnsi="宋体"/>
          <w:kern w:val="44"/>
        </w:rPr>
        <w:t>　违反本规定，属于违反工商行政、公安、国家安全、科技、新闻出版等管理方面法律、法规的，由有关主管部门依法处理。</w:t>
      </w:r>
    </w:p>
    <w:p w14:paraId="33932960">
      <w:pPr>
        <w:ind w:firstLine="422"/>
        <w:jc w:val="left"/>
        <w:rPr>
          <w:rFonts w:ascii="宋体" w:hAnsi="宋体"/>
          <w:kern w:val="44"/>
        </w:rPr>
      </w:pPr>
      <w:r>
        <w:rPr>
          <w:rFonts w:hint="eastAsia" w:ascii="宋体" w:hAnsi="宋体"/>
          <w:b/>
          <w:kern w:val="44"/>
        </w:rPr>
        <w:t>第二十七条</w:t>
      </w:r>
      <w:r>
        <w:rPr>
          <w:rFonts w:hint="eastAsia" w:ascii="宋体" w:hAnsi="宋体"/>
          <w:kern w:val="44"/>
        </w:rPr>
        <w:t xml:space="preserve">  因泄露国家秘密所获取的非法收入，保密工作部门有权依法予以没收。</w:t>
      </w:r>
    </w:p>
    <w:p w14:paraId="4779FC49">
      <w:pPr>
        <w:ind w:firstLine="422"/>
        <w:jc w:val="left"/>
        <w:rPr>
          <w:rFonts w:ascii="宋体" w:hAnsi="宋体"/>
          <w:kern w:val="44"/>
        </w:rPr>
      </w:pPr>
      <w:r>
        <w:rPr>
          <w:rFonts w:hint="eastAsia" w:ascii="宋体" w:hAnsi="宋体"/>
          <w:b/>
          <w:kern w:val="44"/>
        </w:rPr>
        <w:t>第二十八条</w:t>
      </w:r>
      <w:r>
        <w:rPr>
          <w:rFonts w:hint="eastAsia" w:ascii="宋体" w:hAnsi="宋体"/>
          <w:kern w:val="44"/>
        </w:rPr>
        <w:t>　违反本规定泄露国家秘密，情节严重，构成犯罪的，依法追究刑事责任。</w:t>
      </w:r>
    </w:p>
    <w:p w14:paraId="3642D617">
      <w:pPr>
        <w:ind w:firstLine="422"/>
        <w:jc w:val="left"/>
        <w:rPr>
          <w:rFonts w:ascii="宋体" w:hAnsi="宋体"/>
          <w:kern w:val="44"/>
        </w:rPr>
      </w:pPr>
      <w:r>
        <w:rPr>
          <w:rFonts w:hint="eastAsia" w:ascii="宋体" w:hAnsi="宋体"/>
          <w:b/>
          <w:kern w:val="44"/>
        </w:rPr>
        <w:t>第二十九条</w:t>
      </w:r>
      <w:r>
        <w:rPr>
          <w:rFonts w:hint="eastAsia" w:ascii="宋体" w:hAnsi="宋体"/>
          <w:kern w:val="44"/>
        </w:rPr>
        <w:t xml:space="preserve">  本规定具体应用中的问题，由市国家保密局负责解释。</w:t>
      </w:r>
    </w:p>
    <w:p w14:paraId="6531A95B">
      <w:pPr>
        <w:ind w:firstLine="422"/>
        <w:jc w:val="left"/>
        <w:rPr>
          <w:rFonts w:ascii="宋体" w:hAnsi="宋体"/>
          <w:kern w:val="44"/>
        </w:rPr>
      </w:pPr>
      <w:r>
        <w:rPr>
          <w:rFonts w:hint="eastAsia" w:ascii="宋体" w:hAnsi="宋体"/>
          <w:b/>
          <w:kern w:val="44"/>
        </w:rPr>
        <w:t>第三十条</w:t>
      </w:r>
      <w:r>
        <w:rPr>
          <w:rFonts w:hint="eastAsia" w:ascii="宋体" w:hAnsi="宋体"/>
          <w:kern w:val="44"/>
        </w:rPr>
        <w:t>　本规定自公布之日起施行。</w:t>
      </w:r>
    </w:p>
    <w:p w14:paraId="132D6668">
      <w:pPr>
        <w:pStyle w:val="4"/>
        <w:pageBreakBefore/>
        <w:rPr>
          <w:kern w:val="44"/>
        </w:rPr>
      </w:pPr>
      <w:bookmarkStart w:id="412" w:name="_Toc422471132"/>
      <w:bookmarkStart w:id="413" w:name="_Toc428781492"/>
      <w:bookmarkStart w:id="414" w:name="_Toc428780010"/>
      <w:bookmarkStart w:id="415" w:name="_Toc427651786"/>
      <w:bookmarkStart w:id="416" w:name="_Toc427651444"/>
      <w:r>
        <w:rPr>
          <w:rFonts w:hint="eastAsia"/>
          <w:kern w:val="44"/>
        </w:rPr>
        <w:t>北京市实施《中华人民</w:t>
      </w:r>
      <w:bookmarkEnd w:id="412"/>
      <w:bookmarkStart w:id="417" w:name="_Toc422471133"/>
      <w:r>
        <w:rPr>
          <w:rFonts w:hint="eastAsia"/>
          <w:kern w:val="44"/>
        </w:rPr>
        <w:t>共和国档案法》办法</w:t>
      </w:r>
      <w:bookmarkEnd w:id="413"/>
      <w:bookmarkEnd w:id="414"/>
      <w:bookmarkEnd w:id="415"/>
      <w:bookmarkEnd w:id="416"/>
      <w:bookmarkEnd w:id="417"/>
    </w:p>
    <w:p w14:paraId="39F906C0">
      <w:pPr>
        <w:ind w:left="630" w:leftChars="300" w:right="630" w:rightChars="300"/>
        <w:jc w:val="left"/>
        <w:rPr>
          <w:rFonts w:ascii="楷体" w:hAnsi="楷体" w:eastAsia="楷体"/>
          <w:kern w:val="44"/>
        </w:rPr>
      </w:pPr>
      <w:r>
        <w:rPr>
          <w:rFonts w:hint="eastAsia" w:ascii="楷体" w:hAnsi="楷体" w:eastAsia="楷体"/>
          <w:kern w:val="44"/>
        </w:rPr>
        <w:t>（1997年10月16日北京市第十届人民代表大会常务委员会第四十次会议通过  根据2001年8月3日北京市第十一届人民代表大会常务委员会第二十八次会议《关于修改〈北京市实施中华人民共和国档案法办法〉的决定》修正）</w:t>
      </w:r>
    </w:p>
    <w:p w14:paraId="0D84EBA8">
      <w:pPr>
        <w:ind w:left="630" w:leftChars="300" w:right="630" w:rightChars="300"/>
        <w:jc w:val="left"/>
        <w:rPr>
          <w:rFonts w:ascii="楷体" w:hAnsi="楷体" w:eastAsia="楷体"/>
          <w:kern w:val="44"/>
        </w:rPr>
      </w:pPr>
    </w:p>
    <w:p w14:paraId="0764B342">
      <w:pPr>
        <w:ind w:firstLine="0" w:firstLineChars="0"/>
        <w:jc w:val="center"/>
        <w:rPr>
          <w:rFonts w:ascii="宋体" w:hAnsi="宋体"/>
          <w:b/>
          <w:kern w:val="44"/>
          <w:sz w:val="28"/>
        </w:rPr>
      </w:pPr>
      <w:r>
        <w:rPr>
          <w:rFonts w:hint="eastAsia" w:ascii="宋体" w:hAnsi="宋体"/>
          <w:b/>
          <w:kern w:val="44"/>
          <w:sz w:val="28"/>
        </w:rPr>
        <w:t>第一章　总　则</w:t>
      </w:r>
    </w:p>
    <w:p w14:paraId="5AA6BDED">
      <w:pPr>
        <w:ind w:firstLine="0" w:firstLineChars="0"/>
        <w:jc w:val="left"/>
        <w:rPr>
          <w:rFonts w:ascii="宋体" w:hAnsi="宋体"/>
          <w:kern w:val="44"/>
          <w:sz w:val="28"/>
        </w:rPr>
      </w:pPr>
    </w:p>
    <w:p w14:paraId="36BEB993">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为了实施《中华人民共和国档案法》，结合本市实际情况，制定本办法。</w:t>
      </w:r>
    </w:p>
    <w:p w14:paraId="67E9C476">
      <w:pPr>
        <w:ind w:firstLine="422"/>
        <w:jc w:val="left"/>
        <w:rPr>
          <w:rFonts w:ascii="宋体" w:hAnsi="宋体"/>
          <w:kern w:val="44"/>
        </w:rPr>
      </w:pPr>
      <w:r>
        <w:rPr>
          <w:rFonts w:hint="eastAsia" w:ascii="宋体" w:hAnsi="宋体"/>
          <w:b/>
          <w:kern w:val="44"/>
        </w:rPr>
        <w:t>第二条</w:t>
      </w:r>
      <w:r>
        <w:rPr>
          <w:rFonts w:hint="eastAsia" w:ascii="宋体" w:hAnsi="宋体"/>
          <w:kern w:val="44"/>
        </w:rPr>
        <w:t>　本市的国家机关、社会团体、企业、事业单位和档案工作由本市管理的其他单位（以下简称单位）以及公民，应当遵守本办法。</w:t>
      </w:r>
    </w:p>
    <w:p w14:paraId="2E1745BA">
      <w:pPr>
        <w:ind w:firstLine="422"/>
        <w:jc w:val="left"/>
        <w:rPr>
          <w:rFonts w:ascii="宋体" w:hAnsi="宋体"/>
          <w:kern w:val="44"/>
        </w:rPr>
      </w:pPr>
      <w:r>
        <w:rPr>
          <w:rFonts w:hint="eastAsia" w:ascii="宋体" w:hAnsi="宋体"/>
          <w:b/>
          <w:kern w:val="44"/>
        </w:rPr>
        <w:t>第三条</w:t>
      </w:r>
      <w:r>
        <w:rPr>
          <w:rFonts w:hint="eastAsia" w:ascii="宋体" w:hAnsi="宋体"/>
          <w:kern w:val="44"/>
        </w:rPr>
        <w:t>　本办法所称档案，是指过去和现在的国家机构、社会组织以及个人从事政治、军事、经济、科学、技术、文化、宗教等活动直接形成的对国家和社会有保存价值的各种文字、图表、声像等不同形式的历史记录。</w:t>
      </w:r>
    </w:p>
    <w:p w14:paraId="4013F594">
      <w:pPr>
        <w:ind w:firstLine="422"/>
        <w:jc w:val="left"/>
        <w:rPr>
          <w:rFonts w:ascii="宋体" w:hAnsi="宋体"/>
          <w:kern w:val="44"/>
        </w:rPr>
      </w:pPr>
      <w:r>
        <w:rPr>
          <w:rFonts w:hint="eastAsia" w:ascii="宋体" w:hAnsi="宋体"/>
          <w:b/>
          <w:kern w:val="44"/>
        </w:rPr>
        <w:t>第四条</w:t>
      </w:r>
      <w:r>
        <w:rPr>
          <w:rFonts w:hint="eastAsia" w:ascii="宋体" w:hAnsi="宋体"/>
          <w:kern w:val="44"/>
        </w:rPr>
        <w:t>　本市各级人民政府应当加强对档案工作的领导，把档案事业的建设列入国民经济和社会发展计划，重视档案宣传教育，根据档案事业发展的需要完善各类档案机构，确定必要的人员编制，保障档案事业经费并将其列入财政预算，逐年增加对档案事业的投入。</w:t>
      </w:r>
    </w:p>
    <w:p w14:paraId="4AEEF079">
      <w:pPr>
        <w:jc w:val="left"/>
        <w:rPr>
          <w:rFonts w:ascii="宋体" w:hAnsi="宋体"/>
          <w:kern w:val="44"/>
        </w:rPr>
      </w:pPr>
      <w:r>
        <w:rPr>
          <w:rFonts w:hint="eastAsia" w:ascii="宋体" w:hAnsi="宋体"/>
          <w:kern w:val="44"/>
        </w:rPr>
        <w:t>计划、财政、机构编制、人事等有关行政部门，应当按照各自的职责，配合档案行政管理部门做好档案工作。</w:t>
      </w:r>
    </w:p>
    <w:p w14:paraId="23D41A10">
      <w:pPr>
        <w:ind w:firstLine="422"/>
        <w:jc w:val="left"/>
        <w:rPr>
          <w:rFonts w:ascii="宋体" w:hAnsi="宋体"/>
          <w:kern w:val="44"/>
        </w:rPr>
      </w:pPr>
      <w:r>
        <w:rPr>
          <w:rFonts w:hint="eastAsia" w:ascii="宋体" w:hAnsi="宋体"/>
          <w:b/>
          <w:kern w:val="44"/>
        </w:rPr>
        <w:t>第五条</w:t>
      </w:r>
      <w:r>
        <w:rPr>
          <w:rFonts w:hint="eastAsia" w:ascii="宋体" w:hAnsi="宋体"/>
          <w:kern w:val="44"/>
        </w:rPr>
        <w:t>　各单位应当加强对本单位档案工作的领导，根据需要设置档案机构或者配备档案工作人员，提供必要条件，保障档案工作的正常开展。</w:t>
      </w:r>
    </w:p>
    <w:p w14:paraId="673C1598">
      <w:pPr>
        <w:jc w:val="left"/>
        <w:rPr>
          <w:rFonts w:ascii="宋体" w:hAnsi="宋体"/>
          <w:kern w:val="44"/>
        </w:rPr>
      </w:pPr>
      <w:r>
        <w:rPr>
          <w:rFonts w:hint="eastAsia" w:ascii="宋体" w:hAnsi="宋体"/>
          <w:kern w:val="44"/>
        </w:rPr>
        <w:t>各单位应当保持档案工作人员的相对稳定，重视档案工作人员的教育和培训。</w:t>
      </w:r>
    </w:p>
    <w:p w14:paraId="2787D5B3">
      <w:pPr>
        <w:ind w:firstLine="422"/>
        <w:jc w:val="left"/>
        <w:rPr>
          <w:rFonts w:ascii="宋体" w:hAnsi="宋体"/>
          <w:kern w:val="44"/>
        </w:rPr>
      </w:pPr>
      <w:r>
        <w:rPr>
          <w:rFonts w:hint="eastAsia" w:ascii="宋体" w:hAnsi="宋体"/>
          <w:b/>
          <w:kern w:val="44"/>
        </w:rPr>
        <w:t>第六条</w:t>
      </w:r>
      <w:r>
        <w:rPr>
          <w:rFonts w:hint="eastAsia" w:ascii="宋体" w:hAnsi="宋体"/>
          <w:kern w:val="44"/>
        </w:rPr>
        <w:t>　本市档案工作实行统一领导、分级管理的原则，维护档案完整与安全，便于社会各方面的利用。</w:t>
      </w:r>
    </w:p>
    <w:p w14:paraId="034B500D">
      <w:pPr>
        <w:jc w:val="left"/>
        <w:rPr>
          <w:rFonts w:ascii="宋体" w:hAnsi="宋体"/>
          <w:kern w:val="44"/>
        </w:rPr>
      </w:pPr>
    </w:p>
    <w:p w14:paraId="3EAA1B91">
      <w:pPr>
        <w:ind w:firstLine="0" w:firstLineChars="0"/>
        <w:jc w:val="center"/>
        <w:rPr>
          <w:rFonts w:ascii="宋体" w:hAnsi="宋体"/>
          <w:b/>
          <w:kern w:val="44"/>
          <w:sz w:val="28"/>
        </w:rPr>
      </w:pPr>
      <w:r>
        <w:rPr>
          <w:rFonts w:hint="eastAsia" w:ascii="宋体" w:hAnsi="宋体"/>
          <w:b/>
          <w:kern w:val="44"/>
          <w:sz w:val="28"/>
        </w:rPr>
        <w:t>第二章  档案机构及其职责</w:t>
      </w:r>
    </w:p>
    <w:p w14:paraId="59241BE7">
      <w:pPr>
        <w:jc w:val="left"/>
        <w:rPr>
          <w:rFonts w:ascii="宋体" w:hAnsi="宋体"/>
          <w:kern w:val="44"/>
        </w:rPr>
      </w:pPr>
    </w:p>
    <w:p w14:paraId="64C038AD">
      <w:pPr>
        <w:ind w:firstLine="422"/>
        <w:jc w:val="left"/>
        <w:rPr>
          <w:rFonts w:ascii="宋体" w:hAnsi="宋体"/>
          <w:kern w:val="44"/>
        </w:rPr>
      </w:pPr>
      <w:r>
        <w:rPr>
          <w:rFonts w:hint="eastAsia" w:ascii="宋体" w:hAnsi="宋体"/>
          <w:b/>
          <w:kern w:val="44"/>
        </w:rPr>
        <w:t>第七条</w:t>
      </w:r>
      <w:r>
        <w:rPr>
          <w:rFonts w:hint="eastAsia" w:ascii="宋体" w:hAnsi="宋体"/>
          <w:kern w:val="44"/>
        </w:rPr>
        <w:t>　市档案行政管理部门主管本市档案事业，依法对本市的档案事业实行统筹规划，组织协调，统一制度，监督和指导。组织档案行政执法检查，依法查处档案违法行为。</w:t>
      </w:r>
    </w:p>
    <w:p w14:paraId="180EA26C">
      <w:pPr>
        <w:jc w:val="left"/>
        <w:rPr>
          <w:rFonts w:ascii="宋体" w:hAnsi="宋体"/>
          <w:kern w:val="44"/>
        </w:rPr>
      </w:pPr>
      <w:r>
        <w:rPr>
          <w:rFonts w:hint="eastAsia" w:ascii="宋体" w:hAnsi="宋体"/>
          <w:kern w:val="44"/>
        </w:rPr>
        <w:t>区、县档案行政管理部门主管本区、县的档案事业，依法对档案工作实行监督和指导。组织档案行政执法检查，依法查处档案违法行为。</w:t>
      </w:r>
    </w:p>
    <w:p w14:paraId="790BD41A">
      <w:pPr>
        <w:jc w:val="left"/>
        <w:rPr>
          <w:rFonts w:ascii="宋体" w:hAnsi="宋体"/>
          <w:kern w:val="44"/>
        </w:rPr>
      </w:pPr>
      <w:r>
        <w:rPr>
          <w:rFonts w:hint="eastAsia" w:ascii="宋体" w:hAnsi="宋体"/>
          <w:kern w:val="44"/>
        </w:rPr>
        <w:t>乡、民族乡、镇人民政府和城市街道办事处的档案机构或者档案工作人员负责管理本机关的档案，并对所属单位以及所辖的村民委员会和居民委员会的档案工作实行监督和指导。</w:t>
      </w:r>
    </w:p>
    <w:p w14:paraId="5A15B867">
      <w:pPr>
        <w:ind w:firstLine="422"/>
        <w:jc w:val="left"/>
        <w:rPr>
          <w:rFonts w:ascii="宋体" w:hAnsi="宋体"/>
          <w:kern w:val="44"/>
        </w:rPr>
      </w:pPr>
      <w:r>
        <w:rPr>
          <w:rFonts w:hint="eastAsia" w:ascii="宋体" w:hAnsi="宋体"/>
          <w:b/>
          <w:kern w:val="44"/>
        </w:rPr>
        <w:t>第八条</w:t>
      </w:r>
      <w:r>
        <w:rPr>
          <w:rFonts w:hint="eastAsia" w:ascii="宋体" w:hAnsi="宋体"/>
          <w:kern w:val="44"/>
        </w:rPr>
        <w:t>　综合档案馆是按行政区域设置的，收集和永久保管多种门类的档案和有关资料，并向社会提供利用的机构。</w:t>
      </w:r>
    </w:p>
    <w:p w14:paraId="63791DC2">
      <w:pPr>
        <w:jc w:val="left"/>
        <w:rPr>
          <w:rFonts w:ascii="宋体" w:hAnsi="宋体"/>
          <w:kern w:val="44"/>
        </w:rPr>
      </w:pPr>
      <w:r>
        <w:rPr>
          <w:rFonts w:hint="eastAsia" w:ascii="宋体" w:hAnsi="宋体"/>
          <w:kern w:val="44"/>
        </w:rPr>
        <w:t>专门档案馆是按专业设置的，收集和永久保管特定领域或者特殊载体的档案，并向社会提供利用的机构。</w:t>
      </w:r>
    </w:p>
    <w:p w14:paraId="63CFA45F">
      <w:pPr>
        <w:jc w:val="left"/>
        <w:rPr>
          <w:rFonts w:ascii="宋体" w:hAnsi="宋体"/>
          <w:kern w:val="44"/>
        </w:rPr>
      </w:pPr>
      <w:r>
        <w:rPr>
          <w:rFonts w:hint="eastAsia" w:ascii="宋体" w:hAnsi="宋体"/>
          <w:kern w:val="44"/>
        </w:rPr>
        <w:t>单位档案机构是各单位设置的档案馆、档案室、档案处、档案科，负责管理并且按照规定向综合档案馆和专门档案馆移交本单位的档案，指导文书部门和业务部门文件材料的收集、立卷和归档工作，并对所属单位的档案工作实行监督和指导。</w:t>
      </w:r>
    </w:p>
    <w:p w14:paraId="6A5CAFFA">
      <w:pPr>
        <w:ind w:firstLine="422"/>
        <w:jc w:val="left"/>
        <w:rPr>
          <w:rFonts w:ascii="宋体" w:hAnsi="宋体"/>
          <w:kern w:val="44"/>
        </w:rPr>
      </w:pPr>
      <w:r>
        <w:rPr>
          <w:rFonts w:hint="eastAsia" w:ascii="宋体" w:hAnsi="宋体"/>
          <w:b/>
          <w:kern w:val="44"/>
        </w:rPr>
        <w:t>第九条</w:t>
      </w:r>
      <w:r>
        <w:rPr>
          <w:rFonts w:hint="eastAsia" w:ascii="宋体" w:hAnsi="宋体"/>
          <w:kern w:val="44"/>
        </w:rPr>
        <w:t>　综合档案馆的设立、变更和撤销，由同级人民政府批准；专门档案馆的设立、变更和撤销，经市档案行政管理部门审核后，由市人民政府批准；单位档案机构的设立、变更和撤销，应当分别向市或者区、县档案行政管理部门申报登记。</w:t>
      </w:r>
    </w:p>
    <w:p w14:paraId="6E69D4B6">
      <w:pPr>
        <w:ind w:firstLine="422"/>
        <w:jc w:val="left"/>
        <w:rPr>
          <w:rFonts w:ascii="宋体" w:hAnsi="宋体"/>
          <w:kern w:val="44"/>
        </w:rPr>
      </w:pPr>
      <w:r>
        <w:rPr>
          <w:rFonts w:hint="eastAsia" w:ascii="宋体" w:hAnsi="宋体"/>
          <w:b/>
          <w:kern w:val="44"/>
        </w:rPr>
        <w:t>第十条</w:t>
      </w:r>
      <w:r>
        <w:rPr>
          <w:rFonts w:hint="eastAsia" w:ascii="宋体" w:hAnsi="宋体"/>
          <w:kern w:val="44"/>
        </w:rPr>
        <w:t>　档案工作人员应当忠于职守，遵纪守法，热情服务，具备专业知识，取得市档案行政管理部门颁发的岗位资格证书，并依法接受档案专业继续教育。</w:t>
      </w:r>
    </w:p>
    <w:p w14:paraId="791D2781">
      <w:pPr>
        <w:jc w:val="left"/>
        <w:rPr>
          <w:rFonts w:ascii="宋体" w:hAnsi="宋体"/>
          <w:kern w:val="44"/>
        </w:rPr>
      </w:pPr>
    </w:p>
    <w:p w14:paraId="4F7ED0B3">
      <w:pPr>
        <w:ind w:firstLine="0" w:firstLineChars="0"/>
        <w:jc w:val="center"/>
        <w:rPr>
          <w:rFonts w:ascii="宋体" w:hAnsi="宋体"/>
          <w:b/>
          <w:kern w:val="44"/>
          <w:sz w:val="28"/>
        </w:rPr>
      </w:pPr>
      <w:r>
        <w:rPr>
          <w:rFonts w:hint="eastAsia" w:ascii="宋体" w:hAnsi="宋体"/>
          <w:b/>
          <w:kern w:val="44"/>
          <w:sz w:val="28"/>
        </w:rPr>
        <w:t>第三章  档案的管理</w:t>
      </w:r>
    </w:p>
    <w:p w14:paraId="487A4146">
      <w:pPr>
        <w:jc w:val="left"/>
        <w:rPr>
          <w:rFonts w:ascii="宋体" w:hAnsi="宋体"/>
          <w:kern w:val="44"/>
        </w:rPr>
      </w:pPr>
    </w:p>
    <w:p w14:paraId="748A69D1">
      <w:pPr>
        <w:ind w:firstLine="422"/>
        <w:jc w:val="left"/>
        <w:rPr>
          <w:rFonts w:ascii="宋体" w:hAnsi="宋体"/>
          <w:kern w:val="44"/>
        </w:rPr>
      </w:pPr>
      <w:r>
        <w:rPr>
          <w:rFonts w:hint="eastAsia" w:ascii="宋体" w:hAnsi="宋体"/>
          <w:b/>
          <w:kern w:val="44"/>
        </w:rPr>
        <w:t>第十一条</w:t>
      </w:r>
      <w:r>
        <w:rPr>
          <w:rFonts w:hint="eastAsia" w:ascii="宋体" w:hAnsi="宋体"/>
          <w:kern w:val="44"/>
        </w:rPr>
        <w:t>　国家和本市档案行政管理部门规定应当归档的文件材料，由文书部门或者业务部门收集齐全并整理立卷，在规定时间内移交本单位档案机构或者档案工作人员集中管理。任何单位和个人不得拒绝归档或者据为己有。</w:t>
      </w:r>
    </w:p>
    <w:p w14:paraId="1D5428EC">
      <w:pPr>
        <w:jc w:val="left"/>
        <w:rPr>
          <w:rFonts w:ascii="宋体" w:hAnsi="宋体"/>
          <w:kern w:val="44"/>
        </w:rPr>
      </w:pPr>
      <w:r>
        <w:rPr>
          <w:rFonts w:hint="eastAsia" w:ascii="宋体" w:hAnsi="宋体"/>
          <w:kern w:val="44"/>
        </w:rPr>
        <w:t>国家和本市规定不得归档的材料，禁止擅自归档。</w:t>
      </w:r>
    </w:p>
    <w:p w14:paraId="58EEFCCB">
      <w:pPr>
        <w:ind w:firstLine="422"/>
        <w:jc w:val="left"/>
        <w:rPr>
          <w:rFonts w:ascii="宋体" w:hAnsi="宋体"/>
          <w:kern w:val="44"/>
        </w:rPr>
      </w:pPr>
      <w:r>
        <w:rPr>
          <w:rFonts w:hint="eastAsia" w:ascii="宋体" w:hAnsi="宋体"/>
          <w:b/>
          <w:kern w:val="44"/>
        </w:rPr>
        <w:t>第十二条</w:t>
      </w:r>
      <w:r>
        <w:rPr>
          <w:rFonts w:hint="eastAsia" w:ascii="宋体" w:hAnsi="宋体"/>
          <w:kern w:val="44"/>
        </w:rPr>
        <w:t>　反映本行政区域重大的政治、经济、科学、技术、文化、宗教等活动，对国家和社会具有保存价值的或者应当保密的档案，应当重点收集和管理。</w:t>
      </w:r>
    </w:p>
    <w:p w14:paraId="70DE4B5C">
      <w:pPr>
        <w:jc w:val="left"/>
        <w:rPr>
          <w:rFonts w:ascii="宋体" w:hAnsi="宋体"/>
          <w:kern w:val="44"/>
        </w:rPr>
      </w:pPr>
      <w:r>
        <w:rPr>
          <w:rFonts w:hint="eastAsia" w:ascii="宋体" w:hAnsi="宋体"/>
          <w:kern w:val="44"/>
        </w:rPr>
        <w:t>重点收集和管理的档案的具体范围，由市或者区、县档案行政管理部门确定，并通知有关单位或者个人。</w:t>
      </w:r>
    </w:p>
    <w:p w14:paraId="7CB5FB9C">
      <w:pPr>
        <w:ind w:firstLine="422"/>
        <w:jc w:val="left"/>
        <w:rPr>
          <w:rFonts w:ascii="宋体" w:hAnsi="宋体"/>
          <w:kern w:val="44"/>
        </w:rPr>
      </w:pPr>
      <w:r>
        <w:rPr>
          <w:rFonts w:hint="eastAsia" w:ascii="宋体" w:hAnsi="宋体"/>
          <w:b/>
          <w:kern w:val="44"/>
        </w:rPr>
        <w:t>第十三条</w:t>
      </w:r>
      <w:r>
        <w:rPr>
          <w:rFonts w:hint="eastAsia" w:ascii="宋体" w:hAnsi="宋体"/>
          <w:kern w:val="44"/>
        </w:rPr>
        <w:t>　有下列情况之一的，有关部门应当及时通知市或者区、县档案行政管理部门，其档案工作应当接受档案行政管理部门的监督和指导：</w:t>
      </w:r>
    </w:p>
    <w:p w14:paraId="263FB331">
      <w:pPr>
        <w:jc w:val="left"/>
        <w:rPr>
          <w:rFonts w:ascii="宋体" w:hAnsi="宋体"/>
          <w:kern w:val="44"/>
        </w:rPr>
      </w:pPr>
      <w:r>
        <w:rPr>
          <w:rFonts w:hint="eastAsia" w:ascii="宋体" w:hAnsi="宋体"/>
          <w:kern w:val="44"/>
        </w:rPr>
        <w:t>（一）行政区划的变动；</w:t>
      </w:r>
    </w:p>
    <w:p w14:paraId="638B7970">
      <w:pPr>
        <w:jc w:val="left"/>
        <w:rPr>
          <w:rFonts w:ascii="宋体" w:hAnsi="宋体"/>
          <w:kern w:val="44"/>
        </w:rPr>
      </w:pPr>
      <w:r>
        <w:rPr>
          <w:rFonts w:hint="eastAsia" w:ascii="宋体" w:hAnsi="宋体"/>
          <w:kern w:val="44"/>
        </w:rPr>
        <w:t>（二）由市或者区、县人民政府批准设立的单位的设立、变更和撤销；</w:t>
      </w:r>
    </w:p>
    <w:p w14:paraId="776D1E14">
      <w:pPr>
        <w:jc w:val="left"/>
        <w:rPr>
          <w:rFonts w:ascii="宋体" w:hAnsi="宋体"/>
          <w:kern w:val="44"/>
        </w:rPr>
      </w:pPr>
      <w:r>
        <w:rPr>
          <w:rFonts w:hint="eastAsia" w:ascii="宋体" w:hAnsi="宋体"/>
          <w:kern w:val="44"/>
        </w:rPr>
        <w:t>（三）列入市或者区、县的重点建设工程、重大科学技术研究和技术改造项目以及普查项目等的立项；</w:t>
      </w:r>
    </w:p>
    <w:p w14:paraId="19A7B889">
      <w:pPr>
        <w:jc w:val="left"/>
        <w:rPr>
          <w:rFonts w:ascii="宋体" w:hAnsi="宋体"/>
          <w:kern w:val="44"/>
        </w:rPr>
      </w:pPr>
      <w:r>
        <w:rPr>
          <w:rFonts w:hint="eastAsia" w:ascii="宋体" w:hAnsi="宋体"/>
          <w:kern w:val="44"/>
        </w:rPr>
        <w:t>（四）举办或者承办的重大活动。</w:t>
      </w:r>
    </w:p>
    <w:p w14:paraId="7BAA6AB3">
      <w:pPr>
        <w:ind w:firstLine="422"/>
        <w:jc w:val="left"/>
        <w:rPr>
          <w:rFonts w:ascii="宋体" w:hAnsi="宋体"/>
          <w:kern w:val="44"/>
        </w:rPr>
      </w:pPr>
      <w:r>
        <w:rPr>
          <w:rFonts w:hint="eastAsia" w:ascii="宋体" w:hAnsi="宋体"/>
          <w:b/>
          <w:kern w:val="44"/>
        </w:rPr>
        <w:t>第十四条</w:t>
      </w:r>
      <w:r>
        <w:rPr>
          <w:rFonts w:hint="eastAsia" w:ascii="宋体" w:hAnsi="宋体"/>
          <w:kern w:val="44"/>
        </w:rPr>
        <w:t>　市或者区、县的重点建设工程、技术改造、科学技术研究和重要设备更新等项目进行竣工验收、鉴定时，由同级档案行政管理部门会同项目主管部门的档案机构对项目档案进行验收。</w:t>
      </w:r>
    </w:p>
    <w:p w14:paraId="6CEE2A49">
      <w:pPr>
        <w:jc w:val="left"/>
        <w:rPr>
          <w:rFonts w:ascii="宋体" w:hAnsi="宋体"/>
          <w:kern w:val="44"/>
        </w:rPr>
      </w:pPr>
      <w:r>
        <w:rPr>
          <w:rFonts w:hint="eastAsia" w:ascii="宋体" w:hAnsi="宋体"/>
          <w:kern w:val="44"/>
        </w:rPr>
        <w:t>单位的重要建设工程、技术改造、科学技术研究和重要设备更新等项目，由本单位的档案机构对文件材料的管理进行监督和指导，并对项目档案进行验收。</w:t>
      </w:r>
    </w:p>
    <w:p w14:paraId="16F71CD6">
      <w:pPr>
        <w:ind w:firstLine="422"/>
        <w:jc w:val="left"/>
        <w:rPr>
          <w:rFonts w:ascii="宋体" w:hAnsi="宋体"/>
          <w:kern w:val="44"/>
        </w:rPr>
      </w:pPr>
      <w:r>
        <w:rPr>
          <w:rFonts w:hint="eastAsia" w:ascii="宋体" w:hAnsi="宋体"/>
          <w:b/>
          <w:kern w:val="44"/>
        </w:rPr>
        <w:t>第十五条</w:t>
      </w:r>
      <w:r>
        <w:rPr>
          <w:rFonts w:hint="eastAsia" w:ascii="宋体" w:hAnsi="宋体"/>
          <w:kern w:val="44"/>
        </w:rPr>
        <w:t>　在本市城市规划区域内进行基本建设的单位，应当于建设工程竣工验收后的规定时间内，按照规定向有关专门档案馆和有关主管部门报送工程竣工档案。</w:t>
      </w:r>
    </w:p>
    <w:p w14:paraId="1D83A5EA">
      <w:pPr>
        <w:ind w:firstLine="422"/>
        <w:jc w:val="left"/>
        <w:rPr>
          <w:rFonts w:ascii="宋体" w:hAnsi="宋体"/>
          <w:kern w:val="44"/>
        </w:rPr>
      </w:pPr>
      <w:r>
        <w:rPr>
          <w:rFonts w:hint="eastAsia" w:ascii="宋体" w:hAnsi="宋体"/>
          <w:b/>
          <w:kern w:val="44"/>
        </w:rPr>
        <w:t>第十六条</w:t>
      </w:r>
      <w:r>
        <w:rPr>
          <w:rFonts w:hint="eastAsia" w:ascii="宋体" w:hAnsi="宋体"/>
          <w:kern w:val="44"/>
        </w:rPr>
        <w:t>　综合档案馆收集档案的范围，由市档案行政管理部门确定后实施。</w:t>
      </w:r>
    </w:p>
    <w:p w14:paraId="5F594474">
      <w:pPr>
        <w:jc w:val="left"/>
        <w:rPr>
          <w:rFonts w:ascii="宋体" w:hAnsi="宋体"/>
          <w:kern w:val="44"/>
        </w:rPr>
      </w:pPr>
      <w:r>
        <w:rPr>
          <w:rFonts w:hint="eastAsia" w:ascii="宋体" w:hAnsi="宋体"/>
          <w:kern w:val="44"/>
        </w:rPr>
        <w:t>专门档案馆收集档案的范围，由市有关主管部门制订，经市档案行政管理部门审核批准后实施。</w:t>
      </w:r>
    </w:p>
    <w:p w14:paraId="5B3D07F8">
      <w:pPr>
        <w:ind w:firstLine="422"/>
        <w:jc w:val="left"/>
        <w:rPr>
          <w:rFonts w:ascii="宋体" w:hAnsi="宋体"/>
          <w:kern w:val="44"/>
        </w:rPr>
      </w:pPr>
      <w:r>
        <w:rPr>
          <w:rFonts w:hint="eastAsia" w:ascii="宋体" w:hAnsi="宋体"/>
          <w:b/>
          <w:kern w:val="44"/>
        </w:rPr>
        <w:t>第十七条</w:t>
      </w:r>
      <w:r>
        <w:rPr>
          <w:rFonts w:hint="eastAsia" w:ascii="宋体" w:hAnsi="宋体"/>
          <w:kern w:val="44"/>
        </w:rPr>
        <w:t>　各单位应当按照下列规定向有关档案馆移交档案：</w:t>
      </w:r>
    </w:p>
    <w:p w14:paraId="6762564A">
      <w:pPr>
        <w:jc w:val="left"/>
        <w:rPr>
          <w:rFonts w:ascii="宋体" w:hAnsi="宋体"/>
          <w:kern w:val="44"/>
        </w:rPr>
      </w:pPr>
      <w:r>
        <w:rPr>
          <w:rFonts w:hint="eastAsia" w:ascii="宋体" w:hAnsi="宋体"/>
          <w:kern w:val="44"/>
        </w:rPr>
        <w:t>（一）列入市综合档案馆收集范围的档案，自形成之日起满20年，向市综合档案馆移交；</w:t>
      </w:r>
    </w:p>
    <w:p w14:paraId="7B7C2D1D">
      <w:pPr>
        <w:jc w:val="left"/>
        <w:rPr>
          <w:rFonts w:ascii="宋体" w:hAnsi="宋体"/>
          <w:kern w:val="44"/>
        </w:rPr>
      </w:pPr>
      <w:r>
        <w:rPr>
          <w:rFonts w:hint="eastAsia" w:ascii="宋体" w:hAnsi="宋体"/>
          <w:kern w:val="44"/>
        </w:rPr>
        <w:t>（二）列入区、县综合档案馆收集范围的档案，自形成之日起满10年，向区、县综合档案馆移交；</w:t>
      </w:r>
    </w:p>
    <w:p w14:paraId="014AC25E">
      <w:pPr>
        <w:jc w:val="left"/>
        <w:rPr>
          <w:rFonts w:ascii="宋体" w:hAnsi="宋体"/>
          <w:kern w:val="44"/>
        </w:rPr>
      </w:pPr>
      <w:r>
        <w:rPr>
          <w:rFonts w:hint="eastAsia" w:ascii="宋体" w:hAnsi="宋体"/>
          <w:kern w:val="44"/>
        </w:rPr>
        <w:t>（三）列入专门档案馆收集范围的档案，按照国家和本市有关专门档案接收年限的规定，向专门档案馆移交；</w:t>
      </w:r>
    </w:p>
    <w:p w14:paraId="29CA6D93">
      <w:pPr>
        <w:jc w:val="left"/>
        <w:rPr>
          <w:rFonts w:ascii="宋体" w:hAnsi="宋体"/>
          <w:kern w:val="44"/>
        </w:rPr>
      </w:pPr>
      <w:r>
        <w:rPr>
          <w:rFonts w:hint="eastAsia" w:ascii="宋体" w:hAnsi="宋体"/>
          <w:kern w:val="44"/>
        </w:rPr>
        <w:t>（四）重大活动的组织机构应当做好档案管理工作，对活动中形成的档案及时整理、归档，并在活动结束后6个月内将档案移交相应的综合档案馆。</w:t>
      </w:r>
    </w:p>
    <w:p w14:paraId="06FB2FFC">
      <w:pPr>
        <w:jc w:val="left"/>
        <w:rPr>
          <w:rFonts w:ascii="宋体" w:hAnsi="宋体"/>
          <w:kern w:val="44"/>
        </w:rPr>
      </w:pPr>
      <w:r>
        <w:rPr>
          <w:rFonts w:hint="eastAsia" w:ascii="宋体" w:hAnsi="宋体"/>
          <w:kern w:val="44"/>
        </w:rPr>
        <w:t>因特殊情况需要变更档案移交期限的，应当经同级档案行政管理部门批准。</w:t>
      </w:r>
    </w:p>
    <w:p w14:paraId="100FC9C8">
      <w:pPr>
        <w:jc w:val="left"/>
        <w:rPr>
          <w:rFonts w:ascii="宋体" w:hAnsi="宋体"/>
          <w:kern w:val="44"/>
        </w:rPr>
      </w:pPr>
      <w:r>
        <w:rPr>
          <w:rFonts w:hint="eastAsia" w:ascii="宋体" w:hAnsi="宋体"/>
          <w:kern w:val="44"/>
        </w:rPr>
        <w:t>对向档案馆移交档案的范围和技术要求有异议的，由同级档案行政管理部门进行裁决，裁决结果书面通知当事人。</w:t>
      </w:r>
    </w:p>
    <w:p w14:paraId="55E4C3B9">
      <w:pPr>
        <w:ind w:firstLine="422"/>
        <w:jc w:val="left"/>
        <w:rPr>
          <w:rFonts w:ascii="宋体" w:hAnsi="宋体"/>
          <w:kern w:val="44"/>
        </w:rPr>
      </w:pPr>
      <w:r>
        <w:rPr>
          <w:rFonts w:hint="eastAsia" w:ascii="宋体" w:hAnsi="宋体"/>
          <w:b/>
          <w:kern w:val="44"/>
        </w:rPr>
        <w:t>第十八条</w:t>
      </w:r>
      <w:r>
        <w:rPr>
          <w:rFonts w:hint="eastAsia" w:ascii="宋体" w:hAnsi="宋体"/>
          <w:kern w:val="44"/>
        </w:rPr>
        <w:t>　综合档案馆、专门档案馆和单位档案机构应当建立健全档案管理制度，配置适宜保管、开发利用档案的专门库房和设施，采用先进技术，按照国家有关规定接收、整理、保管档案，加强对档案库房有害物质的防治，及时消除不安全因素，确保档案的完整与安全。</w:t>
      </w:r>
    </w:p>
    <w:p w14:paraId="0D260E4A">
      <w:pPr>
        <w:ind w:firstLine="422"/>
        <w:jc w:val="left"/>
        <w:rPr>
          <w:rFonts w:ascii="宋体" w:hAnsi="宋体"/>
          <w:kern w:val="44"/>
        </w:rPr>
      </w:pPr>
      <w:r>
        <w:rPr>
          <w:rFonts w:hint="eastAsia" w:ascii="宋体" w:hAnsi="宋体"/>
          <w:b/>
          <w:kern w:val="44"/>
        </w:rPr>
        <w:t>第十九条</w:t>
      </w:r>
      <w:r>
        <w:rPr>
          <w:rFonts w:hint="eastAsia" w:ascii="宋体" w:hAnsi="宋体"/>
          <w:kern w:val="44"/>
        </w:rPr>
        <w:t>　市有关主管部门制订的本专业档案管理的业务标准和技术规范，应当经市档案行政管理部门审核批准后实施。</w:t>
      </w:r>
    </w:p>
    <w:p w14:paraId="2FFC80DE">
      <w:pPr>
        <w:ind w:firstLine="422"/>
        <w:jc w:val="left"/>
        <w:rPr>
          <w:rFonts w:ascii="宋体" w:hAnsi="宋体"/>
          <w:kern w:val="44"/>
        </w:rPr>
      </w:pPr>
      <w:r>
        <w:rPr>
          <w:rFonts w:hint="eastAsia" w:ascii="宋体" w:hAnsi="宋体"/>
          <w:b/>
          <w:kern w:val="44"/>
        </w:rPr>
        <w:t>第二十条</w:t>
      </w:r>
      <w:r>
        <w:rPr>
          <w:rFonts w:hint="eastAsia" w:ascii="宋体" w:hAnsi="宋体"/>
          <w:kern w:val="44"/>
        </w:rPr>
        <w:t>　综合档案馆、专门档案馆和单位档案机构应当定期对档案进行鉴定，对失去保存价值的档案列出销毁清册，按照国家有关规定予以销毁。禁止擅自销毁档案。</w:t>
      </w:r>
    </w:p>
    <w:p w14:paraId="43593AFC">
      <w:pPr>
        <w:ind w:firstLine="422"/>
        <w:jc w:val="left"/>
        <w:rPr>
          <w:rFonts w:ascii="宋体" w:hAnsi="宋体"/>
          <w:kern w:val="44"/>
        </w:rPr>
      </w:pPr>
      <w:r>
        <w:rPr>
          <w:rFonts w:hint="eastAsia" w:ascii="宋体" w:hAnsi="宋体"/>
          <w:b/>
          <w:kern w:val="44"/>
        </w:rPr>
        <w:t>第二十一条</w:t>
      </w:r>
      <w:r>
        <w:rPr>
          <w:rFonts w:hint="eastAsia" w:ascii="宋体" w:hAnsi="宋体"/>
          <w:kern w:val="44"/>
        </w:rPr>
        <w:t>　禁止出卖属于国家所有的档案。</w:t>
      </w:r>
    </w:p>
    <w:p w14:paraId="1EE9E6ED">
      <w:pPr>
        <w:jc w:val="left"/>
        <w:rPr>
          <w:rFonts w:ascii="宋体" w:hAnsi="宋体"/>
          <w:kern w:val="44"/>
        </w:rPr>
      </w:pPr>
      <w:r>
        <w:rPr>
          <w:rFonts w:hint="eastAsia" w:ascii="宋体" w:hAnsi="宋体"/>
          <w:kern w:val="44"/>
        </w:rPr>
        <w:t>国有企业和事业单位资产转让时，按照国家有关规定转让档案。</w:t>
      </w:r>
    </w:p>
    <w:p w14:paraId="504854B1">
      <w:pPr>
        <w:jc w:val="left"/>
        <w:rPr>
          <w:rFonts w:ascii="宋体" w:hAnsi="宋体"/>
          <w:kern w:val="44"/>
        </w:rPr>
      </w:pPr>
      <w:r>
        <w:rPr>
          <w:rFonts w:hint="eastAsia" w:ascii="宋体" w:hAnsi="宋体"/>
          <w:kern w:val="44"/>
        </w:rPr>
        <w:t>档案复制件的交换、转让和出卖，按照国家规定办理。</w:t>
      </w:r>
    </w:p>
    <w:p w14:paraId="5797FCF1">
      <w:pPr>
        <w:ind w:firstLine="422"/>
        <w:jc w:val="left"/>
        <w:rPr>
          <w:rFonts w:ascii="宋体" w:hAnsi="宋体"/>
          <w:kern w:val="44"/>
        </w:rPr>
      </w:pPr>
      <w:r>
        <w:rPr>
          <w:rFonts w:hint="eastAsia" w:ascii="宋体" w:hAnsi="宋体"/>
          <w:b/>
          <w:kern w:val="44"/>
        </w:rPr>
        <w:t>第二十二条</w:t>
      </w:r>
      <w:r>
        <w:rPr>
          <w:rFonts w:hint="eastAsia" w:ascii="宋体" w:hAnsi="宋体"/>
          <w:kern w:val="44"/>
        </w:rPr>
        <w:t>　集体所有的和个人所有的以及其他不属于国家所有的对国家和社会具有保存价值的或者应当保密的档案，档案所有者可以向综合档案馆或者专门档案馆寄存、捐赠或者出卖。寄存在档案馆的档案，其所有权属于寄存者。</w:t>
      </w:r>
    </w:p>
    <w:p w14:paraId="52C9FF48">
      <w:pPr>
        <w:jc w:val="left"/>
        <w:rPr>
          <w:rFonts w:ascii="宋体" w:hAnsi="宋体"/>
          <w:kern w:val="44"/>
        </w:rPr>
      </w:pPr>
      <w:r>
        <w:rPr>
          <w:rFonts w:hint="eastAsia" w:ascii="宋体" w:hAnsi="宋体"/>
          <w:kern w:val="44"/>
        </w:rPr>
        <w:t>前款所列档案，因保管条件恶劣或者其他原因可能导致档案损毁和不安全的，经市或者区、县档案行政管理部门批准，可以由综合档案馆和专门档案馆代为保管，必要时可以收购或者征购。</w:t>
      </w:r>
    </w:p>
    <w:p w14:paraId="18454852">
      <w:pPr>
        <w:ind w:firstLine="422"/>
        <w:jc w:val="left"/>
        <w:rPr>
          <w:rFonts w:ascii="宋体" w:hAnsi="宋体"/>
          <w:kern w:val="44"/>
        </w:rPr>
      </w:pPr>
      <w:r>
        <w:rPr>
          <w:rFonts w:hint="eastAsia" w:ascii="宋体" w:hAnsi="宋体"/>
          <w:b/>
          <w:kern w:val="44"/>
        </w:rPr>
        <w:t>第二十三条</w:t>
      </w:r>
      <w:r>
        <w:rPr>
          <w:rFonts w:hint="eastAsia" w:ascii="宋体" w:hAnsi="宋体"/>
          <w:kern w:val="44"/>
        </w:rPr>
        <w:t>　向综合档案馆和专门档案馆以外的任何单位和个人出卖集体所有、个人所有的以及其他不属于国家所有的对国家和社会具有保存价值或者应当保密的档案及其复制件的，应当按照有关规定由市或者区、县档案行政管理部门审查批准。严禁倒卖牟利，严禁卖给或者赠送给外国人。</w:t>
      </w:r>
    </w:p>
    <w:p w14:paraId="0631EFED">
      <w:pPr>
        <w:ind w:firstLine="422"/>
        <w:jc w:val="left"/>
        <w:rPr>
          <w:rFonts w:ascii="宋体" w:hAnsi="宋体"/>
          <w:kern w:val="44"/>
        </w:rPr>
      </w:pPr>
      <w:r>
        <w:rPr>
          <w:rFonts w:hint="eastAsia" w:ascii="宋体" w:hAnsi="宋体"/>
          <w:b/>
          <w:kern w:val="44"/>
        </w:rPr>
        <w:t>第二十四条</w:t>
      </w:r>
      <w:r>
        <w:rPr>
          <w:rFonts w:hint="eastAsia" w:ascii="宋体" w:hAnsi="宋体"/>
          <w:kern w:val="44"/>
        </w:rPr>
        <w:t>　单位需要携带、运输、邮寄档案及其复制件出境的，应当经市有关主管部门同意并报市档案行政管理部门批准，海关凭批准文件放行。</w:t>
      </w:r>
    </w:p>
    <w:p w14:paraId="6A558F4D">
      <w:pPr>
        <w:jc w:val="left"/>
        <w:rPr>
          <w:rFonts w:ascii="宋体" w:hAnsi="宋体"/>
          <w:kern w:val="44"/>
        </w:rPr>
      </w:pPr>
      <w:r>
        <w:rPr>
          <w:rFonts w:hint="eastAsia" w:ascii="宋体" w:hAnsi="宋体"/>
          <w:kern w:val="44"/>
        </w:rPr>
        <w:t>个人需要携带、运输、邮寄对国家和社会具有保存价值或者应当保密的档案及其复制件出境的，应当在三十日前向市档案行政管理部门申报，市档案行政管理部门自受理之日起七日内作出审批决定，海关凭批准文件放行。</w:t>
      </w:r>
    </w:p>
    <w:p w14:paraId="7D7B81FC">
      <w:pPr>
        <w:jc w:val="left"/>
        <w:rPr>
          <w:rFonts w:ascii="宋体" w:hAnsi="宋体"/>
          <w:kern w:val="44"/>
        </w:rPr>
      </w:pPr>
    </w:p>
    <w:p w14:paraId="258EF507">
      <w:pPr>
        <w:ind w:firstLine="0" w:firstLineChars="0"/>
        <w:jc w:val="center"/>
        <w:rPr>
          <w:rFonts w:ascii="宋体" w:hAnsi="宋体"/>
          <w:b/>
          <w:kern w:val="44"/>
          <w:sz w:val="28"/>
        </w:rPr>
      </w:pPr>
      <w:r>
        <w:rPr>
          <w:rFonts w:hint="eastAsia" w:ascii="宋体" w:hAnsi="宋体"/>
          <w:b/>
          <w:kern w:val="44"/>
          <w:sz w:val="28"/>
        </w:rPr>
        <w:t>第四章  档案的利用与公布</w:t>
      </w:r>
    </w:p>
    <w:p w14:paraId="287BEBAA">
      <w:pPr>
        <w:jc w:val="left"/>
        <w:rPr>
          <w:rFonts w:ascii="宋体" w:hAnsi="宋体"/>
          <w:kern w:val="44"/>
        </w:rPr>
      </w:pPr>
    </w:p>
    <w:p w14:paraId="31288F1E">
      <w:pPr>
        <w:ind w:firstLine="422"/>
        <w:jc w:val="left"/>
        <w:rPr>
          <w:rFonts w:ascii="宋体" w:hAnsi="宋体"/>
          <w:kern w:val="44"/>
        </w:rPr>
      </w:pPr>
      <w:r>
        <w:rPr>
          <w:rFonts w:hint="eastAsia" w:ascii="宋体" w:hAnsi="宋体"/>
          <w:b/>
          <w:kern w:val="44"/>
        </w:rPr>
        <w:t>第二十五条</w:t>
      </w:r>
      <w:r>
        <w:rPr>
          <w:rFonts w:hint="eastAsia" w:ascii="宋体" w:hAnsi="宋体"/>
          <w:kern w:val="44"/>
        </w:rPr>
        <w:t>　综合档案馆和专门档案馆应当按照国家有关规定向社会开放档案，定期公布开放档案的目录。</w:t>
      </w:r>
    </w:p>
    <w:p w14:paraId="7ECE9778">
      <w:pPr>
        <w:ind w:firstLine="422"/>
        <w:jc w:val="left"/>
        <w:rPr>
          <w:rFonts w:ascii="宋体" w:hAnsi="宋体"/>
          <w:kern w:val="44"/>
        </w:rPr>
      </w:pPr>
      <w:r>
        <w:rPr>
          <w:rFonts w:hint="eastAsia" w:ascii="宋体" w:hAnsi="宋体"/>
          <w:b/>
          <w:kern w:val="44"/>
        </w:rPr>
        <w:t>第二十六条</w:t>
      </w:r>
      <w:r>
        <w:rPr>
          <w:rFonts w:hint="eastAsia" w:ascii="宋体" w:hAnsi="宋体"/>
          <w:kern w:val="44"/>
        </w:rPr>
        <w:t>　综合档案馆、专门档案馆和单位档案机构，应当为档案的利用创造条件，简化手续，提供方便。</w:t>
      </w:r>
    </w:p>
    <w:p w14:paraId="24A21F2C">
      <w:pPr>
        <w:ind w:firstLine="422"/>
        <w:jc w:val="left"/>
        <w:rPr>
          <w:rFonts w:ascii="宋体" w:hAnsi="宋体"/>
          <w:kern w:val="44"/>
        </w:rPr>
      </w:pPr>
      <w:r>
        <w:rPr>
          <w:rFonts w:hint="eastAsia" w:ascii="宋体" w:hAnsi="宋体"/>
          <w:b/>
          <w:kern w:val="44"/>
        </w:rPr>
        <w:t>第二十七条</w:t>
      </w:r>
      <w:r>
        <w:rPr>
          <w:rFonts w:hint="eastAsia" w:ascii="宋体" w:hAnsi="宋体"/>
          <w:kern w:val="44"/>
        </w:rPr>
        <w:t>　单位和公民持有介绍信或者身份证、工作证等合法证明，可以利用综合档案馆和专门档案馆开放的档案。利用综合档案馆和专门档案馆未开放的档案和单位档案机构保管的档案，须经档案保管单位同意。</w:t>
      </w:r>
    </w:p>
    <w:p w14:paraId="05A4B828">
      <w:pPr>
        <w:jc w:val="left"/>
        <w:rPr>
          <w:rFonts w:ascii="宋体" w:hAnsi="宋体"/>
          <w:kern w:val="44"/>
        </w:rPr>
      </w:pPr>
      <w:r>
        <w:rPr>
          <w:rFonts w:hint="eastAsia" w:ascii="宋体" w:hAnsi="宋体"/>
          <w:kern w:val="44"/>
        </w:rPr>
        <w:t>外国组织和个人需要利用开放档案的，须经我国有关主管部门介绍以及其前往的档案馆的同意。</w:t>
      </w:r>
    </w:p>
    <w:p w14:paraId="12D08893">
      <w:pPr>
        <w:jc w:val="left"/>
        <w:rPr>
          <w:rFonts w:ascii="宋体" w:hAnsi="宋体"/>
          <w:kern w:val="44"/>
        </w:rPr>
      </w:pPr>
      <w:r>
        <w:rPr>
          <w:rFonts w:hint="eastAsia" w:ascii="宋体" w:hAnsi="宋体"/>
          <w:kern w:val="44"/>
        </w:rPr>
        <w:t>载有档案保管单位法定代表人的签名或者印章标记的档案复制件，具有与档案原件同等的效力。</w:t>
      </w:r>
    </w:p>
    <w:p w14:paraId="79AEC5FF">
      <w:pPr>
        <w:ind w:firstLine="422"/>
        <w:jc w:val="left"/>
        <w:rPr>
          <w:rFonts w:ascii="宋体" w:hAnsi="宋体"/>
          <w:kern w:val="44"/>
        </w:rPr>
      </w:pPr>
      <w:r>
        <w:rPr>
          <w:rFonts w:hint="eastAsia" w:ascii="宋体" w:hAnsi="宋体"/>
          <w:b/>
          <w:kern w:val="44"/>
        </w:rPr>
        <w:t>第二十八条</w:t>
      </w:r>
      <w:r>
        <w:rPr>
          <w:rFonts w:hint="eastAsia" w:ascii="宋体" w:hAnsi="宋体"/>
          <w:kern w:val="44"/>
        </w:rPr>
        <w:t>　向档案馆移交、捐赠、寄存档案的单位和个人，对其档案享有优先利用权，并可对其档案中不宜向社会开放的部分提出限制利用的意见，档案馆应当维护他们的合法权益。</w:t>
      </w:r>
    </w:p>
    <w:p w14:paraId="53F273B4">
      <w:pPr>
        <w:ind w:firstLine="422"/>
        <w:jc w:val="left"/>
        <w:rPr>
          <w:rFonts w:ascii="宋体" w:hAnsi="宋体"/>
          <w:kern w:val="44"/>
        </w:rPr>
      </w:pPr>
      <w:r>
        <w:rPr>
          <w:rFonts w:hint="eastAsia" w:ascii="宋体" w:hAnsi="宋体"/>
          <w:b/>
          <w:kern w:val="44"/>
        </w:rPr>
        <w:t>第二十九条</w:t>
      </w:r>
      <w:r>
        <w:rPr>
          <w:rFonts w:hint="eastAsia" w:ascii="宋体" w:hAnsi="宋体"/>
          <w:kern w:val="44"/>
        </w:rPr>
        <w:t>　属于综合档案馆和专门档案馆保管的档案，由本档案馆或者国家授权的有关机关公布；未经档案馆或者有关机关同意，任何组织和个人无权公布。</w:t>
      </w:r>
    </w:p>
    <w:p w14:paraId="322719C2">
      <w:pPr>
        <w:jc w:val="left"/>
        <w:rPr>
          <w:rFonts w:ascii="宋体" w:hAnsi="宋体"/>
          <w:kern w:val="44"/>
        </w:rPr>
      </w:pPr>
      <w:r>
        <w:rPr>
          <w:rFonts w:hint="eastAsia" w:ascii="宋体" w:hAnsi="宋体"/>
          <w:kern w:val="44"/>
        </w:rPr>
        <w:t>集体所有的和个人所有的以及其他不属于国家所有的档案，档案的所有者有权公布，</w:t>
      </w:r>
    </w:p>
    <w:p w14:paraId="08D8DDE2">
      <w:pPr>
        <w:jc w:val="left"/>
        <w:rPr>
          <w:rFonts w:ascii="宋体" w:hAnsi="宋体"/>
          <w:kern w:val="44"/>
        </w:rPr>
      </w:pPr>
      <w:r>
        <w:rPr>
          <w:rFonts w:hint="eastAsia" w:ascii="宋体" w:hAnsi="宋体"/>
          <w:kern w:val="44"/>
        </w:rPr>
        <w:t>但必须遵守国家的有关规定，不得损害国家安全和利益，不得侵犯他人的合法权益。</w:t>
      </w:r>
    </w:p>
    <w:p w14:paraId="39BE82D3">
      <w:pPr>
        <w:ind w:firstLine="422"/>
        <w:jc w:val="left"/>
        <w:rPr>
          <w:rFonts w:ascii="宋体" w:hAnsi="宋体"/>
          <w:kern w:val="44"/>
        </w:rPr>
      </w:pPr>
      <w:r>
        <w:rPr>
          <w:rFonts w:hint="eastAsia" w:ascii="宋体" w:hAnsi="宋体"/>
          <w:b/>
          <w:kern w:val="44"/>
        </w:rPr>
        <w:t>第三十条</w:t>
      </w:r>
      <w:r>
        <w:rPr>
          <w:rFonts w:hint="eastAsia" w:ascii="宋体" w:hAnsi="宋体"/>
          <w:kern w:val="44"/>
        </w:rPr>
        <w:t>　综合档案馆、专门档案馆和单位档案机构应当加强档案的研究，编辑出版档案史料，举办档案展览等项活动，充分发挥档案的社会效益。</w:t>
      </w:r>
    </w:p>
    <w:p w14:paraId="637FDB95">
      <w:pPr>
        <w:jc w:val="left"/>
        <w:rPr>
          <w:rFonts w:ascii="宋体" w:hAnsi="宋体"/>
          <w:kern w:val="44"/>
        </w:rPr>
      </w:pPr>
      <w:r>
        <w:rPr>
          <w:rFonts w:hint="eastAsia" w:ascii="宋体" w:hAnsi="宋体"/>
          <w:kern w:val="44"/>
        </w:rPr>
        <w:t>综合档案馆和专门档案馆应当发挥爱国主义教育基地的作用，利用馆藏档案资源，面向社会开展各种形式的爱国主义、革命传统教育和国情、市情、区情、县情教育。</w:t>
      </w:r>
    </w:p>
    <w:p w14:paraId="64153A07">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市综合档案馆应当建立全市性的档案资料目录中心，为利用者提供检索服务。专门档案馆和区、县综合档案馆以及单位档案机构按照有关规定向市综合档案馆报送档案资料目录。</w:t>
      </w:r>
    </w:p>
    <w:p w14:paraId="766F6B0E">
      <w:pPr>
        <w:jc w:val="left"/>
        <w:rPr>
          <w:rFonts w:ascii="宋体" w:hAnsi="宋体"/>
          <w:kern w:val="44"/>
        </w:rPr>
      </w:pPr>
      <w:r>
        <w:rPr>
          <w:rFonts w:hint="eastAsia" w:ascii="宋体" w:hAnsi="宋体"/>
          <w:kern w:val="44"/>
        </w:rPr>
        <w:t>本市逐步建立综合档案馆、专门档案馆和单位档案机构相互联通、信息共享的档案信息网络。</w:t>
      </w:r>
    </w:p>
    <w:p w14:paraId="3746F0C0">
      <w:pPr>
        <w:ind w:firstLine="422"/>
        <w:jc w:val="left"/>
        <w:rPr>
          <w:rFonts w:ascii="宋体" w:hAnsi="宋体"/>
          <w:kern w:val="44"/>
        </w:rPr>
      </w:pPr>
      <w:r>
        <w:rPr>
          <w:rFonts w:hint="eastAsia" w:ascii="宋体" w:hAnsi="宋体"/>
          <w:b/>
          <w:kern w:val="44"/>
        </w:rPr>
        <w:t>第三十二条</w:t>
      </w:r>
      <w:r>
        <w:rPr>
          <w:rFonts w:hint="eastAsia" w:ascii="宋体" w:hAnsi="宋体"/>
          <w:kern w:val="44"/>
        </w:rPr>
        <w:t>　单位或者个人可以无偿利用其移交、捐赠、寄存在档案馆的档案；利用其他档案的，应当按照国家和本市的有关规定缴纳费用。</w:t>
      </w:r>
    </w:p>
    <w:p w14:paraId="6E98D813">
      <w:pPr>
        <w:jc w:val="left"/>
        <w:rPr>
          <w:rFonts w:ascii="宋体" w:hAnsi="宋体"/>
          <w:kern w:val="44"/>
        </w:rPr>
      </w:pPr>
    </w:p>
    <w:p w14:paraId="464F6999">
      <w:pPr>
        <w:ind w:firstLine="0" w:firstLineChars="0"/>
        <w:jc w:val="center"/>
        <w:rPr>
          <w:rFonts w:ascii="宋体" w:hAnsi="宋体"/>
          <w:b/>
          <w:kern w:val="44"/>
          <w:sz w:val="28"/>
        </w:rPr>
      </w:pPr>
      <w:r>
        <w:rPr>
          <w:rFonts w:hint="eastAsia" w:ascii="宋体" w:hAnsi="宋体"/>
          <w:b/>
          <w:kern w:val="44"/>
          <w:sz w:val="28"/>
        </w:rPr>
        <w:t>第五章  奖励与处罚</w:t>
      </w:r>
    </w:p>
    <w:p w14:paraId="7F352875">
      <w:pPr>
        <w:jc w:val="left"/>
        <w:rPr>
          <w:rFonts w:ascii="宋体" w:hAnsi="宋体"/>
          <w:kern w:val="44"/>
        </w:rPr>
      </w:pPr>
    </w:p>
    <w:p w14:paraId="73A3F96E">
      <w:pPr>
        <w:ind w:firstLine="422"/>
        <w:jc w:val="left"/>
        <w:rPr>
          <w:rFonts w:ascii="宋体" w:hAnsi="宋体"/>
          <w:kern w:val="44"/>
        </w:rPr>
      </w:pPr>
      <w:r>
        <w:rPr>
          <w:rFonts w:hint="eastAsia" w:ascii="宋体" w:hAnsi="宋体"/>
          <w:b/>
          <w:kern w:val="44"/>
        </w:rPr>
        <w:t>第三十三条</w:t>
      </w:r>
      <w:r>
        <w:rPr>
          <w:rFonts w:hint="eastAsia" w:ascii="宋体" w:hAnsi="宋体"/>
          <w:kern w:val="44"/>
        </w:rPr>
        <w:t>　市和区、县人民政府，有关主管部门和企业事业单位对有下列情形之一的档案机构、档案工作人员和其他组织与个人予以奖励：</w:t>
      </w:r>
    </w:p>
    <w:p w14:paraId="0EF48061">
      <w:pPr>
        <w:jc w:val="left"/>
        <w:rPr>
          <w:rFonts w:ascii="宋体" w:hAnsi="宋体"/>
          <w:kern w:val="44"/>
        </w:rPr>
      </w:pPr>
      <w:r>
        <w:rPr>
          <w:rFonts w:hint="eastAsia" w:ascii="宋体" w:hAnsi="宋体"/>
          <w:kern w:val="44"/>
        </w:rPr>
        <w:t>（一）在档案的收集、整理、保护和提供利用等方面成绩突出的；</w:t>
      </w:r>
    </w:p>
    <w:p w14:paraId="4BAE67F5">
      <w:pPr>
        <w:jc w:val="left"/>
        <w:rPr>
          <w:rFonts w:ascii="宋体" w:hAnsi="宋体"/>
          <w:kern w:val="44"/>
        </w:rPr>
      </w:pPr>
      <w:r>
        <w:rPr>
          <w:rFonts w:hint="eastAsia" w:ascii="宋体" w:hAnsi="宋体"/>
          <w:kern w:val="44"/>
        </w:rPr>
        <w:t>（二）在档案学研究中做出重要贡献的；</w:t>
      </w:r>
    </w:p>
    <w:p w14:paraId="5A7118BE">
      <w:pPr>
        <w:jc w:val="left"/>
        <w:rPr>
          <w:rFonts w:ascii="宋体" w:hAnsi="宋体"/>
          <w:kern w:val="44"/>
        </w:rPr>
      </w:pPr>
      <w:r>
        <w:rPr>
          <w:rFonts w:hint="eastAsia" w:ascii="宋体" w:hAnsi="宋体"/>
          <w:kern w:val="44"/>
        </w:rPr>
        <w:t>（三）将重要或者珍贵的档案捐献给国家的；</w:t>
      </w:r>
    </w:p>
    <w:p w14:paraId="32B9ABDD">
      <w:pPr>
        <w:jc w:val="left"/>
        <w:rPr>
          <w:rFonts w:ascii="宋体" w:hAnsi="宋体"/>
          <w:kern w:val="44"/>
        </w:rPr>
      </w:pPr>
      <w:r>
        <w:rPr>
          <w:rFonts w:hint="eastAsia" w:ascii="宋体" w:hAnsi="宋体"/>
          <w:kern w:val="44"/>
        </w:rPr>
        <w:t>（四）举报、制止档案违法行为，查处档案违法案件表现突出的；</w:t>
      </w:r>
    </w:p>
    <w:p w14:paraId="7D969AD4">
      <w:pPr>
        <w:jc w:val="left"/>
        <w:rPr>
          <w:rFonts w:ascii="宋体" w:hAnsi="宋体"/>
          <w:kern w:val="44"/>
        </w:rPr>
      </w:pPr>
      <w:r>
        <w:rPr>
          <w:rFonts w:hint="eastAsia" w:ascii="宋体" w:hAnsi="宋体"/>
          <w:kern w:val="44"/>
        </w:rPr>
        <w:t>（五）热心资助档案事业事迹突出的；</w:t>
      </w:r>
    </w:p>
    <w:p w14:paraId="2FB132B6">
      <w:pPr>
        <w:jc w:val="left"/>
        <w:rPr>
          <w:rFonts w:ascii="宋体" w:hAnsi="宋体"/>
          <w:kern w:val="44"/>
        </w:rPr>
      </w:pPr>
      <w:r>
        <w:rPr>
          <w:rFonts w:hint="eastAsia" w:ascii="宋体" w:hAnsi="宋体"/>
          <w:kern w:val="44"/>
        </w:rPr>
        <w:t>（六）在其他方面对档案事业做出突出贡献的。</w:t>
      </w:r>
    </w:p>
    <w:p w14:paraId="79EF3523">
      <w:pPr>
        <w:ind w:firstLine="422"/>
        <w:jc w:val="left"/>
        <w:rPr>
          <w:rFonts w:ascii="宋体" w:hAnsi="宋体"/>
          <w:kern w:val="44"/>
        </w:rPr>
      </w:pPr>
      <w:r>
        <w:rPr>
          <w:rFonts w:hint="eastAsia" w:ascii="宋体" w:hAnsi="宋体"/>
          <w:b/>
          <w:kern w:val="44"/>
        </w:rPr>
        <w:t>第三十四条</w:t>
      </w:r>
      <w:r>
        <w:rPr>
          <w:rFonts w:hint="eastAsia" w:ascii="宋体" w:hAnsi="宋体"/>
          <w:kern w:val="44"/>
        </w:rPr>
        <w:t>　有下列行为之一的，由市或者区、县档案行政管理部门、有关主管部门对直接负责的主管人员或者其他直接责任人员依法给予行政处分；构成犯罪的，依法追究刑事责任：</w:t>
      </w:r>
    </w:p>
    <w:p w14:paraId="3A2E39B6">
      <w:pPr>
        <w:jc w:val="left"/>
        <w:rPr>
          <w:rFonts w:ascii="宋体" w:hAnsi="宋体"/>
          <w:kern w:val="44"/>
        </w:rPr>
      </w:pPr>
      <w:r>
        <w:rPr>
          <w:rFonts w:hint="eastAsia" w:ascii="宋体" w:hAnsi="宋体"/>
          <w:kern w:val="44"/>
        </w:rPr>
        <w:t>（一）损毁、丢失属于国家所有的档案的；</w:t>
      </w:r>
    </w:p>
    <w:p w14:paraId="26D2AE42">
      <w:pPr>
        <w:jc w:val="left"/>
        <w:rPr>
          <w:rFonts w:ascii="宋体" w:hAnsi="宋体"/>
          <w:kern w:val="44"/>
        </w:rPr>
      </w:pPr>
      <w:r>
        <w:rPr>
          <w:rFonts w:hint="eastAsia" w:ascii="宋体" w:hAnsi="宋体"/>
          <w:kern w:val="44"/>
        </w:rPr>
        <w:t>（二）擅自提供、抄录、公布、销毁属于国家所有的档案的；</w:t>
      </w:r>
    </w:p>
    <w:p w14:paraId="50218DFA">
      <w:pPr>
        <w:jc w:val="left"/>
        <w:rPr>
          <w:rFonts w:ascii="宋体" w:hAnsi="宋体"/>
          <w:kern w:val="44"/>
        </w:rPr>
      </w:pPr>
      <w:r>
        <w:rPr>
          <w:rFonts w:hint="eastAsia" w:ascii="宋体" w:hAnsi="宋体"/>
          <w:kern w:val="44"/>
        </w:rPr>
        <w:t>（三）涂改、伪造档案的；</w:t>
      </w:r>
    </w:p>
    <w:p w14:paraId="009364E3">
      <w:pPr>
        <w:jc w:val="left"/>
        <w:rPr>
          <w:rFonts w:ascii="宋体" w:hAnsi="宋体"/>
          <w:kern w:val="44"/>
        </w:rPr>
      </w:pPr>
      <w:r>
        <w:rPr>
          <w:rFonts w:hint="eastAsia" w:ascii="宋体" w:hAnsi="宋体"/>
          <w:kern w:val="44"/>
        </w:rPr>
        <w:t>（四）擅自出卖或者转让国家所有的档案及集体所有、个人所有的以及其他不属于国家所有的对国家和社会具有保存价值或者应当保密的档案的；</w:t>
      </w:r>
    </w:p>
    <w:p w14:paraId="69359484">
      <w:pPr>
        <w:jc w:val="left"/>
        <w:rPr>
          <w:rFonts w:ascii="宋体" w:hAnsi="宋体"/>
          <w:kern w:val="44"/>
        </w:rPr>
      </w:pPr>
      <w:r>
        <w:rPr>
          <w:rFonts w:hint="eastAsia" w:ascii="宋体" w:hAnsi="宋体"/>
          <w:kern w:val="44"/>
        </w:rPr>
        <w:t>（五）倒卖档案牟利或者将档案卖给、赠送给外国人的；</w:t>
      </w:r>
    </w:p>
    <w:p w14:paraId="3787342B">
      <w:pPr>
        <w:jc w:val="left"/>
        <w:rPr>
          <w:rFonts w:ascii="宋体" w:hAnsi="宋体"/>
          <w:kern w:val="44"/>
        </w:rPr>
      </w:pPr>
      <w:r>
        <w:rPr>
          <w:rFonts w:hint="eastAsia" w:ascii="宋体" w:hAnsi="宋体"/>
          <w:kern w:val="44"/>
        </w:rPr>
        <w:t>（六）不按规定归档或者不按期移交档案的；</w:t>
      </w:r>
    </w:p>
    <w:p w14:paraId="6081B455">
      <w:pPr>
        <w:jc w:val="left"/>
        <w:rPr>
          <w:rFonts w:ascii="宋体" w:hAnsi="宋体"/>
          <w:kern w:val="44"/>
        </w:rPr>
      </w:pPr>
      <w:r>
        <w:rPr>
          <w:rFonts w:hint="eastAsia" w:ascii="宋体" w:hAnsi="宋体"/>
          <w:kern w:val="44"/>
        </w:rPr>
        <w:t>（七）明知所保存的档案面临危险而不采取措施，造成档案损失的；</w:t>
      </w:r>
    </w:p>
    <w:p w14:paraId="7F949095">
      <w:pPr>
        <w:jc w:val="left"/>
        <w:rPr>
          <w:rFonts w:ascii="宋体" w:hAnsi="宋体"/>
          <w:kern w:val="44"/>
        </w:rPr>
      </w:pPr>
      <w:r>
        <w:rPr>
          <w:rFonts w:hint="eastAsia" w:ascii="宋体" w:hAnsi="宋体"/>
          <w:kern w:val="44"/>
        </w:rPr>
        <w:t>（八）档案工作人员玩忽职守，造成档案损失的。</w:t>
      </w:r>
    </w:p>
    <w:p w14:paraId="6CFE0AB6">
      <w:pPr>
        <w:ind w:firstLine="422"/>
        <w:jc w:val="left"/>
        <w:rPr>
          <w:rFonts w:ascii="宋体" w:hAnsi="宋体"/>
          <w:kern w:val="44"/>
        </w:rPr>
      </w:pPr>
      <w:r>
        <w:rPr>
          <w:rFonts w:hint="eastAsia" w:ascii="宋体" w:hAnsi="宋体"/>
          <w:b/>
          <w:kern w:val="44"/>
        </w:rPr>
        <w:t>第三十五条</w:t>
      </w:r>
      <w:r>
        <w:rPr>
          <w:rFonts w:hint="eastAsia" w:ascii="宋体" w:hAnsi="宋体"/>
          <w:kern w:val="44"/>
        </w:rPr>
        <w:t>　有本办法第三十四条第（一）项、第（二）项、第（三）项行为的，由市或者区、县档案行政管理部门给予警告，根据有关档案的价值和数量，对责任单位可以并处1万元以上10万元以下罚款，对直接负责的主管人员或者其他直接责任人员可以并处500元以上5000元以下罚款；造成档案损失的，由市或者区、县档案行政管理部门、有关主管部门根据损失档案的价值，责令赔偿损失。</w:t>
      </w:r>
    </w:p>
    <w:p w14:paraId="2589C68F">
      <w:pPr>
        <w:ind w:firstLine="422"/>
        <w:jc w:val="left"/>
        <w:rPr>
          <w:rFonts w:ascii="宋体" w:hAnsi="宋体"/>
          <w:kern w:val="44"/>
        </w:rPr>
      </w:pPr>
      <w:r>
        <w:rPr>
          <w:rFonts w:hint="eastAsia" w:ascii="宋体" w:hAnsi="宋体"/>
          <w:b/>
          <w:kern w:val="44"/>
        </w:rPr>
        <w:t>第三十六条</w:t>
      </w:r>
      <w:r>
        <w:rPr>
          <w:rFonts w:hint="eastAsia" w:ascii="宋体" w:hAnsi="宋体"/>
          <w:kern w:val="44"/>
        </w:rPr>
        <w:t>　企业事业组织或者个人有本办法第三十四条第（四）项、第（五）项行为的，由市或者区、县档案行政管理部门给予警告，根据有关档案的价值和数量，对责任单位可以并处1万元以上10万元以下罚款，对直接负责的主管人员或者其他直接责任人员可以并处500元以上5000元以下罚款；有违法所得的，没收违法所得；并可以依照本办法第二十二条的规定征购所出卖或者赠送的档案。</w:t>
      </w:r>
    </w:p>
    <w:p w14:paraId="0BD5664B">
      <w:pPr>
        <w:ind w:firstLine="422"/>
        <w:jc w:val="left"/>
        <w:rPr>
          <w:rFonts w:ascii="宋体" w:hAnsi="宋体"/>
          <w:kern w:val="44"/>
        </w:rPr>
      </w:pPr>
      <w:r>
        <w:rPr>
          <w:rFonts w:hint="eastAsia" w:ascii="宋体" w:hAnsi="宋体"/>
          <w:b/>
          <w:kern w:val="44"/>
        </w:rPr>
        <w:t>第三十七条</w:t>
      </w:r>
      <w:r>
        <w:rPr>
          <w:rFonts w:hint="eastAsia" w:ascii="宋体" w:hAnsi="宋体"/>
          <w:kern w:val="44"/>
        </w:rPr>
        <w:t>　有违反本办法其他行为的，由市或者区、县档案行政管理部门责令限期改正，并提请其上级主管部门对直接负责的主管人员或者其他直接责任人员依法给予行政处分。</w:t>
      </w:r>
    </w:p>
    <w:p w14:paraId="2E92D1E8">
      <w:pPr>
        <w:ind w:firstLine="422"/>
        <w:jc w:val="left"/>
        <w:rPr>
          <w:rFonts w:ascii="宋体" w:hAnsi="宋体"/>
          <w:kern w:val="44"/>
        </w:rPr>
      </w:pPr>
      <w:r>
        <w:rPr>
          <w:rFonts w:hint="eastAsia" w:ascii="宋体" w:hAnsi="宋体"/>
          <w:b/>
          <w:kern w:val="44"/>
        </w:rPr>
        <w:t>第三十八条</w:t>
      </w:r>
      <w:r>
        <w:rPr>
          <w:rFonts w:hint="eastAsia" w:ascii="宋体" w:hAnsi="宋体"/>
          <w:kern w:val="44"/>
        </w:rPr>
        <w:t>　携带、运输、邮寄禁止出境的档案、档案复制件出境的，由海关按照有关法律、法规没收其档案、档案复制件，可以并处罚款；构成犯罪的，依法追究刑事责任。海关没收的档案、档案复制件，应当移交市档案行政管理部门处理。</w:t>
      </w:r>
    </w:p>
    <w:p w14:paraId="432D8B76">
      <w:pPr>
        <w:jc w:val="left"/>
        <w:rPr>
          <w:rFonts w:ascii="宋体" w:hAnsi="宋体"/>
          <w:kern w:val="44"/>
        </w:rPr>
      </w:pPr>
    </w:p>
    <w:p w14:paraId="35C724EB">
      <w:pPr>
        <w:ind w:firstLine="0" w:firstLineChars="0"/>
        <w:jc w:val="center"/>
        <w:rPr>
          <w:rFonts w:ascii="宋体" w:hAnsi="宋体"/>
          <w:b/>
          <w:kern w:val="44"/>
          <w:sz w:val="28"/>
        </w:rPr>
      </w:pPr>
      <w:r>
        <w:rPr>
          <w:rFonts w:hint="eastAsia" w:ascii="宋体" w:hAnsi="宋体"/>
          <w:b/>
          <w:kern w:val="44"/>
          <w:sz w:val="28"/>
        </w:rPr>
        <w:t>第六章  附  则</w:t>
      </w:r>
    </w:p>
    <w:p w14:paraId="7A552B72">
      <w:pPr>
        <w:jc w:val="left"/>
        <w:rPr>
          <w:rFonts w:ascii="宋体" w:hAnsi="宋体"/>
          <w:kern w:val="44"/>
        </w:rPr>
      </w:pPr>
    </w:p>
    <w:p w14:paraId="6EEE9126">
      <w:pPr>
        <w:ind w:firstLine="422"/>
        <w:jc w:val="left"/>
        <w:rPr>
          <w:rFonts w:ascii="宋体" w:hAnsi="宋体"/>
          <w:kern w:val="44"/>
        </w:rPr>
      </w:pPr>
      <w:r>
        <w:rPr>
          <w:rFonts w:hint="eastAsia" w:ascii="宋体" w:hAnsi="宋体"/>
          <w:b/>
          <w:kern w:val="44"/>
        </w:rPr>
        <w:t>第三十九条</w:t>
      </w:r>
      <w:r>
        <w:rPr>
          <w:rFonts w:hint="eastAsia" w:ascii="宋体" w:hAnsi="宋体"/>
          <w:kern w:val="44"/>
        </w:rPr>
        <w:t>　本办法具体应用中的问题，由市档案行政管理部门负责解释。</w:t>
      </w:r>
    </w:p>
    <w:p w14:paraId="0834C76B">
      <w:pPr>
        <w:ind w:firstLine="422"/>
        <w:jc w:val="left"/>
        <w:rPr>
          <w:rFonts w:ascii="宋体" w:hAnsi="宋体"/>
          <w:kern w:val="44"/>
        </w:rPr>
      </w:pPr>
      <w:r>
        <w:rPr>
          <w:rFonts w:hint="eastAsia" w:ascii="宋体" w:hAnsi="宋体"/>
          <w:b/>
          <w:kern w:val="44"/>
        </w:rPr>
        <w:t>第四十条</w:t>
      </w:r>
      <w:r>
        <w:rPr>
          <w:rFonts w:hint="eastAsia" w:ascii="宋体" w:hAnsi="宋体"/>
          <w:kern w:val="44"/>
        </w:rPr>
        <w:t>　本办法自1998年1月1日起施行。</w:t>
      </w:r>
    </w:p>
    <w:p w14:paraId="0440915E">
      <w:pPr>
        <w:pStyle w:val="3"/>
        <w:pageBreakBefore/>
        <w:rPr>
          <w:kern w:val="44"/>
        </w:rPr>
      </w:pPr>
      <w:bookmarkStart w:id="418" w:name="_Toc427651445"/>
      <w:bookmarkStart w:id="419" w:name="_Toc428781493"/>
      <w:bookmarkStart w:id="420" w:name="_Toc422471134"/>
      <w:bookmarkStart w:id="421" w:name="_Toc427651787"/>
      <w:bookmarkStart w:id="422" w:name="_Toc428780011"/>
      <w:r>
        <w:rPr>
          <w:rFonts w:hint="eastAsia"/>
          <w:kern w:val="44"/>
        </w:rPr>
        <w:t>（十一）其  他</w:t>
      </w:r>
      <w:bookmarkEnd w:id="418"/>
      <w:bookmarkEnd w:id="419"/>
      <w:bookmarkEnd w:id="420"/>
      <w:bookmarkEnd w:id="421"/>
      <w:bookmarkEnd w:id="422"/>
    </w:p>
    <w:p w14:paraId="79E9EC04"/>
    <w:p w14:paraId="66029BF0">
      <w:pPr>
        <w:pStyle w:val="4"/>
        <w:rPr>
          <w:kern w:val="44"/>
        </w:rPr>
      </w:pPr>
      <w:bookmarkStart w:id="423" w:name="_Toc427651446"/>
      <w:bookmarkStart w:id="424" w:name="_Toc427651788"/>
      <w:bookmarkStart w:id="425" w:name="_Toc428780012"/>
      <w:bookmarkStart w:id="426" w:name="_Toc428781494"/>
      <w:bookmarkStart w:id="427" w:name="_Toc422471135"/>
      <w:r>
        <w:rPr>
          <w:rFonts w:hint="eastAsia"/>
          <w:kern w:val="44"/>
        </w:rPr>
        <w:t>北京市事业单位登记管理办法</w:t>
      </w:r>
      <w:bookmarkEnd w:id="423"/>
      <w:bookmarkEnd w:id="424"/>
      <w:bookmarkEnd w:id="425"/>
      <w:bookmarkEnd w:id="426"/>
      <w:bookmarkEnd w:id="427"/>
    </w:p>
    <w:p w14:paraId="6834DC83">
      <w:pPr>
        <w:ind w:left="630" w:leftChars="300" w:right="630" w:rightChars="300"/>
        <w:jc w:val="left"/>
        <w:rPr>
          <w:rFonts w:ascii="楷体" w:hAnsi="楷体" w:eastAsia="楷体"/>
          <w:kern w:val="44"/>
        </w:rPr>
      </w:pPr>
      <w:r>
        <w:rPr>
          <w:rFonts w:hint="eastAsia" w:ascii="楷体" w:hAnsi="楷体" w:eastAsia="楷体"/>
          <w:kern w:val="44"/>
        </w:rPr>
        <w:t>（1996年4月25日市人民政府第84次常务会议通过  1996年5月10日北京市人民政府第5号令发布 ）</w:t>
      </w:r>
    </w:p>
    <w:p w14:paraId="6B8B9ABE">
      <w:pPr>
        <w:ind w:left="630" w:leftChars="300" w:right="630" w:rightChars="300"/>
        <w:jc w:val="left"/>
        <w:rPr>
          <w:rFonts w:ascii="楷体" w:hAnsi="楷体" w:eastAsia="楷体"/>
          <w:kern w:val="44"/>
        </w:rPr>
      </w:pPr>
    </w:p>
    <w:p w14:paraId="089ED23D">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为加强本市事业单位登记管理，保障事业单位的合法权益，根据国家和本市有关规定，结合本市实际情况，制定本办法。</w:t>
      </w:r>
    </w:p>
    <w:p w14:paraId="10ACB38E">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本办法所称事业单位是指以社会效益为首要目的，为科技、教育、卫生、文化等社会公益事业提供具体服务的实体机构。</w:t>
      </w:r>
    </w:p>
    <w:p w14:paraId="023E93E6">
      <w:pPr>
        <w:ind w:firstLine="422"/>
        <w:jc w:val="left"/>
        <w:rPr>
          <w:rFonts w:ascii="宋体" w:hAnsi="宋体"/>
          <w:kern w:val="44"/>
        </w:rPr>
      </w:pPr>
      <w:r>
        <w:rPr>
          <w:rFonts w:hint="eastAsia" w:ascii="宋体" w:hAnsi="宋体"/>
          <w:b/>
          <w:kern w:val="44"/>
        </w:rPr>
        <w:t>第三条</w:t>
      </w:r>
      <w:r>
        <w:rPr>
          <w:rFonts w:hint="eastAsia" w:ascii="宋体" w:hAnsi="宋体"/>
          <w:kern w:val="44"/>
        </w:rPr>
        <w:t>　凡本市所属的事业单位，必须按照本办法的规定办理事业单位登记。</w:t>
      </w:r>
    </w:p>
    <w:p w14:paraId="5AD3BAC5">
      <w:pPr>
        <w:jc w:val="left"/>
        <w:rPr>
          <w:rFonts w:ascii="宋体" w:hAnsi="宋体"/>
          <w:kern w:val="44"/>
        </w:rPr>
      </w:pPr>
      <w:r>
        <w:rPr>
          <w:rFonts w:hint="eastAsia" w:ascii="宋体" w:hAnsi="宋体"/>
          <w:kern w:val="44"/>
        </w:rPr>
        <w:t>依法应当办理企业法人、社团法人登记的单位，不予办理事业单位登记；已经登记的，应当予以撤销。</w:t>
      </w:r>
    </w:p>
    <w:p w14:paraId="147ACAE1">
      <w:pPr>
        <w:jc w:val="left"/>
        <w:rPr>
          <w:rFonts w:ascii="宋体" w:hAnsi="宋体"/>
          <w:kern w:val="44"/>
        </w:rPr>
      </w:pPr>
      <w:r>
        <w:rPr>
          <w:rFonts w:hint="eastAsia" w:ascii="宋体" w:hAnsi="宋体"/>
          <w:kern w:val="44"/>
        </w:rPr>
        <w:t>法律、法规和规章对办理事业单位登记另有规定的，按照有关规定办理。</w:t>
      </w:r>
    </w:p>
    <w:p w14:paraId="67BF1DAE">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市和区、县机构编制委员会办公室（以下简称登记机关）是本市事业单位登记管理工作的主管机关，负责事业单位登记管理工作。</w:t>
      </w:r>
    </w:p>
    <w:p w14:paraId="4F197C90">
      <w:pPr>
        <w:jc w:val="left"/>
        <w:rPr>
          <w:rFonts w:ascii="宋体" w:hAnsi="宋体"/>
          <w:kern w:val="44"/>
        </w:rPr>
      </w:pPr>
      <w:r>
        <w:rPr>
          <w:rFonts w:hint="eastAsia" w:ascii="宋体" w:hAnsi="宋体"/>
          <w:kern w:val="44"/>
        </w:rPr>
        <w:t>各级人民政府有关行业主管部门应当按照各自的职责，协助登记机关做好事业单位的登记管理工作。</w:t>
      </w:r>
    </w:p>
    <w:p w14:paraId="57316947">
      <w:pPr>
        <w:ind w:firstLine="422"/>
        <w:jc w:val="left"/>
        <w:rPr>
          <w:rFonts w:ascii="宋体" w:hAnsi="宋体"/>
          <w:kern w:val="44"/>
        </w:rPr>
      </w:pPr>
      <w:r>
        <w:rPr>
          <w:rFonts w:hint="eastAsia" w:ascii="宋体" w:hAnsi="宋体"/>
          <w:b/>
          <w:kern w:val="44"/>
        </w:rPr>
        <w:t>第五条</w:t>
      </w:r>
      <w:r>
        <w:rPr>
          <w:rFonts w:hint="eastAsia" w:ascii="宋体" w:hAnsi="宋体"/>
          <w:kern w:val="44"/>
        </w:rPr>
        <w:t>　申请事业单位登记的单位，必须具备下列条件：</w:t>
      </w:r>
    </w:p>
    <w:p w14:paraId="50462A42">
      <w:pPr>
        <w:jc w:val="left"/>
        <w:rPr>
          <w:rFonts w:ascii="宋体" w:hAnsi="宋体"/>
          <w:kern w:val="44"/>
        </w:rPr>
      </w:pPr>
      <w:r>
        <w:rPr>
          <w:rFonts w:hint="eastAsia" w:ascii="宋体" w:hAnsi="宋体"/>
          <w:kern w:val="44"/>
        </w:rPr>
        <w:t>（一）依法成立的事业单位；</w:t>
      </w:r>
    </w:p>
    <w:p w14:paraId="42C9A05B">
      <w:pPr>
        <w:jc w:val="left"/>
        <w:rPr>
          <w:rFonts w:ascii="宋体" w:hAnsi="宋体"/>
          <w:kern w:val="44"/>
        </w:rPr>
      </w:pPr>
      <w:r>
        <w:rPr>
          <w:rFonts w:hint="eastAsia" w:ascii="宋体" w:hAnsi="宋体"/>
          <w:kern w:val="44"/>
        </w:rPr>
        <w:t>（二）有规范的名称；</w:t>
      </w:r>
    </w:p>
    <w:p w14:paraId="7C0C5E6F">
      <w:pPr>
        <w:jc w:val="left"/>
        <w:rPr>
          <w:rFonts w:ascii="宋体" w:hAnsi="宋体"/>
          <w:kern w:val="44"/>
        </w:rPr>
      </w:pPr>
      <w:r>
        <w:rPr>
          <w:rFonts w:hint="eastAsia" w:ascii="宋体" w:hAnsi="宋体"/>
          <w:kern w:val="44"/>
        </w:rPr>
        <w:t>（三）有自己的组织机构和场所；</w:t>
      </w:r>
    </w:p>
    <w:p w14:paraId="4FA53B36">
      <w:pPr>
        <w:jc w:val="left"/>
        <w:rPr>
          <w:rFonts w:ascii="宋体" w:hAnsi="宋体"/>
          <w:kern w:val="44"/>
        </w:rPr>
      </w:pPr>
      <w:r>
        <w:rPr>
          <w:rFonts w:hint="eastAsia" w:ascii="宋体" w:hAnsi="宋体"/>
          <w:kern w:val="44"/>
        </w:rPr>
        <w:t>（四）有明确的组织章程和职责范围；</w:t>
      </w:r>
    </w:p>
    <w:p w14:paraId="07A60A22">
      <w:pPr>
        <w:jc w:val="left"/>
        <w:rPr>
          <w:rFonts w:ascii="宋体" w:hAnsi="宋体"/>
          <w:kern w:val="44"/>
        </w:rPr>
      </w:pPr>
      <w:r>
        <w:rPr>
          <w:rFonts w:hint="eastAsia" w:ascii="宋体" w:hAnsi="宋体"/>
          <w:kern w:val="44"/>
        </w:rPr>
        <w:t>（五）有相应的人员、财产和经费。</w:t>
      </w:r>
    </w:p>
    <w:p w14:paraId="3A387030">
      <w:pPr>
        <w:ind w:firstLine="422"/>
        <w:jc w:val="left"/>
        <w:rPr>
          <w:rFonts w:ascii="宋体" w:hAnsi="宋体"/>
          <w:kern w:val="44"/>
        </w:rPr>
      </w:pPr>
      <w:r>
        <w:rPr>
          <w:rFonts w:hint="eastAsia" w:ascii="宋体" w:hAnsi="宋体"/>
          <w:b/>
          <w:kern w:val="44"/>
        </w:rPr>
        <w:t>第六条</w:t>
      </w:r>
      <w:r>
        <w:rPr>
          <w:rFonts w:hint="eastAsia" w:ascii="宋体" w:hAnsi="宋体"/>
          <w:kern w:val="44"/>
        </w:rPr>
        <w:t>　事业单位应当自批准设立之日起30日内，到登记机关办理登记。依法须经行业主管部门审批的事业单位，办理登记时应当提交行业主管部门的批准文件；无行业主管部门的，应当提交上级主管部门的同意证明。</w:t>
      </w:r>
    </w:p>
    <w:p w14:paraId="7B281819">
      <w:pPr>
        <w:ind w:firstLine="422"/>
        <w:jc w:val="left"/>
        <w:rPr>
          <w:rFonts w:ascii="宋体" w:hAnsi="宋体"/>
          <w:kern w:val="44"/>
        </w:rPr>
      </w:pPr>
      <w:r>
        <w:rPr>
          <w:rFonts w:hint="eastAsia" w:ascii="宋体" w:hAnsi="宋体"/>
          <w:b/>
          <w:kern w:val="44"/>
        </w:rPr>
        <w:t>第七条</w:t>
      </w:r>
      <w:r>
        <w:rPr>
          <w:rFonts w:hint="eastAsia" w:ascii="宋体" w:hAnsi="宋体"/>
          <w:kern w:val="44"/>
        </w:rPr>
        <w:t>　登记机关应当自接到申请之日起30日内作出决定。对具备《中华人民共和国民法通则》规定的法人条件的，发给《北京市事业单位法人证书》；对不具备法人条件的，发给《北京市事业单位登记证》。</w:t>
      </w:r>
    </w:p>
    <w:p w14:paraId="5DAA5A54">
      <w:pPr>
        <w:jc w:val="left"/>
        <w:rPr>
          <w:rFonts w:ascii="宋体" w:hAnsi="宋体"/>
          <w:kern w:val="44"/>
        </w:rPr>
      </w:pPr>
      <w:r>
        <w:rPr>
          <w:rFonts w:hint="eastAsia" w:ascii="宋体" w:hAnsi="宋体"/>
          <w:kern w:val="44"/>
        </w:rPr>
        <w:t>凡未依法办理事业单位登记的单位，不得以事业单位的名义开展活动。</w:t>
      </w:r>
    </w:p>
    <w:p w14:paraId="7ED56F66">
      <w:pPr>
        <w:jc w:val="left"/>
        <w:rPr>
          <w:rFonts w:ascii="宋体" w:hAnsi="宋体"/>
          <w:kern w:val="44"/>
        </w:rPr>
      </w:pPr>
      <w:r>
        <w:rPr>
          <w:rFonts w:hint="eastAsia" w:ascii="宋体" w:hAnsi="宋体"/>
          <w:kern w:val="44"/>
        </w:rPr>
        <w:t>取得法人资格的事业单位应当依法独立承担法律责任；未取得法人资格的事业单位，其上级主管部门应当对其承担相应的责任。</w:t>
      </w:r>
    </w:p>
    <w:p w14:paraId="3229ACE2">
      <w:pPr>
        <w:ind w:firstLine="422"/>
        <w:jc w:val="left"/>
        <w:rPr>
          <w:rFonts w:ascii="宋体" w:hAnsi="宋体"/>
          <w:kern w:val="44"/>
        </w:rPr>
      </w:pPr>
      <w:r>
        <w:rPr>
          <w:rFonts w:hint="eastAsia" w:ascii="宋体" w:hAnsi="宋体"/>
          <w:b/>
          <w:kern w:val="44"/>
        </w:rPr>
        <w:t>第八条</w:t>
      </w:r>
      <w:r>
        <w:rPr>
          <w:rFonts w:hint="eastAsia" w:ascii="宋体" w:hAnsi="宋体"/>
          <w:kern w:val="44"/>
        </w:rPr>
        <w:t>　《北京市事业单位法人证书》和《北京市事业单位登记证》由市机构编制委员会办公室统一印制。</w:t>
      </w:r>
    </w:p>
    <w:p w14:paraId="456EDD02">
      <w:pPr>
        <w:jc w:val="left"/>
        <w:rPr>
          <w:rFonts w:ascii="宋体" w:hAnsi="宋体"/>
          <w:kern w:val="44"/>
        </w:rPr>
      </w:pPr>
      <w:r>
        <w:rPr>
          <w:rFonts w:hint="eastAsia" w:ascii="宋体" w:hAnsi="宋体"/>
          <w:kern w:val="44"/>
        </w:rPr>
        <w:t>禁止伪造、出租、转借《北京市事业单位法人证书》和《北京市事业单位登记证》。</w:t>
      </w:r>
    </w:p>
    <w:p w14:paraId="4C0A5DBF">
      <w:pPr>
        <w:ind w:firstLine="422"/>
        <w:jc w:val="left"/>
        <w:rPr>
          <w:rFonts w:ascii="宋体" w:hAnsi="宋体"/>
          <w:kern w:val="44"/>
        </w:rPr>
      </w:pPr>
      <w:r>
        <w:rPr>
          <w:rFonts w:hint="eastAsia" w:ascii="宋体" w:hAnsi="宋体"/>
          <w:b/>
          <w:kern w:val="44"/>
        </w:rPr>
        <w:t>第九条</w:t>
      </w:r>
      <w:r>
        <w:rPr>
          <w:rFonts w:hint="eastAsia" w:ascii="宋体" w:hAnsi="宋体"/>
          <w:kern w:val="44"/>
        </w:rPr>
        <w:t>　事业单位登记事项变更的，应当在行业主管部门批准或者上级主管部门同意之日起30日内，到原登记机关办理变更登记。</w:t>
      </w:r>
    </w:p>
    <w:p w14:paraId="0DD2F455">
      <w:pPr>
        <w:jc w:val="left"/>
        <w:rPr>
          <w:rFonts w:ascii="宋体" w:hAnsi="宋体"/>
          <w:kern w:val="44"/>
        </w:rPr>
      </w:pPr>
      <w:r>
        <w:rPr>
          <w:rFonts w:hint="eastAsia" w:ascii="宋体" w:hAnsi="宋体"/>
          <w:kern w:val="44"/>
        </w:rPr>
        <w:t>事业单位法人应当在登记机关规定的时间内到原登记机关办理年度检验。</w:t>
      </w:r>
    </w:p>
    <w:p w14:paraId="57158ABE">
      <w:pPr>
        <w:ind w:firstLine="422"/>
        <w:jc w:val="left"/>
        <w:rPr>
          <w:rFonts w:ascii="宋体" w:hAnsi="宋体"/>
          <w:kern w:val="44"/>
        </w:rPr>
      </w:pPr>
      <w:r>
        <w:rPr>
          <w:rFonts w:hint="eastAsia" w:ascii="宋体" w:hAnsi="宋体"/>
          <w:b/>
          <w:kern w:val="44"/>
        </w:rPr>
        <w:t>第十条</w:t>
      </w:r>
      <w:r>
        <w:rPr>
          <w:rFonts w:hint="eastAsia" w:ascii="宋体" w:hAnsi="宋体"/>
          <w:kern w:val="44"/>
        </w:rPr>
        <w:t>　事业单位有下列情形之一的，应当到原登记机关办理注销登记，并交回其《北京市事业单位法人证书》或者《北京市事业单位登记证》和印章：</w:t>
      </w:r>
    </w:p>
    <w:p w14:paraId="55FDD9A1">
      <w:pPr>
        <w:jc w:val="left"/>
        <w:rPr>
          <w:rFonts w:ascii="宋体" w:hAnsi="宋体"/>
          <w:kern w:val="44"/>
        </w:rPr>
      </w:pPr>
      <w:r>
        <w:rPr>
          <w:rFonts w:hint="eastAsia" w:ascii="宋体" w:hAnsi="宋体"/>
          <w:kern w:val="44"/>
        </w:rPr>
        <w:t>（一）因终止活动而申请注销的；</w:t>
      </w:r>
    </w:p>
    <w:p w14:paraId="111DE42F">
      <w:pPr>
        <w:jc w:val="left"/>
        <w:rPr>
          <w:rFonts w:ascii="宋体" w:hAnsi="宋体"/>
          <w:kern w:val="44"/>
        </w:rPr>
      </w:pPr>
      <w:r>
        <w:rPr>
          <w:rFonts w:hint="eastAsia" w:ascii="宋体" w:hAnsi="宋体"/>
          <w:kern w:val="44"/>
        </w:rPr>
        <w:t>（二）被登记机关依法责令解散的；</w:t>
      </w:r>
    </w:p>
    <w:p w14:paraId="5465D49E">
      <w:pPr>
        <w:jc w:val="left"/>
        <w:rPr>
          <w:rFonts w:ascii="宋体" w:hAnsi="宋体"/>
          <w:kern w:val="44"/>
        </w:rPr>
      </w:pPr>
      <w:r>
        <w:rPr>
          <w:rFonts w:hint="eastAsia" w:ascii="宋体" w:hAnsi="宋体"/>
          <w:kern w:val="44"/>
        </w:rPr>
        <w:t>（三）被行业主管部门吊销从业资格的。</w:t>
      </w:r>
    </w:p>
    <w:p w14:paraId="48EAB8E9">
      <w:pPr>
        <w:ind w:firstLine="422"/>
        <w:jc w:val="left"/>
        <w:rPr>
          <w:rFonts w:ascii="宋体" w:hAnsi="宋体"/>
          <w:kern w:val="44"/>
        </w:rPr>
      </w:pPr>
      <w:r>
        <w:rPr>
          <w:rFonts w:hint="eastAsia" w:ascii="宋体" w:hAnsi="宋体"/>
          <w:b/>
          <w:kern w:val="44"/>
        </w:rPr>
        <w:t>第十一条</w:t>
      </w:r>
      <w:r>
        <w:rPr>
          <w:rFonts w:hint="eastAsia" w:ascii="宋体" w:hAnsi="宋体"/>
          <w:kern w:val="44"/>
        </w:rPr>
        <w:t>　经登记机关核准取得法人资格的事业单位和被依法注销或者变更的事业单位，由登记机关予以公告。</w:t>
      </w:r>
    </w:p>
    <w:p w14:paraId="3787320A">
      <w:pPr>
        <w:ind w:firstLine="422"/>
        <w:jc w:val="left"/>
        <w:rPr>
          <w:rFonts w:ascii="宋体" w:hAnsi="宋体"/>
          <w:kern w:val="44"/>
        </w:rPr>
      </w:pPr>
      <w:r>
        <w:rPr>
          <w:rFonts w:hint="eastAsia" w:ascii="宋体" w:hAnsi="宋体"/>
          <w:b/>
          <w:kern w:val="44"/>
        </w:rPr>
        <w:t>第十二条</w:t>
      </w:r>
      <w:r>
        <w:rPr>
          <w:rFonts w:hint="eastAsia" w:ascii="宋体" w:hAnsi="宋体"/>
          <w:kern w:val="44"/>
        </w:rPr>
        <w:t>　对违反本办法，有下列行为之一的，由登记机关给予警告，责令限期改正；逾期不改正的，责令解散，并提请行业主管部门吊销其从业资格：</w:t>
      </w:r>
    </w:p>
    <w:p w14:paraId="726D89D6">
      <w:pPr>
        <w:jc w:val="left"/>
        <w:rPr>
          <w:rFonts w:ascii="宋体" w:hAnsi="宋体"/>
          <w:kern w:val="44"/>
        </w:rPr>
      </w:pPr>
      <w:r>
        <w:rPr>
          <w:rFonts w:hint="eastAsia" w:ascii="宋体" w:hAnsi="宋体"/>
          <w:kern w:val="44"/>
        </w:rPr>
        <w:t>（一）未依法办理登记手续的；</w:t>
      </w:r>
    </w:p>
    <w:p w14:paraId="56973B7A">
      <w:pPr>
        <w:jc w:val="left"/>
        <w:rPr>
          <w:rFonts w:ascii="宋体" w:hAnsi="宋体"/>
          <w:kern w:val="44"/>
        </w:rPr>
      </w:pPr>
      <w:r>
        <w:rPr>
          <w:rFonts w:hint="eastAsia" w:ascii="宋体" w:hAnsi="宋体"/>
          <w:kern w:val="44"/>
        </w:rPr>
        <w:t>（二）不按规定办理变更、注销登记和年度检验的；</w:t>
      </w:r>
    </w:p>
    <w:p w14:paraId="284BF4D8">
      <w:pPr>
        <w:jc w:val="left"/>
        <w:rPr>
          <w:rFonts w:ascii="宋体" w:hAnsi="宋体"/>
          <w:kern w:val="44"/>
        </w:rPr>
      </w:pPr>
      <w:r>
        <w:rPr>
          <w:rFonts w:hint="eastAsia" w:ascii="宋体" w:hAnsi="宋体"/>
          <w:kern w:val="44"/>
        </w:rPr>
        <w:t>（三）伪造、出租、转借《北京市事业单位法人证书》和《北京市事业单位登记证》的；</w:t>
      </w:r>
    </w:p>
    <w:p w14:paraId="14320FF8">
      <w:pPr>
        <w:jc w:val="left"/>
        <w:rPr>
          <w:rFonts w:ascii="宋体" w:hAnsi="宋体"/>
          <w:kern w:val="44"/>
        </w:rPr>
      </w:pPr>
      <w:r>
        <w:rPr>
          <w:rFonts w:hint="eastAsia" w:ascii="宋体" w:hAnsi="宋体"/>
          <w:kern w:val="44"/>
        </w:rPr>
        <w:t>（四）违反设立宗旨或者社会公益目的从事其他活动的。</w:t>
      </w:r>
    </w:p>
    <w:p w14:paraId="46FDACA9">
      <w:pPr>
        <w:jc w:val="left"/>
        <w:rPr>
          <w:rFonts w:ascii="宋体" w:hAnsi="宋体"/>
          <w:kern w:val="44"/>
        </w:rPr>
      </w:pPr>
      <w:r>
        <w:rPr>
          <w:rFonts w:hint="eastAsia" w:ascii="宋体" w:hAnsi="宋体"/>
          <w:kern w:val="44"/>
        </w:rPr>
        <w:t>对有严重危害公共安全、公共利益行为的，由登记机关责令解散，行业主管部门应当吊销其从业资格；构成犯罪的，依法追究责任人的刑事责任。</w:t>
      </w:r>
    </w:p>
    <w:p w14:paraId="02DF54C2">
      <w:pPr>
        <w:ind w:firstLine="422"/>
        <w:jc w:val="left"/>
        <w:rPr>
          <w:rFonts w:ascii="宋体" w:hAnsi="宋体"/>
          <w:kern w:val="44"/>
        </w:rPr>
      </w:pPr>
      <w:r>
        <w:rPr>
          <w:rFonts w:hint="eastAsia" w:ascii="宋体" w:hAnsi="宋体"/>
          <w:b/>
          <w:kern w:val="44"/>
        </w:rPr>
        <w:t>第十三条</w:t>
      </w:r>
      <w:r>
        <w:rPr>
          <w:rFonts w:hint="eastAsia" w:ascii="宋体" w:hAnsi="宋体"/>
          <w:kern w:val="44"/>
        </w:rPr>
        <w:t>　事业单位办理登记应当交纳登记费用。具体收费项目和标准，由市财政局、市物价局制定。</w:t>
      </w:r>
    </w:p>
    <w:p w14:paraId="4EE10271">
      <w:pPr>
        <w:ind w:firstLine="422"/>
        <w:jc w:val="left"/>
        <w:rPr>
          <w:rFonts w:ascii="宋体" w:hAnsi="宋体"/>
          <w:kern w:val="44"/>
        </w:rPr>
      </w:pPr>
      <w:r>
        <w:rPr>
          <w:rFonts w:hint="eastAsia" w:ascii="宋体" w:hAnsi="宋体"/>
          <w:b/>
          <w:kern w:val="44"/>
        </w:rPr>
        <w:t>第十四条</w:t>
      </w:r>
      <w:r>
        <w:rPr>
          <w:rFonts w:hint="eastAsia" w:ascii="宋体" w:hAnsi="宋体"/>
          <w:kern w:val="44"/>
        </w:rPr>
        <w:t>　本办法执行中的具体问题，由市机构编制委员会办公室负责解释。市机构编制委员会办公室可以根据本办法制定实施细则。</w:t>
      </w:r>
    </w:p>
    <w:p w14:paraId="08C6BF46">
      <w:pPr>
        <w:ind w:firstLine="422"/>
        <w:jc w:val="left"/>
        <w:rPr>
          <w:rFonts w:ascii="宋体" w:hAnsi="宋体"/>
          <w:kern w:val="44"/>
        </w:rPr>
      </w:pPr>
      <w:r>
        <w:rPr>
          <w:rFonts w:hint="eastAsia" w:ascii="宋体" w:hAnsi="宋体"/>
          <w:b/>
          <w:kern w:val="44"/>
        </w:rPr>
        <w:t>第十五条</w:t>
      </w:r>
      <w:r>
        <w:rPr>
          <w:rFonts w:hint="eastAsia" w:ascii="宋体" w:hAnsi="宋体"/>
          <w:kern w:val="44"/>
        </w:rPr>
        <w:t>　本办法自发布之日起施行。本办法实施前设立的事业单位，应当在本办法实施后3个月内重新办理登记手续。</w:t>
      </w:r>
    </w:p>
    <w:p w14:paraId="67C16585">
      <w:pPr>
        <w:pStyle w:val="4"/>
        <w:pageBreakBefore/>
        <w:rPr>
          <w:kern w:val="44"/>
        </w:rPr>
      </w:pPr>
      <w:bookmarkStart w:id="428" w:name="_Toc427651447"/>
      <w:bookmarkStart w:id="429" w:name="_Toc428780013"/>
      <w:bookmarkStart w:id="430" w:name="_Toc428781495"/>
      <w:bookmarkStart w:id="431" w:name="_Toc427651789"/>
      <w:bookmarkStart w:id="432" w:name="_Toc422471136"/>
      <w:r>
        <w:rPr>
          <w:rFonts w:hint="eastAsia"/>
          <w:kern w:val="44"/>
        </w:rPr>
        <w:t>北京市人事争议仲裁办法</w:t>
      </w:r>
      <w:bookmarkEnd w:id="428"/>
      <w:bookmarkEnd w:id="429"/>
      <w:bookmarkEnd w:id="430"/>
      <w:bookmarkEnd w:id="431"/>
      <w:bookmarkEnd w:id="432"/>
    </w:p>
    <w:p w14:paraId="68F7B622">
      <w:pPr>
        <w:ind w:left="630" w:leftChars="300" w:right="630" w:rightChars="300"/>
        <w:jc w:val="left"/>
        <w:rPr>
          <w:rFonts w:ascii="楷体" w:hAnsi="楷体" w:eastAsia="楷体"/>
          <w:kern w:val="44"/>
        </w:rPr>
      </w:pPr>
      <w:r>
        <w:rPr>
          <w:rFonts w:hint="eastAsia" w:ascii="楷体" w:hAnsi="楷体" w:eastAsia="楷体"/>
          <w:kern w:val="44"/>
        </w:rPr>
        <w:t>（2003年3月4日北京市人民政府第四次常务会议审议通过  2003年3月7日北京市人民政府第121号令发布）</w:t>
      </w:r>
    </w:p>
    <w:p w14:paraId="632E6449">
      <w:pPr>
        <w:ind w:left="630" w:leftChars="300" w:right="630" w:rightChars="300"/>
        <w:jc w:val="left"/>
        <w:rPr>
          <w:rFonts w:ascii="楷体" w:hAnsi="楷体" w:eastAsia="楷体"/>
          <w:kern w:val="44"/>
        </w:rPr>
      </w:pPr>
    </w:p>
    <w:p w14:paraId="05E043F5">
      <w:pPr>
        <w:tabs>
          <w:tab w:val="left" w:pos="5670"/>
        </w:tabs>
        <w:ind w:firstLine="0" w:firstLineChars="0"/>
        <w:jc w:val="center"/>
        <w:rPr>
          <w:rFonts w:ascii="宋体" w:hAnsi="宋体"/>
          <w:b/>
          <w:kern w:val="44"/>
          <w:sz w:val="28"/>
        </w:rPr>
      </w:pPr>
      <w:r>
        <w:rPr>
          <w:rFonts w:hint="eastAsia" w:ascii="宋体" w:hAnsi="宋体"/>
          <w:b/>
          <w:kern w:val="44"/>
          <w:sz w:val="28"/>
        </w:rPr>
        <w:t>第一章　总　则</w:t>
      </w:r>
    </w:p>
    <w:p w14:paraId="20A90601">
      <w:pPr>
        <w:ind w:firstLine="562"/>
        <w:jc w:val="center"/>
        <w:rPr>
          <w:rFonts w:ascii="宋体" w:hAnsi="宋体"/>
          <w:b/>
          <w:kern w:val="44"/>
          <w:sz w:val="28"/>
        </w:rPr>
      </w:pPr>
    </w:p>
    <w:p w14:paraId="6D1B934C">
      <w:pPr>
        <w:ind w:firstLine="422"/>
        <w:jc w:val="left"/>
        <w:rPr>
          <w:rFonts w:ascii="宋体" w:hAnsi="宋体"/>
          <w:kern w:val="44"/>
        </w:rPr>
      </w:pPr>
      <w:r>
        <w:rPr>
          <w:rFonts w:hint="eastAsia" w:ascii="宋体" w:hAnsi="宋体"/>
          <w:b/>
          <w:kern w:val="44"/>
        </w:rPr>
        <w:t>第一条</w:t>
      </w:r>
      <w:r>
        <w:rPr>
          <w:rFonts w:hint="eastAsia" w:ascii="宋体" w:hAnsi="宋体"/>
          <w:kern w:val="44"/>
        </w:rPr>
        <w:t>　为公正、及时地处理人事争议，保障争议双方当事人的合法权益，根据本市实际情况，制定本办法。</w:t>
      </w:r>
    </w:p>
    <w:p w14:paraId="604CD528">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本办法适用于本市事业单位与其工作人员之间因人事关系的建立、变更、解除等发生的人事争议，以及按照国家和本市有关规定应当仲裁的其他人事争议。</w:t>
      </w:r>
    </w:p>
    <w:p w14:paraId="171CBB23">
      <w:pPr>
        <w:jc w:val="left"/>
        <w:rPr>
          <w:rFonts w:ascii="宋体" w:hAnsi="宋体"/>
          <w:kern w:val="44"/>
        </w:rPr>
      </w:pPr>
      <w:r>
        <w:rPr>
          <w:rFonts w:hint="eastAsia" w:ascii="宋体" w:hAnsi="宋体"/>
          <w:kern w:val="44"/>
        </w:rPr>
        <w:t>国家法律、法规另有规定的除外。</w:t>
      </w:r>
    </w:p>
    <w:p w14:paraId="0B32E6EA">
      <w:pPr>
        <w:ind w:firstLine="422"/>
        <w:jc w:val="left"/>
        <w:rPr>
          <w:rFonts w:ascii="宋体" w:hAnsi="宋体"/>
          <w:kern w:val="44"/>
        </w:rPr>
      </w:pPr>
      <w:r>
        <w:rPr>
          <w:rFonts w:hint="eastAsia" w:ascii="宋体" w:hAnsi="宋体"/>
          <w:b/>
          <w:kern w:val="44"/>
        </w:rPr>
        <w:t>第三条</w:t>
      </w:r>
      <w:r>
        <w:rPr>
          <w:rFonts w:hint="eastAsia" w:ascii="宋体" w:hAnsi="宋体"/>
          <w:kern w:val="44"/>
        </w:rPr>
        <w:t>　人事争议仲裁依法独立进行，不受行政机关、社会团体和个人的干涉。</w:t>
      </w:r>
    </w:p>
    <w:p w14:paraId="088976A8">
      <w:pPr>
        <w:ind w:firstLine="422"/>
        <w:jc w:val="left"/>
        <w:rPr>
          <w:rFonts w:ascii="宋体" w:hAnsi="宋体"/>
          <w:kern w:val="44"/>
        </w:rPr>
      </w:pPr>
      <w:r>
        <w:rPr>
          <w:rFonts w:hint="eastAsia" w:ascii="宋体" w:hAnsi="宋体"/>
          <w:b/>
          <w:kern w:val="44"/>
        </w:rPr>
        <w:t>第四条</w:t>
      </w:r>
      <w:r>
        <w:rPr>
          <w:rFonts w:hint="eastAsia" w:ascii="宋体" w:hAnsi="宋体"/>
          <w:kern w:val="44"/>
        </w:rPr>
        <w:t>　人事争议仲裁应当遵循公正、及时的原则。</w:t>
      </w:r>
    </w:p>
    <w:p w14:paraId="75AA1123">
      <w:pPr>
        <w:jc w:val="left"/>
        <w:rPr>
          <w:rFonts w:ascii="宋体" w:hAnsi="宋体"/>
          <w:kern w:val="44"/>
        </w:rPr>
      </w:pPr>
      <w:r>
        <w:rPr>
          <w:rFonts w:hint="eastAsia" w:ascii="宋体" w:hAnsi="宋体"/>
          <w:kern w:val="44"/>
        </w:rPr>
        <w:t>当事人在人事争议仲裁中的地位平等。</w:t>
      </w:r>
    </w:p>
    <w:p w14:paraId="73E39FCB">
      <w:pPr>
        <w:jc w:val="left"/>
        <w:rPr>
          <w:rFonts w:ascii="宋体" w:hAnsi="宋体"/>
          <w:kern w:val="44"/>
        </w:rPr>
      </w:pPr>
    </w:p>
    <w:p w14:paraId="07E70BCF">
      <w:pPr>
        <w:ind w:firstLine="0" w:firstLineChars="0"/>
        <w:jc w:val="center"/>
        <w:rPr>
          <w:rFonts w:ascii="宋体" w:hAnsi="宋体"/>
          <w:b/>
          <w:kern w:val="44"/>
          <w:sz w:val="28"/>
        </w:rPr>
      </w:pPr>
      <w:r>
        <w:rPr>
          <w:rFonts w:hint="eastAsia" w:ascii="宋体" w:hAnsi="宋体"/>
          <w:b/>
          <w:kern w:val="44"/>
          <w:sz w:val="28"/>
        </w:rPr>
        <w:t>第二章　组织机构</w:t>
      </w:r>
    </w:p>
    <w:p w14:paraId="65790863">
      <w:pPr>
        <w:jc w:val="left"/>
        <w:rPr>
          <w:rFonts w:ascii="宋体" w:hAnsi="宋体"/>
          <w:kern w:val="44"/>
        </w:rPr>
      </w:pPr>
    </w:p>
    <w:p w14:paraId="1D98A847">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市和区、县设立人事争议仲裁委员会（以下简称仲裁委员会），分别处理管辖范围内的人事争议案件。</w:t>
      </w:r>
    </w:p>
    <w:p w14:paraId="6EB4A014">
      <w:pPr>
        <w:jc w:val="left"/>
        <w:rPr>
          <w:rFonts w:ascii="宋体" w:hAnsi="宋体"/>
          <w:kern w:val="44"/>
        </w:rPr>
      </w:pPr>
      <w:r>
        <w:rPr>
          <w:rFonts w:hint="eastAsia" w:ascii="宋体" w:hAnsi="宋体"/>
          <w:kern w:val="44"/>
        </w:rPr>
        <w:t>仲裁委员会下设办事机构，负责办理日常工作以及仲裁委员会授权的其他事宜。</w:t>
      </w:r>
    </w:p>
    <w:p w14:paraId="56DCD5BC">
      <w:pPr>
        <w:ind w:firstLine="422"/>
        <w:jc w:val="left"/>
        <w:rPr>
          <w:rFonts w:ascii="宋体" w:hAnsi="宋体"/>
          <w:kern w:val="44"/>
        </w:rPr>
      </w:pPr>
      <w:r>
        <w:rPr>
          <w:rFonts w:hint="eastAsia" w:ascii="宋体" w:hAnsi="宋体"/>
          <w:b/>
          <w:kern w:val="44"/>
        </w:rPr>
        <w:t>第六条</w:t>
      </w:r>
      <w:r>
        <w:rPr>
          <w:rFonts w:hint="eastAsia" w:ascii="宋体" w:hAnsi="宋体"/>
          <w:kern w:val="44"/>
        </w:rPr>
        <w:t>　仲裁委员会履行下列职责：</w:t>
      </w:r>
    </w:p>
    <w:p w14:paraId="48CE2DC6">
      <w:pPr>
        <w:jc w:val="left"/>
        <w:rPr>
          <w:rFonts w:ascii="宋体" w:hAnsi="宋体"/>
          <w:kern w:val="44"/>
        </w:rPr>
      </w:pPr>
      <w:r>
        <w:rPr>
          <w:rFonts w:hint="eastAsia" w:ascii="宋体" w:hAnsi="宋体"/>
          <w:kern w:val="44"/>
        </w:rPr>
        <w:t>（一）负责管辖范围内人事争议的仲裁；</w:t>
      </w:r>
    </w:p>
    <w:p w14:paraId="4EDF494A">
      <w:pPr>
        <w:jc w:val="left"/>
        <w:rPr>
          <w:rFonts w:ascii="宋体" w:hAnsi="宋体"/>
          <w:kern w:val="44"/>
        </w:rPr>
      </w:pPr>
      <w:r>
        <w:rPr>
          <w:rFonts w:hint="eastAsia" w:ascii="宋体" w:hAnsi="宋体"/>
          <w:kern w:val="44"/>
        </w:rPr>
        <w:t>（二）领导、监督仲裁委员会办事机构和仲裁庭开展工作；</w:t>
      </w:r>
    </w:p>
    <w:p w14:paraId="3F329D7A">
      <w:pPr>
        <w:jc w:val="left"/>
        <w:rPr>
          <w:rFonts w:ascii="宋体" w:hAnsi="宋体"/>
          <w:kern w:val="44"/>
        </w:rPr>
      </w:pPr>
      <w:r>
        <w:rPr>
          <w:rFonts w:hint="eastAsia" w:ascii="宋体" w:hAnsi="宋体"/>
          <w:kern w:val="44"/>
        </w:rPr>
        <w:t>（三）研究处理重大、疑难的人事争议案件；</w:t>
      </w:r>
    </w:p>
    <w:p w14:paraId="6BB7AED2">
      <w:pPr>
        <w:jc w:val="left"/>
        <w:rPr>
          <w:rFonts w:ascii="宋体" w:hAnsi="宋体"/>
          <w:kern w:val="44"/>
        </w:rPr>
      </w:pPr>
      <w:r>
        <w:rPr>
          <w:rFonts w:hint="eastAsia" w:ascii="宋体" w:hAnsi="宋体"/>
          <w:kern w:val="44"/>
        </w:rPr>
        <w:t>（四）制定仲裁规则；</w:t>
      </w:r>
    </w:p>
    <w:p w14:paraId="29722B57">
      <w:pPr>
        <w:jc w:val="left"/>
        <w:rPr>
          <w:rFonts w:ascii="宋体" w:hAnsi="宋体"/>
          <w:kern w:val="44"/>
        </w:rPr>
      </w:pPr>
      <w:r>
        <w:rPr>
          <w:rFonts w:hint="eastAsia" w:ascii="宋体" w:hAnsi="宋体"/>
          <w:kern w:val="44"/>
        </w:rPr>
        <w:t>（五）决定仲裁员的聘任和解聘；</w:t>
      </w:r>
    </w:p>
    <w:p w14:paraId="4503512A">
      <w:pPr>
        <w:jc w:val="left"/>
        <w:rPr>
          <w:rFonts w:ascii="宋体" w:hAnsi="宋体"/>
          <w:kern w:val="44"/>
        </w:rPr>
      </w:pPr>
      <w:r>
        <w:rPr>
          <w:rFonts w:hint="eastAsia" w:ascii="宋体" w:hAnsi="宋体"/>
          <w:kern w:val="44"/>
        </w:rPr>
        <w:t>（六）本办法规定由仲裁委员会承担的其他工作。</w:t>
      </w:r>
    </w:p>
    <w:p w14:paraId="233E315E">
      <w:pPr>
        <w:ind w:firstLine="422"/>
        <w:jc w:val="left"/>
        <w:rPr>
          <w:rFonts w:ascii="宋体" w:hAnsi="宋体"/>
          <w:kern w:val="44"/>
        </w:rPr>
      </w:pPr>
      <w:r>
        <w:rPr>
          <w:rFonts w:hint="eastAsia" w:ascii="宋体" w:hAnsi="宋体"/>
          <w:b/>
          <w:kern w:val="44"/>
        </w:rPr>
        <w:t>第七条</w:t>
      </w:r>
      <w:r>
        <w:rPr>
          <w:rFonts w:hint="eastAsia" w:ascii="宋体" w:hAnsi="宋体"/>
          <w:kern w:val="44"/>
        </w:rPr>
        <w:t>　仲裁委员会由同级人民政府有关部门代表、同级工会代表和有关专家组成。仲裁委员会设主任一人、副主任二至四人和委员若干人。</w:t>
      </w:r>
    </w:p>
    <w:p w14:paraId="3F7A41E3">
      <w:pPr>
        <w:jc w:val="left"/>
        <w:rPr>
          <w:rFonts w:ascii="宋体" w:hAnsi="宋体"/>
          <w:kern w:val="44"/>
        </w:rPr>
      </w:pPr>
      <w:r>
        <w:rPr>
          <w:rFonts w:hint="eastAsia" w:ascii="宋体" w:hAnsi="宋体"/>
          <w:kern w:val="44"/>
        </w:rPr>
        <w:t>仲裁委员会的组成人员应当是奇数。</w:t>
      </w:r>
    </w:p>
    <w:p w14:paraId="253C750A">
      <w:pPr>
        <w:ind w:firstLine="422"/>
        <w:jc w:val="left"/>
        <w:rPr>
          <w:rFonts w:ascii="宋体" w:hAnsi="宋体"/>
          <w:kern w:val="44"/>
        </w:rPr>
      </w:pPr>
      <w:r>
        <w:rPr>
          <w:rFonts w:hint="eastAsia" w:ascii="宋体" w:hAnsi="宋体"/>
          <w:b/>
          <w:kern w:val="44"/>
        </w:rPr>
        <w:t>第八条</w:t>
      </w:r>
      <w:r>
        <w:rPr>
          <w:rFonts w:hint="eastAsia" w:ascii="宋体" w:hAnsi="宋体"/>
          <w:kern w:val="44"/>
        </w:rPr>
        <w:t>　仲裁委员会可以聘任政府有关部门人员、专家学者、律师等担任仲裁员。</w:t>
      </w:r>
    </w:p>
    <w:p w14:paraId="53E03D74">
      <w:pPr>
        <w:spacing w:line="240" w:lineRule="exact"/>
        <w:jc w:val="left"/>
        <w:rPr>
          <w:rFonts w:ascii="宋体" w:hAnsi="宋体"/>
          <w:kern w:val="44"/>
        </w:rPr>
      </w:pPr>
    </w:p>
    <w:p w14:paraId="7DBD7226">
      <w:pPr>
        <w:ind w:firstLine="0" w:firstLineChars="0"/>
        <w:jc w:val="center"/>
        <w:rPr>
          <w:rFonts w:ascii="宋体" w:hAnsi="宋体"/>
          <w:b/>
          <w:kern w:val="44"/>
          <w:sz w:val="28"/>
        </w:rPr>
      </w:pPr>
      <w:r>
        <w:rPr>
          <w:rFonts w:hint="eastAsia" w:ascii="宋体" w:hAnsi="宋体"/>
          <w:b/>
          <w:kern w:val="44"/>
          <w:sz w:val="28"/>
        </w:rPr>
        <w:t>第三章　管　辖</w:t>
      </w:r>
    </w:p>
    <w:p w14:paraId="087D6BDF">
      <w:pPr>
        <w:spacing w:line="240" w:lineRule="exact"/>
        <w:jc w:val="left"/>
        <w:rPr>
          <w:rFonts w:ascii="宋体" w:hAnsi="宋体"/>
          <w:kern w:val="44"/>
        </w:rPr>
      </w:pPr>
    </w:p>
    <w:p w14:paraId="6A455B7E">
      <w:pPr>
        <w:ind w:firstLine="422"/>
        <w:jc w:val="left"/>
        <w:rPr>
          <w:rFonts w:ascii="宋体" w:hAnsi="宋体"/>
          <w:kern w:val="44"/>
        </w:rPr>
      </w:pPr>
      <w:r>
        <w:rPr>
          <w:rFonts w:hint="eastAsia" w:ascii="宋体" w:hAnsi="宋体"/>
          <w:b/>
          <w:kern w:val="44"/>
        </w:rPr>
        <w:t>第九条</w:t>
      </w:r>
      <w:r>
        <w:rPr>
          <w:rFonts w:hint="eastAsia" w:ascii="宋体" w:hAnsi="宋体"/>
          <w:kern w:val="44"/>
        </w:rPr>
        <w:t>　市仲裁委员会管辖下列人事争议：</w:t>
      </w:r>
    </w:p>
    <w:p w14:paraId="4AA7D0E4">
      <w:pPr>
        <w:jc w:val="left"/>
        <w:rPr>
          <w:rFonts w:ascii="宋体" w:hAnsi="宋体"/>
          <w:kern w:val="44"/>
        </w:rPr>
      </w:pPr>
      <w:r>
        <w:rPr>
          <w:rFonts w:hint="eastAsia" w:ascii="宋体" w:hAnsi="宋体"/>
          <w:kern w:val="44"/>
        </w:rPr>
        <w:t>（一）市政府各部门、直属机构、直属事业单位以及上述各部门、直属机构、直属事业单位所属的事业单位与其工作人员之间发生的人事争议；</w:t>
      </w:r>
    </w:p>
    <w:p w14:paraId="50B6F562">
      <w:pPr>
        <w:jc w:val="left"/>
        <w:rPr>
          <w:rFonts w:ascii="宋体" w:hAnsi="宋体"/>
          <w:kern w:val="44"/>
        </w:rPr>
      </w:pPr>
      <w:r>
        <w:rPr>
          <w:rFonts w:hint="eastAsia" w:ascii="宋体" w:hAnsi="宋体"/>
          <w:kern w:val="44"/>
        </w:rPr>
        <w:t>（二）跨区、县的人事争议。</w:t>
      </w:r>
    </w:p>
    <w:p w14:paraId="01903ECA">
      <w:pPr>
        <w:ind w:firstLine="422"/>
        <w:jc w:val="left"/>
        <w:rPr>
          <w:rFonts w:ascii="宋体" w:hAnsi="宋体"/>
          <w:kern w:val="44"/>
        </w:rPr>
      </w:pPr>
      <w:r>
        <w:rPr>
          <w:rFonts w:hint="eastAsia" w:ascii="宋体" w:hAnsi="宋体"/>
          <w:b/>
          <w:kern w:val="44"/>
        </w:rPr>
        <w:t>第十条</w:t>
      </w:r>
      <w:r>
        <w:rPr>
          <w:rFonts w:hint="eastAsia" w:ascii="宋体" w:hAnsi="宋体"/>
          <w:kern w:val="44"/>
        </w:rPr>
        <w:t>　区、县仲裁委员会管辖除本办法第九条规定以外的其他人事争议。</w:t>
      </w:r>
    </w:p>
    <w:p w14:paraId="39CA0575">
      <w:pPr>
        <w:ind w:firstLine="422"/>
        <w:jc w:val="left"/>
        <w:rPr>
          <w:rFonts w:ascii="宋体" w:hAnsi="宋体"/>
          <w:kern w:val="44"/>
        </w:rPr>
      </w:pPr>
      <w:r>
        <w:rPr>
          <w:rFonts w:hint="eastAsia" w:ascii="宋体" w:hAnsi="宋体"/>
          <w:b/>
          <w:kern w:val="44"/>
        </w:rPr>
        <w:t>第十一条</w:t>
      </w:r>
      <w:r>
        <w:rPr>
          <w:rFonts w:hint="eastAsia" w:ascii="宋体" w:hAnsi="宋体"/>
          <w:kern w:val="44"/>
        </w:rPr>
        <w:t>　必要时，市仲裁委员会可以将其管辖的人事争议案件指定区、县仲裁委员会处理；区、县仲裁委员会可以将其管辖的人事争议案件提请市仲裁委员会处理。区、县仲裁委员会因案件管辖发生异议的，由市仲裁委员会指定管辖。</w:t>
      </w:r>
    </w:p>
    <w:p w14:paraId="6D64E1CB">
      <w:pPr>
        <w:jc w:val="left"/>
        <w:rPr>
          <w:rFonts w:ascii="宋体" w:hAnsi="宋体"/>
          <w:kern w:val="44"/>
        </w:rPr>
      </w:pPr>
    </w:p>
    <w:p w14:paraId="2EE76864">
      <w:pPr>
        <w:ind w:firstLine="0" w:firstLineChars="0"/>
        <w:jc w:val="center"/>
        <w:rPr>
          <w:rFonts w:ascii="宋体" w:hAnsi="宋体"/>
          <w:b/>
          <w:kern w:val="44"/>
          <w:sz w:val="28"/>
        </w:rPr>
      </w:pPr>
      <w:r>
        <w:rPr>
          <w:rFonts w:hint="eastAsia" w:ascii="宋体" w:hAnsi="宋体"/>
          <w:b/>
          <w:kern w:val="44"/>
          <w:sz w:val="28"/>
        </w:rPr>
        <w:t>第四章　仲裁程序</w:t>
      </w:r>
    </w:p>
    <w:p w14:paraId="7BF85860">
      <w:pPr>
        <w:spacing w:line="240" w:lineRule="exact"/>
        <w:jc w:val="left"/>
        <w:rPr>
          <w:rFonts w:ascii="宋体" w:hAnsi="宋体"/>
          <w:kern w:val="44"/>
        </w:rPr>
      </w:pPr>
    </w:p>
    <w:p w14:paraId="366F1617">
      <w:pPr>
        <w:ind w:firstLine="422"/>
        <w:jc w:val="left"/>
        <w:rPr>
          <w:rFonts w:ascii="宋体" w:hAnsi="宋体"/>
          <w:kern w:val="44"/>
        </w:rPr>
      </w:pPr>
      <w:r>
        <w:rPr>
          <w:rFonts w:hint="eastAsia" w:ascii="宋体" w:hAnsi="宋体"/>
          <w:b/>
          <w:kern w:val="44"/>
        </w:rPr>
        <w:t>第十二条</w:t>
      </w:r>
      <w:r>
        <w:rPr>
          <w:rFonts w:hint="eastAsia" w:ascii="宋体" w:hAnsi="宋体"/>
          <w:kern w:val="44"/>
        </w:rPr>
        <w:t>　当事人应当在人事争议发生之日起60日内，以书面形式向仲裁委员会申请仲裁，并按照被申请人数递交仲裁申请书副本。</w:t>
      </w:r>
    </w:p>
    <w:p w14:paraId="0B4ECB42">
      <w:pPr>
        <w:ind w:firstLine="422"/>
        <w:jc w:val="left"/>
        <w:rPr>
          <w:rFonts w:ascii="宋体" w:hAnsi="宋体"/>
          <w:kern w:val="44"/>
        </w:rPr>
      </w:pPr>
      <w:r>
        <w:rPr>
          <w:rFonts w:hint="eastAsia" w:ascii="宋体" w:hAnsi="宋体"/>
          <w:b/>
          <w:kern w:val="44"/>
        </w:rPr>
        <w:t>第十三条</w:t>
      </w:r>
      <w:r>
        <w:rPr>
          <w:rFonts w:hint="eastAsia" w:ascii="宋体" w:hAnsi="宋体"/>
          <w:kern w:val="44"/>
        </w:rPr>
        <w:t>　仲裁委员会收到仲裁申请书后，应当在15日内作出受理或者不予受理的决定。决定受理的，应当在7日内将仲裁申请书副本送达被申请人，并组成仲裁庭。决定不予受理的，应当书面通知当事人，并说明不予受理的理由。</w:t>
      </w:r>
    </w:p>
    <w:p w14:paraId="112B5878">
      <w:pPr>
        <w:jc w:val="left"/>
        <w:rPr>
          <w:rFonts w:ascii="宋体" w:hAnsi="宋体"/>
          <w:kern w:val="44"/>
        </w:rPr>
      </w:pPr>
      <w:r>
        <w:rPr>
          <w:rFonts w:hint="eastAsia" w:ascii="宋体" w:hAnsi="宋体"/>
          <w:kern w:val="44"/>
        </w:rPr>
        <w:t>区、县仲裁委员会提请市仲裁委员会处理的人事争议案件，市仲裁委员会应当自收到申请之日起5日内作出是否受理的决定。</w:t>
      </w:r>
    </w:p>
    <w:p w14:paraId="7AE18FCE">
      <w:pPr>
        <w:ind w:firstLine="422"/>
        <w:jc w:val="left"/>
        <w:rPr>
          <w:rFonts w:ascii="宋体" w:hAnsi="宋体"/>
          <w:kern w:val="44"/>
        </w:rPr>
      </w:pPr>
      <w:r>
        <w:rPr>
          <w:rFonts w:hint="eastAsia" w:ascii="宋体" w:hAnsi="宋体"/>
          <w:b/>
          <w:kern w:val="44"/>
        </w:rPr>
        <w:t>第十四条</w:t>
      </w:r>
      <w:r>
        <w:rPr>
          <w:rFonts w:hint="eastAsia" w:ascii="宋体" w:hAnsi="宋体"/>
          <w:kern w:val="44"/>
        </w:rPr>
        <w:t>　被申请人应当自收到仲裁申请书副本之日起15日内提交答辩书和有关证据。仲裁委员会收到答辩书后，应当在5日内将答辩书副本送达申请人。被申请人没有按时提交或者不提交答辩书的，不影响仲裁程序的进行。</w:t>
      </w:r>
    </w:p>
    <w:p w14:paraId="08E3278B">
      <w:pPr>
        <w:ind w:firstLine="422"/>
        <w:jc w:val="left"/>
        <w:rPr>
          <w:rFonts w:ascii="宋体" w:hAnsi="宋体"/>
          <w:kern w:val="44"/>
        </w:rPr>
      </w:pPr>
      <w:r>
        <w:rPr>
          <w:rFonts w:hint="eastAsia" w:ascii="宋体" w:hAnsi="宋体"/>
          <w:b/>
          <w:kern w:val="44"/>
        </w:rPr>
        <w:t>第十五条</w:t>
      </w:r>
      <w:r>
        <w:rPr>
          <w:rFonts w:hint="eastAsia" w:ascii="宋体" w:hAnsi="宋体"/>
          <w:kern w:val="44"/>
        </w:rPr>
        <w:t>　当事人参加仲裁活动可以委托一至二人代理。委托他人代理的，应当向仲裁委员会提交委托书。委托书应当明确委托事项和权限，并由委托人签名或者盖章。</w:t>
      </w:r>
    </w:p>
    <w:p w14:paraId="7C7DA6CC">
      <w:pPr>
        <w:ind w:firstLine="422"/>
        <w:jc w:val="left"/>
        <w:rPr>
          <w:rFonts w:ascii="宋体" w:hAnsi="宋体"/>
          <w:kern w:val="44"/>
        </w:rPr>
      </w:pPr>
      <w:r>
        <w:rPr>
          <w:rFonts w:hint="eastAsia" w:ascii="宋体" w:hAnsi="宋体"/>
          <w:b/>
          <w:kern w:val="44"/>
        </w:rPr>
        <w:t>第十六条</w:t>
      </w:r>
      <w:r>
        <w:rPr>
          <w:rFonts w:hint="eastAsia" w:ascii="宋体" w:hAnsi="宋体"/>
          <w:kern w:val="44"/>
        </w:rPr>
        <w:t>　仲裁庭由三名仲裁员组成。首席仲裁员由仲裁委员会指定担任，当事人双方可以各自选定一名仲裁员或者委托仲裁委员会指定仲裁员；简单的人事争议案件，由仲裁委员会指定一名仲裁员独任审理。</w:t>
      </w:r>
    </w:p>
    <w:p w14:paraId="5EE912C6">
      <w:pPr>
        <w:ind w:firstLine="422"/>
        <w:jc w:val="left"/>
        <w:rPr>
          <w:rFonts w:ascii="宋体" w:hAnsi="宋体"/>
          <w:kern w:val="44"/>
        </w:rPr>
      </w:pPr>
      <w:r>
        <w:rPr>
          <w:rFonts w:hint="eastAsia" w:ascii="宋体" w:hAnsi="宋体"/>
          <w:b/>
          <w:kern w:val="44"/>
        </w:rPr>
        <w:t>第十七条</w:t>
      </w:r>
      <w:r>
        <w:rPr>
          <w:rFonts w:hint="eastAsia" w:ascii="宋体" w:hAnsi="宋体"/>
          <w:kern w:val="44"/>
        </w:rPr>
        <w:t>　仲裁应当开庭进行。当事人协议不开庭的，可以书面仲裁。</w:t>
      </w:r>
    </w:p>
    <w:p w14:paraId="0FA3C42E">
      <w:pPr>
        <w:jc w:val="left"/>
        <w:rPr>
          <w:rFonts w:ascii="宋体" w:hAnsi="宋体"/>
          <w:kern w:val="44"/>
        </w:rPr>
      </w:pPr>
      <w:r>
        <w:rPr>
          <w:rFonts w:hint="eastAsia" w:ascii="宋体" w:hAnsi="宋体"/>
          <w:kern w:val="44"/>
        </w:rPr>
        <w:t>决定开庭审理的，仲裁庭应当于开庭前5日内将开庭时间、地点等通知当事人。</w:t>
      </w:r>
    </w:p>
    <w:p w14:paraId="7DBC3860">
      <w:pPr>
        <w:jc w:val="left"/>
        <w:rPr>
          <w:rFonts w:ascii="宋体" w:hAnsi="宋体"/>
          <w:kern w:val="44"/>
        </w:rPr>
      </w:pPr>
      <w:r>
        <w:rPr>
          <w:rFonts w:hint="eastAsia" w:ascii="宋体" w:hAnsi="宋体"/>
          <w:kern w:val="44"/>
        </w:rPr>
        <w:t>仲裁申请人经书面通知无正当理由不到庭或者未经仲裁庭许可中途退庭的，视为撤回仲裁申请。</w:t>
      </w:r>
    </w:p>
    <w:p w14:paraId="6401838D">
      <w:pPr>
        <w:jc w:val="left"/>
        <w:rPr>
          <w:rFonts w:ascii="宋体" w:hAnsi="宋体"/>
          <w:kern w:val="44"/>
        </w:rPr>
      </w:pPr>
      <w:r>
        <w:rPr>
          <w:rFonts w:hint="eastAsia" w:ascii="宋体" w:hAnsi="宋体"/>
          <w:kern w:val="44"/>
        </w:rPr>
        <w:t>被申请人经书面通知无正当理由不到庭或者未经仲裁庭许可中途退庭的，可以缺席仲裁。</w:t>
      </w:r>
    </w:p>
    <w:p w14:paraId="15FDCDAD">
      <w:pPr>
        <w:ind w:firstLine="422"/>
        <w:jc w:val="left"/>
        <w:rPr>
          <w:rFonts w:ascii="宋体" w:hAnsi="宋体"/>
          <w:kern w:val="44"/>
        </w:rPr>
      </w:pPr>
      <w:r>
        <w:rPr>
          <w:rFonts w:hint="eastAsia" w:ascii="宋体" w:hAnsi="宋体"/>
          <w:b/>
          <w:kern w:val="44"/>
        </w:rPr>
        <w:t>第十八条</w:t>
      </w:r>
      <w:r>
        <w:rPr>
          <w:rFonts w:hint="eastAsia" w:ascii="宋体" w:hAnsi="宋体"/>
          <w:kern w:val="44"/>
        </w:rPr>
        <w:t>　与人事争议有利害关系的第三人，可以申请参加仲裁，或者由仲裁委员会通知其参加仲裁。第三人申请参加仲裁的，是否准许由仲裁委员会决定。</w:t>
      </w:r>
    </w:p>
    <w:p w14:paraId="60E9762E">
      <w:pPr>
        <w:ind w:firstLine="422"/>
        <w:jc w:val="left"/>
        <w:rPr>
          <w:rFonts w:ascii="宋体" w:hAnsi="宋体"/>
          <w:kern w:val="44"/>
        </w:rPr>
      </w:pPr>
      <w:r>
        <w:rPr>
          <w:rFonts w:hint="eastAsia" w:ascii="宋体" w:hAnsi="宋体"/>
          <w:b/>
          <w:kern w:val="44"/>
        </w:rPr>
        <w:t>第十九条</w:t>
      </w:r>
      <w:r>
        <w:rPr>
          <w:rFonts w:hint="eastAsia" w:ascii="宋体" w:hAnsi="宋体"/>
          <w:kern w:val="44"/>
        </w:rPr>
        <w:t>　当事人应当对自己的主张提供证据。仲裁庭应当对证据进行质证，只有经过质证认定的证据，才可以作为裁决的依据。</w:t>
      </w:r>
    </w:p>
    <w:p w14:paraId="1A5C9D86">
      <w:pPr>
        <w:ind w:firstLine="422"/>
        <w:jc w:val="left"/>
        <w:rPr>
          <w:rFonts w:ascii="宋体" w:hAnsi="宋体"/>
          <w:kern w:val="44"/>
        </w:rPr>
      </w:pPr>
      <w:r>
        <w:rPr>
          <w:rFonts w:hint="eastAsia" w:ascii="宋体" w:hAnsi="宋体"/>
          <w:b/>
          <w:kern w:val="44"/>
        </w:rPr>
        <w:t>第二十条</w:t>
      </w:r>
      <w:r>
        <w:rPr>
          <w:rFonts w:hint="eastAsia" w:ascii="宋体" w:hAnsi="宋体"/>
          <w:kern w:val="44"/>
        </w:rPr>
        <w:t>　当事人在仲裁过程中有权进行辩论。辩论终结时，首席仲裁员或者独任仲裁员应当征询当事人的最后意见。</w:t>
      </w:r>
    </w:p>
    <w:p w14:paraId="6F31232C">
      <w:pPr>
        <w:ind w:firstLine="422"/>
        <w:jc w:val="left"/>
        <w:rPr>
          <w:rFonts w:ascii="宋体" w:hAnsi="宋体"/>
          <w:kern w:val="44"/>
        </w:rPr>
      </w:pPr>
      <w:r>
        <w:rPr>
          <w:rFonts w:hint="eastAsia" w:ascii="宋体" w:hAnsi="宋体"/>
          <w:b/>
          <w:kern w:val="44"/>
        </w:rPr>
        <w:t>第二十一条</w:t>
      </w:r>
      <w:r>
        <w:rPr>
          <w:rFonts w:hint="eastAsia" w:ascii="宋体" w:hAnsi="宋体"/>
          <w:kern w:val="44"/>
        </w:rPr>
        <w:t>　仲裁庭处理人事争议可以先行调解。当事人自愿调解的，仲裁庭应当调解。</w:t>
      </w:r>
    </w:p>
    <w:p w14:paraId="0963FCEF">
      <w:pPr>
        <w:jc w:val="left"/>
        <w:rPr>
          <w:rFonts w:ascii="宋体" w:hAnsi="宋体"/>
          <w:kern w:val="44"/>
        </w:rPr>
      </w:pPr>
      <w:r>
        <w:rPr>
          <w:rFonts w:hint="eastAsia" w:ascii="宋体" w:hAnsi="宋体"/>
          <w:kern w:val="44"/>
        </w:rPr>
        <w:t>调解达成协议的，仲裁庭应当根据协议内容制作调解书。调解未达成协议或者调解书送达前当事人反悔的，仲裁庭应当及时作出裁决。</w:t>
      </w:r>
    </w:p>
    <w:p w14:paraId="04B4AC87">
      <w:pPr>
        <w:ind w:firstLine="422"/>
        <w:jc w:val="left"/>
        <w:rPr>
          <w:rFonts w:ascii="宋体" w:hAnsi="宋体"/>
          <w:kern w:val="44"/>
        </w:rPr>
      </w:pPr>
      <w:r>
        <w:rPr>
          <w:rFonts w:hint="eastAsia" w:ascii="宋体" w:hAnsi="宋体"/>
          <w:b/>
          <w:kern w:val="44"/>
        </w:rPr>
        <w:t>第二十二条</w:t>
      </w:r>
      <w:r>
        <w:rPr>
          <w:rFonts w:hint="eastAsia" w:ascii="宋体" w:hAnsi="宋体"/>
          <w:kern w:val="44"/>
        </w:rPr>
        <w:t>　裁决应当按照多数仲裁员的意见作出，少数仲裁员的不同意见应当记入笔录。仲裁庭不能形成多数意见时，裁决应当按照首席仲裁员的意见作出。</w:t>
      </w:r>
    </w:p>
    <w:p w14:paraId="5C9312FD">
      <w:pPr>
        <w:ind w:firstLine="422"/>
        <w:jc w:val="left"/>
        <w:rPr>
          <w:rFonts w:ascii="宋体" w:hAnsi="宋体"/>
          <w:kern w:val="44"/>
        </w:rPr>
      </w:pPr>
      <w:r>
        <w:rPr>
          <w:rFonts w:hint="eastAsia" w:ascii="宋体" w:hAnsi="宋体"/>
          <w:b/>
          <w:kern w:val="44"/>
        </w:rPr>
        <w:t>第二十三条</w:t>
      </w:r>
      <w:r>
        <w:rPr>
          <w:rFonts w:hint="eastAsia" w:ascii="宋体" w:hAnsi="宋体"/>
          <w:kern w:val="44"/>
        </w:rPr>
        <w:t>　仲裁庭对重大的或者疑难的人事争议案件，可以提交仲裁委员会讨论决定。仲裁委员会作出的决定，仲裁庭应当执行。</w:t>
      </w:r>
    </w:p>
    <w:p w14:paraId="667B3FF2">
      <w:pPr>
        <w:ind w:firstLine="422"/>
        <w:jc w:val="left"/>
        <w:rPr>
          <w:rFonts w:ascii="宋体" w:hAnsi="宋体"/>
          <w:kern w:val="44"/>
        </w:rPr>
      </w:pPr>
      <w:r>
        <w:rPr>
          <w:rFonts w:hint="eastAsia" w:ascii="宋体" w:hAnsi="宋体"/>
          <w:b/>
          <w:kern w:val="44"/>
        </w:rPr>
        <w:t>第二十四条</w:t>
      </w:r>
      <w:r>
        <w:rPr>
          <w:rFonts w:hint="eastAsia" w:ascii="宋体" w:hAnsi="宋体"/>
          <w:kern w:val="44"/>
        </w:rPr>
        <w:t>　仲裁庭应当在裁决作出之日起5日内制作裁决书。对生效的裁决，当事人必须履行。当事人不履行的，仲裁委员会可以发出执行催告通知，并通知有关单位协助执行。</w:t>
      </w:r>
    </w:p>
    <w:p w14:paraId="09321D5F">
      <w:pPr>
        <w:ind w:firstLine="422"/>
        <w:jc w:val="left"/>
        <w:rPr>
          <w:rFonts w:ascii="宋体" w:hAnsi="宋体"/>
          <w:kern w:val="44"/>
        </w:rPr>
      </w:pPr>
      <w:r>
        <w:rPr>
          <w:rFonts w:hint="eastAsia" w:ascii="宋体" w:hAnsi="宋体"/>
          <w:b/>
          <w:kern w:val="44"/>
        </w:rPr>
        <w:t>第二十五条</w:t>
      </w:r>
      <w:r>
        <w:rPr>
          <w:rFonts w:hint="eastAsia" w:ascii="宋体" w:hAnsi="宋体"/>
          <w:kern w:val="44"/>
        </w:rPr>
        <w:t>　当事人有证据证明裁决有下列情形之一的，可以自收到裁决书之日起10日内向作出裁决的仲裁委员会申请复审：</w:t>
      </w:r>
    </w:p>
    <w:p w14:paraId="00CE6F08">
      <w:pPr>
        <w:jc w:val="left"/>
        <w:rPr>
          <w:rFonts w:ascii="宋体" w:hAnsi="宋体"/>
          <w:kern w:val="44"/>
        </w:rPr>
      </w:pPr>
      <w:r>
        <w:rPr>
          <w:rFonts w:hint="eastAsia" w:ascii="宋体" w:hAnsi="宋体"/>
          <w:kern w:val="44"/>
        </w:rPr>
        <w:t>（一）仲裁庭的组成或者仲裁程序违反本办法规定的；</w:t>
      </w:r>
    </w:p>
    <w:p w14:paraId="27A5CDEB">
      <w:pPr>
        <w:jc w:val="left"/>
        <w:rPr>
          <w:rFonts w:ascii="宋体" w:hAnsi="宋体"/>
          <w:kern w:val="44"/>
        </w:rPr>
      </w:pPr>
      <w:r>
        <w:rPr>
          <w:rFonts w:hint="eastAsia" w:ascii="宋体" w:hAnsi="宋体"/>
          <w:kern w:val="44"/>
        </w:rPr>
        <w:t>（二）裁决所依据的证据是伪造的；</w:t>
      </w:r>
    </w:p>
    <w:p w14:paraId="60474F96">
      <w:pPr>
        <w:jc w:val="left"/>
        <w:rPr>
          <w:rFonts w:ascii="宋体" w:hAnsi="宋体"/>
          <w:kern w:val="44"/>
        </w:rPr>
      </w:pPr>
      <w:r>
        <w:rPr>
          <w:rFonts w:hint="eastAsia" w:ascii="宋体" w:hAnsi="宋体"/>
          <w:kern w:val="44"/>
        </w:rPr>
        <w:t>（三）对方当事人隐瞒了足以影响公正裁决的证据的；</w:t>
      </w:r>
    </w:p>
    <w:p w14:paraId="2A33D7E8">
      <w:pPr>
        <w:jc w:val="left"/>
        <w:rPr>
          <w:rFonts w:ascii="宋体" w:hAnsi="宋体"/>
          <w:kern w:val="44"/>
        </w:rPr>
      </w:pPr>
      <w:r>
        <w:rPr>
          <w:rFonts w:hint="eastAsia" w:ascii="宋体" w:hAnsi="宋体"/>
          <w:kern w:val="44"/>
        </w:rPr>
        <w:t>（四）仲裁员在仲裁活动中有受贿索贿、徇私舞弊、枉法裁决行为的。</w:t>
      </w:r>
    </w:p>
    <w:p w14:paraId="0435CDA3">
      <w:pPr>
        <w:jc w:val="left"/>
        <w:rPr>
          <w:rFonts w:ascii="宋体" w:hAnsi="宋体"/>
          <w:kern w:val="44"/>
        </w:rPr>
      </w:pPr>
      <w:r>
        <w:rPr>
          <w:rFonts w:hint="eastAsia" w:ascii="宋体" w:hAnsi="宋体"/>
          <w:kern w:val="44"/>
        </w:rPr>
        <w:t>仲裁委员会经审查核实认为应当复审的，应当另行组成仲裁庭。复审期间不影响裁决的执行。</w:t>
      </w:r>
    </w:p>
    <w:p w14:paraId="53E7A3DD">
      <w:pPr>
        <w:jc w:val="left"/>
        <w:rPr>
          <w:rFonts w:ascii="宋体" w:hAnsi="宋体"/>
          <w:kern w:val="44"/>
        </w:rPr>
      </w:pPr>
      <w:r>
        <w:rPr>
          <w:rFonts w:hint="eastAsia" w:ascii="宋体" w:hAnsi="宋体"/>
          <w:kern w:val="44"/>
        </w:rPr>
        <w:t>当事人对仲裁裁决不服，属于人民法院受案范围的，也可以依法向人民法院提起诉讼。</w:t>
      </w:r>
    </w:p>
    <w:p w14:paraId="4832F2F2">
      <w:pPr>
        <w:ind w:firstLine="422"/>
        <w:jc w:val="left"/>
        <w:rPr>
          <w:rFonts w:ascii="宋体" w:hAnsi="宋体"/>
          <w:kern w:val="44"/>
        </w:rPr>
      </w:pPr>
      <w:r>
        <w:rPr>
          <w:rFonts w:hint="eastAsia" w:ascii="宋体" w:hAnsi="宋体"/>
          <w:b/>
          <w:kern w:val="44"/>
        </w:rPr>
        <w:t>第二十六条</w:t>
      </w:r>
      <w:r>
        <w:rPr>
          <w:rFonts w:hint="eastAsia" w:ascii="宋体" w:hAnsi="宋体"/>
          <w:kern w:val="44"/>
        </w:rPr>
        <w:t>　仲裁庭处理人事争议案件，应当在仲裁庭组成之日起60日内结案。案情复杂需要延期的，经仲裁委员会批准，可以延期，但最长不得超过30日。</w:t>
      </w:r>
    </w:p>
    <w:p w14:paraId="029DBC58">
      <w:pPr>
        <w:ind w:firstLine="422"/>
        <w:jc w:val="left"/>
        <w:rPr>
          <w:rFonts w:ascii="宋体" w:hAnsi="宋体"/>
          <w:kern w:val="44"/>
        </w:rPr>
      </w:pPr>
      <w:r>
        <w:rPr>
          <w:rFonts w:hint="eastAsia" w:ascii="宋体" w:hAnsi="宋体"/>
          <w:b/>
          <w:kern w:val="44"/>
        </w:rPr>
        <w:t>第二十七条</w:t>
      </w:r>
      <w:r>
        <w:rPr>
          <w:rFonts w:hint="eastAsia" w:ascii="宋体" w:hAnsi="宋体"/>
          <w:kern w:val="44"/>
        </w:rPr>
        <w:t>　仲裁员有下列情形之一的，应当自行申请回避，当事人及其代理人也可以向仲裁委员会提出回避申请：</w:t>
      </w:r>
    </w:p>
    <w:p w14:paraId="651EBF6D">
      <w:pPr>
        <w:jc w:val="left"/>
        <w:rPr>
          <w:rFonts w:ascii="宋体" w:hAnsi="宋体"/>
          <w:kern w:val="44"/>
        </w:rPr>
      </w:pPr>
      <w:r>
        <w:rPr>
          <w:rFonts w:hint="eastAsia" w:ascii="宋体" w:hAnsi="宋体"/>
          <w:kern w:val="44"/>
        </w:rPr>
        <w:t>（一）是本案的当事人或者当事人、代理人近亲属的；</w:t>
      </w:r>
    </w:p>
    <w:p w14:paraId="26F8C729">
      <w:pPr>
        <w:jc w:val="left"/>
        <w:rPr>
          <w:rFonts w:ascii="宋体" w:hAnsi="宋体"/>
          <w:kern w:val="44"/>
        </w:rPr>
      </w:pPr>
      <w:r>
        <w:rPr>
          <w:rFonts w:hint="eastAsia" w:ascii="宋体" w:hAnsi="宋体"/>
          <w:kern w:val="44"/>
        </w:rPr>
        <w:t>（二）与本案有利害关系的；</w:t>
      </w:r>
    </w:p>
    <w:p w14:paraId="6FD7A86A">
      <w:pPr>
        <w:jc w:val="left"/>
        <w:rPr>
          <w:rFonts w:ascii="宋体" w:hAnsi="宋体"/>
          <w:kern w:val="44"/>
        </w:rPr>
      </w:pPr>
      <w:r>
        <w:rPr>
          <w:rFonts w:hint="eastAsia" w:ascii="宋体" w:hAnsi="宋体"/>
          <w:kern w:val="44"/>
        </w:rPr>
        <w:t>（三）与本案当事人、代理人有其他关系，可能影响公正裁决的。</w:t>
      </w:r>
    </w:p>
    <w:p w14:paraId="36A570BE">
      <w:pPr>
        <w:jc w:val="left"/>
        <w:rPr>
          <w:rFonts w:ascii="宋体" w:hAnsi="宋体"/>
          <w:kern w:val="44"/>
        </w:rPr>
      </w:pPr>
      <w:r>
        <w:rPr>
          <w:rFonts w:hint="eastAsia" w:ascii="宋体" w:hAnsi="宋体"/>
          <w:kern w:val="44"/>
        </w:rPr>
        <w:t>仲裁委员会对回避申请应当及时作出决定。</w:t>
      </w:r>
    </w:p>
    <w:p w14:paraId="75C2F9B9">
      <w:pPr>
        <w:ind w:firstLine="422"/>
        <w:jc w:val="left"/>
        <w:rPr>
          <w:rFonts w:ascii="宋体" w:hAnsi="宋体"/>
          <w:kern w:val="44"/>
        </w:rPr>
      </w:pPr>
      <w:r>
        <w:rPr>
          <w:rFonts w:hint="eastAsia" w:ascii="宋体" w:hAnsi="宋体"/>
          <w:b/>
          <w:kern w:val="44"/>
        </w:rPr>
        <w:t>第二十八条</w:t>
      </w:r>
      <w:r>
        <w:rPr>
          <w:rFonts w:hint="eastAsia" w:ascii="宋体" w:hAnsi="宋体"/>
          <w:kern w:val="44"/>
        </w:rPr>
        <w:t>　仲裁委员会在处理人事争议案件过程中，有权查阅与案件有关的档案、资料和其他证明材料，有权向知情者调查取证，有关单位和个人应当予以支持、配合。</w:t>
      </w:r>
    </w:p>
    <w:p w14:paraId="70FB50C9">
      <w:pPr>
        <w:jc w:val="left"/>
        <w:rPr>
          <w:rFonts w:ascii="宋体" w:hAnsi="宋体"/>
          <w:kern w:val="44"/>
        </w:rPr>
      </w:pPr>
      <w:r>
        <w:rPr>
          <w:rFonts w:hint="eastAsia" w:ascii="宋体" w:hAnsi="宋体"/>
          <w:kern w:val="44"/>
        </w:rPr>
        <w:t>仲裁委员会及其工作人员对人事争议案件涉及的国家秘密、商业秘密和个人隐私应当保密。</w:t>
      </w:r>
    </w:p>
    <w:p w14:paraId="522A0B5C">
      <w:pPr>
        <w:spacing w:line="240" w:lineRule="exact"/>
        <w:jc w:val="left"/>
        <w:rPr>
          <w:rFonts w:ascii="宋体" w:hAnsi="宋体"/>
          <w:kern w:val="44"/>
        </w:rPr>
      </w:pPr>
    </w:p>
    <w:p w14:paraId="39290458">
      <w:pPr>
        <w:ind w:firstLine="0" w:firstLineChars="0"/>
        <w:jc w:val="center"/>
        <w:rPr>
          <w:rFonts w:ascii="宋体" w:hAnsi="宋体"/>
          <w:b/>
          <w:kern w:val="44"/>
          <w:sz w:val="28"/>
        </w:rPr>
      </w:pPr>
      <w:r>
        <w:rPr>
          <w:rFonts w:hint="eastAsia" w:ascii="宋体" w:hAnsi="宋体"/>
          <w:b/>
          <w:kern w:val="44"/>
          <w:sz w:val="28"/>
        </w:rPr>
        <w:t>第五章　法律责任</w:t>
      </w:r>
    </w:p>
    <w:p w14:paraId="0F173BEB">
      <w:pPr>
        <w:spacing w:line="300" w:lineRule="exact"/>
        <w:jc w:val="left"/>
        <w:rPr>
          <w:rFonts w:ascii="宋体" w:hAnsi="宋体"/>
          <w:kern w:val="44"/>
        </w:rPr>
      </w:pPr>
    </w:p>
    <w:p w14:paraId="36594706">
      <w:pPr>
        <w:ind w:firstLine="422"/>
        <w:jc w:val="left"/>
        <w:rPr>
          <w:rFonts w:ascii="宋体" w:hAnsi="宋体"/>
          <w:kern w:val="44"/>
        </w:rPr>
      </w:pPr>
      <w:r>
        <w:rPr>
          <w:rFonts w:hint="eastAsia" w:ascii="宋体" w:hAnsi="宋体"/>
          <w:b/>
          <w:kern w:val="44"/>
        </w:rPr>
        <w:t>第二十九条</w:t>
      </w:r>
      <w:r>
        <w:rPr>
          <w:rFonts w:hint="eastAsia" w:ascii="宋体" w:hAnsi="宋体"/>
          <w:kern w:val="44"/>
        </w:rPr>
        <w:t>　仲裁员及其他仲裁工作人员在仲裁活动中徇私舞弊、收受贿赂、敲诈勒索、滥用职权、侵犯当事人合法权益的，由仲裁委员会取消其仲裁员资格或者予以解聘，并由其所在单位或者上级主管部门给予行政处分；构成犯罪的，依法追究刑事责任。</w:t>
      </w:r>
    </w:p>
    <w:p w14:paraId="5D52D549">
      <w:pPr>
        <w:spacing w:line="340" w:lineRule="exact"/>
        <w:jc w:val="left"/>
        <w:rPr>
          <w:rFonts w:ascii="宋体" w:hAnsi="宋体"/>
          <w:kern w:val="44"/>
        </w:rPr>
      </w:pPr>
    </w:p>
    <w:p w14:paraId="43005C85">
      <w:pPr>
        <w:ind w:firstLine="0" w:firstLineChars="0"/>
        <w:jc w:val="center"/>
        <w:rPr>
          <w:rFonts w:ascii="宋体" w:hAnsi="宋体"/>
          <w:b/>
          <w:kern w:val="44"/>
          <w:sz w:val="28"/>
        </w:rPr>
      </w:pPr>
      <w:r>
        <w:rPr>
          <w:rFonts w:hint="eastAsia" w:ascii="宋体" w:hAnsi="宋体"/>
          <w:b/>
          <w:kern w:val="44"/>
          <w:sz w:val="28"/>
        </w:rPr>
        <w:t>第六章　附　则</w:t>
      </w:r>
    </w:p>
    <w:p w14:paraId="799E79A9">
      <w:pPr>
        <w:spacing w:line="340" w:lineRule="exact"/>
        <w:jc w:val="left"/>
        <w:rPr>
          <w:rFonts w:ascii="宋体" w:hAnsi="宋体"/>
          <w:kern w:val="44"/>
        </w:rPr>
      </w:pPr>
    </w:p>
    <w:p w14:paraId="083C9B80">
      <w:pPr>
        <w:ind w:firstLine="422"/>
        <w:jc w:val="left"/>
        <w:rPr>
          <w:rFonts w:ascii="宋体" w:hAnsi="宋体"/>
          <w:kern w:val="44"/>
        </w:rPr>
      </w:pPr>
      <w:r>
        <w:rPr>
          <w:rFonts w:hint="eastAsia" w:ascii="宋体" w:hAnsi="宋体"/>
          <w:b/>
          <w:kern w:val="44"/>
        </w:rPr>
        <w:t>第三十条</w:t>
      </w:r>
      <w:r>
        <w:rPr>
          <w:rFonts w:hint="eastAsia" w:ascii="宋体" w:hAnsi="宋体"/>
          <w:kern w:val="44"/>
        </w:rPr>
        <w:t>　当事人申请仲裁，应当按照有关规定交纳仲裁费。仲裁费的收取标准，由市财政、价格主管部门共同核定。</w:t>
      </w:r>
    </w:p>
    <w:p w14:paraId="192B6D61">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市仲裁委员会可以依据本办法制定仲裁规则。</w:t>
      </w:r>
    </w:p>
    <w:p w14:paraId="6C765E00">
      <w:pPr>
        <w:ind w:firstLine="422"/>
        <w:jc w:val="left"/>
        <w:rPr>
          <w:rFonts w:ascii="宋体" w:hAnsi="宋体"/>
          <w:kern w:val="44"/>
        </w:rPr>
        <w:sectPr>
          <w:footerReference r:id="rId14" w:type="default"/>
          <w:footerReference r:id="rId15" w:type="even"/>
          <w:pgSz w:w="11906" w:h="16838"/>
          <w:pgMar w:top="1440" w:right="1800" w:bottom="1440" w:left="1800" w:header="851" w:footer="992" w:gutter="0"/>
          <w:pgNumType w:start="3"/>
          <w:cols w:space="720" w:num="1"/>
          <w:docGrid w:type="lines" w:linePitch="312" w:charSpace="0"/>
        </w:sectPr>
      </w:pPr>
      <w:r>
        <w:rPr>
          <w:rFonts w:hint="eastAsia" w:ascii="宋体" w:hAnsi="宋体"/>
          <w:b/>
          <w:kern w:val="44"/>
        </w:rPr>
        <w:t>第三十二条</w:t>
      </w:r>
      <w:r>
        <w:rPr>
          <w:rFonts w:hint="eastAsia" w:ascii="宋体" w:hAnsi="宋体"/>
          <w:kern w:val="44"/>
        </w:rPr>
        <w:t>　本办法自2003年5月1日起施行。</w:t>
      </w:r>
    </w:p>
    <w:p w14:paraId="630A1899">
      <w:pPr>
        <w:jc w:val="left"/>
        <w:rPr>
          <w:rFonts w:ascii="宋体" w:hAnsi="宋体"/>
          <w:kern w:val="44"/>
        </w:rPr>
      </w:pPr>
    </w:p>
    <w:p w14:paraId="0A9B3942">
      <w:bookmarkStart w:id="433" w:name="_Toc422471137"/>
    </w:p>
    <w:p w14:paraId="31117B09"/>
    <w:p w14:paraId="1A369018"/>
    <w:p w14:paraId="6B52AF1F"/>
    <w:p w14:paraId="4F592136"/>
    <w:p w14:paraId="3698263B"/>
    <w:p w14:paraId="0AE470AB"/>
    <w:p w14:paraId="3B6A5DAC"/>
    <w:p w14:paraId="3E5DAB38">
      <w:pPr>
        <w:ind w:firstLine="0" w:firstLineChars="0"/>
      </w:pPr>
    </w:p>
    <w:p w14:paraId="2357CBAF"/>
    <w:p w14:paraId="7DB92548"/>
    <w:p w14:paraId="2490A7E3">
      <w:pPr>
        <w:pStyle w:val="2"/>
      </w:pPr>
      <w:bookmarkStart w:id="434" w:name="_Toc428781496"/>
      <w:bookmarkStart w:id="435" w:name="_Toc428780014"/>
      <w:bookmarkStart w:id="436" w:name="_Toc427651448"/>
      <w:bookmarkStart w:id="437" w:name="_Toc427651790"/>
      <w:r>
        <w:rPr>
          <w:rFonts w:hint="eastAsia"/>
        </w:rPr>
        <w:t>二、经 济 建 设</w:t>
      </w:r>
      <w:bookmarkEnd w:id="433"/>
      <w:bookmarkEnd w:id="434"/>
      <w:bookmarkEnd w:id="435"/>
      <w:bookmarkEnd w:id="436"/>
      <w:bookmarkEnd w:id="437"/>
    </w:p>
    <w:p w14:paraId="14980B3C">
      <w:pPr>
        <w:spacing w:line="240" w:lineRule="auto"/>
        <w:ind w:firstLine="640"/>
        <w:jc w:val="left"/>
        <w:rPr>
          <w:rFonts w:ascii="宋体" w:hAnsi="宋体"/>
          <w:kern w:val="44"/>
        </w:rPr>
      </w:pPr>
      <w:r>
        <w:rPr>
          <w:rFonts w:hint="eastAsia" w:ascii="楷体_GB2312" w:hAnsi="楷体_GB2312" w:eastAsia="楷体_GB2312" w:cs="楷体_GB2312"/>
          <w:sz w:val="32"/>
        </w:rPr>
        <w:t>本部分包含财政，税务，交通运输，信息通讯，城乡规划建设，房地产，农业，审计，统计，价格管理，质量监督，检验检疫，知识产权，商业，工商管理，企业发展，其他等17个方面，共136部法规规章。</w:t>
      </w:r>
    </w:p>
    <w:p w14:paraId="32CDD2B8">
      <w:pPr>
        <w:rPr>
          <w:kern w:val="44"/>
        </w:rPr>
      </w:pPr>
    </w:p>
    <w:p w14:paraId="0C930B73">
      <w:pPr>
        <w:rPr>
          <w:kern w:val="44"/>
        </w:rPr>
      </w:pPr>
    </w:p>
    <w:p w14:paraId="60381CB5">
      <w:pPr>
        <w:rPr>
          <w:kern w:val="44"/>
        </w:rPr>
      </w:pPr>
    </w:p>
    <w:p w14:paraId="08B18BF1">
      <w:pPr>
        <w:rPr>
          <w:kern w:val="44"/>
        </w:rPr>
      </w:pPr>
    </w:p>
    <w:p w14:paraId="19506FB7">
      <w:pPr>
        <w:rPr>
          <w:kern w:val="44"/>
        </w:rPr>
      </w:pPr>
    </w:p>
    <w:p w14:paraId="5A2DC6C9">
      <w:pPr>
        <w:rPr>
          <w:kern w:val="44"/>
        </w:rPr>
      </w:pPr>
    </w:p>
    <w:p w14:paraId="601347EA">
      <w:pPr>
        <w:rPr>
          <w:kern w:val="44"/>
        </w:rPr>
      </w:pPr>
    </w:p>
    <w:p w14:paraId="5CD7A72D">
      <w:pPr>
        <w:rPr>
          <w:kern w:val="44"/>
        </w:rPr>
      </w:pPr>
    </w:p>
    <w:p w14:paraId="1AAEFE5C">
      <w:pPr>
        <w:rPr>
          <w:kern w:val="44"/>
        </w:rPr>
      </w:pPr>
    </w:p>
    <w:p w14:paraId="19958894">
      <w:pPr>
        <w:rPr>
          <w:kern w:val="44"/>
        </w:rPr>
      </w:pPr>
    </w:p>
    <w:p w14:paraId="5A8A0063">
      <w:pPr>
        <w:rPr>
          <w:kern w:val="44"/>
        </w:rPr>
      </w:pPr>
    </w:p>
    <w:p w14:paraId="53A67134">
      <w:pPr>
        <w:rPr>
          <w:kern w:val="44"/>
        </w:rPr>
      </w:pPr>
    </w:p>
    <w:p w14:paraId="5BA56D81">
      <w:pPr>
        <w:rPr>
          <w:kern w:val="44"/>
        </w:rPr>
      </w:pPr>
    </w:p>
    <w:p w14:paraId="02831B8B">
      <w:pPr>
        <w:rPr>
          <w:kern w:val="44"/>
        </w:rPr>
      </w:pPr>
    </w:p>
    <w:p w14:paraId="0F58D4C7">
      <w:pPr>
        <w:rPr>
          <w:kern w:val="44"/>
        </w:rPr>
      </w:pPr>
    </w:p>
    <w:p w14:paraId="47021742">
      <w:pPr>
        <w:rPr>
          <w:kern w:val="44"/>
        </w:rPr>
      </w:pPr>
    </w:p>
    <w:p w14:paraId="02947F67">
      <w:pPr>
        <w:rPr>
          <w:kern w:val="44"/>
        </w:rPr>
      </w:pPr>
    </w:p>
    <w:p w14:paraId="501C8F33">
      <w:pPr>
        <w:rPr>
          <w:kern w:val="44"/>
        </w:rPr>
      </w:pPr>
    </w:p>
    <w:p w14:paraId="464D649B">
      <w:pPr>
        <w:rPr>
          <w:kern w:val="44"/>
        </w:rPr>
        <w:sectPr>
          <w:footerReference r:id="rId18" w:type="first"/>
          <w:footerReference r:id="rId16" w:type="default"/>
          <w:footerReference r:id="rId17" w:type="even"/>
          <w:type w:val="continuous"/>
          <w:pgSz w:w="11906" w:h="16838"/>
          <w:pgMar w:top="1440" w:right="1800" w:bottom="1440" w:left="1800" w:header="851" w:footer="992" w:gutter="0"/>
          <w:cols w:space="720" w:num="1"/>
          <w:docGrid w:type="lines" w:linePitch="312" w:charSpace="0"/>
        </w:sectPr>
      </w:pPr>
    </w:p>
    <w:p w14:paraId="0D54E65C">
      <w:pPr>
        <w:rPr>
          <w:kern w:val="44"/>
        </w:rPr>
      </w:pPr>
    </w:p>
    <w:p w14:paraId="61638CD8">
      <w:pPr>
        <w:pStyle w:val="3"/>
        <w:pageBreakBefore/>
        <w:rPr>
          <w:kern w:val="44"/>
        </w:rPr>
      </w:pPr>
      <w:bookmarkStart w:id="438" w:name="_Toc427651449"/>
      <w:bookmarkStart w:id="439" w:name="_Toc428781497"/>
      <w:bookmarkStart w:id="440" w:name="_Toc428780015"/>
      <w:bookmarkStart w:id="441" w:name="_Toc427651791"/>
      <w:bookmarkStart w:id="442" w:name="_Toc422471138"/>
      <w:r>
        <w:rPr>
          <w:rFonts w:hint="eastAsia"/>
          <w:kern w:val="44"/>
        </w:rPr>
        <w:t>（一）财  政</w:t>
      </w:r>
      <w:bookmarkEnd w:id="438"/>
      <w:bookmarkEnd w:id="439"/>
      <w:bookmarkEnd w:id="440"/>
      <w:bookmarkEnd w:id="441"/>
      <w:bookmarkEnd w:id="442"/>
    </w:p>
    <w:p w14:paraId="31CF84E9"/>
    <w:p w14:paraId="12EBDB2D">
      <w:pPr>
        <w:pStyle w:val="4"/>
        <w:rPr>
          <w:kern w:val="44"/>
        </w:rPr>
      </w:pPr>
      <w:bookmarkStart w:id="443" w:name="_Toc422471139"/>
      <w:bookmarkStart w:id="444" w:name="_Toc428781498"/>
      <w:bookmarkStart w:id="445" w:name="_Toc428780016"/>
      <w:bookmarkStart w:id="446" w:name="_Toc427651792"/>
      <w:bookmarkStart w:id="447" w:name="_Toc427651450"/>
      <w:r>
        <w:rPr>
          <w:rFonts w:hint="eastAsia"/>
          <w:kern w:val="44"/>
        </w:rPr>
        <w:t>北京市</w:t>
      </w:r>
      <w:bookmarkEnd w:id="443"/>
      <w:bookmarkStart w:id="448" w:name="_Toc422471140"/>
      <w:r>
        <w:rPr>
          <w:rFonts w:hint="eastAsia"/>
          <w:kern w:val="44"/>
          <w:lang w:eastAsia="zh-CN"/>
        </w:rPr>
        <w:t>行政事业性收费</w:t>
      </w:r>
      <w:r>
        <w:rPr>
          <w:rFonts w:hint="eastAsia"/>
          <w:kern w:val="44"/>
        </w:rPr>
        <w:t>管理条例</w:t>
      </w:r>
      <w:bookmarkEnd w:id="444"/>
      <w:bookmarkEnd w:id="445"/>
      <w:bookmarkEnd w:id="446"/>
      <w:bookmarkEnd w:id="447"/>
      <w:bookmarkEnd w:id="448"/>
    </w:p>
    <w:p w14:paraId="256C5784">
      <w:pPr>
        <w:ind w:left="630" w:leftChars="300" w:right="630" w:rightChars="300"/>
        <w:jc w:val="left"/>
        <w:rPr>
          <w:rFonts w:ascii="楷体" w:hAnsi="楷体" w:eastAsia="楷体"/>
          <w:kern w:val="44"/>
        </w:rPr>
      </w:pPr>
      <w:r>
        <w:rPr>
          <w:rFonts w:hint="eastAsia" w:ascii="楷体" w:hAnsi="楷体" w:eastAsia="楷体"/>
          <w:kern w:val="44"/>
        </w:rPr>
        <w:t>（1994年5月21日北京市第十届人民代表大会常务委员会第十次会议通过  1994年5月21日北京市人民代表大会常务委员会公告第15号公布  1994年6月1日起施行 ）</w:t>
      </w:r>
    </w:p>
    <w:p w14:paraId="6EDE43DD">
      <w:pPr>
        <w:ind w:left="630" w:leftChars="300" w:right="630" w:rightChars="300"/>
        <w:jc w:val="left"/>
        <w:rPr>
          <w:rFonts w:ascii="楷体" w:hAnsi="楷体" w:eastAsia="楷体"/>
          <w:kern w:val="44"/>
        </w:rPr>
      </w:pPr>
    </w:p>
    <w:p w14:paraId="09C77B8E">
      <w:pPr>
        <w:ind w:firstLine="0" w:firstLineChars="0"/>
        <w:jc w:val="center"/>
        <w:rPr>
          <w:rFonts w:ascii="宋体" w:hAnsi="宋体"/>
          <w:b/>
          <w:kern w:val="44"/>
          <w:sz w:val="28"/>
        </w:rPr>
      </w:pPr>
      <w:r>
        <w:rPr>
          <w:rFonts w:hint="eastAsia" w:ascii="宋体" w:hAnsi="宋体"/>
          <w:b/>
          <w:kern w:val="44"/>
          <w:sz w:val="28"/>
        </w:rPr>
        <w:t>第一章　总　则</w:t>
      </w:r>
    </w:p>
    <w:p w14:paraId="07EB12BE">
      <w:pPr>
        <w:ind w:firstLine="560"/>
        <w:jc w:val="center"/>
        <w:rPr>
          <w:rFonts w:ascii="宋体" w:hAnsi="宋体"/>
          <w:kern w:val="44"/>
          <w:sz w:val="28"/>
        </w:rPr>
      </w:pPr>
    </w:p>
    <w:p w14:paraId="385464D2">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为加强本市行政性、事业性收费管理，规范收费行为，促进廉政建设，制止非法收费，维护国家利益，保护公民、法人和其他组织的合法权益，根据法律、法规的有关规定，结合本市实际情况，制定本条例。</w:t>
      </w:r>
    </w:p>
    <w:p w14:paraId="45076CB7">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在本市行政区域内的行政性、事业性收费，适用本条例。</w:t>
      </w:r>
    </w:p>
    <w:p w14:paraId="006748F9">
      <w:pPr>
        <w:ind w:firstLine="422"/>
        <w:jc w:val="left"/>
        <w:rPr>
          <w:rFonts w:ascii="宋体" w:hAnsi="宋体"/>
          <w:kern w:val="44"/>
        </w:rPr>
      </w:pPr>
      <w:r>
        <w:rPr>
          <w:rFonts w:hint="eastAsia" w:ascii="宋体" w:hAnsi="宋体"/>
          <w:b/>
          <w:kern w:val="44"/>
        </w:rPr>
        <w:t>第三条</w:t>
      </w:r>
      <w:r>
        <w:rPr>
          <w:rFonts w:hint="eastAsia" w:ascii="宋体" w:hAnsi="宋体"/>
          <w:kern w:val="44"/>
        </w:rPr>
        <w:t>　本条例所称行政性收费，是指国家机关和其他依法行使行政管理职权的单位（以下统称国家机关），对社会进行特定管理，依据法律、法规实施的收费。</w:t>
      </w:r>
    </w:p>
    <w:p w14:paraId="01454AA1">
      <w:pPr>
        <w:jc w:val="left"/>
        <w:rPr>
          <w:rFonts w:ascii="宋体" w:hAnsi="宋体"/>
          <w:kern w:val="44"/>
        </w:rPr>
      </w:pPr>
      <w:r>
        <w:rPr>
          <w:rFonts w:hint="eastAsia" w:ascii="宋体" w:hAnsi="宋体"/>
          <w:kern w:val="44"/>
        </w:rPr>
        <w:t>本条例所称事业性收费，是指事业单位和其他非经营性单位为社会提供特定服务，依据法律、法规实施的收费。</w:t>
      </w:r>
    </w:p>
    <w:p w14:paraId="560C610C">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市和区、县人民政府负责本条例的贯彻实施。</w:t>
      </w:r>
    </w:p>
    <w:p w14:paraId="47E2FDDA">
      <w:pPr>
        <w:jc w:val="left"/>
        <w:rPr>
          <w:rFonts w:ascii="宋体" w:hAnsi="宋体"/>
          <w:kern w:val="44"/>
        </w:rPr>
      </w:pPr>
      <w:r>
        <w:rPr>
          <w:rFonts w:hint="eastAsia" w:ascii="宋体" w:hAnsi="宋体"/>
          <w:kern w:val="44"/>
        </w:rPr>
        <w:t>市和区、县财政局、物价局是行政性、事业性收费的主管部门，对本行政区域内行政性、事业性收费进行管理和监督。</w:t>
      </w:r>
    </w:p>
    <w:p w14:paraId="305A7CA9">
      <w:pPr>
        <w:jc w:val="left"/>
        <w:rPr>
          <w:rFonts w:ascii="宋体" w:hAnsi="宋体"/>
          <w:kern w:val="44"/>
        </w:rPr>
      </w:pPr>
      <w:r>
        <w:rPr>
          <w:rFonts w:hint="eastAsia" w:ascii="宋体" w:hAnsi="宋体"/>
          <w:kern w:val="44"/>
        </w:rPr>
        <w:t>市和区、县审计局对行政性、事业性收费财务收支实行审计监督。</w:t>
      </w:r>
    </w:p>
    <w:p w14:paraId="7DAA2043">
      <w:pPr>
        <w:ind w:firstLine="422"/>
        <w:jc w:val="left"/>
        <w:rPr>
          <w:rFonts w:ascii="宋体" w:hAnsi="宋体"/>
          <w:kern w:val="44"/>
        </w:rPr>
      </w:pPr>
      <w:r>
        <w:rPr>
          <w:rFonts w:hint="eastAsia" w:ascii="宋体" w:hAnsi="宋体"/>
          <w:b/>
          <w:kern w:val="44"/>
        </w:rPr>
        <w:t>第五条</w:t>
      </w:r>
      <w:r>
        <w:rPr>
          <w:rFonts w:hint="eastAsia" w:ascii="宋体" w:hAnsi="宋体"/>
          <w:kern w:val="44"/>
        </w:rPr>
        <w:t>　实施行政性、事业性收费的单位（以下简称收费单位），必须遵守本条例，确定行政性、事业性收费的主管负责人和专（兼）职人员，建立、健全收费管理制度。</w:t>
      </w:r>
    </w:p>
    <w:p w14:paraId="65BE337E">
      <w:pPr>
        <w:jc w:val="left"/>
        <w:rPr>
          <w:rFonts w:ascii="宋体" w:hAnsi="宋体"/>
          <w:kern w:val="44"/>
        </w:rPr>
      </w:pPr>
      <w:r>
        <w:rPr>
          <w:rFonts w:hint="eastAsia" w:ascii="宋体" w:hAnsi="宋体"/>
          <w:kern w:val="44"/>
        </w:rPr>
        <w:t>国家机关在职责范围内办理公务，除法律、法规另有规定外不得收费；不得将国家机关职能转移、分解到所属的经济实体进行有偿服务；也不得利用职权以保证金、抵押金、储蓄金、赞助等形式变相收费。</w:t>
      </w:r>
    </w:p>
    <w:p w14:paraId="07F32ABE">
      <w:pPr>
        <w:jc w:val="left"/>
        <w:rPr>
          <w:rFonts w:ascii="宋体" w:hAnsi="宋体"/>
          <w:kern w:val="44"/>
        </w:rPr>
      </w:pPr>
    </w:p>
    <w:p w14:paraId="4CEDEF7A">
      <w:pPr>
        <w:ind w:firstLine="0" w:firstLineChars="0"/>
        <w:jc w:val="center"/>
        <w:rPr>
          <w:rFonts w:ascii="宋体" w:hAnsi="宋体"/>
          <w:b/>
          <w:kern w:val="44"/>
          <w:sz w:val="28"/>
        </w:rPr>
      </w:pPr>
      <w:r>
        <w:rPr>
          <w:rFonts w:hint="eastAsia" w:ascii="宋体" w:hAnsi="宋体"/>
          <w:b/>
          <w:kern w:val="44"/>
          <w:sz w:val="28"/>
        </w:rPr>
        <w:t>第二章　项目设置和标准制定</w:t>
      </w:r>
    </w:p>
    <w:p w14:paraId="674812E1">
      <w:pPr>
        <w:jc w:val="left"/>
        <w:rPr>
          <w:rFonts w:ascii="宋体" w:hAnsi="宋体"/>
          <w:kern w:val="44"/>
        </w:rPr>
      </w:pPr>
    </w:p>
    <w:p w14:paraId="7D66EE07">
      <w:pPr>
        <w:ind w:firstLine="422"/>
        <w:jc w:val="left"/>
        <w:rPr>
          <w:rFonts w:ascii="宋体" w:hAnsi="宋体"/>
          <w:kern w:val="44"/>
        </w:rPr>
      </w:pPr>
      <w:r>
        <w:rPr>
          <w:rFonts w:hint="eastAsia" w:ascii="宋体" w:hAnsi="宋体"/>
          <w:b/>
          <w:kern w:val="44"/>
        </w:rPr>
        <w:t>第六条</w:t>
      </w:r>
      <w:r>
        <w:rPr>
          <w:rFonts w:hint="eastAsia" w:ascii="宋体" w:hAnsi="宋体"/>
          <w:kern w:val="44"/>
        </w:rPr>
        <w:t>　行政性收费项目的设置，必须依照法律、法规以及特定管理行为的需要，从严控制。</w:t>
      </w:r>
    </w:p>
    <w:p w14:paraId="361C8A55">
      <w:pPr>
        <w:jc w:val="left"/>
        <w:rPr>
          <w:rFonts w:ascii="宋体" w:hAnsi="宋体"/>
          <w:kern w:val="44"/>
        </w:rPr>
      </w:pPr>
      <w:r>
        <w:rPr>
          <w:rFonts w:hint="eastAsia" w:ascii="宋体" w:hAnsi="宋体"/>
          <w:kern w:val="44"/>
        </w:rPr>
        <w:t>行政性收费标准的制定，属于管理性收费的，必须依据特定管理行为的合理支出制定；属于证照收费的，必须依据制发证照的工本费用制定，法律、法规另有规定的从其规定；属于资源性收费的，依据国家有关规定制定。</w:t>
      </w:r>
    </w:p>
    <w:p w14:paraId="29CB6910">
      <w:pPr>
        <w:ind w:firstLine="422"/>
        <w:jc w:val="left"/>
        <w:rPr>
          <w:rFonts w:ascii="宋体" w:hAnsi="宋体"/>
          <w:kern w:val="44"/>
        </w:rPr>
      </w:pPr>
      <w:r>
        <w:rPr>
          <w:rFonts w:hint="eastAsia" w:ascii="宋体" w:hAnsi="宋体"/>
          <w:b/>
          <w:kern w:val="44"/>
        </w:rPr>
        <w:t>第七条</w:t>
      </w:r>
      <w:r>
        <w:rPr>
          <w:rFonts w:hint="eastAsia" w:ascii="宋体" w:hAnsi="宋体"/>
          <w:kern w:val="44"/>
        </w:rPr>
        <w:t>　事业性收费项目必须根据为社会提供特定服务的事实设置。</w:t>
      </w:r>
    </w:p>
    <w:p w14:paraId="641A3DA4">
      <w:pPr>
        <w:jc w:val="left"/>
        <w:rPr>
          <w:rFonts w:ascii="宋体" w:hAnsi="宋体"/>
          <w:kern w:val="44"/>
        </w:rPr>
      </w:pPr>
      <w:r>
        <w:rPr>
          <w:rFonts w:hint="eastAsia" w:ascii="宋体" w:hAnsi="宋体"/>
          <w:kern w:val="44"/>
        </w:rPr>
        <w:t>事业性收费标准必须根据提供服务的质量、数量和合理耗费制定。</w:t>
      </w:r>
    </w:p>
    <w:p w14:paraId="17EE34F7">
      <w:pPr>
        <w:ind w:firstLine="422"/>
        <w:jc w:val="left"/>
        <w:rPr>
          <w:rFonts w:ascii="宋体" w:hAnsi="宋体"/>
          <w:kern w:val="44"/>
        </w:rPr>
      </w:pPr>
      <w:r>
        <w:rPr>
          <w:rFonts w:hint="eastAsia" w:ascii="宋体" w:hAnsi="宋体"/>
          <w:b/>
          <w:kern w:val="44"/>
        </w:rPr>
        <w:t>第八条</w:t>
      </w:r>
      <w:r>
        <w:rPr>
          <w:rFonts w:hint="eastAsia" w:ascii="宋体" w:hAnsi="宋体"/>
          <w:kern w:val="44"/>
        </w:rPr>
        <w:t>　在本市实施的行政性、事业性收费，应当由市级主管部门或者区县人民政府提出申请。设置收费项目、调整收费范围报市财政局，由市财政局会同市物价局审批，并报市人民政府备案；制定、调整收费标准报市物价局，由市物价局会同市财政局审批，并报市人民政府备案。</w:t>
      </w:r>
    </w:p>
    <w:p w14:paraId="2E3FE57A">
      <w:pPr>
        <w:jc w:val="left"/>
        <w:rPr>
          <w:rFonts w:ascii="宋体" w:hAnsi="宋体"/>
          <w:kern w:val="44"/>
        </w:rPr>
      </w:pPr>
      <w:r>
        <w:rPr>
          <w:rFonts w:hint="eastAsia" w:ascii="宋体" w:hAnsi="宋体"/>
          <w:kern w:val="44"/>
        </w:rPr>
        <w:t>面向农民的行政性、事业性收费项目的设置和标准的制定，由市财政局、物价局会同市农民负担监督管理部门审批，并报市人民政府备案。</w:t>
      </w:r>
    </w:p>
    <w:p w14:paraId="13224E2E">
      <w:pPr>
        <w:jc w:val="left"/>
        <w:rPr>
          <w:rFonts w:ascii="宋体" w:hAnsi="宋体"/>
          <w:kern w:val="44"/>
        </w:rPr>
      </w:pPr>
      <w:r>
        <w:rPr>
          <w:rFonts w:hint="eastAsia" w:ascii="宋体" w:hAnsi="宋体"/>
          <w:kern w:val="44"/>
        </w:rPr>
        <w:t>重要的行政性、事业性收费项目和标准由市财政局、物价局审核后报市人民政府批准，或者由市人民政府报国务院批准。</w:t>
      </w:r>
    </w:p>
    <w:p w14:paraId="152C5DCB">
      <w:pPr>
        <w:jc w:val="left"/>
        <w:rPr>
          <w:rFonts w:ascii="宋体" w:hAnsi="宋体"/>
          <w:kern w:val="44"/>
        </w:rPr>
      </w:pPr>
      <w:r>
        <w:rPr>
          <w:rFonts w:hint="eastAsia" w:ascii="宋体" w:hAnsi="宋体"/>
          <w:kern w:val="44"/>
        </w:rPr>
        <w:t>市财政局、物价局自身的收费项目和收费标准报市人民政府批准。</w:t>
      </w:r>
    </w:p>
    <w:p w14:paraId="66844757">
      <w:pPr>
        <w:jc w:val="left"/>
        <w:rPr>
          <w:rFonts w:ascii="宋体" w:hAnsi="宋体"/>
          <w:kern w:val="44"/>
        </w:rPr>
      </w:pPr>
      <w:r>
        <w:rPr>
          <w:rFonts w:hint="eastAsia" w:ascii="宋体" w:hAnsi="宋体"/>
          <w:kern w:val="44"/>
        </w:rPr>
        <w:t>除市人民政府或者市财政局、物价局外，本市任何单位和部门不得批准设置收费项目和制定、调整收费标准。</w:t>
      </w:r>
    </w:p>
    <w:p w14:paraId="5D19D67F">
      <w:pPr>
        <w:ind w:firstLine="422"/>
        <w:jc w:val="left"/>
        <w:rPr>
          <w:rFonts w:ascii="宋体" w:hAnsi="宋体"/>
          <w:kern w:val="44"/>
        </w:rPr>
      </w:pPr>
      <w:r>
        <w:rPr>
          <w:rFonts w:hint="eastAsia" w:ascii="宋体" w:hAnsi="宋体"/>
          <w:b/>
          <w:kern w:val="44"/>
        </w:rPr>
        <w:t>第九条</w:t>
      </w:r>
      <w:r>
        <w:rPr>
          <w:rFonts w:hint="eastAsia" w:ascii="宋体" w:hAnsi="宋体"/>
          <w:kern w:val="44"/>
        </w:rPr>
        <w:t>　市财政局、物价局应当将审查批准的收费项目和收费标准编制目录，并定期予以公布。</w:t>
      </w:r>
    </w:p>
    <w:p w14:paraId="416EA098">
      <w:pPr>
        <w:ind w:firstLine="422"/>
        <w:jc w:val="left"/>
        <w:rPr>
          <w:rFonts w:ascii="宋体" w:hAnsi="宋体"/>
          <w:kern w:val="44"/>
        </w:rPr>
      </w:pPr>
      <w:r>
        <w:rPr>
          <w:rFonts w:hint="eastAsia" w:ascii="宋体" w:hAnsi="宋体"/>
          <w:b/>
          <w:kern w:val="44"/>
        </w:rPr>
        <w:t>第十条</w:t>
      </w:r>
      <w:r>
        <w:rPr>
          <w:rFonts w:hint="eastAsia" w:ascii="宋体" w:hAnsi="宋体"/>
          <w:kern w:val="44"/>
        </w:rPr>
        <w:t>　国务院有关部门经国家计委、财政部批准下达的行政性、事业性收费项目和收费标准，在本市执行的，应当由市有关部门结合本市情况提出实施意见，经市财政局、物价局审核后执行。</w:t>
      </w:r>
    </w:p>
    <w:p w14:paraId="7613501F">
      <w:pPr>
        <w:ind w:firstLine="422"/>
        <w:jc w:val="left"/>
        <w:rPr>
          <w:rFonts w:ascii="宋体" w:hAnsi="宋体"/>
          <w:kern w:val="44"/>
        </w:rPr>
      </w:pPr>
      <w:r>
        <w:rPr>
          <w:rFonts w:hint="eastAsia" w:ascii="宋体" w:hAnsi="宋体"/>
          <w:b/>
          <w:kern w:val="44"/>
        </w:rPr>
        <w:t>第十一条</w:t>
      </w:r>
      <w:r>
        <w:rPr>
          <w:rFonts w:hint="eastAsia" w:ascii="宋体" w:hAnsi="宋体"/>
          <w:kern w:val="44"/>
        </w:rPr>
        <w:t>　制定地方性法规和政府规章，凡涉及行政性、事业性收费的，起草部门上报法规、规章草案时必须附有市财政局和物价局对收费项目和收费标准的审核意见。</w:t>
      </w:r>
    </w:p>
    <w:p w14:paraId="469E816E">
      <w:pPr>
        <w:jc w:val="left"/>
        <w:rPr>
          <w:rFonts w:ascii="宋体" w:hAnsi="宋体"/>
          <w:kern w:val="44"/>
        </w:rPr>
      </w:pPr>
    </w:p>
    <w:p w14:paraId="1E030E38">
      <w:pPr>
        <w:ind w:firstLine="0" w:firstLineChars="0"/>
        <w:jc w:val="center"/>
        <w:rPr>
          <w:rFonts w:ascii="宋体" w:hAnsi="宋体"/>
          <w:b/>
          <w:kern w:val="44"/>
          <w:sz w:val="28"/>
        </w:rPr>
      </w:pPr>
      <w:r>
        <w:rPr>
          <w:rFonts w:hint="eastAsia" w:ascii="宋体" w:hAnsi="宋体"/>
          <w:b/>
          <w:kern w:val="44"/>
          <w:sz w:val="28"/>
        </w:rPr>
        <w:t>第三章　管理和监督</w:t>
      </w:r>
    </w:p>
    <w:p w14:paraId="7C060BE4">
      <w:pPr>
        <w:jc w:val="left"/>
        <w:rPr>
          <w:rFonts w:ascii="宋体" w:hAnsi="宋体"/>
          <w:kern w:val="44"/>
        </w:rPr>
      </w:pPr>
    </w:p>
    <w:p w14:paraId="6D78CE50">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本市行政性、事业性收费实行收费许可证制度。经依法批准的行政性、事业性收费项目和收费标准，收费单位必须持批准文件到指定的物价部门申请领取《北京市收费许可证》（以下简称《收费许可证》）。</w:t>
      </w:r>
    </w:p>
    <w:p w14:paraId="602B2EBA">
      <w:pPr>
        <w:jc w:val="left"/>
        <w:rPr>
          <w:rFonts w:ascii="宋体" w:hAnsi="宋体"/>
          <w:kern w:val="44"/>
        </w:rPr>
      </w:pPr>
      <w:r>
        <w:rPr>
          <w:rFonts w:hint="eastAsia" w:ascii="宋体" w:hAnsi="宋体"/>
          <w:kern w:val="44"/>
        </w:rPr>
        <w:t>区、县以上国家机关直接实施收费的，由市物价局核发《收费许可证》；其他收费单位实施收费的，由所在区、县物价局核发《收费许可证》。无《收费许可证》的，不得收费。</w:t>
      </w:r>
    </w:p>
    <w:p w14:paraId="77226F08">
      <w:pPr>
        <w:jc w:val="left"/>
        <w:rPr>
          <w:rFonts w:ascii="宋体" w:hAnsi="宋体"/>
          <w:kern w:val="44"/>
        </w:rPr>
      </w:pPr>
      <w:r>
        <w:rPr>
          <w:rFonts w:hint="eastAsia" w:ascii="宋体" w:hAnsi="宋体"/>
          <w:kern w:val="44"/>
        </w:rPr>
        <w:t>《收费许可证》由市物价局统一印制，定期分级审查、换发。</w:t>
      </w:r>
    </w:p>
    <w:p w14:paraId="269A731E">
      <w:pPr>
        <w:ind w:firstLine="422"/>
        <w:jc w:val="left"/>
        <w:rPr>
          <w:rFonts w:ascii="宋体" w:hAnsi="宋体"/>
          <w:kern w:val="44"/>
        </w:rPr>
      </w:pPr>
      <w:r>
        <w:rPr>
          <w:rFonts w:hint="eastAsia" w:ascii="宋体" w:hAnsi="宋体"/>
          <w:b/>
          <w:kern w:val="44"/>
        </w:rPr>
        <w:t>第十三条</w:t>
      </w:r>
      <w:r>
        <w:rPr>
          <w:rFonts w:hint="eastAsia" w:ascii="宋体" w:hAnsi="宋体"/>
          <w:kern w:val="44"/>
        </w:rPr>
        <w:t>　收费单位必须按照《收费许可证》核定的项目、范围和标准收费。收费单位在收费项目、范围、标准或者机构变更、撤销时，应当到原发证机关办理变更或者注销手续。</w:t>
      </w:r>
    </w:p>
    <w:p w14:paraId="0D906981">
      <w:pPr>
        <w:ind w:firstLine="422"/>
        <w:jc w:val="left"/>
        <w:rPr>
          <w:rFonts w:ascii="宋体" w:hAnsi="宋体"/>
          <w:kern w:val="44"/>
        </w:rPr>
      </w:pPr>
      <w:r>
        <w:rPr>
          <w:rFonts w:hint="eastAsia" w:ascii="宋体" w:hAnsi="宋体"/>
          <w:b/>
          <w:kern w:val="44"/>
        </w:rPr>
        <w:t>第十四条</w:t>
      </w:r>
      <w:r>
        <w:rPr>
          <w:rFonts w:hint="eastAsia" w:ascii="宋体" w:hAnsi="宋体"/>
          <w:kern w:val="44"/>
        </w:rPr>
        <w:t>　行政性、事业性收费实行统一的收费票据制度。收费单位必须持《收费许可证》到指定的财政部门购领北京市行政性、事业性收费收据（以下简称收费收据）。无收费收据的，不得收费。</w:t>
      </w:r>
    </w:p>
    <w:p w14:paraId="53AE6E92">
      <w:pPr>
        <w:jc w:val="left"/>
        <w:rPr>
          <w:rFonts w:ascii="宋体" w:hAnsi="宋体"/>
          <w:kern w:val="44"/>
        </w:rPr>
      </w:pPr>
      <w:r>
        <w:rPr>
          <w:rFonts w:hint="eastAsia" w:ascii="宋体" w:hAnsi="宋体"/>
          <w:kern w:val="44"/>
        </w:rPr>
        <w:t>收费收据由市财政局统一印制或者监制。</w:t>
      </w:r>
    </w:p>
    <w:p w14:paraId="3227E12B">
      <w:pPr>
        <w:ind w:firstLine="422"/>
        <w:jc w:val="left"/>
        <w:rPr>
          <w:rFonts w:ascii="宋体" w:hAnsi="宋体"/>
          <w:kern w:val="44"/>
        </w:rPr>
      </w:pPr>
      <w:r>
        <w:rPr>
          <w:rFonts w:hint="eastAsia" w:ascii="宋体" w:hAnsi="宋体"/>
          <w:b/>
          <w:kern w:val="44"/>
        </w:rPr>
        <w:t>第十五条</w:t>
      </w:r>
      <w:r>
        <w:rPr>
          <w:rFonts w:hint="eastAsia" w:ascii="宋体" w:hAnsi="宋体"/>
          <w:kern w:val="44"/>
        </w:rPr>
        <w:t>　收费单位所收费款，原则上实行收支两条线。除国家另有规定外，行政性收费的收入，作为财政收入纳入预算管理；事业性收费的收入，执行预算外资金管理办法。</w:t>
      </w:r>
    </w:p>
    <w:p w14:paraId="417D8039">
      <w:pPr>
        <w:ind w:firstLine="422"/>
        <w:jc w:val="left"/>
        <w:rPr>
          <w:rFonts w:ascii="宋体" w:hAnsi="宋体"/>
          <w:kern w:val="44"/>
        </w:rPr>
      </w:pPr>
      <w:r>
        <w:rPr>
          <w:rFonts w:hint="eastAsia" w:ascii="宋体" w:hAnsi="宋体"/>
          <w:b/>
          <w:kern w:val="44"/>
        </w:rPr>
        <w:t>第十六条</w:t>
      </w:r>
      <w:r>
        <w:rPr>
          <w:rFonts w:hint="eastAsia" w:ascii="宋体" w:hAnsi="宋体"/>
          <w:kern w:val="44"/>
        </w:rPr>
        <w:t>　收费单位必须健全收费财务管理制度，严格执行用款审批办法，按照规定的支出范围使用，定期向财政部门和上级主管部门报告收支情况。</w:t>
      </w:r>
    </w:p>
    <w:p w14:paraId="7B7FB72E">
      <w:pPr>
        <w:ind w:firstLine="422"/>
        <w:jc w:val="left"/>
        <w:rPr>
          <w:rFonts w:ascii="宋体" w:hAnsi="宋体"/>
          <w:kern w:val="44"/>
        </w:rPr>
      </w:pPr>
      <w:r>
        <w:rPr>
          <w:rFonts w:hint="eastAsia" w:ascii="宋体" w:hAnsi="宋体"/>
          <w:b/>
          <w:kern w:val="44"/>
        </w:rPr>
        <w:t>第十七条</w:t>
      </w:r>
      <w:r>
        <w:rPr>
          <w:rFonts w:hint="eastAsia" w:ascii="宋体" w:hAnsi="宋体"/>
          <w:kern w:val="44"/>
        </w:rPr>
        <w:t>　财政、物价部门对行政性、事业性收费实行年审制度。收费单位应当接受财政、物价部门对收费、收支和收费收据使用情况的监督检查，并如实提供账簿、单据等有关资料。</w:t>
      </w:r>
    </w:p>
    <w:p w14:paraId="549B0641">
      <w:pPr>
        <w:ind w:firstLine="422"/>
        <w:jc w:val="left"/>
        <w:rPr>
          <w:rFonts w:ascii="宋体" w:hAnsi="宋体"/>
          <w:kern w:val="44"/>
        </w:rPr>
      </w:pPr>
      <w:r>
        <w:rPr>
          <w:rFonts w:hint="eastAsia" w:ascii="宋体" w:hAnsi="宋体"/>
          <w:b/>
          <w:kern w:val="44"/>
        </w:rPr>
        <w:t>第十八条</w:t>
      </w:r>
      <w:r>
        <w:rPr>
          <w:rFonts w:hint="eastAsia" w:ascii="宋体" w:hAnsi="宋体"/>
          <w:kern w:val="44"/>
        </w:rPr>
        <w:t>　收费单位实施收费时，必须出示《收费许可证》和使用收费收据，并且应当在固定收费场所公布收费项目、收费标准，设置举报设施，接受社会监督。</w:t>
      </w:r>
    </w:p>
    <w:p w14:paraId="64BC101D">
      <w:pPr>
        <w:jc w:val="left"/>
        <w:rPr>
          <w:rFonts w:ascii="宋体" w:hAnsi="宋体"/>
          <w:kern w:val="44"/>
        </w:rPr>
      </w:pPr>
      <w:r>
        <w:rPr>
          <w:rFonts w:hint="eastAsia" w:ascii="宋体" w:hAnsi="宋体"/>
          <w:kern w:val="44"/>
        </w:rPr>
        <w:t>收费单位不出示《收费许可证》或者不使用收费收据收费的，单位和个人有权拒绝交纳。</w:t>
      </w:r>
    </w:p>
    <w:p w14:paraId="6BB84E51">
      <w:pPr>
        <w:ind w:firstLine="422"/>
        <w:jc w:val="left"/>
        <w:rPr>
          <w:rFonts w:ascii="宋体" w:hAnsi="宋体"/>
          <w:kern w:val="44"/>
        </w:rPr>
      </w:pPr>
      <w:r>
        <w:rPr>
          <w:rFonts w:hint="eastAsia" w:ascii="宋体" w:hAnsi="宋体"/>
          <w:b/>
          <w:kern w:val="44"/>
        </w:rPr>
        <w:t>第十九条</w:t>
      </w:r>
      <w:r>
        <w:rPr>
          <w:rFonts w:hint="eastAsia" w:ascii="宋体" w:hAnsi="宋体"/>
          <w:kern w:val="44"/>
        </w:rPr>
        <w:t>　本市实行收费监督卡制度。收费监督卡由收费管理监督部门发给被收费单位，收费单位在收费时必须如实填写。具体实施办法由市人民政府制定。</w:t>
      </w:r>
    </w:p>
    <w:p w14:paraId="79DAABA7">
      <w:pPr>
        <w:ind w:firstLine="422"/>
        <w:jc w:val="left"/>
        <w:rPr>
          <w:rFonts w:ascii="宋体" w:hAnsi="宋体"/>
          <w:kern w:val="44"/>
        </w:rPr>
      </w:pPr>
      <w:r>
        <w:rPr>
          <w:rFonts w:hint="eastAsia" w:ascii="宋体" w:hAnsi="宋体"/>
          <w:b/>
          <w:kern w:val="44"/>
        </w:rPr>
        <w:t>第二十条</w:t>
      </w:r>
      <w:r>
        <w:rPr>
          <w:rFonts w:hint="eastAsia" w:ascii="宋体" w:hAnsi="宋体"/>
          <w:kern w:val="44"/>
        </w:rPr>
        <w:t>　任何单位和个人对非法收费行为有权向收费管理监督部门进行举报、控告。收费管理监督部门应当及时依法查处。</w:t>
      </w:r>
    </w:p>
    <w:p w14:paraId="379F38D7">
      <w:pPr>
        <w:jc w:val="left"/>
        <w:rPr>
          <w:rFonts w:ascii="宋体" w:hAnsi="宋体"/>
          <w:kern w:val="44"/>
        </w:rPr>
      </w:pPr>
      <w:r>
        <w:rPr>
          <w:rFonts w:hint="eastAsia" w:ascii="宋体" w:hAnsi="宋体"/>
          <w:kern w:val="44"/>
        </w:rPr>
        <w:t>新闻单位应当加强对收费行为的舆论监督。</w:t>
      </w:r>
    </w:p>
    <w:p w14:paraId="722EA72E">
      <w:pPr>
        <w:jc w:val="left"/>
        <w:rPr>
          <w:rFonts w:ascii="宋体" w:hAnsi="宋体"/>
          <w:kern w:val="44"/>
        </w:rPr>
      </w:pPr>
    </w:p>
    <w:p w14:paraId="233C36D4">
      <w:pPr>
        <w:ind w:firstLine="0" w:firstLineChars="0"/>
        <w:jc w:val="center"/>
        <w:rPr>
          <w:rFonts w:ascii="宋体" w:hAnsi="宋体"/>
          <w:b/>
          <w:kern w:val="44"/>
          <w:sz w:val="28"/>
        </w:rPr>
      </w:pPr>
      <w:r>
        <w:rPr>
          <w:rFonts w:hint="eastAsia" w:ascii="宋体" w:hAnsi="宋体"/>
          <w:b/>
          <w:kern w:val="44"/>
          <w:sz w:val="28"/>
        </w:rPr>
        <w:t>第四章　法律责任</w:t>
      </w:r>
    </w:p>
    <w:p w14:paraId="39C49CB2">
      <w:pPr>
        <w:jc w:val="left"/>
        <w:rPr>
          <w:rFonts w:ascii="宋体" w:hAnsi="宋体"/>
          <w:kern w:val="44"/>
        </w:rPr>
      </w:pPr>
    </w:p>
    <w:p w14:paraId="063634E9">
      <w:pPr>
        <w:ind w:firstLine="422"/>
        <w:jc w:val="left"/>
        <w:rPr>
          <w:rFonts w:ascii="宋体" w:hAnsi="宋体"/>
          <w:kern w:val="44"/>
        </w:rPr>
      </w:pPr>
      <w:r>
        <w:rPr>
          <w:rFonts w:hint="eastAsia" w:ascii="宋体" w:hAnsi="宋体"/>
          <w:b/>
          <w:kern w:val="44"/>
        </w:rPr>
        <w:t>第二十一条</w:t>
      </w:r>
      <w:r>
        <w:rPr>
          <w:rFonts w:hint="eastAsia" w:ascii="宋体" w:hAnsi="宋体"/>
          <w:kern w:val="44"/>
        </w:rPr>
        <w:t>　违反本条例有下列行为之一的，由物价部门根据情节轻重给予警告、通报批评、责令限期将其收取的费款退还被收费单位或者个人，不能退还的，由物价部门予以没收，上缴财政，可以并处1万元以下的罚款：</w:t>
      </w:r>
    </w:p>
    <w:p w14:paraId="7D198A38">
      <w:pPr>
        <w:jc w:val="left"/>
        <w:rPr>
          <w:rFonts w:ascii="宋体" w:hAnsi="宋体"/>
          <w:kern w:val="44"/>
        </w:rPr>
      </w:pPr>
      <w:r>
        <w:rPr>
          <w:rFonts w:hint="eastAsia" w:ascii="宋体" w:hAnsi="宋体"/>
          <w:kern w:val="44"/>
        </w:rPr>
        <w:t>（一）擅自设置收费项目、扩大收费范围、制定或者调整收费标准的；</w:t>
      </w:r>
    </w:p>
    <w:p w14:paraId="238D13EE">
      <w:pPr>
        <w:jc w:val="left"/>
        <w:rPr>
          <w:rFonts w:ascii="宋体" w:hAnsi="宋体"/>
          <w:kern w:val="44"/>
        </w:rPr>
      </w:pPr>
      <w:r>
        <w:rPr>
          <w:rFonts w:hint="eastAsia" w:ascii="宋体" w:hAnsi="宋体"/>
          <w:kern w:val="44"/>
        </w:rPr>
        <w:t>（二）不按照《收费许可证》核定的收费项目、范围和标准收费的；</w:t>
      </w:r>
    </w:p>
    <w:p w14:paraId="360E55C4">
      <w:pPr>
        <w:jc w:val="left"/>
        <w:rPr>
          <w:rFonts w:ascii="宋体" w:hAnsi="宋体"/>
          <w:kern w:val="44"/>
        </w:rPr>
      </w:pPr>
      <w:r>
        <w:rPr>
          <w:rFonts w:hint="eastAsia" w:ascii="宋体" w:hAnsi="宋体"/>
          <w:kern w:val="44"/>
        </w:rPr>
        <w:t>（三）转让、转借或者涂改《收费许可证》的；</w:t>
      </w:r>
    </w:p>
    <w:p w14:paraId="637966CA">
      <w:pPr>
        <w:jc w:val="left"/>
        <w:rPr>
          <w:rFonts w:ascii="宋体" w:hAnsi="宋体"/>
          <w:kern w:val="44"/>
        </w:rPr>
      </w:pPr>
      <w:r>
        <w:rPr>
          <w:rFonts w:hint="eastAsia" w:ascii="宋体" w:hAnsi="宋体"/>
          <w:kern w:val="44"/>
        </w:rPr>
        <w:t>（四）无《收费许可证》或者使用失效、非法制作的《收费许可证》收费的；</w:t>
      </w:r>
    </w:p>
    <w:p w14:paraId="27FFE02F">
      <w:pPr>
        <w:jc w:val="left"/>
        <w:rPr>
          <w:rFonts w:ascii="宋体" w:hAnsi="宋体"/>
          <w:kern w:val="44"/>
        </w:rPr>
      </w:pPr>
      <w:r>
        <w:rPr>
          <w:rFonts w:hint="eastAsia" w:ascii="宋体" w:hAnsi="宋体"/>
          <w:kern w:val="44"/>
        </w:rPr>
        <w:t>（五）不出示《收费许可证》或者不按照规定公开收费项目、范围和标准的。</w:t>
      </w:r>
    </w:p>
    <w:p w14:paraId="7169936A">
      <w:pPr>
        <w:jc w:val="left"/>
        <w:rPr>
          <w:rFonts w:ascii="宋体" w:hAnsi="宋体"/>
          <w:kern w:val="44"/>
        </w:rPr>
      </w:pPr>
      <w:r>
        <w:rPr>
          <w:rFonts w:hint="eastAsia" w:ascii="宋体" w:hAnsi="宋体"/>
          <w:kern w:val="44"/>
        </w:rPr>
        <w:t>有前款第（二）、（三）项违法行为的，可以吊销其《收费许可证》。</w:t>
      </w:r>
    </w:p>
    <w:p w14:paraId="58C9B913">
      <w:pPr>
        <w:jc w:val="left"/>
        <w:rPr>
          <w:rFonts w:ascii="宋体" w:hAnsi="宋体"/>
          <w:kern w:val="44"/>
        </w:rPr>
      </w:pPr>
      <w:r>
        <w:rPr>
          <w:rFonts w:hint="eastAsia" w:ascii="宋体" w:hAnsi="宋体"/>
          <w:kern w:val="44"/>
        </w:rPr>
        <w:t>有第一款第（一）、（二）、（三）、（四）项违法行为的，必须立即停止违法收费。</w:t>
      </w:r>
    </w:p>
    <w:p w14:paraId="59145898">
      <w:pPr>
        <w:ind w:firstLine="422"/>
        <w:jc w:val="left"/>
        <w:rPr>
          <w:rFonts w:ascii="宋体" w:hAnsi="宋体"/>
          <w:kern w:val="44"/>
        </w:rPr>
      </w:pPr>
      <w:r>
        <w:rPr>
          <w:rFonts w:hint="eastAsia" w:ascii="宋体" w:hAnsi="宋体"/>
          <w:b/>
          <w:kern w:val="44"/>
        </w:rPr>
        <w:t>第二十二条</w:t>
      </w:r>
      <w:r>
        <w:rPr>
          <w:rFonts w:hint="eastAsia" w:ascii="宋体" w:hAnsi="宋体"/>
          <w:kern w:val="44"/>
        </w:rPr>
        <w:t>　违反本条例有下列行为之一的，由财政部门根据情节轻重给予警告、通报批评，可以并处1000元至5000元的罚款：</w:t>
      </w:r>
    </w:p>
    <w:p w14:paraId="32394367">
      <w:pPr>
        <w:jc w:val="left"/>
        <w:rPr>
          <w:rFonts w:ascii="宋体" w:hAnsi="宋体"/>
          <w:kern w:val="44"/>
        </w:rPr>
      </w:pPr>
      <w:r>
        <w:rPr>
          <w:rFonts w:hint="eastAsia" w:ascii="宋体" w:hAnsi="宋体"/>
          <w:kern w:val="44"/>
        </w:rPr>
        <w:t>（一）转让、转借或者涂改收费收据的；</w:t>
      </w:r>
    </w:p>
    <w:p w14:paraId="6FB1F06E">
      <w:pPr>
        <w:jc w:val="left"/>
        <w:rPr>
          <w:rFonts w:ascii="宋体" w:hAnsi="宋体"/>
          <w:kern w:val="44"/>
        </w:rPr>
      </w:pPr>
      <w:r>
        <w:rPr>
          <w:rFonts w:hint="eastAsia" w:ascii="宋体" w:hAnsi="宋体"/>
          <w:kern w:val="44"/>
        </w:rPr>
        <w:t>（二）不按照规定使用收费收据收费的；</w:t>
      </w:r>
    </w:p>
    <w:p w14:paraId="16A4FC82">
      <w:pPr>
        <w:jc w:val="left"/>
        <w:rPr>
          <w:rFonts w:ascii="宋体" w:hAnsi="宋体"/>
          <w:kern w:val="44"/>
        </w:rPr>
      </w:pPr>
      <w:r>
        <w:rPr>
          <w:rFonts w:hint="eastAsia" w:ascii="宋体" w:hAnsi="宋体"/>
          <w:kern w:val="44"/>
        </w:rPr>
        <w:t>（三）瞒报、拒报收费收支情况的；</w:t>
      </w:r>
    </w:p>
    <w:p w14:paraId="2F7AE8FD">
      <w:pPr>
        <w:jc w:val="left"/>
        <w:rPr>
          <w:rFonts w:ascii="宋体" w:hAnsi="宋体"/>
          <w:kern w:val="44"/>
        </w:rPr>
      </w:pPr>
      <w:r>
        <w:rPr>
          <w:rFonts w:hint="eastAsia" w:ascii="宋体" w:hAnsi="宋体"/>
          <w:kern w:val="44"/>
        </w:rPr>
        <w:t>（四）不按照财务规定上缴或者使用收费款的。</w:t>
      </w:r>
    </w:p>
    <w:p w14:paraId="5FE1062D">
      <w:pPr>
        <w:ind w:firstLine="422"/>
        <w:jc w:val="left"/>
        <w:rPr>
          <w:rFonts w:ascii="宋体" w:hAnsi="宋体"/>
          <w:kern w:val="44"/>
        </w:rPr>
      </w:pPr>
      <w:r>
        <w:rPr>
          <w:rFonts w:hint="eastAsia" w:ascii="宋体" w:hAnsi="宋体"/>
          <w:b/>
          <w:kern w:val="44"/>
        </w:rPr>
        <w:t>第二十三条</w:t>
      </w:r>
      <w:r>
        <w:rPr>
          <w:rFonts w:hint="eastAsia" w:ascii="宋体" w:hAnsi="宋体"/>
          <w:kern w:val="44"/>
        </w:rPr>
        <w:t>　非法制作、销售《收费许可证》或者收费收据，情节较轻的，由物价部门或者财政部门没收其非法制作、销售的《收费许可证》或者收费收据和非法所得，并处非法所得1至3倍的罚款；构成犯罪的，依法追究刑事责任。</w:t>
      </w:r>
    </w:p>
    <w:p w14:paraId="54AEAC25">
      <w:pPr>
        <w:ind w:firstLine="422"/>
        <w:jc w:val="left"/>
        <w:rPr>
          <w:rFonts w:ascii="宋体" w:hAnsi="宋体"/>
          <w:kern w:val="44"/>
        </w:rPr>
      </w:pPr>
      <w:r>
        <w:rPr>
          <w:rFonts w:hint="eastAsia" w:ascii="宋体" w:hAnsi="宋体"/>
          <w:b/>
          <w:kern w:val="44"/>
        </w:rPr>
        <w:t>第二十四条</w:t>
      </w:r>
      <w:r>
        <w:rPr>
          <w:rFonts w:hint="eastAsia" w:ascii="宋体" w:hAnsi="宋体"/>
          <w:kern w:val="44"/>
        </w:rPr>
        <w:t>　对违反本条例的收费单位，市财政局、物价局可以建议收费单位的上级主管部门或者监察机关对收费单位的主管负责人和直接责任人员，给予行政处分；情节严重，构成犯罪的，依法追究刑事责任。</w:t>
      </w:r>
    </w:p>
    <w:p w14:paraId="103AEB79">
      <w:pPr>
        <w:ind w:firstLine="422"/>
        <w:jc w:val="left"/>
        <w:rPr>
          <w:rFonts w:ascii="宋体" w:hAnsi="宋体"/>
          <w:kern w:val="44"/>
        </w:rPr>
      </w:pPr>
      <w:r>
        <w:rPr>
          <w:rFonts w:hint="eastAsia" w:ascii="宋体" w:hAnsi="宋体"/>
          <w:b/>
          <w:kern w:val="44"/>
        </w:rPr>
        <w:t>第二十五条</w:t>
      </w:r>
      <w:r>
        <w:rPr>
          <w:rFonts w:hint="eastAsia" w:ascii="宋体" w:hAnsi="宋体"/>
          <w:kern w:val="44"/>
        </w:rPr>
        <w:t>　被处罚单位和个人对物价、财政部门作出的处罚决定不服的，可以自收到处罚通知之日起15日内，向作出处罚决定机关的上一级主管机关申请复议；复议机关应当在接到复议申请书之日起60日内作出复议决定；被处罚单位和个人对复议决定不服的，可以在收到复议通知之日起15日内向人民法院起诉。被处罚单位和个人也可以在接到处罚通知书之日起三个月内直接向人民法院提起诉讼。复议或者诉讼期间，原处罚决定不停止执行。被处罚单位和个人逾期不申请复议或者不提起诉讼又不履行处罚决定的，作出处罚决定的机关可以申请人民法院强制执行。</w:t>
      </w:r>
    </w:p>
    <w:p w14:paraId="03AA0E1C">
      <w:pPr>
        <w:ind w:firstLine="422"/>
        <w:jc w:val="left"/>
        <w:rPr>
          <w:rFonts w:ascii="宋体" w:hAnsi="宋体"/>
          <w:kern w:val="44"/>
        </w:rPr>
      </w:pPr>
      <w:r>
        <w:rPr>
          <w:rFonts w:hint="eastAsia" w:ascii="宋体" w:hAnsi="宋体"/>
          <w:b/>
          <w:kern w:val="44"/>
        </w:rPr>
        <w:t>第二十六条</w:t>
      </w:r>
      <w:r>
        <w:rPr>
          <w:rFonts w:hint="eastAsia" w:ascii="宋体" w:hAnsi="宋体"/>
          <w:kern w:val="44"/>
        </w:rPr>
        <w:t>　拒绝、阻碍监督检查人员依法执行公务的，或者对举报、控告非法收费的单位、个人打击报复的，对主要责任人员，或者直接责任人员视情节轻重由其所在单位或者上级主管部门或者监察机关给予行政处分；违反治安管理的，由公安机关依照《中华人民共和国治安管理处罚条例》的规定予以处罚；构成犯罪的，依法追究刑事责任。</w:t>
      </w:r>
    </w:p>
    <w:p w14:paraId="7A89E23E">
      <w:pPr>
        <w:ind w:firstLine="422"/>
        <w:jc w:val="left"/>
        <w:rPr>
          <w:rFonts w:ascii="宋体" w:hAnsi="宋体"/>
          <w:kern w:val="44"/>
        </w:rPr>
      </w:pPr>
      <w:r>
        <w:rPr>
          <w:rFonts w:hint="eastAsia" w:ascii="宋体" w:hAnsi="宋体"/>
          <w:b/>
          <w:kern w:val="44"/>
        </w:rPr>
        <w:t>第二十七条</w:t>
      </w:r>
      <w:r>
        <w:rPr>
          <w:rFonts w:hint="eastAsia" w:ascii="宋体" w:hAnsi="宋体"/>
          <w:kern w:val="44"/>
        </w:rPr>
        <w:t>　物价、财政部门的监督检查人员玩忽职守、滥用职权、徇私舞弊的，由其所在单位或者其上级主管部门、监察部门，视情节轻重，给予行政处分；构成犯罪的，依法追究刑事责任。</w:t>
      </w:r>
    </w:p>
    <w:p w14:paraId="5AE84578">
      <w:pPr>
        <w:jc w:val="left"/>
        <w:rPr>
          <w:rFonts w:ascii="宋体" w:hAnsi="宋体"/>
          <w:kern w:val="44"/>
        </w:rPr>
      </w:pPr>
    </w:p>
    <w:p w14:paraId="0997BBB8">
      <w:pPr>
        <w:ind w:firstLine="0" w:firstLineChars="0"/>
        <w:jc w:val="center"/>
        <w:rPr>
          <w:rFonts w:ascii="宋体" w:hAnsi="宋体"/>
          <w:b/>
          <w:kern w:val="44"/>
          <w:sz w:val="28"/>
        </w:rPr>
      </w:pPr>
      <w:r>
        <w:rPr>
          <w:rFonts w:hint="eastAsia" w:ascii="宋体" w:hAnsi="宋体"/>
          <w:b/>
          <w:kern w:val="44"/>
          <w:sz w:val="28"/>
        </w:rPr>
        <w:t>第五章　附　则</w:t>
      </w:r>
    </w:p>
    <w:p w14:paraId="0DDEC410">
      <w:pPr>
        <w:jc w:val="left"/>
        <w:rPr>
          <w:rFonts w:ascii="宋体" w:hAnsi="宋体"/>
          <w:kern w:val="44"/>
        </w:rPr>
      </w:pPr>
    </w:p>
    <w:p w14:paraId="6FE47545">
      <w:pPr>
        <w:ind w:firstLine="422"/>
        <w:jc w:val="left"/>
        <w:rPr>
          <w:rFonts w:ascii="宋体" w:hAnsi="宋体"/>
          <w:kern w:val="44"/>
        </w:rPr>
      </w:pPr>
      <w:r>
        <w:rPr>
          <w:rFonts w:hint="eastAsia" w:ascii="宋体" w:hAnsi="宋体"/>
          <w:b/>
          <w:kern w:val="44"/>
        </w:rPr>
        <w:t>第二十八条</w:t>
      </w:r>
      <w:r>
        <w:rPr>
          <w:rFonts w:hint="eastAsia" w:ascii="宋体" w:hAnsi="宋体"/>
          <w:kern w:val="44"/>
        </w:rPr>
        <w:t>　本条例施行前，市人民政府、市财政局、市物价局批准的行政性、事业性收费项目和收费标准，市人民政府或者市财政局、物价局应当按照本条例的规定重新审核，不符合本条例规定的收费项目或者收费标准的，予以取消或者调整。</w:t>
      </w:r>
    </w:p>
    <w:p w14:paraId="23C1D284">
      <w:pPr>
        <w:ind w:firstLine="422"/>
        <w:jc w:val="left"/>
        <w:rPr>
          <w:rFonts w:ascii="宋体" w:hAnsi="宋体"/>
          <w:kern w:val="44"/>
        </w:rPr>
      </w:pPr>
      <w:r>
        <w:rPr>
          <w:rFonts w:hint="eastAsia" w:ascii="宋体" w:hAnsi="宋体"/>
          <w:b/>
          <w:kern w:val="44"/>
        </w:rPr>
        <w:t>第二十九条</w:t>
      </w:r>
      <w:r>
        <w:rPr>
          <w:rFonts w:hint="eastAsia" w:ascii="宋体" w:hAnsi="宋体"/>
          <w:kern w:val="44"/>
        </w:rPr>
        <w:t>　医疗收费管理，由市人民政府依照本条例结合医疗制度改革制定具体办法。</w:t>
      </w:r>
    </w:p>
    <w:p w14:paraId="79A33EBA">
      <w:pPr>
        <w:ind w:firstLine="422"/>
        <w:jc w:val="left"/>
        <w:rPr>
          <w:rFonts w:ascii="宋体" w:hAnsi="宋体"/>
          <w:kern w:val="44"/>
        </w:rPr>
      </w:pPr>
      <w:r>
        <w:rPr>
          <w:rFonts w:hint="eastAsia" w:ascii="宋体" w:hAnsi="宋体"/>
          <w:b/>
          <w:kern w:val="44"/>
        </w:rPr>
        <w:t>第三十条</w:t>
      </w:r>
      <w:r>
        <w:rPr>
          <w:rFonts w:hint="eastAsia" w:ascii="宋体" w:hAnsi="宋体"/>
          <w:kern w:val="44"/>
        </w:rPr>
        <w:t>　本条例具体应用中的问题，由市人民政府负责解释。</w:t>
      </w:r>
    </w:p>
    <w:p w14:paraId="199EA988">
      <w:pPr>
        <w:ind w:firstLine="422"/>
        <w:jc w:val="left"/>
        <w:rPr>
          <w:rFonts w:ascii="宋体" w:hAnsi="宋体"/>
          <w:kern w:val="44"/>
        </w:rPr>
      </w:pPr>
      <w:r>
        <w:rPr>
          <w:rFonts w:hint="eastAsia" w:ascii="宋体" w:hAnsi="宋体"/>
          <w:b/>
          <w:kern w:val="44"/>
        </w:rPr>
        <w:t>第三十一条</w:t>
      </w:r>
      <w:r>
        <w:rPr>
          <w:rFonts w:hint="eastAsia" w:ascii="宋体" w:hAnsi="宋体"/>
          <w:kern w:val="44"/>
        </w:rPr>
        <w:t>　本条例自1994年6月1日起施行。</w:t>
      </w:r>
    </w:p>
    <w:p w14:paraId="38AA65DF">
      <w:pPr>
        <w:pStyle w:val="4"/>
        <w:pageBreakBefore/>
        <w:rPr>
          <w:kern w:val="44"/>
        </w:rPr>
      </w:pPr>
      <w:bookmarkStart w:id="449" w:name="_Toc427651451"/>
      <w:bookmarkStart w:id="450" w:name="_Toc428780017"/>
      <w:bookmarkStart w:id="451" w:name="_Toc427651793"/>
      <w:bookmarkStart w:id="452" w:name="_Toc422471141"/>
      <w:bookmarkStart w:id="453" w:name="_Toc428781499"/>
      <w:r>
        <w:rPr>
          <w:rFonts w:hint="eastAsia"/>
          <w:kern w:val="44"/>
        </w:rPr>
        <w:t>北京市预算监督条例</w:t>
      </w:r>
      <w:bookmarkEnd w:id="449"/>
      <w:bookmarkEnd w:id="450"/>
      <w:bookmarkEnd w:id="451"/>
      <w:bookmarkEnd w:id="452"/>
      <w:bookmarkEnd w:id="453"/>
    </w:p>
    <w:p w14:paraId="0C145285">
      <w:pPr>
        <w:ind w:left="630" w:leftChars="300" w:right="630" w:rightChars="300"/>
        <w:jc w:val="left"/>
        <w:rPr>
          <w:rFonts w:ascii="楷体" w:hAnsi="楷体" w:eastAsia="楷体"/>
          <w:kern w:val="44"/>
        </w:rPr>
      </w:pPr>
      <w:r>
        <w:rPr>
          <w:rFonts w:hint="eastAsia" w:ascii="楷体" w:hAnsi="楷体" w:eastAsia="楷体"/>
          <w:kern w:val="44"/>
        </w:rPr>
        <w:t>（1996年12月5日北京市第十届人民代表大会常务委员会第三十三次会议通过　2002年3月29日北京市第十一届人民代表大会常务委员会第三十三次会议第一次修订　根据2003年4月18日北京市第十二届人民代表大会常务委员会第二次会议通过的《北京市预算监督条例修正案》第二次修正　根据2007年3月30日北京市第十二届人民代表大会常务委员会第三十五次会议通过的《北京市预算监督条例修正案》第三次修正）</w:t>
      </w:r>
    </w:p>
    <w:p w14:paraId="7DE36104">
      <w:pPr>
        <w:ind w:left="630" w:leftChars="300" w:right="630" w:rightChars="300"/>
        <w:jc w:val="left"/>
        <w:rPr>
          <w:rFonts w:ascii="楷体" w:hAnsi="楷体" w:eastAsia="楷体"/>
          <w:kern w:val="44"/>
        </w:rPr>
      </w:pPr>
    </w:p>
    <w:p w14:paraId="76139B3F">
      <w:pPr>
        <w:ind w:firstLine="0" w:firstLineChars="0"/>
        <w:jc w:val="center"/>
        <w:rPr>
          <w:rFonts w:ascii="宋体" w:hAnsi="宋体"/>
          <w:b/>
          <w:kern w:val="44"/>
          <w:sz w:val="28"/>
        </w:rPr>
      </w:pPr>
      <w:r>
        <w:rPr>
          <w:rFonts w:hint="eastAsia" w:ascii="宋体" w:hAnsi="宋体"/>
          <w:b/>
          <w:kern w:val="44"/>
          <w:sz w:val="28"/>
        </w:rPr>
        <w:t>第一章　总　则</w:t>
      </w:r>
    </w:p>
    <w:p w14:paraId="5B844A02">
      <w:pPr>
        <w:jc w:val="left"/>
        <w:rPr>
          <w:rFonts w:ascii="宋体" w:hAnsi="宋体"/>
          <w:kern w:val="44"/>
        </w:rPr>
      </w:pPr>
    </w:p>
    <w:p w14:paraId="47CB897B">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为了加强对预算的监督，规范预算行为，根据《中华人民共和国预算法》（以下简称预算法）和有关法律、行政法规，结合本市实际情况，制定本条例。</w:t>
      </w:r>
    </w:p>
    <w:p w14:paraId="1F5E2C34">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本条例适用于市级预算、市级决算和市级预算变更的审查和批准，市总预算和市级预算执行情况的监督。</w:t>
      </w:r>
    </w:p>
    <w:p w14:paraId="62C1FA2D">
      <w:pPr>
        <w:ind w:firstLine="422"/>
        <w:jc w:val="left"/>
        <w:rPr>
          <w:rFonts w:ascii="宋体" w:hAnsi="宋体"/>
          <w:kern w:val="44"/>
        </w:rPr>
      </w:pPr>
      <w:r>
        <w:rPr>
          <w:rFonts w:hint="eastAsia" w:ascii="宋体" w:hAnsi="宋体"/>
          <w:b/>
          <w:kern w:val="44"/>
        </w:rPr>
        <w:t>第三条</w:t>
      </w:r>
      <w:r>
        <w:rPr>
          <w:rFonts w:hint="eastAsia" w:ascii="宋体" w:hAnsi="宋体"/>
          <w:kern w:val="44"/>
        </w:rPr>
        <w:t>　市人民代表大会审查市总预算草案及市总预算执行情况的报告；批准市级预算和市级预算执行情况的报告；改变或者撤销市人民代表大会常务委员会（以下简称市人大常委会）关于预算、决算的不适当的决议；撤销市人民政府关于预算、决算的不适当的决定和命令。</w:t>
      </w:r>
    </w:p>
    <w:p w14:paraId="5B2D187D">
      <w:pPr>
        <w:jc w:val="left"/>
        <w:rPr>
          <w:rFonts w:ascii="宋体" w:hAnsi="宋体"/>
          <w:kern w:val="44"/>
        </w:rPr>
      </w:pPr>
      <w:r>
        <w:rPr>
          <w:rFonts w:hint="eastAsia" w:ascii="宋体" w:hAnsi="宋体"/>
          <w:kern w:val="44"/>
        </w:rPr>
        <w:t>经市人民代表大会批准的市级预算，非经法定程序，不得改变。</w:t>
      </w:r>
    </w:p>
    <w:p w14:paraId="16BDFF6E">
      <w:pPr>
        <w:ind w:firstLine="422"/>
        <w:jc w:val="left"/>
        <w:rPr>
          <w:rFonts w:ascii="宋体" w:hAnsi="宋体"/>
          <w:kern w:val="44"/>
        </w:rPr>
      </w:pPr>
      <w:r>
        <w:rPr>
          <w:rFonts w:hint="eastAsia" w:ascii="宋体" w:hAnsi="宋体"/>
          <w:b/>
          <w:kern w:val="44"/>
        </w:rPr>
        <w:t>第四条</w:t>
      </w:r>
      <w:r>
        <w:rPr>
          <w:rFonts w:hint="eastAsia" w:ascii="宋体" w:hAnsi="宋体"/>
          <w:kern w:val="44"/>
        </w:rPr>
        <w:t>　市人大常委会监督市总预算和市级预算的执行；审查和批准市级预算的变更；审查和批准市级决算；撤销市人民政府和下一级人民代表大会及其常务委员会关于预算、决算的不适当的决定、命令和决议。</w:t>
      </w:r>
    </w:p>
    <w:p w14:paraId="31F5EDF6">
      <w:pPr>
        <w:ind w:firstLine="422"/>
        <w:jc w:val="left"/>
        <w:rPr>
          <w:rFonts w:ascii="宋体" w:hAnsi="宋体"/>
          <w:kern w:val="44"/>
        </w:rPr>
      </w:pPr>
      <w:r>
        <w:rPr>
          <w:rFonts w:hint="eastAsia" w:ascii="宋体" w:hAnsi="宋体"/>
          <w:b/>
          <w:kern w:val="44"/>
        </w:rPr>
        <w:t>第五条</w:t>
      </w:r>
      <w:r>
        <w:rPr>
          <w:rFonts w:hint="eastAsia" w:ascii="宋体" w:hAnsi="宋体"/>
          <w:kern w:val="44"/>
        </w:rPr>
        <w:t>　市人民代表大会财政经济委员会（以下简称财经委员会）在市人民代表大会及其常委会的领导下，承担审查预算草案、决算草案、预算调整方案和监督预算执行的有关工作。</w:t>
      </w:r>
    </w:p>
    <w:p w14:paraId="0A8F7175">
      <w:pPr>
        <w:jc w:val="left"/>
        <w:rPr>
          <w:rFonts w:ascii="宋体" w:hAnsi="宋体"/>
          <w:kern w:val="44"/>
        </w:rPr>
      </w:pPr>
      <w:r>
        <w:rPr>
          <w:rFonts w:hint="eastAsia" w:ascii="宋体" w:hAnsi="宋体"/>
          <w:kern w:val="44"/>
        </w:rPr>
        <w:t>财经委员会履行前款规定的职责时，可以邀请有关专家参加。</w:t>
      </w:r>
    </w:p>
    <w:p w14:paraId="33BA349A">
      <w:pPr>
        <w:ind w:firstLine="422"/>
        <w:jc w:val="left"/>
        <w:rPr>
          <w:rFonts w:ascii="宋体" w:hAnsi="宋体"/>
          <w:kern w:val="44"/>
        </w:rPr>
      </w:pPr>
      <w:r>
        <w:rPr>
          <w:rFonts w:hint="eastAsia" w:ascii="宋体" w:hAnsi="宋体"/>
          <w:b/>
          <w:kern w:val="44"/>
        </w:rPr>
        <w:t>第六条</w:t>
      </w:r>
      <w:r>
        <w:rPr>
          <w:rFonts w:hint="eastAsia" w:ascii="宋体" w:hAnsi="宋体"/>
          <w:kern w:val="44"/>
        </w:rPr>
        <w:t>　市人民代表大会代表或者市人大常委会组成人员依照法律规定程序，就预算、决算中的有关问题提出询问或者质询，市人民政府或者有关部门必须研究处理并及时给予答复。</w:t>
      </w:r>
    </w:p>
    <w:p w14:paraId="04A33442">
      <w:pPr>
        <w:ind w:firstLine="422"/>
        <w:jc w:val="left"/>
        <w:rPr>
          <w:rFonts w:ascii="宋体" w:hAnsi="宋体"/>
          <w:kern w:val="44"/>
        </w:rPr>
      </w:pPr>
      <w:r>
        <w:rPr>
          <w:rFonts w:hint="eastAsia" w:ascii="宋体" w:hAnsi="宋体"/>
          <w:b/>
          <w:kern w:val="44"/>
        </w:rPr>
        <w:t>第七条</w:t>
      </w:r>
      <w:r>
        <w:rPr>
          <w:rFonts w:hint="eastAsia" w:ascii="宋体" w:hAnsi="宋体"/>
          <w:kern w:val="44"/>
        </w:rPr>
        <w:t>　市人民政府应当贯彻预算法和有关法律、法规；执行市人民代表大会通过的预算和关于预算的决议；做到先有预算，后有支出，严格按照预算支出；建立健全监督制约机制，加强对预算的监督管理。</w:t>
      </w:r>
    </w:p>
    <w:p w14:paraId="7409D513">
      <w:pPr>
        <w:jc w:val="left"/>
        <w:rPr>
          <w:rFonts w:ascii="宋体" w:hAnsi="宋体"/>
          <w:kern w:val="44"/>
        </w:rPr>
      </w:pPr>
      <w:r>
        <w:rPr>
          <w:rFonts w:hint="eastAsia" w:ascii="宋体" w:hAnsi="宋体"/>
          <w:kern w:val="44"/>
        </w:rPr>
        <w:t>市财政部门和市审计部门按照各自的职责依法对市级各部门进行财政监督和审计监督。</w:t>
      </w:r>
    </w:p>
    <w:p w14:paraId="55F00106">
      <w:pPr>
        <w:ind w:firstLine="422"/>
        <w:jc w:val="left"/>
        <w:rPr>
          <w:rFonts w:ascii="宋体" w:hAnsi="宋体"/>
          <w:kern w:val="44"/>
        </w:rPr>
      </w:pPr>
      <w:r>
        <w:rPr>
          <w:rFonts w:hint="eastAsia" w:ascii="宋体" w:hAnsi="宋体"/>
          <w:b/>
          <w:kern w:val="44"/>
        </w:rPr>
        <w:t>第八条</w:t>
      </w:r>
      <w:r>
        <w:rPr>
          <w:rFonts w:hint="eastAsia" w:ascii="宋体" w:hAnsi="宋体"/>
          <w:kern w:val="44"/>
        </w:rPr>
        <w:t>　鼓励、支持和保护公民、法人或者其他组织对违反预算法律、法规的行为进行社会监督和舆论监督。</w:t>
      </w:r>
    </w:p>
    <w:p w14:paraId="0988D1AF">
      <w:pPr>
        <w:jc w:val="left"/>
        <w:rPr>
          <w:rFonts w:ascii="宋体" w:hAnsi="宋体"/>
          <w:kern w:val="44"/>
        </w:rPr>
      </w:pPr>
      <w:r>
        <w:rPr>
          <w:rFonts w:hint="eastAsia" w:ascii="宋体" w:hAnsi="宋体"/>
          <w:kern w:val="44"/>
        </w:rPr>
        <w:t>公民、法人或者其他组织有权向有关国家机关检举、揭发违反预算法律、法规的行为，任何组织和个人不得打击报复。有关国家机关应当为检举、揭发者保密。</w:t>
      </w:r>
    </w:p>
    <w:p w14:paraId="3302D8D7">
      <w:pPr>
        <w:jc w:val="left"/>
        <w:rPr>
          <w:rFonts w:ascii="宋体" w:hAnsi="宋体"/>
          <w:kern w:val="44"/>
        </w:rPr>
      </w:pPr>
    </w:p>
    <w:p w14:paraId="177BF5F6">
      <w:pPr>
        <w:ind w:firstLine="0" w:firstLineChars="0"/>
        <w:jc w:val="center"/>
        <w:rPr>
          <w:rFonts w:ascii="宋体" w:hAnsi="宋体"/>
          <w:b/>
          <w:kern w:val="44"/>
          <w:sz w:val="28"/>
        </w:rPr>
      </w:pPr>
      <w:r>
        <w:rPr>
          <w:rFonts w:hint="eastAsia" w:ascii="宋体" w:hAnsi="宋体"/>
          <w:b/>
          <w:kern w:val="44"/>
          <w:sz w:val="28"/>
        </w:rPr>
        <w:t>第二章　预算草案主要内容</w:t>
      </w:r>
    </w:p>
    <w:p w14:paraId="43DC3372">
      <w:pPr>
        <w:ind w:firstLine="0" w:firstLineChars="0"/>
        <w:jc w:val="center"/>
        <w:rPr>
          <w:rFonts w:ascii="宋体" w:hAnsi="宋体"/>
          <w:b/>
          <w:kern w:val="44"/>
          <w:sz w:val="28"/>
        </w:rPr>
      </w:pPr>
      <w:r>
        <w:rPr>
          <w:rFonts w:hint="eastAsia" w:ascii="宋体" w:hAnsi="宋体"/>
          <w:b/>
          <w:kern w:val="44"/>
          <w:sz w:val="28"/>
        </w:rPr>
        <w:t xml:space="preserve">  的初步审查</w:t>
      </w:r>
    </w:p>
    <w:p w14:paraId="3C9B5314">
      <w:pPr>
        <w:jc w:val="left"/>
        <w:rPr>
          <w:rFonts w:ascii="宋体" w:hAnsi="宋体"/>
          <w:kern w:val="44"/>
        </w:rPr>
      </w:pPr>
    </w:p>
    <w:p w14:paraId="6DDEBC97">
      <w:pPr>
        <w:ind w:firstLine="422"/>
        <w:jc w:val="left"/>
        <w:rPr>
          <w:rFonts w:ascii="宋体" w:hAnsi="宋体"/>
          <w:kern w:val="44"/>
        </w:rPr>
      </w:pPr>
      <w:r>
        <w:rPr>
          <w:rFonts w:hint="eastAsia" w:ascii="宋体" w:hAnsi="宋体"/>
          <w:b/>
          <w:kern w:val="44"/>
        </w:rPr>
        <w:t>第九条</w:t>
      </w:r>
      <w:r>
        <w:rPr>
          <w:rFonts w:hint="eastAsia" w:ascii="宋体" w:hAnsi="宋体"/>
          <w:kern w:val="44"/>
        </w:rPr>
        <w:t>　市级各预算单位应当按照预算法和有关法律、法规的规定，在市人民政府规定的时间内完成部门预算的编制工作。部门预算应当综合预算内、外资金，编列到目。</w:t>
      </w:r>
    </w:p>
    <w:p w14:paraId="17EE58A1">
      <w:pPr>
        <w:ind w:firstLine="422"/>
        <w:jc w:val="left"/>
        <w:rPr>
          <w:rFonts w:ascii="宋体" w:hAnsi="宋体"/>
          <w:kern w:val="44"/>
        </w:rPr>
      </w:pPr>
      <w:r>
        <w:rPr>
          <w:rFonts w:hint="eastAsia" w:ascii="宋体" w:hAnsi="宋体"/>
          <w:b/>
          <w:kern w:val="44"/>
        </w:rPr>
        <w:t>第十条</w:t>
      </w:r>
      <w:r>
        <w:rPr>
          <w:rFonts w:hint="eastAsia" w:ascii="宋体" w:hAnsi="宋体"/>
          <w:kern w:val="44"/>
        </w:rPr>
        <w:t>　在市人民代表大会会议举行的一个半月前，财经委员会依照本条例的规定对市财政部门提交的市级预算草案主要内容进行初步审查。</w:t>
      </w:r>
    </w:p>
    <w:p w14:paraId="6F4BF082">
      <w:pPr>
        <w:jc w:val="left"/>
        <w:rPr>
          <w:rFonts w:ascii="宋体" w:hAnsi="宋体"/>
          <w:kern w:val="44"/>
        </w:rPr>
      </w:pPr>
      <w:r>
        <w:rPr>
          <w:rFonts w:hint="eastAsia" w:ascii="宋体" w:hAnsi="宋体"/>
          <w:kern w:val="44"/>
        </w:rPr>
        <w:t>市人民代表大会及其常委会有关机构负责人列席初步审查会议，参与市级预算草案主要内容的审查工作。</w:t>
      </w:r>
    </w:p>
    <w:p w14:paraId="14F4D8F1">
      <w:pPr>
        <w:jc w:val="left"/>
        <w:rPr>
          <w:rFonts w:ascii="宋体" w:hAnsi="宋体"/>
          <w:kern w:val="44"/>
        </w:rPr>
      </w:pPr>
      <w:r>
        <w:rPr>
          <w:rFonts w:hint="eastAsia" w:ascii="宋体" w:hAnsi="宋体"/>
          <w:kern w:val="44"/>
        </w:rPr>
        <w:t>市财政部门负责人应当到会对市级预算草案主要内容进行说明，并回答询问。</w:t>
      </w:r>
    </w:p>
    <w:p w14:paraId="239040ED">
      <w:pPr>
        <w:ind w:firstLine="422"/>
        <w:jc w:val="left"/>
        <w:rPr>
          <w:rFonts w:ascii="宋体" w:hAnsi="宋体"/>
          <w:kern w:val="44"/>
        </w:rPr>
      </w:pPr>
      <w:r>
        <w:rPr>
          <w:rFonts w:hint="eastAsia" w:ascii="宋体" w:hAnsi="宋体"/>
          <w:b/>
          <w:kern w:val="44"/>
        </w:rPr>
        <w:t>第十一条</w:t>
      </w:r>
      <w:r>
        <w:rPr>
          <w:rFonts w:hint="eastAsia" w:ascii="宋体" w:hAnsi="宋体"/>
          <w:kern w:val="44"/>
        </w:rPr>
        <w:t>　财经委员会对市级预算草案主要内容进行初步审查，可以要求市人民政府发展计划、税务、统计等相关部门汇报情况并提供相应材料。</w:t>
      </w:r>
    </w:p>
    <w:p w14:paraId="1C9396A1">
      <w:pPr>
        <w:jc w:val="left"/>
        <w:rPr>
          <w:rFonts w:ascii="宋体" w:hAnsi="宋体"/>
          <w:kern w:val="44"/>
        </w:rPr>
      </w:pPr>
      <w:r>
        <w:rPr>
          <w:rFonts w:hint="eastAsia" w:ascii="宋体" w:hAnsi="宋体"/>
          <w:kern w:val="44"/>
        </w:rPr>
        <w:t>财经委员会可以听取市级预算单位的部门预算编制情况汇报。</w:t>
      </w:r>
    </w:p>
    <w:p w14:paraId="0BB53486">
      <w:pPr>
        <w:ind w:firstLine="422"/>
        <w:jc w:val="left"/>
        <w:rPr>
          <w:rFonts w:ascii="宋体" w:hAnsi="宋体"/>
          <w:kern w:val="44"/>
        </w:rPr>
      </w:pPr>
      <w:r>
        <w:rPr>
          <w:rFonts w:hint="eastAsia" w:ascii="宋体" w:hAnsi="宋体"/>
          <w:b/>
          <w:kern w:val="44"/>
        </w:rPr>
        <w:t>第十二条</w:t>
      </w:r>
      <w:r>
        <w:rPr>
          <w:rFonts w:hint="eastAsia" w:ascii="宋体" w:hAnsi="宋体"/>
          <w:kern w:val="44"/>
        </w:rPr>
        <w:t>　市财政、发展计划、税务等部门应当在召开初步审查会议7日前，向财经委员会提供下列材料：</w:t>
      </w:r>
    </w:p>
    <w:p w14:paraId="560BCC44">
      <w:pPr>
        <w:jc w:val="left"/>
        <w:rPr>
          <w:rFonts w:ascii="宋体" w:hAnsi="宋体"/>
          <w:kern w:val="44"/>
        </w:rPr>
      </w:pPr>
      <w:r>
        <w:rPr>
          <w:rFonts w:hint="eastAsia" w:ascii="宋体" w:hAnsi="宋体"/>
          <w:kern w:val="44"/>
        </w:rPr>
        <w:t>（一）国务院、财政部关于编制预算的要求；</w:t>
      </w:r>
    </w:p>
    <w:p w14:paraId="18571916">
      <w:pPr>
        <w:jc w:val="left"/>
        <w:rPr>
          <w:rFonts w:ascii="宋体" w:hAnsi="宋体"/>
          <w:kern w:val="44"/>
        </w:rPr>
      </w:pPr>
      <w:r>
        <w:rPr>
          <w:rFonts w:hint="eastAsia" w:ascii="宋体" w:hAnsi="宋体"/>
          <w:kern w:val="44"/>
        </w:rPr>
        <w:t>（二）上一年度预算执行情况和本年度预算安排的说明；</w:t>
      </w:r>
    </w:p>
    <w:p w14:paraId="4789FDC0">
      <w:pPr>
        <w:jc w:val="left"/>
        <w:rPr>
          <w:rFonts w:ascii="宋体" w:hAnsi="宋体"/>
          <w:kern w:val="44"/>
        </w:rPr>
      </w:pPr>
      <w:r>
        <w:rPr>
          <w:rFonts w:hint="eastAsia" w:ascii="宋体" w:hAnsi="宋体"/>
          <w:kern w:val="44"/>
        </w:rPr>
        <w:t>（三）科目列到类、重要的列到款的预算表，政府性基金预算表；</w:t>
      </w:r>
    </w:p>
    <w:p w14:paraId="1663740B">
      <w:pPr>
        <w:jc w:val="left"/>
        <w:rPr>
          <w:rFonts w:ascii="宋体" w:hAnsi="宋体"/>
          <w:kern w:val="44"/>
        </w:rPr>
      </w:pPr>
      <w:r>
        <w:rPr>
          <w:rFonts w:hint="eastAsia" w:ascii="宋体" w:hAnsi="宋体"/>
          <w:kern w:val="44"/>
        </w:rPr>
        <w:t>（四）市级预算单位的部门预算草案；</w:t>
      </w:r>
    </w:p>
    <w:p w14:paraId="273F090E">
      <w:pPr>
        <w:jc w:val="left"/>
        <w:rPr>
          <w:rFonts w:ascii="宋体" w:hAnsi="宋体"/>
          <w:kern w:val="44"/>
        </w:rPr>
      </w:pPr>
      <w:r>
        <w:rPr>
          <w:rFonts w:hint="eastAsia" w:ascii="宋体" w:hAnsi="宋体"/>
          <w:kern w:val="44"/>
        </w:rPr>
        <w:t>（五）本年度税收计划；</w:t>
      </w:r>
    </w:p>
    <w:p w14:paraId="3DC59CCB">
      <w:pPr>
        <w:jc w:val="left"/>
        <w:rPr>
          <w:rFonts w:ascii="宋体" w:hAnsi="宋体"/>
          <w:kern w:val="44"/>
        </w:rPr>
      </w:pPr>
      <w:r>
        <w:rPr>
          <w:rFonts w:hint="eastAsia" w:ascii="宋体" w:hAnsi="宋体"/>
          <w:kern w:val="44"/>
        </w:rPr>
        <w:t>（六）市级预算单位预算外资金收支安排情况；</w:t>
      </w:r>
    </w:p>
    <w:p w14:paraId="1D4F2374">
      <w:pPr>
        <w:jc w:val="left"/>
        <w:rPr>
          <w:rFonts w:ascii="宋体" w:hAnsi="宋体"/>
          <w:kern w:val="44"/>
        </w:rPr>
      </w:pPr>
      <w:r>
        <w:rPr>
          <w:rFonts w:hint="eastAsia" w:ascii="宋体" w:hAnsi="宋体"/>
          <w:kern w:val="44"/>
        </w:rPr>
        <w:t>（七）农业、教育、科技、社会保障支出安排情况；</w:t>
      </w:r>
    </w:p>
    <w:p w14:paraId="30EC6F0B">
      <w:pPr>
        <w:jc w:val="left"/>
        <w:rPr>
          <w:rFonts w:ascii="宋体" w:hAnsi="宋体"/>
          <w:kern w:val="44"/>
        </w:rPr>
      </w:pPr>
      <w:r>
        <w:rPr>
          <w:rFonts w:hint="eastAsia" w:ascii="宋体" w:hAnsi="宋体"/>
          <w:kern w:val="44"/>
        </w:rPr>
        <w:t>（八）政府采购计划和市对区、县的转移支付方案；</w:t>
      </w:r>
    </w:p>
    <w:p w14:paraId="41B94D9A">
      <w:pPr>
        <w:jc w:val="left"/>
        <w:rPr>
          <w:rFonts w:ascii="宋体" w:hAnsi="宋体"/>
          <w:kern w:val="44"/>
        </w:rPr>
      </w:pPr>
      <w:r>
        <w:rPr>
          <w:rFonts w:hint="eastAsia" w:ascii="宋体" w:hAnsi="宋体"/>
          <w:kern w:val="44"/>
        </w:rPr>
        <w:t>（九）市财政资金安排的主要建设项目；</w:t>
      </w:r>
    </w:p>
    <w:p w14:paraId="26AA45C9">
      <w:pPr>
        <w:jc w:val="left"/>
        <w:rPr>
          <w:rFonts w:ascii="宋体" w:hAnsi="宋体"/>
          <w:kern w:val="44"/>
        </w:rPr>
      </w:pPr>
      <w:r>
        <w:rPr>
          <w:rFonts w:hint="eastAsia" w:ascii="宋体" w:hAnsi="宋体"/>
          <w:kern w:val="44"/>
        </w:rPr>
        <w:t>（十）初步审查需要的其他材料。</w:t>
      </w:r>
    </w:p>
    <w:p w14:paraId="033A882A">
      <w:pPr>
        <w:ind w:firstLine="422"/>
        <w:jc w:val="left"/>
        <w:rPr>
          <w:rFonts w:ascii="宋体" w:hAnsi="宋体"/>
          <w:kern w:val="44"/>
        </w:rPr>
      </w:pPr>
      <w:r>
        <w:rPr>
          <w:rFonts w:hint="eastAsia" w:ascii="宋体" w:hAnsi="宋体"/>
          <w:b/>
          <w:kern w:val="44"/>
        </w:rPr>
        <w:t>第十三条</w:t>
      </w:r>
      <w:r>
        <w:rPr>
          <w:rFonts w:hint="eastAsia" w:ascii="宋体" w:hAnsi="宋体"/>
          <w:kern w:val="44"/>
        </w:rPr>
        <w:t xml:space="preserve">  财经委员会对市级预算草案主要内容进行如下审查：</w:t>
      </w:r>
    </w:p>
    <w:p w14:paraId="371114E1">
      <w:pPr>
        <w:jc w:val="left"/>
        <w:rPr>
          <w:rFonts w:ascii="宋体" w:hAnsi="宋体"/>
          <w:kern w:val="44"/>
        </w:rPr>
      </w:pPr>
      <w:r>
        <w:rPr>
          <w:rFonts w:hint="eastAsia" w:ascii="宋体" w:hAnsi="宋体"/>
          <w:kern w:val="44"/>
        </w:rPr>
        <w:t>（一）贯彻预算法和有关法律、法规以及有关的财政经济政策的情况；</w:t>
      </w:r>
    </w:p>
    <w:p w14:paraId="654D0397">
      <w:pPr>
        <w:jc w:val="left"/>
        <w:rPr>
          <w:rFonts w:ascii="宋体" w:hAnsi="宋体"/>
          <w:kern w:val="44"/>
        </w:rPr>
      </w:pPr>
      <w:r>
        <w:rPr>
          <w:rFonts w:hint="eastAsia" w:ascii="宋体" w:hAnsi="宋体"/>
          <w:kern w:val="44"/>
        </w:rPr>
        <w:t>（二）依据国民经济和社会发展计划以及贯彻量入为出、收支平衡、结构合理原则的情况；</w:t>
      </w:r>
    </w:p>
    <w:p w14:paraId="09A312A7">
      <w:pPr>
        <w:jc w:val="left"/>
        <w:rPr>
          <w:rFonts w:ascii="宋体" w:hAnsi="宋体"/>
          <w:kern w:val="44"/>
        </w:rPr>
      </w:pPr>
      <w:r>
        <w:rPr>
          <w:rFonts w:hint="eastAsia" w:ascii="宋体" w:hAnsi="宋体"/>
          <w:kern w:val="44"/>
        </w:rPr>
        <w:t>（三）预算收入的安排与国内生产总值增长相适应的情况；</w:t>
      </w:r>
    </w:p>
    <w:p w14:paraId="024D5BA2">
      <w:pPr>
        <w:jc w:val="left"/>
        <w:rPr>
          <w:rFonts w:ascii="宋体" w:hAnsi="宋体"/>
          <w:kern w:val="44"/>
        </w:rPr>
      </w:pPr>
      <w:r>
        <w:rPr>
          <w:rFonts w:hint="eastAsia" w:ascii="宋体" w:hAnsi="宋体"/>
          <w:kern w:val="44"/>
        </w:rPr>
        <w:t>（四）农业、教育、科技支出安排的情况；</w:t>
      </w:r>
    </w:p>
    <w:p w14:paraId="1266793F">
      <w:pPr>
        <w:jc w:val="left"/>
        <w:rPr>
          <w:rFonts w:ascii="宋体" w:hAnsi="宋体"/>
          <w:kern w:val="44"/>
        </w:rPr>
      </w:pPr>
      <w:r>
        <w:rPr>
          <w:rFonts w:hint="eastAsia" w:ascii="宋体" w:hAnsi="宋体"/>
          <w:kern w:val="44"/>
        </w:rPr>
        <w:t>（五）文化、卫生、社会保障等政府公共支出和基本建设支出的安排情况；</w:t>
      </w:r>
    </w:p>
    <w:p w14:paraId="7919D8D0">
      <w:pPr>
        <w:jc w:val="left"/>
        <w:rPr>
          <w:rFonts w:ascii="宋体" w:hAnsi="宋体"/>
          <w:kern w:val="44"/>
        </w:rPr>
      </w:pPr>
      <w:r>
        <w:rPr>
          <w:rFonts w:hint="eastAsia" w:ascii="宋体" w:hAnsi="宋体"/>
          <w:kern w:val="44"/>
        </w:rPr>
        <w:t>（六）群众关心的重要问题在预算中的收支安排情况；</w:t>
      </w:r>
    </w:p>
    <w:p w14:paraId="4F6B1555">
      <w:pPr>
        <w:jc w:val="left"/>
        <w:rPr>
          <w:rFonts w:ascii="宋体" w:hAnsi="宋体"/>
          <w:kern w:val="44"/>
        </w:rPr>
      </w:pPr>
      <w:r>
        <w:rPr>
          <w:rFonts w:hint="eastAsia" w:ascii="宋体" w:hAnsi="宋体"/>
          <w:kern w:val="44"/>
        </w:rPr>
        <w:t>（七）预备费设置情况；</w:t>
      </w:r>
    </w:p>
    <w:p w14:paraId="3C38B848">
      <w:pPr>
        <w:jc w:val="left"/>
        <w:rPr>
          <w:rFonts w:ascii="宋体" w:hAnsi="宋体"/>
          <w:kern w:val="44"/>
        </w:rPr>
      </w:pPr>
      <w:r>
        <w:rPr>
          <w:rFonts w:hint="eastAsia" w:ascii="宋体" w:hAnsi="宋体"/>
          <w:kern w:val="44"/>
        </w:rPr>
        <w:t>（八）为实现预算拟采取的措施；</w:t>
      </w:r>
    </w:p>
    <w:p w14:paraId="5CBAC56C">
      <w:pPr>
        <w:jc w:val="left"/>
        <w:rPr>
          <w:rFonts w:ascii="宋体" w:hAnsi="宋体"/>
          <w:kern w:val="44"/>
        </w:rPr>
      </w:pPr>
      <w:r>
        <w:rPr>
          <w:rFonts w:hint="eastAsia" w:ascii="宋体" w:hAnsi="宋体"/>
          <w:kern w:val="44"/>
        </w:rPr>
        <w:t>（九）其他重要问题。</w:t>
      </w:r>
    </w:p>
    <w:p w14:paraId="22C689BC">
      <w:pPr>
        <w:ind w:firstLine="422"/>
        <w:jc w:val="left"/>
        <w:rPr>
          <w:rFonts w:ascii="宋体" w:hAnsi="宋体"/>
          <w:kern w:val="44"/>
        </w:rPr>
      </w:pPr>
      <w:r>
        <w:rPr>
          <w:rFonts w:hint="eastAsia" w:ascii="宋体" w:hAnsi="宋体"/>
          <w:b/>
          <w:kern w:val="44"/>
        </w:rPr>
        <w:t>第十四条</w:t>
      </w:r>
      <w:r>
        <w:rPr>
          <w:rFonts w:hint="eastAsia" w:ascii="宋体" w:hAnsi="宋体"/>
          <w:kern w:val="44"/>
        </w:rPr>
        <w:t xml:space="preserve">  在财经委员会对市级预算草案主要内容初步审查会议后15日内，市财政部门应当将采纳审查意见的情况书面向财经委员会报告。</w:t>
      </w:r>
    </w:p>
    <w:p w14:paraId="707087FE">
      <w:pPr>
        <w:jc w:val="left"/>
        <w:rPr>
          <w:rFonts w:ascii="宋体" w:hAnsi="宋体"/>
          <w:kern w:val="44"/>
        </w:rPr>
      </w:pPr>
      <w:r>
        <w:rPr>
          <w:rFonts w:hint="eastAsia" w:ascii="宋体" w:hAnsi="宋体"/>
          <w:kern w:val="44"/>
        </w:rPr>
        <w:t>财经委员会将初步审查结果向市人大常委会主任会议（以下简称主任会议）报告。</w:t>
      </w:r>
    </w:p>
    <w:p w14:paraId="399CD257">
      <w:pPr>
        <w:jc w:val="left"/>
        <w:rPr>
          <w:rFonts w:ascii="宋体" w:hAnsi="宋体"/>
          <w:kern w:val="44"/>
        </w:rPr>
      </w:pPr>
    </w:p>
    <w:p w14:paraId="09FBB5E1">
      <w:pPr>
        <w:ind w:firstLine="0" w:firstLineChars="0"/>
        <w:jc w:val="center"/>
        <w:rPr>
          <w:rFonts w:ascii="宋体" w:hAnsi="宋体"/>
          <w:b/>
          <w:kern w:val="44"/>
          <w:sz w:val="28"/>
        </w:rPr>
      </w:pPr>
      <w:r>
        <w:rPr>
          <w:rFonts w:hint="eastAsia" w:ascii="宋体" w:hAnsi="宋体"/>
          <w:b/>
          <w:kern w:val="44"/>
          <w:sz w:val="28"/>
        </w:rPr>
        <w:t>第三章  预算执行情况的监督</w:t>
      </w:r>
    </w:p>
    <w:p w14:paraId="61CF5CF1">
      <w:pPr>
        <w:jc w:val="left"/>
        <w:rPr>
          <w:rFonts w:ascii="宋体" w:hAnsi="宋体"/>
          <w:kern w:val="44"/>
        </w:rPr>
      </w:pPr>
    </w:p>
    <w:p w14:paraId="139D37A8">
      <w:pPr>
        <w:ind w:firstLine="422"/>
        <w:jc w:val="left"/>
        <w:rPr>
          <w:rFonts w:ascii="宋体" w:hAnsi="宋体"/>
          <w:kern w:val="44"/>
        </w:rPr>
      </w:pPr>
      <w:r>
        <w:rPr>
          <w:rFonts w:hint="eastAsia" w:ascii="宋体" w:hAnsi="宋体"/>
          <w:b/>
          <w:kern w:val="44"/>
        </w:rPr>
        <w:t>第十五条</w:t>
      </w:r>
      <w:r>
        <w:rPr>
          <w:rFonts w:hint="eastAsia" w:ascii="宋体" w:hAnsi="宋体"/>
          <w:kern w:val="44"/>
        </w:rPr>
        <w:t>　经市人民代表大会批准的市级预算由市人民政府组织执行，具体工作由市财政部门负责。</w:t>
      </w:r>
    </w:p>
    <w:p w14:paraId="7FDA65A4">
      <w:pPr>
        <w:jc w:val="left"/>
        <w:rPr>
          <w:rFonts w:ascii="宋体" w:hAnsi="宋体"/>
          <w:kern w:val="44"/>
        </w:rPr>
      </w:pPr>
      <w:r>
        <w:rPr>
          <w:rFonts w:hint="eastAsia" w:ascii="宋体" w:hAnsi="宋体"/>
          <w:kern w:val="44"/>
        </w:rPr>
        <w:t>新预算年度开始后，在市人民代表大会批准预算前，市人民政府可以先按照上一年度同期的预算支出数额安排支出，批准预算后，按照批准的预算执行。</w:t>
      </w:r>
    </w:p>
    <w:p w14:paraId="10132679">
      <w:pPr>
        <w:ind w:firstLine="422"/>
        <w:jc w:val="left"/>
        <w:rPr>
          <w:rFonts w:ascii="宋体" w:hAnsi="宋体"/>
          <w:kern w:val="44"/>
        </w:rPr>
      </w:pPr>
      <w:r>
        <w:rPr>
          <w:rFonts w:hint="eastAsia" w:ascii="宋体" w:hAnsi="宋体"/>
          <w:b/>
          <w:kern w:val="44"/>
        </w:rPr>
        <w:t>第十六条</w:t>
      </w:r>
      <w:r>
        <w:rPr>
          <w:rFonts w:hint="eastAsia" w:ascii="宋体" w:hAnsi="宋体"/>
          <w:kern w:val="44"/>
        </w:rPr>
        <w:t>　市人民代表大会批准市级预算后，市财政部门应当自批准之日起30日内批复市级预算单位的部门预算。市级预算单位应当自市财政部门批复本单位预算之日起15日内，批复所属各单位预算。</w:t>
      </w:r>
    </w:p>
    <w:p w14:paraId="29F98FEA">
      <w:pPr>
        <w:jc w:val="left"/>
        <w:rPr>
          <w:rFonts w:ascii="宋体" w:hAnsi="宋体"/>
          <w:kern w:val="44"/>
        </w:rPr>
      </w:pPr>
      <w:r>
        <w:rPr>
          <w:rFonts w:hint="eastAsia" w:ascii="宋体" w:hAnsi="宋体"/>
          <w:kern w:val="44"/>
        </w:rPr>
        <w:t>市财政部门应当及时将部门预算的批复情况向财经委员会报告。</w:t>
      </w:r>
    </w:p>
    <w:p w14:paraId="2C32A89A">
      <w:pPr>
        <w:jc w:val="left"/>
        <w:rPr>
          <w:rFonts w:ascii="宋体" w:hAnsi="宋体"/>
          <w:kern w:val="44"/>
        </w:rPr>
      </w:pPr>
      <w:r>
        <w:rPr>
          <w:rFonts w:hint="eastAsia" w:ascii="宋体" w:hAnsi="宋体"/>
          <w:kern w:val="44"/>
        </w:rPr>
        <w:t>市人民政府应当及时将市级预算以及各区、县人民政府报送备案的预算汇总，报市人大常委会备案。</w:t>
      </w:r>
    </w:p>
    <w:p w14:paraId="180E034A">
      <w:pPr>
        <w:ind w:firstLine="422"/>
        <w:jc w:val="left"/>
        <w:rPr>
          <w:rFonts w:ascii="宋体" w:hAnsi="宋体"/>
          <w:kern w:val="44"/>
        </w:rPr>
      </w:pPr>
      <w:r>
        <w:rPr>
          <w:rFonts w:hint="eastAsia" w:ascii="宋体" w:hAnsi="宋体"/>
          <w:b/>
          <w:kern w:val="44"/>
        </w:rPr>
        <w:t>第十七条</w:t>
      </w:r>
      <w:r>
        <w:rPr>
          <w:rFonts w:hint="eastAsia" w:ascii="宋体" w:hAnsi="宋体"/>
          <w:kern w:val="44"/>
        </w:rPr>
        <w:t>　市人大常委会对市级预算执行情况监督的主要内容：</w:t>
      </w:r>
    </w:p>
    <w:p w14:paraId="22DA08B7">
      <w:pPr>
        <w:jc w:val="left"/>
        <w:rPr>
          <w:rFonts w:ascii="宋体" w:hAnsi="宋体"/>
          <w:kern w:val="44"/>
        </w:rPr>
      </w:pPr>
      <w:r>
        <w:rPr>
          <w:rFonts w:hint="eastAsia" w:ascii="宋体" w:hAnsi="宋体"/>
          <w:kern w:val="44"/>
        </w:rPr>
        <w:t>（一）执行市人民代表大会批准的预算决议情况；</w:t>
      </w:r>
    </w:p>
    <w:p w14:paraId="7DBE932F">
      <w:pPr>
        <w:jc w:val="left"/>
        <w:rPr>
          <w:rFonts w:ascii="宋体" w:hAnsi="宋体"/>
          <w:kern w:val="44"/>
        </w:rPr>
      </w:pPr>
      <w:r>
        <w:rPr>
          <w:rFonts w:hint="eastAsia" w:ascii="宋体" w:hAnsi="宋体"/>
          <w:kern w:val="44"/>
        </w:rPr>
        <w:t>（二）为实现预算采取的各项措施落实情况；</w:t>
      </w:r>
    </w:p>
    <w:p w14:paraId="2B9B716A">
      <w:pPr>
        <w:jc w:val="left"/>
        <w:rPr>
          <w:rFonts w:ascii="宋体" w:hAnsi="宋体"/>
          <w:kern w:val="44"/>
        </w:rPr>
      </w:pPr>
      <w:r>
        <w:rPr>
          <w:rFonts w:hint="eastAsia" w:ascii="宋体" w:hAnsi="宋体"/>
          <w:kern w:val="44"/>
        </w:rPr>
        <w:t>（三）按照批准的年度预算向市级预算单位批复预算的情况；</w:t>
      </w:r>
    </w:p>
    <w:p w14:paraId="01EA5E64">
      <w:pPr>
        <w:jc w:val="left"/>
        <w:rPr>
          <w:rFonts w:ascii="宋体" w:hAnsi="宋体"/>
          <w:kern w:val="44"/>
        </w:rPr>
      </w:pPr>
      <w:r>
        <w:rPr>
          <w:rFonts w:hint="eastAsia" w:ascii="宋体" w:hAnsi="宋体"/>
          <w:kern w:val="44"/>
        </w:rPr>
        <w:t>（四）预算收入和支出的管理情况；</w:t>
      </w:r>
    </w:p>
    <w:p w14:paraId="10210CD2">
      <w:pPr>
        <w:jc w:val="left"/>
        <w:rPr>
          <w:rFonts w:ascii="宋体" w:hAnsi="宋体"/>
          <w:kern w:val="44"/>
        </w:rPr>
      </w:pPr>
      <w:r>
        <w:rPr>
          <w:rFonts w:hint="eastAsia" w:ascii="宋体" w:hAnsi="宋体"/>
          <w:kern w:val="44"/>
        </w:rPr>
        <w:t>（五）部门预算制度建立和执行情况；</w:t>
      </w:r>
    </w:p>
    <w:p w14:paraId="418DB8B2">
      <w:pPr>
        <w:jc w:val="left"/>
        <w:rPr>
          <w:rFonts w:ascii="宋体" w:hAnsi="宋体"/>
          <w:kern w:val="44"/>
        </w:rPr>
      </w:pPr>
      <w:r>
        <w:rPr>
          <w:rFonts w:hint="eastAsia" w:ascii="宋体" w:hAnsi="宋体"/>
          <w:kern w:val="44"/>
        </w:rPr>
        <w:t>（六）法律、法规规定的有关项目预算执行情况；</w:t>
      </w:r>
    </w:p>
    <w:p w14:paraId="0B9C61C9">
      <w:pPr>
        <w:jc w:val="left"/>
        <w:rPr>
          <w:rFonts w:ascii="宋体" w:hAnsi="宋体"/>
          <w:kern w:val="44"/>
        </w:rPr>
      </w:pPr>
      <w:r>
        <w:rPr>
          <w:rFonts w:hint="eastAsia" w:ascii="宋体" w:hAnsi="宋体"/>
          <w:kern w:val="44"/>
        </w:rPr>
        <w:t>（七）项目资金使用情况；</w:t>
      </w:r>
    </w:p>
    <w:p w14:paraId="704B52FC">
      <w:pPr>
        <w:jc w:val="left"/>
        <w:rPr>
          <w:rFonts w:ascii="宋体" w:hAnsi="宋体"/>
          <w:kern w:val="44"/>
        </w:rPr>
      </w:pPr>
      <w:r>
        <w:rPr>
          <w:rFonts w:hint="eastAsia" w:ascii="宋体" w:hAnsi="宋体"/>
          <w:kern w:val="44"/>
        </w:rPr>
        <w:t>（八）预备费的使用情况；</w:t>
      </w:r>
    </w:p>
    <w:p w14:paraId="2ACED78C">
      <w:pPr>
        <w:jc w:val="left"/>
        <w:rPr>
          <w:rFonts w:ascii="宋体" w:hAnsi="宋体"/>
          <w:kern w:val="44"/>
        </w:rPr>
      </w:pPr>
      <w:r>
        <w:rPr>
          <w:rFonts w:hint="eastAsia" w:ascii="宋体" w:hAnsi="宋体"/>
          <w:kern w:val="44"/>
        </w:rPr>
        <w:t>（九）预算外资金收支管理情况；</w:t>
      </w:r>
    </w:p>
    <w:p w14:paraId="1AA4E98B">
      <w:pPr>
        <w:jc w:val="left"/>
        <w:rPr>
          <w:rFonts w:ascii="宋体" w:hAnsi="宋体"/>
          <w:kern w:val="44"/>
        </w:rPr>
      </w:pPr>
      <w:r>
        <w:rPr>
          <w:rFonts w:hint="eastAsia" w:ascii="宋体" w:hAnsi="宋体"/>
          <w:kern w:val="44"/>
        </w:rPr>
        <w:t>（十）市级预算执行中的其他重要问题。</w:t>
      </w:r>
    </w:p>
    <w:p w14:paraId="37CB58BB">
      <w:pPr>
        <w:ind w:firstLine="422"/>
        <w:jc w:val="left"/>
        <w:rPr>
          <w:rFonts w:ascii="宋体" w:hAnsi="宋体"/>
          <w:kern w:val="44"/>
        </w:rPr>
      </w:pPr>
      <w:r>
        <w:rPr>
          <w:rFonts w:hint="eastAsia" w:ascii="宋体" w:hAnsi="宋体"/>
          <w:b/>
          <w:kern w:val="44"/>
        </w:rPr>
        <w:t>第十八条</w:t>
      </w:r>
      <w:r>
        <w:rPr>
          <w:rFonts w:hint="eastAsia" w:ascii="宋体" w:hAnsi="宋体"/>
          <w:kern w:val="44"/>
        </w:rPr>
        <w:t>　市人民政府应当在每年第三季度向市人大常委会报告上半年预算执行情况。</w:t>
      </w:r>
    </w:p>
    <w:p w14:paraId="18788530">
      <w:pPr>
        <w:jc w:val="left"/>
        <w:rPr>
          <w:rFonts w:ascii="宋体" w:hAnsi="宋体"/>
          <w:kern w:val="44"/>
        </w:rPr>
      </w:pPr>
      <w:r>
        <w:rPr>
          <w:rFonts w:hint="eastAsia" w:ascii="宋体" w:hAnsi="宋体"/>
          <w:kern w:val="44"/>
        </w:rPr>
        <w:t>市财政部门应当在每季度终了后，向财经委员会报告预算执行情况，并按月提供预算收支报表等有关资料。财经委员会将预算执行中的重大问题及时报告主任会议。</w:t>
      </w:r>
    </w:p>
    <w:p w14:paraId="518FF52D">
      <w:pPr>
        <w:jc w:val="left"/>
        <w:rPr>
          <w:rFonts w:ascii="宋体" w:hAnsi="宋体"/>
          <w:kern w:val="44"/>
        </w:rPr>
      </w:pPr>
      <w:r>
        <w:rPr>
          <w:rFonts w:hint="eastAsia" w:ascii="宋体" w:hAnsi="宋体"/>
          <w:kern w:val="44"/>
        </w:rPr>
        <w:t>财经委员会可以要求有关部门汇报部门预算和政府采购预算的执行情况。</w:t>
      </w:r>
    </w:p>
    <w:p w14:paraId="110D8756">
      <w:pPr>
        <w:ind w:firstLine="422"/>
        <w:jc w:val="left"/>
        <w:rPr>
          <w:rFonts w:ascii="宋体" w:hAnsi="宋体"/>
          <w:kern w:val="44"/>
        </w:rPr>
      </w:pPr>
      <w:r>
        <w:rPr>
          <w:rFonts w:hint="eastAsia" w:ascii="宋体" w:hAnsi="宋体"/>
          <w:b/>
          <w:kern w:val="44"/>
        </w:rPr>
        <w:t>第十九条</w:t>
      </w:r>
      <w:r>
        <w:rPr>
          <w:rFonts w:hint="eastAsia" w:ascii="宋体" w:hAnsi="宋体"/>
          <w:kern w:val="44"/>
        </w:rPr>
        <w:t>　财经委员会或者市人民代表大会及其常委会有关机构根据主任会议的决定，对预算执行中的重大问题进行调查，可以组织听证会，查阅会计</w:t>
      </w:r>
      <w:r>
        <w:rPr>
          <w:rFonts w:hint="eastAsia" w:ascii="宋体" w:hAnsi="宋体"/>
          <w:kern w:val="44"/>
          <w:lang w:eastAsia="zh-CN"/>
        </w:rPr>
        <w:t>账目</w:t>
      </w:r>
      <w:r>
        <w:rPr>
          <w:rFonts w:hint="eastAsia" w:ascii="宋体" w:hAnsi="宋体"/>
          <w:kern w:val="44"/>
        </w:rPr>
        <w:t>等有关资料，并向主任会议报告调查结果。经主任会议决定，可以将调查结果提请市人大常委会审议。市人大常委会可以根据调查结果作出相应决议。</w:t>
      </w:r>
    </w:p>
    <w:p w14:paraId="5C33BFF4">
      <w:pPr>
        <w:jc w:val="left"/>
        <w:rPr>
          <w:rFonts w:ascii="宋体" w:hAnsi="宋体"/>
          <w:kern w:val="44"/>
        </w:rPr>
      </w:pPr>
      <w:r>
        <w:rPr>
          <w:rFonts w:hint="eastAsia" w:ascii="宋体" w:hAnsi="宋体"/>
          <w:kern w:val="44"/>
        </w:rPr>
        <w:t>本市各级人民政府有关部门、单位和个人应当积极协助、配合调查，如实反映情况，提供调查所需要的材料。</w:t>
      </w:r>
    </w:p>
    <w:p w14:paraId="79E00134">
      <w:pPr>
        <w:ind w:firstLine="422"/>
        <w:jc w:val="left"/>
        <w:rPr>
          <w:rFonts w:ascii="宋体" w:hAnsi="宋体"/>
          <w:kern w:val="44"/>
        </w:rPr>
      </w:pPr>
      <w:r>
        <w:rPr>
          <w:rFonts w:hint="eastAsia" w:ascii="宋体" w:hAnsi="宋体"/>
          <w:b/>
          <w:kern w:val="44"/>
        </w:rPr>
        <w:t>第二十条</w:t>
      </w:r>
      <w:r>
        <w:rPr>
          <w:rFonts w:hint="eastAsia" w:ascii="宋体" w:hAnsi="宋体"/>
          <w:kern w:val="44"/>
        </w:rPr>
        <w:t>　市人民政府审计部门应当依法对市级预算执行和其他财政收支情况进行审计。市人民政府应当向市人大常委会提出审计部门对预算执行和其他财政收支的审计工作报告。</w:t>
      </w:r>
    </w:p>
    <w:p w14:paraId="4DAD3E76">
      <w:pPr>
        <w:jc w:val="left"/>
        <w:rPr>
          <w:rFonts w:ascii="宋体" w:hAnsi="宋体"/>
          <w:kern w:val="44"/>
        </w:rPr>
      </w:pPr>
      <w:r>
        <w:rPr>
          <w:rFonts w:hint="eastAsia" w:ascii="宋体" w:hAnsi="宋体"/>
          <w:kern w:val="44"/>
        </w:rPr>
        <w:t>市人民政府应当责成市审计部门将日常审计发现的预算执行中的重要问题，及时向财经委员会通报。</w:t>
      </w:r>
    </w:p>
    <w:p w14:paraId="04071AC6">
      <w:pPr>
        <w:ind w:firstLine="422"/>
        <w:jc w:val="left"/>
        <w:rPr>
          <w:rFonts w:ascii="宋体" w:hAnsi="宋体"/>
          <w:kern w:val="44"/>
        </w:rPr>
      </w:pPr>
      <w:r>
        <w:rPr>
          <w:rFonts w:hint="eastAsia" w:ascii="宋体" w:hAnsi="宋体"/>
          <w:b/>
          <w:kern w:val="44"/>
        </w:rPr>
        <w:t>第二十一条</w:t>
      </w:r>
      <w:r>
        <w:rPr>
          <w:rFonts w:hint="eastAsia" w:ascii="宋体" w:hAnsi="宋体"/>
          <w:kern w:val="44"/>
        </w:rPr>
        <w:t>　在预算执行过程中，主任会议认为必要时，可以要求市人民政府责成市审计部门进行专项审计并报告审计结果。经主任会议决定，可以将专项审计结果提请市人大常委会审议。</w:t>
      </w:r>
    </w:p>
    <w:p w14:paraId="0434ED5F">
      <w:pPr>
        <w:jc w:val="left"/>
        <w:rPr>
          <w:rFonts w:ascii="宋体" w:hAnsi="宋体"/>
          <w:kern w:val="44"/>
        </w:rPr>
      </w:pPr>
    </w:p>
    <w:p w14:paraId="38565B34">
      <w:pPr>
        <w:ind w:firstLine="0" w:firstLineChars="0"/>
        <w:jc w:val="center"/>
        <w:rPr>
          <w:rFonts w:ascii="宋体" w:hAnsi="宋体"/>
          <w:b/>
          <w:kern w:val="44"/>
          <w:sz w:val="28"/>
        </w:rPr>
      </w:pPr>
      <w:r>
        <w:rPr>
          <w:rFonts w:hint="eastAsia" w:ascii="宋体" w:hAnsi="宋体"/>
          <w:b/>
          <w:kern w:val="44"/>
          <w:sz w:val="28"/>
        </w:rPr>
        <w:t>第四章  预算变更的审查和批准</w:t>
      </w:r>
    </w:p>
    <w:p w14:paraId="2F6A1D2A">
      <w:pPr>
        <w:jc w:val="left"/>
        <w:rPr>
          <w:rFonts w:ascii="宋体" w:hAnsi="宋体"/>
          <w:kern w:val="44"/>
        </w:rPr>
      </w:pPr>
    </w:p>
    <w:p w14:paraId="56153D25">
      <w:pPr>
        <w:ind w:firstLine="422"/>
        <w:jc w:val="left"/>
        <w:rPr>
          <w:rFonts w:ascii="宋体" w:hAnsi="宋体"/>
          <w:kern w:val="44"/>
        </w:rPr>
      </w:pPr>
      <w:r>
        <w:rPr>
          <w:rFonts w:hint="eastAsia" w:ascii="宋体" w:hAnsi="宋体"/>
          <w:b/>
          <w:kern w:val="44"/>
        </w:rPr>
        <w:t>第二十二条</w:t>
      </w:r>
      <w:r>
        <w:rPr>
          <w:rFonts w:hint="eastAsia" w:ascii="宋体" w:hAnsi="宋体"/>
          <w:kern w:val="44"/>
        </w:rPr>
        <w:t>　市级预算超收收入应当优先用于农业、教育、科技、社会保障等重点项目和其他必要的支出。在市级预算执行过程中，需要动用超收收入追加支出时，市人民政府应当编制预计超收收入使用方案，由市财政部门将编制预计超收收入使用方案的有关情况及时向财经委员会通报。市人民政府应当将预计超收收入使用方案报市人大常委会备案，并向市人民代表大会报告超收收入安排使用情况。</w:t>
      </w:r>
    </w:p>
    <w:p w14:paraId="7F5682BB">
      <w:pPr>
        <w:ind w:firstLine="422"/>
        <w:jc w:val="left"/>
        <w:rPr>
          <w:rFonts w:ascii="宋体" w:hAnsi="宋体"/>
          <w:kern w:val="44"/>
        </w:rPr>
      </w:pPr>
      <w:r>
        <w:rPr>
          <w:rFonts w:hint="eastAsia" w:ascii="宋体" w:hAnsi="宋体"/>
          <w:b/>
          <w:kern w:val="44"/>
        </w:rPr>
        <w:t>第二十三条</w:t>
      </w:r>
      <w:r>
        <w:rPr>
          <w:rFonts w:hint="eastAsia" w:ascii="宋体" w:hAnsi="宋体"/>
          <w:kern w:val="44"/>
        </w:rPr>
        <w:t>　预算执行中应当严格控制不同预算科目之间的资金调剂，市级各预算单位的预算支出应当按照预算科目执行；确需作出调剂的，必须经市财政部门同意。市级预算安排的农业、教育、科技、文化、卫生和社会保障等重点支出的调减，必须经市人大常委会审查和批准。</w:t>
      </w:r>
    </w:p>
    <w:p w14:paraId="3DFC9596">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市人民代表大会批准的市级预算在执行中，因特殊情况需要增加支出或者减少收入，使原批准的收支平衡的预算的总支出超过总收入，市人民政府必须依法编制预算调整方案，提请市人大常委会审查和批准。</w:t>
      </w:r>
    </w:p>
    <w:p w14:paraId="349793BD">
      <w:pPr>
        <w:ind w:firstLine="422"/>
        <w:jc w:val="left"/>
        <w:rPr>
          <w:rFonts w:ascii="宋体" w:hAnsi="宋体"/>
          <w:kern w:val="44"/>
        </w:rPr>
      </w:pPr>
      <w:r>
        <w:rPr>
          <w:rFonts w:hint="eastAsia" w:ascii="宋体" w:hAnsi="宋体"/>
          <w:b/>
          <w:kern w:val="44"/>
        </w:rPr>
        <w:t>第二十五条</w:t>
      </w:r>
      <w:r>
        <w:rPr>
          <w:rFonts w:hint="eastAsia" w:ascii="宋体" w:hAnsi="宋体"/>
          <w:kern w:val="44"/>
        </w:rPr>
        <w:t>　在市人大常委会举行会议审查批准市级预算调整方案的一个月前，市财政部门应当将市级预算调整的初步方案提交财经委员会初步审查。</w:t>
      </w:r>
    </w:p>
    <w:p w14:paraId="727F96FA">
      <w:pPr>
        <w:jc w:val="left"/>
        <w:rPr>
          <w:rFonts w:ascii="宋体" w:hAnsi="宋体"/>
          <w:kern w:val="44"/>
        </w:rPr>
      </w:pPr>
    </w:p>
    <w:p w14:paraId="02673697">
      <w:pPr>
        <w:ind w:firstLine="0" w:firstLineChars="0"/>
        <w:jc w:val="center"/>
        <w:rPr>
          <w:rFonts w:ascii="宋体" w:hAnsi="宋体"/>
          <w:b/>
          <w:kern w:val="44"/>
          <w:sz w:val="28"/>
        </w:rPr>
      </w:pPr>
      <w:r>
        <w:rPr>
          <w:rFonts w:hint="eastAsia" w:ascii="宋体" w:hAnsi="宋体"/>
          <w:b/>
          <w:kern w:val="44"/>
          <w:sz w:val="28"/>
        </w:rPr>
        <w:t>第五章  决算的审查和批准</w:t>
      </w:r>
    </w:p>
    <w:p w14:paraId="7BA32B52">
      <w:pPr>
        <w:jc w:val="left"/>
        <w:rPr>
          <w:rFonts w:ascii="宋体" w:hAnsi="宋体"/>
          <w:kern w:val="44"/>
        </w:rPr>
      </w:pPr>
    </w:p>
    <w:p w14:paraId="33D9C7BA">
      <w:pPr>
        <w:ind w:firstLine="422"/>
        <w:jc w:val="left"/>
        <w:rPr>
          <w:rFonts w:ascii="宋体" w:hAnsi="宋体"/>
          <w:kern w:val="44"/>
        </w:rPr>
      </w:pPr>
      <w:r>
        <w:rPr>
          <w:rFonts w:hint="eastAsia" w:ascii="宋体" w:hAnsi="宋体"/>
          <w:b/>
          <w:kern w:val="44"/>
        </w:rPr>
        <w:t>第二十六条</w:t>
      </w:r>
      <w:r>
        <w:rPr>
          <w:rFonts w:hint="eastAsia" w:ascii="宋体" w:hAnsi="宋体"/>
          <w:kern w:val="44"/>
        </w:rPr>
        <w:t>　预算年度终了后，市人民政府应当及时编制市级决算草案，于7月底前提请市人大常委会审查和批准。</w:t>
      </w:r>
    </w:p>
    <w:p w14:paraId="64C56EEA">
      <w:pPr>
        <w:jc w:val="left"/>
        <w:rPr>
          <w:rFonts w:ascii="宋体" w:hAnsi="宋体"/>
          <w:kern w:val="44"/>
        </w:rPr>
      </w:pPr>
      <w:r>
        <w:rPr>
          <w:rFonts w:hint="eastAsia" w:ascii="宋体" w:hAnsi="宋体"/>
          <w:kern w:val="44"/>
        </w:rPr>
        <w:t>市人民政府应当在市人大常委会举行会议10日前，向常委会提交市级决算草案、决算的报告和市级预算执行和其他财政收支的审计工作报告。</w:t>
      </w:r>
    </w:p>
    <w:p w14:paraId="2A39E39C">
      <w:pPr>
        <w:ind w:firstLine="422"/>
        <w:jc w:val="left"/>
        <w:rPr>
          <w:rFonts w:ascii="宋体" w:hAnsi="宋体"/>
          <w:kern w:val="44"/>
        </w:rPr>
      </w:pPr>
      <w:r>
        <w:rPr>
          <w:rFonts w:hint="eastAsia" w:ascii="宋体" w:hAnsi="宋体"/>
          <w:b/>
          <w:kern w:val="44"/>
        </w:rPr>
        <w:t>第二十七条</w:t>
      </w:r>
      <w:r>
        <w:rPr>
          <w:rFonts w:hint="eastAsia" w:ascii="宋体" w:hAnsi="宋体"/>
          <w:kern w:val="44"/>
        </w:rPr>
        <w:t>　市人民政府编制的市级决算草案应当如实反映预算执行的结果，根据市人民代表大会批准的预算所列科目编制，按照预算数、变更数以及实际执行数分别列出，并作出说明。</w:t>
      </w:r>
    </w:p>
    <w:p w14:paraId="5083EB54">
      <w:pPr>
        <w:jc w:val="left"/>
        <w:rPr>
          <w:rFonts w:ascii="宋体" w:hAnsi="宋体"/>
          <w:kern w:val="44"/>
        </w:rPr>
      </w:pPr>
      <w:r>
        <w:rPr>
          <w:rFonts w:hint="eastAsia" w:ascii="宋体" w:hAnsi="宋体"/>
          <w:kern w:val="44"/>
        </w:rPr>
        <w:t>市审计部门应当建立健全部门决算的审签制度。</w:t>
      </w:r>
    </w:p>
    <w:p w14:paraId="30305F2C">
      <w:pPr>
        <w:ind w:firstLine="422"/>
        <w:jc w:val="left"/>
        <w:rPr>
          <w:rFonts w:ascii="宋体" w:hAnsi="宋体"/>
          <w:kern w:val="44"/>
        </w:rPr>
      </w:pPr>
      <w:r>
        <w:rPr>
          <w:rFonts w:hint="eastAsia" w:ascii="宋体" w:hAnsi="宋体"/>
          <w:b/>
          <w:kern w:val="44"/>
        </w:rPr>
        <w:t>第二十八条</w:t>
      </w:r>
      <w:r>
        <w:rPr>
          <w:rFonts w:hint="eastAsia" w:ascii="宋体" w:hAnsi="宋体"/>
          <w:kern w:val="44"/>
        </w:rPr>
        <w:t>　对市级决算草案，主要审查以下内容：</w:t>
      </w:r>
    </w:p>
    <w:p w14:paraId="046D8344">
      <w:pPr>
        <w:jc w:val="left"/>
        <w:rPr>
          <w:rFonts w:ascii="宋体" w:hAnsi="宋体"/>
          <w:kern w:val="44"/>
        </w:rPr>
      </w:pPr>
      <w:r>
        <w:rPr>
          <w:rFonts w:hint="eastAsia" w:ascii="宋体" w:hAnsi="宋体"/>
          <w:kern w:val="44"/>
        </w:rPr>
        <w:t>（一）遵守预算法和有关法律、法规情况；</w:t>
      </w:r>
    </w:p>
    <w:p w14:paraId="51E9886C">
      <w:pPr>
        <w:jc w:val="left"/>
        <w:rPr>
          <w:rFonts w:ascii="宋体" w:hAnsi="宋体"/>
          <w:kern w:val="44"/>
        </w:rPr>
      </w:pPr>
      <w:r>
        <w:rPr>
          <w:rFonts w:hint="eastAsia" w:ascii="宋体" w:hAnsi="宋体"/>
          <w:kern w:val="44"/>
        </w:rPr>
        <w:t>（二）预算年度收支完成情况；</w:t>
      </w:r>
    </w:p>
    <w:p w14:paraId="2F425AE0">
      <w:pPr>
        <w:jc w:val="left"/>
        <w:rPr>
          <w:rFonts w:ascii="宋体" w:hAnsi="宋体"/>
          <w:kern w:val="44"/>
        </w:rPr>
      </w:pPr>
      <w:r>
        <w:rPr>
          <w:rFonts w:hint="eastAsia" w:ascii="宋体" w:hAnsi="宋体"/>
          <w:kern w:val="44"/>
        </w:rPr>
        <w:t>（三）重点支出完成情况；</w:t>
      </w:r>
    </w:p>
    <w:p w14:paraId="21647AA5">
      <w:pPr>
        <w:jc w:val="left"/>
        <w:rPr>
          <w:rFonts w:ascii="宋体" w:hAnsi="宋体"/>
          <w:kern w:val="44"/>
        </w:rPr>
      </w:pPr>
      <w:r>
        <w:rPr>
          <w:rFonts w:hint="eastAsia" w:ascii="宋体" w:hAnsi="宋体"/>
          <w:kern w:val="44"/>
        </w:rPr>
        <w:t>（四）政府采购和转移支付完成情况；</w:t>
      </w:r>
    </w:p>
    <w:p w14:paraId="7A00A5EB">
      <w:pPr>
        <w:jc w:val="left"/>
        <w:rPr>
          <w:rFonts w:ascii="宋体" w:hAnsi="宋体"/>
          <w:kern w:val="44"/>
        </w:rPr>
      </w:pPr>
      <w:r>
        <w:rPr>
          <w:rFonts w:hint="eastAsia" w:ascii="宋体" w:hAnsi="宋体"/>
          <w:kern w:val="44"/>
        </w:rPr>
        <w:t>（五）预备费使用情况；</w:t>
      </w:r>
    </w:p>
    <w:p w14:paraId="025A7D1F">
      <w:pPr>
        <w:jc w:val="left"/>
        <w:rPr>
          <w:rFonts w:ascii="宋体" w:hAnsi="宋体"/>
          <w:kern w:val="44"/>
        </w:rPr>
      </w:pPr>
      <w:r>
        <w:rPr>
          <w:rFonts w:hint="eastAsia" w:ascii="宋体" w:hAnsi="宋体"/>
          <w:kern w:val="44"/>
        </w:rPr>
        <w:t>（六）预算超收使用情况；</w:t>
      </w:r>
    </w:p>
    <w:p w14:paraId="400B14B1">
      <w:pPr>
        <w:jc w:val="left"/>
        <w:rPr>
          <w:rFonts w:ascii="宋体" w:hAnsi="宋体"/>
          <w:kern w:val="44"/>
        </w:rPr>
      </w:pPr>
      <w:r>
        <w:rPr>
          <w:rFonts w:hint="eastAsia" w:ascii="宋体" w:hAnsi="宋体"/>
          <w:kern w:val="44"/>
        </w:rPr>
        <w:t>（七）预算结余、结转情况；</w:t>
      </w:r>
    </w:p>
    <w:p w14:paraId="5F219966">
      <w:pPr>
        <w:jc w:val="left"/>
        <w:rPr>
          <w:rFonts w:ascii="宋体" w:hAnsi="宋体"/>
          <w:kern w:val="44"/>
        </w:rPr>
      </w:pPr>
      <w:r>
        <w:rPr>
          <w:rFonts w:hint="eastAsia" w:ascii="宋体" w:hAnsi="宋体"/>
          <w:kern w:val="44"/>
        </w:rPr>
        <w:t>（八）预算外资金收支完成情况 ;</w:t>
      </w:r>
    </w:p>
    <w:p w14:paraId="339C7116">
      <w:pPr>
        <w:jc w:val="left"/>
        <w:rPr>
          <w:rFonts w:ascii="宋体" w:hAnsi="宋体"/>
          <w:kern w:val="44"/>
        </w:rPr>
      </w:pPr>
      <w:r>
        <w:rPr>
          <w:rFonts w:hint="eastAsia" w:ascii="宋体" w:hAnsi="宋体"/>
          <w:kern w:val="44"/>
        </w:rPr>
        <w:t>（九）中央财政补助资金的安排和使用情况。</w:t>
      </w:r>
    </w:p>
    <w:p w14:paraId="4D59DA83">
      <w:pPr>
        <w:ind w:firstLine="422"/>
        <w:jc w:val="left"/>
        <w:rPr>
          <w:rFonts w:ascii="宋体" w:hAnsi="宋体"/>
          <w:kern w:val="44"/>
        </w:rPr>
      </w:pPr>
      <w:r>
        <w:rPr>
          <w:rFonts w:hint="eastAsia" w:ascii="宋体" w:hAnsi="宋体"/>
          <w:b/>
          <w:kern w:val="44"/>
        </w:rPr>
        <w:t>第二十九条</w:t>
      </w:r>
      <w:r>
        <w:rPr>
          <w:rFonts w:hint="eastAsia" w:ascii="宋体" w:hAnsi="宋体"/>
          <w:kern w:val="44"/>
        </w:rPr>
        <w:t>　市人民政府应当责成市财政部门、审计部门和税务部门在市人大常委会审查和批准市级决算20日前，将决算草案、审计工作报告和税收完成情况报告提交财经委员会。</w:t>
      </w:r>
    </w:p>
    <w:p w14:paraId="0F45D42B">
      <w:pPr>
        <w:jc w:val="left"/>
        <w:rPr>
          <w:rFonts w:ascii="宋体" w:hAnsi="宋体"/>
          <w:kern w:val="44"/>
        </w:rPr>
      </w:pPr>
      <w:r>
        <w:rPr>
          <w:rFonts w:hint="eastAsia" w:ascii="宋体" w:hAnsi="宋体"/>
          <w:kern w:val="44"/>
        </w:rPr>
        <w:t>财经委员会听取决算报告、审计工作报告和税收完成情况报告，对决算草案进行初步审查。市财政部门、审计部门和税务部门的主要负责人应当到会对决算草案、审计工作报告和税收完成情况报告的主要内容进行说明，并回答询问。</w:t>
      </w:r>
    </w:p>
    <w:p w14:paraId="31801CEA">
      <w:pPr>
        <w:jc w:val="left"/>
        <w:rPr>
          <w:rFonts w:ascii="宋体" w:hAnsi="宋体"/>
          <w:kern w:val="44"/>
        </w:rPr>
      </w:pPr>
      <w:r>
        <w:rPr>
          <w:rFonts w:hint="eastAsia" w:ascii="宋体" w:hAnsi="宋体"/>
          <w:kern w:val="44"/>
        </w:rPr>
        <w:t>财经委员会可以就决算草案中的有关问题听取有关部门的情况汇报。</w:t>
      </w:r>
    </w:p>
    <w:p w14:paraId="6FECFEFC">
      <w:pPr>
        <w:ind w:firstLine="422"/>
        <w:jc w:val="left"/>
        <w:rPr>
          <w:rFonts w:ascii="宋体" w:hAnsi="宋体"/>
          <w:kern w:val="44"/>
        </w:rPr>
      </w:pPr>
      <w:r>
        <w:rPr>
          <w:rFonts w:hint="eastAsia" w:ascii="宋体" w:hAnsi="宋体"/>
          <w:b/>
          <w:kern w:val="44"/>
        </w:rPr>
        <w:t>第三十条</w:t>
      </w:r>
      <w:r>
        <w:rPr>
          <w:rFonts w:hint="eastAsia" w:ascii="宋体" w:hAnsi="宋体"/>
          <w:kern w:val="44"/>
        </w:rPr>
        <w:t>　在市人大常委会审查和批准市级决算时，财经委员会应当向市人大常委会做决算草案的初步审查报告，供审议参考。</w:t>
      </w:r>
    </w:p>
    <w:p w14:paraId="46F5496F">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人大常委会审查和批准市级决算时，应当听取并审议市人民政府关于决算草案的报告和审计工作报告；根据审议情况对市级决算作出决议，必要时，也可以对审计工作报告作出决议。市人大常委会对审计工作报告作出决议的，市人民政府应当在决议规定的期限内，将执行决议的情况向市人大常委会报告。</w:t>
      </w:r>
    </w:p>
    <w:p w14:paraId="6415315B">
      <w:pPr>
        <w:ind w:firstLine="422"/>
        <w:jc w:val="left"/>
        <w:rPr>
          <w:rFonts w:ascii="宋体" w:hAnsi="宋体"/>
          <w:kern w:val="44"/>
        </w:rPr>
      </w:pPr>
      <w:r>
        <w:rPr>
          <w:rFonts w:hint="eastAsia" w:ascii="宋体" w:hAnsi="宋体"/>
          <w:b/>
          <w:kern w:val="44"/>
        </w:rPr>
        <w:t>第三十二条</w:t>
      </w:r>
      <w:r>
        <w:rPr>
          <w:rFonts w:hint="eastAsia" w:ascii="宋体" w:hAnsi="宋体"/>
          <w:kern w:val="44"/>
        </w:rPr>
        <w:t>　审计工作报告应当如实反映对预算执行和其他财政收支的审计工作情况，内容应当包括对预算执行和其他财政收支的审计评价，预算执行和其他财政收支中存在的问题及审计部门的处理情况，以及对改进财政工作和部门财务工作的意见和建议。</w:t>
      </w:r>
    </w:p>
    <w:p w14:paraId="72628F2C">
      <w:pPr>
        <w:jc w:val="left"/>
        <w:rPr>
          <w:rFonts w:ascii="宋体" w:hAnsi="宋体"/>
          <w:kern w:val="44"/>
        </w:rPr>
      </w:pPr>
      <w:r>
        <w:rPr>
          <w:rFonts w:hint="eastAsia" w:ascii="宋体" w:hAnsi="宋体"/>
          <w:kern w:val="44"/>
        </w:rPr>
        <w:t>市审计部门对市级预算执行情况和其他财政收支审计出的问题应当及时纠正、依法处理。</w:t>
      </w:r>
    </w:p>
    <w:p w14:paraId="2C04D20D">
      <w:pPr>
        <w:jc w:val="left"/>
        <w:rPr>
          <w:rFonts w:ascii="宋体" w:hAnsi="宋体"/>
          <w:kern w:val="44"/>
        </w:rPr>
      </w:pPr>
      <w:r>
        <w:rPr>
          <w:rFonts w:hint="eastAsia" w:ascii="宋体" w:hAnsi="宋体"/>
          <w:kern w:val="44"/>
        </w:rPr>
        <w:t>市人民政府应当在当年年底前将审计出的问题的处理结果书面报送市人大常委会。</w:t>
      </w:r>
    </w:p>
    <w:p w14:paraId="2C5B4C4D">
      <w:pPr>
        <w:ind w:firstLine="422"/>
        <w:jc w:val="left"/>
        <w:rPr>
          <w:rFonts w:ascii="宋体" w:hAnsi="宋体"/>
          <w:kern w:val="44"/>
        </w:rPr>
      </w:pPr>
      <w:r>
        <w:rPr>
          <w:rFonts w:hint="eastAsia" w:ascii="宋体" w:hAnsi="宋体"/>
          <w:b/>
          <w:kern w:val="44"/>
        </w:rPr>
        <w:t>第三十三条</w:t>
      </w:r>
      <w:r>
        <w:rPr>
          <w:rFonts w:hint="eastAsia" w:ascii="宋体" w:hAnsi="宋体"/>
          <w:kern w:val="44"/>
        </w:rPr>
        <w:t>　市财政部门应当自市级决算批准之日起20日内，批复市级各预算单位的部门决算，并及时将部门决算的批复情况向财经委员会报告。</w:t>
      </w:r>
    </w:p>
    <w:p w14:paraId="44E56EFB">
      <w:pPr>
        <w:jc w:val="left"/>
        <w:rPr>
          <w:rFonts w:ascii="宋体" w:hAnsi="宋体"/>
          <w:kern w:val="44"/>
        </w:rPr>
      </w:pPr>
      <w:r>
        <w:rPr>
          <w:rFonts w:hint="eastAsia" w:ascii="宋体" w:hAnsi="宋体"/>
          <w:kern w:val="44"/>
        </w:rPr>
        <w:t>市人民政府应当自市级决算批准之日起30日内，将市级决算及各区、县人民政府上报备案的决算汇总，报市人大常委会备案。</w:t>
      </w:r>
    </w:p>
    <w:p w14:paraId="25E22EE1">
      <w:pPr>
        <w:jc w:val="left"/>
        <w:rPr>
          <w:rFonts w:ascii="宋体" w:hAnsi="宋体"/>
          <w:kern w:val="44"/>
        </w:rPr>
      </w:pPr>
    </w:p>
    <w:p w14:paraId="64FA6AEE">
      <w:pPr>
        <w:ind w:firstLine="0" w:firstLineChars="0"/>
        <w:jc w:val="center"/>
        <w:rPr>
          <w:rFonts w:ascii="宋体" w:hAnsi="宋体"/>
          <w:b/>
          <w:kern w:val="44"/>
          <w:sz w:val="28"/>
        </w:rPr>
      </w:pPr>
      <w:r>
        <w:rPr>
          <w:rFonts w:hint="eastAsia" w:ascii="宋体" w:hAnsi="宋体"/>
          <w:b/>
          <w:kern w:val="44"/>
          <w:sz w:val="28"/>
        </w:rPr>
        <w:t>第六章  法律责任</w:t>
      </w:r>
    </w:p>
    <w:p w14:paraId="29B3EADC">
      <w:pPr>
        <w:jc w:val="left"/>
        <w:rPr>
          <w:rFonts w:ascii="宋体" w:hAnsi="宋体"/>
          <w:kern w:val="44"/>
        </w:rPr>
      </w:pPr>
    </w:p>
    <w:p w14:paraId="4922FE7D">
      <w:pPr>
        <w:ind w:firstLine="422"/>
        <w:jc w:val="left"/>
        <w:rPr>
          <w:rFonts w:ascii="宋体" w:hAnsi="宋体"/>
          <w:kern w:val="44"/>
        </w:rPr>
      </w:pPr>
      <w:r>
        <w:rPr>
          <w:rFonts w:hint="eastAsia" w:ascii="宋体" w:hAnsi="宋体"/>
          <w:b/>
          <w:kern w:val="44"/>
        </w:rPr>
        <w:t>第三十四条</w:t>
      </w:r>
      <w:r>
        <w:rPr>
          <w:rFonts w:hint="eastAsia" w:ascii="宋体" w:hAnsi="宋体"/>
          <w:kern w:val="44"/>
        </w:rPr>
        <w:t>　对违反预算法律、行政法规和本条例规定的，依照预算法和国务院有关规定，追究有关部门和政府领导人的责任，依据情节轻重给予行政处分，直至撤销其职务；构成犯罪的，依法追究刑事责任。</w:t>
      </w:r>
    </w:p>
    <w:p w14:paraId="30EFDE0E">
      <w:pPr>
        <w:ind w:firstLine="422"/>
        <w:jc w:val="left"/>
        <w:rPr>
          <w:rFonts w:ascii="宋体" w:hAnsi="宋体"/>
          <w:kern w:val="44"/>
        </w:rPr>
      </w:pPr>
      <w:r>
        <w:rPr>
          <w:rFonts w:hint="eastAsia" w:ascii="宋体" w:hAnsi="宋体"/>
          <w:b/>
          <w:kern w:val="44"/>
        </w:rPr>
        <w:t>第三十五条</w:t>
      </w:r>
      <w:r>
        <w:rPr>
          <w:rFonts w:hint="eastAsia" w:ascii="宋体" w:hAnsi="宋体"/>
          <w:kern w:val="44"/>
        </w:rPr>
        <w:t>　对检举、揭发违反预算法律、法规行为的人进行打击报复，构成犯罪的，依法追究刑事责任；尚未构成犯罪的，由有关部门给予行政处分。</w:t>
      </w:r>
    </w:p>
    <w:p w14:paraId="7E8FBFB2">
      <w:pPr>
        <w:ind w:firstLine="0" w:firstLineChars="0"/>
        <w:jc w:val="both"/>
        <w:rPr>
          <w:rFonts w:ascii="宋体" w:hAnsi="宋体"/>
          <w:b/>
          <w:kern w:val="44"/>
          <w:sz w:val="28"/>
        </w:rPr>
      </w:pPr>
    </w:p>
    <w:p w14:paraId="07BF6CEC">
      <w:pPr>
        <w:ind w:firstLine="0" w:firstLineChars="0"/>
        <w:jc w:val="both"/>
        <w:rPr>
          <w:rFonts w:ascii="宋体" w:hAnsi="宋体"/>
          <w:b/>
          <w:kern w:val="44"/>
          <w:sz w:val="28"/>
        </w:rPr>
      </w:pPr>
    </w:p>
    <w:p w14:paraId="5B700F6F">
      <w:pPr>
        <w:ind w:firstLine="0" w:firstLineChars="0"/>
        <w:jc w:val="both"/>
        <w:rPr>
          <w:rFonts w:ascii="宋体" w:hAnsi="宋体"/>
          <w:b/>
          <w:kern w:val="44"/>
          <w:sz w:val="28"/>
        </w:rPr>
      </w:pPr>
    </w:p>
    <w:p w14:paraId="55A56CF7">
      <w:pPr>
        <w:ind w:firstLine="0" w:firstLineChars="0"/>
        <w:jc w:val="center"/>
        <w:rPr>
          <w:rFonts w:ascii="宋体" w:hAnsi="宋体"/>
          <w:b/>
          <w:kern w:val="44"/>
          <w:sz w:val="28"/>
        </w:rPr>
      </w:pPr>
      <w:r>
        <w:rPr>
          <w:rFonts w:hint="eastAsia" w:ascii="宋体" w:hAnsi="宋体"/>
          <w:b/>
          <w:kern w:val="44"/>
          <w:sz w:val="28"/>
        </w:rPr>
        <w:t>第七章  附　则</w:t>
      </w:r>
    </w:p>
    <w:p w14:paraId="674CD64C">
      <w:pPr>
        <w:ind w:firstLine="0" w:firstLineChars="0"/>
        <w:jc w:val="center"/>
        <w:rPr>
          <w:rFonts w:ascii="宋体" w:hAnsi="宋体"/>
          <w:b/>
          <w:kern w:val="44"/>
          <w:sz w:val="28"/>
        </w:rPr>
      </w:pPr>
    </w:p>
    <w:p w14:paraId="0A831554">
      <w:pPr>
        <w:ind w:firstLine="422"/>
        <w:jc w:val="left"/>
        <w:rPr>
          <w:rFonts w:ascii="宋体" w:hAnsi="宋体"/>
          <w:kern w:val="44"/>
        </w:rPr>
      </w:pPr>
      <w:r>
        <w:rPr>
          <w:rFonts w:hint="eastAsia" w:ascii="宋体" w:hAnsi="宋体"/>
          <w:b/>
          <w:kern w:val="44"/>
        </w:rPr>
        <w:t>第三十六条</w:t>
      </w:r>
      <w:r>
        <w:rPr>
          <w:rFonts w:hint="eastAsia" w:ascii="宋体" w:hAnsi="宋体"/>
          <w:kern w:val="44"/>
        </w:rPr>
        <w:t>　本市各区、县人民代表大会及其常务委员会对区、县级预算的监督，参照本条例施行。</w:t>
      </w:r>
    </w:p>
    <w:p w14:paraId="3B464E52">
      <w:pPr>
        <w:ind w:firstLine="422"/>
        <w:jc w:val="left"/>
        <w:rPr>
          <w:rFonts w:ascii="宋体" w:hAnsi="宋体"/>
          <w:kern w:val="44"/>
        </w:rPr>
      </w:pPr>
      <w:r>
        <w:rPr>
          <w:rFonts w:hint="eastAsia" w:ascii="宋体" w:hAnsi="宋体"/>
          <w:b/>
          <w:kern w:val="44"/>
        </w:rPr>
        <w:t>第三十七条</w:t>
      </w:r>
      <w:r>
        <w:rPr>
          <w:rFonts w:hint="eastAsia" w:ascii="宋体" w:hAnsi="宋体"/>
          <w:kern w:val="44"/>
        </w:rPr>
        <w:t>　本条例自2002年7月1日起施行。</w:t>
      </w:r>
    </w:p>
    <w:p w14:paraId="5BE34093">
      <w:pPr>
        <w:pStyle w:val="4"/>
        <w:pageBreakBefore/>
        <w:rPr>
          <w:kern w:val="44"/>
        </w:rPr>
      </w:pPr>
      <w:bookmarkStart w:id="454" w:name="_Toc422471142"/>
      <w:bookmarkStart w:id="455" w:name="_Toc428781500"/>
      <w:bookmarkStart w:id="456" w:name="_Toc428780018"/>
      <w:bookmarkStart w:id="457" w:name="_Toc427651452"/>
      <w:bookmarkStart w:id="458" w:name="_Toc427651794"/>
      <w:r>
        <w:rPr>
          <w:rFonts w:hint="eastAsia"/>
          <w:kern w:val="44"/>
        </w:rPr>
        <w:t>北京市罚没财物收据使用和</w:t>
      </w:r>
      <w:bookmarkEnd w:id="454"/>
      <w:bookmarkStart w:id="459" w:name="_Toc422471143"/>
      <w:r>
        <w:rPr>
          <w:rFonts w:hint="eastAsia"/>
          <w:kern w:val="44"/>
        </w:rPr>
        <w:t>管理暂行办法</w:t>
      </w:r>
      <w:bookmarkEnd w:id="455"/>
      <w:bookmarkEnd w:id="456"/>
      <w:bookmarkEnd w:id="457"/>
      <w:bookmarkEnd w:id="458"/>
      <w:bookmarkEnd w:id="459"/>
    </w:p>
    <w:p w14:paraId="0A465C0E">
      <w:pPr>
        <w:jc w:val="left"/>
        <w:rPr>
          <w:rFonts w:ascii="宋体" w:hAnsi="宋体"/>
          <w:kern w:val="44"/>
        </w:rPr>
      </w:pPr>
    </w:p>
    <w:p w14:paraId="3F16183E">
      <w:pPr>
        <w:ind w:left="630" w:leftChars="300" w:right="630" w:rightChars="300"/>
        <w:jc w:val="left"/>
        <w:rPr>
          <w:rFonts w:ascii="楷体" w:hAnsi="楷体" w:eastAsia="楷体"/>
          <w:kern w:val="44"/>
        </w:rPr>
      </w:pPr>
      <w:r>
        <w:rPr>
          <w:rFonts w:hint="eastAsia" w:ascii="楷体" w:hAnsi="楷体" w:eastAsia="楷体"/>
          <w:kern w:val="44"/>
        </w:rPr>
        <w:t>（1992年1月21日北京市人民政府第2号令发布  根据1997年12月31日北京市人民政府第12号令修改）</w:t>
      </w:r>
    </w:p>
    <w:p w14:paraId="01CF75E3">
      <w:pPr>
        <w:ind w:left="630" w:leftChars="300" w:right="630" w:rightChars="300"/>
        <w:jc w:val="left"/>
        <w:rPr>
          <w:rFonts w:ascii="楷体" w:hAnsi="楷体" w:eastAsia="楷体"/>
          <w:kern w:val="44"/>
        </w:rPr>
      </w:pPr>
    </w:p>
    <w:p w14:paraId="218A2AF2">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为加强本市罚没财物的监督管理，根据国家有关规定，结合本市实际情况，制定本办法。</w:t>
      </w:r>
    </w:p>
    <w:p w14:paraId="62453F06">
      <w:pPr>
        <w:ind w:firstLine="422"/>
        <w:jc w:val="left"/>
        <w:rPr>
          <w:rFonts w:ascii="宋体" w:hAnsi="宋体"/>
          <w:kern w:val="44"/>
        </w:rPr>
      </w:pPr>
      <w:r>
        <w:rPr>
          <w:rFonts w:hint="eastAsia" w:ascii="宋体" w:hAnsi="宋体"/>
          <w:b/>
          <w:kern w:val="44"/>
        </w:rPr>
        <w:t>第二条</w:t>
      </w:r>
      <w:r>
        <w:rPr>
          <w:rFonts w:hint="eastAsia" w:ascii="宋体" w:hAnsi="宋体"/>
          <w:kern w:val="44"/>
        </w:rPr>
        <w:t>　凡本市审判机关、检察机关和行政执法机关（以下简称执法机关）罚没财物收据的使用和管理，均适用本办法。</w:t>
      </w:r>
    </w:p>
    <w:p w14:paraId="15EFC487">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市和区、县财政局是本市罚没财物收据的管理机关，负责组织、监督本办法的实施。</w:t>
      </w:r>
    </w:p>
    <w:p w14:paraId="03155A9A">
      <w:pPr>
        <w:ind w:firstLine="422"/>
        <w:jc w:val="left"/>
        <w:rPr>
          <w:rFonts w:ascii="宋体" w:hAnsi="宋体"/>
          <w:kern w:val="44"/>
        </w:rPr>
      </w:pPr>
      <w:r>
        <w:rPr>
          <w:rFonts w:hint="eastAsia" w:ascii="宋体" w:hAnsi="宋体"/>
          <w:b/>
          <w:kern w:val="44"/>
        </w:rPr>
        <w:t>第四条</w:t>
      </w:r>
      <w:r>
        <w:rPr>
          <w:rFonts w:hint="eastAsia" w:ascii="宋体" w:hAnsi="宋体"/>
          <w:kern w:val="44"/>
        </w:rPr>
        <w:t>　执法机关对有违法行为的当事人，依照法律、法规、规章处以罚款、没收财物、追回赃款赃物的，收到罚没财物后，必须向当事人开具罚没财物收据。</w:t>
      </w:r>
    </w:p>
    <w:p w14:paraId="7F449B61">
      <w:pPr>
        <w:jc w:val="left"/>
        <w:rPr>
          <w:rFonts w:ascii="宋体" w:hAnsi="宋体"/>
          <w:kern w:val="44"/>
        </w:rPr>
      </w:pPr>
      <w:r>
        <w:rPr>
          <w:rFonts w:hint="eastAsia" w:ascii="宋体" w:hAnsi="宋体"/>
          <w:kern w:val="44"/>
        </w:rPr>
        <w:t>（一）罚没款收据，用于罚款、罚金、没收货币和有价证券、追回的赃款。</w:t>
      </w:r>
    </w:p>
    <w:p w14:paraId="1B6CB3EB">
      <w:pPr>
        <w:jc w:val="left"/>
        <w:rPr>
          <w:rFonts w:ascii="宋体" w:hAnsi="宋体"/>
          <w:kern w:val="44"/>
        </w:rPr>
      </w:pPr>
      <w:r>
        <w:rPr>
          <w:rFonts w:hint="eastAsia" w:ascii="宋体" w:hAnsi="宋体"/>
          <w:kern w:val="44"/>
        </w:rPr>
        <w:t>（二）没收物品收据，用于没收物品和追回的赃物。</w:t>
      </w:r>
    </w:p>
    <w:p w14:paraId="52B4A022">
      <w:pPr>
        <w:jc w:val="left"/>
        <w:rPr>
          <w:rFonts w:ascii="宋体" w:hAnsi="宋体"/>
          <w:kern w:val="44"/>
        </w:rPr>
      </w:pPr>
      <w:r>
        <w:rPr>
          <w:rFonts w:hint="eastAsia" w:ascii="宋体" w:hAnsi="宋体"/>
          <w:kern w:val="44"/>
        </w:rPr>
        <w:t>（三）现场处罚收据，用于在违法行为现场实施小额罚款。印有罚款数额并套印“北京市财政局罚没财物收据监制章”的现场处罚决定书，可以兼作现场处罚收据。</w:t>
      </w:r>
    </w:p>
    <w:p w14:paraId="0FAA38CC">
      <w:pPr>
        <w:ind w:firstLine="422"/>
        <w:jc w:val="left"/>
        <w:rPr>
          <w:rFonts w:ascii="宋体" w:hAnsi="宋体"/>
          <w:kern w:val="44"/>
        </w:rPr>
      </w:pPr>
      <w:r>
        <w:rPr>
          <w:rFonts w:hint="eastAsia" w:ascii="宋体" w:hAnsi="宋体"/>
          <w:b/>
          <w:kern w:val="44"/>
        </w:rPr>
        <w:t>第五条</w:t>
      </w:r>
      <w:r>
        <w:rPr>
          <w:rFonts w:hint="eastAsia" w:ascii="宋体" w:hAnsi="宋体"/>
          <w:kern w:val="44"/>
        </w:rPr>
        <w:t>　罚没财物收据由市财政局统一印制。因执法业务特殊，不宜使用市财政局统一印制的罚没财物收据的，可以由市级执法机关自行设计本系统专用的罚没财物收据式样，经市财政局批准，到指定的印刷厂印制。</w:t>
      </w:r>
    </w:p>
    <w:p w14:paraId="2AC328AC">
      <w:pPr>
        <w:ind w:firstLine="422"/>
        <w:jc w:val="left"/>
        <w:rPr>
          <w:rFonts w:ascii="宋体" w:hAnsi="宋体"/>
          <w:kern w:val="44"/>
        </w:rPr>
      </w:pPr>
      <w:r>
        <w:rPr>
          <w:rFonts w:hint="eastAsia" w:ascii="宋体" w:hAnsi="宋体"/>
          <w:b/>
          <w:kern w:val="44"/>
        </w:rPr>
        <w:t>第六条</w:t>
      </w:r>
      <w:r>
        <w:rPr>
          <w:rFonts w:hint="eastAsia" w:ascii="宋体" w:hAnsi="宋体"/>
          <w:kern w:val="44"/>
        </w:rPr>
        <w:t>　市财政局统一印刷或批准印制的罚没财物收据，一律套印“北京市财政局罚没财物收据监制章”；未套印“北京市财政局罚没财物收据监制章”的，不得作为罚没财物收据使用。</w:t>
      </w:r>
    </w:p>
    <w:p w14:paraId="02A992BC">
      <w:pPr>
        <w:jc w:val="left"/>
        <w:rPr>
          <w:rFonts w:ascii="宋体" w:hAnsi="宋体"/>
          <w:kern w:val="44"/>
        </w:rPr>
      </w:pPr>
      <w:r>
        <w:rPr>
          <w:rFonts w:hint="eastAsia" w:ascii="宋体" w:hAnsi="宋体"/>
          <w:kern w:val="44"/>
        </w:rPr>
        <w:t>市财政局的“北京市财政局罚没财物收据监制章”是本市罚没财物收据的法定标志。禁止任何单位和个人伪造。</w:t>
      </w:r>
    </w:p>
    <w:p w14:paraId="6790498F">
      <w:pPr>
        <w:ind w:firstLine="422"/>
        <w:jc w:val="left"/>
        <w:rPr>
          <w:rFonts w:ascii="宋体" w:hAnsi="宋体"/>
          <w:kern w:val="44"/>
        </w:rPr>
      </w:pPr>
      <w:r>
        <w:rPr>
          <w:rFonts w:hint="eastAsia" w:ascii="宋体" w:hAnsi="宋体"/>
          <w:b/>
          <w:kern w:val="44"/>
        </w:rPr>
        <w:t>第七条</w:t>
      </w:r>
      <w:r>
        <w:rPr>
          <w:rFonts w:hint="eastAsia" w:ascii="宋体" w:hAnsi="宋体"/>
          <w:kern w:val="44"/>
        </w:rPr>
        <w:t>　执法机关所需财政局统一印制的罚没财物收据，由执法单位持介绍信，到同级财政部门购买。</w:t>
      </w:r>
    </w:p>
    <w:p w14:paraId="32688A73">
      <w:pPr>
        <w:ind w:firstLine="422"/>
        <w:jc w:val="left"/>
        <w:rPr>
          <w:rFonts w:ascii="宋体" w:hAnsi="宋体"/>
          <w:kern w:val="44"/>
        </w:rPr>
      </w:pPr>
      <w:r>
        <w:rPr>
          <w:rFonts w:hint="eastAsia" w:ascii="宋体" w:hAnsi="宋体"/>
          <w:b/>
          <w:kern w:val="44"/>
        </w:rPr>
        <w:t>第八条</w:t>
      </w:r>
      <w:r>
        <w:rPr>
          <w:rFonts w:hint="eastAsia" w:ascii="宋体" w:hAnsi="宋体"/>
          <w:kern w:val="44"/>
        </w:rPr>
        <w:t>　罚没财物收据必须按号码顺序使用，各联复写，逐栏如实填写，加盖本单位财务专用章（兼作现场处罚收据的现场处罚决定书加盖执法机关公章）。填写错的罚没财物收据，应加盖作废章，贴在其存根联上一并保管。</w:t>
      </w:r>
    </w:p>
    <w:p w14:paraId="35851F32">
      <w:pPr>
        <w:jc w:val="left"/>
        <w:rPr>
          <w:rFonts w:ascii="宋体" w:hAnsi="宋体"/>
          <w:kern w:val="44"/>
        </w:rPr>
      </w:pPr>
      <w:r>
        <w:rPr>
          <w:rFonts w:hint="eastAsia" w:ascii="宋体" w:hAnsi="宋体"/>
          <w:kern w:val="44"/>
        </w:rPr>
        <w:t>罚没款收据和没收物品收据一式四联，一联存根，一联收据，一联记账凭证，一联附案卷存档。</w:t>
      </w:r>
    </w:p>
    <w:p w14:paraId="0EBCEC48">
      <w:pPr>
        <w:ind w:firstLine="422"/>
        <w:jc w:val="left"/>
        <w:rPr>
          <w:rFonts w:ascii="宋体" w:hAnsi="宋体"/>
          <w:kern w:val="44"/>
        </w:rPr>
      </w:pPr>
      <w:r>
        <w:rPr>
          <w:rFonts w:hint="eastAsia" w:ascii="宋体" w:hAnsi="宋体"/>
          <w:b/>
          <w:kern w:val="44"/>
        </w:rPr>
        <w:t>第九条</w:t>
      </w:r>
      <w:r>
        <w:rPr>
          <w:rFonts w:hint="eastAsia" w:ascii="宋体" w:hAnsi="宋体"/>
          <w:kern w:val="44"/>
        </w:rPr>
        <w:t>　执法机关应当加强罚没财物收据管理，建立制度，由财务会计部门或专人负责，严格执行领用手续，设立罚没财物收据专用账簿，如实记载罚没财物收据的购入、发出、使用、核销、结存情况，接受财政部门的监督检查。</w:t>
      </w:r>
    </w:p>
    <w:p w14:paraId="3CBA452D">
      <w:pPr>
        <w:ind w:firstLine="422"/>
        <w:jc w:val="left"/>
        <w:rPr>
          <w:rFonts w:ascii="宋体" w:hAnsi="宋体"/>
          <w:kern w:val="44"/>
        </w:rPr>
      </w:pPr>
      <w:r>
        <w:rPr>
          <w:rFonts w:hint="eastAsia" w:ascii="宋体" w:hAnsi="宋体"/>
          <w:b/>
          <w:kern w:val="44"/>
        </w:rPr>
        <w:t>第十条</w:t>
      </w:r>
      <w:r>
        <w:rPr>
          <w:rFonts w:hint="eastAsia" w:ascii="宋体" w:hAnsi="宋体"/>
          <w:kern w:val="44"/>
        </w:rPr>
        <w:t>　执法机关机构撤销、分设、改组、合并的，必须及时将尚未用完的罚没财物收据，向同级财政部门缴销，不得擅自处理。</w:t>
      </w:r>
    </w:p>
    <w:p w14:paraId="7FC2CBC5">
      <w:pPr>
        <w:ind w:firstLine="422"/>
        <w:jc w:val="left"/>
        <w:rPr>
          <w:rFonts w:ascii="宋体" w:hAnsi="宋体"/>
          <w:kern w:val="44"/>
        </w:rPr>
      </w:pPr>
      <w:r>
        <w:rPr>
          <w:rFonts w:hint="eastAsia" w:ascii="宋体" w:hAnsi="宋体"/>
          <w:b/>
          <w:kern w:val="44"/>
        </w:rPr>
        <w:t>第十一条</w:t>
      </w:r>
      <w:r>
        <w:rPr>
          <w:rFonts w:hint="eastAsia" w:ascii="宋体" w:hAnsi="宋体"/>
          <w:kern w:val="44"/>
        </w:rPr>
        <w:t>　禁止转借、转让、倒卖、撕毁、涂改、伪造罚没财物收据；禁止在填开罚没财物收据时弄虚作假；禁止擅自销毁罚没财物收据。丢失空白罚没财物收据的，必须在3日内向同级财政部门报告，并及时声明作废。</w:t>
      </w:r>
    </w:p>
    <w:p w14:paraId="3DF01979">
      <w:pPr>
        <w:ind w:firstLine="422"/>
        <w:jc w:val="left"/>
        <w:rPr>
          <w:rFonts w:ascii="宋体" w:hAnsi="宋体"/>
          <w:kern w:val="44"/>
        </w:rPr>
      </w:pPr>
      <w:r>
        <w:rPr>
          <w:rFonts w:hint="eastAsia" w:ascii="宋体" w:hAnsi="宋体"/>
          <w:b/>
          <w:kern w:val="44"/>
        </w:rPr>
        <w:t>第十二条</w:t>
      </w:r>
      <w:r>
        <w:rPr>
          <w:rFonts w:hint="eastAsia" w:ascii="宋体" w:hAnsi="宋体"/>
          <w:kern w:val="44"/>
        </w:rPr>
        <w:t>　对违反本办法的，由市和区、县财政局责令改正，并根据情节轻重，对责任单位处以1000元以下罚款，对尚未构成犯罪的直接责任人员处以50元以下的罚款，已构成犯罪的，依法追究其刑事责任。</w:t>
      </w:r>
    </w:p>
    <w:p w14:paraId="0108F221">
      <w:pPr>
        <w:ind w:firstLine="422"/>
        <w:jc w:val="left"/>
        <w:rPr>
          <w:rFonts w:ascii="宋体" w:hAnsi="宋体"/>
          <w:kern w:val="44"/>
        </w:rPr>
      </w:pPr>
      <w:r>
        <w:rPr>
          <w:rFonts w:hint="eastAsia" w:ascii="宋体" w:hAnsi="宋体"/>
          <w:b/>
          <w:kern w:val="44"/>
        </w:rPr>
        <w:t>第十三条</w:t>
      </w:r>
      <w:r>
        <w:rPr>
          <w:rFonts w:hint="eastAsia" w:ascii="宋体" w:hAnsi="宋体"/>
          <w:kern w:val="44"/>
        </w:rPr>
        <w:t>　海关、国家外汇管理局、铁路部门罚没财物收据使用、管理，参照本办法执行。</w:t>
      </w:r>
    </w:p>
    <w:p w14:paraId="46431649">
      <w:pPr>
        <w:ind w:firstLine="422"/>
        <w:jc w:val="left"/>
        <w:rPr>
          <w:rFonts w:ascii="宋体" w:hAnsi="宋体"/>
          <w:kern w:val="44"/>
        </w:rPr>
      </w:pPr>
      <w:r>
        <w:rPr>
          <w:rFonts w:hint="eastAsia" w:ascii="宋体" w:hAnsi="宋体"/>
          <w:b/>
          <w:kern w:val="44"/>
        </w:rPr>
        <w:t>第十四条</w:t>
      </w:r>
      <w:r>
        <w:rPr>
          <w:rFonts w:hint="eastAsia" w:ascii="宋体" w:hAnsi="宋体"/>
          <w:kern w:val="44"/>
        </w:rPr>
        <w:t>　本办法执行中的具体问题，由市财政局负责解释。</w:t>
      </w:r>
    </w:p>
    <w:p w14:paraId="6C8CC9F2">
      <w:pPr>
        <w:ind w:firstLine="422"/>
        <w:jc w:val="left"/>
        <w:rPr>
          <w:rFonts w:ascii="宋体" w:hAnsi="宋体"/>
          <w:kern w:val="44"/>
        </w:rPr>
      </w:pPr>
      <w:r>
        <w:rPr>
          <w:rFonts w:hint="eastAsia" w:ascii="宋体" w:hAnsi="宋体"/>
          <w:b/>
          <w:kern w:val="44"/>
        </w:rPr>
        <w:t>第十五条</w:t>
      </w:r>
      <w:r>
        <w:rPr>
          <w:rFonts w:hint="eastAsia" w:ascii="宋体" w:hAnsi="宋体"/>
          <w:kern w:val="44"/>
        </w:rPr>
        <w:t>　本办法自1992年2月1日起施行。各执法机关在本办法发布前印制的罚没财物收据，可以使用到1992年3月31日。</w:t>
      </w:r>
    </w:p>
    <w:p w14:paraId="5F1998E7">
      <w:pPr>
        <w:pStyle w:val="4"/>
        <w:pageBreakBefore/>
        <w:spacing w:before="240" w:after="240"/>
        <w:rPr>
          <w:kern w:val="44"/>
        </w:rPr>
      </w:pPr>
      <w:bookmarkStart w:id="460" w:name="_Toc422471144"/>
      <w:bookmarkStart w:id="461" w:name="_Toc428780019"/>
      <w:bookmarkStart w:id="462" w:name="_Toc428781501"/>
      <w:bookmarkStart w:id="463" w:name="_Toc427651453"/>
      <w:bookmarkStart w:id="464" w:name="_Toc427651795"/>
      <w:r>
        <w:rPr>
          <w:rFonts w:hint="eastAsia"/>
          <w:kern w:val="44"/>
        </w:rPr>
        <w:t>北京市征收外商投资企业</w:t>
      </w:r>
      <w:bookmarkEnd w:id="460"/>
      <w:bookmarkStart w:id="465" w:name="_Toc422471145"/>
      <w:r>
        <w:rPr>
          <w:rFonts w:hint="eastAsia"/>
          <w:kern w:val="44"/>
        </w:rPr>
        <w:t>土地使用费规定</w:t>
      </w:r>
      <w:bookmarkEnd w:id="461"/>
      <w:bookmarkEnd w:id="462"/>
      <w:bookmarkEnd w:id="463"/>
      <w:bookmarkEnd w:id="464"/>
      <w:bookmarkEnd w:id="465"/>
    </w:p>
    <w:p w14:paraId="0A75893D">
      <w:pPr>
        <w:spacing w:line="356" w:lineRule="exact"/>
        <w:ind w:left="630" w:leftChars="300" w:right="630" w:rightChars="300"/>
        <w:jc w:val="left"/>
        <w:rPr>
          <w:rFonts w:ascii="楷体" w:hAnsi="楷体" w:eastAsia="楷体"/>
          <w:kern w:val="44"/>
        </w:rPr>
      </w:pPr>
      <w:r>
        <w:rPr>
          <w:rFonts w:hint="eastAsia" w:ascii="楷体" w:hAnsi="楷体" w:eastAsia="楷体"/>
          <w:kern w:val="44"/>
        </w:rPr>
        <w:t>（1992年9月11日北京市人民政府第13号令发布　根据1997年12月31日北京市人民政府第12号令第一次修改　根据2002年2月11日北京市人民政府第92号令第二次修改 ）</w:t>
      </w:r>
    </w:p>
    <w:p w14:paraId="26C3A20E">
      <w:pPr>
        <w:spacing w:line="240" w:lineRule="exact"/>
        <w:ind w:left="630" w:leftChars="300" w:right="630" w:rightChars="300"/>
        <w:jc w:val="left"/>
        <w:rPr>
          <w:rFonts w:ascii="楷体" w:hAnsi="楷体" w:eastAsia="楷体"/>
          <w:kern w:val="44"/>
        </w:rPr>
      </w:pPr>
    </w:p>
    <w:p w14:paraId="7C8C274C">
      <w:pPr>
        <w:spacing w:line="356" w:lineRule="exact"/>
        <w:ind w:firstLine="422"/>
        <w:jc w:val="left"/>
        <w:rPr>
          <w:rFonts w:ascii="宋体" w:hAnsi="宋体"/>
          <w:kern w:val="44"/>
        </w:rPr>
      </w:pPr>
      <w:r>
        <w:rPr>
          <w:rFonts w:hint="eastAsia" w:ascii="宋体" w:hAnsi="宋体"/>
          <w:b/>
          <w:kern w:val="44"/>
        </w:rPr>
        <w:t>第一条</w:t>
      </w:r>
      <w:r>
        <w:rPr>
          <w:rFonts w:hint="eastAsia" w:ascii="宋体" w:hAnsi="宋体"/>
          <w:kern w:val="44"/>
        </w:rPr>
        <w:t>　根据《中华人民共和国中外合资经营企业法》和国家法律、法规的有关规定，结合本市具体情况，制定本规定。</w:t>
      </w:r>
    </w:p>
    <w:p w14:paraId="4C958555">
      <w:pPr>
        <w:spacing w:line="356" w:lineRule="exact"/>
        <w:ind w:firstLine="422"/>
        <w:jc w:val="left"/>
        <w:rPr>
          <w:rFonts w:ascii="宋体" w:hAnsi="宋体"/>
          <w:kern w:val="44"/>
        </w:rPr>
      </w:pPr>
      <w:r>
        <w:rPr>
          <w:rFonts w:hint="eastAsia" w:ascii="宋体" w:hAnsi="宋体"/>
          <w:b/>
          <w:kern w:val="44"/>
        </w:rPr>
        <w:t>第二条</w:t>
      </w:r>
      <w:r>
        <w:rPr>
          <w:rFonts w:hint="eastAsia" w:ascii="宋体" w:hAnsi="宋体"/>
          <w:kern w:val="44"/>
        </w:rPr>
        <w:t>　凡在本市行政区域内使用土地（包括集体所有土地）的中外合资经营企业、中外合作经营企业、外资企业（以下统称为外商投资企业），除依法经出让、转让取得土地使用权的外，均按照本规定征收土地使用费。</w:t>
      </w:r>
    </w:p>
    <w:p w14:paraId="033DBA9C">
      <w:pPr>
        <w:spacing w:line="356" w:lineRule="exact"/>
        <w:jc w:val="left"/>
        <w:rPr>
          <w:rFonts w:ascii="宋体" w:hAnsi="宋体"/>
          <w:kern w:val="44"/>
        </w:rPr>
      </w:pPr>
      <w:r>
        <w:rPr>
          <w:rFonts w:hint="eastAsia" w:ascii="宋体" w:hAnsi="宋体"/>
          <w:kern w:val="44"/>
        </w:rPr>
        <w:t>本规定所称土地使用费是指外商投资企业在投资经营期内向地方政府缴纳的用地费，不包括征地、拆迁和基础设施建设费用。</w:t>
      </w:r>
    </w:p>
    <w:p w14:paraId="7E92F0EC">
      <w:pPr>
        <w:spacing w:line="356" w:lineRule="exact"/>
        <w:ind w:firstLine="422"/>
        <w:jc w:val="left"/>
        <w:rPr>
          <w:rFonts w:ascii="宋体" w:hAnsi="宋体"/>
          <w:kern w:val="44"/>
        </w:rPr>
      </w:pPr>
      <w:r>
        <w:rPr>
          <w:rFonts w:hint="eastAsia" w:ascii="宋体" w:hAnsi="宋体"/>
          <w:b/>
          <w:kern w:val="44"/>
        </w:rPr>
        <w:t>第三条</w:t>
      </w:r>
      <w:r>
        <w:rPr>
          <w:rFonts w:hint="eastAsia" w:ascii="宋体" w:hAnsi="宋体"/>
          <w:kern w:val="44"/>
        </w:rPr>
        <w:t>　本市地方税务部门（以下简称为地税部门）负责外商土地使用费的征收管理及监督检查。</w:t>
      </w:r>
    </w:p>
    <w:p w14:paraId="3AC3BC3A">
      <w:pPr>
        <w:spacing w:line="356" w:lineRule="exact"/>
        <w:ind w:firstLine="422"/>
        <w:jc w:val="left"/>
        <w:rPr>
          <w:rFonts w:ascii="宋体" w:hAnsi="宋体"/>
          <w:kern w:val="44"/>
        </w:rPr>
      </w:pPr>
      <w:r>
        <w:rPr>
          <w:rFonts w:hint="eastAsia" w:ascii="宋体" w:hAnsi="宋体"/>
          <w:b/>
          <w:kern w:val="44"/>
        </w:rPr>
        <w:t>第四条</w:t>
      </w:r>
      <w:r>
        <w:rPr>
          <w:rFonts w:hint="eastAsia" w:ascii="宋体" w:hAnsi="宋体"/>
          <w:kern w:val="44"/>
        </w:rPr>
        <w:t>　外商投资企业经依法批准使用土地的，须与市国土资源和房屋管理局签订使用土地合同；地税部门根据使用土地合同确定的用地面积、土地等级征收外商投资企业土地使用费。</w:t>
      </w:r>
    </w:p>
    <w:p w14:paraId="1B151EA7">
      <w:pPr>
        <w:spacing w:line="356" w:lineRule="exact"/>
        <w:ind w:firstLine="422"/>
        <w:jc w:val="left"/>
        <w:rPr>
          <w:rFonts w:ascii="宋体" w:hAnsi="宋体"/>
          <w:kern w:val="44"/>
        </w:rPr>
      </w:pPr>
      <w:r>
        <w:rPr>
          <w:rFonts w:hint="eastAsia" w:ascii="宋体" w:hAnsi="宋体"/>
          <w:b/>
          <w:kern w:val="44"/>
        </w:rPr>
        <w:t>第五条</w:t>
      </w:r>
      <w:r>
        <w:rPr>
          <w:rFonts w:hint="eastAsia" w:ascii="宋体" w:hAnsi="宋体"/>
          <w:kern w:val="44"/>
        </w:rPr>
        <w:t>　土地使用费自核定之日起五年内不变；五年期满后，根据实际情况，重新核定。</w:t>
      </w:r>
    </w:p>
    <w:p w14:paraId="7B479E2E">
      <w:pPr>
        <w:spacing w:line="356" w:lineRule="exact"/>
        <w:ind w:firstLine="422"/>
        <w:jc w:val="left"/>
        <w:rPr>
          <w:rFonts w:ascii="宋体" w:hAnsi="宋体"/>
          <w:kern w:val="44"/>
        </w:rPr>
      </w:pPr>
      <w:r>
        <w:rPr>
          <w:rFonts w:hint="eastAsia" w:ascii="宋体" w:hAnsi="宋体"/>
          <w:b/>
          <w:kern w:val="44"/>
        </w:rPr>
        <w:t>第六条</w:t>
      </w:r>
      <w:r>
        <w:rPr>
          <w:rFonts w:hint="eastAsia" w:ascii="宋体" w:hAnsi="宋体"/>
          <w:kern w:val="44"/>
        </w:rPr>
        <w:t>　外商投资企业从批准成立之日起，按公历日历年度缴纳土地使用费。土地使用费按年一次征收，于每年10月20日前缴纳。第一个日历年度用地时间超过半年不足一年的，按半年计征，不足半年的，免征土地使用费。</w:t>
      </w:r>
    </w:p>
    <w:p w14:paraId="119F8AFC">
      <w:pPr>
        <w:spacing w:line="356" w:lineRule="exact"/>
        <w:ind w:firstLine="422"/>
        <w:jc w:val="left"/>
        <w:rPr>
          <w:rFonts w:ascii="宋体" w:hAnsi="宋体"/>
          <w:kern w:val="44"/>
        </w:rPr>
      </w:pPr>
      <w:r>
        <w:rPr>
          <w:rFonts w:hint="eastAsia" w:ascii="宋体" w:hAnsi="宋体"/>
          <w:b/>
          <w:kern w:val="44"/>
        </w:rPr>
        <w:t>第七条</w:t>
      </w:r>
      <w:r>
        <w:rPr>
          <w:rFonts w:hint="eastAsia" w:ascii="宋体" w:hAnsi="宋体"/>
          <w:kern w:val="44"/>
        </w:rPr>
        <w:t>　外商投资企业在合同规定的筹建期（ 含基建期，下同 ）内，按核定的标准缴纳20％ 的土地使用费。</w:t>
      </w:r>
    </w:p>
    <w:p w14:paraId="1E50F080">
      <w:pPr>
        <w:spacing w:line="356" w:lineRule="exact"/>
        <w:ind w:firstLine="422"/>
        <w:jc w:val="left"/>
        <w:rPr>
          <w:rFonts w:ascii="宋体" w:hAnsi="宋体"/>
          <w:kern w:val="44"/>
        </w:rPr>
      </w:pPr>
      <w:r>
        <w:rPr>
          <w:rFonts w:hint="eastAsia" w:ascii="宋体" w:hAnsi="宋体"/>
          <w:b/>
          <w:kern w:val="44"/>
        </w:rPr>
        <w:t>第八条</w:t>
      </w:r>
      <w:r>
        <w:rPr>
          <w:rFonts w:hint="eastAsia" w:ascii="宋体" w:hAnsi="宋体"/>
          <w:kern w:val="44"/>
        </w:rPr>
        <w:t>　外商投资企业缴纳土地使用费的有关减免政策，按照国家有关法律及国家财政、土地主管部门的规定办理。</w:t>
      </w:r>
    </w:p>
    <w:p w14:paraId="090B1068">
      <w:pPr>
        <w:spacing w:line="356" w:lineRule="exact"/>
        <w:ind w:firstLine="422"/>
        <w:jc w:val="left"/>
        <w:rPr>
          <w:rFonts w:ascii="宋体" w:hAnsi="宋体"/>
          <w:kern w:val="44"/>
        </w:rPr>
      </w:pPr>
      <w:r>
        <w:rPr>
          <w:rFonts w:hint="eastAsia" w:ascii="宋体" w:hAnsi="宋体"/>
          <w:b/>
          <w:kern w:val="44"/>
        </w:rPr>
        <w:t>第九条</w:t>
      </w:r>
      <w:r>
        <w:rPr>
          <w:rFonts w:hint="eastAsia" w:ascii="宋体" w:hAnsi="宋体"/>
          <w:kern w:val="44"/>
        </w:rPr>
        <w:t>　缴纳土地使用费确有特殊困难的外商投资企业，经市地税部门批准，可予缓征。</w:t>
      </w:r>
    </w:p>
    <w:p w14:paraId="2B766BC7">
      <w:pPr>
        <w:spacing w:line="356" w:lineRule="exact"/>
        <w:ind w:firstLine="422"/>
        <w:jc w:val="left"/>
        <w:rPr>
          <w:rFonts w:ascii="宋体" w:hAnsi="宋体"/>
          <w:kern w:val="44"/>
        </w:rPr>
      </w:pPr>
      <w:r>
        <w:rPr>
          <w:rFonts w:hint="eastAsia" w:ascii="宋体" w:hAnsi="宋体"/>
          <w:b/>
          <w:kern w:val="44"/>
        </w:rPr>
        <w:t>第十条</w:t>
      </w:r>
      <w:r>
        <w:rPr>
          <w:rFonts w:hint="eastAsia" w:ascii="宋体" w:hAnsi="宋体"/>
          <w:kern w:val="44"/>
        </w:rPr>
        <w:t>　外商投资企业的中方以土地使用权作为投资的，由中方缴纳土地使用费。</w:t>
      </w:r>
    </w:p>
    <w:p w14:paraId="2A23CC22">
      <w:pPr>
        <w:spacing w:line="356" w:lineRule="exact"/>
        <w:ind w:firstLine="422"/>
        <w:jc w:val="left"/>
        <w:rPr>
          <w:rFonts w:ascii="宋体" w:hAnsi="宋体"/>
          <w:kern w:val="44"/>
        </w:rPr>
      </w:pPr>
      <w:r>
        <w:rPr>
          <w:rFonts w:hint="eastAsia" w:ascii="宋体" w:hAnsi="宋体"/>
          <w:b/>
          <w:kern w:val="44"/>
        </w:rPr>
        <w:t>第十一条</w:t>
      </w:r>
      <w:r>
        <w:rPr>
          <w:rFonts w:hint="eastAsia" w:ascii="宋体" w:hAnsi="宋体"/>
          <w:kern w:val="44"/>
        </w:rPr>
        <w:t>　依法租赁土地和租赁房屋的外商投资企业，由承租方或者由租赁合同规定的一方缴纳土地使用费。</w:t>
      </w:r>
    </w:p>
    <w:p w14:paraId="573EFFC5">
      <w:pPr>
        <w:spacing w:line="356" w:lineRule="exact"/>
        <w:ind w:firstLine="422"/>
        <w:jc w:val="left"/>
        <w:rPr>
          <w:rFonts w:ascii="宋体" w:hAnsi="宋体"/>
          <w:kern w:val="44"/>
        </w:rPr>
      </w:pPr>
      <w:r>
        <w:rPr>
          <w:rFonts w:hint="eastAsia" w:ascii="宋体" w:hAnsi="宋体"/>
          <w:b/>
          <w:kern w:val="44"/>
        </w:rPr>
        <w:t>第十二条</w:t>
      </w:r>
      <w:r>
        <w:rPr>
          <w:rFonts w:hint="eastAsia" w:ascii="宋体" w:hAnsi="宋体"/>
          <w:kern w:val="44"/>
        </w:rPr>
        <w:t>　违反本规定，逾期不缴纳土地使用费的，由地税部门责令改正，并按照财政部门的有关规定加收滞纳金。</w:t>
      </w:r>
    </w:p>
    <w:p w14:paraId="3D733751">
      <w:pPr>
        <w:spacing w:line="356" w:lineRule="exact"/>
        <w:ind w:firstLine="422"/>
        <w:jc w:val="left"/>
        <w:rPr>
          <w:rFonts w:ascii="宋体" w:hAnsi="宋体"/>
          <w:kern w:val="44"/>
        </w:rPr>
      </w:pPr>
      <w:r>
        <w:rPr>
          <w:rFonts w:hint="eastAsia" w:ascii="宋体" w:hAnsi="宋体"/>
          <w:b/>
          <w:kern w:val="44"/>
        </w:rPr>
        <w:t>第十三条</w:t>
      </w:r>
      <w:r>
        <w:rPr>
          <w:rFonts w:hint="eastAsia" w:ascii="宋体" w:hAnsi="宋体"/>
          <w:kern w:val="44"/>
        </w:rPr>
        <w:t>　本市外商投资企业土地使用费标准，由市地税部门会同市物价局、市国土资源和房屋管理局拟定，报市人民政府批准后，予以公布。</w:t>
      </w:r>
    </w:p>
    <w:p w14:paraId="6669D27B">
      <w:pPr>
        <w:spacing w:line="356" w:lineRule="exact"/>
        <w:ind w:firstLine="422"/>
        <w:jc w:val="left"/>
        <w:rPr>
          <w:rFonts w:ascii="宋体" w:hAnsi="宋体"/>
          <w:kern w:val="44"/>
        </w:rPr>
      </w:pPr>
      <w:r>
        <w:rPr>
          <w:rFonts w:hint="eastAsia" w:ascii="宋体" w:hAnsi="宋体"/>
          <w:b/>
          <w:kern w:val="44"/>
        </w:rPr>
        <w:t>第十四条</w:t>
      </w:r>
      <w:r>
        <w:rPr>
          <w:rFonts w:hint="eastAsia" w:ascii="宋体" w:hAnsi="宋体"/>
          <w:kern w:val="44"/>
        </w:rPr>
        <w:t>　本规定自1992年10月1日起施行。1985年5月17日北京市人民政府制定的《北京市征收中外合营企业土地使用费暂行规定》同时废止。</w:t>
      </w:r>
    </w:p>
    <w:p w14:paraId="18407E02">
      <w:pPr>
        <w:pStyle w:val="4"/>
        <w:pageBreakBefore/>
        <w:rPr>
          <w:kern w:val="44"/>
        </w:rPr>
      </w:pPr>
      <w:bookmarkStart w:id="466" w:name="_Toc422471146"/>
      <w:bookmarkStart w:id="467" w:name="_Toc428780020"/>
      <w:bookmarkStart w:id="468" w:name="_Toc427651796"/>
      <w:bookmarkStart w:id="469" w:name="_Toc428781502"/>
      <w:bookmarkStart w:id="470" w:name="_Toc427651454"/>
      <w:r>
        <w:rPr>
          <w:rFonts w:hint="eastAsia"/>
          <w:kern w:val="44"/>
        </w:rPr>
        <w:t>北京市实施《国家赔偿费用</w:t>
      </w:r>
      <w:bookmarkEnd w:id="466"/>
      <w:bookmarkStart w:id="471" w:name="_Toc422471147"/>
      <w:r>
        <w:rPr>
          <w:rFonts w:hint="eastAsia"/>
          <w:kern w:val="44"/>
        </w:rPr>
        <w:t>管理办法》的规定</w:t>
      </w:r>
      <w:bookmarkEnd w:id="467"/>
      <w:bookmarkEnd w:id="468"/>
      <w:bookmarkEnd w:id="469"/>
      <w:bookmarkEnd w:id="470"/>
      <w:bookmarkEnd w:id="471"/>
    </w:p>
    <w:p w14:paraId="425BD181">
      <w:pPr>
        <w:ind w:left="630" w:leftChars="300" w:right="630" w:rightChars="300"/>
        <w:jc w:val="center"/>
        <w:rPr>
          <w:rFonts w:ascii="楷体" w:hAnsi="楷体" w:eastAsia="楷体"/>
          <w:kern w:val="44"/>
        </w:rPr>
      </w:pPr>
      <w:r>
        <w:rPr>
          <w:rFonts w:hint="eastAsia" w:ascii="楷体" w:hAnsi="楷体" w:eastAsia="楷体"/>
          <w:kern w:val="44"/>
        </w:rPr>
        <w:t>（1995年10月22日北京市人民政府第28号令发布 ）</w:t>
      </w:r>
    </w:p>
    <w:p w14:paraId="7765F77F">
      <w:pPr>
        <w:ind w:left="630" w:leftChars="300" w:right="630" w:rightChars="300"/>
        <w:jc w:val="left"/>
        <w:rPr>
          <w:rFonts w:ascii="楷体" w:hAnsi="楷体" w:eastAsia="楷体"/>
          <w:kern w:val="44"/>
        </w:rPr>
      </w:pPr>
    </w:p>
    <w:p w14:paraId="316A6B8A">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为了实施国务院发布的《国家赔偿费用管理办法》（以下简称《办法》），结合本市实际情况，制定本规定。</w:t>
      </w:r>
    </w:p>
    <w:p w14:paraId="67FED9B8">
      <w:pPr>
        <w:ind w:firstLine="422"/>
        <w:jc w:val="left"/>
        <w:rPr>
          <w:rFonts w:ascii="宋体" w:hAnsi="宋体"/>
          <w:kern w:val="44"/>
        </w:rPr>
      </w:pPr>
      <w:r>
        <w:rPr>
          <w:rFonts w:hint="eastAsia" w:ascii="宋体" w:hAnsi="宋体"/>
          <w:b/>
          <w:kern w:val="44"/>
        </w:rPr>
        <w:t>第二条</w:t>
      </w:r>
      <w:r>
        <w:rPr>
          <w:rFonts w:hint="eastAsia" w:ascii="宋体" w:hAnsi="宋体"/>
          <w:kern w:val="44"/>
        </w:rPr>
        <w:t>　本市各级财政列支的国家赔偿费用，适用《办法》和本规定。</w:t>
      </w:r>
    </w:p>
    <w:p w14:paraId="7A9B89C3">
      <w:pPr>
        <w:ind w:firstLine="422"/>
        <w:jc w:val="left"/>
        <w:rPr>
          <w:rFonts w:ascii="宋体" w:hAnsi="宋体"/>
          <w:kern w:val="44"/>
        </w:rPr>
      </w:pPr>
      <w:r>
        <w:rPr>
          <w:rFonts w:hint="eastAsia" w:ascii="宋体" w:hAnsi="宋体"/>
          <w:b/>
          <w:kern w:val="44"/>
        </w:rPr>
        <w:t>第三条</w:t>
      </w:r>
      <w:r>
        <w:rPr>
          <w:rFonts w:hint="eastAsia" w:ascii="宋体" w:hAnsi="宋体"/>
          <w:kern w:val="44"/>
        </w:rPr>
        <w:t>　国家赔偿费用按照财政管理体制，由赔偿义务机关的同级财政负担。每年度的赔偿费用金额，由市、区、县财政分别按上一年度罚没款入库额5％的比例核定，列入当年的财政预算。</w:t>
      </w:r>
    </w:p>
    <w:p w14:paraId="202D2D57">
      <w:pPr>
        <w:jc w:val="left"/>
        <w:rPr>
          <w:rFonts w:ascii="宋体" w:hAnsi="宋体"/>
          <w:kern w:val="44"/>
        </w:rPr>
      </w:pPr>
      <w:r>
        <w:rPr>
          <w:rFonts w:hint="eastAsia" w:ascii="宋体" w:hAnsi="宋体"/>
          <w:kern w:val="44"/>
        </w:rPr>
        <w:t>已核定的国家赔偿费用比例需要调整时，由市财政局提出报市人民政府决定。</w:t>
      </w:r>
    </w:p>
    <w:p w14:paraId="496C2FE1">
      <w:pPr>
        <w:ind w:firstLine="422"/>
        <w:jc w:val="left"/>
        <w:rPr>
          <w:rFonts w:ascii="宋体" w:hAnsi="宋体"/>
          <w:kern w:val="44"/>
        </w:rPr>
      </w:pPr>
      <w:r>
        <w:rPr>
          <w:rFonts w:hint="eastAsia" w:ascii="宋体" w:hAnsi="宋体"/>
          <w:b/>
          <w:kern w:val="44"/>
        </w:rPr>
        <w:t>第四条</w:t>
      </w:r>
      <w:r>
        <w:rPr>
          <w:rFonts w:hint="eastAsia" w:ascii="宋体" w:hAnsi="宋体"/>
          <w:kern w:val="44"/>
        </w:rPr>
        <w:t>　国家赔偿费用由各级财政机关负责管理，专款专用。当年实际支付的国家赔偿费用超过年度预算的部分，在本级预算预备费中解决。</w:t>
      </w:r>
    </w:p>
    <w:p w14:paraId="29B8F5C3">
      <w:pPr>
        <w:ind w:firstLine="422"/>
        <w:jc w:val="left"/>
        <w:rPr>
          <w:rFonts w:ascii="宋体" w:hAnsi="宋体"/>
          <w:kern w:val="44"/>
        </w:rPr>
      </w:pPr>
      <w:r>
        <w:rPr>
          <w:rFonts w:hint="eastAsia" w:ascii="宋体" w:hAnsi="宋体"/>
          <w:b/>
          <w:kern w:val="44"/>
        </w:rPr>
        <w:t>第五条</w:t>
      </w:r>
      <w:r>
        <w:rPr>
          <w:rFonts w:hint="eastAsia" w:ascii="宋体" w:hAnsi="宋体"/>
          <w:kern w:val="44"/>
        </w:rPr>
        <w:t>　国家赔偿以支付赔偿金为主要方式，支付赔偿金的计算方法和标准，依照国家赔偿法第二十六条、第二十七条、第二十八条的规定执行。</w:t>
      </w:r>
    </w:p>
    <w:p w14:paraId="2685A569">
      <w:pPr>
        <w:jc w:val="left"/>
        <w:rPr>
          <w:rFonts w:ascii="宋体" w:hAnsi="宋体"/>
          <w:kern w:val="44"/>
        </w:rPr>
      </w:pPr>
      <w:r>
        <w:rPr>
          <w:rFonts w:hint="eastAsia" w:ascii="宋体" w:hAnsi="宋体"/>
          <w:kern w:val="44"/>
        </w:rPr>
        <w:t>赔偿义务机关能够通过返还财产或者恢复原状实施国家赔偿的，应当返还财产或者恢复原状。</w:t>
      </w:r>
    </w:p>
    <w:p w14:paraId="37F06D09">
      <w:pPr>
        <w:ind w:firstLine="422"/>
        <w:jc w:val="left"/>
        <w:rPr>
          <w:rFonts w:ascii="宋体" w:hAnsi="宋体"/>
          <w:kern w:val="44"/>
        </w:rPr>
      </w:pPr>
      <w:r>
        <w:rPr>
          <w:rFonts w:hint="eastAsia" w:ascii="宋体" w:hAnsi="宋体"/>
          <w:b/>
          <w:kern w:val="44"/>
        </w:rPr>
        <w:t>第六条</w:t>
      </w:r>
      <w:r>
        <w:rPr>
          <w:rFonts w:hint="eastAsia" w:ascii="宋体" w:hAnsi="宋体"/>
          <w:kern w:val="44"/>
        </w:rPr>
        <w:t>　国家机关及其工作人员违法行使职权，对公民、法人和其他组织处以罚款、罚金、追缴、没收财产或者违反国家规定征收财物、摊派费用，对其造成损害，需要返还财产的，依照下列规定返还：</w:t>
      </w:r>
    </w:p>
    <w:p w14:paraId="63990E16">
      <w:pPr>
        <w:jc w:val="left"/>
        <w:rPr>
          <w:rFonts w:ascii="宋体" w:hAnsi="宋体"/>
          <w:kern w:val="44"/>
        </w:rPr>
      </w:pPr>
      <w:r>
        <w:rPr>
          <w:rFonts w:hint="eastAsia" w:ascii="宋体" w:hAnsi="宋体"/>
          <w:kern w:val="44"/>
        </w:rPr>
        <w:t>（一）财产尚未上交财政的，由赔偿义务机关负责返还；</w:t>
      </w:r>
    </w:p>
    <w:p w14:paraId="401A71BC">
      <w:pPr>
        <w:jc w:val="left"/>
        <w:rPr>
          <w:rFonts w:ascii="宋体" w:hAnsi="宋体"/>
          <w:kern w:val="44"/>
        </w:rPr>
      </w:pPr>
      <w:r>
        <w:rPr>
          <w:rFonts w:hint="eastAsia" w:ascii="宋体" w:hAnsi="宋体"/>
          <w:kern w:val="44"/>
        </w:rPr>
        <w:t>（二）财产已经上交财政的，由赔偿义务机关负责向同级财政机关申请返还。</w:t>
      </w:r>
    </w:p>
    <w:p w14:paraId="0725F602">
      <w:pPr>
        <w:ind w:firstLine="422"/>
        <w:jc w:val="left"/>
        <w:rPr>
          <w:rFonts w:ascii="宋体" w:hAnsi="宋体"/>
          <w:kern w:val="44"/>
        </w:rPr>
      </w:pPr>
      <w:r>
        <w:rPr>
          <w:rFonts w:hint="eastAsia" w:ascii="宋体" w:hAnsi="宋体"/>
          <w:b/>
          <w:kern w:val="44"/>
        </w:rPr>
        <w:t>第七条</w:t>
      </w:r>
      <w:r>
        <w:rPr>
          <w:rFonts w:hint="eastAsia" w:ascii="宋体" w:hAnsi="宋体"/>
          <w:kern w:val="44"/>
        </w:rPr>
        <w:t>　国家赔偿费用由赔偿义务机关先从本单位预算经费和留归本单位使用的资金中支付，支付后15日内向同级财政机关申请核拨。赔偿数额较大，赔偿义务机关先行支付有困难的，可申请预拨。</w:t>
      </w:r>
    </w:p>
    <w:p w14:paraId="7B42AD5C">
      <w:pPr>
        <w:ind w:firstLine="422"/>
        <w:jc w:val="left"/>
        <w:rPr>
          <w:rFonts w:ascii="宋体" w:hAnsi="宋体"/>
          <w:kern w:val="44"/>
        </w:rPr>
      </w:pPr>
      <w:r>
        <w:rPr>
          <w:rFonts w:hint="eastAsia" w:ascii="宋体" w:hAnsi="宋体"/>
          <w:b/>
          <w:kern w:val="44"/>
        </w:rPr>
        <w:t>第八条</w:t>
      </w:r>
      <w:r>
        <w:rPr>
          <w:rFonts w:hint="eastAsia" w:ascii="宋体" w:hAnsi="宋体"/>
          <w:kern w:val="44"/>
        </w:rPr>
        <w:t>　赔偿义务机关申请核拨国家赔偿费用或者申请返还已经上交财政的财产，应当根据具体情况，提供下列相应的文件或者文件副本：</w:t>
      </w:r>
    </w:p>
    <w:p w14:paraId="62AA3A4D">
      <w:pPr>
        <w:jc w:val="left"/>
        <w:rPr>
          <w:rFonts w:ascii="宋体" w:hAnsi="宋体"/>
          <w:kern w:val="44"/>
        </w:rPr>
      </w:pPr>
      <w:r>
        <w:rPr>
          <w:rFonts w:hint="eastAsia" w:ascii="宋体" w:hAnsi="宋体"/>
          <w:kern w:val="44"/>
        </w:rPr>
        <w:t>（一）赔偿请求人请求赔偿的申请书；</w:t>
      </w:r>
    </w:p>
    <w:p w14:paraId="48A0B6A2">
      <w:pPr>
        <w:jc w:val="left"/>
        <w:rPr>
          <w:rFonts w:ascii="宋体" w:hAnsi="宋体"/>
          <w:kern w:val="44"/>
        </w:rPr>
      </w:pPr>
      <w:r>
        <w:rPr>
          <w:rFonts w:hint="eastAsia" w:ascii="宋体" w:hAnsi="宋体"/>
          <w:kern w:val="44"/>
        </w:rPr>
        <w:t>（二）赔偿义务机关作出的赔偿决定；</w:t>
      </w:r>
    </w:p>
    <w:p w14:paraId="0E16841C">
      <w:pPr>
        <w:jc w:val="left"/>
        <w:rPr>
          <w:rFonts w:ascii="宋体" w:hAnsi="宋体"/>
          <w:kern w:val="44"/>
        </w:rPr>
      </w:pPr>
      <w:r>
        <w:rPr>
          <w:rFonts w:hint="eastAsia" w:ascii="宋体" w:hAnsi="宋体"/>
          <w:kern w:val="44"/>
        </w:rPr>
        <w:t>（三）复议机关的复议决定书；</w:t>
      </w:r>
    </w:p>
    <w:p w14:paraId="2AB3A9D6">
      <w:pPr>
        <w:jc w:val="left"/>
        <w:rPr>
          <w:rFonts w:ascii="宋体" w:hAnsi="宋体"/>
          <w:kern w:val="44"/>
        </w:rPr>
      </w:pPr>
      <w:r>
        <w:rPr>
          <w:rFonts w:hint="eastAsia" w:ascii="宋体" w:hAnsi="宋体"/>
          <w:kern w:val="44"/>
        </w:rPr>
        <w:t>（四）人民法院的判决书、裁定书或者赔偿决定书；</w:t>
      </w:r>
    </w:p>
    <w:p w14:paraId="07239033">
      <w:pPr>
        <w:jc w:val="left"/>
        <w:rPr>
          <w:rFonts w:ascii="宋体" w:hAnsi="宋体"/>
          <w:kern w:val="44"/>
        </w:rPr>
      </w:pPr>
      <w:r>
        <w:rPr>
          <w:rFonts w:hint="eastAsia" w:ascii="宋体" w:hAnsi="宋体"/>
          <w:kern w:val="44"/>
        </w:rPr>
        <w:t>（五）赔偿义务机关对因故意或者重大过失造成国家赔偿的责任者，依法实施追偿的意见或者决定；</w:t>
      </w:r>
    </w:p>
    <w:p w14:paraId="75CE2F24">
      <w:pPr>
        <w:jc w:val="left"/>
        <w:rPr>
          <w:rFonts w:ascii="宋体" w:hAnsi="宋体"/>
          <w:kern w:val="44"/>
        </w:rPr>
      </w:pPr>
      <w:r>
        <w:rPr>
          <w:rFonts w:hint="eastAsia" w:ascii="宋体" w:hAnsi="宋体"/>
          <w:kern w:val="44"/>
        </w:rPr>
        <w:t>（六）财产已经上交财政的凭据；</w:t>
      </w:r>
    </w:p>
    <w:p w14:paraId="6B1A7194">
      <w:pPr>
        <w:jc w:val="left"/>
        <w:rPr>
          <w:rFonts w:ascii="宋体" w:hAnsi="宋体"/>
          <w:kern w:val="44"/>
        </w:rPr>
      </w:pPr>
      <w:r>
        <w:rPr>
          <w:rFonts w:hint="eastAsia" w:ascii="宋体" w:hAnsi="宋体"/>
          <w:kern w:val="44"/>
        </w:rPr>
        <w:t>（七）赔偿义务机关向赔偿请求人支付国家赔偿费用的凭证；</w:t>
      </w:r>
    </w:p>
    <w:p w14:paraId="7C773A3D">
      <w:pPr>
        <w:jc w:val="left"/>
        <w:rPr>
          <w:rFonts w:ascii="宋体" w:hAnsi="宋体"/>
          <w:kern w:val="44"/>
        </w:rPr>
      </w:pPr>
      <w:r>
        <w:rPr>
          <w:rFonts w:hint="eastAsia" w:ascii="宋体" w:hAnsi="宋体"/>
          <w:kern w:val="44"/>
        </w:rPr>
        <w:t>（八）财政机关要求提供的其他文件或者文件副本。</w:t>
      </w:r>
    </w:p>
    <w:p w14:paraId="2A65514B">
      <w:pPr>
        <w:ind w:firstLine="422"/>
        <w:jc w:val="left"/>
        <w:rPr>
          <w:rFonts w:ascii="宋体" w:hAnsi="宋体"/>
          <w:kern w:val="44"/>
        </w:rPr>
      </w:pPr>
      <w:r>
        <w:rPr>
          <w:rFonts w:hint="eastAsia" w:ascii="宋体" w:hAnsi="宋体"/>
          <w:b/>
          <w:kern w:val="44"/>
        </w:rPr>
        <w:t>第九条</w:t>
      </w:r>
      <w:r>
        <w:rPr>
          <w:rFonts w:hint="eastAsia" w:ascii="宋体" w:hAnsi="宋体"/>
          <w:kern w:val="44"/>
        </w:rPr>
        <w:t>　各级财政机关收到赔偿义务机关核拨国家赔偿费用或者返还财产的申请后，按下列程序办理：</w:t>
      </w:r>
    </w:p>
    <w:p w14:paraId="580AF5DB">
      <w:pPr>
        <w:jc w:val="left"/>
        <w:rPr>
          <w:rFonts w:ascii="宋体" w:hAnsi="宋体"/>
          <w:kern w:val="44"/>
        </w:rPr>
      </w:pPr>
      <w:r>
        <w:rPr>
          <w:rFonts w:hint="eastAsia" w:ascii="宋体" w:hAnsi="宋体"/>
          <w:kern w:val="44"/>
        </w:rPr>
        <w:t>（一）审核赔偿义务机关核拨国家赔偿费用或者返还财产的申请及有关材料，必要时可对引起赔偿的原因、责任进行调查；</w:t>
      </w:r>
    </w:p>
    <w:p w14:paraId="70DE7F43">
      <w:pPr>
        <w:jc w:val="left"/>
        <w:rPr>
          <w:rFonts w:ascii="宋体" w:hAnsi="宋体"/>
          <w:kern w:val="44"/>
        </w:rPr>
      </w:pPr>
      <w:r>
        <w:rPr>
          <w:rFonts w:hint="eastAsia" w:ascii="宋体" w:hAnsi="宋体"/>
          <w:kern w:val="44"/>
        </w:rPr>
        <w:t>（二）审核后7日内对应拨付的国家赔偿费用或者返还的财产开出国家赔偿费用拨款通知单、财产返还通知单、收入退库通知单等；</w:t>
      </w:r>
    </w:p>
    <w:p w14:paraId="1D7E8986">
      <w:pPr>
        <w:jc w:val="left"/>
        <w:rPr>
          <w:rFonts w:ascii="宋体" w:hAnsi="宋体"/>
          <w:kern w:val="44"/>
        </w:rPr>
      </w:pPr>
      <w:r>
        <w:rPr>
          <w:rFonts w:hint="eastAsia" w:ascii="宋体" w:hAnsi="宋体"/>
          <w:kern w:val="44"/>
        </w:rPr>
        <w:t>（三）将国家赔偿费用拨款通知单或者财产返还通知单副本报送同级人民政府法制机构备案。</w:t>
      </w:r>
    </w:p>
    <w:p w14:paraId="4EA1377F">
      <w:pPr>
        <w:ind w:firstLine="422"/>
        <w:jc w:val="left"/>
        <w:rPr>
          <w:rFonts w:ascii="宋体" w:hAnsi="宋体"/>
          <w:kern w:val="44"/>
        </w:rPr>
      </w:pPr>
      <w:r>
        <w:rPr>
          <w:rFonts w:hint="eastAsia" w:ascii="宋体" w:hAnsi="宋体"/>
          <w:b/>
          <w:kern w:val="44"/>
        </w:rPr>
        <w:t>第十条</w:t>
      </w:r>
      <w:r>
        <w:rPr>
          <w:rFonts w:hint="eastAsia" w:ascii="宋体" w:hAnsi="宋体"/>
          <w:kern w:val="44"/>
        </w:rPr>
        <w:t>　各级财政机关对行政赔偿的赔偿义务机关的申请，可以会同本级人民政府法制机构进行审核。发现赔偿义务机关因故意或者重大过失造成国家赔偿的，或者超出国家赔偿法规定的范围和标准赔偿的，应写出建议书提请本级人民政府责令该赔偿义务机关自行承担部分或者全部国家赔偿费用。</w:t>
      </w:r>
    </w:p>
    <w:p w14:paraId="4208CD11">
      <w:pPr>
        <w:ind w:firstLine="422"/>
        <w:jc w:val="left"/>
        <w:rPr>
          <w:rFonts w:ascii="宋体" w:hAnsi="宋体"/>
          <w:kern w:val="44"/>
        </w:rPr>
      </w:pPr>
      <w:r>
        <w:rPr>
          <w:rFonts w:hint="eastAsia" w:ascii="宋体" w:hAnsi="宋体"/>
          <w:b/>
          <w:kern w:val="44"/>
        </w:rPr>
        <w:t>第十一条</w:t>
      </w:r>
      <w:r>
        <w:rPr>
          <w:rFonts w:hint="eastAsia" w:ascii="宋体" w:hAnsi="宋体"/>
          <w:kern w:val="44"/>
        </w:rPr>
        <w:t>　赔偿义务机关赔偿后，应当依照国家赔偿法第十四条、第二十四条的规定，向责任者追偿部分或者全部国家赔偿费用。追偿的国家赔偿费用，属财政已经核拨的，应上交同级财政。</w:t>
      </w:r>
    </w:p>
    <w:p w14:paraId="311A87EF">
      <w:pPr>
        <w:ind w:firstLine="422"/>
        <w:jc w:val="left"/>
        <w:rPr>
          <w:rFonts w:ascii="宋体" w:hAnsi="宋体"/>
          <w:kern w:val="44"/>
        </w:rPr>
      </w:pPr>
      <w:r>
        <w:rPr>
          <w:rFonts w:hint="eastAsia" w:ascii="宋体" w:hAnsi="宋体"/>
          <w:b/>
          <w:kern w:val="44"/>
        </w:rPr>
        <w:t>第十二条</w:t>
      </w:r>
      <w:r>
        <w:rPr>
          <w:rFonts w:hint="eastAsia" w:ascii="宋体" w:hAnsi="宋体"/>
          <w:kern w:val="44"/>
        </w:rPr>
        <w:t>　各级财政机关应加强对本级赔偿费用的监督管理，对国家赔偿费用的管理、使用、核拨及追偿进行监督检查。有下列情况之一者，由财政机关依法追缴被侵占的国家赔偿费用：</w:t>
      </w:r>
    </w:p>
    <w:p w14:paraId="0F163EA5">
      <w:pPr>
        <w:jc w:val="left"/>
        <w:rPr>
          <w:rFonts w:ascii="宋体" w:hAnsi="宋体"/>
          <w:kern w:val="44"/>
        </w:rPr>
      </w:pPr>
      <w:r>
        <w:rPr>
          <w:rFonts w:hint="eastAsia" w:ascii="宋体" w:hAnsi="宋体"/>
          <w:kern w:val="44"/>
        </w:rPr>
        <w:t>（一）虚报、冒领、骗取国家赔偿费用的；</w:t>
      </w:r>
    </w:p>
    <w:p w14:paraId="1FDABBB2">
      <w:pPr>
        <w:jc w:val="left"/>
        <w:rPr>
          <w:rFonts w:ascii="宋体" w:hAnsi="宋体"/>
          <w:kern w:val="44"/>
        </w:rPr>
      </w:pPr>
      <w:r>
        <w:rPr>
          <w:rFonts w:hint="eastAsia" w:ascii="宋体" w:hAnsi="宋体"/>
          <w:kern w:val="44"/>
        </w:rPr>
        <w:t>（二）挪用国家赔偿费用的；</w:t>
      </w:r>
    </w:p>
    <w:p w14:paraId="06D1B9ED">
      <w:pPr>
        <w:jc w:val="left"/>
        <w:rPr>
          <w:rFonts w:ascii="宋体" w:hAnsi="宋体"/>
          <w:kern w:val="44"/>
        </w:rPr>
      </w:pPr>
      <w:r>
        <w:rPr>
          <w:rFonts w:hint="eastAsia" w:ascii="宋体" w:hAnsi="宋体"/>
          <w:kern w:val="44"/>
        </w:rPr>
        <w:t>（三）未按照规定追偿国家赔偿费用的；</w:t>
      </w:r>
    </w:p>
    <w:p w14:paraId="7D967CC0">
      <w:pPr>
        <w:jc w:val="left"/>
        <w:rPr>
          <w:rFonts w:ascii="宋体" w:hAnsi="宋体"/>
          <w:kern w:val="44"/>
        </w:rPr>
      </w:pPr>
      <w:r>
        <w:rPr>
          <w:rFonts w:hint="eastAsia" w:ascii="宋体" w:hAnsi="宋体"/>
          <w:kern w:val="44"/>
        </w:rPr>
        <w:t>（四）违反国家赔偿法和国家赔偿费用管理办法等有关规定支付国家赔偿费用的。</w:t>
      </w:r>
    </w:p>
    <w:p w14:paraId="6F40DD45">
      <w:pPr>
        <w:jc w:val="left"/>
        <w:rPr>
          <w:rFonts w:ascii="宋体" w:hAnsi="宋体"/>
          <w:kern w:val="44"/>
        </w:rPr>
      </w:pPr>
      <w:r>
        <w:rPr>
          <w:rFonts w:hint="eastAsia" w:ascii="宋体" w:hAnsi="宋体"/>
          <w:kern w:val="44"/>
        </w:rPr>
        <w:t>国家机关有前款所列行为之一的，对负有直接责任的主管人员和其他责任人员依法追究法律责任。</w:t>
      </w:r>
    </w:p>
    <w:p w14:paraId="15E16089">
      <w:pPr>
        <w:ind w:firstLine="422"/>
        <w:jc w:val="left"/>
        <w:rPr>
          <w:rFonts w:ascii="宋体" w:hAnsi="宋体"/>
          <w:kern w:val="44"/>
        </w:rPr>
      </w:pPr>
      <w:r>
        <w:rPr>
          <w:rFonts w:hint="eastAsia" w:ascii="宋体" w:hAnsi="宋体"/>
          <w:b/>
          <w:kern w:val="44"/>
        </w:rPr>
        <w:t>第十三条</w:t>
      </w:r>
      <w:r>
        <w:rPr>
          <w:rFonts w:hint="eastAsia" w:ascii="宋体" w:hAnsi="宋体"/>
          <w:kern w:val="44"/>
        </w:rPr>
        <w:t>　各级财政机关应加强对罚没款的管理。对不按规定上缴罚没款的单位，应当按《关于违反财政法规处罚的暂行规定》处理，并减拨或者不予核拨国家赔偿费用。</w:t>
      </w:r>
    </w:p>
    <w:p w14:paraId="35858290">
      <w:pPr>
        <w:ind w:firstLine="422"/>
        <w:jc w:val="left"/>
        <w:rPr>
          <w:rFonts w:ascii="宋体" w:hAnsi="宋体"/>
          <w:kern w:val="44"/>
        </w:rPr>
      </w:pPr>
      <w:r>
        <w:rPr>
          <w:rFonts w:hint="eastAsia" w:ascii="宋体" w:hAnsi="宋体"/>
          <w:b/>
          <w:kern w:val="44"/>
        </w:rPr>
        <w:t>第十四条</w:t>
      </w:r>
      <w:r>
        <w:rPr>
          <w:rFonts w:hint="eastAsia" w:ascii="宋体" w:hAnsi="宋体"/>
          <w:kern w:val="44"/>
        </w:rPr>
        <w:t>　本规定由市财政局组织实施并对实施中的具体问题负责解释。</w:t>
      </w:r>
    </w:p>
    <w:p w14:paraId="71BCC496">
      <w:pPr>
        <w:ind w:firstLine="422"/>
        <w:jc w:val="left"/>
        <w:rPr>
          <w:rFonts w:ascii="宋体" w:hAnsi="宋体"/>
          <w:kern w:val="44"/>
        </w:rPr>
      </w:pPr>
      <w:r>
        <w:rPr>
          <w:rFonts w:hint="eastAsia" w:ascii="宋体" w:hAnsi="宋体"/>
          <w:b/>
          <w:kern w:val="44"/>
        </w:rPr>
        <w:t>第十五条</w:t>
      </w:r>
      <w:r>
        <w:rPr>
          <w:rFonts w:hint="eastAsia" w:ascii="宋体" w:hAnsi="宋体"/>
          <w:kern w:val="44"/>
        </w:rPr>
        <w:t>　本规定自发布之日起施行。</w:t>
      </w:r>
    </w:p>
    <w:p w14:paraId="2A389B1E">
      <w:pPr>
        <w:pStyle w:val="4"/>
        <w:pageBreakBefore/>
        <w:rPr>
          <w:kern w:val="44"/>
        </w:rPr>
      </w:pPr>
      <w:bookmarkStart w:id="472" w:name="_Toc422471148"/>
      <w:bookmarkStart w:id="473" w:name="_Toc427651455"/>
      <w:bookmarkStart w:id="474" w:name="_Toc428780021"/>
      <w:bookmarkStart w:id="475" w:name="_Toc427651797"/>
      <w:bookmarkStart w:id="476" w:name="_Toc428781503"/>
      <w:r>
        <w:rPr>
          <w:rFonts w:hint="eastAsia"/>
          <w:kern w:val="44"/>
        </w:rPr>
        <w:t>北京市会计管理办法</w:t>
      </w:r>
      <w:bookmarkEnd w:id="472"/>
      <w:bookmarkEnd w:id="473"/>
      <w:bookmarkEnd w:id="474"/>
      <w:bookmarkEnd w:id="475"/>
      <w:bookmarkEnd w:id="476"/>
    </w:p>
    <w:p w14:paraId="37DC51E3">
      <w:pPr>
        <w:jc w:val="left"/>
        <w:rPr>
          <w:rFonts w:ascii="宋体" w:hAnsi="宋体"/>
          <w:kern w:val="44"/>
        </w:rPr>
      </w:pPr>
    </w:p>
    <w:p w14:paraId="6D2133C0">
      <w:pPr>
        <w:ind w:left="630" w:leftChars="300" w:right="630" w:rightChars="300"/>
        <w:jc w:val="left"/>
        <w:rPr>
          <w:rFonts w:ascii="楷体" w:hAnsi="楷体" w:eastAsia="楷体"/>
          <w:kern w:val="44"/>
        </w:rPr>
      </w:pPr>
      <w:r>
        <w:rPr>
          <w:rFonts w:hint="eastAsia" w:ascii="楷体" w:hAnsi="楷体" w:eastAsia="楷体"/>
          <w:kern w:val="44"/>
        </w:rPr>
        <w:t>（1998年4月23日北京市人民政府第4次常务会议通过  1998年5月15日北京市人民政府第4号令发布）</w:t>
      </w:r>
    </w:p>
    <w:p w14:paraId="2FE6EAF4">
      <w:pPr>
        <w:ind w:left="630" w:leftChars="300" w:right="630" w:rightChars="300"/>
        <w:jc w:val="left"/>
        <w:rPr>
          <w:rFonts w:ascii="楷体" w:hAnsi="楷体" w:eastAsia="楷体"/>
          <w:kern w:val="44"/>
        </w:rPr>
      </w:pPr>
    </w:p>
    <w:p w14:paraId="367639C8">
      <w:pPr>
        <w:ind w:firstLine="0" w:firstLineChars="0"/>
        <w:jc w:val="center"/>
        <w:rPr>
          <w:rFonts w:ascii="宋体" w:hAnsi="宋体"/>
          <w:b/>
          <w:kern w:val="44"/>
          <w:sz w:val="28"/>
        </w:rPr>
      </w:pPr>
      <w:r>
        <w:rPr>
          <w:rFonts w:hint="eastAsia" w:ascii="宋体" w:hAnsi="宋体"/>
          <w:b/>
          <w:kern w:val="44"/>
          <w:sz w:val="28"/>
        </w:rPr>
        <w:t>第一章　总　则</w:t>
      </w:r>
    </w:p>
    <w:p w14:paraId="077138DC">
      <w:pPr>
        <w:jc w:val="left"/>
        <w:rPr>
          <w:rFonts w:ascii="宋体" w:hAnsi="宋体"/>
          <w:kern w:val="44"/>
        </w:rPr>
      </w:pPr>
    </w:p>
    <w:p w14:paraId="75253FFB">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为加强本市会计工作的管理，根据《中华人民共和国会计法》和有关法律、法规，结合本市实际情况，制定本办法。</w:t>
      </w:r>
    </w:p>
    <w:p w14:paraId="2A05C12B">
      <w:pPr>
        <w:ind w:firstLine="422"/>
        <w:jc w:val="left"/>
        <w:rPr>
          <w:rFonts w:ascii="宋体" w:hAnsi="宋体"/>
          <w:kern w:val="44"/>
        </w:rPr>
      </w:pPr>
      <w:r>
        <w:rPr>
          <w:rFonts w:hint="eastAsia" w:ascii="宋体" w:hAnsi="宋体"/>
          <w:b/>
          <w:kern w:val="44"/>
        </w:rPr>
        <w:t>第二条</w:t>
      </w:r>
      <w:r>
        <w:rPr>
          <w:rFonts w:hint="eastAsia" w:ascii="宋体" w:hAnsi="宋体"/>
          <w:kern w:val="44"/>
        </w:rPr>
        <w:t>　凡本市国家机关、社会团体、企业、事业单位、个体工商户和其他组织（以下统称“单位”）办理会计事务，必须遵守《中华人民共和国会计法》（以下简称《会计法》）和本办法。</w:t>
      </w:r>
    </w:p>
    <w:p w14:paraId="2008B590">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市和区、县财政局负责管理本行政区域内的会计工作。</w:t>
      </w:r>
    </w:p>
    <w:p w14:paraId="27559C46">
      <w:pPr>
        <w:ind w:firstLine="422"/>
        <w:jc w:val="left"/>
        <w:rPr>
          <w:rFonts w:ascii="宋体" w:hAnsi="宋体"/>
          <w:kern w:val="44"/>
        </w:rPr>
      </w:pPr>
      <w:r>
        <w:rPr>
          <w:rFonts w:hint="eastAsia" w:ascii="宋体" w:hAnsi="宋体"/>
          <w:b/>
          <w:kern w:val="44"/>
        </w:rPr>
        <w:t>第四条</w:t>
      </w:r>
      <w:r>
        <w:rPr>
          <w:rFonts w:hint="eastAsia" w:ascii="宋体" w:hAnsi="宋体"/>
          <w:kern w:val="44"/>
        </w:rPr>
        <w:t>　各单位的业务主管部门管理本单位、本系统的会计工作。</w:t>
      </w:r>
    </w:p>
    <w:p w14:paraId="15F42EF3">
      <w:pPr>
        <w:ind w:firstLine="422"/>
        <w:jc w:val="left"/>
        <w:rPr>
          <w:rFonts w:ascii="宋体" w:hAnsi="宋体"/>
          <w:kern w:val="44"/>
        </w:rPr>
      </w:pPr>
      <w:r>
        <w:rPr>
          <w:rFonts w:hint="eastAsia" w:ascii="宋体" w:hAnsi="宋体"/>
          <w:b/>
          <w:kern w:val="44"/>
        </w:rPr>
        <w:t>第五条</w:t>
      </w:r>
      <w:r>
        <w:rPr>
          <w:rFonts w:hint="eastAsia" w:ascii="宋体" w:hAnsi="宋体"/>
          <w:kern w:val="44"/>
        </w:rPr>
        <w:t>　单位领导人领导会计机构、会计人员和其他人员执行《会计法》和本办法，保证会计资料的合法、真实、准确、完整，保障会计人员的职权不受侵犯。任何单位和个人不得对依法行使职权的会计人员打击报复。</w:t>
      </w:r>
    </w:p>
    <w:p w14:paraId="04CBAB16">
      <w:pPr>
        <w:jc w:val="left"/>
        <w:rPr>
          <w:rFonts w:ascii="宋体" w:hAnsi="宋体"/>
          <w:kern w:val="44"/>
        </w:rPr>
      </w:pPr>
      <w:r>
        <w:rPr>
          <w:rFonts w:hint="eastAsia" w:ascii="宋体" w:hAnsi="宋体"/>
          <w:kern w:val="44"/>
        </w:rPr>
        <w:t>对认真遵守和执行会计法律、法规和本办法，忠于职守，做出显著成绩的会计机构、会计人员，予以表彰和奖励。</w:t>
      </w:r>
    </w:p>
    <w:p w14:paraId="5F8F1929">
      <w:pPr>
        <w:jc w:val="left"/>
        <w:rPr>
          <w:rFonts w:ascii="宋体" w:hAnsi="宋体"/>
          <w:kern w:val="44"/>
        </w:rPr>
      </w:pPr>
    </w:p>
    <w:p w14:paraId="6B8CCB6C">
      <w:pPr>
        <w:ind w:firstLine="0" w:firstLineChars="0"/>
        <w:jc w:val="center"/>
        <w:rPr>
          <w:rFonts w:ascii="宋体" w:hAnsi="宋体"/>
          <w:b/>
          <w:kern w:val="44"/>
          <w:sz w:val="28"/>
        </w:rPr>
      </w:pPr>
      <w:r>
        <w:rPr>
          <w:rFonts w:hint="eastAsia" w:ascii="宋体" w:hAnsi="宋体"/>
          <w:b/>
          <w:kern w:val="44"/>
          <w:sz w:val="28"/>
        </w:rPr>
        <w:t>第二章  会计核算</w:t>
      </w:r>
    </w:p>
    <w:p w14:paraId="0A509257">
      <w:pPr>
        <w:jc w:val="left"/>
        <w:rPr>
          <w:rFonts w:ascii="宋体" w:hAnsi="宋体"/>
          <w:kern w:val="44"/>
        </w:rPr>
      </w:pPr>
    </w:p>
    <w:p w14:paraId="6DA75827">
      <w:pPr>
        <w:ind w:firstLine="422"/>
        <w:jc w:val="left"/>
        <w:rPr>
          <w:rFonts w:ascii="宋体" w:hAnsi="宋体"/>
          <w:kern w:val="44"/>
        </w:rPr>
      </w:pPr>
      <w:r>
        <w:rPr>
          <w:rFonts w:hint="eastAsia" w:ascii="宋体" w:hAnsi="宋体"/>
          <w:b/>
          <w:kern w:val="44"/>
        </w:rPr>
        <w:t>第六条</w:t>
      </w:r>
      <w:r>
        <w:rPr>
          <w:rFonts w:hint="eastAsia" w:ascii="宋体" w:hAnsi="宋体"/>
          <w:kern w:val="44"/>
        </w:rPr>
        <w:t>　下列事项，应当办理会计手续，进行会计核算：</w:t>
      </w:r>
    </w:p>
    <w:p w14:paraId="0EE6DA82">
      <w:pPr>
        <w:jc w:val="left"/>
        <w:rPr>
          <w:rFonts w:ascii="宋体" w:hAnsi="宋体"/>
          <w:kern w:val="44"/>
        </w:rPr>
      </w:pPr>
      <w:r>
        <w:rPr>
          <w:rFonts w:hint="eastAsia" w:ascii="宋体" w:hAnsi="宋体"/>
          <w:kern w:val="44"/>
        </w:rPr>
        <w:t>（一）款项和有价证券的收付；</w:t>
      </w:r>
    </w:p>
    <w:p w14:paraId="067A3ED7">
      <w:pPr>
        <w:jc w:val="left"/>
        <w:rPr>
          <w:rFonts w:ascii="宋体" w:hAnsi="宋体"/>
          <w:kern w:val="44"/>
        </w:rPr>
      </w:pPr>
      <w:r>
        <w:rPr>
          <w:rFonts w:hint="eastAsia" w:ascii="宋体" w:hAnsi="宋体"/>
          <w:kern w:val="44"/>
        </w:rPr>
        <w:t>（二）财物的收发、增减和使用；</w:t>
      </w:r>
    </w:p>
    <w:p w14:paraId="53A79326">
      <w:pPr>
        <w:jc w:val="left"/>
        <w:rPr>
          <w:rFonts w:ascii="宋体" w:hAnsi="宋体"/>
          <w:kern w:val="44"/>
        </w:rPr>
      </w:pPr>
      <w:r>
        <w:rPr>
          <w:rFonts w:hint="eastAsia" w:ascii="宋体" w:hAnsi="宋体"/>
          <w:kern w:val="44"/>
        </w:rPr>
        <w:t>（三）债权、债物的发生和结算；</w:t>
      </w:r>
    </w:p>
    <w:p w14:paraId="76DC73C2">
      <w:pPr>
        <w:jc w:val="left"/>
        <w:rPr>
          <w:rFonts w:ascii="宋体" w:hAnsi="宋体"/>
          <w:kern w:val="44"/>
        </w:rPr>
      </w:pPr>
      <w:r>
        <w:rPr>
          <w:rFonts w:hint="eastAsia" w:ascii="宋体" w:hAnsi="宋体"/>
          <w:kern w:val="44"/>
        </w:rPr>
        <w:t>（四）资本、基金的增减和经费的收支；</w:t>
      </w:r>
    </w:p>
    <w:p w14:paraId="576F18DE">
      <w:pPr>
        <w:jc w:val="left"/>
        <w:rPr>
          <w:rFonts w:ascii="宋体" w:hAnsi="宋体"/>
          <w:kern w:val="44"/>
        </w:rPr>
      </w:pPr>
      <w:r>
        <w:rPr>
          <w:rFonts w:hint="eastAsia" w:ascii="宋体" w:hAnsi="宋体"/>
          <w:kern w:val="44"/>
        </w:rPr>
        <w:t>（五）收入、费用、成本的计算；</w:t>
      </w:r>
    </w:p>
    <w:p w14:paraId="32A1EDBF">
      <w:pPr>
        <w:jc w:val="left"/>
        <w:rPr>
          <w:rFonts w:ascii="宋体" w:hAnsi="宋体"/>
          <w:kern w:val="44"/>
        </w:rPr>
      </w:pPr>
      <w:r>
        <w:rPr>
          <w:rFonts w:hint="eastAsia" w:ascii="宋体" w:hAnsi="宋体"/>
          <w:kern w:val="44"/>
        </w:rPr>
        <w:t>（六）财务成果的计算和处理；</w:t>
      </w:r>
    </w:p>
    <w:p w14:paraId="2A9F6B72">
      <w:pPr>
        <w:jc w:val="left"/>
        <w:rPr>
          <w:rFonts w:ascii="宋体" w:hAnsi="宋体"/>
          <w:kern w:val="44"/>
        </w:rPr>
      </w:pPr>
      <w:r>
        <w:rPr>
          <w:rFonts w:hint="eastAsia" w:ascii="宋体" w:hAnsi="宋体"/>
          <w:kern w:val="44"/>
        </w:rPr>
        <w:t>（七）其他需要办理会计手续、进行会计核算的事项。</w:t>
      </w:r>
    </w:p>
    <w:p w14:paraId="208062BC">
      <w:pPr>
        <w:ind w:firstLine="422"/>
        <w:jc w:val="left"/>
        <w:rPr>
          <w:rFonts w:ascii="宋体" w:hAnsi="宋体"/>
          <w:kern w:val="44"/>
        </w:rPr>
      </w:pPr>
      <w:r>
        <w:rPr>
          <w:rFonts w:hint="eastAsia" w:ascii="宋体" w:hAnsi="宋体"/>
          <w:b/>
          <w:kern w:val="44"/>
        </w:rPr>
        <w:t>第七条</w:t>
      </w:r>
      <w:r>
        <w:rPr>
          <w:rFonts w:hint="eastAsia" w:ascii="宋体" w:hAnsi="宋体"/>
          <w:kern w:val="44"/>
        </w:rPr>
        <w:t>　会计凭证、会计</w:t>
      </w:r>
      <w:r>
        <w:rPr>
          <w:rFonts w:hint="eastAsia" w:ascii="宋体" w:hAnsi="宋体"/>
          <w:kern w:val="44"/>
          <w:lang w:eastAsia="zh-CN"/>
        </w:rPr>
        <w:t>账簿</w:t>
      </w:r>
      <w:r>
        <w:rPr>
          <w:rFonts w:hint="eastAsia" w:ascii="宋体" w:hAnsi="宋体"/>
          <w:kern w:val="44"/>
        </w:rPr>
        <w:t>、会计报表和其他会计资料必须符合国家统一的会计准则、会计制度的规定。不得伪造、变造会计凭证、会计</w:t>
      </w:r>
      <w:r>
        <w:rPr>
          <w:rFonts w:hint="eastAsia" w:ascii="宋体" w:hAnsi="宋体"/>
          <w:kern w:val="44"/>
          <w:lang w:eastAsia="zh-CN"/>
        </w:rPr>
        <w:t>账簿</w:t>
      </w:r>
      <w:r>
        <w:rPr>
          <w:rFonts w:hint="eastAsia" w:ascii="宋体" w:hAnsi="宋体"/>
          <w:kern w:val="44"/>
        </w:rPr>
        <w:t>，报送虚假的会计报表。</w:t>
      </w:r>
    </w:p>
    <w:p w14:paraId="2E2C3855">
      <w:pPr>
        <w:jc w:val="left"/>
        <w:rPr>
          <w:rFonts w:ascii="宋体" w:hAnsi="宋体"/>
          <w:kern w:val="44"/>
        </w:rPr>
      </w:pPr>
      <w:r>
        <w:rPr>
          <w:rFonts w:hint="eastAsia" w:ascii="宋体" w:hAnsi="宋体"/>
          <w:kern w:val="44"/>
        </w:rPr>
        <w:t>用电子计算机进行会计核算的，对使用的软件及其生成的会计凭证、会计</w:t>
      </w:r>
      <w:r>
        <w:rPr>
          <w:rFonts w:hint="eastAsia" w:ascii="宋体" w:hAnsi="宋体"/>
          <w:kern w:val="44"/>
          <w:lang w:eastAsia="zh-CN"/>
        </w:rPr>
        <w:t>账簿</w:t>
      </w:r>
      <w:r>
        <w:rPr>
          <w:rFonts w:hint="eastAsia" w:ascii="宋体" w:hAnsi="宋体"/>
          <w:kern w:val="44"/>
        </w:rPr>
        <w:t>、会计报表和其他会计资料的要求，应当符合国务院财政部门的规定。</w:t>
      </w:r>
    </w:p>
    <w:p w14:paraId="7694D184">
      <w:pPr>
        <w:ind w:firstLine="422"/>
        <w:jc w:val="left"/>
        <w:rPr>
          <w:rFonts w:ascii="宋体" w:hAnsi="宋体"/>
          <w:kern w:val="44"/>
        </w:rPr>
      </w:pPr>
      <w:r>
        <w:rPr>
          <w:rFonts w:hint="eastAsia" w:ascii="宋体" w:hAnsi="宋体"/>
          <w:b/>
          <w:kern w:val="44"/>
        </w:rPr>
        <w:t>第八条</w:t>
      </w:r>
      <w:r>
        <w:rPr>
          <w:rFonts w:hint="eastAsia" w:ascii="宋体" w:hAnsi="宋体"/>
          <w:kern w:val="44"/>
        </w:rPr>
        <w:t>　办理本办法第六条规定的会计事项，必须填制或者取得合法的原始凭证，并及时送交会计机构。</w:t>
      </w:r>
    </w:p>
    <w:p w14:paraId="3D85D90D">
      <w:pPr>
        <w:jc w:val="left"/>
        <w:rPr>
          <w:rFonts w:ascii="宋体" w:hAnsi="宋体"/>
          <w:kern w:val="44"/>
        </w:rPr>
      </w:pPr>
      <w:r>
        <w:rPr>
          <w:rFonts w:hint="eastAsia" w:ascii="宋体" w:hAnsi="宋体"/>
          <w:kern w:val="44"/>
        </w:rPr>
        <w:t>会计机构、会计人员必须对原始凭证进行审核，并根据经过审核的原始凭证编制记账凭证。</w:t>
      </w:r>
    </w:p>
    <w:p w14:paraId="787414ED">
      <w:pPr>
        <w:jc w:val="left"/>
        <w:rPr>
          <w:rFonts w:ascii="宋体" w:hAnsi="宋体"/>
          <w:kern w:val="44"/>
        </w:rPr>
      </w:pPr>
      <w:r>
        <w:rPr>
          <w:rFonts w:hint="eastAsia" w:ascii="宋体" w:hAnsi="宋体"/>
          <w:kern w:val="44"/>
        </w:rPr>
        <w:t>不得填制不符合国家统一的会计准则、会计制度规定的发票、收据等原始凭证。</w:t>
      </w:r>
    </w:p>
    <w:p w14:paraId="478E8323">
      <w:pPr>
        <w:ind w:firstLine="422"/>
        <w:jc w:val="left"/>
        <w:rPr>
          <w:rFonts w:ascii="宋体" w:hAnsi="宋体"/>
          <w:kern w:val="44"/>
        </w:rPr>
      </w:pPr>
      <w:r>
        <w:rPr>
          <w:rFonts w:hint="eastAsia" w:ascii="宋体" w:hAnsi="宋体"/>
          <w:b/>
          <w:kern w:val="44"/>
        </w:rPr>
        <w:t>第九条</w:t>
      </w:r>
      <w:r>
        <w:rPr>
          <w:rFonts w:hint="eastAsia" w:ascii="宋体" w:hAnsi="宋体"/>
          <w:kern w:val="44"/>
        </w:rPr>
        <w:t>　各单位应当按照国家统一的会计准则、会计制度的规定，设置会计科目和会计</w:t>
      </w:r>
      <w:r>
        <w:rPr>
          <w:rFonts w:hint="eastAsia" w:ascii="宋体" w:hAnsi="宋体"/>
          <w:kern w:val="44"/>
          <w:lang w:eastAsia="zh-CN"/>
        </w:rPr>
        <w:t>账簿</w:t>
      </w:r>
      <w:r>
        <w:rPr>
          <w:rFonts w:hint="eastAsia" w:ascii="宋体" w:hAnsi="宋体"/>
          <w:kern w:val="44"/>
        </w:rPr>
        <w:t>。</w:t>
      </w:r>
    </w:p>
    <w:p w14:paraId="152D305B">
      <w:pPr>
        <w:jc w:val="left"/>
        <w:rPr>
          <w:rFonts w:ascii="宋体" w:hAnsi="宋体"/>
          <w:kern w:val="44"/>
        </w:rPr>
      </w:pPr>
      <w:r>
        <w:rPr>
          <w:rFonts w:hint="eastAsia" w:ascii="宋体" w:hAnsi="宋体"/>
          <w:kern w:val="44"/>
        </w:rPr>
        <w:t>会计机构、会计人员应当根据经过审核的原始凭证和记账凭证以及国家统一的会计准则、会计制度的有关规定</w:t>
      </w:r>
      <w:r>
        <w:rPr>
          <w:rFonts w:hint="eastAsia" w:ascii="宋体" w:hAnsi="宋体"/>
          <w:kern w:val="44"/>
          <w:lang w:eastAsia="zh-CN"/>
        </w:rPr>
        <w:t>记账</w:t>
      </w:r>
      <w:r>
        <w:rPr>
          <w:rFonts w:hint="eastAsia" w:ascii="宋体" w:hAnsi="宋体"/>
          <w:kern w:val="44"/>
        </w:rPr>
        <w:t>。</w:t>
      </w:r>
    </w:p>
    <w:p w14:paraId="0F2AA823">
      <w:pPr>
        <w:jc w:val="left"/>
        <w:rPr>
          <w:rFonts w:ascii="宋体" w:hAnsi="宋体"/>
          <w:kern w:val="44"/>
        </w:rPr>
      </w:pPr>
      <w:r>
        <w:rPr>
          <w:rFonts w:hint="eastAsia" w:ascii="宋体" w:hAnsi="宋体"/>
          <w:kern w:val="44"/>
        </w:rPr>
        <w:t>对各单位设置的总分类帐、现金日</w:t>
      </w:r>
      <w:r>
        <w:rPr>
          <w:rFonts w:hint="eastAsia" w:ascii="宋体" w:hAnsi="宋体"/>
          <w:kern w:val="44"/>
          <w:lang w:eastAsia="zh-CN"/>
        </w:rPr>
        <w:t>记账</w:t>
      </w:r>
      <w:r>
        <w:rPr>
          <w:rFonts w:hint="eastAsia" w:ascii="宋体" w:hAnsi="宋体"/>
          <w:kern w:val="44"/>
        </w:rPr>
        <w:t>、银行存款日</w:t>
      </w:r>
      <w:r>
        <w:rPr>
          <w:rFonts w:hint="eastAsia" w:ascii="宋体" w:hAnsi="宋体"/>
          <w:kern w:val="44"/>
          <w:lang w:eastAsia="zh-CN"/>
        </w:rPr>
        <w:t>记账</w:t>
      </w:r>
      <w:r>
        <w:rPr>
          <w:rFonts w:hint="eastAsia" w:ascii="宋体" w:hAnsi="宋体"/>
          <w:kern w:val="44"/>
        </w:rPr>
        <w:t>，财政部门应当实行监管制度。</w:t>
      </w:r>
    </w:p>
    <w:p w14:paraId="638B6033">
      <w:pPr>
        <w:ind w:firstLine="422"/>
        <w:jc w:val="left"/>
        <w:rPr>
          <w:rFonts w:ascii="宋体" w:hAnsi="宋体"/>
          <w:kern w:val="44"/>
        </w:rPr>
      </w:pPr>
      <w:r>
        <w:rPr>
          <w:rFonts w:hint="eastAsia" w:ascii="宋体" w:hAnsi="宋体"/>
          <w:b/>
          <w:kern w:val="44"/>
        </w:rPr>
        <w:t>第十条</w:t>
      </w:r>
      <w:r>
        <w:rPr>
          <w:rFonts w:hint="eastAsia" w:ascii="宋体" w:hAnsi="宋体"/>
          <w:kern w:val="44"/>
        </w:rPr>
        <w:t>　各单位采用的会计处理方法前后各期应当一致，不得随意变更；确需变更的，应当将变更的情况、变更的原因及其对单位财务状况的影响，在财务报告中予以说明。</w:t>
      </w:r>
    </w:p>
    <w:p w14:paraId="7087C9FD">
      <w:pPr>
        <w:ind w:firstLine="422"/>
        <w:jc w:val="left"/>
        <w:rPr>
          <w:rFonts w:ascii="宋体" w:hAnsi="宋体"/>
          <w:kern w:val="44"/>
        </w:rPr>
      </w:pPr>
      <w:r>
        <w:rPr>
          <w:rFonts w:hint="eastAsia" w:ascii="宋体" w:hAnsi="宋体"/>
          <w:b/>
          <w:kern w:val="44"/>
        </w:rPr>
        <w:t>第十一条</w:t>
      </w:r>
      <w:r>
        <w:rPr>
          <w:rFonts w:hint="eastAsia" w:ascii="宋体" w:hAnsi="宋体"/>
          <w:kern w:val="44"/>
        </w:rPr>
        <w:t>　各单位的开支必须符合国家规定的范围和标准。核算成本必须按照国家规定的成本核算办法计算，不得以估计成本、定额成本、计划（预算）成本代替实际成本或者任意调整成本。</w:t>
      </w:r>
    </w:p>
    <w:p w14:paraId="6A4C6E25">
      <w:pPr>
        <w:ind w:firstLine="422"/>
        <w:jc w:val="left"/>
        <w:rPr>
          <w:rFonts w:ascii="宋体" w:hAnsi="宋体"/>
          <w:kern w:val="44"/>
        </w:rPr>
      </w:pPr>
      <w:r>
        <w:rPr>
          <w:rFonts w:hint="eastAsia" w:ascii="宋体" w:hAnsi="宋体"/>
          <w:b/>
          <w:kern w:val="44"/>
        </w:rPr>
        <w:t>第十二条</w:t>
      </w:r>
      <w:r>
        <w:rPr>
          <w:rFonts w:hint="eastAsia" w:ascii="宋体" w:hAnsi="宋体"/>
          <w:kern w:val="44"/>
        </w:rPr>
        <w:t>　各单位应当建立、健全财产清查制度。在编制年度财务报告前，应当对全部资产进行清查，清查中出现的盘盈、盘亏、报废、削价损失等情况，应当按照国家和本市的有关规定处理。</w:t>
      </w:r>
    </w:p>
    <w:p w14:paraId="1D049E7A">
      <w:pPr>
        <w:ind w:firstLine="422"/>
        <w:jc w:val="left"/>
        <w:rPr>
          <w:rFonts w:ascii="宋体" w:hAnsi="宋体"/>
          <w:kern w:val="44"/>
        </w:rPr>
      </w:pPr>
      <w:r>
        <w:rPr>
          <w:rFonts w:hint="eastAsia" w:ascii="宋体" w:hAnsi="宋体"/>
          <w:b/>
          <w:kern w:val="44"/>
        </w:rPr>
        <w:t>第十三条</w:t>
      </w:r>
      <w:r>
        <w:rPr>
          <w:rFonts w:hint="eastAsia" w:ascii="宋体" w:hAnsi="宋体"/>
          <w:kern w:val="44"/>
        </w:rPr>
        <w:t>　各单位必须按照国家统一的会计准则、会计制度的规定，根据</w:t>
      </w:r>
      <w:r>
        <w:rPr>
          <w:rFonts w:hint="eastAsia" w:ascii="宋体" w:hAnsi="宋体"/>
          <w:kern w:val="44"/>
          <w:lang w:eastAsia="zh-CN"/>
        </w:rPr>
        <w:t>账簿</w:t>
      </w:r>
      <w:r>
        <w:rPr>
          <w:rFonts w:hint="eastAsia" w:ascii="宋体" w:hAnsi="宋体"/>
          <w:kern w:val="44"/>
        </w:rPr>
        <w:t>记录编制财务报告，并按期报送财政部门和有关部门。</w:t>
      </w:r>
    </w:p>
    <w:p w14:paraId="2D3965C8">
      <w:pPr>
        <w:jc w:val="left"/>
        <w:rPr>
          <w:rFonts w:ascii="宋体" w:hAnsi="宋体"/>
          <w:kern w:val="44"/>
        </w:rPr>
      </w:pPr>
      <w:r>
        <w:rPr>
          <w:rFonts w:hint="eastAsia" w:ascii="宋体" w:hAnsi="宋体"/>
          <w:kern w:val="44"/>
        </w:rPr>
        <w:t>财务报告由单位领导人和会计机构负责人、会计主管人员签名或者盖章。设置总会计师的单位还应有总会计师签名或者盖章。</w:t>
      </w:r>
    </w:p>
    <w:p w14:paraId="3A9D151D">
      <w:pPr>
        <w:jc w:val="left"/>
        <w:rPr>
          <w:rFonts w:ascii="宋体" w:hAnsi="宋体"/>
          <w:kern w:val="44"/>
        </w:rPr>
      </w:pPr>
      <w:r>
        <w:rPr>
          <w:rFonts w:hint="eastAsia" w:ascii="宋体" w:hAnsi="宋体"/>
          <w:kern w:val="44"/>
        </w:rPr>
        <w:t>单位领导人对财务报告的合法性、真实性承担法律责任。</w:t>
      </w:r>
    </w:p>
    <w:p w14:paraId="32D14711">
      <w:pPr>
        <w:ind w:firstLine="422"/>
        <w:jc w:val="left"/>
        <w:rPr>
          <w:rFonts w:ascii="宋体" w:hAnsi="宋体"/>
          <w:kern w:val="44"/>
        </w:rPr>
      </w:pPr>
      <w:r>
        <w:rPr>
          <w:rFonts w:hint="eastAsia" w:ascii="宋体" w:hAnsi="宋体"/>
          <w:b/>
          <w:kern w:val="44"/>
        </w:rPr>
        <w:t>第十四条</w:t>
      </w:r>
      <w:r>
        <w:rPr>
          <w:rFonts w:hint="eastAsia" w:ascii="宋体" w:hAnsi="宋体"/>
          <w:kern w:val="44"/>
        </w:rPr>
        <w:t>　各单位应当建立、健全内部财务管理制度，对本单位的财政收支、财务收支及财产物资实行严格的监督控制。</w:t>
      </w:r>
    </w:p>
    <w:p w14:paraId="465BCD98">
      <w:pPr>
        <w:ind w:firstLine="422"/>
        <w:jc w:val="left"/>
        <w:rPr>
          <w:rFonts w:ascii="宋体" w:hAnsi="宋体"/>
          <w:kern w:val="44"/>
        </w:rPr>
      </w:pPr>
      <w:r>
        <w:rPr>
          <w:rFonts w:hint="eastAsia" w:ascii="宋体" w:hAnsi="宋体"/>
          <w:b/>
          <w:kern w:val="44"/>
        </w:rPr>
        <w:t>第十五条</w:t>
      </w:r>
      <w:r>
        <w:rPr>
          <w:rFonts w:hint="eastAsia" w:ascii="宋体" w:hAnsi="宋体"/>
          <w:kern w:val="44"/>
        </w:rPr>
        <w:t>　会计凭证、会计</w:t>
      </w:r>
      <w:r>
        <w:rPr>
          <w:rFonts w:hint="eastAsia" w:ascii="宋体" w:hAnsi="宋体"/>
          <w:kern w:val="44"/>
          <w:lang w:eastAsia="zh-CN"/>
        </w:rPr>
        <w:t>账簿</w:t>
      </w:r>
      <w:r>
        <w:rPr>
          <w:rFonts w:hint="eastAsia" w:ascii="宋体" w:hAnsi="宋体"/>
          <w:kern w:val="44"/>
        </w:rPr>
        <w:t>、会计报表和其他会计资料，应当按照国家有关规定建立档案。会计档案的保管和销毁，应当按照国家有关规定处理。</w:t>
      </w:r>
    </w:p>
    <w:p w14:paraId="1FEE3920">
      <w:pPr>
        <w:jc w:val="left"/>
        <w:rPr>
          <w:rFonts w:ascii="宋体" w:hAnsi="宋体"/>
          <w:kern w:val="44"/>
        </w:rPr>
      </w:pPr>
    </w:p>
    <w:p w14:paraId="0AF339DE">
      <w:pPr>
        <w:ind w:firstLine="0" w:firstLineChars="0"/>
        <w:jc w:val="center"/>
        <w:rPr>
          <w:rFonts w:ascii="宋体" w:hAnsi="宋体"/>
          <w:b/>
          <w:kern w:val="44"/>
          <w:sz w:val="28"/>
        </w:rPr>
      </w:pPr>
      <w:r>
        <w:rPr>
          <w:rFonts w:hint="eastAsia" w:ascii="宋体" w:hAnsi="宋体"/>
          <w:b/>
          <w:kern w:val="44"/>
          <w:sz w:val="28"/>
        </w:rPr>
        <w:t>第三章  会计监督</w:t>
      </w:r>
    </w:p>
    <w:p w14:paraId="3C8705A4">
      <w:pPr>
        <w:jc w:val="left"/>
        <w:rPr>
          <w:rFonts w:ascii="宋体" w:hAnsi="宋体"/>
          <w:kern w:val="44"/>
        </w:rPr>
      </w:pPr>
    </w:p>
    <w:p w14:paraId="42B557B9">
      <w:pPr>
        <w:ind w:firstLine="422"/>
        <w:jc w:val="left"/>
        <w:rPr>
          <w:rFonts w:ascii="宋体" w:hAnsi="宋体"/>
          <w:kern w:val="44"/>
        </w:rPr>
      </w:pPr>
      <w:r>
        <w:rPr>
          <w:rFonts w:hint="eastAsia" w:ascii="宋体" w:hAnsi="宋体"/>
          <w:b/>
          <w:kern w:val="44"/>
        </w:rPr>
        <w:t>第十六条</w:t>
      </w:r>
      <w:r>
        <w:rPr>
          <w:rFonts w:hint="eastAsia" w:ascii="宋体" w:hAnsi="宋体"/>
          <w:kern w:val="44"/>
        </w:rPr>
        <w:t>　各单位的会计机构、会计人员对本单位实行会计监督。</w:t>
      </w:r>
    </w:p>
    <w:p w14:paraId="1CB73E08">
      <w:pPr>
        <w:ind w:firstLine="422"/>
        <w:jc w:val="left"/>
        <w:rPr>
          <w:rFonts w:ascii="宋体" w:hAnsi="宋体"/>
          <w:kern w:val="44"/>
        </w:rPr>
      </w:pPr>
      <w:r>
        <w:rPr>
          <w:rFonts w:hint="eastAsia" w:ascii="宋体" w:hAnsi="宋体"/>
          <w:b/>
          <w:kern w:val="44"/>
        </w:rPr>
        <w:t>第十七条</w:t>
      </w:r>
      <w:r>
        <w:rPr>
          <w:rFonts w:hint="eastAsia" w:ascii="宋体" w:hAnsi="宋体"/>
          <w:kern w:val="44"/>
        </w:rPr>
        <w:t>　会计机构、会计人员对不真实、不合法的原始凭证不予受理；对记载不准确、不完整的原始凭证应当退回，并要求其更正、补充。</w:t>
      </w:r>
    </w:p>
    <w:p w14:paraId="01A6D9E0">
      <w:pPr>
        <w:ind w:firstLine="422"/>
        <w:jc w:val="left"/>
        <w:rPr>
          <w:rFonts w:ascii="宋体" w:hAnsi="宋体"/>
          <w:kern w:val="44"/>
        </w:rPr>
      </w:pPr>
      <w:r>
        <w:rPr>
          <w:rFonts w:hint="eastAsia" w:ascii="宋体" w:hAnsi="宋体"/>
          <w:b/>
          <w:kern w:val="44"/>
        </w:rPr>
        <w:t>第十八条</w:t>
      </w:r>
      <w:r>
        <w:rPr>
          <w:rFonts w:hint="eastAsia" w:ascii="宋体" w:hAnsi="宋体"/>
          <w:kern w:val="44"/>
        </w:rPr>
        <w:t>　会计机构、会计人员认为是违法的收支，应当制止和纠正；制止和纠正无效的，应当向单位领导人提出书面意见，要求处理。单位领导人自接到书面意见之日起10日内作出书面决定，并对决定承担责任。</w:t>
      </w:r>
    </w:p>
    <w:p w14:paraId="1F3A212F">
      <w:pPr>
        <w:jc w:val="left"/>
        <w:rPr>
          <w:rFonts w:ascii="宋体" w:hAnsi="宋体"/>
          <w:kern w:val="44"/>
        </w:rPr>
      </w:pPr>
      <w:r>
        <w:rPr>
          <w:rFonts w:hint="eastAsia" w:ascii="宋体" w:hAnsi="宋体"/>
          <w:kern w:val="44"/>
        </w:rPr>
        <w:t>对严重违法损害国家和社会公众利益的收支，会计机构、会计人员应当向主管单位或者财政、审计、税务机关报告，接到报告的机关应当负责处理。</w:t>
      </w:r>
    </w:p>
    <w:p w14:paraId="53099387">
      <w:pPr>
        <w:ind w:firstLine="422"/>
        <w:jc w:val="left"/>
        <w:rPr>
          <w:rFonts w:ascii="宋体" w:hAnsi="宋体"/>
          <w:kern w:val="44"/>
        </w:rPr>
      </w:pPr>
      <w:r>
        <w:rPr>
          <w:rFonts w:hint="eastAsia" w:ascii="宋体" w:hAnsi="宋体"/>
          <w:b/>
          <w:kern w:val="44"/>
        </w:rPr>
        <w:t>第十九条</w:t>
      </w:r>
      <w:r>
        <w:rPr>
          <w:rFonts w:hint="eastAsia" w:ascii="宋体" w:hAnsi="宋体"/>
          <w:kern w:val="44"/>
        </w:rPr>
        <w:t>　各单位应当加强内部审计监督，建立健全内部审计制度。</w:t>
      </w:r>
    </w:p>
    <w:p w14:paraId="256B89DA">
      <w:pPr>
        <w:ind w:firstLine="422"/>
        <w:jc w:val="left"/>
        <w:rPr>
          <w:rFonts w:ascii="宋体" w:hAnsi="宋体"/>
          <w:kern w:val="44"/>
        </w:rPr>
      </w:pPr>
      <w:r>
        <w:rPr>
          <w:rFonts w:hint="eastAsia" w:ascii="宋体" w:hAnsi="宋体"/>
          <w:b/>
          <w:kern w:val="44"/>
        </w:rPr>
        <w:t>第二十条</w:t>
      </w:r>
      <w:r>
        <w:rPr>
          <w:rFonts w:hint="eastAsia" w:ascii="宋体" w:hAnsi="宋体"/>
          <w:kern w:val="44"/>
        </w:rPr>
        <w:t>　各单位必须依照法律和国家有关规定接受财政、审计、税务机关的监督和检查，如实提供会计凭证、会计</w:t>
      </w:r>
      <w:r>
        <w:rPr>
          <w:rFonts w:hint="eastAsia" w:ascii="宋体" w:hAnsi="宋体"/>
          <w:kern w:val="44"/>
          <w:lang w:eastAsia="zh-CN"/>
        </w:rPr>
        <w:t>账簿</w:t>
      </w:r>
      <w:r>
        <w:rPr>
          <w:rFonts w:hint="eastAsia" w:ascii="宋体" w:hAnsi="宋体"/>
          <w:kern w:val="44"/>
        </w:rPr>
        <w:t>、会计报表和其他会计资料以及有关情况，不得拒绝、隐匿、谎报。</w:t>
      </w:r>
    </w:p>
    <w:p w14:paraId="242FAEF9">
      <w:pPr>
        <w:ind w:firstLine="422"/>
        <w:jc w:val="left"/>
        <w:rPr>
          <w:rFonts w:ascii="宋体" w:hAnsi="宋体"/>
          <w:kern w:val="44"/>
        </w:rPr>
      </w:pPr>
      <w:r>
        <w:rPr>
          <w:rFonts w:hint="eastAsia" w:ascii="宋体" w:hAnsi="宋体"/>
          <w:b/>
          <w:kern w:val="44"/>
        </w:rPr>
        <w:t>第二十一条</w:t>
      </w:r>
      <w:r>
        <w:rPr>
          <w:rFonts w:hint="eastAsia" w:ascii="宋体" w:hAnsi="宋体"/>
          <w:kern w:val="44"/>
        </w:rPr>
        <w:t>　各级财政、审计部门应当加强对企业年度会计报表审计制度的管理。</w:t>
      </w:r>
    </w:p>
    <w:p w14:paraId="5142CD4A">
      <w:pPr>
        <w:ind w:firstLine="422"/>
        <w:jc w:val="left"/>
        <w:rPr>
          <w:rFonts w:ascii="宋体" w:hAnsi="宋体"/>
          <w:kern w:val="44"/>
        </w:rPr>
      </w:pPr>
      <w:r>
        <w:rPr>
          <w:rFonts w:hint="eastAsia" w:ascii="宋体" w:hAnsi="宋体"/>
          <w:b/>
          <w:kern w:val="44"/>
        </w:rPr>
        <w:t>第二十二条</w:t>
      </w:r>
      <w:r>
        <w:rPr>
          <w:rFonts w:hint="eastAsia" w:ascii="宋体" w:hAnsi="宋体"/>
          <w:kern w:val="44"/>
        </w:rPr>
        <w:t>　各级财政、审计部门应当加强对会计师事务所、审计事务所的监督检查，每年应当抽查一定数量由注册会计师出具的企业年度会计报表审计报告。</w:t>
      </w:r>
    </w:p>
    <w:p w14:paraId="78AA2705">
      <w:pPr>
        <w:jc w:val="left"/>
        <w:rPr>
          <w:rFonts w:ascii="宋体" w:hAnsi="宋体"/>
          <w:kern w:val="44"/>
        </w:rPr>
      </w:pPr>
    </w:p>
    <w:p w14:paraId="59EA87E9">
      <w:pPr>
        <w:ind w:firstLine="0" w:firstLineChars="0"/>
        <w:jc w:val="center"/>
        <w:rPr>
          <w:rFonts w:ascii="宋体" w:hAnsi="宋体"/>
          <w:b/>
          <w:kern w:val="44"/>
          <w:sz w:val="28"/>
        </w:rPr>
      </w:pPr>
      <w:r>
        <w:rPr>
          <w:rFonts w:hint="eastAsia" w:ascii="宋体" w:hAnsi="宋体"/>
          <w:b/>
          <w:kern w:val="44"/>
          <w:sz w:val="28"/>
        </w:rPr>
        <w:t>第四章  会计机构和会计人员</w:t>
      </w:r>
    </w:p>
    <w:p w14:paraId="3D10A000">
      <w:pPr>
        <w:jc w:val="left"/>
        <w:rPr>
          <w:rFonts w:ascii="宋体" w:hAnsi="宋体"/>
          <w:kern w:val="44"/>
        </w:rPr>
      </w:pPr>
    </w:p>
    <w:p w14:paraId="536770BD">
      <w:pPr>
        <w:ind w:firstLine="422"/>
        <w:jc w:val="left"/>
        <w:rPr>
          <w:rFonts w:ascii="宋体" w:hAnsi="宋体"/>
          <w:kern w:val="44"/>
        </w:rPr>
      </w:pPr>
      <w:r>
        <w:rPr>
          <w:rFonts w:hint="eastAsia" w:ascii="宋体" w:hAnsi="宋体"/>
          <w:b/>
          <w:kern w:val="44"/>
        </w:rPr>
        <w:t>第二十三条</w:t>
      </w:r>
      <w:r>
        <w:rPr>
          <w:rFonts w:hint="eastAsia" w:ascii="宋体" w:hAnsi="宋体"/>
          <w:kern w:val="44"/>
        </w:rPr>
        <w:t>　各单位应当根据会计业务的需要设置会计机构，或者在有关机构中设置会计人员，并指定会计主管人员。不具备设置会计机构或者会计人员条件的，可以委托经批准设立的会计咨询、服务机构进行代理</w:t>
      </w:r>
      <w:r>
        <w:rPr>
          <w:rFonts w:hint="eastAsia" w:ascii="宋体" w:hAnsi="宋体"/>
          <w:kern w:val="44"/>
          <w:lang w:eastAsia="zh-CN"/>
        </w:rPr>
        <w:t>记账</w:t>
      </w:r>
      <w:r>
        <w:rPr>
          <w:rFonts w:hint="eastAsia" w:ascii="宋体" w:hAnsi="宋体"/>
          <w:kern w:val="44"/>
        </w:rPr>
        <w:t>。</w:t>
      </w:r>
    </w:p>
    <w:p w14:paraId="74717D10">
      <w:pPr>
        <w:ind w:firstLine="422"/>
        <w:jc w:val="left"/>
        <w:rPr>
          <w:rFonts w:ascii="宋体" w:hAnsi="宋体"/>
          <w:kern w:val="44"/>
        </w:rPr>
      </w:pPr>
      <w:r>
        <w:rPr>
          <w:rFonts w:hint="eastAsia" w:ascii="宋体" w:hAnsi="宋体"/>
          <w:b/>
          <w:kern w:val="44"/>
        </w:rPr>
        <w:t>第二十四条</w:t>
      </w:r>
      <w:r>
        <w:rPr>
          <w:rFonts w:hint="eastAsia" w:ascii="宋体" w:hAnsi="宋体"/>
          <w:kern w:val="44"/>
        </w:rPr>
        <w:t>　会计机构应当建立健全会计人员岗位责任制度和内部稽核制度。</w:t>
      </w:r>
    </w:p>
    <w:p w14:paraId="7B984505">
      <w:pPr>
        <w:jc w:val="left"/>
        <w:rPr>
          <w:rFonts w:ascii="宋体" w:hAnsi="宋体"/>
          <w:kern w:val="44"/>
        </w:rPr>
      </w:pPr>
      <w:r>
        <w:rPr>
          <w:rFonts w:hint="eastAsia" w:ascii="宋体" w:hAnsi="宋体"/>
          <w:kern w:val="44"/>
        </w:rPr>
        <w:t>会计机构中的出纳人员不得兼管稽核、会计档案保管及收入、费用、债权、债务</w:t>
      </w:r>
      <w:r>
        <w:rPr>
          <w:rFonts w:hint="eastAsia" w:ascii="宋体" w:hAnsi="宋体"/>
          <w:kern w:val="44"/>
          <w:lang w:eastAsia="zh-CN"/>
        </w:rPr>
        <w:t>账目</w:t>
      </w:r>
      <w:r>
        <w:rPr>
          <w:rFonts w:hint="eastAsia" w:ascii="宋体" w:hAnsi="宋体"/>
          <w:kern w:val="44"/>
        </w:rPr>
        <w:t>的登记工作。除出纳人员外，会计人员不得经管现金、有价证券和票据。</w:t>
      </w:r>
    </w:p>
    <w:p w14:paraId="35AB5A6E">
      <w:pPr>
        <w:ind w:firstLine="422"/>
        <w:jc w:val="left"/>
        <w:rPr>
          <w:rFonts w:ascii="宋体" w:hAnsi="宋体"/>
          <w:kern w:val="44"/>
        </w:rPr>
      </w:pPr>
      <w:r>
        <w:rPr>
          <w:rFonts w:hint="eastAsia" w:ascii="宋体" w:hAnsi="宋体"/>
          <w:b/>
          <w:kern w:val="44"/>
        </w:rPr>
        <w:t>第二十五条</w:t>
      </w:r>
      <w:r>
        <w:rPr>
          <w:rFonts w:hint="eastAsia" w:ascii="宋体" w:hAnsi="宋体"/>
          <w:kern w:val="44"/>
        </w:rPr>
        <w:t>　会计人员实行持证上岗管理制度。</w:t>
      </w:r>
    </w:p>
    <w:p w14:paraId="46EF9DFC">
      <w:pPr>
        <w:jc w:val="left"/>
        <w:rPr>
          <w:rFonts w:ascii="宋体" w:hAnsi="宋体"/>
          <w:kern w:val="44"/>
        </w:rPr>
      </w:pPr>
      <w:r>
        <w:rPr>
          <w:rFonts w:hint="eastAsia" w:ascii="宋体" w:hAnsi="宋体"/>
          <w:kern w:val="44"/>
        </w:rPr>
        <w:t>各单位任用的会计人员应当持有《会计证》。任何单位不得任用未取得《会计证》的人员独立担任会计工作。</w:t>
      </w:r>
    </w:p>
    <w:p w14:paraId="7D45A04A">
      <w:pPr>
        <w:ind w:firstLine="422"/>
        <w:jc w:val="left"/>
        <w:rPr>
          <w:rFonts w:ascii="宋体" w:hAnsi="宋体"/>
          <w:kern w:val="44"/>
        </w:rPr>
      </w:pPr>
      <w:r>
        <w:rPr>
          <w:rFonts w:hint="eastAsia" w:ascii="宋体" w:hAnsi="宋体"/>
          <w:b/>
          <w:kern w:val="44"/>
        </w:rPr>
        <w:t>第二十六条</w:t>
      </w:r>
      <w:r>
        <w:rPr>
          <w:rFonts w:hint="eastAsia" w:ascii="宋体" w:hAnsi="宋体"/>
          <w:kern w:val="44"/>
        </w:rPr>
        <w:t>　各单位依法设置总会计师，应当由具有会计师（含会计师）以上专业技术任职资格的人员担任。</w:t>
      </w:r>
    </w:p>
    <w:p w14:paraId="24C478F8">
      <w:pPr>
        <w:ind w:firstLine="422"/>
        <w:jc w:val="left"/>
        <w:rPr>
          <w:rFonts w:ascii="宋体" w:hAnsi="宋体"/>
          <w:kern w:val="44"/>
        </w:rPr>
      </w:pPr>
      <w:r>
        <w:rPr>
          <w:rFonts w:hint="eastAsia" w:ascii="宋体" w:hAnsi="宋体"/>
          <w:b/>
          <w:kern w:val="44"/>
        </w:rPr>
        <w:t>第二十七条</w:t>
      </w:r>
      <w:r>
        <w:rPr>
          <w:rFonts w:hint="eastAsia" w:ascii="宋体" w:hAnsi="宋体"/>
          <w:kern w:val="44"/>
        </w:rPr>
        <w:t>　单位任用或者变动总会计师及会计机构负责人，应当依照国家规定执行，并同时向同级财政部门备案。</w:t>
      </w:r>
    </w:p>
    <w:p w14:paraId="2D6192E8">
      <w:pPr>
        <w:ind w:firstLine="422"/>
        <w:jc w:val="left"/>
        <w:rPr>
          <w:rFonts w:ascii="宋体" w:hAnsi="宋体"/>
          <w:kern w:val="44"/>
        </w:rPr>
      </w:pPr>
      <w:r>
        <w:rPr>
          <w:rFonts w:hint="eastAsia" w:ascii="宋体" w:hAnsi="宋体"/>
          <w:b/>
          <w:kern w:val="44"/>
        </w:rPr>
        <w:t>第二十八条</w:t>
      </w:r>
      <w:r>
        <w:rPr>
          <w:rFonts w:hint="eastAsia" w:ascii="宋体" w:hAnsi="宋体"/>
          <w:kern w:val="44"/>
        </w:rPr>
        <w:t>　一般会计人员的任用或者变动，应当事先征求本单位总会计师或者会计机构负责人的意见。</w:t>
      </w:r>
    </w:p>
    <w:p w14:paraId="34D37BA8">
      <w:pPr>
        <w:ind w:firstLine="422"/>
        <w:jc w:val="left"/>
        <w:rPr>
          <w:rFonts w:ascii="宋体" w:hAnsi="宋体"/>
          <w:kern w:val="44"/>
        </w:rPr>
      </w:pPr>
      <w:r>
        <w:rPr>
          <w:rFonts w:hint="eastAsia" w:ascii="宋体" w:hAnsi="宋体"/>
          <w:b/>
          <w:kern w:val="44"/>
        </w:rPr>
        <w:t>第二十九条</w:t>
      </w:r>
      <w:r>
        <w:rPr>
          <w:rFonts w:hint="eastAsia" w:ascii="宋体" w:hAnsi="宋体"/>
          <w:kern w:val="44"/>
        </w:rPr>
        <w:t>　会计机构、会计人员的主要职责是：</w:t>
      </w:r>
    </w:p>
    <w:p w14:paraId="29867477">
      <w:pPr>
        <w:jc w:val="left"/>
        <w:rPr>
          <w:rFonts w:ascii="宋体" w:hAnsi="宋体"/>
          <w:kern w:val="44"/>
        </w:rPr>
      </w:pPr>
      <w:r>
        <w:rPr>
          <w:rFonts w:hint="eastAsia" w:ascii="宋体" w:hAnsi="宋体"/>
          <w:kern w:val="44"/>
        </w:rPr>
        <w:t>（一）按照《会计法》和本办法的有关规定进行会计核算和会计监督：</w:t>
      </w:r>
    </w:p>
    <w:p w14:paraId="7E9E82B2">
      <w:pPr>
        <w:jc w:val="left"/>
        <w:rPr>
          <w:rFonts w:ascii="宋体" w:hAnsi="宋体"/>
          <w:kern w:val="44"/>
        </w:rPr>
      </w:pPr>
      <w:r>
        <w:rPr>
          <w:rFonts w:hint="eastAsia" w:ascii="宋体" w:hAnsi="宋体"/>
          <w:kern w:val="44"/>
        </w:rPr>
        <w:t>（二）拟定本单位财务收支计划，编制年度决算及制定单位内部财务会计管理制度；</w:t>
      </w:r>
    </w:p>
    <w:p w14:paraId="4225474C">
      <w:pPr>
        <w:jc w:val="left"/>
        <w:rPr>
          <w:rFonts w:ascii="宋体" w:hAnsi="宋体"/>
          <w:kern w:val="44"/>
        </w:rPr>
      </w:pPr>
      <w:r>
        <w:rPr>
          <w:rFonts w:hint="eastAsia" w:ascii="宋体" w:hAnsi="宋体"/>
          <w:kern w:val="44"/>
        </w:rPr>
        <w:t>（三）拟定本单位办理会计事务的具体办法；</w:t>
      </w:r>
    </w:p>
    <w:p w14:paraId="3C2BA487">
      <w:pPr>
        <w:jc w:val="left"/>
        <w:rPr>
          <w:rFonts w:ascii="宋体" w:hAnsi="宋体"/>
          <w:kern w:val="44"/>
        </w:rPr>
      </w:pPr>
      <w:r>
        <w:rPr>
          <w:rFonts w:hint="eastAsia" w:ascii="宋体" w:hAnsi="宋体"/>
          <w:kern w:val="44"/>
        </w:rPr>
        <w:t>（四）参与拟定经济计划、业务计划，考核、分析预算、财务计划的执行情况；</w:t>
      </w:r>
    </w:p>
    <w:p w14:paraId="3493BD59">
      <w:pPr>
        <w:jc w:val="left"/>
        <w:rPr>
          <w:rFonts w:ascii="宋体" w:hAnsi="宋体"/>
          <w:kern w:val="44"/>
        </w:rPr>
      </w:pPr>
      <w:r>
        <w:rPr>
          <w:rFonts w:hint="eastAsia" w:ascii="宋体" w:hAnsi="宋体"/>
          <w:kern w:val="44"/>
        </w:rPr>
        <w:t>（五）参与本单位的重大投资、产权变动、资产处置等经济活动的论证、决策与管理工作；</w:t>
      </w:r>
    </w:p>
    <w:p w14:paraId="3EE1F253">
      <w:pPr>
        <w:jc w:val="left"/>
        <w:rPr>
          <w:rFonts w:ascii="宋体" w:hAnsi="宋体"/>
          <w:kern w:val="44"/>
        </w:rPr>
      </w:pPr>
      <w:r>
        <w:rPr>
          <w:rFonts w:hint="eastAsia" w:ascii="宋体" w:hAnsi="宋体"/>
          <w:kern w:val="44"/>
        </w:rPr>
        <w:t>（六）检查本单位和所属单位的会计核算、财务收支、资金使用和财产保管、收发、计量、检验等工作情况以及财经纪律执行情况，并提出意见和建议；</w:t>
      </w:r>
    </w:p>
    <w:p w14:paraId="40E34D98">
      <w:pPr>
        <w:jc w:val="left"/>
        <w:rPr>
          <w:rFonts w:ascii="宋体" w:hAnsi="宋体"/>
          <w:kern w:val="44"/>
        </w:rPr>
      </w:pPr>
      <w:r>
        <w:rPr>
          <w:rFonts w:hint="eastAsia" w:ascii="宋体" w:hAnsi="宋体"/>
          <w:kern w:val="44"/>
        </w:rPr>
        <w:t>（七）办理其他会计事务。</w:t>
      </w:r>
    </w:p>
    <w:p w14:paraId="60EA0498">
      <w:pPr>
        <w:ind w:firstLine="422"/>
        <w:jc w:val="left"/>
        <w:rPr>
          <w:rFonts w:ascii="宋体" w:hAnsi="宋体"/>
          <w:kern w:val="44"/>
        </w:rPr>
      </w:pPr>
      <w:r>
        <w:rPr>
          <w:rFonts w:hint="eastAsia" w:ascii="宋体" w:hAnsi="宋体"/>
          <w:b/>
          <w:kern w:val="44"/>
        </w:rPr>
        <w:t>第三十条</w:t>
      </w:r>
      <w:r>
        <w:rPr>
          <w:rFonts w:hint="eastAsia" w:ascii="宋体" w:hAnsi="宋体"/>
          <w:kern w:val="44"/>
        </w:rPr>
        <w:t>　会计人员工作调动或者离职，必须按照国家有关规定，在30日内与接管人员办清交接手续。</w:t>
      </w:r>
    </w:p>
    <w:p w14:paraId="400010D1">
      <w:pPr>
        <w:jc w:val="left"/>
        <w:rPr>
          <w:rFonts w:ascii="宋体" w:hAnsi="宋体"/>
          <w:kern w:val="44"/>
        </w:rPr>
      </w:pPr>
      <w:r>
        <w:rPr>
          <w:rFonts w:hint="eastAsia" w:ascii="宋体" w:hAnsi="宋体"/>
          <w:kern w:val="44"/>
        </w:rPr>
        <w:t>单位被依法撤销、合并、分立，会计人员应当会同有关人员编制单位的资金、债权、债务以及其他财产的移交清册，向有关部门或者组织办理交接手续。</w:t>
      </w:r>
    </w:p>
    <w:p w14:paraId="064F5D09">
      <w:pPr>
        <w:jc w:val="left"/>
        <w:rPr>
          <w:rFonts w:ascii="宋体" w:hAnsi="宋体"/>
          <w:kern w:val="44"/>
        </w:rPr>
      </w:pPr>
      <w:r>
        <w:rPr>
          <w:rFonts w:hint="eastAsia" w:ascii="宋体" w:hAnsi="宋体"/>
          <w:kern w:val="44"/>
        </w:rPr>
        <w:t>办理以上交接手续，必须执行法定的监交制度。</w:t>
      </w:r>
    </w:p>
    <w:p w14:paraId="179BCD7A">
      <w:pPr>
        <w:jc w:val="left"/>
        <w:rPr>
          <w:rFonts w:ascii="宋体" w:hAnsi="宋体"/>
          <w:kern w:val="44"/>
        </w:rPr>
      </w:pPr>
      <w:r>
        <w:rPr>
          <w:rFonts w:hint="eastAsia" w:ascii="宋体" w:hAnsi="宋体"/>
          <w:kern w:val="44"/>
        </w:rPr>
        <w:t>移交人员对所移交的会计凭证、会计</w:t>
      </w:r>
      <w:r>
        <w:rPr>
          <w:rFonts w:hint="eastAsia" w:ascii="宋体" w:hAnsi="宋体"/>
          <w:kern w:val="44"/>
          <w:lang w:eastAsia="zh-CN"/>
        </w:rPr>
        <w:t>账簿</w:t>
      </w:r>
      <w:r>
        <w:rPr>
          <w:rFonts w:hint="eastAsia" w:ascii="宋体" w:hAnsi="宋体"/>
          <w:kern w:val="44"/>
        </w:rPr>
        <w:t>、会计报表和其他会计资料的合法性、真实性承担法律责任。</w:t>
      </w:r>
    </w:p>
    <w:p w14:paraId="43431124">
      <w:pPr>
        <w:ind w:firstLine="0" w:firstLineChars="0"/>
        <w:jc w:val="center"/>
        <w:rPr>
          <w:rFonts w:ascii="宋体" w:hAnsi="宋体"/>
          <w:b/>
          <w:kern w:val="44"/>
          <w:sz w:val="28"/>
        </w:rPr>
      </w:pPr>
      <w:r>
        <w:rPr>
          <w:rFonts w:hint="eastAsia" w:ascii="宋体" w:hAnsi="宋体"/>
          <w:b/>
          <w:kern w:val="44"/>
          <w:sz w:val="28"/>
        </w:rPr>
        <w:t>第五章  法律责任</w:t>
      </w:r>
    </w:p>
    <w:p w14:paraId="4D73FF32">
      <w:pPr>
        <w:jc w:val="left"/>
        <w:rPr>
          <w:rFonts w:ascii="宋体" w:hAnsi="宋体"/>
          <w:kern w:val="44"/>
        </w:rPr>
      </w:pPr>
    </w:p>
    <w:p w14:paraId="299CF55E">
      <w:pPr>
        <w:ind w:firstLine="422"/>
        <w:jc w:val="left"/>
        <w:rPr>
          <w:rFonts w:ascii="宋体" w:hAnsi="宋体"/>
          <w:kern w:val="44"/>
        </w:rPr>
      </w:pPr>
      <w:r>
        <w:rPr>
          <w:rFonts w:hint="eastAsia" w:ascii="宋体" w:hAnsi="宋体"/>
          <w:b/>
          <w:kern w:val="44"/>
        </w:rPr>
        <w:t>第三十一条</w:t>
      </w:r>
      <w:r>
        <w:rPr>
          <w:rFonts w:hint="eastAsia" w:ascii="宋体" w:hAnsi="宋体"/>
          <w:kern w:val="44"/>
        </w:rPr>
        <w:t>　单位领导人有下列违法行为之一的，应当给予行政处分；构成犯罪的，依法追究刑事责任：</w:t>
      </w:r>
    </w:p>
    <w:p w14:paraId="09D3A504">
      <w:pPr>
        <w:jc w:val="left"/>
        <w:rPr>
          <w:rFonts w:ascii="宋体" w:hAnsi="宋体"/>
          <w:kern w:val="44"/>
        </w:rPr>
      </w:pPr>
      <w:r>
        <w:rPr>
          <w:rFonts w:hint="eastAsia" w:ascii="宋体" w:hAnsi="宋体"/>
          <w:kern w:val="44"/>
        </w:rPr>
        <w:t>（一）违反或者胁迫、指使、授意他人违反《会计法》和本办法有关会计核算规定的；</w:t>
      </w:r>
    </w:p>
    <w:p w14:paraId="7D4CEEBB">
      <w:pPr>
        <w:jc w:val="left"/>
        <w:rPr>
          <w:rFonts w:ascii="宋体" w:hAnsi="宋体"/>
          <w:kern w:val="44"/>
        </w:rPr>
      </w:pPr>
      <w:r>
        <w:rPr>
          <w:rFonts w:hint="eastAsia" w:ascii="宋体" w:hAnsi="宋体"/>
          <w:kern w:val="44"/>
        </w:rPr>
        <w:t>（二）接到会计人员要求对违法收支作出处理决定的书面意见后，无正当理由逾期不作出处理决定的；</w:t>
      </w:r>
    </w:p>
    <w:p w14:paraId="1C4AE246">
      <w:pPr>
        <w:jc w:val="left"/>
        <w:rPr>
          <w:rFonts w:ascii="宋体" w:hAnsi="宋体"/>
          <w:kern w:val="44"/>
        </w:rPr>
      </w:pPr>
      <w:r>
        <w:rPr>
          <w:rFonts w:hint="eastAsia" w:ascii="宋体" w:hAnsi="宋体"/>
          <w:kern w:val="44"/>
        </w:rPr>
        <w:t>（三）对按照《会计法》及本办法履行职责的会计人员进行打击报复的。</w:t>
      </w:r>
    </w:p>
    <w:p w14:paraId="4F471575">
      <w:pPr>
        <w:ind w:firstLine="422"/>
        <w:jc w:val="left"/>
        <w:rPr>
          <w:rFonts w:ascii="宋体" w:hAnsi="宋体"/>
          <w:kern w:val="44"/>
        </w:rPr>
      </w:pPr>
      <w:r>
        <w:rPr>
          <w:rFonts w:hint="eastAsia" w:ascii="宋体" w:hAnsi="宋体"/>
          <w:b/>
          <w:kern w:val="44"/>
        </w:rPr>
        <w:t>第三十二条</w:t>
      </w:r>
      <w:r>
        <w:rPr>
          <w:rFonts w:hint="eastAsia" w:ascii="宋体" w:hAnsi="宋体"/>
          <w:kern w:val="44"/>
        </w:rPr>
        <w:t>　会计人员有下列违法行为之一的，应当给予行政处分；构成犯罪的，依法追究刑事责任：</w:t>
      </w:r>
    </w:p>
    <w:p w14:paraId="5C3E0880">
      <w:pPr>
        <w:jc w:val="left"/>
        <w:rPr>
          <w:rFonts w:ascii="宋体" w:hAnsi="宋体"/>
          <w:kern w:val="44"/>
        </w:rPr>
      </w:pPr>
      <w:r>
        <w:rPr>
          <w:rFonts w:hint="eastAsia" w:ascii="宋体" w:hAnsi="宋体"/>
          <w:kern w:val="44"/>
        </w:rPr>
        <w:t>（一）违反《会计法》和本办法有关会计核算规定的；</w:t>
      </w:r>
    </w:p>
    <w:p w14:paraId="01BF201F">
      <w:pPr>
        <w:jc w:val="left"/>
        <w:rPr>
          <w:rFonts w:ascii="宋体" w:hAnsi="宋体"/>
          <w:kern w:val="44"/>
        </w:rPr>
      </w:pPr>
      <w:r>
        <w:rPr>
          <w:rFonts w:hint="eastAsia" w:ascii="宋体" w:hAnsi="宋体"/>
          <w:kern w:val="44"/>
        </w:rPr>
        <w:t>（二）对违法的收支予以办理的；</w:t>
      </w:r>
    </w:p>
    <w:p w14:paraId="7B9A342C">
      <w:pPr>
        <w:jc w:val="left"/>
        <w:rPr>
          <w:rFonts w:ascii="宋体" w:hAnsi="宋体"/>
          <w:kern w:val="44"/>
        </w:rPr>
      </w:pPr>
      <w:r>
        <w:rPr>
          <w:rFonts w:hint="eastAsia" w:ascii="宋体" w:hAnsi="宋体"/>
          <w:kern w:val="44"/>
        </w:rPr>
        <w:t>（三）对违法的收支不制止，不纠正，又不向单位领导人提出书面意见或者报告的；</w:t>
      </w:r>
    </w:p>
    <w:p w14:paraId="0AECA145">
      <w:pPr>
        <w:jc w:val="left"/>
        <w:rPr>
          <w:rFonts w:ascii="宋体" w:hAnsi="宋体"/>
          <w:kern w:val="44"/>
        </w:rPr>
      </w:pPr>
      <w:r>
        <w:rPr>
          <w:rFonts w:hint="eastAsia" w:ascii="宋体" w:hAnsi="宋体"/>
          <w:kern w:val="44"/>
        </w:rPr>
        <w:t>（四）对严重违法损害国家和社会公众利益的收支不向主管部门或者财政、审计、税务部门报告的；</w:t>
      </w:r>
    </w:p>
    <w:p w14:paraId="13D2A0E6">
      <w:pPr>
        <w:ind w:firstLine="422"/>
        <w:jc w:val="left"/>
        <w:rPr>
          <w:rFonts w:ascii="宋体" w:hAnsi="宋体"/>
          <w:kern w:val="44"/>
        </w:rPr>
      </w:pPr>
      <w:r>
        <w:rPr>
          <w:rFonts w:hint="eastAsia" w:ascii="宋体" w:hAnsi="宋体"/>
          <w:b/>
          <w:kern w:val="44"/>
        </w:rPr>
        <w:t>第三十三条</w:t>
      </w:r>
      <w:r>
        <w:rPr>
          <w:rFonts w:hint="eastAsia" w:ascii="宋体" w:hAnsi="宋体"/>
          <w:kern w:val="44"/>
        </w:rPr>
        <w:t>　单位领导人、会计人员和其他人员伪造、变造、故意毁灭会计凭证、会计</w:t>
      </w:r>
      <w:r>
        <w:rPr>
          <w:rFonts w:hint="eastAsia" w:ascii="宋体" w:hAnsi="宋体"/>
          <w:kern w:val="44"/>
          <w:lang w:eastAsia="zh-CN"/>
        </w:rPr>
        <w:t>账簿</w:t>
      </w:r>
      <w:r>
        <w:rPr>
          <w:rFonts w:hint="eastAsia" w:ascii="宋体" w:hAnsi="宋体"/>
          <w:kern w:val="44"/>
        </w:rPr>
        <w:t>、会计报表和其他会计资料的，或者利用虚假的会计凭证、会计</w:t>
      </w:r>
      <w:r>
        <w:rPr>
          <w:rFonts w:hint="eastAsia" w:ascii="宋体" w:hAnsi="宋体"/>
          <w:kern w:val="44"/>
          <w:lang w:eastAsia="zh-CN"/>
        </w:rPr>
        <w:t>账簿</w:t>
      </w:r>
      <w:r>
        <w:rPr>
          <w:rFonts w:hint="eastAsia" w:ascii="宋体" w:hAnsi="宋体"/>
          <w:kern w:val="44"/>
        </w:rPr>
        <w:t>、会计报表和其他会计资料偷税或者损害国家利益、社会公众利益的，由财政、审计、税务机关或者其他有关主管部门依据法律、行政法规规定的职责负责处理，追究责任；构成犯罪的，依法追究刑事责任。</w:t>
      </w:r>
    </w:p>
    <w:p w14:paraId="1DFB9965">
      <w:pPr>
        <w:ind w:firstLine="422"/>
        <w:jc w:val="left"/>
        <w:rPr>
          <w:rFonts w:ascii="宋体" w:hAnsi="宋体"/>
          <w:kern w:val="44"/>
        </w:rPr>
      </w:pPr>
      <w:r>
        <w:rPr>
          <w:rFonts w:hint="eastAsia" w:ascii="宋体" w:hAnsi="宋体"/>
          <w:b/>
          <w:kern w:val="44"/>
        </w:rPr>
        <w:t>第三十四条</w:t>
      </w:r>
      <w:r>
        <w:rPr>
          <w:rFonts w:hint="eastAsia" w:ascii="宋体" w:hAnsi="宋体"/>
          <w:kern w:val="44"/>
        </w:rPr>
        <w:t>　对会计师事务所、审计事务所和注册会计师违反《会计法》、《中华人民共和国注册会计师法》或者审计准则、规则，有意隐瞒真实情况，甚至通同作弊的，由市财政局依法取消其注册会计师的执业资格；情节严重的，由工商行政管理部门依法吊销该会计师事务所或者审计事务所的营业执照。</w:t>
      </w:r>
    </w:p>
    <w:p w14:paraId="7876583B">
      <w:pPr>
        <w:jc w:val="left"/>
        <w:rPr>
          <w:rFonts w:ascii="宋体" w:hAnsi="宋体"/>
          <w:kern w:val="44"/>
        </w:rPr>
      </w:pPr>
    </w:p>
    <w:p w14:paraId="7FDFEFD1">
      <w:pPr>
        <w:ind w:firstLine="0" w:firstLineChars="0"/>
        <w:jc w:val="center"/>
        <w:rPr>
          <w:rFonts w:ascii="宋体" w:hAnsi="宋体"/>
          <w:b/>
          <w:kern w:val="44"/>
          <w:sz w:val="28"/>
        </w:rPr>
      </w:pPr>
      <w:r>
        <w:rPr>
          <w:rFonts w:hint="eastAsia" w:ascii="宋体" w:hAnsi="宋体"/>
          <w:b/>
          <w:kern w:val="44"/>
          <w:sz w:val="28"/>
        </w:rPr>
        <w:t>第六章  附  则</w:t>
      </w:r>
    </w:p>
    <w:p w14:paraId="5C3A1A99">
      <w:pPr>
        <w:jc w:val="left"/>
        <w:rPr>
          <w:rFonts w:ascii="宋体" w:hAnsi="宋体"/>
          <w:kern w:val="44"/>
        </w:rPr>
      </w:pPr>
    </w:p>
    <w:p w14:paraId="67FEB416">
      <w:pPr>
        <w:ind w:firstLine="422"/>
        <w:jc w:val="left"/>
        <w:rPr>
          <w:rFonts w:ascii="宋体" w:hAnsi="宋体"/>
          <w:kern w:val="44"/>
        </w:rPr>
      </w:pPr>
      <w:r>
        <w:rPr>
          <w:rFonts w:hint="eastAsia" w:ascii="宋体" w:hAnsi="宋体"/>
          <w:b/>
          <w:kern w:val="44"/>
        </w:rPr>
        <w:t>第三十五条</w:t>
      </w:r>
      <w:r>
        <w:rPr>
          <w:rFonts w:hint="eastAsia" w:ascii="宋体" w:hAnsi="宋体"/>
          <w:kern w:val="44"/>
        </w:rPr>
        <w:t>　各级人民政府及有关综合部门，应当协助、配合做好会计工作。</w:t>
      </w:r>
    </w:p>
    <w:p w14:paraId="7B38EBF1">
      <w:pPr>
        <w:ind w:firstLine="422"/>
        <w:jc w:val="left"/>
        <w:rPr>
          <w:rFonts w:ascii="宋体" w:hAnsi="宋体"/>
          <w:kern w:val="44"/>
        </w:rPr>
      </w:pPr>
      <w:r>
        <w:rPr>
          <w:rFonts w:hint="eastAsia" w:ascii="宋体" w:hAnsi="宋体"/>
          <w:b/>
          <w:kern w:val="44"/>
        </w:rPr>
        <w:t>第三十六条</w:t>
      </w:r>
      <w:r>
        <w:rPr>
          <w:rFonts w:hint="eastAsia" w:ascii="宋体" w:hAnsi="宋体"/>
          <w:kern w:val="44"/>
        </w:rPr>
        <w:t>　本办法执行中的具体问题，由市财政局负责解释。</w:t>
      </w:r>
    </w:p>
    <w:p w14:paraId="0718BCD7">
      <w:pPr>
        <w:ind w:firstLine="422"/>
        <w:jc w:val="left"/>
        <w:rPr>
          <w:rFonts w:ascii="宋体" w:hAnsi="宋体"/>
          <w:kern w:val="44"/>
        </w:rPr>
      </w:pPr>
      <w:r>
        <w:rPr>
          <w:rFonts w:hint="eastAsia" w:ascii="宋体" w:hAnsi="宋体"/>
          <w:b/>
          <w:kern w:val="44"/>
        </w:rPr>
        <w:t>第三十七条</w:t>
      </w:r>
      <w:r>
        <w:rPr>
          <w:rFonts w:hint="eastAsia" w:ascii="宋体" w:hAnsi="宋体"/>
          <w:kern w:val="44"/>
        </w:rPr>
        <w:t>　本办法自1998年7月1日起施行。</w:t>
      </w:r>
    </w:p>
    <w:p w14:paraId="77E7BD60">
      <w:pPr>
        <w:pStyle w:val="3"/>
        <w:pageBreakBefore/>
        <w:rPr>
          <w:kern w:val="44"/>
        </w:rPr>
      </w:pPr>
      <w:bookmarkStart w:id="477" w:name="_Toc428780022"/>
      <w:bookmarkStart w:id="478" w:name="_Toc422471149"/>
      <w:bookmarkStart w:id="479" w:name="_Toc428781504"/>
      <w:bookmarkStart w:id="480" w:name="_Toc427651798"/>
      <w:bookmarkStart w:id="481" w:name="_Toc427651456"/>
      <w:r>
        <w:rPr>
          <w:rFonts w:hint="eastAsia"/>
          <w:kern w:val="44"/>
        </w:rPr>
        <w:t>（二）税  务</w:t>
      </w:r>
      <w:bookmarkEnd w:id="477"/>
      <w:bookmarkEnd w:id="478"/>
      <w:bookmarkEnd w:id="479"/>
      <w:bookmarkEnd w:id="480"/>
      <w:bookmarkEnd w:id="481"/>
    </w:p>
    <w:p w14:paraId="6674DE92"/>
    <w:p w14:paraId="5FA32489">
      <w:pPr>
        <w:pStyle w:val="4"/>
        <w:rPr>
          <w:kern w:val="44"/>
        </w:rPr>
      </w:pPr>
      <w:bookmarkStart w:id="482" w:name="_Toc422471150"/>
      <w:bookmarkStart w:id="483" w:name="_Toc428780023"/>
      <w:bookmarkStart w:id="484" w:name="_Toc427651799"/>
      <w:bookmarkStart w:id="485" w:name="_Toc427651457"/>
      <w:bookmarkStart w:id="486" w:name="_Toc428781505"/>
      <w:r>
        <w:rPr>
          <w:rFonts w:hint="eastAsia"/>
          <w:kern w:val="44"/>
        </w:rPr>
        <w:t>北京市实施《中华人民共和国</w:t>
      </w:r>
      <w:bookmarkEnd w:id="482"/>
      <w:bookmarkEnd w:id="483"/>
      <w:bookmarkEnd w:id="484"/>
      <w:bookmarkEnd w:id="485"/>
      <w:bookmarkEnd w:id="486"/>
    </w:p>
    <w:p w14:paraId="56D02932">
      <w:pPr>
        <w:pStyle w:val="4"/>
        <w:rPr>
          <w:kern w:val="44"/>
        </w:rPr>
      </w:pPr>
      <w:bookmarkStart w:id="487" w:name="_Toc427651458"/>
      <w:bookmarkStart w:id="488" w:name="_Toc422471151"/>
      <w:bookmarkStart w:id="489" w:name="_Toc428780024"/>
      <w:bookmarkStart w:id="490" w:name="_Toc427651800"/>
      <w:bookmarkStart w:id="491" w:name="_Toc428781506"/>
      <w:r>
        <w:rPr>
          <w:rFonts w:hint="eastAsia"/>
          <w:kern w:val="44"/>
        </w:rPr>
        <w:t>城市维护建设税暂行条例》的细则</w:t>
      </w:r>
      <w:bookmarkEnd w:id="487"/>
      <w:bookmarkEnd w:id="488"/>
      <w:bookmarkEnd w:id="489"/>
      <w:bookmarkEnd w:id="490"/>
      <w:bookmarkEnd w:id="491"/>
    </w:p>
    <w:p w14:paraId="6EB62573">
      <w:pPr>
        <w:ind w:left="630" w:leftChars="300" w:right="630" w:rightChars="300"/>
        <w:jc w:val="center"/>
        <w:rPr>
          <w:rFonts w:ascii="楷体" w:hAnsi="楷体" w:eastAsia="楷体"/>
          <w:kern w:val="44"/>
        </w:rPr>
      </w:pPr>
      <w:r>
        <w:rPr>
          <w:rFonts w:hint="eastAsia" w:ascii="楷体" w:hAnsi="楷体" w:eastAsia="楷体"/>
          <w:kern w:val="44"/>
        </w:rPr>
        <w:t>（1985年5月11日北京市人民政府京政发86号文件发布）</w:t>
      </w:r>
    </w:p>
    <w:p w14:paraId="575755EB">
      <w:pPr>
        <w:ind w:left="630" w:leftChars="300" w:right="630" w:rightChars="300"/>
        <w:jc w:val="center"/>
        <w:rPr>
          <w:rFonts w:ascii="楷体" w:hAnsi="楷体" w:eastAsia="楷体"/>
          <w:kern w:val="44"/>
        </w:rPr>
      </w:pPr>
    </w:p>
    <w:p w14:paraId="2B318218">
      <w:pPr>
        <w:ind w:firstLine="422"/>
        <w:jc w:val="left"/>
        <w:rPr>
          <w:rFonts w:ascii="宋体" w:hAnsi="宋体"/>
          <w:kern w:val="44"/>
        </w:rPr>
      </w:pPr>
      <w:r>
        <w:rPr>
          <w:rFonts w:hint="eastAsia" w:ascii="宋体" w:hAnsi="宋体"/>
          <w:b/>
          <w:kern w:val="44"/>
        </w:rPr>
        <w:t>第一条</w:t>
      </w:r>
      <w:r>
        <w:rPr>
          <w:rFonts w:hint="eastAsia" w:ascii="宋体" w:hAnsi="宋体"/>
          <w:kern w:val="44"/>
        </w:rPr>
        <w:t>　根据《中华人民共和国城市维护建设税暂行条例》制定本细则。</w:t>
      </w:r>
    </w:p>
    <w:p w14:paraId="12AB9920">
      <w:pPr>
        <w:ind w:firstLine="422"/>
        <w:jc w:val="left"/>
        <w:rPr>
          <w:rFonts w:ascii="宋体" w:hAnsi="宋体"/>
          <w:kern w:val="44"/>
        </w:rPr>
      </w:pPr>
      <w:r>
        <w:rPr>
          <w:rFonts w:hint="eastAsia" w:ascii="宋体" w:hAnsi="宋体"/>
          <w:b/>
          <w:kern w:val="44"/>
        </w:rPr>
        <w:t>第二条</w:t>
      </w:r>
      <w:r>
        <w:rPr>
          <w:rFonts w:hint="eastAsia" w:ascii="宋体" w:hAnsi="宋体"/>
          <w:kern w:val="44"/>
        </w:rPr>
        <w:t>　凡在本市范围内缴纳产品税、增值税、营业税的单位和个人，均在本市缴纳城市维护建设税。按规定不在本市缴纳产品税、增值税、营业税的单位和个人，不在本市缴纳城市维护建设税。</w:t>
      </w:r>
    </w:p>
    <w:p w14:paraId="58D29DBC">
      <w:pPr>
        <w:ind w:firstLine="422"/>
        <w:jc w:val="left"/>
        <w:rPr>
          <w:rFonts w:ascii="宋体" w:hAnsi="宋体"/>
          <w:kern w:val="44"/>
        </w:rPr>
      </w:pPr>
      <w:r>
        <w:rPr>
          <w:rFonts w:hint="eastAsia" w:ascii="宋体" w:hAnsi="宋体"/>
          <w:b/>
          <w:kern w:val="44"/>
        </w:rPr>
        <w:t>第三条</w:t>
      </w:r>
      <w:r>
        <w:rPr>
          <w:rFonts w:hint="eastAsia" w:ascii="宋体" w:hAnsi="宋体"/>
          <w:kern w:val="44"/>
        </w:rPr>
        <w:t>　经核准代扣代缴、代收代缴产品税、增值税、营业税的单位，应按本规定代扣代缴、代收代缴城市维护建设税。国家另有规定者除外。</w:t>
      </w:r>
    </w:p>
    <w:p w14:paraId="118FB490">
      <w:pPr>
        <w:ind w:firstLine="422"/>
        <w:jc w:val="left"/>
        <w:rPr>
          <w:rFonts w:ascii="宋体" w:hAnsi="宋体"/>
          <w:kern w:val="44"/>
        </w:rPr>
      </w:pPr>
      <w:r>
        <w:rPr>
          <w:rFonts w:hint="eastAsia" w:ascii="宋体" w:hAnsi="宋体"/>
          <w:b/>
          <w:kern w:val="44"/>
        </w:rPr>
        <w:t>第四条</w:t>
      </w:r>
      <w:r>
        <w:rPr>
          <w:rFonts w:hint="eastAsia" w:ascii="宋体" w:hAnsi="宋体"/>
          <w:kern w:val="44"/>
        </w:rPr>
        <w:t>　本市城市维护建设税的适用税率：</w:t>
      </w:r>
    </w:p>
    <w:p w14:paraId="292165D7">
      <w:pPr>
        <w:jc w:val="left"/>
        <w:rPr>
          <w:rFonts w:ascii="宋体" w:hAnsi="宋体"/>
          <w:kern w:val="44"/>
        </w:rPr>
      </w:pPr>
      <w:r>
        <w:rPr>
          <w:rFonts w:hint="eastAsia" w:ascii="宋体" w:hAnsi="宋体"/>
          <w:kern w:val="44"/>
        </w:rPr>
        <w:t>（一）纳税义务人所在地在东城区、西城区、崇文区、宣武区范围内的；在朝阳、海淀、丰台、石景山、门头沟、燕山六个区所属的街道办事处管辖范围内的，税率为百分之七；</w:t>
      </w:r>
    </w:p>
    <w:p w14:paraId="74C2F733">
      <w:pPr>
        <w:jc w:val="left"/>
        <w:rPr>
          <w:rFonts w:ascii="宋体" w:hAnsi="宋体"/>
          <w:kern w:val="44"/>
        </w:rPr>
      </w:pPr>
      <w:r>
        <w:rPr>
          <w:rFonts w:hint="eastAsia" w:ascii="宋体" w:hAnsi="宋体"/>
          <w:kern w:val="44"/>
        </w:rPr>
        <w:t>（二）纳税义务人所在地在郊区各县城、镇范围内的，税率为百分之五；</w:t>
      </w:r>
    </w:p>
    <w:p w14:paraId="6E98B319">
      <w:pPr>
        <w:jc w:val="left"/>
        <w:rPr>
          <w:rFonts w:ascii="宋体" w:hAnsi="宋体"/>
          <w:kern w:val="44"/>
        </w:rPr>
      </w:pPr>
      <w:r>
        <w:rPr>
          <w:rFonts w:hint="eastAsia" w:ascii="宋体" w:hAnsi="宋体"/>
          <w:kern w:val="44"/>
        </w:rPr>
        <w:t>（三）纳税义务人所在地不在本条第（一）、（二）项范围内的，税率为百分之一；</w:t>
      </w:r>
    </w:p>
    <w:p w14:paraId="70B84673">
      <w:pPr>
        <w:jc w:val="left"/>
        <w:rPr>
          <w:rFonts w:ascii="宋体" w:hAnsi="宋体"/>
          <w:kern w:val="44"/>
        </w:rPr>
      </w:pPr>
      <w:r>
        <w:rPr>
          <w:rFonts w:hint="eastAsia" w:ascii="宋体" w:hAnsi="宋体"/>
          <w:kern w:val="44"/>
        </w:rPr>
        <w:t>（四）代扣代缴、代收代缴城市维护建设税的，按照代扣代缴、代收代缴的单位所在地的适用税率扣（收）缴。</w:t>
      </w:r>
    </w:p>
    <w:p w14:paraId="5F20DBC7">
      <w:pPr>
        <w:jc w:val="left"/>
        <w:rPr>
          <w:rFonts w:ascii="宋体" w:hAnsi="宋体"/>
          <w:kern w:val="44"/>
        </w:rPr>
      </w:pPr>
      <w:r>
        <w:rPr>
          <w:rFonts w:hint="eastAsia" w:ascii="宋体" w:hAnsi="宋体"/>
          <w:kern w:val="44"/>
        </w:rPr>
        <w:t>本条所指街道办事处和城、镇的范围，均以北京市人民政府确定的行政区划为依据。</w:t>
      </w:r>
    </w:p>
    <w:p w14:paraId="2F6CD077">
      <w:pPr>
        <w:ind w:firstLine="422"/>
        <w:jc w:val="left"/>
        <w:rPr>
          <w:rFonts w:ascii="宋体" w:hAnsi="宋体"/>
          <w:kern w:val="44"/>
        </w:rPr>
      </w:pPr>
      <w:r>
        <w:rPr>
          <w:rFonts w:hint="eastAsia" w:ascii="宋体" w:hAnsi="宋体"/>
          <w:b/>
          <w:kern w:val="44"/>
        </w:rPr>
        <w:t>第五条</w:t>
      </w:r>
      <w:r>
        <w:rPr>
          <w:rFonts w:hint="eastAsia" w:ascii="宋体" w:hAnsi="宋体"/>
          <w:kern w:val="44"/>
        </w:rPr>
        <w:t>　凡在本市缴纳城市维护建设税的单位和个人，均向征收其产品税、增值税、营业税的税务机关缴纳。</w:t>
      </w:r>
    </w:p>
    <w:p w14:paraId="2BC99EFD">
      <w:pPr>
        <w:ind w:firstLine="422"/>
        <w:jc w:val="left"/>
        <w:rPr>
          <w:rFonts w:ascii="宋体" w:hAnsi="宋体"/>
          <w:kern w:val="44"/>
        </w:rPr>
      </w:pPr>
      <w:r>
        <w:rPr>
          <w:rFonts w:hint="eastAsia" w:ascii="宋体" w:hAnsi="宋体"/>
          <w:b/>
          <w:kern w:val="44"/>
        </w:rPr>
        <w:t>第六条</w:t>
      </w:r>
      <w:r>
        <w:rPr>
          <w:rFonts w:hint="eastAsia" w:ascii="宋体" w:hAnsi="宋体"/>
          <w:kern w:val="44"/>
        </w:rPr>
        <w:t>　对在集市上从事临时经营的个人，征收临时经营营业税或产品税时，暂不征收城市维护建设税。</w:t>
      </w:r>
    </w:p>
    <w:p w14:paraId="3D3314CC">
      <w:pPr>
        <w:ind w:firstLine="422"/>
        <w:jc w:val="left"/>
        <w:rPr>
          <w:rFonts w:ascii="宋体" w:hAnsi="宋体"/>
          <w:kern w:val="44"/>
        </w:rPr>
      </w:pPr>
      <w:r>
        <w:rPr>
          <w:rFonts w:hint="eastAsia" w:ascii="宋体" w:hAnsi="宋体"/>
          <w:b/>
          <w:kern w:val="44"/>
        </w:rPr>
        <w:t>第七条</w:t>
      </w:r>
      <w:r>
        <w:rPr>
          <w:rFonts w:hint="eastAsia" w:ascii="宋体" w:hAnsi="宋体"/>
          <w:kern w:val="44"/>
        </w:rPr>
        <w:t>　本细则执行中的具体问题，由北京市地方税务局解释。</w:t>
      </w:r>
    </w:p>
    <w:p w14:paraId="3891C554">
      <w:pPr>
        <w:ind w:firstLine="422"/>
        <w:jc w:val="left"/>
        <w:rPr>
          <w:rFonts w:ascii="宋体" w:hAnsi="宋体"/>
          <w:kern w:val="44"/>
        </w:rPr>
      </w:pPr>
      <w:r>
        <w:rPr>
          <w:rFonts w:hint="eastAsia" w:ascii="宋体" w:hAnsi="宋体"/>
          <w:b/>
          <w:kern w:val="44"/>
        </w:rPr>
        <w:t>第八条</w:t>
      </w:r>
      <w:r>
        <w:rPr>
          <w:rFonts w:hint="eastAsia" w:ascii="宋体" w:hAnsi="宋体"/>
          <w:kern w:val="44"/>
        </w:rPr>
        <w:t>　本细则自1985年1月1日起施行。</w:t>
      </w:r>
    </w:p>
    <w:p w14:paraId="4F49DA84">
      <w:pPr>
        <w:pStyle w:val="4"/>
        <w:pageBreakBefore/>
        <w:spacing w:before="240" w:after="240"/>
        <w:rPr>
          <w:kern w:val="44"/>
        </w:rPr>
      </w:pPr>
      <w:bookmarkStart w:id="492" w:name="_Toc427651801"/>
      <w:bookmarkStart w:id="493" w:name="_Toc428780025"/>
      <w:bookmarkStart w:id="494" w:name="_Toc427651459"/>
      <w:bookmarkStart w:id="495" w:name="_Toc422471152"/>
      <w:bookmarkStart w:id="496" w:name="_Toc428781507"/>
      <w:r>
        <w:rPr>
          <w:rFonts w:hint="eastAsia"/>
          <w:kern w:val="44"/>
        </w:rPr>
        <w:t>北京市施行《中华人民共和国</w:t>
      </w:r>
      <w:bookmarkEnd w:id="492"/>
      <w:bookmarkEnd w:id="493"/>
      <w:bookmarkEnd w:id="494"/>
      <w:bookmarkEnd w:id="495"/>
      <w:bookmarkEnd w:id="496"/>
    </w:p>
    <w:p w14:paraId="6A110DEA">
      <w:pPr>
        <w:pStyle w:val="4"/>
        <w:spacing w:before="240" w:after="240"/>
        <w:rPr>
          <w:kern w:val="44"/>
        </w:rPr>
      </w:pPr>
      <w:bookmarkStart w:id="497" w:name="_Toc427651802"/>
      <w:bookmarkStart w:id="498" w:name="_Toc422471153"/>
      <w:bookmarkStart w:id="499" w:name="_Toc428781508"/>
      <w:bookmarkStart w:id="500" w:name="_Toc428780026"/>
      <w:bookmarkStart w:id="501" w:name="_Toc427651460"/>
      <w:r>
        <w:rPr>
          <w:rFonts w:hint="eastAsia"/>
          <w:kern w:val="44"/>
        </w:rPr>
        <w:t>房产税暂行条例》的细则</w:t>
      </w:r>
      <w:bookmarkEnd w:id="497"/>
      <w:bookmarkEnd w:id="498"/>
      <w:bookmarkEnd w:id="499"/>
      <w:bookmarkEnd w:id="500"/>
      <w:bookmarkEnd w:id="501"/>
    </w:p>
    <w:p w14:paraId="6892C0FC">
      <w:pPr>
        <w:spacing w:line="356" w:lineRule="exact"/>
        <w:ind w:left="630" w:leftChars="300" w:right="630" w:rightChars="300"/>
        <w:jc w:val="left"/>
        <w:rPr>
          <w:rFonts w:ascii="楷体" w:hAnsi="楷体" w:eastAsia="楷体"/>
          <w:kern w:val="44"/>
        </w:rPr>
      </w:pPr>
      <w:r>
        <w:rPr>
          <w:rFonts w:hint="eastAsia" w:ascii="楷体" w:hAnsi="楷体" w:eastAsia="楷体"/>
          <w:kern w:val="44"/>
        </w:rPr>
        <w:t>（1986年12月27日北京市人民政府京政发165号文件发布　根据1998年6月12日北京市人民政府令第6号北京市人民政府关于修改《北京市施行〈中华人民共和国房产税暂行条例〉的细则》有关条款的决定进行修正 ）</w:t>
      </w:r>
    </w:p>
    <w:p w14:paraId="10C01DCF">
      <w:pPr>
        <w:spacing w:line="240" w:lineRule="exact"/>
        <w:jc w:val="left"/>
        <w:rPr>
          <w:rFonts w:ascii="宋体" w:hAnsi="宋体"/>
          <w:kern w:val="44"/>
        </w:rPr>
      </w:pPr>
    </w:p>
    <w:p w14:paraId="77255410">
      <w:pPr>
        <w:spacing w:line="356" w:lineRule="exact"/>
        <w:ind w:firstLine="422"/>
        <w:jc w:val="left"/>
        <w:rPr>
          <w:rFonts w:ascii="宋体" w:hAnsi="宋体"/>
          <w:kern w:val="44"/>
        </w:rPr>
      </w:pPr>
      <w:r>
        <w:rPr>
          <w:rFonts w:hint="eastAsia" w:ascii="宋体" w:hAnsi="宋体"/>
          <w:b/>
          <w:kern w:val="44"/>
        </w:rPr>
        <w:t>第一条</w:t>
      </w:r>
      <w:r>
        <w:rPr>
          <w:rFonts w:hint="eastAsia" w:ascii="宋体" w:hAnsi="宋体"/>
          <w:kern w:val="44"/>
        </w:rPr>
        <w:t>　根据《中华人民共和国房产税暂行条例》（以下简称《条例》）第十条的规定，制定本细则。</w:t>
      </w:r>
    </w:p>
    <w:p w14:paraId="4FFE4720">
      <w:pPr>
        <w:spacing w:line="356" w:lineRule="exact"/>
        <w:ind w:firstLine="422"/>
        <w:jc w:val="left"/>
        <w:rPr>
          <w:rFonts w:ascii="宋体" w:hAnsi="宋体"/>
          <w:kern w:val="44"/>
        </w:rPr>
      </w:pPr>
      <w:r>
        <w:rPr>
          <w:rFonts w:hint="eastAsia" w:ascii="宋体" w:hAnsi="宋体"/>
          <w:b/>
          <w:kern w:val="44"/>
        </w:rPr>
        <w:t>第二条</w:t>
      </w:r>
      <w:r>
        <w:rPr>
          <w:rFonts w:hint="eastAsia" w:ascii="宋体" w:hAnsi="宋体"/>
          <w:kern w:val="44"/>
        </w:rPr>
        <w:t>　凡坐落在本市城区、郊区所属的街道办事处、县城（含卫星城）、建制镇辖区内和工矿区范围内的房产，均应在本市缴纳房产税。国家和本市另有规定者除外。</w:t>
      </w:r>
    </w:p>
    <w:p w14:paraId="03CC0A3C">
      <w:pPr>
        <w:spacing w:line="356" w:lineRule="exact"/>
        <w:jc w:val="left"/>
        <w:rPr>
          <w:rFonts w:ascii="宋体" w:hAnsi="宋体"/>
          <w:kern w:val="44"/>
        </w:rPr>
      </w:pPr>
      <w:r>
        <w:rPr>
          <w:rFonts w:hint="eastAsia" w:ascii="宋体" w:hAnsi="宋体"/>
          <w:kern w:val="44"/>
        </w:rPr>
        <w:t>本条所指城区、郊区所属的街道办事处、县城（含卫星城）、建制镇的范围，均以北京市人民政府确定的行政区划为依据。</w:t>
      </w:r>
    </w:p>
    <w:p w14:paraId="4BF2D11A">
      <w:pPr>
        <w:spacing w:line="356" w:lineRule="exact"/>
        <w:ind w:firstLine="422"/>
        <w:jc w:val="left"/>
        <w:rPr>
          <w:rFonts w:ascii="宋体" w:hAnsi="宋体"/>
          <w:kern w:val="44"/>
        </w:rPr>
      </w:pPr>
      <w:r>
        <w:rPr>
          <w:rFonts w:hint="eastAsia" w:ascii="宋体" w:hAnsi="宋体"/>
          <w:b/>
          <w:kern w:val="44"/>
        </w:rPr>
        <w:t>第三条</w:t>
      </w:r>
      <w:r>
        <w:rPr>
          <w:rFonts w:hint="eastAsia" w:ascii="宋体" w:hAnsi="宋体"/>
          <w:kern w:val="44"/>
        </w:rPr>
        <w:t>　纳税人有营业机构的，在独立核算的营业机构所在地纳税；无营业机构的，在其房产所在地纳税。</w:t>
      </w:r>
    </w:p>
    <w:p w14:paraId="4A09A957">
      <w:pPr>
        <w:spacing w:line="356" w:lineRule="exact"/>
        <w:ind w:firstLine="422"/>
        <w:jc w:val="left"/>
        <w:rPr>
          <w:rFonts w:ascii="宋体" w:hAnsi="宋体"/>
          <w:kern w:val="44"/>
        </w:rPr>
      </w:pPr>
      <w:r>
        <w:rPr>
          <w:rFonts w:hint="eastAsia" w:ascii="宋体" w:hAnsi="宋体"/>
          <w:b/>
          <w:kern w:val="44"/>
        </w:rPr>
        <w:t>第四条</w:t>
      </w:r>
      <w:r>
        <w:rPr>
          <w:rFonts w:hint="eastAsia" w:ascii="宋体" w:hAnsi="宋体"/>
          <w:kern w:val="44"/>
        </w:rPr>
        <w:t>　企业、事业单位房产，不论自用还是出租均按征收月份前一个月的月末</w:t>
      </w:r>
      <w:r>
        <w:rPr>
          <w:rFonts w:hint="eastAsia" w:ascii="宋体" w:hAnsi="宋体"/>
          <w:kern w:val="44"/>
          <w:lang w:eastAsia="zh-CN"/>
        </w:rPr>
        <w:t>账面</w:t>
      </w:r>
      <w:r>
        <w:rPr>
          <w:rFonts w:hint="eastAsia" w:ascii="宋体" w:hAnsi="宋体"/>
          <w:kern w:val="44"/>
        </w:rPr>
        <w:t>房产原值，一次减除百分之三十后的余值，计算缴纳房产税。其他单位和个人出租的房产，以租金收入为房产税的计税依据。</w:t>
      </w:r>
    </w:p>
    <w:p w14:paraId="17C91ACC">
      <w:pPr>
        <w:spacing w:line="356" w:lineRule="exact"/>
        <w:ind w:firstLine="422"/>
        <w:jc w:val="left"/>
        <w:rPr>
          <w:rFonts w:ascii="宋体" w:hAnsi="宋体"/>
          <w:kern w:val="44"/>
        </w:rPr>
      </w:pPr>
      <w:r>
        <w:rPr>
          <w:rFonts w:hint="eastAsia" w:ascii="宋体" w:hAnsi="宋体"/>
          <w:b/>
          <w:kern w:val="44"/>
        </w:rPr>
        <w:t>第五条</w:t>
      </w:r>
      <w:r>
        <w:rPr>
          <w:rFonts w:hint="eastAsia" w:ascii="宋体" w:hAnsi="宋体"/>
          <w:kern w:val="44"/>
        </w:rPr>
        <w:t>　除《条例》第五条规定者外，下列房产免纳房产税：</w:t>
      </w:r>
    </w:p>
    <w:p w14:paraId="769B2458">
      <w:pPr>
        <w:spacing w:line="356" w:lineRule="exact"/>
        <w:jc w:val="left"/>
        <w:rPr>
          <w:rFonts w:ascii="宋体" w:hAnsi="宋体"/>
          <w:kern w:val="44"/>
        </w:rPr>
      </w:pPr>
      <w:r>
        <w:rPr>
          <w:rFonts w:hint="eastAsia" w:ascii="宋体" w:hAnsi="宋体"/>
          <w:kern w:val="44"/>
        </w:rPr>
        <w:t>（一）经有关主管部门批准由企业、事业单位和个人自办的各类学校、图书馆、幼儿园、托儿所、哺乳室、医院、医务室、诊所等占用的房产；</w:t>
      </w:r>
    </w:p>
    <w:p w14:paraId="2887A2E7">
      <w:pPr>
        <w:spacing w:line="356" w:lineRule="exact"/>
        <w:jc w:val="left"/>
        <w:rPr>
          <w:rFonts w:ascii="宋体" w:hAnsi="宋体"/>
          <w:kern w:val="44"/>
        </w:rPr>
      </w:pPr>
      <w:r>
        <w:rPr>
          <w:rFonts w:hint="eastAsia" w:ascii="宋体" w:hAnsi="宋体"/>
          <w:kern w:val="44"/>
        </w:rPr>
        <w:t>（二）火葬场、殡仪馆、公墓的房产；</w:t>
      </w:r>
    </w:p>
    <w:p w14:paraId="11D4D261">
      <w:pPr>
        <w:spacing w:line="356" w:lineRule="exact"/>
        <w:jc w:val="left"/>
        <w:rPr>
          <w:rFonts w:ascii="宋体" w:hAnsi="宋体"/>
          <w:kern w:val="44"/>
        </w:rPr>
      </w:pPr>
      <w:r>
        <w:rPr>
          <w:rFonts w:hint="eastAsia" w:ascii="宋体" w:hAnsi="宋体"/>
          <w:kern w:val="44"/>
        </w:rPr>
        <w:t>（三）经市人民政府或市地方税务局批准免税的房产。</w:t>
      </w:r>
    </w:p>
    <w:p w14:paraId="7C09D08B">
      <w:pPr>
        <w:spacing w:line="356" w:lineRule="exact"/>
        <w:ind w:firstLine="422"/>
        <w:jc w:val="left"/>
        <w:rPr>
          <w:rFonts w:ascii="宋体" w:hAnsi="宋体"/>
          <w:kern w:val="44"/>
        </w:rPr>
      </w:pPr>
      <w:r>
        <w:rPr>
          <w:rFonts w:hint="eastAsia" w:ascii="宋体" w:hAnsi="宋体"/>
          <w:b/>
          <w:kern w:val="44"/>
        </w:rPr>
        <w:t>第六条</w:t>
      </w:r>
      <w:r>
        <w:rPr>
          <w:rFonts w:hint="eastAsia" w:ascii="宋体" w:hAnsi="宋体"/>
          <w:kern w:val="44"/>
        </w:rPr>
        <w:t>　纳税人纳税确有困难的，由纳税人提出申请，经税务机关批准后，给予减税或免税照顾。</w:t>
      </w:r>
    </w:p>
    <w:p w14:paraId="4580CD25">
      <w:pPr>
        <w:spacing w:line="356" w:lineRule="exact"/>
        <w:ind w:firstLine="422"/>
        <w:jc w:val="left"/>
        <w:rPr>
          <w:rFonts w:ascii="宋体" w:hAnsi="宋体"/>
          <w:kern w:val="44"/>
        </w:rPr>
      </w:pPr>
      <w:r>
        <w:rPr>
          <w:rFonts w:hint="eastAsia" w:ascii="宋体" w:hAnsi="宋体"/>
          <w:b/>
          <w:kern w:val="44"/>
        </w:rPr>
        <w:t>第七条</w:t>
      </w:r>
      <w:r>
        <w:rPr>
          <w:rFonts w:hint="eastAsia" w:ascii="宋体" w:hAnsi="宋体"/>
          <w:kern w:val="44"/>
        </w:rPr>
        <w:t>　本市房产税全年税额分两次缴纳，纳税期限为4月1日至4月15日和10月1日至10月15日。</w:t>
      </w:r>
    </w:p>
    <w:p w14:paraId="614B6C23">
      <w:pPr>
        <w:spacing w:line="356" w:lineRule="exact"/>
        <w:ind w:firstLine="422"/>
        <w:jc w:val="left"/>
        <w:rPr>
          <w:rFonts w:ascii="宋体" w:hAnsi="宋体"/>
          <w:kern w:val="44"/>
        </w:rPr>
      </w:pPr>
      <w:r>
        <w:rPr>
          <w:rFonts w:hint="eastAsia" w:ascii="宋体" w:hAnsi="宋体"/>
          <w:b/>
          <w:kern w:val="44"/>
        </w:rPr>
        <w:t>第八条</w:t>
      </w:r>
      <w:r>
        <w:rPr>
          <w:rFonts w:hint="eastAsia" w:ascii="宋体" w:hAnsi="宋体"/>
          <w:kern w:val="44"/>
        </w:rPr>
        <w:t>　本细则发布后，纳税人应在税务机关规定的期限内，向主管税务机关办理纳税申报登记。具备自核自缴条件的，其应纳的税款，应在纳税期限内，自行计算缴纳；不具备自核自缴条件的，由税务机关填发房产税缴款书，由纳税人缴纳。</w:t>
      </w:r>
    </w:p>
    <w:p w14:paraId="3F3F0A23">
      <w:pPr>
        <w:spacing w:line="356" w:lineRule="exact"/>
        <w:jc w:val="left"/>
        <w:rPr>
          <w:rFonts w:ascii="宋体" w:hAnsi="宋体"/>
          <w:kern w:val="44"/>
        </w:rPr>
      </w:pPr>
      <w:r>
        <w:rPr>
          <w:rFonts w:hint="eastAsia" w:ascii="宋体" w:hAnsi="宋体"/>
          <w:kern w:val="44"/>
        </w:rPr>
        <w:t>纳税人发生房产增加、减少或使用性质变更、租金调整等情况，必须在变动后十五日内到主管税务机关办理变更申报登记。</w:t>
      </w:r>
    </w:p>
    <w:p w14:paraId="7FCBAF88">
      <w:pPr>
        <w:spacing w:line="356" w:lineRule="exact"/>
        <w:jc w:val="left"/>
        <w:rPr>
          <w:rFonts w:ascii="宋体" w:hAnsi="宋体"/>
          <w:kern w:val="44"/>
        </w:rPr>
      </w:pPr>
      <w:r>
        <w:rPr>
          <w:rFonts w:hint="eastAsia" w:ascii="宋体" w:hAnsi="宋体"/>
          <w:kern w:val="44"/>
        </w:rPr>
        <w:t>其他有关征收管理方面的问题，按《中华人民共和国税收征收管理法》和本市有关规定办理。</w:t>
      </w:r>
    </w:p>
    <w:p w14:paraId="20013441">
      <w:pPr>
        <w:spacing w:line="356" w:lineRule="exact"/>
        <w:ind w:firstLine="422"/>
        <w:jc w:val="left"/>
        <w:rPr>
          <w:rFonts w:ascii="宋体" w:hAnsi="宋体"/>
          <w:kern w:val="44"/>
        </w:rPr>
      </w:pPr>
      <w:r>
        <w:rPr>
          <w:rFonts w:hint="eastAsia" w:ascii="宋体" w:hAnsi="宋体"/>
          <w:b/>
          <w:kern w:val="44"/>
        </w:rPr>
        <w:t>第九条</w:t>
      </w:r>
      <w:r>
        <w:rPr>
          <w:rFonts w:hint="eastAsia" w:ascii="宋体" w:hAnsi="宋体"/>
          <w:kern w:val="44"/>
        </w:rPr>
        <w:t>　本细则执行中的具体问题，由市地方税务局负责解释。</w:t>
      </w:r>
    </w:p>
    <w:p w14:paraId="153F13A4">
      <w:pPr>
        <w:spacing w:line="356" w:lineRule="exact"/>
        <w:ind w:firstLine="422"/>
        <w:jc w:val="left"/>
        <w:rPr>
          <w:rFonts w:ascii="宋体" w:hAnsi="宋体"/>
          <w:kern w:val="44"/>
        </w:rPr>
      </w:pPr>
      <w:r>
        <w:rPr>
          <w:rFonts w:hint="eastAsia" w:ascii="宋体" w:hAnsi="宋体"/>
          <w:b/>
          <w:kern w:val="44"/>
        </w:rPr>
        <w:t>第十条</w:t>
      </w:r>
      <w:r>
        <w:rPr>
          <w:rFonts w:hint="eastAsia" w:ascii="宋体" w:hAnsi="宋体"/>
          <w:kern w:val="44"/>
        </w:rPr>
        <w:t>　本细则与《条例》同时施行。1951年12月10日北京市人民政府公布的《北京市房地产税稽征办法》同时废止。</w:t>
      </w:r>
    </w:p>
    <w:p w14:paraId="1D1FA4AA">
      <w:pPr>
        <w:pStyle w:val="4"/>
        <w:pageBreakBefore/>
        <w:rPr>
          <w:kern w:val="44"/>
        </w:rPr>
      </w:pPr>
      <w:bookmarkStart w:id="502" w:name="_Toc422471154"/>
      <w:bookmarkStart w:id="503" w:name="_Toc427651803"/>
      <w:bookmarkStart w:id="504" w:name="_Toc428781509"/>
      <w:bookmarkStart w:id="505" w:name="_Toc428780027"/>
      <w:bookmarkStart w:id="506" w:name="_Toc427651461"/>
      <w:r>
        <w:rPr>
          <w:rFonts w:hint="eastAsia"/>
          <w:kern w:val="44"/>
        </w:rPr>
        <w:t>北京市实施《中华人民共和国城镇</w:t>
      </w:r>
      <w:bookmarkEnd w:id="502"/>
      <w:bookmarkEnd w:id="503"/>
      <w:bookmarkEnd w:id="504"/>
      <w:bookmarkEnd w:id="505"/>
      <w:bookmarkEnd w:id="506"/>
    </w:p>
    <w:p w14:paraId="2CAB7695">
      <w:pPr>
        <w:pStyle w:val="4"/>
        <w:rPr>
          <w:kern w:val="44"/>
        </w:rPr>
      </w:pPr>
      <w:bookmarkStart w:id="507" w:name="_Toc427651804"/>
      <w:bookmarkStart w:id="508" w:name="_Toc427651462"/>
      <w:bookmarkStart w:id="509" w:name="_Toc422471155"/>
      <w:bookmarkStart w:id="510" w:name="_Toc428781510"/>
      <w:bookmarkStart w:id="511" w:name="_Toc428780028"/>
      <w:r>
        <w:rPr>
          <w:rFonts w:hint="eastAsia"/>
          <w:kern w:val="44"/>
        </w:rPr>
        <w:t>土地使用税暂行条例》办法</w:t>
      </w:r>
      <w:bookmarkEnd w:id="507"/>
      <w:bookmarkEnd w:id="508"/>
      <w:bookmarkEnd w:id="509"/>
      <w:bookmarkEnd w:id="510"/>
      <w:bookmarkEnd w:id="511"/>
    </w:p>
    <w:p w14:paraId="603B8432">
      <w:pPr>
        <w:ind w:left="630" w:leftChars="300" w:right="630" w:rightChars="300"/>
        <w:jc w:val="left"/>
        <w:rPr>
          <w:rFonts w:ascii="楷体" w:hAnsi="楷体" w:eastAsia="楷体"/>
          <w:kern w:val="44"/>
        </w:rPr>
      </w:pPr>
      <w:r>
        <w:rPr>
          <w:rFonts w:hint="eastAsia" w:ascii="楷体" w:hAnsi="楷体" w:eastAsia="楷体"/>
          <w:kern w:val="44"/>
        </w:rPr>
        <w:t>（1988年12月30日北京市人民政府京政发〔1988〕115号文件发布  根据1998年6月12日北京市人民政府第6号令第一次修改　根据2007年4月27日北京市人民政府第188号令第二次修改）</w:t>
      </w:r>
    </w:p>
    <w:p w14:paraId="092E7CAC">
      <w:pPr>
        <w:jc w:val="left"/>
        <w:rPr>
          <w:rFonts w:ascii="楷体" w:hAnsi="楷体" w:eastAsia="楷体"/>
          <w:kern w:val="44"/>
        </w:rPr>
      </w:pPr>
    </w:p>
    <w:p w14:paraId="2556CC25">
      <w:pPr>
        <w:ind w:firstLine="422"/>
        <w:jc w:val="left"/>
        <w:rPr>
          <w:rFonts w:ascii="宋体" w:hAnsi="宋体"/>
          <w:kern w:val="44"/>
        </w:rPr>
      </w:pPr>
      <w:r>
        <w:rPr>
          <w:rFonts w:hint="eastAsia" w:ascii="宋体" w:hAnsi="宋体"/>
          <w:b/>
          <w:kern w:val="44"/>
        </w:rPr>
        <w:t>第一条</w:t>
      </w:r>
      <w:r>
        <w:rPr>
          <w:rFonts w:hint="eastAsia" w:ascii="宋体" w:hAnsi="宋体"/>
          <w:kern w:val="44"/>
        </w:rPr>
        <w:t>　根据《中华人民共和国城镇土地使用税暂行条例》（以下简称《条例》），结合本市实际情况，制定本办法。</w:t>
      </w:r>
    </w:p>
    <w:p w14:paraId="4FD641AF">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城区、近郊区行政区域内，远郊区的区、县政府所在地（县城）和建制镇、工矿区使用土地的单位和个人，为城镇土地使用税（以下简称土地使用税）的纳税人，应当依照《条例》和本办法缴纳土地使用税。</w:t>
      </w:r>
    </w:p>
    <w:p w14:paraId="78654399">
      <w:pPr>
        <w:ind w:firstLine="422"/>
        <w:jc w:val="left"/>
        <w:rPr>
          <w:rFonts w:ascii="宋体" w:hAnsi="宋体"/>
          <w:kern w:val="44"/>
        </w:rPr>
      </w:pPr>
      <w:r>
        <w:rPr>
          <w:rFonts w:hint="eastAsia" w:ascii="宋体" w:hAnsi="宋体"/>
          <w:b/>
          <w:kern w:val="44"/>
        </w:rPr>
        <w:t>第三条</w:t>
      </w:r>
      <w:r>
        <w:rPr>
          <w:rFonts w:hint="eastAsia" w:ascii="宋体" w:hAnsi="宋体"/>
          <w:kern w:val="44"/>
        </w:rPr>
        <w:t>　土地使用税以纳税人实际占用的土地面积为计税依据，依照本办法规定的税额计算征收。占用的土地面积按建设用地规划许可证或者土地权属文件的土地占用面积确定；没有建设用地规划许可证或者土地权属文件的，以纳税人据实申报并经地方税务机关核实的土地占用面积确定。</w:t>
      </w:r>
    </w:p>
    <w:p w14:paraId="7FD5F44F">
      <w:pPr>
        <w:ind w:firstLine="422"/>
        <w:jc w:val="left"/>
        <w:rPr>
          <w:rFonts w:ascii="宋体" w:hAnsi="宋体"/>
          <w:kern w:val="44"/>
        </w:rPr>
      </w:pPr>
      <w:r>
        <w:rPr>
          <w:rFonts w:hint="eastAsia" w:ascii="宋体" w:hAnsi="宋体"/>
          <w:b/>
          <w:kern w:val="44"/>
        </w:rPr>
        <w:t>第四条</w:t>
      </w:r>
      <w:r>
        <w:rPr>
          <w:rFonts w:hint="eastAsia" w:ascii="宋体" w:hAnsi="宋体"/>
          <w:kern w:val="44"/>
        </w:rPr>
        <w:t>　本市土地使用税的纳税等级划分为六级，每平方米年税额如下：</w:t>
      </w:r>
    </w:p>
    <w:p w14:paraId="2649691E">
      <w:pPr>
        <w:jc w:val="left"/>
        <w:rPr>
          <w:rFonts w:ascii="宋体" w:hAnsi="宋体"/>
          <w:kern w:val="44"/>
        </w:rPr>
      </w:pPr>
      <w:r>
        <w:rPr>
          <w:rFonts w:hint="eastAsia" w:ascii="宋体" w:hAnsi="宋体"/>
          <w:kern w:val="44"/>
        </w:rPr>
        <w:t>一级土地30元；</w:t>
      </w:r>
    </w:p>
    <w:p w14:paraId="4672C9C0">
      <w:pPr>
        <w:jc w:val="left"/>
        <w:rPr>
          <w:rFonts w:ascii="宋体" w:hAnsi="宋体"/>
          <w:kern w:val="44"/>
        </w:rPr>
      </w:pPr>
      <w:r>
        <w:rPr>
          <w:rFonts w:hint="eastAsia" w:ascii="宋体" w:hAnsi="宋体"/>
          <w:kern w:val="44"/>
        </w:rPr>
        <w:t>二级土地24元；</w:t>
      </w:r>
    </w:p>
    <w:p w14:paraId="035B8D6A">
      <w:pPr>
        <w:jc w:val="left"/>
        <w:rPr>
          <w:rFonts w:ascii="宋体" w:hAnsi="宋体"/>
          <w:kern w:val="44"/>
        </w:rPr>
      </w:pPr>
      <w:r>
        <w:rPr>
          <w:rFonts w:hint="eastAsia" w:ascii="宋体" w:hAnsi="宋体"/>
          <w:kern w:val="44"/>
        </w:rPr>
        <w:t>三级土地18元；</w:t>
      </w:r>
    </w:p>
    <w:p w14:paraId="642A4BDB">
      <w:pPr>
        <w:jc w:val="left"/>
        <w:rPr>
          <w:rFonts w:ascii="宋体" w:hAnsi="宋体"/>
          <w:kern w:val="44"/>
        </w:rPr>
      </w:pPr>
      <w:r>
        <w:rPr>
          <w:rFonts w:hint="eastAsia" w:ascii="宋体" w:hAnsi="宋体"/>
          <w:kern w:val="44"/>
        </w:rPr>
        <w:t>四级土地12元；</w:t>
      </w:r>
    </w:p>
    <w:p w14:paraId="1210F83F">
      <w:pPr>
        <w:jc w:val="left"/>
        <w:rPr>
          <w:rFonts w:ascii="宋体" w:hAnsi="宋体"/>
          <w:kern w:val="44"/>
        </w:rPr>
      </w:pPr>
      <w:r>
        <w:rPr>
          <w:rFonts w:hint="eastAsia" w:ascii="宋体" w:hAnsi="宋体"/>
          <w:kern w:val="44"/>
        </w:rPr>
        <w:t>五级土地3元；</w:t>
      </w:r>
    </w:p>
    <w:p w14:paraId="5ED93616">
      <w:pPr>
        <w:jc w:val="left"/>
        <w:rPr>
          <w:rFonts w:ascii="宋体" w:hAnsi="宋体"/>
          <w:kern w:val="44"/>
        </w:rPr>
      </w:pPr>
      <w:r>
        <w:rPr>
          <w:rFonts w:hint="eastAsia" w:ascii="宋体" w:hAnsi="宋体"/>
          <w:kern w:val="44"/>
        </w:rPr>
        <w:t>六级土地1.5元。</w:t>
      </w:r>
    </w:p>
    <w:p w14:paraId="0F6D002E">
      <w:pPr>
        <w:jc w:val="left"/>
        <w:rPr>
          <w:rFonts w:ascii="宋体" w:hAnsi="宋体"/>
          <w:kern w:val="44"/>
        </w:rPr>
      </w:pPr>
      <w:r>
        <w:rPr>
          <w:rFonts w:hint="eastAsia" w:ascii="宋体" w:hAnsi="宋体"/>
          <w:kern w:val="44"/>
        </w:rPr>
        <w:t>土地纳税等级范围的划分，由北京市地方税务机关参照北京市出让国有土地使用权基准地价级别范围确定和调整。</w:t>
      </w:r>
    </w:p>
    <w:p w14:paraId="28B8CA0F">
      <w:pPr>
        <w:ind w:firstLine="422"/>
        <w:jc w:val="left"/>
        <w:rPr>
          <w:rFonts w:ascii="宋体" w:hAnsi="宋体"/>
          <w:kern w:val="44"/>
        </w:rPr>
      </w:pPr>
      <w:r>
        <w:rPr>
          <w:rFonts w:hint="eastAsia" w:ascii="宋体" w:hAnsi="宋体"/>
          <w:b/>
          <w:kern w:val="44"/>
        </w:rPr>
        <w:t>第五条</w:t>
      </w:r>
      <w:r>
        <w:rPr>
          <w:rFonts w:hint="eastAsia" w:ascii="宋体" w:hAnsi="宋体"/>
          <w:kern w:val="44"/>
        </w:rPr>
        <w:t>　下列土地免缴土地使用税：</w:t>
      </w:r>
    </w:p>
    <w:p w14:paraId="5C007688">
      <w:pPr>
        <w:jc w:val="left"/>
        <w:rPr>
          <w:rFonts w:ascii="宋体" w:hAnsi="宋体"/>
          <w:kern w:val="44"/>
        </w:rPr>
      </w:pPr>
      <w:r>
        <w:rPr>
          <w:rFonts w:hint="eastAsia" w:ascii="宋体" w:hAnsi="宋体"/>
          <w:kern w:val="44"/>
        </w:rPr>
        <w:t>（一）国家机关、人民团体、军队自用的土地；</w:t>
      </w:r>
    </w:p>
    <w:p w14:paraId="241455A6">
      <w:pPr>
        <w:jc w:val="left"/>
        <w:rPr>
          <w:rFonts w:ascii="宋体" w:hAnsi="宋体"/>
          <w:kern w:val="44"/>
        </w:rPr>
      </w:pPr>
      <w:r>
        <w:rPr>
          <w:rFonts w:hint="eastAsia" w:ascii="宋体" w:hAnsi="宋体"/>
          <w:kern w:val="44"/>
        </w:rPr>
        <w:t>（二）由财政机关拨付事业经费的单位自用的土地；</w:t>
      </w:r>
    </w:p>
    <w:p w14:paraId="5B3BE57A">
      <w:pPr>
        <w:jc w:val="left"/>
        <w:rPr>
          <w:rFonts w:ascii="宋体" w:hAnsi="宋体"/>
          <w:kern w:val="44"/>
        </w:rPr>
      </w:pPr>
      <w:r>
        <w:rPr>
          <w:rFonts w:hint="eastAsia" w:ascii="宋体" w:hAnsi="宋体"/>
          <w:kern w:val="44"/>
        </w:rPr>
        <w:t>（三）宗教寺庙、公园、名胜古迹自用的土地；</w:t>
      </w:r>
    </w:p>
    <w:p w14:paraId="2A4DE0F5">
      <w:pPr>
        <w:jc w:val="left"/>
        <w:rPr>
          <w:rFonts w:ascii="宋体" w:hAnsi="宋体"/>
          <w:kern w:val="44"/>
        </w:rPr>
      </w:pPr>
      <w:r>
        <w:rPr>
          <w:rFonts w:hint="eastAsia" w:ascii="宋体" w:hAnsi="宋体"/>
          <w:kern w:val="44"/>
        </w:rPr>
        <w:t>（四）市政道路、广场、绿化地带等公共用地；</w:t>
      </w:r>
    </w:p>
    <w:p w14:paraId="6A86B7C9">
      <w:pPr>
        <w:jc w:val="left"/>
        <w:rPr>
          <w:rFonts w:ascii="宋体" w:hAnsi="宋体"/>
          <w:kern w:val="44"/>
        </w:rPr>
      </w:pPr>
      <w:r>
        <w:rPr>
          <w:rFonts w:hint="eastAsia" w:ascii="宋体" w:hAnsi="宋体"/>
          <w:kern w:val="44"/>
        </w:rPr>
        <w:t>（五）直接用于农、林、牧、渔业的生产用地；</w:t>
      </w:r>
    </w:p>
    <w:p w14:paraId="31EE9F9D">
      <w:pPr>
        <w:jc w:val="left"/>
        <w:rPr>
          <w:rFonts w:ascii="宋体" w:hAnsi="宋体"/>
          <w:kern w:val="44"/>
        </w:rPr>
      </w:pPr>
      <w:r>
        <w:rPr>
          <w:rFonts w:hint="eastAsia" w:ascii="宋体" w:hAnsi="宋体"/>
          <w:kern w:val="44"/>
        </w:rPr>
        <w:t>（六）经批准开山整治的土地和改造的废弃土地，从使用的月份起免缴土地使用税10年；</w:t>
      </w:r>
    </w:p>
    <w:p w14:paraId="57246542">
      <w:pPr>
        <w:jc w:val="left"/>
        <w:rPr>
          <w:rFonts w:ascii="宋体" w:hAnsi="宋体"/>
          <w:kern w:val="44"/>
        </w:rPr>
      </w:pPr>
      <w:r>
        <w:rPr>
          <w:rFonts w:hint="eastAsia" w:ascii="宋体" w:hAnsi="宋体"/>
          <w:kern w:val="44"/>
        </w:rPr>
        <w:t>（七）由财政部另行规定免税的能源、交通、水利设施用地和其他用地。</w:t>
      </w:r>
    </w:p>
    <w:p w14:paraId="60ED363A">
      <w:pPr>
        <w:ind w:firstLine="422"/>
        <w:jc w:val="left"/>
        <w:rPr>
          <w:rFonts w:ascii="宋体" w:hAnsi="宋体"/>
          <w:kern w:val="44"/>
        </w:rPr>
      </w:pPr>
      <w:r>
        <w:rPr>
          <w:rFonts w:hint="eastAsia" w:ascii="宋体" w:hAnsi="宋体"/>
          <w:b/>
          <w:kern w:val="44"/>
        </w:rPr>
        <w:t>第六条</w:t>
      </w:r>
      <w:r>
        <w:rPr>
          <w:rFonts w:hint="eastAsia" w:ascii="宋体" w:hAnsi="宋体"/>
          <w:kern w:val="44"/>
        </w:rPr>
        <w:t>　缴纳土地使用税确有困难的纳税人，经纳税人提出减免税申请，由地方税务机关按照规定的程序办理。</w:t>
      </w:r>
    </w:p>
    <w:p w14:paraId="18720CE9">
      <w:pPr>
        <w:ind w:firstLine="422"/>
        <w:jc w:val="left"/>
        <w:rPr>
          <w:rFonts w:ascii="宋体" w:hAnsi="宋体"/>
          <w:kern w:val="44"/>
        </w:rPr>
      </w:pPr>
      <w:r>
        <w:rPr>
          <w:rFonts w:hint="eastAsia" w:ascii="宋体" w:hAnsi="宋体"/>
          <w:b/>
          <w:kern w:val="44"/>
        </w:rPr>
        <w:t>第七条</w:t>
      </w:r>
      <w:r>
        <w:rPr>
          <w:rFonts w:hint="eastAsia" w:ascii="宋体" w:hAnsi="宋体"/>
          <w:kern w:val="44"/>
        </w:rPr>
        <w:t>　本市土地使用税全年税额分两次申报缴纳，申报纳税期限为每年4月1日至4月15日和10月1日至10月15日。</w:t>
      </w:r>
    </w:p>
    <w:p w14:paraId="2F116753">
      <w:pPr>
        <w:ind w:firstLine="422"/>
        <w:jc w:val="left"/>
        <w:rPr>
          <w:rFonts w:ascii="宋体" w:hAnsi="宋体"/>
          <w:kern w:val="44"/>
        </w:rPr>
      </w:pPr>
      <w:r>
        <w:rPr>
          <w:rFonts w:hint="eastAsia" w:ascii="宋体" w:hAnsi="宋体"/>
          <w:b/>
          <w:kern w:val="44"/>
        </w:rPr>
        <w:t>第八条</w:t>
      </w:r>
      <w:r>
        <w:rPr>
          <w:rFonts w:hint="eastAsia" w:ascii="宋体" w:hAnsi="宋体"/>
          <w:kern w:val="44"/>
        </w:rPr>
        <w:t>　纳税人应在地方税务机关规定的期限内向地方税务机关提交使用土地面积数量的依据，办理土地情况登记手续。</w:t>
      </w:r>
    </w:p>
    <w:p w14:paraId="6748F71A">
      <w:pPr>
        <w:jc w:val="left"/>
        <w:rPr>
          <w:rFonts w:ascii="宋体" w:hAnsi="宋体"/>
          <w:kern w:val="44"/>
        </w:rPr>
      </w:pPr>
      <w:r>
        <w:rPr>
          <w:rFonts w:hint="eastAsia" w:ascii="宋体" w:hAnsi="宋体"/>
          <w:kern w:val="44"/>
        </w:rPr>
        <w:t>纳税人使用土地情况变动的，应当自变动之日起30日内，到登记地的地方税务机关办理土地情况变更税务登记手续。</w:t>
      </w:r>
    </w:p>
    <w:p w14:paraId="2BB3D293">
      <w:pPr>
        <w:ind w:firstLine="422"/>
        <w:jc w:val="left"/>
        <w:rPr>
          <w:rFonts w:ascii="宋体" w:hAnsi="宋体"/>
          <w:kern w:val="44"/>
        </w:rPr>
      </w:pPr>
      <w:r>
        <w:rPr>
          <w:rFonts w:hint="eastAsia" w:ascii="宋体" w:hAnsi="宋体"/>
          <w:b/>
          <w:kern w:val="44"/>
        </w:rPr>
        <w:t>第九条</w:t>
      </w:r>
      <w:r>
        <w:rPr>
          <w:rFonts w:hint="eastAsia" w:ascii="宋体" w:hAnsi="宋体"/>
          <w:kern w:val="44"/>
        </w:rPr>
        <w:t>　纳税人应当向土地所在地的地方税务机关缴纳土地使用税。土地所在地与纳税人登记地不一致的，由市地方税务机关按照国家有关规定确定纳税地点。</w:t>
      </w:r>
    </w:p>
    <w:p w14:paraId="246799C5">
      <w:pPr>
        <w:ind w:firstLine="422"/>
        <w:jc w:val="left"/>
        <w:rPr>
          <w:rFonts w:ascii="宋体" w:hAnsi="宋体"/>
          <w:kern w:val="44"/>
        </w:rPr>
      </w:pPr>
      <w:r>
        <w:rPr>
          <w:rFonts w:hint="eastAsia" w:ascii="宋体" w:hAnsi="宋体"/>
          <w:b/>
          <w:kern w:val="44"/>
        </w:rPr>
        <w:t>第十条</w:t>
      </w:r>
      <w:r>
        <w:rPr>
          <w:rFonts w:hint="eastAsia" w:ascii="宋体" w:hAnsi="宋体"/>
          <w:kern w:val="44"/>
        </w:rPr>
        <w:t>　土地管理机关应当定期向地方税务机关提供土地权属资料信息，具体办法由市地方税务机关会同市土地管理机关制定。</w:t>
      </w:r>
    </w:p>
    <w:p w14:paraId="60EDEE80">
      <w:pPr>
        <w:ind w:firstLine="422"/>
        <w:jc w:val="left"/>
        <w:rPr>
          <w:rFonts w:ascii="宋体" w:hAnsi="宋体"/>
          <w:kern w:val="44"/>
        </w:rPr>
      </w:pPr>
      <w:r>
        <w:rPr>
          <w:rFonts w:hint="eastAsia" w:ascii="宋体" w:hAnsi="宋体"/>
          <w:b/>
          <w:kern w:val="44"/>
        </w:rPr>
        <w:t>第十一条</w:t>
      </w:r>
      <w:r>
        <w:rPr>
          <w:rFonts w:hint="eastAsia" w:ascii="宋体" w:hAnsi="宋体"/>
          <w:kern w:val="44"/>
        </w:rPr>
        <w:t>　土地使用税的征收管理，按照《中华人民共和国税收征收管理法》、《中华人民共和国税收征收管理法实施细则》和本市有关规定执行。</w:t>
      </w:r>
    </w:p>
    <w:p w14:paraId="639AA957">
      <w:pPr>
        <w:ind w:firstLine="422"/>
        <w:jc w:val="left"/>
        <w:rPr>
          <w:rFonts w:ascii="宋体" w:hAnsi="宋体"/>
          <w:kern w:val="44"/>
        </w:rPr>
      </w:pPr>
      <w:r>
        <w:rPr>
          <w:rFonts w:hint="eastAsia" w:ascii="宋体" w:hAnsi="宋体"/>
          <w:b/>
          <w:kern w:val="44"/>
        </w:rPr>
        <w:t>第十二条</w:t>
      </w:r>
      <w:r>
        <w:rPr>
          <w:rFonts w:hint="eastAsia" w:ascii="宋体" w:hAnsi="宋体"/>
          <w:kern w:val="44"/>
        </w:rPr>
        <w:t>　本办法自1988年11月1日起施行。</w:t>
      </w:r>
    </w:p>
    <w:p w14:paraId="48EDE56C">
      <w:pPr>
        <w:pStyle w:val="4"/>
        <w:pageBreakBefore/>
        <w:rPr>
          <w:kern w:val="44"/>
        </w:rPr>
      </w:pPr>
      <w:bookmarkStart w:id="512" w:name="_Toc428780029"/>
      <w:bookmarkStart w:id="513" w:name="_Toc422471156"/>
      <w:bookmarkStart w:id="514" w:name="_Toc428781511"/>
      <w:bookmarkStart w:id="515" w:name="_Toc427651805"/>
      <w:bookmarkStart w:id="516" w:name="_Toc427651463"/>
      <w:r>
        <w:rPr>
          <w:rFonts w:hint="eastAsia"/>
          <w:kern w:val="44"/>
        </w:rPr>
        <w:t>北京市契税管理规定</w:t>
      </w:r>
      <w:bookmarkEnd w:id="512"/>
      <w:bookmarkEnd w:id="513"/>
      <w:bookmarkEnd w:id="514"/>
      <w:bookmarkEnd w:id="515"/>
      <w:bookmarkEnd w:id="516"/>
    </w:p>
    <w:p w14:paraId="57809B2D">
      <w:pPr>
        <w:jc w:val="left"/>
        <w:rPr>
          <w:rFonts w:ascii="宋体" w:hAnsi="宋体"/>
          <w:kern w:val="44"/>
        </w:rPr>
      </w:pPr>
    </w:p>
    <w:p w14:paraId="7D5929CC">
      <w:pPr>
        <w:ind w:left="630" w:leftChars="300" w:right="630" w:rightChars="300"/>
        <w:jc w:val="left"/>
        <w:rPr>
          <w:rFonts w:ascii="楷体" w:hAnsi="楷体" w:eastAsia="楷体"/>
          <w:kern w:val="44"/>
        </w:rPr>
      </w:pPr>
      <w:r>
        <w:rPr>
          <w:rFonts w:hint="eastAsia" w:ascii="楷体" w:hAnsi="楷体" w:eastAsia="楷体"/>
          <w:kern w:val="44"/>
        </w:rPr>
        <w:t>（1999年7月13日北京市人民政府第29号令公布  根据2002年6月27日北京市人民政府第100号令第一次修改  根据2010年11月27日北京市人民政府第226号令第二次修改）</w:t>
      </w:r>
    </w:p>
    <w:p w14:paraId="0CEC3EBC">
      <w:pPr>
        <w:ind w:left="630" w:leftChars="300" w:right="630" w:rightChars="300"/>
        <w:jc w:val="left"/>
        <w:rPr>
          <w:rFonts w:ascii="楷体" w:hAnsi="楷体" w:eastAsia="楷体"/>
          <w:kern w:val="44"/>
        </w:rPr>
      </w:pPr>
    </w:p>
    <w:p w14:paraId="05DB6B0F">
      <w:pPr>
        <w:ind w:firstLine="422"/>
        <w:jc w:val="left"/>
        <w:rPr>
          <w:rFonts w:ascii="宋体" w:hAnsi="宋体"/>
          <w:kern w:val="44"/>
        </w:rPr>
      </w:pPr>
      <w:r>
        <w:rPr>
          <w:rFonts w:hint="eastAsia" w:ascii="宋体" w:hAnsi="宋体"/>
          <w:b/>
          <w:kern w:val="44"/>
        </w:rPr>
        <w:t>第一条</w:t>
      </w:r>
      <w:r>
        <w:rPr>
          <w:rFonts w:hint="eastAsia" w:ascii="宋体" w:hAnsi="宋体"/>
          <w:kern w:val="44"/>
        </w:rPr>
        <w:t>　根据《中华人民共和国契税暂行条例》（以下简称《条例》），结合本市实际情况，制定本规定。</w:t>
      </w:r>
    </w:p>
    <w:p w14:paraId="025B0481">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土地使用权、房屋所有权发生转移时，承受的企业、事业单位、国家机关、军事单位、社会团体、其他组织和个体经营者以及其他个人为契税的纳税人，应当依照《条例》及其细则和本规定缴纳契税。</w:t>
      </w:r>
    </w:p>
    <w:p w14:paraId="7BF19A6C">
      <w:pPr>
        <w:jc w:val="left"/>
        <w:rPr>
          <w:rFonts w:ascii="宋体" w:hAnsi="宋体"/>
          <w:kern w:val="44"/>
        </w:rPr>
      </w:pPr>
      <w:r>
        <w:rPr>
          <w:rFonts w:hint="eastAsia" w:ascii="宋体" w:hAnsi="宋体"/>
          <w:kern w:val="44"/>
        </w:rPr>
        <w:t>经批准转让以划拨方式取得土地使用权的房地产时，房地产转让双方均为纳税人。</w:t>
      </w:r>
    </w:p>
    <w:p w14:paraId="333AF187">
      <w:pPr>
        <w:ind w:firstLine="422"/>
        <w:jc w:val="left"/>
        <w:rPr>
          <w:rFonts w:ascii="宋体" w:hAnsi="宋体"/>
          <w:kern w:val="44"/>
        </w:rPr>
      </w:pPr>
      <w:r>
        <w:rPr>
          <w:rFonts w:hint="eastAsia" w:ascii="宋体" w:hAnsi="宋体"/>
          <w:b/>
          <w:kern w:val="44"/>
        </w:rPr>
        <w:t>第三条</w:t>
      </w:r>
      <w:r>
        <w:rPr>
          <w:rFonts w:hint="eastAsia" w:ascii="宋体" w:hAnsi="宋体"/>
          <w:kern w:val="44"/>
        </w:rPr>
        <w:t>　契税的征收范围包括国有土地使用权出让、土地使用权转让（包括出售、赠与和交换）、房屋买卖、房屋赠与和房屋交换；其中土地使用权转让，不包括农村集体土地承包经营权的转移。</w:t>
      </w:r>
    </w:p>
    <w:p w14:paraId="7175731B">
      <w:pPr>
        <w:jc w:val="left"/>
        <w:rPr>
          <w:rFonts w:ascii="宋体" w:hAnsi="宋体"/>
          <w:kern w:val="44"/>
        </w:rPr>
      </w:pPr>
      <w:r>
        <w:rPr>
          <w:rFonts w:hint="eastAsia" w:ascii="宋体" w:hAnsi="宋体"/>
          <w:kern w:val="44"/>
        </w:rPr>
        <w:t>下列转移方式，视同土地使用权转让、房屋买卖或者房屋赠与征税：</w:t>
      </w:r>
    </w:p>
    <w:p w14:paraId="65BA5B03">
      <w:pPr>
        <w:jc w:val="left"/>
        <w:rPr>
          <w:rFonts w:ascii="宋体" w:hAnsi="宋体"/>
          <w:kern w:val="44"/>
        </w:rPr>
      </w:pPr>
      <w:r>
        <w:rPr>
          <w:rFonts w:hint="eastAsia" w:ascii="宋体" w:hAnsi="宋体"/>
          <w:kern w:val="44"/>
        </w:rPr>
        <w:t>（一）以土地、房屋权属抵债或者作价投资、入股的；</w:t>
      </w:r>
    </w:p>
    <w:p w14:paraId="3414CBC6">
      <w:pPr>
        <w:jc w:val="left"/>
        <w:rPr>
          <w:rFonts w:ascii="宋体" w:hAnsi="宋体"/>
          <w:kern w:val="44"/>
        </w:rPr>
      </w:pPr>
      <w:r>
        <w:rPr>
          <w:rFonts w:hint="eastAsia" w:ascii="宋体" w:hAnsi="宋体"/>
          <w:kern w:val="44"/>
        </w:rPr>
        <w:t>（二）以获奖、预购、预付集资建房款或者转移无形资产方式承受土地、房屋权属的；</w:t>
      </w:r>
    </w:p>
    <w:p w14:paraId="2CA771F3">
      <w:pPr>
        <w:jc w:val="left"/>
        <w:rPr>
          <w:rFonts w:ascii="宋体" w:hAnsi="宋体"/>
          <w:kern w:val="44"/>
        </w:rPr>
      </w:pPr>
      <w:r>
        <w:rPr>
          <w:rFonts w:hint="eastAsia" w:ascii="宋体" w:hAnsi="宋体"/>
          <w:kern w:val="44"/>
        </w:rPr>
        <w:t>（三）建设工程转让时发生土地使用权转移的；</w:t>
      </w:r>
    </w:p>
    <w:p w14:paraId="451F69D6">
      <w:pPr>
        <w:jc w:val="left"/>
        <w:rPr>
          <w:rFonts w:ascii="宋体" w:hAnsi="宋体"/>
          <w:kern w:val="44"/>
        </w:rPr>
      </w:pPr>
      <w:r>
        <w:rPr>
          <w:rFonts w:hint="eastAsia" w:ascii="宋体" w:hAnsi="宋体"/>
          <w:kern w:val="44"/>
        </w:rPr>
        <w:t>（四）以其他方式事实构成土地、房屋权属转移的。</w:t>
      </w:r>
    </w:p>
    <w:p w14:paraId="12C9017E">
      <w:pPr>
        <w:ind w:firstLine="422"/>
        <w:jc w:val="left"/>
        <w:rPr>
          <w:rFonts w:ascii="宋体" w:hAnsi="宋体"/>
          <w:kern w:val="44"/>
        </w:rPr>
      </w:pPr>
      <w:r>
        <w:rPr>
          <w:rFonts w:hint="eastAsia" w:ascii="宋体" w:hAnsi="宋体"/>
          <w:b/>
          <w:kern w:val="44"/>
        </w:rPr>
        <w:t>第四条</w:t>
      </w:r>
      <w:r>
        <w:rPr>
          <w:rFonts w:hint="eastAsia" w:ascii="宋体" w:hAnsi="宋体"/>
          <w:kern w:val="44"/>
        </w:rPr>
        <w:t>　本市契税征收机关为市和区、县地方税务局。</w:t>
      </w:r>
    </w:p>
    <w:p w14:paraId="6FFE0A93">
      <w:pPr>
        <w:ind w:firstLine="422"/>
        <w:jc w:val="left"/>
        <w:rPr>
          <w:rFonts w:ascii="宋体" w:hAnsi="宋体"/>
          <w:kern w:val="44"/>
        </w:rPr>
      </w:pPr>
      <w:r>
        <w:rPr>
          <w:rFonts w:hint="eastAsia" w:ascii="宋体" w:hAnsi="宋体"/>
          <w:b/>
          <w:kern w:val="44"/>
        </w:rPr>
        <w:t>第五条</w:t>
      </w:r>
      <w:r>
        <w:rPr>
          <w:rFonts w:hint="eastAsia" w:ascii="宋体" w:hAnsi="宋体"/>
          <w:kern w:val="44"/>
        </w:rPr>
        <w:t>　契税税率为3％。</w:t>
      </w:r>
    </w:p>
    <w:p w14:paraId="173A6FD7">
      <w:pPr>
        <w:ind w:firstLine="422"/>
        <w:jc w:val="left"/>
        <w:rPr>
          <w:rFonts w:ascii="宋体" w:hAnsi="宋体"/>
          <w:kern w:val="44"/>
        </w:rPr>
      </w:pPr>
      <w:r>
        <w:rPr>
          <w:rFonts w:hint="eastAsia" w:ascii="宋体" w:hAnsi="宋体"/>
          <w:b/>
          <w:kern w:val="44"/>
        </w:rPr>
        <w:t>第六条</w:t>
      </w:r>
      <w:r>
        <w:rPr>
          <w:rFonts w:hint="eastAsia" w:ascii="宋体" w:hAnsi="宋体"/>
          <w:kern w:val="44"/>
        </w:rPr>
        <w:t>　契税的计税依据如下：</w:t>
      </w:r>
    </w:p>
    <w:p w14:paraId="6C3BDE77">
      <w:pPr>
        <w:jc w:val="left"/>
        <w:rPr>
          <w:rFonts w:ascii="宋体" w:hAnsi="宋体"/>
          <w:kern w:val="44"/>
        </w:rPr>
      </w:pPr>
      <w:r>
        <w:rPr>
          <w:rFonts w:hint="eastAsia" w:ascii="宋体" w:hAnsi="宋体"/>
          <w:kern w:val="44"/>
        </w:rPr>
        <w:t>（一）国有土地使用权出让、土地使用权出售、房屋买卖，为成交价格。</w:t>
      </w:r>
    </w:p>
    <w:p w14:paraId="0C0FF5B5">
      <w:pPr>
        <w:jc w:val="left"/>
        <w:rPr>
          <w:rFonts w:ascii="宋体" w:hAnsi="宋体"/>
          <w:kern w:val="44"/>
        </w:rPr>
      </w:pPr>
      <w:r>
        <w:rPr>
          <w:rFonts w:hint="eastAsia" w:ascii="宋体" w:hAnsi="宋体"/>
          <w:kern w:val="44"/>
        </w:rPr>
        <w:t>（二）土地使用权赠与、房屋所有权赠与，由契税征收机关参照同类土地使用权出售、房屋买卖的市场价格或者评估价格核定。</w:t>
      </w:r>
    </w:p>
    <w:p w14:paraId="75A10CBB">
      <w:pPr>
        <w:jc w:val="left"/>
        <w:rPr>
          <w:rFonts w:ascii="宋体" w:hAnsi="宋体"/>
          <w:kern w:val="44"/>
        </w:rPr>
      </w:pPr>
      <w:r>
        <w:rPr>
          <w:rFonts w:hint="eastAsia" w:ascii="宋体" w:hAnsi="宋体"/>
          <w:kern w:val="44"/>
        </w:rPr>
        <w:t>（三）土地使用权交换、房屋所有权交换、土地使用权与房屋所有权交换，为交换价格的差额。</w:t>
      </w:r>
    </w:p>
    <w:p w14:paraId="71DB5C0D">
      <w:pPr>
        <w:jc w:val="left"/>
        <w:rPr>
          <w:rFonts w:ascii="宋体" w:hAnsi="宋体"/>
          <w:kern w:val="44"/>
        </w:rPr>
      </w:pPr>
      <w:r>
        <w:rPr>
          <w:rFonts w:hint="eastAsia" w:ascii="宋体" w:hAnsi="宋体"/>
          <w:kern w:val="44"/>
        </w:rPr>
        <w:t>（四）以划拨方式取得土地使用权的，经批准转让房地产时，除承受方按规定缴纳契税外，房地产转让者应当补缴契税，计税依据为补缴的土地使用权出让费用或者土地收益。</w:t>
      </w:r>
    </w:p>
    <w:p w14:paraId="31D86473">
      <w:pPr>
        <w:jc w:val="left"/>
        <w:rPr>
          <w:rFonts w:ascii="宋体" w:hAnsi="宋体"/>
          <w:kern w:val="44"/>
        </w:rPr>
      </w:pPr>
      <w:r>
        <w:rPr>
          <w:rFonts w:hint="eastAsia" w:ascii="宋体" w:hAnsi="宋体"/>
          <w:kern w:val="44"/>
        </w:rPr>
        <w:t>（五）承受土地、房屋部分权属的，为所承受部分权属的成交价格；当部分权属改为全部权属时，为全部权属的成交价格，原已缴纳的部分权属的税款应予扣除。</w:t>
      </w:r>
    </w:p>
    <w:p w14:paraId="66268B46">
      <w:pPr>
        <w:jc w:val="left"/>
        <w:rPr>
          <w:rFonts w:ascii="宋体" w:hAnsi="宋体"/>
          <w:kern w:val="44"/>
        </w:rPr>
      </w:pPr>
      <w:r>
        <w:rPr>
          <w:rFonts w:hint="eastAsia" w:ascii="宋体" w:hAnsi="宋体"/>
          <w:kern w:val="44"/>
        </w:rPr>
        <w:t>前款成交价格明显低于市场价格和交换价格的差额明显不合理，并且无正当理由的，由契税征收机关参照市场价格核定。</w:t>
      </w:r>
    </w:p>
    <w:p w14:paraId="21DA88F2">
      <w:pPr>
        <w:ind w:firstLine="422"/>
        <w:jc w:val="left"/>
        <w:rPr>
          <w:rFonts w:ascii="宋体" w:hAnsi="宋体"/>
          <w:kern w:val="44"/>
        </w:rPr>
      </w:pPr>
      <w:r>
        <w:rPr>
          <w:rFonts w:hint="eastAsia" w:ascii="宋体" w:hAnsi="宋体"/>
          <w:b/>
          <w:kern w:val="44"/>
        </w:rPr>
        <w:t>第七条</w:t>
      </w:r>
      <w:r>
        <w:rPr>
          <w:rFonts w:hint="eastAsia" w:ascii="宋体" w:hAnsi="宋体"/>
          <w:kern w:val="44"/>
        </w:rPr>
        <w:t>　免税规定：</w:t>
      </w:r>
    </w:p>
    <w:p w14:paraId="7BBD33DA">
      <w:pPr>
        <w:jc w:val="left"/>
        <w:rPr>
          <w:rFonts w:ascii="宋体" w:hAnsi="宋体"/>
          <w:kern w:val="44"/>
        </w:rPr>
      </w:pPr>
      <w:r>
        <w:rPr>
          <w:rFonts w:hint="eastAsia" w:ascii="宋体" w:hAnsi="宋体"/>
          <w:kern w:val="44"/>
        </w:rPr>
        <w:t>（一）因不可抗力灭失住房而重新购买住房的，免征契税。</w:t>
      </w:r>
    </w:p>
    <w:p w14:paraId="61643973">
      <w:pPr>
        <w:jc w:val="left"/>
        <w:rPr>
          <w:rFonts w:ascii="宋体" w:hAnsi="宋体"/>
          <w:kern w:val="44"/>
        </w:rPr>
      </w:pPr>
      <w:r>
        <w:rPr>
          <w:rFonts w:hint="eastAsia" w:ascii="宋体" w:hAnsi="宋体"/>
          <w:kern w:val="44"/>
        </w:rPr>
        <w:t>（二）土地、房屋被县级以上人民政府征用、占用后，重新承受土地、房屋权属的，其成交价格没有超出土地、房屋补偿费、安置补助费的部分，免征契税。</w:t>
      </w:r>
    </w:p>
    <w:p w14:paraId="24FAEB2E">
      <w:pPr>
        <w:jc w:val="left"/>
        <w:rPr>
          <w:rFonts w:ascii="宋体" w:hAnsi="宋体"/>
          <w:kern w:val="44"/>
        </w:rPr>
      </w:pPr>
      <w:r>
        <w:rPr>
          <w:rFonts w:hint="eastAsia" w:ascii="宋体" w:hAnsi="宋体"/>
          <w:kern w:val="44"/>
        </w:rPr>
        <w:t>（三）城镇职工第一次购买公有住房的，在本市规定标准面积以内的部分免征契税，超过的部分，仍应按照规定缴纳契税。因原住房未达到本市规定标准面积而重新购买公有住房的，视为第一次购房。</w:t>
      </w:r>
    </w:p>
    <w:p w14:paraId="3219DB3B">
      <w:pPr>
        <w:jc w:val="left"/>
        <w:rPr>
          <w:rFonts w:ascii="宋体" w:hAnsi="宋体"/>
          <w:kern w:val="44"/>
        </w:rPr>
      </w:pPr>
      <w:r>
        <w:rPr>
          <w:rFonts w:hint="eastAsia" w:ascii="宋体" w:hAnsi="宋体"/>
          <w:kern w:val="44"/>
        </w:rPr>
        <w:t>（四）国家机关、事业单位、社会团体、军事单位承受土地、房屋用于办公的办公室（楼）、档案室、职工食堂，教学的教室（教学楼）、实验室（楼）、操场、图书馆、食堂、学生宿舍，医疗的门诊部、化验室、住院部、药房，科研的试验场、试验楼，以及市财政局和市地方税务局确定的其他直接用于办公、教学、医疗、科研等的土地、房屋，免征契税。</w:t>
      </w:r>
    </w:p>
    <w:p w14:paraId="6FB1F1CC">
      <w:pPr>
        <w:jc w:val="left"/>
        <w:rPr>
          <w:rFonts w:ascii="宋体" w:hAnsi="宋体"/>
          <w:kern w:val="44"/>
        </w:rPr>
      </w:pPr>
      <w:r>
        <w:rPr>
          <w:rFonts w:hint="eastAsia" w:ascii="宋体" w:hAnsi="宋体"/>
          <w:kern w:val="44"/>
        </w:rPr>
        <w:t>（五）军事单位承受土地、房屋用于地上和地下的军事指挥工程，军用的机场、库房、营区、训练场、试验场和通信、导航、观测台站，以及市财政局和市地方税务局确定的其他直接用于军事设施的土地、房屋，免征契税。</w:t>
      </w:r>
    </w:p>
    <w:p w14:paraId="59005355">
      <w:pPr>
        <w:jc w:val="left"/>
        <w:rPr>
          <w:rFonts w:ascii="宋体" w:hAnsi="宋体"/>
          <w:kern w:val="44"/>
        </w:rPr>
      </w:pPr>
      <w:r>
        <w:rPr>
          <w:rFonts w:hint="eastAsia" w:ascii="宋体" w:hAnsi="宋体"/>
          <w:kern w:val="44"/>
        </w:rPr>
        <w:t>（六）纳税人承受荒山、荒沟、荒丘、荒滩土地使用权，用于农、林、牧、渔业生产的，免征契税。</w:t>
      </w:r>
    </w:p>
    <w:p w14:paraId="6AE7CC03">
      <w:pPr>
        <w:jc w:val="left"/>
        <w:rPr>
          <w:rFonts w:ascii="宋体" w:hAnsi="宋体"/>
          <w:kern w:val="44"/>
        </w:rPr>
      </w:pPr>
      <w:r>
        <w:rPr>
          <w:rFonts w:hint="eastAsia" w:ascii="宋体" w:hAnsi="宋体"/>
          <w:kern w:val="44"/>
        </w:rPr>
        <w:t>（七）依法应当予以免税的外国驻京外交机构、联合国驻京机构以及外交人员承受土地、房屋权属的，经外交部确认，可以免征契税。</w:t>
      </w:r>
    </w:p>
    <w:p w14:paraId="0377AAFB">
      <w:pPr>
        <w:jc w:val="left"/>
        <w:rPr>
          <w:rFonts w:ascii="宋体" w:hAnsi="宋体"/>
          <w:kern w:val="44"/>
        </w:rPr>
      </w:pPr>
      <w:r>
        <w:rPr>
          <w:rFonts w:hint="eastAsia" w:ascii="宋体" w:hAnsi="宋体"/>
          <w:kern w:val="44"/>
        </w:rPr>
        <w:t>财政部规定的其他减征、免征契税的项目，按照财政部的规定执行。</w:t>
      </w:r>
    </w:p>
    <w:p w14:paraId="45550F48">
      <w:pPr>
        <w:ind w:firstLine="422"/>
        <w:jc w:val="left"/>
        <w:rPr>
          <w:rFonts w:ascii="宋体" w:hAnsi="宋体"/>
          <w:kern w:val="44"/>
        </w:rPr>
      </w:pPr>
      <w:r>
        <w:rPr>
          <w:rFonts w:hint="eastAsia" w:ascii="宋体" w:hAnsi="宋体"/>
          <w:b/>
          <w:kern w:val="44"/>
        </w:rPr>
        <w:t>第八条</w:t>
      </w:r>
      <w:r>
        <w:rPr>
          <w:rFonts w:hint="eastAsia" w:ascii="宋体" w:hAnsi="宋体"/>
          <w:kern w:val="44"/>
        </w:rPr>
        <w:t>　契税的纳税义务发生时间，为纳税人签订土地、房屋权属转移合同的当天，或者纳税人取得具有合同效力的契约、协议、合约、单据、确认书以及由市财政局和市地方税务局确定的其他凭证的当天。</w:t>
      </w:r>
    </w:p>
    <w:p w14:paraId="3F931ECE">
      <w:pPr>
        <w:jc w:val="left"/>
        <w:rPr>
          <w:rFonts w:ascii="宋体" w:hAnsi="宋体"/>
          <w:kern w:val="44"/>
        </w:rPr>
      </w:pPr>
      <w:r>
        <w:rPr>
          <w:rFonts w:hint="eastAsia" w:ascii="宋体" w:hAnsi="宋体"/>
          <w:kern w:val="44"/>
        </w:rPr>
        <w:t>纳税人因改变土地、房屋用途应当补缴已经减征、免征契税的，其纳税义务发生时间为改变有关土地、房屋用途的当天。</w:t>
      </w:r>
    </w:p>
    <w:p w14:paraId="695087AE">
      <w:pPr>
        <w:ind w:firstLine="422"/>
        <w:jc w:val="left"/>
        <w:rPr>
          <w:rFonts w:ascii="宋体" w:hAnsi="宋体"/>
          <w:kern w:val="44"/>
        </w:rPr>
      </w:pPr>
      <w:r>
        <w:rPr>
          <w:rFonts w:hint="eastAsia" w:ascii="宋体" w:hAnsi="宋体"/>
          <w:b/>
          <w:kern w:val="44"/>
        </w:rPr>
        <w:t>第九条</w:t>
      </w:r>
      <w:r>
        <w:rPr>
          <w:rFonts w:hint="eastAsia" w:ascii="宋体" w:hAnsi="宋体"/>
          <w:kern w:val="44"/>
        </w:rPr>
        <w:t>　纳税人应当自纳税义务发生之日起10日内，到市或者土地、房屋所在地的区、县契税征收机关办理纳税申报手续，并在契税征收机关核定的期限内缴纳税款；符合减征或者免征契税规定的，应当办理减征或者免征契税手续。</w:t>
      </w:r>
    </w:p>
    <w:p w14:paraId="1B7747FE">
      <w:pPr>
        <w:ind w:firstLine="422"/>
        <w:jc w:val="left"/>
        <w:rPr>
          <w:rFonts w:ascii="宋体" w:hAnsi="宋体"/>
          <w:kern w:val="44"/>
        </w:rPr>
      </w:pPr>
      <w:r>
        <w:rPr>
          <w:rFonts w:hint="eastAsia" w:ascii="宋体" w:hAnsi="宋体"/>
          <w:b/>
          <w:kern w:val="44"/>
        </w:rPr>
        <w:t>第十条</w:t>
      </w:r>
      <w:r>
        <w:rPr>
          <w:rFonts w:hint="eastAsia" w:ascii="宋体" w:hAnsi="宋体"/>
          <w:kern w:val="44"/>
        </w:rPr>
        <w:t>　纳税人应当持契税完税凭证或者减、免税证明和其他规定的文件材料，依法到房屋土地管理部门办理有关土地、房屋的权属变更登记手续；对未出具完税凭证或者减、免税证明的，房屋土地管理部门不予办理有关变更登记手续。</w:t>
      </w:r>
    </w:p>
    <w:p w14:paraId="58252FD9">
      <w:pPr>
        <w:ind w:firstLine="422"/>
        <w:jc w:val="left"/>
        <w:rPr>
          <w:rFonts w:ascii="宋体" w:hAnsi="宋体"/>
          <w:kern w:val="44"/>
        </w:rPr>
      </w:pPr>
      <w:r>
        <w:rPr>
          <w:rFonts w:hint="eastAsia" w:ascii="宋体" w:hAnsi="宋体"/>
          <w:b/>
          <w:kern w:val="44"/>
        </w:rPr>
        <w:t>第十一条</w:t>
      </w:r>
      <w:r>
        <w:rPr>
          <w:rFonts w:hint="eastAsia" w:ascii="宋体" w:hAnsi="宋体"/>
          <w:kern w:val="44"/>
        </w:rPr>
        <w:t>　纳税人已缴纳契税，但土地、房屋权属转移未能实现的，经契税征收机关批准，可准予退税。</w:t>
      </w:r>
    </w:p>
    <w:p w14:paraId="008566A1">
      <w:pPr>
        <w:ind w:firstLine="422"/>
        <w:jc w:val="left"/>
        <w:rPr>
          <w:rFonts w:ascii="宋体" w:hAnsi="宋体"/>
          <w:kern w:val="44"/>
        </w:rPr>
      </w:pPr>
      <w:r>
        <w:rPr>
          <w:rFonts w:hint="eastAsia" w:ascii="宋体" w:hAnsi="宋体"/>
          <w:b/>
          <w:kern w:val="44"/>
        </w:rPr>
        <w:t>第十二条</w:t>
      </w:r>
      <w:r>
        <w:rPr>
          <w:rFonts w:hint="eastAsia" w:ascii="宋体" w:hAnsi="宋体"/>
          <w:kern w:val="44"/>
        </w:rPr>
        <w:t>　根据征收管理的需要，契税征收机关可以委托有关单位代扣代缴和代征契税。具体办法由市地方税务局制定。</w:t>
      </w:r>
    </w:p>
    <w:p w14:paraId="1B14F5E6">
      <w:pPr>
        <w:ind w:firstLine="422"/>
        <w:jc w:val="left"/>
        <w:rPr>
          <w:rFonts w:ascii="宋体" w:hAnsi="宋体"/>
          <w:kern w:val="44"/>
        </w:rPr>
      </w:pPr>
      <w:r>
        <w:rPr>
          <w:rFonts w:hint="eastAsia" w:ascii="宋体" w:hAnsi="宋体"/>
          <w:b/>
          <w:kern w:val="44"/>
        </w:rPr>
        <w:t>第十三条</w:t>
      </w:r>
      <w:r>
        <w:rPr>
          <w:rFonts w:hint="eastAsia" w:ascii="宋体" w:hAnsi="宋体"/>
          <w:kern w:val="44"/>
        </w:rPr>
        <w:t>　本市契税的征收管理，依照《条例》及其细则、本规定和其他有关法律、行政法规的规定执行。</w:t>
      </w:r>
    </w:p>
    <w:p w14:paraId="44793862">
      <w:pPr>
        <w:ind w:firstLine="422"/>
        <w:jc w:val="left"/>
        <w:rPr>
          <w:rFonts w:ascii="宋体" w:hAnsi="宋体"/>
          <w:kern w:val="44"/>
        </w:rPr>
      </w:pPr>
      <w:r>
        <w:rPr>
          <w:rFonts w:hint="eastAsia" w:ascii="宋体" w:hAnsi="宋体"/>
          <w:b/>
          <w:kern w:val="44"/>
        </w:rPr>
        <w:t>第十四条</w:t>
      </w:r>
      <w:r>
        <w:rPr>
          <w:rFonts w:hint="eastAsia" w:ascii="宋体" w:hAnsi="宋体"/>
          <w:kern w:val="44"/>
        </w:rPr>
        <w:t>　对在《条例》实施之前签订土地、房屋权属转移合同的，契税征收办法按照原有关于契税的政策规定执行。</w:t>
      </w:r>
    </w:p>
    <w:p w14:paraId="4341C72F">
      <w:pPr>
        <w:ind w:firstLine="422"/>
        <w:jc w:val="left"/>
        <w:rPr>
          <w:rFonts w:ascii="宋体" w:hAnsi="宋体"/>
          <w:kern w:val="44"/>
        </w:rPr>
      </w:pPr>
      <w:r>
        <w:rPr>
          <w:rFonts w:hint="eastAsia" w:ascii="宋体" w:hAnsi="宋体"/>
          <w:b/>
          <w:kern w:val="44"/>
        </w:rPr>
        <w:t>第十五条</w:t>
      </w:r>
      <w:r>
        <w:rPr>
          <w:rFonts w:hint="eastAsia" w:ascii="宋体" w:hAnsi="宋体"/>
          <w:kern w:val="44"/>
        </w:rPr>
        <w:t>　本规定执行中的具体问题，由市财政局和市地方税务局负责解释。</w:t>
      </w:r>
    </w:p>
    <w:p w14:paraId="0F141AAA">
      <w:pPr>
        <w:ind w:firstLine="422"/>
        <w:jc w:val="left"/>
        <w:rPr>
          <w:rFonts w:ascii="宋体" w:hAnsi="宋体"/>
          <w:kern w:val="44"/>
        </w:rPr>
      </w:pPr>
      <w:r>
        <w:rPr>
          <w:rFonts w:hint="eastAsia" w:ascii="宋体" w:hAnsi="宋体"/>
          <w:b/>
          <w:kern w:val="44"/>
        </w:rPr>
        <w:t>第十六条</w:t>
      </w:r>
      <w:r>
        <w:rPr>
          <w:rFonts w:hint="eastAsia" w:ascii="宋体" w:hAnsi="宋体"/>
          <w:kern w:val="44"/>
        </w:rPr>
        <w:t>　本规定自发布之日起施行。市人民政府1992年5月30日发布、1997年12月31日修订的《北京市城镇居民购买商品住宅楼房管理办法》第八条中有关契税的规定同时停止执行。</w:t>
      </w:r>
    </w:p>
    <w:p w14:paraId="3646721B">
      <w:pPr>
        <w:pStyle w:val="4"/>
        <w:pageBreakBefore/>
        <w:rPr>
          <w:kern w:val="44"/>
        </w:rPr>
      </w:pPr>
      <w:bookmarkStart w:id="517" w:name="_Toc422471157"/>
      <w:bookmarkStart w:id="518" w:name="_Toc427651464"/>
      <w:bookmarkStart w:id="519" w:name="_Toc428781512"/>
      <w:bookmarkStart w:id="520" w:name="_Toc428780030"/>
      <w:bookmarkStart w:id="521" w:name="_Toc427651806"/>
      <w:r>
        <w:rPr>
          <w:rFonts w:hint="eastAsia"/>
          <w:kern w:val="44"/>
        </w:rPr>
        <w:t>北京市实施《中华人民共和国</w:t>
      </w:r>
      <w:bookmarkEnd w:id="517"/>
      <w:bookmarkEnd w:id="518"/>
      <w:bookmarkEnd w:id="519"/>
      <w:bookmarkEnd w:id="520"/>
      <w:bookmarkEnd w:id="521"/>
    </w:p>
    <w:p w14:paraId="5AA5CFB7">
      <w:pPr>
        <w:pStyle w:val="4"/>
        <w:rPr>
          <w:kern w:val="44"/>
        </w:rPr>
      </w:pPr>
      <w:bookmarkStart w:id="522" w:name="_Toc428781513"/>
      <w:bookmarkStart w:id="523" w:name="_Toc427651465"/>
      <w:bookmarkStart w:id="524" w:name="_Toc427651807"/>
      <w:bookmarkStart w:id="525" w:name="_Toc422471158"/>
      <w:bookmarkStart w:id="526" w:name="_Toc428780031"/>
      <w:r>
        <w:rPr>
          <w:rFonts w:hint="eastAsia"/>
          <w:kern w:val="44"/>
        </w:rPr>
        <w:t>耕地占用税暂行条例》办法</w:t>
      </w:r>
      <w:bookmarkEnd w:id="522"/>
      <w:bookmarkEnd w:id="523"/>
      <w:bookmarkEnd w:id="524"/>
      <w:bookmarkEnd w:id="525"/>
      <w:bookmarkEnd w:id="526"/>
    </w:p>
    <w:p w14:paraId="477605FB">
      <w:pPr>
        <w:ind w:left="630" w:leftChars="300" w:right="630" w:rightChars="300"/>
        <w:jc w:val="left"/>
        <w:rPr>
          <w:rFonts w:ascii="楷体" w:hAnsi="楷体" w:eastAsia="楷体"/>
          <w:kern w:val="44"/>
        </w:rPr>
      </w:pPr>
      <w:r>
        <w:rPr>
          <w:rFonts w:hint="eastAsia" w:ascii="楷体" w:hAnsi="楷体" w:eastAsia="楷体"/>
          <w:kern w:val="44"/>
        </w:rPr>
        <w:t>（2009年1月20日北京市人民政府第26次常务会议通过　2009年2月2日北京市人民政府第210号令公布）</w:t>
      </w:r>
    </w:p>
    <w:p w14:paraId="510B25C2">
      <w:pPr>
        <w:ind w:left="630" w:leftChars="300" w:right="630" w:rightChars="300"/>
        <w:jc w:val="left"/>
        <w:rPr>
          <w:rFonts w:ascii="楷体" w:hAnsi="楷体" w:eastAsia="楷体"/>
          <w:kern w:val="44"/>
        </w:rPr>
      </w:pPr>
    </w:p>
    <w:p w14:paraId="33A3657A">
      <w:pPr>
        <w:ind w:firstLine="422"/>
        <w:jc w:val="left"/>
        <w:rPr>
          <w:rFonts w:ascii="宋体" w:hAnsi="宋体"/>
          <w:kern w:val="44"/>
        </w:rPr>
      </w:pPr>
      <w:r>
        <w:rPr>
          <w:rFonts w:hint="eastAsia" w:ascii="宋体" w:hAnsi="宋体"/>
          <w:b/>
          <w:kern w:val="44"/>
        </w:rPr>
        <w:t>第一条</w:t>
      </w:r>
      <w:r>
        <w:rPr>
          <w:rFonts w:hint="eastAsia" w:ascii="宋体" w:hAnsi="宋体"/>
          <w:kern w:val="44"/>
        </w:rPr>
        <w:t>　根据《中华人民共和国耕地占用税暂行条例》（以下简称《条例》），结合本市实际情况，制定本办法。</w:t>
      </w:r>
    </w:p>
    <w:p w14:paraId="3DB85626">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在本市行政区域内占用耕地建房或者从事非农业建设的单位和个人，应当按照《条例》及其实施细则和本办法的规定缴纳耕地占用税。</w:t>
      </w:r>
    </w:p>
    <w:p w14:paraId="3F2817BA">
      <w:pPr>
        <w:ind w:firstLine="422"/>
        <w:jc w:val="left"/>
        <w:rPr>
          <w:rFonts w:ascii="宋体" w:hAnsi="宋体"/>
          <w:kern w:val="44"/>
        </w:rPr>
      </w:pPr>
      <w:r>
        <w:rPr>
          <w:rFonts w:hint="eastAsia" w:ascii="宋体" w:hAnsi="宋体"/>
          <w:b/>
          <w:kern w:val="44"/>
        </w:rPr>
        <w:t>第三条</w:t>
      </w:r>
      <w:r>
        <w:rPr>
          <w:rFonts w:hint="eastAsia" w:ascii="宋体" w:hAnsi="宋体"/>
          <w:kern w:val="44"/>
        </w:rPr>
        <w:t>　耕地占用税的税额规定如下：</w:t>
      </w:r>
    </w:p>
    <w:p w14:paraId="09A51730">
      <w:pPr>
        <w:jc w:val="left"/>
        <w:rPr>
          <w:rFonts w:ascii="宋体" w:hAnsi="宋体"/>
          <w:kern w:val="44"/>
        </w:rPr>
      </w:pPr>
      <w:r>
        <w:rPr>
          <w:rFonts w:hint="eastAsia" w:ascii="宋体" w:hAnsi="宋体"/>
          <w:kern w:val="44"/>
        </w:rPr>
        <w:t>（一）朝阳区、海淀区、丰台区、石景山区为每平方米45元；</w:t>
      </w:r>
    </w:p>
    <w:p w14:paraId="6502017D">
      <w:pPr>
        <w:jc w:val="left"/>
        <w:rPr>
          <w:rFonts w:ascii="宋体" w:hAnsi="宋体"/>
          <w:kern w:val="44"/>
        </w:rPr>
      </w:pPr>
      <w:r>
        <w:rPr>
          <w:rFonts w:hint="eastAsia" w:ascii="宋体" w:hAnsi="宋体"/>
          <w:kern w:val="44"/>
        </w:rPr>
        <w:t>（二）门头沟区、房山区、昌平区、怀柔区、平谷区为每平方米42元；</w:t>
      </w:r>
    </w:p>
    <w:p w14:paraId="6F12686C">
      <w:pPr>
        <w:jc w:val="left"/>
        <w:rPr>
          <w:rFonts w:ascii="宋体" w:hAnsi="宋体"/>
          <w:kern w:val="44"/>
        </w:rPr>
      </w:pPr>
      <w:r>
        <w:rPr>
          <w:rFonts w:hint="eastAsia" w:ascii="宋体" w:hAnsi="宋体"/>
          <w:kern w:val="44"/>
        </w:rPr>
        <w:t>（三）大兴区、通州区、顺义区、密云县为每平方米40元；</w:t>
      </w:r>
    </w:p>
    <w:p w14:paraId="3BA72D5F">
      <w:pPr>
        <w:jc w:val="left"/>
        <w:rPr>
          <w:rFonts w:ascii="宋体" w:hAnsi="宋体"/>
          <w:kern w:val="44"/>
        </w:rPr>
      </w:pPr>
      <w:r>
        <w:rPr>
          <w:rFonts w:hint="eastAsia" w:ascii="宋体" w:hAnsi="宋体"/>
          <w:kern w:val="44"/>
        </w:rPr>
        <w:t>（四）延庆县为每平方米35元。</w:t>
      </w:r>
    </w:p>
    <w:p w14:paraId="15289832">
      <w:pPr>
        <w:ind w:firstLine="422"/>
        <w:jc w:val="left"/>
        <w:rPr>
          <w:rFonts w:ascii="宋体" w:hAnsi="宋体"/>
          <w:kern w:val="44"/>
        </w:rPr>
      </w:pPr>
      <w:r>
        <w:rPr>
          <w:rFonts w:hint="eastAsia" w:ascii="宋体" w:hAnsi="宋体"/>
          <w:b/>
          <w:kern w:val="44"/>
        </w:rPr>
        <w:t>第四条</w:t>
      </w:r>
      <w:r>
        <w:rPr>
          <w:rFonts w:hint="eastAsia" w:ascii="宋体" w:hAnsi="宋体"/>
          <w:kern w:val="44"/>
        </w:rPr>
        <w:t>　占用基本农田的，适用税额在本办法第三条规定的当地适用税额的基础上提高50％。</w:t>
      </w:r>
    </w:p>
    <w:p w14:paraId="0B05E61E">
      <w:pPr>
        <w:ind w:firstLine="422"/>
        <w:jc w:val="left"/>
        <w:rPr>
          <w:rFonts w:ascii="宋体" w:hAnsi="宋体"/>
          <w:kern w:val="44"/>
        </w:rPr>
      </w:pPr>
      <w:r>
        <w:rPr>
          <w:rFonts w:hint="eastAsia" w:ascii="宋体" w:hAnsi="宋体"/>
          <w:b/>
          <w:kern w:val="44"/>
        </w:rPr>
        <w:t>第五条</w:t>
      </w:r>
      <w:r>
        <w:rPr>
          <w:rFonts w:hint="eastAsia" w:ascii="宋体" w:hAnsi="宋体"/>
          <w:kern w:val="44"/>
        </w:rPr>
        <w:t>　占用园地、林地、牧草地、农田水利用地、养殖水面以及渔业水域滩涂等其他农用地建房或者从事非农业建设的，适用税额按照本办法第三条规定执行。</w:t>
      </w:r>
    </w:p>
    <w:p w14:paraId="24D62DF6">
      <w:pPr>
        <w:ind w:firstLine="422"/>
        <w:jc w:val="left"/>
        <w:rPr>
          <w:rFonts w:ascii="宋体" w:hAnsi="宋体"/>
          <w:kern w:val="44"/>
        </w:rPr>
      </w:pPr>
      <w:r>
        <w:rPr>
          <w:rFonts w:hint="eastAsia" w:ascii="宋体" w:hAnsi="宋体"/>
          <w:b/>
          <w:kern w:val="44"/>
        </w:rPr>
        <w:t>第六条</w:t>
      </w:r>
      <w:r>
        <w:rPr>
          <w:rFonts w:hint="eastAsia" w:ascii="宋体" w:hAnsi="宋体"/>
          <w:kern w:val="44"/>
        </w:rPr>
        <w:t>　农村烈士家属、残疾军人、鳏寡孤独以及革命老根据地、少数民族聚居区和边远贫困山区生活困难的农村居民，在规定用地标准以内新建住宅缴纳耕地占用税确有困难的，可以向所在地乡（镇）人民政府提出申请，经审核，报经区（县）人民政府批准后，免征耕地占用税。</w:t>
      </w:r>
    </w:p>
    <w:p w14:paraId="3FDDCC7F">
      <w:pPr>
        <w:jc w:val="left"/>
        <w:rPr>
          <w:rFonts w:ascii="宋体" w:hAnsi="宋体"/>
          <w:kern w:val="44"/>
        </w:rPr>
      </w:pPr>
      <w:r>
        <w:rPr>
          <w:rFonts w:hint="eastAsia" w:ascii="宋体" w:hAnsi="宋体"/>
          <w:kern w:val="44"/>
        </w:rPr>
        <w:t>前款所称民族聚居区是指民族乡、民族村；生活困难的农村居民是指享受区（县）农村最低生活保障的农村居民。</w:t>
      </w:r>
    </w:p>
    <w:p w14:paraId="6E556D18">
      <w:pPr>
        <w:ind w:firstLine="422"/>
        <w:jc w:val="left"/>
        <w:rPr>
          <w:rFonts w:ascii="宋体" w:hAnsi="宋体"/>
          <w:kern w:val="44"/>
        </w:rPr>
      </w:pPr>
      <w:r>
        <w:rPr>
          <w:rFonts w:hint="eastAsia" w:ascii="宋体" w:hAnsi="宋体"/>
          <w:b/>
          <w:kern w:val="44"/>
        </w:rPr>
        <w:t>第七条</w:t>
      </w:r>
      <w:r>
        <w:rPr>
          <w:rFonts w:hint="eastAsia" w:ascii="宋体" w:hAnsi="宋体"/>
          <w:kern w:val="44"/>
        </w:rPr>
        <w:t>　纳税人应当向耕地或者其他农用地所在地的地方税务机关申报纳税。</w:t>
      </w:r>
    </w:p>
    <w:p w14:paraId="716A533F">
      <w:pPr>
        <w:ind w:firstLine="422"/>
        <w:jc w:val="left"/>
        <w:rPr>
          <w:rFonts w:ascii="宋体" w:hAnsi="宋体"/>
          <w:kern w:val="44"/>
        </w:rPr>
      </w:pPr>
      <w:r>
        <w:rPr>
          <w:rFonts w:hint="eastAsia" w:ascii="宋体" w:hAnsi="宋体"/>
          <w:b/>
          <w:kern w:val="44"/>
        </w:rPr>
        <w:t>第八条</w:t>
      </w:r>
      <w:r>
        <w:rPr>
          <w:rFonts w:hint="eastAsia" w:ascii="宋体" w:hAnsi="宋体"/>
          <w:kern w:val="44"/>
        </w:rPr>
        <w:t>　土地管理部门凭纳税人的完税凭证或者减免税凭证和其他有关证明文件发放建设用地批准书。</w:t>
      </w:r>
    </w:p>
    <w:p w14:paraId="6C5EA460">
      <w:pPr>
        <w:ind w:firstLine="422"/>
        <w:jc w:val="left"/>
        <w:rPr>
          <w:rFonts w:ascii="宋体" w:hAnsi="宋体"/>
          <w:kern w:val="44"/>
        </w:rPr>
      </w:pPr>
      <w:r>
        <w:rPr>
          <w:rFonts w:hint="eastAsia" w:ascii="宋体" w:hAnsi="宋体"/>
          <w:b/>
          <w:kern w:val="44"/>
        </w:rPr>
        <w:t>第九条</w:t>
      </w:r>
      <w:r>
        <w:rPr>
          <w:rFonts w:hint="eastAsia" w:ascii="宋体" w:hAnsi="宋体"/>
          <w:kern w:val="44"/>
        </w:rPr>
        <w:t>　耕地占用税的征收管理，按照《中华人民共和国税收征收管理法》、《中华人民共和国税收征收管理法实施细则》和本市有关规定执行。</w:t>
      </w:r>
    </w:p>
    <w:p w14:paraId="70F52BD5">
      <w:pPr>
        <w:ind w:firstLine="422"/>
        <w:jc w:val="left"/>
        <w:rPr>
          <w:rFonts w:ascii="宋体" w:hAnsi="宋体"/>
          <w:kern w:val="44"/>
        </w:rPr>
      </w:pPr>
      <w:r>
        <w:rPr>
          <w:rFonts w:hint="eastAsia" w:ascii="宋体" w:hAnsi="宋体"/>
          <w:b/>
          <w:kern w:val="44"/>
        </w:rPr>
        <w:t>第十条</w:t>
      </w:r>
      <w:r>
        <w:rPr>
          <w:rFonts w:hint="eastAsia" w:ascii="宋体" w:hAnsi="宋体"/>
          <w:kern w:val="44"/>
        </w:rPr>
        <w:t>　本办法自公布之日起施行。1987年7月23日公布的《北京市实施〈中华人民共和国耕地占用税暂行条例〉的办法》同时废止。</w:t>
      </w:r>
    </w:p>
    <w:p w14:paraId="673E8612">
      <w:pPr>
        <w:pStyle w:val="3"/>
        <w:pageBreakBefore/>
        <w:rPr>
          <w:kern w:val="44"/>
        </w:rPr>
      </w:pPr>
      <w:bookmarkStart w:id="527" w:name="_Toc427651808"/>
      <w:bookmarkStart w:id="528" w:name="_Toc428780032"/>
      <w:bookmarkStart w:id="529" w:name="_Toc427651466"/>
      <w:bookmarkStart w:id="530" w:name="_Toc428781514"/>
      <w:bookmarkStart w:id="531" w:name="_Toc422471159"/>
      <w:r>
        <w:rPr>
          <w:rFonts w:hint="eastAsia"/>
          <w:kern w:val="44"/>
        </w:rPr>
        <w:t>（三）交通运输</w:t>
      </w:r>
      <w:bookmarkEnd w:id="527"/>
      <w:bookmarkEnd w:id="528"/>
      <w:bookmarkEnd w:id="529"/>
      <w:bookmarkEnd w:id="530"/>
      <w:bookmarkEnd w:id="531"/>
    </w:p>
    <w:p w14:paraId="678B6FC4"/>
    <w:p w14:paraId="0782D196">
      <w:pPr>
        <w:pStyle w:val="4"/>
        <w:rPr>
          <w:kern w:val="44"/>
        </w:rPr>
      </w:pPr>
      <w:bookmarkStart w:id="532" w:name="_Toc428781515"/>
      <w:bookmarkStart w:id="533" w:name="_Toc428780033"/>
      <w:bookmarkStart w:id="534" w:name="_Toc422471160"/>
      <w:bookmarkStart w:id="535" w:name="_Toc427651467"/>
      <w:bookmarkStart w:id="536" w:name="_Toc427651809"/>
      <w:r>
        <w:rPr>
          <w:rFonts w:hint="eastAsia"/>
          <w:kern w:val="44"/>
        </w:rPr>
        <w:t>北京市出租汽车管理条例</w:t>
      </w:r>
      <w:bookmarkEnd w:id="532"/>
      <w:bookmarkEnd w:id="533"/>
      <w:bookmarkEnd w:id="534"/>
      <w:bookmarkEnd w:id="535"/>
      <w:bookmarkEnd w:id="536"/>
    </w:p>
    <w:p w14:paraId="1035B945">
      <w:pPr>
        <w:ind w:left="630" w:leftChars="300" w:right="630" w:rightChars="300"/>
        <w:jc w:val="left"/>
        <w:rPr>
          <w:rFonts w:ascii="楷体" w:hAnsi="楷体" w:eastAsia="楷体"/>
          <w:kern w:val="44"/>
        </w:rPr>
      </w:pPr>
      <w:r>
        <w:rPr>
          <w:rFonts w:hint="eastAsia" w:ascii="楷体" w:hAnsi="楷体" w:eastAsia="楷体"/>
          <w:kern w:val="44"/>
        </w:rPr>
        <w:t>（1997年10月16日北京市第十届人民代表大会常务委员会第四十次会议通过　根据2001年5月18日北京市第十一届人民代表大会常务委员会第二十六次会议通过的《北京市出租汽车管理条例修正案》第一次修正　根据2002年3月29日北京市第十一届人民代表大会常务委员会第三十三次会议通过的《北京市出租汽车管理条例修正案》第二次修正）</w:t>
      </w:r>
    </w:p>
    <w:p w14:paraId="32DD6183">
      <w:pPr>
        <w:ind w:left="630" w:leftChars="300" w:right="630" w:rightChars="300"/>
        <w:jc w:val="left"/>
        <w:rPr>
          <w:rFonts w:ascii="楷体" w:hAnsi="楷体" w:eastAsia="楷体"/>
          <w:kern w:val="44"/>
        </w:rPr>
      </w:pPr>
    </w:p>
    <w:p w14:paraId="77C31DBE">
      <w:pPr>
        <w:ind w:firstLine="0" w:firstLineChars="0"/>
        <w:jc w:val="center"/>
        <w:rPr>
          <w:rFonts w:ascii="宋体" w:hAnsi="宋体"/>
          <w:b/>
          <w:kern w:val="44"/>
          <w:sz w:val="28"/>
        </w:rPr>
      </w:pPr>
      <w:r>
        <w:rPr>
          <w:rFonts w:hint="eastAsia" w:ascii="宋体" w:hAnsi="宋体"/>
          <w:b/>
          <w:kern w:val="44"/>
          <w:sz w:val="28"/>
        </w:rPr>
        <w:t>第一章　总　则</w:t>
      </w:r>
    </w:p>
    <w:p w14:paraId="2288C507">
      <w:pPr>
        <w:ind w:firstLine="0" w:firstLineChars="0"/>
        <w:jc w:val="center"/>
        <w:rPr>
          <w:rFonts w:ascii="宋体" w:hAnsi="宋体"/>
          <w:b/>
          <w:kern w:val="44"/>
          <w:sz w:val="28"/>
        </w:rPr>
      </w:pPr>
    </w:p>
    <w:p w14:paraId="3F50BCC7">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为了加强本市出租汽车管理，提高出租汽车服务水平，维护出租汽车的正常营运秩序，保障出租汽车乘客、经营者以及从业人员的合法权益，适应城市经济发展和人民生活的需要，制定本条例。</w:t>
      </w:r>
    </w:p>
    <w:p w14:paraId="0E48DD62">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本市行政区域内的出租汽车经营者、驾驶员、乘务员、设立出租汽车营业站的单位、调度员和出租汽车乘客以及出租汽车管理部门，均应当遵守本条例。</w:t>
      </w:r>
    </w:p>
    <w:p w14:paraId="7AD6726D">
      <w:pPr>
        <w:jc w:val="left"/>
        <w:rPr>
          <w:rFonts w:ascii="宋体" w:hAnsi="宋体"/>
          <w:kern w:val="44"/>
        </w:rPr>
      </w:pPr>
      <w:r>
        <w:rPr>
          <w:rFonts w:hint="eastAsia" w:ascii="宋体" w:hAnsi="宋体"/>
          <w:kern w:val="44"/>
        </w:rPr>
        <w:t>本条例所称出租汽车（含旅游客运汽车）是指按照乘客意愿提供运送服务并按行驶里程和时间收费的客车。</w:t>
      </w:r>
    </w:p>
    <w:p w14:paraId="36FA0316">
      <w:pPr>
        <w:ind w:firstLine="422"/>
        <w:jc w:val="left"/>
        <w:rPr>
          <w:rFonts w:ascii="宋体" w:hAnsi="宋体"/>
          <w:kern w:val="44"/>
        </w:rPr>
      </w:pPr>
      <w:r>
        <w:rPr>
          <w:rFonts w:hint="eastAsia" w:ascii="宋体" w:hAnsi="宋体"/>
          <w:b/>
          <w:kern w:val="44"/>
        </w:rPr>
        <w:t>第三条</w:t>
      </w:r>
      <w:r>
        <w:rPr>
          <w:rFonts w:hint="eastAsia" w:ascii="宋体" w:hAnsi="宋体"/>
          <w:kern w:val="44"/>
        </w:rPr>
        <w:t>　市交通行政主管部门主管本市出租汽车管理工作，负责本条例的组织实施。市交通行政主管部门所属的市区管理处和郊区县交通行政主管部门负责本行政区域内出租汽车的日常管理工作。</w:t>
      </w:r>
    </w:p>
    <w:p w14:paraId="1A2C55E3">
      <w:pPr>
        <w:jc w:val="left"/>
        <w:rPr>
          <w:rFonts w:ascii="宋体" w:hAnsi="宋体"/>
          <w:kern w:val="44"/>
        </w:rPr>
      </w:pPr>
      <w:r>
        <w:rPr>
          <w:rFonts w:hint="eastAsia" w:ascii="宋体" w:hAnsi="宋体"/>
          <w:kern w:val="44"/>
        </w:rPr>
        <w:t>工商行政、税务、物价、劳动、公安、公安交通、技术监督、旅游等管理机关，按照各自的职责，依法对出租汽车进行管理。</w:t>
      </w:r>
    </w:p>
    <w:p w14:paraId="47741C16">
      <w:pPr>
        <w:ind w:firstLine="422"/>
        <w:jc w:val="left"/>
        <w:rPr>
          <w:rFonts w:ascii="宋体" w:hAnsi="宋体"/>
          <w:kern w:val="44"/>
        </w:rPr>
      </w:pPr>
      <w:r>
        <w:rPr>
          <w:rFonts w:hint="eastAsia" w:ascii="宋体" w:hAnsi="宋体"/>
          <w:b/>
          <w:kern w:val="44"/>
        </w:rPr>
        <w:t>第四条</w:t>
      </w:r>
      <w:r>
        <w:rPr>
          <w:rFonts w:hint="eastAsia" w:ascii="宋体" w:hAnsi="宋体"/>
          <w:kern w:val="44"/>
        </w:rPr>
        <w:t>　本市出租汽车行业的发展和管理应当遵循统一管理、协调发展、公平竞争、方便群众的原则。</w:t>
      </w:r>
    </w:p>
    <w:p w14:paraId="715FD53B">
      <w:pPr>
        <w:ind w:firstLine="422"/>
        <w:jc w:val="left"/>
        <w:rPr>
          <w:rFonts w:ascii="宋体" w:hAnsi="宋体"/>
          <w:kern w:val="44"/>
        </w:rPr>
      </w:pPr>
      <w:r>
        <w:rPr>
          <w:rFonts w:hint="eastAsia" w:ascii="宋体" w:hAnsi="宋体"/>
          <w:b/>
          <w:kern w:val="44"/>
        </w:rPr>
        <w:t>第五条</w:t>
      </w:r>
      <w:r>
        <w:rPr>
          <w:rFonts w:hint="eastAsia" w:ascii="宋体" w:hAnsi="宋体"/>
          <w:kern w:val="44"/>
        </w:rPr>
        <w:t>　市交通行政主管部门应当根据北京城市总体规划的要求，编制本市出租汽车发展规划和年度发展计划，并报市人民政府批准后实施。</w:t>
      </w:r>
    </w:p>
    <w:p w14:paraId="5C4E8691">
      <w:pPr>
        <w:ind w:firstLine="422"/>
        <w:jc w:val="left"/>
        <w:rPr>
          <w:rFonts w:ascii="宋体" w:hAnsi="宋体"/>
          <w:kern w:val="44"/>
        </w:rPr>
      </w:pPr>
      <w:r>
        <w:rPr>
          <w:rFonts w:hint="eastAsia" w:ascii="宋体" w:hAnsi="宋体"/>
          <w:b/>
          <w:kern w:val="44"/>
        </w:rPr>
        <w:t>第六条</w:t>
      </w:r>
      <w:r>
        <w:rPr>
          <w:rFonts w:hint="eastAsia" w:ascii="宋体" w:hAnsi="宋体"/>
          <w:kern w:val="44"/>
        </w:rPr>
        <w:t>　本市鼓励和支持出租汽车管理的科学技术研究，积极推广先进技术和设备的使用，提高出租汽车科学管理水平。</w:t>
      </w:r>
    </w:p>
    <w:p w14:paraId="01C54E53">
      <w:pPr>
        <w:ind w:firstLine="422"/>
        <w:jc w:val="left"/>
        <w:rPr>
          <w:rFonts w:ascii="宋体" w:hAnsi="宋体"/>
          <w:kern w:val="44"/>
        </w:rPr>
      </w:pPr>
      <w:r>
        <w:rPr>
          <w:rFonts w:hint="eastAsia" w:ascii="宋体" w:hAnsi="宋体"/>
          <w:b/>
          <w:kern w:val="44"/>
        </w:rPr>
        <w:t>第七条</w:t>
      </w:r>
      <w:r>
        <w:rPr>
          <w:rFonts w:hint="eastAsia" w:ascii="宋体" w:hAnsi="宋体"/>
          <w:kern w:val="44"/>
        </w:rPr>
        <w:t>　本市出租汽车经营者以及从业人员，应当依法经营，文明服务。</w:t>
      </w:r>
    </w:p>
    <w:p w14:paraId="161D8750">
      <w:pPr>
        <w:jc w:val="left"/>
        <w:rPr>
          <w:rFonts w:ascii="宋体" w:hAnsi="宋体"/>
          <w:kern w:val="44"/>
        </w:rPr>
      </w:pPr>
      <w:r>
        <w:rPr>
          <w:rFonts w:hint="eastAsia" w:ascii="宋体" w:hAnsi="宋体"/>
          <w:kern w:val="44"/>
        </w:rPr>
        <w:t>对经营管理、营运服务成绩显著和拾金不昧、救死扶伤、见义勇为等方面事迹突出的，由市交通行政主管部门给予表彰和奖励。</w:t>
      </w:r>
    </w:p>
    <w:p w14:paraId="6ECF0556">
      <w:pPr>
        <w:spacing w:line="300" w:lineRule="exact"/>
        <w:jc w:val="left"/>
        <w:rPr>
          <w:rFonts w:ascii="宋体" w:hAnsi="宋体"/>
          <w:kern w:val="44"/>
        </w:rPr>
      </w:pPr>
    </w:p>
    <w:p w14:paraId="0C9EE250">
      <w:pPr>
        <w:ind w:firstLine="0" w:firstLineChars="0"/>
        <w:jc w:val="center"/>
        <w:rPr>
          <w:rFonts w:ascii="宋体" w:hAnsi="宋体"/>
          <w:b/>
          <w:kern w:val="44"/>
          <w:sz w:val="28"/>
        </w:rPr>
      </w:pPr>
      <w:r>
        <w:rPr>
          <w:rFonts w:hint="eastAsia" w:ascii="宋体" w:hAnsi="宋体"/>
          <w:b/>
          <w:kern w:val="44"/>
          <w:sz w:val="28"/>
        </w:rPr>
        <w:t>第二章　经营资质管理</w:t>
      </w:r>
    </w:p>
    <w:p w14:paraId="30A45D69">
      <w:pPr>
        <w:spacing w:line="300" w:lineRule="exact"/>
        <w:jc w:val="left"/>
        <w:rPr>
          <w:rFonts w:ascii="宋体" w:hAnsi="宋体"/>
          <w:kern w:val="44"/>
        </w:rPr>
      </w:pPr>
    </w:p>
    <w:p w14:paraId="081333EB">
      <w:pPr>
        <w:ind w:firstLine="422"/>
        <w:jc w:val="left"/>
        <w:rPr>
          <w:rFonts w:ascii="宋体" w:hAnsi="宋体"/>
          <w:kern w:val="44"/>
        </w:rPr>
      </w:pPr>
      <w:r>
        <w:rPr>
          <w:rFonts w:hint="eastAsia" w:ascii="宋体" w:hAnsi="宋体"/>
          <w:b/>
          <w:kern w:val="44"/>
        </w:rPr>
        <w:t>第八条</w:t>
      </w:r>
      <w:r>
        <w:rPr>
          <w:rFonts w:hint="eastAsia" w:ascii="宋体" w:hAnsi="宋体"/>
          <w:kern w:val="44"/>
        </w:rPr>
        <w:t>　出租汽车经营者应当具备下列条件：</w:t>
      </w:r>
    </w:p>
    <w:p w14:paraId="3D408770">
      <w:pPr>
        <w:jc w:val="left"/>
        <w:rPr>
          <w:rFonts w:ascii="宋体" w:hAnsi="宋体"/>
          <w:kern w:val="44"/>
        </w:rPr>
      </w:pPr>
      <w:r>
        <w:rPr>
          <w:rFonts w:hint="eastAsia" w:ascii="宋体" w:hAnsi="宋体"/>
          <w:kern w:val="44"/>
        </w:rPr>
        <w:t>（一）有经检验合格的并符合规定数量的车辆；</w:t>
      </w:r>
    </w:p>
    <w:p w14:paraId="3946D139">
      <w:pPr>
        <w:jc w:val="left"/>
        <w:rPr>
          <w:rFonts w:ascii="宋体" w:hAnsi="宋体"/>
          <w:kern w:val="44"/>
        </w:rPr>
      </w:pPr>
      <w:r>
        <w:rPr>
          <w:rFonts w:hint="eastAsia" w:ascii="宋体" w:hAnsi="宋体"/>
          <w:kern w:val="44"/>
        </w:rPr>
        <w:t>（二）有固定的经营场所和相应的车辆停放场地；</w:t>
      </w:r>
    </w:p>
    <w:p w14:paraId="2216F6BB">
      <w:pPr>
        <w:jc w:val="left"/>
        <w:rPr>
          <w:rFonts w:ascii="宋体" w:hAnsi="宋体"/>
          <w:kern w:val="44"/>
        </w:rPr>
      </w:pPr>
      <w:r>
        <w:rPr>
          <w:rFonts w:hint="eastAsia" w:ascii="宋体" w:hAnsi="宋体"/>
          <w:kern w:val="44"/>
        </w:rPr>
        <w:t>（三）有合格的驾驶员，经营旅游客运汽车的还应当有合格的乘务员；</w:t>
      </w:r>
    </w:p>
    <w:p w14:paraId="7DE8E730">
      <w:pPr>
        <w:jc w:val="left"/>
        <w:rPr>
          <w:rFonts w:ascii="宋体" w:hAnsi="宋体"/>
          <w:kern w:val="44"/>
        </w:rPr>
      </w:pPr>
      <w:r>
        <w:rPr>
          <w:rFonts w:hint="eastAsia" w:ascii="宋体" w:hAnsi="宋体"/>
          <w:kern w:val="44"/>
        </w:rPr>
        <w:t>（四）有相应的管理人员和管理制度。</w:t>
      </w:r>
    </w:p>
    <w:p w14:paraId="2A0C4773">
      <w:pPr>
        <w:ind w:firstLine="422"/>
        <w:jc w:val="left"/>
        <w:rPr>
          <w:rFonts w:ascii="宋体" w:hAnsi="宋体"/>
          <w:kern w:val="44"/>
        </w:rPr>
      </w:pPr>
      <w:r>
        <w:rPr>
          <w:rFonts w:hint="eastAsia" w:ascii="宋体" w:hAnsi="宋体"/>
          <w:b/>
          <w:kern w:val="44"/>
        </w:rPr>
        <w:t>第九条</w:t>
      </w:r>
      <w:r>
        <w:rPr>
          <w:rFonts w:hint="eastAsia" w:ascii="宋体" w:hAnsi="宋体"/>
          <w:kern w:val="44"/>
        </w:rPr>
        <w:t>　出租汽车驾驶员应当具备下列条件：</w:t>
      </w:r>
    </w:p>
    <w:p w14:paraId="384DFC9D">
      <w:pPr>
        <w:jc w:val="left"/>
        <w:rPr>
          <w:rFonts w:ascii="宋体" w:hAnsi="宋体"/>
          <w:kern w:val="44"/>
        </w:rPr>
      </w:pPr>
      <w:r>
        <w:rPr>
          <w:rFonts w:hint="eastAsia" w:ascii="宋体" w:hAnsi="宋体"/>
          <w:kern w:val="44"/>
        </w:rPr>
        <w:t>（一）有本市常住户口，男60岁、女50岁以下，身体健康，取得驾驶证3年以上。旅游客运汽车驾驶员还必须连续从事3年以上大、中型客车驾驶工作；</w:t>
      </w:r>
    </w:p>
    <w:p w14:paraId="54854E6B">
      <w:pPr>
        <w:jc w:val="left"/>
        <w:rPr>
          <w:rFonts w:ascii="宋体" w:hAnsi="宋体"/>
          <w:kern w:val="44"/>
        </w:rPr>
      </w:pPr>
      <w:r>
        <w:rPr>
          <w:rFonts w:hint="eastAsia" w:ascii="宋体" w:hAnsi="宋体"/>
          <w:kern w:val="44"/>
        </w:rPr>
        <w:t>（二）遵守法律、法规；</w:t>
      </w:r>
    </w:p>
    <w:p w14:paraId="3C86E13F">
      <w:pPr>
        <w:jc w:val="left"/>
        <w:rPr>
          <w:rFonts w:ascii="宋体" w:hAnsi="宋体"/>
          <w:kern w:val="44"/>
        </w:rPr>
      </w:pPr>
      <w:r>
        <w:rPr>
          <w:rFonts w:hint="eastAsia" w:ascii="宋体" w:hAnsi="宋体"/>
          <w:kern w:val="44"/>
        </w:rPr>
        <w:t>（三）被吊销营运资格证件的，须期满5年以上；</w:t>
      </w:r>
    </w:p>
    <w:p w14:paraId="68168800">
      <w:pPr>
        <w:jc w:val="left"/>
        <w:rPr>
          <w:rFonts w:ascii="宋体" w:hAnsi="宋体"/>
          <w:kern w:val="44"/>
        </w:rPr>
      </w:pPr>
      <w:r>
        <w:rPr>
          <w:rFonts w:hint="eastAsia" w:ascii="宋体" w:hAnsi="宋体"/>
          <w:kern w:val="44"/>
        </w:rPr>
        <w:t>（四）经市交通行政主管部门考核并取得合格证书。</w:t>
      </w:r>
    </w:p>
    <w:p w14:paraId="0D4CC46B">
      <w:pPr>
        <w:ind w:firstLine="422"/>
        <w:jc w:val="left"/>
        <w:rPr>
          <w:rFonts w:ascii="宋体" w:hAnsi="宋体"/>
          <w:kern w:val="44"/>
        </w:rPr>
      </w:pPr>
      <w:r>
        <w:rPr>
          <w:rFonts w:hint="eastAsia" w:ascii="宋体" w:hAnsi="宋体"/>
          <w:b/>
          <w:kern w:val="44"/>
        </w:rPr>
        <w:t>第十条</w:t>
      </w:r>
      <w:r>
        <w:rPr>
          <w:rFonts w:hint="eastAsia" w:ascii="宋体" w:hAnsi="宋体"/>
          <w:kern w:val="44"/>
        </w:rPr>
        <w:t>　申请经营出租汽车的单位和个人应当按照下列规定办理申报审批手续：</w:t>
      </w:r>
    </w:p>
    <w:p w14:paraId="37A7434D">
      <w:pPr>
        <w:jc w:val="left"/>
        <w:rPr>
          <w:rFonts w:ascii="宋体" w:hAnsi="宋体"/>
          <w:kern w:val="44"/>
        </w:rPr>
      </w:pPr>
      <w:r>
        <w:rPr>
          <w:rFonts w:hint="eastAsia" w:ascii="宋体" w:hAnsi="宋体"/>
          <w:kern w:val="44"/>
        </w:rPr>
        <w:t>（一）到工商行政管理机关办理名称预先核准登记。</w:t>
      </w:r>
    </w:p>
    <w:p w14:paraId="0EF28203">
      <w:pPr>
        <w:jc w:val="left"/>
        <w:rPr>
          <w:rFonts w:ascii="宋体" w:hAnsi="宋体"/>
          <w:kern w:val="44"/>
        </w:rPr>
      </w:pPr>
      <w:r>
        <w:rPr>
          <w:rFonts w:hint="eastAsia" w:ascii="宋体" w:hAnsi="宋体"/>
          <w:kern w:val="44"/>
        </w:rPr>
        <w:t>（二）持有关证明向市交通行政主管部门提出书面申请，市交通行政主管部门自接到申请书之日起30天内作出审批决定。合格的，发给经营许可证件。</w:t>
      </w:r>
    </w:p>
    <w:p w14:paraId="7BC4DABA">
      <w:pPr>
        <w:jc w:val="left"/>
        <w:rPr>
          <w:rFonts w:ascii="宋体" w:hAnsi="宋体"/>
          <w:kern w:val="44"/>
        </w:rPr>
      </w:pPr>
      <w:r>
        <w:rPr>
          <w:rFonts w:hint="eastAsia" w:ascii="宋体" w:hAnsi="宋体"/>
          <w:kern w:val="44"/>
        </w:rPr>
        <w:t>（三）持经营许可证件向工商行政管理机关申领营业执照，向税务机关办理税务登记，向公安机关办理治安登记。</w:t>
      </w:r>
    </w:p>
    <w:p w14:paraId="69D6F34A">
      <w:pPr>
        <w:jc w:val="left"/>
        <w:rPr>
          <w:rFonts w:ascii="宋体" w:hAnsi="宋体"/>
          <w:kern w:val="44"/>
        </w:rPr>
      </w:pPr>
      <w:r>
        <w:rPr>
          <w:rFonts w:hint="eastAsia" w:ascii="宋体" w:hAnsi="宋体"/>
          <w:kern w:val="44"/>
        </w:rPr>
        <w:t>（四）取得营业执照、办理税务和治安登记后，按规定对营运车辆进行车身装饰，安装安全防护装置、计价器，依法办理保险手续；营运车辆按规定检验合格后，到公安交通管理机关申领车辆牌证。从事旅游客运汽车经营的申请者还须向公安交通管理机关申报发车地点、行车路线等事项，经审查同意后，取得公安交通管理机关发给的旅游通行证。</w:t>
      </w:r>
    </w:p>
    <w:p w14:paraId="7743CF18">
      <w:pPr>
        <w:jc w:val="left"/>
        <w:rPr>
          <w:rFonts w:ascii="宋体" w:hAnsi="宋体"/>
          <w:kern w:val="44"/>
        </w:rPr>
      </w:pPr>
      <w:r>
        <w:rPr>
          <w:rFonts w:hint="eastAsia" w:ascii="宋体" w:hAnsi="宋体"/>
          <w:kern w:val="44"/>
        </w:rPr>
        <w:t>（五）取得车辆牌证后，向市交通行政主管部门领取车辆营运证及驾驶员准驾证、乘务员服务证等营运资格证件和服务监督卡。从事旅游客运汽车经营的申请者向交通行政主管部门申领旅游准运证。</w:t>
      </w:r>
    </w:p>
    <w:p w14:paraId="74E90F4D">
      <w:pPr>
        <w:ind w:firstLine="422"/>
        <w:jc w:val="left"/>
        <w:rPr>
          <w:rFonts w:ascii="宋体" w:hAnsi="宋体"/>
          <w:kern w:val="44"/>
        </w:rPr>
      </w:pPr>
      <w:r>
        <w:rPr>
          <w:rFonts w:hint="eastAsia" w:ascii="宋体" w:hAnsi="宋体"/>
          <w:b/>
          <w:kern w:val="44"/>
        </w:rPr>
        <w:t>第十一条</w:t>
      </w:r>
      <w:r>
        <w:rPr>
          <w:rFonts w:hint="eastAsia" w:ascii="宋体" w:hAnsi="宋体"/>
          <w:kern w:val="44"/>
        </w:rPr>
        <w:t>　出租汽车经营者增加、减少或者更新车辆的，应当报市交通行政主管部门核准；变更办公地点和联系电话以及变更登记事项的，应当向市交通行政主管部门备案；停运或者歇业的，应当向市交通行政主管部门备案，并到工商行政管理机关办理有关手续。</w:t>
      </w:r>
    </w:p>
    <w:p w14:paraId="6D0EFA5F">
      <w:pPr>
        <w:jc w:val="left"/>
        <w:rPr>
          <w:rFonts w:ascii="宋体" w:hAnsi="宋体"/>
          <w:kern w:val="44"/>
        </w:rPr>
      </w:pPr>
      <w:r>
        <w:rPr>
          <w:rFonts w:hint="eastAsia" w:ascii="宋体" w:hAnsi="宋体"/>
          <w:kern w:val="44"/>
        </w:rPr>
        <w:t>经批准歇业或者减少营运车辆的，应当向交通行政主管部门缴销营运资格证件，并涂掉原营运车辆的车身装饰、拆除车内的营运设施。</w:t>
      </w:r>
    </w:p>
    <w:p w14:paraId="74B07A2C">
      <w:pPr>
        <w:ind w:firstLine="422"/>
        <w:jc w:val="left"/>
        <w:rPr>
          <w:rFonts w:ascii="宋体" w:hAnsi="宋体"/>
          <w:kern w:val="44"/>
        </w:rPr>
      </w:pPr>
      <w:r>
        <w:rPr>
          <w:rFonts w:hint="eastAsia" w:ascii="宋体" w:hAnsi="宋体"/>
          <w:b/>
          <w:kern w:val="44"/>
        </w:rPr>
        <w:t>第十二条</w:t>
      </w:r>
      <w:r>
        <w:rPr>
          <w:rFonts w:hint="eastAsia" w:ascii="宋体" w:hAnsi="宋体"/>
          <w:kern w:val="44"/>
        </w:rPr>
        <w:t>　出租汽车营运车辆应当符合下列要求：</w:t>
      </w:r>
    </w:p>
    <w:p w14:paraId="34F3EA15">
      <w:pPr>
        <w:jc w:val="left"/>
        <w:rPr>
          <w:rFonts w:ascii="宋体" w:hAnsi="宋体"/>
          <w:kern w:val="44"/>
        </w:rPr>
      </w:pPr>
      <w:r>
        <w:rPr>
          <w:rFonts w:hint="eastAsia" w:ascii="宋体" w:hAnsi="宋体"/>
          <w:kern w:val="44"/>
        </w:rPr>
        <w:t>（一）经公安、公安交通管理机关检验合格；</w:t>
      </w:r>
    </w:p>
    <w:p w14:paraId="68A865A6">
      <w:pPr>
        <w:jc w:val="left"/>
        <w:rPr>
          <w:rFonts w:ascii="宋体" w:hAnsi="宋体"/>
          <w:kern w:val="44"/>
        </w:rPr>
      </w:pPr>
      <w:r>
        <w:rPr>
          <w:rFonts w:hint="eastAsia" w:ascii="宋体" w:hAnsi="宋体"/>
          <w:kern w:val="44"/>
        </w:rPr>
        <w:t>（二）符合本市规定的车型、车身颜色、车身装饰和使用年限；</w:t>
      </w:r>
    </w:p>
    <w:p w14:paraId="35C0E02C">
      <w:pPr>
        <w:jc w:val="left"/>
        <w:rPr>
          <w:rFonts w:ascii="宋体" w:hAnsi="宋体"/>
          <w:kern w:val="44"/>
        </w:rPr>
      </w:pPr>
      <w:r>
        <w:rPr>
          <w:rFonts w:hint="eastAsia" w:ascii="宋体" w:hAnsi="宋体"/>
          <w:kern w:val="44"/>
        </w:rPr>
        <w:t>（三）按照规定安装出租汽车标志灯、安全防护装置和计价器；</w:t>
      </w:r>
    </w:p>
    <w:p w14:paraId="58C61E25">
      <w:pPr>
        <w:jc w:val="left"/>
        <w:rPr>
          <w:rFonts w:ascii="宋体" w:hAnsi="宋体"/>
          <w:kern w:val="44"/>
        </w:rPr>
      </w:pPr>
      <w:r>
        <w:rPr>
          <w:rFonts w:hint="eastAsia" w:ascii="宋体" w:hAnsi="宋体"/>
          <w:kern w:val="44"/>
        </w:rPr>
        <w:t>（四）按照规定在车辆前风挡玻璃右侧上方张贴营运证，在车内规定位置张贴车辆收费标准，并具有空车待租标志和停运标志；</w:t>
      </w:r>
    </w:p>
    <w:p w14:paraId="007E4BDA">
      <w:pPr>
        <w:jc w:val="left"/>
        <w:rPr>
          <w:rFonts w:ascii="宋体" w:hAnsi="宋体"/>
          <w:kern w:val="44"/>
        </w:rPr>
      </w:pPr>
      <w:r>
        <w:rPr>
          <w:rFonts w:hint="eastAsia" w:ascii="宋体" w:hAnsi="宋体"/>
          <w:kern w:val="44"/>
        </w:rPr>
        <w:t>（五）旅游客运汽车在车内规定位置放置旅游准运证、旅游通行证等营运证件；在车内明显位置张贴旅游客运说明；</w:t>
      </w:r>
    </w:p>
    <w:p w14:paraId="4C964C89">
      <w:pPr>
        <w:jc w:val="left"/>
        <w:rPr>
          <w:rFonts w:ascii="宋体" w:hAnsi="宋体"/>
          <w:kern w:val="44"/>
        </w:rPr>
      </w:pPr>
      <w:r>
        <w:rPr>
          <w:rFonts w:hint="eastAsia" w:ascii="宋体" w:hAnsi="宋体"/>
          <w:kern w:val="44"/>
        </w:rPr>
        <w:t>（六）车辆整洁。</w:t>
      </w:r>
    </w:p>
    <w:p w14:paraId="0D61EB51">
      <w:pPr>
        <w:spacing w:line="300" w:lineRule="exact"/>
        <w:jc w:val="left"/>
        <w:rPr>
          <w:rFonts w:ascii="宋体" w:hAnsi="宋体"/>
          <w:kern w:val="44"/>
        </w:rPr>
      </w:pPr>
    </w:p>
    <w:p w14:paraId="303D047E">
      <w:pPr>
        <w:ind w:firstLine="0" w:firstLineChars="0"/>
        <w:jc w:val="center"/>
        <w:rPr>
          <w:rFonts w:ascii="宋体" w:hAnsi="宋体"/>
          <w:b/>
          <w:kern w:val="44"/>
          <w:sz w:val="28"/>
        </w:rPr>
      </w:pPr>
      <w:r>
        <w:rPr>
          <w:rFonts w:hint="eastAsia" w:ascii="宋体" w:hAnsi="宋体"/>
          <w:b/>
          <w:kern w:val="44"/>
          <w:sz w:val="28"/>
        </w:rPr>
        <w:t>第三章  营运服务管理</w:t>
      </w:r>
    </w:p>
    <w:p w14:paraId="3EEF3DFD">
      <w:pPr>
        <w:spacing w:line="300" w:lineRule="exact"/>
        <w:jc w:val="left"/>
        <w:rPr>
          <w:rFonts w:ascii="宋体" w:hAnsi="宋体"/>
          <w:kern w:val="44"/>
        </w:rPr>
      </w:pPr>
    </w:p>
    <w:p w14:paraId="5758D8E3">
      <w:pPr>
        <w:ind w:firstLine="422"/>
        <w:jc w:val="left"/>
        <w:rPr>
          <w:rFonts w:ascii="宋体" w:hAnsi="宋体"/>
          <w:kern w:val="44"/>
        </w:rPr>
      </w:pPr>
      <w:r>
        <w:rPr>
          <w:rFonts w:hint="eastAsia" w:ascii="宋体" w:hAnsi="宋体"/>
          <w:b/>
          <w:kern w:val="44"/>
        </w:rPr>
        <w:t>第十三条</w:t>
      </w:r>
      <w:r>
        <w:rPr>
          <w:rFonts w:hint="eastAsia" w:ascii="宋体" w:hAnsi="宋体"/>
          <w:kern w:val="44"/>
        </w:rPr>
        <w:t>　出租汽车经营者应当遵守下列规定：</w:t>
      </w:r>
    </w:p>
    <w:p w14:paraId="07C3C814">
      <w:pPr>
        <w:jc w:val="left"/>
        <w:rPr>
          <w:rFonts w:ascii="宋体" w:hAnsi="宋体"/>
          <w:kern w:val="44"/>
        </w:rPr>
      </w:pPr>
      <w:r>
        <w:rPr>
          <w:rFonts w:hint="eastAsia" w:ascii="宋体" w:hAnsi="宋体"/>
          <w:kern w:val="44"/>
        </w:rPr>
        <w:t>（一）遵守法律、法规和规章，接受交通行政主管部门和工商行政、税务、物价、劳动、公安、公安交通、技术监督等管理机关的监督检查；</w:t>
      </w:r>
    </w:p>
    <w:p w14:paraId="1AA4D784">
      <w:pPr>
        <w:jc w:val="left"/>
        <w:rPr>
          <w:rFonts w:ascii="宋体" w:hAnsi="宋体"/>
          <w:kern w:val="44"/>
        </w:rPr>
      </w:pPr>
      <w:r>
        <w:rPr>
          <w:rFonts w:hint="eastAsia" w:ascii="宋体" w:hAnsi="宋体"/>
          <w:kern w:val="44"/>
        </w:rPr>
        <w:t>（二）执行物价管理机关制定的收费标准，使用经税务机关监制的专用收费凭证，不得擅自改变收费标准或者使用其他收费凭证；</w:t>
      </w:r>
    </w:p>
    <w:p w14:paraId="7320A873">
      <w:pPr>
        <w:jc w:val="left"/>
        <w:rPr>
          <w:rFonts w:ascii="宋体" w:hAnsi="宋体"/>
          <w:kern w:val="44"/>
        </w:rPr>
      </w:pPr>
      <w:r>
        <w:rPr>
          <w:rFonts w:hint="eastAsia" w:ascii="宋体" w:hAnsi="宋体"/>
          <w:kern w:val="44"/>
        </w:rPr>
        <w:t>（三）制定服务标准、规程和驾驶员、乘务员守则以及车辆检修、安全行车、治安保卫等规章制度；</w:t>
      </w:r>
    </w:p>
    <w:p w14:paraId="660D8392">
      <w:pPr>
        <w:jc w:val="left"/>
        <w:rPr>
          <w:rFonts w:ascii="宋体" w:hAnsi="宋体"/>
          <w:kern w:val="44"/>
        </w:rPr>
      </w:pPr>
      <w:r>
        <w:rPr>
          <w:rFonts w:hint="eastAsia" w:ascii="宋体" w:hAnsi="宋体"/>
          <w:kern w:val="44"/>
        </w:rPr>
        <w:t>（四）依法与驾驶员签订劳动合同、承包合同，明确双方权利义务；</w:t>
      </w:r>
    </w:p>
    <w:p w14:paraId="4147C395">
      <w:pPr>
        <w:jc w:val="left"/>
        <w:rPr>
          <w:rFonts w:ascii="宋体" w:hAnsi="宋体"/>
          <w:kern w:val="44"/>
        </w:rPr>
      </w:pPr>
      <w:r>
        <w:rPr>
          <w:rFonts w:hint="eastAsia" w:ascii="宋体" w:hAnsi="宋体"/>
          <w:kern w:val="44"/>
        </w:rPr>
        <w:t>（五）建立实施治安保卫责任制，对从业人员进行法制教育，建立学习和业务培训制度；</w:t>
      </w:r>
    </w:p>
    <w:p w14:paraId="27A9EE86">
      <w:pPr>
        <w:jc w:val="left"/>
        <w:rPr>
          <w:rFonts w:ascii="宋体" w:hAnsi="宋体"/>
          <w:kern w:val="44"/>
        </w:rPr>
      </w:pPr>
      <w:r>
        <w:rPr>
          <w:rFonts w:hint="eastAsia" w:ascii="宋体" w:hAnsi="宋体"/>
          <w:kern w:val="44"/>
        </w:rPr>
        <w:t>（六）对乘客提出的服务质量问题及时调查处理，并应当自乘客提出之日起10天内作出答复；</w:t>
      </w:r>
    </w:p>
    <w:p w14:paraId="5044BF4F">
      <w:pPr>
        <w:jc w:val="left"/>
        <w:rPr>
          <w:rFonts w:ascii="宋体" w:hAnsi="宋体"/>
          <w:kern w:val="44"/>
        </w:rPr>
      </w:pPr>
      <w:r>
        <w:rPr>
          <w:rFonts w:hint="eastAsia" w:ascii="宋体" w:hAnsi="宋体"/>
          <w:kern w:val="44"/>
        </w:rPr>
        <w:t>（七）执行交通行政主管部门协调营运业务的措施；</w:t>
      </w:r>
    </w:p>
    <w:p w14:paraId="079FB95B">
      <w:pPr>
        <w:jc w:val="left"/>
        <w:rPr>
          <w:rFonts w:ascii="宋体" w:hAnsi="宋体"/>
          <w:kern w:val="44"/>
        </w:rPr>
      </w:pPr>
      <w:r>
        <w:rPr>
          <w:rFonts w:hint="eastAsia" w:ascii="宋体" w:hAnsi="宋体"/>
          <w:kern w:val="44"/>
        </w:rPr>
        <w:t>（八）法定代表人和管理人员按照规定参加市交通行政主管部门组织的培训，经培训合格后方可上岗；</w:t>
      </w:r>
    </w:p>
    <w:p w14:paraId="177B1602">
      <w:pPr>
        <w:jc w:val="left"/>
        <w:rPr>
          <w:rFonts w:ascii="宋体" w:hAnsi="宋体"/>
          <w:kern w:val="44"/>
        </w:rPr>
      </w:pPr>
      <w:r>
        <w:rPr>
          <w:rFonts w:hint="eastAsia" w:ascii="宋体" w:hAnsi="宋体"/>
          <w:kern w:val="44"/>
        </w:rPr>
        <w:t>（九）按规定期限和要求向交通行政主管部门如实报送营运报表及其他营运资料，接受交通行政主管部门对营运资料和票证的查阅；</w:t>
      </w:r>
    </w:p>
    <w:p w14:paraId="701F9CCF">
      <w:pPr>
        <w:jc w:val="left"/>
        <w:rPr>
          <w:rFonts w:ascii="宋体" w:hAnsi="宋体"/>
          <w:kern w:val="44"/>
        </w:rPr>
      </w:pPr>
      <w:r>
        <w:rPr>
          <w:rFonts w:hint="eastAsia" w:ascii="宋体" w:hAnsi="宋体"/>
          <w:kern w:val="44"/>
        </w:rPr>
        <w:t>（十）不得使用无营运资格证件、被暂扣营运资格证件的驾驶员或者非本单位的驾驶员驾驶车辆营运；</w:t>
      </w:r>
    </w:p>
    <w:p w14:paraId="7FCCA5B7">
      <w:pPr>
        <w:jc w:val="left"/>
        <w:rPr>
          <w:rFonts w:ascii="宋体" w:hAnsi="宋体"/>
          <w:kern w:val="44"/>
        </w:rPr>
      </w:pPr>
      <w:r>
        <w:rPr>
          <w:rFonts w:hint="eastAsia" w:ascii="宋体" w:hAnsi="宋体"/>
          <w:kern w:val="44"/>
        </w:rPr>
        <w:t>（十一）不得擅自在出租汽车内或者在车身上张贴、设置商业性广告；</w:t>
      </w:r>
    </w:p>
    <w:p w14:paraId="6F5D95BA">
      <w:pPr>
        <w:ind w:firstLine="422"/>
        <w:jc w:val="left"/>
        <w:rPr>
          <w:rFonts w:ascii="宋体" w:hAnsi="宋体"/>
          <w:kern w:val="44"/>
        </w:rPr>
      </w:pPr>
      <w:r>
        <w:rPr>
          <w:rFonts w:hint="eastAsia" w:ascii="宋体" w:hAnsi="宋体"/>
          <w:b/>
          <w:kern w:val="44"/>
        </w:rPr>
        <w:t>第十四条</w:t>
      </w:r>
      <w:r>
        <w:rPr>
          <w:rFonts w:hint="eastAsia" w:ascii="宋体" w:hAnsi="宋体"/>
          <w:kern w:val="44"/>
        </w:rPr>
        <w:t>　旅游客运汽车经营者及其从业人员还应当遵守下列规定：</w:t>
      </w:r>
    </w:p>
    <w:p w14:paraId="3F7B3296">
      <w:pPr>
        <w:jc w:val="left"/>
        <w:rPr>
          <w:rFonts w:ascii="宋体" w:hAnsi="宋体"/>
          <w:kern w:val="44"/>
        </w:rPr>
      </w:pPr>
      <w:r>
        <w:rPr>
          <w:rFonts w:hint="eastAsia" w:ascii="宋体" w:hAnsi="宋体"/>
          <w:kern w:val="44"/>
        </w:rPr>
        <w:t>（一）在售票地点公布发车地点、时间和行驶路线；</w:t>
      </w:r>
    </w:p>
    <w:p w14:paraId="21856784">
      <w:pPr>
        <w:jc w:val="left"/>
        <w:rPr>
          <w:rFonts w:ascii="宋体" w:hAnsi="宋体"/>
          <w:kern w:val="44"/>
        </w:rPr>
      </w:pPr>
      <w:r>
        <w:rPr>
          <w:rFonts w:hint="eastAsia" w:ascii="宋体" w:hAnsi="宋体"/>
          <w:kern w:val="44"/>
        </w:rPr>
        <w:t>（二）因故变更发车地点、时间和行驶路线的，应当提前通知乘客，允许乘客退票；</w:t>
      </w:r>
    </w:p>
    <w:p w14:paraId="37F3FDB3">
      <w:pPr>
        <w:jc w:val="left"/>
        <w:rPr>
          <w:rFonts w:ascii="宋体" w:hAnsi="宋体"/>
          <w:kern w:val="44"/>
        </w:rPr>
      </w:pPr>
      <w:r>
        <w:rPr>
          <w:rFonts w:hint="eastAsia" w:ascii="宋体" w:hAnsi="宋体"/>
          <w:kern w:val="44"/>
        </w:rPr>
        <w:t>（三）旅游高峰期间，按照规定向公安交通管理机关申领旅游景点通行证；</w:t>
      </w:r>
    </w:p>
    <w:p w14:paraId="302F34EC">
      <w:pPr>
        <w:jc w:val="left"/>
        <w:rPr>
          <w:rFonts w:ascii="宋体" w:hAnsi="宋体"/>
          <w:kern w:val="44"/>
        </w:rPr>
      </w:pPr>
      <w:r>
        <w:rPr>
          <w:rFonts w:hint="eastAsia" w:ascii="宋体" w:hAnsi="宋体"/>
          <w:kern w:val="44"/>
        </w:rPr>
        <w:t>（四）乘务员具有相应的旅游客运服务知识，向乘客提供相应的旅游客运服务；</w:t>
      </w:r>
    </w:p>
    <w:p w14:paraId="01756133">
      <w:pPr>
        <w:jc w:val="left"/>
        <w:rPr>
          <w:rFonts w:ascii="宋体" w:hAnsi="宋体"/>
          <w:kern w:val="44"/>
        </w:rPr>
      </w:pPr>
      <w:r>
        <w:rPr>
          <w:rFonts w:hint="eastAsia" w:ascii="宋体" w:hAnsi="宋体"/>
          <w:kern w:val="44"/>
        </w:rPr>
        <w:t>（五）不得流动揽客；</w:t>
      </w:r>
    </w:p>
    <w:p w14:paraId="493027A9">
      <w:pPr>
        <w:jc w:val="left"/>
        <w:rPr>
          <w:rFonts w:ascii="宋体" w:hAnsi="宋体"/>
          <w:kern w:val="44"/>
        </w:rPr>
      </w:pPr>
      <w:r>
        <w:rPr>
          <w:rFonts w:hint="eastAsia" w:ascii="宋体" w:hAnsi="宋体"/>
          <w:kern w:val="44"/>
        </w:rPr>
        <w:t>（六）不得强行为乘客代买旅游景点门票或者参观券；</w:t>
      </w:r>
    </w:p>
    <w:p w14:paraId="1342A406">
      <w:pPr>
        <w:jc w:val="left"/>
        <w:rPr>
          <w:rFonts w:ascii="宋体" w:hAnsi="宋体"/>
          <w:kern w:val="44"/>
        </w:rPr>
      </w:pPr>
      <w:r>
        <w:rPr>
          <w:rFonts w:hint="eastAsia" w:ascii="宋体" w:hAnsi="宋体"/>
          <w:kern w:val="44"/>
        </w:rPr>
        <w:t>（七）不得擅自将旅游客运业务转让其他单位或者个人经营；</w:t>
      </w:r>
    </w:p>
    <w:p w14:paraId="564F2573">
      <w:pPr>
        <w:jc w:val="left"/>
        <w:rPr>
          <w:rFonts w:ascii="宋体" w:hAnsi="宋体"/>
          <w:kern w:val="44"/>
        </w:rPr>
      </w:pPr>
      <w:r>
        <w:rPr>
          <w:rFonts w:hint="eastAsia" w:ascii="宋体" w:hAnsi="宋体"/>
          <w:kern w:val="44"/>
        </w:rPr>
        <w:t>（八）不得违反乘客意愿强行将乘客载至旅游景点、旅馆、饭店、商店等处参观、住宿、用餐、购物；</w:t>
      </w:r>
    </w:p>
    <w:p w14:paraId="475AD34A">
      <w:pPr>
        <w:jc w:val="left"/>
        <w:rPr>
          <w:rFonts w:ascii="宋体" w:hAnsi="宋体"/>
          <w:kern w:val="44"/>
        </w:rPr>
      </w:pPr>
      <w:r>
        <w:rPr>
          <w:rFonts w:hint="eastAsia" w:ascii="宋体" w:hAnsi="宋体"/>
          <w:kern w:val="44"/>
        </w:rPr>
        <w:t>（九）不得索取、收受回扣；</w:t>
      </w:r>
    </w:p>
    <w:p w14:paraId="54403614">
      <w:pPr>
        <w:jc w:val="left"/>
        <w:rPr>
          <w:rFonts w:ascii="宋体" w:hAnsi="宋体"/>
          <w:kern w:val="44"/>
        </w:rPr>
      </w:pPr>
      <w:r>
        <w:rPr>
          <w:rFonts w:hint="eastAsia" w:ascii="宋体" w:hAnsi="宋体"/>
          <w:kern w:val="44"/>
        </w:rPr>
        <w:t>（十）从事涉外旅游的，应当遵守国家和本市的有关规定。</w:t>
      </w:r>
    </w:p>
    <w:p w14:paraId="15E8E901">
      <w:pPr>
        <w:ind w:firstLine="422"/>
        <w:jc w:val="left"/>
        <w:rPr>
          <w:rFonts w:ascii="宋体" w:hAnsi="宋体"/>
          <w:kern w:val="44"/>
        </w:rPr>
      </w:pPr>
      <w:r>
        <w:rPr>
          <w:rFonts w:hint="eastAsia" w:ascii="宋体" w:hAnsi="宋体"/>
          <w:b/>
          <w:kern w:val="44"/>
        </w:rPr>
        <w:t>第十五条</w:t>
      </w:r>
      <w:r>
        <w:rPr>
          <w:rFonts w:hint="eastAsia" w:ascii="宋体" w:hAnsi="宋体"/>
          <w:kern w:val="44"/>
        </w:rPr>
        <w:t>　出租汽车驾驶员在营运时应当遵守下列规定：</w:t>
      </w:r>
    </w:p>
    <w:p w14:paraId="6D442D01">
      <w:pPr>
        <w:jc w:val="left"/>
        <w:rPr>
          <w:rFonts w:ascii="宋体" w:hAnsi="宋体"/>
          <w:kern w:val="44"/>
        </w:rPr>
      </w:pPr>
      <w:r>
        <w:rPr>
          <w:rFonts w:hint="eastAsia" w:ascii="宋体" w:hAnsi="宋体"/>
          <w:kern w:val="44"/>
        </w:rPr>
        <w:t>（一）服饰整洁、文明礼貌、服务规范；</w:t>
      </w:r>
    </w:p>
    <w:p w14:paraId="5493DE60">
      <w:pPr>
        <w:jc w:val="left"/>
        <w:rPr>
          <w:rFonts w:ascii="宋体" w:hAnsi="宋体"/>
          <w:kern w:val="44"/>
        </w:rPr>
      </w:pPr>
      <w:r>
        <w:rPr>
          <w:rFonts w:hint="eastAsia" w:ascii="宋体" w:hAnsi="宋体"/>
          <w:kern w:val="44"/>
        </w:rPr>
        <w:t>（二）安全行车，遵守交通管理法规；</w:t>
      </w:r>
    </w:p>
    <w:p w14:paraId="28A19B20">
      <w:pPr>
        <w:jc w:val="left"/>
        <w:rPr>
          <w:rFonts w:ascii="宋体" w:hAnsi="宋体"/>
          <w:kern w:val="44"/>
        </w:rPr>
      </w:pPr>
      <w:r>
        <w:rPr>
          <w:rFonts w:hint="eastAsia" w:ascii="宋体" w:hAnsi="宋体"/>
          <w:kern w:val="44"/>
        </w:rPr>
        <w:t>（三）携带并按照规定放置、张贴营运资格证件和服务监督卡；</w:t>
      </w:r>
    </w:p>
    <w:p w14:paraId="3FD1839B">
      <w:pPr>
        <w:jc w:val="left"/>
        <w:rPr>
          <w:rFonts w:ascii="宋体" w:hAnsi="宋体"/>
          <w:kern w:val="44"/>
        </w:rPr>
      </w:pPr>
      <w:r>
        <w:rPr>
          <w:rFonts w:hint="eastAsia" w:ascii="宋体" w:hAnsi="宋体"/>
          <w:kern w:val="44"/>
        </w:rPr>
        <w:t>（四）在准许停车的路段实行招手停车载客或者停车下客，不得乱停车；</w:t>
      </w:r>
    </w:p>
    <w:p w14:paraId="00421164">
      <w:pPr>
        <w:jc w:val="left"/>
        <w:rPr>
          <w:rFonts w:ascii="宋体" w:hAnsi="宋体"/>
          <w:kern w:val="44"/>
        </w:rPr>
      </w:pPr>
      <w:r>
        <w:rPr>
          <w:rFonts w:hint="eastAsia" w:ascii="宋体" w:hAnsi="宋体"/>
          <w:kern w:val="44"/>
        </w:rPr>
        <w:t>（五）按照规定使用标志灯，车内无乘客时应当显示空车待租标志，因故暂时不能营运时，应当显示停车标志；</w:t>
      </w:r>
    </w:p>
    <w:p w14:paraId="0AED4CF9">
      <w:pPr>
        <w:jc w:val="left"/>
        <w:rPr>
          <w:rFonts w:ascii="宋体" w:hAnsi="宋体"/>
          <w:kern w:val="44"/>
        </w:rPr>
      </w:pPr>
      <w:r>
        <w:rPr>
          <w:rFonts w:hint="eastAsia" w:ascii="宋体" w:hAnsi="宋体"/>
          <w:kern w:val="44"/>
        </w:rPr>
        <w:t>（六）按照最佳路线行驶，不得故意绕行；</w:t>
      </w:r>
    </w:p>
    <w:p w14:paraId="40531C74">
      <w:pPr>
        <w:jc w:val="left"/>
        <w:rPr>
          <w:rFonts w:ascii="宋体" w:hAnsi="宋体"/>
          <w:kern w:val="44"/>
        </w:rPr>
      </w:pPr>
      <w:r>
        <w:rPr>
          <w:rFonts w:hint="eastAsia" w:ascii="宋体" w:hAnsi="宋体"/>
          <w:kern w:val="44"/>
        </w:rPr>
        <w:t>（七）必须正确使用计价器，不得与乘客议价，不得向乘客索要财物，收款后需要给乘客找零钱时，必须找零钱；</w:t>
      </w:r>
    </w:p>
    <w:p w14:paraId="01E29BDF">
      <w:pPr>
        <w:jc w:val="left"/>
        <w:rPr>
          <w:rFonts w:ascii="宋体" w:hAnsi="宋体"/>
          <w:kern w:val="44"/>
        </w:rPr>
      </w:pPr>
      <w:r>
        <w:rPr>
          <w:rFonts w:hint="eastAsia" w:ascii="宋体" w:hAnsi="宋体"/>
          <w:kern w:val="44"/>
        </w:rPr>
        <w:t>（八）按照计价器显示的金额收费，禁止私自拆除、改装计价器或者在计价器上弄虚作假；</w:t>
      </w:r>
    </w:p>
    <w:p w14:paraId="571668EC">
      <w:pPr>
        <w:jc w:val="left"/>
        <w:rPr>
          <w:rFonts w:ascii="宋体" w:hAnsi="宋体"/>
          <w:kern w:val="44"/>
        </w:rPr>
      </w:pPr>
      <w:r>
        <w:rPr>
          <w:rFonts w:hint="eastAsia" w:ascii="宋体" w:hAnsi="宋体"/>
          <w:kern w:val="44"/>
        </w:rPr>
        <w:t>（九）收款后应当向乘客开具项目填写齐全并与实收金额相符的专用收费凭证，不得在专用收费凭证上弄虚作假；</w:t>
      </w:r>
    </w:p>
    <w:p w14:paraId="3D922E3A">
      <w:pPr>
        <w:jc w:val="left"/>
        <w:rPr>
          <w:rFonts w:ascii="宋体" w:hAnsi="宋体"/>
          <w:kern w:val="44"/>
        </w:rPr>
      </w:pPr>
      <w:r>
        <w:rPr>
          <w:rFonts w:hint="eastAsia" w:ascii="宋体" w:hAnsi="宋体"/>
          <w:kern w:val="44"/>
        </w:rPr>
        <w:t>（十）满足乘客提出的使用或者不使用车内服务设施的要求；</w:t>
      </w:r>
    </w:p>
    <w:p w14:paraId="46E0CC4D">
      <w:pPr>
        <w:jc w:val="left"/>
        <w:rPr>
          <w:rFonts w:ascii="宋体" w:hAnsi="宋体"/>
          <w:kern w:val="44"/>
        </w:rPr>
      </w:pPr>
      <w:r>
        <w:rPr>
          <w:rFonts w:hint="eastAsia" w:ascii="宋体" w:hAnsi="宋体"/>
          <w:kern w:val="44"/>
        </w:rPr>
        <w:t>（十一）不得擅自拆除安全防护装置；</w:t>
      </w:r>
    </w:p>
    <w:p w14:paraId="3D776A9B">
      <w:pPr>
        <w:jc w:val="left"/>
        <w:rPr>
          <w:rFonts w:ascii="宋体" w:hAnsi="宋体"/>
          <w:kern w:val="44"/>
        </w:rPr>
      </w:pPr>
      <w:r>
        <w:rPr>
          <w:rFonts w:hint="eastAsia" w:ascii="宋体" w:hAnsi="宋体"/>
          <w:kern w:val="44"/>
        </w:rPr>
        <w:t>（十二）保持车辆整洁，牌证齐全、清晰，不得挪用车辆牌证或者对车辆牌证弄虚作假；</w:t>
      </w:r>
    </w:p>
    <w:p w14:paraId="6BF320C6">
      <w:pPr>
        <w:jc w:val="left"/>
        <w:rPr>
          <w:rFonts w:ascii="宋体" w:hAnsi="宋体"/>
          <w:kern w:val="44"/>
        </w:rPr>
      </w:pPr>
      <w:r>
        <w:rPr>
          <w:rFonts w:hint="eastAsia" w:ascii="宋体" w:hAnsi="宋体"/>
          <w:kern w:val="44"/>
        </w:rPr>
        <w:t>（十三）遇有计价器损坏、失准、显示不全、无专用收费凭证、标志灯发生故障、车辆号牌污损、不全等情形时，不得营运载客。上述情况在载客过程中发生时，应当立即告知乘客，并与乘客协商解决；</w:t>
      </w:r>
    </w:p>
    <w:p w14:paraId="454A4258">
      <w:pPr>
        <w:jc w:val="left"/>
        <w:rPr>
          <w:rFonts w:ascii="宋体" w:hAnsi="宋体"/>
          <w:kern w:val="44"/>
        </w:rPr>
      </w:pPr>
      <w:r>
        <w:rPr>
          <w:rFonts w:hint="eastAsia" w:ascii="宋体" w:hAnsi="宋体"/>
          <w:kern w:val="44"/>
        </w:rPr>
        <w:t>（十四）出本市或者夜间去远郊区、县营运，应当按照规定向本单位或者到就近的公安机关、营业站登记；</w:t>
      </w:r>
    </w:p>
    <w:p w14:paraId="69201A80">
      <w:pPr>
        <w:jc w:val="left"/>
        <w:rPr>
          <w:rFonts w:ascii="宋体" w:hAnsi="宋体"/>
          <w:kern w:val="44"/>
        </w:rPr>
      </w:pPr>
      <w:r>
        <w:rPr>
          <w:rFonts w:hint="eastAsia" w:ascii="宋体" w:hAnsi="宋体"/>
          <w:kern w:val="44"/>
        </w:rPr>
        <w:t>（十五）在出租汽车营业站候客时，应当按序排队、顺序走车，服从调度员的调派，不得欺行霸市或者私自揽客；</w:t>
      </w:r>
    </w:p>
    <w:p w14:paraId="3F9A18D1">
      <w:pPr>
        <w:jc w:val="left"/>
        <w:rPr>
          <w:rFonts w:ascii="宋体" w:hAnsi="宋体"/>
          <w:kern w:val="44"/>
        </w:rPr>
      </w:pPr>
      <w:r>
        <w:rPr>
          <w:rFonts w:hint="eastAsia" w:ascii="宋体" w:hAnsi="宋体"/>
          <w:kern w:val="44"/>
        </w:rPr>
        <w:t>（十六）乘客遗失在车内的物品，应当及时归还失主或者交有关部门处理，不得私自隐匿；</w:t>
      </w:r>
    </w:p>
    <w:p w14:paraId="03A12DFE">
      <w:pPr>
        <w:jc w:val="left"/>
        <w:rPr>
          <w:rFonts w:ascii="宋体" w:hAnsi="宋体"/>
          <w:kern w:val="44"/>
        </w:rPr>
      </w:pPr>
      <w:r>
        <w:rPr>
          <w:rFonts w:hint="eastAsia" w:ascii="宋体" w:hAnsi="宋体"/>
          <w:kern w:val="44"/>
        </w:rPr>
        <w:t>（十七）不得将车辆交予他人驾驶或者驾驶非本单位的出租汽车营运；</w:t>
      </w:r>
    </w:p>
    <w:p w14:paraId="29326DCF">
      <w:pPr>
        <w:jc w:val="left"/>
        <w:rPr>
          <w:rFonts w:ascii="宋体" w:hAnsi="宋体"/>
          <w:kern w:val="44"/>
        </w:rPr>
      </w:pPr>
      <w:r>
        <w:rPr>
          <w:rFonts w:hint="eastAsia" w:ascii="宋体" w:hAnsi="宋体"/>
          <w:kern w:val="44"/>
        </w:rPr>
        <w:t>（十八）不得利用车辆为违法犯罪提供方便，发现违法犯罪嫌疑人应当及时向公安机关或者本单位报告；</w:t>
      </w:r>
    </w:p>
    <w:p w14:paraId="1EF96DB6">
      <w:pPr>
        <w:jc w:val="left"/>
        <w:rPr>
          <w:rFonts w:ascii="宋体" w:hAnsi="宋体"/>
          <w:kern w:val="44"/>
        </w:rPr>
      </w:pPr>
      <w:r>
        <w:rPr>
          <w:rFonts w:hint="eastAsia" w:ascii="宋体" w:hAnsi="宋体"/>
          <w:kern w:val="44"/>
        </w:rPr>
        <w:t>（十九）禁止运载违禁和易燃、易爆等物品；</w:t>
      </w:r>
    </w:p>
    <w:p w14:paraId="32E29668">
      <w:pPr>
        <w:jc w:val="left"/>
        <w:rPr>
          <w:rFonts w:ascii="宋体" w:hAnsi="宋体"/>
          <w:kern w:val="44"/>
        </w:rPr>
      </w:pPr>
      <w:r>
        <w:rPr>
          <w:rFonts w:hint="eastAsia" w:ascii="宋体" w:hAnsi="宋体"/>
          <w:kern w:val="44"/>
        </w:rPr>
        <w:t>（二十）接受市交通行政主管部门和有关管理机关的监督检查。</w:t>
      </w:r>
    </w:p>
    <w:p w14:paraId="19F07B14">
      <w:pPr>
        <w:ind w:firstLine="422"/>
        <w:jc w:val="left"/>
        <w:rPr>
          <w:rFonts w:ascii="宋体" w:hAnsi="宋体"/>
          <w:kern w:val="44"/>
        </w:rPr>
      </w:pPr>
      <w:r>
        <w:rPr>
          <w:rFonts w:hint="eastAsia" w:ascii="宋体" w:hAnsi="宋体"/>
          <w:b/>
          <w:kern w:val="44"/>
        </w:rPr>
        <w:t>第十六条</w:t>
      </w:r>
      <w:r>
        <w:rPr>
          <w:rFonts w:hint="eastAsia" w:ascii="宋体" w:hAnsi="宋体"/>
          <w:kern w:val="44"/>
        </w:rPr>
        <w:t>　出租汽车驾驶员除下列情形外，不得以任何理由拒绝载客或者中途终止客运服务：</w:t>
      </w:r>
    </w:p>
    <w:p w14:paraId="709EEEC9">
      <w:pPr>
        <w:jc w:val="left"/>
        <w:rPr>
          <w:rFonts w:ascii="宋体" w:hAnsi="宋体"/>
          <w:kern w:val="44"/>
        </w:rPr>
      </w:pPr>
      <w:r>
        <w:rPr>
          <w:rFonts w:hint="eastAsia" w:ascii="宋体" w:hAnsi="宋体"/>
          <w:kern w:val="44"/>
        </w:rPr>
        <w:t>（一）乘客在禁止停车的路段招手拦车；</w:t>
      </w:r>
    </w:p>
    <w:p w14:paraId="3BED8270">
      <w:pPr>
        <w:jc w:val="left"/>
        <w:rPr>
          <w:rFonts w:ascii="宋体" w:hAnsi="宋体"/>
          <w:kern w:val="44"/>
        </w:rPr>
      </w:pPr>
      <w:r>
        <w:rPr>
          <w:rFonts w:hint="eastAsia" w:ascii="宋体" w:hAnsi="宋体"/>
          <w:kern w:val="44"/>
        </w:rPr>
        <w:t>（二）乘客携带违禁和易燃、易爆等危险品以及污损车辆的物品乘车；</w:t>
      </w:r>
    </w:p>
    <w:p w14:paraId="4E3D6CC9">
      <w:pPr>
        <w:jc w:val="left"/>
        <w:rPr>
          <w:rFonts w:ascii="宋体" w:hAnsi="宋体"/>
          <w:kern w:val="44"/>
        </w:rPr>
      </w:pPr>
      <w:r>
        <w:rPr>
          <w:rFonts w:hint="eastAsia" w:ascii="宋体" w:hAnsi="宋体"/>
          <w:kern w:val="44"/>
        </w:rPr>
        <w:t>（三）醉酒者、精神病患者在无人监护下乘车；</w:t>
      </w:r>
    </w:p>
    <w:p w14:paraId="7A3B2AC4">
      <w:pPr>
        <w:jc w:val="left"/>
        <w:rPr>
          <w:rFonts w:ascii="宋体" w:hAnsi="宋体"/>
          <w:kern w:val="44"/>
        </w:rPr>
      </w:pPr>
      <w:r>
        <w:rPr>
          <w:rFonts w:hint="eastAsia" w:ascii="宋体" w:hAnsi="宋体"/>
          <w:kern w:val="44"/>
        </w:rPr>
        <w:t>（四）乘客要求出本市或者在夜间到远郊区、县而不按规定随驾驶员进行登记；</w:t>
      </w:r>
    </w:p>
    <w:p w14:paraId="2568DB3E">
      <w:pPr>
        <w:jc w:val="left"/>
        <w:rPr>
          <w:rFonts w:ascii="宋体" w:hAnsi="宋体"/>
          <w:kern w:val="44"/>
        </w:rPr>
      </w:pPr>
      <w:r>
        <w:rPr>
          <w:rFonts w:hint="eastAsia" w:ascii="宋体" w:hAnsi="宋体"/>
          <w:kern w:val="44"/>
        </w:rPr>
        <w:t>（五）乘客的要求有其他违反出租汽车管理、道路交通管理、治安管理规定的。</w:t>
      </w:r>
    </w:p>
    <w:p w14:paraId="6C4E1384">
      <w:pPr>
        <w:ind w:firstLine="422"/>
        <w:jc w:val="left"/>
        <w:rPr>
          <w:rFonts w:ascii="宋体" w:hAnsi="宋体"/>
          <w:kern w:val="44"/>
        </w:rPr>
      </w:pPr>
      <w:r>
        <w:rPr>
          <w:rFonts w:hint="eastAsia" w:ascii="宋体" w:hAnsi="宋体"/>
          <w:b/>
          <w:kern w:val="44"/>
        </w:rPr>
        <w:t>第十七条</w:t>
      </w:r>
      <w:r>
        <w:rPr>
          <w:rFonts w:hint="eastAsia" w:ascii="宋体" w:hAnsi="宋体"/>
          <w:kern w:val="44"/>
        </w:rPr>
        <w:t>　乘客在乘坐出租汽车时应当遵守下列规定：</w:t>
      </w:r>
    </w:p>
    <w:p w14:paraId="3D66A8DE">
      <w:pPr>
        <w:jc w:val="left"/>
        <w:rPr>
          <w:rFonts w:ascii="宋体" w:hAnsi="宋体"/>
          <w:kern w:val="44"/>
        </w:rPr>
      </w:pPr>
      <w:r>
        <w:rPr>
          <w:rFonts w:hint="eastAsia" w:ascii="宋体" w:hAnsi="宋体"/>
          <w:kern w:val="44"/>
        </w:rPr>
        <w:t>（一）文明乘车，不得损坏车内设施，维护车内清洁卫生；</w:t>
      </w:r>
    </w:p>
    <w:p w14:paraId="395B0767">
      <w:pPr>
        <w:jc w:val="left"/>
        <w:rPr>
          <w:rFonts w:ascii="宋体" w:hAnsi="宋体"/>
          <w:kern w:val="44"/>
        </w:rPr>
      </w:pPr>
      <w:r>
        <w:rPr>
          <w:rFonts w:hint="eastAsia" w:ascii="宋体" w:hAnsi="宋体"/>
          <w:kern w:val="44"/>
        </w:rPr>
        <w:t>（二）按照计价器显示的金额交付乘车费用或者按照规定购买车票，不与驾驶员议价；</w:t>
      </w:r>
    </w:p>
    <w:p w14:paraId="4FF2DAEE">
      <w:pPr>
        <w:jc w:val="left"/>
        <w:rPr>
          <w:rFonts w:ascii="宋体" w:hAnsi="宋体"/>
          <w:kern w:val="44"/>
        </w:rPr>
      </w:pPr>
      <w:r>
        <w:rPr>
          <w:rFonts w:hint="eastAsia" w:ascii="宋体" w:hAnsi="宋体"/>
          <w:kern w:val="44"/>
        </w:rPr>
        <w:t>（三）不向驾驶员提出违反出租汽车管理、道路交通管理、治安管理的要求；</w:t>
      </w:r>
    </w:p>
    <w:p w14:paraId="12AAC3AB">
      <w:pPr>
        <w:jc w:val="left"/>
        <w:rPr>
          <w:rFonts w:ascii="宋体" w:hAnsi="宋体"/>
          <w:kern w:val="44"/>
        </w:rPr>
      </w:pPr>
      <w:r>
        <w:rPr>
          <w:rFonts w:hint="eastAsia" w:ascii="宋体" w:hAnsi="宋体"/>
          <w:kern w:val="44"/>
        </w:rPr>
        <w:t>（四）不在车内进行违法活动。</w:t>
      </w:r>
    </w:p>
    <w:p w14:paraId="4345631B">
      <w:pPr>
        <w:ind w:firstLine="422"/>
        <w:jc w:val="left"/>
        <w:rPr>
          <w:rFonts w:ascii="宋体" w:hAnsi="宋体"/>
          <w:kern w:val="44"/>
        </w:rPr>
      </w:pPr>
      <w:r>
        <w:rPr>
          <w:rFonts w:hint="eastAsia" w:ascii="宋体" w:hAnsi="宋体"/>
          <w:b/>
          <w:kern w:val="44"/>
        </w:rPr>
        <w:t>第十八条</w:t>
      </w:r>
      <w:r>
        <w:rPr>
          <w:rFonts w:hint="eastAsia" w:ascii="宋体" w:hAnsi="宋体"/>
          <w:kern w:val="44"/>
        </w:rPr>
        <w:t>　出租汽车乘客对出租汽车经营者及其从业人员在营运中侵犯其合法权益的行为，有权向出租汽车经营者反映或者向交通行政主管部门投诉。</w:t>
      </w:r>
    </w:p>
    <w:p w14:paraId="10CF1D89">
      <w:pPr>
        <w:jc w:val="left"/>
        <w:rPr>
          <w:rFonts w:ascii="宋体" w:hAnsi="宋体"/>
          <w:kern w:val="44"/>
        </w:rPr>
      </w:pPr>
      <w:r>
        <w:rPr>
          <w:rFonts w:hint="eastAsia" w:ascii="宋体" w:hAnsi="宋体"/>
          <w:kern w:val="44"/>
        </w:rPr>
        <w:t>乘客反映服务质量问题或者投诉应当自权利被侵犯之日起30天内提出，投诉时应当提供书面材料和出租汽车专用收费凭证、车辆牌号等证据。</w:t>
      </w:r>
    </w:p>
    <w:p w14:paraId="5A5B61B0">
      <w:pPr>
        <w:ind w:firstLine="422"/>
        <w:jc w:val="left"/>
        <w:rPr>
          <w:rFonts w:ascii="宋体" w:hAnsi="宋体"/>
          <w:kern w:val="44"/>
        </w:rPr>
      </w:pPr>
      <w:r>
        <w:rPr>
          <w:rFonts w:hint="eastAsia" w:ascii="宋体" w:hAnsi="宋体"/>
          <w:b/>
          <w:kern w:val="44"/>
        </w:rPr>
        <w:t>第十九条</w:t>
      </w:r>
      <w:r>
        <w:rPr>
          <w:rFonts w:hint="eastAsia" w:ascii="宋体" w:hAnsi="宋体"/>
          <w:kern w:val="44"/>
        </w:rPr>
        <w:t>　交通行政主管部门受理乘客投诉后，应当及时调查处理，并在30天内将处理结果答复投诉人。</w:t>
      </w:r>
    </w:p>
    <w:p w14:paraId="75F11972">
      <w:pPr>
        <w:spacing w:line="300" w:lineRule="exact"/>
        <w:jc w:val="left"/>
        <w:rPr>
          <w:rFonts w:ascii="宋体" w:hAnsi="宋体"/>
          <w:kern w:val="44"/>
        </w:rPr>
      </w:pPr>
    </w:p>
    <w:p w14:paraId="55A22DEE">
      <w:pPr>
        <w:ind w:firstLine="0" w:firstLineChars="0"/>
        <w:jc w:val="center"/>
        <w:rPr>
          <w:rFonts w:ascii="宋体" w:hAnsi="宋体"/>
          <w:b/>
          <w:kern w:val="44"/>
          <w:sz w:val="28"/>
        </w:rPr>
      </w:pPr>
      <w:r>
        <w:rPr>
          <w:rFonts w:hint="eastAsia" w:ascii="宋体" w:hAnsi="宋体"/>
          <w:b/>
          <w:kern w:val="44"/>
          <w:sz w:val="28"/>
        </w:rPr>
        <w:t>第四章　营业站管理</w:t>
      </w:r>
    </w:p>
    <w:p w14:paraId="225F7B9B">
      <w:pPr>
        <w:spacing w:line="300" w:lineRule="exact"/>
        <w:jc w:val="left"/>
        <w:rPr>
          <w:rFonts w:ascii="宋体" w:hAnsi="宋体"/>
          <w:kern w:val="44"/>
        </w:rPr>
      </w:pPr>
    </w:p>
    <w:p w14:paraId="18F89BCF">
      <w:pPr>
        <w:ind w:firstLine="422"/>
        <w:jc w:val="left"/>
        <w:rPr>
          <w:rFonts w:ascii="宋体" w:hAnsi="宋体"/>
          <w:kern w:val="44"/>
        </w:rPr>
      </w:pPr>
      <w:r>
        <w:rPr>
          <w:rFonts w:hint="eastAsia" w:ascii="宋体" w:hAnsi="宋体"/>
          <w:b/>
          <w:kern w:val="44"/>
        </w:rPr>
        <w:t>第二十条</w:t>
      </w:r>
      <w:r>
        <w:rPr>
          <w:rFonts w:hint="eastAsia" w:ascii="宋体" w:hAnsi="宋体"/>
          <w:kern w:val="44"/>
        </w:rPr>
        <w:t>　出租汽车营业站和停车站，应当按照本市城市规划、道路交通和出租汽车管理等有关规定设置。</w:t>
      </w:r>
    </w:p>
    <w:p w14:paraId="4EEFBC75">
      <w:pPr>
        <w:jc w:val="left"/>
        <w:rPr>
          <w:rFonts w:ascii="宋体" w:hAnsi="宋体"/>
          <w:kern w:val="44"/>
        </w:rPr>
      </w:pPr>
      <w:r>
        <w:rPr>
          <w:rFonts w:hint="eastAsia" w:ascii="宋体" w:hAnsi="宋体"/>
          <w:kern w:val="44"/>
        </w:rPr>
        <w:t>设置、关闭或者拆除出租汽车营业站和停车站，或者改变其用途的，该站的所有者应当按照规定程序提前30天向社会公示。</w:t>
      </w:r>
    </w:p>
    <w:p w14:paraId="092B255E">
      <w:pPr>
        <w:ind w:firstLine="422"/>
        <w:jc w:val="left"/>
        <w:rPr>
          <w:rFonts w:ascii="宋体" w:hAnsi="宋体"/>
          <w:kern w:val="44"/>
        </w:rPr>
      </w:pPr>
      <w:r>
        <w:rPr>
          <w:rFonts w:hint="eastAsia" w:ascii="宋体" w:hAnsi="宋体"/>
          <w:b/>
          <w:kern w:val="44"/>
        </w:rPr>
        <w:t>第二十一条</w:t>
      </w:r>
      <w:r>
        <w:rPr>
          <w:rFonts w:hint="eastAsia" w:ascii="宋体" w:hAnsi="宋体"/>
          <w:kern w:val="44"/>
        </w:rPr>
        <w:t>　机场、火车站、宾馆、饭店、医院等客运业务较集中的公共场所，其主管部门可根据出租汽车发展规划设立出租汽车营业站，公示站区范围，选派调度员，对出租汽车的营运进行调度和管理。</w:t>
      </w:r>
    </w:p>
    <w:p w14:paraId="702C4CBB">
      <w:pPr>
        <w:ind w:firstLine="422"/>
        <w:jc w:val="left"/>
        <w:rPr>
          <w:rFonts w:ascii="宋体" w:hAnsi="宋体"/>
          <w:kern w:val="44"/>
        </w:rPr>
      </w:pPr>
      <w:r>
        <w:rPr>
          <w:rFonts w:hint="eastAsia" w:ascii="宋体" w:hAnsi="宋体"/>
          <w:b/>
          <w:kern w:val="44"/>
        </w:rPr>
        <w:t>第二十二条</w:t>
      </w:r>
      <w:r>
        <w:rPr>
          <w:rFonts w:hint="eastAsia" w:ascii="宋体" w:hAnsi="宋体"/>
          <w:kern w:val="44"/>
        </w:rPr>
        <w:t>　设立出租汽车营业站的单位应当遵守下列规定：</w:t>
      </w:r>
    </w:p>
    <w:p w14:paraId="1E8D3E84">
      <w:pPr>
        <w:jc w:val="left"/>
        <w:rPr>
          <w:rFonts w:ascii="宋体" w:hAnsi="宋体"/>
          <w:kern w:val="44"/>
        </w:rPr>
      </w:pPr>
      <w:r>
        <w:rPr>
          <w:rFonts w:hint="eastAsia" w:ascii="宋体" w:hAnsi="宋体"/>
          <w:kern w:val="44"/>
        </w:rPr>
        <w:t>（一）建立管理责任制度，维护营运秩序，保障乘客用车，制止和纠正扰乱营业站管理秩序的行为；</w:t>
      </w:r>
    </w:p>
    <w:p w14:paraId="7A3796A3">
      <w:pPr>
        <w:jc w:val="left"/>
        <w:rPr>
          <w:rFonts w:ascii="宋体" w:hAnsi="宋体"/>
          <w:kern w:val="44"/>
        </w:rPr>
      </w:pPr>
      <w:r>
        <w:rPr>
          <w:rFonts w:hint="eastAsia" w:ascii="宋体" w:hAnsi="宋体"/>
          <w:kern w:val="44"/>
        </w:rPr>
        <w:t>（二）所设的车站对所有出租汽车和乘客开放，做到公正调派车辆；</w:t>
      </w:r>
    </w:p>
    <w:p w14:paraId="17CAE76C">
      <w:pPr>
        <w:jc w:val="left"/>
        <w:rPr>
          <w:rFonts w:ascii="宋体" w:hAnsi="宋体"/>
          <w:kern w:val="44"/>
        </w:rPr>
      </w:pPr>
      <w:r>
        <w:rPr>
          <w:rFonts w:hint="eastAsia" w:ascii="宋体" w:hAnsi="宋体"/>
          <w:kern w:val="44"/>
        </w:rPr>
        <w:t>（三）对调度员进行法制教育、职业道德教育和业务培训；</w:t>
      </w:r>
    </w:p>
    <w:p w14:paraId="0AC103D5">
      <w:pPr>
        <w:jc w:val="left"/>
        <w:rPr>
          <w:rFonts w:ascii="宋体" w:hAnsi="宋体"/>
          <w:kern w:val="44"/>
        </w:rPr>
      </w:pPr>
      <w:r>
        <w:rPr>
          <w:rFonts w:hint="eastAsia" w:ascii="宋体" w:hAnsi="宋体"/>
          <w:kern w:val="44"/>
        </w:rPr>
        <w:t>（四）发生重大或者紧急情况时，应当妥善处理并及时向交通行政主管部门及有关部门报告；</w:t>
      </w:r>
    </w:p>
    <w:p w14:paraId="001271B2">
      <w:pPr>
        <w:jc w:val="left"/>
        <w:rPr>
          <w:rFonts w:ascii="宋体" w:hAnsi="宋体"/>
          <w:kern w:val="44"/>
        </w:rPr>
      </w:pPr>
      <w:r>
        <w:rPr>
          <w:rFonts w:hint="eastAsia" w:ascii="宋体" w:hAnsi="宋体"/>
          <w:kern w:val="44"/>
        </w:rPr>
        <w:t>（五）接受交通行政主管部门的监督和指导。</w:t>
      </w:r>
    </w:p>
    <w:p w14:paraId="29CD52F7">
      <w:pPr>
        <w:ind w:firstLine="422"/>
        <w:jc w:val="left"/>
        <w:rPr>
          <w:rFonts w:ascii="宋体" w:hAnsi="宋体"/>
          <w:kern w:val="44"/>
        </w:rPr>
      </w:pPr>
      <w:r>
        <w:rPr>
          <w:rFonts w:hint="eastAsia" w:ascii="宋体" w:hAnsi="宋体"/>
          <w:b/>
          <w:kern w:val="44"/>
        </w:rPr>
        <w:t>第二十三条</w:t>
      </w:r>
      <w:r>
        <w:rPr>
          <w:rFonts w:hint="eastAsia" w:ascii="宋体" w:hAnsi="宋体"/>
          <w:kern w:val="44"/>
        </w:rPr>
        <w:t>　出租汽车营业站调度员应当遵守下列规定：</w:t>
      </w:r>
    </w:p>
    <w:p w14:paraId="5CC5BC28">
      <w:pPr>
        <w:jc w:val="left"/>
        <w:rPr>
          <w:rFonts w:ascii="宋体" w:hAnsi="宋体"/>
          <w:kern w:val="44"/>
        </w:rPr>
      </w:pPr>
      <w:r>
        <w:rPr>
          <w:rFonts w:hint="eastAsia" w:ascii="宋体" w:hAnsi="宋体"/>
          <w:kern w:val="44"/>
        </w:rPr>
        <w:t>（一）经市交通行政主管部门考核并取得调度员证件后持证上岗；</w:t>
      </w:r>
    </w:p>
    <w:p w14:paraId="6B4D9962">
      <w:pPr>
        <w:jc w:val="left"/>
        <w:rPr>
          <w:rFonts w:ascii="宋体" w:hAnsi="宋体"/>
          <w:kern w:val="44"/>
        </w:rPr>
      </w:pPr>
      <w:r>
        <w:rPr>
          <w:rFonts w:hint="eastAsia" w:ascii="宋体" w:hAnsi="宋体"/>
          <w:kern w:val="44"/>
        </w:rPr>
        <w:t>（二）服饰整洁、文明礼貌、服务规范；</w:t>
      </w:r>
    </w:p>
    <w:p w14:paraId="35526C0E">
      <w:pPr>
        <w:jc w:val="left"/>
        <w:rPr>
          <w:rFonts w:ascii="宋体" w:hAnsi="宋体"/>
          <w:kern w:val="44"/>
        </w:rPr>
      </w:pPr>
      <w:r>
        <w:rPr>
          <w:rFonts w:hint="eastAsia" w:ascii="宋体" w:hAnsi="宋体"/>
          <w:kern w:val="44"/>
        </w:rPr>
        <w:t>（三）按序派车，做好派车记录；</w:t>
      </w:r>
    </w:p>
    <w:p w14:paraId="2772EB37">
      <w:pPr>
        <w:jc w:val="left"/>
        <w:rPr>
          <w:rFonts w:ascii="宋体" w:hAnsi="宋体"/>
          <w:kern w:val="44"/>
        </w:rPr>
      </w:pPr>
      <w:r>
        <w:rPr>
          <w:rFonts w:hint="eastAsia" w:ascii="宋体" w:hAnsi="宋体"/>
          <w:kern w:val="44"/>
        </w:rPr>
        <w:t>（四）维护营业站秩序，对出租汽车驾驶员扰乱营运秩序的行为进行制止和纠正；</w:t>
      </w:r>
    </w:p>
    <w:p w14:paraId="77152B8B">
      <w:pPr>
        <w:jc w:val="left"/>
        <w:rPr>
          <w:rFonts w:ascii="宋体" w:hAnsi="宋体"/>
          <w:kern w:val="44"/>
        </w:rPr>
      </w:pPr>
      <w:r>
        <w:rPr>
          <w:rFonts w:hint="eastAsia" w:ascii="宋体" w:hAnsi="宋体"/>
          <w:kern w:val="44"/>
        </w:rPr>
        <w:t>（五）对出本市或者夜间到远郊区、县营运的出租汽车进行登记；</w:t>
      </w:r>
    </w:p>
    <w:p w14:paraId="43C187F9">
      <w:pPr>
        <w:jc w:val="left"/>
        <w:rPr>
          <w:rFonts w:ascii="宋体" w:hAnsi="宋体"/>
          <w:kern w:val="44"/>
        </w:rPr>
      </w:pPr>
      <w:r>
        <w:rPr>
          <w:rFonts w:hint="eastAsia" w:ascii="宋体" w:hAnsi="宋体"/>
          <w:kern w:val="44"/>
        </w:rPr>
        <w:t>（六）发现违法犯罪活动或者违法犯罪嫌疑人，应当及时向公安机关报告；</w:t>
      </w:r>
    </w:p>
    <w:p w14:paraId="7FED7795">
      <w:pPr>
        <w:jc w:val="left"/>
        <w:rPr>
          <w:rFonts w:ascii="宋体" w:hAnsi="宋体"/>
          <w:kern w:val="44"/>
        </w:rPr>
      </w:pPr>
      <w:r>
        <w:rPr>
          <w:rFonts w:hint="eastAsia" w:ascii="宋体" w:hAnsi="宋体"/>
          <w:kern w:val="44"/>
        </w:rPr>
        <w:t>（七）不得为出租汽车驾驶员私揽业务或者利用职务牟取私利。</w:t>
      </w:r>
    </w:p>
    <w:p w14:paraId="0722EA0C">
      <w:pPr>
        <w:spacing w:line="300" w:lineRule="exact"/>
        <w:jc w:val="left"/>
        <w:rPr>
          <w:rFonts w:ascii="宋体" w:hAnsi="宋体"/>
          <w:kern w:val="44"/>
        </w:rPr>
      </w:pPr>
    </w:p>
    <w:p w14:paraId="75D6A816">
      <w:pPr>
        <w:ind w:firstLine="0" w:firstLineChars="0"/>
        <w:jc w:val="center"/>
        <w:rPr>
          <w:rFonts w:ascii="宋体" w:hAnsi="宋体"/>
          <w:b/>
          <w:kern w:val="44"/>
          <w:sz w:val="28"/>
        </w:rPr>
      </w:pPr>
      <w:r>
        <w:rPr>
          <w:rFonts w:hint="eastAsia" w:ascii="宋体" w:hAnsi="宋体"/>
          <w:b/>
          <w:kern w:val="44"/>
          <w:sz w:val="28"/>
        </w:rPr>
        <w:t>第五章　法律责任</w:t>
      </w:r>
    </w:p>
    <w:p w14:paraId="5358AC8F">
      <w:pPr>
        <w:spacing w:line="300" w:lineRule="exact"/>
        <w:jc w:val="left"/>
        <w:rPr>
          <w:rFonts w:ascii="宋体" w:hAnsi="宋体"/>
          <w:kern w:val="44"/>
        </w:rPr>
      </w:pPr>
    </w:p>
    <w:p w14:paraId="06D01B12">
      <w:pPr>
        <w:ind w:firstLine="422"/>
        <w:jc w:val="left"/>
        <w:rPr>
          <w:rFonts w:ascii="宋体" w:hAnsi="宋体"/>
          <w:kern w:val="44"/>
        </w:rPr>
      </w:pPr>
      <w:r>
        <w:rPr>
          <w:rFonts w:hint="eastAsia" w:ascii="宋体" w:hAnsi="宋体"/>
          <w:b/>
          <w:kern w:val="44"/>
        </w:rPr>
        <w:t>第二十四条</w:t>
      </w:r>
      <w:r>
        <w:rPr>
          <w:rFonts w:hint="eastAsia" w:ascii="宋体" w:hAnsi="宋体"/>
          <w:kern w:val="44"/>
        </w:rPr>
        <w:t>　违反本条例规定，未经批准擅自经营出租汽车业务的，由交通行政主管部门暂扣车辆，责令停止经营活动，没收违法所得，并按每辆车1万元至2万元处以罚款。</w:t>
      </w:r>
    </w:p>
    <w:p w14:paraId="6F79D0CE">
      <w:pPr>
        <w:jc w:val="left"/>
        <w:rPr>
          <w:rFonts w:ascii="宋体" w:hAnsi="宋体"/>
          <w:kern w:val="44"/>
        </w:rPr>
      </w:pPr>
      <w:r>
        <w:rPr>
          <w:rFonts w:hint="eastAsia" w:ascii="宋体" w:hAnsi="宋体"/>
          <w:kern w:val="44"/>
        </w:rPr>
        <w:t>公安交通管理机关发现无照经营出租汽车业务的，可暂扣车辆，并在5日内移送工商行政管理机关处理。</w:t>
      </w:r>
    </w:p>
    <w:p w14:paraId="73338DE1">
      <w:pPr>
        <w:ind w:firstLine="422"/>
        <w:jc w:val="left"/>
        <w:rPr>
          <w:rFonts w:ascii="宋体" w:hAnsi="宋体"/>
          <w:kern w:val="44"/>
        </w:rPr>
      </w:pPr>
      <w:r>
        <w:rPr>
          <w:rFonts w:hint="eastAsia" w:ascii="宋体" w:hAnsi="宋体"/>
          <w:b/>
          <w:kern w:val="44"/>
        </w:rPr>
        <w:t>第二十五条</w:t>
      </w:r>
      <w:r>
        <w:rPr>
          <w:rFonts w:hint="eastAsia" w:ascii="宋体" w:hAnsi="宋体"/>
          <w:kern w:val="44"/>
        </w:rPr>
        <w:t>　违反本条例的规定，出租汽车经营者未经批准擅自增加或者减少出租汽车营运车辆的，由交通行政主管部门责令限期改正，没收违法所得，并按每增加或者减少一辆车处以2000元至5000元罚款。</w:t>
      </w:r>
    </w:p>
    <w:p w14:paraId="792F2DD7">
      <w:pPr>
        <w:ind w:firstLine="422"/>
        <w:jc w:val="left"/>
        <w:rPr>
          <w:rFonts w:ascii="宋体" w:hAnsi="宋体"/>
          <w:kern w:val="44"/>
        </w:rPr>
      </w:pPr>
      <w:r>
        <w:rPr>
          <w:rFonts w:hint="eastAsia" w:ascii="宋体" w:hAnsi="宋体"/>
          <w:b/>
          <w:kern w:val="44"/>
        </w:rPr>
        <w:t>第二十六条</w:t>
      </w:r>
      <w:r>
        <w:rPr>
          <w:rFonts w:hint="eastAsia" w:ascii="宋体" w:hAnsi="宋体"/>
          <w:kern w:val="44"/>
        </w:rPr>
        <w:t>　出租汽车经营者和驾驶员、乘务员、调度员不符合本条例规定的资质条件的，由交通行政主管部门责令限期改正。逾期未改正的，吊销出租汽车经营者的经营许可证件和驾驶员、乘务员的营运资格证件、调度员的调度员证。</w:t>
      </w:r>
    </w:p>
    <w:p w14:paraId="0E042D1D">
      <w:pPr>
        <w:jc w:val="left"/>
        <w:rPr>
          <w:rFonts w:ascii="宋体" w:hAnsi="宋体"/>
          <w:kern w:val="44"/>
        </w:rPr>
      </w:pPr>
      <w:r>
        <w:rPr>
          <w:rFonts w:hint="eastAsia" w:ascii="宋体" w:hAnsi="宋体"/>
          <w:kern w:val="44"/>
        </w:rPr>
        <w:t>营运车辆不符合本条例规定的运营条件的，由交通行政主管部门责令经营者限期改正。逾期未改正的，吊销车辆营运证件。</w:t>
      </w:r>
    </w:p>
    <w:p w14:paraId="7600EAC1">
      <w:pPr>
        <w:ind w:firstLine="422"/>
        <w:jc w:val="left"/>
        <w:rPr>
          <w:rFonts w:ascii="宋体" w:hAnsi="宋体"/>
          <w:kern w:val="44"/>
        </w:rPr>
      </w:pPr>
      <w:r>
        <w:rPr>
          <w:rFonts w:hint="eastAsia" w:ascii="宋体" w:hAnsi="宋体"/>
          <w:b/>
          <w:kern w:val="44"/>
        </w:rPr>
        <w:t>第二十七条</w:t>
      </w:r>
      <w:r>
        <w:rPr>
          <w:rFonts w:hint="eastAsia" w:ascii="宋体" w:hAnsi="宋体"/>
          <w:kern w:val="44"/>
        </w:rPr>
        <w:t>　出租汽车经营者违反本条例，有下列行为之一的，由交通行政主管部门给予警告，并可处以200元至2000元的罚款；情节严重的，处以2000元至2万元罚款，并可责令停业整顿3天至7天：</w:t>
      </w:r>
    </w:p>
    <w:p w14:paraId="78994A43">
      <w:pPr>
        <w:jc w:val="left"/>
        <w:rPr>
          <w:rFonts w:ascii="宋体" w:hAnsi="宋体"/>
          <w:kern w:val="44"/>
        </w:rPr>
      </w:pPr>
      <w:r>
        <w:rPr>
          <w:rFonts w:hint="eastAsia" w:ascii="宋体" w:hAnsi="宋体"/>
          <w:kern w:val="44"/>
        </w:rPr>
        <w:t>（一）未按规定建立或者执行各项规章制度；</w:t>
      </w:r>
    </w:p>
    <w:p w14:paraId="6211D5D1">
      <w:pPr>
        <w:jc w:val="left"/>
        <w:rPr>
          <w:rFonts w:ascii="宋体" w:hAnsi="宋体"/>
          <w:kern w:val="44"/>
        </w:rPr>
      </w:pPr>
      <w:r>
        <w:rPr>
          <w:rFonts w:hint="eastAsia" w:ascii="宋体" w:hAnsi="宋体"/>
          <w:kern w:val="44"/>
        </w:rPr>
        <w:t>（二）对乘客和用户提出的服务质量问题置之不理或者不及时处理；</w:t>
      </w:r>
    </w:p>
    <w:p w14:paraId="2DF62272">
      <w:pPr>
        <w:jc w:val="left"/>
        <w:rPr>
          <w:rFonts w:ascii="宋体" w:hAnsi="宋体"/>
          <w:kern w:val="44"/>
        </w:rPr>
      </w:pPr>
      <w:r>
        <w:rPr>
          <w:rFonts w:hint="eastAsia" w:ascii="宋体" w:hAnsi="宋体"/>
          <w:kern w:val="44"/>
        </w:rPr>
        <w:t>（三）使用无营运资格证件、被暂扣营运资格证件的驾驶员或者非本单位的驾驶员驾驶车辆营运；</w:t>
      </w:r>
    </w:p>
    <w:p w14:paraId="06ACD0C9">
      <w:pPr>
        <w:jc w:val="left"/>
        <w:rPr>
          <w:rFonts w:ascii="宋体" w:hAnsi="宋体"/>
          <w:kern w:val="44"/>
        </w:rPr>
      </w:pPr>
      <w:r>
        <w:rPr>
          <w:rFonts w:hint="eastAsia" w:ascii="宋体" w:hAnsi="宋体"/>
          <w:kern w:val="44"/>
        </w:rPr>
        <w:t>（四）不执行交通行政主管部门协调营运业务的措施；</w:t>
      </w:r>
    </w:p>
    <w:p w14:paraId="50365404">
      <w:pPr>
        <w:jc w:val="left"/>
        <w:rPr>
          <w:rFonts w:ascii="宋体" w:hAnsi="宋体"/>
          <w:kern w:val="44"/>
        </w:rPr>
      </w:pPr>
      <w:r>
        <w:rPr>
          <w:rFonts w:hint="eastAsia" w:ascii="宋体" w:hAnsi="宋体"/>
          <w:kern w:val="44"/>
        </w:rPr>
        <w:t>（五）法定代表人和管理人员不按照规定参加市交通行政主管部门组织的培训或者未经培训合格擅自上岗；</w:t>
      </w:r>
    </w:p>
    <w:p w14:paraId="70521488">
      <w:pPr>
        <w:jc w:val="left"/>
        <w:rPr>
          <w:rFonts w:ascii="宋体" w:hAnsi="宋体"/>
          <w:kern w:val="44"/>
        </w:rPr>
      </w:pPr>
      <w:r>
        <w:rPr>
          <w:rFonts w:hint="eastAsia" w:ascii="宋体" w:hAnsi="宋体"/>
          <w:kern w:val="44"/>
        </w:rPr>
        <w:t>（六）未按照规定报送各类营运报表的或者拒绝交通行政主管部门对营运资料、票证进行查阅。</w:t>
      </w:r>
    </w:p>
    <w:p w14:paraId="52F32003">
      <w:pPr>
        <w:ind w:firstLine="422"/>
        <w:jc w:val="left"/>
        <w:rPr>
          <w:rFonts w:ascii="宋体" w:hAnsi="宋体"/>
          <w:kern w:val="44"/>
        </w:rPr>
      </w:pPr>
      <w:r>
        <w:rPr>
          <w:rFonts w:hint="eastAsia" w:ascii="宋体" w:hAnsi="宋体"/>
          <w:b/>
          <w:kern w:val="44"/>
        </w:rPr>
        <w:t>第二十八条</w:t>
      </w:r>
      <w:r>
        <w:rPr>
          <w:rFonts w:hint="eastAsia" w:ascii="宋体" w:hAnsi="宋体"/>
          <w:kern w:val="44"/>
        </w:rPr>
        <w:t>　旅游客运汽车经营者或者驾驶员、乘务员违反本条例的规定，有下列行为之一的，由交通行政主管部门对旅游客运汽车经营者处以500元至5000元的罚款，情节严重的，处以5000元至2万元的罚款，并可责令停业整顿3天至7天；对责任者个人处200元至1000元的罚款，在其营运资格证件上作违章记录，暂扣其营运资格证件1个月至3个月；情节严重的，吊销其营运资格证件：</w:t>
      </w:r>
    </w:p>
    <w:p w14:paraId="4804BE77">
      <w:pPr>
        <w:jc w:val="left"/>
        <w:rPr>
          <w:rFonts w:ascii="宋体" w:hAnsi="宋体"/>
          <w:kern w:val="44"/>
        </w:rPr>
      </w:pPr>
      <w:r>
        <w:rPr>
          <w:rFonts w:hint="eastAsia" w:ascii="宋体" w:hAnsi="宋体"/>
          <w:kern w:val="44"/>
        </w:rPr>
        <w:t>（一）未按照规定的时间、地点售票、发车、营运；</w:t>
      </w:r>
    </w:p>
    <w:p w14:paraId="0DDF1C67">
      <w:pPr>
        <w:jc w:val="left"/>
        <w:rPr>
          <w:rFonts w:ascii="宋体" w:hAnsi="宋体"/>
          <w:kern w:val="44"/>
        </w:rPr>
      </w:pPr>
      <w:r>
        <w:rPr>
          <w:rFonts w:hint="eastAsia" w:ascii="宋体" w:hAnsi="宋体"/>
          <w:kern w:val="44"/>
        </w:rPr>
        <w:t>（二）强行为乘客代买旅游景点门票或者参观券；</w:t>
      </w:r>
    </w:p>
    <w:p w14:paraId="2937DD73">
      <w:pPr>
        <w:jc w:val="left"/>
        <w:rPr>
          <w:rFonts w:ascii="宋体" w:hAnsi="宋体"/>
          <w:kern w:val="44"/>
        </w:rPr>
      </w:pPr>
      <w:r>
        <w:rPr>
          <w:rFonts w:hint="eastAsia" w:ascii="宋体" w:hAnsi="宋体"/>
          <w:kern w:val="44"/>
        </w:rPr>
        <w:t>（三）擅自将旅游客运业务转让其他单位或者个人经营；</w:t>
      </w:r>
    </w:p>
    <w:p w14:paraId="525EEB79">
      <w:pPr>
        <w:jc w:val="left"/>
        <w:rPr>
          <w:rFonts w:ascii="宋体" w:hAnsi="宋体"/>
          <w:kern w:val="44"/>
        </w:rPr>
      </w:pPr>
      <w:r>
        <w:rPr>
          <w:rFonts w:hint="eastAsia" w:ascii="宋体" w:hAnsi="宋体"/>
          <w:kern w:val="44"/>
        </w:rPr>
        <w:t>（四）违反乘客意愿将乘客载至旅游景点、旅馆、饭店、商店等处参观、住宿、用餐、购物；</w:t>
      </w:r>
    </w:p>
    <w:p w14:paraId="2443C1ED">
      <w:pPr>
        <w:jc w:val="left"/>
        <w:rPr>
          <w:rFonts w:ascii="宋体" w:hAnsi="宋体"/>
          <w:kern w:val="44"/>
        </w:rPr>
      </w:pPr>
      <w:r>
        <w:rPr>
          <w:rFonts w:hint="eastAsia" w:ascii="宋体" w:hAnsi="宋体"/>
          <w:kern w:val="44"/>
        </w:rPr>
        <w:t>（五）索取、收受回扣。</w:t>
      </w:r>
    </w:p>
    <w:p w14:paraId="4D672E77">
      <w:pPr>
        <w:ind w:firstLine="422"/>
        <w:jc w:val="left"/>
        <w:rPr>
          <w:rFonts w:ascii="宋体" w:hAnsi="宋体"/>
          <w:kern w:val="44"/>
        </w:rPr>
      </w:pPr>
      <w:r>
        <w:rPr>
          <w:rFonts w:hint="eastAsia" w:ascii="宋体" w:hAnsi="宋体"/>
          <w:b/>
          <w:kern w:val="44"/>
        </w:rPr>
        <w:t>第二十九条</w:t>
      </w:r>
      <w:r>
        <w:rPr>
          <w:rFonts w:hint="eastAsia" w:ascii="宋体" w:hAnsi="宋体"/>
          <w:kern w:val="44"/>
        </w:rPr>
        <w:t>　出租汽车驾驶员违反本条例第十六条第（一）、（三）、（五）、（六）、（七）、（九）、（十）、（十二）、（十三）、（十五）、（十七）、（二十）项规定的，由交通行政主管部门给予警告、并可处以100元至1000元的罚款；情节严重的，处以1000元至2000元的罚款，在营运资格证件上作违章记录，并可暂扣营运资格证件1个月至3个月。</w:t>
      </w:r>
    </w:p>
    <w:p w14:paraId="2CAEED70">
      <w:pPr>
        <w:ind w:firstLine="422"/>
        <w:jc w:val="left"/>
        <w:rPr>
          <w:rFonts w:ascii="宋体" w:hAnsi="宋体"/>
          <w:kern w:val="44"/>
        </w:rPr>
      </w:pPr>
      <w:r>
        <w:rPr>
          <w:rFonts w:hint="eastAsia" w:ascii="宋体" w:hAnsi="宋体"/>
          <w:b/>
          <w:kern w:val="44"/>
        </w:rPr>
        <w:t>第三十条</w:t>
      </w:r>
      <w:r>
        <w:rPr>
          <w:rFonts w:hint="eastAsia" w:ascii="宋体" w:hAnsi="宋体"/>
          <w:kern w:val="44"/>
        </w:rPr>
        <w:t>　出租汽车驾驶员违反本条例第十七条的规定，拒绝载客或者中途终止客运服务的，由交通行政主管部门处以1000元至2000元的罚款，在营运资格证件上作违章记录，并可暂扣营运资格证件1个月至3个月；情节严重的，吊销营运资格证件。</w:t>
      </w:r>
    </w:p>
    <w:p w14:paraId="7162060F">
      <w:pPr>
        <w:ind w:firstLine="422"/>
        <w:jc w:val="left"/>
        <w:rPr>
          <w:rFonts w:ascii="宋体" w:hAnsi="宋体"/>
          <w:kern w:val="44"/>
        </w:rPr>
      </w:pPr>
      <w:r>
        <w:rPr>
          <w:rFonts w:hint="eastAsia" w:ascii="宋体" w:hAnsi="宋体"/>
          <w:b/>
          <w:kern w:val="44"/>
        </w:rPr>
        <w:t>第三十一条</w:t>
      </w:r>
      <w:r>
        <w:rPr>
          <w:rFonts w:hint="eastAsia" w:ascii="宋体" w:hAnsi="宋体"/>
          <w:kern w:val="44"/>
        </w:rPr>
        <w:t>　出租汽车驾驶员违反本条例的规定，私自拆除、改装计价器或者在计价器上弄虚作假的，由交通行政主管部门吊销其营运资格证件。</w:t>
      </w:r>
    </w:p>
    <w:p w14:paraId="5E1C1BC8">
      <w:pPr>
        <w:jc w:val="left"/>
        <w:rPr>
          <w:rFonts w:ascii="宋体" w:hAnsi="宋体"/>
          <w:kern w:val="44"/>
        </w:rPr>
      </w:pPr>
      <w:r>
        <w:rPr>
          <w:rFonts w:hint="eastAsia" w:ascii="宋体" w:hAnsi="宋体"/>
          <w:kern w:val="44"/>
        </w:rPr>
        <w:t>出租汽车驾驶员违反本条例的规定，在营运中发生严重服务质量事故或者利用出租汽车为违法犯罪活动提供方便的，由交通行政主管部门吊销其营运资格证件。</w:t>
      </w:r>
    </w:p>
    <w:p w14:paraId="2F65979B">
      <w:pPr>
        <w:ind w:firstLine="422"/>
        <w:jc w:val="left"/>
        <w:rPr>
          <w:rFonts w:ascii="宋体" w:hAnsi="宋体"/>
          <w:kern w:val="44"/>
        </w:rPr>
      </w:pPr>
      <w:r>
        <w:rPr>
          <w:rFonts w:hint="eastAsia" w:ascii="宋体" w:hAnsi="宋体"/>
          <w:b/>
          <w:kern w:val="44"/>
        </w:rPr>
        <w:t>第三十二条</w:t>
      </w:r>
      <w:r>
        <w:rPr>
          <w:rFonts w:hint="eastAsia" w:ascii="宋体" w:hAnsi="宋体"/>
          <w:kern w:val="44"/>
        </w:rPr>
        <w:t>　设立出租汽车营业站的单位违反本条例第二十三条第（一）、（二）、（四）项规定的，由交通行政主管部门给予警告，并可处以200元至2000元的罚款；情节严重的，处以2000元至2万元的罚款。</w:t>
      </w:r>
    </w:p>
    <w:p w14:paraId="16E27259">
      <w:pPr>
        <w:jc w:val="left"/>
        <w:rPr>
          <w:rFonts w:ascii="宋体" w:hAnsi="宋体"/>
          <w:kern w:val="44"/>
        </w:rPr>
      </w:pPr>
      <w:r>
        <w:rPr>
          <w:rFonts w:hint="eastAsia" w:ascii="宋体" w:hAnsi="宋体"/>
          <w:kern w:val="44"/>
        </w:rPr>
        <w:t>出租汽车营业站调度员违反本条例第二十四条第（一）、（二）、（三）、（四）、（七）项规定的， 由交通行政主管部门给予警告，并可处以100元至1000元的罚款，暂扣调度员证1个月至3个月；情节严重的，吊销其调度员证。</w:t>
      </w:r>
    </w:p>
    <w:p w14:paraId="2457D79F">
      <w:pPr>
        <w:ind w:firstLine="422"/>
        <w:jc w:val="left"/>
        <w:rPr>
          <w:rFonts w:ascii="宋体" w:hAnsi="宋体"/>
          <w:kern w:val="44"/>
        </w:rPr>
      </w:pPr>
      <w:r>
        <w:rPr>
          <w:rFonts w:hint="eastAsia" w:ascii="宋体" w:hAnsi="宋体"/>
          <w:b/>
          <w:kern w:val="44"/>
        </w:rPr>
        <w:t>第三十三条</w:t>
      </w:r>
      <w:r>
        <w:rPr>
          <w:rFonts w:hint="eastAsia" w:ascii="宋体" w:hAnsi="宋体"/>
          <w:kern w:val="44"/>
        </w:rPr>
        <w:t>　出租汽车经营者治安保卫责任制不落实，多次发生治安案件，由公安机关依照有关规定处以罚款；情节严重的，责令其停业整顿3天至7天。</w:t>
      </w:r>
    </w:p>
    <w:p w14:paraId="55D50824">
      <w:pPr>
        <w:jc w:val="left"/>
        <w:rPr>
          <w:rFonts w:ascii="宋体" w:hAnsi="宋体"/>
          <w:kern w:val="44"/>
        </w:rPr>
      </w:pPr>
      <w:r>
        <w:rPr>
          <w:rFonts w:hint="eastAsia" w:ascii="宋体" w:hAnsi="宋体"/>
          <w:kern w:val="44"/>
        </w:rPr>
        <w:t>出租汽车驾驶员或者调度员擅自拆除安全防护装置的，出本市或者夜间去远郊区、县营运不按规定登记的，由公安机关处以200元以下罚款；情节严重的， 由交通行政主管部门吊销其营运资格证件或者调度员证。</w:t>
      </w:r>
    </w:p>
    <w:p w14:paraId="7E6F4A7E">
      <w:pPr>
        <w:ind w:firstLine="422"/>
        <w:jc w:val="left"/>
        <w:rPr>
          <w:rFonts w:ascii="宋体" w:hAnsi="宋体"/>
          <w:kern w:val="44"/>
        </w:rPr>
      </w:pPr>
      <w:r>
        <w:rPr>
          <w:rFonts w:hint="eastAsia" w:ascii="宋体" w:hAnsi="宋体"/>
          <w:b/>
          <w:kern w:val="44"/>
        </w:rPr>
        <w:t>第三十四条</w:t>
      </w:r>
      <w:r>
        <w:rPr>
          <w:rFonts w:hint="eastAsia" w:ascii="宋体" w:hAnsi="宋体"/>
          <w:kern w:val="44"/>
        </w:rPr>
        <w:t>　出租汽车驾驶员一年内违章记录达到两次或者被暂扣营运资格证件的时间在6个月以下的，由市交通行政主管部门对其进行培训，经考试合格方可重新上岗。</w:t>
      </w:r>
    </w:p>
    <w:p w14:paraId="00144EBD">
      <w:pPr>
        <w:jc w:val="left"/>
        <w:rPr>
          <w:rFonts w:ascii="宋体" w:hAnsi="宋体"/>
          <w:kern w:val="44"/>
        </w:rPr>
      </w:pPr>
      <w:r>
        <w:rPr>
          <w:rFonts w:hint="eastAsia" w:ascii="宋体" w:hAnsi="宋体"/>
          <w:kern w:val="44"/>
        </w:rPr>
        <w:t>出租汽车驾驶员一年内违章记录达到三次或者被暂扣营运资格证件的时间累计达到6个月以上的，以及在被暂扣营运资格证件期间继续营运载客的，由市交通行政主管部门吊销其营运资格证件。</w:t>
      </w:r>
    </w:p>
    <w:p w14:paraId="12465DE7">
      <w:pPr>
        <w:ind w:firstLine="422"/>
        <w:jc w:val="left"/>
        <w:rPr>
          <w:rFonts w:ascii="宋体" w:hAnsi="宋体"/>
          <w:kern w:val="44"/>
        </w:rPr>
      </w:pPr>
      <w:r>
        <w:rPr>
          <w:rFonts w:hint="eastAsia" w:ascii="宋体" w:hAnsi="宋体"/>
          <w:b/>
          <w:kern w:val="44"/>
        </w:rPr>
        <w:t>第三十五条</w:t>
      </w:r>
      <w:r>
        <w:rPr>
          <w:rFonts w:hint="eastAsia" w:ascii="宋体" w:hAnsi="宋体"/>
          <w:kern w:val="44"/>
        </w:rPr>
        <w:t>　出租汽车经营者因管理不善，本单位出租汽车驾驶员、乘务员、调度员违法行为严重、服务质量低劣，由交通行政主管部门对出租汽车经营者处以3000元至3万元罚款，并可责令停业整顿5天至15天。</w:t>
      </w:r>
    </w:p>
    <w:p w14:paraId="6B4A4C71">
      <w:pPr>
        <w:ind w:firstLine="422"/>
        <w:jc w:val="left"/>
        <w:rPr>
          <w:rFonts w:ascii="宋体" w:hAnsi="宋体"/>
          <w:kern w:val="44"/>
        </w:rPr>
      </w:pPr>
      <w:r>
        <w:rPr>
          <w:rFonts w:hint="eastAsia" w:ascii="宋体" w:hAnsi="宋体"/>
          <w:b/>
          <w:kern w:val="44"/>
        </w:rPr>
        <w:t>第三十六条</w:t>
      </w:r>
      <w:r>
        <w:rPr>
          <w:rFonts w:hint="eastAsia" w:ascii="宋体" w:hAnsi="宋体"/>
          <w:kern w:val="44"/>
        </w:rPr>
        <w:t>　违反本条例，属于违反工商行政、税务、物价、劳动、公安、公安交通、技术监督和旅游等管理方面的法律、法规和规章的，由有关主管部门依法处理。</w:t>
      </w:r>
    </w:p>
    <w:p w14:paraId="63AD89C6">
      <w:pPr>
        <w:ind w:firstLine="422"/>
        <w:jc w:val="left"/>
        <w:rPr>
          <w:rFonts w:ascii="宋体" w:hAnsi="宋体"/>
          <w:kern w:val="44"/>
        </w:rPr>
      </w:pPr>
      <w:r>
        <w:rPr>
          <w:rFonts w:hint="eastAsia" w:ascii="宋体" w:hAnsi="宋体"/>
          <w:b/>
          <w:kern w:val="44"/>
        </w:rPr>
        <w:t>第三十七条</w:t>
      </w:r>
      <w:r>
        <w:rPr>
          <w:rFonts w:hint="eastAsia" w:ascii="宋体" w:hAnsi="宋体"/>
          <w:kern w:val="44"/>
        </w:rPr>
        <w:t>　交通行政主管部门的工作人员滥用职权、玩忽职守、徇私舞弊的，由其所在单位或者上级主管部门给予行政处分；构成犯罪的，依法追究其刑事责任。</w:t>
      </w:r>
    </w:p>
    <w:p w14:paraId="3D3A9B2C">
      <w:pPr>
        <w:jc w:val="left"/>
        <w:rPr>
          <w:rFonts w:ascii="宋体" w:hAnsi="宋体"/>
          <w:kern w:val="44"/>
        </w:rPr>
      </w:pPr>
    </w:p>
    <w:p w14:paraId="181F0777">
      <w:pPr>
        <w:ind w:firstLine="0" w:firstLineChars="0"/>
        <w:jc w:val="center"/>
        <w:rPr>
          <w:rFonts w:ascii="宋体" w:hAnsi="宋体"/>
          <w:b/>
          <w:kern w:val="44"/>
          <w:sz w:val="28"/>
        </w:rPr>
      </w:pPr>
      <w:r>
        <w:rPr>
          <w:rFonts w:hint="eastAsia" w:ascii="宋体" w:hAnsi="宋体"/>
          <w:b/>
          <w:kern w:val="44"/>
          <w:sz w:val="28"/>
        </w:rPr>
        <w:t>第六章　附　则</w:t>
      </w:r>
    </w:p>
    <w:p w14:paraId="72E7FBAD">
      <w:pPr>
        <w:jc w:val="left"/>
        <w:rPr>
          <w:rFonts w:ascii="宋体" w:hAnsi="宋体"/>
          <w:kern w:val="44"/>
        </w:rPr>
      </w:pPr>
    </w:p>
    <w:p w14:paraId="264120AF">
      <w:pPr>
        <w:ind w:firstLine="422"/>
        <w:jc w:val="left"/>
        <w:rPr>
          <w:rFonts w:ascii="宋体" w:hAnsi="宋体"/>
          <w:kern w:val="44"/>
        </w:rPr>
      </w:pPr>
      <w:r>
        <w:rPr>
          <w:rFonts w:hint="eastAsia" w:ascii="宋体" w:hAnsi="宋体"/>
          <w:b/>
          <w:kern w:val="44"/>
        </w:rPr>
        <w:t>第三十八条</w:t>
      </w:r>
      <w:r>
        <w:rPr>
          <w:rFonts w:hint="eastAsia" w:ascii="宋体" w:hAnsi="宋体"/>
          <w:kern w:val="44"/>
        </w:rPr>
        <w:t>　本条例自1998年1月1日起施行。1991年4月6日市人民政府发布的 《北京市人民政府关于取缔无照经营出租汽车的暂行规定》、1993年8月14日市人民政府发布的《北京市旅游客运汽车运营管理办法》和1995年7月5日市人民政府发布的《北京市出租汽车管理办法》同时废止。</w:t>
      </w:r>
    </w:p>
    <w:p w14:paraId="7C0E4DC4">
      <w:pPr>
        <w:pStyle w:val="4"/>
        <w:pageBreakBefore/>
        <w:rPr>
          <w:kern w:val="44"/>
        </w:rPr>
      </w:pPr>
      <w:bookmarkStart w:id="537" w:name="_Toc427651810"/>
      <w:bookmarkStart w:id="538" w:name="_Toc422471161"/>
      <w:bookmarkStart w:id="539" w:name="_Toc428780034"/>
      <w:bookmarkStart w:id="540" w:name="_Toc428781516"/>
      <w:bookmarkStart w:id="541" w:name="_Toc427651468"/>
      <w:r>
        <w:rPr>
          <w:rFonts w:hint="eastAsia"/>
          <w:kern w:val="44"/>
        </w:rPr>
        <w:t>北京市实施《中华人民共和国</w:t>
      </w:r>
      <w:bookmarkEnd w:id="537"/>
      <w:bookmarkEnd w:id="538"/>
      <w:bookmarkEnd w:id="539"/>
      <w:bookmarkEnd w:id="540"/>
      <w:bookmarkEnd w:id="541"/>
    </w:p>
    <w:p w14:paraId="5B31ADC2">
      <w:pPr>
        <w:pStyle w:val="4"/>
        <w:rPr>
          <w:kern w:val="44"/>
        </w:rPr>
      </w:pPr>
      <w:bookmarkStart w:id="542" w:name="_Toc428781517"/>
      <w:bookmarkStart w:id="543" w:name="_Toc427651811"/>
      <w:bookmarkStart w:id="544" w:name="_Toc422471162"/>
      <w:bookmarkStart w:id="545" w:name="_Toc427651469"/>
      <w:bookmarkStart w:id="546" w:name="_Toc428780035"/>
      <w:r>
        <w:rPr>
          <w:rFonts w:hint="eastAsia"/>
          <w:kern w:val="44"/>
        </w:rPr>
        <w:t>道路交通安全法》办法</w:t>
      </w:r>
      <w:bookmarkEnd w:id="542"/>
      <w:bookmarkEnd w:id="543"/>
      <w:bookmarkEnd w:id="544"/>
      <w:bookmarkEnd w:id="545"/>
      <w:bookmarkEnd w:id="546"/>
    </w:p>
    <w:p w14:paraId="1EA5B2DF">
      <w:pPr>
        <w:ind w:left="630" w:leftChars="300" w:right="630" w:rightChars="300"/>
        <w:jc w:val="left"/>
        <w:rPr>
          <w:rFonts w:ascii="楷体" w:hAnsi="楷体" w:eastAsia="楷体"/>
          <w:kern w:val="44"/>
        </w:rPr>
      </w:pPr>
      <w:r>
        <w:rPr>
          <w:rFonts w:hint="eastAsia" w:ascii="楷体" w:hAnsi="楷体" w:eastAsia="楷体"/>
          <w:kern w:val="44"/>
        </w:rPr>
        <w:t>（2004年10月22日北京市第十二届人民代表大会常务委员会第十五次会议通过　根据2010年12月23日北京市第十三届人民代表大会常务委员会第二十二次会议《关于修改部分地方性法规的决定》修正）</w:t>
      </w:r>
    </w:p>
    <w:p w14:paraId="662AD32E">
      <w:pPr>
        <w:ind w:left="630" w:leftChars="300" w:right="630" w:rightChars="300"/>
        <w:jc w:val="left"/>
        <w:rPr>
          <w:rFonts w:ascii="楷体" w:hAnsi="楷体" w:eastAsia="楷体"/>
          <w:kern w:val="44"/>
        </w:rPr>
      </w:pPr>
    </w:p>
    <w:p w14:paraId="5822FC1B">
      <w:pPr>
        <w:ind w:firstLine="0" w:firstLineChars="0"/>
        <w:jc w:val="center"/>
        <w:rPr>
          <w:rFonts w:ascii="宋体" w:hAnsi="宋体"/>
          <w:b/>
          <w:kern w:val="44"/>
          <w:sz w:val="28"/>
        </w:rPr>
      </w:pPr>
      <w:r>
        <w:rPr>
          <w:rFonts w:hint="eastAsia" w:ascii="宋体" w:hAnsi="宋体"/>
          <w:b/>
          <w:kern w:val="44"/>
          <w:sz w:val="28"/>
        </w:rPr>
        <w:t>第一章　总　则</w:t>
      </w:r>
    </w:p>
    <w:p w14:paraId="0CA228A7">
      <w:pPr>
        <w:jc w:val="left"/>
        <w:rPr>
          <w:rFonts w:ascii="宋体" w:hAnsi="宋体"/>
          <w:kern w:val="44"/>
        </w:rPr>
      </w:pPr>
    </w:p>
    <w:p w14:paraId="26C19A05">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为了实施《中华人民共和国道路交通安全法》和《中华人民共和国道路交通安全法实施条例》，结合本市实际情况，制定本办法。</w:t>
      </w:r>
    </w:p>
    <w:p w14:paraId="05532AEF">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在本市行政区域内道路上通行的车辆驾驶人、行人、乘车人以及与道路交通活动有关的单位和个人，应当遵守《中华人民共和国道路交通安全法》、《中华人民共和国道路交通安全法实施条例》和本办法。</w:t>
      </w:r>
    </w:p>
    <w:p w14:paraId="7F08A1E4">
      <w:pPr>
        <w:ind w:firstLine="422"/>
        <w:jc w:val="left"/>
        <w:rPr>
          <w:rFonts w:ascii="宋体" w:hAnsi="宋体"/>
          <w:kern w:val="44"/>
        </w:rPr>
      </w:pPr>
      <w:r>
        <w:rPr>
          <w:rFonts w:hint="eastAsia" w:ascii="宋体" w:hAnsi="宋体"/>
          <w:b/>
          <w:kern w:val="44"/>
        </w:rPr>
        <w:t>第三条</w:t>
      </w:r>
      <w:r>
        <w:rPr>
          <w:rFonts w:hint="eastAsia" w:ascii="宋体" w:hAnsi="宋体"/>
          <w:kern w:val="44"/>
        </w:rPr>
        <w:t>　本市道路交通安全工作，应当遵循依法管理、方便群众的原则，保障道路交通的有序、安全、畅通。</w:t>
      </w:r>
    </w:p>
    <w:p w14:paraId="4A808C1E">
      <w:pPr>
        <w:ind w:firstLine="422"/>
        <w:jc w:val="left"/>
        <w:rPr>
          <w:rFonts w:ascii="宋体" w:hAnsi="宋体"/>
          <w:kern w:val="44"/>
        </w:rPr>
      </w:pPr>
      <w:r>
        <w:rPr>
          <w:rFonts w:hint="eastAsia" w:ascii="宋体" w:hAnsi="宋体"/>
          <w:b/>
          <w:kern w:val="44"/>
        </w:rPr>
        <w:t>第四条</w:t>
      </w:r>
      <w:r>
        <w:rPr>
          <w:rFonts w:hint="eastAsia" w:ascii="宋体" w:hAnsi="宋体"/>
          <w:kern w:val="44"/>
        </w:rPr>
        <w:t>　本市道路交通安全管理工作应当与经济建设和社会发展、城市布局和交通需求相适应。城市规划应当与道路交通安全相协调，合理配置道路资源，完善交通基础设施，发展公共交通，提高道路交通安全管理的现代化水平。</w:t>
      </w:r>
    </w:p>
    <w:p w14:paraId="4785C386">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人民政府领导道路交通安全管理工作，组织有关部门确定管理目标，增加对道路交通安全基础设施和科技管理手段的投入；建立、健全道路交通安全管理工作的协调机制、重大建设项目的交通影响评价制度和道路交通安全防范责任制度；制定道路交通安全设施、交通文明建设、科学研究与应用等道路交通安全管理规划和实施方案，并组织实施。</w:t>
      </w:r>
    </w:p>
    <w:p w14:paraId="04F3AAA3">
      <w:pPr>
        <w:ind w:firstLine="422"/>
        <w:jc w:val="left"/>
        <w:rPr>
          <w:rFonts w:ascii="宋体" w:hAnsi="宋体"/>
          <w:kern w:val="44"/>
        </w:rPr>
      </w:pPr>
      <w:r>
        <w:rPr>
          <w:rFonts w:hint="eastAsia" w:ascii="宋体" w:hAnsi="宋体"/>
          <w:b/>
          <w:kern w:val="44"/>
        </w:rPr>
        <w:t>第六条</w:t>
      </w:r>
      <w:r>
        <w:rPr>
          <w:rFonts w:hint="eastAsia" w:ascii="宋体" w:hAnsi="宋体"/>
          <w:kern w:val="44"/>
        </w:rPr>
        <w:t>　本市公安机关交通管理部门负责本市行政区域内道路交通安全管理工作。</w:t>
      </w:r>
    </w:p>
    <w:p w14:paraId="74659E0B">
      <w:pPr>
        <w:jc w:val="left"/>
        <w:rPr>
          <w:rFonts w:ascii="宋体" w:hAnsi="宋体"/>
          <w:kern w:val="44"/>
        </w:rPr>
      </w:pPr>
      <w:r>
        <w:rPr>
          <w:rFonts w:hint="eastAsia" w:ascii="宋体" w:hAnsi="宋体"/>
          <w:kern w:val="44"/>
        </w:rPr>
        <w:t>市和区、县人民政府的交通、规划、建设、市政、环保、农业、发展改革、城管监察等部门依据各自职责，负责有关的道路交通工作，落实道路交通安全责任。</w:t>
      </w:r>
    </w:p>
    <w:p w14:paraId="54C0926E">
      <w:pPr>
        <w:ind w:firstLine="422"/>
        <w:jc w:val="left"/>
        <w:rPr>
          <w:rFonts w:ascii="宋体" w:hAnsi="宋体"/>
          <w:kern w:val="44"/>
        </w:rPr>
      </w:pPr>
      <w:r>
        <w:rPr>
          <w:rFonts w:hint="eastAsia" w:ascii="宋体" w:hAnsi="宋体"/>
          <w:b/>
          <w:kern w:val="44"/>
        </w:rPr>
        <w:t>第七条</w:t>
      </w:r>
      <w:r>
        <w:rPr>
          <w:rFonts w:hint="eastAsia" w:ascii="宋体" w:hAnsi="宋体"/>
          <w:kern w:val="44"/>
        </w:rPr>
        <w:t>　公安机关交通管理部门及其交通警察应当依法履行职责，严格、公正、文明执法。</w:t>
      </w:r>
    </w:p>
    <w:p w14:paraId="22E6BCB5">
      <w:pPr>
        <w:jc w:val="left"/>
        <w:rPr>
          <w:rFonts w:ascii="宋体" w:hAnsi="宋体"/>
          <w:kern w:val="44"/>
        </w:rPr>
      </w:pPr>
      <w:r>
        <w:rPr>
          <w:rFonts w:hint="eastAsia" w:ascii="宋体" w:hAnsi="宋体"/>
          <w:kern w:val="44"/>
        </w:rPr>
        <w:t>公安机关交通管理部门及其交通警察应当模范遵守道路交通安全法律、法规。</w:t>
      </w:r>
    </w:p>
    <w:p w14:paraId="4CB1F2FC">
      <w:pPr>
        <w:ind w:firstLine="422"/>
        <w:jc w:val="left"/>
        <w:rPr>
          <w:rFonts w:ascii="宋体" w:hAnsi="宋体"/>
          <w:kern w:val="44"/>
        </w:rPr>
      </w:pPr>
      <w:r>
        <w:rPr>
          <w:rFonts w:hint="eastAsia" w:ascii="宋体" w:hAnsi="宋体"/>
          <w:b/>
          <w:kern w:val="44"/>
        </w:rPr>
        <w:t>第八条</w:t>
      </w:r>
      <w:r>
        <w:rPr>
          <w:rFonts w:hint="eastAsia" w:ascii="宋体" w:hAnsi="宋体"/>
          <w:kern w:val="44"/>
        </w:rPr>
        <w:t>　市和区、县人民政府及其有关部门，应当开展道路交通安全宣传教育，提高公民的道路交通安全意识和交通文明素质。</w:t>
      </w:r>
    </w:p>
    <w:p w14:paraId="0C3EBDE6">
      <w:pPr>
        <w:jc w:val="left"/>
        <w:rPr>
          <w:rFonts w:ascii="宋体" w:hAnsi="宋体"/>
          <w:kern w:val="44"/>
        </w:rPr>
      </w:pPr>
      <w:r>
        <w:rPr>
          <w:rFonts w:hint="eastAsia" w:ascii="宋体" w:hAnsi="宋体"/>
          <w:kern w:val="44"/>
        </w:rPr>
        <w:t>机关、部队、企业、事业单位、社会团体以及其他组织，应当做好所属人员的交通安全教育工作和所属车辆的管理工作，落实道路交通安全防范责任制度。</w:t>
      </w:r>
    </w:p>
    <w:p w14:paraId="7FB9E720">
      <w:pPr>
        <w:jc w:val="left"/>
        <w:rPr>
          <w:rFonts w:ascii="宋体" w:hAnsi="宋体"/>
          <w:kern w:val="44"/>
        </w:rPr>
      </w:pPr>
      <w:r>
        <w:rPr>
          <w:rFonts w:hint="eastAsia" w:ascii="宋体" w:hAnsi="宋体"/>
          <w:kern w:val="44"/>
        </w:rPr>
        <w:t>学校应当将道路交通安全教育纳入法制教育的内容，中、小学校应当将学生遵守道路交通安全法律、法规的情况纳入综合评定。</w:t>
      </w:r>
    </w:p>
    <w:p w14:paraId="6BDA7BBD">
      <w:pPr>
        <w:jc w:val="left"/>
        <w:rPr>
          <w:rFonts w:ascii="宋体" w:hAnsi="宋体"/>
          <w:kern w:val="44"/>
        </w:rPr>
      </w:pPr>
      <w:r>
        <w:rPr>
          <w:rFonts w:hint="eastAsia" w:ascii="宋体" w:hAnsi="宋体"/>
          <w:kern w:val="44"/>
        </w:rPr>
        <w:t>新闻、出版、广播、电视等有关单位，应当加强对社会公众的道路交通安全宣传教育。</w:t>
      </w:r>
    </w:p>
    <w:p w14:paraId="4B5770C1">
      <w:pPr>
        <w:ind w:firstLine="422"/>
        <w:jc w:val="left"/>
        <w:rPr>
          <w:rFonts w:ascii="宋体" w:hAnsi="宋体"/>
          <w:kern w:val="44"/>
        </w:rPr>
      </w:pPr>
      <w:r>
        <w:rPr>
          <w:rFonts w:hint="eastAsia" w:ascii="宋体" w:hAnsi="宋体"/>
          <w:b/>
          <w:kern w:val="44"/>
        </w:rPr>
        <w:t>第九条</w:t>
      </w:r>
      <w:r>
        <w:rPr>
          <w:rFonts w:hint="eastAsia" w:ascii="宋体" w:hAnsi="宋体"/>
          <w:kern w:val="44"/>
        </w:rPr>
        <w:t>　本市鼓励单位和个人在公安机关交通管理部门的统一组织下，提供志愿服务，协助维护道路交通秩序。</w:t>
      </w:r>
    </w:p>
    <w:p w14:paraId="0DBF2DBE">
      <w:pPr>
        <w:jc w:val="left"/>
        <w:rPr>
          <w:rFonts w:ascii="宋体" w:hAnsi="宋体"/>
          <w:kern w:val="44"/>
        </w:rPr>
      </w:pPr>
      <w:r>
        <w:rPr>
          <w:rFonts w:hint="eastAsia" w:ascii="宋体" w:hAnsi="宋体"/>
          <w:kern w:val="44"/>
        </w:rPr>
        <w:t>对在道路交通安全工作中有突出贡献的公民、法人和其他组织，本市各级人民政府应当予以表彰、奖励。</w:t>
      </w:r>
    </w:p>
    <w:p w14:paraId="33AFB0B1">
      <w:pPr>
        <w:jc w:val="left"/>
        <w:rPr>
          <w:rFonts w:ascii="宋体" w:hAnsi="宋体"/>
          <w:kern w:val="44"/>
        </w:rPr>
      </w:pPr>
    </w:p>
    <w:p w14:paraId="0FD7C2A2">
      <w:pPr>
        <w:ind w:firstLine="0" w:firstLineChars="0"/>
        <w:jc w:val="center"/>
        <w:rPr>
          <w:rFonts w:ascii="宋体" w:hAnsi="宋体"/>
          <w:b/>
          <w:kern w:val="44"/>
          <w:sz w:val="28"/>
        </w:rPr>
      </w:pPr>
      <w:r>
        <w:rPr>
          <w:rFonts w:hint="eastAsia" w:ascii="宋体" w:hAnsi="宋体"/>
          <w:b/>
          <w:kern w:val="44"/>
          <w:sz w:val="28"/>
        </w:rPr>
        <w:t>第二章　车辆和驾驶人</w:t>
      </w:r>
    </w:p>
    <w:p w14:paraId="34F25A33">
      <w:pPr>
        <w:rPr>
          <w:kern w:val="44"/>
        </w:rPr>
      </w:pPr>
    </w:p>
    <w:p w14:paraId="43675540">
      <w:pPr>
        <w:ind w:firstLine="0" w:firstLineChars="0"/>
        <w:jc w:val="center"/>
        <w:rPr>
          <w:rFonts w:ascii="宋体" w:hAnsi="宋体"/>
          <w:kern w:val="44"/>
          <w:sz w:val="28"/>
        </w:rPr>
      </w:pPr>
      <w:r>
        <w:rPr>
          <w:rFonts w:hint="eastAsia" w:ascii="宋体" w:hAnsi="宋体"/>
          <w:kern w:val="44"/>
          <w:sz w:val="28"/>
        </w:rPr>
        <w:t>第一节　机动车</w:t>
      </w:r>
    </w:p>
    <w:p w14:paraId="1E817F26">
      <w:pPr>
        <w:jc w:val="left"/>
        <w:rPr>
          <w:rFonts w:ascii="宋体" w:hAnsi="宋体"/>
          <w:kern w:val="44"/>
        </w:rPr>
      </w:pPr>
    </w:p>
    <w:p w14:paraId="65E369E6">
      <w:pPr>
        <w:ind w:firstLine="422"/>
        <w:jc w:val="left"/>
        <w:rPr>
          <w:rFonts w:ascii="宋体" w:hAnsi="宋体"/>
          <w:kern w:val="44"/>
        </w:rPr>
      </w:pPr>
      <w:r>
        <w:rPr>
          <w:rFonts w:hint="eastAsia" w:ascii="宋体" w:hAnsi="宋体"/>
          <w:b/>
          <w:kern w:val="44"/>
        </w:rPr>
        <w:t>第十条</w:t>
      </w:r>
      <w:r>
        <w:rPr>
          <w:rFonts w:hint="eastAsia" w:ascii="宋体" w:hAnsi="宋体"/>
          <w:kern w:val="44"/>
        </w:rPr>
        <w:t>　申请机动车登记的，申请人应当提供真实、合法、有效的证明、凭证。机动车登记内容发生变化的，应当按照规定办理相应手续。</w:t>
      </w:r>
    </w:p>
    <w:p w14:paraId="2DA53A90">
      <w:pPr>
        <w:ind w:firstLine="422"/>
        <w:jc w:val="left"/>
        <w:rPr>
          <w:rFonts w:ascii="宋体" w:hAnsi="宋体"/>
          <w:kern w:val="44"/>
        </w:rPr>
      </w:pPr>
      <w:r>
        <w:rPr>
          <w:rFonts w:hint="eastAsia" w:ascii="宋体" w:hAnsi="宋体"/>
          <w:b/>
          <w:kern w:val="44"/>
        </w:rPr>
        <w:t>第十一条</w:t>
      </w:r>
      <w:r>
        <w:rPr>
          <w:rFonts w:hint="eastAsia" w:ascii="宋体" w:hAnsi="宋体"/>
          <w:kern w:val="44"/>
        </w:rPr>
        <w:t>　公安机关交通管理部门应当自受理机动车登记申请之日起5个工作日内完成审查工作，对符合规定条件的，应当发放机动车登记证书、号牌和行驶证；对不符合规定条件的，应当向申请人说明不予登记的理由。</w:t>
      </w:r>
    </w:p>
    <w:p w14:paraId="582C5FE4">
      <w:pPr>
        <w:jc w:val="left"/>
        <w:rPr>
          <w:rFonts w:ascii="宋体" w:hAnsi="宋体"/>
          <w:kern w:val="44"/>
        </w:rPr>
      </w:pPr>
      <w:r>
        <w:rPr>
          <w:rFonts w:hint="eastAsia" w:ascii="宋体" w:hAnsi="宋体"/>
          <w:kern w:val="44"/>
        </w:rPr>
        <w:t>摩托车和道路专项作业车辆登记，应当符合本市的交通发展规划，在限定的区域内实行总量控制。</w:t>
      </w:r>
    </w:p>
    <w:p w14:paraId="66E61E1A">
      <w:pPr>
        <w:ind w:firstLine="422"/>
        <w:jc w:val="left"/>
        <w:rPr>
          <w:rFonts w:ascii="宋体" w:hAnsi="宋体"/>
          <w:kern w:val="44"/>
        </w:rPr>
      </w:pPr>
      <w:r>
        <w:rPr>
          <w:rFonts w:hint="eastAsia" w:ascii="宋体" w:hAnsi="宋体"/>
          <w:b/>
          <w:kern w:val="44"/>
        </w:rPr>
        <w:t>第十二条</w:t>
      </w:r>
      <w:r>
        <w:rPr>
          <w:rFonts w:hint="eastAsia" w:ascii="宋体" w:hAnsi="宋体"/>
          <w:kern w:val="44"/>
        </w:rPr>
        <w:t>　在本市办理机动车注册登记期间，机动车需要临时在道路上行驶的，应当取得临时通行牌证。</w:t>
      </w:r>
    </w:p>
    <w:p w14:paraId="1CB48AC1">
      <w:pPr>
        <w:ind w:firstLine="422"/>
        <w:jc w:val="left"/>
        <w:rPr>
          <w:rFonts w:ascii="宋体" w:hAnsi="宋体"/>
          <w:kern w:val="44"/>
        </w:rPr>
      </w:pPr>
      <w:r>
        <w:rPr>
          <w:rFonts w:hint="eastAsia" w:ascii="宋体" w:hAnsi="宋体"/>
          <w:b/>
          <w:kern w:val="44"/>
        </w:rPr>
        <w:t>第十三条</w:t>
      </w:r>
      <w:r>
        <w:rPr>
          <w:rFonts w:hint="eastAsia" w:ascii="宋体" w:hAnsi="宋体"/>
          <w:kern w:val="44"/>
        </w:rPr>
        <w:t>　机动车安全技术检验，除符合国家机动车安全技术标准外，还应当符合国家和本市环境保护标准；不符合标准的，不予办理相应登记或者不予核发检验合格标志。</w:t>
      </w:r>
    </w:p>
    <w:p w14:paraId="15A68ABD">
      <w:pPr>
        <w:jc w:val="left"/>
        <w:rPr>
          <w:rFonts w:ascii="宋体" w:hAnsi="宋体"/>
          <w:kern w:val="44"/>
        </w:rPr>
      </w:pPr>
      <w:r>
        <w:rPr>
          <w:rFonts w:hint="eastAsia" w:ascii="宋体" w:hAnsi="宋体"/>
          <w:kern w:val="44"/>
        </w:rPr>
        <w:t>公安机关交通管理部门应当依法对机动车安全技术检验机构进行监督管理。</w:t>
      </w:r>
    </w:p>
    <w:p w14:paraId="049075C7">
      <w:pPr>
        <w:ind w:firstLine="422"/>
        <w:jc w:val="left"/>
        <w:rPr>
          <w:rFonts w:ascii="宋体" w:hAnsi="宋体"/>
          <w:kern w:val="44"/>
        </w:rPr>
      </w:pPr>
      <w:r>
        <w:rPr>
          <w:rFonts w:hint="eastAsia" w:ascii="宋体" w:hAnsi="宋体"/>
          <w:b/>
          <w:kern w:val="44"/>
        </w:rPr>
        <w:t>第十四条</w:t>
      </w:r>
      <w:r>
        <w:rPr>
          <w:rFonts w:hint="eastAsia" w:ascii="宋体" w:hAnsi="宋体"/>
          <w:kern w:val="44"/>
        </w:rPr>
        <w:t>　应当报废的机动车，其所有人必须及时办理注销登记手续。</w:t>
      </w:r>
    </w:p>
    <w:p w14:paraId="11D9A067">
      <w:pPr>
        <w:jc w:val="left"/>
        <w:rPr>
          <w:rFonts w:ascii="宋体" w:hAnsi="宋体"/>
          <w:kern w:val="44"/>
        </w:rPr>
      </w:pPr>
      <w:r>
        <w:rPr>
          <w:rFonts w:hint="eastAsia" w:ascii="宋体" w:hAnsi="宋体"/>
          <w:kern w:val="44"/>
        </w:rPr>
        <w:t>应当报废的机动车，其所有人在办理新购机动车注册登记前，必须先行办理报废机动车的注销登记手续。</w:t>
      </w:r>
    </w:p>
    <w:p w14:paraId="52BDD5E0">
      <w:pPr>
        <w:ind w:firstLine="422"/>
        <w:jc w:val="left"/>
        <w:rPr>
          <w:rFonts w:ascii="宋体" w:hAnsi="宋体"/>
          <w:kern w:val="44"/>
        </w:rPr>
      </w:pPr>
      <w:r>
        <w:rPr>
          <w:rFonts w:hint="eastAsia" w:ascii="宋体" w:hAnsi="宋体"/>
          <w:b/>
          <w:kern w:val="44"/>
        </w:rPr>
        <w:t>第十五条</w:t>
      </w:r>
      <w:r>
        <w:rPr>
          <w:rFonts w:hint="eastAsia" w:ascii="宋体" w:hAnsi="宋体"/>
          <w:kern w:val="44"/>
        </w:rPr>
        <w:t>　上道路行驶的机动车，应当符合下列规定：</w:t>
      </w:r>
    </w:p>
    <w:p w14:paraId="02E0374E">
      <w:pPr>
        <w:jc w:val="left"/>
        <w:rPr>
          <w:rFonts w:ascii="宋体" w:hAnsi="宋体"/>
          <w:kern w:val="44"/>
        </w:rPr>
      </w:pPr>
      <w:r>
        <w:rPr>
          <w:rFonts w:hint="eastAsia" w:ascii="宋体" w:hAnsi="宋体"/>
          <w:kern w:val="44"/>
        </w:rPr>
        <w:t>（一）在机动车前后的规定位置，各安装一面号牌，不得倒置或者反向安装；</w:t>
      </w:r>
    </w:p>
    <w:p w14:paraId="6DE74DD8">
      <w:pPr>
        <w:jc w:val="left"/>
        <w:rPr>
          <w:rFonts w:ascii="宋体" w:hAnsi="宋体"/>
          <w:kern w:val="44"/>
        </w:rPr>
      </w:pPr>
      <w:r>
        <w:rPr>
          <w:rFonts w:hint="eastAsia" w:ascii="宋体" w:hAnsi="宋体"/>
          <w:kern w:val="44"/>
        </w:rPr>
        <w:t>（二）在前窗右上角粘贴机动车检验合格标志、保险标志、环境保护合格标志；</w:t>
      </w:r>
    </w:p>
    <w:p w14:paraId="07EC96B1">
      <w:pPr>
        <w:jc w:val="left"/>
        <w:rPr>
          <w:rFonts w:ascii="宋体" w:hAnsi="宋体"/>
          <w:kern w:val="44"/>
        </w:rPr>
      </w:pPr>
      <w:r>
        <w:rPr>
          <w:rFonts w:hint="eastAsia" w:ascii="宋体" w:hAnsi="宋体"/>
          <w:kern w:val="44"/>
        </w:rPr>
        <w:t>（三）货运机动车及挂车车厢后部喷涂放大的本车牌号；</w:t>
      </w:r>
    </w:p>
    <w:p w14:paraId="004EB8BC">
      <w:pPr>
        <w:jc w:val="left"/>
        <w:rPr>
          <w:rFonts w:ascii="宋体" w:hAnsi="宋体"/>
          <w:kern w:val="44"/>
        </w:rPr>
      </w:pPr>
      <w:r>
        <w:rPr>
          <w:rFonts w:hint="eastAsia" w:ascii="宋体" w:hAnsi="宋体"/>
          <w:kern w:val="44"/>
        </w:rPr>
        <w:t>（四）大、中型客运机动车驾驶室两侧喷涂准乘人数，从事营运的，应当喷涂经营单位名称和营运编号；</w:t>
      </w:r>
    </w:p>
    <w:p w14:paraId="6C2E9A93">
      <w:pPr>
        <w:jc w:val="left"/>
        <w:rPr>
          <w:rFonts w:ascii="宋体" w:hAnsi="宋体"/>
          <w:kern w:val="44"/>
        </w:rPr>
      </w:pPr>
      <w:r>
        <w:rPr>
          <w:rFonts w:hint="eastAsia" w:ascii="宋体" w:hAnsi="宋体"/>
          <w:kern w:val="44"/>
        </w:rPr>
        <w:t>（五）总质量在3.5吨以上的货运汽车、挂车，按照规定安装侧、后防护装置；</w:t>
      </w:r>
    </w:p>
    <w:p w14:paraId="23942FF9">
      <w:pPr>
        <w:jc w:val="left"/>
        <w:rPr>
          <w:rFonts w:ascii="宋体" w:hAnsi="宋体"/>
          <w:kern w:val="44"/>
        </w:rPr>
      </w:pPr>
      <w:r>
        <w:rPr>
          <w:rFonts w:hint="eastAsia" w:ascii="宋体" w:hAnsi="宋体"/>
          <w:kern w:val="44"/>
        </w:rPr>
        <w:t>（六）配备有效的灭火器具、反光的故障车警告标志；</w:t>
      </w:r>
    </w:p>
    <w:p w14:paraId="4183E328">
      <w:pPr>
        <w:jc w:val="left"/>
        <w:rPr>
          <w:rFonts w:ascii="宋体" w:hAnsi="宋体"/>
          <w:kern w:val="44"/>
        </w:rPr>
      </w:pPr>
      <w:r>
        <w:rPr>
          <w:rFonts w:hint="eastAsia" w:ascii="宋体" w:hAnsi="宋体"/>
          <w:kern w:val="44"/>
        </w:rPr>
        <w:t>（七）车身两侧的车窗和前后窗，不得粘贴、喷涂妨碍驾驶视线的文字、图案，不得使用镜面反光遮阳膜；</w:t>
      </w:r>
    </w:p>
    <w:p w14:paraId="219114E5">
      <w:pPr>
        <w:jc w:val="left"/>
        <w:rPr>
          <w:rFonts w:ascii="宋体" w:hAnsi="宋体"/>
          <w:kern w:val="44"/>
        </w:rPr>
      </w:pPr>
      <w:r>
        <w:rPr>
          <w:rFonts w:hint="eastAsia" w:ascii="宋体" w:hAnsi="宋体"/>
          <w:kern w:val="44"/>
        </w:rPr>
        <w:t>（八）道路施工养护、环卫清扫、设施维修及绿化等专业作业车辆，符合国家和本市的道路作业车辆安全标准；</w:t>
      </w:r>
    </w:p>
    <w:p w14:paraId="26C39F04">
      <w:pPr>
        <w:jc w:val="left"/>
        <w:rPr>
          <w:rFonts w:ascii="宋体" w:hAnsi="宋体"/>
          <w:kern w:val="44"/>
        </w:rPr>
      </w:pPr>
      <w:r>
        <w:rPr>
          <w:rFonts w:hint="eastAsia" w:ascii="宋体" w:hAnsi="宋体"/>
          <w:kern w:val="44"/>
        </w:rPr>
        <w:t>（九）用于公路营运的载客汽车、重型载货汽车、半挂牵引车应当安装、使用符合国家标准的行驶记录仪。</w:t>
      </w:r>
    </w:p>
    <w:p w14:paraId="1521EABE">
      <w:pPr>
        <w:ind w:firstLine="422"/>
        <w:jc w:val="left"/>
        <w:rPr>
          <w:rFonts w:ascii="宋体" w:hAnsi="宋体"/>
          <w:kern w:val="44"/>
        </w:rPr>
      </w:pPr>
      <w:r>
        <w:rPr>
          <w:rFonts w:hint="eastAsia" w:ascii="宋体" w:hAnsi="宋体"/>
          <w:b/>
          <w:kern w:val="44"/>
        </w:rPr>
        <w:t>第十六条</w:t>
      </w:r>
      <w:r>
        <w:rPr>
          <w:rFonts w:hint="eastAsia" w:ascii="宋体" w:hAnsi="宋体"/>
          <w:kern w:val="44"/>
        </w:rPr>
        <w:t>　机动车所有人、管理人和驾驶人应当按照机动车国家安全技术标准和本市有关规定，对车辆进行维修和保养，保持车况良好、车容整洁、排放合格。</w:t>
      </w:r>
    </w:p>
    <w:p w14:paraId="5AC09C38">
      <w:pPr>
        <w:ind w:firstLine="422"/>
        <w:jc w:val="left"/>
        <w:rPr>
          <w:rFonts w:ascii="宋体" w:hAnsi="宋体"/>
          <w:kern w:val="44"/>
        </w:rPr>
      </w:pPr>
      <w:r>
        <w:rPr>
          <w:rFonts w:hint="eastAsia" w:ascii="宋体" w:hAnsi="宋体"/>
          <w:b/>
          <w:kern w:val="44"/>
        </w:rPr>
        <w:t>第十七条</w:t>
      </w:r>
      <w:r>
        <w:rPr>
          <w:rFonts w:hint="eastAsia" w:ascii="宋体" w:hAnsi="宋体"/>
          <w:kern w:val="44"/>
        </w:rPr>
        <w:t>　机动车定期安全技术检验后，公安机关交通管理部门对符合国家机动车安全技术标准的车辆，应当发给检验合格标志。</w:t>
      </w:r>
    </w:p>
    <w:p w14:paraId="1F88B6B0">
      <w:pPr>
        <w:jc w:val="left"/>
        <w:rPr>
          <w:rFonts w:ascii="宋体" w:hAnsi="宋体"/>
          <w:kern w:val="44"/>
        </w:rPr>
      </w:pPr>
      <w:r>
        <w:rPr>
          <w:rFonts w:hint="eastAsia" w:ascii="宋体" w:hAnsi="宋体"/>
          <w:kern w:val="44"/>
        </w:rPr>
        <w:t>在机动车安全技术检验前，有未接受处理的道路交通违法行为记录的当事人，应当在规定的时间、地点接受处理。</w:t>
      </w:r>
    </w:p>
    <w:p w14:paraId="5236F9BC">
      <w:pPr>
        <w:jc w:val="left"/>
        <w:rPr>
          <w:rFonts w:ascii="宋体" w:hAnsi="宋体"/>
          <w:kern w:val="44"/>
        </w:rPr>
      </w:pPr>
    </w:p>
    <w:p w14:paraId="7696CECC">
      <w:pPr>
        <w:ind w:firstLine="0" w:firstLineChars="0"/>
        <w:jc w:val="center"/>
        <w:rPr>
          <w:rFonts w:ascii="宋体" w:hAnsi="宋体"/>
          <w:kern w:val="44"/>
          <w:sz w:val="28"/>
        </w:rPr>
      </w:pPr>
      <w:r>
        <w:rPr>
          <w:rFonts w:hint="eastAsia" w:ascii="宋体" w:hAnsi="宋体"/>
          <w:kern w:val="44"/>
          <w:sz w:val="28"/>
        </w:rPr>
        <w:t>第二节　非机动车</w:t>
      </w:r>
    </w:p>
    <w:p w14:paraId="2D74F2AF">
      <w:pPr>
        <w:jc w:val="left"/>
        <w:rPr>
          <w:rFonts w:ascii="宋体" w:hAnsi="宋体"/>
          <w:kern w:val="44"/>
        </w:rPr>
      </w:pPr>
    </w:p>
    <w:p w14:paraId="34B2AE93">
      <w:pPr>
        <w:ind w:firstLine="422"/>
        <w:jc w:val="left"/>
        <w:rPr>
          <w:rFonts w:ascii="宋体" w:hAnsi="宋体"/>
          <w:kern w:val="44"/>
        </w:rPr>
      </w:pPr>
      <w:r>
        <w:rPr>
          <w:rFonts w:hint="eastAsia" w:ascii="宋体" w:hAnsi="宋体"/>
          <w:b/>
          <w:kern w:val="44"/>
        </w:rPr>
        <w:t>第十八条</w:t>
      </w:r>
      <w:r>
        <w:rPr>
          <w:rFonts w:hint="eastAsia" w:ascii="宋体" w:hAnsi="宋体"/>
          <w:kern w:val="44"/>
        </w:rPr>
        <w:t>　电动自行车、人力三轮车、残疾人机动轮椅车和其他应当登记的非机动车，经公安机关交通管理部门登记并领取牌证后，方可上道路行驶。</w:t>
      </w:r>
    </w:p>
    <w:p w14:paraId="4E86FB53">
      <w:pPr>
        <w:ind w:firstLine="422"/>
        <w:jc w:val="left"/>
        <w:rPr>
          <w:rFonts w:ascii="宋体" w:hAnsi="宋体"/>
          <w:kern w:val="44"/>
        </w:rPr>
      </w:pPr>
      <w:r>
        <w:rPr>
          <w:rFonts w:hint="eastAsia" w:ascii="宋体" w:hAnsi="宋体"/>
          <w:b/>
          <w:kern w:val="44"/>
        </w:rPr>
        <w:t>第十九条</w:t>
      </w:r>
      <w:r>
        <w:rPr>
          <w:rFonts w:hint="eastAsia" w:ascii="宋体" w:hAnsi="宋体"/>
          <w:kern w:val="44"/>
        </w:rPr>
        <w:t>　申请非机动车登记的，应当提交车辆所有人身份证明和车辆来历证明。申请残疾人机动轮椅车登记的，还应当提交公安机关交通管理部门指定的医疗机构出具的下肢残疾证明。</w:t>
      </w:r>
    </w:p>
    <w:p w14:paraId="266CA220">
      <w:pPr>
        <w:jc w:val="left"/>
        <w:rPr>
          <w:rFonts w:ascii="宋体" w:hAnsi="宋体"/>
          <w:kern w:val="44"/>
        </w:rPr>
      </w:pPr>
      <w:r>
        <w:rPr>
          <w:rFonts w:hint="eastAsia" w:ascii="宋体" w:hAnsi="宋体"/>
          <w:kern w:val="44"/>
        </w:rPr>
        <w:t>申请电动自行车、人力三轮车登记，应当符合市人民政府的有关规定。</w:t>
      </w:r>
    </w:p>
    <w:p w14:paraId="632D6D24">
      <w:pPr>
        <w:ind w:firstLine="422"/>
        <w:jc w:val="left"/>
        <w:rPr>
          <w:rFonts w:ascii="宋体" w:hAnsi="宋体"/>
          <w:kern w:val="44"/>
        </w:rPr>
      </w:pPr>
      <w:r>
        <w:rPr>
          <w:rFonts w:hint="eastAsia" w:ascii="宋体" w:hAnsi="宋体"/>
          <w:b/>
          <w:kern w:val="44"/>
        </w:rPr>
        <w:t>第二十条</w:t>
      </w:r>
      <w:r>
        <w:rPr>
          <w:rFonts w:hint="eastAsia" w:ascii="宋体" w:hAnsi="宋体"/>
          <w:kern w:val="44"/>
        </w:rPr>
        <w:t>　残疾人机动轮椅车只可过户给符合规定条件的残疾人。</w:t>
      </w:r>
    </w:p>
    <w:p w14:paraId="7A264CAA">
      <w:pPr>
        <w:ind w:firstLine="422"/>
        <w:jc w:val="left"/>
        <w:rPr>
          <w:rFonts w:ascii="宋体" w:hAnsi="宋体"/>
          <w:kern w:val="44"/>
        </w:rPr>
      </w:pPr>
      <w:r>
        <w:rPr>
          <w:rFonts w:hint="eastAsia" w:ascii="宋体" w:hAnsi="宋体"/>
          <w:b/>
          <w:kern w:val="44"/>
        </w:rPr>
        <w:t>第二十一条</w:t>
      </w:r>
      <w:r>
        <w:rPr>
          <w:rFonts w:hint="eastAsia" w:ascii="宋体" w:hAnsi="宋体"/>
          <w:kern w:val="44"/>
        </w:rPr>
        <w:t>　非机动车牌证丢失，车辆所有人应当携带本人身份证明和车辆，到公安机关交通管理部门补领。</w:t>
      </w:r>
    </w:p>
    <w:p w14:paraId="4E853FE9">
      <w:pPr>
        <w:jc w:val="left"/>
        <w:rPr>
          <w:rFonts w:ascii="宋体" w:hAnsi="宋体"/>
          <w:kern w:val="44"/>
        </w:rPr>
      </w:pPr>
    </w:p>
    <w:p w14:paraId="2DAB3768">
      <w:pPr>
        <w:ind w:firstLine="0" w:firstLineChars="0"/>
        <w:jc w:val="center"/>
        <w:rPr>
          <w:rFonts w:ascii="宋体" w:hAnsi="宋体"/>
          <w:b w:val="0"/>
          <w:bCs w:val="0"/>
          <w:kern w:val="44"/>
          <w:sz w:val="28"/>
        </w:rPr>
      </w:pPr>
      <w:r>
        <w:rPr>
          <w:rFonts w:hint="eastAsia" w:ascii="宋体" w:hAnsi="宋体"/>
          <w:b w:val="0"/>
          <w:bCs w:val="0"/>
          <w:kern w:val="44"/>
          <w:sz w:val="28"/>
        </w:rPr>
        <w:t>第三节　机动车驾驶人</w:t>
      </w:r>
    </w:p>
    <w:p w14:paraId="154E1D3B">
      <w:pPr>
        <w:jc w:val="left"/>
        <w:rPr>
          <w:rFonts w:ascii="宋体" w:hAnsi="宋体"/>
          <w:kern w:val="44"/>
        </w:rPr>
      </w:pPr>
    </w:p>
    <w:p w14:paraId="59D9A786">
      <w:pPr>
        <w:ind w:firstLine="422"/>
        <w:jc w:val="left"/>
        <w:rPr>
          <w:rFonts w:ascii="宋体" w:hAnsi="宋体"/>
          <w:kern w:val="44"/>
        </w:rPr>
      </w:pPr>
      <w:r>
        <w:rPr>
          <w:rFonts w:hint="eastAsia" w:ascii="宋体" w:hAnsi="宋体"/>
          <w:b/>
          <w:kern w:val="44"/>
        </w:rPr>
        <w:t>第二十二条</w:t>
      </w:r>
      <w:r>
        <w:rPr>
          <w:rFonts w:hint="eastAsia" w:ascii="宋体" w:hAnsi="宋体"/>
          <w:kern w:val="44"/>
        </w:rPr>
        <w:t>　申请机动车驾驶证的，申请人应当提供真实、合法、有效的证明、凭证。机动车驾驶证记载的机动车驾驶人信息发生变化的，应当及时办理换证手续。</w:t>
      </w:r>
    </w:p>
    <w:p w14:paraId="2B1F3A77">
      <w:pPr>
        <w:ind w:firstLine="422"/>
        <w:jc w:val="left"/>
        <w:rPr>
          <w:rFonts w:ascii="宋体" w:hAnsi="宋体"/>
          <w:kern w:val="44"/>
        </w:rPr>
      </w:pPr>
      <w:r>
        <w:rPr>
          <w:rFonts w:hint="eastAsia" w:ascii="宋体" w:hAnsi="宋体"/>
          <w:b/>
          <w:kern w:val="44"/>
        </w:rPr>
        <w:t>第二十三条</w:t>
      </w:r>
      <w:r>
        <w:rPr>
          <w:rFonts w:hint="eastAsia" w:ascii="宋体" w:hAnsi="宋体"/>
          <w:kern w:val="44"/>
        </w:rPr>
        <w:t>　场地与道路驾驶培训、考试，应当在符合规定条件的机动车考试场进行。</w:t>
      </w:r>
    </w:p>
    <w:p w14:paraId="447CEB54">
      <w:pPr>
        <w:ind w:firstLine="422"/>
        <w:jc w:val="left"/>
        <w:rPr>
          <w:rFonts w:ascii="宋体" w:hAnsi="宋体"/>
          <w:kern w:val="44"/>
        </w:rPr>
      </w:pPr>
      <w:r>
        <w:rPr>
          <w:rFonts w:hint="eastAsia" w:ascii="宋体" w:hAnsi="宋体"/>
          <w:b/>
          <w:kern w:val="44"/>
        </w:rPr>
        <w:t>第二十四条</w:t>
      </w:r>
      <w:r>
        <w:rPr>
          <w:rFonts w:hint="eastAsia" w:ascii="宋体" w:hAnsi="宋体"/>
          <w:kern w:val="44"/>
        </w:rPr>
        <w:t>　本市实行机动车驾驶人驾驶安全信息记录制度。</w:t>
      </w:r>
    </w:p>
    <w:p w14:paraId="200F046E">
      <w:pPr>
        <w:jc w:val="left"/>
        <w:rPr>
          <w:rFonts w:ascii="宋体" w:hAnsi="宋体"/>
          <w:kern w:val="44"/>
        </w:rPr>
      </w:pPr>
      <w:r>
        <w:rPr>
          <w:rFonts w:hint="eastAsia" w:ascii="宋体" w:hAnsi="宋体"/>
          <w:kern w:val="44"/>
        </w:rPr>
        <w:t>持有本市核发的机动车驾驶证的驾驶人，或者持有外省市核发的机动车驾驶证驾驶本市注册登记的营运机动车的驾驶人，应当领取驾驶人信息卡。驾驶人信息卡记载驾驶人道路交通违法、事故处理、违法行为累积记分和其他信息。</w:t>
      </w:r>
    </w:p>
    <w:p w14:paraId="69DBC307">
      <w:pPr>
        <w:jc w:val="left"/>
        <w:rPr>
          <w:rFonts w:ascii="宋体" w:hAnsi="宋体"/>
          <w:kern w:val="44"/>
        </w:rPr>
      </w:pPr>
      <w:r>
        <w:rPr>
          <w:rFonts w:hint="eastAsia" w:ascii="宋体" w:hAnsi="宋体"/>
          <w:kern w:val="44"/>
        </w:rPr>
        <w:t>驾驶人信息卡遗失、损坏的，持卡人应当到公安机关交通管理部门指定的银行补领，并到公安机关交通管理部门补录有关信息后，方可使用。</w:t>
      </w:r>
    </w:p>
    <w:p w14:paraId="0B3026EF">
      <w:pPr>
        <w:jc w:val="left"/>
        <w:rPr>
          <w:rFonts w:ascii="宋体" w:hAnsi="宋体"/>
          <w:kern w:val="44"/>
        </w:rPr>
      </w:pPr>
      <w:r>
        <w:rPr>
          <w:rFonts w:hint="eastAsia" w:ascii="宋体" w:hAnsi="宋体"/>
          <w:kern w:val="44"/>
        </w:rPr>
        <w:t>驾驶人在驾驶机动车时应当随身携带驾驶人信息卡，并与驾驶证同时使用。</w:t>
      </w:r>
    </w:p>
    <w:p w14:paraId="0B57CE91">
      <w:pPr>
        <w:jc w:val="left"/>
        <w:rPr>
          <w:rFonts w:ascii="宋体" w:hAnsi="宋体"/>
          <w:kern w:val="44"/>
        </w:rPr>
      </w:pPr>
    </w:p>
    <w:p w14:paraId="4A3F19D0">
      <w:pPr>
        <w:ind w:firstLine="0" w:firstLineChars="0"/>
        <w:jc w:val="center"/>
        <w:rPr>
          <w:rFonts w:ascii="宋体" w:hAnsi="宋体"/>
          <w:b/>
          <w:bCs w:val="0"/>
          <w:kern w:val="44"/>
          <w:sz w:val="28"/>
        </w:rPr>
      </w:pPr>
      <w:r>
        <w:rPr>
          <w:rFonts w:hint="eastAsia" w:ascii="宋体" w:hAnsi="宋体"/>
          <w:b/>
          <w:bCs w:val="0"/>
          <w:kern w:val="44"/>
          <w:sz w:val="28"/>
        </w:rPr>
        <w:t>第三章　道路通行条件</w:t>
      </w:r>
    </w:p>
    <w:p w14:paraId="6CB8AEDD">
      <w:pPr>
        <w:jc w:val="left"/>
        <w:rPr>
          <w:rFonts w:ascii="宋体" w:hAnsi="宋体"/>
          <w:kern w:val="44"/>
        </w:rPr>
      </w:pPr>
    </w:p>
    <w:p w14:paraId="49FDA6D7">
      <w:pPr>
        <w:ind w:firstLine="422"/>
        <w:jc w:val="left"/>
        <w:rPr>
          <w:rFonts w:ascii="宋体" w:hAnsi="宋体"/>
          <w:kern w:val="44"/>
        </w:rPr>
      </w:pPr>
      <w:r>
        <w:rPr>
          <w:rFonts w:hint="eastAsia" w:ascii="宋体" w:hAnsi="宋体"/>
          <w:b/>
          <w:kern w:val="44"/>
        </w:rPr>
        <w:t>第二十五条</w:t>
      </w:r>
      <w:r>
        <w:rPr>
          <w:rFonts w:hint="eastAsia" w:ascii="宋体" w:hAnsi="宋体"/>
          <w:kern w:val="44"/>
        </w:rPr>
        <w:t>　大型公共建筑、民用建筑以及其他重大建设项目在立项时，应当由市交通主管部门组织有关部门进行道路交通影响评价。经论证，对交通环境将造成重大不利影响的项目，立项主管部门不予立项。</w:t>
      </w:r>
    </w:p>
    <w:p w14:paraId="75AE94FC">
      <w:pPr>
        <w:ind w:firstLine="422"/>
        <w:jc w:val="left"/>
        <w:rPr>
          <w:rFonts w:ascii="宋体" w:hAnsi="宋体"/>
          <w:kern w:val="44"/>
        </w:rPr>
      </w:pPr>
      <w:r>
        <w:rPr>
          <w:rFonts w:hint="eastAsia" w:ascii="宋体" w:hAnsi="宋体"/>
          <w:b/>
          <w:kern w:val="44"/>
        </w:rPr>
        <w:t>第二十六条</w:t>
      </w:r>
      <w:r>
        <w:rPr>
          <w:rFonts w:hint="eastAsia" w:ascii="宋体" w:hAnsi="宋体"/>
          <w:kern w:val="44"/>
        </w:rPr>
        <w:t>　新建、改建、扩建道路时，交通信号灯、交通标志、标线及其他交通安全设施，应当与道路同时设计、同时验收。</w:t>
      </w:r>
    </w:p>
    <w:p w14:paraId="3B2A9E32">
      <w:pPr>
        <w:jc w:val="left"/>
        <w:rPr>
          <w:rFonts w:ascii="宋体" w:hAnsi="宋体"/>
          <w:kern w:val="44"/>
        </w:rPr>
      </w:pPr>
      <w:r>
        <w:rPr>
          <w:rFonts w:hint="eastAsia" w:ascii="宋体" w:hAnsi="宋体"/>
          <w:kern w:val="44"/>
        </w:rPr>
        <w:t>道路交通标志、标线的设置，应当符合道路交通安全、畅通的要求和国家标准，并保持清晰、醒目、准确、完好。</w:t>
      </w:r>
    </w:p>
    <w:p w14:paraId="19988631">
      <w:pPr>
        <w:ind w:firstLine="422"/>
        <w:jc w:val="left"/>
        <w:rPr>
          <w:rFonts w:ascii="宋体" w:hAnsi="宋体"/>
          <w:kern w:val="44"/>
        </w:rPr>
      </w:pPr>
      <w:r>
        <w:rPr>
          <w:rFonts w:hint="eastAsia" w:ascii="宋体" w:hAnsi="宋体"/>
          <w:b/>
          <w:kern w:val="44"/>
        </w:rPr>
        <w:t>第二十七条</w:t>
      </w:r>
      <w:r>
        <w:rPr>
          <w:rFonts w:hint="eastAsia" w:ascii="宋体" w:hAnsi="宋体"/>
          <w:kern w:val="44"/>
        </w:rPr>
        <w:t>　道路、交通设施的管理部门应当根据通行需要，及时增设、调换、更新道路交通信号。增设、调换、更新限制性的道路交通信号，应当提前向社会公告，广泛进行宣传。</w:t>
      </w:r>
    </w:p>
    <w:p w14:paraId="0800B50C">
      <w:pPr>
        <w:ind w:firstLine="422"/>
        <w:jc w:val="left"/>
        <w:rPr>
          <w:rFonts w:ascii="宋体" w:hAnsi="宋体"/>
          <w:kern w:val="44"/>
        </w:rPr>
      </w:pPr>
      <w:r>
        <w:rPr>
          <w:rFonts w:hint="eastAsia" w:ascii="宋体" w:hAnsi="宋体"/>
          <w:b/>
          <w:kern w:val="44"/>
        </w:rPr>
        <w:t>第二十八条</w:t>
      </w:r>
      <w:r>
        <w:rPr>
          <w:rFonts w:hint="eastAsia" w:ascii="宋体" w:hAnsi="宋体"/>
          <w:kern w:val="44"/>
        </w:rPr>
        <w:t>　公共停车场的建设，应当根据道路状况，本着安全、畅通的原则，合理规划并实施。公共停车场建设工程的设计，应当符合国家和本市的设计标准和规范。已经建成或者投入使用的公共停车场，不得擅自停止使用或者改作他用。</w:t>
      </w:r>
    </w:p>
    <w:p w14:paraId="4A83A7E7">
      <w:pPr>
        <w:ind w:firstLine="422"/>
        <w:jc w:val="left"/>
        <w:rPr>
          <w:rFonts w:ascii="宋体" w:hAnsi="宋体"/>
          <w:kern w:val="44"/>
        </w:rPr>
      </w:pPr>
      <w:r>
        <w:rPr>
          <w:rFonts w:hint="eastAsia" w:ascii="宋体" w:hAnsi="宋体"/>
          <w:b/>
          <w:kern w:val="44"/>
        </w:rPr>
        <w:t>第二十九条</w:t>
      </w:r>
      <w:r>
        <w:rPr>
          <w:rFonts w:hint="eastAsia" w:ascii="宋体" w:hAnsi="宋体"/>
          <w:kern w:val="44"/>
        </w:rPr>
        <w:t>　根据本市道路停车泊位设置规划或者在不影响道路交通安全、畅通的情况下，公安机关交通管理部门可以在道路范围内确定道路停车泊位，并设置道路交通标志、标线。其他单位和个人不得设置、占用、撤销道路停车泊位。</w:t>
      </w:r>
    </w:p>
    <w:p w14:paraId="69693FCD">
      <w:pPr>
        <w:ind w:firstLine="422"/>
        <w:jc w:val="left"/>
        <w:rPr>
          <w:rFonts w:ascii="宋体" w:hAnsi="宋体"/>
          <w:kern w:val="44"/>
        </w:rPr>
      </w:pPr>
      <w:r>
        <w:rPr>
          <w:rFonts w:hint="eastAsia" w:ascii="宋体" w:hAnsi="宋体"/>
          <w:b/>
          <w:kern w:val="44"/>
        </w:rPr>
        <w:t>第三十条</w:t>
      </w:r>
      <w:r>
        <w:rPr>
          <w:rFonts w:hint="eastAsia" w:ascii="宋体" w:hAnsi="宋体"/>
          <w:kern w:val="44"/>
        </w:rPr>
        <w:t>　开辟和调整公共汽车、电车和长途汽车、旅游汽车路线或者车站，应当符合交通规划和安全、畅通、方便出行的要求。交通等主管部门在批准前，应当征得公安机关交通管理部门同意。</w:t>
      </w:r>
    </w:p>
    <w:p w14:paraId="62279AA4">
      <w:pPr>
        <w:jc w:val="left"/>
        <w:rPr>
          <w:rFonts w:ascii="宋体" w:hAnsi="宋体"/>
          <w:kern w:val="44"/>
        </w:rPr>
      </w:pPr>
      <w:r>
        <w:rPr>
          <w:rFonts w:hint="eastAsia" w:ascii="宋体" w:hAnsi="宋体"/>
          <w:kern w:val="44"/>
        </w:rPr>
        <w:t>在道路上堆物、施工作业以及开辟通道，设置台阶、门坡、广告等影响道路交通安全、畅通的占用道路行为，应当征得公安机关交通管理部门的同意。</w:t>
      </w:r>
    </w:p>
    <w:p w14:paraId="7E17F9F5">
      <w:pPr>
        <w:ind w:firstLine="422"/>
        <w:jc w:val="left"/>
        <w:rPr>
          <w:rFonts w:ascii="宋体" w:hAnsi="宋体"/>
          <w:kern w:val="44"/>
        </w:rPr>
      </w:pPr>
      <w:r>
        <w:rPr>
          <w:rFonts w:hint="eastAsia" w:ascii="宋体" w:hAnsi="宋体"/>
          <w:b/>
          <w:kern w:val="44"/>
        </w:rPr>
        <w:t>第三十一条</w:t>
      </w:r>
      <w:r>
        <w:rPr>
          <w:rFonts w:hint="eastAsia" w:ascii="宋体" w:hAnsi="宋体"/>
          <w:kern w:val="44"/>
        </w:rPr>
        <w:t>　经批准占用道路施工作业的，施工单位应当提前向社会公示，并遵守下列规定：</w:t>
      </w:r>
    </w:p>
    <w:p w14:paraId="19353944">
      <w:pPr>
        <w:jc w:val="left"/>
        <w:rPr>
          <w:rFonts w:ascii="宋体" w:hAnsi="宋体"/>
          <w:kern w:val="44"/>
        </w:rPr>
      </w:pPr>
      <w:r>
        <w:rPr>
          <w:rFonts w:hint="eastAsia" w:ascii="宋体" w:hAnsi="宋体"/>
          <w:kern w:val="44"/>
        </w:rPr>
        <w:t>（一）在批准的路段和时间内进行；</w:t>
      </w:r>
    </w:p>
    <w:p w14:paraId="0CAB0D45">
      <w:pPr>
        <w:jc w:val="left"/>
        <w:rPr>
          <w:rFonts w:ascii="宋体" w:hAnsi="宋体"/>
          <w:kern w:val="44"/>
        </w:rPr>
      </w:pPr>
      <w:r>
        <w:rPr>
          <w:rFonts w:hint="eastAsia" w:ascii="宋体" w:hAnsi="宋体"/>
          <w:kern w:val="44"/>
        </w:rPr>
        <w:t>（二）在作业区周围设置围挡，夜间在围挡设施上设置并开启照明设备，设置交通标志、交通设施及施划交通标线的作业除外；</w:t>
      </w:r>
    </w:p>
    <w:p w14:paraId="3CA3DA57">
      <w:pPr>
        <w:jc w:val="left"/>
        <w:rPr>
          <w:rFonts w:ascii="宋体" w:hAnsi="宋体"/>
          <w:kern w:val="44"/>
        </w:rPr>
      </w:pPr>
      <w:r>
        <w:rPr>
          <w:rFonts w:hint="eastAsia" w:ascii="宋体" w:hAnsi="宋体"/>
          <w:kern w:val="44"/>
        </w:rPr>
        <w:t>（三）在距来车方向不少于50米的地点设置施工标志或者注意危险警告标志，夜间在距来车方向不少于100米的地点设置反光的施工标志或者注意危险警告标志；</w:t>
      </w:r>
    </w:p>
    <w:p w14:paraId="71391A35">
      <w:pPr>
        <w:jc w:val="left"/>
        <w:rPr>
          <w:rFonts w:ascii="宋体" w:hAnsi="宋体"/>
          <w:kern w:val="44"/>
        </w:rPr>
      </w:pPr>
      <w:r>
        <w:rPr>
          <w:rFonts w:hint="eastAsia" w:ascii="宋体" w:hAnsi="宋体"/>
          <w:kern w:val="44"/>
        </w:rPr>
        <w:t>（四）施工作业人员按照规定穿戴反光服饰，横穿车行道时，直行通过，注意避让来往车辆；</w:t>
      </w:r>
    </w:p>
    <w:p w14:paraId="0D99D71B">
      <w:pPr>
        <w:jc w:val="left"/>
        <w:rPr>
          <w:rFonts w:ascii="宋体" w:hAnsi="宋体"/>
          <w:kern w:val="44"/>
        </w:rPr>
      </w:pPr>
      <w:r>
        <w:rPr>
          <w:rFonts w:hint="eastAsia" w:ascii="宋体" w:hAnsi="宋体"/>
          <w:kern w:val="44"/>
        </w:rPr>
        <w:t>（五）施工作业完毕，应当修复损毁路面，并清除现场遗留物。</w:t>
      </w:r>
    </w:p>
    <w:p w14:paraId="0A453BE1">
      <w:pPr>
        <w:ind w:firstLine="422"/>
        <w:jc w:val="left"/>
        <w:rPr>
          <w:rFonts w:ascii="宋体" w:hAnsi="宋体"/>
          <w:kern w:val="44"/>
        </w:rPr>
      </w:pPr>
      <w:r>
        <w:rPr>
          <w:rFonts w:hint="eastAsia" w:ascii="宋体" w:hAnsi="宋体"/>
          <w:b/>
          <w:kern w:val="44"/>
        </w:rPr>
        <w:t>第三十二条</w:t>
      </w:r>
      <w:r>
        <w:rPr>
          <w:rFonts w:hint="eastAsia" w:ascii="宋体" w:hAnsi="宋体"/>
          <w:kern w:val="44"/>
        </w:rPr>
        <w:t>　在道路上进行维修、养护等作业的机动车及作业人员，应当遵守下列规定：</w:t>
      </w:r>
    </w:p>
    <w:p w14:paraId="401B4DEC">
      <w:pPr>
        <w:jc w:val="left"/>
        <w:rPr>
          <w:rFonts w:ascii="宋体" w:hAnsi="宋体"/>
          <w:kern w:val="44"/>
        </w:rPr>
      </w:pPr>
      <w:r>
        <w:rPr>
          <w:rFonts w:hint="eastAsia" w:ascii="宋体" w:hAnsi="宋体"/>
          <w:kern w:val="44"/>
        </w:rPr>
        <w:t>（一）作业时间避开交通流量高峰期；</w:t>
      </w:r>
    </w:p>
    <w:p w14:paraId="2567691C">
      <w:pPr>
        <w:jc w:val="left"/>
        <w:rPr>
          <w:rFonts w:ascii="宋体" w:hAnsi="宋体"/>
          <w:kern w:val="44"/>
        </w:rPr>
      </w:pPr>
      <w:r>
        <w:rPr>
          <w:rFonts w:hint="eastAsia" w:ascii="宋体" w:hAnsi="宋体"/>
          <w:kern w:val="44"/>
        </w:rPr>
        <w:t>（二）车辆开启黄色标志灯和危险报警闪光灯，按顺行方向行进；</w:t>
      </w:r>
    </w:p>
    <w:p w14:paraId="7ACAF262">
      <w:pPr>
        <w:jc w:val="left"/>
        <w:rPr>
          <w:rFonts w:ascii="宋体" w:hAnsi="宋体"/>
          <w:kern w:val="44"/>
        </w:rPr>
      </w:pPr>
      <w:r>
        <w:rPr>
          <w:rFonts w:hint="eastAsia" w:ascii="宋体" w:hAnsi="宋体"/>
          <w:kern w:val="44"/>
        </w:rPr>
        <w:t>（三）在车行道停车作业时，在作业现场划出作业区，并设置围挡；白天在作业区来车方向不少于50米、夜间在不少于100米的地点设置反光的施工标志或者注意危险警告标志；</w:t>
      </w:r>
    </w:p>
    <w:p w14:paraId="540BF91C">
      <w:pPr>
        <w:jc w:val="left"/>
        <w:rPr>
          <w:rFonts w:ascii="宋体" w:hAnsi="宋体"/>
          <w:kern w:val="44"/>
        </w:rPr>
      </w:pPr>
      <w:r>
        <w:rPr>
          <w:rFonts w:hint="eastAsia" w:ascii="宋体" w:hAnsi="宋体"/>
          <w:kern w:val="44"/>
        </w:rPr>
        <w:t>（四）作业人员按照规定穿戴反光服饰，横穿车行道时，直行通过，注意避让来往车辆。</w:t>
      </w:r>
    </w:p>
    <w:p w14:paraId="26A671C5">
      <w:pPr>
        <w:ind w:firstLine="422"/>
        <w:jc w:val="left"/>
        <w:rPr>
          <w:rFonts w:ascii="宋体" w:hAnsi="宋体"/>
          <w:kern w:val="44"/>
        </w:rPr>
      </w:pPr>
      <w:r>
        <w:rPr>
          <w:rFonts w:hint="eastAsia" w:ascii="宋体" w:hAnsi="宋体"/>
          <w:b/>
          <w:kern w:val="44"/>
        </w:rPr>
        <w:t>第三十三条</w:t>
      </w:r>
      <w:r>
        <w:rPr>
          <w:rFonts w:hint="eastAsia" w:ascii="宋体" w:hAnsi="宋体"/>
          <w:kern w:val="44"/>
        </w:rPr>
        <w:t>　作业车辆应当按照下列规定使用箭头指示标志灯：</w:t>
      </w:r>
    </w:p>
    <w:p w14:paraId="07499AA7">
      <w:pPr>
        <w:jc w:val="left"/>
        <w:rPr>
          <w:rFonts w:ascii="宋体" w:hAnsi="宋体"/>
          <w:kern w:val="44"/>
        </w:rPr>
      </w:pPr>
      <w:r>
        <w:rPr>
          <w:rFonts w:hint="eastAsia" w:ascii="宋体" w:hAnsi="宋体"/>
          <w:kern w:val="44"/>
        </w:rPr>
        <w:t>（一）占用左侧车道作业时，开启右箭头指示标志灯，指引后方车辆向右变更车道；</w:t>
      </w:r>
    </w:p>
    <w:p w14:paraId="4EBEEA64">
      <w:pPr>
        <w:jc w:val="left"/>
        <w:rPr>
          <w:rFonts w:ascii="宋体" w:hAnsi="宋体"/>
          <w:kern w:val="44"/>
        </w:rPr>
      </w:pPr>
      <w:r>
        <w:rPr>
          <w:rFonts w:hint="eastAsia" w:ascii="宋体" w:hAnsi="宋体"/>
          <w:kern w:val="44"/>
        </w:rPr>
        <w:t>（二）占用右侧车道作业时，开启左箭头指示标志灯，指引后方车辆向左变更车道；</w:t>
      </w:r>
    </w:p>
    <w:p w14:paraId="1E9F82AB">
      <w:pPr>
        <w:jc w:val="left"/>
        <w:rPr>
          <w:rFonts w:ascii="宋体" w:hAnsi="宋体"/>
          <w:kern w:val="44"/>
        </w:rPr>
      </w:pPr>
      <w:r>
        <w:rPr>
          <w:rFonts w:hint="eastAsia" w:ascii="宋体" w:hAnsi="宋体"/>
          <w:kern w:val="44"/>
        </w:rPr>
        <w:t>（三）占用中间车道作业时，开启左右双箭头指示标志灯，指引后方车辆向左右两侧变更车道。</w:t>
      </w:r>
    </w:p>
    <w:p w14:paraId="045AF77B">
      <w:pPr>
        <w:spacing w:line="300" w:lineRule="exact"/>
        <w:jc w:val="left"/>
        <w:rPr>
          <w:rFonts w:ascii="宋体" w:hAnsi="宋体"/>
          <w:kern w:val="44"/>
        </w:rPr>
      </w:pPr>
    </w:p>
    <w:p w14:paraId="6FDA8E7E">
      <w:pPr>
        <w:ind w:firstLine="0" w:firstLineChars="0"/>
        <w:jc w:val="center"/>
        <w:rPr>
          <w:rFonts w:ascii="宋体" w:hAnsi="宋体"/>
          <w:kern w:val="44"/>
          <w:sz w:val="28"/>
        </w:rPr>
      </w:pPr>
      <w:r>
        <w:rPr>
          <w:rFonts w:hint="eastAsia" w:ascii="宋体" w:hAnsi="宋体"/>
          <w:b/>
          <w:kern w:val="44"/>
          <w:sz w:val="28"/>
        </w:rPr>
        <w:t>第四章　道路通行规定</w:t>
      </w:r>
    </w:p>
    <w:p w14:paraId="2E544761">
      <w:pPr>
        <w:spacing w:line="300" w:lineRule="exact"/>
        <w:ind w:firstLine="0" w:firstLineChars="0"/>
        <w:jc w:val="center"/>
        <w:rPr>
          <w:rFonts w:ascii="宋体" w:hAnsi="宋体"/>
          <w:kern w:val="44"/>
          <w:sz w:val="28"/>
        </w:rPr>
      </w:pPr>
    </w:p>
    <w:p w14:paraId="401AD6F5">
      <w:pPr>
        <w:ind w:firstLine="0" w:firstLineChars="0"/>
        <w:jc w:val="center"/>
        <w:rPr>
          <w:rFonts w:ascii="宋体" w:hAnsi="宋体"/>
          <w:kern w:val="44"/>
          <w:sz w:val="28"/>
        </w:rPr>
      </w:pPr>
      <w:r>
        <w:rPr>
          <w:rFonts w:hint="eastAsia" w:ascii="宋体" w:hAnsi="宋体"/>
          <w:kern w:val="44"/>
          <w:sz w:val="28"/>
        </w:rPr>
        <w:t>第一节　一般规定</w:t>
      </w:r>
    </w:p>
    <w:p w14:paraId="59C4AF6D">
      <w:pPr>
        <w:spacing w:line="300" w:lineRule="exact"/>
        <w:jc w:val="left"/>
        <w:rPr>
          <w:rFonts w:ascii="宋体" w:hAnsi="宋体"/>
          <w:kern w:val="44"/>
        </w:rPr>
      </w:pPr>
    </w:p>
    <w:p w14:paraId="6297D5A5">
      <w:pPr>
        <w:ind w:firstLine="422"/>
        <w:jc w:val="left"/>
        <w:rPr>
          <w:rFonts w:ascii="宋体" w:hAnsi="宋体"/>
          <w:kern w:val="44"/>
        </w:rPr>
      </w:pPr>
      <w:r>
        <w:rPr>
          <w:rFonts w:hint="eastAsia" w:ascii="宋体" w:hAnsi="宋体"/>
          <w:b/>
          <w:kern w:val="44"/>
        </w:rPr>
        <w:t>第三十四条</w:t>
      </w:r>
      <w:r>
        <w:rPr>
          <w:rFonts w:hint="eastAsia" w:ascii="宋体" w:hAnsi="宋体"/>
          <w:kern w:val="44"/>
        </w:rPr>
        <w:t>　车辆、行人应当各行其道，并遵守下列规定：</w:t>
      </w:r>
    </w:p>
    <w:p w14:paraId="2CFD068E">
      <w:pPr>
        <w:jc w:val="left"/>
        <w:rPr>
          <w:rFonts w:ascii="宋体" w:hAnsi="宋体"/>
          <w:kern w:val="44"/>
        </w:rPr>
      </w:pPr>
      <w:r>
        <w:rPr>
          <w:rFonts w:hint="eastAsia" w:ascii="宋体" w:hAnsi="宋体"/>
          <w:kern w:val="44"/>
        </w:rPr>
        <w:t>（一）在同方向划有二条以上机动车道的道路上，货运汽车、摩托车、拖拉机、低速载货汽车、三轮汽车、轮式自行机械，在慢速车道行驶；大客车不得在快速车道行驶，但超越前方车辆时除外；</w:t>
      </w:r>
    </w:p>
    <w:p w14:paraId="4AEDAB0C">
      <w:pPr>
        <w:jc w:val="left"/>
        <w:rPr>
          <w:rFonts w:ascii="宋体" w:hAnsi="宋体"/>
          <w:kern w:val="44"/>
        </w:rPr>
      </w:pPr>
      <w:r>
        <w:rPr>
          <w:rFonts w:hint="eastAsia" w:ascii="宋体" w:hAnsi="宋体"/>
          <w:kern w:val="44"/>
        </w:rPr>
        <w:t>（二）在设有主路、辅路的道路上，拖拉机、低速载货汽车、三轮汽车、轮式自行机械和摩托车，只准在辅路行驶；</w:t>
      </w:r>
    </w:p>
    <w:p w14:paraId="2CB38257">
      <w:pPr>
        <w:jc w:val="left"/>
        <w:rPr>
          <w:rFonts w:ascii="宋体" w:hAnsi="宋体"/>
          <w:kern w:val="44"/>
        </w:rPr>
      </w:pPr>
      <w:r>
        <w:rPr>
          <w:rFonts w:hint="eastAsia" w:ascii="宋体" w:hAnsi="宋体"/>
          <w:kern w:val="44"/>
        </w:rPr>
        <w:t>（三）实习期内的驾驶人驾驶机动车，不得在快速车道行驶；</w:t>
      </w:r>
    </w:p>
    <w:p w14:paraId="17DDE911">
      <w:pPr>
        <w:jc w:val="left"/>
        <w:rPr>
          <w:rFonts w:ascii="宋体" w:hAnsi="宋体"/>
          <w:kern w:val="44"/>
        </w:rPr>
      </w:pPr>
      <w:r>
        <w:rPr>
          <w:rFonts w:hint="eastAsia" w:ascii="宋体" w:hAnsi="宋体"/>
          <w:kern w:val="44"/>
        </w:rPr>
        <w:t>（四）行人遇人行道有障碍无法正常通行而借用车行道通行时，车辆应当避让借道通行的行人。</w:t>
      </w:r>
    </w:p>
    <w:p w14:paraId="2F618D27">
      <w:pPr>
        <w:ind w:firstLine="422"/>
        <w:jc w:val="left"/>
        <w:rPr>
          <w:rFonts w:ascii="宋体" w:hAnsi="宋体"/>
          <w:kern w:val="44"/>
        </w:rPr>
      </w:pPr>
      <w:r>
        <w:rPr>
          <w:rFonts w:hint="eastAsia" w:ascii="宋体" w:hAnsi="宋体"/>
          <w:b/>
          <w:kern w:val="44"/>
        </w:rPr>
        <w:t>第三十五条</w:t>
      </w:r>
      <w:r>
        <w:rPr>
          <w:rFonts w:hint="eastAsia" w:ascii="宋体" w:hAnsi="宋体"/>
          <w:kern w:val="44"/>
        </w:rPr>
        <w:t>　车辆变更车道不得影响其他车辆、行人的正常通行，并应当遵守下列规定：</w:t>
      </w:r>
    </w:p>
    <w:p w14:paraId="19F8CBC6">
      <w:pPr>
        <w:jc w:val="left"/>
        <w:rPr>
          <w:rFonts w:ascii="宋体" w:hAnsi="宋体"/>
          <w:kern w:val="44"/>
        </w:rPr>
      </w:pPr>
      <w:r>
        <w:rPr>
          <w:rFonts w:hint="eastAsia" w:ascii="宋体" w:hAnsi="宋体"/>
          <w:kern w:val="44"/>
        </w:rPr>
        <w:t>（一）让所借车道内行驶的车辆或者行人先行；</w:t>
      </w:r>
    </w:p>
    <w:p w14:paraId="5F339656">
      <w:pPr>
        <w:jc w:val="left"/>
        <w:rPr>
          <w:rFonts w:ascii="宋体" w:hAnsi="宋体"/>
          <w:kern w:val="44"/>
        </w:rPr>
      </w:pPr>
      <w:r>
        <w:rPr>
          <w:rFonts w:hint="eastAsia" w:ascii="宋体" w:hAnsi="宋体"/>
          <w:kern w:val="44"/>
        </w:rPr>
        <w:t>（二）按顺序依次行驶，不得频繁变更机动车道；</w:t>
      </w:r>
    </w:p>
    <w:p w14:paraId="47370FB2">
      <w:pPr>
        <w:jc w:val="left"/>
        <w:rPr>
          <w:rFonts w:ascii="宋体" w:hAnsi="宋体"/>
          <w:kern w:val="44"/>
        </w:rPr>
      </w:pPr>
      <w:r>
        <w:rPr>
          <w:rFonts w:hint="eastAsia" w:ascii="宋体" w:hAnsi="宋体"/>
          <w:kern w:val="44"/>
        </w:rPr>
        <w:t>（三）不得一次连续变更二条以上机动车道；</w:t>
      </w:r>
    </w:p>
    <w:p w14:paraId="2E4C7A3B">
      <w:pPr>
        <w:jc w:val="left"/>
        <w:rPr>
          <w:rFonts w:ascii="宋体" w:hAnsi="宋体"/>
          <w:kern w:val="44"/>
        </w:rPr>
      </w:pPr>
      <w:r>
        <w:rPr>
          <w:rFonts w:hint="eastAsia" w:ascii="宋体" w:hAnsi="宋体"/>
          <w:kern w:val="44"/>
        </w:rPr>
        <w:t>（四）左右两侧车道的车辆向同一车道变更时，左侧车道的车辆让右侧车道的车辆先行。</w:t>
      </w:r>
    </w:p>
    <w:p w14:paraId="48FFE5DF">
      <w:pPr>
        <w:ind w:firstLine="422"/>
        <w:jc w:val="left"/>
        <w:rPr>
          <w:rFonts w:ascii="宋体" w:hAnsi="宋体"/>
          <w:kern w:val="44"/>
        </w:rPr>
      </w:pPr>
      <w:r>
        <w:rPr>
          <w:rFonts w:hint="eastAsia" w:ascii="宋体" w:hAnsi="宋体"/>
          <w:b/>
          <w:kern w:val="44"/>
        </w:rPr>
        <w:t>第三十六条</w:t>
      </w:r>
      <w:r>
        <w:rPr>
          <w:rFonts w:hint="eastAsia" w:ascii="宋体" w:hAnsi="宋体"/>
          <w:kern w:val="44"/>
        </w:rPr>
        <w:t>　在道路划设的公交专用车道内，在规定的时间内只准公共汽车、电车通行，其他车辆不得进入该车道行驶；遇交通管制等特殊情况时，按照交通警察指挥或者交通标志指示，可以借用公交专用车道行驶。</w:t>
      </w:r>
    </w:p>
    <w:p w14:paraId="3242826F">
      <w:pPr>
        <w:jc w:val="left"/>
        <w:rPr>
          <w:rFonts w:ascii="宋体" w:hAnsi="宋体"/>
          <w:kern w:val="44"/>
        </w:rPr>
      </w:pPr>
      <w:r>
        <w:rPr>
          <w:rFonts w:hint="eastAsia" w:ascii="宋体" w:hAnsi="宋体"/>
          <w:kern w:val="44"/>
        </w:rPr>
        <w:t>在划设公交专用车道的道路上，在规定的时间内，公共汽车、电车应当在公交专用车道内顺序行驶。在未划设公交专用车道的道路上，公共汽车、电车不得在快速车道内行驶。超越前方车辆时，只准借用相邻的一条机动车道，超越前方车辆后应当立即驶回原车道。</w:t>
      </w:r>
    </w:p>
    <w:p w14:paraId="78041408">
      <w:pPr>
        <w:ind w:firstLine="422"/>
        <w:jc w:val="left"/>
        <w:rPr>
          <w:rFonts w:ascii="宋体" w:hAnsi="宋体"/>
          <w:kern w:val="44"/>
        </w:rPr>
      </w:pPr>
      <w:r>
        <w:rPr>
          <w:rFonts w:hint="eastAsia" w:ascii="宋体" w:hAnsi="宋体"/>
          <w:b/>
          <w:kern w:val="44"/>
        </w:rPr>
        <w:t>第三十七条</w:t>
      </w:r>
      <w:r>
        <w:rPr>
          <w:rFonts w:hint="eastAsia" w:ascii="宋体" w:hAnsi="宋体"/>
          <w:kern w:val="44"/>
        </w:rPr>
        <w:t>　出租汽车上下站、出租汽车停靠站为出租汽车专用停车地点，其他车辆不得占用。</w:t>
      </w:r>
    </w:p>
    <w:p w14:paraId="6C1B9089">
      <w:pPr>
        <w:jc w:val="left"/>
        <w:rPr>
          <w:rFonts w:ascii="宋体" w:hAnsi="宋体"/>
          <w:kern w:val="44"/>
        </w:rPr>
      </w:pPr>
      <w:r>
        <w:rPr>
          <w:rFonts w:hint="eastAsia" w:ascii="宋体" w:hAnsi="宋体"/>
          <w:kern w:val="44"/>
        </w:rPr>
        <w:t>在设置出租汽车上下站的地点，出租汽车可以临时停车上下乘客，上下乘客后应当立即驶离。</w:t>
      </w:r>
    </w:p>
    <w:p w14:paraId="0A53D933">
      <w:pPr>
        <w:jc w:val="left"/>
        <w:rPr>
          <w:rFonts w:ascii="宋体" w:hAnsi="宋体"/>
          <w:kern w:val="44"/>
        </w:rPr>
      </w:pPr>
      <w:r>
        <w:rPr>
          <w:rFonts w:hint="eastAsia" w:ascii="宋体" w:hAnsi="宋体"/>
          <w:kern w:val="44"/>
        </w:rPr>
        <w:t>在设置出租汽车停靠站的地点，出租汽车可以临时停车上下乘客或者顺序排队等候。</w:t>
      </w:r>
    </w:p>
    <w:p w14:paraId="25D6D69B">
      <w:pPr>
        <w:ind w:firstLine="422"/>
        <w:jc w:val="left"/>
        <w:rPr>
          <w:rFonts w:ascii="宋体" w:hAnsi="宋体"/>
          <w:kern w:val="44"/>
        </w:rPr>
      </w:pPr>
      <w:r>
        <w:rPr>
          <w:rFonts w:hint="eastAsia" w:ascii="宋体" w:hAnsi="宋体"/>
          <w:b/>
          <w:kern w:val="44"/>
        </w:rPr>
        <w:t>第三十八条</w:t>
      </w:r>
      <w:r>
        <w:rPr>
          <w:rFonts w:hint="eastAsia" w:ascii="宋体" w:hAnsi="宋体"/>
          <w:kern w:val="44"/>
        </w:rPr>
        <w:t>　遇有重大国事、外事活动，公安机关交通管理部门可以采取临时交通管制措施。</w:t>
      </w:r>
    </w:p>
    <w:p w14:paraId="08708355">
      <w:pPr>
        <w:jc w:val="left"/>
        <w:rPr>
          <w:rFonts w:ascii="宋体" w:hAnsi="宋体"/>
          <w:kern w:val="44"/>
        </w:rPr>
      </w:pPr>
      <w:r>
        <w:rPr>
          <w:rFonts w:hint="eastAsia" w:ascii="宋体" w:hAnsi="宋体"/>
          <w:kern w:val="44"/>
        </w:rPr>
        <w:t>举办大型群众性活动，需要公安机关交通管理部门采取交通管制措施的，公安机关交通管理部门应当在采取管制措施3日前向社会公告。</w:t>
      </w:r>
    </w:p>
    <w:p w14:paraId="645BB094">
      <w:pPr>
        <w:jc w:val="left"/>
        <w:rPr>
          <w:rFonts w:ascii="宋体" w:hAnsi="宋体"/>
          <w:kern w:val="44"/>
        </w:rPr>
      </w:pPr>
    </w:p>
    <w:p w14:paraId="1FB81BB0">
      <w:pPr>
        <w:ind w:firstLine="0" w:firstLineChars="0"/>
        <w:jc w:val="center"/>
        <w:rPr>
          <w:rFonts w:ascii="宋体" w:hAnsi="宋体"/>
          <w:kern w:val="44"/>
          <w:sz w:val="28"/>
        </w:rPr>
      </w:pPr>
      <w:r>
        <w:rPr>
          <w:rFonts w:hint="eastAsia" w:ascii="宋体" w:hAnsi="宋体"/>
          <w:kern w:val="44"/>
          <w:sz w:val="28"/>
        </w:rPr>
        <w:t>第二节　机动车通行规定</w:t>
      </w:r>
    </w:p>
    <w:p w14:paraId="1AA9912C">
      <w:pPr>
        <w:jc w:val="left"/>
        <w:rPr>
          <w:rFonts w:ascii="宋体" w:hAnsi="宋体"/>
          <w:kern w:val="44"/>
        </w:rPr>
      </w:pPr>
    </w:p>
    <w:p w14:paraId="0F13E771">
      <w:pPr>
        <w:ind w:firstLine="422"/>
        <w:jc w:val="left"/>
        <w:rPr>
          <w:rFonts w:ascii="宋体" w:hAnsi="宋体"/>
          <w:kern w:val="44"/>
        </w:rPr>
      </w:pPr>
      <w:r>
        <w:rPr>
          <w:rFonts w:hint="eastAsia" w:ascii="宋体" w:hAnsi="宋体"/>
          <w:b/>
          <w:kern w:val="44"/>
        </w:rPr>
        <w:t>第三十九条</w:t>
      </w:r>
      <w:r>
        <w:rPr>
          <w:rFonts w:hint="eastAsia" w:ascii="宋体" w:hAnsi="宋体"/>
          <w:kern w:val="44"/>
        </w:rPr>
        <w:t>　机动车上道路行驶不得超过限速标志、标线标明的速度；同方向划有二条以上机动车道的道路，没有限速标志、标线的，城市道路最高时速为70公里，封闭的机动车专用道路和公路最高时速为80公里。</w:t>
      </w:r>
    </w:p>
    <w:p w14:paraId="6E247DF9">
      <w:pPr>
        <w:jc w:val="left"/>
        <w:rPr>
          <w:rFonts w:ascii="宋体" w:hAnsi="宋体"/>
          <w:kern w:val="44"/>
        </w:rPr>
      </w:pPr>
      <w:r>
        <w:rPr>
          <w:rFonts w:hint="eastAsia" w:ascii="宋体" w:hAnsi="宋体"/>
          <w:kern w:val="44"/>
        </w:rPr>
        <w:t>低速载货汽车、三轮汽车、拖拉机、电瓶车、轮式专用机械车、正三轮摩托车、轻便摩托车在道路上行驶时最高时速为30公里。</w:t>
      </w:r>
    </w:p>
    <w:p w14:paraId="22C5A787">
      <w:pPr>
        <w:jc w:val="left"/>
        <w:rPr>
          <w:rFonts w:ascii="宋体" w:hAnsi="宋体"/>
          <w:kern w:val="44"/>
        </w:rPr>
      </w:pPr>
      <w:r>
        <w:rPr>
          <w:rFonts w:hint="eastAsia" w:ascii="宋体" w:hAnsi="宋体"/>
          <w:kern w:val="44"/>
        </w:rPr>
        <w:t>附载作业人员的货运汽车、全挂拖斗车、运载危险化学品的货运汽车、二轮摩托车、侧三轮摩托车和铰接式客车、电车在城市道路上行驶时最高时速为50公里，在封闭的机动车专用道路和公路上行驶时最高时速为60公里。</w:t>
      </w:r>
    </w:p>
    <w:p w14:paraId="326554AC">
      <w:pPr>
        <w:ind w:firstLine="422"/>
        <w:jc w:val="left"/>
        <w:rPr>
          <w:rFonts w:ascii="宋体" w:hAnsi="宋体"/>
          <w:kern w:val="44"/>
        </w:rPr>
      </w:pPr>
      <w:r>
        <w:rPr>
          <w:rFonts w:hint="eastAsia" w:ascii="宋体" w:hAnsi="宋体"/>
          <w:b/>
          <w:kern w:val="44"/>
        </w:rPr>
        <w:t>第四十条</w:t>
      </w:r>
      <w:r>
        <w:rPr>
          <w:rFonts w:hint="eastAsia" w:ascii="宋体" w:hAnsi="宋体"/>
          <w:kern w:val="44"/>
        </w:rPr>
        <w:t>　机动车在道路空闲、视线良好且不违反道路交通安全法律、法规规定的情况下，应当快速接续行驶，不得妨碍后车通行。</w:t>
      </w:r>
    </w:p>
    <w:p w14:paraId="6E0F4097">
      <w:pPr>
        <w:ind w:firstLine="422"/>
        <w:jc w:val="left"/>
        <w:rPr>
          <w:rFonts w:ascii="宋体" w:hAnsi="宋体"/>
          <w:kern w:val="44"/>
        </w:rPr>
      </w:pPr>
      <w:r>
        <w:rPr>
          <w:rFonts w:hint="eastAsia" w:ascii="宋体" w:hAnsi="宋体"/>
          <w:b/>
          <w:kern w:val="44"/>
        </w:rPr>
        <w:t>第四十一条</w:t>
      </w:r>
      <w:r>
        <w:rPr>
          <w:rFonts w:hint="eastAsia" w:ascii="宋体" w:hAnsi="宋体"/>
          <w:kern w:val="44"/>
        </w:rPr>
        <w:t>　机动车在夜间路灯开启期间，应当开启前照灯、示廓灯和后位灯。</w:t>
      </w:r>
    </w:p>
    <w:p w14:paraId="5DC6D3E0">
      <w:pPr>
        <w:jc w:val="left"/>
        <w:rPr>
          <w:rFonts w:ascii="宋体" w:hAnsi="宋体"/>
          <w:kern w:val="44"/>
        </w:rPr>
      </w:pPr>
      <w:r>
        <w:rPr>
          <w:rFonts w:hint="eastAsia" w:ascii="宋体" w:hAnsi="宋体"/>
          <w:kern w:val="44"/>
        </w:rPr>
        <w:t>机动车转弯、变更车道、超车、掉头、靠路边停车时，应当提前100米至50米开启转向灯。</w:t>
      </w:r>
    </w:p>
    <w:p w14:paraId="698A7A41">
      <w:pPr>
        <w:ind w:firstLine="422"/>
        <w:jc w:val="left"/>
        <w:rPr>
          <w:rFonts w:ascii="宋体" w:hAnsi="宋体"/>
          <w:kern w:val="44"/>
        </w:rPr>
      </w:pPr>
      <w:r>
        <w:rPr>
          <w:rFonts w:hint="eastAsia" w:ascii="宋体" w:hAnsi="宋体"/>
          <w:b/>
          <w:kern w:val="44"/>
        </w:rPr>
        <w:t>第四十二条</w:t>
      </w:r>
      <w:r>
        <w:rPr>
          <w:rFonts w:hint="eastAsia" w:ascii="宋体" w:hAnsi="宋体"/>
          <w:kern w:val="44"/>
        </w:rPr>
        <w:t>　机动车可以在有掉头标志、标线或者未设置禁止左转弯、禁止掉头标志、标线的路口、路段掉头。掉头时应当提前进入导向车道或者在距掉头地点150米至50米处驶入最左侧车道，并不得妨碍行人和其他车辆正常通行。</w:t>
      </w:r>
    </w:p>
    <w:p w14:paraId="4540CA43">
      <w:pPr>
        <w:ind w:firstLine="422"/>
        <w:jc w:val="left"/>
        <w:rPr>
          <w:rFonts w:ascii="宋体" w:hAnsi="宋体"/>
          <w:kern w:val="44"/>
        </w:rPr>
      </w:pPr>
      <w:r>
        <w:rPr>
          <w:rFonts w:hint="eastAsia" w:ascii="宋体" w:hAnsi="宋体"/>
          <w:b/>
          <w:kern w:val="44"/>
        </w:rPr>
        <w:t>第四十三条</w:t>
      </w:r>
      <w:r>
        <w:rPr>
          <w:rFonts w:hint="eastAsia" w:ascii="宋体" w:hAnsi="宋体"/>
          <w:kern w:val="44"/>
        </w:rPr>
        <w:t>　机动车通过环形路口，应当按照导向箭头所示方向行驶。进环形路口的机动车应当让已在路口内环行或者出环行路口的机动车先行。</w:t>
      </w:r>
    </w:p>
    <w:p w14:paraId="524F5E28">
      <w:pPr>
        <w:jc w:val="left"/>
        <w:rPr>
          <w:rFonts w:ascii="宋体" w:hAnsi="宋体"/>
          <w:kern w:val="44"/>
        </w:rPr>
      </w:pPr>
      <w:r>
        <w:rPr>
          <w:rFonts w:hint="eastAsia" w:ascii="宋体" w:hAnsi="宋体"/>
          <w:kern w:val="44"/>
        </w:rPr>
        <w:t>机动车通过有交通信号灯控制的交叉路口，遇放行信号时，应当让先于本放行信号放行的车辆先行。</w:t>
      </w:r>
    </w:p>
    <w:p w14:paraId="0DDCE828">
      <w:pPr>
        <w:ind w:firstLine="422"/>
        <w:jc w:val="left"/>
        <w:rPr>
          <w:rFonts w:ascii="宋体" w:hAnsi="宋体"/>
          <w:kern w:val="44"/>
        </w:rPr>
      </w:pPr>
      <w:r>
        <w:rPr>
          <w:rFonts w:hint="eastAsia" w:ascii="宋体" w:hAnsi="宋体"/>
          <w:b/>
          <w:kern w:val="44"/>
        </w:rPr>
        <w:t>第四十四条</w:t>
      </w:r>
      <w:r>
        <w:rPr>
          <w:rFonts w:hint="eastAsia" w:ascii="宋体" w:hAnsi="宋体"/>
          <w:kern w:val="44"/>
        </w:rPr>
        <w:t>　机动车进出或者穿越道路的，应当让在道路上正常行驶的车辆、行人先行。在设有主路、辅路的道路上，进主路的机动车应当让在主路上行驶的和出主路的机动车先行，辅路上行驶的机动车应当让出主路的机动车先行。</w:t>
      </w:r>
    </w:p>
    <w:p w14:paraId="1BACC433">
      <w:pPr>
        <w:ind w:firstLine="422"/>
        <w:jc w:val="left"/>
        <w:rPr>
          <w:rFonts w:ascii="宋体" w:hAnsi="宋体"/>
          <w:kern w:val="44"/>
        </w:rPr>
      </w:pPr>
      <w:r>
        <w:rPr>
          <w:rFonts w:hint="eastAsia" w:ascii="宋体" w:hAnsi="宋体"/>
          <w:b/>
          <w:kern w:val="44"/>
        </w:rPr>
        <w:t>第四十五条</w:t>
      </w:r>
      <w:r>
        <w:rPr>
          <w:rFonts w:hint="eastAsia" w:ascii="宋体" w:hAnsi="宋体"/>
          <w:kern w:val="44"/>
        </w:rPr>
        <w:t>　机动车遇有前方车辆停车排队等候或者行驶缓慢时，应当停车等候或者依次行驶，不得进入非机动车道、人行道行驶，不得鸣喇叭催促车辆、行人。</w:t>
      </w:r>
    </w:p>
    <w:p w14:paraId="7FEE2E59">
      <w:pPr>
        <w:ind w:firstLine="422"/>
        <w:jc w:val="left"/>
        <w:rPr>
          <w:rFonts w:ascii="宋体" w:hAnsi="宋体"/>
          <w:kern w:val="44"/>
        </w:rPr>
      </w:pPr>
      <w:r>
        <w:rPr>
          <w:rFonts w:hint="eastAsia" w:ascii="宋体" w:hAnsi="宋体"/>
          <w:b/>
          <w:kern w:val="44"/>
        </w:rPr>
        <w:t>第四十六条</w:t>
      </w:r>
      <w:r>
        <w:rPr>
          <w:rFonts w:hint="eastAsia" w:ascii="宋体" w:hAnsi="宋体"/>
          <w:kern w:val="44"/>
        </w:rPr>
        <w:t>　机动车在行驶中不得使用危险报警闪光灯，但道路交通安全法律、法规规定的牵引与被牵引的机动车、道路作业车辆、警车护卫的车队以及低能见度气象条件下行驶的机动车除外。</w:t>
      </w:r>
    </w:p>
    <w:p w14:paraId="627C6D8B">
      <w:pPr>
        <w:ind w:firstLine="422"/>
        <w:jc w:val="left"/>
        <w:rPr>
          <w:rFonts w:ascii="宋体" w:hAnsi="宋体"/>
          <w:kern w:val="44"/>
        </w:rPr>
      </w:pPr>
      <w:r>
        <w:rPr>
          <w:rFonts w:hint="eastAsia" w:ascii="宋体" w:hAnsi="宋体"/>
          <w:b/>
          <w:kern w:val="44"/>
        </w:rPr>
        <w:t>第四十七条</w:t>
      </w:r>
      <w:r>
        <w:rPr>
          <w:rFonts w:hint="eastAsia" w:ascii="宋体" w:hAnsi="宋体"/>
          <w:kern w:val="44"/>
        </w:rPr>
        <w:t>　机动车在行驶中发生故障、事故的，应当按照规定立即开启危险报警闪光灯，设置警告标志；除抢救伤员、灭火等紧急情况外，驾驶人、乘车人应当迅速离开车辆和车行道。</w:t>
      </w:r>
    </w:p>
    <w:p w14:paraId="12A80CC5">
      <w:pPr>
        <w:ind w:firstLine="422"/>
        <w:jc w:val="left"/>
        <w:rPr>
          <w:rFonts w:ascii="宋体" w:hAnsi="宋体"/>
          <w:kern w:val="44"/>
        </w:rPr>
      </w:pPr>
      <w:r>
        <w:rPr>
          <w:rFonts w:hint="eastAsia" w:ascii="宋体" w:hAnsi="宋体"/>
          <w:b/>
          <w:kern w:val="44"/>
        </w:rPr>
        <w:t>第四十八条</w:t>
      </w:r>
      <w:r>
        <w:rPr>
          <w:rFonts w:hint="eastAsia" w:ascii="宋体" w:hAnsi="宋体"/>
          <w:kern w:val="44"/>
        </w:rPr>
        <w:t>　牵引机动车应当遵守下列规定：</w:t>
      </w:r>
    </w:p>
    <w:p w14:paraId="7B20B930">
      <w:pPr>
        <w:jc w:val="left"/>
        <w:rPr>
          <w:rFonts w:ascii="宋体" w:hAnsi="宋体"/>
          <w:kern w:val="44"/>
        </w:rPr>
      </w:pPr>
      <w:r>
        <w:rPr>
          <w:rFonts w:hint="eastAsia" w:ascii="宋体" w:hAnsi="宋体"/>
          <w:kern w:val="44"/>
        </w:rPr>
        <w:t>（一）牵引车与被牵引车均应当由取得机动车驾驶证一年以上的驾驶人驾驶；</w:t>
      </w:r>
    </w:p>
    <w:p w14:paraId="289DC9A8">
      <w:pPr>
        <w:jc w:val="left"/>
        <w:rPr>
          <w:rFonts w:ascii="宋体" w:hAnsi="宋体"/>
          <w:kern w:val="44"/>
        </w:rPr>
      </w:pPr>
      <w:r>
        <w:rPr>
          <w:rFonts w:hint="eastAsia" w:ascii="宋体" w:hAnsi="宋体"/>
          <w:kern w:val="44"/>
        </w:rPr>
        <w:t>（二）夜间使用软连接牵引时，牵引装置上设置反光标识物；</w:t>
      </w:r>
    </w:p>
    <w:p w14:paraId="5F9ED374">
      <w:pPr>
        <w:jc w:val="left"/>
        <w:rPr>
          <w:rFonts w:ascii="宋体" w:hAnsi="宋体"/>
          <w:kern w:val="44"/>
        </w:rPr>
      </w:pPr>
      <w:r>
        <w:rPr>
          <w:rFonts w:hint="eastAsia" w:ascii="宋体" w:hAnsi="宋体"/>
          <w:kern w:val="44"/>
        </w:rPr>
        <w:t>（三）道路设有二条以上机动车道的，在慢速车道内行驶；</w:t>
      </w:r>
    </w:p>
    <w:p w14:paraId="7C2C1EA6">
      <w:pPr>
        <w:jc w:val="left"/>
        <w:rPr>
          <w:rFonts w:ascii="宋体" w:hAnsi="宋体"/>
          <w:kern w:val="44"/>
        </w:rPr>
      </w:pPr>
      <w:r>
        <w:rPr>
          <w:rFonts w:hint="eastAsia" w:ascii="宋体" w:hAnsi="宋体"/>
          <w:kern w:val="44"/>
        </w:rPr>
        <w:t>（四）道路设有主路、辅路的，在辅路上行驶；</w:t>
      </w:r>
    </w:p>
    <w:p w14:paraId="589757B5">
      <w:pPr>
        <w:jc w:val="left"/>
        <w:rPr>
          <w:rFonts w:ascii="宋体" w:hAnsi="宋体"/>
          <w:kern w:val="44"/>
        </w:rPr>
      </w:pPr>
      <w:r>
        <w:rPr>
          <w:rFonts w:hint="eastAsia" w:ascii="宋体" w:hAnsi="宋体"/>
          <w:kern w:val="44"/>
        </w:rPr>
        <w:t>（五）全挂拖斗车、运载危险化学品的车辆不得牵引车辆；</w:t>
      </w:r>
    </w:p>
    <w:p w14:paraId="5D98EC7A">
      <w:pPr>
        <w:jc w:val="left"/>
        <w:rPr>
          <w:rFonts w:ascii="宋体" w:hAnsi="宋体"/>
          <w:kern w:val="44"/>
        </w:rPr>
      </w:pPr>
      <w:r>
        <w:rPr>
          <w:rFonts w:hint="eastAsia" w:ascii="宋体" w:hAnsi="宋体"/>
          <w:kern w:val="44"/>
        </w:rPr>
        <w:t>（六）不得牵引轮式专用机械车及其他轮式机械。</w:t>
      </w:r>
    </w:p>
    <w:p w14:paraId="361BF389">
      <w:pPr>
        <w:ind w:firstLine="422"/>
        <w:jc w:val="left"/>
        <w:rPr>
          <w:rFonts w:ascii="宋体" w:hAnsi="宋体"/>
          <w:kern w:val="44"/>
        </w:rPr>
      </w:pPr>
      <w:r>
        <w:rPr>
          <w:rFonts w:hint="eastAsia" w:ascii="宋体" w:hAnsi="宋体"/>
          <w:b/>
          <w:kern w:val="44"/>
        </w:rPr>
        <w:t>第四十九条</w:t>
      </w:r>
      <w:r>
        <w:rPr>
          <w:rFonts w:hint="eastAsia" w:ascii="宋体" w:hAnsi="宋体"/>
          <w:kern w:val="44"/>
        </w:rPr>
        <w:t>　机动车停放应当遵守下列规定：</w:t>
      </w:r>
    </w:p>
    <w:p w14:paraId="0C678407">
      <w:pPr>
        <w:jc w:val="left"/>
        <w:rPr>
          <w:rFonts w:ascii="宋体" w:hAnsi="宋体"/>
          <w:kern w:val="44"/>
        </w:rPr>
      </w:pPr>
      <w:r>
        <w:rPr>
          <w:rFonts w:hint="eastAsia" w:ascii="宋体" w:hAnsi="宋体"/>
          <w:kern w:val="44"/>
        </w:rPr>
        <w:t>（一）在停车场或者交通标志、标线规定的道路停车泊位内停放；</w:t>
      </w:r>
    </w:p>
    <w:p w14:paraId="0C22E785">
      <w:pPr>
        <w:jc w:val="left"/>
        <w:rPr>
          <w:rFonts w:ascii="宋体" w:hAnsi="宋体"/>
          <w:kern w:val="44"/>
        </w:rPr>
      </w:pPr>
      <w:r>
        <w:rPr>
          <w:rFonts w:hint="eastAsia" w:ascii="宋体" w:hAnsi="宋体"/>
          <w:kern w:val="44"/>
        </w:rPr>
        <w:t>（二）在道路停车泊位内，按顺行方向停放，车身不得超出停车泊位；</w:t>
      </w:r>
    </w:p>
    <w:p w14:paraId="29814545">
      <w:pPr>
        <w:jc w:val="left"/>
        <w:rPr>
          <w:rFonts w:ascii="宋体" w:hAnsi="宋体"/>
          <w:kern w:val="44"/>
        </w:rPr>
      </w:pPr>
      <w:r>
        <w:rPr>
          <w:rFonts w:hint="eastAsia" w:ascii="宋体" w:hAnsi="宋体"/>
          <w:kern w:val="44"/>
        </w:rPr>
        <w:t>（三）借道进出停车场或者道路停车泊位的，不得妨碍其他车辆或者行人正常通行。</w:t>
      </w:r>
    </w:p>
    <w:p w14:paraId="7FA03D9D">
      <w:pPr>
        <w:ind w:firstLine="422"/>
        <w:jc w:val="left"/>
        <w:rPr>
          <w:rFonts w:ascii="宋体" w:hAnsi="宋体"/>
          <w:kern w:val="44"/>
        </w:rPr>
      </w:pPr>
      <w:r>
        <w:rPr>
          <w:rFonts w:hint="eastAsia" w:ascii="宋体" w:hAnsi="宋体"/>
          <w:b/>
          <w:kern w:val="44"/>
        </w:rPr>
        <w:t>第五十条</w:t>
      </w:r>
      <w:r>
        <w:rPr>
          <w:rFonts w:hint="eastAsia" w:ascii="宋体" w:hAnsi="宋体"/>
          <w:kern w:val="44"/>
        </w:rPr>
        <w:t>　机动车在道路上临时停车时，应当遵守下列规定：</w:t>
      </w:r>
    </w:p>
    <w:p w14:paraId="5C9876D3">
      <w:pPr>
        <w:jc w:val="left"/>
        <w:rPr>
          <w:rFonts w:ascii="宋体" w:hAnsi="宋体"/>
          <w:kern w:val="44"/>
        </w:rPr>
      </w:pPr>
      <w:r>
        <w:rPr>
          <w:rFonts w:hint="eastAsia" w:ascii="宋体" w:hAnsi="宋体"/>
          <w:kern w:val="44"/>
        </w:rPr>
        <w:t>（一）按顺行方向，车身右侧紧靠道路边缘，不得超过30厘米，同时开启危险报警闪光灯；</w:t>
      </w:r>
    </w:p>
    <w:p w14:paraId="1C5EEFD8">
      <w:pPr>
        <w:jc w:val="left"/>
        <w:rPr>
          <w:rFonts w:ascii="宋体" w:hAnsi="宋体"/>
          <w:kern w:val="44"/>
        </w:rPr>
      </w:pPr>
      <w:r>
        <w:rPr>
          <w:rFonts w:hint="eastAsia" w:ascii="宋体" w:hAnsi="宋体"/>
          <w:kern w:val="44"/>
        </w:rPr>
        <w:t>（二）夜间或者遇风、雨、雪、雾等低能见度气象条件时，开启示廓灯、后位灯、雾灯。</w:t>
      </w:r>
    </w:p>
    <w:p w14:paraId="5D673DD9">
      <w:pPr>
        <w:ind w:firstLine="422"/>
        <w:jc w:val="left"/>
        <w:rPr>
          <w:rFonts w:ascii="宋体" w:hAnsi="宋体"/>
          <w:kern w:val="44"/>
        </w:rPr>
      </w:pPr>
      <w:r>
        <w:rPr>
          <w:rFonts w:hint="eastAsia" w:ascii="宋体" w:hAnsi="宋体"/>
          <w:b/>
          <w:kern w:val="44"/>
        </w:rPr>
        <w:t>第五十一条</w:t>
      </w:r>
      <w:r>
        <w:rPr>
          <w:rFonts w:hint="eastAsia" w:ascii="宋体" w:hAnsi="宋体"/>
          <w:kern w:val="44"/>
        </w:rPr>
        <w:t>　公共汽车、电车驶入停靠站应当遵守下列规定：</w:t>
      </w:r>
    </w:p>
    <w:p w14:paraId="7F2DDA4A">
      <w:pPr>
        <w:jc w:val="left"/>
        <w:rPr>
          <w:rFonts w:ascii="宋体" w:hAnsi="宋体"/>
          <w:kern w:val="44"/>
        </w:rPr>
      </w:pPr>
      <w:r>
        <w:rPr>
          <w:rFonts w:hint="eastAsia" w:ascii="宋体" w:hAnsi="宋体"/>
          <w:kern w:val="44"/>
        </w:rPr>
        <w:t>（一）在停靠站一侧单排靠边停车；</w:t>
      </w:r>
    </w:p>
    <w:p w14:paraId="1A0FC2AC">
      <w:pPr>
        <w:jc w:val="left"/>
        <w:rPr>
          <w:rFonts w:ascii="宋体" w:hAnsi="宋体"/>
          <w:kern w:val="44"/>
        </w:rPr>
      </w:pPr>
      <w:r>
        <w:rPr>
          <w:rFonts w:hint="eastAsia" w:ascii="宋体" w:hAnsi="宋体"/>
          <w:kern w:val="44"/>
        </w:rPr>
        <w:t>（二）不得在停靠站以外的地点停车上下乘客；</w:t>
      </w:r>
    </w:p>
    <w:p w14:paraId="2E82DBDF">
      <w:pPr>
        <w:jc w:val="left"/>
        <w:rPr>
          <w:rFonts w:ascii="宋体" w:hAnsi="宋体"/>
          <w:kern w:val="44"/>
        </w:rPr>
      </w:pPr>
      <w:r>
        <w:rPr>
          <w:rFonts w:hint="eastAsia" w:ascii="宋体" w:hAnsi="宋体"/>
          <w:kern w:val="44"/>
        </w:rPr>
        <w:t>（三）不得在停靠站内待客、揽客。</w:t>
      </w:r>
    </w:p>
    <w:p w14:paraId="0EB154CA">
      <w:pPr>
        <w:ind w:firstLine="422"/>
        <w:jc w:val="left"/>
        <w:rPr>
          <w:rFonts w:ascii="宋体" w:hAnsi="宋体"/>
          <w:kern w:val="44"/>
        </w:rPr>
      </w:pPr>
      <w:r>
        <w:rPr>
          <w:rFonts w:hint="eastAsia" w:ascii="宋体" w:hAnsi="宋体"/>
          <w:b/>
          <w:kern w:val="44"/>
        </w:rPr>
        <w:t>第五十二条</w:t>
      </w:r>
      <w:r>
        <w:rPr>
          <w:rFonts w:hint="eastAsia" w:ascii="宋体" w:hAnsi="宋体"/>
          <w:kern w:val="44"/>
        </w:rPr>
        <w:t>　机动车试车应当遵守下列规定：</w:t>
      </w:r>
    </w:p>
    <w:p w14:paraId="1D2C2B3C">
      <w:pPr>
        <w:jc w:val="left"/>
        <w:rPr>
          <w:rFonts w:ascii="宋体" w:hAnsi="宋体"/>
          <w:kern w:val="44"/>
        </w:rPr>
      </w:pPr>
      <w:r>
        <w:rPr>
          <w:rFonts w:hint="eastAsia" w:ascii="宋体" w:hAnsi="宋体"/>
          <w:kern w:val="44"/>
        </w:rPr>
        <w:t>（一）按照规定悬挂公安机关交通管理部门核发的试车号牌；</w:t>
      </w:r>
    </w:p>
    <w:p w14:paraId="4C66BC2F">
      <w:pPr>
        <w:jc w:val="left"/>
        <w:rPr>
          <w:rFonts w:ascii="宋体" w:hAnsi="宋体"/>
          <w:kern w:val="44"/>
        </w:rPr>
      </w:pPr>
      <w:r>
        <w:rPr>
          <w:rFonts w:hint="eastAsia" w:ascii="宋体" w:hAnsi="宋体"/>
          <w:kern w:val="44"/>
        </w:rPr>
        <w:t>（二）由取得机动车驾驶证一年以上的驾驶人驾驶；</w:t>
      </w:r>
    </w:p>
    <w:p w14:paraId="29069F45">
      <w:pPr>
        <w:jc w:val="left"/>
        <w:rPr>
          <w:rFonts w:ascii="宋体" w:hAnsi="宋体"/>
          <w:kern w:val="44"/>
        </w:rPr>
      </w:pPr>
      <w:r>
        <w:rPr>
          <w:rFonts w:hint="eastAsia" w:ascii="宋体" w:hAnsi="宋体"/>
          <w:kern w:val="44"/>
        </w:rPr>
        <w:t>（三）按照公安机关交通管理部门规定的时间、路线进行；</w:t>
      </w:r>
    </w:p>
    <w:p w14:paraId="0A8640B7">
      <w:pPr>
        <w:jc w:val="left"/>
        <w:rPr>
          <w:rFonts w:ascii="宋体" w:hAnsi="宋体"/>
          <w:kern w:val="44"/>
        </w:rPr>
      </w:pPr>
      <w:r>
        <w:rPr>
          <w:rFonts w:hint="eastAsia" w:ascii="宋体" w:hAnsi="宋体"/>
          <w:kern w:val="44"/>
        </w:rPr>
        <w:t>（四）不得搭乘与试车无关的人员；</w:t>
      </w:r>
    </w:p>
    <w:p w14:paraId="00DD7516">
      <w:pPr>
        <w:jc w:val="left"/>
        <w:rPr>
          <w:rFonts w:ascii="宋体" w:hAnsi="宋体"/>
          <w:kern w:val="44"/>
        </w:rPr>
      </w:pPr>
      <w:r>
        <w:rPr>
          <w:rFonts w:hint="eastAsia" w:ascii="宋体" w:hAnsi="宋体"/>
          <w:kern w:val="44"/>
        </w:rPr>
        <w:t>（五）不得在道路上进行制动测试。</w:t>
      </w:r>
    </w:p>
    <w:p w14:paraId="1CD09A1C">
      <w:pPr>
        <w:ind w:firstLine="422"/>
        <w:jc w:val="left"/>
        <w:rPr>
          <w:rFonts w:ascii="宋体" w:hAnsi="宋体"/>
          <w:kern w:val="44"/>
        </w:rPr>
      </w:pPr>
      <w:r>
        <w:rPr>
          <w:rFonts w:hint="eastAsia" w:ascii="宋体" w:hAnsi="宋体"/>
          <w:b/>
          <w:kern w:val="44"/>
        </w:rPr>
        <w:t>第五十三条</w:t>
      </w:r>
      <w:r>
        <w:rPr>
          <w:rFonts w:hint="eastAsia" w:ascii="宋体" w:hAnsi="宋体"/>
          <w:kern w:val="44"/>
        </w:rPr>
        <w:t>　警车、消防车、救护车、工程救险车在执行紧急任务时，可以在应急车道内行驶，其他机动车不得在应急车道内行驶。</w:t>
      </w:r>
    </w:p>
    <w:p w14:paraId="554D5079">
      <w:pPr>
        <w:jc w:val="left"/>
        <w:rPr>
          <w:rFonts w:ascii="宋体" w:hAnsi="宋体"/>
          <w:kern w:val="44"/>
        </w:rPr>
      </w:pPr>
      <w:r>
        <w:rPr>
          <w:rFonts w:hint="eastAsia" w:ascii="宋体" w:hAnsi="宋体"/>
          <w:kern w:val="44"/>
        </w:rPr>
        <w:t>机动车发生交通事故或者故障确需在应急车道内临时停车时，应当按照规定使用灯光、设置故障车警告标志；车身超出应急车道占用车行道的，应当将故障车警告标志设在被占用的车行道内。</w:t>
      </w:r>
    </w:p>
    <w:p w14:paraId="17E1A9EC">
      <w:pPr>
        <w:jc w:val="left"/>
        <w:rPr>
          <w:rFonts w:ascii="宋体" w:hAnsi="宋体"/>
          <w:kern w:val="44"/>
        </w:rPr>
      </w:pPr>
    </w:p>
    <w:p w14:paraId="11A91933">
      <w:pPr>
        <w:ind w:firstLine="0" w:firstLineChars="0"/>
        <w:jc w:val="center"/>
        <w:rPr>
          <w:rFonts w:ascii="宋体" w:hAnsi="宋体"/>
          <w:kern w:val="44"/>
          <w:sz w:val="28"/>
        </w:rPr>
      </w:pPr>
      <w:r>
        <w:rPr>
          <w:rFonts w:hint="eastAsia" w:ascii="宋体" w:hAnsi="宋体"/>
          <w:kern w:val="44"/>
          <w:sz w:val="28"/>
        </w:rPr>
        <w:t>第三节　非机动车、行人和</w:t>
      </w:r>
    </w:p>
    <w:p w14:paraId="116B6129">
      <w:pPr>
        <w:ind w:firstLine="0" w:firstLineChars="0"/>
        <w:jc w:val="center"/>
        <w:rPr>
          <w:rFonts w:ascii="宋体" w:hAnsi="宋体"/>
          <w:kern w:val="44"/>
          <w:sz w:val="28"/>
        </w:rPr>
      </w:pPr>
      <w:r>
        <w:rPr>
          <w:rFonts w:hint="eastAsia" w:ascii="宋体" w:hAnsi="宋体"/>
          <w:kern w:val="44"/>
        </w:rPr>
        <w:t xml:space="preserve">         </w:t>
      </w:r>
      <w:r>
        <w:rPr>
          <w:rFonts w:hint="eastAsia" w:ascii="宋体" w:hAnsi="宋体"/>
          <w:kern w:val="44"/>
          <w:sz w:val="28"/>
        </w:rPr>
        <w:t>乘车人通行规定</w:t>
      </w:r>
    </w:p>
    <w:p w14:paraId="5DD9B202">
      <w:pPr>
        <w:ind w:firstLine="0" w:firstLineChars="0"/>
        <w:jc w:val="center"/>
        <w:rPr>
          <w:rFonts w:ascii="宋体" w:hAnsi="宋体"/>
          <w:kern w:val="44"/>
          <w:sz w:val="28"/>
        </w:rPr>
      </w:pPr>
    </w:p>
    <w:p w14:paraId="6FE6A44E">
      <w:pPr>
        <w:ind w:firstLine="422"/>
        <w:jc w:val="left"/>
        <w:rPr>
          <w:rFonts w:ascii="宋体" w:hAnsi="宋体"/>
          <w:kern w:val="44"/>
        </w:rPr>
      </w:pPr>
      <w:r>
        <w:rPr>
          <w:rFonts w:hint="eastAsia" w:ascii="宋体" w:hAnsi="宋体"/>
          <w:b/>
          <w:kern w:val="44"/>
        </w:rPr>
        <w:t>第五十四条</w:t>
      </w:r>
      <w:r>
        <w:rPr>
          <w:rFonts w:hint="eastAsia" w:ascii="宋体" w:hAnsi="宋体"/>
          <w:kern w:val="44"/>
        </w:rPr>
        <w:t>　非机动车通过有交通信号灯控制的交叉路口时，应当遵守下列规定：</w:t>
      </w:r>
    </w:p>
    <w:p w14:paraId="66C1C3FF">
      <w:pPr>
        <w:jc w:val="left"/>
        <w:rPr>
          <w:rFonts w:ascii="宋体" w:hAnsi="宋体"/>
          <w:kern w:val="44"/>
        </w:rPr>
      </w:pPr>
      <w:r>
        <w:rPr>
          <w:rFonts w:hint="eastAsia" w:ascii="宋体" w:hAnsi="宋体"/>
          <w:kern w:val="44"/>
        </w:rPr>
        <w:t>（一）遇放行信号时，让先于本放行信号放行的车辆先行；</w:t>
      </w:r>
    </w:p>
    <w:p w14:paraId="140C586F">
      <w:pPr>
        <w:jc w:val="left"/>
        <w:rPr>
          <w:rFonts w:ascii="宋体" w:hAnsi="宋体"/>
          <w:kern w:val="44"/>
        </w:rPr>
      </w:pPr>
      <w:r>
        <w:rPr>
          <w:rFonts w:hint="eastAsia" w:ascii="宋体" w:hAnsi="宋体"/>
          <w:kern w:val="44"/>
        </w:rPr>
        <w:t>（二）左转弯时，沿非机动车禁驶区边缘或者路口中心右侧转弯；</w:t>
      </w:r>
    </w:p>
    <w:p w14:paraId="294ACB87">
      <w:pPr>
        <w:jc w:val="left"/>
        <w:rPr>
          <w:rFonts w:ascii="宋体" w:hAnsi="宋体"/>
          <w:kern w:val="44"/>
        </w:rPr>
      </w:pPr>
      <w:r>
        <w:rPr>
          <w:rFonts w:hint="eastAsia" w:ascii="宋体" w:hAnsi="宋体"/>
          <w:kern w:val="44"/>
        </w:rPr>
        <w:t>（三）不得在非机动车禁驶区内行驶或者停车；</w:t>
      </w:r>
    </w:p>
    <w:p w14:paraId="67D08065">
      <w:pPr>
        <w:jc w:val="left"/>
        <w:rPr>
          <w:rFonts w:ascii="宋体" w:hAnsi="宋体"/>
          <w:kern w:val="44"/>
        </w:rPr>
      </w:pPr>
      <w:r>
        <w:rPr>
          <w:rFonts w:hint="eastAsia" w:ascii="宋体" w:hAnsi="宋体"/>
          <w:kern w:val="44"/>
        </w:rPr>
        <w:t>（四）未被交通信号放行的非机动车不得进入路口。</w:t>
      </w:r>
    </w:p>
    <w:p w14:paraId="25C858E9">
      <w:pPr>
        <w:ind w:firstLine="422"/>
        <w:jc w:val="left"/>
        <w:rPr>
          <w:rFonts w:ascii="宋体" w:hAnsi="宋体"/>
          <w:kern w:val="44"/>
        </w:rPr>
      </w:pPr>
      <w:r>
        <w:rPr>
          <w:rFonts w:hint="eastAsia" w:ascii="宋体" w:hAnsi="宋体"/>
          <w:b/>
          <w:kern w:val="44"/>
        </w:rPr>
        <w:t>第五十五条</w:t>
      </w:r>
      <w:r>
        <w:rPr>
          <w:rFonts w:hint="eastAsia" w:ascii="宋体" w:hAnsi="宋体"/>
          <w:kern w:val="44"/>
        </w:rPr>
        <w:t>　驾驶非机动车应当遵守下列规定：</w:t>
      </w:r>
    </w:p>
    <w:p w14:paraId="466C7221">
      <w:pPr>
        <w:jc w:val="left"/>
        <w:rPr>
          <w:rFonts w:ascii="宋体" w:hAnsi="宋体"/>
          <w:kern w:val="44"/>
        </w:rPr>
      </w:pPr>
      <w:r>
        <w:rPr>
          <w:rFonts w:hint="eastAsia" w:ascii="宋体" w:hAnsi="宋体"/>
          <w:kern w:val="44"/>
        </w:rPr>
        <w:t>（一）在非机动车道内顺向行驶。在没有划设非机动车道的道路上，自行车、电动自行车应当在距离道路右侧边缘线向左1.5米的范围内行驶，人力三轮车、残疾人机动轮椅车应当在距离道路右侧边缘线向左2.2米的范围内行驶，畜力车应当在距离道路右侧边缘线向左2.6米的范围内行驶；</w:t>
      </w:r>
    </w:p>
    <w:p w14:paraId="1364293F">
      <w:pPr>
        <w:jc w:val="left"/>
        <w:rPr>
          <w:rFonts w:ascii="宋体" w:hAnsi="宋体"/>
          <w:kern w:val="44"/>
        </w:rPr>
      </w:pPr>
      <w:r>
        <w:rPr>
          <w:rFonts w:hint="eastAsia" w:ascii="宋体" w:hAnsi="宋体"/>
          <w:kern w:val="44"/>
        </w:rPr>
        <w:t>（二）不得进入高速公路、城市快速路或者其他封闭的机动车专用道；</w:t>
      </w:r>
    </w:p>
    <w:p w14:paraId="653B3F36">
      <w:pPr>
        <w:jc w:val="left"/>
        <w:rPr>
          <w:rFonts w:ascii="宋体" w:hAnsi="宋体"/>
          <w:kern w:val="44"/>
        </w:rPr>
      </w:pPr>
      <w:r>
        <w:rPr>
          <w:rFonts w:hint="eastAsia" w:ascii="宋体" w:hAnsi="宋体"/>
          <w:kern w:val="44"/>
        </w:rPr>
        <w:t>（三）与相邻行驶的非机动车保持安全距离；在与行人混行的道路上避让行人；</w:t>
      </w:r>
    </w:p>
    <w:p w14:paraId="0A37E8F8">
      <w:pPr>
        <w:jc w:val="left"/>
        <w:rPr>
          <w:rFonts w:ascii="宋体" w:hAnsi="宋体"/>
          <w:kern w:val="44"/>
        </w:rPr>
      </w:pPr>
      <w:r>
        <w:rPr>
          <w:rFonts w:hint="eastAsia" w:ascii="宋体" w:hAnsi="宋体"/>
          <w:kern w:val="44"/>
        </w:rPr>
        <w:t>（四）行经人行横道时避让行人；</w:t>
      </w:r>
    </w:p>
    <w:p w14:paraId="4AD731C0">
      <w:pPr>
        <w:jc w:val="left"/>
        <w:rPr>
          <w:rFonts w:ascii="宋体" w:hAnsi="宋体"/>
          <w:kern w:val="44"/>
        </w:rPr>
      </w:pPr>
      <w:r>
        <w:rPr>
          <w:rFonts w:hint="eastAsia" w:ascii="宋体" w:hAnsi="宋体"/>
          <w:kern w:val="44"/>
        </w:rPr>
        <w:t>（五）不得在车行道上停车滞留；</w:t>
      </w:r>
    </w:p>
    <w:p w14:paraId="715B1E45">
      <w:pPr>
        <w:jc w:val="left"/>
        <w:rPr>
          <w:rFonts w:ascii="宋体" w:hAnsi="宋体"/>
          <w:kern w:val="44"/>
        </w:rPr>
      </w:pPr>
      <w:r>
        <w:rPr>
          <w:rFonts w:hint="eastAsia" w:ascii="宋体" w:hAnsi="宋体"/>
          <w:kern w:val="44"/>
        </w:rPr>
        <w:t>（六）设有转向灯的，转弯前开启转向灯；</w:t>
      </w:r>
    </w:p>
    <w:p w14:paraId="5CE78786">
      <w:pPr>
        <w:jc w:val="left"/>
        <w:rPr>
          <w:rFonts w:ascii="宋体" w:hAnsi="宋体"/>
          <w:kern w:val="44"/>
        </w:rPr>
      </w:pPr>
      <w:r>
        <w:rPr>
          <w:rFonts w:hint="eastAsia" w:ascii="宋体" w:hAnsi="宋体"/>
          <w:kern w:val="44"/>
        </w:rPr>
        <w:t>（七）自行车、电动自行车、人力三轮车制动器失效的，不得在道路上骑行；</w:t>
      </w:r>
    </w:p>
    <w:p w14:paraId="7E32D6DF">
      <w:pPr>
        <w:jc w:val="left"/>
        <w:rPr>
          <w:rFonts w:ascii="宋体" w:hAnsi="宋体"/>
          <w:kern w:val="44"/>
        </w:rPr>
      </w:pPr>
      <w:r>
        <w:rPr>
          <w:rFonts w:hint="eastAsia" w:ascii="宋体" w:hAnsi="宋体"/>
          <w:kern w:val="44"/>
        </w:rPr>
        <w:t>（八）成年人驾驶自行车可以在固定座椅内载一名儿童，但不得载12岁以上的人员；未成年人驾驶自行车不得载人；</w:t>
      </w:r>
    </w:p>
    <w:p w14:paraId="432728D6">
      <w:pPr>
        <w:jc w:val="left"/>
        <w:rPr>
          <w:rFonts w:ascii="宋体" w:hAnsi="宋体"/>
          <w:kern w:val="44"/>
        </w:rPr>
      </w:pPr>
      <w:r>
        <w:rPr>
          <w:rFonts w:hint="eastAsia" w:ascii="宋体" w:hAnsi="宋体"/>
          <w:kern w:val="44"/>
        </w:rPr>
        <w:t>（九）人力客运三轮车按照核定的人数载人，人力货运三轮车不得载人；</w:t>
      </w:r>
    </w:p>
    <w:p w14:paraId="307495C0">
      <w:pPr>
        <w:jc w:val="left"/>
        <w:rPr>
          <w:rFonts w:ascii="宋体" w:hAnsi="宋体"/>
          <w:kern w:val="44"/>
        </w:rPr>
      </w:pPr>
      <w:r>
        <w:rPr>
          <w:rFonts w:hint="eastAsia" w:ascii="宋体" w:hAnsi="宋体"/>
          <w:kern w:val="44"/>
        </w:rPr>
        <w:t>（十）自行车、电动自行车、三轮车不得在人行道和人行横道上骑行。</w:t>
      </w:r>
    </w:p>
    <w:p w14:paraId="56473F1D">
      <w:pPr>
        <w:ind w:firstLine="422"/>
        <w:jc w:val="left"/>
        <w:rPr>
          <w:rFonts w:ascii="宋体" w:hAnsi="宋体"/>
          <w:kern w:val="44"/>
        </w:rPr>
      </w:pPr>
      <w:r>
        <w:rPr>
          <w:rFonts w:hint="eastAsia" w:ascii="宋体" w:hAnsi="宋体"/>
          <w:b/>
          <w:kern w:val="44"/>
        </w:rPr>
        <w:t>第五十六条</w:t>
      </w:r>
      <w:r>
        <w:rPr>
          <w:rFonts w:hint="eastAsia" w:ascii="宋体" w:hAnsi="宋体"/>
          <w:kern w:val="44"/>
        </w:rPr>
        <w:t>　驾驶残疾人机动轮椅车应当遵守下列规定：</w:t>
      </w:r>
    </w:p>
    <w:p w14:paraId="5BBE5633">
      <w:pPr>
        <w:jc w:val="left"/>
        <w:rPr>
          <w:rFonts w:ascii="宋体" w:hAnsi="宋体"/>
          <w:kern w:val="44"/>
        </w:rPr>
      </w:pPr>
      <w:r>
        <w:rPr>
          <w:rFonts w:hint="eastAsia" w:ascii="宋体" w:hAnsi="宋体"/>
          <w:kern w:val="44"/>
        </w:rPr>
        <w:t>（一）携带公安机关交通管理部门核发的残疾人机动轮椅车行驶证；</w:t>
      </w:r>
    </w:p>
    <w:p w14:paraId="1F77205D">
      <w:pPr>
        <w:jc w:val="left"/>
        <w:rPr>
          <w:rFonts w:ascii="宋体" w:hAnsi="宋体"/>
          <w:kern w:val="44"/>
        </w:rPr>
      </w:pPr>
      <w:r>
        <w:rPr>
          <w:rFonts w:hint="eastAsia" w:ascii="宋体" w:hAnsi="宋体"/>
          <w:kern w:val="44"/>
        </w:rPr>
        <w:t>（二）可以载一名陪护人员，但不得从事营运。</w:t>
      </w:r>
    </w:p>
    <w:p w14:paraId="4EB4B748">
      <w:pPr>
        <w:ind w:firstLine="422"/>
        <w:jc w:val="left"/>
        <w:rPr>
          <w:rFonts w:ascii="宋体" w:hAnsi="宋体"/>
          <w:kern w:val="44"/>
        </w:rPr>
      </w:pPr>
      <w:r>
        <w:rPr>
          <w:rFonts w:hint="eastAsia" w:ascii="宋体" w:hAnsi="宋体"/>
          <w:b/>
          <w:kern w:val="44"/>
        </w:rPr>
        <w:t>第五十七条</w:t>
      </w:r>
      <w:r>
        <w:rPr>
          <w:rFonts w:hint="eastAsia" w:ascii="宋体" w:hAnsi="宋体"/>
          <w:kern w:val="44"/>
        </w:rPr>
        <w:t>　行人和乘车人应当遵守下列规定：</w:t>
      </w:r>
    </w:p>
    <w:p w14:paraId="73715134">
      <w:pPr>
        <w:jc w:val="left"/>
        <w:rPr>
          <w:rFonts w:ascii="宋体" w:hAnsi="宋体"/>
          <w:kern w:val="44"/>
        </w:rPr>
      </w:pPr>
      <w:r>
        <w:rPr>
          <w:rFonts w:hint="eastAsia" w:ascii="宋体" w:hAnsi="宋体"/>
          <w:kern w:val="44"/>
        </w:rPr>
        <w:t>（一）行人应当在人行道上行走，没有人行道的，应当在距离道路右侧边缘线向左1米的范围内行走；</w:t>
      </w:r>
    </w:p>
    <w:p w14:paraId="46D25DEF">
      <w:pPr>
        <w:jc w:val="left"/>
        <w:rPr>
          <w:rFonts w:ascii="宋体" w:hAnsi="宋体"/>
          <w:kern w:val="44"/>
        </w:rPr>
      </w:pPr>
      <w:r>
        <w:rPr>
          <w:rFonts w:hint="eastAsia" w:ascii="宋体" w:hAnsi="宋体"/>
          <w:kern w:val="44"/>
        </w:rPr>
        <w:t>（二）行人不得进入高速公路、城市快速路或者其他封闭的机动车专用道；</w:t>
      </w:r>
    </w:p>
    <w:p w14:paraId="0FC8B4D5">
      <w:pPr>
        <w:jc w:val="left"/>
        <w:rPr>
          <w:rFonts w:ascii="宋体" w:hAnsi="宋体"/>
          <w:kern w:val="44"/>
        </w:rPr>
      </w:pPr>
      <w:r>
        <w:rPr>
          <w:rFonts w:hint="eastAsia" w:ascii="宋体" w:hAnsi="宋体"/>
          <w:kern w:val="44"/>
        </w:rPr>
        <w:t>（三）行人不得在车行道上行走或者兜售、发送物品；</w:t>
      </w:r>
    </w:p>
    <w:p w14:paraId="03603119">
      <w:pPr>
        <w:jc w:val="left"/>
        <w:rPr>
          <w:rFonts w:ascii="宋体" w:hAnsi="宋体"/>
          <w:kern w:val="44"/>
        </w:rPr>
      </w:pPr>
      <w:r>
        <w:rPr>
          <w:rFonts w:hint="eastAsia" w:ascii="宋体" w:hAnsi="宋体"/>
          <w:kern w:val="44"/>
        </w:rPr>
        <w:t>（四）不得在车行道上等候车辆或者招呼营运车辆；</w:t>
      </w:r>
    </w:p>
    <w:p w14:paraId="19BE9E5A">
      <w:pPr>
        <w:jc w:val="left"/>
        <w:rPr>
          <w:rFonts w:ascii="宋体" w:hAnsi="宋体"/>
          <w:kern w:val="44"/>
        </w:rPr>
      </w:pPr>
      <w:r>
        <w:rPr>
          <w:rFonts w:hint="eastAsia" w:ascii="宋体" w:hAnsi="宋体"/>
          <w:kern w:val="44"/>
        </w:rPr>
        <w:t>（五）遇有交通信号放行机动车时，未被放行的行人不得进入路口；</w:t>
      </w:r>
    </w:p>
    <w:p w14:paraId="25C09C09">
      <w:pPr>
        <w:jc w:val="left"/>
        <w:rPr>
          <w:rFonts w:ascii="宋体" w:hAnsi="宋体"/>
          <w:kern w:val="44"/>
        </w:rPr>
      </w:pPr>
      <w:r>
        <w:rPr>
          <w:rFonts w:hint="eastAsia" w:ascii="宋体" w:hAnsi="宋体"/>
          <w:kern w:val="44"/>
        </w:rPr>
        <w:t>（六）乘坐公共汽车、电车和长途汽车，在停靠站或者指定地点依次候车，待车停稳后，先下后上；</w:t>
      </w:r>
    </w:p>
    <w:p w14:paraId="2D13866D">
      <w:pPr>
        <w:jc w:val="left"/>
        <w:rPr>
          <w:rFonts w:ascii="宋体" w:hAnsi="宋体"/>
          <w:kern w:val="44"/>
        </w:rPr>
      </w:pPr>
      <w:r>
        <w:rPr>
          <w:rFonts w:hint="eastAsia" w:ascii="宋体" w:hAnsi="宋体"/>
          <w:kern w:val="44"/>
        </w:rPr>
        <w:t>（七）乘坐机动车不得影响驾驶人安全驾驶；</w:t>
      </w:r>
    </w:p>
    <w:p w14:paraId="16B14E10">
      <w:pPr>
        <w:jc w:val="left"/>
        <w:rPr>
          <w:rFonts w:ascii="宋体" w:hAnsi="宋体"/>
          <w:kern w:val="44"/>
        </w:rPr>
      </w:pPr>
      <w:r>
        <w:rPr>
          <w:rFonts w:hint="eastAsia" w:ascii="宋体" w:hAnsi="宋体"/>
          <w:kern w:val="44"/>
        </w:rPr>
        <w:t>（八）明知驾驶人无驾驶证、饮酒或者身体疲劳不宜驾驶的，不得乘坐；</w:t>
      </w:r>
    </w:p>
    <w:p w14:paraId="35363F8D">
      <w:pPr>
        <w:jc w:val="left"/>
        <w:rPr>
          <w:rFonts w:ascii="宋体" w:hAnsi="宋体"/>
          <w:kern w:val="44"/>
        </w:rPr>
      </w:pPr>
      <w:r>
        <w:rPr>
          <w:rFonts w:hint="eastAsia" w:ascii="宋体" w:hAnsi="宋体"/>
          <w:kern w:val="44"/>
        </w:rPr>
        <w:t>（九）乘坐货运机动车时，不得站立或者坐在车厢栏板上；</w:t>
      </w:r>
    </w:p>
    <w:p w14:paraId="0E86FD94">
      <w:pPr>
        <w:jc w:val="left"/>
        <w:rPr>
          <w:rFonts w:ascii="宋体" w:hAnsi="宋体"/>
          <w:kern w:val="44"/>
        </w:rPr>
      </w:pPr>
      <w:r>
        <w:rPr>
          <w:rFonts w:hint="eastAsia" w:ascii="宋体" w:hAnsi="宋体"/>
          <w:kern w:val="44"/>
        </w:rPr>
        <w:t>（十）乘坐二轮摩托车时，只准在后座正向骑坐；</w:t>
      </w:r>
    </w:p>
    <w:p w14:paraId="0DD32899">
      <w:pPr>
        <w:jc w:val="left"/>
        <w:rPr>
          <w:rFonts w:ascii="宋体" w:hAnsi="宋体"/>
          <w:kern w:val="44"/>
        </w:rPr>
      </w:pPr>
      <w:r>
        <w:rPr>
          <w:rFonts w:hint="eastAsia" w:ascii="宋体" w:hAnsi="宋体"/>
          <w:kern w:val="44"/>
        </w:rPr>
        <w:t>（十一）不得搭乘电动自行车、人力货运三轮车、轻便摩托车；不得违反规定搭乘自行车、残疾人机动轮椅车。</w:t>
      </w:r>
    </w:p>
    <w:p w14:paraId="5069DE52">
      <w:pPr>
        <w:jc w:val="left"/>
        <w:rPr>
          <w:rFonts w:ascii="宋体" w:hAnsi="宋体"/>
          <w:kern w:val="44"/>
        </w:rPr>
      </w:pPr>
    </w:p>
    <w:p w14:paraId="425AF4A2">
      <w:pPr>
        <w:ind w:firstLine="0" w:firstLineChars="0"/>
        <w:jc w:val="center"/>
        <w:rPr>
          <w:rFonts w:ascii="宋体" w:hAnsi="宋体"/>
          <w:kern w:val="44"/>
          <w:sz w:val="28"/>
        </w:rPr>
      </w:pPr>
      <w:r>
        <w:rPr>
          <w:rFonts w:hint="eastAsia" w:ascii="宋体" w:hAnsi="宋体"/>
          <w:kern w:val="44"/>
          <w:sz w:val="28"/>
        </w:rPr>
        <w:t>第四节　高速公路的特别规定</w:t>
      </w:r>
    </w:p>
    <w:p w14:paraId="01CEDEE5">
      <w:pPr>
        <w:jc w:val="left"/>
        <w:rPr>
          <w:rFonts w:ascii="宋体" w:hAnsi="宋体"/>
          <w:kern w:val="44"/>
        </w:rPr>
      </w:pPr>
    </w:p>
    <w:p w14:paraId="0B60BE72">
      <w:pPr>
        <w:ind w:firstLine="422"/>
        <w:jc w:val="left"/>
        <w:rPr>
          <w:rFonts w:ascii="宋体" w:hAnsi="宋体"/>
          <w:kern w:val="44"/>
        </w:rPr>
      </w:pPr>
      <w:r>
        <w:rPr>
          <w:rFonts w:hint="eastAsia" w:ascii="宋体" w:hAnsi="宋体"/>
          <w:b/>
          <w:kern w:val="44"/>
        </w:rPr>
        <w:t>第五十八条</w:t>
      </w:r>
      <w:r>
        <w:rPr>
          <w:rFonts w:hint="eastAsia" w:ascii="宋体" w:hAnsi="宋体"/>
          <w:kern w:val="44"/>
        </w:rPr>
        <w:t>　机动车需要上高速公路行驶的，驾驶人应当事先检查车辆的轮胎、燃料、润滑油、制动器、灯光、灭火器具、反光的故障车警告标志等，并保证齐全有效。</w:t>
      </w:r>
    </w:p>
    <w:p w14:paraId="7906618B">
      <w:pPr>
        <w:ind w:firstLine="422"/>
        <w:jc w:val="left"/>
        <w:rPr>
          <w:rFonts w:ascii="宋体" w:hAnsi="宋体"/>
          <w:kern w:val="44"/>
        </w:rPr>
      </w:pPr>
      <w:r>
        <w:rPr>
          <w:rFonts w:hint="eastAsia" w:ascii="宋体" w:hAnsi="宋体"/>
          <w:b/>
          <w:kern w:val="44"/>
        </w:rPr>
        <w:t>第五十九条</w:t>
      </w:r>
      <w:r>
        <w:rPr>
          <w:rFonts w:hint="eastAsia" w:ascii="宋体" w:hAnsi="宋体"/>
          <w:kern w:val="44"/>
        </w:rPr>
        <w:t>　高速公路救援车、清障车应当按照标准安装示警灯，喷涂明显的标志图案。执行救援、清障任务时，应当开启示警灯和危险报警闪光灯。</w:t>
      </w:r>
    </w:p>
    <w:p w14:paraId="232418F8">
      <w:pPr>
        <w:ind w:firstLine="422"/>
        <w:jc w:val="left"/>
        <w:rPr>
          <w:rFonts w:ascii="宋体" w:hAnsi="宋体"/>
          <w:kern w:val="44"/>
        </w:rPr>
      </w:pPr>
      <w:r>
        <w:rPr>
          <w:rFonts w:hint="eastAsia" w:ascii="宋体" w:hAnsi="宋体"/>
          <w:b/>
          <w:kern w:val="44"/>
        </w:rPr>
        <w:t>第六十条</w:t>
      </w:r>
      <w:r>
        <w:rPr>
          <w:rFonts w:hint="eastAsia" w:ascii="宋体" w:hAnsi="宋体"/>
          <w:kern w:val="44"/>
        </w:rPr>
        <w:t>　在高速公路上进行施工、维修、养护等作业的单位，除日常维修、养护外，应当在批准的时间、地点、范围内进行，并遵守下列规定：</w:t>
      </w:r>
    </w:p>
    <w:p w14:paraId="1FED187F">
      <w:pPr>
        <w:jc w:val="left"/>
        <w:rPr>
          <w:rFonts w:ascii="宋体" w:hAnsi="宋体"/>
          <w:kern w:val="44"/>
        </w:rPr>
      </w:pPr>
      <w:r>
        <w:rPr>
          <w:rFonts w:hint="eastAsia" w:ascii="宋体" w:hAnsi="宋体"/>
          <w:kern w:val="44"/>
        </w:rPr>
        <w:t>（一）在距离作业地点来车方向的1000米、500米、300米、100米处分别设置明显的警告标志牌，夜间设置红色示警灯（筒）；</w:t>
      </w:r>
    </w:p>
    <w:p w14:paraId="53079E02">
      <w:pPr>
        <w:jc w:val="left"/>
        <w:rPr>
          <w:rFonts w:ascii="宋体" w:hAnsi="宋体"/>
          <w:kern w:val="44"/>
        </w:rPr>
      </w:pPr>
      <w:r>
        <w:rPr>
          <w:rFonts w:hint="eastAsia" w:ascii="宋体" w:hAnsi="宋体"/>
          <w:kern w:val="44"/>
        </w:rPr>
        <w:t>（二）作业人员按照规定穿戴反光服饰，横穿车行道时，直行通过，注意避让来往车辆。</w:t>
      </w:r>
    </w:p>
    <w:p w14:paraId="3A4AD024">
      <w:pPr>
        <w:ind w:firstLine="422"/>
        <w:jc w:val="left"/>
        <w:rPr>
          <w:rFonts w:ascii="宋体" w:hAnsi="宋体"/>
          <w:kern w:val="44"/>
        </w:rPr>
      </w:pPr>
      <w:r>
        <w:rPr>
          <w:rFonts w:hint="eastAsia" w:ascii="宋体" w:hAnsi="宋体"/>
          <w:b/>
          <w:kern w:val="44"/>
        </w:rPr>
        <w:t>第六十一条</w:t>
      </w:r>
      <w:r>
        <w:rPr>
          <w:rFonts w:hint="eastAsia" w:ascii="宋体" w:hAnsi="宋体"/>
          <w:kern w:val="44"/>
        </w:rPr>
        <w:t>　遇自然灾害、恶劣气象条件以及施工或者发生交通事故等严重影响交通安全的情形时，高速公路管理机构和公安机关交通管理部门应当及时相互通报情况；公安机关交通管理部门可以采取限制车速、调换车道、暂时中断通行、关闭高速公路等交通管制措施。采取交通管制措施时，应当设置交通标志或者发布公告。</w:t>
      </w:r>
    </w:p>
    <w:p w14:paraId="44304D67">
      <w:pPr>
        <w:ind w:firstLine="422"/>
        <w:jc w:val="left"/>
        <w:rPr>
          <w:rFonts w:ascii="宋体" w:hAnsi="宋体"/>
          <w:kern w:val="44"/>
        </w:rPr>
      </w:pPr>
      <w:r>
        <w:rPr>
          <w:rFonts w:hint="eastAsia" w:ascii="宋体" w:hAnsi="宋体"/>
          <w:b/>
          <w:kern w:val="44"/>
        </w:rPr>
        <w:t>第六十二条</w:t>
      </w:r>
      <w:r>
        <w:rPr>
          <w:rFonts w:hint="eastAsia" w:ascii="宋体" w:hAnsi="宋体"/>
          <w:kern w:val="44"/>
        </w:rPr>
        <w:t>　高速公路管理机构应当保证高速公路安全防护设施的齐全有效，及时清理发生故障的车辆和其他障碍，劝阻禁限车辆、行人从收费站或者服务区进入高速公路。</w:t>
      </w:r>
    </w:p>
    <w:p w14:paraId="3F518753">
      <w:pPr>
        <w:ind w:firstLine="422"/>
        <w:jc w:val="left"/>
        <w:rPr>
          <w:rFonts w:ascii="宋体" w:hAnsi="宋体"/>
          <w:kern w:val="44"/>
        </w:rPr>
      </w:pPr>
      <w:r>
        <w:rPr>
          <w:rFonts w:hint="eastAsia" w:ascii="宋体" w:hAnsi="宋体"/>
          <w:b/>
          <w:kern w:val="44"/>
        </w:rPr>
        <w:t>第六十三条</w:t>
      </w:r>
      <w:r>
        <w:rPr>
          <w:rFonts w:hint="eastAsia" w:ascii="宋体" w:hAnsi="宋体"/>
          <w:kern w:val="44"/>
        </w:rPr>
        <w:t>　高速公路上的交通事故现场，在公安机关交通管理部门勘查工作完毕后，由高速公路管理机构及时进行清理。清理时应当按照道路施工作业的规定实行安全控制。</w:t>
      </w:r>
    </w:p>
    <w:p w14:paraId="268C631D">
      <w:pPr>
        <w:jc w:val="left"/>
        <w:rPr>
          <w:rFonts w:ascii="宋体" w:hAnsi="宋体"/>
          <w:kern w:val="44"/>
        </w:rPr>
      </w:pPr>
    </w:p>
    <w:p w14:paraId="476E8FAD">
      <w:pPr>
        <w:ind w:firstLine="0" w:firstLineChars="0"/>
        <w:jc w:val="center"/>
        <w:rPr>
          <w:rFonts w:ascii="宋体" w:hAnsi="宋体"/>
          <w:b/>
          <w:kern w:val="44"/>
          <w:sz w:val="28"/>
        </w:rPr>
      </w:pPr>
      <w:r>
        <w:rPr>
          <w:rFonts w:hint="eastAsia" w:ascii="宋体" w:hAnsi="宋体"/>
          <w:b/>
          <w:kern w:val="44"/>
          <w:sz w:val="28"/>
        </w:rPr>
        <w:t>第五章　交通事故处理</w:t>
      </w:r>
    </w:p>
    <w:p w14:paraId="70B5781B">
      <w:pPr>
        <w:jc w:val="left"/>
        <w:rPr>
          <w:rFonts w:ascii="宋体" w:hAnsi="宋体"/>
          <w:kern w:val="44"/>
        </w:rPr>
      </w:pPr>
    </w:p>
    <w:p w14:paraId="7857F087">
      <w:pPr>
        <w:ind w:firstLine="422"/>
        <w:jc w:val="left"/>
        <w:rPr>
          <w:rFonts w:ascii="宋体" w:hAnsi="宋体"/>
          <w:kern w:val="44"/>
        </w:rPr>
      </w:pPr>
      <w:r>
        <w:rPr>
          <w:rFonts w:hint="eastAsia" w:ascii="宋体" w:hAnsi="宋体"/>
          <w:b/>
          <w:kern w:val="44"/>
        </w:rPr>
        <w:t>第六十四条</w:t>
      </w:r>
      <w:r>
        <w:rPr>
          <w:rFonts w:hint="eastAsia" w:ascii="宋体" w:hAnsi="宋体"/>
          <w:kern w:val="44"/>
        </w:rPr>
        <w:t>　公安机关交通管理部门接到特别重大事故、特大事故或者危险化学品、放射性危险物品运输事故报警时，应当立即采取应急措施，并向市或者区、县人民政府报告。市或者区、县人民政府应当及时组织、协调事故处理。</w:t>
      </w:r>
    </w:p>
    <w:p w14:paraId="4A50B359">
      <w:pPr>
        <w:ind w:firstLine="422"/>
        <w:jc w:val="left"/>
        <w:rPr>
          <w:rFonts w:ascii="宋体" w:hAnsi="宋体"/>
          <w:kern w:val="44"/>
        </w:rPr>
      </w:pPr>
      <w:r>
        <w:rPr>
          <w:rFonts w:hint="eastAsia" w:ascii="宋体" w:hAnsi="宋体"/>
          <w:b/>
          <w:kern w:val="44"/>
        </w:rPr>
        <w:t>第六十五条</w:t>
      </w:r>
      <w:r>
        <w:rPr>
          <w:rFonts w:hint="eastAsia" w:ascii="宋体" w:hAnsi="宋体"/>
          <w:kern w:val="44"/>
        </w:rPr>
        <w:t>　对当事人依法可以自行协商解决或者交通警察可以当场处理的交通事故，公安机关交通管理部门应当制定具体范围标准，并向社会公布。</w:t>
      </w:r>
    </w:p>
    <w:p w14:paraId="36EA37F4">
      <w:pPr>
        <w:ind w:firstLine="422"/>
        <w:jc w:val="left"/>
        <w:rPr>
          <w:rFonts w:ascii="宋体" w:hAnsi="宋体"/>
          <w:kern w:val="44"/>
        </w:rPr>
      </w:pPr>
      <w:r>
        <w:rPr>
          <w:rFonts w:hint="eastAsia" w:ascii="宋体" w:hAnsi="宋体"/>
          <w:b/>
          <w:kern w:val="44"/>
        </w:rPr>
        <w:t>第六十六条</w:t>
      </w:r>
      <w:r>
        <w:rPr>
          <w:rFonts w:hint="eastAsia" w:ascii="宋体" w:hAnsi="宋体"/>
          <w:kern w:val="44"/>
        </w:rPr>
        <w:t>　现场勘查完毕后，当事人应当在公安机关交通管理部门的组织下，按照要求及时将车辆移至不妨碍交通的地方，并清理现场。</w:t>
      </w:r>
    </w:p>
    <w:p w14:paraId="454B4DA1">
      <w:pPr>
        <w:jc w:val="left"/>
        <w:rPr>
          <w:rFonts w:ascii="宋体" w:hAnsi="宋体"/>
          <w:kern w:val="44"/>
        </w:rPr>
      </w:pPr>
      <w:r>
        <w:rPr>
          <w:rFonts w:hint="eastAsia" w:ascii="宋体" w:hAnsi="宋体"/>
          <w:kern w:val="44"/>
        </w:rPr>
        <w:t>在当事人拒不服从、无力实施或者遇有影响公众利益的紧急情况下，公安机关交通管理部门可以指定单位代为当事人将车辆移至不妨碍交通的地方，并清理现场，所需费用由当事人承担。当事人应当接收、保管从现场清理的物品。</w:t>
      </w:r>
    </w:p>
    <w:p w14:paraId="1B7ADC31">
      <w:pPr>
        <w:jc w:val="left"/>
        <w:rPr>
          <w:rFonts w:ascii="宋体" w:hAnsi="宋体"/>
          <w:kern w:val="44"/>
        </w:rPr>
      </w:pPr>
      <w:r>
        <w:rPr>
          <w:rFonts w:hint="eastAsia" w:ascii="宋体" w:hAnsi="宋体"/>
          <w:kern w:val="44"/>
        </w:rPr>
        <w:t>故障车的清理适用本条第二款的规定。</w:t>
      </w:r>
    </w:p>
    <w:p w14:paraId="231B9E62">
      <w:pPr>
        <w:ind w:firstLine="422"/>
        <w:jc w:val="left"/>
        <w:rPr>
          <w:rFonts w:ascii="宋体" w:hAnsi="宋体"/>
          <w:kern w:val="44"/>
        </w:rPr>
      </w:pPr>
      <w:r>
        <w:rPr>
          <w:rFonts w:hint="eastAsia" w:ascii="宋体" w:hAnsi="宋体"/>
          <w:b/>
          <w:kern w:val="44"/>
        </w:rPr>
        <w:t>第六十七条</w:t>
      </w:r>
      <w:r>
        <w:rPr>
          <w:rFonts w:hint="eastAsia" w:ascii="宋体" w:hAnsi="宋体"/>
          <w:kern w:val="44"/>
        </w:rPr>
        <w:t>　公安机关交通管理部门根据检验、鉴定的需要，可以收集交通事故车辆、嫌疑车辆、机动车驾驶证、机动车行驶证以及其他与交通事故有关的证据，并妥善保管，检验、鉴定后应当立即发还。</w:t>
      </w:r>
    </w:p>
    <w:p w14:paraId="725F2583">
      <w:pPr>
        <w:ind w:firstLine="422"/>
        <w:jc w:val="left"/>
        <w:rPr>
          <w:rFonts w:ascii="宋体" w:hAnsi="宋体"/>
          <w:kern w:val="44"/>
        </w:rPr>
      </w:pPr>
      <w:r>
        <w:rPr>
          <w:rFonts w:hint="eastAsia" w:ascii="宋体" w:hAnsi="宋体"/>
          <w:b/>
          <w:kern w:val="44"/>
        </w:rPr>
        <w:t>第六十八条</w:t>
      </w:r>
      <w:r>
        <w:rPr>
          <w:rFonts w:hint="eastAsia" w:ascii="宋体" w:hAnsi="宋体"/>
          <w:kern w:val="44"/>
        </w:rPr>
        <w:t>　公安机关交通管理部门经过调查后，应当根据当事人的行为对发生交通事故所起的作用以及过错的严重程度，确定当事人的责任。当事人有过错的，应当确定当事人有责任；当事人没有过错的，应当确定当事人无责任。</w:t>
      </w:r>
    </w:p>
    <w:p w14:paraId="709E3AEC">
      <w:pPr>
        <w:jc w:val="left"/>
        <w:rPr>
          <w:rFonts w:ascii="宋体" w:hAnsi="宋体"/>
          <w:kern w:val="44"/>
        </w:rPr>
      </w:pPr>
      <w:r>
        <w:rPr>
          <w:rFonts w:hint="eastAsia" w:ascii="宋体" w:hAnsi="宋体"/>
          <w:kern w:val="44"/>
        </w:rPr>
        <w:t>交通事故当事人的责任分为：全部责任、主要责任、同等责任、次要责任、无责任：</w:t>
      </w:r>
    </w:p>
    <w:p w14:paraId="3976361B">
      <w:pPr>
        <w:jc w:val="left"/>
        <w:rPr>
          <w:rFonts w:ascii="宋体" w:hAnsi="宋体"/>
          <w:kern w:val="44"/>
        </w:rPr>
      </w:pPr>
      <w:r>
        <w:rPr>
          <w:rFonts w:hint="eastAsia" w:ascii="宋体" w:hAnsi="宋体"/>
          <w:kern w:val="44"/>
        </w:rPr>
        <w:t>（一）一方当事人有过错，其他当事人无过错的，有过错的为全部责任，无过错的为无责任；</w:t>
      </w:r>
    </w:p>
    <w:p w14:paraId="7792F3B6">
      <w:pPr>
        <w:jc w:val="left"/>
        <w:rPr>
          <w:rFonts w:ascii="宋体" w:hAnsi="宋体"/>
          <w:kern w:val="44"/>
        </w:rPr>
      </w:pPr>
      <w:r>
        <w:rPr>
          <w:rFonts w:hint="eastAsia" w:ascii="宋体" w:hAnsi="宋体"/>
          <w:kern w:val="44"/>
        </w:rPr>
        <w:t>（二）两方以上的当事人均有过错的，作用以及过错大的为主要责任，作用以及过错相当的为同等责任，作用以及过错小的为次要责任；</w:t>
      </w:r>
    </w:p>
    <w:p w14:paraId="72DA2679">
      <w:pPr>
        <w:jc w:val="left"/>
        <w:rPr>
          <w:rFonts w:ascii="宋体" w:hAnsi="宋体"/>
          <w:kern w:val="44"/>
        </w:rPr>
      </w:pPr>
      <w:r>
        <w:rPr>
          <w:rFonts w:hint="eastAsia" w:ascii="宋体" w:hAnsi="宋体"/>
          <w:kern w:val="44"/>
        </w:rPr>
        <w:t>（三）无法确定各方当事人有过错或者属于交通意外事故的，各方均为无责任；</w:t>
      </w:r>
    </w:p>
    <w:p w14:paraId="54C41EA6">
      <w:pPr>
        <w:jc w:val="left"/>
        <w:rPr>
          <w:rFonts w:ascii="宋体" w:hAnsi="宋体"/>
          <w:kern w:val="44"/>
        </w:rPr>
      </w:pPr>
      <w:r>
        <w:rPr>
          <w:rFonts w:hint="eastAsia" w:ascii="宋体" w:hAnsi="宋体"/>
          <w:kern w:val="44"/>
        </w:rPr>
        <w:t>（四）当事人逃逸，造成现场变动、证据灭失，公安机关交通管理部门无法查证交通事故事实的，逃逸的当事人为全部责任；当事人故意破坏、伪造现场、毁灭证据的，为全部责任；</w:t>
      </w:r>
    </w:p>
    <w:p w14:paraId="04B9669A">
      <w:pPr>
        <w:jc w:val="left"/>
        <w:rPr>
          <w:rFonts w:ascii="宋体" w:hAnsi="宋体"/>
          <w:kern w:val="44"/>
        </w:rPr>
      </w:pPr>
      <w:r>
        <w:rPr>
          <w:rFonts w:hint="eastAsia" w:ascii="宋体" w:hAnsi="宋体"/>
          <w:kern w:val="44"/>
        </w:rPr>
        <w:t>（五）一方当事人故意造成交通事故的，其他方为无责任。</w:t>
      </w:r>
    </w:p>
    <w:p w14:paraId="41D6DEC3">
      <w:pPr>
        <w:jc w:val="left"/>
        <w:rPr>
          <w:rFonts w:ascii="宋体" w:hAnsi="宋体"/>
          <w:kern w:val="44"/>
        </w:rPr>
      </w:pPr>
      <w:r>
        <w:rPr>
          <w:rFonts w:hint="eastAsia" w:ascii="宋体" w:hAnsi="宋体"/>
          <w:kern w:val="44"/>
        </w:rPr>
        <w:t>交通事故当事人的责任具体确定标准由市公安机关交通管理部门制定，并向社会公布。</w:t>
      </w:r>
    </w:p>
    <w:p w14:paraId="6AF459C9">
      <w:pPr>
        <w:ind w:firstLine="422"/>
        <w:jc w:val="left"/>
        <w:rPr>
          <w:rFonts w:ascii="宋体" w:hAnsi="宋体"/>
          <w:kern w:val="44"/>
        </w:rPr>
      </w:pPr>
      <w:r>
        <w:rPr>
          <w:rFonts w:hint="eastAsia" w:ascii="宋体" w:hAnsi="宋体"/>
          <w:b/>
          <w:kern w:val="44"/>
        </w:rPr>
        <w:t>第六十九条</w:t>
      </w:r>
      <w:r>
        <w:rPr>
          <w:rFonts w:hint="eastAsia" w:ascii="宋体" w:hAnsi="宋体"/>
          <w:kern w:val="44"/>
        </w:rPr>
        <w:t>　本市依法对机动车实行第三者责任强制保险制度，设立道路交通事故社会救助基金。</w:t>
      </w:r>
    </w:p>
    <w:p w14:paraId="387E4041">
      <w:pPr>
        <w:jc w:val="left"/>
        <w:rPr>
          <w:rFonts w:ascii="宋体" w:hAnsi="宋体"/>
          <w:kern w:val="44"/>
        </w:rPr>
      </w:pPr>
      <w:r>
        <w:rPr>
          <w:rFonts w:hint="eastAsia" w:ascii="宋体" w:hAnsi="宋体"/>
          <w:kern w:val="44"/>
        </w:rPr>
        <w:t>机动车发生交通事故造成人身伤亡、财产损失的，肇事车辆参加机动车第三者责任强制保险的，由保险公司在机动车第三者责任强制保险责任限额范围内先行赔偿；肇事车辆未参加机动车第三者责任强制保险的，由肇事车辆按照相当于第三者责任强制保险的责任限额先行赔偿。</w:t>
      </w:r>
    </w:p>
    <w:p w14:paraId="4C66108A">
      <w:pPr>
        <w:ind w:firstLine="422"/>
        <w:jc w:val="left"/>
        <w:rPr>
          <w:rFonts w:ascii="宋体" w:hAnsi="宋体"/>
          <w:kern w:val="44"/>
        </w:rPr>
      </w:pPr>
      <w:r>
        <w:rPr>
          <w:rFonts w:hint="eastAsia" w:ascii="宋体" w:hAnsi="宋体"/>
          <w:b/>
          <w:kern w:val="44"/>
        </w:rPr>
        <w:t>第七十条</w:t>
      </w:r>
      <w:r>
        <w:rPr>
          <w:rFonts w:hint="eastAsia" w:ascii="宋体" w:hAnsi="宋体"/>
          <w:kern w:val="44"/>
        </w:rPr>
        <w:t>　机动车之间发生交通事故造成人身伤亡、财产损失的，超过第三者责任强制保险责任限额部分，由有过错的一方承担赔偿责任；双方都有过错的，按照各自过错的比例承担赔偿责任；无法确定双方当事人过错的，平均分担赔偿责任。</w:t>
      </w:r>
    </w:p>
    <w:p w14:paraId="49D66DE3">
      <w:pPr>
        <w:ind w:firstLine="422"/>
        <w:jc w:val="left"/>
        <w:rPr>
          <w:rFonts w:ascii="宋体" w:hAnsi="宋体"/>
          <w:kern w:val="44"/>
        </w:rPr>
      </w:pPr>
      <w:r>
        <w:rPr>
          <w:rFonts w:hint="eastAsia" w:ascii="宋体" w:hAnsi="宋体"/>
          <w:b/>
          <w:kern w:val="44"/>
        </w:rPr>
        <w:t>第七十一条</w:t>
      </w:r>
      <w:r>
        <w:rPr>
          <w:rFonts w:hint="eastAsia" w:ascii="宋体" w:hAnsi="宋体"/>
          <w:kern w:val="44"/>
        </w:rPr>
        <w:t>　非机动车之间、非机动车与行人之间发生交通事故造成人身伤亡、财产损失的，由有过错的一方承担赔偿责任；双方都有过错的，按照各自过错的比例承担赔偿责任；无法确定双方当事人过错的，平均分担赔偿责任。</w:t>
      </w:r>
    </w:p>
    <w:p w14:paraId="3FE1D216">
      <w:pPr>
        <w:ind w:firstLine="422"/>
        <w:jc w:val="left"/>
        <w:rPr>
          <w:rFonts w:ascii="宋体" w:hAnsi="宋体"/>
          <w:kern w:val="44"/>
        </w:rPr>
      </w:pPr>
      <w:r>
        <w:rPr>
          <w:rFonts w:hint="eastAsia" w:ascii="宋体" w:hAnsi="宋体"/>
          <w:b/>
          <w:kern w:val="44"/>
        </w:rPr>
        <w:t>第七十二条</w:t>
      </w:r>
      <w:r>
        <w:rPr>
          <w:rFonts w:hint="eastAsia" w:ascii="宋体" w:hAnsi="宋体"/>
          <w:kern w:val="44"/>
        </w:rPr>
        <w:t>　机动车与非机动车、行人之间发生交通事故造成人身伤亡、财产损失的，由保险公司在机动车第三者责任强制保险责任限额范围内先行赔偿。超过责任限额的部分，由机动车一方承担赔偿责任；但是，有证据证明非机动车驾驶人、行人违反道路交通安全法律、法规，机动车驾驶人在驾驶中履行了交通安全注意义务并已经采取了适当的避免交通事故的处置措施，机动车一方无过错的，按照国家规定的最低比例、额度承担赔偿责任。机动车一方有过错的，按照过错程度承担赔偿责任。</w:t>
      </w:r>
    </w:p>
    <w:p w14:paraId="0D53A814">
      <w:pPr>
        <w:jc w:val="left"/>
        <w:rPr>
          <w:rFonts w:ascii="宋体" w:hAnsi="宋体"/>
          <w:kern w:val="44"/>
        </w:rPr>
      </w:pPr>
      <w:r>
        <w:rPr>
          <w:rFonts w:hint="eastAsia" w:ascii="宋体" w:hAnsi="宋体"/>
          <w:kern w:val="44"/>
        </w:rPr>
        <w:t>机动车与非机动车、行人之间发生的交通事故的损失是由非机动车驾驶人、行人故意造成的，机动车一方不承担赔偿责任；机动车第三者责任强制保险已先行赔付的，保险公司有权予以追偿。</w:t>
      </w:r>
    </w:p>
    <w:p w14:paraId="37CA0D25">
      <w:pPr>
        <w:ind w:firstLine="422"/>
        <w:jc w:val="left"/>
        <w:rPr>
          <w:rFonts w:ascii="宋体" w:hAnsi="宋体"/>
          <w:kern w:val="44"/>
        </w:rPr>
      </w:pPr>
      <w:r>
        <w:rPr>
          <w:rFonts w:hint="eastAsia" w:ascii="宋体" w:hAnsi="宋体"/>
          <w:b/>
          <w:kern w:val="44"/>
        </w:rPr>
        <w:t>第七十三条</w:t>
      </w:r>
      <w:r>
        <w:rPr>
          <w:rFonts w:hint="eastAsia" w:ascii="宋体" w:hAnsi="宋体"/>
          <w:kern w:val="44"/>
        </w:rPr>
        <w:t>　机动车发生道路交通事故造成人身伤亡、财产损失，当事人有条件报案、保护现场但没有依法报案、保护现场，致使事故基本事实无法查清的，由保险公司在机动车第三者责任强制保险责任限额范围内先行赔偿。超出责任限额的部分，按照下列规定承担赔偿责任：</w:t>
      </w:r>
    </w:p>
    <w:p w14:paraId="041918A4">
      <w:pPr>
        <w:jc w:val="left"/>
        <w:rPr>
          <w:rFonts w:ascii="宋体" w:hAnsi="宋体"/>
          <w:kern w:val="44"/>
        </w:rPr>
      </w:pPr>
      <w:r>
        <w:rPr>
          <w:rFonts w:hint="eastAsia" w:ascii="宋体" w:hAnsi="宋体"/>
          <w:kern w:val="44"/>
        </w:rPr>
        <w:t>（一）机动车之间发生交通事故，一方当事人有上述行为的，承担全部赔偿责任；两方或者两方以上当事人均有上述行为的，平均分担赔偿责任；</w:t>
      </w:r>
    </w:p>
    <w:p w14:paraId="71450326">
      <w:pPr>
        <w:jc w:val="left"/>
        <w:rPr>
          <w:rFonts w:ascii="宋体" w:hAnsi="宋体"/>
          <w:kern w:val="44"/>
        </w:rPr>
      </w:pPr>
      <w:r>
        <w:rPr>
          <w:rFonts w:hint="eastAsia" w:ascii="宋体" w:hAnsi="宋体"/>
          <w:kern w:val="44"/>
        </w:rPr>
        <w:t>（二）机动车与非机动车、行人发生交通事故，机动车一方有上述行为，又没有证据证明非机动车、行人有交通安全违法行为以及机动车驾驶人已经采取必要处置措施的，由机动车一方承担赔偿责任。</w:t>
      </w:r>
    </w:p>
    <w:p w14:paraId="2469E245">
      <w:pPr>
        <w:jc w:val="left"/>
        <w:rPr>
          <w:rFonts w:ascii="宋体" w:hAnsi="宋体"/>
          <w:kern w:val="44"/>
        </w:rPr>
      </w:pPr>
      <w:r>
        <w:rPr>
          <w:rFonts w:hint="eastAsia" w:ascii="宋体" w:hAnsi="宋体"/>
          <w:kern w:val="44"/>
        </w:rPr>
        <w:t>非机动车与非机动车、非机动车与行人发生交通事故，一方当事人有条件报案、保护现场但没有依法报案、保护现场，致使事故基本事实无法查清的，承担全部赔偿责任；两方或者两方以上当事人均有前述行为的，平均分担赔偿责任。</w:t>
      </w:r>
    </w:p>
    <w:p w14:paraId="4E1B388A">
      <w:pPr>
        <w:ind w:firstLine="422"/>
        <w:jc w:val="left"/>
        <w:rPr>
          <w:rFonts w:ascii="宋体" w:hAnsi="宋体"/>
          <w:kern w:val="44"/>
        </w:rPr>
      </w:pPr>
      <w:r>
        <w:rPr>
          <w:rFonts w:hint="eastAsia" w:ascii="宋体" w:hAnsi="宋体"/>
          <w:b/>
          <w:kern w:val="44"/>
        </w:rPr>
        <w:t>第七十四条</w:t>
      </w:r>
      <w:r>
        <w:rPr>
          <w:rFonts w:hint="eastAsia" w:ascii="宋体" w:hAnsi="宋体"/>
          <w:kern w:val="44"/>
        </w:rPr>
        <w:t>　当事人共同请求公安机关交通管理部门对损害赔偿进行调解的，应当提出书面申请。申请书应当载明具体的赔偿请求、理由，并提供相应的凭证。</w:t>
      </w:r>
    </w:p>
    <w:p w14:paraId="7F83A1E2">
      <w:pPr>
        <w:jc w:val="left"/>
        <w:rPr>
          <w:rFonts w:ascii="宋体" w:hAnsi="宋体"/>
          <w:kern w:val="44"/>
        </w:rPr>
      </w:pPr>
      <w:r>
        <w:rPr>
          <w:rFonts w:hint="eastAsia" w:ascii="宋体" w:hAnsi="宋体"/>
          <w:kern w:val="44"/>
        </w:rPr>
        <w:t>公安机关交通管理部门应当在收到当事人的调解申请书之日起，5个工作日内进行审查并做出决定。符合条件的予以受理；不符合条件的不予受理，并书面告知申请人。</w:t>
      </w:r>
    </w:p>
    <w:p w14:paraId="4DC4CD1B">
      <w:pPr>
        <w:ind w:firstLine="0" w:firstLineChars="0"/>
        <w:jc w:val="center"/>
        <w:rPr>
          <w:rFonts w:ascii="宋体" w:hAnsi="宋体"/>
          <w:b/>
          <w:kern w:val="44"/>
          <w:sz w:val="28"/>
        </w:rPr>
      </w:pPr>
    </w:p>
    <w:p w14:paraId="155B42F4">
      <w:pPr>
        <w:ind w:firstLine="0" w:firstLineChars="0"/>
        <w:jc w:val="center"/>
        <w:rPr>
          <w:rFonts w:ascii="宋体" w:hAnsi="宋体"/>
          <w:b/>
          <w:kern w:val="44"/>
          <w:sz w:val="28"/>
        </w:rPr>
      </w:pPr>
    </w:p>
    <w:p w14:paraId="00A23ED0">
      <w:pPr>
        <w:ind w:firstLine="0" w:firstLineChars="0"/>
        <w:jc w:val="center"/>
        <w:rPr>
          <w:rFonts w:ascii="宋体" w:hAnsi="宋体"/>
          <w:b/>
          <w:kern w:val="44"/>
          <w:sz w:val="28"/>
        </w:rPr>
      </w:pPr>
      <w:r>
        <w:rPr>
          <w:rFonts w:hint="eastAsia" w:ascii="宋体" w:hAnsi="宋体"/>
          <w:b/>
          <w:kern w:val="44"/>
          <w:sz w:val="28"/>
        </w:rPr>
        <w:t>第六章　事故预防与执法监督</w:t>
      </w:r>
    </w:p>
    <w:p w14:paraId="7B106C07">
      <w:pPr>
        <w:jc w:val="left"/>
        <w:rPr>
          <w:rFonts w:ascii="宋体" w:hAnsi="宋体"/>
          <w:kern w:val="44"/>
        </w:rPr>
      </w:pPr>
    </w:p>
    <w:p w14:paraId="16152C75">
      <w:pPr>
        <w:ind w:firstLine="422"/>
        <w:jc w:val="left"/>
        <w:rPr>
          <w:rFonts w:ascii="宋体" w:hAnsi="宋体"/>
          <w:kern w:val="44"/>
        </w:rPr>
      </w:pPr>
      <w:r>
        <w:rPr>
          <w:rFonts w:hint="eastAsia" w:ascii="宋体" w:hAnsi="宋体"/>
          <w:b/>
          <w:kern w:val="44"/>
        </w:rPr>
        <w:t>第七十五条</w:t>
      </w:r>
      <w:r>
        <w:rPr>
          <w:rFonts w:hint="eastAsia" w:ascii="宋体" w:hAnsi="宋体"/>
          <w:kern w:val="44"/>
        </w:rPr>
        <w:t>　本市各级人民政府应当本着预防与减少交通事故，保证道路交通安全、畅通的原则，组织制定应对自然灾害、恶劣气象条件以及其他影响道路交通安全的突发事件的应急预案。公安、交通、卫生、市政以及其他有关部门，应当根据应急预案制定本部门的具体实施方案。</w:t>
      </w:r>
    </w:p>
    <w:p w14:paraId="2BFBB487">
      <w:pPr>
        <w:jc w:val="left"/>
        <w:rPr>
          <w:rFonts w:ascii="宋体" w:hAnsi="宋体"/>
          <w:kern w:val="44"/>
        </w:rPr>
      </w:pPr>
      <w:r>
        <w:rPr>
          <w:rFonts w:hint="eastAsia" w:ascii="宋体" w:hAnsi="宋体"/>
          <w:kern w:val="44"/>
        </w:rPr>
        <w:t>遇有应急预案所规定的情形发生时，各有关部门应当立即启动应急预案，相互密切配合，并注意信息的沟通、反馈。</w:t>
      </w:r>
    </w:p>
    <w:p w14:paraId="0F245197">
      <w:pPr>
        <w:ind w:firstLine="422"/>
        <w:jc w:val="left"/>
        <w:rPr>
          <w:rFonts w:ascii="宋体" w:hAnsi="宋体"/>
          <w:kern w:val="44"/>
        </w:rPr>
      </w:pPr>
      <w:r>
        <w:rPr>
          <w:rFonts w:hint="eastAsia" w:ascii="宋体" w:hAnsi="宋体"/>
          <w:b/>
          <w:kern w:val="44"/>
        </w:rPr>
        <w:t>第七十六条</w:t>
      </w:r>
      <w:r>
        <w:rPr>
          <w:rFonts w:hint="eastAsia" w:ascii="宋体" w:hAnsi="宋体"/>
          <w:kern w:val="44"/>
        </w:rPr>
        <w:t>　本市建立道路交通安全防范责任制度。单位应当遵守下列规定：</w:t>
      </w:r>
    </w:p>
    <w:p w14:paraId="3F3A4AF0">
      <w:pPr>
        <w:jc w:val="left"/>
        <w:rPr>
          <w:rFonts w:ascii="宋体" w:hAnsi="宋体"/>
          <w:kern w:val="44"/>
        </w:rPr>
      </w:pPr>
      <w:r>
        <w:rPr>
          <w:rFonts w:hint="eastAsia" w:ascii="宋体" w:hAnsi="宋体"/>
          <w:kern w:val="44"/>
        </w:rPr>
        <w:t>（一）建立对本单位所属机动车的使用、保养、维修、检查制度，保持车辆符合国家安全技术标准；</w:t>
      </w:r>
    </w:p>
    <w:p w14:paraId="29E8E847">
      <w:pPr>
        <w:jc w:val="left"/>
        <w:rPr>
          <w:rFonts w:ascii="宋体" w:hAnsi="宋体"/>
          <w:kern w:val="44"/>
        </w:rPr>
      </w:pPr>
      <w:r>
        <w:rPr>
          <w:rFonts w:hint="eastAsia" w:ascii="宋体" w:hAnsi="宋体"/>
          <w:kern w:val="44"/>
        </w:rPr>
        <w:t>（二）教育本单位人员遵守道路交通安全法律、法规，建立对本单位专职机动车驾驶人的道路交通安全教育培训、考核制度；</w:t>
      </w:r>
    </w:p>
    <w:p w14:paraId="2D510F78">
      <w:pPr>
        <w:jc w:val="left"/>
        <w:rPr>
          <w:rFonts w:ascii="宋体" w:hAnsi="宋体"/>
          <w:kern w:val="44"/>
        </w:rPr>
      </w:pPr>
      <w:r>
        <w:rPr>
          <w:rFonts w:hint="eastAsia" w:ascii="宋体" w:hAnsi="宋体"/>
          <w:kern w:val="44"/>
        </w:rPr>
        <w:t>（三）专业运输单位录用驾驶人员驾驶机动车的，应当对驾驶人员进行资质审查和专门的道路交通安全培训考核，建立档案，并向当地公安机关交通管理部门登记备案；</w:t>
      </w:r>
    </w:p>
    <w:p w14:paraId="409212B3">
      <w:pPr>
        <w:jc w:val="left"/>
        <w:rPr>
          <w:rFonts w:ascii="宋体" w:hAnsi="宋体"/>
          <w:kern w:val="44"/>
        </w:rPr>
      </w:pPr>
      <w:r>
        <w:rPr>
          <w:rFonts w:hint="eastAsia" w:ascii="宋体" w:hAnsi="宋体"/>
          <w:kern w:val="44"/>
        </w:rPr>
        <w:t>（四）专业运输单位由其法定代表人负责交通安全工作，设置交通安全工作机构，并配备交通安全专职人员；</w:t>
      </w:r>
    </w:p>
    <w:p w14:paraId="538A75BA">
      <w:pPr>
        <w:jc w:val="left"/>
        <w:rPr>
          <w:rFonts w:ascii="宋体" w:hAnsi="宋体"/>
          <w:kern w:val="44"/>
        </w:rPr>
      </w:pPr>
      <w:r>
        <w:rPr>
          <w:rFonts w:hint="eastAsia" w:ascii="宋体" w:hAnsi="宋体"/>
          <w:kern w:val="44"/>
        </w:rPr>
        <w:t>（五）接受所在地人民政府和公安机关交通管理部门的监督、检查，实现交通安全目标。</w:t>
      </w:r>
    </w:p>
    <w:p w14:paraId="686C8933">
      <w:pPr>
        <w:ind w:firstLine="422"/>
        <w:jc w:val="left"/>
        <w:rPr>
          <w:rFonts w:ascii="宋体" w:hAnsi="宋体"/>
          <w:kern w:val="44"/>
        </w:rPr>
      </w:pPr>
      <w:r>
        <w:rPr>
          <w:rFonts w:hint="eastAsia" w:ascii="宋体" w:hAnsi="宋体"/>
          <w:b/>
          <w:kern w:val="44"/>
        </w:rPr>
        <w:t>第七十七条</w:t>
      </w:r>
      <w:r>
        <w:rPr>
          <w:rFonts w:hint="eastAsia" w:ascii="宋体" w:hAnsi="宋体"/>
          <w:kern w:val="44"/>
        </w:rPr>
        <w:t>　道路交通安全防范责任制度由本市各级人民政府组织实施。各级人民政府的交通安全委员会，在本级人民政府领导下，负责协调本行政区域内的道路交通安全工作。</w:t>
      </w:r>
    </w:p>
    <w:p w14:paraId="771637E5">
      <w:pPr>
        <w:jc w:val="left"/>
        <w:rPr>
          <w:rFonts w:ascii="宋体" w:hAnsi="宋体"/>
          <w:kern w:val="44"/>
        </w:rPr>
      </w:pPr>
      <w:r>
        <w:rPr>
          <w:rFonts w:hint="eastAsia" w:ascii="宋体" w:hAnsi="宋体"/>
          <w:kern w:val="44"/>
        </w:rPr>
        <w:t>市和区、县人民政府各部门应当按照隶属关系督促本系统各单位执行道路交通安全防范责任制度。</w:t>
      </w:r>
    </w:p>
    <w:p w14:paraId="1E3BC92E">
      <w:pPr>
        <w:jc w:val="left"/>
        <w:rPr>
          <w:rFonts w:ascii="宋体" w:hAnsi="宋体"/>
          <w:kern w:val="44"/>
        </w:rPr>
      </w:pPr>
      <w:r>
        <w:rPr>
          <w:rFonts w:hint="eastAsia" w:ascii="宋体" w:hAnsi="宋体"/>
          <w:kern w:val="44"/>
        </w:rPr>
        <w:t>中央在京机关及驻京军事机关的交通安全主管部门，负责督促本系统各单位执行道路交通安全防范责任制度。</w:t>
      </w:r>
    </w:p>
    <w:p w14:paraId="342A7A60">
      <w:pPr>
        <w:jc w:val="left"/>
        <w:rPr>
          <w:rFonts w:ascii="宋体" w:hAnsi="宋体"/>
          <w:kern w:val="44"/>
        </w:rPr>
      </w:pPr>
      <w:r>
        <w:rPr>
          <w:rFonts w:hint="eastAsia" w:ascii="宋体" w:hAnsi="宋体"/>
          <w:kern w:val="44"/>
        </w:rPr>
        <w:t>本市各级公安机关交通管理部门在同级人民政府的领导下，定期监督检查道路交通安全防范责任制度的落实情况，执行道路交通安全防范责任制度的奖励和处罚。</w:t>
      </w:r>
    </w:p>
    <w:p w14:paraId="4A4E8F35">
      <w:pPr>
        <w:ind w:firstLine="422"/>
        <w:jc w:val="left"/>
        <w:rPr>
          <w:rFonts w:ascii="宋体" w:hAnsi="宋体"/>
          <w:kern w:val="44"/>
        </w:rPr>
      </w:pPr>
      <w:r>
        <w:rPr>
          <w:rFonts w:hint="eastAsia" w:ascii="宋体" w:hAnsi="宋体"/>
          <w:b/>
          <w:kern w:val="44"/>
        </w:rPr>
        <w:t>第七十八条</w:t>
      </w:r>
      <w:r>
        <w:rPr>
          <w:rFonts w:hint="eastAsia" w:ascii="宋体" w:hAnsi="宋体"/>
          <w:kern w:val="44"/>
        </w:rPr>
        <w:t>　公安机关交通管理部门应当加强对交通警察的管理，提高交通警察的素质和道路交通管理水平。</w:t>
      </w:r>
    </w:p>
    <w:p w14:paraId="0B778527">
      <w:pPr>
        <w:jc w:val="left"/>
        <w:rPr>
          <w:rFonts w:ascii="宋体" w:hAnsi="宋体"/>
          <w:kern w:val="44"/>
        </w:rPr>
      </w:pPr>
      <w:r>
        <w:rPr>
          <w:rFonts w:hint="eastAsia" w:ascii="宋体" w:hAnsi="宋体"/>
          <w:kern w:val="44"/>
        </w:rPr>
        <w:t>公安机关交通管理部门应当加强对营运车辆安全技术状况的检测。</w:t>
      </w:r>
    </w:p>
    <w:p w14:paraId="6D55625D">
      <w:pPr>
        <w:jc w:val="left"/>
        <w:rPr>
          <w:rFonts w:ascii="宋体" w:hAnsi="宋体"/>
          <w:kern w:val="44"/>
        </w:rPr>
      </w:pPr>
      <w:r>
        <w:rPr>
          <w:rFonts w:hint="eastAsia" w:ascii="宋体" w:hAnsi="宋体"/>
          <w:kern w:val="44"/>
        </w:rPr>
        <w:t>公安机关交通管理部门及其交通警察应当依法履行职责，接受行政监察机关、社会和公民的监督。</w:t>
      </w:r>
    </w:p>
    <w:p w14:paraId="44DBF239">
      <w:pPr>
        <w:jc w:val="left"/>
        <w:rPr>
          <w:rFonts w:ascii="宋体" w:hAnsi="宋体"/>
          <w:kern w:val="44"/>
        </w:rPr>
      </w:pPr>
      <w:r>
        <w:rPr>
          <w:rFonts w:hint="eastAsia" w:ascii="宋体" w:hAnsi="宋体"/>
          <w:kern w:val="44"/>
        </w:rPr>
        <w:t>市和区、县人民政府组建的道路交通安全协管员队伍，协助交通警察维护道路交通秩序，劝阻、告知道路交通安全违法行为。</w:t>
      </w:r>
    </w:p>
    <w:p w14:paraId="7A67555F">
      <w:pPr>
        <w:spacing w:line="300" w:lineRule="exact"/>
        <w:jc w:val="left"/>
        <w:rPr>
          <w:rFonts w:ascii="宋体" w:hAnsi="宋体"/>
          <w:kern w:val="44"/>
        </w:rPr>
      </w:pPr>
    </w:p>
    <w:p w14:paraId="12B7E203">
      <w:pPr>
        <w:ind w:firstLine="0" w:firstLineChars="0"/>
        <w:jc w:val="center"/>
        <w:rPr>
          <w:rFonts w:ascii="宋体" w:hAnsi="宋体"/>
          <w:b/>
          <w:kern w:val="44"/>
          <w:sz w:val="28"/>
        </w:rPr>
      </w:pPr>
      <w:r>
        <w:rPr>
          <w:rFonts w:hint="eastAsia" w:ascii="宋体" w:hAnsi="宋体"/>
          <w:b/>
          <w:kern w:val="44"/>
          <w:sz w:val="28"/>
        </w:rPr>
        <w:t>第七章　法律责任</w:t>
      </w:r>
    </w:p>
    <w:p w14:paraId="0E3A3095">
      <w:pPr>
        <w:spacing w:line="300" w:lineRule="exact"/>
        <w:jc w:val="left"/>
        <w:rPr>
          <w:rFonts w:ascii="宋体" w:hAnsi="宋体"/>
          <w:kern w:val="44"/>
        </w:rPr>
      </w:pPr>
    </w:p>
    <w:p w14:paraId="6C531B17">
      <w:pPr>
        <w:ind w:firstLine="422"/>
        <w:jc w:val="left"/>
        <w:rPr>
          <w:rFonts w:ascii="宋体" w:hAnsi="宋体"/>
          <w:kern w:val="44"/>
        </w:rPr>
      </w:pPr>
      <w:r>
        <w:rPr>
          <w:rFonts w:hint="eastAsia" w:ascii="宋体" w:hAnsi="宋体"/>
          <w:b/>
          <w:kern w:val="44"/>
        </w:rPr>
        <w:t>第七十九条</w:t>
      </w:r>
      <w:r>
        <w:rPr>
          <w:rFonts w:hint="eastAsia" w:ascii="宋体" w:hAnsi="宋体"/>
          <w:kern w:val="44"/>
        </w:rPr>
        <w:t>　违反道路交通安全法律、行政法规和本办法规定的行为，依照《中华人民共和国道路交通安全法》、《中华人民共和国道路交通安全法实施条例》和本办法以及其他有关法律、法规的规定处罚。</w:t>
      </w:r>
    </w:p>
    <w:p w14:paraId="6FA348EF">
      <w:pPr>
        <w:ind w:firstLine="422"/>
        <w:jc w:val="left"/>
        <w:rPr>
          <w:rFonts w:ascii="宋体" w:hAnsi="宋体"/>
          <w:kern w:val="44"/>
        </w:rPr>
      </w:pPr>
      <w:r>
        <w:rPr>
          <w:rFonts w:hint="eastAsia" w:ascii="宋体" w:hAnsi="宋体"/>
          <w:b/>
          <w:kern w:val="44"/>
        </w:rPr>
        <w:t>第八十条</w:t>
      </w:r>
      <w:r>
        <w:rPr>
          <w:rFonts w:hint="eastAsia" w:ascii="宋体" w:hAnsi="宋体"/>
          <w:kern w:val="44"/>
        </w:rPr>
        <w:t>　公安机关交通管理部门及其交通警察对道路交通安全违法行为，应当及时纠正并依法予以处罚。对情节轻微，未影响道路通行的，指出违法行为，给予口头警告后放行。</w:t>
      </w:r>
    </w:p>
    <w:p w14:paraId="31075E50">
      <w:pPr>
        <w:ind w:firstLine="422"/>
        <w:jc w:val="left"/>
        <w:rPr>
          <w:rFonts w:ascii="宋体" w:hAnsi="宋体"/>
          <w:kern w:val="44"/>
        </w:rPr>
      </w:pPr>
      <w:r>
        <w:rPr>
          <w:rFonts w:hint="eastAsia" w:ascii="宋体" w:hAnsi="宋体"/>
          <w:b/>
          <w:kern w:val="44"/>
        </w:rPr>
        <w:t>第八十一条</w:t>
      </w:r>
      <w:r>
        <w:rPr>
          <w:rFonts w:hint="eastAsia" w:ascii="宋体" w:hAnsi="宋体"/>
          <w:kern w:val="44"/>
        </w:rPr>
        <w:t>　行人有下列行为之一的，处10元罚款：</w:t>
      </w:r>
    </w:p>
    <w:p w14:paraId="497FC6F7">
      <w:pPr>
        <w:jc w:val="left"/>
        <w:rPr>
          <w:rFonts w:ascii="宋体" w:hAnsi="宋体"/>
          <w:kern w:val="44"/>
        </w:rPr>
      </w:pPr>
      <w:r>
        <w:rPr>
          <w:rFonts w:hint="eastAsia" w:ascii="宋体" w:hAnsi="宋体"/>
          <w:kern w:val="44"/>
        </w:rPr>
        <w:t>（一）违反交通信号、未走人行道或者未按照规定靠路边行走的；</w:t>
      </w:r>
    </w:p>
    <w:p w14:paraId="04902F4F">
      <w:pPr>
        <w:jc w:val="left"/>
        <w:rPr>
          <w:rFonts w:ascii="宋体" w:hAnsi="宋体"/>
          <w:kern w:val="44"/>
        </w:rPr>
      </w:pPr>
      <w:r>
        <w:rPr>
          <w:rFonts w:hint="eastAsia" w:ascii="宋体" w:hAnsi="宋体"/>
          <w:kern w:val="44"/>
        </w:rPr>
        <w:t>（二）通过路口或者横过道路，未走人行横道或者过街设施的；</w:t>
      </w:r>
    </w:p>
    <w:p w14:paraId="4220C0AA">
      <w:pPr>
        <w:jc w:val="left"/>
        <w:rPr>
          <w:rFonts w:ascii="宋体" w:hAnsi="宋体"/>
          <w:kern w:val="44"/>
        </w:rPr>
      </w:pPr>
      <w:r>
        <w:rPr>
          <w:rFonts w:hint="eastAsia" w:ascii="宋体" w:hAnsi="宋体"/>
          <w:kern w:val="44"/>
        </w:rPr>
        <w:t>（三）在道路上使用滑板、旱冰鞋等滑行工具的；</w:t>
      </w:r>
    </w:p>
    <w:p w14:paraId="7FF940A6">
      <w:pPr>
        <w:jc w:val="left"/>
        <w:rPr>
          <w:rFonts w:ascii="宋体" w:hAnsi="宋体"/>
          <w:kern w:val="44"/>
        </w:rPr>
      </w:pPr>
      <w:r>
        <w:rPr>
          <w:rFonts w:hint="eastAsia" w:ascii="宋体" w:hAnsi="宋体"/>
          <w:kern w:val="44"/>
        </w:rPr>
        <w:t>（四）在车行道内坐卧、停留、嬉闹的；</w:t>
      </w:r>
    </w:p>
    <w:p w14:paraId="16DE7F4C">
      <w:pPr>
        <w:jc w:val="left"/>
        <w:rPr>
          <w:rFonts w:ascii="宋体" w:hAnsi="宋体"/>
          <w:kern w:val="44"/>
        </w:rPr>
      </w:pPr>
      <w:r>
        <w:rPr>
          <w:rFonts w:hint="eastAsia" w:ascii="宋体" w:hAnsi="宋体"/>
          <w:kern w:val="44"/>
        </w:rPr>
        <w:t>（五）在道路上有追车、抛物击车等妨碍道路交通安全的行为的；</w:t>
      </w:r>
    </w:p>
    <w:p w14:paraId="38867C0C">
      <w:pPr>
        <w:jc w:val="left"/>
        <w:rPr>
          <w:rFonts w:ascii="宋体" w:hAnsi="宋体"/>
          <w:kern w:val="44"/>
        </w:rPr>
      </w:pPr>
      <w:r>
        <w:rPr>
          <w:rFonts w:hint="eastAsia" w:ascii="宋体" w:hAnsi="宋体"/>
          <w:kern w:val="44"/>
        </w:rPr>
        <w:t>（六）在机动车道上拦乘机动车的；</w:t>
      </w:r>
    </w:p>
    <w:p w14:paraId="7C8580AC">
      <w:pPr>
        <w:jc w:val="left"/>
        <w:rPr>
          <w:rFonts w:ascii="宋体" w:hAnsi="宋体"/>
          <w:kern w:val="44"/>
        </w:rPr>
      </w:pPr>
      <w:r>
        <w:rPr>
          <w:rFonts w:hint="eastAsia" w:ascii="宋体" w:hAnsi="宋体"/>
          <w:kern w:val="44"/>
        </w:rPr>
        <w:t>（七）跨越、倚坐道路隔离设施、扒车、强行拦车或者实施妨碍道路交通安全的其他行为的；</w:t>
      </w:r>
    </w:p>
    <w:p w14:paraId="6017509F">
      <w:pPr>
        <w:jc w:val="left"/>
        <w:rPr>
          <w:rFonts w:ascii="宋体" w:hAnsi="宋体"/>
          <w:kern w:val="44"/>
        </w:rPr>
      </w:pPr>
      <w:r>
        <w:rPr>
          <w:rFonts w:hint="eastAsia" w:ascii="宋体" w:hAnsi="宋体"/>
          <w:kern w:val="44"/>
        </w:rPr>
        <w:t>（八）通过铁路道口未按照管理人员指挥通行的；</w:t>
      </w:r>
    </w:p>
    <w:p w14:paraId="28DF8012">
      <w:pPr>
        <w:jc w:val="left"/>
        <w:rPr>
          <w:rFonts w:ascii="宋体" w:hAnsi="宋体"/>
          <w:kern w:val="44"/>
        </w:rPr>
      </w:pPr>
      <w:r>
        <w:rPr>
          <w:rFonts w:hint="eastAsia" w:ascii="宋体" w:hAnsi="宋体"/>
          <w:kern w:val="44"/>
        </w:rPr>
        <w:t>（九）在车行道内行走或者兜售、发送物品的；</w:t>
      </w:r>
    </w:p>
    <w:p w14:paraId="6151BB13">
      <w:pPr>
        <w:jc w:val="left"/>
        <w:rPr>
          <w:rFonts w:ascii="宋体" w:hAnsi="宋体"/>
          <w:kern w:val="44"/>
        </w:rPr>
      </w:pPr>
      <w:r>
        <w:rPr>
          <w:rFonts w:hint="eastAsia" w:ascii="宋体" w:hAnsi="宋体"/>
          <w:kern w:val="44"/>
        </w:rPr>
        <w:t>（十）未被交通信号放行的行人进入路口的。</w:t>
      </w:r>
    </w:p>
    <w:p w14:paraId="2884F2BC">
      <w:pPr>
        <w:ind w:firstLine="422"/>
        <w:jc w:val="left"/>
        <w:rPr>
          <w:rFonts w:ascii="宋体" w:hAnsi="宋体"/>
          <w:kern w:val="44"/>
        </w:rPr>
      </w:pPr>
      <w:r>
        <w:rPr>
          <w:rFonts w:hint="eastAsia" w:ascii="宋体" w:hAnsi="宋体"/>
          <w:b/>
          <w:kern w:val="44"/>
        </w:rPr>
        <w:t>第八十二条</w:t>
      </w:r>
      <w:r>
        <w:rPr>
          <w:rFonts w:hint="eastAsia" w:ascii="宋体" w:hAnsi="宋体"/>
          <w:kern w:val="44"/>
        </w:rPr>
        <w:t>　乘车人有下列行为之一的，处10元罚款：</w:t>
      </w:r>
    </w:p>
    <w:p w14:paraId="26B8CEF7">
      <w:pPr>
        <w:jc w:val="left"/>
        <w:rPr>
          <w:rFonts w:ascii="宋体" w:hAnsi="宋体"/>
          <w:kern w:val="44"/>
        </w:rPr>
      </w:pPr>
      <w:r>
        <w:rPr>
          <w:rFonts w:hint="eastAsia" w:ascii="宋体" w:hAnsi="宋体"/>
          <w:kern w:val="44"/>
        </w:rPr>
        <w:t>（一）违反规定在机动车道上从机动车左侧上下车的；</w:t>
      </w:r>
    </w:p>
    <w:p w14:paraId="119D3865">
      <w:pPr>
        <w:jc w:val="left"/>
        <w:rPr>
          <w:rFonts w:ascii="宋体" w:hAnsi="宋体"/>
          <w:kern w:val="44"/>
        </w:rPr>
      </w:pPr>
      <w:r>
        <w:rPr>
          <w:rFonts w:hint="eastAsia" w:ascii="宋体" w:hAnsi="宋体"/>
          <w:kern w:val="44"/>
        </w:rPr>
        <w:t>（二）开关车门时妨碍其他车辆和行人通行的；</w:t>
      </w:r>
    </w:p>
    <w:p w14:paraId="081C5DA8">
      <w:pPr>
        <w:jc w:val="left"/>
        <w:rPr>
          <w:rFonts w:ascii="宋体" w:hAnsi="宋体"/>
          <w:kern w:val="44"/>
        </w:rPr>
      </w:pPr>
      <w:r>
        <w:rPr>
          <w:rFonts w:hint="eastAsia" w:ascii="宋体" w:hAnsi="宋体"/>
          <w:kern w:val="44"/>
        </w:rPr>
        <w:t>（三）在机动车行驶中将身体任何部分伸出车外、跳车的；</w:t>
      </w:r>
    </w:p>
    <w:p w14:paraId="2156925E">
      <w:pPr>
        <w:jc w:val="left"/>
        <w:rPr>
          <w:rFonts w:ascii="宋体" w:hAnsi="宋体"/>
          <w:kern w:val="44"/>
        </w:rPr>
      </w:pPr>
      <w:r>
        <w:rPr>
          <w:rFonts w:hint="eastAsia" w:ascii="宋体" w:hAnsi="宋体"/>
          <w:kern w:val="44"/>
        </w:rPr>
        <w:t>（四）乘坐二轮摩托车未在后座正向骑坐的；</w:t>
      </w:r>
    </w:p>
    <w:p w14:paraId="294C0B7C">
      <w:pPr>
        <w:jc w:val="left"/>
        <w:rPr>
          <w:rFonts w:ascii="宋体" w:hAnsi="宋体"/>
          <w:kern w:val="44"/>
        </w:rPr>
      </w:pPr>
      <w:r>
        <w:rPr>
          <w:rFonts w:hint="eastAsia" w:ascii="宋体" w:hAnsi="宋体"/>
          <w:kern w:val="44"/>
        </w:rPr>
        <w:t>（五）乘坐货运机动车时，站立或者坐在车厢栏板上的；</w:t>
      </w:r>
    </w:p>
    <w:p w14:paraId="601958E1">
      <w:pPr>
        <w:jc w:val="left"/>
        <w:rPr>
          <w:rFonts w:ascii="宋体" w:hAnsi="宋体"/>
          <w:kern w:val="44"/>
        </w:rPr>
      </w:pPr>
      <w:r>
        <w:rPr>
          <w:rFonts w:hint="eastAsia" w:ascii="宋体" w:hAnsi="宋体"/>
          <w:kern w:val="44"/>
        </w:rPr>
        <w:t>（六）违反规定搭乘自行车、电动自行车、人力货运三轮车、残疾人机动轮椅车和轻便摩托车的。</w:t>
      </w:r>
    </w:p>
    <w:p w14:paraId="5C3E44CB">
      <w:pPr>
        <w:ind w:firstLine="422"/>
        <w:jc w:val="left"/>
        <w:rPr>
          <w:rFonts w:ascii="宋体" w:hAnsi="宋体"/>
          <w:kern w:val="44"/>
        </w:rPr>
      </w:pPr>
      <w:r>
        <w:rPr>
          <w:rFonts w:hint="eastAsia" w:ascii="宋体" w:hAnsi="宋体"/>
          <w:b/>
          <w:kern w:val="44"/>
        </w:rPr>
        <w:t>第八十三条</w:t>
      </w:r>
      <w:r>
        <w:rPr>
          <w:rFonts w:hint="eastAsia" w:ascii="宋体" w:hAnsi="宋体"/>
          <w:kern w:val="44"/>
        </w:rPr>
        <w:t>　行人、乘车人有下列行为之一的，处20元罚款：</w:t>
      </w:r>
    </w:p>
    <w:p w14:paraId="5730FF8C">
      <w:pPr>
        <w:jc w:val="left"/>
        <w:rPr>
          <w:rFonts w:ascii="宋体" w:hAnsi="宋体"/>
          <w:kern w:val="44"/>
        </w:rPr>
      </w:pPr>
      <w:r>
        <w:rPr>
          <w:rFonts w:hint="eastAsia" w:ascii="宋体" w:hAnsi="宋体"/>
          <w:kern w:val="44"/>
        </w:rPr>
        <w:t>（一）行人违反限制通行规定的；</w:t>
      </w:r>
    </w:p>
    <w:p w14:paraId="484DEB17">
      <w:pPr>
        <w:jc w:val="left"/>
        <w:rPr>
          <w:rFonts w:ascii="宋体" w:hAnsi="宋体"/>
          <w:kern w:val="44"/>
        </w:rPr>
      </w:pPr>
      <w:r>
        <w:rPr>
          <w:rFonts w:hint="eastAsia" w:ascii="宋体" w:hAnsi="宋体"/>
          <w:kern w:val="44"/>
        </w:rPr>
        <w:t>（二）乘车人向车外抛撒物品的；</w:t>
      </w:r>
    </w:p>
    <w:p w14:paraId="3A774E31">
      <w:pPr>
        <w:jc w:val="left"/>
        <w:rPr>
          <w:rFonts w:ascii="宋体" w:hAnsi="宋体"/>
          <w:kern w:val="44"/>
        </w:rPr>
      </w:pPr>
      <w:r>
        <w:rPr>
          <w:rFonts w:hint="eastAsia" w:ascii="宋体" w:hAnsi="宋体"/>
          <w:kern w:val="44"/>
        </w:rPr>
        <w:t>（三）乘车人影响驾驶人安全驾驶的；</w:t>
      </w:r>
    </w:p>
    <w:p w14:paraId="3675246B">
      <w:pPr>
        <w:jc w:val="left"/>
        <w:rPr>
          <w:rFonts w:ascii="宋体" w:hAnsi="宋体"/>
          <w:kern w:val="44"/>
        </w:rPr>
      </w:pPr>
      <w:r>
        <w:rPr>
          <w:rFonts w:hint="eastAsia" w:ascii="宋体" w:hAnsi="宋体"/>
          <w:kern w:val="44"/>
        </w:rPr>
        <w:t>（四）乘车人未按照规定使用安全带的。</w:t>
      </w:r>
    </w:p>
    <w:p w14:paraId="1AEEEBD7">
      <w:pPr>
        <w:ind w:firstLine="422"/>
        <w:jc w:val="left"/>
        <w:rPr>
          <w:rFonts w:ascii="宋体" w:hAnsi="宋体"/>
          <w:kern w:val="44"/>
        </w:rPr>
      </w:pPr>
      <w:r>
        <w:rPr>
          <w:rFonts w:hint="eastAsia" w:ascii="宋体" w:hAnsi="宋体"/>
          <w:b/>
          <w:kern w:val="44"/>
        </w:rPr>
        <w:t>第八十四条</w:t>
      </w:r>
      <w:r>
        <w:rPr>
          <w:rFonts w:hint="eastAsia" w:ascii="宋体" w:hAnsi="宋体"/>
          <w:kern w:val="44"/>
        </w:rPr>
        <w:t>　未满16周岁在道路上驾驭畜力车、驾驶电动自行车和残疾人机动轮椅车的，予以警告或者处10元罚款。</w:t>
      </w:r>
    </w:p>
    <w:p w14:paraId="102BC5E7">
      <w:pPr>
        <w:ind w:firstLine="422"/>
        <w:jc w:val="left"/>
        <w:rPr>
          <w:rFonts w:ascii="宋体" w:hAnsi="宋体"/>
          <w:kern w:val="44"/>
        </w:rPr>
      </w:pPr>
      <w:r>
        <w:rPr>
          <w:rFonts w:hint="eastAsia" w:ascii="宋体" w:hAnsi="宋体"/>
          <w:b/>
          <w:kern w:val="44"/>
        </w:rPr>
        <w:t>第八十五条</w:t>
      </w:r>
      <w:r>
        <w:rPr>
          <w:rFonts w:hint="eastAsia" w:ascii="宋体" w:hAnsi="宋体"/>
          <w:kern w:val="44"/>
        </w:rPr>
        <w:t>　驾驶非机动车有下列行为之一的，处20元罚款：</w:t>
      </w:r>
    </w:p>
    <w:p w14:paraId="5BA70765">
      <w:pPr>
        <w:jc w:val="left"/>
        <w:rPr>
          <w:rFonts w:ascii="宋体" w:hAnsi="宋体"/>
          <w:kern w:val="44"/>
        </w:rPr>
      </w:pPr>
      <w:r>
        <w:rPr>
          <w:rFonts w:hint="eastAsia" w:ascii="宋体" w:hAnsi="宋体"/>
          <w:kern w:val="44"/>
        </w:rPr>
        <w:t>（一）违反交通信号通行的；</w:t>
      </w:r>
    </w:p>
    <w:p w14:paraId="5684FDCC">
      <w:pPr>
        <w:jc w:val="left"/>
        <w:rPr>
          <w:rFonts w:ascii="宋体" w:hAnsi="宋体"/>
          <w:kern w:val="44"/>
        </w:rPr>
      </w:pPr>
      <w:r>
        <w:rPr>
          <w:rFonts w:hint="eastAsia" w:ascii="宋体" w:hAnsi="宋体"/>
          <w:kern w:val="44"/>
        </w:rPr>
        <w:t>（二）违反限制通行规定的；</w:t>
      </w:r>
    </w:p>
    <w:p w14:paraId="5D3C0F65">
      <w:pPr>
        <w:jc w:val="left"/>
        <w:rPr>
          <w:rFonts w:ascii="宋体" w:hAnsi="宋体"/>
          <w:kern w:val="44"/>
        </w:rPr>
      </w:pPr>
      <w:r>
        <w:rPr>
          <w:rFonts w:hint="eastAsia" w:ascii="宋体" w:hAnsi="宋体"/>
          <w:kern w:val="44"/>
        </w:rPr>
        <w:t>（三）在非机动车道内逆向行驶或者违反规定在机动车道上行驶、停车滞留的；</w:t>
      </w:r>
    </w:p>
    <w:p w14:paraId="7C07C21B">
      <w:pPr>
        <w:jc w:val="left"/>
        <w:rPr>
          <w:rFonts w:ascii="宋体" w:hAnsi="宋体"/>
          <w:kern w:val="44"/>
        </w:rPr>
      </w:pPr>
      <w:r>
        <w:rPr>
          <w:rFonts w:hint="eastAsia" w:ascii="宋体" w:hAnsi="宋体"/>
          <w:kern w:val="44"/>
        </w:rPr>
        <w:t>（四）违反路口通行规定的；</w:t>
      </w:r>
    </w:p>
    <w:p w14:paraId="4B095A30">
      <w:pPr>
        <w:jc w:val="left"/>
        <w:rPr>
          <w:rFonts w:ascii="宋体" w:hAnsi="宋体"/>
          <w:kern w:val="44"/>
        </w:rPr>
      </w:pPr>
      <w:r>
        <w:rPr>
          <w:rFonts w:hint="eastAsia" w:ascii="宋体" w:hAnsi="宋体"/>
          <w:kern w:val="44"/>
        </w:rPr>
        <w:t>（五）在人行道、人行横道上骑行的；</w:t>
      </w:r>
    </w:p>
    <w:p w14:paraId="7ACB380D">
      <w:pPr>
        <w:jc w:val="left"/>
        <w:rPr>
          <w:rFonts w:ascii="宋体" w:hAnsi="宋体"/>
          <w:kern w:val="44"/>
        </w:rPr>
      </w:pPr>
      <w:r>
        <w:rPr>
          <w:rFonts w:hint="eastAsia" w:ascii="宋体" w:hAnsi="宋体"/>
          <w:kern w:val="44"/>
        </w:rPr>
        <w:t>（六）未按照规定横过机动车道的；</w:t>
      </w:r>
    </w:p>
    <w:p w14:paraId="27E43F16">
      <w:pPr>
        <w:jc w:val="left"/>
        <w:rPr>
          <w:rFonts w:ascii="宋体" w:hAnsi="宋体"/>
          <w:kern w:val="44"/>
        </w:rPr>
      </w:pPr>
      <w:r>
        <w:rPr>
          <w:rFonts w:hint="eastAsia" w:ascii="宋体" w:hAnsi="宋体"/>
          <w:kern w:val="44"/>
        </w:rPr>
        <w:t>（七）行经人行横道未避让行人的；</w:t>
      </w:r>
    </w:p>
    <w:p w14:paraId="59151DF1">
      <w:pPr>
        <w:jc w:val="left"/>
        <w:rPr>
          <w:rFonts w:ascii="宋体" w:hAnsi="宋体"/>
          <w:kern w:val="44"/>
        </w:rPr>
      </w:pPr>
      <w:r>
        <w:rPr>
          <w:rFonts w:hint="eastAsia" w:ascii="宋体" w:hAnsi="宋体"/>
          <w:kern w:val="44"/>
        </w:rPr>
        <w:t>（八）突然猛拐或者在其他车辆之间穿行的；</w:t>
      </w:r>
    </w:p>
    <w:p w14:paraId="54460397">
      <w:pPr>
        <w:jc w:val="left"/>
        <w:rPr>
          <w:rFonts w:ascii="宋体" w:hAnsi="宋体"/>
          <w:kern w:val="44"/>
        </w:rPr>
      </w:pPr>
      <w:r>
        <w:rPr>
          <w:rFonts w:hint="eastAsia" w:ascii="宋体" w:hAnsi="宋体"/>
          <w:kern w:val="44"/>
        </w:rPr>
        <w:t>（九）扶身并行、互相追逐或者曲折竞驶的；</w:t>
      </w:r>
    </w:p>
    <w:p w14:paraId="74D4109C">
      <w:pPr>
        <w:jc w:val="left"/>
        <w:rPr>
          <w:rFonts w:ascii="宋体" w:hAnsi="宋体"/>
          <w:kern w:val="44"/>
        </w:rPr>
      </w:pPr>
      <w:r>
        <w:rPr>
          <w:rFonts w:hint="eastAsia" w:ascii="宋体" w:hAnsi="宋体"/>
          <w:kern w:val="44"/>
        </w:rPr>
        <w:t>（十）牵引、攀扶车辆或者被其他车辆牵引，双手离把或者手中持物的；</w:t>
      </w:r>
    </w:p>
    <w:p w14:paraId="2E6974F6">
      <w:pPr>
        <w:jc w:val="left"/>
        <w:rPr>
          <w:rFonts w:ascii="宋体" w:hAnsi="宋体"/>
          <w:kern w:val="44"/>
        </w:rPr>
      </w:pPr>
      <w:r>
        <w:rPr>
          <w:rFonts w:hint="eastAsia" w:ascii="宋体" w:hAnsi="宋体"/>
          <w:kern w:val="44"/>
        </w:rPr>
        <w:t>（十一）未被交通信号放行的非机动车进入路口的；</w:t>
      </w:r>
    </w:p>
    <w:p w14:paraId="1024F0E0">
      <w:pPr>
        <w:jc w:val="left"/>
        <w:rPr>
          <w:rFonts w:ascii="宋体" w:hAnsi="宋体"/>
          <w:kern w:val="44"/>
        </w:rPr>
      </w:pPr>
      <w:r>
        <w:rPr>
          <w:rFonts w:hint="eastAsia" w:ascii="宋体" w:hAnsi="宋体"/>
          <w:kern w:val="44"/>
        </w:rPr>
        <w:t>（十二）制动器失效在道路上骑行的。</w:t>
      </w:r>
    </w:p>
    <w:p w14:paraId="283A4AE2">
      <w:pPr>
        <w:ind w:firstLine="422"/>
        <w:jc w:val="left"/>
        <w:rPr>
          <w:rFonts w:ascii="宋体" w:hAnsi="宋体"/>
          <w:kern w:val="44"/>
        </w:rPr>
      </w:pPr>
      <w:r>
        <w:rPr>
          <w:rFonts w:hint="eastAsia" w:ascii="宋体" w:hAnsi="宋体"/>
          <w:b/>
          <w:kern w:val="44"/>
        </w:rPr>
        <w:t>第八十六条</w:t>
      </w:r>
      <w:r>
        <w:rPr>
          <w:rFonts w:hint="eastAsia" w:ascii="宋体" w:hAnsi="宋体"/>
          <w:kern w:val="44"/>
        </w:rPr>
        <w:t>　驾驶非机动车有下列行为之一的，处20元罚款：</w:t>
      </w:r>
    </w:p>
    <w:p w14:paraId="73635634">
      <w:pPr>
        <w:jc w:val="left"/>
        <w:rPr>
          <w:rFonts w:ascii="宋体" w:hAnsi="宋体"/>
          <w:kern w:val="44"/>
        </w:rPr>
      </w:pPr>
      <w:r>
        <w:rPr>
          <w:rFonts w:hint="eastAsia" w:ascii="宋体" w:hAnsi="宋体"/>
          <w:kern w:val="44"/>
        </w:rPr>
        <w:t>（一）未依法登记上路行驶的；</w:t>
      </w:r>
    </w:p>
    <w:p w14:paraId="090EBCA1">
      <w:pPr>
        <w:jc w:val="left"/>
        <w:rPr>
          <w:rFonts w:ascii="宋体" w:hAnsi="宋体"/>
          <w:kern w:val="44"/>
        </w:rPr>
      </w:pPr>
      <w:r>
        <w:rPr>
          <w:rFonts w:hint="eastAsia" w:ascii="宋体" w:hAnsi="宋体"/>
          <w:kern w:val="44"/>
        </w:rPr>
        <w:t>（二）违反载物规定的；</w:t>
      </w:r>
    </w:p>
    <w:p w14:paraId="09C5DA45">
      <w:pPr>
        <w:jc w:val="left"/>
        <w:rPr>
          <w:rFonts w:ascii="宋体" w:hAnsi="宋体"/>
          <w:kern w:val="44"/>
        </w:rPr>
      </w:pPr>
      <w:r>
        <w:rPr>
          <w:rFonts w:hint="eastAsia" w:ascii="宋体" w:hAnsi="宋体"/>
          <w:kern w:val="44"/>
        </w:rPr>
        <w:t>（三）违反载人规定的；</w:t>
      </w:r>
    </w:p>
    <w:p w14:paraId="285063C6">
      <w:pPr>
        <w:jc w:val="left"/>
        <w:rPr>
          <w:rFonts w:ascii="宋体" w:hAnsi="宋体"/>
          <w:kern w:val="44"/>
        </w:rPr>
      </w:pPr>
      <w:r>
        <w:rPr>
          <w:rFonts w:hint="eastAsia" w:ascii="宋体" w:hAnsi="宋体"/>
          <w:kern w:val="44"/>
        </w:rPr>
        <w:t>（四）独轮自行车、二人以上骑行的自行车上道路行驶的；</w:t>
      </w:r>
    </w:p>
    <w:p w14:paraId="686A0FEA">
      <w:pPr>
        <w:jc w:val="left"/>
        <w:rPr>
          <w:rFonts w:ascii="宋体" w:hAnsi="宋体"/>
          <w:kern w:val="44"/>
        </w:rPr>
      </w:pPr>
      <w:r>
        <w:rPr>
          <w:rFonts w:hint="eastAsia" w:ascii="宋体" w:hAnsi="宋体"/>
          <w:kern w:val="44"/>
        </w:rPr>
        <w:t>（五）在道路上学习驾驶的；</w:t>
      </w:r>
    </w:p>
    <w:p w14:paraId="21E84B86">
      <w:pPr>
        <w:jc w:val="left"/>
        <w:rPr>
          <w:rFonts w:ascii="宋体" w:hAnsi="宋体"/>
          <w:kern w:val="44"/>
        </w:rPr>
      </w:pPr>
      <w:r>
        <w:rPr>
          <w:rFonts w:hint="eastAsia" w:ascii="宋体" w:hAnsi="宋体"/>
          <w:kern w:val="44"/>
        </w:rPr>
        <w:t>（六）驾驶残疾人机动轮椅车未携带行驶证的；</w:t>
      </w:r>
    </w:p>
    <w:p w14:paraId="615165C5">
      <w:pPr>
        <w:jc w:val="left"/>
        <w:rPr>
          <w:rFonts w:ascii="宋体" w:hAnsi="宋体"/>
          <w:kern w:val="44"/>
        </w:rPr>
      </w:pPr>
      <w:r>
        <w:rPr>
          <w:rFonts w:hint="eastAsia" w:ascii="宋体" w:hAnsi="宋体"/>
          <w:kern w:val="44"/>
        </w:rPr>
        <w:t>（七）未按照规定地点停放的。</w:t>
      </w:r>
    </w:p>
    <w:p w14:paraId="48B0BAAE">
      <w:pPr>
        <w:ind w:firstLine="422"/>
        <w:jc w:val="left"/>
        <w:rPr>
          <w:rFonts w:ascii="宋体" w:hAnsi="宋体"/>
          <w:kern w:val="44"/>
        </w:rPr>
      </w:pPr>
      <w:r>
        <w:rPr>
          <w:rFonts w:hint="eastAsia" w:ascii="宋体" w:hAnsi="宋体"/>
          <w:b/>
          <w:kern w:val="44"/>
        </w:rPr>
        <w:t>第八十七条</w:t>
      </w:r>
      <w:r>
        <w:rPr>
          <w:rFonts w:hint="eastAsia" w:ascii="宋体" w:hAnsi="宋体"/>
          <w:kern w:val="44"/>
        </w:rPr>
        <w:t>　驾驭畜力车有下列行为之一的，处20元罚款：</w:t>
      </w:r>
    </w:p>
    <w:p w14:paraId="4761C554">
      <w:pPr>
        <w:jc w:val="left"/>
        <w:rPr>
          <w:rFonts w:ascii="宋体" w:hAnsi="宋体"/>
          <w:kern w:val="44"/>
        </w:rPr>
      </w:pPr>
      <w:r>
        <w:rPr>
          <w:rFonts w:hint="eastAsia" w:ascii="宋体" w:hAnsi="宋体"/>
          <w:kern w:val="44"/>
        </w:rPr>
        <w:t>（一）违反限制通行规定的；</w:t>
      </w:r>
    </w:p>
    <w:p w14:paraId="117D5AFA">
      <w:pPr>
        <w:jc w:val="left"/>
        <w:rPr>
          <w:rFonts w:ascii="宋体" w:hAnsi="宋体"/>
          <w:kern w:val="44"/>
        </w:rPr>
      </w:pPr>
      <w:r>
        <w:rPr>
          <w:rFonts w:hint="eastAsia" w:ascii="宋体" w:hAnsi="宋体"/>
          <w:kern w:val="44"/>
        </w:rPr>
        <w:t>（二）未按照规定下车牵引牲畜的；</w:t>
      </w:r>
    </w:p>
    <w:p w14:paraId="07FD1380">
      <w:pPr>
        <w:jc w:val="left"/>
        <w:rPr>
          <w:rFonts w:ascii="宋体" w:hAnsi="宋体"/>
          <w:kern w:val="44"/>
        </w:rPr>
      </w:pPr>
      <w:r>
        <w:rPr>
          <w:rFonts w:hint="eastAsia" w:ascii="宋体" w:hAnsi="宋体"/>
          <w:kern w:val="44"/>
        </w:rPr>
        <w:t>（三）未按照规定超车的；</w:t>
      </w:r>
    </w:p>
    <w:p w14:paraId="35095773">
      <w:pPr>
        <w:jc w:val="left"/>
        <w:rPr>
          <w:rFonts w:ascii="宋体" w:hAnsi="宋体"/>
          <w:kern w:val="44"/>
        </w:rPr>
      </w:pPr>
      <w:r>
        <w:rPr>
          <w:rFonts w:hint="eastAsia" w:ascii="宋体" w:hAnsi="宋体"/>
          <w:kern w:val="44"/>
        </w:rPr>
        <w:t>（四）并行或者驾驭人离开车辆的；</w:t>
      </w:r>
    </w:p>
    <w:p w14:paraId="509A1C52">
      <w:pPr>
        <w:jc w:val="left"/>
        <w:rPr>
          <w:rFonts w:ascii="宋体" w:hAnsi="宋体"/>
          <w:kern w:val="44"/>
        </w:rPr>
      </w:pPr>
      <w:r>
        <w:rPr>
          <w:rFonts w:hint="eastAsia" w:ascii="宋体" w:hAnsi="宋体"/>
          <w:kern w:val="44"/>
        </w:rPr>
        <w:t>（五）使用未驯服牲畜驾车、随车幼畜未拴系的；</w:t>
      </w:r>
    </w:p>
    <w:p w14:paraId="34EC83E9">
      <w:pPr>
        <w:jc w:val="left"/>
        <w:rPr>
          <w:rFonts w:ascii="宋体" w:hAnsi="宋体"/>
          <w:kern w:val="44"/>
        </w:rPr>
      </w:pPr>
      <w:r>
        <w:rPr>
          <w:rFonts w:hint="eastAsia" w:ascii="宋体" w:hAnsi="宋体"/>
          <w:kern w:val="44"/>
        </w:rPr>
        <w:t>（六）停放车辆时未拉紧车闸、拴系牲畜的。</w:t>
      </w:r>
    </w:p>
    <w:p w14:paraId="2BFD74CF">
      <w:pPr>
        <w:ind w:firstLine="422"/>
        <w:jc w:val="left"/>
        <w:rPr>
          <w:rFonts w:ascii="宋体" w:hAnsi="宋体"/>
          <w:kern w:val="44"/>
        </w:rPr>
      </w:pPr>
      <w:r>
        <w:rPr>
          <w:rFonts w:hint="eastAsia" w:ascii="宋体" w:hAnsi="宋体"/>
          <w:b/>
          <w:kern w:val="44"/>
        </w:rPr>
        <w:t>第八十八条</w:t>
      </w:r>
      <w:r>
        <w:rPr>
          <w:rFonts w:hint="eastAsia" w:ascii="宋体" w:hAnsi="宋体"/>
          <w:kern w:val="44"/>
        </w:rPr>
        <w:t>　非机动车驾驶人、行人和乘车人有下列行为之一的，处50元罚款：</w:t>
      </w:r>
    </w:p>
    <w:p w14:paraId="29B00DFD">
      <w:pPr>
        <w:jc w:val="left"/>
        <w:rPr>
          <w:rFonts w:ascii="宋体" w:hAnsi="宋体"/>
          <w:kern w:val="44"/>
        </w:rPr>
      </w:pPr>
      <w:r>
        <w:rPr>
          <w:rFonts w:hint="eastAsia" w:ascii="宋体" w:hAnsi="宋体"/>
          <w:kern w:val="44"/>
        </w:rPr>
        <w:t>（一）非机动车、行人进入高速公路、城市快速路或者其他封闭的机动车专用道的；</w:t>
      </w:r>
    </w:p>
    <w:p w14:paraId="4B0F5DB9">
      <w:pPr>
        <w:jc w:val="left"/>
        <w:rPr>
          <w:rFonts w:ascii="宋体" w:hAnsi="宋体"/>
          <w:kern w:val="44"/>
        </w:rPr>
      </w:pPr>
      <w:r>
        <w:rPr>
          <w:rFonts w:hint="eastAsia" w:ascii="宋体" w:hAnsi="宋体"/>
          <w:kern w:val="44"/>
        </w:rPr>
        <w:t>（二）醉酒驾驶非机动车的；</w:t>
      </w:r>
    </w:p>
    <w:p w14:paraId="42D9F79E">
      <w:pPr>
        <w:jc w:val="left"/>
        <w:rPr>
          <w:rFonts w:ascii="宋体" w:hAnsi="宋体"/>
          <w:kern w:val="44"/>
        </w:rPr>
      </w:pPr>
      <w:r>
        <w:rPr>
          <w:rFonts w:hint="eastAsia" w:ascii="宋体" w:hAnsi="宋体"/>
          <w:kern w:val="44"/>
        </w:rPr>
        <w:t>（三）驾驶残疾人机动轮椅车、电动自行车最高时速超过15公里的；</w:t>
      </w:r>
    </w:p>
    <w:p w14:paraId="7AC40F5C">
      <w:pPr>
        <w:jc w:val="left"/>
        <w:rPr>
          <w:rFonts w:ascii="宋体" w:hAnsi="宋体"/>
          <w:kern w:val="44"/>
        </w:rPr>
      </w:pPr>
      <w:r>
        <w:rPr>
          <w:rFonts w:hint="eastAsia" w:ascii="宋体" w:hAnsi="宋体"/>
          <w:kern w:val="44"/>
        </w:rPr>
        <w:t>（四）非下肢残疾的人驾驶残疾人机动轮椅车的；</w:t>
      </w:r>
    </w:p>
    <w:p w14:paraId="70B75768">
      <w:pPr>
        <w:jc w:val="left"/>
        <w:rPr>
          <w:rFonts w:ascii="宋体" w:hAnsi="宋体"/>
          <w:kern w:val="44"/>
        </w:rPr>
      </w:pPr>
      <w:r>
        <w:rPr>
          <w:rFonts w:hint="eastAsia" w:ascii="宋体" w:hAnsi="宋体"/>
          <w:kern w:val="44"/>
        </w:rPr>
        <w:t>（五）乘坐摩托车未按照规定佩戴安全头盔的；</w:t>
      </w:r>
    </w:p>
    <w:p w14:paraId="0931B5F9">
      <w:pPr>
        <w:jc w:val="left"/>
        <w:rPr>
          <w:rFonts w:ascii="宋体" w:hAnsi="宋体"/>
          <w:kern w:val="44"/>
        </w:rPr>
      </w:pPr>
      <w:r>
        <w:rPr>
          <w:rFonts w:hint="eastAsia" w:ascii="宋体" w:hAnsi="宋体"/>
          <w:kern w:val="44"/>
        </w:rPr>
        <w:t>（六）乘车人携带易燃易爆危险品的；</w:t>
      </w:r>
    </w:p>
    <w:p w14:paraId="07012A02">
      <w:pPr>
        <w:jc w:val="left"/>
        <w:rPr>
          <w:rFonts w:ascii="宋体" w:hAnsi="宋体"/>
          <w:kern w:val="44"/>
        </w:rPr>
      </w:pPr>
      <w:r>
        <w:rPr>
          <w:rFonts w:hint="eastAsia" w:ascii="宋体" w:hAnsi="宋体"/>
          <w:kern w:val="44"/>
        </w:rPr>
        <w:t>（七）明知驾驶人无驾驶证、饮酒或者身体疲劳不宜驾驶机动车而乘坐的；</w:t>
      </w:r>
    </w:p>
    <w:p w14:paraId="1FD1CBDE">
      <w:pPr>
        <w:jc w:val="left"/>
        <w:rPr>
          <w:rFonts w:ascii="宋体" w:hAnsi="宋体"/>
          <w:kern w:val="44"/>
        </w:rPr>
      </w:pPr>
      <w:r>
        <w:rPr>
          <w:rFonts w:hint="eastAsia" w:ascii="宋体" w:hAnsi="宋体"/>
          <w:kern w:val="44"/>
        </w:rPr>
        <w:t>（八）自行车、三轮车加装动力装置的。</w:t>
      </w:r>
    </w:p>
    <w:p w14:paraId="487F21C0">
      <w:pPr>
        <w:jc w:val="left"/>
        <w:rPr>
          <w:rFonts w:ascii="宋体" w:hAnsi="宋体"/>
          <w:kern w:val="44"/>
        </w:rPr>
      </w:pPr>
      <w:r>
        <w:rPr>
          <w:rFonts w:hint="eastAsia" w:ascii="宋体" w:hAnsi="宋体"/>
          <w:kern w:val="44"/>
        </w:rPr>
        <w:t>对自行车、三轮车加装动力装置的，除给予罚款处罚外，责令拆除加装的动力装置并予以收缴。</w:t>
      </w:r>
    </w:p>
    <w:p w14:paraId="1F549A00">
      <w:pPr>
        <w:ind w:firstLine="422"/>
        <w:jc w:val="left"/>
        <w:rPr>
          <w:rFonts w:ascii="宋体" w:hAnsi="宋体"/>
          <w:kern w:val="44"/>
        </w:rPr>
      </w:pPr>
      <w:r>
        <w:rPr>
          <w:rFonts w:hint="eastAsia" w:ascii="宋体" w:hAnsi="宋体"/>
          <w:b/>
          <w:kern w:val="44"/>
        </w:rPr>
        <w:t>第八十九条</w:t>
      </w:r>
      <w:r>
        <w:rPr>
          <w:rFonts w:hint="eastAsia" w:ascii="宋体" w:hAnsi="宋体"/>
          <w:kern w:val="44"/>
        </w:rPr>
        <w:t>　驾驶机动车有下列情形之一的，处50元罚款：</w:t>
      </w:r>
    </w:p>
    <w:p w14:paraId="7B41CE47">
      <w:pPr>
        <w:jc w:val="left"/>
        <w:rPr>
          <w:rFonts w:ascii="宋体" w:hAnsi="宋体"/>
          <w:kern w:val="44"/>
        </w:rPr>
      </w:pPr>
      <w:r>
        <w:rPr>
          <w:rFonts w:hint="eastAsia" w:ascii="宋体" w:hAnsi="宋体"/>
          <w:kern w:val="44"/>
        </w:rPr>
        <w:t>（一）未按照规定使用安全带的；</w:t>
      </w:r>
    </w:p>
    <w:p w14:paraId="00313574">
      <w:pPr>
        <w:jc w:val="left"/>
        <w:rPr>
          <w:rFonts w:ascii="宋体" w:hAnsi="宋体"/>
          <w:kern w:val="44"/>
        </w:rPr>
      </w:pPr>
      <w:r>
        <w:rPr>
          <w:rFonts w:hint="eastAsia" w:ascii="宋体" w:hAnsi="宋体"/>
          <w:kern w:val="44"/>
        </w:rPr>
        <w:t>（二）驾驶摩托车未按照规定佩戴安全头盔的；</w:t>
      </w:r>
    </w:p>
    <w:p w14:paraId="60898917">
      <w:pPr>
        <w:jc w:val="left"/>
        <w:rPr>
          <w:rFonts w:ascii="宋体" w:hAnsi="宋体"/>
          <w:kern w:val="44"/>
        </w:rPr>
      </w:pPr>
      <w:r>
        <w:rPr>
          <w:rFonts w:hint="eastAsia" w:ascii="宋体" w:hAnsi="宋体"/>
          <w:kern w:val="44"/>
        </w:rPr>
        <w:t>（三）车门、车厢未关好时行车的；</w:t>
      </w:r>
    </w:p>
    <w:p w14:paraId="6DFBDE5F">
      <w:pPr>
        <w:jc w:val="left"/>
        <w:rPr>
          <w:rFonts w:ascii="宋体" w:hAnsi="宋体"/>
          <w:kern w:val="44"/>
        </w:rPr>
      </w:pPr>
      <w:r>
        <w:rPr>
          <w:rFonts w:hint="eastAsia" w:ascii="宋体" w:hAnsi="宋体"/>
          <w:kern w:val="44"/>
        </w:rPr>
        <w:t>（四）未配备有效的灭火器具、反光的故障车警告标志的；</w:t>
      </w:r>
    </w:p>
    <w:p w14:paraId="30DF45A4">
      <w:pPr>
        <w:jc w:val="left"/>
        <w:rPr>
          <w:rFonts w:ascii="宋体" w:hAnsi="宋体"/>
          <w:kern w:val="44"/>
        </w:rPr>
      </w:pPr>
      <w:r>
        <w:rPr>
          <w:rFonts w:hint="eastAsia" w:ascii="宋体" w:hAnsi="宋体"/>
          <w:kern w:val="44"/>
        </w:rPr>
        <w:t>（五）进出停车场或者道路停车泊位妨碍其他车辆或者行人正常通行的。</w:t>
      </w:r>
    </w:p>
    <w:p w14:paraId="45505337">
      <w:pPr>
        <w:ind w:firstLine="422"/>
        <w:jc w:val="left"/>
        <w:rPr>
          <w:rFonts w:ascii="宋体" w:hAnsi="宋体"/>
          <w:kern w:val="44"/>
        </w:rPr>
      </w:pPr>
      <w:r>
        <w:rPr>
          <w:rFonts w:hint="eastAsia" w:ascii="宋体" w:hAnsi="宋体"/>
          <w:b/>
          <w:kern w:val="44"/>
        </w:rPr>
        <w:t>第九十条</w:t>
      </w:r>
      <w:r>
        <w:rPr>
          <w:rFonts w:hint="eastAsia" w:ascii="宋体" w:hAnsi="宋体"/>
          <w:kern w:val="44"/>
        </w:rPr>
        <w:t>　驾驶机动车有下列情形之一的，处100元罚款：</w:t>
      </w:r>
    </w:p>
    <w:p w14:paraId="54E2D33D">
      <w:pPr>
        <w:jc w:val="left"/>
        <w:rPr>
          <w:rFonts w:ascii="宋体" w:hAnsi="宋体"/>
          <w:kern w:val="44"/>
        </w:rPr>
      </w:pPr>
      <w:r>
        <w:rPr>
          <w:rFonts w:hint="eastAsia" w:ascii="宋体" w:hAnsi="宋体"/>
          <w:kern w:val="44"/>
        </w:rPr>
        <w:t>（一）未携带行驶证、驾驶证、驾驶人信息卡的；</w:t>
      </w:r>
    </w:p>
    <w:p w14:paraId="6E251B47">
      <w:pPr>
        <w:jc w:val="left"/>
        <w:rPr>
          <w:rFonts w:ascii="宋体" w:hAnsi="宋体"/>
          <w:kern w:val="44"/>
        </w:rPr>
      </w:pPr>
      <w:r>
        <w:rPr>
          <w:rFonts w:hint="eastAsia" w:ascii="宋体" w:hAnsi="宋体"/>
          <w:kern w:val="44"/>
        </w:rPr>
        <w:t>（二）驾驶证丢失、损毁期间驾驶机动车的；</w:t>
      </w:r>
    </w:p>
    <w:p w14:paraId="0A151509">
      <w:pPr>
        <w:jc w:val="left"/>
        <w:rPr>
          <w:rFonts w:ascii="宋体" w:hAnsi="宋体"/>
          <w:kern w:val="44"/>
        </w:rPr>
      </w:pPr>
      <w:r>
        <w:rPr>
          <w:rFonts w:hint="eastAsia" w:ascii="宋体" w:hAnsi="宋体"/>
          <w:kern w:val="44"/>
        </w:rPr>
        <w:t>（三）驾驶摩托车时手离车把或者在车把上悬挂物品的；</w:t>
      </w:r>
    </w:p>
    <w:p w14:paraId="25971A9F">
      <w:pPr>
        <w:jc w:val="left"/>
        <w:rPr>
          <w:rFonts w:ascii="宋体" w:hAnsi="宋体"/>
          <w:kern w:val="44"/>
        </w:rPr>
      </w:pPr>
      <w:r>
        <w:rPr>
          <w:rFonts w:hint="eastAsia" w:ascii="宋体" w:hAnsi="宋体"/>
          <w:kern w:val="44"/>
        </w:rPr>
        <w:t>（四）在机动车驾驶室的前后窗范围内悬挂、放置或者粘贴、喷涂妨碍安全驾驶的物品或者文字、图案的；</w:t>
      </w:r>
    </w:p>
    <w:p w14:paraId="245B2392">
      <w:pPr>
        <w:jc w:val="left"/>
        <w:rPr>
          <w:rFonts w:ascii="宋体" w:hAnsi="宋体"/>
          <w:kern w:val="44"/>
        </w:rPr>
      </w:pPr>
      <w:r>
        <w:rPr>
          <w:rFonts w:hint="eastAsia" w:ascii="宋体" w:hAnsi="宋体"/>
          <w:kern w:val="44"/>
        </w:rPr>
        <w:t>（五）公路营运客车、重型货车、半挂牵引车未按照规定安装或者使用行驶记录仪的；</w:t>
      </w:r>
    </w:p>
    <w:p w14:paraId="6D6BE9E7">
      <w:pPr>
        <w:jc w:val="left"/>
        <w:rPr>
          <w:rFonts w:ascii="宋体" w:hAnsi="宋体"/>
          <w:kern w:val="44"/>
        </w:rPr>
      </w:pPr>
      <w:r>
        <w:rPr>
          <w:rFonts w:hint="eastAsia" w:ascii="宋体" w:hAnsi="宋体"/>
          <w:kern w:val="44"/>
        </w:rPr>
        <w:t>（六）未按照规定粘贴或者悬挂实习标志的；</w:t>
      </w:r>
    </w:p>
    <w:p w14:paraId="487F12B3">
      <w:pPr>
        <w:jc w:val="left"/>
        <w:rPr>
          <w:rFonts w:ascii="宋体" w:hAnsi="宋体"/>
          <w:kern w:val="44"/>
        </w:rPr>
      </w:pPr>
      <w:r>
        <w:rPr>
          <w:rFonts w:hint="eastAsia" w:ascii="宋体" w:hAnsi="宋体"/>
          <w:kern w:val="44"/>
        </w:rPr>
        <w:t>（七）道路施工养护、环卫清扫、设施维修及绿化等专业作业车辆不符合国家和本市的道路作业车辆安全标准的。</w:t>
      </w:r>
    </w:p>
    <w:p w14:paraId="0CFF2BF1">
      <w:pPr>
        <w:ind w:firstLine="422"/>
        <w:jc w:val="left"/>
        <w:rPr>
          <w:rFonts w:ascii="宋体" w:hAnsi="宋体"/>
          <w:kern w:val="44"/>
        </w:rPr>
      </w:pPr>
      <w:r>
        <w:rPr>
          <w:rFonts w:hint="eastAsia" w:ascii="宋体" w:hAnsi="宋体"/>
          <w:b/>
          <w:kern w:val="44"/>
        </w:rPr>
        <w:t>第九十一条</w:t>
      </w:r>
      <w:r>
        <w:rPr>
          <w:rFonts w:hint="eastAsia" w:ascii="宋体" w:hAnsi="宋体"/>
          <w:kern w:val="44"/>
        </w:rPr>
        <w:t>　驾驶机动车有下列情形之一的，处100元罚款：</w:t>
      </w:r>
    </w:p>
    <w:p w14:paraId="00038473">
      <w:pPr>
        <w:jc w:val="left"/>
        <w:rPr>
          <w:rFonts w:ascii="宋体" w:hAnsi="宋体"/>
          <w:kern w:val="44"/>
        </w:rPr>
      </w:pPr>
      <w:r>
        <w:rPr>
          <w:rFonts w:hint="eastAsia" w:ascii="宋体" w:hAnsi="宋体"/>
          <w:kern w:val="44"/>
        </w:rPr>
        <w:t>（一）在没有划分中心线和机动车、非机动车分道线的道路上，未按照规定行驶的；</w:t>
      </w:r>
    </w:p>
    <w:p w14:paraId="6B9B86EA">
      <w:pPr>
        <w:jc w:val="left"/>
        <w:rPr>
          <w:rFonts w:ascii="宋体" w:hAnsi="宋体"/>
          <w:kern w:val="44"/>
        </w:rPr>
      </w:pPr>
      <w:r>
        <w:rPr>
          <w:rFonts w:hint="eastAsia" w:ascii="宋体" w:hAnsi="宋体"/>
          <w:kern w:val="44"/>
        </w:rPr>
        <w:t>（二）违反分道行驶规定的；</w:t>
      </w:r>
    </w:p>
    <w:p w14:paraId="41DDB639">
      <w:pPr>
        <w:jc w:val="left"/>
        <w:rPr>
          <w:rFonts w:ascii="宋体" w:hAnsi="宋体"/>
          <w:kern w:val="44"/>
        </w:rPr>
      </w:pPr>
      <w:r>
        <w:rPr>
          <w:rFonts w:hint="eastAsia" w:ascii="宋体" w:hAnsi="宋体"/>
          <w:kern w:val="44"/>
        </w:rPr>
        <w:t>（三）未按照交通标志、标线指示或者交通警察指挥行驶的；</w:t>
      </w:r>
    </w:p>
    <w:p w14:paraId="79D2248F">
      <w:pPr>
        <w:jc w:val="left"/>
        <w:rPr>
          <w:rFonts w:ascii="宋体" w:hAnsi="宋体"/>
          <w:kern w:val="44"/>
        </w:rPr>
      </w:pPr>
      <w:r>
        <w:rPr>
          <w:rFonts w:hint="eastAsia" w:ascii="宋体" w:hAnsi="宋体"/>
          <w:kern w:val="44"/>
        </w:rPr>
        <w:t>（四）违反限制通行规定的；</w:t>
      </w:r>
    </w:p>
    <w:p w14:paraId="4BF7263A">
      <w:pPr>
        <w:jc w:val="left"/>
        <w:rPr>
          <w:rFonts w:ascii="宋体" w:hAnsi="宋体"/>
          <w:kern w:val="44"/>
        </w:rPr>
      </w:pPr>
      <w:r>
        <w:rPr>
          <w:rFonts w:hint="eastAsia" w:ascii="宋体" w:hAnsi="宋体"/>
          <w:kern w:val="44"/>
        </w:rPr>
        <w:t>（五）未按照规定与前车保持安全距离的；</w:t>
      </w:r>
    </w:p>
    <w:p w14:paraId="30B127C6">
      <w:pPr>
        <w:jc w:val="left"/>
        <w:rPr>
          <w:rFonts w:ascii="宋体" w:hAnsi="宋体"/>
          <w:kern w:val="44"/>
        </w:rPr>
      </w:pPr>
      <w:r>
        <w:rPr>
          <w:rFonts w:hint="eastAsia" w:ascii="宋体" w:hAnsi="宋体"/>
          <w:kern w:val="44"/>
        </w:rPr>
        <w:t>（六）违反倒车规定的；</w:t>
      </w:r>
    </w:p>
    <w:p w14:paraId="5717F844">
      <w:pPr>
        <w:jc w:val="left"/>
        <w:rPr>
          <w:rFonts w:ascii="宋体" w:hAnsi="宋体"/>
          <w:kern w:val="44"/>
        </w:rPr>
      </w:pPr>
      <w:r>
        <w:rPr>
          <w:rFonts w:hint="eastAsia" w:ascii="宋体" w:hAnsi="宋体"/>
          <w:kern w:val="44"/>
        </w:rPr>
        <w:t>（七）违反牵引挂车规定的；</w:t>
      </w:r>
    </w:p>
    <w:p w14:paraId="7B5CCCA5">
      <w:pPr>
        <w:jc w:val="left"/>
        <w:rPr>
          <w:rFonts w:ascii="宋体" w:hAnsi="宋体"/>
          <w:kern w:val="44"/>
        </w:rPr>
      </w:pPr>
      <w:r>
        <w:rPr>
          <w:rFonts w:hint="eastAsia" w:ascii="宋体" w:hAnsi="宋体"/>
          <w:kern w:val="44"/>
        </w:rPr>
        <w:t>（八）违反交替通行规定的；</w:t>
      </w:r>
    </w:p>
    <w:p w14:paraId="5C13497E">
      <w:pPr>
        <w:jc w:val="left"/>
        <w:rPr>
          <w:rFonts w:ascii="宋体" w:hAnsi="宋体"/>
          <w:kern w:val="44"/>
        </w:rPr>
      </w:pPr>
      <w:r>
        <w:rPr>
          <w:rFonts w:hint="eastAsia" w:ascii="宋体" w:hAnsi="宋体"/>
          <w:kern w:val="44"/>
        </w:rPr>
        <w:t>（九）违反试车规定的；</w:t>
      </w:r>
    </w:p>
    <w:p w14:paraId="18506511">
      <w:pPr>
        <w:jc w:val="left"/>
        <w:rPr>
          <w:rFonts w:ascii="宋体" w:hAnsi="宋体"/>
          <w:kern w:val="44"/>
        </w:rPr>
      </w:pPr>
      <w:r>
        <w:rPr>
          <w:rFonts w:hint="eastAsia" w:ascii="宋体" w:hAnsi="宋体"/>
          <w:kern w:val="44"/>
        </w:rPr>
        <w:t>（十）违反灯光使用规定的；</w:t>
      </w:r>
    </w:p>
    <w:p w14:paraId="5383568F">
      <w:pPr>
        <w:jc w:val="left"/>
        <w:rPr>
          <w:rFonts w:ascii="宋体" w:hAnsi="宋体"/>
          <w:kern w:val="44"/>
        </w:rPr>
      </w:pPr>
      <w:r>
        <w:rPr>
          <w:rFonts w:hint="eastAsia" w:ascii="宋体" w:hAnsi="宋体"/>
          <w:kern w:val="44"/>
        </w:rPr>
        <w:t>（十一）违反危险报警闪光灯使用规定的；</w:t>
      </w:r>
    </w:p>
    <w:p w14:paraId="6940671B">
      <w:pPr>
        <w:jc w:val="left"/>
        <w:rPr>
          <w:rFonts w:ascii="宋体" w:hAnsi="宋体"/>
          <w:kern w:val="44"/>
        </w:rPr>
      </w:pPr>
      <w:r>
        <w:rPr>
          <w:rFonts w:hint="eastAsia" w:ascii="宋体" w:hAnsi="宋体"/>
          <w:kern w:val="44"/>
        </w:rPr>
        <w:t>（十二）违反故障机动车牵引规定的；</w:t>
      </w:r>
    </w:p>
    <w:p w14:paraId="49327DED">
      <w:pPr>
        <w:jc w:val="left"/>
        <w:rPr>
          <w:rFonts w:ascii="宋体" w:hAnsi="宋体"/>
          <w:kern w:val="44"/>
        </w:rPr>
      </w:pPr>
      <w:r>
        <w:rPr>
          <w:rFonts w:hint="eastAsia" w:ascii="宋体" w:hAnsi="宋体"/>
          <w:kern w:val="44"/>
        </w:rPr>
        <w:t>（十三）向道路上抛撒物品的；</w:t>
      </w:r>
    </w:p>
    <w:p w14:paraId="63883666">
      <w:pPr>
        <w:jc w:val="left"/>
        <w:rPr>
          <w:rFonts w:ascii="宋体" w:hAnsi="宋体"/>
          <w:kern w:val="44"/>
        </w:rPr>
      </w:pPr>
      <w:r>
        <w:rPr>
          <w:rFonts w:hint="eastAsia" w:ascii="宋体" w:hAnsi="宋体"/>
          <w:kern w:val="44"/>
        </w:rPr>
        <w:t>（十四）违反规定使用喇叭的；</w:t>
      </w:r>
    </w:p>
    <w:p w14:paraId="61620A2D">
      <w:pPr>
        <w:jc w:val="left"/>
        <w:rPr>
          <w:rFonts w:ascii="宋体" w:hAnsi="宋体"/>
          <w:kern w:val="44"/>
        </w:rPr>
      </w:pPr>
      <w:r>
        <w:rPr>
          <w:rFonts w:hint="eastAsia" w:ascii="宋体" w:hAnsi="宋体"/>
          <w:kern w:val="44"/>
        </w:rPr>
        <w:t>（十五）机动车发生故障，未按照规定报警的。</w:t>
      </w:r>
    </w:p>
    <w:p w14:paraId="4AE369D1">
      <w:pPr>
        <w:ind w:firstLine="422"/>
        <w:jc w:val="left"/>
        <w:rPr>
          <w:rFonts w:ascii="宋体" w:hAnsi="宋体"/>
          <w:kern w:val="44"/>
        </w:rPr>
      </w:pPr>
      <w:r>
        <w:rPr>
          <w:rFonts w:hint="eastAsia" w:ascii="宋体" w:hAnsi="宋体"/>
          <w:b/>
          <w:kern w:val="44"/>
        </w:rPr>
        <w:t>第九十二条</w:t>
      </w:r>
      <w:r>
        <w:rPr>
          <w:rFonts w:hint="eastAsia" w:ascii="宋体" w:hAnsi="宋体"/>
          <w:kern w:val="44"/>
        </w:rPr>
        <w:t>　驾驶机动车有下列情形之一的，处100元罚款：</w:t>
      </w:r>
    </w:p>
    <w:p w14:paraId="70323486">
      <w:pPr>
        <w:jc w:val="left"/>
        <w:rPr>
          <w:rFonts w:ascii="宋体" w:hAnsi="宋体"/>
          <w:kern w:val="44"/>
        </w:rPr>
      </w:pPr>
      <w:r>
        <w:rPr>
          <w:rFonts w:hint="eastAsia" w:ascii="宋体" w:hAnsi="宋体"/>
          <w:kern w:val="44"/>
        </w:rPr>
        <w:t>（一）行经交叉路口、环形路口、道路出入口或者进出、穿越道路未按照规定行车、停车或者让行的；</w:t>
      </w:r>
    </w:p>
    <w:p w14:paraId="1AC4A2BD">
      <w:pPr>
        <w:jc w:val="left"/>
        <w:rPr>
          <w:rFonts w:ascii="宋体" w:hAnsi="宋体"/>
          <w:kern w:val="44"/>
        </w:rPr>
      </w:pPr>
      <w:r>
        <w:rPr>
          <w:rFonts w:hint="eastAsia" w:ascii="宋体" w:hAnsi="宋体"/>
          <w:kern w:val="44"/>
        </w:rPr>
        <w:t>（二）通过无交通信号控制路口未减速让行的；</w:t>
      </w:r>
    </w:p>
    <w:p w14:paraId="21FFC0E1">
      <w:pPr>
        <w:jc w:val="left"/>
        <w:rPr>
          <w:rFonts w:ascii="宋体" w:hAnsi="宋体"/>
          <w:kern w:val="44"/>
        </w:rPr>
      </w:pPr>
      <w:r>
        <w:rPr>
          <w:rFonts w:hint="eastAsia" w:ascii="宋体" w:hAnsi="宋体"/>
          <w:kern w:val="44"/>
        </w:rPr>
        <w:t>（三）通过无交通信号或者无管理人员的铁路道口未减速或者停车确认安全的；</w:t>
      </w:r>
    </w:p>
    <w:p w14:paraId="533B0318">
      <w:pPr>
        <w:jc w:val="left"/>
        <w:rPr>
          <w:rFonts w:ascii="宋体" w:hAnsi="宋体"/>
          <w:kern w:val="44"/>
        </w:rPr>
      </w:pPr>
      <w:r>
        <w:rPr>
          <w:rFonts w:hint="eastAsia" w:ascii="宋体" w:hAnsi="宋体"/>
          <w:kern w:val="44"/>
        </w:rPr>
        <w:t>（四）行经无交通信号的道路，遇行人横过道路未按照规定避让的。</w:t>
      </w:r>
    </w:p>
    <w:p w14:paraId="256C9B79">
      <w:pPr>
        <w:ind w:firstLine="422"/>
        <w:jc w:val="left"/>
        <w:rPr>
          <w:rFonts w:ascii="宋体" w:hAnsi="宋体"/>
          <w:kern w:val="44"/>
        </w:rPr>
      </w:pPr>
      <w:r>
        <w:rPr>
          <w:rFonts w:hint="eastAsia" w:ascii="宋体" w:hAnsi="宋体"/>
          <w:b/>
          <w:kern w:val="44"/>
        </w:rPr>
        <w:t>第九十三条</w:t>
      </w:r>
      <w:r>
        <w:rPr>
          <w:rFonts w:hint="eastAsia" w:ascii="宋体" w:hAnsi="宋体"/>
          <w:kern w:val="44"/>
        </w:rPr>
        <w:t>　机动车载人、载物有下列情形之一的，处100元罚款：</w:t>
      </w:r>
    </w:p>
    <w:p w14:paraId="2932E343">
      <w:pPr>
        <w:jc w:val="left"/>
        <w:rPr>
          <w:rFonts w:ascii="宋体" w:hAnsi="宋体"/>
          <w:kern w:val="44"/>
        </w:rPr>
      </w:pPr>
      <w:r>
        <w:rPr>
          <w:rFonts w:hint="eastAsia" w:ascii="宋体" w:hAnsi="宋体"/>
          <w:kern w:val="44"/>
        </w:rPr>
        <w:t>（一）非公路客运车辆载人超过核定人数未达到20％的；</w:t>
      </w:r>
    </w:p>
    <w:p w14:paraId="7E687706">
      <w:pPr>
        <w:jc w:val="left"/>
        <w:rPr>
          <w:rFonts w:ascii="宋体" w:hAnsi="宋体"/>
          <w:kern w:val="44"/>
        </w:rPr>
      </w:pPr>
      <w:r>
        <w:rPr>
          <w:rFonts w:hint="eastAsia" w:ascii="宋体" w:hAnsi="宋体"/>
          <w:kern w:val="44"/>
        </w:rPr>
        <w:t>（二）驾驶摩托车违反规定载人的；</w:t>
      </w:r>
    </w:p>
    <w:p w14:paraId="79BC6939">
      <w:pPr>
        <w:jc w:val="left"/>
        <w:rPr>
          <w:rFonts w:ascii="宋体" w:hAnsi="宋体"/>
          <w:kern w:val="44"/>
        </w:rPr>
      </w:pPr>
      <w:r>
        <w:rPr>
          <w:rFonts w:hint="eastAsia" w:ascii="宋体" w:hAnsi="宋体"/>
          <w:kern w:val="44"/>
        </w:rPr>
        <w:t>（三）驾驶拖拉机违反规定载人的；</w:t>
      </w:r>
    </w:p>
    <w:p w14:paraId="18C479EA">
      <w:pPr>
        <w:jc w:val="left"/>
        <w:rPr>
          <w:rFonts w:ascii="宋体" w:hAnsi="宋体"/>
          <w:kern w:val="44"/>
        </w:rPr>
      </w:pPr>
      <w:r>
        <w:rPr>
          <w:rFonts w:hint="eastAsia" w:ascii="宋体" w:hAnsi="宋体"/>
          <w:kern w:val="44"/>
        </w:rPr>
        <w:t>（四）载客汽车违反规定载货的；</w:t>
      </w:r>
    </w:p>
    <w:p w14:paraId="6A63E084">
      <w:pPr>
        <w:jc w:val="left"/>
        <w:rPr>
          <w:rFonts w:ascii="宋体" w:hAnsi="宋体"/>
          <w:kern w:val="44"/>
        </w:rPr>
      </w:pPr>
      <w:r>
        <w:rPr>
          <w:rFonts w:hint="eastAsia" w:ascii="宋体" w:hAnsi="宋体"/>
          <w:kern w:val="44"/>
        </w:rPr>
        <w:t>（五）违反规定标准载物的；</w:t>
      </w:r>
    </w:p>
    <w:p w14:paraId="5457F13E">
      <w:pPr>
        <w:jc w:val="left"/>
        <w:rPr>
          <w:rFonts w:ascii="宋体" w:hAnsi="宋体"/>
          <w:kern w:val="44"/>
        </w:rPr>
      </w:pPr>
      <w:r>
        <w:rPr>
          <w:rFonts w:hint="eastAsia" w:ascii="宋体" w:hAnsi="宋体"/>
          <w:kern w:val="44"/>
        </w:rPr>
        <w:t>（六）运载超限的不可解体物品，未按照公安机关交通管理部门的规定行驶的。</w:t>
      </w:r>
    </w:p>
    <w:p w14:paraId="06BF4125">
      <w:pPr>
        <w:ind w:firstLine="422"/>
        <w:jc w:val="left"/>
        <w:rPr>
          <w:rFonts w:ascii="宋体" w:hAnsi="宋体"/>
          <w:kern w:val="44"/>
        </w:rPr>
      </w:pPr>
      <w:r>
        <w:rPr>
          <w:rFonts w:hint="eastAsia" w:ascii="宋体" w:hAnsi="宋体"/>
          <w:b/>
          <w:kern w:val="44"/>
        </w:rPr>
        <w:t>第九十四条</w:t>
      </w:r>
      <w:r>
        <w:rPr>
          <w:rFonts w:hint="eastAsia" w:ascii="宋体" w:hAnsi="宋体"/>
          <w:kern w:val="44"/>
        </w:rPr>
        <w:t>　驾驶机动车有下列情形之一的，处200元罚款：</w:t>
      </w:r>
    </w:p>
    <w:p w14:paraId="78E31AC7">
      <w:pPr>
        <w:jc w:val="left"/>
        <w:rPr>
          <w:rFonts w:ascii="宋体" w:hAnsi="宋体"/>
          <w:kern w:val="44"/>
        </w:rPr>
      </w:pPr>
      <w:r>
        <w:rPr>
          <w:rFonts w:hint="eastAsia" w:ascii="宋体" w:hAnsi="宋体"/>
          <w:kern w:val="44"/>
        </w:rPr>
        <w:t>（一）驾驶安全设施不齐全的车辆上道路行驶的；</w:t>
      </w:r>
    </w:p>
    <w:p w14:paraId="67182BB5">
      <w:pPr>
        <w:jc w:val="left"/>
        <w:rPr>
          <w:rFonts w:ascii="宋体" w:hAnsi="宋体"/>
          <w:kern w:val="44"/>
        </w:rPr>
      </w:pPr>
      <w:r>
        <w:rPr>
          <w:rFonts w:hint="eastAsia" w:ascii="宋体" w:hAnsi="宋体"/>
          <w:kern w:val="44"/>
        </w:rPr>
        <w:t>（二）驾驶机件不符合机动车国家安全技术标准的机动车上道路行驶的；</w:t>
      </w:r>
    </w:p>
    <w:p w14:paraId="0D61A058">
      <w:pPr>
        <w:jc w:val="left"/>
        <w:rPr>
          <w:rFonts w:ascii="宋体" w:hAnsi="宋体"/>
          <w:kern w:val="44"/>
        </w:rPr>
      </w:pPr>
      <w:r>
        <w:rPr>
          <w:rFonts w:hint="eastAsia" w:ascii="宋体" w:hAnsi="宋体"/>
          <w:kern w:val="44"/>
        </w:rPr>
        <w:t>（三）服用国家管制的精神药品或者麻醉药品后驾驶机动车的；</w:t>
      </w:r>
    </w:p>
    <w:p w14:paraId="292D1271">
      <w:pPr>
        <w:jc w:val="left"/>
        <w:rPr>
          <w:rFonts w:ascii="宋体" w:hAnsi="宋体"/>
          <w:kern w:val="44"/>
        </w:rPr>
      </w:pPr>
      <w:r>
        <w:rPr>
          <w:rFonts w:hint="eastAsia" w:ascii="宋体" w:hAnsi="宋体"/>
          <w:kern w:val="44"/>
        </w:rPr>
        <w:t>（四）患有妨碍安全驾驶机动车的疾病仍驾驶机动车的；</w:t>
      </w:r>
    </w:p>
    <w:p w14:paraId="657DDB65">
      <w:pPr>
        <w:jc w:val="left"/>
        <w:rPr>
          <w:rFonts w:ascii="宋体" w:hAnsi="宋体"/>
          <w:kern w:val="44"/>
        </w:rPr>
      </w:pPr>
      <w:r>
        <w:rPr>
          <w:rFonts w:hint="eastAsia" w:ascii="宋体" w:hAnsi="宋体"/>
          <w:kern w:val="44"/>
        </w:rPr>
        <w:t>（五）使用他人机动车驾驶证、驾驶人信息卡的。</w:t>
      </w:r>
    </w:p>
    <w:p w14:paraId="10DA7706">
      <w:pPr>
        <w:ind w:firstLine="422"/>
        <w:jc w:val="left"/>
        <w:rPr>
          <w:rFonts w:ascii="宋体" w:hAnsi="宋体"/>
          <w:kern w:val="44"/>
        </w:rPr>
      </w:pPr>
      <w:r>
        <w:rPr>
          <w:rFonts w:hint="eastAsia" w:ascii="宋体" w:hAnsi="宋体"/>
          <w:b/>
          <w:kern w:val="44"/>
        </w:rPr>
        <w:t>第九十五条</w:t>
      </w:r>
      <w:r>
        <w:rPr>
          <w:rFonts w:hint="eastAsia" w:ascii="宋体" w:hAnsi="宋体"/>
          <w:kern w:val="44"/>
        </w:rPr>
        <w:t>　驾驶机动车有下列情形之一的，处200元罚款：</w:t>
      </w:r>
    </w:p>
    <w:p w14:paraId="63F16D9A">
      <w:pPr>
        <w:jc w:val="left"/>
        <w:rPr>
          <w:rFonts w:ascii="宋体" w:hAnsi="宋体"/>
          <w:kern w:val="44"/>
        </w:rPr>
      </w:pPr>
      <w:r>
        <w:rPr>
          <w:rFonts w:hint="eastAsia" w:ascii="宋体" w:hAnsi="宋体"/>
          <w:kern w:val="44"/>
        </w:rPr>
        <w:t>（一）未悬挂机动车号牌的；</w:t>
      </w:r>
    </w:p>
    <w:p w14:paraId="61892907">
      <w:pPr>
        <w:jc w:val="left"/>
        <w:rPr>
          <w:rFonts w:ascii="宋体" w:hAnsi="宋体"/>
          <w:kern w:val="44"/>
        </w:rPr>
      </w:pPr>
      <w:r>
        <w:rPr>
          <w:rFonts w:hint="eastAsia" w:ascii="宋体" w:hAnsi="宋体"/>
          <w:kern w:val="44"/>
        </w:rPr>
        <w:t>（二）未按照规定安装号牌的；</w:t>
      </w:r>
    </w:p>
    <w:p w14:paraId="26B17CAF">
      <w:pPr>
        <w:jc w:val="left"/>
        <w:rPr>
          <w:rFonts w:ascii="宋体" w:hAnsi="宋体"/>
          <w:kern w:val="44"/>
        </w:rPr>
      </w:pPr>
      <w:r>
        <w:rPr>
          <w:rFonts w:hint="eastAsia" w:ascii="宋体" w:hAnsi="宋体"/>
          <w:kern w:val="44"/>
        </w:rPr>
        <w:t>（三）故意遮挡或者污损机动车号牌的；</w:t>
      </w:r>
    </w:p>
    <w:p w14:paraId="632FDF3A">
      <w:pPr>
        <w:jc w:val="left"/>
        <w:rPr>
          <w:rFonts w:ascii="宋体" w:hAnsi="宋体"/>
          <w:kern w:val="44"/>
        </w:rPr>
      </w:pPr>
      <w:r>
        <w:rPr>
          <w:rFonts w:hint="eastAsia" w:ascii="宋体" w:hAnsi="宋体"/>
          <w:kern w:val="44"/>
        </w:rPr>
        <w:t>（四）机动车号牌不清晰或者不完整的；</w:t>
      </w:r>
    </w:p>
    <w:p w14:paraId="735C953E">
      <w:pPr>
        <w:jc w:val="left"/>
        <w:rPr>
          <w:rFonts w:ascii="宋体" w:hAnsi="宋体"/>
          <w:kern w:val="44"/>
        </w:rPr>
      </w:pPr>
      <w:r>
        <w:rPr>
          <w:rFonts w:hint="eastAsia" w:ascii="宋体" w:hAnsi="宋体"/>
          <w:kern w:val="44"/>
        </w:rPr>
        <w:t>（五）改变车身颜色、更换发动机、更换车身或者车架，未办理变更登记的；</w:t>
      </w:r>
    </w:p>
    <w:p w14:paraId="4A53D85D">
      <w:pPr>
        <w:jc w:val="left"/>
        <w:rPr>
          <w:rFonts w:ascii="宋体" w:hAnsi="宋体"/>
          <w:kern w:val="44"/>
        </w:rPr>
      </w:pPr>
      <w:r>
        <w:rPr>
          <w:rFonts w:hint="eastAsia" w:ascii="宋体" w:hAnsi="宋体"/>
          <w:kern w:val="44"/>
        </w:rPr>
        <w:t>（六）货运机动车及其挂车的车身或者车厢后未喷涂放大的牌号、放大的牌号不清晰的；</w:t>
      </w:r>
    </w:p>
    <w:p w14:paraId="04504361">
      <w:pPr>
        <w:jc w:val="left"/>
        <w:rPr>
          <w:rFonts w:ascii="宋体" w:hAnsi="宋体"/>
          <w:kern w:val="44"/>
        </w:rPr>
      </w:pPr>
      <w:r>
        <w:rPr>
          <w:rFonts w:hint="eastAsia" w:ascii="宋体" w:hAnsi="宋体"/>
          <w:kern w:val="44"/>
        </w:rPr>
        <w:t>（七）大、中型客运机动车未按照规定喷涂准乘人数或者经营单位名称的；</w:t>
      </w:r>
    </w:p>
    <w:p w14:paraId="1794A36E">
      <w:pPr>
        <w:jc w:val="left"/>
        <w:rPr>
          <w:rFonts w:ascii="宋体" w:hAnsi="宋体"/>
          <w:kern w:val="44"/>
        </w:rPr>
      </w:pPr>
      <w:r>
        <w:rPr>
          <w:rFonts w:hint="eastAsia" w:ascii="宋体" w:hAnsi="宋体"/>
          <w:kern w:val="44"/>
        </w:rPr>
        <w:t>（八）机动车未按照规定期限进行安全技术检验或者未放置有效的检验合格标志、保险标志、环保合格标志的；</w:t>
      </w:r>
    </w:p>
    <w:p w14:paraId="2E64D5C4">
      <w:pPr>
        <w:jc w:val="left"/>
        <w:rPr>
          <w:rFonts w:ascii="宋体" w:hAnsi="宋体"/>
          <w:kern w:val="44"/>
        </w:rPr>
      </w:pPr>
      <w:r>
        <w:rPr>
          <w:rFonts w:hint="eastAsia" w:ascii="宋体" w:hAnsi="宋体"/>
          <w:kern w:val="44"/>
        </w:rPr>
        <w:t>（九）机动车喷涂、粘贴标识或者车身广告影响安全驾驶的；</w:t>
      </w:r>
    </w:p>
    <w:p w14:paraId="6BC85CDE">
      <w:pPr>
        <w:jc w:val="left"/>
        <w:rPr>
          <w:rFonts w:ascii="宋体" w:hAnsi="宋体"/>
          <w:kern w:val="44"/>
        </w:rPr>
      </w:pPr>
      <w:r>
        <w:rPr>
          <w:rFonts w:hint="eastAsia" w:ascii="宋体" w:hAnsi="宋体"/>
          <w:kern w:val="44"/>
        </w:rPr>
        <w:t>（十）总质量在3.5吨以上的货运汽车、挂车，未按照规定安装侧、后防护装置的。</w:t>
      </w:r>
    </w:p>
    <w:p w14:paraId="436BFD1B">
      <w:pPr>
        <w:ind w:firstLine="422"/>
        <w:jc w:val="left"/>
        <w:rPr>
          <w:rFonts w:ascii="宋体" w:hAnsi="宋体"/>
          <w:kern w:val="44"/>
        </w:rPr>
      </w:pPr>
      <w:r>
        <w:rPr>
          <w:rFonts w:hint="eastAsia" w:ascii="宋体" w:hAnsi="宋体"/>
          <w:b/>
          <w:kern w:val="44"/>
        </w:rPr>
        <w:t>第九十六条</w:t>
      </w:r>
      <w:r>
        <w:rPr>
          <w:rFonts w:hint="eastAsia" w:ascii="宋体" w:hAnsi="宋体"/>
          <w:kern w:val="44"/>
        </w:rPr>
        <w:t>　驾驶机动车有下列情形之一的，处200元罚款：</w:t>
      </w:r>
    </w:p>
    <w:p w14:paraId="7F6C608B">
      <w:pPr>
        <w:jc w:val="left"/>
        <w:rPr>
          <w:rFonts w:ascii="宋体" w:hAnsi="宋体"/>
          <w:kern w:val="44"/>
        </w:rPr>
      </w:pPr>
      <w:r>
        <w:rPr>
          <w:rFonts w:hint="eastAsia" w:ascii="宋体" w:hAnsi="宋体"/>
          <w:kern w:val="44"/>
        </w:rPr>
        <w:t>（一）逆向行驶的；</w:t>
      </w:r>
    </w:p>
    <w:p w14:paraId="3B2EDDEC">
      <w:pPr>
        <w:jc w:val="left"/>
        <w:rPr>
          <w:rFonts w:ascii="宋体" w:hAnsi="宋体"/>
          <w:kern w:val="44"/>
        </w:rPr>
      </w:pPr>
      <w:r>
        <w:rPr>
          <w:rFonts w:hint="eastAsia" w:ascii="宋体" w:hAnsi="宋体"/>
          <w:kern w:val="44"/>
        </w:rPr>
        <w:t>（二）违反规定在专用车道内行驶的；</w:t>
      </w:r>
    </w:p>
    <w:p w14:paraId="70BB04D3">
      <w:pPr>
        <w:jc w:val="left"/>
        <w:rPr>
          <w:rFonts w:ascii="宋体" w:hAnsi="宋体"/>
          <w:kern w:val="44"/>
        </w:rPr>
      </w:pPr>
      <w:r>
        <w:rPr>
          <w:rFonts w:hint="eastAsia" w:ascii="宋体" w:hAnsi="宋体"/>
          <w:kern w:val="44"/>
        </w:rPr>
        <w:t>（三）在划设公交专用车道的道路上，公共汽车、电车违反规定在其他车道内通行的；</w:t>
      </w:r>
    </w:p>
    <w:p w14:paraId="5992A6DD">
      <w:pPr>
        <w:jc w:val="left"/>
        <w:rPr>
          <w:rFonts w:ascii="宋体" w:hAnsi="宋体"/>
          <w:kern w:val="44"/>
        </w:rPr>
      </w:pPr>
      <w:r>
        <w:rPr>
          <w:rFonts w:hint="eastAsia" w:ascii="宋体" w:hAnsi="宋体"/>
          <w:kern w:val="44"/>
        </w:rPr>
        <w:t>（四）违反交通信号灯指示的；</w:t>
      </w:r>
    </w:p>
    <w:p w14:paraId="52FE4270">
      <w:pPr>
        <w:jc w:val="left"/>
        <w:rPr>
          <w:rFonts w:ascii="宋体" w:hAnsi="宋体"/>
          <w:kern w:val="44"/>
        </w:rPr>
      </w:pPr>
      <w:r>
        <w:rPr>
          <w:rFonts w:hint="eastAsia" w:ascii="宋体" w:hAnsi="宋体"/>
          <w:kern w:val="44"/>
        </w:rPr>
        <w:t>（五）违反规定超车的；</w:t>
      </w:r>
    </w:p>
    <w:p w14:paraId="46658629">
      <w:pPr>
        <w:jc w:val="left"/>
        <w:rPr>
          <w:rFonts w:ascii="宋体" w:hAnsi="宋体"/>
          <w:kern w:val="44"/>
        </w:rPr>
      </w:pPr>
      <w:r>
        <w:rPr>
          <w:rFonts w:hint="eastAsia" w:ascii="宋体" w:hAnsi="宋体"/>
          <w:kern w:val="44"/>
        </w:rPr>
        <w:t>（六）违反规定变更车道的；</w:t>
      </w:r>
    </w:p>
    <w:p w14:paraId="1B691197">
      <w:pPr>
        <w:jc w:val="left"/>
        <w:rPr>
          <w:rFonts w:ascii="宋体" w:hAnsi="宋体"/>
          <w:kern w:val="44"/>
        </w:rPr>
      </w:pPr>
      <w:r>
        <w:rPr>
          <w:rFonts w:hint="eastAsia" w:ascii="宋体" w:hAnsi="宋体"/>
          <w:kern w:val="44"/>
        </w:rPr>
        <w:t>（七）违反规定会车的；</w:t>
      </w:r>
    </w:p>
    <w:p w14:paraId="201487A9">
      <w:pPr>
        <w:jc w:val="left"/>
        <w:rPr>
          <w:rFonts w:ascii="宋体" w:hAnsi="宋体"/>
          <w:kern w:val="44"/>
        </w:rPr>
      </w:pPr>
      <w:r>
        <w:rPr>
          <w:rFonts w:hint="eastAsia" w:ascii="宋体" w:hAnsi="宋体"/>
          <w:kern w:val="44"/>
        </w:rPr>
        <w:t>（八）违反规定掉头的；</w:t>
      </w:r>
    </w:p>
    <w:p w14:paraId="0298651E">
      <w:pPr>
        <w:jc w:val="left"/>
        <w:rPr>
          <w:rFonts w:ascii="宋体" w:hAnsi="宋体"/>
          <w:kern w:val="44"/>
        </w:rPr>
      </w:pPr>
      <w:r>
        <w:rPr>
          <w:rFonts w:hint="eastAsia" w:ascii="宋体" w:hAnsi="宋体"/>
          <w:kern w:val="44"/>
        </w:rPr>
        <w:t>（九）变更车道影响本车道内机动车正常行驶的；</w:t>
      </w:r>
    </w:p>
    <w:p w14:paraId="211BC663">
      <w:pPr>
        <w:jc w:val="left"/>
        <w:rPr>
          <w:rFonts w:ascii="宋体" w:hAnsi="宋体"/>
          <w:kern w:val="44"/>
        </w:rPr>
      </w:pPr>
      <w:r>
        <w:rPr>
          <w:rFonts w:hint="eastAsia" w:ascii="宋体" w:hAnsi="宋体"/>
          <w:kern w:val="44"/>
        </w:rPr>
        <w:t>（十）行经人行横道遇行人通过时，未停车让行的；</w:t>
      </w:r>
    </w:p>
    <w:p w14:paraId="3F0ADEFA">
      <w:pPr>
        <w:jc w:val="left"/>
        <w:rPr>
          <w:rFonts w:ascii="宋体" w:hAnsi="宋体"/>
          <w:kern w:val="44"/>
        </w:rPr>
      </w:pPr>
      <w:r>
        <w:rPr>
          <w:rFonts w:hint="eastAsia" w:ascii="宋体" w:hAnsi="宋体"/>
          <w:kern w:val="44"/>
        </w:rPr>
        <w:t>（十一）超过规定时速50％以下的；</w:t>
      </w:r>
    </w:p>
    <w:p w14:paraId="35FFD6BB">
      <w:pPr>
        <w:jc w:val="left"/>
        <w:rPr>
          <w:rFonts w:ascii="宋体" w:hAnsi="宋体"/>
          <w:kern w:val="44"/>
        </w:rPr>
      </w:pPr>
      <w:r>
        <w:rPr>
          <w:rFonts w:hint="eastAsia" w:ascii="宋体" w:hAnsi="宋体"/>
          <w:kern w:val="44"/>
        </w:rPr>
        <w:t>（十二）非公路客运车辆载人超过核定人数达到20％以上的；</w:t>
      </w:r>
    </w:p>
    <w:p w14:paraId="5E6281E4">
      <w:pPr>
        <w:jc w:val="left"/>
        <w:rPr>
          <w:rFonts w:ascii="宋体" w:hAnsi="宋体"/>
          <w:kern w:val="44"/>
        </w:rPr>
      </w:pPr>
      <w:r>
        <w:rPr>
          <w:rFonts w:hint="eastAsia" w:ascii="宋体" w:hAnsi="宋体"/>
          <w:kern w:val="44"/>
        </w:rPr>
        <w:t>（十三）货运机动车违反规定附载作业人员的；</w:t>
      </w:r>
    </w:p>
    <w:p w14:paraId="38FFADF3">
      <w:pPr>
        <w:jc w:val="left"/>
        <w:rPr>
          <w:rFonts w:ascii="宋体" w:hAnsi="宋体"/>
          <w:kern w:val="44"/>
        </w:rPr>
      </w:pPr>
      <w:r>
        <w:rPr>
          <w:rFonts w:hint="eastAsia" w:ascii="宋体" w:hAnsi="宋体"/>
          <w:kern w:val="44"/>
        </w:rPr>
        <w:t>（十四）运载危险化学品未按照规定行驶的；</w:t>
      </w:r>
    </w:p>
    <w:p w14:paraId="06061E87">
      <w:pPr>
        <w:jc w:val="left"/>
        <w:rPr>
          <w:rFonts w:ascii="宋体" w:hAnsi="宋体"/>
          <w:kern w:val="44"/>
        </w:rPr>
      </w:pPr>
      <w:r>
        <w:rPr>
          <w:rFonts w:hint="eastAsia" w:ascii="宋体" w:hAnsi="宋体"/>
          <w:kern w:val="44"/>
        </w:rPr>
        <w:t>（十五）通过铁路道口，违反交通信号或者管理人员指挥的；</w:t>
      </w:r>
    </w:p>
    <w:p w14:paraId="4B9DE62C">
      <w:pPr>
        <w:jc w:val="left"/>
        <w:rPr>
          <w:rFonts w:ascii="宋体" w:hAnsi="宋体"/>
          <w:kern w:val="44"/>
        </w:rPr>
      </w:pPr>
      <w:r>
        <w:rPr>
          <w:rFonts w:hint="eastAsia" w:ascii="宋体" w:hAnsi="宋体"/>
          <w:kern w:val="44"/>
        </w:rPr>
        <w:t>（十六）载运超限物品行经铁路道口，未按照当地铁路部门指定的铁路道口、时间通过的；</w:t>
      </w:r>
    </w:p>
    <w:p w14:paraId="5224025C">
      <w:pPr>
        <w:jc w:val="left"/>
        <w:rPr>
          <w:rFonts w:ascii="宋体" w:hAnsi="宋体"/>
          <w:kern w:val="44"/>
        </w:rPr>
      </w:pPr>
      <w:r>
        <w:rPr>
          <w:rFonts w:hint="eastAsia" w:ascii="宋体" w:hAnsi="宋体"/>
          <w:kern w:val="44"/>
        </w:rPr>
        <w:t>（十七）遇有执行紧急任务的警车、消防车、救护车、工程救险车未按照规定让行的。</w:t>
      </w:r>
    </w:p>
    <w:p w14:paraId="1DFD114B">
      <w:pPr>
        <w:ind w:firstLine="422"/>
        <w:jc w:val="left"/>
        <w:rPr>
          <w:rFonts w:ascii="宋体" w:hAnsi="宋体"/>
          <w:kern w:val="44"/>
        </w:rPr>
      </w:pPr>
      <w:r>
        <w:rPr>
          <w:rFonts w:hint="eastAsia" w:ascii="宋体" w:hAnsi="宋体"/>
          <w:b/>
          <w:kern w:val="44"/>
        </w:rPr>
        <w:t>第九十七条</w:t>
      </w:r>
      <w:r>
        <w:rPr>
          <w:rFonts w:hint="eastAsia" w:ascii="宋体" w:hAnsi="宋体"/>
          <w:kern w:val="44"/>
        </w:rPr>
        <w:t>　驾驶机动车有下列情形之一的，处200元罚款：</w:t>
      </w:r>
    </w:p>
    <w:p w14:paraId="0636065C">
      <w:pPr>
        <w:jc w:val="left"/>
        <w:rPr>
          <w:rFonts w:ascii="宋体" w:hAnsi="宋体"/>
          <w:kern w:val="44"/>
        </w:rPr>
      </w:pPr>
      <w:r>
        <w:rPr>
          <w:rFonts w:hint="eastAsia" w:ascii="宋体" w:hAnsi="宋体"/>
          <w:kern w:val="44"/>
        </w:rPr>
        <w:t>（一）拨打、接听电话、观看电视的；</w:t>
      </w:r>
    </w:p>
    <w:p w14:paraId="6516F3D3">
      <w:pPr>
        <w:jc w:val="left"/>
        <w:rPr>
          <w:rFonts w:ascii="宋体" w:hAnsi="宋体"/>
          <w:kern w:val="44"/>
        </w:rPr>
      </w:pPr>
      <w:r>
        <w:rPr>
          <w:rFonts w:hint="eastAsia" w:ascii="宋体" w:hAnsi="宋体"/>
          <w:kern w:val="44"/>
        </w:rPr>
        <w:t>（二）下陡坡时熄火或者空档滑行的；</w:t>
      </w:r>
    </w:p>
    <w:p w14:paraId="3B4F63AD">
      <w:pPr>
        <w:jc w:val="left"/>
        <w:rPr>
          <w:rFonts w:ascii="宋体" w:hAnsi="宋体"/>
          <w:kern w:val="44"/>
        </w:rPr>
      </w:pPr>
      <w:r>
        <w:rPr>
          <w:rFonts w:hint="eastAsia" w:ascii="宋体" w:hAnsi="宋体"/>
          <w:kern w:val="44"/>
        </w:rPr>
        <w:t>（三）连续驾驶超过4个小时，未停车休息或者停车休息时间少于20分钟的；</w:t>
      </w:r>
    </w:p>
    <w:p w14:paraId="299FD557">
      <w:pPr>
        <w:jc w:val="left"/>
        <w:rPr>
          <w:rFonts w:ascii="宋体" w:hAnsi="宋体"/>
          <w:kern w:val="44"/>
        </w:rPr>
      </w:pPr>
      <w:r>
        <w:rPr>
          <w:rFonts w:hint="eastAsia" w:ascii="宋体" w:hAnsi="宋体"/>
          <w:kern w:val="44"/>
        </w:rPr>
        <w:t>（四）警车、消防车、救护车、工程救险车违反规定使用警报器、标志灯具的；</w:t>
      </w:r>
    </w:p>
    <w:p w14:paraId="760AD7AE">
      <w:pPr>
        <w:jc w:val="left"/>
        <w:rPr>
          <w:rFonts w:ascii="宋体" w:hAnsi="宋体"/>
          <w:kern w:val="44"/>
        </w:rPr>
      </w:pPr>
      <w:r>
        <w:rPr>
          <w:rFonts w:hint="eastAsia" w:ascii="宋体" w:hAnsi="宋体"/>
          <w:kern w:val="44"/>
        </w:rPr>
        <w:t>（五）违反规定在应急车道内行驶或者停车的。</w:t>
      </w:r>
    </w:p>
    <w:p w14:paraId="2235259E">
      <w:pPr>
        <w:ind w:firstLine="422"/>
        <w:jc w:val="left"/>
        <w:rPr>
          <w:rFonts w:ascii="宋体" w:hAnsi="宋体"/>
          <w:kern w:val="44"/>
        </w:rPr>
      </w:pPr>
      <w:r>
        <w:rPr>
          <w:rFonts w:hint="eastAsia" w:ascii="宋体" w:hAnsi="宋体"/>
          <w:b/>
          <w:kern w:val="44"/>
        </w:rPr>
        <w:t>第九十八条</w:t>
      </w:r>
      <w:r>
        <w:rPr>
          <w:rFonts w:hint="eastAsia" w:ascii="宋体" w:hAnsi="宋体"/>
          <w:kern w:val="44"/>
        </w:rPr>
        <w:t>　遇前方道路受阻或者前方车辆排队等候、缓慢行驶时，驾驶机动车有下列情形之一的，处200元罚款：</w:t>
      </w:r>
    </w:p>
    <w:p w14:paraId="03EF66C1">
      <w:pPr>
        <w:jc w:val="left"/>
        <w:rPr>
          <w:rFonts w:ascii="宋体" w:hAnsi="宋体"/>
          <w:kern w:val="44"/>
        </w:rPr>
      </w:pPr>
      <w:r>
        <w:rPr>
          <w:rFonts w:hint="eastAsia" w:ascii="宋体" w:hAnsi="宋体"/>
          <w:kern w:val="44"/>
        </w:rPr>
        <w:t>（一）违反规定进入路口的；</w:t>
      </w:r>
    </w:p>
    <w:p w14:paraId="46EA219E">
      <w:pPr>
        <w:jc w:val="left"/>
        <w:rPr>
          <w:rFonts w:ascii="宋体" w:hAnsi="宋体"/>
          <w:kern w:val="44"/>
        </w:rPr>
      </w:pPr>
      <w:r>
        <w:rPr>
          <w:rFonts w:hint="eastAsia" w:ascii="宋体" w:hAnsi="宋体"/>
          <w:kern w:val="44"/>
        </w:rPr>
        <w:t>（二）违反规定在人行横道或者网状线区域内停车等候的；</w:t>
      </w:r>
    </w:p>
    <w:p w14:paraId="287D0226">
      <w:pPr>
        <w:jc w:val="left"/>
        <w:rPr>
          <w:rFonts w:ascii="宋体" w:hAnsi="宋体"/>
          <w:kern w:val="44"/>
        </w:rPr>
      </w:pPr>
      <w:r>
        <w:rPr>
          <w:rFonts w:hint="eastAsia" w:ascii="宋体" w:hAnsi="宋体"/>
          <w:kern w:val="44"/>
        </w:rPr>
        <w:t>（三）借道超车的；</w:t>
      </w:r>
    </w:p>
    <w:p w14:paraId="0CF2B43C">
      <w:pPr>
        <w:jc w:val="left"/>
        <w:rPr>
          <w:rFonts w:ascii="宋体" w:hAnsi="宋体"/>
          <w:kern w:val="44"/>
        </w:rPr>
      </w:pPr>
      <w:r>
        <w:rPr>
          <w:rFonts w:hint="eastAsia" w:ascii="宋体" w:hAnsi="宋体"/>
          <w:kern w:val="44"/>
        </w:rPr>
        <w:t>（四）占用对面车道的；</w:t>
      </w:r>
    </w:p>
    <w:p w14:paraId="5397739F">
      <w:pPr>
        <w:jc w:val="left"/>
        <w:rPr>
          <w:rFonts w:ascii="宋体" w:hAnsi="宋体"/>
          <w:kern w:val="44"/>
        </w:rPr>
      </w:pPr>
      <w:r>
        <w:rPr>
          <w:rFonts w:hint="eastAsia" w:ascii="宋体" w:hAnsi="宋体"/>
          <w:kern w:val="44"/>
        </w:rPr>
        <w:t>（五）穿插等候车辆的；</w:t>
      </w:r>
    </w:p>
    <w:p w14:paraId="3A877362">
      <w:pPr>
        <w:jc w:val="left"/>
        <w:rPr>
          <w:rFonts w:ascii="宋体" w:hAnsi="宋体"/>
          <w:kern w:val="44"/>
        </w:rPr>
      </w:pPr>
      <w:r>
        <w:rPr>
          <w:rFonts w:hint="eastAsia" w:ascii="宋体" w:hAnsi="宋体"/>
          <w:kern w:val="44"/>
        </w:rPr>
        <w:t>（六）进入非机动车道、人行道行驶的。</w:t>
      </w:r>
    </w:p>
    <w:p w14:paraId="49F33374">
      <w:pPr>
        <w:ind w:firstLine="422"/>
        <w:jc w:val="left"/>
        <w:rPr>
          <w:rFonts w:ascii="宋体" w:hAnsi="宋体"/>
          <w:kern w:val="44"/>
        </w:rPr>
      </w:pPr>
      <w:r>
        <w:rPr>
          <w:rFonts w:hint="eastAsia" w:ascii="宋体" w:hAnsi="宋体"/>
          <w:b/>
          <w:kern w:val="44"/>
        </w:rPr>
        <w:t>第九十九条</w:t>
      </w:r>
      <w:r>
        <w:rPr>
          <w:rFonts w:hint="eastAsia" w:ascii="宋体" w:hAnsi="宋体"/>
          <w:kern w:val="44"/>
        </w:rPr>
        <w:t>　驾驶机动车有下列情形之一的，处200元罚款：</w:t>
      </w:r>
    </w:p>
    <w:p w14:paraId="3716057B">
      <w:pPr>
        <w:jc w:val="left"/>
        <w:rPr>
          <w:rFonts w:ascii="宋体" w:hAnsi="宋体"/>
          <w:kern w:val="44"/>
        </w:rPr>
      </w:pPr>
      <w:r>
        <w:rPr>
          <w:rFonts w:hint="eastAsia" w:ascii="宋体" w:hAnsi="宋体"/>
          <w:kern w:val="44"/>
        </w:rPr>
        <w:t>（一）违反规定停放车辆的；</w:t>
      </w:r>
    </w:p>
    <w:p w14:paraId="45D492D3">
      <w:pPr>
        <w:jc w:val="left"/>
        <w:rPr>
          <w:rFonts w:ascii="宋体" w:hAnsi="宋体"/>
          <w:kern w:val="44"/>
        </w:rPr>
      </w:pPr>
      <w:r>
        <w:rPr>
          <w:rFonts w:hint="eastAsia" w:ascii="宋体" w:hAnsi="宋体"/>
          <w:kern w:val="44"/>
        </w:rPr>
        <w:t>（二）违反规定临时停车的；</w:t>
      </w:r>
    </w:p>
    <w:p w14:paraId="165896D3">
      <w:pPr>
        <w:jc w:val="left"/>
        <w:rPr>
          <w:rFonts w:ascii="宋体" w:hAnsi="宋体"/>
          <w:kern w:val="44"/>
        </w:rPr>
      </w:pPr>
      <w:r>
        <w:rPr>
          <w:rFonts w:hint="eastAsia" w:ascii="宋体" w:hAnsi="宋体"/>
          <w:kern w:val="44"/>
        </w:rPr>
        <w:t>（三）出租汽车违反规定停车上下乘客的；</w:t>
      </w:r>
    </w:p>
    <w:p w14:paraId="32352C5F">
      <w:pPr>
        <w:jc w:val="left"/>
        <w:rPr>
          <w:rFonts w:ascii="宋体" w:hAnsi="宋体"/>
          <w:kern w:val="44"/>
        </w:rPr>
      </w:pPr>
      <w:r>
        <w:rPr>
          <w:rFonts w:hint="eastAsia" w:ascii="宋体" w:hAnsi="宋体"/>
          <w:kern w:val="44"/>
        </w:rPr>
        <w:t>（四）出租汽车违反规定在道路上停车待客、揽客的；</w:t>
      </w:r>
    </w:p>
    <w:p w14:paraId="428E3868">
      <w:pPr>
        <w:jc w:val="left"/>
        <w:rPr>
          <w:rFonts w:ascii="宋体" w:hAnsi="宋体"/>
          <w:kern w:val="44"/>
        </w:rPr>
      </w:pPr>
      <w:r>
        <w:rPr>
          <w:rFonts w:hint="eastAsia" w:ascii="宋体" w:hAnsi="宋体"/>
          <w:kern w:val="44"/>
        </w:rPr>
        <w:t>（五）公共汽车、电车违反驶入停靠站规定的。</w:t>
      </w:r>
    </w:p>
    <w:p w14:paraId="4D1D4694">
      <w:pPr>
        <w:ind w:firstLine="422"/>
        <w:jc w:val="left"/>
        <w:rPr>
          <w:rFonts w:ascii="宋体" w:hAnsi="宋体"/>
          <w:kern w:val="44"/>
        </w:rPr>
      </w:pPr>
      <w:r>
        <w:rPr>
          <w:rFonts w:hint="eastAsia" w:ascii="宋体" w:hAnsi="宋体"/>
          <w:b/>
          <w:kern w:val="44"/>
        </w:rPr>
        <w:t>第一百条</w:t>
      </w:r>
      <w:r>
        <w:rPr>
          <w:rFonts w:hint="eastAsia" w:ascii="宋体" w:hAnsi="宋体"/>
          <w:kern w:val="44"/>
        </w:rPr>
        <w:t>　驾驶机动车发生故障或者事故，有下列情形之一的，处200元罚款：</w:t>
      </w:r>
    </w:p>
    <w:p w14:paraId="4993C748">
      <w:pPr>
        <w:jc w:val="left"/>
        <w:rPr>
          <w:rFonts w:ascii="宋体" w:hAnsi="宋体"/>
          <w:kern w:val="44"/>
        </w:rPr>
      </w:pPr>
      <w:r>
        <w:rPr>
          <w:rFonts w:hint="eastAsia" w:ascii="宋体" w:hAnsi="宋体"/>
          <w:kern w:val="44"/>
        </w:rPr>
        <w:t>（一）未按照规定开启危险报警闪光灯的；</w:t>
      </w:r>
    </w:p>
    <w:p w14:paraId="59B7B986">
      <w:pPr>
        <w:jc w:val="left"/>
        <w:rPr>
          <w:rFonts w:ascii="宋体" w:hAnsi="宋体"/>
          <w:kern w:val="44"/>
        </w:rPr>
      </w:pPr>
      <w:r>
        <w:rPr>
          <w:rFonts w:hint="eastAsia" w:ascii="宋体" w:hAnsi="宋体"/>
          <w:kern w:val="44"/>
        </w:rPr>
        <w:t>（二）未按照规定设置警告标志的；</w:t>
      </w:r>
    </w:p>
    <w:p w14:paraId="21723824">
      <w:pPr>
        <w:jc w:val="left"/>
        <w:rPr>
          <w:rFonts w:ascii="宋体" w:hAnsi="宋体"/>
          <w:kern w:val="44"/>
        </w:rPr>
      </w:pPr>
      <w:r>
        <w:rPr>
          <w:rFonts w:hint="eastAsia" w:ascii="宋体" w:hAnsi="宋体"/>
          <w:kern w:val="44"/>
        </w:rPr>
        <w:t>（三）夜间未开启示廓灯和后位灯的；</w:t>
      </w:r>
    </w:p>
    <w:p w14:paraId="0EFD3A23">
      <w:pPr>
        <w:jc w:val="left"/>
        <w:rPr>
          <w:rFonts w:ascii="宋体" w:hAnsi="宋体"/>
          <w:kern w:val="44"/>
        </w:rPr>
      </w:pPr>
      <w:r>
        <w:rPr>
          <w:rFonts w:hint="eastAsia" w:ascii="宋体" w:hAnsi="宋体"/>
          <w:kern w:val="44"/>
        </w:rPr>
        <w:t>（四）发生交通事故后，未按照规定撤离现场，造成交通堵塞的；</w:t>
      </w:r>
    </w:p>
    <w:p w14:paraId="1EE7542D">
      <w:pPr>
        <w:jc w:val="left"/>
        <w:rPr>
          <w:rFonts w:ascii="宋体" w:hAnsi="宋体"/>
          <w:kern w:val="44"/>
        </w:rPr>
      </w:pPr>
      <w:r>
        <w:rPr>
          <w:rFonts w:hint="eastAsia" w:ascii="宋体" w:hAnsi="宋体"/>
          <w:kern w:val="44"/>
        </w:rPr>
        <w:t>（五）机动车发生故障后尚能移动，未移至不妨碍交通地点的。</w:t>
      </w:r>
    </w:p>
    <w:p w14:paraId="32003A1A">
      <w:pPr>
        <w:ind w:firstLine="422"/>
        <w:jc w:val="left"/>
        <w:rPr>
          <w:rFonts w:ascii="宋体" w:hAnsi="宋体"/>
          <w:kern w:val="44"/>
        </w:rPr>
      </w:pPr>
      <w:r>
        <w:rPr>
          <w:rFonts w:hint="eastAsia" w:ascii="宋体" w:hAnsi="宋体"/>
          <w:b/>
          <w:kern w:val="44"/>
        </w:rPr>
        <w:t>第一百零一条</w:t>
      </w:r>
      <w:r>
        <w:rPr>
          <w:rFonts w:hint="eastAsia" w:ascii="宋体" w:hAnsi="宋体"/>
          <w:kern w:val="44"/>
        </w:rPr>
        <w:t>　学习驾驶或者实习期间驾驶机动车，有下列行为之一的，处200元罚款：</w:t>
      </w:r>
    </w:p>
    <w:p w14:paraId="40536C56">
      <w:pPr>
        <w:jc w:val="left"/>
        <w:rPr>
          <w:rFonts w:ascii="宋体" w:hAnsi="宋体"/>
          <w:kern w:val="44"/>
        </w:rPr>
      </w:pPr>
      <w:r>
        <w:rPr>
          <w:rFonts w:hint="eastAsia" w:ascii="宋体" w:hAnsi="宋体"/>
          <w:kern w:val="44"/>
        </w:rPr>
        <w:t>（一）未按照指定路线、时间学习驾驶或者教练车乘坐无关人员的；</w:t>
      </w:r>
    </w:p>
    <w:p w14:paraId="74926F12">
      <w:pPr>
        <w:jc w:val="left"/>
        <w:rPr>
          <w:rFonts w:ascii="宋体" w:hAnsi="宋体"/>
          <w:kern w:val="44"/>
        </w:rPr>
      </w:pPr>
      <w:r>
        <w:rPr>
          <w:rFonts w:hint="eastAsia" w:ascii="宋体" w:hAnsi="宋体"/>
          <w:kern w:val="44"/>
        </w:rPr>
        <w:t>（二）在实习期间内驾驶禁止驾驶的机动车的；</w:t>
      </w:r>
    </w:p>
    <w:p w14:paraId="04F61EB9">
      <w:pPr>
        <w:jc w:val="left"/>
        <w:rPr>
          <w:rFonts w:ascii="宋体" w:hAnsi="宋体"/>
          <w:kern w:val="44"/>
        </w:rPr>
      </w:pPr>
      <w:r>
        <w:rPr>
          <w:rFonts w:hint="eastAsia" w:ascii="宋体" w:hAnsi="宋体"/>
          <w:kern w:val="44"/>
        </w:rPr>
        <w:t>（三）在实习期间内驾驶机动车在快速车道内行驶的。</w:t>
      </w:r>
    </w:p>
    <w:p w14:paraId="40DA96B7">
      <w:pPr>
        <w:ind w:firstLine="422"/>
        <w:jc w:val="left"/>
        <w:rPr>
          <w:rFonts w:ascii="宋体" w:hAnsi="宋体"/>
          <w:kern w:val="44"/>
        </w:rPr>
      </w:pPr>
      <w:r>
        <w:rPr>
          <w:rFonts w:hint="eastAsia" w:ascii="宋体" w:hAnsi="宋体"/>
          <w:b/>
          <w:kern w:val="44"/>
        </w:rPr>
        <w:t>第一百零二条</w:t>
      </w:r>
      <w:r>
        <w:rPr>
          <w:rFonts w:hint="eastAsia" w:ascii="宋体" w:hAnsi="宋体"/>
          <w:kern w:val="44"/>
        </w:rPr>
        <w:t>　机动车在高速公路、城市快速路行驶，有下列行为之一的，处200元罚款：</w:t>
      </w:r>
    </w:p>
    <w:p w14:paraId="66F60550">
      <w:pPr>
        <w:jc w:val="left"/>
        <w:rPr>
          <w:rFonts w:ascii="宋体" w:hAnsi="宋体"/>
          <w:kern w:val="44"/>
        </w:rPr>
      </w:pPr>
      <w:r>
        <w:rPr>
          <w:rFonts w:hint="eastAsia" w:ascii="宋体" w:hAnsi="宋体"/>
          <w:kern w:val="44"/>
        </w:rPr>
        <w:t>（一）驾驶禁止驶入高速公路的机动车驶入高速公路的；</w:t>
      </w:r>
    </w:p>
    <w:p w14:paraId="2D62A6E8">
      <w:pPr>
        <w:jc w:val="left"/>
        <w:rPr>
          <w:rFonts w:ascii="宋体" w:hAnsi="宋体"/>
          <w:kern w:val="44"/>
        </w:rPr>
      </w:pPr>
      <w:r>
        <w:rPr>
          <w:rFonts w:hint="eastAsia" w:ascii="宋体" w:hAnsi="宋体"/>
          <w:kern w:val="44"/>
        </w:rPr>
        <w:t>（二）非救援车、清障车在高速公路上拖曳、牵引机动车的；</w:t>
      </w:r>
    </w:p>
    <w:p w14:paraId="3D06378E">
      <w:pPr>
        <w:jc w:val="left"/>
        <w:rPr>
          <w:rFonts w:ascii="宋体" w:hAnsi="宋体"/>
          <w:kern w:val="44"/>
        </w:rPr>
      </w:pPr>
      <w:r>
        <w:rPr>
          <w:rFonts w:hint="eastAsia" w:ascii="宋体" w:hAnsi="宋体"/>
          <w:kern w:val="44"/>
        </w:rPr>
        <w:t>（三）救援车、清障车执行救援、清障任务时，未开启示警灯和危险报警闪光灯的；</w:t>
      </w:r>
    </w:p>
    <w:p w14:paraId="5FC379E0">
      <w:pPr>
        <w:jc w:val="left"/>
        <w:rPr>
          <w:rFonts w:ascii="宋体" w:hAnsi="宋体"/>
          <w:kern w:val="44"/>
        </w:rPr>
      </w:pPr>
      <w:r>
        <w:rPr>
          <w:rFonts w:hint="eastAsia" w:ascii="宋体" w:hAnsi="宋体"/>
          <w:kern w:val="44"/>
        </w:rPr>
        <w:t>（四）行驶速度低于规定的最低时速的；</w:t>
      </w:r>
    </w:p>
    <w:p w14:paraId="68971909">
      <w:pPr>
        <w:jc w:val="left"/>
        <w:rPr>
          <w:rFonts w:ascii="宋体" w:hAnsi="宋体"/>
          <w:kern w:val="44"/>
        </w:rPr>
      </w:pPr>
      <w:r>
        <w:rPr>
          <w:rFonts w:hint="eastAsia" w:ascii="宋体" w:hAnsi="宋体"/>
          <w:kern w:val="44"/>
        </w:rPr>
        <w:t>（五）未按照规定保持行车间距的；</w:t>
      </w:r>
    </w:p>
    <w:p w14:paraId="27A0E29D">
      <w:pPr>
        <w:jc w:val="left"/>
        <w:rPr>
          <w:rFonts w:ascii="宋体" w:hAnsi="宋体"/>
          <w:kern w:val="44"/>
        </w:rPr>
      </w:pPr>
      <w:r>
        <w:rPr>
          <w:rFonts w:hint="eastAsia" w:ascii="宋体" w:hAnsi="宋体"/>
          <w:kern w:val="44"/>
        </w:rPr>
        <w:t>（六）低能见度气象条件下未按照规定行驶的；</w:t>
      </w:r>
    </w:p>
    <w:p w14:paraId="76240CB9">
      <w:pPr>
        <w:jc w:val="left"/>
        <w:rPr>
          <w:rFonts w:ascii="宋体" w:hAnsi="宋体"/>
          <w:kern w:val="44"/>
        </w:rPr>
      </w:pPr>
      <w:r>
        <w:rPr>
          <w:rFonts w:hint="eastAsia" w:ascii="宋体" w:hAnsi="宋体"/>
          <w:kern w:val="44"/>
        </w:rPr>
        <w:t>（七）倒车、逆行、穿越中央分隔带掉头或者在车行道内停车的；</w:t>
      </w:r>
    </w:p>
    <w:p w14:paraId="01068626">
      <w:pPr>
        <w:jc w:val="left"/>
        <w:rPr>
          <w:rFonts w:ascii="宋体" w:hAnsi="宋体"/>
          <w:kern w:val="44"/>
        </w:rPr>
      </w:pPr>
      <w:r>
        <w:rPr>
          <w:rFonts w:hint="eastAsia" w:ascii="宋体" w:hAnsi="宋体"/>
          <w:kern w:val="44"/>
        </w:rPr>
        <w:t>（八）在匝道、加速车道或者减速车道上超车的；</w:t>
      </w:r>
    </w:p>
    <w:p w14:paraId="53E08540">
      <w:pPr>
        <w:jc w:val="left"/>
        <w:rPr>
          <w:rFonts w:ascii="宋体" w:hAnsi="宋体"/>
          <w:kern w:val="44"/>
        </w:rPr>
      </w:pPr>
      <w:r>
        <w:rPr>
          <w:rFonts w:hint="eastAsia" w:ascii="宋体" w:hAnsi="宋体"/>
          <w:kern w:val="44"/>
        </w:rPr>
        <w:t>（九）骑、轧车行道分界线或者在路肩上行驶的；</w:t>
      </w:r>
    </w:p>
    <w:p w14:paraId="27DA64A9">
      <w:pPr>
        <w:jc w:val="left"/>
        <w:rPr>
          <w:rFonts w:ascii="宋体" w:hAnsi="宋体"/>
          <w:kern w:val="44"/>
        </w:rPr>
      </w:pPr>
      <w:r>
        <w:rPr>
          <w:rFonts w:hint="eastAsia" w:ascii="宋体" w:hAnsi="宋体"/>
          <w:kern w:val="44"/>
        </w:rPr>
        <w:t>（十）试车或者学习驾驶机动车的；</w:t>
      </w:r>
    </w:p>
    <w:p w14:paraId="73ED89CA">
      <w:pPr>
        <w:jc w:val="left"/>
        <w:rPr>
          <w:rFonts w:ascii="宋体" w:hAnsi="宋体"/>
          <w:kern w:val="44"/>
        </w:rPr>
      </w:pPr>
      <w:r>
        <w:rPr>
          <w:rFonts w:hint="eastAsia" w:ascii="宋体" w:hAnsi="宋体"/>
          <w:kern w:val="44"/>
        </w:rPr>
        <w:t>（十一）货运机动车车厢内载人的；</w:t>
      </w:r>
    </w:p>
    <w:p w14:paraId="21CB101E">
      <w:pPr>
        <w:jc w:val="left"/>
        <w:rPr>
          <w:rFonts w:ascii="宋体" w:hAnsi="宋体"/>
          <w:kern w:val="44"/>
        </w:rPr>
      </w:pPr>
      <w:r>
        <w:rPr>
          <w:rFonts w:hint="eastAsia" w:ascii="宋体" w:hAnsi="宋体"/>
          <w:kern w:val="44"/>
        </w:rPr>
        <w:t>（十二）二轮摩托车载人的。</w:t>
      </w:r>
    </w:p>
    <w:p w14:paraId="416D1BCD">
      <w:pPr>
        <w:ind w:firstLine="422"/>
        <w:jc w:val="left"/>
        <w:rPr>
          <w:rFonts w:ascii="宋体" w:hAnsi="宋体"/>
          <w:kern w:val="44"/>
        </w:rPr>
      </w:pPr>
      <w:r>
        <w:rPr>
          <w:rFonts w:hint="eastAsia" w:ascii="宋体" w:hAnsi="宋体"/>
          <w:b/>
          <w:kern w:val="44"/>
        </w:rPr>
        <w:t>第一百零三条</w:t>
      </w:r>
      <w:r>
        <w:rPr>
          <w:rFonts w:hint="eastAsia" w:ascii="宋体" w:hAnsi="宋体"/>
          <w:kern w:val="44"/>
        </w:rPr>
        <w:t>　违反本办法第二十九条规定的，由公安机关交通管理部门责令停止违法行为，恢复原状。</w:t>
      </w:r>
    </w:p>
    <w:p w14:paraId="62E627DD">
      <w:pPr>
        <w:ind w:firstLine="422"/>
        <w:jc w:val="left"/>
        <w:rPr>
          <w:rFonts w:ascii="宋体" w:hAnsi="宋体"/>
          <w:kern w:val="44"/>
        </w:rPr>
      </w:pPr>
      <w:r>
        <w:rPr>
          <w:rFonts w:hint="eastAsia" w:ascii="宋体" w:hAnsi="宋体"/>
          <w:b/>
          <w:kern w:val="44"/>
        </w:rPr>
        <w:t>第一百零四条</w:t>
      </w:r>
      <w:r>
        <w:rPr>
          <w:rFonts w:hint="eastAsia" w:ascii="宋体" w:hAnsi="宋体"/>
          <w:kern w:val="44"/>
        </w:rPr>
        <w:t>　违反本办法第三十一条、第三十二条、第六十条规定的，由公安机关交通管理部门责令施工作业单位立即改正，消除道路交通安全隐患；不能立即消除隐患的，责令停止作业。</w:t>
      </w:r>
    </w:p>
    <w:p w14:paraId="0C958615">
      <w:pPr>
        <w:ind w:firstLine="422"/>
        <w:jc w:val="left"/>
        <w:rPr>
          <w:rFonts w:ascii="宋体" w:hAnsi="宋体"/>
          <w:kern w:val="44"/>
        </w:rPr>
      </w:pPr>
      <w:r>
        <w:rPr>
          <w:rFonts w:hint="eastAsia" w:ascii="宋体" w:hAnsi="宋体"/>
          <w:b/>
          <w:kern w:val="44"/>
        </w:rPr>
        <w:t>第一百零五条</w:t>
      </w:r>
      <w:r>
        <w:rPr>
          <w:rFonts w:hint="eastAsia" w:ascii="宋体" w:hAnsi="宋体"/>
          <w:kern w:val="44"/>
        </w:rPr>
        <w:t>　违反本办法第七十六条规定，未履行道路交通安全防范责任制度的，由公安机关交通管理部门责令限期改正；逾期不改正的，禁止其机动车上道路行驶。</w:t>
      </w:r>
    </w:p>
    <w:p w14:paraId="33848E7B">
      <w:pPr>
        <w:ind w:firstLine="422"/>
        <w:jc w:val="left"/>
        <w:rPr>
          <w:rFonts w:ascii="宋体" w:hAnsi="宋体"/>
          <w:kern w:val="44"/>
        </w:rPr>
      </w:pPr>
      <w:r>
        <w:rPr>
          <w:rFonts w:hint="eastAsia" w:ascii="宋体" w:hAnsi="宋体"/>
          <w:b/>
          <w:kern w:val="44"/>
        </w:rPr>
        <w:t>第一百零六条</w:t>
      </w:r>
      <w:r>
        <w:rPr>
          <w:rFonts w:hint="eastAsia" w:ascii="宋体" w:hAnsi="宋体"/>
          <w:kern w:val="44"/>
        </w:rPr>
        <w:t>　对依法应当给予罚款处罚的机动车驾驶人，由交通警察将其交通违法信息录入驾驶人信息卡，并出具行政处罚决定书。机动车驾驶人应当在收到行政处罚决定书之日起15日内，持驾驶人信息卡、处罚决定书到公安机关交通管理部门指定的银行缴纳罚款；当事人也可以自愿采取银行信用卡划拨的方式缴纳罚款。</w:t>
      </w:r>
    </w:p>
    <w:p w14:paraId="506CF1CB">
      <w:pPr>
        <w:ind w:firstLine="422"/>
        <w:jc w:val="left"/>
        <w:rPr>
          <w:rFonts w:ascii="宋体" w:hAnsi="宋体"/>
          <w:kern w:val="44"/>
        </w:rPr>
      </w:pPr>
      <w:r>
        <w:rPr>
          <w:rFonts w:hint="eastAsia" w:ascii="宋体" w:hAnsi="宋体"/>
          <w:b/>
          <w:kern w:val="44"/>
        </w:rPr>
        <w:t>第一百零七条</w:t>
      </w:r>
      <w:r>
        <w:rPr>
          <w:rFonts w:hint="eastAsia" w:ascii="宋体" w:hAnsi="宋体"/>
          <w:kern w:val="44"/>
        </w:rPr>
        <w:t>　公安机关交通管理部门对交通技术监控记录资料确认的交通违法行为，应当向社会公示，公众有权查阅。</w:t>
      </w:r>
    </w:p>
    <w:p w14:paraId="2532F9FD">
      <w:pPr>
        <w:jc w:val="left"/>
        <w:rPr>
          <w:rFonts w:ascii="宋体" w:hAnsi="宋体"/>
          <w:kern w:val="44"/>
        </w:rPr>
      </w:pPr>
      <w:r>
        <w:rPr>
          <w:rFonts w:hint="eastAsia" w:ascii="宋体" w:hAnsi="宋体"/>
          <w:kern w:val="44"/>
        </w:rPr>
        <w:t>公安机关交通管理部门及其交通警察发现机动车有未处理的违法行为记录的，应当通过信函或者手机短信、电子邮件等方式通知机动车所有人或者驾驶人，机动车所有人或者驾驶人应当按照告知的时间、地点接受处理。</w:t>
      </w:r>
    </w:p>
    <w:p w14:paraId="58A953DE">
      <w:pPr>
        <w:jc w:val="left"/>
        <w:rPr>
          <w:rFonts w:ascii="宋体" w:hAnsi="宋体"/>
          <w:kern w:val="44"/>
        </w:rPr>
      </w:pPr>
    </w:p>
    <w:p w14:paraId="481C097D">
      <w:pPr>
        <w:ind w:firstLine="0" w:firstLineChars="0"/>
        <w:jc w:val="center"/>
        <w:rPr>
          <w:rFonts w:ascii="宋体" w:hAnsi="宋体"/>
          <w:b/>
          <w:kern w:val="44"/>
          <w:sz w:val="28"/>
        </w:rPr>
      </w:pPr>
      <w:r>
        <w:rPr>
          <w:rFonts w:hint="eastAsia" w:ascii="宋体" w:hAnsi="宋体"/>
          <w:b/>
          <w:kern w:val="44"/>
          <w:sz w:val="28"/>
        </w:rPr>
        <w:t>第八章　附　则</w:t>
      </w:r>
    </w:p>
    <w:p w14:paraId="1B48341C">
      <w:pPr>
        <w:jc w:val="left"/>
        <w:rPr>
          <w:rFonts w:ascii="宋体" w:hAnsi="宋体"/>
          <w:kern w:val="44"/>
        </w:rPr>
      </w:pPr>
    </w:p>
    <w:p w14:paraId="248D4204">
      <w:pPr>
        <w:ind w:firstLine="422"/>
        <w:jc w:val="left"/>
        <w:rPr>
          <w:rFonts w:ascii="宋体" w:hAnsi="宋体"/>
          <w:kern w:val="44"/>
        </w:rPr>
      </w:pPr>
      <w:r>
        <w:rPr>
          <w:rFonts w:hint="eastAsia" w:ascii="宋体" w:hAnsi="宋体"/>
          <w:b/>
          <w:kern w:val="44"/>
        </w:rPr>
        <w:t>第一百零八条</w:t>
      </w:r>
      <w:r>
        <w:rPr>
          <w:rFonts w:hint="eastAsia" w:ascii="宋体" w:hAnsi="宋体"/>
          <w:kern w:val="44"/>
        </w:rPr>
        <w:t>　本办法自2005年1月1日起施行。</w:t>
      </w:r>
    </w:p>
    <w:p w14:paraId="15FA14F8">
      <w:pPr>
        <w:pStyle w:val="4"/>
        <w:pageBreakBefore/>
        <w:rPr>
          <w:kern w:val="44"/>
        </w:rPr>
      </w:pPr>
      <w:bookmarkStart w:id="547" w:name="_Toc422471163"/>
      <w:bookmarkStart w:id="548" w:name="_Toc428781518"/>
      <w:bookmarkStart w:id="549" w:name="_Toc427651470"/>
      <w:bookmarkStart w:id="550" w:name="_Toc428780036"/>
      <w:bookmarkStart w:id="551" w:name="_Toc427651812"/>
      <w:r>
        <w:rPr>
          <w:rFonts w:hint="eastAsia"/>
          <w:kern w:val="44"/>
        </w:rPr>
        <w:t>北京市公路条例</w:t>
      </w:r>
      <w:bookmarkEnd w:id="547"/>
      <w:bookmarkEnd w:id="548"/>
      <w:bookmarkEnd w:id="549"/>
      <w:bookmarkEnd w:id="550"/>
      <w:bookmarkEnd w:id="551"/>
    </w:p>
    <w:p w14:paraId="47AB4A94">
      <w:pPr>
        <w:ind w:left="630" w:leftChars="300" w:right="630" w:rightChars="300"/>
        <w:jc w:val="left"/>
        <w:rPr>
          <w:rFonts w:ascii="楷体" w:hAnsi="楷体" w:eastAsia="楷体"/>
          <w:kern w:val="44"/>
        </w:rPr>
      </w:pPr>
      <w:r>
        <w:rPr>
          <w:rFonts w:hint="eastAsia" w:ascii="楷体" w:hAnsi="楷体" w:eastAsia="楷体"/>
          <w:kern w:val="44"/>
        </w:rPr>
        <w:t>（2007年7月27日北京市第十二届人民代表大会常务委员会第三十七次会议通过　根据2010年12月23日北京市第十三届人民代表大会常务委员会第二十二次会议《关于修改部分地方性法规的决定》修正）</w:t>
      </w:r>
    </w:p>
    <w:p w14:paraId="4250F65D">
      <w:pPr>
        <w:ind w:left="630" w:leftChars="300" w:right="630" w:rightChars="300"/>
        <w:jc w:val="left"/>
        <w:rPr>
          <w:rFonts w:ascii="楷体" w:hAnsi="楷体" w:eastAsia="楷体"/>
          <w:kern w:val="44"/>
        </w:rPr>
      </w:pPr>
    </w:p>
    <w:p w14:paraId="5BE62798">
      <w:pPr>
        <w:ind w:firstLine="0" w:firstLineChars="0"/>
        <w:jc w:val="center"/>
        <w:rPr>
          <w:rFonts w:ascii="宋体" w:hAnsi="宋体"/>
          <w:b/>
          <w:kern w:val="44"/>
          <w:sz w:val="28"/>
        </w:rPr>
      </w:pPr>
      <w:r>
        <w:rPr>
          <w:rFonts w:hint="eastAsia" w:ascii="宋体" w:hAnsi="宋体"/>
          <w:b/>
          <w:kern w:val="44"/>
          <w:sz w:val="28"/>
        </w:rPr>
        <w:t>第一章　总　则</w:t>
      </w:r>
    </w:p>
    <w:p w14:paraId="6DC873C9">
      <w:pPr>
        <w:ind w:firstLine="0" w:firstLineChars="0"/>
        <w:jc w:val="center"/>
        <w:rPr>
          <w:rFonts w:ascii="宋体" w:hAnsi="宋体"/>
          <w:b/>
          <w:kern w:val="44"/>
          <w:sz w:val="28"/>
        </w:rPr>
      </w:pPr>
    </w:p>
    <w:p w14:paraId="078486AD">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为加强本市公路的建设和管理，促进公路事业发展，根据《中华人民共和国公路法》、《收费公路管理条例》及有关法律、法规，结合本市实际情况，制定本条例。</w:t>
      </w:r>
    </w:p>
    <w:p w14:paraId="040EE6C3">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本条例适用于本市行政区域内公路的规划、建设、养护、收费、使用以及其他相关管理活动。</w:t>
      </w:r>
    </w:p>
    <w:p w14:paraId="7D3AEE8A">
      <w:pPr>
        <w:jc w:val="left"/>
        <w:rPr>
          <w:rFonts w:ascii="宋体" w:hAnsi="宋体"/>
          <w:kern w:val="44"/>
        </w:rPr>
      </w:pPr>
      <w:r>
        <w:rPr>
          <w:rFonts w:hint="eastAsia" w:ascii="宋体" w:hAnsi="宋体"/>
          <w:kern w:val="44"/>
        </w:rPr>
        <w:t>本条例所称公路，包括公路桥梁、隧道和涵洞。按其在公路路网中的地位分为国道、市道、县道、乡道和村道。</w:t>
      </w:r>
    </w:p>
    <w:p w14:paraId="6A60EAB5">
      <w:pPr>
        <w:ind w:firstLine="422"/>
        <w:jc w:val="left"/>
        <w:rPr>
          <w:rFonts w:ascii="宋体" w:hAnsi="宋体"/>
          <w:kern w:val="44"/>
        </w:rPr>
      </w:pPr>
      <w:r>
        <w:rPr>
          <w:rFonts w:hint="eastAsia" w:ascii="宋体" w:hAnsi="宋体"/>
          <w:b/>
          <w:kern w:val="44"/>
        </w:rPr>
        <w:t>第三条</w:t>
      </w:r>
      <w:r>
        <w:rPr>
          <w:rFonts w:hint="eastAsia" w:ascii="宋体" w:hAnsi="宋体"/>
          <w:kern w:val="44"/>
        </w:rPr>
        <w:t>　本市公路的发展应当遵循全面规划、城乡统筹、节约资源、安全环保、科学管理和保障畅通的原则。</w:t>
      </w:r>
    </w:p>
    <w:p w14:paraId="0981D6A8">
      <w:pPr>
        <w:ind w:firstLine="422"/>
        <w:jc w:val="left"/>
        <w:rPr>
          <w:rFonts w:ascii="宋体" w:hAnsi="宋体"/>
          <w:kern w:val="44"/>
        </w:rPr>
      </w:pPr>
      <w:r>
        <w:rPr>
          <w:rFonts w:hint="eastAsia" w:ascii="宋体" w:hAnsi="宋体"/>
          <w:b/>
          <w:kern w:val="44"/>
        </w:rPr>
        <w:t>第四条</w:t>
      </w:r>
      <w:r>
        <w:rPr>
          <w:rFonts w:hint="eastAsia" w:ascii="宋体" w:hAnsi="宋体"/>
          <w:kern w:val="44"/>
        </w:rPr>
        <w:t>　市交通行政管理部门主管本市公路工作。</w:t>
      </w:r>
    </w:p>
    <w:p w14:paraId="04C3B444">
      <w:pPr>
        <w:jc w:val="left"/>
        <w:rPr>
          <w:rFonts w:ascii="宋体" w:hAnsi="宋体"/>
          <w:kern w:val="44"/>
        </w:rPr>
      </w:pPr>
      <w:r>
        <w:rPr>
          <w:rFonts w:hint="eastAsia" w:ascii="宋体" w:hAnsi="宋体"/>
          <w:kern w:val="44"/>
        </w:rPr>
        <w:t>市公路管理机构负责国道、市道、县道的管理工作。区、县人民政府负责本行政区域内乡道、村道的管理工作。市公路管理机构的派出机构按照规定负责监督、检查和指导管辖区域内乡道、村道的建设、养护工作。</w:t>
      </w:r>
    </w:p>
    <w:p w14:paraId="4421B1FB">
      <w:pPr>
        <w:jc w:val="left"/>
        <w:rPr>
          <w:rFonts w:ascii="宋体" w:hAnsi="宋体"/>
          <w:kern w:val="44"/>
        </w:rPr>
      </w:pPr>
      <w:r>
        <w:rPr>
          <w:rFonts w:hint="eastAsia" w:ascii="宋体" w:hAnsi="宋体"/>
          <w:kern w:val="44"/>
        </w:rPr>
        <w:t>乡镇人民政府负责本行政区域内乡道、村道的建设、养护工作。</w:t>
      </w:r>
    </w:p>
    <w:p w14:paraId="0AC2B451">
      <w:pPr>
        <w:jc w:val="left"/>
        <w:rPr>
          <w:rFonts w:ascii="宋体" w:hAnsi="宋体"/>
          <w:kern w:val="44"/>
        </w:rPr>
      </w:pPr>
      <w:r>
        <w:rPr>
          <w:rFonts w:hint="eastAsia" w:ascii="宋体" w:hAnsi="宋体"/>
          <w:kern w:val="44"/>
        </w:rPr>
        <w:t>发展改革、财政、国土资源、规划、建设、环境保护、公安交通等行政管理部门按照各自职责，依法负责公路的相关管理工作。</w:t>
      </w:r>
    </w:p>
    <w:p w14:paraId="0547C87C">
      <w:pPr>
        <w:ind w:firstLine="422"/>
        <w:jc w:val="left"/>
        <w:rPr>
          <w:rFonts w:ascii="宋体" w:hAnsi="宋体"/>
          <w:kern w:val="44"/>
        </w:rPr>
      </w:pPr>
      <w:r>
        <w:rPr>
          <w:rFonts w:hint="eastAsia" w:ascii="宋体" w:hAnsi="宋体"/>
          <w:b/>
          <w:kern w:val="44"/>
        </w:rPr>
        <w:t>第五条</w:t>
      </w:r>
      <w:r>
        <w:rPr>
          <w:rFonts w:hint="eastAsia" w:ascii="宋体" w:hAnsi="宋体"/>
          <w:kern w:val="44"/>
        </w:rPr>
        <w:t>　公路作为公益性基础设施受国家保护。任何单位和个人都有爱护公路、公路用地及公路附属设施的义务，有权检举损毁或者非法占用公路、公路用地及公路附属设施的行为。</w:t>
      </w:r>
    </w:p>
    <w:p w14:paraId="5370A9F6">
      <w:pPr>
        <w:jc w:val="left"/>
        <w:rPr>
          <w:rFonts w:ascii="宋体" w:hAnsi="宋体"/>
          <w:kern w:val="44"/>
        </w:rPr>
      </w:pPr>
    </w:p>
    <w:p w14:paraId="4DBEC18A">
      <w:pPr>
        <w:ind w:firstLine="0" w:firstLineChars="0"/>
        <w:jc w:val="center"/>
        <w:rPr>
          <w:rFonts w:ascii="宋体" w:hAnsi="宋体"/>
          <w:b/>
          <w:kern w:val="44"/>
          <w:sz w:val="28"/>
        </w:rPr>
      </w:pPr>
      <w:r>
        <w:rPr>
          <w:rFonts w:hint="eastAsia" w:ascii="宋体" w:hAnsi="宋体"/>
          <w:b/>
          <w:kern w:val="44"/>
          <w:sz w:val="28"/>
        </w:rPr>
        <w:t>第二章　公路规划与建设</w:t>
      </w:r>
    </w:p>
    <w:p w14:paraId="64CB9665">
      <w:pPr>
        <w:jc w:val="left"/>
        <w:rPr>
          <w:rFonts w:ascii="宋体" w:hAnsi="宋体"/>
          <w:kern w:val="44"/>
        </w:rPr>
      </w:pPr>
    </w:p>
    <w:p w14:paraId="39358174">
      <w:pPr>
        <w:ind w:firstLine="422"/>
        <w:jc w:val="left"/>
        <w:rPr>
          <w:rFonts w:ascii="宋体" w:hAnsi="宋体"/>
          <w:kern w:val="44"/>
        </w:rPr>
      </w:pPr>
      <w:r>
        <w:rPr>
          <w:rFonts w:hint="eastAsia" w:ascii="宋体" w:hAnsi="宋体"/>
          <w:b/>
          <w:kern w:val="44"/>
        </w:rPr>
        <w:t>第六条</w:t>
      </w:r>
      <w:r>
        <w:rPr>
          <w:rFonts w:hint="eastAsia" w:ascii="宋体" w:hAnsi="宋体"/>
          <w:kern w:val="44"/>
        </w:rPr>
        <w:t>　本市公路规划是城乡规划体系的组成部分，应当依据本市城市总体规划、国民经济和社会发展规划、土地利用总体规划编制，并与国家公路网规划、区域公路网规划、本市城市道路网规划和综合交通运输发展规划相协调。公路规划与建设应当坚持节约用地、保护环境的原则。</w:t>
      </w:r>
    </w:p>
    <w:p w14:paraId="29EFCA0F">
      <w:pPr>
        <w:ind w:firstLine="422"/>
        <w:jc w:val="left"/>
        <w:rPr>
          <w:rFonts w:ascii="宋体" w:hAnsi="宋体"/>
          <w:kern w:val="44"/>
        </w:rPr>
      </w:pPr>
      <w:r>
        <w:rPr>
          <w:rFonts w:hint="eastAsia" w:ascii="宋体" w:hAnsi="宋体"/>
          <w:b/>
          <w:kern w:val="44"/>
        </w:rPr>
        <w:t>第七条</w:t>
      </w:r>
      <w:r>
        <w:rPr>
          <w:rFonts w:hint="eastAsia" w:ascii="宋体" w:hAnsi="宋体"/>
          <w:kern w:val="44"/>
        </w:rPr>
        <w:t>　市道、县道、乡道、村道规划由市交通行政管理部门会同市规划、发展改革等行政管理部门商相关区、县人民政府，按照城乡统一规划的原则组织编制，依法报市人民政府批准后实施。市道规划同时报国务院交通主管部门备案。</w:t>
      </w:r>
    </w:p>
    <w:p w14:paraId="189B3E5F">
      <w:pPr>
        <w:ind w:firstLine="422"/>
        <w:jc w:val="left"/>
        <w:rPr>
          <w:rFonts w:ascii="宋体" w:hAnsi="宋体"/>
          <w:kern w:val="44"/>
        </w:rPr>
      </w:pPr>
      <w:r>
        <w:rPr>
          <w:rFonts w:hint="eastAsia" w:ascii="宋体" w:hAnsi="宋体"/>
          <w:b/>
          <w:kern w:val="44"/>
        </w:rPr>
        <w:t>第八条</w:t>
      </w:r>
      <w:r>
        <w:rPr>
          <w:rFonts w:hint="eastAsia" w:ascii="宋体" w:hAnsi="宋体"/>
          <w:kern w:val="44"/>
        </w:rPr>
        <w:t>　市道、县道、乡道的命名和编号，按照《中华人民共和国公路法》的规定执行。村道的命名和编号的确定办法，由市公路管理机构制定。</w:t>
      </w:r>
    </w:p>
    <w:p w14:paraId="07FB4BC9">
      <w:pPr>
        <w:ind w:firstLine="422"/>
        <w:jc w:val="left"/>
        <w:rPr>
          <w:rFonts w:ascii="宋体" w:hAnsi="宋体"/>
          <w:kern w:val="44"/>
        </w:rPr>
      </w:pPr>
      <w:r>
        <w:rPr>
          <w:rFonts w:hint="eastAsia" w:ascii="宋体" w:hAnsi="宋体"/>
          <w:b/>
          <w:kern w:val="44"/>
        </w:rPr>
        <w:t>第九条</w:t>
      </w:r>
      <w:r>
        <w:rPr>
          <w:rFonts w:hint="eastAsia" w:ascii="宋体" w:hAnsi="宋体"/>
          <w:kern w:val="44"/>
        </w:rPr>
        <w:t>　公路年度建设计划由市公路管理机构根据本市公路规划组织编制，报市交通行政管理部门批准后实施。公路年度建设计划应当在上一年度结束前编制完成。</w:t>
      </w:r>
    </w:p>
    <w:p w14:paraId="7F83CA77">
      <w:pPr>
        <w:jc w:val="left"/>
        <w:rPr>
          <w:rFonts w:ascii="宋体" w:hAnsi="宋体"/>
          <w:kern w:val="44"/>
        </w:rPr>
      </w:pPr>
      <w:r>
        <w:rPr>
          <w:rFonts w:hint="eastAsia" w:ascii="宋体" w:hAnsi="宋体"/>
          <w:kern w:val="44"/>
        </w:rPr>
        <w:t>公路建设项目应当按照国家和本市固定资产投资程序履行相关批准手续。</w:t>
      </w:r>
    </w:p>
    <w:p w14:paraId="41BBDD43">
      <w:pPr>
        <w:ind w:firstLine="422"/>
        <w:jc w:val="left"/>
        <w:rPr>
          <w:rFonts w:ascii="宋体" w:hAnsi="宋体"/>
          <w:kern w:val="44"/>
        </w:rPr>
      </w:pPr>
      <w:r>
        <w:rPr>
          <w:rFonts w:hint="eastAsia" w:ascii="宋体" w:hAnsi="宋体"/>
          <w:b/>
          <w:kern w:val="44"/>
        </w:rPr>
        <w:t>第十条</w:t>
      </w:r>
      <w:r>
        <w:rPr>
          <w:rFonts w:hint="eastAsia" w:ascii="宋体" w:hAnsi="宋体"/>
          <w:kern w:val="44"/>
        </w:rPr>
        <w:t>　地下管线年度建设计划应当与公路年度建设计划衔接。</w:t>
      </w:r>
    </w:p>
    <w:p w14:paraId="10CFD946">
      <w:pPr>
        <w:jc w:val="left"/>
        <w:rPr>
          <w:rFonts w:ascii="宋体" w:hAnsi="宋体"/>
          <w:kern w:val="44"/>
        </w:rPr>
      </w:pPr>
      <w:r>
        <w:rPr>
          <w:rFonts w:hint="eastAsia" w:ascii="宋体" w:hAnsi="宋体"/>
          <w:kern w:val="44"/>
        </w:rPr>
        <w:t>新建公路时，地下管线应当与公路同步规划、同步设计，并按照先地下、后地上的施工原则，与公路同步建设。</w:t>
      </w:r>
    </w:p>
    <w:p w14:paraId="7E9930C5">
      <w:pPr>
        <w:ind w:firstLine="422"/>
        <w:jc w:val="left"/>
        <w:rPr>
          <w:rFonts w:ascii="宋体" w:hAnsi="宋体"/>
          <w:kern w:val="44"/>
        </w:rPr>
      </w:pPr>
      <w:r>
        <w:rPr>
          <w:rFonts w:hint="eastAsia" w:ascii="宋体" w:hAnsi="宋体"/>
          <w:b/>
          <w:kern w:val="44"/>
        </w:rPr>
        <w:t>第十一条</w:t>
      </w:r>
      <w:r>
        <w:rPr>
          <w:rFonts w:hint="eastAsia" w:ascii="宋体" w:hAnsi="宋体"/>
          <w:kern w:val="44"/>
        </w:rPr>
        <w:t>　公路建设项目实行代建制的，应当通过招标方式选择代建单位并依法签订合同。交通、发展改革、财政、审计等相关行政管理部门，应当依法加强对公路代建项目和代建单位的监管。</w:t>
      </w:r>
    </w:p>
    <w:p w14:paraId="2A67DD2A">
      <w:pPr>
        <w:ind w:firstLine="422"/>
        <w:jc w:val="left"/>
        <w:rPr>
          <w:rFonts w:ascii="宋体" w:hAnsi="宋体"/>
          <w:kern w:val="44"/>
        </w:rPr>
      </w:pPr>
      <w:r>
        <w:rPr>
          <w:rFonts w:hint="eastAsia" w:ascii="宋体" w:hAnsi="宋体"/>
          <w:b/>
          <w:kern w:val="44"/>
        </w:rPr>
        <w:t>第十二条</w:t>
      </w:r>
      <w:r>
        <w:rPr>
          <w:rFonts w:hint="eastAsia" w:ascii="宋体" w:hAnsi="宋体"/>
          <w:kern w:val="44"/>
        </w:rPr>
        <w:t>　公路建设项目应当按照国家和本市有关规定进行验收。未经验收或者验收不合格的，不得交付使用。</w:t>
      </w:r>
    </w:p>
    <w:p w14:paraId="7BBFEA6A">
      <w:pPr>
        <w:ind w:firstLine="422"/>
        <w:jc w:val="left"/>
        <w:rPr>
          <w:rFonts w:ascii="宋体" w:hAnsi="宋体"/>
          <w:kern w:val="44"/>
        </w:rPr>
      </w:pPr>
      <w:r>
        <w:rPr>
          <w:rFonts w:hint="eastAsia" w:ascii="宋体" w:hAnsi="宋体"/>
          <w:b/>
          <w:kern w:val="44"/>
        </w:rPr>
        <w:t>第十三条</w:t>
      </w:r>
      <w:r>
        <w:rPr>
          <w:rFonts w:hint="eastAsia" w:ascii="宋体" w:hAnsi="宋体"/>
          <w:kern w:val="44"/>
        </w:rPr>
        <w:t>　新建公路时，公路附属设施、公路客运站点应当与公路同步规划、同步设计、同步建设。</w:t>
      </w:r>
    </w:p>
    <w:p w14:paraId="486A19F6">
      <w:pPr>
        <w:jc w:val="left"/>
        <w:rPr>
          <w:rFonts w:ascii="宋体" w:hAnsi="宋体"/>
          <w:kern w:val="44"/>
        </w:rPr>
      </w:pPr>
      <w:r>
        <w:rPr>
          <w:rFonts w:hint="eastAsia" w:ascii="宋体" w:hAnsi="宋体"/>
          <w:kern w:val="44"/>
        </w:rPr>
        <w:t>前款公路附属设施，是指为保护、养护公路和保障公路安全畅通所设置的公路防护、排水、养护、管理、服务、交通安全、监控、检测、通信、收费等设施、设备以及专用建筑物、构筑物等。</w:t>
      </w:r>
    </w:p>
    <w:p w14:paraId="2C55DAC6">
      <w:pPr>
        <w:jc w:val="left"/>
        <w:rPr>
          <w:rFonts w:ascii="宋体" w:hAnsi="宋体"/>
          <w:kern w:val="44"/>
        </w:rPr>
      </w:pPr>
      <w:r>
        <w:rPr>
          <w:rFonts w:hint="eastAsia" w:ascii="宋体" w:hAnsi="宋体"/>
          <w:kern w:val="44"/>
        </w:rPr>
        <w:t>交通标志、标线等公路交通安全设施，应当按照国家和本市有关标准设置，保持清晰、醒目、准确、完好、方便使用。</w:t>
      </w:r>
    </w:p>
    <w:p w14:paraId="7DEEFB3C">
      <w:pPr>
        <w:ind w:firstLine="422"/>
        <w:jc w:val="left"/>
        <w:rPr>
          <w:rFonts w:ascii="宋体" w:hAnsi="宋体"/>
          <w:kern w:val="44"/>
        </w:rPr>
      </w:pPr>
      <w:r>
        <w:rPr>
          <w:rFonts w:hint="eastAsia" w:ascii="宋体" w:hAnsi="宋体"/>
          <w:b/>
          <w:kern w:val="44"/>
        </w:rPr>
        <w:t>第十四条</w:t>
      </w:r>
      <w:r>
        <w:rPr>
          <w:rFonts w:hint="eastAsia" w:ascii="宋体" w:hAnsi="宋体"/>
          <w:kern w:val="44"/>
        </w:rPr>
        <w:t>　市公路管理机构对失去使用功能的市道、县道，区、县人民政府对失去使用功能的乡道、村道，应当宣布废弃，及时向社会公告，并设立明显标志。废弃公路由相关部门按照国家和本市的有关规定及时进行处理。</w:t>
      </w:r>
    </w:p>
    <w:p w14:paraId="621595F8">
      <w:pPr>
        <w:jc w:val="left"/>
        <w:rPr>
          <w:rFonts w:ascii="宋体" w:hAnsi="宋体"/>
          <w:kern w:val="44"/>
        </w:rPr>
      </w:pPr>
    </w:p>
    <w:p w14:paraId="647915C9">
      <w:pPr>
        <w:ind w:firstLine="0" w:firstLineChars="0"/>
        <w:jc w:val="center"/>
        <w:rPr>
          <w:rFonts w:ascii="宋体" w:hAnsi="宋体"/>
          <w:b/>
          <w:kern w:val="44"/>
          <w:sz w:val="28"/>
        </w:rPr>
      </w:pPr>
      <w:r>
        <w:rPr>
          <w:rFonts w:hint="eastAsia" w:ascii="宋体" w:hAnsi="宋体"/>
          <w:b/>
          <w:kern w:val="44"/>
          <w:sz w:val="28"/>
        </w:rPr>
        <w:t>第三章　公路养护</w:t>
      </w:r>
    </w:p>
    <w:p w14:paraId="4D8F3FD3">
      <w:pPr>
        <w:jc w:val="left"/>
        <w:rPr>
          <w:rFonts w:ascii="宋体" w:hAnsi="宋体"/>
          <w:kern w:val="44"/>
        </w:rPr>
      </w:pPr>
    </w:p>
    <w:p w14:paraId="3F838198">
      <w:pPr>
        <w:ind w:firstLine="422"/>
        <w:jc w:val="left"/>
        <w:rPr>
          <w:rFonts w:ascii="宋体" w:hAnsi="宋体"/>
          <w:kern w:val="44"/>
        </w:rPr>
      </w:pPr>
      <w:r>
        <w:rPr>
          <w:rFonts w:hint="eastAsia" w:ascii="宋体" w:hAnsi="宋体"/>
          <w:b/>
          <w:kern w:val="44"/>
        </w:rPr>
        <w:t>第十五条</w:t>
      </w:r>
      <w:r>
        <w:rPr>
          <w:rFonts w:hint="eastAsia" w:ascii="宋体" w:hAnsi="宋体"/>
          <w:kern w:val="44"/>
        </w:rPr>
        <w:t>　公路养护计划由市公路管理机构按照公路等级、里程、路况、养护定额及养护规范评定标准组织编制，报市交通行政管理部门批准后实施。资金安排按照财政预算管理规定执行。</w:t>
      </w:r>
    </w:p>
    <w:p w14:paraId="3AD887F3">
      <w:pPr>
        <w:jc w:val="left"/>
        <w:rPr>
          <w:rFonts w:ascii="宋体" w:hAnsi="宋体"/>
          <w:kern w:val="44"/>
        </w:rPr>
      </w:pPr>
      <w:r>
        <w:rPr>
          <w:rFonts w:hint="eastAsia" w:ascii="宋体" w:hAnsi="宋体"/>
          <w:kern w:val="44"/>
        </w:rPr>
        <w:t>公路养护资金应当专项用于公路养护，不得挪作他用。</w:t>
      </w:r>
    </w:p>
    <w:p w14:paraId="46B5706E">
      <w:pPr>
        <w:ind w:firstLine="422"/>
        <w:jc w:val="left"/>
        <w:rPr>
          <w:rFonts w:ascii="宋体" w:hAnsi="宋体"/>
          <w:kern w:val="44"/>
        </w:rPr>
      </w:pPr>
      <w:r>
        <w:rPr>
          <w:rFonts w:hint="eastAsia" w:ascii="宋体" w:hAnsi="宋体"/>
          <w:b/>
          <w:kern w:val="44"/>
        </w:rPr>
        <w:t>第十六条</w:t>
      </w:r>
      <w:r>
        <w:rPr>
          <w:rFonts w:hint="eastAsia" w:ascii="宋体" w:hAnsi="宋体"/>
          <w:kern w:val="44"/>
        </w:rPr>
        <w:t>　公路养护大修工程、中修工程应当通过招标方式确定养护作业单位；小修保养可以引入竞争机制，逐步推行招标制度。</w:t>
      </w:r>
    </w:p>
    <w:p w14:paraId="1C1153BF">
      <w:pPr>
        <w:ind w:firstLine="422"/>
        <w:jc w:val="left"/>
        <w:rPr>
          <w:rFonts w:ascii="宋体" w:hAnsi="宋体"/>
          <w:kern w:val="44"/>
        </w:rPr>
      </w:pPr>
      <w:r>
        <w:rPr>
          <w:rFonts w:hint="eastAsia" w:ascii="宋体" w:hAnsi="宋体"/>
          <w:b/>
          <w:kern w:val="44"/>
        </w:rPr>
        <w:t>第十七条</w:t>
      </w:r>
      <w:r>
        <w:rPr>
          <w:rFonts w:hint="eastAsia" w:ascii="宋体" w:hAnsi="宋体"/>
          <w:kern w:val="44"/>
        </w:rPr>
        <w:t>　公路养护作业单位应当按照国家和本市有关标准规范，建立公路养护巡查制度，定时进行养护巡查；建立公路养护维修信息档案，记录养护作业、巡查、检测以及其他相关信息；设立公示牌，公示单位名称、养护路段以及报修和投诉电话。</w:t>
      </w:r>
    </w:p>
    <w:p w14:paraId="7083FF71">
      <w:pPr>
        <w:ind w:firstLine="422"/>
        <w:jc w:val="left"/>
        <w:rPr>
          <w:rFonts w:ascii="宋体" w:hAnsi="宋体"/>
          <w:kern w:val="44"/>
        </w:rPr>
      </w:pPr>
      <w:r>
        <w:rPr>
          <w:rFonts w:hint="eastAsia" w:ascii="宋体" w:hAnsi="宋体"/>
          <w:b/>
          <w:kern w:val="44"/>
        </w:rPr>
        <w:t>第十八条</w:t>
      </w:r>
      <w:r>
        <w:rPr>
          <w:rFonts w:hint="eastAsia" w:ascii="宋体" w:hAnsi="宋体"/>
          <w:kern w:val="44"/>
        </w:rPr>
        <w:t>　公路养护作业单位应当按照批准的工期、时段进行养护大修、中修工程作业。</w:t>
      </w:r>
    </w:p>
    <w:p w14:paraId="5F2B0FC4">
      <w:pPr>
        <w:jc w:val="left"/>
        <w:rPr>
          <w:rFonts w:ascii="宋体" w:hAnsi="宋体"/>
          <w:kern w:val="44"/>
        </w:rPr>
      </w:pPr>
      <w:r>
        <w:rPr>
          <w:rFonts w:hint="eastAsia" w:ascii="宋体" w:hAnsi="宋体"/>
          <w:kern w:val="44"/>
        </w:rPr>
        <w:t>公路养护作业单位进行养护作业时，应当按照规定在养护作业现场和养护车辆设置安全警示标志和警示灯光信号，采取相应的安全防护措施。养护作业人员进行养护作业时，应当穿着统一的安全标志服。</w:t>
      </w:r>
    </w:p>
    <w:p w14:paraId="7C07E4BC">
      <w:pPr>
        <w:jc w:val="left"/>
        <w:rPr>
          <w:rFonts w:ascii="宋体" w:hAnsi="宋体"/>
          <w:kern w:val="44"/>
        </w:rPr>
      </w:pPr>
      <w:r>
        <w:rPr>
          <w:rFonts w:hint="eastAsia" w:ascii="宋体" w:hAnsi="宋体"/>
          <w:kern w:val="44"/>
        </w:rPr>
        <w:t>市公路管理机构应当向社会公示公路养护大修、中修工程作业信息。对交通有较大影响的养护大修、中修工程作业，市公安交通管理部门应当依法加强交通安全监督检查。</w:t>
      </w:r>
    </w:p>
    <w:p w14:paraId="6E1CFE51">
      <w:pPr>
        <w:ind w:firstLine="422"/>
        <w:jc w:val="left"/>
        <w:rPr>
          <w:rFonts w:ascii="宋体" w:hAnsi="宋体"/>
          <w:kern w:val="44"/>
        </w:rPr>
      </w:pPr>
      <w:r>
        <w:rPr>
          <w:rFonts w:hint="eastAsia" w:ascii="宋体" w:hAnsi="宋体"/>
          <w:b/>
          <w:kern w:val="44"/>
        </w:rPr>
        <w:t>第十九条</w:t>
      </w:r>
      <w:r>
        <w:rPr>
          <w:rFonts w:hint="eastAsia" w:ascii="宋体" w:hAnsi="宋体"/>
          <w:kern w:val="44"/>
        </w:rPr>
        <w:t>　公路养护车辆进行养护作业时，在不影响过往车辆通行的前提下，其行驶路线和方向不受公路标志、标线限制。过往车辆和行人对公路养护车辆和人员应当注意避让。</w:t>
      </w:r>
    </w:p>
    <w:p w14:paraId="55C19832">
      <w:pPr>
        <w:ind w:firstLine="422"/>
        <w:jc w:val="left"/>
        <w:rPr>
          <w:rFonts w:ascii="宋体" w:hAnsi="宋体"/>
          <w:kern w:val="44"/>
        </w:rPr>
      </w:pPr>
      <w:r>
        <w:rPr>
          <w:rFonts w:hint="eastAsia" w:ascii="宋体" w:hAnsi="宋体"/>
          <w:b/>
          <w:kern w:val="44"/>
        </w:rPr>
        <w:t>第二十条</w:t>
      </w:r>
      <w:r>
        <w:rPr>
          <w:rFonts w:hint="eastAsia" w:ascii="宋体" w:hAnsi="宋体"/>
          <w:kern w:val="44"/>
        </w:rPr>
        <w:t>　市公路管理机构应当制定公路养护技术规范和管理考核标准，加强对公路养护作业单位的指导，定期对公路养护作业单位进行检查。</w:t>
      </w:r>
    </w:p>
    <w:p w14:paraId="0AE19D32">
      <w:pPr>
        <w:ind w:firstLine="422"/>
        <w:jc w:val="left"/>
        <w:rPr>
          <w:rFonts w:ascii="宋体" w:hAnsi="宋体"/>
          <w:kern w:val="44"/>
        </w:rPr>
      </w:pPr>
      <w:r>
        <w:rPr>
          <w:rFonts w:hint="eastAsia" w:ascii="宋体" w:hAnsi="宋体"/>
          <w:b/>
          <w:kern w:val="44"/>
        </w:rPr>
        <w:t>第二十一条</w:t>
      </w:r>
      <w:r>
        <w:rPr>
          <w:rFonts w:hint="eastAsia" w:ascii="宋体" w:hAnsi="宋体"/>
          <w:kern w:val="44"/>
        </w:rPr>
        <w:t>　附设于公路的地下管线的检查井及其井盖等设施，应当符合公路养护技术规范，产权单位应当加强巡查。对因井盖等设施缺损、移位、下沉等影响公路通行安全的，产权单位应当及时补缺或者修复。</w:t>
      </w:r>
    </w:p>
    <w:p w14:paraId="41F17F3B">
      <w:pPr>
        <w:jc w:val="left"/>
        <w:rPr>
          <w:rFonts w:ascii="宋体" w:hAnsi="宋体"/>
          <w:kern w:val="44"/>
        </w:rPr>
      </w:pPr>
    </w:p>
    <w:p w14:paraId="3AD77172">
      <w:pPr>
        <w:ind w:firstLine="0" w:firstLineChars="0"/>
        <w:jc w:val="center"/>
        <w:rPr>
          <w:rFonts w:ascii="宋体" w:hAnsi="宋体"/>
          <w:b/>
          <w:kern w:val="44"/>
          <w:sz w:val="28"/>
        </w:rPr>
      </w:pPr>
      <w:r>
        <w:rPr>
          <w:rFonts w:hint="eastAsia" w:ascii="宋体" w:hAnsi="宋体"/>
          <w:b/>
          <w:kern w:val="44"/>
          <w:sz w:val="28"/>
        </w:rPr>
        <w:t>第四章　路政管理</w:t>
      </w:r>
    </w:p>
    <w:p w14:paraId="5AADE189">
      <w:pPr>
        <w:jc w:val="left"/>
        <w:rPr>
          <w:rFonts w:ascii="宋体" w:hAnsi="宋体"/>
          <w:kern w:val="44"/>
        </w:rPr>
      </w:pPr>
    </w:p>
    <w:p w14:paraId="4E94EC96">
      <w:pPr>
        <w:ind w:firstLine="422"/>
        <w:jc w:val="left"/>
        <w:rPr>
          <w:rFonts w:ascii="宋体" w:hAnsi="宋体"/>
          <w:kern w:val="44"/>
        </w:rPr>
      </w:pPr>
      <w:r>
        <w:rPr>
          <w:rFonts w:hint="eastAsia" w:ascii="宋体" w:hAnsi="宋体"/>
          <w:b/>
          <w:kern w:val="44"/>
        </w:rPr>
        <w:t>第二十二条</w:t>
      </w:r>
      <w:r>
        <w:rPr>
          <w:rFonts w:hint="eastAsia" w:ascii="宋体" w:hAnsi="宋体"/>
          <w:kern w:val="44"/>
        </w:rPr>
        <w:t>　公路用地范围按照以下标准确定：</w:t>
      </w:r>
    </w:p>
    <w:p w14:paraId="29534C77">
      <w:pPr>
        <w:jc w:val="left"/>
        <w:rPr>
          <w:rFonts w:ascii="宋体" w:hAnsi="宋体"/>
          <w:kern w:val="44"/>
        </w:rPr>
      </w:pPr>
      <w:r>
        <w:rPr>
          <w:rFonts w:hint="eastAsia" w:ascii="宋体" w:hAnsi="宋体"/>
          <w:kern w:val="44"/>
        </w:rPr>
        <w:t>（一）公路两侧有边沟的，其用地范围为公路两侧边沟外缘起1米的区域；</w:t>
      </w:r>
    </w:p>
    <w:p w14:paraId="13F0998A">
      <w:pPr>
        <w:jc w:val="left"/>
        <w:rPr>
          <w:rFonts w:ascii="宋体" w:hAnsi="宋体"/>
          <w:kern w:val="44"/>
        </w:rPr>
      </w:pPr>
      <w:r>
        <w:rPr>
          <w:rFonts w:hint="eastAsia" w:ascii="宋体" w:hAnsi="宋体"/>
          <w:kern w:val="44"/>
        </w:rPr>
        <w:t>（二）公路两侧无边沟的，其用地范围为公路路缘石外缘起5米的区域；</w:t>
      </w:r>
    </w:p>
    <w:p w14:paraId="0E6C9110">
      <w:pPr>
        <w:jc w:val="left"/>
        <w:rPr>
          <w:rFonts w:ascii="宋体" w:hAnsi="宋体"/>
          <w:kern w:val="44"/>
        </w:rPr>
      </w:pPr>
      <w:r>
        <w:rPr>
          <w:rFonts w:hint="eastAsia" w:ascii="宋体" w:hAnsi="宋体"/>
          <w:kern w:val="44"/>
        </w:rPr>
        <w:t>（三）封闭公路用地范围为公路两侧隔离栅起1米的区域。</w:t>
      </w:r>
    </w:p>
    <w:p w14:paraId="418B1AB9">
      <w:pPr>
        <w:jc w:val="left"/>
        <w:rPr>
          <w:rFonts w:ascii="宋体" w:hAnsi="宋体"/>
          <w:kern w:val="44"/>
        </w:rPr>
      </w:pPr>
      <w:r>
        <w:rPr>
          <w:rFonts w:hint="eastAsia" w:ascii="宋体" w:hAnsi="宋体"/>
          <w:kern w:val="44"/>
        </w:rPr>
        <w:t>本条例实施前公路的用地范围与上述规定不一致的，按照现状范围确定。</w:t>
      </w:r>
    </w:p>
    <w:p w14:paraId="3D2FFB8F">
      <w:pPr>
        <w:ind w:firstLine="422"/>
        <w:jc w:val="left"/>
        <w:rPr>
          <w:rFonts w:ascii="宋体" w:hAnsi="宋体"/>
          <w:kern w:val="44"/>
        </w:rPr>
      </w:pPr>
      <w:r>
        <w:rPr>
          <w:rFonts w:hint="eastAsia" w:ascii="宋体" w:hAnsi="宋体"/>
          <w:b/>
          <w:kern w:val="44"/>
        </w:rPr>
        <w:t>第二十三条</w:t>
      </w:r>
      <w:r>
        <w:rPr>
          <w:rFonts w:hint="eastAsia" w:ascii="宋体" w:hAnsi="宋体"/>
          <w:kern w:val="44"/>
        </w:rPr>
        <w:t>　公路建筑控制区的范围从公路用地外缘起按照以下标准划定：</w:t>
      </w:r>
    </w:p>
    <w:p w14:paraId="597DEA37">
      <w:pPr>
        <w:jc w:val="left"/>
        <w:rPr>
          <w:rFonts w:ascii="宋体" w:hAnsi="宋体"/>
          <w:kern w:val="44"/>
        </w:rPr>
      </w:pPr>
      <w:r>
        <w:rPr>
          <w:rFonts w:hint="eastAsia" w:ascii="宋体" w:hAnsi="宋体"/>
          <w:kern w:val="44"/>
        </w:rPr>
        <w:t>（一）国道20米，市道15米，县道10米，乡道5米；</w:t>
      </w:r>
    </w:p>
    <w:p w14:paraId="034E91B1">
      <w:pPr>
        <w:jc w:val="left"/>
        <w:rPr>
          <w:rFonts w:ascii="宋体" w:hAnsi="宋体"/>
          <w:kern w:val="44"/>
        </w:rPr>
      </w:pPr>
      <w:r>
        <w:rPr>
          <w:rFonts w:hint="eastAsia" w:ascii="宋体" w:hAnsi="宋体"/>
          <w:kern w:val="44"/>
        </w:rPr>
        <w:t>（二）公路弯道内侧及平交道口，以行车视距或改作立体交叉的需要为准。</w:t>
      </w:r>
    </w:p>
    <w:p w14:paraId="0488F3EE">
      <w:pPr>
        <w:jc w:val="left"/>
        <w:rPr>
          <w:rFonts w:ascii="宋体" w:hAnsi="宋体"/>
          <w:kern w:val="44"/>
        </w:rPr>
      </w:pPr>
      <w:r>
        <w:rPr>
          <w:rFonts w:hint="eastAsia" w:ascii="宋体" w:hAnsi="宋体"/>
          <w:kern w:val="44"/>
        </w:rPr>
        <w:t>除公路防护、养护需要外，禁止在公路建筑控制区内建设建筑物和地面构筑物。公路建筑控制区内已有建筑物、构筑物和埋设的管线、电缆等设施，危及公路安全的，市公路管理机构及其派出机构应当协助其所有人采取必要的安全防护措施。</w:t>
      </w:r>
    </w:p>
    <w:p w14:paraId="4385F34B">
      <w:pPr>
        <w:jc w:val="left"/>
        <w:rPr>
          <w:rFonts w:ascii="宋体" w:hAnsi="宋体"/>
          <w:kern w:val="44"/>
        </w:rPr>
      </w:pPr>
      <w:r>
        <w:rPr>
          <w:rFonts w:hint="eastAsia" w:ascii="宋体" w:hAnsi="宋体"/>
          <w:kern w:val="44"/>
        </w:rPr>
        <w:t>市公路管理机构和区、县人民政府应当按照各自职责，依照本市规定加强公路建筑控制区内的公路绿化建设和养护的管理工作。</w:t>
      </w:r>
    </w:p>
    <w:p w14:paraId="31AD1828">
      <w:pPr>
        <w:ind w:firstLine="422"/>
        <w:jc w:val="left"/>
        <w:rPr>
          <w:rFonts w:ascii="宋体" w:hAnsi="宋体"/>
          <w:kern w:val="44"/>
        </w:rPr>
      </w:pPr>
      <w:r>
        <w:rPr>
          <w:rFonts w:hint="eastAsia" w:ascii="宋体" w:hAnsi="宋体"/>
          <w:b/>
          <w:kern w:val="44"/>
        </w:rPr>
        <w:t>第二十四条</w:t>
      </w:r>
      <w:r>
        <w:rPr>
          <w:rFonts w:hint="eastAsia" w:ascii="宋体" w:hAnsi="宋体"/>
          <w:kern w:val="44"/>
        </w:rPr>
        <w:t>　有下列行为之一的，应当经过市公路管理机构许可：</w:t>
      </w:r>
    </w:p>
    <w:p w14:paraId="6D406886">
      <w:pPr>
        <w:jc w:val="left"/>
        <w:rPr>
          <w:rFonts w:ascii="宋体" w:hAnsi="宋体"/>
          <w:kern w:val="44"/>
        </w:rPr>
      </w:pPr>
      <w:r>
        <w:rPr>
          <w:rFonts w:hint="eastAsia" w:ascii="宋体" w:hAnsi="宋体"/>
          <w:kern w:val="44"/>
        </w:rPr>
        <w:t>（一）占用、挖掘公路或者使公路改线的；</w:t>
      </w:r>
    </w:p>
    <w:p w14:paraId="48627D58">
      <w:pPr>
        <w:jc w:val="left"/>
        <w:rPr>
          <w:rFonts w:ascii="宋体" w:hAnsi="宋体"/>
          <w:kern w:val="44"/>
        </w:rPr>
      </w:pPr>
      <w:r>
        <w:rPr>
          <w:rFonts w:hint="eastAsia" w:ascii="宋体" w:hAnsi="宋体"/>
          <w:kern w:val="44"/>
        </w:rPr>
        <w:t>（二）跨越、穿越公路修建桥梁、渡槽或者架设、埋设管线等设施，以及在公路用地范围内架设、埋设管线、电缆等设施的；</w:t>
      </w:r>
    </w:p>
    <w:p w14:paraId="243AA490">
      <w:pPr>
        <w:jc w:val="left"/>
        <w:rPr>
          <w:rFonts w:ascii="宋体" w:hAnsi="宋体"/>
          <w:kern w:val="44"/>
        </w:rPr>
      </w:pPr>
      <w:r>
        <w:rPr>
          <w:rFonts w:hint="eastAsia" w:ascii="宋体" w:hAnsi="宋体"/>
          <w:kern w:val="44"/>
        </w:rPr>
        <w:t>（三）在公路建筑控制区内埋设管线、电缆等设施的；</w:t>
      </w:r>
    </w:p>
    <w:p w14:paraId="112FA8EB">
      <w:pPr>
        <w:jc w:val="left"/>
        <w:rPr>
          <w:rFonts w:ascii="宋体" w:hAnsi="宋体"/>
          <w:kern w:val="44"/>
        </w:rPr>
      </w:pPr>
      <w:r>
        <w:rPr>
          <w:rFonts w:hint="eastAsia" w:ascii="宋体" w:hAnsi="宋体"/>
          <w:kern w:val="44"/>
        </w:rPr>
        <w:t>（四）铁轮车、履带车和其他可能损害公路路面的机具在公路上行驶的；</w:t>
      </w:r>
    </w:p>
    <w:p w14:paraId="2C4CD52C">
      <w:pPr>
        <w:jc w:val="left"/>
        <w:rPr>
          <w:rFonts w:ascii="宋体" w:hAnsi="宋体"/>
          <w:kern w:val="44"/>
        </w:rPr>
      </w:pPr>
      <w:r>
        <w:rPr>
          <w:rFonts w:hint="eastAsia" w:ascii="宋体" w:hAnsi="宋体"/>
          <w:kern w:val="44"/>
        </w:rPr>
        <w:t>（五）在公路用地范围内设置非公路标志的；</w:t>
      </w:r>
    </w:p>
    <w:p w14:paraId="262EC1F0">
      <w:pPr>
        <w:jc w:val="left"/>
        <w:rPr>
          <w:rFonts w:ascii="宋体" w:hAnsi="宋体"/>
          <w:kern w:val="44"/>
        </w:rPr>
      </w:pPr>
      <w:r>
        <w:rPr>
          <w:rFonts w:hint="eastAsia" w:ascii="宋体" w:hAnsi="宋体"/>
          <w:kern w:val="44"/>
        </w:rPr>
        <w:t>（六）在公路上增设平面交叉道口的；</w:t>
      </w:r>
    </w:p>
    <w:p w14:paraId="703CEAEA">
      <w:pPr>
        <w:jc w:val="left"/>
        <w:rPr>
          <w:rFonts w:ascii="宋体" w:hAnsi="宋体"/>
          <w:kern w:val="44"/>
        </w:rPr>
      </w:pPr>
      <w:r>
        <w:rPr>
          <w:rFonts w:hint="eastAsia" w:ascii="宋体" w:hAnsi="宋体"/>
          <w:kern w:val="44"/>
        </w:rPr>
        <w:t>（七）超过公路限载、限高、限宽、限长标准的车辆确需在公路上行驶的。</w:t>
      </w:r>
    </w:p>
    <w:p w14:paraId="4D333D7A">
      <w:pPr>
        <w:jc w:val="left"/>
        <w:rPr>
          <w:rFonts w:ascii="宋体" w:hAnsi="宋体"/>
          <w:kern w:val="44"/>
        </w:rPr>
      </w:pPr>
      <w:r>
        <w:rPr>
          <w:rFonts w:hint="eastAsia" w:ascii="宋体" w:hAnsi="宋体"/>
          <w:kern w:val="44"/>
        </w:rPr>
        <w:t>从事前款第（一）、（二）项活动，影响交通安全的，还应当征得公安交通管理部门同意；运载不可解体的超限物品，影响交通安全的，应当按照公安交通管理部门指定的时间、路线、速度行驶，并悬挂明显标志。</w:t>
      </w:r>
    </w:p>
    <w:p w14:paraId="39B40445">
      <w:pPr>
        <w:ind w:firstLine="422"/>
        <w:jc w:val="left"/>
        <w:rPr>
          <w:rFonts w:ascii="宋体" w:hAnsi="宋体"/>
          <w:kern w:val="44"/>
        </w:rPr>
      </w:pPr>
      <w:r>
        <w:rPr>
          <w:rFonts w:hint="eastAsia" w:ascii="宋体" w:hAnsi="宋体"/>
          <w:b/>
          <w:kern w:val="44"/>
        </w:rPr>
        <w:t>第二十五条</w:t>
      </w:r>
      <w:r>
        <w:rPr>
          <w:rFonts w:hint="eastAsia" w:ascii="宋体" w:hAnsi="宋体"/>
          <w:kern w:val="44"/>
        </w:rPr>
        <w:t>　申请从事本条例第二十四条规定的行为的，应当符合下列条件：</w:t>
      </w:r>
    </w:p>
    <w:p w14:paraId="6790DDE2">
      <w:pPr>
        <w:jc w:val="left"/>
        <w:rPr>
          <w:rFonts w:ascii="宋体" w:hAnsi="宋体"/>
          <w:kern w:val="44"/>
        </w:rPr>
      </w:pPr>
      <w:r>
        <w:rPr>
          <w:rFonts w:hint="eastAsia" w:ascii="宋体" w:hAnsi="宋体"/>
          <w:kern w:val="44"/>
        </w:rPr>
        <w:t>（一）有保障公路及其附属设施安全和通行安全的防护和监测措施；</w:t>
      </w:r>
    </w:p>
    <w:p w14:paraId="1000A869">
      <w:pPr>
        <w:jc w:val="left"/>
        <w:rPr>
          <w:rFonts w:ascii="宋体" w:hAnsi="宋体"/>
          <w:kern w:val="44"/>
        </w:rPr>
      </w:pPr>
      <w:r>
        <w:rPr>
          <w:rFonts w:hint="eastAsia" w:ascii="宋体" w:hAnsi="宋体"/>
          <w:kern w:val="44"/>
        </w:rPr>
        <w:t>（二）有降低对交通影响的交通组织和作业方案；</w:t>
      </w:r>
    </w:p>
    <w:p w14:paraId="4E628D3A">
      <w:pPr>
        <w:jc w:val="left"/>
        <w:rPr>
          <w:rFonts w:ascii="宋体" w:hAnsi="宋体"/>
          <w:kern w:val="44"/>
        </w:rPr>
      </w:pPr>
      <w:r>
        <w:rPr>
          <w:rFonts w:hint="eastAsia" w:ascii="宋体" w:hAnsi="宋体"/>
          <w:kern w:val="44"/>
        </w:rPr>
        <w:t>（三）有应急准备措施；</w:t>
      </w:r>
    </w:p>
    <w:p w14:paraId="71FD28E6">
      <w:pPr>
        <w:jc w:val="left"/>
        <w:rPr>
          <w:rFonts w:ascii="宋体" w:hAnsi="宋体"/>
          <w:kern w:val="44"/>
        </w:rPr>
      </w:pPr>
      <w:r>
        <w:rPr>
          <w:rFonts w:hint="eastAsia" w:ascii="宋体" w:hAnsi="宋体"/>
          <w:kern w:val="44"/>
        </w:rPr>
        <w:t>（四）法律、法规和规章规定的其他条件。</w:t>
      </w:r>
    </w:p>
    <w:p w14:paraId="0A6FB9D4">
      <w:pPr>
        <w:ind w:firstLine="422"/>
        <w:jc w:val="left"/>
        <w:rPr>
          <w:rFonts w:ascii="宋体" w:hAnsi="宋体"/>
          <w:kern w:val="44"/>
        </w:rPr>
      </w:pPr>
      <w:r>
        <w:rPr>
          <w:rFonts w:hint="eastAsia" w:ascii="宋体" w:hAnsi="宋体"/>
          <w:b/>
          <w:kern w:val="44"/>
        </w:rPr>
        <w:t>第二十六条</w:t>
      </w:r>
      <w:r>
        <w:rPr>
          <w:rFonts w:hint="eastAsia" w:ascii="宋体" w:hAnsi="宋体"/>
          <w:kern w:val="44"/>
        </w:rPr>
        <w:t>　经许可跨越、穿越公路修建桥梁、渡槽或者架设、埋设管线等设施，以及在公路用地范围内架设、埋设管线、电缆等设施的，所修建的桥梁、渡槽或者架设、埋设的设施应当与路面保持规定的安全距离。</w:t>
      </w:r>
    </w:p>
    <w:p w14:paraId="6FF16D55">
      <w:pPr>
        <w:ind w:firstLine="422"/>
        <w:jc w:val="left"/>
        <w:rPr>
          <w:rFonts w:ascii="宋体" w:hAnsi="宋体"/>
          <w:kern w:val="44"/>
        </w:rPr>
      </w:pPr>
      <w:r>
        <w:rPr>
          <w:rFonts w:hint="eastAsia" w:ascii="宋体" w:hAnsi="宋体"/>
          <w:b/>
          <w:kern w:val="44"/>
        </w:rPr>
        <w:t>第二十七条</w:t>
      </w:r>
      <w:r>
        <w:rPr>
          <w:rFonts w:hint="eastAsia" w:ascii="宋体" w:hAnsi="宋体"/>
          <w:kern w:val="44"/>
        </w:rPr>
        <w:t>　经许可在公路用地范围内设置非公路标志的，非公路标志应当符合国家和本市有关标准和规定，其所有人或者维护管理人应当加强维护和管理。</w:t>
      </w:r>
    </w:p>
    <w:p w14:paraId="09B91645">
      <w:pPr>
        <w:ind w:firstLine="422"/>
        <w:jc w:val="left"/>
        <w:rPr>
          <w:rFonts w:ascii="宋体" w:hAnsi="宋体"/>
          <w:kern w:val="44"/>
        </w:rPr>
      </w:pPr>
      <w:r>
        <w:rPr>
          <w:rFonts w:hint="eastAsia" w:ascii="宋体" w:hAnsi="宋体"/>
          <w:b/>
          <w:kern w:val="44"/>
        </w:rPr>
        <w:t>第二十八条</w:t>
      </w:r>
      <w:r>
        <w:rPr>
          <w:rFonts w:hint="eastAsia" w:ascii="宋体" w:hAnsi="宋体"/>
          <w:kern w:val="44"/>
        </w:rPr>
        <w:t>　经许可在公路上增设平面交叉道口的，被许可人应当委托该公路的养护作业单位修建。</w:t>
      </w:r>
    </w:p>
    <w:p w14:paraId="703763B3">
      <w:pPr>
        <w:jc w:val="left"/>
        <w:rPr>
          <w:rFonts w:ascii="宋体" w:hAnsi="宋体"/>
          <w:kern w:val="44"/>
        </w:rPr>
      </w:pPr>
      <w:r>
        <w:rPr>
          <w:rFonts w:hint="eastAsia" w:ascii="宋体" w:hAnsi="宋体"/>
          <w:kern w:val="44"/>
        </w:rPr>
        <w:t>增设平面交叉道口，应当符合国家规定的技术标准，并修建自公路路面边缘起不少于30米的沥青或者混凝土路面；影响公路排水畅通的，应当修建相应的排水设施。</w:t>
      </w:r>
    </w:p>
    <w:p w14:paraId="32A69CA0">
      <w:pPr>
        <w:jc w:val="left"/>
        <w:rPr>
          <w:rFonts w:ascii="宋体" w:hAnsi="宋体"/>
          <w:kern w:val="44"/>
        </w:rPr>
      </w:pPr>
      <w:r>
        <w:rPr>
          <w:rFonts w:hint="eastAsia" w:ascii="宋体" w:hAnsi="宋体"/>
          <w:kern w:val="44"/>
        </w:rPr>
        <w:t>被许可人关闭平面交叉道口的，应当向市公路管理机构备案。</w:t>
      </w:r>
    </w:p>
    <w:p w14:paraId="202CAB74">
      <w:pPr>
        <w:ind w:firstLine="422"/>
        <w:jc w:val="left"/>
        <w:rPr>
          <w:rFonts w:ascii="宋体" w:hAnsi="宋体"/>
          <w:kern w:val="44"/>
        </w:rPr>
      </w:pPr>
      <w:r>
        <w:rPr>
          <w:rFonts w:hint="eastAsia" w:ascii="宋体" w:hAnsi="宋体"/>
          <w:b/>
          <w:kern w:val="44"/>
        </w:rPr>
        <w:t>第二十九条</w:t>
      </w:r>
      <w:r>
        <w:rPr>
          <w:rFonts w:hint="eastAsia" w:ascii="宋体" w:hAnsi="宋体"/>
          <w:kern w:val="44"/>
        </w:rPr>
        <w:t>　在公路及公路用地范围内不得从事下列行为：</w:t>
      </w:r>
    </w:p>
    <w:p w14:paraId="67153200">
      <w:pPr>
        <w:jc w:val="left"/>
        <w:rPr>
          <w:rFonts w:ascii="宋体" w:hAnsi="宋体"/>
          <w:kern w:val="44"/>
        </w:rPr>
      </w:pPr>
      <w:r>
        <w:rPr>
          <w:rFonts w:hint="eastAsia" w:ascii="宋体" w:hAnsi="宋体"/>
          <w:kern w:val="44"/>
        </w:rPr>
        <w:t>（一）破坏、损坏、污染公路及公路附属设施；</w:t>
      </w:r>
    </w:p>
    <w:p w14:paraId="4C294107">
      <w:pPr>
        <w:jc w:val="left"/>
        <w:rPr>
          <w:rFonts w:ascii="宋体" w:hAnsi="宋体"/>
          <w:kern w:val="44"/>
        </w:rPr>
      </w:pPr>
      <w:r>
        <w:rPr>
          <w:rFonts w:hint="eastAsia" w:ascii="宋体" w:hAnsi="宋体"/>
          <w:kern w:val="44"/>
        </w:rPr>
        <w:t>（二）擅自移动、涂改、遮挡公路附属设施；</w:t>
      </w:r>
    </w:p>
    <w:p w14:paraId="01BC4559">
      <w:pPr>
        <w:jc w:val="left"/>
        <w:rPr>
          <w:rFonts w:ascii="宋体" w:hAnsi="宋体"/>
          <w:kern w:val="44"/>
        </w:rPr>
      </w:pPr>
      <w:r>
        <w:rPr>
          <w:rFonts w:hint="eastAsia" w:ascii="宋体" w:hAnsi="宋体"/>
          <w:kern w:val="44"/>
        </w:rPr>
        <w:t>（三）设置障碍、打场晒粮、堆放物品、倾倒垃圾、抛撒遗撒或焚烧物品、放养牲畜；</w:t>
      </w:r>
    </w:p>
    <w:p w14:paraId="1248AAC4">
      <w:pPr>
        <w:jc w:val="left"/>
        <w:rPr>
          <w:rFonts w:ascii="宋体" w:hAnsi="宋体"/>
          <w:kern w:val="44"/>
        </w:rPr>
      </w:pPr>
      <w:r>
        <w:rPr>
          <w:rFonts w:hint="eastAsia" w:ascii="宋体" w:hAnsi="宋体"/>
          <w:kern w:val="44"/>
        </w:rPr>
        <w:t>（四）挖沟引水或利用边沟排放污物；</w:t>
      </w:r>
    </w:p>
    <w:p w14:paraId="1ADD502D">
      <w:pPr>
        <w:jc w:val="left"/>
        <w:rPr>
          <w:rFonts w:ascii="宋体" w:hAnsi="宋体"/>
          <w:kern w:val="44"/>
        </w:rPr>
      </w:pPr>
      <w:r>
        <w:rPr>
          <w:rFonts w:hint="eastAsia" w:ascii="宋体" w:hAnsi="宋体"/>
          <w:kern w:val="44"/>
        </w:rPr>
        <w:t>（五）在公路上试刹车；</w:t>
      </w:r>
    </w:p>
    <w:p w14:paraId="103EB6A5">
      <w:pPr>
        <w:jc w:val="left"/>
        <w:rPr>
          <w:rFonts w:ascii="宋体" w:hAnsi="宋体"/>
          <w:kern w:val="44"/>
        </w:rPr>
      </w:pPr>
      <w:r>
        <w:rPr>
          <w:rFonts w:hint="eastAsia" w:ascii="宋体" w:hAnsi="宋体"/>
          <w:kern w:val="44"/>
        </w:rPr>
        <w:t>（六）从事修车、洗车、摆摊设点等服务；</w:t>
      </w:r>
    </w:p>
    <w:p w14:paraId="231D3B1A">
      <w:pPr>
        <w:jc w:val="left"/>
        <w:rPr>
          <w:rFonts w:ascii="宋体" w:hAnsi="宋体"/>
          <w:kern w:val="44"/>
        </w:rPr>
      </w:pPr>
      <w:r>
        <w:rPr>
          <w:rFonts w:hint="eastAsia" w:ascii="宋体" w:hAnsi="宋体"/>
          <w:kern w:val="44"/>
        </w:rPr>
        <w:t>（七）在市公路管理机构设定的场所以外从事加水降温等活动；</w:t>
      </w:r>
    </w:p>
    <w:p w14:paraId="0B09D3CA">
      <w:pPr>
        <w:jc w:val="left"/>
        <w:rPr>
          <w:rFonts w:ascii="宋体" w:hAnsi="宋体"/>
          <w:kern w:val="44"/>
        </w:rPr>
      </w:pPr>
      <w:r>
        <w:rPr>
          <w:rFonts w:hint="eastAsia" w:ascii="宋体" w:hAnsi="宋体"/>
          <w:kern w:val="44"/>
        </w:rPr>
        <w:t>（八）法律、法规和规章禁止的其他行为。</w:t>
      </w:r>
    </w:p>
    <w:p w14:paraId="324E504A">
      <w:pPr>
        <w:ind w:firstLine="422"/>
        <w:jc w:val="left"/>
        <w:rPr>
          <w:rFonts w:ascii="宋体" w:hAnsi="宋体"/>
          <w:kern w:val="44"/>
        </w:rPr>
      </w:pPr>
      <w:r>
        <w:rPr>
          <w:rFonts w:hint="eastAsia" w:ascii="宋体" w:hAnsi="宋体"/>
          <w:b/>
          <w:kern w:val="44"/>
        </w:rPr>
        <w:t>第三十条</w:t>
      </w:r>
      <w:r>
        <w:rPr>
          <w:rFonts w:hint="eastAsia" w:ascii="宋体" w:hAnsi="宋体"/>
          <w:kern w:val="44"/>
        </w:rPr>
        <w:t>　市公安交通管理部门、市公路管理机构、市道路运输管理机构等部门对车辆进行超载超限检测时，被检测车辆应当予以配合；经检测超载超限且未经许可的，责令承运人自行卸载超限物品；拒不卸载的，强制卸载，所需费用由承运人承担。</w:t>
      </w:r>
    </w:p>
    <w:p w14:paraId="1105E561">
      <w:pPr>
        <w:ind w:firstLine="422"/>
        <w:jc w:val="left"/>
        <w:rPr>
          <w:rFonts w:ascii="宋体" w:hAnsi="宋体"/>
          <w:kern w:val="44"/>
        </w:rPr>
      </w:pPr>
      <w:r>
        <w:rPr>
          <w:rFonts w:hint="eastAsia" w:ascii="宋体" w:hAnsi="宋体"/>
          <w:b/>
          <w:kern w:val="44"/>
        </w:rPr>
        <w:t>第三十一条</w:t>
      </w:r>
      <w:r>
        <w:rPr>
          <w:rFonts w:hint="eastAsia" w:ascii="宋体" w:hAnsi="宋体"/>
          <w:kern w:val="44"/>
        </w:rPr>
        <w:t>　造成公路及其附属设施损坏的，责任人应当保护现场，采取安全防护措施，报告市公路管理机构或者其派出机构并接受调查、处理后，方可离开。</w:t>
      </w:r>
    </w:p>
    <w:p w14:paraId="4108C6AC">
      <w:pPr>
        <w:jc w:val="left"/>
        <w:rPr>
          <w:rFonts w:ascii="宋体" w:hAnsi="宋体"/>
          <w:kern w:val="44"/>
        </w:rPr>
      </w:pPr>
      <w:r>
        <w:rPr>
          <w:rFonts w:hint="eastAsia" w:ascii="宋体" w:hAnsi="宋体"/>
          <w:kern w:val="44"/>
        </w:rPr>
        <w:t>因交通事故造成公路及其附属设施损坏的，公安交通管理部门应当及时通知市公路管理机构或者其派出机构；市公路管理机构应当及时组织建设、养护作业单位修复。</w:t>
      </w:r>
    </w:p>
    <w:p w14:paraId="1BE1E8BC">
      <w:pPr>
        <w:ind w:firstLine="422"/>
        <w:jc w:val="left"/>
        <w:rPr>
          <w:rFonts w:ascii="宋体" w:hAnsi="宋体"/>
          <w:kern w:val="44"/>
        </w:rPr>
      </w:pPr>
      <w:r>
        <w:rPr>
          <w:rFonts w:hint="eastAsia" w:ascii="宋体" w:hAnsi="宋体"/>
          <w:b/>
          <w:kern w:val="44"/>
        </w:rPr>
        <w:t>第三十二条</w:t>
      </w:r>
      <w:r>
        <w:rPr>
          <w:rFonts w:hint="eastAsia" w:ascii="宋体" w:hAnsi="宋体"/>
          <w:kern w:val="44"/>
        </w:rPr>
        <w:t>　经许可挖掘公路的，挖掘单位应当在批准期限届满前委托该公路的养护作业单位及时修复完毕，并按照标准向养护作业单位交纳挖掘修复费。养护作业单位应当对修复质量负责。</w:t>
      </w:r>
    </w:p>
    <w:p w14:paraId="784B6705">
      <w:pPr>
        <w:ind w:firstLine="422"/>
        <w:jc w:val="left"/>
        <w:rPr>
          <w:rFonts w:ascii="宋体" w:hAnsi="宋体"/>
          <w:kern w:val="44"/>
        </w:rPr>
      </w:pPr>
      <w:r>
        <w:rPr>
          <w:rFonts w:hint="eastAsia" w:ascii="宋体" w:hAnsi="宋体"/>
          <w:b/>
          <w:kern w:val="44"/>
        </w:rPr>
        <w:t>第三十三条</w:t>
      </w:r>
      <w:r>
        <w:rPr>
          <w:rFonts w:hint="eastAsia" w:ascii="宋体" w:hAnsi="宋体"/>
          <w:kern w:val="44"/>
        </w:rPr>
        <w:t>　造成公路、公路附属设施损坏依法应当补偿或赔偿的，责任人应当向市公路管理机构或者收费公路经营管理者交纳补偿或赔偿费。公路补偿费标准由市交通行政管理部门会同市发展改革、财政等行政管理部门根据公路工程造价定额标准制定和调整，并向社会公布。公路赔偿费参照公路补偿费标准执行。</w:t>
      </w:r>
    </w:p>
    <w:p w14:paraId="37D6D987">
      <w:pPr>
        <w:ind w:firstLine="422"/>
        <w:jc w:val="left"/>
        <w:rPr>
          <w:rFonts w:ascii="宋体" w:hAnsi="宋体"/>
          <w:kern w:val="44"/>
        </w:rPr>
      </w:pPr>
      <w:r>
        <w:rPr>
          <w:rFonts w:hint="eastAsia" w:ascii="宋体" w:hAnsi="宋体"/>
          <w:b/>
          <w:kern w:val="44"/>
        </w:rPr>
        <w:t>第三十四条</w:t>
      </w:r>
      <w:r>
        <w:rPr>
          <w:rFonts w:hint="eastAsia" w:ascii="宋体" w:hAnsi="宋体"/>
          <w:kern w:val="44"/>
        </w:rPr>
        <w:t>　公路监督检查人员进行监督检查时，应当遵守下列规定：</w:t>
      </w:r>
    </w:p>
    <w:p w14:paraId="1F5B5553">
      <w:pPr>
        <w:jc w:val="left"/>
        <w:rPr>
          <w:rFonts w:ascii="宋体" w:hAnsi="宋体"/>
          <w:kern w:val="44"/>
        </w:rPr>
      </w:pPr>
      <w:r>
        <w:rPr>
          <w:rFonts w:hint="eastAsia" w:ascii="宋体" w:hAnsi="宋体"/>
          <w:kern w:val="44"/>
        </w:rPr>
        <w:t>（一）佩戴标志；</w:t>
      </w:r>
    </w:p>
    <w:p w14:paraId="36F5A5B1">
      <w:pPr>
        <w:jc w:val="left"/>
        <w:rPr>
          <w:rFonts w:ascii="宋体" w:hAnsi="宋体"/>
          <w:kern w:val="44"/>
        </w:rPr>
      </w:pPr>
      <w:r>
        <w:rPr>
          <w:rFonts w:hint="eastAsia" w:ascii="宋体" w:hAnsi="宋体"/>
          <w:kern w:val="44"/>
        </w:rPr>
        <w:t>（二）持证上岗；</w:t>
      </w:r>
    </w:p>
    <w:p w14:paraId="33BC3550">
      <w:pPr>
        <w:jc w:val="left"/>
        <w:rPr>
          <w:rFonts w:ascii="宋体" w:hAnsi="宋体"/>
          <w:kern w:val="44"/>
        </w:rPr>
      </w:pPr>
      <w:r>
        <w:rPr>
          <w:rFonts w:hint="eastAsia" w:ascii="宋体" w:hAnsi="宋体"/>
          <w:kern w:val="44"/>
        </w:rPr>
        <w:t>（三）按照规定着装；</w:t>
      </w:r>
    </w:p>
    <w:p w14:paraId="0EB410B5">
      <w:pPr>
        <w:jc w:val="left"/>
        <w:rPr>
          <w:rFonts w:ascii="宋体" w:hAnsi="宋体"/>
          <w:kern w:val="44"/>
        </w:rPr>
      </w:pPr>
      <w:r>
        <w:rPr>
          <w:rFonts w:hint="eastAsia" w:ascii="宋体" w:hAnsi="宋体"/>
          <w:kern w:val="44"/>
        </w:rPr>
        <w:t>（四）严格执行法定程序。</w:t>
      </w:r>
    </w:p>
    <w:p w14:paraId="2968B52D">
      <w:pPr>
        <w:jc w:val="left"/>
        <w:rPr>
          <w:rFonts w:ascii="宋体" w:hAnsi="宋体"/>
          <w:kern w:val="44"/>
        </w:rPr>
      </w:pPr>
      <w:r>
        <w:rPr>
          <w:rFonts w:hint="eastAsia" w:ascii="宋体" w:hAnsi="宋体"/>
          <w:kern w:val="44"/>
        </w:rPr>
        <w:t>公路监督检查的专用车辆，应当按照国家有关规定设置标志和示警灯。</w:t>
      </w:r>
    </w:p>
    <w:p w14:paraId="193D8AB0">
      <w:pPr>
        <w:jc w:val="left"/>
        <w:rPr>
          <w:rFonts w:ascii="宋体" w:hAnsi="宋体"/>
          <w:kern w:val="44"/>
        </w:rPr>
      </w:pPr>
    </w:p>
    <w:p w14:paraId="7F340647">
      <w:pPr>
        <w:ind w:firstLine="0" w:firstLineChars="0"/>
        <w:jc w:val="center"/>
        <w:rPr>
          <w:rFonts w:ascii="宋体" w:hAnsi="宋体"/>
          <w:b/>
          <w:kern w:val="44"/>
          <w:sz w:val="28"/>
        </w:rPr>
      </w:pPr>
      <w:r>
        <w:rPr>
          <w:rFonts w:hint="eastAsia" w:ascii="宋体" w:hAnsi="宋体"/>
          <w:b/>
          <w:kern w:val="44"/>
          <w:sz w:val="28"/>
        </w:rPr>
        <w:t>第五章　收费公路的特别规定</w:t>
      </w:r>
    </w:p>
    <w:p w14:paraId="53F8F41B">
      <w:pPr>
        <w:jc w:val="left"/>
        <w:rPr>
          <w:rFonts w:ascii="宋体" w:hAnsi="宋体"/>
          <w:kern w:val="44"/>
        </w:rPr>
      </w:pPr>
    </w:p>
    <w:p w14:paraId="72CB6852">
      <w:pPr>
        <w:ind w:firstLine="422"/>
        <w:jc w:val="left"/>
        <w:rPr>
          <w:rFonts w:ascii="宋体" w:hAnsi="宋体"/>
          <w:kern w:val="44"/>
        </w:rPr>
      </w:pPr>
      <w:r>
        <w:rPr>
          <w:rFonts w:hint="eastAsia" w:ascii="宋体" w:hAnsi="宋体"/>
          <w:b/>
          <w:kern w:val="44"/>
        </w:rPr>
        <w:t>第三十五条</w:t>
      </w:r>
      <w:r>
        <w:rPr>
          <w:rFonts w:hint="eastAsia" w:ascii="宋体" w:hAnsi="宋体"/>
          <w:kern w:val="44"/>
        </w:rPr>
        <w:t>　收费公路的管理，适用本章规定；本章未作规定的，适用本条例其他有关规定。</w:t>
      </w:r>
    </w:p>
    <w:p w14:paraId="26797C33">
      <w:pPr>
        <w:ind w:firstLine="422"/>
        <w:jc w:val="left"/>
        <w:rPr>
          <w:rFonts w:ascii="宋体" w:hAnsi="宋体"/>
          <w:kern w:val="44"/>
        </w:rPr>
      </w:pPr>
      <w:r>
        <w:rPr>
          <w:rFonts w:hint="eastAsia" w:ascii="宋体" w:hAnsi="宋体"/>
          <w:b/>
          <w:kern w:val="44"/>
        </w:rPr>
        <w:t>第三十六条</w:t>
      </w:r>
      <w:r>
        <w:rPr>
          <w:rFonts w:hint="eastAsia" w:ascii="宋体" w:hAnsi="宋体"/>
          <w:kern w:val="44"/>
        </w:rPr>
        <w:t>　本市收费公路的设立，应当符合本市公路规划，由市人民政府依据国家规定的技术等级、规模审查批准。</w:t>
      </w:r>
    </w:p>
    <w:p w14:paraId="5AAFC6B4">
      <w:pPr>
        <w:jc w:val="left"/>
        <w:rPr>
          <w:rFonts w:ascii="宋体" w:hAnsi="宋体"/>
          <w:kern w:val="44"/>
        </w:rPr>
      </w:pPr>
      <w:r>
        <w:rPr>
          <w:rFonts w:hint="eastAsia" w:ascii="宋体" w:hAnsi="宋体"/>
          <w:kern w:val="44"/>
        </w:rPr>
        <w:t>市公路管理机构应当依法加强对收费公路经营管理的监督检查，督促收费公路经营管理者履行公路养护和服务义务。</w:t>
      </w:r>
    </w:p>
    <w:p w14:paraId="2085FEEA">
      <w:pPr>
        <w:ind w:firstLine="422"/>
        <w:jc w:val="left"/>
        <w:rPr>
          <w:rFonts w:ascii="宋体" w:hAnsi="宋体"/>
          <w:kern w:val="44"/>
        </w:rPr>
      </w:pPr>
      <w:r>
        <w:rPr>
          <w:rFonts w:hint="eastAsia" w:ascii="宋体" w:hAnsi="宋体"/>
          <w:b/>
          <w:kern w:val="44"/>
        </w:rPr>
        <w:t>第三十七条</w:t>
      </w:r>
      <w:r>
        <w:rPr>
          <w:rFonts w:hint="eastAsia" w:ascii="宋体" w:hAnsi="宋体"/>
          <w:kern w:val="44"/>
        </w:rPr>
        <w:t>　政府还贷收费公路应当由依法设立的不以营利为目的的专门组织进行建设和管理。</w:t>
      </w:r>
    </w:p>
    <w:p w14:paraId="4849DE0E">
      <w:pPr>
        <w:jc w:val="left"/>
        <w:rPr>
          <w:rFonts w:ascii="宋体" w:hAnsi="宋体"/>
          <w:kern w:val="44"/>
        </w:rPr>
      </w:pPr>
      <w:r>
        <w:rPr>
          <w:rFonts w:hint="eastAsia" w:ascii="宋体" w:hAnsi="宋体"/>
          <w:kern w:val="44"/>
        </w:rPr>
        <w:t>经营性收费公路应当由依法成立的公路企业法人建设、经营和管理。经营性收费公路的投资、建设、运营和经营者确定方式等由市交通行政管理部门会同市发展改革等相关部门提出，报市人民政府批准。</w:t>
      </w:r>
    </w:p>
    <w:p w14:paraId="7963E7E6">
      <w:pPr>
        <w:ind w:firstLine="422"/>
        <w:jc w:val="left"/>
        <w:rPr>
          <w:rFonts w:ascii="宋体" w:hAnsi="宋体"/>
          <w:kern w:val="44"/>
        </w:rPr>
      </w:pPr>
      <w:r>
        <w:rPr>
          <w:rFonts w:hint="eastAsia" w:ascii="宋体" w:hAnsi="宋体"/>
          <w:b/>
          <w:kern w:val="44"/>
        </w:rPr>
        <w:t>第三十八条</w:t>
      </w:r>
      <w:r>
        <w:rPr>
          <w:rFonts w:hint="eastAsia" w:ascii="宋体" w:hAnsi="宋体"/>
          <w:kern w:val="44"/>
        </w:rPr>
        <w:t>　收费公路的车辆通行费收费标准、收费期限和收费站设置应当按照国家规定的程序、标准进行审查批准。经批准设置的收费站确需进行调整的，应当重新办理审查批准手续。收费公路收费期满应当按照规定拆除收费设施停止收费，并由市人民政府向社会公告。</w:t>
      </w:r>
    </w:p>
    <w:p w14:paraId="7090830F">
      <w:pPr>
        <w:jc w:val="left"/>
        <w:rPr>
          <w:rFonts w:ascii="宋体" w:hAnsi="宋体"/>
          <w:kern w:val="44"/>
        </w:rPr>
      </w:pPr>
      <w:r>
        <w:rPr>
          <w:rFonts w:hint="eastAsia" w:ascii="宋体" w:hAnsi="宋体"/>
          <w:kern w:val="44"/>
        </w:rPr>
        <w:t>市交通行政管理部门对验收合格的收费站应当统一制发收费站标牌，制定公示规范和服务标准并加强监管。</w:t>
      </w:r>
    </w:p>
    <w:p w14:paraId="6695F4AB">
      <w:pPr>
        <w:ind w:firstLine="422"/>
        <w:jc w:val="left"/>
        <w:rPr>
          <w:rFonts w:ascii="宋体" w:hAnsi="宋体"/>
          <w:kern w:val="44"/>
        </w:rPr>
      </w:pPr>
      <w:r>
        <w:rPr>
          <w:rFonts w:hint="eastAsia" w:ascii="宋体" w:hAnsi="宋体"/>
          <w:b/>
          <w:kern w:val="44"/>
        </w:rPr>
        <w:t>第三十九条</w:t>
      </w:r>
      <w:r>
        <w:rPr>
          <w:rFonts w:hint="eastAsia" w:ascii="宋体" w:hAnsi="宋体"/>
          <w:kern w:val="44"/>
        </w:rPr>
        <w:t>　收费公路经营管理者应当遵守下列规定：</w:t>
      </w:r>
    </w:p>
    <w:p w14:paraId="75498CF8">
      <w:pPr>
        <w:jc w:val="left"/>
        <w:rPr>
          <w:rFonts w:ascii="宋体" w:hAnsi="宋体"/>
          <w:kern w:val="44"/>
        </w:rPr>
      </w:pPr>
      <w:r>
        <w:rPr>
          <w:rFonts w:hint="eastAsia" w:ascii="宋体" w:hAnsi="宋体"/>
          <w:kern w:val="44"/>
        </w:rPr>
        <w:t>（一）按照规定的收费标准和收费方式收取车辆通行费；</w:t>
      </w:r>
    </w:p>
    <w:p w14:paraId="06F12668">
      <w:pPr>
        <w:jc w:val="left"/>
        <w:rPr>
          <w:rFonts w:ascii="宋体" w:hAnsi="宋体"/>
          <w:kern w:val="44"/>
        </w:rPr>
      </w:pPr>
      <w:r>
        <w:rPr>
          <w:rFonts w:hint="eastAsia" w:ascii="宋体" w:hAnsi="宋体"/>
          <w:kern w:val="44"/>
        </w:rPr>
        <w:t>（二）按照规定开具收费票据；</w:t>
      </w:r>
    </w:p>
    <w:p w14:paraId="10CE0285">
      <w:pPr>
        <w:jc w:val="left"/>
        <w:rPr>
          <w:rFonts w:ascii="宋体" w:hAnsi="宋体"/>
          <w:kern w:val="44"/>
        </w:rPr>
      </w:pPr>
      <w:r>
        <w:rPr>
          <w:rFonts w:hint="eastAsia" w:ascii="宋体" w:hAnsi="宋体"/>
          <w:kern w:val="44"/>
        </w:rPr>
        <w:t>（三）按照公示规范设置公示牌；</w:t>
      </w:r>
    </w:p>
    <w:p w14:paraId="5A3CDC70">
      <w:pPr>
        <w:jc w:val="left"/>
        <w:rPr>
          <w:rFonts w:ascii="宋体" w:hAnsi="宋体"/>
          <w:kern w:val="44"/>
        </w:rPr>
      </w:pPr>
      <w:r>
        <w:rPr>
          <w:rFonts w:hint="eastAsia" w:ascii="宋体" w:hAnsi="宋体"/>
          <w:kern w:val="44"/>
        </w:rPr>
        <w:t>（四）及时提示路况、通行和预警信息；</w:t>
      </w:r>
    </w:p>
    <w:p w14:paraId="029E62F3">
      <w:pPr>
        <w:jc w:val="left"/>
        <w:rPr>
          <w:rFonts w:ascii="宋体" w:hAnsi="宋体"/>
          <w:kern w:val="44"/>
        </w:rPr>
      </w:pPr>
      <w:r>
        <w:rPr>
          <w:rFonts w:hint="eastAsia" w:ascii="宋体" w:hAnsi="宋体"/>
          <w:kern w:val="44"/>
        </w:rPr>
        <w:t>（五）按照标准规范，加强服务区的建设和管理。</w:t>
      </w:r>
    </w:p>
    <w:p w14:paraId="649D9A75">
      <w:pPr>
        <w:jc w:val="left"/>
        <w:rPr>
          <w:rFonts w:ascii="宋体" w:hAnsi="宋体"/>
          <w:kern w:val="44"/>
        </w:rPr>
      </w:pPr>
      <w:r>
        <w:rPr>
          <w:rFonts w:hint="eastAsia" w:ascii="宋体" w:hAnsi="宋体"/>
          <w:kern w:val="44"/>
        </w:rPr>
        <w:t>遇有交通流量过大影响车辆通行的情形时，收费公路经营管理者应当及时采取提高车辆通行效率的措施。</w:t>
      </w:r>
    </w:p>
    <w:p w14:paraId="686366A0">
      <w:pPr>
        <w:ind w:firstLine="422"/>
        <w:jc w:val="left"/>
        <w:rPr>
          <w:rFonts w:ascii="宋体" w:hAnsi="宋体"/>
          <w:kern w:val="44"/>
        </w:rPr>
      </w:pPr>
      <w:r>
        <w:rPr>
          <w:rFonts w:hint="eastAsia" w:ascii="宋体" w:hAnsi="宋体"/>
          <w:b/>
          <w:kern w:val="44"/>
        </w:rPr>
        <w:t>第四十条</w:t>
      </w:r>
      <w:r>
        <w:rPr>
          <w:rFonts w:hint="eastAsia" w:ascii="宋体" w:hAnsi="宋体"/>
          <w:kern w:val="44"/>
        </w:rPr>
        <w:t>　收费公路经营管理者应当提高科技服务水平，推行联网收费和不停车收费。新建收费公路应当同步建设不停车收费系统。</w:t>
      </w:r>
    </w:p>
    <w:p w14:paraId="2777D8B5">
      <w:pPr>
        <w:ind w:firstLine="422"/>
        <w:jc w:val="left"/>
        <w:rPr>
          <w:rFonts w:ascii="宋体" w:hAnsi="宋体"/>
          <w:kern w:val="44"/>
        </w:rPr>
      </w:pPr>
      <w:r>
        <w:rPr>
          <w:rFonts w:hint="eastAsia" w:ascii="宋体" w:hAnsi="宋体"/>
          <w:b/>
          <w:kern w:val="44"/>
        </w:rPr>
        <w:t>第四十一条</w:t>
      </w:r>
      <w:r>
        <w:rPr>
          <w:rFonts w:hint="eastAsia" w:ascii="宋体" w:hAnsi="宋体"/>
          <w:kern w:val="44"/>
        </w:rPr>
        <w:t>　在收费公路上行驶的车辆，应当按照规定交纳车辆通行费。</w:t>
      </w:r>
    </w:p>
    <w:p w14:paraId="3CF974DE">
      <w:pPr>
        <w:jc w:val="left"/>
        <w:rPr>
          <w:rFonts w:ascii="宋体" w:hAnsi="宋体"/>
          <w:kern w:val="44"/>
        </w:rPr>
      </w:pPr>
      <w:r>
        <w:rPr>
          <w:rFonts w:hint="eastAsia" w:ascii="宋体" w:hAnsi="宋体"/>
          <w:kern w:val="44"/>
        </w:rPr>
        <w:t>收费公路经营管理者对依法应当交纳而拒交、逃交、少交车辆通行费的车辆，有权拒绝其通行，并要求其补交应当交纳的车辆通行费。收费公路经营管理者对不能提供通行卡或者通行卡毁损导致无法识别驶入站的车辆，对从不停车收费车道驶入的无电子标签的车辆，有权按照最远端的驶入站到本站的距离收取车辆通行费。</w:t>
      </w:r>
    </w:p>
    <w:p w14:paraId="6CE01CAC">
      <w:pPr>
        <w:ind w:firstLine="422"/>
        <w:jc w:val="left"/>
        <w:rPr>
          <w:rFonts w:ascii="宋体" w:hAnsi="宋体"/>
          <w:kern w:val="44"/>
        </w:rPr>
      </w:pPr>
      <w:r>
        <w:rPr>
          <w:rFonts w:hint="eastAsia" w:ascii="宋体" w:hAnsi="宋体"/>
          <w:b/>
          <w:kern w:val="44"/>
        </w:rPr>
        <w:t>第四十二条</w:t>
      </w:r>
      <w:r>
        <w:rPr>
          <w:rFonts w:hint="eastAsia" w:ascii="宋体" w:hAnsi="宋体"/>
          <w:kern w:val="44"/>
        </w:rPr>
        <w:t>　政府还贷收费公路的车辆通行费，除必要的管理、养护费用从财政部门批准的车辆通行费预算中列支外，应当全部用于偿还贷款，不得挪作他用。</w:t>
      </w:r>
    </w:p>
    <w:p w14:paraId="5C3103C8">
      <w:pPr>
        <w:jc w:val="left"/>
        <w:rPr>
          <w:rFonts w:ascii="宋体" w:hAnsi="宋体"/>
          <w:kern w:val="44"/>
        </w:rPr>
      </w:pPr>
      <w:r>
        <w:rPr>
          <w:rFonts w:hint="eastAsia" w:ascii="宋体" w:hAnsi="宋体"/>
          <w:kern w:val="44"/>
        </w:rPr>
        <w:t>经营性收费公路的通行费收入应当按照国家和本市规定的标准，保证收费公路的养护费用。</w:t>
      </w:r>
    </w:p>
    <w:p w14:paraId="081689A4">
      <w:pPr>
        <w:jc w:val="left"/>
        <w:rPr>
          <w:rFonts w:ascii="宋体" w:hAnsi="宋体"/>
          <w:kern w:val="44"/>
        </w:rPr>
      </w:pPr>
      <w:r>
        <w:rPr>
          <w:rFonts w:hint="eastAsia" w:ascii="宋体" w:hAnsi="宋体"/>
          <w:kern w:val="44"/>
        </w:rPr>
        <w:t>收费公路经营管理者应当按照规定及时向市公路管理机构提供收费、还贷、路况、交通流量、养护和管理等有关信息资料。信息资料涉及商业秘密的，市公路管理机构应当予以保密。</w:t>
      </w:r>
    </w:p>
    <w:p w14:paraId="26DE37F0">
      <w:pPr>
        <w:ind w:firstLine="422"/>
        <w:jc w:val="left"/>
        <w:rPr>
          <w:rFonts w:ascii="宋体" w:hAnsi="宋体"/>
          <w:kern w:val="44"/>
        </w:rPr>
      </w:pPr>
      <w:r>
        <w:rPr>
          <w:rFonts w:hint="eastAsia" w:ascii="宋体" w:hAnsi="宋体"/>
          <w:b/>
          <w:kern w:val="44"/>
        </w:rPr>
        <w:t>第四十三条</w:t>
      </w:r>
      <w:r>
        <w:rPr>
          <w:rFonts w:hint="eastAsia" w:ascii="宋体" w:hAnsi="宋体"/>
          <w:kern w:val="44"/>
        </w:rPr>
        <w:t>　收费公路的年度养护计划由收费公路经营管理者按照相关标准规范编制，并报市公路管理机构备案。</w:t>
      </w:r>
    </w:p>
    <w:p w14:paraId="1C272C57">
      <w:pPr>
        <w:ind w:firstLine="422"/>
        <w:jc w:val="left"/>
        <w:rPr>
          <w:rFonts w:ascii="宋体" w:hAnsi="宋体"/>
          <w:kern w:val="44"/>
        </w:rPr>
      </w:pPr>
      <w:r>
        <w:rPr>
          <w:rFonts w:hint="eastAsia" w:ascii="宋体" w:hAnsi="宋体"/>
          <w:b/>
          <w:kern w:val="44"/>
        </w:rPr>
        <w:t>第四十四条</w:t>
      </w:r>
      <w:r>
        <w:rPr>
          <w:rFonts w:hint="eastAsia" w:ascii="宋体" w:hAnsi="宋体"/>
          <w:kern w:val="44"/>
        </w:rPr>
        <w:t>　市公路管理机构依法负责收费公路的路政管理。对申请占用、挖掘收费公路或者在收费公路进行管线施工等活动的，市公路管理机构在许可前应当征求收费公路经营管理者的意见。</w:t>
      </w:r>
    </w:p>
    <w:p w14:paraId="0BA1C2A3">
      <w:pPr>
        <w:jc w:val="left"/>
        <w:rPr>
          <w:rFonts w:ascii="宋体" w:hAnsi="宋体"/>
          <w:kern w:val="44"/>
        </w:rPr>
      </w:pPr>
      <w:r>
        <w:rPr>
          <w:rFonts w:hint="eastAsia" w:ascii="宋体" w:hAnsi="宋体"/>
          <w:kern w:val="44"/>
        </w:rPr>
        <w:t>收费公路经营管理者应当建立、健全公路保护的巡查制度，发现损坏收费公路路产路权的行为，应当及时制止并向市公路管理机构报告。</w:t>
      </w:r>
    </w:p>
    <w:p w14:paraId="705BD947">
      <w:pPr>
        <w:jc w:val="left"/>
        <w:rPr>
          <w:rFonts w:ascii="宋体" w:hAnsi="宋体"/>
          <w:kern w:val="44"/>
        </w:rPr>
      </w:pPr>
    </w:p>
    <w:p w14:paraId="36F2CF3A">
      <w:pPr>
        <w:ind w:firstLine="0" w:firstLineChars="0"/>
        <w:jc w:val="center"/>
        <w:rPr>
          <w:rFonts w:ascii="宋体" w:hAnsi="宋体"/>
          <w:b/>
          <w:kern w:val="44"/>
          <w:sz w:val="28"/>
        </w:rPr>
      </w:pPr>
      <w:r>
        <w:rPr>
          <w:rFonts w:hint="eastAsia" w:ascii="宋体" w:hAnsi="宋体"/>
          <w:b/>
          <w:kern w:val="44"/>
          <w:sz w:val="28"/>
        </w:rPr>
        <w:t>第六章　乡道、村道的特别规定</w:t>
      </w:r>
    </w:p>
    <w:p w14:paraId="623E5814">
      <w:pPr>
        <w:jc w:val="left"/>
        <w:rPr>
          <w:rFonts w:ascii="宋体" w:hAnsi="宋体"/>
          <w:kern w:val="44"/>
        </w:rPr>
      </w:pPr>
    </w:p>
    <w:p w14:paraId="47C282B1">
      <w:pPr>
        <w:ind w:firstLine="422"/>
        <w:jc w:val="left"/>
        <w:rPr>
          <w:rFonts w:ascii="宋体" w:hAnsi="宋体"/>
          <w:kern w:val="44"/>
        </w:rPr>
      </w:pPr>
      <w:r>
        <w:rPr>
          <w:rFonts w:hint="eastAsia" w:ascii="宋体" w:hAnsi="宋体"/>
          <w:b/>
          <w:kern w:val="44"/>
        </w:rPr>
        <w:t>第四十五条</w:t>
      </w:r>
      <w:r>
        <w:rPr>
          <w:rFonts w:hint="eastAsia" w:ascii="宋体" w:hAnsi="宋体"/>
          <w:kern w:val="44"/>
        </w:rPr>
        <w:t>　乡道、村道的管理，适用本章规定；本章未作规定的，适用本条例其他有关规定。</w:t>
      </w:r>
    </w:p>
    <w:p w14:paraId="77905B4D">
      <w:pPr>
        <w:ind w:firstLine="422"/>
        <w:jc w:val="left"/>
        <w:rPr>
          <w:rFonts w:ascii="宋体" w:hAnsi="宋体"/>
          <w:kern w:val="44"/>
        </w:rPr>
      </w:pPr>
      <w:r>
        <w:rPr>
          <w:rFonts w:hint="eastAsia" w:ascii="宋体" w:hAnsi="宋体"/>
          <w:b/>
          <w:kern w:val="44"/>
        </w:rPr>
        <w:t>第四十六条</w:t>
      </w:r>
      <w:r>
        <w:rPr>
          <w:rFonts w:hint="eastAsia" w:ascii="宋体" w:hAnsi="宋体"/>
          <w:kern w:val="44"/>
        </w:rPr>
        <w:t>　乡道、村道的建设按照国家和本市有关规定执行。</w:t>
      </w:r>
    </w:p>
    <w:p w14:paraId="4C1C1E9B">
      <w:pPr>
        <w:jc w:val="left"/>
        <w:rPr>
          <w:rFonts w:ascii="宋体" w:hAnsi="宋体"/>
          <w:kern w:val="44"/>
        </w:rPr>
      </w:pPr>
      <w:r>
        <w:rPr>
          <w:rFonts w:hint="eastAsia" w:ascii="宋体" w:hAnsi="宋体"/>
          <w:kern w:val="44"/>
        </w:rPr>
        <w:t>新建乡道、村道的技术等级不得低于国家规定的四级标准。已建成的乡道、村道达不到四级标准的，应当逐步提级改造。</w:t>
      </w:r>
    </w:p>
    <w:p w14:paraId="5E0CC99F">
      <w:pPr>
        <w:ind w:firstLine="422"/>
        <w:jc w:val="left"/>
        <w:rPr>
          <w:rFonts w:ascii="宋体" w:hAnsi="宋体"/>
          <w:kern w:val="44"/>
        </w:rPr>
      </w:pPr>
      <w:r>
        <w:rPr>
          <w:rFonts w:hint="eastAsia" w:ascii="宋体" w:hAnsi="宋体"/>
          <w:b/>
          <w:kern w:val="44"/>
        </w:rPr>
        <w:t>第四十七条</w:t>
      </w:r>
      <w:r>
        <w:rPr>
          <w:rFonts w:hint="eastAsia" w:ascii="宋体" w:hAnsi="宋体"/>
          <w:kern w:val="44"/>
        </w:rPr>
        <w:t>　区、县人民政府负责编制、下达乡道、村道的年度养护计划，市公路管理机构的派出机构可以接受区、县人民政府委托具体组织编制；乡道、村道的年度养护计划应当报市公路管理机构备案。</w:t>
      </w:r>
    </w:p>
    <w:p w14:paraId="4044ECD7">
      <w:pPr>
        <w:ind w:firstLine="422"/>
        <w:jc w:val="left"/>
        <w:rPr>
          <w:rFonts w:ascii="宋体" w:hAnsi="宋体"/>
          <w:kern w:val="44"/>
        </w:rPr>
      </w:pPr>
      <w:r>
        <w:rPr>
          <w:rFonts w:hint="eastAsia" w:ascii="宋体" w:hAnsi="宋体"/>
          <w:b/>
          <w:kern w:val="44"/>
        </w:rPr>
        <w:t>第四十八条</w:t>
      </w:r>
      <w:r>
        <w:rPr>
          <w:rFonts w:hint="eastAsia" w:ascii="宋体" w:hAnsi="宋体"/>
          <w:kern w:val="44"/>
        </w:rPr>
        <w:t>　乡道、村道建设资金应当按照本市有关规定列入政府的财政预算。</w:t>
      </w:r>
    </w:p>
    <w:p w14:paraId="3D8CA4B2">
      <w:pPr>
        <w:jc w:val="left"/>
        <w:rPr>
          <w:rFonts w:ascii="宋体" w:hAnsi="宋体"/>
          <w:kern w:val="44"/>
        </w:rPr>
      </w:pPr>
      <w:r>
        <w:rPr>
          <w:rFonts w:hint="eastAsia" w:ascii="宋体" w:hAnsi="宋体"/>
          <w:kern w:val="44"/>
        </w:rPr>
        <w:t>鼓励沿线受益单位捐助、企业和个人捐款用于乡道、村道建设；鼓励多渠道筹集社会资金投资乡道、村道建设。</w:t>
      </w:r>
    </w:p>
    <w:p w14:paraId="03565F9C">
      <w:pPr>
        <w:ind w:firstLine="422"/>
        <w:jc w:val="left"/>
        <w:rPr>
          <w:rFonts w:ascii="宋体" w:hAnsi="宋体"/>
          <w:kern w:val="44"/>
        </w:rPr>
      </w:pPr>
      <w:r>
        <w:rPr>
          <w:rFonts w:hint="eastAsia" w:ascii="宋体" w:hAnsi="宋体"/>
          <w:b/>
          <w:kern w:val="44"/>
        </w:rPr>
        <w:t>第四十九条</w:t>
      </w:r>
      <w:r>
        <w:rPr>
          <w:rFonts w:hint="eastAsia" w:ascii="宋体" w:hAnsi="宋体"/>
          <w:kern w:val="44"/>
        </w:rPr>
        <w:t>　市和区、县人民政府应当保证乡道、村道养护资金。乡道、村道养护资金应当专款专用、专项专用，并接受财政、审计、发展改革、交通等行政管理部门的监督。</w:t>
      </w:r>
    </w:p>
    <w:p w14:paraId="2A4F330B">
      <w:pPr>
        <w:ind w:firstLine="422"/>
        <w:jc w:val="left"/>
        <w:rPr>
          <w:rFonts w:ascii="宋体" w:hAnsi="宋体"/>
          <w:kern w:val="44"/>
        </w:rPr>
      </w:pPr>
      <w:r>
        <w:rPr>
          <w:rFonts w:hint="eastAsia" w:ascii="宋体" w:hAnsi="宋体"/>
          <w:b/>
          <w:kern w:val="44"/>
        </w:rPr>
        <w:t>第五十条</w:t>
      </w:r>
      <w:r>
        <w:rPr>
          <w:rFonts w:hint="eastAsia" w:ascii="宋体" w:hAnsi="宋体"/>
          <w:kern w:val="44"/>
        </w:rPr>
        <w:t>　乡道、村道的大修工程可以采取招标方式确定养护作业单位，小修保养可以招聘沿线村民组建养路队进行。</w:t>
      </w:r>
    </w:p>
    <w:p w14:paraId="7662D6D8">
      <w:pPr>
        <w:jc w:val="left"/>
        <w:rPr>
          <w:rFonts w:ascii="宋体" w:hAnsi="宋体"/>
          <w:kern w:val="44"/>
        </w:rPr>
      </w:pPr>
    </w:p>
    <w:p w14:paraId="5F0A3266">
      <w:pPr>
        <w:ind w:firstLine="0" w:firstLineChars="0"/>
        <w:jc w:val="center"/>
        <w:rPr>
          <w:rFonts w:ascii="宋体" w:hAnsi="宋体"/>
          <w:b/>
          <w:kern w:val="44"/>
          <w:sz w:val="28"/>
        </w:rPr>
      </w:pPr>
      <w:r>
        <w:rPr>
          <w:rFonts w:hint="eastAsia" w:ascii="宋体" w:hAnsi="宋体"/>
          <w:b/>
          <w:kern w:val="44"/>
          <w:sz w:val="28"/>
        </w:rPr>
        <w:t>第七章　公路突发事件应急管理</w:t>
      </w:r>
    </w:p>
    <w:p w14:paraId="07235543">
      <w:pPr>
        <w:jc w:val="left"/>
        <w:rPr>
          <w:rFonts w:ascii="宋体" w:hAnsi="宋体"/>
          <w:kern w:val="44"/>
        </w:rPr>
      </w:pPr>
    </w:p>
    <w:p w14:paraId="013944D4">
      <w:pPr>
        <w:ind w:firstLine="422"/>
        <w:jc w:val="left"/>
        <w:rPr>
          <w:rFonts w:ascii="宋体" w:hAnsi="宋体"/>
          <w:kern w:val="44"/>
        </w:rPr>
      </w:pPr>
      <w:r>
        <w:rPr>
          <w:rFonts w:hint="eastAsia" w:ascii="宋体" w:hAnsi="宋体"/>
          <w:b/>
          <w:kern w:val="44"/>
        </w:rPr>
        <w:t>第五十一条</w:t>
      </w:r>
      <w:r>
        <w:rPr>
          <w:rFonts w:hint="eastAsia" w:ascii="宋体" w:hAnsi="宋体"/>
          <w:kern w:val="44"/>
        </w:rPr>
        <w:t>　本市公路突发事件应急管理纳入全市突发事件应急管理体系。市交通行政管理部门负责组织制定本市公路突发事件应急预案，经市人民政府批准后实施。</w:t>
      </w:r>
    </w:p>
    <w:p w14:paraId="7B54FFE9">
      <w:pPr>
        <w:jc w:val="left"/>
        <w:rPr>
          <w:rFonts w:ascii="宋体" w:hAnsi="宋体"/>
          <w:kern w:val="44"/>
        </w:rPr>
      </w:pPr>
      <w:r>
        <w:rPr>
          <w:rFonts w:hint="eastAsia" w:ascii="宋体" w:hAnsi="宋体"/>
          <w:kern w:val="44"/>
        </w:rPr>
        <w:t>市公路管理机构及其派出机构负责公路突发事件应急处理的组织工作；市政府相关部门、区、县和乡镇人民政府按照各自职责负责公路突发事件的应急处理工作。</w:t>
      </w:r>
    </w:p>
    <w:p w14:paraId="3A5C3A6F">
      <w:pPr>
        <w:jc w:val="left"/>
        <w:rPr>
          <w:rFonts w:ascii="宋体" w:hAnsi="宋体"/>
          <w:kern w:val="44"/>
        </w:rPr>
      </w:pPr>
      <w:r>
        <w:rPr>
          <w:rFonts w:hint="eastAsia" w:ascii="宋体" w:hAnsi="宋体"/>
          <w:kern w:val="44"/>
        </w:rPr>
        <w:t>公路建设、养护和经营管理单位应当根据国家和本市有关应急预案的规定，制定公路先期应急处置方案，组织应急处置队伍。</w:t>
      </w:r>
    </w:p>
    <w:p w14:paraId="69E01296">
      <w:pPr>
        <w:ind w:firstLine="422"/>
        <w:jc w:val="left"/>
        <w:rPr>
          <w:rFonts w:ascii="宋体" w:hAnsi="宋体"/>
          <w:kern w:val="44"/>
        </w:rPr>
      </w:pPr>
      <w:r>
        <w:rPr>
          <w:rFonts w:hint="eastAsia" w:ascii="宋体" w:hAnsi="宋体"/>
          <w:b/>
          <w:kern w:val="44"/>
        </w:rPr>
        <w:t>第五十二条</w:t>
      </w:r>
      <w:r>
        <w:rPr>
          <w:rFonts w:hint="eastAsia" w:ascii="宋体" w:hAnsi="宋体"/>
          <w:kern w:val="44"/>
        </w:rPr>
        <w:t>　市公路管理机构及其派出机构应当定期组织公路建设、养护和经营管理单位进行公路应急预案演练。</w:t>
      </w:r>
    </w:p>
    <w:p w14:paraId="4A81CCBF">
      <w:pPr>
        <w:jc w:val="left"/>
        <w:rPr>
          <w:rFonts w:ascii="宋体" w:hAnsi="宋体"/>
          <w:kern w:val="44"/>
        </w:rPr>
      </w:pPr>
      <w:r>
        <w:rPr>
          <w:rFonts w:hint="eastAsia" w:ascii="宋体" w:hAnsi="宋体"/>
          <w:kern w:val="44"/>
        </w:rPr>
        <w:t>公路建设、养护和经营管理单位应当定期组织应急处置队伍进行先期应急处置方案演练。</w:t>
      </w:r>
    </w:p>
    <w:p w14:paraId="5CAB6A44">
      <w:pPr>
        <w:jc w:val="left"/>
        <w:rPr>
          <w:rFonts w:ascii="宋体" w:hAnsi="宋体"/>
          <w:kern w:val="44"/>
        </w:rPr>
      </w:pPr>
      <w:r>
        <w:rPr>
          <w:rFonts w:hint="eastAsia" w:ascii="宋体" w:hAnsi="宋体"/>
          <w:kern w:val="44"/>
        </w:rPr>
        <w:t>发生公路突发事件时，市公路管理机构和政府有关部门以及公路建设、养护和经营管理单位应当按照规定启动应急预案。</w:t>
      </w:r>
    </w:p>
    <w:p w14:paraId="525DA695">
      <w:pPr>
        <w:ind w:firstLine="422"/>
        <w:jc w:val="left"/>
        <w:rPr>
          <w:rFonts w:ascii="宋体" w:hAnsi="宋体"/>
          <w:kern w:val="44"/>
        </w:rPr>
      </w:pPr>
      <w:r>
        <w:rPr>
          <w:rFonts w:hint="eastAsia" w:ascii="宋体" w:hAnsi="宋体"/>
          <w:b/>
          <w:kern w:val="44"/>
        </w:rPr>
        <w:t>第五十三条</w:t>
      </w:r>
      <w:r>
        <w:rPr>
          <w:rFonts w:hint="eastAsia" w:ascii="宋体" w:hAnsi="宋体"/>
          <w:kern w:val="44"/>
        </w:rPr>
        <w:t>　因自然灾害致使公路交通中断，市公路管理机构应当组织养护作业单位及时修复，维护现场秩序，并依法向所在地区、县人民政府和公安交通管理部门通报。损坏严重难以及时修复的，所在地区、县人民政府应当及时组织抢修。</w:t>
      </w:r>
    </w:p>
    <w:p w14:paraId="7B66795C">
      <w:pPr>
        <w:ind w:firstLine="422"/>
        <w:jc w:val="left"/>
        <w:rPr>
          <w:rFonts w:ascii="宋体" w:hAnsi="宋体"/>
          <w:kern w:val="44"/>
        </w:rPr>
      </w:pPr>
      <w:r>
        <w:rPr>
          <w:rFonts w:hint="eastAsia" w:ascii="宋体" w:hAnsi="宋体"/>
          <w:b/>
          <w:kern w:val="44"/>
        </w:rPr>
        <w:t>第五十四条</w:t>
      </w:r>
      <w:r>
        <w:rPr>
          <w:rFonts w:hint="eastAsia" w:ascii="宋体" w:hAnsi="宋体"/>
          <w:kern w:val="44"/>
        </w:rPr>
        <w:t>　发生公路严重损毁、重大交通事故或者遇有恶劣气象等严重影响车辆安全通行的情形时，公安交通管理部门应当及时采取限速通行、关闭公路等交通管制措施，并向社会发布交通管制信息。公路建设、养护和经营管理单位应当积极配合，并采取相应的应急处置措施。</w:t>
      </w:r>
    </w:p>
    <w:p w14:paraId="79891610">
      <w:pPr>
        <w:jc w:val="left"/>
        <w:rPr>
          <w:rFonts w:ascii="宋体" w:hAnsi="宋体"/>
          <w:kern w:val="44"/>
        </w:rPr>
      </w:pPr>
    </w:p>
    <w:p w14:paraId="48736D95">
      <w:pPr>
        <w:ind w:firstLine="0" w:firstLineChars="0"/>
        <w:jc w:val="center"/>
        <w:rPr>
          <w:rFonts w:ascii="宋体" w:hAnsi="宋体"/>
          <w:b/>
          <w:kern w:val="44"/>
          <w:sz w:val="28"/>
        </w:rPr>
      </w:pPr>
      <w:r>
        <w:rPr>
          <w:rFonts w:hint="eastAsia" w:ascii="宋体" w:hAnsi="宋体"/>
          <w:b/>
          <w:kern w:val="44"/>
          <w:sz w:val="28"/>
        </w:rPr>
        <w:t>第八章　法律责任</w:t>
      </w:r>
    </w:p>
    <w:p w14:paraId="7EB73A28">
      <w:pPr>
        <w:jc w:val="left"/>
        <w:rPr>
          <w:rFonts w:ascii="宋体" w:hAnsi="宋体"/>
          <w:kern w:val="44"/>
        </w:rPr>
      </w:pPr>
    </w:p>
    <w:p w14:paraId="096B4661">
      <w:pPr>
        <w:ind w:firstLine="422"/>
        <w:jc w:val="left"/>
        <w:rPr>
          <w:rFonts w:ascii="宋体" w:hAnsi="宋体"/>
          <w:kern w:val="44"/>
        </w:rPr>
      </w:pPr>
      <w:r>
        <w:rPr>
          <w:rFonts w:hint="eastAsia" w:ascii="宋体" w:hAnsi="宋体"/>
          <w:b/>
          <w:kern w:val="44"/>
        </w:rPr>
        <w:t>第五十五条</w:t>
      </w:r>
      <w:r>
        <w:rPr>
          <w:rFonts w:hint="eastAsia" w:ascii="宋体" w:hAnsi="宋体"/>
          <w:kern w:val="44"/>
        </w:rPr>
        <w:t>　市交通行政管理部门、市公路管理机构不依法或者不正当履行公路管理职责的，由其上级行政机关或者监察机关责令改正，对直接负责的主管人员和其他直接责任人员依法给予行政处分；构成犯罪的，依法追究刑事责任。</w:t>
      </w:r>
    </w:p>
    <w:p w14:paraId="1F0BA85E">
      <w:pPr>
        <w:jc w:val="left"/>
        <w:rPr>
          <w:rFonts w:ascii="宋体" w:hAnsi="宋体"/>
          <w:kern w:val="44"/>
        </w:rPr>
      </w:pPr>
      <w:r>
        <w:rPr>
          <w:rFonts w:hint="eastAsia" w:ascii="宋体" w:hAnsi="宋体"/>
          <w:kern w:val="44"/>
        </w:rPr>
        <w:t>市交通行政管理部门、市公路管理机构的工作人员玩忽职守、徇私舞弊、滥用职权，尚不构成犯罪的，依法给予行政处分；构成犯罪的，依法追究刑事责任。</w:t>
      </w:r>
    </w:p>
    <w:p w14:paraId="1EED6BBF">
      <w:pPr>
        <w:ind w:firstLine="422"/>
        <w:jc w:val="left"/>
        <w:rPr>
          <w:rFonts w:ascii="宋体" w:hAnsi="宋体"/>
          <w:kern w:val="44"/>
        </w:rPr>
      </w:pPr>
      <w:r>
        <w:rPr>
          <w:rFonts w:hint="eastAsia" w:ascii="宋体" w:hAnsi="宋体"/>
          <w:b/>
          <w:kern w:val="44"/>
        </w:rPr>
        <w:t>第五十六条</w:t>
      </w:r>
      <w:r>
        <w:rPr>
          <w:rFonts w:hint="eastAsia" w:ascii="宋体" w:hAnsi="宋体"/>
          <w:kern w:val="44"/>
        </w:rPr>
        <w:t>　违反本条例第十七条、第十八条第一款规定，公路养护作业单位未按规定进行养护作业的，由市公路管理机构责令限期改正，予以警告；逾期不改的，处5000元以上2万元以下罚款。</w:t>
      </w:r>
    </w:p>
    <w:p w14:paraId="5BD2CBA6">
      <w:pPr>
        <w:ind w:firstLine="422"/>
        <w:jc w:val="left"/>
        <w:rPr>
          <w:rFonts w:ascii="宋体" w:hAnsi="宋体"/>
          <w:kern w:val="44"/>
        </w:rPr>
      </w:pPr>
      <w:r>
        <w:rPr>
          <w:rFonts w:hint="eastAsia" w:ascii="宋体" w:hAnsi="宋体"/>
          <w:b/>
          <w:kern w:val="44"/>
        </w:rPr>
        <w:t>第五十七条</w:t>
      </w:r>
      <w:r>
        <w:rPr>
          <w:rFonts w:hint="eastAsia" w:ascii="宋体" w:hAnsi="宋体"/>
          <w:kern w:val="44"/>
        </w:rPr>
        <w:t>　违反本条例第五十一条第三款、第五十二条第二款的规定，公路建设、</w:t>
      </w:r>
    </w:p>
    <w:p w14:paraId="60B82243">
      <w:pPr>
        <w:jc w:val="left"/>
        <w:rPr>
          <w:rFonts w:ascii="宋体" w:hAnsi="宋体"/>
          <w:kern w:val="44"/>
        </w:rPr>
      </w:pPr>
      <w:r>
        <w:rPr>
          <w:rFonts w:hint="eastAsia" w:ascii="宋体" w:hAnsi="宋体"/>
          <w:kern w:val="44"/>
        </w:rPr>
        <w:t>养护和经营管理单位未按照规定制定公路先期应急处置方案或者进行先期应急处置方案演练的，由市公路管理机构责令限期改正，并可处2万元以上5万元以下罚款。</w:t>
      </w:r>
    </w:p>
    <w:p w14:paraId="19CB1018">
      <w:pPr>
        <w:ind w:firstLine="422"/>
        <w:jc w:val="left"/>
        <w:rPr>
          <w:rFonts w:ascii="宋体" w:hAnsi="宋体"/>
          <w:kern w:val="44"/>
        </w:rPr>
      </w:pPr>
      <w:r>
        <w:rPr>
          <w:rFonts w:hint="eastAsia" w:ascii="宋体" w:hAnsi="宋体"/>
          <w:b/>
          <w:kern w:val="44"/>
        </w:rPr>
        <w:t>第五十八条</w:t>
      </w:r>
      <w:r>
        <w:rPr>
          <w:rFonts w:hint="eastAsia" w:ascii="宋体" w:hAnsi="宋体"/>
          <w:kern w:val="44"/>
        </w:rPr>
        <w:t>　违反本条例规定的其他行为，按照相关法律、法规应当予以处理的，由有关部门依法处理。</w:t>
      </w:r>
    </w:p>
    <w:p w14:paraId="0A4AE693">
      <w:pPr>
        <w:spacing w:line="300" w:lineRule="exact"/>
        <w:jc w:val="left"/>
        <w:rPr>
          <w:rFonts w:ascii="宋体" w:hAnsi="宋体"/>
          <w:kern w:val="44"/>
        </w:rPr>
      </w:pPr>
    </w:p>
    <w:p w14:paraId="04836846">
      <w:pPr>
        <w:ind w:firstLine="0" w:firstLineChars="0"/>
        <w:jc w:val="center"/>
        <w:rPr>
          <w:rFonts w:ascii="宋体" w:hAnsi="宋体"/>
          <w:b/>
          <w:kern w:val="44"/>
          <w:sz w:val="28"/>
        </w:rPr>
      </w:pPr>
      <w:r>
        <w:rPr>
          <w:rFonts w:hint="eastAsia" w:ascii="宋体" w:hAnsi="宋体"/>
          <w:b/>
          <w:kern w:val="44"/>
          <w:sz w:val="28"/>
        </w:rPr>
        <w:t>第九章　附　则</w:t>
      </w:r>
    </w:p>
    <w:p w14:paraId="539171B0">
      <w:pPr>
        <w:spacing w:line="300" w:lineRule="exact"/>
        <w:jc w:val="left"/>
        <w:rPr>
          <w:rFonts w:ascii="宋体" w:hAnsi="宋体"/>
          <w:kern w:val="44"/>
        </w:rPr>
      </w:pPr>
    </w:p>
    <w:p w14:paraId="026F33D1">
      <w:pPr>
        <w:ind w:firstLine="422"/>
        <w:jc w:val="left"/>
        <w:rPr>
          <w:rFonts w:ascii="宋体" w:hAnsi="宋体"/>
          <w:kern w:val="44"/>
        </w:rPr>
      </w:pPr>
      <w:r>
        <w:rPr>
          <w:rFonts w:hint="eastAsia" w:ascii="宋体" w:hAnsi="宋体"/>
          <w:b/>
          <w:kern w:val="44"/>
        </w:rPr>
        <w:t>第五十九条</w:t>
      </w:r>
      <w:r>
        <w:rPr>
          <w:rFonts w:hint="eastAsia" w:ascii="宋体" w:hAnsi="宋体"/>
          <w:kern w:val="44"/>
        </w:rPr>
        <w:t>　本条例自2007年10月1日起施行。</w:t>
      </w:r>
    </w:p>
    <w:p w14:paraId="00202E47">
      <w:pPr>
        <w:pStyle w:val="4"/>
        <w:pageBreakBefore/>
        <w:rPr>
          <w:kern w:val="44"/>
        </w:rPr>
      </w:pPr>
      <w:bookmarkStart w:id="552" w:name="_Toc427651813"/>
      <w:bookmarkStart w:id="553" w:name="_Toc428780037"/>
      <w:bookmarkStart w:id="554" w:name="_Toc422471164"/>
      <w:bookmarkStart w:id="555" w:name="_Toc427651471"/>
      <w:bookmarkStart w:id="556" w:name="_Toc428781519"/>
      <w:r>
        <w:rPr>
          <w:rFonts w:hint="eastAsia"/>
          <w:kern w:val="44"/>
        </w:rPr>
        <w:t>北京市道路运输条例</w:t>
      </w:r>
      <w:bookmarkEnd w:id="552"/>
      <w:bookmarkEnd w:id="553"/>
      <w:bookmarkEnd w:id="554"/>
      <w:bookmarkEnd w:id="555"/>
      <w:bookmarkEnd w:id="556"/>
    </w:p>
    <w:p w14:paraId="6557C102">
      <w:pPr>
        <w:jc w:val="left"/>
        <w:rPr>
          <w:rFonts w:ascii="宋体" w:hAnsi="宋体"/>
          <w:kern w:val="44"/>
        </w:rPr>
      </w:pPr>
    </w:p>
    <w:p w14:paraId="540E906E">
      <w:pPr>
        <w:ind w:left="630" w:leftChars="300" w:right="630" w:rightChars="300"/>
        <w:jc w:val="left"/>
        <w:rPr>
          <w:rFonts w:ascii="楷体" w:hAnsi="楷体" w:eastAsia="楷体"/>
          <w:kern w:val="44"/>
        </w:rPr>
      </w:pPr>
      <w:r>
        <w:rPr>
          <w:rFonts w:hint="eastAsia" w:ascii="楷体" w:hAnsi="楷体" w:eastAsia="楷体"/>
          <w:kern w:val="44"/>
        </w:rPr>
        <w:t>（2009年7月25日北京市第十三届人民代表大会常务委员会第十二次会议通过）</w:t>
      </w:r>
    </w:p>
    <w:p w14:paraId="42E8E553">
      <w:pPr>
        <w:ind w:left="630" w:leftChars="300" w:right="630" w:rightChars="300"/>
        <w:jc w:val="left"/>
        <w:rPr>
          <w:rFonts w:ascii="楷体" w:hAnsi="楷体" w:eastAsia="楷体"/>
          <w:kern w:val="44"/>
        </w:rPr>
      </w:pPr>
    </w:p>
    <w:p w14:paraId="6ECFBCAD">
      <w:pPr>
        <w:ind w:firstLine="0" w:firstLineChars="0"/>
        <w:jc w:val="center"/>
        <w:rPr>
          <w:rFonts w:ascii="宋体" w:hAnsi="宋体"/>
          <w:b/>
          <w:kern w:val="44"/>
          <w:sz w:val="28"/>
        </w:rPr>
      </w:pPr>
      <w:r>
        <w:rPr>
          <w:rFonts w:hint="eastAsia" w:ascii="宋体" w:hAnsi="宋体"/>
          <w:b/>
          <w:kern w:val="44"/>
          <w:sz w:val="28"/>
        </w:rPr>
        <w:t>第一章　总　则</w:t>
      </w:r>
    </w:p>
    <w:p w14:paraId="0039A8C2">
      <w:pPr>
        <w:jc w:val="left"/>
        <w:rPr>
          <w:rFonts w:ascii="宋体" w:hAnsi="宋体"/>
          <w:kern w:val="44"/>
        </w:rPr>
      </w:pPr>
    </w:p>
    <w:p w14:paraId="4FB79677">
      <w:pPr>
        <w:ind w:firstLine="422"/>
        <w:jc w:val="left"/>
        <w:rPr>
          <w:rFonts w:ascii="宋体" w:hAnsi="宋体"/>
          <w:kern w:val="44"/>
        </w:rPr>
      </w:pPr>
      <w:r>
        <w:rPr>
          <w:rFonts w:hint="eastAsia" w:ascii="宋体" w:hAnsi="宋体"/>
          <w:b/>
          <w:kern w:val="44"/>
        </w:rPr>
        <w:t>第一条</w:t>
      </w:r>
      <w:r>
        <w:rPr>
          <w:rFonts w:hint="eastAsia" w:ascii="宋体" w:hAnsi="宋体"/>
          <w:kern w:val="44"/>
        </w:rPr>
        <w:t>　为了维护道路运输市场秩序，保障道路运输安全，提高道路运输服务水平，保护道路运输有关各方当事人的合法权益，根据有关法律、法规，结合本市实际情况，制定本条例。</w:t>
      </w:r>
    </w:p>
    <w:p w14:paraId="63D85F58">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行政区域内从事道路旅客运输（以下简称客运）经营、道路货物运输（以下简称货运）经营，以及道路运输场站建设和运营、道路运输服务、机动车维修经营和机动车驾驶员培训等道路运输相关业务的活动。</w:t>
      </w:r>
    </w:p>
    <w:p w14:paraId="1DA1B6FF">
      <w:pPr>
        <w:jc w:val="left"/>
        <w:rPr>
          <w:rFonts w:ascii="宋体" w:hAnsi="宋体"/>
          <w:kern w:val="44"/>
        </w:rPr>
      </w:pPr>
      <w:r>
        <w:rPr>
          <w:rFonts w:hint="eastAsia" w:ascii="宋体" w:hAnsi="宋体"/>
          <w:kern w:val="44"/>
        </w:rPr>
        <w:t>公共电汽车客运和出租汽车客运不适用本条例。</w:t>
      </w:r>
    </w:p>
    <w:p w14:paraId="0E227174">
      <w:pPr>
        <w:ind w:firstLine="422"/>
        <w:jc w:val="left"/>
        <w:rPr>
          <w:rFonts w:ascii="宋体" w:hAnsi="宋体"/>
          <w:kern w:val="44"/>
        </w:rPr>
      </w:pPr>
      <w:r>
        <w:rPr>
          <w:rFonts w:hint="eastAsia" w:ascii="宋体" w:hAnsi="宋体"/>
          <w:b/>
          <w:kern w:val="44"/>
        </w:rPr>
        <w:t>第三条</w:t>
      </w:r>
      <w:r>
        <w:rPr>
          <w:rFonts w:hint="eastAsia" w:ascii="宋体" w:hAnsi="宋体"/>
          <w:kern w:val="44"/>
        </w:rPr>
        <w:t>　道路运输是现代服务业的重要组成部分，应当遵循科学发展、统筹规划、节能环保、安全便捷的原则。</w:t>
      </w:r>
    </w:p>
    <w:p w14:paraId="27D0976D">
      <w:pPr>
        <w:ind w:firstLine="422"/>
        <w:jc w:val="left"/>
        <w:rPr>
          <w:rFonts w:ascii="宋体" w:hAnsi="宋体"/>
          <w:kern w:val="44"/>
        </w:rPr>
      </w:pPr>
      <w:r>
        <w:rPr>
          <w:rFonts w:hint="eastAsia" w:ascii="宋体" w:hAnsi="宋体"/>
          <w:b/>
          <w:kern w:val="44"/>
        </w:rPr>
        <w:t>第四条</w:t>
      </w:r>
      <w:r>
        <w:rPr>
          <w:rFonts w:hint="eastAsia" w:ascii="宋体" w:hAnsi="宋体"/>
          <w:kern w:val="44"/>
        </w:rPr>
        <w:t>　从事道路运输经营以及道路运输相关业务的，应当依法经营、诚实守信、公平竞争，为服务对象提供安全、便捷的服务。</w:t>
      </w:r>
    </w:p>
    <w:p w14:paraId="5F1792AA">
      <w:pPr>
        <w:ind w:firstLine="422"/>
        <w:jc w:val="left"/>
        <w:rPr>
          <w:rFonts w:ascii="宋体" w:hAnsi="宋体"/>
          <w:kern w:val="44"/>
        </w:rPr>
      </w:pPr>
      <w:r>
        <w:rPr>
          <w:rFonts w:hint="eastAsia" w:ascii="宋体" w:hAnsi="宋体"/>
          <w:b/>
          <w:kern w:val="44"/>
        </w:rPr>
        <w:t>第五条</w:t>
      </w:r>
      <w:r>
        <w:rPr>
          <w:rFonts w:hint="eastAsia" w:ascii="宋体" w:hAnsi="宋体"/>
          <w:kern w:val="44"/>
        </w:rPr>
        <w:t>　本市道路运输管理应当依法、公开、公平、公正、高效、便民。</w:t>
      </w:r>
    </w:p>
    <w:p w14:paraId="508F4F99">
      <w:pPr>
        <w:ind w:firstLine="422"/>
        <w:jc w:val="left"/>
        <w:rPr>
          <w:rFonts w:ascii="宋体" w:hAnsi="宋体"/>
          <w:kern w:val="44"/>
        </w:rPr>
      </w:pPr>
      <w:r>
        <w:rPr>
          <w:rFonts w:hint="eastAsia" w:ascii="宋体" w:hAnsi="宋体"/>
          <w:b/>
          <w:kern w:val="44"/>
        </w:rPr>
        <w:t>第六条</w:t>
      </w:r>
      <w:r>
        <w:rPr>
          <w:rFonts w:hint="eastAsia" w:ascii="宋体" w:hAnsi="宋体"/>
          <w:kern w:val="44"/>
        </w:rPr>
        <w:t>　本市应当统筹道路运输发展，通过调整、优化基础设施结构、运输装备结构和运输服务结构，逐步实现客运的城乡一体化、区域一体化以及与其他客运方式的一体化，货运的社会化、专业化和集约化，推进现代物流业的发展，逐步建立符合国家首都功能和性质的道路运输体系。</w:t>
      </w:r>
    </w:p>
    <w:p w14:paraId="24E5A12F">
      <w:pPr>
        <w:ind w:firstLine="422"/>
        <w:jc w:val="left"/>
        <w:rPr>
          <w:rFonts w:ascii="宋体" w:hAnsi="宋体"/>
          <w:kern w:val="44"/>
        </w:rPr>
      </w:pPr>
      <w:r>
        <w:rPr>
          <w:rFonts w:hint="eastAsia" w:ascii="宋体" w:hAnsi="宋体"/>
          <w:b/>
          <w:kern w:val="44"/>
        </w:rPr>
        <w:t>第七条</w:t>
      </w:r>
      <w:r>
        <w:rPr>
          <w:rFonts w:hint="eastAsia" w:ascii="宋体" w:hAnsi="宋体"/>
          <w:kern w:val="44"/>
        </w:rPr>
        <w:t>　本市应当完善道路运输标准体系和安全服务管理规范，建立道路运输信息化系统和共享平台，提高道路运输管理和公共服务水平。</w:t>
      </w:r>
    </w:p>
    <w:p w14:paraId="14DF89F0">
      <w:pPr>
        <w:ind w:firstLine="422"/>
        <w:jc w:val="left"/>
        <w:rPr>
          <w:rFonts w:ascii="宋体" w:hAnsi="宋体"/>
          <w:kern w:val="44"/>
        </w:rPr>
      </w:pPr>
      <w:r>
        <w:rPr>
          <w:rFonts w:hint="eastAsia" w:ascii="宋体" w:hAnsi="宋体"/>
          <w:b/>
          <w:kern w:val="44"/>
        </w:rPr>
        <w:t>第八条</w:t>
      </w:r>
      <w:r>
        <w:rPr>
          <w:rFonts w:hint="eastAsia" w:ascii="宋体" w:hAnsi="宋体"/>
          <w:kern w:val="44"/>
        </w:rPr>
        <w:t>　市和区、县交通行政主管部门负责组织领导本行政区域的道路运输管理工作。</w:t>
      </w:r>
    </w:p>
    <w:p w14:paraId="4ECBA808">
      <w:pPr>
        <w:jc w:val="left"/>
        <w:rPr>
          <w:rFonts w:ascii="宋体" w:hAnsi="宋体"/>
          <w:kern w:val="44"/>
        </w:rPr>
      </w:pPr>
      <w:r>
        <w:rPr>
          <w:rFonts w:hint="eastAsia" w:ascii="宋体" w:hAnsi="宋体"/>
          <w:kern w:val="44"/>
        </w:rPr>
        <w:t>市和区、县交通行政主管部门所属的道路运输管理机构及派出机构、市交通执法机构（以下统称道路运输管理机构）按照规定的职责具体实施道路运输管理工作。</w:t>
      </w:r>
    </w:p>
    <w:p w14:paraId="47C86CE9">
      <w:pPr>
        <w:jc w:val="left"/>
        <w:rPr>
          <w:rFonts w:ascii="宋体" w:hAnsi="宋体"/>
          <w:kern w:val="44"/>
        </w:rPr>
      </w:pPr>
      <w:r>
        <w:rPr>
          <w:rFonts w:hint="eastAsia" w:ascii="宋体" w:hAnsi="宋体"/>
          <w:kern w:val="44"/>
        </w:rPr>
        <w:t>市和区、县人民政府有关行政管理部门应当按照各自的职责依法做好相关的道路运输工作。</w:t>
      </w:r>
    </w:p>
    <w:p w14:paraId="6B430D57">
      <w:pPr>
        <w:ind w:firstLine="422"/>
        <w:jc w:val="left"/>
        <w:rPr>
          <w:rFonts w:ascii="宋体" w:hAnsi="宋体"/>
          <w:kern w:val="44"/>
        </w:rPr>
      </w:pPr>
      <w:r>
        <w:rPr>
          <w:rFonts w:hint="eastAsia" w:ascii="宋体" w:hAnsi="宋体"/>
          <w:b/>
          <w:kern w:val="44"/>
        </w:rPr>
        <w:t>第九条</w:t>
      </w:r>
      <w:r>
        <w:rPr>
          <w:rFonts w:hint="eastAsia" w:ascii="宋体" w:hAnsi="宋体"/>
          <w:kern w:val="44"/>
        </w:rPr>
        <w:t>　市交通行政主管部门、市发展改革部门应当共同组织编制本市交通发展规划，确定道路运输发展目标、重点项目及其保障措施等，并向社会公布。</w:t>
      </w:r>
    </w:p>
    <w:p w14:paraId="44CB168A">
      <w:pPr>
        <w:jc w:val="left"/>
        <w:rPr>
          <w:rFonts w:ascii="宋体" w:hAnsi="宋体"/>
          <w:kern w:val="44"/>
        </w:rPr>
      </w:pPr>
      <w:r>
        <w:rPr>
          <w:rFonts w:hint="eastAsia" w:ascii="宋体" w:hAnsi="宋体"/>
          <w:kern w:val="44"/>
        </w:rPr>
        <w:t>市交通行政主管部门所属的道路运输管理机构根据交通发展规划，定期公布道路运输行业发展指导意见。</w:t>
      </w:r>
    </w:p>
    <w:p w14:paraId="041F2BC8">
      <w:pPr>
        <w:ind w:firstLine="422"/>
        <w:jc w:val="left"/>
        <w:rPr>
          <w:rFonts w:ascii="宋体" w:hAnsi="宋体"/>
          <w:kern w:val="44"/>
        </w:rPr>
      </w:pPr>
      <w:r>
        <w:rPr>
          <w:rFonts w:hint="eastAsia" w:ascii="宋体" w:hAnsi="宋体"/>
          <w:b/>
          <w:kern w:val="44"/>
        </w:rPr>
        <w:t>第十条</w:t>
      </w:r>
      <w:r>
        <w:rPr>
          <w:rFonts w:hint="eastAsia" w:ascii="宋体" w:hAnsi="宋体"/>
          <w:kern w:val="44"/>
        </w:rPr>
        <w:t>　本市道路运输行业协会依照章程，建立健全行业自律制度，规范和指导会员经营行为，组织会员开展诚信建设，提高会员的服务质量，维护会员合法权益，参与道路运输相关政策法规、行业标准的研究制定和宣传贯彻。</w:t>
      </w:r>
    </w:p>
    <w:p w14:paraId="00B0D32E">
      <w:pPr>
        <w:jc w:val="left"/>
        <w:rPr>
          <w:rFonts w:ascii="宋体" w:hAnsi="宋体"/>
          <w:kern w:val="44"/>
        </w:rPr>
      </w:pPr>
    </w:p>
    <w:p w14:paraId="64150910">
      <w:pPr>
        <w:ind w:firstLine="0" w:firstLineChars="0"/>
        <w:jc w:val="center"/>
        <w:rPr>
          <w:rFonts w:ascii="宋体" w:hAnsi="宋体"/>
          <w:b/>
          <w:kern w:val="44"/>
          <w:sz w:val="28"/>
        </w:rPr>
      </w:pPr>
      <w:r>
        <w:rPr>
          <w:rFonts w:hint="eastAsia" w:ascii="宋体" w:hAnsi="宋体"/>
          <w:b/>
          <w:kern w:val="44"/>
          <w:sz w:val="28"/>
        </w:rPr>
        <w:t>第二章　道路运输服务</w:t>
      </w:r>
    </w:p>
    <w:p w14:paraId="3CB5B7DD">
      <w:pPr>
        <w:ind w:firstLine="0" w:firstLineChars="0"/>
        <w:jc w:val="center"/>
        <w:rPr>
          <w:rFonts w:ascii="宋体" w:hAnsi="宋体"/>
          <w:kern w:val="44"/>
          <w:sz w:val="28"/>
        </w:rPr>
      </w:pPr>
    </w:p>
    <w:p w14:paraId="0F5EC429">
      <w:pPr>
        <w:ind w:firstLine="0" w:firstLineChars="0"/>
        <w:jc w:val="center"/>
        <w:rPr>
          <w:rFonts w:ascii="宋体" w:hAnsi="宋体"/>
          <w:kern w:val="44"/>
          <w:sz w:val="28"/>
        </w:rPr>
      </w:pPr>
      <w:r>
        <w:rPr>
          <w:rFonts w:hint="eastAsia" w:ascii="宋体" w:hAnsi="宋体"/>
          <w:kern w:val="44"/>
          <w:sz w:val="28"/>
        </w:rPr>
        <w:t>第一节　一般规定</w:t>
      </w:r>
    </w:p>
    <w:p w14:paraId="75D95C01">
      <w:pPr>
        <w:jc w:val="left"/>
        <w:rPr>
          <w:rFonts w:ascii="宋体" w:hAnsi="宋体"/>
          <w:kern w:val="44"/>
        </w:rPr>
      </w:pPr>
    </w:p>
    <w:p w14:paraId="3EC532F3">
      <w:pPr>
        <w:ind w:firstLine="422"/>
        <w:jc w:val="left"/>
        <w:rPr>
          <w:rFonts w:ascii="宋体" w:hAnsi="宋体"/>
          <w:kern w:val="44"/>
        </w:rPr>
      </w:pPr>
      <w:r>
        <w:rPr>
          <w:rFonts w:hint="eastAsia" w:ascii="宋体" w:hAnsi="宋体"/>
          <w:b/>
          <w:kern w:val="44"/>
        </w:rPr>
        <w:t>第十一条</w:t>
      </w:r>
      <w:r>
        <w:rPr>
          <w:rFonts w:hint="eastAsia" w:ascii="宋体" w:hAnsi="宋体"/>
          <w:kern w:val="44"/>
        </w:rPr>
        <w:t>　市交通行政主管部门所属的道路运输管理机构应当定期收集、分析、整理、更新道路运输管理和服务信息，并通过道路运输信息化系统和共享平台向社会发布。</w:t>
      </w:r>
    </w:p>
    <w:p w14:paraId="78113389">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本市道路运输实行经营许可制度。</w:t>
      </w:r>
    </w:p>
    <w:p w14:paraId="189213A5">
      <w:pPr>
        <w:jc w:val="left"/>
        <w:rPr>
          <w:rFonts w:ascii="宋体" w:hAnsi="宋体"/>
          <w:kern w:val="44"/>
        </w:rPr>
      </w:pPr>
      <w:r>
        <w:rPr>
          <w:rFonts w:hint="eastAsia" w:ascii="宋体" w:hAnsi="宋体"/>
          <w:kern w:val="44"/>
        </w:rPr>
        <w:t>从事道路运输经营的单位和个人，应当依据法律、法规规定的程序和条件取得相应的经营许可。</w:t>
      </w:r>
    </w:p>
    <w:p w14:paraId="4D0C9BAE">
      <w:pPr>
        <w:jc w:val="left"/>
        <w:rPr>
          <w:rFonts w:ascii="宋体" w:hAnsi="宋体"/>
          <w:kern w:val="44"/>
        </w:rPr>
      </w:pPr>
      <w:r>
        <w:rPr>
          <w:rFonts w:hint="eastAsia" w:ascii="宋体" w:hAnsi="宋体"/>
          <w:kern w:val="44"/>
        </w:rPr>
        <w:t>道路运输管理机构做出的行政许可决定应当符合法定的条件、程序和期限，符合本市交通发展规划和绿色环保标准要求。</w:t>
      </w:r>
    </w:p>
    <w:p w14:paraId="7862E632">
      <w:pPr>
        <w:ind w:firstLine="422"/>
        <w:jc w:val="left"/>
        <w:rPr>
          <w:rFonts w:ascii="宋体" w:hAnsi="宋体"/>
          <w:kern w:val="44"/>
        </w:rPr>
      </w:pPr>
      <w:r>
        <w:rPr>
          <w:rFonts w:hint="eastAsia" w:ascii="宋体" w:hAnsi="宋体"/>
          <w:b/>
          <w:kern w:val="44"/>
        </w:rPr>
        <w:t>第十三条</w:t>
      </w:r>
      <w:r>
        <w:rPr>
          <w:rFonts w:hint="eastAsia" w:ascii="宋体" w:hAnsi="宋体"/>
          <w:kern w:val="44"/>
        </w:rPr>
        <w:t>　道路运输经营者应当遵守下列规定：</w:t>
      </w:r>
    </w:p>
    <w:p w14:paraId="4B697CE0">
      <w:pPr>
        <w:jc w:val="left"/>
        <w:rPr>
          <w:rFonts w:ascii="宋体" w:hAnsi="宋体"/>
          <w:kern w:val="44"/>
        </w:rPr>
      </w:pPr>
      <w:r>
        <w:rPr>
          <w:rFonts w:hint="eastAsia" w:ascii="宋体" w:hAnsi="宋体"/>
          <w:kern w:val="44"/>
        </w:rPr>
        <w:t>（一）按照许可的范围或者事项从事经营活动，接受道路运输管理机构和有关行政管理部门的监督检查；</w:t>
      </w:r>
    </w:p>
    <w:p w14:paraId="51B5F13F">
      <w:pPr>
        <w:jc w:val="left"/>
        <w:rPr>
          <w:rFonts w:ascii="宋体" w:hAnsi="宋体"/>
          <w:kern w:val="44"/>
        </w:rPr>
      </w:pPr>
      <w:r>
        <w:rPr>
          <w:rFonts w:hint="eastAsia" w:ascii="宋体" w:hAnsi="宋体"/>
          <w:kern w:val="44"/>
        </w:rPr>
        <w:t>（二）制定并执行服务标准和规程、收费管理、安全行车等规章制度；</w:t>
      </w:r>
    </w:p>
    <w:p w14:paraId="15A33F85">
      <w:pPr>
        <w:jc w:val="left"/>
        <w:rPr>
          <w:rFonts w:ascii="宋体" w:hAnsi="宋体"/>
          <w:kern w:val="44"/>
        </w:rPr>
      </w:pPr>
      <w:r>
        <w:rPr>
          <w:rFonts w:hint="eastAsia" w:ascii="宋体" w:hAnsi="宋体"/>
          <w:kern w:val="44"/>
        </w:rPr>
        <w:t>（三）对从业人员加强法制教育、职业道德教育和专业技能培训；</w:t>
      </w:r>
    </w:p>
    <w:p w14:paraId="529994F5">
      <w:pPr>
        <w:jc w:val="left"/>
        <w:rPr>
          <w:rFonts w:ascii="宋体" w:hAnsi="宋体"/>
          <w:kern w:val="44"/>
        </w:rPr>
      </w:pPr>
      <w:r>
        <w:rPr>
          <w:rFonts w:hint="eastAsia" w:ascii="宋体" w:hAnsi="宋体"/>
          <w:kern w:val="44"/>
        </w:rPr>
        <w:t>（四）按照规定维护和检测运输车辆，确保车辆符合国家和本市规定的技术标准、排放标准和燃料消耗限值；</w:t>
      </w:r>
    </w:p>
    <w:p w14:paraId="44346A0B">
      <w:pPr>
        <w:jc w:val="left"/>
        <w:rPr>
          <w:rFonts w:ascii="宋体" w:hAnsi="宋体"/>
          <w:kern w:val="44"/>
        </w:rPr>
      </w:pPr>
      <w:r>
        <w:rPr>
          <w:rFonts w:hint="eastAsia" w:ascii="宋体" w:hAnsi="宋体"/>
          <w:kern w:val="44"/>
        </w:rPr>
        <w:t>（五）运营中携带车辆营运证件、驾驶员资格证件以及其他规定的证件；</w:t>
      </w:r>
    </w:p>
    <w:p w14:paraId="3A941CD8">
      <w:pPr>
        <w:jc w:val="left"/>
        <w:rPr>
          <w:rFonts w:ascii="宋体" w:hAnsi="宋体"/>
          <w:kern w:val="44"/>
        </w:rPr>
      </w:pPr>
      <w:r>
        <w:rPr>
          <w:rFonts w:hint="eastAsia" w:ascii="宋体" w:hAnsi="宋体"/>
          <w:kern w:val="44"/>
        </w:rPr>
        <w:t>（六）按照国家和本市有关价格管理的规定，明码标价，合理收取费用；</w:t>
      </w:r>
    </w:p>
    <w:p w14:paraId="58A8F54E">
      <w:pPr>
        <w:jc w:val="left"/>
        <w:rPr>
          <w:rFonts w:ascii="宋体" w:hAnsi="宋体"/>
          <w:kern w:val="44"/>
        </w:rPr>
      </w:pPr>
      <w:r>
        <w:rPr>
          <w:rFonts w:hint="eastAsia" w:ascii="宋体" w:hAnsi="宋体"/>
          <w:kern w:val="44"/>
        </w:rPr>
        <w:t>（七）使用由税务部门监制的道路运输专用发票，不得伪造、涂改、倒卖、转借和转让专用发票；</w:t>
      </w:r>
    </w:p>
    <w:p w14:paraId="2CF5045C">
      <w:pPr>
        <w:jc w:val="left"/>
        <w:rPr>
          <w:rFonts w:ascii="宋体" w:hAnsi="宋体"/>
          <w:kern w:val="44"/>
        </w:rPr>
      </w:pPr>
      <w:r>
        <w:rPr>
          <w:rFonts w:hint="eastAsia" w:ascii="宋体" w:hAnsi="宋体"/>
          <w:kern w:val="44"/>
        </w:rPr>
        <w:t>（八）对服务对象提出的服务质量问题及时调查处理；</w:t>
      </w:r>
    </w:p>
    <w:p w14:paraId="7BD41923">
      <w:pPr>
        <w:jc w:val="left"/>
        <w:rPr>
          <w:rFonts w:ascii="宋体" w:hAnsi="宋体"/>
          <w:kern w:val="44"/>
        </w:rPr>
      </w:pPr>
      <w:r>
        <w:rPr>
          <w:rFonts w:hint="eastAsia" w:ascii="宋体" w:hAnsi="宋体"/>
          <w:kern w:val="44"/>
        </w:rPr>
        <w:t>（九）按照规定向道路运输管理机构报送统计报表和信息。</w:t>
      </w:r>
    </w:p>
    <w:p w14:paraId="3C107CAC">
      <w:pPr>
        <w:ind w:firstLine="422"/>
        <w:jc w:val="left"/>
        <w:rPr>
          <w:rFonts w:ascii="宋体" w:hAnsi="宋体"/>
          <w:kern w:val="44"/>
        </w:rPr>
      </w:pPr>
      <w:r>
        <w:rPr>
          <w:rFonts w:hint="eastAsia" w:ascii="宋体" w:hAnsi="宋体"/>
          <w:b/>
          <w:kern w:val="44"/>
        </w:rPr>
        <w:t>第十四条</w:t>
      </w:r>
      <w:r>
        <w:rPr>
          <w:rFonts w:hint="eastAsia" w:ascii="宋体" w:hAnsi="宋体"/>
          <w:kern w:val="44"/>
        </w:rPr>
        <w:t>　道路运输车辆运输旅客的，不得超过核定的人数，不得违反规定载货；运输货物的，不得运输旅客，运输的货物应当符合核定的载重量，严禁超载；载物的长、宽、高不得违反装载要求。</w:t>
      </w:r>
    </w:p>
    <w:p w14:paraId="23368100">
      <w:pPr>
        <w:jc w:val="left"/>
        <w:rPr>
          <w:rFonts w:ascii="宋体" w:hAnsi="宋体"/>
          <w:kern w:val="44"/>
        </w:rPr>
      </w:pPr>
      <w:r>
        <w:rPr>
          <w:rFonts w:hint="eastAsia" w:ascii="宋体" w:hAnsi="宋体"/>
          <w:kern w:val="44"/>
        </w:rPr>
        <w:t>违反前款规定的，由公安机关交通管理部门依照《中华人民共和国道路交通安全法》的有关规定进行处罚。</w:t>
      </w:r>
    </w:p>
    <w:p w14:paraId="3562988E">
      <w:pPr>
        <w:ind w:firstLine="422"/>
        <w:jc w:val="left"/>
        <w:rPr>
          <w:rFonts w:ascii="宋体" w:hAnsi="宋体"/>
          <w:kern w:val="44"/>
        </w:rPr>
      </w:pPr>
      <w:r>
        <w:rPr>
          <w:rFonts w:hint="eastAsia" w:ascii="宋体" w:hAnsi="宋体"/>
          <w:b/>
          <w:kern w:val="44"/>
        </w:rPr>
        <w:t>第十五条</w:t>
      </w:r>
      <w:r>
        <w:rPr>
          <w:rFonts w:hint="eastAsia" w:ascii="宋体" w:hAnsi="宋体"/>
          <w:kern w:val="44"/>
        </w:rPr>
        <w:t>　道路运输管理机构依法对道路客货运输驾驶员、道路危险货物运输从业人员、机动车维修技术人员、道路运输经理人实行从业资格管理，采取措施提高从业人员的安全和服务水平。</w:t>
      </w:r>
    </w:p>
    <w:p w14:paraId="3A47A47E">
      <w:pPr>
        <w:jc w:val="left"/>
        <w:rPr>
          <w:rFonts w:ascii="宋体" w:hAnsi="宋体"/>
          <w:kern w:val="44"/>
        </w:rPr>
      </w:pPr>
      <w:r>
        <w:rPr>
          <w:rFonts w:hint="eastAsia" w:ascii="宋体" w:hAnsi="宋体"/>
          <w:kern w:val="44"/>
        </w:rPr>
        <w:t>道路客货运输驾驶员和道路危险货物运输从业人员必须取得相应从业资格，方可从事相应的道路运输活动。</w:t>
      </w:r>
    </w:p>
    <w:p w14:paraId="73731EE2">
      <w:pPr>
        <w:ind w:firstLine="422"/>
        <w:jc w:val="left"/>
        <w:rPr>
          <w:rFonts w:ascii="宋体" w:hAnsi="宋体"/>
          <w:kern w:val="44"/>
        </w:rPr>
      </w:pPr>
      <w:r>
        <w:rPr>
          <w:rFonts w:hint="eastAsia" w:ascii="宋体" w:hAnsi="宋体"/>
          <w:b/>
          <w:kern w:val="44"/>
        </w:rPr>
        <w:t>第十六条</w:t>
      </w:r>
      <w:r>
        <w:rPr>
          <w:rFonts w:hint="eastAsia" w:ascii="宋体" w:hAnsi="宋体"/>
          <w:kern w:val="44"/>
        </w:rPr>
        <w:t>　道路运输经营者应当对道路客货运输驾驶员、道路危险货物运输的驾驶员、押运人员、装卸管理人员等专业人员进行岗前和在职专业技能培训。</w:t>
      </w:r>
    </w:p>
    <w:p w14:paraId="22EFC889">
      <w:pPr>
        <w:jc w:val="left"/>
        <w:rPr>
          <w:rFonts w:ascii="宋体" w:hAnsi="宋体"/>
          <w:kern w:val="44"/>
        </w:rPr>
      </w:pPr>
      <w:r>
        <w:rPr>
          <w:rFonts w:hint="eastAsia" w:ascii="宋体" w:hAnsi="宋体"/>
          <w:kern w:val="44"/>
        </w:rPr>
        <w:t>道路运输经营者对持有外省市核发的从业资格证件的驾驶员，应当按照有关规定进行本市道路交通状况、道路通行条件、道路通行规定等专项培训，并办理本市驾驶员信息卡；未经培训或培训不合格的，道路运输经营者不得安排其从事专业营运活动。</w:t>
      </w:r>
    </w:p>
    <w:p w14:paraId="055EB09D">
      <w:pPr>
        <w:ind w:firstLine="422"/>
        <w:jc w:val="left"/>
        <w:rPr>
          <w:rFonts w:ascii="宋体" w:hAnsi="宋体"/>
          <w:kern w:val="44"/>
        </w:rPr>
      </w:pPr>
      <w:r>
        <w:rPr>
          <w:rFonts w:hint="eastAsia" w:ascii="宋体" w:hAnsi="宋体"/>
          <w:b/>
          <w:kern w:val="44"/>
        </w:rPr>
        <w:t>第十七条</w:t>
      </w:r>
      <w:r>
        <w:rPr>
          <w:rFonts w:hint="eastAsia" w:ascii="宋体" w:hAnsi="宋体"/>
          <w:kern w:val="44"/>
        </w:rPr>
        <w:t>　旅客、货主以及其他有关当事人对道路运输经营者和从业人员的违法行为，有权向道路运输管理机构举报。道路运输管理机构接到举报后，应当及时调查处理，并将处理结果告知举报人。</w:t>
      </w:r>
    </w:p>
    <w:p w14:paraId="7DFA066B">
      <w:pPr>
        <w:jc w:val="left"/>
        <w:rPr>
          <w:rFonts w:ascii="宋体" w:hAnsi="宋体"/>
          <w:kern w:val="44"/>
        </w:rPr>
      </w:pPr>
    </w:p>
    <w:p w14:paraId="3CBF1367">
      <w:pPr>
        <w:ind w:firstLine="0" w:firstLineChars="0"/>
        <w:jc w:val="center"/>
        <w:rPr>
          <w:rFonts w:ascii="宋体" w:hAnsi="宋体"/>
          <w:kern w:val="44"/>
          <w:sz w:val="28"/>
        </w:rPr>
      </w:pPr>
      <w:r>
        <w:rPr>
          <w:rFonts w:hint="eastAsia" w:ascii="宋体" w:hAnsi="宋体"/>
          <w:kern w:val="44"/>
          <w:sz w:val="28"/>
        </w:rPr>
        <w:t>第二节　客　运</w:t>
      </w:r>
    </w:p>
    <w:p w14:paraId="3AC2C436">
      <w:pPr>
        <w:jc w:val="left"/>
        <w:rPr>
          <w:rFonts w:ascii="宋体" w:hAnsi="宋体"/>
          <w:kern w:val="44"/>
        </w:rPr>
      </w:pPr>
    </w:p>
    <w:p w14:paraId="04A33B29">
      <w:pPr>
        <w:ind w:firstLine="422"/>
        <w:jc w:val="left"/>
        <w:rPr>
          <w:rFonts w:ascii="宋体" w:hAnsi="宋体"/>
          <w:kern w:val="44"/>
        </w:rPr>
      </w:pPr>
      <w:r>
        <w:rPr>
          <w:rFonts w:hint="eastAsia" w:ascii="宋体" w:hAnsi="宋体"/>
          <w:b/>
          <w:kern w:val="44"/>
        </w:rPr>
        <w:t>第十八条</w:t>
      </w:r>
      <w:r>
        <w:rPr>
          <w:rFonts w:hint="eastAsia" w:ascii="宋体" w:hAnsi="宋体"/>
          <w:kern w:val="44"/>
        </w:rPr>
        <w:t>　客运经营者应当遵守下列规定：</w:t>
      </w:r>
    </w:p>
    <w:p w14:paraId="5CC1599C">
      <w:pPr>
        <w:jc w:val="left"/>
        <w:rPr>
          <w:rFonts w:ascii="宋体" w:hAnsi="宋体"/>
          <w:kern w:val="44"/>
        </w:rPr>
      </w:pPr>
      <w:r>
        <w:rPr>
          <w:rFonts w:hint="eastAsia" w:ascii="宋体" w:hAnsi="宋体"/>
          <w:kern w:val="44"/>
        </w:rPr>
        <w:t>（一）保持车辆性能良好，服务设施齐全，不得擅自改装车辆；</w:t>
      </w:r>
    </w:p>
    <w:p w14:paraId="5D4FF8DD">
      <w:pPr>
        <w:jc w:val="left"/>
        <w:rPr>
          <w:rFonts w:ascii="宋体" w:hAnsi="宋体"/>
          <w:kern w:val="44"/>
        </w:rPr>
      </w:pPr>
      <w:r>
        <w:rPr>
          <w:rFonts w:hint="eastAsia" w:ascii="宋体" w:hAnsi="宋体"/>
          <w:kern w:val="44"/>
        </w:rPr>
        <w:t>（二）为旅客提供良好的乘车环境，保持车辆清洁、卫生；</w:t>
      </w:r>
    </w:p>
    <w:p w14:paraId="0738AD2C">
      <w:pPr>
        <w:jc w:val="left"/>
        <w:rPr>
          <w:rFonts w:ascii="宋体" w:hAnsi="宋体"/>
          <w:kern w:val="44"/>
        </w:rPr>
      </w:pPr>
      <w:r>
        <w:rPr>
          <w:rFonts w:hint="eastAsia" w:ascii="宋体" w:hAnsi="宋体"/>
          <w:kern w:val="44"/>
        </w:rPr>
        <w:t>（三）不得强迫旅客乘车，不得甩客或者转由他人运送；</w:t>
      </w:r>
    </w:p>
    <w:p w14:paraId="6EC60EAB">
      <w:pPr>
        <w:jc w:val="left"/>
        <w:rPr>
          <w:rFonts w:ascii="宋体" w:hAnsi="宋体"/>
          <w:kern w:val="44"/>
        </w:rPr>
      </w:pPr>
      <w:r>
        <w:rPr>
          <w:rFonts w:hint="eastAsia" w:ascii="宋体" w:hAnsi="宋体"/>
          <w:kern w:val="44"/>
        </w:rPr>
        <w:t>（四）在车辆指定位置喷涂经营者名称或者标识，悬挂标志牌，放置服务监督卡片并张贴票价表；</w:t>
      </w:r>
    </w:p>
    <w:p w14:paraId="344D275D">
      <w:pPr>
        <w:jc w:val="left"/>
        <w:rPr>
          <w:rFonts w:ascii="宋体" w:hAnsi="宋体"/>
          <w:kern w:val="44"/>
        </w:rPr>
      </w:pPr>
      <w:r>
        <w:rPr>
          <w:rFonts w:hint="eastAsia" w:ascii="宋体" w:hAnsi="宋体"/>
          <w:kern w:val="44"/>
        </w:rPr>
        <w:t>（五）按照规定执行本市的班线客运统一售票制度，不得擅自在客运场站外组织客源；</w:t>
      </w:r>
    </w:p>
    <w:p w14:paraId="5E25EDD5">
      <w:pPr>
        <w:jc w:val="left"/>
        <w:rPr>
          <w:rFonts w:ascii="宋体" w:hAnsi="宋体"/>
          <w:kern w:val="44"/>
        </w:rPr>
      </w:pPr>
      <w:r>
        <w:rPr>
          <w:rFonts w:hint="eastAsia" w:ascii="宋体" w:hAnsi="宋体"/>
          <w:kern w:val="44"/>
        </w:rPr>
        <w:t>（六）班线客运在许可的线路、场站内，按照核准的经营范围、班次和时间运营，不得站外上客或者沿途揽客；</w:t>
      </w:r>
    </w:p>
    <w:p w14:paraId="55AC2BFB">
      <w:pPr>
        <w:jc w:val="left"/>
        <w:rPr>
          <w:rFonts w:ascii="宋体" w:hAnsi="宋体"/>
          <w:kern w:val="44"/>
        </w:rPr>
      </w:pPr>
      <w:r>
        <w:rPr>
          <w:rFonts w:hint="eastAsia" w:ascii="宋体" w:hAnsi="宋体"/>
          <w:kern w:val="44"/>
        </w:rPr>
        <w:t>（七）包车客运按照约定的起始地、目的地和线路运输，不得承运包车合同之外的旅客，不得变相从事班线客运；</w:t>
      </w:r>
    </w:p>
    <w:p w14:paraId="2B1ABABB">
      <w:pPr>
        <w:jc w:val="left"/>
        <w:rPr>
          <w:rFonts w:ascii="宋体" w:hAnsi="宋体"/>
          <w:kern w:val="44"/>
        </w:rPr>
      </w:pPr>
      <w:r>
        <w:rPr>
          <w:rFonts w:hint="eastAsia" w:ascii="宋体" w:hAnsi="宋体"/>
          <w:kern w:val="44"/>
        </w:rPr>
        <w:t>（八）跨省市客运的运营线路一端应当在车籍所在地，但执行道路运输管理机构下达的紧急包车任务的除外。</w:t>
      </w:r>
    </w:p>
    <w:p w14:paraId="2F5AB066">
      <w:pPr>
        <w:ind w:firstLine="422"/>
        <w:jc w:val="left"/>
        <w:rPr>
          <w:rFonts w:ascii="宋体" w:hAnsi="宋体"/>
          <w:kern w:val="44"/>
        </w:rPr>
      </w:pPr>
      <w:r>
        <w:rPr>
          <w:rFonts w:hint="eastAsia" w:ascii="宋体" w:hAnsi="宋体"/>
          <w:b/>
          <w:kern w:val="44"/>
        </w:rPr>
        <w:t>第十九条</w:t>
      </w:r>
      <w:r>
        <w:rPr>
          <w:rFonts w:hint="eastAsia" w:ascii="宋体" w:hAnsi="宋体"/>
          <w:kern w:val="44"/>
        </w:rPr>
        <w:t>　班线客运经营者取得经营许可证后，应当向公众连续提供运输服务，并不得少于90日。</w:t>
      </w:r>
    </w:p>
    <w:p w14:paraId="34E10622">
      <w:pPr>
        <w:jc w:val="left"/>
        <w:rPr>
          <w:rFonts w:ascii="宋体" w:hAnsi="宋体"/>
          <w:kern w:val="44"/>
        </w:rPr>
      </w:pPr>
      <w:r>
        <w:rPr>
          <w:rFonts w:hint="eastAsia" w:ascii="宋体" w:hAnsi="宋体"/>
          <w:kern w:val="44"/>
        </w:rPr>
        <w:t>班线客运经营者暂停或者终止班线经营的，应当经道路运输管理机构批准，并于暂停或者终止班线经营之日前7日在班线线路各站发布公告。</w:t>
      </w:r>
    </w:p>
    <w:p w14:paraId="35331103">
      <w:pPr>
        <w:ind w:firstLine="422"/>
        <w:jc w:val="left"/>
        <w:rPr>
          <w:rFonts w:ascii="宋体" w:hAnsi="宋体"/>
          <w:kern w:val="44"/>
        </w:rPr>
      </w:pPr>
      <w:r>
        <w:rPr>
          <w:rFonts w:hint="eastAsia" w:ascii="宋体" w:hAnsi="宋体"/>
          <w:b/>
          <w:kern w:val="44"/>
        </w:rPr>
        <w:t>第二十条</w:t>
      </w:r>
      <w:r>
        <w:rPr>
          <w:rFonts w:hint="eastAsia" w:ascii="宋体" w:hAnsi="宋体"/>
          <w:kern w:val="44"/>
        </w:rPr>
        <w:t>　郊区的区、县人民政府应当按照本市交通发展规划的要求，制定本行政区域内班线客运的保障措施以及边远乡村班线客运的扶持政策。</w:t>
      </w:r>
    </w:p>
    <w:p w14:paraId="64984DE1">
      <w:pPr>
        <w:jc w:val="left"/>
        <w:rPr>
          <w:rFonts w:ascii="宋体" w:hAnsi="宋体"/>
          <w:kern w:val="44"/>
        </w:rPr>
      </w:pPr>
      <w:r>
        <w:rPr>
          <w:rFonts w:hint="eastAsia" w:ascii="宋体" w:hAnsi="宋体"/>
          <w:kern w:val="44"/>
        </w:rPr>
        <w:t>享受公交政策的郊区客运经营者应当执行城市公共电汽车的服务标准和票价政策；经许可机关同意，可以采取区域经营、循环运行、设置临时发车停靠点等方式运营。</w:t>
      </w:r>
    </w:p>
    <w:p w14:paraId="07A2D589">
      <w:pPr>
        <w:ind w:firstLine="422"/>
        <w:jc w:val="left"/>
        <w:rPr>
          <w:rFonts w:ascii="宋体" w:hAnsi="宋体"/>
          <w:kern w:val="44"/>
        </w:rPr>
      </w:pPr>
      <w:r>
        <w:rPr>
          <w:rFonts w:hint="eastAsia" w:ascii="宋体" w:hAnsi="宋体"/>
          <w:b/>
          <w:kern w:val="44"/>
        </w:rPr>
        <w:t>第二十一条</w:t>
      </w:r>
      <w:r>
        <w:rPr>
          <w:rFonts w:hint="eastAsia" w:ascii="宋体" w:hAnsi="宋体"/>
          <w:kern w:val="44"/>
        </w:rPr>
        <w:t>　市交通行政主管部门所属的道路运输管理机构应当根据道路通行条件、客流分布、场站容量和公众出行需求，合理设置、调整班线线路的起止站和跨省市班线线路的中途停靠站，并在设置、调整之日前7日向社会发布公告。</w:t>
      </w:r>
    </w:p>
    <w:p w14:paraId="0464BF79">
      <w:pPr>
        <w:ind w:firstLine="422"/>
        <w:jc w:val="left"/>
        <w:rPr>
          <w:rFonts w:ascii="宋体" w:hAnsi="宋体"/>
          <w:kern w:val="44"/>
        </w:rPr>
      </w:pPr>
      <w:r>
        <w:rPr>
          <w:rFonts w:hint="eastAsia" w:ascii="宋体" w:hAnsi="宋体"/>
          <w:b/>
          <w:kern w:val="44"/>
        </w:rPr>
        <w:t>第二十二条</w:t>
      </w:r>
      <w:r>
        <w:rPr>
          <w:rFonts w:hint="eastAsia" w:ascii="宋体" w:hAnsi="宋体"/>
          <w:kern w:val="44"/>
        </w:rPr>
        <w:t>　旅客应当持有效客票乘车，遵守社会公德和乘车秩序，讲究文明卫生；不得携带国家规定的危险物品以及其他禁止携带的物品乘车，并配合安全检查。</w:t>
      </w:r>
    </w:p>
    <w:p w14:paraId="19AEF024">
      <w:pPr>
        <w:spacing w:line="300" w:lineRule="exact"/>
        <w:jc w:val="left"/>
        <w:rPr>
          <w:rFonts w:ascii="宋体" w:hAnsi="宋体"/>
          <w:kern w:val="44"/>
        </w:rPr>
      </w:pPr>
    </w:p>
    <w:p w14:paraId="53312BBA">
      <w:pPr>
        <w:ind w:firstLine="0" w:firstLineChars="0"/>
        <w:jc w:val="center"/>
        <w:rPr>
          <w:rFonts w:ascii="宋体" w:hAnsi="宋体"/>
          <w:kern w:val="44"/>
          <w:sz w:val="28"/>
        </w:rPr>
      </w:pPr>
      <w:r>
        <w:rPr>
          <w:rFonts w:hint="eastAsia" w:ascii="宋体" w:hAnsi="宋体"/>
          <w:kern w:val="44"/>
          <w:sz w:val="28"/>
        </w:rPr>
        <w:t>第三节　货　运</w:t>
      </w:r>
    </w:p>
    <w:p w14:paraId="1153E316">
      <w:pPr>
        <w:spacing w:line="300" w:lineRule="exact"/>
        <w:jc w:val="left"/>
        <w:rPr>
          <w:rFonts w:ascii="宋体" w:hAnsi="宋体"/>
          <w:kern w:val="44"/>
        </w:rPr>
      </w:pPr>
    </w:p>
    <w:p w14:paraId="52B8277D">
      <w:pPr>
        <w:ind w:firstLine="422"/>
        <w:jc w:val="left"/>
        <w:rPr>
          <w:rFonts w:ascii="宋体" w:hAnsi="宋体"/>
          <w:kern w:val="44"/>
        </w:rPr>
      </w:pPr>
      <w:r>
        <w:rPr>
          <w:rFonts w:hint="eastAsia" w:ascii="宋体" w:hAnsi="宋体"/>
          <w:b/>
          <w:kern w:val="44"/>
        </w:rPr>
        <w:t>第二十三条</w:t>
      </w:r>
      <w:r>
        <w:rPr>
          <w:rFonts w:hint="eastAsia" w:ascii="宋体" w:hAnsi="宋体"/>
          <w:kern w:val="44"/>
        </w:rPr>
        <w:t>　道路货物运输是城市物流体系的重要组成部分。</w:t>
      </w:r>
    </w:p>
    <w:p w14:paraId="12394B6A">
      <w:pPr>
        <w:jc w:val="left"/>
        <w:rPr>
          <w:rFonts w:ascii="宋体" w:hAnsi="宋体"/>
          <w:kern w:val="44"/>
        </w:rPr>
      </w:pPr>
      <w:r>
        <w:rPr>
          <w:rFonts w:hint="eastAsia" w:ascii="宋体" w:hAnsi="宋体"/>
          <w:kern w:val="44"/>
        </w:rPr>
        <w:t>本市优先发展封闭、厢式、罐式货车运输和集装箱甩挂运输等专业化货运，整合货运、货运代理和货运场站等运输资源向现代物流业发展。</w:t>
      </w:r>
    </w:p>
    <w:p w14:paraId="13B77B0E">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交通行政主管部门所属的道路运输管理机构会同市商务、建设、农业、市政管理等相关部门建立协调配合机制，定期归集整理本市生产、生活等重要物资的货运需求信息并向社会公布，引导运输供给与需求的平衡发展。</w:t>
      </w:r>
    </w:p>
    <w:p w14:paraId="2CFCB552">
      <w:pPr>
        <w:ind w:firstLine="422"/>
        <w:jc w:val="left"/>
        <w:rPr>
          <w:rFonts w:ascii="宋体" w:hAnsi="宋体"/>
          <w:kern w:val="44"/>
        </w:rPr>
      </w:pPr>
      <w:r>
        <w:rPr>
          <w:rFonts w:hint="eastAsia" w:ascii="宋体" w:hAnsi="宋体"/>
          <w:b/>
          <w:kern w:val="44"/>
        </w:rPr>
        <w:t>第二十五条</w:t>
      </w:r>
      <w:r>
        <w:rPr>
          <w:rFonts w:hint="eastAsia" w:ascii="宋体" w:hAnsi="宋体"/>
          <w:kern w:val="44"/>
        </w:rPr>
        <w:t>　本市城市中心区的货运应当保障城市正常运行和人民群众生产、生活的需要，缓解道路交通压力；实行夜运为主、昼运为辅的方式。本市对在城市中心区内从事昼运的货运车辆实行总量控制、分类管理、择优配置，并逐步实施。</w:t>
      </w:r>
    </w:p>
    <w:p w14:paraId="22FFB844">
      <w:pPr>
        <w:jc w:val="left"/>
        <w:rPr>
          <w:rFonts w:ascii="宋体" w:hAnsi="宋体"/>
          <w:kern w:val="44"/>
        </w:rPr>
      </w:pPr>
      <w:r>
        <w:rPr>
          <w:rFonts w:hint="eastAsia" w:ascii="宋体" w:hAnsi="宋体"/>
          <w:kern w:val="44"/>
        </w:rPr>
        <w:t>本市应当公布在城市中心区内从事昼运的货运经营者的条件和货运车辆的车型、外观、安全、环保等标准；通过公开、公平、公正的方式确定符合要求的货运经营者，并建立淘汰退出机制。具体办法由市人民政府制定。</w:t>
      </w:r>
    </w:p>
    <w:p w14:paraId="4F6BA3D2">
      <w:pPr>
        <w:ind w:firstLine="422"/>
        <w:jc w:val="left"/>
        <w:rPr>
          <w:rFonts w:ascii="宋体" w:hAnsi="宋体"/>
          <w:kern w:val="44"/>
        </w:rPr>
      </w:pPr>
      <w:r>
        <w:rPr>
          <w:rFonts w:hint="eastAsia" w:ascii="宋体" w:hAnsi="宋体"/>
          <w:b/>
          <w:kern w:val="44"/>
        </w:rPr>
        <w:t>第二十六条</w:t>
      </w:r>
      <w:r>
        <w:rPr>
          <w:rFonts w:hint="eastAsia" w:ascii="宋体" w:hAnsi="宋体"/>
          <w:kern w:val="44"/>
        </w:rPr>
        <w:t>　货运经营者应当按照货物运输规则和作业规程受理、承运货物，遵守国家和本市有关禁运、限运、检疫控制进出境货物的管理规定，并采取必要措施防止运输中货物的脱落、扬撒或者泄漏。</w:t>
      </w:r>
    </w:p>
    <w:p w14:paraId="2DFA59DD">
      <w:pPr>
        <w:jc w:val="left"/>
        <w:rPr>
          <w:rFonts w:ascii="宋体" w:hAnsi="宋体"/>
          <w:kern w:val="44"/>
        </w:rPr>
      </w:pPr>
      <w:r>
        <w:rPr>
          <w:rFonts w:hint="eastAsia" w:ascii="宋体" w:hAnsi="宋体"/>
          <w:kern w:val="44"/>
        </w:rPr>
        <w:t>货运经营者应当按照规定使用具有符合要求的密闭装置的车辆运输散装、流体货物；使用专用车辆运输集装箱、冷藏保鲜货物和危险货物。</w:t>
      </w:r>
    </w:p>
    <w:p w14:paraId="062B1050">
      <w:pPr>
        <w:ind w:firstLine="422"/>
        <w:jc w:val="left"/>
        <w:rPr>
          <w:rFonts w:ascii="宋体" w:hAnsi="宋体"/>
          <w:kern w:val="44"/>
        </w:rPr>
      </w:pPr>
      <w:r>
        <w:rPr>
          <w:rFonts w:hint="eastAsia" w:ascii="宋体" w:hAnsi="宋体"/>
          <w:b/>
          <w:kern w:val="44"/>
        </w:rPr>
        <w:t>第二十七条</w:t>
      </w:r>
      <w:r>
        <w:rPr>
          <w:rFonts w:hint="eastAsia" w:ascii="宋体" w:hAnsi="宋体"/>
          <w:kern w:val="44"/>
        </w:rPr>
        <w:t>　城市中心区的大型商业设施，应当具备与其规模相适应的商品装卸、短期储存条件，其商品装卸活动不得影响周边道路畅通。</w:t>
      </w:r>
    </w:p>
    <w:p w14:paraId="13E05208">
      <w:pPr>
        <w:jc w:val="left"/>
        <w:rPr>
          <w:rFonts w:ascii="宋体" w:hAnsi="宋体"/>
          <w:kern w:val="44"/>
        </w:rPr>
      </w:pPr>
      <w:r>
        <w:rPr>
          <w:rFonts w:hint="eastAsia" w:ascii="宋体" w:hAnsi="宋体"/>
          <w:kern w:val="44"/>
        </w:rPr>
        <w:t>新、改、扩建大型商业设施时，应当同步配建商品装卸、储存等配套设施。大型商业设施及其配套设施在立项时，应当依法进行交通影响评价。未进行交通影响评价或经评价对交通环境将造成重大不利影响的项目，发展改革部门不予立项或核准，规划部门不予核发建设工程规划许可证。</w:t>
      </w:r>
    </w:p>
    <w:p w14:paraId="0AF8938B">
      <w:pPr>
        <w:jc w:val="left"/>
        <w:rPr>
          <w:rFonts w:ascii="宋体" w:hAnsi="宋体"/>
          <w:kern w:val="44"/>
        </w:rPr>
      </w:pPr>
      <w:r>
        <w:rPr>
          <w:rFonts w:hint="eastAsia" w:ascii="宋体" w:hAnsi="宋体"/>
          <w:kern w:val="44"/>
        </w:rPr>
        <w:t>任何单位和个人不得擅自改变商品装卸、储存等配套设施的使用性质。</w:t>
      </w:r>
    </w:p>
    <w:p w14:paraId="196BD67B">
      <w:pPr>
        <w:ind w:firstLine="422"/>
        <w:jc w:val="left"/>
        <w:rPr>
          <w:rFonts w:ascii="宋体" w:hAnsi="宋体"/>
          <w:kern w:val="44"/>
        </w:rPr>
      </w:pPr>
      <w:r>
        <w:rPr>
          <w:rFonts w:hint="eastAsia" w:ascii="宋体" w:hAnsi="宋体"/>
          <w:b/>
          <w:kern w:val="44"/>
        </w:rPr>
        <w:t>第二十八条</w:t>
      </w:r>
      <w:r>
        <w:rPr>
          <w:rFonts w:hint="eastAsia" w:ascii="宋体" w:hAnsi="宋体"/>
          <w:kern w:val="44"/>
        </w:rPr>
        <w:t>　当维持城市正常运行所需物资的运输受到影响时，市交通行政主管部门所属的道路运输管理机构可以会同有关部门采取应急运输保障措施，道路运输经营者应当配合并服从调度指挥。</w:t>
      </w:r>
    </w:p>
    <w:p w14:paraId="22B29316">
      <w:pPr>
        <w:ind w:firstLine="422"/>
        <w:jc w:val="left"/>
        <w:rPr>
          <w:rFonts w:ascii="宋体" w:hAnsi="宋体"/>
          <w:kern w:val="44"/>
        </w:rPr>
      </w:pPr>
      <w:r>
        <w:rPr>
          <w:rFonts w:hint="eastAsia" w:ascii="宋体" w:hAnsi="宋体"/>
          <w:b/>
          <w:kern w:val="44"/>
        </w:rPr>
        <w:t>第二十九条</w:t>
      </w:r>
      <w:r>
        <w:rPr>
          <w:rFonts w:hint="eastAsia" w:ascii="宋体" w:hAnsi="宋体"/>
          <w:kern w:val="44"/>
        </w:rPr>
        <w:t>　外省市货运经营者驻京从事道路货物运输的，应当按照国家和本市有关规定向经营所在地的道路运输管理机构备案，并接受备案机构的监督管理。</w:t>
      </w:r>
    </w:p>
    <w:p w14:paraId="588D2922">
      <w:pPr>
        <w:ind w:firstLine="422"/>
        <w:jc w:val="left"/>
        <w:rPr>
          <w:rFonts w:ascii="宋体" w:hAnsi="宋体"/>
          <w:kern w:val="44"/>
        </w:rPr>
      </w:pPr>
      <w:r>
        <w:rPr>
          <w:rFonts w:hint="eastAsia" w:ascii="宋体" w:hAnsi="宋体"/>
          <w:b/>
          <w:kern w:val="44"/>
        </w:rPr>
        <w:t>第三十条</w:t>
      </w:r>
      <w:r>
        <w:rPr>
          <w:rFonts w:hint="eastAsia" w:ascii="宋体" w:hAnsi="宋体"/>
          <w:kern w:val="44"/>
        </w:rPr>
        <w:t>　在货运经营者的责任期间，货物发生灭失或者损坏的，货运经营者依法承担赔偿责任。</w:t>
      </w:r>
    </w:p>
    <w:p w14:paraId="5378C86B">
      <w:pPr>
        <w:jc w:val="left"/>
        <w:rPr>
          <w:rFonts w:ascii="宋体" w:hAnsi="宋体"/>
          <w:kern w:val="44"/>
        </w:rPr>
      </w:pPr>
    </w:p>
    <w:p w14:paraId="1B5CF977">
      <w:pPr>
        <w:ind w:firstLine="0" w:firstLineChars="0"/>
        <w:jc w:val="center"/>
        <w:rPr>
          <w:rFonts w:ascii="宋体" w:hAnsi="宋体"/>
          <w:kern w:val="44"/>
          <w:sz w:val="28"/>
        </w:rPr>
      </w:pPr>
      <w:r>
        <w:rPr>
          <w:rFonts w:hint="eastAsia" w:ascii="宋体" w:hAnsi="宋体"/>
          <w:kern w:val="44"/>
          <w:sz w:val="28"/>
        </w:rPr>
        <w:t>第四节　相关业务</w:t>
      </w:r>
    </w:p>
    <w:p w14:paraId="1AB2D6C4">
      <w:pPr>
        <w:jc w:val="left"/>
        <w:rPr>
          <w:rFonts w:ascii="宋体" w:hAnsi="宋体"/>
          <w:kern w:val="44"/>
        </w:rPr>
      </w:pPr>
    </w:p>
    <w:p w14:paraId="438822E2">
      <w:pPr>
        <w:ind w:firstLine="422"/>
        <w:jc w:val="left"/>
        <w:rPr>
          <w:rFonts w:ascii="宋体" w:hAnsi="宋体"/>
          <w:kern w:val="44"/>
        </w:rPr>
      </w:pPr>
      <w:r>
        <w:rPr>
          <w:rFonts w:hint="eastAsia" w:ascii="宋体" w:hAnsi="宋体"/>
          <w:b/>
          <w:kern w:val="44"/>
        </w:rPr>
        <w:t>第三十一条</w:t>
      </w:r>
      <w:r>
        <w:rPr>
          <w:rFonts w:hint="eastAsia" w:ascii="宋体" w:hAnsi="宋体"/>
          <w:kern w:val="44"/>
        </w:rPr>
        <w:t>　道路运输场站属于城市交通基础设施，应当科学规划、合理布局。</w:t>
      </w:r>
    </w:p>
    <w:p w14:paraId="243FEACD">
      <w:pPr>
        <w:jc w:val="left"/>
        <w:rPr>
          <w:rFonts w:ascii="宋体" w:hAnsi="宋体"/>
          <w:kern w:val="44"/>
        </w:rPr>
      </w:pPr>
      <w:r>
        <w:rPr>
          <w:rFonts w:hint="eastAsia" w:ascii="宋体" w:hAnsi="宋体"/>
          <w:kern w:val="44"/>
        </w:rPr>
        <w:t>市交通行政主管部门会同有关部门根据城市总体规划、土地利用规划和交通发展规划编制道路运输场站专项规划。道路运输场站专项规划经市规划部门审查后报请市人民政府批准，由区、县人民政府或市政府相关部门组织实施。市和区、县人民政府对列入规划的道路运输场站的建设，应当在土地、资金等方面给予支持。</w:t>
      </w:r>
    </w:p>
    <w:p w14:paraId="7B343687">
      <w:pPr>
        <w:ind w:firstLine="422"/>
        <w:jc w:val="left"/>
        <w:rPr>
          <w:rFonts w:ascii="宋体" w:hAnsi="宋体"/>
          <w:kern w:val="44"/>
        </w:rPr>
      </w:pPr>
      <w:r>
        <w:rPr>
          <w:rFonts w:hint="eastAsia" w:ascii="宋体" w:hAnsi="宋体"/>
          <w:b/>
          <w:kern w:val="44"/>
        </w:rPr>
        <w:t>第三十二条</w:t>
      </w:r>
      <w:r>
        <w:rPr>
          <w:rFonts w:hint="eastAsia" w:ascii="宋体" w:hAnsi="宋体"/>
          <w:kern w:val="44"/>
        </w:rPr>
        <w:t>　道路运输场站经营者应当维护场站内的市场秩序，与进入场站的道路运输经营者签订协议，明确双方权利、义务；不得允许非法的道路运输经营者和车辆进入场站经营。</w:t>
      </w:r>
    </w:p>
    <w:p w14:paraId="661BB1B7">
      <w:pPr>
        <w:jc w:val="left"/>
        <w:rPr>
          <w:rFonts w:ascii="宋体" w:hAnsi="宋体"/>
          <w:kern w:val="44"/>
        </w:rPr>
      </w:pPr>
      <w:r>
        <w:rPr>
          <w:rFonts w:hint="eastAsia" w:ascii="宋体" w:hAnsi="宋体"/>
          <w:kern w:val="44"/>
        </w:rPr>
        <w:t>客运场站经营者应当按照规定在明显位置公示客运场站内运营的客运线路及其运输班次、经停站点、到发时间、票价和投诉举报电话；货运场站经营者应当按照规定在明显位置公示货运场站内运营的运输服务经营者名称、经营范围、位置平面图和投诉举报电话。</w:t>
      </w:r>
    </w:p>
    <w:p w14:paraId="759AF6D1">
      <w:pPr>
        <w:ind w:firstLine="422"/>
        <w:jc w:val="left"/>
        <w:rPr>
          <w:rFonts w:ascii="宋体" w:hAnsi="宋体"/>
          <w:kern w:val="44"/>
        </w:rPr>
      </w:pPr>
      <w:r>
        <w:rPr>
          <w:rFonts w:hint="eastAsia" w:ascii="宋体" w:hAnsi="宋体"/>
          <w:b/>
          <w:kern w:val="44"/>
        </w:rPr>
        <w:t>第三十三条</w:t>
      </w:r>
      <w:r>
        <w:rPr>
          <w:rFonts w:hint="eastAsia" w:ascii="宋体" w:hAnsi="宋体"/>
          <w:kern w:val="44"/>
        </w:rPr>
        <w:t>　客运场站经营者应当按照规定制定客流高峰期间的备班运力储备计划和加班运营计划。加班车辆的技术等级应当符合运营班线的要求。</w:t>
      </w:r>
    </w:p>
    <w:p w14:paraId="3E656AB2">
      <w:pPr>
        <w:ind w:firstLine="422"/>
        <w:jc w:val="left"/>
        <w:rPr>
          <w:rFonts w:ascii="宋体" w:hAnsi="宋体"/>
          <w:kern w:val="44"/>
        </w:rPr>
      </w:pPr>
      <w:r>
        <w:rPr>
          <w:rFonts w:hint="eastAsia" w:ascii="宋体" w:hAnsi="宋体"/>
          <w:b/>
          <w:kern w:val="44"/>
        </w:rPr>
        <w:t>第三十四条</w:t>
      </w:r>
      <w:r>
        <w:rPr>
          <w:rFonts w:hint="eastAsia" w:ascii="宋体" w:hAnsi="宋体"/>
          <w:kern w:val="44"/>
        </w:rPr>
        <w:t>　道路运输货运代理经营者和机动车综合性能检测机构，应当依法办理工商、税务登记手续；自取得营业执照之日起15日内持相关登记证件向所在地的道路运输管理机构备案，并接受备案机构的监督管理；备案信息发生变更的，应当自变更之日起15日内向原备案机构办理变更备案手续。</w:t>
      </w:r>
    </w:p>
    <w:p w14:paraId="0487486A">
      <w:pPr>
        <w:jc w:val="left"/>
        <w:rPr>
          <w:rFonts w:ascii="宋体" w:hAnsi="宋体"/>
          <w:kern w:val="44"/>
        </w:rPr>
      </w:pPr>
      <w:r>
        <w:rPr>
          <w:rFonts w:hint="eastAsia" w:ascii="宋体" w:hAnsi="宋体"/>
          <w:kern w:val="44"/>
        </w:rPr>
        <w:t>国家另有规定的，按照国家规定执行。</w:t>
      </w:r>
    </w:p>
    <w:p w14:paraId="4A10F6CF">
      <w:pPr>
        <w:ind w:firstLine="422"/>
        <w:jc w:val="left"/>
        <w:rPr>
          <w:rFonts w:ascii="宋体" w:hAnsi="宋体"/>
          <w:kern w:val="44"/>
        </w:rPr>
      </w:pPr>
      <w:r>
        <w:rPr>
          <w:rFonts w:hint="eastAsia" w:ascii="宋体" w:hAnsi="宋体"/>
          <w:b/>
          <w:kern w:val="44"/>
        </w:rPr>
        <w:t>第三十五条</w:t>
      </w:r>
      <w:r>
        <w:rPr>
          <w:rFonts w:hint="eastAsia" w:ascii="宋体" w:hAnsi="宋体"/>
          <w:kern w:val="44"/>
        </w:rPr>
        <w:t>　道路运输服务经营者应当遵守下列服务规范：</w:t>
      </w:r>
    </w:p>
    <w:p w14:paraId="73144B06">
      <w:pPr>
        <w:jc w:val="left"/>
        <w:rPr>
          <w:rFonts w:ascii="宋体" w:hAnsi="宋体"/>
          <w:kern w:val="44"/>
        </w:rPr>
      </w:pPr>
      <w:r>
        <w:rPr>
          <w:rFonts w:hint="eastAsia" w:ascii="宋体" w:hAnsi="宋体"/>
          <w:kern w:val="44"/>
        </w:rPr>
        <w:t>（一）道路运输货运代理经营者，根据国家和本市相关规定，为委托人提供代理服务；受理的业务交由具有合法资格的货运经营者承运；</w:t>
      </w:r>
    </w:p>
    <w:p w14:paraId="433BA0D6">
      <w:pPr>
        <w:jc w:val="left"/>
        <w:rPr>
          <w:rFonts w:ascii="宋体" w:hAnsi="宋体"/>
          <w:kern w:val="44"/>
        </w:rPr>
      </w:pPr>
      <w:r>
        <w:rPr>
          <w:rFonts w:hint="eastAsia" w:ascii="宋体" w:hAnsi="宋体"/>
          <w:kern w:val="44"/>
        </w:rPr>
        <w:t>（二）机动车综合性能检测机构，按照国家和本市相关标准进行检测；</w:t>
      </w:r>
    </w:p>
    <w:p w14:paraId="115F515F">
      <w:pPr>
        <w:jc w:val="left"/>
        <w:rPr>
          <w:rFonts w:ascii="宋体" w:hAnsi="宋体"/>
          <w:kern w:val="44"/>
        </w:rPr>
      </w:pPr>
      <w:r>
        <w:rPr>
          <w:rFonts w:hint="eastAsia" w:ascii="宋体" w:hAnsi="宋体"/>
          <w:kern w:val="44"/>
        </w:rPr>
        <w:t>（三）从事道路运输信息服务的，向服务对象提供及时、准确的货物运输信息；</w:t>
      </w:r>
    </w:p>
    <w:p w14:paraId="357577FF">
      <w:pPr>
        <w:jc w:val="left"/>
        <w:rPr>
          <w:rFonts w:ascii="宋体" w:hAnsi="宋体"/>
          <w:kern w:val="44"/>
        </w:rPr>
      </w:pPr>
      <w:r>
        <w:rPr>
          <w:rFonts w:hint="eastAsia" w:ascii="宋体" w:hAnsi="宋体"/>
          <w:kern w:val="44"/>
        </w:rPr>
        <w:t>（四）从事道路运输仓储理货的，按照货物的性质、保管条件和有效期限，对货物分类存放，妥善保管；</w:t>
      </w:r>
    </w:p>
    <w:p w14:paraId="2FAEEC7F">
      <w:pPr>
        <w:jc w:val="left"/>
        <w:rPr>
          <w:rFonts w:ascii="宋体" w:hAnsi="宋体"/>
          <w:kern w:val="44"/>
        </w:rPr>
      </w:pPr>
      <w:r>
        <w:rPr>
          <w:rFonts w:hint="eastAsia" w:ascii="宋体" w:hAnsi="宋体"/>
          <w:kern w:val="44"/>
        </w:rPr>
        <w:t>（五）从事道路运输搬运装卸的，按照搬运装卸操作规程进行作业；从事夜间搬运装卸的，应采取有效措施，减少噪声对周围居民生活环境的影响；从事危险货物、大型物件等特种、专项货物搬运装卸的，使用专用搬运装卸工具和防护设备进行作业；</w:t>
      </w:r>
    </w:p>
    <w:p w14:paraId="31D15F78">
      <w:pPr>
        <w:jc w:val="left"/>
        <w:rPr>
          <w:rFonts w:ascii="宋体" w:hAnsi="宋体"/>
          <w:kern w:val="44"/>
        </w:rPr>
      </w:pPr>
      <w:r>
        <w:rPr>
          <w:rFonts w:hint="eastAsia" w:ascii="宋体" w:hAnsi="宋体"/>
          <w:kern w:val="44"/>
        </w:rPr>
        <w:t>（六）从事道路运输客票代售的，公平售票，不得擅自提价，不得倒卖车票。</w:t>
      </w:r>
    </w:p>
    <w:p w14:paraId="1DDBA2AF">
      <w:pPr>
        <w:ind w:firstLine="422"/>
        <w:jc w:val="left"/>
        <w:rPr>
          <w:rFonts w:ascii="宋体" w:hAnsi="宋体"/>
          <w:kern w:val="44"/>
        </w:rPr>
      </w:pPr>
      <w:r>
        <w:rPr>
          <w:rFonts w:hint="eastAsia" w:ascii="宋体" w:hAnsi="宋体"/>
          <w:b/>
          <w:kern w:val="44"/>
        </w:rPr>
        <w:t>第三十六条</w:t>
      </w:r>
      <w:r>
        <w:rPr>
          <w:rFonts w:hint="eastAsia" w:ascii="宋体" w:hAnsi="宋体"/>
          <w:kern w:val="44"/>
        </w:rPr>
        <w:t>　本市引导机动车维修服务站点的网络化建设，鼓励发展专业化和连锁经营的机动车维修企业。</w:t>
      </w:r>
    </w:p>
    <w:p w14:paraId="7C68299E">
      <w:pPr>
        <w:ind w:firstLine="422"/>
        <w:jc w:val="left"/>
        <w:rPr>
          <w:rFonts w:ascii="宋体" w:hAnsi="宋体"/>
          <w:kern w:val="44"/>
        </w:rPr>
      </w:pPr>
      <w:r>
        <w:rPr>
          <w:rFonts w:hint="eastAsia" w:ascii="宋体" w:hAnsi="宋体"/>
          <w:b/>
          <w:kern w:val="44"/>
        </w:rPr>
        <w:t>第三十七条</w:t>
      </w:r>
      <w:r>
        <w:rPr>
          <w:rFonts w:hint="eastAsia" w:ascii="宋体" w:hAnsi="宋体"/>
          <w:kern w:val="44"/>
        </w:rPr>
        <w:t>　机动车维修经营者应当遵守下列规定：</w:t>
      </w:r>
    </w:p>
    <w:p w14:paraId="579D7232">
      <w:pPr>
        <w:jc w:val="left"/>
        <w:rPr>
          <w:rFonts w:ascii="宋体" w:hAnsi="宋体"/>
          <w:kern w:val="44"/>
        </w:rPr>
      </w:pPr>
      <w:r>
        <w:rPr>
          <w:rFonts w:hint="eastAsia" w:ascii="宋体" w:hAnsi="宋体"/>
          <w:kern w:val="44"/>
        </w:rPr>
        <w:t>（一）在维修接待场所的醒目位置公示相关服务制度、服务项目、服务承诺、价格标准和投诉举报电话等；</w:t>
      </w:r>
    </w:p>
    <w:p w14:paraId="4988B178">
      <w:pPr>
        <w:jc w:val="left"/>
        <w:rPr>
          <w:rFonts w:ascii="宋体" w:hAnsi="宋体"/>
          <w:kern w:val="44"/>
        </w:rPr>
      </w:pPr>
      <w:r>
        <w:rPr>
          <w:rFonts w:hint="eastAsia" w:ascii="宋体" w:hAnsi="宋体"/>
          <w:kern w:val="44"/>
        </w:rPr>
        <w:t>（二）将维修项目及其工时定额、收费标准等服务信息录入本市道路运输信息系统，并保证信息及时、真实、有效；</w:t>
      </w:r>
    </w:p>
    <w:p w14:paraId="09CA3CDC">
      <w:pPr>
        <w:jc w:val="left"/>
        <w:rPr>
          <w:rFonts w:ascii="宋体" w:hAnsi="宋体"/>
          <w:kern w:val="44"/>
        </w:rPr>
      </w:pPr>
      <w:r>
        <w:rPr>
          <w:rFonts w:hint="eastAsia" w:ascii="宋体" w:hAnsi="宋体"/>
          <w:kern w:val="44"/>
        </w:rPr>
        <w:t>（三）按照公示的标准收取修理费，分项计算工时费、材料费并将结算票据和结算清单交付托修方；</w:t>
      </w:r>
    </w:p>
    <w:p w14:paraId="116EA35A">
      <w:pPr>
        <w:jc w:val="left"/>
        <w:rPr>
          <w:rFonts w:ascii="宋体" w:hAnsi="宋体"/>
          <w:kern w:val="44"/>
        </w:rPr>
      </w:pPr>
      <w:r>
        <w:rPr>
          <w:rFonts w:hint="eastAsia" w:ascii="宋体" w:hAnsi="宋体"/>
          <w:kern w:val="44"/>
        </w:rPr>
        <w:t>（四）对机动车进行大修和二级维护的，使用规范的合同文本与托修方签订维修合同，并建立维修档案；</w:t>
      </w:r>
    </w:p>
    <w:p w14:paraId="49E2A198">
      <w:pPr>
        <w:jc w:val="left"/>
        <w:rPr>
          <w:rFonts w:ascii="宋体" w:hAnsi="宋体"/>
          <w:kern w:val="44"/>
        </w:rPr>
      </w:pPr>
      <w:r>
        <w:rPr>
          <w:rFonts w:hint="eastAsia" w:ascii="宋体" w:hAnsi="宋体"/>
          <w:kern w:val="44"/>
        </w:rPr>
        <w:t>（五）按照机动车维修技术标准、技术规范维修车辆；</w:t>
      </w:r>
    </w:p>
    <w:p w14:paraId="3F7B3CCF">
      <w:pPr>
        <w:jc w:val="left"/>
        <w:rPr>
          <w:rFonts w:ascii="宋体" w:hAnsi="宋体"/>
          <w:kern w:val="44"/>
        </w:rPr>
      </w:pPr>
      <w:r>
        <w:rPr>
          <w:rFonts w:hint="eastAsia" w:ascii="宋体" w:hAnsi="宋体"/>
          <w:kern w:val="44"/>
        </w:rPr>
        <w:t>（六）执行机动车维修质量检验制度。按照技术标准进行进厂、过程和竣工检验；机动车维修竣工出厂时，向托修方出具由出厂检验人员签发的机动车维修竣工出厂合格证；</w:t>
      </w:r>
    </w:p>
    <w:p w14:paraId="37E5769E">
      <w:pPr>
        <w:jc w:val="left"/>
        <w:rPr>
          <w:rFonts w:ascii="宋体" w:hAnsi="宋体"/>
          <w:kern w:val="44"/>
        </w:rPr>
      </w:pPr>
      <w:r>
        <w:rPr>
          <w:rFonts w:hint="eastAsia" w:ascii="宋体" w:hAnsi="宋体"/>
          <w:kern w:val="44"/>
        </w:rPr>
        <w:t>（七）使用的机动车维修设备应当符合国家和本市相关标准，并建立设备维护保养制度；</w:t>
      </w:r>
    </w:p>
    <w:p w14:paraId="6978AF05">
      <w:pPr>
        <w:jc w:val="left"/>
        <w:rPr>
          <w:rFonts w:ascii="宋体" w:hAnsi="宋体"/>
          <w:kern w:val="44"/>
        </w:rPr>
      </w:pPr>
      <w:r>
        <w:rPr>
          <w:rFonts w:hint="eastAsia" w:ascii="宋体" w:hAnsi="宋体"/>
          <w:kern w:val="44"/>
        </w:rPr>
        <w:t>（八）执行质量保证期制度。对质量保证期内发生的维修质量问题无偿返修；返修项目的质量保证期从返修的竣工出厂之日起计算；更换的配件存在质量问题的，其无偿返修责任不受质量保证期的限制。</w:t>
      </w:r>
    </w:p>
    <w:p w14:paraId="2A4E1FDA">
      <w:pPr>
        <w:jc w:val="left"/>
        <w:rPr>
          <w:rFonts w:ascii="宋体" w:hAnsi="宋体"/>
          <w:kern w:val="44"/>
        </w:rPr>
      </w:pPr>
      <w:r>
        <w:rPr>
          <w:rFonts w:hint="eastAsia" w:ascii="宋体" w:hAnsi="宋体"/>
          <w:kern w:val="44"/>
        </w:rPr>
        <w:t>机动车维修质量相关制度，由市交通行政主管部门所属的道路运输管理机构制定并向社会公布。</w:t>
      </w:r>
    </w:p>
    <w:p w14:paraId="32E9B88E">
      <w:pPr>
        <w:ind w:firstLine="422"/>
        <w:jc w:val="left"/>
        <w:rPr>
          <w:rFonts w:ascii="宋体" w:hAnsi="宋体"/>
          <w:kern w:val="44"/>
        </w:rPr>
      </w:pPr>
      <w:r>
        <w:rPr>
          <w:rFonts w:hint="eastAsia" w:ascii="宋体" w:hAnsi="宋体"/>
          <w:b/>
          <w:kern w:val="44"/>
        </w:rPr>
        <w:t>第三十八条</w:t>
      </w:r>
      <w:r>
        <w:rPr>
          <w:rFonts w:hint="eastAsia" w:ascii="宋体" w:hAnsi="宋体"/>
          <w:kern w:val="44"/>
        </w:rPr>
        <w:t>　机动车维修经营者应当执行规定的机动车配件采购、检验、使用和公示制度，分别标识原厂配件、副厂配件和修复配件并明码标价，供托修方自主选择；更换下的配件、总成未经托修方同意，不得擅自处理。</w:t>
      </w:r>
    </w:p>
    <w:p w14:paraId="4423E3B7">
      <w:pPr>
        <w:ind w:firstLine="422"/>
        <w:jc w:val="left"/>
        <w:rPr>
          <w:rFonts w:ascii="宋体" w:hAnsi="宋体"/>
          <w:kern w:val="44"/>
        </w:rPr>
      </w:pPr>
      <w:r>
        <w:rPr>
          <w:rFonts w:hint="eastAsia" w:ascii="宋体" w:hAnsi="宋体"/>
          <w:b/>
          <w:kern w:val="44"/>
        </w:rPr>
        <w:t>第三十九条</w:t>
      </w:r>
      <w:r>
        <w:rPr>
          <w:rFonts w:hint="eastAsia" w:ascii="宋体" w:hAnsi="宋体"/>
          <w:kern w:val="44"/>
        </w:rPr>
        <w:t>　质量技术监督、工商行政管理等部门应当对生产、销售的机动车配件质量进行监督检查，依法查处生产、销售假冒伪劣配件的行为。道路运输管理机构在监督检查中发现有销售假冒伪劣配件行为的，应当移送工商行政管理部门依法处理。</w:t>
      </w:r>
    </w:p>
    <w:p w14:paraId="01F0A293">
      <w:pPr>
        <w:jc w:val="left"/>
        <w:rPr>
          <w:rFonts w:ascii="宋体" w:hAnsi="宋体"/>
          <w:kern w:val="44"/>
        </w:rPr>
      </w:pPr>
    </w:p>
    <w:p w14:paraId="1FB5457D">
      <w:pPr>
        <w:ind w:firstLine="0" w:firstLineChars="0"/>
        <w:jc w:val="center"/>
        <w:rPr>
          <w:rFonts w:ascii="宋体" w:hAnsi="宋体"/>
          <w:b/>
          <w:kern w:val="44"/>
          <w:sz w:val="28"/>
        </w:rPr>
      </w:pPr>
      <w:r>
        <w:rPr>
          <w:rFonts w:hint="eastAsia" w:ascii="宋体" w:hAnsi="宋体"/>
          <w:b/>
          <w:kern w:val="44"/>
          <w:sz w:val="28"/>
        </w:rPr>
        <w:t>第三章　道路运输安全</w:t>
      </w:r>
    </w:p>
    <w:p w14:paraId="111A1B5D">
      <w:pPr>
        <w:jc w:val="left"/>
        <w:rPr>
          <w:rFonts w:ascii="宋体" w:hAnsi="宋体"/>
          <w:kern w:val="44"/>
        </w:rPr>
      </w:pPr>
    </w:p>
    <w:p w14:paraId="5DD4AAD0">
      <w:pPr>
        <w:ind w:firstLine="422"/>
        <w:jc w:val="left"/>
        <w:rPr>
          <w:rFonts w:ascii="宋体" w:hAnsi="宋体"/>
          <w:kern w:val="44"/>
        </w:rPr>
      </w:pPr>
      <w:r>
        <w:rPr>
          <w:rFonts w:hint="eastAsia" w:ascii="宋体" w:hAnsi="宋体"/>
          <w:b/>
          <w:kern w:val="44"/>
        </w:rPr>
        <w:t>第四十条</w:t>
      </w:r>
      <w:r>
        <w:rPr>
          <w:rFonts w:hint="eastAsia" w:ascii="宋体" w:hAnsi="宋体"/>
          <w:kern w:val="44"/>
        </w:rPr>
        <w:t>　道路运输经营者应当遵守下列安全规定：</w:t>
      </w:r>
    </w:p>
    <w:p w14:paraId="79FFC325">
      <w:pPr>
        <w:jc w:val="left"/>
        <w:rPr>
          <w:rFonts w:ascii="宋体" w:hAnsi="宋体"/>
          <w:kern w:val="44"/>
        </w:rPr>
      </w:pPr>
      <w:r>
        <w:rPr>
          <w:rFonts w:hint="eastAsia" w:ascii="宋体" w:hAnsi="宋体"/>
          <w:kern w:val="44"/>
        </w:rPr>
        <w:t>（一）制定有效的安全生产措施。定期研究安全生产工作，并对措施执行情况进行检查；</w:t>
      </w:r>
    </w:p>
    <w:p w14:paraId="188CA897">
      <w:pPr>
        <w:jc w:val="left"/>
        <w:rPr>
          <w:rFonts w:ascii="宋体" w:hAnsi="宋体"/>
          <w:kern w:val="44"/>
        </w:rPr>
      </w:pPr>
      <w:r>
        <w:rPr>
          <w:rFonts w:hint="eastAsia" w:ascii="宋体" w:hAnsi="宋体"/>
          <w:kern w:val="44"/>
        </w:rPr>
        <w:t>（二）建立从业人员的安全生产教育和培训制度。未经安全生产教育和培训合格的从业人员，不得上岗作业；</w:t>
      </w:r>
    </w:p>
    <w:p w14:paraId="72BEC5F2">
      <w:pPr>
        <w:jc w:val="left"/>
        <w:rPr>
          <w:rFonts w:ascii="宋体" w:hAnsi="宋体"/>
          <w:kern w:val="44"/>
        </w:rPr>
      </w:pPr>
      <w:r>
        <w:rPr>
          <w:rFonts w:hint="eastAsia" w:ascii="宋体" w:hAnsi="宋体"/>
          <w:kern w:val="44"/>
        </w:rPr>
        <w:t>（三）建立生产安全事故隐患排查制度。制定并执行防范和应急措施，对容易发生事故的部位、设施明确安全责任人员；</w:t>
      </w:r>
    </w:p>
    <w:p w14:paraId="64F7720E">
      <w:pPr>
        <w:jc w:val="left"/>
        <w:rPr>
          <w:rFonts w:ascii="宋体" w:hAnsi="宋体"/>
          <w:kern w:val="44"/>
        </w:rPr>
      </w:pPr>
      <w:r>
        <w:rPr>
          <w:rFonts w:hint="eastAsia" w:ascii="宋体" w:hAnsi="宋体"/>
          <w:kern w:val="44"/>
        </w:rPr>
        <w:t>（四）建立运营车辆安全检查制度。未经安全检查或者经安全检查不符合消防、道路交通安全、治安等要求的车辆不得运营。</w:t>
      </w:r>
    </w:p>
    <w:p w14:paraId="0ABFA648">
      <w:pPr>
        <w:ind w:firstLine="422"/>
        <w:jc w:val="left"/>
        <w:rPr>
          <w:rFonts w:ascii="宋体" w:hAnsi="宋体"/>
          <w:kern w:val="44"/>
        </w:rPr>
      </w:pPr>
      <w:r>
        <w:rPr>
          <w:rFonts w:hint="eastAsia" w:ascii="宋体" w:hAnsi="宋体"/>
          <w:b/>
          <w:kern w:val="44"/>
        </w:rPr>
        <w:t>第四十一条</w:t>
      </w:r>
      <w:r>
        <w:rPr>
          <w:rFonts w:hint="eastAsia" w:ascii="宋体" w:hAnsi="宋体"/>
          <w:kern w:val="44"/>
        </w:rPr>
        <w:t>　道路运输经营者应当依法制定生产安全事故应急处置预案。应急处置预案应当包括应急处置组织及职责、危险目标的确定和潜在危险性评估、救援预案的启动程序、紧急处置措施、救援组织的训练和演习，以及救援设备储备、经费保障等内容。</w:t>
      </w:r>
    </w:p>
    <w:p w14:paraId="7C4A3868">
      <w:pPr>
        <w:jc w:val="left"/>
        <w:rPr>
          <w:rFonts w:ascii="宋体" w:hAnsi="宋体"/>
          <w:kern w:val="44"/>
        </w:rPr>
      </w:pPr>
      <w:r>
        <w:rPr>
          <w:rFonts w:hint="eastAsia" w:ascii="宋体" w:hAnsi="宋体"/>
          <w:kern w:val="44"/>
        </w:rPr>
        <w:t>道路运输经营者应当至少每半年演练1次生产安全事故应急处置预案，并做好记录。</w:t>
      </w:r>
    </w:p>
    <w:p w14:paraId="4C960F24">
      <w:pPr>
        <w:ind w:firstLine="422"/>
        <w:jc w:val="left"/>
        <w:rPr>
          <w:rFonts w:ascii="宋体" w:hAnsi="宋体"/>
          <w:kern w:val="44"/>
        </w:rPr>
      </w:pPr>
      <w:r>
        <w:rPr>
          <w:rFonts w:hint="eastAsia" w:ascii="宋体" w:hAnsi="宋体"/>
          <w:b/>
          <w:kern w:val="44"/>
        </w:rPr>
        <w:t>第四十二条</w:t>
      </w:r>
      <w:r>
        <w:rPr>
          <w:rFonts w:hint="eastAsia" w:ascii="宋体" w:hAnsi="宋体"/>
          <w:kern w:val="44"/>
        </w:rPr>
        <w:t>　道路运输管理机构应当组织编制和完善突发公共事件的应急运输保障预案，并定期组织演练。</w:t>
      </w:r>
    </w:p>
    <w:p w14:paraId="1B51F063">
      <w:pPr>
        <w:jc w:val="left"/>
        <w:rPr>
          <w:rFonts w:ascii="宋体" w:hAnsi="宋体"/>
          <w:kern w:val="44"/>
        </w:rPr>
      </w:pPr>
      <w:r>
        <w:rPr>
          <w:rFonts w:hint="eastAsia" w:ascii="宋体" w:hAnsi="宋体"/>
          <w:kern w:val="44"/>
        </w:rPr>
        <w:t>预案演练和发生突发公共事件时，道路运输经营者应当服从道路运输管理机构的统一指挥。市和区、县人民政府应当依法给予参与预案演练和发生突发公共事件处置的道路运输经营者适当的补偿。</w:t>
      </w:r>
    </w:p>
    <w:p w14:paraId="0CE77EC8">
      <w:pPr>
        <w:ind w:firstLine="422"/>
        <w:jc w:val="left"/>
        <w:rPr>
          <w:rFonts w:ascii="宋体" w:hAnsi="宋体"/>
          <w:kern w:val="44"/>
        </w:rPr>
      </w:pPr>
      <w:r>
        <w:rPr>
          <w:rFonts w:hint="eastAsia" w:ascii="宋体" w:hAnsi="宋体"/>
          <w:b/>
          <w:kern w:val="44"/>
        </w:rPr>
        <w:t>第四十三条</w:t>
      </w:r>
      <w:r>
        <w:rPr>
          <w:rFonts w:hint="eastAsia" w:ascii="宋体" w:hAnsi="宋体"/>
          <w:kern w:val="44"/>
        </w:rPr>
        <w:t>　跨省市客运经营者应当遵守下列运营安全规定：</w:t>
      </w:r>
    </w:p>
    <w:p w14:paraId="604F54B7">
      <w:pPr>
        <w:jc w:val="left"/>
        <w:rPr>
          <w:rFonts w:ascii="宋体" w:hAnsi="宋体"/>
          <w:kern w:val="44"/>
        </w:rPr>
      </w:pPr>
      <w:r>
        <w:rPr>
          <w:rFonts w:hint="eastAsia" w:ascii="宋体" w:hAnsi="宋体"/>
          <w:kern w:val="44"/>
        </w:rPr>
        <w:t>（一）按照有关标准和规定，安装并使用远程定位监控系统，并保证与本市道路运输信息共享平台的实时连通；</w:t>
      </w:r>
    </w:p>
    <w:p w14:paraId="262312C0">
      <w:pPr>
        <w:jc w:val="left"/>
        <w:rPr>
          <w:rFonts w:ascii="宋体" w:hAnsi="宋体"/>
          <w:kern w:val="44"/>
        </w:rPr>
      </w:pPr>
      <w:r>
        <w:rPr>
          <w:rFonts w:hint="eastAsia" w:ascii="宋体" w:hAnsi="宋体"/>
          <w:kern w:val="44"/>
        </w:rPr>
        <w:t>（二）运营里程在400公里以上的，配备两名或者两名以上驾驶员；</w:t>
      </w:r>
    </w:p>
    <w:p w14:paraId="3FEF7402">
      <w:pPr>
        <w:jc w:val="left"/>
        <w:rPr>
          <w:rFonts w:ascii="宋体" w:hAnsi="宋体"/>
          <w:kern w:val="44"/>
        </w:rPr>
      </w:pPr>
      <w:r>
        <w:rPr>
          <w:rFonts w:hint="eastAsia" w:ascii="宋体" w:hAnsi="宋体"/>
          <w:kern w:val="44"/>
        </w:rPr>
        <w:t>（三）采取有效措施，防止驾驶员连续驾驶时间超过4个小时；</w:t>
      </w:r>
    </w:p>
    <w:p w14:paraId="54995A2F">
      <w:pPr>
        <w:jc w:val="left"/>
        <w:rPr>
          <w:rFonts w:ascii="宋体" w:hAnsi="宋体"/>
          <w:kern w:val="44"/>
        </w:rPr>
      </w:pPr>
      <w:r>
        <w:rPr>
          <w:rFonts w:hint="eastAsia" w:ascii="宋体" w:hAnsi="宋体"/>
          <w:kern w:val="44"/>
        </w:rPr>
        <w:t>（四）运营中保持车内通道的畅通，采取必要措施保证随车运输行李的平稳和固定。</w:t>
      </w:r>
    </w:p>
    <w:p w14:paraId="16B29AAE">
      <w:pPr>
        <w:ind w:firstLine="422"/>
        <w:jc w:val="left"/>
        <w:rPr>
          <w:rFonts w:ascii="宋体" w:hAnsi="宋体"/>
          <w:kern w:val="44"/>
        </w:rPr>
      </w:pPr>
      <w:r>
        <w:rPr>
          <w:rFonts w:hint="eastAsia" w:ascii="宋体" w:hAnsi="宋体"/>
          <w:b/>
          <w:kern w:val="44"/>
        </w:rPr>
        <w:t>第四十四条</w:t>
      </w:r>
      <w:r>
        <w:rPr>
          <w:rFonts w:hint="eastAsia" w:ascii="宋体" w:hAnsi="宋体"/>
          <w:kern w:val="44"/>
        </w:rPr>
        <w:t>　道路危险货物运输经营者应当遵守下列运营安全规定：</w:t>
      </w:r>
    </w:p>
    <w:p w14:paraId="0B5A28C0">
      <w:pPr>
        <w:jc w:val="left"/>
        <w:rPr>
          <w:rFonts w:ascii="宋体" w:hAnsi="宋体"/>
          <w:kern w:val="44"/>
        </w:rPr>
      </w:pPr>
      <w:r>
        <w:rPr>
          <w:rFonts w:hint="eastAsia" w:ascii="宋体" w:hAnsi="宋体"/>
          <w:kern w:val="44"/>
        </w:rPr>
        <w:t>（一）主要负责人和专职安全管理人员经法定主管部门考核合格；</w:t>
      </w:r>
    </w:p>
    <w:p w14:paraId="3409CFD0">
      <w:pPr>
        <w:jc w:val="left"/>
        <w:rPr>
          <w:rFonts w:ascii="宋体" w:hAnsi="宋体"/>
          <w:kern w:val="44"/>
        </w:rPr>
      </w:pPr>
      <w:r>
        <w:rPr>
          <w:rFonts w:hint="eastAsia" w:ascii="宋体" w:hAnsi="宋体"/>
          <w:kern w:val="44"/>
        </w:rPr>
        <w:t>（二）按照有关标准和规定，安装并使用远程定位监控系统，并保证与本市道路运输信息共享平台的实时连通；</w:t>
      </w:r>
    </w:p>
    <w:p w14:paraId="75198FB5">
      <w:pPr>
        <w:jc w:val="left"/>
        <w:rPr>
          <w:rFonts w:ascii="宋体" w:hAnsi="宋体"/>
          <w:kern w:val="44"/>
        </w:rPr>
      </w:pPr>
      <w:r>
        <w:rPr>
          <w:rFonts w:hint="eastAsia" w:ascii="宋体" w:hAnsi="宋体"/>
          <w:kern w:val="44"/>
        </w:rPr>
        <w:t>（三）按照公安机关依法批准的时间、路线、区域运输危险货物；</w:t>
      </w:r>
    </w:p>
    <w:p w14:paraId="1E48D85E">
      <w:pPr>
        <w:jc w:val="left"/>
        <w:rPr>
          <w:rFonts w:ascii="宋体" w:hAnsi="宋体"/>
          <w:kern w:val="44"/>
        </w:rPr>
      </w:pPr>
      <w:r>
        <w:rPr>
          <w:rFonts w:hint="eastAsia" w:ascii="宋体" w:hAnsi="宋体"/>
          <w:kern w:val="44"/>
        </w:rPr>
        <w:t>（四）采取必要的安全防护措施，防止危险货物在存储、运输、装卸过程中丢失、泄漏、燃烧、爆炸、辐射；</w:t>
      </w:r>
    </w:p>
    <w:p w14:paraId="487C44ED">
      <w:pPr>
        <w:jc w:val="left"/>
        <w:rPr>
          <w:rFonts w:ascii="宋体" w:hAnsi="宋体"/>
          <w:kern w:val="44"/>
        </w:rPr>
      </w:pPr>
      <w:r>
        <w:rPr>
          <w:rFonts w:hint="eastAsia" w:ascii="宋体" w:hAnsi="宋体"/>
          <w:kern w:val="44"/>
        </w:rPr>
        <w:t>（五）定期委托具有相应资质的中介机构开展安全评价，并向道路运输管理机构报告评价结果。</w:t>
      </w:r>
    </w:p>
    <w:p w14:paraId="2B66AB86">
      <w:pPr>
        <w:ind w:firstLine="422"/>
        <w:jc w:val="left"/>
        <w:rPr>
          <w:rFonts w:ascii="宋体" w:hAnsi="宋体"/>
          <w:kern w:val="44"/>
        </w:rPr>
      </w:pPr>
      <w:r>
        <w:rPr>
          <w:rFonts w:hint="eastAsia" w:ascii="宋体" w:hAnsi="宋体"/>
          <w:b/>
          <w:kern w:val="44"/>
        </w:rPr>
        <w:t>第四十五条</w:t>
      </w:r>
      <w:r>
        <w:rPr>
          <w:rFonts w:hint="eastAsia" w:ascii="宋体" w:hAnsi="宋体"/>
          <w:kern w:val="44"/>
        </w:rPr>
        <w:t>　危险货物托运人应当委托具有道路危险货物运输资质的经营者运输危险货物，并向运输经营者说明危险货物的品名、性质、应急处置方法等情况。</w:t>
      </w:r>
    </w:p>
    <w:p w14:paraId="5AD163BA">
      <w:pPr>
        <w:jc w:val="left"/>
        <w:rPr>
          <w:rFonts w:ascii="宋体" w:hAnsi="宋体"/>
          <w:kern w:val="44"/>
        </w:rPr>
      </w:pPr>
      <w:r>
        <w:rPr>
          <w:rFonts w:hint="eastAsia" w:ascii="宋体" w:hAnsi="宋体"/>
          <w:kern w:val="44"/>
        </w:rPr>
        <w:t>危险货物托运人和发货人在交付危险货物前，应当查验、登记运输经营者、车辆和人员的资格证件。</w:t>
      </w:r>
    </w:p>
    <w:p w14:paraId="0E893452">
      <w:pPr>
        <w:jc w:val="left"/>
        <w:rPr>
          <w:rFonts w:ascii="宋体" w:hAnsi="宋体"/>
          <w:kern w:val="44"/>
        </w:rPr>
      </w:pPr>
      <w:r>
        <w:rPr>
          <w:rFonts w:hint="eastAsia" w:ascii="宋体" w:hAnsi="宋体"/>
          <w:kern w:val="44"/>
        </w:rPr>
        <w:t>市交通行政主管部门所属的道路运输管理机构应当向社会公布具有道路危险货物运输资质的企业名录及其可以承运的危险货物种类等信息。</w:t>
      </w:r>
    </w:p>
    <w:p w14:paraId="0BE5B76B">
      <w:pPr>
        <w:ind w:firstLine="422"/>
        <w:jc w:val="left"/>
        <w:rPr>
          <w:rFonts w:ascii="宋体" w:hAnsi="宋体"/>
          <w:kern w:val="44"/>
        </w:rPr>
      </w:pPr>
      <w:r>
        <w:rPr>
          <w:rFonts w:hint="eastAsia" w:ascii="宋体" w:hAnsi="宋体"/>
          <w:b/>
          <w:kern w:val="44"/>
        </w:rPr>
        <w:t>第四十六条</w:t>
      </w:r>
      <w:r>
        <w:rPr>
          <w:rFonts w:hint="eastAsia" w:ascii="宋体" w:hAnsi="宋体"/>
          <w:kern w:val="44"/>
        </w:rPr>
        <w:t>　客运场站候车大厅实际容纳的乘客人数不得超过设计容量。候车大厅内乘客人数接近设计容量或者人员相对聚集时，场站经营者应当采取有效措施控制和疏散人员，确保安全。</w:t>
      </w:r>
    </w:p>
    <w:p w14:paraId="328E68C8">
      <w:pPr>
        <w:jc w:val="left"/>
        <w:rPr>
          <w:rFonts w:ascii="宋体" w:hAnsi="宋体"/>
          <w:kern w:val="44"/>
        </w:rPr>
      </w:pPr>
      <w:r>
        <w:rPr>
          <w:rFonts w:hint="eastAsia" w:ascii="宋体" w:hAnsi="宋体"/>
          <w:kern w:val="44"/>
        </w:rPr>
        <w:t>候车大厅的安全出口、安全标志、标识的设置以及疏散门和疏散通道的宽度应当符合相关标准。</w:t>
      </w:r>
    </w:p>
    <w:p w14:paraId="60097E6D">
      <w:pPr>
        <w:jc w:val="left"/>
        <w:rPr>
          <w:rFonts w:ascii="宋体" w:hAnsi="宋体"/>
          <w:kern w:val="44"/>
        </w:rPr>
      </w:pPr>
      <w:r>
        <w:rPr>
          <w:rFonts w:hint="eastAsia" w:ascii="宋体" w:hAnsi="宋体"/>
          <w:kern w:val="44"/>
        </w:rPr>
        <w:t>客运场站应当设置覆盖场站所有区域的应急广播，并能够使用汉语普通话和英语两种语言播放。</w:t>
      </w:r>
    </w:p>
    <w:p w14:paraId="14130A5D">
      <w:pPr>
        <w:ind w:firstLine="422"/>
        <w:jc w:val="left"/>
        <w:rPr>
          <w:rFonts w:ascii="宋体" w:hAnsi="宋体"/>
          <w:kern w:val="44"/>
        </w:rPr>
      </w:pPr>
      <w:r>
        <w:rPr>
          <w:rFonts w:hint="eastAsia" w:ascii="宋体" w:hAnsi="宋体"/>
          <w:b/>
          <w:kern w:val="44"/>
        </w:rPr>
        <w:t>第四十七条</w:t>
      </w:r>
      <w:r>
        <w:rPr>
          <w:rFonts w:hint="eastAsia" w:ascii="宋体" w:hAnsi="宋体"/>
          <w:kern w:val="44"/>
        </w:rPr>
        <w:t>　客运场站经营者应当建立行包安全检查制度。客运场站按照规定配备安全检测仪器，对出入省际客运场站以及进入其他客运场站的行包进行安全检查；检查发现危险、违禁物品的，及时移交公安机关处理。</w:t>
      </w:r>
    </w:p>
    <w:p w14:paraId="5CBC9960">
      <w:pPr>
        <w:ind w:firstLine="422"/>
        <w:jc w:val="left"/>
        <w:rPr>
          <w:rFonts w:ascii="宋体" w:hAnsi="宋体"/>
          <w:kern w:val="44"/>
        </w:rPr>
      </w:pPr>
      <w:r>
        <w:rPr>
          <w:rFonts w:hint="eastAsia" w:ascii="宋体" w:hAnsi="宋体"/>
          <w:b/>
          <w:kern w:val="44"/>
        </w:rPr>
        <w:t>第四十八条</w:t>
      </w:r>
      <w:r>
        <w:rPr>
          <w:rFonts w:hint="eastAsia" w:ascii="宋体" w:hAnsi="宋体"/>
          <w:kern w:val="44"/>
        </w:rPr>
        <w:t>　机动车维修经营者应当对废弃的机油、润滑油、制动液、维修油液以及其他危险废物进行归集、贮存，并交由有危险废物经营许可证的单位集中处置。</w:t>
      </w:r>
    </w:p>
    <w:p w14:paraId="74EC471E">
      <w:pPr>
        <w:jc w:val="left"/>
        <w:rPr>
          <w:rFonts w:ascii="宋体" w:hAnsi="宋体"/>
          <w:kern w:val="44"/>
        </w:rPr>
      </w:pPr>
    </w:p>
    <w:p w14:paraId="6EBDD186">
      <w:pPr>
        <w:ind w:firstLine="0" w:firstLineChars="0"/>
        <w:jc w:val="center"/>
        <w:rPr>
          <w:rFonts w:ascii="宋体" w:hAnsi="宋体"/>
          <w:b/>
          <w:kern w:val="44"/>
          <w:sz w:val="28"/>
        </w:rPr>
      </w:pPr>
      <w:r>
        <w:rPr>
          <w:rFonts w:hint="eastAsia" w:ascii="宋体" w:hAnsi="宋体"/>
          <w:b/>
          <w:kern w:val="44"/>
          <w:sz w:val="28"/>
        </w:rPr>
        <w:t>第四章　监督检查</w:t>
      </w:r>
    </w:p>
    <w:p w14:paraId="26190149">
      <w:pPr>
        <w:jc w:val="left"/>
        <w:rPr>
          <w:rFonts w:ascii="宋体" w:hAnsi="宋体"/>
          <w:kern w:val="44"/>
        </w:rPr>
      </w:pPr>
    </w:p>
    <w:p w14:paraId="71948070">
      <w:pPr>
        <w:ind w:firstLine="422"/>
        <w:jc w:val="left"/>
        <w:rPr>
          <w:rFonts w:ascii="宋体" w:hAnsi="宋体"/>
          <w:kern w:val="44"/>
        </w:rPr>
      </w:pPr>
      <w:r>
        <w:rPr>
          <w:rFonts w:hint="eastAsia" w:ascii="宋体" w:hAnsi="宋体"/>
          <w:b/>
          <w:kern w:val="44"/>
        </w:rPr>
        <w:t>第四十九条</w:t>
      </w:r>
      <w:r>
        <w:rPr>
          <w:rFonts w:hint="eastAsia" w:ascii="宋体" w:hAnsi="宋体"/>
          <w:kern w:val="44"/>
        </w:rPr>
        <w:t>　市交通行政主管部门、道路运输管理机构及其他有关行政管理部门应当依法对道路运输活动实施监督管理，制止和纠正违法行为。</w:t>
      </w:r>
    </w:p>
    <w:p w14:paraId="466C4099">
      <w:pPr>
        <w:jc w:val="left"/>
        <w:rPr>
          <w:rFonts w:ascii="宋体" w:hAnsi="宋体"/>
          <w:kern w:val="44"/>
        </w:rPr>
      </w:pPr>
      <w:r>
        <w:rPr>
          <w:rFonts w:hint="eastAsia" w:ascii="宋体" w:hAnsi="宋体"/>
          <w:kern w:val="44"/>
        </w:rPr>
        <w:t>市政府批准设置的公路交通检查站应当对过往的道路运输车辆实施监督检查。</w:t>
      </w:r>
    </w:p>
    <w:p w14:paraId="39D761F4">
      <w:pPr>
        <w:ind w:firstLine="422"/>
        <w:jc w:val="left"/>
        <w:rPr>
          <w:rFonts w:ascii="宋体" w:hAnsi="宋体"/>
          <w:kern w:val="44"/>
        </w:rPr>
      </w:pPr>
      <w:r>
        <w:rPr>
          <w:rFonts w:hint="eastAsia" w:ascii="宋体" w:hAnsi="宋体"/>
          <w:b/>
          <w:kern w:val="44"/>
        </w:rPr>
        <w:t>第五十条</w:t>
      </w:r>
      <w:r>
        <w:rPr>
          <w:rFonts w:hint="eastAsia" w:ascii="宋体" w:hAnsi="宋体"/>
          <w:kern w:val="44"/>
        </w:rPr>
        <w:t>　道路运输管理机构的工作人员在执行公务时，应当着装上岗，出示执法证件。</w:t>
      </w:r>
    </w:p>
    <w:p w14:paraId="5D7886AC">
      <w:pPr>
        <w:jc w:val="left"/>
        <w:rPr>
          <w:rFonts w:ascii="宋体" w:hAnsi="宋体"/>
          <w:kern w:val="44"/>
        </w:rPr>
      </w:pPr>
      <w:r>
        <w:rPr>
          <w:rFonts w:hint="eastAsia" w:ascii="宋体" w:hAnsi="宋体"/>
          <w:kern w:val="44"/>
        </w:rPr>
        <w:t>因查处道路运输违法行为确需向相关单位和个人调查、取证时，相关单位和个人应当如实提供有关情况和资料。</w:t>
      </w:r>
    </w:p>
    <w:p w14:paraId="3960D40C">
      <w:pPr>
        <w:jc w:val="left"/>
        <w:rPr>
          <w:rFonts w:ascii="宋体" w:hAnsi="宋体"/>
          <w:kern w:val="44"/>
        </w:rPr>
      </w:pPr>
      <w:r>
        <w:rPr>
          <w:rFonts w:hint="eastAsia" w:ascii="宋体" w:hAnsi="宋体"/>
          <w:kern w:val="44"/>
        </w:rPr>
        <w:t>检查中涉及经营者的商业秘密的信息和资料，道路运输管理人员应当予以保密。</w:t>
      </w:r>
    </w:p>
    <w:p w14:paraId="7A089A8C">
      <w:pPr>
        <w:ind w:firstLine="422"/>
        <w:jc w:val="left"/>
        <w:rPr>
          <w:rFonts w:ascii="宋体" w:hAnsi="宋体"/>
          <w:kern w:val="44"/>
        </w:rPr>
      </w:pPr>
      <w:r>
        <w:rPr>
          <w:rFonts w:hint="eastAsia" w:ascii="宋体" w:hAnsi="宋体"/>
          <w:b/>
          <w:kern w:val="44"/>
        </w:rPr>
        <w:t>第五十一条</w:t>
      </w:r>
      <w:r>
        <w:rPr>
          <w:rFonts w:hint="eastAsia" w:ascii="宋体" w:hAnsi="宋体"/>
          <w:kern w:val="44"/>
        </w:rPr>
        <w:t>　道路运输管理机构及其工作人员执行职务时，应当自觉接受社会和公民的监督。</w:t>
      </w:r>
    </w:p>
    <w:p w14:paraId="0ADD68FB">
      <w:pPr>
        <w:jc w:val="left"/>
        <w:rPr>
          <w:rFonts w:ascii="宋体" w:hAnsi="宋体"/>
          <w:kern w:val="44"/>
        </w:rPr>
      </w:pPr>
      <w:r>
        <w:rPr>
          <w:rFonts w:hint="eastAsia" w:ascii="宋体" w:hAnsi="宋体"/>
          <w:kern w:val="44"/>
        </w:rPr>
        <w:t>道路运输管理机构应当建立道路运输举报制度，公开举报电话、通信地址和电子信箱。</w:t>
      </w:r>
    </w:p>
    <w:p w14:paraId="3802D58C">
      <w:pPr>
        <w:jc w:val="left"/>
        <w:rPr>
          <w:rFonts w:ascii="宋体" w:hAnsi="宋体"/>
          <w:kern w:val="44"/>
        </w:rPr>
      </w:pPr>
      <w:r>
        <w:rPr>
          <w:rFonts w:hint="eastAsia" w:ascii="宋体" w:hAnsi="宋体"/>
          <w:kern w:val="44"/>
        </w:rPr>
        <w:t>任何公民、法人或者其他组织都有权对道路运输管理机构及其工作人员的违法行为进行申诉或者举报。</w:t>
      </w:r>
    </w:p>
    <w:p w14:paraId="52D19800">
      <w:pPr>
        <w:jc w:val="left"/>
        <w:rPr>
          <w:rFonts w:ascii="宋体" w:hAnsi="宋体"/>
          <w:kern w:val="44"/>
        </w:rPr>
      </w:pPr>
      <w:r>
        <w:rPr>
          <w:rFonts w:hint="eastAsia" w:ascii="宋体" w:hAnsi="宋体"/>
          <w:kern w:val="44"/>
        </w:rPr>
        <w:t>交通行政主管部门以及其他有关行政管理部门接到申诉或者举报，应当依法及时处理。</w:t>
      </w:r>
    </w:p>
    <w:p w14:paraId="68DB4956">
      <w:pPr>
        <w:ind w:firstLine="422"/>
        <w:jc w:val="left"/>
        <w:rPr>
          <w:rFonts w:ascii="宋体" w:hAnsi="宋体"/>
          <w:kern w:val="44"/>
        </w:rPr>
      </w:pPr>
      <w:r>
        <w:rPr>
          <w:rFonts w:hint="eastAsia" w:ascii="宋体" w:hAnsi="宋体"/>
          <w:b/>
          <w:kern w:val="44"/>
        </w:rPr>
        <w:t>第五十二条</w:t>
      </w:r>
      <w:r>
        <w:rPr>
          <w:rFonts w:hint="eastAsia" w:ascii="宋体" w:hAnsi="宋体"/>
          <w:kern w:val="44"/>
        </w:rPr>
        <w:t>　道路运输管理机构应当依法履行对行政许可事项的监管职责，定期核对行政许可登记事项。对行政许可登记内容发生变化的，依法及时变更；对不符合法定条件的，责令限期改正，逾期未改正的，吊销相应的行政许可证件；对自行终止经营或者具有其他法定注销情形的，注销相应的行政许可。</w:t>
      </w:r>
    </w:p>
    <w:p w14:paraId="6F360123">
      <w:pPr>
        <w:ind w:firstLine="422"/>
        <w:jc w:val="left"/>
        <w:rPr>
          <w:rFonts w:ascii="宋体" w:hAnsi="宋体"/>
          <w:kern w:val="44"/>
        </w:rPr>
      </w:pPr>
      <w:r>
        <w:rPr>
          <w:rFonts w:hint="eastAsia" w:ascii="宋体" w:hAnsi="宋体"/>
          <w:b/>
          <w:kern w:val="44"/>
        </w:rPr>
        <w:t>第五十三条</w:t>
      </w:r>
      <w:r>
        <w:rPr>
          <w:rFonts w:hint="eastAsia" w:ascii="宋体" w:hAnsi="宋体"/>
          <w:kern w:val="44"/>
        </w:rPr>
        <w:t>　未取得道路运输经营许可或者车辆营运证件从事道路运输经营活动的，道路运输管理机构可以暂扣其违法经营使用的车辆或者机具设备，并告知当事人在规定的期限内到指定地点接受处理。</w:t>
      </w:r>
    </w:p>
    <w:p w14:paraId="3237CA19">
      <w:pPr>
        <w:jc w:val="left"/>
        <w:rPr>
          <w:rFonts w:ascii="宋体" w:hAnsi="宋体"/>
          <w:kern w:val="44"/>
        </w:rPr>
      </w:pPr>
      <w:r>
        <w:rPr>
          <w:rFonts w:hint="eastAsia" w:ascii="宋体" w:hAnsi="宋体"/>
          <w:kern w:val="44"/>
        </w:rPr>
        <w:t>道路运输管理机构对无正当理由逾期未接受处理且经公告三个月后仍不接受处理的，可以对暂扣的车辆和机具设备采取措施依法处理。</w:t>
      </w:r>
    </w:p>
    <w:p w14:paraId="3E15F51E">
      <w:pPr>
        <w:jc w:val="left"/>
        <w:rPr>
          <w:rFonts w:ascii="宋体" w:hAnsi="宋体"/>
          <w:kern w:val="44"/>
        </w:rPr>
      </w:pPr>
    </w:p>
    <w:p w14:paraId="5113AA26">
      <w:pPr>
        <w:ind w:firstLine="0" w:firstLineChars="0"/>
        <w:jc w:val="center"/>
        <w:rPr>
          <w:rFonts w:ascii="宋体" w:hAnsi="宋体"/>
          <w:b/>
          <w:kern w:val="44"/>
          <w:sz w:val="28"/>
        </w:rPr>
      </w:pPr>
      <w:r>
        <w:rPr>
          <w:rFonts w:hint="eastAsia" w:ascii="宋体" w:hAnsi="宋体"/>
          <w:b/>
          <w:kern w:val="44"/>
          <w:sz w:val="28"/>
        </w:rPr>
        <w:t>第五章　法律责任</w:t>
      </w:r>
    </w:p>
    <w:p w14:paraId="65884345">
      <w:pPr>
        <w:jc w:val="left"/>
        <w:rPr>
          <w:rFonts w:ascii="宋体" w:hAnsi="宋体"/>
          <w:kern w:val="44"/>
        </w:rPr>
      </w:pPr>
    </w:p>
    <w:p w14:paraId="4399CE44">
      <w:pPr>
        <w:ind w:firstLine="422"/>
        <w:jc w:val="left"/>
        <w:rPr>
          <w:rFonts w:ascii="宋体" w:hAnsi="宋体"/>
          <w:kern w:val="44"/>
        </w:rPr>
      </w:pPr>
      <w:r>
        <w:rPr>
          <w:rFonts w:hint="eastAsia" w:ascii="宋体" w:hAnsi="宋体"/>
          <w:b/>
          <w:kern w:val="44"/>
        </w:rPr>
        <w:t>第五十四条</w:t>
      </w:r>
      <w:r>
        <w:rPr>
          <w:rFonts w:hint="eastAsia" w:ascii="宋体" w:hAnsi="宋体"/>
          <w:kern w:val="44"/>
        </w:rPr>
        <w:t>　违反本条例的规定，道路运输管理机构的工作人员有下列行为之一的，依法给予行政处分；构成犯罪的，依法追究刑事责任：</w:t>
      </w:r>
    </w:p>
    <w:p w14:paraId="1A075973">
      <w:pPr>
        <w:jc w:val="left"/>
        <w:rPr>
          <w:rFonts w:ascii="宋体" w:hAnsi="宋体"/>
          <w:kern w:val="44"/>
        </w:rPr>
      </w:pPr>
      <w:r>
        <w:rPr>
          <w:rFonts w:hint="eastAsia" w:ascii="宋体" w:hAnsi="宋体"/>
          <w:kern w:val="44"/>
        </w:rPr>
        <w:t>（一）不按照法定条件、程序和期限实施行政许可的；</w:t>
      </w:r>
    </w:p>
    <w:p w14:paraId="56D65223">
      <w:pPr>
        <w:jc w:val="left"/>
        <w:rPr>
          <w:rFonts w:ascii="宋体" w:hAnsi="宋体"/>
          <w:kern w:val="44"/>
        </w:rPr>
      </w:pPr>
      <w:r>
        <w:rPr>
          <w:rFonts w:hint="eastAsia" w:ascii="宋体" w:hAnsi="宋体"/>
          <w:kern w:val="44"/>
        </w:rPr>
        <w:t>（二）没有法定依据或者不遵守法定程序实施行政处罚的；</w:t>
      </w:r>
    </w:p>
    <w:p w14:paraId="6EFBD964">
      <w:pPr>
        <w:jc w:val="left"/>
        <w:rPr>
          <w:rFonts w:ascii="宋体" w:hAnsi="宋体"/>
          <w:kern w:val="44"/>
        </w:rPr>
      </w:pPr>
      <w:r>
        <w:rPr>
          <w:rFonts w:hint="eastAsia" w:ascii="宋体" w:hAnsi="宋体"/>
          <w:kern w:val="44"/>
        </w:rPr>
        <w:t>（三）在执行公务时发现违法行为不及时查处，造成严重后果的；</w:t>
      </w:r>
    </w:p>
    <w:p w14:paraId="65A890B4">
      <w:pPr>
        <w:jc w:val="left"/>
        <w:rPr>
          <w:rFonts w:ascii="宋体" w:hAnsi="宋体"/>
          <w:kern w:val="44"/>
        </w:rPr>
      </w:pPr>
      <w:r>
        <w:rPr>
          <w:rFonts w:hint="eastAsia" w:ascii="宋体" w:hAnsi="宋体"/>
          <w:kern w:val="44"/>
        </w:rPr>
        <w:t>（四）参与或者变相参与道路运输经营以及道路运输相关业务的；</w:t>
      </w:r>
    </w:p>
    <w:p w14:paraId="30C632A7">
      <w:pPr>
        <w:jc w:val="left"/>
        <w:rPr>
          <w:rFonts w:ascii="宋体" w:hAnsi="宋体"/>
          <w:kern w:val="44"/>
        </w:rPr>
      </w:pPr>
      <w:r>
        <w:rPr>
          <w:rFonts w:hint="eastAsia" w:ascii="宋体" w:hAnsi="宋体"/>
          <w:kern w:val="44"/>
        </w:rPr>
        <w:t>（五）利用职务便利，索取他人财物或者收受他人财物，为他人谋利的；</w:t>
      </w:r>
    </w:p>
    <w:p w14:paraId="2504C89A">
      <w:pPr>
        <w:jc w:val="left"/>
        <w:rPr>
          <w:rFonts w:ascii="宋体" w:hAnsi="宋体"/>
          <w:kern w:val="44"/>
        </w:rPr>
      </w:pPr>
      <w:r>
        <w:rPr>
          <w:rFonts w:hint="eastAsia" w:ascii="宋体" w:hAnsi="宋体"/>
          <w:kern w:val="44"/>
        </w:rPr>
        <w:t>（六）要求当事人承担非法定义务的；</w:t>
      </w:r>
    </w:p>
    <w:p w14:paraId="637E0411">
      <w:pPr>
        <w:jc w:val="left"/>
        <w:rPr>
          <w:rFonts w:ascii="宋体" w:hAnsi="宋体"/>
          <w:kern w:val="44"/>
        </w:rPr>
      </w:pPr>
      <w:r>
        <w:rPr>
          <w:rFonts w:hint="eastAsia" w:ascii="宋体" w:hAnsi="宋体"/>
          <w:kern w:val="44"/>
        </w:rPr>
        <w:t>（七）截留、挪用、私分或者变相私分查封、扣押、没收的财物的；</w:t>
      </w:r>
    </w:p>
    <w:p w14:paraId="5A0745F8">
      <w:pPr>
        <w:jc w:val="left"/>
        <w:rPr>
          <w:rFonts w:ascii="宋体" w:hAnsi="宋体"/>
          <w:kern w:val="44"/>
        </w:rPr>
      </w:pPr>
      <w:r>
        <w:rPr>
          <w:rFonts w:hint="eastAsia" w:ascii="宋体" w:hAnsi="宋体"/>
          <w:kern w:val="44"/>
        </w:rPr>
        <w:t>（八）对生产安全事故隐瞒不报、谎报或者拖延不报的；</w:t>
      </w:r>
    </w:p>
    <w:p w14:paraId="26F3F3F2">
      <w:pPr>
        <w:jc w:val="left"/>
        <w:rPr>
          <w:rFonts w:ascii="宋体" w:hAnsi="宋体"/>
          <w:kern w:val="44"/>
        </w:rPr>
      </w:pPr>
      <w:r>
        <w:rPr>
          <w:rFonts w:hint="eastAsia" w:ascii="宋体" w:hAnsi="宋体"/>
          <w:kern w:val="44"/>
        </w:rPr>
        <w:t>（九）其他违法行为。</w:t>
      </w:r>
    </w:p>
    <w:p w14:paraId="1DC55FEB">
      <w:pPr>
        <w:ind w:firstLine="422"/>
        <w:jc w:val="left"/>
        <w:rPr>
          <w:rFonts w:ascii="宋体" w:hAnsi="宋体"/>
          <w:kern w:val="44"/>
        </w:rPr>
      </w:pPr>
      <w:r>
        <w:rPr>
          <w:rFonts w:hint="eastAsia" w:ascii="宋体" w:hAnsi="宋体"/>
          <w:b/>
          <w:kern w:val="44"/>
        </w:rPr>
        <w:t>第五十五条</w:t>
      </w:r>
      <w:r>
        <w:rPr>
          <w:rFonts w:hint="eastAsia" w:ascii="宋体" w:hAnsi="宋体"/>
          <w:kern w:val="44"/>
        </w:rPr>
        <w:t>　违反本条例的规定，未经许可擅自从事客运经营或者货运经营的，由道路运输管理机构责令停止经营；有违法所得的，没收违法所得，处违法所得2倍以上10倍以下的罚款；没有违法所得或者违法所得不足2万元的，处3万元以上10万元以下的罚款；构成犯罪的，依法追究刑事责任。</w:t>
      </w:r>
    </w:p>
    <w:p w14:paraId="7AA47E79">
      <w:pPr>
        <w:ind w:firstLine="422"/>
        <w:jc w:val="left"/>
        <w:rPr>
          <w:rFonts w:ascii="宋体" w:hAnsi="宋体"/>
          <w:kern w:val="44"/>
        </w:rPr>
      </w:pPr>
      <w:r>
        <w:rPr>
          <w:rFonts w:hint="eastAsia" w:ascii="宋体" w:hAnsi="宋体"/>
          <w:b/>
          <w:kern w:val="44"/>
        </w:rPr>
        <w:t>第五十六条</w:t>
      </w:r>
      <w:r>
        <w:rPr>
          <w:rFonts w:hint="eastAsia" w:ascii="宋体" w:hAnsi="宋体"/>
          <w:kern w:val="44"/>
        </w:rPr>
        <w:t>　违反本条例的规定，未经许可擅自从事道路运输场站经营、机动车维修经营的，由道路运输管理机构责令停止经营；有违法所得的，没收违法所得，处违法所得2倍以上10倍以下的罚款；没有违法所得或者违法所得不足1万元的，处2万元以上5万元以下的罚款；构成犯罪的，依法追究刑事责任。</w:t>
      </w:r>
    </w:p>
    <w:p w14:paraId="219F07B0">
      <w:pPr>
        <w:ind w:firstLine="422"/>
        <w:jc w:val="left"/>
        <w:rPr>
          <w:rFonts w:ascii="宋体" w:hAnsi="宋体"/>
          <w:kern w:val="44"/>
        </w:rPr>
      </w:pPr>
      <w:r>
        <w:rPr>
          <w:rFonts w:hint="eastAsia" w:ascii="宋体" w:hAnsi="宋体"/>
          <w:b/>
          <w:kern w:val="44"/>
        </w:rPr>
        <w:t>第五十七条</w:t>
      </w:r>
      <w:r>
        <w:rPr>
          <w:rFonts w:hint="eastAsia" w:ascii="宋体" w:hAnsi="宋体"/>
          <w:kern w:val="44"/>
        </w:rPr>
        <w:t>　违反本条例的规定，道路运输经营者有下列情形之一的，由道路运输管理机构责令改正，并可处200元的罚款：</w:t>
      </w:r>
    </w:p>
    <w:p w14:paraId="7AA31F6A">
      <w:pPr>
        <w:jc w:val="left"/>
        <w:rPr>
          <w:rFonts w:ascii="宋体" w:hAnsi="宋体"/>
          <w:kern w:val="44"/>
        </w:rPr>
      </w:pPr>
      <w:r>
        <w:rPr>
          <w:rFonts w:hint="eastAsia" w:ascii="宋体" w:hAnsi="宋体"/>
          <w:kern w:val="44"/>
        </w:rPr>
        <w:t>（一）客运车辆在运营中未保持车内通道的畅通，或者未采取必要措施保证随车运输行李的平稳和固定的；</w:t>
      </w:r>
    </w:p>
    <w:p w14:paraId="3081AA57">
      <w:pPr>
        <w:jc w:val="left"/>
        <w:rPr>
          <w:rFonts w:ascii="宋体" w:hAnsi="宋体"/>
          <w:kern w:val="44"/>
        </w:rPr>
      </w:pPr>
      <w:r>
        <w:rPr>
          <w:rFonts w:hint="eastAsia" w:ascii="宋体" w:hAnsi="宋体"/>
          <w:kern w:val="44"/>
        </w:rPr>
        <w:t>（二）客运、货运车辆未按照规定携带车辆营运证件的；</w:t>
      </w:r>
    </w:p>
    <w:p w14:paraId="6D4E468E">
      <w:pPr>
        <w:jc w:val="left"/>
        <w:rPr>
          <w:rFonts w:ascii="宋体" w:hAnsi="宋体"/>
          <w:kern w:val="44"/>
        </w:rPr>
      </w:pPr>
      <w:r>
        <w:rPr>
          <w:rFonts w:hint="eastAsia" w:ascii="宋体" w:hAnsi="宋体"/>
          <w:kern w:val="44"/>
        </w:rPr>
        <w:t>（三）专业人员在运营中未携带专业资格证件的；</w:t>
      </w:r>
    </w:p>
    <w:p w14:paraId="163D997C">
      <w:pPr>
        <w:jc w:val="left"/>
        <w:rPr>
          <w:rFonts w:ascii="宋体" w:hAnsi="宋体"/>
          <w:kern w:val="44"/>
        </w:rPr>
      </w:pPr>
      <w:r>
        <w:rPr>
          <w:rFonts w:hint="eastAsia" w:ascii="宋体" w:hAnsi="宋体"/>
          <w:kern w:val="44"/>
        </w:rPr>
        <w:t>（四）未按照规定报送相关信息的。</w:t>
      </w:r>
    </w:p>
    <w:p w14:paraId="30BE7C76">
      <w:pPr>
        <w:ind w:firstLine="422"/>
        <w:jc w:val="left"/>
        <w:rPr>
          <w:rFonts w:ascii="宋体" w:hAnsi="宋体"/>
          <w:kern w:val="44"/>
        </w:rPr>
      </w:pPr>
      <w:r>
        <w:rPr>
          <w:rFonts w:hint="eastAsia" w:ascii="宋体" w:hAnsi="宋体"/>
          <w:b/>
          <w:kern w:val="44"/>
        </w:rPr>
        <w:t>第五十八条</w:t>
      </w:r>
      <w:r>
        <w:rPr>
          <w:rFonts w:hint="eastAsia" w:ascii="宋体" w:hAnsi="宋体"/>
          <w:kern w:val="44"/>
        </w:rPr>
        <w:t>　违反本条例的规定，道路运输经营者有下列情形之一的，由道路运输管理机构责令限期改正；逾期未改正的，处1000元的罚款：</w:t>
      </w:r>
    </w:p>
    <w:p w14:paraId="1E727F78">
      <w:pPr>
        <w:jc w:val="left"/>
        <w:rPr>
          <w:rFonts w:ascii="宋体" w:hAnsi="宋体"/>
          <w:kern w:val="44"/>
        </w:rPr>
      </w:pPr>
      <w:r>
        <w:rPr>
          <w:rFonts w:hint="eastAsia" w:ascii="宋体" w:hAnsi="宋体"/>
          <w:kern w:val="44"/>
        </w:rPr>
        <w:t>（一）班线客运经营者未在暂停或者终止班线经营之日前7日在运输沿线各站发布公告的；</w:t>
      </w:r>
    </w:p>
    <w:p w14:paraId="1BCF6EC2">
      <w:pPr>
        <w:jc w:val="left"/>
        <w:rPr>
          <w:rFonts w:ascii="宋体" w:hAnsi="宋体"/>
          <w:kern w:val="44"/>
        </w:rPr>
      </w:pPr>
      <w:r>
        <w:rPr>
          <w:rFonts w:hint="eastAsia" w:ascii="宋体" w:hAnsi="宋体"/>
          <w:kern w:val="44"/>
        </w:rPr>
        <w:t>（二）外省市货运经营者驻京从事货物运输，未向经营所在地的道路运输管理机构备案的；</w:t>
      </w:r>
    </w:p>
    <w:p w14:paraId="1CF0E251">
      <w:pPr>
        <w:jc w:val="left"/>
        <w:rPr>
          <w:rFonts w:ascii="宋体" w:hAnsi="宋体"/>
          <w:kern w:val="44"/>
        </w:rPr>
      </w:pPr>
      <w:r>
        <w:rPr>
          <w:rFonts w:hint="eastAsia" w:ascii="宋体" w:hAnsi="宋体"/>
          <w:kern w:val="44"/>
        </w:rPr>
        <w:t>（三）道路运输货运代理经营者、机动车综合性能检测机构未按照规定向所在地的道路运输管理机构备案的；</w:t>
      </w:r>
    </w:p>
    <w:p w14:paraId="1CBE7A1A">
      <w:pPr>
        <w:jc w:val="left"/>
        <w:rPr>
          <w:rFonts w:ascii="宋体" w:hAnsi="宋体"/>
          <w:kern w:val="44"/>
        </w:rPr>
      </w:pPr>
      <w:r>
        <w:rPr>
          <w:rFonts w:hint="eastAsia" w:ascii="宋体" w:hAnsi="宋体"/>
          <w:kern w:val="44"/>
        </w:rPr>
        <w:t>（四）未对专业人员进行岗前和在职专业技能培训或者安排培训不合格的专业人员上岗的。</w:t>
      </w:r>
    </w:p>
    <w:p w14:paraId="241A6196">
      <w:pPr>
        <w:ind w:firstLine="422"/>
        <w:jc w:val="left"/>
        <w:rPr>
          <w:rFonts w:ascii="宋体" w:hAnsi="宋体"/>
          <w:kern w:val="44"/>
        </w:rPr>
      </w:pPr>
      <w:r>
        <w:rPr>
          <w:rFonts w:hint="eastAsia" w:ascii="宋体" w:hAnsi="宋体"/>
          <w:b/>
          <w:kern w:val="44"/>
        </w:rPr>
        <w:t>第五十九条</w:t>
      </w:r>
      <w:r>
        <w:rPr>
          <w:rFonts w:hint="eastAsia" w:ascii="宋体" w:hAnsi="宋体"/>
          <w:kern w:val="44"/>
        </w:rPr>
        <w:t>　违反本条例的规定，客运经营者有下列情形之一的，由道路运输管理机构责令改正，处1000元以上3000元以下的罚款；严重影响客运市场秩序的，由原许可机关吊销道路运输经营许可证：</w:t>
      </w:r>
    </w:p>
    <w:p w14:paraId="4B7F6567">
      <w:pPr>
        <w:jc w:val="left"/>
        <w:rPr>
          <w:rFonts w:ascii="宋体" w:hAnsi="宋体"/>
          <w:kern w:val="44"/>
        </w:rPr>
      </w:pPr>
      <w:r>
        <w:rPr>
          <w:rFonts w:hint="eastAsia" w:ascii="宋体" w:hAnsi="宋体"/>
          <w:kern w:val="44"/>
        </w:rPr>
        <w:t>（一）强迫旅客乘车、甩客或者转由他人运送的；</w:t>
      </w:r>
    </w:p>
    <w:p w14:paraId="43F61E08">
      <w:pPr>
        <w:jc w:val="left"/>
        <w:rPr>
          <w:rFonts w:ascii="宋体" w:hAnsi="宋体"/>
          <w:kern w:val="44"/>
        </w:rPr>
      </w:pPr>
      <w:r>
        <w:rPr>
          <w:rFonts w:hint="eastAsia" w:ascii="宋体" w:hAnsi="宋体"/>
          <w:kern w:val="44"/>
        </w:rPr>
        <w:t>（二）班线客运经营者违反统一售票制度擅自在站外组织客源的；</w:t>
      </w:r>
    </w:p>
    <w:p w14:paraId="11EABE3A">
      <w:pPr>
        <w:jc w:val="left"/>
        <w:rPr>
          <w:rFonts w:ascii="宋体" w:hAnsi="宋体"/>
          <w:kern w:val="44"/>
        </w:rPr>
      </w:pPr>
      <w:r>
        <w:rPr>
          <w:rFonts w:hint="eastAsia" w:ascii="宋体" w:hAnsi="宋体"/>
          <w:kern w:val="44"/>
        </w:rPr>
        <w:t>（三）班线客运经营者不按照许可的线路、场站或者核准的经营范围、班次和时间运营的；</w:t>
      </w:r>
    </w:p>
    <w:p w14:paraId="49BC21BE">
      <w:pPr>
        <w:jc w:val="left"/>
        <w:rPr>
          <w:rFonts w:ascii="宋体" w:hAnsi="宋体"/>
          <w:kern w:val="44"/>
        </w:rPr>
      </w:pPr>
      <w:r>
        <w:rPr>
          <w:rFonts w:hint="eastAsia" w:ascii="宋体" w:hAnsi="宋体"/>
          <w:kern w:val="44"/>
        </w:rPr>
        <w:t>（四）班线客运经营者站外上客或者沿途揽客的；</w:t>
      </w:r>
    </w:p>
    <w:p w14:paraId="23F79B0F">
      <w:pPr>
        <w:jc w:val="left"/>
        <w:rPr>
          <w:rFonts w:ascii="宋体" w:hAnsi="宋体"/>
          <w:kern w:val="44"/>
        </w:rPr>
      </w:pPr>
      <w:r>
        <w:rPr>
          <w:rFonts w:hint="eastAsia" w:ascii="宋体" w:hAnsi="宋体"/>
          <w:kern w:val="44"/>
        </w:rPr>
        <w:t>（五）班线客运经营者未经批准擅自停业或者歇业的；</w:t>
      </w:r>
    </w:p>
    <w:p w14:paraId="7621B022">
      <w:pPr>
        <w:jc w:val="left"/>
        <w:rPr>
          <w:rFonts w:ascii="宋体" w:hAnsi="宋体"/>
          <w:kern w:val="44"/>
        </w:rPr>
      </w:pPr>
      <w:r>
        <w:rPr>
          <w:rFonts w:hint="eastAsia" w:ascii="宋体" w:hAnsi="宋体"/>
          <w:kern w:val="44"/>
        </w:rPr>
        <w:t>（六）包车客运经营者承运包车合同之外的旅客的；</w:t>
      </w:r>
    </w:p>
    <w:p w14:paraId="15AB1443">
      <w:pPr>
        <w:jc w:val="left"/>
        <w:rPr>
          <w:rFonts w:ascii="宋体" w:hAnsi="宋体"/>
          <w:kern w:val="44"/>
        </w:rPr>
      </w:pPr>
      <w:r>
        <w:rPr>
          <w:rFonts w:hint="eastAsia" w:ascii="宋体" w:hAnsi="宋体"/>
          <w:kern w:val="44"/>
        </w:rPr>
        <w:t>（七）跨省市客运的运营线路一端不在车籍所在地的。</w:t>
      </w:r>
    </w:p>
    <w:p w14:paraId="7B40B3C8">
      <w:pPr>
        <w:ind w:firstLine="422"/>
        <w:jc w:val="left"/>
        <w:rPr>
          <w:rFonts w:ascii="宋体" w:hAnsi="宋体"/>
          <w:kern w:val="44"/>
        </w:rPr>
      </w:pPr>
      <w:r>
        <w:rPr>
          <w:rFonts w:hint="eastAsia" w:ascii="宋体" w:hAnsi="宋体"/>
          <w:b/>
          <w:kern w:val="44"/>
        </w:rPr>
        <w:t>第六十条</w:t>
      </w:r>
      <w:r>
        <w:rPr>
          <w:rFonts w:hint="eastAsia" w:ascii="宋体" w:hAnsi="宋体"/>
          <w:kern w:val="44"/>
        </w:rPr>
        <w:t>　违反本条例的规定，道路运输场站经营者允许非法的道路运输经营者或者车辆进站从事经营活动的，由道路运输管理机构责令改正，处1万元以上3万元以下的罚款。</w:t>
      </w:r>
    </w:p>
    <w:p w14:paraId="0917B559">
      <w:pPr>
        <w:ind w:firstLine="422"/>
        <w:jc w:val="left"/>
        <w:rPr>
          <w:rFonts w:ascii="宋体" w:hAnsi="宋体"/>
          <w:kern w:val="44"/>
        </w:rPr>
      </w:pPr>
      <w:r>
        <w:rPr>
          <w:rFonts w:hint="eastAsia" w:ascii="宋体" w:hAnsi="宋体"/>
          <w:b/>
          <w:kern w:val="44"/>
        </w:rPr>
        <w:t>第六十一条</w:t>
      </w:r>
      <w:r>
        <w:rPr>
          <w:rFonts w:hint="eastAsia" w:ascii="宋体" w:hAnsi="宋体"/>
          <w:kern w:val="44"/>
        </w:rPr>
        <w:t>　违反本条例的规定，道路运输场站经营者有下列行为之一的，由道路运输管理机构责令限期改正；逾期未改正的，处3000元的罚款：</w:t>
      </w:r>
    </w:p>
    <w:p w14:paraId="41A8EE7E">
      <w:pPr>
        <w:jc w:val="left"/>
        <w:rPr>
          <w:rFonts w:ascii="宋体" w:hAnsi="宋体"/>
          <w:kern w:val="44"/>
        </w:rPr>
      </w:pPr>
      <w:r>
        <w:rPr>
          <w:rFonts w:hint="eastAsia" w:ascii="宋体" w:hAnsi="宋体"/>
          <w:kern w:val="44"/>
        </w:rPr>
        <w:t>（一）客运、货运场站经营者未按照本条例规定公示的；</w:t>
      </w:r>
    </w:p>
    <w:p w14:paraId="14982A27">
      <w:pPr>
        <w:jc w:val="left"/>
        <w:rPr>
          <w:rFonts w:ascii="宋体" w:hAnsi="宋体"/>
          <w:kern w:val="44"/>
        </w:rPr>
      </w:pPr>
      <w:r>
        <w:rPr>
          <w:rFonts w:hint="eastAsia" w:ascii="宋体" w:hAnsi="宋体"/>
          <w:kern w:val="44"/>
        </w:rPr>
        <w:t>（二）客运场站经营者未按照规定制定客流高峰期间的备班运力储备计划和加班运营计划的；</w:t>
      </w:r>
    </w:p>
    <w:p w14:paraId="18C29BA6">
      <w:pPr>
        <w:jc w:val="left"/>
        <w:rPr>
          <w:rFonts w:ascii="宋体" w:hAnsi="宋体"/>
          <w:kern w:val="44"/>
        </w:rPr>
      </w:pPr>
      <w:r>
        <w:rPr>
          <w:rFonts w:hint="eastAsia" w:ascii="宋体" w:hAnsi="宋体"/>
          <w:kern w:val="44"/>
        </w:rPr>
        <w:t>（三）客运场站经营者安排的加班车辆的技术等级不符合运营班线要求的。</w:t>
      </w:r>
    </w:p>
    <w:p w14:paraId="73261660">
      <w:pPr>
        <w:ind w:firstLine="422"/>
        <w:jc w:val="left"/>
        <w:rPr>
          <w:rFonts w:ascii="宋体" w:hAnsi="宋体"/>
          <w:kern w:val="44"/>
        </w:rPr>
      </w:pPr>
      <w:r>
        <w:rPr>
          <w:rFonts w:hint="eastAsia" w:ascii="宋体" w:hAnsi="宋体"/>
          <w:b/>
          <w:kern w:val="44"/>
        </w:rPr>
        <w:t>第六十二条</w:t>
      </w:r>
      <w:r>
        <w:rPr>
          <w:rFonts w:hint="eastAsia" w:ascii="宋体" w:hAnsi="宋体"/>
          <w:kern w:val="44"/>
        </w:rPr>
        <w:t>　违反本条例的规定，道路运输货运代理经营者将受理的货物运输业务交给不具有相应合法资格的货运经营者承运的，由道路运输管理机构责令改正，处1000元以上3000元以下的罚款。</w:t>
      </w:r>
    </w:p>
    <w:p w14:paraId="077B3D80">
      <w:pPr>
        <w:ind w:firstLine="422"/>
        <w:jc w:val="left"/>
        <w:rPr>
          <w:rFonts w:ascii="宋体" w:hAnsi="宋体"/>
          <w:kern w:val="44"/>
        </w:rPr>
      </w:pPr>
      <w:r>
        <w:rPr>
          <w:rFonts w:hint="eastAsia" w:ascii="宋体" w:hAnsi="宋体"/>
          <w:b/>
          <w:kern w:val="44"/>
        </w:rPr>
        <w:t>第六十三条</w:t>
      </w:r>
      <w:r>
        <w:rPr>
          <w:rFonts w:hint="eastAsia" w:ascii="宋体" w:hAnsi="宋体"/>
          <w:kern w:val="44"/>
        </w:rPr>
        <w:t>　违反本条例的规定，机动车维修经营者出具虚假的机动车维修合格证的，由道路运输管理机构责令改正；有违法所得的，没收违法所得，处违法所得2倍以上10倍以下的罚款；没有违法所得或者违法所得不足3000元的，处5000元以上2万元以下的罚款；情节严重的，由原许可机关吊销其经营许可证；构成犯罪的，依法追究刑事责任。</w:t>
      </w:r>
    </w:p>
    <w:p w14:paraId="57AA83C6">
      <w:pPr>
        <w:ind w:firstLine="422"/>
        <w:jc w:val="left"/>
        <w:rPr>
          <w:rFonts w:ascii="宋体" w:hAnsi="宋体"/>
          <w:kern w:val="44"/>
        </w:rPr>
      </w:pPr>
      <w:r>
        <w:rPr>
          <w:rFonts w:hint="eastAsia" w:ascii="宋体" w:hAnsi="宋体"/>
          <w:b/>
          <w:kern w:val="44"/>
        </w:rPr>
        <w:t>第六十四条</w:t>
      </w:r>
      <w:r>
        <w:rPr>
          <w:rFonts w:hint="eastAsia" w:ascii="宋体" w:hAnsi="宋体"/>
          <w:kern w:val="44"/>
        </w:rPr>
        <w:t>　违反本条例的规定，机动车维修经营者有下列情形之一的，由道路运输管理机构责令改正；逾期未改正的，处2000元以上5000元以下的罚款；严重侵犯消费者合法权益的，由道路运输管理机构处5日以上15日以下的停业整顿：</w:t>
      </w:r>
    </w:p>
    <w:p w14:paraId="7BDECBB7">
      <w:pPr>
        <w:jc w:val="left"/>
        <w:rPr>
          <w:rFonts w:ascii="宋体" w:hAnsi="宋体"/>
          <w:kern w:val="44"/>
        </w:rPr>
      </w:pPr>
      <w:r>
        <w:rPr>
          <w:rFonts w:hint="eastAsia" w:ascii="宋体" w:hAnsi="宋体"/>
          <w:kern w:val="44"/>
        </w:rPr>
        <w:t>（一）未按照规定执行机动车配件采购、检验、使用和公示制度的；</w:t>
      </w:r>
    </w:p>
    <w:p w14:paraId="17D7BF20">
      <w:pPr>
        <w:jc w:val="left"/>
        <w:rPr>
          <w:rFonts w:ascii="宋体" w:hAnsi="宋体"/>
          <w:kern w:val="44"/>
        </w:rPr>
      </w:pPr>
      <w:r>
        <w:rPr>
          <w:rFonts w:hint="eastAsia" w:ascii="宋体" w:hAnsi="宋体"/>
          <w:kern w:val="44"/>
        </w:rPr>
        <w:t>（二）未按照规定分项计算工时费、材料费或者将结算清单交付托修方的；</w:t>
      </w:r>
    </w:p>
    <w:p w14:paraId="7545470B">
      <w:pPr>
        <w:jc w:val="left"/>
        <w:rPr>
          <w:rFonts w:ascii="宋体" w:hAnsi="宋体"/>
          <w:kern w:val="44"/>
        </w:rPr>
      </w:pPr>
      <w:r>
        <w:rPr>
          <w:rFonts w:hint="eastAsia" w:ascii="宋体" w:hAnsi="宋体"/>
          <w:kern w:val="44"/>
        </w:rPr>
        <w:t>（三）使用的机动车维修设备不符合国家和本市相关标准的。</w:t>
      </w:r>
    </w:p>
    <w:p w14:paraId="70E81A7E">
      <w:pPr>
        <w:ind w:firstLine="422"/>
        <w:jc w:val="left"/>
        <w:rPr>
          <w:rFonts w:ascii="宋体" w:hAnsi="宋体"/>
          <w:kern w:val="44"/>
        </w:rPr>
      </w:pPr>
      <w:r>
        <w:rPr>
          <w:rFonts w:hint="eastAsia" w:ascii="宋体" w:hAnsi="宋体"/>
          <w:b/>
          <w:kern w:val="44"/>
        </w:rPr>
        <w:t>第六十五条</w:t>
      </w:r>
      <w:r>
        <w:rPr>
          <w:rFonts w:hint="eastAsia" w:ascii="宋体" w:hAnsi="宋体"/>
          <w:kern w:val="44"/>
        </w:rPr>
        <w:t>　道路运输经营者违反本条例安全管理的有关规定，由道路运输管理机构责令限期改正；逾期未改正的，道路运输管理机构可以责令存在安全隐患的场所、车辆或者其他设施、设备停止使用；不符合安全条件的，依法吊销相应的行政许可证件。</w:t>
      </w:r>
    </w:p>
    <w:p w14:paraId="2428AAF2">
      <w:pPr>
        <w:ind w:firstLine="422"/>
        <w:jc w:val="left"/>
        <w:rPr>
          <w:rFonts w:ascii="宋体" w:hAnsi="宋体"/>
          <w:kern w:val="44"/>
        </w:rPr>
      </w:pPr>
      <w:r>
        <w:rPr>
          <w:rFonts w:hint="eastAsia" w:ascii="宋体" w:hAnsi="宋体"/>
          <w:b/>
          <w:kern w:val="44"/>
        </w:rPr>
        <w:t>第六十六条</w:t>
      </w:r>
      <w:r>
        <w:rPr>
          <w:rFonts w:hint="eastAsia" w:ascii="宋体" w:hAnsi="宋体"/>
          <w:kern w:val="44"/>
        </w:rPr>
        <w:t>　经许可的道路运输经营者在停业整顿期间仍从事道路运输经营活动的，由道路运输管理机构按照未经许可擅自从事道路运输经营活动的有关规定处理。</w:t>
      </w:r>
    </w:p>
    <w:p w14:paraId="7A69B641">
      <w:pPr>
        <w:ind w:firstLine="422"/>
        <w:jc w:val="left"/>
        <w:rPr>
          <w:rFonts w:ascii="宋体" w:hAnsi="宋体"/>
          <w:kern w:val="44"/>
        </w:rPr>
      </w:pPr>
      <w:r>
        <w:rPr>
          <w:rFonts w:hint="eastAsia" w:ascii="宋体" w:hAnsi="宋体"/>
          <w:b/>
          <w:kern w:val="44"/>
        </w:rPr>
        <w:t>第六十七条</w:t>
      </w:r>
      <w:r>
        <w:rPr>
          <w:rFonts w:hint="eastAsia" w:ascii="宋体" w:hAnsi="宋体"/>
          <w:kern w:val="44"/>
        </w:rPr>
        <w:t>　道路运输从业人员有下列不具备安全条件情形之一的，由发放从业资格证件的道路运输管理机构吊销其从业资格证件：</w:t>
      </w:r>
    </w:p>
    <w:p w14:paraId="71C5BC2C">
      <w:pPr>
        <w:jc w:val="left"/>
        <w:rPr>
          <w:rFonts w:ascii="宋体" w:hAnsi="宋体"/>
          <w:kern w:val="44"/>
        </w:rPr>
      </w:pPr>
      <w:r>
        <w:rPr>
          <w:rFonts w:hint="eastAsia" w:ascii="宋体" w:hAnsi="宋体"/>
          <w:kern w:val="44"/>
        </w:rPr>
        <w:t>（一）道路客货运输驾驶员、道路危险货物运输从业人员身体健康状况不符合有关机动车驾驶和相关从业要求且没有主动申请注销从业资格的；</w:t>
      </w:r>
    </w:p>
    <w:p w14:paraId="62431EF2">
      <w:pPr>
        <w:jc w:val="left"/>
        <w:rPr>
          <w:rFonts w:ascii="宋体" w:hAnsi="宋体"/>
          <w:kern w:val="44"/>
        </w:rPr>
      </w:pPr>
      <w:r>
        <w:rPr>
          <w:rFonts w:hint="eastAsia" w:ascii="宋体" w:hAnsi="宋体"/>
          <w:kern w:val="44"/>
        </w:rPr>
        <w:t>（二）道路客货运输驾驶员、道路危险货物运输驾驶员发生重大以上交通事故，且负主要责任的；</w:t>
      </w:r>
    </w:p>
    <w:p w14:paraId="1772F4E7">
      <w:pPr>
        <w:jc w:val="left"/>
        <w:rPr>
          <w:rFonts w:ascii="宋体" w:hAnsi="宋体"/>
          <w:kern w:val="44"/>
        </w:rPr>
      </w:pPr>
      <w:r>
        <w:rPr>
          <w:rFonts w:hint="eastAsia" w:ascii="宋体" w:hAnsi="宋体"/>
          <w:kern w:val="44"/>
        </w:rPr>
        <w:t>（三）机动车维修技术人员发生重大生产安全事故，且负主要责任的；</w:t>
      </w:r>
    </w:p>
    <w:p w14:paraId="56CDEE12">
      <w:pPr>
        <w:jc w:val="left"/>
        <w:rPr>
          <w:rFonts w:ascii="宋体" w:hAnsi="宋体"/>
          <w:kern w:val="44"/>
        </w:rPr>
      </w:pPr>
      <w:r>
        <w:rPr>
          <w:rFonts w:hint="eastAsia" w:ascii="宋体" w:hAnsi="宋体"/>
          <w:kern w:val="44"/>
        </w:rPr>
        <w:t>（四）发现重大事故隐患，不立即采取消除措施，继续作业的。</w:t>
      </w:r>
    </w:p>
    <w:p w14:paraId="19F483BC">
      <w:pPr>
        <w:ind w:firstLine="422"/>
        <w:jc w:val="left"/>
        <w:rPr>
          <w:rFonts w:ascii="宋体" w:hAnsi="宋体"/>
          <w:kern w:val="44"/>
        </w:rPr>
      </w:pPr>
      <w:r>
        <w:rPr>
          <w:rFonts w:hint="eastAsia" w:ascii="宋体" w:hAnsi="宋体"/>
          <w:b/>
          <w:kern w:val="44"/>
        </w:rPr>
        <w:t>第六十八条</w:t>
      </w:r>
      <w:r>
        <w:rPr>
          <w:rFonts w:hint="eastAsia" w:ascii="宋体" w:hAnsi="宋体"/>
          <w:kern w:val="44"/>
        </w:rPr>
        <w:t>　违反道路运输管理规定，有下列情形之一的，道路运输管理机构依法从轻或者减轻行政处罚：</w:t>
      </w:r>
    </w:p>
    <w:p w14:paraId="1319BC82">
      <w:pPr>
        <w:jc w:val="left"/>
        <w:rPr>
          <w:rFonts w:ascii="宋体" w:hAnsi="宋体"/>
          <w:kern w:val="44"/>
        </w:rPr>
      </w:pPr>
      <w:r>
        <w:rPr>
          <w:rFonts w:hint="eastAsia" w:ascii="宋体" w:hAnsi="宋体"/>
          <w:kern w:val="44"/>
        </w:rPr>
        <w:t>（一）主动消除或者减轻违法行为危害后果的；</w:t>
      </w:r>
    </w:p>
    <w:p w14:paraId="4B5D9A78">
      <w:pPr>
        <w:jc w:val="left"/>
        <w:rPr>
          <w:rFonts w:ascii="宋体" w:hAnsi="宋体"/>
          <w:kern w:val="44"/>
        </w:rPr>
      </w:pPr>
      <w:r>
        <w:rPr>
          <w:rFonts w:hint="eastAsia" w:ascii="宋体" w:hAnsi="宋体"/>
          <w:kern w:val="44"/>
        </w:rPr>
        <w:t>（二）受他人胁迫有违法行为的；</w:t>
      </w:r>
    </w:p>
    <w:p w14:paraId="21165D4B">
      <w:pPr>
        <w:jc w:val="left"/>
        <w:rPr>
          <w:rFonts w:ascii="宋体" w:hAnsi="宋体"/>
          <w:kern w:val="44"/>
        </w:rPr>
      </w:pPr>
      <w:r>
        <w:rPr>
          <w:rFonts w:hint="eastAsia" w:ascii="宋体" w:hAnsi="宋体"/>
          <w:kern w:val="44"/>
        </w:rPr>
        <w:t>（三）配合行政机关查处违法行为有立功表现的；</w:t>
      </w:r>
    </w:p>
    <w:p w14:paraId="49430898">
      <w:pPr>
        <w:jc w:val="left"/>
        <w:rPr>
          <w:rFonts w:ascii="宋体" w:hAnsi="宋体"/>
          <w:kern w:val="44"/>
        </w:rPr>
      </w:pPr>
      <w:r>
        <w:rPr>
          <w:rFonts w:hint="eastAsia" w:ascii="宋体" w:hAnsi="宋体"/>
          <w:kern w:val="44"/>
        </w:rPr>
        <w:t>（四）其他依法从轻或者减轻行政处罚的。</w:t>
      </w:r>
    </w:p>
    <w:p w14:paraId="6547B767">
      <w:pPr>
        <w:jc w:val="left"/>
        <w:rPr>
          <w:rFonts w:ascii="宋体" w:hAnsi="宋体"/>
          <w:kern w:val="44"/>
        </w:rPr>
      </w:pPr>
      <w:r>
        <w:rPr>
          <w:rFonts w:hint="eastAsia" w:ascii="宋体" w:hAnsi="宋体"/>
          <w:kern w:val="44"/>
        </w:rPr>
        <w:t>违法行为轻微并及时纠正，没有造成危害后果的，不予行政处罚。</w:t>
      </w:r>
    </w:p>
    <w:p w14:paraId="216D258B">
      <w:pPr>
        <w:ind w:firstLine="422"/>
        <w:jc w:val="left"/>
        <w:rPr>
          <w:rFonts w:ascii="宋体" w:hAnsi="宋体"/>
          <w:kern w:val="44"/>
        </w:rPr>
      </w:pPr>
      <w:r>
        <w:rPr>
          <w:rFonts w:hint="eastAsia" w:ascii="宋体" w:hAnsi="宋体"/>
          <w:b/>
          <w:kern w:val="44"/>
        </w:rPr>
        <w:t>第六十九条</w:t>
      </w:r>
      <w:r>
        <w:rPr>
          <w:rFonts w:hint="eastAsia" w:ascii="宋体" w:hAnsi="宋体"/>
          <w:kern w:val="44"/>
        </w:rPr>
        <w:t>　道路运输管理机构在监督检查过程中发现有违反相关法律、法规规定的其他行为，按照相关法律、法规应当予以处理的，应当移交有关部门依法处理。</w:t>
      </w:r>
    </w:p>
    <w:p w14:paraId="7AD65FE3">
      <w:pPr>
        <w:jc w:val="left"/>
        <w:rPr>
          <w:rFonts w:ascii="宋体" w:hAnsi="宋体"/>
          <w:kern w:val="44"/>
        </w:rPr>
      </w:pPr>
    </w:p>
    <w:p w14:paraId="18C23541">
      <w:pPr>
        <w:ind w:firstLine="0" w:firstLineChars="0"/>
        <w:jc w:val="center"/>
        <w:rPr>
          <w:rFonts w:ascii="宋体" w:hAnsi="宋体"/>
          <w:b/>
          <w:kern w:val="44"/>
          <w:sz w:val="28"/>
        </w:rPr>
      </w:pPr>
      <w:r>
        <w:rPr>
          <w:rFonts w:hint="eastAsia" w:ascii="宋体" w:hAnsi="宋体"/>
          <w:b/>
          <w:kern w:val="44"/>
          <w:sz w:val="28"/>
        </w:rPr>
        <w:t>第六章　附　则</w:t>
      </w:r>
    </w:p>
    <w:p w14:paraId="1A491A48">
      <w:pPr>
        <w:jc w:val="left"/>
        <w:rPr>
          <w:rFonts w:ascii="宋体" w:hAnsi="宋体"/>
          <w:kern w:val="44"/>
        </w:rPr>
      </w:pPr>
    </w:p>
    <w:p w14:paraId="1F19643A">
      <w:pPr>
        <w:ind w:firstLine="422"/>
        <w:jc w:val="left"/>
        <w:rPr>
          <w:rFonts w:ascii="宋体" w:hAnsi="宋体"/>
          <w:kern w:val="44"/>
        </w:rPr>
      </w:pPr>
      <w:r>
        <w:rPr>
          <w:rFonts w:hint="eastAsia" w:ascii="宋体" w:hAnsi="宋体"/>
          <w:b/>
          <w:kern w:val="44"/>
        </w:rPr>
        <w:t>第七十条</w:t>
      </w:r>
      <w:r>
        <w:rPr>
          <w:rFonts w:hint="eastAsia" w:ascii="宋体" w:hAnsi="宋体"/>
          <w:kern w:val="44"/>
        </w:rPr>
        <w:t>　从事机动车驾驶员培训的，适用国家和本市有关的规定。从事非经营性危险货物运输的，适用国家和本市有关经营性危险货物运输的规定。</w:t>
      </w:r>
    </w:p>
    <w:p w14:paraId="0815D7E1">
      <w:pPr>
        <w:ind w:firstLine="422"/>
        <w:jc w:val="left"/>
        <w:rPr>
          <w:rFonts w:ascii="宋体" w:hAnsi="宋体"/>
          <w:kern w:val="44"/>
        </w:rPr>
      </w:pPr>
      <w:r>
        <w:rPr>
          <w:rFonts w:hint="eastAsia" w:ascii="宋体" w:hAnsi="宋体"/>
          <w:b/>
          <w:kern w:val="44"/>
        </w:rPr>
        <w:t>第七十一条</w:t>
      </w:r>
      <w:r>
        <w:rPr>
          <w:rFonts w:hint="eastAsia" w:ascii="宋体" w:hAnsi="宋体"/>
          <w:kern w:val="44"/>
        </w:rPr>
        <w:t>　本条例所称货运经营者，包括在本市道路上从事专业性货物运输的企业和个体工商户，以及其他为社会或本企业提供货运服务、具有经营性质的货物运输者。</w:t>
      </w:r>
    </w:p>
    <w:p w14:paraId="04CAB711">
      <w:pPr>
        <w:ind w:firstLine="422"/>
        <w:jc w:val="left"/>
        <w:rPr>
          <w:rFonts w:ascii="宋体" w:hAnsi="宋体"/>
          <w:kern w:val="44"/>
        </w:rPr>
      </w:pPr>
      <w:r>
        <w:rPr>
          <w:rFonts w:hint="eastAsia" w:ascii="宋体" w:hAnsi="宋体"/>
          <w:b/>
          <w:kern w:val="44"/>
        </w:rPr>
        <w:t>第七十二条</w:t>
      </w:r>
      <w:r>
        <w:rPr>
          <w:rFonts w:hint="eastAsia" w:ascii="宋体" w:hAnsi="宋体"/>
          <w:kern w:val="44"/>
        </w:rPr>
        <w:t>　区、县人民政府根据本地区经济社会发展的需要，可以依照市人民政府的相关规定，对在新城中心区内从事昼运的货运车辆实行总量控制。</w:t>
      </w:r>
    </w:p>
    <w:p w14:paraId="2A4F1CAC">
      <w:pPr>
        <w:ind w:firstLine="422"/>
        <w:jc w:val="left"/>
        <w:rPr>
          <w:rFonts w:ascii="宋体" w:hAnsi="宋体"/>
          <w:kern w:val="44"/>
        </w:rPr>
      </w:pPr>
      <w:r>
        <w:rPr>
          <w:rFonts w:hint="eastAsia" w:ascii="宋体" w:hAnsi="宋体"/>
          <w:b/>
          <w:kern w:val="44"/>
        </w:rPr>
        <w:t>第七十三条</w:t>
      </w:r>
      <w:r>
        <w:rPr>
          <w:rFonts w:hint="eastAsia" w:ascii="宋体" w:hAnsi="宋体"/>
          <w:kern w:val="44"/>
        </w:rPr>
        <w:t>　本条例自2009年12月1日起施行。1997年7月18日北京市第十届人民代表大会常务委员会第三十八次会议通过，根据2001年5月18日北京市第十一届人民代表大会常务委员会第二十六次会议通过的《北京市道路运输管理条例修正案》第一次修订，根据2002年3月29日北京市第十一届人民代表大会常务委员会第三十三次会议通过的 《北京市道路运输管理条例修正案》第二次修订的《北京市道路运输管理条例》同时废止。</w:t>
      </w:r>
    </w:p>
    <w:p w14:paraId="52F412E0">
      <w:pPr>
        <w:pStyle w:val="4"/>
        <w:pageBreakBefore/>
        <w:rPr>
          <w:kern w:val="44"/>
        </w:rPr>
      </w:pPr>
      <w:bookmarkStart w:id="557" w:name="_Toc422471165"/>
      <w:bookmarkStart w:id="558" w:name="_Toc427651814"/>
      <w:bookmarkStart w:id="559" w:name="_Toc428780038"/>
      <w:bookmarkStart w:id="560" w:name="_Toc427651472"/>
      <w:bookmarkStart w:id="561" w:name="_Toc428781520"/>
      <w:r>
        <w:rPr>
          <w:rFonts w:hint="eastAsia"/>
          <w:kern w:val="44"/>
        </w:rPr>
        <w:t>北京市出租汽车计价器</w:t>
      </w:r>
      <w:bookmarkEnd w:id="557"/>
      <w:bookmarkStart w:id="562" w:name="_Toc422471166"/>
      <w:r>
        <w:rPr>
          <w:rFonts w:hint="eastAsia"/>
          <w:kern w:val="44"/>
        </w:rPr>
        <w:t>管理暂行规定</w:t>
      </w:r>
      <w:bookmarkEnd w:id="558"/>
      <w:bookmarkEnd w:id="559"/>
      <w:bookmarkEnd w:id="560"/>
      <w:bookmarkEnd w:id="561"/>
      <w:bookmarkEnd w:id="562"/>
    </w:p>
    <w:p w14:paraId="2078A11C">
      <w:pPr>
        <w:ind w:left="630" w:leftChars="300" w:right="630" w:rightChars="300"/>
        <w:jc w:val="left"/>
        <w:rPr>
          <w:rFonts w:ascii="楷体" w:hAnsi="楷体" w:eastAsia="楷体"/>
          <w:kern w:val="44"/>
        </w:rPr>
      </w:pPr>
      <w:r>
        <w:rPr>
          <w:rFonts w:hint="eastAsia" w:ascii="楷体" w:hAnsi="楷体" w:eastAsia="楷体"/>
          <w:kern w:val="44"/>
        </w:rPr>
        <w:t>（1986年7月14日北京市人民政府批准  1986年7月15日北京市技术监督局发布  根据1997年12月31日北京市人民政府第12号令修改）</w:t>
      </w:r>
    </w:p>
    <w:p w14:paraId="1F1D0D24">
      <w:pPr>
        <w:jc w:val="left"/>
        <w:rPr>
          <w:rFonts w:ascii="宋体" w:hAnsi="宋体"/>
          <w:kern w:val="44"/>
        </w:rPr>
      </w:pPr>
    </w:p>
    <w:p w14:paraId="5A661001">
      <w:pPr>
        <w:jc w:val="left"/>
        <w:rPr>
          <w:rFonts w:ascii="宋体" w:hAnsi="宋体"/>
          <w:kern w:val="44"/>
        </w:rPr>
      </w:pPr>
      <w:r>
        <w:rPr>
          <w:rFonts w:hint="eastAsia" w:ascii="宋体" w:hAnsi="宋体"/>
          <w:kern w:val="44"/>
        </w:rPr>
        <w:t>为保持出租汽车计价器（以下简称计价器）的准确、有效，维护出租汽车经营者和乘客的合法权益，根据《中华人民共和国计量法》，作如下规定：</w:t>
      </w:r>
    </w:p>
    <w:p w14:paraId="388FB210">
      <w:pPr>
        <w:ind w:firstLine="422"/>
        <w:jc w:val="left"/>
        <w:rPr>
          <w:rFonts w:ascii="宋体" w:hAnsi="宋体"/>
          <w:kern w:val="44"/>
        </w:rPr>
      </w:pPr>
      <w:r>
        <w:rPr>
          <w:rFonts w:hint="eastAsia" w:ascii="宋体" w:hAnsi="宋体"/>
          <w:b/>
          <w:bCs w:val="0"/>
          <w:kern w:val="44"/>
        </w:rPr>
        <w:t>一</w:t>
      </w:r>
      <w:r>
        <w:rPr>
          <w:rFonts w:hint="eastAsia" w:ascii="宋体" w:hAnsi="宋体"/>
          <w:b/>
          <w:kern w:val="44"/>
        </w:rPr>
        <w:t>、</w:t>
      </w:r>
      <w:r>
        <w:rPr>
          <w:rFonts w:hint="eastAsia" w:ascii="宋体" w:hAnsi="宋体"/>
          <w:kern w:val="44"/>
        </w:rPr>
        <w:t>凡在本市使用、制造、修理、销售、进口计价器的单位和个人，均应遵守本规定，接受市和区、县技术监督局（以下简称技术监督部门）的监督管理。</w:t>
      </w:r>
    </w:p>
    <w:p w14:paraId="22D5D541">
      <w:pPr>
        <w:ind w:firstLine="422"/>
        <w:jc w:val="left"/>
        <w:rPr>
          <w:rFonts w:ascii="宋体" w:hAnsi="宋体"/>
          <w:kern w:val="44"/>
        </w:rPr>
      </w:pPr>
      <w:r>
        <w:rPr>
          <w:rFonts w:hint="eastAsia" w:ascii="宋体" w:hAnsi="宋体"/>
          <w:b/>
          <w:bCs w:val="0"/>
          <w:kern w:val="44"/>
        </w:rPr>
        <w:t>二</w:t>
      </w:r>
      <w:r>
        <w:rPr>
          <w:rFonts w:hint="eastAsia" w:ascii="宋体" w:hAnsi="宋体"/>
          <w:b/>
          <w:kern w:val="44"/>
        </w:rPr>
        <w:t>、</w:t>
      </w:r>
      <w:r>
        <w:rPr>
          <w:rFonts w:hint="eastAsia" w:ascii="宋体" w:hAnsi="宋体"/>
          <w:kern w:val="44"/>
        </w:rPr>
        <w:t>使用计价器，必须遵守以下规定：</w:t>
      </w:r>
    </w:p>
    <w:p w14:paraId="3CA4C80B">
      <w:pPr>
        <w:jc w:val="left"/>
        <w:rPr>
          <w:rFonts w:ascii="宋体" w:hAnsi="宋体"/>
          <w:kern w:val="44"/>
        </w:rPr>
      </w:pPr>
      <w:r>
        <w:rPr>
          <w:rFonts w:hint="eastAsia" w:ascii="宋体" w:hAnsi="宋体"/>
          <w:kern w:val="44"/>
        </w:rPr>
        <w:t>（一）计价器上必须有技术监督部门指定的检定机构检定的标明有效期限的合格标志。无合格标志或超过有效期限的，禁止使用。</w:t>
      </w:r>
    </w:p>
    <w:p w14:paraId="13E588EB">
      <w:pPr>
        <w:jc w:val="left"/>
        <w:rPr>
          <w:rFonts w:ascii="宋体" w:hAnsi="宋体"/>
          <w:kern w:val="44"/>
        </w:rPr>
      </w:pPr>
      <w:r>
        <w:rPr>
          <w:rFonts w:hint="eastAsia" w:ascii="宋体" w:hAnsi="宋体"/>
          <w:kern w:val="44"/>
        </w:rPr>
        <w:t>（二）计价器必须安在汽车上便于监督的明显部位，不准隐匿。</w:t>
      </w:r>
    </w:p>
    <w:p w14:paraId="6C83A9BD">
      <w:pPr>
        <w:jc w:val="left"/>
        <w:rPr>
          <w:rFonts w:ascii="宋体" w:hAnsi="宋体"/>
          <w:kern w:val="44"/>
        </w:rPr>
      </w:pPr>
      <w:r>
        <w:rPr>
          <w:rFonts w:hint="eastAsia" w:ascii="宋体" w:hAnsi="宋体"/>
          <w:kern w:val="44"/>
        </w:rPr>
        <w:t>（三）必须保持计价器按键上的字样完整、清晰，不准遮盖。</w:t>
      </w:r>
    </w:p>
    <w:p w14:paraId="735F906C">
      <w:pPr>
        <w:jc w:val="left"/>
        <w:rPr>
          <w:rFonts w:ascii="宋体" w:hAnsi="宋体"/>
          <w:kern w:val="44"/>
        </w:rPr>
      </w:pPr>
      <w:r>
        <w:rPr>
          <w:rFonts w:hint="eastAsia" w:ascii="宋体" w:hAnsi="宋体"/>
          <w:kern w:val="44"/>
        </w:rPr>
        <w:t>（四）必须正确使用计价器，保持计价器的计量性能。</w:t>
      </w:r>
    </w:p>
    <w:p w14:paraId="7957E6FE">
      <w:pPr>
        <w:jc w:val="left"/>
        <w:rPr>
          <w:rFonts w:ascii="宋体" w:hAnsi="宋体"/>
          <w:kern w:val="44"/>
        </w:rPr>
      </w:pPr>
      <w:r>
        <w:rPr>
          <w:rFonts w:hint="eastAsia" w:ascii="宋体" w:hAnsi="宋体"/>
          <w:kern w:val="44"/>
        </w:rPr>
        <w:t>（五）禁止涂改、伪造计价器上的合格标志。</w:t>
      </w:r>
    </w:p>
    <w:p w14:paraId="477CB353">
      <w:pPr>
        <w:jc w:val="left"/>
        <w:rPr>
          <w:rFonts w:ascii="宋体" w:hAnsi="宋体"/>
          <w:kern w:val="44"/>
        </w:rPr>
      </w:pPr>
      <w:r>
        <w:rPr>
          <w:rFonts w:hint="eastAsia" w:ascii="宋体" w:hAnsi="宋体"/>
          <w:kern w:val="44"/>
        </w:rPr>
        <w:t>（六）必须按照规定将计价器送技术监督部门指定的检定机构进行周期检定，确保计价器的准确、有效。</w:t>
      </w:r>
    </w:p>
    <w:p w14:paraId="378D5EE0">
      <w:pPr>
        <w:ind w:firstLine="422"/>
        <w:jc w:val="left"/>
        <w:rPr>
          <w:rFonts w:ascii="宋体" w:hAnsi="宋体"/>
          <w:kern w:val="44"/>
        </w:rPr>
      </w:pPr>
      <w:r>
        <w:rPr>
          <w:rFonts w:hint="eastAsia" w:ascii="宋体" w:hAnsi="宋体"/>
          <w:b/>
          <w:bCs w:val="0"/>
          <w:kern w:val="44"/>
        </w:rPr>
        <w:t>三</w:t>
      </w:r>
      <w:r>
        <w:rPr>
          <w:rFonts w:hint="eastAsia" w:ascii="宋体" w:hAnsi="宋体"/>
          <w:b/>
          <w:kern w:val="44"/>
        </w:rPr>
        <w:t>、</w:t>
      </w:r>
      <w:r>
        <w:rPr>
          <w:rFonts w:hint="eastAsia" w:ascii="宋体" w:hAnsi="宋体"/>
          <w:kern w:val="44"/>
        </w:rPr>
        <w:t>专营或兼营制造、修理计价器的单位和个体经营户，须经技术监督部门考核，获得《制造计量器具许可证》或《修理计量器具许可证》后，方可向工商行政管理部门申请开业登记。</w:t>
      </w:r>
    </w:p>
    <w:p w14:paraId="49EFF9A5">
      <w:pPr>
        <w:ind w:firstLine="422"/>
        <w:jc w:val="left"/>
        <w:rPr>
          <w:rFonts w:ascii="宋体" w:hAnsi="宋体"/>
          <w:kern w:val="44"/>
        </w:rPr>
      </w:pPr>
      <w:r>
        <w:rPr>
          <w:rFonts w:hint="eastAsia" w:ascii="宋体" w:hAnsi="宋体"/>
          <w:b/>
          <w:bCs w:val="0"/>
          <w:kern w:val="44"/>
        </w:rPr>
        <w:t>四</w:t>
      </w:r>
      <w:r>
        <w:rPr>
          <w:rFonts w:hint="eastAsia" w:ascii="宋体" w:hAnsi="宋体"/>
          <w:b/>
          <w:kern w:val="44"/>
        </w:rPr>
        <w:t>、</w:t>
      </w:r>
      <w:r>
        <w:rPr>
          <w:rFonts w:hint="eastAsia" w:ascii="宋体" w:hAnsi="宋体"/>
          <w:kern w:val="44"/>
        </w:rPr>
        <w:t>制造、修理计价器的单位和个体经营户，必须具备出厂检定条件；必须对制造、修理的计价器进行检定，保证产品计量性能合格，并对合格产品出具产品合格证。无合格证的，不准出厂。</w:t>
      </w:r>
    </w:p>
    <w:p w14:paraId="70C2005E">
      <w:pPr>
        <w:jc w:val="left"/>
        <w:rPr>
          <w:rFonts w:ascii="宋体" w:hAnsi="宋体"/>
          <w:kern w:val="44"/>
        </w:rPr>
      </w:pPr>
      <w:r>
        <w:rPr>
          <w:rFonts w:hint="eastAsia" w:ascii="宋体" w:hAnsi="宋体"/>
          <w:kern w:val="44"/>
        </w:rPr>
        <w:t>生产计价器新产品，须经市技术监督局对其样品的计量性能进行考核，合格后方准投产。未经考核或经考核不合格的，均不准投产。</w:t>
      </w:r>
    </w:p>
    <w:p w14:paraId="2EAE578F">
      <w:pPr>
        <w:jc w:val="left"/>
        <w:rPr>
          <w:rFonts w:ascii="宋体" w:hAnsi="宋体"/>
          <w:kern w:val="44"/>
        </w:rPr>
      </w:pPr>
      <w:r>
        <w:rPr>
          <w:rFonts w:hint="eastAsia" w:ascii="宋体" w:hAnsi="宋体"/>
          <w:kern w:val="44"/>
        </w:rPr>
        <w:t>技术监督部门对已经投产的计价器实行抽查检定或全部检定，未经检定或经检定不合格的，禁止销售。</w:t>
      </w:r>
    </w:p>
    <w:p w14:paraId="4C0D5C76">
      <w:pPr>
        <w:ind w:firstLine="422"/>
        <w:jc w:val="left"/>
        <w:rPr>
          <w:rFonts w:ascii="宋体" w:hAnsi="宋体"/>
          <w:kern w:val="44"/>
        </w:rPr>
      </w:pPr>
      <w:r>
        <w:rPr>
          <w:rFonts w:hint="eastAsia" w:ascii="宋体" w:hAnsi="宋体"/>
          <w:b/>
          <w:bCs w:val="0"/>
          <w:kern w:val="44"/>
        </w:rPr>
        <w:t>五</w:t>
      </w:r>
      <w:r>
        <w:rPr>
          <w:rFonts w:hint="eastAsia" w:ascii="宋体" w:hAnsi="宋体"/>
          <w:b/>
          <w:kern w:val="44"/>
        </w:rPr>
        <w:t>、</w:t>
      </w:r>
      <w:r>
        <w:rPr>
          <w:rFonts w:hint="eastAsia" w:ascii="宋体" w:hAnsi="宋体"/>
          <w:kern w:val="44"/>
        </w:rPr>
        <w:t>进口的计价器，须经市技术监督局指定的计量检定机构检定，获得合格证书后，方准销售和使用。</w:t>
      </w:r>
    </w:p>
    <w:p w14:paraId="40C49C2F">
      <w:pPr>
        <w:ind w:firstLine="422"/>
        <w:jc w:val="left"/>
        <w:rPr>
          <w:rFonts w:ascii="宋体" w:hAnsi="宋体"/>
          <w:kern w:val="44"/>
        </w:rPr>
      </w:pPr>
      <w:r>
        <w:rPr>
          <w:rFonts w:hint="eastAsia" w:ascii="宋体" w:hAnsi="宋体"/>
          <w:b/>
          <w:bCs w:val="0"/>
          <w:kern w:val="44"/>
        </w:rPr>
        <w:t>六</w:t>
      </w:r>
      <w:r>
        <w:rPr>
          <w:rFonts w:hint="eastAsia" w:ascii="宋体" w:hAnsi="宋体"/>
          <w:b/>
          <w:kern w:val="44"/>
        </w:rPr>
        <w:t>、</w:t>
      </w:r>
      <w:r>
        <w:rPr>
          <w:rFonts w:hint="eastAsia" w:ascii="宋体" w:hAnsi="宋体"/>
          <w:kern w:val="44"/>
        </w:rPr>
        <w:t>计量检定机构检定计价器，可按规定收取检定费。</w:t>
      </w:r>
    </w:p>
    <w:p w14:paraId="0047E6A1">
      <w:pPr>
        <w:ind w:firstLine="422"/>
        <w:jc w:val="left"/>
        <w:rPr>
          <w:rFonts w:ascii="宋体" w:hAnsi="宋体"/>
          <w:kern w:val="44"/>
        </w:rPr>
      </w:pPr>
      <w:r>
        <w:rPr>
          <w:rFonts w:hint="eastAsia" w:ascii="宋体" w:hAnsi="宋体"/>
          <w:b/>
          <w:bCs w:val="0"/>
          <w:kern w:val="44"/>
        </w:rPr>
        <w:t>七</w:t>
      </w:r>
      <w:r>
        <w:rPr>
          <w:rFonts w:hint="eastAsia" w:ascii="宋体" w:hAnsi="宋体"/>
          <w:b/>
          <w:kern w:val="44"/>
        </w:rPr>
        <w:t>、</w:t>
      </w:r>
      <w:r>
        <w:rPr>
          <w:rFonts w:hint="eastAsia" w:ascii="宋体" w:hAnsi="宋体"/>
          <w:kern w:val="44"/>
        </w:rPr>
        <w:t>违反本规定的，由技术监督部门视情节轻重给予处罚。</w:t>
      </w:r>
    </w:p>
    <w:p w14:paraId="7520CB6D">
      <w:pPr>
        <w:jc w:val="left"/>
        <w:rPr>
          <w:rFonts w:ascii="宋体" w:hAnsi="宋体"/>
          <w:kern w:val="44"/>
        </w:rPr>
      </w:pPr>
      <w:r>
        <w:rPr>
          <w:rFonts w:hint="eastAsia" w:ascii="宋体" w:hAnsi="宋体"/>
          <w:kern w:val="44"/>
        </w:rPr>
        <w:t>（一）违反本规定第二条第（一）项的，对单位、个体经营户或直接责任人处以十五元以上七十元以下的罚款。</w:t>
      </w:r>
    </w:p>
    <w:p w14:paraId="1B40E9C3">
      <w:pPr>
        <w:jc w:val="left"/>
        <w:rPr>
          <w:rFonts w:ascii="宋体" w:hAnsi="宋体"/>
          <w:kern w:val="44"/>
        </w:rPr>
      </w:pPr>
      <w:r>
        <w:rPr>
          <w:rFonts w:hint="eastAsia" w:ascii="宋体" w:hAnsi="宋体"/>
          <w:kern w:val="44"/>
        </w:rPr>
        <w:t>（二）违反本规定第二条第（二）项的，对单位、个体经营户或直接责任人处以三十元以上二百元以下的罚款。</w:t>
      </w:r>
    </w:p>
    <w:p w14:paraId="334024C9">
      <w:pPr>
        <w:jc w:val="left"/>
        <w:rPr>
          <w:rFonts w:ascii="宋体" w:hAnsi="宋体"/>
          <w:kern w:val="44"/>
        </w:rPr>
      </w:pPr>
      <w:r>
        <w:rPr>
          <w:rFonts w:hint="eastAsia" w:ascii="宋体" w:hAnsi="宋体"/>
          <w:kern w:val="44"/>
        </w:rPr>
        <w:t>（三）违反本规定第二条第（三）项的，对直接责任人处以五元以上三十元以下的罚款。</w:t>
      </w:r>
    </w:p>
    <w:p w14:paraId="53881810">
      <w:pPr>
        <w:jc w:val="left"/>
        <w:rPr>
          <w:rFonts w:ascii="宋体" w:hAnsi="宋体"/>
          <w:kern w:val="44"/>
        </w:rPr>
      </w:pPr>
      <w:r>
        <w:rPr>
          <w:rFonts w:hint="eastAsia" w:ascii="宋体" w:hAnsi="宋体"/>
          <w:kern w:val="44"/>
        </w:rPr>
        <w:t>（四）违反本规定第二条第（四）项的，对直接责任人处以五十元以上三百元以下的罚款。</w:t>
      </w:r>
    </w:p>
    <w:p w14:paraId="536F4419">
      <w:pPr>
        <w:jc w:val="left"/>
        <w:rPr>
          <w:rFonts w:ascii="宋体" w:hAnsi="宋体"/>
          <w:kern w:val="44"/>
        </w:rPr>
      </w:pPr>
      <w:r>
        <w:rPr>
          <w:rFonts w:hint="eastAsia" w:ascii="宋体" w:hAnsi="宋体"/>
          <w:kern w:val="44"/>
        </w:rPr>
        <w:t>（五）违反本规定第二条第（五）项的，对单位、个体经营户或直接责任人处以十元以上一百元以下的罚款。</w:t>
      </w:r>
    </w:p>
    <w:p w14:paraId="59FE30E4">
      <w:pPr>
        <w:jc w:val="left"/>
        <w:rPr>
          <w:rFonts w:ascii="宋体" w:hAnsi="宋体"/>
          <w:kern w:val="44"/>
        </w:rPr>
      </w:pPr>
      <w:r>
        <w:rPr>
          <w:rFonts w:hint="eastAsia" w:ascii="宋体" w:hAnsi="宋体"/>
          <w:kern w:val="44"/>
        </w:rPr>
        <w:t>（六）对不按规定进行计价器的周期检定或其他检定的，给予批评教育，责令改正；拒不改正的，对单位、个体经营户或直接责任人处以五元以上五十元以下的罚款。</w:t>
      </w:r>
    </w:p>
    <w:p w14:paraId="3D3F3B6B">
      <w:pPr>
        <w:jc w:val="left"/>
        <w:rPr>
          <w:rFonts w:ascii="宋体" w:hAnsi="宋体"/>
          <w:kern w:val="44"/>
        </w:rPr>
      </w:pPr>
      <w:r>
        <w:rPr>
          <w:rFonts w:hint="eastAsia" w:ascii="宋体" w:hAnsi="宋体"/>
          <w:kern w:val="44"/>
        </w:rPr>
        <w:t>（七）违反本规定第三条，制造、修理计价器，未取得《制造计量器具许可证》或者《修理计量器具许可证》的，由技术监督部门责令其停止生产、停止营业、封存制造或者修理的计价器，没收全部违法所得，可并处相当其违法所得百分之十至百分之五十的罚款。</w:t>
      </w:r>
    </w:p>
    <w:p w14:paraId="41743A20">
      <w:pPr>
        <w:jc w:val="left"/>
        <w:rPr>
          <w:rFonts w:ascii="宋体" w:hAnsi="宋体"/>
          <w:kern w:val="44"/>
        </w:rPr>
      </w:pPr>
      <w:r>
        <w:rPr>
          <w:rFonts w:hint="eastAsia" w:ascii="宋体" w:hAnsi="宋体"/>
          <w:kern w:val="44"/>
        </w:rPr>
        <w:t>违反本规定第四条，计价器未经检定或者检定不合格的，由技术监督部门责令停止制造、修理、销售，封存制造、修理、销售的计价器，没收全部违法所得；情节严重的，可并处三千元以下的罚款。</w:t>
      </w:r>
    </w:p>
    <w:p w14:paraId="7DA86B0B">
      <w:pPr>
        <w:jc w:val="left"/>
        <w:rPr>
          <w:rFonts w:ascii="宋体" w:hAnsi="宋体"/>
          <w:kern w:val="44"/>
        </w:rPr>
      </w:pPr>
      <w:r>
        <w:rPr>
          <w:rFonts w:hint="eastAsia" w:ascii="宋体" w:hAnsi="宋体"/>
          <w:kern w:val="44"/>
        </w:rPr>
        <w:t>（八）违反本规定第五条的，对单位或个体经营户处以五十元以上三百元以下的罚款。</w:t>
      </w:r>
    </w:p>
    <w:p w14:paraId="22DE747B">
      <w:pPr>
        <w:ind w:firstLine="422"/>
        <w:jc w:val="left"/>
        <w:rPr>
          <w:rFonts w:ascii="宋体" w:hAnsi="宋体"/>
          <w:kern w:val="44"/>
        </w:rPr>
      </w:pPr>
      <w:r>
        <w:rPr>
          <w:rFonts w:hint="eastAsia" w:ascii="宋体" w:hAnsi="宋体"/>
          <w:b/>
          <w:kern w:val="44"/>
        </w:rPr>
        <w:t>八、</w:t>
      </w:r>
      <w:r>
        <w:rPr>
          <w:rFonts w:hint="eastAsia" w:ascii="宋体" w:hAnsi="宋体"/>
          <w:kern w:val="44"/>
        </w:rPr>
        <w:t>本规定应用中的具体问题，由市技术监督局负责解释。</w:t>
      </w:r>
    </w:p>
    <w:p w14:paraId="7543AC3A">
      <w:pPr>
        <w:ind w:firstLine="422"/>
        <w:jc w:val="left"/>
        <w:rPr>
          <w:rFonts w:ascii="宋体" w:hAnsi="宋体"/>
          <w:kern w:val="44"/>
        </w:rPr>
      </w:pPr>
      <w:r>
        <w:rPr>
          <w:rFonts w:hint="eastAsia" w:ascii="宋体" w:hAnsi="宋体"/>
          <w:b/>
          <w:kern w:val="44"/>
        </w:rPr>
        <w:t>九、</w:t>
      </w:r>
      <w:r>
        <w:rPr>
          <w:rFonts w:hint="eastAsia" w:ascii="宋体" w:hAnsi="宋体"/>
          <w:kern w:val="44"/>
        </w:rPr>
        <w:t>本规定自一九八六年十月一日起施行。</w:t>
      </w:r>
    </w:p>
    <w:p w14:paraId="1C3DA735">
      <w:pPr>
        <w:pStyle w:val="4"/>
        <w:pageBreakBefore/>
        <w:rPr>
          <w:kern w:val="44"/>
        </w:rPr>
      </w:pPr>
      <w:bookmarkStart w:id="563" w:name="_Toc422471167"/>
      <w:bookmarkStart w:id="564" w:name="_Toc427651815"/>
      <w:bookmarkStart w:id="565" w:name="_Toc428780039"/>
      <w:bookmarkStart w:id="566" w:name="_Toc427651473"/>
      <w:bookmarkStart w:id="567" w:name="_Toc428781521"/>
      <w:r>
        <w:rPr>
          <w:rFonts w:hint="eastAsia"/>
          <w:kern w:val="44"/>
        </w:rPr>
        <w:t>北京市人力三轮车客货</w:t>
      </w:r>
      <w:bookmarkEnd w:id="563"/>
      <w:bookmarkStart w:id="568" w:name="_Toc422471168"/>
      <w:r>
        <w:rPr>
          <w:rFonts w:hint="eastAsia"/>
          <w:kern w:val="44"/>
        </w:rPr>
        <w:t>运输业管理办法</w:t>
      </w:r>
      <w:bookmarkEnd w:id="564"/>
      <w:bookmarkEnd w:id="565"/>
      <w:bookmarkEnd w:id="566"/>
      <w:bookmarkEnd w:id="567"/>
      <w:bookmarkEnd w:id="568"/>
    </w:p>
    <w:p w14:paraId="39615780">
      <w:pPr>
        <w:ind w:left="630" w:leftChars="300" w:right="630" w:rightChars="300"/>
        <w:jc w:val="left"/>
        <w:rPr>
          <w:rFonts w:ascii="楷体" w:hAnsi="楷体" w:eastAsia="楷体"/>
          <w:kern w:val="44"/>
        </w:rPr>
      </w:pPr>
      <w:r>
        <w:rPr>
          <w:rFonts w:hint="eastAsia" w:ascii="楷体" w:hAnsi="楷体" w:eastAsia="楷体"/>
          <w:kern w:val="44"/>
        </w:rPr>
        <w:t>（1987年4月10日北京市人民政府京政发45号文件发布　根据1997年7月2日北京市人民政府第4号令第一次修改　根据2007年11月23日北京市人民政府第200号令第二次修改 ）</w:t>
      </w:r>
    </w:p>
    <w:p w14:paraId="0AA8E17B">
      <w:pPr>
        <w:ind w:left="630" w:leftChars="300" w:right="630" w:rightChars="300"/>
        <w:jc w:val="left"/>
        <w:rPr>
          <w:rFonts w:ascii="楷体" w:hAnsi="楷体" w:eastAsia="楷体"/>
          <w:kern w:val="44"/>
        </w:rPr>
      </w:pPr>
    </w:p>
    <w:p w14:paraId="7E8AA939">
      <w:pPr>
        <w:ind w:firstLine="422"/>
        <w:jc w:val="left"/>
        <w:rPr>
          <w:rFonts w:ascii="宋体" w:hAnsi="宋体"/>
          <w:kern w:val="44"/>
        </w:rPr>
      </w:pPr>
      <w:r>
        <w:rPr>
          <w:rFonts w:hint="eastAsia" w:ascii="宋体" w:hAnsi="宋体"/>
          <w:b/>
          <w:kern w:val="44"/>
        </w:rPr>
        <w:t>第一条</w:t>
      </w:r>
      <w:r>
        <w:rPr>
          <w:rFonts w:hint="eastAsia" w:ascii="宋体" w:hAnsi="宋体"/>
          <w:kern w:val="44"/>
        </w:rPr>
        <w:t>　为方便群众，维护首都社会秩序，保障人力三轮车客、货运输业的正当经营，根据国家和本市的有关规定，制定本办法。</w:t>
      </w:r>
    </w:p>
    <w:p w14:paraId="32EEAD7E">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本办法适用于本市行政区域内人力三轮车客、货运输业的管理。</w:t>
      </w:r>
    </w:p>
    <w:p w14:paraId="5BFDE6BA">
      <w:pPr>
        <w:ind w:firstLine="422"/>
        <w:jc w:val="left"/>
        <w:rPr>
          <w:rFonts w:ascii="宋体" w:hAnsi="宋体"/>
          <w:kern w:val="44"/>
        </w:rPr>
      </w:pPr>
      <w:r>
        <w:rPr>
          <w:rFonts w:hint="eastAsia" w:ascii="宋体" w:hAnsi="宋体"/>
          <w:b/>
          <w:kern w:val="44"/>
        </w:rPr>
        <w:t>第三条</w:t>
      </w:r>
      <w:r>
        <w:rPr>
          <w:rFonts w:hint="eastAsia" w:ascii="宋体" w:hAnsi="宋体"/>
          <w:kern w:val="44"/>
        </w:rPr>
        <w:t>　本市对人力三轮车客、货运输业实行限制规模、严格管理的方针。</w:t>
      </w:r>
    </w:p>
    <w:p w14:paraId="64DFBD0E">
      <w:pPr>
        <w:ind w:firstLine="422"/>
        <w:jc w:val="left"/>
        <w:rPr>
          <w:rFonts w:ascii="宋体" w:hAnsi="宋体"/>
          <w:kern w:val="44"/>
        </w:rPr>
      </w:pPr>
      <w:r>
        <w:rPr>
          <w:rFonts w:hint="eastAsia" w:ascii="宋体" w:hAnsi="宋体"/>
          <w:b/>
          <w:kern w:val="44"/>
        </w:rPr>
        <w:t>第四条</w:t>
      </w:r>
      <w:r>
        <w:rPr>
          <w:rFonts w:hint="eastAsia" w:ascii="宋体" w:hAnsi="宋体"/>
          <w:kern w:val="44"/>
        </w:rPr>
        <w:t>　市运输管理局是本市人力三轮车客、货运输业管理工作的主管机关，负责本办法的组织实施和监督检查。</w:t>
      </w:r>
    </w:p>
    <w:p w14:paraId="26E08CDB">
      <w:pPr>
        <w:jc w:val="left"/>
        <w:rPr>
          <w:rFonts w:ascii="宋体" w:hAnsi="宋体"/>
          <w:kern w:val="44"/>
        </w:rPr>
      </w:pPr>
      <w:r>
        <w:rPr>
          <w:rFonts w:hint="eastAsia" w:ascii="宋体" w:hAnsi="宋体"/>
          <w:kern w:val="44"/>
        </w:rPr>
        <w:t>各区、县人民政府指定或者委托的人力三轮车管理机构（以下简称区、县人力三轮车管理机构）负责本辖区内人力三轮车客、货运输业的日常管理工作，并接受市运输管理局的业务指导和监督。</w:t>
      </w:r>
    </w:p>
    <w:p w14:paraId="7B014291">
      <w:pPr>
        <w:jc w:val="left"/>
        <w:rPr>
          <w:rFonts w:ascii="宋体" w:hAnsi="宋体"/>
          <w:kern w:val="44"/>
        </w:rPr>
      </w:pPr>
      <w:r>
        <w:rPr>
          <w:rFonts w:hint="eastAsia" w:ascii="宋体" w:hAnsi="宋体"/>
          <w:kern w:val="44"/>
        </w:rPr>
        <w:t>市公安、公安交通、工商行政、税务、物价等管理机关，按照各自的职责，依法对人力三轮车客、货运输业进行监督管理。</w:t>
      </w:r>
    </w:p>
    <w:p w14:paraId="00D2608B">
      <w:pPr>
        <w:ind w:firstLine="422"/>
        <w:jc w:val="left"/>
        <w:rPr>
          <w:rFonts w:ascii="宋体" w:hAnsi="宋体"/>
          <w:kern w:val="44"/>
        </w:rPr>
      </w:pPr>
      <w:r>
        <w:rPr>
          <w:rFonts w:hint="eastAsia" w:ascii="宋体" w:hAnsi="宋体"/>
          <w:b/>
          <w:kern w:val="44"/>
        </w:rPr>
        <w:t>第五条</w:t>
      </w:r>
      <w:r>
        <w:rPr>
          <w:rFonts w:hint="eastAsia" w:ascii="宋体" w:hAnsi="宋体"/>
          <w:kern w:val="44"/>
        </w:rPr>
        <w:t>　凡在本市行政区域内从事人力三轮车客、货运输业的人员（以下简称三轮车业从业人员），必须符合下列条件：</w:t>
      </w:r>
    </w:p>
    <w:p w14:paraId="4CD49BAF">
      <w:pPr>
        <w:jc w:val="left"/>
        <w:rPr>
          <w:rFonts w:ascii="宋体" w:hAnsi="宋体"/>
          <w:kern w:val="44"/>
        </w:rPr>
      </w:pPr>
      <w:r>
        <w:rPr>
          <w:rFonts w:hint="eastAsia" w:ascii="宋体" w:hAnsi="宋体"/>
          <w:kern w:val="44"/>
        </w:rPr>
        <w:t>（一）有本市常住户口。</w:t>
      </w:r>
    </w:p>
    <w:p w14:paraId="67B36CF6">
      <w:pPr>
        <w:jc w:val="left"/>
        <w:rPr>
          <w:rFonts w:ascii="宋体" w:hAnsi="宋体"/>
          <w:kern w:val="44"/>
        </w:rPr>
      </w:pPr>
      <w:r>
        <w:rPr>
          <w:rFonts w:hint="eastAsia" w:ascii="宋体" w:hAnsi="宋体"/>
          <w:kern w:val="44"/>
        </w:rPr>
        <w:t>（二）年龄在18周岁以上，身体健康，有经营能力。</w:t>
      </w:r>
    </w:p>
    <w:p w14:paraId="503E20F8">
      <w:pPr>
        <w:jc w:val="left"/>
        <w:rPr>
          <w:rFonts w:ascii="宋体" w:hAnsi="宋体"/>
          <w:kern w:val="44"/>
        </w:rPr>
      </w:pPr>
      <w:r>
        <w:rPr>
          <w:rFonts w:hint="eastAsia" w:ascii="宋体" w:hAnsi="宋体"/>
          <w:kern w:val="44"/>
        </w:rPr>
        <w:t>（三）无固定职业或者待业。</w:t>
      </w:r>
    </w:p>
    <w:p w14:paraId="6FFE2BE5">
      <w:pPr>
        <w:ind w:firstLine="422"/>
        <w:jc w:val="left"/>
        <w:rPr>
          <w:rFonts w:ascii="宋体" w:hAnsi="宋体"/>
          <w:kern w:val="44"/>
        </w:rPr>
      </w:pPr>
      <w:r>
        <w:rPr>
          <w:rFonts w:hint="eastAsia" w:ascii="宋体" w:hAnsi="宋体"/>
          <w:b/>
          <w:kern w:val="44"/>
        </w:rPr>
        <w:t>第六条</w:t>
      </w:r>
      <w:r>
        <w:rPr>
          <w:rFonts w:hint="eastAsia" w:ascii="宋体" w:hAnsi="宋体"/>
          <w:kern w:val="44"/>
        </w:rPr>
        <w:t>　三轮车业从业人员必须遵守下列规定：</w:t>
      </w:r>
    </w:p>
    <w:p w14:paraId="6202B100">
      <w:pPr>
        <w:jc w:val="left"/>
        <w:rPr>
          <w:rFonts w:ascii="宋体" w:hAnsi="宋体"/>
          <w:kern w:val="44"/>
        </w:rPr>
      </w:pPr>
      <w:r>
        <w:rPr>
          <w:rFonts w:hint="eastAsia" w:ascii="宋体" w:hAnsi="宋体"/>
          <w:kern w:val="44"/>
        </w:rPr>
        <w:t>（一）在车辆指定部位安装车辆牌照，随身携带有关证照。</w:t>
      </w:r>
    </w:p>
    <w:p w14:paraId="52F7BD50">
      <w:pPr>
        <w:jc w:val="left"/>
        <w:rPr>
          <w:rFonts w:ascii="宋体" w:hAnsi="宋体"/>
          <w:kern w:val="44"/>
        </w:rPr>
      </w:pPr>
      <w:r>
        <w:rPr>
          <w:rFonts w:hint="eastAsia" w:ascii="宋体" w:hAnsi="宋体"/>
          <w:kern w:val="44"/>
        </w:rPr>
        <w:t>（二）按照批准的范围经营；货运三轮车不得从事客运业务。</w:t>
      </w:r>
    </w:p>
    <w:p w14:paraId="79A4E366">
      <w:pPr>
        <w:jc w:val="left"/>
        <w:rPr>
          <w:rFonts w:ascii="宋体" w:hAnsi="宋体"/>
          <w:kern w:val="44"/>
        </w:rPr>
      </w:pPr>
      <w:r>
        <w:rPr>
          <w:rFonts w:hint="eastAsia" w:ascii="宋体" w:hAnsi="宋体"/>
          <w:kern w:val="44"/>
        </w:rPr>
        <w:t>（三）遵守运营秩序，文明服务，礼貌待客，服装整齐，车容整洁。</w:t>
      </w:r>
    </w:p>
    <w:p w14:paraId="2764C5C7">
      <w:pPr>
        <w:jc w:val="left"/>
        <w:rPr>
          <w:rFonts w:ascii="宋体" w:hAnsi="宋体"/>
          <w:kern w:val="44"/>
        </w:rPr>
      </w:pPr>
      <w:r>
        <w:rPr>
          <w:rFonts w:hint="eastAsia" w:ascii="宋体" w:hAnsi="宋体"/>
          <w:kern w:val="44"/>
        </w:rPr>
        <w:t>（四）执行货物装卸的有关规定，不得运载违禁物品。</w:t>
      </w:r>
    </w:p>
    <w:p w14:paraId="568634CD">
      <w:pPr>
        <w:jc w:val="left"/>
        <w:rPr>
          <w:rFonts w:ascii="宋体" w:hAnsi="宋体"/>
          <w:kern w:val="44"/>
        </w:rPr>
      </w:pPr>
      <w:r>
        <w:rPr>
          <w:rFonts w:hint="eastAsia" w:ascii="宋体" w:hAnsi="宋体"/>
          <w:kern w:val="44"/>
        </w:rPr>
        <w:t>（五）遵守交通规则，在指定地点停放车辆。</w:t>
      </w:r>
    </w:p>
    <w:p w14:paraId="0B00CE38">
      <w:pPr>
        <w:jc w:val="left"/>
        <w:rPr>
          <w:rFonts w:ascii="宋体" w:hAnsi="宋体"/>
          <w:kern w:val="44"/>
        </w:rPr>
      </w:pPr>
      <w:r>
        <w:rPr>
          <w:rFonts w:hint="eastAsia" w:ascii="宋体" w:hAnsi="宋体"/>
          <w:kern w:val="44"/>
        </w:rPr>
        <w:t>（六）按照规定的运价标准收费，使用税务机关监制的统一结算凭证。</w:t>
      </w:r>
    </w:p>
    <w:p w14:paraId="1032BB5F">
      <w:pPr>
        <w:jc w:val="left"/>
        <w:rPr>
          <w:rFonts w:ascii="宋体" w:hAnsi="宋体"/>
          <w:kern w:val="44"/>
        </w:rPr>
      </w:pPr>
      <w:r>
        <w:rPr>
          <w:rFonts w:hint="eastAsia" w:ascii="宋体" w:hAnsi="宋体"/>
          <w:kern w:val="44"/>
        </w:rPr>
        <w:t>（七）不准将车辆转借、出租他人经营；不准涂改、伪造、转借各种证照。</w:t>
      </w:r>
    </w:p>
    <w:p w14:paraId="75EF46C0">
      <w:pPr>
        <w:jc w:val="left"/>
        <w:rPr>
          <w:rFonts w:ascii="宋体" w:hAnsi="宋体"/>
          <w:kern w:val="44"/>
        </w:rPr>
      </w:pPr>
      <w:r>
        <w:rPr>
          <w:rFonts w:hint="eastAsia" w:ascii="宋体" w:hAnsi="宋体"/>
          <w:kern w:val="44"/>
        </w:rPr>
        <w:t>（八）服从管理、按照规定缴纳税、费。</w:t>
      </w:r>
    </w:p>
    <w:p w14:paraId="1F597B04">
      <w:pPr>
        <w:ind w:firstLine="422"/>
        <w:jc w:val="left"/>
        <w:rPr>
          <w:rFonts w:ascii="宋体" w:hAnsi="宋体"/>
          <w:kern w:val="44"/>
        </w:rPr>
      </w:pPr>
      <w:r>
        <w:rPr>
          <w:rFonts w:hint="eastAsia" w:ascii="宋体" w:hAnsi="宋体"/>
          <w:b/>
          <w:kern w:val="44"/>
        </w:rPr>
        <w:t>第七条</w:t>
      </w:r>
      <w:r>
        <w:rPr>
          <w:rFonts w:hint="eastAsia" w:ascii="宋体" w:hAnsi="宋体"/>
          <w:kern w:val="44"/>
        </w:rPr>
        <w:t>　设立人力三轮车客、货运输营业站、服务站，必须符合本市人力三轮车行业规范以及道路、交通等方面的有关规定。</w:t>
      </w:r>
    </w:p>
    <w:p w14:paraId="2FE5AD86">
      <w:pPr>
        <w:ind w:firstLine="422"/>
        <w:jc w:val="left"/>
        <w:rPr>
          <w:rFonts w:ascii="宋体" w:hAnsi="宋体"/>
          <w:kern w:val="44"/>
        </w:rPr>
      </w:pPr>
      <w:r>
        <w:rPr>
          <w:rFonts w:hint="eastAsia" w:ascii="宋体" w:hAnsi="宋体"/>
          <w:b/>
          <w:kern w:val="44"/>
        </w:rPr>
        <w:t>第八条</w:t>
      </w:r>
      <w:r>
        <w:rPr>
          <w:rFonts w:hint="eastAsia" w:ascii="宋体" w:hAnsi="宋体"/>
          <w:kern w:val="44"/>
        </w:rPr>
        <w:t>　三轮车业从业人员遵纪守法，优质服务，成绩突出的，由区、县人力三轮车管理机构给予表扬。</w:t>
      </w:r>
    </w:p>
    <w:p w14:paraId="183B3138">
      <w:pPr>
        <w:ind w:firstLine="422"/>
        <w:jc w:val="left"/>
        <w:rPr>
          <w:rFonts w:ascii="宋体" w:hAnsi="宋体"/>
          <w:kern w:val="44"/>
        </w:rPr>
      </w:pPr>
      <w:r>
        <w:rPr>
          <w:rFonts w:hint="eastAsia" w:ascii="宋体" w:hAnsi="宋体"/>
          <w:b/>
          <w:kern w:val="44"/>
        </w:rPr>
        <w:t>第九条</w:t>
      </w:r>
      <w:r>
        <w:rPr>
          <w:rFonts w:hint="eastAsia" w:ascii="宋体" w:hAnsi="宋体"/>
          <w:kern w:val="44"/>
        </w:rPr>
        <w:t>　三轮车业从业人员违反本办法，有下列行为之一的，由区、县人力三轮车管理机构分别给予警告、50元至500元罚款：</w:t>
      </w:r>
    </w:p>
    <w:p w14:paraId="720E0719">
      <w:pPr>
        <w:jc w:val="left"/>
        <w:rPr>
          <w:rFonts w:ascii="宋体" w:hAnsi="宋体"/>
          <w:kern w:val="44"/>
        </w:rPr>
      </w:pPr>
      <w:r>
        <w:rPr>
          <w:rFonts w:hint="eastAsia" w:ascii="宋体" w:hAnsi="宋体"/>
          <w:kern w:val="44"/>
        </w:rPr>
        <w:t>（一）索要高价或者欺骗、敲诈乘（顾）客的。</w:t>
      </w:r>
    </w:p>
    <w:p w14:paraId="2C6AC0EB">
      <w:pPr>
        <w:jc w:val="left"/>
        <w:rPr>
          <w:rFonts w:ascii="宋体" w:hAnsi="宋体"/>
          <w:kern w:val="44"/>
        </w:rPr>
      </w:pPr>
      <w:r>
        <w:rPr>
          <w:rFonts w:hint="eastAsia" w:ascii="宋体" w:hAnsi="宋体"/>
          <w:kern w:val="44"/>
        </w:rPr>
        <w:t>（二）货运三轮车不按照规定装载、运输货物或者从事客运经营的。</w:t>
      </w:r>
    </w:p>
    <w:p w14:paraId="369F7222">
      <w:pPr>
        <w:jc w:val="left"/>
        <w:rPr>
          <w:rFonts w:ascii="宋体" w:hAnsi="宋体"/>
          <w:kern w:val="44"/>
        </w:rPr>
      </w:pPr>
      <w:r>
        <w:rPr>
          <w:rFonts w:hint="eastAsia" w:ascii="宋体" w:hAnsi="宋体"/>
          <w:kern w:val="44"/>
        </w:rPr>
        <w:t>（三）不遵守运营秩序，欺行霸市的。</w:t>
      </w:r>
    </w:p>
    <w:p w14:paraId="05F4BD2E">
      <w:pPr>
        <w:jc w:val="left"/>
        <w:rPr>
          <w:rFonts w:ascii="宋体" w:hAnsi="宋体"/>
          <w:kern w:val="44"/>
        </w:rPr>
      </w:pPr>
      <w:r>
        <w:rPr>
          <w:rFonts w:hint="eastAsia" w:ascii="宋体" w:hAnsi="宋体"/>
          <w:kern w:val="44"/>
        </w:rPr>
        <w:t>（四）不按照指定的地点停放车辆承揽业务的。</w:t>
      </w:r>
    </w:p>
    <w:p w14:paraId="0D4B156F">
      <w:pPr>
        <w:jc w:val="left"/>
        <w:rPr>
          <w:rFonts w:ascii="宋体" w:hAnsi="宋体"/>
          <w:kern w:val="44"/>
        </w:rPr>
      </w:pPr>
      <w:r>
        <w:rPr>
          <w:rFonts w:hint="eastAsia" w:ascii="宋体" w:hAnsi="宋体"/>
          <w:kern w:val="44"/>
        </w:rPr>
        <w:t>（五）服务态度恶劣的。</w:t>
      </w:r>
    </w:p>
    <w:p w14:paraId="0FA2EF9F">
      <w:pPr>
        <w:jc w:val="left"/>
        <w:rPr>
          <w:rFonts w:ascii="宋体" w:hAnsi="宋体"/>
          <w:kern w:val="44"/>
        </w:rPr>
      </w:pPr>
      <w:r>
        <w:rPr>
          <w:rFonts w:hint="eastAsia" w:ascii="宋体" w:hAnsi="宋体"/>
          <w:kern w:val="44"/>
        </w:rPr>
        <w:t>违反道路交通、运输、物价、票据、税务管理规定的，分别由公安交通、交通运输、物价、税务机关按照有关规定处理。</w:t>
      </w:r>
    </w:p>
    <w:p w14:paraId="2640A1AB">
      <w:pPr>
        <w:ind w:firstLine="422"/>
        <w:jc w:val="left"/>
        <w:rPr>
          <w:rFonts w:ascii="宋体" w:hAnsi="宋体"/>
          <w:kern w:val="44"/>
        </w:rPr>
      </w:pPr>
      <w:r>
        <w:rPr>
          <w:rFonts w:hint="eastAsia" w:ascii="宋体" w:hAnsi="宋体"/>
          <w:b/>
          <w:kern w:val="44"/>
        </w:rPr>
        <w:t>第十条</w:t>
      </w:r>
      <w:r>
        <w:rPr>
          <w:rFonts w:hint="eastAsia" w:ascii="宋体" w:hAnsi="宋体"/>
          <w:kern w:val="44"/>
        </w:rPr>
        <w:t>　三轮车客、货运输业管理人员必须严格依法管理，秉公办事。监督检查时，应当先出示证件。对有法不依、滥用职权、徇私舞弊，收受贿赂的，由其所在单位或者上级机关给予行政处分；构成犯罪的，依法追究刑事责任。</w:t>
      </w:r>
    </w:p>
    <w:p w14:paraId="4B3D111F">
      <w:pPr>
        <w:ind w:firstLine="422"/>
        <w:jc w:val="left"/>
        <w:rPr>
          <w:rFonts w:ascii="宋体" w:hAnsi="宋体"/>
          <w:kern w:val="44"/>
        </w:rPr>
      </w:pPr>
      <w:r>
        <w:rPr>
          <w:rFonts w:hint="eastAsia" w:ascii="宋体" w:hAnsi="宋体"/>
          <w:b/>
          <w:kern w:val="44"/>
        </w:rPr>
        <w:t>第十一条</w:t>
      </w:r>
      <w:r>
        <w:rPr>
          <w:rFonts w:hint="eastAsia" w:ascii="宋体" w:hAnsi="宋体"/>
          <w:kern w:val="44"/>
        </w:rPr>
        <w:t>　本办法自1987年5月1日起施行。1983年3月12日市人民政府批转市公安局制定的《北京市人力客运三轮车业管理暂行办法》同时废止。</w:t>
      </w:r>
    </w:p>
    <w:p w14:paraId="24B4B524">
      <w:pPr>
        <w:pStyle w:val="4"/>
        <w:pageBreakBefore/>
        <w:rPr>
          <w:kern w:val="44"/>
        </w:rPr>
      </w:pPr>
      <w:bookmarkStart w:id="569" w:name="_Toc428781522"/>
      <w:bookmarkStart w:id="570" w:name="_Toc427651816"/>
      <w:bookmarkStart w:id="571" w:name="_Toc422471169"/>
      <w:bookmarkStart w:id="572" w:name="_Toc427651474"/>
      <w:bookmarkStart w:id="573" w:name="_Toc428780040"/>
      <w:r>
        <w:rPr>
          <w:rFonts w:hint="eastAsia"/>
          <w:kern w:val="44"/>
        </w:rPr>
        <w:t>北京市铁路干线两侧隔离带</w:t>
      </w:r>
      <w:bookmarkEnd w:id="569"/>
      <w:bookmarkEnd w:id="570"/>
      <w:bookmarkEnd w:id="571"/>
      <w:bookmarkEnd w:id="572"/>
      <w:bookmarkEnd w:id="573"/>
    </w:p>
    <w:p w14:paraId="72988C2A">
      <w:pPr>
        <w:pStyle w:val="4"/>
        <w:rPr>
          <w:kern w:val="44"/>
        </w:rPr>
      </w:pPr>
      <w:bookmarkStart w:id="574" w:name="_Toc428781523"/>
      <w:bookmarkStart w:id="575" w:name="_Toc422471170"/>
      <w:bookmarkStart w:id="576" w:name="_Toc428780041"/>
      <w:bookmarkStart w:id="577" w:name="_Toc427651817"/>
      <w:bookmarkStart w:id="578" w:name="_Toc427651475"/>
      <w:r>
        <w:rPr>
          <w:rFonts w:hint="eastAsia"/>
          <w:kern w:val="44"/>
        </w:rPr>
        <w:t>规划建设管理暂行规定</w:t>
      </w:r>
      <w:bookmarkEnd w:id="574"/>
      <w:bookmarkEnd w:id="575"/>
      <w:bookmarkEnd w:id="576"/>
      <w:bookmarkEnd w:id="577"/>
      <w:bookmarkEnd w:id="578"/>
    </w:p>
    <w:p w14:paraId="421B3935">
      <w:pPr>
        <w:ind w:left="630" w:leftChars="300" w:right="630" w:rightChars="300"/>
        <w:jc w:val="left"/>
        <w:rPr>
          <w:rFonts w:ascii="楷体" w:hAnsi="楷体" w:eastAsia="楷体"/>
          <w:kern w:val="44"/>
        </w:rPr>
      </w:pPr>
      <w:r>
        <w:rPr>
          <w:rFonts w:hint="eastAsia" w:ascii="楷体" w:hAnsi="楷体" w:eastAsia="楷体"/>
          <w:kern w:val="44"/>
        </w:rPr>
        <w:t>（1989年3月28日北京市人民政府第7号令发布  根据1994年1月17日北京市人民政府批准修改）</w:t>
      </w:r>
    </w:p>
    <w:p w14:paraId="25F31041">
      <w:pPr>
        <w:ind w:left="630" w:leftChars="300" w:right="630" w:rightChars="300"/>
        <w:jc w:val="left"/>
        <w:rPr>
          <w:rFonts w:ascii="楷体" w:hAnsi="楷体" w:eastAsia="楷体"/>
          <w:kern w:val="44"/>
        </w:rPr>
      </w:pPr>
    </w:p>
    <w:p w14:paraId="5F8C0C87">
      <w:pPr>
        <w:ind w:firstLine="422"/>
        <w:jc w:val="left"/>
        <w:rPr>
          <w:rFonts w:ascii="宋体" w:hAnsi="宋体"/>
          <w:kern w:val="44"/>
        </w:rPr>
      </w:pPr>
      <w:r>
        <w:rPr>
          <w:rFonts w:hint="eastAsia" w:ascii="宋体" w:hAnsi="宋体"/>
          <w:b/>
          <w:kern w:val="44"/>
        </w:rPr>
        <w:t>第一条</w:t>
      </w:r>
      <w:r>
        <w:rPr>
          <w:rFonts w:hint="eastAsia" w:ascii="宋体" w:hAnsi="宋体"/>
          <w:kern w:val="44"/>
        </w:rPr>
        <w:t>　为贯彻执行北京城市总体规划方案，加强铁路干线两侧的规划建设管理，保证铁路运输的安全畅通，绿化美化环境，根据《北京市城市规划条例》和有关规定，制定本规定。</w:t>
      </w:r>
    </w:p>
    <w:p w14:paraId="070F0507">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本市行政区域内的铁路干线（包括京山线、京承线、京秦线、京包线、京通线、丰沙线、京原线、京广线、大秦线和东南环线、东北环线、西北环线）沿线两侧，依照本规定划定隔离带（以下简称隔离带）。</w:t>
      </w:r>
    </w:p>
    <w:p w14:paraId="3FD7FBBF">
      <w:pPr>
        <w:jc w:val="left"/>
        <w:rPr>
          <w:rFonts w:ascii="宋体" w:hAnsi="宋体"/>
          <w:kern w:val="44"/>
        </w:rPr>
      </w:pPr>
      <w:r>
        <w:rPr>
          <w:rFonts w:hint="eastAsia" w:ascii="宋体" w:hAnsi="宋体"/>
          <w:kern w:val="44"/>
        </w:rPr>
        <w:t>隔离带列为城市建设规划的特定地区，按《北京市城市规划条例》管理。在隔离带内进行建设，必须符合本规定，并按照有关规定的审批程序，报经城市规划行政主管部门审核批准。</w:t>
      </w:r>
    </w:p>
    <w:p w14:paraId="5ACB74BC">
      <w:pPr>
        <w:ind w:firstLine="422"/>
        <w:jc w:val="left"/>
        <w:rPr>
          <w:rFonts w:ascii="宋体" w:hAnsi="宋体"/>
          <w:kern w:val="44"/>
        </w:rPr>
      </w:pPr>
      <w:r>
        <w:rPr>
          <w:rFonts w:hint="eastAsia" w:ascii="宋体" w:hAnsi="宋体"/>
          <w:b/>
          <w:kern w:val="44"/>
        </w:rPr>
        <w:t>第三条</w:t>
      </w:r>
      <w:r>
        <w:rPr>
          <w:rFonts w:hint="eastAsia" w:ascii="宋体" w:hAnsi="宋体"/>
          <w:kern w:val="44"/>
        </w:rPr>
        <w:t>　隔离带的范围：</w:t>
      </w:r>
    </w:p>
    <w:p w14:paraId="48EA4164">
      <w:pPr>
        <w:jc w:val="left"/>
        <w:rPr>
          <w:rFonts w:ascii="宋体" w:hAnsi="宋体"/>
          <w:kern w:val="44"/>
        </w:rPr>
      </w:pPr>
      <w:r>
        <w:rPr>
          <w:rFonts w:hint="eastAsia" w:ascii="宋体" w:hAnsi="宋体"/>
          <w:kern w:val="44"/>
        </w:rPr>
        <w:t>（一）铁路干线通过城镇地区（包括北京城市总体规划方案中规划的城镇建设地区，下同 ）的路段，以铁路干线（含规划干线）外侧轨道为准，每侧向外划定30米为隔离带。</w:t>
      </w:r>
    </w:p>
    <w:p w14:paraId="7585744F">
      <w:pPr>
        <w:jc w:val="left"/>
        <w:rPr>
          <w:rFonts w:ascii="宋体" w:hAnsi="宋体"/>
          <w:kern w:val="44"/>
        </w:rPr>
      </w:pPr>
      <w:r>
        <w:rPr>
          <w:rFonts w:hint="eastAsia" w:ascii="宋体" w:hAnsi="宋体"/>
          <w:kern w:val="44"/>
        </w:rPr>
        <w:t>（二）铁路干线通过平原农业区的路段，以铁路干线外侧轨道为准，每侧向外划定100米为隔离带。</w:t>
      </w:r>
    </w:p>
    <w:p w14:paraId="4729DA51">
      <w:pPr>
        <w:jc w:val="left"/>
        <w:rPr>
          <w:rFonts w:ascii="宋体" w:hAnsi="宋体"/>
          <w:kern w:val="44"/>
        </w:rPr>
      </w:pPr>
      <w:r>
        <w:rPr>
          <w:rFonts w:hint="eastAsia" w:ascii="宋体" w:hAnsi="宋体"/>
          <w:kern w:val="44"/>
        </w:rPr>
        <w:t>（三）铁路干线的车站（场）和通过山区路段的隔离带范围，由市城市规划管理局按规划的需要和具体情况确定。</w:t>
      </w:r>
    </w:p>
    <w:p w14:paraId="6E22C708">
      <w:pPr>
        <w:ind w:firstLine="422"/>
        <w:jc w:val="left"/>
        <w:rPr>
          <w:rFonts w:ascii="宋体" w:hAnsi="宋体"/>
          <w:kern w:val="44"/>
        </w:rPr>
      </w:pPr>
      <w:r>
        <w:rPr>
          <w:rFonts w:hint="eastAsia" w:ascii="宋体" w:hAnsi="宋体"/>
          <w:b/>
          <w:kern w:val="44"/>
        </w:rPr>
        <w:t>第四条</w:t>
      </w:r>
      <w:r>
        <w:rPr>
          <w:rFonts w:hint="eastAsia" w:ascii="宋体" w:hAnsi="宋体"/>
          <w:kern w:val="44"/>
        </w:rPr>
        <w:t>　隔离带内可以植树造林，绿化美化；原是耕地的，仍可种植农作物。但不得妨碍铁路的运输安全和线路设施的管理维护。</w:t>
      </w:r>
    </w:p>
    <w:p w14:paraId="42C6A052">
      <w:pPr>
        <w:jc w:val="left"/>
        <w:rPr>
          <w:rFonts w:ascii="宋体" w:hAnsi="宋体"/>
          <w:kern w:val="44"/>
        </w:rPr>
      </w:pPr>
      <w:r>
        <w:rPr>
          <w:rFonts w:hint="eastAsia" w:ascii="宋体" w:hAnsi="宋体"/>
          <w:kern w:val="44"/>
        </w:rPr>
        <w:t>在隔离带内埋设市政管线，建设道路和管理养护铁路所必需的道班房、变电站等铁路运输维护设施，必须符合规划的要求。</w:t>
      </w:r>
    </w:p>
    <w:p w14:paraId="5D966E35">
      <w:pPr>
        <w:ind w:firstLine="422"/>
        <w:jc w:val="left"/>
        <w:rPr>
          <w:rFonts w:ascii="宋体" w:hAnsi="宋体"/>
          <w:kern w:val="44"/>
        </w:rPr>
      </w:pPr>
      <w:r>
        <w:rPr>
          <w:rFonts w:hint="eastAsia" w:ascii="宋体" w:hAnsi="宋体"/>
          <w:b/>
          <w:kern w:val="44"/>
        </w:rPr>
        <w:t>第五条</w:t>
      </w:r>
      <w:r>
        <w:rPr>
          <w:rFonts w:hint="eastAsia" w:ascii="宋体" w:hAnsi="宋体"/>
          <w:kern w:val="44"/>
        </w:rPr>
        <w:t>　隔离带内不得新建或扩建城市建设工程。现有城市建设工程，应按照市城市规划管理局制定的调整改造方案，逐步迁出隔离带。属危险房屋，迁出隔离带又确有困难的，只许在原用地范围内进行必要的翻建，不准扩大用地，不准增加建筑物的高度。</w:t>
      </w:r>
    </w:p>
    <w:p w14:paraId="676F4C7E">
      <w:pPr>
        <w:ind w:firstLine="422"/>
        <w:jc w:val="left"/>
        <w:rPr>
          <w:rFonts w:ascii="宋体" w:hAnsi="宋体"/>
          <w:kern w:val="44"/>
        </w:rPr>
      </w:pPr>
      <w:r>
        <w:rPr>
          <w:rFonts w:hint="eastAsia" w:ascii="宋体" w:hAnsi="宋体"/>
          <w:b/>
          <w:kern w:val="44"/>
        </w:rPr>
        <w:t>第六条</w:t>
      </w:r>
      <w:r>
        <w:rPr>
          <w:rFonts w:hint="eastAsia" w:ascii="宋体" w:hAnsi="宋体"/>
          <w:kern w:val="44"/>
        </w:rPr>
        <w:t>　隔离带内的村镇（ 不包括建制镇 ）建设，须遵守下列规定：</w:t>
      </w:r>
    </w:p>
    <w:p w14:paraId="08C5CAF1">
      <w:pPr>
        <w:jc w:val="left"/>
        <w:rPr>
          <w:rFonts w:ascii="宋体" w:hAnsi="宋体"/>
          <w:kern w:val="44"/>
        </w:rPr>
      </w:pPr>
      <w:r>
        <w:rPr>
          <w:rFonts w:hint="eastAsia" w:ascii="宋体" w:hAnsi="宋体"/>
          <w:kern w:val="44"/>
        </w:rPr>
        <w:t>（一）现有乡镇的机关、企业事业单位确需在隔离带内新建、扩建、翻建办公或生产用房的，只许在原建设用地范围进行建设，不准扩大用地。</w:t>
      </w:r>
    </w:p>
    <w:p w14:paraId="7FFA5FDF">
      <w:pPr>
        <w:jc w:val="left"/>
        <w:rPr>
          <w:rFonts w:ascii="宋体" w:hAnsi="宋体"/>
          <w:kern w:val="44"/>
        </w:rPr>
      </w:pPr>
      <w:r>
        <w:rPr>
          <w:rFonts w:hint="eastAsia" w:ascii="宋体" w:hAnsi="宋体"/>
          <w:kern w:val="44"/>
        </w:rPr>
        <w:t>（二）确因群众实际生活需要，必须在隔离带内新建、扩建商业、服务业用房和农民住房的，必须按照规划要求严格控制。翻建房屋不得增加高度。</w:t>
      </w:r>
    </w:p>
    <w:p w14:paraId="5D0518A0">
      <w:pPr>
        <w:jc w:val="left"/>
        <w:rPr>
          <w:rFonts w:ascii="宋体" w:hAnsi="宋体"/>
          <w:kern w:val="44"/>
        </w:rPr>
      </w:pPr>
      <w:r>
        <w:rPr>
          <w:rFonts w:hint="eastAsia" w:ascii="宋体" w:hAnsi="宋体"/>
          <w:kern w:val="44"/>
        </w:rPr>
        <w:t>（三）山区的铁路干线两侧隔离带内的村镇建设，由城市规划行政主管部门视具体情况按规划要求管理。</w:t>
      </w:r>
    </w:p>
    <w:p w14:paraId="13B2D8B1">
      <w:pPr>
        <w:ind w:firstLine="422"/>
        <w:jc w:val="left"/>
        <w:rPr>
          <w:rFonts w:ascii="宋体" w:hAnsi="宋体"/>
          <w:kern w:val="44"/>
        </w:rPr>
      </w:pPr>
      <w:r>
        <w:rPr>
          <w:rFonts w:hint="eastAsia" w:ascii="宋体" w:hAnsi="宋体"/>
          <w:b/>
          <w:kern w:val="44"/>
        </w:rPr>
        <w:t>第七条</w:t>
      </w:r>
      <w:r>
        <w:rPr>
          <w:rFonts w:hint="eastAsia" w:ascii="宋体" w:hAnsi="宋体"/>
          <w:kern w:val="44"/>
        </w:rPr>
        <w:t>　违反本规定，擅自在隔离带内占地建设的，由城市规划行政主管部门按违法建设处理。</w:t>
      </w:r>
    </w:p>
    <w:p w14:paraId="57A7CA9B">
      <w:pPr>
        <w:ind w:firstLine="422"/>
        <w:jc w:val="left"/>
        <w:rPr>
          <w:rFonts w:ascii="宋体" w:hAnsi="宋体"/>
          <w:kern w:val="44"/>
        </w:rPr>
      </w:pPr>
      <w:r>
        <w:rPr>
          <w:rFonts w:hint="eastAsia" w:ascii="宋体" w:hAnsi="宋体"/>
          <w:b/>
          <w:kern w:val="44"/>
        </w:rPr>
        <w:t>第八条</w:t>
      </w:r>
      <w:r>
        <w:rPr>
          <w:rFonts w:hint="eastAsia" w:ascii="宋体" w:hAnsi="宋体"/>
          <w:kern w:val="44"/>
        </w:rPr>
        <w:t>　城市规划行政主管部门及其工作人员，必须廉洁奉公，严肃执法，秉公办事。对违反本规定，越权审批的，审批机关应承担由此造成的经济损失，并应追究审批机关负责人和直接责任人员的行政责任。</w:t>
      </w:r>
    </w:p>
    <w:p w14:paraId="4AF30CF7">
      <w:pPr>
        <w:ind w:firstLine="422"/>
        <w:jc w:val="left"/>
        <w:rPr>
          <w:rFonts w:ascii="宋体" w:hAnsi="宋体"/>
          <w:kern w:val="44"/>
        </w:rPr>
      </w:pPr>
      <w:r>
        <w:rPr>
          <w:rFonts w:hint="eastAsia" w:ascii="宋体" w:hAnsi="宋体"/>
          <w:b/>
          <w:kern w:val="44"/>
        </w:rPr>
        <w:t>第九条</w:t>
      </w:r>
      <w:r>
        <w:rPr>
          <w:rFonts w:hint="eastAsia" w:ascii="宋体" w:hAnsi="宋体"/>
          <w:kern w:val="44"/>
        </w:rPr>
        <w:t>　本规定执行中的具体问题，由市城市规划管理局负责解释。</w:t>
      </w:r>
    </w:p>
    <w:p w14:paraId="6189B51E">
      <w:pPr>
        <w:ind w:firstLine="422"/>
        <w:jc w:val="left"/>
        <w:rPr>
          <w:rFonts w:ascii="宋体" w:hAnsi="宋体"/>
          <w:kern w:val="44"/>
        </w:rPr>
      </w:pPr>
      <w:r>
        <w:rPr>
          <w:rFonts w:hint="eastAsia" w:ascii="宋体" w:hAnsi="宋体"/>
          <w:b/>
          <w:kern w:val="44"/>
        </w:rPr>
        <w:t>第十条</w:t>
      </w:r>
      <w:r>
        <w:rPr>
          <w:rFonts w:hint="eastAsia" w:ascii="宋体" w:hAnsi="宋体"/>
          <w:kern w:val="44"/>
        </w:rPr>
        <w:t>　本规定自1989年5月1日起施行。</w:t>
      </w:r>
    </w:p>
    <w:p w14:paraId="24F0CEB7">
      <w:pPr>
        <w:pStyle w:val="4"/>
        <w:pageBreakBefore/>
        <w:rPr>
          <w:kern w:val="44"/>
        </w:rPr>
      </w:pPr>
      <w:bookmarkStart w:id="579" w:name="_Toc428780042"/>
      <w:bookmarkStart w:id="580" w:name="_Toc427651476"/>
      <w:bookmarkStart w:id="581" w:name="_Toc428781524"/>
      <w:bookmarkStart w:id="582" w:name="_Toc422471171"/>
      <w:bookmarkStart w:id="583" w:name="_Toc427651818"/>
      <w:r>
        <w:rPr>
          <w:rFonts w:hint="eastAsia"/>
          <w:kern w:val="44"/>
        </w:rPr>
        <w:t>北京市大中型公共建筑停车场</w:t>
      </w:r>
      <w:bookmarkEnd w:id="579"/>
      <w:bookmarkEnd w:id="580"/>
      <w:bookmarkEnd w:id="581"/>
      <w:bookmarkEnd w:id="582"/>
      <w:bookmarkEnd w:id="583"/>
    </w:p>
    <w:p w14:paraId="043F54F5">
      <w:pPr>
        <w:pStyle w:val="4"/>
        <w:rPr>
          <w:kern w:val="44"/>
        </w:rPr>
      </w:pPr>
      <w:bookmarkStart w:id="584" w:name="_Toc428780043"/>
      <w:bookmarkStart w:id="585" w:name="_Toc428781525"/>
      <w:bookmarkStart w:id="586" w:name="_Toc427651819"/>
      <w:bookmarkStart w:id="587" w:name="_Toc422471172"/>
      <w:bookmarkStart w:id="588" w:name="_Toc427651477"/>
      <w:r>
        <w:rPr>
          <w:rFonts w:hint="eastAsia"/>
          <w:kern w:val="44"/>
        </w:rPr>
        <w:t>建设管理暂行规定</w:t>
      </w:r>
      <w:bookmarkEnd w:id="584"/>
      <w:bookmarkEnd w:id="585"/>
      <w:bookmarkEnd w:id="586"/>
      <w:bookmarkEnd w:id="587"/>
      <w:bookmarkEnd w:id="588"/>
    </w:p>
    <w:p w14:paraId="42F8D2AC">
      <w:pPr>
        <w:ind w:left="630" w:leftChars="300" w:right="630" w:rightChars="300"/>
        <w:jc w:val="left"/>
        <w:rPr>
          <w:rFonts w:ascii="楷体" w:hAnsi="楷体" w:eastAsia="楷体"/>
          <w:kern w:val="44"/>
        </w:rPr>
      </w:pPr>
      <w:r>
        <w:rPr>
          <w:rFonts w:hint="eastAsia" w:ascii="楷体" w:hAnsi="楷体" w:eastAsia="楷体"/>
          <w:kern w:val="44"/>
        </w:rPr>
        <w:t>（1989年5月5日北京市人民政府第14号令发布  根据1994年1月17日北京市人民政府批准第一次修改　根据2004年6月1日北京市人民政府第150号令第二次修改）</w:t>
      </w:r>
    </w:p>
    <w:p w14:paraId="482B5DCF">
      <w:pPr>
        <w:ind w:left="630" w:leftChars="300" w:right="630" w:rightChars="300"/>
        <w:jc w:val="left"/>
        <w:rPr>
          <w:rFonts w:ascii="楷体" w:hAnsi="楷体" w:eastAsia="楷体"/>
          <w:kern w:val="44"/>
        </w:rPr>
      </w:pPr>
    </w:p>
    <w:p w14:paraId="3D9C9845">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为加强本市公共建筑停车场的建设和管理，保障交通安全畅通，维护社会秩序，结合本市情况，制定本规定。</w:t>
      </w:r>
    </w:p>
    <w:p w14:paraId="18FAD11E">
      <w:pPr>
        <w:ind w:firstLine="422"/>
        <w:jc w:val="left"/>
        <w:rPr>
          <w:rFonts w:ascii="宋体" w:hAnsi="宋体"/>
          <w:kern w:val="44"/>
        </w:rPr>
      </w:pPr>
      <w:r>
        <w:rPr>
          <w:rFonts w:hint="eastAsia" w:ascii="宋体" w:hAnsi="宋体"/>
          <w:b/>
          <w:kern w:val="44"/>
        </w:rPr>
        <w:t>第二条</w:t>
      </w:r>
      <w:r>
        <w:rPr>
          <w:rFonts w:hint="eastAsia" w:ascii="宋体" w:hAnsi="宋体"/>
          <w:kern w:val="44"/>
        </w:rPr>
        <w:t>　凡本市行政区域内建设下列大中型公共建筑，均须按照本规定配套建设停车场（含停车库，以下简称停车场）。</w:t>
      </w:r>
    </w:p>
    <w:p w14:paraId="54D1DA8E">
      <w:pPr>
        <w:jc w:val="left"/>
        <w:rPr>
          <w:rFonts w:ascii="宋体" w:hAnsi="宋体"/>
          <w:kern w:val="44"/>
        </w:rPr>
      </w:pPr>
      <w:r>
        <w:rPr>
          <w:rFonts w:hint="eastAsia" w:ascii="宋体" w:hAnsi="宋体"/>
          <w:kern w:val="44"/>
        </w:rPr>
        <w:t>（一）建筑面积1000平方米以上（含1000平方米）的饭庄。</w:t>
      </w:r>
    </w:p>
    <w:p w14:paraId="74755FA2">
      <w:pPr>
        <w:jc w:val="left"/>
        <w:rPr>
          <w:rFonts w:ascii="宋体" w:hAnsi="宋体"/>
          <w:kern w:val="44"/>
        </w:rPr>
      </w:pPr>
      <w:r>
        <w:rPr>
          <w:rFonts w:hint="eastAsia" w:ascii="宋体" w:hAnsi="宋体"/>
          <w:kern w:val="44"/>
        </w:rPr>
        <w:t>（二）建筑面积2000平方米以上（含2000平方米）的电影院。</w:t>
      </w:r>
    </w:p>
    <w:p w14:paraId="15DF02ED">
      <w:pPr>
        <w:jc w:val="left"/>
        <w:rPr>
          <w:rFonts w:ascii="宋体" w:hAnsi="宋体"/>
          <w:kern w:val="44"/>
        </w:rPr>
      </w:pPr>
      <w:r>
        <w:rPr>
          <w:rFonts w:hint="eastAsia" w:ascii="宋体" w:hAnsi="宋体"/>
          <w:kern w:val="44"/>
        </w:rPr>
        <w:t>（三）建筑面积5000平方米以上（含5000平方米）的旅馆、外国人公寓、办公楼、商店、医院、展览馆、剧院、体育场（馆）等公共建筑。</w:t>
      </w:r>
    </w:p>
    <w:p w14:paraId="0E25B826">
      <w:pPr>
        <w:jc w:val="left"/>
        <w:rPr>
          <w:rFonts w:ascii="宋体" w:hAnsi="宋体"/>
          <w:kern w:val="44"/>
        </w:rPr>
      </w:pPr>
      <w:r>
        <w:rPr>
          <w:rFonts w:hint="eastAsia" w:ascii="宋体" w:hAnsi="宋体"/>
          <w:kern w:val="44"/>
        </w:rPr>
        <w:t>现有停车场不符合本规定要求的，应按本规定逐步补建、扩建。</w:t>
      </w:r>
    </w:p>
    <w:p w14:paraId="6652F84E">
      <w:pPr>
        <w:ind w:firstLine="422"/>
        <w:jc w:val="left"/>
        <w:rPr>
          <w:rFonts w:ascii="宋体" w:hAnsi="宋体"/>
          <w:kern w:val="44"/>
        </w:rPr>
      </w:pPr>
      <w:r>
        <w:rPr>
          <w:rFonts w:hint="eastAsia" w:ascii="宋体" w:hAnsi="宋体"/>
          <w:b/>
          <w:kern w:val="44"/>
        </w:rPr>
        <w:t>第三条</w:t>
      </w:r>
      <w:r>
        <w:rPr>
          <w:rFonts w:hint="eastAsia" w:ascii="宋体" w:hAnsi="宋体"/>
          <w:kern w:val="44"/>
        </w:rPr>
        <w:t>　停车场的建设，要符合本规定附发的《北京市大中型公共建筑停车场标准》（以下简称《标准》）。并同时配套建设供本单位机动车和本单位职工使用的停车场。</w:t>
      </w:r>
    </w:p>
    <w:p w14:paraId="68B0576E">
      <w:pPr>
        <w:jc w:val="left"/>
        <w:rPr>
          <w:rFonts w:ascii="宋体" w:hAnsi="宋体"/>
          <w:kern w:val="44"/>
        </w:rPr>
      </w:pPr>
      <w:r>
        <w:rPr>
          <w:rFonts w:hint="eastAsia" w:ascii="宋体" w:hAnsi="宋体"/>
          <w:kern w:val="44"/>
        </w:rPr>
        <w:t>停车场的建筑面积，小型汽车按每车位25平方米计算，自行车按每车位1.2平方米计算。停车库的建筑面积，小型汽车按每车位40平方米计算，自行车按每车位1.8平方米计算。</w:t>
      </w:r>
    </w:p>
    <w:p w14:paraId="7794CE04">
      <w:pPr>
        <w:ind w:firstLine="422"/>
        <w:jc w:val="left"/>
        <w:rPr>
          <w:rFonts w:ascii="宋体" w:hAnsi="宋体"/>
          <w:kern w:val="44"/>
        </w:rPr>
      </w:pPr>
      <w:r>
        <w:rPr>
          <w:rFonts w:hint="eastAsia" w:ascii="宋体" w:hAnsi="宋体"/>
          <w:b/>
          <w:kern w:val="44"/>
        </w:rPr>
        <w:t>第四条</w:t>
      </w:r>
      <w:r>
        <w:rPr>
          <w:rFonts w:hint="eastAsia" w:ascii="宋体" w:hAnsi="宋体"/>
          <w:kern w:val="44"/>
        </w:rPr>
        <w:t>　停车场的设计，报市规划行政主管部门审核，并应征得市公安交通管理行政主管部门同意。</w:t>
      </w:r>
    </w:p>
    <w:p w14:paraId="7E087C72">
      <w:pPr>
        <w:jc w:val="left"/>
        <w:rPr>
          <w:rFonts w:ascii="宋体" w:hAnsi="宋体"/>
          <w:kern w:val="44"/>
        </w:rPr>
      </w:pPr>
      <w:r>
        <w:rPr>
          <w:rFonts w:hint="eastAsia" w:ascii="宋体" w:hAnsi="宋体"/>
          <w:kern w:val="44"/>
        </w:rPr>
        <w:t>停车场建成后，须经市规划行政主管部门、市公安交通管理行政主管部门审查验收合格方准使用。</w:t>
      </w:r>
    </w:p>
    <w:p w14:paraId="0BFFE3B4">
      <w:pPr>
        <w:ind w:firstLine="422"/>
        <w:jc w:val="left"/>
        <w:rPr>
          <w:rFonts w:ascii="宋体" w:hAnsi="宋体"/>
          <w:kern w:val="44"/>
        </w:rPr>
      </w:pPr>
      <w:r>
        <w:rPr>
          <w:rFonts w:hint="eastAsia" w:ascii="宋体" w:hAnsi="宋体"/>
          <w:b/>
          <w:kern w:val="44"/>
        </w:rPr>
        <w:t>第五条</w:t>
      </w:r>
      <w:r>
        <w:rPr>
          <w:rFonts w:hint="eastAsia" w:ascii="宋体" w:hAnsi="宋体"/>
          <w:kern w:val="44"/>
        </w:rPr>
        <w:t>　建设大中型公共建筑，停车场应与主体工程同时设计、同时投入使用。</w:t>
      </w:r>
    </w:p>
    <w:p w14:paraId="1D3710BF">
      <w:pPr>
        <w:ind w:firstLine="422"/>
        <w:jc w:val="left"/>
        <w:rPr>
          <w:rFonts w:ascii="宋体" w:hAnsi="宋体"/>
          <w:kern w:val="44"/>
        </w:rPr>
      </w:pPr>
      <w:r>
        <w:rPr>
          <w:rFonts w:hint="eastAsia" w:ascii="宋体" w:hAnsi="宋体"/>
          <w:b/>
          <w:kern w:val="44"/>
        </w:rPr>
        <w:t>第六条</w:t>
      </w:r>
      <w:r>
        <w:rPr>
          <w:rFonts w:hint="eastAsia" w:ascii="宋体" w:hAnsi="宋体"/>
          <w:kern w:val="44"/>
        </w:rPr>
        <w:t>　未经批准不按规定或不按批准的设计建设停车场的，由市规划行政主管部门按违法建设处理。</w:t>
      </w:r>
    </w:p>
    <w:p w14:paraId="09003B95">
      <w:pPr>
        <w:ind w:firstLine="422"/>
        <w:jc w:val="left"/>
        <w:rPr>
          <w:rFonts w:ascii="宋体" w:hAnsi="宋体"/>
          <w:kern w:val="44"/>
        </w:rPr>
      </w:pPr>
      <w:r>
        <w:rPr>
          <w:rFonts w:hint="eastAsia" w:ascii="宋体" w:hAnsi="宋体"/>
          <w:b/>
          <w:kern w:val="44"/>
        </w:rPr>
        <w:t>第七条</w:t>
      </w:r>
      <w:r>
        <w:rPr>
          <w:rFonts w:hint="eastAsia" w:ascii="宋体" w:hAnsi="宋体"/>
          <w:kern w:val="44"/>
        </w:rPr>
        <w:t>　规划行政主管部门、公安交通管理行政主管部门及其工作人员，应认真履行职责，严肃执法。滥用职权、以权谋私的，视情节轻重，追究领导者和直接责任者的行政责任。构成犯罪的，依法追究刑事责任。</w:t>
      </w:r>
    </w:p>
    <w:p w14:paraId="4DCA816A">
      <w:pPr>
        <w:ind w:firstLine="422"/>
        <w:jc w:val="left"/>
        <w:rPr>
          <w:rFonts w:ascii="宋体" w:hAnsi="宋体"/>
          <w:kern w:val="44"/>
        </w:rPr>
      </w:pPr>
      <w:r>
        <w:rPr>
          <w:rFonts w:hint="eastAsia" w:ascii="宋体" w:hAnsi="宋体"/>
          <w:b/>
          <w:kern w:val="44"/>
        </w:rPr>
        <w:t>第八条</w:t>
      </w:r>
      <w:r>
        <w:rPr>
          <w:rFonts w:hint="eastAsia" w:ascii="宋体" w:hAnsi="宋体"/>
          <w:kern w:val="44"/>
        </w:rPr>
        <w:t>　本规定自1989年6月1日起施行。</w:t>
      </w:r>
    </w:p>
    <w:p w14:paraId="33018994">
      <w:pPr>
        <w:jc w:val="left"/>
        <w:rPr>
          <w:rFonts w:ascii="宋体" w:hAnsi="宋体"/>
          <w:kern w:val="44"/>
        </w:rPr>
      </w:pPr>
    </w:p>
    <w:p w14:paraId="33A744D9">
      <w:pPr>
        <w:jc w:val="left"/>
        <w:rPr>
          <w:rFonts w:ascii="宋体" w:hAnsi="宋体"/>
          <w:kern w:val="44"/>
        </w:rPr>
      </w:pPr>
    </w:p>
    <w:p w14:paraId="1E82F97D">
      <w:pPr>
        <w:jc w:val="left"/>
        <w:rPr>
          <w:rFonts w:ascii="宋体" w:hAnsi="宋体"/>
          <w:kern w:val="44"/>
        </w:rPr>
      </w:pPr>
    </w:p>
    <w:p w14:paraId="074DD176">
      <w:pPr>
        <w:jc w:val="left"/>
        <w:rPr>
          <w:rFonts w:ascii="宋体" w:hAnsi="宋体"/>
          <w:kern w:val="44"/>
        </w:rPr>
      </w:pPr>
    </w:p>
    <w:p w14:paraId="0A78B5BB">
      <w:pPr>
        <w:jc w:val="left"/>
        <w:rPr>
          <w:rFonts w:ascii="宋体" w:hAnsi="宋体"/>
          <w:kern w:val="44"/>
        </w:rPr>
      </w:pPr>
    </w:p>
    <w:p w14:paraId="36DC19EC">
      <w:pPr>
        <w:jc w:val="left"/>
        <w:rPr>
          <w:rFonts w:ascii="宋体" w:hAnsi="宋体"/>
          <w:kern w:val="44"/>
        </w:rPr>
      </w:pPr>
    </w:p>
    <w:p w14:paraId="7E8750BE">
      <w:pPr>
        <w:ind w:firstLine="0" w:firstLineChars="0"/>
        <w:jc w:val="left"/>
        <w:rPr>
          <w:rFonts w:ascii="宋体" w:hAnsi="宋体"/>
          <w:b/>
          <w:kern w:val="44"/>
          <w:sz w:val="28"/>
        </w:rPr>
      </w:pPr>
      <w:r>
        <w:rPr>
          <w:rFonts w:hint="eastAsia" w:ascii="宋体" w:hAnsi="宋体"/>
          <w:b/>
          <w:kern w:val="44"/>
          <w:sz w:val="28"/>
        </w:rPr>
        <w:t>附：</w:t>
      </w:r>
    </w:p>
    <w:p w14:paraId="66F69B58">
      <w:pPr>
        <w:ind w:firstLine="0" w:firstLineChars="0"/>
        <w:jc w:val="center"/>
        <w:rPr>
          <w:rFonts w:ascii="宋体" w:hAnsi="宋体"/>
          <w:kern w:val="44"/>
          <w:sz w:val="28"/>
        </w:rPr>
      </w:pPr>
      <w:r>
        <w:rPr>
          <w:rFonts w:hint="eastAsia" w:ascii="宋体" w:hAnsi="宋体"/>
          <w:kern w:val="44"/>
          <w:sz w:val="28"/>
        </w:rPr>
        <w:t>北京市大中型公共建筑停车场标准</w:t>
      </w:r>
    </w:p>
    <w:tbl>
      <w:tblPr>
        <w:tblStyle w:val="23"/>
        <w:tblW w:w="82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4"/>
        <w:gridCol w:w="1704"/>
        <w:gridCol w:w="1704"/>
        <w:gridCol w:w="1705"/>
        <w:gridCol w:w="1638"/>
      </w:tblGrid>
      <w:tr w14:paraId="029FC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158" w:type="dxa"/>
            <w:gridSpan w:val="2"/>
            <w:vMerge w:val="restart"/>
            <w:tcBorders>
              <w:top w:val="single" w:color="auto" w:sz="12" w:space="0"/>
              <w:left w:val="single" w:color="auto" w:sz="12" w:space="0"/>
            </w:tcBorders>
            <w:vAlign w:val="center"/>
          </w:tcPr>
          <w:p w14:paraId="47C68B68">
            <w:pPr>
              <w:spacing w:line="240" w:lineRule="exact"/>
              <w:ind w:firstLine="0" w:firstLineChars="0"/>
              <w:jc w:val="center"/>
              <w:rPr>
                <w:rFonts w:ascii="宋体" w:hAnsi="宋体"/>
                <w:kern w:val="44"/>
                <w:sz w:val="18"/>
                <w:szCs w:val="18"/>
              </w:rPr>
            </w:pPr>
            <w:r>
              <w:rPr>
                <w:rFonts w:hint="eastAsia" w:ascii="宋体" w:hAnsi="宋体"/>
                <w:kern w:val="44"/>
                <w:sz w:val="18"/>
                <w:szCs w:val="18"/>
              </w:rPr>
              <w:t>建筑类别</w:t>
            </w:r>
          </w:p>
        </w:tc>
        <w:tc>
          <w:tcPr>
            <w:tcW w:w="1704" w:type="dxa"/>
            <w:vMerge w:val="restart"/>
            <w:tcBorders>
              <w:top w:val="single" w:color="auto" w:sz="12" w:space="0"/>
            </w:tcBorders>
            <w:vAlign w:val="center"/>
          </w:tcPr>
          <w:p w14:paraId="0866DB07">
            <w:pPr>
              <w:spacing w:line="240" w:lineRule="exact"/>
              <w:ind w:firstLine="0" w:firstLineChars="0"/>
              <w:jc w:val="center"/>
              <w:rPr>
                <w:rFonts w:ascii="宋体" w:hAnsi="宋体"/>
                <w:kern w:val="44"/>
                <w:sz w:val="18"/>
                <w:szCs w:val="18"/>
              </w:rPr>
            </w:pPr>
            <w:r>
              <w:rPr>
                <w:rFonts w:hint="eastAsia" w:ascii="宋体" w:hAnsi="宋体"/>
                <w:kern w:val="44"/>
                <w:sz w:val="18"/>
                <w:szCs w:val="18"/>
              </w:rPr>
              <w:t>计算单位</w:t>
            </w:r>
          </w:p>
        </w:tc>
        <w:tc>
          <w:tcPr>
            <w:tcW w:w="1705" w:type="dxa"/>
            <w:tcBorders>
              <w:top w:val="single" w:color="auto" w:sz="12" w:space="0"/>
            </w:tcBorders>
            <w:vAlign w:val="center"/>
          </w:tcPr>
          <w:p w14:paraId="0171769F">
            <w:pPr>
              <w:spacing w:line="240" w:lineRule="exact"/>
              <w:ind w:firstLine="0" w:firstLineChars="0"/>
              <w:jc w:val="center"/>
              <w:rPr>
                <w:rFonts w:ascii="宋体" w:hAnsi="宋体"/>
                <w:kern w:val="44"/>
                <w:sz w:val="18"/>
                <w:szCs w:val="18"/>
              </w:rPr>
            </w:pPr>
            <w:r>
              <w:rPr>
                <w:rFonts w:hint="eastAsia" w:ascii="宋体" w:hAnsi="宋体"/>
                <w:kern w:val="44"/>
                <w:sz w:val="18"/>
                <w:szCs w:val="18"/>
              </w:rPr>
              <w:t>标准车位数</w:t>
            </w:r>
          </w:p>
        </w:tc>
        <w:tc>
          <w:tcPr>
            <w:tcW w:w="1638" w:type="dxa"/>
            <w:tcBorders>
              <w:top w:val="single" w:color="auto" w:sz="12" w:space="0"/>
              <w:right w:val="single" w:color="auto" w:sz="12" w:space="0"/>
            </w:tcBorders>
            <w:vAlign w:val="center"/>
          </w:tcPr>
          <w:p w14:paraId="7246A3A8">
            <w:pPr>
              <w:spacing w:line="240" w:lineRule="exact"/>
              <w:ind w:firstLine="0" w:firstLineChars="0"/>
              <w:jc w:val="center"/>
              <w:rPr>
                <w:rFonts w:ascii="宋体" w:hAnsi="宋体"/>
                <w:kern w:val="44"/>
                <w:sz w:val="18"/>
                <w:szCs w:val="18"/>
              </w:rPr>
            </w:pPr>
            <w:r>
              <w:rPr>
                <w:rFonts w:hint="eastAsia" w:ascii="宋体" w:hAnsi="宋体"/>
                <w:kern w:val="44"/>
                <w:sz w:val="18"/>
                <w:szCs w:val="18"/>
              </w:rPr>
              <w:t>标准车位数</w:t>
            </w:r>
          </w:p>
        </w:tc>
      </w:tr>
      <w:tr w14:paraId="57CB3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158" w:type="dxa"/>
            <w:gridSpan w:val="2"/>
            <w:vMerge w:val="continue"/>
            <w:tcBorders>
              <w:left w:val="single" w:color="auto" w:sz="12" w:space="0"/>
            </w:tcBorders>
            <w:vAlign w:val="center"/>
          </w:tcPr>
          <w:p w14:paraId="11D01048">
            <w:pPr>
              <w:spacing w:line="240" w:lineRule="exact"/>
              <w:ind w:firstLine="0" w:firstLineChars="0"/>
              <w:jc w:val="center"/>
              <w:rPr>
                <w:rFonts w:ascii="宋体" w:hAnsi="宋体"/>
                <w:kern w:val="44"/>
                <w:sz w:val="18"/>
                <w:szCs w:val="18"/>
              </w:rPr>
            </w:pPr>
          </w:p>
        </w:tc>
        <w:tc>
          <w:tcPr>
            <w:tcW w:w="1704" w:type="dxa"/>
            <w:vMerge w:val="continue"/>
            <w:vAlign w:val="center"/>
          </w:tcPr>
          <w:p w14:paraId="0E4B0450">
            <w:pPr>
              <w:spacing w:line="240" w:lineRule="exact"/>
              <w:ind w:firstLine="0" w:firstLineChars="0"/>
              <w:jc w:val="center"/>
              <w:rPr>
                <w:rFonts w:ascii="宋体" w:hAnsi="宋体"/>
                <w:kern w:val="44"/>
                <w:sz w:val="18"/>
                <w:szCs w:val="18"/>
              </w:rPr>
            </w:pPr>
          </w:p>
        </w:tc>
        <w:tc>
          <w:tcPr>
            <w:tcW w:w="1705" w:type="dxa"/>
            <w:vAlign w:val="center"/>
          </w:tcPr>
          <w:p w14:paraId="1F2039C9">
            <w:pPr>
              <w:spacing w:line="240" w:lineRule="exact"/>
              <w:ind w:firstLine="0" w:firstLineChars="0"/>
              <w:jc w:val="center"/>
              <w:rPr>
                <w:rFonts w:ascii="宋体" w:hAnsi="宋体"/>
                <w:kern w:val="44"/>
                <w:sz w:val="18"/>
                <w:szCs w:val="18"/>
              </w:rPr>
            </w:pPr>
            <w:r>
              <w:rPr>
                <w:rFonts w:hint="eastAsia" w:ascii="宋体" w:hAnsi="宋体"/>
                <w:kern w:val="44"/>
                <w:sz w:val="18"/>
                <w:szCs w:val="18"/>
              </w:rPr>
              <w:t>小型汽车</w:t>
            </w:r>
          </w:p>
        </w:tc>
        <w:tc>
          <w:tcPr>
            <w:tcW w:w="1638" w:type="dxa"/>
            <w:tcBorders>
              <w:right w:val="single" w:color="auto" w:sz="12" w:space="0"/>
            </w:tcBorders>
            <w:vAlign w:val="center"/>
          </w:tcPr>
          <w:p w14:paraId="3CFCF292">
            <w:pPr>
              <w:spacing w:line="240" w:lineRule="exact"/>
              <w:ind w:firstLine="0" w:firstLineChars="0"/>
              <w:jc w:val="center"/>
              <w:rPr>
                <w:rFonts w:ascii="宋体" w:hAnsi="宋体"/>
                <w:kern w:val="44"/>
                <w:sz w:val="18"/>
                <w:szCs w:val="18"/>
              </w:rPr>
            </w:pPr>
            <w:r>
              <w:rPr>
                <w:rFonts w:hint="eastAsia" w:ascii="宋体" w:hAnsi="宋体"/>
                <w:kern w:val="44"/>
                <w:sz w:val="18"/>
                <w:szCs w:val="18"/>
              </w:rPr>
              <w:t>自行车</w:t>
            </w:r>
          </w:p>
        </w:tc>
      </w:tr>
      <w:tr w14:paraId="1A76B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54" w:type="dxa"/>
            <w:vMerge w:val="restart"/>
            <w:tcBorders>
              <w:left w:val="single" w:color="auto" w:sz="12" w:space="0"/>
            </w:tcBorders>
            <w:vAlign w:val="center"/>
          </w:tcPr>
          <w:p w14:paraId="2FA9D119">
            <w:pPr>
              <w:spacing w:line="240" w:lineRule="exact"/>
              <w:ind w:firstLine="0" w:firstLineChars="0"/>
              <w:jc w:val="center"/>
              <w:rPr>
                <w:rFonts w:ascii="宋体" w:hAnsi="宋体"/>
                <w:kern w:val="44"/>
                <w:sz w:val="18"/>
                <w:szCs w:val="18"/>
              </w:rPr>
            </w:pPr>
            <w:r>
              <w:rPr>
                <w:rFonts w:hint="eastAsia" w:ascii="宋体" w:hAnsi="宋体"/>
                <w:kern w:val="44"/>
                <w:sz w:val="18"/>
                <w:szCs w:val="18"/>
              </w:rPr>
              <w:t>旅馆</w:t>
            </w:r>
          </w:p>
        </w:tc>
        <w:tc>
          <w:tcPr>
            <w:tcW w:w="1704" w:type="dxa"/>
            <w:vAlign w:val="center"/>
          </w:tcPr>
          <w:p w14:paraId="45707387">
            <w:pPr>
              <w:spacing w:line="240" w:lineRule="exact"/>
              <w:ind w:firstLine="0" w:firstLineChars="0"/>
              <w:jc w:val="center"/>
              <w:rPr>
                <w:rFonts w:ascii="宋体" w:hAnsi="宋体"/>
                <w:kern w:val="44"/>
                <w:sz w:val="18"/>
                <w:szCs w:val="18"/>
              </w:rPr>
            </w:pPr>
            <w:r>
              <w:rPr>
                <w:rFonts w:hint="eastAsia" w:ascii="宋体" w:hAnsi="宋体"/>
                <w:kern w:val="44"/>
                <w:sz w:val="18"/>
                <w:szCs w:val="18"/>
              </w:rPr>
              <w:t>一类</w:t>
            </w:r>
          </w:p>
        </w:tc>
        <w:tc>
          <w:tcPr>
            <w:tcW w:w="1704" w:type="dxa"/>
            <w:vAlign w:val="center"/>
          </w:tcPr>
          <w:p w14:paraId="4DCCFD8F">
            <w:pPr>
              <w:spacing w:line="240" w:lineRule="exact"/>
              <w:ind w:firstLine="0" w:firstLineChars="0"/>
              <w:jc w:val="center"/>
              <w:rPr>
                <w:rFonts w:ascii="宋体" w:hAnsi="宋体"/>
                <w:kern w:val="44"/>
                <w:sz w:val="18"/>
                <w:szCs w:val="18"/>
              </w:rPr>
            </w:pPr>
            <w:r>
              <w:rPr>
                <w:rFonts w:hint="eastAsia" w:ascii="宋体" w:hAnsi="宋体"/>
                <w:kern w:val="44"/>
                <w:sz w:val="18"/>
                <w:szCs w:val="18"/>
              </w:rPr>
              <w:t>每套客房</w:t>
            </w:r>
          </w:p>
        </w:tc>
        <w:tc>
          <w:tcPr>
            <w:tcW w:w="1705" w:type="dxa"/>
            <w:vAlign w:val="center"/>
          </w:tcPr>
          <w:p w14:paraId="2AFE09E9">
            <w:pPr>
              <w:spacing w:line="240" w:lineRule="exact"/>
              <w:ind w:firstLine="0" w:firstLineChars="0"/>
              <w:jc w:val="center"/>
              <w:rPr>
                <w:rFonts w:ascii="宋体" w:hAnsi="宋体"/>
                <w:kern w:val="44"/>
                <w:sz w:val="18"/>
                <w:szCs w:val="18"/>
              </w:rPr>
            </w:pPr>
            <w:r>
              <w:rPr>
                <w:rFonts w:hint="eastAsia" w:ascii="宋体" w:hAnsi="宋体"/>
                <w:kern w:val="44"/>
                <w:sz w:val="18"/>
                <w:szCs w:val="18"/>
              </w:rPr>
              <w:t>0.3</w:t>
            </w:r>
          </w:p>
        </w:tc>
        <w:tc>
          <w:tcPr>
            <w:tcW w:w="1638" w:type="dxa"/>
            <w:tcBorders>
              <w:right w:val="single" w:color="auto" w:sz="12" w:space="0"/>
            </w:tcBorders>
            <w:vAlign w:val="center"/>
          </w:tcPr>
          <w:p w14:paraId="4CCB67FA">
            <w:pPr>
              <w:spacing w:line="240" w:lineRule="exact"/>
              <w:ind w:firstLine="0" w:firstLineChars="0"/>
              <w:jc w:val="center"/>
              <w:rPr>
                <w:rFonts w:ascii="宋体" w:hAnsi="宋体"/>
                <w:kern w:val="44"/>
                <w:sz w:val="18"/>
                <w:szCs w:val="18"/>
              </w:rPr>
            </w:pPr>
          </w:p>
        </w:tc>
      </w:tr>
      <w:tr w14:paraId="07D81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54" w:type="dxa"/>
            <w:vMerge w:val="continue"/>
            <w:tcBorders>
              <w:left w:val="single" w:color="auto" w:sz="12" w:space="0"/>
            </w:tcBorders>
            <w:vAlign w:val="center"/>
          </w:tcPr>
          <w:p w14:paraId="14D8E50B">
            <w:pPr>
              <w:spacing w:line="240" w:lineRule="exact"/>
              <w:ind w:firstLine="0" w:firstLineChars="0"/>
              <w:jc w:val="center"/>
              <w:rPr>
                <w:rFonts w:ascii="宋体" w:hAnsi="宋体"/>
                <w:kern w:val="44"/>
                <w:sz w:val="18"/>
                <w:szCs w:val="18"/>
              </w:rPr>
            </w:pPr>
          </w:p>
        </w:tc>
        <w:tc>
          <w:tcPr>
            <w:tcW w:w="1704" w:type="dxa"/>
            <w:vAlign w:val="center"/>
          </w:tcPr>
          <w:p w14:paraId="70D72177">
            <w:pPr>
              <w:spacing w:line="240" w:lineRule="exact"/>
              <w:ind w:firstLine="0" w:firstLineChars="0"/>
              <w:jc w:val="center"/>
              <w:rPr>
                <w:rFonts w:ascii="宋体" w:hAnsi="宋体"/>
                <w:kern w:val="44"/>
                <w:sz w:val="18"/>
                <w:szCs w:val="18"/>
              </w:rPr>
            </w:pPr>
            <w:r>
              <w:rPr>
                <w:rFonts w:hint="eastAsia" w:ascii="宋体" w:hAnsi="宋体"/>
                <w:kern w:val="44"/>
                <w:sz w:val="18"/>
                <w:szCs w:val="18"/>
              </w:rPr>
              <w:t>二类</w:t>
            </w:r>
          </w:p>
        </w:tc>
        <w:tc>
          <w:tcPr>
            <w:tcW w:w="1704" w:type="dxa"/>
            <w:vAlign w:val="center"/>
          </w:tcPr>
          <w:p w14:paraId="5F8C9352">
            <w:pPr>
              <w:spacing w:line="240" w:lineRule="exact"/>
              <w:ind w:firstLine="0" w:firstLineChars="0"/>
              <w:jc w:val="center"/>
              <w:rPr>
                <w:rFonts w:ascii="宋体" w:hAnsi="宋体"/>
                <w:kern w:val="44"/>
                <w:sz w:val="18"/>
                <w:szCs w:val="18"/>
              </w:rPr>
            </w:pPr>
            <w:r>
              <w:rPr>
                <w:rFonts w:hint="eastAsia" w:ascii="宋体" w:hAnsi="宋体"/>
                <w:kern w:val="44"/>
                <w:sz w:val="18"/>
                <w:szCs w:val="18"/>
              </w:rPr>
              <w:t>同上</w:t>
            </w:r>
          </w:p>
        </w:tc>
        <w:tc>
          <w:tcPr>
            <w:tcW w:w="1705" w:type="dxa"/>
            <w:vAlign w:val="center"/>
          </w:tcPr>
          <w:p w14:paraId="0F0DE91F">
            <w:pPr>
              <w:spacing w:line="240" w:lineRule="exact"/>
              <w:ind w:firstLine="0" w:firstLineChars="0"/>
              <w:jc w:val="center"/>
              <w:rPr>
                <w:rFonts w:ascii="宋体" w:hAnsi="宋体"/>
                <w:kern w:val="44"/>
                <w:sz w:val="18"/>
                <w:szCs w:val="18"/>
              </w:rPr>
            </w:pPr>
            <w:r>
              <w:rPr>
                <w:rFonts w:hint="eastAsia" w:ascii="宋体" w:hAnsi="宋体"/>
                <w:kern w:val="44"/>
                <w:sz w:val="18"/>
                <w:szCs w:val="18"/>
              </w:rPr>
              <w:t>0.2</w:t>
            </w:r>
          </w:p>
        </w:tc>
        <w:tc>
          <w:tcPr>
            <w:tcW w:w="1638" w:type="dxa"/>
            <w:tcBorders>
              <w:right w:val="single" w:color="auto" w:sz="12" w:space="0"/>
            </w:tcBorders>
            <w:vAlign w:val="center"/>
          </w:tcPr>
          <w:p w14:paraId="623BE85D">
            <w:pPr>
              <w:spacing w:line="240" w:lineRule="exact"/>
              <w:ind w:firstLine="0" w:firstLineChars="0"/>
              <w:jc w:val="center"/>
              <w:rPr>
                <w:rFonts w:ascii="宋体" w:hAnsi="宋体"/>
                <w:kern w:val="44"/>
                <w:sz w:val="18"/>
                <w:szCs w:val="18"/>
              </w:rPr>
            </w:pPr>
          </w:p>
        </w:tc>
      </w:tr>
      <w:tr w14:paraId="50A6B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54" w:type="dxa"/>
            <w:vMerge w:val="continue"/>
            <w:tcBorders>
              <w:left w:val="single" w:color="auto" w:sz="12" w:space="0"/>
            </w:tcBorders>
            <w:vAlign w:val="center"/>
          </w:tcPr>
          <w:p w14:paraId="63959652">
            <w:pPr>
              <w:spacing w:line="240" w:lineRule="exact"/>
              <w:ind w:firstLine="0" w:firstLineChars="0"/>
              <w:jc w:val="center"/>
              <w:rPr>
                <w:rFonts w:ascii="宋体" w:hAnsi="宋体"/>
                <w:kern w:val="44"/>
                <w:sz w:val="18"/>
                <w:szCs w:val="18"/>
              </w:rPr>
            </w:pPr>
          </w:p>
        </w:tc>
        <w:tc>
          <w:tcPr>
            <w:tcW w:w="1704" w:type="dxa"/>
            <w:vAlign w:val="center"/>
          </w:tcPr>
          <w:p w14:paraId="70743C7A">
            <w:pPr>
              <w:spacing w:line="240" w:lineRule="exact"/>
              <w:ind w:firstLine="0" w:firstLineChars="0"/>
              <w:jc w:val="center"/>
              <w:rPr>
                <w:rFonts w:ascii="宋体" w:hAnsi="宋体"/>
                <w:kern w:val="44"/>
                <w:sz w:val="18"/>
                <w:szCs w:val="18"/>
              </w:rPr>
            </w:pPr>
            <w:r>
              <w:rPr>
                <w:rFonts w:hint="eastAsia" w:ascii="宋体" w:hAnsi="宋体"/>
                <w:kern w:val="44"/>
                <w:sz w:val="18"/>
                <w:szCs w:val="18"/>
              </w:rPr>
              <w:t>三类</w:t>
            </w:r>
          </w:p>
        </w:tc>
        <w:tc>
          <w:tcPr>
            <w:tcW w:w="1704" w:type="dxa"/>
            <w:vAlign w:val="center"/>
          </w:tcPr>
          <w:p w14:paraId="673E63DF">
            <w:pPr>
              <w:spacing w:line="240" w:lineRule="exact"/>
              <w:ind w:firstLine="0" w:firstLineChars="0"/>
              <w:jc w:val="center"/>
              <w:rPr>
                <w:rFonts w:ascii="宋体" w:hAnsi="宋体"/>
                <w:kern w:val="44"/>
                <w:sz w:val="18"/>
                <w:szCs w:val="18"/>
              </w:rPr>
            </w:pPr>
            <w:r>
              <w:rPr>
                <w:rFonts w:hint="eastAsia" w:ascii="宋体" w:hAnsi="宋体"/>
                <w:kern w:val="44"/>
                <w:sz w:val="18"/>
                <w:szCs w:val="18"/>
              </w:rPr>
              <w:t>同上</w:t>
            </w:r>
          </w:p>
        </w:tc>
        <w:tc>
          <w:tcPr>
            <w:tcW w:w="1705" w:type="dxa"/>
            <w:vAlign w:val="center"/>
          </w:tcPr>
          <w:p w14:paraId="03F382DA">
            <w:pPr>
              <w:spacing w:line="240" w:lineRule="exact"/>
              <w:ind w:firstLine="0" w:firstLineChars="0"/>
              <w:jc w:val="center"/>
              <w:rPr>
                <w:rFonts w:ascii="宋体" w:hAnsi="宋体"/>
                <w:kern w:val="44"/>
                <w:sz w:val="18"/>
                <w:szCs w:val="18"/>
              </w:rPr>
            </w:pPr>
            <w:r>
              <w:rPr>
                <w:rFonts w:hint="eastAsia" w:ascii="宋体" w:hAnsi="宋体"/>
                <w:kern w:val="44"/>
                <w:sz w:val="18"/>
                <w:szCs w:val="18"/>
              </w:rPr>
              <w:t>0.1</w:t>
            </w:r>
          </w:p>
        </w:tc>
        <w:tc>
          <w:tcPr>
            <w:tcW w:w="1638" w:type="dxa"/>
            <w:tcBorders>
              <w:right w:val="single" w:color="auto" w:sz="12" w:space="0"/>
            </w:tcBorders>
            <w:vAlign w:val="center"/>
          </w:tcPr>
          <w:p w14:paraId="03D14204">
            <w:pPr>
              <w:spacing w:line="240" w:lineRule="exact"/>
              <w:ind w:firstLine="0" w:firstLineChars="0"/>
              <w:jc w:val="center"/>
              <w:rPr>
                <w:rFonts w:ascii="宋体" w:hAnsi="宋体"/>
                <w:kern w:val="44"/>
                <w:sz w:val="18"/>
                <w:szCs w:val="18"/>
              </w:rPr>
            </w:pPr>
          </w:p>
        </w:tc>
      </w:tr>
      <w:tr w14:paraId="52BB2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158" w:type="dxa"/>
            <w:gridSpan w:val="2"/>
            <w:tcBorders>
              <w:left w:val="single" w:color="auto" w:sz="12" w:space="0"/>
            </w:tcBorders>
            <w:vAlign w:val="center"/>
          </w:tcPr>
          <w:p w14:paraId="07831110">
            <w:pPr>
              <w:spacing w:line="240" w:lineRule="exact"/>
              <w:ind w:firstLine="0" w:firstLineChars="0"/>
              <w:jc w:val="center"/>
              <w:rPr>
                <w:rFonts w:ascii="宋体" w:hAnsi="宋体"/>
                <w:kern w:val="44"/>
                <w:sz w:val="18"/>
                <w:szCs w:val="18"/>
              </w:rPr>
            </w:pPr>
            <w:r>
              <w:rPr>
                <w:rFonts w:hint="eastAsia" w:ascii="宋体" w:hAnsi="宋体"/>
                <w:kern w:val="44"/>
                <w:sz w:val="18"/>
                <w:szCs w:val="18"/>
              </w:rPr>
              <w:t>外国人公寓</w:t>
            </w:r>
          </w:p>
        </w:tc>
        <w:tc>
          <w:tcPr>
            <w:tcW w:w="1704" w:type="dxa"/>
            <w:vAlign w:val="center"/>
          </w:tcPr>
          <w:p w14:paraId="5BD02A45">
            <w:pPr>
              <w:spacing w:line="240" w:lineRule="exact"/>
              <w:ind w:firstLine="0" w:firstLineChars="0"/>
              <w:jc w:val="center"/>
              <w:rPr>
                <w:rFonts w:ascii="宋体" w:hAnsi="宋体"/>
                <w:kern w:val="44"/>
                <w:sz w:val="18"/>
                <w:szCs w:val="18"/>
              </w:rPr>
            </w:pPr>
            <w:r>
              <w:rPr>
                <w:rFonts w:hint="eastAsia" w:ascii="宋体" w:hAnsi="宋体"/>
                <w:kern w:val="44"/>
                <w:sz w:val="18"/>
                <w:szCs w:val="18"/>
              </w:rPr>
              <w:t>每套住房</w:t>
            </w:r>
          </w:p>
        </w:tc>
        <w:tc>
          <w:tcPr>
            <w:tcW w:w="1705" w:type="dxa"/>
            <w:vAlign w:val="center"/>
          </w:tcPr>
          <w:p w14:paraId="0C236C8A">
            <w:pPr>
              <w:spacing w:line="240" w:lineRule="exact"/>
              <w:ind w:firstLine="0" w:firstLineChars="0"/>
              <w:jc w:val="center"/>
              <w:rPr>
                <w:rFonts w:ascii="宋体" w:hAnsi="宋体"/>
                <w:kern w:val="44"/>
                <w:sz w:val="18"/>
                <w:szCs w:val="18"/>
              </w:rPr>
            </w:pPr>
            <w:r>
              <w:rPr>
                <w:rFonts w:hint="eastAsia" w:ascii="宋体" w:hAnsi="宋体"/>
                <w:kern w:val="44"/>
                <w:sz w:val="18"/>
                <w:szCs w:val="18"/>
              </w:rPr>
              <w:t>1</w:t>
            </w:r>
          </w:p>
        </w:tc>
        <w:tc>
          <w:tcPr>
            <w:tcW w:w="1638" w:type="dxa"/>
            <w:tcBorders>
              <w:right w:val="single" w:color="auto" w:sz="12" w:space="0"/>
            </w:tcBorders>
            <w:vAlign w:val="center"/>
          </w:tcPr>
          <w:p w14:paraId="06148D38">
            <w:pPr>
              <w:spacing w:line="240" w:lineRule="exact"/>
              <w:ind w:firstLine="0" w:firstLineChars="0"/>
              <w:jc w:val="center"/>
              <w:rPr>
                <w:rFonts w:ascii="宋体" w:hAnsi="宋体"/>
                <w:kern w:val="44"/>
                <w:sz w:val="18"/>
                <w:szCs w:val="18"/>
              </w:rPr>
            </w:pPr>
          </w:p>
        </w:tc>
      </w:tr>
      <w:tr w14:paraId="5C0B9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54" w:type="dxa"/>
            <w:vMerge w:val="restart"/>
            <w:tcBorders>
              <w:left w:val="single" w:color="auto" w:sz="12" w:space="0"/>
            </w:tcBorders>
            <w:vAlign w:val="center"/>
          </w:tcPr>
          <w:p w14:paraId="3F60F268">
            <w:pPr>
              <w:spacing w:line="240" w:lineRule="exact"/>
              <w:ind w:firstLine="0" w:firstLineChars="0"/>
              <w:jc w:val="center"/>
              <w:rPr>
                <w:rFonts w:ascii="宋体" w:hAnsi="宋体"/>
                <w:kern w:val="44"/>
                <w:sz w:val="18"/>
                <w:szCs w:val="18"/>
              </w:rPr>
            </w:pPr>
            <w:r>
              <w:rPr>
                <w:rFonts w:hint="eastAsia" w:ascii="宋体" w:hAnsi="宋体"/>
                <w:kern w:val="44"/>
                <w:sz w:val="18"/>
                <w:szCs w:val="18"/>
              </w:rPr>
              <w:t>办公楼</w:t>
            </w:r>
          </w:p>
        </w:tc>
        <w:tc>
          <w:tcPr>
            <w:tcW w:w="1704" w:type="dxa"/>
            <w:vAlign w:val="center"/>
          </w:tcPr>
          <w:p w14:paraId="09177063">
            <w:pPr>
              <w:spacing w:line="240" w:lineRule="exact"/>
              <w:ind w:firstLine="0" w:firstLineChars="0"/>
              <w:jc w:val="center"/>
              <w:rPr>
                <w:rFonts w:ascii="宋体" w:hAnsi="宋体"/>
                <w:kern w:val="44"/>
                <w:sz w:val="18"/>
                <w:szCs w:val="18"/>
              </w:rPr>
            </w:pPr>
            <w:r>
              <w:rPr>
                <w:rFonts w:hint="eastAsia" w:ascii="宋体" w:hAnsi="宋体"/>
                <w:kern w:val="44"/>
                <w:sz w:val="18"/>
                <w:szCs w:val="18"/>
              </w:rPr>
              <w:t>外贸商业办公楼</w:t>
            </w:r>
          </w:p>
        </w:tc>
        <w:tc>
          <w:tcPr>
            <w:tcW w:w="1704" w:type="dxa"/>
            <w:vAlign w:val="center"/>
          </w:tcPr>
          <w:p w14:paraId="2054B1E9">
            <w:pPr>
              <w:spacing w:line="240" w:lineRule="exact"/>
              <w:ind w:firstLine="0" w:firstLineChars="0"/>
              <w:jc w:val="center"/>
              <w:rPr>
                <w:rFonts w:ascii="宋体" w:hAnsi="宋体"/>
                <w:kern w:val="44"/>
                <w:sz w:val="18"/>
                <w:szCs w:val="18"/>
              </w:rPr>
            </w:pPr>
            <w:r>
              <w:rPr>
                <w:rFonts w:hint="eastAsia" w:ascii="宋体" w:hAnsi="宋体"/>
                <w:kern w:val="44"/>
                <w:sz w:val="18"/>
                <w:szCs w:val="18"/>
              </w:rPr>
              <w:t>每1000平方米建筑面积</w:t>
            </w:r>
          </w:p>
        </w:tc>
        <w:tc>
          <w:tcPr>
            <w:tcW w:w="1705" w:type="dxa"/>
            <w:vAlign w:val="center"/>
          </w:tcPr>
          <w:p w14:paraId="6F737BAC">
            <w:pPr>
              <w:spacing w:line="240" w:lineRule="exact"/>
              <w:ind w:firstLine="0" w:firstLineChars="0"/>
              <w:jc w:val="center"/>
              <w:rPr>
                <w:rFonts w:ascii="宋体" w:hAnsi="宋体"/>
                <w:kern w:val="44"/>
                <w:sz w:val="18"/>
                <w:szCs w:val="18"/>
              </w:rPr>
            </w:pPr>
            <w:r>
              <w:rPr>
                <w:rFonts w:hint="eastAsia" w:ascii="宋体" w:hAnsi="宋体"/>
                <w:kern w:val="44"/>
                <w:sz w:val="18"/>
                <w:szCs w:val="18"/>
              </w:rPr>
              <w:t>4.5</w:t>
            </w:r>
          </w:p>
        </w:tc>
        <w:tc>
          <w:tcPr>
            <w:tcW w:w="1638" w:type="dxa"/>
            <w:tcBorders>
              <w:right w:val="single" w:color="auto" w:sz="12" w:space="0"/>
            </w:tcBorders>
            <w:vAlign w:val="center"/>
          </w:tcPr>
          <w:p w14:paraId="370CB9F4">
            <w:pPr>
              <w:spacing w:line="240" w:lineRule="exact"/>
              <w:ind w:firstLine="0" w:firstLineChars="0"/>
              <w:jc w:val="center"/>
              <w:rPr>
                <w:rFonts w:ascii="宋体" w:hAnsi="宋体"/>
                <w:kern w:val="44"/>
                <w:sz w:val="18"/>
                <w:szCs w:val="18"/>
              </w:rPr>
            </w:pPr>
          </w:p>
        </w:tc>
      </w:tr>
      <w:tr w14:paraId="1DC86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54" w:type="dxa"/>
            <w:vMerge w:val="continue"/>
            <w:tcBorders>
              <w:left w:val="single" w:color="auto" w:sz="12" w:space="0"/>
            </w:tcBorders>
            <w:vAlign w:val="center"/>
          </w:tcPr>
          <w:p w14:paraId="1211C940">
            <w:pPr>
              <w:spacing w:line="240" w:lineRule="exact"/>
              <w:ind w:firstLine="0" w:firstLineChars="0"/>
              <w:jc w:val="center"/>
              <w:rPr>
                <w:rFonts w:ascii="宋体" w:hAnsi="宋体"/>
                <w:kern w:val="44"/>
                <w:sz w:val="18"/>
                <w:szCs w:val="18"/>
              </w:rPr>
            </w:pPr>
          </w:p>
        </w:tc>
        <w:tc>
          <w:tcPr>
            <w:tcW w:w="1704" w:type="dxa"/>
            <w:vAlign w:val="center"/>
          </w:tcPr>
          <w:p w14:paraId="395899F3">
            <w:pPr>
              <w:spacing w:line="240" w:lineRule="exact"/>
              <w:ind w:firstLine="0" w:firstLineChars="0"/>
              <w:jc w:val="center"/>
              <w:rPr>
                <w:rFonts w:ascii="宋体" w:hAnsi="宋体"/>
                <w:kern w:val="44"/>
                <w:sz w:val="18"/>
                <w:szCs w:val="18"/>
              </w:rPr>
            </w:pPr>
            <w:r>
              <w:rPr>
                <w:rFonts w:hint="eastAsia" w:ascii="宋体" w:hAnsi="宋体"/>
                <w:kern w:val="44"/>
                <w:sz w:val="18"/>
                <w:szCs w:val="18"/>
              </w:rPr>
              <w:t>其他办公楼</w:t>
            </w:r>
          </w:p>
        </w:tc>
        <w:tc>
          <w:tcPr>
            <w:tcW w:w="1704" w:type="dxa"/>
            <w:vAlign w:val="center"/>
          </w:tcPr>
          <w:p w14:paraId="7E5A20EE">
            <w:pPr>
              <w:spacing w:line="240" w:lineRule="exact"/>
              <w:ind w:firstLine="0" w:firstLineChars="0"/>
              <w:jc w:val="center"/>
              <w:rPr>
                <w:rFonts w:ascii="宋体" w:hAnsi="宋体"/>
                <w:kern w:val="44"/>
                <w:sz w:val="18"/>
                <w:szCs w:val="18"/>
              </w:rPr>
            </w:pPr>
            <w:r>
              <w:rPr>
                <w:rFonts w:hint="eastAsia" w:ascii="宋体" w:hAnsi="宋体"/>
                <w:kern w:val="44"/>
                <w:sz w:val="18"/>
                <w:szCs w:val="18"/>
              </w:rPr>
              <w:t>同上</w:t>
            </w:r>
          </w:p>
        </w:tc>
        <w:tc>
          <w:tcPr>
            <w:tcW w:w="1705" w:type="dxa"/>
            <w:vAlign w:val="center"/>
          </w:tcPr>
          <w:p w14:paraId="4F837608">
            <w:pPr>
              <w:spacing w:line="240" w:lineRule="exact"/>
              <w:ind w:firstLine="0" w:firstLineChars="0"/>
              <w:jc w:val="center"/>
              <w:rPr>
                <w:rFonts w:ascii="宋体" w:hAnsi="宋体"/>
                <w:kern w:val="44"/>
                <w:sz w:val="18"/>
                <w:szCs w:val="18"/>
              </w:rPr>
            </w:pPr>
            <w:r>
              <w:rPr>
                <w:rFonts w:hint="eastAsia" w:ascii="宋体" w:hAnsi="宋体"/>
                <w:kern w:val="44"/>
                <w:sz w:val="18"/>
                <w:szCs w:val="18"/>
              </w:rPr>
              <w:t>2.5</w:t>
            </w:r>
          </w:p>
        </w:tc>
        <w:tc>
          <w:tcPr>
            <w:tcW w:w="1638" w:type="dxa"/>
            <w:tcBorders>
              <w:right w:val="single" w:color="auto" w:sz="12" w:space="0"/>
            </w:tcBorders>
            <w:vAlign w:val="center"/>
          </w:tcPr>
          <w:p w14:paraId="095E4739">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r>
      <w:tr w14:paraId="7D536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54" w:type="dxa"/>
            <w:vMerge w:val="restart"/>
            <w:tcBorders>
              <w:left w:val="single" w:color="auto" w:sz="12" w:space="0"/>
            </w:tcBorders>
            <w:vAlign w:val="center"/>
          </w:tcPr>
          <w:p w14:paraId="09818B9A">
            <w:pPr>
              <w:spacing w:line="240" w:lineRule="exact"/>
              <w:ind w:firstLine="0" w:firstLineChars="0"/>
              <w:jc w:val="center"/>
              <w:rPr>
                <w:rFonts w:ascii="宋体" w:hAnsi="宋体"/>
                <w:kern w:val="44"/>
                <w:sz w:val="18"/>
                <w:szCs w:val="18"/>
              </w:rPr>
            </w:pPr>
            <w:r>
              <w:rPr>
                <w:rFonts w:hint="eastAsia" w:ascii="宋体" w:hAnsi="宋体"/>
                <w:kern w:val="44"/>
                <w:sz w:val="18"/>
                <w:szCs w:val="18"/>
              </w:rPr>
              <w:t>饭庄</w:t>
            </w:r>
          </w:p>
        </w:tc>
        <w:tc>
          <w:tcPr>
            <w:tcW w:w="1704" w:type="dxa"/>
            <w:vAlign w:val="center"/>
          </w:tcPr>
          <w:p w14:paraId="08310D4B">
            <w:pPr>
              <w:spacing w:line="240" w:lineRule="exact"/>
              <w:ind w:firstLine="0" w:firstLineChars="0"/>
              <w:jc w:val="center"/>
              <w:rPr>
                <w:rFonts w:ascii="宋体" w:hAnsi="宋体"/>
                <w:kern w:val="44"/>
                <w:sz w:val="18"/>
                <w:szCs w:val="18"/>
              </w:rPr>
            </w:pPr>
            <w:r>
              <w:rPr>
                <w:rFonts w:hint="eastAsia" w:ascii="宋体" w:hAnsi="宋体"/>
                <w:kern w:val="44"/>
                <w:sz w:val="18"/>
                <w:szCs w:val="18"/>
              </w:rPr>
              <w:t>一类</w:t>
            </w:r>
          </w:p>
        </w:tc>
        <w:tc>
          <w:tcPr>
            <w:tcW w:w="1704" w:type="dxa"/>
            <w:vAlign w:val="center"/>
          </w:tcPr>
          <w:p w14:paraId="70130612">
            <w:pPr>
              <w:spacing w:line="240" w:lineRule="exact"/>
              <w:ind w:firstLine="0" w:firstLineChars="0"/>
              <w:jc w:val="center"/>
              <w:rPr>
                <w:rFonts w:ascii="宋体" w:hAnsi="宋体"/>
                <w:kern w:val="44"/>
                <w:sz w:val="18"/>
                <w:szCs w:val="18"/>
              </w:rPr>
            </w:pPr>
            <w:r>
              <w:rPr>
                <w:rFonts w:hint="eastAsia" w:ascii="宋体" w:hAnsi="宋体"/>
                <w:kern w:val="44"/>
                <w:sz w:val="18"/>
                <w:szCs w:val="18"/>
              </w:rPr>
              <w:t>每1000平方米建筑面积</w:t>
            </w:r>
          </w:p>
        </w:tc>
        <w:tc>
          <w:tcPr>
            <w:tcW w:w="1705" w:type="dxa"/>
            <w:vAlign w:val="center"/>
          </w:tcPr>
          <w:p w14:paraId="48A69E9B">
            <w:pPr>
              <w:spacing w:line="240" w:lineRule="exact"/>
              <w:ind w:firstLine="0" w:firstLineChars="0"/>
              <w:jc w:val="center"/>
              <w:rPr>
                <w:rFonts w:ascii="宋体" w:hAnsi="宋体"/>
                <w:kern w:val="44"/>
                <w:sz w:val="18"/>
                <w:szCs w:val="18"/>
              </w:rPr>
            </w:pPr>
            <w:r>
              <w:rPr>
                <w:rFonts w:hint="eastAsia" w:ascii="宋体" w:hAnsi="宋体"/>
                <w:kern w:val="44"/>
                <w:sz w:val="18"/>
                <w:szCs w:val="18"/>
              </w:rPr>
              <w:t>15</w:t>
            </w:r>
          </w:p>
        </w:tc>
        <w:tc>
          <w:tcPr>
            <w:tcW w:w="1638" w:type="dxa"/>
            <w:tcBorders>
              <w:right w:val="single" w:color="auto" w:sz="12" w:space="0"/>
            </w:tcBorders>
            <w:vAlign w:val="center"/>
          </w:tcPr>
          <w:p w14:paraId="08646B23">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r>
      <w:tr w14:paraId="1D9FB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54" w:type="dxa"/>
            <w:vMerge w:val="continue"/>
            <w:tcBorders>
              <w:left w:val="single" w:color="auto" w:sz="12" w:space="0"/>
            </w:tcBorders>
            <w:vAlign w:val="center"/>
          </w:tcPr>
          <w:p w14:paraId="64942EEA">
            <w:pPr>
              <w:spacing w:line="240" w:lineRule="exact"/>
              <w:ind w:firstLine="0" w:firstLineChars="0"/>
              <w:jc w:val="center"/>
              <w:rPr>
                <w:rFonts w:ascii="宋体" w:hAnsi="宋体"/>
                <w:kern w:val="44"/>
                <w:sz w:val="18"/>
                <w:szCs w:val="18"/>
              </w:rPr>
            </w:pPr>
          </w:p>
        </w:tc>
        <w:tc>
          <w:tcPr>
            <w:tcW w:w="1704" w:type="dxa"/>
            <w:vAlign w:val="center"/>
          </w:tcPr>
          <w:p w14:paraId="6516CA44">
            <w:pPr>
              <w:spacing w:line="240" w:lineRule="exact"/>
              <w:ind w:firstLine="0" w:firstLineChars="0"/>
              <w:jc w:val="center"/>
              <w:rPr>
                <w:rFonts w:ascii="宋体" w:hAnsi="宋体"/>
                <w:kern w:val="44"/>
                <w:sz w:val="18"/>
                <w:szCs w:val="18"/>
              </w:rPr>
            </w:pPr>
            <w:r>
              <w:rPr>
                <w:rFonts w:hint="eastAsia" w:ascii="宋体" w:hAnsi="宋体"/>
                <w:kern w:val="44"/>
                <w:sz w:val="18"/>
                <w:szCs w:val="18"/>
              </w:rPr>
              <w:t>二类</w:t>
            </w:r>
          </w:p>
        </w:tc>
        <w:tc>
          <w:tcPr>
            <w:tcW w:w="1704" w:type="dxa"/>
            <w:vAlign w:val="center"/>
          </w:tcPr>
          <w:p w14:paraId="046CFDE1">
            <w:pPr>
              <w:spacing w:line="240" w:lineRule="exact"/>
              <w:ind w:firstLine="0" w:firstLineChars="0"/>
              <w:jc w:val="center"/>
              <w:rPr>
                <w:rFonts w:ascii="宋体" w:hAnsi="宋体"/>
                <w:kern w:val="44"/>
                <w:sz w:val="18"/>
                <w:szCs w:val="18"/>
              </w:rPr>
            </w:pPr>
            <w:r>
              <w:rPr>
                <w:rFonts w:hint="eastAsia" w:ascii="宋体" w:hAnsi="宋体"/>
                <w:kern w:val="44"/>
                <w:sz w:val="18"/>
                <w:szCs w:val="18"/>
              </w:rPr>
              <w:t>同上</w:t>
            </w:r>
          </w:p>
        </w:tc>
        <w:tc>
          <w:tcPr>
            <w:tcW w:w="1705" w:type="dxa"/>
            <w:vAlign w:val="center"/>
          </w:tcPr>
          <w:p w14:paraId="6C7B23EA">
            <w:pPr>
              <w:spacing w:line="240" w:lineRule="exact"/>
              <w:ind w:firstLine="0" w:firstLineChars="0"/>
              <w:jc w:val="center"/>
              <w:rPr>
                <w:rFonts w:ascii="宋体" w:hAnsi="宋体"/>
                <w:kern w:val="44"/>
                <w:sz w:val="18"/>
                <w:szCs w:val="18"/>
              </w:rPr>
            </w:pPr>
            <w:r>
              <w:rPr>
                <w:rFonts w:hint="eastAsia" w:ascii="宋体" w:hAnsi="宋体"/>
                <w:kern w:val="44"/>
                <w:sz w:val="18"/>
                <w:szCs w:val="18"/>
              </w:rPr>
              <w:t>7.5</w:t>
            </w:r>
          </w:p>
        </w:tc>
        <w:tc>
          <w:tcPr>
            <w:tcW w:w="1638" w:type="dxa"/>
            <w:tcBorders>
              <w:right w:val="single" w:color="auto" w:sz="12" w:space="0"/>
            </w:tcBorders>
            <w:vAlign w:val="center"/>
          </w:tcPr>
          <w:p w14:paraId="7E7AFC67">
            <w:pPr>
              <w:spacing w:line="240" w:lineRule="exact"/>
              <w:ind w:firstLine="0" w:firstLineChars="0"/>
              <w:jc w:val="center"/>
              <w:rPr>
                <w:rFonts w:ascii="宋体" w:hAnsi="宋体"/>
                <w:kern w:val="44"/>
                <w:sz w:val="18"/>
                <w:szCs w:val="18"/>
              </w:rPr>
            </w:pPr>
            <w:r>
              <w:rPr>
                <w:rFonts w:hint="eastAsia" w:ascii="宋体" w:hAnsi="宋体"/>
                <w:kern w:val="44"/>
                <w:sz w:val="18"/>
                <w:szCs w:val="18"/>
              </w:rPr>
              <w:t>40</w:t>
            </w:r>
          </w:p>
        </w:tc>
      </w:tr>
      <w:tr w14:paraId="5DDC4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54" w:type="dxa"/>
            <w:vMerge w:val="restart"/>
            <w:tcBorders>
              <w:left w:val="single" w:color="auto" w:sz="12" w:space="0"/>
            </w:tcBorders>
            <w:vAlign w:val="center"/>
          </w:tcPr>
          <w:p w14:paraId="0FAB6B23">
            <w:pPr>
              <w:spacing w:line="240" w:lineRule="exact"/>
              <w:ind w:firstLine="0" w:firstLineChars="0"/>
              <w:jc w:val="center"/>
              <w:rPr>
                <w:rFonts w:ascii="宋体" w:hAnsi="宋体"/>
                <w:kern w:val="44"/>
                <w:sz w:val="18"/>
                <w:szCs w:val="18"/>
              </w:rPr>
            </w:pPr>
            <w:r>
              <w:rPr>
                <w:rFonts w:hint="eastAsia" w:ascii="宋体" w:hAnsi="宋体"/>
                <w:kern w:val="44"/>
                <w:sz w:val="18"/>
                <w:szCs w:val="18"/>
              </w:rPr>
              <w:t>商店</w:t>
            </w:r>
          </w:p>
        </w:tc>
        <w:tc>
          <w:tcPr>
            <w:tcW w:w="1704" w:type="dxa"/>
            <w:vAlign w:val="center"/>
          </w:tcPr>
          <w:p w14:paraId="06A3A40E">
            <w:pPr>
              <w:spacing w:line="240" w:lineRule="exact"/>
              <w:ind w:firstLine="0" w:firstLineChars="0"/>
              <w:jc w:val="center"/>
              <w:rPr>
                <w:rFonts w:ascii="宋体" w:hAnsi="宋体"/>
                <w:kern w:val="44"/>
                <w:sz w:val="18"/>
                <w:szCs w:val="18"/>
              </w:rPr>
            </w:pPr>
            <w:r>
              <w:rPr>
                <w:rFonts w:hint="eastAsia" w:ascii="宋体" w:hAnsi="宋体"/>
                <w:kern w:val="44"/>
                <w:sz w:val="18"/>
                <w:szCs w:val="18"/>
              </w:rPr>
              <w:t>一类</w:t>
            </w:r>
          </w:p>
        </w:tc>
        <w:tc>
          <w:tcPr>
            <w:tcW w:w="1704" w:type="dxa"/>
            <w:vAlign w:val="center"/>
          </w:tcPr>
          <w:p w14:paraId="30872A2E">
            <w:pPr>
              <w:spacing w:line="240" w:lineRule="exact"/>
              <w:ind w:firstLine="0" w:firstLineChars="0"/>
              <w:jc w:val="center"/>
              <w:rPr>
                <w:rFonts w:ascii="宋体" w:hAnsi="宋体"/>
                <w:kern w:val="44"/>
                <w:sz w:val="18"/>
                <w:szCs w:val="18"/>
              </w:rPr>
            </w:pPr>
            <w:r>
              <w:rPr>
                <w:rFonts w:hint="eastAsia" w:ascii="宋体" w:hAnsi="宋体"/>
                <w:kern w:val="44"/>
                <w:sz w:val="18"/>
                <w:szCs w:val="18"/>
              </w:rPr>
              <w:t>每1000平方米建筑面积</w:t>
            </w:r>
          </w:p>
        </w:tc>
        <w:tc>
          <w:tcPr>
            <w:tcW w:w="1705" w:type="dxa"/>
            <w:vAlign w:val="center"/>
          </w:tcPr>
          <w:p w14:paraId="2E4E74F3">
            <w:pPr>
              <w:spacing w:line="240" w:lineRule="exact"/>
              <w:ind w:firstLine="0" w:firstLineChars="0"/>
              <w:jc w:val="center"/>
              <w:rPr>
                <w:rFonts w:ascii="宋体" w:hAnsi="宋体"/>
                <w:kern w:val="44"/>
                <w:sz w:val="18"/>
                <w:szCs w:val="18"/>
              </w:rPr>
            </w:pPr>
            <w:r>
              <w:rPr>
                <w:rFonts w:hint="eastAsia" w:ascii="宋体" w:hAnsi="宋体"/>
                <w:kern w:val="44"/>
                <w:sz w:val="18"/>
                <w:szCs w:val="18"/>
              </w:rPr>
              <w:t>2.5</w:t>
            </w:r>
          </w:p>
        </w:tc>
        <w:tc>
          <w:tcPr>
            <w:tcW w:w="1638" w:type="dxa"/>
            <w:tcBorders>
              <w:right w:val="single" w:color="auto" w:sz="12" w:space="0"/>
            </w:tcBorders>
            <w:vAlign w:val="center"/>
          </w:tcPr>
          <w:p w14:paraId="5529B47C">
            <w:pPr>
              <w:spacing w:line="240" w:lineRule="exact"/>
              <w:ind w:firstLine="0" w:firstLineChars="0"/>
              <w:jc w:val="center"/>
              <w:rPr>
                <w:rFonts w:ascii="宋体" w:hAnsi="宋体"/>
                <w:kern w:val="44"/>
                <w:sz w:val="18"/>
                <w:szCs w:val="18"/>
              </w:rPr>
            </w:pPr>
            <w:r>
              <w:rPr>
                <w:rFonts w:hint="eastAsia" w:ascii="宋体" w:hAnsi="宋体"/>
                <w:kern w:val="44"/>
                <w:sz w:val="18"/>
                <w:szCs w:val="18"/>
              </w:rPr>
              <w:t>40</w:t>
            </w:r>
          </w:p>
        </w:tc>
      </w:tr>
      <w:tr w14:paraId="35153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54" w:type="dxa"/>
            <w:vMerge w:val="continue"/>
            <w:tcBorders>
              <w:left w:val="single" w:color="auto" w:sz="12" w:space="0"/>
            </w:tcBorders>
            <w:vAlign w:val="center"/>
          </w:tcPr>
          <w:p w14:paraId="4BA83C38">
            <w:pPr>
              <w:spacing w:line="240" w:lineRule="exact"/>
              <w:ind w:firstLine="0" w:firstLineChars="0"/>
              <w:jc w:val="center"/>
              <w:rPr>
                <w:rFonts w:ascii="宋体" w:hAnsi="宋体"/>
                <w:kern w:val="44"/>
                <w:sz w:val="18"/>
                <w:szCs w:val="18"/>
              </w:rPr>
            </w:pPr>
          </w:p>
        </w:tc>
        <w:tc>
          <w:tcPr>
            <w:tcW w:w="1704" w:type="dxa"/>
            <w:vAlign w:val="center"/>
          </w:tcPr>
          <w:p w14:paraId="00F37EB3">
            <w:pPr>
              <w:spacing w:line="240" w:lineRule="exact"/>
              <w:ind w:firstLine="0" w:firstLineChars="0"/>
              <w:jc w:val="center"/>
              <w:rPr>
                <w:rFonts w:ascii="宋体" w:hAnsi="宋体"/>
                <w:kern w:val="44"/>
                <w:sz w:val="18"/>
                <w:szCs w:val="18"/>
              </w:rPr>
            </w:pPr>
            <w:r>
              <w:rPr>
                <w:rFonts w:hint="eastAsia" w:ascii="宋体" w:hAnsi="宋体"/>
                <w:kern w:val="44"/>
                <w:sz w:val="18"/>
                <w:szCs w:val="18"/>
              </w:rPr>
              <w:t>二类</w:t>
            </w:r>
          </w:p>
        </w:tc>
        <w:tc>
          <w:tcPr>
            <w:tcW w:w="1704" w:type="dxa"/>
            <w:vAlign w:val="center"/>
          </w:tcPr>
          <w:p w14:paraId="1FA275BA">
            <w:pPr>
              <w:spacing w:line="240" w:lineRule="exact"/>
              <w:ind w:firstLine="0" w:firstLineChars="0"/>
              <w:jc w:val="center"/>
              <w:rPr>
                <w:rFonts w:ascii="宋体" w:hAnsi="宋体"/>
                <w:kern w:val="44"/>
                <w:sz w:val="18"/>
                <w:szCs w:val="18"/>
              </w:rPr>
            </w:pPr>
            <w:r>
              <w:rPr>
                <w:rFonts w:hint="eastAsia" w:ascii="宋体" w:hAnsi="宋体"/>
                <w:kern w:val="44"/>
                <w:sz w:val="18"/>
                <w:szCs w:val="18"/>
              </w:rPr>
              <w:t>同上</w:t>
            </w:r>
          </w:p>
        </w:tc>
        <w:tc>
          <w:tcPr>
            <w:tcW w:w="1705" w:type="dxa"/>
            <w:vAlign w:val="center"/>
          </w:tcPr>
          <w:p w14:paraId="2C5D5F40">
            <w:pPr>
              <w:spacing w:line="240" w:lineRule="exact"/>
              <w:ind w:firstLine="0" w:firstLineChars="0"/>
              <w:jc w:val="center"/>
              <w:rPr>
                <w:rFonts w:ascii="宋体" w:hAnsi="宋体"/>
                <w:kern w:val="44"/>
                <w:sz w:val="18"/>
                <w:szCs w:val="18"/>
              </w:rPr>
            </w:pPr>
            <w:r>
              <w:rPr>
                <w:rFonts w:hint="eastAsia" w:ascii="宋体" w:hAnsi="宋体"/>
                <w:kern w:val="44"/>
                <w:sz w:val="18"/>
                <w:szCs w:val="18"/>
              </w:rPr>
              <w:t>2</w:t>
            </w:r>
          </w:p>
        </w:tc>
        <w:tc>
          <w:tcPr>
            <w:tcW w:w="1638" w:type="dxa"/>
            <w:tcBorders>
              <w:right w:val="single" w:color="auto" w:sz="12" w:space="0"/>
            </w:tcBorders>
            <w:vAlign w:val="center"/>
          </w:tcPr>
          <w:p w14:paraId="0A6406EA">
            <w:pPr>
              <w:spacing w:line="240" w:lineRule="exact"/>
              <w:ind w:firstLine="0" w:firstLineChars="0"/>
              <w:jc w:val="center"/>
              <w:rPr>
                <w:rFonts w:ascii="宋体" w:hAnsi="宋体"/>
                <w:kern w:val="44"/>
                <w:sz w:val="18"/>
                <w:szCs w:val="18"/>
              </w:rPr>
            </w:pPr>
            <w:r>
              <w:rPr>
                <w:rFonts w:hint="eastAsia" w:ascii="宋体" w:hAnsi="宋体"/>
                <w:kern w:val="44"/>
                <w:sz w:val="18"/>
                <w:szCs w:val="18"/>
              </w:rPr>
              <w:t>40</w:t>
            </w:r>
          </w:p>
        </w:tc>
      </w:tr>
      <w:tr w14:paraId="37011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158" w:type="dxa"/>
            <w:gridSpan w:val="2"/>
            <w:tcBorders>
              <w:left w:val="single" w:color="auto" w:sz="12" w:space="0"/>
            </w:tcBorders>
            <w:vAlign w:val="center"/>
          </w:tcPr>
          <w:p w14:paraId="70DAEB29">
            <w:pPr>
              <w:spacing w:line="240" w:lineRule="exact"/>
              <w:ind w:firstLine="0" w:firstLineChars="0"/>
              <w:jc w:val="center"/>
              <w:rPr>
                <w:rFonts w:ascii="宋体" w:hAnsi="宋体"/>
                <w:kern w:val="44"/>
                <w:sz w:val="18"/>
                <w:szCs w:val="18"/>
              </w:rPr>
            </w:pPr>
            <w:r>
              <w:rPr>
                <w:rFonts w:hint="eastAsia" w:ascii="宋体" w:hAnsi="宋体"/>
                <w:kern w:val="44"/>
                <w:sz w:val="18"/>
                <w:szCs w:val="18"/>
              </w:rPr>
              <w:t>医      院</w:t>
            </w:r>
          </w:p>
        </w:tc>
        <w:tc>
          <w:tcPr>
            <w:tcW w:w="1704" w:type="dxa"/>
            <w:vAlign w:val="center"/>
          </w:tcPr>
          <w:p w14:paraId="3A93BDB5">
            <w:pPr>
              <w:spacing w:line="240" w:lineRule="exact"/>
              <w:ind w:firstLine="0" w:firstLineChars="0"/>
              <w:jc w:val="center"/>
              <w:rPr>
                <w:rFonts w:ascii="宋体" w:hAnsi="宋体"/>
                <w:kern w:val="44"/>
                <w:sz w:val="18"/>
                <w:szCs w:val="18"/>
              </w:rPr>
            </w:pPr>
            <w:r>
              <w:rPr>
                <w:rFonts w:hint="eastAsia" w:ascii="宋体" w:hAnsi="宋体"/>
                <w:kern w:val="44"/>
                <w:sz w:val="18"/>
                <w:szCs w:val="18"/>
              </w:rPr>
              <w:t>每1000平方米建筑面积</w:t>
            </w:r>
          </w:p>
        </w:tc>
        <w:tc>
          <w:tcPr>
            <w:tcW w:w="1705" w:type="dxa"/>
            <w:vAlign w:val="center"/>
          </w:tcPr>
          <w:p w14:paraId="2FEF368D">
            <w:pPr>
              <w:spacing w:line="240" w:lineRule="exact"/>
              <w:ind w:firstLine="0" w:firstLineChars="0"/>
              <w:jc w:val="center"/>
              <w:rPr>
                <w:rFonts w:ascii="宋体" w:hAnsi="宋体"/>
                <w:kern w:val="44"/>
                <w:sz w:val="18"/>
                <w:szCs w:val="18"/>
              </w:rPr>
            </w:pPr>
            <w:r>
              <w:rPr>
                <w:rFonts w:hint="eastAsia" w:ascii="宋体" w:hAnsi="宋体"/>
                <w:kern w:val="44"/>
                <w:sz w:val="18"/>
                <w:szCs w:val="18"/>
              </w:rPr>
              <w:t>2</w:t>
            </w:r>
          </w:p>
        </w:tc>
        <w:tc>
          <w:tcPr>
            <w:tcW w:w="1638" w:type="dxa"/>
            <w:tcBorders>
              <w:right w:val="single" w:color="auto" w:sz="12" w:space="0"/>
            </w:tcBorders>
            <w:vAlign w:val="center"/>
          </w:tcPr>
          <w:p w14:paraId="1569D42E">
            <w:pPr>
              <w:spacing w:line="240" w:lineRule="exact"/>
              <w:ind w:firstLine="0" w:firstLineChars="0"/>
              <w:jc w:val="center"/>
              <w:rPr>
                <w:rFonts w:ascii="宋体" w:hAnsi="宋体"/>
                <w:kern w:val="44"/>
                <w:sz w:val="18"/>
                <w:szCs w:val="18"/>
              </w:rPr>
            </w:pPr>
            <w:r>
              <w:rPr>
                <w:rFonts w:hint="eastAsia" w:ascii="宋体" w:hAnsi="宋体"/>
                <w:kern w:val="44"/>
                <w:sz w:val="18"/>
                <w:szCs w:val="18"/>
              </w:rPr>
              <w:t>15</w:t>
            </w:r>
          </w:p>
        </w:tc>
      </w:tr>
      <w:tr w14:paraId="1D6F2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158" w:type="dxa"/>
            <w:gridSpan w:val="2"/>
            <w:tcBorders>
              <w:left w:val="single" w:color="auto" w:sz="12" w:space="0"/>
            </w:tcBorders>
            <w:vAlign w:val="center"/>
          </w:tcPr>
          <w:p w14:paraId="1A9F55F6">
            <w:pPr>
              <w:spacing w:line="240" w:lineRule="exact"/>
              <w:ind w:firstLine="0" w:firstLineChars="0"/>
              <w:jc w:val="center"/>
              <w:rPr>
                <w:rFonts w:ascii="宋体" w:hAnsi="宋体"/>
                <w:kern w:val="44"/>
                <w:sz w:val="18"/>
                <w:szCs w:val="18"/>
              </w:rPr>
            </w:pPr>
            <w:r>
              <w:rPr>
                <w:rFonts w:hint="eastAsia" w:ascii="宋体" w:hAnsi="宋体"/>
                <w:kern w:val="44"/>
                <w:sz w:val="18"/>
                <w:szCs w:val="18"/>
              </w:rPr>
              <w:t>展  览  馆</w:t>
            </w:r>
          </w:p>
        </w:tc>
        <w:tc>
          <w:tcPr>
            <w:tcW w:w="1704" w:type="dxa"/>
            <w:vAlign w:val="center"/>
          </w:tcPr>
          <w:p w14:paraId="4585F035">
            <w:pPr>
              <w:spacing w:line="240" w:lineRule="exact"/>
              <w:ind w:firstLine="0" w:firstLineChars="0"/>
              <w:jc w:val="center"/>
              <w:rPr>
                <w:rFonts w:ascii="宋体" w:hAnsi="宋体"/>
                <w:kern w:val="44"/>
                <w:sz w:val="18"/>
                <w:szCs w:val="18"/>
              </w:rPr>
            </w:pPr>
            <w:r>
              <w:rPr>
                <w:rFonts w:hint="eastAsia" w:ascii="宋体" w:hAnsi="宋体"/>
                <w:kern w:val="44"/>
                <w:sz w:val="18"/>
                <w:szCs w:val="18"/>
              </w:rPr>
              <w:t>每1000平方米建筑面积</w:t>
            </w:r>
          </w:p>
        </w:tc>
        <w:tc>
          <w:tcPr>
            <w:tcW w:w="1705" w:type="dxa"/>
            <w:vAlign w:val="center"/>
          </w:tcPr>
          <w:p w14:paraId="5831A7A6">
            <w:pPr>
              <w:spacing w:line="240" w:lineRule="exact"/>
              <w:ind w:firstLine="0" w:firstLineChars="0"/>
              <w:jc w:val="center"/>
              <w:rPr>
                <w:rFonts w:ascii="宋体" w:hAnsi="宋体"/>
                <w:kern w:val="44"/>
                <w:sz w:val="18"/>
                <w:szCs w:val="18"/>
              </w:rPr>
            </w:pPr>
            <w:r>
              <w:rPr>
                <w:rFonts w:hint="eastAsia" w:ascii="宋体" w:hAnsi="宋体"/>
                <w:kern w:val="44"/>
                <w:sz w:val="18"/>
                <w:szCs w:val="18"/>
              </w:rPr>
              <w:t>2.5</w:t>
            </w:r>
          </w:p>
        </w:tc>
        <w:tc>
          <w:tcPr>
            <w:tcW w:w="1638" w:type="dxa"/>
            <w:tcBorders>
              <w:right w:val="single" w:color="auto" w:sz="12" w:space="0"/>
            </w:tcBorders>
            <w:vAlign w:val="center"/>
          </w:tcPr>
          <w:p w14:paraId="362AD951">
            <w:pPr>
              <w:spacing w:line="240" w:lineRule="exact"/>
              <w:ind w:firstLine="0" w:firstLineChars="0"/>
              <w:jc w:val="center"/>
              <w:rPr>
                <w:rFonts w:ascii="宋体" w:hAnsi="宋体"/>
                <w:kern w:val="44"/>
                <w:sz w:val="18"/>
                <w:szCs w:val="18"/>
              </w:rPr>
            </w:pPr>
            <w:r>
              <w:rPr>
                <w:rFonts w:hint="eastAsia" w:ascii="宋体" w:hAnsi="宋体"/>
                <w:kern w:val="44"/>
                <w:sz w:val="18"/>
                <w:szCs w:val="18"/>
              </w:rPr>
              <w:t>45</w:t>
            </w:r>
          </w:p>
        </w:tc>
      </w:tr>
      <w:tr w14:paraId="31BA0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158" w:type="dxa"/>
            <w:gridSpan w:val="2"/>
            <w:tcBorders>
              <w:left w:val="single" w:color="auto" w:sz="12" w:space="0"/>
            </w:tcBorders>
            <w:vAlign w:val="center"/>
          </w:tcPr>
          <w:p w14:paraId="700CB1CE">
            <w:pPr>
              <w:spacing w:line="240" w:lineRule="exact"/>
              <w:ind w:firstLine="0" w:firstLineChars="0"/>
              <w:jc w:val="center"/>
              <w:rPr>
                <w:rFonts w:ascii="宋体" w:hAnsi="宋体"/>
                <w:kern w:val="44"/>
                <w:sz w:val="18"/>
                <w:szCs w:val="18"/>
              </w:rPr>
            </w:pPr>
            <w:r>
              <w:rPr>
                <w:rFonts w:hint="eastAsia" w:ascii="宋体" w:hAnsi="宋体"/>
                <w:kern w:val="44"/>
                <w:sz w:val="18"/>
                <w:szCs w:val="18"/>
              </w:rPr>
              <w:t>电  影  院</w:t>
            </w:r>
          </w:p>
        </w:tc>
        <w:tc>
          <w:tcPr>
            <w:tcW w:w="1704" w:type="dxa"/>
            <w:vAlign w:val="center"/>
          </w:tcPr>
          <w:p w14:paraId="01040D99">
            <w:pPr>
              <w:spacing w:line="240" w:lineRule="exact"/>
              <w:ind w:firstLine="0" w:firstLineChars="0"/>
              <w:jc w:val="center"/>
              <w:rPr>
                <w:rFonts w:ascii="宋体" w:hAnsi="宋体"/>
                <w:kern w:val="44"/>
                <w:sz w:val="18"/>
                <w:szCs w:val="18"/>
              </w:rPr>
            </w:pPr>
            <w:r>
              <w:rPr>
                <w:rFonts w:hint="eastAsia" w:ascii="宋体" w:hAnsi="宋体"/>
                <w:kern w:val="44"/>
                <w:sz w:val="18"/>
                <w:szCs w:val="18"/>
              </w:rPr>
              <w:t>每100座位</w:t>
            </w:r>
          </w:p>
        </w:tc>
        <w:tc>
          <w:tcPr>
            <w:tcW w:w="1705" w:type="dxa"/>
            <w:vAlign w:val="center"/>
          </w:tcPr>
          <w:p w14:paraId="6B2F98FD">
            <w:pPr>
              <w:spacing w:line="240" w:lineRule="exact"/>
              <w:ind w:firstLine="0" w:firstLineChars="0"/>
              <w:jc w:val="center"/>
              <w:rPr>
                <w:rFonts w:ascii="宋体" w:hAnsi="宋体"/>
                <w:kern w:val="44"/>
                <w:sz w:val="18"/>
                <w:szCs w:val="18"/>
              </w:rPr>
            </w:pPr>
            <w:r>
              <w:rPr>
                <w:rFonts w:hint="eastAsia" w:ascii="宋体" w:hAnsi="宋体"/>
                <w:kern w:val="44"/>
                <w:sz w:val="18"/>
                <w:szCs w:val="18"/>
              </w:rPr>
              <w:t>1至3</w:t>
            </w:r>
          </w:p>
        </w:tc>
        <w:tc>
          <w:tcPr>
            <w:tcW w:w="1638" w:type="dxa"/>
            <w:tcBorders>
              <w:right w:val="single" w:color="auto" w:sz="12" w:space="0"/>
            </w:tcBorders>
            <w:vAlign w:val="center"/>
          </w:tcPr>
          <w:p w14:paraId="27CBDD4C">
            <w:pPr>
              <w:spacing w:line="240" w:lineRule="exact"/>
              <w:ind w:firstLine="0" w:firstLineChars="0"/>
              <w:jc w:val="center"/>
              <w:rPr>
                <w:rFonts w:ascii="宋体" w:hAnsi="宋体"/>
                <w:kern w:val="44"/>
                <w:sz w:val="18"/>
                <w:szCs w:val="18"/>
              </w:rPr>
            </w:pPr>
            <w:r>
              <w:rPr>
                <w:rFonts w:hint="eastAsia" w:ascii="宋体" w:hAnsi="宋体"/>
                <w:kern w:val="44"/>
                <w:sz w:val="18"/>
                <w:szCs w:val="18"/>
              </w:rPr>
              <w:t>45</w:t>
            </w:r>
          </w:p>
        </w:tc>
      </w:tr>
      <w:tr w14:paraId="34732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158" w:type="dxa"/>
            <w:gridSpan w:val="2"/>
            <w:tcBorders>
              <w:left w:val="single" w:color="auto" w:sz="12" w:space="0"/>
            </w:tcBorders>
            <w:vAlign w:val="center"/>
          </w:tcPr>
          <w:p w14:paraId="14CD69F9">
            <w:pPr>
              <w:spacing w:line="240" w:lineRule="exact"/>
              <w:ind w:firstLine="0" w:firstLineChars="0"/>
              <w:jc w:val="center"/>
              <w:rPr>
                <w:rFonts w:ascii="宋体" w:hAnsi="宋体"/>
                <w:kern w:val="44"/>
                <w:sz w:val="18"/>
                <w:szCs w:val="18"/>
              </w:rPr>
            </w:pPr>
            <w:r>
              <w:rPr>
                <w:rFonts w:hint="eastAsia" w:ascii="宋体" w:hAnsi="宋体"/>
                <w:kern w:val="44"/>
                <w:sz w:val="18"/>
                <w:szCs w:val="18"/>
              </w:rPr>
              <w:t>剧      院</w:t>
            </w:r>
          </w:p>
        </w:tc>
        <w:tc>
          <w:tcPr>
            <w:tcW w:w="1704" w:type="dxa"/>
            <w:vAlign w:val="center"/>
          </w:tcPr>
          <w:p w14:paraId="74C88D73">
            <w:pPr>
              <w:spacing w:line="240" w:lineRule="exact"/>
              <w:ind w:firstLine="0" w:firstLineChars="0"/>
              <w:jc w:val="center"/>
              <w:rPr>
                <w:rFonts w:ascii="宋体" w:hAnsi="宋体"/>
                <w:kern w:val="44"/>
                <w:sz w:val="18"/>
                <w:szCs w:val="18"/>
              </w:rPr>
            </w:pPr>
            <w:r>
              <w:rPr>
                <w:rFonts w:hint="eastAsia" w:ascii="宋体" w:hAnsi="宋体"/>
                <w:kern w:val="44"/>
                <w:sz w:val="18"/>
                <w:szCs w:val="18"/>
              </w:rPr>
              <w:t>每100座位</w:t>
            </w:r>
          </w:p>
        </w:tc>
        <w:tc>
          <w:tcPr>
            <w:tcW w:w="1705" w:type="dxa"/>
            <w:vAlign w:val="center"/>
          </w:tcPr>
          <w:p w14:paraId="129A18F4">
            <w:pPr>
              <w:spacing w:line="240" w:lineRule="exact"/>
              <w:ind w:firstLine="0" w:firstLineChars="0"/>
              <w:jc w:val="center"/>
              <w:rPr>
                <w:rFonts w:ascii="宋体" w:hAnsi="宋体"/>
                <w:kern w:val="44"/>
                <w:sz w:val="18"/>
                <w:szCs w:val="18"/>
              </w:rPr>
            </w:pPr>
            <w:r>
              <w:rPr>
                <w:rFonts w:hint="eastAsia" w:ascii="宋体" w:hAnsi="宋体"/>
                <w:kern w:val="44"/>
                <w:sz w:val="18"/>
                <w:szCs w:val="18"/>
              </w:rPr>
              <w:t>3至10</w:t>
            </w:r>
          </w:p>
        </w:tc>
        <w:tc>
          <w:tcPr>
            <w:tcW w:w="1638" w:type="dxa"/>
            <w:tcBorders>
              <w:right w:val="single" w:color="auto" w:sz="12" w:space="0"/>
            </w:tcBorders>
            <w:vAlign w:val="center"/>
          </w:tcPr>
          <w:p w14:paraId="20C1C20F">
            <w:pPr>
              <w:spacing w:line="240" w:lineRule="exact"/>
              <w:ind w:firstLine="0" w:firstLineChars="0"/>
              <w:jc w:val="center"/>
              <w:rPr>
                <w:rFonts w:ascii="宋体" w:hAnsi="宋体"/>
                <w:kern w:val="44"/>
                <w:sz w:val="18"/>
                <w:szCs w:val="18"/>
              </w:rPr>
            </w:pPr>
            <w:r>
              <w:rPr>
                <w:rFonts w:hint="eastAsia" w:ascii="宋体" w:hAnsi="宋体"/>
                <w:kern w:val="44"/>
                <w:sz w:val="18"/>
                <w:szCs w:val="18"/>
              </w:rPr>
              <w:t>45</w:t>
            </w:r>
          </w:p>
        </w:tc>
      </w:tr>
      <w:tr w14:paraId="66ED1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54" w:type="dxa"/>
            <w:vMerge w:val="restart"/>
            <w:tcBorders>
              <w:left w:val="single" w:color="auto" w:sz="12" w:space="0"/>
            </w:tcBorders>
            <w:vAlign w:val="center"/>
          </w:tcPr>
          <w:p w14:paraId="6844ADF5">
            <w:pPr>
              <w:spacing w:line="240" w:lineRule="exact"/>
              <w:ind w:firstLine="0" w:firstLineChars="0"/>
              <w:jc w:val="center"/>
              <w:rPr>
                <w:rFonts w:ascii="宋体" w:hAnsi="宋体"/>
                <w:kern w:val="44"/>
                <w:sz w:val="18"/>
                <w:szCs w:val="18"/>
              </w:rPr>
            </w:pPr>
            <w:r>
              <w:rPr>
                <w:rFonts w:hint="eastAsia" w:ascii="宋体" w:hAnsi="宋体"/>
                <w:kern w:val="44"/>
                <w:sz w:val="18"/>
                <w:szCs w:val="18"/>
              </w:rPr>
              <w:t>体育场（馆）</w:t>
            </w:r>
          </w:p>
        </w:tc>
        <w:tc>
          <w:tcPr>
            <w:tcW w:w="1704" w:type="dxa"/>
            <w:vAlign w:val="center"/>
          </w:tcPr>
          <w:p w14:paraId="2B31603A">
            <w:pPr>
              <w:spacing w:line="240" w:lineRule="exact"/>
              <w:ind w:firstLine="0" w:firstLineChars="0"/>
              <w:jc w:val="center"/>
              <w:rPr>
                <w:rFonts w:ascii="宋体" w:hAnsi="宋体"/>
                <w:kern w:val="44"/>
                <w:sz w:val="18"/>
                <w:szCs w:val="18"/>
              </w:rPr>
            </w:pPr>
            <w:r>
              <w:rPr>
                <w:rFonts w:hint="eastAsia" w:ascii="宋体" w:hAnsi="宋体"/>
                <w:kern w:val="44"/>
                <w:sz w:val="18"/>
                <w:szCs w:val="18"/>
              </w:rPr>
              <w:t>一类</w:t>
            </w:r>
          </w:p>
        </w:tc>
        <w:tc>
          <w:tcPr>
            <w:tcW w:w="1704" w:type="dxa"/>
            <w:vAlign w:val="center"/>
          </w:tcPr>
          <w:p w14:paraId="1A64D369">
            <w:pPr>
              <w:spacing w:line="240" w:lineRule="exact"/>
              <w:ind w:firstLine="0" w:firstLineChars="0"/>
              <w:jc w:val="center"/>
              <w:rPr>
                <w:rFonts w:ascii="宋体" w:hAnsi="宋体"/>
                <w:kern w:val="44"/>
                <w:sz w:val="18"/>
                <w:szCs w:val="18"/>
              </w:rPr>
            </w:pPr>
            <w:r>
              <w:rPr>
                <w:rFonts w:hint="eastAsia" w:ascii="宋体" w:hAnsi="宋体"/>
                <w:kern w:val="44"/>
                <w:sz w:val="18"/>
                <w:szCs w:val="18"/>
              </w:rPr>
              <w:t>每100座位</w:t>
            </w:r>
          </w:p>
        </w:tc>
        <w:tc>
          <w:tcPr>
            <w:tcW w:w="1705" w:type="dxa"/>
            <w:vAlign w:val="center"/>
          </w:tcPr>
          <w:p w14:paraId="1012C853">
            <w:pPr>
              <w:spacing w:line="240" w:lineRule="exact"/>
              <w:ind w:firstLine="0" w:firstLineChars="0"/>
              <w:jc w:val="center"/>
              <w:rPr>
                <w:rFonts w:ascii="宋体" w:hAnsi="宋体"/>
                <w:kern w:val="44"/>
                <w:sz w:val="18"/>
                <w:szCs w:val="18"/>
              </w:rPr>
            </w:pPr>
            <w:r>
              <w:rPr>
                <w:rFonts w:hint="eastAsia" w:ascii="宋体" w:hAnsi="宋体"/>
                <w:kern w:val="44"/>
                <w:sz w:val="18"/>
                <w:szCs w:val="18"/>
              </w:rPr>
              <w:t>4</w:t>
            </w:r>
          </w:p>
        </w:tc>
        <w:tc>
          <w:tcPr>
            <w:tcW w:w="1638" w:type="dxa"/>
            <w:tcBorders>
              <w:right w:val="single" w:color="auto" w:sz="12" w:space="0"/>
            </w:tcBorders>
            <w:vAlign w:val="center"/>
          </w:tcPr>
          <w:p w14:paraId="3F3EB3B2">
            <w:pPr>
              <w:spacing w:line="240" w:lineRule="exact"/>
              <w:ind w:firstLine="0" w:firstLineChars="0"/>
              <w:jc w:val="center"/>
              <w:rPr>
                <w:rFonts w:ascii="宋体" w:hAnsi="宋体"/>
                <w:kern w:val="44"/>
                <w:sz w:val="18"/>
                <w:szCs w:val="18"/>
              </w:rPr>
            </w:pPr>
            <w:r>
              <w:rPr>
                <w:rFonts w:hint="eastAsia" w:ascii="宋体" w:hAnsi="宋体"/>
                <w:kern w:val="44"/>
                <w:sz w:val="18"/>
                <w:szCs w:val="18"/>
              </w:rPr>
              <w:t>45</w:t>
            </w:r>
          </w:p>
        </w:tc>
      </w:tr>
      <w:tr w14:paraId="5F7DE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54" w:type="dxa"/>
            <w:vMerge w:val="continue"/>
            <w:tcBorders>
              <w:left w:val="single" w:color="auto" w:sz="12" w:space="0"/>
              <w:bottom w:val="single" w:color="auto" w:sz="12" w:space="0"/>
            </w:tcBorders>
            <w:vAlign w:val="center"/>
          </w:tcPr>
          <w:p w14:paraId="0063D401">
            <w:pPr>
              <w:spacing w:line="240" w:lineRule="exact"/>
              <w:ind w:firstLine="0" w:firstLineChars="0"/>
              <w:jc w:val="center"/>
              <w:rPr>
                <w:rFonts w:ascii="宋体" w:hAnsi="宋体"/>
                <w:kern w:val="44"/>
                <w:sz w:val="18"/>
                <w:szCs w:val="18"/>
              </w:rPr>
            </w:pPr>
          </w:p>
        </w:tc>
        <w:tc>
          <w:tcPr>
            <w:tcW w:w="1704" w:type="dxa"/>
            <w:tcBorders>
              <w:bottom w:val="single" w:color="auto" w:sz="12" w:space="0"/>
            </w:tcBorders>
            <w:vAlign w:val="center"/>
          </w:tcPr>
          <w:p w14:paraId="73A12E05">
            <w:pPr>
              <w:spacing w:line="240" w:lineRule="exact"/>
              <w:ind w:firstLine="0" w:firstLineChars="0"/>
              <w:jc w:val="center"/>
              <w:rPr>
                <w:rFonts w:ascii="宋体" w:hAnsi="宋体"/>
                <w:kern w:val="44"/>
                <w:sz w:val="18"/>
                <w:szCs w:val="18"/>
              </w:rPr>
            </w:pPr>
            <w:r>
              <w:rPr>
                <w:rFonts w:hint="eastAsia" w:ascii="宋体" w:hAnsi="宋体"/>
                <w:kern w:val="44"/>
                <w:sz w:val="18"/>
                <w:szCs w:val="18"/>
              </w:rPr>
              <w:t>二类</w:t>
            </w:r>
          </w:p>
        </w:tc>
        <w:tc>
          <w:tcPr>
            <w:tcW w:w="1704" w:type="dxa"/>
            <w:tcBorders>
              <w:bottom w:val="single" w:color="auto" w:sz="12" w:space="0"/>
            </w:tcBorders>
            <w:vAlign w:val="center"/>
          </w:tcPr>
          <w:p w14:paraId="42C3CFB4">
            <w:pPr>
              <w:spacing w:line="240" w:lineRule="exact"/>
              <w:ind w:firstLine="0" w:firstLineChars="0"/>
              <w:jc w:val="center"/>
              <w:rPr>
                <w:rFonts w:ascii="宋体" w:hAnsi="宋体"/>
                <w:kern w:val="44"/>
                <w:sz w:val="18"/>
                <w:szCs w:val="18"/>
              </w:rPr>
            </w:pPr>
            <w:r>
              <w:rPr>
                <w:rFonts w:hint="eastAsia" w:ascii="宋体" w:hAnsi="宋体"/>
                <w:kern w:val="44"/>
                <w:sz w:val="18"/>
                <w:szCs w:val="18"/>
              </w:rPr>
              <w:t>同上</w:t>
            </w:r>
          </w:p>
        </w:tc>
        <w:tc>
          <w:tcPr>
            <w:tcW w:w="1705" w:type="dxa"/>
            <w:tcBorders>
              <w:bottom w:val="single" w:color="auto" w:sz="12" w:space="0"/>
            </w:tcBorders>
            <w:vAlign w:val="center"/>
          </w:tcPr>
          <w:p w14:paraId="646ED689">
            <w:pPr>
              <w:spacing w:line="240" w:lineRule="exact"/>
              <w:ind w:firstLine="0" w:firstLineChars="0"/>
              <w:jc w:val="center"/>
              <w:rPr>
                <w:rFonts w:ascii="宋体" w:hAnsi="宋体"/>
                <w:kern w:val="44"/>
                <w:sz w:val="18"/>
                <w:szCs w:val="18"/>
              </w:rPr>
            </w:pPr>
            <w:r>
              <w:rPr>
                <w:rFonts w:hint="eastAsia" w:ascii="宋体" w:hAnsi="宋体"/>
                <w:kern w:val="44"/>
                <w:sz w:val="18"/>
                <w:szCs w:val="18"/>
              </w:rPr>
              <w:t>1</w:t>
            </w:r>
          </w:p>
        </w:tc>
        <w:tc>
          <w:tcPr>
            <w:tcW w:w="1638" w:type="dxa"/>
            <w:tcBorders>
              <w:bottom w:val="single" w:color="auto" w:sz="12" w:space="0"/>
              <w:right w:val="single" w:color="auto" w:sz="12" w:space="0"/>
            </w:tcBorders>
            <w:vAlign w:val="center"/>
          </w:tcPr>
          <w:p w14:paraId="0F17AD56">
            <w:pPr>
              <w:spacing w:line="240" w:lineRule="exact"/>
              <w:ind w:firstLine="0" w:firstLineChars="0"/>
              <w:jc w:val="center"/>
              <w:rPr>
                <w:rFonts w:ascii="宋体" w:hAnsi="宋体"/>
                <w:kern w:val="44"/>
                <w:sz w:val="18"/>
                <w:szCs w:val="18"/>
              </w:rPr>
            </w:pPr>
            <w:r>
              <w:rPr>
                <w:rFonts w:hint="eastAsia" w:ascii="宋体" w:hAnsi="宋体"/>
                <w:kern w:val="44"/>
                <w:sz w:val="18"/>
                <w:szCs w:val="18"/>
              </w:rPr>
              <w:t>45</w:t>
            </w:r>
          </w:p>
        </w:tc>
      </w:tr>
    </w:tbl>
    <w:p w14:paraId="3E44268A">
      <w:pPr>
        <w:ind w:firstLine="0" w:firstLineChars="0"/>
        <w:jc w:val="left"/>
        <w:rPr>
          <w:rFonts w:ascii="宋体" w:hAnsi="宋体"/>
          <w:kern w:val="44"/>
        </w:rPr>
      </w:pPr>
      <w:r>
        <w:rPr>
          <w:rFonts w:hint="eastAsia" w:ascii="宋体" w:hAnsi="宋体"/>
          <w:kern w:val="44"/>
        </w:rPr>
        <w:t>注：1．旅馆中的一类指《旅游旅馆设计暂行标准》规定的一级旅游旅馆，二类指该标准规定的二、三级旅游旅馆，三类指该标准规定的四级旅游旅馆。</w:t>
      </w:r>
    </w:p>
    <w:p w14:paraId="2B4F5B07">
      <w:pPr>
        <w:jc w:val="left"/>
        <w:rPr>
          <w:rFonts w:ascii="宋体" w:hAnsi="宋体"/>
          <w:kern w:val="44"/>
        </w:rPr>
      </w:pPr>
      <w:r>
        <w:rPr>
          <w:rFonts w:hint="eastAsia" w:ascii="宋体" w:hAnsi="宋体"/>
          <w:kern w:val="44"/>
        </w:rPr>
        <w:t>2．饭庄中的一类指特级饭庄，二类指一级饭庄。</w:t>
      </w:r>
    </w:p>
    <w:p w14:paraId="54C111BB">
      <w:pPr>
        <w:jc w:val="left"/>
        <w:rPr>
          <w:rFonts w:ascii="宋体" w:hAnsi="宋体"/>
          <w:kern w:val="44"/>
        </w:rPr>
      </w:pPr>
      <w:r>
        <w:rPr>
          <w:rFonts w:hint="eastAsia" w:ascii="宋体" w:hAnsi="宋体"/>
          <w:kern w:val="44"/>
        </w:rPr>
        <w:t>3．商店中的一类指建筑面积10000平方米以上的商店，二类指建筑面积不足10000平方米的商店。</w:t>
      </w:r>
    </w:p>
    <w:p w14:paraId="284830D2">
      <w:pPr>
        <w:jc w:val="left"/>
        <w:rPr>
          <w:rFonts w:ascii="宋体" w:hAnsi="宋体"/>
          <w:kern w:val="44"/>
        </w:rPr>
      </w:pPr>
      <w:r>
        <w:rPr>
          <w:rFonts w:hint="eastAsia" w:ascii="宋体" w:hAnsi="宋体"/>
          <w:kern w:val="44"/>
        </w:rPr>
        <w:t>4．体育场（馆）中的一类指15000座位以上的体育场或3000座位以上的体育馆，二类指不足15000座位的体育场或不足3000座位的体育馆。</w:t>
      </w:r>
    </w:p>
    <w:p w14:paraId="308F1CB1">
      <w:pPr>
        <w:jc w:val="left"/>
        <w:rPr>
          <w:rFonts w:ascii="宋体" w:hAnsi="宋体"/>
          <w:kern w:val="44"/>
        </w:rPr>
      </w:pPr>
      <w:r>
        <w:rPr>
          <w:rFonts w:hint="eastAsia" w:ascii="宋体" w:hAnsi="宋体"/>
          <w:kern w:val="44"/>
        </w:rPr>
        <w:t xml:space="preserve">5．多功能的综合性大中型公共建筑，停车场车位按各单项标准总和的80％计算。外国人公寓和办公楼配套建设的，公寓可按每套住房0.5车位的标准计算。 </w:t>
      </w:r>
    </w:p>
    <w:p w14:paraId="4637AA18">
      <w:pPr>
        <w:pStyle w:val="4"/>
        <w:pageBreakBefore/>
        <w:rPr>
          <w:kern w:val="44"/>
        </w:rPr>
      </w:pPr>
      <w:bookmarkStart w:id="589" w:name="_Toc427651820"/>
      <w:bookmarkStart w:id="590" w:name="_Toc427651478"/>
      <w:bookmarkStart w:id="591" w:name="_Toc428781526"/>
      <w:bookmarkStart w:id="592" w:name="_Toc422471173"/>
      <w:bookmarkStart w:id="593" w:name="_Toc428780044"/>
      <w:r>
        <w:rPr>
          <w:rFonts w:hint="eastAsia"/>
          <w:kern w:val="44"/>
        </w:rPr>
        <w:t>北京市铁路专用线共用管理办法</w:t>
      </w:r>
      <w:bookmarkEnd w:id="589"/>
      <w:bookmarkEnd w:id="590"/>
      <w:bookmarkEnd w:id="591"/>
      <w:bookmarkEnd w:id="592"/>
      <w:bookmarkEnd w:id="593"/>
    </w:p>
    <w:p w14:paraId="3EAE456E">
      <w:pPr>
        <w:ind w:left="630" w:leftChars="300" w:right="630" w:rightChars="300"/>
        <w:jc w:val="left"/>
        <w:rPr>
          <w:rFonts w:ascii="楷体" w:hAnsi="楷体" w:eastAsia="楷体"/>
          <w:kern w:val="44"/>
        </w:rPr>
      </w:pPr>
      <w:r>
        <w:rPr>
          <w:rFonts w:hint="eastAsia" w:ascii="楷体" w:hAnsi="楷体" w:eastAsia="楷体"/>
          <w:kern w:val="44"/>
        </w:rPr>
        <w:t>（1992年3月26日北京市人民政府第5号令发布　根据1997年12月31日北京市人民政府第12号令第一次修改  根据2007年11月23日北京市人民政府第200号令第二次修改）</w:t>
      </w:r>
    </w:p>
    <w:p w14:paraId="076400F6">
      <w:pPr>
        <w:jc w:val="left"/>
        <w:rPr>
          <w:rFonts w:ascii="宋体" w:hAnsi="宋体"/>
          <w:kern w:val="44"/>
        </w:rPr>
      </w:pPr>
    </w:p>
    <w:p w14:paraId="198116C4">
      <w:pPr>
        <w:ind w:firstLine="422"/>
        <w:jc w:val="left"/>
        <w:rPr>
          <w:rFonts w:ascii="宋体" w:hAnsi="宋体"/>
          <w:kern w:val="44"/>
        </w:rPr>
      </w:pPr>
      <w:r>
        <w:rPr>
          <w:rFonts w:hint="eastAsia" w:ascii="宋体" w:hAnsi="宋体"/>
          <w:b/>
          <w:kern w:val="44"/>
        </w:rPr>
        <w:t>第一条</w:t>
      </w:r>
      <w:r>
        <w:rPr>
          <w:rFonts w:hint="eastAsia" w:ascii="宋体" w:hAnsi="宋体"/>
          <w:kern w:val="44"/>
        </w:rPr>
        <w:t>　为提高铁路专用线使用的社会经济效益，加强铁路专用线共用管理，制定本办法。</w:t>
      </w:r>
    </w:p>
    <w:p w14:paraId="11593900">
      <w:pPr>
        <w:ind w:firstLine="422"/>
        <w:jc w:val="left"/>
        <w:rPr>
          <w:rFonts w:ascii="宋体" w:hAnsi="宋体"/>
          <w:kern w:val="44"/>
        </w:rPr>
      </w:pPr>
      <w:r>
        <w:rPr>
          <w:rFonts w:hint="eastAsia" w:ascii="宋体" w:hAnsi="宋体"/>
          <w:b/>
          <w:kern w:val="44"/>
        </w:rPr>
        <w:t>第二条</w:t>
      </w:r>
      <w:r>
        <w:rPr>
          <w:rFonts w:hint="eastAsia" w:ascii="宋体" w:hAnsi="宋体"/>
          <w:kern w:val="44"/>
        </w:rPr>
        <w:t>　凡在本市行政区域内开办铁路专用线共用业务的，均依照本办法管理。</w:t>
      </w:r>
    </w:p>
    <w:p w14:paraId="2A6A857B">
      <w:pPr>
        <w:jc w:val="left"/>
        <w:rPr>
          <w:rFonts w:ascii="宋体" w:hAnsi="宋体"/>
          <w:kern w:val="44"/>
        </w:rPr>
      </w:pPr>
      <w:r>
        <w:rPr>
          <w:rFonts w:hint="eastAsia" w:ascii="宋体" w:hAnsi="宋体"/>
          <w:kern w:val="44"/>
        </w:rPr>
        <w:t>本办法所称铁路专用线（以下简称专用线）共用，是指专用线管理单位与铁路车站联合组织专用线有偿为社会提供货物运输服务。</w:t>
      </w:r>
    </w:p>
    <w:p w14:paraId="2A349A0C">
      <w:pPr>
        <w:ind w:firstLine="422"/>
        <w:jc w:val="left"/>
        <w:rPr>
          <w:rFonts w:ascii="宋体" w:hAnsi="宋体"/>
          <w:kern w:val="44"/>
        </w:rPr>
      </w:pPr>
      <w:r>
        <w:rPr>
          <w:rFonts w:hint="eastAsia" w:ascii="宋体" w:hAnsi="宋体"/>
          <w:b/>
          <w:kern w:val="44"/>
        </w:rPr>
        <w:t>第三条</w:t>
      </w:r>
      <w:r>
        <w:rPr>
          <w:rFonts w:hint="eastAsia" w:ascii="宋体" w:hAnsi="宋体"/>
          <w:kern w:val="44"/>
        </w:rPr>
        <w:t>　市运输管理部门负责本市专用线共用管理工作。</w:t>
      </w:r>
    </w:p>
    <w:p w14:paraId="2B46BF13">
      <w:pPr>
        <w:ind w:firstLine="422"/>
        <w:jc w:val="left"/>
        <w:rPr>
          <w:rFonts w:ascii="宋体" w:hAnsi="宋体"/>
          <w:kern w:val="44"/>
        </w:rPr>
      </w:pPr>
      <w:r>
        <w:rPr>
          <w:rFonts w:hint="eastAsia" w:ascii="宋体" w:hAnsi="宋体"/>
          <w:b/>
          <w:kern w:val="44"/>
        </w:rPr>
        <w:t>第四条</w:t>
      </w:r>
      <w:r>
        <w:rPr>
          <w:rFonts w:hint="eastAsia" w:ascii="宋体" w:hAnsi="宋体"/>
          <w:kern w:val="44"/>
        </w:rPr>
        <w:t>　开办专用线共用业务，必须具备下列条件：</w:t>
      </w:r>
    </w:p>
    <w:p w14:paraId="10D5ED33">
      <w:pPr>
        <w:jc w:val="left"/>
        <w:rPr>
          <w:rFonts w:ascii="宋体" w:hAnsi="宋体"/>
          <w:kern w:val="44"/>
        </w:rPr>
      </w:pPr>
      <w:r>
        <w:rPr>
          <w:rFonts w:hint="eastAsia" w:ascii="宋体" w:hAnsi="宋体"/>
          <w:kern w:val="44"/>
        </w:rPr>
        <w:t>（一）符合本市专用线共用发展规划布局；</w:t>
      </w:r>
    </w:p>
    <w:p w14:paraId="7275A9C8">
      <w:pPr>
        <w:jc w:val="left"/>
        <w:rPr>
          <w:rFonts w:ascii="宋体" w:hAnsi="宋体"/>
          <w:kern w:val="44"/>
        </w:rPr>
      </w:pPr>
      <w:r>
        <w:rPr>
          <w:rFonts w:hint="eastAsia" w:ascii="宋体" w:hAnsi="宋体"/>
          <w:kern w:val="44"/>
        </w:rPr>
        <w:t>（二）专用线所在铁路车站的货场装卸能力不足；</w:t>
      </w:r>
    </w:p>
    <w:p w14:paraId="25FE4F14">
      <w:pPr>
        <w:jc w:val="left"/>
        <w:rPr>
          <w:rFonts w:ascii="宋体" w:hAnsi="宋体"/>
          <w:kern w:val="44"/>
        </w:rPr>
      </w:pPr>
      <w:r>
        <w:rPr>
          <w:rFonts w:hint="eastAsia" w:ascii="宋体" w:hAnsi="宋体"/>
          <w:kern w:val="44"/>
        </w:rPr>
        <w:t>（三）专用线管理单位在完成本单位运输计划的前提下，有富余的运输和装卸能力；</w:t>
      </w:r>
    </w:p>
    <w:p w14:paraId="6BAE8EC2">
      <w:pPr>
        <w:jc w:val="left"/>
        <w:rPr>
          <w:rFonts w:ascii="宋体" w:hAnsi="宋体"/>
          <w:kern w:val="44"/>
        </w:rPr>
      </w:pPr>
      <w:r>
        <w:rPr>
          <w:rFonts w:hint="eastAsia" w:ascii="宋体" w:hAnsi="宋体"/>
          <w:kern w:val="44"/>
        </w:rPr>
        <w:t>（四）有与专用线共用业务相适应的站台、货位、场地、仓库、照明、消防及装卸机械等设施；</w:t>
      </w:r>
    </w:p>
    <w:p w14:paraId="2C9A1AAE">
      <w:pPr>
        <w:jc w:val="left"/>
        <w:rPr>
          <w:rFonts w:ascii="宋体" w:hAnsi="宋体"/>
          <w:kern w:val="44"/>
        </w:rPr>
      </w:pPr>
      <w:r>
        <w:rPr>
          <w:rFonts w:hint="eastAsia" w:ascii="宋体" w:hAnsi="宋体"/>
          <w:kern w:val="44"/>
        </w:rPr>
        <w:t>（五）有与专用线共用业务相适应的管理、技术人员。</w:t>
      </w:r>
    </w:p>
    <w:p w14:paraId="033497A5">
      <w:pPr>
        <w:ind w:firstLine="422"/>
        <w:jc w:val="left"/>
        <w:rPr>
          <w:rFonts w:ascii="宋体" w:hAnsi="宋体"/>
          <w:kern w:val="44"/>
        </w:rPr>
      </w:pPr>
      <w:r>
        <w:rPr>
          <w:rFonts w:hint="eastAsia" w:ascii="宋体" w:hAnsi="宋体"/>
          <w:b/>
          <w:kern w:val="44"/>
        </w:rPr>
        <w:t>第五条</w:t>
      </w:r>
      <w:r>
        <w:rPr>
          <w:rFonts w:hint="eastAsia" w:ascii="宋体" w:hAnsi="宋体"/>
          <w:kern w:val="44"/>
        </w:rPr>
        <w:t>　专用线共用的业务范围：</w:t>
      </w:r>
    </w:p>
    <w:p w14:paraId="5DE2C901">
      <w:pPr>
        <w:jc w:val="left"/>
        <w:rPr>
          <w:rFonts w:ascii="宋体" w:hAnsi="宋体"/>
          <w:kern w:val="44"/>
        </w:rPr>
      </w:pPr>
      <w:r>
        <w:rPr>
          <w:rFonts w:hint="eastAsia" w:ascii="宋体" w:hAnsi="宋体"/>
          <w:kern w:val="44"/>
        </w:rPr>
        <w:t>（一）办理整车货物的到达和发送；经铁路部门按审批权限批准，可以办理整车零担货物的发送。</w:t>
      </w:r>
    </w:p>
    <w:p w14:paraId="3F24D801">
      <w:pPr>
        <w:jc w:val="left"/>
        <w:rPr>
          <w:rFonts w:ascii="宋体" w:hAnsi="宋体"/>
          <w:kern w:val="44"/>
        </w:rPr>
      </w:pPr>
      <w:r>
        <w:rPr>
          <w:rFonts w:hint="eastAsia" w:ascii="宋体" w:hAnsi="宋体"/>
          <w:kern w:val="44"/>
        </w:rPr>
        <w:t>（二）装卸和保管（包括仓储）在专用线到达、发送或转运的货物。</w:t>
      </w:r>
    </w:p>
    <w:p w14:paraId="12079347">
      <w:pPr>
        <w:jc w:val="left"/>
        <w:rPr>
          <w:rFonts w:ascii="宋体" w:hAnsi="宋体"/>
          <w:kern w:val="44"/>
        </w:rPr>
      </w:pPr>
      <w:r>
        <w:rPr>
          <w:rFonts w:hint="eastAsia" w:ascii="宋体" w:hAnsi="宋体"/>
          <w:kern w:val="44"/>
        </w:rPr>
        <w:t>（三）代货主办理整车货物公路联运。</w:t>
      </w:r>
    </w:p>
    <w:p w14:paraId="22AB5E08">
      <w:pPr>
        <w:ind w:firstLine="422"/>
        <w:jc w:val="left"/>
        <w:rPr>
          <w:rFonts w:ascii="宋体" w:hAnsi="宋体"/>
          <w:kern w:val="44"/>
        </w:rPr>
      </w:pPr>
      <w:r>
        <w:rPr>
          <w:rFonts w:hint="eastAsia" w:ascii="宋体" w:hAnsi="宋体"/>
          <w:b/>
          <w:kern w:val="44"/>
        </w:rPr>
        <w:t>第六条</w:t>
      </w:r>
      <w:r>
        <w:rPr>
          <w:rFonts w:hint="eastAsia" w:ascii="宋体" w:hAnsi="宋体"/>
          <w:kern w:val="44"/>
        </w:rPr>
        <w:t>　开办专用线共用业务的程序：</w:t>
      </w:r>
    </w:p>
    <w:p w14:paraId="31D5B2F5">
      <w:pPr>
        <w:jc w:val="left"/>
        <w:rPr>
          <w:rFonts w:ascii="宋体" w:hAnsi="宋体"/>
          <w:kern w:val="44"/>
        </w:rPr>
      </w:pPr>
      <w:r>
        <w:rPr>
          <w:rFonts w:hint="eastAsia" w:ascii="宋体" w:hAnsi="宋体"/>
          <w:kern w:val="44"/>
        </w:rPr>
        <w:t>（一）专用线管理单位与专用线所在铁路车站签订开办专用线共用业务协议书，明确双方责任，并报经双方上级主管部门同意。</w:t>
      </w:r>
    </w:p>
    <w:p w14:paraId="6954CF4A">
      <w:pPr>
        <w:jc w:val="left"/>
        <w:rPr>
          <w:rFonts w:ascii="宋体" w:hAnsi="宋体"/>
          <w:kern w:val="44"/>
        </w:rPr>
      </w:pPr>
      <w:r>
        <w:rPr>
          <w:rFonts w:hint="eastAsia" w:ascii="宋体" w:hAnsi="宋体"/>
          <w:kern w:val="44"/>
        </w:rPr>
        <w:t>（二）专用线管理单位持共用协议书、开业申办文书等文件到所在地区县工商行政管理部门办理工商登记。</w:t>
      </w:r>
    </w:p>
    <w:p w14:paraId="74A7CF31">
      <w:pPr>
        <w:jc w:val="left"/>
        <w:rPr>
          <w:rFonts w:ascii="宋体" w:hAnsi="宋体"/>
          <w:kern w:val="44"/>
        </w:rPr>
      </w:pPr>
      <w:r>
        <w:rPr>
          <w:rFonts w:hint="eastAsia" w:ascii="宋体" w:hAnsi="宋体"/>
          <w:kern w:val="44"/>
        </w:rPr>
        <w:t>（三）专用线管理单位持共用协议书、工商营业执照等文件到市运输管理部门备案登记。</w:t>
      </w:r>
    </w:p>
    <w:p w14:paraId="0489EF25">
      <w:pPr>
        <w:ind w:firstLine="422"/>
        <w:jc w:val="left"/>
        <w:rPr>
          <w:rFonts w:ascii="宋体" w:hAnsi="宋体"/>
          <w:kern w:val="44"/>
        </w:rPr>
      </w:pPr>
      <w:r>
        <w:rPr>
          <w:rFonts w:hint="eastAsia" w:ascii="宋体" w:hAnsi="宋体"/>
          <w:b/>
          <w:kern w:val="44"/>
        </w:rPr>
        <w:t>第七条</w:t>
      </w:r>
      <w:r>
        <w:rPr>
          <w:rFonts w:hint="eastAsia" w:ascii="宋体" w:hAnsi="宋体"/>
          <w:kern w:val="44"/>
        </w:rPr>
        <w:t>　铁路车站在专用线共用业务中的责任：</w:t>
      </w:r>
    </w:p>
    <w:p w14:paraId="6C534337">
      <w:pPr>
        <w:jc w:val="left"/>
        <w:rPr>
          <w:rFonts w:ascii="宋体" w:hAnsi="宋体"/>
          <w:kern w:val="44"/>
        </w:rPr>
      </w:pPr>
      <w:r>
        <w:rPr>
          <w:rFonts w:hint="eastAsia" w:ascii="宋体" w:hAnsi="宋体"/>
          <w:kern w:val="44"/>
        </w:rPr>
        <w:t>（一）严格执行专用线共用运输计划，根据货主的申报及时向北京铁路分局提报月度装车计划，依照日计划，调配完好车辆。</w:t>
      </w:r>
    </w:p>
    <w:p w14:paraId="11705C0E">
      <w:pPr>
        <w:jc w:val="left"/>
        <w:rPr>
          <w:rFonts w:ascii="宋体" w:hAnsi="宋体"/>
          <w:kern w:val="44"/>
        </w:rPr>
      </w:pPr>
      <w:r>
        <w:rPr>
          <w:rFonts w:hint="eastAsia" w:ascii="宋体" w:hAnsi="宋体"/>
          <w:kern w:val="44"/>
        </w:rPr>
        <w:t>（二）在去专用线取、送车前，及时通知专用线管理单位，使其做好装卸车准备。</w:t>
      </w:r>
    </w:p>
    <w:p w14:paraId="6C9A44C7">
      <w:pPr>
        <w:jc w:val="left"/>
        <w:rPr>
          <w:rFonts w:ascii="宋体" w:hAnsi="宋体"/>
          <w:kern w:val="44"/>
        </w:rPr>
      </w:pPr>
      <w:r>
        <w:rPr>
          <w:rFonts w:hint="eastAsia" w:ascii="宋体" w:hAnsi="宋体"/>
          <w:kern w:val="44"/>
        </w:rPr>
        <w:t>（三）凡在专用线装卸的货物，车站与专用线管理单位须妥善办理交接工作，发现因铁路部门责任造成的货损货差，应按规定记录，进行及时处理。</w:t>
      </w:r>
    </w:p>
    <w:p w14:paraId="2EA67AD6">
      <w:pPr>
        <w:jc w:val="left"/>
        <w:rPr>
          <w:rFonts w:ascii="宋体" w:hAnsi="宋体"/>
          <w:kern w:val="44"/>
        </w:rPr>
      </w:pPr>
      <w:r>
        <w:rPr>
          <w:rFonts w:hint="eastAsia" w:ascii="宋体" w:hAnsi="宋体"/>
          <w:kern w:val="44"/>
        </w:rPr>
        <w:t>（四）根据铁路部门有关规定，对专用线管理单位有关工作人员经常进行关于铁路车辆使用、货物装载码放、运输限制及注意事项等宣传、教育和指导。</w:t>
      </w:r>
    </w:p>
    <w:p w14:paraId="4D917F06">
      <w:pPr>
        <w:ind w:firstLine="422"/>
        <w:jc w:val="left"/>
        <w:rPr>
          <w:rFonts w:ascii="宋体" w:hAnsi="宋体"/>
          <w:kern w:val="44"/>
        </w:rPr>
      </w:pPr>
      <w:r>
        <w:rPr>
          <w:rFonts w:hint="eastAsia" w:ascii="宋体" w:hAnsi="宋体"/>
          <w:b/>
          <w:kern w:val="44"/>
        </w:rPr>
        <w:t>第八条</w:t>
      </w:r>
      <w:r>
        <w:rPr>
          <w:rFonts w:hint="eastAsia" w:ascii="宋体" w:hAnsi="宋体"/>
          <w:kern w:val="44"/>
        </w:rPr>
        <w:t>　专用线管理单位在专用线共用中的责任：</w:t>
      </w:r>
    </w:p>
    <w:p w14:paraId="10BD3867">
      <w:pPr>
        <w:jc w:val="left"/>
        <w:rPr>
          <w:rFonts w:ascii="宋体" w:hAnsi="宋体"/>
          <w:kern w:val="44"/>
        </w:rPr>
      </w:pPr>
      <w:r>
        <w:rPr>
          <w:rFonts w:hint="eastAsia" w:ascii="宋体" w:hAnsi="宋体"/>
          <w:kern w:val="44"/>
        </w:rPr>
        <w:t>（一）按计划组织装车、卸车，并承担因装卸不当造成的货物损坏、丢失、短少或变质污染的赔偿责任。</w:t>
      </w:r>
    </w:p>
    <w:p w14:paraId="28DA78BC">
      <w:pPr>
        <w:jc w:val="left"/>
        <w:rPr>
          <w:rFonts w:ascii="宋体" w:hAnsi="宋体"/>
          <w:kern w:val="44"/>
        </w:rPr>
      </w:pPr>
      <w:r>
        <w:rPr>
          <w:rFonts w:hint="eastAsia" w:ascii="宋体" w:hAnsi="宋体"/>
          <w:kern w:val="44"/>
        </w:rPr>
        <w:t>（二）根据所在铁路车站的通知，及时检查专用线路安全状况，开放所经过线路的栏门，并做到牢靠坚固；夜间作业须及时开放照明设备。</w:t>
      </w:r>
    </w:p>
    <w:p w14:paraId="0A7F961B">
      <w:pPr>
        <w:jc w:val="left"/>
        <w:rPr>
          <w:rFonts w:ascii="宋体" w:hAnsi="宋体"/>
          <w:kern w:val="44"/>
        </w:rPr>
      </w:pPr>
      <w:r>
        <w:rPr>
          <w:rFonts w:hint="eastAsia" w:ascii="宋体" w:hAnsi="宋体"/>
          <w:kern w:val="44"/>
        </w:rPr>
        <w:t>（三）做好装车前的车辆检查，保证车站、车窗、车底完好；负责装车后加固、捆绑、施封等作业，并向铁路部门交接。</w:t>
      </w:r>
    </w:p>
    <w:p w14:paraId="72CEEE4F">
      <w:pPr>
        <w:jc w:val="left"/>
        <w:rPr>
          <w:rFonts w:ascii="宋体" w:hAnsi="宋体"/>
          <w:kern w:val="44"/>
        </w:rPr>
      </w:pPr>
      <w:r>
        <w:rPr>
          <w:rFonts w:hint="eastAsia" w:ascii="宋体" w:hAnsi="宋体"/>
          <w:kern w:val="44"/>
        </w:rPr>
        <w:t>（四）做好卸车前的车辆状况检查和卸车后向货主办理货物交接工作，并负责车底清扫及蓬布折叠回送工作。</w:t>
      </w:r>
    </w:p>
    <w:p w14:paraId="7875DD3D">
      <w:pPr>
        <w:jc w:val="left"/>
        <w:rPr>
          <w:rFonts w:ascii="宋体" w:hAnsi="宋体"/>
          <w:kern w:val="44"/>
        </w:rPr>
      </w:pPr>
      <w:r>
        <w:rPr>
          <w:rFonts w:hint="eastAsia" w:ascii="宋体" w:hAnsi="宋体"/>
          <w:kern w:val="44"/>
        </w:rPr>
        <w:t>（五）对装前卸后的货物要保管完好，并有严格的管理交接制度。</w:t>
      </w:r>
    </w:p>
    <w:p w14:paraId="7288FC64">
      <w:pPr>
        <w:ind w:firstLine="422"/>
        <w:jc w:val="left"/>
        <w:rPr>
          <w:rFonts w:ascii="宋体" w:hAnsi="宋体"/>
          <w:kern w:val="44"/>
        </w:rPr>
      </w:pPr>
      <w:r>
        <w:rPr>
          <w:rFonts w:hint="eastAsia" w:ascii="宋体" w:hAnsi="宋体"/>
          <w:b/>
          <w:kern w:val="44"/>
        </w:rPr>
        <w:t>第九条</w:t>
      </w:r>
      <w:r>
        <w:rPr>
          <w:rFonts w:hint="eastAsia" w:ascii="宋体" w:hAnsi="宋体"/>
          <w:kern w:val="44"/>
        </w:rPr>
        <w:t>　两个以上专用线管理单位与同一所在车站开办专用线共用业务的，应由所在车站站长、专用线管理单位负责人组成领导小组，并可设专用线共用办公室，具体办理专用线共用业务。</w:t>
      </w:r>
    </w:p>
    <w:p w14:paraId="347E862B">
      <w:pPr>
        <w:ind w:firstLine="422"/>
        <w:jc w:val="left"/>
        <w:rPr>
          <w:rFonts w:ascii="宋体" w:hAnsi="宋体"/>
          <w:kern w:val="44"/>
        </w:rPr>
      </w:pPr>
      <w:r>
        <w:rPr>
          <w:rFonts w:hint="eastAsia" w:ascii="宋体" w:hAnsi="宋体"/>
          <w:b/>
          <w:kern w:val="44"/>
        </w:rPr>
        <w:t>第十条</w:t>
      </w:r>
      <w:r>
        <w:rPr>
          <w:rFonts w:hint="eastAsia" w:ascii="宋体" w:hAnsi="宋体"/>
          <w:kern w:val="44"/>
        </w:rPr>
        <w:t>　专用线管理单位开办专用线专用业务，必须遵守下列规定：</w:t>
      </w:r>
    </w:p>
    <w:p w14:paraId="3D90EA7B">
      <w:pPr>
        <w:jc w:val="left"/>
        <w:rPr>
          <w:rFonts w:ascii="宋体" w:hAnsi="宋体"/>
          <w:kern w:val="44"/>
        </w:rPr>
      </w:pPr>
      <w:r>
        <w:rPr>
          <w:rFonts w:hint="eastAsia" w:ascii="宋体" w:hAnsi="宋体"/>
          <w:kern w:val="44"/>
        </w:rPr>
        <w:t>（一）不得超出专用线共用的业务范围。</w:t>
      </w:r>
    </w:p>
    <w:p w14:paraId="78BE18A5">
      <w:pPr>
        <w:jc w:val="left"/>
        <w:rPr>
          <w:rFonts w:ascii="宋体" w:hAnsi="宋体"/>
          <w:kern w:val="44"/>
        </w:rPr>
      </w:pPr>
      <w:r>
        <w:rPr>
          <w:rFonts w:hint="eastAsia" w:ascii="宋体" w:hAnsi="宋体"/>
          <w:kern w:val="44"/>
        </w:rPr>
        <w:t>（二）严格执行国家和本市统一规定的专用线共用收费项目和收费标准。</w:t>
      </w:r>
    </w:p>
    <w:p w14:paraId="1B1844D7">
      <w:pPr>
        <w:jc w:val="left"/>
        <w:rPr>
          <w:rFonts w:ascii="宋体" w:hAnsi="宋体"/>
          <w:kern w:val="44"/>
        </w:rPr>
      </w:pPr>
      <w:r>
        <w:rPr>
          <w:rFonts w:hint="eastAsia" w:ascii="宋体" w:hAnsi="宋体"/>
          <w:kern w:val="44"/>
        </w:rPr>
        <w:t>（三）使用税务部门规定的发票。</w:t>
      </w:r>
    </w:p>
    <w:p w14:paraId="0BA1F5F3">
      <w:pPr>
        <w:jc w:val="left"/>
        <w:rPr>
          <w:rFonts w:ascii="宋体" w:hAnsi="宋体"/>
          <w:kern w:val="44"/>
        </w:rPr>
      </w:pPr>
      <w:r>
        <w:rPr>
          <w:rFonts w:hint="eastAsia" w:ascii="宋体" w:hAnsi="宋体"/>
          <w:kern w:val="44"/>
        </w:rPr>
        <w:t>（四）严格遵守国家和本市有关货物运输的法规、规章，建立健全专用线共用的制度，保证服务质量，禁止野蛮装卸。</w:t>
      </w:r>
    </w:p>
    <w:p w14:paraId="5E2B62AD">
      <w:pPr>
        <w:ind w:firstLine="422"/>
        <w:jc w:val="left"/>
        <w:rPr>
          <w:rFonts w:ascii="宋体" w:hAnsi="宋体"/>
          <w:kern w:val="44"/>
        </w:rPr>
      </w:pPr>
      <w:r>
        <w:rPr>
          <w:rFonts w:hint="eastAsia" w:ascii="宋体" w:hAnsi="宋体"/>
          <w:b/>
          <w:kern w:val="44"/>
        </w:rPr>
        <w:t>第十一条</w:t>
      </w:r>
      <w:r>
        <w:rPr>
          <w:rFonts w:hint="eastAsia" w:ascii="宋体" w:hAnsi="宋体"/>
          <w:kern w:val="44"/>
        </w:rPr>
        <w:t>　专用线管理单位违反本办法的，按照下列规定处理：</w:t>
      </w:r>
    </w:p>
    <w:p w14:paraId="1270325B">
      <w:pPr>
        <w:jc w:val="left"/>
        <w:rPr>
          <w:rFonts w:ascii="宋体" w:hAnsi="宋体"/>
          <w:kern w:val="44"/>
        </w:rPr>
      </w:pPr>
      <w:r>
        <w:rPr>
          <w:rFonts w:hint="eastAsia" w:ascii="宋体" w:hAnsi="宋体"/>
          <w:kern w:val="44"/>
        </w:rPr>
        <w:t>（一）未经工商行政管理机关核准登记，擅自开办专用线共用业务的，由工商行政管理机关责令停办，没收其非法所得，并处2万元以下罚款。</w:t>
      </w:r>
    </w:p>
    <w:p w14:paraId="0355C50E">
      <w:pPr>
        <w:jc w:val="left"/>
        <w:rPr>
          <w:rFonts w:ascii="宋体" w:hAnsi="宋体"/>
          <w:kern w:val="44"/>
        </w:rPr>
      </w:pPr>
      <w:r>
        <w:rPr>
          <w:rFonts w:hint="eastAsia" w:ascii="宋体" w:hAnsi="宋体"/>
          <w:kern w:val="44"/>
        </w:rPr>
        <w:t>（二）超出专用线共用业务范围的，根据情节轻重，由工商行政管理机关给予警告、没收非法所得，并处2万元以下罚款。</w:t>
      </w:r>
    </w:p>
    <w:p w14:paraId="79375700">
      <w:pPr>
        <w:jc w:val="left"/>
        <w:rPr>
          <w:rFonts w:ascii="宋体" w:hAnsi="宋体"/>
          <w:kern w:val="44"/>
        </w:rPr>
      </w:pPr>
      <w:r>
        <w:rPr>
          <w:rFonts w:hint="eastAsia" w:ascii="宋体" w:hAnsi="宋体"/>
          <w:kern w:val="44"/>
        </w:rPr>
        <w:t>（三）擅自提高收费标准或巧立名目乱收费的，由物价管理机关依照有关规定处罚。</w:t>
      </w:r>
    </w:p>
    <w:p w14:paraId="459036BF">
      <w:pPr>
        <w:jc w:val="left"/>
        <w:rPr>
          <w:rFonts w:ascii="宋体" w:hAnsi="宋体"/>
          <w:kern w:val="44"/>
        </w:rPr>
      </w:pPr>
      <w:r>
        <w:rPr>
          <w:rFonts w:hint="eastAsia" w:ascii="宋体" w:hAnsi="宋体"/>
          <w:kern w:val="44"/>
        </w:rPr>
        <w:t>（四）不按规定使用发票的，由税务部门依照有关规定处罚。</w:t>
      </w:r>
    </w:p>
    <w:p w14:paraId="5404A3C4">
      <w:pPr>
        <w:jc w:val="left"/>
        <w:rPr>
          <w:rFonts w:ascii="宋体" w:hAnsi="宋体"/>
          <w:kern w:val="44"/>
        </w:rPr>
      </w:pPr>
      <w:r>
        <w:rPr>
          <w:rFonts w:hint="eastAsia" w:ascii="宋体" w:hAnsi="宋体"/>
          <w:kern w:val="44"/>
        </w:rPr>
        <w:t>（五）管理混乱、服务质量低劣、野蛮装卸，造成货物损毁的，由责任单位依法赔偿。</w:t>
      </w:r>
    </w:p>
    <w:p w14:paraId="54B8781E">
      <w:pPr>
        <w:ind w:firstLine="422"/>
        <w:jc w:val="left"/>
        <w:rPr>
          <w:rFonts w:ascii="宋体" w:hAnsi="宋体"/>
          <w:kern w:val="44"/>
        </w:rPr>
      </w:pPr>
      <w:r>
        <w:rPr>
          <w:rFonts w:hint="eastAsia" w:ascii="宋体" w:hAnsi="宋体"/>
          <w:b/>
          <w:kern w:val="44"/>
        </w:rPr>
        <w:t>第十二条</w:t>
      </w:r>
      <w:r>
        <w:rPr>
          <w:rFonts w:hint="eastAsia" w:ascii="宋体" w:hAnsi="宋体"/>
          <w:kern w:val="44"/>
        </w:rPr>
        <w:t>　本办法自1992年5月1日起施行。1986年5月21日市人民政府批准发布的《北京市铁路专用线专管共用试行办法》同时废止。</w:t>
      </w:r>
    </w:p>
    <w:p w14:paraId="4C073E36">
      <w:pPr>
        <w:pStyle w:val="4"/>
        <w:pageBreakBefore/>
        <w:rPr>
          <w:kern w:val="44"/>
        </w:rPr>
      </w:pPr>
      <w:bookmarkStart w:id="594" w:name="_Toc422471174"/>
      <w:bookmarkStart w:id="595" w:name="_Toc428780045"/>
      <w:bookmarkStart w:id="596" w:name="_Toc428781527"/>
      <w:bookmarkStart w:id="597" w:name="_Toc427651821"/>
      <w:bookmarkStart w:id="598" w:name="_Toc427651479"/>
      <w:r>
        <w:rPr>
          <w:rFonts w:hint="eastAsia"/>
          <w:kern w:val="44"/>
        </w:rPr>
        <w:t>北京市地下铁道列车</w:t>
      </w:r>
      <w:bookmarkEnd w:id="594"/>
      <w:bookmarkStart w:id="599" w:name="_Toc422471175"/>
      <w:r>
        <w:rPr>
          <w:rFonts w:hint="eastAsia"/>
          <w:kern w:val="44"/>
        </w:rPr>
        <w:t>车票使用办法</w:t>
      </w:r>
      <w:bookmarkEnd w:id="595"/>
      <w:bookmarkEnd w:id="596"/>
      <w:bookmarkEnd w:id="597"/>
      <w:bookmarkEnd w:id="598"/>
      <w:bookmarkEnd w:id="599"/>
    </w:p>
    <w:p w14:paraId="07B1F33F">
      <w:pPr>
        <w:ind w:left="630" w:leftChars="300" w:right="630" w:rightChars="300"/>
        <w:jc w:val="left"/>
        <w:rPr>
          <w:rFonts w:ascii="楷体" w:hAnsi="楷体" w:eastAsia="楷体"/>
          <w:kern w:val="44"/>
        </w:rPr>
      </w:pPr>
      <w:r>
        <w:rPr>
          <w:rFonts w:hint="eastAsia" w:ascii="楷体" w:hAnsi="楷体" w:eastAsia="楷体"/>
          <w:kern w:val="44"/>
        </w:rPr>
        <w:t>（1992年12月16日北京市人民政府批准  1993年3月1日北京市市政管理委员会发布  根据2006年5月30日北京市人民政府第172号令修改  2006年6月1日北京市交通委员会公布）</w:t>
      </w:r>
    </w:p>
    <w:p w14:paraId="5D55BF12">
      <w:pPr>
        <w:jc w:val="left"/>
        <w:rPr>
          <w:rFonts w:ascii="宋体" w:hAnsi="宋体"/>
          <w:kern w:val="44"/>
        </w:rPr>
      </w:pPr>
    </w:p>
    <w:p w14:paraId="0B516A74">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为加强本市地下铁道列车车票的使用管理，维护乘车秩序，根据国家和本市有关规定，制定本办法。</w:t>
      </w:r>
    </w:p>
    <w:p w14:paraId="03F71014">
      <w:pPr>
        <w:ind w:firstLine="422"/>
        <w:jc w:val="left"/>
        <w:rPr>
          <w:rFonts w:ascii="宋体" w:hAnsi="宋体"/>
          <w:kern w:val="44"/>
        </w:rPr>
      </w:pPr>
      <w:r>
        <w:rPr>
          <w:rFonts w:hint="eastAsia" w:ascii="宋体" w:hAnsi="宋体"/>
          <w:b/>
          <w:kern w:val="44"/>
        </w:rPr>
        <w:t>第二条</w:t>
      </w:r>
      <w:r>
        <w:rPr>
          <w:rFonts w:hint="eastAsia" w:ascii="宋体" w:hAnsi="宋体"/>
          <w:kern w:val="44"/>
        </w:rPr>
        <w:t>　乘坐地下铁道列车的乘客（以下简称乘客），须照章购票，接受验票，凭票乘车。禁止不购票或用废票、假票乘车。</w:t>
      </w:r>
    </w:p>
    <w:p w14:paraId="4BEB11A3">
      <w:pPr>
        <w:jc w:val="left"/>
        <w:rPr>
          <w:rFonts w:ascii="宋体" w:hAnsi="宋体"/>
          <w:kern w:val="44"/>
        </w:rPr>
      </w:pPr>
      <w:r>
        <w:rPr>
          <w:rFonts w:hint="eastAsia" w:ascii="宋体" w:hAnsi="宋体"/>
          <w:kern w:val="44"/>
        </w:rPr>
        <w:t>（一）普通单张票，在购票站当日乘车有效。</w:t>
      </w:r>
    </w:p>
    <w:p w14:paraId="18523C9E">
      <w:pPr>
        <w:jc w:val="left"/>
        <w:rPr>
          <w:rFonts w:ascii="宋体" w:hAnsi="宋体"/>
          <w:kern w:val="44"/>
        </w:rPr>
      </w:pPr>
      <w:r>
        <w:rPr>
          <w:rFonts w:hint="eastAsia" w:ascii="宋体" w:hAnsi="宋体"/>
          <w:kern w:val="44"/>
        </w:rPr>
        <w:t>（二）乘客带领一个身高不满l.2米的儿童乘车，儿童免票；带领两个以上身高不满1.2米的儿童乘车，一个儿童免票。</w:t>
      </w:r>
    </w:p>
    <w:p w14:paraId="61595CBD">
      <w:pPr>
        <w:jc w:val="left"/>
        <w:rPr>
          <w:rFonts w:ascii="宋体" w:hAnsi="宋体"/>
          <w:kern w:val="44"/>
        </w:rPr>
      </w:pPr>
      <w:r>
        <w:rPr>
          <w:rFonts w:hint="eastAsia" w:ascii="宋体" w:hAnsi="宋体"/>
          <w:kern w:val="44"/>
        </w:rPr>
        <w:t>（三）持有免费乘车证的伤残军人、盲人，可免费乘车。免费乘车证只限持证者本人使用，但一名盲人可有一名陪同人员免票。</w:t>
      </w:r>
    </w:p>
    <w:p w14:paraId="53755641">
      <w:pPr>
        <w:jc w:val="left"/>
        <w:rPr>
          <w:rFonts w:ascii="宋体" w:hAnsi="宋体"/>
          <w:kern w:val="44"/>
        </w:rPr>
      </w:pPr>
      <w:r>
        <w:rPr>
          <w:rFonts w:hint="eastAsia" w:ascii="宋体" w:hAnsi="宋体"/>
          <w:kern w:val="44"/>
        </w:rPr>
        <w:t>（四）乘客使用各站通用的本票乘车时，须由站务员验票和撕票。乘客自行从本票上撕下的车票，视为废票。</w:t>
      </w:r>
    </w:p>
    <w:p w14:paraId="49500EE1">
      <w:pPr>
        <w:jc w:val="left"/>
        <w:rPr>
          <w:rFonts w:ascii="宋体" w:hAnsi="宋体"/>
          <w:kern w:val="44"/>
        </w:rPr>
      </w:pPr>
      <w:r>
        <w:rPr>
          <w:rFonts w:hint="eastAsia" w:ascii="宋体" w:hAnsi="宋体"/>
          <w:kern w:val="44"/>
        </w:rPr>
        <w:t>（五）已使用过的车票为废票，不得再次使用。车票售出，不予退票。</w:t>
      </w:r>
    </w:p>
    <w:p w14:paraId="1C6F056A">
      <w:pPr>
        <w:ind w:firstLine="422"/>
        <w:jc w:val="left"/>
        <w:rPr>
          <w:rFonts w:ascii="宋体" w:hAnsi="宋体"/>
          <w:kern w:val="44"/>
        </w:rPr>
      </w:pPr>
      <w:r>
        <w:rPr>
          <w:rFonts w:hint="eastAsia" w:ascii="宋体" w:hAnsi="宋体"/>
          <w:b/>
          <w:kern w:val="44"/>
        </w:rPr>
        <w:t>第三条</w:t>
      </w:r>
      <w:r>
        <w:rPr>
          <w:rFonts w:hint="eastAsia" w:ascii="宋体" w:hAnsi="宋体"/>
          <w:kern w:val="44"/>
        </w:rPr>
        <w:t>　使用月票的乘客，须遵守下列规定：</w:t>
      </w:r>
    </w:p>
    <w:p w14:paraId="54983FA3">
      <w:pPr>
        <w:jc w:val="left"/>
        <w:rPr>
          <w:rFonts w:ascii="宋体" w:hAnsi="宋体"/>
          <w:kern w:val="44"/>
        </w:rPr>
      </w:pPr>
      <w:r>
        <w:rPr>
          <w:rFonts w:hint="eastAsia" w:ascii="宋体" w:hAnsi="宋体"/>
          <w:kern w:val="44"/>
        </w:rPr>
        <w:t>（一）月票限当月按照规定的次数使用。</w:t>
      </w:r>
    </w:p>
    <w:p w14:paraId="6B3C55DA">
      <w:pPr>
        <w:jc w:val="left"/>
        <w:rPr>
          <w:rFonts w:ascii="宋体" w:hAnsi="宋体"/>
          <w:kern w:val="44"/>
        </w:rPr>
      </w:pPr>
      <w:r>
        <w:rPr>
          <w:rFonts w:hint="eastAsia" w:ascii="宋体" w:hAnsi="宋体"/>
          <w:kern w:val="44"/>
        </w:rPr>
        <w:t>（二）购有月票但未随身携带的，乘车时应照章购票。</w:t>
      </w:r>
    </w:p>
    <w:p w14:paraId="436D73DD">
      <w:pPr>
        <w:jc w:val="left"/>
        <w:rPr>
          <w:rFonts w:ascii="宋体" w:hAnsi="宋体"/>
          <w:kern w:val="44"/>
        </w:rPr>
      </w:pPr>
      <w:r>
        <w:rPr>
          <w:rFonts w:hint="eastAsia" w:ascii="宋体" w:hAnsi="宋体"/>
          <w:kern w:val="44"/>
        </w:rPr>
        <w:t>（三）禁止使用过期的月票乘车，禁止冒用、涂改或伪造月票。</w:t>
      </w:r>
    </w:p>
    <w:p w14:paraId="3EFA24AF">
      <w:pPr>
        <w:ind w:firstLine="422"/>
        <w:jc w:val="left"/>
        <w:rPr>
          <w:rFonts w:ascii="宋体" w:hAnsi="宋体"/>
          <w:kern w:val="44"/>
        </w:rPr>
      </w:pPr>
      <w:r>
        <w:rPr>
          <w:rFonts w:hint="eastAsia" w:ascii="宋体" w:hAnsi="宋体"/>
          <w:b/>
          <w:kern w:val="44"/>
        </w:rPr>
        <w:t>第四条</w:t>
      </w:r>
      <w:r>
        <w:rPr>
          <w:rFonts w:hint="eastAsia" w:ascii="宋体" w:hAnsi="宋体"/>
          <w:kern w:val="44"/>
        </w:rPr>
        <w:t>　不按规定购票、用票的乘客，须按下列规定补交票款：</w:t>
      </w:r>
    </w:p>
    <w:p w14:paraId="12D125AF">
      <w:pPr>
        <w:jc w:val="left"/>
        <w:rPr>
          <w:rFonts w:ascii="宋体" w:hAnsi="宋体"/>
          <w:kern w:val="44"/>
        </w:rPr>
      </w:pPr>
      <w:r>
        <w:rPr>
          <w:rFonts w:hint="eastAsia" w:ascii="宋体" w:hAnsi="宋体"/>
          <w:kern w:val="44"/>
        </w:rPr>
        <w:t>（一）使用过期月票的，自票面标明月份次月第一日起至发现日止，每日按普通单张票票价4倍的金额补交票款，但补交票款的总额不超过300元。</w:t>
      </w:r>
    </w:p>
    <w:p w14:paraId="3027CABC">
      <w:pPr>
        <w:jc w:val="left"/>
        <w:rPr>
          <w:rFonts w:ascii="宋体" w:hAnsi="宋体"/>
          <w:kern w:val="44"/>
        </w:rPr>
      </w:pPr>
      <w:r>
        <w:rPr>
          <w:rFonts w:hint="eastAsia" w:ascii="宋体" w:hAnsi="宋体"/>
          <w:kern w:val="44"/>
        </w:rPr>
        <w:t>（二）冒用、涂改、伪造月票的，没收其月票，并补交票款100元。</w:t>
      </w:r>
    </w:p>
    <w:p w14:paraId="2F893EE9">
      <w:pPr>
        <w:jc w:val="left"/>
        <w:rPr>
          <w:rFonts w:ascii="宋体" w:hAnsi="宋体"/>
          <w:kern w:val="44"/>
        </w:rPr>
      </w:pPr>
      <w:r>
        <w:rPr>
          <w:rFonts w:hint="eastAsia" w:ascii="宋体" w:hAnsi="宋体"/>
          <w:kern w:val="44"/>
        </w:rPr>
        <w:t>（三）使用假票、废票的，或不接受验票，无票通过验票口的，按普通单张票票价的10倍的金额补交票款。</w:t>
      </w:r>
    </w:p>
    <w:p w14:paraId="549DABF1">
      <w:pPr>
        <w:jc w:val="left"/>
        <w:rPr>
          <w:rFonts w:ascii="宋体" w:hAnsi="宋体"/>
          <w:kern w:val="44"/>
        </w:rPr>
      </w:pPr>
      <w:r>
        <w:rPr>
          <w:rFonts w:hint="eastAsia" w:ascii="宋体" w:hAnsi="宋体"/>
          <w:kern w:val="44"/>
        </w:rPr>
        <w:t>乘客补交票款后，由站务员出具补票凭证。</w:t>
      </w:r>
    </w:p>
    <w:p w14:paraId="06EAAA81">
      <w:pPr>
        <w:ind w:firstLine="422"/>
        <w:jc w:val="left"/>
        <w:rPr>
          <w:rFonts w:ascii="宋体" w:hAnsi="宋体"/>
          <w:kern w:val="44"/>
        </w:rPr>
      </w:pPr>
      <w:r>
        <w:rPr>
          <w:rFonts w:hint="eastAsia" w:ascii="宋体" w:hAnsi="宋体"/>
          <w:b/>
          <w:kern w:val="44"/>
        </w:rPr>
        <w:t>第五条</w:t>
      </w:r>
      <w:r>
        <w:rPr>
          <w:rFonts w:hint="eastAsia" w:ascii="宋体" w:hAnsi="宋体"/>
          <w:kern w:val="44"/>
        </w:rPr>
        <w:t>　乘客不按规定购票、用票，且拒绝补票或验票，扰乱公共交通秩序的，移送公安机关依法处理。</w:t>
      </w:r>
    </w:p>
    <w:p w14:paraId="4CB0CC26">
      <w:pPr>
        <w:ind w:firstLine="422"/>
        <w:jc w:val="left"/>
        <w:rPr>
          <w:rFonts w:ascii="宋体" w:hAnsi="宋体"/>
          <w:kern w:val="44"/>
        </w:rPr>
      </w:pPr>
      <w:r>
        <w:rPr>
          <w:rFonts w:hint="eastAsia" w:ascii="宋体" w:hAnsi="宋体"/>
          <w:b/>
          <w:kern w:val="44"/>
        </w:rPr>
        <w:t>第六条</w:t>
      </w:r>
      <w:r>
        <w:rPr>
          <w:rFonts w:hint="eastAsia" w:ascii="宋体" w:hAnsi="宋体"/>
          <w:kern w:val="44"/>
        </w:rPr>
        <w:t>　本办法经市人民政府批准，自市市政管理委员会发布之日起施行。</w:t>
      </w:r>
    </w:p>
    <w:p w14:paraId="7706D2B0">
      <w:pPr>
        <w:pStyle w:val="4"/>
        <w:pageBreakBefore/>
        <w:rPr>
          <w:kern w:val="44"/>
        </w:rPr>
      </w:pPr>
      <w:bookmarkStart w:id="600" w:name="_Toc427651822"/>
      <w:bookmarkStart w:id="601" w:name="_Toc427651480"/>
      <w:bookmarkStart w:id="602" w:name="_Toc428780046"/>
      <w:bookmarkStart w:id="603" w:name="_Toc422471176"/>
      <w:bookmarkStart w:id="604" w:name="_Toc428781528"/>
      <w:r>
        <w:rPr>
          <w:rFonts w:hint="eastAsia"/>
          <w:kern w:val="44"/>
        </w:rPr>
        <w:t>北京市地下铁道通风亭管理规定</w:t>
      </w:r>
      <w:bookmarkEnd w:id="600"/>
      <w:bookmarkEnd w:id="601"/>
      <w:bookmarkEnd w:id="602"/>
      <w:bookmarkEnd w:id="603"/>
      <w:bookmarkEnd w:id="604"/>
    </w:p>
    <w:p w14:paraId="24059E62">
      <w:pPr>
        <w:ind w:left="630" w:leftChars="300" w:right="630" w:rightChars="300"/>
        <w:jc w:val="left"/>
        <w:rPr>
          <w:rFonts w:ascii="楷体" w:hAnsi="楷体" w:eastAsia="楷体"/>
          <w:kern w:val="44"/>
        </w:rPr>
      </w:pPr>
      <w:r>
        <w:rPr>
          <w:rFonts w:hint="eastAsia" w:ascii="楷体" w:hAnsi="楷体" w:eastAsia="楷体"/>
          <w:kern w:val="44"/>
        </w:rPr>
        <w:t>（1992年12月19日北京市人民政府批准  1993年3月1日北京市市政管理委员会发布）</w:t>
      </w:r>
    </w:p>
    <w:p w14:paraId="25EFA353">
      <w:pPr>
        <w:jc w:val="left"/>
        <w:rPr>
          <w:rFonts w:ascii="宋体" w:hAnsi="宋体"/>
          <w:kern w:val="44"/>
        </w:rPr>
      </w:pPr>
    </w:p>
    <w:p w14:paraId="608AF32A">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为加强本市地下铁道（以下简称地铁）通风亭的管理，保证地铁列车、车站和隧洞内的空气质量，保障地铁设备维修和安全应急工作的需要，根据国家有关法律、法规，制定本规定。</w:t>
      </w:r>
    </w:p>
    <w:p w14:paraId="548B9F24">
      <w:pPr>
        <w:ind w:firstLine="422"/>
        <w:jc w:val="left"/>
        <w:rPr>
          <w:rFonts w:ascii="宋体" w:hAnsi="宋体"/>
          <w:kern w:val="44"/>
        </w:rPr>
      </w:pPr>
      <w:r>
        <w:rPr>
          <w:rFonts w:hint="eastAsia" w:ascii="宋体" w:hAnsi="宋体"/>
          <w:b/>
          <w:kern w:val="44"/>
        </w:rPr>
        <w:t>第二条</w:t>
      </w:r>
      <w:r>
        <w:rPr>
          <w:rFonts w:hint="eastAsia" w:ascii="宋体" w:hAnsi="宋体"/>
          <w:kern w:val="44"/>
        </w:rPr>
        <w:t>　本规定适用于本市行政区域内的地铁通风亭的管理。</w:t>
      </w:r>
    </w:p>
    <w:p w14:paraId="58F29836">
      <w:pPr>
        <w:jc w:val="left"/>
        <w:rPr>
          <w:rFonts w:ascii="宋体" w:hAnsi="宋体"/>
          <w:kern w:val="44"/>
        </w:rPr>
      </w:pPr>
      <w:r>
        <w:rPr>
          <w:rFonts w:hint="eastAsia" w:ascii="宋体" w:hAnsi="宋体"/>
          <w:kern w:val="44"/>
        </w:rPr>
        <w:t>本规定所称地铁通风亭，是指地铁车站、隧道通风和用于地铁设备维修、安全应急、人防等工作而建于地上的建筑物。</w:t>
      </w:r>
    </w:p>
    <w:p w14:paraId="766392B2">
      <w:pPr>
        <w:ind w:firstLine="422"/>
        <w:jc w:val="left"/>
        <w:rPr>
          <w:rFonts w:ascii="宋体" w:hAnsi="宋体"/>
          <w:kern w:val="44"/>
        </w:rPr>
      </w:pPr>
      <w:r>
        <w:rPr>
          <w:rFonts w:hint="eastAsia" w:ascii="宋体" w:hAnsi="宋体"/>
          <w:b/>
          <w:kern w:val="44"/>
        </w:rPr>
        <w:t>第三条</w:t>
      </w:r>
      <w:r>
        <w:rPr>
          <w:rFonts w:hint="eastAsia" w:ascii="宋体" w:hAnsi="宋体"/>
          <w:kern w:val="44"/>
        </w:rPr>
        <w:t>　市市政管理委员会是本市地铁通风亭管理工作的主管机关，市地下铁道总公司（以下简称市地铁公司）具体负责地铁通风亭的管理、维护工作，市地下铁道公安分局（以下简称市地铁分局）负责执行本规定的监督、检查。</w:t>
      </w:r>
    </w:p>
    <w:p w14:paraId="426AA271">
      <w:pPr>
        <w:jc w:val="left"/>
        <w:rPr>
          <w:rFonts w:ascii="宋体" w:hAnsi="宋体"/>
          <w:kern w:val="44"/>
        </w:rPr>
      </w:pPr>
      <w:r>
        <w:rPr>
          <w:rFonts w:hint="eastAsia" w:ascii="宋体" w:hAnsi="宋体"/>
          <w:kern w:val="44"/>
        </w:rPr>
        <w:t>城市规划、工商行政、环境保护、环境卫生等管理机关按照各自的职责权限，对地铁通风亭进行监督管理。</w:t>
      </w:r>
    </w:p>
    <w:p w14:paraId="4DBEA70D">
      <w:pPr>
        <w:jc w:val="left"/>
        <w:rPr>
          <w:rFonts w:ascii="宋体" w:hAnsi="宋体"/>
          <w:kern w:val="44"/>
        </w:rPr>
      </w:pPr>
      <w:r>
        <w:rPr>
          <w:rFonts w:hint="eastAsia" w:ascii="宋体" w:hAnsi="宋体"/>
          <w:kern w:val="44"/>
        </w:rPr>
        <w:t>地铁沿线的区人民政府和街道办事处，应协助市地铁公司做好地铁通风亭的管理工作。</w:t>
      </w:r>
    </w:p>
    <w:p w14:paraId="73BFFA0A">
      <w:pPr>
        <w:ind w:firstLine="422"/>
        <w:jc w:val="left"/>
        <w:rPr>
          <w:rFonts w:ascii="宋体" w:hAnsi="宋体"/>
          <w:kern w:val="44"/>
        </w:rPr>
      </w:pPr>
      <w:r>
        <w:rPr>
          <w:rFonts w:hint="eastAsia" w:ascii="宋体" w:hAnsi="宋体"/>
          <w:b/>
          <w:kern w:val="44"/>
        </w:rPr>
        <w:t>第四条</w:t>
      </w:r>
      <w:r>
        <w:rPr>
          <w:rFonts w:hint="eastAsia" w:ascii="宋体" w:hAnsi="宋体"/>
          <w:kern w:val="44"/>
        </w:rPr>
        <w:t>　地铁通风亭周围100米为地铁通风亭保护范围。在保护范围内实行以下保护措施：</w:t>
      </w:r>
    </w:p>
    <w:p w14:paraId="3E449664">
      <w:pPr>
        <w:jc w:val="left"/>
        <w:rPr>
          <w:rFonts w:ascii="宋体" w:hAnsi="宋体"/>
          <w:kern w:val="44"/>
        </w:rPr>
      </w:pPr>
      <w:r>
        <w:rPr>
          <w:rFonts w:hint="eastAsia" w:ascii="宋体" w:hAnsi="宋体"/>
          <w:kern w:val="44"/>
        </w:rPr>
        <w:t>（一）地铁通风亭出口处连接道口的3.5米宽的通道上禁止堆放物品。</w:t>
      </w:r>
    </w:p>
    <w:p w14:paraId="27C28592">
      <w:pPr>
        <w:jc w:val="left"/>
        <w:rPr>
          <w:rFonts w:ascii="宋体" w:hAnsi="宋体"/>
          <w:kern w:val="44"/>
        </w:rPr>
      </w:pPr>
      <w:r>
        <w:rPr>
          <w:rFonts w:hint="eastAsia" w:ascii="宋体" w:hAnsi="宋体"/>
          <w:kern w:val="44"/>
        </w:rPr>
        <w:t>（二）地铁通风亭周围10米范围内，禁止搭建任何建筑物、构筑物或堆放物品。</w:t>
      </w:r>
    </w:p>
    <w:p w14:paraId="421E72D7">
      <w:pPr>
        <w:jc w:val="left"/>
        <w:rPr>
          <w:rFonts w:ascii="宋体" w:hAnsi="宋体"/>
          <w:kern w:val="44"/>
        </w:rPr>
      </w:pPr>
      <w:r>
        <w:rPr>
          <w:rFonts w:hint="eastAsia" w:ascii="宋体" w:hAnsi="宋体"/>
          <w:kern w:val="44"/>
        </w:rPr>
        <w:t>（三）地铁通风亭周围30米范围内，禁止设置垃圾收集站或三类以下（含三类）的厕所；禁止摆设使用明火的饮食摊点。</w:t>
      </w:r>
    </w:p>
    <w:p w14:paraId="5EFEF19C">
      <w:pPr>
        <w:jc w:val="left"/>
        <w:rPr>
          <w:rFonts w:ascii="宋体" w:hAnsi="宋体"/>
          <w:kern w:val="44"/>
        </w:rPr>
      </w:pPr>
      <w:r>
        <w:rPr>
          <w:rFonts w:hint="eastAsia" w:ascii="宋体" w:hAnsi="宋体"/>
          <w:kern w:val="44"/>
        </w:rPr>
        <w:t>（四）地铁通风亭周围100米范围内禁止排放有毒有害气体、恶臭气体以及超过污染物排放标准的烟尘、粉尘、污水、固体废弃物。</w:t>
      </w:r>
    </w:p>
    <w:p w14:paraId="1926D1D1">
      <w:pPr>
        <w:ind w:firstLine="422"/>
        <w:jc w:val="left"/>
        <w:rPr>
          <w:rFonts w:ascii="宋体" w:hAnsi="宋体"/>
          <w:kern w:val="44"/>
        </w:rPr>
      </w:pPr>
      <w:r>
        <w:rPr>
          <w:rFonts w:hint="eastAsia" w:ascii="宋体" w:hAnsi="宋体"/>
          <w:b/>
          <w:kern w:val="44"/>
        </w:rPr>
        <w:t>第五条</w:t>
      </w:r>
      <w:r>
        <w:rPr>
          <w:rFonts w:hint="eastAsia" w:ascii="宋体" w:hAnsi="宋体"/>
          <w:kern w:val="44"/>
        </w:rPr>
        <w:t>　严格保护地铁通风亭的整洁完好。禁止在通风亭上涂抹、刻划、乱贴乱挂或搭建路牌、霓虹灯、电子显示牌、灯箱等。</w:t>
      </w:r>
    </w:p>
    <w:p w14:paraId="7A331F9D">
      <w:pPr>
        <w:ind w:firstLine="422"/>
        <w:jc w:val="left"/>
        <w:rPr>
          <w:rFonts w:ascii="宋体" w:hAnsi="宋体"/>
          <w:kern w:val="44"/>
        </w:rPr>
      </w:pPr>
      <w:r>
        <w:rPr>
          <w:rFonts w:hint="eastAsia" w:ascii="宋体" w:hAnsi="宋体"/>
          <w:b/>
          <w:kern w:val="44"/>
        </w:rPr>
        <w:t>第六条</w:t>
      </w:r>
      <w:r>
        <w:rPr>
          <w:rFonts w:hint="eastAsia" w:ascii="宋体" w:hAnsi="宋体"/>
          <w:kern w:val="44"/>
        </w:rPr>
        <w:t>　违反本规定的行为，由市地铁分局制止，构成违反规划、工商行政管理、环境保护或环境卫生管理等行为的，由市地铁分局分别提请规划、工商行政管理、环境保护或环境卫生管理等机关按照有关规定处罚。市地铁公司发现违反本规定第五条的行为，有权通知违法行为者清除，也可直接予以清除。</w:t>
      </w:r>
    </w:p>
    <w:p w14:paraId="609D6D3F">
      <w:pPr>
        <w:ind w:firstLine="422"/>
        <w:jc w:val="left"/>
        <w:rPr>
          <w:rFonts w:ascii="宋体" w:hAnsi="宋体"/>
          <w:kern w:val="44"/>
        </w:rPr>
      </w:pPr>
      <w:r>
        <w:rPr>
          <w:rFonts w:hint="eastAsia" w:ascii="宋体" w:hAnsi="宋体"/>
          <w:b/>
          <w:kern w:val="44"/>
        </w:rPr>
        <w:t>第七条</w:t>
      </w:r>
      <w:r>
        <w:rPr>
          <w:rFonts w:hint="eastAsia" w:ascii="宋体" w:hAnsi="宋体"/>
          <w:kern w:val="44"/>
        </w:rPr>
        <w:t>　违反本规定，造成地铁通风亭及设备、设施损坏的，由责任单位或个人赔偿损失。</w:t>
      </w:r>
    </w:p>
    <w:p w14:paraId="5E9117AE">
      <w:pPr>
        <w:ind w:firstLine="422"/>
        <w:jc w:val="left"/>
        <w:rPr>
          <w:rFonts w:ascii="宋体" w:hAnsi="宋体"/>
          <w:kern w:val="44"/>
        </w:rPr>
      </w:pPr>
      <w:r>
        <w:rPr>
          <w:rFonts w:hint="eastAsia" w:ascii="宋体" w:hAnsi="宋体"/>
          <w:b/>
          <w:kern w:val="44"/>
        </w:rPr>
        <w:t>第八条</w:t>
      </w:r>
      <w:r>
        <w:rPr>
          <w:rFonts w:hint="eastAsia" w:ascii="宋体" w:hAnsi="宋体"/>
          <w:kern w:val="44"/>
        </w:rPr>
        <w:t>　本规定执行中的具体问题，由市市政管理委员会负责解释。</w:t>
      </w:r>
    </w:p>
    <w:p w14:paraId="3BC43297">
      <w:pPr>
        <w:ind w:firstLine="422"/>
        <w:jc w:val="left"/>
        <w:rPr>
          <w:rFonts w:ascii="宋体" w:hAnsi="宋体"/>
          <w:kern w:val="44"/>
        </w:rPr>
      </w:pPr>
      <w:r>
        <w:rPr>
          <w:rFonts w:hint="eastAsia" w:ascii="宋体" w:hAnsi="宋体"/>
          <w:b/>
          <w:kern w:val="44"/>
        </w:rPr>
        <w:t>第九条</w:t>
      </w:r>
      <w:r>
        <w:rPr>
          <w:rFonts w:hint="eastAsia" w:ascii="宋体" w:hAnsi="宋体"/>
          <w:kern w:val="44"/>
        </w:rPr>
        <w:t>　本规定经市人民政府批准，自市市政管理委员会发布之日起施行。</w:t>
      </w:r>
    </w:p>
    <w:p w14:paraId="0744FC6D">
      <w:pPr>
        <w:pStyle w:val="4"/>
        <w:pageBreakBefore/>
        <w:rPr>
          <w:kern w:val="44"/>
        </w:rPr>
      </w:pPr>
      <w:bookmarkStart w:id="605" w:name="_Toc427651481"/>
      <w:bookmarkStart w:id="606" w:name="_Toc422471177"/>
      <w:bookmarkStart w:id="607" w:name="_Toc428781529"/>
      <w:bookmarkStart w:id="608" w:name="_Toc428780047"/>
      <w:bookmarkStart w:id="609" w:name="_Toc427651823"/>
      <w:r>
        <w:rPr>
          <w:rFonts w:hint="eastAsia"/>
          <w:kern w:val="44"/>
        </w:rPr>
        <w:t>北京市人民政府关于禁止车辆</w:t>
      </w:r>
      <w:bookmarkEnd w:id="605"/>
      <w:bookmarkEnd w:id="606"/>
      <w:bookmarkEnd w:id="607"/>
      <w:bookmarkEnd w:id="608"/>
      <w:bookmarkEnd w:id="609"/>
    </w:p>
    <w:p w14:paraId="2323A20A">
      <w:pPr>
        <w:pStyle w:val="4"/>
        <w:rPr>
          <w:kern w:val="44"/>
        </w:rPr>
      </w:pPr>
      <w:bookmarkStart w:id="610" w:name="_Toc427651482"/>
      <w:bookmarkStart w:id="611" w:name="_Toc428780048"/>
      <w:bookmarkStart w:id="612" w:name="_Toc428781530"/>
      <w:bookmarkStart w:id="613" w:name="_Toc427651824"/>
      <w:bookmarkStart w:id="614" w:name="_Toc422471178"/>
      <w:r>
        <w:rPr>
          <w:rFonts w:hint="eastAsia"/>
          <w:kern w:val="44"/>
        </w:rPr>
        <w:t>运输泄漏遗撒的规定</w:t>
      </w:r>
      <w:bookmarkEnd w:id="610"/>
      <w:bookmarkEnd w:id="611"/>
      <w:bookmarkEnd w:id="612"/>
      <w:bookmarkEnd w:id="613"/>
      <w:bookmarkEnd w:id="614"/>
    </w:p>
    <w:p w14:paraId="454C04CD">
      <w:pPr>
        <w:ind w:left="630" w:leftChars="300" w:right="630" w:rightChars="300"/>
        <w:jc w:val="left"/>
        <w:rPr>
          <w:rFonts w:ascii="楷体" w:hAnsi="楷体" w:eastAsia="楷体"/>
          <w:kern w:val="44"/>
        </w:rPr>
      </w:pPr>
      <w:r>
        <w:rPr>
          <w:rFonts w:hint="eastAsia" w:ascii="楷体" w:hAnsi="楷体" w:eastAsia="楷体"/>
          <w:kern w:val="44"/>
        </w:rPr>
        <w:t>（1996年8月13日北京市人民政府第13号令公布  根据2002年11月18日北京市人民政府第116号令第一次修改  根据2007年11月23日北京市人民政府第200号令第二次修改  根据2010年11月27日北京市人民政府第226号令第三次修改 ）</w:t>
      </w:r>
    </w:p>
    <w:p w14:paraId="6D069038">
      <w:pPr>
        <w:jc w:val="left"/>
        <w:rPr>
          <w:rFonts w:ascii="宋体" w:hAnsi="宋体"/>
          <w:kern w:val="44"/>
        </w:rPr>
      </w:pPr>
    </w:p>
    <w:p w14:paraId="663C387F">
      <w:pPr>
        <w:ind w:firstLine="422"/>
        <w:jc w:val="left"/>
        <w:rPr>
          <w:rFonts w:ascii="宋体" w:hAnsi="宋体"/>
          <w:kern w:val="44"/>
        </w:rPr>
      </w:pPr>
      <w:r>
        <w:rPr>
          <w:rFonts w:hint="eastAsia" w:ascii="宋体" w:hAnsi="宋体"/>
          <w:b/>
          <w:kern w:val="44"/>
        </w:rPr>
        <w:t>第一条</w:t>
      </w:r>
      <w:r>
        <w:rPr>
          <w:rFonts w:hint="eastAsia" w:ascii="宋体" w:hAnsi="宋体"/>
          <w:kern w:val="44"/>
        </w:rPr>
        <w:t>　为了维护市容环境卫生，禁止车辆运输泄漏、遗撒，根据《北京市市容环境卫生条例》，制定本规定。</w:t>
      </w:r>
    </w:p>
    <w:p w14:paraId="471EBD3D">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在本市行政区域内的道路上运输垃圾、渣土、砂石、土方、灰浆等流体、散装货物的单位和个人，必须遵守本规定。</w:t>
      </w:r>
    </w:p>
    <w:p w14:paraId="19BB8F0D">
      <w:pPr>
        <w:ind w:firstLine="422"/>
        <w:jc w:val="left"/>
        <w:rPr>
          <w:rFonts w:ascii="宋体" w:hAnsi="宋体"/>
          <w:kern w:val="44"/>
        </w:rPr>
      </w:pPr>
      <w:r>
        <w:rPr>
          <w:rFonts w:hint="eastAsia" w:ascii="宋体" w:hAnsi="宋体"/>
          <w:b/>
          <w:kern w:val="44"/>
        </w:rPr>
        <w:t>第三条</w:t>
      </w:r>
      <w:r>
        <w:rPr>
          <w:rFonts w:hint="eastAsia" w:ascii="宋体" w:hAnsi="宋体"/>
          <w:kern w:val="44"/>
        </w:rPr>
        <w:t>　运输垃圾、渣土、砂石、土方、灰浆等流体、散装货物的单位和个人必须遵守下列规定：</w:t>
      </w:r>
    </w:p>
    <w:p w14:paraId="066A2418">
      <w:pPr>
        <w:jc w:val="left"/>
        <w:rPr>
          <w:rFonts w:ascii="宋体" w:hAnsi="宋体"/>
          <w:kern w:val="44"/>
        </w:rPr>
      </w:pPr>
      <w:r>
        <w:rPr>
          <w:rFonts w:hint="eastAsia" w:ascii="宋体" w:hAnsi="宋体"/>
          <w:kern w:val="44"/>
        </w:rPr>
        <w:t>（一）向市市政市容管理行政部门申请办理运输车辆准运证件。</w:t>
      </w:r>
    </w:p>
    <w:p w14:paraId="2998869A">
      <w:pPr>
        <w:jc w:val="left"/>
        <w:rPr>
          <w:rFonts w:ascii="宋体" w:hAnsi="宋体"/>
          <w:kern w:val="44"/>
        </w:rPr>
      </w:pPr>
      <w:r>
        <w:rPr>
          <w:rFonts w:hint="eastAsia" w:ascii="宋体" w:hAnsi="宋体"/>
          <w:kern w:val="44"/>
        </w:rPr>
        <w:t>（二）运输流体和散装货物时，必须使用有准运证件的运输车辆。</w:t>
      </w:r>
    </w:p>
    <w:p w14:paraId="733E3677">
      <w:pPr>
        <w:jc w:val="left"/>
        <w:rPr>
          <w:rFonts w:ascii="宋体" w:hAnsi="宋体"/>
          <w:kern w:val="44"/>
        </w:rPr>
      </w:pPr>
      <w:r>
        <w:rPr>
          <w:rFonts w:hint="eastAsia" w:ascii="宋体" w:hAnsi="宋体"/>
          <w:kern w:val="44"/>
        </w:rPr>
        <w:t>（三）设专人负责运输车辆的管理，制定运输车辆管理责任制度并组织实施，加强对驾驶人员的教育和管理。</w:t>
      </w:r>
    </w:p>
    <w:p w14:paraId="5D7B6E63">
      <w:pPr>
        <w:jc w:val="left"/>
        <w:rPr>
          <w:rFonts w:ascii="宋体" w:hAnsi="宋体"/>
          <w:kern w:val="44"/>
        </w:rPr>
      </w:pPr>
      <w:r>
        <w:rPr>
          <w:rFonts w:hint="eastAsia" w:ascii="宋体" w:hAnsi="宋体"/>
          <w:kern w:val="44"/>
        </w:rPr>
        <w:t>（四）建立运输车辆使用、维修、检查制度，加强对运输车辆的日常检查和维修，严禁使用不符合条件的车辆运输。</w:t>
      </w:r>
    </w:p>
    <w:p w14:paraId="4E5A28CB">
      <w:pPr>
        <w:jc w:val="left"/>
        <w:rPr>
          <w:rFonts w:ascii="宋体" w:hAnsi="宋体"/>
          <w:kern w:val="44"/>
        </w:rPr>
      </w:pPr>
      <w:r>
        <w:rPr>
          <w:rFonts w:hint="eastAsia" w:ascii="宋体" w:hAnsi="宋体"/>
          <w:kern w:val="44"/>
        </w:rPr>
        <w:t>（五）运输车辆不得超量装载。</w:t>
      </w:r>
    </w:p>
    <w:p w14:paraId="6D631336">
      <w:pPr>
        <w:jc w:val="left"/>
        <w:rPr>
          <w:rFonts w:ascii="宋体" w:hAnsi="宋体"/>
          <w:kern w:val="44"/>
        </w:rPr>
      </w:pPr>
      <w:r>
        <w:rPr>
          <w:rFonts w:hint="eastAsia" w:ascii="宋体" w:hAnsi="宋体"/>
          <w:kern w:val="44"/>
        </w:rPr>
        <w:t>（六）运输车辆驶出装载现场前，必须将车辆槽帮和车轮冲洗干净，不得车轮带泥行驶。</w:t>
      </w:r>
    </w:p>
    <w:p w14:paraId="421E25D3">
      <w:pPr>
        <w:jc w:val="left"/>
        <w:rPr>
          <w:rFonts w:ascii="宋体" w:hAnsi="宋体"/>
          <w:kern w:val="44"/>
        </w:rPr>
      </w:pPr>
      <w:r>
        <w:rPr>
          <w:rFonts w:hint="eastAsia" w:ascii="宋体" w:hAnsi="宋体"/>
          <w:kern w:val="44"/>
        </w:rPr>
        <w:t>（七）运输车辆必须按照市政市容管理行政部门依法批准的运输线路、时间、装卸地点运输和卸倒。</w:t>
      </w:r>
    </w:p>
    <w:p w14:paraId="07F7A7A9">
      <w:pPr>
        <w:jc w:val="left"/>
        <w:rPr>
          <w:rFonts w:ascii="宋体" w:hAnsi="宋体"/>
          <w:kern w:val="44"/>
        </w:rPr>
      </w:pPr>
      <w:r>
        <w:rPr>
          <w:rFonts w:hint="eastAsia" w:ascii="宋体" w:hAnsi="宋体"/>
          <w:kern w:val="44"/>
        </w:rPr>
        <w:t>（八）运输散装货物的车辆必须密封、包扎、覆盖，不得沿途泄漏、遗撒。</w:t>
      </w:r>
    </w:p>
    <w:p w14:paraId="44441AA0">
      <w:pPr>
        <w:jc w:val="left"/>
        <w:rPr>
          <w:rFonts w:ascii="宋体" w:hAnsi="宋体"/>
          <w:kern w:val="44"/>
        </w:rPr>
      </w:pPr>
      <w:r>
        <w:rPr>
          <w:rFonts w:hint="eastAsia" w:ascii="宋体" w:hAnsi="宋体"/>
          <w:kern w:val="44"/>
        </w:rPr>
        <w:t>（九）运输时发现自身有泄漏、遗撒的，必须及时清扫干净。</w:t>
      </w:r>
    </w:p>
    <w:p w14:paraId="3849ABF2">
      <w:pPr>
        <w:ind w:firstLine="422"/>
        <w:jc w:val="left"/>
        <w:rPr>
          <w:rFonts w:ascii="宋体" w:hAnsi="宋体"/>
          <w:kern w:val="44"/>
        </w:rPr>
      </w:pPr>
      <w:r>
        <w:rPr>
          <w:rFonts w:hint="eastAsia" w:ascii="宋体" w:hAnsi="宋体"/>
          <w:b/>
          <w:kern w:val="44"/>
        </w:rPr>
        <w:t>第四条</w:t>
      </w:r>
      <w:r>
        <w:rPr>
          <w:rFonts w:hint="eastAsia" w:ascii="宋体" w:hAnsi="宋体"/>
          <w:kern w:val="44"/>
        </w:rPr>
        <w:t>　运输车辆必须符合下列规定：</w:t>
      </w:r>
    </w:p>
    <w:p w14:paraId="0F3790FC">
      <w:pPr>
        <w:jc w:val="left"/>
        <w:rPr>
          <w:rFonts w:ascii="宋体" w:hAnsi="宋体"/>
          <w:kern w:val="44"/>
        </w:rPr>
      </w:pPr>
      <w:r>
        <w:rPr>
          <w:rFonts w:hint="eastAsia" w:ascii="宋体" w:hAnsi="宋体"/>
          <w:kern w:val="44"/>
        </w:rPr>
        <w:t>（一）有市政市容管理行政部门核发的准运证件。</w:t>
      </w:r>
    </w:p>
    <w:p w14:paraId="775FF59E">
      <w:pPr>
        <w:jc w:val="left"/>
        <w:rPr>
          <w:rFonts w:ascii="宋体" w:hAnsi="宋体"/>
          <w:kern w:val="44"/>
        </w:rPr>
      </w:pPr>
      <w:r>
        <w:rPr>
          <w:rFonts w:hint="eastAsia" w:ascii="宋体" w:hAnsi="宋体"/>
          <w:kern w:val="44"/>
        </w:rPr>
        <w:t>（二）符合本市环保要求。</w:t>
      </w:r>
    </w:p>
    <w:p w14:paraId="340B510E">
      <w:pPr>
        <w:jc w:val="left"/>
        <w:rPr>
          <w:rFonts w:ascii="宋体" w:hAnsi="宋体"/>
          <w:kern w:val="44"/>
        </w:rPr>
      </w:pPr>
      <w:r>
        <w:rPr>
          <w:rFonts w:hint="eastAsia" w:ascii="宋体" w:hAnsi="宋体"/>
          <w:kern w:val="44"/>
        </w:rPr>
        <w:t>（三）城镇地区内流体、散装货物应当实行密闭运输。</w:t>
      </w:r>
    </w:p>
    <w:p w14:paraId="22955FB2">
      <w:pPr>
        <w:jc w:val="left"/>
        <w:rPr>
          <w:rFonts w:ascii="宋体" w:hAnsi="宋体"/>
          <w:kern w:val="44"/>
        </w:rPr>
      </w:pPr>
      <w:r>
        <w:rPr>
          <w:rFonts w:hint="eastAsia" w:ascii="宋体" w:hAnsi="宋体"/>
          <w:kern w:val="44"/>
        </w:rPr>
        <w:t>（四）运输散装货物的车辆，四周槽帮牢固可靠，无破损，挡板严密。</w:t>
      </w:r>
    </w:p>
    <w:p w14:paraId="05073307">
      <w:pPr>
        <w:jc w:val="left"/>
        <w:rPr>
          <w:rFonts w:ascii="宋体" w:hAnsi="宋体"/>
          <w:kern w:val="44"/>
        </w:rPr>
      </w:pPr>
      <w:r>
        <w:rPr>
          <w:rFonts w:hint="eastAsia" w:ascii="宋体" w:hAnsi="宋体"/>
          <w:kern w:val="44"/>
        </w:rPr>
        <w:t>（五）运输渣土、砂石的车辆应当安装符合本市技术标准的运输装置，并保持密封完好。</w:t>
      </w:r>
    </w:p>
    <w:p w14:paraId="3C56C548">
      <w:pPr>
        <w:jc w:val="left"/>
        <w:rPr>
          <w:rFonts w:ascii="宋体" w:hAnsi="宋体"/>
          <w:kern w:val="44"/>
        </w:rPr>
      </w:pPr>
      <w:r>
        <w:rPr>
          <w:rFonts w:hint="eastAsia" w:ascii="宋体" w:hAnsi="宋体"/>
          <w:kern w:val="44"/>
        </w:rPr>
        <w:t>（六）运输流体货物的车辆，必须使用不渗漏的容器装载运输。</w:t>
      </w:r>
    </w:p>
    <w:p w14:paraId="5A0ECF67">
      <w:pPr>
        <w:ind w:firstLine="422"/>
        <w:jc w:val="left"/>
        <w:rPr>
          <w:rFonts w:ascii="宋体" w:hAnsi="宋体"/>
          <w:kern w:val="44"/>
        </w:rPr>
      </w:pPr>
      <w:r>
        <w:rPr>
          <w:rFonts w:hint="eastAsia" w:ascii="宋体" w:hAnsi="宋体"/>
          <w:b/>
          <w:kern w:val="44"/>
        </w:rPr>
        <w:t>第五条</w:t>
      </w:r>
      <w:r>
        <w:rPr>
          <w:rFonts w:hint="eastAsia" w:ascii="宋体" w:hAnsi="宋体"/>
          <w:kern w:val="44"/>
        </w:rPr>
        <w:t>　运输车辆的使用单位必须遵守下列规定：</w:t>
      </w:r>
    </w:p>
    <w:p w14:paraId="26FAC44A">
      <w:pPr>
        <w:jc w:val="left"/>
        <w:rPr>
          <w:rFonts w:ascii="宋体" w:hAnsi="宋体"/>
          <w:kern w:val="44"/>
        </w:rPr>
      </w:pPr>
      <w:r>
        <w:rPr>
          <w:rFonts w:hint="eastAsia" w:ascii="宋体" w:hAnsi="宋体"/>
          <w:kern w:val="44"/>
        </w:rPr>
        <w:t>（一）使用有准运证件的车辆从事流体和散装货物的运输。</w:t>
      </w:r>
    </w:p>
    <w:p w14:paraId="26426A2F">
      <w:pPr>
        <w:jc w:val="left"/>
        <w:rPr>
          <w:rFonts w:ascii="宋体" w:hAnsi="宋体"/>
          <w:kern w:val="44"/>
        </w:rPr>
      </w:pPr>
      <w:r>
        <w:rPr>
          <w:rFonts w:hint="eastAsia" w:ascii="宋体" w:hAnsi="宋体"/>
          <w:kern w:val="44"/>
        </w:rPr>
        <w:t>（二）与运输单位签订防止车辆运输泄漏、遗撒协议书，对运输单位和运输车辆进行督促检查。</w:t>
      </w:r>
    </w:p>
    <w:p w14:paraId="2F6CD9E8">
      <w:pPr>
        <w:jc w:val="left"/>
        <w:rPr>
          <w:rFonts w:ascii="宋体" w:hAnsi="宋体"/>
          <w:kern w:val="44"/>
        </w:rPr>
      </w:pPr>
      <w:r>
        <w:rPr>
          <w:rFonts w:hint="eastAsia" w:ascii="宋体" w:hAnsi="宋体"/>
          <w:kern w:val="44"/>
        </w:rPr>
        <w:t>（三）运输建筑施工材料、土方、渣土的，要在施工现场运输车辆出口处内侧，铺设长度不小于25米，宽度不小于出口处宽度的混凝土路面，并在出口处设置冲洗车轮的设备及相应的排水和泥浆沉淀设施。</w:t>
      </w:r>
    </w:p>
    <w:p w14:paraId="0F499F59">
      <w:pPr>
        <w:ind w:firstLine="422"/>
        <w:jc w:val="left"/>
        <w:rPr>
          <w:rFonts w:ascii="宋体" w:hAnsi="宋体"/>
          <w:kern w:val="44"/>
        </w:rPr>
      </w:pPr>
      <w:r>
        <w:rPr>
          <w:rFonts w:hint="eastAsia" w:ascii="宋体" w:hAnsi="宋体"/>
          <w:b/>
          <w:kern w:val="44"/>
        </w:rPr>
        <w:t>第六条</w:t>
      </w:r>
      <w:r>
        <w:rPr>
          <w:rFonts w:hint="eastAsia" w:ascii="宋体" w:hAnsi="宋体"/>
          <w:kern w:val="44"/>
        </w:rPr>
        <w:t>　禁止拖拉机、兽力车和农用运输车在规划市区、郊区的城镇地区以及其他禁止通行的地区从事垃圾、渣土、砂石、土方、灰浆等流体和散装货物的运输。</w:t>
      </w:r>
    </w:p>
    <w:p w14:paraId="1316715C">
      <w:pPr>
        <w:ind w:firstLine="422"/>
        <w:jc w:val="left"/>
        <w:rPr>
          <w:rFonts w:ascii="宋体" w:hAnsi="宋体"/>
          <w:kern w:val="44"/>
        </w:rPr>
      </w:pPr>
      <w:r>
        <w:rPr>
          <w:rFonts w:hint="eastAsia" w:ascii="宋体" w:hAnsi="宋体"/>
          <w:b/>
          <w:kern w:val="44"/>
        </w:rPr>
        <w:t>第七条</w:t>
      </w:r>
      <w:r>
        <w:rPr>
          <w:rFonts w:hint="eastAsia" w:ascii="宋体" w:hAnsi="宋体"/>
          <w:kern w:val="44"/>
        </w:rPr>
        <w:t>　对违反本规定的，由城市管理综合执法部门给予处罚：</w:t>
      </w:r>
    </w:p>
    <w:p w14:paraId="036302F3">
      <w:pPr>
        <w:jc w:val="left"/>
        <w:rPr>
          <w:rFonts w:ascii="宋体" w:hAnsi="宋体"/>
          <w:kern w:val="44"/>
        </w:rPr>
      </w:pPr>
      <w:r>
        <w:rPr>
          <w:rFonts w:hint="eastAsia" w:ascii="宋体" w:hAnsi="宋体"/>
          <w:kern w:val="44"/>
        </w:rPr>
        <w:t>（一）使用无准运证件或者不符合规定要求的运输车辆从事运输的，责令改正，并处500元以上3000元以下罚款。</w:t>
      </w:r>
    </w:p>
    <w:p w14:paraId="208C0BB3">
      <w:pPr>
        <w:jc w:val="left"/>
        <w:rPr>
          <w:rFonts w:ascii="宋体" w:hAnsi="宋体"/>
          <w:kern w:val="44"/>
        </w:rPr>
      </w:pPr>
      <w:r>
        <w:rPr>
          <w:rFonts w:hint="eastAsia" w:ascii="宋体" w:hAnsi="宋体"/>
          <w:kern w:val="44"/>
        </w:rPr>
        <w:t>（二）运输散装货物的车辆未密封、包扎、覆盖或者运输流体货物的车辆未使用不渗漏容器，泄漏、遗撒的，责令清除，并处5000元以上5万元以下罚款。</w:t>
      </w:r>
    </w:p>
    <w:p w14:paraId="4B59FA11">
      <w:pPr>
        <w:jc w:val="left"/>
        <w:rPr>
          <w:rFonts w:ascii="宋体" w:hAnsi="宋体"/>
          <w:kern w:val="44"/>
        </w:rPr>
      </w:pPr>
      <w:r>
        <w:rPr>
          <w:rFonts w:hint="eastAsia" w:ascii="宋体" w:hAnsi="宋体"/>
          <w:kern w:val="44"/>
        </w:rPr>
        <w:t>（三）运输渣土、砂石的车辆不符合本市技术标准，造成遗撒的，责令清除，并处5000元以上5万元以下罚款。</w:t>
      </w:r>
    </w:p>
    <w:p w14:paraId="11E83978">
      <w:pPr>
        <w:jc w:val="left"/>
        <w:rPr>
          <w:rFonts w:ascii="宋体" w:hAnsi="宋体"/>
          <w:kern w:val="44"/>
        </w:rPr>
      </w:pPr>
      <w:r>
        <w:rPr>
          <w:rFonts w:hint="eastAsia" w:ascii="宋体" w:hAnsi="宋体"/>
          <w:kern w:val="44"/>
        </w:rPr>
        <w:t>（四）运输车辆沿途泄漏、遗撒的，责令清除，并处5000元以上5万元以下罚款。</w:t>
      </w:r>
    </w:p>
    <w:p w14:paraId="6B396870">
      <w:pPr>
        <w:jc w:val="left"/>
        <w:rPr>
          <w:rFonts w:ascii="宋体" w:hAnsi="宋体"/>
          <w:kern w:val="44"/>
        </w:rPr>
      </w:pPr>
      <w:r>
        <w:rPr>
          <w:rFonts w:hint="eastAsia" w:ascii="宋体" w:hAnsi="宋体"/>
          <w:kern w:val="44"/>
        </w:rPr>
        <w:t>（五）运输车辆车轮带泥行驶的，责令改正，并处500元以上3000元以下罚款。</w:t>
      </w:r>
    </w:p>
    <w:p w14:paraId="5DC31C05">
      <w:pPr>
        <w:jc w:val="left"/>
        <w:rPr>
          <w:rFonts w:ascii="宋体" w:hAnsi="宋体"/>
          <w:kern w:val="44"/>
        </w:rPr>
      </w:pPr>
      <w:r>
        <w:rPr>
          <w:rFonts w:hint="eastAsia" w:ascii="宋体" w:hAnsi="宋体"/>
          <w:kern w:val="44"/>
        </w:rPr>
        <w:t>对于城市道路上泄漏、遗撒物，当事人拒不清除或者没有条件清除的，城市管理综合执法部门可以代为委托市容环境卫生专业作业企业代为清除，所需费用由当事人承担，对不支付费用的，可以依法申请人民法院执行。</w:t>
      </w:r>
    </w:p>
    <w:p w14:paraId="1C1A2E95">
      <w:pPr>
        <w:ind w:firstLine="422"/>
        <w:jc w:val="left"/>
        <w:rPr>
          <w:rFonts w:ascii="宋体" w:hAnsi="宋体"/>
          <w:kern w:val="44"/>
        </w:rPr>
      </w:pPr>
      <w:r>
        <w:rPr>
          <w:rFonts w:hint="eastAsia" w:ascii="宋体" w:hAnsi="宋体"/>
          <w:b/>
          <w:kern w:val="44"/>
        </w:rPr>
        <w:t>第八条</w:t>
      </w:r>
      <w:r>
        <w:rPr>
          <w:rFonts w:hint="eastAsia" w:ascii="宋体" w:hAnsi="宋体"/>
          <w:kern w:val="44"/>
        </w:rPr>
        <w:t>　公安交通管理部门应当配合城市管理综合执法部门对车辆运输泄漏、遗撒的查处。</w:t>
      </w:r>
    </w:p>
    <w:p w14:paraId="1FE11940">
      <w:pPr>
        <w:jc w:val="left"/>
        <w:rPr>
          <w:rFonts w:ascii="宋体" w:hAnsi="宋体"/>
          <w:kern w:val="44"/>
        </w:rPr>
      </w:pPr>
      <w:r>
        <w:rPr>
          <w:rFonts w:hint="eastAsia" w:ascii="宋体" w:hAnsi="宋体"/>
          <w:kern w:val="44"/>
        </w:rPr>
        <w:t>公安交通管理部门对运输车辆装载货物捆扎不牢固、封盖不严密，运输途中泄漏、遗撒的，以及拖拉机、兽力车和农用运输车在规划市区、郊区的城镇地区以及其他禁止通行的地区从事垃圾、渣土、砂石、土方、灰浆等流体和散装货物运输的，依法予以处罚。</w:t>
      </w:r>
    </w:p>
    <w:p w14:paraId="087A5A3C">
      <w:pPr>
        <w:ind w:firstLine="422"/>
        <w:jc w:val="left"/>
        <w:rPr>
          <w:rFonts w:ascii="宋体" w:hAnsi="宋体"/>
          <w:kern w:val="44"/>
        </w:rPr>
      </w:pPr>
      <w:r>
        <w:rPr>
          <w:rFonts w:hint="eastAsia" w:ascii="宋体" w:hAnsi="宋体"/>
          <w:b/>
          <w:kern w:val="44"/>
        </w:rPr>
        <w:t>第九条</w:t>
      </w:r>
      <w:r>
        <w:rPr>
          <w:rFonts w:hint="eastAsia" w:ascii="宋体" w:hAnsi="宋体"/>
          <w:kern w:val="44"/>
        </w:rPr>
        <w:t>　任何单位和个人对运输车辆泄漏、遗撒的行为有权举报。经查证属实的，有关部门应当给予举报单位和个人表扬和奖励。</w:t>
      </w:r>
    </w:p>
    <w:p w14:paraId="4D911881">
      <w:pPr>
        <w:ind w:firstLine="422"/>
        <w:jc w:val="left"/>
        <w:rPr>
          <w:rFonts w:ascii="宋体" w:hAnsi="宋体"/>
          <w:kern w:val="44"/>
        </w:rPr>
      </w:pPr>
      <w:r>
        <w:rPr>
          <w:rFonts w:hint="eastAsia" w:ascii="宋体" w:hAnsi="宋体"/>
          <w:b/>
          <w:kern w:val="44"/>
        </w:rPr>
        <w:t>第十条</w:t>
      </w:r>
      <w:r>
        <w:rPr>
          <w:rFonts w:hint="eastAsia" w:ascii="宋体" w:hAnsi="宋体"/>
          <w:kern w:val="44"/>
        </w:rPr>
        <w:t>　城市管理综合执法部门的工作人员应当认真履行职责，加强执法。对玩忽职守、滥用职权、徇私舞弊的，或者因执法不严而使其责任区内运输车辆泄漏、遗撒现象严重的，由其所在单位或者上级主管机关给予行政处分。</w:t>
      </w:r>
    </w:p>
    <w:p w14:paraId="0741C716">
      <w:pPr>
        <w:ind w:firstLine="422"/>
        <w:jc w:val="left"/>
        <w:rPr>
          <w:rFonts w:ascii="宋体" w:hAnsi="宋体"/>
          <w:kern w:val="44"/>
        </w:rPr>
      </w:pPr>
      <w:r>
        <w:rPr>
          <w:rFonts w:hint="eastAsia" w:ascii="宋体" w:hAnsi="宋体"/>
          <w:b/>
          <w:kern w:val="44"/>
        </w:rPr>
        <w:t>第十一条</w:t>
      </w:r>
      <w:r>
        <w:rPr>
          <w:rFonts w:hint="eastAsia" w:ascii="宋体" w:hAnsi="宋体"/>
          <w:kern w:val="44"/>
        </w:rPr>
        <w:t>　本规定自1996年9月1日起施行。</w:t>
      </w:r>
    </w:p>
    <w:p w14:paraId="07B22248">
      <w:pPr>
        <w:pStyle w:val="4"/>
        <w:pageBreakBefore/>
        <w:rPr>
          <w:kern w:val="44"/>
        </w:rPr>
      </w:pPr>
      <w:bookmarkStart w:id="615" w:name="_Toc422471179"/>
      <w:bookmarkStart w:id="616" w:name="_Toc427651825"/>
      <w:bookmarkStart w:id="617" w:name="_Toc428780049"/>
      <w:bookmarkStart w:id="618" w:name="_Toc428781531"/>
      <w:bookmarkStart w:id="619" w:name="_Toc427651483"/>
      <w:r>
        <w:rPr>
          <w:rFonts w:hint="eastAsia"/>
          <w:kern w:val="44"/>
        </w:rPr>
        <w:t>北京市公共汽车电车</w:t>
      </w:r>
      <w:bookmarkEnd w:id="615"/>
      <w:bookmarkStart w:id="620" w:name="_Toc422471180"/>
      <w:r>
        <w:rPr>
          <w:rFonts w:hint="eastAsia"/>
          <w:kern w:val="44"/>
        </w:rPr>
        <w:t>车票使用办法</w:t>
      </w:r>
      <w:bookmarkEnd w:id="616"/>
      <w:bookmarkEnd w:id="617"/>
      <w:bookmarkEnd w:id="618"/>
      <w:bookmarkEnd w:id="619"/>
      <w:bookmarkEnd w:id="620"/>
    </w:p>
    <w:p w14:paraId="1DDD0D70">
      <w:pPr>
        <w:ind w:left="630" w:leftChars="300" w:right="630" w:rightChars="300"/>
        <w:jc w:val="left"/>
        <w:rPr>
          <w:rFonts w:ascii="楷体" w:hAnsi="楷体" w:eastAsia="楷体"/>
          <w:kern w:val="44"/>
        </w:rPr>
      </w:pPr>
      <w:r>
        <w:rPr>
          <w:rFonts w:hint="eastAsia" w:ascii="楷体" w:hAnsi="楷体" w:eastAsia="楷体"/>
          <w:kern w:val="44"/>
        </w:rPr>
        <w:t>（1996年8月7日北京市人民政府批准  1996年8月20日北京市市政管理委员会发布  根据2006年5月30日市政府令第171号修改）</w:t>
      </w:r>
    </w:p>
    <w:p w14:paraId="743638E8">
      <w:pPr>
        <w:jc w:val="left"/>
        <w:rPr>
          <w:rFonts w:ascii="宋体" w:hAnsi="宋体"/>
          <w:kern w:val="44"/>
        </w:rPr>
      </w:pPr>
    </w:p>
    <w:p w14:paraId="6A247A10">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为加强本市公共汽车、电车车票的使用管理，维护乘车秩序，根据国家有关规定，制定本办法。</w:t>
      </w:r>
    </w:p>
    <w:p w14:paraId="4D2975C2">
      <w:pPr>
        <w:ind w:firstLine="422"/>
        <w:jc w:val="left"/>
        <w:rPr>
          <w:rFonts w:ascii="宋体" w:hAnsi="宋体"/>
          <w:kern w:val="44"/>
        </w:rPr>
      </w:pPr>
      <w:r>
        <w:rPr>
          <w:rFonts w:hint="eastAsia" w:ascii="宋体" w:hAnsi="宋体"/>
          <w:b/>
          <w:kern w:val="44"/>
        </w:rPr>
        <w:t>第二条</w:t>
      </w:r>
      <w:r>
        <w:rPr>
          <w:rFonts w:hint="eastAsia" w:ascii="宋体" w:hAnsi="宋体"/>
          <w:kern w:val="44"/>
        </w:rPr>
        <w:t>　本市公共汽车、电车的乘务员，应当对乘客主动售票，认真验票；对不照章购买和使用车票的乘客，按本办法处理。</w:t>
      </w:r>
    </w:p>
    <w:p w14:paraId="76AEE338">
      <w:pPr>
        <w:ind w:firstLine="422"/>
        <w:jc w:val="left"/>
        <w:rPr>
          <w:rFonts w:ascii="宋体" w:hAnsi="宋体"/>
          <w:kern w:val="44"/>
        </w:rPr>
      </w:pPr>
      <w:r>
        <w:rPr>
          <w:rFonts w:hint="eastAsia" w:ascii="宋体" w:hAnsi="宋体"/>
          <w:b/>
          <w:kern w:val="44"/>
        </w:rPr>
        <w:t>第三条</w:t>
      </w:r>
      <w:r>
        <w:rPr>
          <w:rFonts w:hint="eastAsia" w:ascii="宋体" w:hAnsi="宋体"/>
          <w:kern w:val="44"/>
        </w:rPr>
        <w:t>　乘坐本市公共汽车、电车的乘客，均须照章购买和使用车票，并接受乘务员验票。</w:t>
      </w:r>
    </w:p>
    <w:p w14:paraId="25E841AC">
      <w:pPr>
        <w:ind w:firstLine="422"/>
        <w:jc w:val="left"/>
        <w:rPr>
          <w:rFonts w:ascii="宋体" w:hAnsi="宋体"/>
          <w:kern w:val="44"/>
        </w:rPr>
      </w:pPr>
      <w:r>
        <w:rPr>
          <w:rFonts w:hint="eastAsia" w:ascii="宋体" w:hAnsi="宋体"/>
          <w:b/>
          <w:kern w:val="44"/>
        </w:rPr>
        <w:t>第四条</w:t>
      </w:r>
      <w:r>
        <w:rPr>
          <w:rFonts w:hint="eastAsia" w:ascii="宋体" w:hAnsi="宋体"/>
          <w:kern w:val="44"/>
        </w:rPr>
        <w:t>　乘客乘车必须按下列规定购买车票，凭票乘车：</w:t>
      </w:r>
    </w:p>
    <w:p w14:paraId="7AEBC454">
      <w:pPr>
        <w:jc w:val="left"/>
        <w:rPr>
          <w:rFonts w:ascii="宋体" w:hAnsi="宋体"/>
          <w:kern w:val="44"/>
        </w:rPr>
      </w:pPr>
      <w:r>
        <w:rPr>
          <w:rFonts w:hint="eastAsia" w:ascii="宋体" w:hAnsi="宋体"/>
          <w:kern w:val="44"/>
        </w:rPr>
        <w:t>（一）按所乘路程的票价购票。禁止不购票或者使用废票乘车，禁止超过票价有效路程乘车。</w:t>
      </w:r>
    </w:p>
    <w:p w14:paraId="12519E23">
      <w:pPr>
        <w:kinsoku w:val="0"/>
        <w:jc w:val="left"/>
        <w:rPr>
          <w:rFonts w:ascii="宋体" w:hAnsi="宋体"/>
          <w:kern w:val="44"/>
        </w:rPr>
      </w:pPr>
      <w:r>
        <w:rPr>
          <w:rFonts w:hint="eastAsia" w:ascii="宋体" w:hAnsi="宋体"/>
          <w:kern w:val="44"/>
        </w:rPr>
        <w:t>（二）乘客带领一个身高不满l.2米的儿童乘车，儿童免票；带领两个以上身高不满1.2米的儿童乘车，一个儿童免票。</w:t>
      </w:r>
    </w:p>
    <w:p w14:paraId="5847D337">
      <w:pPr>
        <w:jc w:val="left"/>
        <w:rPr>
          <w:rFonts w:ascii="宋体" w:hAnsi="宋体"/>
          <w:kern w:val="44"/>
        </w:rPr>
      </w:pPr>
      <w:r>
        <w:rPr>
          <w:rFonts w:hint="eastAsia" w:ascii="宋体" w:hAnsi="宋体"/>
          <w:kern w:val="44"/>
        </w:rPr>
        <w:t>（三）携带行李、物品超过一个座位面积的，应当加购一张车票。</w:t>
      </w:r>
    </w:p>
    <w:p w14:paraId="327B011A">
      <w:pPr>
        <w:jc w:val="left"/>
        <w:rPr>
          <w:rFonts w:ascii="宋体" w:hAnsi="宋体"/>
          <w:kern w:val="44"/>
        </w:rPr>
      </w:pPr>
      <w:r>
        <w:rPr>
          <w:rFonts w:hint="eastAsia" w:ascii="宋体" w:hAnsi="宋体"/>
          <w:kern w:val="44"/>
        </w:rPr>
        <w:t>（四）车票限当次乘车有效，因特殊情况，由乘务员安排换乘的，所购未过站车票有效。</w:t>
      </w:r>
    </w:p>
    <w:p w14:paraId="4F5D38DA">
      <w:pPr>
        <w:jc w:val="left"/>
        <w:rPr>
          <w:rFonts w:ascii="宋体" w:hAnsi="宋体"/>
          <w:kern w:val="44"/>
        </w:rPr>
      </w:pPr>
      <w:r>
        <w:rPr>
          <w:rFonts w:hint="eastAsia" w:ascii="宋体" w:hAnsi="宋体"/>
          <w:kern w:val="44"/>
        </w:rPr>
        <w:t>（五）车票售出，不予退票。</w:t>
      </w:r>
    </w:p>
    <w:p w14:paraId="58FB375B">
      <w:pPr>
        <w:ind w:firstLine="422"/>
        <w:jc w:val="left"/>
        <w:rPr>
          <w:rFonts w:ascii="宋体" w:hAnsi="宋体"/>
          <w:kern w:val="44"/>
        </w:rPr>
      </w:pPr>
      <w:r>
        <w:rPr>
          <w:rFonts w:hint="eastAsia" w:ascii="宋体" w:hAnsi="宋体"/>
          <w:b/>
          <w:kern w:val="44"/>
        </w:rPr>
        <w:t>第五条</w:t>
      </w:r>
      <w:r>
        <w:rPr>
          <w:rFonts w:hint="eastAsia" w:ascii="宋体" w:hAnsi="宋体"/>
          <w:kern w:val="44"/>
        </w:rPr>
        <w:t>　乘客乘车使用月票，必须遵守下列规定 :</w:t>
      </w:r>
    </w:p>
    <w:p w14:paraId="360E47DD">
      <w:pPr>
        <w:jc w:val="left"/>
        <w:rPr>
          <w:rFonts w:ascii="宋体" w:hAnsi="宋体"/>
          <w:kern w:val="44"/>
        </w:rPr>
      </w:pPr>
      <w:r>
        <w:rPr>
          <w:rFonts w:hint="eastAsia" w:ascii="宋体" w:hAnsi="宋体"/>
          <w:kern w:val="44"/>
        </w:rPr>
        <w:t>（一）月票限当月按照规定的次数使用。</w:t>
      </w:r>
    </w:p>
    <w:p w14:paraId="61A8F5E5">
      <w:pPr>
        <w:jc w:val="left"/>
        <w:rPr>
          <w:rFonts w:ascii="宋体" w:hAnsi="宋体"/>
          <w:kern w:val="44"/>
        </w:rPr>
      </w:pPr>
      <w:r>
        <w:rPr>
          <w:rFonts w:hint="eastAsia" w:ascii="宋体" w:hAnsi="宋体"/>
          <w:kern w:val="44"/>
        </w:rPr>
        <w:t>（二）严格按照月票的有效期限和种类使用月票，不持月票乘车的，照章购买车票。禁止使用过期月票和涂改、伪造的月票。</w:t>
      </w:r>
    </w:p>
    <w:p w14:paraId="20DAFBE2">
      <w:pPr>
        <w:ind w:firstLine="422"/>
        <w:jc w:val="left"/>
        <w:rPr>
          <w:rFonts w:ascii="宋体" w:hAnsi="宋体"/>
          <w:kern w:val="44"/>
        </w:rPr>
      </w:pPr>
      <w:r>
        <w:rPr>
          <w:rFonts w:hint="eastAsia" w:ascii="宋体" w:hAnsi="宋体"/>
          <w:b/>
          <w:kern w:val="44"/>
        </w:rPr>
        <w:t>第六条</w:t>
      </w:r>
      <w:r>
        <w:rPr>
          <w:rFonts w:hint="eastAsia" w:ascii="宋体" w:hAnsi="宋体"/>
          <w:kern w:val="44"/>
        </w:rPr>
        <w:t>　乘客下车前不购车票的，视为无票乘车。无票乘车或者不按本办法购票和使用月票的乘客，须按下列规定补交票款：</w:t>
      </w:r>
    </w:p>
    <w:p w14:paraId="122AD35A">
      <w:pPr>
        <w:jc w:val="left"/>
        <w:rPr>
          <w:rFonts w:ascii="宋体" w:hAnsi="宋体"/>
          <w:kern w:val="44"/>
        </w:rPr>
      </w:pPr>
      <w:r>
        <w:rPr>
          <w:rFonts w:hint="eastAsia" w:ascii="宋体" w:hAnsi="宋体"/>
          <w:kern w:val="44"/>
        </w:rPr>
        <w:t>（一）超过票价有效路程乘车的，按超过的路程票价补票。</w:t>
      </w:r>
    </w:p>
    <w:p w14:paraId="491B15F6">
      <w:pPr>
        <w:jc w:val="left"/>
        <w:rPr>
          <w:rFonts w:ascii="宋体" w:hAnsi="宋体"/>
          <w:kern w:val="44"/>
        </w:rPr>
      </w:pPr>
      <w:r>
        <w:rPr>
          <w:rFonts w:hint="eastAsia" w:ascii="宋体" w:hAnsi="宋体"/>
          <w:kern w:val="44"/>
        </w:rPr>
        <w:t>（二）不购票或者使用废票乘车的，市区线路补交票款5元，郊区线路补交票款10元。</w:t>
      </w:r>
    </w:p>
    <w:p w14:paraId="1D1322C3">
      <w:pPr>
        <w:jc w:val="left"/>
        <w:rPr>
          <w:rFonts w:ascii="宋体" w:hAnsi="宋体"/>
          <w:kern w:val="44"/>
        </w:rPr>
      </w:pPr>
      <w:r>
        <w:rPr>
          <w:rFonts w:hint="eastAsia" w:ascii="宋体" w:hAnsi="宋体"/>
          <w:kern w:val="44"/>
        </w:rPr>
        <w:t>（三）使用过期月票的，从票面月份的次月1日起至发现日止，每日补交票款2元，但补交票款的总额不超过300元。</w:t>
      </w:r>
    </w:p>
    <w:p w14:paraId="747163A5">
      <w:pPr>
        <w:jc w:val="left"/>
        <w:rPr>
          <w:rFonts w:ascii="宋体" w:hAnsi="宋体"/>
          <w:kern w:val="44"/>
        </w:rPr>
      </w:pPr>
      <w:r>
        <w:rPr>
          <w:rFonts w:hint="eastAsia" w:ascii="宋体" w:hAnsi="宋体"/>
          <w:kern w:val="44"/>
        </w:rPr>
        <w:t>（四）使用其他证件冒充月票以及冒用他人月票的，补交票款150元。</w:t>
      </w:r>
    </w:p>
    <w:p w14:paraId="4F1A2970">
      <w:pPr>
        <w:jc w:val="left"/>
        <w:rPr>
          <w:rFonts w:ascii="宋体" w:hAnsi="宋体"/>
          <w:kern w:val="44"/>
        </w:rPr>
      </w:pPr>
      <w:r>
        <w:rPr>
          <w:rFonts w:hint="eastAsia" w:ascii="宋体" w:hAnsi="宋体"/>
          <w:kern w:val="44"/>
        </w:rPr>
        <w:t>（五）使用涂改、伪造的月票的，补交票款300元。</w:t>
      </w:r>
    </w:p>
    <w:p w14:paraId="03ADCF7D">
      <w:pPr>
        <w:ind w:firstLine="422"/>
        <w:jc w:val="left"/>
        <w:rPr>
          <w:rFonts w:ascii="宋体" w:hAnsi="宋体"/>
          <w:kern w:val="44"/>
        </w:rPr>
      </w:pPr>
      <w:r>
        <w:rPr>
          <w:rFonts w:hint="eastAsia" w:ascii="宋体" w:hAnsi="宋体"/>
          <w:b/>
          <w:kern w:val="44"/>
        </w:rPr>
        <w:t>第七条</w:t>
      </w:r>
      <w:r>
        <w:rPr>
          <w:rFonts w:hint="eastAsia" w:ascii="宋体" w:hAnsi="宋体"/>
          <w:kern w:val="44"/>
        </w:rPr>
        <w:t>　不按规定购买车票或者使用月票的乘客补交票款后，乘务员须按所补票款额出具补票凭证。</w:t>
      </w:r>
    </w:p>
    <w:p w14:paraId="36BEAE2A">
      <w:pPr>
        <w:ind w:firstLine="422"/>
        <w:jc w:val="left"/>
        <w:rPr>
          <w:rFonts w:ascii="宋体" w:hAnsi="宋体"/>
          <w:kern w:val="44"/>
        </w:rPr>
      </w:pPr>
      <w:r>
        <w:rPr>
          <w:rFonts w:hint="eastAsia" w:ascii="宋体" w:hAnsi="宋体"/>
          <w:b/>
          <w:kern w:val="44"/>
        </w:rPr>
        <w:t>第八条</w:t>
      </w:r>
      <w:r>
        <w:rPr>
          <w:rFonts w:hint="eastAsia" w:ascii="宋体" w:hAnsi="宋体"/>
          <w:kern w:val="44"/>
        </w:rPr>
        <w:t>　不按规定购买车票或者使用月票的乘客，拒绝补票或者拒绝乘务员验票，扰乱公共交通秩序的，移送公安机关依法处理。</w:t>
      </w:r>
    </w:p>
    <w:p w14:paraId="7A45FA26">
      <w:pPr>
        <w:ind w:firstLine="422"/>
        <w:jc w:val="left"/>
        <w:rPr>
          <w:rFonts w:ascii="宋体" w:hAnsi="宋体"/>
          <w:kern w:val="44"/>
        </w:rPr>
      </w:pPr>
      <w:r>
        <w:rPr>
          <w:rFonts w:hint="eastAsia" w:ascii="宋体" w:hAnsi="宋体"/>
          <w:b/>
          <w:kern w:val="44"/>
        </w:rPr>
        <w:t>第九条</w:t>
      </w:r>
      <w:r>
        <w:rPr>
          <w:rFonts w:hint="eastAsia" w:ascii="宋体" w:hAnsi="宋体"/>
          <w:kern w:val="44"/>
        </w:rPr>
        <w:t>　本办法自发布之日起施行。市人民政府1990年12月26日批准，市公共交通总公司1991年1月1日公布的《北京市公共汽车、电车车票使用办法》同时废止。</w:t>
      </w:r>
    </w:p>
    <w:p w14:paraId="6ADD21C1">
      <w:pPr>
        <w:pStyle w:val="4"/>
        <w:pageBreakBefore/>
        <w:rPr>
          <w:kern w:val="44"/>
        </w:rPr>
      </w:pPr>
      <w:bookmarkStart w:id="621" w:name="_Toc428781532"/>
      <w:bookmarkStart w:id="622" w:name="_Toc427651826"/>
      <w:bookmarkStart w:id="623" w:name="_Toc428780050"/>
      <w:bookmarkStart w:id="624" w:name="_Toc427651484"/>
      <w:bookmarkStart w:id="625" w:name="_Toc422471181"/>
      <w:r>
        <w:rPr>
          <w:rFonts w:hint="eastAsia"/>
          <w:kern w:val="44"/>
        </w:rPr>
        <w:t>北京市非机动车停车管理办法</w:t>
      </w:r>
      <w:bookmarkEnd w:id="621"/>
      <w:bookmarkEnd w:id="622"/>
      <w:bookmarkEnd w:id="623"/>
      <w:bookmarkEnd w:id="624"/>
      <w:bookmarkEnd w:id="625"/>
    </w:p>
    <w:p w14:paraId="31B8FBD6">
      <w:pPr>
        <w:ind w:left="630" w:leftChars="300" w:right="630" w:rightChars="300"/>
        <w:jc w:val="left"/>
        <w:rPr>
          <w:rFonts w:ascii="楷体" w:hAnsi="楷体" w:eastAsia="楷体"/>
          <w:kern w:val="44"/>
        </w:rPr>
      </w:pPr>
      <w:r>
        <w:rPr>
          <w:rFonts w:hint="eastAsia" w:ascii="楷体" w:hAnsi="楷体" w:eastAsia="楷体"/>
          <w:kern w:val="44"/>
        </w:rPr>
        <w:t>（2002年6月7日北京市人民政府第96号令公布　根据2010年11月27日北京市人民政府第226号令修改）</w:t>
      </w:r>
    </w:p>
    <w:p w14:paraId="69A86B6E">
      <w:pPr>
        <w:jc w:val="left"/>
        <w:rPr>
          <w:rFonts w:ascii="宋体" w:hAnsi="宋体"/>
          <w:kern w:val="44"/>
        </w:rPr>
      </w:pPr>
    </w:p>
    <w:p w14:paraId="7625CB52">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为加强本市非机动车停车管理，保护非机动车所有人的合法权益，维护社会公共秩序，根据国家有关规定，结合本市实际情况，制定本办法。</w:t>
      </w:r>
    </w:p>
    <w:p w14:paraId="114F7281">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本办法适用于本市行政区域内自行车、人力三轮车等非机动车停车管理工作。</w:t>
      </w:r>
    </w:p>
    <w:p w14:paraId="4BD9FB04">
      <w:pPr>
        <w:jc w:val="left"/>
        <w:rPr>
          <w:rFonts w:ascii="宋体" w:hAnsi="宋体"/>
          <w:kern w:val="44"/>
        </w:rPr>
      </w:pPr>
      <w:r>
        <w:rPr>
          <w:rFonts w:hint="eastAsia" w:ascii="宋体" w:hAnsi="宋体"/>
          <w:kern w:val="44"/>
        </w:rPr>
        <w:t>残疾人专用车的停车管理也适用本办法。</w:t>
      </w:r>
    </w:p>
    <w:p w14:paraId="7C94923F">
      <w:pPr>
        <w:ind w:firstLine="422"/>
        <w:jc w:val="left"/>
        <w:rPr>
          <w:rFonts w:ascii="宋体" w:hAnsi="宋体"/>
          <w:kern w:val="44"/>
        </w:rPr>
      </w:pPr>
      <w:r>
        <w:rPr>
          <w:rFonts w:hint="eastAsia" w:ascii="宋体" w:hAnsi="宋体"/>
          <w:b/>
          <w:kern w:val="44"/>
        </w:rPr>
        <w:t>第三条</w:t>
      </w:r>
      <w:r>
        <w:rPr>
          <w:rFonts w:hint="eastAsia" w:ascii="宋体" w:hAnsi="宋体"/>
          <w:kern w:val="44"/>
        </w:rPr>
        <w:t>　市市政管理部门负责本市非机动车公共停车场建设、经营的管理工作。</w:t>
      </w:r>
    </w:p>
    <w:p w14:paraId="2721DBAC">
      <w:pPr>
        <w:jc w:val="left"/>
        <w:rPr>
          <w:rFonts w:ascii="宋体" w:hAnsi="宋体"/>
          <w:kern w:val="44"/>
        </w:rPr>
      </w:pPr>
      <w:r>
        <w:rPr>
          <w:rFonts w:hint="eastAsia" w:ascii="宋体" w:hAnsi="宋体"/>
          <w:kern w:val="44"/>
        </w:rPr>
        <w:t>规划、国土房管、公安交通、物价、质量技术监督等行政管理部门，应当按照各自职责，做好非机动车停车管理的有关工作。</w:t>
      </w:r>
    </w:p>
    <w:p w14:paraId="5A43DF7D">
      <w:pPr>
        <w:ind w:firstLine="422"/>
        <w:jc w:val="left"/>
        <w:rPr>
          <w:rFonts w:ascii="宋体" w:hAnsi="宋体"/>
          <w:kern w:val="44"/>
        </w:rPr>
      </w:pPr>
      <w:r>
        <w:rPr>
          <w:rFonts w:hint="eastAsia" w:ascii="宋体" w:hAnsi="宋体"/>
          <w:b/>
          <w:kern w:val="44"/>
        </w:rPr>
        <w:t>第四条</w:t>
      </w:r>
      <w:r>
        <w:rPr>
          <w:rFonts w:hint="eastAsia" w:ascii="宋体" w:hAnsi="宋体"/>
          <w:kern w:val="44"/>
        </w:rPr>
        <w:t>　根据城市总体规划和城市建设发展的需要，市规划行政主管部门会同市市政管理、市公安交通管理等部门组织编制非机动车公共停车场专业规划，经市人民政府批准后实施。</w:t>
      </w:r>
    </w:p>
    <w:p w14:paraId="11BDED01">
      <w:pPr>
        <w:ind w:firstLine="422"/>
        <w:jc w:val="left"/>
        <w:rPr>
          <w:rFonts w:ascii="宋体" w:hAnsi="宋体"/>
          <w:kern w:val="44"/>
        </w:rPr>
      </w:pPr>
      <w:r>
        <w:rPr>
          <w:rFonts w:hint="eastAsia" w:ascii="宋体" w:hAnsi="宋体"/>
          <w:b/>
          <w:kern w:val="44"/>
        </w:rPr>
        <w:t>第五条</w:t>
      </w:r>
      <w:r>
        <w:rPr>
          <w:rFonts w:hint="eastAsia" w:ascii="宋体" w:hAnsi="宋体"/>
          <w:kern w:val="44"/>
        </w:rPr>
        <w:t>　车站、医院、商场、展览馆、影剧院、体育场馆和其他大中型公共建筑的非机动车公共停车场的规划和建设，应当按照国家和本市有关规定执行，并落实专人管理或者委托存车服务机构管理。</w:t>
      </w:r>
    </w:p>
    <w:p w14:paraId="6115E3A4">
      <w:pPr>
        <w:ind w:firstLine="422"/>
        <w:jc w:val="left"/>
        <w:rPr>
          <w:rFonts w:ascii="宋体" w:hAnsi="宋体"/>
          <w:kern w:val="44"/>
        </w:rPr>
      </w:pPr>
      <w:r>
        <w:rPr>
          <w:rFonts w:hint="eastAsia" w:ascii="宋体" w:hAnsi="宋体"/>
          <w:b/>
          <w:kern w:val="44"/>
        </w:rPr>
        <w:t>第六条</w:t>
      </w:r>
      <w:r>
        <w:rPr>
          <w:rFonts w:hint="eastAsia" w:ascii="宋体" w:hAnsi="宋体"/>
          <w:kern w:val="44"/>
        </w:rPr>
        <w:t>　居民住宅区应当设置非机动车公共停车场，委托物业管理单位实施管理；未实行物业管理的居民住宅区，由居民委员会组织实施管理，相关单位应当予以协助。</w:t>
      </w:r>
    </w:p>
    <w:p w14:paraId="0F5F6A2C">
      <w:pPr>
        <w:ind w:firstLine="422"/>
        <w:jc w:val="left"/>
        <w:rPr>
          <w:rFonts w:ascii="宋体" w:hAnsi="宋体"/>
          <w:kern w:val="44"/>
        </w:rPr>
      </w:pPr>
      <w:r>
        <w:rPr>
          <w:rFonts w:hint="eastAsia" w:ascii="宋体" w:hAnsi="宋体"/>
          <w:b/>
          <w:kern w:val="44"/>
        </w:rPr>
        <w:t>第七条</w:t>
      </w:r>
      <w:r>
        <w:rPr>
          <w:rFonts w:hint="eastAsia" w:ascii="宋体" w:hAnsi="宋体"/>
          <w:kern w:val="44"/>
        </w:rPr>
        <w:t>　非机动车公共停车场不足的地区，在不影响道路交通的情况下，可以按照国家和本市有关规定经有关部门批准在道路范围内划定一定区域作为非机动车道路公共停车场，并设置相应标志。</w:t>
      </w:r>
    </w:p>
    <w:p w14:paraId="45ED70E8">
      <w:pPr>
        <w:jc w:val="left"/>
        <w:rPr>
          <w:rFonts w:ascii="宋体" w:hAnsi="宋体"/>
          <w:kern w:val="44"/>
        </w:rPr>
      </w:pPr>
      <w:r>
        <w:rPr>
          <w:rFonts w:hint="eastAsia" w:ascii="宋体" w:hAnsi="宋体"/>
          <w:kern w:val="44"/>
        </w:rPr>
        <w:t>在前款规定的情况发生变化时，原批准部门应当撤销已经划定的非机动车道路公共停车场，但应当提前公告。</w:t>
      </w:r>
    </w:p>
    <w:p w14:paraId="572CDB3A">
      <w:pPr>
        <w:ind w:firstLine="422"/>
        <w:jc w:val="left"/>
        <w:rPr>
          <w:rFonts w:ascii="宋体" w:hAnsi="宋体"/>
          <w:kern w:val="44"/>
        </w:rPr>
      </w:pPr>
      <w:r>
        <w:rPr>
          <w:rFonts w:hint="eastAsia" w:ascii="宋体" w:hAnsi="宋体"/>
          <w:b/>
          <w:kern w:val="44"/>
        </w:rPr>
        <w:t>第八条</w:t>
      </w:r>
      <w:r>
        <w:rPr>
          <w:rFonts w:hint="eastAsia" w:ascii="宋体" w:hAnsi="宋体"/>
          <w:kern w:val="44"/>
        </w:rPr>
        <w:t>　禁止任何单位和个人擅自占用道路设置非机动车道路公共停车场。</w:t>
      </w:r>
    </w:p>
    <w:p w14:paraId="75E1B116">
      <w:pPr>
        <w:jc w:val="left"/>
        <w:rPr>
          <w:rFonts w:ascii="宋体" w:hAnsi="宋体"/>
          <w:kern w:val="44"/>
        </w:rPr>
      </w:pPr>
      <w:r>
        <w:rPr>
          <w:rFonts w:hint="eastAsia" w:ascii="宋体" w:hAnsi="宋体"/>
          <w:kern w:val="44"/>
        </w:rPr>
        <w:t>临时占用道路设置收费的非机动车公共停车场，应当依法缴纳占道费。</w:t>
      </w:r>
    </w:p>
    <w:p w14:paraId="3F0BBDFE">
      <w:pPr>
        <w:ind w:firstLine="422"/>
        <w:jc w:val="left"/>
        <w:rPr>
          <w:rFonts w:ascii="宋体" w:hAnsi="宋体"/>
          <w:kern w:val="44"/>
        </w:rPr>
      </w:pPr>
      <w:r>
        <w:rPr>
          <w:rFonts w:hint="eastAsia" w:ascii="宋体" w:hAnsi="宋体"/>
          <w:b/>
          <w:kern w:val="44"/>
        </w:rPr>
        <w:t>第九条</w:t>
      </w:r>
      <w:r>
        <w:rPr>
          <w:rFonts w:hint="eastAsia" w:ascii="宋体" w:hAnsi="宋体"/>
          <w:kern w:val="44"/>
        </w:rPr>
        <w:t>　非机动车公共停车场必须对公众开放，任何单位和个人不得侵占、擅自停止使用非机动车公共停车场或者将其挪作他用。</w:t>
      </w:r>
    </w:p>
    <w:p w14:paraId="6B672555">
      <w:pPr>
        <w:jc w:val="left"/>
        <w:rPr>
          <w:rFonts w:ascii="宋体" w:hAnsi="宋体"/>
          <w:kern w:val="44"/>
        </w:rPr>
      </w:pPr>
      <w:r>
        <w:rPr>
          <w:rFonts w:hint="eastAsia" w:ascii="宋体" w:hAnsi="宋体"/>
          <w:kern w:val="44"/>
        </w:rPr>
        <w:t>鼓励单位内部非机动车停车场向社会公众开放。</w:t>
      </w:r>
    </w:p>
    <w:p w14:paraId="0D0DDB54">
      <w:pPr>
        <w:ind w:firstLine="422"/>
        <w:jc w:val="left"/>
        <w:rPr>
          <w:rFonts w:ascii="宋体" w:hAnsi="宋体"/>
          <w:kern w:val="44"/>
        </w:rPr>
      </w:pPr>
      <w:r>
        <w:rPr>
          <w:rFonts w:hint="eastAsia" w:ascii="宋体" w:hAnsi="宋体"/>
          <w:b/>
          <w:kern w:val="44"/>
        </w:rPr>
        <w:t>第十条</w:t>
      </w:r>
      <w:r>
        <w:rPr>
          <w:rFonts w:hint="eastAsia" w:ascii="宋体" w:hAnsi="宋体"/>
          <w:kern w:val="44"/>
        </w:rPr>
        <w:t>　设置收费的非机动车公共停车场，应当具备下列条件：</w:t>
      </w:r>
    </w:p>
    <w:p w14:paraId="3BC42622">
      <w:pPr>
        <w:jc w:val="left"/>
        <w:rPr>
          <w:rFonts w:ascii="宋体" w:hAnsi="宋体"/>
          <w:kern w:val="44"/>
        </w:rPr>
      </w:pPr>
      <w:r>
        <w:rPr>
          <w:rFonts w:hint="eastAsia" w:ascii="宋体" w:hAnsi="宋体"/>
          <w:kern w:val="44"/>
        </w:rPr>
        <w:t>（一）地面铺装，设置固定或者活动式围栏；</w:t>
      </w:r>
    </w:p>
    <w:p w14:paraId="6ED93BA1">
      <w:pPr>
        <w:jc w:val="left"/>
        <w:rPr>
          <w:rFonts w:ascii="宋体" w:hAnsi="宋体"/>
          <w:kern w:val="44"/>
        </w:rPr>
      </w:pPr>
      <w:r>
        <w:rPr>
          <w:rFonts w:hint="eastAsia" w:ascii="宋体" w:hAnsi="宋体"/>
          <w:kern w:val="44"/>
        </w:rPr>
        <w:t>（二）设置存车标识牌、存车收费价格公示牌、经营管理单位的标志及其监督电话，划定存车标线；</w:t>
      </w:r>
    </w:p>
    <w:p w14:paraId="6259118B">
      <w:pPr>
        <w:jc w:val="left"/>
        <w:rPr>
          <w:rFonts w:ascii="宋体" w:hAnsi="宋体"/>
          <w:kern w:val="44"/>
        </w:rPr>
      </w:pPr>
      <w:r>
        <w:rPr>
          <w:rFonts w:hint="eastAsia" w:ascii="宋体" w:hAnsi="宋体"/>
          <w:kern w:val="44"/>
        </w:rPr>
        <w:t>（三）有条件的，设置自行车停放架、遮雨棚房；</w:t>
      </w:r>
    </w:p>
    <w:p w14:paraId="2A0A8BA1">
      <w:pPr>
        <w:jc w:val="left"/>
        <w:rPr>
          <w:rFonts w:ascii="宋体" w:hAnsi="宋体"/>
          <w:kern w:val="44"/>
        </w:rPr>
      </w:pPr>
      <w:r>
        <w:rPr>
          <w:rFonts w:hint="eastAsia" w:ascii="宋体" w:hAnsi="宋体"/>
          <w:kern w:val="44"/>
        </w:rPr>
        <w:t>（四）有专人负责服务和管理。</w:t>
      </w:r>
    </w:p>
    <w:p w14:paraId="0C56037B">
      <w:pPr>
        <w:ind w:firstLine="422"/>
        <w:jc w:val="left"/>
        <w:rPr>
          <w:rFonts w:ascii="宋体" w:hAnsi="宋体"/>
          <w:kern w:val="44"/>
        </w:rPr>
      </w:pPr>
      <w:r>
        <w:rPr>
          <w:rFonts w:hint="eastAsia" w:ascii="宋体" w:hAnsi="宋体"/>
          <w:b/>
          <w:kern w:val="44"/>
        </w:rPr>
        <w:t>第十一条</w:t>
      </w:r>
      <w:r>
        <w:rPr>
          <w:rFonts w:hint="eastAsia" w:ascii="宋体" w:hAnsi="宋体"/>
          <w:kern w:val="44"/>
        </w:rPr>
        <w:t>　非机动车公共停车场的经营、管理单位，应当遵守下列规定：</w:t>
      </w:r>
    </w:p>
    <w:p w14:paraId="139C0A91">
      <w:pPr>
        <w:jc w:val="left"/>
        <w:rPr>
          <w:rFonts w:ascii="宋体" w:hAnsi="宋体"/>
          <w:kern w:val="44"/>
        </w:rPr>
      </w:pPr>
      <w:r>
        <w:rPr>
          <w:rFonts w:hint="eastAsia" w:ascii="宋体" w:hAnsi="宋体"/>
          <w:kern w:val="44"/>
        </w:rPr>
        <w:t>（一）遵守有关法律、法规、规章和行业管理规范；</w:t>
      </w:r>
    </w:p>
    <w:p w14:paraId="391A9766">
      <w:pPr>
        <w:jc w:val="left"/>
        <w:rPr>
          <w:rFonts w:ascii="宋体" w:hAnsi="宋体"/>
          <w:kern w:val="44"/>
        </w:rPr>
      </w:pPr>
      <w:r>
        <w:rPr>
          <w:rFonts w:hint="eastAsia" w:ascii="宋体" w:hAnsi="宋体"/>
          <w:kern w:val="44"/>
        </w:rPr>
        <w:t>（二）建立并落实各项管理和服务制度；</w:t>
      </w:r>
    </w:p>
    <w:p w14:paraId="650C6276">
      <w:pPr>
        <w:jc w:val="left"/>
        <w:rPr>
          <w:rFonts w:ascii="宋体" w:hAnsi="宋体"/>
          <w:kern w:val="44"/>
        </w:rPr>
      </w:pPr>
      <w:r>
        <w:rPr>
          <w:rFonts w:hint="eastAsia" w:ascii="宋体" w:hAnsi="宋体"/>
          <w:kern w:val="44"/>
        </w:rPr>
        <w:t>（三）接受市政管理等行政管理部门的指导和监督检查；</w:t>
      </w:r>
    </w:p>
    <w:p w14:paraId="567FC805">
      <w:pPr>
        <w:jc w:val="left"/>
        <w:rPr>
          <w:rFonts w:ascii="宋体" w:hAnsi="宋体"/>
          <w:kern w:val="44"/>
        </w:rPr>
      </w:pPr>
      <w:r>
        <w:rPr>
          <w:rFonts w:hint="eastAsia" w:ascii="宋体" w:hAnsi="宋体"/>
          <w:kern w:val="44"/>
        </w:rPr>
        <w:t>（四）严格按照批准的范围和标准收取费用，明码标价，给停车人出具收费凭证；</w:t>
      </w:r>
    </w:p>
    <w:p w14:paraId="5AEA1181">
      <w:pPr>
        <w:jc w:val="left"/>
        <w:rPr>
          <w:rFonts w:ascii="宋体" w:hAnsi="宋体"/>
          <w:kern w:val="44"/>
        </w:rPr>
      </w:pPr>
      <w:r>
        <w:rPr>
          <w:rFonts w:hint="eastAsia" w:ascii="宋体" w:hAnsi="宋体"/>
          <w:kern w:val="44"/>
        </w:rPr>
        <w:t>（五）保证停车场内良好的停车秩序、环境卫生和停车安全。</w:t>
      </w:r>
    </w:p>
    <w:p w14:paraId="61E1AE46">
      <w:pPr>
        <w:jc w:val="left"/>
        <w:rPr>
          <w:rFonts w:ascii="宋体" w:hAnsi="宋体"/>
          <w:kern w:val="44"/>
        </w:rPr>
      </w:pPr>
      <w:r>
        <w:rPr>
          <w:rFonts w:hint="eastAsia" w:ascii="宋体" w:hAnsi="宋体"/>
          <w:kern w:val="44"/>
        </w:rPr>
        <w:t>收费的非机动车公共停车场，因管理不当造成非机动车丢失、损坏的，非机动车公共停车场的经营、管理单位应当依法承担赔偿责任。</w:t>
      </w:r>
    </w:p>
    <w:p w14:paraId="6DB29D04">
      <w:pPr>
        <w:ind w:firstLine="422"/>
        <w:jc w:val="left"/>
        <w:rPr>
          <w:rFonts w:ascii="宋体" w:hAnsi="宋体"/>
          <w:kern w:val="44"/>
        </w:rPr>
      </w:pPr>
      <w:r>
        <w:rPr>
          <w:rFonts w:hint="eastAsia" w:ascii="宋体" w:hAnsi="宋体"/>
          <w:b/>
          <w:kern w:val="44"/>
        </w:rPr>
        <w:t>第十二条</w:t>
      </w:r>
      <w:r>
        <w:rPr>
          <w:rFonts w:hint="eastAsia" w:ascii="宋体" w:hAnsi="宋体"/>
          <w:kern w:val="44"/>
        </w:rPr>
        <w:t>　非机动车停车人应当遵守下列规定：</w:t>
      </w:r>
    </w:p>
    <w:p w14:paraId="01407BD5">
      <w:pPr>
        <w:jc w:val="left"/>
        <w:rPr>
          <w:rFonts w:ascii="宋体" w:hAnsi="宋体"/>
          <w:kern w:val="44"/>
        </w:rPr>
      </w:pPr>
      <w:r>
        <w:rPr>
          <w:rFonts w:hint="eastAsia" w:ascii="宋体" w:hAnsi="宋体"/>
          <w:kern w:val="44"/>
        </w:rPr>
        <w:t>（一）在非机动车公共停车场或者设有非机动车停放标志的区域内停车；</w:t>
      </w:r>
    </w:p>
    <w:p w14:paraId="01348CDC">
      <w:pPr>
        <w:jc w:val="left"/>
        <w:rPr>
          <w:rFonts w:ascii="宋体" w:hAnsi="宋体"/>
          <w:kern w:val="44"/>
        </w:rPr>
      </w:pPr>
      <w:r>
        <w:rPr>
          <w:rFonts w:hint="eastAsia" w:ascii="宋体" w:hAnsi="宋体"/>
          <w:kern w:val="44"/>
        </w:rPr>
        <w:t>（二）在停车场停放非机动车的，遵守停车场的有关管理规定，接受工作人员的管理；</w:t>
      </w:r>
    </w:p>
    <w:p w14:paraId="693E6258">
      <w:pPr>
        <w:jc w:val="left"/>
        <w:rPr>
          <w:rFonts w:ascii="宋体" w:hAnsi="宋体"/>
          <w:kern w:val="44"/>
        </w:rPr>
      </w:pPr>
      <w:r>
        <w:rPr>
          <w:rFonts w:hint="eastAsia" w:ascii="宋体" w:hAnsi="宋体"/>
          <w:kern w:val="44"/>
        </w:rPr>
        <w:t>（三）在收费非机动车公共停车场内停车的，按规定交纳停车费。</w:t>
      </w:r>
    </w:p>
    <w:p w14:paraId="36F2196C">
      <w:pPr>
        <w:ind w:firstLine="422"/>
        <w:jc w:val="left"/>
        <w:rPr>
          <w:rFonts w:ascii="宋体" w:hAnsi="宋体"/>
          <w:kern w:val="44"/>
        </w:rPr>
      </w:pPr>
      <w:r>
        <w:rPr>
          <w:rFonts w:hint="eastAsia" w:ascii="宋体" w:hAnsi="宋体"/>
          <w:b/>
          <w:kern w:val="44"/>
        </w:rPr>
        <w:t>第十三条</w:t>
      </w:r>
      <w:r>
        <w:rPr>
          <w:rFonts w:hint="eastAsia" w:ascii="宋体" w:hAnsi="宋体"/>
          <w:kern w:val="44"/>
        </w:rPr>
        <w:t>　违反本办法，在明令禁止停车的道路范围内停放非机动车的，由公安交通管理部门依法处罚，非机动车驾驶人拒绝接受罚款处罚的，可以扣留其非机动车。</w:t>
      </w:r>
    </w:p>
    <w:p w14:paraId="63743BFE">
      <w:pPr>
        <w:ind w:firstLine="422"/>
        <w:jc w:val="left"/>
        <w:rPr>
          <w:rFonts w:ascii="宋体" w:hAnsi="宋体"/>
          <w:kern w:val="44"/>
        </w:rPr>
      </w:pPr>
      <w:r>
        <w:rPr>
          <w:rFonts w:hint="eastAsia" w:ascii="宋体" w:hAnsi="宋体"/>
          <w:b/>
          <w:kern w:val="44"/>
        </w:rPr>
        <w:t>第十四条</w:t>
      </w:r>
      <w:r>
        <w:rPr>
          <w:rFonts w:hint="eastAsia" w:ascii="宋体" w:hAnsi="宋体"/>
          <w:kern w:val="44"/>
        </w:rPr>
        <w:t>　违反本办法第八条规定，擅自占用道路设置非机动车道路公共停车场的，由路政管理、公安交通管理部门依法处理。</w:t>
      </w:r>
    </w:p>
    <w:p w14:paraId="11CB91EE">
      <w:pPr>
        <w:ind w:firstLine="422"/>
        <w:jc w:val="left"/>
        <w:rPr>
          <w:rFonts w:ascii="宋体" w:hAnsi="宋体"/>
          <w:kern w:val="44"/>
        </w:rPr>
      </w:pPr>
      <w:r>
        <w:rPr>
          <w:rFonts w:hint="eastAsia" w:ascii="宋体" w:hAnsi="宋体"/>
          <w:b/>
          <w:kern w:val="44"/>
        </w:rPr>
        <w:t>第十五条</w:t>
      </w:r>
      <w:r>
        <w:rPr>
          <w:rFonts w:hint="eastAsia" w:ascii="宋体" w:hAnsi="宋体"/>
          <w:kern w:val="44"/>
        </w:rPr>
        <w:t>　违反本办法第九条第一款、第十条、第十一条第（二）项、第（三）项、第（五）项规定的，由城管监察部门责令限期改正，处500元以上1000元以下的罚款。</w:t>
      </w:r>
    </w:p>
    <w:p w14:paraId="009F1093">
      <w:pPr>
        <w:ind w:firstLine="422"/>
        <w:jc w:val="left"/>
        <w:rPr>
          <w:rFonts w:ascii="宋体" w:hAnsi="宋体"/>
          <w:kern w:val="44"/>
        </w:rPr>
      </w:pPr>
      <w:r>
        <w:rPr>
          <w:rFonts w:hint="eastAsia" w:ascii="宋体" w:hAnsi="宋体"/>
          <w:b/>
          <w:kern w:val="44"/>
        </w:rPr>
        <w:t>第十六条</w:t>
      </w:r>
      <w:r>
        <w:rPr>
          <w:rFonts w:hint="eastAsia" w:ascii="宋体" w:hAnsi="宋体"/>
          <w:kern w:val="44"/>
        </w:rPr>
        <w:t>　违反本办法第十一条第（四）项规定的，由价格主管部门依法处理。</w:t>
      </w:r>
    </w:p>
    <w:p w14:paraId="3103C0E7">
      <w:pPr>
        <w:ind w:firstLine="422"/>
        <w:jc w:val="left"/>
        <w:rPr>
          <w:rFonts w:ascii="宋体" w:hAnsi="宋体"/>
          <w:kern w:val="44"/>
        </w:rPr>
      </w:pPr>
      <w:r>
        <w:rPr>
          <w:rFonts w:hint="eastAsia" w:ascii="宋体" w:hAnsi="宋体"/>
          <w:b/>
          <w:kern w:val="44"/>
        </w:rPr>
        <w:t>第十七条</w:t>
      </w:r>
      <w:r>
        <w:rPr>
          <w:rFonts w:hint="eastAsia" w:ascii="宋体" w:hAnsi="宋体"/>
          <w:kern w:val="44"/>
        </w:rPr>
        <w:t>　本办法自2002年9月1日起施行。</w:t>
      </w:r>
    </w:p>
    <w:p w14:paraId="0DD0EEF1">
      <w:pPr>
        <w:pStyle w:val="4"/>
        <w:pageBreakBefore/>
        <w:rPr>
          <w:kern w:val="44"/>
        </w:rPr>
      </w:pPr>
      <w:bookmarkStart w:id="626" w:name="_Toc422471182"/>
      <w:bookmarkStart w:id="627" w:name="_Toc427651485"/>
      <w:bookmarkStart w:id="628" w:name="_Toc428781533"/>
      <w:bookmarkStart w:id="629" w:name="_Toc428780051"/>
      <w:bookmarkStart w:id="630" w:name="_Toc427651827"/>
      <w:r>
        <w:rPr>
          <w:rFonts w:hint="eastAsia"/>
          <w:kern w:val="44"/>
        </w:rPr>
        <w:t>北京市城市轨道交通安全</w:t>
      </w:r>
      <w:bookmarkEnd w:id="626"/>
      <w:bookmarkStart w:id="631" w:name="_Toc422471183"/>
      <w:r>
        <w:rPr>
          <w:rFonts w:hint="eastAsia"/>
          <w:kern w:val="44"/>
        </w:rPr>
        <w:t>运营管理办法</w:t>
      </w:r>
      <w:bookmarkEnd w:id="627"/>
      <w:bookmarkEnd w:id="628"/>
      <w:bookmarkEnd w:id="629"/>
      <w:bookmarkEnd w:id="630"/>
      <w:bookmarkEnd w:id="631"/>
    </w:p>
    <w:p w14:paraId="03390835">
      <w:pPr>
        <w:ind w:left="630" w:leftChars="300" w:right="630" w:rightChars="300"/>
        <w:jc w:val="left"/>
        <w:rPr>
          <w:rFonts w:ascii="楷体" w:hAnsi="楷体" w:eastAsia="楷体"/>
          <w:kern w:val="44"/>
        </w:rPr>
      </w:pPr>
      <w:r>
        <w:rPr>
          <w:rFonts w:hint="eastAsia" w:ascii="楷体" w:hAnsi="楷体" w:eastAsia="楷体"/>
          <w:kern w:val="44"/>
        </w:rPr>
        <w:t>（2004年4月28日北京市人民政府第147号令公布  根据2007年12月23日北京市人民政府第200号令第一次修改  根据2009年6月26日北京市人民政府第213号令第二次修改）</w:t>
      </w:r>
    </w:p>
    <w:p w14:paraId="1A2BAA15">
      <w:pPr>
        <w:jc w:val="left"/>
        <w:rPr>
          <w:rFonts w:ascii="宋体" w:hAnsi="宋体"/>
          <w:kern w:val="44"/>
        </w:rPr>
      </w:pPr>
    </w:p>
    <w:p w14:paraId="46E4F811">
      <w:pPr>
        <w:ind w:firstLine="0" w:firstLineChars="0"/>
        <w:jc w:val="center"/>
        <w:rPr>
          <w:rFonts w:ascii="宋体" w:hAnsi="宋体"/>
          <w:b/>
          <w:kern w:val="44"/>
          <w:sz w:val="28"/>
        </w:rPr>
      </w:pPr>
      <w:r>
        <w:rPr>
          <w:rFonts w:hint="eastAsia" w:ascii="宋体" w:hAnsi="宋体"/>
          <w:b/>
          <w:kern w:val="44"/>
          <w:sz w:val="28"/>
        </w:rPr>
        <w:t>第一章　总　则</w:t>
      </w:r>
    </w:p>
    <w:p w14:paraId="37F7B684">
      <w:pPr>
        <w:jc w:val="left"/>
        <w:rPr>
          <w:rFonts w:ascii="宋体" w:hAnsi="宋体"/>
          <w:kern w:val="44"/>
        </w:rPr>
      </w:pPr>
    </w:p>
    <w:p w14:paraId="2DD2D054">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为加强城市轨道交通安全运营管理，保障安全运营，维护乘客合法权益，根据本市实际情况，制定本办法。</w:t>
      </w:r>
    </w:p>
    <w:p w14:paraId="06369131">
      <w:pPr>
        <w:ind w:firstLine="422"/>
        <w:jc w:val="left"/>
        <w:rPr>
          <w:rFonts w:ascii="宋体" w:hAnsi="宋体"/>
          <w:kern w:val="44"/>
        </w:rPr>
      </w:pPr>
      <w:r>
        <w:rPr>
          <w:rFonts w:hint="eastAsia" w:ascii="宋体" w:hAnsi="宋体"/>
          <w:b/>
          <w:kern w:val="44"/>
        </w:rPr>
        <w:t>第二条</w:t>
      </w:r>
      <w:r>
        <w:rPr>
          <w:rFonts w:hint="eastAsia" w:ascii="宋体" w:hAnsi="宋体"/>
          <w:kern w:val="44"/>
        </w:rPr>
        <w:t>　凡在本市行政区域内从事与城市轨道交通安全运营有关活动的，均须遵守本办法。</w:t>
      </w:r>
    </w:p>
    <w:p w14:paraId="05D3EAB7">
      <w:pPr>
        <w:jc w:val="left"/>
        <w:rPr>
          <w:rFonts w:ascii="宋体" w:hAnsi="宋体"/>
          <w:kern w:val="44"/>
        </w:rPr>
      </w:pPr>
      <w:r>
        <w:rPr>
          <w:rFonts w:hint="eastAsia" w:ascii="宋体" w:hAnsi="宋体"/>
          <w:kern w:val="44"/>
        </w:rPr>
        <w:t>本办法所称城市轨道交通是指地铁、轻轨等城市轨道公共客运系统。</w:t>
      </w:r>
    </w:p>
    <w:p w14:paraId="5771BB10">
      <w:pPr>
        <w:ind w:firstLine="422"/>
        <w:jc w:val="left"/>
        <w:rPr>
          <w:rFonts w:ascii="宋体" w:hAnsi="宋体"/>
          <w:kern w:val="44"/>
        </w:rPr>
      </w:pPr>
      <w:r>
        <w:rPr>
          <w:rFonts w:hint="eastAsia" w:ascii="宋体" w:hAnsi="宋体"/>
          <w:b/>
          <w:kern w:val="44"/>
        </w:rPr>
        <w:t>第三条</w:t>
      </w:r>
      <w:r>
        <w:rPr>
          <w:rFonts w:hint="eastAsia" w:ascii="宋体" w:hAnsi="宋体"/>
          <w:kern w:val="44"/>
        </w:rPr>
        <w:t>　城市轨道交通安全运营管理，坚持安全第一、预防为主、综合治理的方针。</w:t>
      </w:r>
    </w:p>
    <w:p w14:paraId="65988F18">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市和区、县安全生产监督行政管理部门依照《中华人民共和国安全生产法》的规定，对本市城市轨道交通运营的安全生产工作实施综合监督管理。</w:t>
      </w:r>
    </w:p>
    <w:p w14:paraId="748920E1">
      <w:pPr>
        <w:jc w:val="left"/>
        <w:rPr>
          <w:rFonts w:ascii="宋体" w:hAnsi="宋体"/>
          <w:kern w:val="44"/>
        </w:rPr>
      </w:pPr>
      <w:r>
        <w:rPr>
          <w:rFonts w:hint="eastAsia" w:ascii="宋体" w:hAnsi="宋体"/>
          <w:kern w:val="44"/>
        </w:rPr>
        <w:t>市交通行政管理部门对本市城市轨道交通安全运营实施行业监督管理，指导运营单位落实安全运营措施，消除事故隐患，对城市轨道交通运营单位（以下简称运营单位）违反本办法的行为予以纠正并提请有关行政管理部门依法处理。</w:t>
      </w:r>
    </w:p>
    <w:p w14:paraId="0AFEDB0D">
      <w:pPr>
        <w:jc w:val="left"/>
        <w:rPr>
          <w:rFonts w:ascii="宋体" w:hAnsi="宋体"/>
          <w:kern w:val="44"/>
        </w:rPr>
      </w:pPr>
      <w:r>
        <w:rPr>
          <w:rFonts w:hint="eastAsia" w:ascii="宋体" w:hAnsi="宋体"/>
          <w:kern w:val="44"/>
        </w:rPr>
        <w:t>发展改革、规划、公安、消防、园林绿化、住房和城乡建设、市政市容管理等行政管理部门，依照各自职责对城市轨道交通安全实施监督管理。</w:t>
      </w:r>
    </w:p>
    <w:p w14:paraId="253E9F0A">
      <w:pPr>
        <w:ind w:firstLine="422"/>
        <w:jc w:val="left"/>
        <w:rPr>
          <w:rFonts w:ascii="宋体" w:hAnsi="宋体"/>
          <w:kern w:val="44"/>
        </w:rPr>
      </w:pPr>
      <w:r>
        <w:rPr>
          <w:rFonts w:hint="eastAsia" w:ascii="宋体" w:hAnsi="宋体"/>
          <w:b/>
          <w:kern w:val="44"/>
        </w:rPr>
        <w:t>第五条</w:t>
      </w:r>
      <w:r>
        <w:rPr>
          <w:rFonts w:hint="eastAsia" w:ascii="宋体" w:hAnsi="宋体"/>
          <w:kern w:val="44"/>
        </w:rPr>
        <w:t>　城市轨道交通沿线的区、县人民政府应当做好本行政区域内城市轨道交通安全运营相关服务、保障工作，及时配合有关部门协调、解决有关问题。</w:t>
      </w:r>
    </w:p>
    <w:p w14:paraId="30299617">
      <w:pPr>
        <w:ind w:firstLine="422"/>
        <w:jc w:val="left"/>
        <w:rPr>
          <w:rFonts w:ascii="宋体" w:hAnsi="宋体"/>
          <w:kern w:val="44"/>
        </w:rPr>
      </w:pPr>
      <w:r>
        <w:rPr>
          <w:rFonts w:hint="eastAsia" w:ascii="宋体" w:hAnsi="宋体"/>
          <w:b/>
          <w:kern w:val="44"/>
        </w:rPr>
        <w:t>第六条</w:t>
      </w:r>
      <w:r>
        <w:rPr>
          <w:rFonts w:hint="eastAsia" w:ascii="宋体" w:hAnsi="宋体"/>
          <w:kern w:val="44"/>
        </w:rPr>
        <w:t>　运营单位应当依法承担城市轨道交通运营安全管理责任，加强运营安全管理，建立、健全安全运营责任制度，完善安全运营条件，确保安全运营。</w:t>
      </w:r>
    </w:p>
    <w:p w14:paraId="1508A3A1">
      <w:pPr>
        <w:ind w:firstLine="422"/>
        <w:jc w:val="left"/>
        <w:rPr>
          <w:rFonts w:ascii="宋体" w:hAnsi="宋体"/>
          <w:kern w:val="44"/>
        </w:rPr>
      </w:pPr>
      <w:r>
        <w:rPr>
          <w:rFonts w:hint="eastAsia" w:ascii="宋体" w:hAnsi="宋体"/>
          <w:b/>
          <w:kern w:val="44"/>
        </w:rPr>
        <w:t>第七条</w:t>
      </w:r>
      <w:r>
        <w:rPr>
          <w:rFonts w:hint="eastAsia" w:ascii="宋体" w:hAnsi="宋体"/>
          <w:kern w:val="44"/>
        </w:rPr>
        <w:t>　市人民政府相关部门和运营单位应当采取多种形式，向社会公众宣传有关城市轨道交通安全运营的法律规定和安全知识，提高市民的安全意识。</w:t>
      </w:r>
    </w:p>
    <w:p w14:paraId="7B66044E">
      <w:pPr>
        <w:jc w:val="left"/>
        <w:rPr>
          <w:rFonts w:ascii="宋体" w:hAnsi="宋体"/>
          <w:kern w:val="44"/>
        </w:rPr>
      </w:pPr>
      <w:r>
        <w:rPr>
          <w:rFonts w:hint="eastAsia" w:ascii="宋体" w:hAnsi="宋体"/>
          <w:kern w:val="44"/>
        </w:rPr>
        <w:t>任何单位和个人应当自觉维护城市轨道交通安全运营秩序，不得侵害国家财产和公民人身、财产安全，不得影响他人出行。</w:t>
      </w:r>
    </w:p>
    <w:p w14:paraId="1E0D69BD">
      <w:pPr>
        <w:jc w:val="left"/>
        <w:rPr>
          <w:rFonts w:ascii="宋体" w:hAnsi="宋体"/>
          <w:kern w:val="44"/>
        </w:rPr>
      </w:pPr>
    </w:p>
    <w:p w14:paraId="03723B67">
      <w:pPr>
        <w:ind w:firstLine="0" w:firstLineChars="0"/>
        <w:jc w:val="center"/>
        <w:rPr>
          <w:rFonts w:ascii="宋体" w:hAnsi="宋体"/>
          <w:b/>
          <w:kern w:val="44"/>
          <w:sz w:val="28"/>
        </w:rPr>
      </w:pPr>
      <w:r>
        <w:rPr>
          <w:rFonts w:hint="eastAsia" w:ascii="宋体" w:hAnsi="宋体"/>
          <w:b/>
          <w:kern w:val="44"/>
          <w:sz w:val="28"/>
        </w:rPr>
        <w:t>第二章　建设与运营的衔接</w:t>
      </w:r>
    </w:p>
    <w:p w14:paraId="799F1FC8">
      <w:pPr>
        <w:jc w:val="left"/>
        <w:rPr>
          <w:rFonts w:ascii="宋体" w:hAnsi="宋体"/>
          <w:kern w:val="44"/>
        </w:rPr>
      </w:pPr>
    </w:p>
    <w:p w14:paraId="4BD89EAF">
      <w:pPr>
        <w:ind w:firstLine="422"/>
        <w:jc w:val="left"/>
        <w:rPr>
          <w:rFonts w:ascii="宋体" w:hAnsi="宋体"/>
          <w:kern w:val="44"/>
        </w:rPr>
      </w:pPr>
      <w:r>
        <w:rPr>
          <w:rFonts w:hint="eastAsia" w:ascii="宋体" w:hAnsi="宋体"/>
          <w:b/>
          <w:kern w:val="44"/>
        </w:rPr>
        <w:t>第八条</w:t>
      </w:r>
      <w:r>
        <w:rPr>
          <w:rFonts w:hint="eastAsia" w:ascii="宋体" w:hAnsi="宋体"/>
          <w:kern w:val="44"/>
        </w:rPr>
        <w:t>　城市轨道交通工程的规划、建设，应当考虑安全运营的需求，并预留换乘和疏散空间。</w:t>
      </w:r>
    </w:p>
    <w:p w14:paraId="13A95BD1">
      <w:pPr>
        <w:jc w:val="left"/>
        <w:rPr>
          <w:rFonts w:ascii="宋体" w:hAnsi="宋体"/>
          <w:kern w:val="44"/>
        </w:rPr>
      </w:pPr>
      <w:r>
        <w:rPr>
          <w:rFonts w:hint="eastAsia" w:ascii="宋体" w:hAnsi="宋体"/>
          <w:kern w:val="44"/>
        </w:rPr>
        <w:t>城市轨道交通工程项目申请报告、可行性研究报告和初步设计中应当确定列车运行、调度指挥、运营辅助系统、安全防范和检查系统、维修保障系统、换乘和疏散系统、人员组织等内容，并经过运营安全评估，系统功能应当符合安全运营需要。</w:t>
      </w:r>
    </w:p>
    <w:p w14:paraId="3ABD51E6">
      <w:pPr>
        <w:jc w:val="left"/>
        <w:rPr>
          <w:rFonts w:ascii="宋体" w:hAnsi="宋体"/>
          <w:kern w:val="44"/>
        </w:rPr>
      </w:pPr>
      <w:r>
        <w:rPr>
          <w:rFonts w:hint="eastAsia" w:ascii="宋体" w:hAnsi="宋体"/>
          <w:kern w:val="44"/>
        </w:rPr>
        <w:t>城市轨道交通工程建设单位在编制完成项目申请报告、可行性研究报告后，应当听取市交通行政管理部门的意见。市交通行政管理部门应当进行监督和指导。</w:t>
      </w:r>
    </w:p>
    <w:p w14:paraId="51722C86">
      <w:pPr>
        <w:ind w:firstLine="422"/>
        <w:jc w:val="left"/>
        <w:rPr>
          <w:rFonts w:ascii="宋体" w:hAnsi="宋体"/>
          <w:kern w:val="44"/>
        </w:rPr>
      </w:pPr>
      <w:r>
        <w:rPr>
          <w:rFonts w:hint="eastAsia" w:ascii="宋体" w:hAnsi="宋体"/>
          <w:b/>
          <w:kern w:val="44"/>
        </w:rPr>
        <w:t>第九条</w:t>
      </w:r>
      <w:r>
        <w:rPr>
          <w:rFonts w:hint="eastAsia" w:ascii="宋体" w:hAnsi="宋体"/>
          <w:kern w:val="44"/>
        </w:rPr>
        <w:t>　城市轨道交通设备、设施的设计、安装、建造应当符合国家和本市规定的设计标准和技术规范。</w:t>
      </w:r>
    </w:p>
    <w:p w14:paraId="3AF16B20">
      <w:pPr>
        <w:jc w:val="left"/>
        <w:rPr>
          <w:rFonts w:ascii="宋体" w:hAnsi="宋体"/>
          <w:kern w:val="44"/>
        </w:rPr>
      </w:pPr>
      <w:r>
        <w:rPr>
          <w:rFonts w:hint="eastAsia" w:ascii="宋体" w:hAnsi="宋体"/>
          <w:kern w:val="44"/>
        </w:rPr>
        <w:t>其他工程与城市轨道交通相连接的，连接部分的设计应当符合城市轨道交通设计规范要求。</w:t>
      </w:r>
    </w:p>
    <w:p w14:paraId="77D2D4AA">
      <w:pPr>
        <w:ind w:firstLine="422"/>
        <w:jc w:val="left"/>
        <w:rPr>
          <w:rFonts w:ascii="宋体" w:hAnsi="宋体"/>
          <w:kern w:val="44"/>
        </w:rPr>
      </w:pPr>
      <w:r>
        <w:rPr>
          <w:rFonts w:hint="eastAsia" w:ascii="宋体" w:hAnsi="宋体"/>
          <w:b/>
          <w:kern w:val="44"/>
        </w:rPr>
        <w:t>第十条</w:t>
      </w:r>
      <w:r>
        <w:rPr>
          <w:rFonts w:hint="eastAsia" w:ascii="宋体" w:hAnsi="宋体"/>
          <w:kern w:val="44"/>
        </w:rPr>
        <w:t>　城市轨道交通工程完工后，建设单位应当向运营单位提供技术档案和相关资料，对设备、设施进行调试和安全测试，并会同运营单位组织试运行。试运行期不得少于3个月，并不得载客。</w:t>
      </w:r>
    </w:p>
    <w:p w14:paraId="025C3C78">
      <w:pPr>
        <w:ind w:firstLine="422"/>
        <w:jc w:val="left"/>
        <w:rPr>
          <w:rFonts w:ascii="宋体" w:hAnsi="宋体"/>
          <w:kern w:val="44"/>
        </w:rPr>
      </w:pPr>
      <w:r>
        <w:rPr>
          <w:rFonts w:hint="eastAsia" w:ascii="宋体" w:hAnsi="宋体"/>
          <w:b/>
          <w:kern w:val="44"/>
        </w:rPr>
        <w:t>第十一条</w:t>
      </w:r>
      <w:r>
        <w:rPr>
          <w:rFonts w:hint="eastAsia" w:ascii="宋体" w:hAnsi="宋体"/>
          <w:kern w:val="44"/>
        </w:rPr>
        <w:t>　城市轨道交通工程试运行合格的，建设单位应当依法办理规划、消防、土建、人防、供电、特种设备、工程档案、建筑节能、无障碍设施、环境保护设施和运营设备、设施等项目的验收。验收合格的，方可移交运营单位投入试运营。政府相关行政管理部门应当依照各自职责对验收过程进行监督管理。</w:t>
      </w:r>
    </w:p>
    <w:p w14:paraId="3F81B161">
      <w:pPr>
        <w:jc w:val="left"/>
        <w:rPr>
          <w:rFonts w:ascii="宋体" w:hAnsi="宋体"/>
          <w:kern w:val="44"/>
        </w:rPr>
      </w:pPr>
      <w:r>
        <w:rPr>
          <w:rFonts w:hint="eastAsia" w:ascii="宋体" w:hAnsi="宋体"/>
          <w:kern w:val="44"/>
        </w:rPr>
        <w:t>试运营期间，运营单位应当按照设计标准和技术规范，对设备、设施运行情况和运营状况进行安全监测和综合验证，试运营期不得少于1年。试运营期满，设备、设施保持正常稳定运行状态，可以投入正式运营的，运营单位应当在投入正式运营30日前向市交通行政管理部门备案。</w:t>
      </w:r>
    </w:p>
    <w:p w14:paraId="73208B26">
      <w:pPr>
        <w:jc w:val="left"/>
        <w:rPr>
          <w:rFonts w:ascii="宋体" w:hAnsi="宋体"/>
          <w:kern w:val="44"/>
        </w:rPr>
      </w:pPr>
    </w:p>
    <w:p w14:paraId="54F1697F">
      <w:pPr>
        <w:ind w:firstLine="0" w:firstLineChars="0"/>
        <w:jc w:val="center"/>
        <w:rPr>
          <w:rFonts w:ascii="宋体" w:hAnsi="宋体"/>
          <w:b/>
          <w:kern w:val="44"/>
          <w:sz w:val="28"/>
        </w:rPr>
      </w:pPr>
      <w:r>
        <w:rPr>
          <w:rFonts w:hint="eastAsia" w:ascii="宋体" w:hAnsi="宋体"/>
          <w:b/>
          <w:kern w:val="44"/>
          <w:sz w:val="28"/>
        </w:rPr>
        <w:t>第三章　运营安全管理</w:t>
      </w:r>
    </w:p>
    <w:p w14:paraId="0EC7AFE0">
      <w:pPr>
        <w:jc w:val="left"/>
        <w:rPr>
          <w:rFonts w:ascii="宋体" w:hAnsi="宋体"/>
          <w:kern w:val="44"/>
        </w:rPr>
      </w:pPr>
    </w:p>
    <w:p w14:paraId="06F9D00E">
      <w:pPr>
        <w:ind w:firstLine="422"/>
        <w:jc w:val="left"/>
        <w:rPr>
          <w:rFonts w:ascii="宋体" w:hAnsi="宋体"/>
          <w:kern w:val="44"/>
        </w:rPr>
      </w:pPr>
      <w:r>
        <w:rPr>
          <w:rFonts w:hint="eastAsia" w:ascii="宋体" w:hAnsi="宋体"/>
          <w:b/>
          <w:kern w:val="44"/>
        </w:rPr>
        <w:t>第十二条</w:t>
      </w:r>
      <w:r>
        <w:rPr>
          <w:rFonts w:hint="eastAsia" w:ascii="宋体" w:hAnsi="宋体"/>
          <w:kern w:val="44"/>
        </w:rPr>
        <w:t>　禁止在地面轨道线路上设置平面交叉道口和人行过道。禁止在地面轨道线路弯道内侧建造影响行车安全的建筑物、构筑物。禁止种植影响行车安全的树木。</w:t>
      </w:r>
    </w:p>
    <w:p w14:paraId="08E9493E">
      <w:pPr>
        <w:jc w:val="left"/>
        <w:rPr>
          <w:rFonts w:ascii="宋体" w:hAnsi="宋体"/>
          <w:kern w:val="44"/>
        </w:rPr>
      </w:pPr>
      <w:r>
        <w:rPr>
          <w:rFonts w:hint="eastAsia" w:ascii="宋体" w:hAnsi="宋体"/>
          <w:kern w:val="44"/>
        </w:rPr>
        <w:t>已有树木影响城市轨道交通行车安全的，运营单位应当会同树木的所有者或者管理者制定解决方案，由树木的所有者或者管理者依法进行修剪或者移栽、更换树种。园林绿化、交通行政管理部门应当给予指导、协调，并加强监督管理。</w:t>
      </w:r>
    </w:p>
    <w:p w14:paraId="7DC2397F">
      <w:pPr>
        <w:ind w:firstLine="422"/>
        <w:jc w:val="left"/>
        <w:rPr>
          <w:rFonts w:ascii="宋体" w:hAnsi="宋体"/>
          <w:kern w:val="44"/>
        </w:rPr>
      </w:pPr>
      <w:r>
        <w:rPr>
          <w:rFonts w:hint="eastAsia" w:ascii="宋体" w:hAnsi="宋体"/>
          <w:b/>
          <w:kern w:val="44"/>
        </w:rPr>
        <w:t>第十三条</w:t>
      </w:r>
      <w:r>
        <w:rPr>
          <w:rFonts w:hint="eastAsia" w:ascii="宋体" w:hAnsi="宋体"/>
          <w:kern w:val="44"/>
        </w:rPr>
        <w:t>　下列范围为城市轨道交通控制保护区：</w:t>
      </w:r>
    </w:p>
    <w:p w14:paraId="551E5959">
      <w:pPr>
        <w:jc w:val="left"/>
        <w:rPr>
          <w:rFonts w:ascii="宋体" w:hAnsi="宋体"/>
          <w:kern w:val="44"/>
        </w:rPr>
      </w:pPr>
      <w:r>
        <w:rPr>
          <w:rFonts w:hint="eastAsia" w:ascii="宋体" w:hAnsi="宋体"/>
          <w:kern w:val="44"/>
        </w:rPr>
        <w:t>（一）地下车站与隧道周边外侧五十米以内；</w:t>
      </w:r>
    </w:p>
    <w:p w14:paraId="1F8F554A">
      <w:pPr>
        <w:jc w:val="left"/>
        <w:rPr>
          <w:rFonts w:ascii="宋体" w:hAnsi="宋体"/>
          <w:kern w:val="44"/>
        </w:rPr>
      </w:pPr>
      <w:r>
        <w:rPr>
          <w:rFonts w:hint="eastAsia" w:ascii="宋体" w:hAnsi="宋体"/>
          <w:kern w:val="44"/>
        </w:rPr>
        <w:t>（二）地面和高架车站以及线路轨道外边线外侧三十米以内；</w:t>
      </w:r>
    </w:p>
    <w:p w14:paraId="300817EC">
      <w:pPr>
        <w:jc w:val="left"/>
        <w:rPr>
          <w:rFonts w:ascii="宋体" w:hAnsi="宋体"/>
          <w:kern w:val="44"/>
        </w:rPr>
      </w:pPr>
      <w:r>
        <w:rPr>
          <w:rFonts w:hint="eastAsia" w:ascii="宋体" w:hAnsi="宋体"/>
          <w:kern w:val="44"/>
        </w:rPr>
        <w:t>（三）出入口、通风亭、变电站等建筑物、构筑物外边线外侧十米以内。</w:t>
      </w:r>
    </w:p>
    <w:p w14:paraId="6F6257BA">
      <w:pPr>
        <w:jc w:val="left"/>
        <w:rPr>
          <w:rFonts w:ascii="宋体" w:hAnsi="宋体"/>
          <w:kern w:val="44"/>
        </w:rPr>
      </w:pPr>
      <w:r>
        <w:rPr>
          <w:rFonts w:hint="eastAsia" w:ascii="宋体" w:hAnsi="宋体"/>
          <w:kern w:val="44"/>
        </w:rPr>
        <w:t>区、县人民政府应当支持、督促有关部门依法加强对本行政区域内城市轨道交通控制保护区的监督管理，协调解决城市轨道交通控制保护区内影响轨道交通运营安全的问题。</w:t>
      </w:r>
    </w:p>
    <w:p w14:paraId="6864DA12">
      <w:pPr>
        <w:ind w:firstLine="422"/>
        <w:jc w:val="left"/>
        <w:rPr>
          <w:rFonts w:ascii="宋体" w:hAnsi="宋体"/>
          <w:kern w:val="44"/>
        </w:rPr>
      </w:pPr>
      <w:r>
        <w:rPr>
          <w:rFonts w:hint="eastAsia" w:ascii="宋体" w:hAnsi="宋体"/>
          <w:b/>
          <w:kern w:val="44"/>
        </w:rPr>
        <w:t>第十四条</w:t>
      </w:r>
      <w:r>
        <w:rPr>
          <w:rFonts w:hint="eastAsia" w:ascii="宋体" w:hAnsi="宋体"/>
          <w:kern w:val="44"/>
        </w:rPr>
        <w:t>　城市轨道交通控制保护区内严格控制下列可能影响安全运营的作业：</w:t>
      </w:r>
    </w:p>
    <w:p w14:paraId="1A61E073">
      <w:pPr>
        <w:jc w:val="left"/>
        <w:rPr>
          <w:rFonts w:ascii="宋体" w:hAnsi="宋体"/>
          <w:kern w:val="44"/>
        </w:rPr>
      </w:pPr>
      <w:r>
        <w:rPr>
          <w:rFonts w:hint="eastAsia" w:ascii="宋体" w:hAnsi="宋体"/>
          <w:kern w:val="44"/>
        </w:rPr>
        <w:t>（一）新建、改建、扩建或者拆除建筑物、构筑物；</w:t>
      </w:r>
    </w:p>
    <w:p w14:paraId="08440121">
      <w:pPr>
        <w:jc w:val="left"/>
        <w:rPr>
          <w:rFonts w:ascii="宋体" w:hAnsi="宋体"/>
          <w:kern w:val="44"/>
        </w:rPr>
      </w:pPr>
      <w:r>
        <w:rPr>
          <w:rFonts w:hint="eastAsia" w:ascii="宋体" w:hAnsi="宋体"/>
          <w:kern w:val="44"/>
        </w:rPr>
        <w:t>（二）敷设管线、挖掘、爆破、地基加固、打井；</w:t>
      </w:r>
    </w:p>
    <w:p w14:paraId="660E847A">
      <w:pPr>
        <w:jc w:val="left"/>
        <w:rPr>
          <w:rFonts w:ascii="宋体" w:hAnsi="宋体"/>
          <w:kern w:val="44"/>
        </w:rPr>
      </w:pPr>
      <w:r>
        <w:rPr>
          <w:rFonts w:hint="eastAsia" w:ascii="宋体" w:hAnsi="宋体"/>
          <w:kern w:val="44"/>
        </w:rPr>
        <w:t>（三）其他大面积增加或者减少载荷的作业。</w:t>
      </w:r>
    </w:p>
    <w:p w14:paraId="7E4C189B">
      <w:pPr>
        <w:jc w:val="left"/>
        <w:rPr>
          <w:rFonts w:ascii="宋体" w:hAnsi="宋体"/>
          <w:kern w:val="44"/>
        </w:rPr>
      </w:pPr>
      <w:r>
        <w:rPr>
          <w:rFonts w:hint="eastAsia" w:ascii="宋体" w:hAnsi="宋体"/>
          <w:kern w:val="44"/>
        </w:rPr>
        <w:t>确需进行前款规定的作业的，作业单位应当制定有效的安全防护方案，征得运营单位同意后，依法办理有关行政许可手续。有关行政管理部门应当根据经过论证的安全防护方案做出行政许可决定。</w:t>
      </w:r>
    </w:p>
    <w:p w14:paraId="083C57C0">
      <w:pPr>
        <w:ind w:firstLine="422"/>
        <w:jc w:val="left"/>
        <w:rPr>
          <w:rFonts w:ascii="宋体" w:hAnsi="宋体"/>
          <w:kern w:val="44"/>
        </w:rPr>
      </w:pPr>
      <w:r>
        <w:rPr>
          <w:rFonts w:hint="eastAsia" w:ascii="宋体" w:hAnsi="宋体"/>
          <w:b/>
          <w:kern w:val="44"/>
        </w:rPr>
        <w:t>第十五条</w:t>
      </w:r>
      <w:r>
        <w:rPr>
          <w:rFonts w:hint="eastAsia" w:ascii="宋体" w:hAnsi="宋体"/>
          <w:kern w:val="44"/>
        </w:rPr>
        <w:t>　经许可从事本办法第十四条第一款规定的作业的，作业单位必须落实安全防护方案，并委托专业机构对作业影响区域进行动态监测；出现危及运营安全的情形的，作业单位应当立即停止作业，采取补救措施，并报告许可作业的行政管理部门、市交通行政管理部门和运营单位。</w:t>
      </w:r>
    </w:p>
    <w:p w14:paraId="1E27231C">
      <w:pPr>
        <w:ind w:firstLine="422"/>
        <w:jc w:val="left"/>
        <w:rPr>
          <w:rFonts w:ascii="宋体" w:hAnsi="宋体"/>
          <w:kern w:val="44"/>
        </w:rPr>
      </w:pPr>
      <w:r>
        <w:rPr>
          <w:rFonts w:hint="eastAsia" w:ascii="宋体" w:hAnsi="宋体"/>
          <w:b/>
          <w:kern w:val="44"/>
        </w:rPr>
        <w:t>第十六条</w:t>
      </w:r>
      <w:r>
        <w:rPr>
          <w:rFonts w:hint="eastAsia" w:ascii="宋体" w:hAnsi="宋体"/>
          <w:kern w:val="44"/>
        </w:rPr>
        <w:t>　本办法第十四条第一款规定的作业跨越、穿越城市轨道交通设施的，作业结束后，作业单位应当会同运营单位评估作业对城市轨道交通运营安全产生的影响，并将评估结果报市交通行政管理部门备案。经评估影响运营安全的，作业单位应当立即采取措施，消除影响。</w:t>
      </w:r>
    </w:p>
    <w:p w14:paraId="4AEFCC68">
      <w:pPr>
        <w:ind w:firstLine="422"/>
        <w:jc w:val="left"/>
        <w:rPr>
          <w:rFonts w:ascii="宋体" w:hAnsi="宋体"/>
          <w:kern w:val="44"/>
        </w:rPr>
      </w:pPr>
      <w:r>
        <w:rPr>
          <w:rFonts w:hint="eastAsia" w:ascii="宋体" w:hAnsi="宋体"/>
          <w:b/>
          <w:kern w:val="44"/>
        </w:rPr>
        <w:t>第十七条</w:t>
      </w:r>
      <w:r>
        <w:rPr>
          <w:rFonts w:hint="eastAsia" w:ascii="宋体" w:hAnsi="宋体"/>
          <w:kern w:val="44"/>
        </w:rPr>
        <w:t>　城市轨道交通在不停运的情况下进行扩建、改建和设施改造的，运营单位应当制定有效的安全防护方案，并报市交通行政管理部门备案。</w:t>
      </w:r>
    </w:p>
    <w:p w14:paraId="1D840BBE">
      <w:pPr>
        <w:ind w:firstLine="422"/>
        <w:jc w:val="left"/>
        <w:rPr>
          <w:rFonts w:ascii="宋体" w:hAnsi="宋体"/>
          <w:kern w:val="44"/>
        </w:rPr>
      </w:pPr>
      <w:r>
        <w:rPr>
          <w:rFonts w:hint="eastAsia" w:ascii="宋体" w:hAnsi="宋体"/>
          <w:b/>
          <w:kern w:val="44"/>
        </w:rPr>
        <w:t>第十八条</w:t>
      </w:r>
      <w:r>
        <w:rPr>
          <w:rFonts w:hint="eastAsia" w:ascii="宋体" w:hAnsi="宋体"/>
          <w:kern w:val="44"/>
        </w:rPr>
        <w:t>　地下管线敷设在城市轨道交通控制保护区内的，地下管线的所有者或者管理者应当加强管线的巡查、维护和管理，保障管线安全运行，避免影响城市轨道交通运营安全。</w:t>
      </w:r>
    </w:p>
    <w:p w14:paraId="0CE2F660">
      <w:pPr>
        <w:ind w:firstLine="422"/>
        <w:jc w:val="left"/>
        <w:rPr>
          <w:rFonts w:ascii="宋体" w:hAnsi="宋体"/>
          <w:kern w:val="44"/>
        </w:rPr>
      </w:pPr>
      <w:r>
        <w:rPr>
          <w:rFonts w:hint="eastAsia" w:ascii="宋体" w:hAnsi="宋体"/>
          <w:b/>
          <w:kern w:val="44"/>
        </w:rPr>
        <w:t>第十九条</w:t>
      </w:r>
      <w:r>
        <w:rPr>
          <w:rFonts w:hint="eastAsia" w:ascii="宋体" w:hAnsi="宋体"/>
          <w:kern w:val="44"/>
        </w:rPr>
        <w:t>　市交通行政管理部门应当制定本市城市轨道交通安全运营服务标准。运营单位应当按照服务标准的要求，安全运送乘客。</w:t>
      </w:r>
    </w:p>
    <w:p w14:paraId="35D7D6A8">
      <w:pPr>
        <w:ind w:firstLine="422"/>
        <w:jc w:val="left"/>
        <w:rPr>
          <w:rFonts w:ascii="宋体" w:hAnsi="宋体"/>
          <w:kern w:val="44"/>
        </w:rPr>
      </w:pPr>
      <w:r>
        <w:rPr>
          <w:rFonts w:hint="eastAsia" w:ascii="宋体" w:hAnsi="宋体"/>
          <w:b/>
          <w:kern w:val="44"/>
        </w:rPr>
        <w:t>第二十条</w:t>
      </w:r>
      <w:r>
        <w:rPr>
          <w:rFonts w:hint="eastAsia" w:ascii="宋体" w:hAnsi="宋体"/>
          <w:kern w:val="44"/>
        </w:rPr>
        <w:t>　运营单位应当履行下列安全运营职责：</w:t>
      </w:r>
    </w:p>
    <w:p w14:paraId="0ADD35BF">
      <w:pPr>
        <w:jc w:val="left"/>
        <w:rPr>
          <w:rFonts w:ascii="宋体" w:hAnsi="宋体"/>
          <w:kern w:val="44"/>
        </w:rPr>
      </w:pPr>
      <w:r>
        <w:rPr>
          <w:rFonts w:hint="eastAsia" w:ascii="宋体" w:hAnsi="宋体"/>
          <w:kern w:val="44"/>
        </w:rPr>
        <w:t>（一）建立健全安全运营责任制；</w:t>
      </w:r>
    </w:p>
    <w:p w14:paraId="0C4E4EA0">
      <w:pPr>
        <w:jc w:val="left"/>
        <w:rPr>
          <w:rFonts w:ascii="宋体" w:hAnsi="宋体"/>
          <w:kern w:val="44"/>
        </w:rPr>
      </w:pPr>
      <w:r>
        <w:rPr>
          <w:rFonts w:hint="eastAsia" w:ascii="宋体" w:hAnsi="宋体"/>
          <w:kern w:val="44"/>
        </w:rPr>
        <w:t>（二）组织制定安全运营规章制度和操作规程；</w:t>
      </w:r>
    </w:p>
    <w:p w14:paraId="0C92BB4E">
      <w:pPr>
        <w:jc w:val="left"/>
        <w:rPr>
          <w:rFonts w:ascii="宋体" w:hAnsi="宋体"/>
          <w:kern w:val="44"/>
        </w:rPr>
      </w:pPr>
      <w:r>
        <w:rPr>
          <w:rFonts w:hint="eastAsia" w:ascii="宋体" w:hAnsi="宋体"/>
          <w:kern w:val="44"/>
        </w:rPr>
        <w:t>（三）保证本单位安全运营投入的有效实施；</w:t>
      </w:r>
    </w:p>
    <w:p w14:paraId="0003FF79">
      <w:pPr>
        <w:jc w:val="left"/>
        <w:rPr>
          <w:rFonts w:ascii="宋体" w:hAnsi="宋体"/>
          <w:kern w:val="44"/>
        </w:rPr>
      </w:pPr>
      <w:r>
        <w:rPr>
          <w:rFonts w:hint="eastAsia" w:ascii="宋体" w:hAnsi="宋体"/>
          <w:kern w:val="44"/>
        </w:rPr>
        <w:t>（四）督促检查本单位的安全运营工作；</w:t>
      </w:r>
    </w:p>
    <w:p w14:paraId="119B9EA4">
      <w:pPr>
        <w:jc w:val="left"/>
        <w:rPr>
          <w:rFonts w:ascii="宋体" w:hAnsi="宋体"/>
          <w:kern w:val="44"/>
        </w:rPr>
      </w:pPr>
      <w:r>
        <w:rPr>
          <w:rFonts w:hint="eastAsia" w:ascii="宋体" w:hAnsi="宋体"/>
          <w:kern w:val="44"/>
        </w:rPr>
        <w:t>（五）建立安全运营风险评估和隐患排查治理制度；</w:t>
      </w:r>
    </w:p>
    <w:p w14:paraId="5DB3610E">
      <w:pPr>
        <w:jc w:val="left"/>
        <w:rPr>
          <w:rFonts w:ascii="宋体" w:hAnsi="宋体"/>
          <w:kern w:val="44"/>
        </w:rPr>
      </w:pPr>
      <w:r>
        <w:rPr>
          <w:rFonts w:hint="eastAsia" w:ascii="宋体" w:hAnsi="宋体"/>
          <w:kern w:val="44"/>
        </w:rPr>
        <w:t>（六）组织制定并实施先期应急处置方案和特殊情况下的运营组织方案；</w:t>
      </w:r>
    </w:p>
    <w:p w14:paraId="645A134A">
      <w:pPr>
        <w:jc w:val="left"/>
        <w:rPr>
          <w:rFonts w:ascii="宋体" w:hAnsi="宋体"/>
          <w:kern w:val="44"/>
        </w:rPr>
      </w:pPr>
      <w:r>
        <w:rPr>
          <w:rFonts w:hint="eastAsia" w:ascii="宋体" w:hAnsi="宋体"/>
          <w:kern w:val="44"/>
        </w:rPr>
        <w:t>（七）及时、如实报告运营安全事故。</w:t>
      </w:r>
    </w:p>
    <w:p w14:paraId="0D9609C4">
      <w:pPr>
        <w:ind w:firstLine="422"/>
        <w:jc w:val="left"/>
        <w:rPr>
          <w:rFonts w:ascii="宋体" w:hAnsi="宋体"/>
          <w:kern w:val="44"/>
        </w:rPr>
      </w:pPr>
      <w:r>
        <w:rPr>
          <w:rFonts w:hint="eastAsia" w:ascii="宋体" w:hAnsi="宋体"/>
          <w:b/>
          <w:kern w:val="44"/>
        </w:rPr>
        <w:t>第二十一条</w:t>
      </w:r>
      <w:r>
        <w:rPr>
          <w:rFonts w:hint="eastAsia" w:ascii="宋体" w:hAnsi="宋体"/>
          <w:kern w:val="44"/>
        </w:rPr>
        <w:t>　运营单位的主要负责人和安全生产管理人员必须具备与运营活动相应的安全知识和管理能力。</w:t>
      </w:r>
    </w:p>
    <w:p w14:paraId="50CFD95B">
      <w:pPr>
        <w:ind w:firstLine="422"/>
        <w:jc w:val="left"/>
        <w:rPr>
          <w:rFonts w:ascii="宋体" w:hAnsi="宋体"/>
          <w:kern w:val="44"/>
        </w:rPr>
      </w:pPr>
      <w:r>
        <w:rPr>
          <w:rFonts w:hint="eastAsia" w:ascii="宋体" w:hAnsi="宋体"/>
          <w:b/>
          <w:kern w:val="44"/>
        </w:rPr>
        <w:t>第二十二条</w:t>
      </w:r>
      <w:r>
        <w:rPr>
          <w:rFonts w:hint="eastAsia" w:ascii="宋体" w:hAnsi="宋体"/>
          <w:kern w:val="44"/>
        </w:rPr>
        <w:t>　运营单位应当对从业人员进行安全教育和培训，保证从业人员具备必要的安全运营知识，熟悉有关的安全运营规章制度和安全操作规程，掌握本岗位的安全操作技能。</w:t>
      </w:r>
    </w:p>
    <w:p w14:paraId="03DF1171">
      <w:pPr>
        <w:jc w:val="left"/>
        <w:rPr>
          <w:rFonts w:ascii="宋体" w:hAnsi="宋体"/>
          <w:kern w:val="44"/>
        </w:rPr>
      </w:pPr>
      <w:r>
        <w:rPr>
          <w:rFonts w:hint="eastAsia" w:ascii="宋体" w:hAnsi="宋体"/>
          <w:kern w:val="44"/>
        </w:rPr>
        <w:t>运营单位工作人员应当履行下列安全管理职责：</w:t>
      </w:r>
    </w:p>
    <w:p w14:paraId="6E9E44BA">
      <w:pPr>
        <w:jc w:val="left"/>
        <w:rPr>
          <w:rFonts w:ascii="宋体" w:hAnsi="宋体"/>
          <w:kern w:val="44"/>
        </w:rPr>
      </w:pPr>
      <w:r>
        <w:rPr>
          <w:rFonts w:hint="eastAsia" w:ascii="宋体" w:hAnsi="宋体"/>
          <w:kern w:val="44"/>
        </w:rPr>
        <w:t>（一）维护车站内秩序，引导乘客有序乘车，发生险情时，及时引导乘客疏散；</w:t>
      </w:r>
    </w:p>
    <w:p w14:paraId="5EC1BA33">
      <w:pPr>
        <w:jc w:val="left"/>
        <w:rPr>
          <w:rFonts w:ascii="宋体" w:hAnsi="宋体"/>
          <w:kern w:val="44"/>
        </w:rPr>
      </w:pPr>
      <w:r>
        <w:rPr>
          <w:rFonts w:hint="eastAsia" w:ascii="宋体" w:hAnsi="宋体"/>
          <w:kern w:val="44"/>
        </w:rPr>
        <w:t>（二）及时劝阻、制止可能导致危险发生的行为，对劝阻、制止无效的，报告公安机关处置；</w:t>
      </w:r>
    </w:p>
    <w:p w14:paraId="75F56602">
      <w:pPr>
        <w:jc w:val="left"/>
        <w:rPr>
          <w:rFonts w:ascii="宋体" w:hAnsi="宋体"/>
          <w:kern w:val="44"/>
        </w:rPr>
      </w:pPr>
      <w:r>
        <w:rPr>
          <w:rFonts w:hint="eastAsia" w:ascii="宋体" w:hAnsi="宋体"/>
          <w:kern w:val="44"/>
        </w:rPr>
        <w:t>（三）发现事故隐患，及时报告。</w:t>
      </w:r>
    </w:p>
    <w:p w14:paraId="7E644E7F">
      <w:pPr>
        <w:ind w:firstLine="422"/>
        <w:jc w:val="left"/>
        <w:rPr>
          <w:rFonts w:ascii="宋体" w:hAnsi="宋体"/>
          <w:kern w:val="44"/>
        </w:rPr>
      </w:pPr>
      <w:r>
        <w:rPr>
          <w:rFonts w:hint="eastAsia" w:ascii="宋体" w:hAnsi="宋体"/>
          <w:b/>
          <w:kern w:val="44"/>
        </w:rPr>
        <w:t>第二十三条</w:t>
      </w:r>
      <w:r>
        <w:rPr>
          <w:rFonts w:hint="eastAsia" w:ascii="宋体" w:hAnsi="宋体"/>
          <w:kern w:val="44"/>
        </w:rPr>
        <w:t>　运营单位的特种作业人员必须按照国家有关规定经过专门的安全作业培训，取得特种作业操作资格证书，方可上岗作业。</w:t>
      </w:r>
    </w:p>
    <w:p w14:paraId="1BD0B85F">
      <w:pPr>
        <w:jc w:val="left"/>
        <w:rPr>
          <w:rFonts w:ascii="宋体" w:hAnsi="宋体"/>
          <w:kern w:val="44"/>
        </w:rPr>
      </w:pPr>
      <w:r>
        <w:rPr>
          <w:rFonts w:hint="eastAsia" w:ascii="宋体" w:hAnsi="宋体"/>
          <w:kern w:val="44"/>
        </w:rPr>
        <w:t>列车驾驶员应当遵守安全运营规章制度和安全操作规程，驾驶中不得从事与驾驶列车无关的活动。</w:t>
      </w:r>
    </w:p>
    <w:p w14:paraId="27285BBD">
      <w:pPr>
        <w:ind w:firstLine="422"/>
        <w:jc w:val="left"/>
        <w:rPr>
          <w:rFonts w:ascii="宋体" w:hAnsi="宋体"/>
          <w:kern w:val="44"/>
        </w:rPr>
      </w:pPr>
      <w:r>
        <w:rPr>
          <w:rFonts w:hint="eastAsia" w:ascii="宋体" w:hAnsi="宋体"/>
          <w:b/>
          <w:kern w:val="44"/>
        </w:rPr>
        <w:t>第二十四条</w:t>
      </w:r>
      <w:r>
        <w:rPr>
          <w:rFonts w:hint="eastAsia" w:ascii="宋体" w:hAnsi="宋体"/>
          <w:kern w:val="44"/>
        </w:rPr>
        <w:t>　城市轨道交通车辆地面行驶中遇有沙尘、冰雹、雨、雪、雾、结冰等气象条件时，应当按照预案和操作规程要求行驶。</w:t>
      </w:r>
    </w:p>
    <w:p w14:paraId="68456D02">
      <w:pPr>
        <w:ind w:firstLine="422"/>
        <w:jc w:val="left"/>
        <w:rPr>
          <w:rFonts w:ascii="宋体" w:hAnsi="宋体"/>
          <w:kern w:val="44"/>
        </w:rPr>
      </w:pPr>
      <w:r>
        <w:rPr>
          <w:rFonts w:hint="eastAsia" w:ascii="宋体" w:hAnsi="宋体"/>
          <w:b/>
          <w:kern w:val="44"/>
        </w:rPr>
        <w:t>第二十五条</w:t>
      </w:r>
      <w:r>
        <w:rPr>
          <w:rFonts w:hint="eastAsia" w:ascii="宋体" w:hAnsi="宋体"/>
          <w:kern w:val="44"/>
        </w:rPr>
        <w:t>　运营单位应当按照国家和本市有关城市轨道交通设备设施的安全标准和技术规范，定期对包括车辆在内的安全系统进行检测、维修、更新和改造，保证良好的运行状态。</w:t>
      </w:r>
    </w:p>
    <w:p w14:paraId="3BCEB0E9">
      <w:pPr>
        <w:ind w:firstLine="422"/>
        <w:jc w:val="left"/>
        <w:rPr>
          <w:rFonts w:ascii="宋体" w:hAnsi="宋体"/>
          <w:kern w:val="44"/>
        </w:rPr>
      </w:pPr>
      <w:r>
        <w:rPr>
          <w:rFonts w:hint="eastAsia" w:ascii="宋体" w:hAnsi="宋体"/>
          <w:b/>
          <w:kern w:val="44"/>
        </w:rPr>
        <w:t>第二十六条</w:t>
      </w:r>
      <w:r>
        <w:rPr>
          <w:rFonts w:hint="eastAsia" w:ascii="宋体" w:hAnsi="宋体"/>
          <w:kern w:val="44"/>
        </w:rPr>
        <w:t>　城市轨道交通车站站厅、站台、车厢、疏散通道内禁止堆放物品、卖艺、擅自摆摊设点以及其他影响通行和救援疏散的行为。</w:t>
      </w:r>
    </w:p>
    <w:p w14:paraId="35DCB992">
      <w:pPr>
        <w:ind w:firstLine="422"/>
        <w:jc w:val="left"/>
        <w:rPr>
          <w:rFonts w:ascii="宋体" w:hAnsi="宋体"/>
          <w:kern w:val="44"/>
        </w:rPr>
      </w:pPr>
      <w:r>
        <w:rPr>
          <w:rFonts w:hint="eastAsia" w:ascii="宋体" w:hAnsi="宋体"/>
          <w:b/>
          <w:kern w:val="44"/>
        </w:rPr>
        <w:t>第二十七条</w:t>
      </w:r>
      <w:r>
        <w:rPr>
          <w:rFonts w:hint="eastAsia" w:ascii="宋体" w:hAnsi="宋体"/>
          <w:kern w:val="44"/>
        </w:rPr>
        <w:t>　城市轨道交通车站、列车车厢内及轨道线路、隧道应当配置报警、紧急照明、防护、救援、灭火等设备，设备应当处于完好状态。</w:t>
      </w:r>
    </w:p>
    <w:p w14:paraId="36DBA758">
      <w:pPr>
        <w:ind w:firstLine="422"/>
        <w:jc w:val="left"/>
        <w:rPr>
          <w:rFonts w:ascii="宋体" w:hAnsi="宋体"/>
          <w:kern w:val="44"/>
        </w:rPr>
      </w:pPr>
      <w:r>
        <w:rPr>
          <w:rFonts w:hint="eastAsia" w:ascii="宋体" w:hAnsi="宋体"/>
          <w:b/>
          <w:kern w:val="44"/>
        </w:rPr>
        <w:t>第二十八条</w:t>
      </w:r>
      <w:r>
        <w:rPr>
          <w:rFonts w:hint="eastAsia" w:ascii="宋体" w:hAnsi="宋体"/>
          <w:kern w:val="44"/>
        </w:rPr>
        <w:t>　运营单位应当按照国家和本市有关标准规范在轨道线路、隧道及车站站台、站厅、疏散通道、出入口、通风亭、列车车厢内及其他运营场所的醒目位置设置保障城市轨道交通安全运营的各类导向、疏散、提示、警告、限制、禁止等安全标志；定期对各类安全标志进行检查和维修，保持完好。</w:t>
      </w:r>
    </w:p>
    <w:p w14:paraId="16D4164A">
      <w:pPr>
        <w:ind w:firstLine="422"/>
        <w:jc w:val="left"/>
        <w:rPr>
          <w:rFonts w:ascii="宋体" w:hAnsi="宋体"/>
          <w:kern w:val="44"/>
        </w:rPr>
      </w:pPr>
      <w:r>
        <w:rPr>
          <w:rFonts w:hint="eastAsia" w:ascii="宋体" w:hAnsi="宋体"/>
          <w:b/>
          <w:kern w:val="44"/>
        </w:rPr>
        <w:t>第二十九条</w:t>
      </w:r>
      <w:r>
        <w:rPr>
          <w:rFonts w:hint="eastAsia" w:ascii="宋体" w:hAnsi="宋体"/>
          <w:kern w:val="44"/>
        </w:rPr>
        <w:t>　电力、电信、供水等相关单位应当保证城市轨道交通运营用电、通讯、用水等需要。</w:t>
      </w:r>
    </w:p>
    <w:p w14:paraId="478B7CEB">
      <w:pPr>
        <w:ind w:firstLine="422"/>
        <w:jc w:val="left"/>
        <w:rPr>
          <w:rFonts w:ascii="宋体" w:hAnsi="宋体"/>
          <w:kern w:val="44"/>
        </w:rPr>
      </w:pPr>
      <w:r>
        <w:rPr>
          <w:rFonts w:hint="eastAsia" w:ascii="宋体" w:hAnsi="宋体"/>
          <w:b/>
          <w:kern w:val="44"/>
        </w:rPr>
        <w:t>第三十条</w:t>
      </w:r>
      <w:r>
        <w:rPr>
          <w:rFonts w:hint="eastAsia" w:ascii="宋体" w:hAnsi="宋体"/>
          <w:kern w:val="44"/>
        </w:rPr>
        <w:t>　运营单位应当为乘客提供安全、便捷的客运服务，保障乘客的合法权益。</w:t>
      </w:r>
    </w:p>
    <w:p w14:paraId="5BBC7CAD">
      <w:pPr>
        <w:jc w:val="left"/>
        <w:rPr>
          <w:rFonts w:ascii="宋体" w:hAnsi="宋体"/>
          <w:kern w:val="44"/>
        </w:rPr>
      </w:pPr>
      <w:r>
        <w:rPr>
          <w:rFonts w:hint="eastAsia" w:ascii="宋体" w:hAnsi="宋体"/>
          <w:kern w:val="44"/>
        </w:rPr>
        <w:t>城市轨道交通运行过程中发生故障影响运行时，运营单位应当及时排除故障，恢复运行；无法恢复运行的，应当组织乘客疏散和换乘。</w:t>
      </w:r>
    </w:p>
    <w:p w14:paraId="4D5095D1">
      <w:pPr>
        <w:ind w:firstLine="422"/>
        <w:jc w:val="left"/>
        <w:rPr>
          <w:rFonts w:ascii="宋体" w:hAnsi="宋体"/>
          <w:kern w:val="44"/>
        </w:rPr>
      </w:pPr>
      <w:r>
        <w:rPr>
          <w:rFonts w:hint="eastAsia" w:ascii="宋体" w:hAnsi="宋体"/>
          <w:b/>
          <w:kern w:val="44"/>
        </w:rPr>
        <w:t>第三十一条</w:t>
      </w:r>
      <w:r>
        <w:rPr>
          <w:rFonts w:hint="eastAsia" w:ascii="宋体" w:hAnsi="宋体"/>
          <w:kern w:val="44"/>
        </w:rPr>
        <w:t>　因气象、节假日、大型群众活动等原因引起客流量上升的，运营单位应当及时增加运力，疏导乘客。</w:t>
      </w:r>
    </w:p>
    <w:p w14:paraId="222CDE52">
      <w:pPr>
        <w:ind w:firstLine="422"/>
        <w:jc w:val="left"/>
        <w:rPr>
          <w:rFonts w:ascii="宋体" w:hAnsi="宋体"/>
          <w:kern w:val="44"/>
        </w:rPr>
      </w:pPr>
      <w:r>
        <w:rPr>
          <w:rFonts w:hint="eastAsia" w:ascii="宋体" w:hAnsi="宋体"/>
          <w:b/>
          <w:kern w:val="44"/>
        </w:rPr>
        <w:t>第三十二条</w:t>
      </w:r>
      <w:r>
        <w:rPr>
          <w:rFonts w:hint="eastAsia" w:ascii="宋体" w:hAnsi="宋体"/>
          <w:kern w:val="44"/>
        </w:rPr>
        <w:t>　禁止携带枪支弹药、管制器具以及爆炸性、易燃性、放射性、毒害性、腐蚀性等可能影响公共安全的物品进入城市轨道交通设施，对进入城市轨道交通车站人员的携带物品可以实施必要的安全检查措施。</w:t>
      </w:r>
    </w:p>
    <w:p w14:paraId="5BE059A8">
      <w:pPr>
        <w:jc w:val="left"/>
        <w:rPr>
          <w:rFonts w:ascii="宋体" w:hAnsi="宋体"/>
          <w:kern w:val="44"/>
        </w:rPr>
      </w:pPr>
      <w:r>
        <w:rPr>
          <w:rFonts w:hint="eastAsia" w:ascii="宋体" w:hAnsi="宋体"/>
          <w:kern w:val="44"/>
        </w:rPr>
        <w:t>实施安全检查措施期间，不接受安全检查的，车站工作人员有权拒绝其进入城市轨道交通车站；拒不接受安全检查强行进入城市轨道交通车站或者扰乱安全检查现场秩序，构成违反治安管理行为的，由公安机关依法处理。</w:t>
      </w:r>
    </w:p>
    <w:p w14:paraId="3B20C015">
      <w:pPr>
        <w:jc w:val="left"/>
        <w:rPr>
          <w:rFonts w:ascii="宋体" w:hAnsi="宋体"/>
          <w:kern w:val="44"/>
        </w:rPr>
      </w:pPr>
      <w:r>
        <w:rPr>
          <w:rFonts w:hint="eastAsia" w:ascii="宋体" w:hAnsi="宋体"/>
          <w:kern w:val="44"/>
        </w:rPr>
        <w:t>公安机关应当制定城市轨道交通安全检查操作规范，对城市轨道交通安全检查工作进行指导、检查和监督，并依法处理安全检查中发现的违法犯罪行为。</w:t>
      </w:r>
    </w:p>
    <w:p w14:paraId="4F546146">
      <w:pPr>
        <w:ind w:firstLine="422"/>
        <w:jc w:val="left"/>
        <w:rPr>
          <w:rFonts w:ascii="宋体" w:hAnsi="宋体"/>
          <w:kern w:val="44"/>
        </w:rPr>
      </w:pPr>
      <w:r>
        <w:rPr>
          <w:rFonts w:hint="eastAsia" w:ascii="宋体" w:hAnsi="宋体"/>
          <w:b/>
          <w:kern w:val="44"/>
        </w:rPr>
        <w:t>第三十三条</w:t>
      </w:r>
      <w:r>
        <w:rPr>
          <w:rFonts w:hint="eastAsia" w:ascii="宋体" w:hAnsi="宋体"/>
          <w:kern w:val="44"/>
        </w:rPr>
        <w:t>　安全检查人员实施安全检查时，应当遵守下列规定：</w:t>
      </w:r>
    </w:p>
    <w:p w14:paraId="2AE9BB9B">
      <w:pPr>
        <w:jc w:val="left"/>
        <w:rPr>
          <w:rFonts w:ascii="宋体" w:hAnsi="宋体"/>
          <w:kern w:val="44"/>
        </w:rPr>
      </w:pPr>
      <w:r>
        <w:rPr>
          <w:rFonts w:hint="eastAsia" w:ascii="宋体" w:hAnsi="宋体"/>
          <w:kern w:val="44"/>
        </w:rPr>
        <w:t>（一）佩戴工作证件；</w:t>
      </w:r>
    </w:p>
    <w:p w14:paraId="081FA686">
      <w:pPr>
        <w:jc w:val="left"/>
        <w:rPr>
          <w:rFonts w:ascii="宋体" w:hAnsi="宋体"/>
          <w:kern w:val="44"/>
        </w:rPr>
      </w:pPr>
      <w:r>
        <w:rPr>
          <w:rFonts w:hint="eastAsia" w:ascii="宋体" w:hAnsi="宋体"/>
          <w:kern w:val="44"/>
        </w:rPr>
        <w:t>（二）文明礼貌，尊重受检查人；</w:t>
      </w:r>
    </w:p>
    <w:p w14:paraId="220C08D3">
      <w:pPr>
        <w:jc w:val="left"/>
        <w:rPr>
          <w:rFonts w:ascii="宋体" w:hAnsi="宋体"/>
          <w:kern w:val="44"/>
        </w:rPr>
      </w:pPr>
      <w:r>
        <w:rPr>
          <w:rFonts w:hint="eastAsia" w:ascii="宋体" w:hAnsi="宋体"/>
          <w:kern w:val="44"/>
        </w:rPr>
        <w:t>（三）严格执行安全检查操作规范；</w:t>
      </w:r>
    </w:p>
    <w:p w14:paraId="2A4887C2">
      <w:pPr>
        <w:jc w:val="left"/>
        <w:rPr>
          <w:rFonts w:ascii="宋体" w:hAnsi="宋体"/>
          <w:kern w:val="44"/>
        </w:rPr>
      </w:pPr>
      <w:r>
        <w:rPr>
          <w:rFonts w:hint="eastAsia" w:ascii="宋体" w:hAnsi="宋体"/>
          <w:kern w:val="44"/>
        </w:rPr>
        <w:t>（四）不得损坏受检查人携带的合法物品；</w:t>
      </w:r>
    </w:p>
    <w:p w14:paraId="6280ECDF">
      <w:pPr>
        <w:jc w:val="left"/>
        <w:rPr>
          <w:rFonts w:ascii="宋体" w:hAnsi="宋体"/>
          <w:kern w:val="44"/>
        </w:rPr>
      </w:pPr>
      <w:r>
        <w:rPr>
          <w:rFonts w:hint="eastAsia" w:ascii="宋体" w:hAnsi="宋体"/>
          <w:kern w:val="44"/>
        </w:rPr>
        <w:t>（五）发现禁止携带的物品和违法犯罪行为时，立即向公安机关报告。</w:t>
      </w:r>
    </w:p>
    <w:p w14:paraId="4994FC71">
      <w:pPr>
        <w:ind w:firstLine="422"/>
        <w:jc w:val="left"/>
        <w:rPr>
          <w:rFonts w:ascii="宋体" w:hAnsi="宋体"/>
          <w:kern w:val="44"/>
        </w:rPr>
      </w:pPr>
      <w:r>
        <w:rPr>
          <w:rFonts w:hint="eastAsia" w:ascii="宋体" w:hAnsi="宋体"/>
          <w:b/>
          <w:kern w:val="44"/>
        </w:rPr>
        <w:t>第三十四条</w:t>
      </w:r>
      <w:r>
        <w:rPr>
          <w:rFonts w:hint="eastAsia" w:ascii="宋体" w:hAnsi="宋体"/>
          <w:kern w:val="44"/>
        </w:rPr>
        <w:t>　进入城市轨道交通车站的人员应当遵守有关法律、法规、规章和城市轨道交通的相关管理制度，遵守公共秩序和社会公德，并应当遵守下列规定：</w:t>
      </w:r>
    </w:p>
    <w:p w14:paraId="7DA70266">
      <w:pPr>
        <w:jc w:val="left"/>
        <w:rPr>
          <w:rFonts w:ascii="宋体" w:hAnsi="宋体"/>
          <w:kern w:val="44"/>
        </w:rPr>
      </w:pPr>
      <w:r>
        <w:rPr>
          <w:rFonts w:hint="eastAsia" w:ascii="宋体" w:hAnsi="宋体"/>
          <w:kern w:val="44"/>
        </w:rPr>
        <w:t>（一）接受、配合安全检查；</w:t>
      </w:r>
    </w:p>
    <w:p w14:paraId="1091BC8D">
      <w:pPr>
        <w:jc w:val="left"/>
        <w:rPr>
          <w:rFonts w:ascii="宋体" w:hAnsi="宋体"/>
          <w:kern w:val="44"/>
        </w:rPr>
      </w:pPr>
      <w:r>
        <w:rPr>
          <w:rFonts w:hint="eastAsia" w:ascii="宋体" w:hAnsi="宋体"/>
          <w:kern w:val="44"/>
        </w:rPr>
        <w:t>（二）遵守安全指示标志，听从工作人员指挥；</w:t>
      </w:r>
    </w:p>
    <w:p w14:paraId="510AF056">
      <w:pPr>
        <w:jc w:val="left"/>
        <w:rPr>
          <w:rFonts w:ascii="宋体" w:hAnsi="宋体"/>
          <w:kern w:val="44"/>
        </w:rPr>
      </w:pPr>
      <w:r>
        <w:rPr>
          <w:rFonts w:hint="eastAsia" w:ascii="宋体" w:hAnsi="宋体"/>
          <w:kern w:val="44"/>
        </w:rPr>
        <w:t>（三）候车时站在安全线内侧，乘车时先下后上；</w:t>
      </w:r>
    </w:p>
    <w:p w14:paraId="47A6B9AE">
      <w:pPr>
        <w:jc w:val="left"/>
        <w:rPr>
          <w:rFonts w:ascii="宋体" w:hAnsi="宋体"/>
          <w:kern w:val="44"/>
        </w:rPr>
      </w:pPr>
      <w:r>
        <w:rPr>
          <w:rFonts w:hint="eastAsia" w:ascii="宋体" w:hAnsi="宋体"/>
          <w:kern w:val="44"/>
        </w:rPr>
        <w:t>（四）不得实施阻挡车门、屏蔽门的正常开启、关闭和其他影响列车正点停靠、驶离的行为；</w:t>
      </w:r>
    </w:p>
    <w:p w14:paraId="35BB23E3">
      <w:pPr>
        <w:jc w:val="left"/>
        <w:rPr>
          <w:rFonts w:ascii="宋体" w:hAnsi="宋体"/>
          <w:kern w:val="44"/>
        </w:rPr>
      </w:pPr>
      <w:r>
        <w:rPr>
          <w:rFonts w:hint="eastAsia" w:ascii="宋体" w:hAnsi="宋体"/>
          <w:kern w:val="44"/>
        </w:rPr>
        <w:t>（五）不得从事兜售物品、散发广告或者反复纠缠、强行讨要以及以其他滋扰他人的方式乞讨等影响乘车秩序的行为。</w:t>
      </w:r>
    </w:p>
    <w:p w14:paraId="719B7F53">
      <w:pPr>
        <w:jc w:val="left"/>
        <w:rPr>
          <w:rFonts w:ascii="宋体" w:hAnsi="宋体"/>
          <w:kern w:val="44"/>
        </w:rPr>
      </w:pPr>
      <w:r>
        <w:rPr>
          <w:rFonts w:hint="eastAsia" w:ascii="宋体" w:hAnsi="宋体"/>
          <w:kern w:val="44"/>
        </w:rPr>
        <w:t>运营单位应当明示城市轨道交通的相关管理制度，发现第一款第（五）项行为的，应当及时予以劝阻；对于不听从劝阻，构成违反治安管理行为的，提请公安机关依法处理。</w:t>
      </w:r>
    </w:p>
    <w:p w14:paraId="66CD7B53">
      <w:pPr>
        <w:ind w:firstLine="422"/>
        <w:jc w:val="left"/>
        <w:rPr>
          <w:rFonts w:ascii="宋体" w:hAnsi="宋体"/>
          <w:kern w:val="44"/>
        </w:rPr>
      </w:pPr>
      <w:r>
        <w:rPr>
          <w:rFonts w:hint="eastAsia" w:ascii="宋体" w:hAnsi="宋体"/>
          <w:b/>
          <w:kern w:val="44"/>
        </w:rPr>
        <w:t>第三十五条</w:t>
      </w:r>
      <w:r>
        <w:rPr>
          <w:rFonts w:hint="eastAsia" w:ascii="宋体" w:hAnsi="宋体"/>
          <w:kern w:val="44"/>
        </w:rPr>
        <w:t>　禁止下列危害城市轨道交通安全运营的行为：</w:t>
      </w:r>
    </w:p>
    <w:p w14:paraId="632AF5DC">
      <w:pPr>
        <w:jc w:val="left"/>
        <w:rPr>
          <w:rFonts w:ascii="宋体" w:hAnsi="宋体"/>
          <w:kern w:val="44"/>
        </w:rPr>
      </w:pPr>
      <w:r>
        <w:rPr>
          <w:rFonts w:hint="eastAsia" w:ascii="宋体" w:hAnsi="宋体"/>
          <w:kern w:val="44"/>
        </w:rPr>
        <w:t>（一）拦截列车；</w:t>
      </w:r>
    </w:p>
    <w:p w14:paraId="406DF130">
      <w:pPr>
        <w:jc w:val="left"/>
        <w:rPr>
          <w:rFonts w:ascii="宋体" w:hAnsi="宋体"/>
          <w:kern w:val="44"/>
        </w:rPr>
      </w:pPr>
      <w:r>
        <w:rPr>
          <w:rFonts w:hint="eastAsia" w:ascii="宋体" w:hAnsi="宋体"/>
          <w:kern w:val="44"/>
        </w:rPr>
        <w:t>（二）擅自进入轨道线路、隧道等禁止进入的区域；</w:t>
      </w:r>
    </w:p>
    <w:p w14:paraId="2A1ECE48">
      <w:pPr>
        <w:jc w:val="left"/>
        <w:rPr>
          <w:rFonts w:ascii="宋体" w:hAnsi="宋体"/>
          <w:kern w:val="44"/>
        </w:rPr>
      </w:pPr>
      <w:r>
        <w:rPr>
          <w:rFonts w:hint="eastAsia" w:ascii="宋体" w:hAnsi="宋体"/>
          <w:kern w:val="44"/>
        </w:rPr>
        <w:t>（三）强行上下列车；</w:t>
      </w:r>
    </w:p>
    <w:p w14:paraId="65B2EC5B">
      <w:pPr>
        <w:jc w:val="left"/>
        <w:rPr>
          <w:rFonts w:ascii="宋体" w:hAnsi="宋体"/>
          <w:kern w:val="44"/>
        </w:rPr>
      </w:pPr>
      <w:r>
        <w:rPr>
          <w:rFonts w:hint="eastAsia" w:ascii="宋体" w:hAnsi="宋体"/>
          <w:kern w:val="44"/>
        </w:rPr>
        <w:t>（四）向列车、机车、维修工程车以及其他设施投掷物品；</w:t>
      </w:r>
    </w:p>
    <w:p w14:paraId="6D49C0C1">
      <w:pPr>
        <w:jc w:val="left"/>
        <w:rPr>
          <w:rFonts w:ascii="宋体" w:hAnsi="宋体"/>
          <w:kern w:val="44"/>
        </w:rPr>
      </w:pPr>
      <w:r>
        <w:rPr>
          <w:rFonts w:hint="eastAsia" w:ascii="宋体" w:hAnsi="宋体"/>
          <w:kern w:val="44"/>
        </w:rPr>
        <w:t>（五）损坏车辆、隧道、轨道；</w:t>
      </w:r>
    </w:p>
    <w:p w14:paraId="5FBFD8FA">
      <w:pPr>
        <w:jc w:val="left"/>
        <w:rPr>
          <w:rFonts w:ascii="宋体" w:hAnsi="宋体"/>
          <w:kern w:val="44"/>
        </w:rPr>
      </w:pPr>
      <w:r>
        <w:rPr>
          <w:rFonts w:hint="eastAsia" w:ascii="宋体" w:hAnsi="宋体"/>
          <w:kern w:val="44"/>
        </w:rPr>
        <w:t>（六）损害和干扰机电设备，架空电缆和通讯信号系统；</w:t>
      </w:r>
    </w:p>
    <w:p w14:paraId="522AD8D4">
      <w:pPr>
        <w:jc w:val="left"/>
        <w:rPr>
          <w:rFonts w:ascii="宋体" w:hAnsi="宋体"/>
          <w:kern w:val="44"/>
        </w:rPr>
      </w:pPr>
      <w:r>
        <w:rPr>
          <w:rFonts w:hint="eastAsia" w:ascii="宋体" w:hAnsi="宋体"/>
          <w:kern w:val="44"/>
        </w:rPr>
        <w:t>（七）翻越、毁坏隔离围墙、护栏、护网和闸门；</w:t>
      </w:r>
    </w:p>
    <w:p w14:paraId="4AFB3531">
      <w:pPr>
        <w:jc w:val="left"/>
        <w:rPr>
          <w:rFonts w:ascii="宋体" w:hAnsi="宋体"/>
          <w:kern w:val="44"/>
        </w:rPr>
      </w:pPr>
      <w:r>
        <w:rPr>
          <w:rFonts w:hint="eastAsia" w:ascii="宋体" w:hAnsi="宋体"/>
          <w:kern w:val="44"/>
        </w:rPr>
        <w:t>（八）非紧急状态下动用紧急或者安全装置；</w:t>
      </w:r>
    </w:p>
    <w:p w14:paraId="3DDF6DD1">
      <w:pPr>
        <w:jc w:val="left"/>
        <w:rPr>
          <w:rFonts w:ascii="宋体" w:hAnsi="宋体"/>
          <w:kern w:val="44"/>
        </w:rPr>
      </w:pPr>
      <w:r>
        <w:rPr>
          <w:rFonts w:hint="eastAsia" w:ascii="宋体" w:hAnsi="宋体"/>
          <w:kern w:val="44"/>
        </w:rPr>
        <w:t>（九）损坏、擅自移动安全标志；</w:t>
      </w:r>
    </w:p>
    <w:p w14:paraId="18ABBE66">
      <w:pPr>
        <w:jc w:val="left"/>
        <w:rPr>
          <w:rFonts w:ascii="宋体" w:hAnsi="宋体"/>
          <w:kern w:val="44"/>
        </w:rPr>
      </w:pPr>
      <w:r>
        <w:rPr>
          <w:rFonts w:hint="eastAsia" w:ascii="宋体" w:hAnsi="宋体"/>
          <w:kern w:val="44"/>
        </w:rPr>
        <w:t>（十）其他危害城市轨道交通安全运营的行为。</w:t>
      </w:r>
    </w:p>
    <w:p w14:paraId="05406A3A">
      <w:pPr>
        <w:jc w:val="left"/>
        <w:rPr>
          <w:rFonts w:ascii="宋体" w:hAnsi="宋体"/>
          <w:kern w:val="44"/>
        </w:rPr>
      </w:pPr>
    </w:p>
    <w:p w14:paraId="6EF94581">
      <w:pPr>
        <w:ind w:firstLine="0" w:firstLineChars="0"/>
        <w:jc w:val="center"/>
        <w:rPr>
          <w:rFonts w:ascii="宋体" w:hAnsi="宋体"/>
          <w:b/>
          <w:kern w:val="44"/>
          <w:sz w:val="28"/>
        </w:rPr>
      </w:pPr>
      <w:r>
        <w:rPr>
          <w:rFonts w:hint="eastAsia" w:ascii="宋体" w:hAnsi="宋体"/>
          <w:b/>
          <w:kern w:val="44"/>
          <w:sz w:val="28"/>
        </w:rPr>
        <w:t>第四章　应急和事故处理</w:t>
      </w:r>
    </w:p>
    <w:p w14:paraId="0CF65B9C">
      <w:pPr>
        <w:jc w:val="left"/>
        <w:rPr>
          <w:rFonts w:ascii="宋体" w:hAnsi="宋体"/>
          <w:kern w:val="44"/>
        </w:rPr>
      </w:pPr>
    </w:p>
    <w:p w14:paraId="35DC79CE">
      <w:pPr>
        <w:ind w:firstLine="422"/>
        <w:jc w:val="left"/>
        <w:rPr>
          <w:rFonts w:ascii="宋体" w:hAnsi="宋体"/>
          <w:kern w:val="44"/>
        </w:rPr>
      </w:pPr>
      <w:r>
        <w:rPr>
          <w:rFonts w:hint="eastAsia" w:ascii="宋体" w:hAnsi="宋体"/>
          <w:b/>
          <w:kern w:val="44"/>
        </w:rPr>
        <w:t>第三十六条</w:t>
      </w:r>
      <w:r>
        <w:rPr>
          <w:rFonts w:hint="eastAsia" w:ascii="宋体" w:hAnsi="宋体"/>
          <w:kern w:val="44"/>
        </w:rPr>
        <w:t>　市交通行政管理部门应当会同政府有关部门及相关单位制定城市轨道交通突发事件应急预案，报市人民政府批准后实施。</w:t>
      </w:r>
    </w:p>
    <w:p w14:paraId="7543761A">
      <w:pPr>
        <w:ind w:firstLine="422"/>
        <w:jc w:val="left"/>
        <w:rPr>
          <w:rFonts w:ascii="宋体" w:hAnsi="宋体"/>
          <w:kern w:val="44"/>
        </w:rPr>
      </w:pPr>
      <w:r>
        <w:rPr>
          <w:rFonts w:hint="eastAsia" w:ascii="宋体" w:hAnsi="宋体"/>
          <w:b/>
          <w:kern w:val="44"/>
        </w:rPr>
        <w:t>第三十七条</w:t>
      </w:r>
      <w:r>
        <w:rPr>
          <w:rFonts w:hint="eastAsia" w:ascii="宋体" w:hAnsi="宋体"/>
          <w:kern w:val="44"/>
        </w:rPr>
        <w:t>　运营单位应当制定城市轨道交通突发事件先期应急处置方案，报市交通行政管理部门备案。</w:t>
      </w:r>
    </w:p>
    <w:p w14:paraId="602B1308">
      <w:pPr>
        <w:ind w:firstLine="422"/>
        <w:jc w:val="left"/>
        <w:rPr>
          <w:rFonts w:ascii="宋体" w:hAnsi="宋体"/>
          <w:kern w:val="44"/>
        </w:rPr>
      </w:pPr>
      <w:r>
        <w:rPr>
          <w:rFonts w:hint="eastAsia" w:ascii="宋体" w:hAnsi="宋体"/>
          <w:b/>
          <w:kern w:val="44"/>
        </w:rPr>
        <w:t>第三十八条</w:t>
      </w:r>
      <w:r>
        <w:rPr>
          <w:rFonts w:hint="eastAsia" w:ascii="宋体" w:hAnsi="宋体"/>
          <w:kern w:val="44"/>
        </w:rPr>
        <w:t>　运营单位应当完善应急处置设备的配备和管理，对工作人员进行应急处置培训，定期组织应急演练，提高先期应急处置能力。</w:t>
      </w:r>
    </w:p>
    <w:p w14:paraId="5826BEB8">
      <w:pPr>
        <w:ind w:firstLine="422"/>
        <w:jc w:val="left"/>
        <w:rPr>
          <w:rFonts w:ascii="宋体" w:hAnsi="宋体"/>
          <w:kern w:val="44"/>
        </w:rPr>
      </w:pPr>
      <w:r>
        <w:rPr>
          <w:rFonts w:hint="eastAsia" w:ascii="宋体" w:hAnsi="宋体"/>
          <w:b/>
          <w:kern w:val="44"/>
        </w:rPr>
        <w:t>第三十九条</w:t>
      </w:r>
      <w:r>
        <w:rPr>
          <w:rFonts w:hint="eastAsia" w:ascii="宋体" w:hAnsi="宋体"/>
          <w:kern w:val="44"/>
        </w:rPr>
        <w:t>　遇有城市轨道交通客流量激增危及运营安全的紧急情况，运营单位有权采取限制客流的临时措施，确保安全运营。</w:t>
      </w:r>
    </w:p>
    <w:p w14:paraId="539D2C02">
      <w:pPr>
        <w:ind w:firstLine="422"/>
        <w:jc w:val="left"/>
        <w:rPr>
          <w:rFonts w:ascii="宋体" w:hAnsi="宋体"/>
          <w:kern w:val="44"/>
        </w:rPr>
      </w:pPr>
      <w:r>
        <w:rPr>
          <w:rFonts w:hint="eastAsia" w:ascii="宋体" w:hAnsi="宋体"/>
          <w:b/>
          <w:kern w:val="44"/>
        </w:rPr>
        <w:t>第四十条</w:t>
      </w:r>
      <w:r>
        <w:rPr>
          <w:rFonts w:hint="eastAsia" w:ascii="宋体" w:hAnsi="宋体"/>
          <w:kern w:val="44"/>
        </w:rPr>
        <w:t>　遇有自然灾害、恶劣气象条件或者发生突发事件等严重影响城市轨道交通运营安全的情形，采取其他措施难以保证城市轨道交通安全运营时，运营单位可以停止部分线路或者路段运营，但应当向社会公告，并报市交通行政管理部门。</w:t>
      </w:r>
    </w:p>
    <w:p w14:paraId="4F67859C">
      <w:pPr>
        <w:ind w:firstLine="422"/>
        <w:jc w:val="left"/>
        <w:rPr>
          <w:rFonts w:ascii="宋体" w:hAnsi="宋体"/>
          <w:kern w:val="44"/>
        </w:rPr>
      </w:pPr>
      <w:r>
        <w:rPr>
          <w:rFonts w:hint="eastAsia" w:ascii="宋体" w:hAnsi="宋体"/>
          <w:b/>
          <w:kern w:val="44"/>
        </w:rPr>
        <w:t>第四十一条</w:t>
      </w:r>
      <w:r>
        <w:rPr>
          <w:rFonts w:hint="eastAsia" w:ascii="宋体" w:hAnsi="宋体"/>
          <w:kern w:val="44"/>
        </w:rPr>
        <w:t>　城市轨道交通运营发生突发事件后，市人民政府相关部门、突发事件所在地的区、县人民政府以及电力、电信、供水等单位，应当按照相应应急预案的规定进行抢险救援和应急保障，尽快恢复运营。</w:t>
      </w:r>
    </w:p>
    <w:p w14:paraId="5970B591">
      <w:pPr>
        <w:ind w:firstLine="422"/>
        <w:jc w:val="left"/>
        <w:rPr>
          <w:rFonts w:ascii="宋体" w:hAnsi="宋体"/>
          <w:kern w:val="44"/>
        </w:rPr>
      </w:pPr>
      <w:r>
        <w:rPr>
          <w:rFonts w:hint="eastAsia" w:ascii="宋体" w:hAnsi="宋体"/>
          <w:b/>
          <w:kern w:val="44"/>
        </w:rPr>
        <w:t>第四十二条</w:t>
      </w:r>
      <w:r>
        <w:rPr>
          <w:rFonts w:hint="eastAsia" w:ascii="宋体" w:hAnsi="宋体"/>
          <w:kern w:val="44"/>
        </w:rPr>
        <w:t>　城市轨道交通发生运营安全事故后，运营单位应当迅速采取有效措施，组织抢救，防止事故扩大，减少人员伤亡和财产损失，同时按照国家和本市有关规定报告政府有关部门。</w:t>
      </w:r>
    </w:p>
    <w:p w14:paraId="19163BF8">
      <w:pPr>
        <w:ind w:firstLine="422"/>
        <w:jc w:val="left"/>
        <w:rPr>
          <w:rFonts w:ascii="宋体" w:hAnsi="宋体"/>
          <w:kern w:val="44"/>
        </w:rPr>
      </w:pPr>
      <w:r>
        <w:rPr>
          <w:rFonts w:hint="eastAsia" w:ascii="宋体" w:hAnsi="宋体"/>
          <w:b/>
          <w:kern w:val="44"/>
        </w:rPr>
        <w:t>第四十三条</w:t>
      </w:r>
      <w:r>
        <w:rPr>
          <w:rFonts w:hint="eastAsia" w:ascii="宋体" w:hAnsi="宋体"/>
          <w:kern w:val="44"/>
        </w:rPr>
        <w:t>　城市轨道交通运营发生事故时，有关行政管理部门接到报告后应当立即派员赶赴现场，及时处置，尽快恢复运营，并按照国家和本市有关规定进行事故调查处理。</w:t>
      </w:r>
    </w:p>
    <w:p w14:paraId="067541AE">
      <w:pPr>
        <w:ind w:firstLine="422"/>
        <w:jc w:val="left"/>
        <w:rPr>
          <w:rFonts w:ascii="宋体" w:hAnsi="宋体"/>
          <w:kern w:val="44"/>
        </w:rPr>
      </w:pPr>
      <w:r>
        <w:rPr>
          <w:rFonts w:hint="eastAsia" w:ascii="宋体" w:hAnsi="宋体"/>
          <w:b/>
          <w:kern w:val="44"/>
        </w:rPr>
        <w:t>第四十四条</w:t>
      </w:r>
      <w:r>
        <w:rPr>
          <w:rFonts w:hint="eastAsia" w:ascii="宋体" w:hAnsi="宋体"/>
          <w:kern w:val="44"/>
        </w:rPr>
        <w:t>　运营单位应当对运营过程中乘客的伤亡承担损害赔偿责任，但是伤亡是乘客自身健康原因造成的或者运营单位证明伤亡是乘客故意、重大过失原因造成的除外。</w:t>
      </w:r>
    </w:p>
    <w:p w14:paraId="5103B351">
      <w:pPr>
        <w:jc w:val="left"/>
        <w:rPr>
          <w:rFonts w:ascii="宋体" w:hAnsi="宋体"/>
          <w:kern w:val="44"/>
        </w:rPr>
      </w:pPr>
    </w:p>
    <w:p w14:paraId="01396E55">
      <w:pPr>
        <w:ind w:firstLine="0" w:firstLineChars="0"/>
        <w:jc w:val="center"/>
        <w:rPr>
          <w:rFonts w:ascii="宋体" w:hAnsi="宋体"/>
          <w:b/>
          <w:kern w:val="44"/>
          <w:sz w:val="28"/>
        </w:rPr>
      </w:pPr>
      <w:r>
        <w:rPr>
          <w:rFonts w:hint="eastAsia" w:ascii="宋体" w:hAnsi="宋体"/>
          <w:b/>
          <w:kern w:val="44"/>
          <w:sz w:val="28"/>
        </w:rPr>
        <w:t>第五章　法律责任</w:t>
      </w:r>
    </w:p>
    <w:p w14:paraId="5307A2D9">
      <w:pPr>
        <w:jc w:val="left"/>
        <w:rPr>
          <w:rFonts w:ascii="宋体" w:hAnsi="宋体"/>
          <w:kern w:val="44"/>
        </w:rPr>
      </w:pPr>
    </w:p>
    <w:p w14:paraId="2AA5586A">
      <w:pPr>
        <w:ind w:firstLine="422"/>
        <w:jc w:val="left"/>
        <w:rPr>
          <w:rFonts w:ascii="宋体" w:hAnsi="宋体"/>
          <w:kern w:val="44"/>
        </w:rPr>
      </w:pPr>
      <w:r>
        <w:rPr>
          <w:rFonts w:hint="eastAsia" w:ascii="宋体" w:hAnsi="宋体"/>
          <w:b/>
          <w:kern w:val="44"/>
        </w:rPr>
        <w:t>第四十五条</w:t>
      </w:r>
      <w:r>
        <w:rPr>
          <w:rFonts w:hint="eastAsia" w:ascii="宋体" w:hAnsi="宋体"/>
          <w:kern w:val="44"/>
        </w:rPr>
        <w:t>　违反本办法规定，有下列行为之一的，由市交通行政管理部门予以警告，责令限期改正，并可处1万元以上3万元以下的罚款；造成损失的，依法承担赔偿责任：</w:t>
      </w:r>
    </w:p>
    <w:p w14:paraId="4AFBBCFE">
      <w:pPr>
        <w:jc w:val="left"/>
        <w:rPr>
          <w:rFonts w:ascii="宋体" w:hAnsi="宋体"/>
          <w:kern w:val="44"/>
        </w:rPr>
      </w:pPr>
      <w:r>
        <w:rPr>
          <w:rFonts w:hint="eastAsia" w:ascii="宋体" w:hAnsi="宋体"/>
          <w:kern w:val="44"/>
        </w:rPr>
        <w:t>（一）违反本办法第十四条第二款规定，在城市轨道交通控制保护区内进行作业的作业单位未制定安全防护方案，或者未征得城市轨道交通运营单位同意的；</w:t>
      </w:r>
    </w:p>
    <w:p w14:paraId="74DCB885">
      <w:pPr>
        <w:jc w:val="left"/>
        <w:rPr>
          <w:rFonts w:ascii="宋体" w:hAnsi="宋体"/>
          <w:kern w:val="44"/>
        </w:rPr>
      </w:pPr>
      <w:r>
        <w:rPr>
          <w:rFonts w:hint="eastAsia" w:ascii="宋体" w:hAnsi="宋体"/>
          <w:kern w:val="44"/>
        </w:rPr>
        <w:t>（二）违反本办法第十七条规定，城市轨道交通运营单位对轨道交通进行扩建、改建和设施改造时，未制定安全防护方案的。</w:t>
      </w:r>
    </w:p>
    <w:p w14:paraId="61B20A3C">
      <w:pPr>
        <w:ind w:firstLine="422"/>
        <w:jc w:val="left"/>
        <w:rPr>
          <w:rFonts w:ascii="宋体" w:hAnsi="宋体"/>
          <w:kern w:val="44"/>
        </w:rPr>
      </w:pPr>
      <w:r>
        <w:rPr>
          <w:rFonts w:hint="eastAsia" w:ascii="宋体" w:hAnsi="宋体"/>
          <w:b/>
          <w:kern w:val="44"/>
        </w:rPr>
        <w:t>第四十六条</w:t>
      </w:r>
      <w:r>
        <w:rPr>
          <w:rFonts w:hint="eastAsia" w:ascii="宋体" w:hAnsi="宋体"/>
          <w:kern w:val="44"/>
        </w:rPr>
        <w:t>　运营单位违反本办法第二十条、第二十二条、第二十三条、第二十七条和第二十八条规定，并构成违反安全生产管理行为的，由安全生产监督行政管理部门依法处罚。</w:t>
      </w:r>
    </w:p>
    <w:p w14:paraId="2CF708B6">
      <w:pPr>
        <w:ind w:firstLine="422"/>
        <w:jc w:val="left"/>
        <w:rPr>
          <w:rFonts w:ascii="宋体" w:hAnsi="宋体"/>
          <w:kern w:val="44"/>
        </w:rPr>
      </w:pPr>
      <w:r>
        <w:rPr>
          <w:rFonts w:hint="eastAsia" w:ascii="宋体" w:hAnsi="宋体"/>
          <w:b/>
          <w:kern w:val="44"/>
        </w:rPr>
        <w:t>第四十七条</w:t>
      </w:r>
      <w:r>
        <w:rPr>
          <w:rFonts w:hint="eastAsia" w:ascii="宋体" w:hAnsi="宋体"/>
          <w:kern w:val="44"/>
        </w:rPr>
        <w:t>　违反本办法第三十二条、第三十五条规定，并构成违反治安管理行为的，由公安机关依照《中华人民共和国治安管理处罚法》的规定予以处罚。造成城市轨道交通设备、设施损坏的，依法承担民事赔偿责任。</w:t>
      </w:r>
    </w:p>
    <w:p w14:paraId="78172AC1">
      <w:pPr>
        <w:ind w:firstLine="422"/>
        <w:jc w:val="left"/>
        <w:rPr>
          <w:rFonts w:ascii="宋体" w:hAnsi="宋体"/>
          <w:kern w:val="44"/>
        </w:rPr>
      </w:pPr>
      <w:r>
        <w:rPr>
          <w:rFonts w:hint="eastAsia" w:ascii="宋体" w:hAnsi="宋体"/>
          <w:b/>
          <w:kern w:val="44"/>
        </w:rPr>
        <w:t>第四十八条</w:t>
      </w:r>
      <w:r>
        <w:rPr>
          <w:rFonts w:hint="eastAsia" w:ascii="宋体" w:hAnsi="宋体"/>
          <w:kern w:val="44"/>
        </w:rPr>
        <w:t>　违反本办法，按照消防、规划、建设、园林绿化等有关法律、法规、规章规定应当予以处罚的，由有关部门依法处罚。</w:t>
      </w:r>
    </w:p>
    <w:p w14:paraId="0D34EE64">
      <w:pPr>
        <w:ind w:firstLine="422"/>
        <w:jc w:val="left"/>
        <w:rPr>
          <w:rFonts w:ascii="宋体" w:hAnsi="宋体"/>
          <w:kern w:val="44"/>
        </w:rPr>
      </w:pPr>
      <w:r>
        <w:rPr>
          <w:rFonts w:hint="eastAsia" w:ascii="宋体" w:hAnsi="宋体"/>
          <w:b/>
          <w:kern w:val="44"/>
        </w:rPr>
        <w:t>第四十九条</w:t>
      </w:r>
      <w:r>
        <w:rPr>
          <w:rFonts w:hint="eastAsia" w:ascii="宋体" w:hAnsi="宋体"/>
          <w:kern w:val="44"/>
        </w:rPr>
        <w:t>　相关行政管理部门及其工作人员未依法履行城市轨道交通安全监督管理职责的，或者对依法应当查处的违法行为不予查处的，由上级机关责令改正，对责任人员依法给予行政处分；构成犯罪的，依法追究刑事责任。</w:t>
      </w:r>
    </w:p>
    <w:p w14:paraId="128C84C9">
      <w:pPr>
        <w:ind w:firstLine="422"/>
        <w:jc w:val="left"/>
        <w:rPr>
          <w:rFonts w:ascii="宋体" w:hAnsi="宋体"/>
          <w:kern w:val="44"/>
        </w:rPr>
      </w:pPr>
      <w:r>
        <w:rPr>
          <w:rFonts w:hint="eastAsia" w:ascii="宋体" w:hAnsi="宋体"/>
          <w:b/>
          <w:kern w:val="44"/>
        </w:rPr>
        <w:t>第五十条</w:t>
      </w:r>
      <w:r>
        <w:rPr>
          <w:rFonts w:hint="eastAsia" w:ascii="宋体" w:hAnsi="宋体"/>
          <w:kern w:val="44"/>
        </w:rPr>
        <w:t>　运营单位主要负责人及其工作人员未依法履行城市轨道交通安全生产监督管理职责的，由安全生产监督行政管理部门依法处理；构成犯罪的，依法追究刑事责任。</w:t>
      </w:r>
    </w:p>
    <w:p w14:paraId="43AD144C">
      <w:pPr>
        <w:jc w:val="left"/>
        <w:rPr>
          <w:rFonts w:ascii="宋体" w:hAnsi="宋体"/>
          <w:kern w:val="44"/>
        </w:rPr>
      </w:pPr>
    </w:p>
    <w:p w14:paraId="43F48BCD">
      <w:pPr>
        <w:ind w:firstLine="0" w:firstLineChars="0"/>
        <w:jc w:val="center"/>
        <w:rPr>
          <w:rFonts w:ascii="宋体" w:hAnsi="宋体"/>
          <w:b/>
          <w:kern w:val="44"/>
          <w:sz w:val="28"/>
        </w:rPr>
      </w:pPr>
      <w:r>
        <w:rPr>
          <w:rFonts w:hint="eastAsia" w:ascii="宋体" w:hAnsi="宋体"/>
          <w:b/>
          <w:kern w:val="44"/>
          <w:sz w:val="28"/>
        </w:rPr>
        <w:t>第六章　附　则</w:t>
      </w:r>
    </w:p>
    <w:p w14:paraId="0473E35B">
      <w:pPr>
        <w:jc w:val="left"/>
        <w:rPr>
          <w:rFonts w:ascii="宋体" w:hAnsi="宋体"/>
          <w:kern w:val="44"/>
        </w:rPr>
      </w:pPr>
    </w:p>
    <w:p w14:paraId="5154EA12">
      <w:pPr>
        <w:ind w:firstLine="422"/>
        <w:jc w:val="left"/>
        <w:rPr>
          <w:rFonts w:ascii="宋体" w:hAnsi="宋体"/>
          <w:kern w:val="44"/>
        </w:rPr>
      </w:pPr>
      <w:r>
        <w:rPr>
          <w:rFonts w:hint="eastAsia" w:ascii="宋体" w:hAnsi="宋体"/>
          <w:b/>
          <w:kern w:val="44"/>
        </w:rPr>
        <w:t>第五十一条</w:t>
      </w:r>
      <w:r>
        <w:rPr>
          <w:rFonts w:hint="eastAsia" w:ascii="宋体" w:hAnsi="宋体"/>
          <w:kern w:val="44"/>
        </w:rPr>
        <w:t>　本办法自2004年6月1日起施行。</w:t>
      </w:r>
    </w:p>
    <w:p w14:paraId="6A39FD85">
      <w:pPr>
        <w:pStyle w:val="4"/>
        <w:pageBreakBefore/>
        <w:rPr>
          <w:kern w:val="44"/>
        </w:rPr>
      </w:pPr>
      <w:bookmarkStart w:id="632" w:name="_Toc427651486"/>
      <w:bookmarkStart w:id="633" w:name="_Toc422471184"/>
      <w:bookmarkStart w:id="634" w:name="_Toc428781534"/>
      <w:bookmarkStart w:id="635" w:name="_Toc427651828"/>
      <w:bookmarkStart w:id="636" w:name="_Toc428780052"/>
      <w:r>
        <w:rPr>
          <w:rFonts w:hint="eastAsia"/>
          <w:kern w:val="44"/>
        </w:rPr>
        <w:t>北京市城市道路管理办法</w:t>
      </w:r>
      <w:bookmarkEnd w:id="632"/>
      <w:bookmarkEnd w:id="633"/>
      <w:bookmarkEnd w:id="634"/>
      <w:bookmarkEnd w:id="635"/>
      <w:bookmarkEnd w:id="636"/>
    </w:p>
    <w:p w14:paraId="07CE2E1D">
      <w:pPr>
        <w:ind w:left="630" w:leftChars="300" w:right="630" w:rightChars="300"/>
        <w:jc w:val="left"/>
        <w:rPr>
          <w:rFonts w:ascii="楷体" w:hAnsi="楷体" w:eastAsia="楷体"/>
          <w:kern w:val="44"/>
        </w:rPr>
      </w:pPr>
      <w:r>
        <w:rPr>
          <w:rFonts w:hint="eastAsia" w:ascii="楷体" w:hAnsi="楷体" w:eastAsia="楷体"/>
          <w:kern w:val="44"/>
        </w:rPr>
        <w:t>（2005年5月8日北京市人民政府第38次常务会议审议通过  2005年6月1日北京市人民政府第156号令发布）</w:t>
      </w:r>
    </w:p>
    <w:p w14:paraId="161FF5B5">
      <w:pPr>
        <w:ind w:left="630" w:leftChars="300" w:right="630" w:rightChars="300"/>
        <w:jc w:val="left"/>
        <w:rPr>
          <w:rFonts w:ascii="楷体" w:hAnsi="楷体" w:eastAsia="楷体"/>
          <w:kern w:val="44"/>
        </w:rPr>
      </w:pPr>
    </w:p>
    <w:p w14:paraId="26B77947">
      <w:pPr>
        <w:ind w:firstLine="0" w:firstLineChars="0"/>
        <w:jc w:val="center"/>
        <w:rPr>
          <w:rFonts w:ascii="宋体" w:hAnsi="宋体"/>
          <w:b/>
          <w:kern w:val="44"/>
          <w:sz w:val="28"/>
        </w:rPr>
      </w:pPr>
      <w:r>
        <w:rPr>
          <w:rFonts w:hint="eastAsia" w:ascii="宋体" w:hAnsi="宋体"/>
          <w:b/>
          <w:kern w:val="44"/>
          <w:sz w:val="28"/>
        </w:rPr>
        <w:t>第一章　总　则</w:t>
      </w:r>
    </w:p>
    <w:p w14:paraId="12AF4CD0">
      <w:pPr>
        <w:jc w:val="left"/>
        <w:rPr>
          <w:rFonts w:ascii="宋体" w:hAnsi="宋体"/>
          <w:kern w:val="44"/>
        </w:rPr>
      </w:pPr>
    </w:p>
    <w:p w14:paraId="551AFC2C">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为了加强本市城市道路管理，保障城市道路完好，充分发挥城市道路功能，根据《城市道路管理条例》，结合本市实际情况，制定本办法。</w:t>
      </w:r>
    </w:p>
    <w:p w14:paraId="562818C4">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本市行政区域内城市道路的规划建设、养护维修及其监督管理，适用本办法。</w:t>
      </w:r>
    </w:p>
    <w:p w14:paraId="44B7171E">
      <w:pPr>
        <w:jc w:val="left"/>
        <w:rPr>
          <w:rFonts w:ascii="宋体" w:hAnsi="宋体"/>
          <w:kern w:val="44"/>
        </w:rPr>
      </w:pPr>
      <w:r>
        <w:rPr>
          <w:rFonts w:hint="eastAsia" w:ascii="宋体" w:hAnsi="宋体"/>
          <w:kern w:val="44"/>
        </w:rPr>
        <w:t>本办法所称城市道路包括城市快速路、主干路、次干路、支路及其附属桥梁。</w:t>
      </w:r>
    </w:p>
    <w:p w14:paraId="04A9017D">
      <w:pPr>
        <w:ind w:firstLine="422"/>
        <w:jc w:val="left"/>
        <w:rPr>
          <w:rFonts w:ascii="宋体" w:hAnsi="宋体"/>
          <w:kern w:val="44"/>
        </w:rPr>
      </w:pPr>
      <w:r>
        <w:rPr>
          <w:rFonts w:hint="eastAsia" w:ascii="宋体" w:hAnsi="宋体"/>
          <w:b/>
          <w:kern w:val="44"/>
        </w:rPr>
        <w:t>第三条</w:t>
      </w:r>
      <w:r>
        <w:rPr>
          <w:rFonts w:hint="eastAsia" w:ascii="宋体" w:hAnsi="宋体"/>
          <w:kern w:val="44"/>
        </w:rPr>
        <w:t>　市交通行政管理部门主管本市城市道路管理工作。市交通路政部门具体负责城市快速路、主干路及其附属桥梁的建设、养护维修的监督管理，并指导区、县城市道路管理工作；区、县交通路政部门具体负责本行政区域内城市次干路和支路及其附属桥梁的建设、养护维修的监督管理。</w:t>
      </w:r>
    </w:p>
    <w:p w14:paraId="44DF4589">
      <w:pPr>
        <w:jc w:val="left"/>
        <w:rPr>
          <w:rFonts w:ascii="宋体" w:hAnsi="宋体"/>
          <w:kern w:val="44"/>
        </w:rPr>
      </w:pPr>
      <w:r>
        <w:rPr>
          <w:rFonts w:hint="eastAsia" w:ascii="宋体" w:hAnsi="宋体"/>
          <w:kern w:val="44"/>
        </w:rPr>
        <w:t>规划、发展改革、建设、市政管理、园林、水务、公安交通等行政管理部门依据各自职责，依法负责城市道路相关的管理工作。</w:t>
      </w:r>
    </w:p>
    <w:p w14:paraId="6C8D20F0">
      <w:pPr>
        <w:ind w:firstLine="422"/>
        <w:jc w:val="left"/>
        <w:rPr>
          <w:rFonts w:ascii="宋体" w:hAnsi="宋体"/>
          <w:kern w:val="44"/>
        </w:rPr>
      </w:pPr>
      <w:r>
        <w:rPr>
          <w:rFonts w:hint="eastAsia" w:ascii="宋体" w:hAnsi="宋体"/>
          <w:b/>
          <w:kern w:val="44"/>
        </w:rPr>
        <w:t>第四条</w:t>
      </w:r>
      <w:r>
        <w:rPr>
          <w:rFonts w:hint="eastAsia" w:ascii="宋体" w:hAnsi="宋体"/>
          <w:kern w:val="44"/>
        </w:rPr>
        <w:t>　本市城市道路管理实行统筹规划、配套建设、协调发展和建设与养护并重的原则。</w:t>
      </w:r>
    </w:p>
    <w:p w14:paraId="1EAE31C7">
      <w:pPr>
        <w:ind w:firstLine="422"/>
        <w:jc w:val="left"/>
        <w:rPr>
          <w:rFonts w:ascii="宋体" w:hAnsi="宋体"/>
          <w:kern w:val="44"/>
        </w:rPr>
      </w:pPr>
      <w:r>
        <w:rPr>
          <w:rFonts w:hint="eastAsia" w:ascii="宋体" w:hAnsi="宋体"/>
          <w:b/>
          <w:kern w:val="44"/>
        </w:rPr>
        <w:t>第五条</w:t>
      </w:r>
      <w:r>
        <w:rPr>
          <w:rFonts w:hint="eastAsia" w:ascii="宋体" w:hAnsi="宋体"/>
          <w:kern w:val="44"/>
        </w:rPr>
        <w:t>　本市鼓励城市道路科学技术研究，推广先进技术和工艺，提高城市道路管理的科学技术水平。</w:t>
      </w:r>
    </w:p>
    <w:p w14:paraId="4B092896">
      <w:pPr>
        <w:ind w:firstLine="422"/>
        <w:jc w:val="left"/>
        <w:rPr>
          <w:rFonts w:ascii="宋体" w:hAnsi="宋体"/>
          <w:kern w:val="44"/>
        </w:rPr>
      </w:pPr>
      <w:r>
        <w:rPr>
          <w:rFonts w:hint="eastAsia" w:ascii="宋体" w:hAnsi="宋体"/>
          <w:b/>
          <w:kern w:val="44"/>
        </w:rPr>
        <w:t>第六条</w:t>
      </w:r>
      <w:r>
        <w:rPr>
          <w:rFonts w:hint="eastAsia" w:ascii="宋体" w:hAnsi="宋体"/>
          <w:kern w:val="44"/>
        </w:rPr>
        <w:t>　保护城市道路，人人有责。一切单位和个人有权对危害城市道路安全的行为进行检举和报告。</w:t>
      </w:r>
    </w:p>
    <w:p w14:paraId="2543C8B6">
      <w:pPr>
        <w:jc w:val="left"/>
        <w:rPr>
          <w:rFonts w:ascii="宋体" w:hAnsi="宋体"/>
          <w:kern w:val="44"/>
        </w:rPr>
      </w:pPr>
      <w:r>
        <w:rPr>
          <w:rFonts w:hint="eastAsia" w:ascii="宋体" w:hAnsi="宋体"/>
          <w:kern w:val="44"/>
        </w:rPr>
        <w:t>对保护城市道路做出显著成绩的单位和个人，交通路政部门应当予以表彰。</w:t>
      </w:r>
    </w:p>
    <w:p w14:paraId="0EE65147">
      <w:pPr>
        <w:jc w:val="left"/>
        <w:rPr>
          <w:rFonts w:ascii="宋体" w:hAnsi="宋体"/>
          <w:kern w:val="44"/>
        </w:rPr>
      </w:pPr>
    </w:p>
    <w:p w14:paraId="593EE9C8">
      <w:pPr>
        <w:ind w:firstLine="0" w:firstLineChars="0"/>
        <w:jc w:val="center"/>
        <w:rPr>
          <w:rFonts w:ascii="宋体" w:hAnsi="宋体"/>
          <w:b/>
          <w:kern w:val="44"/>
        </w:rPr>
      </w:pPr>
      <w:r>
        <w:rPr>
          <w:rFonts w:hint="eastAsia" w:ascii="宋体" w:hAnsi="宋体"/>
          <w:b/>
          <w:kern w:val="44"/>
          <w:sz w:val="28"/>
        </w:rPr>
        <w:t>第二章　规划建设</w:t>
      </w:r>
    </w:p>
    <w:p w14:paraId="7E6D215D">
      <w:pPr>
        <w:jc w:val="left"/>
        <w:rPr>
          <w:rFonts w:ascii="宋体" w:hAnsi="宋体"/>
          <w:kern w:val="44"/>
        </w:rPr>
      </w:pPr>
    </w:p>
    <w:p w14:paraId="05024B6D">
      <w:pPr>
        <w:ind w:firstLine="422"/>
        <w:jc w:val="left"/>
        <w:rPr>
          <w:rFonts w:ascii="宋体" w:hAnsi="宋体"/>
          <w:kern w:val="44"/>
        </w:rPr>
      </w:pPr>
      <w:r>
        <w:rPr>
          <w:rFonts w:hint="eastAsia" w:ascii="宋体" w:hAnsi="宋体"/>
          <w:b/>
          <w:kern w:val="44"/>
        </w:rPr>
        <w:t>第七条</w:t>
      </w:r>
      <w:r>
        <w:rPr>
          <w:rFonts w:hint="eastAsia" w:ascii="宋体" w:hAnsi="宋体"/>
          <w:kern w:val="44"/>
        </w:rPr>
        <w:t>　市规划、市交通行政管理部门会同有关部门根据城市总体规划，组织编制本市城市道路网规划。</w:t>
      </w:r>
    </w:p>
    <w:p w14:paraId="1FD2AEF6">
      <w:pPr>
        <w:jc w:val="left"/>
        <w:rPr>
          <w:rFonts w:ascii="宋体" w:hAnsi="宋体"/>
          <w:kern w:val="44"/>
        </w:rPr>
      </w:pPr>
      <w:r>
        <w:rPr>
          <w:rFonts w:hint="eastAsia" w:ascii="宋体" w:hAnsi="宋体"/>
          <w:kern w:val="44"/>
        </w:rPr>
        <w:t>市交通行政管理部门会同有关部门根据本市城市道路网规划，组织编制城市道路年度建设计划，报市发展改革行政管理部门综合平衡后实施。</w:t>
      </w:r>
    </w:p>
    <w:p w14:paraId="6F93F5F3">
      <w:pPr>
        <w:jc w:val="left"/>
        <w:rPr>
          <w:rFonts w:ascii="宋体" w:hAnsi="宋体"/>
          <w:kern w:val="44"/>
        </w:rPr>
      </w:pPr>
      <w:r>
        <w:rPr>
          <w:rFonts w:hint="eastAsia" w:ascii="宋体" w:hAnsi="宋体"/>
          <w:kern w:val="44"/>
        </w:rPr>
        <w:t>城市道路年度建设计划应当在上一年年底前编制完成。</w:t>
      </w:r>
    </w:p>
    <w:p w14:paraId="15123D33">
      <w:pPr>
        <w:ind w:firstLine="422"/>
        <w:jc w:val="left"/>
        <w:rPr>
          <w:rFonts w:ascii="宋体" w:hAnsi="宋体"/>
          <w:kern w:val="44"/>
        </w:rPr>
      </w:pPr>
      <w:r>
        <w:rPr>
          <w:rFonts w:hint="eastAsia" w:ascii="宋体" w:hAnsi="宋体"/>
          <w:b/>
          <w:kern w:val="44"/>
        </w:rPr>
        <w:t>第八条</w:t>
      </w:r>
      <w:r>
        <w:rPr>
          <w:rFonts w:hint="eastAsia" w:ascii="宋体" w:hAnsi="宋体"/>
          <w:kern w:val="44"/>
        </w:rPr>
        <w:t>　新建城市道路的地下管线，应当与城市道路同步规划，并按照先地下、后地上的施工原则，与城市道路同步建设。有条件的，应当同步建设共用管廊。</w:t>
      </w:r>
    </w:p>
    <w:p w14:paraId="04BF10BA">
      <w:pPr>
        <w:jc w:val="left"/>
        <w:rPr>
          <w:rFonts w:ascii="宋体" w:hAnsi="宋体"/>
          <w:kern w:val="44"/>
        </w:rPr>
      </w:pPr>
      <w:r>
        <w:rPr>
          <w:rFonts w:hint="eastAsia" w:ascii="宋体" w:hAnsi="宋体"/>
          <w:kern w:val="44"/>
        </w:rPr>
        <w:t>市政行政管理部门综合协调编制的地下管线年度建设计划，应当与城市道路年度建设计划衔接。</w:t>
      </w:r>
    </w:p>
    <w:p w14:paraId="57266F3A">
      <w:pPr>
        <w:ind w:firstLine="422"/>
        <w:jc w:val="left"/>
        <w:rPr>
          <w:rFonts w:ascii="宋体" w:hAnsi="宋体"/>
          <w:kern w:val="44"/>
        </w:rPr>
      </w:pPr>
      <w:r>
        <w:rPr>
          <w:rFonts w:hint="eastAsia" w:ascii="宋体" w:hAnsi="宋体"/>
          <w:b/>
          <w:kern w:val="44"/>
        </w:rPr>
        <w:t>第九条</w:t>
      </w:r>
      <w:r>
        <w:rPr>
          <w:rFonts w:hint="eastAsia" w:ascii="宋体" w:hAnsi="宋体"/>
          <w:kern w:val="44"/>
        </w:rPr>
        <w:t>　承担城市道路建设的工程勘察、设计、施工、监理单位，应当具有与承担任务相适应的资质，遵守国家和本市法律、法规、规章的规定，执行规定的技术标准和规范。</w:t>
      </w:r>
    </w:p>
    <w:p w14:paraId="56C561CC">
      <w:pPr>
        <w:ind w:firstLine="422"/>
        <w:jc w:val="left"/>
        <w:rPr>
          <w:rFonts w:ascii="宋体" w:hAnsi="宋体"/>
          <w:kern w:val="44"/>
        </w:rPr>
      </w:pPr>
      <w:r>
        <w:rPr>
          <w:rFonts w:hint="eastAsia" w:ascii="宋体" w:hAnsi="宋体"/>
          <w:b/>
          <w:kern w:val="44"/>
        </w:rPr>
        <w:t>第十条</w:t>
      </w:r>
      <w:r>
        <w:rPr>
          <w:rFonts w:hint="eastAsia" w:ascii="宋体" w:hAnsi="宋体"/>
          <w:kern w:val="44"/>
        </w:rPr>
        <w:t>　城市道路工程完工后，建设单位应当依法组织竣工验收并办理备案手续。经竣工验收合格的，建设单位应当按照规定交付交通路政部门组织养护维修，并移交相应的竣工资料。</w:t>
      </w:r>
    </w:p>
    <w:p w14:paraId="6F9CF113">
      <w:pPr>
        <w:jc w:val="left"/>
        <w:rPr>
          <w:rFonts w:ascii="宋体" w:hAnsi="宋体"/>
          <w:kern w:val="44"/>
        </w:rPr>
      </w:pPr>
      <w:r>
        <w:rPr>
          <w:rFonts w:hint="eastAsia" w:ascii="宋体" w:hAnsi="宋体"/>
          <w:kern w:val="44"/>
        </w:rPr>
        <w:t>附设于城市道路的地下管线的建设单位，应当根据本市有关规定，依法向有关部门移交地下管线工程档案资料，并提供地下管线信息数据。</w:t>
      </w:r>
    </w:p>
    <w:p w14:paraId="6F347CFA">
      <w:pPr>
        <w:ind w:firstLine="422"/>
        <w:jc w:val="left"/>
        <w:rPr>
          <w:rFonts w:ascii="宋体" w:hAnsi="宋体"/>
          <w:kern w:val="44"/>
        </w:rPr>
      </w:pPr>
      <w:r>
        <w:rPr>
          <w:rFonts w:hint="eastAsia" w:ascii="宋体" w:hAnsi="宋体"/>
          <w:b/>
          <w:kern w:val="44"/>
        </w:rPr>
        <w:t>第十一条</w:t>
      </w:r>
      <w:r>
        <w:rPr>
          <w:rFonts w:hint="eastAsia" w:ascii="宋体" w:hAnsi="宋体"/>
          <w:kern w:val="44"/>
        </w:rPr>
        <w:t>　新建城市道路与铁路、城市轨道交通线路相交或者新建铁路、城市轨道交通线路与城市道路相交的，应当建设立体交叉设施，费用由建设单位承担。</w:t>
      </w:r>
    </w:p>
    <w:p w14:paraId="6C8D8D33">
      <w:pPr>
        <w:jc w:val="left"/>
        <w:rPr>
          <w:rFonts w:ascii="宋体" w:hAnsi="宋体"/>
          <w:kern w:val="44"/>
        </w:rPr>
      </w:pPr>
      <w:r>
        <w:rPr>
          <w:rFonts w:hint="eastAsia" w:ascii="宋体" w:hAnsi="宋体"/>
          <w:kern w:val="44"/>
        </w:rPr>
        <w:t>现有平面交叉铁路道口，应当逐步改建为立体交叉。改建费用的承担由铁路部门和城市道路建设单位按照国家有关规定协商确定。</w:t>
      </w:r>
    </w:p>
    <w:p w14:paraId="10E46DA6">
      <w:pPr>
        <w:jc w:val="left"/>
        <w:rPr>
          <w:rFonts w:ascii="宋体" w:hAnsi="宋体"/>
          <w:kern w:val="44"/>
        </w:rPr>
      </w:pPr>
    </w:p>
    <w:p w14:paraId="66C6DCBE">
      <w:pPr>
        <w:ind w:firstLine="0" w:firstLineChars="0"/>
        <w:jc w:val="center"/>
        <w:rPr>
          <w:rFonts w:ascii="宋体" w:hAnsi="宋体"/>
          <w:b/>
          <w:kern w:val="44"/>
          <w:sz w:val="28"/>
        </w:rPr>
      </w:pPr>
      <w:r>
        <w:rPr>
          <w:rFonts w:hint="eastAsia" w:ascii="宋体" w:hAnsi="宋体"/>
          <w:b/>
          <w:kern w:val="44"/>
          <w:sz w:val="28"/>
        </w:rPr>
        <w:t>第三章　养护维修</w:t>
      </w:r>
    </w:p>
    <w:p w14:paraId="4C8CA22E">
      <w:pPr>
        <w:jc w:val="left"/>
        <w:rPr>
          <w:rFonts w:ascii="宋体" w:hAnsi="宋体"/>
          <w:kern w:val="44"/>
        </w:rPr>
      </w:pPr>
    </w:p>
    <w:p w14:paraId="67920D1F">
      <w:pPr>
        <w:ind w:firstLine="422"/>
        <w:jc w:val="left"/>
        <w:rPr>
          <w:rFonts w:ascii="宋体" w:hAnsi="宋体"/>
          <w:kern w:val="44"/>
        </w:rPr>
      </w:pPr>
      <w:r>
        <w:rPr>
          <w:rFonts w:hint="eastAsia" w:ascii="宋体" w:hAnsi="宋体"/>
          <w:b/>
          <w:kern w:val="44"/>
        </w:rPr>
        <w:t>第十二条</w:t>
      </w:r>
      <w:r>
        <w:rPr>
          <w:rFonts w:hint="eastAsia" w:ascii="宋体" w:hAnsi="宋体"/>
          <w:kern w:val="44"/>
        </w:rPr>
        <w:t>　养护维修责任人应当保证城市道路完好。</w:t>
      </w:r>
    </w:p>
    <w:p w14:paraId="57F6BB6C">
      <w:pPr>
        <w:jc w:val="left"/>
        <w:rPr>
          <w:rFonts w:ascii="宋体" w:hAnsi="宋体"/>
          <w:kern w:val="44"/>
        </w:rPr>
      </w:pPr>
      <w:r>
        <w:rPr>
          <w:rFonts w:hint="eastAsia" w:ascii="宋体" w:hAnsi="宋体"/>
          <w:kern w:val="44"/>
        </w:rPr>
        <w:t>使用政府投资资金建设的城市道路，应当采取招标等竞争方式，选择具有相应能力的专业养护维修单位作为养护维修责任人进行养护维修。</w:t>
      </w:r>
    </w:p>
    <w:p w14:paraId="3BBF3DDA">
      <w:pPr>
        <w:jc w:val="left"/>
        <w:rPr>
          <w:rFonts w:ascii="宋体" w:hAnsi="宋体"/>
          <w:kern w:val="44"/>
        </w:rPr>
      </w:pPr>
      <w:r>
        <w:rPr>
          <w:rFonts w:hint="eastAsia" w:ascii="宋体" w:hAnsi="宋体"/>
          <w:kern w:val="44"/>
        </w:rPr>
        <w:t>使用非政府投资资金建设的城市道路，养护维修责任由投资建设单位承担，但投资建设单位与专业养护维修单位另有约定的，从其约定。</w:t>
      </w:r>
    </w:p>
    <w:p w14:paraId="5695AE6D">
      <w:pPr>
        <w:jc w:val="left"/>
        <w:rPr>
          <w:rFonts w:ascii="宋体" w:hAnsi="宋体"/>
          <w:kern w:val="44"/>
        </w:rPr>
      </w:pPr>
      <w:r>
        <w:rPr>
          <w:rFonts w:hint="eastAsia" w:ascii="宋体" w:hAnsi="宋体"/>
          <w:kern w:val="44"/>
        </w:rPr>
        <w:t>交由专业养护维修单位养护维修的，应当签订合同，明确双方的权利、义务和责任。</w:t>
      </w:r>
    </w:p>
    <w:p w14:paraId="4E5ACF93">
      <w:pPr>
        <w:ind w:firstLine="422"/>
        <w:jc w:val="left"/>
        <w:rPr>
          <w:rFonts w:ascii="宋体" w:hAnsi="宋体"/>
          <w:kern w:val="44"/>
        </w:rPr>
      </w:pPr>
      <w:r>
        <w:rPr>
          <w:rFonts w:hint="eastAsia" w:ascii="宋体" w:hAnsi="宋体"/>
          <w:b/>
          <w:kern w:val="44"/>
        </w:rPr>
        <w:t>第十三条</w:t>
      </w:r>
      <w:r>
        <w:rPr>
          <w:rFonts w:hint="eastAsia" w:ascii="宋体" w:hAnsi="宋体"/>
          <w:kern w:val="44"/>
        </w:rPr>
        <w:t>　城市道路使用政府资金养护维修的，由交通路政部门依照职责按照城市道路等级、数量、状况及养护维修定额编制年度养护维修计划，所需养护维修费用纳入同级年度财政预算。</w:t>
      </w:r>
    </w:p>
    <w:p w14:paraId="1C4EEBD4">
      <w:pPr>
        <w:ind w:firstLine="422"/>
        <w:jc w:val="left"/>
        <w:rPr>
          <w:rFonts w:ascii="宋体" w:hAnsi="宋体"/>
          <w:kern w:val="44"/>
        </w:rPr>
      </w:pPr>
      <w:r>
        <w:rPr>
          <w:rFonts w:hint="eastAsia" w:ascii="宋体" w:hAnsi="宋体"/>
          <w:b/>
          <w:kern w:val="44"/>
        </w:rPr>
        <w:t>第十四条</w:t>
      </w:r>
      <w:r>
        <w:rPr>
          <w:rFonts w:hint="eastAsia" w:ascii="宋体" w:hAnsi="宋体"/>
          <w:kern w:val="44"/>
        </w:rPr>
        <w:t>　养护维修责任人应当建立巡查和检测评估制度，并及时按照养护维修技术标准和规范对城市道路进行养护维修，排除隐患，确保城市道路完好。</w:t>
      </w:r>
    </w:p>
    <w:p w14:paraId="3EACA351">
      <w:pPr>
        <w:ind w:firstLine="422"/>
        <w:jc w:val="left"/>
        <w:rPr>
          <w:rFonts w:ascii="宋体" w:hAnsi="宋体"/>
          <w:kern w:val="44"/>
        </w:rPr>
      </w:pPr>
      <w:r>
        <w:rPr>
          <w:rFonts w:hint="eastAsia" w:ascii="宋体" w:hAnsi="宋体"/>
          <w:b/>
          <w:kern w:val="44"/>
        </w:rPr>
        <w:t>第十五条</w:t>
      </w:r>
      <w:r>
        <w:rPr>
          <w:rFonts w:hint="eastAsia" w:ascii="宋体" w:hAnsi="宋体"/>
          <w:kern w:val="44"/>
        </w:rPr>
        <w:t>　进行城市道路养护维修作业时，应当设置安全警示标志，采取安全防护措施。养护维修车辆和机械设备应当使用统一的作业标志。养护维修人员应当穿着统一的安全服饰。</w:t>
      </w:r>
    </w:p>
    <w:p w14:paraId="19820AAA">
      <w:pPr>
        <w:ind w:firstLine="422"/>
        <w:jc w:val="left"/>
        <w:rPr>
          <w:rFonts w:ascii="宋体" w:hAnsi="宋体"/>
          <w:kern w:val="44"/>
        </w:rPr>
      </w:pPr>
      <w:r>
        <w:rPr>
          <w:rFonts w:hint="eastAsia" w:ascii="宋体" w:hAnsi="宋体"/>
          <w:b/>
          <w:kern w:val="44"/>
        </w:rPr>
        <w:t>第十六条</w:t>
      </w:r>
      <w:r>
        <w:rPr>
          <w:rFonts w:hint="eastAsia" w:ascii="宋体" w:hAnsi="宋体"/>
          <w:kern w:val="44"/>
        </w:rPr>
        <w:t>　城市桥梁结构承载能力下降尚未构成危桥的，养护维修责任人应当及时变更承载能力标志和设置警示标志，采取措施加固桥梁。</w:t>
      </w:r>
    </w:p>
    <w:p w14:paraId="046BB411">
      <w:pPr>
        <w:jc w:val="left"/>
        <w:rPr>
          <w:rFonts w:ascii="宋体" w:hAnsi="宋体"/>
          <w:kern w:val="44"/>
        </w:rPr>
      </w:pPr>
      <w:r>
        <w:rPr>
          <w:rFonts w:hint="eastAsia" w:ascii="宋体" w:hAnsi="宋体"/>
          <w:kern w:val="44"/>
        </w:rPr>
        <w:t>城市桥梁结构承载能力下降构成危桥，或者城市道路出现塌陷、断裂以及其他影响通行安全的突发情形的，养护维修责任人应当立即设置警示标志，采取紧急措施，并报告公安交通管理部门和交通路政部门。</w:t>
      </w:r>
    </w:p>
    <w:p w14:paraId="7B1E12C0">
      <w:pPr>
        <w:ind w:firstLine="422"/>
        <w:jc w:val="left"/>
        <w:rPr>
          <w:rFonts w:ascii="宋体" w:hAnsi="宋体"/>
          <w:kern w:val="44"/>
        </w:rPr>
      </w:pPr>
      <w:r>
        <w:rPr>
          <w:rFonts w:hint="eastAsia" w:ascii="宋体" w:hAnsi="宋体"/>
          <w:b/>
          <w:kern w:val="44"/>
        </w:rPr>
        <w:t>第十七条</w:t>
      </w:r>
      <w:r>
        <w:rPr>
          <w:rFonts w:hint="eastAsia" w:ascii="宋体" w:hAnsi="宋体"/>
          <w:kern w:val="44"/>
        </w:rPr>
        <w:t>　养护维修责任人应当建立健全城市道路养护维修信息档案，全面、及时记录养护维修作业、巡查、检测以及其他相关信息，妥善保存，并如实向交通路政部门提供。</w:t>
      </w:r>
    </w:p>
    <w:p w14:paraId="50151D4E">
      <w:pPr>
        <w:ind w:firstLine="422"/>
        <w:jc w:val="left"/>
        <w:rPr>
          <w:rFonts w:ascii="宋体" w:hAnsi="宋体"/>
          <w:kern w:val="44"/>
        </w:rPr>
      </w:pPr>
      <w:r>
        <w:rPr>
          <w:rFonts w:hint="eastAsia" w:ascii="宋体" w:hAnsi="宋体"/>
          <w:b/>
          <w:kern w:val="44"/>
        </w:rPr>
        <w:t>第十八条</w:t>
      </w:r>
      <w:r>
        <w:rPr>
          <w:rFonts w:hint="eastAsia" w:ascii="宋体" w:hAnsi="宋体"/>
          <w:kern w:val="44"/>
        </w:rPr>
        <w:t>　附设于城市道路的地下管线的检查井及其井盖、雨箅，应当符合城市道路养护规范。因井盖、雨箅缺损、移位、下沉等影响交通和安全的，有关产权单位应当及时补缺或者修复。</w:t>
      </w:r>
    </w:p>
    <w:p w14:paraId="5FF29147">
      <w:pPr>
        <w:spacing w:line="300" w:lineRule="exact"/>
        <w:jc w:val="left"/>
        <w:rPr>
          <w:rFonts w:ascii="宋体" w:hAnsi="宋体"/>
          <w:kern w:val="44"/>
        </w:rPr>
      </w:pPr>
    </w:p>
    <w:p w14:paraId="53AE8F2F">
      <w:pPr>
        <w:ind w:firstLine="0" w:firstLineChars="0"/>
        <w:jc w:val="center"/>
        <w:rPr>
          <w:rFonts w:ascii="宋体" w:hAnsi="宋体"/>
          <w:b/>
          <w:kern w:val="44"/>
          <w:sz w:val="28"/>
        </w:rPr>
      </w:pPr>
      <w:r>
        <w:rPr>
          <w:rFonts w:hint="eastAsia" w:ascii="宋体" w:hAnsi="宋体"/>
          <w:b/>
          <w:kern w:val="44"/>
          <w:sz w:val="28"/>
        </w:rPr>
        <w:t>第四章　监督管理</w:t>
      </w:r>
    </w:p>
    <w:p w14:paraId="1769B99B">
      <w:pPr>
        <w:spacing w:line="300" w:lineRule="exact"/>
        <w:jc w:val="left"/>
        <w:rPr>
          <w:rFonts w:ascii="宋体" w:hAnsi="宋体"/>
          <w:kern w:val="44"/>
        </w:rPr>
      </w:pPr>
    </w:p>
    <w:p w14:paraId="11C09303">
      <w:pPr>
        <w:ind w:firstLine="422"/>
        <w:jc w:val="left"/>
        <w:rPr>
          <w:rFonts w:ascii="宋体" w:hAnsi="宋体"/>
          <w:kern w:val="44"/>
        </w:rPr>
      </w:pPr>
      <w:r>
        <w:rPr>
          <w:rFonts w:hint="eastAsia" w:ascii="宋体" w:hAnsi="宋体"/>
          <w:b/>
          <w:kern w:val="44"/>
        </w:rPr>
        <w:t>第十九条</w:t>
      </w:r>
      <w:r>
        <w:rPr>
          <w:rFonts w:hint="eastAsia" w:ascii="宋体" w:hAnsi="宋体"/>
          <w:kern w:val="44"/>
        </w:rPr>
        <w:t>　一切单位和个人都有维护城市道路安全的义务并享有通行的权利。</w:t>
      </w:r>
    </w:p>
    <w:p w14:paraId="75A10A7F">
      <w:pPr>
        <w:jc w:val="left"/>
        <w:rPr>
          <w:rFonts w:ascii="宋体" w:hAnsi="宋体"/>
          <w:kern w:val="44"/>
        </w:rPr>
      </w:pPr>
      <w:r>
        <w:rPr>
          <w:rFonts w:hint="eastAsia" w:ascii="宋体" w:hAnsi="宋体"/>
          <w:kern w:val="44"/>
        </w:rPr>
        <w:t>任何单位和个人不得改变城市道路规划用途。除依法实施交通管制外，任何单位和个人不得封闭城市道路或者限制车辆、行人通行。</w:t>
      </w:r>
    </w:p>
    <w:p w14:paraId="010BAF71">
      <w:pPr>
        <w:ind w:firstLine="422"/>
        <w:jc w:val="left"/>
        <w:rPr>
          <w:rFonts w:ascii="宋体" w:hAnsi="宋体"/>
          <w:kern w:val="44"/>
        </w:rPr>
      </w:pPr>
      <w:r>
        <w:rPr>
          <w:rFonts w:hint="eastAsia" w:ascii="宋体" w:hAnsi="宋体"/>
          <w:b/>
          <w:kern w:val="44"/>
        </w:rPr>
        <w:t>第二十条</w:t>
      </w:r>
      <w:r>
        <w:rPr>
          <w:rFonts w:hint="eastAsia" w:ascii="宋体" w:hAnsi="宋体"/>
          <w:kern w:val="44"/>
        </w:rPr>
        <w:t>　禁止下列行为：</w:t>
      </w:r>
    </w:p>
    <w:p w14:paraId="7466F468">
      <w:pPr>
        <w:jc w:val="left"/>
        <w:rPr>
          <w:rFonts w:ascii="宋体" w:hAnsi="宋体"/>
          <w:kern w:val="44"/>
        </w:rPr>
      </w:pPr>
      <w:r>
        <w:rPr>
          <w:rFonts w:hint="eastAsia" w:ascii="宋体" w:hAnsi="宋体"/>
          <w:kern w:val="44"/>
        </w:rPr>
        <w:t>（一）擅自拆改、移动城市道路设施或者设置障碍物；</w:t>
      </w:r>
    </w:p>
    <w:p w14:paraId="04BDCB85">
      <w:pPr>
        <w:jc w:val="left"/>
        <w:rPr>
          <w:rFonts w:ascii="宋体" w:hAnsi="宋体"/>
          <w:kern w:val="44"/>
        </w:rPr>
      </w:pPr>
      <w:r>
        <w:rPr>
          <w:rFonts w:hint="eastAsia" w:ascii="宋体" w:hAnsi="宋体"/>
          <w:kern w:val="44"/>
        </w:rPr>
        <w:t>（二）擅自在城市道路上建设建筑物、搭建构筑物；</w:t>
      </w:r>
    </w:p>
    <w:p w14:paraId="0CEBB0AC">
      <w:pPr>
        <w:jc w:val="left"/>
        <w:rPr>
          <w:rFonts w:ascii="宋体" w:hAnsi="宋体"/>
          <w:kern w:val="44"/>
        </w:rPr>
      </w:pPr>
      <w:r>
        <w:rPr>
          <w:rFonts w:hint="eastAsia" w:ascii="宋体" w:hAnsi="宋体"/>
          <w:kern w:val="44"/>
        </w:rPr>
        <w:t>（三）机动车在桥梁或者非指定的城市道路上试刹车；</w:t>
      </w:r>
    </w:p>
    <w:p w14:paraId="3B7FAB8A">
      <w:pPr>
        <w:jc w:val="left"/>
        <w:rPr>
          <w:rFonts w:ascii="宋体" w:hAnsi="宋体"/>
          <w:kern w:val="44"/>
        </w:rPr>
      </w:pPr>
      <w:r>
        <w:rPr>
          <w:rFonts w:hint="eastAsia" w:ascii="宋体" w:hAnsi="宋体"/>
          <w:kern w:val="44"/>
        </w:rPr>
        <w:t>（四）利用城市桥梁进行牵拉、吊装等施工作业；</w:t>
      </w:r>
    </w:p>
    <w:p w14:paraId="0ACF7BC7">
      <w:pPr>
        <w:jc w:val="left"/>
        <w:rPr>
          <w:rFonts w:ascii="宋体" w:hAnsi="宋体"/>
          <w:kern w:val="44"/>
        </w:rPr>
      </w:pPr>
      <w:r>
        <w:rPr>
          <w:rFonts w:hint="eastAsia" w:ascii="宋体" w:hAnsi="宋体"/>
          <w:kern w:val="44"/>
        </w:rPr>
        <w:t>（五）其他损害、侵占城市道路的行为。</w:t>
      </w:r>
    </w:p>
    <w:p w14:paraId="0DB61B82">
      <w:pPr>
        <w:ind w:firstLine="422"/>
        <w:jc w:val="left"/>
        <w:rPr>
          <w:rFonts w:ascii="宋体" w:hAnsi="宋体"/>
          <w:kern w:val="44"/>
        </w:rPr>
      </w:pPr>
      <w:r>
        <w:rPr>
          <w:rFonts w:hint="eastAsia" w:ascii="宋体" w:hAnsi="宋体"/>
          <w:b/>
          <w:kern w:val="44"/>
        </w:rPr>
        <w:t>第二十一条</w:t>
      </w:r>
      <w:r>
        <w:rPr>
          <w:rFonts w:hint="eastAsia" w:ascii="宋体" w:hAnsi="宋体"/>
          <w:kern w:val="44"/>
        </w:rPr>
        <w:t>　交通路政部门应当建立城市道路检测评估制度，定期组织对城市道路的可靠性进行检测评估。经检测评估，确定城市道路结构承载能力下降或者构成危桥的，应当及时通知养护维修责任人限期排除隐患。</w:t>
      </w:r>
    </w:p>
    <w:p w14:paraId="5BC3487F">
      <w:pPr>
        <w:jc w:val="left"/>
        <w:rPr>
          <w:rFonts w:ascii="宋体" w:hAnsi="宋体"/>
          <w:kern w:val="44"/>
        </w:rPr>
      </w:pPr>
      <w:r>
        <w:rPr>
          <w:rFonts w:hint="eastAsia" w:ascii="宋体" w:hAnsi="宋体"/>
          <w:kern w:val="44"/>
        </w:rPr>
        <w:t>城市道路的检测评估，应当由专业检测机构承担。检测机构及其有关人员对检测结果承担相应的法律责任。</w:t>
      </w:r>
    </w:p>
    <w:p w14:paraId="25B37D04">
      <w:pPr>
        <w:ind w:firstLine="422"/>
        <w:jc w:val="left"/>
        <w:rPr>
          <w:rFonts w:ascii="宋体" w:hAnsi="宋体"/>
          <w:kern w:val="44"/>
        </w:rPr>
      </w:pPr>
      <w:r>
        <w:rPr>
          <w:rFonts w:hint="eastAsia" w:ascii="宋体" w:hAnsi="宋体"/>
          <w:b/>
          <w:kern w:val="44"/>
        </w:rPr>
        <w:t>第二十二条</w:t>
      </w:r>
      <w:r>
        <w:rPr>
          <w:rFonts w:hint="eastAsia" w:ascii="宋体" w:hAnsi="宋体"/>
          <w:kern w:val="44"/>
        </w:rPr>
        <w:t>　确需占用、挖掘城市道路或者跨越、穿越城市桥梁架设、增设管线设施，符合下列条件的，在取得交通路政部门许可后，在许可的范围和期限内进行；影响交通安全的，还应当征得公安交通管理部门的同意。但本办法第二十三条另有规定的，从其规定。</w:t>
      </w:r>
    </w:p>
    <w:p w14:paraId="23135E19">
      <w:pPr>
        <w:jc w:val="left"/>
        <w:rPr>
          <w:rFonts w:ascii="宋体" w:hAnsi="宋体"/>
          <w:kern w:val="44"/>
        </w:rPr>
      </w:pPr>
      <w:r>
        <w:rPr>
          <w:rFonts w:hint="eastAsia" w:ascii="宋体" w:hAnsi="宋体"/>
          <w:kern w:val="44"/>
        </w:rPr>
        <w:t>（一）符合占用、挖掘城市道路管理计划；</w:t>
      </w:r>
    </w:p>
    <w:p w14:paraId="2C80136D">
      <w:pPr>
        <w:jc w:val="left"/>
        <w:rPr>
          <w:rFonts w:ascii="宋体" w:hAnsi="宋体"/>
          <w:kern w:val="44"/>
        </w:rPr>
      </w:pPr>
      <w:r>
        <w:rPr>
          <w:rFonts w:hint="eastAsia" w:ascii="宋体" w:hAnsi="宋体"/>
          <w:kern w:val="44"/>
        </w:rPr>
        <w:t>（二）有最大限度减少对车流量影响的交通分流、疏导方案；</w:t>
      </w:r>
    </w:p>
    <w:p w14:paraId="70101530">
      <w:pPr>
        <w:jc w:val="left"/>
        <w:rPr>
          <w:rFonts w:ascii="宋体" w:hAnsi="宋体"/>
          <w:kern w:val="44"/>
        </w:rPr>
      </w:pPr>
      <w:r>
        <w:rPr>
          <w:rFonts w:hint="eastAsia" w:ascii="宋体" w:hAnsi="宋体"/>
          <w:kern w:val="44"/>
        </w:rPr>
        <w:t>（三）挖掘道路的，采用夜间施工等减轻对交通产生影响的作业方案；</w:t>
      </w:r>
    </w:p>
    <w:p w14:paraId="078F8C86">
      <w:pPr>
        <w:jc w:val="left"/>
        <w:rPr>
          <w:rFonts w:ascii="宋体" w:hAnsi="宋体"/>
          <w:kern w:val="44"/>
        </w:rPr>
      </w:pPr>
      <w:r>
        <w:rPr>
          <w:rFonts w:hint="eastAsia" w:ascii="宋体" w:hAnsi="宋体"/>
          <w:kern w:val="44"/>
        </w:rPr>
        <w:t>（四）有保障道路通行安全、城市道路及附设管线安全的防护措施方案；</w:t>
      </w:r>
    </w:p>
    <w:p w14:paraId="33E2A290">
      <w:pPr>
        <w:jc w:val="left"/>
        <w:rPr>
          <w:rFonts w:ascii="宋体" w:hAnsi="宋体"/>
          <w:kern w:val="44"/>
        </w:rPr>
      </w:pPr>
      <w:r>
        <w:rPr>
          <w:rFonts w:hint="eastAsia" w:ascii="宋体" w:hAnsi="宋体"/>
          <w:kern w:val="44"/>
        </w:rPr>
        <w:t>（五）具有必要的应急准备；</w:t>
      </w:r>
    </w:p>
    <w:p w14:paraId="54525E2B">
      <w:pPr>
        <w:jc w:val="left"/>
        <w:rPr>
          <w:rFonts w:ascii="宋体" w:hAnsi="宋体"/>
          <w:kern w:val="44"/>
        </w:rPr>
      </w:pPr>
      <w:r>
        <w:rPr>
          <w:rFonts w:hint="eastAsia" w:ascii="宋体" w:hAnsi="宋体"/>
          <w:kern w:val="44"/>
        </w:rPr>
        <w:t>（六）符合法律、法规、规章规定的其他条件。</w:t>
      </w:r>
    </w:p>
    <w:p w14:paraId="46715FD3">
      <w:pPr>
        <w:jc w:val="left"/>
        <w:rPr>
          <w:rFonts w:ascii="宋体" w:hAnsi="宋体"/>
          <w:kern w:val="44"/>
        </w:rPr>
      </w:pPr>
      <w:r>
        <w:rPr>
          <w:rFonts w:hint="eastAsia" w:ascii="宋体" w:hAnsi="宋体"/>
          <w:kern w:val="44"/>
        </w:rPr>
        <w:t>前款第（一）项规定的占用、挖掘城市道路管理计划，由市交通路政部门制定并向社会公布后执行。</w:t>
      </w:r>
    </w:p>
    <w:p w14:paraId="08A52A24">
      <w:pPr>
        <w:ind w:firstLine="422"/>
        <w:jc w:val="left"/>
        <w:rPr>
          <w:rFonts w:ascii="宋体" w:hAnsi="宋体"/>
          <w:kern w:val="44"/>
        </w:rPr>
      </w:pPr>
      <w:r>
        <w:rPr>
          <w:rFonts w:hint="eastAsia" w:ascii="宋体" w:hAnsi="宋体"/>
          <w:b/>
          <w:kern w:val="44"/>
        </w:rPr>
        <w:t>第二十三条</w:t>
      </w:r>
      <w:r>
        <w:rPr>
          <w:rFonts w:hint="eastAsia" w:ascii="宋体" w:hAnsi="宋体"/>
          <w:kern w:val="44"/>
        </w:rPr>
        <w:t>　新建、改建、扩建后交付使用未满5年或者大修竣工后未满3年的城市道路，不得挖掘。因特殊情况确需挖掘的，由交通路政部门审核后报同级人民政府批准。</w:t>
      </w:r>
    </w:p>
    <w:p w14:paraId="68517D00">
      <w:pPr>
        <w:jc w:val="left"/>
        <w:rPr>
          <w:rFonts w:ascii="宋体" w:hAnsi="宋体"/>
          <w:kern w:val="44"/>
        </w:rPr>
      </w:pPr>
      <w:r>
        <w:rPr>
          <w:rFonts w:hint="eastAsia" w:ascii="宋体" w:hAnsi="宋体"/>
          <w:kern w:val="44"/>
        </w:rPr>
        <w:t>因事故紧急抢修地下管线需要挖掘城市道路的，抢修单位可以先行抢修，同时报告公安交通管理部门和交通路政部门，并在24小时内补办挖掘道路许可手续。</w:t>
      </w:r>
    </w:p>
    <w:p w14:paraId="064CE376">
      <w:pPr>
        <w:ind w:firstLine="422"/>
        <w:jc w:val="left"/>
        <w:rPr>
          <w:rFonts w:ascii="宋体" w:hAnsi="宋体"/>
          <w:kern w:val="44"/>
        </w:rPr>
      </w:pPr>
      <w:r>
        <w:rPr>
          <w:rFonts w:hint="eastAsia" w:ascii="宋体" w:hAnsi="宋体"/>
          <w:b/>
          <w:kern w:val="44"/>
        </w:rPr>
        <w:t>第二十四条</w:t>
      </w:r>
      <w:r>
        <w:rPr>
          <w:rFonts w:hint="eastAsia" w:ascii="宋体" w:hAnsi="宋体"/>
          <w:kern w:val="44"/>
        </w:rPr>
        <w:t>　经许可占用城市道路的，应当向交通行政管理部门交纳城市道路占用费。</w:t>
      </w:r>
    </w:p>
    <w:p w14:paraId="30E03CB3">
      <w:pPr>
        <w:jc w:val="left"/>
        <w:rPr>
          <w:rFonts w:ascii="宋体" w:hAnsi="宋体"/>
          <w:kern w:val="44"/>
        </w:rPr>
      </w:pPr>
      <w:r>
        <w:rPr>
          <w:rFonts w:hint="eastAsia" w:ascii="宋体" w:hAnsi="宋体"/>
          <w:kern w:val="44"/>
        </w:rPr>
        <w:t>经许可挖掘城市道路的，挖掘单位应当在批准期限届满前委托该城市道路的养护维修单位及时修复完毕，并向养护维修单位交纳城市道路挖掘修复费。养护维修单位对修复质量负责。</w:t>
      </w:r>
    </w:p>
    <w:p w14:paraId="71E1F391">
      <w:pPr>
        <w:jc w:val="left"/>
        <w:rPr>
          <w:rFonts w:ascii="宋体" w:hAnsi="宋体"/>
          <w:kern w:val="44"/>
        </w:rPr>
      </w:pPr>
      <w:r>
        <w:rPr>
          <w:rFonts w:hint="eastAsia" w:ascii="宋体" w:hAnsi="宋体"/>
          <w:kern w:val="44"/>
        </w:rPr>
        <w:t>城市道路占用费、挖掘修复费收费标准，按照《城市道路管理条例》的规定执行。</w:t>
      </w:r>
    </w:p>
    <w:p w14:paraId="6A4F394C">
      <w:pPr>
        <w:ind w:firstLine="422"/>
        <w:jc w:val="left"/>
        <w:rPr>
          <w:rFonts w:ascii="宋体" w:hAnsi="宋体"/>
          <w:kern w:val="44"/>
        </w:rPr>
      </w:pPr>
      <w:r>
        <w:rPr>
          <w:rFonts w:hint="eastAsia" w:ascii="宋体" w:hAnsi="宋体"/>
          <w:b/>
          <w:kern w:val="44"/>
        </w:rPr>
        <w:t>第二十五条</w:t>
      </w:r>
      <w:r>
        <w:rPr>
          <w:rFonts w:hint="eastAsia" w:ascii="宋体" w:hAnsi="宋体"/>
          <w:kern w:val="44"/>
        </w:rPr>
        <w:t>　履带车、铁轮车或者超重、超高、超长车辆需要在城市道路上行驶的，应当制定通行预案，经交通路政部门许可，按照公安交通管理部门指定的时间、路线、速度行驶，并悬挂明显标志。</w:t>
      </w:r>
    </w:p>
    <w:p w14:paraId="637507B1">
      <w:pPr>
        <w:ind w:firstLine="422"/>
        <w:jc w:val="left"/>
        <w:rPr>
          <w:rFonts w:ascii="宋体" w:hAnsi="宋体"/>
          <w:kern w:val="44"/>
        </w:rPr>
      </w:pPr>
      <w:r>
        <w:rPr>
          <w:rFonts w:hint="eastAsia" w:ascii="宋体" w:hAnsi="宋体"/>
          <w:b/>
          <w:kern w:val="44"/>
        </w:rPr>
        <w:t>第二十六条</w:t>
      </w:r>
      <w:r>
        <w:rPr>
          <w:rFonts w:hint="eastAsia" w:ascii="宋体" w:hAnsi="宋体"/>
          <w:kern w:val="44"/>
        </w:rPr>
        <w:t>　在城市桥梁外侧50米内，从事河道疏浚、挖沙、爆破和其他可能影响桥梁安全的作业的，作业单位应当制定城市桥梁安全保护和监测措施工作方案，并经专家和交通路政、公安交通管理等有关部门进行安全论证通过。</w:t>
      </w:r>
    </w:p>
    <w:p w14:paraId="08BFC227">
      <w:pPr>
        <w:ind w:firstLine="422"/>
        <w:jc w:val="left"/>
        <w:rPr>
          <w:rFonts w:ascii="宋体" w:hAnsi="宋体"/>
          <w:kern w:val="44"/>
        </w:rPr>
      </w:pPr>
      <w:r>
        <w:rPr>
          <w:rFonts w:hint="eastAsia" w:ascii="宋体" w:hAnsi="宋体"/>
          <w:b/>
          <w:kern w:val="44"/>
        </w:rPr>
        <w:t>第二十七条</w:t>
      </w:r>
      <w:r>
        <w:rPr>
          <w:rFonts w:hint="eastAsia" w:ascii="宋体" w:hAnsi="宋体"/>
          <w:kern w:val="44"/>
        </w:rPr>
        <w:t>　挖掘城市道路或者依据本办法第二十六条规定作业时，出现影响城市道路安全情形的，作业单位应当立即停止作业，采取应急措施防止危害扩大，并通知城市道路养护维修单位，报告公安交通管理部门和交通路政部门；出现影响附设管线安全的情形的，还应当向管线产权单位和有关管理部门报告。</w:t>
      </w:r>
    </w:p>
    <w:p w14:paraId="78F975E8">
      <w:pPr>
        <w:ind w:firstLine="422"/>
        <w:jc w:val="left"/>
        <w:rPr>
          <w:rFonts w:ascii="宋体" w:hAnsi="宋体"/>
          <w:kern w:val="44"/>
        </w:rPr>
      </w:pPr>
      <w:r>
        <w:rPr>
          <w:rFonts w:hint="eastAsia" w:ascii="宋体" w:hAnsi="宋体"/>
          <w:b/>
          <w:kern w:val="44"/>
        </w:rPr>
        <w:t>第二十八条</w:t>
      </w:r>
      <w:r>
        <w:rPr>
          <w:rFonts w:hint="eastAsia" w:ascii="宋体" w:hAnsi="宋体"/>
          <w:kern w:val="44"/>
        </w:rPr>
        <w:t>　交通行政管理部门应当协调规划、建设、市政管理、公安交通、交通路政等行政管理部门，实现城市道路管理信息共享。</w:t>
      </w:r>
    </w:p>
    <w:p w14:paraId="5358A062">
      <w:pPr>
        <w:jc w:val="left"/>
        <w:rPr>
          <w:rFonts w:ascii="宋体" w:hAnsi="宋体"/>
          <w:kern w:val="44"/>
        </w:rPr>
      </w:pPr>
      <w:r>
        <w:rPr>
          <w:rFonts w:hint="eastAsia" w:ascii="宋体" w:hAnsi="宋体"/>
          <w:kern w:val="44"/>
        </w:rPr>
        <w:t>交通路政部门应当建立和完善城市道路承载能力以及养护维修、占用、挖掘信息数据库，定期发布城市道路养护维修和占用、挖掘等信息。</w:t>
      </w:r>
    </w:p>
    <w:p w14:paraId="7231D88F">
      <w:pPr>
        <w:jc w:val="left"/>
        <w:rPr>
          <w:rFonts w:ascii="宋体" w:hAnsi="宋体"/>
          <w:kern w:val="44"/>
        </w:rPr>
      </w:pPr>
    </w:p>
    <w:p w14:paraId="28387B85">
      <w:pPr>
        <w:ind w:firstLine="0" w:firstLineChars="0"/>
        <w:jc w:val="center"/>
        <w:rPr>
          <w:rFonts w:ascii="宋体" w:hAnsi="宋体"/>
          <w:b/>
          <w:kern w:val="44"/>
          <w:sz w:val="28"/>
        </w:rPr>
      </w:pPr>
      <w:r>
        <w:rPr>
          <w:rFonts w:hint="eastAsia" w:ascii="宋体" w:hAnsi="宋体"/>
          <w:b/>
          <w:kern w:val="44"/>
          <w:sz w:val="28"/>
        </w:rPr>
        <w:t>第五章　法律责任</w:t>
      </w:r>
    </w:p>
    <w:p w14:paraId="5AC7A08C">
      <w:pPr>
        <w:jc w:val="left"/>
        <w:rPr>
          <w:rFonts w:ascii="宋体" w:hAnsi="宋体"/>
          <w:kern w:val="44"/>
        </w:rPr>
      </w:pPr>
    </w:p>
    <w:p w14:paraId="3CF52F3F">
      <w:pPr>
        <w:ind w:firstLine="422"/>
        <w:jc w:val="left"/>
        <w:rPr>
          <w:rFonts w:ascii="宋体" w:hAnsi="宋体"/>
          <w:kern w:val="44"/>
        </w:rPr>
      </w:pPr>
      <w:r>
        <w:rPr>
          <w:rFonts w:hint="eastAsia" w:ascii="宋体" w:hAnsi="宋体"/>
          <w:b/>
          <w:kern w:val="44"/>
        </w:rPr>
        <w:t>第二十九条</w:t>
      </w:r>
      <w:r>
        <w:rPr>
          <w:rFonts w:hint="eastAsia" w:ascii="宋体" w:hAnsi="宋体"/>
          <w:kern w:val="44"/>
        </w:rPr>
        <w:t>　行政机关及其工作人员违法实施行政许可和行政处罚，或者未履行安全生产监督管理职责造成安全责任事故，或者对安全生产事故拖延报告、谎报、隐瞒不报的，以及其他不依法履行职责的，由其上级机关责令改正；情节严重的，对直接负责的主管人员和其他直接责任人员依法给予行政处分；构成犯罪的，依法追究刑事责任。</w:t>
      </w:r>
    </w:p>
    <w:p w14:paraId="63E55851">
      <w:pPr>
        <w:ind w:firstLine="422"/>
        <w:jc w:val="left"/>
        <w:rPr>
          <w:rFonts w:ascii="宋体" w:hAnsi="宋体"/>
          <w:kern w:val="44"/>
        </w:rPr>
      </w:pPr>
      <w:r>
        <w:rPr>
          <w:rFonts w:hint="eastAsia" w:ascii="宋体" w:hAnsi="宋体"/>
          <w:b/>
          <w:kern w:val="44"/>
        </w:rPr>
        <w:t>第三十条</w:t>
      </w:r>
      <w:r>
        <w:rPr>
          <w:rFonts w:hint="eastAsia" w:ascii="宋体" w:hAnsi="宋体"/>
          <w:kern w:val="44"/>
        </w:rPr>
        <w:t>　违反本办法第十四条规定，养护维修责任人不建立巡查和检测评估制度的，由交通路政部门责令限期改正，予以警告；情节严重的，并处1万元以上3万元以下罚款。</w:t>
      </w:r>
    </w:p>
    <w:p w14:paraId="4C020596">
      <w:pPr>
        <w:ind w:firstLine="422"/>
        <w:jc w:val="left"/>
        <w:rPr>
          <w:rFonts w:ascii="宋体" w:hAnsi="宋体"/>
          <w:kern w:val="44"/>
        </w:rPr>
      </w:pPr>
      <w:r>
        <w:rPr>
          <w:rFonts w:hint="eastAsia" w:ascii="宋体" w:hAnsi="宋体"/>
          <w:b/>
          <w:kern w:val="44"/>
        </w:rPr>
        <w:t>第三十一条</w:t>
      </w:r>
      <w:r>
        <w:rPr>
          <w:rFonts w:hint="eastAsia" w:ascii="宋体" w:hAnsi="宋体"/>
          <w:kern w:val="44"/>
        </w:rPr>
        <w:t>　违反本办法第二十条、第二十二条第一款、第二十五条规定的，依照《城市道路管理条例》予以处罚。</w:t>
      </w:r>
    </w:p>
    <w:p w14:paraId="0A36055F">
      <w:pPr>
        <w:ind w:firstLine="422"/>
        <w:jc w:val="left"/>
        <w:rPr>
          <w:rFonts w:ascii="宋体" w:hAnsi="宋体"/>
          <w:kern w:val="44"/>
        </w:rPr>
      </w:pPr>
      <w:r>
        <w:rPr>
          <w:rFonts w:hint="eastAsia" w:ascii="宋体" w:hAnsi="宋体"/>
          <w:b/>
          <w:kern w:val="44"/>
        </w:rPr>
        <w:t>第三十二条</w:t>
      </w:r>
      <w:r>
        <w:rPr>
          <w:rFonts w:hint="eastAsia" w:ascii="宋体" w:hAnsi="宋体"/>
          <w:kern w:val="44"/>
        </w:rPr>
        <w:t>　城市道路养护维修单位的违法行为和处理结果及其改正情况，将依法记入企业信用信息系统。</w:t>
      </w:r>
    </w:p>
    <w:p w14:paraId="693E1644">
      <w:pPr>
        <w:ind w:firstLine="422"/>
        <w:jc w:val="left"/>
        <w:rPr>
          <w:rFonts w:ascii="宋体" w:hAnsi="宋体"/>
          <w:kern w:val="44"/>
        </w:rPr>
      </w:pPr>
      <w:r>
        <w:rPr>
          <w:rFonts w:hint="eastAsia" w:ascii="宋体" w:hAnsi="宋体"/>
          <w:b/>
          <w:kern w:val="44"/>
        </w:rPr>
        <w:t>第三十三条</w:t>
      </w:r>
      <w:r>
        <w:rPr>
          <w:rFonts w:hint="eastAsia" w:ascii="宋体" w:hAnsi="宋体"/>
          <w:kern w:val="44"/>
        </w:rPr>
        <w:t>　违反本办法对城市道路造成损害的，有关当事人应当依法承担修复、赔偿等责任。</w:t>
      </w:r>
    </w:p>
    <w:p w14:paraId="06F51225">
      <w:pPr>
        <w:jc w:val="left"/>
        <w:rPr>
          <w:rFonts w:ascii="宋体" w:hAnsi="宋体"/>
          <w:kern w:val="44"/>
        </w:rPr>
      </w:pPr>
      <w:r>
        <w:rPr>
          <w:rFonts w:hint="eastAsia" w:ascii="宋体" w:hAnsi="宋体"/>
          <w:kern w:val="44"/>
        </w:rPr>
        <w:t>损害责任人不履行修复责任的，城市道路养护维修单位应当先行组织修复，所需费用由损害责任人承担。</w:t>
      </w:r>
    </w:p>
    <w:p w14:paraId="19AA1C16">
      <w:pPr>
        <w:jc w:val="left"/>
        <w:rPr>
          <w:rFonts w:ascii="宋体" w:hAnsi="宋体"/>
          <w:kern w:val="44"/>
        </w:rPr>
      </w:pPr>
    </w:p>
    <w:p w14:paraId="2066B55C">
      <w:pPr>
        <w:ind w:firstLine="0" w:firstLineChars="0"/>
        <w:jc w:val="center"/>
        <w:rPr>
          <w:rFonts w:ascii="宋体" w:hAnsi="宋体"/>
          <w:b/>
          <w:kern w:val="44"/>
          <w:sz w:val="28"/>
        </w:rPr>
      </w:pPr>
      <w:r>
        <w:rPr>
          <w:rFonts w:hint="eastAsia" w:ascii="宋体" w:hAnsi="宋体"/>
          <w:b/>
          <w:kern w:val="44"/>
          <w:sz w:val="28"/>
        </w:rPr>
        <w:t>第六章　附　则</w:t>
      </w:r>
    </w:p>
    <w:p w14:paraId="5324CBB5">
      <w:pPr>
        <w:jc w:val="left"/>
        <w:rPr>
          <w:rFonts w:ascii="宋体" w:hAnsi="宋体"/>
          <w:kern w:val="44"/>
        </w:rPr>
      </w:pPr>
    </w:p>
    <w:p w14:paraId="2C3CCE45">
      <w:pPr>
        <w:ind w:firstLine="422"/>
        <w:jc w:val="left"/>
        <w:rPr>
          <w:rFonts w:ascii="宋体" w:hAnsi="宋体"/>
          <w:kern w:val="44"/>
        </w:rPr>
      </w:pPr>
      <w:r>
        <w:rPr>
          <w:rFonts w:hint="eastAsia" w:ascii="宋体" w:hAnsi="宋体"/>
          <w:b/>
          <w:kern w:val="44"/>
        </w:rPr>
        <w:t>第三十四条</w:t>
      </w:r>
      <w:r>
        <w:rPr>
          <w:rFonts w:hint="eastAsia" w:ascii="宋体" w:hAnsi="宋体"/>
          <w:kern w:val="44"/>
        </w:rPr>
        <w:t>　本办法自2005年8月1日起施行。1986年1月24日市人民政府发布的《北京市城市道路桥梁管理暂行办法》和1993年11月18日市人民政府发布、1997年12月31日修改的《北京市临时占用道路管理办法》以及1988年10月13日市人民政府发布、2001年8月27日修改的《关于加强人行过街桥、人行地下过街通道管理的规定》第三条、第四条、第六条第（二）项、第（三）项、第（四）项和第七条同时废止。</w:t>
      </w:r>
    </w:p>
    <w:p w14:paraId="59596B97">
      <w:pPr>
        <w:pStyle w:val="4"/>
        <w:pageBreakBefore/>
        <w:rPr>
          <w:kern w:val="44"/>
        </w:rPr>
      </w:pPr>
      <w:bookmarkStart w:id="637" w:name="_Toc422471185"/>
      <w:bookmarkStart w:id="638" w:name="_Toc428780053"/>
      <w:bookmarkStart w:id="639" w:name="_Toc428781535"/>
      <w:bookmarkStart w:id="640" w:name="_Toc427651487"/>
      <w:bookmarkStart w:id="641" w:name="_Toc427651829"/>
      <w:r>
        <w:rPr>
          <w:rFonts w:hint="eastAsia"/>
          <w:kern w:val="44"/>
        </w:rPr>
        <w:t>北京市道路交通安全防范</w:t>
      </w:r>
      <w:bookmarkEnd w:id="637"/>
      <w:bookmarkStart w:id="642" w:name="_Toc422471186"/>
      <w:r>
        <w:rPr>
          <w:rFonts w:hint="eastAsia"/>
          <w:kern w:val="44"/>
        </w:rPr>
        <w:t>责任制管理办法</w:t>
      </w:r>
      <w:bookmarkEnd w:id="638"/>
      <w:bookmarkEnd w:id="639"/>
      <w:bookmarkEnd w:id="640"/>
      <w:bookmarkEnd w:id="641"/>
      <w:bookmarkEnd w:id="642"/>
    </w:p>
    <w:p w14:paraId="7F97EF8D">
      <w:pPr>
        <w:ind w:left="630" w:leftChars="300" w:right="630" w:rightChars="300"/>
        <w:jc w:val="left"/>
        <w:rPr>
          <w:rFonts w:ascii="楷体" w:hAnsi="楷体" w:eastAsia="楷体"/>
          <w:kern w:val="44"/>
        </w:rPr>
      </w:pPr>
      <w:r>
        <w:rPr>
          <w:rFonts w:hint="eastAsia" w:ascii="楷体" w:hAnsi="楷体" w:eastAsia="楷体"/>
          <w:kern w:val="44"/>
        </w:rPr>
        <w:t>（2005年10月25日北京市人民政府第44次常务会议审议通过  2005年11月11日北京市人民政府第162号令发布）</w:t>
      </w:r>
    </w:p>
    <w:p w14:paraId="25D64944">
      <w:pPr>
        <w:jc w:val="left"/>
        <w:rPr>
          <w:rFonts w:ascii="宋体" w:hAnsi="宋体"/>
          <w:kern w:val="44"/>
        </w:rPr>
      </w:pPr>
    </w:p>
    <w:p w14:paraId="26326094">
      <w:pPr>
        <w:ind w:firstLine="422"/>
        <w:jc w:val="left"/>
        <w:rPr>
          <w:rFonts w:ascii="宋体" w:hAnsi="宋体"/>
          <w:kern w:val="44"/>
        </w:rPr>
      </w:pPr>
      <w:r>
        <w:rPr>
          <w:rFonts w:hint="eastAsia" w:ascii="宋体" w:hAnsi="宋体"/>
          <w:b/>
          <w:kern w:val="44"/>
        </w:rPr>
        <w:t>第一条</w:t>
      </w:r>
      <w:r>
        <w:rPr>
          <w:rFonts w:hint="eastAsia" w:ascii="宋体" w:hAnsi="宋体"/>
          <w:kern w:val="44"/>
        </w:rPr>
        <w:t>　为了落实道路交通安全防范责任制（以下简称安全责任制），预防道路交通事故，根据《北京市实施〈中华人民共和国道路交通安全法〉办法》，制定本办法。</w:t>
      </w:r>
    </w:p>
    <w:p w14:paraId="103D89CE">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本市行政区域内的机关、部队、企业、事业单位、社会团体以及其他组织（以下统称单位），应当遵守本办法。</w:t>
      </w:r>
    </w:p>
    <w:p w14:paraId="66414E4D">
      <w:pPr>
        <w:ind w:firstLine="422"/>
        <w:jc w:val="left"/>
        <w:rPr>
          <w:rFonts w:ascii="宋体" w:hAnsi="宋体"/>
          <w:kern w:val="44"/>
        </w:rPr>
      </w:pPr>
      <w:r>
        <w:rPr>
          <w:rFonts w:hint="eastAsia" w:ascii="宋体" w:hAnsi="宋体"/>
          <w:b/>
          <w:kern w:val="44"/>
        </w:rPr>
        <w:t>第三条</w:t>
      </w:r>
      <w:r>
        <w:rPr>
          <w:rFonts w:hint="eastAsia" w:ascii="宋体" w:hAnsi="宋体"/>
          <w:kern w:val="44"/>
        </w:rPr>
        <w:t>　本市各级人民政府负责安全责任制的组织实施。</w:t>
      </w:r>
    </w:p>
    <w:p w14:paraId="62E149CC">
      <w:pPr>
        <w:jc w:val="left"/>
        <w:rPr>
          <w:rFonts w:ascii="宋体" w:hAnsi="宋体"/>
          <w:kern w:val="44"/>
        </w:rPr>
      </w:pPr>
      <w:r>
        <w:rPr>
          <w:rFonts w:hint="eastAsia" w:ascii="宋体" w:hAnsi="宋体"/>
          <w:kern w:val="44"/>
        </w:rPr>
        <w:t>市人民政府根据道路交通安全情况，制定交通事故防范对策，对国家下达的道路交通事故控制指标进行分解，明确责任，实行目标管理。</w:t>
      </w:r>
    </w:p>
    <w:p w14:paraId="7BA1AE52">
      <w:pPr>
        <w:jc w:val="left"/>
        <w:rPr>
          <w:rFonts w:ascii="宋体" w:hAnsi="宋体"/>
          <w:kern w:val="44"/>
        </w:rPr>
      </w:pPr>
      <w:r>
        <w:rPr>
          <w:rFonts w:hint="eastAsia" w:ascii="宋体" w:hAnsi="宋体"/>
          <w:kern w:val="44"/>
        </w:rPr>
        <w:t>区、县人民政府根据市人民政府制定的交通事故防范对策和下达的道路交通事故控制指标，制定实施方案，落实安全责任。</w:t>
      </w:r>
    </w:p>
    <w:p w14:paraId="5E7930D7">
      <w:pPr>
        <w:ind w:firstLine="422"/>
        <w:jc w:val="left"/>
        <w:rPr>
          <w:rFonts w:ascii="宋体" w:hAnsi="宋体"/>
          <w:kern w:val="44"/>
        </w:rPr>
      </w:pPr>
      <w:r>
        <w:rPr>
          <w:rFonts w:hint="eastAsia" w:ascii="宋体" w:hAnsi="宋体"/>
          <w:b/>
          <w:kern w:val="44"/>
        </w:rPr>
        <w:t>第四条</w:t>
      </w:r>
      <w:r>
        <w:rPr>
          <w:rFonts w:hint="eastAsia" w:ascii="宋体" w:hAnsi="宋体"/>
          <w:kern w:val="44"/>
        </w:rPr>
        <w:t>　本市各级人民政府的交通安全委员会是同级人民政府实施安全责任制的组织协调机构，应当履行下列职责：</w:t>
      </w:r>
    </w:p>
    <w:p w14:paraId="3239776B">
      <w:pPr>
        <w:jc w:val="left"/>
        <w:rPr>
          <w:rFonts w:ascii="宋体" w:hAnsi="宋体"/>
          <w:kern w:val="44"/>
        </w:rPr>
      </w:pPr>
      <w:r>
        <w:rPr>
          <w:rFonts w:hint="eastAsia" w:ascii="宋体" w:hAnsi="宋体"/>
          <w:kern w:val="44"/>
        </w:rPr>
        <w:t>（一）根据本级人民政府的决定和部署，指导、协调、督促安全责任制的落实；</w:t>
      </w:r>
    </w:p>
    <w:p w14:paraId="5D953D26">
      <w:pPr>
        <w:jc w:val="left"/>
        <w:rPr>
          <w:rFonts w:ascii="宋体" w:hAnsi="宋体"/>
          <w:kern w:val="44"/>
        </w:rPr>
      </w:pPr>
      <w:r>
        <w:rPr>
          <w:rFonts w:hint="eastAsia" w:ascii="宋体" w:hAnsi="宋体"/>
          <w:kern w:val="44"/>
        </w:rPr>
        <w:t>（二）通报交通安全情况，督促单位落实防范措施，消除安全隐患；</w:t>
      </w:r>
    </w:p>
    <w:p w14:paraId="4734FCF9">
      <w:pPr>
        <w:jc w:val="left"/>
        <w:rPr>
          <w:rFonts w:ascii="宋体" w:hAnsi="宋体"/>
          <w:kern w:val="44"/>
        </w:rPr>
      </w:pPr>
      <w:r>
        <w:rPr>
          <w:rFonts w:hint="eastAsia" w:ascii="宋体" w:hAnsi="宋体"/>
          <w:kern w:val="44"/>
        </w:rPr>
        <w:t>（三）组织宣传道路交通安全法律、法规、规章，开展交通安全公益活动；</w:t>
      </w:r>
    </w:p>
    <w:p w14:paraId="7AC0B1F9">
      <w:pPr>
        <w:jc w:val="left"/>
        <w:rPr>
          <w:rFonts w:ascii="宋体" w:hAnsi="宋体"/>
          <w:kern w:val="44"/>
        </w:rPr>
      </w:pPr>
      <w:r>
        <w:rPr>
          <w:rFonts w:hint="eastAsia" w:ascii="宋体" w:hAnsi="宋体"/>
          <w:kern w:val="44"/>
        </w:rPr>
        <w:t>（四）开展调查研究，总结推广交通安全防范的工作经验；</w:t>
      </w:r>
    </w:p>
    <w:p w14:paraId="0DB91EF3">
      <w:pPr>
        <w:jc w:val="left"/>
        <w:rPr>
          <w:rFonts w:ascii="宋体" w:hAnsi="宋体"/>
          <w:kern w:val="44"/>
        </w:rPr>
      </w:pPr>
      <w:r>
        <w:rPr>
          <w:rFonts w:hint="eastAsia" w:ascii="宋体" w:hAnsi="宋体"/>
          <w:kern w:val="44"/>
        </w:rPr>
        <w:t>（五）组织安全责任制目标管理考核、评定。</w:t>
      </w:r>
    </w:p>
    <w:p w14:paraId="79FD0410">
      <w:pPr>
        <w:jc w:val="left"/>
        <w:rPr>
          <w:rFonts w:ascii="宋体" w:hAnsi="宋体"/>
          <w:kern w:val="44"/>
        </w:rPr>
      </w:pPr>
      <w:r>
        <w:rPr>
          <w:rFonts w:hint="eastAsia" w:ascii="宋体" w:hAnsi="宋体"/>
          <w:kern w:val="44"/>
        </w:rPr>
        <w:t>中央在京机关、驻京军事机关以及本市各系统的交通安全委员会，负责督促本系统所属单位实施安全责任制。</w:t>
      </w:r>
    </w:p>
    <w:p w14:paraId="1760880D">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市和区、县公安机关交通管理部门对安全责任制的落实，依法履行下列监督管理职责：</w:t>
      </w:r>
    </w:p>
    <w:p w14:paraId="3566C8AE">
      <w:pPr>
        <w:jc w:val="left"/>
        <w:rPr>
          <w:rFonts w:ascii="宋体" w:hAnsi="宋体"/>
          <w:kern w:val="44"/>
        </w:rPr>
      </w:pPr>
      <w:r>
        <w:rPr>
          <w:rFonts w:hint="eastAsia" w:ascii="宋体" w:hAnsi="宋体"/>
          <w:kern w:val="44"/>
        </w:rPr>
        <w:t>（一）对安全责任制的执行情况进行监督检查；</w:t>
      </w:r>
    </w:p>
    <w:p w14:paraId="747411DE">
      <w:pPr>
        <w:jc w:val="left"/>
        <w:rPr>
          <w:rFonts w:ascii="宋体" w:hAnsi="宋体"/>
          <w:kern w:val="44"/>
        </w:rPr>
      </w:pPr>
      <w:r>
        <w:rPr>
          <w:rFonts w:hint="eastAsia" w:ascii="宋体" w:hAnsi="宋体"/>
          <w:kern w:val="44"/>
        </w:rPr>
        <w:t>（二）对不履行安全责任制的行为予以处理；</w:t>
      </w:r>
    </w:p>
    <w:p w14:paraId="2AEFA8D5">
      <w:pPr>
        <w:jc w:val="left"/>
        <w:rPr>
          <w:rFonts w:ascii="宋体" w:hAnsi="宋体"/>
          <w:kern w:val="44"/>
        </w:rPr>
      </w:pPr>
      <w:r>
        <w:rPr>
          <w:rFonts w:hint="eastAsia" w:ascii="宋体" w:hAnsi="宋体"/>
          <w:kern w:val="44"/>
        </w:rPr>
        <w:t>（三）对道路安全事故负有责任的单位负责人，提出责任追究意见。</w:t>
      </w:r>
    </w:p>
    <w:p w14:paraId="373527DB">
      <w:pPr>
        <w:ind w:firstLine="422"/>
        <w:jc w:val="left"/>
        <w:rPr>
          <w:rFonts w:ascii="宋体" w:hAnsi="宋体"/>
          <w:kern w:val="44"/>
        </w:rPr>
      </w:pPr>
      <w:r>
        <w:rPr>
          <w:rFonts w:hint="eastAsia" w:ascii="宋体" w:hAnsi="宋体"/>
          <w:b/>
          <w:kern w:val="44"/>
        </w:rPr>
        <w:t>第六条</w:t>
      </w:r>
      <w:r>
        <w:rPr>
          <w:rFonts w:hint="eastAsia" w:ascii="宋体" w:hAnsi="宋体"/>
          <w:kern w:val="44"/>
        </w:rPr>
        <w:t>　市和区、县人民政府各部门，应当按照职责分工，履行道路交通安全防范责任，并督促本系统所属单位落实安全责任制。</w:t>
      </w:r>
    </w:p>
    <w:p w14:paraId="3C62F612">
      <w:pPr>
        <w:ind w:firstLine="422"/>
        <w:jc w:val="left"/>
        <w:rPr>
          <w:rFonts w:ascii="宋体" w:hAnsi="宋体"/>
          <w:kern w:val="44"/>
        </w:rPr>
      </w:pPr>
      <w:r>
        <w:rPr>
          <w:rFonts w:hint="eastAsia" w:ascii="宋体" w:hAnsi="宋体"/>
          <w:b/>
          <w:kern w:val="44"/>
        </w:rPr>
        <w:t>第七条</w:t>
      </w:r>
      <w:r>
        <w:rPr>
          <w:rFonts w:hint="eastAsia" w:ascii="宋体" w:hAnsi="宋体"/>
          <w:kern w:val="44"/>
        </w:rPr>
        <w:t>　每年四月份的第二个星期六为本市道路交通安全宣传日。</w:t>
      </w:r>
    </w:p>
    <w:p w14:paraId="7FBC0A8D">
      <w:pPr>
        <w:jc w:val="left"/>
        <w:rPr>
          <w:rFonts w:ascii="宋体" w:hAnsi="宋体"/>
          <w:kern w:val="44"/>
        </w:rPr>
      </w:pPr>
      <w:r>
        <w:rPr>
          <w:rFonts w:hint="eastAsia" w:ascii="宋体" w:hAnsi="宋体"/>
          <w:kern w:val="44"/>
        </w:rPr>
        <w:t>本市支持和鼓励单位或者个人开展道路交通安全公益活动，提供志愿服务。对做出突出贡献的单位或者个人，授予荣誉称号。</w:t>
      </w:r>
    </w:p>
    <w:p w14:paraId="1B2AC24F">
      <w:pPr>
        <w:ind w:firstLine="422"/>
        <w:jc w:val="left"/>
        <w:rPr>
          <w:rFonts w:ascii="宋体" w:hAnsi="宋体"/>
          <w:kern w:val="44"/>
        </w:rPr>
      </w:pPr>
      <w:r>
        <w:rPr>
          <w:rFonts w:hint="eastAsia" w:ascii="宋体" w:hAnsi="宋体"/>
          <w:b/>
          <w:kern w:val="44"/>
        </w:rPr>
        <w:t>第八条</w:t>
      </w:r>
      <w:r>
        <w:rPr>
          <w:rFonts w:hint="eastAsia" w:ascii="宋体" w:hAnsi="宋体"/>
          <w:kern w:val="44"/>
        </w:rPr>
        <w:t>　单位应当落实安全责任制，确定本单位交通安全管理的责任部门，设置专职或者兼职交通安全管理人员，并向当地交通安全委员会备案。</w:t>
      </w:r>
    </w:p>
    <w:p w14:paraId="60FDAF10">
      <w:pPr>
        <w:ind w:firstLine="422"/>
        <w:jc w:val="left"/>
        <w:rPr>
          <w:rFonts w:ascii="宋体" w:hAnsi="宋体"/>
          <w:kern w:val="44"/>
        </w:rPr>
      </w:pPr>
      <w:r>
        <w:rPr>
          <w:rFonts w:hint="eastAsia" w:ascii="宋体" w:hAnsi="宋体"/>
          <w:b/>
          <w:kern w:val="44"/>
        </w:rPr>
        <w:t>第九条</w:t>
      </w:r>
      <w:r>
        <w:rPr>
          <w:rFonts w:hint="eastAsia" w:ascii="宋体" w:hAnsi="宋体"/>
          <w:kern w:val="44"/>
        </w:rPr>
        <w:t>　单位履行安全责任制，应当遵守下列规定：</w:t>
      </w:r>
    </w:p>
    <w:p w14:paraId="64EF454F">
      <w:pPr>
        <w:jc w:val="left"/>
        <w:rPr>
          <w:rFonts w:ascii="宋体" w:hAnsi="宋体"/>
          <w:kern w:val="44"/>
        </w:rPr>
      </w:pPr>
      <w:r>
        <w:rPr>
          <w:rFonts w:hint="eastAsia" w:ascii="宋体" w:hAnsi="宋体"/>
          <w:kern w:val="44"/>
        </w:rPr>
        <w:t>（一）宣传、贯彻道路交通安全法律、法规、规章，教育所属人员遵守道路交通安全法律、法规、规章；</w:t>
      </w:r>
    </w:p>
    <w:p w14:paraId="68D00FE0">
      <w:pPr>
        <w:jc w:val="left"/>
        <w:rPr>
          <w:rFonts w:ascii="宋体" w:hAnsi="宋体"/>
          <w:kern w:val="44"/>
        </w:rPr>
      </w:pPr>
      <w:r>
        <w:rPr>
          <w:rFonts w:hint="eastAsia" w:ascii="宋体" w:hAnsi="宋体"/>
          <w:kern w:val="44"/>
        </w:rPr>
        <w:t>（二）制定交通安全目标和交通安全工作方案，建立培训和考核评比制度；</w:t>
      </w:r>
    </w:p>
    <w:p w14:paraId="0D2245B6">
      <w:pPr>
        <w:jc w:val="left"/>
        <w:rPr>
          <w:rFonts w:ascii="宋体" w:hAnsi="宋体"/>
          <w:kern w:val="44"/>
        </w:rPr>
      </w:pPr>
      <w:r>
        <w:rPr>
          <w:rFonts w:hint="eastAsia" w:ascii="宋体" w:hAnsi="宋体"/>
          <w:kern w:val="44"/>
        </w:rPr>
        <w:t>（三）建立和落实所属机动车的使用、保养、维修、检查制度，保持车辆符合国家安全技术标准；</w:t>
      </w:r>
    </w:p>
    <w:p w14:paraId="5C19172D">
      <w:pPr>
        <w:jc w:val="left"/>
        <w:rPr>
          <w:rFonts w:ascii="宋体" w:hAnsi="宋体"/>
          <w:kern w:val="44"/>
        </w:rPr>
      </w:pPr>
      <w:r>
        <w:rPr>
          <w:rFonts w:hint="eastAsia" w:ascii="宋体" w:hAnsi="宋体"/>
          <w:kern w:val="44"/>
        </w:rPr>
        <w:t>（四）建立所属人员的机动车及其驾驶人登记制度；</w:t>
      </w:r>
    </w:p>
    <w:p w14:paraId="7BA0083A">
      <w:pPr>
        <w:jc w:val="left"/>
        <w:rPr>
          <w:rFonts w:ascii="宋体" w:hAnsi="宋体"/>
          <w:kern w:val="44"/>
        </w:rPr>
      </w:pPr>
      <w:r>
        <w:rPr>
          <w:rFonts w:hint="eastAsia" w:ascii="宋体" w:hAnsi="宋体"/>
          <w:kern w:val="44"/>
        </w:rPr>
        <w:t>（五）接受当地交通安全委员会和公安机关交通管理部门的监督检查，对存在的交通安全隐患，及时改正。</w:t>
      </w:r>
    </w:p>
    <w:p w14:paraId="3F6A9F8F">
      <w:pPr>
        <w:ind w:firstLine="422"/>
        <w:jc w:val="left"/>
        <w:rPr>
          <w:rFonts w:ascii="宋体" w:hAnsi="宋体"/>
          <w:kern w:val="44"/>
        </w:rPr>
      </w:pPr>
      <w:r>
        <w:rPr>
          <w:rFonts w:hint="eastAsia" w:ascii="宋体" w:hAnsi="宋体"/>
          <w:b/>
          <w:kern w:val="44"/>
        </w:rPr>
        <w:t>第十条</w:t>
      </w:r>
      <w:r>
        <w:rPr>
          <w:rFonts w:hint="eastAsia" w:ascii="宋体" w:hAnsi="宋体"/>
          <w:kern w:val="44"/>
        </w:rPr>
        <w:t>　专业运输单位和其他拥有专用运输车辆的生产经营单位，除遵守本办法第九条的规定外，还应当遵守下列规定：</w:t>
      </w:r>
    </w:p>
    <w:p w14:paraId="4BF720F7">
      <w:pPr>
        <w:jc w:val="left"/>
        <w:rPr>
          <w:rFonts w:ascii="宋体" w:hAnsi="宋体"/>
          <w:kern w:val="44"/>
        </w:rPr>
      </w:pPr>
      <w:r>
        <w:rPr>
          <w:rFonts w:hint="eastAsia" w:ascii="宋体" w:hAnsi="宋体"/>
          <w:kern w:val="44"/>
        </w:rPr>
        <w:t>（一）录用机动车驾驶人时，进行资质审核，对不符合国家和本市规定的机动车驾驶人，不得录用；</w:t>
      </w:r>
    </w:p>
    <w:p w14:paraId="6BC65C22">
      <w:pPr>
        <w:jc w:val="left"/>
        <w:rPr>
          <w:rFonts w:ascii="宋体" w:hAnsi="宋体"/>
          <w:kern w:val="44"/>
        </w:rPr>
      </w:pPr>
      <w:r>
        <w:rPr>
          <w:rFonts w:hint="eastAsia" w:ascii="宋体" w:hAnsi="宋体"/>
          <w:kern w:val="44"/>
        </w:rPr>
        <w:t>（二）对录用后的机动车驾驶人，发生致人死亡事故负同等以上责任或者致人重伤事故负主要以上责任的，三年内不得安排驾驶专业运输车辆；</w:t>
      </w:r>
    </w:p>
    <w:p w14:paraId="11CFDA4F">
      <w:pPr>
        <w:jc w:val="left"/>
        <w:rPr>
          <w:rFonts w:ascii="宋体" w:hAnsi="宋体"/>
          <w:kern w:val="44"/>
        </w:rPr>
      </w:pPr>
      <w:r>
        <w:rPr>
          <w:rFonts w:hint="eastAsia" w:ascii="宋体" w:hAnsi="宋体"/>
          <w:kern w:val="44"/>
        </w:rPr>
        <w:t>（三）机动车驾驶人被录用后，累积记分满12分的，一年内不得安排驾驶专业运输车辆；</w:t>
      </w:r>
    </w:p>
    <w:p w14:paraId="0C31E3D2">
      <w:pPr>
        <w:jc w:val="left"/>
        <w:rPr>
          <w:rFonts w:ascii="宋体" w:hAnsi="宋体"/>
          <w:kern w:val="44"/>
        </w:rPr>
      </w:pPr>
      <w:r>
        <w:rPr>
          <w:rFonts w:hint="eastAsia" w:ascii="宋体" w:hAnsi="宋体"/>
          <w:kern w:val="44"/>
        </w:rPr>
        <w:t>（四）对录用的机动车驾驶人进行道路交通安全培训、考核，建立档案，并向当地公安机关交通管理部门备案；</w:t>
      </w:r>
    </w:p>
    <w:p w14:paraId="10D9E75D">
      <w:pPr>
        <w:jc w:val="left"/>
        <w:rPr>
          <w:rFonts w:ascii="宋体" w:hAnsi="宋体"/>
          <w:kern w:val="44"/>
        </w:rPr>
      </w:pPr>
      <w:r>
        <w:rPr>
          <w:rFonts w:hint="eastAsia" w:ascii="宋体" w:hAnsi="宋体"/>
          <w:kern w:val="44"/>
        </w:rPr>
        <w:t>（五）对录用的持有非本市机动车驾驶证的机动车驾驶人，进行本市道路交通状况、道路通行条件、道路通行规定等知识的培训、考核；</w:t>
      </w:r>
    </w:p>
    <w:p w14:paraId="63EA979F">
      <w:pPr>
        <w:jc w:val="left"/>
        <w:rPr>
          <w:rFonts w:ascii="宋体" w:hAnsi="宋体"/>
          <w:kern w:val="44"/>
        </w:rPr>
      </w:pPr>
      <w:r>
        <w:rPr>
          <w:rFonts w:hint="eastAsia" w:ascii="宋体" w:hAnsi="宋体"/>
          <w:kern w:val="44"/>
        </w:rPr>
        <w:t>（六）掌握机动车驾驶人的交通违法信息，对有违法行为的机动车驾驶人进行专项教育、培训；</w:t>
      </w:r>
    </w:p>
    <w:p w14:paraId="0792591B">
      <w:pPr>
        <w:jc w:val="left"/>
        <w:rPr>
          <w:rFonts w:ascii="宋体" w:hAnsi="宋体"/>
          <w:kern w:val="44"/>
        </w:rPr>
      </w:pPr>
      <w:r>
        <w:rPr>
          <w:rFonts w:hint="eastAsia" w:ascii="宋体" w:hAnsi="宋体"/>
          <w:kern w:val="44"/>
        </w:rPr>
        <w:t>（七）建立机动车行驶信息档案，定期对安装的行驶记录仪记载的行驶状态信息进行检查和分析，落实防范措施。</w:t>
      </w:r>
    </w:p>
    <w:p w14:paraId="7EA6FC75">
      <w:pPr>
        <w:ind w:firstLine="422"/>
        <w:jc w:val="left"/>
        <w:rPr>
          <w:rFonts w:ascii="宋体" w:hAnsi="宋体"/>
          <w:kern w:val="44"/>
        </w:rPr>
      </w:pPr>
      <w:r>
        <w:rPr>
          <w:rFonts w:hint="eastAsia" w:ascii="宋体" w:hAnsi="宋体"/>
          <w:b/>
          <w:kern w:val="44"/>
        </w:rPr>
        <w:t>第十一条</w:t>
      </w:r>
      <w:r>
        <w:rPr>
          <w:rFonts w:hint="eastAsia" w:ascii="宋体" w:hAnsi="宋体"/>
          <w:kern w:val="44"/>
        </w:rPr>
        <w:t>　学校除遵守本办法第九条的规定外，还应当遵守下列规定：</w:t>
      </w:r>
    </w:p>
    <w:p w14:paraId="3E7893B1">
      <w:pPr>
        <w:jc w:val="left"/>
        <w:rPr>
          <w:rFonts w:ascii="宋体" w:hAnsi="宋体"/>
          <w:kern w:val="44"/>
        </w:rPr>
      </w:pPr>
      <w:r>
        <w:rPr>
          <w:rFonts w:hint="eastAsia" w:ascii="宋体" w:hAnsi="宋体"/>
          <w:kern w:val="44"/>
        </w:rPr>
        <w:t>（一）将交通安全教育纳入学校的教育内容，定期进行交通安全专题教育；</w:t>
      </w:r>
    </w:p>
    <w:p w14:paraId="2E80650D">
      <w:pPr>
        <w:jc w:val="left"/>
        <w:rPr>
          <w:rFonts w:ascii="宋体" w:hAnsi="宋体"/>
          <w:kern w:val="44"/>
        </w:rPr>
      </w:pPr>
      <w:r>
        <w:rPr>
          <w:rFonts w:hint="eastAsia" w:ascii="宋体" w:hAnsi="宋体"/>
          <w:kern w:val="44"/>
        </w:rPr>
        <w:t>（二）中、小学校将学生遵守道路交通安全法律、法规、规章的情况，纳入学生的综合评定；</w:t>
      </w:r>
    </w:p>
    <w:p w14:paraId="55A46FB7">
      <w:pPr>
        <w:jc w:val="left"/>
        <w:rPr>
          <w:rFonts w:ascii="宋体" w:hAnsi="宋体"/>
          <w:kern w:val="44"/>
        </w:rPr>
      </w:pPr>
      <w:r>
        <w:rPr>
          <w:rFonts w:hint="eastAsia" w:ascii="宋体" w:hAnsi="宋体"/>
          <w:kern w:val="44"/>
        </w:rPr>
        <w:t>（三）将学校自备或者租用接送学生的机动车纳入本单位安全责任制管理；</w:t>
      </w:r>
    </w:p>
    <w:p w14:paraId="20C65FF7">
      <w:pPr>
        <w:jc w:val="left"/>
        <w:rPr>
          <w:rFonts w:ascii="宋体" w:hAnsi="宋体"/>
          <w:kern w:val="44"/>
        </w:rPr>
      </w:pPr>
      <w:r>
        <w:rPr>
          <w:rFonts w:hint="eastAsia" w:ascii="宋体" w:hAnsi="宋体"/>
          <w:kern w:val="44"/>
        </w:rPr>
        <w:t>（四）小学校按照规定落实小黄帽路队制。</w:t>
      </w:r>
    </w:p>
    <w:p w14:paraId="3E39EFED">
      <w:pPr>
        <w:ind w:firstLine="422"/>
        <w:jc w:val="left"/>
        <w:rPr>
          <w:rFonts w:ascii="宋体" w:hAnsi="宋体"/>
          <w:kern w:val="44"/>
        </w:rPr>
      </w:pPr>
      <w:r>
        <w:rPr>
          <w:rFonts w:hint="eastAsia" w:ascii="宋体" w:hAnsi="宋体"/>
          <w:b/>
          <w:kern w:val="44"/>
        </w:rPr>
        <w:t>第十二条</w:t>
      </w:r>
      <w:r>
        <w:rPr>
          <w:rFonts w:hint="eastAsia" w:ascii="宋体" w:hAnsi="宋体"/>
          <w:kern w:val="44"/>
        </w:rPr>
        <w:t>　市和区、县人民政府以及各系统实行道路交通安全年度考核评比制度，对成绩突出的单位和个人予以表彰、奖励，对安全责任制落实不力的予以通报批评。</w:t>
      </w:r>
    </w:p>
    <w:p w14:paraId="3AE693EE">
      <w:pPr>
        <w:ind w:firstLine="422"/>
        <w:jc w:val="left"/>
        <w:rPr>
          <w:rFonts w:ascii="宋体" w:hAnsi="宋体"/>
          <w:kern w:val="44"/>
        </w:rPr>
      </w:pPr>
      <w:r>
        <w:rPr>
          <w:rFonts w:hint="eastAsia" w:ascii="宋体" w:hAnsi="宋体"/>
          <w:b/>
          <w:kern w:val="44"/>
        </w:rPr>
        <w:t>第十三条</w:t>
      </w:r>
      <w:r>
        <w:rPr>
          <w:rFonts w:hint="eastAsia" w:ascii="宋体" w:hAnsi="宋体"/>
          <w:kern w:val="44"/>
        </w:rPr>
        <w:t>　市公安机关交通管理部门对单位实行道路交通安全信息记录制度。</w:t>
      </w:r>
    </w:p>
    <w:p w14:paraId="08690B55">
      <w:pPr>
        <w:jc w:val="left"/>
        <w:rPr>
          <w:rFonts w:ascii="宋体" w:hAnsi="宋体"/>
          <w:kern w:val="44"/>
        </w:rPr>
      </w:pPr>
      <w:r>
        <w:rPr>
          <w:rFonts w:hint="eastAsia" w:ascii="宋体" w:hAnsi="宋体"/>
          <w:kern w:val="44"/>
        </w:rPr>
        <w:t>对单位车辆、人员的道路交通安全违法行为超过控制指标、发生负同等以上责任的致人死亡交通事故、交通事故超过控制指标等信息，市公安机关交通管理部门予以记录，并可以在媒体上公布。</w:t>
      </w:r>
    </w:p>
    <w:p w14:paraId="143D9D5E">
      <w:pPr>
        <w:ind w:firstLine="422"/>
        <w:jc w:val="left"/>
        <w:rPr>
          <w:rFonts w:ascii="宋体" w:hAnsi="宋体"/>
          <w:kern w:val="44"/>
        </w:rPr>
      </w:pPr>
      <w:r>
        <w:rPr>
          <w:rFonts w:hint="eastAsia" w:ascii="宋体" w:hAnsi="宋体"/>
          <w:b/>
          <w:kern w:val="44"/>
        </w:rPr>
        <w:t>第十四条</w:t>
      </w:r>
      <w:r>
        <w:rPr>
          <w:rFonts w:hint="eastAsia" w:ascii="宋体" w:hAnsi="宋体"/>
          <w:kern w:val="44"/>
        </w:rPr>
        <w:t xml:space="preserve">  单位未履行道路交通安全防范责任制度的，由公安机关交通管理部门责令限期改正；逾期不改正的，禁止其机动车上道路行驶。</w:t>
      </w:r>
    </w:p>
    <w:p w14:paraId="58B186F0">
      <w:pPr>
        <w:ind w:firstLine="422"/>
        <w:jc w:val="left"/>
        <w:rPr>
          <w:rFonts w:ascii="宋体" w:hAnsi="宋体"/>
          <w:kern w:val="44"/>
        </w:rPr>
      </w:pPr>
      <w:r>
        <w:rPr>
          <w:rFonts w:hint="eastAsia" w:ascii="宋体" w:hAnsi="宋体"/>
          <w:b/>
          <w:kern w:val="44"/>
        </w:rPr>
        <w:t>第十五条</w:t>
      </w:r>
      <w:r>
        <w:rPr>
          <w:rFonts w:hint="eastAsia" w:ascii="宋体" w:hAnsi="宋体"/>
          <w:kern w:val="44"/>
        </w:rPr>
        <w:t xml:space="preserve">  本办法自2006年1月1日起施行。1990年6月16日北京市人民政府第17号令发布的《北京市交通安全责任制暂行规定》同时废止。</w:t>
      </w:r>
    </w:p>
    <w:p w14:paraId="683F83D9">
      <w:pPr>
        <w:pStyle w:val="4"/>
        <w:pageBreakBefore/>
        <w:rPr>
          <w:kern w:val="44"/>
        </w:rPr>
      </w:pPr>
      <w:bookmarkStart w:id="643" w:name="_Toc422471187"/>
      <w:bookmarkStart w:id="644" w:name="_Toc427651488"/>
      <w:bookmarkStart w:id="645" w:name="_Toc428780054"/>
      <w:bookmarkStart w:id="646" w:name="_Toc427651830"/>
      <w:bookmarkStart w:id="647" w:name="_Toc428781536"/>
      <w:r>
        <w:rPr>
          <w:rFonts w:hint="eastAsia"/>
          <w:kern w:val="44"/>
        </w:rPr>
        <w:t>北京市民用机场净空保护区域</w:t>
      </w:r>
      <w:bookmarkEnd w:id="643"/>
      <w:bookmarkStart w:id="648" w:name="_Toc422471188"/>
      <w:r>
        <w:rPr>
          <w:rFonts w:hint="eastAsia"/>
          <w:kern w:val="44"/>
        </w:rPr>
        <w:t>管理若干规定</w:t>
      </w:r>
      <w:bookmarkEnd w:id="644"/>
      <w:bookmarkEnd w:id="645"/>
      <w:bookmarkEnd w:id="646"/>
      <w:bookmarkEnd w:id="647"/>
      <w:bookmarkEnd w:id="648"/>
    </w:p>
    <w:p w14:paraId="3B9F5736">
      <w:pPr>
        <w:ind w:left="630" w:leftChars="300" w:right="630" w:rightChars="300"/>
        <w:jc w:val="center"/>
        <w:rPr>
          <w:rFonts w:ascii="楷体" w:hAnsi="楷体" w:eastAsia="楷体"/>
          <w:kern w:val="44"/>
        </w:rPr>
      </w:pPr>
      <w:r>
        <w:rPr>
          <w:rFonts w:hint="eastAsia" w:ascii="楷体" w:hAnsi="楷体" w:eastAsia="楷体"/>
          <w:kern w:val="44"/>
        </w:rPr>
        <w:t>（2010年9月9日北京市人民政府第223号令公布）</w:t>
      </w:r>
    </w:p>
    <w:p w14:paraId="12D1EF16">
      <w:pPr>
        <w:jc w:val="left"/>
        <w:rPr>
          <w:rFonts w:ascii="宋体" w:hAnsi="宋体"/>
          <w:kern w:val="44"/>
        </w:rPr>
      </w:pPr>
    </w:p>
    <w:p w14:paraId="0F62624D">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为加强本市民用机场净空保护区域管理，保障飞行安全，根据《民用机场管理条例》等有关法律、法规，结合本市实际情况，制定本规定。</w:t>
      </w:r>
    </w:p>
    <w:p w14:paraId="6C0F08F1">
      <w:pPr>
        <w:ind w:firstLine="422"/>
        <w:jc w:val="left"/>
        <w:rPr>
          <w:rFonts w:ascii="宋体" w:hAnsi="宋体"/>
          <w:kern w:val="44"/>
        </w:rPr>
      </w:pPr>
      <w:r>
        <w:rPr>
          <w:rFonts w:hint="eastAsia" w:ascii="宋体" w:hAnsi="宋体"/>
          <w:b/>
          <w:kern w:val="44"/>
        </w:rPr>
        <w:t>第二条</w:t>
      </w:r>
      <w:r>
        <w:rPr>
          <w:rFonts w:hint="eastAsia" w:ascii="宋体" w:hAnsi="宋体"/>
          <w:kern w:val="44"/>
        </w:rPr>
        <w:t>　本规定适用于首都国际机场和本市其他民用机场净空保护区域。</w:t>
      </w:r>
    </w:p>
    <w:p w14:paraId="18698B80">
      <w:pPr>
        <w:jc w:val="left"/>
        <w:rPr>
          <w:rFonts w:ascii="宋体" w:hAnsi="宋体"/>
          <w:kern w:val="44"/>
        </w:rPr>
      </w:pPr>
      <w:r>
        <w:rPr>
          <w:rFonts w:hint="eastAsia" w:ascii="宋体" w:hAnsi="宋体"/>
          <w:kern w:val="44"/>
        </w:rPr>
        <w:t>市人民政府和民用机场所在地地区民用航空管理机构，按照有关规定划定本市民用机场净空保护区域，并向社会公布。</w:t>
      </w:r>
    </w:p>
    <w:p w14:paraId="05734AE6">
      <w:pPr>
        <w:ind w:firstLine="422"/>
        <w:jc w:val="left"/>
        <w:rPr>
          <w:rFonts w:ascii="宋体" w:hAnsi="宋体"/>
          <w:kern w:val="44"/>
        </w:rPr>
      </w:pPr>
      <w:r>
        <w:rPr>
          <w:rFonts w:hint="eastAsia" w:ascii="宋体" w:hAnsi="宋体"/>
          <w:b/>
          <w:kern w:val="44"/>
        </w:rPr>
        <w:t>第三条</w:t>
      </w:r>
      <w:r>
        <w:rPr>
          <w:rFonts w:hint="eastAsia" w:ascii="宋体" w:hAnsi="宋体"/>
          <w:kern w:val="44"/>
        </w:rPr>
        <w:t>　民用机场净空保护区域所在地区县人民政府负责相关区域内民用机场净空保护管理工作。</w:t>
      </w:r>
    </w:p>
    <w:p w14:paraId="010D4FAA">
      <w:pPr>
        <w:jc w:val="left"/>
        <w:rPr>
          <w:rFonts w:ascii="宋体" w:hAnsi="宋体"/>
          <w:kern w:val="44"/>
        </w:rPr>
      </w:pPr>
      <w:r>
        <w:rPr>
          <w:rFonts w:hint="eastAsia" w:ascii="宋体" w:hAnsi="宋体"/>
          <w:kern w:val="44"/>
        </w:rPr>
        <w:t>市口岸主管部门负责本市民用机场净空保护管理的综合协调工作。</w:t>
      </w:r>
    </w:p>
    <w:p w14:paraId="2C3C23FF">
      <w:pPr>
        <w:ind w:firstLine="422"/>
        <w:jc w:val="left"/>
        <w:rPr>
          <w:rFonts w:ascii="宋体" w:hAnsi="宋体"/>
          <w:kern w:val="44"/>
        </w:rPr>
      </w:pPr>
      <w:r>
        <w:rPr>
          <w:rFonts w:hint="eastAsia" w:ascii="宋体" w:hAnsi="宋体"/>
          <w:b/>
          <w:kern w:val="44"/>
        </w:rPr>
        <w:t>第四条</w:t>
      </w:r>
      <w:r>
        <w:rPr>
          <w:rFonts w:hint="eastAsia" w:ascii="宋体" w:hAnsi="宋体"/>
          <w:kern w:val="44"/>
        </w:rPr>
        <w:t>　区县人民政府和民用机场管理机构应当建立并完善巡查、报告、举报等制度，发现影响民用机场净空保护的行为，应当立即制止并依法处理，消除对飞行安全的影响。</w:t>
      </w:r>
    </w:p>
    <w:p w14:paraId="68165EEB">
      <w:pPr>
        <w:jc w:val="left"/>
        <w:rPr>
          <w:rFonts w:ascii="宋体" w:hAnsi="宋体"/>
          <w:kern w:val="44"/>
        </w:rPr>
      </w:pPr>
      <w:r>
        <w:rPr>
          <w:rFonts w:hint="eastAsia" w:ascii="宋体" w:hAnsi="宋体"/>
          <w:kern w:val="44"/>
        </w:rPr>
        <w:t>区县人民政府和民用机场管理机构应当加强民用机场净空保护的宣传、教育工作，提高公民的净空保护意识。</w:t>
      </w:r>
    </w:p>
    <w:p w14:paraId="5284A211">
      <w:pPr>
        <w:jc w:val="left"/>
        <w:rPr>
          <w:rFonts w:ascii="宋体" w:hAnsi="宋体"/>
          <w:kern w:val="44"/>
        </w:rPr>
      </w:pPr>
      <w:r>
        <w:rPr>
          <w:rFonts w:hint="eastAsia" w:ascii="宋体" w:hAnsi="宋体"/>
          <w:kern w:val="44"/>
        </w:rPr>
        <w:t>任何单位和个人都应当依法履行净空保护义务，有权制止、举报影响飞行安全的违法行为。</w:t>
      </w:r>
    </w:p>
    <w:p w14:paraId="148B393A">
      <w:pPr>
        <w:ind w:firstLine="422"/>
        <w:jc w:val="left"/>
        <w:rPr>
          <w:rFonts w:ascii="宋体" w:hAnsi="宋体"/>
          <w:kern w:val="44"/>
        </w:rPr>
      </w:pPr>
      <w:r>
        <w:rPr>
          <w:rFonts w:hint="eastAsia" w:ascii="宋体" w:hAnsi="宋体"/>
          <w:b/>
          <w:kern w:val="44"/>
        </w:rPr>
        <w:t>第五条</w:t>
      </w:r>
      <w:r>
        <w:rPr>
          <w:rFonts w:hint="eastAsia" w:ascii="宋体" w:hAnsi="宋体"/>
          <w:kern w:val="44"/>
        </w:rPr>
        <w:t>　区县人民政府应当会同民用机场管理机构，在民用机场净空保护区域设置警示标识。</w:t>
      </w:r>
    </w:p>
    <w:p w14:paraId="708728AE">
      <w:pPr>
        <w:ind w:firstLine="422"/>
        <w:jc w:val="left"/>
        <w:rPr>
          <w:rFonts w:ascii="宋体" w:hAnsi="宋体"/>
          <w:kern w:val="44"/>
        </w:rPr>
      </w:pPr>
      <w:r>
        <w:rPr>
          <w:rFonts w:hint="eastAsia" w:ascii="宋体" w:hAnsi="宋体"/>
          <w:b/>
          <w:kern w:val="44"/>
        </w:rPr>
        <w:t>第六条</w:t>
      </w:r>
      <w:r>
        <w:rPr>
          <w:rFonts w:hint="eastAsia" w:ascii="宋体" w:hAnsi="宋体"/>
          <w:kern w:val="44"/>
        </w:rPr>
        <w:t>　本市民用机场净空保护区域内，禁止从事下列活动：</w:t>
      </w:r>
    </w:p>
    <w:p w14:paraId="5534004C">
      <w:pPr>
        <w:jc w:val="left"/>
        <w:rPr>
          <w:rFonts w:ascii="宋体" w:hAnsi="宋体"/>
          <w:kern w:val="44"/>
        </w:rPr>
      </w:pPr>
      <w:r>
        <w:rPr>
          <w:rFonts w:hint="eastAsia" w:ascii="宋体" w:hAnsi="宋体"/>
          <w:kern w:val="44"/>
        </w:rPr>
        <w:t>（一）修建靶场、强烈爆炸物仓库等影响飞行安全的建筑物或者其他设施；</w:t>
      </w:r>
    </w:p>
    <w:p w14:paraId="36D9FF28">
      <w:pPr>
        <w:jc w:val="left"/>
        <w:rPr>
          <w:rFonts w:ascii="宋体" w:hAnsi="宋体"/>
          <w:kern w:val="44"/>
        </w:rPr>
      </w:pPr>
      <w:r>
        <w:rPr>
          <w:rFonts w:hint="eastAsia" w:ascii="宋体" w:hAnsi="宋体"/>
          <w:kern w:val="44"/>
        </w:rPr>
        <w:t>（二）设置影响民用机场目视助航设施使用或者飞行员视线的灯光、标志或者物体；</w:t>
      </w:r>
    </w:p>
    <w:p w14:paraId="3D2C1599">
      <w:pPr>
        <w:jc w:val="left"/>
        <w:rPr>
          <w:rFonts w:ascii="宋体" w:hAnsi="宋体"/>
          <w:kern w:val="44"/>
        </w:rPr>
      </w:pPr>
      <w:r>
        <w:rPr>
          <w:rFonts w:hint="eastAsia" w:ascii="宋体" w:hAnsi="宋体"/>
          <w:kern w:val="44"/>
        </w:rPr>
        <w:t>（三）种植影响飞行安全或者影响民用机场助航设施使用的植物；</w:t>
      </w:r>
    </w:p>
    <w:p w14:paraId="34CB54C2">
      <w:pPr>
        <w:jc w:val="left"/>
        <w:rPr>
          <w:rFonts w:ascii="宋体" w:hAnsi="宋体"/>
          <w:kern w:val="44"/>
        </w:rPr>
      </w:pPr>
      <w:r>
        <w:rPr>
          <w:rFonts w:hint="eastAsia" w:ascii="宋体" w:hAnsi="宋体"/>
          <w:kern w:val="44"/>
        </w:rPr>
        <w:t>（四）放飞影响飞行安全的鸟类；</w:t>
      </w:r>
    </w:p>
    <w:p w14:paraId="7DCB8E86">
      <w:pPr>
        <w:jc w:val="left"/>
        <w:rPr>
          <w:rFonts w:ascii="宋体" w:hAnsi="宋体"/>
          <w:kern w:val="44"/>
        </w:rPr>
      </w:pPr>
      <w:r>
        <w:rPr>
          <w:rFonts w:hint="eastAsia" w:ascii="宋体" w:hAnsi="宋体"/>
          <w:kern w:val="44"/>
        </w:rPr>
        <w:t>（五）违反规定升放无人驾驶的自由气球、系留气球；</w:t>
      </w:r>
    </w:p>
    <w:p w14:paraId="6AB3266A">
      <w:pPr>
        <w:jc w:val="left"/>
        <w:rPr>
          <w:rFonts w:ascii="宋体" w:hAnsi="宋体"/>
          <w:kern w:val="44"/>
        </w:rPr>
      </w:pPr>
      <w:r>
        <w:rPr>
          <w:rFonts w:hint="eastAsia" w:ascii="宋体" w:hAnsi="宋体"/>
          <w:kern w:val="44"/>
        </w:rPr>
        <w:t>（六）违反规定从事航空模型飞行活动；</w:t>
      </w:r>
    </w:p>
    <w:p w14:paraId="381EBF51">
      <w:pPr>
        <w:jc w:val="left"/>
        <w:rPr>
          <w:rFonts w:ascii="宋体" w:hAnsi="宋体"/>
          <w:kern w:val="44"/>
        </w:rPr>
      </w:pPr>
      <w:r>
        <w:rPr>
          <w:rFonts w:hint="eastAsia" w:ascii="宋体" w:hAnsi="宋体"/>
          <w:kern w:val="44"/>
        </w:rPr>
        <w:t>（七）违反规定升放风筝、孔明灯或者其他升空物体；</w:t>
      </w:r>
    </w:p>
    <w:p w14:paraId="496D5531">
      <w:pPr>
        <w:jc w:val="left"/>
        <w:rPr>
          <w:rFonts w:ascii="宋体" w:hAnsi="宋体"/>
          <w:kern w:val="44"/>
        </w:rPr>
      </w:pPr>
      <w:r>
        <w:rPr>
          <w:rFonts w:hint="eastAsia" w:ascii="宋体" w:hAnsi="宋体"/>
          <w:kern w:val="44"/>
        </w:rPr>
        <w:t>（八）焚烧产生大量烟雾的农作物秸秆、垃圾等物质；</w:t>
      </w:r>
    </w:p>
    <w:p w14:paraId="7315DE76">
      <w:pPr>
        <w:jc w:val="left"/>
        <w:rPr>
          <w:rFonts w:ascii="宋体" w:hAnsi="宋体"/>
          <w:kern w:val="44"/>
        </w:rPr>
      </w:pPr>
      <w:r>
        <w:rPr>
          <w:rFonts w:hint="eastAsia" w:ascii="宋体" w:hAnsi="宋体"/>
          <w:kern w:val="44"/>
        </w:rPr>
        <w:t>（九）排放大量烟雾、粉尘、火焰、废气等影响飞行安全的物质；</w:t>
      </w:r>
    </w:p>
    <w:p w14:paraId="6CD75BEC">
      <w:pPr>
        <w:jc w:val="left"/>
        <w:rPr>
          <w:rFonts w:ascii="宋体" w:hAnsi="宋体"/>
          <w:kern w:val="44"/>
        </w:rPr>
      </w:pPr>
      <w:r>
        <w:rPr>
          <w:rFonts w:hint="eastAsia" w:ascii="宋体" w:hAnsi="宋体"/>
          <w:kern w:val="44"/>
        </w:rPr>
        <w:t>（十）违反规定燃放烟花、焰火；</w:t>
      </w:r>
    </w:p>
    <w:p w14:paraId="2567B310">
      <w:pPr>
        <w:jc w:val="left"/>
        <w:rPr>
          <w:rFonts w:ascii="宋体" w:hAnsi="宋体"/>
          <w:kern w:val="44"/>
        </w:rPr>
      </w:pPr>
      <w:r>
        <w:rPr>
          <w:rFonts w:hint="eastAsia" w:ascii="宋体" w:hAnsi="宋体"/>
          <w:kern w:val="44"/>
        </w:rPr>
        <w:t>（十一）在民用机场围界外5米范围内，搭建建筑物、种植树木，或者从事挖掘、堆积物体等影响民用机场运营安全的活动；</w:t>
      </w:r>
    </w:p>
    <w:p w14:paraId="4CD27F18">
      <w:pPr>
        <w:jc w:val="left"/>
        <w:rPr>
          <w:rFonts w:ascii="宋体" w:hAnsi="宋体"/>
          <w:kern w:val="44"/>
        </w:rPr>
      </w:pPr>
      <w:r>
        <w:rPr>
          <w:rFonts w:hint="eastAsia" w:ascii="宋体" w:hAnsi="宋体"/>
          <w:kern w:val="44"/>
        </w:rPr>
        <w:t>（十二）国务院民用航空主管部门规定的其他影响民用机场净空保护的行为。</w:t>
      </w:r>
    </w:p>
    <w:p w14:paraId="6F3788FB">
      <w:pPr>
        <w:ind w:firstLine="422"/>
        <w:jc w:val="left"/>
        <w:rPr>
          <w:rFonts w:ascii="宋体" w:hAnsi="宋体"/>
          <w:kern w:val="44"/>
        </w:rPr>
      </w:pPr>
      <w:r>
        <w:rPr>
          <w:rFonts w:hint="eastAsia" w:ascii="宋体" w:hAnsi="宋体"/>
          <w:b/>
          <w:kern w:val="44"/>
        </w:rPr>
        <w:t>第七条</w:t>
      </w:r>
      <w:r>
        <w:rPr>
          <w:rFonts w:hint="eastAsia" w:ascii="宋体" w:hAnsi="宋体"/>
          <w:kern w:val="44"/>
        </w:rPr>
        <w:t>　市规划行政主管部门应当会同民用航空管理机构、民用机场管理机构根据民航相关技术规范确定民用机场净空保护区域内建设工程的限制高度和其他控制要求。</w:t>
      </w:r>
    </w:p>
    <w:p w14:paraId="47CFDFFF">
      <w:pPr>
        <w:jc w:val="left"/>
        <w:rPr>
          <w:rFonts w:ascii="宋体" w:hAnsi="宋体"/>
          <w:kern w:val="44"/>
        </w:rPr>
      </w:pPr>
      <w:r>
        <w:rPr>
          <w:rFonts w:hint="eastAsia" w:ascii="宋体" w:hAnsi="宋体"/>
          <w:kern w:val="44"/>
        </w:rPr>
        <w:t>市规划行政主管部门审批民用机场净空保护区域内超过限制高度或者不符合其他控制要求的建设工程，应当征得民用航空管理机构、民用机场管理机构同意。</w:t>
      </w:r>
    </w:p>
    <w:p w14:paraId="3916D975">
      <w:pPr>
        <w:ind w:firstLine="422"/>
        <w:jc w:val="left"/>
        <w:rPr>
          <w:rFonts w:ascii="宋体" w:hAnsi="宋体"/>
          <w:kern w:val="44"/>
        </w:rPr>
      </w:pPr>
      <w:r>
        <w:rPr>
          <w:rFonts w:hint="eastAsia" w:ascii="宋体" w:hAnsi="宋体"/>
          <w:b/>
          <w:kern w:val="44"/>
        </w:rPr>
        <w:t>第八条</w:t>
      </w:r>
      <w:r>
        <w:rPr>
          <w:rFonts w:hint="eastAsia" w:ascii="宋体" w:hAnsi="宋体"/>
          <w:kern w:val="44"/>
        </w:rPr>
        <w:t>　建筑物、构筑物或者设施达到限制高度以及有民航相关技术规范规定的其他影响飞行安全情形的，应当按照国家有关标准设置飞行障碍灯、标志。</w:t>
      </w:r>
    </w:p>
    <w:p w14:paraId="51E1EF0D">
      <w:pPr>
        <w:jc w:val="left"/>
        <w:rPr>
          <w:rFonts w:ascii="宋体" w:hAnsi="宋体"/>
          <w:kern w:val="44"/>
        </w:rPr>
      </w:pPr>
      <w:r>
        <w:rPr>
          <w:rFonts w:hint="eastAsia" w:ascii="宋体" w:hAnsi="宋体"/>
          <w:kern w:val="44"/>
        </w:rPr>
        <w:t>建筑物、构筑物或者设施已经安装飞行障碍灯、标志的，管理人应当确保正常使用。飞行障碍灯、标志损坏，管理人不及时修复的，机场管理机构可以先行修复，相关费用由管理人承担。</w:t>
      </w:r>
    </w:p>
    <w:p w14:paraId="54604F27">
      <w:pPr>
        <w:jc w:val="left"/>
        <w:rPr>
          <w:rFonts w:ascii="宋体" w:hAnsi="宋体"/>
          <w:kern w:val="44"/>
        </w:rPr>
      </w:pPr>
      <w:r>
        <w:rPr>
          <w:rFonts w:hint="eastAsia" w:ascii="宋体" w:hAnsi="宋体"/>
          <w:kern w:val="44"/>
        </w:rPr>
        <w:t>任何单位和个人不得阻止安装飞行障碍灯、标志，不得影响飞行障碍灯、标志的正常使用。</w:t>
      </w:r>
    </w:p>
    <w:p w14:paraId="1E0E7AC4">
      <w:pPr>
        <w:ind w:firstLine="422"/>
        <w:jc w:val="left"/>
        <w:rPr>
          <w:rFonts w:ascii="宋体" w:hAnsi="宋体"/>
          <w:kern w:val="44"/>
        </w:rPr>
      </w:pPr>
      <w:r>
        <w:rPr>
          <w:rFonts w:hint="eastAsia" w:ascii="宋体" w:hAnsi="宋体"/>
          <w:b/>
          <w:kern w:val="44"/>
        </w:rPr>
        <w:t>第九条</w:t>
      </w:r>
      <w:r>
        <w:rPr>
          <w:rFonts w:hint="eastAsia" w:ascii="宋体" w:hAnsi="宋体"/>
          <w:kern w:val="44"/>
        </w:rPr>
        <w:t>　在民用机场净空保护区域外放飞影响飞行安全的鸟类时，其放飞路线不得穿越民用机场净空保护区域。</w:t>
      </w:r>
    </w:p>
    <w:p w14:paraId="10B28154">
      <w:pPr>
        <w:ind w:firstLine="422"/>
        <w:jc w:val="left"/>
        <w:rPr>
          <w:rFonts w:ascii="宋体" w:hAnsi="宋体"/>
          <w:kern w:val="44"/>
        </w:rPr>
      </w:pPr>
      <w:r>
        <w:rPr>
          <w:rFonts w:hint="eastAsia" w:ascii="宋体" w:hAnsi="宋体"/>
          <w:b/>
          <w:kern w:val="44"/>
        </w:rPr>
        <w:t>第十条</w:t>
      </w:r>
      <w:r>
        <w:rPr>
          <w:rFonts w:hint="eastAsia" w:ascii="宋体" w:hAnsi="宋体"/>
          <w:kern w:val="44"/>
        </w:rPr>
        <w:t>　信鸽协会等组织应当做好协会会员、公棚、俱乐部等的组织管理工作，教育和监督其在放飞信鸽和组织竞翔比赛等活动时，严格遵守有关规定，不得影响飞行安全。</w:t>
      </w:r>
    </w:p>
    <w:p w14:paraId="63A11685">
      <w:pPr>
        <w:jc w:val="left"/>
        <w:rPr>
          <w:rFonts w:ascii="宋体" w:hAnsi="宋体"/>
          <w:kern w:val="44"/>
        </w:rPr>
      </w:pPr>
      <w:r>
        <w:rPr>
          <w:rFonts w:hint="eastAsia" w:ascii="宋体" w:hAnsi="宋体"/>
          <w:kern w:val="44"/>
        </w:rPr>
        <w:t>信鸽协会等组织应当配合民用机场管理机构，定期对民用机场净空保护区域内的会员和鸽棚进行清查；对在民用机场净空保护区域内放飞信鸽的会员应当制止，制止无效的，及时向民用机场管理机构或者区县人民政府举报。</w:t>
      </w:r>
    </w:p>
    <w:p w14:paraId="7EE677F4">
      <w:pPr>
        <w:jc w:val="left"/>
        <w:rPr>
          <w:rFonts w:ascii="宋体" w:hAnsi="宋体"/>
          <w:kern w:val="44"/>
        </w:rPr>
      </w:pPr>
      <w:r>
        <w:rPr>
          <w:rFonts w:hint="eastAsia" w:ascii="宋体" w:hAnsi="宋体"/>
          <w:kern w:val="44"/>
        </w:rPr>
        <w:t>信鸽协会等组织不得发展居住地在民用机场净空保护区域内的新会员。</w:t>
      </w:r>
    </w:p>
    <w:p w14:paraId="5C515EBA">
      <w:pPr>
        <w:ind w:firstLine="422"/>
        <w:jc w:val="left"/>
        <w:rPr>
          <w:rFonts w:ascii="宋体" w:hAnsi="宋体"/>
          <w:kern w:val="44"/>
        </w:rPr>
      </w:pPr>
      <w:r>
        <w:rPr>
          <w:rFonts w:hint="eastAsia" w:ascii="宋体" w:hAnsi="宋体"/>
          <w:b/>
          <w:kern w:val="44"/>
        </w:rPr>
        <w:t>第十一条</w:t>
      </w:r>
      <w:r>
        <w:rPr>
          <w:rFonts w:hint="eastAsia" w:ascii="宋体" w:hAnsi="宋体"/>
          <w:kern w:val="44"/>
        </w:rPr>
        <w:t>　区县人民政府应当会同市气象主管部门、民用机场管理机构确定民用机场净空保护区域内升放无人驾驶的自由气球、系留气球的限制高度和区域，并向社会公布。</w:t>
      </w:r>
    </w:p>
    <w:p w14:paraId="364375D5">
      <w:pPr>
        <w:jc w:val="left"/>
        <w:rPr>
          <w:rFonts w:ascii="宋体" w:hAnsi="宋体"/>
          <w:kern w:val="44"/>
        </w:rPr>
      </w:pPr>
      <w:r>
        <w:rPr>
          <w:rFonts w:hint="eastAsia" w:ascii="宋体" w:hAnsi="宋体"/>
          <w:kern w:val="44"/>
        </w:rPr>
        <w:t>区县人民政府应当会同市体育主管部门、民用机场管理机构确定民用机场净空保护区域内航空模型飞行限制高度和区域，并向社会公布。</w:t>
      </w:r>
    </w:p>
    <w:p w14:paraId="390991FD">
      <w:pPr>
        <w:jc w:val="left"/>
        <w:rPr>
          <w:rFonts w:ascii="宋体" w:hAnsi="宋体"/>
          <w:kern w:val="44"/>
        </w:rPr>
      </w:pPr>
      <w:r>
        <w:rPr>
          <w:rFonts w:hint="eastAsia" w:ascii="宋体" w:hAnsi="宋体"/>
          <w:kern w:val="44"/>
        </w:rPr>
        <w:t>区县人民政府应当会同民用机场管理机构确定民用机场净空保护区域内升放风筝、孔明灯以及其他升空物体的限制高度和区域，并向社会公布。</w:t>
      </w:r>
    </w:p>
    <w:p w14:paraId="49CFBD63">
      <w:pPr>
        <w:jc w:val="left"/>
        <w:rPr>
          <w:rFonts w:ascii="宋体" w:hAnsi="宋体"/>
          <w:kern w:val="44"/>
        </w:rPr>
      </w:pPr>
      <w:r>
        <w:rPr>
          <w:rFonts w:hint="eastAsia" w:ascii="宋体" w:hAnsi="宋体"/>
          <w:kern w:val="44"/>
        </w:rPr>
        <w:t>区县人民政府应当会同市公安机关、民用机场管理机构确定民用机场净空保护区域内燃放烟花、焰火的限制高度和区域，并向社会公布。</w:t>
      </w:r>
    </w:p>
    <w:p w14:paraId="31FD69F6">
      <w:pPr>
        <w:ind w:firstLine="422"/>
        <w:jc w:val="left"/>
        <w:rPr>
          <w:rFonts w:ascii="宋体" w:hAnsi="宋体"/>
          <w:kern w:val="44"/>
        </w:rPr>
      </w:pPr>
      <w:r>
        <w:rPr>
          <w:rFonts w:hint="eastAsia" w:ascii="宋体" w:hAnsi="宋体"/>
          <w:b/>
          <w:kern w:val="44"/>
        </w:rPr>
        <w:t>第十二条</w:t>
      </w:r>
      <w:r>
        <w:rPr>
          <w:rFonts w:hint="eastAsia" w:ascii="宋体" w:hAnsi="宋体"/>
          <w:kern w:val="44"/>
        </w:rPr>
        <w:t>　民用机场管理机构应当加强巡查，发现影响民用机场净空保护的行为，应当立即制止，并报告区县人民政府。接到报告的区县人民政府应当及时采取有效措施，消除对飞行安全的影响。</w:t>
      </w:r>
    </w:p>
    <w:p w14:paraId="18DAE45E">
      <w:pPr>
        <w:ind w:firstLine="422"/>
        <w:jc w:val="left"/>
        <w:rPr>
          <w:rFonts w:ascii="宋体" w:hAnsi="宋体"/>
          <w:kern w:val="44"/>
        </w:rPr>
      </w:pPr>
      <w:r>
        <w:rPr>
          <w:rFonts w:hint="eastAsia" w:ascii="宋体" w:hAnsi="宋体"/>
          <w:b/>
          <w:kern w:val="44"/>
        </w:rPr>
        <w:t>第十三条</w:t>
      </w:r>
      <w:r>
        <w:rPr>
          <w:rFonts w:hint="eastAsia" w:ascii="宋体" w:hAnsi="宋体"/>
          <w:kern w:val="44"/>
        </w:rPr>
        <w:t>　违反本规定第六条的，由区县人民政府按照《民用机场管理条例》的规定予以处罚。</w:t>
      </w:r>
    </w:p>
    <w:p w14:paraId="418B12F3">
      <w:pPr>
        <w:ind w:firstLine="422"/>
        <w:jc w:val="left"/>
        <w:rPr>
          <w:rFonts w:ascii="宋体" w:hAnsi="宋体"/>
          <w:kern w:val="44"/>
        </w:rPr>
      </w:pPr>
      <w:r>
        <w:rPr>
          <w:rFonts w:hint="eastAsia" w:ascii="宋体" w:hAnsi="宋体"/>
          <w:b/>
          <w:kern w:val="44"/>
        </w:rPr>
        <w:t>第十四条</w:t>
      </w:r>
      <w:r>
        <w:rPr>
          <w:rFonts w:hint="eastAsia" w:ascii="宋体" w:hAnsi="宋体"/>
          <w:kern w:val="44"/>
        </w:rPr>
        <w:t>　违反本规定第八条第二款，管理人未保证飞行障碍灯、标志正常使用的，民用机场管理机构应当通知改正，并及时报告区县人民政府。区县人民政府应当责令限期改正；逾期未改正的，处2万元罚款。</w:t>
      </w:r>
    </w:p>
    <w:p w14:paraId="716E9C64">
      <w:pPr>
        <w:jc w:val="left"/>
        <w:rPr>
          <w:rFonts w:ascii="宋体" w:hAnsi="宋体"/>
          <w:kern w:val="44"/>
        </w:rPr>
      </w:pPr>
      <w:r>
        <w:rPr>
          <w:rFonts w:hint="eastAsia" w:ascii="宋体" w:hAnsi="宋体"/>
          <w:kern w:val="44"/>
        </w:rPr>
        <w:t>违反本规定第八条第三款，阻止安装飞行障碍灯、标志，或者影响飞行障碍灯、标志正常使用的，民用机场管理机构应当报告区县人民政府。区县人民政府应当责令改正；拒不改正的，处2万元罚款。</w:t>
      </w:r>
    </w:p>
    <w:p w14:paraId="04F0D297">
      <w:pPr>
        <w:ind w:firstLine="422"/>
        <w:jc w:val="left"/>
        <w:rPr>
          <w:rFonts w:ascii="宋体" w:hAnsi="宋体"/>
          <w:kern w:val="44"/>
        </w:rPr>
      </w:pPr>
      <w:r>
        <w:rPr>
          <w:rFonts w:hint="eastAsia" w:ascii="宋体" w:hAnsi="宋体"/>
          <w:b/>
          <w:kern w:val="44"/>
        </w:rPr>
        <w:t>第十五条</w:t>
      </w:r>
      <w:r>
        <w:rPr>
          <w:rFonts w:hint="eastAsia" w:ascii="宋体" w:hAnsi="宋体"/>
          <w:kern w:val="44"/>
        </w:rPr>
        <w:t>　区县人民政府可以委托区县行政主管部门、乡镇人民政府、街道办事处实施本规定有关行政处罚，并将受委托行政机关和受委托实施行政处罚的内容予以公告。</w:t>
      </w:r>
    </w:p>
    <w:p w14:paraId="1EDAF7D9">
      <w:pPr>
        <w:ind w:firstLine="422"/>
        <w:jc w:val="left"/>
        <w:rPr>
          <w:rFonts w:ascii="宋体" w:hAnsi="宋体"/>
          <w:kern w:val="44"/>
        </w:rPr>
      </w:pPr>
      <w:r>
        <w:rPr>
          <w:rFonts w:hint="eastAsia" w:ascii="宋体" w:hAnsi="宋体"/>
          <w:b/>
          <w:kern w:val="44"/>
        </w:rPr>
        <w:t>第十六条</w:t>
      </w:r>
      <w:r>
        <w:rPr>
          <w:rFonts w:hint="eastAsia" w:ascii="宋体" w:hAnsi="宋体"/>
          <w:kern w:val="44"/>
        </w:rPr>
        <w:t>　本规定自2010年11月1日起施行。</w:t>
      </w:r>
    </w:p>
    <w:p w14:paraId="111A8520">
      <w:pPr>
        <w:pStyle w:val="4"/>
        <w:pageBreakBefore/>
        <w:rPr>
          <w:rFonts w:ascii="黑体" w:hAnsi="黑体"/>
          <w:kern w:val="44"/>
        </w:rPr>
      </w:pPr>
      <w:bookmarkStart w:id="649" w:name="_Toc428780055"/>
      <w:bookmarkStart w:id="650" w:name="_Toc428781537"/>
      <w:bookmarkStart w:id="651" w:name="_Toc427651489"/>
      <w:bookmarkStart w:id="652" w:name="_Toc427651831"/>
      <w:bookmarkStart w:id="653" w:name="_Toc422471189"/>
      <w:r>
        <w:rPr>
          <w:rFonts w:hint="eastAsia" w:ascii="黑体" w:hAnsi="黑体"/>
          <w:kern w:val="44"/>
        </w:rPr>
        <w:t>北京市小客车数量调控暂行规定</w:t>
      </w:r>
      <w:bookmarkEnd w:id="649"/>
      <w:bookmarkEnd w:id="650"/>
      <w:bookmarkEnd w:id="651"/>
      <w:bookmarkEnd w:id="652"/>
      <w:bookmarkEnd w:id="653"/>
    </w:p>
    <w:p w14:paraId="2BD421B8">
      <w:pPr>
        <w:ind w:left="630" w:leftChars="300" w:right="630" w:rightChars="300"/>
        <w:jc w:val="center"/>
        <w:rPr>
          <w:rFonts w:ascii="楷体" w:hAnsi="楷体" w:eastAsia="楷体"/>
          <w:kern w:val="44"/>
        </w:rPr>
      </w:pPr>
      <w:r>
        <w:rPr>
          <w:rFonts w:hint="eastAsia" w:ascii="楷体" w:hAnsi="楷体" w:eastAsia="楷体"/>
          <w:kern w:val="44"/>
        </w:rPr>
        <w:t>（2010年12月23日北京市人民政府第227号令公布）</w:t>
      </w:r>
    </w:p>
    <w:p w14:paraId="60535DE5">
      <w:pPr>
        <w:jc w:val="left"/>
        <w:rPr>
          <w:rFonts w:ascii="宋体" w:hAnsi="宋体"/>
          <w:kern w:val="44"/>
        </w:rPr>
      </w:pPr>
    </w:p>
    <w:p w14:paraId="6016C1B6">
      <w:pPr>
        <w:ind w:firstLine="422"/>
        <w:jc w:val="left"/>
        <w:rPr>
          <w:rFonts w:ascii="宋体" w:hAnsi="宋体"/>
          <w:kern w:val="44"/>
        </w:rPr>
      </w:pPr>
      <w:r>
        <w:rPr>
          <w:rFonts w:hint="eastAsia" w:ascii="宋体" w:hAnsi="宋体"/>
          <w:b/>
          <w:kern w:val="44"/>
        </w:rPr>
        <w:t>第一条</w:t>
      </w:r>
      <w:r>
        <w:rPr>
          <w:rFonts w:hint="eastAsia" w:ascii="宋体" w:hAnsi="宋体"/>
          <w:kern w:val="44"/>
        </w:rPr>
        <w:t>　为了落实本市城市总体规划，实现小客车数量合理、有序增长，有效缓解交通拥堵状况，制定本暂行规定。</w:t>
      </w:r>
    </w:p>
    <w:p w14:paraId="7DC38A83">
      <w:pPr>
        <w:ind w:firstLine="422"/>
        <w:jc w:val="left"/>
        <w:rPr>
          <w:rFonts w:ascii="宋体" w:hAnsi="宋体"/>
          <w:kern w:val="44"/>
        </w:rPr>
      </w:pPr>
      <w:r>
        <w:rPr>
          <w:rFonts w:hint="eastAsia" w:ascii="宋体" w:hAnsi="宋体"/>
          <w:b/>
          <w:kern w:val="44"/>
        </w:rPr>
        <w:t>第二条</w:t>
      </w:r>
      <w:r>
        <w:rPr>
          <w:rFonts w:hint="eastAsia" w:ascii="宋体" w:hAnsi="宋体"/>
          <w:kern w:val="44"/>
        </w:rPr>
        <w:t>　本市实施小客车数量调控措施。小客车年度增长数量和配置比例由市交通行政主管部门会同市发展改革、公安交通、环境保护等相关行政主管部门，根据小客车需求状况和道路交通、环境承载能力合理确定，报市人民政府批准后向社会公布。</w:t>
      </w:r>
    </w:p>
    <w:p w14:paraId="42ED3B68">
      <w:pPr>
        <w:ind w:firstLine="422"/>
        <w:jc w:val="left"/>
        <w:rPr>
          <w:rFonts w:ascii="宋体" w:hAnsi="宋体"/>
          <w:kern w:val="44"/>
        </w:rPr>
      </w:pPr>
      <w:r>
        <w:rPr>
          <w:rFonts w:hint="eastAsia" w:ascii="宋体" w:hAnsi="宋体"/>
          <w:b/>
          <w:kern w:val="44"/>
        </w:rPr>
        <w:t>第三条</w:t>
      </w:r>
      <w:r>
        <w:rPr>
          <w:rFonts w:hint="eastAsia" w:ascii="宋体" w:hAnsi="宋体"/>
          <w:kern w:val="44"/>
        </w:rPr>
        <w:t>　小客车配置指标按照公开、公平、公正的原则，以摇号方式无偿分配。市交通行政主管部门的指标调控管理机构负责具体工作。</w:t>
      </w:r>
    </w:p>
    <w:p w14:paraId="451891C2">
      <w:pPr>
        <w:jc w:val="left"/>
        <w:rPr>
          <w:rFonts w:ascii="宋体" w:hAnsi="宋体"/>
          <w:kern w:val="44"/>
        </w:rPr>
      </w:pPr>
      <w:r>
        <w:rPr>
          <w:rFonts w:hint="eastAsia" w:ascii="宋体" w:hAnsi="宋体"/>
          <w:kern w:val="44"/>
        </w:rPr>
        <w:t>机关、企业事业单位、社会团体及其他组织（以下统称单位）和个人需要取得本市小客车配置指标的，应当依照本暂行规定到指标调控管理机构办理摇号登记。</w:t>
      </w:r>
    </w:p>
    <w:p w14:paraId="74B62A6B">
      <w:pPr>
        <w:ind w:firstLine="422"/>
        <w:jc w:val="left"/>
        <w:rPr>
          <w:rFonts w:ascii="宋体" w:hAnsi="宋体"/>
          <w:kern w:val="44"/>
        </w:rPr>
      </w:pPr>
      <w:r>
        <w:rPr>
          <w:rFonts w:hint="eastAsia" w:ascii="宋体" w:hAnsi="宋体"/>
          <w:b/>
          <w:kern w:val="44"/>
        </w:rPr>
        <w:t>第四条</w:t>
      </w:r>
      <w:r>
        <w:rPr>
          <w:rFonts w:hint="eastAsia" w:ascii="宋体" w:hAnsi="宋体"/>
          <w:kern w:val="44"/>
        </w:rPr>
        <w:t>　住所地在本市的个人，名下没有本市登记的小客车，持有效的机动车驾驶证，可以办理摇号登记。住所地在本市的个人包括：</w:t>
      </w:r>
    </w:p>
    <w:p w14:paraId="6A6C5EF8">
      <w:pPr>
        <w:jc w:val="left"/>
        <w:rPr>
          <w:rFonts w:ascii="宋体" w:hAnsi="宋体"/>
          <w:kern w:val="44"/>
        </w:rPr>
      </w:pPr>
      <w:r>
        <w:rPr>
          <w:rFonts w:hint="eastAsia" w:ascii="宋体" w:hAnsi="宋体"/>
          <w:kern w:val="44"/>
        </w:rPr>
        <w:t>（一）本市户籍人员；</w:t>
      </w:r>
    </w:p>
    <w:p w14:paraId="5E945915">
      <w:pPr>
        <w:jc w:val="left"/>
        <w:rPr>
          <w:rFonts w:ascii="宋体" w:hAnsi="宋体"/>
          <w:kern w:val="44"/>
        </w:rPr>
      </w:pPr>
      <w:r>
        <w:rPr>
          <w:rFonts w:hint="eastAsia" w:ascii="宋体" w:hAnsi="宋体"/>
          <w:kern w:val="44"/>
        </w:rPr>
        <w:t>（二）驻京部队（含武装警察部队）现役军人；</w:t>
      </w:r>
    </w:p>
    <w:p w14:paraId="05B02046">
      <w:pPr>
        <w:jc w:val="left"/>
        <w:rPr>
          <w:rFonts w:ascii="宋体" w:hAnsi="宋体"/>
          <w:kern w:val="44"/>
        </w:rPr>
      </w:pPr>
      <w:r>
        <w:rPr>
          <w:rFonts w:hint="eastAsia" w:ascii="宋体" w:hAnsi="宋体"/>
          <w:kern w:val="44"/>
        </w:rPr>
        <w:t>（三）在京居住的港澳台人员和外国人；</w:t>
      </w:r>
    </w:p>
    <w:p w14:paraId="7B083494">
      <w:pPr>
        <w:jc w:val="left"/>
        <w:rPr>
          <w:rFonts w:ascii="宋体" w:hAnsi="宋体"/>
          <w:kern w:val="44"/>
        </w:rPr>
      </w:pPr>
      <w:r>
        <w:rPr>
          <w:rFonts w:hint="eastAsia" w:ascii="宋体" w:hAnsi="宋体"/>
          <w:kern w:val="44"/>
        </w:rPr>
        <w:t>（四）持本市工作居住证的人员；</w:t>
      </w:r>
    </w:p>
    <w:p w14:paraId="68A6653D">
      <w:pPr>
        <w:jc w:val="left"/>
        <w:rPr>
          <w:rFonts w:ascii="宋体" w:hAnsi="宋体"/>
          <w:kern w:val="44"/>
        </w:rPr>
      </w:pPr>
      <w:r>
        <w:rPr>
          <w:rFonts w:hint="eastAsia" w:ascii="宋体" w:hAnsi="宋体"/>
          <w:kern w:val="44"/>
        </w:rPr>
        <w:t>（五）持本市暂住证且连续五年以上在本市缴纳社会保险和个人所得税的人员。</w:t>
      </w:r>
    </w:p>
    <w:p w14:paraId="40BC5B85">
      <w:pPr>
        <w:jc w:val="left"/>
        <w:rPr>
          <w:rFonts w:ascii="宋体" w:hAnsi="宋体"/>
          <w:kern w:val="44"/>
        </w:rPr>
      </w:pPr>
      <w:r>
        <w:rPr>
          <w:rFonts w:hint="eastAsia" w:ascii="宋体" w:hAnsi="宋体"/>
          <w:kern w:val="44"/>
        </w:rPr>
        <w:t>单位办理登记的条件和登记的内容由市交通行政主管部门会同相关部门规定。</w:t>
      </w:r>
    </w:p>
    <w:p w14:paraId="6E156484">
      <w:pPr>
        <w:ind w:firstLine="422"/>
        <w:jc w:val="left"/>
        <w:rPr>
          <w:rFonts w:ascii="宋体" w:hAnsi="宋体"/>
          <w:kern w:val="44"/>
        </w:rPr>
      </w:pPr>
      <w:r>
        <w:rPr>
          <w:rFonts w:hint="eastAsia" w:ascii="宋体" w:hAnsi="宋体"/>
          <w:b/>
          <w:kern w:val="44"/>
        </w:rPr>
        <w:t>第五条</w:t>
      </w:r>
      <w:r>
        <w:rPr>
          <w:rFonts w:hint="eastAsia" w:ascii="宋体" w:hAnsi="宋体"/>
          <w:kern w:val="44"/>
        </w:rPr>
        <w:t>　指标调控管理机构应当向经摇号取得配置指标的单位和个人出具指标证明文件，并公布摇号结果。</w:t>
      </w:r>
    </w:p>
    <w:p w14:paraId="0E4727F8">
      <w:pPr>
        <w:jc w:val="left"/>
        <w:rPr>
          <w:rFonts w:ascii="宋体" w:hAnsi="宋体"/>
          <w:kern w:val="44"/>
        </w:rPr>
      </w:pPr>
      <w:r>
        <w:rPr>
          <w:rFonts w:hint="eastAsia" w:ascii="宋体" w:hAnsi="宋体"/>
          <w:kern w:val="44"/>
        </w:rPr>
        <w:t>个人出售、报废名下登记的小客车的，可以直接取得更新指标，办理指标证明文件。</w:t>
      </w:r>
    </w:p>
    <w:p w14:paraId="4F6A3D45">
      <w:pPr>
        <w:jc w:val="left"/>
        <w:rPr>
          <w:rFonts w:ascii="宋体" w:hAnsi="宋体"/>
          <w:kern w:val="44"/>
        </w:rPr>
      </w:pPr>
      <w:r>
        <w:rPr>
          <w:rFonts w:hint="eastAsia" w:ascii="宋体" w:hAnsi="宋体"/>
          <w:kern w:val="44"/>
        </w:rPr>
        <w:t>单位出售、报废名下登记小客车的指标管理办法由市交通行政主管部门会同有关部门制定。</w:t>
      </w:r>
    </w:p>
    <w:p w14:paraId="0797C867">
      <w:pPr>
        <w:ind w:firstLine="422"/>
        <w:jc w:val="left"/>
        <w:rPr>
          <w:rFonts w:ascii="宋体" w:hAnsi="宋体"/>
          <w:kern w:val="44"/>
        </w:rPr>
      </w:pPr>
      <w:r>
        <w:rPr>
          <w:rFonts w:hint="eastAsia" w:ascii="宋体" w:hAnsi="宋体"/>
          <w:b/>
          <w:kern w:val="44"/>
        </w:rPr>
        <w:t>第六条</w:t>
      </w:r>
      <w:r>
        <w:rPr>
          <w:rFonts w:hint="eastAsia" w:ascii="宋体" w:hAnsi="宋体"/>
          <w:kern w:val="44"/>
        </w:rPr>
        <w:t>　指标有效期为6个月，不得转让。指标有效期内，不得重复办理摇号登记。</w:t>
      </w:r>
    </w:p>
    <w:p w14:paraId="75D7C44E">
      <w:pPr>
        <w:jc w:val="left"/>
        <w:rPr>
          <w:rFonts w:ascii="宋体" w:hAnsi="宋体"/>
          <w:kern w:val="44"/>
        </w:rPr>
      </w:pPr>
      <w:r>
        <w:rPr>
          <w:rFonts w:hint="eastAsia" w:ascii="宋体" w:hAnsi="宋体"/>
          <w:kern w:val="44"/>
        </w:rPr>
        <w:t>单位和个人提供虚假登记信息取得的指标无效，并承担相应法律责任。</w:t>
      </w:r>
    </w:p>
    <w:p w14:paraId="45394B24">
      <w:pPr>
        <w:ind w:firstLine="422"/>
        <w:jc w:val="left"/>
        <w:rPr>
          <w:rFonts w:ascii="宋体" w:hAnsi="宋体"/>
          <w:kern w:val="44"/>
        </w:rPr>
      </w:pPr>
      <w:r>
        <w:rPr>
          <w:rFonts w:hint="eastAsia" w:ascii="宋体" w:hAnsi="宋体"/>
          <w:b/>
          <w:kern w:val="44"/>
        </w:rPr>
        <w:t>第七条</w:t>
      </w:r>
      <w:r>
        <w:rPr>
          <w:rFonts w:hint="eastAsia" w:ascii="宋体" w:hAnsi="宋体"/>
          <w:kern w:val="44"/>
        </w:rPr>
        <w:t>　单位和个人办理下列手续时，应当出示指标证明文件：</w:t>
      </w:r>
    </w:p>
    <w:p w14:paraId="5D519AE5">
      <w:pPr>
        <w:jc w:val="left"/>
        <w:rPr>
          <w:rFonts w:ascii="宋体" w:hAnsi="宋体"/>
          <w:kern w:val="44"/>
        </w:rPr>
      </w:pPr>
      <w:r>
        <w:rPr>
          <w:rFonts w:hint="eastAsia" w:ascii="宋体" w:hAnsi="宋体"/>
          <w:kern w:val="44"/>
        </w:rPr>
        <w:t>（一）缴纳车辆购置税；</w:t>
      </w:r>
    </w:p>
    <w:p w14:paraId="6514E0C1">
      <w:pPr>
        <w:jc w:val="left"/>
        <w:rPr>
          <w:rFonts w:ascii="宋体" w:hAnsi="宋体"/>
          <w:kern w:val="44"/>
        </w:rPr>
      </w:pPr>
      <w:r>
        <w:rPr>
          <w:rFonts w:hint="eastAsia" w:ascii="宋体" w:hAnsi="宋体"/>
          <w:kern w:val="44"/>
        </w:rPr>
        <w:t>（二）外地车辆转入本市，办理车辆购置税档案转移；</w:t>
      </w:r>
    </w:p>
    <w:p w14:paraId="697F3707">
      <w:pPr>
        <w:jc w:val="left"/>
        <w:rPr>
          <w:rFonts w:ascii="宋体" w:hAnsi="宋体"/>
          <w:kern w:val="44"/>
        </w:rPr>
      </w:pPr>
      <w:r>
        <w:rPr>
          <w:rFonts w:hint="eastAsia" w:ascii="宋体" w:hAnsi="宋体"/>
          <w:kern w:val="44"/>
        </w:rPr>
        <w:t>（三）开具二手车销售发票；</w:t>
      </w:r>
    </w:p>
    <w:p w14:paraId="75468B29">
      <w:pPr>
        <w:jc w:val="left"/>
        <w:rPr>
          <w:rFonts w:ascii="宋体" w:hAnsi="宋体"/>
          <w:kern w:val="44"/>
        </w:rPr>
      </w:pPr>
      <w:r>
        <w:rPr>
          <w:rFonts w:hint="eastAsia" w:ascii="宋体" w:hAnsi="宋体"/>
          <w:kern w:val="44"/>
        </w:rPr>
        <w:t>（四）办理车辆赠与公证。</w:t>
      </w:r>
    </w:p>
    <w:p w14:paraId="0DD8221F">
      <w:pPr>
        <w:jc w:val="left"/>
        <w:rPr>
          <w:rFonts w:ascii="宋体" w:hAnsi="宋体"/>
          <w:kern w:val="44"/>
        </w:rPr>
      </w:pPr>
      <w:r>
        <w:rPr>
          <w:rFonts w:hint="eastAsia" w:ascii="宋体" w:hAnsi="宋体"/>
          <w:kern w:val="44"/>
        </w:rPr>
        <w:t>对取得指标的，税务部门核发车辆购置税完税证明或者免税凭证、工商部门验证二手车销售发票、公证机构办理车辆赠与公证时，应当予以注明。单位和个人持上述文件，到本市公安交通管理部门办理车辆登记。</w:t>
      </w:r>
    </w:p>
    <w:p w14:paraId="62D2850B">
      <w:pPr>
        <w:ind w:firstLine="422"/>
        <w:jc w:val="left"/>
        <w:rPr>
          <w:rFonts w:ascii="宋体" w:hAnsi="宋体"/>
          <w:kern w:val="44"/>
        </w:rPr>
      </w:pPr>
      <w:r>
        <w:rPr>
          <w:rFonts w:hint="eastAsia" w:ascii="宋体" w:hAnsi="宋体"/>
          <w:b/>
          <w:kern w:val="44"/>
        </w:rPr>
        <w:t>第八条</w:t>
      </w:r>
      <w:r>
        <w:rPr>
          <w:rFonts w:hint="eastAsia" w:ascii="宋体" w:hAnsi="宋体"/>
          <w:kern w:val="44"/>
        </w:rPr>
        <w:t>　小客车销售经营单位应当在经营场所明示本市实行指标管理规定的具体内容，并在签订买卖合同时书面提示购车人。</w:t>
      </w:r>
    </w:p>
    <w:p w14:paraId="30581F44">
      <w:pPr>
        <w:ind w:firstLine="422"/>
        <w:jc w:val="left"/>
        <w:rPr>
          <w:rFonts w:ascii="宋体" w:hAnsi="宋体"/>
          <w:kern w:val="44"/>
        </w:rPr>
      </w:pPr>
      <w:r>
        <w:rPr>
          <w:rFonts w:hint="eastAsia" w:ascii="宋体" w:hAnsi="宋体"/>
          <w:b/>
          <w:kern w:val="44"/>
        </w:rPr>
        <w:t>第九条</w:t>
      </w:r>
      <w:r>
        <w:rPr>
          <w:rFonts w:hint="eastAsia" w:ascii="宋体" w:hAnsi="宋体"/>
          <w:kern w:val="44"/>
        </w:rPr>
        <w:t>　出租汽车、租赁汽车、教练车等营运小客车的指标分配方式另行规定。</w:t>
      </w:r>
    </w:p>
    <w:p w14:paraId="20A629FC">
      <w:pPr>
        <w:ind w:firstLine="422"/>
        <w:jc w:val="left"/>
        <w:rPr>
          <w:rFonts w:ascii="宋体" w:hAnsi="宋体"/>
          <w:kern w:val="44"/>
        </w:rPr>
      </w:pPr>
      <w:r>
        <w:rPr>
          <w:rFonts w:hint="eastAsia" w:ascii="宋体" w:hAnsi="宋体"/>
          <w:b/>
          <w:kern w:val="44"/>
        </w:rPr>
        <w:t>第十条</w:t>
      </w:r>
      <w:r>
        <w:rPr>
          <w:rFonts w:hint="eastAsia" w:ascii="宋体" w:hAnsi="宋体"/>
          <w:kern w:val="44"/>
        </w:rPr>
        <w:t>　本暂行规定所称小客车，包括小型、微型载客汽车及市人民政府公布的其他需要实施调控的车型。</w:t>
      </w:r>
    </w:p>
    <w:p w14:paraId="729BC4A4">
      <w:pPr>
        <w:ind w:firstLine="422"/>
        <w:jc w:val="left"/>
        <w:rPr>
          <w:rFonts w:ascii="宋体" w:hAnsi="宋体"/>
          <w:kern w:val="44"/>
        </w:rPr>
      </w:pPr>
      <w:r>
        <w:rPr>
          <w:rFonts w:hint="eastAsia" w:ascii="宋体" w:hAnsi="宋体"/>
          <w:b/>
          <w:kern w:val="44"/>
        </w:rPr>
        <w:t>第十一条</w:t>
      </w:r>
      <w:r>
        <w:rPr>
          <w:rFonts w:hint="eastAsia" w:ascii="宋体" w:hAnsi="宋体"/>
          <w:kern w:val="44"/>
        </w:rPr>
        <w:t>　本暂行规定自公布之日起施行。</w:t>
      </w:r>
    </w:p>
    <w:p w14:paraId="23DF3BBD">
      <w:pPr>
        <w:pStyle w:val="4"/>
        <w:pageBreakBefore/>
        <w:rPr>
          <w:kern w:val="44"/>
        </w:rPr>
      </w:pPr>
      <w:bookmarkStart w:id="654" w:name="_Toc428780056"/>
      <w:bookmarkStart w:id="655" w:name="_Toc428781538"/>
      <w:bookmarkStart w:id="656" w:name="_Toc427651490"/>
      <w:bookmarkStart w:id="657" w:name="_Toc427651832"/>
      <w:bookmarkStart w:id="658" w:name="_Toc422471190"/>
      <w:r>
        <w:rPr>
          <w:rFonts w:hint="eastAsia"/>
          <w:kern w:val="44"/>
        </w:rPr>
        <w:t>北京市汽车租赁管理办法</w:t>
      </w:r>
      <w:bookmarkEnd w:id="654"/>
      <w:bookmarkEnd w:id="655"/>
      <w:bookmarkEnd w:id="656"/>
      <w:bookmarkEnd w:id="657"/>
      <w:bookmarkEnd w:id="658"/>
    </w:p>
    <w:p w14:paraId="75445D73">
      <w:pPr>
        <w:ind w:left="630" w:leftChars="300" w:right="630" w:rightChars="300"/>
        <w:jc w:val="left"/>
        <w:rPr>
          <w:rFonts w:ascii="楷体" w:hAnsi="楷体" w:eastAsia="楷体"/>
          <w:kern w:val="44"/>
        </w:rPr>
      </w:pPr>
      <w:r>
        <w:rPr>
          <w:rFonts w:hint="eastAsia" w:ascii="楷体" w:hAnsi="楷体" w:eastAsia="楷体"/>
          <w:kern w:val="44"/>
        </w:rPr>
        <w:t>（2012年2月22日北京市人民政府第116次常务会议通过  2012年3月1日北京市人民政府第243号令发布 ）</w:t>
      </w:r>
    </w:p>
    <w:p w14:paraId="60D6B039">
      <w:pPr>
        <w:jc w:val="left"/>
        <w:rPr>
          <w:rFonts w:ascii="宋体" w:hAnsi="宋体"/>
          <w:kern w:val="44"/>
        </w:rPr>
      </w:pPr>
    </w:p>
    <w:p w14:paraId="79D40EFE">
      <w:pPr>
        <w:ind w:firstLine="422"/>
        <w:jc w:val="left"/>
        <w:rPr>
          <w:rFonts w:ascii="宋体" w:hAnsi="宋体"/>
          <w:kern w:val="44"/>
        </w:rPr>
      </w:pPr>
      <w:r>
        <w:rPr>
          <w:rFonts w:hint="eastAsia" w:ascii="宋体" w:hAnsi="宋体"/>
          <w:b/>
          <w:kern w:val="44"/>
        </w:rPr>
        <w:t>第一条</w:t>
      </w:r>
      <w:r>
        <w:rPr>
          <w:rFonts w:hint="eastAsia" w:ascii="宋体" w:hAnsi="宋体"/>
          <w:kern w:val="44"/>
        </w:rPr>
        <w:t>　为规范汽车租赁行为，维护汽车租赁市场秩序，保护汽车租赁各方当事人合法权益，保障社会公共安全，促进汽车租赁业健康发展，根据有关法律、法规，结合本市实际情况，制定本办法。</w:t>
      </w:r>
    </w:p>
    <w:p w14:paraId="326DF749">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本市行政区域内的汽车租赁活动及其监督管理适用本办法。</w:t>
      </w:r>
    </w:p>
    <w:p w14:paraId="2AFEFA4C">
      <w:pPr>
        <w:jc w:val="left"/>
        <w:rPr>
          <w:rFonts w:ascii="宋体" w:hAnsi="宋体"/>
          <w:kern w:val="44"/>
        </w:rPr>
      </w:pPr>
      <w:r>
        <w:rPr>
          <w:rFonts w:hint="eastAsia" w:ascii="宋体" w:hAnsi="宋体"/>
          <w:kern w:val="44"/>
        </w:rPr>
        <w:t>本办法所称汽车租赁，是指经营者在约定时间内将汽车交付承租人使用，收取租赁费用，不配备驾驶人员的经营活动。</w:t>
      </w:r>
    </w:p>
    <w:p w14:paraId="6ECB6DA2">
      <w:pPr>
        <w:ind w:firstLine="422"/>
        <w:jc w:val="left"/>
        <w:rPr>
          <w:rFonts w:ascii="宋体" w:hAnsi="宋体"/>
          <w:kern w:val="44"/>
        </w:rPr>
      </w:pPr>
      <w:r>
        <w:rPr>
          <w:rFonts w:hint="eastAsia" w:ascii="宋体" w:hAnsi="宋体"/>
          <w:b/>
          <w:kern w:val="44"/>
        </w:rPr>
        <w:t>第三条</w:t>
      </w:r>
      <w:r>
        <w:rPr>
          <w:rFonts w:hint="eastAsia" w:ascii="宋体" w:hAnsi="宋体"/>
          <w:kern w:val="44"/>
        </w:rPr>
        <w:t>　市交通行政主管部门负责本市汽车租赁行政管理工作。远郊区县交通行政主管部门负责本行政区域内的汽车租赁行政管理工作。</w:t>
      </w:r>
    </w:p>
    <w:p w14:paraId="74B0F6AE">
      <w:pPr>
        <w:jc w:val="left"/>
        <w:rPr>
          <w:rFonts w:ascii="宋体" w:hAnsi="宋体"/>
          <w:kern w:val="44"/>
        </w:rPr>
      </w:pPr>
      <w:r>
        <w:rPr>
          <w:rFonts w:hint="eastAsia" w:ascii="宋体" w:hAnsi="宋体"/>
          <w:kern w:val="44"/>
        </w:rPr>
        <w:t>市交通行政主管部门的执法机构负责市区的汽车租赁行政执法工作。</w:t>
      </w:r>
    </w:p>
    <w:p w14:paraId="403781ED">
      <w:pPr>
        <w:jc w:val="left"/>
        <w:rPr>
          <w:rFonts w:ascii="宋体" w:hAnsi="宋体"/>
          <w:kern w:val="44"/>
        </w:rPr>
      </w:pPr>
      <w:r>
        <w:rPr>
          <w:rFonts w:hint="eastAsia" w:ascii="宋体" w:hAnsi="宋体"/>
          <w:kern w:val="44"/>
        </w:rPr>
        <w:t>公安机关依法负责汽车租赁经营企业的内部治安保卫的监督管理工作，指导、监督企业建立和完善承租人身份查验及登记制度，指导、监督企业落实租赁车辆安装定位装置等治安防范措施。</w:t>
      </w:r>
    </w:p>
    <w:p w14:paraId="214FF7E1">
      <w:pPr>
        <w:jc w:val="left"/>
        <w:rPr>
          <w:rFonts w:ascii="宋体" w:hAnsi="宋体"/>
          <w:kern w:val="44"/>
        </w:rPr>
      </w:pPr>
      <w:r>
        <w:rPr>
          <w:rFonts w:hint="eastAsia" w:ascii="宋体" w:hAnsi="宋体"/>
          <w:kern w:val="44"/>
        </w:rPr>
        <w:t>工商行政管理部门依照职责，依法对汽车租赁活动实施监督管理。</w:t>
      </w:r>
    </w:p>
    <w:p w14:paraId="4B2F39DD">
      <w:pPr>
        <w:ind w:firstLine="422"/>
        <w:jc w:val="left"/>
        <w:rPr>
          <w:rFonts w:ascii="宋体" w:hAnsi="宋体"/>
          <w:kern w:val="44"/>
        </w:rPr>
      </w:pPr>
      <w:r>
        <w:rPr>
          <w:rFonts w:hint="eastAsia" w:ascii="宋体" w:hAnsi="宋体"/>
          <w:b/>
          <w:kern w:val="44"/>
        </w:rPr>
        <w:t>第四条</w:t>
      </w:r>
      <w:r>
        <w:rPr>
          <w:rFonts w:hint="eastAsia" w:ascii="宋体" w:hAnsi="宋体"/>
          <w:kern w:val="44"/>
        </w:rPr>
        <w:t>　本市按照统一规划、数量调控、安全服务的原则，促进汽车租赁业规模化、集约化和网络化发展，完善城市交通运输服务功能。</w:t>
      </w:r>
    </w:p>
    <w:p w14:paraId="1E38F402">
      <w:pPr>
        <w:jc w:val="left"/>
        <w:rPr>
          <w:rFonts w:ascii="宋体" w:hAnsi="宋体"/>
          <w:kern w:val="44"/>
        </w:rPr>
      </w:pPr>
      <w:r>
        <w:rPr>
          <w:rFonts w:hint="eastAsia" w:ascii="宋体" w:hAnsi="宋体"/>
          <w:kern w:val="44"/>
        </w:rPr>
        <w:t>鼓励汽车租赁经营者之间同城和异地合作，开展预约服务、电子商务等业务。鼓励汽车租赁经营者提供汽车租赁共享服务。</w:t>
      </w:r>
    </w:p>
    <w:p w14:paraId="3E2A2BBD">
      <w:pPr>
        <w:ind w:firstLine="422"/>
        <w:jc w:val="left"/>
        <w:rPr>
          <w:rFonts w:ascii="宋体" w:hAnsi="宋体"/>
          <w:kern w:val="44"/>
        </w:rPr>
      </w:pPr>
      <w:r>
        <w:rPr>
          <w:rFonts w:hint="eastAsia" w:ascii="宋体" w:hAnsi="宋体"/>
          <w:b/>
          <w:kern w:val="44"/>
        </w:rPr>
        <w:t>第五条</w:t>
      </w:r>
      <w:r>
        <w:rPr>
          <w:rFonts w:hint="eastAsia" w:ascii="宋体" w:hAnsi="宋体"/>
          <w:kern w:val="44"/>
        </w:rPr>
        <w:t>　市交通行政主管部门应当会同相关行政主管部门、汽车租赁行业协会制定汽车租赁的经营服务、安全管理等标准，并组织实施。</w:t>
      </w:r>
    </w:p>
    <w:p w14:paraId="195B17DE">
      <w:pPr>
        <w:ind w:firstLine="422"/>
        <w:jc w:val="left"/>
        <w:rPr>
          <w:rFonts w:ascii="宋体" w:hAnsi="宋体"/>
          <w:kern w:val="44"/>
        </w:rPr>
      </w:pPr>
      <w:r>
        <w:rPr>
          <w:rFonts w:hint="eastAsia" w:ascii="宋体" w:hAnsi="宋体"/>
          <w:b/>
          <w:kern w:val="44"/>
        </w:rPr>
        <w:t>第六条</w:t>
      </w:r>
      <w:r>
        <w:rPr>
          <w:rFonts w:hint="eastAsia" w:ascii="宋体" w:hAnsi="宋体"/>
          <w:kern w:val="44"/>
        </w:rPr>
        <w:t>　市交通行政主管部门应当建立汽车租赁服务和管理信息系统，并与公安、工商行政管理等相关部门共享管理信息，对行业实施信息化管理，为社会公众提供信息服务。</w:t>
      </w:r>
    </w:p>
    <w:p w14:paraId="62636D92">
      <w:pPr>
        <w:jc w:val="left"/>
        <w:rPr>
          <w:rFonts w:ascii="宋体" w:hAnsi="宋体"/>
          <w:kern w:val="44"/>
        </w:rPr>
      </w:pPr>
      <w:r>
        <w:rPr>
          <w:rFonts w:hint="eastAsia" w:ascii="宋体" w:hAnsi="宋体"/>
          <w:kern w:val="44"/>
        </w:rPr>
        <w:t>汽车租赁经营者应当配置信息化服务的相关设备设施，并将安全服务信息即时传输至汽车租赁服务和管理信息系统。</w:t>
      </w:r>
    </w:p>
    <w:p w14:paraId="74BF3FF1">
      <w:pPr>
        <w:ind w:firstLine="422"/>
        <w:jc w:val="left"/>
        <w:rPr>
          <w:rFonts w:ascii="宋体" w:hAnsi="宋体"/>
          <w:kern w:val="44"/>
        </w:rPr>
      </w:pPr>
      <w:r>
        <w:rPr>
          <w:rFonts w:hint="eastAsia" w:ascii="宋体" w:hAnsi="宋体"/>
          <w:b/>
          <w:kern w:val="44"/>
        </w:rPr>
        <w:t>第七条</w:t>
      </w:r>
      <w:r>
        <w:rPr>
          <w:rFonts w:hint="eastAsia" w:ascii="宋体" w:hAnsi="宋体"/>
          <w:kern w:val="44"/>
        </w:rPr>
        <w:t>　本市对汽车租赁经营者实行年度质量信誉考核制度，对经营者的安全生产、经营行为、服务质量、管理水平和履行社会责任等方面进行综合评价。年度质量信誉考核结果向社会公布。</w:t>
      </w:r>
    </w:p>
    <w:p w14:paraId="218173D0">
      <w:pPr>
        <w:ind w:firstLine="422"/>
        <w:jc w:val="left"/>
        <w:rPr>
          <w:rFonts w:ascii="宋体" w:hAnsi="宋体"/>
          <w:kern w:val="44"/>
        </w:rPr>
      </w:pPr>
      <w:r>
        <w:rPr>
          <w:rFonts w:hint="eastAsia" w:ascii="宋体" w:hAnsi="宋体"/>
          <w:b/>
          <w:kern w:val="44"/>
        </w:rPr>
        <w:t>第八条</w:t>
      </w:r>
      <w:r>
        <w:rPr>
          <w:rFonts w:hint="eastAsia" w:ascii="宋体" w:hAnsi="宋体"/>
          <w:kern w:val="44"/>
        </w:rPr>
        <w:t>　本市鼓励汽车租赁业实施行业自律，鼓励汽车租赁行业组织建立健全行业自律制度，规范和指导汽车租赁经营者的经营行为，组织汽车租赁经营者开展诚信建设，提高汽车租赁经营者的服务质量，维护汽车租赁经营者的合法权益，参与汽车租赁管理相关法规、政策、标准的研究制定和宣传贯彻。</w:t>
      </w:r>
    </w:p>
    <w:p w14:paraId="2D1ADEFB">
      <w:pPr>
        <w:ind w:firstLine="422"/>
        <w:jc w:val="left"/>
        <w:rPr>
          <w:rFonts w:ascii="宋体" w:hAnsi="宋体"/>
          <w:kern w:val="44"/>
        </w:rPr>
      </w:pPr>
      <w:r>
        <w:rPr>
          <w:rFonts w:hint="eastAsia" w:ascii="宋体" w:hAnsi="宋体"/>
          <w:b/>
          <w:kern w:val="44"/>
        </w:rPr>
        <w:t>第九条</w:t>
      </w:r>
      <w:r>
        <w:rPr>
          <w:rFonts w:hint="eastAsia" w:ascii="宋体" w:hAnsi="宋体"/>
          <w:kern w:val="44"/>
        </w:rPr>
        <w:t>　从事汽车租赁经营的，经营者应当在取得企业营业执照之日起30日内按照规定向市交通行政主管部门或者远郊区县交通行政主管部门办理备案。</w:t>
      </w:r>
    </w:p>
    <w:p w14:paraId="2D408D1D">
      <w:pPr>
        <w:jc w:val="left"/>
        <w:rPr>
          <w:rFonts w:ascii="宋体" w:hAnsi="宋体"/>
          <w:kern w:val="44"/>
        </w:rPr>
      </w:pPr>
      <w:r>
        <w:rPr>
          <w:rFonts w:hint="eastAsia" w:ascii="宋体" w:hAnsi="宋体"/>
          <w:kern w:val="44"/>
        </w:rPr>
        <w:t>办理备案时，应当提交下列材料：</w:t>
      </w:r>
    </w:p>
    <w:p w14:paraId="211A0E5E">
      <w:pPr>
        <w:jc w:val="left"/>
        <w:rPr>
          <w:rFonts w:ascii="宋体" w:hAnsi="宋体"/>
          <w:kern w:val="44"/>
        </w:rPr>
      </w:pPr>
      <w:r>
        <w:rPr>
          <w:rFonts w:hint="eastAsia" w:ascii="宋体" w:hAnsi="宋体"/>
          <w:kern w:val="44"/>
        </w:rPr>
        <w:t>（一）法人登记证明；</w:t>
      </w:r>
    </w:p>
    <w:p w14:paraId="36BC0C89">
      <w:pPr>
        <w:jc w:val="left"/>
        <w:rPr>
          <w:rFonts w:ascii="宋体" w:hAnsi="宋体"/>
          <w:kern w:val="44"/>
        </w:rPr>
      </w:pPr>
      <w:r>
        <w:rPr>
          <w:rFonts w:hint="eastAsia" w:ascii="宋体" w:hAnsi="宋体"/>
          <w:kern w:val="44"/>
        </w:rPr>
        <w:t>（二）税务登记证明；</w:t>
      </w:r>
    </w:p>
    <w:p w14:paraId="1D89F0FB">
      <w:pPr>
        <w:jc w:val="left"/>
        <w:rPr>
          <w:rFonts w:ascii="宋体" w:hAnsi="宋体"/>
          <w:kern w:val="44"/>
        </w:rPr>
      </w:pPr>
      <w:r>
        <w:rPr>
          <w:rFonts w:hint="eastAsia" w:ascii="宋体" w:hAnsi="宋体"/>
          <w:kern w:val="44"/>
        </w:rPr>
        <w:t>（三）经营场所权属证明或者合法租用证明；</w:t>
      </w:r>
    </w:p>
    <w:p w14:paraId="5B2A75CA">
      <w:pPr>
        <w:jc w:val="left"/>
        <w:rPr>
          <w:rFonts w:ascii="宋体" w:hAnsi="宋体"/>
          <w:kern w:val="44"/>
        </w:rPr>
      </w:pPr>
      <w:r>
        <w:rPr>
          <w:rFonts w:hint="eastAsia" w:ascii="宋体" w:hAnsi="宋体"/>
          <w:kern w:val="44"/>
        </w:rPr>
        <w:t>（四）企业经营服务和安全管理制度。</w:t>
      </w:r>
    </w:p>
    <w:p w14:paraId="1E3727B3">
      <w:pPr>
        <w:jc w:val="left"/>
        <w:rPr>
          <w:rFonts w:ascii="宋体" w:hAnsi="宋体"/>
          <w:kern w:val="44"/>
        </w:rPr>
      </w:pPr>
      <w:r>
        <w:rPr>
          <w:rFonts w:hint="eastAsia" w:ascii="宋体" w:hAnsi="宋体"/>
          <w:kern w:val="44"/>
        </w:rPr>
        <w:t>经营者提交的材料齐全的，市交通行政主管部门或者远郊区县交通行政主管部门应当出具汽车租赁经营备案证明。</w:t>
      </w:r>
    </w:p>
    <w:p w14:paraId="4254FEEF">
      <w:pPr>
        <w:jc w:val="left"/>
        <w:rPr>
          <w:rFonts w:ascii="宋体" w:hAnsi="宋体"/>
          <w:kern w:val="44"/>
        </w:rPr>
      </w:pPr>
      <w:r>
        <w:rPr>
          <w:rFonts w:hint="eastAsia" w:ascii="宋体" w:hAnsi="宋体"/>
          <w:kern w:val="44"/>
        </w:rPr>
        <w:t>经营者购买车辆后应当向原备案部门办理车辆备案，提交车辆行驶证明和经营设备设施清单。原备案部门对已备案的车辆出具车辆备案证明。</w:t>
      </w:r>
    </w:p>
    <w:p w14:paraId="2C794D16">
      <w:pPr>
        <w:ind w:firstLine="422"/>
        <w:jc w:val="left"/>
        <w:rPr>
          <w:rFonts w:ascii="宋体" w:hAnsi="宋体"/>
          <w:kern w:val="44"/>
        </w:rPr>
      </w:pPr>
      <w:r>
        <w:rPr>
          <w:rFonts w:hint="eastAsia" w:ascii="宋体" w:hAnsi="宋体"/>
          <w:b/>
          <w:kern w:val="44"/>
        </w:rPr>
        <w:t>第十条</w:t>
      </w:r>
      <w:r>
        <w:rPr>
          <w:rFonts w:hint="eastAsia" w:ascii="宋体" w:hAnsi="宋体"/>
          <w:kern w:val="44"/>
        </w:rPr>
        <w:t>　经营者的备案事项发生变更的，应当在变更之日起15日内到原备案部门办理备案变更。</w:t>
      </w:r>
    </w:p>
    <w:p w14:paraId="557BCD47">
      <w:pPr>
        <w:ind w:firstLine="422"/>
        <w:jc w:val="left"/>
        <w:rPr>
          <w:rFonts w:ascii="宋体" w:hAnsi="宋体"/>
          <w:kern w:val="44"/>
        </w:rPr>
      </w:pPr>
      <w:r>
        <w:rPr>
          <w:rFonts w:hint="eastAsia" w:ascii="宋体" w:hAnsi="宋体"/>
          <w:b/>
          <w:kern w:val="44"/>
        </w:rPr>
        <w:t>第十一条</w:t>
      </w:r>
      <w:r>
        <w:rPr>
          <w:rFonts w:hint="eastAsia" w:ascii="宋体" w:hAnsi="宋体"/>
          <w:kern w:val="44"/>
        </w:rPr>
        <w:t>　本市对租赁小客车实施数量调控措施。租赁小客车年度增长数量由市交通行政主管部门根据本市租赁行业发展目标、交通发展规划和全市小客车数量调控要求统筹确定，并向社会公布。</w:t>
      </w:r>
    </w:p>
    <w:p w14:paraId="2EE0E54F">
      <w:pPr>
        <w:ind w:firstLine="422"/>
        <w:jc w:val="left"/>
        <w:rPr>
          <w:rFonts w:ascii="宋体" w:hAnsi="宋体"/>
          <w:kern w:val="44"/>
        </w:rPr>
      </w:pPr>
      <w:r>
        <w:rPr>
          <w:rFonts w:hint="eastAsia" w:ascii="宋体" w:hAnsi="宋体"/>
          <w:b/>
          <w:kern w:val="44"/>
        </w:rPr>
        <w:t>第十二条</w:t>
      </w:r>
      <w:r>
        <w:rPr>
          <w:rFonts w:hint="eastAsia" w:ascii="宋体" w:hAnsi="宋体"/>
          <w:kern w:val="44"/>
        </w:rPr>
        <w:t>　汽车租赁经营者申请租赁小客车新增指标的，应当符合下列条件：</w:t>
      </w:r>
    </w:p>
    <w:p w14:paraId="4E9E552E">
      <w:pPr>
        <w:jc w:val="left"/>
        <w:rPr>
          <w:rFonts w:ascii="宋体" w:hAnsi="宋体"/>
          <w:kern w:val="44"/>
        </w:rPr>
      </w:pPr>
      <w:r>
        <w:rPr>
          <w:rFonts w:hint="eastAsia" w:ascii="宋体" w:hAnsi="宋体"/>
          <w:kern w:val="44"/>
        </w:rPr>
        <w:t>（一）已经按照本办法第九条的规定办理备案；</w:t>
      </w:r>
    </w:p>
    <w:p w14:paraId="770637D3">
      <w:pPr>
        <w:jc w:val="left"/>
        <w:rPr>
          <w:rFonts w:ascii="宋体" w:hAnsi="宋体"/>
          <w:kern w:val="44"/>
        </w:rPr>
      </w:pPr>
      <w:r>
        <w:rPr>
          <w:rFonts w:hint="eastAsia" w:ascii="宋体" w:hAnsi="宋体"/>
          <w:kern w:val="44"/>
        </w:rPr>
        <w:t>（二）上一年度质量信誉考核合格；</w:t>
      </w:r>
    </w:p>
    <w:p w14:paraId="409D183D">
      <w:pPr>
        <w:jc w:val="left"/>
        <w:rPr>
          <w:rFonts w:ascii="宋体" w:hAnsi="宋体"/>
          <w:kern w:val="44"/>
        </w:rPr>
      </w:pPr>
      <w:r>
        <w:rPr>
          <w:rFonts w:hint="eastAsia" w:ascii="宋体" w:hAnsi="宋体"/>
          <w:kern w:val="44"/>
        </w:rPr>
        <w:t>（三）上一年度在本市依法足额纳税。</w:t>
      </w:r>
    </w:p>
    <w:p w14:paraId="3902239B">
      <w:pPr>
        <w:jc w:val="left"/>
        <w:rPr>
          <w:rFonts w:ascii="宋体" w:hAnsi="宋体"/>
          <w:kern w:val="44"/>
        </w:rPr>
      </w:pPr>
      <w:r>
        <w:rPr>
          <w:rFonts w:hint="eastAsia" w:ascii="宋体" w:hAnsi="宋体"/>
          <w:kern w:val="44"/>
        </w:rPr>
        <w:t>新成立的汽车租赁经营者申请租赁小客车新增指标的，不适用前款第二项、第三项的规定。</w:t>
      </w:r>
    </w:p>
    <w:p w14:paraId="1B958304">
      <w:pPr>
        <w:ind w:firstLine="422"/>
        <w:jc w:val="left"/>
        <w:rPr>
          <w:rFonts w:ascii="宋体" w:hAnsi="宋体"/>
          <w:kern w:val="44"/>
        </w:rPr>
      </w:pPr>
      <w:r>
        <w:rPr>
          <w:rFonts w:hint="eastAsia" w:ascii="宋体" w:hAnsi="宋体"/>
          <w:b/>
          <w:kern w:val="44"/>
        </w:rPr>
        <w:t>第十三条</w:t>
      </w:r>
      <w:r>
        <w:rPr>
          <w:rFonts w:hint="eastAsia" w:ascii="宋体" w:hAnsi="宋体"/>
          <w:kern w:val="44"/>
        </w:rPr>
        <w:t>　租赁小客车新增指标按照公开、公正的原则无偿分配。指标分配方案由市交通行政主管部门根据租赁行业发展目标、企业质量信誉考核情况制定，在征求汽车租赁行业组织和汽车租赁经营者的意见后确定并实施。指标分配方案和分配结果应当向社会公示。</w:t>
      </w:r>
    </w:p>
    <w:p w14:paraId="788E6CAB">
      <w:pPr>
        <w:ind w:firstLine="422"/>
        <w:jc w:val="left"/>
        <w:rPr>
          <w:rFonts w:ascii="宋体" w:hAnsi="宋体"/>
          <w:kern w:val="44"/>
        </w:rPr>
      </w:pPr>
      <w:r>
        <w:rPr>
          <w:rFonts w:hint="eastAsia" w:ascii="宋体" w:hAnsi="宋体"/>
          <w:b/>
          <w:kern w:val="44"/>
        </w:rPr>
        <w:t>第十四条</w:t>
      </w:r>
      <w:r>
        <w:rPr>
          <w:rFonts w:hint="eastAsia" w:ascii="宋体" w:hAnsi="宋体"/>
          <w:kern w:val="44"/>
        </w:rPr>
        <w:t>　汽车租赁经营者应当遵守下列规定：</w:t>
      </w:r>
    </w:p>
    <w:p w14:paraId="79456DF4">
      <w:pPr>
        <w:jc w:val="left"/>
        <w:rPr>
          <w:rFonts w:ascii="宋体" w:hAnsi="宋体"/>
          <w:kern w:val="44"/>
        </w:rPr>
      </w:pPr>
      <w:r>
        <w:rPr>
          <w:rFonts w:hint="eastAsia" w:ascii="宋体" w:hAnsi="宋体"/>
          <w:kern w:val="44"/>
        </w:rPr>
        <w:t>（一）在经营场所显著位置明示服务项目、收费标准、车辆保险、租车流程及监督电话；</w:t>
      </w:r>
    </w:p>
    <w:p w14:paraId="23615A55">
      <w:pPr>
        <w:jc w:val="left"/>
        <w:rPr>
          <w:rFonts w:ascii="宋体" w:hAnsi="宋体"/>
          <w:kern w:val="44"/>
        </w:rPr>
      </w:pPr>
      <w:r>
        <w:rPr>
          <w:rFonts w:hint="eastAsia" w:ascii="宋体" w:hAnsi="宋体"/>
          <w:kern w:val="44"/>
        </w:rPr>
        <w:t>（二）按照约定的价格收取租赁费用；</w:t>
      </w:r>
    </w:p>
    <w:p w14:paraId="2057ACA5">
      <w:pPr>
        <w:jc w:val="left"/>
        <w:rPr>
          <w:rFonts w:ascii="宋体" w:hAnsi="宋体"/>
          <w:kern w:val="44"/>
        </w:rPr>
      </w:pPr>
      <w:r>
        <w:rPr>
          <w:rFonts w:hint="eastAsia" w:ascii="宋体" w:hAnsi="宋体"/>
          <w:kern w:val="44"/>
        </w:rPr>
        <w:t>（三）按照规定进行车辆检测和维护保养，保证租赁车辆技术性能良好、符合安全行驶条件；</w:t>
      </w:r>
    </w:p>
    <w:p w14:paraId="33A7573C">
      <w:pPr>
        <w:jc w:val="left"/>
        <w:rPr>
          <w:rFonts w:ascii="宋体" w:hAnsi="宋体"/>
          <w:kern w:val="44"/>
        </w:rPr>
      </w:pPr>
      <w:r>
        <w:rPr>
          <w:rFonts w:hint="eastAsia" w:ascii="宋体" w:hAnsi="宋体"/>
          <w:kern w:val="44"/>
        </w:rPr>
        <w:t>（四）建立并完善救援服务体系，对租赁期间发生故障或者事故的车辆，及时按照约定提供救援服务；</w:t>
      </w:r>
    </w:p>
    <w:p w14:paraId="40C5E564">
      <w:pPr>
        <w:jc w:val="left"/>
        <w:rPr>
          <w:rFonts w:ascii="宋体" w:hAnsi="宋体"/>
          <w:kern w:val="44"/>
        </w:rPr>
      </w:pPr>
      <w:r>
        <w:rPr>
          <w:rFonts w:hint="eastAsia" w:ascii="宋体" w:hAnsi="宋体"/>
          <w:kern w:val="44"/>
        </w:rPr>
        <w:t>（五）建立租赁经营管理档案和车辆管理档案，并按照规定报送管理数据信息；</w:t>
      </w:r>
    </w:p>
    <w:p w14:paraId="51AC625E">
      <w:pPr>
        <w:jc w:val="left"/>
        <w:rPr>
          <w:rFonts w:ascii="宋体" w:hAnsi="宋体"/>
          <w:kern w:val="44"/>
        </w:rPr>
      </w:pPr>
      <w:r>
        <w:rPr>
          <w:rFonts w:hint="eastAsia" w:ascii="宋体" w:hAnsi="宋体"/>
          <w:kern w:val="44"/>
        </w:rPr>
        <w:t>（六）建立健全经营服务、安全保卫、消防等管理制度；</w:t>
      </w:r>
    </w:p>
    <w:p w14:paraId="7B023DC1">
      <w:pPr>
        <w:jc w:val="left"/>
        <w:rPr>
          <w:rFonts w:ascii="宋体" w:hAnsi="宋体"/>
          <w:kern w:val="44"/>
        </w:rPr>
      </w:pPr>
      <w:r>
        <w:rPr>
          <w:rFonts w:hint="eastAsia" w:ascii="宋体" w:hAnsi="宋体"/>
          <w:kern w:val="44"/>
        </w:rPr>
        <w:t>（七）国家和本市其他相关规定。</w:t>
      </w:r>
    </w:p>
    <w:p w14:paraId="45203952">
      <w:pPr>
        <w:ind w:firstLine="422"/>
        <w:jc w:val="left"/>
        <w:rPr>
          <w:rFonts w:ascii="宋体" w:hAnsi="宋体"/>
          <w:kern w:val="44"/>
        </w:rPr>
      </w:pPr>
      <w:r>
        <w:rPr>
          <w:rFonts w:hint="eastAsia" w:ascii="宋体" w:hAnsi="宋体"/>
          <w:b/>
          <w:kern w:val="44"/>
        </w:rPr>
        <w:t>第十五条</w:t>
      </w:r>
      <w:r>
        <w:rPr>
          <w:rFonts w:hint="eastAsia" w:ascii="宋体" w:hAnsi="宋体"/>
          <w:kern w:val="44"/>
        </w:rPr>
        <w:t>　用于租赁的车辆应当符合下列要求：</w:t>
      </w:r>
    </w:p>
    <w:p w14:paraId="30755BF6">
      <w:pPr>
        <w:jc w:val="left"/>
        <w:rPr>
          <w:rFonts w:ascii="宋体" w:hAnsi="宋体"/>
          <w:kern w:val="44"/>
        </w:rPr>
      </w:pPr>
      <w:r>
        <w:rPr>
          <w:rFonts w:hint="eastAsia" w:ascii="宋体" w:hAnsi="宋体"/>
          <w:kern w:val="44"/>
        </w:rPr>
        <w:t>（一）行驶牌证齐全有效且为汽车租赁经营者所有；</w:t>
      </w:r>
    </w:p>
    <w:p w14:paraId="37C34A9F">
      <w:pPr>
        <w:jc w:val="left"/>
        <w:rPr>
          <w:rFonts w:ascii="宋体" w:hAnsi="宋体"/>
          <w:kern w:val="44"/>
        </w:rPr>
      </w:pPr>
      <w:r>
        <w:rPr>
          <w:rFonts w:hint="eastAsia" w:ascii="宋体" w:hAnsi="宋体"/>
          <w:kern w:val="44"/>
        </w:rPr>
        <w:t>（二）已按照国家规定办理相应的保险；</w:t>
      </w:r>
    </w:p>
    <w:p w14:paraId="0E722849">
      <w:pPr>
        <w:jc w:val="left"/>
        <w:rPr>
          <w:rFonts w:ascii="宋体" w:hAnsi="宋体"/>
          <w:kern w:val="44"/>
        </w:rPr>
      </w:pPr>
      <w:r>
        <w:rPr>
          <w:rFonts w:hint="eastAsia" w:ascii="宋体" w:hAnsi="宋体"/>
          <w:kern w:val="44"/>
        </w:rPr>
        <w:t>（三）已安装车辆定位装置；</w:t>
      </w:r>
    </w:p>
    <w:p w14:paraId="01991C4F">
      <w:pPr>
        <w:jc w:val="left"/>
        <w:rPr>
          <w:rFonts w:ascii="宋体" w:hAnsi="宋体"/>
          <w:kern w:val="44"/>
        </w:rPr>
      </w:pPr>
      <w:r>
        <w:rPr>
          <w:rFonts w:hint="eastAsia" w:ascii="宋体" w:hAnsi="宋体"/>
          <w:kern w:val="44"/>
        </w:rPr>
        <w:t>（四）技术性能良好、符合安全行驶条件；</w:t>
      </w:r>
    </w:p>
    <w:p w14:paraId="6DC6BBCD">
      <w:pPr>
        <w:jc w:val="left"/>
        <w:rPr>
          <w:rFonts w:ascii="宋体" w:hAnsi="宋体"/>
          <w:kern w:val="44"/>
        </w:rPr>
      </w:pPr>
      <w:r>
        <w:rPr>
          <w:rFonts w:hint="eastAsia" w:ascii="宋体" w:hAnsi="宋体"/>
          <w:kern w:val="44"/>
        </w:rPr>
        <w:t>（五）车内配备有效的车用灭火器、故障车警示标志牌和必要的维修工具。</w:t>
      </w:r>
    </w:p>
    <w:p w14:paraId="2E493B2D">
      <w:pPr>
        <w:ind w:firstLine="422"/>
        <w:jc w:val="left"/>
        <w:rPr>
          <w:rFonts w:ascii="宋体" w:hAnsi="宋体"/>
          <w:kern w:val="44"/>
        </w:rPr>
      </w:pPr>
      <w:r>
        <w:rPr>
          <w:rFonts w:hint="eastAsia" w:ascii="宋体" w:hAnsi="宋体"/>
          <w:b/>
          <w:kern w:val="44"/>
        </w:rPr>
        <w:t>第十六条</w:t>
      </w:r>
      <w:r>
        <w:rPr>
          <w:rFonts w:hint="eastAsia" w:ascii="宋体" w:hAnsi="宋体"/>
          <w:kern w:val="44"/>
        </w:rPr>
        <w:t>　汽车租赁双方应当签订书面租赁合同。合同内容应当包括车辆用途、租赁期限、租赁费用及付费方式、车辆交接、担保方式、车辆维护和维修责任、车辆保险、风险承担、违约责任和争议解决方式等条款。</w:t>
      </w:r>
    </w:p>
    <w:p w14:paraId="5B9AF092">
      <w:pPr>
        <w:jc w:val="left"/>
        <w:rPr>
          <w:rFonts w:ascii="宋体" w:hAnsi="宋体"/>
          <w:kern w:val="44"/>
        </w:rPr>
      </w:pPr>
      <w:r>
        <w:rPr>
          <w:rFonts w:hint="eastAsia" w:ascii="宋体" w:hAnsi="宋体"/>
          <w:kern w:val="44"/>
        </w:rPr>
        <w:t>《北京市汽车租赁合同》示范文本由市交通行政主管部门、市工商行政管理部门会同汽车租赁行业组织制定。</w:t>
      </w:r>
    </w:p>
    <w:p w14:paraId="2FA29FDB">
      <w:pPr>
        <w:ind w:firstLine="422"/>
        <w:jc w:val="left"/>
        <w:rPr>
          <w:rFonts w:ascii="宋体" w:hAnsi="宋体"/>
          <w:kern w:val="44"/>
        </w:rPr>
      </w:pPr>
      <w:r>
        <w:rPr>
          <w:rFonts w:hint="eastAsia" w:ascii="宋体" w:hAnsi="宋体"/>
          <w:b/>
          <w:kern w:val="44"/>
        </w:rPr>
        <w:t>第十七条</w:t>
      </w:r>
      <w:r>
        <w:rPr>
          <w:rFonts w:hint="eastAsia" w:ascii="宋体" w:hAnsi="宋体"/>
          <w:kern w:val="44"/>
        </w:rPr>
        <w:t>　租赁车辆时，经营者应当核对承租人身份信息，按照规定登记录入服务管理信息系统，并对信息采取保密措施，不得对外泄露。</w:t>
      </w:r>
    </w:p>
    <w:p w14:paraId="0C4FA21C">
      <w:pPr>
        <w:ind w:firstLine="422"/>
        <w:jc w:val="left"/>
        <w:rPr>
          <w:rFonts w:ascii="宋体" w:hAnsi="宋体"/>
          <w:kern w:val="44"/>
        </w:rPr>
      </w:pPr>
      <w:r>
        <w:rPr>
          <w:rFonts w:hint="eastAsia" w:ascii="宋体" w:hAnsi="宋体"/>
          <w:b/>
          <w:kern w:val="44"/>
        </w:rPr>
        <w:t>第十八条</w:t>
      </w:r>
      <w:r>
        <w:rPr>
          <w:rFonts w:hint="eastAsia" w:ascii="宋体" w:hAnsi="宋体"/>
          <w:kern w:val="44"/>
        </w:rPr>
        <w:t>　承租人应当遵守下列规定：</w:t>
      </w:r>
    </w:p>
    <w:p w14:paraId="77EC59D5">
      <w:pPr>
        <w:jc w:val="left"/>
        <w:rPr>
          <w:rFonts w:ascii="宋体" w:hAnsi="宋体"/>
          <w:kern w:val="44"/>
        </w:rPr>
      </w:pPr>
      <w:r>
        <w:rPr>
          <w:rFonts w:hint="eastAsia" w:ascii="宋体" w:hAnsi="宋体"/>
          <w:kern w:val="44"/>
        </w:rPr>
        <w:t>（一）提供的相关身份信息合法、真实、有效；</w:t>
      </w:r>
    </w:p>
    <w:p w14:paraId="4E43509E">
      <w:pPr>
        <w:jc w:val="left"/>
        <w:rPr>
          <w:rFonts w:ascii="宋体" w:hAnsi="宋体"/>
          <w:kern w:val="44"/>
        </w:rPr>
      </w:pPr>
      <w:r>
        <w:rPr>
          <w:rFonts w:hint="eastAsia" w:ascii="宋体" w:hAnsi="宋体"/>
          <w:kern w:val="44"/>
        </w:rPr>
        <w:t>（二）爱护车辆及其附属设施，按照操作规范驾驶车辆；</w:t>
      </w:r>
    </w:p>
    <w:p w14:paraId="29EB36B3">
      <w:pPr>
        <w:jc w:val="left"/>
        <w:rPr>
          <w:rFonts w:ascii="宋体" w:hAnsi="宋体"/>
          <w:kern w:val="44"/>
        </w:rPr>
      </w:pPr>
      <w:r>
        <w:rPr>
          <w:rFonts w:hint="eastAsia" w:ascii="宋体" w:hAnsi="宋体"/>
          <w:kern w:val="44"/>
        </w:rPr>
        <w:t>（三）随车携带承租车辆的相关证件；</w:t>
      </w:r>
    </w:p>
    <w:p w14:paraId="63C8191F">
      <w:pPr>
        <w:jc w:val="left"/>
        <w:rPr>
          <w:rFonts w:ascii="宋体" w:hAnsi="宋体"/>
          <w:kern w:val="44"/>
        </w:rPr>
      </w:pPr>
      <w:r>
        <w:rPr>
          <w:rFonts w:hint="eastAsia" w:ascii="宋体" w:hAnsi="宋体"/>
          <w:kern w:val="44"/>
        </w:rPr>
        <w:t>（四）不得利用租赁车辆运输国家法律法规禁运、限运物品，以及从事其他违法犯罪活动；</w:t>
      </w:r>
    </w:p>
    <w:p w14:paraId="0F4F8784">
      <w:pPr>
        <w:jc w:val="left"/>
        <w:rPr>
          <w:rFonts w:ascii="宋体" w:hAnsi="宋体"/>
          <w:kern w:val="44"/>
        </w:rPr>
      </w:pPr>
      <w:r>
        <w:rPr>
          <w:rFonts w:hint="eastAsia" w:ascii="宋体" w:hAnsi="宋体"/>
          <w:kern w:val="44"/>
        </w:rPr>
        <w:t>（五）不得将承租车辆进行抵押、变卖或者转租。</w:t>
      </w:r>
    </w:p>
    <w:p w14:paraId="64025177">
      <w:pPr>
        <w:ind w:firstLine="422"/>
        <w:jc w:val="left"/>
        <w:rPr>
          <w:rFonts w:ascii="宋体" w:hAnsi="宋体"/>
          <w:kern w:val="44"/>
        </w:rPr>
      </w:pPr>
      <w:r>
        <w:rPr>
          <w:rFonts w:hint="eastAsia" w:ascii="宋体" w:hAnsi="宋体"/>
          <w:b/>
          <w:kern w:val="44"/>
        </w:rPr>
        <w:t>第十九条</w:t>
      </w:r>
      <w:r>
        <w:rPr>
          <w:rFonts w:hint="eastAsia" w:ascii="宋体" w:hAnsi="宋体"/>
          <w:kern w:val="44"/>
        </w:rPr>
        <w:t>　租赁期间车辆发生交通事故的，承租人和经营企业按照租赁合同的约定承担相应的赔偿责任；租赁合同没有约定的，按照国家有关法律、法规的规定承担相应责任。</w:t>
      </w:r>
    </w:p>
    <w:p w14:paraId="7B397323">
      <w:pPr>
        <w:ind w:firstLine="422"/>
        <w:jc w:val="left"/>
        <w:rPr>
          <w:rFonts w:ascii="宋体" w:hAnsi="宋体"/>
          <w:kern w:val="44"/>
        </w:rPr>
      </w:pPr>
      <w:r>
        <w:rPr>
          <w:rFonts w:hint="eastAsia" w:ascii="宋体" w:hAnsi="宋体"/>
          <w:b/>
          <w:kern w:val="44"/>
        </w:rPr>
        <w:t>第二十条</w:t>
      </w:r>
      <w:r>
        <w:rPr>
          <w:rFonts w:hint="eastAsia" w:ascii="宋体" w:hAnsi="宋体"/>
          <w:kern w:val="44"/>
        </w:rPr>
        <w:t>　发现承租人利用租赁车辆从事非法营运等违法活动的，汽车租赁经营者有权拒绝签定或者终止履行租赁合同。</w:t>
      </w:r>
    </w:p>
    <w:p w14:paraId="433859F3">
      <w:pPr>
        <w:jc w:val="left"/>
        <w:rPr>
          <w:rFonts w:ascii="宋体" w:hAnsi="宋体"/>
          <w:kern w:val="44"/>
        </w:rPr>
      </w:pPr>
      <w:r>
        <w:rPr>
          <w:rFonts w:hint="eastAsia" w:ascii="宋体" w:hAnsi="宋体"/>
          <w:kern w:val="44"/>
        </w:rPr>
        <w:t>经营者发现承租人利用租赁车辆从事违法犯罪活动的，应当及时向有关部门举报。</w:t>
      </w:r>
    </w:p>
    <w:p w14:paraId="2CDB763A">
      <w:pPr>
        <w:ind w:firstLine="422"/>
        <w:jc w:val="left"/>
        <w:rPr>
          <w:rFonts w:ascii="宋体" w:hAnsi="宋体"/>
          <w:kern w:val="44"/>
        </w:rPr>
      </w:pPr>
      <w:r>
        <w:rPr>
          <w:rFonts w:hint="eastAsia" w:ascii="宋体" w:hAnsi="宋体"/>
          <w:b/>
          <w:kern w:val="44"/>
        </w:rPr>
        <w:t>第二十一条</w:t>
      </w:r>
      <w:r>
        <w:rPr>
          <w:rFonts w:hint="eastAsia" w:ascii="宋体" w:hAnsi="宋体"/>
          <w:kern w:val="44"/>
        </w:rPr>
        <w:t>　汽车租赁经营者有下列情形之一的，年度质量信誉考核不合格：</w:t>
      </w:r>
    </w:p>
    <w:p w14:paraId="1C0FC816">
      <w:pPr>
        <w:jc w:val="left"/>
        <w:rPr>
          <w:rFonts w:ascii="宋体" w:hAnsi="宋体"/>
          <w:kern w:val="44"/>
        </w:rPr>
      </w:pPr>
      <w:r>
        <w:rPr>
          <w:rFonts w:hint="eastAsia" w:ascii="宋体" w:hAnsi="宋体"/>
          <w:kern w:val="44"/>
        </w:rPr>
        <w:t>（一）发生重大生产安全事故，经调查确定为责任事故的；</w:t>
      </w:r>
    </w:p>
    <w:p w14:paraId="1F0309F3">
      <w:pPr>
        <w:jc w:val="left"/>
        <w:rPr>
          <w:rFonts w:ascii="宋体" w:hAnsi="宋体"/>
          <w:kern w:val="44"/>
        </w:rPr>
      </w:pPr>
      <w:r>
        <w:rPr>
          <w:rFonts w:hint="eastAsia" w:ascii="宋体" w:hAnsi="宋体"/>
          <w:kern w:val="44"/>
        </w:rPr>
        <w:t>（二）对治安案件发生负有较大责任，被公安机关依法处理的；</w:t>
      </w:r>
    </w:p>
    <w:p w14:paraId="5E5C6351">
      <w:pPr>
        <w:jc w:val="left"/>
        <w:rPr>
          <w:rFonts w:ascii="宋体" w:hAnsi="宋体"/>
          <w:kern w:val="44"/>
        </w:rPr>
      </w:pPr>
      <w:r>
        <w:rPr>
          <w:rFonts w:hint="eastAsia" w:ascii="宋体" w:hAnsi="宋体"/>
          <w:kern w:val="44"/>
        </w:rPr>
        <w:t>（三）存在重大违法经营行为，被有关部门依法处理的；</w:t>
      </w:r>
    </w:p>
    <w:p w14:paraId="6410DE27">
      <w:pPr>
        <w:jc w:val="left"/>
        <w:rPr>
          <w:rFonts w:ascii="宋体" w:hAnsi="宋体"/>
          <w:kern w:val="44"/>
        </w:rPr>
      </w:pPr>
      <w:r>
        <w:rPr>
          <w:rFonts w:hint="eastAsia" w:ascii="宋体" w:hAnsi="宋体"/>
          <w:kern w:val="44"/>
        </w:rPr>
        <w:t>（四）经营场所、设备设施、租赁车辆不符合本办法规定，被依法处理后仍不改正的；</w:t>
      </w:r>
    </w:p>
    <w:p w14:paraId="358EF113">
      <w:pPr>
        <w:jc w:val="left"/>
        <w:rPr>
          <w:rFonts w:ascii="宋体" w:hAnsi="宋体"/>
          <w:kern w:val="44"/>
        </w:rPr>
      </w:pPr>
      <w:r>
        <w:rPr>
          <w:rFonts w:hint="eastAsia" w:ascii="宋体" w:hAnsi="宋体"/>
          <w:kern w:val="44"/>
        </w:rPr>
        <w:t>（五）经营服务行为不符合本办法规定，被依法处理后仍不改正的。</w:t>
      </w:r>
    </w:p>
    <w:p w14:paraId="29C18A65">
      <w:pPr>
        <w:jc w:val="left"/>
        <w:rPr>
          <w:rFonts w:ascii="宋体" w:hAnsi="宋体"/>
          <w:kern w:val="44"/>
        </w:rPr>
      </w:pPr>
      <w:r>
        <w:rPr>
          <w:rFonts w:hint="eastAsia" w:ascii="宋体" w:hAnsi="宋体"/>
          <w:kern w:val="44"/>
        </w:rPr>
        <w:t>上一年度质量信誉考核不合格的，相关部门暂缓办理本年度车辆更新指标手续。</w:t>
      </w:r>
    </w:p>
    <w:p w14:paraId="4F9D06D5">
      <w:pPr>
        <w:ind w:firstLine="422"/>
        <w:jc w:val="left"/>
        <w:rPr>
          <w:rFonts w:ascii="宋体" w:hAnsi="宋体"/>
          <w:kern w:val="44"/>
        </w:rPr>
      </w:pPr>
      <w:r>
        <w:rPr>
          <w:rFonts w:hint="eastAsia" w:ascii="宋体" w:hAnsi="宋体"/>
          <w:b/>
          <w:kern w:val="44"/>
        </w:rPr>
        <w:t>第二十二条</w:t>
      </w:r>
      <w:r>
        <w:rPr>
          <w:rFonts w:hint="eastAsia" w:ascii="宋体" w:hAnsi="宋体"/>
          <w:kern w:val="44"/>
        </w:rPr>
        <w:t>　市交通执法机构和远郊区县交通行政主管部门应当建立汽车租赁服务质量投诉制度，公开投诉电话、电子邮箱、通信地址等联系方式。</w:t>
      </w:r>
    </w:p>
    <w:p w14:paraId="5161864A">
      <w:pPr>
        <w:jc w:val="left"/>
        <w:rPr>
          <w:rFonts w:ascii="宋体" w:hAnsi="宋体"/>
          <w:kern w:val="44"/>
        </w:rPr>
      </w:pPr>
      <w:r>
        <w:rPr>
          <w:rFonts w:hint="eastAsia" w:ascii="宋体" w:hAnsi="宋体"/>
          <w:kern w:val="44"/>
        </w:rPr>
        <w:t>市交通执法机构和远郊区县交通行政主管部门接到投诉或者举报后，应当依法及时处理，并将处理结果向投诉人或者举报人反馈。</w:t>
      </w:r>
    </w:p>
    <w:p w14:paraId="2C19ECE1">
      <w:pPr>
        <w:ind w:firstLine="422"/>
        <w:jc w:val="left"/>
        <w:rPr>
          <w:rFonts w:ascii="宋体" w:hAnsi="宋体"/>
          <w:kern w:val="44"/>
        </w:rPr>
      </w:pPr>
      <w:r>
        <w:rPr>
          <w:rFonts w:hint="eastAsia" w:ascii="宋体" w:hAnsi="宋体"/>
          <w:b/>
          <w:kern w:val="44"/>
        </w:rPr>
        <w:t>第二十三条</w:t>
      </w:r>
      <w:r>
        <w:rPr>
          <w:rFonts w:hint="eastAsia" w:ascii="宋体" w:hAnsi="宋体"/>
          <w:kern w:val="44"/>
        </w:rPr>
        <w:t>　违反本办法第九条规定，未办理企业经营备案或者车辆备案从事汽车租赁经营的，由市交通执法机构或者远郊区县交通行政主管部门责令限期办理备案手续；逾期未办理的，处以1万元以上3万元以下罚款。</w:t>
      </w:r>
    </w:p>
    <w:p w14:paraId="7FEDC2E6">
      <w:pPr>
        <w:ind w:firstLine="422"/>
        <w:jc w:val="left"/>
        <w:rPr>
          <w:rFonts w:ascii="宋体" w:hAnsi="宋体"/>
          <w:kern w:val="44"/>
        </w:rPr>
      </w:pPr>
      <w:r>
        <w:rPr>
          <w:rFonts w:hint="eastAsia" w:ascii="宋体" w:hAnsi="宋体"/>
          <w:b/>
          <w:kern w:val="44"/>
        </w:rPr>
        <w:t>第二十四条</w:t>
      </w:r>
      <w:r>
        <w:rPr>
          <w:rFonts w:hint="eastAsia" w:ascii="宋体" w:hAnsi="宋体"/>
          <w:kern w:val="44"/>
        </w:rPr>
        <w:t>　违反本办法第十条规定，未按照规定办理备案变更的，由市交通执法机构或者远郊区县交通行政主管部门责令限期办理备案变更手续；逾期未办理的，处以5000元以上1万元以下罚款。</w:t>
      </w:r>
    </w:p>
    <w:p w14:paraId="205817CB">
      <w:pPr>
        <w:ind w:firstLine="422"/>
        <w:jc w:val="left"/>
        <w:rPr>
          <w:rFonts w:ascii="宋体" w:hAnsi="宋体"/>
          <w:kern w:val="44"/>
        </w:rPr>
      </w:pPr>
      <w:r>
        <w:rPr>
          <w:rFonts w:hint="eastAsia" w:ascii="宋体" w:hAnsi="宋体"/>
          <w:b/>
          <w:kern w:val="44"/>
        </w:rPr>
        <w:t>第二十五条</w:t>
      </w:r>
      <w:r>
        <w:rPr>
          <w:rFonts w:hint="eastAsia" w:ascii="宋体" w:hAnsi="宋体"/>
          <w:kern w:val="44"/>
        </w:rPr>
        <w:t>　违反本办法第十四条第一项、第二项、第三项、第四项、第五项规定之一的，由市交通执法机构或者远郊区县交通行政主管部门给予警告，责令限期改正，并可处以1000元罚款；违反第三项、第四项规定之一，造成严重后果的，处以1000元以上1万元以下罚款。</w:t>
      </w:r>
    </w:p>
    <w:p w14:paraId="59CCFAD4">
      <w:pPr>
        <w:jc w:val="left"/>
        <w:rPr>
          <w:rFonts w:ascii="宋体" w:hAnsi="宋体"/>
          <w:kern w:val="44"/>
        </w:rPr>
      </w:pPr>
      <w:r>
        <w:rPr>
          <w:rFonts w:hint="eastAsia" w:ascii="宋体" w:hAnsi="宋体"/>
          <w:kern w:val="44"/>
        </w:rPr>
        <w:t>违反本办法第十四条第六项的规定，汽车租赁经营者未建立经营服务管理制度的，由市交通执法机构或者远郊区县交通行政主管部门给予警告，责令限期改正，并可处以1000元罚款；造成严重后果的，处以1000元以上1万元以下罚款。</w:t>
      </w:r>
    </w:p>
    <w:p w14:paraId="4450D9B9">
      <w:pPr>
        <w:jc w:val="left"/>
        <w:rPr>
          <w:rFonts w:ascii="宋体" w:hAnsi="宋体"/>
          <w:kern w:val="44"/>
        </w:rPr>
      </w:pPr>
      <w:r>
        <w:rPr>
          <w:rFonts w:hint="eastAsia" w:ascii="宋体" w:hAnsi="宋体"/>
          <w:kern w:val="44"/>
        </w:rPr>
        <w:t>违反本办法第十四条第六项的规定，汽车租赁经营者未建立安全保卫管理制度的，由公安机关给予警告，责令限期改正，并可处以1000元罚款；造成严重后果的，处以1000元以上1万元以下罚款。</w:t>
      </w:r>
    </w:p>
    <w:p w14:paraId="7427EE58">
      <w:pPr>
        <w:ind w:firstLine="422"/>
        <w:jc w:val="left"/>
        <w:rPr>
          <w:rFonts w:ascii="宋体" w:hAnsi="宋体"/>
          <w:kern w:val="44"/>
        </w:rPr>
      </w:pPr>
      <w:r>
        <w:rPr>
          <w:rFonts w:hint="eastAsia" w:ascii="宋体" w:hAnsi="宋体"/>
          <w:b/>
          <w:kern w:val="44"/>
        </w:rPr>
        <w:t>第二十六条</w:t>
      </w:r>
      <w:r>
        <w:rPr>
          <w:rFonts w:hint="eastAsia" w:ascii="宋体" w:hAnsi="宋体"/>
          <w:kern w:val="44"/>
        </w:rPr>
        <w:t>　违反本办法第十五条第三项的规定，汽车租赁经营者未安装车辆定位装置的，由公安机关给予警告，并责令限期改正；逾期未改正的，处以1000元罚款；造成严重后果的，处以1000元以上1万元以下罚款。</w:t>
      </w:r>
    </w:p>
    <w:p w14:paraId="5E4618CF">
      <w:pPr>
        <w:ind w:firstLine="422"/>
        <w:jc w:val="left"/>
        <w:rPr>
          <w:rFonts w:ascii="宋体" w:hAnsi="宋体"/>
          <w:kern w:val="44"/>
        </w:rPr>
      </w:pPr>
      <w:r>
        <w:rPr>
          <w:rFonts w:hint="eastAsia" w:ascii="宋体" w:hAnsi="宋体"/>
          <w:b/>
          <w:kern w:val="44"/>
        </w:rPr>
        <w:t>第二十七条</w:t>
      </w:r>
      <w:r>
        <w:rPr>
          <w:rFonts w:hint="eastAsia" w:ascii="宋体" w:hAnsi="宋体"/>
          <w:kern w:val="44"/>
        </w:rPr>
        <w:t>　违反本办法第十七条规定，经营者未核对承租人身份信息并按照规定登记录入服务管理信息系统的，由公安机关给予警告，并责令改正；拒不改正的，处以1000元罚款。</w:t>
      </w:r>
    </w:p>
    <w:p w14:paraId="3328CF60">
      <w:pPr>
        <w:ind w:firstLine="422"/>
        <w:jc w:val="left"/>
        <w:rPr>
          <w:rFonts w:ascii="宋体" w:hAnsi="宋体"/>
          <w:kern w:val="44"/>
        </w:rPr>
      </w:pPr>
      <w:r>
        <w:rPr>
          <w:rFonts w:hint="eastAsia" w:ascii="宋体" w:hAnsi="宋体"/>
          <w:b/>
          <w:kern w:val="44"/>
        </w:rPr>
        <w:t>第二十八条</w:t>
      </w:r>
      <w:r>
        <w:rPr>
          <w:rFonts w:hint="eastAsia" w:ascii="宋体" w:hAnsi="宋体"/>
          <w:kern w:val="44"/>
        </w:rPr>
        <w:t>　违反本办法第二十条第一款的规定，汽车租赁经营者明知承租人利用租赁车辆从事非法营运等违法活动但仍签定或者继续履行租赁合同的，依法承担相应责任。</w:t>
      </w:r>
    </w:p>
    <w:p w14:paraId="1956BC48">
      <w:pPr>
        <w:ind w:firstLine="422"/>
        <w:jc w:val="left"/>
        <w:rPr>
          <w:rFonts w:ascii="宋体" w:hAnsi="宋体"/>
          <w:kern w:val="44"/>
        </w:rPr>
      </w:pPr>
      <w:r>
        <w:rPr>
          <w:rFonts w:hint="eastAsia" w:ascii="宋体" w:hAnsi="宋体"/>
          <w:b/>
          <w:kern w:val="44"/>
        </w:rPr>
        <w:t>第二十九条</w:t>
      </w:r>
      <w:r>
        <w:rPr>
          <w:rFonts w:hint="eastAsia" w:ascii="宋体" w:hAnsi="宋体"/>
          <w:kern w:val="44"/>
        </w:rPr>
        <w:t>　出租9座以上客车的，适用道路运输管理的相关规定。</w:t>
      </w:r>
    </w:p>
    <w:p w14:paraId="26BCECE7">
      <w:pPr>
        <w:ind w:firstLine="422"/>
        <w:jc w:val="left"/>
        <w:rPr>
          <w:rFonts w:ascii="宋体" w:hAnsi="宋体"/>
          <w:kern w:val="44"/>
        </w:rPr>
      </w:pPr>
      <w:r>
        <w:rPr>
          <w:rFonts w:hint="eastAsia" w:ascii="宋体" w:hAnsi="宋体"/>
          <w:b/>
          <w:kern w:val="44"/>
        </w:rPr>
        <w:t>第三十条</w:t>
      </w:r>
      <w:r>
        <w:rPr>
          <w:rFonts w:hint="eastAsia" w:ascii="宋体" w:hAnsi="宋体"/>
          <w:kern w:val="44"/>
        </w:rPr>
        <w:t>　本办法自2012年5月1日起施行。2002年8月21日北京市人民政府第105号令发布，根据2004年6月1日北京市人民政府第150号令修改的《北京市汽车租赁管理办法》同时废止。</w:t>
      </w:r>
    </w:p>
    <w:p w14:paraId="4A150AD8">
      <w:pPr>
        <w:pStyle w:val="4"/>
        <w:pageBreakBefore/>
        <w:rPr>
          <w:kern w:val="44"/>
        </w:rPr>
      </w:pPr>
      <w:bookmarkStart w:id="659" w:name="_Toc428781539"/>
      <w:bookmarkStart w:id="660" w:name="_Toc428780057"/>
      <w:bookmarkStart w:id="661" w:name="_Toc427651833"/>
      <w:bookmarkStart w:id="662" w:name="_Toc427651491"/>
      <w:bookmarkStart w:id="663" w:name="_Toc422471191"/>
      <w:r>
        <w:rPr>
          <w:rFonts w:hint="eastAsia"/>
          <w:kern w:val="44"/>
        </w:rPr>
        <w:t>北京市机动车停车管理办法</w:t>
      </w:r>
      <w:bookmarkEnd w:id="659"/>
      <w:bookmarkEnd w:id="660"/>
      <w:bookmarkEnd w:id="661"/>
      <w:bookmarkEnd w:id="662"/>
      <w:bookmarkEnd w:id="663"/>
    </w:p>
    <w:p w14:paraId="36919B51">
      <w:pPr>
        <w:ind w:left="630" w:leftChars="300" w:right="630" w:rightChars="300"/>
        <w:jc w:val="left"/>
        <w:rPr>
          <w:rFonts w:ascii="楷体" w:hAnsi="楷体" w:eastAsia="楷体"/>
          <w:kern w:val="44"/>
        </w:rPr>
      </w:pPr>
      <w:r>
        <w:rPr>
          <w:rFonts w:hint="eastAsia" w:ascii="楷体" w:hAnsi="楷体" w:eastAsia="楷体"/>
          <w:kern w:val="44"/>
        </w:rPr>
        <w:t>（2013年11月5日北京市人民政府第20次常务会议审议通过  2013年11月18日北京市人民政府令第252号公布）</w:t>
      </w:r>
    </w:p>
    <w:p w14:paraId="6414FE40">
      <w:pPr>
        <w:ind w:left="630" w:leftChars="300" w:right="630" w:rightChars="300"/>
        <w:jc w:val="left"/>
        <w:rPr>
          <w:rFonts w:ascii="楷体" w:hAnsi="楷体" w:eastAsia="楷体"/>
          <w:kern w:val="44"/>
        </w:rPr>
      </w:pPr>
    </w:p>
    <w:p w14:paraId="2244CAD8">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为了加强本市机动车停车管理，规范停车秩序，提升停车服务水平，促进城市交通环境改善，引导公众绿色出行，根据有关法律、法规，结合本市实际情况，制定本办法。</w:t>
      </w:r>
    </w:p>
    <w:p w14:paraId="69534F24">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本市行政区域内停车场的规划、设置、使用、管理和机动车停放管理适用本办法。</w:t>
      </w:r>
    </w:p>
    <w:p w14:paraId="2B0C4909">
      <w:pPr>
        <w:jc w:val="left"/>
        <w:rPr>
          <w:rFonts w:ascii="宋体" w:hAnsi="宋体"/>
          <w:kern w:val="44"/>
        </w:rPr>
      </w:pPr>
      <w:r>
        <w:rPr>
          <w:rFonts w:hint="eastAsia" w:ascii="宋体" w:hAnsi="宋体"/>
          <w:kern w:val="44"/>
        </w:rPr>
        <w:t>公共交通、道路客货运输车辆等专用停车场的规划、建设、管理和危险化学品运输车辆的停放管理，适用国家和本市其他有关规定。</w:t>
      </w:r>
    </w:p>
    <w:p w14:paraId="5A303BA3">
      <w:pPr>
        <w:ind w:firstLine="422"/>
        <w:jc w:val="left"/>
        <w:rPr>
          <w:rFonts w:ascii="宋体" w:hAnsi="宋体"/>
          <w:kern w:val="44"/>
        </w:rPr>
      </w:pPr>
      <w:r>
        <w:rPr>
          <w:rFonts w:hint="eastAsia" w:ascii="宋体" w:hAnsi="宋体"/>
          <w:b/>
          <w:kern w:val="44"/>
        </w:rPr>
        <w:t>第三条</w:t>
      </w:r>
      <w:r>
        <w:rPr>
          <w:rFonts w:hint="eastAsia" w:ascii="宋体" w:hAnsi="宋体"/>
          <w:kern w:val="44"/>
        </w:rPr>
        <w:t>　本办法所称停车场是指供机动车停放的场所，包括独立建设的停车场、配建停车场、临时停车场。</w:t>
      </w:r>
    </w:p>
    <w:p w14:paraId="245672FC">
      <w:pPr>
        <w:jc w:val="left"/>
        <w:rPr>
          <w:rFonts w:ascii="宋体" w:hAnsi="宋体"/>
          <w:kern w:val="44"/>
        </w:rPr>
      </w:pPr>
      <w:r>
        <w:rPr>
          <w:rFonts w:hint="eastAsia" w:ascii="宋体" w:hAnsi="宋体"/>
          <w:kern w:val="44"/>
        </w:rPr>
        <w:t>独立建设的停车场，是指根据规划独立建设并向社会开放的停放机动车的场所。</w:t>
      </w:r>
    </w:p>
    <w:p w14:paraId="009ABD2D">
      <w:pPr>
        <w:jc w:val="left"/>
        <w:rPr>
          <w:rFonts w:ascii="宋体" w:hAnsi="宋体"/>
          <w:kern w:val="44"/>
        </w:rPr>
      </w:pPr>
      <w:r>
        <w:rPr>
          <w:rFonts w:hint="eastAsia" w:ascii="宋体" w:hAnsi="宋体"/>
          <w:kern w:val="44"/>
        </w:rPr>
        <w:t>配建停车场，是指为公共建筑、居住区配套建设的停放机动车的场所。</w:t>
      </w:r>
    </w:p>
    <w:p w14:paraId="767C207D">
      <w:pPr>
        <w:jc w:val="left"/>
        <w:rPr>
          <w:rFonts w:ascii="宋体" w:hAnsi="宋体"/>
          <w:kern w:val="44"/>
        </w:rPr>
      </w:pPr>
      <w:r>
        <w:rPr>
          <w:rFonts w:hint="eastAsia" w:ascii="宋体" w:hAnsi="宋体"/>
          <w:kern w:val="44"/>
        </w:rPr>
        <w:t>临时停车场，是指临时设置的用于停放机动车的场所，包括道路停车泊位和利用街坊路、胡同以及待建土地、临时空闲场地设置的停车场。</w:t>
      </w:r>
    </w:p>
    <w:p w14:paraId="33F768FF">
      <w:pPr>
        <w:ind w:firstLine="422"/>
        <w:jc w:val="left"/>
        <w:rPr>
          <w:rFonts w:ascii="宋体" w:hAnsi="宋体"/>
          <w:kern w:val="44"/>
        </w:rPr>
      </w:pPr>
      <w:r>
        <w:rPr>
          <w:rFonts w:hint="eastAsia" w:ascii="宋体" w:hAnsi="宋体"/>
          <w:b/>
          <w:kern w:val="44"/>
        </w:rPr>
        <w:t>第四条</w:t>
      </w:r>
      <w:r>
        <w:rPr>
          <w:rFonts w:hint="eastAsia" w:ascii="宋体" w:hAnsi="宋体"/>
          <w:kern w:val="44"/>
        </w:rPr>
        <w:t>　机动车停车是静态交通体系，机动车停车场坚持统筹规划建设，实行差别化管理，逐步形成配建停车场为主、独立建设的停车场为辅、临时停车场为补充的格局。</w:t>
      </w:r>
    </w:p>
    <w:p w14:paraId="443C6BF6">
      <w:pPr>
        <w:jc w:val="left"/>
        <w:rPr>
          <w:rFonts w:ascii="宋体" w:hAnsi="宋体"/>
          <w:kern w:val="44"/>
        </w:rPr>
      </w:pPr>
      <w:r>
        <w:rPr>
          <w:rFonts w:hint="eastAsia" w:ascii="宋体" w:hAnsi="宋体"/>
          <w:kern w:val="44"/>
        </w:rPr>
        <w:t>本市鼓励社会多元化参与停车场建设，鼓励社会单位对外开放停车场。</w:t>
      </w:r>
    </w:p>
    <w:p w14:paraId="3E306F12">
      <w:pPr>
        <w:ind w:firstLine="422"/>
        <w:jc w:val="left"/>
        <w:rPr>
          <w:rFonts w:ascii="宋体" w:hAnsi="宋体"/>
          <w:kern w:val="44"/>
        </w:rPr>
      </w:pPr>
      <w:r>
        <w:rPr>
          <w:rFonts w:hint="eastAsia" w:ascii="宋体" w:hAnsi="宋体"/>
          <w:b/>
          <w:kern w:val="44"/>
        </w:rPr>
        <w:t>第五条</w:t>
      </w:r>
      <w:r>
        <w:rPr>
          <w:rFonts w:hint="eastAsia" w:ascii="宋体" w:hAnsi="宋体"/>
          <w:kern w:val="44"/>
        </w:rPr>
        <w:t>　市交通行政主管部门主管本市的停车管理工作，负责组织制订本市机动车停车管理的相关政策，并会同相关部门对机动车停车管理工作进行综合协调、检查指导、督促考核。</w:t>
      </w:r>
    </w:p>
    <w:p w14:paraId="1680DC2A">
      <w:pPr>
        <w:jc w:val="left"/>
        <w:rPr>
          <w:rFonts w:ascii="宋体" w:hAnsi="宋体"/>
          <w:kern w:val="44"/>
        </w:rPr>
      </w:pPr>
      <w:r>
        <w:rPr>
          <w:rFonts w:hint="eastAsia" w:ascii="宋体" w:hAnsi="宋体"/>
          <w:kern w:val="44"/>
        </w:rPr>
        <w:t>发展改革行政主管部门负责本市独立建设的停车场的项目审批、核准和备案工作，统筹安排政府投资项目建设资金，制定机动车停车收费标准，并对机动车停车收费标准执行情况进行监督检查。</w:t>
      </w:r>
    </w:p>
    <w:p w14:paraId="79F23568">
      <w:pPr>
        <w:jc w:val="left"/>
        <w:rPr>
          <w:rFonts w:ascii="宋体" w:hAnsi="宋体"/>
          <w:kern w:val="44"/>
        </w:rPr>
      </w:pPr>
      <w:r>
        <w:rPr>
          <w:rFonts w:hint="eastAsia" w:ascii="宋体" w:hAnsi="宋体"/>
          <w:kern w:val="44"/>
        </w:rPr>
        <w:t>公安机关交通管理部门负责本市道路停车秩序管理和道路停车泊位的设置。</w:t>
      </w:r>
    </w:p>
    <w:p w14:paraId="5ED454CA">
      <w:pPr>
        <w:jc w:val="left"/>
        <w:rPr>
          <w:rFonts w:ascii="宋体" w:hAnsi="宋体"/>
          <w:kern w:val="44"/>
        </w:rPr>
      </w:pPr>
      <w:r>
        <w:rPr>
          <w:rFonts w:hint="eastAsia" w:ascii="宋体" w:hAnsi="宋体"/>
          <w:kern w:val="44"/>
        </w:rPr>
        <w:t>规划、住房城乡建设、财政、国土资源、质量技术监督、工商行政管理、税务、民防、城市管理综合执法等行政主管部门按照各自职责，依法负责机动车停车管理相关工作。</w:t>
      </w:r>
    </w:p>
    <w:p w14:paraId="3C90EF79">
      <w:pPr>
        <w:ind w:firstLine="422"/>
        <w:jc w:val="left"/>
        <w:rPr>
          <w:rFonts w:ascii="宋体" w:hAnsi="宋体"/>
          <w:kern w:val="44"/>
        </w:rPr>
      </w:pPr>
      <w:r>
        <w:rPr>
          <w:rFonts w:hint="eastAsia" w:ascii="宋体" w:hAnsi="宋体"/>
          <w:b/>
          <w:kern w:val="44"/>
        </w:rPr>
        <w:t>第六条</w:t>
      </w:r>
      <w:r>
        <w:rPr>
          <w:rFonts w:hint="eastAsia" w:ascii="宋体" w:hAnsi="宋体"/>
          <w:kern w:val="44"/>
        </w:rPr>
        <w:t>　区、县人民政府负责本行政区域内停车场的规划、设置、管理及机动车停放管理的统筹协调。区、县停车管理部门负责本行政区域内机动车停车管理的具体工作。</w:t>
      </w:r>
    </w:p>
    <w:p w14:paraId="19E8C93A">
      <w:pPr>
        <w:jc w:val="left"/>
        <w:rPr>
          <w:rFonts w:ascii="宋体" w:hAnsi="宋体"/>
          <w:kern w:val="44"/>
        </w:rPr>
      </w:pPr>
      <w:r>
        <w:rPr>
          <w:rFonts w:hint="eastAsia" w:ascii="宋体" w:hAnsi="宋体"/>
          <w:kern w:val="44"/>
        </w:rPr>
        <w:t>街道办事处、乡镇人民政府在区、县人民政府的领导下做好本辖区内的停车管理工作，指导居民委员会、村民委员会在辖区内通过建立停车管理委员会等形式，依法进行机动车停车的自我管理。</w:t>
      </w:r>
    </w:p>
    <w:p w14:paraId="5B1476B7">
      <w:pPr>
        <w:ind w:firstLine="422"/>
        <w:jc w:val="left"/>
        <w:rPr>
          <w:rFonts w:ascii="宋体" w:hAnsi="宋体"/>
          <w:kern w:val="44"/>
        </w:rPr>
      </w:pPr>
      <w:r>
        <w:rPr>
          <w:rFonts w:hint="eastAsia" w:ascii="宋体" w:hAnsi="宋体"/>
          <w:b/>
          <w:kern w:val="44"/>
        </w:rPr>
        <w:t>第七条</w:t>
      </w:r>
      <w:r>
        <w:rPr>
          <w:rFonts w:hint="eastAsia" w:ascii="宋体" w:hAnsi="宋体"/>
          <w:kern w:val="44"/>
        </w:rPr>
        <w:t>　市交通行政主管部门应当会同市规划等行政主管部门，依据城市总体规划和城市综合交通体系规划，结合城市建设发展和道路交通安全管理的需要，组织编制停车场专项规划，与控制性详细规划相衔接，经依法批准后实施。</w:t>
      </w:r>
    </w:p>
    <w:p w14:paraId="0A2E5BA2">
      <w:pPr>
        <w:jc w:val="left"/>
        <w:rPr>
          <w:rFonts w:ascii="宋体" w:hAnsi="宋体"/>
          <w:kern w:val="44"/>
        </w:rPr>
      </w:pPr>
      <w:r>
        <w:rPr>
          <w:rFonts w:hint="eastAsia" w:ascii="宋体" w:hAnsi="宋体"/>
          <w:kern w:val="44"/>
        </w:rPr>
        <w:t>停车场专项规划应当确定城市停车总体发展策略、停车场供给体系及引导政策，统筹地上地下空间资源与布局，明确建设时序，并将停车场与城市交通枢纽、城市轨道交通换乘站紧密衔接。</w:t>
      </w:r>
    </w:p>
    <w:p w14:paraId="497BA5E6">
      <w:pPr>
        <w:jc w:val="left"/>
        <w:rPr>
          <w:rFonts w:ascii="宋体" w:hAnsi="宋体"/>
          <w:kern w:val="44"/>
        </w:rPr>
      </w:pPr>
      <w:r>
        <w:rPr>
          <w:rFonts w:hint="eastAsia" w:ascii="宋体" w:hAnsi="宋体"/>
          <w:kern w:val="44"/>
        </w:rPr>
        <w:t>区、县人民政府根据本市机动车停车场专项规划，制定本行政区域的实施方案，并组织实施。</w:t>
      </w:r>
    </w:p>
    <w:p w14:paraId="23DC0D8D">
      <w:pPr>
        <w:ind w:firstLine="422"/>
        <w:jc w:val="left"/>
        <w:rPr>
          <w:rFonts w:ascii="宋体" w:hAnsi="宋体"/>
          <w:kern w:val="44"/>
        </w:rPr>
      </w:pPr>
      <w:r>
        <w:rPr>
          <w:rFonts w:hint="eastAsia" w:ascii="宋体" w:hAnsi="宋体"/>
          <w:b/>
          <w:kern w:val="44"/>
        </w:rPr>
        <w:t>第八条</w:t>
      </w:r>
      <w:r>
        <w:rPr>
          <w:rFonts w:hint="eastAsia" w:ascii="宋体" w:hAnsi="宋体"/>
          <w:kern w:val="44"/>
        </w:rPr>
        <w:t>　驻车换乘停车场和为改善交通管理秩序建设的公益性停车场，是城市交通基础设施，建设用地实行划拨，按照政府主导、社会参与、企业运作的方式进行建设与管理。</w:t>
      </w:r>
    </w:p>
    <w:p w14:paraId="5B1AAFBA">
      <w:pPr>
        <w:jc w:val="left"/>
        <w:rPr>
          <w:rFonts w:ascii="宋体" w:hAnsi="宋体"/>
          <w:kern w:val="44"/>
        </w:rPr>
      </w:pPr>
      <w:r>
        <w:rPr>
          <w:rFonts w:hint="eastAsia" w:ascii="宋体" w:hAnsi="宋体"/>
          <w:kern w:val="44"/>
        </w:rPr>
        <w:t>在以划拨方式供地的医院、政府机关、博物馆、展览馆、大中小学、幼儿园及公共服务性设施用地内独立建设的停车场，建设用地实行划拨。</w:t>
      </w:r>
    </w:p>
    <w:p w14:paraId="0C13FC7B">
      <w:pPr>
        <w:ind w:firstLine="422"/>
        <w:jc w:val="left"/>
        <w:rPr>
          <w:rFonts w:ascii="宋体" w:hAnsi="宋体"/>
          <w:kern w:val="44"/>
        </w:rPr>
      </w:pPr>
      <w:r>
        <w:rPr>
          <w:rFonts w:hint="eastAsia" w:ascii="宋体" w:hAnsi="宋体"/>
          <w:b/>
          <w:kern w:val="44"/>
        </w:rPr>
        <w:t>第九条</w:t>
      </w:r>
      <w:r>
        <w:rPr>
          <w:rFonts w:hint="eastAsia" w:ascii="宋体" w:hAnsi="宋体"/>
          <w:kern w:val="44"/>
        </w:rPr>
        <w:t>　本市鼓励单位和个人利用地下空间资源开发建设公共停车场。</w:t>
      </w:r>
    </w:p>
    <w:p w14:paraId="7E39C6B6">
      <w:pPr>
        <w:jc w:val="left"/>
        <w:rPr>
          <w:rFonts w:ascii="宋体" w:hAnsi="宋体"/>
          <w:kern w:val="44"/>
        </w:rPr>
      </w:pPr>
      <w:r>
        <w:rPr>
          <w:rFonts w:hint="eastAsia" w:ascii="宋体" w:hAnsi="宋体"/>
          <w:kern w:val="44"/>
        </w:rPr>
        <w:t>开发利用卫生、教育、文化、体育设施及道路、广场、绿地地下空间资源单独选址建设停车场的，建设单位应当进行安全论证，征求地面设施所有权人意见，提出建设方案，由市交通行政主管部门或者区、县停车管理部门会同发展改革、规划、国土资源、住房城乡建设、市政市容、民防、园林绿化等行政主管部门按照鼓励建设的原则，依法办理相应手续。</w:t>
      </w:r>
    </w:p>
    <w:p w14:paraId="027AE485">
      <w:pPr>
        <w:jc w:val="left"/>
        <w:rPr>
          <w:rFonts w:ascii="宋体" w:hAnsi="宋体"/>
          <w:kern w:val="44"/>
        </w:rPr>
      </w:pPr>
      <w:r>
        <w:rPr>
          <w:rFonts w:hint="eastAsia" w:ascii="宋体" w:hAnsi="宋体"/>
          <w:kern w:val="44"/>
        </w:rPr>
        <w:t>依照前款规定建设停车场，应当符合国家和本市有关建设标准和规范，不得影响道路、广场、绿地以及原有设施的使用功能和安全。</w:t>
      </w:r>
    </w:p>
    <w:p w14:paraId="6F27D38B">
      <w:pPr>
        <w:ind w:firstLine="422"/>
        <w:jc w:val="left"/>
        <w:rPr>
          <w:rFonts w:ascii="宋体" w:hAnsi="宋体"/>
          <w:kern w:val="44"/>
        </w:rPr>
      </w:pPr>
      <w:r>
        <w:rPr>
          <w:rFonts w:hint="eastAsia" w:ascii="宋体" w:hAnsi="宋体"/>
          <w:b/>
          <w:kern w:val="44"/>
        </w:rPr>
        <w:t>第十条</w:t>
      </w:r>
      <w:r>
        <w:rPr>
          <w:rFonts w:hint="eastAsia" w:ascii="宋体" w:hAnsi="宋体"/>
          <w:kern w:val="44"/>
        </w:rPr>
        <w:t>　新建、改建、扩建公共建筑、居住区等，应当按照国家和本市有关规定和规划指标，配建机动车停车场。配套建设的停车场应当与主体工程同步设计、同步施工、同时验收、同时交付使用。</w:t>
      </w:r>
    </w:p>
    <w:p w14:paraId="356C9DE9">
      <w:pPr>
        <w:jc w:val="left"/>
        <w:rPr>
          <w:rFonts w:ascii="宋体" w:hAnsi="宋体"/>
          <w:kern w:val="44"/>
        </w:rPr>
      </w:pPr>
      <w:r>
        <w:rPr>
          <w:rFonts w:hint="eastAsia" w:ascii="宋体" w:hAnsi="宋体"/>
          <w:kern w:val="44"/>
        </w:rPr>
        <w:t>本市核心区的新建、改建、扩建项目，规划行政主管部门应当统筹考虑其所在区域内的居住停车需求，鼓励建设单位在配建指标基础上利用地下空间增建停车场。建设单位应当将增建的停车场对周边居民开放。</w:t>
      </w:r>
    </w:p>
    <w:p w14:paraId="22C20D93">
      <w:pPr>
        <w:ind w:firstLine="422"/>
        <w:jc w:val="left"/>
        <w:rPr>
          <w:rFonts w:ascii="宋体" w:hAnsi="宋体"/>
          <w:kern w:val="44"/>
        </w:rPr>
      </w:pPr>
      <w:r>
        <w:rPr>
          <w:rFonts w:hint="eastAsia" w:ascii="宋体" w:hAnsi="宋体"/>
          <w:b/>
          <w:kern w:val="44"/>
        </w:rPr>
        <w:t>第十一条</w:t>
      </w:r>
      <w:r>
        <w:rPr>
          <w:rFonts w:hint="eastAsia" w:ascii="宋体" w:hAnsi="宋体"/>
          <w:kern w:val="44"/>
        </w:rPr>
        <w:t>　既有居住区配建的停车场不能满足业主停车需求的，按照物业管理的规定经业主同意，可以统筹利用业主共有场地设置临时停车场；居住区不具备场地条件的，区、县人民政府可以组织相关部门按照规定在居住区周边街坊路或者胡同设置临时停车场。</w:t>
      </w:r>
    </w:p>
    <w:p w14:paraId="4D69080A">
      <w:pPr>
        <w:ind w:firstLine="422"/>
        <w:jc w:val="left"/>
        <w:rPr>
          <w:rFonts w:ascii="宋体" w:hAnsi="宋体"/>
          <w:kern w:val="44"/>
        </w:rPr>
      </w:pPr>
      <w:r>
        <w:rPr>
          <w:rFonts w:hint="eastAsia" w:ascii="宋体" w:hAnsi="宋体"/>
          <w:b/>
          <w:kern w:val="44"/>
        </w:rPr>
        <w:t>第十二条</w:t>
      </w:r>
      <w:r>
        <w:rPr>
          <w:rFonts w:hint="eastAsia" w:ascii="宋体" w:hAnsi="宋体"/>
          <w:kern w:val="44"/>
        </w:rPr>
        <w:t>　不能满足居民停车需求的区域，区、县人民政府可以组织相关单位利用待建土地、空闲厂区、边角空地等场所，设置临时停车场。</w:t>
      </w:r>
    </w:p>
    <w:p w14:paraId="71BCD95E">
      <w:pPr>
        <w:jc w:val="left"/>
        <w:rPr>
          <w:rFonts w:ascii="宋体" w:hAnsi="宋体"/>
          <w:kern w:val="44"/>
        </w:rPr>
      </w:pPr>
      <w:r>
        <w:rPr>
          <w:rFonts w:hint="eastAsia" w:ascii="宋体" w:hAnsi="宋体"/>
          <w:kern w:val="44"/>
        </w:rPr>
        <w:t>设置临时停车场，不得占用消防车通道及地下管线检查井等市政基础设施，不得妨碍消防设施和市政基础设施的正常使用，不得影响已批开发项目建设的进度。</w:t>
      </w:r>
    </w:p>
    <w:p w14:paraId="1A382EC4">
      <w:pPr>
        <w:ind w:firstLine="422"/>
        <w:jc w:val="left"/>
        <w:rPr>
          <w:rFonts w:ascii="宋体" w:hAnsi="宋体"/>
          <w:kern w:val="44"/>
        </w:rPr>
      </w:pPr>
      <w:r>
        <w:rPr>
          <w:rFonts w:hint="eastAsia" w:ascii="宋体" w:hAnsi="宋体"/>
          <w:b/>
          <w:kern w:val="44"/>
        </w:rPr>
        <w:t>第十三条</w:t>
      </w:r>
      <w:r>
        <w:rPr>
          <w:rFonts w:hint="eastAsia" w:ascii="宋体" w:hAnsi="宋体"/>
          <w:kern w:val="44"/>
        </w:rPr>
        <w:t>　设置停车场，应当符合国家和本市停车场设置标准和设计规范，并按照标准设置无障碍停车泊位。设置立体停车设备，应当符合特种设备的有关规定。停车场设置后10日内，设置单位应当将停车位情况报送区、县停车管理部门。</w:t>
      </w:r>
    </w:p>
    <w:p w14:paraId="107B8823">
      <w:pPr>
        <w:jc w:val="left"/>
        <w:rPr>
          <w:rFonts w:ascii="宋体" w:hAnsi="宋体"/>
          <w:kern w:val="44"/>
        </w:rPr>
      </w:pPr>
      <w:r>
        <w:rPr>
          <w:rFonts w:hint="eastAsia" w:ascii="宋体" w:hAnsi="宋体"/>
          <w:kern w:val="44"/>
        </w:rPr>
        <w:t>停车场向社会开放并收费的，应当配建停车诱导系统以及停车诱导标识。</w:t>
      </w:r>
    </w:p>
    <w:p w14:paraId="6DD8D92C">
      <w:pPr>
        <w:ind w:firstLine="422"/>
        <w:jc w:val="left"/>
        <w:rPr>
          <w:rFonts w:ascii="宋体" w:hAnsi="宋体"/>
          <w:kern w:val="44"/>
        </w:rPr>
      </w:pPr>
      <w:r>
        <w:rPr>
          <w:rFonts w:hint="eastAsia" w:ascii="宋体" w:hAnsi="宋体"/>
          <w:b/>
          <w:kern w:val="44"/>
        </w:rPr>
        <w:t>第十四条</w:t>
      </w:r>
      <w:r>
        <w:rPr>
          <w:rFonts w:hint="eastAsia" w:ascii="宋体" w:hAnsi="宋体"/>
          <w:kern w:val="44"/>
        </w:rPr>
        <w:t>　任何单位和个人不得擅自停止使用停车场，不得将停车场改作他用，因实现原规划用途将临时停车场停止使用的除外。</w:t>
      </w:r>
    </w:p>
    <w:p w14:paraId="405AEF37">
      <w:pPr>
        <w:jc w:val="left"/>
        <w:rPr>
          <w:rFonts w:ascii="宋体" w:hAnsi="宋体"/>
          <w:kern w:val="44"/>
        </w:rPr>
      </w:pPr>
      <w:r>
        <w:rPr>
          <w:rFonts w:hint="eastAsia" w:ascii="宋体" w:hAnsi="宋体"/>
          <w:kern w:val="44"/>
        </w:rPr>
        <w:t>临时停车场停止使用的，停车场管理单位应当在停止使用前一个月向社会公示，并到有关部门办理相关手续。</w:t>
      </w:r>
    </w:p>
    <w:p w14:paraId="06C4641F">
      <w:pPr>
        <w:ind w:firstLine="422"/>
        <w:jc w:val="left"/>
        <w:rPr>
          <w:rFonts w:ascii="宋体" w:hAnsi="宋体"/>
          <w:kern w:val="44"/>
        </w:rPr>
      </w:pPr>
      <w:r>
        <w:rPr>
          <w:rFonts w:hint="eastAsia" w:ascii="宋体" w:hAnsi="宋体"/>
          <w:b/>
          <w:kern w:val="44"/>
        </w:rPr>
        <w:t>第十五条</w:t>
      </w:r>
      <w:r>
        <w:rPr>
          <w:rFonts w:hint="eastAsia" w:ascii="宋体" w:hAnsi="宋体"/>
          <w:kern w:val="44"/>
        </w:rPr>
        <w:t>　本市建立统一的停车场信息管理和发布系统，对停车泊位进行编号，对停车场信息实行动态管理，并实时公布向社会开放的停车场分布位置、使用状况、泊位数量等情况。</w:t>
      </w:r>
    </w:p>
    <w:p w14:paraId="2A36AD28">
      <w:pPr>
        <w:jc w:val="left"/>
        <w:rPr>
          <w:rFonts w:ascii="宋体" w:hAnsi="宋体"/>
          <w:kern w:val="44"/>
        </w:rPr>
      </w:pPr>
      <w:r>
        <w:rPr>
          <w:rFonts w:hint="eastAsia" w:ascii="宋体" w:hAnsi="宋体"/>
          <w:kern w:val="44"/>
        </w:rPr>
        <w:t>区、县人民政府应当根据本市停车场动态信息管理和发布系统，建设区域停车诱导设施，并负责运行、维护和管理。</w:t>
      </w:r>
    </w:p>
    <w:p w14:paraId="196906FE">
      <w:pPr>
        <w:jc w:val="left"/>
        <w:rPr>
          <w:rFonts w:ascii="宋体" w:hAnsi="宋体"/>
          <w:kern w:val="44"/>
        </w:rPr>
      </w:pPr>
      <w:r>
        <w:rPr>
          <w:rFonts w:hint="eastAsia" w:ascii="宋体" w:hAnsi="宋体"/>
          <w:kern w:val="44"/>
        </w:rPr>
        <w:t>停车场向社会开放并收费的，应当将配建的停车诱导系统接入所在区域停车诱导设施，但单位将配建停车场向社会开放的除外。</w:t>
      </w:r>
    </w:p>
    <w:p w14:paraId="46A6F697">
      <w:pPr>
        <w:ind w:firstLine="422"/>
        <w:jc w:val="left"/>
        <w:rPr>
          <w:rFonts w:ascii="宋体" w:hAnsi="宋体"/>
          <w:kern w:val="44"/>
        </w:rPr>
      </w:pPr>
      <w:r>
        <w:rPr>
          <w:rFonts w:hint="eastAsia" w:ascii="宋体" w:hAnsi="宋体"/>
          <w:b/>
          <w:kern w:val="44"/>
        </w:rPr>
        <w:t>第十六条</w:t>
      </w:r>
      <w:r>
        <w:rPr>
          <w:rFonts w:hint="eastAsia" w:ascii="宋体" w:hAnsi="宋体"/>
          <w:kern w:val="44"/>
        </w:rPr>
        <w:t>　本市停车收费遵循城市中心区域高于外围区域、道路停车高于路外停车的原则。具体区域划分及标准由市发展改革行政主管部门会同市交通行政主管部门确定，报市人民政府批准后实施。</w:t>
      </w:r>
    </w:p>
    <w:p w14:paraId="2A93D0C2">
      <w:pPr>
        <w:jc w:val="left"/>
        <w:rPr>
          <w:rFonts w:ascii="宋体" w:hAnsi="宋体"/>
          <w:kern w:val="44"/>
        </w:rPr>
      </w:pPr>
      <w:r>
        <w:rPr>
          <w:rFonts w:hint="eastAsia" w:ascii="宋体" w:hAnsi="宋体"/>
          <w:kern w:val="44"/>
        </w:rPr>
        <w:t>在居住区周边街坊路或者胡同设置临时停车场，小区居民凭有效证明停车时，其临时停放或者按月、按年租用停车位收费标准按照居住区露天停车场收费标准执行。</w:t>
      </w:r>
    </w:p>
    <w:p w14:paraId="6D1E8BF4">
      <w:pPr>
        <w:jc w:val="left"/>
        <w:rPr>
          <w:rFonts w:ascii="宋体" w:hAnsi="宋体"/>
          <w:kern w:val="44"/>
        </w:rPr>
      </w:pPr>
      <w:r>
        <w:rPr>
          <w:rFonts w:hint="eastAsia" w:ascii="宋体" w:hAnsi="宋体"/>
          <w:kern w:val="44"/>
        </w:rPr>
        <w:t>市发展改革行政主管部门应当会同交通、住房城乡建设行政主管部门制定办法，规范居住区地下停车场收费，提高居住区地下停车场利用率。</w:t>
      </w:r>
    </w:p>
    <w:p w14:paraId="6A468B97">
      <w:pPr>
        <w:ind w:firstLine="422"/>
        <w:jc w:val="left"/>
        <w:rPr>
          <w:rFonts w:ascii="宋体" w:hAnsi="宋体"/>
          <w:kern w:val="44"/>
        </w:rPr>
      </w:pPr>
      <w:r>
        <w:rPr>
          <w:rFonts w:hint="eastAsia" w:ascii="宋体" w:hAnsi="宋体"/>
          <w:b/>
          <w:kern w:val="44"/>
        </w:rPr>
        <w:t>第十七条</w:t>
      </w:r>
      <w:r>
        <w:rPr>
          <w:rFonts w:hint="eastAsia" w:ascii="宋体" w:hAnsi="宋体"/>
          <w:kern w:val="44"/>
        </w:rPr>
        <w:t>　居住区的配建停车场应当优先满足业主的停车需要。实行停车收费的，应当执行价格管理的规定，并公示本办法第二十一条第一款第一项、第二项、第五项和第八项等服务内容。</w:t>
      </w:r>
    </w:p>
    <w:p w14:paraId="12678BE4">
      <w:pPr>
        <w:ind w:firstLine="422"/>
        <w:jc w:val="left"/>
        <w:rPr>
          <w:rFonts w:ascii="宋体" w:hAnsi="宋体"/>
          <w:kern w:val="44"/>
        </w:rPr>
      </w:pPr>
      <w:r>
        <w:rPr>
          <w:rFonts w:hint="eastAsia" w:ascii="宋体" w:hAnsi="宋体"/>
          <w:b/>
          <w:kern w:val="44"/>
        </w:rPr>
        <w:t>第十八条</w:t>
      </w:r>
      <w:r>
        <w:rPr>
          <w:rFonts w:hint="eastAsia" w:ascii="宋体" w:hAnsi="宋体"/>
          <w:kern w:val="44"/>
        </w:rPr>
        <w:t>　本市鼓励单位和居住区在满足本单位、本居住区居民停车需求的情况下将配建停车场向社会开放；鼓励有条件的单位将配建停车场在非工作时间向社会开放；鼓励单位和个人实行错时停车。</w:t>
      </w:r>
    </w:p>
    <w:p w14:paraId="472AAE14">
      <w:pPr>
        <w:jc w:val="left"/>
        <w:rPr>
          <w:rFonts w:ascii="宋体" w:hAnsi="宋体"/>
          <w:kern w:val="44"/>
        </w:rPr>
      </w:pPr>
      <w:r>
        <w:rPr>
          <w:rFonts w:hint="eastAsia" w:ascii="宋体" w:hAnsi="宋体"/>
          <w:kern w:val="44"/>
        </w:rPr>
        <w:t>依照前款规定将配建停车场向社会开放的，可以按照核定的价格对社会车辆收取停车费，但不适用本办法第十三条第二款的规定。</w:t>
      </w:r>
    </w:p>
    <w:p w14:paraId="0B307BE2">
      <w:pPr>
        <w:ind w:firstLine="422"/>
        <w:jc w:val="left"/>
        <w:rPr>
          <w:rFonts w:ascii="宋体" w:hAnsi="宋体"/>
          <w:kern w:val="44"/>
        </w:rPr>
      </w:pPr>
      <w:r>
        <w:rPr>
          <w:rFonts w:hint="eastAsia" w:ascii="宋体" w:hAnsi="宋体"/>
          <w:b/>
          <w:kern w:val="44"/>
        </w:rPr>
        <w:t>第十九条</w:t>
      </w:r>
      <w:r>
        <w:rPr>
          <w:rFonts w:hint="eastAsia" w:ascii="宋体" w:hAnsi="宋体"/>
          <w:kern w:val="44"/>
        </w:rPr>
        <w:t>　单位或者个人错时合作停车的，停车场管理单位应当予以支持和配合，并为停车人提供便利。</w:t>
      </w:r>
    </w:p>
    <w:p w14:paraId="20350843">
      <w:pPr>
        <w:jc w:val="left"/>
        <w:rPr>
          <w:rFonts w:ascii="宋体" w:hAnsi="宋体"/>
          <w:kern w:val="44"/>
        </w:rPr>
      </w:pPr>
      <w:r>
        <w:rPr>
          <w:rFonts w:hint="eastAsia" w:ascii="宋体" w:hAnsi="宋体"/>
          <w:kern w:val="44"/>
        </w:rPr>
        <w:t>在单位配建停车场错时停车的停车人，应当按照约定的时段停车；超过约定时段拒不驶离、影响停车场正常运行的，停车场有权终止错时停车约定。</w:t>
      </w:r>
    </w:p>
    <w:p w14:paraId="020A4E09">
      <w:pPr>
        <w:ind w:firstLine="422"/>
        <w:jc w:val="left"/>
        <w:rPr>
          <w:rFonts w:ascii="宋体" w:hAnsi="宋体"/>
          <w:kern w:val="44"/>
        </w:rPr>
      </w:pPr>
      <w:r>
        <w:rPr>
          <w:rFonts w:hint="eastAsia" w:ascii="宋体" w:hAnsi="宋体"/>
          <w:b/>
          <w:kern w:val="44"/>
        </w:rPr>
        <w:t>第二十条</w:t>
      </w:r>
      <w:r>
        <w:rPr>
          <w:rFonts w:hint="eastAsia" w:ascii="宋体" w:hAnsi="宋体"/>
          <w:kern w:val="44"/>
        </w:rPr>
        <w:t>　停车场向社会开放并收费的，停车场管理单位应当依法办理工商登记、税务登记、价格核定、明码标价牌编号等手续，在工商登记后15日内到区、县停车管理部门办理备案。</w:t>
      </w:r>
    </w:p>
    <w:p w14:paraId="548A5348">
      <w:pPr>
        <w:jc w:val="left"/>
        <w:rPr>
          <w:rFonts w:ascii="宋体" w:hAnsi="宋体"/>
          <w:kern w:val="44"/>
        </w:rPr>
      </w:pPr>
      <w:r>
        <w:rPr>
          <w:rFonts w:hint="eastAsia" w:ascii="宋体" w:hAnsi="宋体"/>
          <w:kern w:val="44"/>
        </w:rPr>
        <w:t>办理备案时，应当提交下列材料：</w:t>
      </w:r>
    </w:p>
    <w:p w14:paraId="1E2D5F3A">
      <w:pPr>
        <w:jc w:val="left"/>
        <w:rPr>
          <w:rFonts w:ascii="宋体" w:hAnsi="宋体"/>
          <w:kern w:val="44"/>
        </w:rPr>
      </w:pPr>
      <w:r>
        <w:rPr>
          <w:rFonts w:hint="eastAsia" w:ascii="宋体" w:hAnsi="宋体"/>
          <w:kern w:val="44"/>
        </w:rPr>
        <w:t>（一）法人登记证明及复印件；</w:t>
      </w:r>
    </w:p>
    <w:p w14:paraId="162EEC43">
      <w:pPr>
        <w:jc w:val="left"/>
        <w:rPr>
          <w:rFonts w:ascii="宋体" w:hAnsi="宋体"/>
          <w:kern w:val="44"/>
        </w:rPr>
      </w:pPr>
      <w:r>
        <w:rPr>
          <w:rFonts w:hint="eastAsia" w:ascii="宋体" w:hAnsi="宋体"/>
          <w:kern w:val="44"/>
        </w:rPr>
        <w:t>（二）委托经营的提供委托经营协议；</w:t>
      </w:r>
    </w:p>
    <w:p w14:paraId="202BF13F">
      <w:pPr>
        <w:jc w:val="left"/>
        <w:rPr>
          <w:rFonts w:ascii="宋体" w:hAnsi="宋体"/>
          <w:kern w:val="44"/>
        </w:rPr>
      </w:pPr>
      <w:r>
        <w:rPr>
          <w:rFonts w:hint="eastAsia" w:ascii="宋体" w:hAnsi="宋体"/>
          <w:kern w:val="44"/>
        </w:rPr>
        <w:t>（三）竣工验收文件；</w:t>
      </w:r>
    </w:p>
    <w:p w14:paraId="2E566A9A">
      <w:pPr>
        <w:jc w:val="left"/>
        <w:rPr>
          <w:rFonts w:ascii="宋体" w:hAnsi="宋体"/>
          <w:kern w:val="44"/>
        </w:rPr>
      </w:pPr>
      <w:r>
        <w:rPr>
          <w:rFonts w:hint="eastAsia" w:ascii="宋体" w:hAnsi="宋体"/>
          <w:kern w:val="44"/>
        </w:rPr>
        <w:t>（四）停车泊位平面示意图和方位图；</w:t>
      </w:r>
    </w:p>
    <w:p w14:paraId="156C7A4A">
      <w:pPr>
        <w:jc w:val="left"/>
        <w:rPr>
          <w:rFonts w:ascii="宋体" w:hAnsi="宋体"/>
          <w:kern w:val="44"/>
        </w:rPr>
      </w:pPr>
      <w:r>
        <w:rPr>
          <w:rFonts w:hint="eastAsia" w:ascii="宋体" w:hAnsi="宋体"/>
          <w:kern w:val="44"/>
        </w:rPr>
        <w:t>（五）符合规定的停车场设备清单；</w:t>
      </w:r>
    </w:p>
    <w:p w14:paraId="549CDB8B">
      <w:pPr>
        <w:jc w:val="left"/>
        <w:rPr>
          <w:rFonts w:ascii="宋体" w:hAnsi="宋体"/>
          <w:kern w:val="44"/>
        </w:rPr>
      </w:pPr>
      <w:r>
        <w:rPr>
          <w:rFonts w:hint="eastAsia" w:ascii="宋体" w:hAnsi="宋体"/>
          <w:kern w:val="44"/>
        </w:rPr>
        <w:t>（六）经营、服务、安全管理制度，突发事件应急预案等；</w:t>
      </w:r>
    </w:p>
    <w:p w14:paraId="426BC647">
      <w:pPr>
        <w:jc w:val="left"/>
        <w:rPr>
          <w:rFonts w:ascii="宋体" w:hAnsi="宋体"/>
          <w:kern w:val="44"/>
        </w:rPr>
      </w:pPr>
      <w:r>
        <w:rPr>
          <w:rFonts w:hint="eastAsia" w:ascii="宋体" w:hAnsi="宋体"/>
          <w:kern w:val="44"/>
        </w:rPr>
        <w:t>（七）停车诱导系统建设技术说明书及管理运行方案。</w:t>
      </w:r>
    </w:p>
    <w:p w14:paraId="6C655AE5">
      <w:pPr>
        <w:jc w:val="left"/>
        <w:rPr>
          <w:rFonts w:ascii="宋体" w:hAnsi="宋体"/>
          <w:kern w:val="44"/>
        </w:rPr>
      </w:pPr>
      <w:r>
        <w:rPr>
          <w:rFonts w:hint="eastAsia" w:ascii="宋体" w:hAnsi="宋体"/>
          <w:kern w:val="44"/>
        </w:rPr>
        <w:t>依照本办法第十一条、第十八条第一款规定设置的停车场提交的备案材料不包括前款第三项、第五项和第七项。</w:t>
      </w:r>
    </w:p>
    <w:p w14:paraId="014B0688">
      <w:pPr>
        <w:ind w:firstLine="422"/>
        <w:jc w:val="left"/>
        <w:rPr>
          <w:rFonts w:ascii="宋体" w:hAnsi="宋体"/>
          <w:kern w:val="44"/>
        </w:rPr>
      </w:pPr>
      <w:r>
        <w:rPr>
          <w:rFonts w:hint="eastAsia" w:ascii="宋体" w:hAnsi="宋体"/>
          <w:b/>
          <w:kern w:val="44"/>
        </w:rPr>
        <w:t>第二十一条</w:t>
      </w:r>
      <w:r>
        <w:rPr>
          <w:rFonts w:hint="eastAsia" w:ascii="宋体" w:hAnsi="宋体"/>
          <w:kern w:val="44"/>
        </w:rPr>
        <w:t>　停车场向社会开放的，停车场管理单位应当遵守下列规定：</w:t>
      </w:r>
    </w:p>
    <w:p w14:paraId="2A8B9F12">
      <w:pPr>
        <w:jc w:val="left"/>
        <w:rPr>
          <w:rFonts w:ascii="宋体" w:hAnsi="宋体"/>
          <w:kern w:val="44"/>
        </w:rPr>
      </w:pPr>
      <w:r>
        <w:rPr>
          <w:rFonts w:hint="eastAsia" w:ascii="宋体" w:hAnsi="宋体"/>
          <w:kern w:val="44"/>
        </w:rPr>
        <w:t>（一）在停车场显著位置明示停车场名称、服务项目、收费标准、车位数量及监督电话；</w:t>
      </w:r>
    </w:p>
    <w:p w14:paraId="519E01CC">
      <w:pPr>
        <w:jc w:val="left"/>
        <w:rPr>
          <w:rFonts w:ascii="宋体" w:hAnsi="宋体"/>
          <w:kern w:val="44"/>
        </w:rPr>
      </w:pPr>
      <w:r>
        <w:rPr>
          <w:rFonts w:hint="eastAsia" w:ascii="宋体" w:hAnsi="宋体"/>
          <w:kern w:val="44"/>
        </w:rPr>
        <w:t>（二）按照核定的价格收费，并出具专用发票；</w:t>
      </w:r>
    </w:p>
    <w:p w14:paraId="5EBAF4DB">
      <w:pPr>
        <w:jc w:val="left"/>
        <w:rPr>
          <w:rFonts w:ascii="宋体" w:hAnsi="宋体"/>
          <w:kern w:val="44"/>
        </w:rPr>
      </w:pPr>
      <w:r>
        <w:rPr>
          <w:rFonts w:hint="eastAsia" w:ascii="宋体" w:hAnsi="宋体"/>
          <w:kern w:val="44"/>
        </w:rPr>
        <w:t>（三）配置完备的停车设施标志标识，为停车人进出提供明确的引导，为残疾人提供必要服务；</w:t>
      </w:r>
    </w:p>
    <w:p w14:paraId="2C7183B7">
      <w:pPr>
        <w:jc w:val="left"/>
        <w:rPr>
          <w:rFonts w:ascii="宋体" w:hAnsi="宋体"/>
          <w:kern w:val="44"/>
        </w:rPr>
      </w:pPr>
      <w:r>
        <w:rPr>
          <w:rFonts w:hint="eastAsia" w:ascii="宋体" w:hAnsi="宋体"/>
          <w:kern w:val="44"/>
        </w:rPr>
        <w:t>（四）指挥车辆按序进出和停放，维护停车秩序；</w:t>
      </w:r>
    </w:p>
    <w:p w14:paraId="6DE9B340">
      <w:pPr>
        <w:jc w:val="left"/>
        <w:rPr>
          <w:rFonts w:ascii="宋体" w:hAnsi="宋体"/>
          <w:kern w:val="44"/>
        </w:rPr>
      </w:pPr>
      <w:r>
        <w:rPr>
          <w:rFonts w:hint="eastAsia" w:ascii="宋体" w:hAnsi="宋体"/>
          <w:kern w:val="44"/>
        </w:rPr>
        <w:t>（五）制定停放车辆、安全保卫、消防、环境卫生等管理制度；</w:t>
      </w:r>
    </w:p>
    <w:p w14:paraId="090B7280">
      <w:pPr>
        <w:jc w:val="left"/>
        <w:rPr>
          <w:rFonts w:ascii="宋体" w:hAnsi="宋体"/>
          <w:kern w:val="44"/>
        </w:rPr>
      </w:pPr>
      <w:r>
        <w:rPr>
          <w:rFonts w:hint="eastAsia" w:ascii="宋体" w:hAnsi="宋体"/>
          <w:kern w:val="44"/>
        </w:rPr>
        <w:t>（六）对停车管理员进行专业培训、考核；</w:t>
      </w:r>
    </w:p>
    <w:p w14:paraId="1D24F35B">
      <w:pPr>
        <w:jc w:val="left"/>
        <w:rPr>
          <w:rFonts w:ascii="宋体" w:hAnsi="宋体"/>
          <w:kern w:val="44"/>
        </w:rPr>
      </w:pPr>
      <w:r>
        <w:rPr>
          <w:rFonts w:hint="eastAsia" w:ascii="宋体" w:hAnsi="宋体"/>
          <w:kern w:val="44"/>
        </w:rPr>
        <w:t>（七）不得在停车区域从事影响车辆安全停放的其他经营活动；</w:t>
      </w:r>
    </w:p>
    <w:p w14:paraId="5DE14CEC">
      <w:pPr>
        <w:jc w:val="left"/>
        <w:rPr>
          <w:rFonts w:ascii="宋体" w:hAnsi="宋体"/>
          <w:kern w:val="44"/>
        </w:rPr>
      </w:pPr>
      <w:r>
        <w:rPr>
          <w:rFonts w:hint="eastAsia" w:ascii="宋体" w:hAnsi="宋体"/>
          <w:kern w:val="44"/>
        </w:rPr>
        <w:t>（八）建立投诉处理制度；</w:t>
      </w:r>
    </w:p>
    <w:p w14:paraId="33A63948">
      <w:pPr>
        <w:jc w:val="left"/>
        <w:rPr>
          <w:rFonts w:ascii="宋体" w:hAnsi="宋体"/>
          <w:kern w:val="44"/>
        </w:rPr>
      </w:pPr>
      <w:r>
        <w:rPr>
          <w:rFonts w:hint="eastAsia" w:ascii="宋体" w:hAnsi="宋体"/>
          <w:kern w:val="44"/>
        </w:rPr>
        <w:t>（九）国家和本市其他相关停车管理服务规范和标准。</w:t>
      </w:r>
    </w:p>
    <w:p w14:paraId="68E20803">
      <w:pPr>
        <w:jc w:val="left"/>
        <w:rPr>
          <w:rFonts w:ascii="宋体" w:hAnsi="宋体"/>
          <w:kern w:val="44"/>
        </w:rPr>
      </w:pPr>
      <w:r>
        <w:rPr>
          <w:rFonts w:hint="eastAsia" w:ascii="宋体" w:hAnsi="宋体"/>
          <w:kern w:val="44"/>
        </w:rPr>
        <w:t>中心城范围内的停车场向社会开放并收费的，应当24小时开放；按照规定实行限时的临时停车场除外。</w:t>
      </w:r>
    </w:p>
    <w:p w14:paraId="3BE82179">
      <w:pPr>
        <w:ind w:firstLine="422"/>
        <w:jc w:val="left"/>
        <w:rPr>
          <w:rFonts w:ascii="宋体" w:hAnsi="宋体"/>
          <w:kern w:val="44"/>
        </w:rPr>
      </w:pPr>
      <w:r>
        <w:rPr>
          <w:rFonts w:hint="eastAsia" w:ascii="宋体" w:hAnsi="宋体"/>
          <w:b/>
          <w:kern w:val="44"/>
        </w:rPr>
        <w:t>第二十二条</w:t>
      </w:r>
      <w:r>
        <w:rPr>
          <w:rFonts w:hint="eastAsia" w:ascii="宋体" w:hAnsi="宋体"/>
          <w:kern w:val="44"/>
        </w:rPr>
        <w:t>　市交通行政主管部门和区、县停车管理部门应当对向社会开放的停车场的运营服务实行质量信誉考核，考核结果向社会公布。</w:t>
      </w:r>
    </w:p>
    <w:p w14:paraId="4D383DD9">
      <w:pPr>
        <w:ind w:firstLine="422"/>
        <w:jc w:val="left"/>
        <w:rPr>
          <w:rFonts w:ascii="宋体" w:hAnsi="宋体"/>
          <w:kern w:val="44"/>
        </w:rPr>
      </w:pPr>
      <w:r>
        <w:rPr>
          <w:rFonts w:hint="eastAsia" w:ascii="宋体" w:hAnsi="宋体"/>
          <w:b/>
          <w:kern w:val="44"/>
        </w:rPr>
        <w:t>第二十三条</w:t>
      </w:r>
      <w:r>
        <w:rPr>
          <w:rFonts w:hint="eastAsia" w:ascii="宋体" w:hAnsi="宋体"/>
          <w:kern w:val="44"/>
        </w:rPr>
        <w:t>　公安机关交通管理部门可以根据道路交通状况、周边停车需求情况，在城市道路上依法设置和调整道路停车泊位，并予以公示。</w:t>
      </w:r>
    </w:p>
    <w:p w14:paraId="50C53D0D">
      <w:pPr>
        <w:jc w:val="left"/>
        <w:rPr>
          <w:rFonts w:ascii="宋体" w:hAnsi="宋体"/>
          <w:kern w:val="44"/>
        </w:rPr>
      </w:pPr>
      <w:r>
        <w:rPr>
          <w:rFonts w:hint="eastAsia" w:ascii="宋体" w:hAnsi="宋体"/>
          <w:kern w:val="44"/>
        </w:rPr>
        <w:t>除前款和本办法第十一条规定的情形外，其他单位和个人不得擅自在城市道路上设置和调整道路停车泊位。</w:t>
      </w:r>
    </w:p>
    <w:p w14:paraId="0F7FC6CD">
      <w:pPr>
        <w:ind w:firstLine="422"/>
        <w:jc w:val="left"/>
        <w:rPr>
          <w:rFonts w:ascii="宋体" w:hAnsi="宋体"/>
          <w:kern w:val="44"/>
        </w:rPr>
      </w:pPr>
      <w:r>
        <w:rPr>
          <w:rFonts w:hint="eastAsia" w:ascii="宋体" w:hAnsi="宋体"/>
          <w:b/>
          <w:kern w:val="44"/>
        </w:rPr>
        <w:t>第二十四条</w:t>
      </w:r>
      <w:r>
        <w:rPr>
          <w:rFonts w:hint="eastAsia" w:ascii="宋体" w:hAnsi="宋体"/>
          <w:kern w:val="44"/>
        </w:rPr>
        <w:t>　区、县停车管理部门应当与道路停车泊位的管理单位签订协议。协议应当包括双方权利义务、期限、终止协议的情形等内容。</w:t>
      </w:r>
    </w:p>
    <w:p w14:paraId="38DC9F6D">
      <w:pPr>
        <w:jc w:val="left"/>
        <w:rPr>
          <w:rFonts w:ascii="宋体" w:hAnsi="宋体"/>
          <w:kern w:val="44"/>
        </w:rPr>
      </w:pPr>
      <w:r>
        <w:rPr>
          <w:rFonts w:hint="eastAsia" w:ascii="宋体" w:hAnsi="宋体"/>
          <w:kern w:val="44"/>
        </w:rPr>
        <w:t>道路停车泊位管理单位有下列情形之一的，区、县停车管理部门可以终止协议：</w:t>
      </w:r>
    </w:p>
    <w:p w14:paraId="50684556">
      <w:pPr>
        <w:jc w:val="left"/>
        <w:rPr>
          <w:rFonts w:ascii="宋体" w:hAnsi="宋体"/>
          <w:kern w:val="44"/>
        </w:rPr>
      </w:pPr>
      <w:r>
        <w:rPr>
          <w:rFonts w:hint="eastAsia" w:ascii="宋体" w:hAnsi="宋体"/>
          <w:kern w:val="44"/>
        </w:rPr>
        <w:t>（一）发生服务质量纠纷，影响恶劣的；</w:t>
      </w:r>
    </w:p>
    <w:p w14:paraId="0CE98B4F">
      <w:pPr>
        <w:jc w:val="left"/>
        <w:rPr>
          <w:rFonts w:ascii="宋体" w:hAnsi="宋体"/>
          <w:kern w:val="44"/>
        </w:rPr>
      </w:pPr>
      <w:r>
        <w:rPr>
          <w:rFonts w:hint="eastAsia" w:ascii="宋体" w:hAnsi="宋体"/>
          <w:kern w:val="44"/>
        </w:rPr>
        <w:t>（二）未按原承诺标准提供服务的；</w:t>
      </w:r>
    </w:p>
    <w:p w14:paraId="17948365">
      <w:pPr>
        <w:jc w:val="left"/>
        <w:rPr>
          <w:rFonts w:ascii="宋体" w:hAnsi="宋体"/>
          <w:kern w:val="44"/>
        </w:rPr>
      </w:pPr>
      <w:r>
        <w:rPr>
          <w:rFonts w:hint="eastAsia" w:ascii="宋体" w:hAnsi="宋体"/>
          <w:kern w:val="44"/>
        </w:rPr>
        <w:t>（三）未按期足额缴纳占道费的；</w:t>
      </w:r>
    </w:p>
    <w:p w14:paraId="3D5FA4F5">
      <w:pPr>
        <w:jc w:val="left"/>
        <w:rPr>
          <w:rFonts w:ascii="宋体" w:hAnsi="宋体"/>
          <w:kern w:val="44"/>
        </w:rPr>
      </w:pPr>
      <w:r>
        <w:rPr>
          <w:rFonts w:hint="eastAsia" w:ascii="宋体" w:hAnsi="宋体"/>
          <w:kern w:val="44"/>
        </w:rPr>
        <w:t>（四）质量信誉考核不合格的；</w:t>
      </w:r>
    </w:p>
    <w:p w14:paraId="05AA517A">
      <w:pPr>
        <w:jc w:val="left"/>
        <w:rPr>
          <w:rFonts w:ascii="宋体" w:hAnsi="宋体"/>
          <w:kern w:val="44"/>
        </w:rPr>
      </w:pPr>
      <w:r>
        <w:rPr>
          <w:rFonts w:hint="eastAsia" w:ascii="宋体" w:hAnsi="宋体"/>
          <w:kern w:val="44"/>
        </w:rPr>
        <w:t>（五）擅自转租转包、挂靠经营的；</w:t>
      </w:r>
    </w:p>
    <w:p w14:paraId="5F5778D8">
      <w:pPr>
        <w:jc w:val="left"/>
        <w:rPr>
          <w:rFonts w:ascii="宋体" w:hAnsi="宋体"/>
          <w:kern w:val="44"/>
        </w:rPr>
      </w:pPr>
      <w:r>
        <w:rPr>
          <w:rFonts w:hint="eastAsia" w:ascii="宋体" w:hAnsi="宋体"/>
          <w:kern w:val="44"/>
        </w:rPr>
        <w:t>（六）多次实施违法行为，拒不改正的；</w:t>
      </w:r>
    </w:p>
    <w:p w14:paraId="7392FB7F">
      <w:pPr>
        <w:jc w:val="left"/>
        <w:rPr>
          <w:rFonts w:ascii="宋体" w:hAnsi="宋体"/>
          <w:kern w:val="44"/>
        </w:rPr>
      </w:pPr>
      <w:r>
        <w:rPr>
          <w:rFonts w:hint="eastAsia" w:ascii="宋体" w:hAnsi="宋体"/>
          <w:kern w:val="44"/>
        </w:rPr>
        <w:t>（七）双方约定的其他可以终止协议的行为；</w:t>
      </w:r>
    </w:p>
    <w:p w14:paraId="15F6565A">
      <w:pPr>
        <w:jc w:val="left"/>
        <w:rPr>
          <w:rFonts w:ascii="宋体" w:hAnsi="宋体"/>
          <w:kern w:val="44"/>
        </w:rPr>
      </w:pPr>
      <w:r>
        <w:rPr>
          <w:rFonts w:hint="eastAsia" w:ascii="宋体" w:hAnsi="宋体"/>
          <w:kern w:val="44"/>
        </w:rPr>
        <w:t>（八）法律、法规规定的其他情形。</w:t>
      </w:r>
    </w:p>
    <w:p w14:paraId="1EE82847">
      <w:pPr>
        <w:ind w:firstLine="422"/>
        <w:jc w:val="left"/>
        <w:rPr>
          <w:rFonts w:ascii="宋体" w:hAnsi="宋体"/>
          <w:kern w:val="44"/>
        </w:rPr>
      </w:pPr>
      <w:r>
        <w:rPr>
          <w:rFonts w:hint="eastAsia" w:ascii="宋体" w:hAnsi="宋体"/>
          <w:b/>
          <w:kern w:val="44"/>
        </w:rPr>
        <w:t>第二十五条</w:t>
      </w:r>
      <w:r>
        <w:rPr>
          <w:rFonts w:hint="eastAsia" w:ascii="宋体" w:hAnsi="宋体"/>
          <w:kern w:val="44"/>
        </w:rPr>
        <w:t>　市交通行政主管部门和区、县停车管理部门有计划地对道路停车泊位内的停车实行电子计时收费。</w:t>
      </w:r>
    </w:p>
    <w:p w14:paraId="46AABB37">
      <w:pPr>
        <w:ind w:firstLine="422"/>
        <w:jc w:val="left"/>
        <w:rPr>
          <w:rFonts w:ascii="宋体" w:hAnsi="宋体"/>
          <w:kern w:val="44"/>
        </w:rPr>
      </w:pPr>
      <w:r>
        <w:rPr>
          <w:rFonts w:hint="eastAsia" w:ascii="宋体" w:hAnsi="宋体"/>
          <w:b/>
          <w:kern w:val="44"/>
        </w:rPr>
        <w:t>第二十六条</w:t>
      </w:r>
      <w:r>
        <w:rPr>
          <w:rFonts w:hint="eastAsia" w:ascii="宋体" w:hAnsi="宋体"/>
          <w:kern w:val="44"/>
        </w:rPr>
        <w:t>　公安机关交通管理部门根据道路实际状况以及维护交通秩序的需要，可以在道路上加装隔离桩等设施，其他任何单位和个人不得损坏、挪移或者拆除。</w:t>
      </w:r>
    </w:p>
    <w:p w14:paraId="1BD89827">
      <w:pPr>
        <w:ind w:firstLine="422"/>
        <w:jc w:val="left"/>
        <w:rPr>
          <w:rFonts w:ascii="宋体" w:hAnsi="宋体"/>
          <w:kern w:val="44"/>
        </w:rPr>
      </w:pPr>
      <w:r>
        <w:rPr>
          <w:rFonts w:hint="eastAsia" w:ascii="宋体" w:hAnsi="宋体"/>
          <w:b/>
          <w:kern w:val="44"/>
        </w:rPr>
        <w:t>第二十七条</w:t>
      </w:r>
      <w:r>
        <w:rPr>
          <w:rFonts w:hint="eastAsia" w:ascii="宋体" w:hAnsi="宋体"/>
          <w:kern w:val="44"/>
        </w:rPr>
        <w:t>　任何单位和个人不得擅自在道路上和其他公共区域内设置地桩、地锁等障碍物阻碍机动车停放和通行，不得在未取得所有权的停车位上设置地桩、地锁；物业服务企业应当在物业管理协议和车位租赁协议中予以明示。</w:t>
      </w:r>
    </w:p>
    <w:p w14:paraId="6A7A3FF1">
      <w:pPr>
        <w:jc w:val="left"/>
        <w:rPr>
          <w:rFonts w:ascii="宋体" w:hAnsi="宋体"/>
          <w:kern w:val="44"/>
        </w:rPr>
      </w:pPr>
      <w:r>
        <w:rPr>
          <w:rFonts w:hint="eastAsia" w:ascii="宋体" w:hAnsi="宋体"/>
          <w:kern w:val="44"/>
        </w:rPr>
        <w:t>任何单位和个人发现擅自在道路上设置地桩、地锁等障碍物的，有权予以制止并举报。</w:t>
      </w:r>
    </w:p>
    <w:p w14:paraId="7A6294BA">
      <w:pPr>
        <w:ind w:firstLine="422"/>
        <w:jc w:val="left"/>
        <w:rPr>
          <w:rFonts w:ascii="宋体" w:hAnsi="宋体"/>
          <w:kern w:val="44"/>
        </w:rPr>
      </w:pPr>
      <w:r>
        <w:rPr>
          <w:rFonts w:hint="eastAsia" w:ascii="宋体" w:hAnsi="宋体"/>
          <w:b/>
          <w:kern w:val="44"/>
        </w:rPr>
        <w:t>第二十八条</w:t>
      </w:r>
      <w:r>
        <w:rPr>
          <w:rFonts w:hint="eastAsia" w:ascii="宋体" w:hAnsi="宋体"/>
          <w:kern w:val="44"/>
        </w:rPr>
        <w:t>　机动车应当在停车场内停放，并不得超过规定时间。</w:t>
      </w:r>
    </w:p>
    <w:p w14:paraId="1BE1DAFE">
      <w:pPr>
        <w:jc w:val="left"/>
        <w:rPr>
          <w:rFonts w:ascii="宋体" w:hAnsi="宋体"/>
          <w:kern w:val="44"/>
        </w:rPr>
      </w:pPr>
      <w:r>
        <w:rPr>
          <w:rFonts w:hint="eastAsia" w:ascii="宋体" w:hAnsi="宋体"/>
          <w:kern w:val="44"/>
        </w:rPr>
        <w:t>在停车场内停放机动车的，停车人应当遵守下列规定：</w:t>
      </w:r>
    </w:p>
    <w:p w14:paraId="67B66923">
      <w:pPr>
        <w:jc w:val="left"/>
        <w:rPr>
          <w:rFonts w:ascii="宋体" w:hAnsi="宋体"/>
          <w:kern w:val="44"/>
        </w:rPr>
      </w:pPr>
      <w:r>
        <w:rPr>
          <w:rFonts w:hint="eastAsia" w:ascii="宋体" w:hAnsi="宋体"/>
          <w:kern w:val="44"/>
        </w:rPr>
        <w:t>（一）服从引导；</w:t>
      </w:r>
    </w:p>
    <w:p w14:paraId="1C528490">
      <w:pPr>
        <w:jc w:val="left"/>
        <w:rPr>
          <w:rFonts w:ascii="宋体" w:hAnsi="宋体"/>
          <w:kern w:val="44"/>
        </w:rPr>
      </w:pPr>
      <w:r>
        <w:rPr>
          <w:rFonts w:hint="eastAsia" w:ascii="宋体" w:hAnsi="宋体"/>
          <w:kern w:val="44"/>
        </w:rPr>
        <w:t>（二）停车入位且车身不得超出停车泊位；</w:t>
      </w:r>
    </w:p>
    <w:p w14:paraId="4012550A">
      <w:pPr>
        <w:jc w:val="left"/>
        <w:rPr>
          <w:rFonts w:ascii="宋体" w:hAnsi="宋体"/>
          <w:kern w:val="44"/>
        </w:rPr>
      </w:pPr>
      <w:r>
        <w:rPr>
          <w:rFonts w:hint="eastAsia" w:ascii="宋体" w:hAnsi="宋体"/>
          <w:kern w:val="44"/>
        </w:rPr>
        <w:t>（三）做好驻车制动；</w:t>
      </w:r>
    </w:p>
    <w:p w14:paraId="37C1841F">
      <w:pPr>
        <w:jc w:val="left"/>
        <w:rPr>
          <w:rFonts w:ascii="宋体" w:hAnsi="宋体"/>
          <w:kern w:val="44"/>
        </w:rPr>
      </w:pPr>
      <w:r>
        <w:rPr>
          <w:rFonts w:hint="eastAsia" w:ascii="宋体" w:hAnsi="宋体"/>
          <w:kern w:val="44"/>
        </w:rPr>
        <w:t>（四）不得损坏停车设备；</w:t>
      </w:r>
    </w:p>
    <w:p w14:paraId="11E65409">
      <w:pPr>
        <w:jc w:val="left"/>
        <w:rPr>
          <w:rFonts w:ascii="宋体" w:hAnsi="宋体"/>
          <w:kern w:val="44"/>
        </w:rPr>
      </w:pPr>
      <w:r>
        <w:rPr>
          <w:rFonts w:hint="eastAsia" w:ascii="宋体" w:hAnsi="宋体"/>
          <w:kern w:val="44"/>
        </w:rPr>
        <w:t>（五）按照规定缴纳停车费用；</w:t>
      </w:r>
    </w:p>
    <w:p w14:paraId="0FB8592A">
      <w:pPr>
        <w:jc w:val="left"/>
        <w:rPr>
          <w:rFonts w:ascii="宋体" w:hAnsi="宋体"/>
          <w:kern w:val="44"/>
        </w:rPr>
      </w:pPr>
      <w:r>
        <w:rPr>
          <w:rFonts w:hint="eastAsia" w:ascii="宋体" w:hAnsi="宋体"/>
          <w:kern w:val="44"/>
        </w:rPr>
        <w:t>（六）进出停车场、停车泊位的，不得妨碍其他车辆或者行人正常通行。</w:t>
      </w:r>
    </w:p>
    <w:p w14:paraId="01CA31D3">
      <w:pPr>
        <w:jc w:val="left"/>
        <w:rPr>
          <w:rFonts w:ascii="宋体" w:hAnsi="宋体"/>
          <w:kern w:val="44"/>
        </w:rPr>
      </w:pPr>
      <w:r>
        <w:rPr>
          <w:rFonts w:hint="eastAsia" w:ascii="宋体" w:hAnsi="宋体"/>
          <w:kern w:val="44"/>
        </w:rPr>
        <w:t>停车人不遵守本条第二款规定的，停车场管理单位有权劝阻；造成损害的，停车场管理单位可以依法提起诉讼。停车人有权对停车管理中的违法行为进行投诉、举报。</w:t>
      </w:r>
    </w:p>
    <w:p w14:paraId="0417D2BD">
      <w:pPr>
        <w:ind w:firstLine="422"/>
        <w:jc w:val="left"/>
        <w:rPr>
          <w:rFonts w:ascii="宋体" w:hAnsi="宋体"/>
          <w:kern w:val="44"/>
        </w:rPr>
      </w:pPr>
      <w:r>
        <w:rPr>
          <w:rFonts w:hint="eastAsia" w:ascii="宋体" w:hAnsi="宋体"/>
          <w:b/>
          <w:kern w:val="44"/>
        </w:rPr>
        <w:t>第二十九条</w:t>
      </w:r>
      <w:r>
        <w:rPr>
          <w:rFonts w:hint="eastAsia" w:ascii="宋体" w:hAnsi="宋体"/>
          <w:kern w:val="44"/>
        </w:rPr>
        <w:t>　举办大型群众性活动，承办者应当协调活动周边停车场，提供停车服务，并在票证上标示活动周边公共交通线路、行车路线及停车场位置；停车场地不能满足停车需求的，承办者应当在票证及其他宣传媒体上提示活动参与者选择公共交通前往活动地点。</w:t>
      </w:r>
    </w:p>
    <w:p w14:paraId="181B5FE0">
      <w:pPr>
        <w:jc w:val="left"/>
        <w:rPr>
          <w:rFonts w:ascii="宋体" w:hAnsi="宋体"/>
          <w:kern w:val="44"/>
        </w:rPr>
      </w:pPr>
      <w:r>
        <w:rPr>
          <w:rFonts w:hint="eastAsia" w:ascii="宋体" w:hAnsi="宋体"/>
          <w:kern w:val="44"/>
        </w:rPr>
        <w:t>举办大型群众性活动，需要公安机关交通管理部门采取交通管制措施的，公安机关交通管理部门应当在采取管制措施3日前向社会公告。周边道路有条件的，公安机关交通管理部门可以在活动场地周边道路设置一定数量的临时停车泊位。</w:t>
      </w:r>
    </w:p>
    <w:p w14:paraId="38A8640A">
      <w:pPr>
        <w:ind w:firstLine="422"/>
        <w:jc w:val="left"/>
        <w:rPr>
          <w:rFonts w:ascii="宋体" w:hAnsi="宋体"/>
          <w:kern w:val="44"/>
        </w:rPr>
      </w:pPr>
      <w:r>
        <w:rPr>
          <w:rFonts w:hint="eastAsia" w:ascii="宋体" w:hAnsi="宋体"/>
          <w:b/>
          <w:kern w:val="44"/>
        </w:rPr>
        <w:t>第三十条</w:t>
      </w:r>
      <w:r>
        <w:rPr>
          <w:rFonts w:hint="eastAsia" w:ascii="宋体" w:hAnsi="宋体"/>
          <w:kern w:val="44"/>
        </w:rPr>
        <w:t>　交通客运换乘场站、医院及其他客流集中的公共场所的管理单位应当设置出租车上下客车位。周边道路有条件的，公安机关交通管理部门应当在上述公共场所周边道路设置出租车专用上下客车位，其他车辆不得占用。</w:t>
      </w:r>
    </w:p>
    <w:p w14:paraId="63988C6C">
      <w:pPr>
        <w:ind w:firstLine="422"/>
        <w:jc w:val="left"/>
        <w:rPr>
          <w:rFonts w:ascii="宋体" w:hAnsi="宋体"/>
          <w:kern w:val="44"/>
        </w:rPr>
      </w:pPr>
      <w:r>
        <w:rPr>
          <w:rFonts w:hint="eastAsia" w:ascii="宋体" w:hAnsi="宋体"/>
          <w:b/>
          <w:kern w:val="44"/>
        </w:rPr>
        <w:t>第三十一条</w:t>
      </w:r>
      <w:r>
        <w:rPr>
          <w:rFonts w:hint="eastAsia" w:ascii="宋体" w:hAnsi="宋体"/>
          <w:kern w:val="44"/>
        </w:rPr>
        <w:t>　违反本办法第十四条的规定，将停车场擅自停止使用或者将停车场改作他用的，由城市管理综合执法部门责令限期改正，恢复原状。</w:t>
      </w:r>
    </w:p>
    <w:p w14:paraId="7E31AC46">
      <w:pPr>
        <w:ind w:firstLine="422"/>
        <w:jc w:val="left"/>
        <w:rPr>
          <w:rFonts w:ascii="宋体" w:hAnsi="宋体"/>
          <w:kern w:val="44"/>
        </w:rPr>
      </w:pPr>
      <w:r>
        <w:rPr>
          <w:rFonts w:hint="eastAsia" w:ascii="宋体" w:hAnsi="宋体"/>
          <w:b/>
          <w:kern w:val="44"/>
        </w:rPr>
        <w:t>第三十二条</w:t>
      </w:r>
      <w:r>
        <w:rPr>
          <w:rFonts w:hint="eastAsia" w:ascii="宋体" w:hAnsi="宋体"/>
          <w:kern w:val="44"/>
        </w:rPr>
        <w:t>　违反本办法第二十条第一款的规定，未依法办理工商登记擅自从事停车场经营活动的，由城市管理综合执法部门或者工商行政管理部门根据职责分工依照《无照经营查处取缔办法》予以处理。</w:t>
      </w:r>
    </w:p>
    <w:p w14:paraId="4FD6E422">
      <w:pPr>
        <w:jc w:val="left"/>
        <w:rPr>
          <w:rFonts w:ascii="宋体" w:hAnsi="宋体"/>
          <w:kern w:val="44"/>
        </w:rPr>
      </w:pPr>
      <w:r>
        <w:rPr>
          <w:rFonts w:hint="eastAsia" w:ascii="宋体" w:hAnsi="宋体"/>
          <w:kern w:val="44"/>
        </w:rPr>
        <w:t>违反本办法第二十条第一款的规定，停车场管理单位未按照规定对停车泊位进行备案的，由城市管理综合执法部门处1万元罚款。</w:t>
      </w:r>
    </w:p>
    <w:p w14:paraId="24CDFE85">
      <w:pPr>
        <w:ind w:firstLine="422"/>
        <w:jc w:val="left"/>
        <w:rPr>
          <w:rFonts w:ascii="宋体" w:hAnsi="宋体"/>
          <w:kern w:val="44"/>
        </w:rPr>
      </w:pPr>
      <w:r>
        <w:rPr>
          <w:rFonts w:hint="eastAsia" w:ascii="宋体" w:hAnsi="宋体"/>
          <w:b/>
          <w:kern w:val="44"/>
        </w:rPr>
        <w:t>第三十三条</w:t>
      </w:r>
      <w:r>
        <w:rPr>
          <w:rFonts w:hint="eastAsia" w:ascii="宋体" w:hAnsi="宋体"/>
          <w:kern w:val="44"/>
        </w:rPr>
        <w:t>　违反本办法第二十一条第一款第一项、第二项的规定，停车场管理单位未明码标价、擅自提高或者降低收费标准的，由发展改革行政主管部门依法处理。</w:t>
      </w:r>
    </w:p>
    <w:p w14:paraId="124F2048">
      <w:pPr>
        <w:jc w:val="left"/>
        <w:rPr>
          <w:rFonts w:ascii="宋体" w:hAnsi="宋体"/>
          <w:kern w:val="44"/>
        </w:rPr>
      </w:pPr>
      <w:r>
        <w:rPr>
          <w:rFonts w:hint="eastAsia" w:ascii="宋体" w:hAnsi="宋体"/>
          <w:kern w:val="44"/>
        </w:rPr>
        <w:t>违反本办法第二十一条第一款第三项、第四项、第六项、第七项、第八项、第九项规定之一的，由城市管理综合执法部门给予警告，并责令限期改正；逾期未改正的，处1000元罚款；造成严重后果的，处5000元以上1万元以下罚款。</w:t>
      </w:r>
    </w:p>
    <w:p w14:paraId="7CE47D75">
      <w:pPr>
        <w:ind w:firstLine="422"/>
        <w:jc w:val="left"/>
        <w:rPr>
          <w:rFonts w:ascii="宋体" w:hAnsi="宋体"/>
          <w:kern w:val="44"/>
        </w:rPr>
      </w:pPr>
      <w:r>
        <w:rPr>
          <w:rFonts w:hint="eastAsia" w:ascii="宋体" w:hAnsi="宋体"/>
          <w:b/>
          <w:kern w:val="44"/>
        </w:rPr>
        <w:t>第三十四条</w:t>
      </w:r>
      <w:r>
        <w:rPr>
          <w:rFonts w:hint="eastAsia" w:ascii="宋体" w:hAnsi="宋体"/>
          <w:kern w:val="44"/>
        </w:rPr>
        <w:t>　违反本办法第二十一条第二款的规定，停车场未实行24小时开放的，由城市管理综合执法部门责令限期改正，并处5000元以上1万元以下罚款。</w:t>
      </w:r>
    </w:p>
    <w:p w14:paraId="4C0C6219">
      <w:pPr>
        <w:ind w:firstLine="422"/>
        <w:jc w:val="left"/>
        <w:rPr>
          <w:rFonts w:ascii="宋体" w:hAnsi="宋体"/>
          <w:kern w:val="44"/>
        </w:rPr>
      </w:pPr>
      <w:r>
        <w:rPr>
          <w:rFonts w:hint="eastAsia" w:ascii="宋体" w:hAnsi="宋体"/>
          <w:b/>
          <w:kern w:val="44"/>
        </w:rPr>
        <w:t>第三十五条</w:t>
      </w:r>
      <w:r>
        <w:rPr>
          <w:rFonts w:hint="eastAsia" w:ascii="宋体" w:hAnsi="宋体"/>
          <w:kern w:val="44"/>
        </w:rPr>
        <w:t>　违反本办法第二十三条第二款的规定，擅自在城市道路上设置和调整道路停车泊位的，由公安机关交通管理部门责令停止违法行为，恢复原状。</w:t>
      </w:r>
    </w:p>
    <w:p w14:paraId="45BFE0E5">
      <w:pPr>
        <w:ind w:firstLine="422"/>
        <w:jc w:val="left"/>
        <w:rPr>
          <w:rFonts w:ascii="宋体" w:hAnsi="宋体"/>
          <w:kern w:val="44"/>
        </w:rPr>
      </w:pPr>
      <w:r>
        <w:rPr>
          <w:rFonts w:hint="eastAsia" w:ascii="宋体" w:hAnsi="宋体"/>
          <w:b/>
          <w:kern w:val="44"/>
        </w:rPr>
        <w:t>第三十六条</w:t>
      </w:r>
      <w:r>
        <w:rPr>
          <w:rFonts w:hint="eastAsia" w:ascii="宋体" w:hAnsi="宋体"/>
          <w:kern w:val="44"/>
        </w:rPr>
        <w:t>　违反本办法第二十六条的规定，擅自损坏、挪移、拆除隔离桩等设施的，由公安机关交通管理部门依法进行处罚。</w:t>
      </w:r>
    </w:p>
    <w:p w14:paraId="44EA4628">
      <w:pPr>
        <w:ind w:firstLine="422"/>
        <w:jc w:val="left"/>
        <w:rPr>
          <w:rFonts w:ascii="宋体" w:hAnsi="宋体"/>
          <w:kern w:val="44"/>
        </w:rPr>
      </w:pPr>
      <w:r>
        <w:rPr>
          <w:rFonts w:hint="eastAsia" w:ascii="宋体" w:hAnsi="宋体"/>
          <w:b/>
          <w:kern w:val="44"/>
        </w:rPr>
        <w:t>第三十七条</w:t>
      </w:r>
      <w:r>
        <w:rPr>
          <w:rFonts w:hint="eastAsia" w:ascii="宋体" w:hAnsi="宋体"/>
          <w:kern w:val="44"/>
        </w:rPr>
        <w:t>　违反本办法第二十七条的规定，擅自在道路上设置地桩、地锁等障碍物的，由公安机关交通管理部门责令停止违法行为，迅速恢复交通；擅自在居住区公共区域内设置地桩、地锁等障碍物的，由住房城乡建设行政主管部门依据《物业管理条例》的相关规定进行处罚；擅自在道路、居住区以外的其他公共场所设置地桩、地锁等障碍物的，由城市管理综合执法部门责令停止违法行为，恢复原状，并处500元以上5000元以下罚款。</w:t>
      </w:r>
    </w:p>
    <w:p w14:paraId="10313DB8">
      <w:pPr>
        <w:jc w:val="left"/>
        <w:rPr>
          <w:rFonts w:ascii="宋体" w:hAnsi="宋体"/>
          <w:kern w:val="44"/>
        </w:rPr>
      </w:pPr>
      <w:r>
        <w:rPr>
          <w:rFonts w:hint="eastAsia" w:ascii="宋体" w:hAnsi="宋体"/>
          <w:kern w:val="44"/>
        </w:rPr>
        <w:t>公安机关交通管理部门应当会同城市管理综合执法部门具体划定各自在道路及道路、居住区以外其他公共场所相应的职责范围；对尚未明确划定执法管辖权的公共场所擅自设置地桩、地锁等障碍物的，由公安机关交通管理部门依照本条第一款的规定先行对违法行为予以处理。</w:t>
      </w:r>
    </w:p>
    <w:p w14:paraId="72024C6F">
      <w:pPr>
        <w:ind w:firstLine="422"/>
        <w:jc w:val="left"/>
        <w:rPr>
          <w:rFonts w:ascii="宋体" w:hAnsi="宋体"/>
          <w:kern w:val="44"/>
        </w:rPr>
      </w:pPr>
      <w:r>
        <w:rPr>
          <w:rFonts w:hint="eastAsia" w:ascii="宋体" w:hAnsi="宋体"/>
          <w:b/>
          <w:kern w:val="44"/>
        </w:rPr>
        <w:t>第三十八条</w:t>
      </w:r>
      <w:r>
        <w:rPr>
          <w:rFonts w:hint="eastAsia" w:ascii="宋体" w:hAnsi="宋体"/>
          <w:kern w:val="44"/>
        </w:rPr>
        <w:t>　对擅自设置的地桩、地锁等障碍物，属于《中华人民共和国行政强制法》第五十二条规定的情形的，相关部门可以决定立即实施代履行。</w:t>
      </w:r>
    </w:p>
    <w:p w14:paraId="7702925F">
      <w:pPr>
        <w:ind w:firstLine="422"/>
        <w:jc w:val="left"/>
        <w:rPr>
          <w:rFonts w:ascii="宋体" w:hAnsi="宋体"/>
          <w:kern w:val="44"/>
        </w:rPr>
      </w:pPr>
      <w:r>
        <w:rPr>
          <w:rFonts w:hint="eastAsia" w:ascii="宋体" w:hAnsi="宋体"/>
          <w:b/>
          <w:kern w:val="44"/>
        </w:rPr>
        <w:t>第三十九条</w:t>
      </w:r>
      <w:r>
        <w:rPr>
          <w:rFonts w:hint="eastAsia" w:ascii="宋体" w:hAnsi="宋体"/>
          <w:kern w:val="44"/>
        </w:rPr>
        <w:t>　违反本办法第二十八条第一款的规定，机动车在道路上违反规定停放的，由公安机关交通管理部门依法进行处罚。</w:t>
      </w:r>
    </w:p>
    <w:p w14:paraId="007BF3DD">
      <w:pPr>
        <w:ind w:firstLine="422"/>
        <w:jc w:val="left"/>
        <w:rPr>
          <w:rFonts w:ascii="宋体" w:hAnsi="宋体"/>
          <w:kern w:val="44"/>
        </w:rPr>
      </w:pPr>
      <w:r>
        <w:rPr>
          <w:rFonts w:hint="eastAsia" w:ascii="宋体" w:hAnsi="宋体"/>
          <w:b/>
          <w:kern w:val="44"/>
        </w:rPr>
        <w:t>第四十条</w:t>
      </w:r>
      <w:r>
        <w:rPr>
          <w:rFonts w:hint="eastAsia" w:ascii="宋体" w:hAnsi="宋体"/>
          <w:kern w:val="44"/>
        </w:rPr>
        <w:t>　违反本办法，属于违反规划、建设、税务、质量监督、民防、消防等其他相关法律、法规规定的，由相关行政主管部门依法处理。</w:t>
      </w:r>
    </w:p>
    <w:p w14:paraId="7934420B">
      <w:pPr>
        <w:jc w:val="left"/>
        <w:rPr>
          <w:rFonts w:ascii="宋体" w:hAnsi="宋体"/>
          <w:kern w:val="44"/>
        </w:rPr>
      </w:pPr>
      <w:r>
        <w:rPr>
          <w:rFonts w:hint="eastAsia" w:ascii="宋体" w:hAnsi="宋体"/>
          <w:kern w:val="44"/>
        </w:rPr>
        <w:t>行政机关在依法查处违法行为过程中，应当按照规定将涉嫌犯罪的案件移交公安机关。</w:t>
      </w:r>
    </w:p>
    <w:p w14:paraId="5742DF15">
      <w:pPr>
        <w:jc w:val="left"/>
        <w:rPr>
          <w:rFonts w:ascii="宋体" w:hAnsi="宋体"/>
          <w:kern w:val="44"/>
        </w:rPr>
      </w:pPr>
      <w:r>
        <w:rPr>
          <w:rFonts w:hint="eastAsia" w:ascii="宋体" w:hAnsi="宋体"/>
          <w:kern w:val="44"/>
        </w:rPr>
        <w:t>违反本办法，有扰乱公共秩序、招摇撞骗、诈骗、妨碍公务等违反治安管理的行为的，由公安机关依照《中华人民共和国治安管理处罚法》予以处理；构成犯罪的，依法追究刑事责任。</w:t>
      </w:r>
    </w:p>
    <w:p w14:paraId="3032784E">
      <w:pPr>
        <w:ind w:firstLine="422"/>
        <w:jc w:val="left"/>
        <w:rPr>
          <w:rFonts w:ascii="宋体" w:hAnsi="宋体"/>
          <w:kern w:val="44"/>
        </w:rPr>
      </w:pPr>
      <w:r>
        <w:rPr>
          <w:rFonts w:hint="eastAsia" w:ascii="宋体" w:hAnsi="宋体"/>
          <w:b/>
          <w:kern w:val="44"/>
        </w:rPr>
        <w:t>第四十一条</w:t>
      </w:r>
      <w:r>
        <w:rPr>
          <w:rFonts w:hint="eastAsia" w:ascii="宋体" w:hAnsi="宋体"/>
          <w:kern w:val="44"/>
        </w:rPr>
        <w:t>　行政机关在停车管理中不依法履行监督职责或者监督不力，造成严重后果的，由其上级行政机关或者监察机关责令改正，对直接负责的主管人员和其他直接责任人员依法给予行政处分；构成犯罪的，依法追究刑事责任。</w:t>
      </w:r>
    </w:p>
    <w:p w14:paraId="10B82F88">
      <w:pPr>
        <w:jc w:val="left"/>
        <w:rPr>
          <w:rFonts w:ascii="宋体" w:hAnsi="宋体"/>
          <w:kern w:val="44"/>
        </w:rPr>
      </w:pPr>
      <w:r>
        <w:rPr>
          <w:rFonts w:hint="eastAsia" w:ascii="宋体" w:hAnsi="宋体"/>
          <w:kern w:val="44"/>
        </w:rPr>
        <w:t>行政机关的工作人员在停车管理中滥用职权、玩忽职守、徇私舞弊、索贿受贿，构成犯罪的，依法追究刑事责任；尚不够刑事处罚的，依法给予行政处分。</w:t>
      </w:r>
    </w:p>
    <w:p w14:paraId="4EC12EF1">
      <w:pPr>
        <w:ind w:firstLine="422"/>
        <w:jc w:val="left"/>
        <w:rPr>
          <w:rFonts w:ascii="宋体" w:hAnsi="宋体"/>
          <w:kern w:val="44"/>
        </w:rPr>
      </w:pPr>
      <w:r>
        <w:rPr>
          <w:rFonts w:hint="eastAsia" w:ascii="宋体" w:hAnsi="宋体"/>
          <w:b/>
          <w:kern w:val="44"/>
        </w:rPr>
        <w:t>第四十二条</w:t>
      </w:r>
      <w:r>
        <w:rPr>
          <w:rFonts w:hint="eastAsia" w:ascii="宋体" w:hAnsi="宋体"/>
          <w:kern w:val="44"/>
        </w:rPr>
        <w:t>　本办法自2014年1月1日起施行。2001年3月28日经北京市人民政府第33次常务会议通过的《北京市机动车公共停车场管理办法》同时废止。</w:t>
      </w:r>
    </w:p>
    <w:p w14:paraId="73314C48">
      <w:pPr>
        <w:pStyle w:val="4"/>
        <w:pageBreakBefore/>
        <w:rPr>
          <w:kern w:val="44"/>
        </w:rPr>
      </w:pPr>
      <w:bookmarkStart w:id="664" w:name="_Toc422471192"/>
      <w:bookmarkStart w:id="665" w:name="_Toc428780058"/>
      <w:bookmarkStart w:id="666" w:name="_Toc427651834"/>
      <w:bookmarkStart w:id="667" w:name="_Toc428781540"/>
      <w:bookmarkStart w:id="668" w:name="_Toc427651492"/>
      <w:r>
        <w:rPr>
          <w:rFonts w:hint="eastAsia"/>
          <w:kern w:val="44"/>
        </w:rPr>
        <w:t>北京市民用运输机场管理办法</w:t>
      </w:r>
      <w:bookmarkEnd w:id="664"/>
      <w:bookmarkEnd w:id="665"/>
      <w:bookmarkEnd w:id="666"/>
      <w:bookmarkEnd w:id="667"/>
      <w:bookmarkEnd w:id="668"/>
    </w:p>
    <w:p w14:paraId="0DFE558F">
      <w:pPr>
        <w:ind w:left="630" w:leftChars="300" w:right="630" w:rightChars="300"/>
        <w:jc w:val="left"/>
        <w:rPr>
          <w:rFonts w:ascii="楷体" w:hAnsi="楷体" w:eastAsia="楷体"/>
          <w:kern w:val="44"/>
        </w:rPr>
      </w:pPr>
      <w:r>
        <w:rPr>
          <w:rFonts w:hint="eastAsia" w:ascii="楷体" w:hAnsi="楷体" w:eastAsia="楷体"/>
          <w:kern w:val="44"/>
        </w:rPr>
        <w:t>（2014年9月16日市人民政府第55次常务会议审议通过  2014年10月22日北京市人民政府第262号令公布）</w:t>
      </w:r>
    </w:p>
    <w:p w14:paraId="3B062A86">
      <w:pPr>
        <w:jc w:val="left"/>
        <w:rPr>
          <w:rFonts w:ascii="宋体" w:hAnsi="宋体"/>
          <w:kern w:val="44"/>
        </w:rPr>
      </w:pPr>
    </w:p>
    <w:p w14:paraId="6ABA2F2E">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为了规范民用运输机场的建设和管理，保障民用运输机场安全和有序运营，根据《民用机场管理条例》，结合本市实际情况，制定本办法。</w:t>
      </w:r>
    </w:p>
    <w:p w14:paraId="2F3D4013">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本办法适用于本市行政区域内民用运输机场（以下简称机场）的规划、建设、使用、管理及其相关活动。</w:t>
      </w:r>
    </w:p>
    <w:p w14:paraId="7F3B22DD">
      <w:pPr>
        <w:jc w:val="left"/>
        <w:rPr>
          <w:rFonts w:ascii="宋体" w:hAnsi="宋体"/>
          <w:kern w:val="44"/>
        </w:rPr>
      </w:pPr>
      <w:r>
        <w:rPr>
          <w:rFonts w:hint="eastAsia" w:ascii="宋体" w:hAnsi="宋体"/>
          <w:kern w:val="44"/>
        </w:rPr>
        <w:t>法律、法规和规章另有规定的，适用其规定。</w:t>
      </w:r>
    </w:p>
    <w:p w14:paraId="08BCB97E">
      <w:pPr>
        <w:ind w:firstLine="422"/>
        <w:jc w:val="left"/>
        <w:rPr>
          <w:rFonts w:ascii="宋体" w:hAnsi="宋体"/>
          <w:kern w:val="44"/>
        </w:rPr>
      </w:pPr>
      <w:r>
        <w:rPr>
          <w:rFonts w:hint="eastAsia" w:ascii="宋体" w:hAnsi="宋体"/>
          <w:b/>
          <w:kern w:val="44"/>
        </w:rPr>
        <w:t>第三条</w:t>
      </w:r>
      <w:r>
        <w:rPr>
          <w:rFonts w:hint="eastAsia" w:ascii="宋体" w:hAnsi="宋体"/>
          <w:kern w:val="44"/>
        </w:rPr>
        <w:t>　机场是公共基础设施。市人民政府鼓励、支持机场发展，依法履行属地管理职责，协调解决机场发展中的重大问题。</w:t>
      </w:r>
    </w:p>
    <w:p w14:paraId="03A8E8A7">
      <w:pPr>
        <w:jc w:val="left"/>
        <w:rPr>
          <w:rFonts w:ascii="宋体" w:hAnsi="宋体"/>
          <w:kern w:val="44"/>
        </w:rPr>
      </w:pPr>
      <w:r>
        <w:rPr>
          <w:rFonts w:hint="eastAsia" w:ascii="宋体" w:hAnsi="宋体"/>
          <w:kern w:val="44"/>
        </w:rPr>
        <w:t>市人民政府有关行政部门和机场所在地的区县人民政府应当落实相关措施，维护机场秩序，依法监督管理机场相关工作。</w:t>
      </w:r>
    </w:p>
    <w:p w14:paraId="46806EAB">
      <w:pPr>
        <w:ind w:firstLine="422"/>
        <w:jc w:val="left"/>
        <w:rPr>
          <w:rFonts w:ascii="宋体" w:hAnsi="宋体"/>
          <w:kern w:val="44"/>
        </w:rPr>
      </w:pPr>
      <w:r>
        <w:rPr>
          <w:rFonts w:hint="eastAsia" w:ascii="宋体" w:hAnsi="宋体"/>
          <w:b/>
          <w:kern w:val="44"/>
        </w:rPr>
        <w:t>第四条</w:t>
      </w:r>
      <w:r>
        <w:rPr>
          <w:rFonts w:hint="eastAsia" w:ascii="宋体" w:hAnsi="宋体"/>
          <w:kern w:val="44"/>
        </w:rPr>
        <w:t>　本市建立健全机场管理联席会议制度，研究解决机场在规划、建设、大气污染防治、噪声控制、净空保护、交通组织和食品药品监管等领域涉及属地管理职责的重大问题。</w:t>
      </w:r>
    </w:p>
    <w:p w14:paraId="61B0EE53">
      <w:pPr>
        <w:jc w:val="left"/>
        <w:rPr>
          <w:rFonts w:ascii="宋体" w:hAnsi="宋体"/>
          <w:kern w:val="44"/>
        </w:rPr>
      </w:pPr>
      <w:r>
        <w:rPr>
          <w:rFonts w:hint="eastAsia" w:ascii="宋体" w:hAnsi="宋体"/>
          <w:kern w:val="44"/>
        </w:rPr>
        <w:t>机场管理联席会议成员包括市人民政府有关行政部门、机场所在地的区县人民政府和机场管理机构等单位。机场管理联席会议办公室设在市口岸行政部门，负责组织协调机场管理联席会议的相关工作。</w:t>
      </w:r>
    </w:p>
    <w:p w14:paraId="357C7658">
      <w:pPr>
        <w:ind w:firstLine="422"/>
        <w:jc w:val="left"/>
        <w:rPr>
          <w:rFonts w:ascii="宋体" w:hAnsi="宋体"/>
          <w:kern w:val="44"/>
        </w:rPr>
      </w:pPr>
      <w:r>
        <w:rPr>
          <w:rFonts w:hint="eastAsia" w:ascii="宋体" w:hAnsi="宋体"/>
          <w:b/>
          <w:kern w:val="44"/>
        </w:rPr>
        <w:t>第五条</w:t>
      </w:r>
      <w:r>
        <w:rPr>
          <w:rFonts w:hint="eastAsia" w:ascii="宋体" w:hAnsi="宋体"/>
          <w:kern w:val="44"/>
        </w:rPr>
        <w:t>　机场管理机构负责机场的安全和运营管理，统一协调机场内航空运输企业和其他驻场单位共同保障机场安全运营。</w:t>
      </w:r>
    </w:p>
    <w:p w14:paraId="4A86D174">
      <w:pPr>
        <w:ind w:firstLine="422"/>
        <w:jc w:val="left"/>
        <w:rPr>
          <w:rFonts w:ascii="宋体" w:hAnsi="宋体"/>
          <w:kern w:val="44"/>
        </w:rPr>
      </w:pPr>
      <w:r>
        <w:rPr>
          <w:rFonts w:hint="eastAsia" w:ascii="宋体" w:hAnsi="宋体"/>
          <w:b/>
          <w:kern w:val="44"/>
        </w:rPr>
        <w:t>第六条</w:t>
      </w:r>
      <w:r>
        <w:rPr>
          <w:rFonts w:hint="eastAsia" w:ascii="宋体" w:hAnsi="宋体"/>
          <w:kern w:val="44"/>
        </w:rPr>
        <w:t>　机场总体规划由机场建设项目法人负责编制。机场改建、扩建的，其总体规划由机场管理机构负责编制。</w:t>
      </w:r>
    </w:p>
    <w:p w14:paraId="0D8244CC">
      <w:pPr>
        <w:jc w:val="left"/>
        <w:rPr>
          <w:rFonts w:ascii="宋体" w:hAnsi="宋体"/>
          <w:kern w:val="44"/>
        </w:rPr>
      </w:pPr>
      <w:r>
        <w:rPr>
          <w:rFonts w:hint="eastAsia" w:ascii="宋体" w:hAnsi="宋体"/>
          <w:kern w:val="44"/>
        </w:rPr>
        <w:t>机场总体规划应当符合有关净空保护、安全生产、消防、环境保护、市政市容、口岸监管及气象等方面的法律、法规、规章、标准和技术规范等要求。</w:t>
      </w:r>
    </w:p>
    <w:p w14:paraId="02BE720A">
      <w:pPr>
        <w:jc w:val="left"/>
        <w:rPr>
          <w:rFonts w:ascii="宋体" w:hAnsi="宋体"/>
          <w:kern w:val="44"/>
        </w:rPr>
      </w:pPr>
      <w:r>
        <w:rPr>
          <w:rFonts w:hint="eastAsia" w:ascii="宋体" w:hAnsi="宋体"/>
          <w:kern w:val="44"/>
        </w:rPr>
        <w:t>机场总体规划应当按照法定程序报经批准，并纳入本市城市总体规划。</w:t>
      </w:r>
    </w:p>
    <w:p w14:paraId="5BBB3341">
      <w:pPr>
        <w:ind w:firstLine="422"/>
        <w:jc w:val="left"/>
        <w:rPr>
          <w:rFonts w:ascii="宋体" w:hAnsi="宋体"/>
          <w:kern w:val="44"/>
        </w:rPr>
      </w:pPr>
      <w:r>
        <w:rPr>
          <w:rFonts w:hint="eastAsia" w:ascii="宋体" w:hAnsi="宋体"/>
          <w:b/>
          <w:kern w:val="44"/>
        </w:rPr>
        <w:t>第七条</w:t>
      </w:r>
      <w:r>
        <w:rPr>
          <w:rFonts w:hint="eastAsia" w:ascii="宋体" w:hAnsi="宋体"/>
          <w:kern w:val="44"/>
        </w:rPr>
        <w:t>　市人民政府有关行政部门负责统一规划和统筹建设机场外的供水、供电、供气、供热、通信、道路等基础设施，保证机场内外基础设施的衔接。</w:t>
      </w:r>
    </w:p>
    <w:p w14:paraId="757544BF">
      <w:pPr>
        <w:ind w:firstLine="422"/>
        <w:jc w:val="left"/>
        <w:rPr>
          <w:rFonts w:ascii="宋体" w:hAnsi="宋体"/>
          <w:kern w:val="44"/>
        </w:rPr>
      </w:pPr>
      <w:r>
        <w:rPr>
          <w:rFonts w:hint="eastAsia" w:ascii="宋体" w:hAnsi="宋体"/>
          <w:b/>
          <w:kern w:val="44"/>
        </w:rPr>
        <w:t>第八条</w:t>
      </w:r>
      <w:r>
        <w:rPr>
          <w:rFonts w:hint="eastAsia" w:ascii="宋体" w:hAnsi="宋体"/>
          <w:kern w:val="44"/>
        </w:rPr>
        <w:t>　机场地区地下管线工程建设单位应当在地下管线工程竣工验收后，按照国家和本市有关规定向城市建设档案馆移交地下管线走向、埋深、转折点位置等工程竣工档案资料。</w:t>
      </w:r>
    </w:p>
    <w:p w14:paraId="3AF959B7">
      <w:pPr>
        <w:jc w:val="left"/>
        <w:rPr>
          <w:rFonts w:ascii="宋体" w:hAnsi="宋体"/>
          <w:kern w:val="44"/>
        </w:rPr>
      </w:pPr>
      <w:r>
        <w:rPr>
          <w:rFonts w:hint="eastAsia" w:ascii="宋体" w:hAnsi="宋体"/>
          <w:kern w:val="44"/>
        </w:rPr>
        <w:t>机场管理机构可以向城市建设档案馆查询本条前款规定的工程竣工档案资料;未依法向城市建设档案馆移交工程竣工档案资料，或者移交的工程竣工档案资料不齐全、不准确的，机场管理机构可以向地下管线工程建设单位查询并获取相关资料，建设单位应当配合。</w:t>
      </w:r>
    </w:p>
    <w:p w14:paraId="28785BA6">
      <w:pPr>
        <w:ind w:firstLine="422"/>
        <w:jc w:val="left"/>
        <w:rPr>
          <w:rFonts w:ascii="宋体" w:hAnsi="宋体"/>
          <w:kern w:val="44"/>
        </w:rPr>
      </w:pPr>
      <w:r>
        <w:rPr>
          <w:rFonts w:hint="eastAsia" w:ascii="宋体" w:hAnsi="宋体"/>
          <w:b/>
          <w:kern w:val="44"/>
        </w:rPr>
        <w:t>第九条</w:t>
      </w:r>
      <w:r>
        <w:rPr>
          <w:rFonts w:hint="eastAsia" w:ascii="宋体" w:hAnsi="宋体"/>
          <w:kern w:val="44"/>
        </w:rPr>
        <w:t>　机场管理机构统一协调管理机场的安全运营，与航空运输企业和其他驻场单位签订协议，明确各方安全责任。</w:t>
      </w:r>
    </w:p>
    <w:p w14:paraId="2B24FF1D">
      <w:pPr>
        <w:jc w:val="left"/>
        <w:rPr>
          <w:rFonts w:ascii="宋体" w:hAnsi="宋体"/>
          <w:kern w:val="44"/>
        </w:rPr>
      </w:pPr>
      <w:r>
        <w:rPr>
          <w:rFonts w:hint="eastAsia" w:ascii="宋体" w:hAnsi="宋体"/>
          <w:kern w:val="44"/>
        </w:rPr>
        <w:t>航空运输企业和其他驻场单位应当遵守保障机场安全运营的法律、法规、规章和机场管理机构制定的机场安全管理制度，维护机场运营安全。</w:t>
      </w:r>
    </w:p>
    <w:p w14:paraId="6BC9B229">
      <w:pPr>
        <w:ind w:firstLine="422"/>
        <w:jc w:val="left"/>
        <w:rPr>
          <w:rFonts w:ascii="宋体" w:hAnsi="宋体"/>
          <w:kern w:val="44"/>
        </w:rPr>
      </w:pPr>
      <w:r>
        <w:rPr>
          <w:rFonts w:hint="eastAsia" w:ascii="宋体" w:hAnsi="宋体"/>
          <w:b/>
          <w:kern w:val="44"/>
        </w:rPr>
        <w:t>第十条</w:t>
      </w:r>
      <w:r>
        <w:rPr>
          <w:rFonts w:hint="eastAsia" w:ascii="宋体" w:hAnsi="宋体"/>
          <w:kern w:val="44"/>
        </w:rPr>
        <w:t>　任何单位和个人都应当依法履行机场净空保护和电磁保护的义务。</w:t>
      </w:r>
    </w:p>
    <w:p w14:paraId="5C2BEDD4">
      <w:pPr>
        <w:jc w:val="left"/>
        <w:rPr>
          <w:rFonts w:ascii="宋体" w:hAnsi="宋体"/>
          <w:kern w:val="44"/>
        </w:rPr>
      </w:pPr>
      <w:r>
        <w:rPr>
          <w:rFonts w:hint="eastAsia" w:ascii="宋体" w:hAnsi="宋体"/>
          <w:kern w:val="44"/>
        </w:rPr>
        <w:t>机场净空保护区域内建设工程施工单位使用临时升空机械时，应当提前书面通知机场管理机构。</w:t>
      </w:r>
    </w:p>
    <w:p w14:paraId="5F14E6DE">
      <w:pPr>
        <w:ind w:firstLine="422"/>
        <w:jc w:val="left"/>
        <w:rPr>
          <w:rFonts w:ascii="宋体" w:hAnsi="宋体"/>
          <w:kern w:val="44"/>
        </w:rPr>
      </w:pPr>
      <w:r>
        <w:rPr>
          <w:rFonts w:hint="eastAsia" w:ascii="宋体" w:hAnsi="宋体"/>
          <w:b/>
          <w:kern w:val="44"/>
        </w:rPr>
        <w:t>第十一条</w:t>
      </w:r>
      <w:r>
        <w:rPr>
          <w:rFonts w:hint="eastAsia" w:ascii="宋体" w:hAnsi="宋体"/>
          <w:kern w:val="44"/>
        </w:rPr>
        <w:t>　机场控制区禁止下列行为：</w:t>
      </w:r>
    </w:p>
    <w:p w14:paraId="022B7437">
      <w:pPr>
        <w:jc w:val="left"/>
        <w:rPr>
          <w:rFonts w:ascii="宋体" w:hAnsi="宋体"/>
          <w:kern w:val="44"/>
        </w:rPr>
      </w:pPr>
      <w:r>
        <w:rPr>
          <w:rFonts w:hint="eastAsia" w:ascii="宋体" w:hAnsi="宋体"/>
          <w:kern w:val="44"/>
        </w:rPr>
        <w:t>（一）无机场控制区通行证进入机场控制区；</w:t>
      </w:r>
    </w:p>
    <w:p w14:paraId="64B30A68">
      <w:pPr>
        <w:jc w:val="left"/>
        <w:rPr>
          <w:rFonts w:ascii="宋体" w:hAnsi="宋体"/>
          <w:kern w:val="44"/>
        </w:rPr>
      </w:pPr>
      <w:r>
        <w:rPr>
          <w:rFonts w:hint="eastAsia" w:ascii="宋体" w:hAnsi="宋体"/>
          <w:kern w:val="44"/>
        </w:rPr>
        <w:t>（二）强行闯入滑行道、客机坪，强行登、占航空器；</w:t>
      </w:r>
    </w:p>
    <w:p w14:paraId="25D50249">
      <w:pPr>
        <w:jc w:val="left"/>
        <w:rPr>
          <w:rFonts w:ascii="宋体" w:hAnsi="宋体"/>
          <w:kern w:val="44"/>
        </w:rPr>
      </w:pPr>
      <w:r>
        <w:rPr>
          <w:rFonts w:hint="eastAsia" w:ascii="宋体" w:hAnsi="宋体"/>
          <w:kern w:val="44"/>
        </w:rPr>
        <w:t>（三）攀（钻）越、损毁机场防护围栏和其他安全防护设施；</w:t>
      </w:r>
    </w:p>
    <w:p w14:paraId="2BFCBD83">
      <w:pPr>
        <w:jc w:val="left"/>
        <w:rPr>
          <w:rFonts w:ascii="宋体" w:hAnsi="宋体"/>
          <w:kern w:val="44"/>
        </w:rPr>
      </w:pPr>
      <w:r>
        <w:rPr>
          <w:rFonts w:hint="eastAsia" w:ascii="宋体" w:hAnsi="宋体"/>
          <w:kern w:val="44"/>
        </w:rPr>
        <w:t>（四）其他威胁航空运输安全、扰乱机场秩序的行为。</w:t>
      </w:r>
    </w:p>
    <w:p w14:paraId="2DD6DE72">
      <w:pPr>
        <w:jc w:val="left"/>
        <w:rPr>
          <w:rFonts w:ascii="宋体" w:hAnsi="宋体"/>
          <w:kern w:val="44"/>
        </w:rPr>
      </w:pPr>
      <w:r>
        <w:rPr>
          <w:rFonts w:hint="eastAsia" w:ascii="宋体" w:hAnsi="宋体"/>
          <w:kern w:val="44"/>
        </w:rPr>
        <w:t>机场管理机构应当向社会公示机场控制区的范围。</w:t>
      </w:r>
    </w:p>
    <w:p w14:paraId="1FCEC928">
      <w:pPr>
        <w:jc w:val="left"/>
        <w:rPr>
          <w:rFonts w:ascii="宋体" w:hAnsi="宋体"/>
          <w:kern w:val="44"/>
        </w:rPr>
      </w:pPr>
      <w:r>
        <w:rPr>
          <w:rFonts w:hint="eastAsia" w:ascii="宋体" w:hAnsi="宋体"/>
          <w:kern w:val="44"/>
        </w:rPr>
        <w:t>违反本条第一款规定的，由公安机关依法处理。</w:t>
      </w:r>
    </w:p>
    <w:p w14:paraId="4C1BF9C5">
      <w:pPr>
        <w:ind w:firstLine="422"/>
        <w:jc w:val="left"/>
        <w:rPr>
          <w:rFonts w:ascii="宋体" w:hAnsi="宋体"/>
          <w:kern w:val="44"/>
        </w:rPr>
      </w:pPr>
      <w:r>
        <w:rPr>
          <w:rFonts w:hint="eastAsia" w:ascii="宋体" w:hAnsi="宋体"/>
          <w:b/>
          <w:kern w:val="44"/>
        </w:rPr>
        <w:t>第十二条</w:t>
      </w:r>
      <w:r>
        <w:rPr>
          <w:rFonts w:hint="eastAsia" w:ascii="宋体" w:hAnsi="宋体"/>
          <w:kern w:val="44"/>
        </w:rPr>
        <w:t>　机场管理机构负责编制机场突发事件应急预案。机场突发事件应急预案应当按照规定向机场所在地的区县人民政府备案。</w:t>
      </w:r>
    </w:p>
    <w:p w14:paraId="51295678">
      <w:pPr>
        <w:jc w:val="left"/>
        <w:rPr>
          <w:rFonts w:ascii="宋体" w:hAnsi="宋体"/>
          <w:kern w:val="44"/>
        </w:rPr>
      </w:pPr>
      <w:r>
        <w:rPr>
          <w:rFonts w:hint="eastAsia" w:ascii="宋体" w:hAnsi="宋体"/>
          <w:kern w:val="44"/>
        </w:rPr>
        <w:t>机场管理机构应当建立应急演练制度，定期组织相关单位进行应急演练，组织开展应急预案相关管理人员和专业救援人员应急预案培训。</w:t>
      </w:r>
    </w:p>
    <w:p w14:paraId="7F83481C">
      <w:pPr>
        <w:ind w:firstLine="422"/>
        <w:jc w:val="left"/>
        <w:rPr>
          <w:rFonts w:ascii="宋体" w:hAnsi="宋体"/>
          <w:kern w:val="44"/>
        </w:rPr>
      </w:pPr>
      <w:r>
        <w:rPr>
          <w:rFonts w:hint="eastAsia" w:ascii="宋体" w:hAnsi="宋体"/>
          <w:b/>
          <w:kern w:val="44"/>
        </w:rPr>
        <w:t>第十三条</w:t>
      </w:r>
      <w:r>
        <w:rPr>
          <w:rFonts w:hint="eastAsia" w:ascii="宋体" w:hAnsi="宋体"/>
          <w:kern w:val="44"/>
        </w:rPr>
        <w:t>　市人民政府会同国务院民用航空主管部门建立机场突发事件应急会商机制，负责机场突发事件应急处置的指挥与协调。</w:t>
      </w:r>
    </w:p>
    <w:p w14:paraId="0DE9585C">
      <w:pPr>
        <w:jc w:val="left"/>
        <w:rPr>
          <w:rFonts w:ascii="宋体" w:hAnsi="宋体"/>
          <w:kern w:val="44"/>
        </w:rPr>
      </w:pPr>
      <w:r>
        <w:rPr>
          <w:rFonts w:hint="eastAsia" w:ascii="宋体" w:hAnsi="宋体"/>
          <w:kern w:val="44"/>
        </w:rPr>
        <w:t>在机场发生突发事件时，公安、交通、卫生计生、食品药品监管、通信、气象、水务等行政部门应当按照本市突发事件总体应急预案，做好机场突发事件应急救援的保障工作。</w:t>
      </w:r>
    </w:p>
    <w:p w14:paraId="7DAC4552">
      <w:pPr>
        <w:ind w:firstLine="422"/>
        <w:jc w:val="left"/>
        <w:rPr>
          <w:rFonts w:ascii="宋体" w:hAnsi="宋体"/>
          <w:kern w:val="44"/>
        </w:rPr>
      </w:pPr>
      <w:r>
        <w:rPr>
          <w:rFonts w:hint="eastAsia" w:ascii="宋体" w:hAnsi="宋体"/>
          <w:b/>
          <w:kern w:val="44"/>
        </w:rPr>
        <w:t>第十四条</w:t>
      </w:r>
      <w:r>
        <w:rPr>
          <w:rFonts w:hint="eastAsia" w:ascii="宋体" w:hAnsi="宋体"/>
          <w:kern w:val="44"/>
        </w:rPr>
        <w:t>　机场管理机构应当通过信息显示屏、广播、网络等方式及时发布航班计划、航班实时到达和出发时间、进出机场地区公共交通班次、配套服务设施指南等信息，并与市交通行政部门建立信息共享机制。</w:t>
      </w:r>
    </w:p>
    <w:p w14:paraId="3AAB5C89">
      <w:pPr>
        <w:ind w:firstLine="422"/>
        <w:jc w:val="left"/>
        <w:rPr>
          <w:rFonts w:ascii="宋体" w:hAnsi="宋体"/>
          <w:kern w:val="44"/>
        </w:rPr>
      </w:pPr>
      <w:r>
        <w:rPr>
          <w:rFonts w:hint="eastAsia" w:ascii="宋体" w:hAnsi="宋体"/>
          <w:b/>
          <w:kern w:val="44"/>
        </w:rPr>
        <w:t>第十五条</w:t>
      </w:r>
      <w:r>
        <w:rPr>
          <w:rFonts w:hint="eastAsia" w:ascii="宋体" w:hAnsi="宋体"/>
          <w:kern w:val="44"/>
        </w:rPr>
        <w:t>　当发生大量旅客滞留时，机场管理机构应当采取措施疏散滞留旅客，同时将滞留情况及时向市交通行政部门、机场所在地的区县人民政府报告；必要时，市交通行政部门、机场所在地的区县人民政府应当组织协调运力，疏散滞留旅客。</w:t>
      </w:r>
    </w:p>
    <w:p w14:paraId="5367EFA1">
      <w:pPr>
        <w:ind w:firstLine="422"/>
        <w:jc w:val="left"/>
        <w:rPr>
          <w:rFonts w:ascii="宋体" w:hAnsi="宋体"/>
          <w:kern w:val="44"/>
        </w:rPr>
      </w:pPr>
      <w:r>
        <w:rPr>
          <w:rFonts w:hint="eastAsia" w:ascii="宋体" w:hAnsi="宋体"/>
          <w:b/>
          <w:kern w:val="44"/>
        </w:rPr>
        <w:t>第十六条</w:t>
      </w:r>
      <w:r>
        <w:rPr>
          <w:rFonts w:hint="eastAsia" w:ascii="宋体" w:hAnsi="宋体"/>
          <w:kern w:val="44"/>
        </w:rPr>
        <w:t>　市市政市容行政部门会同机场管理机构编制机场地区户外广告设置规划；在机场地区设置户外广告设施，应当符合机场地区户外广告设置规划。</w:t>
      </w:r>
    </w:p>
    <w:p w14:paraId="543381E0">
      <w:pPr>
        <w:jc w:val="left"/>
        <w:rPr>
          <w:rFonts w:ascii="宋体" w:hAnsi="宋体"/>
          <w:kern w:val="44"/>
        </w:rPr>
      </w:pPr>
      <w:r>
        <w:rPr>
          <w:rFonts w:hint="eastAsia" w:ascii="宋体" w:hAnsi="宋体"/>
          <w:kern w:val="44"/>
        </w:rPr>
        <w:t>在机场地区户外广告设施上发布户外广告，应当依法办理户外广告登记手续。</w:t>
      </w:r>
    </w:p>
    <w:p w14:paraId="60E99D08">
      <w:pPr>
        <w:ind w:firstLine="422"/>
        <w:jc w:val="left"/>
        <w:rPr>
          <w:rFonts w:ascii="宋体" w:hAnsi="宋体"/>
          <w:kern w:val="44"/>
        </w:rPr>
      </w:pPr>
      <w:r>
        <w:rPr>
          <w:rFonts w:hint="eastAsia" w:ascii="宋体" w:hAnsi="宋体"/>
          <w:b/>
          <w:kern w:val="44"/>
        </w:rPr>
        <w:t>第十七条</w:t>
      </w:r>
      <w:r>
        <w:rPr>
          <w:rFonts w:hint="eastAsia" w:ascii="宋体" w:hAnsi="宋体"/>
          <w:kern w:val="44"/>
        </w:rPr>
        <w:t>　机场所在地的区县市政市容行政部门应当明确机场管理机构、航空运输企业和其他驻场单位市容环境卫生责任区的具体范围和责任要求，督促其做好市容环境卫生工作。</w:t>
      </w:r>
    </w:p>
    <w:p w14:paraId="4A7219A3">
      <w:pPr>
        <w:jc w:val="left"/>
        <w:rPr>
          <w:rFonts w:ascii="宋体" w:hAnsi="宋体"/>
          <w:kern w:val="44"/>
        </w:rPr>
      </w:pPr>
      <w:r>
        <w:rPr>
          <w:rFonts w:hint="eastAsia" w:ascii="宋体" w:hAnsi="宋体"/>
          <w:kern w:val="44"/>
        </w:rPr>
        <w:t>机场管理机构、航空运输企业和其他驻场单位应当明确各自责任区的市容环境卫生责任人，做好责任区内环境卫生工作。</w:t>
      </w:r>
    </w:p>
    <w:p w14:paraId="2C457A97">
      <w:pPr>
        <w:ind w:firstLine="422"/>
        <w:jc w:val="left"/>
        <w:rPr>
          <w:rFonts w:ascii="宋体" w:hAnsi="宋体"/>
          <w:kern w:val="44"/>
        </w:rPr>
      </w:pPr>
      <w:r>
        <w:rPr>
          <w:rFonts w:hint="eastAsia" w:ascii="宋体" w:hAnsi="宋体"/>
          <w:b/>
          <w:kern w:val="44"/>
        </w:rPr>
        <w:t>第十八条</w:t>
      </w:r>
      <w:r>
        <w:rPr>
          <w:rFonts w:hint="eastAsia" w:ascii="宋体" w:hAnsi="宋体"/>
          <w:kern w:val="44"/>
        </w:rPr>
        <w:t>　机场地区的绿地建设责任单位、管护责任单位应当做好其职责范围内的绿地建设、管护工作。</w:t>
      </w:r>
    </w:p>
    <w:p w14:paraId="1D568192">
      <w:pPr>
        <w:jc w:val="left"/>
        <w:rPr>
          <w:rFonts w:ascii="宋体" w:hAnsi="宋体"/>
          <w:kern w:val="44"/>
        </w:rPr>
      </w:pPr>
      <w:r>
        <w:rPr>
          <w:rFonts w:hint="eastAsia" w:ascii="宋体" w:hAnsi="宋体"/>
          <w:kern w:val="44"/>
        </w:rPr>
        <w:t>机场地区的绿地建设责任不明确的，由机场所在地的区县人民政府确定。机场地区的绿地管护责任不明确的，由机场所在地的区县园林绿化行政部门确定。</w:t>
      </w:r>
    </w:p>
    <w:p w14:paraId="1CB39128">
      <w:pPr>
        <w:ind w:firstLine="422"/>
        <w:jc w:val="left"/>
        <w:rPr>
          <w:rFonts w:ascii="宋体" w:hAnsi="宋体"/>
          <w:kern w:val="44"/>
        </w:rPr>
      </w:pPr>
      <w:r>
        <w:rPr>
          <w:rFonts w:hint="eastAsia" w:ascii="宋体" w:hAnsi="宋体"/>
          <w:b/>
          <w:kern w:val="44"/>
        </w:rPr>
        <w:t>第十九条</w:t>
      </w:r>
      <w:r>
        <w:rPr>
          <w:rFonts w:hint="eastAsia" w:ascii="宋体" w:hAnsi="宋体"/>
          <w:kern w:val="44"/>
        </w:rPr>
        <w:t>　在机场航站楼及其楼前道路和停车场内从事下列可能影响公共秩序的活动，活动的组织者、举办者应当提前报经机场管理机构同意：</w:t>
      </w:r>
    </w:p>
    <w:p w14:paraId="2FB51519">
      <w:pPr>
        <w:jc w:val="left"/>
        <w:rPr>
          <w:rFonts w:ascii="宋体" w:hAnsi="宋体"/>
          <w:kern w:val="44"/>
        </w:rPr>
      </w:pPr>
      <w:r>
        <w:rPr>
          <w:rFonts w:hint="eastAsia" w:ascii="宋体" w:hAnsi="宋体"/>
          <w:kern w:val="44"/>
        </w:rPr>
        <w:t>（一）开展募捐活动；</w:t>
      </w:r>
    </w:p>
    <w:p w14:paraId="6B41AE76">
      <w:pPr>
        <w:jc w:val="left"/>
        <w:rPr>
          <w:rFonts w:ascii="宋体" w:hAnsi="宋体"/>
          <w:kern w:val="44"/>
        </w:rPr>
      </w:pPr>
      <w:r>
        <w:rPr>
          <w:rFonts w:hint="eastAsia" w:ascii="宋体" w:hAnsi="宋体"/>
          <w:kern w:val="44"/>
        </w:rPr>
        <w:t>（二）进行新闻采访、调查咨询；</w:t>
      </w:r>
    </w:p>
    <w:p w14:paraId="40A26995">
      <w:pPr>
        <w:jc w:val="left"/>
        <w:rPr>
          <w:rFonts w:ascii="宋体" w:hAnsi="宋体"/>
          <w:kern w:val="44"/>
        </w:rPr>
      </w:pPr>
      <w:r>
        <w:rPr>
          <w:rFonts w:hint="eastAsia" w:ascii="宋体" w:hAnsi="宋体"/>
          <w:kern w:val="44"/>
        </w:rPr>
        <w:t>（三）现场制作广播电影电视节目；</w:t>
      </w:r>
    </w:p>
    <w:p w14:paraId="35873EBD">
      <w:pPr>
        <w:jc w:val="left"/>
        <w:rPr>
          <w:rFonts w:ascii="宋体" w:hAnsi="宋体"/>
          <w:kern w:val="44"/>
        </w:rPr>
      </w:pPr>
      <w:r>
        <w:rPr>
          <w:rFonts w:hint="eastAsia" w:ascii="宋体" w:hAnsi="宋体"/>
          <w:kern w:val="44"/>
        </w:rPr>
        <w:t>（四）举办文娱、体育、展览、展销等活动。</w:t>
      </w:r>
    </w:p>
    <w:p w14:paraId="43727FCC">
      <w:pPr>
        <w:jc w:val="left"/>
        <w:rPr>
          <w:rFonts w:ascii="宋体" w:hAnsi="宋体"/>
          <w:kern w:val="44"/>
        </w:rPr>
      </w:pPr>
      <w:r>
        <w:rPr>
          <w:rFonts w:hint="eastAsia" w:ascii="宋体" w:hAnsi="宋体"/>
          <w:kern w:val="44"/>
        </w:rPr>
        <w:t>未经机场管理机构同意从事本条前款所列活动的，机场管理机构可以进行劝阻。</w:t>
      </w:r>
    </w:p>
    <w:p w14:paraId="3DEACB3F">
      <w:pPr>
        <w:ind w:firstLine="422"/>
        <w:jc w:val="left"/>
        <w:rPr>
          <w:rFonts w:ascii="宋体" w:hAnsi="宋体"/>
          <w:kern w:val="44"/>
        </w:rPr>
      </w:pPr>
      <w:r>
        <w:rPr>
          <w:rFonts w:hint="eastAsia" w:ascii="宋体" w:hAnsi="宋体"/>
          <w:b/>
          <w:kern w:val="44"/>
        </w:rPr>
        <w:t>第二十条</w:t>
      </w:r>
      <w:r>
        <w:rPr>
          <w:rFonts w:hint="eastAsia" w:ascii="宋体" w:hAnsi="宋体"/>
          <w:kern w:val="44"/>
        </w:rPr>
        <w:t>　机场管理机构、航空运输企业和其他驻场单位应当按照国家和本市规定的标准配备餐饮、通信、医疗救助等服务设施、设备，履行服务规范和承诺，为旅客提供优质、便捷的服务。</w:t>
      </w:r>
    </w:p>
    <w:p w14:paraId="156EDB81">
      <w:pPr>
        <w:jc w:val="left"/>
        <w:rPr>
          <w:rFonts w:ascii="宋体" w:hAnsi="宋体"/>
          <w:kern w:val="44"/>
        </w:rPr>
      </w:pPr>
      <w:r>
        <w:rPr>
          <w:rFonts w:hint="eastAsia" w:ascii="宋体" w:hAnsi="宋体"/>
          <w:kern w:val="44"/>
        </w:rPr>
        <w:t>机场管理机构应当组织协调航空运输企业和其他驻场单位做好全市性重大活动或者重要涉外活动在机场内的服务保障工作。</w:t>
      </w:r>
    </w:p>
    <w:p w14:paraId="2EEBAC4D">
      <w:pPr>
        <w:ind w:firstLine="422"/>
        <w:jc w:val="left"/>
        <w:rPr>
          <w:rFonts w:ascii="宋体" w:hAnsi="宋体"/>
          <w:kern w:val="44"/>
        </w:rPr>
      </w:pPr>
      <w:r>
        <w:rPr>
          <w:rFonts w:hint="eastAsia" w:ascii="宋体" w:hAnsi="宋体"/>
          <w:b/>
          <w:kern w:val="44"/>
        </w:rPr>
        <w:t>第二十一条</w:t>
      </w:r>
      <w:r>
        <w:rPr>
          <w:rFonts w:hint="eastAsia" w:ascii="宋体" w:hAnsi="宋体"/>
          <w:kern w:val="44"/>
        </w:rPr>
        <w:t>　有关行政部门在机场公共区进行行政执法应当告知机场管理机构，机场管理机构应当予以配合并提供便利。有关行政部门应当采取有利于维护机场安全和有序运营的执法方式。</w:t>
      </w:r>
    </w:p>
    <w:p w14:paraId="12A0D5E9">
      <w:pPr>
        <w:ind w:firstLine="422"/>
        <w:jc w:val="left"/>
        <w:rPr>
          <w:rFonts w:ascii="宋体" w:hAnsi="宋体"/>
          <w:kern w:val="44"/>
        </w:rPr>
      </w:pPr>
      <w:r>
        <w:rPr>
          <w:rFonts w:hint="eastAsia" w:ascii="宋体" w:hAnsi="宋体"/>
          <w:b/>
          <w:kern w:val="44"/>
        </w:rPr>
        <w:t>第二十二条</w:t>
      </w:r>
      <w:r>
        <w:rPr>
          <w:rFonts w:hint="eastAsia" w:ascii="宋体" w:hAnsi="宋体"/>
          <w:kern w:val="44"/>
        </w:rPr>
        <w:t>　对在机场公共区发生的扰乱公共秩序、破坏机场环境的违法行为，有关行政部门可以委托机场管理机构实施行政处罚。</w:t>
      </w:r>
    </w:p>
    <w:p w14:paraId="19D2CCDD">
      <w:pPr>
        <w:ind w:firstLine="422"/>
        <w:jc w:val="left"/>
        <w:rPr>
          <w:rFonts w:ascii="宋体" w:hAnsi="宋体"/>
          <w:kern w:val="44"/>
        </w:rPr>
      </w:pPr>
      <w:r>
        <w:rPr>
          <w:rFonts w:hint="eastAsia" w:ascii="宋体" w:hAnsi="宋体"/>
          <w:b/>
          <w:kern w:val="44"/>
        </w:rPr>
        <w:t>第二十三条</w:t>
      </w:r>
      <w:r>
        <w:rPr>
          <w:rFonts w:hint="eastAsia" w:ascii="宋体" w:hAnsi="宋体"/>
          <w:kern w:val="44"/>
        </w:rPr>
        <w:t>　有关行政部门委托机场管理机构实施行政处罚，应当遵守下列规定：</w:t>
      </w:r>
    </w:p>
    <w:p w14:paraId="388DEF7D">
      <w:pPr>
        <w:jc w:val="left"/>
        <w:rPr>
          <w:rFonts w:ascii="宋体" w:hAnsi="宋体"/>
          <w:kern w:val="44"/>
        </w:rPr>
      </w:pPr>
      <w:r>
        <w:rPr>
          <w:rFonts w:hint="eastAsia" w:ascii="宋体" w:hAnsi="宋体"/>
          <w:kern w:val="44"/>
        </w:rPr>
        <w:t>（一）与机场管理机构书面签订实施行政处罚委托书，并将委托实施行政处罚的管辖范围、权限、期限等予以公告；</w:t>
      </w:r>
    </w:p>
    <w:p w14:paraId="7B73ACFF">
      <w:pPr>
        <w:jc w:val="left"/>
        <w:rPr>
          <w:rFonts w:ascii="宋体" w:hAnsi="宋体"/>
          <w:kern w:val="44"/>
        </w:rPr>
      </w:pPr>
      <w:r>
        <w:rPr>
          <w:rFonts w:hint="eastAsia" w:ascii="宋体" w:hAnsi="宋体"/>
          <w:kern w:val="44"/>
        </w:rPr>
        <w:t>（二）对机场管理机构实施行政处罚行为的合法性、合理性进行监督；</w:t>
      </w:r>
    </w:p>
    <w:p w14:paraId="0A3DE3EE">
      <w:pPr>
        <w:jc w:val="left"/>
        <w:rPr>
          <w:rFonts w:ascii="宋体" w:hAnsi="宋体"/>
          <w:kern w:val="44"/>
        </w:rPr>
      </w:pPr>
      <w:r>
        <w:rPr>
          <w:rFonts w:hint="eastAsia" w:ascii="宋体" w:hAnsi="宋体"/>
          <w:kern w:val="44"/>
        </w:rPr>
        <w:t>（三）不得实施已委托机场管理机构实施的行政处罚事项；</w:t>
      </w:r>
    </w:p>
    <w:p w14:paraId="18384E35">
      <w:pPr>
        <w:jc w:val="left"/>
        <w:rPr>
          <w:rFonts w:ascii="宋体" w:hAnsi="宋体"/>
          <w:kern w:val="44"/>
        </w:rPr>
      </w:pPr>
      <w:r>
        <w:rPr>
          <w:rFonts w:hint="eastAsia" w:ascii="宋体" w:hAnsi="宋体"/>
          <w:kern w:val="44"/>
        </w:rPr>
        <w:t>（四）对机场管理机构实施的行政处罚承担法律责任。</w:t>
      </w:r>
    </w:p>
    <w:p w14:paraId="057BB61E">
      <w:pPr>
        <w:ind w:firstLine="422"/>
        <w:jc w:val="left"/>
        <w:rPr>
          <w:rFonts w:ascii="宋体" w:hAnsi="宋体"/>
          <w:kern w:val="44"/>
        </w:rPr>
      </w:pPr>
      <w:r>
        <w:rPr>
          <w:rFonts w:hint="eastAsia" w:ascii="宋体" w:hAnsi="宋体"/>
          <w:b/>
          <w:kern w:val="44"/>
        </w:rPr>
        <w:t>第二十四条</w:t>
      </w:r>
      <w:r>
        <w:rPr>
          <w:rFonts w:hint="eastAsia" w:ascii="宋体" w:hAnsi="宋体"/>
          <w:kern w:val="44"/>
        </w:rPr>
        <w:t>　机场管理机构接受有关行政部门委托实施行政处罚，应当遵守下列规定：</w:t>
      </w:r>
    </w:p>
    <w:p w14:paraId="6EE5722B">
      <w:pPr>
        <w:jc w:val="left"/>
        <w:rPr>
          <w:rFonts w:ascii="宋体" w:hAnsi="宋体"/>
          <w:kern w:val="44"/>
        </w:rPr>
      </w:pPr>
      <w:r>
        <w:rPr>
          <w:rFonts w:hint="eastAsia" w:ascii="宋体" w:hAnsi="宋体"/>
          <w:kern w:val="44"/>
        </w:rPr>
        <w:t>（一）配备熟悉有关法律、法规、规章和机场管理业务的执法人员；</w:t>
      </w:r>
    </w:p>
    <w:p w14:paraId="1F435651">
      <w:pPr>
        <w:jc w:val="left"/>
        <w:rPr>
          <w:rFonts w:ascii="宋体" w:hAnsi="宋体"/>
          <w:kern w:val="44"/>
        </w:rPr>
      </w:pPr>
      <w:r>
        <w:rPr>
          <w:rFonts w:hint="eastAsia" w:ascii="宋体" w:hAnsi="宋体"/>
          <w:kern w:val="44"/>
        </w:rPr>
        <w:t>（二）执法人员应当经过培训、考核合格并取得执法证件；</w:t>
      </w:r>
    </w:p>
    <w:p w14:paraId="09FEF0E1">
      <w:pPr>
        <w:jc w:val="left"/>
        <w:rPr>
          <w:rFonts w:ascii="宋体" w:hAnsi="宋体"/>
          <w:kern w:val="44"/>
        </w:rPr>
      </w:pPr>
      <w:r>
        <w:rPr>
          <w:rFonts w:hint="eastAsia" w:ascii="宋体" w:hAnsi="宋体"/>
          <w:kern w:val="44"/>
        </w:rPr>
        <w:t>（三）严格依照委托内容和法定程序实施行政处罚；</w:t>
      </w:r>
    </w:p>
    <w:p w14:paraId="75402918">
      <w:pPr>
        <w:jc w:val="left"/>
        <w:rPr>
          <w:rFonts w:ascii="宋体" w:hAnsi="宋体"/>
          <w:kern w:val="44"/>
        </w:rPr>
      </w:pPr>
      <w:r>
        <w:rPr>
          <w:rFonts w:hint="eastAsia" w:ascii="宋体" w:hAnsi="宋体"/>
          <w:kern w:val="44"/>
        </w:rPr>
        <w:t>（四）将实施行政处罚的情况向委托部门报告，并接受监督。</w:t>
      </w:r>
    </w:p>
    <w:p w14:paraId="134C96C4">
      <w:pPr>
        <w:ind w:firstLine="422"/>
        <w:jc w:val="left"/>
        <w:rPr>
          <w:rFonts w:ascii="宋体" w:hAnsi="宋体"/>
          <w:kern w:val="44"/>
        </w:rPr>
      </w:pPr>
      <w:r>
        <w:rPr>
          <w:rFonts w:hint="eastAsia" w:ascii="宋体" w:hAnsi="宋体"/>
          <w:b/>
          <w:kern w:val="44"/>
        </w:rPr>
        <w:t>第二十五条</w:t>
      </w:r>
      <w:r>
        <w:rPr>
          <w:rFonts w:hint="eastAsia" w:ascii="宋体" w:hAnsi="宋体"/>
          <w:kern w:val="44"/>
        </w:rPr>
        <w:t>　市人民政府有关行政部门、机场所在地的区县人民政府和机场管理机构对机场地区行政执法涉及的法律依据、主体资格、执法范围、执法权限和方式等问题无法准确界定或者存在分歧的，可以提请机场管理联席会议研究解决。</w:t>
      </w:r>
    </w:p>
    <w:p w14:paraId="58E3FBFD">
      <w:pPr>
        <w:ind w:firstLine="422"/>
        <w:jc w:val="left"/>
        <w:rPr>
          <w:rFonts w:ascii="宋体" w:hAnsi="宋体"/>
          <w:kern w:val="44"/>
        </w:rPr>
      </w:pPr>
      <w:r>
        <w:rPr>
          <w:rFonts w:hint="eastAsia" w:ascii="宋体" w:hAnsi="宋体"/>
          <w:b/>
          <w:kern w:val="44"/>
        </w:rPr>
        <w:t>第二十六条</w:t>
      </w:r>
      <w:r>
        <w:rPr>
          <w:rFonts w:hint="eastAsia" w:ascii="宋体" w:hAnsi="宋体"/>
          <w:kern w:val="44"/>
        </w:rPr>
        <w:t>　本办法下列用语的含义：</w:t>
      </w:r>
    </w:p>
    <w:p w14:paraId="1094E562">
      <w:pPr>
        <w:jc w:val="left"/>
        <w:rPr>
          <w:rFonts w:ascii="宋体" w:hAnsi="宋体"/>
          <w:kern w:val="44"/>
        </w:rPr>
      </w:pPr>
      <w:r>
        <w:rPr>
          <w:rFonts w:hint="eastAsia" w:ascii="宋体" w:hAnsi="宋体"/>
          <w:kern w:val="44"/>
        </w:rPr>
        <w:t>机场管理机构，是指依法组建或者受委托负责机场安全和运营管理的具有法人资格的机构。</w:t>
      </w:r>
    </w:p>
    <w:p w14:paraId="22307D70">
      <w:pPr>
        <w:jc w:val="left"/>
        <w:rPr>
          <w:rFonts w:ascii="宋体" w:hAnsi="宋体"/>
          <w:kern w:val="44"/>
        </w:rPr>
      </w:pPr>
      <w:r>
        <w:rPr>
          <w:rFonts w:hint="eastAsia" w:ascii="宋体" w:hAnsi="宋体"/>
          <w:kern w:val="44"/>
        </w:rPr>
        <w:t>机场地区，是指本市城市总体规划中划定的民用运输机场用地的区域，包括机场控制区和机场公共区。</w:t>
      </w:r>
    </w:p>
    <w:p w14:paraId="2A9338F2">
      <w:pPr>
        <w:jc w:val="left"/>
        <w:rPr>
          <w:rFonts w:ascii="宋体" w:hAnsi="宋体"/>
          <w:kern w:val="44"/>
        </w:rPr>
      </w:pPr>
      <w:r>
        <w:rPr>
          <w:rFonts w:hint="eastAsia" w:ascii="宋体" w:hAnsi="宋体"/>
          <w:kern w:val="44"/>
        </w:rPr>
        <w:t>机场控制区，是指根据安全需要在机场内划定的进出受到限制的区域，包括候机隔离区、行李分检装卸区、航空器活动区、航空器维修区和货物存放区等。</w:t>
      </w:r>
    </w:p>
    <w:p w14:paraId="52EB2933">
      <w:pPr>
        <w:jc w:val="left"/>
        <w:rPr>
          <w:rFonts w:ascii="宋体" w:hAnsi="宋体"/>
          <w:kern w:val="44"/>
        </w:rPr>
      </w:pPr>
      <w:r>
        <w:rPr>
          <w:rFonts w:hint="eastAsia" w:ascii="宋体" w:hAnsi="宋体"/>
          <w:kern w:val="44"/>
        </w:rPr>
        <w:t>机场公共区，是指机场控制区以外的机场地区。</w:t>
      </w:r>
    </w:p>
    <w:p w14:paraId="285A819F">
      <w:pPr>
        <w:ind w:firstLine="422"/>
        <w:jc w:val="left"/>
        <w:rPr>
          <w:rFonts w:ascii="宋体" w:hAnsi="宋体"/>
          <w:kern w:val="44"/>
        </w:rPr>
      </w:pPr>
      <w:r>
        <w:rPr>
          <w:rFonts w:hint="eastAsia" w:ascii="宋体" w:hAnsi="宋体"/>
          <w:b/>
          <w:kern w:val="44"/>
        </w:rPr>
        <w:t>第二十七条</w:t>
      </w:r>
      <w:r>
        <w:rPr>
          <w:rFonts w:hint="eastAsia" w:ascii="宋体" w:hAnsi="宋体"/>
          <w:kern w:val="44"/>
        </w:rPr>
        <w:t>　本办法自2015年1月1日起施行。</w:t>
      </w:r>
    </w:p>
    <w:p w14:paraId="6E2A8EB4">
      <w:pPr>
        <w:pStyle w:val="3"/>
        <w:pageBreakBefore/>
        <w:rPr>
          <w:kern w:val="44"/>
        </w:rPr>
      </w:pPr>
      <w:bookmarkStart w:id="669" w:name="_Toc422471193"/>
      <w:bookmarkStart w:id="670" w:name="_Toc427651835"/>
      <w:bookmarkStart w:id="671" w:name="_Toc428781541"/>
      <w:bookmarkStart w:id="672" w:name="_Toc427651493"/>
      <w:bookmarkStart w:id="673" w:name="_Toc428780059"/>
      <w:r>
        <w:rPr>
          <w:rFonts w:hint="eastAsia"/>
          <w:kern w:val="44"/>
        </w:rPr>
        <w:t>（四）信息通讯</w:t>
      </w:r>
      <w:bookmarkEnd w:id="669"/>
      <w:bookmarkEnd w:id="670"/>
      <w:bookmarkEnd w:id="671"/>
      <w:bookmarkEnd w:id="672"/>
      <w:bookmarkEnd w:id="673"/>
    </w:p>
    <w:p w14:paraId="441C9590"/>
    <w:p w14:paraId="6859EF06">
      <w:pPr>
        <w:pStyle w:val="4"/>
        <w:rPr>
          <w:kern w:val="44"/>
        </w:rPr>
      </w:pPr>
      <w:bookmarkStart w:id="674" w:name="_Toc422471194"/>
      <w:bookmarkStart w:id="675" w:name="_Toc428780060"/>
      <w:bookmarkStart w:id="676" w:name="_Toc428781542"/>
      <w:bookmarkStart w:id="677" w:name="_Toc427651494"/>
      <w:bookmarkStart w:id="678" w:name="_Toc427651836"/>
      <w:r>
        <w:rPr>
          <w:rFonts w:hint="eastAsia"/>
          <w:kern w:val="44"/>
        </w:rPr>
        <w:t>北京市邮政通信条例</w:t>
      </w:r>
      <w:bookmarkEnd w:id="674"/>
      <w:bookmarkEnd w:id="675"/>
      <w:bookmarkEnd w:id="676"/>
      <w:bookmarkEnd w:id="677"/>
      <w:bookmarkEnd w:id="678"/>
    </w:p>
    <w:p w14:paraId="580F1F8E">
      <w:pPr>
        <w:ind w:left="630" w:leftChars="300" w:right="630" w:rightChars="300"/>
        <w:jc w:val="left"/>
        <w:rPr>
          <w:rFonts w:ascii="楷体" w:hAnsi="楷体" w:eastAsia="楷体"/>
          <w:kern w:val="44"/>
        </w:rPr>
      </w:pPr>
      <w:r>
        <w:rPr>
          <w:rFonts w:hint="eastAsia" w:ascii="楷体" w:hAnsi="楷体" w:eastAsia="楷体"/>
          <w:kern w:val="44"/>
        </w:rPr>
        <w:t>（1994年7月22日北京市第十届人民代表大会常务委员会第十一次会议通过  1994年7月22日北京市人民代表大会常务委员会公告第20号公布  1994年10月1日起施行）</w:t>
      </w:r>
    </w:p>
    <w:p w14:paraId="6D85EFE2">
      <w:pPr>
        <w:jc w:val="left"/>
        <w:rPr>
          <w:rFonts w:ascii="宋体" w:hAnsi="宋体"/>
          <w:kern w:val="44"/>
        </w:rPr>
      </w:pPr>
    </w:p>
    <w:p w14:paraId="775AB35B">
      <w:pPr>
        <w:ind w:firstLine="0" w:firstLineChars="0"/>
        <w:jc w:val="center"/>
        <w:rPr>
          <w:rFonts w:ascii="宋体" w:hAnsi="宋体"/>
          <w:b/>
          <w:kern w:val="44"/>
          <w:sz w:val="28"/>
        </w:rPr>
      </w:pPr>
      <w:r>
        <w:rPr>
          <w:rFonts w:hint="eastAsia" w:ascii="宋体" w:hAnsi="宋体"/>
          <w:b/>
          <w:kern w:val="44"/>
          <w:sz w:val="28"/>
        </w:rPr>
        <w:t>第一章　总　则</w:t>
      </w:r>
    </w:p>
    <w:p w14:paraId="7388554A">
      <w:pPr>
        <w:ind w:firstLine="0" w:firstLineChars="0"/>
        <w:jc w:val="center"/>
        <w:rPr>
          <w:rFonts w:ascii="宋体" w:hAnsi="宋体"/>
          <w:b/>
          <w:kern w:val="44"/>
          <w:sz w:val="28"/>
        </w:rPr>
      </w:pPr>
    </w:p>
    <w:p w14:paraId="54863331">
      <w:pPr>
        <w:ind w:firstLine="422"/>
        <w:jc w:val="left"/>
        <w:rPr>
          <w:rFonts w:ascii="宋体" w:hAnsi="宋体"/>
          <w:kern w:val="44"/>
        </w:rPr>
      </w:pPr>
      <w:r>
        <w:rPr>
          <w:rFonts w:hint="eastAsia" w:ascii="宋体" w:hAnsi="宋体"/>
          <w:b/>
          <w:kern w:val="44"/>
        </w:rPr>
        <w:t>第一条</w:t>
      </w:r>
      <w:r>
        <w:rPr>
          <w:rFonts w:hint="eastAsia" w:ascii="宋体" w:hAnsi="宋体"/>
          <w:kern w:val="44"/>
        </w:rPr>
        <w:t>　为保障邮政通信畅通，提高邮政通信服务水平，促进邮政通信事业发展，适应首都社会主义现代化建设和人民生活的需要，根据《中华人民共和国邮政法》和有关法律、法规的规定，结合本市实际情况，制定本条例。</w:t>
      </w:r>
    </w:p>
    <w:p w14:paraId="4B0002E6">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本条例适用于本市行政区域内的邮政通信工作。</w:t>
      </w:r>
    </w:p>
    <w:p w14:paraId="2F697133">
      <w:pPr>
        <w:ind w:firstLine="422"/>
        <w:jc w:val="left"/>
        <w:rPr>
          <w:rFonts w:ascii="宋体" w:hAnsi="宋体"/>
          <w:kern w:val="44"/>
        </w:rPr>
      </w:pPr>
      <w:r>
        <w:rPr>
          <w:rFonts w:hint="eastAsia" w:ascii="宋体" w:hAnsi="宋体"/>
          <w:b/>
          <w:kern w:val="44"/>
        </w:rPr>
        <w:t>第三条</w:t>
      </w:r>
      <w:r>
        <w:rPr>
          <w:rFonts w:hint="eastAsia" w:ascii="宋体" w:hAnsi="宋体"/>
          <w:kern w:val="44"/>
        </w:rPr>
        <w:t>　北京市邮政管理局是本市邮政通信工作的主管部门。</w:t>
      </w:r>
    </w:p>
    <w:p w14:paraId="579D8516">
      <w:pPr>
        <w:jc w:val="left"/>
        <w:rPr>
          <w:rFonts w:ascii="宋体" w:hAnsi="宋体"/>
          <w:kern w:val="44"/>
        </w:rPr>
      </w:pPr>
      <w:r>
        <w:rPr>
          <w:rFonts w:hint="eastAsia" w:ascii="宋体" w:hAnsi="宋体"/>
          <w:kern w:val="44"/>
        </w:rPr>
        <w:t>市区和远郊区的邮政（邮电）局按照市邮政管理局的授权，负责本辖区内的邮政通信管理工作。</w:t>
      </w:r>
    </w:p>
    <w:p w14:paraId="33CE63E3">
      <w:pPr>
        <w:ind w:firstLine="422"/>
        <w:jc w:val="left"/>
        <w:rPr>
          <w:rFonts w:ascii="宋体" w:hAnsi="宋体"/>
          <w:kern w:val="44"/>
        </w:rPr>
      </w:pPr>
      <w:r>
        <w:rPr>
          <w:rFonts w:hint="eastAsia" w:ascii="宋体" w:hAnsi="宋体"/>
          <w:b/>
          <w:kern w:val="44"/>
        </w:rPr>
        <w:t>第四条</w:t>
      </w:r>
      <w:r>
        <w:rPr>
          <w:rFonts w:hint="eastAsia" w:ascii="宋体" w:hAnsi="宋体"/>
          <w:kern w:val="44"/>
        </w:rPr>
        <w:t>　各级人民政府应当加强对邮政通信工作的领导，把邮政通信建设纳入国民经济和社会发展计划，按照“统筹规划、条块结合、分层负责、联合建设” 的方针，发展邮政通信事业。</w:t>
      </w:r>
    </w:p>
    <w:p w14:paraId="22219DF3">
      <w:pPr>
        <w:ind w:firstLine="422"/>
        <w:jc w:val="left"/>
        <w:rPr>
          <w:rFonts w:ascii="宋体" w:hAnsi="宋体"/>
          <w:kern w:val="44"/>
        </w:rPr>
      </w:pPr>
      <w:r>
        <w:rPr>
          <w:rFonts w:hint="eastAsia" w:ascii="宋体" w:hAnsi="宋体"/>
          <w:b/>
          <w:kern w:val="44"/>
        </w:rPr>
        <w:t>第五条</w:t>
      </w:r>
      <w:r>
        <w:rPr>
          <w:rFonts w:hint="eastAsia" w:ascii="宋体" w:hAnsi="宋体"/>
          <w:kern w:val="44"/>
        </w:rPr>
        <w:t>　邮政企业应当为用户提供迅速、准确、安全、方便的邮政通信服务。</w:t>
      </w:r>
    </w:p>
    <w:p w14:paraId="41A5FAE8">
      <w:pPr>
        <w:ind w:firstLine="422"/>
        <w:jc w:val="left"/>
        <w:rPr>
          <w:rFonts w:ascii="宋体" w:hAnsi="宋体"/>
          <w:kern w:val="44"/>
        </w:rPr>
      </w:pPr>
      <w:r>
        <w:rPr>
          <w:rFonts w:hint="eastAsia" w:ascii="宋体" w:hAnsi="宋体"/>
          <w:b/>
          <w:kern w:val="44"/>
        </w:rPr>
        <w:t>第六条</w:t>
      </w:r>
      <w:r>
        <w:rPr>
          <w:rFonts w:hint="eastAsia" w:ascii="宋体" w:hAnsi="宋体"/>
          <w:kern w:val="44"/>
        </w:rPr>
        <w:t>　通信自由和通信秘密受法律保护，除法律另有规定外，任何单位或者个人不得侵犯他人的通信自由和通信秘密。</w:t>
      </w:r>
    </w:p>
    <w:p w14:paraId="5CCF8855">
      <w:pPr>
        <w:ind w:firstLine="422"/>
        <w:jc w:val="left"/>
        <w:rPr>
          <w:rFonts w:ascii="宋体" w:hAnsi="宋体"/>
          <w:kern w:val="44"/>
        </w:rPr>
      </w:pPr>
      <w:r>
        <w:rPr>
          <w:rFonts w:hint="eastAsia" w:ascii="宋体" w:hAnsi="宋体"/>
          <w:b/>
          <w:kern w:val="44"/>
        </w:rPr>
        <w:t>第七条</w:t>
      </w:r>
      <w:r>
        <w:rPr>
          <w:rFonts w:hint="eastAsia" w:ascii="宋体" w:hAnsi="宋体"/>
          <w:kern w:val="44"/>
        </w:rPr>
        <w:t>　任何单位或者个人都负有保护邮政设施和邮件安全的责任，并有权对破坏邮政设施、危害邮件安全的行为予以制止、检举和控告。</w:t>
      </w:r>
    </w:p>
    <w:p w14:paraId="525DE059">
      <w:pPr>
        <w:ind w:firstLine="422"/>
        <w:jc w:val="left"/>
        <w:rPr>
          <w:rFonts w:ascii="宋体" w:hAnsi="宋体"/>
          <w:kern w:val="44"/>
        </w:rPr>
      </w:pPr>
      <w:r>
        <w:rPr>
          <w:rFonts w:hint="eastAsia" w:ascii="宋体" w:hAnsi="宋体"/>
          <w:b/>
          <w:kern w:val="44"/>
        </w:rPr>
        <w:t>第八条</w:t>
      </w:r>
      <w:r>
        <w:rPr>
          <w:rFonts w:hint="eastAsia" w:ascii="宋体" w:hAnsi="宋体"/>
          <w:kern w:val="44"/>
        </w:rPr>
        <w:t>　邮政企业应当不断采用先进的科学技术和现代化的管理手段，发展邮政通信事业；对在邮政通信科学技术研究中有创造发明或者推广应用先进技术成效显著的，以及在邮政通信工作中成绩突出，在保护邮政设施和邮件安全等方面做出突出贡献的单位和个人，邮政通信主管部门应当给予表彰和奖励。</w:t>
      </w:r>
    </w:p>
    <w:p w14:paraId="78840070">
      <w:pPr>
        <w:jc w:val="left"/>
        <w:rPr>
          <w:rFonts w:ascii="宋体" w:hAnsi="宋体"/>
          <w:kern w:val="44"/>
        </w:rPr>
      </w:pPr>
    </w:p>
    <w:p w14:paraId="7D902F3D">
      <w:pPr>
        <w:ind w:firstLine="0" w:firstLineChars="0"/>
        <w:jc w:val="center"/>
        <w:rPr>
          <w:rFonts w:ascii="宋体" w:hAnsi="宋体"/>
          <w:b/>
          <w:kern w:val="44"/>
        </w:rPr>
      </w:pPr>
      <w:r>
        <w:rPr>
          <w:rFonts w:hint="eastAsia" w:ascii="宋体" w:hAnsi="宋体"/>
          <w:b/>
          <w:kern w:val="44"/>
          <w:sz w:val="28"/>
        </w:rPr>
        <w:t>第二章　邮政设施的规划与建设</w:t>
      </w:r>
    </w:p>
    <w:p w14:paraId="338D186B">
      <w:pPr>
        <w:jc w:val="left"/>
        <w:rPr>
          <w:rFonts w:ascii="宋体" w:hAnsi="宋体"/>
          <w:kern w:val="44"/>
        </w:rPr>
      </w:pPr>
    </w:p>
    <w:p w14:paraId="6A315B31">
      <w:pPr>
        <w:ind w:firstLine="422"/>
        <w:jc w:val="left"/>
        <w:rPr>
          <w:rFonts w:ascii="宋体" w:hAnsi="宋体"/>
          <w:kern w:val="44"/>
        </w:rPr>
      </w:pPr>
      <w:r>
        <w:rPr>
          <w:rFonts w:hint="eastAsia" w:ascii="宋体" w:hAnsi="宋体"/>
          <w:b/>
          <w:kern w:val="44"/>
        </w:rPr>
        <w:t>第九条</w:t>
      </w:r>
      <w:r>
        <w:rPr>
          <w:rFonts w:hint="eastAsia" w:ascii="宋体" w:hAnsi="宋体"/>
          <w:kern w:val="44"/>
        </w:rPr>
        <w:t>　邮政通信主管部门应当根据北京城市总体规划和社会发展的需要，会同有关部门制定本市邮政通信专业规划和分期实施计划，并组织实施。</w:t>
      </w:r>
    </w:p>
    <w:p w14:paraId="7D5C57EA">
      <w:pPr>
        <w:ind w:firstLine="422"/>
        <w:jc w:val="left"/>
        <w:rPr>
          <w:rFonts w:ascii="宋体" w:hAnsi="宋体"/>
          <w:kern w:val="44"/>
        </w:rPr>
      </w:pPr>
      <w:r>
        <w:rPr>
          <w:rFonts w:hint="eastAsia" w:ascii="宋体" w:hAnsi="宋体"/>
          <w:b/>
          <w:kern w:val="44"/>
        </w:rPr>
        <w:t>第十条</w:t>
      </w:r>
      <w:r>
        <w:rPr>
          <w:rFonts w:hint="eastAsia" w:ascii="宋体" w:hAnsi="宋体"/>
          <w:kern w:val="44"/>
        </w:rPr>
        <w:t>　新建、改建、扩建居住区、工业区、商业区、开发区、机场、火车站等建设工程，应当同时规划和设置与之配套的邮政设施，并与主体工程同时设计、同时施工、同时验收。</w:t>
      </w:r>
    </w:p>
    <w:p w14:paraId="06D06E51">
      <w:pPr>
        <w:ind w:firstLine="422"/>
        <w:jc w:val="left"/>
        <w:rPr>
          <w:rFonts w:ascii="宋体" w:hAnsi="宋体"/>
          <w:kern w:val="44"/>
        </w:rPr>
      </w:pPr>
      <w:r>
        <w:rPr>
          <w:rFonts w:hint="eastAsia" w:ascii="宋体" w:hAnsi="宋体"/>
          <w:b/>
          <w:kern w:val="44"/>
        </w:rPr>
        <w:t>第十一条</w:t>
      </w:r>
      <w:r>
        <w:rPr>
          <w:rFonts w:hint="eastAsia" w:ascii="宋体" w:hAnsi="宋体"/>
          <w:kern w:val="44"/>
        </w:rPr>
        <w:t>　城市规划管理部门在审批居住区、工业区、商业区、开发区、机场、火车站等建设工程初步设计时，应当听取邮政通信主管部门对配套建设邮政设施的意见。</w:t>
      </w:r>
    </w:p>
    <w:p w14:paraId="13C8C134">
      <w:pPr>
        <w:ind w:firstLine="422"/>
        <w:jc w:val="left"/>
        <w:rPr>
          <w:rFonts w:ascii="宋体" w:hAnsi="宋体"/>
          <w:kern w:val="44"/>
        </w:rPr>
      </w:pPr>
      <w:r>
        <w:rPr>
          <w:rFonts w:hint="eastAsia" w:ascii="宋体" w:hAnsi="宋体"/>
          <w:b/>
          <w:kern w:val="44"/>
        </w:rPr>
        <w:t>第十二条</w:t>
      </w:r>
      <w:r>
        <w:rPr>
          <w:rFonts w:hint="eastAsia" w:ascii="宋体" w:hAnsi="宋体"/>
          <w:kern w:val="44"/>
        </w:rPr>
        <w:t>　建设单位应当按照批准的设计建设邮政设施，保证工程质量。设计需要变更的，必须报原审批部门批准。</w:t>
      </w:r>
    </w:p>
    <w:p w14:paraId="74B2690C">
      <w:pPr>
        <w:ind w:firstLine="422"/>
        <w:jc w:val="left"/>
        <w:rPr>
          <w:rFonts w:ascii="宋体" w:hAnsi="宋体"/>
          <w:kern w:val="44"/>
        </w:rPr>
      </w:pPr>
      <w:r>
        <w:rPr>
          <w:rFonts w:hint="eastAsia" w:ascii="宋体" w:hAnsi="宋体"/>
          <w:b/>
          <w:kern w:val="44"/>
        </w:rPr>
        <w:t>第十三条</w:t>
      </w:r>
      <w:r>
        <w:rPr>
          <w:rFonts w:hint="eastAsia" w:ascii="宋体" w:hAnsi="宋体"/>
          <w:kern w:val="44"/>
        </w:rPr>
        <w:t>　承担邮政施工程勘察设计、施工和工程监理的单位，必须具备相应的资质等级，并严格执行国家和本市有关邮政设施建设的标准、定额和规范。邮政设施工程竣工验收时，应当有邮政通信主管部门参加。</w:t>
      </w:r>
    </w:p>
    <w:p w14:paraId="4DB8017F">
      <w:pPr>
        <w:ind w:firstLine="422"/>
        <w:jc w:val="left"/>
        <w:rPr>
          <w:rFonts w:ascii="宋体" w:hAnsi="宋体"/>
          <w:kern w:val="44"/>
        </w:rPr>
      </w:pPr>
      <w:r>
        <w:rPr>
          <w:rFonts w:hint="eastAsia" w:ascii="宋体" w:hAnsi="宋体"/>
          <w:b/>
          <w:kern w:val="44"/>
        </w:rPr>
        <w:t>第十四条</w:t>
      </w:r>
      <w:r>
        <w:rPr>
          <w:rFonts w:hint="eastAsia" w:ascii="宋体" w:hAnsi="宋体"/>
          <w:kern w:val="44"/>
        </w:rPr>
        <w:t>　新建居民楼必须按照国家和本市的有关规定设置信报箱、间（群）或者收发室。</w:t>
      </w:r>
    </w:p>
    <w:p w14:paraId="350CD2AB">
      <w:pPr>
        <w:jc w:val="left"/>
        <w:rPr>
          <w:rFonts w:ascii="宋体" w:hAnsi="宋体"/>
          <w:kern w:val="44"/>
        </w:rPr>
      </w:pPr>
      <w:r>
        <w:rPr>
          <w:rFonts w:hint="eastAsia" w:ascii="宋体" w:hAnsi="宋体"/>
          <w:kern w:val="44"/>
        </w:rPr>
        <w:t>已建成的居民楼未按照规定设置信报箱、间（群）或者收发室的，必须按照有关规定补建。</w:t>
      </w:r>
    </w:p>
    <w:p w14:paraId="30BEB1BF">
      <w:pPr>
        <w:ind w:firstLine="422"/>
        <w:jc w:val="left"/>
        <w:rPr>
          <w:rFonts w:ascii="宋体" w:hAnsi="宋体"/>
          <w:kern w:val="44"/>
        </w:rPr>
      </w:pPr>
      <w:r>
        <w:rPr>
          <w:rFonts w:hint="eastAsia" w:ascii="宋体" w:hAnsi="宋体"/>
          <w:b/>
          <w:kern w:val="44"/>
        </w:rPr>
        <w:t>第十五条</w:t>
      </w:r>
      <w:r>
        <w:rPr>
          <w:rFonts w:hint="eastAsia" w:ascii="宋体" w:hAnsi="宋体"/>
          <w:kern w:val="44"/>
        </w:rPr>
        <w:t>　火车站、机场应当设有办理邮政业务的场所，并在邮件装卸、转运作业场所、邮政车辆出入通道等设施的配套建设方面为邮政企业提供方便。</w:t>
      </w:r>
    </w:p>
    <w:p w14:paraId="53C02F94">
      <w:pPr>
        <w:jc w:val="left"/>
        <w:rPr>
          <w:rFonts w:ascii="宋体" w:hAnsi="宋体"/>
          <w:kern w:val="44"/>
        </w:rPr>
      </w:pPr>
      <w:r>
        <w:rPr>
          <w:rFonts w:hint="eastAsia" w:ascii="宋体" w:hAnsi="宋体"/>
          <w:kern w:val="44"/>
        </w:rPr>
        <w:t>大型宾馆、饭店等公共建筑应当设有办理邮政业务的场所。</w:t>
      </w:r>
    </w:p>
    <w:p w14:paraId="2CF03090">
      <w:pPr>
        <w:ind w:firstLine="422"/>
        <w:jc w:val="left"/>
        <w:rPr>
          <w:rFonts w:ascii="宋体" w:hAnsi="宋体"/>
          <w:kern w:val="44"/>
        </w:rPr>
      </w:pPr>
      <w:r>
        <w:rPr>
          <w:rFonts w:hint="eastAsia" w:ascii="宋体" w:hAnsi="宋体"/>
          <w:b/>
          <w:kern w:val="44"/>
        </w:rPr>
        <w:t>第十六条</w:t>
      </w:r>
      <w:r>
        <w:rPr>
          <w:rFonts w:hint="eastAsia" w:ascii="宋体" w:hAnsi="宋体"/>
          <w:kern w:val="44"/>
        </w:rPr>
        <w:t>　邮政通信主管部门应当在车站、机场、商场、旅游点等公共场所和其他方便群众的地方设置邮亭、邮政报刊亭、邮筒等邮政设施。</w:t>
      </w:r>
    </w:p>
    <w:p w14:paraId="4388B54C">
      <w:pPr>
        <w:ind w:firstLine="422"/>
        <w:jc w:val="left"/>
        <w:rPr>
          <w:rFonts w:ascii="宋体" w:hAnsi="宋体"/>
          <w:kern w:val="44"/>
        </w:rPr>
      </w:pPr>
      <w:r>
        <w:rPr>
          <w:rFonts w:hint="eastAsia" w:ascii="宋体" w:hAnsi="宋体"/>
          <w:b/>
          <w:kern w:val="44"/>
        </w:rPr>
        <w:t>第十七条</w:t>
      </w:r>
      <w:r>
        <w:rPr>
          <w:rFonts w:hint="eastAsia" w:ascii="宋体" w:hAnsi="宋体"/>
          <w:kern w:val="44"/>
        </w:rPr>
        <w:t>　市人民政府和远郊区的人民政府以及邮政通信主管部门应当对边远、贫困地区的邮政设施的建设在政策、资金、物资等方面予以扶持。</w:t>
      </w:r>
    </w:p>
    <w:p w14:paraId="3995A33B">
      <w:pPr>
        <w:jc w:val="left"/>
        <w:rPr>
          <w:rFonts w:ascii="宋体" w:hAnsi="宋体"/>
          <w:kern w:val="44"/>
        </w:rPr>
      </w:pPr>
    </w:p>
    <w:p w14:paraId="2171D79B">
      <w:pPr>
        <w:ind w:firstLine="0" w:firstLineChars="0"/>
        <w:jc w:val="center"/>
        <w:rPr>
          <w:rFonts w:ascii="宋体" w:hAnsi="宋体"/>
          <w:b/>
          <w:kern w:val="44"/>
          <w:sz w:val="28"/>
        </w:rPr>
      </w:pPr>
      <w:r>
        <w:rPr>
          <w:rFonts w:hint="eastAsia" w:ascii="宋体" w:hAnsi="宋体"/>
          <w:b/>
          <w:kern w:val="44"/>
          <w:sz w:val="28"/>
        </w:rPr>
        <w:t>第三章　邮政通信的管理</w:t>
      </w:r>
    </w:p>
    <w:p w14:paraId="26EFF440">
      <w:pPr>
        <w:jc w:val="left"/>
        <w:rPr>
          <w:rFonts w:ascii="宋体" w:hAnsi="宋体"/>
          <w:kern w:val="44"/>
        </w:rPr>
      </w:pPr>
    </w:p>
    <w:p w14:paraId="4FDFF80A">
      <w:pPr>
        <w:ind w:firstLine="422"/>
        <w:jc w:val="left"/>
        <w:rPr>
          <w:rFonts w:ascii="宋体" w:hAnsi="宋体"/>
          <w:kern w:val="44"/>
        </w:rPr>
      </w:pPr>
      <w:r>
        <w:rPr>
          <w:rFonts w:hint="eastAsia" w:ascii="宋体" w:hAnsi="宋体"/>
          <w:b/>
          <w:kern w:val="44"/>
        </w:rPr>
        <w:t>第十八条</w:t>
      </w:r>
      <w:r>
        <w:rPr>
          <w:rFonts w:hint="eastAsia" w:ascii="宋体" w:hAnsi="宋体"/>
          <w:kern w:val="44"/>
        </w:rPr>
        <w:t>　未经邮政企业委托，任何单位或者个人不得经营信函、明信片或者其他具有信件性质的物品的寄递业务，但国务院另有规定的除外。</w:t>
      </w:r>
    </w:p>
    <w:p w14:paraId="53648822">
      <w:pPr>
        <w:ind w:firstLine="422"/>
        <w:jc w:val="left"/>
        <w:rPr>
          <w:rFonts w:ascii="宋体" w:hAnsi="宋体"/>
          <w:kern w:val="44"/>
        </w:rPr>
      </w:pPr>
      <w:r>
        <w:rPr>
          <w:rFonts w:hint="eastAsia" w:ascii="宋体" w:hAnsi="宋体"/>
          <w:b/>
          <w:kern w:val="44"/>
        </w:rPr>
        <w:t>第十九条</w:t>
      </w:r>
      <w:r>
        <w:rPr>
          <w:rFonts w:hint="eastAsia" w:ascii="宋体" w:hAnsi="宋体"/>
          <w:kern w:val="44"/>
        </w:rPr>
        <w:t>　经营速递业务的非邮政企业，应当遵守邮政法律、法规和有关规定，并须接受邮政通信主管部门的监督检查。凡需使用邮政企业的通信网络经营速递业务的，应当到邮政通信主管部门备案并办理有关手续。</w:t>
      </w:r>
    </w:p>
    <w:p w14:paraId="06DDA995">
      <w:pPr>
        <w:ind w:firstLine="422"/>
        <w:jc w:val="left"/>
        <w:rPr>
          <w:rFonts w:ascii="宋体" w:hAnsi="宋体"/>
          <w:kern w:val="44"/>
        </w:rPr>
      </w:pPr>
      <w:r>
        <w:rPr>
          <w:rFonts w:hint="eastAsia" w:ascii="宋体" w:hAnsi="宋体"/>
          <w:b/>
          <w:kern w:val="44"/>
        </w:rPr>
        <w:t>第二十条</w:t>
      </w:r>
      <w:r>
        <w:rPr>
          <w:rFonts w:hint="eastAsia" w:ascii="宋体" w:hAnsi="宋体"/>
          <w:kern w:val="44"/>
        </w:rPr>
        <w:t>　邮政企业可以委托符合条件的单位或者个人代办邮政业务。代办的单位或者个人应当严格执行有关邮政业务规则、资费标准和服务标准，接受邮政通信主管部门的监督和指导。</w:t>
      </w:r>
    </w:p>
    <w:p w14:paraId="4EC7ED7B">
      <w:pPr>
        <w:ind w:firstLine="422"/>
        <w:jc w:val="left"/>
        <w:rPr>
          <w:rFonts w:ascii="宋体" w:hAnsi="宋体"/>
          <w:kern w:val="44"/>
        </w:rPr>
      </w:pPr>
      <w:r>
        <w:rPr>
          <w:rFonts w:hint="eastAsia" w:ascii="宋体" w:hAnsi="宋体"/>
          <w:b/>
          <w:kern w:val="44"/>
        </w:rPr>
        <w:t>第二十一条</w:t>
      </w:r>
      <w:r>
        <w:rPr>
          <w:rFonts w:hint="eastAsia" w:ascii="宋体" w:hAnsi="宋体"/>
          <w:kern w:val="44"/>
        </w:rPr>
        <w:t>　任何单位或者个人不得印制未经邮政通信主管部门监制的明信片和通信使用的信封，不得销售自制的集邮品。</w:t>
      </w:r>
    </w:p>
    <w:p w14:paraId="2ED1E8B6">
      <w:pPr>
        <w:ind w:firstLine="422"/>
        <w:jc w:val="left"/>
        <w:rPr>
          <w:rFonts w:ascii="宋体" w:hAnsi="宋体"/>
          <w:kern w:val="44"/>
        </w:rPr>
      </w:pPr>
      <w:r>
        <w:rPr>
          <w:rFonts w:hint="eastAsia" w:ascii="宋体" w:hAnsi="宋体"/>
          <w:b/>
          <w:kern w:val="44"/>
        </w:rPr>
        <w:t>第二十二条</w:t>
      </w:r>
      <w:r>
        <w:rPr>
          <w:rFonts w:hint="eastAsia" w:ascii="宋体" w:hAnsi="宋体"/>
          <w:kern w:val="44"/>
        </w:rPr>
        <w:t>　农村地区按行政村设置村邮站，负责投递本村邮政用户的邮件、报刊。邮政通信主管部门应当积极扶持村邮站的设置，并对其进行业务指导和监督。</w:t>
      </w:r>
    </w:p>
    <w:p w14:paraId="7237E076">
      <w:pPr>
        <w:ind w:firstLine="422"/>
        <w:jc w:val="left"/>
        <w:rPr>
          <w:rFonts w:ascii="宋体" w:hAnsi="宋体"/>
          <w:kern w:val="44"/>
        </w:rPr>
      </w:pPr>
      <w:r>
        <w:rPr>
          <w:rFonts w:hint="eastAsia" w:ascii="宋体" w:hAnsi="宋体"/>
          <w:b/>
          <w:kern w:val="44"/>
        </w:rPr>
        <w:t>第二十三条</w:t>
      </w:r>
      <w:r>
        <w:rPr>
          <w:rFonts w:hint="eastAsia" w:ascii="宋体" w:hAnsi="宋体"/>
          <w:kern w:val="44"/>
        </w:rPr>
        <w:t>　邮政用户应当使用符合标准的信封和明信片；邮寄包裹、印刷品按照规定的规格标准封装，并按规定正确书写收件人、寄件人的姓名、地址和邮政编码；遵守禁止寄递或者限量寄递物品的规定。</w:t>
      </w:r>
    </w:p>
    <w:p w14:paraId="08B40FFB">
      <w:pPr>
        <w:ind w:firstLine="422"/>
        <w:jc w:val="left"/>
        <w:rPr>
          <w:rFonts w:ascii="宋体" w:hAnsi="宋体"/>
          <w:kern w:val="44"/>
        </w:rPr>
      </w:pPr>
      <w:r>
        <w:rPr>
          <w:rFonts w:hint="eastAsia" w:ascii="宋体" w:hAnsi="宋体"/>
          <w:b/>
          <w:kern w:val="44"/>
        </w:rPr>
        <w:t>第二十四条</w:t>
      </w:r>
      <w:r>
        <w:rPr>
          <w:rFonts w:hint="eastAsia" w:ascii="宋体" w:hAnsi="宋体"/>
          <w:kern w:val="44"/>
        </w:rPr>
        <w:t>　居民楼的产权单位或者管理单位、新设置的单位应当到所在地邮政（邮电）局办理邮件、报刊投递登记手续。</w:t>
      </w:r>
    </w:p>
    <w:p w14:paraId="120BE4C7">
      <w:pPr>
        <w:jc w:val="left"/>
        <w:rPr>
          <w:rFonts w:ascii="宋体" w:hAnsi="宋体"/>
          <w:kern w:val="44"/>
        </w:rPr>
      </w:pPr>
      <w:r>
        <w:rPr>
          <w:rFonts w:hint="eastAsia" w:ascii="宋体" w:hAnsi="宋体"/>
          <w:kern w:val="44"/>
        </w:rPr>
        <w:t>邮件接收单位名称、地址、楼号、门牌号等变更的，应当到原登记的邮政（邮电）局办理变更登记手续。</w:t>
      </w:r>
    </w:p>
    <w:p w14:paraId="6BD684F8">
      <w:pPr>
        <w:jc w:val="left"/>
        <w:rPr>
          <w:rFonts w:ascii="宋体" w:hAnsi="宋体"/>
          <w:kern w:val="44"/>
        </w:rPr>
      </w:pPr>
    </w:p>
    <w:p w14:paraId="49276261">
      <w:pPr>
        <w:ind w:firstLine="0" w:firstLineChars="0"/>
        <w:jc w:val="center"/>
        <w:rPr>
          <w:rFonts w:ascii="宋体" w:hAnsi="宋体"/>
          <w:b/>
          <w:kern w:val="44"/>
          <w:sz w:val="28"/>
        </w:rPr>
      </w:pPr>
      <w:r>
        <w:rPr>
          <w:rFonts w:hint="eastAsia" w:ascii="宋体" w:hAnsi="宋体"/>
          <w:b/>
          <w:kern w:val="44"/>
          <w:sz w:val="28"/>
        </w:rPr>
        <w:t>第四章　邮政设施的保护与</w:t>
      </w:r>
    </w:p>
    <w:p w14:paraId="7BE9573A">
      <w:pPr>
        <w:ind w:firstLine="0" w:firstLineChars="0"/>
        <w:jc w:val="center"/>
        <w:rPr>
          <w:rFonts w:ascii="宋体" w:hAnsi="宋体"/>
          <w:kern w:val="44"/>
        </w:rPr>
      </w:pPr>
      <w:r>
        <w:rPr>
          <w:rFonts w:hint="eastAsia" w:ascii="宋体" w:hAnsi="宋体"/>
          <w:b/>
          <w:kern w:val="44"/>
          <w:sz w:val="28"/>
        </w:rPr>
        <w:t xml:space="preserve">         邮政通信的社会保障</w:t>
      </w:r>
    </w:p>
    <w:p w14:paraId="5F581712">
      <w:pPr>
        <w:jc w:val="left"/>
        <w:rPr>
          <w:rFonts w:ascii="宋体" w:hAnsi="宋体"/>
          <w:kern w:val="44"/>
        </w:rPr>
      </w:pPr>
    </w:p>
    <w:p w14:paraId="6F825451">
      <w:pPr>
        <w:ind w:firstLine="422"/>
        <w:jc w:val="left"/>
        <w:rPr>
          <w:rFonts w:ascii="宋体" w:hAnsi="宋体"/>
          <w:kern w:val="44"/>
        </w:rPr>
      </w:pPr>
      <w:r>
        <w:rPr>
          <w:rFonts w:hint="eastAsia" w:ascii="宋体" w:hAnsi="宋体"/>
          <w:b/>
          <w:kern w:val="44"/>
        </w:rPr>
        <w:t>第二十五条</w:t>
      </w:r>
      <w:r>
        <w:rPr>
          <w:rFonts w:hint="eastAsia" w:ascii="宋体" w:hAnsi="宋体"/>
          <w:kern w:val="44"/>
        </w:rPr>
        <w:t>　各级人民政府应当加强邮政设施保护工作的领导，开展邮政设施保护的宣传教育。邮政企业应当建立邮政设施保护的责任制度，加强对邮政设施的检查、维护和管理，保证邮政设施的完好。</w:t>
      </w:r>
    </w:p>
    <w:p w14:paraId="6B94E8B9">
      <w:pPr>
        <w:ind w:firstLine="422"/>
        <w:jc w:val="left"/>
        <w:rPr>
          <w:rFonts w:ascii="宋体" w:hAnsi="宋体"/>
          <w:kern w:val="44"/>
        </w:rPr>
      </w:pPr>
      <w:r>
        <w:rPr>
          <w:rFonts w:hint="eastAsia" w:ascii="宋体" w:hAnsi="宋体"/>
          <w:b/>
          <w:kern w:val="44"/>
        </w:rPr>
        <w:t>第二十六条</w:t>
      </w:r>
      <w:r>
        <w:rPr>
          <w:rFonts w:hint="eastAsia" w:ascii="宋体" w:hAnsi="宋体"/>
          <w:kern w:val="44"/>
        </w:rPr>
        <w:t>　居民楼设置的信报箱、间（群），由有关产权单位或者管理单位负责管理，发现损坏或者其他不能保证邮件安全等情况时，应当及时维修或者更换；也可以委托邮政企业维修或者更换，所需工料费由委托单位支付。</w:t>
      </w:r>
    </w:p>
    <w:p w14:paraId="6462A449">
      <w:pPr>
        <w:ind w:firstLine="422"/>
        <w:jc w:val="left"/>
        <w:rPr>
          <w:rFonts w:ascii="宋体" w:hAnsi="宋体"/>
          <w:kern w:val="44"/>
        </w:rPr>
      </w:pPr>
      <w:r>
        <w:rPr>
          <w:rFonts w:hint="eastAsia" w:ascii="宋体" w:hAnsi="宋体"/>
          <w:b/>
          <w:kern w:val="44"/>
        </w:rPr>
        <w:t>第二十七条</w:t>
      </w:r>
      <w:r>
        <w:rPr>
          <w:rFonts w:hint="eastAsia" w:ascii="宋体" w:hAnsi="宋体"/>
          <w:kern w:val="44"/>
        </w:rPr>
        <w:t>　因建设需要拆除、迁移邮政设施的，建设单位或者施工作业单位应当事先征得邮政企业的同意，在保证邮政通信正常进行和方便用户用邮的情况下，与邮政企业签订协议，根据先建后拆的原则进行，有关费用由建设单位承担。</w:t>
      </w:r>
    </w:p>
    <w:p w14:paraId="15EC2C0D">
      <w:pPr>
        <w:ind w:firstLine="422"/>
        <w:jc w:val="left"/>
        <w:rPr>
          <w:rFonts w:ascii="宋体" w:hAnsi="宋体"/>
          <w:kern w:val="44"/>
        </w:rPr>
      </w:pPr>
      <w:r>
        <w:rPr>
          <w:rFonts w:hint="eastAsia" w:ascii="宋体" w:hAnsi="宋体"/>
          <w:b/>
          <w:kern w:val="44"/>
        </w:rPr>
        <w:t>第二十八条</w:t>
      </w:r>
      <w:r>
        <w:rPr>
          <w:rFonts w:hint="eastAsia" w:ascii="宋体" w:hAnsi="宋体"/>
          <w:kern w:val="44"/>
        </w:rPr>
        <w:t>　本市铁路、公路、航空、海关、公安交通等部门应当在邮件的收寄、投递、运输、邮政网点设置等方面提供便利条件。</w:t>
      </w:r>
    </w:p>
    <w:p w14:paraId="0043651F">
      <w:pPr>
        <w:ind w:firstLine="422"/>
        <w:jc w:val="left"/>
        <w:rPr>
          <w:rFonts w:ascii="宋体" w:hAnsi="宋体"/>
          <w:kern w:val="44"/>
        </w:rPr>
      </w:pPr>
      <w:r>
        <w:rPr>
          <w:rFonts w:hint="eastAsia" w:ascii="宋体" w:hAnsi="宋体"/>
          <w:b/>
          <w:kern w:val="44"/>
        </w:rPr>
        <w:t>第二十九条</w:t>
      </w:r>
      <w:r>
        <w:rPr>
          <w:rFonts w:hint="eastAsia" w:ascii="宋体" w:hAnsi="宋体"/>
          <w:kern w:val="44"/>
        </w:rPr>
        <w:t>　任何单位或者个人不得有下列行为妨害邮政通信工作的正常进行：</w:t>
      </w:r>
    </w:p>
    <w:p w14:paraId="18597F6F">
      <w:pPr>
        <w:jc w:val="left"/>
        <w:rPr>
          <w:rFonts w:ascii="宋体" w:hAnsi="宋体"/>
          <w:kern w:val="44"/>
        </w:rPr>
      </w:pPr>
      <w:r>
        <w:rPr>
          <w:rFonts w:hint="eastAsia" w:ascii="宋体" w:hAnsi="宋体"/>
          <w:kern w:val="44"/>
        </w:rPr>
        <w:t>（一）损坏邮政信筒（箱）、邮亭、邮政报刊亭等邮政设施；</w:t>
      </w:r>
    </w:p>
    <w:p w14:paraId="4EAB467C">
      <w:pPr>
        <w:jc w:val="left"/>
        <w:rPr>
          <w:rFonts w:ascii="宋体" w:hAnsi="宋体"/>
          <w:kern w:val="44"/>
        </w:rPr>
      </w:pPr>
      <w:r>
        <w:rPr>
          <w:rFonts w:hint="eastAsia" w:ascii="宋体" w:hAnsi="宋体"/>
          <w:kern w:val="44"/>
        </w:rPr>
        <w:t>（二）私开邮政信筒（箱）或者向邮政信筒（箱）内塞投易燃易爆或者腐蚀性等危险物品以及其他杂物；</w:t>
      </w:r>
    </w:p>
    <w:p w14:paraId="38B7FD12">
      <w:pPr>
        <w:jc w:val="left"/>
        <w:rPr>
          <w:rFonts w:ascii="宋体" w:hAnsi="宋体"/>
          <w:kern w:val="44"/>
        </w:rPr>
      </w:pPr>
      <w:r>
        <w:rPr>
          <w:rFonts w:hint="eastAsia" w:ascii="宋体" w:hAnsi="宋体"/>
          <w:kern w:val="44"/>
        </w:rPr>
        <w:t>（三）在邮政局（所）门前、邮政信筒（箱）周围及邮车必经通道内堆物堆料、摆摊设点，妨害用户用邮或者影响邮车通行；</w:t>
      </w:r>
    </w:p>
    <w:p w14:paraId="6C41CAC2">
      <w:pPr>
        <w:jc w:val="left"/>
        <w:rPr>
          <w:rFonts w:ascii="宋体" w:hAnsi="宋体"/>
          <w:kern w:val="44"/>
        </w:rPr>
      </w:pPr>
      <w:r>
        <w:rPr>
          <w:rFonts w:hint="eastAsia" w:ascii="宋体" w:hAnsi="宋体"/>
          <w:kern w:val="44"/>
        </w:rPr>
        <w:t>（四）伪造或者冒用邮政专用标志、邮政标志服和邮政专用品；</w:t>
      </w:r>
    </w:p>
    <w:p w14:paraId="42C65EAD">
      <w:pPr>
        <w:jc w:val="left"/>
        <w:rPr>
          <w:rFonts w:ascii="宋体" w:hAnsi="宋体"/>
          <w:kern w:val="44"/>
        </w:rPr>
      </w:pPr>
      <w:r>
        <w:rPr>
          <w:rFonts w:hint="eastAsia" w:ascii="宋体" w:hAnsi="宋体"/>
          <w:kern w:val="44"/>
        </w:rPr>
        <w:t>（五）阻碍邮政工作人员执行公务或者殴打、辱骂、伤害邮政工作人员；</w:t>
      </w:r>
    </w:p>
    <w:p w14:paraId="40EA5727">
      <w:pPr>
        <w:jc w:val="left"/>
        <w:rPr>
          <w:rFonts w:ascii="宋体" w:hAnsi="宋体"/>
          <w:kern w:val="44"/>
        </w:rPr>
      </w:pPr>
      <w:r>
        <w:rPr>
          <w:rFonts w:hint="eastAsia" w:ascii="宋体" w:hAnsi="宋体"/>
          <w:kern w:val="44"/>
        </w:rPr>
        <w:t>（六）非法检查、截留邮件或者拦截邮政运输工具。</w:t>
      </w:r>
    </w:p>
    <w:p w14:paraId="5E969755">
      <w:pPr>
        <w:jc w:val="left"/>
        <w:rPr>
          <w:rFonts w:ascii="宋体" w:hAnsi="宋体"/>
          <w:kern w:val="44"/>
        </w:rPr>
      </w:pPr>
    </w:p>
    <w:p w14:paraId="4203795A">
      <w:pPr>
        <w:ind w:firstLine="0" w:firstLineChars="0"/>
        <w:jc w:val="center"/>
        <w:rPr>
          <w:rFonts w:ascii="宋体" w:hAnsi="宋体"/>
          <w:b/>
          <w:kern w:val="44"/>
          <w:sz w:val="28"/>
        </w:rPr>
      </w:pPr>
      <w:r>
        <w:rPr>
          <w:rFonts w:hint="eastAsia" w:ascii="宋体" w:hAnsi="宋体"/>
          <w:b/>
          <w:kern w:val="44"/>
          <w:sz w:val="28"/>
        </w:rPr>
        <w:t>第五章　邮政通信的服务与</w:t>
      </w:r>
    </w:p>
    <w:p w14:paraId="6EA78410">
      <w:pPr>
        <w:ind w:firstLine="0" w:firstLineChars="0"/>
        <w:jc w:val="center"/>
        <w:rPr>
          <w:rFonts w:ascii="宋体" w:hAnsi="宋体"/>
          <w:b/>
          <w:kern w:val="44"/>
          <w:sz w:val="28"/>
        </w:rPr>
      </w:pPr>
      <w:r>
        <w:rPr>
          <w:rFonts w:hint="eastAsia" w:ascii="宋体" w:hAnsi="宋体"/>
          <w:b/>
          <w:kern w:val="44"/>
          <w:sz w:val="28"/>
        </w:rPr>
        <w:t>社会监督</w:t>
      </w:r>
    </w:p>
    <w:p w14:paraId="57EC1E52">
      <w:pPr>
        <w:jc w:val="left"/>
        <w:rPr>
          <w:rFonts w:ascii="宋体" w:hAnsi="宋体"/>
          <w:kern w:val="44"/>
        </w:rPr>
      </w:pPr>
    </w:p>
    <w:p w14:paraId="704D307F">
      <w:pPr>
        <w:ind w:firstLine="422"/>
        <w:jc w:val="left"/>
        <w:rPr>
          <w:rFonts w:ascii="宋体" w:hAnsi="宋体"/>
          <w:kern w:val="44"/>
        </w:rPr>
      </w:pPr>
      <w:r>
        <w:rPr>
          <w:rFonts w:hint="eastAsia" w:ascii="宋体" w:hAnsi="宋体"/>
          <w:b/>
          <w:kern w:val="44"/>
        </w:rPr>
        <w:t>第三十条</w:t>
      </w:r>
      <w:r>
        <w:rPr>
          <w:rFonts w:hint="eastAsia" w:ascii="宋体" w:hAnsi="宋体"/>
          <w:kern w:val="44"/>
        </w:rPr>
        <w:t>　邮政企业应当加强职工教育，不断提高职工队伍素质；邮政企业的工作人员应当忠于职守，廉洁奉公，信守职业道德，改善服务态度，提高服务质量。</w:t>
      </w:r>
    </w:p>
    <w:p w14:paraId="58382C05">
      <w:pPr>
        <w:ind w:firstLine="422"/>
        <w:jc w:val="left"/>
        <w:rPr>
          <w:rFonts w:ascii="宋体" w:hAnsi="宋体"/>
          <w:kern w:val="44"/>
        </w:rPr>
      </w:pPr>
      <w:r>
        <w:rPr>
          <w:rFonts w:hint="eastAsia" w:ascii="宋体" w:hAnsi="宋体"/>
          <w:b/>
          <w:kern w:val="44"/>
        </w:rPr>
        <w:t>第三十一条</w:t>
      </w:r>
      <w:r>
        <w:rPr>
          <w:rFonts w:hint="eastAsia" w:ascii="宋体" w:hAnsi="宋体"/>
          <w:kern w:val="44"/>
        </w:rPr>
        <w:t>　邮政企业应当在营业场所公布服务范围、服务标准、业务程序、资费标准、营业时间和监督电话。</w:t>
      </w:r>
    </w:p>
    <w:p w14:paraId="327D054B">
      <w:pPr>
        <w:ind w:firstLine="422"/>
        <w:jc w:val="left"/>
        <w:rPr>
          <w:rFonts w:ascii="宋体" w:hAnsi="宋体"/>
          <w:kern w:val="44"/>
        </w:rPr>
      </w:pPr>
      <w:r>
        <w:rPr>
          <w:rFonts w:hint="eastAsia" w:ascii="宋体" w:hAnsi="宋体"/>
          <w:b/>
          <w:kern w:val="44"/>
        </w:rPr>
        <w:t>第三十二条</w:t>
      </w:r>
      <w:r>
        <w:rPr>
          <w:rFonts w:hint="eastAsia" w:ascii="宋体" w:hAnsi="宋体"/>
          <w:kern w:val="44"/>
        </w:rPr>
        <w:t>　邮政企业除应当遵守国家邮政法律、法规和有关业务规则外，还应当遵守下列规定：</w:t>
      </w:r>
    </w:p>
    <w:p w14:paraId="717602C6">
      <w:pPr>
        <w:jc w:val="left"/>
        <w:rPr>
          <w:rFonts w:ascii="宋体" w:hAnsi="宋体"/>
          <w:kern w:val="44"/>
        </w:rPr>
      </w:pPr>
      <w:r>
        <w:rPr>
          <w:rFonts w:hint="eastAsia" w:ascii="宋体" w:hAnsi="宋体"/>
          <w:kern w:val="44"/>
        </w:rPr>
        <w:t>（一）对符合接收邮件条件的新建居民楼和新建单位，在二个月内安排投递；</w:t>
      </w:r>
    </w:p>
    <w:p w14:paraId="70B62CFC">
      <w:pPr>
        <w:jc w:val="left"/>
        <w:rPr>
          <w:rFonts w:ascii="宋体" w:hAnsi="宋体"/>
          <w:kern w:val="44"/>
        </w:rPr>
      </w:pPr>
      <w:r>
        <w:rPr>
          <w:rFonts w:hint="eastAsia" w:ascii="宋体" w:hAnsi="宋体"/>
          <w:kern w:val="44"/>
        </w:rPr>
        <w:t>（二）执行邮件、报刊、电报传递时限的规定，逐步扩大日报早投范围，保证邮件、报刊的投递质量；</w:t>
      </w:r>
    </w:p>
    <w:p w14:paraId="65DD3E73">
      <w:pPr>
        <w:jc w:val="left"/>
        <w:rPr>
          <w:rFonts w:ascii="宋体" w:hAnsi="宋体"/>
          <w:kern w:val="44"/>
        </w:rPr>
      </w:pPr>
      <w:r>
        <w:rPr>
          <w:rFonts w:hint="eastAsia" w:ascii="宋体" w:hAnsi="宋体"/>
          <w:kern w:val="44"/>
        </w:rPr>
        <w:t>（三）在邮政信筒（箱）上标明开取信件的频次和时间，并按规定开取。对用户投入黄帽信筒的信件，优先处理。</w:t>
      </w:r>
    </w:p>
    <w:p w14:paraId="7C4CD3BC">
      <w:pPr>
        <w:ind w:firstLine="422"/>
        <w:jc w:val="left"/>
        <w:rPr>
          <w:rFonts w:ascii="宋体" w:hAnsi="宋体"/>
          <w:kern w:val="44"/>
        </w:rPr>
      </w:pPr>
      <w:r>
        <w:rPr>
          <w:rFonts w:hint="eastAsia" w:ascii="宋体" w:hAnsi="宋体"/>
          <w:b/>
          <w:kern w:val="44"/>
        </w:rPr>
        <w:t>第三十三条</w:t>
      </w:r>
      <w:r>
        <w:rPr>
          <w:rFonts w:hint="eastAsia" w:ascii="宋体" w:hAnsi="宋体"/>
          <w:kern w:val="44"/>
        </w:rPr>
        <w:t>　邮政企业可以根据用户的要求和具体条件与用户签订协议，约定投递位置和方式及其他服务项目。</w:t>
      </w:r>
    </w:p>
    <w:p w14:paraId="6B15A53A">
      <w:pPr>
        <w:ind w:firstLine="422"/>
        <w:jc w:val="left"/>
        <w:rPr>
          <w:rFonts w:ascii="宋体" w:hAnsi="宋体"/>
          <w:kern w:val="44"/>
        </w:rPr>
      </w:pPr>
      <w:r>
        <w:rPr>
          <w:rFonts w:hint="eastAsia" w:ascii="宋体" w:hAnsi="宋体"/>
          <w:b/>
          <w:kern w:val="44"/>
        </w:rPr>
        <w:t>第三十四条</w:t>
      </w:r>
      <w:r>
        <w:rPr>
          <w:rFonts w:hint="eastAsia" w:ascii="宋体" w:hAnsi="宋体"/>
          <w:kern w:val="44"/>
        </w:rPr>
        <w:t>　禁止邮政企业及其工作人员的下列行为：</w:t>
      </w:r>
    </w:p>
    <w:p w14:paraId="33196B8A">
      <w:pPr>
        <w:jc w:val="left"/>
        <w:rPr>
          <w:rFonts w:ascii="宋体" w:hAnsi="宋体"/>
          <w:kern w:val="44"/>
        </w:rPr>
      </w:pPr>
      <w:r>
        <w:rPr>
          <w:rFonts w:hint="eastAsia" w:ascii="宋体" w:hAnsi="宋体"/>
          <w:kern w:val="44"/>
        </w:rPr>
        <w:t>（一）利用工作之便索要财物、牟取私利或者故意刁难用户；</w:t>
      </w:r>
    </w:p>
    <w:p w14:paraId="113FB70C">
      <w:pPr>
        <w:jc w:val="left"/>
        <w:rPr>
          <w:rFonts w:ascii="宋体" w:hAnsi="宋体"/>
          <w:kern w:val="44"/>
        </w:rPr>
      </w:pPr>
      <w:r>
        <w:rPr>
          <w:rFonts w:hint="eastAsia" w:ascii="宋体" w:hAnsi="宋体"/>
          <w:kern w:val="44"/>
        </w:rPr>
        <w:t>（二）擅自中断正常的邮政业务；</w:t>
      </w:r>
    </w:p>
    <w:p w14:paraId="63BC3954">
      <w:pPr>
        <w:jc w:val="left"/>
        <w:rPr>
          <w:rFonts w:ascii="宋体" w:hAnsi="宋体"/>
          <w:kern w:val="44"/>
        </w:rPr>
      </w:pPr>
      <w:r>
        <w:rPr>
          <w:rFonts w:hint="eastAsia" w:ascii="宋体" w:hAnsi="宋体"/>
          <w:kern w:val="44"/>
        </w:rPr>
        <w:t>（三）擅自将邮政设施改作他用；</w:t>
      </w:r>
    </w:p>
    <w:p w14:paraId="11CB0A30">
      <w:pPr>
        <w:jc w:val="left"/>
        <w:rPr>
          <w:rFonts w:ascii="宋体" w:hAnsi="宋体"/>
          <w:kern w:val="44"/>
        </w:rPr>
      </w:pPr>
      <w:r>
        <w:rPr>
          <w:rFonts w:hint="eastAsia" w:ascii="宋体" w:hAnsi="宋体"/>
          <w:kern w:val="44"/>
        </w:rPr>
        <w:t>（四）擅自出卖、出借邮政专用品；</w:t>
      </w:r>
    </w:p>
    <w:p w14:paraId="344631E4">
      <w:pPr>
        <w:jc w:val="left"/>
        <w:rPr>
          <w:rFonts w:ascii="宋体" w:hAnsi="宋体"/>
          <w:kern w:val="44"/>
        </w:rPr>
      </w:pPr>
      <w:r>
        <w:rPr>
          <w:rFonts w:hint="eastAsia" w:ascii="宋体" w:hAnsi="宋体"/>
          <w:kern w:val="44"/>
        </w:rPr>
        <w:t>（五）擅自改变资费标准或者增加收费项目；</w:t>
      </w:r>
    </w:p>
    <w:p w14:paraId="39146C34">
      <w:pPr>
        <w:jc w:val="left"/>
        <w:rPr>
          <w:rFonts w:ascii="宋体" w:hAnsi="宋体"/>
          <w:kern w:val="44"/>
        </w:rPr>
      </w:pPr>
      <w:r>
        <w:rPr>
          <w:rFonts w:hint="eastAsia" w:ascii="宋体" w:hAnsi="宋体"/>
          <w:kern w:val="44"/>
        </w:rPr>
        <w:t>（六）私拆、隐匿、毁弃邮件、电报或者从邮件中窃取财物。</w:t>
      </w:r>
    </w:p>
    <w:p w14:paraId="09F04FF6">
      <w:pPr>
        <w:jc w:val="left"/>
        <w:rPr>
          <w:rFonts w:ascii="宋体" w:hAnsi="宋体"/>
          <w:kern w:val="44"/>
        </w:rPr>
      </w:pPr>
      <w:r>
        <w:rPr>
          <w:rFonts w:hint="eastAsia" w:ascii="宋体" w:hAnsi="宋体"/>
          <w:kern w:val="44"/>
        </w:rPr>
        <w:t>本条规定适用于代办邮政业务的单位和个人。</w:t>
      </w:r>
    </w:p>
    <w:p w14:paraId="2EF844C9">
      <w:pPr>
        <w:ind w:firstLine="422"/>
        <w:jc w:val="left"/>
        <w:rPr>
          <w:rFonts w:ascii="宋体" w:hAnsi="宋体"/>
          <w:kern w:val="44"/>
        </w:rPr>
      </w:pPr>
      <w:r>
        <w:rPr>
          <w:rFonts w:hint="eastAsia" w:ascii="宋体" w:hAnsi="宋体"/>
          <w:b/>
          <w:kern w:val="44"/>
        </w:rPr>
        <w:t>第三十五条</w:t>
      </w:r>
      <w:r>
        <w:rPr>
          <w:rFonts w:hint="eastAsia" w:ascii="宋体" w:hAnsi="宋体"/>
          <w:kern w:val="44"/>
        </w:rPr>
        <w:t>　邮政企业的服务应当接受有关部门和群众的监督。邮政通信主管部门对邮政用户的投诉应当及时调查处理，并答复用户。</w:t>
      </w:r>
    </w:p>
    <w:p w14:paraId="422920C0">
      <w:pPr>
        <w:jc w:val="left"/>
        <w:rPr>
          <w:rFonts w:ascii="宋体" w:hAnsi="宋体"/>
          <w:kern w:val="44"/>
        </w:rPr>
      </w:pPr>
    </w:p>
    <w:p w14:paraId="6B8F6AE3">
      <w:pPr>
        <w:ind w:firstLine="0" w:firstLineChars="0"/>
        <w:jc w:val="center"/>
        <w:rPr>
          <w:rFonts w:ascii="宋体" w:hAnsi="宋体"/>
          <w:b/>
          <w:kern w:val="44"/>
          <w:sz w:val="28"/>
        </w:rPr>
      </w:pPr>
      <w:r>
        <w:rPr>
          <w:rFonts w:hint="eastAsia" w:ascii="宋体" w:hAnsi="宋体"/>
          <w:b/>
          <w:kern w:val="44"/>
          <w:sz w:val="28"/>
        </w:rPr>
        <w:t>第六章　法律责任</w:t>
      </w:r>
    </w:p>
    <w:p w14:paraId="15D42C8C">
      <w:pPr>
        <w:jc w:val="left"/>
        <w:rPr>
          <w:rFonts w:ascii="宋体" w:hAnsi="宋体"/>
          <w:kern w:val="44"/>
        </w:rPr>
      </w:pPr>
    </w:p>
    <w:p w14:paraId="2E72F1F5">
      <w:pPr>
        <w:ind w:firstLine="422"/>
        <w:jc w:val="left"/>
        <w:rPr>
          <w:rFonts w:ascii="宋体" w:hAnsi="宋体"/>
          <w:kern w:val="44"/>
        </w:rPr>
      </w:pPr>
      <w:r>
        <w:rPr>
          <w:rFonts w:hint="eastAsia" w:ascii="宋体" w:hAnsi="宋体"/>
          <w:b/>
          <w:kern w:val="44"/>
        </w:rPr>
        <w:t>第三十六条</w:t>
      </w:r>
      <w:r>
        <w:rPr>
          <w:rFonts w:hint="eastAsia" w:ascii="宋体" w:hAnsi="宋体"/>
          <w:kern w:val="44"/>
        </w:rPr>
        <w:t>　违反本条例第十条、第十二条、第十三条规定，建设工程未按照规定配套建设邮政设施、擅自改变邮政设施设计或者配套建设的邮政设施不合格的，由邮政通信主管部门责令限期建设或者改正，并由责任单位承担邮政企业为解决用户用邮采取的临时措施所需的费用，直至配套建设的邮政设施验收合格。</w:t>
      </w:r>
    </w:p>
    <w:p w14:paraId="459B9F93">
      <w:pPr>
        <w:ind w:firstLine="422"/>
        <w:jc w:val="left"/>
        <w:rPr>
          <w:rFonts w:ascii="宋体" w:hAnsi="宋体"/>
          <w:kern w:val="44"/>
        </w:rPr>
      </w:pPr>
      <w:r>
        <w:rPr>
          <w:rFonts w:hint="eastAsia" w:ascii="宋体" w:hAnsi="宋体"/>
          <w:b/>
          <w:kern w:val="44"/>
        </w:rPr>
        <w:t>第三十七条</w:t>
      </w:r>
      <w:r>
        <w:rPr>
          <w:rFonts w:hint="eastAsia" w:ascii="宋体" w:hAnsi="宋体"/>
          <w:kern w:val="44"/>
        </w:rPr>
        <w:t>　违反本条例第十四条规定，已建成的居民楼未按照规定设置信报箱、间（群）或者收发室的，由邮政通信主管部门责令居民楼的产权单位或者管理单位限期补建。逾期不补建的，每逾期一天，处以100元罚款，直至补建合格。</w:t>
      </w:r>
    </w:p>
    <w:p w14:paraId="37F804CF">
      <w:pPr>
        <w:ind w:firstLine="422"/>
        <w:jc w:val="left"/>
        <w:rPr>
          <w:rFonts w:ascii="宋体" w:hAnsi="宋体"/>
          <w:kern w:val="44"/>
        </w:rPr>
      </w:pPr>
      <w:r>
        <w:rPr>
          <w:rFonts w:hint="eastAsia" w:ascii="宋体" w:hAnsi="宋体"/>
          <w:b/>
          <w:kern w:val="44"/>
        </w:rPr>
        <w:t>第三十八条</w:t>
      </w:r>
      <w:r>
        <w:rPr>
          <w:rFonts w:hint="eastAsia" w:ascii="宋体" w:hAnsi="宋体"/>
          <w:kern w:val="44"/>
        </w:rPr>
        <w:t>　违反本条例第十八条规定，未经邮政企业委托经营信函、明信片或者其他具有信件性质的物品的寄递业务的，由邮政通信主管部门提请工商行政管理部门责令其将收寄的信函、明信片或者其他具有信件性质的物品以及收取的资费退还寄件人，并处以罚款。</w:t>
      </w:r>
    </w:p>
    <w:p w14:paraId="6FAF9657">
      <w:pPr>
        <w:ind w:firstLine="422"/>
        <w:jc w:val="left"/>
        <w:rPr>
          <w:rFonts w:ascii="宋体" w:hAnsi="宋体"/>
          <w:kern w:val="44"/>
        </w:rPr>
      </w:pPr>
      <w:r>
        <w:rPr>
          <w:rFonts w:hint="eastAsia" w:ascii="宋体" w:hAnsi="宋体"/>
          <w:b/>
          <w:kern w:val="44"/>
        </w:rPr>
        <w:t>第三十九条</w:t>
      </w:r>
      <w:r>
        <w:rPr>
          <w:rFonts w:hint="eastAsia" w:ascii="宋体" w:hAnsi="宋体"/>
          <w:kern w:val="44"/>
        </w:rPr>
        <w:t>　违反本条例第十九条规定，非邮政企业使用邮政企业的通信网络经营速递业务，不到邮政通信主管部门备案的，由邮政通信主管部门责令其限期补办备案手续。逾期不备案的，每逾期一天，处以500元罚款。</w:t>
      </w:r>
    </w:p>
    <w:p w14:paraId="703E0B4C">
      <w:pPr>
        <w:ind w:firstLine="422"/>
        <w:jc w:val="left"/>
        <w:rPr>
          <w:rFonts w:ascii="宋体" w:hAnsi="宋体"/>
          <w:kern w:val="44"/>
        </w:rPr>
      </w:pPr>
      <w:r>
        <w:rPr>
          <w:rFonts w:hint="eastAsia" w:ascii="宋体" w:hAnsi="宋体"/>
          <w:b/>
          <w:kern w:val="44"/>
        </w:rPr>
        <w:t>第四十条</w:t>
      </w:r>
      <w:r>
        <w:rPr>
          <w:rFonts w:hint="eastAsia" w:ascii="宋体" w:hAnsi="宋体"/>
          <w:kern w:val="44"/>
        </w:rPr>
        <w:t>　违反本条例第二十一条规定，印制未经邮政通信主管部门监制的明信片和通信使用的信封或者销售自制集邮品的，由邮政通信主管部门责令其改正，没收物品和非法所得，并处以1万元以下罚款。</w:t>
      </w:r>
    </w:p>
    <w:p w14:paraId="6A41AEE7">
      <w:pPr>
        <w:ind w:firstLine="422"/>
        <w:jc w:val="left"/>
        <w:rPr>
          <w:rFonts w:ascii="宋体" w:hAnsi="宋体"/>
          <w:kern w:val="44"/>
        </w:rPr>
      </w:pPr>
      <w:r>
        <w:rPr>
          <w:rFonts w:hint="eastAsia" w:ascii="宋体" w:hAnsi="宋体"/>
          <w:b/>
          <w:kern w:val="44"/>
        </w:rPr>
        <w:t>第四十一条</w:t>
      </w:r>
      <w:r>
        <w:rPr>
          <w:rFonts w:hint="eastAsia" w:ascii="宋体" w:hAnsi="宋体"/>
          <w:kern w:val="44"/>
        </w:rPr>
        <w:t>　违反本条例第二十六条规定，居民楼设置的信报箱、间（群）以及邮件接收单位的邮政设施损坏，有关产权单位或者管理单位不及时维修或者更换的，由邮政通信主管部门责令其限期维修、更换。逾期不维修、更换的，每逾期一天，处以100元罚款。</w:t>
      </w:r>
    </w:p>
    <w:p w14:paraId="5B16E5A5">
      <w:pPr>
        <w:ind w:firstLine="422"/>
        <w:jc w:val="left"/>
        <w:rPr>
          <w:rFonts w:ascii="宋体" w:hAnsi="宋体"/>
          <w:kern w:val="44"/>
        </w:rPr>
      </w:pPr>
      <w:r>
        <w:rPr>
          <w:rFonts w:hint="eastAsia" w:ascii="宋体" w:hAnsi="宋体"/>
          <w:b/>
          <w:kern w:val="44"/>
        </w:rPr>
        <w:t>第四十二条</w:t>
      </w:r>
      <w:r>
        <w:rPr>
          <w:rFonts w:hint="eastAsia" w:ascii="宋体" w:hAnsi="宋体"/>
          <w:kern w:val="44"/>
        </w:rPr>
        <w:t>　违反本条例第二十七条规定，未征得邮政企业同意，擅自拆除、迁移邮政设施的，应当恢复原状或者赔偿损失，并可由邮政通信主管部门对责任单位处以1万元以下罚款。</w:t>
      </w:r>
    </w:p>
    <w:p w14:paraId="10DDD91D">
      <w:pPr>
        <w:ind w:firstLine="422"/>
        <w:jc w:val="left"/>
        <w:rPr>
          <w:rFonts w:ascii="宋体" w:hAnsi="宋体"/>
          <w:kern w:val="44"/>
        </w:rPr>
      </w:pPr>
      <w:r>
        <w:rPr>
          <w:rFonts w:hint="eastAsia" w:ascii="宋体" w:hAnsi="宋体"/>
          <w:b/>
          <w:kern w:val="44"/>
        </w:rPr>
        <w:t>第四十三条</w:t>
      </w:r>
      <w:r>
        <w:rPr>
          <w:rFonts w:hint="eastAsia" w:ascii="宋体" w:hAnsi="宋体"/>
          <w:kern w:val="44"/>
        </w:rPr>
        <w:t>　违反本条例第二十九条第（一）、（二）、（五）、（六）项规定，造成经济损失的，应当赔偿经济损失；违反治安管理规定的，由公安机关依法处罚；构成犯罪的，依法追究刑事责任。</w:t>
      </w:r>
    </w:p>
    <w:p w14:paraId="0141992F">
      <w:pPr>
        <w:ind w:firstLine="422"/>
        <w:jc w:val="left"/>
        <w:rPr>
          <w:rFonts w:ascii="宋体" w:hAnsi="宋体"/>
          <w:kern w:val="44"/>
        </w:rPr>
      </w:pPr>
      <w:r>
        <w:rPr>
          <w:rFonts w:hint="eastAsia" w:ascii="宋体" w:hAnsi="宋体"/>
          <w:b/>
          <w:kern w:val="44"/>
        </w:rPr>
        <w:t>第四十四条</w:t>
      </w:r>
      <w:r>
        <w:rPr>
          <w:rFonts w:hint="eastAsia" w:ascii="宋体" w:hAnsi="宋体"/>
          <w:kern w:val="44"/>
        </w:rPr>
        <w:t>　违反本条例第二十九条第（三）项规定，在邮政局（所）门前、邮政信筒（箱）周围及邮车必经通道内堆物堆料、摆摊设点，妨害用户用邮或者影响邮车通行的，由邮政通信主管部门给予警告、责令限期改正。逾期不改正的，由邮政通信主管部门会同工商行政、公安交通等部门采取措施予以清除，并按照有关规定予以处罚。</w:t>
      </w:r>
    </w:p>
    <w:p w14:paraId="16A12698">
      <w:pPr>
        <w:ind w:firstLine="422"/>
        <w:jc w:val="left"/>
        <w:rPr>
          <w:rFonts w:ascii="宋体" w:hAnsi="宋体"/>
          <w:kern w:val="44"/>
        </w:rPr>
      </w:pPr>
      <w:r>
        <w:rPr>
          <w:rFonts w:hint="eastAsia" w:ascii="宋体" w:hAnsi="宋体"/>
          <w:b/>
          <w:kern w:val="44"/>
        </w:rPr>
        <w:t>第四十五条</w:t>
      </w:r>
      <w:r>
        <w:rPr>
          <w:rFonts w:hint="eastAsia" w:ascii="宋体" w:hAnsi="宋体"/>
          <w:kern w:val="44"/>
        </w:rPr>
        <w:t>　违反本条例第二十九条第（四）项规定，伪造或者冒用邮政专用标志、邮政标志服和邮政专用品的，由邮政通信主管部门处以1500元以下罚款，并没收有关物品。</w:t>
      </w:r>
    </w:p>
    <w:p w14:paraId="13121F8F">
      <w:pPr>
        <w:ind w:firstLine="422"/>
        <w:jc w:val="left"/>
        <w:rPr>
          <w:rFonts w:ascii="宋体" w:hAnsi="宋体"/>
          <w:kern w:val="44"/>
        </w:rPr>
      </w:pPr>
      <w:r>
        <w:rPr>
          <w:rFonts w:hint="eastAsia" w:ascii="宋体" w:hAnsi="宋体"/>
          <w:b/>
          <w:kern w:val="44"/>
        </w:rPr>
        <w:t>第四十六条</w:t>
      </w:r>
      <w:r>
        <w:rPr>
          <w:rFonts w:hint="eastAsia" w:ascii="宋体" w:hAnsi="宋体"/>
          <w:kern w:val="44"/>
        </w:rPr>
        <w:t>　新建居民楼和新建单位具备通邮条件，并办理了投递登记手续，逾两个月不通邮的，由邮政通信主管部门责令责任单位改正；逾期不改正的，对责任人给予行政处分或者罚款。</w:t>
      </w:r>
    </w:p>
    <w:p w14:paraId="7C7E437C">
      <w:pPr>
        <w:ind w:firstLine="422"/>
        <w:jc w:val="left"/>
        <w:rPr>
          <w:rFonts w:ascii="宋体" w:hAnsi="宋体"/>
          <w:kern w:val="44"/>
        </w:rPr>
      </w:pPr>
      <w:r>
        <w:rPr>
          <w:rFonts w:hint="eastAsia" w:ascii="宋体" w:hAnsi="宋体"/>
          <w:b/>
          <w:kern w:val="44"/>
        </w:rPr>
        <w:t>第四十七条</w:t>
      </w:r>
      <w:r>
        <w:rPr>
          <w:rFonts w:hint="eastAsia" w:ascii="宋体" w:hAnsi="宋体"/>
          <w:kern w:val="44"/>
        </w:rPr>
        <w:t>　违反本条例第三十四条第（一）、（二）、（三）、（四）项规定，侵犯用户合法权益或者擅自出卖、出借邮政专用品的，由所在单位或者上级主管部门责令立即改正，没收非法所得，退还非法索要的财物，根据情节给予行政处分；并可由邮政通信主管部门对责任单位处以1万元以下罚款，对责任人处以1000元以下罚款；构成犯罪的，依法追究刑事责任。</w:t>
      </w:r>
    </w:p>
    <w:p w14:paraId="4C076F71">
      <w:pPr>
        <w:ind w:firstLine="422"/>
        <w:jc w:val="left"/>
        <w:rPr>
          <w:rFonts w:ascii="宋体" w:hAnsi="宋体"/>
          <w:kern w:val="44"/>
        </w:rPr>
      </w:pPr>
      <w:r>
        <w:rPr>
          <w:rFonts w:hint="eastAsia" w:ascii="宋体" w:hAnsi="宋体"/>
          <w:b/>
          <w:kern w:val="44"/>
        </w:rPr>
        <w:t>第四十八条</w:t>
      </w:r>
      <w:r>
        <w:rPr>
          <w:rFonts w:hint="eastAsia" w:ascii="宋体" w:hAnsi="宋体"/>
          <w:kern w:val="44"/>
        </w:rPr>
        <w:t>　违反本条例第三十四条第（五）项规定，擅自改变资费标准或者增加收费项目的，由物价部门依法处罚。</w:t>
      </w:r>
    </w:p>
    <w:p w14:paraId="4DAF232A">
      <w:pPr>
        <w:ind w:firstLine="422"/>
        <w:jc w:val="left"/>
        <w:rPr>
          <w:rFonts w:ascii="宋体" w:hAnsi="宋体"/>
          <w:kern w:val="44"/>
        </w:rPr>
      </w:pPr>
      <w:r>
        <w:rPr>
          <w:rFonts w:hint="eastAsia" w:ascii="宋体" w:hAnsi="宋体"/>
          <w:b/>
          <w:kern w:val="44"/>
        </w:rPr>
        <w:t>第四十九条</w:t>
      </w:r>
      <w:r>
        <w:rPr>
          <w:rFonts w:hint="eastAsia" w:ascii="宋体" w:hAnsi="宋体"/>
          <w:kern w:val="44"/>
        </w:rPr>
        <w:t>　违反本条例第三十四条第（六）项规定，私拆、隐匿、毁弃邮件、电报的，依照《中华人民共和国刑法》第一百九十一条第一款规定追究刑事责任；从邮件中窃取财物的，依照《中华人民共和国刑法》第一百九十一条第二款规定，按贪污罪从重处罚。</w:t>
      </w:r>
    </w:p>
    <w:p w14:paraId="5BB2FB21">
      <w:pPr>
        <w:ind w:firstLine="422"/>
        <w:jc w:val="left"/>
        <w:rPr>
          <w:rFonts w:ascii="宋体" w:hAnsi="宋体"/>
          <w:kern w:val="44"/>
        </w:rPr>
      </w:pPr>
      <w:r>
        <w:rPr>
          <w:rFonts w:hint="eastAsia" w:ascii="宋体" w:hAnsi="宋体"/>
          <w:b/>
          <w:kern w:val="44"/>
        </w:rPr>
        <w:t>第五十条</w:t>
      </w:r>
      <w:r>
        <w:rPr>
          <w:rFonts w:hint="eastAsia" w:ascii="宋体" w:hAnsi="宋体"/>
          <w:kern w:val="44"/>
        </w:rPr>
        <w:t>　当事人对行政处罚决定不服的，可以在接到处罚通知书之日起15日内，向作出处罚决定机关的上一级机关申请复议；对复议决定不服的，可以在接到复议决定书之日起15日内，向人民法院提起诉讼。当事人也可以在接到处罚通知书之日起15日内，直接向人民法院提起诉讼。当事人逾期不申请复议、也不向人民法院起诉、又不履行处罚决定的，由作出处罚决定的机关申请人民法院强制执行。</w:t>
      </w:r>
    </w:p>
    <w:p w14:paraId="2B5E1A99">
      <w:pPr>
        <w:ind w:firstLine="422"/>
        <w:jc w:val="left"/>
        <w:rPr>
          <w:rFonts w:ascii="宋体" w:hAnsi="宋体"/>
          <w:kern w:val="44"/>
        </w:rPr>
      </w:pPr>
      <w:r>
        <w:rPr>
          <w:rFonts w:hint="eastAsia" w:ascii="宋体" w:hAnsi="宋体"/>
          <w:b/>
          <w:kern w:val="44"/>
        </w:rPr>
        <w:t>第五十一条</w:t>
      </w:r>
      <w:r>
        <w:rPr>
          <w:rFonts w:hint="eastAsia" w:ascii="宋体" w:hAnsi="宋体"/>
          <w:kern w:val="44"/>
        </w:rPr>
        <w:t>　邮政通信主管部门的工作人员滥用职权、玩忽职守、徇私舞弊的，由所在单位或者上级主管部门给予行政处分；构成犯罪的，依法追究刑事责任。</w:t>
      </w:r>
    </w:p>
    <w:p w14:paraId="155E2AC3">
      <w:pPr>
        <w:jc w:val="left"/>
        <w:rPr>
          <w:rFonts w:ascii="宋体" w:hAnsi="宋体"/>
          <w:kern w:val="44"/>
        </w:rPr>
      </w:pPr>
    </w:p>
    <w:p w14:paraId="50317C5A">
      <w:pPr>
        <w:ind w:firstLine="0" w:firstLineChars="0"/>
        <w:jc w:val="center"/>
        <w:rPr>
          <w:rFonts w:ascii="宋体" w:hAnsi="宋体"/>
          <w:b/>
          <w:kern w:val="44"/>
          <w:sz w:val="28"/>
        </w:rPr>
      </w:pPr>
      <w:r>
        <w:rPr>
          <w:rFonts w:hint="eastAsia" w:ascii="宋体" w:hAnsi="宋体"/>
          <w:b/>
          <w:kern w:val="44"/>
          <w:sz w:val="28"/>
        </w:rPr>
        <w:t>第七章　附　则</w:t>
      </w:r>
    </w:p>
    <w:p w14:paraId="4193F708">
      <w:pPr>
        <w:jc w:val="left"/>
        <w:rPr>
          <w:rFonts w:ascii="宋体" w:hAnsi="宋体"/>
          <w:kern w:val="44"/>
        </w:rPr>
      </w:pPr>
    </w:p>
    <w:p w14:paraId="16B1036D">
      <w:pPr>
        <w:ind w:firstLine="422"/>
        <w:jc w:val="left"/>
        <w:rPr>
          <w:rFonts w:ascii="宋体" w:hAnsi="宋体"/>
          <w:kern w:val="44"/>
        </w:rPr>
      </w:pPr>
      <w:r>
        <w:rPr>
          <w:rFonts w:hint="eastAsia" w:ascii="宋体" w:hAnsi="宋体"/>
          <w:b/>
          <w:kern w:val="44"/>
        </w:rPr>
        <w:t>第五十二条</w:t>
      </w:r>
      <w:r>
        <w:rPr>
          <w:rFonts w:hint="eastAsia" w:ascii="宋体" w:hAnsi="宋体"/>
          <w:kern w:val="44"/>
        </w:rPr>
        <w:t>　本条例具体应用中的问题，由北京市邮政管理局负责解释。</w:t>
      </w:r>
    </w:p>
    <w:p w14:paraId="2509CCD6">
      <w:pPr>
        <w:ind w:firstLine="422"/>
        <w:jc w:val="left"/>
        <w:rPr>
          <w:rFonts w:ascii="宋体" w:hAnsi="宋体"/>
          <w:kern w:val="44"/>
        </w:rPr>
      </w:pPr>
      <w:r>
        <w:rPr>
          <w:rFonts w:hint="eastAsia" w:ascii="宋体" w:hAnsi="宋体"/>
          <w:b/>
          <w:kern w:val="44"/>
        </w:rPr>
        <w:t>第五十三条</w:t>
      </w:r>
      <w:r>
        <w:rPr>
          <w:rFonts w:hint="eastAsia" w:ascii="宋体" w:hAnsi="宋体"/>
          <w:kern w:val="44"/>
        </w:rPr>
        <w:t>　本条例自1994年10月1日起施行。</w:t>
      </w:r>
    </w:p>
    <w:p w14:paraId="0DB2BC10">
      <w:pPr>
        <w:pStyle w:val="4"/>
        <w:pageBreakBefore/>
        <w:rPr>
          <w:kern w:val="44"/>
        </w:rPr>
      </w:pPr>
      <w:bookmarkStart w:id="679" w:name="_Toc422471195"/>
      <w:bookmarkStart w:id="680" w:name="_Toc427651495"/>
      <w:bookmarkStart w:id="681" w:name="_Toc428781543"/>
      <w:bookmarkStart w:id="682" w:name="_Toc428780061"/>
      <w:bookmarkStart w:id="683" w:name="_Toc427651837"/>
      <w:r>
        <w:rPr>
          <w:rFonts w:hint="eastAsia"/>
          <w:kern w:val="44"/>
        </w:rPr>
        <w:t>北京市信息化促进条例</w:t>
      </w:r>
      <w:bookmarkEnd w:id="679"/>
      <w:bookmarkEnd w:id="680"/>
      <w:bookmarkEnd w:id="681"/>
      <w:bookmarkEnd w:id="682"/>
      <w:bookmarkEnd w:id="683"/>
    </w:p>
    <w:p w14:paraId="43F61746">
      <w:pPr>
        <w:ind w:left="630" w:leftChars="300" w:right="630" w:rightChars="300"/>
        <w:jc w:val="left"/>
        <w:rPr>
          <w:rFonts w:ascii="楷体" w:hAnsi="楷体" w:eastAsia="楷体"/>
          <w:kern w:val="44"/>
        </w:rPr>
      </w:pPr>
      <w:r>
        <w:rPr>
          <w:rFonts w:hint="eastAsia" w:ascii="楷体" w:hAnsi="楷体" w:eastAsia="楷体"/>
          <w:kern w:val="44"/>
        </w:rPr>
        <w:t>（2007年9月14日北京市第十二届人民代表大会常务委员会第三十八次会议通过）</w:t>
      </w:r>
    </w:p>
    <w:p w14:paraId="35889E24">
      <w:pPr>
        <w:jc w:val="left"/>
        <w:rPr>
          <w:rFonts w:ascii="宋体" w:hAnsi="宋体"/>
          <w:kern w:val="44"/>
        </w:rPr>
      </w:pPr>
    </w:p>
    <w:p w14:paraId="170A6322">
      <w:pPr>
        <w:ind w:firstLine="0" w:firstLineChars="0"/>
        <w:jc w:val="center"/>
        <w:rPr>
          <w:rFonts w:ascii="宋体" w:hAnsi="宋体"/>
          <w:b/>
          <w:kern w:val="44"/>
          <w:sz w:val="28"/>
        </w:rPr>
      </w:pPr>
      <w:r>
        <w:rPr>
          <w:rFonts w:hint="eastAsia" w:ascii="宋体" w:hAnsi="宋体"/>
          <w:b/>
          <w:kern w:val="44"/>
          <w:sz w:val="28"/>
        </w:rPr>
        <w:t>第一章　总　则</w:t>
      </w:r>
    </w:p>
    <w:p w14:paraId="4CC80205">
      <w:pPr>
        <w:jc w:val="left"/>
        <w:rPr>
          <w:rFonts w:ascii="宋体" w:hAnsi="宋体"/>
          <w:kern w:val="44"/>
        </w:rPr>
      </w:pPr>
    </w:p>
    <w:p w14:paraId="1030EE64">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为了规范信息化管理，加快信息化建设，促进经济发展和社会进步，根据有关法律和行政法规，结合本市实际情况，制定本条例。</w:t>
      </w:r>
    </w:p>
    <w:p w14:paraId="42F07ACE">
      <w:pPr>
        <w:ind w:firstLine="422"/>
        <w:jc w:val="left"/>
        <w:rPr>
          <w:rFonts w:ascii="宋体" w:hAnsi="宋体"/>
          <w:kern w:val="44"/>
        </w:rPr>
      </w:pPr>
      <w:r>
        <w:rPr>
          <w:rFonts w:hint="eastAsia" w:ascii="宋体" w:hAnsi="宋体"/>
          <w:b/>
          <w:kern w:val="44"/>
        </w:rPr>
        <w:t>第二条</w:t>
      </w:r>
      <w:r>
        <w:rPr>
          <w:rFonts w:hint="eastAsia" w:ascii="宋体" w:hAnsi="宋体"/>
          <w:kern w:val="44"/>
        </w:rPr>
        <w:t>　本市信息化工程建设、信息资源开发利用、信息技术推广应用、信息安全保障以及相关管理活动，适用本条例。</w:t>
      </w:r>
    </w:p>
    <w:p w14:paraId="127989E4">
      <w:pPr>
        <w:ind w:firstLine="422"/>
        <w:jc w:val="left"/>
        <w:rPr>
          <w:rFonts w:ascii="宋体" w:hAnsi="宋体"/>
          <w:kern w:val="44"/>
        </w:rPr>
      </w:pPr>
      <w:r>
        <w:rPr>
          <w:rFonts w:hint="eastAsia" w:ascii="宋体" w:hAnsi="宋体"/>
          <w:b/>
          <w:kern w:val="44"/>
        </w:rPr>
        <w:t>第三条</w:t>
      </w:r>
      <w:r>
        <w:rPr>
          <w:rFonts w:hint="eastAsia" w:ascii="宋体" w:hAnsi="宋体"/>
          <w:kern w:val="44"/>
        </w:rPr>
        <w:t>　本市信息化发展遵循统筹规划、资源共享、务求实效、保障安全的原则。</w:t>
      </w:r>
    </w:p>
    <w:p w14:paraId="7108222E">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市和区、县人民政府应当将信息化发展工作纳入国民经济和社会发展规划，健全信息化工作领导协调机制，统筹协调解决本行政区域内信息化发展工作中的重要问题，加大信息化发展的经费投入。</w:t>
      </w:r>
    </w:p>
    <w:p w14:paraId="1E260E4B">
      <w:pPr>
        <w:jc w:val="left"/>
        <w:rPr>
          <w:rFonts w:ascii="宋体" w:hAnsi="宋体"/>
          <w:kern w:val="44"/>
        </w:rPr>
      </w:pPr>
      <w:r>
        <w:rPr>
          <w:rFonts w:hint="eastAsia" w:ascii="宋体" w:hAnsi="宋体"/>
          <w:kern w:val="44"/>
        </w:rPr>
        <w:t>乡镇人民政府和街道办事处应当推进本辖区内的信息化发展工作。</w:t>
      </w:r>
    </w:p>
    <w:p w14:paraId="3C37C765">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市和区、县信息化主管部门负责本行政区域内信息化发展的统一规划、组织协调和监督管理工作。</w:t>
      </w:r>
    </w:p>
    <w:p w14:paraId="19629F00">
      <w:pPr>
        <w:jc w:val="left"/>
        <w:rPr>
          <w:rFonts w:ascii="宋体" w:hAnsi="宋体"/>
          <w:kern w:val="44"/>
        </w:rPr>
      </w:pPr>
      <w:r>
        <w:rPr>
          <w:rFonts w:hint="eastAsia" w:ascii="宋体" w:hAnsi="宋体"/>
          <w:kern w:val="44"/>
        </w:rPr>
        <w:t>发展改革、财政、科技、通信管理、质量技术监督、工商、公安、保密等行政管理部门按照职责分工负责信息化发展的相关工作。</w:t>
      </w:r>
    </w:p>
    <w:p w14:paraId="6C46D896">
      <w:pPr>
        <w:ind w:firstLine="422"/>
        <w:jc w:val="left"/>
        <w:rPr>
          <w:rFonts w:ascii="宋体" w:hAnsi="宋体"/>
          <w:kern w:val="44"/>
        </w:rPr>
      </w:pPr>
      <w:r>
        <w:rPr>
          <w:rFonts w:hint="eastAsia" w:ascii="宋体" w:hAnsi="宋体"/>
          <w:b/>
          <w:kern w:val="44"/>
        </w:rPr>
        <w:t>第六条</w:t>
      </w:r>
      <w:r>
        <w:rPr>
          <w:rFonts w:hint="eastAsia" w:ascii="宋体" w:hAnsi="宋体"/>
          <w:kern w:val="44"/>
        </w:rPr>
        <w:t>　市信息化主管部门会同有关部门依照国家信息化发展规划和本市国民经济和社会发展规划，组织编制本市信息化发展规划，报市人民政府批准后公布实施。</w:t>
      </w:r>
    </w:p>
    <w:p w14:paraId="21B0AF69">
      <w:pPr>
        <w:jc w:val="left"/>
        <w:rPr>
          <w:rFonts w:ascii="宋体" w:hAnsi="宋体"/>
          <w:kern w:val="44"/>
        </w:rPr>
      </w:pPr>
      <w:r>
        <w:rPr>
          <w:rFonts w:hint="eastAsia" w:ascii="宋体" w:hAnsi="宋体"/>
          <w:kern w:val="44"/>
        </w:rPr>
        <w:t>区、县信息化主管部门会同有关部门依据本市信息化发展规划，结合本区、县实际情况组织编制本行政区域的信息化发展规划，经市信息化主管部门审核后，报同级人民政府批准后公布实施。</w:t>
      </w:r>
    </w:p>
    <w:p w14:paraId="0C211DF4">
      <w:pPr>
        <w:jc w:val="left"/>
        <w:rPr>
          <w:rFonts w:ascii="宋体" w:hAnsi="宋体"/>
          <w:kern w:val="44"/>
        </w:rPr>
      </w:pPr>
      <w:r>
        <w:rPr>
          <w:rFonts w:hint="eastAsia" w:ascii="宋体" w:hAnsi="宋体"/>
          <w:kern w:val="44"/>
        </w:rPr>
        <w:t>本市国家机关编制的本部门和本行业、本系统的信息化发展规划，应当符合本市信息化发展规划。</w:t>
      </w:r>
    </w:p>
    <w:p w14:paraId="38CD4D82">
      <w:pPr>
        <w:ind w:firstLine="422"/>
        <w:jc w:val="left"/>
        <w:rPr>
          <w:rFonts w:ascii="宋体" w:hAnsi="宋体"/>
          <w:kern w:val="44"/>
        </w:rPr>
      </w:pPr>
      <w:r>
        <w:rPr>
          <w:rFonts w:hint="eastAsia" w:ascii="宋体" w:hAnsi="宋体"/>
          <w:b/>
          <w:kern w:val="44"/>
        </w:rPr>
        <w:t>第七条</w:t>
      </w:r>
      <w:r>
        <w:rPr>
          <w:rFonts w:hint="eastAsia" w:ascii="宋体" w:hAnsi="宋体"/>
          <w:kern w:val="44"/>
        </w:rPr>
        <w:t>　市质量技术监督行政主管部门应当会同信息化主管部门及其他有关部门，根据信息化发展趋势和要求以及职责权限，制定并及时完善有关信息化标准。</w:t>
      </w:r>
    </w:p>
    <w:p w14:paraId="1D02EB3F">
      <w:pPr>
        <w:jc w:val="left"/>
        <w:rPr>
          <w:rFonts w:ascii="宋体" w:hAnsi="宋体"/>
          <w:kern w:val="44"/>
        </w:rPr>
      </w:pPr>
      <w:r>
        <w:rPr>
          <w:rFonts w:hint="eastAsia" w:ascii="宋体" w:hAnsi="宋体"/>
          <w:kern w:val="44"/>
        </w:rPr>
        <w:t>单位和个人从事信息化工程建设、信息资源开发利用、信息技术推广应用、信息安全保障等活动应当执行国家和本市有关信息化标准。</w:t>
      </w:r>
    </w:p>
    <w:p w14:paraId="488ADDC9">
      <w:pPr>
        <w:jc w:val="left"/>
        <w:rPr>
          <w:rFonts w:ascii="宋体" w:hAnsi="宋体"/>
          <w:kern w:val="44"/>
        </w:rPr>
      </w:pPr>
      <w:r>
        <w:rPr>
          <w:rFonts w:hint="eastAsia" w:ascii="宋体" w:hAnsi="宋体"/>
          <w:kern w:val="44"/>
        </w:rPr>
        <w:t>市和区、县质量技术监督、信息化及其他有关部门对有关信息化标准的执行情况进行监督。</w:t>
      </w:r>
    </w:p>
    <w:p w14:paraId="44E0FEAB">
      <w:pPr>
        <w:ind w:firstLine="422"/>
        <w:jc w:val="left"/>
        <w:rPr>
          <w:rFonts w:ascii="宋体" w:hAnsi="宋体"/>
          <w:kern w:val="44"/>
        </w:rPr>
      </w:pPr>
      <w:r>
        <w:rPr>
          <w:rFonts w:hint="eastAsia" w:ascii="宋体" w:hAnsi="宋体"/>
          <w:b/>
          <w:kern w:val="44"/>
        </w:rPr>
        <w:t>第八条</w:t>
      </w:r>
      <w:r>
        <w:rPr>
          <w:rFonts w:hint="eastAsia" w:ascii="宋体" w:hAnsi="宋体"/>
          <w:kern w:val="44"/>
        </w:rPr>
        <w:t>　市和区、县人民政府应当制定优惠政策和措施推动现代信息技术创新，并通过政府采购、宣传教育、培训考核等活动促进具有自主知识产权的信息技术应用。</w:t>
      </w:r>
    </w:p>
    <w:p w14:paraId="54F3055D">
      <w:pPr>
        <w:jc w:val="left"/>
        <w:rPr>
          <w:rFonts w:ascii="宋体" w:hAnsi="宋体"/>
          <w:kern w:val="44"/>
        </w:rPr>
      </w:pPr>
      <w:r>
        <w:rPr>
          <w:rFonts w:hint="eastAsia" w:ascii="宋体" w:hAnsi="宋体"/>
          <w:kern w:val="44"/>
        </w:rPr>
        <w:t>市和区、县人民政府应当对在信息化工作中作出突出贡献的单位和个人给予表彰。</w:t>
      </w:r>
    </w:p>
    <w:p w14:paraId="6EC9567C">
      <w:pPr>
        <w:ind w:firstLine="422"/>
        <w:jc w:val="left"/>
        <w:rPr>
          <w:rFonts w:ascii="宋体" w:hAnsi="宋体"/>
          <w:kern w:val="44"/>
        </w:rPr>
      </w:pPr>
      <w:r>
        <w:rPr>
          <w:rFonts w:hint="eastAsia" w:ascii="宋体" w:hAnsi="宋体"/>
          <w:b/>
          <w:kern w:val="44"/>
        </w:rPr>
        <w:t>第九条</w:t>
      </w:r>
      <w:r>
        <w:rPr>
          <w:rFonts w:hint="eastAsia" w:ascii="宋体" w:hAnsi="宋体"/>
          <w:kern w:val="44"/>
        </w:rPr>
        <w:t>　本市鼓励信息化人才的培养和引进，加强市民的信息化知识和技能普及，提高信息技术应用能力。</w:t>
      </w:r>
    </w:p>
    <w:p w14:paraId="77FA7F53">
      <w:pPr>
        <w:jc w:val="left"/>
        <w:rPr>
          <w:rFonts w:ascii="宋体" w:hAnsi="宋体"/>
          <w:kern w:val="44"/>
        </w:rPr>
      </w:pPr>
      <w:r>
        <w:rPr>
          <w:rFonts w:hint="eastAsia" w:ascii="宋体" w:hAnsi="宋体"/>
          <w:kern w:val="44"/>
        </w:rPr>
        <w:t>本市建立并完善基础课程体系，在中小学校普及信息技术教育。</w:t>
      </w:r>
    </w:p>
    <w:p w14:paraId="63E054A3">
      <w:pPr>
        <w:jc w:val="left"/>
        <w:rPr>
          <w:rFonts w:ascii="宋体" w:hAnsi="宋体"/>
          <w:kern w:val="44"/>
        </w:rPr>
      </w:pPr>
      <w:r>
        <w:rPr>
          <w:rFonts w:hint="eastAsia" w:ascii="宋体" w:hAnsi="宋体"/>
          <w:kern w:val="44"/>
        </w:rPr>
        <w:t>广播、电视、报刊、网站等应当开展信息化宣传、教育和科普活动。</w:t>
      </w:r>
    </w:p>
    <w:p w14:paraId="718A2D9D">
      <w:pPr>
        <w:jc w:val="left"/>
        <w:rPr>
          <w:rFonts w:ascii="宋体" w:hAnsi="宋体"/>
          <w:kern w:val="44"/>
        </w:rPr>
      </w:pPr>
    </w:p>
    <w:p w14:paraId="7F5FB83D">
      <w:pPr>
        <w:ind w:firstLine="0" w:firstLineChars="0"/>
        <w:jc w:val="center"/>
        <w:rPr>
          <w:rFonts w:ascii="宋体" w:hAnsi="宋体"/>
          <w:b/>
          <w:kern w:val="44"/>
          <w:sz w:val="28"/>
        </w:rPr>
      </w:pPr>
      <w:r>
        <w:rPr>
          <w:rFonts w:hint="eastAsia" w:ascii="宋体" w:hAnsi="宋体"/>
          <w:b/>
          <w:kern w:val="44"/>
          <w:sz w:val="28"/>
        </w:rPr>
        <w:t>第二章　信息化工程建设</w:t>
      </w:r>
    </w:p>
    <w:p w14:paraId="58A4E578">
      <w:pPr>
        <w:jc w:val="left"/>
        <w:rPr>
          <w:rFonts w:ascii="宋体" w:hAnsi="宋体"/>
          <w:kern w:val="44"/>
        </w:rPr>
      </w:pPr>
    </w:p>
    <w:p w14:paraId="4711BCBF">
      <w:pPr>
        <w:ind w:firstLine="422"/>
        <w:jc w:val="left"/>
        <w:rPr>
          <w:rFonts w:ascii="宋体" w:hAnsi="宋体"/>
          <w:kern w:val="44"/>
        </w:rPr>
      </w:pPr>
      <w:r>
        <w:rPr>
          <w:rFonts w:hint="eastAsia" w:ascii="宋体" w:hAnsi="宋体"/>
          <w:b/>
          <w:kern w:val="44"/>
        </w:rPr>
        <w:t>第十条</w:t>
      </w:r>
      <w:r>
        <w:rPr>
          <w:rFonts w:hint="eastAsia" w:ascii="宋体" w:hAnsi="宋体"/>
          <w:kern w:val="44"/>
        </w:rPr>
        <w:t>　信息化工程建设需要进行招标投标的，应当依法进行，并按照国家和本市有关规定实施监理；政府投资的信息化工程建设，应当符合政府采购等有关法律、法规的规定。</w:t>
      </w:r>
    </w:p>
    <w:p w14:paraId="552988F8">
      <w:pPr>
        <w:ind w:firstLine="422"/>
        <w:jc w:val="left"/>
        <w:rPr>
          <w:rFonts w:ascii="宋体" w:hAnsi="宋体"/>
          <w:kern w:val="44"/>
        </w:rPr>
      </w:pPr>
      <w:r>
        <w:rPr>
          <w:rFonts w:hint="eastAsia" w:ascii="宋体" w:hAnsi="宋体"/>
          <w:b/>
          <w:kern w:val="44"/>
        </w:rPr>
        <w:t>第十一条</w:t>
      </w:r>
      <w:r>
        <w:rPr>
          <w:rFonts w:hint="eastAsia" w:ascii="宋体" w:hAnsi="宋体"/>
          <w:kern w:val="44"/>
        </w:rPr>
        <w:t>　从事信息化工程建设的单位依照国家有关规定需要经过资质认证的，应当依法取得资质认证。未经资质认证的单位，不得承揽或者以其他单位名义承揽相应领域内的信息化工程；已经资质认证的单位，不得超越本单位资质等级承揽信息化工程。</w:t>
      </w:r>
    </w:p>
    <w:p w14:paraId="75BD57A9">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本市政府投资建设的信息化工程年度计划，由市和区、县信息化主管部门会同同级发展改革、财政等相关部门制定并监督落实。</w:t>
      </w:r>
    </w:p>
    <w:p w14:paraId="77C0395B">
      <w:pPr>
        <w:ind w:firstLine="422"/>
        <w:jc w:val="left"/>
        <w:rPr>
          <w:rFonts w:ascii="宋体" w:hAnsi="宋体"/>
          <w:kern w:val="44"/>
        </w:rPr>
      </w:pPr>
      <w:r>
        <w:rPr>
          <w:rFonts w:hint="eastAsia" w:ascii="宋体" w:hAnsi="宋体"/>
          <w:b/>
          <w:kern w:val="44"/>
        </w:rPr>
        <w:t>第十三条</w:t>
      </w:r>
      <w:r>
        <w:rPr>
          <w:rFonts w:hint="eastAsia" w:ascii="宋体" w:hAnsi="宋体"/>
          <w:kern w:val="44"/>
        </w:rPr>
        <w:t>　使用政府投资新建信息化工程的，建设单位在报发展改革部门或者其他有关部门立项审批前，应当通过同级信息化主管部门的审查；使用政府投资对信息化工程进行改建、扩建、运行维护的，建设单位在报财政部门审批经费前，应当通过同级信息化主管部门的审查。</w:t>
      </w:r>
    </w:p>
    <w:p w14:paraId="3F82C74C">
      <w:pPr>
        <w:jc w:val="left"/>
        <w:rPr>
          <w:rFonts w:ascii="宋体" w:hAnsi="宋体"/>
          <w:kern w:val="44"/>
        </w:rPr>
      </w:pPr>
      <w:r>
        <w:rPr>
          <w:rFonts w:hint="eastAsia" w:ascii="宋体" w:hAnsi="宋体"/>
          <w:kern w:val="44"/>
        </w:rPr>
        <w:t>信息化主管部门对报审的信息化工程的需求效益、规划布局、技术标准、网络与信息安全、信息资源共享以及其他相关内容组织审查并出具审查意见。</w:t>
      </w:r>
    </w:p>
    <w:p w14:paraId="355B27C7">
      <w:pPr>
        <w:jc w:val="left"/>
        <w:rPr>
          <w:rFonts w:ascii="宋体" w:hAnsi="宋体"/>
          <w:kern w:val="44"/>
        </w:rPr>
      </w:pPr>
      <w:r>
        <w:rPr>
          <w:rFonts w:hint="eastAsia" w:ascii="宋体" w:hAnsi="宋体"/>
          <w:kern w:val="44"/>
        </w:rPr>
        <w:t>信息化主管部门、发展改革部门、财政部门及其他有关部门对于不符合信息化发展规划和本条所规定审查要求的信息化工程，不予审查和审批通过。</w:t>
      </w:r>
    </w:p>
    <w:p w14:paraId="7EC377BC">
      <w:pPr>
        <w:jc w:val="left"/>
        <w:rPr>
          <w:rFonts w:ascii="宋体" w:hAnsi="宋体"/>
          <w:kern w:val="44"/>
        </w:rPr>
      </w:pPr>
      <w:r>
        <w:rPr>
          <w:rFonts w:hint="eastAsia" w:ascii="宋体" w:hAnsi="宋体"/>
          <w:kern w:val="44"/>
        </w:rPr>
        <w:t>信息化主管部门应当会同有关部门采取措施，积极推进已建信息化工程的整合工作。</w:t>
      </w:r>
    </w:p>
    <w:p w14:paraId="5B2BDD04">
      <w:pPr>
        <w:ind w:firstLine="422"/>
        <w:jc w:val="left"/>
        <w:rPr>
          <w:rFonts w:ascii="宋体" w:hAnsi="宋体"/>
          <w:kern w:val="44"/>
        </w:rPr>
      </w:pPr>
      <w:r>
        <w:rPr>
          <w:rFonts w:hint="eastAsia" w:ascii="宋体" w:hAnsi="宋体"/>
          <w:b/>
          <w:kern w:val="44"/>
        </w:rPr>
        <w:t>第十四条</w:t>
      </w:r>
      <w:r>
        <w:rPr>
          <w:rFonts w:hint="eastAsia" w:ascii="宋体" w:hAnsi="宋体"/>
          <w:kern w:val="44"/>
        </w:rPr>
        <w:t>　建设单位应当组织进行信息化工程竣工验收。未经验收或者验收不合格的信息化工程，不得投入使用。</w:t>
      </w:r>
    </w:p>
    <w:p w14:paraId="2CCACE8F">
      <w:pPr>
        <w:jc w:val="left"/>
        <w:rPr>
          <w:rFonts w:ascii="宋体" w:hAnsi="宋体"/>
          <w:kern w:val="44"/>
        </w:rPr>
      </w:pPr>
      <w:r>
        <w:rPr>
          <w:rFonts w:hint="eastAsia" w:ascii="宋体" w:hAnsi="宋体"/>
          <w:kern w:val="44"/>
        </w:rPr>
        <w:t>建设单位对使用政府投资的信息化工程进行竣工验收时，应当邀请信息化及其他有关主管部门参加。</w:t>
      </w:r>
    </w:p>
    <w:p w14:paraId="689AC25C">
      <w:pPr>
        <w:ind w:firstLine="422"/>
        <w:jc w:val="left"/>
        <w:rPr>
          <w:rFonts w:ascii="宋体" w:hAnsi="宋体"/>
          <w:kern w:val="44"/>
        </w:rPr>
      </w:pPr>
      <w:r>
        <w:rPr>
          <w:rFonts w:hint="eastAsia" w:ascii="宋体" w:hAnsi="宋体"/>
          <w:b/>
          <w:kern w:val="44"/>
        </w:rPr>
        <w:t>第十五条</w:t>
      </w:r>
      <w:r>
        <w:rPr>
          <w:rFonts w:hint="eastAsia" w:ascii="宋体" w:hAnsi="宋体"/>
          <w:kern w:val="44"/>
        </w:rPr>
        <w:t>　本市实行信息化工程质量保修制度。承揽信息化工程的单位应当对信息化工程承担保修责任。</w:t>
      </w:r>
    </w:p>
    <w:p w14:paraId="01D71530">
      <w:pPr>
        <w:jc w:val="left"/>
        <w:rPr>
          <w:rFonts w:ascii="宋体" w:hAnsi="宋体"/>
          <w:kern w:val="44"/>
        </w:rPr>
      </w:pPr>
      <w:r>
        <w:rPr>
          <w:rFonts w:hint="eastAsia" w:ascii="宋体" w:hAnsi="宋体"/>
          <w:kern w:val="44"/>
        </w:rPr>
        <w:t>使用政府投资的信息化工程的保修期，自工程竣工验收合格之日起不得少于两年。</w:t>
      </w:r>
    </w:p>
    <w:p w14:paraId="6FC2B07A">
      <w:pPr>
        <w:ind w:firstLine="422"/>
        <w:jc w:val="left"/>
        <w:rPr>
          <w:rFonts w:ascii="宋体" w:hAnsi="宋体"/>
          <w:kern w:val="44"/>
        </w:rPr>
      </w:pPr>
      <w:r>
        <w:rPr>
          <w:rFonts w:hint="eastAsia" w:ascii="宋体" w:hAnsi="宋体"/>
          <w:b/>
          <w:kern w:val="44"/>
        </w:rPr>
        <w:t>第十六条</w:t>
      </w:r>
      <w:r>
        <w:rPr>
          <w:rFonts w:hint="eastAsia" w:ascii="宋体" w:hAnsi="宋体"/>
          <w:kern w:val="44"/>
        </w:rPr>
        <w:t>　信息化工程建设和运行维护过程中，建设单位应当建立规范的管理制度，做好信息内容更新，加强信息资源管理、知识产权保护和信息安全保障工作。</w:t>
      </w:r>
    </w:p>
    <w:p w14:paraId="798F61D3">
      <w:pPr>
        <w:jc w:val="left"/>
        <w:rPr>
          <w:rFonts w:ascii="宋体" w:hAnsi="宋体"/>
          <w:kern w:val="44"/>
        </w:rPr>
      </w:pPr>
      <w:r>
        <w:rPr>
          <w:rFonts w:hint="eastAsia" w:ascii="宋体" w:hAnsi="宋体"/>
          <w:kern w:val="44"/>
        </w:rPr>
        <w:t>本市信息化工程建设中应当使用合法授权的软件，鼓励使用国产信息技术和产品。</w:t>
      </w:r>
    </w:p>
    <w:p w14:paraId="2C705C20">
      <w:pPr>
        <w:jc w:val="left"/>
        <w:rPr>
          <w:rFonts w:ascii="宋体" w:hAnsi="宋体"/>
          <w:kern w:val="44"/>
        </w:rPr>
      </w:pPr>
    </w:p>
    <w:p w14:paraId="224BF9C3">
      <w:pPr>
        <w:ind w:firstLine="0" w:firstLineChars="0"/>
        <w:jc w:val="center"/>
        <w:rPr>
          <w:rFonts w:ascii="宋体" w:hAnsi="宋体"/>
          <w:b/>
          <w:kern w:val="44"/>
        </w:rPr>
      </w:pPr>
      <w:r>
        <w:rPr>
          <w:rFonts w:hint="eastAsia" w:ascii="宋体" w:hAnsi="宋体"/>
          <w:b/>
          <w:kern w:val="44"/>
          <w:sz w:val="28"/>
        </w:rPr>
        <w:t>第三章　信息资源开发利用</w:t>
      </w:r>
    </w:p>
    <w:p w14:paraId="2536B044">
      <w:pPr>
        <w:jc w:val="left"/>
        <w:rPr>
          <w:rFonts w:ascii="宋体" w:hAnsi="宋体"/>
          <w:kern w:val="44"/>
        </w:rPr>
      </w:pPr>
    </w:p>
    <w:p w14:paraId="0300B9B3">
      <w:pPr>
        <w:ind w:firstLine="422"/>
        <w:jc w:val="left"/>
        <w:rPr>
          <w:rFonts w:ascii="宋体" w:hAnsi="宋体"/>
          <w:kern w:val="44"/>
        </w:rPr>
      </w:pPr>
      <w:r>
        <w:rPr>
          <w:rFonts w:hint="eastAsia" w:ascii="宋体" w:hAnsi="宋体"/>
          <w:b/>
          <w:kern w:val="44"/>
        </w:rPr>
        <w:t>第十七条</w:t>
      </w:r>
      <w:r>
        <w:rPr>
          <w:rFonts w:hint="eastAsia" w:ascii="宋体" w:hAnsi="宋体"/>
          <w:kern w:val="44"/>
        </w:rPr>
        <w:t>　本市加强对政务信息资源采集工作的管理。</w:t>
      </w:r>
    </w:p>
    <w:p w14:paraId="66086716">
      <w:pPr>
        <w:jc w:val="left"/>
        <w:rPr>
          <w:rFonts w:ascii="宋体" w:hAnsi="宋体"/>
          <w:kern w:val="44"/>
        </w:rPr>
      </w:pPr>
      <w:r>
        <w:rPr>
          <w:rFonts w:hint="eastAsia" w:ascii="宋体" w:hAnsi="宋体"/>
          <w:kern w:val="44"/>
        </w:rPr>
        <w:t>本市国家机关应当依法采集政务信息，加强对政务信息的管理，定期进行信息更新，保证政务信息的真实准确，并采取安全措施防止政务信息丢失、泄露或者被滥用。</w:t>
      </w:r>
    </w:p>
    <w:p w14:paraId="4069A228">
      <w:pPr>
        <w:jc w:val="left"/>
        <w:rPr>
          <w:rFonts w:ascii="宋体" w:hAnsi="宋体"/>
          <w:kern w:val="44"/>
        </w:rPr>
      </w:pPr>
      <w:r>
        <w:rPr>
          <w:rFonts w:hint="eastAsia" w:ascii="宋体" w:hAnsi="宋体"/>
          <w:kern w:val="44"/>
        </w:rPr>
        <w:t>市信息化主管部门组织建立政务信息资源目录，规范市和区、县两级行政机关采集政务信息的活动，避免重复采集政务信息资源目录内的信息。</w:t>
      </w:r>
    </w:p>
    <w:p w14:paraId="37CFA141">
      <w:pPr>
        <w:ind w:firstLine="422"/>
        <w:jc w:val="left"/>
        <w:rPr>
          <w:rFonts w:ascii="宋体" w:hAnsi="宋体"/>
          <w:kern w:val="44"/>
        </w:rPr>
      </w:pPr>
      <w:r>
        <w:rPr>
          <w:rFonts w:hint="eastAsia" w:ascii="宋体" w:hAnsi="宋体"/>
          <w:b/>
          <w:kern w:val="44"/>
        </w:rPr>
        <w:t>第十八条</w:t>
      </w:r>
      <w:r>
        <w:rPr>
          <w:rFonts w:hint="eastAsia" w:ascii="宋体" w:hAnsi="宋体"/>
          <w:kern w:val="44"/>
        </w:rPr>
        <w:t>　本市统一建设人口、法人、自然资源和地理空间、宏观经济等基础数据库。基础数据库的建设和使用按照国家和本市有关规定执行。</w:t>
      </w:r>
    </w:p>
    <w:p w14:paraId="3E4A50CC">
      <w:pPr>
        <w:jc w:val="left"/>
        <w:rPr>
          <w:rFonts w:ascii="宋体" w:hAnsi="宋体"/>
          <w:kern w:val="44"/>
        </w:rPr>
      </w:pPr>
      <w:r>
        <w:rPr>
          <w:rFonts w:hint="eastAsia" w:ascii="宋体" w:hAnsi="宋体"/>
          <w:kern w:val="44"/>
        </w:rPr>
        <w:t>本市各级国家机关应当充分利用基础数据库建设本行业、本部门的业务数据库；除涉及国家秘密或者法律、法规另有规定外，基础数据库的建设单位应当为本市国家机关提供信息共享服务。</w:t>
      </w:r>
    </w:p>
    <w:p w14:paraId="6D1D0AD9">
      <w:pPr>
        <w:ind w:firstLine="422"/>
        <w:jc w:val="left"/>
        <w:rPr>
          <w:rFonts w:ascii="宋体" w:hAnsi="宋体"/>
          <w:kern w:val="44"/>
        </w:rPr>
      </w:pPr>
      <w:r>
        <w:rPr>
          <w:rFonts w:hint="eastAsia" w:ascii="宋体" w:hAnsi="宋体"/>
          <w:b/>
          <w:kern w:val="44"/>
        </w:rPr>
        <w:t>第十九条</w:t>
      </w:r>
      <w:r>
        <w:rPr>
          <w:rFonts w:hint="eastAsia" w:ascii="宋体" w:hAnsi="宋体"/>
          <w:kern w:val="44"/>
        </w:rPr>
        <w:t>　本市各级国家机关和法律、法规授权的具有管理公共事务职能的组织应当建立健全政务信息公开工作制度，依法编制并公布本单位的政务信息公开指南和政务信息公开目录，按照国家和本市的规定通过公报、网站、新闻发布会以及报刊、广播、电视等便于公众知晓的方式公开政务信息。</w:t>
      </w:r>
    </w:p>
    <w:p w14:paraId="38BCD89C">
      <w:pPr>
        <w:jc w:val="left"/>
        <w:rPr>
          <w:rFonts w:ascii="宋体" w:hAnsi="宋体"/>
          <w:kern w:val="44"/>
        </w:rPr>
      </w:pPr>
      <w:r>
        <w:rPr>
          <w:rFonts w:hint="eastAsia" w:ascii="宋体" w:hAnsi="宋体"/>
          <w:kern w:val="44"/>
        </w:rPr>
        <w:t>本市各级国家机关和法律、法规授权的具有管理公共事务职能的组织应当依法建立政务信息公开的申请受理和处理机制，为市民提供信息公开服务。</w:t>
      </w:r>
    </w:p>
    <w:p w14:paraId="7E2A90F3">
      <w:pPr>
        <w:ind w:firstLine="422"/>
        <w:jc w:val="left"/>
        <w:rPr>
          <w:rFonts w:ascii="宋体" w:hAnsi="宋体"/>
          <w:kern w:val="44"/>
        </w:rPr>
      </w:pPr>
      <w:r>
        <w:rPr>
          <w:rFonts w:hint="eastAsia" w:ascii="宋体" w:hAnsi="宋体"/>
          <w:b/>
          <w:kern w:val="44"/>
        </w:rPr>
        <w:t>第二十条</w:t>
      </w:r>
      <w:r>
        <w:rPr>
          <w:rFonts w:hint="eastAsia" w:ascii="宋体" w:hAnsi="宋体"/>
          <w:kern w:val="44"/>
        </w:rPr>
        <w:t>　本市教育、医疗卫生、供水、供气、供热、公共交通、环保等公共企事业单位，应当将服务承诺、收费标准、办事过程等信息通过网站及其他方式及时向社会公开，并逐步采用信息化手段开展业务办理工作。</w:t>
      </w:r>
    </w:p>
    <w:p w14:paraId="2D0BC1F5">
      <w:pPr>
        <w:jc w:val="left"/>
        <w:rPr>
          <w:rFonts w:ascii="宋体" w:hAnsi="宋体"/>
          <w:kern w:val="44"/>
        </w:rPr>
      </w:pPr>
      <w:r>
        <w:rPr>
          <w:rFonts w:hint="eastAsia" w:ascii="宋体" w:hAnsi="宋体"/>
          <w:kern w:val="44"/>
        </w:rPr>
        <w:t>市有关行业主管部门应当对公共企事业单位的信息公开和服务情况进行指导和监督。</w:t>
      </w:r>
    </w:p>
    <w:p w14:paraId="1FDE39C3">
      <w:pPr>
        <w:ind w:firstLine="422"/>
        <w:jc w:val="left"/>
        <w:rPr>
          <w:rFonts w:ascii="宋体" w:hAnsi="宋体"/>
          <w:kern w:val="44"/>
        </w:rPr>
      </w:pPr>
      <w:r>
        <w:rPr>
          <w:rFonts w:hint="eastAsia" w:ascii="宋体" w:hAnsi="宋体"/>
          <w:b/>
          <w:kern w:val="44"/>
        </w:rPr>
        <w:t>第二十一条</w:t>
      </w:r>
      <w:r>
        <w:rPr>
          <w:rFonts w:hint="eastAsia" w:ascii="宋体" w:hAnsi="宋体"/>
          <w:kern w:val="44"/>
        </w:rPr>
        <w:t>　市和区、县人民政府统一建设政务信息共享交换平台，为各国家机关共享交换政务信息提供服务。</w:t>
      </w:r>
    </w:p>
    <w:p w14:paraId="6904845C">
      <w:pPr>
        <w:jc w:val="left"/>
        <w:rPr>
          <w:rFonts w:ascii="宋体" w:hAnsi="宋体"/>
          <w:kern w:val="44"/>
        </w:rPr>
      </w:pPr>
      <w:r>
        <w:rPr>
          <w:rFonts w:hint="eastAsia" w:ascii="宋体" w:hAnsi="宋体"/>
          <w:kern w:val="44"/>
        </w:rPr>
        <w:t>国家机关可以使用政务信息资源目录中的其他国家机关的政务信息。政务信息需求单位应当就需要共享的信息内容、范围、用途和方式与提供单位主动协商。协商未达成一致的，政务信息需求单位应当将有关情况报请同级信息化主管部门协调解决。</w:t>
      </w:r>
    </w:p>
    <w:p w14:paraId="2B07CC8F">
      <w:pPr>
        <w:ind w:firstLine="422"/>
        <w:jc w:val="left"/>
        <w:rPr>
          <w:rFonts w:ascii="宋体" w:hAnsi="宋体"/>
          <w:kern w:val="44"/>
        </w:rPr>
      </w:pPr>
      <w:r>
        <w:rPr>
          <w:rFonts w:hint="eastAsia" w:ascii="宋体" w:hAnsi="宋体"/>
          <w:b/>
          <w:kern w:val="44"/>
        </w:rPr>
        <w:t>第二十二条</w:t>
      </w:r>
      <w:r>
        <w:rPr>
          <w:rFonts w:hint="eastAsia" w:ascii="宋体" w:hAnsi="宋体"/>
          <w:kern w:val="44"/>
        </w:rPr>
        <w:t>　市和区、县人民政府应当引导和规范对政务信息资源的增值开发利用，鼓励单位和个人进行信息资源公益性开发利用。</w:t>
      </w:r>
    </w:p>
    <w:p w14:paraId="68BD6317">
      <w:pPr>
        <w:ind w:firstLine="422"/>
        <w:jc w:val="left"/>
        <w:rPr>
          <w:rFonts w:ascii="宋体" w:hAnsi="宋体"/>
          <w:kern w:val="44"/>
        </w:rPr>
      </w:pPr>
      <w:r>
        <w:rPr>
          <w:rFonts w:hint="eastAsia" w:ascii="宋体" w:hAnsi="宋体"/>
          <w:b/>
          <w:kern w:val="44"/>
        </w:rPr>
        <w:t>第二十三条</w:t>
      </w:r>
      <w:r>
        <w:rPr>
          <w:rFonts w:hint="eastAsia" w:ascii="宋体" w:hAnsi="宋体"/>
          <w:kern w:val="44"/>
        </w:rPr>
        <w:t>　信用服务中介机构开展征信活动时，应当遵循独立、客观、公正的原则，保守商业秘密，尊重个人隐私，维护被征信企业及个人的合法权益和社会公共利益。</w:t>
      </w:r>
    </w:p>
    <w:p w14:paraId="44B43C3F">
      <w:pPr>
        <w:jc w:val="left"/>
        <w:rPr>
          <w:rFonts w:ascii="宋体" w:hAnsi="宋体"/>
          <w:kern w:val="44"/>
        </w:rPr>
      </w:pPr>
      <w:r>
        <w:rPr>
          <w:rFonts w:hint="eastAsia" w:ascii="宋体" w:hAnsi="宋体"/>
          <w:kern w:val="44"/>
        </w:rPr>
        <w:t>信用服务中介机构对采集的信息应当在信息提供者许可的范围内使用。</w:t>
      </w:r>
    </w:p>
    <w:p w14:paraId="03CEFCDF">
      <w:pPr>
        <w:jc w:val="left"/>
        <w:rPr>
          <w:rFonts w:ascii="宋体" w:hAnsi="宋体"/>
          <w:kern w:val="44"/>
        </w:rPr>
      </w:pPr>
      <w:r>
        <w:rPr>
          <w:rFonts w:hint="eastAsia" w:ascii="宋体" w:hAnsi="宋体"/>
          <w:kern w:val="44"/>
        </w:rPr>
        <w:t>鼓励在政府采购、市场监管、信贷、商务等活动中使用信用服务中介机构提供的信用产品。</w:t>
      </w:r>
    </w:p>
    <w:p w14:paraId="1B196699">
      <w:pPr>
        <w:jc w:val="left"/>
        <w:rPr>
          <w:rFonts w:ascii="宋体" w:hAnsi="宋体"/>
          <w:kern w:val="44"/>
        </w:rPr>
      </w:pPr>
    </w:p>
    <w:p w14:paraId="0BE44FA2">
      <w:pPr>
        <w:ind w:firstLine="0" w:firstLineChars="0"/>
        <w:jc w:val="center"/>
        <w:rPr>
          <w:rFonts w:ascii="宋体" w:hAnsi="宋体"/>
          <w:b/>
          <w:kern w:val="44"/>
          <w:sz w:val="28"/>
        </w:rPr>
      </w:pPr>
      <w:r>
        <w:rPr>
          <w:rFonts w:hint="eastAsia" w:ascii="宋体" w:hAnsi="宋体"/>
          <w:b/>
          <w:kern w:val="44"/>
          <w:sz w:val="28"/>
        </w:rPr>
        <w:t>第四章　信息技术推广应用</w:t>
      </w:r>
    </w:p>
    <w:p w14:paraId="409AB0AD">
      <w:pPr>
        <w:jc w:val="left"/>
        <w:rPr>
          <w:rFonts w:ascii="宋体" w:hAnsi="宋体"/>
          <w:kern w:val="44"/>
        </w:rPr>
      </w:pPr>
    </w:p>
    <w:p w14:paraId="0348070A">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市和区、县人民政府应当采取措施推动企业和个人利用信息网络从事商务活动，引导社会逐步建立、完善信用体系和网上支付、物流配送系统，鼓励电子商务服务提供商的发展。</w:t>
      </w:r>
    </w:p>
    <w:p w14:paraId="219745D0">
      <w:pPr>
        <w:jc w:val="left"/>
        <w:rPr>
          <w:rFonts w:ascii="宋体" w:hAnsi="宋体"/>
          <w:kern w:val="44"/>
        </w:rPr>
      </w:pPr>
      <w:r>
        <w:rPr>
          <w:rFonts w:hint="eastAsia" w:ascii="宋体" w:hAnsi="宋体"/>
          <w:kern w:val="44"/>
        </w:rPr>
        <w:t>市人民政府有关部门应当制定以中小企业为主的企业信息化发展指南，建设面向中小企业的公共信息服务平台。</w:t>
      </w:r>
    </w:p>
    <w:p w14:paraId="6D19DA00">
      <w:pPr>
        <w:ind w:firstLine="422"/>
        <w:jc w:val="left"/>
        <w:rPr>
          <w:rFonts w:ascii="宋体" w:hAnsi="宋体"/>
          <w:kern w:val="44"/>
        </w:rPr>
      </w:pPr>
      <w:r>
        <w:rPr>
          <w:rFonts w:hint="eastAsia" w:ascii="宋体" w:hAnsi="宋体"/>
          <w:b/>
          <w:kern w:val="44"/>
        </w:rPr>
        <w:t>第二十五条</w:t>
      </w:r>
      <w:r>
        <w:rPr>
          <w:rFonts w:hint="eastAsia" w:ascii="宋体" w:hAnsi="宋体"/>
          <w:kern w:val="44"/>
        </w:rPr>
        <w:t>　本市统筹城乡信息化发展，加大公共财政投入，支持农村信息基础设施和农村综合信息平台建设和运行维护，推进农村现代远程教育；鼓励通过信息化手段为农民提供生产、生活实用信息服务，开发、利用涉农信息资源，开展面向农民的信息化知识和技能培训。</w:t>
      </w:r>
    </w:p>
    <w:p w14:paraId="32482082">
      <w:pPr>
        <w:jc w:val="left"/>
        <w:rPr>
          <w:rFonts w:ascii="宋体" w:hAnsi="宋体"/>
          <w:kern w:val="44"/>
        </w:rPr>
      </w:pPr>
      <w:r>
        <w:rPr>
          <w:rFonts w:hint="eastAsia" w:ascii="宋体" w:hAnsi="宋体"/>
          <w:kern w:val="44"/>
        </w:rPr>
        <w:t>电信、广播、电视等公共服务单位应当采取措施加强农村信息网络服务。</w:t>
      </w:r>
    </w:p>
    <w:p w14:paraId="0E759EFC">
      <w:pPr>
        <w:ind w:firstLine="422"/>
        <w:jc w:val="left"/>
        <w:rPr>
          <w:rFonts w:ascii="宋体" w:hAnsi="宋体"/>
          <w:kern w:val="44"/>
        </w:rPr>
      </w:pPr>
      <w:r>
        <w:rPr>
          <w:rFonts w:hint="eastAsia" w:ascii="宋体" w:hAnsi="宋体"/>
          <w:b/>
          <w:kern w:val="44"/>
        </w:rPr>
        <w:t>第二十六条</w:t>
      </w:r>
      <w:r>
        <w:rPr>
          <w:rFonts w:hint="eastAsia" w:ascii="宋体" w:hAnsi="宋体"/>
          <w:kern w:val="44"/>
        </w:rPr>
        <w:t>　在本市从事互联网信息服务活动的，应当按照国家规定办理相应许可或者履行备案手续。</w:t>
      </w:r>
    </w:p>
    <w:p w14:paraId="0B7901BA">
      <w:pPr>
        <w:jc w:val="left"/>
        <w:rPr>
          <w:rFonts w:ascii="宋体" w:hAnsi="宋体"/>
          <w:kern w:val="44"/>
        </w:rPr>
      </w:pPr>
      <w:r>
        <w:rPr>
          <w:rFonts w:hint="eastAsia" w:ascii="宋体" w:hAnsi="宋体"/>
          <w:kern w:val="44"/>
        </w:rPr>
        <w:t>利用互联网从事经营活动的单位和个人应当依法取得营业执照，并在网站主页面上公开经营主体信息、已取得相应许可或者备案的证明、服务规则和服务流程等相应信息。</w:t>
      </w:r>
    </w:p>
    <w:p w14:paraId="5E8C7254">
      <w:pPr>
        <w:ind w:firstLine="422"/>
        <w:jc w:val="left"/>
        <w:rPr>
          <w:rFonts w:ascii="宋体" w:hAnsi="宋体"/>
          <w:kern w:val="44"/>
        </w:rPr>
      </w:pPr>
      <w:r>
        <w:rPr>
          <w:rFonts w:hint="eastAsia" w:ascii="宋体" w:hAnsi="宋体"/>
          <w:b/>
          <w:kern w:val="44"/>
        </w:rPr>
        <w:t>第二十七条</w:t>
      </w:r>
      <w:r>
        <w:rPr>
          <w:rFonts w:hint="eastAsia" w:ascii="宋体" w:hAnsi="宋体"/>
          <w:kern w:val="44"/>
        </w:rPr>
        <w:t>　电子商务服务提供商应当对利用其网站从事经营活动的经营主体的身份信息、合法经营凭证和反映交易信用状况的材料进行核查，并对相关信息做好数据备份，便于当事人和有关部门查询、核对。</w:t>
      </w:r>
    </w:p>
    <w:p w14:paraId="1234A9C8">
      <w:pPr>
        <w:jc w:val="left"/>
        <w:rPr>
          <w:rFonts w:ascii="宋体" w:hAnsi="宋体"/>
          <w:kern w:val="44"/>
        </w:rPr>
      </w:pPr>
      <w:r>
        <w:rPr>
          <w:rFonts w:hint="eastAsia" w:ascii="宋体" w:hAnsi="宋体"/>
          <w:kern w:val="44"/>
        </w:rPr>
        <w:t>电子商务服务提供商应当建立投诉受理机制，对利用其网站从事的经营活动进行监督，配合政府有关部门的管理活动，但不得妨碍相关经营主体开展正常交易活动。</w:t>
      </w:r>
    </w:p>
    <w:p w14:paraId="48352947">
      <w:pPr>
        <w:ind w:firstLine="422"/>
        <w:jc w:val="left"/>
        <w:rPr>
          <w:rFonts w:ascii="宋体" w:hAnsi="宋体"/>
          <w:kern w:val="44"/>
        </w:rPr>
      </w:pPr>
      <w:r>
        <w:rPr>
          <w:rFonts w:hint="eastAsia" w:ascii="宋体" w:hAnsi="宋体"/>
          <w:b/>
          <w:kern w:val="44"/>
        </w:rPr>
        <w:t>第二十八条</w:t>
      </w:r>
      <w:r>
        <w:rPr>
          <w:rFonts w:hint="eastAsia" w:ascii="宋体" w:hAnsi="宋体"/>
          <w:kern w:val="44"/>
        </w:rPr>
        <w:t>　本市各级国家机关应当定期组织本单位工作人员学习电子政务相关知识，开展电子政务技能培训。</w:t>
      </w:r>
    </w:p>
    <w:p w14:paraId="775AFC2F">
      <w:pPr>
        <w:ind w:firstLine="422"/>
        <w:jc w:val="left"/>
        <w:rPr>
          <w:rFonts w:ascii="宋体" w:hAnsi="宋体"/>
          <w:kern w:val="44"/>
        </w:rPr>
      </w:pPr>
      <w:r>
        <w:rPr>
          <w:rFonts w:hint="eastAsia" w:ascii="宋体" w:hAnsi="宋体"/>
          <w:b/>
          <w:kern w:val="44"/>
        </w:rPr>
        <w:t>第二十九条</w:t>
      </w:r>
      <w:r>
        <w:rPr>
          <w:rFonts w:hint="eastAsia" w:ascii="宋体" w:hAnsi="宋体"/>
          <w:kern w:val="44"/>
        </w:rPr>
        <w:t>　本市建设统一的电子政务网络，促进相关业务应用系统的互连互通。</w:t>
      </w:r>
    </w:p>
    <w:p w14:paraId="4452B30D">
      <w:pPr>
        <w:jc w:val="left"/>
        <w:rPr>
          <w:rFonts w:ascii="宋体" w:hAnsi="宋体"/>
          <w:kern w:val="44"/>
        </w:rPr>
      </w:pPr>
      <w:r>
        <w:rPr>
          <w:rFonts w:hint="eastAsia" w:ascii="宋体" w:hAnsi="宋体"/>
          <w:kern w:val="44"/>
        </w:rPr>
        <w:t>本市各级国家机关的业务应用系统，凡不宜通过互联网实现的，必须依托全市统一的电子政务网络；需要接入全市统一的电子政务网络的，应当符合有关规范，并经市或者区、县信息化主管部门审查同意。</w:t>
      </w:r>
    </w:p>
    <w:p w14:paraId="7970749B">
      <w:pPr>
        <w:jc w:val="left"/>
        <w:rPr>
          <w:rFonts w:ascii="宋体" w:hAnsi="宋体"/>
          <w:kern w:val="44"/>
        </w:rPr>
      </w:pPr>
      <w:r>
        <w:rPr>
          <w:rFonts w:hint="eastAsia" w:ascii="宋体" w:hAnsi="宋体"/>
          <w:kern w:val="44"/>
        </w:rPr>
        <w:t>各级国家机关不得新建专用网络，已经建成的专用网络应当按照规划和标准逐步调整，接入电子政务网络。</w:t>
      </w:r>
    </w:p>
    <w:p w14:paraId="48315906">
      <w:pPr>
        <w:ind w:firstLine="422"/>
        <w:jc w:val="left"/>
        <w:rPr>
          <w:rFonts w:ascii="宋体" w:hAnsi="宋体"/>
          <w:kern w:val="44"/>
        </w:rPr>
      </w:pPr>
      <w:r>
        <w:rPr>
          <w:rFonts w:hint="eastAsia" w:ascii="宋体" w:hAnsi="宋体"/>
          <w:b/>
          <w:kern w:val="44"/>
        </w:rPr>
        <w:t>第三十条</w:t>
      </w:r>
      <w:r>
        <w:rPr>
          <w:rFonts w:hint="eastAsia" w:ascii="宋体" w:hAnsi="宋体"/>
          <w:kern w:val="44"/>
        </w:rPr>
        <w:t>　本市国家机关的网站应当按照规定与本市政务门户网站建立链接，统一网站风格、标识和建设运行维护技术标准。</w:t>
      </w:r>
    </w:p>
    <w:p w14:paraId="1A865629">
      <w:pPr>
        <w:jc w:val="left"/>
        <w:rPr>
          <w:rFonts w:ascii="宋体" w:hAnsi="宋体"/>
          <w:kern w:val="44"/>
        </w:rPr>
      </w:pPr>
      <w:r>
        <w:rPr>
          <w:rFonts w:hint="eastAsia" w:ascii="宋体" w:hAnsi="宋体"/>
          <w:kern w:val="44"/>
        </w:rPr>
        <w:t>本市国家机关在互联网上注册域名的，应当遵守国家和本市的相关规定，并经过市信息化主管部门的审核。</w:t>
      </w:r>
    </w:p>
    <w:p w14:paraId="1FB0104C">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市和区、县信息化主管部门组织开展信息化成果展示和交流，对先进的信息技术、产品进行示范推广。</w:t>
      </w:r>
    </w:p>
    <w:p w14:paraId="3C724CEC">
      <w:pPr>
        <w:jc w:val="left"/>
        <w:rPr>
          <w:rFonts w:ascii="宋体" w:hAnsi="宋体"/>
          <w:kern w:val="44"/>
        </w:rPr>
      </w:pPr>
    </w:p>
    <w:p w14:paraId="13D78133">
      <w:pPr>
        <w:ind w:firstLine="0" w:firstLineChars="0"/>
        <w:jc w:val="center"/>
        <w:rPr>
          <w:rFonts w:ascii="宋体" w:hAnsi="宋体"/>
          <w:b/>
          <w:kern w:val="44"/>
          <w:sz w:val="28"/>
        </w:rPr>
      </w:pPr>
      <w:r>
        <w:rPr>
          <w:rFonts w:hint="eastAsia" w:ascii="宋体" w:hAnsi="宋体"/>
          <w:b/>
          <w:kern w:val="44"/>
          <w:sz w:val="28"/>
        </w:rPr>
        <w:t>第五章　信息安全保障</w:t>
      </w:r>
    </w:p>
    <w:p w14:paraId="2EFA0747">
      <w:pPr>
        <w:jc w:val="left"/>
        <w:rPr>
          <w:rFonts w:ascii="宋体" w:hAnsi="宋体"/>
          <w:kern w:val="44"/>
        </w:rPr>
      </w:pPr>
    </w:p>
    <w:p w14:paraId="2145BCA5">
      <w:pPr>
        <w:ind w:firstLine="422"/>
        <w:jc w:val="left"/>
        <w:rPr>
          <w:rFonts w:ascii="宋体" w:hAnsi="宋体"/>
          <w:kern w:val="44"/>
        </w:rPr>
      </w:pPr>
      <w:r>
        <w:rPr>
          <w:rFonts w:hint="eastAsia" w:ascii="宋体" w:hAnsi="宋体"/>
          <w:b/>
          <w:kern w:val="44"/>
        </w:rPr>
        <w:t>第三十二条</w:t>
      </w:r>
      <w:r>
        <w:rPr>
          <w:rFonts w:hint="eastAsia" w:ascii="宋体" w:hAnsi="宋体"/>
          <w:kern w:val="44"/>
        </w:rPr>
        <w:t>　本市对网络与信息系统按照国家和本市有关规定实行安全等级保护制度。</w:t>
      </w:r>
    </w:p>
    <w:p w14:paraId="1DBA767C">
      <w:pPr>
        <w:jc w:val="left"/>
        <w:rPr>
          <w:rFonts w:ascii="宋体" w:hAnsi="宋体"/>
          <w:kern w:val="44"/>
        </w:rPr>
      </w:pPr>
      <w:r>
        <w:rPr>
          <w:rFonts w:hint="eastAsia" w:ascii="宋体" w:hAnsi="宋体"/>
          <w:kern w:val="44"/>
        </w:rPr>
        <w:t>网络与信息系统的建设单位和运行维护单位应当按照国家信息安全等级保护管理规范和技术标准确定本单位网络与信息系统的安全保护等级，并按照国家和本市有关规定进行备案、审批。</w:t>
      </w:r>
    </w:p>
    <w:p w14:paraId="336A581F">
      <w:pPr>
        <w:ind w:firstLine="422"/>
        <w:jc w:val="left"/>
        <w:rPr>
          <w:rFonts w:ascii="宋体" w:hAnsi="宋体"/>
          <w:kern w:val="44"/>
        </w:rPr>
      </w:pPr>
      <w:r>
        <w:rPr>
          <w:rFonts w:hint="eastAsia" w:ascii="宋体" w:hAnsi="宋体"/>
          <w:b/>
          <w:kern w:val="44"/>
        </w:rPr>
        <w:t>第三十三条</w:t>
      </w:r>
      <w:r>
        <w:rPr>
          <w:rFonts w:hint="eastAsia" w:ascii="宋体" w:hAnsi="宋体"/>
          <w:kern w:val="44"/>
        </w:rPr>
        <w:t>　网络与信息系统的建设单位和运行维护单位应当根据确定的安全保护等级，按照国家信息安全等级保护管理规范和技术标准，保证相应投入，同步开展网络与信息系统安全建设或者改建工作；建设完成后，建设单位和运行单位应当按照国家有关规定开展安全等级技术测评工作，并根据结果采取措施保障网络与信息系统的安全。</w:t>
      </w:r>
    </w:p>
    <w:p w14:paraId="2A3B6BF9">
      <w:pPr>
        <w:ind w:firstLine="422"/>
        <w:jc w:val="left"/>
        <w:rPr>
          <w:rFonts w:ascii="宋体" w:hAnsi="宋体"/>
          <w:kern w:val="44"/>
        </w:rPr>
      </w:pPr>
      <w:r>
        <w:rPr>
          <w:rFonts w:hint="eastAsia" w:ascii="宋体" w:hAnsi="宋体"/>
          <w:b/>
          <w:kern w:val="44"/>
        </w:rPr>
        <w:t>第三十四条</w:t>
      </w:r>
      <w:r>
        <w:rPr>
          <w:rFonts w:hint="eastAsia" w:ascii="宋体" w:hAnsi="宋体"/>
          <w:kern w:val="44"/>
        </w:rPr>
        <w:t>　本市网络与信息系统的建设单位和运行维护单位应当加强安全管理，并制定网络与信息系统安全事件应急预案，定期进行演练。</w:t>
      </w:r>
    </w:p>
    <w:p w14:paraId="49281293">
      <w:pPr>
        <w:jc w:val="left"/>
        <w:rPr>
          <w:rFonts w:ascii="宋体" w:hAnsi="宋体"/>
          <w:kern w:val="44"/>
        </w:rPr>
      </w:pPr>
      <w:r>
        <w:rPr>
          <w:rFonts w:hint="eastAsia" w:ascii="宋体" w:hAnsi="宋体"/>
          <w:kern w:val="44"/>
        </w:rPr>
        <w:t>发生网络与信息系统安全事件后，相关单位应当迅速采取措施降低损害程度，防止事件扩大，保存相关记录，并按照规定及时向同级信息化主管部门报告。</w:t>
      </w:r>
    </w:p>
    <w:p w14:paraId="6FA4A928">
      <w:pPr>
        <w:jc w:val="left"/>
        <w:rPr>
          <w:rFonts w:ascii="宋体" w:hAnsi="宋体"/>
          <w:kern w:val="44"/>
        </w:rPr>
      </w:pPr>
      <w:r>
        <w:rPr>
          <w:rFonts w:hint="eastAsia" w:ascii="宋体" w:hAnsi="宋体"/>
          <w:kern w:val="44"/>
        </w:rPr>
        <w:t>市和区、县人民政府有关部门应当组织制定相关行业的网络与信息系统安全事件应急预案，组织、协调有关单位做好应急预案的落实工作。</w:t>
      </w:r>
    </w:p>
    <w:p w14:paraId="18E1D982">
      <w:pPr>
        <w:ind w:firstLine="422"/>
        <w:jc w:val="left"/>
        <w:rPr>
          <w:rFonts w:ascii="宋体" w:hAnsi="宋体"/>
          <w:kern w:val="44"/>
        </w:rPr>
      </w:pPr>
      <w:r>
        <w:rPr>
          <w:rFonts w:hint="eastAsia" w:ascii="宋体" w:hAnsi="宋体"/>
          <w:b/>
          <w:kern w:val="44"/>
        </w:rPr>
        <w:t>第三十五条</w:t>
      </w:r>
      <w:r>
        <w:rPr>
          <w:rFonts w:hint="eastAsia" w:ascii="宋体" w:hAnsi="宋体"/>
          <w:kern w:val="44"/>
        </w:rPr>
        <w:t>　本市组建公共服务网络与信息系统信息安全应急救援服务体系，建立信息安全情况通报和协调机制，为发生公共服务信息安全事件的单位提供救援服务，为全市应急指挥体系提供网络与信息系统安全保障。</w:t>
      </w:r>
    </w:p>
    <w:p w14:paraId="2F733EAB">
      <w:pPr>
        <w:ind w:firstLine="422"/>
        <w:jc w:val="left"/>
        <w:rPr>
          <w:rFonts w:ascii="宋体" w:hAnsi="宋体"/>
          <w:kern w:val="44"/>
        </w:rPr>
      </w:pPr>
      <w:r>
        <w:rPr>
          <w:rFonts w:hint="eastAsia" w:ascii="宋体" w:hAnsi="宋体"/>
          <w:b/>
          <w:kern w:val="44"/>
        </w:rPr>
        <w:t>第三十六条</w:t>
      </w:r>
      <w:r>
        <w:rPr>
          <w:rFonts w:hint="eastAsia" w:ascii="宋体" w:hAnsi="宋体"/>
          <w:kern w:val="44"/>
        </w:rPr>
        <w:t>　任何单位和个人不得利用网络与信息系统从事危害国家安全，扰乱公共秩序，损害公民、法人和其他组织的合法权益，危害网络与信息系统安全以及散布、传播违法信息等活动。</w:t>
      </w:r>
    </w:p>
    <w:p w14:paraId="7925F084">
      <w:pPr>
        <w:ind w:firstLine="422"/>
        <w:jc w:val="left"/>
        <w:rPr>
          <w:rFonts w:ascii="宋体" w:hAnsi="宋体"/>
          <w:kern w:val="44"/>
        </w:rPr>
      </w:pPr>
      <w:r>
        <w:rPr>
          <w:rFonts w:hint="eastAsia" w:ascii="宋体" w:hAnsi="宋体"/>
          <w:b/>
          <w:kern w:val="44"/>
        </w:rPr>
        <w:t>第三十七条</w:t>
      </w:r>
      <w:r>
        <w:rPr>
          <w:rFonts w:hint="eastAsia" w:ascii="宋体" w:hAnsi="宋体"/>
          <w:kern w:val="44"/>
        </w:rPr>
        <w:t>　涉及国家秘密的信息化工程的管理，按照国家保密有关规定执行。</w:t>
      </w:r>
    </w:p>
    <w:p w14:paraId="7CE719CA">
      <w:pPr>
        <w:jc w:val="left"/>
        <w:rPr>
          <w:rFonts w:ascii="宋体" w:hAnsi="宋体"/>
          <w:kern w:val="44"/>
        </w:rPr>
      </w:pPr>
    </w:p>
    <w:p w14:paraId="18558867">
      <w:pPr>
        <w:ind w:firstLine="0" w:firstLineChars="0"/>
        <w:jc w:val="center"/>
        <w:rPr>
          <w:rFonts w:ascii="宋体" w:hAnsi="宋体"/>
          <w:b/>
          <w:kern w:val="44"/>
          <w:sz w:val="28"/>
        </w:rPr>
      </w:pPr>
      <w:r>
        <w:rPr>
          <w:rFonts w:hint="eastAsia" w:ascii="宋体" w:hAnsi="宋体"/>
          <w:b/>
          <w:kern w:val="44"/>
          <w:sz w:val="28"/>
        </w:rPr>
        <w:t>第六章　监督管理</w:t>
      </w:r>
    </w:p>
    <w:p w14:paraId="4351737A">
      <w:pPr>
        <w:jc w:val="left"/>
        <w:rPr>
          <w:rFonts w:ascii="宋体" w:hAnsi="宋体"/>
          <w:kern w:val="44"/>
        </w:rPr>
      </w:pPr>
    </w:p>
    <w:p w14:paraId="4D2E615B">
      <w:pPr>
        <w:ind w:firstLine="422"/>
        <w:jc w:val="left"/>
        <w:rPr>
          <w:rFonts w:ascii="宋体" w:hAnsi="宋体"/>
          <w:kern w:val="44"/>
        </w:rPr>
      </w:pPr>
      <w:r>
        <w:rPr>
          <w:rFonts w:hint="eastAsia" w:ascii="宋体" w:hAnsi="宋体"/>
          <w:b/>
          <w:kern w:val="44"/>
        </w:rPr>
        <w:t>第三十八条</w:t>
      </w:r>
      <w:r>
        <w:rPr>
          <w:rFonts w:hint="eastAsia" w:ascii="宋体" w:hAnsi="宋体"/>
          <w:kern w:val="44"/>
        </w:rPr>
        <w:t>　市和区、县信息化主管部门对信息化发展规划和政府投资建设信息化工程年度计划的落实情况进行监督检查，并组织开展对国家机关的电子政务绩效考核工作。</w:t>
      </w:r>
    </w:p>
    <w:p w14:paraId="7B75EAE4">
      <w:pPr>
        <w:ind w:firstLine="422"/>
        <w:jc w:val="left"/>
        <w:rPr>
          <w:rFonts w:ascii="宋体" w:hAnsi="宋体"/>
          <w:kern w:val="44"/>
        </w:rPr>
      </w:pPr>
      <w:r>
        <w:rPr>
          <w:rFonts w:hint="eastAsia" w:ascii="宋体" w:hAnsi="宋体"/>
          <w:b/>
          <w:kern w:val="44"/>
        </w:rPr>
        <w:t>第三十九条</w:t>
      </w:r>
      <w:r>
        <w:rPr>
          <w:rFonts w:hint="eastAsia" w:ascii="宋体" w:hAnsi="宋体"/>
          <w:kern w:val="44"/>
        </w:rPr>
        <w:t>　市和区、县发展改革、财政、审计、信息化等部门对使用政府投资的信息化工程的资金使用情况和工程运行维护情况进行监督检查；统计、监察、信息化及政府信息公开主管部门对有关国家机关政务信息采集、公开、共享和信息服务工作进行监督检查。</w:t>
      </w:r>
    </w:p>
    <w:p w14:paraId="23BA7AC3">
      <w:pPr>
        <w:ind w:firstLine="422"/>
        <w:jc w:val="left"/>
        <w:rPr>
          <w:rFonts w:ascii="宋体" w:hAnsi="宋体"/>
          <w:kern w:val="44"/>
        </w:rPr>
      </w:pPr>
      <w:r>
        <w:rPr>
          <w:rFonts w:hint="eastAsia" w:ascii="宋体" w:hAnsi="宋体"/>
          <w:b/>
          <w:kern w:val="44"/>
        </w:rPr>
        <w:t>第四十条</w:t>
      </w:r>
      <w:r>
        <w:rPr>
          <w:rFonts w:hint="eastAsia" w:ascii="宋体" w:hAnsi="宋体"/>
          <w:kern w:val="44"/>
        </w:rPr>
        <w:t>　本市各级国家机关应当加强对本单位政务信息采集、管理、公开、共享等工作的内部管理，并明确主管负责人和内部机构，负责本单位电子政务的规划、协调和管理工作，建立对本单位工作人员信息化知识、技能的定期考核制度。</w:t>
      </w:r>
    </w:p>
    <w:p w14:paraId="454A59B2">
      <w:pPr>
        <w:ind w:firstLine="422"/>
        <w:jc w:val="left"/>
        <w:rPr>
          <w:rFonts w:ascii="宋体" w:hAnsi="宋体"/>
          <w:kern w:val="44"/>
        </w:rPr>
      </w:pPr>
      <w:r>
        <w:rPr>
          <w:rFonts w:hint="eastAsia" w:ascii="宋体" w:hAnsi="宋体"/>
          <w:b/>
          <w:kern w:val="44"/>
        </w:rPr>
        <w:t>第四十一条</w:t>
      </w:r>
      <w:r>
        <w:rPr>
          <w:rFonts w:hint="eastAsia" w:ascii="宋体" w:hAnsi="宋体"/>
          <w:kern w:val="44"/>
        </w:rPr>
        <w:t>　市和区、县人民政府的相关行业主管部门应当组织对本行业公共企事业单位的信息化服务水平进行检查和评估，并将有关情况向社会公布。</w:t>
      </w:r>
    </w:p>
    <w:p w14:paraId="68865A44">
      <w:pPr>
        <w:ind w:firstLine="422"/>
        <w:jc w:val="left"/>
        <w:rPr>
          <w:rFonts w:ascii="宋体" w:hAnsi="宋体"/>
          <w:kern w:val="44"/>
        </w:rPr>
      </w:pPr>
      <w:r>
        <w:rPr>
          <w:rFonts w:hint="eastAsia" w:ascii="宋体" w:hAnsi="宋体"/>
          <w:b/>
          <w:kern w:val="44"/>
        </w:rPr>
        <w:t>第四十二条</w:t>
      </w:r>
      <w:r>
        <w:rPr>
          <w:rFonts w:hint="eastAsia" w:ascii="宋体" w:hAnsi="宋体"/>
          <w:kern w:val="44"/>
        </w:rPr>
        <w:t>　市和区、县人民政府有关部门根据职责分工，做好信息化相关领域的监督检查工作，并将相关信息向同级信息化主管部门通报。</w:t>
      </w:r>
    </w:p>
    <w:p w14:paraId="6CAFC2C1">
      <w:pPr>
        <w:jc w:val="left"/>
        <w:rPr>
          <w:rFonts w:ascii="宋体" w:hAnsi="宋体"/>
          <w:kern w:val="44"/>
        </w:rPr>
      </w:pPr>
      <w:r>
        <w:rPr>
          <w:rFonts w:hint="eastAsia" w:ascii="宋体" w:hAnsi="宋体"/>
          <w:kern w:val="44"/>
        </w:rPr>
        <w:t>企事业单位和个人的违法行为可以依法纳入相关信用信息系统。</w:t>
      </w:r>
    </w:p>
    <w:p w14:paraId="4D921516">
      <w:pPr>
        <w:jc w:val="left"/>
        <w:rPr>
          <w:rFonts w:ascii="宋体" w:hAnsi="宋体"/>
          <w:kern w:val="44"/>
        </w:rPr>
      </w:pPr>
    </w:p>
    <w:p w14:paraId="23B8BB10">
      <w:pPr>
        <w:ind w:firstLine="0" w:firstLineChars="0"/>
        <w:jc w:val="center"/>
        <w:rPr>
          <w:rFonts w:ascii="宋体" w:hAnsi="宋体"/>
          <w:b/>
          <w:kern w:val="44"/>
          <w:sz w:val="28"/>
        </w:rPr>
      </w:pPr>
      <w:r>
        <w:rPr>
          <w:rFonts w:hint="eastAsia" w:ascii="宋体" w:hAnsi="宋体"/>
          <w:b/>
          <w:kern w:val="44"/>
          <w:sz w:val="28"/>
        </w:rPr>
        <w:t>第七章　法律责任</w:t>
      </w:r>
    </w:p>
    <w:p w14:paraId="3E034BCA">
      <w:pPr>
        <w:jc w:val="left"/>
        <w:rPr>
          <w:rFonts w:ascii="宋体" w:hAnsi="宋体"/>
          <w:kern w:val="44"/>
        </w:rPr>
      </w:pPr>
    </w:p>
    <w:p w14:paraId="6C58A58D">
      <w:pPr>
        <w:ind w:firstLine="422"/>
        <w:jc w:val="left"/>
        <w:rPr>
          <w:rFonts w:ascii="宋体" w:hAnsi="宋体"/>
          <w:kern w:val="44"/>
        </w:rPr>
      </w:pPr>
      <w:r>
        <w:rPr>
          <w:rFonts w:hint="eastAsia" w:ascii="宋体" w:hAnsi="宋体"/>
          <w:b/>
          <w:kern w:val="44"/>
        </w:rPr>
        <w:t>第四十三条</w:t>
      </w:r>
      <w:r>
        <w:rPr>
          <w:rFonts w:hint="eastAsia" w:ascii="宋体" w:hAnsi="宋体"/>
          <w:kern w:val="44"/>
        </w:rPr>
        <w:t>　违反本条例第十一条规定，未经资质认证的单位承揽、以其他单位名义承揽相应领域的信息化工程，或者已经资质认证的单位超越本单位资质等级承揽信息化工程的，由市或者区、县信息化主管部门给予警告，责令限期改正；情节严重的，处以1万元以上10万元以下罚款。</w:t>
      </w:r>
    </w:p>
    <w:p w14:paraId="6FA490B0">
      <w:pPr>
        <w:ind w:firstLine="422"/>
        <w:jc w:val="left"/>
        <w:rPr>
          <w:rFonts w:ascii="宋体" w:hAnsi="宋体"/>
          <w:kern w:val="44"/>
        </w:rPr>
      </w:pPr>
      <w:r>
        <w:rPr>
          <w:rFonts w:hint="eastAsia" w:ascii="宋体" w:hAnsi="宋体"/>
          <w:b/>
          <w:kern w:val="44"/>
        </w:rPr>
        <w:t>第四十四条</w:t>
      </w:r>
      <w:r>
        <w:rPr>
          <w:rFonts w:hint="eastAsia" w:ascii="宋体" w:hAnsi="宋体"/>
          <w:kern w:val="44"/>
        </w:rPr>
        <w:t>　违反本条例第三十四条规定，未按要求制定网络与信息系统安全事件应急预案，或者对网络与信息系统安全事件情况隐瞒不报、谎报或者拖延不报的，由市或者区、县信息化主管部门责令限期改正，并可处3万元以下罚款。</w:t>
      </w:r>
    </w:p>
    <w:p w14:paraId="6D9A975C">
      <w:pPr>
        <w:ind w:firstLine="422"/>
        <w:jc w:val="left"/>
        <w:rPr>
          <w:rFonts w:ascii="宋体" w:hAnsi="宋体"/>
          <w:kern w:val="44"/>
        </w:rPr>
      </w:pPr>
      <w:r>
        <w:rPr>
          <w:rFonts w:hint="eastAsia" w:ascii="宋体" w:hAnsi="宋体"/>
          <w:b/>
          <w:kern w:val="44"/>
        </w:rPr>
        <w:t>第四十五条</w:t>
      </w:r>
      <w:r>
        <w:rPr>
          <w:rFonts w:hint="eastAsia" w:ascii="宋体" w:hAnsi="宋体"/>
          <w:kern w:val="44"/>
        </w:rPr>
        <w:t>　违反本条例规定，有下列行为之一的，由有关部门依照《中华人民共和国政府信息公开条例》、《中华人民共和国计算机信息系统安全保护条例》等有关规定责令改正，给予警告或者责令停机整顿，并对直接负责的主管人员和其他直接责任人员依法处理：</w:t>
      </w:r>
    </w:p>
    <w:p w14:paraId="0B899E00">
      <w:pPr>
        <w:jc w:val="left"/>
        <w:rPr>
          <w:rFonts w:ascii="宋体" w:hAnsi="宋体"/>
          <w:kern w:val="44"/>
        </w:rPr>
      </w:pPr>
      <w:r>
        <w:rPr>
          <w:rFonts w:hint="eastAsia" w:ascii="宋体" w:hAnsi="宋体"/>
          <w:kern w:val="44"/>
        </w:rPr>
        <w:t>（一）违反第十九条规定，未按照国家和本市的规定公开政务信息的；</w:t>
      </w:r>
    </w:p>
    <w:p w14:paraId="281EDF5E">
      <w:pPr>
        <w:jc w:val="left"/>
        <w:rPr>
          <w:rFonts w:ascii="宋体" w:hAnsi="宋体"/>
          <w:kern w:val="44"/>
        </w:rPr>
      </w:pPr>
      <w:r>
        <w:rPr>
          <w:rFonts w:hint="eastAsia" w:ascii="宋体" w:hAnsi="宋体"/>
          <w:kern w:val="44"/>
        </w:rPr>
        <w:t>（二）违反第三十二条规定，网络与信息系统的建设单位和运行维护单位未依法进行安全保护等级备案、审批的；</w:t>
      </w:r>
    </w:p>
    <w:p w14:paraId="5799AC65">
      <w:pPr>
        <w:jc w:val="left"/>
        <w:rPr>
          <w:rFonts w:ascii="宋体" w:hAnsi="宋体"/>
          <w:kern w:val="44"/>
        </w:rPr>
      </w:pPr>
      <w:r>
        <w:rPr>
          <w:rFonts w:hint="eastAsia" w:ascii="宋体" w:hAnsi="宋体"/>
          <w:kern w:val="44"/>
        </w:rPr>
        <w:t>（三）违反第三十三条规定，未进行网络与信息系统安全建设或者改建工作，或者未进行网络与信息系统安全等级技术测评的。</w:t>
      </w:r>
    </w:p>
    <w:p w14:paraId="03B7D830">
      <w:pPr>
        <w:ind w:firstLine="422"/>
        <w:jc w:val="left"/>
        <w:rPr>
          <w:rFonts w:ascii="宋体" w:hAnsi="宋体"/>
          <w:kern w:val="44"/>
        </w:rPr>
      </w:pPr>
      <w:r>
        <w:rPr>
          <w:rFonts w:hint="eastAsia" w:ascii="宋体" w:hAnsi="宋体"/>
          <w:b/>
          <w:kern w:val="44"/>
        </w:rPr>
        <w:t>第四十六条</w:t>
      </w:r>
      <w:r>
        <w:rPr>
          <w:rFonts w:hint="eastAsia" w:ascii="宋体" w:hAnsi="宋体"/>
          <w:kern w:val="44"/>
        </w:rPr>
        <w:t>　违反本条例规定，有下列行为之一的，市或者区、县信息化主管部门可以对责任单位给予通报批评；造成重大损失的，依照有关法律、法规予以处理：</w:t>
      </w:r>
    </w:p>
    <w:p w14:paraId="6F6882B9">
      <w:pPr>
        <w:jc w:val="left"/>
        <w:rPr>
          <w:rFonts w:ascii="宋体" w:hAnsi="宋体"/>
          <w:kern w:val="44"/>
        </w:rPr>
      </w:pPr>
      <w:r>
        <w:rPr>
          <w:rFonts w:hint="eastAsia" w:ascii="宋体" w:hAnsi="宋体"/>
          <w:kern w:val="44"/>
        </w:rPr>
        <w:t>（一）违反第十七条规定，没有正当理由，重复采集政务信息资源目录内信息的；</w:t>
      </w:r>
    </w:p>
    <w:p w14:paraId="47F860D3">
      <w:pPr>
        <w:jc w:val="left"/>
        <w:rPr>
          <w:rFonts w:ascii="宋体" w:hAnsi="宋体"/>
          <w:kern w:val="44"/>
        </w:rPr>
      </w:pPr>
      <w:r>
        <w:rPr>
          <w:rFonts w:hint="eastAsia" w:ascii="宋体" w:hAnsi="宋体"/>
          <w:kern w:val="44"/>
        </w:rPr>
        <w:t>（二）违反第二十九条第二款规定，未经审查同意擅自接入电子政务网络的。</w:t>
      </w:r>
    </w:p>
    <w:p w14:paraId="64158D8B">
      <w:pPr>
        <w:ind w:firstLine="422"/>
        <w:jc w:val="left"/>
        <w:rPr>
          <w:rFonts w:ascii="宋体" w:hAnsi="宋体"/>
          <w:kern w:val="44"/>
        </w:rPr>
      </w:pPr>
      <w:r>
        <w:rPr>
          <w:rFonts w:hint="eastAsia" w:ascii="宋体" w:hAnsi="宋体"/>
          <w:b/>
          <w:kern w:val="44"/>
        </w:rPr>
        <w:t>第四十七条</w:t>
      </w:r>
      <w:r>
        <w:rPr>
          <w:rFonts w:hint="eastAsia" w:ascii="宋体" w:hAnsi="宋体"/>
          <w:kern w:val="44"/>
        </w:rPr>
        <w:t>　对于信息化发展过程中有危害国家安全，扰乱公共秩序，损害公民、法人和其他组织的合法权益，危害网络与信息系统安全以及散布、传播违法信息等活动的，</w:t>
      </w:r>
    </w:p>
    <w:p w14:paraId="24D25CC9">
      <w:pPr>
        <w:jc w:val="left"/>
        <w:rPr>
          <w:rFonts w:ascii="宋体" w:hAnsi="宋体"/>
          <w:kern w:val="44"/>
        </w:rPr>
      </w:pPr>
      <w:r>
        <w:rPr>
          <w:rFonts w:hint="eastAsia" w:ascii="宋体" w:hAnsi="宋体"/>
          <w:kern w:val="44"/>
        </w:rPr>
        <w:t>由国家安全、公安、保密、工商以及其他部门依法处理；构成犯罪的，依法追究刑事责任。</w:t>
      </w:r>
    </w:p>
    <w:p w14:paraId="6E776567">
      <w:pPr>
        <w:ind w:firstLine="422"/>
        <w:jc w:val="left"/>
        <w:rPr>
          <w:rFonts w:ascii="宋体" w:hAnsi="宋体"/>
          <w:kern w:val="44"/>
        </w:rPr>
      </w:pPr>
      <w:r>
        <w:rPr>
          <w:rFonts w:hint="eastAsia" w:ascii="宋体" w:hAnsi="宋体"/>
          <w:b/>
          <w:kern w:val="44"/>
        </w:rPr>
        <w:t>第四十八条</w:t>
      </w:r>
      <w:r>
        <w:rPr>
          <w:rFonts w:hint="eastAsia" w:ascii="宋体" w:hAnsi="宋体"/>
          <w:kern w:val="44"/>
        </w:rPr>
        <w:t>　市和区、县信息化主管部门以及其他有关部门的工作人员在信息化工作中徇私舞弊、滥用职权、玩忽职守的，由有关部门依法给予行政处分；构成犯罪的，依法追究刑事责任。</w:t>
      </w:r>
    </w:p>
    <w:p w14:paraId="2E26F36F">
      <w:pPr>
        <w:jc w:val="left"/>
        <w:rPr>
          <w:rFonts w:ascii="宋体" w:hAnsi="宋体"/>
          <w:kern w:val="44"/>
        </w:rPr>
      </w:pPr>
    </w:p>
    <w:p w14:paraId="716C1621">
      <w:pPr>
        <w:ind w:firstLine="562"/>
        <w:jc w:val="center"/>
        <w:rPr>
          <w:rFonts w:ascii="宋体" w:hAnsi="宋体"/>
          <w:b/>
          <w:kern w:val="44"/>
          <w:sz w:val="28"/>
        </w:rPr>
      </w:pPr>
      <w:r>
        <w:rPr>
          <w:rFonts w:hint="eastAsia" w:ascii="宋体" w:hAnsi="宋体"/>
          <w:b/>
          <w:kern w:val="44"/>
          <w:sz w:val="28"/>
        </w:rPr>
        <w:t>第八章　附　则</w:t>
      </w:r>
    </w:p>
    <w:p w14:paraId="16A67CE1">
      <w:pPr>
        <w:jc w:val="left"/>
        <w:rPr>
          <w:rFonts w:ascii="宋体" w:hAnsi="宋体"/>
          <w:kern w:val="44"/>
        </w:rPr>
      </w:pPr>
    </w:p>
    <w:p w14:paraId="41E735BB">
      <w:pPr>
        <w:ind w:firstLine="422"/>
        <w:jc w:val="left"/>
        <w:rPr>
          <w:rFonts w:ascii="宋体" w:hAnsi="宋体"/>
          <w:kern w:val="44"/>
        </w:rPr>
      </w:pPr>
      <w:r>
        <w:rPr>
          <w:rFonts w:hint="eastAsia" w:ascii="宋体" w:hAnsi="宋体"/>
          <w:b/>
          <w:kern w:val="44"/>
        </w:rPr>
        <w:t>第四十九条</w:t>
      </w:r>
      <w:r>
        <w:rPr>
          <w:rFonts w:hint="eastAsia" w:ascii="宋体" w:hAnsi="宋体"/>
          <w:kern w:val="44"/>
        </w:rPr>
        <w:t>　本条例自2007年12月1日起施行。</w:t>
      </w:r>
    </w:p>
    <w:p w14:paraId="0FACEB58">
      <w:pPr>
        <w:pStyle w:val="4"/>
        <w:pageBreakBefore/>
        <w:rPr>
          <w:kern w:val="44"/>
        </w:rPr>
      </w:pPr>
      <w:bookmarkStart w:id="684" w:name="_Toc422471196"/>
      <w:bookmarkStart w:id="685" w:name="_Toc427651496"/>
      <w:bookmarkStart w:id="686" w:name="_Toc427651838"/>
      <w:bookmarkStart w:id="687" w:name="_Toc428780062"/>
      <w:bookmarkStart w:id="688" w:name="_Toc428781544"/>
      <w:r>
        <w:rPr>
          <w:rFonts w:hint="eastAsia"/>
          <w:kern w:val="44"/>
        </w:rPr>
        <w:t>北京市人民政府关于居民楼</w:t>
      </w:r>
      <w:bookmarkEnd w:id="684"/>
      <w:bookmarkEnd w:id="685"/>
      <w:bookmarkEnd w:id="686"/>
      <w:bookmarkEnd w:id="687"/>
      <w:bookmarkEnd w:id="688"/>
    </w:p>
    <w:p w14:paraId="60E38E2F">
      <w:pPr>
        <w:pStyle w:val="4"/>
        <w:rPr>
          <w:kern w:val="44"/>
        </w:rPr>
      </w:pPr>
      <w:bookmarkStart w:id="689" w:name="_Toc428781545"/>
      <w:bookmarkStart w:id="690" w:name="_Toc422471197"/>
      <w:bookmarkStart w:id="691" w:name="_Toc427651839"/>
      <w:bookmarkStart w:id="692" w:name="_Toc428780063"/>
      <w:bookmarkStart w:id="693" w:name="_Toc427651497"/>
      <w:r>
        <w:rPr>
          <w:rFonts w:hint="eastAsia"/>
          <w:kern w:val="44"/>
        </w:rPr>
        <w:t>邮政工作的若干规定</w:t>
      </w:r>
      <w:bookmarkEnd w:id="689"/>
      <w:bookmarkEnd w:id="690"/>
      <w:bookmarkEnd w:id="691"/>
      <w:bookmarkEnd w:id="692"/>
      <w:bookmarkEnd w:id="693"/>
    </w:p>
    <w:p w14:paraId="427C873F">
      <w:pPr>
        <w:jc w:val="left"/>
        <w:rPr>
          <w:rFonts w:ascii="宋体" w:hAnsi="宋体"/>
          <w:kern w:val="44"/>
        </w:rPr>
      </w:pPr>
    </w:p>
    <w:p w14:paraId="219DA291">
      <w:pPr>
        <w:ind w:left="630" w:leftChars="300" w:right="630" w:rightChars="300"/>
        <w:jc w:val="left"/>
        <w:rPr>
          <w:rFonts w:ascii="楷体" w:hAnsi="楷体" w:eastAsia="楷体"/>
          <w:kern w:val="44"/>
        </w:rPr>
      </w:pPr>
      <w:r>
        <w:rPr>
          <w:rFonts w:hint="eastAsia" w:ascii="楷体" w:hAnsi="楷体" w:eastAsia="楷体"/>
          <w:kern w:val="44"/>
        </w:rPr>
        <w:t>（1992年12月8日北京市人民政府第21号令发布　根据2007年11月23日北京市人民政府第200号令修改 ）</w:t>
      </w:r>
    </w:p>
    <w:p w14:paraId="64B3F177">
      <w:pPr>
        <w:jc w:val="left"/>
        <w:rPr>
          <w:rFonts w:ascii="宋体" w:hAnsi="宋体"/>
          <w:kern w:val="44"/>
        </w:rPr>
      </w:pPr>
    </w:p>
    <w:p w14:paraId="2F4B7460">
      <w:pPr>
        <w:ind w:firstLine="422"/>
        <w:jc w:val="left"/>
        <w:rPr>
          <w:rFonts w:ascii="宋体" w:hAnsi="宋体"/>
          <w:kern w:val="44"/>
        </w:rPr>
      </w:pPr>
      <w:r>
        <w:rPr>
          <w:rFonts w:hint="eastAsia" w:ascii="宋体" w:hAnsi="宋体"/>
          <w:b/>
          <w:kern w:val="44"/>
        </w:rPr>
        <w:t>第一条</w:t>
      </w:r>
      <w:r>
        <w:rPr>
          <w:rFonts w:hint="eastAsia" w:ascii="宋体" w:hAnsi="宋体"/>
          <w:kern w:val="44"/>
        </w:rPr>
        <w:t>　为了保障本市居民楼住户正常接收邮件，保护邮政用户的合法权益，为邮政企业创造邮递服务条件，根据《中华人民共和国邮政法》、《中华人民共和国邮政法实施细则》等有关规定，结合本市实际情况，制定本规定。</w:t>
      </w:r>
    </w:p>
    <w:p w14:paraId="68F8DC39">
      <w:pPr>
        <w:ind w:firstLine="422"/>
        <w:jc w:val="left"/>
        <w:rPr>
          <w:rFonts w:ascii="宋体" w:hAnsi="宋体"/>
          <w:kern w:val="44"/>
        </w:rPr>
      </w:pPr>
      <w:r>
        <w:rPr>
          <w:rFonts w:hint="eastAsia" w:ascii="宋体" w:hAnsi="宋体"/>
          <w:b/>
          <w:kern w:val="44"/>
        </w:rPr>
        <w:t>第二条</w:t>
      </w:r>
      <w:r>
        <w:rPr>
          <w:rFonts w:hint="eastAsia" w:ascii="宋体" w:hAnsi="宋体"/>
          <w:kern w:val="44"/>
        </w:rPr>
        <w:t>　凡邮政企业向本市城区、近郊区、远郊区县人民政府所在地的城镇、建制镇及工矿区的居民楼住户投递邮件工作，均按本规定管理。</w:t>
      </w:r>
    </w:p>
    <w:p w14:paraId="2BA1B5F2">
      <w:pPr>
        <w:ind w:firstLine="422"/>
        <w:jc w:val="left"/>
        <w:rPr>
          <w:rFonts w:ascii="宋体" w:hAnsi="宋体"/>
          <w:kern w:val="44"/>
        </w:rPr>
      </w:pPr>
      <w:r>
        <w:rPr>
          <w:rFonts w:hint="eastAsia" w:ascii="宋体" w:hAnsi="宋体"/>
          <w:b/>
          <w:kern w:val="44"/>
        </w:rPr>
        <w:t>第三条</w:t>
      </w:r>
      <w:r>
        <w:rPr>
          <w:rFonts w:hint="eastAsia" w:ascii="宋体" w:hAnsi="宋体"/>
          <w:kern w:val="44"/>
        </w:rPr>
        <w:t>　市邮政管理局主管居民楼邮政工作。</w:t>
      </w:r>
    </w:p>
    <w:p w14:paraId="4FAC19BC">
      <w:pPr>
        <w:jc w:val="left"/>
        <w:rPr>
          <w:rFonts w:ascii="宋体" w:hAnsi="宋体"/>
          <w:kern w:val="44"/>
        </w:rPr>
      </w:pPr>
      <w:r>
        <w:rPr>
          <w:rFonts w:hint="eastAsia" w:ascii="宋体" w:hAnsi="宋体"/>
          <w:kern w:val="44"/>
        </w:rPr>
        <w:t>规划、建设、公安、公安交通、市政等有关部门应当按照各自的职责，在邮政信报箱、间（群）的规划设计、施工和验收、居民楼号和门牌号的确定及邮件投递的道路通行等方面加强监督管理，保障居民楼邮件投递工作的顺利进行。</w:t>
      </w:r>
    </w:p>
    <w:p w14:paraId="6A0B4EA4">
      <w:pPr>
        <w:jc w:val="left"/>
        <w:rPr>
          <w:rFonts w:ascii="宋体" w:hAnsi="宋体"/>
          <w:kern w:val="44"/>
        </w:rPr>
      </w:pPr>
      <w:r>
        <w:rPr>
          <w:rFonts w:hint="eastAsia" w:ascii="宋体" w:hAnsi="宋体"/>
          <w:kern w:val="44"/>
        </w:rPr>
        <w:t>新建居民楼（含危旧房改造新建楼房，下同），须按本市有关规定安装信报箱或设置信报箱、间（群）或设立收发室。已建成的楼房未按规定安装或设置信报箱、间（群）或收发室的，须按有关规定补设。</w:t>
      </w:r>
    </w:p>
    <w:p w14:paraId="23CA875B">
      <w:pPr>
        <w:ind w:firstLine="422"/>
        <w:jc w:val="left"/>
        <w:rPr>
          <w:rFonts w:ascii="宋体" w:hAnsi="宋体"/>
          <w:kern w:val="44"/>
        </w:rPr>
      </w:pPr>
      <w:r>
        <w:rPr>
          <w:rFonts w:hint="eastAsia" w:ascii="宋体" w:hAnsi="宋体"/>
          <w:b/>
          <w:kern w:val="44"/>
        </w:rPr>
        <w:t>第四条</w:t>
      </w:r>
      <w:r>
        <w:rPr>
          <w:rFonts w:hint="eastAsia" w:ascii="宋体" w:hAnsi="宋体"/>
          <w:kern w:val="44"/>
        </w:rPr>
        <w:t>　居民楼应具备下列接收邮件的条件：</w:t>
      </w:r>
    </w:p>
    <w:p w14:paraId="2DC3262B">
      <w:pPr>
        <w:jc w:val="left"/>
        <w:rPr>
          <w:rFonts w:ascii="宋体" w:hAnsi="宋体"/>
          <w:kern w:val="44"/>
        </w:rPr>
      </w:pPr>
      <w:r>
        <w:rPr>
          <w:rFonts w:hint="eastAsia" w:ascii="宋体" w:hAnsi="宋体"/>
          <w:kern w:val="44"/>
        </w:rPr>
        <w:t>（一）楼内安装与住户房号相适应的信报箱，或者在楼房集中处设置信报箱、间（群）或设立收发室。</w:t>
      </w:r>
    </w:p>
    <w:p w14:paraId="10605EDE">
      <w:pPr>
        <w:jc w:val="left"/>
        <w:rPr>
          <w:rFonts w:ascii="宋体" w:hAnsi="宋体"/>
          <w:kern w:val="44"/>
        </w:rPr>
      </w:pPr>
      <w:r>
        <w:rPr>
          <w:rFonts w:hint="eastAsia" w:ascii="宋体" w:hAnsi="宋体"/>
          <w:kern w:val="44"/>
        </w:rPr>
        <w:t>（二）有经公安部门、市地名管理部门核定的地名、楼号、门牌号，并装有明显的楼号、门牌号标志。</w:t>
      </w:r>
    </w:p>
    <w:p w14:paraId="136A68FF">
      <w:pPr>
        <w:jc w:val="left"/>
        <w:rPr>
          <w:rFonts w:ascii="宋体" w:hAnsi="宋体"/>
          <w:kern w:val="44"/>
        </w:rPr>
      </w:pPr>
      <w:r>
        <w:rPr>
          <w:rFonts w:hint="eastAsia" w:ascii="宋体" w:hAnsi="宋体"/>
          <w:kern w:val="44"/>
        </w:rPr>
        <w:t>（三）具备邮政车辆和邮政工作人员投递邮件的道路通行条件。</w:t>
      </w:r>
    </w:p>
    <w:p w14:paraId="58D50D48">
      <w:pPr>
        <w:ind w:firstLine="422"/>
        <w:jc w:val="left"/>
        <w:rPr>
          <w:rFonts w:ascii="宋体" w:hAnsi="宋体"/>
          <w:kern w:val="44"/>
        </w:rPr>
      </w:pPr>
      <w:r>
        <w:rPr>
          <w:rFonts w:hint="eastAsia" w:ascii="宋体" w:hAnsi="宋体"/>
          <w:b/>
          <w:kern w:val="44"/>
        </w:rPr>
        <w:t>第五条</w:t>
      </w:r>
      <w:r>
        <w:rPr>
          <w:rFonts w:hint="eastAsia" w:ascii="宋体" w:hAnsi="宋体"/>
          <w:kern w:val="44"/>
        </w:rPr>
        <w:t>　居民楼接收邮件，应由楼房管理单位或产权单位持本单位介绍信和地址证明到所在地邮政支局进行登记。邮政支局应在15日内作出同意或不同意的答复。符合条件的，应予登记并按规定期限安排投递；不符合条件的，不安排投递并说明理由。</w:t>
      </w:r>
    </w:p>
    <w:p w14:paraId="6492A21B">
      <w:pPr>
        <w:ind w:firstLine="422"/>
        <w:jc w:val="left"/>
        <w:rPr>
          <w:rFonts w:ascii="宋体" w:hAnsi="宋体"/>
          <w:kern w:val="44"/>
        </w:rPr>
      </w:pPr>
      <w:r>
        <w:rPr>
          <w:rFonts w:hint="eastAsia" w:ascii="宋体" w:hAnsi="宋体"/>
          <w:b/>
          <w:kern w:val="44"/>
        </w:rPr>
        <w:t>第六条</w:t>
      </w:r>
      <w:r>
        <w:rPr>
          <w:rFonts w:hint="eastAsia" w:ascii="宋体" w:hAnsi="宋体"/>
          <w:kern w:val="44"/>
        </w:rPr>
        <w:t>　邮件接收单位地址、楼号、门牌号等变更的，应当办理变更登记手续。邮件接收单位分立的，应当补办邮件投递登记手续。</w:t>
      </w:r>
    </w:p>
    <w:p w14:paraId="5DBC67B6">
      <w:pPr>
        <w:ind w:firstLine="422"/>
        <w:jc w:val="left"/>
        <w:rPr>
          <w:rFonts w:ascii="宋体" w:hAnsi="宋体"/>
          <w:kern w:val="44"/>
        </w:rPr>
      </w:pPr>
      <w:r>
        <w:rPr>
          <w:rFonts w:hint="eastAsia" w:ascii="宋体" w:hAnsi="宋体"/>
          <w:b/>
          <w:kern w:val="44"/>
        </w:rPr>
        <w:t>第七条</w:t>
      </w:r>
      <w:r>
        <w:rPr>
          <w:rFonts w:hint="eastAsia" w:ascii="宋体" w:hAnsi="宋体"/>
          <w:kern w:val="44"/>
        </w:rPr>
        <w:t>　邮政支局投递邮件可以与邮政用户协商签订协议，约定投递位置和方式。</w:t>
      </w:r>
    </w:p>
    <w:p w14:paraId="474871A9">
      <w:pPr>
        <w:jc w:val="left"/>
        <w:rPr>
          <w:rFonts w:ascii="宋体" w:hAnsi="宋体"/>
          <w:kern w:val="44"/>
        </w:rPr>
      </w:pPr>
      <w:r>
        <w:rPr>
          <w:rFonts w:hint="eastAsia" w:ascii="宋体" w:hAnsi="宋体"/>
          <w:kern w:val="44"/>
        </w:rPr>
        <w:t>邮政用户要求提供超出规定范围的投递服务的，邮政支局可以根据具体条件与邮政用户签订协议，按照协议提供投递服务并收取特殊服务费。</w:t>
      </w:r>
    </w:p>
    <w:p w14:paraId="10A22F19">
      <w:pPr>
        <w:jc w:val="left"/>
        <w:rPr>
          <w:rFonts w:ascii="宋体" w:hAnsi="宋体"/>
          <w:kern w:val="44"/>
        </w:rPr>
      </w:pPr>
      <w:r>
        <w:rPr>
          <w:rFonts w:hint="eastAsia" w:ascii="宋体" w:hAnsi="宋体"/>
          <w:kern w:val="44"/>
        </w:rPr>
        <w:t>特殊服务费标准由市邮政管理局制定，经市物价局批准后执行。</w:t>
      </w:r>
    </w:p>
    <w:p w14:paraId="1347BE42">
      <w:pPr>
        <w:ind w:firstLine="422"/>
        <w:jc w:val="left"/>
        <w:rPr>
          <w:rFonts w:ascii="宋体" w:hAnsi="宋体"/>
          <w:kern w:val="44"/>
        </w:rPr>
      </w:pPr>
      <w:r>
        <w:rPr>
          <w:rFonts w:hint="eastAsia" w:ascii="宋体" w:hAnsi="宋体"/>
          <w:b/>
          <w:kern w:val="44"/>
        </w:rPr>
        <w:t>第八条</w:t>
      </w:r>
      <w:r>
        <w:rPr>
          <w:rFonts w:hint="eastAsia" w:ascii="宋体" w:hAnsi="宋体"/>
          <w:kern w:val="44"/>
        </w:rPr>
        <w:t>　邮政支局可以委托居民委员会及其他符合条件的单位或个人代办邮件投递业务。委托代办邮件投递业务，应当按照协商一致、监督指导、保证质量和有偿服务的原则进行，并由邮政支局与代投单位或个人签订代办合同。</w:t>
      </w:r>
    </w:p>
    <w:p w14:paraId="75B88BFE">
      <w:pPr>
        <w:jc w:val="left"/>
        <w:rPr>
          <w:rFonts w:ascii="宋体" w:hAnsi="宋体"/>
          <w:kern w:val="44"/>
        </w:rPr>
      </w:pPr>
      <w:r>
        <w:rPr>
          <w:rFonts w:hint="eastAsia" w:ascii="宋体" w:hAnsi="宋体"/>
          <w:kern w:val="44"/>
        </w:rPr>
        <w:t>代办邮件投递的单位或个人应当遵守邮政法律、法规、规章和有关邮件投递的规则。</w:t>
      </w:r>
    </w:p>
    <w:p w14:paraId="27685967">
      <w:pPr>
        <w:ind w:firstLine="422"/>
        <w:jc w:val="left"/>
        <w:rPr>
          <w:rFonts w:ascii="宋体" w:hAnsi="宋体"/>
          <w:kern w:val="44"/>
        </w:rPr>
      </w:pPr>
      <w:r>
        <w:rPr>
          <w:rFonts w:hint="eastAsia" w:ascii="宋体" w:hAnsi="宋体"/>
          <w:b/>
          <w:kern w:val="44"/>
        </w:rPr>
        <w:t>第九条</w:t>
      </w:r>
      <w:r>
        <w:rPr>
          <w:rFonts w:hint="eastAsia" w:ascii="宋体" w:hAnsi="宋体"/>
          <w:kern w:val="44"/>
        </w:rPr>
        <w:t>　居民楼管理单位或产权单位应当加强对信报箱、间（群）的管理和维护，发现损坏的，应及时维修或更换。居民楼管理单位或产权单位也可以委托邮政支局管理和维护，所需工料费由委托单位支付。</w:t>
      </w:r>
    </w:p>
    <w:p w14:paraId="2BCBF3DA">
      <w:pPr>
        <w:ind w:firstLine="422"/>
        <w:jc w:val="left"/>
        <w:rPr>
          <w:rFonts w:ascii="宋体" w:hAnsi="宋体"/>
          <w:kern w:val="44"/>
        </w:rPr>
      </w:pPr>
      <w:r>
        <w:rPr>
          <w:rFonts w:hint="eastAsia" w:ascii="宋体" w:hAnsi="宋体"/>
          <w:b/>
          <w:kern w:val="44"/>
        </w:rPr>
        <w:t>第十条</w:t>
      </w:r>
      <w:r>
        <w:rPr>
          <w:rFonts w:hint="eastAsia" w:ascii="宋体" w:hAnsi="宋体"/>
          <w:kern w:val="44"/>
        </w:rPr>
        <w:t>　保护邮政投递设施，人人有责。任何单位或个人不得损坏信报箱、间（群），不得擅自改变其位置、结构和功能，不得向信报箱、间（群）内塞投与邮件无关的杂物、危险物品，不得私自开启他人信报箱，不得在信报箱、间（群）周围堆置杂物妨碍投递邮件。</w:t>
      </w:r>
    </w:p>
    <w:p w14:paraId="1E9BB417">
      <w:pPr>
        <w:ind w:firstLine="422"/>
        <w:jc w:val="left"/>
        <w:rPr>
          <w:rFonts w:ascii="宋体" w:hAnsi="宋体"/>
          <w:kern w:val="44"/>
        </w:rPr>
      </w:pPr>
      <w:r>
        <w:rPr>
          <w:rFonts w:hint="eastAsia" w:ascii="宋体" w:hAnsi="宋体"/>
          <w:b/>
          <w:kern w:val="44"/>
        </w:rPr>
        <w:t>第十一条</w:t>
      </w:r>
      <w:r>
        <w:rPr>
          <w:rFonts w:hint="eastAsia" w:ascii="宋体" w:hAnsi="宋体"/>
          <w:kern w:val="44"/>
        </w:rPr>
        <w:t>　邮政局和邮政支局应当加强对居民楼投递邮件和邮政用户接收邮件工作的管理和服务，为邮政用户提供迅速、准确、安全、方便的邮政服务。及时了解和掌握新建居民楼通邮情况，并主动与楼房管理单位或产权单位加强联系，保障用户的合法权益。</w:t>
      </w:r>
    </w:p>
    <w:p w14:paraId="71C51389">
      <w:pPr>
        <w:ind w:firstLine="422"/>
        <w:jc w:val="left"/>
        <w:rPr>
          <w:rFonts w:ascii="宋体" w:hAnsi="宋体"/>
          <w:kern w:val="44"/>
        </w:rPr>
      </w:pPr>
      <w:r>
        <w:rPr>
          <w:rFonts w:hint="eastAsia" w:ascii="宋体" w:hAnsi="宋体"/>
          <w:b/>
          <w:kern w:val="44"/>
        </w:rPr>
        <w:t>第十二条</w:t>
      </w:r>
      <w:r>
        <w:rPr>
          <w:rFonts w:hint="eastAsia" w:ascii="宋体" w:hAnsi="宋体"/>
          <w:kern w:val="44"/>
        </w:rPr>
        <w:t>　违反本规定，按以下规定处理：</w:t>
      </w:r>
    </w:p>
    <w:p w14:paraId="6D6810FE">
      <w:pPr>
        <w:jc w:val="left"/>
        <w:rPr>
          <w:rFonts w:ascii="宋体" w:hAnsi="宋体"/>
          <w:kern w:val="44"/>
        </w:rPr>
      </w:pPr>
      <w:r>
        <w:rPr>
          <w:rFonts w:hint="eastAsia" w:ascii="宋体" w:hAnsi="宋体"/>
          <w:kern w:val="44"/>
        </w:rPr>
        <w:t>（一）楼房管理单位或产权单位不按规定办理邮件投递登记手续的，邮政支局不予投递邮件，并通知其限期办理登记手续。对寄往该居民楼的邮件，由邮政部门按有关业务规则处理。</w:t>
      </w:r>
    </w:p>
    <w:p w14:paraId="464C8224">
      <w:pPr>
        <w:jc w:val="left"/>
        <w:rPr>
          <w:rFonts w:ascii="宋体" w:hAnsi="宋体"/>
          <w:kern w:val="44"/>
        </w:rPr>
      </w:pPr>
      <w:r>
        <w:rPr>
          <w:rFonts w:hint="eastAsia" w:ascii="宋体" w:hAnsi="宋体"/>
          <w:kern w:val="44"/>
        </w:rPr>
        <w:t>（二）对信报箱、间（群）管理和维护不善，造成损坏，不能保证邮件安全的，由邮政支局通知责任单位在限期内维修或更换。逾期不维修或更换的，由邮政支局组织维修或更换，所需工料费由责任单位承担。</w:t>
      </w:r>
    </w:p>
    <w:p w14:paraId="70E9BC84">
      <w:pPr>
        <w:ind w:firstLine="422"/>
        <w:jc w:val="left"/>
        <w:rPr>
          <w:rFonts w:ascii="宋体" w:hAnsi="宋体"/>
          <w:kern w:val="44"/>
        </w:rPr>
      </w:pPr>
      <w:r>
        <w:rPr>
          <w:rFonts w:hint="eastAsia" w:ascii="宋体" w:hAnsi="宋体"/>
          <w:b/>
          <w:kern w:val="44"/>
        </w:rPr>
        <w:t>第十三条</w:t>
      </w:r>
      <w:r>
        <w:rPr>
          <w:rFonts w:hint="eastAsia" w:ascii="宋体" w:hAnsi="宋体"/>
          <w:kern w:val="44"/>
        </w:rPr>
        <w:t>　损坏信报箱、间（群）或其他邮政投递设施的，由责任单位或直接责任人赔偿经济损失，构成违反治安管理行为的，由公安机关依法处理。</w:t>
      </w:r>
    </w:p>
    <w:p w14:paraId="00AFC7B6">
      <w:pPr>
        <w:ind w:firstLine="422"/>
        <w:jc w:val="left"/>
        <w:rPr>
          <w:rFonts w:ascii="宋体" w:hAnsi="宋体"/>
          <w:kern w:val="44"/>
        </w:rPr>
      </w:pPr>
      <w:r>
        <w:rPr>
          <w:rFonts w:hint="eastAsia" w:ascii="宋体" w:hAnsi="宋体"/>
          <w:b/>
          <w:kern w:val="44"/>
        </w:rPr>
        <w:t>第十四条</w:t>
      </w:r>
      <w:r>
        <w:rPr>
          <w:rFonts w:hint="eastAsia" w:ascii="宋体" w:hAnsi="宋体"/>
          <w:kern w:val="44"/>
        </w:rPr>
        <w:t>　本规定自1993年1月1日起施行。</w:t>
      </w:r>
    </w:p>
    <w:p w14:paraId="16F30489">
      <w:pPr>
        <w:pStyle w:val="4"/>
        <w:pageBreakBefore/>
        <w:rPr>
          <w:kern w:val="44"/>
        </w:rPr>
      </w:pPr>
      <w:bookmarkStart w:id="694" w:name="_Toc422471198"/>
      <w:bookmarkStart w:id="695" w:name="_Toc428781546"/>
      <w:bookmarkStart w:id="696" w:name="_Toc427651498"/>
      <w:bookmarkStart w:id="697" w:name="_Toc428780064"/>
      <w:bookmarkStart w:id="698" w:name="_Toc427651840"/>
      <w:r>
        <w:rPr>
          <w:rFonts w:hint="eastAsia"/>
          <w:kern w:val="44"/>
        </w:rPr>
        <w:t>北京市邮票和集邮品</w:t>
      </w:r>
      <w:bookmarkEnd w:id="694"/>
      <w:bookmarkStart w:id="699" w:name="_Toc422471199"/>
      <w:r>
        <w:rPr>
          <w:rFonts w:hint="eastAsia"/>
          <w:kern w:val="44"/>
        </w:rPr>
        <w:t>管理办法</w:t>
      </w:r>
      <w:bookmarkEnd w:id="695"/>
      <w:bookmarkEnd w:id="696"/>
      <w:bookmarkEnd w:id="697"/>
      <w:bookmarkEnd w:id="698"/>
      <w:bookmarkEnd w:id="699"/>
    </w:p>
    <w:p w14:paraId="2FA67766">
      <w:pPr>
        <w:ind w:left="630" w:leftChars="300" w:right="630" w:rightChars="300"/>
        <w:jc w:val="left"/>
        <w:rPr>
          <w:rFonts w:ascii="楷体" w:hAnsi="楷体" w:eastAsia="楷体"/>
          <w:kern w:val="44"/>
        </w:rPr>
      </w:pPr>
      <w:r>
        <w:rPr>
          <w:rFonts w:hint="eastAsia" w:ascii="楷体" w:hAnsi="楷体" w:eastAsia="楷体"/>
          <w:kern w:val="44"/>
        </w:rPr>
        <w:t>（1996年8月2日北京市人民政府第11号令发布  根据2004年6月1日北京市人民政府第150号令修改）</w:t>
      </w:r>
    </w:p>
    <w:p w14:paraId="61D2646E">
      <w:pPr>
        <w:jc w:val="left"/>
        <w:rPr>
          <w:rFonts w:ascii="宋体" w:hAnsi="宋体"/>
          <w:kern w:val="44"/>
        </w:rPr>
      </w:pPr>
    </w:p>
    <w:p w14:paraId="6E94FDEE">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为了加强邮票、集邮品及其经营活动的管理，保障邮政通信的正常进行，促进集邮事业的发展，根据《中华人民共和国邮政法》和《北京市邮政通信条例》，制定本办法。</w:t>
      </w:r>
    </w:p>
    <w:p w14:paraId="63A932EA">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本办法所称邮票是指国家统一印制发行的普通邮票、纪念邮票、特种邮票和专用邮票等。</w:t>
      </w:r>
    </w:p>
    <w:p w14:paraId="71A5471E">
      <w:pPr>
        <w:jc w:val="left"/>
        <w:rPr>
          <w:rFonts w:ascii="宋体" w:hAnsi="宋体"/>
          <w:kern w:val="44"/>
        </w:rPr>
      </w:pPr>
      <w:r>
        <w:rPr>
          <w:rFonts w:hint="eastAsia" w:ascii="宋体" w:hAnsi="宋体"/>
          <w:kern w:val="44"/>
        </w:rPr>
        <w:t>本办法所称集邮品是指用于收藏、经营或者交换的，超过规定发售期限的纪念邮票、特种邮票以及邮资信封、邮资明信片、邮资信简和利用邮票、邮戳制成的首日封、纪念封、邮折、邮卡；极限明信片、盖销票、年票册、邮戳卡等。</w:t>
      </w:r>
    </w:p>
    <w:p w14:paraId="4032CC0C">
      <w:pPr>
        <w:ind w:firstLine="422"/>
        <w:jc w:val="left"/>
        <w:rPr>
          <w:rFonts w:ascii="宋体" w:hAnsi="宋体"/>
          <w:kern w:val="44"/>
        </w:rPr>
      </w:pPr>
      <w:r>
        <w:rPr>
          <w:rFonts w:hint="eastAsia" w:ascii="宋体" w:hAnsi="宋体"/>
          <w:b/>
          <w:kern w:val="44"/>
        </w:rPr>
        <w:t>第三条</w:t>
      </w:r>
      <w:r>
        <w:rPr>
          <w:rFonts w:hint="eastAsia" w:ascii="宋体" w:hAnsi="宋体"/>
          <w:kern w:val="44"/>
        </w:rPr>
        <w:t>　凡在本市行政区域内从事邮票销售和集邮品制作、经营的单位和个人，均应当遵守本办法。</w:t>
      </w:r>
    </w:p>
    <w:p w14:paraId="706AE2A3">
      <w:pPr>
        <w:ind w:firstLine="422"/>
        <w:jc w:val="left"/>
        <w:rPr>
          <w:rFonts w:ascii="宋体" w:hAnsi="宋体"/>
          <w:kern w:val="44"/>
        </w:rPr>
      </w:pPr>
      <w:r>
        <w:rPr>
          <w:rFonts w:hint="eastAsia" w:ascii="宋体" w:hAnsi="宋体"/>
          <w:b/>
          <w:kern w:val="44"/>
        </w:rPr>
        <w:t>第四条</w:t>
      </w:r>
      <w:r>
        <w:rPr>
          <w:rFonts w:hint="eastAsia" w:ascii="宋体" w:hAnsi="宋体"/>
          <w:kern w:val="44"/>
        </w:rPr>
        <w:t>　北京市邮政管理局是本市邮票和集邮品管理工作的行政主管部门。工商行政、公安、海关等行政管理部门，按照各自的职责依法对邮票、集邮品和集邮活动进行管理。</w:t>
      </w:r>
    </w:p>
    <w:p w14:paraId="4B71A7FD">
      <w:pPr>
        <w:ind w:firstLine="422"/>
        <w:jc w:val="left"/>
        <w:rPr>
          <w:rFonts w:ascii="宋体" w:hAnsi="宋体"/>
          <w:kern w:val="44"/>
        </w:rPr>
      </w:pPr>
      <w:r>
        <w:rPr>
          <w:rFonts w:hint="eastAsia" w:ascii="宋体" w:hAnsi="宋体"/>
          <w:b/>
          <w:kern w:val="44"/>
        </w:rPr>
        <w:t>第五条</w:t>
      </w:r>
      <w:r>
        <w:rPr>
          <w:rFonts w:hint="eastAsia" w:ascii="宋体" w:hAnsi="宋体"/>
          <w:kern w:val="44"/>
        </w:rPr>
        <w:t>　任何单位或者个人不得伪造邮票。</w:t>
      </w:r>
    </w:p>
    <w:p w14:paraId="033F1B90">
      <w:pPr>
        <w:ind w:firstLine="422"/>
        <w:jc w:val="left"/>
        <w:rPr>
          <w:rFonts w:ascii="宋体" w:hAnsi="宋体"/>
          <w:kern w:val="44"/>
        </w:rPr>
      </w:pPr>
      <w:r>
        <w:rPr>
          <w:rFonts w:hint="eastAsia" w:ascii="宋体" w:hAnsi="宋体"/>
          <w:b/>
          <w:kern w:val="44"/>
        </w:rPr>
        <w:t>第六条</w:t>
      </w:r>
      <w:r>
        <w:rPr>
          <w:rFonts w:hint="eastAsia" w:ascii="宋体" w:hAnsi="宋体"/>
          <w:kern w:val="44"/>
        </w:rPr>
        <w:t>　普通邮票和在国家规定发售期限内的纪念邮票、特种邮票必须由邮政企业及其所属分支机构和邮政企业委托的代办机构、个人经营。</w:t>
      </w:r>
    </w:p>
    <w:p w14:paraId="4C10EC45">
      <w:pPr>
        <w:ind w:firstLine="422"/>
        <w:jc w:val="left"/>
        <w:rPr>
          <w:rFonts w:ascii="宋体" w:hAnsi="宋体"/>
          <w:kern w:val="44"/>
        </w:rPr>
      </w:pPr>
      <w:r>
        <w:rPr>
          <w:rFonts w:hint="eastAsia" w:ascii="宋体" w:hAnsi="宋体"/>
          <w:b/>
          <w:kern w:val="44"/>
        </w:rPr>
        <w:t>第七条</w:t>
      </w:r>
      <w:r>
        <w:rPr>
          <w:rFonts w:hint="eastAsia" w:ascii="宋体" w:hAnsi="宋体"/>
          <w:kern w:val="44"/>
        </w:rPr>
        <w:t>　义务兵专用邮票由国家统一印制发行，供义务兵交寄国内信件使用。</w:t>
      </w:r>
    </w:p>
    <w:p w14:paraId="4245B099">
      <w:pPr>
        <w:jc w:val="left"/>
        <w:rPr>
          <w:rFonts w:ascii="宋体" w:hAnsi="宋体"/>
          <w:kern w:val="44"/>
        </w:rPr>
      </w:pPr>
      <w:r>
        <w:rPr>
          <w:rFonts w:hint="eastAsia" w:ascii="宋体" w:hAnsi="宋体"/>
          <w:kern w:val="44"/>
        </w:rPr>
        <w:t>任何单位或者个人不得经营义务兵专用邮票。</w:t>
      </w:r>
    </w:p>
    <w:p w14:paraId="206198CC">
      <w:pPr>
        <w:ind w:firstLine="422"/>
        <w:jc w:val="left"/>
        <w:rPr>
          <w:rFonts w:ascii="宋体" w:hAnsi="宋体"/>
          <w:kern w:val="44"/>
        </w:rPr>
      </w:pPr>
      <w:r>
        <w:rPr>
          <w:rFonts w:hint="eastAsia" w:ascii="宋体" w:hAnsi="宋体"/>
          <w:b/>
          <w:kern w:val="44"/>
        </w:rPr>
        <w:t>第八条</w:t>
      </w:r>
      <w:r>
        <w:rPr>
          <w:rFonts w:hint="eastAsia" w:ascii="宋体" w:hAnsi="宋体"/>
          <w:kern w:val="44"/>
        </w:rPr>
        <w:t>　邮政企业及其所属分支机构和邮政企业委托的代办机构、个人，必须按照国家规定的邮票发售期限和邮票面值或者规定售价出售邮票。</w:t>
      </w:r>
    </w:p>
    <w:p w14:paraId="2F0A81B1">
      <w:pPr>
        <w:ind w:firstLine="422"/>
        <w:jc w:val="left"/>
        <w:rPr>
          <w:rFonts w:ascii="宋体" w:hAnsi="宋体"/>
          <w:kern w:val="44"/>
        </w:rPr>
      </w:pPr>
      <w:r>
        <w:rPr>
          <w:rFonts w:hint="eastAsia" w:ascii="宋体" w:hAnsi="宋体"/>
          <w:b/>
          <w:kern w:val="44"/>
        </w:rPr>
        <w:t>第九条</w:t>
      </w:r>
      <w:r>
        <w:rPr>
          <w:rFonts w:hint="eastAsia" w:ascii="宋体" w:hAnsi="宋体"/>
          <w:kern w:val="44"/>
        </w:rPr>
        <w:t>　因工作需要或者出版物内容需要而仿印邮票图案或者印制与邮票相似印件的，必须报市邮政主管部门审查批准。</w:t>
      </w:r>
    </w:p>
    <w:p w14:paraId="3B486B70">
      <w:pPr>
        <w:jc w:val="left"/>
        <w:rPr>
          <w:rFonts w:ascii="宋体" w:hAnsi="宋体"/>
          <w:kern w:val="44"/>
        </w:rPr>
      </w:pPr>
      <w:r>
        <w:rPr>
          <w:rFonts w:hint="eastAsia" w:ascii="宋体" w:hAnsi="宋体"/>
          <w:kern w:val="44"/>
        </w:rPr>
        <w:t>任何单位或者个人不得擅自仿印邮票图案或者印制与邮票相似的印件。</w:t>
      </w:r>
    </w:p>
    <w:p w14:paraId="72B016E6">
      <w:pPr>
        <w:ind w:firstLine="422"/>
        <w:jc w:val="left"/>
        <w:rPr>
          <w:rFonts w:ascii="宋体" w:hAnsi="宋体"/>
          <w:kern w:val="44"/>
        </w:rPr>
      </w:pPr>
      <w:r>
        <w:rPr>
          <w:rFonts w:hint="eastAsia" w:ascii="宋体" w:hAnsi="宋体"/>
          <w:b/>
          <w:kern w:val="44"/>
        </w:rPr>
        <w:t>第十条</w:t>
      </w:r>
      <w:r>
        <w:rPr>
          <w:rFonts w:hint="eastAsia" w:ascii="宋体" w:hAnsi="宋体"/>
          <w:kern w:val="44"/>
        </w:rPr>
        <w:t>　有“中国人民邮政”或者“中国邮政”字样的明信片，必须由市邮政主管部门批准的邮政企业统一印制和发行。</w:t>
      </w:r>
    </w:p>
    <w:p w14:paraId="0A7634C3">
      <w:pPr>
        <w:ind w:firstLine="422"/>
        <w:jc w:val="left"/>
        <w:rPr>
          <w:rFonts w:ascii="宋体" w:hAnsi="宋体"/>
          <w:kern w:val="44"/>
        </w:rPr>
      </w:pPr>
      <w:r>
        <w:rPr>
          <w:rFonts w:hint="eastAsia" w:ascii="宋体" w:hAnsi="宋体"/>
          <w:b/>
          <w:kern w:val="44"/>
        </w:rPr>
        <w:t>第十一条</w:t>
      </w:r>
      <w:r>
        <w:rPr>
          <w:rFonts w:hint="eastAsia" w:ascii="宋体" w:hAnsi="宋体"/>
          <w:kern w:val="44"/>
        </w:rPr>
        <w:t>　凡需从事集邮品经营的单位和个人，应当按照国家和本市的有关规定，向工商行政管理部门办理注册登记，领取营业执照，并向市邮政主管部门备案。</w:t>
      </w:r>
    </w:p>
    <w:p w14:paraId="47FD0FEE">
      <w:pPr>
        <w:jc w:val="left"/>
        <w:rPr>
          <w:rFonts w:ascii="宋体" w:hAnsi="宋体"/>
          <w:kern w:val="44"/>
        </w:rPr>
      </w:pPr>
      <w:r>
        <w:rPr>
          <w:rFonts w:hint="eastAsia" w:ascii="宋体" w:hAnsi="宋体"/>
          <w:kern w:val="44"/>
        </w:rPr>
        <w:t>经营收购、委托寄集邮品业务的单位和个人，应当向营业所在地的公安机关办理备案手续。</w:t>
      </w:r>
    </w:p>
    <w:p w14:paraId="64636456">
      <w:pPr>
        <w:ind w:firstLine="422"/>
        <w:jc w:val="left"/>
        <w:rPr>
          <w:rFonts w:ascii="宋体" w:hAnsi="宋体"/>
          <w:kern w:val="44"/>
        </w:rPr>
      </w:pPr>
      <w:r>
        <w:rPr>
          <w:rFonts w:hint="eastAsia" w:ascii="宋体" w:hAnsi="宋体"/>
          <w:b/>
          <w:kern w:val="44"/>
        </w:rPr>
        <w:t>第十二条</w:t>
      </w:r>
      <w:r>
        <w:rPr>
          <w:rFonts w:hint="eastAsia" w:ascii="宋体" w:hAnsi="宋体"/>
          <w:kern w:val="44"/>
        </w:rPr>
        <w:t>　经营集邮品的单位和个人不得从事下列活动：</w:t>
      </w:r>
    </w:p>
    <w:p w14:paraId="352F144D">
      <w:pPr>
        <w:jc w:val="left"/>
        <w:rPr>
          <w:rFonts w:ascii="宋体" w:hAnsi="宋体"/>
          <w:kern w:val="44"/>
        </w:rPr>
      </w:pPr>
      <w:r>
        <w:rPr>
          <w:rFonts w:hint="eastAsia" w:ascii="宋体" w:hAnsi="宋体"/>
          <w:kern w:val="44"/>
        </w:rPr>
        <w:t>（一）经营普通邮票和尚在国家规定发售期限内的纪念邮票、特种邮票；</w:t>
      </w:r>
    </w:p>
    <w:p w14:paraId="291C38DC">
      <w:pPr>
        <w:jc w:val="left"/>
        <w:rPr>
          <w:rFonts w:ascii="宋体" w:hAnsi="宋体"/>
          <w:kern w:val="44"/>
        </w:rPr>
      </w:pPr>
      <w:r>
        <w:rPr>
          <w:rFonts w:hint="eastAsia" w:ascii="宋体" w:hAnsi="宋体"/>
          <w:kern w:val="44"/>
        </w:rPr>
        <w:t>（二）经营伪造或者变造的集邮品；</w:t>
      </w:r>
    </w:p>
    <w:p w14:paraId="7A423749">
      <w:pPr>
        <w:jc w:val="left"/>
        <w:rPr>
          <w:rFonts w:ascii="宋体" w:hAnsi="宋体"/>
          <w:kern w:val="44"/>
        </w:rPr>
      </w:pPr>
      <w:r>
        <w:rPr>
          <w:rFonts w:hint="eastAsia" w:ascii="宋体" w:hAnsi="宋体"/>
          <w:kern w:val="44"/>
        </w:rPr>
        <w:t>（三）经营国家禁止流通的集邮品；</w:t>
      </w:r>
    </w:p>
    <w:p w14:paraId="04E4C687">
      <w:pPr>
        <w:jc w:val="left"/>
        <w:rPr>
          <w:rFonts w:ascii="宋体" w:hAnsi="宋体"/>
          <w:kern w:val="44"/>
        </w:rPr>
      </w:pPr>
      <w:r>
        <w:rPr>
          <w:rFonts w:hint="eastAsia" w:ascii="宋体" w:hAnsi="宋体"/>
          <w:kern w:val="44"/>
        </w:rPr>
        <w:t>（四）在非集邮品交易场所进行集邮品交易。</w:t>
      </w:r>
    </w:p>
    <w:p w14:paraId="79C2A40A">
      <w:pPr>
        <w:ind w:firstLine="422"/>
        <w:jc w:val="left"/>
        <w:rPr>
          <w:rFonts w:ascii="宋体" w:hAnsi="宋体"/>
          <w:kern w:val="44"/>
        </w:rPr>
      </w:pPr>
      <w:r>
        <w:rPr>
          <w:rFonts w:hint="eastAsia" w:ascii="宋体" w:hAnsi="宋体"/>
          <w:b/>
          <w:kern w:val="44"/>
        </w:rPr>
        <w:t>第十三条</w:t>
      </w:r>
      <w:r>
        <w:rPr>
          <w:rFonts w:hint="eastAsia" w:ascii="宋体" w:hAnsi="宋体"/>
          <w:kern w:val="44"/>
        </w:rPr>
        <w:t>　开办集邮品交易市场的单位，应当向工商行政管理部门办理登记后，按照国家有关规定办理相关手续。</w:t>
      </w:r>
    </w:p>
    <w:p w14:paraId="1D02D73F">
      <w:pPr>
        <w:ind w:firstLine="422"/>
        <w:jc w:val="left"/>
        <w:rPr>
          <w:rFonts w:ascii="宋体" w:hAnsi="宋体"/>
          <w:kern w:val="44"/>
        </w:rPr>
      </w:pPr>
      <w:r>
        <w:rPr>
          <w:rFonts w:hint="eastAsia" w:ascii="宋体" w:hAnsi="宋体"/>
          <w:b/>
          <w:kern w:val="44"/>
        </w:rPr>
        <w:t>第十四条</w:t>
      </w:r>
      <w:r>
        <w:rPr>
          <w:rFonts w:hint="eastAsia" w:ascii="宋体" w:hAnsi="宋体"/>
          <w:kern w:val="44"/>
        </w:rPr>
        <w:t>　市邮政主管部门对下列行为视情节轻重给予处罚：</w:t>
      </w:r>
    </w:p>
    <w:p w14:paraId="00BB8BB6">
      <w:pPr>
        <w:jc w:val="left"/>
        <w:rPr>
          <w:rFonts w:ascii="宋体" w:hAnsi="宋体"/>
          <w:kern w:val="44"/>
        </w:rPr>
      </w:pPr>
      <w:r>
        <w:rPr>
          <w:rFonts w:hint="eastAsia" w:ascii="宋体" w:hAnsi="宋体"/>
          <w:kern w:val="44"/>
        </w:rPr>
        <w:t>（一）违反本办法第六条的规定，经营普通邮票和在国家规定发售期限内的纪念邮票、特种邮票的，给予警告，并可处以200元以上1000元以下罚款；</w:t>
      </w:r>
    </w:p>
    <w:p w14:paraId="27AB4B24">
      <w:pPr>
        <w:jc w:val="left"/>
        <w:rPr>
          <w:rFonts w:ascii="宋体" w:hAnsi="宋体"/>
          <w:kern w:val="44"/>
        </w:rPr>
      </w:pPr>
      <w:r>
        <w:rPr>
          <w:rFonts w:hint="eastAsia" w:ascii="宋体" w:hAnsi="宋体"/>
          <w:kern w:val="44"/>
        </w:rPr>
        <w:t>（二）未按照规定的发售日期、邮票面值或者规定售价出售邮票的，给予警告，并可处以1000元以上5000元以下罚款；</w:t>
      </w:r>
    </w:p>
    <w:p w14:paraId="6735EF1E">
      <w:pPr>
        <w:jc w:val="left"/>
        <w:rPr>
          <w:rFonts w:ascii="宋体" w:hAnsi="宋体"/>
          <w:kern w:val="44"/>
        </w:rPr>
      </w:pPr>
      <w:r>
        <w:rPr>
          <w:rFonts w:hint="eastAsia" w:ascii="宋体" w:hAnsi="宋体"/>
          <w:kern w:val="44"/>
        </w:rPr>
        <w:t>（三）违反本办法第五条、第九条、第十条规定的，没收非法物品和违法所得，并处以500O元以下罚款；</w:t>
      </w:r>
    </w:p>
    <w:p w14:paraId="1F3571C6">
      <w:pPr>
        <w:ind w:firstLine="422"/>
        <w:jc w:val="left"/>
        <w:rPr>
          <w:rFonts w:ascii="宋体" w:hAnsi="宋体"/>
          <w:kern w:val="44"/>
        </w:rPr>
      </w:pPr>
      <w:r>
        <w:rPr>
          <w:rFonts w:hint="eastAsia" w:ascii="宋体" w:hAnsi="宋体"/>
          <w:b/>
          <w:kern w:val="44"/>
        </w:rPr>
        <w:t>第十五条</w:t>
      </w:r>
      <w:r>
        <w:rPr>
          <w:rFonts w:hint="eastAsia" w:ascii="宋体" w:hAnsi="宋体"/>
          <w:kern w:val="44"/>
        </w:rPr>
        <w:t>　邮政管理部门的工作人员滥用职权、玩忽职守、徇私舞弊的，由所在单位或者上级主管部门给予行政处分；构成犯罪的，依法追究刑事责任。</w:t>
      </w:r>
    </w:p>
    <w:p w14:paraId="31F56019">
      <w:pPr>
        <w:ind w:firstLine="422"/>
        <w:jc w:val="left"/>
        <w:rPr>
          <w:rFonts w:ascii="宋体" w:hAnsi="宋体"/>
          <w:kern w:val="44"/>
        </w:rPr>
      </w:pPr>
      <w:r>
        <w:rPr>
          <w:rFonts w:hint="eastAsia" w:ascii="宋体" w:hAnsi="宋体"/>
          <w:b/>
          <w:kern w:val="44"/>
        </w:rPr>
        <w:t>第十六条</w:t>
      </w:r>
      <w:r>
        <w:rPr>
          <w:rFonts w:hint="eastAsia" w:ascii="宋体" w:hAnsi="宋体"/>
          <w:kern w:val="44"/>
        </w:rPr>
        <w:t>　本办法自1996年10月1日起施行。</w:t>
      </w:r>
    </w:p>
    <w:p w14:paraId="62DF2FB0">
      <w:pPr>
        <w:pStyle w:val="4"/>
        <w:pageBreakBefore/>
        <w:rPr>
          <w:kern w:val="44"/>
        </w:rPr>
      </w:pPr>
      <w:bookmarkStart w:id="700" w:name="_Toc428780065"/>
      <w:bookmarkStart w:id="701" w:name="_Toc427651841"/>
      <w:bookmarkStart w:id="702" w:name="_Toc422471200"/>
      <w:bookmarkStart w:id="703" w:name="_Toc428781547"/>
      <w:bookmarkStart w:id="704" w:name="_Toc427651499"/>
      <w:r>
        <w:rPr>
          <w:rFonts w:hint="eastAsia"/>
          <w:kern w:val="44"/>
        </w:rPr>
        <w:t>北京市政务与公共服务信息化</w:t>
      </w:r>
      <w:bookmarkEnd w:id="700"/>
      <w:bookmarkEnd w:id="701"/>
      <w:bookmarkEnd w:id="702"/>
      <w:bookmarkEnd w:id="703"/>
      <w:bookmarkEnd w:id="704"/>
    </w:p>
    <w:p w14:paraId="42D4062B">
      <w:pPr>
        <w:pStyle w:val="4"/>
        <w:rPr>
          <w:kern w:val="44"/>
        </w:rPr>
      </w:pPr>
      <w:bookmarkStart w:id="705" w:name="_Toc427651842"/>
      <w:bookmarkStart w:id="706" w:name="_Toc428780066"/>
      <w:bookmarkStart w:id="707" w:name="_Toc428781548"/>
      <w:bookmarkStart w:id="708" w:name="_Toc427651500"/>
      <w:bookmarkStart w:id="709" w:name="_Toc422471201"/>
      <w:r>
        <w:rPr>
          <w:rFonts w:hint="eastAsia"/>
          <w:kern w:val="44"/>
        </w:rPr>
        <w:t>工程建设管理办法</w:t>
      </w:r>
      <w:bookmarkEnd w:id="705"/>
      <w:bookmarkEnd w:id="706"/>
      <w:bookmarkEnd w:id="707"/>
      <w:bookmarkEnd w:id="708"/>
      <w:bookmarkEnd w:id="709"/>
    </w:p>
    <w:p w14:paraId="3D4E5693">
      <w:pPr>
        <w:ind w:left="630" w:leftChars="300" w:right="630" w:rightChars="300"/>
        <w:jc w:val="left"/>
        <w:rPr>
          <w:rFonts w:ascii="楷体" w:hAnsi="楷体" w:eastAsia="楷体"/>
          <w:kern w:val="44"/>
        </w:rPr>
      </w:pPr>
      <w:r>
        <w:rPr>
          <w:rFonts w:hint="eastAsia" w:ascii="楷体" w:hAnsi="楷体" w:eastAsia="楷体"/>
          <w:kern w:val="44"/>
        </w:rPr>
        <w:t>（2000年12月28日北京市人民政府第67号令发布　根据2014年7月9日北京市人民政府第259号令修改 ）</w:t>
      </w:r>
    </w:p>
    <w:p w14:paraId="1EFBC081">
      <w:pPr>
        <w:jc w:val="left"/>
        <w:rPr>
          <w:rFonts w:ascii="宋体" w:hAnsi="宋体"/>
          <w:kern w:val="44"/>
        </w:rPr>
      </w:pPr>
    </w:p>
    <w:p w14:paraId="7D03D8BA">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为了加强对本市信息化工程建设的管理，提高工程建设的技术水平，依据《中华人民共和国电信条例》和其他有关规定，结合本市实际情况，制定本办法。</w:t>
      </w:r>
    </w:p>
    <w:p w14:paraId="661E8FF8">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本市行政区域内各级财政投资建设的政务信息化工程和政府为社会提供公共服务的信息化工程，均适用本办法。但隶属中央和军事系统的信息化工程除外。</w:t>
      </w:r>
    </w:p>
    <w:p w14:paraId="26AC6F9F">
      <w:pPr>
        <w:jc w:val="left"/>
        <w:rPr>
          <w:rFonts w:ascii="宋体" w:hAnsi="宋体"/>
          <w:kern w:val="44"/>
        </w:rPr>
      </w:pPr>
      <w:r>
        <w:rPr>
          <w:rFonts w:hint="eastAsia" w:ascii="宋体" w:hAnsi="宋体"/>
          <w:kern w:val="44"/>
        </w:rPr>
        <w:t>本办法所称信息化工程，是指以计算机、通信、广播电视以及其他现代信息技术为主要手段的信息网络建设、信息应用系统建设和信息资源开发等相关工程。</w:t>
      </w:r>
    </w:p>
    <w:p w14:paraId="7DFE9934">
      <w:pPr>
        <w:ind w:firstLine="422"/>
        <w:jc w:val="left"/>
        <w:rPr>
          <w:rFonts w:ascii="宋体" w:hAnsi="宋体"/>
          <w:kern w:val="44"/>
        </w:rPr>
      </w:pPr>
      <w:r>
        <w:rPr>
          <w:rFonts w:hint="eastAsia" w:ascii="宋体" w:hAnsi="宋体"/>
          <w:b/>
          <w:kern w:val="44"/>
        </w:rPr>
        <w:t>第三条</w:t>
      </w:r>
      <w:r>
        <w:rPr>
          <w:rFonts w:hint="eastAsia" w:ascii="宋体" w:hAnsi="宋体"/>
          <w:kern w:val="44"/>
        </w:rPr>
        <w:t>　市经济和信息化行政部门是本市信息化工作的主管部门，负责信息化工程建设的统筹规划、综合协调和监督管理。</w:t>
      </w:r>
    </w:p>
    <w:p w14:paraId="7C35E277">
      <w:pPr>
        <w:jc w:val="left"/>
        <w:rPr>
          <w:rFonts w:ascii="宋体" w:hAnsi="宋体"/>
          <w:kern w:val="44"/>
        </w:rPr>
      </w:pPr>
      <w:r>
        <w:rPr>
          <w:rFonts w:hint="eastAsia" w:ascii="宋体" w:hAnsi="宋体"/>
          <w:kern w:val="44"/>
        </w:rPr>
        <w:t>各区、县人民政府主管信息化工作的部门负责本区、县信息化工程建设的管理工作。</w:t>
      </w:r>
    </w:p>
    <w:p w14:paraId="2F169ED0">
      <w:pPr>
        <w:jc w:val="left"/>
        <w:rPr>
          <w:rFonts w:ascii="宋体" w:hAnsi="宋体"/>
          <w:kern w:val="44"/>
        </w:rPr>
      </w:pPr>
      <w:r>
        <w:rPr>
          <w:rFonts w:hint="eastAsia" w:ascii="宋体" w:hAnsi="宋体"/>
          <w:kern w:val="44"/>
        </w:rPr>
        <w:t>市和区、县有关部门按照各自的职责，对信息化工程建设进行相关的监督管理。</w:t>
      </w:r>
    </w:p>
    <w:p w14:paraId="79EDABD6">
      <w:pPr>
        <w:ind w:firstLine="422"/>
        <w:jc w:val="left"/>
        <w:rPr>
          <w:rFonts w:ascii="宋体" w:hAnsi="宋体"/>
          <w:kern w:val="44"/>
        </w:rPr>
      </w:pPr>
      <w:r>
        <w:rPr>
          <w:rFonts w:hint="eastAsia" w:ascii="宋体" w:hAnsi="宋体"/>
          <w:b/>
          <w:kern w:val="44"/>
        </w:rPr>
        <w:t>第四条</w:t>
      </w:r>
      <w:r>
        <w:rPr>
          <w:rFonts w:hint="eastAsia" w:ascii="宋体" w:hAnsi="宋体"/>
          <w:kern w:val="44"/>
        </w:rPr>
        <w:t>　本市信息化工程建设应当遵循统筹规划、互联互通、资源共享和安全保密的原则，防止盲目投资和重复建设。</w:t>
      </w:r>
    </w:p>
    <w:p w14:paraId="38E77C3E">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市和区、县人民政府应当将信息化基础设施建设纳入本市城市建设总体规划和村镇、集镇建设总体规划。本市城市公共信息基础设施中的管道建设，应当统一规划、建设和管理。</w:t>
      </w:r>
    </w:p>
    <w:p w14:paraId="7FD5FF94">
      <w:pPr>
        <w:ind w:firstLine="422"/>
        <w:jc w:val="left"/>
        <w:rPr>
          <w:rFonts w:ascii="宋体" w:hAnsi="宋体"/>
          <w:kern w:val="44"/>
        </w:rPr>
      </w:pPr>
      <w:r>
        <w:rPr>
          <w:rFonts w:hint="eastAsia" w:ascii="宋体" w:hAnsi="宋体"/>
          <w:b/>
          <w:kern w:val="44"/>
        </w:rPr>
        <w:t>第六条</w:t>
      </w:r>
      <w:r>
        <w:rPr>
          <w:rFonts w:hint="eastAsia" w:ascii="宋体" w:hAnsi="宋体"/>
          <w:kern w:val="44"/>
        </w:rPr>
        <w:t>　本市信息化工程建设必须符合首都信息化发展规划。</w:t>
      </w:r>
    </w:p>
    <w:p w14:paraId="60BB5158">
      <w:pPr>
        <w:jc w:val="left"/>
        <w:rPr>
          <w:rFonts w:ascii="宋体" w:hAnsi="宋体"/>
          <w:kern w:val="44"/>
        </w:rPr>
      </w:pPr>
      <w:r>
        <w:rPr>
          <w:rFonts w:hint="eastAsia" w:ascii="宋体" w:hAnsi="宋体"/>
          <w:kern w:val="44"/>
        </w:rPr>
        <w:t>市经济和信息化行政部门会同市发展改革、财政以及其他相关主管部门制定本市信息化工程建设的年度计划，并组织监督执行。</w:t>
      </w:r>
    </w:p>
    <w:p w14:paraId="4F1BA34C">
      <w:pPr>
        <w:ind w:firstLine="422"/>
        <w:jc w:val="left"/>
        <w:rPr>
          <w:rFonts w:ascii="宋体" w:hAnsi="宋体"/>
          <w:kern w:val="44"/>
        </w:rPr>
      </w:pPr>
      <w:r>
        <w:rPr>
          <w:rFonts w:hint="eastAsia" w:ascii="宋体" w:hAnsi="宋体"/>
          <w:b/>
          <w:kern w:val="44"/>
        </w:rPr>
        <w:t>第七条</w:t>
      </w:r>
      <w:r>
        <w:rPr>
          <w:rFonts w:hint="eastAsia" w:ascii="宋体" w:hAnsi="宋体"/>
          <w:kern w:val="44"/>
        </w:rPr>
        <w:t>　投资200万元以上的重大信息化工程项目（以下简称重大项目），市发展改革以及其他主管部门在审批项目时，市财政主管部门在审批资金时，应当会同市经济和信息化行政部门共同审查。</w:t>
      </w:r>
    </w:p>
    <w:p w14:paraId="3B8D84FF">
      <w:pPr>
        <w:jc w:val="left"/>
        <w:rPr>
          <w:rFonts w:ascii="宋体" w:hAnsi="宋体"/>
          <w:kern w:val="44"/>
        </w:rPr>
      </w:pPr>
      <w:r>
        <w:rPr>
          <w:rFonts w:hint="eastAsia" w:ascii="宋体" w:hAnsi="宋体"/>
          <w:kern w:val="44"/>
        </w:rPr>
        <w:t>前款规定以外的信息化工程项目，建设单位应当在工程开工前将有关立项报告和设计方案，报市或者区、县经济和信息化行政部门备案。</w:t>
      </w:r>
    </w:p>
    <w:p w14:paraId="3E27B342">
      <w:pPr>
        <w:jc w:val="left"/>
        <w:rPr>
          <w:rFonts w:ascii="宋体" w:hAnsi="宋体"/>
          <w:kern w:val="44"/>
        </w:rPr>
      </w:pPr>
      <w:r>
        <w:rPr>
          <w:rFonts w:hint="eastAsia" w:ascii="宋体" w:hAnsi="宋体"/>
          <w:kern w:val="44"/>
        </w:rPr>
        <w:t>本条规定的审查、备案的具体程序或者办法，由市经济和信息化行政部门和市发展改革、财政等主管部门另行规定。</w:t>
      </w:r>
    </w:p>
    <w:p w14:paraId="2F0C6356">
      <w:pPr>
        <w:ind w:firstLine="422"/>
        <w:jc w:val="left"/>
        <w:rPr>
          <w:rFonts w:ascii="宋体" w:hAnsi="宋体"/>
          <w:kern w:val="44"/>
        </w:rPr>
      </w:pPr>
      <w:r>
        <w:rPr>
          <w:rFonts w:hint="eastAsia" w:ascii="宋体" w:hAnsi="宋体"/>
          <w:b/>
          <w:kern w:val="44"/>
        </w:rPr>
        <w:t>第八条</w:t>
      </w:r>
      <w:r>
        <w:rPr>
          <w:rFonts w:hint="eastAsia" w:ascii="宋体" w:hAnsi="宋体"/>
          <w:kern w:val="44"/>
        </w:rPr>
        <w:t>　市经济和信息化行政部门对重大项目的规划布局、安全保障体系、技术标准以及其他相关内容组织进行审查，并且在30日内作出是否合格的答复。</w:t>
      </w:r>
    </w:p>
    <w:p w14:paraId="1C9825BD">
      <w:pPr>
        <w:jc w:val="left"/>
        <w:rPr>
          <w:rFonts w:ascii="宋体" w:hAnsi="宋体"/>
          <w:kern w:val="44"/>
        </w:rPr>
      </w:pPr>
      <w:r>
        <w:rPr>
          <w:rFonts w:hint="eastAsia" w:ascii="宋体" w:hAnsi="宋体"/>
          <w:kern w:val="44"/>
        </w:rPr>
        <w:t>对审查不合格的，有关主管部门不予批准立项；属于财政投资的，财政部门不予拨款。</w:t>
      </w:r>
    </w:p>
    <w:p w14:paraId="5559F424">
      <w:pPr>
        <w:ind w:firstLine="422"/>
        <w:jc w:val="left"/>
        <w:rPr>
          <w:rFonts w:ascii="宋体" w:hAnsi="宋体"/>
          <w:kern w:val="44"/>
        </w:rPr>
      </w:pPr>
      <w:r>
        <w:rPr>
          <w:rFonts w:hint="eastAsia" w:ascii="宋体" w:hAnsi="宋体"/>
          <w:b/>
          <w:kern w:val="44"/>
        </w:rPr>
        <w:t>第九条</w:t>
      </w:r>
      <w:r>
        <w:rPr>
          <w:rFonts w:hint="eastAsia" w:ascii="宋体" w:hAnsi="宋体"/>
          <w:kern w:val="44"/>
        </w:rPr>
        <w:t>　信息化工程建设，应当依法进行招标、投标。</w:t>
      </w:r>
    </w:p>
    <w:p w14:paraId="7E1C99AC">
      <w:pPr>
        <w:ind w:firstLine="422"/>
        <w:jc w:val="left"/>
        <w:rPr>
          <w:rFonts w:ascii="宋体" w:hAnsi="宋体"/>
          <w:kern w:val="44"/>
        </w:rPr>
      </w:pPr>
      <w:r>
        <w:rPr>
          <w:rFonts w:hint="eastAsia" w:ascii="宋体" w:hAnsi="宋体"/>
          <w:b/>
          <w:kern w:val="44"/>
        </w:rPr>
        <w:t>第十条</w:t>
      </w:r>
      <w:r>
        <w:rPr>
          <w:rFonts w:hint="eastAsia" w:ascii="宋体" w:hAnsi="宋体"/>
          <w:kern w:val="44"/>
        </w:rPr>
        <w:t>　建设单位不得将信息化工程项目发包给不具备相关资质等级的单位。</w:t>
      </w:r>
    </w:p>
    <w:p w14:paraId="31E80428">
      <w:pPr>
        <w:ind w:firstLine="422"/>
        <w:jc w:val="left"/>
        <w:rPr>
          <w:rFonts w:ascii="宋体" w:hAnsi="宋体"/>
          <w:kern w:val="44"/>
        </w:rPr>
      </w:pPr>
      <w:r>
        <w:rPr>
          <w:rFonts w:hint="eastAsia" w:ascii="宋体" w:hAnsi="宋体"/>
          <w:b/>
          <w:kern w:val="44"/>
        </w:rPr>
        <w:t>第十一条</w:t>
      </w:r>
      <w:r>
        <w:rPr>
          <w:rFonts w:hint="eastAsia" w:ascii="宋体" w:hAnsi="宋体"/>
          <w:kern w:val="44"/>
        </w:rPr>
        <w:t>　从事信息化工程设计、开发、实施、服务的单位，应当执行有关的国家标准、行业标准和本市地方标准。</w:t>
      </w:r>
    </w:p>
    <w:p w14:paraId="0CE7666E">
      <w:pPr>
        <w:ind w:firstLine="422"/>
        <w:jc w:val="left"/>
        <w:rPr>
          <w:rFonts w:ascii="宋体" w:hAnsi="宋体"/>
          <w:kern w:val="44"/>
        </w:rPr>
      </w:pPr>
      <w:r>
        <w:rPr>
          <w:rFonts w:hint="eastAsia" w:ascii="宋体" w:hAnsi="宋体"/>
          <w:b/>
          <w:kern w:val="44"/>
        </w:rPr>
        <w:t>第十二条</w:t>
      </w:r>
      <w:r>
        <w:rPr>
          <w:rFonts w:hint="eastAsia" w:ascii="宋体" w:hAnsi="宋体"/>
          <w:kern w:val="44"/>
        </w:rPr>
        <w:t>　在进行信息化工程建设时，应当同时进行安全系统的方案设计和建设。安全系统的方案设计和建设应当能够满足信息系统安全运行的需要，并保证有相应的投入。</w:t>
      </w:r>
    </w:p>
    <w:p w14:paraId="08E9C651">
      <w:pPr>
        <w:jc w:val="left"/>
        <w:rPr>
          <w:rFonts w:ascii="宋体" w:hAnsi="宋体"/>
          <w:kern w:val="44"/>
        </w:rPr>
      </w:pPr>
      <w:r>
        <w:rPr>
          <w:rFonts w:hint="eastAsia" w:ascii="宋体" w:hAnsi="宋体"/>
          <w:kern w:val="44"/>
        </w:rPr>
        <w:t>信息化工程的设计方案、使用的产品、验收以及相关服务，应当执行信息系统安全的相关标准。</w:t>
      </w:r>
    </w:p>
    <w:p w14:paraId="180D1C2C">
      <w:pPr>
        <w:jc w:val="left"/>
        <w:rPr>
          <w:rFonts w:ascii="宋体" w:hAnsi="宋体"/>
          <w:kern w:val="44"/>
        </w:rPr>
      </w:pPr>
      <w:r>
        <w:rPr>
          <w:rFonts w:hint="eastAsia" w:ascii="宋体" w:hAnsi="宋体"/>
          <w:kern w:val="44"/>
        </w:rPr>
        <w:t>重大项目应当通过信息系统安全测评认证，未经测评认证的，不得投入运行。</w:t>
      </w:r>
    </w:p>
    <w:p w14:paraId="488435BA">
      <w:pPr>
        <w:ind w:firstLine="422"/>
        <w:jc w:val="left"/>
        <w:rPr>
          <w:rFonts w:ascii="宋体" w:hAnsi="宋体"/>
          <w:kern w:val="44"/>
        </w:rPr>
      </w:pPr>
      <w:r>
        <w:rPr>
          <w:rFonts w:hint="eastAsia" w:ascii="宋体" w:hAnsi="宋体"/>
          <w:b/>
          <w:kern w:val="44"/>
        </w:rPr>
        <w:t>第十三条</w:t>
      </w:r>
      <w:r>
        <w:rPr>
          <w:rFonts w:hint="eastAsia" w:ascii="宋体" w:hAnsi="宋体"/>
          <w:kern w:val="44"/>
        </w:rPr>
        <w:t>　重大项目的建设应当实行监理。</w:t>
      </w:r>
    </w:p>
    <w:p w14:paraId="123D23E2">
      <w:pPr>
        <w:jc w:val="left"/>
        <w:rPr>
          <w:rFonts w:ascii="宋体" w:hAnsi="宋体"/>
          <w:kern w:val="44"/>
        </w:rPr>
      </w:pPr>
      <w:r>
        <w:rPr>
          <w:rFonts w:hint="eastAsia" w:ascii="宋体" w:hAnsi="宋体"/>
          <w:kern w:val="44"/>
        </w:rPr>
        <w:t>市经济和信息化行政部门对重大项目的质量进行监督检查。</w:t>
      </w:r>
    </w:p>
    <w:p w14:paraId="654538EC">
      <w:pPr>
        <w:ind w:firstLine="422"/>
        <w:jc w:val="left"/>
        <w:rPr>
          <w:rFonts w:ascii="宋体" w:hAnsi="宋体"/>
          <w:kern w:val="44"/>
        </w:rPr>
      </w:pPr>
      <w:r>
        <w:rPr>
          <w:rFonts w:hint="eastAsia" w:ascii="宋体" w:hAnsi="宋体"/>
          <w:b/>
          <w:kern w:val="44"/>
        </w:rPr>
        <w:t>第十四条</w:t>
      </w:r>
      <w:r>
        <w:rPr>
          <w:rFonts w:hint="eastAsia" w:ascii="宋体" w:hAnsi="宋体"/>
          <w:kern w:val="44"/>
        </w:rPr>
        <w:t>　建设单位在组织重大项目的竣工验收时，应当有市经济和信息化行政部门参加。未经验收或者经验收不合格的重大项目，不得投入使用。</w:t>
      </w:r>
    </w:p>
    <w:p w14:paraId="38E69393">
      <w:pPr>
        <w:ind w:firstLine="422"/>
        <w:jc w:val="left"/>
        <w:rPr>
          <w:rFonts w:ascii="宋体" w:hAnsi="宋体"/>
          <w:kern w:val="44"/>
        </w:rPr>
      </w:pPr>
      <w:r>
        <w:rPr>
          <w:rFonts w:hint="eastAsia" w:ascii="宋体" w:hAnsi="宋体"/>
          <w:b/>
          <w:kern w:val="44"/>
        </w:rPr>
        <w:t>第十五条</w:t>
      </w:r>
      <w:r>
        <w:rPr>
          <w:rFonts w:hint="eastAsia" w:ascii="宋体" w:hAnsi="宋体"/>
          <w:kern w:val="44"/>
        </w:rPr>
        <w:t>　本市实行信息化工程质量保修制度。承揽信息化工程的单位应当与建设单位签订合同，对信息化工程履行保修责任。保修期自工程竣工验收合格之日起不得少于两年。</w:t>
      </w:r>
    </w:p>
    <w:p w14:paraId="26868254">
      <w:pPr>
        <w:ind w:firstLine="422"/>
        <w:jc w:val="left"/>
        <w:rPr>
          <w:rFonts w:ascii="宋体" w:hAnsi="宋体"/>
          <w:kern w:val="44"/>
        </w:rPr>
      </w:pPr>
      <w:r>
        <w:rPr>
          <w:rFonts w:hint="eastAsia" w:ascii="宋体" w:hAnsi="宋体"/>
          <w:b/>
          <w:kern w:val="44"/>
        </w:rPr>
        <w:t>第十六条</w:t>
      </w:r>
      <w:r>
        <w:rPr>
          <w:rFonts w:hint="eastAsia" w:ascii="宋体" w:hAnsi="宋体"/>
          <w:kern w:val="44"/>
        </w:rPr>
        <w:t>　建设单位违反本办法第七条第二款、第十条、第十二条、第十三条第一款和第十四条规定的，由市经济和信息化行政部门责令改正；情节严重并造成重大损失的，由其上级人民政府或者主管部门依照有关规定追究单位负责人和有关人员的行政责任。</w:t>
      </w:r>
    </w:p>
    <w:p w14:paraId="71F47E6B">
      <w:pPr>
        <w:ind w:firstLine="422"/>
        <w:jc w:val="left"/>
        <w:rPr>
          <w:rFonts w:ascii="宋体" w:hAnsi="宋体"/>
          <w:kern w:val="44"/>
        </w:rPr>
      </w:pPr>
      <w:r>
        <w:rPr>
          <w:rFonts w:hint="eastAsia" w:ascii="宋体" w:hAnsi="宋体"/>
          <w:b/>
          <w:kern w:val="44"/>
        </w:rPr>
        <w:t>第十七条</w:t>
      </w:r>
      <w:r>
        <w:rPr>
          <w:rFonts w:hint="eastAsia" w:ascii="宋体" w:hAnsi="宋体"/>
          <w:kern w:val="44"/>
        </w:rPr>
        <w:t>　承揽信息化工程的单位违反本办法第十一条、第十二条第一、二款和第十五条规定的，由市经济和信息化行政部门责令改正，予以警告；情节严重的，处以3万元以下的罚款；对造成损失的，有关责任单位应当依法承担赔偿责任。</w:t>
      </w:r>
    </w:p>
    <w:p w14:paraId="5AC06C9C">
      <w:pPr>
        <w:ind w:firstLine="422"/>
        <w:jc w:val="left"/>
        <w:rPr>
          <w:rFonts w:ascii="宋体" w:hAnsi="宋体"/>
          <w:kern w:val="44"/>
        </w:rPr>
      </w:pPr>
      <w:r>
        <w:rPr>
          <w:rFonts w:hint="eastAsia" w:ascii="宋体" w:hAnsi="宋体"/>
          <w:b/>
          <w:kern w:val="44"/>
        </w:rPr>
        <w:t>第十八条</w:t>
      </w:r>
      <w:r>
        <w:rPr>
          <w:rFonts w:hint="eastAsia" w:ascii="宋体" w:hAnsi="宋体"/>
          <w:kern w:val="44"/>
        </w:rPr>
        <w:t>　本办法自2001年1月1日起施行。</w:t>
      </w:r>
    </w:p>
    <w:p w14:paraId="12422721">
      <w:pPr>
        <w:pStyle w:val="4"/>
        <w:pageBreakBefore/>
        <w:rPr>
          <w:kern w:val="44"/>
        </w:rPr>
      </w:pPr>
      <w:bookmarkStart w:id="710" w:name="_Toc422471202"/>
      <w:bookmarkStart w:id="711" w:name="_Toc428780067"/>
      <w:bookmarkStart w:id="712" w:name="_Toc427651501"/>
      <w:bookmarkStart w:id="713" w:name="_Toc428781549"/>
      <w:bookmarkStart w:id="714" w:name="_Toc427651843"/>
      <w:r>
        <w:rPr>
          <w:rFonts w:hint="eastAsia"/>
          <w:kern w:val="44"/>
        </w:rPr>
        <w:t>北京市邮政通信设施建设</w:t>
      </w:r>
      <w:bookmarkEnd w:id="710"/>
      <w:bookmarkStart w:id="715" w:name="_Toc422471203"/>
      <w:r>
        <w:rPr>
          <w:rFonts w:hint="eastAsia"/>
          <w:kern w:val="44"/>
        </w:rPr>
        <w:t>与使用管理规定</w:t>
      </w:r>
      <w:bookmarkEnd w:id="711"/>
      <w:bookmarkEnd w:id="712"/>
      <w:bookmarkEnd w:id="713"/>
      <w:bookmarkEnd w:id="714"/>
      <w:bookmarkEnd w:id="715"/>
    </w:p>
    <w:p w14:paraId="410C9339">
      <w:pPr>
        <w:jc w:val="left"/>
        <w:rPr>
          <w:rFonts w:ascii="宋体" w:hAnsi="宋体"/>
          <w:kern w:val="44"/>
        </w:rPr>
      </w:pPr>
    </w:p>
    <w:p w14:paraId="3D61E925">
      <w:pPr>
        <w:ind w:left="630" w:leftChars="300" w:right="630" w:rightChars="300"/>
        <w:jc w:val="left"/>
        <w:rPr>
          <w:rFonts w:ascii="楷体" w:hAnsi="楷体" w:eastAsia="楷体"/>
          <w:kern w:val="44"/>
        </w:rPr>
      </w:pPr>
      <w:r>
        <w:rPr>
          <w:rFonts w:hint="eastAsia" w:ascii="楷体" w:hAnsi="楷体" w:eastAsia="楷体"/>
          <w:kern w:val="44"/>
        </w:rPr>
        <w:t>（2002年9月13日北京市人民政府第108号令公布  根据2007年11月23日北京市人民政府第200号令修改）</w:t>
      </w:r>
    </w:p>
    <w:p w14:paraId="77A5B97A">
      <w:pPr>
        <w:jc w:val="left"/>
        <w:rPr>
          <w:rFonts w:ascii="宋体" w:hAnsi="宋体"/>
          <w:kern w:val="44"/>
        </w:rPr>
      </w:pPr>
    </w:p>
    <w:p w14:paraId="2A336CCB">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为加强邮政通信设施建设与使用的管理，根据《北京市邮政通信条例》，结合本市实际情况，制定本规定。</w:t>
      </w:r>
    </w:p>
    <w:p w14:paraId="43C5FD23">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在本市行政区域内进行邮政通信设施的建设、使用、维护和管理，应当遵守本规定。</w:t>
      </w:r>
    </w:p>
    <w:p w14:paraId="5F933EC1">
      <w:pPr>
        <w:ind w:firstLine="422"/>
        <w:jc w:val="left"/>
        <w:rPr>
          <w:rFonts w:ascii="宋体" w:hAnsi="宋体"/>
          <w:kern w:val="44"/>
        </w:rPr>
      </w:pPr>
      <w:r>
        <w:rPr>
          <w:rFonts w:hint="eastAsia" w:ascii="宋体" w:hAnsi="宋体"/>
          <w:b/>
          <w:kern w:val="44"/>
        </w:rPr>
        <w:t>第三条</w:t>
      </w:r>
      <w:r>
        <w:rPr>
          <w:rFonts w:hint="eastAsia" w:ascii="宋体" w:hAnsi="宋体"/>
          <w:kern w:val="44"/>
        </w:rPr>
        <w:t>　北京市邮政管理局主管本市邮政通信设施建设与使用的管理工作，负责组织实施本规定。</w:t>
      </w:r>
    </w:p>
    <w:p w14:paraId="03C19F8F">
      <w:pPr>
        <w:jc w:val="left"/>
        <w:rPr>
          <w:rFonts w:ascii="宋体" w:hAnsi="宋体"/>
          <w:kern w:val="44"/>
        </w:rPr>
      </w:pPr>
      <w:r>
        <w:rPr>
          <w:rFonts w:hint="eastAsia" w:ascii="宋体" w:hAnsi="宋体"/>
          <w:kern w:val="44"/>
        </w:rPr>
        <w:t>有关行政主管部门应当按照各自职责，依法对邮政通信设施建设与使用的管理实施监督。</w:t>
      </w:r>
    </w:p>
    <w:p w14:paraId="4F678CA8">
      <w:pPr>
        <w:ind w:firstLine="422"/>
        <w:jc w:val="left"/>
        <w:rPr>
          <w:rFonts w:ascii="宋体" w:hAnsi="宋体"/>
          <w:kern w:val="44"/>
        </w:rPr>
      </w:pPr>
      <w:r>
        <w:rPr>
          <w:rFonts w:hint="eastAsia" w:ascii="宋体" w:hAnsi="宋体"/>
          <w:b/>
          <w:kern w:val="44"/>
        </w:rPr>
        <w:t>第四条</w:t>
      </w:r>
      <w:r>
        <w:rPr>
          <w:rFonts w:hint="eastAsia" w:ascii="宋体" w:hAnsi="宋体"/>
          <w:kern w:val="44"/>
        </w:rPr>
        <w:t>　邮件处理枢纽、仓储转运场站、邮政营业投递局（所）、邮政信筒等邮政通信设施属于城市基础设施，依法应当受到保护。</w:t>
      </w:r>
    </w:p>
    <w:p w14:paraId="2F26F73E">
      <w:pPr>
        <w:ind w:firstLine="422"/>
        <w:jc w:val="left"/>
        <w:rPr>
          <w:rFonts w:ascii="宋体" w:hAnsi="宋体"/>
          <w:kern w:val="44"/>
        </w:rPr>
      </w:pPr>
      <w:r>
        <w:rPr>
          <w:rFonts w:hint="eastAsia" w:ascii="宋体" w:hAnsi="宋体"/>
          <w:b/>
          <w:kern w:val="44"/>
        </w:rPr>
        <w:t>第五条</w:t>
      </w:r>
      <w:r>
        <w:rPr>
          <w:rFonts w:hint="eastAsia" w:ascii="宋体" w:hAnsi="宋体"/>
          <w:kern w:val="44"/>
        </w:rPr>
        <w:t>　邮政通信行政主管部门应当会同城市规划行政主管部门，组织编制并实施本市邮政通信设施专业规划和分期实施计划，实现邮政通信设施的合理布局。</w:t>
      </w:r>
    </w:p>
    <w:p w14:paraId="29867CB0">
      <w:pPr>
        <w:ind w:firstLine="422"/>
        <w:jc w:val="left"/>
        <w:rPr>
          <w:rFonts w:ascii="宋体" w:hAnsi="宋体"/>
          <w:kern w:val="44"/>
        </w:rPr>
      </w:pPr>
      <w:r>
        <w:rPr>
          <w:rFonts w:hint="eastAsia" w:ascii="宋体" w:hAnsi="宋体"/>
          <w:b/>
          <w:kern w:val="44"/>
        </w:rPr>
        <w:t>第六条</w:t>
      </w:r>
      <w:r>
        <w:rPr>
          <w:rFonts w:hint="eastAsia" w:ascii="宋体" w:hAnsi="宋体"/>
          <w:kern w:val="44"/>
        </w:rPr>
        <w:t>　新建、改建、扩建居住区的，建设单位应当按照本市规定的标准配套建设邮政通信设施，并接受邮政通信行政主管部门的监督。</w:t>
      </w:r>
    </w:p>
    <w:p w14:paraId="177B4C23">
      <w:pPr>
        <w:ind w:firstLine="422"/>
        <w:jc w:val="left"/>
        <w:rPr>
          <w:rFonts w:ascii="宋体" w:hAnsi="宋体"/>
          <w:kern w:val="44"/>
        </w:rPr>
      </w:pPr>
      <w:r>
        <w:rPr>
          <w:rFonts w:hint="eastAsia" w:ascii="宋体" w:hAnsi="宋体"/>
          <w:b/>
          <w:kern w:val="44"/>
        </w:rPr>
        <w:t>第七条</w:t>
      </w:r>
      <w:r>
        <w:rPr>
          <w:rFonts w:hint="eastAsia" w:ascii="宋体" w:hAnsi="宋体"/>
          <w:kern w:val="44"/>
        </w:rPr>
        <w:t>　新建、改建、扩建工业区、商业区、开发区、机场、车站的，应当按照邮政通信设施专业规划确定的服务半径和服务人口，配套建设相应规模的邮政通信设施。</w:t>
      </w:r>
    </w:p>
    <w:p w14:paraId="377AAC2F">
      <w:pPr>
        <w:ind w:firstLine="422"/>
        <w:jc w:val="left"/>
        <w:rPr>
          <w:rFonts w:ascii="宋体" w:hAnsi="宋体"/>
          <w:kern w:val="44"/>
        </w:rPr>
      </w:pPr>
      <w:r>
        <w:rPr>
          <w:rFonts w:hint="eastAsia" w:ascii="宋体" w:hAnsi="宋体"/>
          <w:b/>
          <w:kern w:val="44"/>
        </w:rPr>
        <w:t>第八条</w:t>
      </w:r>
      <w:r>
        <w:rPr>
          <w:rFonts w:hint="eastAsia" w:ascii="宋体" w:hAnsi="宋体"/>
          <w:kern w:val="44"/>
        </w:rPr>
        <w:t>　城市规划行政主管部门应当严格按照规定的邮政通信设施配套建设标准，审查公共建设项目和新建、改建、扩建居住区的规划设计方案。</w:t>
      </w:r>
    </w:p>
    <w:p w14:paraId="50E4CF69">
      <w:pPr>
        <w:jc w:val="left"/>
        <w:rPr>
          <w:rFonts w:ascii="宋体" w:hAnsi="宋体"/>
          <w:kern w:val="44"/>
        </w:rPr>
      </w:pPr>
      <w:r>
        <w:rPr>
          <w:rFonts w:hint="eastAsia" w:ascii="宋体" w:hAnsi="宋体"/>
          <w:kern w:val="44"/>
        </w:rPr>
        <w:t>经审查批准的规划设计方案，建设单位不得擅自变更；确需变更的，应当按照前款规定，重新报原审查机关审查批准后，方可变更。</w:t>
      </w:r>
    </w:p>
    <w:p w14:paraId="24214126">
      <w:pPr>
        <w:ind w:firstLine="422"/>
        <w:jc w:val="left"/>
        <w:rPr>
          <w:rFonts w:ascii="宋体" w:hAnsi="宋体"/>
          <w:kern w:val="44"/>
        </w:rPr>
      </w:pPr>
      <w:r>
        <w:rPr>
          <w:rFonts w:hint="eastAsia" w:ascii="宋体" w:hAnsi="宋体"/>
          <w:b/>
          <w:kern w:val="44"/>
        </w:rPr>
        <w:t>第九条</w:t>
      </w:r>
      <w:r>
        <w:rPr>
          <w:rFonts w:hint="eastAsia" w:ascii="宋体" w:hAnsi="宋体"/>
          <w:kern w:val="44"/>
        </w:rPr>
        <w:t>　按照规定应当配套建设邮政通信设施，但因客观条件的限制确实不能配套建设的，应当在征得城市规划行政主管部门和邮政通信行政主管部门同意后，在规定期限内就近补建具有相同使用效能的邮政通信设施，长期不予补建的，由责任单位承担邮政企业为解决用户用邮采取措施所需的费用。</w:t>
      </w:r>
    </w:p>
    <w:p w14:paraId="2B0E0B60">
      <w:pPr>
        <w:ind w:firstLine="422"/>
        <w:jc w:val="left"/>
        <w:rPr>
          <w:rFonts w:ascii="宋体" w:hAnsi="宋体"/>
          <w:kern w:val="44"/>
        </w:rPr>
      </w:pPr>
      <w:r>
        <w:rPr>
          <w:rFonts w:hint="eastAsia" w:ascii="宋体" w:hAnsi="宋体"/>
          <w:b/>
          <w:kern w:val="44"/>
        </w:rPr>
        <w:t>第十条</w:t>
      </w:r>
      <w:r>
        <w:rPr>
          <w:rFonts w:hint="eastAsia" w:ascii="宋体" w:hAnsi="宋体"/>
          <w:kern w:val="44"/>
        </w:rPr>
        <w:t>　任何单位和个人不得擅自拆除邮政通信设施。确需拆除的，由拆除单位与邮政企业签订协议，在保证邮政通信服务正常进行和方便用户用邮的前提下，由拆除单位负责补建不低于原有规模和使用效能的邮政通信设施。</w:t>
      </w:r>
    </w:p>
    <w:p w14:paraId="6FEC84CE">
      <w:pPr>
        <w:ind w:firstLine="422"/>
        <w:jc w:val="left"/>
        <w:rPr>
          <w:rFonts w:ascii="宋体" w:hAnsi="宋体"/>
          <w:kern w:val="44"/>
        </w:rPr>
      </w:pPr>
      <w:r>
        <w:rPr>
          <w:rFonts w:hint="eastAsia" w:ascii="宋体" w:hAnsi="宋体"/>
          <w:b/>
          <w:kern w:val="44"/>
        </w:rPr>
        <w:t>第十一条</w:t>
      </w:r>
      <w:r>
        <w:rPr>
          <w:rFonts w:hint="eastAsia" w:ascii="宋体" w:hAnsi="宋体"/>
          <w:kern w:val="44"/>
        </w:rPr>
        <w:t>　按照规划建成的邮政通信设施，应当及时交付给邮政企业使用，任何单位和个人不得擅自改变其使用性质。</w:t>
      </w:r>
    </w:p>
    <w:p w14:paraId="7A638F98">
      <w:pPr>
        <w:ind w:firstLine="422"/>
        <w:jc w:val="left"/>
        <w:rPr>
          <w:rFonts w:ascii="宋体" w:hAnsi="宋体"/>
          <w:kern w:val="44"/>
        </w:rPr>
      </w:pPr>
      <w:r>
        <w:rPr>
          <w:rFonts w:hint="eastAsia" w:ascii="宋体" w:hAnsi="宋体"/>
          <w:b/>
          <w:kern w:val="44"/>
        </w:rPr>
        <w:t>第十二条</w:t>
      </w:r>
      <w:r>
        <w:rPr>
          <w:rFonts w:hint="eastAsia" w:ascii="宋体" w:hAnsi="宋体"/>
          <w:kern w:val="44"/>
        </w:rPr>
        <w:t>　邮政企业可以根据用邮需求在社区设置邮政服务站、代办点、邮亭、报刊亭等邮政通信设施，方便社区用户用邮。</w:t>
      </w:r>
    </w:p>
    <w:p w14:paraId="226C08D0">
      <w:pPr>
        <w:jc w:val="left"/>
        <w:rPr>
          <w:rFonts w:ascii="宋体" w:hAnsi="宋体"/>
          <w:kern w:val="44"/>
        </w:rPr>
      </w:pPr>
      <w:r>
        <w:rPr>
          <w:rFonts w:hint="eastAsia" w:ascii="宋体" w:hAnsi="宋体"/>
          <w:kern w:val="44"/>
        </w:rPr>
        <w:t>社区的有关管理单位应当为邮政企业开展邮政通信服务工作提供应有的便利。</w:t>
      </w:r>
    </w:p>
    <w:p w14:paraId="5FA191F4">
      <w:pPr>
        <w:ind w:firstLine="422"/>
        <w:jc w:val="left"/>
        <w:rPr>
          <w:rFonts w:ascii="宋体" w:hAnsi="宋体"/>
          <w:kern w:val="44"/>
        </w:rPr>
      </w:pPr>
      <w:r>
        <w:rPr>
          <w:rFonts w:hint="eastAsia" w:ascii="宋体" w:hAnsi="宋体"/>
          <w:b/>
          <w:kern w:val="44"/>
        </w:rPr>
        <w:t>第十三条</w:t>
      </w:r>
      <w:r>
        <w:rPr>
          <w:rFonts w:hint="eastAsia" w:ascii="宋体" w:hAnsi="宋体"/>
          <w:kern w:val="44"/>
        </w:rPr>
        <w:t>　企业事业单位需要在其单位内部设置邮政通信服务网点的，可以与邮政企业协商，由邮政企业提供邮政通信服务。</w:t>
      </w:r>
    </w:p>
    <w:p w14:paraId="3660DD88">
      <w:pPr>
        <w:ind w:firstLine="422"/>
        <w:jc w:val="left"/>
        <w:rPr>
          <w:rFonts w:ascii="宋体" w:hAnsi="宋体"/>
          <w:kern w:val="44"/>
        </w:rPr>
      </w:pPr>
      <w:r>
        <w:rPr>
          <w:rFonts w:hint="eastAsia" w:ascii="宋体" w:hAnsi="宋体"/>
          <w:b/>
          <w:kern w:val="44"/>
        </w:rPr>
        <w:t>第十四条</w:t>
      </w:r>
      <w:r>
        <w:rPr>
          <w:rFonts w:hint="eastAsia" w:ascii="宋体" w:hAnsi="宋体"/>
          <w:kern w:val="44"/>
        </w:rPr>
        <w:t>　本市鼓励邮政企业与国内企业事业单位、个人以多种方式合作，建设邮政通信设施，增加邮政通信服务网点。</w:t>
      </w:r>
    </w:p>
    <w:p w14:paraId="3F1714F8">
      <w:pPr>
        <w:ind w:firstLine="422"/>
        <w:jc w:val="left"/>
        <w:rPr>
          <w:rFonts w:ascii="宋体" w:hAnsi="宋体"/>
          <w:kern w:val="44"/>
        </w:rPr>
      </w:pPr>
      <w:r>
        <w:rPr>
          <w:rFonts w:hint="eastAsia" w:ascii="宋体" w:hAnsi="宋体"/>
          <w:b/>
          <w:kern w:val="44"/>
        </w:rPr>
        <w:t>第十五条</w:t>
      </w:r>
      <w:r>
        <w:rPr>
          <w:rFonts w:hint="eastAsia" w:ascii="宋体" w:hAnsi="宋体"/>
          <w:kern w:val="44"/>
        </w:rPr>
        <w:t>　邮政通信行政主管部门应当建立、健全邮政通信设施使用、维护和管理的制度，保证邮政通信设施的正常使用。</w:t>
      </w:r>
    </w:p>
    <w:p w14:paraId="3CCC82D5">
      <w:pPr>
        <w:ind w:firstLine="422"/>
        <w:jc w:val="left"/>
        <w:rPr>
          <w:rFonts w:ascii="宋体" w:hAnsi="宋体"/>
          <w:kern w:val="44"/>
        </w:rPr>
      </w:pPr>
      <w:r>
        <w:rPr>
          <w:rFonts w:hint="eastAsia" w:ascii="宋体" w:hAnsi="宋体"/>
          <w:b/>
          <w:kern w:val="44"/>
        </w:rPr>
        <w:t>第十六条</w:t>
      </w:r>
      <w:r>
        <w:rPr>
          <w:rFonts w:hint="eastAsia" w:ascii="宋体" w:hAnsi="宋体"/>
          <w:kern w:val="44"/>
        </w:rPr>
        <w:t>　邮政企业应当加强内部管理，增强服务功能，提高服务质量，为用户提供迅速、准确、安全、方便的邮政普遍服务。</w:t>
      </w:r>
    </w:p>
    <w:p w14:paraId="07870A07">
      <w:pPr>
        <w:ind w:firstLine="422"/>
        <w:jc w:val="left"/>
        <w:rPr>
          <w:rFonts w:ascii="宋体" w:hAnsi="宋体"/>
          <w:kern w:val="44"/>
        </w:rPr>
      </w:pPr>
      <w:r>
        <w:rPr>
          <w:rFonts w:hint="eastAsia" w:ascii="宋体" w:hAnsi="宋体"/>
          <w:b/>
          <w:kern w:val="44"/>
        </w:rPr>
        <w:t>第十七条</w:t>
      </w:r>
      <w:r>
        <w:rPr>
          <w:rFonts w:hint="eastAsia" w:ascii="宋体" w:hAnsi="宋体"/>
          <w:kern w:val="44"/>
        </w:rPr>
        <w:t>　邮政通信行政主管部门应当加强对邮政企业服务的监督检查，并依法处理违反规定的行为。</w:t>
      </w:r>
    </w:p>
    <w:p w14:paraId="526109D9">
      <w:pPr>
        <w:ind w:firstLine="422"/>
        <w:jc w:val="left"/>
        <w:rPr>
          <w:rFonts w:ascii="宋体" w:hAnsi="宋体"/>
          <w:kern w:val="44"/>
        </w:rPr>
      </w:pPr>
      <w:r>
        <w:rPr>
          <w:rFonts w:hint="eastAsia" w:ascii="宋体" w:hAnsi="宋体"/>
          <w:b/>
          <w:kern w:val="44"/>
        </w:rPr>
        <w:t>第十八条</w:t>
      </w:r>
      <w:r>
        <w:rPr>
          <w:rFonts w:hint="eastAsia" w:ascii="宋体" w:hAnsi="宋体"/>
          <w:kern w:val="44"/>
        </w:rPr>
        <w:t>　违反本规定第十条规定，擅自拆除邮政通信设施的，由邮政通信行政主管部门责令恢复原状或者赔偿损失，并可处1万元以下罚款。</w:t>
      </w:r>
    </w:p>
    <w:p w14:paraId="6A14AFEF">
      <w:pPr>
        <w:ind w:firstLine="422"/>
        <w:jc w:val="left"/>
        <w:rPr>
          <w:rFonts w:ascii="宋体" w:hAnsi="宋体"/>
          <w:kern w:val="44"/>
        </w:rPr>
      </w:pPr>
      <w:r>
        <w:rPr>
          <w:rFonts w:hint="eastAsia" w:ascii="宋体" w:hAnsi="宋体"/>
          <w:b/>
          <w:kern w:val="44"/>
        </w:rPr>
        <w:t>第十九条</w:t>
      </w:r>
      <w:r>
        <w:rPr>
          <w:rFonts w:hint="eastAsia" w:ascii="宋体" w:hAnsi="宋体"/>
          <w:kern w:val="44"/>
        </w:rPr>
        <w:t>　违反本规定第十一条规定，擅自改变邮政通信设施使用性质的，由邮政通信行政主管部门给予警告，责令限期改正；逾期不改正的，处1万元以下罚款。</w:t>
      </w:r>
    </w:p>
    <w:p w14:paraId="466FA3E9">
      <w:pPr>
        <w:ind w:firstLine="422"/>
        <w:jc w:val="left"/>
        <w:rPr>
          <w:rFonts w:ascii="宋体" w:hAnsi="宋体"/>
          <w:kern w:val="44"/>
        </w:rPr>
      </w:pPr>
      <w:r>
        <w:rPr>
          <w:rFonts w:hint="eastAsia" w:ascii="宋体" w:hAnsi="宋体"/>
          <w:b/>
          <w:kern w:val="44"/>
        </w:rPr>
        <w:t>第二十条</w:t>
      </w:r>
      <w:r>
        <w:rPr>
          <w:rFonts w:hint="eastAsia" w:ascii="宋体" w:hAnsi="宋体"/>
          <w:kern w:val="44"/>
        </w:rPr>
        <w:t>　其他违反本规定，属于违反《北京市邮政通信条例》规定应当给予行政处罚的，依照《北京市邮政通信条例》的规定处理。</w:t>
      </w:r>
    </w:p>
    <w:p w14:paraId="39633251">
      <w:pPr>
        <w:ind w:firstLine="422"/>
        <w:jc w:val="left"/>
        <w:rPr>
          <w:rFonts w:ascii="宋体" w:hAnsi="宋体"/>
          <w:kern w:val="44"/>
        </w:rPr>
      </w:pPr>
      <w:r>
        <w:rPr>
          <w:rFonts w:hint="eastAsia" w:ascii="宋体" w:hAnsi="宋体"/>
          <w:b/>
          <w:kern w:val="44"/>
        </w:rPr>
        <w:t>第二十一条</w:t>
      </w:r>
      <w:r>
        <w:rPr>
          <w:rFonts w:hint="eastAsia" w:ascii="宋体" w:hAnsi="宋体"/>
          <w:kern w:val="44"/>
        </w:rPr>
        <w:t>　本规定自2002年11月1日起施行。</w:t>
      </w:r>
    </w:p>
    <w:p w14:paraId="659EA7BE">
      <w:pPr>
        <w:pStyle w:val="4"/>
        <w:pageBreakBefore/>
        <w:rPr>
          <w:kern w:val="44"/>
        </w:rPr>
      </w:pPr>
      <w:bookmarkStart w:id="716" w:name="_Toc422471204"/>
      <w:bookmarkStart w:id="717" w:name="_Toc428781550"/>
      <w:bookmarkStart w:id="718" w:name="_Toc427651844"/>
      <w:bookmarkStart w:id="719" w:name="_Toc428780068"/>
      <w:bookmarkStart w:id="720" w:name="_Toc427651502"/>
      <w:r>
        <w:rPr>
          <w:rFonts w:hint="eastAsia"/>
          <w:kern w:val="44"/>
        </w:rPr>
        <w:t>北京市公共服务网络与信息</w:t>
      </w:r>
      <w:bookmarkEnd w:id="716"/>
      <w:bookmarkStart w:id="721" w:name="_Toc422471205"/>
      <w:r>
        <w:rPr>
          <w:rFonts w:hint="eastAsia"/>
          <w:kern w:val="44"/>
        </w:rPr>
        <w:t>系统安全管理规定</w:t>
      </w:r>
      <w:bookmarkEnd w:id="717"/>
      <w:bookmarkEnd w:id="718"/>
      <w:bookmarkEnd w:id="719"/>
      <w:bookmarkEnd w:id="720"/>
      <w:bookmarkEnd w:id="721"/>
    </w:p>
    <w:p w14:paraId="05B44210">
      <w:pPr>
        <w:ind w:left="630" w:leftChars="300" w:right="630" w:rightChars="300"/>
        <w:jc w:val="left"/>
        <w:rPr>
          <w:rFonts w:ascii="楷体" w:hAnsi="楷体" w:eastAsia="楷体"/>
          <w:kern w:val="44"/>
        </w:rPr>
      </w:pPr>
      <w:r>
        <w:rPr>
          <w:rFonts w:hint="eastAsia" w:ascii="楷体" w:hAnsi="楷体" w:eastAsia="楷体"/>
          <w:kern w:val="44"/>
        </w:rPr>
        <w:t>（2005年11月9日北京市人民政府第45次常务会议审议通过  2005年11月11日北京市人民政府第163号令发布）</w:t>
      </w:r>
    </w:p>
    <w:p w14:paraId="59FD3920">
      <w:pPr>
        <w:jc w:val="left"/>
        <w:rPr>
          <w:rFonts w:ascii="宋体" w:hAnsi="宋体"/>
          <w:kern w:val="44"/>
        </w:rPr>
      </w:pPr>
    </w:p>
    <w:p w14:paraId="0CBFAFA6">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为加强本市公共服务网络与信息系统（以下简称网络与信息系统）的安全管理，根据国家有关规定，结合本市实际情况，制定本规定。</w:t>
      </w:r>
    </w:p>
    <w:p w14:paraId="5A885DBE">
      <w:pPr>
        <w:ind w:firstLine="422"/>
        <w:jc w:val="left"/>
        <w:rPr>
          <w:rFonts w:ascii="宋体" w:hAnsi="宋体"/>
          <w:kern w:val="44"/>
        </w:rPr>
      </w:pPr>
      <w:r>
        <w:rPr>
          <w:rFonts w:hint="eastAsia" w:ascii="宋体" w:hAnsi="宋体"/>
          <w:b/>
          <w:kern w:val="44"/>
        </w:rPr>
        <w:t>第二条</w:t>
      </w:r>
      <w:r>
        <w:rPr>
          <w:rFonts w:hint="eastAsia" w:ascii="宋体" w:hAnsi="宋体"/>
          <w:kern w:val="44"/>
        </w:rPr>
        <w:t>　本市网络与信息系统的建设和运行维护单位（以下简称运营单位）应当做好网络与信息系统安全工作，保障网络与信息系统安全可靠运营。</w:t>
      </w:r>
    </w:p>
    <w:p w14:paraId="463C8F07">
      <w:pPr>
        <w:jc w:val="left"/>
        <w:rPr>
          <w:rFonts w:ascii="宋体" w:hAnsi="宋体"/>
          <w:kern w:val="44"/>
        </w:rPr>
      </w:pPr>
      <w:r>
        <w:rPr>
          <w:rFonts w:hint="eastAsia" w:ascii="宋体" w:hAnsi="宋体"/>
          <w:kern w:val="44"/>
        </w:rPr>
        <w:t>本规定所称公共服务网络与信息系统，是指由本市行政机关和企事业单位为社会提供的政务、交通、医疗卫生、供水、供电、供气、供热、通信、广播电视以及其他公共服务的网络与信息系统。</w:t>
      </w:r>
    </w:p>
    <w:p w14:paraId="67462053">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市和区、县信息化主管部门对本行政区域内的网络与信息系统安全工作负责综合协调和监督管理。</w:t>
      </w:r>
    </w:p>
    <w:p w14:paraId="41CA665B">
      <w:pPr>
        <w:jc w:val="left"/>
        <w:rPr>
          <w:rFonts w:ascii="宋体" w:hAnsi="宋体"/>
          <w:kern w:val="44"/>
        </w:rPr>
      </w:pPr>
      <w:r>
        <w:rPr>
          <w:rFonts w:hint="eastAsia" w:ascii="宋体" w:hAnsi="宋体"/>
          <w:kern w:val="44"/>
        </w:rPr>
        <w:t>公安、国家安全和质量技术监督等政府有关部门，按照各自职责分工，依法对网络与信息系统安全相关工作实施监督管理。</w:t>
      </w:r>
    </w:p>
    <w:p w14:paraId="2922CC78">
      <w:pPr>
        <w:ind w:firstLine="422"/>
        <w:jc w:val="left"/>
        <w:rPr>
          <w:rFonts w:ascii="宋体" w:hAnsi="宋体"/>
          <w:kern w:val="44"/>
        </w:rPr>
      </w:pPr>
      <w:r>
        <w:rPr>
          <w:rFonts w:hint="eastAsia" w:ascii="宋体" w:hAnsi="宋体"/>
          <w:b/>
          <w:kern w:val="44"/>
        </w:rPr>
        <w:t>第四条</w:t>
      </w:r>
      <w:r>
        <w:rPr>
          <w:rFonts w:hint="eastAsia" w:ascii="宋体" w:hAnsi="宋体"/>
          <w:kern w:val="44"/>
        </w:rPr>
        <w:t>　运营单位应当加强对本单位网络与信息系统的安全管理，做好下列工作：</w:t>
      </w:r>
    </w:p>
    <w:p w14:paraId="68839A38">
      <w:pPr>
        <w:jc w:val="left"/>
        <w:rPr>
          <w:rFonts w:ascii="宋体" w:hAnsi="宋体"/>
          <w:kern w:val="44"/>
        </w:rPr>
      </w:pPr>
      <w:r>
        <w:rPr>
          <w:rFonts w:hint="eastAsia" w:ascii="宋体" w:hAnsi="宋体"/>
          <w:kern w:val="44"/>
        </w:rPr>
        <w:t>（一）明确网络与信息系统安全工作的主管负责人和主管机构，并配备具有相应能力的工作人员；</w:t>
      </w:r>
    </w:p>
    <w:p w14:paraId="155B6182">
      <w:pPr>
        <w:jc w:val="left"/>
        <w:rPr>
          <w:rFonts w:ascii="宋体" w:hAnsi="宋体"/>
          <w:kern w:val="44"/>
        </w:rPr>
      </w:pPr>
      <w:r>
        <w:rPr>
          <w:rFonts w:hint="eastAsia" w:ascii="宋体" w:hAnsi="宋体"/>
          <w:kern w:val="44"/>
        </w:rPr>
        <w:t>（二）建立健全网络与信息系统安全管理责任制，制定管理制度和操作规程，并定期检查落实情况；</w:t>
      </w:r>
    </w:p>
    <w:p w14:paraId="56E27E83">
      <w:pPr>
        <w:jc w:val="left"/>
        <w:rPr>
          <w:rFonts w:ascii="宋体" w:hAnsi="宋体"/>
          <w:kern w:val="44"/>
        </w:rPr>
      </w:pPr>
      <w:r>
        <w:rPr>
          <w:rFonts w:hint="eastAsia" w:ascii="宋体" w:hAnsi="宋体"/>
          <w:kern w:val="44"/>
        </w:rPr>
        <w:t>（三）保障网络与信息系统安全的资金投入；</w:t>
      </w:r>
    </w:p>
    <w:p w14:paraId="2CBC99A9">
      <w:pPr>
        <w:jc w:val="left"/>
        <w:rPr>
          <w:rFonts w:ascii="宋体" w:hAnsi="宋体"/>
          <w:kern w:val="44"/>
        </w:rPr>
      </w:pPr>
      <w:r>
        <w:rPr>
          <w:rFonts w:hint="eastAsia" w:ascii="宋体" w:hAnsi="宋体"/>
          <w:kern w:val="44"/>
        </w:rPr>
        <w:t>（四）定期进行网络与信息系统安全教育和培训。</w:t>
      </w:r>
    </w:p>
    <w:p w14:paraId="73B51AE6">
      <w:pPr>
        <w:ind w:firstLine="422"/>
        <w:jc w:val="left"/>
        <w:rPr>
          <w:rFonts w:ascii="宋体" w:hAnsi="宋体"/>
          <w:kern w:val="44"/>
        </w:rPr>
      </w:pPr>
      <w:r>
        <w:rPr>
          <w:rFonts w:hint="eastAsia" w:ascii="宋体" w:hAnsi="宋体"/>
          <w:b/>
          <w:kern w:val="44"/>
        </w:rPr>
        <w:t>第五条</w:t>
      </w:r>
      <w:r>
        <w:rPr>
          <w:rFonts w:hint="eastAsia" w:ascii="宋体" w:hAnsi="宋体"/>
          <w:kern w:val="44"/>
        </w:rPr>
        <w:t>　市信息化主管部门应当会同政府有关部门统一规划和组织建设本市网络与信息系统的安全测评、电子认证、灾难备份和应急处理等安全基础设施。</w:t>
      </w:r>
    </w:p>
    <w:p w14:paraId="43E48107">
      <w:pPr>
        <w:ind w:firstLine="422"/>
        <w:jc w:val="left"/>
        <w:rPr>
          <w:rFonts w:ascii="宋体" w:hAnsi="宋体"/>
          <w:kern w:val="44"/>
        </w:rPr>
      </w:pPr>
      <w:r>
        <w:rPr>
          <w:rFonts w:hint="eastAsia" w:ascii="宋体" w:hAnsi="宋体"/>
          <w:b/>
          <w:kern w:val="44"/>
        </w:rPr>
        <w:t>第六条</w:t>
      </w:r>
      <w:r>
        <w:rPr>
          <w:rFonts w:hint="eastAsia" w:ascii="宋体" w:hAnsi="宋体"/>
          <w:kern w:val="44"/>
        </w:rPr>
        <w:t>　本市对网络与信息系统实行安全等级保护。</w:t>
      </w:r>
    </w:p>
    <w:p w14:paraId="66EA30A2">
      <w:pPr>
        <w:jc w:val="left"/>
        <w:rPr>
          <w:rFonts w:ascii="宋体" w:hAnsi="宋体"/>
          <w:kern w:val="44"/>
        </w:rPr>
      </w:pPr>
      <w:r>
        <w:rPr>
          <w:rFonts w:hint="eastAsia" w:ascii="宋体" w:hAnsi="宋体"/>
          <w:kern w:val="44"/>
        </w:rPr>
        <w:t>网络与信息系统安全等级分为五级：</w:t>
      </w:r>
    </w:p>
    <w:p w14:paraId="218D60BB">
      <w:pPr>
        <w:jc w:val="left"/>
        <w:rPr>
          <w:rFonts w:ascii="宋体" w:hAnsi="宋体"/>
          <w:kern w:val="44"/>
        </w:rPr>
      </w:pPr>
      <w:r>
        <w:rPr>
          <w:rFonts w:hint="eastAsia" w:ascii="宋体" w:hAnsi="宋体"/>
          <w:kern w:val="44"/>
        </w:rPr>
        <w:t>（一）第一级为自主保护级，由运营单位进行自主保护；</w:t>
      </w:r>
    </w:p>
    <w:p w14:paraId="50A8623E">
      <w:pPr>
        <w:jc w:val="left"/>
        <w:rPr>
          <w:rFonts w:ascii="宋体" w:hAnsi="宋体"/>
          <w:kern w:val="44"/>
        </w:rPr>
      </w:pPr>
      <w:r>
        <w:rPr>
          <w:rFonts w:hint="eastAsia" w:ascii="宋体" w:hAnsi="宋体"/>
          <w:kern w:val="44"/>
        </w:rPr>
        <w:t>（二）第二级为指导保护级，由运营单位在有关主管部门的指导下进行保护；</w:t>
      </w:r>
    </w:p>
    <w:p w14:paraId="3329544B">
      <w:pPr>
        <w:jc w:val="left"/>
        <w:rPr>
          <w:rFonts w:ascii="宋体" w:hAnsi="宋体"/>
          <w:kern w:val="44"/>
        </w:rPr>
      </w:pPr>
      <w:r>
        <w:rPr>
          <w:rFonts w:hint="eastAsia" w:ascii="宋体" w:hAnsi="宋体"/>
          <w:kern w:val="44"/>
        </w:rPr>
        <w:t>（三）第三级为监督保护级，由运营单位在备案监督部门的监督下进行保护；</w:t>
      </w:r>
    </w:p>
    <w:p w14:paraId="5D5C76E2">
      <w:pPr>
        <w:jc w:val="left"/>
        <w:rPr>
          <w:rFonts w:ascii="宋体" w:hAnsi="宋体"/>
          <w:kern w:val="44"/>
        </w:rPr>
      </w:pPr>
      <w:r>
        <w:rPr>
          <w:rFonts w:hint="eastAsia" w:ascii="宋体" w:hAnsi="宋体"/>
          <w:kern w:val="44"/>
        </w:rPr>
        <w:t>（四）第四级为强制保护级，由运营单位在备案监督部门的强制下进行保护；</w:t>
      </w:r>
    </w:p>
    <w:p w14:paraId="54549DA7">
      <w:pPr>
        <w:jc w:val="left"/>
        <w:rPr>
          <w:rFonts w:ascii="宋体" w:hAnsi="宋体"/>
          <w:kern w:val="44"/>
        </w:rPr>
      </w:pPr>
      <w:r>
        <w:rPr>
          <w:rFonts w:hint="eastAsia" w:ascii="宋体" w:hAnsi="宋体"/>
          <w:kern w:val="44"/>
        </w:rPr>
        <w:t>（五）第五级为专控保护级，由运营单位在备案监督部门的专控下进行保护。</w:t>
      </w:r>
    </w:p>
    <w:p w14:paraId="3A9916B7">
      <w:pPr>
        <w:ind w:firstLine="422"/>
        <w:jc w:val="left"/>
        <w:rPr>
          <w:rFonts w:ascii="宋体" w:hAnsi="宋体"/>
          <w:kern w:val="44"/>
        </w:rPr>
      </w:pPr>
      <w:r>
        <w:rPr>
          <w:rFonts w:hint="eastAsia" w:ascii="宋体" w:hAnsi="宋体"/>
          <w:b/>
          <w:kern w:val="44"/>
        </w:rPr>
        <w:t>第七条</w:t>
      </w:r>
      <w:r>
        <w:rPr>
          <w:rFonts w:hint="eastAsia" w:ascii="宋体" w:hAnsi="宋体"/>
          <w:kern w:val="44"/>
        </w:rPr>
        <w:t>　运营单位应当按照安全等级保护制度的管理规范和技术标准确定本单位网络与信息系统的安全等级，并根据安全等级保护制度的要求进行建设。</w:t>
      </w:r>
    </w:p>
    <w:p w14:paraId="317C2C53">
      <w:pPr>
        <w:jc w:val="left"/>
        <w:rPr>
          <w:rFonts w:ascii="宋体" w:hAnsi="宋体"/>
          <w:kern w:val="44"/>
        </w:rPr>
      </w:pPr>
      <w:r>
        <w:rPr>
          <w:rFonts w:hint="eastAsia" w:ascii="宋体" w:hAnsi="宋体"/>
          <w:kern w:val="44"/>
        </w:rPr>
        <w:t>网络与信息系统安全等级确定为第三级、第四级、第五级的，运营单位应当将安全等级确定情况报送备案。其中，涉及电子政务的网络与信息系统运营单位，应当报市信息化主管部门备案；其他的运营单位应当报市公安部门备案。</w:t>
      </w:r>
    </w:p>
    <w:p w14:paraId="618E42E2">
      <w:pPr>
        <w:jc w:val="left"/>
        <w:rPr>
          <w:rFonts w:ascii="宋体" w:hAnsi="宋体"/>
          <w:kern w:val="44"/>
        </w:rPr>
      </w:pPr>
      <w:r>
        <w:rPr>
          <w:rFonts w:hint="eastAsia" w:ascii="宋体" w:hAnsi="宋体"/>
          <w:kern w:val="44"/>
        </w:rPr>
        <w:t>市信息化主管部门、市公安部门应当在30日内对备案单位的网络与信息系统安全等级确定情况进行评估，并提出审查意见。</w:t>
      </w:r>
    </w:p>
    <w:p w14:paraId="19EB02FB">
      <w:pPr>
        <w:ind w:firstLine="422"/>
        <w:jc w:val="left"/>
        <w:rPr>
          <w:rFonts w:ascii="宋体" w:hAnsi="宋体"/>
          <w:kern w:val="44"/>
        </w:rPr>
      </w:pPr>
      <w:r>
        <w:rPr>
          <w:rFonts w:hint="eastAsia" w:ascii="宋体" w:hAnsi="宋体"/>
          <w:b/>
          <w:kern w:val="44"/>
        </w:rPr>
        <w:t>第八条</w:t>
      </w:r>
      <w:r>
        <w:rPr>
          <w:rFonts w:hint="eastAsia" w:ascii="宋体" w:hAnsi="宋体"/>
          <w:kern w:val="44"/>
        </w:rPr>
        <w:t>　运营单位选用网络与信息系统相关安全产品或者选择安全测评、电子认证等服务时，应当符合国家和本市有关网络与信息系统安全管理的技术规范。</w:t>
      </w:r>
    </w:p>
    <w:p w14:paraId="58E83B58">
      <w:pPr>
        <w:jc w:val="left"/>
        <w:rPr>
          <w:rFonts w:ascii="宋体" w:hAnsi="宋体"/>
          <w:kern w:val="44"/>
        </w:rPr>
      </w:pPr>
      <w:r>
        <w:rPr>
          <w:rFonts w:hint="eastAsia" w:ascii="宋体" w:hAnsi="宋体"/>
          <w:kern w:val="44"/>
        </w:rPr>
        <w:t>使用财政资金投资建设的网络与信息系统选用安全产品和服务时，应当依法实行政府采购。</w:t>
      </w:r>
    </w:p>
    <w:p w14:paraId="26A2650A">
      <w:pPr>
        <w:ind w:firstLine="422"/>
        <w:jc w:val="left"/>
        <w:rPr>
          <w:rFonts w:ascii="宋体" w:hAnsi="宋体"/>
          <w:kern w:val="44"/>
        </w:rPr>
      </w:pPr>
      <w:r>
        <w:rPr>
          <w:rFonts w:hint="eastAsia" w:ascii="宋体" w:hAnsi="宋体"/>
          <w:b/>
          <w:kern w:val="44"/>
        </w:rPr>
        <w:t>第九条</w:t>
      </w:r>
      <w:r>
        <w:rPr>
          <w:rFonts w:hint="eastAsia" w:ascii="宋体" w:hAnsi="宋体"/>
          <w:kern w:val="44"/>
        </w:rPr>
        <w:t>　运营单位应当依据网络与信息系统安全管理要求，对信息系统和信息数据进行备份。</w:t>
      </w:r>
    </w:p>
    <w:p w14:paraId="5C0705E7">
      <w:pPr>
        <w:ind w:firstLine="422"/>
        <w:jc w:val="left"/>
        <w:rPr>
          <w:rFonts w:ascii="宋体" w:hAnsi="宋体"/>
          <w:kern w:val="44"/>
        </w:rPr>
      </w:pPr>
      <w:r>
        <w:rPr>
          <w:rFonts w:hint="eastAsia" w:ascii="宋体" w:hAnsi="宋体"/>
          <w:b/>
          <w:kern w:val="44"/>
        </w:rPr>
        <w:t>第十条</w:t>
      </w:r>
      <w:r>
        <w:rPr>
          <w:rFonts w:hint="eastAsia" w:ascii="宋体" w:hAnsi="宋体"/>
          <w:kern w:val="44"/>
        </w:rPr>
        <w:t>　运营单位应当制定网络与信息系统安全事件应急预案，并定期进行演练。</w:t>
      </w:r>
    </w:p>
    <w:p w14:paraId="773449CB">
      <w:pPr>
        <w:jc w:val="left"/>
        <w:rPr>
          <w:rFonts w:ascii="宋体" w:hAnsi="宋体"/>
          <w:kern w:val="44"/>
        </w:rPr>
      </w:pPr>
      <w:r>
        <w:rPr>
          <w:rFonts w:hint="eastAsia" w:ascii="宋体" w:hAnsi="宋体"/>
          <w:kern w:val="44"/>
        </w:rPr>
        <w:t>市和区、县人民政府有关行政主管部门应当组织制定相关行业的网络与信息系统安全事件应急预案，组织、协调有关单位做好应急预案的落实工作。</w:t>
      </w:r>
    </w:p>
    <w:p w14:paraId="4D77C77A">
      <w:pPr>
        <w:ind w:firstLine="422"/>
        <w:jc w:val="left"/>
        <w:rPr>
          <w:rFonts w:ascii="宋体" w:hAnsi="宋体"/>
          <w:kern w:val="44"/>
        </w:rPr>
      </w:pPr>
      <w:r>
        <w:rPr>
          <w:rFonts w:hint="eastAsia" w:ascii="宋体" w:hAnsi="宋体"/>
          <w:b/>
          <w:kern w:val="44"/>
        </w:rPr>
        <w:t>第十一条</w:t>
      </w:r>
      <w:r>
        <w:rPr>
          <w:rFonts w:hint="eastAsia" w:ascii="宋体" w:hAnsi="宋体"/>
          <w:kern w:val="44"/>
        </w:rPr>
        <w:t>　发生网络与信息系统安全事件后，运营单位应当迅速采取措施降低损害程度，防止事件扩大，保存相关记录，并按规定要求及时向同级信息化主管部门报告。</w:t>
      </w:r>
    </w:p>
    <w:p w14:paraId="28208B07">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本市组建信息安全应急救援服务体系，为发生信息安全事件的单位提供救援服务。信息安全应急救援服务组织应当公布救援电话，在接到救援请求时，及时提供救援服务。</w:t>
      </w:r>
    </w:p>
    <w:p w14:paraId="26DEF55A">
      <w:pPr>
        <w:ind w:firstLine="422"/>
        <w:jc w:val="left"/>
        <w:rPr>
          <w:rFonts w:ascii="宋体" w:hAnsi="宋体"/>
          <w:kern w:val="44"/>
        </w:rPr>
      </w:pPr>
      <w:r>
        <w:rPr>
          <w:rFonts w:hint="eastAsia" w:ascii="宋体" w:hAnsi="宋体"/>
          <w:b/>
          <w:kern w:val="44"/>
        </w:rPr>
        <w:t>第十三条</w:t>
      </w:r>
      <w:r>
        <w:rPr>
          <w:rFonts w:hint="eastAsia" w:ascii="宋体" w:hAnsi="宋体"/>
          <w:kern w:val="44"/>
        </w:rPr>
        <w:t>　运营单位违反本规定，有下列情形之一的，由市或者区、县信息化主管部门责令限期改正，给予警告，视情节轻重处3万元以下罚款：</w:t>
      </w:r>
    </w:p>
    <w:p w14:paraId="6ED220C6">
      <w:pPr>
        <w:jc w:val="left"/>
        <w:rPr>
          <w:rFonts w:ascii="宋体" w:hAnsi="宋体"/>
          <w:kern w:val="44"/>
        </w:rPr>
      </w:pPr>
      <w:r>
        <w:rPr>
          <w:rFonts w:hint="eastAsia" w:ascii="宋体" w:hAnsi="宋体"/>
          <w:kern w:val="44"/>
        </w:rPr>
        <w:t>（一）违反本规定第四条规定，未按要求建立并落实安全管理制度的；</w:t>
      </w:r>
    </w:p>
    <w:p w14:paraId="5EC39E14">
      <w:pPr>
        <w:jc w:val="left"/>
        <w:rPr>
          <w:rFonts w:ascii="宋体" w:hAnsi="宋体"/>
          <w:kern w:val="44"/>
        </w:rPr>
      </w:pPr>
      <w:r>
        <w:rPr>
          <w:rFonts w:hint="eastAsia" w:ascii="宋体" w:hAnsi="宋体"/>
          <w:kern w:val="44"/>
        </w:rPr>
        <w:t>（二）违反本规定第九条规定，未按要求对信息系统和信息数据进行备份的；</w:t>
      </w:r>
    </w:p>
    <w:p w14:paraId="3CF492AE">
      <w:pPr>
        <w:jc w:val="left"/>
        <w:rPr>
          <w:rFonts w:ascii="宋体" w:hAnsi="宋体"/>
          <w:kern w:val="44"/>
        </w:rPr>
      </w:pPr>
      <w:r>
        <w:rPr>
          <w:rFonts w:hint="eastAsia" w:ascii="宋体" w:hAnsi="宋体"/>
          <w:kern w:val="44"/>
        </w:rPr>
        <w:t>（三）违反本规定第十条第一款规定，未按要求制定网络与信息系统安全事件应急预案的；</w:t>
      </w:r>
    </w:p>
    <w:p w14:paraId="698F81CA">
      <w:pPr>
        <w:jc w:val="left"/>
        <w:rPr>
          <w:rFonts w:ascii="宋体" w:hAnsi="宋体"/>
          <w:kern w:val="44"/>
        </w:rPr>
      </w:pPr>
      <w:r>
        <w:rPr>
          <w:rFonts w:hint="eastAsia" w:ascii="宋体" w:hAnsi="宋体"/>
          <w:kern w:val="44"/>
        </w:rPr>
        <w:t>（四）违反本规定第十一条规定，对网络与信息系统安全事件情况隐瞒不报、谎报或者拖延不报的。</w:t>
      </w:r>
    </w:p>
    <w:p w14:paraId="70461C2A">
      <w:pPr>
        <w:jc w:val="left"/>
        <w:rPr>
          <w:rFonts w:ascii="宋体" w:hAnsi="宋体"/>
          <w:kern w:val="44"/>
        </w:rPr>
      </w:pPr>
      <w:r>
        <w:rPr>
          <w:rFonts w:hint="eastAsia" w:ascii="宋体" w:hAnsi="宋体"/>
          <w:kern w:val="44"/>
        </w:rPr>
        <w:t>行政机关违反前款规定的，市或者区、县信息化主管部门可以对责任单位给予通报批评；造成重大损失的，由上级主管部门或者监察机关依法追究责任单位主要负责人和有关责任人员的行政责任。</w:t>
      </w:r>
    </w:p>
    <w:p w14:paraId="10385AF6">
      <w:pPr>
        <w:ind w:firstLine="422"/>
        <w:jc w:val="left"/>
        <w:rPr>
          <w:rFonts w:ascii="宋体" w:hAnsi="宋体"/>
          <w:kern w:val="44"/>
        </w:rPr>
      </w:pPr>
      <w:r>
        <w:rPr>
          <w:rFonts w:hint="eastAsia" w:ascii="宋体" w:hAnsi="宋体"/>
          <w:b/>
          <w:kern w:val="44"/>
        </w:rPr>
        <w:t>第十四条</w:t>
      </w:r>
      <w:r>
        <w:rPr>
          <w:rFonts w:hint="eastAsia" w:ascii="宋体" w:hAnsi="宋体"/>
          <w:kern w:val="44"/>
        </w:rPr>
        <w:t>　对于有危害公共安全、国家安全、泄露国家秘密以及其他违反法律、法规和规章规定行为的，由公安、国家安全、保密以及其他监督管理部门依法处理；构成犯罪的，依法追究刑事责任。</w:t>
      </w:r>
    </w:p>
    <w:p w14:paraId="1FD4E57B">
      <w:pPr>
        <w:ind w:firstLine="422"/>
        <w:jc w:val="left"/>
        <w:rPr>
          <w:rFonts w:ascii="宋体" w:hAnsi="宋体"/>
          <w:kern w:val="44"/>
        </w:rPr>
      </w:pPr>
      <w:r>
        <w:rPr>
          <w:rFonts w:hint="eastAsia" w:ascii="宋体" w:hAnsi="宋体"/>
          <w:b/>
          <w:kern w:val="44"/>
        </w:rPr>
        <w:t>第十五条</w:t>
      </w:r>
      <w:r>
        <w:rPr>
          <w:rFonts w:hint="eastAsia" w:ascii="宋体" w:hAnsi="宋体"/>
          <w:kern w:val="44"/>
        </w:rPr>
        <w:t>　国家和本市对涉及国家秘密、国家安全的网络与信息系统有特殊规定的，从其规定。</w:t>
      </w:r>
    </w:p>
    <w:p w14:paraId="4CFFBBAC">
      <w:pPr>
        <w:ind w:firstLine="422"/>
        <w:jc w:val="left"/>
        <w:rPr>
          <w:rFonts w:ascii="宋体" w:hAnsi="宋体"/>
          <w:kern w:val="44"/>
        </w:rPr>
      </w:pPr>
      <w:r>
        <w:rPr>
          <w:rFonts w:hint="eastAsia" w:ascii="宋体" w:hAnsi="宋体"/>
          <w:b/>
          <w:kern w:val="44"/>
        </w:rPr>
        <w:t>第十六条</w:t>
      </w:r>
      <w:r>
        <w:rPr>
          <w:rFonts w:hint="eastAsia" w:ascii="宋体" w:hAnsi="宋体"/>
          <w:kern w:val="44"/>
        </w:rPr>
        <w:t>　本规定自2006年1月1日起施行。</w:t>
      </w:r>
    </w:p>
    <w:p w14:paraId="2A56D009">
      <w:pPr>
        <w:pStyle w:val="4"/>
        <w:pageBreakBefore/>
        <w:rPr>
          <w:kern w:val="44"/>
        </w:rPr>
      </w:pPr>
      <w:bookmarkStart w:id="722" w:name="_Toc428780069"/>
      <w:bookmarkStart w:id="723" w:name="_Toc427651503"/>
      <w:bookmarkStart w:id="724" w:name="_Toc427651845"/>
      <w:bookmarkStart w:id="725" w:name="_Toc428781551"/>
      <w:bookmarkStart w:id="726" w:name="_Toc422471206"/>
      <w:r>
        <w:rPr>
          <w:rFonts w:hint="eastAsia"/>
          <w:kern w:val="44"/>
        </w:rPr>
        <w:t>北京市无线电管理办法</w:t>
      </w:r>
      <w:bookmarkEnd w:id="722"/>
      <w:bookmarkEnd w:id="723"/>
      <w:bookmarkEnd w:id="724"/>
      <w:bookmarkEnd w:id="725"/>
      <w:bookmarkEnd w:id="726"/>
    </w:p>
    <w:p w14:paraId="1397C2FF">
      <w:pPr>
        <w:ind w:left="630" w:leftChars="300" w:right="630" w:rightChars="300"/>
        <w:jc w:val="left"/>
        <w:rPr>
          <w:rFonts w:ascii="楷体" w:hAnsi="楷体" w:eastAsia="楷体"/>
          <w:kern w:val="44"/>
        </w:rPr>
      </w:pPr>
      <w:r>
        <w:rPr>
          <w:rFonts w:hint="eastAsia" w:ascii="楷体" w:hAnsi="楷体" w:eastAsia="楷体"/>
          <w:kern w:val="44"/>
        </w:rPr>
        <w:t>（2006年9月25日北京市人民政府第53次常务会议审议通过  2006年10月11日北京市人民政府第175号令公布）</w:t>
      </w:r>
    </w:p>
    <w:p w14:paraId="2BB18256">
      <w:pPr>
        <w:ind w:left="630" w:leftChars="300" w:right="630" w:rightChars="300"/>
        <w:jc w:val="left"/>
        <w:rPr>
          <w:rFonts w:ascii="楷体" w:hAnsi="楷体" w:eastAsia="楷体"/>
          <w:kern w:val="44"/>
        </w:rPr>
      </w:pPr>
    </w:p>
    <w:p w14:paraId="69EE0C03">
      <w:pPr>
        <w:ind w:firstLine="422"/>
        <w:jc w:val="left"/>
        <w:rPr>
          <w:rFonts w:ascii="宋体" w:hAnsi="宋体"/>
          <w:kern w:val="44"/>
        </w:rPr>
      </w:pPr>
      <w:r>
        <w:rPr>
          <w:rFonts w:hint="eastAsia" w:ascii="宋体" w:hAnsi="宋体"/>
          <w:b/>
          <w:kern w:val="44"/>
        </w:rPr>
        <w:t>第一条</w:t>
      </w:r>
      <w:r>
        <w:rPr>
          <w:rFonts w:hint="eastAsia" w:ascii="宋体" w:hAnsi="宋体"/>
          <w:kern w:val="44"/>
        </w:rPr>
        <w:t>　为了维护本市空中电波秩序，有效利用无线电频谱资源，保障各种无线电业务的正常进行，根据《中华人民共和国无线电管理条例》（以下简称《无线电管理条例》），结合本市实际情况，制定本办法。</w:t>
      </w:r>
    </w:p>
    <w:p w14:paraId="3F1B49D6">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在本市行政区域内使用无线电频率，设置、使用无线电台（站），研制、生产、进口、销售和维修无线电发射设备，使用辐射无线电波的非无线电设备，应当遵守《无线电管理条例》和本办法。</w:t>
      </w:r>
    </w:p>
    <w:p w14:paraId="7A574BC4">
      <w:pPr>
        <w:jc w:val="left"/>
        <w:rPr>
          <w:rFonts w:ascii="宋体" w:hAnsi="宋体"/>
          <w:kern w:val="44"/>
        </w:rPr>
      </w:pPr>
      <w:r>
        <w:rPr>
          <w:rFonts w:hint="eastAsia" w:ascii="宋体" w:hAnsi="宋体"/>
          <w:kern w:val="44"/>
        </w:rPr>
        <w:t>军事系统的无线电管理，依照国家和军队的有关规定执行。</w:t>
      </w:r>
    </w:p>
    <w:p w14:paraId="101D7D27">
      <w:pPr>
        <w:ind w:firstLine="422"/>
        <w:jc w:val="left"/>
        <w:rPr>
          <w:rFonts w:ascii="宋体" w:hAnsi="宋体"/>
          <w:kern w:val="44"/>
        </w:rPr>
      </w:pPr>
      <w:r>
        <w:rPr>
          <w:rFonts w:hint="eastAsia" w:ascii="宋体" w:hAnsi="宋体"/>
          <w:b/>
          <w:kern w:val="44"/>
        </w:rPr>
        <w:t>第三条</w:t>
      </w:r>
      <w:r>
        <w:rPr>
          <w:rFonts w:hint="eastAsia" w:ascii="宋体" w:hAnsi="宋体"/>
          <w:kern w:val="44"/>
        </w:rPr>
        <w:t>　市无线电管理机构在国家无线电管理机构和市人民政府的领导下，负责本市无线电管理工作。</w:t>
      </w:r>
    </w:p>
    <w:p w14:paraId="4196EB23">
      <w:pPr>
        <w:jc w:val="left"/>
        <w:rPr>
          <w:rFonts w:ascii="宋体" w:hAnsi="宋体"/>
          <w:kern w:val="44"/>
        </w:rPr>
      </w:pPr>
      <w:r>
        <w:rPr>
          <w:rFonts w:hint="eastAsia" w:ascii="宋体" w:hAnsi="宋体"/>
          <w:kern w:val="44"/>
        </w:rPr>
        <w:t>公安、工商行政管理、质量技术监督、规划、环境保护、广播电视等部门，按照职责分工做好相关监督检查工作。</w:t>
      </w:r>
    </w:p>
    <w:p w14:paraId="10C161C2">
      <w:pPr>
        <w:jc w:val="left"/>
        <w:rPr>
          <w:rFonts w:ascii="宋体" w:hAnsi="宋体"/>
          <w:kern w:val="44"/>
        </w:rPr>
      </w:pPr>
      <w:r>
        <w:rPr>
          <w:rFonts w:hint="eastAsia" w:ascii="宋体" w:hAnsi="宋体"/>
          <w:kern w:val="44"/>
        </w:rPr>
        <w:t>区、县人民政府确定的负责无线电管理工作的部门，配合市无线电管理机构实施监督检查。</w:t>
      </w:r>
    </w:p>
    <w:p w14:paraId="50D21313">
      <w:pPr>
        <w:ind w:firstLine="422"/>
        <w:jc w:val="left"/>
        <w:rPr>
          <w:rFonts w:ascii="宋体" w:hAnsi="宋体"/>
          <w:kern w:val="44"/>
        </w:rPr>
      </w:pPr>
      <w:r>
        <w:rPr>
          <w:rFonts w:hint="eastAsia" w:ascii="宋体" w:hAnsi="宋体"/>
          <w:b/>
          <w:kern w:val="44"/>
        </w:rPr>
        <w:t>第四条</w:t>
      </w:r>
      <w:r>
        <w:rPr>
          <w:rFonts w:hint="eastAsia" w:ascii="宋体" w:hAnsi="宋体"/>
          <w:kern w:val="44"/>
        </w:rPr>
        <w:t>　市无线电管理机构应当按照国家无线电频率管理的相关规定，制定本市无线电频率、呼号使用方案；并根据国家无线电频率调整的规定，及时做出调整。</w:t>
      </w:r>
    </w:p>
    <w:p w14:paraId="7F5B5D3A">
      <w:pPr>
        <w:ind w:firstLine="422"/>
        <w:jc w:val="left"/>
        <w:rPr>
          <w:rFonts w:ascii="宋体" w:hAnsi="宋体"/>
          <w:kern w:val="44"/>
        </w:rPr>
      </w:pPr>
      <w:r>
        <w:rPr>
          <w:rFonts w:hint="eastAsia" w:ascii="宋体" w:hAnsi="宋体"/>
          <w:b/>
          <w:kern w:val="44"/>
        </w:rPr>
        <w:t>第五条</w:t>
      </w:r>
      <w:r>
        <w:rPr>
          <w:rFonts w:hint="eastAsia" w:ascii="宋体" w:hAnsi="宋体"/>
          <w:kern w:val="44"/>
        </w:rPr>
        <w:t>　申请使用无线电频率、呼号的，应当向市无线电管理机构提出书面申请，并提交无线电频率使用方案及可行性报告。</w:t>
      </w:r>
    </w:p>
    <w:p w14:paraId="2BA29AEB">
      <w:pPr>
        <w:jc w:val="left"/>
        <w:rPr>
          <w:rFonts w:ascii="宋体" w:hAnsi="宋体"/>
          <w:kern w:val="44"/>
        </w:rPr>
      </w:pPr>
      <w:r>
        <w:rPr>
          <w:rFonts w:hint="eastAsia" w:ascii="宋体" w:hAnsi="宋体"/>
          <w:kern w:val="44"/>
        </w:rPr>
        <w:t>市无线电管理机构根据审批权限，对符合条件的无线电频率、呼号使用申请，依法进行指配。</w:t>
      </w:r>
    </w:p>
    <w:p w14:paraId="517CD6A0">
      <w:pPr>
        <w:ind w:firstLine="422"/>
        <w:jc w:val="left"/>
        <w:rPr>
          <w:rFonts w:ascii="宋体" w:hAnsi="宋体"/>
          <w:kern w:val="44"/>
        </w:rPr>
      </w:pPr>
      <w:r>
        <w:rPr>
          <w:rFonts w:hint="eastAsia" w:ascii="宋体" w:hAnsi="宋体"/>
          <w:b/>
          <w:kern w:val="44"/>
        </w:rPr>
        <w:t>第六条</w:t>
      </w:r>
      <w:r>
        <w:rPr>
          <w:rFonts w:hint="eastAsia" w:ascii="宋体" w:hAnsi="宋体"/>
          <w:kern w:val="44"/>
        </w:rPr>
        <w:t>　取得无线电频率使用权的单位和个人（以下简称频率使用人）应当按照市无线电管理机构批准的范围和用途使用频率，并按规定向市无线电管理机构缴纳频率占用费。</w:t>
      </w:r>
    </w:p>
    <w:p w14:paraId="4B912DC0">
      <w:pPr>
        <w:jc w:val="left"/>
        <w:rPr>
          <w:rFonts w:ascii="宋体" w:hAnsi="宋体"/>
          <w:kern w:val="44"/>
        </w:rPr>
      </w:pPr>
      <w:r>
        <w:rPr>
          <w:rFonts w:hint="eastAsia" w:ascii="宋体" w:hAnsi="宋体"/>
          <w:kern w:val="44"/>
        </w:rPr>
        <w:t>未经批准，任何单位和个人不得编制、使用电台呼号，不得扩大频率的使用范围或者改变使用用途，不得转让、出租或者变相出租无线电频率。</w:t>
      </w:r>
    </w:p>
    <w:p w14:paraId="3BA1E93A">
      <w:pPr>
        <w:ind w:firstLine="422"/>
        <w:jc w:val="left"/>
        <w:rPr>
          <w:rFonts w:ascii="宋体" w:hAnsi="宋体"/>
          <w:kern w:val="44"/>
        </w:rPr>
      </w:pPr>
      <w:r>
        <w:rPr>
          <w:rFonts w:hint="eastAsia" w:ascii="宋体" w:hAnsi="宋体"/>
          <w:b/>
          <w:kern w:val="44"/>
        </w:rPr>
        <w:t>第七条</w:t>
      </w:r>
      <w:r>
        <w:rPr>
          <w:rFonts w:hint="eastAsia" w:ascii="宋体" w:hAnsi="宋体"/>
          <w:kern w:val="44"/>
        </w:rPr>
        <w:t>　市无线电管理机构指配无线电频率时，应当按照国家要求明确无线电频率的使用期限。</w:t>
      </w:r>
    </w:p>
    <w:p w14:paraId="1FCDB262">
      <w:pPr>
        <w:jc w:val="left"/>
        <w:rPr>
          <w:rFonts w:ascii="宋体" w:hAnsi="宋体"/>
          <w:kern w:val="44"/>
        </w:rPr>
      </w:pPr>
      <w:r>
        <w:rPr>
          <w:rFonts w:hint="eastAsia" w:ascii="宋体" w:hAnsi="宋体"/>
          <w:kern w:val="44"/>
        </w:rPr>
        <w:t>使用期限届满需要继续使用的，频率使用人应当在使用期限届满30日前向市无线电管理机构提出延期申请。</w:t>
      </w:r>
    </w:p>
    <w:p w14:paraId="1E55A263">
      <w:pPr>
        <w:ind w:firstLine="422"/>
        <w:jc w:val="left"/>
        <w:rPr>
          <w:rFonts w:ascii="宋体" w:hAnsi="宋体"/>
          <w:kern w:val="44"/>
        </w:rPr>
      </w:pPr>
      <w:r>
        <w:rPr>
          <w:rFonts w:hint="eastAsia" w:ascii="宋体" w:hAnsi="宋体"/>
          <w:b/>
          <w:kern w:val="44"/>
        </w:rPr>
        <w:t>第八条</w:t>
      </w:r>
      <w:r>
        <w:rPr>
          <w:rFonts w:hint="eastAsia" w:ascii="宋体" w:hAnsi="宋体"/>
          <w:kern w:val="44"/>
        </w:rPr>
        <w:t>　经市无线电管理机构指配的无线电频率，除因不可抗拒原因外，超过一年不使用或者使用未达到原指配规定要求的，由市无线电管理机构全部或者部分收回已指配的无线电频率使用权，并书面告知频率使用人。</w:t>
      </w:r>
    </w:p>
    <w:p w14:paraId="3CBBFB25">
      <w:pPr>
        <w:ind w:firstLine="422"/>
        <w:jc w:val="left"/>
        <w:rPr>
          <w:rFonts w:ascii="宋体" w:hAnsi="宋体"/>
          <w:kern w:val="44"/>
        </w:rPr>
      </w:pPr>
      <w:r>
        <w:rPr>
          <w:rFonts w:hint="eastAsia" w:ascii="宋体" w:hAnsi="宋体"/>
          <w:b/>
          <w:kern w:val="44"/>
        </w:rPr>
        <w:t>第九条</w:t>
      </w:r>
      <w:r>
        <w:rPr>
          <w:rFonts w:hint="eastAsia" w:ascii="宋体" w:hAnsi="宋体"/>
          <w:kern w:val="44"/>
        </w:rPr>
        <w:t>　频率使用期限内需要提前终止使用的，频率使用人应当在终止使用之日起30日内到市无线电管理机构办理注销手续。</w:t>
      </w:r>
    </w:p>
    <w:p w14:paraId="2C189567">
      <w:pPr>
        <w:ind w:firstLine="422"/>
        <w:jc w:val="left"/>
        <w:rPr>
          <w:rFonts w:ascii="宋体" w:hAnsi="宋体"/>
          <w:kern w:val="44"/>
        </w:rPr>
      </w:pPr>
      <w:r>
        <w:rPr>
          <w:rFonts w:hint="eastAsia" w:ascii="宋体" w:hAnsi="宋体"/>
          <w:b/>
          <w:kern w:val="44"/>
        </w:rPr>
        <w:t>第十条</w:t>
      </w:r>
      <w:r>
        <w:rPr>
          <w:rFonts w:hint="eastAsia" w:ascii="宋体" w:hAnsi="宋体"/>
          <w:kern w:val="44"/>
        </w:rPr>
        <w:t>　因国家调整无线电频率规划、分配方案以及因国家利益或者公共利益需要，市无线电管理机构可以对已经指配的无线电频率进行调整或者收回。</w:t>
      </w:r>
    </w:p>
    <w:p w14:paraId="0F574015">
      <w:pPr>
        <w:jc w:val="left"/>
        <w:rPr>
          <w:rFonts w:ascii="宋体" w:hAnsi="宋体"/>
          <w:kern w:val="44"/>
        </w:rPr>
      </w:pPr>
      <w:r>
        <w:rPr>
          <w:rFonts w:hint="eastAsia" w:ascii="宋体" w:hAnsi="宋体"/>
          <w:kern w:val="44"/>
        </w:rPr>
        <w:t>市无线电管理机构做出调整或者收回无线电频率决定时，应当及时发布公告，告知频率使用人。频率使用人应当按照有关规定执行。</w:t>
      </w:r>
    </w:p>
    <w:p w14:paraId="60F98D6F">
      <w:pPr>
        <w:ind w:firstLine="422"/>
        <w:jc w:val="left"/>
        <w:rPr>
          <w:rFonts w:ascii="宋体" w:hAnsi="宋体"/>
          <w:kern w:val="44"/>
        </w:rPr>
      </w:pPr>
      <w:r>
        <w:rPr>
          <w:rFonts w:hint="eastAsia" w:ascii="宋体" w:hAnsi="宋体"/>
          <w:b/>
          <w:kern w:val="44"/>
        </w:rPr>
        <w:t>第十一条</w:t>
      </w:r>
      <w:r>
        <w:rPr>
          <w:rFonts w:hint="eastAsia" w:ascii="宋体" w:hAnsi="宋体"/>
          <w:kern w:val="44"/>
        </w:rPr>
        <w:t>　申请设置、使用无线电台（站）的，应当向市无线电管理机构提交书面申请和相关材料。</w:t>
      </w:r>
    </w:p>
    <w:p w14:paraId="35818ABC">
      <w:pPr>
        <w:jc w:val="left"/>
        <w:rPr>
          <w:rFonts w:ascii="宋体" w:hAnsi="宋体"/>
          <w:kern w:val="44"/>
        </w:rPr>
      </w:pPr>
      <w:r>
        <w:rPr>
          <w:rFonts w:hint="eastAsia" w:ascii="宋体" w:hAnsi="宋体"/>
          <w:kern w:val="44"/>
        </w:rPr>
        <w:t>市无线电管理机构应当在法定时间内进行审查，对符合条件的，颁发无线电台执照；不符合条件的，应当书面告知当事人，并说明理由。</w:t>
      </w:r>
    </w:p>
    <w:p w14:paraId="5E97FC4E">
      <w:pPr>
        <w:jc w:val="left"/>
        <w:rPr>
          <w:rFonts w:ascii="宋体" w:hAnsi="宋体"/>
          <w:kern w:val="44"/>
        </w:rPr>
      </w:pPr>
      <w:r>
        <w:rPr>
          <w:rFonts w:hint="eastAsia" w:ascii="宋体" w:hAnsi="宋体"/>
          <w:kern w:val="44"/>
        </w:rPr>
        <w:t>禁止转让、伪造或者变造无线电台执照。</w:t>
      </w:r>
    </w:p>
    <w:p w14:paraId="3B0AF334">
      <w:pPr>
        <w:ind w:firstLine="422"/>
        <w:jc w:val="left"/>
        <w:rPr>
          <w:rFonts w:ascii="宋体" w:hAnsi="宋体"/>
          <w:kern w:val="44"/>
        </w:rPr>
      </w:pPr>
      <w:r>
        <w:rPr>
          <w:rFonts w:hint="eastAsia" w:ascii="宋体" w:hAnsi="宋体"/>
          <w:b/>
          <w:kern w:val="44"/>
        </w:rPr>
        <w:t>第十二条</w:t>
      </w:r>
      <w:r>
        <w:rPr>
          <w:rFonts w:hint="eastAsia" w:ascii="宋体" w:hAnsi="宋体"/>
          <w:kern w:val="44"/>
        </w:rPr>
        <w:t>　在本市公布的高山、高塔、高楼和机场等重要地区设置的无线电台（站），应当进行电磁兼容分析测试，符合电磁兼容要求。</w:t>
      </w:r>
    </w:p>
    <w:p w14:paraId="5A30D9BD">
      <w:pPr>
        <w:ind w:firstLine="422"/>
        <w:jc w:val="left"/>
        <w:rPr>
          <w:rFonts w:ascii="宋体" w:hAnsi="宋体"/>
          <w:kern w:val="44"/>
        </w:rPr>
      </w:pPr>
      <w:r>
        <w:rPr>
          <w:rFonts w:hint="eastAsia" w:ascii="宋体" w:hAnsi="宋体"/>
          <w:b/>
          <w:kern w:val="44"/>
        </w:rPr>
        <w:t>第十三条</w:t>
      </w:r>
      <w:r>
        <w:rPr>
          <w:rFonts w:hint="eastAsia" w:ascii="宋体" w:hAnsi="宋体"/>
          <w:kern w:val="44"/>
        </w:rPr>
        <w:t>　持外地无线电台执照进入本市的无线电台，应当持无线电台执照到市无线电管理机构办理进入本市使用的有关手续，并按要求使用无线电台。</w:t>
      </w:r>
    </w:p>
    <w:p w14:paraId="56FC527C">
      <w:pPr>
        <w:ind w:firstLine="422"/>
        <w:jc w:val="left"/>
        <w:rPr>
          <w:rFonts w:ascii="宋体" w:hAnsi="宋体"/>
          <w:kern w:val="44"/>
        </w:rPr>
      </w:pPr>
      <w:r>
        <w:rPr>
          <w:rFonts w:hint="eastAsia" w:ascii="宋体" w:hAnsi="宋体"/>
          <w:b/>
          <w:kern w:val="44"/>
        </w:rPr>
        <w:t>第十四条</w:t>
      </w:r>
      <w:r>
        <w:rPr>
          <w:rFonts w:hint="eastAsia" w:ascii="宋体" w:hAnsi="宋体"/>
          <w:kern w:val="44"/>
        </w:rPr>
        <w:t>　取得无线电台执照的单位或者个人，应当按照核定的项目和技术参数工作。需要变更核定项目或者技术参数的，应当事前向市无线电管理机构申请办理变更手续。</w:t>
      </w:r>
    </w:p>
    <w:p w14:paraId="392BB83B">
      <w:pPr>
        <w:ind w:firstLine="422"/>
        <w:jc w:val="left"/>
        <w:rPr>
          <w:rFonts w:ascii="宋体" w:hAnsi="宋体"/>
          <w:kern w:val="44"/>
        </w:rPr>
      </w:pPr>
      <w:r>
        <w:rPr>
          <w:rFonts w:hint="eastAsia" w:ascii="宋体" w:hAnsi="宋体"/>
          <w:b/>
          <w:kern w:val="44"/>
        </w:rPr>
        <w:t>第十五条</w:t>
      </w:r>
      <w:r>
        <w:rPr>
          <w:rFonts w:hint="eastAsia" w:ascii="宋体" w:hAnsi="宋体"/>
          <w:kern w:val="44"/>
        </w:rPr>
        <w:t>　停用、报废或者依法被撤销无线电台（站）的，应当及时办理注销手续，收回无线电台执照。使用人应当采取措施对无线电台及其相关设备予以拆除、封存或者销毁。</w:t>
      </w:r>
    </w:p>
    <w:p w14:paraId="48771051">
      <w:pPr>
        <w:ind w:firstLine="422"/>
        <w:jc w:val="left"/>
        <w:rPr>
          <w:rFonts w:ascii="宋体" w:hAnsi="宋体"/>
          <w:kern w:val="44"/>
        </w:rPr>
      </w:pPr>
      <w:r>
        <w:rPr>
          <w:rFonts w:hint="eastAsia" w:ascii="宋体" w:hAnsi="宋体"/>
          <w:b/>
          <w:kern w:val="44"/>
        </w:rPr>
        <w:t>第十六条</w:t>
      </w:r>
      <w:r>
        <w:rPr>
          <w:rFonts w:hint="eastAsia" w:ascii="宋体" w:hAnsi="宋体"/>
          <w:kern w:val="44"/>
        </w:rPr>
        <w:t>　设置、使用无线电台（站）的，应当符合国家和本市城市规划、市容、环境保护等方面规定，与提供设台场所的产权人签订协议，明确无线电台（站）及其相关配套设施的维护管理责任。</w:t>
      </w:r>
    </w:p>
    <w:p w14:paraId="5572E943">
      <w:pPr>
        <w:jc w:val="left"/>
        <w:rPr>
          <w:rFonts w:ascii="宋体" w:hAnsi="宋体"/>
          <w:kern w:val="44"/>
        </w:rPr>
      </w:pPr>
      <w:r>
        <w:rPr>
          <w:rFonts w:hint="eastAsia" w:ascii="宋体" w:hAnsi="宋体"/>
          <w:kern w:val="44"/>
        </w:rPr>
        <w:t>提供设台场所的单位和个人，应当到市无线电管理机构对场地情况进行备案，配合市无线电管理机构的电磁兼容分析测试，并不得为未经批准的无线电台（站）提供设台场所。</w:t>
      </w:r>
    </w:p>
    <w:p w14:paraId="4C202BF3">
      <w:pPr>
        <w:jc w:val="left"/>
        <w:rPr>
          <w:rFonts w:ascii="宋体" w:hAnsi="宋体"/>
          <w:kern w:val="44"/>
        </w:rPr>
      </w:pPr>
      <w:r>
        <w:rPr>
          <w:rFonts w:hint="eastAsia" w:ascii="宋体" w:hAnsi="宋体"/>
          <w:kern w:val="44"/>
        </w:rPr>
        <w:t>提供设台场所的单位和个人应当遵守无线电管理相关规定，配合无线电管理机构的监督检查。</w:t>
      </w:r>
    </w:p>
    <w:p w14:paraId="4ED1FE92">
      <w:pPr>
        <w:ind w:firstLine="422"/>
        <w:jc w:val="left"/>
        <w:rPr>
          <w:rFonts w:ascii="宋体" w:hAnsi="宋体"/>
          <w:kern w:val="44"/>
        </w:rPr>
      </w:pPr>
      <w:r>
        <w:rPr>
          <w:rFonts w:hint="eastAsia" w:ascii="宋体" w:hAnsi="宋体"/>
          <w:b/>
          <w:kern w:val="44"/>
        </w:rPr>
        <w:t>第十七条</w:t>
      </w:r>
      <w:r>
        <w:rPr>
          <w:rFonts w:hint="eastAsia" w:ascii="宋体" w:hAnsi="宋体"/>
          <w:kern w:val="44"/>
        </w:rPr>
        <w:t>　市无线电管理机构应当根据本市无线电管理工作的需要，编制无线电监测设施的专项规划。市规划部门应当将无线电监测设施建设纳入城市规划。</w:t>
      </w:r>
    </w:p>
    <w:p w14:paraId="44107B0F">
      <w:pPr>
        <w:jc w:val="left"/>
        <w:rPr>
          <w:rFonts w:ascii="宋体" w:hAnsi="宋体"/>
          <w:kern w:val="44"/>
        </w:rPr>
      </w:pPr>
      <w:r>
        <w:rPr>
          <w:rFonts w:hint="eastAsia" w:ascii="宋体" w:hAnsi="宋体"/>
          <w:kern w:val="44"/>
        </w:rPr>
        <w:t>规划部门在无线电监测设施电磁环境保护范围内审批有可能影响无线电监测效果的建筑物、构筑物建设项目时，应当听取市无线电管理机构的意见。</w:t>
      </w:r>
    </w:p>
    <w:p w14:paraId="65D5F6F3">
      <w:pPr>
        <w:ind w:firstLine="422"/>
        <w:jc w:val="left"/>
        <w:rPr>
          <w:rFonts w:ascii="宋体" w:hAnsi="宋体"/>
          <w:kern w:val="44"/>
        </w:rPr>
      </w:pPr>
      <w:r>
        <w:rPr>
          <w:rFonts w:hint="eastAsia" w:ascii="宋体" w:hAnsi="宋体"/>
          <w:b/>
          <w:kern w:val="44"/>
        </w:rPr>
        <w:t>第十八条</w:t>
      </w:r>
      <w:r>
        <w:rPr>
          <w:rFonts w:hint="eastAsia" w:ascii="宋体" w:hAnsi="宋体"/>
          <w:kern w:val="44"/>
        </w:rPr>
        <w:t>　在本市进行无线电电磁环境测试，应当至少提前7日向市无线电管理机构报告，并在市无线电管理机构的监督下进行。任何单位和个人不得擅自进行无线电电磁环境测试。</w:t>
      </w:r>
    </w:p>
    <w:p w14:paraId="2CCF0033">
      <w:pPr>
        <w:jc w:val="left"/>
        <w:rPr>
          <w:rFonts w:ascii="宋体" w:hAnsi="宋体"/>
          <w:kern w:val="44"/>
        </w:rPr>
      </w:pPr>
      <w:r>
        <w:rPr>
          <w:rFonts w:hint="eastAsia" w:ascii="宋体" w:hAnsi="宋体"/>
          <w:kern w:val="44"/>
        </w:rPr>
        <w:t>环境保护和政府其他有关部门履行职责过程中开展电磁环境测试的，按照国家有关规定执行。</w:t>
      </w:r>
    </w:p>
    <w:p w14:paraId="4E186872">
      <w:pPr>
        <w:ind w:firstLine="422"/>
        <w:jc w:val="left"/>
        <w:rPr>
          <w:rFonts w:ascii="宋体" w:hAnsi="宋体"/>
          <w:kern w:val="44"/>
        </w:rPr>
      </w:pPr>
      <w:r>
        <w:rPr>
          <w:rFonts w:hint="eastAsia" w:ascii="宋体" w:hAnsi="宋体"/>
          <w:b/>
          <w:kern w:val="44"/>
        </w:rPr>
        <w:t>第十九条</w:t>
      </w:r>
      <w:r>
        <w:rPr>
          <w:rFonts w:hint="eastAsia" w:ascii="宋体" w:hAnsi="宋体"/>
          <w:kern w:val="44"/>
        </w:rPr>
        <w:t>　研制无线电发射设备所需要的工作频率和频段，应当符合技术标准和国家无线电管理有关规定。研制申请人应当按规定向市无线电管理机构提交书面申请及相关资料。</w:t>
      </w:r>
    </w:p>
    <w:p w14:paraId="2938A249">
      <w:pPr>
        <w:jc w:val="left"/>
        <w:rPr>
          <w:rFonts w:ascii="宋体" w:hAnsi="宋体"/>
          <w:kern w:val="44"/>
        </w:rPr>
      </w:pPr>
      <w:r>
        <w:rPr>
          <w:rFonts w:hint="eastAsia" w:ascii="宋体" w:hAnsi="宋体"/>
          <w:kern w:val="44"/>
        </w:rPr>
        <w:t>经核准的单位和个人，应当按照核准的频率、频段和发射功率等技术指标进行研制；需要变更技术指标时，应当重新提出申请。</w:t>
      </w:r>
    </w:p>
    <w:p w14:paraId="3727F305">
      <w:pPr>
        <w:ind w:firstLine="422"/>
        <w:jc w:val="left"/>
        <w:rPr>
          <w:rFonts w:ascii="宋体" w:hAnsi="宋体"/>
          <w:kern w:val="44"/>
        </w:rPr>
      </w:pPr>
      <w:r>
        <w:rPr>
          <w:rFonts w:hint="eastAsia" w:ascii="宋体" w:hAnsi="宋体"/>
          <w:b/>
          <w:kern w:val="44"/>
        </w:rPr>
        <w:t>第二十条</w:t>
      </w:r>
      <w:r>
        <w:rPr>
          <w:rFonts w:hint="eastAsia" w:ascii="宋体" w:hAnsi="宋体"/>
          <w:kern w:val="44"/>
        </w:rPr>
        <w:t>　生产无线电发射设备，其工作频率、频段和技术指标应当符合国家无线电管理的有关规定，并按规定报国家无线电管理机构或者市无线电管理机构备案。</w:t>
      </w:r>
    </w:p>
    <w:p w14:paraId="518667A2">
      <w:pPr>
        <w:jc w:val="left"/>
        <w:rPr>
          <w:rFonts w:ascii="宋体" w:hAnsi="宋体"/>
          <w:kern w:val="44"/>
        </w:rPr>
      </w:pPr>
      <w:r>
        <w:rPr>
          <w:rFonts w:hint="eastAsia" w:ascii="宋体" w:hAnsi="宋体"/>
          <w:kern w:val="44"/>
        </w:rPr>
        <w:t>不符合技术标准和国家无线电管理有关规定的无线电发射设备，不得投入生产。</w:t>
      </w:r>
    </w:p>
    <w:p w14:paraId="17ECE21B">
      <w:pPr>
        <w:ind w:firstLine="422"/>
        <w:jc w:val="left"/>
        <w:rPr>
          <w:rFonts w:ascii="宋体" w:hAnsi="宋体"/>
          <w:kern w:val="44"/>
        </w:rPr>
      </w:pPr>
      <w:r>
        <w:rPr>
          <w:rFonts w:hint="eastAsia" w:ascii="宋体" w:hAnsi="宋体"/>
          <w:b/>
          <w:kern w:val="44"/>
        </w:rPr>
        <w:t>第二十一条</w:t>
      </w:r>
      <w:r>
        <w:rPr>
          <w:rFonts w:hint="eastAsia" w:ascii="宋体" w:hAnsi="宋体"/>
          <w:kern w:val="44"/>
        </w:rPr>
        <w:t>　研制、生产无线电发射设备时，应当采取有效措施抑制电波辐射。需要进行实效发射试验的，应当经市无线电管理机构批准。</w:t>
      </w:r>
    </w:p>
    <w:p w14:paraId="664ADC32">
      <w:pPr>
        <w:ind w:firstLine="422"/>
        <w:jc w:val="left"/>
        <w:rPr>
          <w:rFonts w:ascii="宋体" w:hAnsi="宋体"/>
          <w:kern w:val="44"/>
        </w:rPr>
      </w:pPr>
      <w:r>
        <w:rPr>
          <w:rFonts w:hint="eastAsia" w:ascii="宋体" w:hAnsi="宋体"/>
          <w:b/>
          <w:kern w:val="44"/>
        </w:rPr>
        <w:t>第二十二条</w:t>
      </w:r>
      <w:r>
        <w:rPr>
          <w:rFonts w:hint="eastAsia" w:ascii="宋体" w:hAnsi="宋体"/>
          <w:kern w:val="44"/>
        </w:rPr>
        <w:t>　进口的无线电发射设备，其工作频率、频段和技术指标应当符合国家无线电管理的有关规定。</w:t>
      </w:r>
    </w:p>
    <w:p w14:paraId="040B18E5">
      <w:pPr>
        <w:jc w:val="left"/>
        <w:rPr>
          <w:rFonts w:ascii="宋体" w:hAnsi="宋体"/>
          <w:kern w:val="44"/>
        </w:rPr>
      </w:pPr>
      <w:r>
        <w:rPr>
          <w:rFonts w:hint="eastAsia" w:ascii="宋体" w:hAnsi="宋体"/>
          <w:kern w:val="44"/>
        </w:rPr>
        <w:t>需要进口或者临时进口无线电发射设备（含整机组装件和安装在其他进口设备上的无线电发射设备）的，应当向市无线电管理机构提出书面申请；经批准后，按照国家有关规定办理入关手续。</w:t>
      </w:r>
    </w:p>
    <w:p w14:paraId="6BEAB7D6">
      <w:pPr>
        <w:ind w:firstLine="422"/>
        <w:jc w:val="left"/>
        <w:rPr>
          <w:rFonts w:ascii="宋体" w:hAnsi="宋体"/>
          <w:kern w:val="44"/>
        </w:rPr>
      </w:pPr>
      <w:r>
        <w:rPr>
          <w:rFonts w:hint="eastAsia" w:ascii="宋体" w:hAnsi="宋体"/>
          <w:b/>
          <w:kern w:val="44"/>
        </w:rPr>
        <w:t>第二十三条</w:t>
      </w:r>
      <w:r>
        <w:rPr>
          <w:rFonts w:hint="eastAsia" w:ascii="宋体" w:hAnsi="宋体"/>
          <w:kern w:val="44"/>
        </w:rPr>
        <w:t>　销售和维修无线电发射设备的，应当遵守国家和本市有关管理规定。市无线电管理机构应当配合工商行政管理部门依法做好对销售无线电发射设备的监督检查。</w:t>
      </w:r>
    </w:p>
    <w:p w14:paraId="6D18DB82">
      <w:pPr>
        <w:jc w:val="left"/>
        <w:rPr>
          <w:rFonts w:ascii="宋体" w:hAnsi="宋体"/>
          <w:kern w:val="44"/>
        </w:rPr>
      </w:pPr>
      <w:r>
        <w:rPr>
          <w:rFonts w:hint="eastAsia" w:ascii="宋体" w:hAnsi="宋体"/>
          <w:kern w:val="44"/>
        </w:rPr>
        <w:t>不得销售不符合国家有关无线电管理规定和技术标准的无线电发射设备；维修无线电发射设备，不得改变已核准的技术参数。</w:t>
      </w:r>
    </w:p>
    <w:p w14:paraId="017EF5C5">
      <w:pPr>
        <w:ind w:firstLine="422"/>
        <w:jc w:val="left"/>
        <w:rPr>
          <w:rFonts w:ascii="宋体" w:hAnsi="宋体"/>
          <w:kern w:val="44"/>
        </w:rPr>
      </w:pPr>
      <w:r>
        <w:rPr>
          <w:rFonts w:hint="eastAsia" w:ascii="宋体" w:hAnsi="宋体"/>
          <w:b/>
          <w:kern w:val="44"/>
        </w:rPr>
        <w:t>第二十四条</w:t>
      </w:r>
      <w:r>
        <w:rPr>
          <w:rFonts w:hint="eastAsia" w:ascii="宋体" w:hAnsi="宋体"/>
          <w:kern w:val="44"/>
        </w:rPr>
        <w:t>　生产、使用辐射无线电波的非无线电设备的，必须符合国家有关规定，不得对无线电业务产生有害干扰。</w:t>
      </w:r>
    </w:p>
    <w:p w14:paraId="61A96219">
      <w:pPr>
        <w:jc w:val="left"/>
        <w:rPr>
          <w:rFonts w:ascii="宋体" w:hAnsi="宋体"/>
          <w:kern w:val="44"/>
        </w:rPr>
      </w:pPr>
      <w:r>
        <w:rPr>
          <w:rFonts w:hint="eastAsia" w:ascii="宋体" w:hAnsi="宋体"/>
          <w:kern w:val="44"/>
        </w:rPr>
        <w:t>辐射无线电波的非无线电设备对无线电台（站）产生有害干扰时，设备所有人或者使用人必须及时采取措施予以消除。</w:t>
      </w:r>
    </w:p>
    <w:p w14:paraId="4B233810">
      <w:pPr>
        <w:ind w:firstLine="422"/>
        <w:jc w:val="left"/>
        <w:rPr>
          <w:rFonts w:ascii="宋体" w:hAnsi="宋体"/>
          <w:kern w:val="44"/>
        </w:rPr>
      </w:pPr>
      <w:r>
        <w:rPr>
          <w:rFonts w:hint="eastAsia" w:ascii="宋体" w:hAnsi="宋体"/>
          <w:b/>
          <w:kern w:val="44"/>
        </w:rPr>
        <w:t>第二十五条</w:t>
      </w:r>
      <w:r>
        <w:rPr>
          <w:rFonts w:hint="eastAsia" w:ascii="宋体" w:hAnsi="宋体"/>
          <w:kern w:val="44"/>
        </w:rPr>
        <w:t>　在用的无线电发射设备应当定期进行维护，保证其性能指标符合国家相关技术标准。</w:t>
      </w:r>
    </w:p>
    <w:p w14:paraId="1C5A5C57">
      <w:pPr>
        <w:ind w:firstLine="422"/>
        <w:jc w:val="left"/>
        <w:rPr>
          <w:rFonts w:ascii="宋体" w:hAnsi="宋体"/>
          <w:kern w:val="44"/>
        </w:rPr>
      </w:pPr>
      <w:r>
        <w:rPr>
          <w:rFonts w:hint="eastAsia" w:ascii="宋体" w:hAnsi="宋体"/>
          <w:b/>
          <w:kern w:val="44"/>
        </w:rPr>
        <w:t>第二十六条</w:t>
      </w:r>
      <w:r>
        <w:rPr>
          <w:rFonts w:hint="eastAsia" w:ascii="宋体" w:hAnsi="宋体"/>
          <w:kern w:val="44"/>
        </w:rPr>
        <w:t>　市无线电管理机构应当依法加强对本市无线电电磁环境和无线电台（站）的监测，并对监测中发现的问题责令有关单位和个人限期整改。</w:t>
      </w:r>
    </w:p>
    <w:p w14:paraId="71324BFA">
      <w:pPr>
        <w:jc w:val="left"/>
        <w:rPr>
          <w:rFonts w:ascii="宋体" w:hAnsi="宋体"/>
          <w:kern w:val="44"/>
        </w:rPr>
      </w:pPr>
      <w:r>
        <w:rPr>
          <w:rFonts w:hint="eastAsia" w:ascii="宋体" w:hAnsi="宋体"/>
          <w:kern w:val="44"/>
        </w:rPr>
        <w:t>市无线电管理机构应当按照国家有关规定对无线电发射设备进行检测。经检测不符合国家技术标准的无线电发射设备，有关单位和个人应当停止使用。</w:t>
      </w:r>
    </w:p>
    <w:p w14:paraId="7948AB88">
      <w:pPr>
        <w:ind w:firstLine="422"/>
        <w:jc w:val="left"/>
        <w:rPr>
          <w:rFonts w:ascii="宋体" w:hAnsi="宋体"/>
          <w:kern w:val="44"/>
        </w:rPr>
      </w:pPr>
      <w:r>
        <w:rPr>
          <w:rFonts w:hint="eastAsia" w:ascii="宋体" w:hAnsi="宋体"/>
          <w:b/>
          <w:kern w:val="44"/>
        </w:rPr>
        <w:t>第二十七条</w:t>
      </w:r>
      <w:r>
        <w:rPr>
          <w:rFonts w:hint="eastAsia" w:ascii="宋体" w:hAnsi="宋体"/>
          <w:kern w:val="44"/>
        </w:rPr>
        <w:t>　市无线电管理机构进行监督检查时，有权采取下列措施：</w:t>
      </w:r>
    </w:p>
    <w:p w14:paraId="5E588BDA">
      <w:pPr>
        <w:jc w:val="left"/>
        <w:rPr>
          <w:rFonts w:ascii="宋体" w:hAnsi="宋体"/>
          <w:kern w:val="44"/>
        </w:rPr>
      </w:pPr>
      <w:r>
        <w:rPr>
          <w:rFonts w:hint="eastAsia" w:ascii="宋体" w:hAnsi="宋体"/>
          <w:kern w:val="44"/>
        </w:rPr>
        <w:t>（一）进行现场检查、勘验、取证；</w:t>
      </w:r>
    </w:p>
    <w:p w14:paraId="254100C5">
      <w:pPr>
        <w:jc w:val="left"/>
        <w:rPr>
          <w:rFonts w:ascii="宋体" w:hAnsi="宋体"/>
          <w:kern w:val="44"/>
        </w:rPr>
      </w:pPr>
      <w:r>
        <w:rPr>
          <w:rFonts w:hint="eastAsia" w:ascii="宋体" w:hAnsi="宋体"/>
          <w:kern w:val="44"/>
        </w:rPr>
        <w:t>（二）要求被检查的单位和个人提供有关材料和文件；</w:t>
      </w:r>
    </w:p>
    <w:p w14:paraId="76E3F136">
      <w:pPr>
        <w:jc w:val="left"/>
        <w:rPr>
          <w:rFonts w:ascii="宋体" w:hAnsi="宋体"/>
          <w:kern w:val="44"/>
        </w:rPr>
      </w:pPr>
      <w:r>
        <w:rPr>
          <w:rFonts w:hint="eastAsia" w:ascii="宋体" w:hAnsi="宋体"/>
          <w:kern w:val="44"/>
        </w:rPr>
        <w:t>（三）对擅自占用无线电频率、设置无线电台（站）的，实施技术措施予以制止；</w:t>
      </w:r>
    </w:p>
    <w:p w14:paraId="2E051AFC">
      <w:pPr>
        <w:jc w:val="left"/>
        <w:rPr>
          <w:rFonts w:ascii="宋体" w:hAnsi="宋体"/>
          <w:kern w:val="44"/>
        </w:rPr>
      </w:pPr>
      <w:r>
        <w:rPr>
          <w:rFonts w:hint="eastAsia" w:ascii="宋体" w:hAnsi="宋体"/>
          <w:kern w:val="44"/>
        </w:rPr>
        <w:t>（四）对非法使用的无线电发射设备等证据依法采取先行登记保存。</w:t>
      </w:r>
    </w:p>
    <w:p w14:paraId="75D94137">
      <w:pPr>
        <w:ind w:firstLine="422"/>
        <w:jc w:val="left"/>
        <w:rPr>
          <w:rFonts w:ascii="宋体" w:hAnsi="宋体"/>
          <w:kern w:val="44"/>
        </w:rPr>
      </w:pPr>
      <w:r>
        <w:rPr>
          <w:rFonts w:hint="eastAsia" w:ascii="宋体" w:hAnsi="宋体"/>
          <w:b/>
          <w:kern w:val="44"/>
        </w:rPr>
        <w:t>第二十八条</w:t>
      </w:r>
      <w:r>
        <w:rPr>
          <w:rFonts w:hint="eastAsia" w:ascii="宋体" w:hAnsi="宋体"/>
          <w:kern w:val="44"/>
        </w:rPr>
        <w:t>　市人民政府可以依法在特定的时间、区域、频段范围内实行无线电管制，对无线电发射设备以及辐射无线电波的非无线电设备的使用实行强制性管理。</w:t>
      </w:r>
    </w:p>
    <w:p w14:paraId="1220AB13">
      <w:pPr>
        <w:jc w:val="left"/>
        <w:rPr>
          <w:rFonts w:ascii="宋体" w:hAnsi="宋体"/>
          <w:kern w:val="44"/>
        </w:rPr>
      </w:pPr>
      <w:r>
        <w:rPr>
          <w:rFonts w:hint="eastAsia" w:ascii="宋体" w:hAnsi="宋体"/>
          <w:kern w:val="44"/>
        </w:rPr>
        <w:t>实行无线电管制期间，管制区域内所有设置、使用无线电发射设备以及辐射无线电波的非无线电设备的单位和个人，必须遵守管制的有关规定。</w:t>
      </w:r>
    </w:p>
    <w:p w14:paraId="04E55FA2">
      <w:pPr>
        <w:ind w:firstLine="422"/>
        <w:jc w:val="left"/>
        <w:rPr>
          <w:rFonts w:ascii="宋体" w:hAnsi="宋体"/>
          <w:kern w:val="44"/>
        </w:rPr>
      </w:pPr>
      <w:r>
        <w:rPr>
          <w:rFonts w:hint="eastAsia" w:ascii="宋体" w:hAnsi="宋体"/>
          <w:b/>
          <w:kern w:val="44"/>
        </w:rPr>
        <w:t>第二十九条</w:t>
      </w:r>
      <w:r>
        <w:rPr>
          <w:rFonts w:hint="eastAsia" w:ascii="宋体" w:hAnsi="宋体"/>
          <w:kern w:val="44"/>
        </w:rPr>
        <w:t>　未按规定缴纳无线电频率占用费的，由市无线电管理机构责令限期缴纳；逾期不缴纳的，按照规定加收滞纳金。</w:t>
      </w:r>
    </w:p>
    <w:p w14:paraId="77093490">
      <w:pPr>
        <w:ind w:firstLine="422"/>
        <w:jc w:val="left"/>
        <w:rPr>
          <w:rFonts w:ascii="宋体" w:hAnsi="宋体"/>
          <w:kern w:val="44"/>
        </w:rPr>
      </w:pPr>
      <w:r>
        <w:rPr>
          <w:rFonts w:hint="eastAsia" w:ascii="宋体" w:hAnsi="宋体"/>
          <w:b/>
          <w:kern w:val="44"/>
        </w:rPr>
        <w:t>第三十条</w:t>
      </w:r>
      <w:r>
        <w:rPr>
          <w:rFonts w:hint="eastAsia" w:ascii="宋体" w:hAnsi="宋体"/>
          <w:kern w:val="44"/>
        </w:rPr>
        <w:t>　违反本办法规定，有下列情形之一的，市无线电管理机构可以依据《无线电管理条例》给予警告、查封或者没收设备、没收非法所得的处罚；情节严重的，可以并处1000元以上5000元以下的罚款或者吊销其电台执照：</w:t>
      </w:r>
    </w:p>
    <w:p w14:paraId="28C5BCA2">
      <w:pPr>
        <w:jc w:val="left"/>
        <w:rPr>
          <w:rFonts w:ascii="宋体" w:hAnsi="宋体"/>
          <w:kern w:val="44"/>
        </w:rPr>
      </w:pPr>
      <w:r>
        <w:rPr>
          <w:rFonts w:hint="eastAsia" w:ascii="宋体" w:hAnsi="宋体"/>
          <w:kern w:val="44"/>
        </w:rPr>
        <w:t>（一）擅自改变无线电台站址、天线高度、发射功率、使用频率等核定项目的；</w:t>
      </w:r>
    </w:p>
    <w:p w14:paraId="74B191E3">
      <w:pPr>
        <w:jc w:val="left"/>
        <w:rPr>
          <w:rFonts w:ascii="宋体" w:hAnsi="宋体"/>
          <w:kern w:val="44"/>
        </w:rPr>
      </w:pPr>
      <w:r>
        <w:rPr>
          <w:rFonts w:hint="eastAsia" w:ascii="宋体" w:hAnsi="宋体"/>
          <w:kern w:val="44"/>
        </w:rPr>
        <w:t>（二）擅自扩大无线电频率使用范围、改变用途的；</w:t>
      </w:r>
    </w:p>
    <w:p w14:paraId="560BE1E3">
      <w:pPr>
        <w:jc w:val="left"/>
        <w:rPr>
          <w:rFonts w:ascii="宋体" w:hAnsi="宋体"/>
          <w:kern w:val="44"/>
        </w:rPr>
      </w:pPr>
      <w:r>
        <w:rPr>
          <w:rFonts w:hint="eastAsia" w:ascii="宋体" w:hAnsi="宋体"/>
          <w:kern w:val="44"/>
        </w:rPr>
        <w:t>（三）擅自编制、使用电台呼号的；</w:t>
      </w:r>
    </w:p>
    <w:p w14:paraId="12896BD2">
      <w:pPr>
        <w:jc w:val="left"/>
        <w:rPr>
          <w:rFonts w:ascii="宋体" w:hAnsi="宋体"/>
          <w:kern w:val="44"/>
        </w:rPr>
      </w:pPr>
      <w:r>
        <w:rPr>
          <w:rFonts w:hint="eastAsia" w:ascii="宋体" w:hAnsi="宋体"/>
          <w:kern w:val="44"/>
        </w:rPr>
        <w:t>（四）研制、生产无线电发射设备，没有采取有效措施抑制电波发射，并对合法无线电台（站）产生有害干扰的；</w:t>
      </w:r>
    </w:p>
    <w:p w14:paraId="296F0AB0">
      <w:pPr>
        <w:jc w:val="left"/>
        <w:rPr>
          <w:rFonts w:ascii="宋体" w:hAnsi="宋体"/>
          <w:kern w:val="44"/>
        </w:rPr>
      </w:pPr>
      <w:r>
        <w:rPr>
          <w:rFonts w:hint="eastAsia" w:ascii="宋体" w:hAnsi="宋体"/>
          <w:kern w:val="44"/>
        </w:rPr>
        <w:t>（五）研制、生产无线电发射设备时，擅自进行实效发射试验的；</w:t>
      </w:r>
    </w:p>
    <w:p w14:paraId="5231E61C">
      <w:pPr>
        <w:jc w:val="left"/>
        <w:rPr>
          <w:rFonts w:ascii="宋体" w:hAnsi="宋体"/>
          <w:kern w:val="44"/>
        </w:rPr>
      </w:pPr>
      <w:r>
        <w:rPr>
          <w:rFonts w:hint="eastAsia" w:ascii="宋体" w:hAnsi="宋体"/>
          <w:kern w:val="44"/>
        </w:rPr>
        <w:t>（六）设置、使用不符合国家规定或者技术标准的无线电发射设备，对无线电业务造成干扰的；</w:t>
      </w:r>
    </w:p>
    <w:p w14:paraId="07BB3163">
      <w:pPr>
        <w:jc w:val="left"/>
        <w:rPr>
          <w:rFonts w:ascii="宋体" w:hAnsi="宋体"/>
          <w:kern w:val="44"/>
        </w:rPr>
      </w:pPr>
      <w:r>
        <w:rPr>
          <w:rFonts w:hint="eastAsia" w:ascii="宋体" w:hAnsi="宋体"/>
          <w:kern w:val="44"/>
        </w:rPr>
        <w:t>（七）使用辐射无线电波的非无线电设备对合法无线电用户造成有害干扰，经责令停止使用后拒不执行的。</w:t>
      </w:r>
    </w:p>
    <w:p w14:paraId="45A7B7AD">
      <w:pPr>
        <w:ind w:firstLine="422"/>
        <w:jc w:val="left"/>
        <w:rPr>
          <w:rFonts w:ascii="宋体" w:hAnsi="宋体"/>
          <w:kern w:val="44"/>
        </w:rPr>
      </w:pPr>
      <w:r>
        <w:rPr>
          <w:rFonts w:hint="eastAsia" w:ascii="宋体" w:hAnsi="宋体"/>
          <w:b/>
          <w:kern w:val="44"/>
        </w:rPr>
        <w:t>第三十一条</w:t>
      </w:r>
      <w:r>
        <w:rPr>
          <w:rFonts w:hint="eastAsia" w:ascii="宋体" w:hAnsi="宋体"/>
          <w:kern w:val="44"/>
        </w:rPr>
        <w:t>　违反本办法规定，为他人设置无线电台（站）提供场所的单位和个人未对场地情况进行备案，或者在查处违法设置无线电台（站）工作过程中拒不履行配合义务，造成严重影响的，由市无线电管理机构给予警告，可以并处2万元以下的罚款。</w:t>
      </w:r>
    </w:p>
    <w:p w14:paraId="4CA5CAF9">
      <w:pPr>
        <w:ind w:firstLine="422"/>
        <w:jc w:val="left"/>
        <w:rPr>
          <w:rFonts w:ascii="宋体" w:hAnsi="宋体"/>
          <w:kern w:val="44"/>
        </w:rPr>
      </w:pPr>
      <w:r>
        <w:rPr>
          <w:rFonts w:hint="eastAsia" w:ascii="宋体" w:hAnsi="宋体"/>
          <w:b/>
          <w:kern w:val="44"/>
        </w:rPr>
        <w:t>第三十二条</w:t>
      </w:r>
      <w:r>
        <w:rPr>
          <w:rFonts w:hint="eastAsia" w:ascii="宋体" w:hAnsi="宋体"/>
          <w:kern w:val="44"/>
        </w:rPr>
        <w:t>　违反本办法规定，开展无线电电磁环境测试未进行报告或者拒不接受监督的，由市无线电管理机构责令限期改正，给予警告，可以并处5000元以下的罚款。</w:t>
      </w:r>
    </w:p>
    <w:p w14:paraId="57EE37F2">
      <w:pPr>
        <w:ind w:firstLine="422"/>
        <w:jc w:val="left"/>
        <w:rPr>
          <w:rFonts w:ascii="宋体" w:hAnsi="宋体"/>
          <w:kern w:val="44"/>
        </w:rPr>
      </w:pPr>
      <w:r>
        <w:rPr>
          <w:rFonts w:hint="eastAsia" w:ascii="宋体" w:hAnsi="宋体"/>
          <w:b/>
          <w:kern w:val="44"/>
        </w:rPr>
        <w:t>第三十三条</w:t>
      </w:r>
      <w:r>
        <w:rPr>
          <w:rFonts w:hint="eastAsia" w:ascii="宋体" w:hAnsi="宋体"/>
          <w:kern w:val="44"/>
        </w:rPr>
        <w:t>　对有下列违法行为之一的，由市无线电管理机构责令限期改正，给予警告，可以并处3万元以下的罚款：</w:t>
      </w:r>
    </w:p>
    <w:p w14:paraId="5E9C9C71">
      <w:pPr>
        <w:jc w:val="left"/>
        <w:rPr>
          <w:rFonts w:ascii="宋体" w:hAnsi="宋体"/>
          <w:kern w:val="44"/>
        </w:rPr>
      </w:pPr>
      <w:r>
        <w:rPr>
          <w:rFonts w:hint="eastAsia" w:ascii="宋体" w:hAnsi="宋体"/>
          <w:kern w:val="44"/>
        </w:rPr>
        <w:t>（一）转让、伪造或者变造无线电台执照的；</w:t>
      </w:r>
    </w:p>
    <w:p w14:paraId="1491A14D">
      <w:pPr>
        <w:jc w:val="left"/>
        <w:rPr>
          <w:rFonts w:ascii="宋体" w:hAnsi="宋体"/>
          <w:kern w:val="44"/>
        </w:rPr>
      </w:pPr>
      <w:r>
        <w:rPr>
          <w:rFonts w:hint="eastAsia" w:ascii="宋体" w:hAnsi="宋体"/>
          <w:kern w:val="44"/>
        </w:rPr>
        <w:t>（二）停用、撤销无线电台（站），未采取拆除、封存或者销毁措施的；</w:t>
      </w:r>
    </w:p>
    <w:p w14:paraId="4DCB1ABF">
      <w:pPr>
        <w:jc w:val="left"/>
        <w:rPr>
          <w:rFonts w:ascii="宋体" w:hAnsi="宋体"/>
          <w:kern w:val="44"/>
        </w:rPr>
      </w:pPr>
      <w:r>
        <w:rPr>
          <w:rFonts w:hint="eastAsia" w:ascii="宋体" w:hAnsi="宋体"/>
          <w:kern w:val="44"/>
        </w:rPr>
        <w:t>（三）拒不执行国家或者本市调整、收回指配频率决定的；</w:t>
      </w:r>
    </w:p>
    <w:p w14:paraId="6577F113">
      <w:pPr>
        <w:jc w:val="left"/>
        <w:rPr>
          <w:rFonts w:ascii="宋体" w:hAnsi="宋体"/>
          <w:kern w:val="44"/>
        </w:rPr>
      </w:pPr>
      <w:r>
        <w:rPr>
          <w:rFonts w:hint="eastAsia" w:ascii="宋体" w:hAnsi="宋体"/>
          <w:kern w:val="44"/>
        </w:rPr>
        <w:t>（四）不遵守无线电管制规定的。</w:t>
      </w:r>
    </w:p>
    <w:p w14:paraId="0C01A14F">
      <w:pPr>
        <w:ind w:firstLine="422"/>
        <w:jc w:val="left"/>
        <w:rPr>
          <w:rFonts w:ascii="宋体" w:hAnsi="宋体"/>
          <w:kern w:val="44"/>
        </w:rPr>
      </w:pPr>
      <w:r>
        <w:rPr>
          <w:rFonts w:hint="eastAsia" w:ascii="宋体" w:hAnsi="宋体"/>
          <w:b/>
          <w:kern w:val="44"/>
        </w:rPr>
        <w:t>第三十四条</w:t>
      </w:r>
      <w:r>
        <w:rPr>
          <w:rFonts w:hint="eastAsia" w:ascii="宋体" w:hAnsi="宋体"/>
          <w:kern w:val="44"/>
        </w:rPr>
        <w:t>　销售不符合国家无线电管理有关规定或者技术标准的无线电发射设备的，由工商行政管理部门依法进行处罚。</w:t>
      </w:r>
    </w:p>
    <w:p w14:paraId="031C485E">
      <w:pPr>
        <w:ind w:firstLine="422"/>
        <w:jc w:val="left"/>
        <w:rPr>
          <w:rFonts w:ascii="宋体" w:hAnsi="宋体"/>
          <w:kern w:val="44"/>
        </w:rPr>
      </w:pPr>
      <w:r>
        <w:rPr>
          <w:rFonts w:hint="eastAsia" w:ascii="宋体" w:hAnsi="宋体"/>
          <w:b/>
          <w:kern w:val="44"/>
        </w:rPr>
        <w:t>第三十五条</w:t>
      </w:r>
      <w:r>
        <w:rPr>
          <w:rFonts w:hint="eastAsia" w:ascii="宋体" w:hAnsi="宋体"/>
          <w:kern w:val="44"/>
        </w:rPr>
        <w:t>　违反国家规定，故意干扰无线电业务正常进行的，或者对正常运行的无线电台（站）产生有害干扰，经市无线电管理机构依法给予行政处罚后，拒不采取有效措施消除的，由公安机关依照《中华人民共和国治安管理处罚法》第二十八条的规定给予相应处罚。</w:t>
      </w:r>
    </w:p>
    <w:p w14:paraId="6215CECD">
      <w:pPr>
        <w:ind w:firstLine="422"/>
        <w:jc w:val="left"/>
        <w:rPr>
          <w:rFonts w:ascii="宋体" w:hAnsi="宋体"/>
          <w:kern w:val="44"/>
        </w:rPr>
      </w:pPr>
      <w:r>
        <w:rPr>
          <w:rFonts w:hint="eastAsia" w:ascii="宋体" w:hAnsi="宋体"/>
          <w:b/>
          <w:kern w:val="44"/>
        </w:rPr>
        <w:t>第三十六条</w:t>
      </w:r>
      <w:r>
        <w:rPr>
          <w:rFonts w:hint="eastAsia" w:ascii="宋体" w:hAnsi="宋体"/>
          <w:kern w:val="44"/>
        </w:rPr>
        <w:t>　违反国家规定，擅自设置、使用无线电台（站），或者擅自占用频率，经责令停止使用后拒不停止使用，干扰无线电通讯正常进行，造成严重后果，构成犯罪的，依法追究刑事责任。</w:t>
      </w:r>
    </w:p>
    <w:p w14:paraId="73360555">
      <w:pPr>
        <w:ind w:firstLine="422"/>
        <w:jc w:val="left"/>
        <w:rPr>
          <w:rFonts w:ascii="宋体" w:hAnsi="宋体"/>
          <w:kern w:val="44"/>
        </w:rPr>
      </w:pPr>
      <w:r>
        <w:rPr>
          <w:rFonts w:hint="eastAsia" w:ascii="宋体" w:hAnsi="宋体"/>
          <w:b/>
          <w:kern w:val="44"/>
        </w:rPr>
        <w:t>第三十七条</w:t>
      </w:r>
      <w:r>
        <w:rPr>
          <w:rFonts w:hint="eastAsia" w:ascii="宋体" w:hAnsi="宋体"/>
          <w:kern w:val="44"/>
        </w:rPr>
        <w:t>　设置、使用业余无线电台的，按照国家有关业余无线电台（站）管理的规定办理。</w:t>
      </w:r>
    </w:p>
    <w:p w14:paraId="268FDDCD">
      <w:pPr>
        <w:ind w:firstLine="422"/>
        <w:jc w:val="left"/>
        <w:rPr>
          <w:rFonts w:ascii="宋体" w:hAnsi="宋体"/>
          <w:kern w:val="44"/>
        </w:rPr>
      </w:pPr>
      <w:r>
        <w:rPr>
          <w:rFonts w:hint="eastAsia" w:ascii="宋体" w:hAnsi="宋体"/>
          <w:b/>
          <w:kern w:val="44"/>
        </w:rPr>
        <w:t>第三十八条</w:t>
      </w:r>
      <w:r>
        <w:rPr>
          <w:rFonts w:hint="eastAsia" w:ascii="宋体" w:hAnsi="宋体"/>
          <w:kern w:val="44"/>
        </w:rPr>
        <w:t>　本办法自2006年12月1日起施行。1993年4月17日北京市人民政府第4号令发布、根据1997年12月31日北京市人民政府第12号令修改的《北京市无线电台设置使用管理规定》，以及1995年7月1日北京市人民政府批准、1995年8月1日北京市无线电管理局发布、根据1997年12月31日北京市人民政府第12号令第一次修改、根据2002年2月11日北京市人民政府第92号令第二次修改的《北京市研制、生产、进口无线电发射设备管理规定》同时废止。</w:t>
      </w:r>
    </w:p>
    <w:p w14:paraId="7D1CF490">
      <w:pPr>
        <w:pStyle w:val="4"/>
        <w:pageBreakBefore/>
        <w:rPr>
          <w:kern w:val="44"/>
        </w:rPr>
      </w:pPr>
      <w:bookmarkStart w:id="727" w:name="_Toc427651504"/>
      <w:bookmarkStart w:id="728" w:name="_Toc422471207"/>
      <w:bookmarkStart w:id="729" w:name="_Toc428780070"/>
      <w:bookmarkStart w:id="730" w:name="_Toc427651846"/>
      <w:bookmarkStart w:id="731" w:name="_Toc428781552"/>
      <w:r>
        <w:rPr>
          <w:rFonts w:hint="eastAsia"/>
          <w:kern w:val="44"/>
        </w:rPr>
        <w:t>北京市快递安全管理办法</w:t>
      </w:r>
      <w:bookmarkEnd w:id="727"/>
      <w:bookmarkEnd w:id="728"/>
      <w:bookmarkEnd w:id="729"/>
      <w:bookmarkEnd w:id="730"/>
      <w:bookmarkEnd w:id="731"/>
    </w:p>
    <w:p w14:paraId="40412B87">
      <w:pPr>
        <w:jc w:val="left"/>
        <w:rPr>
          <w:rFonts w:ascii="宋体" w:hAnsi="宋体"/>
          <w:kern w:val="44"/>
        </w:rPr>
      </w:pPr>
    </w:p>
    <w:p w14:paraId="70A0DE0F">
      <w:pPr>
        <w:ind w:left="630" w:leftChars="300" w:right="630" w:rightChars="300"/>
        <w:jc w:val="left"/>
        <w:rPr>
          <w:rFonts w:ascii="楷体" w:hAnsi="楷体" w:eastAsia="楷体"/>
          <w:kern w:val="44"/>
        </w:rPr>
      </w:pPr>
      <w:r>
        <w:rPr>
          <w:rFonts w:hint="eastAsia" w:ascii="楷体" w:hAnsi="楷体" w:eastAsia="楷体"/>
          <w:kern w:val="44"/>
        </w:rPr>
        <w:t>（2013年11月19日北京市人民政府第21次常务会议审议通过  2013年12月5日北京市人民政府令第253号公布）</w:t>
      </w:r>
    </w:p>
    <w:p w14:paraId="3D6D42C0">
      <w:pPr>
        <w:jc w:val="left"/>
        <w:rPr>
          <w:rFonts w:ascii="宋体" w:hAnsi="宋体"/>
          <w:kern w:val="44"/>
        </w:rPr>
      </w:pPr>
    </w:p>
    <w:p w14:paraId="3533BFCE">
      <w:pPr>
        <w:ind w:firstLine="422"/>
        <w:jc w:val="left"/>
        <w:rPr>
          <w:rFonts w:ascii="宋体" w:hAnsi="宋体"/>
          <w:kern w:val="44"/>
        </w:rPr>
      </w:pPr>
      <w:r>
        <w:rPr>
          <w:rFonts w:hint="eastAsia" w:ascii="宋体" w:hAnsi="宋体"/>
          <w:b/>
          <w:kern w:val="44"/>
        </w:rPr>
        <w:t>第一条</w:t>
      </w:r>
      <w:r>
        <w:rPr>
          <w:rFonts w:hint="eastAsia" w:ascii="宋体" w:hAnsi="宋体"/>
          <w:kern w:val="44"/>
        </w:rPr>
        <w:t>　为规范快递经营行为，保障快件寄递安全、信息安全、公共安全，促进本市快递行业健康发展，根据《中华人民共和国邮政法》以及其他法律、法规，结合本市实际，制定本办法。</w:t>
      </w:r>
    </w:p>
    <w:p w14:paraId="53058047">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本市行政区域内快递活动的安全管理，适用本办法。</w:t>
      </w:r>
    </w:p>
    <w:p w14:paraId="6B5F00F1">
      <w:pPr>
        <w:ind w:firstLine="422"/>
        <w:jc w:val="left"/>
        <w:rPr>
          <w:rFonts w:ascii="宋体" w:hAnsi="宋体"/>
          <w:kern w:val="44"/>
        </w:rPr>
      </w:pPr>
      <w:r>
        <w:rPr>
          <w:rFonts w:hint="eastAsia" w:ascii="宋体" w:hAnsi="宋体"/>
          <w:b/>
          <w:kern w:val="44"/>
        </w:rPr>
        <w:t>第三条</w:t>
      </w:r>
      <w:r>
        <w:rPr>
          <w:rFonts w:hint="eastAsia" w:ascii="宋体" w:hAnsi="宋体"/>
          <w:kern w:val="44"/>
        </w:rPr>
        <w:t>　快递安全管理按照预防为主、规范经营的原则，建立企业负责、行业自律、政府监管、社会监督的机制。</w:t>
      </w:r>
    </w:p>
    <w:p w14:paraId="7267966C">
      <w:pPr>
        <w:ind w:firstLine="422"/>
        <w:jc w:val="left"/>
        <w:rPr>
          <w:rFonts w:ascii="宋体" w:hAnsi="宋体"/>
          <w:kern w:val="44"/>
        </w:rPr>
      </w:pPr>
      <w:r>
        <w:rPr>
          <w:rFonts w:hint="eastAsia" w:ascii="宋体" w:hAnsi="宋体"/>
          <w:b/>
          <w:kern w:val="44"/>
        </w:rPr>
        <w:t>第四条</w:t>
      </w:r>
      <w:r>
        <w:rPr>
          <w:rFonts w:hint="eastAsia" w:ascii="宋体" w:hAnsi="宋体"/>
          <w:kern w:val="44"/>
        </w:rPr>
        <w:t>　市邮政管理部门及其所属管理机构负责本市快递经营活动的监督管理和快递安全管理统筹协调工作。</w:t>
      </w:r>
    </w:p>
    <w:p w14:paraId="4AB38991">
      <w:pPr>
        <w:jc w:val="left"/>
        <w:rPr>
          <w:rFonts w:ascii="宋体" w:hAnsi="宋体"/>
          <w:kern w:val="44"/>
        </w:rPr>
      </w:pPr>
      <w:r>
        <w:rPr>
          <w:rFonts w:hint="eastAsia" w:ascii="宋体" w:hAnsi="宋体"/>
          <w:kern w:val="44"/>
        </w:rPr>
        <w:t>公安、国家安全、海关等部门按照职责做好快递安全的监督管理工作。</w:t>
      </w:r>
    </w:p>
    <w:p w14:paraId="6E342EED">
      <w:pPr>
        <w:jc w:val="left"/>
        <w:rPr>
          <w:rFonts w:ascii="宋体" w:hAnsi="宋体"/>
          <w:kern w:val="44"/>
        </w:rPr>
      </w:pPr>
      <w:r>
        <w:rPr>
          <w:rFonts w:hint="eastAsia" w:ascii="宋体" w:hAnsi="宋体"/>
          <w:kern w:val="44"/>
        </w:rPr>
        <w:t>交通、工商、商务等部门按照职责做好相关管理工作。</w:t>
      </w:r>
    </w:p>
    <w:p w14:paraId="63260AFB">
      <w:pPr>
        <w:ind w:firstLine="422"/>
        <w:jc w:val="left"/>
        <w:rPr>
          <w:rFonts w:ascii="宋体" w:hAnsi="宋体"/>
          <w:kern w:val="44"/>
        </w:rPr>
      </w:pPr>
      <w:r>
        <w:rPr>
          <w:rFonts w:hint="eastAsia" w:ascii="宋体" w:hAnsi="宋体"/>
          <w:b/>
          <w:kern w:val="44"/>
        </w:rPr>
        <w:t>第五条</w:t>
      </w:r>
      <w:r>
        <w:rPr>
          <w:rFonts w:hint="eastAsia" w:ascii="宋体" w:hAnsi="宋体"/>
          <w:kern w:val="44"/>
        </w:rPr>
        <w:t>　从事快递经营业务的企业（以下简称“快递企业”），应当符合《中华人民共和国邮政法》规定的条件，依法取得快递业务经营许可。未经许可，任何单位和个人不得经营快递业务。</w:t>
      </w:r>
    </w:p>
    <w:p w14:paraId="431A3A53">
      <w:pPr>
        <w:jc w:val="left"/>
        <w:rPr>
          <w:rFonts w:ascii="宋体" w:hAnsi="宋体"/>
          <w:kern w:val="44"/>
        </w:rPr>
      </w:pPr>
      <w:r>
        <w:rPr>
          <w:rFonts w:hint="eastAsia" w:ascii="宋体" w:hAnsi="宋体"/>
          <w:kern w:val="44"/>
        </w:rPr>
        <w:t>从事国际快递经营业务的，还应当遵守有关海关法律法规的规定。</w:t>
      </w:r>
    </w:p>
    <w:p w14:paraId="6C390A07">
      <w:pPr>
        <w:ind w:firstLine="422"/>
        <w:jc w:val="left"/>
        <w:rPr>
          <w:rFonts w:ascii="宋体" w:hAnsi="宋体"/>
          <w:kern w:val="44"/>
        </w:rPr>
      </w:pPr>
      <w:r>
        <w:rPr>
          <w:rFonts w:hint="eastAsia" w:ascii="宋体" w:hAnsi="宋体"/>
          <w:b/>
          <w:kern w:val="44"/>
        </w:rPr>
        <w:t>第六条</w:t>
      </w:r>
      <w:r>
        <w:rPr>
          <w:rFonts w:hint="eastAsia" w:ascii="宋体" w:hAnsi="宋体"/>
          <w:kern w:val="44"/>
        </w:rPr>
        <w:t>　在本市申请快递业务经营许可，应当具备下列服务能力：</w:t>
      </w:r>
    </w:p>
    <w:p w14:paraId="3833C246">
      <w:pPr>
        <w:jc w:val="left"/>
        <w:rPr>
          <w:rFonts w:ascii="宋体" w:hAnsi="宋体"/>
          <w:kern w:val="44"/>
        </w:rPr>
      </w:pPr>
      <w:r>
        <w:rPr>
          <w:rFonts w:hint="eastAsia" w:ascii="宋体" w:hAnsi="宋体"/>
          <w:kern w:val="44"/>
        </w:rPr>
        <w:t>（一）符合标准的快件处理场所；</w:t>
      </w:r>
    </w:p>
    <w:p w14:paraId="1855CA60">
      <w:pPr>
        <w:jc w:val="left"/>
        <w:rPr>
          <w:rFonts w:ascii="宋体" w:hAnsi="宋体"/>
          <w:kern w:val="44"/>
        </w:rPr>
      </w:pPr>
      <w:r>
        <w:rPr>
          <w:rFonts w:hint="eastAsia" w:ascii="宋体" w:hAnsi="宋体"/>
          <w:kern w:val="44"/>
        </w:rPr>
        <w:t>（二）符合标准的快递营业场所，面积不少于50平方米；</w:t>
      </w:r>
    </w:p>
    <w:p w14:paraId="767E6C91">
      <w:pPr>
        <w:jc w:val="left"/>
        <w:rPr>
          <w:rFonts w:ascii="宋体" w:hAnsi="宋体"/>
          <w:kern w:val="44"/>
        </w:rPr>
      </w:pPr>
      <w:r>
        <w:rPr>
          <w:rFonts w:hint="eastAsia" w:ascii="宋体" w:hAnsi="宋体"/>
          <w:kern w:val="44"/>
        </w:rPr>
        <w:t>（三）符合本市运输标准的机动车辆；</w:t>
      </w:r>
    </w:p>
    <w:p w14:paraId="5862D8BA">
      <w:pPr>
        <w:jc w:val="left"/>
        <w:rPr>
          <w:rFonts w:ascii="宋体" w:hAnsi="宋体"/>
          <w:kern w:val="44"/>
        </w:rPr>
      </w:pPr>
      <w:r>
        <w:rPr>
          <w:rFonts w:hint="eastAsia" w:ascii="宋体" w:hAnsi="宋体"/>
          <w:kern w:val="44"/>
        </w:rPr>
        <w:t>（四）能够提供寄递快件的电话查询服务，具备快件跟踪查询的信息网络系统；</w:t>
      </w:r>
    </w:p>
    <w:p w14:paraId="2FD4DE14">
      <w:pPr>
        <w:jc w:val="left"/>
        <w:rPr>
          <w:rFonts w:ascii="宋体" w:hAnsi="宋体"/>
          <w:kern w:val="44"/>
        </w:rPr>
      </w:pPr>
      <w:r>
        <w:rPr>
          <w:rFonts w:hint="eastAsia" w:ascii="宋体" w:hAnsi="宋体"/>
          <w:kern w:val="44"/>
        </w:rPr>
        <w:t>（五）通过资格认定的快递业务员的比率不低于40％；每个营业场所配有2名以上通过资格认定的快递业务员。</w:t>
      </w:r>
    </w:p>
    <w:p w14:paraId="06262AA0">
      <w:pPr>
        <w:ind w:firstLine="422"/>
        <w:jc w:val="left"/>
        <w:rPr>
          <w:rFonts w:ascii="宋体" w:hAnsi="宋体"/>
          <w:kern w:val="44"/>
        </w:rPr>
      </w:pPr>
      <w:r>
        <w:rPr>
          <w:rFonts w:hint="eastAsia" w:ascii="宋体" w:hAnsi="宋体"/>
          <w:b/>
          <w:kern w:val="44"/>
        </w:rPr>
        <w:t>第七条</w:t>
      </w:r>
      <w:r>
        <w:rPr>
          <w:rFonts w:hint="eastAsia" w:ascii="宋体" w:hAnsi="宋体"/>
          <w:kern w:val="44"/>
        </w:rPr>
        <w:t>　采用商业特许经营形式从事快递经营业务的企业，应当取得快递业务经营许可，并签订书面特许协议，特许人应当在协议签订后15日内到邮政管理部门备案。</w:t>
      </w:r>
    </w:p>
    <w:p w14:paraId="1B5B6955">
      <w:pPr>
        <w:ind w:firstLine="422"/>
        <w:jc w:val="left"/>
        <w:rPr>
          <w:rFonts w:ascii="宋体" w:hAnsi="宋体"/>
          <w:kern w:val="44"/>
        </w:rPr>
      </w:pPr>
      <w:r>
        <w:rPr>
          <w:rFonts w:hint="eastAsia" w:ascii="宋体" w:hAnsi="宋体"/>
          <w:b/>
          <w:kern w:val="44"/>
        </w:rPr>
        <w:t>第八条</w:t>
      </w:r>
      <w:r>
        <w:rPr>
          <w:rFonts w:hint="eastAsia" w:ascii="宋体" w:hAnsi="宋体"/>
          <w:kern w:val="44"/>
        </w:rPr>
        <w:t>　快递企业应当按照规定建立快递安全保障和协查通报制度。</w:t>
      </w:r>
    </w:p>
    <w:p w14:paraId="79D50704">
      <w:pPr>
        <w:jc w:val="left"/>
        <w:rPr>
          <w:rFonts w:ascii="宋体" w:hAnsi="宋体"/>
          <w:kern w:val="44"/>
        </w:rPr>
      </w:pPr>
      <w:r>
        <w:rPr>
          <w:rFonts w:hint="eastAsia" w:ascii="宋体" w:hAnsi="宋体"/>
          <w:kern w:val="44"/>
        </w:rPr>
        <w:t>快递企业和用户应当遵守国家关于信件专营和禁止、限制寄递物品的相关规定，不得寄递易燃、易爆、易腐蚀、放射性等危险物品，不得寄递国家机关公文，不得寄递。</w:t>
      </w:r>
    </w:p>
    <w:p w14:paraId="5879C678">
      <w:pPr>
        <w:ind w:firstLine="422"/>
        <w:jc w:val="left"/>
        <w:rPr>
          <w:rFonts w:ascii="宋体" w:hAnsi="宋体"/>
          <w:kern w:val="44"/>
        </w:rPr>
      </w:pPr>
      <w:r>
        <w:rPr>
          <w:rFonts w:hint="eastAsia" w:ascii="宋体" w:hAnsi="宋体"/>
          <w:b/>
          <w:kern w:val="44"/>
        </w:rPr>
        <w:t>第九条</w:t>
      </w:r>
      <w:r>
        <w:rPr>
          <w:rFonts w:hint="eastAsia" w:ascii="宋体" w:hAnsi="宋体"/>
          <w:kern w:val="44"/>
        </w:rPr>
        <w:t>　快递企业应当按照规定对快件进行验视、机检、巡检、抽检等形式的安全检查。具体办法由市邮政管理部门会同公安、国家安全等部门制定。</w:t>
      </w:r>
    </w:p>
    <w:p w14:paraId="13630357">
      <w:pPr>
        <w:ind w:firstLine="422"/>
        <w:jc w:val="left"/>
        <w:rPr>
          <w:rFonts w:ascii="宋体" w:hAnsi="宋体"/>
          <w:kern w:val="44"/>
        </w:rPr>
      </w:pPr>
      <w:r>
        <w:rPr>
          <w:rFonts w:hint="eastAsia" w:ascii="宋体" w:hAnsi="宋体"/>
          <w:b/>
          <w:kern w:val="44"/>
        </w:rPr>
        <w:t>第十条</w:t>
      </w:r>
      <w:r>
        <w:rPr>
          <w:rFonts w:hint="eastAsia" w:ascii="宋体" w:hAnsi="宋体"/>
          <w:kern w:val="44"/>
        </w:rPr>
        <w:t>　快递企业在收寄快件时，应当提示用户如实填写快递运单，对信件以外的快件，应当当场开拆包装验视内件，符合寄递规定的，加盖收寄验视戳记。用户拒绝验视的，不予收寄。</w:t>
      </w:r>
    </w:p>
    <w:p w14:paraId="536FEB10">
      <w:pPr>
        <w:jc w:val="left"/>
        <w:rPr>
          <w:rFonts w:hint="eastAsia" w:ascii="宋体" w:hAnsi="宋体"/>
          <w:kern w:val="44"/>
        </w:rPr>
      </w:pPr>
      <w:r>
        <w:rPr>
          <w:rFonts w:hint="eastAsia" w:ascii="宋体" w:hAnsi="宋体"/>
          <w:kern w:val="44"/>
        </w:rPr>
        <w:t>快递企业接受网络购物、电视购物和邮购等经营者委托提供长期、大量、多次快递服务</w:t>
      </w:r>
    </w:p>
    <w:p w14:paraId="6BEAC002">
      <w:pPr>
        <w:jc w:val="left"/>
        <w:rPr>
          <w:rFonts w:hint="eastAsia" w:ascii="宋体" w:hAnsi="宋体"/>
          <w:kern w:val="44"/>
        </w:rPr>
      </w:pPr>
    </w:p>
    <w:p w14:paraId="3CC7CA67">
      <w:pPr>
        <w:ind w:left="0" w:leftChars="0" w:firstLine="0" w:firstLineChars="0"/>
        <w:jc w:val="left"/>
        <w:rPr>
          <w:rFonts w:ascii="宋体" w:hAnsi="宋体"/>
          <w:kern w:val="44"/>
        </w:rPr>
      </w:pPr>
      <w:r>
        <w:rPr>
          <w:rFonts w:hint="eastAsia" w:ascii="宋体" w:hAnsi="宋体"/>
          <w:kern w:val="44"/>
        </w:rPr>
        <w:t>时，可以与经营者签订安全保障协议，采取其他方式验视内件，保证快件寄递安全。</w:t>
      </w:r>
    </w:p>
    <w:p w14:paraId="4E3B8A2A">
      <w:pPr>
        <w:ind w:firstLine="422"/>
        <w:jc w:val="left"/>
        <w:rPr>
          <w:rFonts w:ascii="宋体" w:hAnsi="宋体"/>
          <w:kern w:val="44"/>
        </w:rPr>
      </w:pPr>
      <w:r>
        <w:rPr>
          <w:rFonts w:hint="eastAsia" w:ascii="宋体" w:hAnsi="宋体"/>
          <w:b/>
          <w:kern w:val="44"/>
        </w:rPr>
        <w:t>第十一条</w:t>
      </w:r>
      <w:r>
        <w:rPr>
          <w:rFonts w:hint="eastAsia" w:ascii="宋体" w:hAnsi="宋体"/>
          <w:kern w:val="44"/>
        </w:rPr>
        <w:t>　从事跨省、自治区、直辖市经营快递业务的快递企业，应当在快件处理场所配备安全检查设备，安排具备专门知识和技能的人员，对从外埠进入本市的快件按照规定进行安全检查。</w:t>
      </w:r>
    </w:p>
    <w:p w14:paraId="0F6E9167">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本市行政区域内举行重大活动期间或者发生突发事件时，快递企业应当按照规定寄递快件、对快件进行集中安全检查。</w:t>
      </w:r>
    </w:p>
    <w:p w14:paraId="7E152901">
      <w:pPr>
        <w:ind w:firstLine="422"/>
        <w:jc w:val="left"/>
        <w:rPr>
          <w:rFonts w:ascii="宋体" w:hAnsi="宋体"/>
          <w:kern w:val="44"/>
        </w:rPr>
      </w:pPr>
      <w:r>
        <w:rPr>
          <w:rFonts w:hint="eastAsia" w:ascii="宋体" w:hAnsi="宋体"/>
          <w:b/>
          <w:kern w:val="44"/>
        </w:rPr>
        <w:t>第十三条</w:t>
      </w:r>
      <w:r>
        <w:rPr>
          <w:rFonts w:hint="eastAsia" w:ascii="宋体" w:hAnsi="宋体"/>
          <w:kern w:val="44"/>
        </w:rPr>
        <w:t>　快递营业场所、快件处理场所应当按照国家快递服务标准的规定设置，并应当安装符合国家标准的视频监控系统，覆盖交寄、分拣、储存等环节，并保证监控设备的正常运转，监控资料保存时间不得少于30日。</w:t>
      </w:r>
    </w:p>
    <w:p w14:paraId="1E7490DF">
      <w:pPr>
        <w:ind w:firstLine="422"/>
        <w:jc w:val="left"/>
        <w:rPr>
          <w:rFonts w:ascii="宋体" w:hAnsi="宋体"/>
          <w:kern w:val="44"/>
        </w:rPr>
      </w:pPr>
      <w:r>
        <w:rPr>
          <w:rFonts w:hint="eastAsia" w:ascii="宋体" w:hAnsi="宋体"/>
          <w:b/>
          <w:kern w:val="44"/>
        </w:rPr>
        <w:t>第十四条</w:t>
      </w:r>
      <w:r>
        <w:rPr>
          <w:rFonts w:hint="eastAsia" w:ascii="宋体" w:hAnsi="宋体"/>
          <w:kern w:val="44"/>
        </w:rPr>
        <w:t>　快递从业人员应当按照国家和本市规定具备快递业务员职业技能。快递企业应当加强对快递从业人员的职业技能培训、职业素质教育和从业考核，建立快递从业人员档案制度，完善快递从业人员信息登记。</w:t>
      </w:r>
    </w:p>
    <w:p w14:paraId="26C7DB43">
      <w:pPr>
        <w:ind w:firstLine="422"/>
        <w:jc w:val="left"/>
        <w:rPr>
          <w:rFonts w:ascii="宋体" w:hAnsi="宋体"/>
          <w:kern w:val="44"/>
        </w:rPr>
      </w:pPr>
      <w:r>
        <w:rPr>
          <w:rFonts w:hint="eastAsia" w:ascii="宋体" w:hAnsi="宋体"/>
          <w:b/>
          <w:kern w:val="44"/>
        </w:rPr>
        <w:t>第十五条</w:t>
      </w:r>
      <w:r>
        <w:rPr>
          <w:rFonts w:hint="eastAsia" w:ascii="宋体" w:hAnsi="宋体"/>
          <w:kern w:val="44"/>
        </w:rPr>
        <w:t>　快递企业应当制定快递安全操作标准和流程，定期组织开展安全生产教育和专业培训，提高快递从业人员对危险性物品的识别能力和处理能力。</w:t>
      </w:r>
    </w:p>
    <w:p w14:paraId="5890B3A6">
      <w:pPr>
        <w:jc w:val="left"/>
        <w:rPr>
          <w:rFonts w:ascii="宋体" w:hAnsi="宋体"/>
          <w:kern w:val="44"/>
        </w:rPr>
      </w:pPr>
      <w:r>
        <w:rPr>
          <w:rFonts w:hint="eastAsia" w:ascii="宋体" w:hAnsi="宋体"/>
          <w:kern w:val="44"/>
        </w:rPr>
        <w:t>公安、国家安全等部门按照职责对快递企业进行业务指导。</w:t>
      </w:r>
    </w:p>
    <w:p w14:paraId="6179B555">
      <w:pPr>
        <w:ind w:firstLine="422"/>
        <w:jc w:val="left"/>
        <w:rPr>
          <w:rFonts w:ascii="宋体" w:hAnsi="宋体"/>
          <w:kern w:val="44"/>
        </w:rPr>
      </w:pPr>
      <w:r>
        <w:rPr>
          <w:rFonts w:hint="eastAsia" w:ascii="宋体" w:hAnsi="宋体"/>
          <w:b/>
          <w:kern w:val="44"/>
        </w:rPr>
        <w:t>第十六条</w:t>
      </w:r>
      <w:r>
        <w:rPr>
          <w:rFonts w:hint="eastAsia" w:ascii="宋体" w:hAnsi="宋体"/>
          <w:kern w:val="44"/>
        </w:rPr>
        <w:t>　快递企业应当建立突发事件应急机制，制定突发事件应急预案和专项预案，并报邮政管理部门备案。快递企业应当每年至少组织一次处置突发事件的应急演练。</w:t>
      </w:r>
    </w:p>
    <w:p w14:paraId="45FDB482">
      <w:pPr>
        <w:jc w:val="left"/>
        <w:rPr>
          <w:rFonts w:ascii="宋体" w:hAnsi="宋体"/>
          <w:kern w:val="44"/>
        </w:rPr>
      </w:pPr>
      <w:r>
        <w:rPr>
          <w:rFonts w:hint="eastAsia" w:ascii="宋体" w:hAnsi="宋体"/>
          <w:kern w:val="44"/>
        </w:rPr>
        <w:t>发生突发事件时，快递企业应当启动应急预案，并按照规定向有关行政部门报告。影响快递时限或者涉及快件寄递安全的，应当及时告知用户。</w:t>
      </w:r>
    </w:p>
    <w:p w14:paraId="3FAEDC3F">
      <w:pPr>
        <w:ind w:firstLine="422"/>
        <w:jc w:val="left"/>
        <w:rPr>
          <w:rFonts w:ascii="宋体" w:hAnsi="宋体"/>
          <w:kern w:val="44"/>
        </w:rPr>
      </w:pPr>
      <w:r>
        <w:rPr>
          <w:rFonts w:hint="eastAsia" w:ascii="宋体" w:hAnsi="宋体"/>
          <w:b/>
          <w:kern w:val="44"/>
        </w:rPr>
        <w:t>第十七条</w:t>
      </w:r>
      <w:r>
        <w:rPr>
          <w:rFonts w:hint="eastAsia" w:ascii="宋体" w:hAnsi="宋体"/>
          <w:kern w:val="44"/>
        </w:rPr>
        <w:t>　快递企业应当按照操作标准分拣快件，不得在露天场地分拣快件。</w:t>
      </w:r>
    </w:p>
    <w:p w14:paraId="128117FE">
      <w:pPr>
        <w:ind w:firstLine="422"/>
        <w:jc w:val="left"/>
        <w:rPr>
          <w:rFonts w:ascii="宋体" w:hAnsi="宋体"/>
          <w:kern w:val="44"/>
        </w:rPr>
      </w:pPr>
      <w:r>
        <w:rPr>
          <w:rFonts w:hint="eastAsia" w:ascii="宋体" w:hAnsi="宋体"/>
          <w:b/>
          <w:kern w:val="44"/>
        </w:rPr>
        <w:t>第十八条</w:t>
      </w:r>
      <w:r>
        <w:rPr>
          <w:rFonts w:hint="eastAsia" w:ascii="宋体" w:hAnsi="宋体"/>
          <w:kern w:val="44"/>
        </w:rPr>
        <w:t>　运输快件的车辆应当符合本市道路交通运输和货物运输的技术规范和要求，并采用统一的快递运输专用标识。公安交通管理部门应当根据城市交通状况，为快递运输车辆提供通行便利。</w:t>
      </w:r>
    </w:p>
    <w:p w14:paraId="5BFAA07C">
      <w:pPr>
        <w:jc w:val="left"/>
        <w:rPr>
          <w:rFonts w:ascii="宋体" w:hAnsi="宋体"/>
          <w:kern w:val="44"/>
        </w:rPr>
      </w:pPr>
      <w:r>
        <w:rPr>
          <w:rFonts w:hint="eastAsia" w:ascii="宋体" w:hAnsi="宋体"/>
          <w:kern w:val="44"/>
        </w:rPr>
        <w:t>收寄和投递快件的车辆应当封闭，标明快递企业标识，并符合本市道路通行要求。</w:t>
      </w:r>
    </w:p>
    <w:p w14:paraId="451BB7BE">
      <w:pPr>
        <w:ind w:firstLine="422"/>
        <w:jc w:val="left"/>
        <w:rPr>
          <w:rFonts w:ascii="宋体" w:hAnsi="宋体"/>
          <w:kern w:val="44"/>
        </w:rPr>
      </w:pPr>
      <w:r>
        <w:rPr>
          <w:rFonts w:hint="eastAsia" w:ascii="宋体" w:hAnsi="宋体"/>
          <w:b/>
          <w:kern w:val="44"/>
        </w:rPr>
        <w:t>第十九条</w:t>
      </w:r>
      <w:r>
        <w:rPr>
          <w:rFonts w:hint="eastAsia" w:ascii="宋体" w:hAnsi="宋体"/>
          <w:kern w:val="44"/>
        </w:rPr>
        <w:t>　快递企业寄递快件需要进入社区、高等院校时，相关单位应当提供车辆通行和临时停放、快件派送等便利条件，快递企业应当遵守社区、校区管理相关规定。</w:t>
      </w:r>
    </w:p>
    <w:p w14:paraId="33A7E636">
      <w:pPr>
        <w:ind w:firstLine="422"/>
        <w:jc w:val="left"/>
        <w:rPr>
          <w:rFonts w:ascii="宋体" w:hAnsi="宋体"/>
          <w:kern w:val="44"/>
        </w:rPr>
      </w:pPr>
      <w:r>
        <w:rPr>
          <w:rFonts w:hint="eastAsia" w:ascii="宋体" w:hAnsi="宋体"/>
          <w:b/>
          <w:kern w:val="44"/>
        </w:rPr>
        <w:t>第二十条</w:t>
      </w:r>
      <w:r>
        <w:rPr>
          <w:rFonts w:hint="eastAsia" w:ascii="宋体" w:hAnsi="宋体"/>
          <w:kern w:val="44"/>
        </w:rPr>
        <w:t>　快递企业应当建立快递运单实物及电子数据档案管理制度，采取技术措施确保用户信息安全，不得泄露用户信息。</w:t>
      </w:r>
    </w:p>
    <w:p w14:paraId="17499F9F">
      <w:pPr>
        <w:jc w:val="left"/>
        <w:rPr>
          <w:rFonts w:ascii="宋体" w:hAnsi="宋体"/>
          <w:kern w:val="44"/>
        </w:rPr>
      </w:pPr>
      <w:r>
        <w:rPr>
          <w:rFonts w:hint="eastAsia" w:ascii="宋体" w:hAnsi="宋体"/>
          <w:kern w:val="44"/>
        </w:rPr>
        <w:t>快递运单的实物保存应当满足快递服务标准规定的档案保管期限。保存期满后，按照规定集中销毁。</w:t>
      </w:r>
    </w:p>
    <w:p w14:paraId="43B6E315">
      <w:pPr>
        <w:ind w:firstLine="422"/>
        <w:jc w:val="left"/>
        <w:rPr>
          <w:rFonts w:ascii="宋体" w:hAnsi="宋体"/>
          <w:kern w:val="44"/>
        </w:rPr>
      </w:pPr>
      <w:r>
        <w:rPr>
          <w:rFonts w:hint="eastAsia" w:ascii="宋体" w:hAnsi="宋体"/>
          <w:b/>
          <w:kern w:val="44"/>
        </w:rPr>
        <w:t>第二十一条</w:t>
      </w:r>
      <w:r>
        <w:rPr>
          <w:rFonts w:hint="eastAsia" w:ascii="宋体" w:hAnsi="宋体"/>
          <w:kern w:val="44"/>
        </w:rPr>
        <w:t>　快递企业应当诚信经营，妥善处理用户对服务质量提出的投诉意见。用户对处理结果不满意的可以向邮政管理部门申诉，邮政管理部门应当依法处理，并自接到申诉之日起30日内做出答复。</w:t>
      </w:r>
    </w:p>
    <w:p w14:paraId="24DFEDFD">
      <w:pPr>
        <w:ind w:firstLine="422"/>
        <w:jc w:val="left"/>
        <w:rPr>
          <w:rFonts w:ascii="宋体" w:hAnsi="宋体"/>
          <w:kern w:val="44"/>
        </w:rPr>
      </w:pPr>
      <w:r>
        <w:rPr>
          <w:rFonts w:hint="eastAsia" w:ascii="宋体" w:hAnsi="宋体"/>
          <w:b/>
          <w:kern w:val="44"/>
        </w:rPr>
        <w:t>第二十二条</w:t>
      </w:r>
      <w:r>
        <w:rPr>
          <w:rFonts w:hint="eastAsia" w:ascii="宋体" w:hAnsi="宋体"/>
          <w:kern w:val="44"/>
        </w:rPr>
        <w:t>　邮政、公安、国家安全、海关、保密等部门应当建立本市快递安全保障机制，加强对快递安全的监督检查。快递企业及其从业人员对行政部门的监督检查应当予以配合。</w:t>
      </w:r>
    </w:p>
    <w:p w14:paraId="3F789943">
      <w:pPr>
        <w:ind w:firstLine="422"/>
        <w:jc w:val="left"/>
        <w:rPr>
          <w:rFonts w:ascii="宋体" w:hAnsi="宋体"/>
          <w:kern w:val="44"/>
        </w:rPr>
      </w:pPr>
      <w:r>
        <w:rPr>
          <w:rFonts w:hint="eastAsia" w:ascii="宋体" w:hAnsi="宋体"/>
          <w:b/>
          <w:kern w:val="44"/>
        </w:rPr>
        <w:t>第二十三条</w:t>
      </w:r>
      <w:r>
        <w:rPr>
          <w:rFonts w:hint="eastAsia" w:ascii="宋体" w:hAnsi="宋体"/>
          <w:kern w:val="44"/>
        </w:rPr>
        <w:t>　邮政管理部门应当建立本市快递监管信息平台，加强对快递企业经营行为的监督管理，并纳入本市企业信用信息系统，依法向社会公布。</w:t>
      </w:r>
    </w:p>
    <w:p w14:paraId="17F22C68">
      <w:pPr>
        <w:jc w:val="left"/>
        <w:rPr>
          <w:rFonts w:ascii="宋体" w:hAnsi="宋体"/>
          <w:kern w:val="44"/>
        </w:rPr>
      </w:pPr>
      <w:r>
        <w:rPr>
          <w:rFonts w:hint="eastAsia" w:ascii="宋体" w:hAnsi="宋体"/>
          <w:kern w:val="44"/>
        </w:rPr>
        <w:t>邮政、公安、国家安全、海关、交通等部门应当加强信息沟通，建立快递安全信息共享机制。</w:t>
      </w:r>
    </w:p>
    <w:p w14:paraId="0442CC6F">
      <w:pPr>
        <w:ind w:firstLine="422"/>
        <w:jc w:val="left"/>
        <w:rPr>
          <w:rFonts w:ascii="宋体" w:hAnsi="宋体"/>
          <w:kern w:val="44"/>
        </w:rPr>
      </w:pPr>
      <w:r>
        <w:rPr>
          <w:rFonts w:hint="eastAsia" w:ascii="宋体" w:hAnsi="宋体"/>
          <w:b/>
          <w:kern w:val="44"/>
        </w:rPr>
        <w:t>第二十四条</w:t>
      </w:r>
      <w:r>
        <w:rPr>
          <w:rFonts w:hint="eastAsia" w:ascii="宋体" w:hAnsi="宋体"/>
          <w:kern w:val="44"/>
        </w:rPr>
        <w:t>　快递行业协会应当加强行业自律，制定快递行业安全规范，为企业提供快递安全培训服务，提高快递企业安全管理能力，促进快递行业健康发展。</w:t>
      </w:r>
    </w:p>
    <w:p w14:paraId="3F124837">
      <w:pPr>
        <w:ind w:firstLine="422"/>
        <w:jc w:val="left"/>
        <w:rPr>
          <w:rFonts w:ascii="宋体" w:hAnsi="宋体"/>
          <w:kern w:val="44"/>
        </w:rPr>
      </w:pPr>
      <w:r>
        <w:rPr>
          <w:rFonts w:hint="eastAsia" w:ascii="宋体" w:hAnsi="宋体"/>
          <w:b/>
          <w:kern w:val="44"/>
        </w:rPr>
        <w:t>第二十五条</w:t>
      </w:r>
      <w:r>
        <w:rPr>
          <w:rFonts w:hint="eastAsia" w:ascii="宋体" w:hAnsi="宋体"/>
          <w:kern w:val="44"/>
        </w:rPr>
        <w:t>　因经营纠纷或者发生治安案件造成快件滞留的，快递企业应当及时处理，避免快件寄递延误；未及时处理的，邮政管理部门应当督促快递企业及时处理；涉及治安案件的，公安部门应当予以配合。</w:t>
      </w:r>
    </w:p>
    <w:p w14:paraId="579DCEEA">
      <w:pPr>
        <w:ind w:firstLine="422"/>
        <w:jc w:val="left"/>
        <w:rPr>
          <w:rFonts w:ascii="宋体" w:hAnsi="宋体"/>
          <w:kern w:val="44"/>
        </w:rPr>
      </w:pPr>
      <w:r>
        <w:rPr>
          <w:rFonts w:hint="eastAsia" w:ascii="宋体" w:hAnsi="宋体"/>
          <w:b/>
          <w:kern w:val="44"/>
        </w:rPr>
        <w:t>第二十六条</w:t>
      </w:r>
      <w:r>
        <w:rPr>
          <w:rFonts w:hint="eastAsia" w:ascii="宋体" w:hAnsi="宋体"/>
          <w:kern w:val="44"/>
        </w:rPr>
        <w:t>　违反本办法第七条，特许人未办理备案的，由邮政管理部门责令改正，处2000元罚款。</w:t>
      </w:r>
    </w:p>
    <w:p w14:paraId="0AF287F5">
      <w:pPr>
        <w:ind w:firstLine="422"/>
        <w:jc w:val="left"/>
        <w:rPr>
          <w:rFonts w:ascii="宋体" w:hAnsi="宋体"/>
          <w:kern w:val="44"/>
        </w:rPr>
      </w:pPr>
      <w:r>
        <w:rPr>
          <w:rFonts w:hint="eastAsia" w:ascii="宋体" w:hAnsi="宋体"/>
          <w:b/>
          <w:kern w:val="44"/>
        </w:rPr>
        <w:t>第二十七条</w:t>
      </w:r>
      <w:r>
        <w:rPr>
          <w:rFonts w:hint="eastAsia" w:ascii="宋体" w:hAnsi="宋体"/>
          <w:kern w:val="44"/>
        </w:rPr>
        <w:t>　违反本办法第九条、第十一条，未按照规定进行安全检查的，由邮政管理部门责令改正，可处5000元以上1万元以下罚款；造成严重后果的，处1万元以上3万元以下罚款。</w:t>
      </w:r>
    </w:p>
    <w:p w14:paraId="21C90F7C">
      <w:pPr>
        <w:ind w:firstLine="422"/>
        <w:jc w:val="left"/>
        <w:rPr>
          <w:rFonts w:ascii="宋体" w:hAnsi="宋体"/>
          <w:kern w:val="44"/>
        </w:rPr>
      </w:pPr>
      <w:r>
        <w:rPr>
          <w:rFonts w:hint="eastAsia" w:ascii="宋体" w:hAnsi="宋体"/>
          <w:b/>
          <w:kern w:val="44"/>
        </w:rPr>
        <w:t>第二十八条</w:t>
      </w:r>
      <w:r>
        <w:rPr>
          <w:rFonts w:hint="eastAsia" w:ascii="宋体" w:hAnsi="宋体"/>
          <w:kern w:val="44"/>
        </w:rPr>
        <w:t>　违反本办法第十条，未执行收寄验视制度的，由邮政管理部门按照《中华人民共和国邮政法》的规定进行处理；未按照规定加盖收寄验视戳记的，由邮政管理部门责令改正，可处2000元以上5000元以下罚款。</w:t>
      </w:r>
    </w:p>
    <w:p w14:paraId="23E79C09">
      <w:pPr>
        <w:ind w:firstLine="422"/>
        <w:jc w:val="left"/>
        <w:rPr>
          <w:rFonts w:ascii="宋体" w:hAnsi="宋体"/>
          <w:kern w:val="44"/>
        </w:rPr>
      </w:pPr>
      <w:r>
        <w:rPr>
          <w:rFonts w:hint="eastAsia" w:ascii="宋体" w:hAnsi="宋体"/>
          <w:b/>
          <w:kern w:val="44"/>
        </w:rPr>
        <w:t>第二十九条</w:t>
      </w:r>
      <w:r>
        <w:rPr>
          <w:rFonts w:hint="eastAsia" w:ascii="宋体" w:hAnsi="宋体"/>
          <w:kern w:val="44"/>
        </w:rPr>
        <w:t>　违反本办法第十二条，未按规定进行集中安全检查的，由邮政管理部门责令改正，处1万元以上3万元以下罚款；造成严重后果的，处10万元以下罚款。</w:t>
      </w:r>
    </w:p>
    <w:p w14:paraId="7A1AB5A9">
      <w:pPr>
        <w:ind w:firstLine="422"/>
        <w:jc w:val="left"/>
        <w:rPr>
          <w:rFonts w:ascii="宋体" w:hAnsi="宋体"/>
          <w:kern w:val="44"/>
        </w:rPr>
      </w:pPr>
      <w:r>
        <w:rPr>
          <w:rFonts w:hint="eastAsia" w:ascii="宋体" w:hAnsi="宋体"/>
          <w:b/>
          <w:kern w:val="44"/>
        </w:rPr>
        <w:t>第三十条</w:t>
      </w:r>
      <w:r>
        <w:rPr>
          <w:rFonts w:hint="eastAsia" w:ascii="宋体" w:hAnsi="宋体"/>
          <w:kern w:val="44"/>
        </w:rPr>
        <w:t>　违反本办法第十三条，未安装视频监控系统或者监控设备未正常运转的，由邮政管理部门责令改正，处2000元以上1万元以下罚款；逾期未改正的，处1万元以上3万元以下罚款。</w:t>
      </w:r>
    </w:p>
    <w:p w14:paraId="0755FA77">
      <w:pPr>
        <w:ind w:firstLine="422"/>
        <w:jc w:val="left"/>
        <w:rPr>
          <w:rFonts w:ascii="宋体" w:hAnsi="宋体"/>
          <w:kern w:val="44"/>
        </w:rPr>
      </w:pPr>
      <w:r>
        <w:rPr>
          <w:rFonts w:hint="eastAsia" w:ascii="宋体" w:hAnsi="宋体"/>
          <w:b/>
          <w:kern w:val="44"/>
        </w:rPr>
        <w:t>第三十一条</w:t>
      </w:r>
      <w:r>
        <w:rPr>
          <w:rFonts w:hint="eastAsia" w:ascii="宋体" w:hAnsi="宋体"/>
          <w:kern w:val="44"/>
        </w:rPr>
        <w:t>　违反本办法第十七条，在露天场地分拣快件的，由邮政管理部门责令改正，处2000元罚款。</w:t>
      </w:r>
    </w:p>
    <w:p w14:paraId="3B1DCD0A">
      <w:pPr>
        <w:ind w:firstLine="422"/>
        <w:jc w:val="left"/>
        <w:rPr>
          <w:rFonts w:ascii="宋体" w:hAnsi="宋体"/>
          <w:kern w:val="44"/>
        </w:rPr>
      </w:pPr>
      <w:r>
        <w:rPr>
          <w:rFonts w:hint="eastAsia" w:ascii="宋体" w:hAnsi="宋体"/>
          <w:b/>
          <w:kern w:val="44"/>
        </w:rPr>
        <w:t>第三十二条</w:t>
      </w:r>
      <w:r>
        <w:rPr>
          <w:rFonts w:hint="eastAsia" w:ascii="宋体" w:hAnsi="宋体"/>
          <w:kern w:val="44"/>
        </w:rPr>
        <w:t>　违反本办法第二十条第一款，快递企业违法提供用户信息的，由邮政管理部门按照《中华人民共和国邮政法》的规定进行处理。</w:t>
      </w:r>
    </w:p>
    <w:p w14:paraId="01A63D17">
      <w:pPr>
        <w:jc w:val="left"/>
        <w:rPr>
          <w:rFonts w:ascii="宋体" w:hAnsi="宋体"/>
          <w:kern w:val="44"/>
        </w:rPr>
      </w:pPr>
      <w:r>
        <w:rPr>
          <w:rFonts w:hint="eastAsia" w:ascii="宋体" w:hAnsi="宋体"/>
          <w:kern w:val="44"/>
        </w:rPr>
        <w:t>违反本办法第二十条第二款，未按照规定集中销毁的，由邮政管理部门责令改正，处5000元以上1万元以下罚款；造成严重后果的，处3万元以下罚款。</w:t>
      </w:r>
    </w:p>
    <w:p w14:paraId="0F32082A">
      <w:pPr>
        <w:ind w:firstLine="422"/>
        <w:jc w:val="left"/>
        <w:rPr>
          <w:rFonts w:ascii="宋体" w:hAnsi="宋体"/>
          <w:kern w:val="44"/>
        </w:rPr>
      </w:pPr>
      <w:r>
        <w:rPr>
          <w:rFonts w:hint="eastAsia" w:ascii="宋体" w:hAnsi="宋体"/>
          <w:b/>
          <w:kern w:val="44"/>
        </w:rPr>
        <w:t>第三十三条</w:t>
      </w:r>
      <w:r>
        <w:rPr>
          <w:rFonts w:hint="eastAsia" w:ascii="宋体" w:hAnsi="宋体"/>
          <w:kern w:val="44"/>
        </w:rPr>
        <w:t>　快递企业及其从业人员在经营活动中有危害国家安全行为的，公安、国家安全等部门依法追究法律责任；邮政管理部门依法吊销其快递业务经营许可证。</w:t>
      </w:r>
    </w:p>
    <w:p w14:paraId="4F0FA4B4">
      <w:pPr>
        <w:ind w:firstLine="422"/>
        <w:jc w:val="left"/>
        <w:rPr>
          <w:rFonts w:ascii="宋体" w:hAnsi="宋体"/>
          <w:kern w:val="44"/>
        </w:rPr>
      </w:pPr>
      <w:r>
        <w:rPr>
          <w:rFonts w:hint="eastAsia" w:ascii="宋体" w:hAnsi="宋体"/>
          <w:b/>
          <w:kern w:val="44"/>
        </w:rPr>
        <w:t>第三十四条</w:t>
      </w:r>
      <w:r>
        <w:rPr>
          <w:rFonts w:hint="eastAsia" w:ascii="宋体" w:hAnsi="宋体"/>
          <w:kern w:val="44"/>
        </w:rPr>
        <w:t>　本办法自2014年3月1日起施行。</w:t>
      </w:r>
    </w:p>
    <w:p w14:paraId="67FCBACB">
      <w:pPr>
        <w:pStyle w:val="3"/>
        <w:pageBreakBefore/>
        <w:rPr>
          <w:kern w:val="44"/>
        </w:rPr>
      </w:pPr>
      <w:bookmarkStart w:id="732" w:name="_Toc427651847"/>
      <w:bookmarkStart w:id="733" w:name="_Toc428781553"/>
      <w:bookmarkStart w:id="734" w:name="_Toc428780071"/>
      <w:bookmarkStart w:id="735" w:name="_Toc422471208"/>
      <w:bookmarkStart w:id="736" w:name="_Toc427651505"/>
      <w:r>
        <w:rPr>
          <w:rFonts w:hint="eastAsia"/>
          <w:kern w:val="44"/>
        </w:rPr>
        <w:t>（五）城乡规划建设</w:t>
      </w:r>
      <w:bookmarkEnd w:id="732"/>
      <w:bookmarkEnd w:id="733"/>
      <w:bookmarkEnd w:id="734"/>
      <w:bookmarkEnd w:id="735"/>
      <w:bookmarkEnd w:id="736"/>
    </w:p>
    <w:p w14:paraId="6547366F"/>
    <w:p w14:paraId="38599EFE">
      <w:pPr>
        <w:pStyle w:val="4"/>
        <w:rPr>
          <w:kern w:val="44"/>
        </w:rPr>
      </w:pPr>
      <w:bookmarkStart w:id="737" w:name="_Toc428781554"/>
      <w:bookmarkStart w:id="738" w:name="_Toc427651848"/>
      <w:bookmarkStart w:id="739" w:name="_Toc427651506"/>
      <w:bookmarkStart w:id="740" w:name="_Toc422471209"/>
      <w:bookmarkStart w:id="741" w:name="_Toc428780072"/>
      <w:r>
        <w:rPr>
          <w:rFonts w:hint="eastAsia"/>
          <w:kern w:val="44"/>
        </w:rPr>
        <w:t>北京市招标投标条例</w:t>
      </w:r>
      <w:bookmarkEnd w:id="737"/>
      <w:bookmarkEnd w:id="738"/>
      <w:bookmarkEnd w:id="739"/>
      <w:bookmarkEnd w:id="740"/>
      <w:bookmarkEnd w:id="741"/>
    </w:p>
    <w:p w14:paraId="49DEE12A">
      <w:pPr>
        <w:ind w:left="630" w:leftChars="300" w:right="630" w:rightChars="300"/>
        <w:jc w:val="left"/>
        <w:rPr>
          <w:rFonts w:ascii="楷体" w:hAnsi="楷体" w:eastAsia="楷体"/>
          <w:kern w:val="44"/>
        </w:rPr>
      </w:pPr>
      <w:r>
        <w:rPr>
          <w:rFonts w:hint="eastAsia" w:ascii="楷体" w:hAnsi="楷体" w:eastAsia="楷体"/>
          <w:kern w:val="44"/>
        </w:rPr>
        <w:t>（2002年9月6日北京市第十一届人民代表大会常务委员会第三十六次会议通过　根据2010年12月23日北京市第十三届人民代表大会常务委员会第二十二次会议《关于修改部分地方性法规的决定》修正）</w:t>
      </w:r>
    </w:p>
    <w:p w14:paraId="4E970A74">
      <w:pPr>
        <w:ind w:left="630" w:leftChars="300" w:right="630" w:rightChars="300"/>
        <w:jc w:val="left"/>
        <w:rPr>
          <w:rFonts w:ascii="楷体" w:hAnsi="楷体" w:eastAsia="楷体"/>
          <w:kern w:val="44"/>
        </w:rPr>
      </w:pPr>
    </w:p>
    <w:p w14:paraId="4E30A07A">
      <w:pPr>
        <w:ind w:firstLine="0" w:firstLineChars="0"/>
        <w:jc w:val="center"/>
        <w:rPr>
          <w:rFonts w:ascii="宋体" w:hAnsi="宋体"/>
          <w:b/>
          <w:kern w:val="44"/>
          <w:sz w:val="28"/>
        </w:rPr>
      </w:pPr>
      <w:r>
        <w:rPr>
          <w:rFonts w:hint="eastAsia" w:ascii="宋体" w:hAnsi="宋体"/>
          <w:b/>
          <w:kern w:val="44"/>
          <w:sz w:val="28"/>
        </w:rPr>
        <w:t>第一章　总　则</w:t>
      </w:r>
    </w:p>
    <w:p w14:paraId="0E28FD28">
      <w:pPr>
        <w:jc w:val="left"/>
        <w:rPr>
          <w:rFonts w:ascii="宋体" w:hAnsi="宋体"/>
          <w:kern w:val="44"/>
        </w:rPr>
      </w:pPr>
    </w:p>
    <w:p w14:paraId="56D73770">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招标投标活动，保护国家利益、社会公共利益和招标投标活动当事人的合法权益，根据《中华人民共和国招标投标法》（以下简称《招标投标法》）和其他有关法律、法规的规定，结合本市实际情况，制定本条例。</w:t>
      </w:r>
    </w:p>
    <w:p w14:paraId="7AC4DF3F">
      <w:pPr>
        <w:ind w:firstLine="422"/>
        <w:jc w:val="left"/>
        <w:rPr>
          <w:rFonts w:ascii="宋体" w:hAnsi="宋体"/>
          <w:kern w:val="44"/>
        </w:rPr>
      </w:pPr>
      <w:r>
        <w:rPr>
          <w:rFonts w:hint="eastAsia" w:ascii="宋体" w:hAnsi="宋体"/>
          <w:b/>
          <w:kern w:val="44"/>
        </w:rPr>
        <w:t>第二条</w:t>
      </w:r>
      <w:r>
        <w:rPr>
          <w:rFonts w:hint="eastAsia" w:ascii="宋体" w:hAnsi="宋体"/>
          <w:kern w:val="44"/>
        </w:rPr>
        <w:t>　本市的工程建设、货物和服务采购以及其他项目的招标投标活动，适用本条例。</w:t>
      </w:r>
    </w:p>
    <w:p w14:paraId="4D6D6D6F">
      <w:pPr>
        <w:ind w:firstLine="422"/>
        <w:jc w:val="left"/>
        <w:rPr>
          <w:rFonts w:ascii="宋体" w:hAnsi="宋体"/>
          <w:kern w:val="44"/>
        </w:rPr>
      </w:pPr>
      <w:r>
        <w:rPr>
          <w:rFonts w:hint="eastAsia" w:ascii="宋体" w:hAnsi="宋体"/>
          <w:b/>
          <w:kern w:val="44"/>
        </w:rPr>
        <w:t>第三条</w:t>
      </w:r>
      <w:r>
        <w:rPr>
          <w:rFonts w:hint="eastAsia" w:ascii="宋体" w:hAnsi="宋体"/>
          <w:kern w:val="44"/>
        </w:rPr>
        <w:t>　招标投标活动遵循公开、公平、公正和诚实信用的原则。</w:t>
      </w:r>
    </w:p>
    <w:p w14:paraId="54BAF878">
      <w:pPr>
        <w:ind w:firstLine="422"/>
        <w:jc w:val="left"/>
        <w:rPr>
          <w:rFonts w:ascii="宋体" w:hAnsi="宋体"/>
          <w:kern w:val="44"/>
        </w:rPr>
      </w:pPr>
      <w:r>
        <w:rPr>
          <w:rFonts w:hint="eastAsia" w:ascii="宋体" w:hAnsi="宋体"/>
          <w:b/>
          <w:kern w:val="44"/>
        </w:rPr>
        <w:t>第四条</w:t>
      </w:r>
      <w:r>
        <w:rPr>
          <w:rFonts w:hint="eastAsia" w:ascii="宋体" w:hAnsi="宋体"/>
          <w:kern w:val="44"/>
        </w:rPr>
        <w:t>　下列工程建设项目包括项目的勘察、设计、施工、监理以及与工程建设有关的重要设备、材料等的采购，符合市人民政府按照国家规定制定的招标范围和规模标准的，必须进行招标：</w:t>
      </w:r>
    </w:p>
    <w:p w14:paraId="68095581">
      <w:pPr>
        <w:jc w:val="left"/>
        <w:rPr>
          <w:rFonts w:ascii="宋体" w:hAnsi="宋体"/>
          <w:kern w:val="44"/>
        </w:rPr>
      </w:pPr>
      <w:r>
        <w:rPr>
          <w:rFonts w:hint="eastAsia" w:ascii="宋体" w:hAnsi="宋体"/>
          <w:kern w:val="44"/>
        </w:rPr>
        <w:t>（一）基础设施和公用事业等关系社会公共利益、公众安全的项目；</w:t>
      </w:r>
    </w:p>
    <w:p w14:paraId="78D60BA6">
      <w:pPr>
        <w:jc w:val="left"/>
        <w:rPr>
          <w:rFonts w:ascii="宋体" w:hAnsi="宋体"/>
          <w:kern w:val="44"/>
        </w:rPr>
      </w:pPr>
      <w:r>
        <w:rPr>
          <w:rFonts w:hint="eastAsia" w:ascii="宋体" w:hAnsi="宋体"/>
          <w:kern w:val="44"/>
        </w:rPr>
        <w:t>（二）全部或者部分使用国有资金投资或者政府融资的项目；</w:t>
      </w:r>
    </w:p>
    <w:p w14:paraId="4C26A732">
      <w:pPr>
        <w:jc w:val="left"/>
        <w:rPr>
          <w:rFonts w:ascii="宋体" w:hAnsi="宋体"/>
          <w:kern w:val="44"/>
        </w:rPr>
      </w:pPr>
      <w:r>
        <w:rPr>
          <w:rFonts w:hint="eastAsia" w:ascii="宋体" w:hAnsi="宋体"/>
          <w:kern w:val="44"/>
        </w:rPr>
        <w:t>（三）使用国际组织或者外国政府贷款、援助资金的项目。</w:t>
      </w:r>
    </w:p>
    <w:p w14:paraId="37C069C2">
      <w:pPr>
        <w:jc w:val="left"/>
        <w:rPr>
          <w:rFonts w:ascii="宋体" w:hAnsi="宋体"/>
          <w:kern w:val="44"/>
        </w:rPr>
      </w:pPr>
      <w:r>
        <w:rPr>
          <w:rFonts w:hint="eastAsia" w:ascii="宋体" w:hAnsi="宋体"/>
          <w:kern w:val="44"/>
        </w:rPr>
        <w:t>法律、法规或者市人民政府对必须进行招标的货物和服务采购以及其他项目有规定的，依照其规定。</w:t>
      </w:r>
    </w:p>
    <w:p w14:paraId="1BEB3E5F">
      <w:pPr>
        <w:ind w:firstLine="422"/>
        <w:jc w:val="left"/>
        <w:rPr>
          <w:rFonts w:ascii="宋体" w:hAnsi="宋体"/>
          <w:kern w:val="44"/>
        </w:rPr>
      </w:pPr>
      <w:r>
        <w:rPr>
          <w:rFonts w:hint="eastAsia" w:ascii="宋体" w:hAnsi="宋体"/>
          <w:b/>
          <w:kern w:val="44"/>
        </w:rPr>
        <w:t>第五条</w:t>
      </w:r>
      <w:r>
        <w:rPr>
          <w:rFonts w:hint="eastAsia" w:ascii="宋体" w:hAnsi="宋体"/>
          <w:kern w:val="44"/>
        </w:rPr>
        <w:t>　任何单位和个人不得将依法必须进行招标的项目化整为零或者以其他任何方式规避招标。</w:t>
      </w:r>
    </w:p>
    <w:p w14:paraId="6CA7A84C">
      <w:pPr>
        <w:ind w:firstLine="422"/>
        <w:jc w:val="left"/>
        <w:rPr>
          <w:rFonts w:ascii="宋体" w:hAnsi="宋体"/>
          <w:kern w:val="44"/>
        </w:rPr>
      </w:pPr>
      <w:r>
        <w:rPr>
          <w:rFonts w:hint="eastAsia" w:ascii="宋体" w:hAnsi="宋体"/>
          <w:b/>
          <w:kern w:val="44"/>
        </w:rPr>
        <w:t>第六条</w:t>
      </w:r>
      <w:r>
        <w:rPr>
          <w:rFonts w:hint="eastAsia" w:ascii="宋体" w:hAnsi="宋体"/>
          <w:kern w:val="44"/>
        </w:rPr>
        <w:t>　市和区、县人民政府及其所属部门不得对招标投标活动实行地区封锁和部门限制。</w:t>
      </w:r>
    </w:p>
    <w:p w14:paraId="3E120530">
      <w:pPr>
        <w:ind w:firstLine="422"/>
        <w:jc w:val="left"/>
        <w:rPr>
          <w:rFonts w:ascii="宋体" w:hAnsi="宋体"/>
          <w:kern w:val="44"/>
        </w:rPr>
      </w:pPr>
      <w:r>
        <w:rPr>
          <w:rFonts w:hint="eastAsia" w:ascii="宋体" w:hAnsi="宋体"/>
          <w:b/>
          <w:kern w:val="44"/>
        </w:rPr>
        <w:t>第七条</w:t>
      </w:r>
      <w:r>
        <w:rPr>
          <w:rFonts w:hint="eastAsia" w:ascii="宋体" w:hAnsi="宋体"/>
          <w:kern w:val="44"/>
        </w:rPr>
        <w:t>　市发展改革部门指导和协调全市招标投标工作，会同有关行政主管部门拟定有关招标投标规定，报市人民政府批准后实施。</w:t>
      </w:r>
    </w:p>
    <w:p w14:paraId="3F2175DC">
      <w:pPr>
        <w:jc w:val="left"/>
        <w:rPr>
          <w:rFonts w:ascii="宋体" w:hAnsi="宋体"/>
          <w:kern w:val="44"/>
        </w:rPr>
      </w:pPr>
      <w:r>
        <w:rPr>
          <w:rFonts w:hint="eastAsia" w:ascii="宋体" w:hAnsi="宋体"/>
          <w:kern w:val="44"/>
        </w:rPr>
        <w:t>市和区、县人民政府有关行政主管部门按照各自职责对招标投标活动实施监督。</w:t>
      </w:r>
    </w:p>
    <w:p w14:paraId="7FF95BDE">
      <w:pPr>
        <w:jc w:val="left"/>
        <w:rPr>
          <w:rFonts w:ascii="宋体" w:hAnsi="宋体"/>
          <w:kern w:val="44"/>
        </w:rPr>
      </w:pPr>
      <w:r>
        <w:rPr>
          <w:rFonts w:hint="eastAsia" w:ascii="宋体" w:hAnsi="宋体"/>
          <w:kern w:val="44"/>
        </w:rPr>
        <w:t>有关行政主管部门对招标投标活动实施监督的具体职权划分，由市人民政府规定。</w:t>
      </w:r>
    </w:p>
    <w:p w14:paraId="140E8B6C">
      <w:pPr>
        <w:jc w:val="left"/>
        <w:rPr>
          <w:rFonts w:ascii="宋体" w:hAnsi="宋体"/>
          <w:kern w:val="44"/>
        </w:rPr>
      </w:pPr>
    </w:p>
    <w:p w14:paraId="0780553E">
      <w:pPr>
        <w:ind w:firstLine="0" w:firstLineChars="0"/>
        <w:jc w:val="center"/>
        <w:rPr>
          <w:rFonts w:ascii="宋体" w:hAnsi="宋体"/>
          <w:b/>
          <w:kern w:val="44"/>
          <w:sz w:val="28"/>
        </w:rPr>
      </w:pPr>
      <w:r>
        <w:rPr>
          <w:rFonts w:hint="eastAsia" w:ascii="宋体" w:hAnsi="宋体"/>
          <w:b/>
          <w:kern w:val="44"/>
          <w:sz w:val="28"/>
        </w:rPr>
        <w:t>第二章　招标和投标</w:t>
      </w:r>
    </w:p>
    <w:p w14:paraId="556F43A2">
      <w:pPr>
        <w:jc w:val="left"/>
        <w:rPr>
          <w:rFonts w:ascii="宋体" w:hAnsi="宋体"/>
          <w:kern w:val="44"/>
        </w:rPr>
      </w:pPr>
    </w:p>
    <w:p w14:paraId="564126CA">
      <w:pPr>
        <w:ind w:firstLine="422"/>
        <w:jc w:val="left"/>
        <w:rPr>
          <w:rFonts w:ascii="宋体" w:hAnsi="宋体"/>
          <w:kern w:val="44"/>
        </w:rPr>
      </w:pPr>
      <w:r>
        <w:rPr>
          <w:rFonts w:hint="eastAsia" w:ascii="宋体" w:hAnsi="宋体"/>
          <w:b/>
          <w:kern w:val="44"/>
        </w:rPr>
        <w:t>第八条</w:t>
      </w:r>
      <w:r>
        <w:rPr>
          <w:rFonts w:hint="eastAsia" w:ascii="宋体" w:hAnsi="宋体"/>
          <w:kern w:val="44"/>
        </w:rPr>
        <w:t>　招标项目依照国家有关规定需要履行项目审批手续的，应当先履行审批手续，取得批准。</w:t>
      </w:r>
    </w:p>
    <w:p w14:paraId="2936ED4A">
      <w:pPr>
        <w:jc w:val="left"/>
        <w:rPr>
          <w:rFonts w:ascii="宋体" w:hAnsi="宋体"/>
          <w:kern w:val="44"/>
        </w:rPr>
      </w:pPr>
      <w:r>
        <w:rPr>
          <w:rFonts w:hint="eastAsia" w:ascii="宋体" w:hAnsi="宋体"/>
          <w:kern w:val="44"/>
        </w:rPr>
        <w:t>依法必须进行招标的项目，需要履行项目审批手续的，招标人应当同时将招标范围和方式等有关招标的内容报送项目审批部门核准。项目审批后，审批部门应当在5个工作日内向有关行政主管部门通报所确定的招标范围和方式等情况。</w:t>
      </w:r>
    </w:p>
    <w:p w14:paraId="58F0F7BF">
      <w:pPr>
        <w:jc w:val="left"/>
        <w:rPr>
          <w:rFonts w:ascii="宋体" w:hAnsi="宋体"/>
          <w:kern w:val="44"/>
        </w:rPr>
      </w:pPr>
      <w:r>
        <w:rPr>
          <w:rFonts w:hint="eastAsia" w:ascii="宋体" w:hAnsi="宋体"/>
          <w:kern w:val="44"/>
        </w:rPr>
        <w:t>招标人对经核准的招标范围和方式等作出改变的，应当到原项目审批部门重新办理核准手续。</w:t>
      </w:r>
    </w:p>
    <w:p w14:paraId="36C289BF">
      <w:pPr>
        <w:ind w:firstLine="422"/>
        <w:jc w:val="left"/>
        <w:rPr>
          <w:rFonts w:ascii="宋体" w:hAnsi="宋体"/>
          <w:kern w:val="44"/>
        </w:rPr>
      </w:pPr>
      <w:r>
        <w:rPr>
          <w:rFonts w:hint="eastAsia" w:ascii="宋体" w:hAnsi="宋体"/>
          <w:b/>
          <w:kern w:val="44"/>
        </w:rPr>
        <w:t>第九条</w:t>
      </w:r>
      <w:r>
        <w:rPr>
          <w:rFonts w:hint="eastAsia" w:ascii="宋体" w:hAnsi="宋体"/>
          <w:kern w:val="44"/>
        </w:rPr>
        <w:t>　招标人应当有进行招标项目的相应资金或者资金来源已经落实，并应当在招标文件中如实载明，但是选择投资主体、经营主体等不需要落实资金来源的招标项目除外。</w:t>
      </w:r>
    </w:p>
    <w:p w14:paraId="024393E0">
      <w:pPr>
        <w:ind w:firstLine="422"/>
        <w:jc w:val="left"/>
        <w:rPr>
          <w:rFonts w:ascii="宋体" w:hAnsi="宋体"/>
          <w:kern w:val="44"/>
        </w:rPr>
      </w:pPr>
      <w:r>
        <w:rPr>
          <w:rFonts w:hint="eastAsia" w:ascii="宋体" w:hAnsi="宋体"/>
          <w:b/>
          <w:kern w:val="44"/>
        </w:rPr>
        <w:t>第十条</w:t>
      </w:r>
      <w:r>
        <w:rPr>
          <w:rFonts w:hint="eastAsia" w:ascii="宋体" w:hAnsi="宋体"/>
          <w:kern w:val="44"/>
        </w:rPr>
        <w:t>　招标分为公开招标和邀请招标。</w:t>
      </w:r>
    </w:p>
    <w:p w14:paraId="1AD2477C">
      <w:pPr>
        <w:ind w:firstLine="422"/>
        <w:jc w:val="left"/>
        <w:rPr>
          <w:rFonts w:ascii="宋体" w:hAnsi="宋体"/>
          <w:kern w:val="44"/>
        </w:rPr>
      </w:pPr>
      <w:r>
        <w:rPr>
          <w:rFonts w:hint="eastAsia" w:ascii="宋体" w:hAnsi="宋体"/>
          <w:b/>
          <w:kern w:val="44"/>
        </w:rPr>
        <w:t>第十一条</w:t>
      </w:r>
      <w:r>
        <w:rPr>
          <w:rFonts w:hint="eastAsia" w:ascii="宋体" w:hAnsi="宋体"/>
          <w:kern w:val="44"/>
        </w:rPr>
        <w:t>　依法必须进行招标的项目中，全部使用国有资金投资或者国有资金投资占控股或者主导地位的，以及国务院发展改革部门确定的国家重点项目和市人民政府确定的地方重点项目，应当依法公开招标。其中有下列情形之一的，经批准，可以邀请招标：</w:t>
      </w:r>
    </w:p>
    <w:p w14:paraId="2B1EB878">
      <w:pPr>
        <w:jc w:val="left"/>
        <w:rPr>
          <w:rFonts w:ascii="宋体" w:hAnsi="宋体"/>
          <w:kern w:val="44"/>
        </w:rPr>
      </w:pPr>
      <w:r>
        <w:rPr>
          <w:rFonts w:hint="eastAsia" w:ascii="宋体" w:hAnsi="宋体"/>
          <w:kern w:val="44"/>
        </w:rPr>
        <w:t>（一）技术复杂或者有特殊要求，只有少数潜在投标人可供选择的；</w:t>
      </w:r>
    </w:p>
    <w:p w14:paraId="6F128075">
      <w:pPr>
        <w:jc w:val="left"/>
        <w:rPr>
          <w:rFonts w:ascii="宋体" w:hAnsi="宋体"/>
          <w:kern w:val="44"/>
        </w:rPr>
      </w:pPr>
      <w:r>
        <w:rPr>
          <w:rFonts w:hint="eastAsia" w:ascii="宋体" w:hAnsi="宋体"/>
          <w:kern w:val="44"/>
        </w:rPr>
        <w:t>（二）受资源和环境条件限制，只有少数潜在投标人可供选择的；</w:t>
      </w:r>
    </w:p>
    <w:p w14:paraId="75D98C52">
      <w:pPr>
        <w:jc w:val="left"/>
        <w:rPr>
          <w:rFonts w:ascii="宋体" w:hAnsi="宋体"/>
          <w:kern w:val="44"/>
        </w:rPr>
      </w:pPr>
      <w:r>
        <w:rPr>
          <w:rFonts w:hint="eastAsia" w:ascii="宋体" w:hAnsi="宋体"/>
          <w:kern w:val="44"/>
        </w:rPr>
        <w:t>（三）其他不适宜公开招标的。</w:t>
      </w:r>
    </w:p>
    <w:p w14:paraId="047CFB72">
      <w:pPr>
        <w:jc w:val="left"/>
        <w:rPr>
          <w:rFonts w:ascii="宋体" w:hAnsi="宋体"/>
          <w:kern w:val="44"/>
        </w:rPr>
      </w:pPr>
      <w:r>
        <w:rPr>
          <w:rFonts w:hint="eastAsia" w:ascii="宋体" w:hAnsi="宋体"/>
          <w:kern w:val="44"/>
        </w:rPr>
        <w:t>有前款规定情形之一，招标人拟邀请招标的，应当经项目审批部门批准；其中国务院发展改革部门确定的国家重点项目和市人民政府确定的地方重点项目，应当经国务院发展改革部门或者市人民政府批准。</w:t>
      </w:r>
    </w:p>
    <w:p w14:paraId="079A39E5">
      <w:pPr>
        <w:ind w:firstLine="422"/>
        <w:jc w:val="left"/>
        <w:rPr>
          <w:rFonts w:ascii="宋体" w:hAnsi="宋体"/>
          <w:kern w:val="44"/>
        </w:rPr>
      </w:pPr>
      <w:r>
        <w:rPr>
          <w:rFonts w:hint="eastAsia" w:ascii="宋体" w:hAnsi="宋体"/>
          <w:b/>
          <w:kern w:val="44"/>
        </w:rPr>
        <w:t>第十二条</w:t>
      </w:r>
      <w:r>
        <w:rPr>
          <w:rFonts w:hint="eastAsia" w:ascii="宋体" w:hAnsi="宋体"/>
          <w:kern w:val="44"/>
        </w:rPr>
        <w:t>　招标人可以委托招标代理机构办理招标事宜或者依法自行办理招标事宜。</w:t>
      </w:r>
    </w:p>
    <w:p w14:paraId="4A18F5DE">
      <w:pPr>
        <w:jc w:val="left"/>
        <w:rPr>
          <w:rFonts w:ascii="宋体" w:hAnsi="宋体"/>
          <w:kern w:val="44"/>
        </w:rPr>
      </w:pPr>
      <w:r>
        <w:rPr>
          <w:rFonts w:hint="eastAsia" w:ascii="宋体" w:hAnsi="宋体"/>
          <w:kern w:val="44"/>
        </w:rPr>
        <w:t>依法必须进行招标的项目，招标人自行办理招标事宜的，应当具有编制招标文件和组织评标的能力，并应当向有关行政监督部门备案。</w:t>
      </w:r>
    </w:p>
    <w:p w14:paraId="0DFBD866">
      <w:pPr>
        <w:ind w:firstLine="422"/>
        <w:jc w:val="left"/>
        <w:rPr>
          <w:rFonts w:ascii="宋体" w:hAnsi="宋体"/>
          <w:kern w:val="44"/>
        </w:rPr>
      </w:pPr>
      <w:r>
        <w:rPr>
          <w:rFonts w:hint="eastAsia" w:ascii="宋体" w:hAnsi="宋体"/>
          <w:b/>
          <w:kern w:val="44"/>
        </w:rPr>
        <w:t>第十三条</w:t>
      </w:r>
      <w:r>
        <w:rPr>
          <w:rFonts w:hint="eastAsia" w:ascii="宋体" w:hAnsi="宋体"/>
          <w:kern w:val="44"/>
        </w:rPr>
        <w:t>　招标代理机构的资格认定按照国家有关规定执行。本市有关行政主管部门应当将通过资格认定的招标代理机构名单向社会公布。</w:t>
      </w:r>
    </w:p>
    <w:p w14:paraId="6104AA6E">
      <w:pPr>
        <w:jc w:val="left"/>
        <w:rPr>
          <w:rFonts w:ascii="宋体" w:hAnsi="宋体"/>
          <w:kern w:val="44"/>
        </w:rPr>
      </w:pPr>
      <w:r>
        <w:rPr>
          <w:rFonts w:hint="eastAsia" w:ascii="宋体" w:hAnsi="宋体"/>
          <w:kern w:val="44"/>
        </w:rPr>
        <w:t>招标代理机构与行政机关和其他国家机关不得存在任何隶属关系或者其他利益关系。</w:t>
      </w:r>
    </w:p>
    <w:p w14:paraId="6226AB41">
      <w:pPr>
        <w:ind w:firstLine="422"/>
        <w:jc w:val="left"/>
        <w:rPr>
          <w:rFonts w:ascii="宋体" w:hAnsi="宋体"/>
          <w:kern w:val="44"/>
        </w:rPr>
      </w:pPr>
      <w:r>
        <w:rPr>
          <w:rFonts w:hint="eastAsia" w:ascii="宋体" w:hAnsi="宋体"/>
          <w:b/>
          <w:kern w:val="44"/>
        </w:rPr>
        <w:t>第十四条</w:t>
      </w:r>
      <w:r>
        <w:rPr>
          <w:rFonts w:hint="eastAsia" w:ascii="宋体" w:hAnsi="宋体"/>
          <w:kern w:val="44"/>
        </w:rPr>
        <w:t>　招标代理机构应当在招标人委托的范围内办理招标事宜，并遵守《招标投标法》和本条例关于招标人的规定。未经招标人同意，招标代理机构不得转让代理业务。</w:t>
      </w:r>
    </w:p>
    <w:p w14:paraId="22E74E7A">
      <w:pPr>
        <w:jc w:val="left"/>
        <w:rPr>
          <w:rFonts w:ascii="宋体" w:hAnsi="宋体"/>
          <w:kern w:val="44"/>
        </w:rPr>
      </w:pPr>
      <w:r>
        <w:rPr>
          <w:rFonts w:hint="eastAsia" w:ascii="宋体" w:hAnsi="宋体"/>
          <w:kern w:val="44"/>
        </w:rPr>
        <w:t>招标代理机构不得为投标人提供其所代理的招标项目的咨询服务。</w:t>
      </w:r>
    </w:p>
    <w:p w14:paraId="3B938E9C">
      <w:pPr>
        <w:ind w:firstLine="422"/>
        <w:jc w:val="left"/>
        <w:rPr>
          <w:rFonts w:ascii="宋体" w:hAnsi="宋体"/>
          <w:kern w:val="44"/>
        </w:rPr>
      </w:pPr>
      <w:r>
        <w:rPr>
          <w:rFonts w:hint="eastAsia" w:ascii="宋体" w:hAnsi="宋体"/>
          <w:b/>
          <w:kern w:val="44"/>
        </w:rPr>
        <w:t>第十五条</w:t>
      </w:r>
      <w:r>
        <w:rPr>
          <w:rFonts w:hint="eastAsia" w:ascii="宋体" w:hAnsi="宋体"/>
          <w:kern w:val="44"/>
        </w:rPr>
        <w:t>　招标人公开招标的，应当发布招标公告。</w:t>
      </w:r>
    </w:p>
    <w:p w14:paraId="43F96AAD">
      <w:pPr>
        <w:jc w:val="left"/>
        <w:rPr>
          <w:rFonts w:ascii="宋体" w:hAnsi="宋体"/>
          <w:kern w:val="44"/>
        </w:rPr>
      </w:pPr>
      <w:r>
        <w:rPr>
          <w:rFonts w:hint="eastAsia" w:ascii="宋体" w:hAnsi="宋体"/>
          <w:kern w:val="44"/>
        </w:rPr>
        <w:t>依法必须进行招标项目的招标公告，应当按照国家有关规定在国家或者本市指定的报刊、信息网络或者其他媒介发布。</w:t>
      </w:r>
    </w:p>
    <w:p w14:paraId="3B384689">
      <w:pPr>
        <w:ind w:firstLine="422"/>
        <w:jc w:val="left"/>
        <w:rPr>
          <w:rFonts w:ascii="宋体" w:hAnsi="宋体"/>
          <w:kern w:val="44"/>
        </w:rPr>
      </w:pPr>
      <w:r>
        <w:rPr>
          <w:rFonts w:hint="eastAsia" w:ascii="宋体" w:hAnsi="宋体"/>
          <w:b/>
          <w:kern w:val="44"/>
        </w:rPr>
        <w:t>第十六条</w:t>
      </w:r>
      <w:r>
        <w:rPr>
          <w:rFonts w:hint="eastAsia" w:ascii="宋体" w:hAnsi="宋体"/>
          <w:kern w:val="44"/>
        </w:rPr>
        <w:t>　招标人对投标人进行资格预审的，应当根据招标项目的性质、特点和要求，编制资格预审的条件和方法，并在招标公告或者资格预审公告中载明。</w:t>
      </w:r>
    </w:p>
    <w:p w14:paraId="2AFF27FE">
      <w:pPr>
        <w:jc w:val="left"/>
        <w:rPr>
          <w:rFonts w:ascii="宋体" w:hAnsi="宋体"/>
          <w:kern w:val="44"/>
        </w:rPr>
      </w:pPr>
      <w:r>
        <w:rPr>
          <w:rFonts w:hint="eastAsia" w:ascii="宋体" w:hAnsi="宋体"/>
          <w:kern w:val="44"/>
        </w:rPr>
        <w:t>招标人拟限制投标人数量的，应当在招标公告或者资格预审公告中载明预审后投标人的数量，并按照招标公告或者资格预审公告中载明的资格预审的条件和方法选择投标人。招标公告或者资格预审公告中没有载明预审后投标人数量的，招标人不得限制达到资格预审标准的投标人进行投标。</w:t>
      </w:r>
    </w:p>
    <w:p w14:paraId="601A9EB8">
      <w:pPr>
        <w:ind w:firstLine="422"/>
        <w:jc w:val="left"/>
        <w:rPr>
          <w:rFonts w:ascii="宋体" w:hAnsi="宋体"/>
          <w:kern w:val="44"/>
        </w:rPr>
      </w:pPr>
      <w:r>
        <w:rPr>
          <w:rFonts w:hint="eastAsia" w:ascii="宋体" w:hAnsi="宋体"/>
          <w:b/>
          <w:kern w:val="44"/>
        </w:rPr>
        <w:t>第十七条</w:t>
      </w:r>
      <w:r>
        <w:rPr>
          <w:rFonts w:hint="eastAsia" w:ascii="宋体" w:hAnsi="宋体"/>
          <w:kern w:val="44"/>
        </w:rPr>
        <w:t>　招标人应当根据招标项目的特点和需要编制招标文件。招标文件一般由下列部分组成：</w:t>
      </w:r>
    </w:p>
    <w:p w14:paraId="060CC25F">
      <w:pPr>
        <w:jc w:val="left"/>
        <w:rPr>
          <w:rFonts w:ascii="宋体" w:hAnsi="宋体"/>
          <w:kern w:val="44"/>
        </w:rPr>
      </w:pPr>
      <w:r>
        <w:rPr>
          <w:rFonts w:hint="eastAsia" w:ascii="宋体" w:hAnsi="宋体"/>
          <w:kern w:val="44"/>
        </w:rPr>
        <w:t>（一）投标人须知：包括评标方法和标准、编制投标文件的要求、投标方式、投标截止时间、开标地点和投标有效期；</w:t>
      </w:r>
    </w:p>
    <w:p w14:paraId="5C800E56">
      <w:pPr>
        <w:jc w:val="left"/>
        <w:rPr>
          <w:rFonts w:ascii="宋体" w:hAnsi="宋体"/>
          <w:kern w:val="44"/>
        </w:rPr>
      </w:pPr>
      <w:r>
        <w:rPr>
          <w:rFonts w:hint="eastAsia" w:ascii="宋体" w:hAnsi="宋体"/>
          <w:kern w:val="44"/>
        </w:rPr>
        <w:t>（二）合同主要条款及协议书格式；</w:t>
      </w:r>
    </w:p>
    <w:p w14:paraId="4E385015">
      <w:pPr>
        <w:jc w:val="left"/>
        <w:rPr>
          <w:rFonts w:ascii="宋体" w:hAnsi="宋体"/>
          <w:kern w:val="44"/>
        </w:rPr>
      </w:pPr>
      <w:r>
        <w:rPr>
          <w:rFonts w:hint="eastAsia" w:ascii="宋体" w:hAnsi="宋体"/>
          <w:kern w:val="44"/>
        </w:rPr>
        <w:t>（三）要求投标人提供的资格和资信证明、投标函及附件、履约担保证件、授权委托书的格式和说明；</w:t>
      </w:r>
    </w:p>
    <w:p w14:paraId="3C3E6C2F">
      <w:pPr>
        <w:jc w:val="left"/>
        <w:rPr>
          <w:rFonts w:ascii="宋体" w:hAnsi="宋体"/>
          <w:kern w:val="44"/>
        </w:rPr>
      </w:pPr>
      <w:r>
        <w:rPr>
          <w:rFonts w:hint="eastAsia" w:ascii="宋体" w:hAnsi="宋体"/>
          <w:kern w:val="44"/>
        </w:rPr>
        <w:t>（四）投标价格要求及其计算方法；</w:t>
      </w:r>
    </w:p>
    <w:p w14:paraId="196BD34C">
      <w:pPr>
        <w:jc w:val="left"/>
        <w:rPr>
          <w:rFonts w:ascii="宋体" w:hAnsi="宋体"/>
          <w:kern w:val="44"/>
        </w:rPr>
      </w:pPr>
      <w:r>
        <w:rPr>
          <w:rFonts w:hint="eastAsia" w:ascii="宋体" w:hAnsi="宋体"/>
          <w:kern w:val="44"/>
        </w:rPr>
        <w:t>（五）技术条款：包括招标项目范围、性质、规模、数量、标准和主要技术要求及交货或者提供服务时间；</w:t>
      </w:r>
    </w:p>
    <w:p w14:paraId="42F0A72E">
      <w:pPr>
        <w:jc w:val="left"/>
        <w:rPr>
          <w:rFonts w:ascii="宋体" w:hAnsi="宋体"/>
          <w:kern w:val="44"/>
        </w:rPr>
      </w:pPr>
      <w:r>
        <w:rPr>
          <w:rFonts w:hint="eastAsia" w:ascii="宋体" w:hAnsi="宋体"/>
          <w:kern w:val="44"/>
        </w:rPr>
        <w:t>（六）图纸或者其他应当提供的资料；</w:t>
      </w:r>
    </w:p>
    <w:p w14:paraId="0541305B">
      <w:pPr>
        <w:jc w:val="left"/>
        <w:rPr>
          <w:rFonts w:ascii="宋体" w:hAnsi="宋体"/>
          <w:kern w:val="44"/>
        </w:rPr>
      </w:pPr>
      <w:r>
        <w:rPr>
          <w:rFonts w:hint="eastAsia" w:ascii="宋体" w:hAnsi="宋体"/>
          <w:kern w:val="44"/>
        </w:rPr>
        <w:t>（七）其他应当说明的问题。</w:t>
      </w:r>
    </w:p>
    <w:p w14:paraId="2BDDF5E1">
      <w:pPr>
        <w:jc w:val="left"/>
        <w:rPr>
          <w:rFonts w:ascii="宋体" w:hAnsi="宋体"/>
          <w:kern w:val="44"/>
        </w:rPr>
      </w:pPr>
      <w:r>
        <w:rPr>
          <w:rFonts w:hint="eastAsia" w:ascii="宋体" w:hAnsi="宋体"/>
          <w:kern w:val="44"/>
        </w:rPr>
        <w:t>国际招标的项目，招标文件可以规定投标文件使用多种语言文字。投标文件不同文本之间有歧义的，应当以中文文本为准。</w:t>
      </w:r>
    </w:p>
    <w:p w14:paraId="49E18B83">
      <w:pPr>
        <w:ind w:firstLine="422"/>
        <w:jc w:val="left"/>
        <w:rPr>
          <w:rFonts w:ascii="宋体" w:hAnsi="宋体"/>
          <w:kern w:val="44"/>
        </w:rPr>
      </w:pPr>
      <w:r>
        <w:rPr>
          <w:rFonts w:hint="eastAsia" w:ascii="宋体" w:hAnsi="宋体"/>
          <w:b/>
          <w:kern w:val="44"/>
        </w:rPr>
        <w:t>第十八条</w:t>
      </w:r>
      <w:r>
        <w:rPr>
          <w:rFonts w:hint="eastAsia" w:ascii="宋体" w:hAnsi="宋体"/>
          <w:kern w:val="44"/>
        </w:rPr>
        <w:t>　政府投资和政府融资项目的招标人，应当严格按照批准的初步设计方案和投资总额编制招标文件。</w:t>
      </w:r>
    </w:p>
    <w:p w14:paraId="1754C22D">
      <w:pPr>
        <w:ind w:firstLine="422"/>
        <w:jc w:val="left"/>
        <w:rPr>
          <w:rFonts w:ascii="宋体" w:hAnsi="宋体"/>
          <w:kern w:val="44"/>
        </w:rPr>
      </w:pPr>
      <w:r>
        <w:rPr>
          <w:rFonts w:hint="eastAsia" w:ascii="宋体" w:hAnsi="宋体"/>
          <w:b/>
          <w:kern w:val="44"/>
        </w:rPr>
        <w:t>第十九条</w:t>
      </w:r>
      <w:r>
        <w:rPr>
          <w:rFonts w:hint="eastAsia" w:ascii="宋体" w:hAnsi="宋体"/>
          <w:kern w:val="44"/>
        </w:rPr>
        <w:t>　招标项目设置标底的，标底应当保密；在开标前，任何单位和个人不得以任何形式审查标底。</w:t>
      </w:r>
    </w:p>
    <w:p w14:paraId="559AB0A4">
      <w:pPr>
        <w:jc w:val="left"/>
        <w:rPr>
          <w:rFonts w:ascii="宋体" w:hAnsi="宋体"/>
          <w:kern w:val="44"/>
        </w:rPr>
      </w:pPr>
      <w:r>
        <w:rPr>
          <w:rFonts w:hint="eastAsia" w:ascii="宋体" w:hAnsi="宋体"/>
          <w:kern w:val="44"/>
        </w:rPr>
        <w:t>政府投资和政府融资的项目一般不设置标底。</w:t>
      </w:r>
    </w:p>
    <w:p w14:paraId="155CA0E7">
      <w:pPr>
        <w:ind w:firstLine="422"/>
        <w:jc w:val="left"/>
        <w:rPr>
          <w:rFonts w:ascii="宋体" w:hAnsi="宋体"/>
          <w:kern w:val="44"/>
        </w:rPr>
      </w:pPr>
      <w:r>
        <w:rPr>
          <w:rFonts w:hint="eastAsia" w:ascii="宋体" w:hAnsi="宋体"/>
          <w:b/>
          <w:kern w:val="44"/>
        </w:rPr>
        <w:t>第二十条</w:t>
      </w:r>
      <w:r>
        <w:rPr>
          <w:rFonts w:hint="eastAsia" w:ascii="宋体" w:hAnsi="宋体"/>
          <w:kern w:val="44"/>
        </w:rPr>
        <w:t>　招标人不得以获得本地区、本行业奖项作为投标条件或者以不合理的地域、行业、所有制等条件限制、排斥潜在投标人投标；不得强制投标人组成联合体共同投标；不得向他人透露可能影响公平竞争的有关招标投标的情况。</w:t>
      </w:r>
    </w:p>
    <w:p w14:paraId="7DE31632">
      <w:pPr>
        <w:ind w:firstLine="422"/>
        <w:jc w:val="left"/>
        <w:rPr>
          <w:rFonts w:ascii="宋体" w:hAnsi="宋体"/>
          <w:kern w:val="44"/>
        </w:rPr>
      </w:pPr>
      <w:r>
        <w:rPr>
          <w:rFonts w:hint="eastAsia" w:ascii="宋体" w:hAnsi="宋体"/>
          <w:b/>
          <w:kern w:val="44"/>
        </w:rPr>
        <w:t>第二十一条</w:t>
      </w:r>
      <w:r>
        <w:rPr>
          <w:rFonts w:hint="eastAsia" w:ascii="宋体" w:hAnsi="宋体"/>
          <w:kern w:val="44"/>
        </w:rPr>
        <w:t>　投标人在投标截止时间之前撤回投标的，应当书面通知招标人。招标人接到通知后，收取投标保证金的，应当返还其投标保证金。</w:t>
      </w:r>
    </w:p>
    <w:p w14:paraId="71423F0E">
      <w:pPr>
        <w:ind w:firstLine="422"/>
        <w:jc w:val="left"/>
        <w:rPr>
          <w:rFonts w:ascii="宋体" w:hAnsi="宋体"/>
          <w:kern w:val="44"/>
        </w:rPr>
      </w:pPr>
      <w:r>
        <w:rPr>
          <w:rFonts w:hint="eastAsia" w:ascii="宋体" w:hAnsi="宋体"/>
          <w:b/>
          <w:kern w:val="44"/>
        </w:rPr>
        <w:t>第二十二条</w:t>
      </w:r>
      <w:r>
        <w:rPr>
          <w:rFonts w:hint="eastAsia" w:ascii="宋体" w:hAnsi="宋体"/>
          <w:kern w:val="44"/>
        </w:rPr>
        <w:t>　投标截止时间届满时，投标人少于3个的，招标人应当依法重新招标。</w:t>
      </w:r>
    </w:p>
    <w:p w14:paraId="43D235D0">
      <w:pPr>
        <w:ind w:firstLine="422"/>
        <w:jc w:val="left"/>
        <w:rPr>
          <w:rFonts w:ascii="宋体" w:hAnsi="宋体"/>
          <w:kern w:val="44"/>
        </w:rPr>
      </w:pPr>
      <w:r>
        <w:rPr>
          <w:rFonts w:hint="eastAsia" w:ascii="宋体" w:hAnsi="宋体"/>
          <w:b/>
          <w:kern w:val="44"/>
        </w:rPr>
        <w:t>第二十三条</w:t>
      </w:r>
      <w:r>
        <w:rPr>
          <w:rFonts w:hint="eastAsia" w:ascii="宋体" w:hAnsi="宋体"/>
          <w:kern w:val="44"/>
        </w:rPr>
        <w:t>　投标人不得相互约定抬高或者压低投标报价；不得与招标人串通投标；</w:t>
      </w:r>
    </w:p>
    <w:p w14:paraId="5F2E0B69">
      <w:pPr>
        <w:jc w:val="left"/>
        <w:rPr>
          <w:rFonts w:ascii="宋体" w:hAnsi="宋体"/>
          <w:kern w:val="44"/>
        </w:rPr>
      </w:pPr>
      <w:r>
        <w:rPr>
          <w:rFonts w:hint="eastAsia" w:ascii="宋体" w:hAnsi="宋体"/>
          <w:kern w:val="44"/>
        </w:rPr>
        <w:t>不得以向招标人或者评标委员会成员行贿的手段谋取中标；不得以他人名义投标或者以投标报价低于成本价等方式弄虚作假，骗取中标。</w:t>
      </w:r>
    </w:p>
    <w:p w14:paraId="3F9BC0E2">
      <w:pPr>
        <w:jc w:val="left"/>
        <w:rPr>
          <w:rFonts w:ascii="宋体" w:hAnsi="宋体"/>
          <w:kern w:val="44"/>
        </w:rPr>
      </w:pPr>
    </w:p>
    <w:p w14:paraId="5BC1F8C9">
      <w:pPr>
        <w:ind w:firstLine="0" w:firstLineChars="0"/>
        <w:jc w:val="center"/>
        <w:rPr>
          <w:rFonts w:ascii="宋体" w:hAnsi="宋体"/>
          <w:b/>
          <w:kern w:val="44"/>
          <w:sz w:val="28"/>
        </w:rPr>
      </w:pPr>
      <w:r>
        <w:rPr>
          <w:rFonts w:hint="eastAsia" w:ascii="宋体" w:hAnsi="宋体"/>
          <w:b/>
          <w:kern w:val="44"/>
          <w:sz w:val="28"/>
        </w:rPr>
        <w:t>第三章　开标、评标和中标</w:t>
      </w:r>
    </w:p>
    <w:p w14:paraId="5FCE7C63">
      <w:pPr>
        <w:jc w:val="left"/>
        <w:rPr>
          <w:rFonts w:ascii="宋体" w:hAnsi="宋体"/>
          <w:kern w:val="44"/>
        </w:rPr>
      </w:pPr>
    </w:p>
    <w:p w14:paraId="0037BD43">
      <w:pPr>
        <w:ind w:firstLine="422"/>
        <w:jc w:val="left"/>
        <w:rPr>
          <w:rFonts w:ascii="宋体" w:hAnsi="宋体"/>
          <w:kern w:val="44"/>
        </w:rPr>
      </w:pPr>
      <w:r>
        <w:rPr>
          <w:rFonts w:hint="eastAsia" w:ascii="宋体" w:hAnsi="宋体"/>
          <w:b/>
          <w:kern w:val="44"/>
        </w:rPr>
        <w:t>第二十四条</w:t>
      </w:r>
      <w:r>
        <w:rPr>
          <w:rFonts w:hint="eastAsia" w:ascii="宋体" w:hAnsi="宋体"/>
          <w:kern w:val="44"/>
        </w:rPr>
        <w:t>　开标应当在招标文件确定的提交投标文件截止时间的同一时间公开进行；开标地点应当为招标文件中预先确定的地点。</w:t>
      </w:r>
    </w:p>
    <w:p w14:paraId="53804486">
      <w:pPr>
        <w:ind w:firstLine="422"/>
        <w:jc w:val="left"/>
        <w:rPr>
          <w:rFonts w:ascii="宋体" w:hAnsi="宋体"/>
          <w:kern w:val="44"/>
        </w:rPr>
      </w:pPr>
      <w:r>
        <w:rPr>
          <w:rFonts w:hint="eastAsia" w:ascii="宋体" w:hAnsi="宋体"/>
          <w:b/>
          <w:kern w:val="44"/>
        </w:rPr>
        <w:t>第二十五条</w:t>
      </w:r>
      <w:r>
        <w:rPr>
          <w:rFonts w:hint="eastAsia" w:ascii="宋体" w:hAnsi="宋体"/>
          <w:kern w:val="44"/>
        </w:rPr>
        <w:t>　评标活动应当遵循公平、公正、科学和择优的原则依法进行。任何单位和个人不得非法干预、影响评标过程及结果。</w:t>
      </w:r>
    </w:p>
    <w:p w14:paraId="7DBE6979">
      <w:pPr>
        <w:ind w:firstLine="422"/>
        <w:jc w:val="left"/>
        <w:rPr>
          <w:rFonts w:ascii="宋体" w:hAnsi="宋体"/>
          <w:kern w:val="44"/>
        </w:rPr>
      </w:pPr>
      <w:r>
        <w:rPr>
          <w:rFonts w:hint="eastAsia" w:ascii="宋体" w:hAnsi="宋体"/>
          <w:b/>
          <w:kern w:val="44"/>
        </w:rPr>
        <w:t>第二十六条</w:t>
      </w:r>
      <w:r>
        <w:rPr>
          <w:rFonts w:hint="eastAsia" w:ascii="宋体" w:hAnsi="宋体"/>
          <w:kern w:val="44"/>
        </w:rPr>
        <w:t>　评标由招标人依法组建的评标委员会负责。</w:t>
      </w:r>
    </w:p>
    <w:p w14:paraId="62D1F51A">
      <w:pPr>
        <w:jc w:val="left"/>
        <w:rPr>
          <w:rFonts w:ascii="宋体" w:hAnsi="宋体"/>
          <w:kern w:val="44"/>
        </w:rPr>
      </w:pPr>
      <w:r>
        <w:rPr>
          <w:rFonts w:hint="eastAsia" w:ascii="宋体" w:hAnsi="宋体"/>
          <w:kern w:val="44"/>
        </w:rPr>
        <w:t>依法必须进行招标项目的评标委员会，由招标人的代表和有关技术、经济等方面的专家组成，成员人数为5人以上单数，其中技术、经济等方面的专家不得少于成员总数的三分之二。</w:t>
      </w:r>
    </w:p>
    <w:p w14:paraId="5E10CB9A">
      <w:pPr>
        <w:jc w:val="left"/>
        <w:rPr>
          <w:rFonts w:ascii="宋体" w:hAnsi="宋体"/>
          <w:kern w:val="44"/>
        </w:rPr>
      </w:pPr>
      <w:r>
        <w:rPr>
          <w:rFonts w:hint="eastAsia" w:ascii="宋体" w:hAnsi="宋体"/>
          <w:kern w:val="44"/>
        </w:rPr>
        <w:t>前款专家应当由招标人从国务院有关部门或者市人民政府有关部门提供的评标专家名册或者招标代理机构的专家库内的相关专业的专家名单中采取随机抽取方式确定；技术特别复杂、专业性要求特别高或者国家有特殊要求的招标项目，采取随机抽取方式确定的专家难以胜任的，可以由招标人直接确定。</w:t>
      </w:r>
    </w:p>
    <w:p w14:paraId="60ADB0DF">
      <w:pPr>
        <w:jc w:val="left"/>
        <w:rPr>
          <w:rFonts w:ascii="宋体" w:hAnsi="宋体"/>
          <w:kern w:val="44"/>
        </w:rPr>
      </w:pPr>
      <w:r>
        <w:rPr>
          <w:rFonts w:hint="eastAsia" w:ascii="宋体" w:hAnsi="宋体"/>
          <w:kern w:val="44"/>
        </w:rPr>
        <w:t>评标委员会成员的名单在中标结果确定前应当保密。</w:t>
      </w:r>
    </w:p>
    <w:p w14:paraId="1C323AA9">
      <w:pPr>
        <w:jc w:val="left"/>
        <w:rPr>
          <w:rFonts w:ascii="宋体" w:hAnsi="宋体"/>
          <w:kern w:val="44"/>
        </w:rPr>
      </w:pPr>
      <w:r>
        <w:rPr>
          <w:rFonts w:hint="eastAsia" w:ascii="宋体" w:hAnsi="宋体"/>
          <w:kern w:val="44"/>
        </w:rPr>
        <w:t>本市逐步建立全市统一的评标专家名册。</w:t>
      </w:r>
    </w:p>
    <w:p w14:paraId="10638136">
      <w:pPr>
        <w:ind w:firstLine="422"/>
        <w:jc w:val="left"/>
        <w:rPr>
          <w:rFonts w:ascii="宋体" w:hAnsi="宋体"/>
          <w:kern w:val="44"/>
        </w:rPr>
      </w:pPr>
      <w:r>
        <w:rPr>
          <w:rFonts w:hint="eastAsia" w:ascii="宋体" w:hAnsi="宋体"/>
          <w:b/>
          <w:kern w:val="44"/>
        </w:rPr>
        <w:t>第二十七条</w:t>
      </w:r>
      <w:r>
        <w:rPr>
          <w:rFonts w:hint="eastAsia" w:ascii="宋体" w:hAnsi="宋体"/>
          <w:kern w:val="44"/>
        </w:rPr>
        <w:t>　评标委员会设负责人的，评标委员会负责人由评标委员会成员推举产生或者由招标人直接确定。评标委员会负责人与评标委员会其他成员有同等的表决权。</w:t>
      </w:r>
    </w:p>
    <w:p w14:paraId="7216645F">
      <w:pPr>
        <w:ind w:firstLine="422"/>
        <w:jc w:val="left"/>
        <w:rPr>
          <w:rFonts w:ascii="宋体" w:hAnsi="宋体"/>
          <w:kern w:val="44"/>
        </w:rPr>
      </w:pPr>
      <w:r>
        <w:rPr>
          <w:rFonts w:hint="eastAsia" w:ascii="宋体" w:hAnsi="宋体"/>
          <w:b/>
          <w:kern w:val="44"/>
        </w:rPr>
        <w:t>第二十八条</w:t>
      </w:r>
      <w:r>
        <w:rPr>
          <w:rFonts w:hint="eastAsia" w:ascii="宋体" w:hAnsi="宋体"/>
          <w:kern w:val="44"/>
        </w:rPr>
        <w:t>　有下列情形之一的，不得担任相关项目的评标委员会成员：</w:t>
      </w:r>
    </w:p>
    <w:p w14:paraId="7222B999">
      <w:pPr>
        <w:jc w:val="left"/>
        <w:rPr>
          <w:rFonts w:ascii="宋体" w:hAnsi="宋体"/>
          <w:kern w:val="44"/>
        </w:rPr>
      </w:pPr>
      <w:r>
        <w:rPr>
          <w:rFonts w:hint="eastAsia" w:ascii="宋体" w:hAnsi="宋体"/>
          <w:kern w:val="44"/>
        </w:rPr>
        <w:t>（一）投标人或者投标人的主要负责人的近亲属；</w:t>
      </w:r>
    </w:p>
    <w:p w14:paraId="6B0F4A36">
      <w:pPr>
        <w:jc w:val="left"/>
        <w:rPr>
          <w:rFonts w:ascii="宋体" w:hAnsi="宋体"/>
          <w:kern w:val="44"/>
        </w:rPr>
      </w:pPr>
      <w:r>
        <w:rPr>
          <w:rFonts w:hint="eastAsia" w:ascii="宋体" w:hAnsi="宋体"/>
          <w:kern w:val="44"/>
        </w:rPr>
        <w:t>（二）与投标人有利害关系的；</w:t>
      </w:r>
    </w:p>
    <w:p w14:paraId="0B587618">
      <w:pPr>
        <w:jc w:val="left"/>
        <w:rPr>
          <w:rFonts w:ascii="宋体" w:hAnsi="宋体"/>
          <w:kern w:val="44"/>
        </w:rPr>
      </w:pPr>
      <w:r>
        <w:rPr>
          <w:rFonts w:hint="eastAsia" w:ascii="宋体" w:hAnsi="宋体"/>
          <w:kern w:val="44"/>
        </w:rPr>
        <w:t>（三）与投标人有其他关系，可能影响公正评审的。</w:t>
      </w:r>
    </w:p>
    <w:p w14:paraId="60B173D1">
      <w:pPr>
        <w:jc w:val="left"/>
        <w:rPr>
          <w:rFonts w:ascii="宋体" w:hAnsi="宋体"/>
          <w:kern w:val="44"/>
        </w:rPr>
      </w:pPr>
      <w:r>
        <w:rPr>
          <w:rFonts w:hint="eastAsia" w:ascii="宋体" w:hAnsi="宋体"/>
          <w:kern w:val="44"/>
        </w:rPr>
        <w:t>评标委员会成员有前款规定情形之一的，应当主动提出回避。</w:t>
      </w:r>
    </w:p>
    <w:p w14:paraId="61095066">
      <w:pPr>
        <w:jc w:val="left"/>
        <w:rPr>
          <w:rFonts w:ascii="宋体" w:hAnsi="宋体"/>
          <w:kern w:val="44"/>
        </w:rPr>
      </w:pPr>
      <w:r>
        <w:rPr>
          <w:rFonts w:hint="eastAsia" w:ascii="宋体" w:hAnsi="宋体"/>
          <w:kern w:val="44"/>
        </w:rPr>
        <w:t>招标人发现评标委员会成员有本条第一款规定情形之一的，应当予以更换。</w:t>
      </w:r>
    </w:p>
    <w:p w14:paraId="6C9BDC37">
      <w:pPr>
        <w:ind w:firstLine="422"/>
        <w:jc w:val="left"/>
        <w:rPr>
          <w:rFonts w:ascii="宋体" w:hAnsi="宋体"/>
          <w:kern w:val="44"/>
        </w:rPr>
      </w:pPr>
      <w:r>
        <w:rPr>
          <w:rFonts w:hint="eastAsia" w:ascii="宋体" w:hAnsi="宋体"/>
          <w:b/>
          <w:kern w:val="44"/>
        </w:rPr>
        <w:t>第二十九条</w:t>
      </w:r>
      <w:r>
        <w:rPr>
          <w:rFonts w:hint="eastAsia" w:ascii="宋体" w:hAnsi="宋体"/>
          <w:kern w:val="44"/>
        </w:rPr>
        <w:t>　评标可以采用经评审的最低投标价法或者综合评估法以及法律、法规允许的其他评标方法。</w:t>
      </w:r>
    </w:p>
    <w:p w14:paraId="68AEEFEC">
      <w:pPr>
        <w:jc w:val="left"/>
        <w:rPr>
          <w:rFonts w:ascii="宋体" w:hAnsi="宋体"/>
          <w:kern w:val="44"/>
        </w:rPr>
      </w:pPr>
      <w:r>
        <w:rPr>
          <w:rFonts w:hint="eastAsia" w:ascii="宋体" w:hAnsi="宋体"/>
          <w:kern w:val="44"/>
        </w:rPr>
        <w:t>采用招标方式确定基础设施和公用事业项目的投资主体、经营主体以及政府投资和政府融资项目的项目法人的，应当采用综合评估法评标。</w:t>
      </w:r>
    </w:p>
    <w:p w14:paraId="066C1837">
      <w:pPr>
        <w:ind w:firstLine="422"/>
        <w:jc w:val="left"/>
        <w:rPr>
          <w:rFonts w:ascii="宋体" w:hAnsi="宋体"/>
          <w:kern w:val="44"/>
        </w:rPr>
      </w:pPr>
      <w:r>
        <w:rPr>
          <w:rFonts w:hint="eastAsia" w:ascii="宋体" w:hAnsi="宋体"/>
          <w:b/>
          <w:kern w:val="44"/>
        </w:rPr>
        <w:t>第三十条</w:t>
      </w:r>
      <w:r>
        <w:rPr>
          <w:rFonts w:hint="eastAsia" w:ascii="宋体" w:hAnsi="宋体"/>
          <w:kern w:val="44"/>
        </w:rPr>
        <w:t>　评标委员会应当按照招标文件确定的评标标准和方法，对投标文件进行评审和比较。招标项目设置标底的，标底作为评标参考。评标委员会完成评标后，应当向招标人提出书面评标报告，并推荐1至3名合格的中标候选人。</w:t>
      </w:r>
    </w:p>
    <w:p w14:paraId="5E9D582A">
      <w:pPr>
        <w:jc w:val="left"/>
        <w:rPr>
          <w:rFonts w:ascii="宋体" w:hAnsi="宋体"/>
          <w:kern w:val="44"/>
        </w:rPr>
      </w:pPr>
      <w:r>
        <w:rPr>
          <w:rFonts w:hint="eastAsia" w:ascii="宋体" w:hAnsi="宋体"/>
          <w:kern w:val="44"/>
        </w:rPr>
        <w:t>招标人根据评标委员会提出的书面评标报告和推荐的中标候选人确定中标人。招标人也可以授权评标委员会直接确定中标人。</w:t>
      </w:r>
    </w:p>
    <w:p w14:paraId="1014B9F4">
      <w:pPr>
        <w:jc w:val="left"/>
        <w:rPr>
          <w:rFonts w:ascii="宋体" w:hAnsi="宋体"/>
          <w:kern w:val="44"/>
        </w:rPr>
      </w:pPr>
      <w:r>
        <w:rPr>
          <w:rFonts w:hint="eastAsia" w:ascii="宋体" w:hAnsi="宋体"/>
          <w:kern w:val="44"/>
        </w:rPr>
        <w:t>评标委员会不得改变招标文件确定的评标标准和方法。</w:t>
      </w:r>
    </w:p>
    <w:p w14:paraId="440CB3E7">
      <w:pPr>
        <w:ind w:firstLine="422"/>
        <w:jc w:val="left"/>
        <w:rPr>
          <w:rFonts w:ascii="宋体" w:hAnsi="宋体"/>
          <w:kern w:val="44"/>
        </w:rPr>
      </w:pPr>
      <w:r>
        <w:rPr>
          <w:rFonts w:hint="eastAsia" w:ascii="宋体" w:hAnsi="宋体"/>
          <w:b/>
          <w:kern w:val="44"/>
        </w:rPr>
        <w:t>第三十一条</w:t>
      </w:r>
      <w:r>
        <w:rPr>
          <w:rFonts w:hint="eastAsia" w:ascii="宋体" w:hAnsi="宋体"/>
          <w:kern w:val="44"/>
        </w:rPr>
        <w:t>　中标人的投标应当符合下列条件之一：</w:t>
      </w:r>
    </w:p>
    <w:p w14:paraId="4CCB9FF1">
      <w:pPr>
        <w:jc w:val="left"/>
        <w:rPr>
          <w:rFonts w:ascii="宋体" w:hAnsi="宋体"/>
          <w:kern w:val="44"/>
        </w:rPr>
      </w:pPr>
      <w:r>
        <w:rPr>
          <w:rFonts w:hint="eastAsia" w:ascii="宋体" w:hAnsi="宋体"/>
          <w:kern w:val="44"/>
        </w:rPr>
        <w:t>（一）能够最大限度地满足招标文件中规定的各项综合评价标准；</w:t>
      </w:r>
    </w:p>
    <w:p w14:paraId="389AB2C1">
      <w:pPr>
        <w:jc w:val="left"/>
        <w:rPr>
          <w:rFonts w:ascii="宋体" w:hAnsi="宋体"/>
          <w:kern w:val="44"/>
        </w:rPr>
      </w:pPr>
      <w:r>
        <w:rPr>
          <w:rFonts w:hint="eastAsia" w:ascii="宋体" w:hAnsi="宋体"/>
          <w:kern w:val="44"/>
        </w:rPr>
        <w:t>（二）能够满足招标文件的实质性要求，并且经评审的投标价格最低；但是投标价格低于成本的除外。</w:t>
      </w:r>
    </w:p>
    <w:p w14:paraId="142DAE20">
      <w:pPr>
        <w:ind w:firstLine="422"/>
        <w:jc w:val="left"/>
        <w:rPr>
          <w:rFonts w:ascii="宋体" w:hAnsi="宋体"/>
          <w:kern w:val="44"/>
        </w:rPr>
      </w:pPr>
      <w:r>
        <w:rPr>
          <w:rFonts w:hint="eastAsia" w:ascii="宋体" w:hAnsi="宋体"/>
          <w:b/>
          <w:kern w:val="44"/>
        </w:rPr>
        <w:t>第三十二条</w:t>
      </w:r>
      <w:r>
        <w:rPr>
          <w:rFonts w:hint="eastAsia" w:ascii="宋体" w:hAnsi="宋体"/>
          <w:kern w:val="44"/>
        </w:rPr>
        <w:t>　在评标过程中，有下列情形之一的，评标委员会可以认定为废标：</w:t>
      </w:r>
    </w:p>
    <w:p w14:paraId="7BF7F6BF">
      <w:pPr>
        <w:jc w:val="left"/>
        <w:rPr>
          <w:rFonts w:ascii="宋体" w:hAnsi="宋体"/>
          <w:kern w:val="44"/>
        </w:rPr>
      </w:pPr>
      <w:r>
        <w:rPr>
          <w:rFonts w:hint="eastAsia" w:ascii="宋体" w:hAnsi="宋体"/>
          <w:kern w:val="44"/>
        </w:rPr>
        <w:t>（一）投标人的报价明显低于其他投标报价或者在设有标底时明显低于标底，投标人不能合理说明或者不能提供相关证明材料证明其投标报价不低于其成本的；</w:t>
      </w:r>
    </w:p>
    <w:p w14:paraId="33109DE9">
      <w:pPr>
        <w:jc w:val="left"/>
        <w:rPr>
          <w:rFonts w:ascii="宋体" w:hAnsi="宋体"/>
          <w:kern w:val="44"/>
        </w:rPr>
      </w:pPr>
      <w:r>
        <w:rPr>
          <w:rFonts w:hint="eastAsia" w:ascii="宋体" w:hAnsi="宋体"/>
          <w:kern w:val="44"/>
        </w:rPr>
        <w:t>（二）投标文件未能在实质上响应招标文件提出的所有实质性要求和条件的；</w:t>
      </w:r>
    </w:p>
    <w:p w14:paraId="137D58DD">
      <w:pPr>
        <w:jc w:val="left"/>
        <w:rPr>
          <w:rFonts w:ascii="宋体" w:hAnsi="宋体"/>
          <w:kern w:val="44"/>
        </w:rPr>
      </w:pPr>
      <w:r>
        <w:rPr>
          <w:rFonts w:hint="eastAsia" w:ascii="宋体" w:hAnsi="宋体"/>
          <w:kern w:val="44"/>
        </w:rPr>
        <w:t>（三）符合招标文件规定的其他废标条件的。</w:t>
      </w:r>
    </w:p>
    <w:p w14:paraId="6F44B574">
      <w:pPr>
        <w:jc w:val="left"/>
        <w:rPr>
          <w:rFonts w:ascii="宋体" w:hAnsi="宋体"/>
          <w:kern w:val="44"/>
        </w:rPr>
      </w:pPr>
      <w:r>
        <w:rPr>
          <w:rFonts w:hint="eastAsia" w:ascii="宋体" w:hAnsi="宋体"/>
          <w:kern w:val="44"/>
        </w:rPr>
        <w:t>投标人以他人的名义投标、串通投标、以行贿手段谋取中标或者以其他弄虚作假方式投标的，应当作废标处理。</w:t>
      </w:r>
    </w:p>
    <w:p w14:paraId="6FBB849E">
      <w:pPr>
        <w:ind w:firstLine="422"/>
        <w:jc w:val="left"/>
        <w:rPr>
          <w:rFonts w:ascii="宋体" w:hAnsi="宋体"/>
          <w:kern w:val="44"/>
        </w:rPr>
      </w:pPr>
      <w:r>
        <w:rPr>
          <w:rFonts w:hint="eastAsia" w:ascii="宋体" w:hAnsi="宋体"/>
          <w:b/>
          <w:kern w:val="44"/>
        </w:rPr>
        <w:t>第三十三条</w:t>
      </w:r>
      <w:r>
        <w:rPr>
          <w:rFonts w:hint="eastAsia" w:ascii="宋体" w:hAnsi="宋体"/>
          <w:kern w:val="44"/>
        </w:rPr>
        <w:t>　投标人资格条件不符合国家有关规定和招标文件要求的，或者不按照要求对投标文件进行澄清和说明的，评标委员会可以否决其投标。</w:t>
      </w:r>
    </w:p>
    <w:p w14:paraId="5C9280F4">
      <w:pPr>
        <w:ind w:firstLine="422"/>
        <w:jc w:val="left"/>
        <w:rPr>
          <w:rFonts w:ascii="宋体" w:hAnsi="宋体"/>
          <w:kern w:val="44"/>
        </w:rPr>
      </w:pPr>
      <w:r>
        <w:rPr>
          <w:rFonts w:hint="eastAsia" w:ascii="宋体" w:hAnsi="宋体"/>
          <w:b/>
          <w:kern w:val="44"/>
        </w:rPr>
        <w:t>第三十四条</w:t>
      </w:r>
      <w:r>
        <w:rPr>
          <w:rFonts w:hint="eastAsia" w:ascii="宋体" w:hAnsi="宋体"/>
          <w:kern w:val="44"/>
        </w:rPr>
        <w:t>　评标委员会根据本条例第三十二条、第三十三条规定否决不合格投标或者认定为废标后，有效投标不足3个的，可以否决全部投标。</w:t>
      </w:r>
    </w:p>
    <w:p w14:paraId="48DDEA5A">
      <w:pPr>
        <w:jc w:val="left"/>
        <w:rPr>
          <w:rFonts w:ascii="宋体" w:hAnsi="宋体"/>
          <w:kern w:val="44"/>
        </w:rPr>
      </w:pPr>
      <w:r>
        <w:rPr>
          <w:rFonts w:hint="eastAsia" w:ascii="宋体" w:hAnsi="宋体"/>
          <w:kern w:val="44"/>
        </w:rPr>
        <w:t>依法必须进行招标的项目所有投标被否决的，招标人应当依法重新招标。</w:t>
      </w:r>
    </w:p>
    <w:p w14:paraId="642A5AF6">
      <w:pPr>
        <w:ind w:firstLine="422"/>
        <w:jc w:val="left"/>
        <w:rPr>
          <w:rFonts w:ascii="宋体" w:hAnsi="宋体"/>
          <w:kern w:val="44"/>
        </w:rPr>
      </w:pPr>
      <w:r>
        <w:rPr>
          <w:rFonts w:hint="eastAsia" w:ascii="宋体" w:hAnsi="宋体"/>
          <w:b/>
          <w:kern w:val="44"/>
        </w:rPr>
        <w:t>第三十五条</w:t>
      </w:r>
      <w:r>
        <w:rPr>
          <w:rFonts w:hint="eastAsia" w:ascii="宋体" w:hAnsi="宋体"/>
          <w:kern w:val="44"/>
        </w:rPr>
        <w:t>　依法必须进行招标的项目，招标人应当自确定中标人之日起15日内，向有关行政监督部门提交招标投标情况的书面报告。</w:t>
      </w:r>
    </w:p>
    <w:p w14:paraId="230E9DC8">
      <w:pPr>
        <w:jc w:val="left"/>
        <w:rPr>
          <w:rFonts w:ascii="宋体" w:hAnsi="宋体"/>
          <w:kern w:val="44"/>
        </w:rPr>
      </w:pPr>
      <w:r>
        <w:rPr>
          <w:rFonts w:hint="eastAsia" w:ascii="宋体" w:hAnsi="宋体"/>
          <w:kern w:val="44"/>
        </w:rPr>
        <w:t>提交书面报告时，应当同时附送下列文件或者文件的复制件：</w:t>
      </w:r>
    </w:p>
    <w:p w14:paraId="0B3C5384">
      <w:pPr>
        <w:jc w:val="left"/>
        <w:rPr>
          <w:rFonts w:ascii="宋体" w:hAnsi="宋体"/>
          <w:kern w:val="44"/>
        </w:rPr>
      </w:pPr>
      <w:r>
        <w:rPr>
          <w:rFonts w:hint="eastAsia" w:ascii="宋体" w:hAnsi="宋体"/>
          <w:kern w:val="44"/>
        </w:rPr>
        <w:t>（一）招标文件；</w:t>
      </w:r>
    </w:p>
    <w:p w14:paraId="414AD77F">
      <w:pPr>
        <w:jc w:val="left"/>
        <w:rPr>
          <w:rFonts w:ascii="宋体" w:hAnsi="宋体"/>
          <w:kern w:val="44"/>
        </w:rPr>
      </w:pPr>
      <w:r>
        <w:rPr>
          <w:rFonts w:hint="eastAsia" w:ascii="宋体" w:hAnsi="宋体"/>
          <w:kern w:val="44"/>
        </w:rPr>
        <w:t>（二）招标公告及发布媒介或者投标邀请书；</w:t>
      </w:r>
    </w:p>
    <w:p w14:paraId="4300D552">
      <w:pPr>
        <w:jc w:val="left"/>
        <w:rPr>
          <w:rFonts w:ascii="宋体" w:hAnsi="宋体"/>
          <w:kern w:val="44"/>
        </w:rPr>
      </w:pPr>
      <w:r>
        <w:rPr>
          <w:rFonts w:hint="eastAsia" w:ascii="宋体" w:hAnsi="宋体"/>
          <w:kern w:val="44"/>
        </w:rPr>
        <w:t>（三）实行资格预审的，资格预审文件和资格预审结果；</w:t>
      </w:r>
    </w:p>
    <w:p w14:paraId="7979C656">
      <w:pPr>
        <w:jc w:val="left"/>
        <w:rPr>
          <w:rFonts w:ascii="宋体" w:hAnsi="宋体"/>
          <w:kern w:val="44"/>
        </w:rPr>
      </w:pPr>
      <w:r>
        <w:rPr>
          <w:rFonts w:hint="eastAsia" w:ascii="宋体" w:hAnsi="宋体"/>
          <w:kern w:val="44"/>
        </w:rPr>
        <w:t>（四）评标委员会成员和评标报告；</w:t>
      </w:r>
    </w:p>
    <w:p w14:paraId="48574F32">
      <w:pPr>
        <w:jc w:val="left"/>
        <w:rPr>
          <w:rFonts w:ascii="宋体" w:hAnsi="宋体"/>
          <w:kern w:val="44"/>
        </w:rPr>
      </w:pPr>
      <w:r>
        <w:rPr>
          <w:rFonts w:hint="eastAsia" w:ascii="宋体" w:hAnsi="宋体"/>
          <w:kern w:val="44"/>
        </w:rPr>
        <w:t>（五）中标结果及中标人的投标文件。</w:t>
      </w:r>
    </w:p>
    <w:p w14:paraId="55FD475E">
      <w:pPr>
        <w:ind w:firstLine="422"/>
        <w:jc w:val="left"/>
        <w:rPr>
          <w:rFonts w:ascii="宋体" w:hAnsi="宋体"/>
          <w:kern w:val="44"/>
        </w:rPr>
      </w:pPr>
      <w:r>
        <w:rPr>
          <w:rFonts w:hint="eastAsia" w:ascii="宋体" w:hAnsi="宋体"/>
          <w:b/>
          <w:kern w:val="44"/>
        </w:rPr>
        <w:t>第三十六条</w:t>
      </w:r>
      <w:r>
        <w:rPr>
          <w:rFonts w:hint="eastAsia" w:ascii="宋体" w:hAnsi="宋体"/>
          <w:kern w:val="44"/>
        </w:rPr>
        <w:t>　中标人确定后，招标人应当向中标人发出中标通知书，同时将中标结果书面通知所有未中标的投标人。中标通知书对招标人和中标人具有法律效力。</w:t>
      </w:r>
    </w:p>
    <w:p w14:paraId="26F223F9">
      <w:pPr>
        <w:jc w:val="left"/>
        <w:rPr>
          <w:rFonts w:ascii="宋体" w:hAnsi="宋体"/>
          <w:kern w:val="44"/>
        </w:rPr>
      </w:pPr>
      <w:r>
        <w:rPr>
          <w:rFonts w:hint="eastAsia" w:ascii="宋体" w:hAnsi="宋体"/>
          <w:kern w:val="44"/>
        </w:rPr>
        <w:t>政府投资和政府融资项目的中标结果应当向社会公告。</w:t>
      </w:r>
    </w:p>
    <w:p w14:paraId="33568575">
      <w:pPr>
        <w:ind w:firstLine="422"/>
        <w:jc w:val="left"/>
        <w:rPr>
          <w:rFonts w:ascii="宋体" w:hAnsi="宋体"/>
          <w:kern w:val="44"/>
        </w:rPr>
      </w:pPr>
      <w:r>
        <w:rPr>
          <w:rFonts w:hint="eastAsia" w:ascii="宋体" w:hAnsi="宋体"/>
          <w:b/>
          <w:kern w:val="44"/>
        </w:rPr>
        <w:t>第三十七条</w:t>
      </w:r>
      <w:r>
        <w:rPr>
          <w:rFonts w:hint="eastAsia" w:ascii="宋体" w:hAnsi="宋体"/>
          <w:kern w:val="44"/>
        </w:rPr>
        <w:t>　招标人和中标人应当在规定时间内，按照招标文件和中标人的投标文件订立书面合同，不得再行订立背离合同实质性内容的其他协议。</w:t>
      </w:r>
    </w:p>
    <w:p w14:paraId="47C5EB1C">
      <w:pPr>
        <w:jc w:val="left"/>
        <w:rPr>
          <w:rFonts w:ascii="宋体" w:hAnsi="宋体"/>
          <w:kern w:val="44"/>
        </w:rPr>
      </w:pPr>
      <w:r>
        <w:rPr>
          <w:rFonts w:hint="eastAsia" w:ascii="宋体" w:hAnsi="宋体"/>
          <w:kern w:val="44"/>
        </w:rPr>
        <w:t>政府投资和政府融资的项目签订合同后，招标人应当向有关行政监督部门备案。</w:t>
      </w:r>
    </w:p>
    <w:p w14:paraId="50ACFDD1">
      <w:pPr>
        <w:ind w:firstLine="422"/>
        <w:jc w:val="left"/>
        <w:rPr>
          <w:rFonts w:ascii="宋体" w:hAnsi="宋体"/>
          <w:kern w:val="44"/>
        </w:rPr>
      </w:pPr>
      <w:r>
        <w:rPr>
          <w:rFonts w:hint="eastAsia" w:ascii="宋体" w:hAnsi="宋体"/>
          <w:b/>
          <w:kern w:val="44"/>
        </w:rPr>
        <w:t>第三十八条</w:t>
      </w:r>
      <w:r>
        <w:rPr>
          <w:rFonts w:hint="eastAsia" w:ascii="宋体" w:hAnsi="宋体"/>
          <w:kern w:val="44"/>
        </w:rPr>
        <w:t>　招标人收取投标保证金的，在与中标人签订合同后5个工作日内，应当向中标人和未中标的投标人退还投标保证金。</w:t>
      </w:r>
    </w:p>
    <w:p w14:paraId="118A557B">
      <w:pPr>
        <w:ind w:firstLine="422"/>
        <w:jc w:val="left"/>
        <w:rPr>
          <w:rFonts w:ascii="宋体" w:hAnsi="宋体"/>
          <w:kern w:val="44"/>
        </w:rPr>
      </w:pPr>
      <w:r>
        <w:rPr>
          <w:rFonts w:hint="eastAsia" w:ascii="宋体" w:hAnsi="宋体"/>
          <w:b/>
          <w:kern w:val="44"/>
        </w:rPr>
        <w:t>第三十九条</w:t>
      </w:r>
      <w:r>
        <w:rPr>
          <w:rFonts w:hint="eastAsia" w:ascii="宋体" w:hAnsi="宋体"/>
          <w:kern w:val="44"/>
        </w:rPr>
        <w:t>　中标人应当按照合同约定履行义务，完成中标项目。中标人不得向他人转让中标项目，也不得将中标项目肢解后转让。</w:t>
      </w:r>
    </w:p>
    <w:p w14:paraId="08B8F488">
      <w:pPr>
        <w:jc w:val="left"/>
        <w:rPr>
          <w:rFonts w:ascii="宋体" w:hAnsi="宋体"/>
          <w:kern w:val="44"/>
        </w:rPr>
      </w:pPr>
      <w:r>
        <w:rPr>
          <w:rFonts w:hint="eastAsia" w:ascii="宋体" w:hAnsi="宋体"/>
          <w:kern w:val="44"/>
        </w:rPr>
        <w:t>中标人按照合同约定或者经招标人同意，可以将中标项目的部分非主体、非关键性工作分包给他人完成。接受分包的人应当具备相应的资格条件，并不得再次分包。</w:t>
      </w:r>
    </w:p>
    <w:p w14:paraId="053561EE">
      <w:pPr>
        <w:jc w:val="left"/>
        <w:rPr>
          <w:rFonts w:ascii="宋体" w:hAnsi="宋体"/>
          <w:kern w:val="44"/>
        </w:rPr>
      </w:pPr>
      <w:r>
        <w:rPr>
          <w:rFonts w:hint="eastAsia" w:ascii="宋体" w:hAnsi="宋体"/>
          <w:kern w:val="44"/>
        </w:rPr>
        <w:t>中标人应当就分包项目向招标人负责，接受分包的人就分包项目承担连带责任。</w:t>
      </w:r>
    </w:p>
    <w:p w14:paraId="1B2A6FD9">
      <w:pPr>
        <w:jc w:val="left"/>
        <w:rPr>
          <w:rFonts w:ascii="宋体" w:hAnsi="宋体"/>
          <w:kern w:val="44"/>
        </w:rPr>
      </w:pPr>
    </w:p>
    <w:p w14:paraId="2D8A3791">
      <w:pPr>
        <w:ind w:firstLine="0" w:firstLineChars="0"/>
        <w:jc w:val="center"/>
        <w:rPr>
          <w:rFonts w:ascii="宋体" w:hAnsi="宋体"/>
          <w:b/>
          <w:kern w:val="44"/>
          <w:sz w:val="28"/>
        </w:rPr>
      </w:pPr>
      <w:r>
        <w:rPr>
          <w:rFonts w:hint="eastAsia" w:ascii="宋体" w:hAnsi="宋体"/>
          <w:b/>
          <w:kern w:val="44"/>
          <w:sz w:val="28"/>
        </w:rPr>
        <w:t>第四章　监　督</w:t>
      </w:r>
    </w:p>
    <w:p w14:paraId="399F3800">
      <w:pPr>
        <w:jc w:val="left"/>
        <w:rPr>
          <w:rFonts w:ascii="宋体" w:hAnsi="宋体"/>
          <w:kern w:val="44"/>
        </w:rPr>
      </w:pPr>
    </w:p>
    <w:p w14:paraId="7980DBC6">
      <w:pPr>
        <w:ind w:firstLine="422"/>
        <w:jc w:val="left"/>
        <w:rPr>
          <w:rFonts w:ascii="宋体" w:hAnsi="宋体"/>
          <w:kern w:val="44"/>
        </w:rPr>
      </w:pPr>
      <w:r>
        <w:rPr>
          <w:rFonts w:hint="eastAsia" w:ascii="宋体" w:hAnsi="宋体"/>
          <w:b/>
          <w:kern w:val="44"/>
        </w:rPr>
        <w:t>第四十条</w:t>
      </w:r>
      <w:r>
        <w:rPr>
          <w:rFonts w:hint="eastAsia" w:ascii="宋体" w:hAnsi="宋体"/>
          <w:kern w:val="44"/>
        </w:rPr>
        <w:t>　市和区、县人民政府有关行政监督部门应当加强对招标投标活动的监督检查，市发展改革部门应当加强对政府投资和政府融资项目招标投标活动的监督，协调有关监督检查工作。</w:t>
      </w:r>
    </w:p>
    <w:p w14:paraId="180C4886">
      <w:pPr>
        <w:ind w:firstLine="422"/>
        <w:jc w:val="left"/>
        <w:rPr>
          <w:rFonts w:ascii="宋体" w:hAnsi="宋体"/>
          <w:kern w:val="44"/>
        </w:rPr>
      </w:pPr>
      <w:r>
        <w:rPr>
          <w:rFonts w:hint="eastAsia" w:ascii="宋体" w:hAnsi="宋体"/>
          <w:b/>
          <w:kern w:val="44"/>
        </w:rPr>
        <w:t>第四十一条</w:t>
      </w:r>
      <w:r>
        <w:rPr>
          <w:rFonts w:hint="eastAsia" w:ascii="宋体" w:hAnsi="宋体"/>
          <w:kern w:val="44"/>
        </w:rPr>
        <w:t>　行政监督部门应当依法履行监督职责，不得任意增加招标投标审批事项，不得非法干涉或者侵犯招标人选择招标代理机构、编制招标文件、组织投标资格审查、确定开标的时间和地点、组织评标、确定中标人等事项的自主权。</w:t>
      </w:r>
    </w:p>
    <w:p w14:paraId="50218240">
      <w:pPr>
        <w:ind w:firstLine="422"/>
        <w:jc w:val="left"/>
        <w:rPr>
          <w:rFonts w:ascii="宋体" w:hAnsi="宋体"/>
          <w:kern w:val="44"/>
        </w:rPr>
      </w:pPr>
      <w:r>
        <w:rPr>
          <w:rFonts w:hint="eastAsia" w:ascii="宋体" w:hAnsi="宋体"/>
          <w:b/>
          <w:kern w:val="44"/>
        </w:rPr>
        <w:t>第四十二条</w:t>
      </w:r>
      <w:r>
        <w:rPr>
          <w:rFonts w:hint="eastAsia" w:ascii="宋体" w:hAnsi="宋体"/>
          <w:kern w:val="44"/>
        </w:rPr>
        <w:t>　有关行政监督部门可以采取执法专项检查、重点抽查、成立调查组进行专项调查等方式对招标投标活动监督检查，依法查处违法行为。</w:t>
      </w:r>
    </w:p>
    <w:p w14:paraId="5A966219">
      <w:pPr>
        <w:jc w:val="left"/>
        <w:rPr>
          <w:rFonts w:ascii="宋体" w:hAnsi="宋体"/>
          <w:kern w:val="44"/>
        </w:rPr>
      </w:pPr>
      <w:r>
        <w:rPr>
          <w:rFonts w:hint="eastAsia" w:ascii="宋体" w:hAnsi="宋体"/>
          <w:kern w:val="44"/>
        </w:rPr>
        <w:t>有关行政监督部门进行执法监督检查时，有权调取和查阅有关文件，调查、核实有关情况。</w:t>
      </w:r>
    </w:p>
    <w:p w14:paraId="547E5C58">
      <w:pPr>
        <w:ind w:firstLine="422"/>
        <w:jc w:val="left"/>
        <w:rPr>
          <w:rFonts w:ascii="宋体" w:hAnsi="宋体"/>
          <w:kern w:val="44"/>
        </w:rPr>
      </w:pPr>
      <w:r>
        <w:rPr>
          <w:rFonts w:hint="eastAsia" w:ascii="宋体" w:hAnsi="宋体"/>
          <w:b/>
          <w:kern w:val="44"/>
        </w:rPr>
        <w:t>第四十三条</w:t>
      </w:r>
      <w:r>
        <w:rPr>
          <w:rFonts w:hint="eastAsia" w:ascii="宋体" w:hAnsi="宋体"/>
          <w:kern w:val="44"/>
        </w:rPr>
        <w:t>　本市对地方重点项目的招标投标活动进行专项稽察。专项稽察包括以下内容：</w:t>
      </w:r>
    </w:p>
    <w:p w14:paraId="1610E792">
      <w:pPr>
        <w:jc w:val="left"/>
        <w:rPr>
          <w:rFonts w:ascii="宋体" w:hAnsi="宋体"/>
          <w:kern w:val="44"/>
        </w:rPr>
      </w:pPr>
      <w:r>
        <w:rPr>
          <w:rFonts w:hint="eastAsia" w:ascii="宋体" w:hAnsi="宋体"/>
          <w:kern w:val="44"/>
        </w:rPr>
        <w:t>（一）招标投标当事人和行政监督部门有关招标投标的行为是否符合法律、法规规定的权限和程序；</w:t>
      </w:r>
    </w:p>
    <w:p w14:paraId="47355421">
      <w:pPr>
        <w:jc w:val="left"/>
        <w:rPr>
          <w:rFonts w:ascii="宋体" w:hAnsi="宋体"/>
          <w:kern w:val="44"/>
        </w:rPr>
      </w:pPr>
      <w:r>
        <w:rPr>
          <w:rFonts w:hint="eastAsia" w:ascii="宋体" w:hAnsi="宋体"/>
          <w:kern w:val="44"/>
        </w:rPr>
        <w:t>（二）对招标投标的有关文件、资料的合法性、真实性进行核实；</w:t>
      </w:r>
    </w:p>
    <w:p w14:paraId="6135D5F6">
      <w:pPr>
        <w:jc w:val="left"/>
        <w:rPr>
          <w:rFonts w:ascii="宋体" w:hAnsi="宋体"/>
          <w:kern w:val="44"/>
        </w:rPr>
      </w:pPr>
      <w:r>
        <w:rPr>
          <w:rFonts w:hint="eastAsia" w:ascii="宋体" w:hAnsi="宋体"/>
          <w:kern w:val="44"/>
        </w:rPr>
        <w:t>（三）对资格预审、开标、评标、定标过程是否合法和符合招标文件、资格审查文件规定进行调查核实；</w:t>
      </w:r>
    </w:p>
    <w:p w14:paraId="22282319">
      <w:pPr>
        <w:jc w:val="left"/>
        <w:rPr>
          <w:rFonts w:ascii="宋体" w:hAnsi="宋体"/>
          <w:kern w:val="44"/>
        </w:rPr>
      </w:pPr>
      <w:r>
        <w:rPr>
          <w:rFonts w:hint="eastAsia" w:ascii="宋体" w:hAnsi="宋体"/>
          <w:kern w:val="44"/>
        </w:rPr>
        <w:t>（四）招标投标结果的执行情况；</w:t>
      </w:r>
    </w:p>
    <w:p w14:paraId="122819C2">
      <w:pPr>
        <w:jc w:val="left"/>
        <w:rPr>
          <w:rFonts w:ascii="宋体" w:hAnsi="宋体"/>
          <w:kern w:val="44"/>
        </w:rPr>
      </w:pPr>
      <w:r>
        <w:rPr>
          <w:rFonts w:hint="eastAsia" w:ascii="宋体" w:hAnsi="宋体"/>
          <w:kern w:val="44"/>
        </w:rPr>
        <w:t>（五）其他需要专项稽察的内容。</w:t>
      </w:r>
    </w:p>
    <w:p w14:paraId="76D0CC83">
      <w:pPr>
        <w:ind w:firstLine="422"/>
        <w:jc w:val="left"/>
        <w:rPr>
          <w:rFonts w:ascii="宋体" w:hAnsi="宋体"/>
          <w:kern w:val="44"/>
        </w:rPr>
      </w:pPr>
      <w:r>
        <w:rPr>
          <w:rFonts w:hint="eastAsia" w:ascii="宋体" w:hAnsi="宋体"/>
          <w:b/>
          <w:kern w:val="44"/>
        </w:rPr>
        <w:t>第四十四条</w:t>
      </w:r>
      <w:r>
        <w:rPr>
          <w:rFonts w:hint="eastAsia" w:ascii="宋体" w:hAnsi="宋体"/>
          <w:kern w:val="44"/>
        </w:rPr>
        <w:t>　任何单位和个人认为招标投标活动违反《招标投标法》和本条例规定的，可以向有关行政监督部门举报。有关行政监督部门应当及时调查处理，将处理情况告知举报人，并为举报人保密。</w:t>
      </w:r>
    </w:p>
    <w:p w14:paraId="59F4BFEA">
      <w:pPr>
        <w:jc w:val="left"/>
        <w:rPr>
          <w:rFonts w:ascii="宋体" w:hAnsi="宋体"/>
          <w:kern w:val="44"/>
        </w:rPr>
      </w:pPr>
      <w:r>
        <w:rPr>
          <w:rFonts w:hint="eastAsia" w:ascii="宋体" w:hAnsi="宋体"/>
          <w:kern w:val="44"/>
        </w:rPr>
        <w:t>投标人和其他利害关系人认为招标投标活动违反《招标投标法》和本条例规定的，有权向有关行政监督部门投诉。有关行政监督部门应当在收到投诉后10个工作日内，作出是否受理的决定；决定受理的，应当及时调查处理，并将处理情况告知投诉人。投诉人对有关行政监督部门逾期未作出受理决定或者对投诉处理决定不服的，可以依法申请行政复议或者提起行政诉讼。</w:t>
      </w:r>
    </w:p>
    <w:p w14:paraId="27B056C3">
      <w:pPr>
        <w:ind w:firstLine="422"/>
        <w:jc w:val="left"/>
        <w:rPr>
          <w:rFonts w:ascii="宋体" w:hAnsi="宋体"/>
          <w:kern w:val="44"/>
        </w:rPr>
      </w:pPr>
      <w:r>
        <w:rPr>
          <w:rFonts w:hint="eastAsia" w:ascii="宋体" w:hAnsi="宋体"/>
          <w:b/>
          <w:kern w:val="44"/>
        </w:rPr>
        <w:t>第四十五条</w:t>
      </w:r>
      <w:r>
        <w:rPr>
          <w:rFonts w:hint="eastAsia" w:ascii="宋体" w:hAnsi="宋体"/>
          <w:kern w:val="44"/>
        </w:rPr>
        <w:t>　本市建立招标投标活动违法行为记录系统，记载招标人、招标代理机构、投标人、评标委员会成员等招标投标活动当事人的违法行为及处理结果。</w:t>
      </w:r>
    </w:p>
    <w:p w14:paraId="24E8579E">
      <w:pPr>
        <w:jc w:val="left"/>
        <w:rPr>
          <w:rFonts w:ascii="宋体" w:hAnsi="宋体"/>
          <w:kern w:val="44"/>
        </w:rPr>
      </w:pPr>
      <w:r>
        <w:rPr>
          <w:rFonts w:hint="eastAsia" w:ascii="宋体" w:hAnsi="宋体"/>
          <w:kern w:val="44"/>
        </w:rPr>
        <w:t>单位和个人有权查询违法行为处理结果记录。</w:t>
      </w:r>
    </w:p>
    <w:p w14:paraId="5E409490">
      <w:pPr>
        <w:jc w:val="left"/>
        <w:rPr>
          <w:rFonts w:ascii="宋体" w:hAnsi="宋体"/>
          <w:kern w:val="44"/>
        </w:rPr>
      </w:pPr>
    </w:p>
    <w:p w14:paraId="17550E7F">
      <w:pPr>
        <w:ind w:firstLine="0" w:firstLineChars="0"/>
        <w:jc w:val="center"/>
        <w:rPr>
          <w:rFonts w:ascii="宋体" w:hAnsi="宋体"/>
          <w:b/>
          <w:kern w:val="44"/>
          <w:sz w:val="28"/>
        </w:rPr>
      </w:pPr>
      <w:r>
        <w:rPr>
          <w:rFonts w:hint="eastAsia" w:ascii="宋体" w:hAnsi="宋体"/>
          <w:b/>
          <w:kern w:val="44"/>
          <w:sz w:val="28"/>
        </w:rPr>
        <w:t>第五章　法律责任</w:t>
      </w:r>
    </w:p>
    <w:p w14:paraId="640F7D6D">
      <w:pPr>
        <w:jc w:val="left"/>
        <w:rPr>
          <w:rFonts w:ascii="宋体" w:hAnsi="宋体"/>
          <w:kern w:val="44"/>
        </w:rPr>
      </w:pPr>
    </w:p>
    <w:p w14:paraId="4B77B049">
      <w:pPr>
        <w:ind w:firstLine="422"/>
        <w:jc w:val="left"/>
        <w:rPr>
          <w:rFonts w:ascii="宋体" w:hAnsi="宋体"/>
          <w:kern w:val="44"/>
        </w:rPr>
      </w:pPr>
      <w:r>
        <w:rPr>
          <w:rFonts w:hint="eastAsia" w:ascii="宋体" w:hAnsi="宋体"/>
          <w:b/>
          <w:kern w:val="44"/>
        </w:rPr>
        <w:t>第四十六条</w:t>
      </w:r>
      <w:r>
        <w:rPr>
          <w:rFonts w:hint="eastAsia" w:ascii="宋体" w:hAnsi="宋体"/>
          <w:kern w:val="44"/>
        </w:rPr>
        <w:t>　违反本条例的行为，法律、行政法规有规定的，依照其规定追究法律责任；没有法律、行政法规规定的，适用本条例规定。</w:t>
      </w:r>
    </w:p>
    <w:p w14:paraId="772B0404">
      <w:pPr>
        <w:ind w:firstLine="422"/>
        <w:jc w:val="left"/>
        <w:rPr>
          <w:rFonts w:ascii="宋体" w:hAnsi="宋体"/>
          <w:kern w:val="44"/>
        </w:rPr>
      </w:pPr>
      <w:r>
        <w:rPr>
          <w:rFonts w:hint="eastAsia" w:ascii="宋体" w:hAnsi="宋体"/>
          <w:b/>
          <w:kern w:val="44"/>
        </w:rPr>
        <w:t>第四十七条</w:t>
      </w:r>
      <w:r>
        <w:rPr>
          <w:rFonts w:hint="eastAsia" w:ascii="宋体" w:hAnsi="宋体"/>
          <w:kern w:val="44"/>
        </w:rPr>
        <w:t>　本章规定的行政处罚，由市人民政府规定的有关行政监督部门决定。</w:t>
      </w:r>
    </w:p>
    <w:p w14:paraId="407B8E68">
      <w:pPr>
        <w:ind w:firstLine="422"/>
        <w:jc w:val="left"/>
        <w:rPr>
          <w:rFonts w:ascii="宋体" w:hAnsi="宋体"/>
          <w:kern w:val="44"/>
        </w:rPr>
      </w:pPr>
      <w:r>
        <w:rPr>
          <w:rFonts w:hint="eastAsia" w:ascii="宋体" w:hAnsi="宋体"/>
          <w:b/>
          <w:kern w:val="44"/>
        </w:rPr>
        <w:t>第四十八条</w:t>
      </w:r>
      <w:r>
        <w:rPr>
          <w:rFonts w:hint="eastAsia" w:ascii="宋体" w:hAnsi="宋体"/>
          <w:kern w:val="44"/>
        </w:rPr>
        <w:t>　招标人违反本条例第十一条规定，应当公开招标的项目未经批准擅自邀请招标的，由项目审批部门责令限期改正，可以处1万元以上5万元以下罚款；有关部门可以对单位直接负责的主管人员和其他责任人员依法给予行政处分；其中使用政府投资的项目，可以暂停项目执行或者暂停资金拨付。</w:t>
      </w:r>
    </w:p>
    <w:p w14:paraId="45DF6FCC">
      <w:pPr>
        <w:ind w:firstLine="422"/>
        <w:jc w:val="left"/>
        <w:rPr>
          <w:rFonts w:ascii="宋体" w:hAnsi="宋体"/>
          <w:kern w:val="44"/>
        </w:rPr>
      </w:pPr>
      <w:r>
        <w:rPr>
          <w:rFonts w:hint="eastAsia" w:ascii="宋体" w:hAnsi="宋体"/>
          <w:b/>
          <w:kern w:val="44"/>
        </w:rPr>
        <w:t>第四十九条</w:t>
      </w:r>
      <w:r>
        <w:rPr>
          <w:rFonts w:hint="eastAsia" w:ascii="宋体" w:hAnsi="宋体"/>
          <w:kern w:val="44"/>
        </w:rPr>
        <w:t>　招标人违反本条例第十五条第一款规定，对依法必须进行招标的项目，应当发布招标公告而不发布的，由有关行政监督部门责令限期改正，可以处项目合同金额5‰以上10‰以下罚款；违反本条例第十五条第二款规定，对依法必须进行招标的项目不在指定媒介发布招标公告的，或者违反本条例第二十条规定，在招标公告中以不合理的条件限制或者排斥潜在投标人的，由有关行政监督部门责令限期改正，可以处1万元以上5万元以下罚款。</w:t>
      </w:r>
    </w:p>
    <w:p w14:paraId="60AF62E6">
      <w:pPr>
        <w:ind w:firstLine="422"/>
        <w:jc w:val="left"/>
        <w:rPr>
          <w:rFonts w:ascii="宋体" w:hAnsi="宋体"/>
          <w:kern w:val="44"/>
        </w:rPr>
      </w:pPr>
      <w:r>
        <w:rPr>
          <w:rFonts w:hint="eastAsia" w:ascii="宋体" w:hAnsi="宋体"/>
          <w:b/>
          <w:kern w:val="44"/>
        </w:rPr>
        <w:t>第五十条</w:t>
      </w:r>
      <w:r>
        <w:rPr>
          <w:rFonts w:hint="eastAsia" w:ascii="宋体" w:hAnsi="宋体"/>
          <w:kern w:val="44"/>
        </w:rPr>
        <w:t>　违反本条例第二十三条规定，政府投资和政府融资项目的投标人以投标报价低于成本价的方式骗取中标，导致合同不能全部履行的，取消其3年至5年参加政府投资和政府融资项目的投标资格并予以公告。</w:t>
      </w:r>
    </w:p>
    <w:p w14:paraId="226A6734">
      <w:pPr>
        <w:ind w:firstLine="422"/>
        <w:jc w:val="left"/>
        <w:rPr>
          <w:rFonts w:ascii="宋体" w:hAnsi="宋体"/>
          <w:kern w:val="44"/>
        </w:rPr>
      </w:pPr>
      <w:r>
        <w:rPr>
          <w:rFonts w:hint="eastAsia" w:ascii="宋体" w:hAnsi="宋体"/>
          <w:b/>
          <w:kern w:val="44"/>
        </w:rPr>
        <w:t>第五十一条</w:t>
      </w:r>
      <w:r>
        <w:rPr>
          <w:rFonts w:hint="eastAsia" w:ascii="宋体" w:hAnsi="宋体"/>
          <w:kern w:val="44"/>
        </w:rPr>
        <w:t>　违反本条例第四十一条、第四十四条规定，有关行政监督部门擅自增加审批事项和非法干涉或者侵犯招标人自主权的，对于举报或者投诉不及时处理，或者不为举报人保密的，由有关部门对单位直接负责的主管人员和其他直接责任人员依法给予警告、记过、记大过的处分；情节较重的，依法给予降级、撤职、开除的处分。</w:t>
      </w:r>
    </w:p>
    <w:p w14:paraId="6BB12308">
      <w:pPr>
        <w:jc w:val="left"/>
        <w:rPr>
          <w:rFonts w:ascii="宋体" w:hAnsi="宋体"/>
          <w:kern w:val="44"/>
        </w:rPr>
      </w:pPr>
      <w:r>
        <w:rPr>
          <w:rFonts w:hint="eastAsia" w:ascii="宋体" w:hAnsi="宋体"/>
          <w:kern w:val="44"/>
        </w:rPr>
        <w:t>行政监督部门的工作人员利用职权，非法干涉或者侵犯招标人自主权的，依照前款规定追究责任。</w:t>
      </w:r>
    </w:p>
    <w:p w14:paraId="6A6684AC">
      <w:pPr>
        <w:jc w:val="left"/>
        <w:rPr>
          <w:rFonts w:ascii="宋体" w:hAnsi="宋体"/>
          <w:kern w:val="44"/>
        </w:rPr>
      </w:pPr>
    </w:p>
    <w:p w14:paraId="09C8CD3C">
      <w:pPr>
        <w:ind w:firstLine="0" w:firstLineChars="0"/>
        <w:jc w:val="center"/>
        <w:rPr>
          <w:rFonts w:ascii="宋体" w:hAnsi="宋体"/>
          <w:b/>
          <w:kern w:val="44"/>
          <w:sz w:val="28"/>
        </w:rPr>
      </w:pPr>
      <w:r>
        <w:rPr>
          <w:rFonts w:hint="eastAsia" w:ascii="宋体" w:hAnsi="宋体"/>
          <w:b/>
          <w:kern w:val="44"/>
          <w:sz w:val="28"/>
        </w:rPr>
        <w:t>第六章　附　则</w:t>
      </w:r>
    </w:p>
    <w:p w14:paraId="3AD975C7">
      <w:pPr>
        <w:jc w:val="left"/>
        <w:rPr>
          <w:rFonts w:ascii="宋体" w:hAnsi="宋体"/>
          <w:kern w:val="44"/>
        </w:rPr>
      </w:pPr>
    </w:p>
    <w:p w14:paraId="55CB01E6">
      <w:pPr>
        <w:ind w:firstLine="422"/>
        <w:jc w:val="left"/>
        <w:rPr>
          <w:rFonts w:ascii="宋体" w:hAnsi="宋体"/>
          <w:kern w:val="44"/>
        </w:rPr>
      </w:pPr>
      <w:r>
        <w:rPr>
          <w:rFonts w:hint="eastAsia" w:ascii="宋体" w:hAnsi="宋体"/>
          <w:b/>
          <w:kern w:val="44"/>
        </w:rPr>
        <w:t>第五十二条</w:t>
      </w:r>
      <w:r>
        <w:rPr>
          <w:rFonts w:hint="eastAsia" w:ascii="宋体" w:hAnsi="宋体"/>
          <w:kern w:val="44"/>
        </w:rPr>
        <w:t>　本条例自2002年11月1日起施行。</w:t>
      </w:r>
    </w:p>
    <w:p w14:paraId="0D3D24B4">
      <w:pPr>
        <w:pStyle w:val="4"/>
        <w:pageBreakBefore/>
        <w:rPr>
          <w:kern w:val="44"/>
        </w:rPr>
      </w:pPr>
      <w:bookmarkStart w:id="742" w:name="_Toc422471210"/>
      <w:bookmarkStart w:id="743" w:name="_Toc427651507"/>
      <w:bookmarkStart w:id="744" w:name="_Toc427651849"/>
      <w:bookmarkStart w:id="745" w:name="_Toc428781555"/>
      <w:bookmarkStart w:id="746" w:name="_Toc428780073"/>
      <w:r>
        <w:rPr>
          <w:rFonts w:hint="eastAsia"/>
          <w:kern w:val="44"/>
        </w:rPr>
        <w:t>北京市城市基础设施</w:t>
      </w:r>
      <w:bookmarkEnd w:id="742"/>
      <w:bookmarkStart w:id="747" w:name="_Toc422471211"/>
      <w:r>
        <w:rPr>
          <w:rFonts w:hint="eastAsia"/>
          <w:kern w:val="44"/>
        </w:rPr>
        <w:t>特许经营条例</w:t>
      </w:r>
      <w:bookmarkEnd w:id="743"/>
      <w:bookmarkEnd w:id="744"/>
      <w:bookmarkEnd w:id="745"/>
      <w:bookmarkEnd w:id="746"/>
      <w:bookmarkEnd w:id="747"/>
    </w:p>
    <w:p w14:paraId="43703198">
      <w:pPr>
        <w:ind w:left="630" w:leftChars="300" w:right="630" w:rightChars="300"/>
        <w:jc w:val="left"/>
        <w:rPr>
          <w:rFonts w:ascii="楷体" w:hAnsi="楷体" w:eastAsia="楷体"/>
          <w:kern w:val="44"/>
        </w:rPr>
      </w:pPr>
      <w:r>
        <w:rPr>
          <w:rFonts w:hint="eastAsia" w:ascii="楷体" w:hAnsi="楷体" w:eastAsia="楷体"/>
          <w:kern w:val="44"/>
        </w:rPr>
        <w:t>（2005年12月1日北京市第十二届人民代表大会常务委员会第二十四次会议通过）</w:t>
      </w:r>
    </w:p>
    <w:p w14:paraId="0CDEEF53">
      <w:pPr>
        <w:ind w:left="630" w:leftChars="300" w:right="630" w:rightChars="300"/>
        <w:jc w:val="left"/>
        <w:rPr>
          <w:rFonts w:ascii="楷体" w:hAnsi="楷体" w:eastAsia="楷体"/>
          <w:kern w:val="44"/>
        </w:rPr>
      </w:pPr>
    </w:p>
    <w:p w14:paraId="26001CC4">
      <w:pPr>
        <w:ind w:firstLine="0" w:firstLineChars="0"/>
        <w:jc w:val="center"/>
        <w:rPr>
          <w:rFonts w:ascii="宋体" w:hAnsi="宋体"/>
          <w:b/>
          <w:kern w:val="44"/>
          <w:sz w:val="28"/>
        </w:rPr>
      </w:pPr>
      <w:r>
        <w:rPr>
          <w:rFonts w:hint="eastAsia" w:ascii="宋体" w:hAnsi="宋体"/>
          <w:b/>
          <w:kern w:val="44"/>
          <w:sz w:val="28"/>
        </w:rPr>
        <w:t>第一章　总　则</w:t>
      </w:r>
    </w:p>
    <w:p w14:paraId="49B3AE99">
      <w:pPr>
        <w:jc w:val="left"/>
        <w:rPr>
          <w:rFonts w:ascii="宋体" w:hAnsi="宋体"/>
          <w:kern w:val="44"/>
        </w:rPr>
      </w:pPr>
    </w:p>
    <w:p w14:paraId="6B87B253">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为了规范本市城市基础设施特许经营活动，扩大融资渠道，保障社会公共利益和公共安全，保证公共产品和服务的质量，保护特许经营者的合法权益，根据有关法律、法规，制定本条例。</w:t>
      </w:r>
    </w:p>
    <w:p w14:paraId="4644CCBD">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本条例所称城市基础设施特许经营，是指中华人民共和国境内外的企业和其他经济组织依法取得政府授予的特许经营权，在一定期限和范围内经营城市基础设施，提供公共产品或者公共服务。</w:t>
      </w:r>
    </w:p>
    <w:p w14:paraId="69764F54">
      <w:pPr>
        <w:ind w:firstLine="422"/>
        <w:jc w:val="left"/>
        <w:rPr>
          <w:rFonts w:ascii="宋体" w:hAnsi="宋体"/>
          <w:kern w:val="44"/>
        </w:rPr>
      </w:pPr>
      <w:r>
        <w:rPr>
          <w:rFonts w:hint="eastAsia" w:ascii="宋体" w:hAnsi="宋体"/>
          <w:b/>
          <w:kern w:val="44"/>
        </w:rPr>
        <w:t>第三条</w:t>
      </w:r>
      <w:r>
        <w:rPr>
          <w:rFonts w:hint="eastAsia" w:ascii="宋体" w:hAnsi="宋体"/>
          <w:kern w:val="44"/>
        </w:rPr>
        <w:t>　本市城市基础设施实施特许经营的，适用本条例。下列城市基础设施项目可以实施特许经营：</w:t>
      </w:r>
    </w:p>
    <w:p w14:paraId="5F803C9D">
      <w:pPr>
        <w:jc w:val="left"/>
        <w:rPr>
          <w:rFonts w:ascii="宋体" w:hAnsi="宋体"/>
          <w:kern w:val="44"/>
        </w:rPr>
      </w:pPr>
      <w:r>
        <w:rPr>
          <w:rFonts w:hint="eastAsia" w:ascii="宋体" w:hAnsi="宋体"/>
          <w:kern w:val="44"/>
        </w:rPr>
        <w:t>（一）供水、供气、供热；</w:t>
      </w:r>
    </w:p>
    <w:p w14:paraId="766D686C">
      <w:pPr>
        <w:jc w:val="left"/>
        <w:rPr>
          <w:rFonts w:ascii="宋体" w:hAnsi="宋体"/>
          <w:kern w:val="44"/>
        </w:rPr>
      </w:pPr>
      <w:r>
        <w:rPr>
          <w:rFonts w:hint="eastAsia" w:ascii="宋体" w:hAnsi="宋体"/>
          <w:kern w:val="44"/>
        </w:rPr>
        <w:t>（二）污水和固体废物处理；</w:t>
      </w:r>
    </w:p>
    <w:p w14:paraId="3B72D99B">
      <w:pPr>
        <w:jc w:val="left"/>
        <w:rPr>
          <w:rFonts w:ascii="宋体" w:hAnsi="宋体"/>
          <w:kern w:val="44"/>
        </w:rPr>
      </w:pPr>
      <w:r>
        <w:rPr>
          <w:rFonts w:hint="eastAsia" w:ascii="宋体" w:hAnsi="宋体"/>
          <w:kern w:val="44"/>
        </w:rPr>
        <w:t>（三）城市轨道交通和其他公共交通；</w:t>
      </w:r>
    </w:p>
    <w:p w14:paraId="64057766">
      <w:pPr>
        <w:jc w:val="left"/>
        <w:rPr>
          <w:rFonts w:ascii="宋体" w:hAnsi="宋体"/>
          <w:kern w:val="44"/>
        </w:rPr>
      </w:pPr>
      <w:r>
        <w:rPr>
          <w:rFonts w:hint="eastAsia" w:ascii="宋体" w:hAnsi="宋体"/>
          <w:kern w:val="44"/>
        </w:rPr>
        <w:t>（四）市人民政府确定的其他城市基础设施。</w:t>
      </w:r>
    </w:p>
    <w:p w14:paraId="67EC2F99">
      <w:pPr>
        <w:ind w:firstLine="422"/>
        <w:jc w:val="left"/>
        <w:rPr>
          <w:rFonts w:ascii="宋体" w:hAnsi="宋体"/>
          <w:kern w:val="44"/>
        </w:rPr>
      </w:pPr>
      <w:r>
        <w:rPr>
          <w:rFonts w:hint="eastAsia" w:ascii="宋体" w:hAnsi="宋体"/>
          <w:b/>
          <w:kern w:val="44"/>
        </w:rPr>
        <w:t>第四条</w:t>
      </w:r>
      <w:r>
        <w:rPr>
          <w:rFonts w:hint="eastAsia" w:ascii="宋体" w:hAnsi="宋体"/>
          <w:kern w:val="44"/>
        </w:rPr>
        <w:t>　城市基础设施特许经营可以采取下列方式：</w:t>
      </w:r>
    </w:p>
    <w:p w14:paraId="5E17624A">
      <w:pPr>
        <w:jc w:val="left"/>
        <w:rPr>
          <w:rFonts w:ascii="宋体" w:hAnsi="宋体"/>
          <w:kern w:val="44"/>
        </w:rPr>
      </w:pPr>
      <w:r>
        <w:rPr>
          <w:rFonts w:hint="eastAsia" w:ascii="宋体" w:hAnsi="宋体"/>
          <w:kern w:val="44"/>
        </w:rPr>
        <w:t>（一）在一定期限内，城市基础设施项目由特许经营者投资建设、运营，期限届满无偿移交回政府；</w:t>
      </w:r>
    </w:p>
    <w:p w14:paraId="33F2EBE0">
      <w:pPr>
        <w:jc w:val="left"/>
        <w:rPr>
          <w:rFonts w:ascii="宋体" w:hAnsi="宋体"/>
          <w:kern w:val="44"/>
        </w:rPr>
      </w:pPr>
      <w:r>
        <w:rPr>
          <w:rFonts w:hint="eastAsia" w:ascii="宋体" w:hAnsi="宋体"/>
          <w:kern w:val="44"/>
        </w:rPr>
        <w:t>（二）在一定期限内，城市基础设施由政府移交特许经营者运营，期限届满无偿移交回政府；</w:t>
      </w:r>
    </w:p>
    <w:p w14:paraId="7304CAFC">
      <w:pPr>
        <w:jc w:val="left"/>
        <w:rPr>
          <w:rFonts w:ascii="宋体" w:hAnsi="宋体"/>
          <w:kern w:val="44"/>
        </w:rPr>
      </w:pPr>
      <w:r>
        <w:rPr>
          <w:rFonts w:hint="eastAsia" w:ascii="宋体" w:hAnsi="宋体"/>
          <w:kern w:val="44"/>
        </w:rPr>
        <w:t>（三）市人民政府同意的其他方式。</w:t>
      </w:r>
    </w:p>
    <w:p w14:paraId="090F8325">
      <w:pPr>
        <w:ind w:firstLine="422"/>
        <w:jc w:val="left"/>
        <w:rPr>
          <w:rFonts w:ascii="宋体" w:hAnsi="宋体"/>
          <w:kern w:val="44"/>
        </w:rPr>
      </w:pPr>
      <w:r>
        <w:rPr>
          <w:rFonts w:hint="eastAsia" w:ascii="宋体" w:hAnsi="宋体"/>
          <w:b/>
          <w:kern w:val="44"/>
        </w:rPr>
        <w:t>第五条</w:t>
      </w:r>
      <w:r>
        <w:rPr>
          <w:rFonts w:hint="eastAsia" w:ascii="宋体" w:hAnsi="宋体"/>
          <w:kern w:val="44"/>
        </w:rPr>
        <w:t>　城市基础设施实施特许经营，应当遵循公平、诚信和公共利益优先原则。</w:t>
      </w:r>
    </w:p>
    <w:p w14:paraId="6B9396E2">
      <w:pPr>
        <w:ind w:firstLine="422"/>
        <w:jc w:val="left"/>
        <w:rPr>
          <w:rFonts w:ascii="宋体" w:hAnsi="宋体"/>
          <w:kern w:val="44"/>
        </w:rPr>
      </w:pPr>
      <w:r>
        <w:rPr>
          <w:rFonts w:hint="eastAsia" w:ascii="宋体" w:hAnsi="宋体"/>
          <w:b/>
          <w:kern w:val="44"/>
        </w:rPr>
        <w:t>第六条</w:t>
      </w:r>
      <w:r>
        <w:rPr>
          <w:rFonts w:hint="eastAsia" w:ascii="宋体" w:hAnsi="宋体"/>
          <w:kern w:val="44"/>
        </w:rPr>
        <w:t>　市发展改革部门负责本市城市基础设施特许经营的总体规划、综合平衡、协调和监督。市城市基础设施行业主管部门，区、县人民政府，以及市或者区、县人民政府指定的部门（以下统称实施机关）负责本市城市基础设施项目的具体实施和监督管理工作。规划、土地、建设、环保、财政、审计、监察等相关行政部门在各自职责范围内依法履行监督管理职责。</w:t>
      </w:r>
    </w:p>
    <w:p w14:paraId="3C8E1F99">
      <w:pPr>
        <w:jc w:val="left"/>
        <w:rPr>
          <w:rFonts w:ascii="宋体" w:hAnsi="宋体"/>
          <w:kern w:val="44"/>
        </w:rPr>
      </w:pPr>
    </w:p>
    <w:p w14:paraId="71E25570">
      <w:pPr>
        <w:ind w:firstLine="0" w:firstLineChars="0"/>
        <w:jc w:val="center"/>
        <w:rPr>
          <w:rFonts w:ascii="宋体" w:hAnsi="宋体"/>
          <w:b/>
          <w:kern w:val="44"/>
          <w:sz w:val="28"/>
        </w:rPr>
      </w:pPr>
      <w:r>
        <w:rPr>
          <w:rFonts w:hint="eastAsia" w:ascii="宋体" w:hAnsi="宋体"/>
          <w:b/>
          <w:kern w:val="44"/>
          <w:sz w:val="28"/>
        </w:rPr>
        <w:t>第二章　特许经营权的授予</w:t>
      </w:r>
    </w:p>
    <w:p w14:paraId="26500C7C">
      <w:pPr>
        <w:jc w:val="left"/>
        <w:rPr>
          <w:rFonts w:ascii="宋体" w:hAnsi="宋体"/>
          <w:kern w:val="44"/>
        </w:rPr>
      </w:pPr>
    </w:p>
    <w:p w14:paraId="1BBBEC5F">
      <w:pPr>
        <w:ind w:firstLine="422"/>
        <w:jc w:val="left"/>
        <w:rPr>
          <w:rFonts w:ascii="宋体" w:hAnsi="宋体"/>
          <w:kern w:val="44"/>
        </w:rPr>
      </w:pPr>
      <w:r>
        <w:rPr>
          <w:rFonts w:hint="eastAsia" w:ascii="宋体" w:hAnsi="宋体"/>
          <w:b/>
          <w:kern w:val="44"/>
        </w:rPr>
        <w:t>第七条</w:t>
      </w:r>
      <w:r>
        <w:rPr>
          <w:rFonts w:hint="eastAsia" w:ascii="宋体" w:hAnsi="宋体"/>
          <w:kern w:val="44"/>
        </w:rPr>
        <w:t>　拟实施特许经营的城市基础设施项目，可以由市发展改革部门、市城市基础设施行业主管部门或者区、县人民政府提出。</w:t>
      </w:r>
    </w:p>
    <w:p w14:paraId="3D7520E9">
      <w:pPr>
        <w:ind w:firstLine="422"/>
        <w:jc w:val="left"/>
        <w:rPr>
          <w:rFonts w:ascii="宋体" w:hAnsi="宋体"/>
          <w:kern w:val="44"/>
        </w:rPr>
      </w:pPr>
      <w:r>
        <w:rPr>
          <w:rFonts w:hint="eastAsia" w:ascii="宋体" w:hAnsi="宋体"/>
          <w:b/>
          <w:kern w:val="44"/>
        </w:rPr>
        <w:t>第八条</w:t>
      </w:r>
      <w:r>
        <w:rPr>
          <w:rFonts w:hint="eastAsia" w:ascii="宋体" w:hAnsi="宋体"/>
          <w:kern w:val="44"/>
        </w:rPr>
        <w:t>　城市基础设施特许经营项目应当符合本市经济和社会发展规划、城市总体规划、城市基础设施行业发展规划和城市发展需要。市发展改革部门确定市级实施特许经营的城市基础设施项目。重大项目应当报市人民政府批准。区、县人民政府在固定资产投资项目审批权限范围内确定本区、县实施特许经营的城市基础设施项目。</w:t>
      </w:r>
    </w:p>
    <w:p w14:paraId="6890947F">
      <w:pPr>
        <w:ind w:firstLine="422"/>
        <w:jc w:val="left"/>
        <w:rPr>
          <w:rFonts w:ascii="宋体" w:hAnsi="宋体"/>
          <w:kern w:val="44"/>
        </w:rPr>
      </w:pPr>
      <w:r>
        <w:rPr>
          <w:rFonts w:hint="eastAsia" w:ascii="宋体" w:hAnsi="宋体"/>
          <w:b/>
          <w:kern w:val="44"/>
        </w:rPr>
        <w:t>第九条</w:t>
      </w:r>
      <w:r>
        <w:rPr>
          <w:rFonts w:hint="eastAsia" w:ascii="宋体" w:hAnsi="宋体"/>
          <w:kern w:val="44"/>
        </w:rPr>
        <w:t>　城市基础设施特许经营项目确定后，实施机关应当拟定实施方案。城市基础设施特许经营项目实施方案应当包括下列内容：</w:t>
      </w:r>
    </w:p>
    <w:p w14:paraId="6DB45189">
      <w:pPr>
        <w:jc w:val="left"/>
        <w:rPr>
          <w:rFonts w:ascii="宋体" w:hAnsi="宋体"/>
          <w:kern w:val="44"/>
        </w:rPr>
      </w:pPr>
      <w:r>
        <w:rPr>
          <w:rFonts w:hint="eastAsia" w:ascii="宋体" w:hAnsi="宋体"/>
          <w:kern w:val="44"/>
        </w:rPr>
        <w:t>（一）项目名称；</w:t>
      </w:r>
    </w:p>
    <w:p w14:paraId="464A9BCF">
      <w:pPr>
        <w:jc w:val="left"/>
        <w:rPr>
          <w:rFonts w:ascii="宋体" w:hAnsi="宋体"/>
          <w:kern w:val="44"/>
        </w:rPr>
      </w:pPr>
      <w:r>
        <w:rPr>
          <w:rFonts w:hint="eastAsia" w:ascii="宋体" w:hAnsi="宋体"/>
          <w:kern w:val="44"/>
        </w:rPr>
        <w:t>（二）项目的实施机关；</w:t>
      </w:r>
    </w:p>
    <w:p w14:paraId="0D7053C4">
      <w:pPr>
        <w:jc w:val="left"/>
        <w:rPr>
          <w:rFonts w:ascii="宋体" w:hAnsi="宋体"/>
          <w:kern w:val="44"/>
        </w:rPr>
      </w:pPr>
      <w:r>
        <w:rPr>
          <w:rFonts w:hint="eastAsia" w:ascii="宋体" w:hAnsi="宋体"/>
          <w:kern w:val="44"/>
        </w:rPr>
        <w:t>（三）特许经营者应当具备的条件及选择方式；</w:t>
      </w:r>
    </w:p>
    <w:p w14:paraId="797A9876">
      <w:pPr>
        <w:jc w:val="left"/>
        <w:rPr>
          <w:rFonts w:ascii="宋体" w:hAnsi="宋体"/>
          <w:kern w:val="44"/>
        </w:rPr>
      </w:pPr>
      <w:r>
        <w:rPr>
          <w:rFonts w:hint="eastAsia" w:ascii="宋体" w:hAnsi="宋体"/>
          <w:kern w:val="44"/>
        </w:rPr>
        <w:t>（四）项目基本经济技术指标；</w:t>
      </w:r>
    </w:p>
    <w:p w14:paraId="69197AA5">
      <w:pPr>
        <w:jc w:val="left"/>
        <w:rPr>
          <w:rFonts w:ascii="宋体" w:hAnsi="宋体"/>
          <w:kern w:val="44"/>
        </w:rPr>
      </w:pPr>
      <w:r>
        <w:rPr>
          <w:rFonts w:hint="eastAsia" w:ascii="宋体" w:hAnsi="宋体"/>
          <w:kern w:val="44"/>
        </w:rPr>
        <w:t>（五）选址和其他规划条件；</w:t>
      </w:r>
    </w:p>
    <w:p w14:paraId="14842956">
      <w:pPr>
        <w:jc w:val="left"/>
        <w:rPr>
          <w:rFonts w:ascii="宋体" w:hAnsi="宋体"/>
          <w:kern w:val="44"/>
        </w:rPr>
      </w:pPr>
      <w:r>
        <w:rPr>
          <w:rFonts w:hint="eastAsia" w:ascii="宋体" w:hAnsi="宋体"/>
          <w:kern w:val="44"/>
        </w:rPr>
        <w:t>（六）特许经营权条款及特许经营期限；</w:t>
      </w:r>
    </w:p>
    <w:p w14:paraId="13E1760E">
      <w:pPr>
        <w:jc w:val="left"/>
        <w:rPr>
          <w:rFonts w:ascii="宋体" w:hAnsi="宋体"/>
          <w:kern w:val="44"/>
        </w:rPr>
      </w:pPr>
      <w:r>
        <w:rPr>
          <w:rFonts w:hint="eastAsia" w:ascii="宋体" w:hAnsi="宋体"/>
          <w:kern w:val="44"/>
        </w:rPr>
        <w:t>（七）投资回报和价格的测算；</w:t>
      </w:r>
    </w:p>
    <w:p w14:paraId="1B25797E">
      <w:pPr>
        <w:jc w:val="left"/>
        <w:rPr>
          <w:rFonts w:ascii="宋体" w:hAnsi="宋体"/>
          <w:kern w:val="44"/>
        </w:rPr>
      </w:pPr>
      <w:r>
        <w:rPr>
          <w:rFonts w:hint="eastAsia" w:ascii="宋体" w:hAnsi="宋体"/>
          <w:kern w:val="44"/>
        </w:rPr>
        <w:t>（八）特许经营权使用费及其减免；</w:t>
      </w:r>
    </w:p>
    <w:p w14:paraId="685D1244">
      <w:pPr>
        <w:jc w:val="left"/>
        <w:rPr>
          <w:rFonts w:ascii="宋体" w:hAnsi="宋体"/>
          <w:kern w:val="44"/>
        </w:rPr>
      </w:pPr>
      <w:r>
        <w:rPr>
          <w:rFonts w:hint="eastAsia" w:ascii="宋体" w:hAnsi="宋体"/>
          <w:kern w:val="44"/>
        </w:rPr>
        <w:t>（九）保障措施；</w:t>
      </w:r>
    </w:p>
    <w:p w14:paraId="0C08F6C1">
      <w:pPr>
        <w:jc w:val="left"/>
        <w:rPr>
          <w:rFonts w:ascii="宋体" w:hAnsi="宋体"/>
          <w:kern w:val="44"/>
        </w:rPr>
      </w:pPr>
      <w:r>
        <w:rPr>
          <w:rFonts w:hint="eastAsia" w:ascii="宋体" w:hAnsi="宋体"/>
          <w:kern w:val="44"/>
        </w:rPr>
        <w:t>（十）其他政府承诺。</w:t>
      </w:r>
    </w:p>
    <w:p w14:paraId="63D031F5">
      <w:pPr>
        <w:ind w:firstLine="422"/>
        <w:jc w:val="left"/>
        <w:rPr>
          <w:rFonts w:ascii="宋体" w:hAnsi="宋体"/>
          <w:kern w:val="44"/>
        </w:rPr>
      </w:pPr>
      <w:r>
        <w:rPr>
          <w:rFonts w:hint="eastAsia" w:ascii="宋体" w:hAnsi="宋体"/>
          <w:b/>
          <w:kern w:val="44"/>
        </w:rPr>
        <w:t>第十条</w:t>
      </w:r>
      <w:r>
        <w:rPr>
          <w:rFonts w:hint="eastAsia" w:ascii="宋体" w:hAnsi="宋体"/>
          <w:kern w:val="44"/>
        </w:rPr>
        <w:t>　市发展改革部门组织市规划、土地、建设、环保、财政等有关行政主管部门依照各自职责对市级城市基础设施特许经营项目的实施方案进行审查，有关行政主管部门应当分别出具审定意见。市发展改革部门会同实施机关将修改审定的实施方案报市人民政府批准。区、县城市基础设施特许经营项目的实施方案由区、县人民政府确定。重大的城市基础设施特许经营项目的实施方案，应当组织专家进行可行性论证。</w:t>
      </w:r>
    </w:p>
    <w:p w14:paraId="521D12EF">
      <w:pPr>
        <w:ind w:firstLine="422"/>
        <w:jc w:val="left"/>
        <w:rPr>
          <w:rFonts w:ascii="宋体" w:hAnsi="宋体"/>
          <w:kern w:val="44"/>
        </w:rPr>
      </w:pPr>
      <w:r>
        <w:rPr>
          <w:rFonts w:hint="eastAsia" w:ascii="宋体" w:hAnsi="宋体"/>
          <w:b/>
          <w:kern w:val="44"/>
        </w:rPr>
        <w:t>第十一条</w:t>
      </w:r>
      <w:r>
        <w:rPr>
          <w:rFonts w:hint="eastAsia" w:ascii="宋体" w:hAnsi="宋体"/>
          <w:kern w:val="44"/>
        </w:rPr>
        <w:t>　实施机关按照实施方案，通过招标等公平竞争方式确定特许经营者并与之签订特许经营协议。</w:t>
      </w:r>
    </w:p>
    <w:p w14:paraId="1E6438D1">
      <w:pPr>
        <w:ind w:firstLine="422"/>
        <w:jc w:val="left"/>
        <w:rPr>
          <w:rFonts w:ascii="宋体" w:hAnsi="宋体"/>
          <w:kern w:val="44"/>
        </w:rPr>
      </w:pPr>
      <w:r>
        <w:rPr>
          <w:rFonts w:hint="eastAsia" w:ascii="宋体" w:hAnsi="宋体"/>
          <w:b/>
          <w:kern w:val="44"/>
        </w:rPr>
        <w:t>第十二条</w:t>
      </w:r>
      <w:r>
        <w:rPr>
          <w:rFonts w:hint="eastAsia" w:ascii="宋体" w:hAnsi="宋体"/>
          <w:kern w:val="44"/>
        </w:rPr>
        <w:t>　特许经营协议应当包括下列内容：</w:t>
      </w:r>
    </w:p>
    <w:p w14:paraId="12DDE4D2">
      <w:pPr>
        <w:jc w:val="left"/>
        <w:rPr>
          <w:rFonts w:ascii="宋体" w:hAnsi="宋体"/>
          <w:kern w:val="44"/>
        </w:rPr>
      </w:pPr>
      <w:r>
        <w:rPr>
          <w:rFonts w:hint="eastAsia" w:ascii="宋体" w:hAnsi="宋体"/>
          <w:kern w:val="44"/>
        </w:rPr>
        <w:t>（一）项目名称、内容；</w:t>
      </w:r>
    </w:p>
    <w:p w14:paraId="2EE153A0">
      <w:pPr>
        <w:jc w:val="left"/>
        <w:rPr>
          <w:rFonts w:ascii="宋体" w:hAnsi="宋体"/>
          <w:kern w:val="44"/>
        </w:rPr>
      </w:pPr>
      <w:r>
        <w:rPr>
          <w:rFonts w:hint="eastAsia" w:ascii="宋体" w:hAnsi="宋体"/>
          <w:kern w:val="44"/>
        </w:rPr>
        <w:t>（二）特许经营方式、区域、范围、期限；</w:t>
      </w:r>
    </w:p>
    <w:p w14:paraId="6DD80324">
      <w:pPr>
        <w:jc w:val="left"/>
        <w:rPr>
          <w:rFonts w:ascii="宋体" w:hAnsi="宋体"/>
          <w:kern w:val="44"/>
        </w:rPr>
      </w:pPr>
      <w:r>
        <w:rPr>
          <w:rFonts w:hint="eastAsia" w:ascii="宋体" w:hAnsi="宋体"/>
          <w:kern w:val="44"/>
        </w:rPr>
        <w:t>（三）是否成立项目公司以及项目公司的经营范围、注册资本、股东出资方式、出资比例、股权转让等；</w:t>
      </w:r>
    </w:p>
    <w:p w14:paraId="32F9C588">
      <w:pPr>
        <w:jc w:val="left"/>
        <w:rPr>
          <w:rFonts w:ascii="宋体" w:hAnsi="宋体"/>
          <w:kern w:val="44"/>
        </w:rPr>
      </w:pPr>
      <w:r>
        <w:rPr>
          <w:rFonts w:hint="eastAsia" w:ascii="宋体" w:hAnsi="宋体"/>
          <w:kern w:val="44"/>
        </w:rPr>
        <w:t>（四）产品或者服务的数量、质量和标准；</w:t>
      </w:r>
    </w:p>
    <w:p w14:paraId="4931E6D6">
      <w:pPr>
        <w:jc w:val="left"/>
        <w:rPr>
          <w:rFonts w:ascii="宋体" w:hAnsi="宋体"/>
          <w:kern w:val="44"/>
        </w:rPr>
      </w:pPr>
      <w:r>
        <w:rPr>
          <w:rFonts w:hint="eastAsia" w:ascii="宋体" w:hAnsi="宋体"/>
          <w:kern w:val="44"/>
        </w:rPr>
        <w:t>（五）投融资期限和方式；</w:t>
      </w:r>
    </w:p>
    <w:p w14:paraId="19E0BFCB">
      <w:pPr>
        <w:jc w:val="left"/>
        <w:rPr>
          <w:rFonts w:ascii="宋体" w:hAnsi="宋体"/>
          <w:kern w:val="44"/>
        </w:rPr>
      </w:pPr>
      <w:r>
        <w:rPr>
          <w:rFonts w:hint="eastAsia" w:ascii="宋体" w:hAnsi="宋体"/>
          <w:kern w:val="44"/>
        </w:rPr>
        <w:t>（六）投资回报方式以及确定、调整机制；</w:t>
      </w:r>
    </w:p>
    <w:p w14:paraId="7E66C1E6">
      <w:pPr>
        <w:jc w:val="left"/>
        <w:rPr>
          <w:rFonts w:ascii="宋体" w:hAnsi="宋体"/>
          <w:kern w:val="44"/>
        </w:rPr>
      </w:pPr>
      <w:r>
        <w:rPr>
          <w:rFonts w:hint="eastAsia" w:ascii="宋体" w:hAnsi="宋体"/>
          <w:kern w:val="44"/>
        </w:rPr>
        <w:t>（七）特许经营权使用费及其减免；</w:t>
      </w:r>
    </w:p>
    <w:p w14:paraId="2C82E44F">
      <w:pPr>
        <w:jc w:val="left"/>
        <w:rPr>
          <w:rFonts w:ascii="宋体" w:hAnsi="宋体"/>
          <w:kern w:val="44"/>
        </w:rPr>
      </w:pPr>
      <w:r>
        <w:rPr>
          <w:rFonts w:hint="eastAsia" w:ascii="宋体" w:hAnsi="宋体"/>
          <w:kern w:val="44"/>
        </w:rPr>
        <w:t>（八）特许经营者的权利和义务；</w:t>
      </w:r>
    </w:p>
    <w:p w14:paraId="33A9CD26">
      <w:pPr>
        <w:jc w:val="left"/>
        <w:rPr>
          <w:rFonts w:ascii="宋体" w:hAnsi="宋体"/>
          <w:kern w:val="44"/>
        </w:rPr>
      </w:pPr>
      <w:r>
        <w:rPr>
          <w:rFonts w:hint="eastAsia" w:ascii="宋体" w:hAnsi="宋体"/>
          <w:kern w:val="44"/>
        </w:rPr>
        <w:t>（九）履约担保；</w:t>
      </w:r>
    </w:p>
    <w:p w14:paraId="54BFFCB7">
      <w:pPr>
        <w:jc w:val="left"/>
        <w:rPr>
          <w:rFonts w:ascii="宋体" w:hAnsi="宋体"/>
          <w:kern w:val="44"/>
        </w:rPr>
      </w:pPr>
      <w:r>
        <w:rPr>
          <w:rFonts w:hint="eastAsia" w:ascii="宋体" w:hAnsi="宋体"/>
          <w:kern w:val="44"/>
        </w:rPr>
        <w:t>（十）特许经营期内的风险分担；</w:t>
      </w:r>
    </w:p>
    <w:p w14:paraId="7E2E6411">
      <w:pPr>
        <w:jc w:val="left"/>
        <w:rPr>
          <w:rFonts w:ascii="宋体" w:hAnsi="宋体"/>
          <w:kern w:val="44"/>
        </w:rPr>
      </w:pPr>
      <w:r>
        <w:rPr>
          <w:rFonts w:hint="eastAsia" w:ascii="宋体" w:hAnsi="宋体"/>
          <w:kern w:val="44"/>
        </w:rPr>
        <w:t>（十一）政府承诺和保障；</w:t>
      </w:r>
    </w:p>
    <w:p w14:paraId="4C64ABFC">
      <w:pPr>
        <w:jc w:val="left"/>
        <w:rPr>
          <w:rFonts w:ascii="宋体" w:hAnsi="宋体"/>
          <w:kern w:val="44"/>
        </w:rPr>
      </w:pPr>
      <w:r>
        <w:rPr>
          <w:rFonts w:hint="eastAsia" w:ascii="宋体" w:hAnsi="宋体"/>
          <w:kern w:val="44"/>
        </w:rPr>
        <w:t>（十二）应急预案；</w:t>
      </w:r>
    </w:p>
    <w:p w14:paraId="71357E63">
      <w:pPr>
        <w:jc w:val="left"/>
        <w:rPr>
          <w:rFonts w:ascii="宋体" w:hAnsi="宋体"/>
          <w:kern w:val="44"/>
        </w:rPr>
      </w:pPr>
      <w:r>
        <w:rPr>
          <w:rFonts w:hint="eastAsia" w:ascii="宋体" w:hAnsi="宋体"/>
          <w:kern w:val="44"/>
        </w:rPr>
        <w:t>（十三）特许经营期满后，项目移交的方式、程序；</w:t>
      </w:r>
    </w:p>
    <w:p w14:paraId="26DEA8E8">
      <w:pPr>
        <w:jc w:val="left"/>
        <w:rPr>
          <w:rFonts w:ascii="宋体" w:hAnsi="宋体"/>
          <w:kern w:val="44"/>
        </w:rPr>
      </w:pPr>
      <w:r>
        <w:rPr>
          <w:rFonts w:hint="eastAsia" w:ascii="宋体" w:hAnsi="宋体"/>
          <w:kern w:val="44"/>
        </w:rPr>
        <w:t>（十四）违约责任；</w:t>
      </w:r>
    </w:p>
    <w:p w14:paraId="63A2AAD9">
      <w:pPr>
        <w:jc w:val="left"/>
        <w:rPr>
          <w:rFonts w:ascii="宋体" w:hAnsi="宋体"/>
          <w:kern w:val="44"/>
        </w:rPr>
      </w:pPr>
      <w:r>
        <w:rPr>
          <w:rFonts w:hint="eastAsia" w:ascii="宋体" w:hAnsi="宋体"/>
          <w:kern w:val="44"/>
        </w:rPr>
        <w:t>（十五）争议解决方式；</w:t>
      </w:r>
    </w:p>
    <w:p w14:paraId="0051F753">
      <w:pPr>
        <w:jc w:val="left"/>
        <w:rPr>
          <w:rFonts w:ascii="宋体" w:hAnsi="宋体"/>
          <w:kern w:val="44"/>
        </w:rPr>
      </w:pPr>
      <w:r>
        <w:rPr>
          <w:rFonts w:hint="eastAsia" w:ascii="宋体" w:hAnsi="宋体"/>
          <w:kern w:val="44"/>
        </w:rPr>
        <w:t>（十六）需要约定的其他事项。特许经营协议内容应当符合城市基础设施特许经营项目实施方案。</w:t>
      </w:r>
    </w:p>
    <w:p w14:paraId="197A28DF">
      <w:pPr>
        <w:ind w:firstLine="422"/>
        <w:jc w:val="left"/>
        <w:rPr>
          <w:rFonts w:ascii="宋体" w:hAnsi="宋体"/>
          <w:kern w:val="44"/>
        </w:rPr>
      </w:pPr>
      <w:r>
        <w:rPr>
          <w:rFonts w:hint="eastAsia" w:ascii="宋体" w:hAnsi="宋体"/>
          <w:b/>
          <w:kern w:val="44"/>
        </w:rPr>
        <w:t>第十三条</w:t>
      </w:r>
      <w:r>
        <w:rPr>
          <w:rFonts w:hint="eastAsia" w:ascii="宋体" w:hAnsi="宋体"/>
          <w:kern w:val="44"/>
        </w:rPr>
        <w:t>　特许经营协议中约定的特许经营期限根据行业特点、经营规模、经营方式等因素确定，但最长不得超过三十年。</w:t>
      </w:r>
    </w:p>
    <w:p w14:paraId="1762FB68">
      <w:pPr>
        <w:ind w:firstLine="422"/>
        <w:jc w:val="left"/>
        <w:rPr>
          <w:rFonts w:ascii="宋体" w:hAnsi="宋体"/>
          <w:kern w:val="44"/>
        </w:rPr>
      </w:pPr>
      <w:r>
        <w:rPr>
          <w:rFonts w:hint="eastAsia" w:ascii="宋体" w:hAnsi="宋体"/>
          <w:b/>
          <w:kern w:val="44"/>
        </w:rPr>
        <w:t>第十四条</w:t>
      </w:r>
      <w:r>
        <w:rPr>
          <w:rFonts w:hint="eastAsia" w:ascii="宋体" w:hAnsi="宋体"/>
          <w:kern w:val="44"/>
        </w:rPr>
        <w:t>　依据特许经营协议需要成立项目公司的，特许经营者应当在规定的期限内注册成立项目公司，并由实施机关确认其承担特许经营者的权利和义务。特许经营协议可以约定限制项目公司的股权变更。</w:t>
      </w:r>
    </w:p>
    <w:p w14:paraId="1AE3C365">
      <w:pPr>
        <w:ind w:firstLine="422"/>
        <w:jc w:val="left"/>
        <w:rPr>
          <w:rFonts w:ascii="宋体" w:hAnsi="宋体"/>
          <w:kern w:val="44"/>
        </w:rPr>
      </w:pPr>
      <w:r>
        <w:rPr>
          <w:rFonts w:hint="eastAsia" w:ascii="宋体" w:hAnsi="宋体"/>
          <w:b/>
          <w:kern w:val="44"/>
        </w:rPr>
        <w:t>第十五条</w:t>
      </w:r>
      <w:r>
        <w:rPr>
          <w:rFonts w:hint="eastAsia" w:ascii="宋体" w:hAnsi="宋体"/>
          <w:kern w:val="44"/>
        </w:rPr>
        <w:t>　特许经营协议可以约定特许经营者通过下列方式取得回报：</w:t>
      </w:r>
    </w:p>
    <w:p w14:paraId="518FA35B">
      <w:pPr>
        <w:jc w:val="left"/>
        <w:rPr>
          <w:rFonts w:ascii="宋体" w:hAnsi="宋体"/>
          <w:kern w:val="44"/>
        </w:rPr>
      </w:pPr>
      <w:r>
        <w:rPr>
          <w:rFonts w:hint="eastAsia" w:ascii="宋体" w:hAnsi="宋体"/>
          <w:kern w:val="44"/>
        </w:rPr>
        <w:t>（一）对提供的公共产品或者服务收费；</w:t>
      </w:r>
    </w:p>
    <w:p w14:paraId="18DF84C7">
      <w:pPr>
        <w:jc w:val="left"/>
        <w:rPr>
          <w:rFonts w:ascii="宋体" w:hAnsi="宋体"/>
          <w:kern w:val="44"/>
        </w:rPr>
      </w:pPr>
      <w:r>
        <w:rPr>
          <w:rFonts w:hint="eastAsia" w:ascii="宋体" w:hAnsi="宋体"/>
          <w:kern w:val="44"/>
        </w:rPr>
        <w:t>（二）政府授予与城市基础设施相关的其他开发经营权益；</w:t>
      </w:r>
    </w:p>
    <w:p w14:paraId="7D9D2E8E">
      <w:pPr>
        <w:jc w:val="left"/>
        <w:rPr>
          <w:rFonts w:ascii="宋体" w:hAnsi="宋体"/>
          <w:kern w:val="44"/>
        </w:rPr>
      </w:pPr>
      <w:r>
        <w:rPr>
          <w:rFonts w:hint="eastAsia" w:ascii="宋体" w:hAnsi="宋体"/>
          <w:kern w:val="44"/>
        </w:rPr>
        <w:t>（三）政府给予相应补贴；</w:t>
      </w:r>
    </w:p>
    <w:p w14:paraId="2C2AFB49">
      <w:pPr>
        <w:jc w:val="left"/>
        <w:rPr>
          <w:rFonts w:ascii="宋体" w:hAnsi="宋体"/>
          <w:kern w:val="44"/>
        </w:rPr>
      </w:pPr>
      <w:r>
        <w:rPr>
          <w:rFonts w:hint="eastAsia" w:ascii="宋体" w:hAnsi="宋体"/>
          <w:kern w:val="44"/>
        </w:rPr>
        <w:t>（四）市人民政府同意的其他方式。</w:t>
      </w:r>
    </w:p>
    <w:p w14:paraId="02F23595">
      <w:pPr>
        <w:ind w:firstLine="422"/>
        <w:jc w:val="left"/>
        <w:rPr>
          <w:rFonts w:ascii="宋体" w:hAnsi="宋体"/>
          <w:kern w:val="44"/>
        </w:rPr>
      </w:pPr>
      <w:r>
        <w:rPr>
          <w:rFonts w:hint="eastAsia" w:ascii="宋体" w:hAnsi="宋体"/>
          <w:b/>
          <w:kern w:val="44"/>
        </w:rPr>
        <w:t>第十六条</w:t>
      </w:r>
      <w:r>
        <w:rPr>
          <w:rFonts w:hint="eastAsia" w:ascii="宋体" w:hAnsi="宋体"/>
          <w:kern w:val="44"/>
        </w:rPr>
        <w:t>　对于微利或者享受财政补贴的项目，特许经营协议中可以约定减免特许经营权用费。</w:t>
      </w:r>
    </w:p>
    <w:p w14:paraId="3A479C6F">
      <w:pPr>
        <w:ind w:firstLine="422"/>
        <w:jc w:val="left"/>
        <w:rPr>
          <w:rFonts w:ascii="宋体" w:hAnsi="宋体"/>
          <w:kern w:val="44"/>
        </w:rPr>
      </w:pPr>
      <w:r>
        <w:rPr>
          <w:rFonts w:hint="eastAsia" w:ascii="宋体" w:hAnsi="宋体"/>
          <w:b/>
          <w:kern w:val="44"/>
        </w:rPr>
        <w:t>第十七条</w:t>
      </w:r>
      <w:r>
        <w:rPr>
          <w:rFonts w:hint="eastAsia" w:ascii="宋体" w:hAnsi="宋体"/>
          <w:kern w:val="44"/>
        </w:rPr>
        <w:t>　特许经营协议中政府承诺的内容可以涉及与特许经营项目有关的土地使用、相关城市基础设施的提供、防止不必要的重复性竞争项目建设、必要合理的补贴、产品或者服务的政府采购，但政府不承诺商业风险分担、固定投资回报率及法律、法规禁止的其他事项。</w:t>
      </w:r>
    </w:p>
    <w:p w14:paraId="3DC45956">
      <w:pPr>
        <w:ind w:firstLine="422"/>
        <w:jc w:val="left"/>
        <w:rPr>
          <w:rFonts w:ascii="宋体" w:hAnsi="宋体"/>
          <w:kern w:val="44"/>
        </w:rPr>
      </w:pPr>
      <w:r>
        <w:rPr>
          <w:rFonts w:hint="eastAsia" w:ascii="宋体" w:hAnsi="宋体"/>
          <w:b/>
          <w:kern w:val="44"/>
        </w:rPr>
        <w:t>第十八条</w:t>
      </w:r>
      <w:r>
        <w:rPr>
          <w:rFonts w:hint="eastAsia" w:ascii="宋体" w:hAnsi="宋体"/>
          <w:kern w:val="44"/>
        </w:rPr>
        <w:t>　特许经营协议签订后，特许经营者应当持特许经营协议和其他有关文件到有关行政主管部门办理相关手续。有关行政主管部门在办理特许经营项目相关手续时，对已经出具审定意见的内容，不再作重复审查；对其他内容的审查结果不应当导致特许经营协议内容的实质性变更。</w:t>
      </w:r>
    </w:p>
    <w:p w14:paraId="4B8F2178">
      <w:pPr>
        <w:jc w:val="left"/>
        <w:rPr>
          <w:rFonts w:ascii="宋体" w:hAnsi="宋体"/>
          <w:kern w:val="44"/>
        </w:rPr>
      </w:pPr>
    </w:p>
    <w:p w14:paraId="31CD17BC">
      <w:pPr>
        <w:ind w:firstLine="0" w:firstLineChars="0"/>
        <w:jc w:val="center"/>
        <w:rPr>
          <w:rFonts w:ascii="宋体" w:hAnsi="宋体"/>
          <w:b/>
          <w:kern w:val="44"/>
          <w:sz w:val="28"/>
        </w:rPr>
      </w:pPr>
      <w:r>
        <w:rPr>
          <w:rFonts w:hint="eastAsia" w:ascii="宋体" w:hAnsi="宋体"/>
          <w:b/>
          <w:kern w:val="44"/>
          <w:sz w:val="28"/>
        </w:rPr>
        <w:t>第三章　权利和义务</w:t>
      </w:r>
    </w:p>
    <w:p w14:paraId="062DBA38">
      <w:pPr>
        <w:jc w:val="left"/>
        <w:rPr>
          <w:rFonts w:ascii="宋体" w:hAnsi="宋体"/>
          <w:kern w:val="44"/>
        </w:rPr>
      </w:pPr>
    </w:p>
    <w:p w14:paraId="239FA08B">
      <w:pPr>
        <w:ind w:firstLine="422"/>
        <w:jc w:val="left"/>
        <w:rPr>
          <w:rFonts w:ascii="宋体" w:hAnsi="宋体"/>
          <w:kern w:val="44"/>
        </w:rPr>
      </w:pPr>
      <w:r>
        <w:rPr>
          <w:rFonts w:hint="eastAsia" w:ascii="宋体" w:hAnsi="宋体"/>
          <w:b/>
          <w:kern w:val="44"/>
        </w:rPr>
        <w:t>第十九条</w:t>
      </w:r>
      <w:r>
        <w:rPr>
          <w:rFonts w:hint="eastAsia" w:ascii="宋体" w:hAnsi="宋体"/>
          <w:kern w:val="44"/>
        </w:rPr>
        <w:t>　实施机关应当按照特许经营协议履行相关义务。有关行政主管部门按照各自职责范围履行特许经营协议中的相关政府承诺。特许经营者应当按照特许经营协议提供安全、合格的产品和优质、持续、高效的服务。</w:t>
      </w:r>
    </w:p>
    <w:p w14:paraId="60FD4650">
      <w:pPr>
        <w:ind w:firstLine="422"/>
        <w:jc w:val="left"/>
        <w:rPr>
          <w:rFonts w:ascii="宋体" w:hAnsi="宋体"/>
          <w:kern w:val="44"/>
        </w:rPr>
      </w:pPr>
      <w:r>
        <w:rPr>
          <w:rFonts w:hint="eastAsia" w:ascii="宋体" w:hAnsi="宋体"/>
          <w:b/>
          <w:kern w:val="44"/>
        </w:rPr>
        <w:t>第二十条</w:t>
      </w:r>
      <w:r>
        <w:rPr>
          <w:rFonts w:hint="eastAsia" w:ascii="宋体" w:hAnsi="宋体"/>
          <w:kern w:val="44"/>
        </w:rPr>
        <w:t>　特许经营者应当按照规划，在特许经营协议约定的服务区域内向消费者普遍地、无歧视地提供公共产品或者服务。特许经营者不得对新增用户连接特许经营的供水、供气、供热、污水处理等设施收取设施投资补偿费等接入费用。</w:t>
      </w:r>
    </w:p>
    <w:p w14:paraId="2D6B0E65">
      <w:pPr>
        <w:ind w:firstLine="422"/>
        <w:jc w:val="left"/>
        <w:rPr>
          <w:rFonts w:ascii="宋体" w:hAnsi="宋体"/>
          <w:kern w:val="44"/>
        </w:rPr>
      </w:pPr>
      <w:r>
        <w:rPr>
          <w:rFonts w:hint="eastAsia" w:ascii="宋体" w:hAnsi="宋体"/>
          <w:b/>
          <w:kern w:val="44"/>
        </w:rPr>
        <w:t>第二十一条</w:t>
      </w:r>
      <w:r>
        <w:rPr>
          <w:rFonts w:hint="eastAsia" w:ascii="宋体" w:hAnsi="宋体"/>
          <w:kern w:val="44"/>
        </w:rPr>
        <w:t>　按照市和区、县人民政府的决定或者特许经营协议约定由实施机关接管城市基础设施的，特许经营者应当在完成接管前善意履行看守职责，维持正常的经营服务。</w:t>
      </w:r>
    </w:p>
    <w:p w14:paraId="00DF5B97">
      <w:pPr>
        <w:ind w:firstLine="422"/>
        <w:jc w:val="left"/>
        <w:rPr>
          <w:rFonts w:ascii="宋体" w:hAnsi="宋体"/>
          <w:kern w:val="44"/>
        </w:rPr>
      </w:pPr>
      <w:r>
        <w:rPr>
          <w:rFonts w:hint="eastAsia" w:ascii="宋体" w:hAnsi="宋体"/>
          <w:b/>
          <w:kern w:val="44"/>
        </w:rPr>
        <w:t>第二十二条</w:t>
      </w:r>
      <w:r>
        <w:rPr>
          <w:rFonts w:hint="eastAsia" w:ascii="宋体" w:hAnsi="宋体"/>
          <w:kern w:val="44"/>
        </w:rPr>
        <w:t>　特许经营期限届满一年前，特许经营者可以向实施机关申请延期，经实施机关组织评审并报本级人民政府批准后，可以延期。</w:t>
      </w:r>
    </w:p>
    <w:p w14:paraId="59AB32E7">
      <w:pPr>
        <w:ind w:firstLine="422"/>
        <w:jc w:val="left"/>
        <w:rPr>
          <w:rFonts w:ascii="宋体" w:hAnsi="宋体"/>
          <w:kern w:val="44"/>
        </w:rPr>
      </w:pPr>
      <w:r>
        <w:rPr>
          <w:rFonts w:hint="eastAsia" w:ascii="宋体" w:hAnsi="宋体"/>
          <w:b/>
          <w:kern w:val="44"/>
        </w:rPr>
        <w:t>第二十三条</w:t>
      </w:r>
      <w:r>
        <w:rPr>
          <w:rFonts w:hint="eastAsia" w:ascii="宋体" w:hAnsi="宋体"/>
          <w:kern w:val="44"/>
        </w:rPr>
        <w:t>　特许经营者向公众提供产品或者服务的价格应当执行由价格主管部门制定的政府定价或者政府指导价。</w:t>
      </w:r>
    </w:p>
    <w:p w14:paraId="7D84F346">
      <w:pPr>
        <w:ind w:firstLine="422"/>
        <w:jc w:val="left"/>
        <w:rPr>
          <w:rFonts w:ascii="宋体" w:hAnsi="宋体"/>
          <w:kern w:val="44"/>
        </w:rPr>
      </w:pPr>
      <w:r>
        <w:rPr>
          <w:rFonts w:hint="eastAsia" w:ascii="宋体" w:hAnsi="宋体"/>
          <w:b/>
          <w:kern w:val="44"/>
        </w:rPr>
        <w:t>第二十四条</w:t>
      </w:r>
      <w:r>
        <w:rPr>
          <w:rFonts w:hint="eastAsia" w:ascii="宋体" w:hAnsi="宋体"/>
          <w:kern w:val="44"/>
        </w:rPr>
        <w:t>　特许经营者应当按照特许经营协议的约定缴纳特许经营权使用费。</w:t>
      </w:r>
    </w:p>
    <w:p w14:paraId="2E4D3D54">
      <w:pPr>
        <w:ind w:firstLine="422"/>
        <w:jc w:val="left"/>
        <w:rPr>
          <w:rFonts w:ascii="宋体" w:hAnsi="宋体"/>
          <w:kern w:val="44"/>
        </w:rPr>
      </w:pPr>
      <w:r>
        <w:rPr>
          <w:rFonts w:hint="eastAsia" w:ascii="宋体" w:hAnsi="宋体"/>
          <w:b/>
          <w:kern w:val="44"/>
        </w:rPr>
        <w:t>第二十五条</w:t>
      </w:r>
      <w:r>
        <w:rPr>
          <w:rFonts w:hint="eastAsia" w:ascii="宋体" w:hAnsi="宋体"/>
          <w:kern w:val="44"/>
        </w:rPr>
        <w:t>　未经实施机关同意，特许经营者不得擅自转让、出租、质押、抵押或者以其他方式处分特许经营权和特许经营项目资产。在特许经营期限内，特许经营者不得将特许经营项目的设施及相关土地用于特许经营项目之外。</w:t>
      </w:r>
    </w:p>
    <w:p w14:paraId="3F9F9153">
      <w:pPr>
        <w:ind w:firstLine="422"/>
        <w:jc w:val="left"/>
        <w:rPr>
          <w:rFonts w:ascii="宋体" w:hAnsi="宋体"/>
          <w:kern w:val="44"/>
        </w:rPr>
      </w:pPr>
      <w:r>
        <w:rPr>
          <w:rFonts w:hint="eastAsia" w:ascii="宋体" w:hAnsi="宋体"/>
          <w:b/>
          <w:kern w:val="44"/>
        </w:rPr>
        <w:t>第二十六条</w:t>
      </w:r>
      <w:r>
        <w:rPr>
          <w:rFonts w:hint="eastAsia" w:ascii="宋体" w:hAnsi="宋体"/>
          <w:kern w:val="44"/>
        </w:rPr>
        <w:t>　特许经营者应当对城市基础设施定期检修保养和更新改造，保证设施良好运转，并将运行情况报告实施机关。</w:t>
      </w:r>
    </w:p>
    <w:p w14:paraId="492F45F8">
      <w:pPr>
        <w:ind w:firstLine="422"/>
        <w:jc w:val="left"/>
        <w:rPr>
          <w:rFonts w:ascii="宋体" w:hAnsi="宋体"/>
          <w:kern w:val="44"/>
        </w:rPr>
      </w:pPr>
      <w:r>
        <w:rPr>
          <w:rFonts w:hint="eastAsia" w:ascii="宋体" w:hAnsi="宋体"/>
          <w:b/>
          <w:kern w:val="44"/>
        </w:rPr>
        <w:t>第二十七条</w:t>
      </w:r>
      <w:r>
        <w:rPr>
          <w:rFonts w:hint="eastAsia" w:ascii="宋体" w:hAnsi="宋体"/>
          <w:kern w:val="44"/>
        </w:rPr>
        <w:t>　特许经营者应当对城市基础设施建设、运营、维修、保养过程中的有关资料进行收集、归类、整理和归档，并按照协议约定的方式、程序和期限完整移交给实施机关。</w:t>
      </w:r>
    </w:p>
    <w:p w14:paraId="4EBC8C1C">
      <w:pPr>
        <w:ind w:firstLine="422"/>
        <w:jc w:val="left"/>
        <w:rPr>
          <w:rFonts w:ascii="宋体" w:hAnsi="宋体"/>
          <w:kern w:val="44"/>
        </w:rPr>
      </w:pPr>
      <w:r>
        <w:rPr>
          <w:rFonts w:hint="eastAsia" w:ascii="宋体" w:hAnsi="宋体"/>
          <w:b/>
          <w:kern w:val="44"/>
        </w:rPr>
        <w:t>第二十八条</w:t>
      </w:r>
      <w:r>
        <w:rPr>
          <w:rFonts w:hint="eastAsia" w:ascii="宋体" w:hAnsi="宋体"/>
          <w:kern w:val="44"/>
        </w:rPr>
        <w:t>　特许经营者应当将年度经营报告、年度财务报告以及其他重大事项的报告，及时、完整地报送实施机关备案。</w:t>
      </w:r>
    </w:p>
    <w:p w14:paraId="5AB8B7D5">
      <w:pPr>
        <w:ind w:firstLine="422"/>
        <w:jc w:val="left"/>
        <w:rPr>
          <w:rFonts w:ascii="宋体" w:hAnsi="宋体"/>
          <w:kern w:val="44"/>
        </w:rPr>
      </w:pPr>
      <w:r>
        <w:rPr>
          <w:rFonts w:hint="eastAsia" w:ascii="宋体" w:hAnsi="宋体"/>
          <w:b/>
          <w:kern w:val="44"/>
        </w:rPr>
        <w:t>第二十九条</w:t>
      </w:r>
      <w:r>
        <w:rPr>
          <w:rFonts w:hint="eastAsia" w:ascii="宋体" w:hAnsi="宋体"/>
          <w:kern w:val="44"/>
        </w:rPr>
        <w:t>　实施机关及其工作人员对在实施特许经营活动和监督管理工作中知悉的特许经营者的商业秘密、技术秘密负有保密义务。</w:t>
      </w:r>
    </w:p>
    <w:p w14:paraId="10A8782D">
      <w:pPr>
        <w:ind w:firstLine="422"/>
        <w:jc w:val="left"/>
        <w:rPr>
          <w:rFonts w:ascii="宋体" w:hAnsi="宋体"/>
          <w:kern w:val="44"/>
        </w:rPr>
      </w:pPr>
      <w:r>
        <w:rPr>
          <w:rFonts w:hint="eastAsia" w:ascii="宋体" w:hAnsi="宋体"/>
          <w:b/>
          <w:kern w:val="44"/>
        </w:rPr>
        <w:t>第三十条</w:t>
      </w:r>
      <w:r>
        <w:rPr>
          <w:rFonts w:hint="eastAsia" w:ascii="宋体" w:hAnsi="宋体"/>
          <w:kern w:val="44"/>
        </w:rPr>
        <w:t>　因政策调整损害特许经营者预期利益的，政府应当给予相应补偿。</w:t>
      </w:r>
    </w:p>
    <w:p w14:paraId="396A172E">
      <w:pPr>
        <w:ind w:firstLine="422"/>
        <w:jc w:val="left"/>
        <w:rPr>
          <w:rFonts w:ascii="宋体" w:hAnsi="宋体"/>
          <w:kern w:val="44"/>
        </w:rPr>
      </w:pPr>
      <w:r>
        <w:rPr>
          <w:rFonts w:hint="eastAsia" w:ascii="宋体" w:hAnsi="宋体"/>
          <w:b/>
          <w:kern w:val="44"/>
        </w:rPr>
        <w:t>第三十一条</w:t>
      </w:r>
      <w:r>
        <w:rPr>
          <w:rFonts w:hint="eastAsia" w:ascii="宋体" w:hAnsi="宋体"/>
          <w:kern w:val="44"/>
        </w:rPr>
        <w:t>　特许经营期限内，特许经营协议的任何一方不得擅自变更或者解除原协议。一方认为需要变更或者解除协议的，应当与另一方进行协商。经双方协商一致的，可以变更或者解除协议；协商不一致产生争议的，可以按照协议约定的争议解决方式处理。</w:t>
      </w:r>
    </w:p>
    <w:p w14:paraId="5DD33541">
      <w:pPr>
        <w:ind w:firstLine="422"/>
        <w:jc w:val="left"/>
        <w:rPr>
          <w:rFonts w:ascii="宋体" w:hAnsi="宋体"/>
          <w:kern w:val="44"/>
        </w:rPr>
      </w:pPr>
      <w:r>
        <w:rPr>
          <w:rFonts w:hint="eastAsia" w:ascii="宋体" w:hAnsi="宋体"/>
          <w:b/>
          <w:kern w:val="44"/>
        </w:rPr>
        <w:t>第三十二条</w:t>
      </w:r>
      <w:r>
        <w:rPr>
          <w:rFonts w:hint="eastAsia" w:ascii="宋体" w:hAnsi="宋体"/>
          <w:kern w:val="44"/>
        </w:rPr>
        <w:t>　任何单位或者个人不得违反法律、法规以及本条例的规定收回或者限制特许经营者的特许经营权。确因公共利益需要，政府可以收回特许经营权、终止特许经营协议、征用实施特许经营的城市基础设施、指令特许经营者提供公共产品或者服务，但是应当按照特许经营协议的约定给予相应补偿。</w:t>
      </w:r>
    </w:p>
    <w:p w14:paraId="71B59B08">
      <w:pPr>
        <w:ind w:firstLine="422"/>
        <w:jc w:val="left"/>
        <w:rPr>
          <w:rFonts w:ascii="宋体" w:hAnsi="宋体"/>
          <w:kern w:val="44"/>
        </w:rPr>
      </w:pPr>
      <w:r>
        <w:rPr>
          <w:rFonts w:hint="eastAsia" w:ascii="宋体" w:hAnsi="宋体"/>
          <w:b/>
          <w:kern w:val="44"/>
        </w:rPr>
        <w:t>第三十三条</w:t>
      </w:r>
      <w:r>
        <w:rPr>
          <w:rFonts w:hint="eastAsia" w:ascii="宋体" w:hAnsi="宋体"/>
          <w:kern w:val="44"/>
        </w:rPr>
        <w:t>　特许经营者对市和区、县人民政府及其有关行政主管部门作出的具体行政行为，认为侵犯其合法权益的，有陈述、申辩的权利，并可以依法申请行政复议或者提起行政诉讼。</w:t>
      </w:r>
    </w:p>
    <w:p w14:paraId="7222D9A7">
      <w:pPr>
        <w:ind w:firstLine="422"/>
        <w:jc w:val="left"/>
        <w:rPr>
          <w:rFonts w:ascii="宋体" w:hAnsi="宋体"/>
          <w:kern w:val="44"/>
        </w:rPr>
      </w:pPr>
      <w:r>
        <w:rPr>
          <w:rFonts w:hint="eastAsia" w:ascii="宋体" w:hAnsi="宋体"/>
          <w:b/>
          <w:kern w:val="44"/>
        </w:rPr>
        <w:t>第三十四条</w:t>
      </w:r>
      <w:r>
        <w:rPr>
          <w:rFonts w:hint="eastAsia" w:ascii="宋体" w:hAnsi="宋体"/>
          <w:kern w:val="44"/>
        </w:rPr>
        <w:t>　实施机关与特许经营者应当制定应急预案，在突发自然灾害、战争灾害、事故灾害以及公共卫生、社会治安等公共事件时，最大限度保证城市基础设施的正常运转。</w:t>
      </w:r>
    </w:p>
    <w:p w14:paraId="22A1D70F">
      <w:pPr>
        <w:jc w:val="left"/>
        <w:rPr>
          <w:rFonts w:ascii="宋体" w:hAnsi="宋体"/>
          <w:kern w:val="44"/>
        </w:rPr>
      </w:pPr>
    </w:p>
    <w:p w14:paraId="3E16E8EA">
      <w:pPr>
        <w:ind w:firstLine="0" w:firstLineChars="0"/>
        <w:jc w:val="center"/>
        <w:rPr>
          <w:rFonts w:ascii="宋体" w:hAnsi="宋体"/>
          <w:b/>
          <w:kern w:val="44"/>
          <w:sz w:val="28"/>
        </w:rPr>
      </w:pPr>
      <w:r>
        <w:rPr>
          <w:rFonts w:hint="eastAsia" w:ascii="宋体" w:hAnsi="宋体"/>
          <w:b/>
          <w:kern w:val="44"/>
          <w:sz w:val="28"/>
        </w:rPr>
        <w:t>第四章　监督管理</w:t>
      </w:r>
    </w:p>
    <w:p w14:paraId="6CB98CE7">
      <w:pPr>
        <w:jc w:val="left"/>
        <w:rPr>
          <w:rFonts w:ascii="宋体" w:hAnsi="宋体"/>
          <w:kern w:val="44"/>
        </w:rPr>
      </w:pPr>
    </w:p>
    <w:p w14:paraId="0043A8F5">
      <w:pPr>
        <w:ind w:firstLine="422"/>
        <w:jc w:val="left"/>
        <w:rPr>
          <w:rFonts w:ascii="宋体" w:hAnsi="宋体"/>
          <w:kern w:val="44"/>
        </w:rPr>
      </w:pPr>
      <w:r>
        <w:rPr>
          <w:rFonts w:hint="eastAsia" w:ascii="宋体" w:hAnsi="宋体"/>
          <w:b/>
          <w:kern w:val="44"/>
        </w:rPr>
        <w:t>第三十五条</w:t>
      </w:r>
      <w:r>
        <w:rPr>
          <w:rFonts w:hint="eastAsia" w:ascii="宋体" w:hAnsi="宋体"/>
          <w:kern w:val="44"/>
        </w:rPr>
        <w:t>　特许经营期限内，有关行政主管部门应当按照各自职责对特许经营项目进行检查、评估、审计，对特许经营者违反法律、法规、规章规定的行为予以纠正并依法处理。</w:t>
      </w:r>
    </w:p>
    <w:p w14:paraId="3BB96AB7">
      <w:pPr>
        <w:ind w:firstLine="422"/>
        <w:jc w:val="left"/>
        <w:rPr>
          <w:rFonts w:ascii="宋体" w:hAnsi="宋体"/>
          <w:kern w:val="44"/>
        </w:rPr>
      </w:pPr>
      <w:r>
        <w:rPr>
          <w:rFonts w:hint="eastAsia" w:ascii="宋体" w:hAnsi="宋体"/>
          <w:b/>
          <w:kern w:val="44"/>
        </w:rPr>
        <w:t>第三十六条</w:t>
      </w:r>
      <w:r>
        <w:rPr>
          <w:rFonts w:hint="eastAsia" w:ascii="宋体" w:hAnsi="宋体"/>
          <w:kern w:val="44"/>
        </w:rPr>
        <w:t>　实施机关应当建立并保存城市基础设施特许经营项目档案。实施机关应当及时监测、分析城市基础设施特许经营项目实施情况，并定期会同有关部门组织专业机构对项目实施情况进行综合评估。评估周期一般不短于两年，必要时可以实施年度评估。监测、评估不得妨碍特许经营项目的正常经营活动。</w:t>
      </w:r>
    </w:p>
    <w:p w14:paraId="279B0BDB">
      <w:pPr>
        <w:ind w:firstLine="422"/>
        <w:jc w:val="left"/>
        <w:rPr>
          <w:rFonts w:ascii="宋体" w:hAnsi="宋体"/>
          <w:kern w:val="44"/>
        </w:rPr>
      </w:pPr>
      <w:r>
        <w:rPr>
          <w:rFonts w:hint="eastAsia" w:ascii="宋体" w:hAnsi="宋体"/>
          <w:b/>
          <w:kern w:val="44"/>
        </w:rPr>
        <w:t>第三十七条</w:t>
      </w:r>
      <w:r>
        <w:rPr>
          <w:rFonts w:hint="eastAsia" w:ascii="宋体" w:hAnsi="宋体"/>
          <w:kern w:val="44"/>
        </w:rPr>
        <w:t>　政府价格主管部门制定的特许经营项目政府定价或者政府指导价应当遵循补偿成本、合理收益、节约资源和与社会承受力相适应的原则。与特许经营产品、服务无关的费用，不得列入特许经营成本。</w:t>
      </w:r>
    </w:p>
    <w:p w14:paraId="6762FFEE">
      <w:pPr>
        <w:ind w:firstLine="422"/>
        <w:jc w:val="left"/>
        <w:rPr>
          <w:rFonts w:ascii="宋体" w:hAnsi="宋体"/>
          <w:kern w:val="44"/>
        </w:rPr>
      </w:pPr>
      <w:r>
        <w:rPr>
          <w:rFonts w:hint="eastAsia" w:ascii="宋体" w:hAnsi="宋体"/>
          <w:b/>
          <w:kern w:val="44"/>
        </w:rPr>
        <w:t>第三十八条</w:t>
      </w:r>
      <w:r>
        <w:rPr>
          <w:rFonts w:hint="eastAsia" w:ascii="宋体" w:hAnsi="宋体"/>
          <w:kern w:val="44"/>
        </w:rPr>
        <w:t>　价格主管部门应当建立定期审价制度，建立成本资料数据库，对产品或者服务价格进行有效的监督管理。</w:t>
      </w:r>
    </w:p>
    <w:p w14:paraId="790F117C">
      <w:pPr>
        <w:ind w:firstLine="422"/>
        <w:jc w:val="left"/>
        <w:rPr>
          <w:rFonts w:ascii="宋体" w:hAnsi="宋体"/>
          <w:kern w:val="44"/>
        </w:rPr>
      </w:pPr>
      <w:r>
        <w:rPr>
          <w:rFonts w:hint="eastAsia" w:ascii="宋体" w:hAnsi="宋体"/>
          <w:b/>
          <w:kern w:val="44"/>
        </w:rPr>
        <w:t>第三十九条</w:t>
      </w:r>
      <w:r>
        <w:rPr>
          <w:rFonts w:hint="eastAsia" w:ascii="宋体" w:hAnsi="宋体"/>
          <w:kern w:val="44"/>
        </w:rPr>
        <w:t>　特许经营者应当将城市基础设施特许经营项目的质量、技术标准以及其他关系公共利益、公共安全的信息及时向社会公告。</w:t>
      </w:r>
    </w:p>
    <w:p w14:paraId="4821201B">
      <w:pPr>
        <w:jc w:val="left"/>
        <w:rPr>
          <w:rFonts w:ascii="宋体" w:hAnsi="宋体"/>
          <w:kern w:val="44"/>
        </w:rPr>
      </w:pPr>
    </w:p>
    <w:p w14:paraId="3152D737">
      <w:pPr>
        <w:ind w:firstLine="0" w:firstLineChars="0"/>
        <w:jc w:val="center"/>
        <w:rPr>
          <w:rFonts w:ascii="宋体" w:hAnsi="宋体"/>
          <w:b/>
          <w:kern w:val="44"/>
          <w:sz w:val="28"/>
        </w:rPr>
      </w:pPr>
      <w:r>
        <w:rPr>
          <w:rFonts w:hint="eastAsia" w:ascii="宋体" w:hAnsi="宋体"/>
          <w:b/>
          <w:kern w:val="44"/>
          <w:sz w:val="28"/>
        </w:rPr>
        <w:t>第五章　法律责任</w:t>
      </w:r>
    </w:p>
    <w:p w14:paraId="725D5EF8">
      <w:pPr>
        <w:jc w:val="left"/>
        <w:rPr>
          <w:rFonts w:ascii="宋体" w:hAnsi="宋体"/>
          <w:kern w:val="44"/>
        </w:rPr>
      </w:pPr>
    </w:p>
    <w:p w14:paraId="5E8BB716">
      <w:pPr>
        <w:ind w:firstLine="422"/>
        <w:jc w:val="left"/>
        <w:rPr>
          <w:rFonts w:ascii="宋体" w:hAnsi="宋体"/>
          <w:kern w:val="44"/>
        </w:rPr>
      </w:pPr>
      <w:r>
        <w:rPr>
          <w:rFonts w:hint="eastAsia" w:ascii="宋体" w:hAnsi="宋体"/>
          <w:b/>
          <w:kern w:val="44"/>
        </w:rPr>
        <w:t>第四十条</w:t>
      </w:r>
      <w:r>
        <w:rPr>
          <w:rFonts w:hint="eastAsia" w:ascii="宋体" w:hAnsi="宋体"/>
          <w:kern w:val="44"/>
        </w:rPr>
        <w:t>　特许经营者有下列情形之一的，由实施机关责令限期改正；拒不改正的，可以收回特许经营权、终止特许经营协议，并实施临时接管：</w:t>
      </w:r>
    </w:p>
    <w:p w14:paraId="1B23A63B">
      <w:pPr>
        <w:jc w:val="left"/>
        <w:rPr>
          <w:rFonts w:ascii="宋体" w:hAnsi="宋体"/>
          <w:kern w:val="44"/>
        </w:rPr>
      </w:pPr>
      <w:r>
        <w:rPr>
          <w:rFonts w:hint="eastAsia" w:ascii="宋体" w:hAnsi="宋体"/>
          <w:kern w:val="44"/>
        </w:rPr>
        <w:t>（一）违反法律、法规的规定或者特许经营协议的约定，情节严重的；</w:t>
      </w:r>
    </w:p>
    <w:p w14:paraId="7BA4A9D8">
      <w:pPr>
        <w:jc w:val="left"/>
        <w:rPr>
          <w:rFonts w:ascii="宋体" w:hAnsi="宋体"/>
          <w:kern w:val="44"/>
        </w:rPr>
      </w:pPr>
      <w:r>
        <w:rPr>
          <w:rFonts w:hint="eastAsia" w:ascii="宋体" w:hAnsi="宋体"/>
          <w:kern w:val="44"/>
        </w:rPr>
        <w:t>（二）不履行检修保养和更新改造义务，危害公共利益和公共安全的；</w:t>
      </w:r>
    </w:p>
    <w:p w14:paraId="549CAA1D">
      <w:pPr>
        <w:jc w:val="left"/>
        <w:rPr>
          <w:rFonts w:ascii="宋体" w:hAnsi="宋体"/>
          <w:kern w:val="44"/>
        </w:rPr>
      </w:pPr>
      <w:r>
        <w:rPr>
          <w:rFonts w:hint="eastAsia" w:ascii="宋体" w:hAnsi="宋体"/>
          <w:kern w:val="44"/>
        </w:rPr>
        <w:t>（三）擅自转让、出租、质押、抵押或者以其他方式擅自处分特许经营权或者特许经营项目资产的；</w:t>
      </w:r>
    </w:p>
    <w:p w14:paraId="3EB9209B">
      <w:pPr>
        <w:jc w:val="left"/>
        <w:rPr>
          <w:rFonts w:ascii="宋体" w:hAnsi="宋体"/>
          <w:kern w:val="44"/>
        </w:rPr>
      </w:pPr>
      <w:r>
        <w:rPr>
          <w:rFonts w:hint="eastAsia" w:ascii="宋体" w:hAnsi="宋体"/>
          <w:kern w:val="44"/>
        </w:rPr>
        <w:t>（四）擅自停业、歇业的；</w:t>
      </w:r>
    </w:p>
    <w:p w14:paraId="6B7F6E7F">
      <w:pPr>
        <w:jc w:val="left"/>
        <w:rPr>
          <w:rFonts w:ascii="宋体" w:hAnsi="宋体"/>
          <w:kern w:val="44"/>
        </w:rPr>
      </w:pPr>
      <w:r>
        <w:rPr>
          <w:rFonts w:hint="eastAsia" w:ascii="宋体" w:hAnsi="宋体"/>
          <w:kern w:val="44"/>
        </w:rPr>
        <w:t>（五）法律、法规规定或者特许经营协议约定的其他情形。</w:t>
      </w:r>
    </w:p>
    <w:p w14:paraId="1A332166">
      <w:pPr>
        <w:ind w:firstLine="422"/>
        <w:jc w:val="left"/>
        <w:rPr>
          <w:rFonts w:ascii="宋体" w:hAnsi="宋体"/>
          <w:kern w:val="44"/>
        </w:rPr>
      </w:pPr>
      <w:r>
        <w:rPr>
          <w:rFonts w:hint="eastAsia" w:ascii="宋体" w:hAnsi="宋体"/>
          <w:b/>
          <w:kern w:val="44"/>
        </w:rPr>
        <w:t>第四十一条</w:t>
      </w:r>
      <w:r>
        <w:rPr>
          <w:rFonts w:hint="eastAsia" w:ascii="宋体" w:hAnsi="宋体"/>
          <w:kern w:val="44"/>
        </w:rPr>
        <w:t>　以欺骗、贿赂等不正当手段获得特许经营权的，实施机关应当撤销特许经营权，终止特许经营协议。被撤销特许经营权的企业或者其他经济组织，三年内不得参与竞争本市城市基础设施特许经营权。</w:t>
      </w:r>
    </w:p>
    <w:p w14:paraId="2E17758D">
      <w:pPr>
        <w:ind w:firstLine="422"/>
        <w:jc w:val="left"/>
        <w:rPr>
          <w:rFonts w:ascii="宋体" w:hAnsi="宋体"/>
          <w:kern w:val="44"/>
        </w:rPr>
      </w:pPr>
      <w:r>
        <w:rPr>
          <w:rFonts w:hint="eastAsia" w:ascii="宋体" w:hAnsi="宋体"/>
          <w:b/>
          <w:kern w:val="44"/>
        </w:rPr>
        <w:t>第四十二条</w:t>
      </w:r>
      <w:r>
        <w:rPr>
          <w:rFonts w:hint="eastAsia" w:ascii="宋体" w:hAnsi="宋体"/>
          <w:kern w:val="44"/>
        </w:rPr>
        <w:t>　有关行政主管部门及其工作人员违反本条例规定，不履行法定职责、干预特许经营者正常经营活动、徇私舞弊、滥用职权的，由监察机关依法追究有关责任人员的行政责任；构成犯罪的，依法追究刑事责任。</w:t>
      </w:r>
    </w:p>
    <w:p w14:paraId="368858F7">
      <w:pPr>
        <w:jc w:val="left"/>
        <w:rPr>
          <w:rFonts w:ascii="宋体" w:hAnsi="宋体"/>
          <w:kern w:val="44"/>
        </w:rPr>
      </w:pPr>
    </w:p>
    <w:p w14:paraId="1E8F835D">
      <w:pPr>
        <w:ind w:firstLine="0" w:firstLineChars="0"/>
        <w:jc w:val="center"/>
        <w:rPr>
          <w:rFonts w:ascii="宋体" w:hAnsi="宋体"/>
          <w:b/>
          <w:kern w:val="44"/>
          <w:sz w:val="28"/>
        </w:rPr>
      </w:pPr>
      <w:r>
        <w:rPr>
          <w:rFonts w:hint="eastAsia" w:ascii="宋体" w:hAnsi="宋体"/>
          <w:b/>
          <w:kern w:val="44"/>
          <w:sz w:val="28"/>
        </w:rPr>
        <w:t>第六章　附　则</w:t>
      </w:r>
    </w:p>
    <w:p w14:paraId="70990DFB">
      <w:pPr>
        <w:jc w:val="left"/>
        <w:rPr>
          <w:rFonts w:ascii="宋体" w:hAnsi="宋体"/>
          <w:kern w:val="44"/>
        </w:rPr>
      </w:pPr>
    </w:p>
    <w:p w14:paraId="102309E6">
      <w:pPr>
        <w:ind w:firstLine="422"/>
        <w:jc w:val="left"/>
        <w:rPr>
          <w:rFonts w:ascii="宋体" w:hAnsi="宋体"/>
          <w:kern w:val="44"/>
        </w:rPr>
      </w:pPr>
      <w:r>
        <w:rPr>
          <w:rFonts w:hint="eastAsia" w:ascii="宋体" w:hAnsi="宋体"/>
          <w:b/>
          <w:kern w:val="44"/>
        </w:rPr>
        <w:t>第四十三条</w:t>
      </w:r>
      <w:r>
        <w:rPr>
          <w:rFonts w:hint="eastAsia" w:ascii="宋体" w:hAnsi="宋体"/>
          <w:kern w:val="44"/>
        </w:rPr>
        <w:t>　本条例自2006年3月1日起施行。2003年8月28日市人民政府公布的《北京市城市基础设施特许经营办法》同时废止。</w:t>
      </w:r>
    </w:p>
    <w:p w14:paraId="0EEFCB1C">
      <w:pPr>
        <w:pStyle w:val="4"/>
        <w:pageBreakBefore/>
        <w:rPr>
          <w:kern w:val="44"/>
        </w:rPr>
      </w:pPr>
      <w:bookmarkStart w:id="748" w:name="_Toc427651850"/>
      <w:bookmarkStart w:id="749" w:name="_Toc422471212"/>
      <w:bookmarkStart w:id="750" w:name="_Toc428780074"/>
      <w:bookmarkStart w:id="751" w:name="_Toc427651508"/>
      <w:bookmarkStart w:id="752" w:name="_Toc428781556"/>
      <w:r>
        <w:rPr>
          <w:rFonts w:hint="eastAsia"/>
          <w:kern w:val="44"/>
        </w:rPr>
        <w:t>北京市城乡规划条例</w:t>
      </w:r>
      <w:bookmarkEnd w:id="748"/>
      <w:bookmarkEnd w:id="749"/>
      <w:bookmarkEnd w:id="750"/>
      <w:bookmarkEnd w:id="751"/>
      <w:bookmarkEnd w:id="752"/>
    </w:p>
    <w:p w14:paraId="531C9FA6">
      <w:pPr>
        <w:ind w:left="630" w:leftChars="300" w:right="630" w:rightChars="300"/>
        <w:jc w:val="left"/>
        <w:rPr>
          <w:rFonts w:ascii="楷体" w:hAnsi="楷体" w:eastAsia="楷体"/>
          <w:kern w:val="44"/>
        </w:rPr>
      </w:pPr>
      <w:r>
        <w:rPr>
          <w:rFonts w:hint="eastAsia" w:ascii="楷体" w:hAnsi="楷体" w:eastAsia="楷体"/>
          <w:kern w:val="44"/>
        </w:rPr>
        <w:t>（2009年5月22日北京市第十三届人民代表大会常务委员会第十一次会议通过）</w:t>
      </w:r>
    </w:p>
    <w:p w14:paraId="468E7E82">
      <w:pPr>
        <w:ind w:left="630" w:leftChars="300" w:right="630" w:rightChars="300"/>
        <w:jc w:val="left"/>
        <w:rPr>
          <w:rFonts w:ascii="楷体" w:hAnsi="楷体" w:eastAsia="楷体"/>
          <w:kern w:val="44"/>
        </w:rPr>
      </w:pPr>
    </w:p>
    <w:p w14:paraId="2A2FF8DD">
      <w:pPr>
        <w:ind w:firstLine="0" w:firstLineChars="0"/>
        <w:jc w:val="center"/>
        <w:rPr>
          <w:rFonts w:ascii="宋体" w:hAnsi="宋体"/>
          <w:b/>
          <w:kern w:val="44"/>
          <w:sz w:val="28"/>
        </w:rPr>
      </w:pPr>
      <w:r>
        <w:rPr>
          <w:rFonts w:hint="eastAsia" w:ascii="宋体" w:hAnsi="宋体"/>
          <w:b/>
          <w:kern w:val="44"/>
          <w:sz w:val="28"/>
        </w:rPr>
        <w:t>第一章　总　则</w:t>
      </w:r>
    </w:p>
    <w:p w14:paraId="66D42F96">
      <w:pPr>
        <w:jc w:val="left"/>
        <w:rPr>
          <w:rFonts w:ascii="宋体" w:hAnsi="宋体"/>
          <w:kern w:val="44"/>
        </w:rPr>
      </w:pPr>
    </w:p>
    <w:p w14:paraId="44DCF3D2">
      <w:pPr>
        <w:ind w:firstLine="422"/>
        <w:jc w:val="left"/>
        <w:rPr>
          <w:rFonts w:ascii="宋体" w:hAnsi="宋体"/>
          <w:kern w:val="44"/>
        </w:rPr>
      </w:pPr>
      <w:r>
        <w:rPr>
          <w:rFonts w:hint="eastAsia" w:ascii="宋体" w:hAnsi="宋体"/>
          <w:b/>
          <w:kern w:val="44"/>
        </w:rPr>
        <w:t>第一条</w:t>
      </w:r>
      <w:r>
        <w:rPr>
          <w:rFonts w:hint="eastAsia" w:ascii="宋体" w:hAnsi="宋体"/>
          <w:kern w:val="44"/>
        </w:rPr>
        <w:t>　为了做好本市城乡规划工作，协调城乡空间布局，改善人居和发展环境，促进经济、社会、人口、资源、环境全面协调可持续发展，根据《中华人民共和国城乡规划法》，结合本市实际情况，制定本条例。</w:t>
      </w:r>
    </w:p>
    <w:p w14:paraId="1EB75737">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本市行政区域全部为规划区。</w:t>
      </w:r>
    </w:p>
    <w:p w14:paraId="5A1EC763">
      <w:pPr>
        <w:jc w:val="left"/>
        <w:rPr>
          <w:rFonts w:ascii="宋体" w:hAnsi="宋体"/>
          <w:kern w:val="44"/>
        </w:rPr>
      </w:pPr>
      <w:r>
        <w:rPr>
          <w:rFonts w:hint="eastAsia" w:ascii="宋体" w:hAnsi="宋体"/>
          <w:kern w:val="44"/>
        </w:rPr>
        <w:t>本条例适用于本市城乡规划的制定、实施、修改、监督检查和相关城乡建设活动。</w:t>
      </w:r>
    </w:p>
    <w:p w14:paraId="0438864D">
      <w:pPr>
        <w:jc w:val="left"/>
        <w:rPr>
          <w:rFonts w:ascii="宋体" w:hAnsi="宋体"/>
          <w:kern w:val="44"/>
        </w:rPr>
      </w:pPr>
      <w:r>
        <w:rPr>
          <w:rFonts w:hint="eastAsia" w:ascii="宋体" w:hAnsi="宋体"/>
          <w:kern w:val="44"/>
        </w:rPr>
        <w:t>本市城乡规划包括城市总体规划，中心城和新城、乡和镇的总体规划和详细规划，村庄规划，特定地区规划和专项规划。</w:t>
      </w:r>
    </w:p>
    <w:p w14:paraId="7904E20A">
      <w:pPr>
        <w:ind w:firstLine="422"/>
        <w:jc w:val="left"/>
        <w:rPr>
          <w:rFonts w:ascii="宋体" w:hAnsi="宋体"/>
          <w:kern w:val="44"/>
        </w:rPr>
      </w:pPr>
      <w:r>
        <w:rPr>
          <w:rFonts w:hint="eastAsia" w:ascii="宋体" w:hAnsi="宋体"/>
          <w:b/>
          <w:kern w:val="44"/>
        </w:rPr>
        <w:t>第三条</w:t>
      </w:r>
      <w:r>
        <w:rPr>
          <w:rFonts w:hint="eastAsia" w:ascii="宋体" w:hAnsi="宋体"/>
          <w:kern w:val="44"/>
        </w:rPr>
        <w:t>　北京是国家的首都，是全国的政治中心、文化中心，是世界著名古都和现代国际城市。</w:t>
      </w:r>
    </w:p>
    <w:p w14:paraId="7CB7A408">
      <w:pPr>
        <w:jc w:val="left"/>
        <w:rPr>
          <w:rFonts w:ascii="宋体" w:hAnsi="宋体"/>
          <w:kern w:val="44"/>
        </w:rPr>
      </w:pPr>
      <w:r>
        <w:rPr>
          <w:rFonts w:hint="eastAsia" w:ascii="宋体" w:hAnsi="宋体"/>
          <w:kern w:val="44"/>
        </w:rPr>
        <w:t>北京城乡规划和建设应当依据城市性质，体现为中央党、政、军领导机关的工作服务，为国家的国际交往服务，为科技和教育发展服务，为改善人民群众生活服务的要求。</w:t>
      </w:r>
    </w:p>
    <w:p w14:paraId="79DD4FEE">
      <w:pPr>
        <w:ind w:firstLine="422"/>
        <w:jc w:val="left"/>
        <w:rPr>
          <w:rFonts w:ascii="宋体" w:hAnsi="宋体"/>
          <w:kern w:val="44"/>
        </w:rPr>
      </w:pPr>
      <w:r>
        <w:rPr>
          <w:rFonts w:hint="eastAsia" w:ascii="宋体" w:hAnsi="宋体"/>
          <w:b/>
          <w:kern w:val="44"/>
        </w:rPr>
        <w:t>第四条</w:t>
      </w:r>
      <w:r>
        <w:rPr>
          <w:rFonts w:hint="eastAsia" w:ascii="宋体" w:hAnsi="宋体"/>
          <w:kern w:val="44"/>
        </w:rPr>
        <w:t>　本市城乡规划和建设应当贯彻科学发展观，体现“人文北京、科技北京、绿色北京”的理念；坚持以人为本，创造人居和发展的良好条件，妥善处理和协调各种利益关系，维护人民群众的根本利益；统筹城乡发展，推进城乡经济社会发展一体化，统筹区域发展，推动区域协调发展，统筹经济与社会发展，合理规划产业与社会事业发展的空间布局，统筹人与自然和谐发展，协调人口、资源和环境的规划配置，统筹国内发展和对外开放的要求，提高城市现代化、国际化水平。</w:t>
      </w:r>
    </w:p>
    <w:p w14:paraId="3803CBF5">
      <w:pPr>
        <w:ind w:firstLine="422"/>
        <w:jc w:val="left"/>
        <w:rPr>
          <w:rFonts w:ascii="宋体" w:hAnsi="宋体"/>
          <w:kern w:val="44"/>
        </w:rPr>
      </w:pPr>
      <w:r>
        <w:rPr>
          <w:rFonts w:hint="eastAsia" w:ascii="宋体" w:hAnsi="宋体"/>
          <w:b/>
          <w:kern w:val="44"/>
        </w:rPr>
        <w:t>第五条</w:t>
      </w:r>
      <w:r>
        <w:rPr>
          <w:rFonts w:hint="eastAsia" w:ascii="宋体" w:hAnsi="宋体"/>
          <w:kern w:val="44"/>
        </w:rPr>
        <w:t>　本市城乡规划应当与国民经济和社会发展规划、土地利用规划相互衔接、协调一致。</w:t>
      </w:r>
    </w:p>
    <w:p w14:paraId="3B2E3091">
      <w:pPr>
        <w:jc w:val="left"/>
        <w:rPr>
          <w:rFonts w:ascii="宋体" w:hAnsi="宋体"/>
          <w:kern w:val="44"/>
        </w:rPr>
      </w:pPr>
      <w:r>
        <w:rPr>
          <w:rFonts w:hint="eastAsia" w:ascii="宋体" w:hAnsi="宋体"/>
          <w:kern w:val="44"/>
        </w:rPr>
        <w:t>本市城乡规划和建设应当根据经济社会发展实际，充分考虑资源与环境承载能力，合理确定城市的发展规模，完善城市功能，优化产业结构，节约利用土地，改善生态环境，提高资源利用效率，推进城乡基础设施、公共服务设施和公共安全设施以及防灾减灾体系建设。</w:t>
      </w:r>
    </w:p>
    <w:p w14:paraId="1CEAB320">
      <w:pPr>
        <w:ind w:firstLine="422"/>
        <w:jc w:val="left"/>
        <w:rPr>
          <w:rFonts w:ascii="宋体" w:hAnsi="宋体"/>
          <w:kern w:val="44"/>
        </w:rPr>
      </w:pPr>
      <w:r>
        <w:rPr>
          <w:rFonts w:hint="eastAsia" w:ascii="宋体" w:hAnsi="宋体"/>
          <w:b/>
          <w:kern w:val="44"/>
        </w:rPr>
        <w:t>第六条</w:t>
      </w:r>
      <w:r>
        <w:rPr>
          <w:rFonts w:hint="eastAsia" w:ascii="宋体" w:hAnsi="宋体"/>
          <w:kern w:val="44"/>
        </w:rPr>
        <w:t>　本市城乡规划和建设应当尊重城市历史和城市文化，保护历史文化遗产和传统风貌。</w:t>
      </w:r>
    </w:p>
    <w:p w14:paraId="5F0EEB3F">
      <w:pPr>
        <w:jc w:val="left"/>
        <w:rPr>
          <w:rFonts w:ascii="宋体" w:hAnsi="宋体"/>
          <w:kern w:val="44"/>
        </w:rPr>
      </w:pPr>
      <w:r>
        <w:rPr>
          <w:rFonts w:hint="eastAsia" w:ascii="宋体" w:hAnsi="宋体"/>
          <w:kern w:val="44"/>
        </w:rPr>
        <w:t>本市城乡规划和建设涉及历史文化名城保护的，应当遵守法律和《历史文化名城名镇名村保护条例》、《北京历史文化名城保护条例》等法规的规定。</w:t>
      </w:r>
    </w:p>
    <w:p w14:paraId="4775A884">
      <w:pPr>
        <w:ind w:firstLine="422"/>
        <w:jc w:val="left"/>
        <w:rPr>
          <w:rFonts w:ascii="宋体" w:hAnsi="宋体"/>
          <w:kern w:val="44"/>
        </w:rPr>
      </w:pPr>
      <w:r>
        <w:rPr>
          <w:rFonts w:hint="eastAsia" w:ascii="宋体" w:hAnsi="宋体"/>
          <w:b/>
          <w:kern w:val="44"/>
        </w:rPr>
        <w:t>第七条</w:t>
      </w:r>
      <w:r>
        <w:rPr>
          <w:rFonts w:hint="eastAsia" w:ascii="宋体" w:hAnsi="宋体"/>
          <w:kern w:val="44"/>
        </w:rPr>
        <w:t>　城乡规划工作是各级人民政府的重要职责。市人民政府领导本市的城乡规划工作。区、县人民政府按照规定权限负责本行政区域内的城乡规划工作。乡镇人民政府按照规定权限负责本行政区域内的相关城乡规划工作。街道办事处在区、县人民政府的领导下配合规划行政主管部门做好城乡规划管理的有关工作。</w:t>
      </w:r>
    </w:p>
    <w:p w14:paraId="5AE50C26">
      <w:pPr>
        <w:jc w:val="left"/>
        <w:rPr>
          <w:rFonts w:ascii="宋体" w:hAnsi="宋体"/>
          <w:kern w:val="44"/>
        </w:rPr>
      </w:pPr>
      <w:r>
        <w:rPr>
          <w:rFonts w:hint="eastAsia" w:ascii="宋体" w:hAnsi="宋体"/>
          <w:kern w:val="44"/>
        </w:rPr>
        <w:t>市规划行政主管部门负责本市城乡规划管理工作。市规划行政主管部门的派出机构按照规定职责承担有关城乡规划管理工作。</w:t>
      </w:r>
    </w:p>
    <w:p w14:paraId="3B89E745">
      <w:pPr>
        <w:jc w:val="left"/>
        <w:rPr>
          <w:rFonts w:ascii="宋体" w:hAnsi="宋体"/>
          <w:kern w:val="44"/>
        </w:rPr>
      </w:pPr>
      <w:r>
        <w:rPr>
          <w:rFonts w:hint="eastAsia" w:ascii="宋体" w:hAnsi="宋体"/>
          <w:kern w:val="44"/>
        </w:rPr>
        <w:t>市和区、县人民政府有关部门应当按照各自职责做好相关的城乡规划工作。</w:t>
      </w:r>
    </w:p>
    <w:p w14:paraId="6A5C1DFD">
      <w:pPr>
        <w:jc w:val="left"/>
        <w:rPr>
          <w:rFonts w:ascii="宋体" w:hAnsi="宋体"/>
          <w:kern w:val="44"/>
        </w:rPr>
      </w:pPr>
      <w:r>
        <w:rPr>
          <w:rFonts w:hint="eastAsia" w:ascii="宋体" w:hAnsi="宋体"/>
          <w:kern w:val="44"/>
        </w:rPr>
        <w:t>本市规划建设中的重大事项，国家规定需要报首都规划建设委员会的，按照规定执行。</w:t>
      </w:r>
    </w:p>
    <w:p w14:paraId="5101C457">
      <w:pPr>
        <w:ind w:firstLine="422"/>
        <w:jc w:val="left"/>
        <w:rPr>
          <w:rFonts w:ascii="宋体" w:hAnsi="宋体"/>
          <w:kern w:val="44"/>
        </w:rPr>
      </w:pPr>
      <w:r>
        <w:rPr>
          <w:rFonts w:hint="eastAsia" w:ascii="宋体" w:hAnsi="宋体"/>
          <w:b/>
          <w:kern w:val="44"/>
        </w:rPr>
        <w:t>第八条</w:t>
      </w:r>
      <w:r>
        <w:rPr>
          <w:rFonts w:hint="eastAsia" w:ascii="宋体" w:hAnsi="宋体"/>
          <w:kern w:val="44"/>
        </w:rPr>
        <w:t>　本市应当创新管理模式，通过调控引导、行政许可、公共服务、联动监管等多种方式，提高规划制定、实施和监督管理的效能。</w:t>
      </w:r>
    </w:p>
    <w:p w14:paraId="1A2A081C">
      <w:pPr>
        <w:jc w:val="left"/>
        <w:rPr>
          <w:rFonts w:ascii="宋体" w:hAnsi="宋体"/>
          <w:kern w:val="44"/>
        </w:rPr>
      </w:pPr>
      <w:r>
        <w:rPr>
          <w:rFonts w:hint="eastAsia" w:ascii="宋体" w:hAnsi="宋体"/>
          <w:kern w:val="44"/>
        </w:rPr>
        <w:t>本市鼓励开展城乡规划科学研究，推广先进技术，增强城乡规划的科学性。</w:t>
      </w:r>
    </w:p>
    <w:p w14:paraId="2BE62F4A">
      <w:pPr>
        <w:ind w:firstLine="422"/>
        <w:jc w:val="left"/>
        <w:rPr>
          <w:rFonts w:ascii="宋体" w:hAnsi="宋体"/>
          <w:kern w:val="44"/>
        </w:rPr>
      </w:pPr>
      <w:r>
        <w:rPr>
          <w:rFonts w:hint="eastAsia" w:ascii="宋体" w:hAnsi="宋体"/>
          <w:b/>
          <w:kern w:val="44"/>
        </w:rPr>
        <w:t>第九条</w:t>
      </w:r>
      <w:r>
        <w:rPr>
          <w:rFonts w:hint="eastAsia" w:ascii="宋体" w:hAnsi="宋体"/>
          <w:kern w:val="44"/>
        </w:rPr>
        <w:t>　本市应当加强自然资源和地理空间数据库的建设，促进各有关行政主管部门之间的信息共享，保障城乡规划的科学制定、有效实施。</w:t>
      </w:r>
    </w:p>
    <w:p w14:paraId="3C701F23">
      <w:pPr>
        <w:ind w:firstLine="422"/>
        <w:jc w:val="left"/>
        <w:rPr>
          <w:rFonts w:ascii="宋体" w:hAnsi="宋体"/>
          <w:kern w:val="44"/>
        </w:rPr>
      </w:pPr>
      <w:r>
        <w:rPr>
          <w:rFonts w:hint="eastAsia" w:ascii="宋体" w:hAnsi="宋体"/>
          <w:b/>
          <w:kern w:val="44"/>
        </w:rPr>
        <w:t>第十条</w:t>
      </w:r>
      <w:r>
        <w:rPr>
          <w:rFonts w:hint="eastAsia" w:ascii="宋体" w:hAnsi="宋体"/>
          <w:kern w:val="44"/>
        </w:rPr>
        <w:t>　经依法批准的城乡规划，是城乡建设和规划管理的依据。各项建设活动应当符合经依法批准的城乡规划。</w:t>
      </w:r>
    </w:p>
    <w:p w14:paraId="68B1CADF">
      <w:pPr>
        <w:ind w:firstLine="422"/>
        <w:jc w:val="left"/>
        <w:rPr>
          <w:rFonts w:ascii="宋体" w:hAnsi="宋体"/>
          <w:kern w:val="44"/>
        </w:rPr>
      </w:pPr>
      <w:r>
        <w:rPr>
          <w:rFonts w:hint="eastAsia" w:ascii="宋体" w:hAnsi="宋体"/>
          <w:b/>
          <w:kern w:val="44"/>
        </w:rPr>
        <w:t>第十一条</w:t>
      </w:r>
      <w:r>
        <w:rPr>
          <w:rFonts w:hint="eastAsia" w:ascii="宋体" w:hAnsi="宋体"/>
          <w:kern w:val="44"/>
        </w:rPr>
        <w:t>　任何单位和个人都应当遵守经依法批准并公布的城乡规划，服从规划管理。</w:t>
      </w:r>
    </w:p>
    <w:p w14:paraId="1377C257">
      <w:pPr>
        <w:jc w:val="left"/>
        <w:rPr>
          <w:rFonts w:ascii="宋体" w:hAnsi="宋体"/>
          <w:kern w:val="44"/>
        </w:rPr>
      </w:pPr>
      <w:r>
        <w:rPr>
          <w:rFonts w:hint="eastAsia" w:ascii="宋体" w:hAnsi="宋体"/>
          <w:kern w:val="44"/>
        </w:rPr>
        <w:t>任何单位和个人都有权对城乡规划的制定、实施、修改和监督检查提出意见和建议，就涉及其利害关系的建设活动是否符合规划要求向规划行政主管部门查询。规划行政主管部门应当健全制度，畅通渠道，认真研究相关意见和建议；对于规划查询，应当按照政府信息公开有关规定提供相关信息。</w:t>
      </w:r>
    </w:p>
    <w:p w14:paraId="04B58723">
      <w:pPr>
        <w:jc w:val="left"/>
        <w:rPr>
          <w:rFonts w:ascii="宋体" w:hAnsi="宋体"/>
          <w:kern w:val="44"/>
        </w:rPr>
      </w:pPr>
      <w:r>
        <w:rPr>
          <w:rFonts w:hint="eastAsia" w:ascii="宋体" w:hAnsi="宋体"/>
          <w:kern w:val="44"/>
        </w:rPr>
        <w:t>任何单位和个人都有权向规划行政主管部门、市人民政府确定的有关执法部门或者机构、乡镇人民政府或者其他有关部门举报或者控告违反城乡规划的行为。规划行政主管部门和其他有关部门应当及时受理并组织核查、处理。</w:t>
      </w:r>
    </w:p>
    <w:p w14:paraId="01AC05BC">
      <w:pPr>
        <w:jc w:val="left"/>
        <w:rPr>
          <w:rFonts w:ascii="宋体" w:hAnsi="宋体"/>
          <w:kern w:val="44"/>
        </w:rPr>
      </w:pPr>
    </w:p>
    <w:p w14:paraId="3C6219FD">
      <w:pPr>
        <w:ind w:firstLine="0" w:firstLineChars="0"/>
        <w:jc w:val="center"/>
        <w:rPr>
          <w:rFonts w:ascii="宋体" w:hAnsi="宋体"/>
          <w:b/>
          <w:kern w:val="44"/>
          <w:sz w:val="28"/>
        </w:rPr>
      </w:pPr>
      <w:r>
        <w:rPr>
          <w:rFonts w:hint="eastAsia" w:ascii="宋体" w:hAnsi="宋体"/>
          <w:b/>
          <w:kern w:val="44"/>
          <w:sz w:val="28"/>
        </w:rPr>
        <w:t>第二章　城乡规划的制定</w:t>
      </w:r>
    </w:p>
    <w:p w14:paraId="2240E3A7">
      <w:pPr>
        <w:jc w:val="left"/>
        <w:rPr>
          <w:rFonts w:ascii="宋体" w:hAnsi="宋体"/>
          <w:kern w:val="44"/>
        </w:rPr>
      </w:pPr>
    </w:p>
    <w:p w14:paraId="0C0091DB">
      <w:pPr>
        <w:ind w:firstLine="422"/>
        <w:jc w:val="left"/>
        <w:rPr>
          <w:rFonts w:ascii="宋体" w:hAnsi="宋体"/>
          <w:kern w:val="44"/>
        </w:rPr>
      </w:pPr>
      <w:r>
        <w:rPr>
          <w:rFonts w:hint="eastAsia" w:ascii="宋体" w:hAnsi="宋体"/>
          <w:b/>
          <w:kern w:val="44"/>
        </w:rPr>
        <w:t>第十二条</w:t>
      </w:r>
      <w:r>
        <w:rPr>
          <w:rFonts w:hint="eastAsia" w:ascii="宋体" w:hAnsi="宋体"/>
          <w:kern w:val="44"/>
        </w:rPr>
        <w:t>　制定城乡规划应当科学预测城乡发展，正确处理近期建设和远景发展、局部利益和整体利益、经济发展和生态环境保护的关系，实现城乡统一规划、区域协调发展。</w:t>
      </w:r>
    </w:p>
    <w:p w14:paraId="500DE1B8">
      <w:pPr>
        <w:ind w:firstLine="422"/>
        <w:jc w:val="left"/>
        <w:rPr>
          <w:rFonts w:ascii="宋体" w:hAnsi="宋体"/>
          <w:kern w:val="44"/>
        </w:rPr>
      </w:pPr>
      <w:r>
        <w:rPr>
          <w:rFonts w:hint="eastAsia" w:ascii="宋体" w:hAnsi="宋体"/>
          <w:b/>
          <w:kern w:val="44"/>
        </w:rPr>
        <w:t>第十三条</w:t>
      </w:r>
      <w:r>
        <w:rPr>
          <w:rFonts w:hint="eastAsia" w:ascii="宋体" w:hAnsi="宋体"/>
          <w:kern w:val="44"/>
        </w:rPr>
        <w:t>　本市应当有计划地组织编制城乡规划。</w:t>
      </w:r>
    </w:p>
    <w:p w14:paraId="7F442A66">
      <w:pPr>
        <w:jc w:val="left"/>
        <w:rPr>
          <w:rFonts w:ascii="宋体" w:hAnsi="宋体"/>
          <w:kern w:val="44"/>
        </w:rPr>
      </w:pPr>
      <w:r>
        <w:rPr>
          <w:rFonts w:hint="eastAsia" w:ascii="宋体" w:hAnsi="宋体"/>
          <w:kern w:val="44"/>
        </w:rPr>
        <w:t>各类城乡规划应当在上层次城乡规划的基础上编制。在城市总体规划的基础上编制中心城和新城的规划；在中心城和新城规划的基础上编制乡和镇的规划；在乡和镇规划的基础上编制村庄规划；在相关城乡规划的基础上，根据需要编制特定地区的规划和专项规划，补充、深化有关内容，与控制性详细规划相衔接。</w:t>
      </w:r>
    </w:p>
    <w:p w14:paraId="69F5359A">
      <w:pPr>
        <w:jc w:val="left"/>
        <w:rPr>
          <w:rFonts w:ascii="宋体" w:hAnsi="宋体"/>
          <w:kern w:val="44"/>
        </w:rPr>
      </w:pPr>
      <w:r>
        <w:rPr>
          <w:rFonts w:hint="eastAsia" w:ascii="宋体" w:hAnsi="宋体"/>
          <w:kern w:val="44"/>
        </w:rPr>
        <w:t>中心城和新城、乡和镇应当编制总体规划和控制性详细规划。在控制性详细规划的基础上，可以根据规划实施的需要编制修建性详细规划。</w:t>
      </w:r>
    </w:p>
    <w:p w14:paraId="6523A9C8">
      <w:pPr>
        <w:ind w:firstLine="422"/>
        <w:jc w:val="left"/>
        <w:rPr>
          <w:rFonts w:ascii="宋体" w:hAnsi="宋体"/>
          <w:kern w:val="44"/>
        </w:rPr>
      </w:pPr>
      <w:r>
        <w:rPr>
          <w:rFonts w:hint="eastAsia" w:ascii="宋体" w:hAnsi="宋体"/>
          <w:b/>
          <w:kern w:val="44"/>
        </w:rPr>
        <w:t>第十四条</w:t>
      </w:r>
      <w:r>
        <w:rPr>
          <w:rFonts w:hint="eastAsia" w:ascii="宋体" w:hAnsi="宋体"/>
          <w:kern w:val="44"/>
        </w:rPr>
        <w:t>　编制城乡规划应当遵守法律、法规、规章以及国家和本市的技术标准和规范，坚持政府组织、专家领衔、部门合作、公众参与、科学决策。</w:t>
      </w:r>
    </w:p>
    <w:p w14:paraId="35943FC2">
      <w:pPr>
        <w:jc w:val="left"/>
        <w:rPr>
          <w:rFonts w:ascii="宋体" w:hAnsi="宋体"/>
          <w:kern w:val="44"/>
        </w:rPr>
      </w:pPr>
      <w:r>
        <w:rPr>
          <w:rFonts w:hint="eastAsia" w:ascii="宋体" w:hAnsi="宋体"/>
          <w:kern w:val="44"/>
        </w:rPr>
        <w:t>城乡规划中涉及资源与环境保护、区域统筹与城乡统筹、城市发展目标与空间布局、历史文化遗产保护等重大专题的，应当组织相关领域的专家进行研究。</w:t>
      </w:r>
    </w:p>
    <w:p w14:paraId="04D4B563">
      <w:pPr>
        <w:jc w:val="left"/>
        <w:rPr>
          <w:rFonts w:ascii="宋体" w:hAnsi="宋体"/>
          <w:kern w:val="44"/>
        </w:rPr>
      </w:pPr>
      <w:r>
        <w:rPr>
          <w:rFonts w:hint="eastAsia" w:ascii="宋体" w:hAnsi="宋体"/>
          <w:kern w:val="44"/>
        </w:rPr>
        <w:t>规划的组织编制机关应当依法征求专家和公众的意见，可以采取论证会、听证会、座谈会、公示等多种形式，并在报送审批的材料中附意见采纳情况及理由。</w:t>
      </w:r>
    </w:p>
    <w:p w14:paraId="321F17D6">
      <w:pPr>
        <w:jc w:val="left"/>
        <w:rPr>
          <w:rFonts w:ascii="宋体" w:hAnsi="宋体"/>
          <w:kern w:val="44"/>
        </w:rPr>
      </w:pPr>
      <w:r>
        <w:rPr>
          <w:rFonts w:hint="eastAsia" w:ascii="宋体" w:hAnsi="宋体"/>
          <w:kern w:val="44"/>
        </w:rPr>
        <w:t>城乡规划在报送审批前，组织编制机关应当依法将城乡规划草案予以公告，公告的时间不得少于30日。</w:t>
      </w:r>
    </w:p>
    <w:p w14:paraId="309EDB05">
      <w:pPr>
        <w:jc w:val="left"/>
        <w:rPr>
          <w:rFonts w:ascii="宋体" w:hAnsi="宋体"/>
          <w:kern w:val="44"/>
        </w:rPr>
      </w:pPr>
      <w:r>
        <w:rPr>
          <w:rFonts w:hint="eastAsia" w:ascii="宋体" w:hAnsi="宋体"/>
          <w:kern w:val="44"/>
        </w:rPr>
        <w:t>相关部门和单位应当积极配合城乡规划的编制工作，按照规定提交相关材料，说明现状情况和发展需求。</w:t>
      </w:r>
    </w:p>
    <w:p w14:paraId="54DCCEF1">
      <w:pPr>
        <w:ind w:firstLine="422"/>
        <w:jc w:val="left"/>
        <w:rPr>
          <w:rFonts w:ascii="宋体" w:hAnsi="宋体"/>
          <w:kern w:val="44"/>
        </w:rPr>
      </w:pPr>
      <w:r>
        <w:rPr>
          <w:rFonts w:hint="eastAsia" w:ascii="宋体" w:hAnsi="宋体"/>
          <w:b/>
          <w:kern w:val="44"/>
        </w:rPr>
        <w:t>第十五条</w:t>
      </w:r>
      <w:r>
        <w:rPr>
          <w:rFonts w:hint="eastAsia" w:ascii="宋体" w:hAnsi="宋体"/>
          <w:kern w:val="44"/>
        </w:rPr>
        <w:t>　城乡规划按照以下规定组织编制：</w:t>
      </w:r>
    </w:p>
    <w:p w14:paraId="083868AF">
      <w:pPr>
        <w:jc w:val="left"/>
        <w:rPr>
          <w:rFonts w:ascii="宋体" w:hAnsi="宋体"/>
          <w:kern w:val="44"/>
        </w:rPr>
      </w:pPr>
      <w:r>
        <w:rPr>
          <w:rFonts w:hint="eastAsia" w:ascii="宋体" w:hAnsi="宋体"/>
          <w:kern w:val="44"/>
        </w:rPr>
        <w:t>（一）城市总体规划由市人民政府组织编制；</w:t>
      </w:r>
    </w:p>
    <w:p w14:paraId="18BA6E40">
      <w:pPr>
        <w:jc w:val="left"/>
        <w:rPr>
          <w:rFonts w:ascii="宋体" w:hAnsi="宋体"/>
          <w:kern w:val="44"/>
        </w:rPr>
      </w:pPr>
      <w:r>
        <w:rPr>
          <w:rFonts w:hint="eastAsia" w:ascii="宋体" w:hAnsi="宋体"/>
          <w:kern w:val="44"/>
        </w:rPr>
        <w:t>（二）中心城、新城总体规划和控制性详细规划由市规划行政主管部门会同相关区、县人民政府组织编制；</w:t>
      </w:r>
    </w:p>
    <w:p w14:paraId="7506E7D8">
      <w:pPr>
        <w:jc w:val="left"/>
        <w:rPr>
          <w:rFonts w:ascii="宋体" w:hAnsi="宋体"/>
          <w:kern w:val="44"/>
        </w:rPr>
      </w:pPr>
      <w:r>
        <w:rPr>
          <w:rFonts w:hint="eastAsia" w:ascii="宋体" w:hAnsi="宋体"/>
          <w:kern w:val="44"/>
        </w:rPr>
        <w:t>（三）乡、镇总体规划和控制性详细规划由所在区、县人民政府组织编制，乡、镇人民政府按照区、县人民政府的要求负责具体工作；</w:t>
      </w:r>
    </w:p>
    <w:p w14:paraId="6A610AE4">
      <w:pPr>
        <w:jc w:val="left"/>
        <w:rPr>
          <w:rFonts w:ascii="宋体" w:hAnsi="宋体"/>
          <w:kern w:val="44"/>
        </w:rPr>
      </w:pPr>
      <w:r>
        <w:rPr>
          <w:rFonts w:hint="eastAsia" w:ascii="宋体" w:hAnsi="宋体"/>
          <w:kern w:val="44"/>
        </w:rPr>
        <w:t>（四）村庄规划由所在乡、镇人民政府组织编制；</w:t>
      </w:r>
    </w:p>
    <w:p w14:paraId="27DC2A63">
      <w:pPr>
        <w:jc w:val="left"/>
        <w:rPr>
          <w:rFonts w:ascii="宋体" w:hAnsi="宋体"/>
          <w:kern w:val="44"/>
        </w:rPr>
      </w:pPr>
      <w:r>
        <w:rPr>
          <w:rFonts w:hint="eastAsia" w:ascii="宋体" w:hAnsi="宋体"/>
          <w:kern w:val="44"/>
        </w:rPr>
        <w:t>（五）特定地区规划由所在区、县人民政府或者市规划行政主管部门组织编制；</w:t>
      </w:r>
    </w:p>
    <w:p w14:paraId="5057E45B">
      <w:pPr>
        <w:jc w:val="left"/>
        <w:rPr>
          <w:rFonts w:ascii="宋体" w:hAnsi="宋体"/>
          <w:kern w:val="44"/>
        </w:rPr>
      </w:pPr>
      <w:r>
        <w:rPr>
          <w:rFonts w:hint="eastAsia" w:ascii="宋体" w:hAnsi="宋体"/>
          <w:kern w:val="44"/>
        </w:rPr>
        <w:t>（六）专项规划由相关行政主管部门或者市规划行政主管部门组织编制。</w:t>
      </w:r>
    </w:p>
    <w:p w14:paraId="27DDFCAA">
      <w:pPr>
        <w:ind w:firstLine="422"/>
        <w:jc w:val="left"/>
        <w:rPr>
          <w:rFonts w:ascii="宋体" w:hAnsi="宋体"/>
          <w:kern w:val="44"/>
        </w:rPr>
      </w:pPr>
      <w:r>
        <w:rPr>
          <w:rFonts w:hint="eastAsia" w:ascii="宋体" w:hAnsi="宋体"/>
          <w:b/>
          <w:kern w:val="44"/>
        </w:rPr>
        <w:t>第十六条</w:t>
      </w:r>
      <w:r>
        <w:rPr>
          <w:rFonts w:hint="eastAsia" w:ascii="宋体" w:hAnsi="宋体"/>
          <w:kern w:val="44"/>
        </w:rPr>
        <w:t>　城市总体规划在报送审批前应当先经市人民代表大会常务委员会审议，新城总体规划在报送审批前应当先经区、县人民代表大会常务委员会审议，乡、镇总体规划在报送审批前应当先经乡、镇人民代表大会审议。常务委员会组成人员或者代表的审议意见交由本级人民政府研究处理。</w:t>
      </w:r>
    </w:p>
    <w:p w14:paraId="6512F512">
      <w:pPr>
        <w:jc w:val="left"/>
        <w:rPr>
          <w:rFonts w:ascii="宋体" w:hAnsi="宋体"/>
          <w:kern w:val="44"/>
        </w:rPr>
      </w:pPr>
      <w:r>
        <w:rPr>
          <w:rFonts w:hint="eastAsia" w:ascii="宋体" w:hAnsi="宋体"/>
          <w:kern w:val="44"/>
        </w:rPr>
        <w:t>规划的组织编制机关报送审批总体规划，应当将审议意见和根据审议意见修改规划的情况随相关城乡规划一并报送。</w:t>
      </w:r>
    </w:p>
    <w:p w14:paraId="4F4D4F22">
      <w:pPr>
        <w:jc w:val="left"/>
        <w:rPr>
          <w:rFonts w:ascii="宋体" w:hAnsi="宋体"/>
          <w:kern w:val="44"/>
        </w:rPr>
      </w:pPr>
      <w:r>
        <w:rPr>
          <w:rFonts w:hint="eastAsia" w:ascii="宋体" w:hAnsi="宋体"/>
          <w:kern w:val="44"/>
        </w:rPr>
        <w:t>村庄规划在报送审批前应当依法经村民会议或者村民代表会议讨论同意。</w:t>
      </w:r>
    </w:p>
    <w:p w14:paraId="01EA0F8C">
      <w:pPr>
        <w:ind w:firstLine="422"/>
        <w:jc w:val="left"/>
        <w:rPr>
          <w:rFonts w:ascii="宋体" w:hAnsi="宋体"/>
          <w:kern w:val="44"/>
        </w:rPr>
      </w:pPr>
      <w:r>
        <w:rPr>
          <w:rFonts w:hint="eastAsia" w:ascii="宋体" w:hAnsi="宋体"/>
          <w:b/>
          <w:kern w:val="44"/>
        </w:rPr>
        <w:t>第十七条</w:t>
      </w:r>
      <w:r>
        <w:rPr>
          <w:rFonts w:hint="eastAsia" w:ascii="宋体" w:hAnsi="宋体"/>
          <w:kern w:val="44"/>
        </w:rPr>
        <w:t>　城乡规划按照以下规定进行审批和备案：</w:t>
      </w:r>
    </w:p>
    <w:p w14:paraId="5481B408">
      <w:pPr>
        <w:jc w:val="left"/>
        <w:rPr>
          <w:rFonts w:ascii="宋体" w:hAnsi="宋体"/>
          <w:kern w:val="44"/>
        </w:rPr>
      </w:pPr>
      <w:r>
        <w:rPr>
          <w:rFonts w:hint="eastAsia" w:ascii="宋体" w:hAnsi="宋体"/>
          <w:kern w:val="44"/>
        </w:rPr>
        <w:t>（一）城市总体规划报国务院审批；</w:t>
      </w:r>
    </w:p>
    <w:p w14:paraId="66681E7F">
      <w:pPr>
        <w:jc w:val="left"/>
        <w:rPr>
          <w:rFonts w:ascii="宋体" w:hAnsi="宋体"/>
          <w:kern w:val="44"/>
        </w:rPr>
      </w:pPr>
      <w:r>
        <w:rPr>
          <w:rFonts w:hint="eastAsia" w:ascii="宋体" w:hAnsi="宋体"/>
          <w:kern w:val="44"/>
        </w:rPr>
        <w:t>（二）中心城总体规划和控制性详细规划报市人民政府审批；经审批后，报市人民代表大会常务委员会备案；</w:t>
      </w:r>
    </w:p>
    <w:p w14:paraId="2ABE56B5">
      <w:pPr>
        <w:jc w:val="left"/>
        <w:rPr>
          <w:rFonts w:ascii="宋体" w:hAnsi="宋体"/>
          <w:kern w:val="44"/>
        </w:rPr>
      </w:pPr>
      <w:r>
        <w:rPr>
          <w:rFonts w:hint="eastAsia" w:ascii="宋体" w:hAnsi="宋体"/>
          <w:kern w:val="44"/>
        </w:rPr>
        <w:t>（三）新城总体规划和控制性详细规划报市人民政府审批；新城控制性详细规划经审批后报市人民代表大会常务委员会备案；</w:t>
      </w:r>
    </w:p>
    <w:p w14:paraId="5DADFB7B">
      <w:pPr>
        <w:jc w:val="left"/>
        <w:rPr>
          <w:rFonts w:ascii="宋体" w:hAnsi="宋体"/>
          <w:kern w:val="44"/>
        </w:rPr>
      </w:pPr>
      <w:r>
        <w:rPr>
          <w:rFonts w:hint="eastAsia" w:ascii="宋体" w:hAnsi="宋体"/>
          <w:kern w:val="44"/>
        </w:rPr>
        <w:t>（四）乡、镇总体规划和控制性详细规划，市人民政府确定须报市人民政府审批的，由区、县人民政府报市规划行政主管部门审查后报市人民政府审批；其他乡、镇总体规划和控制性详细规划由区、县人民政府报市规划行政主管部门审批。乡、镇控制性详细规划经审批后报区、县人民代表大会常务委员会备案；</w:t>
      </w:r>
    </w:p>
    <w:p w14:paraId="7DDACD4D">
      <w:pPr>
        <w:jc w:val="left"/>
        <w:rPr>
          <w:rFonts w:ascii="宋体" w:hAnsi="宋体"/>
          <w:kern w:val="44"/>
        </w:rPr>
      </w:pPr>
      <w:r>
        <w:rPr>
          <w:rFonts w:hint="eastAsia" w:ascii="宋体" w:hAnsi="宋体"/>
          <w:kern w:val="44"/>
        </w:rPr>
        <w:t>（五）村庄规划经市规划行政主管部门派出机构组织审查后，报区、县人民政府审批；</w:t>
      </w:r>
    </w:p>
    <w:p w14:paraId="59921887">
      <w:pPr>
        <w:jc w:val="left"/>
        <w:rPr>
          <w:rFonts w:ascii="宋体" w:hAnsi="宋体"/>
          <w:kern w:val="44"/>
        </w:rPr>
      </w:pPr>
      <w:r>
        <w:rPr>
          <w:rFonts w:hint="eastAsia" w:ascii="宋体" w:hAnsi="宋体"/>
          <w:kern w:val="44"/>
        </w:rPr>
        <w:t>（六）特定地区规划，由市规划行政主管部门组织编制的，报市人民政府审批；由所在区、县人民政府组织编制的，重点的特定地区规划经市规划行政主管部门组织审查后报市人民政府审批，一般的特定地区规划由市规划行政主管部门审批；</w:t>
      </w:r>
    </w:p>
    <w:p w14:paraId="04E93AD3">
      <w:pPr>
        <w:jc w:val="left"/>
        <w:rPr>
          <w:rFonts w:ascii="宋体" w:hAnsi="宋体"/>
          <w:kern w:val="44"/>
        </w:rPr>
      </w:pPr>
      <w:r>
        <w:rPr>
          <w:rFonts w:hint="eastAsia" w:ascii="宋体" w:hAnsi="宋体"/>
          <w:kern w:val="44"/>
        </w:rPr>
        <w:t>（七）专项规划由市规划行政主管部门组织编制的，报市人民政府审批；由相关行政主管部门组织编制的，经市规划行政主管部门组织审查后报市人民政府审批。</w:t>
      </w:r>
    </w:p>
    <w:p w14:paraId="541F205D">
      <w:pPr>
        <w:ind w:firstLine="422"/>
        <w:jc w:val="left"/>
        <w:rPr>
          <w:rFonts w:ascii="宋体" w:hAnsi="宋体"/>
          <w:kern w:val="44"/>
        </w:rPr>
      </w:pPr>
      <w:r>
        <w:rPr>
          <w:rFonts w:hint="eastAsia" w:ascii="宋体" w:hAnsi="宋体"/>
          <w:b/>
          <w:kern w:val="44"/>
        </w:rPr>
        <w:t>第十八条</w:t>
      </w:r>
      <w:r>
        <w:rPr>
          <w:rFonts w:hint="eastAsia" w:ascii="宋体" w:hAnsi="宋体"/>
          <w:kern w:val="44"/>
        </w:rPr>
        <w:t>　经依法批准的城乡规划应当向社会公布，法律、行政法规规定不得公开的除外。</w:t>
      </w:r>
    </w:p>
    <w:p w14:paraId="63C6B103">
      <w:pPr>
        <w:ind w:firstLine="422"/>
        <w:jc w:val="left"/>
        <w:rPr>
          <w:rFonts w:ascii="宋体" w:hAnsi="宋体"/>
          <w:kern w:val="44"/>
        </w:rPr>
      </w:pPr>
      <w:r>
        <w:rPr>
          <w:rFonts w:hint="eastAsia" w:ascii="宋体" w:hAnsi="宋体"/>
          <w:b/>
          <w:kern w:val="44"/>
        </w:rPr>
        <w:t>第十九条</w:t>
      </w:r>
      <w:r>
        <w:rPr>
          <w:rFonts w:hint="eastAsia" w:ascii="宋体" w:hAnsi="宋体"/>
          <w:kern w:val="44"/>
        </w:rPr>
        <w:t>　本市应当对城乡规划进行动态评估，按照规定程序和标准补充、完善相关内容，维护城乡规划的科学性。</w:t>
      </w:r>
    </w:p>
    <w:p w14:paraId="051D6DA9">
      <w:pPr>
        <w:jc w:val="left"/>
        <w:rPr>
          <w:rFonts w:ascii="宋体" w:hAnsi="宋体"/>
          <w:kern w:val="44"/>
        </w:rPr>
      </w:pPr>
    </w:p>
    <w:p w14:paraId="400689DF">
      <w:pPr>
        <w:ind w:firstLine="0" w:firstLineChars="0"/>
        <w:jc w:val="center"/>
        <w:rPr>
          <w:rFonts w:ascii="宋体" w:hAnsi="宋体"/>
          <w:b/>
          <w:kern w:val="44"/>
          <w:sz w:val="28"/>
        </w:rPr>
      </w:pPr>
      <w:r>
        <w:rPr>
          <w:rFonts w:hint="eastAsia" w:ascii="宋体" w:hAnsi="宋体"/>
          <w:b/>
          <w:kern w:val="44"/>
          <w:sz w:val="28"/>
        </w:rPr>
        <w:t>第三章　城乡规划的实施</w:t>
      </w:r>
    </w:p>
    <w:p w14:paraId="53B03602">
      <w:pPr>
        <w:jc w:val="left"/>
        <w:rPr>
          <w:rFonts w:ascii="宋体" w:hAnsi="宋体"/>
          <w:kern w:val="44"/>
        </w:rPr>
      </w:pPr>
    </w:p>
    <w:p w14:paraId="1FD136B6">
      <w:pPr>
        <w:ind w:firstLine="422"/>
        <w:jc w:val="left"/>
        <w:rPr>
          <w:rFonts w:ascii="宋体" w:hAnsi="宋体"/>
          <w:kern w:val="44"/>
        </w:rPr>
      </w:pPr>
      <w:r>
        <w:rPr>
          <w:rFonts w:hint="eastAsia" w:ascii="宋体" w:hAnsi="宋体"/>
          <w:b/>
          <w:kern w:val="44"/>
        </w:rPr>
        <w:t>第二十条</w:t>
      </w:r>
      <w:r>
        <w:rPr>
          <w:rFonts w:hint="eastAsia" w:ascii="宋体" w:hAnsi="宋体"/>
          <w:kern w:val="44"/>
        </w:rPr>
        <w:t>　市人民政府应当根据本市经济社会发展水平，制定近期建设规划，有计划、分步骤地组织实施城乡规划，引导城市健康有序地发展。</w:t>
      </w:r>
    </w:p>
    <w:p w14:paraId="7BAB91A6">
      <w:pPr>
        <w:jc w:val="left"/>
        <w:rPr>
          <w:rFonts w:ascii="宋体" w:hAnsi="宋体"/>
          <w:kern w:val="44"/>
        </w:rPr>
      </w:pPr>
      <w:r>
        <w:rPr>
          <w:rFonts w:hint="eastAsia" w:ascii="宋体" w:hAnsi="宋体"/>
          <w:kern w:val="44"/>
        </w:rPr>
        <w:t>近期建设规划应当以城市总体规划、国民经济和社会发展规划、土地利用总体规划为依据，结合城乡发展的实际情况，确定近期控制、引导城市发展的原则、措施以及实施城市总体规划的发展重点和建设时序。</w:t>
      </w:r>
    </w:p>
    <w:p w14:paraId="019EAE36">
      <w:pPr>
        <w:ind w:firstLine="422"/>
        <w:jc w:val="left"/>
        <w:rPr>
          <w:rFonts w:ascii="宋体" w:hAnsi="宋体"/>
          <w:kern w:val="44"/>
        </w:rPr>
      </w:pPr>
      <w:r>
        <w:rPr>
          <w:rFonts w:hint="eastAsia" w:ascii="宋体" w:hAnsi="宋体"/>
          <w:b/>
          <w:kern w:val="44"/>
        </w:rPr>
        <w:t>第二十一条</w:t>
      </w:r>
      <w:r>
        <w:rPr>
          <w:rFonts w:hint="eastAsia" w:ascii="宋体" w:hAnsi="宋体"/>
          <w:kern w:val="44"/>
        </w:rPr>
        <w:t>　市规划行政主管部门应当依据近期建设规划组织编制规划年度实施计划，报市人民政府批准。</w:t>
      </w:r>
    </w:p>
    <w:p w14:paraId="000F2DAF">
      <w:pPr>
        <w:jc w:val="left"/>
        <w:rPr>
          <w:rFonts w:ascii="宋体" w:hAnsi="宋体"/>
          <w:kern w:val="44"/>
        </w:rPr>
      </w:pPr>
      <w:r>
        <w:rPr>
          <w:rFonts w:hint="eastAsia" w:ascii="宋体" w:hAnsi="宋体"/>
          <w:kern w:val="44"/>
        </w:rPr>
        <w:t>规划年度实施计划应当与年度投资计划和年度土地供应计划相衔接，明确规划年度实施的主要内容，统筹安排重点城乡基础设施、公共服务设施、公共安全设施和中低收入居民住房的建设。</w:t>
      </w:r>
    </w:p>
    <w:p w14:paraId="7CEE0C07">
      <w:pPr>
        <w:ind w:firstLine="422"/>
        <w:jc w:val="left"/>
        <w:rPr>
          <w:rFonts w:ascii="宋体" w:hAnsi="宋体"/>
          <w:kern w:val="44"/>
        </w:rPr>
      </w:pPr>
      <w:r>
        <w:rPr>
          <w:rFonts w:hint="eastAsia" w:ascii="宋体" w:hAnsi="宋体"/>
          <w:b/>
          <w:kern w:val="44"/>
        </w:rPr>
        <w:t>第二十二条</w:t>
      </w:r>
      <w:r>
        <w:rPr>
          <w:rFonts w:hint="eastAsia" w:ascii="宋体" w:hAnsi="宋体"/>
          <w:kern w:val="44"/>
        </w:rPr>
        <w:t>　区、县人民政府或者市规划行政主管部门可以依据控制性详细规划组织编制重点地区的修建性详细规划和城市设计导则，指导建设。区、县人民政府组织编制的，应当由市规划行政主管部门进行审查；市规划行政主管部门组织编制的，应当报市人民政府进行审查。</w:t>
      </w:r>
    </w:p>
    <w:p w14:paraId="3761CA90">
      <w:pPr>
        <w:ind w:firstLine="422"/>
        <w:jc w:val="left"/>
        <w:rPr>
          <w:rFonts w:ascii="宋体" w:hAnsi="宋体"/>
          <w:kern w:val="44"/>
        </w:rPr>
      </w:pPr>
      <w:r>
        <w:rPr>
          <w:rFonts w:hint="eastAsia" w:ascii="宋体" w:hAnsi="宋体"/>
          <w:b/>
          <w:kern w:val="44"/>
        </w:rPr>
        <w:t>第二十三条</w:t>
      </w:r>
      <w:r>
        <w:rPr>
          <w:rFonts w:hint="eastAsia" w:ascii="宋体" w:hAnsi="宋体"/>
          <w:kern w:val="44"/>
        </w:rPr>
        <w:t>　本市依法实行规划许可制度，各项建设用地和建设工程应当符合城乡规划，依法取得规划许可。</w:t>
      </w:r>
    </w:p>
    <w:p w14:paraId="56C07AB5">
      <w:pPr>
        <w:jc w:val="left"/>
        <w:rPr>
          <w:rFonts w:ascii="宋体" w:hAnsi="宋体"/>
          <w:kern w:val="44"/>
        </w:rPr>
      </w:pPr>
      <w:r>
        <w:rPr>
          <w:rFonts w:hint="eastAsia" w:ascii="宋体" w:hAnsi="宋体"/>
          <w:kern w:val="44"/>
        </w:rPr>
        <w:t>规划许可证件包括选址意见书，建设用地规划许可证、建设工程规划许可证、乡村建设规划许可证和相应的临时规划许可证。</w:t>
      </w:r>
    </w:p>
    <w:p w14:paraId="3301B2EA">
      <w:pPr>
        <w:jc w:val="left"/>
        <w:rPr>
          <w:rFonts w:ascii="宋体" w:hAnsi="宋体"/>
          <w:kern w:val="44"/>
        </w:rPr>
      </w:pPr>
      <w:r>
        <w:rPr>
          <w:rFonts w:hint="eastAsia" w:ascii="宋体" w:hAnsi="宋体"/>
          <w:kern w:val="44"/>
        </w:rPr>
        <w:t>城镇建设项目应当按照建设工程规划许可证或者临时建设工程规划许可证的许可内容进行建设；农村建设项目应当按照乡村建设规划许可证或者临时乡村建设规划许可证的许可内容进行建设。</w:t>
      </w:r>
    </w:p>
    <w:p w14:paraId="49E9A638">
      <w:pPr>
        <w:ind w:firstLine="422"/>
        <w:jc w:val="left"/>
        <w:rPr>
          <w:rFonts w:ascii="宋体" w:hAnsi="宋体"/>
          <w:kern w:val="44"/>
        </w:rPr>
      </w:pPr>
      <w:r>
        <w:rPr>
          <w:rFonts w:hint="eastAsia" w:ascii="宋体" w:hAnsi="宋体"/>
          <w:b/>
          <w:kern w:val="44"/>
        </w:rPr>
        <w:t>第二十四条</w:t>
      </w:r>
      <w:r>
        <w:rPr>
          <w:rFonts w:hint="eastAsia" w:ascii="宋体" w:hAnsi="宋体"/>
          <w:kern w:val="44"/>
        </w:rPr>
        <w:t>　依法拥有土地使用权的单位或者个人，可以持土地使用证或者相关权属证明文件向规划行政主管部门了解规划条件。现状用地性质与土地使用证或者相关权属证明文件登记的用途以及规划用地性质相符的，可以按照自有用地申请建设。</w:t>
      </w:r>
    </w:p>
    <w:p w14:paraId="5264289E">
      <w:pPr>
        <w:jc w:val="left"/>
        <w:rPr>
          <w:rFonts w:ascii="宋体" w:hAnsi="宋体"/>
          <w:kern w:val="44"/>
        </w:rPr>
      </w:pPr>
      <w:r>
        <w:rPr>
          <w:rFonts w:hint="eastAsia" w:ascii="宋体" w:hAnsi="宋体"/>
          <w:kern w:val="44"/>
        </w:rPr>
        <w:t>依法拥有土地使用权但不符合第一款规定情形，申请进行建设的，应当按照城乡规划、土地管理和建设主体资质管理的有关规定办理。</w:t>
      </w:r>
    </w:p>
    <w:p w14:paraId="1D2D822D">
      <w:pPr>
        <w:ind w:firstLine="422"/>
        <w:jc w:val="left"/>
        <w:rPr>
          <w:rFonts w:ascii="宋体" w:hAnsi="宋体"/>
          <w:kern w:val="44"/>
        </w:rPr>
      </w:pPr>
      <w:r>
        <w:rPr>
          <w:rFonts w:hint="eastAsia" w:ascii="宋体" w:hAnsi="宋体"/>
          <w:b/>
          <w:kern w:val="44"/>
        </w:rPr>
        <w:t>第二十五条</w:t>
      </w:r>
      <w:r>
        <w:rPr>
          <w:rFonts w:hint="eastAsia" w:ascii="宋体" w:hAnsi="宋体"/>
          <w:kern w:val="44"/>
        </w:rPr>
        <w:t>　规划条件应当依据控制性详细规划或者村庄规划提出，并且符合法律、法规、规章的规定和规划管理有关技术规定。</w:t>
      </w:r>
    </w:p>
    <w:p w14:paraId="3F8C52AD">
      <w:pPr>
        <w:ind w:firstLine="422"/>
        <w:jc w:val="left"/>
        <w:rPr>
          <w:rFonts w:ascii="宋体" w:hAnsi="宋体"/>
          <w:kern w:val="44"/>
        </w:rPr>
      </w:pPr>
      <w:r>
        <w:rPr>
          <w:rFonts w:hint="eastAsia" w:ascii="宋体" w:hAnsi="宋体"/>
          <w:b/>
          <w:kern w:val="44"/>
        </w:rPr>
        <w:t>第二十六条</w:t>
      </w:r>
      <w:r>
        <w:rPr>
          <w:rFonts w:hint="eastAsia" w:ascii="宋体" w:hAnsi="宋体"/>
          <w:kern w:val="44"/>
        </w:rPr>
        <w:t>　城镇居住建设项目的规划条件应当明确同步建设的基础设施、公共服务设施及其具体建设时序，并作为国有土地使用权出让合同的内容或者划拨土地的依据。</w:t>
      </w:r>
    </w:p>
    <w:p w14:paraId="188F7802">
      <w:pPr>
        <w:jc w:val="left"/>
        <w:rPr>
          <w:rFonts w:ascii="宋体" w:hAnsi="宋体"/>
          <w:kern w:val="44"/>
        </w:rPr>
      </w:pPr>
      <w:r>
        <w:rPr>
          <w:rFonts w:hint="eastAsia" w:ascii="宋体" w:hAnsi="宋体"/>
          <w:kern w:val="44"/>
        </w:rPr>
        <w:t>城镇居住建设项目的建设单位应当按照国有土地使用权出让合同或者划拨文件的规定同步建设基础设施、公共服务设施。</w:t>
      </w:r>
    </w:p>
    <w:p w14:paraId="0125974A">
      <w:pPr>
        <w:ind w:firstLine="422"/>
        <w:jc w:val="left"/>
        <w:rPr>
          <w:rFonts w:ascii="宋体" w:hAnsi="宋体"/>
          <w:kern w:val="44"/>
        </w:rPr>
      </w:pPr>
      <w:r>
        <w:rPr>
          <w:rFonts w:hint="eastAsia" w:ascii="宋体" w:hAnsi="宋体"/>
          <w:b/>
          <w:kern w:val="44"/>
        </w:rPr>
        <w:t>第二十七条</w:t>
      </w:r>
      <w:r>
        <w:rPr>
          <w:rFonts w:hint="eastAsia" w:ascii="宋体" w:hAnsi="宋体"/>
          <w:kern w:val="44"/>
        </w:rPr>
        <w:t>　建设单位根据规划条件委托编制用地权属范围内的修建性详细规划或者建设工程设计方案后，可以申请规划审查。规划行政主管部门应当依申请提供规划技术审查意见以及规划信息咨询等技术服务。</w:t>
      </w:r>
    </w:p>
    <w:p w14:paraId="23679114">
      <w:pPr>
        <w:ind w:firstLine="422"/>
        <w:jc w:val="left"/>
        <w:rPr>
          <w:rFonts w:ascii="宋体" w:hAnsi="宋体"/>
          <w:kern w:val="44"/>
        </w:rPr>
      </w:pPr>
      <w:r>
        <w:rPr>
          <w:rFonts w:hint="eastAsia" w:ascii="宋体" w:hAnsi="宋体"/>
          <w:b/>
          <w:kern w:val="44"/>
        </w:rPr>
        <w:t>第二十八条</w:t>
      </w:r>
      <w:r>
        <w:rPr>
          <w:rFonts w:hint="eastAsia" w:ascii="宋体" w:hAnsi="宋体"/>
          <w:kern w:val="44"/>
        </w:rPr>
        <w:t>　重大城乡基础设施的建设单位应当在建设工程设计方案的基础上组织编制建设工程扩大初步设计方案。</w:t>
      </w:r>
    </w:p>
    <w:p w14:paraId="75B0F3DE">
      <w:pPr>
        <w:jc w:val="left"/>
        <w:rPr>
          <w:rFonts w:ascii="宋体" w:hAnsi="宋体"/>
          <w:kern w:val="44"/>
        </w:rPr>
      </w:pPr>
      <w:r>
        <w:rPr>
          <w:rFonts w:hint="eastAsia" w:ascii="宋体" w:hAnsi="宋体"/>
          <w:kern w:val="44"/>
        </w:rPr>
        <w:t>市规划行政主管部门和市发展改革行政主管部门应当组织有关部门对重大城乡基础设施建设工程的扩大初步设计方案进行审查。</w:t>
      </w:r>
    </w:p>
    <w:p w14:paraId="5481836D">
      <w:pPr>
        <w:ind w:firstLine="422"/>
        <w:jc w:val="left"/>
        <w:rPr>
          <w:rFonts w:ascii="宋体" w:hAnsi="宋体"/>
          <w:kern w:val="44"/>
        </w:rPr>
      </w:pPr>
      <w:r>
        <w:rPr>
          <w:rFonts w:hint="eastAsia" w:ascii="宋体" w:hAnsi="宋体"/>
          <w:b/>
          <w:kern w:val="44"/>
        </w:rPr>
        <w:t>第二十九条</w:t>
      </w:r>
      <w:r>
        <w:rPr>
          <w:rFonts w:hint="eastAsia" w:ascii="宋体" w:hAnsi="宋体"/>
          <w:kern w:val="44"/>
        </w:rPr>
        <w:t>　设计单位应当按照规定的资质等级和业务范围承担设计任务。</w:t>
      </w:r>
    </w:p>
    <w:p w14:paraId="20E8EC53">
      <w:pPr>
        <w:jc w:val="left"/>
        <w:rPr>
          <w:rFonts w:ascii="宋体" w:hAnsi="宋体"/>
          <w:kern w:val="44"/>
        </w:rPr>
      </w:pPr>
      <w:r>
        <w:rPr>
          <w:rFonts w:hint="eastAsia" w:ascii="宋体" w:hAnsi="宋体"/>
          <w:kern w:val="44"/>
        </w:rPr>
        <w:t>建设工程设计方案应当依据法律、法规、规章、规划条件、国家和本市的设计规范和标准进行编制。建设工程施工图应当符合建设工程规划许可证或者乡村建设规划许可证的批准内容。</w:t>
      </w:r>
    </w:p>
    <w:p w14:paraId="61103212">
      <w:pPr>
        <w:ind w:firstLine="422"/>
        <w:jc w:val="left"/>
        <w:rPr>
          <w:rFonts w:ascii="宋体" w:hAnsi="宋体"/>
          <w:kern w:val="44"/>
        </w:rPr>
      </w:pPr>
      <w:r>
        <w:rPr>
          <w:rFonts w:hint="eastAsia" w:ascii="宋体" w:hAnsi="宋体"/>
          <w:b/>
          <w:kern w:val="44"/>
        </w:rPr>
        <w:t>第三十条</w:t>
      </w:r>
      <w:r>
        <w:rPr>
          <w:rFonts w:hint="eastAsia" w:ascii="宋体" w:hAnsi="宋体"/>
          <w:kern w:val="44"/>
        </w:rPr>
        <w:t>　建设工程沿道路、铁路、轨道交通、河道、绿化带等公共用地安排建设的，建设单位应当按照本市有关规定代征上述公共用地。</w:t>
      </w:r>
    </w:p>
    <w:p w14:paraId="2EBB2A0B">
      <w:pPr>
        <w:ind w:firstLine="422"/>
        <w:jc w:val="left"/>
        <w:rPr>
          <w:rFonts w:ascii="宋体" w:hAnsi="宋体"/>
          <w:kern w:val="44"/>
        </w:rPr>
      </w:pPr>
      <w:r>
        <w:rPr>
          <w:rFonts w:hint="eastAsia" w:ascii="宋体" w:hAnsi="宋体"/>
          <w:b/>
          <w:kern w:val="44"/>
        </w:rPr>
        <w:t>第三十一条</w:t>
      </w:r>
      <w:r>
        <w:rPr>
          <w:rFonts w:hint="eastAsia" w:ascii="宋体" w:hAnsi="宋体"/>
          <w:kern w:val="44"/>
        </w:rPr>
        <w:t>　本市土地储备机构在实施土地储备前，应当向规划行政主管部门了解相关用地的规划条件。规划行政主管部门应当提出书面规划条件，作为实施土地储备授权批准文件的组成部分。</w:t>
      </w:r>
    </w:p>
    <w:p w14:paraId="16E30904">
      <w:pPr>
        <w:jc w:val="left"/>
        <w:rPr>
          <w:rFonts w:ascii="宋体" w:hAnsi="宋体"/>
          <w:kern w:val="44"/>
        </w:rPr>
      </w:pPr>
      <w:r>
        <w:rPr>
          <w:rFonts w:hint="eastAsia" w:ascii="宋体" w:hAnsi="宋体"/>
          <w:kern w:val="44"/>
        </w:rPr>
        <w:t>承担土地储备任务的单位应当持土地储备授权批准文件向规划行政主管部门申请相关规划许可。</w:t>
      </w:r>
    </w:p>
    <w:p w14:paraId="1701E491">
      <w:pPr>
        <w:ind w:firstLine="422"/>
        <w:jc w:val="left"/>
        <w:rPr>
          <w:rFonts w:ascii="宋体" w:hAnsi="宋体"/>
          <w:kern w:val="44"/>
        </w:rPr>
      </w:pPr>
      <w:r>
        <w:rPr>
          <w:rFonts w:hint="eastAsia" w:ascii="宋体" w:hAnsi="宋体"/>
          <w:b/>
          <w:kern w:val="44"/>
        </w:rPr>
        <w:t>第三十二条</w:t>
      </w:r>
      <w:r>
        <w:rPr>
          <w:rFonts w:hint="eastAsia" w:ascii="宋体" w:hAnsi="宋体"/>
          <w:kern w:val="44"/>
        </w:rPr>
        <w:t>　按照国家规定需要有关部门批准或者核准的建设项目，以划拨方式提供国有土地使用权的，建设单位在报送有关部门批准或者核准前，应当持以下材料向规划行政主管部门申请核发选址意见书：</w:t>
      </w:r>
    </w:p>
    <w:p w14:paraId="5327D172">
      <w:pPr>
        <w:jc w:val="left"/>
        <w:rPr>
          <w:rFonts w:ascii="宋体" w:hAnsi="宋体"/>
          <w:kern w:val="44"/>
        </w:rPr>
      </w:pPr>
      <w:r>
        <w:rPr>
          <w:rFonts w:hint="eastAsia" w:ascii="宋体" w:hAnsi="宋体"/>
          <w:kern w:val="44"/>
        </w:rPr>
        <w:t>（一）包含项目性质、建设规模、选址意向等情况说明的选址申请书；</w:t>
      </w:r>
    </w:p>
    <w:p w14:paraId="0AB40CD6">
      <w:pPr>
        <w:jc w:val="left"/>
        <w:rPr>
          <w:rFonts w:ascii="宋体" w:hAnsi="宋体"/>
          <w:kern w:val="44"/>
        </w:rPr>
      </w:pPr>
      <w:r>
        <w:rPr>
          <w:rFonts w:hint="eastAsia" w:ascii="宋体" w:hAnsi="宋体"/>
          <w:kern w:val="44"/>
        </w:rPr>
        <w:t>（二）证明该建设项目属于需要有关部门批准或者核准、以划拨方式取得国有土地使用权的相关文件；</w:t>
      </w:r>
    </w:p>
    <w:p w14:paraId="7C137CCC">
      <w:pPr>
        <w:jc w:val="left"/>
        <w:rPr>
          <w:rFonts w:ascii="宋体" w:hAnsi="宋体"/>
          <w:kern w:val="44"/>
        </w:rPr>
      </w:pPr>
      <w:r>
        <w:rPr>
          <w:rFonts w:hint="eastAsia" w:ascii="宋体" w:hAnsi="宋体"/>
          <w:kern w:val="44"/>
        </w:rPr>
        <w:t>（三）有关部门同意申请单位作为项目建设主体的批准文件；</w:t>
      </w:r>
    </w:p>
    <w:p w14:paraId="525D6353">
      <w:pPr>
        <w:jc w:val="left"/>
        <w:rPr>
          <w:rFonts w:ascii="宋体" w:hAnsi="宋体"/>
          <w:kern w:val="44"/>
        </w:rPr>
      </w:pPr>
      <w:r>
        <w:rPr>
          <w:rFonts w:hint="eastAsia" w:ascii="宋体" w:hAnsi="宋体"/>
          <w:kern w:val="44"/>
        </w:rPr>
        <w:t>（四）标绘有拟建项目用地范围的规定比例尺地形图；</w:t>
      </w:r>
    </w:p>
    <w:p w14:paraId="5D24FD94">
      <w:pPr>
        <w:jc w:val="left"/>
        <w:rPr>
          <w:rFonts w:ascii="宋体" w:hAnsi="宋体"/>
          <w:kern w:val="44"/>
        </w:rPr>
      </w:pPr>
      <w:r>
        <w:rPr>
          <w:rFonts w:hint="eastAsia" w:ascii="宋体" w:hAnsi="宋体"/>
          <w:kern w:val="44"/>
        </w:rPr>
        <w:t>（五）法律、法规、规章规定的其他材料。</w:t>
      </w:r>
    </w:p>
    <w:p w14:paraId="00B500CD">
      <w:pPr>
        <w:jc w:val="left"/>
        <w:rPr>
          <w:rFonts w:ascii="宋体" w:hAnsi="宋体"/>
          <w:kern w:val="44"/>
        </w:rPr>
      </w:pPr>
      <w:r>
        <w:rPr>
          <w:rFonts w:hint="eastAsia" w:ascii="宋体" w:hAnsi="宋体"/>
          <w:kern w:val="44"/>
        </w:rPr>
        <w:t>前款规定以外的建设项目不需要申请选址意见书。</w:t>
      </w:r>
    </w:p>
    <w:p w14:paraId="7AF281B4">
      <w:pPr>
        <w:ind w:firstLine="422"/>
        <w:jc w:val="left"/>
        <w:rPr>
          <w:rFonts w:ascii="宋体" w:hAnsi="宋体"/>
          <w:kern w:val="44"/>
        </w:rPr>
      </w:pPr>
      <w:r>
        <w:rPr>
          <w:rFonts w:hint="eastAsia" w:ascii="宋体" w:hAnsi="宋体"/>
          <w:b/>
          <w:kern w:val="44"/>
        </w:rPr>
        <w:t>第三十三条</w:t>
      </w:r>
      <w:r>
        <w:rPr>
          <w:rFonts w:hint="eastAsia" w:ascii="宋体" w:hAnsi="宋体"/>
          <w:kern w:val="44"/>
        </w:rPr>
        <w:t>　建设项目选址应当节约、集约利用土地，合理、集中布局。因安全、保密、环保、卫生等原因需要与其他建设工程保持一定距离的，可以进行独立选址。</w:t>
      </w:r>
    </w:p>
    <w:p w14:paraId="56822690">
      <w:pPr>
        <w:jc w:val="left"/>
        <w:rPr>
          <w:rFonts w:ascii="宋体" w:hAnsi="宋体"/>
          <w:kern w:val="44"/>
        </w:rPr>
      </w:pPr>
      <w:r>
        <w:rPr>
          <w:rFonts w:hint="eastAsia" w:ascii="宋体" w:hAnsi="宋体"/>
          <w:kern w:val="44"/>
        </w:rPr>
        <w:t>在规划城镇建设用地范围内进行选址应当符合国有土地供应的相关规定。</w:t>
      </w:r>
    </w:p>
    <w:p w14:paraId="4A7B4F3E">
      <w:pPr>
        <w:jc w:val="left"/>
        <w:rPr>
          <w:rFonts w:ascii="宋体" w:hAnsi="宋体"/>
          <w:kern w:val="44"/>
        </w:rPr>
      </w:pPr>
      <w:r>
        <w:rPr>
          <w:rFonts w:hint="eastAsia" w:ascii="宋体" w:hAnsi="宋体"/>
          <w:kern w:val="44"/>
        </w:rPr>
        <w:t>城乡基础设施和公共安全设施因节约土地、功能需要等原因，可以结合规划道路、河道、绿化等公共用地进行安排。</w:t>
      </w:r>
    </w:p>
    <w:p w14:paraId="71C8928C">
      <w:pPr>
        <w:jc w:val="left"/>
        <w:rPr>
          <w:rFonts w:ascii="宋体" w:hAnsi="宋体"/>
          <w:kern w:val="44"/>
        </w:rPr>
      </w:pPr>
      <w:r>
        <w:rPr>
          <w:rFonts w:hint="eastAsia" w:ascii="宋体" w:hAnsi="宋体"/>
          <w:kern w:val="44"/>
        </w:rPr>
        <w:t>城乡公共服务设施确需结合规划道路、河道、绿化等公共用地进行安排的，规划行政主管部门应当报市人民政府批准。</w:t>
      </w:r>
    </w:p>
    <w:p w14:paraId="3735C448">
      <w:pPr>
        <w:ind w:firstLine="422"/>
        <w:jc w:val="left"/>
        <w:rPr>
          <w:rFonts w:ascii="宋体" w:hAnsi="宋体"/>
          <w:kern w:val="44"/>
        </w:rPr>
      </w:pPr>
      <w:r>
        <w:rPr>
          <w:rFonts w:hint="eastAsia" w:ascii="宋体" w:hAnsi="宋体"/>
          <w:b/>
          <w:kern w:val="44"/>
        </w:rPr>
        <w:t>第三十四条</w:t>
      </w:r>
      <w:r>
        <w:rPr>
          <w:rFonts w:hint="eastAsia" w:ascii="宋体" w:hAnsi="宋体"/>
          <w:kern w:val="44"/>
        </w:rPr>
        <w:t>　建设单位应当在取得选址意见书后2年内取得建设用地规划许可证；期满需要延续的，应当在期限届满30日前向规划行政主管部门提出申请，经批准可以延续1次，期限不得超过2年。未获得延续批准或者在规定的期限内未取得建设用地规划许可证的，选址意见书失效。</w:t>
      </w:r>
    </w:p>
    <w:p w14:paraId="14F33CCC">
      <w:pPr>
        <w:ind w:firstLine="422"/>
        <w:jc w:val="left"/>
        <w:rPr>
          <w:rFonts w:ascii="宋体" w:hAnsi="宋体"/>
          <w:kern w:val="44"/>
        </w:rPr>
      </w:pPr>
      <w:r>
        <w:rPr>
          <w:rFonts w:hint="eastAsia" w:ascii="宋体" w:hAnsi="宋体"/>
          <w:b/>
          <w:kern w:val="44"/>
        </w:rPr>
        <w:t>第三十五条</w:t>
      </w:r>
      <w:r>
        <w:rPr>
          <w:rFonts w:hint="eastAsia" w:ascii="宋体" w:hAnsi="宋体"/>
          <w:kern w:val="44"/>
        </w:rPr>
        <w:t>　以划拨方式提供国有土地使用权的建设项目，建设单位申请建设用地规划许可证时应当提交以下材料：</w:t>
      </w:r>
    </w:p>
    <w:p w14:paraId="7B000FA2">
      <w:pPr>
        <w:jc w:val="left"/>
        <w:rPr>
          <w:rFonts w:ascii="宋体" w:hAnsi="宋体"/>
          <w:kern w:val="44"/>
        </w:rPr>
      </w:pPr>
      <w:r>
        <w:rPr>
          <w:rFonts w:hint="eastAsia" w:ascii="宋体" w:hAnsi="宋体"/>
          <w:kern w:val="44"/>
        </w:rPr>
        <w:t>（一）选址意见书；</w:t>
      </w:r>
    </w:p>
    <w:p w14:paraId="6953BE72">
      <w:pPr>
        <w:jc w:val="left"/>
        <w:rPr>
          <w:rFonts w:ascii="宋体" w:hAnsi="宋体"/>
          <w:kern w:val="44"/>
        </w:rPr>
      </w:pPr>
      <w:r>
        <w:rPr>
          <w:rFonts w:hint="eastAsia" w:ascii="宋体" w:hAnsi="宋体"/>
          <w:kern w:val="44"/>
        </w:rPr>
        <w:t>（二）建设项目批准、核准、备案文件；</w:t>
      </w:r>
    </w:p>
    <w:p w14:paraId="22C62FFD">
      <w:pPr>
        <w:jc w:val="left"/>
        <w:rPr>
          <w:rFonts w:ascii="宋体" w:hAnsi="宋体"/>
          <w:kern w:val="44"/>
        </w:rPr>
      </w:pPr>
      <w:r>
        <w:rPr>
          <w:rFonts w:hint="eastAsia" w:ascii="宋体" w:hAnsi="宋体"/>
          <w:kern w:val="44"/>
        </w:rPr>
        <w:t>（三）测绘单位按照规划要求确定的建设用地范围成果和依成果绘制的规定比例尺地形图；</w:t>
      </w:r>
    </w:p>
    <w:p w14:paraId="7AFF5D95">
      <w:pPr>
        <w:jc w:val="left"/>
        <w:rPr>
          <w:rFonts w:ascii="宋体" w:hAnsi="宋体"/>
          <w:kern w:val="44"/>
        </w:rPr>
      </w:pPr>
      <w:r>
        <w:rPr>
          <w:rFonts w:hint="eastAsia" w:ascii="宋体" w:hAnsi="宋体"/>
          <w:kern w:val="44"/>
        </w:rPr>
        <w:t>（四）法律、法规、规章规定的其他材料。</w:t>
      </w:r>
    </w:p>
    <w:p w14:paraId="3053A93F">
      <w:pPr>
        <w:ind w:firstLine="422"/>
        <w:jc w:val="left"/>
        <w:rPr>
          <w:rFonts w:ascii="宋体" w:hAnsi="宋体"/>
          <w:kern w:val="44"/>
        </w:rPr>
      </w:pPr>
      <w:r>
        <w:rPr>
          <w:rFonts w:hint="eastAsia" w:ascii="宋体" w:hAnsi="宋体"/>
          <w:b/>
          <w:kern w:val="44"/>
        </w:rPr>
        <w:t>第三十六条</w:t>
      </w:r>
      <w:r>
        <w:rPr>
          <w:rFonts w:hint="eastAsia" w:ascii="宋体" w:hAnsi="宋体"/>
          <w:kern w:val="44"/>
        </w:rPr>
        <w:t>　以出让方式提供国有土地使用权的，规划行政主管部门应当在出让前，依据控制性详细规划提出规划条件。规划条件应当作为国有土地使用权出让合同的组成部分。</w:t>
      </w:r>
    </w:p>
    <w:p w14:paraId="41B5F168">
      <w:pPr>
        <w:ind w:firstLine="422"/>
        <w:jc w:val="left"/>
        <w:rPr>
          <w:rFonts w:ascii="宋体" w:hAnsi="宋体"/>
          <w:kern w:val="44"/>
        </w:rPr>
      </w:pPr>
      <w:r>
        <w:rPr>
          <w:rFonts w:hint="eastAsia" w:ascii="宋体" w:hAnsi="宋体"/>
          <w:b/>
          <w:kern w:val="44"/>
        </w:rPr>
        <w:t>第三十七条</w:t>
      </w:r>
      <w:r>
        <w:rPr>
          <w:rFonts w:hint="eastAsia" w:ascii="宋体" w:hAnsi="宋体"/>
          <w:kern w:val="44"/>
        </w:rPr>
        <w:t>　以出让方式提供国有土地使用权的建设项目，建设单位申请建设用地规划许可证时应当提供以下材料：</w:t>
      </w:r>
    </w:p>
    <w:p w14:paraId="5B0A7BFD">
      <w:pPr>
        <w:jc w:val="left"/>
        <w:rPr>
          <w:rFonts w:ascii="宋体" w:hAnsi="宋体"/>
          <w:kern w:val="44"/>
        </w:rPr>
      </w:pPr>
      <w:r>
        <w:rPr>
          <w:rFonts w:hint="eastAsia" w:ascii="宋体" w:hAnsi="宋体"/>
          <w:kern w:val="44"/>
        </w:rPr>
        <w:t>（一）建设项目批准、核准或者备案文件；</w:t>
      </w:r>
    </w:p>
    <w:p w14:paraId="21ED0F51">
      <w:pPr>
        <w:jc w:val="left"/>
        <w:rPr>
          <w:rFonts w:ascii="宋体" w:hAnsi="宋体"/>
          <w:kern w:val="44"/>
        </w:rPr>
      </w:pPr>
      <w:r>
        <w:rPr>
          <w:rFonts w:hint="eastAsia" w:ascii="宋体" w:hAnsi="宋体"/>
          <w:kern w:val="44"/>
        </w:rPr>
        <w:t>（二）国有土地使用权出让合同；</w:t>
      </w:r>
    </w:p>
    <w:p w14:paraId="6CF8CE0F">
      <w:pPr>
        <w:jc w:val="left"/>
        <w:rPr>
          <w:rFonts w:ascii="宋体" w:hAnsi="宋体"/>
          <w:kern w:val="44"/>
        </w:rPr>
      </w:pPr>
      <w:r>
        <w:rPr>
          <w:rFonts w:hint="eastAsia" w:ascii="宋体" w:hAnsi="宋体"/>
          <w:kern w:val="44"/>
        </w:rPr>
        <w:t>（三）测绘单位按照规划要求确定的建设用地范围成果，和依成果绘制的规定比例尺地形图；</w:t>
      </w:r>
    </w:p>
    <w:p w14:paraId="37C6966B">
      <w:pPr>
        <w:jc w:val="left"/>
        <w:rPr>
          <w:rFonts w:ascii="宋体" w:hAnsi="宋体"/>
          <w:kern w:val="44"/>
        </w:rPr>
      </w:pPr>
      <w:r>
        <w:rPr>
          <w:rFonts w:hint="eastAsia" w:ascii="宋体" w:hAnsi="宋体"/>
          <w:kern w:val="44"/>
        </w:rPr>
        <w:t>（四）法律、法规、规章规定的其他材料。</w:t>
      </w:r>
    </w:p>
    <w:p w14:paraId="0986FB03">
      <w:pPr>
        <w:ind w:firstLine="422"/>
        <w:jc w:val="left"/>
        <w:rPr>
          <w:rFonts w:ascii="宋体" w:hAnsi="宋体"/>
          <w:kern w:val="44"/>
        </w:rPr>
      </w:pPr>
      <w:r>
        <w:rPr>
          <w:rFonts w:hint="eastAsia" w:ascii="宋体" w:hAnsi="宋体"/>
          <w:b/>
          <w:kern w:val="44"/>
        </w:rPr>
        <w:t>第三十八条</w:t>
      </w:r>
      <w:r>
        <w:rPr>
          <w:rFonts w:hint="eastAsia" w:ascii="宋体" w:hAnsi="宋体"/>
          <w:kern w:val="44"/>
        </w:rPr>
        <w:t>　建设单位应当在取得建设用地规划许可证后2年内取得土地行政主管部门批准用地文件；需要延续的，应当在期限届满30日前向规划行政主管部门提出申请，经批准可以延续1次，期限不得超过2年。未获得延续批准或者在规定的期限内未取得批准用地文件的，建设用地规划许可证失效。</w:t>
      </w:r>
    </w:p>
    <w:p w14:paraId="4FEBDFC7">
      <w:pPr>
        <w:ind w:firstLine="422"/>
        <w:jc w:val="left"/>
        <w:rPr>
          <w:rFonts w:ascii="宋体" w:hAnsi="宋体"/>
          <w:kern w:val="44"/>
        </w:rPr>
      </w:pPr>
      <w:r>
        <w:rPr>
          <w:rFonts w:hint="eastAsia" w:ascii="宋体" w:hAnsi="宋体"/>
          <w:b/>
          <w:kern w:val="44"/>
        </w:rPr>
        <w:t>第三十九条</w:t>
      </w:r>
      <w:r>
        <w:rPr>
          <w:rFonts w:hint="eastAsia" w:ascii="宋体" w:hAnsi="宋体"/>
          <w:kern w:val="44"/>
        </w:rPr>
        <w:t>　建设单位进行城镇建设工程建设的，应当持以下材料向规划行政主管部门申请建设工程规划许可证：</w:t>
      </w:r>
    </w:p>
    <w:p w14:paraId="0D0C5393">
      <w:pPr>
        <w:jc w:val="left"/>
        <w:rPr>
          <w:rFonts w:ascii="宋体" w:hAnsi="宋体"/>
          <w:kern w:val="44"/>
        </w:rPr>
      </w:pPr>
      <w:r>
        <w:rPr>
          <w:rFonts w:hint="eastAsia" w:ascii="宋体" w:hAnsi="宋体"/>
          <w:kern w:val="44"/>
        </w:rPr>
        <w:t>（一）使用土地的有关证明文件；</w:t>
      </w:r>
    </w:p>
    <w:p w14:paraId="29B15F20">
      <w:pPr>
        <w:jc w:val="left"/>
        <w:rPr>
          <w:rFonts w:ascii="宋体" w:hAnsi="宋体"/>
          <w:kern w:val="44"/>
        </w:rPr>
      </w:pPr>
      <w:r>
        <w:rPr>
          <w:rFonts w:hint="eastAsia" w:ascii="宋体" w:hAnsi="宋体"/>
          <w:kern w:val="44"/>
        </w:rPr>
        <w:t>（二）建设项目批准、核准、备案文件或者相关文件；</w:t>
      </w:r>
    </w:p>
    <w:p w14:paraId="38F4E061">
      <w:pPr>
        <w:jc w:val="left"/>
        <w:rPr>
          <w:rFonts w:ascii="宋体" w:hAnsi="宋体"/>
          <w:kern w:val="44"/>
        </w:rPr>
      </w:pPr>
      <w:r>
        <w:rPr>
          <w:rFonts w:hint="eastAsia" w:ascii="宋体" w:hAnsi="宋体"/>
          <w:kern w:val="44"/>
        </w:rPr>
        <w:t>（三）建设工程设计方案等材料，重大城乡基础设施项目应当提交经过审查的建设工程扩大初步设计方案，需要建设单位编制修建性详细规划的建设项目，还应当提交修建性详细规划；</w:t>
      </w:r>
    </w:p>
    <w:p w14:paraId="05958AE4">
      <w:pPr>
        <w:jc w:val="left"/>
        <w:rPr>
          <w:rFonts w:ascii="宋体" w:hAnsi="宋体"/>
          <w:kern w:val="44"/>
        </w:rPr>
      </w:pPr>
      <w:r>
        <w:rPr>
          <w:rFonts w:hint="eastAsia" w:ascii="宋体" w:hAnsi="宋体"/>
          <w:kern w:val="44"/>
        </w:rPr>
        <w:t>（四）法律、法规、规章规定的其他材料。</w:t>
      </w:r>
    </w:p>
    <w:p w14:paraId="44980DDD">
      <w:pPr>
        <w:jc w:val="left"/>
        <w:rPr>
          <w:rFonts w:ascii="宋体" w:hAnsi="宋体"/>
          <w:kern w:val="44"/>
        </w:rPr>
      </w:pPr>
      <w:r>
        <w:rPr>
          <w:rFonts w:hint="eastAsia" w:ascii="宋体" w:hAnsi="宋体"/>
          <w:kern w:val="44"/>
        </w:rPr>
        <w:t>城镇居民个人申请进行建设的，按照本市有关规定执行。</w:t>
      </w:r>
    </w:p>
    <w:p w14:paraId="7AB68357">
      <w:pPr>
        <w:ind w:firstLine="422"/>
        <w:jc w:val="left"/>
        <w:rPr>
          <w:rFonts w:ascii="宋体" w:hAnsi="宋体"/>
          <w:kern w:val="44"/>
        </w:rPr>
      </w:pPr>
      <w:r>
        <w:rPr>
          <w:rFonts w:hint="eastAsia" w:ascii="宋体" w:hAnsi="宋体"/>
          <w:b/>
          <w:kern w:val="44"/>
        </w:rPr>
        <w:t>第四十条</w:t>
      </w:r>
      <w:r>
        <w:rPr>
          <w:rFonts w:hint="eastAsia" w:ascii="宋体" w:hAnsi="宋体"/>
          <w:kern w:val="44"/>
        </w:rPr>
        <w:t>　建设单位应当在取得建设工程规划许可证后2年内取得建筑工程施工许可证；期满需要延续的，应当在期限届满30日前向规划行政主管部门提出申请，经批准可以延续1次，期限不得超过2年。未获得延续批准或者在规定的期限内未取得建筑工程施工许可证的，建设工程规划许可证失效。</w:t>
      </w:r>
    </w:p>
    <w:p w14:paraId="10E68099">
      <w:pPr>
        <w:ind w:firstLine="422"/>
        <w:jc w:val="left"/>
        <w:rPr>
          <w:rFonts w:ascii="宋体" w:hAnsi="宋体"/>
          <w:kern w:val="44"/>
        </w:rPr>
      </w:pPr>
      <w:r>
        <w:rPr>
          <w:rFonts w:hint="eastAsia" w:ascii="宋体" w:hAnsi="宋体"/>
          <w:b/>
          <w:kern w:val="44"/>
        </w:rPr>
        <w:t>第四十一条</w:t>
      </w:r>
      <w:r>
        <w:rPr>
          <w:rFonts w:hint="eastAsia" w:ascii="宋体" w:hAnsi="宋体"/>
          <w:kern w:val="44"/>
        </w:rPr>
        <w:t>　在规划农村地区，建设单位或者个人进行乡镇企业、乡村公共设施、公益事业建设和村民集中住宅建设的，应当向乡镇人民政府提出申请，由乡镇人民政府报规划行政主管部门核发乡村建设规划许可证。</w:t>
      </w:r>
    </w:p>
    <w:p w14:paraId="43D2DE40">
      <w:pPr>
        <w:jc w:val="left"/>
        <w:rPr>
          <w:rFonts w:ascii="宋体" w:hAnsi="宋体"/>
          <w:kern w:val="44"/>
        </w:rPr>
      </w:pPr>
      <w:r>
        <w:rPr>
          <w:rFonts w:hint="eastAsia" w:ascii="宋体" w:hAnsi="宋体"/>
          <w:kern w:val="44"/>
        </w:rPr>
        <w:t>在规划农村地区，村民使用原有宅基地进行村民住宅建设，可以实行规划许可管理，规划许可管理应当依据村庄规划进行，管理应当与服务相结合，并发挥村民委员会的作用，具体办法由市人民政府制定。</w:t>
      </w:r>
    </w:p>
    <w:p w14:paraId="584880EE">
      <w:pPr>
        <w:jc w:val="left"/>
        <w:rPr>
          <w:rFonts w:ascii="宋体" w:hAnsi="宋体"/>
          <w:kern w:val="44"/>
        </w:rPr>
      </w:pPr>
      <w:r>
        <w:rPr>
          <w:rFonts w:hint="eastAsia" w:ascii="宋体" w:hAnsi="宋体"/>
          <w:kern w:val="44"/>
        </w:rPr>
        <w:t>进行乡镇企业、乡村公共设施、公益事业建设和村民住宅建设的，不得占用农用地；确需占用农用地的，应当依照《中华人民共和国土地管理法》有关规定办理农用地转用审批手续后，由规划行政主管部门核发乡村建设规划许可证。</w:t>
      </w:r>
    </w:p>
    <w:p w14:paraId="5CDA3ADD">
      <w:pPr>
        <w:jc w:val="left"/>
        <w:rPr>
          <w:rFonts w:ascii="宋体" w:hAnsi="宋体"/>
          <w:kern w:val="44"/>
        </w:rPr>
      </w:pPr>
      <w:r>
        <w:rPr>
          <w:rFonts w:hint="eastAsia" w:ascii="宋体" w:hAnsi="宋体"/>
          <w:kern w:val="44"/>
        </w:rPr>
        <w:t>建设单位或者个人在取得乡村建设规划许可证后，方可办理用地审批手续。</w:t>
      </w:r>
    </w:p>
    <w:p w14:paraId="05160D29">
      <w:pPr>
        <w:ind w:firstLine="422"/>
        <w:jc w:val="left"/>
        <w:rPr>
          <w:rFonts w:ascii="宋体" w:hAnsi="宋体"/>
          <w:kern w:val="44"/>
        </w:rPr>
      </w:pPr>
      <w:r>
        <w:rPr>
          <w:rFonts w:hint="eastAsia" w:ascii="宋体" w:hAnsi="宋体"/>
          <w:b/>
          <w:kern w:val="44"/>
        </w:rPr>
        <w:t>第四十二条</w:t>
      </w:r>
      <w:r>
        <w:rPr>
          <w:rFonts w:hint="eastAsia" w:ascii="宋体" w:hAnsi="宋体"/>
          <w:kern w:val="44"/>
        </w:rPr>
        <w:t>　在规划村庄以外的现状村庄，在规划实施前确需进行建设的，由规划行政主管部门根据城市发展进程和规划实施的需要核发临时乡村建设规划许可证。</w:t>
      </w:r>
    </w:p>
    <w:p w14:paraId="283576A5">
      <w:pPr>
        <w:ind w:firstLine="422"/>
        <w:jc w:val="left"/>
        <w:rPr>
          <w:rFonts w:ascii="宋体" w:hAnsi="宋体"/>
          <w:kern w:val="44"/>
        </w:rPr>
      </w:pPr>
      <w:r>
        <w:rPr>
          <w:rFonts w:hint="eastAsia" w:ascii="宋体" w:hAnsi="宋体"/>
          <w:b/>
          <w:kern w:val="44"/>
        </w:rPr>
        <w:t>第四十三条</w:t>
      </w:r>
      <w:r>
        <w:rPr>
          <w:rFonts w:hint="eastAsia" w:ascii="宋体" w:hAnsi="宋体"/>
          <w:kern w:val="44"/>
        </w:rPr>
        <w:t>　城镇建设项目因施工或者建设城乡基础设施、公共服务设施和公共安全设施需要临时占用土地或者建设临时工程的，建设单位应当向规划行政主管部门申请临时建设用地规划许可证或者临时建设工程规划许可证。</w:t>
      </w:r>
    </w:p>
    <w:p w14:paraId="38E32E3F">
      <w:pPr>
        <w:jc w:val="left"/>
        <w:rPr>
          <w:rFonts w:ascii="宋体" w:hAnsi="宋体"/>
          <w:kern w:val="44"/>
        </w:rPr>
      </w:pPr>
      <w:r>
        <w:rPr>
          <w:rFonts w:hint="eastAsia" w:ascii="宋体" w:hAnsi="宋体"/>
          <w:kern w:val="44"/>
        </w:rPr>
        <w:t>临时建设用地规划许可证和临时建设工程规划许可证的有效期不超过2年，期满需要延续的，经批准期限不得超过1年。</w:t>
      </w:r>
    </w:p>
    <w:p w14:paraId="70496886">
      <w:pPr>
        <w:jc w:val="left"/>
        <w:rPr>
          <w:rFonts w:ascii="宋体" w:hAnsi="宋体"/>
          <w:kern w:val="44"/>
        </w:rPr>
      </w:pPr>
      <w:r>
        <w:rPr>
          <w:rFonts w:hint="eastAsia" w:ascii="宋体" w:hAnsi="宋体"/>
          <w:kern w:val="44"/>
        </w:rPr>
        <w:t>因城乡建设需要或者临时使用期届满的，建设单位应当无条件拆除临时建设工程及设施。为建设主体工程申请的临时建设工程，应当在主体工程申请规划核验之前拆除。</w:t>
      </w:r>
    </w:p>
    <w:p w14:paraId="22F881D5">
      <w:pPr>
        <w:ind w:firstLine="422"/>
        <w:jc w:val="left"/>
        <w:rPr>
          <w:rFonts w:ascii="宋体" w:hAnsi="宋体"/>
          <w:kern w:val="44"/>
        </w:rPr>
      </w:pPr>
      <w:r>
        <w:rPr>
          <w:rFonts w:hint="eastAsia" w:ascii="宋体" w:hAnsi="宋体"/>
          <w:b/>
          <w:kern w:val="44"/>
        </w:rPr>
        <w:t>第四十四条</w:t>
      </w:r>
      <w:r>
        <w:rPr>
          <w:rFonts w:hint="eastAsia" w:ascii="宋体" w:hAnsi="宋体"/>
          <w:kern w:val="44"/>
        </w:rPr>
        <w:t>　规划行政主管部门应当对建设工程是否符合规划许可内容进行核验。</w:t>
      </w:r>
    </w:p>
    <w:p w14:paraId="07439899">
      <w:pPr>
        <w:jc w:val="left"/>
        <w:rPr>
          <w:rFonts w:ascii="宋体" w:hAnsi="宋体"/>
          <w:kern w:val="44"/>
        </w:rPr>
      </w:pPr>
      <w:r>
        <w:rPr>
          <w:rFonts w:hint="eastAsia" w:ascii="宋体" w:hAnsi="宋体"/>
          <w:kern w:val="44"/>
        </w:rPr>
        <w:t>未经规划核验或者经规划核验不符合规划许可内容的，建设单位不得组织竣工验收，产权登记机关不予办理产权登记手续；涉及违法建设的，按照法律和本条例有关规定处理。</w:t>
      </w:r>
    </w:p>
    <w:p w14:paraId="38C3A3A6">
      <w:pPr>
        <w:ind w:firstLine="422"/>
        <w:jc w:val="left"/>
        <w:rPr>
          <w:rFonts w:ascii="宋体" w:hAnsi="宋体"/>
          <w:kern w:val="44"/>
        </w:rPr>
      </w:pPr>
      <w:r>
        <w:rPr>
          <w:rFonts w:hint="eastAsia" w:ascii="宋体" w:hAnsi="宋体"/>
          <w:b/>
          <w:kern w:val="44"/>
        </w:rPr>
        <w:t>第四十五条</w:t>
      </w:r>
      <w:r>
        <w:rPr>
          <w:rFonts w:hint="eastAsia" w:ascii="宋体" w:hAnsi="宋体"/>
          <w:kern w:val="44"/>
        </w:rPr>
        <w:t>　建设工程竣工验收后6个月内，建设单位应当依法向城市建设档案馆移交齐全、准确的建设工程竣工档案，竣工档案中应当附有测绘单位的测量报告。</w:t>
      </w:r>
    </w:p>
    <w:p w14:paraId="31DA1A96">
      <w:pPr>
        <w:ind w:firstLine="422"/>
        <w:jc w:val="left"/>
        <w:rPr>
          <w:rFonts w:ascii="宋体" w:hAnsi="宋体"/>
          <w:kern w:val="44"/>
        </w:rPr>
      </w:pPr>
      <w:r>
        <w:rPr>
          <w:rFonts w:hint="eastAsia" w:ascii="宋体" w:hAnsi="宋体"/>
          <w:b/>
          <w:kern w:val="44"/>
        </w:rPr>
        <w:t>第四十六条</w:t>
      </w:r>
      <w:r>
        <w:rPr>
          <w:rFonts w:hint="eastAsia" w:ascii="宋体" w:hAnsi="宋体"/>
          <w:kern w:val="44"/>
        </w:rPr>
        <w:t>　规划行政主管部门核发规划许可证依据的建设项目批准文件被撤销、撤回、吊销或者土地使用权被收回的，规划行政主管部门应当注销相应的规划许可证。</w:t>
      </w:r>
    </w:p>
    <w:p w14:paraId="37EB8FB2">
      <w:pPr>
        <w:ind w:firstLine="422"/>
        <w:jc w:val="left"/>
        <w:rPr>
          <w:rFonts w:ascii="宋体" w:hAnsi="宋体"/>
          <w:kern w:val="44"/>
        </w:rPr>
      </w:pPr>
      <w:r>
        <w:rPr>
          <w:rFonts w:hint="eastAsia" w:ascii="宋体" w:hAnsi="宋体"/>
          <w:b/>
          <w:kern w:val="44"/>
        </w:rPr>
        <w:t>第四十七条</w:t>
      </w:r>
      <w:r>
        <w:rPr>
          <w:rFonts w:hint="eastAsia" w:ascii="宋体" w:hAnsi="宋体"/>
          <w:kern w:val="44"/>
        </w:rPr>
        <w:t>　房屋权属证件记载的用途应当符合建设工程规划许可证或者乡村建设规划许可证确定的使用性质；有关行政主管部门核发的与房屋用途相关的行政许可证件应当与房屋权属证件记载的用途一致。</w:t>
      </w:r>
    </w:p>
    <w:p w14:paraId="793B9A2E">
      <w:pPr>
        <w:jc w:val="left"/>
        <w:rPr>
          <w:rFonts w:ascii="宋体" w:hAnsi="宋体"/>
          <w:kern w:val="44"/>
        </w:rPr>
      </w:pPr>
      <w:r>
        <w:rPr>
          <w:rFonts w:hint="eastAsia" w:ascii="宋体" w:hAnsi="宋体"/>
          <w:kern w:val="44"/>
        </w:rPr>
        <w:t>需要改变房屋使用性质的，应当到原行政主管部门依法办理相关手续。</w:t>
      </w:r>
    </w:p>
    <w:p w14:paraId="23666D1E">
      <w:pPr>
        <w:ind w:firstLine="422"/>
        <w:jc w:val="left"/>
        <w:rPr>
          <w:rFonts w:ascii="宋体" w:hAnsi="宋体"/>
          <w:kern w:val="44"/>
        </w:rPr>
      </w:pPr>
      <w:r>
        <w:rPr>
          <w:rFonts w:hint="eastAsia" w:ascii="宋体" w:hAnsi="宋体"/>
          <w:b/>
          <w:kern w:val="44"/>
        </w:rPr>
        <w:t>第四十八条</w:t>
      </w:r>
      <w:r>
        <w:rPr>
          <w:rFonts w:hint="eastAsia" w:ascii="宋体" w:hAnsi="宋体"/>
          <w:kern w:val="44"/>
        </w:rPr>
        <w:t>　有关机构在依法处置房屋、土地权益前应当向规划行政主管部门了解有关规划情况，规划行政主管部门应当予以配合。</w:t>
      </w:r>
    </w:p>
    <w:p w14:paraId="294D95CA">
      <w:pPr>
        <w:jc w:val="left"/>
        <w:rPr>
          <w:rFonts w:ascii="宋体" w:hAnsi="宋体"/>
          <w:kern w:val="44"/>
        </w:rPr>
      </w:pPr>
    </w:p>
    <w:p w14:paraId="66647810">
      <w:pPr>
        <w:ind w:firstLine="0" w:firstLineChars="0"/>
        <w:jc w:val="center"/>
        <w:rPr>
          <w:rFonts w:ascii="宋体" w:hAnsi="宋体"/>
          <w:b/>
          <w:kern w:val="44"/>
          <w:sz w:val="28"/>
        </w:rPr>
      </w:pPr>
      <w:r>
        <w:rPr>
          <w:rFonts w:hint="eastAsia" w:ascii="宋体" w:hAnsi="宋体"/>
          <w:b/>
          <w:kern w:val="44"/>
          <w:sz w:val="28"/>
        </w:rPr>
        <w:t>第四章　城乡规划的修改</w:t>
      </w:r>
    </w:p>
    <w:p w14:paraId="39B11539">
      <w:pPr>
        <w:jc w:val="left"/>
        <w:rPr>
          <w:rFonts w:ascii="宋体" w:hAnsi="宋体"/>
          <w:kern w:val="44"/>
        </w:rPr>
      </w:pPr>
    </w:p>
    <w:p w14:paraId="25581F33">
      <w:pPr>
        <w:ind w:firstLine="422"/>
        <w:jc w:val="left"/>
        <w:rPr>
          <w:rFonts w:ascii="宋体" w:hAnsi="宋体"/>
          <w:kern w:val="44"/>
        </w:rPr>
      </w:pPr>
      <w:r>
        <w:rPr>
          <w:rFonts w:hint="eastAsia" w:ascii="宋体" w:hAnsi="宋体"/>
          <w:b/>
          <w:kern w:val="44"/>
        </w:rPr>
        <w:t>第四十九条</w:t>
      </w:r>
      <w:r>
        <w:rPr>
          <w:rFonts w:hint="eastAsia" w:ascii="宋体" w:hAnsi="宋体"/>
          <w:kern w:val="44"/>
        </w:rPr>
        <w:t>　经依法批准的城乡规划不得擅自修改。</w:t>
      </w:r>
    </w:p>
    <w:p w14:paraId="26496615">
      <w:pPr>
        <w:jc w:val="left"/>
        <w:rPr>
          <w:rFonts w:ascii="宋体" w:hAnsi="宋体"/>
          <w:kern w:val="44"/>
        </w:rPr>
      </w:pPr>
      <w:r>
        <w:rPr>
          <w:rFonts w:hint="eastAsia" w:ascii="宋体" w:hAnsi="宋体"/>
          <w:kern w:val="44"/>
        </w:rPr>
        <w:t>城市总体规划和中心城、新城、乡和镇总体规划确需修改的，应当依照法定程序和权限进行；特定地区规划、专项规划、村庄规划确需修改的，应当按照原审批程序报批。</w:t>
      </w:r>
    </w:p>
    <w:p w14:paraId="694E0A66">
      <w:pPr>
        <w:ind w:firstLine="422"/>
        <w:jc w:val="left"/>
        <w:rPr>
          <w:rFonts w:ascii="宋体" w:hAnsi="宋体"/>
          <w:kern w:val="44"/>
        </w:rPr>
      </w:pPr>
      <w:r>
        <w:rPr>
          <w:rFonts w:hint="eastAsia" w:ascii="宋体" w:hAnsi="宋体"/>
          <w:b/>
          <w:kern w:val="44"/>
        </w:rPr>
        <w:t>第五十条</w:t>
      </w:r>
      <w:r>
        <w:rPr>
          <w:rFonts w:hint="eastAsia" w:ascii="宋体" w:hAnsi="宋体"/>
          <w:kern w:val="44"/>
        </w:rPr>
        <w:t>　城市总体规划的组织编制机关，应当组织有关部门和专家每五年对总体规划的实施情况进行评估，采取论证会、听证会或者其他方式征求公众意见，形成评估报告，并将评估报告及征求意见情况报送本级人民代表大会常务委员会和原审批机关。</w:t>
      </w:r>
    </w:p>
    <w:p w14:paraId="3CC74964">
      <w:pPr>
        <w:ind w:firstLine="422"/>
        <w:jc w:val="left"/>
        <w:rPr>
          <w:rFonts w:ascii="宋体" w:hAnsi="宋体"/>
          <w:kern w:val="44"/>
        </w:rPr>
      </w:pPr>
      <w:r>
        <w:rPr>
          <w:rFonts w:hint="eastAsia" w:ascii="宋体" w:hAnsi="宋体"/>
          <w:b/>
          <w:kern w:val="44"/>
        </w:rPr>
        <w:t>第五十一条</w:t>
      </w:r>
      <w:r>
        <w:rPr>
          <w:rFonts w:hint="eastAsia" w:ascii="宋体" w:hAnsi="宋体"/>
          <w:kern w:val="44"/>
        </w:rPr>
        <w:t>　修改控制性详细规划的，组织编制机关应当对修改的必要性进行论证，征求规划地段内利害关系人的意见，并向原审批机关提出专题报告。原审批机关同意修改的，组织编制机关方可修改并依照法定程序报原审批机关审批。控制性详细规划修改涉及总体规划强制性内容的，应当先修改总体规划。</w:t>
      </w:r>
    </w:p>
    <w:p w14:paraId="3817B177">
      <w:pPr>
        <w:ind w:firstLine="422"/>
        <w:jc w:val="left"/>
        <w:rPr>
          <w:rFonts w:ascii="宋体" w:hAnsi="宋体"/>
          <w:kern w:val="44"/>
        </w:rPr>
      </w:pPr>
      <w:r>
        <w:rPr>
          <w:rFonts w:hint="eastAsia" w:ascii="宋体" w:hAnsi="宋体"/>
          <w:b/>
          <w:kern w:val="44"/>
        </w:rPr>
        <w:t>第五十二条</w:t>
      </w:r>
      <w:r>
        <w:rPr>
          <w:rFonts w:hint="eastAsia" w:ascii="宋体" w:hAnsi="宋体"/>
          <w:kern w:val="44"/>
        </w:rPr>
        <w:t>　在选址意见书、建设用地规划许可证、建设工程规划许可证或者乡村建设规划许可证发放后，因依法修改城乡规划给被许可人合法权益造成损失的，应当依法给予补偿。</w:t>
      </w:r>
    </w:p>
    <w:p w14:paraId="2F07A207">
      <w:pPr>
        <w:jc w:val="left"/>
        <w:rPr>
          <w:rFonts w:ascii="宋体" w:hAnsi="宋体"/>
          <w:kern w:val="44"/>
        </w:rPr>
      </w:pPr>
      <w:r>
        <w:rPr>
          <w:rFonts w:hint="eastAsia" w:ascii="宋体" w:hAnsi="宋体"/>
          <w:kern w:val="44"/>
        </w:rPr>
        <w:t>经依法审定的修建性详细规划、建设工程设计方案的总平面图不得随意修改；确需修改的，城乡规划主管部门应当听取利害关系人的意见；因修改给利害关系人合法权益造成损失的，应当依法给予补偿。</w:t>
      </w:r>
    </w:p>
    <w:p w14:paraId="705C21A0">
      <w:pPr>
        <w:ind w:firstLine="422"/>
        <w:jc w:val="left"/>
        <w:rPr>
          <w:rFonts w:ascii="宋体" w:hAnsi="宋体"/>
          <w:kern w:val="44"/>
        </w:rPr>
      </w:pPr>
      <w:r>
        <w:rPr>
          <w:rFonts w:hint="eastAsia" w:ascii="宋体" w:hAnsi="宋体"/>
          <w:b/>
          <w:kern w:val="44"/>
        </w:rPr>
        <w:t>第五十三条</w:t>
      </w:r>
      <w:r>
        <w:rPr>
          <w:rFonts w:hint="eastAsia" w:ascii="宋体" w:hAnsi="宋体"/>
          <w:kern w:val="44"/>
        </w:rPr>
        <w:t>　控制性详细规划、修建性详细规划、建设工程设计方案的总平面图在修改过程中，依照法律规定需要征求利害关系人意见的，可以采取听证会、论证会、座谈会、公示等多种方式。</w:t>
      </w:r>
    </w:p>
    <w:p w14:paraId="2A6D1608">
      <w:pPr>
        <w:ind w:firstLine="422"/>
        <w:jc w:val="left"/>
        <w:rPr>
          <w:rFonts w:ascii="宋体" w:hAnsi="宋体"/>
          <w:kern w:val="44"/>
        </w:rPr>
      </w:pPr>
      <w:r>
        <w:rPr>
          <w:rFonts w:hint="eastAsia" w:ascii="宋体" w:hAnsi="宋体"/>
          <w:b/>
          <w:kern w:val="44"/>
        </w:rPr>
        <w:t>第五十四条</w:t>
      </w:r>
      <w:r>
        <w:rPr>
          <w:rFonts w:hint="eastAsia" w:ascii="宋体" w:hAnsi="宋体"/>
          <w:kern w:val="44"/>
        </w:rPr>
        <w:t>　本市各类城乡规划经过修改后应当重新向社会公布。</w:t>
      </w:r>
    </w:p>
    <w:p w14:paraId="02209844">
      <w:pPr>
        <w:jc w:val="left"/>
        <w:rPr>
          <w:rFonts w:ascii="宋体" w:hAnsi="宋体"/>
          <w:kern w:val="44"/>
        </w:rPr>
      </w:pPr>
    </w:p>
    <w:p w14:paraId="2978C931">
      <w:pPr>
        <w:ind w:firstLine="0" w:firstLineChars="0"/>
        <w:jc w:val="center"/>
        <w:rPr>
          <w:rFonts w:ascii="宋体" w:hAnsi="宋体"/>
          <w:b/>
          <w:kern w:val="44"/>
          <w:sz w:val="28"/>
        </w:rPr>
      </w:pPr>
      <w:r>
        <w:rPr>
          <w:rFonts w:hint="eastAsia" w:ascii="宋体" w:hAnsi="宋体"/>
          <w:b/>
          <w:kern w:val="44"/>
          <w:sz w:val="28"/>
        </w:rPr>
        <w:t>第五章　监督检查</w:t>
      </w:r>
    </w:p>
    <w:p w14:paraId="67A657FF">
      <w:pPr>
        <w:jc w:val="left"/>
        <w:rPr>
          <w:rFonts w:ascii="宋体" w:hAnsi="宋体"/>
          <w:kern w:val="44"/>
        </w:rPr>
      </w:pPr>
    </w:p>
    <w:p w14:paraId="2A124C2E">
      <w:pPr>
        <w:ind w:firstLine="422"/>
        <w:jc w:val="left"/>
        <w:rPr>
          <w:rFonts w:ascii="宋体" w:hAnsi="宋体"/>
          <w:kern w:val="44"/>
        </w:rPr>
      </w:pPr>
      <w:r>
        <w:rPr>
          <w:rFonts w:hint="eastAsia" w:ascii="宋体" w:hAnsi="宋体"/>
          <w:b/>
          <w:kern w:val="44"/>
        </w:rPr>
        <w:t>第五十五条</w:t>
      </w:r>
      <w:r>
        <w:rPr>
          <w:rFonts w:hint="eastAsia" w:ascii="宋体" w:hAnsi="宋体"/>
          <w:kern w:val="44"/>
        </w:rPr>
        <w:t>　本市各级人民政府应当向本级人民代表大会常务委员会或者乡镇人民代表大会报告城乡规划的实施情况，并接受监督。</w:t>
      </w:r>
    </w:p>
    <w:p w14:paraId="40D9F7EF">
      <w:pPr>
        <w:ind w:firstLine="422"/>
        <w:jc w:val="left"/>
        <w:rPr>
          <w:rFonts w:ascii="宋体" w:hAnsi="宋体"/>
          <w:kern w:val="44"/>
        </w:rPr>
      </w:pPr>
      <w:r>
        <w:rPr>
          <w:rFonts w:hint="eastAsia" w:ascii="宋体" w:hAnsi="宋体"/>
          <w:b/>
          <w:kern w:val="44"/>
        </w:rPr>
        <w:t>第五十六条</w:t>
      </w:r>
      <w:r>
        <w:rPr>
          <w:rFonts w:hint="eastAsia" w:ascii="宋体" w:hAnsi="宋体"/>
          <w:kern w:val="44"/>
        </w:rPr>
        <w:t>　本市建立规划监督、行政执法、行政监察的联动机制和查处违法建设的信息共享机制，加强对城乡规划工作的监督检查和对违法建设的查处。</w:t>
      </w:r>
    </w:p>
    <w:p w14:paraId="31169DEC">
      <w:pPr>
        <w:jc w:val="left"/>
        <w:rPr>
          <w:rFonts w:ascii="宋体" w:hAnsi="宋体"/>
          <w:kern w:val="44"/>
        </w:rPr>
      </w:pPr>
      <w:r>
        <w:rPr>
          <w:rFonts w:hint="eastAsia" w:ascii="宋体" w:hAnsi="宋体"/>
          <w:kern w:val="44"/>
        </w:rPr>
        <w:t>市人民政府应当明确区县人民政府和市人民政府相关部门在规划监督检查中的具体任务和目标，加强对城乡规划监督检查工作的统筹协调。</w:t>
      </w:r>
    </w:p>
    <w:p w14:paraId="2F27004D">
      <w:pPr>
        <w:ind w:firstLine="422"/>
        <w:jc w:val="left"/>
        <w:rPr>
          <w:rFonts w:ascii="宋体" w:hAnsi="宋体"/>
          <w:kern w:val="44"/>
        </w:rPr>
      </w:pPr>
      <w:r>
        <w:rPr>
          <w:rFonts w:hint="eastAsia" w:ascii="宋体" w:hAnsi="宋体"/>
          <w:b/>
          <w:kern w:val="44"/>
        </w:rPr>
        <w:t>第五十七条</w:t>
      </w:r>
      <w:r>
        <w:rPr>
          <w:rFonts w:hint="eastAsia" w:ascii="宋体" w:hAnsi="宋体"/>
          <w:kern w:val="44"/>
        </w:rPr>
        <w:t>　本市建立控制违法建设责任制和考核评价制度。区县人民政府和乡镇人民政府负责本行政区域内控制违法建设工作。上级人民政府应当加强对下级人民政府控制违法建设落实情况的监督检查和考核评价。</w:t>
      </w:r>
    </w:p>
    <w:p w14:paraId="5794153B">
      <w:pPr>
        <w:ind w:firstLine="422"/>
        <w:jc w:val="left"/>
        <w:rPr>
          <w:rFonts w:ascii="宋体" w:hAnsi="宋体"/>
          <w:kern w:val="44"/>
        </w:rPr>
      </w:pPr>
      <w:r>
        <w:rPr>
          <w:rFonts w:hint="eastAsia" w:ascii="宋体" w:hAnsi="宋体"/>
          <w:b/>
          <w:kern w:val="44"/>
        </w:rPr>
        <w:t>第五十八条</w:t>
      </w:r>
      <w:r>
        <w:rPr>
          <w:rFonts w:hint="eastAsia" w:ascii="宋体" w:hAnsi="宋体"/>
          <w:kern w:val="44"/>
        </w:rPr>
        <w:t>　市规划行政主管部门应当制定和完善本市城乡规划编制和管理工作的有关标准、程序和要求，并加强对乡镇人民政府规划编制和管理工作的业务指导。</w:t>
      </w:r>
    </w:p>
    <w:p w14:paraId="7A6F4B2B">
      <w:pPr>
        <w:ind w:firstLine="422"/>
        <w:jc w:val="left"/>
        <w:rPr>
          <w:rFonts w:ascii="宋体" w:hAnsi="宋体"/>
          <w:kern w:val="44"/>
        </w:rPr>
      </w:pPr>
      <w:r>
        <w:rPr>
          <w:rFonts w:hint="eastAsia" w:ascii="宋体" w:hAnsi="宋体"/>
          <w:b/>
          <w:kern w:val="44"/>
        </w:rPr>
        <w:t>第五十九条</w:t>
      </w:r>
      <w:r>
        <w:rPr>
          <w:rFonts w:hint="eastAsia" w:ascii="宋体" w:hAnsi="宋体"/>
          <w:kern w:val="44"/>
        </w:rPr>
        <w:t>　规划行政主管部门应当加强对规划编制单位、设计单位与城乡规划相关活动的监督检查。</w:t>
      </w:r>
    </w:p>
    <w:p w14:paraId="34F46E3B">
      <w:pPr>
        <w:jc w:val="left"/>
        <w:rPr>
          <w:rFonts w:ascii="宋体" w:hAnsi="宋体"/>
          <w:kern w:val="44"/>
        </w:rPr>
      </w:pPr>
      <w:r>
        <w:rPr>
          <w:rFonts w:hint="eastAsia" w:ascii="宋体" w:hAnsi="宋体"/>
          <w:kern w:val="44"/>
        </w:rPr>
        <w:t>规划行政主管部门应当对建设工程进行监督检查。</w:t>
      </w:r>
    </w:p>
    <w:p w14:paraId="0B2F7D42">
      <w:pPr>
        <w:jc w:val="left"/>
        <w:rPr>
          <w:rFonts w:ascii="宋体" w:hAnsi="宋体"/>
          <w:kern w:val="44"/>
        </w:rPr>
      </w:pPr>
      <w:r>
        <w:rPr>
          <w:rFonts w:hint="eastAsia" w:ascii="宋体" w:hAnsi="宋体"/>
          <w:kern w:val="44"/>
        </w:rPr>
        <w:t>被监督检查单位和人员应当积极配合，如实报告相关情况，提供必要资料，不得妨碍和阻挠依法进行的监督检查活动。</w:t>
      </w:r>
    </w:p>
    <w:p w14:paraId="2C124D97">
      <w:pPr>
        <w:ind w:firstLine="422"/>
        <w:jc w:val="left"/>
        <w:rPr>
          <w:rFonts w:ascii="宋体" w:hAnsi="宋体"/>
          <w:kern w:val="44"/>
        </w:rPr>
      </w:pPr>
      <w:r>
        <w:rPr>
          <w:rFonts w:hint="eastAsia" w:ascii="宋体" w:hAnsi="宋体"/>
          <w:b/>
          <w:kern w:val="44"/>
        </w:rPr>
        <w:t>第六十条</w:t>
      </w:r>
      <w:r>
        <w:rPr>
          <w:rFonts w:hint="eastAsia" w:ascii="宋体" w:hAnsi="宋体"/>
          <w:kern w:val="44"/>
        </w:rPr>
        <w:t>　建设单位应当在施工现场对外公示建设工程规划许可证及附件、附图，方便公众查阅，接受社会监督。法律、行政法规规定不得公开的除外。</w:t>
      </w:r>
    </w:p>
    <w:p w14:paraId="083C95D9">
      <w:pPr>
        <w:ind w:firstLine="422"/>
        <w:jc w:val="left"/>
        <w:rPr>
          <w:rFonts w:ascii="宋体" w:hAnsi="宋体"/>
          <w:kern w:val="44"/>
        </w:rPr>
      </w:pPr>
      <w:r>
        <w:rPr>
          <w:rFonts w:hint="eastAsia" w:ascii="宋体" w:hAnsi="宋体"/>
          <w:b/>
          <w:kern w:val="44"/>
        </w:rPr>
        <w:t>第六十一条</w:t>
      </w:r>
      <w:r>
        <w:rPr>
          <w:rFonts w:hint="eastAsia" w:ascii="宋体" w:hAnsi="宋体"/>
          <w:kern w:val="44"/>
        </w:rPr>
        <w:t>　街道办事处对本辖区内违法建设的行为，应当予以制止，并配合规划行政主管部门、市人民政府确定的有关执法部门或者机构等予以处理。</w:t>
      </w:r>
    </w:p>
    <w:p w14:paraId="5DB84EAA">
      <w:pPr>
        <w:jc w:val="left"/>
        <w:rPr>
          <w:rFonts w:ascii="宋体" w:hAnsi="宋体"/>
          <w:kern w:val="44"/>
        </w:rPr>
      </w:pPr>
      <w:r>
        <w:rPr>
          <w:rFonts w:hint="eastAsia" w:ascii="宋体" w:hAnsi="宋体"/>
          <w:kern w:val="44"/>
        </w:rPr>
        <w:t>居民委员会、村民委员会、物业服务企业发现本区域内违法建设行为的，有权予以制止，并及时向规划行政主管部门、市人民政府确定的有关执法部门或者机构、乡镇人民政府报告。</w:t>
      </w:r>
    </w:p>
    <w:p w14:paraId="320261EE">
      <w:pPr>
        <w:ind w:firstLine="422"/>
        <w:jc w:val="left"/>
        <w:rPr>
          <w:rFonts w:ascii="宋体" w:hAnsi="宋体"/>
          <w:kern w:val="44"/>
        </w:rPr>
      </w:pPr>
      <w:r>
        <w:rPr>
          <w:rFonts w:hint="eastAsia" w:ascii="宋体" w:hAnsi="宋体"/>
          <w:b/>
          <w:kern w:val="44"/>
        </w:rPr>
        <w:t>第六十二条</w:t>
      </w:r>
      <w:r>
        <w:rPr>
          <w:rFonts w:hint="eastAsia" w:ascii="宋体" w:hAnsi="宋体"/>
          <w:kern w:val="44"/>
        </w:rPr>
        <w:t>　规划行政主管部门、市人民政府确定的有关执法部门或者机构、乡镇人民政府或者其他有关部门应当公布举报电话，对接到有关违法建设的举报，应当及时、完整地进行记录并妥善保存。举报事项属于本部门职责范围的，应当及时受理，并依法进行核实、处理、答复；不属于本部门职责范围的，应当转交有权处理的部门，并告知举报人。</w:t>
      </w:r>
    </w:p>
    <w:p w14:paraId="076AE4AF">
      <w:pPr>
        <w:ind w:firstLine="0" w:firstLineChars="0"/>
        <w:jc w:val="center"/>
        <w:rPr>
          <w:rFonts w:ascii="宋体" w:hAnsi="宋体"/>
          <w:b/>
          <w:kern w:val="44"/>
          <w:sz w:val="28"/>
        </w:rPr>
      </w:pPr>
      <w:r>
        <w:rPr>
          <w:rFonts w:hint="eastAsia" w:ascii="宋体" w:hAnsi="宋体"/>
          <w:b/>
          <w:kern w:val="44"/>
          <w:sz w:val="28"/>
        </w:rPr>
        <w:t>第六章　法律责任</w:t>
      </w:r>
    </w:p>
    <w:p w14:paraId="18B9F197">
      <w:pPr>
        <w:jc w:val="left"/>
        <w:rPr>
          <w:rFonts w:ascii="宋体" w:hAnsi="宋体"/>
          <w:kern w:val="44"/>
        </w:rPr>
      </w:pPr>
    </w:p>
    <w:p w14:paraId="3E209865">
      <w:pPr>
        <w:ind w:firstLine="422"/>
        <w:jc w:val="left"/>
        <w:rPr>
          <w:rFonts w:ascii="宋体" w:hAnsi="宋体"/>
          <w:kern w:val="44"/>
        </w:rPr>
      </w:pPr>
      <w:r>
        <w:rPr>
          <w:rFonts w:hint="eastAsia" w:ascii="宋体" w:hAnsi="宋体"/>
          <w:b/>
          <w:kern w:val="44"/>
        </w:rPr>
        <w:t>第六十三条</w:t>
      </w:r>
      <w:r>
        <w:rPr>
          <w:rFonts w:hint="eastAsia" w:ascii="宋体" w:hAnsi="宋体"/>
          <w:kern w:val="44"/>
        </w:rPr>
        <w:t>　对违反本条例规定的行为，法律、法规已有规定的，依照相关规定处理。</w:t>
      </w:r>
    </w:p>
    <w:p w14:paraId="7F10E453">
      <w:pPr>
        <w:ind w:firstLine="422"/>
        <w:jc w:val="left"/>
        <w:rPr>
          <w:rFonts w:ascii="宋体" w:hAnsi="宋体"/>
          <w:kern w:val="44"/>
        </w:rPr>
      </w:pPr>
      <w:r>
        <w:rPr>
          <w:rFonts w:hint="eastAsia" w:ascii="宋体" w:hAnsi="宋体"/>
          <w:b/>
          <w:kern w:val="44"/>
        </w:rPr>
        <w:t>第六十四条</w:t>
      </w:r>
      <w:r>
        <w:rPr>
          <w:rFonts w:hint="eastAsia" w:ascii="宋体" w:hAnsi="宋体"/>
          <w:kern w:val="44"/>
        </w:rPr>
        <w:t>　本市各级人民政府和规划及其他相关行政主管部门有下列行为之一的，由上级行政机关或者监察机关依法责令改正、通报批评，对直接负责的主管人员和其他直接责任人员依法给予处分：</w:t>
      </w:r>
    </w:p>
    <w:p w14:paraId="0888D1EA">
      <w:pPr>
        <w:jc w:val="left"/>
        <w:rPr>
          <w:rFonts w:ascii="宋体" w:hAnsi="宋体"/>
          <w:kern w:val="44"/>
        </w:rPr>
      </w:pPr>
      <w:r>
        <w:rPr>
          <w:rFonts w:hint="eastAsia" w:ascii="宋体" w:hAnsi="宋体"/>
          <w:kern w:val="44"/>
        </w:rPr>
        <w:t>（一）依法应当编制城乡规划而未组织编制，或者未按法定程序编制、审批、修改城乡规划的；</w:t>
      </w:r>
    </w:p>
    <w:p w14:paraId="017177F3">
      <w:pPr>
        <w:jc w:val="left"/>
        <w:rPr>
          <w:rFonts w:ascii="宋体" w:hAnsi="宋体"/>
          <w:kern w:val="44"/>
        </w:rPr>
      </w:pPr>
      <w:r>
        <w:rPr>
          <w:rFonts w:hint="eastAsia" w:ascii="宋体" w:hAnsi="宋体"/>
          <w:kern w:val="44"/>
        </w:rPr>
        <w:t>（二）超越职权或者对不符合法定条件的申请人核发选址意见书、建设用地规划许可证、临时建设用地规划许可证、建设工程规划许可证、临时建设工程规划许可证、乡村建设规划许可证、临时乡村建设规划许可证的；</w:t>
      </w:r>
    </w:p>
    <w:p w14:paraId="3254EDB1">
      <w:pPr>
        <w:jc w:val="left"/>
        <w:rPr>
          <w:rFonts w:ascii="宋体" w:hAnsi="宋体"/>
          <w:kern w:val="44"/>
        </w:rPr>
      </w:pPr>
      <w:r>
        <w:rPr>
          <w:rFonts w:hint="eastAsia" w:ascii="宋体" w:hAnsi="宋体"/>
          <w:kern w:val="44"/>
        </w:rPr>
        <w:t>（三）对符合法定条件的申请人未在法定期限内核发选址意见书、建设用地规划许可证、临时建设用地规划许可证、建设工程规划许可证、临时建设工程规划许可证、乡村建设规划许可证、临时乡村建设规划许可证的；</w:t>
      </w:r>
    </w:p>
    <w:p w14:paraId="4805E1CC">
      <w:pPr>
        <w:jc w:val="left"/>
        <w:rPr>
          <w:rFonts w:ascii="宋体" w:hAnsi="宋体"/>
          <w:kern w:val="44"/>
        </w:rPr>
      </w:pPr>
      <w:r>
        <w:rPr>
          <w:rFonts w:hint="eastAsia" w:ascii="宋体" w:hAnsi="宋体"/>
          <w:kern w:val="44"/>
        </w:rPr>
        <w:t>（四）对未依法取得选址意见书的建设项目核发建设项目批准文件的；</w:t>
      </w:r>
    </w:p>
    <w:p w14:paraId="297FD8D3">
      <w:pPr>
        <w:jc w:val="left"/>
        <w:rPr>
          <w:rFonts w:ascii="宋体" w:hAnsi="宋体"/>
          <w:kern w:val="44"/>
        </w:rPr>
      </w:pPr>
      <w:r>
        <w:rPr>
          <w:rFonts w:hint="eastAsia" w:ascii="宋体" w:hAnsi="宋体"/>
          <w:kern w:val="44"/>
        </w:rPr>
        <w:t>（五）未依法在国有土地使用权出让合同中确定规划条件或者改变国有土地使用权出让合同中依法确定的规划条件的；</w:t>
      </w:r>
    </w:p>
    <w:p w14:paraId="5C4F34AE">
      <w:pPr>
        <w:jc w:val="left"/>
        <w:rPr>
          <w:rFonts w:ascii="宋体" w:hAnsi="宋体"/>
          <w:kern w:val="44"/>
        </w:rPr>
      </w:pPr>
      <w:r>
        <w:rPr>
          <w:rFonts w:hint="eastAsia" w:ascii="宋体" w:hAnsi="宋体"/>
          <w:kern w:val="44"/>
        </w:rPr>
        <w:t>（六）同意修改修建性详细规划、建设工程设计方案的总平面图前未依法听取利害关系人的意见的；</w:t>
      </w:r>
    </w:p>
    <w:p w14:paraId="630B7F7E">
      <w:pPr>
        <w:jc w:val="left"/>
        <w:rPr>
          <w:rFonts w:ascii="宋体" w:hAnsi="宋体"/>
          <w:kern w:val="44"/>
        </w:rPr>
      </w:pPr>
      <w:r>
        <w:rPr>
          <w:rFonts w:hint="eastAsia" w:ascii="宋体" w:hAnsi="宋体"/>
          <w:kern w:val="44"/>
        </w:rPr>
        <w:t>（七）发现未依法取得规划许可或者违反规划许可的规定进行建设的行为，而不予查处或者接到举报后不依法处理的。</w:t>
      </w:r>
    </w:p>
    <w:p w14:paraId="66162E10">
      <w:pPr>
        <w:ind w:firstLine="422"/>
        <w:jc w:val="left"/>
        <w:rPr>
          <w:rFonts w:ascii="宋体" w:hAnsi="宋体"/>
          <w:kern w:val="44"/>
        </w:rPr>
      </w:pPr>
      <w:r>
        <w:rPr>
          <w:rFonts w:hint="eastAsia" w:ascii="宋体" w:hAnsi="宋体"/>
          <w:b/>
          <w:kern w:val="44"/>
        </w:rPr>
        <w:t>第六十五条</w:t>
      </w:r>
      <w:r>
        <w:rPr>
          <w:rFonts w:hint="eastAsia" w:ascii="宋体" w:hAnsi="宋体"/>
          <w:kern w:val="44"/>
        </w:rPr>
        <w:t>　本章规定由规划行政主管部门负责处理的违法行为，市人民政府确定由有关执法部门或者机构处理的，按照市人民政府的规定执行。</w:t>
      </w:r>
    </w:p>
    <w:p w14:paraId="26CE941F">
      <w:pPr>
        <w:ind w:firstLine="422"/>
        <w:jc w:val="left"/>
        <w:rPr>
          <w:rFonts w:ascii="宋体" w:hAnsi="宋体"/>
          <w:kern w:val="44"/>
        </w:rPr>
      </w:pPr>
      <w:r>
        <w:rPr>
          <w:rFonts w:hint="eastAsia" w:ascii="宋体" w:hAnsi="宋体"/>
          <w:b/>
          <w:kern w:val="44"/>
        </w:rPr>
        <w:t>第六十六条</w:t>
      </w:r>
      <w:r>
        <w:rPr>
          <w:rFonts w:hint="eastAsia" w:ascii="宋体" w:hAnsi="宋体"/>
          <w:kern w:val="44"/>
        </w:rPr>
        <w:t>　城镇建设工程未取得建设工程规划许可证或者未按照建设工程规划许可证许可内容进行建设的，由规划行政主管部门责令停止建设；尚可采取改正措施消除对规划实施的影响的，限期改正，处该建设工程总造价百分之五以上百分之十以下的罚款；无法采取改正措施消除影响的，限期拆除，不能拆除的，没收实物或者违法收入，可以并处该建设工程总造价百分之十以下的罚款。</w:t>
      </w:r>
    </w:p>
    <w:p w14:paraId="774F9A74">
      <w:pPr>
        <w:jc w:val="left"/>
        <w:rPr>
          <w:rFonts w:ascii="宋体" w:hAnsi="宋体"/>
          <w:kern w:val="44"/>
        </w:rPr>
      </w:pPr>
      <w:r>
        <w:rPr>
          <w:rFonts w:hint="eastAsia" w:ascii="宋体" w:hAnsi="宋体"/>
          <w:kern w:val="44"/>
        </w:rPr>
        <w:t>规划行政主管部门作出责令停止建设或者限期拆除的决定后，当事人不停止建设或者逾期不拆除的，市或者区、县人民政府可以责成有关部门采取查封施工现场、强制拆除等措施。</w:t>
      </w:r>
    </w:p>
    <w:p w14:paraId="4D0D7EF1">
      <w:pPr>
        <w:jc w:val="left"/>
        <w:rPr>
          <w:rFonts w:ascii="宋体" w:hAnsi="宋体"/>
          <w:kern w:val="44"/>
        </w:rPr>
      </w:pPr>
      <w:r>
        <w:rPr>
          <w:rFonts w:hint="eastAsia" w:ascii="宋体" w:hAnsi="宋体"/>
          <w:kern w:val="44"/>
        </w:rPr>
        <w:t>规划行政主管部门对无法确定该建设工程的建设单位或者所有人、管理人的，可以通过在公共媒体或者该建设工程所在地发布公告的形式督促建设单位或者其所有权人、管理人依法接受处理，公告期间不得少于15日。公告期间届满，仍无法确定建设单位、所有人、管理人或者其拒不接受处理的，报经市或者区、县人民政府批准后强制拆除或者没收。</w:t>
      </w:r>
    </w:p>
    <w:p w14:paraId="1106998B">
      <w:pPr>
        <w:ind w:firstLine="422"/>
        <w:jc w:val="left"/>
        <w:rPr>
          <w:rFonts w:ascii="宋体" w:hAnsi="宋体"/>
          <w:kern w:val="44"/>
        </w:rPr>
      </w:pPr>
      <w:r>
        <w:rPr>
          <w:rFonts w:hint="eastAsia" w:ascii="宋体" w:hAnsi="宋体"/>
          <w:b/>
          <w:kern w:val="44"/>
        </w:rPr>
        <w:t>第六十七条</w:t>
      </w:r>
      <w:r>
        <w:rPr>
          <w:rFonts w:hint="eastAsia" w:ascii="宋体" w:hAnsi="宋体"/>
          <w:kern w:val="44"/>
        </w:rPr>
        <w:t>　城镇临时建设工程未取得临时建设工程规划许可证或者未按照临时建设工程规划许可证许可内容进行建设或者逾期未拆除的，由规划行政主管部门责令限期拆除，可以并处该建设工程总造价一倍以下的罚款。</w:t>
      </w:r>
    </w:p>
    <w:p w14:paraId="598D6B7C">
      <w:pPr>
        <w:ind w:firstLine="422"/>
        <w:jc w:val="left"/>
        <w:rPr>
          <w:rFonts w:ascii="宋体" w:hAnsi="宋体"/>
          <w:kern w:val="44"/>
        </w:rPr>
      </w:pPr>
      <w:r>
        <w:rPr>
          <w:rFonts w:hint="eastAsia" w:ascii="宋体" w:hAnsi="宋体"/>
          <w:b/>
          <w:kern w:val="44"/>
        </w:rPr>
        <w:t>第六十八条</w:t>
      </w:r>
      <w:r>
        <w:rPr>
          <w:rFonts w:hint="eastAsia" w:ascii="宋体" w:hAnsi="宋体"/>
          <w:kern w:val="44"/>
        </w:rPr>
        <w:t>　按照本条例规定应当取得乡村建设规划许可证、临时乡村建设规划许可证而未依法取得或者未按照乡村建设规划许可证、临时乡村建设规划许可证的规定进行建设的，以及农民使用原有宅基地进行村民住宅建设，违反规划许可管理的，由乡、镇人民政府责令停止建设、限期改正；逾期不改正的，依照城乡规划法和市人民政府有关规定进行处理。</w:t>
      </w:r>
    </w:p>
    <w:p w14:paraId="75E437FF">
      <w:pPr>
        <w:ind w:firstLine="422"/>
        <w:jc w:val="left"/>
        <w:rPr>
          <w:rFonts w:ascii="宋体" w:hAnsi="宋体"/>
          <w:kern w:val="44"/>
        </w:rPr>
      </w:pPr>
      <w:r>
        <w:rPr>
          <w:rFonts w:hint="eastAsia" w:ascii="宋体" w:hAnsi="宋体"/>
          <w:b/>
          <w:kern w:val="44"/>
        </w:rPr>
        <w:t>第六十九条</w:t>
      </w:r>
      <w:r>
        <w:rPr>
          <w:rFonts w:hint="eastAsia" w:ascii="宋体" w:hAnsi="宋体"/>
          <w:kern w:val="44"/>
        </w:rPr>
        <w:t>　城镇居住建设项目的建设单位未按照时序建设基础设施、公共服务设施的，规划行政主管部门可以对竣工的建设工程不予规划核验，并可以对该建设项目的其他工程暂停核发建设工程规划许可证。</w:t>
      </w:r>
    </w:p>
    <w:p w14:paraId="65D0FB76">
      <w:pPr>
        <w:ind w:firstLine="422"/>
        <w:jc w:val="left"/>
        <w:rPr>
          <w:rFonts w:ascii="宋体" w:hAnsi="宋体"/>
          <w:kern w:val="44"/>
        </w:rPr>
      </w:pPr>
      <w:r>
        <w:rPr>
          <w:rFonts w:hint="eastAsia" w:ascii="宋体" w:hAnsi="宋体"/>
          <w:b/>
          <w:kern w:val="44"/>
        </w:rPr>
        <w:t>第七十条</w:t>
      </w:r>
      <w:r>
        <w:rPr>
          <w:rFonts w:hint="eastAsia" w:ascii="宋体" w:hAnsi="宋体"/>
          <w:kern w:val="44"/>
        </w:rPr>
        <w:t>　设计单位为没有取得建设工程规划许可证、乡村建设规划许可证、临时乡村建设规划许可证的建设工程提供施工图纸，或者不按照建设工程规划许可证、乡村建设规划许可证、临时乡村建设规划许可证提供施工图纸的，由规划行政主管部门给予警告，没收违法所得；情节严重的，可以责令停业整顿、降低资质等级，并处10万元以上30万元以下罚款，对直接责任人员给予警告，并处5000元以上5万元以下罚款，对于注册建筑师和其他专业技术人员可以吊销资格证书，5年内不予注册。</w:t>
      </w:r>
    </w:p>
    <w:p w14:paraId="4E901F57">
      <w:pPr>
        <w:ind w:firstLine="422"/>
        <w:jc w:val="left"/>
        <w:rPr>
          <w:rFonts w:ascii="宋体" w:hAnsi="宋体"/>
          <w:kern w:val="44"/>
        </w:rPr>
      </w:pPr>
      <w:r>
        <w:rPr>
          <w:rFonts w:hint="eastAsia" w:ascii="宋体" w:hAnsi="宋体"/>
          <w:b/>
          <w:kern w:val="44"/>
        </w:rPr>
        <w:t>第七十一条</w:t>
      </w:r>
      <w:r>
        <w:rPr>
          <w:rFonts w:hint="eastAsia" w:ascii="宋体" w:hAnsi="宋体"/>
          <w:kern w:val="44"/>
        </w:rPr>
        <w:t>　城镇建设项目的建设单位或者个人未按照规定在施工现场对外公示建设工程规划许可证及附件、附图的，由市人民政府确定的有关执法部门或者机构责令限期改正，可以并处5000元以上1万元以下罚款。</w:t>
      </w:r>
    </w:p>
    <w:p w14:paraId="322F4830">
      <w:pPr>
        <w:ind w:firstLine="422"/>
        <w:jc w:val="left"/>
        <w:rPr>
          <w:rFonts w:ascii="宋体" w:hAnsi="宋体"/>
          <w:kern w:val="44"/>
        </w:rPr>
      </w:pPr>
      <w:r>
        <w:rPr>
          <w:rFonts w:hint="eastAsia" w:ascii="宋体" w:hAnsi="宋体"/>
          <w:b/>
          <w:kern w:val="44"/>
        </w:rPr>
        <w:t>第七十二条</w:t>
      </w:r>
      <w:r>
        <w:rPr>
          <w:rFonts w:hint="eastAsia" w:ascii="宋体" w:hAnsi="宋体"/>
          <w:kern w:val="44"/>
        </w:rPr>
        <w:t>　建设单位或者个人进行建设对公民、法人和其他组织的合法权益造成损害的，应当依法承担相应的民事责任。</w:t>
      </w:r>
    </w:p>
    <w:p w14:paraId="4120C156">
      <w:pPr>
        <w:jc w:val="left"/>
        <w:rPr>
          <w:rFonts w:ascii="宋体" w:hAnsi="宋体"/>
          <w:kern w:val="44"/>
        </w:rPr>
      </w:pPr>
    </w:p>
    <w:p w14:paraId="1440D999">
      <w:pPr>
        <w:ind w:firstLine="0" w:firstLineChars="0"/>
        <w:jc w:val="center"/>
        <w:rPr>
          <w:rFonts w:ascii="宋体" w:hAnsi="宋体"/>
          <w:b/>
          <w:kern w:val="44"/>
          <w:sz w:val="28"/>
        </w:rPr>
      </w:pPr>
      <w:r>
        <w:rPr>
          <w:rFonts w:hint="eastAsia" w:ascii="宋体" w:hAnsi="宋体"/>
          <w:b/>
          <w:kern w:val="44"/>
          <w:sz w:val="28"/>
        </w:rPr>
        <w:t>第七章　附　则</w:t>
      </w:r>
    </w:p>
    <w:p w14:paraId="5C30C279">
      <w:pPr>
        <w:jc w:val="left"/>
        <w:rPr>
          <w:rFonts w:ascii="宋体" w:hAnsi="宋体"/>
          <w:kern w:val="44"/>
        </w:rPr>
      </w:pPr>
    </w:p>
    <w:p w14:paraId="1174706C">
      <w:pPr>
        <w:ind w:firstLine="422"/>
        <w:jc w:val="left"/>
        <w:rPr>
          <w:rFonts w:ascii="宋体" w:hAnsi="宋体"/>
          <w:kern w:val="44"/>
        </w:rPr>
      </w:pPr>
      <w:r>
        <w:rPr>
          <w:rFonts w:hint="eastAsia" w:ascii="宋体" w:hAnsi="宋体"/>
          <w:b/>
          <w:kern w:val="44"/>
        </w:rPr>
        <w:t>第七十三条</w:t>
      </w:r>
      <w:r>
        <w:rPr>
          <w:rFonts w:hint="eastAsia" w:ascii="宋体" w:hAnsi="宋体"/>
          <w:kern w:val="44"/>
        </w:rPr>
        <w:t>　本条例所称的各项建设工程，指新建、改建、扩建、翻建各类建筑物、构筑物以及城乡市政和交通工程。</w:t>
      </w:r>
    </w:p>
    <w:p w14:paraId="3875EFB5">
      <w:pPr>
        <w:jc w:val="left"/>
        <w:rPr>
          <w:rFonts w:ascii="宋体" w:hAnsi="宋体"/>
          <w:kern w:val="44"/>
        </w:rPr>
      </w:pPr>
      <w:r>
        <w:rPr>
          <w:rFonts w:hint="eastAsia" w:ascii="宋体" w:hAnsi="宋体"/>
          <w:kern w:val="44"/>
        </w:rPr>
        <w:t>重要大街、历史文化街区、市人民政府规定的特定地区的现有建筑物外部装修参照建设工程办理。</w:t>
      </w:r>
    </w:p>
    <w:p w14:paraId="45E7CD99">
      <w:pPr>
        <w:ind w:firstLine="422"/>
        <w:jc w:val="left"/>
        <w:rPr>
          <w:rFonts w:ascii="宋体" w:hAnsi="宋体"/>
          <w:kern w:val="44"/>
        </w:rPr>
      </w:pPr>
      <w:r>
        <w:rPr>
          <w:rFonts w:hint="eastAsia" w:ascii="宋体" w:hAnsi="宋体"/>
          <w:b/>
          <w:kern w:val="44"/>
        </w:rPr>
        <w:t>第七十四条</w:t>
      </w:r>
      <w:r>
        <w:rPr>
          <w:rFonts w:hint="eastAsia" w:ascii="宋体" w:hAnsi="宋体"/>
          <w:kern w:val="44"/>
        </w:rPr>
        <w:t>　本条例自2009年10月1日起施行。1992年7月24日北京市第九届人民代表大会常务委员会第三十五次会议通过的《北京市城市规划条例》同时废止。</w:t>
      </w:r>
    </w:p>
    <w:p w14:paraId="10F920CD">
      <w:pPr>
        <w:pStyle w:val="4"/>
        <w:pageBreakBefore/>
        <w:rPr>
          <w:kern w:val="44"/>
        </w:rPr>
      </w:pPr>
      <w:bookmarkStart w:id="753" w:name="_Toc422471213"/>
      <w:bookmarkStart w:id="754" w:name="_Toc427651851"/>
      <w:bookmarkStart w:id="755" w:name="_Toc427651509"/>
      <w:bookmarkStart w:id="756" w:name="_Toc428780075"/>
      <w:bookmarkStart w:id="757" w:name="_Toc428781557"/>
      <w:r>
        <w:rPr>
          <w:rFonts w:hint="eastAsia"/>
          <w:kern w:val="44"/>
        </w:rPr>
        <w:t>关于在城市干道两侧</w:t>
      </w:r>
      <w:bookmarkEnd w:id="753"/>
      <w:bookmarkStart w:id="758" w:name="_Toc422471214"/>
      <w:r>
        <w:rPr>
          <w:rFonts w:hint="eastAsia"/>
          <w:kern w:val="44"/>
        </w:rPr>
        <w:t>划定隔离带的规定</w:t>
      </w:r>
      <w:bookmarkEnd w:id="754"/>
      <w:bookmarkEnd w:id="755"/>
      <w:bookmarkEnd w:id="756"/>
      <w:bookmarkEnd w:id="757"/>
      <w:bookmarkEnd w:id="758"/>
    </w:p>
    <w:p w14:paraId="2FDD3B59">
      <w:pPr>
        <w:ind w:left="630" w:leftChars="300" w:right="630" w:rightChars="300"/>
        <w:jc w:val="left"/>
        <w:rPr>
          <w:rFonts w:ascii="楷体" w:hAnsi="楷体" w:eastAsia="楷体"/>
          <w:kern w:val="44"/>
        </w:rPr>
      </w:pPr>
      <w:r>
        <w:rPr>
          <w:rFonts w:hint="eastAsia" w:ascii="楷体" w:hAnsi="楷体" w:eastAsia="楷体"/>
          <w:kern w:val="44"/>
        </w:rPr>
        <w:t>（1984年2月10日北京市人民政府京政发21号文件发布  根据1994年1月17日北京市人民政府批准第一次修改　根据2007年11月23日北京市人民政府第200号令第二次修改）</w:t>
      </w:r>
    </w:p>
    <w:p w14:paraId="5133D518">
      <w:pPr>
        <w:ind w:left="630" w:leftChars="300" w:right="630" w:rightChars="300"/>
        <w:jc w:val="left"/>
        <w:rPr>
          <w:rFonts w:ascii="楷体" w:hAnsi="楷体" w:eastAsia="楷体"/>
          <w:kern w:val="44"/>
        </w:rPr>
      </w:pPr>
    </w:p>
    <w:p w14:paraId="6373999C">
      <w:pPr>
        <w:jc w:val="left"/>
        <w:rPr>
          <w:rFonts w:ascii="宋体" w:hAnsi="宋体"/>
          <w:kern w:val="44"/>
        </w:rPr>
      </w:pPr>
      <w:r>
        <w:rPr>
          <w:rFonts w:hint="eastAsia" w:ascii="宋体" w:hAnsi="宋体"/>
          <w:kern w:val="44"/>
        </w:rPr>
        <w:t>为了贯彻执行北京城市总体规划，保证城市主、次干道能够按照规划逐步建成畅通无阻、不受干扰的交通动脉，防止在干道两侧乱建房子、乱搭棚屋，土地被任意蚕食，避免将来拓宽干道、增设林带或有特殊需要时，大量拆迁造成浪费，做到既有利于城市建设和农业生产，又有利于保护环境，特制定在城市干道两侧划定隔离带的规定。</w:t>
      </w:r>
    </w:p>
    <w:p w14:paraId="2852679B">
      <w:pPr>
        <w:ind w:firstLine="422"/>
        <w:jc w:val="left"/>
        <w:rPr>
          <w:rFonts w:ascii="宋体" w:hAnsi="宋体"/>
          <w:kern w:val="44"/>
        </w:rPr>
      </w:pPr>
      <w:r>
        <w:rPr>
          <w:rFonts w:hint="eastAsia" w:ascii="宋体" w:hAnsi="宋体"/>
          <w:b/>
          <w:kern w:val="44"/>
        </w:rPr>
        <w:t>一、</w:t>
      </w:r>
      <w:r>
        <w:rPr>
          <w:rFonts w:hint="eastAsia" w:ascii="宋体" w:hAnsi="宋体"/>
          <w:kern w:val="44"/>
        </w:rPr>
        <w:t>城市干道两侧隔离带的范围按照经批准的各类城乡规划确定。</w:t>
      </w:r>
    </w:p>
    <w:p w14:paraId="24BEBC3A">
      <w:pPr>
        <w:ind w:firstLine="422"/>
        <w:jc w:val="left"/>
        <w:rPr>
          <w:rFonts w:ascii="宋体" w:hAnsi="宋体"/>
          <w:kern w:val="44"/>
        </w:rPr>
      </w:pPr>
      <w:r>
        <w:rPr>
          <w:rFonts w:hint="eastAsia" w:ascii="宋体" w:hAnsi="宋体"/>
          <w:b/>
          <w:kern w:val="44"/>
        </w:rPr>
        <w:t>二、</w:t>
      </w:r>
      <w:r>
        <w:rPr>
          <w:rFonts w:hint="eastAsia" w:ascii="宋体" w:hAnsi="宋体"/>
          <w:kern w:val="44"/>
        </w:rPr>
        <w:t>在城市干道两侧隔离带内的土地，可以继续耕种，植树造林，种花植草，按照城、乡规划开挖沟渠、打井埋管、栽杆架线。但除管理养护本干道所必须的检查站、道班房外，不准任何单位和个人在隔离带内建造生产和生活用房以及各类棚屋和设施。</w:t>
      </w:r>
    </w:p>
    <w:p w14:paraId="547400A0">
      <w:pPr>
        <w:ind w:firstLine="422"/>
        <w:jc w:val="left"/>
        <w:rPr>
          <w:rFonts w:ascii="宋体" w:hAnsi="宋体"/>
          <w:kern w:val="44"/>
        </w:rPr>
      </w:pPr>
      <w:r>
        <w:rPr>
          <w:rFonts w:hint="eastAsia" w:ascii="宋体" w:hAnsi="宋体"/>
          <w:b/>
          <w:kern w:val="44"/>
        </w:rPr>
        <w:t>三、</w:t>
      </w:r>
      <w:r>
        <w:rPr>
          <w:rFonts w:hint="eastAsia" w:ascii="宋体" w:hAnsi="宋体"/>
          <w:kern w:val="44"/>
        </w:rPr>
        <w:t>在隔离带内，过去已经批准的城市建设单位（不含违法建设单位），原则上不再扩大用地，只能在原用地范围内，根据条件进行必要的翻、改建或适当添建；现有的农村居民点和工副业点，原则上也不再扩大用地，可根据批准的农业建设规划，进行调整改造。新农村建设应统一规划，不得侵占隔离带。</w:t>
      </w:r>
    </w:p>
    <w:p w14:paraId="68D5D598">
      <w:pPr>
        <w:jc w:val="left"/>
        <w:rPr>
          <w:rFonts w:ascii="宋体" w:hAnsi="宋体"/>
          <w:kern w:val="44"/>
        </w:rPr>
      </w:pPr>
      <w:r>
        <w:rPr>
          <w:rFonts w:hint="eastAsia" w:ascii="宋体" w:hAnsi="宋体"/>
          <w:kern w:val="44"/>
        </w:rPr>
        <w:t>在市区城市地区和郊区城镇范围内，位于规划干道红线内现有的房屋（不含违法建设和各类“临时建筑”），如确需翻建时，只能按原地点、原面积，尽可能简易地进行翻建，鼓励现有房屋的单位、居民易地迁建，或退到规划干道红线后面进行改建。各类新建房屋，应一律按规划进行建设，不得侵占规划干道红线，不准再在规划干道红线内建造各种“临时性”棚层，个别确属十分必需的施工临时设施，应按照有关规定从严审批，并由批准机关监督在工程完工后立即拆除。其他道路也都按照上述规定控制建设。</w:t>
      </w:r>
    </w:p>
    <w:p w14:paraId="72D07DEB">
      <w:pPr>
        <w:ind w:firstLine="422"/>
        <w:jc w:val="left"/>
        <w:rPr>
          <w:rFonts w:ascii="宋体" w:hAnsi="宋体"/>
          <w:kern w:val="44"/>
        </w:rPr>
      </w:pPr>
      <w:r>
        <w:rPr>
          <w:rFonts w:hint="eastAsia" w:ascii="宋体" w:hAnsi="宋体"/>
          <w:b/>
          <w:kern w:val="44"/>
        </w:rPr>
        <w:t>四、</w:t>
      </w:r>
      <w:r>
        <w:rPr>
          <w:rFonts w:hint="eastAsia" w:ascii="宋体" w:hAnsi="宋体"/>
          <w:kern w:val="44"/>
        </w:rPr>
        <w:t>本规定经北京市人民政府批准，自公布之日起施行。自施行之日起，凡违反本规定在规划干道红线和干道两侧隔离带内占地建房，均按违法建设处理。</w:t>
      </w:r>
    </w:p>
    <w:p w14:paraId="46F834EC">
      <w:pPr>
        <w:jc w:val="left"/>
        <w:rPr>
          <w:rFonts w:ascii="宋体" w:hAnsi="宋体"/>
          <w:kern w:val="44"/>
        </w:rPr>
      </w:pPr>
      <w:r>
        <w:rPr>
          <w:rFonts w:hint="eastAsia" w:ascii="宋体" w:hAnsi="宋体"/>
          <w:kern w:val="44"/>
        </w:rPr>
        <w:t>各区、县人民政府，对防止在城镇附近地区盲目占地建房，可以按照本规定的精神，制定必要的补充规定。</w:t>
      </w:r>
    </w:p>
    <w:p w14:paraId="0AD9C723">
      <w:pPr>
        <w:jc w:val="left"/>
        <w:rPr>
          <w:rFonts w:ascii="宋体" w:hAnsi="宋体"/>
          <w:kern w:val="44"/>
        </w:rPr>
      </w:pPr>
    </w:p>
    <w:p w14:paraId="1763C628">
      <w:pPr>
        <w:ind w:firstLine="0" w:firstLineChars="0"/>
        <w:jc w:val="left"/>
        <w:rPr>
          <w:rFonts w:ascii="宋体" w:hAnsi="宋体"/>
          <w:b/>
          <w:kern w:val="44"/>
        </w:rPr>
      </w:pPr>
      <w:r>
        <w:rPr>
          <w:rFonts w:hint="eastAsia" w:ascii="宋体" w:hAnsi="宋体"/>
          <w:b/>
          <w:kern w:val="44"/>
        </w:rPr>
        <w:t>附件一：</w:t>
      </w:r>
    </w:p>
    <w:p w14:paraId="3D503210">
      <w:pPr>
        <w:jc w:val="left"/>
        <w:rPr>
          <w:rFonts w:ascii="宋体" w:hAnsi="宋体"/>
          <w:kern w:val="44"/>
        </w:rPr>
      </w:pPr>
    </w:p>
    <w:p w14:paraId="5CA7D9E4">
      <w:pPr>
        <w:jc w:val="left"/>
        <w:rPr>
          <w:rFonts w:ascii="宋体" w:hAnsi="宋体"/>
          <w:kern w:val="44"/>
        </w:rPr>
      </w:pPr>
      <w:r>
        <w:rPr>
          <w:rFonts w:hint="eastAsia" w:ascii="宋体" w:hAnsi="宋体"/>
          <w:kern w:val="44"/>
        </w:rPr>
        <w:t>九条规划主干道为：</w:t>
      </w:r>
    </w:p>
    <w:p w14:paraId="45AC3B38">
      <w:pPr>
        <w:jc w:val="left"/>
        <w:rPr>
          <w:rFonts w:ascii="宋体" w:hAnsi="宋体"/>
          <w:kern w:val="44"/>
        </w:rPr>
      </w:pPr>
      <w:r>
        <w:rPr>
          <w:rFonts w:hint="eastAsia" w:ascii="宋体" w:hAnsi="宋体"/>
          <w:kern w:val="44"/>
        </w:rPr>
        <w:t>京承公路：东直门</w:t>
      </w:r>
      <w:r>
        <w:rPr>
          <w:rFonts w:hint="eastAsia" w:ascii="楷体" w:hAnsi="楷体" w:eastAsia="楷体"/>
          <w:kern w:val="44"/>
        </w:rPr>
        <w:t>—</w:t>
      </w:r>
      <w:r>
        <w:rPr>
          <w:rFonts w:hint="eastAsia" w:ascii="宋体" w:hAnsi="宋体"/>
          <w:kern w:val="44"/>
        </w:rPr>
        <w:t>酒仙桥</w:t>
      </w:r>
      <w:r>
        <w:rPr>
          <w:rFonts w:hint="eastAsia" w:ascii="楷体" w:hAnsi="楷体" w:eastAsia="楷体"/>
          <w:kern w:val="44"/>
        </w:rPr>
        <w:t>—</w:t>
      </w:r>
      <w:r>
        <w:rPr>
          <w:rFonts w:hint="eastAsia" w:ascii="宋体" w:hAnsi="宋体"/>
          <w:kern w:val="44"/>
        </w:rPr>
        <w:t>顺义</w:t>
      </w:r>
      <w:r>
        <w:rPr>
          <w:rFonts w:hint="eastAsia" w:ascii="楷体" w:hAnsi="楷体" w:eastAsia="楷体"/>
          <w:kern w:val="44"/>
        </w:rPr>
        <w:t>—</w:t>
      </w:r>
      <w:r>
        <w:rPr>
          <w:rFonts w:hint="eastAsia" w:ascii="宋体" w:hAnsi="宋体"/>
          <w:kern w:val="44"/>
        </w:rPr>
        <w:t>怀柔</w:t>
      </w:r>
      <w:r>
        <w:rPr>
          <w:rFonts w:hint="eastAsia" w:ascii="楷体" w:hAnsi="楷体" w:eastAsia="楷体"/>
          <w:kern w:val="44"/>
        </w:rPr>
        <w:t>—</w:t>
      </w:r>
      <w:r>
        <w:rPr>
          <w:rFonts w:hint="eastAsia" w:ascii="宋体" w:hAnsi="宋体"/>
          <w:kern w:val="44"/>
        </w:rPr>
        <w:t>密云</w:t>
      </w:r>
      <w:r>
        <w:rPr>
          <w:rFonts w:hint="eastAsia" w:ascii="楷体" w:hAnsi="楷体" w:eastAsia="楷体"/>
          <w:kern w:val="44"/>
        </w:rPr>
        <w:t>—</w:t>
      </w:r>
      <w:r>
        <w:rPr>
          <w:rFonts w:hint="eastAsia" w:ascii="宋体" w:hAnsi="宋体"/>
          <w:kern w:val="44"/>
        </w:rPr>
        <w:t>古北口</w:t>
      </w:r>
      <w:r>
        <w:rPr>
          <w:rFonts w:hint="eastAsia" w:ascii="楷体" w:hAnsi="楷体" w:eastAsia="楷体"/>
          <w:kern w:val="44"/>
        </w:rPr>
        <w:t>—</w:t>
      </w:r>
      <w:r>
        <w:rPr>
          <w:rFonts w:hint="eastAsia" w:ascii="宋体" w:hAnsi="宋体"/>
          <w:kern w:val="44"/>
        </w:rPr>
        <w:t>承德。（含机场路支线，原定整顿范围超过一百米的部分不变）</w:t>
      </w:r>
    </w:p>
    <w:p w14:paraId="1FE475C2">
      <w:pPr>
        <w:jc w:val="left"/>
        <w:rPr>
          <w:rFonts w:ascii="宋体" w:hAnsi="宋体"/>
          <w:kern w:val="44"/>
        </w:rPr>
      </w:pPr>
      <w:r>
        <w:rPr>
          <w:rFonts w:hint="eastAsia" w:ascii="宋体" w:hAnsi="宋体"/>
          <w:kern w:val="44"/>
        </w:rPr>
        <w:t>京榆公路：建国门</w:t>
      </w:r>
      <w:r>
        <w:rPr>
          <w:rFonts w:hint="eastAsia" w:ascii="楷体" w:hAnsi="楷体" w:eastAsia="楷体"/>
          <w:kern w:val="44"/>
        </w:rPr>
        <w:t>—</w:t>
      </w:r>
      <w:r>
        <w:rPr>
          <w:rFonts w:hint="eastAsia" w:ascii="宋体" w:hAnsi="宋体"/>
          <w:kern w:val="44"/>
        </w:rPr>
        <w:t>通镇</w:t>
      </w:r>
      <w:r>
        <w:rPr>
          <w:rFonts w:hint="eastAsia" w:ascii="楷体" w:hAnsi="楷体" w:eastAsia="楷体"/>
          <w:kern w:val="44"/>
        </w:rPr>
        <w:t>—</w:t>
      </w:r>
      <w:r>
        <w:rPr>
          <w:rFonts w:hint="eastAsia" w:ascii="宋体" w:hAnsi="宋体"/>
          <w:kern w:val="44"/>
        </w:rPr>
        <w:t>山海关。</w:t>
      </w:r>
    </w:p>
    <w:p w14:paraId="5A4516A6">
      <w:pPr>
        <w:jc w:val="left"/>
        <w:rPr>
          <w:rFonts w:ascii="宋体" w:hAnsi="宋体"/>
          <w:kern w:val="44"/>
        </w:rPr>
      </w:pPr>
      <w:r>
        <w:rPr>
          <w:rFonts w:hint="eastAsia" w:ascii="宋体" w:hAnsi="宋体"/>
          <w:kern w:val="44"/>
        </w:rPr>
        <w:t>京津塘公路：东南城角</w:t>
      </w:r>
      <w:r>
        <w:rPr>
          <w:rFonts w:hint="eastAsia" w:ascii="楷体" w:hAnsi="楷体" w:eastAsia="楷体"/>
          <w:kern w:val="44"/>
        </w:rPr>
        <w:t>—</w:t>
      </w:r>
      <w:r>
        <w:rPr>
          <w:rFonts w:hint="eastAsia" w:ascii="宋体" w:hAnsi="宋体"/>
          <w:kern w:val="44"/>
        </w:rPr>
        <w:t>马驹桥</w:t>
      </w:r>
      <w:r>
        <w:rPr>
          <w:rFonts w:hint="eastAsia" w:ascii="楷体" w:hAnsi="楷体" w:eastAsia="楷体"/>
          <w:kern w:val="44"/>
        </w:rPr>
        <w:t>—</w:t>
      </w:r>
      <w:r>
        <w:rPr>
          <w:rFonts w:hint="eastAsia" w:ascii="宋体" w:hAnsi="宋体"/>
          <w:kern w:val="44"/>
        </w:rPr>
        <w:t>武清</w:t>
      </w:r>
      <w:r>
        <w:rPr>
          <w:rFonts w:hint="eastAsia" w:ascii="楷体" w:hAnsi="楷体" w:eastAsia="楷体"/>
          <w:kern w:val="44"/>
        </w:rPr>
        <w:t>—</w:t>
      </w:r>
      <w:r>
        <w:rPr>
          <w:rFonts w:hint="eastAsia" w:ascii="宋体" w:hAnsi="宋体"/>
          <w:kern w:val="44"/>
        </w:rPr>
        <w:t>塘沽新港。</w:t>
      </w:r>
    </w:p>
    <w:p w14:paraId="2FFB23F8">
      <w:pPr>
        <w:jc w:val="left"/>
        <w:rPr>
          <w:rFonts w:ascii="宋体" w:hAnsi="宋体"/>
          <w:kern w:val="44"/>
        </w:rPr>
      </w:pPr>
      <w:r>
        <w:rPr>
          <w:rFonts w:hint="eastAsia" w:ascii="宋体" w:hAnsi="宋体"/>
          <w:kern w:val="44"/>
        </w:rPr>
        <w:t>京开公路：西南城角</w:t>
      </w:r>
      <w:r>
        <w:rPr>
          <w:rFonts w:hint="eastAsia" w:ascii="楷体" w:hAnsi="楷体" w:eastAsia="楷体"/>
          <w:kern w:val="44"/>
        </w:rPr>
        <w:t>—</w:t>
      </w:r>
      <w:r>
        <w:rPr>
          <w:rFonts w:hint="eastAsia" w:ascii="宋体" w:hAnsi="宋体"/>
          <w:kern w:val="44"/>
        </w:rPr>
        <w:t>西红门</w:t>
      </w:r>
      <w:r>
        <w:rPr>
          <w:rFonts w:hint="eastAsia" w:ascii="楷体" w:hAnsi="楷体" w:eastAsia="楷体"/>
          <w:kern w:val="44"/>
        </w:rPr>
        <w:t>—</w:t>
      </w:r>
      <w:r>
        <w:rPr>
          <w:rFonts w:hint="eastAsia" w:ascii="宋体" w:hAnsi="宋体"/>
          <w:kern w:val="44"/>
        </w:rPr>
        <w:t>黄村</w:t>
      </w:r>
      <w:r>
        <w:rPr>
          <w:rFonts w:hint="eastAsia" w:ascii="楷体" w:hAnsi="楷体" w:eastAsia="楷体"/>
          <w:kern w:val="44"/>
        </w:rPr>
        <w:t>—</w:t>
      </w:r>
      <w:r>
        <w:rPr>
          <w:rFonts w:hint="eastAsia" w:ascii="宋体" w:hAnsi="宋体"/>
          <w:kern w:val="44"/>
        </w:rPr>
        <w:t>固安</w:t>
      </w:r>
      <w:r>
        <w:rPr>
          <w:rFonts w:hint="eastAsia" w:ascii="楷体" w:hAnsi="楷体" w:eastAsia="楷体"/>
          <w:kern w:val="44"/>
        </w:rPr>
        <w:t>—</w:t>
      </w:r>
      <w:r>
        <w:rPr>
          <w:rFonts w:hint="eastAsia" w:ascii="宋体" w:hAnsi="宋体"/>
          <w:kern w:val="44"/>
        </w:rPr>
        <w:t>开封。</w:t>
      </w:r>
    </w:p>
    <w:p w14:paraId="500E1E38">
      <w:pPr>
        <w:jc w:val="left"/>
        <w:rPr>
          <w:rFonts w:ascii="宋体" w:hAnsi="宋体"/>
          <w:kern w:val="44"/>
        </w:rPr>
      </w:pPr>
      <w:r>
        <w:rPr>
          <w:rFonts w:hint="eastAsia" w:ascii="宋体" w:hAnsi="宋体"/>
          <w:kern w:val="44"/>
        </w:rPr>
        <w:t>京保公路：广安门</w:t>
      </w:r>
      <w:r>
        <w:rPr>
          <w:rFonts w:hint="eastAsia" w:ascii="楷体" w:hAnsi="楷体" w:eastAsia="楷体"/>
          <w:kern w:val="44"/>
        </w:rPr>
        <w:t>—</w:t>
      </w:r>
      <w:r>
        <w:rPr>
          <w:rFonts w:hint="eastAsia" w:ascii="宋体" w:hAnsi="宋体"/>
          <w:kern w:val="44"/>
        </w:rPr>
        <w:t>六里桥</w:t>
      </w:r>
      <w:r>
        <w:rPr>
          <w:rFonts w:hint="eastAsia" w:ascii="楷体" w:hAnsi="楷体" w:eastAsia="楷体"/>
          <w:kern w:val="44"/>
        </w:rPr>
        <w:t>—</w:t>
      </w:r>
      <w:r>
        <w:rPr>
          <w:rFonts w:hint="eastAsia" w:ascii="宋体" w:hAnsi="宋体"/>
          <w:kern w:val="44"/>
        </w:rPr>
        <w:t>芦沟桥</w:t>
      </w:r>
      <w:r>
        <w:rPr>
          <w:rFonts w:hint="eastAsia" w:ascii="楷体" w:hAnsi="楷体" w:eastAsia="楷体"/>
          <w:kern w:val="44"/>
        </w:rPr>
        <w:t>—</w:t>
      </w:r>
      <w:r>
        <w:rPr>
          <w:rFonts w:hint="eastAsia" w:ascii="宋体" w:hAnsi="宋体"/>
          <w:kern w:val="44"/>
        </w:rPr>
        <w:t>良乡</w:t>
      </w:r>
      <w:r>
        <w:rPr>
          <w:rFonts w:hint="eastAsia" w:ascii="楷体" w:hAnsi="楷体" w:eastAsia="楷体"/>
          <w:kern w:val="44"/>
        </w:rPr>
        <w:t>—</w:t>
      </w:r>
      <w:r>
        <w:rPr>
          <w:rFonts w:hint="eastAsia" w:ascii="宋体" w:hAnsi="宋体"/>
          <w:kern w:val="44"/>
        </w:rPr>
        <w:t>保定。</w:t>
      </w:r>
    </w:p>
    <w:p w14:paraId="7CCEB9CF">
      <w:pPr>
        <w:jc w:val="left"/>
        <w:rPr>
          <w:rFonts w:ascii="宋体" w:hAnsi="宋体"/>
          <w:kern w:val="44"/>
        </w:rPr>
      </w:pPr>
      <w:r>
        <w:rPr>
          <w:rFonts w:hint="eastAsia" w:ascii="宋体" w:hAnsi="宋体"/>
          <w:kern w:val="44"/>
        </w:rPr>
        <w:t>京原公路：复兴门</w:t>
      </w:r>
      <w:r>
        <w:rPr>
          <w:rFonts w:hint="eastAsia" w:ascii="楷体" w:hAnsi="楷体" w:eastAsia="楷体"/>
          <w:kern w:val="44"/>
        </w:rPr>
        <w:t>—</w:t>
      </w:r>
      <w:r>
        <w:rPr>
          <w:rFonts w:hint="eastAsia" w:ascii="宋体" w:hAnsi="宋体"/>
          <w:kern w:val="44"/>
        </w:rPr>
        <w:t>八角</w:t>
      </w:r>
      <w:r>
        <w:rPr>
          <w:rFonts w:hint="eastAsia" w:ascii="楷体" w:hAnsi="楷体" w:eastAsia="楷体"/>
          <w:kern w:val="44"/>
        </w:rPr>
        <w:t>—</w:t>
      </w:r>
      <w:r>
        <w:rPr>
          <w:rFonts w:hint="eastAsia" w:ascii="宋体" w:hAnsi="宋体"/>
          <w:kern w:val="44"/>
        </w:rPr>
        <w:t>衙门口</w:t>
      </w:r>
      <w:r>
        <w:rPr>
          <w:rFonts w:hint="eastAsia" w:ascii="楷体" w:hAnsi="楷体" w:eastAsia="楷体"/>
          <w:kern w:val="44"/>
        </w:rPr>
        <w:t>—</w:t>
      </w:r>
      <w:r>
        <w:rPr>
          <w:rFonts w:hint="eastAsia" w:ascii="宋体" w:hAnsi="宋体"/>
          <w:kern w:val="44"/>
        </w:rPr>
        <w:t>潭柘寺</w:t>
      </w:r>
      <w:r>
        <w:rPr>
          <w:rFonts w:hint="eastAsia" w:ascii="楷体" w:hAnsi="楷体" w:eastAsia="楷体"/>
          <w:kern w:val="44"/>
        </w:rPr>
        <w:t>—</w:t>
      </w:r>
      <w:r>
        <w:rPr>
          <w:rFonts w:hint="eastAsia" w:ascii="宋体" w:hAnsi="宋体"/>
          <w:kern w:val="44"/>
        </w:rPr>
        <w:t>紫荆关</w:t>
      </w:r>
      <w:r>
        <w:rPr>
          <w:rFonts w:hint="eastAsia" w:ascii="楷体" w:hAnsi="楷体" w:eastAsia="楷体"/>
          <w:kern w:val="44"/>
        </w:rPr>
        <w:t>—</w:t>
      </w:r>
      <w:r>
        <w:rPr>
          <w:rFonts w:hint="eastAsia" w:ascii="宋体" w:hAnsi="宋体"/>
          <w:kern w:val="44"/>
        </w:rPr>
        <w:t>原平。</w:t>
      </w:r>
    </w:p>
    <w:p w14:paraId="7404F2F8">
      <w:pPr>
        <w:jc w:val="left"/>
        <w:rPr>
          <w:rFonts w:ascii="宋体" w:hAnsi="宋体"/>
          <w:kern w:val="44"/>
        </w:rPr>
      </w:pPr>
      <w:r>
        <w:rPr>
          <w:rFonts w:hint="eastAsia" w:ascii="宋体" w:hAnsi="宋体"/>
          <w:kern w:val="44"/>
        </w:rPr>
        <w:t>京大公路：阜成门</w:t>
      </w:r>
      <w:r>
        <w:rPr>
          <w:rFonts w:hint="eastAsia" w:ascii="楷体" w:hAnsi="楷体" w:eastAsia="楷体"/>
          <w:kern w:val="44"/>
        </w:rPr>
        <w:t>—</w:t>
      </w:r>
      <w:r>
        <w:rPr>
          <w:rFonts w:hint="eastAsia" w:ascii="宋体" w:hAnsi="宋体"/>
          <w:kern w:val="44"/>
        </w:rPr>
        <w:t>金顶街</w:t>
      </w:r>
      <w:r>
        <w:rPr>
          <w:rFonts w:hint="eastAsia" w:ascii="楷体" w:hAnsi="楷体" w:eastAsia="楷体"/>
          <w:kern w:val="44"/>
        </w:rPr>
        <w:t>—</w:t>
      </w:r>
      <w:r>
        <w:rPr>
          <w:rFonts w:hint="eastAsia" w:ascii="宋体" w:hAnsi="宋体"/>
          <w:kern w:val="44"/>
        </w:rPr>
        <w:t>三家店</w:t>
      </w:r>
      <w:r>
        <w:rPr>
          <w:rFonts w:hint="eastAsia" w:ascii="楷体" w:hAnsi="楷体" w:eastAsia="楷体"/>
          <w:kern w:val="44"/>
        </w:rPr>
        <w:t>—</w:t>
      </w:r>
      <w:r>
        <w:rPr>
          <w:rFonts w:hint="eastAsia" w:ascii="宋体" w:hAnsi="宋体"/>
          <w:kern w:val="44"/>
        </w:rPr>
        <w:t>雁翅斋堂</w:t>
      </w:r>
      <w:r>
        <w:rPr>
          <w:rFonts w:hint="eastAsia" w:ascii="楷体" w:hAnsi="楷体" w:eastAsia="楷体"/>
          <w:kern w:val="44"/>
        </w:rPr>
        <w:t>—</w:t>
      </w:r>
      <w:r>
        <w:rPr>
          <w:rFonts w:hint="eastAsia" w:ascii="宋体" w:hAnsi="宋体"/>
          <w:kern w:val="44"/>
        </w:rPr>
        <w:t>大同。</w:t>
      </w:r>
    </w:p>
    <w:p w14:paraId="4CCC05CC">
      <w:pPr>
        <w:jc w:val="left"/>
        <w:rPr>
          <w:rFonts w:ascii="宋体" w:hAnsi="宋体"/>
          <w:kern w:val="44"/>
        </w:rPr>
      </w:pPr>
      <w:r>
        <w:rPr>
          <w:rFonts w:hint="eastAsia" w:ascii="宋体" w:hAnsi="宋体"/>
          <w:kern w:val="44"/>
        </w:rPr>
        <w:t>京张公路：德胜门</w:t>
      </w:r>
      <w:r>
        <w:rPr>
          <w:rFonts w:hint="eastAsia" w:ascii="楷体" w:hAnsi="楷体" w:eastAsia="楷体"/>
          <w:kern w:val="44"/>
        </w:rPr>
        <w:t>—</w:t>
      </w:r>
      <w:r>
        <w:rPr>
          <w:rFonts w:hint="eastAsia" w:ascii="宋体" w:hAnsi="宋体"/>
          <w:kern w:val="44"/>
        </w:rPr>
        <w:t>昌平</w:t>
      </w:r>
      <w:r>
        <w:rPr>
          <w:rFonts w:hint="eastAsia" w:ascii="楷体" w:hAnsi="楷体" w:eastAsia="楷体"/>
          <w:kern w:val="44"/>
        </w:rPr>
        <w:t>—</w:t>
      </w:r>
      <w:r>
        <w:rPr>
          <w:rFonts w:hint="eastAsia" w:ascii="宋体" w:hAnsi="宋体"/>
          <w:kern w:val="44"/>
        </w:rPr>
        <w:t>德胜口</w:t>
      </w:r>
      <w:r>
        <w:rPr>
          <w:rFonts w:hint="eastAsia" w:ascii="楷体" w:hAnsi="楷体" w:eastAsia="楷体"/>
          <w:kern w:val="44"/>
        </w:rPr>
        <w:t>—</w:t>
      </w:r>
      <w:r>
        <w:rPr>
          <w:rFonts w:hint="eastAsia" w:ascii="宋体" w:hAnsi="宋体"/>
          <w:kern w:val="44"/>
        </w:rPr>
        <w:t>延庆</w:t>
      </w:r>
      <w:r>
        <w:rPr>
          <w:rFonts w:hint="eastAsia" w:ascii="楷体" w:hAnsi="楷体" w:eastAsia="楷体"/>
          <w:kern w:val="44"/>
        </w:rPr>
        <w:t>—</w:t>
      </w:r>
      <w:r>
        <w:rPr>
          <w:rFonts w:hint="eastAsia" w:ascii="宋体" w:hAnsi="宋体"/>
          <w:kern w:val="44"/>
        </w:rPr>
        <w:t>张家口。</w:t>
      </w:r>
    </w:p>
    <w:p w14:paraId="0A651BB2">
      <w:pPr>
        <w:jc w:val="left"/>
        <w:rPr>
          <w:rFonts w:ascii="宋体" w:hAnsi="宋体"/>
          <w:kern w:val="44"/>
        </w:rPr>
      </w:pPr>
      <w:r>
        <w:rPr>
          <w:rFonts w:hint="eastAsia" w:ascii="宋体" w:hAnsi="宋体"/>
          <w:kern w:val="44"/>
        </w:rPr>
        <w:t>京丰公路：安定门</w:t>
      </w:r>
      <w:r>
        <w:rPr>
          <w:rFonts w:hint="eastAsia" w:ascii="楷体" w:hAnsi="楷体" w:eastAsia="楷体"/>
          <w:kern w:val="44"/>
        </w:rPr>
        <w:t>—</w:t>
      </w:r>
      <w:r>
        <w:rPr>
          <w:rFonts w:hint="eastAsia" w:ascii="宋体" w:hAnsi="宋体"/>
          <w:kern w:val="44"/>
        </w:rPr>
        <w:t>立水桥</w:t>
      </w:r>
      <w:r>
        <w:rPr>
          <w:rFonts w:hint="eastAsia" w:ascii="楷体" w:hAnsi="楷体" w:eastAsia="楷体"/>
          <w:kern w:val="44"/>
        </w:rPr>
        <w:t>—</w:t>
      </w:r>
      <w:r>
        <w:rPr>
          <w:rFonts w:hint="eastAsia" w:ascii="宋体" w:hAnsi="宋体"/>
          <w:kern w:val="44"/>
        </w:rPr>
        <w:t>小汤山</w:t>
      </w:r>
      <w:r>
        <w:rPr>
          <w:rFonts w:hint="eastAsia" w:ascii="楷体" w:hAnsi="楷体" w:eastAsia="楷体"/>
          <w:kern w:val="44"/>
        </w:rPr>
        <w:t>—</w:t>
      </w:r>
      <w:r>
        <w:rPr>
          <w:rFonts w:hint="eastAsia" w:ascii="宋体" w:hAnsi="宋体"/>
          <w:kern w:val="44"/>
        </w:rPr>
        <w:t>九渡河</w:t>
      </w:r>
      <w:r>
        <w:rPr>
          <w:rFonts w:hint="eastAsia" w:ascii="楷体" w:hAnsi="楷体" w:eastAsia="楷体"/>
          <w:kern w:val="44"/>
        </w:rPr>
        <w:t>—</w:t>
      </w:r>
      <w:r>
        <w:rPr>
          <w:rFonts w:hint="eastAsia" w:ascii="宋体" w:hAnsi="宋体"/>
          <w:kern w:val="44"/>
        </w:rPr>
        <w:t>四海</w:t>
      </w:r>
      <w:r>
        <w:rPr>
          <w:rFonts w:hint="eastAsia" w:ascii="楷体" w:hAnsi="楷体" w:eastAsia="楷体"/>
          <w:kern w:val="44"/>
        </w:rPr>
        <w:t>—</w:t>
      </w:r>
      <w:r>
        <w:rPr>
          <w:rFonts w:hint="eastAsia" w:ascii="宋体" w:hAnsi="宋体"/>
          <w:kern w:val="44"/>
        </w:rPr>
        <w:t>琉璃庙</w:t>
      </w:r>
      <w:r>
        <w:rPr>
          <w:rFonts w:hint="eastAsia" w:ascii="楷体" w:hAnsi="楷体" w:eastAsia="楷体"/>
          <w:kern w:val="44"/>
        </w:rPr>
        <w:t>—</w:t>
      </w:r>
      <w:r>
        <w:rPr>
          <w:rFonts w:hint="eastAsia" w:ascii="宋体" w:hAnsi="宋体"/>
          <w:kern w:val="44"/>
        </w:rPr>
        <w:t>丰宁。</w:t>
      </w:r>
    </w:p>
    <w:p w14:paraId="4640C50A">
      <w:pPr>
        <w:jc w:val="left"/>
        <w:rPr>
          <w:rFonts w:ascii="宋体" w:hAnsi="宋体"/>
          <w:kern w:val="44"/>
        </w:rPr>
      </w:pPr>
    </w:p>
    <w:p w14:paraId="2E155F89">
      <w:pPr>
        <w:ind w:firstLine="0" w:firstLineChars="0"/>
        <w:jc w:val="left"/>
        <w:rPr>
          <w:rFonts w:ascii="宋体" w:hAnsi="宋体"/>
          <w:b/>
          <w:kern w:val="44"/>
        </w:rPr>
      </w:pPr>
      <w:r>
        <w:rPr>
          <w:rFonts w:hint="eastAsia" w:ascii="宋体" w:hAnsi="宋体"/>
          <w:b/>
          <w:kern w:val="44"/>
        </w:rPr>
        <w:t>附件二：</w:t>
      </w:r>
    </w:p>
    <w:p w14:paraId="3B6F9D64">
      <w:pPr>
        <w:jc w:val="left"/>
        <w:rPr>
          <w:rFonts w:ascii="宋体" w:hAnsi="宋体"/>
          <w:kern w:val="44"/>
        </w:rPr>
      </w:pPr>
    </w:p>
    <w:p w14:paraId="248815AB">
      <w:pPr>
        <w:jc w:val="left"/>
        <w:rPr>
          <w:rFonts w:ascii="宋体" w:hAnsi="宋体"/>
          <w:kern w:val="44"/>
        </w:rPr>
      </w:pPr>
      <w:r>
        <w:rPr>
          <w:rFonts w:hint="eastAsia" w:ascii="宋体" w:hAnsi="宋体"/>
          <w:kern w:val="44"/>
        </w:rPr>
        <w:t>规划次干道（第一批）为：</w:t>
      </w:r>
    </w:p>
    <w:p w14:paraId="7AC08D92">
      <w:pPr>
        <w:jc w:val="left"/>
        <w:rPr>
          <w:rFonts w:ascii="宋体" w:hAnsi="宋体"/>
          <w:kern w:val="44"/>
        </w:rPr>
      </w:pPr>
      <w:r>
        <w:rPr>
          <w:rFonts w:hint="eastAsia" w:ascii="宋体" w:hAnsi="宋体"/>
          <w:kern w:val="44"/>
        </w:rPr>
        <w:t>十条豁口</w:t>
      </w:r>
      <w:r>
        <w:rPr>
          <w:rFonts w:hint="eastAsia" w:ascii="楷体" w:hAnsi="楷体" w:eastAsia="楷体"/>
          <w:kern w:val="44"/>
        </w:rPr>
        <w:t>—</w:t>
      </w:r>
      <w:r>
        <w:rPr>
          <w:rFonts w:hint="eastAsia" w:ascii="宋体" w:hAnsi="宋体"/>
          <w:kern w:val="44"/>
        </w:rPr>
        <w:t>平房</w:t>
      </w:r>
      <w:r>
        <w:rPr>
          <w:rFonts w:hint="eastAsia" w:ascii="楷体" w:hAnsi="楷体" w:eastAsia="楷体"/>
          <w:kern w:val="44"/>
        </w:rPr>
        <w:t>—</w:t>
      </w:r>
      <w:r>
        <w:rPr>
          <w:rFonts w:hint="eastAsia" w:ascii="宋体" w:hAnsi="宋体"/>
          <w:kern w:val="44"/>
        </w:rPr>
        <w:t>通镇</w:t>
      </w:r>
    </w:p>
    <w:p w14:paraId="0772A5EB">
      <w:pPr>
        <w:jc w:val="left"/>
        <w:rPr>
          <w:rFonts w:ascii="宋体" w:hAnsi="宋体"/>
          <w:kern w:val="44"/>
        </w:rPr>
      </w:pPr>
      <w:r>
        <w:rPr>
          <w:rFonts w:hint="eastAsia" w:ascii="宋体" w:hAnsi="宋体"/>
          <w:kern w:val="44"/>
        </w:rPr>
        <w:t>朝阳门</w:t>
      </w:r>
      <w:r>
        <w:rPr>
          <w:rFonts w:hint="eastAsia" w:ascii="楷体" w:hAnsi="楷体" w:eastAsia="楷体"/>
          <w:kern w:val="44"/>
        </w:rPr>
        <w:t>—</w:t>
      </w:r>
      <w:r>
        <w:rPr>
          <w:rFonts w:hint="eastAsia" w:ascii="宋体" w:hAnsi="宋体"/>
          <w:kern w:val="44"/>
        </w:rPr>
        <w:t>定福庄</w:t>
      </w:r>
      <w:r>
        <w:rPr>
          <w:rFonts w:hint="eastAsia" w:ascii="楷体" w:hAnsi="楷体" w:eastAsia="楷体"/>
          <w:kern w:val="44"/>
        </w:rPr>
        <w:t>—</w:t>
      </w:r>
      <w:r>
        <w:rPr>
          <w:rFonts w:hint="eastAsia" w:ascii="宋体" w:hAnsi="宋体"/>
          <w:kern w:val="44"/>
        </w:rPr>
        <w:t>通镇</w:t>
      </w:r>
    </w:p>
    <w:p w14:paraId="6D99DB5B">
      <w:pPr>
        <w:jc w:val="left"/>
        <w:rPr>
          <w:rFonts w:ascii="宋体" w:hAnsi="宋体"/>
          <w:kern w:val="44"/>
        </w:rPr>
      </w:pPr>
      <w:r>
        <w:rPr>
          <w:rFonts w:hint="eastAsia" w:ascii="宋体" w:hAnsi="宋体"/>
          <w:kern w:val="44"/>
        </w:rPr>
        <w:t>广渠门</w:t>
      </w:r>
      <w:r>
        <w:rPr>
          <w:rFonts w:hint="eastAsia" w:ascii="楷体" w:hAnsi="楷体" w:eastAsia="楷体"/>
          <w:kern w:val="44"/>
        </w:rPr>
        <w:t>—</w:t>
      </w:r>
      <w:r>
        <w:rPr>
          <w:rFonts w:hint="eastAsia" w:ascii="宋体" w:hAnsi="宋体"/>
          <w:kern w:val="44"/>
        </w:rPr>
        <w:t>双桥</w:t>
      </w:r>
      <w:r>
        <w:rPr>
          <w:rFonts w:hint="eastAsia" w:ascii="楷体" w:hAnsi="楷体" w:eastAsia="楷体"/>
          <w:kern w:val="44"/>
        </w:rPr>
        <w:t>—</w:t>
      </w:r>
      <w:r>
        <w:rPr>
          <w:rFonts w:hint="eastAsia" w:ascii="宋体" w:hAnsi="宋体"/>
          <w:kern w:val="44"/>
        </w:rPr>
        <w:t>通镇</w:t>
      </w:r>
    </w:p>
    <w:p w14:paraId="214C01B9">
      <w:pPr>
        <w:jc w:val="left"/>
        <w:rPr>
          <w:rFonts w:ascii="宋体" w:hAnsi="宋体"/>
          <w:kern w:val="44"/>
        </w:rPr>
      </w:pPr>
      <w:r>
        <w:rPr>
          <w:rFonts w:hint="eastAsia" w:ascii="宋体" w:hAnsi="宋体"/>
          <w:kern w:val="44"/>
        </w:rPr>
        <w:t>体育馆路</w:t>
      </w:r>
      <w:r>
        <w:rPr>
          <w:rFonts w:hint="eastAsia" w:ascii="楷体" w:hAnsi="楷体" w:eastAsia="楷体"/>
          <w:kern w:val="44"/>
        </w:rPr>
        <w:t>—</w:t>
      </w:r>
      <w:r>
        <w:rPr>
          <w:rFonts w:hint="eastAsia" w:ascii="宋体" w:hAnsi="宋体"/>
          <w:kern w:val="44"/>
        </w:rPr>
        <w:t>垡头</w:t>
      </w:r>
    </w:p>
    <w:p w14:paraId="5B08DEE2">
      <w:pPr>
        <w:jc w:val="left"/>
        <w:rPr>
          <w:rFonts w:ascii="宋体" w:hAnsi="宋体"/>
          <w:kern w:val="44"/>
        </w:rPr>
      </w:pPr>
      <w:r>
        <w:rPr>
          <w:rFonts w:hint="eastAsia" w:ascii="宋体" w:hAnsi="宋体"/>
          <w:kern w:val="44"/>
        </w:rPr>
        <w:t>天坛东侧路</w:t>
      </w:r>
      <w:r>
        <w:rPr>
          <w:rFonts w:hint="eastAsia" w:ascii="楷体" w:hAnsi="楷体" w:eastAsia="楷体"/>
          <w:kern w:val="44"/>
        </w:rPr>
        <w:t>—</w:t>
      </w:r>
      <w:r>
        <w:rPr>
          <w:rFonts w:hint="eastAsia" w:ascii="宋体" w:hAnsi="宋体"/>
          <w:kern w:val="44"/>
        </w:rPr>
        <w:t>东高地</w:t>
      </w:r>
      <w:r>
        <w:rPr>
          <w:rFonts w:hint="eastAsia" w:ascii="楷体" w:hAnsi="楷体" w:eastAsia="楷体"/>
          <w:kern w:val="44"/>
        </w:rPr>
        <w:t>—</w:t>
      </w:r>
      <w:r>
        <w:rPr>
          <w:rFonts w:hint="eastAsia" w:ascii="宋体" w:hAnsi="宋体"/>
          <w:kern w:val="44"/>
        </w:rPr>
        <w:t>青云店</w:t>
      </w:r>
      <w:r>
        <w:rPr>
          <w:rFonts w:hint="eastAsia" w:ascii="楷体" w:hAnsi="楷体" w:eastAsia="楷体"/>
          <w:kern w:val="44"/>
        </w:rPr>
        <w:t>—</w:t>
      </w:r>
      <w:r>
        <w:rPr>
          <w:rFonts w:hint="eastAsia" w:ascii="宋体" w:hAnsi="宋体"/>
          <w:kern w:val="44"/>
        </w:rPr>
        <w:t>安定</w:t>
      </w:r>
    </w:p>
    <w:p w14:paraId="1FB3E271">
      <w:pPr>
        <w:jc w:val="left"/>
        <w:rPr>
          <w:rFonts w:ascii="宋体" w:hAnsi="宋体"/>
          <w:kern w:val="44"/>
        </w:rPr>
      </w:pPr>
      <w:r>
        <w:rPr>
          <w:rFonts w:hint="eastAsia" w:ascii="宋体" w:hAnsi="宋体"/>
          <w:kern w:val="44"/>
        </w:rPr>
        <w:t>永定门</w:t>
      </w:r>
      <w:r>
        <w:rPr>
          <w:rFonts w:hint="eastAsia" w:ascii="楷体" w:hAnsi="楷体" w:eastAsia="楷体"/>
          <w:kern w:val="44"/>
        </w:rPr>
        <w:t>—</w:t>
      </w:r>
      <w:r>
        <w:rPr>
          <w:rFonts w:hint="eastAsia" w:ascii="宋体" w:hAnsi="宋体"/>
          <w:kern w:val="44"/>
        </w:rPr>
        <w:t>南苑</w:t>
      </w:r>
    </w:p>
    <w:p w14:paraId="3523816D">
      <w:pPr>
        <w:jc w:val="left"/>
        <w:rPr>
          <w:rFonts w:ascii="宋体" w:hAnsi="宋体"/>
          <w:kern w:val="44"/>
        </w:rPr>
      </w:pPr>
      <w:r>
        <w:rPr>
          <w:rFonts w:hint="eastAsia" w:ascii="宋体" w:hAnsi="宋体"/>
          <w:kern w:val="44"/>
        </w:rPr>
        <w:t>陶然亭豁口</w:t>
      </w:r>
      <w:r>
        <w:rPr>
          <w:rFonts w:hint="eastAsia" w:ascii="楷体" w:hAnsi="楷体" w:eastAsia="楷体"/>
          <w:kern w:val="44"/>
        </w:rPr>
        <w:t>—</w:t>
      </w:r>
      <w:r>
        <w:rPr>
          <w:rFonts w:hint="eastAsia" w:ascii="宋体" w:hAnsi="宋体"/>
          <w:kern w:val="44"/>
        </w:rPr>
        <w:t>团河</w:t>
      </w:r>
      <w:r>
        <w:rPr>
          <w:rFonts w:hint="eastAsia" w:ascii="楷体" w:hAnsi="楷体" w:eastAsia="楷体"/>
          <w:kern w:val="44"/>
        </w:rPr>
        <w:t>—</w:t>
      </w:r>
      <w:r>
        <w:rPr>
          <w:rFonts w:hint="eastAsia" w:ascii="宋体" w:hAnsi="宋体"/>
          <w:kern w:val="44"/>
        </w:rPr>
        <w:t>黄村</w:t>
      </w:r>
    </w:p>
    <w:p w14:paraId="08DA4CC7">
      <w:pPr>
        <w:jc w:val="left"/>
        <w:rPr>
          <w:rFonts w:ascii="宋体" w:hAnsi="宋体"/>
          <w:kern w:val="44"/>
        </w:rPr>
      </w:pPr>
      <w:r>
        <w:rPr>
          <w:rFonts w:hint="eastAsia" w:ascii="宋体" w:hAnsi="宋体"/>
          <w:kern w:val="44"/>
        </w:rPr>
        <w:t>西南城角</w:t>
      </w:r>
      <w:r>
        <w:rPr>
          <w:rFonts w:hint="eastAsia" w:ascii="楷体" w:hAnsi="楷体" w:eastAsia="楷体"/>
          <w:kern w:val="44"/>
        </w:rPr>
        <w:t>—</w:t>
      </w:r>
      <w:r>
        <w:rPr>
          <w:rFonts w:hint="eastAsia" w:ascii="宋体" w:hAnsi="宋体"/>
          <w:kern w:val="44"/>
        </w:rPr>
        <w:t>丰台</w:t>
      </w:r>
    </w:p>
    <w:p w14:paraId="2651A9E9">
      <w:pPr>
        <w:jc w:val="left"/>
        <w:rPr>
          <w:rFonts w:ascii="宋体" w:hAnsi="宋体"/>
          <w:kern w:val="44"/>
        </w:rPr>
      </w:pPr>
      <w:r>
        <w:rPr>
          <w:rFonts w:hint="eastAsia" w:ascii="宋体" w:hAnsi="宋体"/>
          <w:kern w:val="44"/>
        </w:rPr>
        <w:t>吴家场</w:t>
      </w:r>
      <w:r>
        <w:rPr>
          <w:rFonts w:hint="eastAsia" w:ascii="楷体" w:hAnsi="楷体" w:eastAsia="楷体"/>
          <w:kern w:val="44"/>
        </w:rPr>
        <w:t>—</w:t>
      </w:r>
      <w:r>
        <w:rPr>
          <w:rFonts w:hint="eastAsia" w:ascii="宋体" w:hAnsi="宋体"/>
          <w:kern w:val="44"/>
        </w:rPr>
        <w:t>卢沟桥</w:t>
      </w:r>
    </w:p>
    <w:p w14:paraId="2519BED6">
      <w:pPr>
        <w:jc w:val="left"/>
        <w:rPr>
          <w:rFonts w:ascii="宋体" w:hAnsi="宋体"/>
          <w:kern w:val="44"/>
        </w:rPr>
      </w:pPr>
      <w:r>
        <w:rPr>
          <w:rFonts w:hint="eastAsia" w:ascii="宋体" w:hAnsi="宋体"/>
          <w:kern w:val="44"/>
        </w:rPr>
        <w:t>西便门</w:t>
      </w:r>
      <w:r>
        <w:rPr>
          <w:rFonts w:hint="eastAsia" w:ascii="楷体" w:hAnsi="楷体" w:eastAsia="楷体"/>
          <w:kern w:val="44"/>
        </w:rPr>
        <w:t>—</w:t>
      </w:r>
      <w:r>
        <w:rPr>
          <w:rFonts w:hint="eastAsia" w:ascii="宋体" w:hAnsi="宋体"/>
          <w:kern w:val="44"/>
        </w:rPr>
        <w:t>衙门口</w:t>
      </w:r>
    </w:p>
    <w:p w14:paraId="0D8D641D">
      <w:pPr>
        <w:jc w:val="left"/>
        <w:rPr>
          <w:rFonts w:ascii="宋体" w:hAnsi="宋体"/>
          <w:kern w:val="44"/>
        </w:rPr>
      </w:pPr>
      <w:r>
        <w:rPr>
          <w:rFonts w:hint="eastAsia" w:ascii="宋体" w:hAnsi="宋体"/>
          <w:kern w:val="44"/>
        </w:rPr>
        <w:t>车公庄大街</w:t>
      </w:r>
      <w:r>
        <w:rPr>
          <w:rFonts w:hint="eastAsia" w:ascii="楷体" w:hAnsi="楷体" w:eastAsia="楷体"/>
          <w:kern w:val="44"/>
        </w:rPr>
        <w:t>—</w:t>
      </w:r>
      <w:r>
        <w:rPr>
          <w:rFonts w:hint="eastAsia" w:ascii="宋体" w:hAnsi="宋体"/>
          <w:kern w:val="44"/>
        </w:rPr>
        <w:t>模式口</w:t>
      </w:r>
    </w:p>
    <w:p w14:paraId="249D6DCC">
      <w:pPr>
        <w:jc w:val="left"/>
        <w:rPr>
          <w:rFonts w:ascii="宋体" w:hAnsi="宋体"/>
          <w:kern w:val="44"/>
        </w:rPr>
      </w:pPr>
      <w:r>
        <w:rPr>
          <w:rFonts w:hint="eastAsia" w:ascii="宋体" w:hAnsi="宋体"/>
          <w:kern w:val="44"/>
        </w:rPr>
        <w:t>西直门</w:t>
      </w:r>
      <w:r>
        <w:rPr>
          <w:rFonts w:hint="eastAsia" w:ascii="楷体" w:hAnsi="楷体" w:eastAsia="楷体"/>
          <w:kern w:val="44"/>
        </w:rPr>
        <w:t>—</w:t>
      </w:r>
      <w:r>
        <w:rPr>
          <w:rFonts w:hint="eastAsia" w:ascii="宋体" w:hAnsi="宋体"/>
          <w:kern w:val="44"/>
        </w:rPr>
        <w:t>小南庄</w:t>
      </w:r>
      <w:r>
        <w:rPr>
          <w:rFonts w:hint="eastAsia" w:ascii="楷体" w:hAnsi="楷体" w:eastAsia="楷体"/>
          <w:kern w:val="44"/>
        </w:rPr>
        <w:t>—</w:t>
      </w:r>
      <w:r>
        <w:rPr>
          <w:rFonts w:hint="eastAsia" w:ascii="宋体" w:hAnsi="宋体"/>
          <w:kern w:val="44"/>
        </w:rPr>
        <w:t>圆明园</w:t>
      </w:r>
      <w:r>
        <w:rPr>
          <w:rFonts w:hint="eastAsia" w:ascii="楷体" w:hAnsi="楷体" w:eastAsia="楷体"/>
          <w:kern w:val="44"/>
        </w:rPr>
        <w:t>—</w:t>
      </w:r>
      <w:r>
        <w:rPr>
          <w:rFonts w:hint="eastAsia" w:ascii="宋体" w:hAnsi="宋体"/>
          <w:kern w:val="44"/>
        </w:rPr>
        <w:t>温泉</w:t>
      </w:r>
      <w:r>
        <w:rPr>
          <w:rFonts w:hint="eastAsia" w:ascii="楷体" w:hAnsi="楷体" w:eastAsia="楷体"/>
          <w:kern w:val="44"/>
        </w:rPr>
        <w:t>—</w:t>
      </w:r>
      <w:r>
        <w:rPr>
          <w:rFonts w:hint="eastAsia" w:ascii="宋体" w:hAnsi="宋体"/>
          <w:kern w:val="44"/>
        </w:rPr>
        <w:t>大觉寺</w:t>
      </w:r>
    </w:p>
    <w:p w14:paraId="32E90C67">
      <w:pPr>
        <w:jc w:val="left"/>
        <w:rPr>
          <w:rFonts w:ascii="宋体" w:hAnsi="宋体"/>
          <w:kern w:val="44"/>
        </w:rPr>
      </w:pPr>
      <w:r>
        <w:rPr>
          <w:rFonts w:hint="eastAsia" w:ascii="宋体" w:hAnsi="宋体"/>
          <w:kern w:val="44"/>
        </w:rPr>
        <w:t>西直门京包铁路经清河</w:t>
      </w:r>
      <w:r>
        <w:rPr>
          <w:rFonts w:hint="eastAsia" w:ascii="楷体" w:hAnsi="楷体" w:eastAsia="楷体"/>
          <w:kern w:val="44"/>
        </w:rPr>
        <w:t>—</w:t>
      </w:r>
      <w:r>
        <w:rPr>
          <w:rFonts w:hint="eastAsia" w:ascii="宋体" w:hAnsi="宋体"/>
          <w:kern w:val="44"/>
        </w:rPr>
        <w:t>老牛湾</w:t>
      </w:r>
      <w:r>
        <w:rPr>
          <w:rFonts w:hint="eastAsia" w:ascii="楷体" w:hAnsi="楷体" w:eastAsia="楷体"/>
          <w:kern w:val="44"/>
        </w:rPr>
        <w:t>—</w:t>
      </w:r>
      <w:r>
        <w:rPr>
          <w:rFonts w:hint="eastAsia" w:ascii="宋体" w:hAnsi="宋体"/>
          <w:kern w:val="44"/>
        </w:rPr>
        <w:t>昌平</w:t>
      </w:r>
    </w:p>
    <w:p w14:paraId="3EDBBD86">
      <w:pPr>
        <w:jc w:val="left"/>
        <w:rPr>
          <w:rFonts w:ascii="宋体" w:hAnsi="宋体"/>
          <w:kern w:val="44"/>
        </w:rPr>
      </w:pPr>
      <w:r>
        <w:rPr>
          <w:rFonts w:hint="eastAsia" w:ascii="宋体" w:hAnsi="宋体"/>
          <w:kern w:val="44"/>
        </w:rPr>
        <w:t>东北城角</w:t>
      </w:r>
      <w:r>
        <w:rPr>
          <w:rFonts w:hint="eastAsia" w:ascii="楷体" w:hAnsi="楷体" w:eastAsia="楷体"/>
          <w:kern w:val="44"/>
        </w:rPr>
        <w:t>—</w:t>
      </w:r>
      <w:r>
        <w:rPr>
          <w:rFonts w:hint="eastAsia" w:ascii="宋体" w:hAnsi="宋体"/>
          <w:kern w:val="44"/>
        </w:rPr>
        <w:t>沙子营</w:t>
      </w:r>
      <w:r>
        <w:rPr>
          <w:rFonts w:hint="eastAsia" w:ascii="楷体" w:hAnsi="楷体" w:eastAsia="楷体"/>
          <w:kern w:val="44"/>
        </w:rPr>
        <w:t>—</w:t>
      </w:r>
      <w:r>
        <w:rPr>
          <w:rFonts w:hint="eastAsia" w:ascii="宋体" w:hAnsi="宋体"/>
          <w:kern w:val="44"/>
        </w:rPr>
        <w:t>高丽营</w:t>
      </w:r>
      <w:r>
        <w:rPr>
          <w:rFonts w:hint="eastAsia" w:ascii="楷体" w:hAnsi="楷体" w:eastAsia="楷体"/>
          <w:kern w:val="44"/>
        </w:rPr>
        <w:t>—</w:t>
      </w:r>
      <w:r>
        <w:rPr>
          <w:rFonts w:hint="eastAsia" w:ascii="宋体" w:hAnsi="宋体"/>
          <w:kern w:val="44"/>
        </w:rPr>
        <w:t>怀柔</w:t>
      </w:r>
    </w:p>
    <w:p w14:paraId="5EE68274">
      <w:pPr>
        <w:jc w:val="left"/>
        <w:rPr>
          <w:rFonts w:ascii="宋体" w:hAnsi="宋体"/>
          <w:kern w:val="44"/>
        </w:rPr>
      </w:pPr>
      <w:r>
        <w:rPr>
          <w:rFonts w:hint="eastAsia" w:ascii="宋体" w:hAnsi="宋体"/>
          <w:kern w:val="44"/>
        </w:rPr>
        <w:t>亮马桥</w:t>
      </w:r>
      <w:r>
        <w:rPr>
          <w:rFonts w:hint="eastAsia" w:ascii="楷体" w:hAnsi="楷体" w:eastAsia="楷体"/>
          <w:kern w:val="44"/>
        </w:rPr>
        <w:t>—</w:t>
      </w:r>
      <w:r>
        <w:rPr>
          <w:rFonts w:hint="eastAsia" w:ascii="宋体" w:hAnsi="宋体"/>
          <w:kern w:val="44"/>
        </w:rPr>
        <w:t>东坝</w:t>
      </w:r>
      <w:r>
        <w:rPr>
          <w:rFonts w:hint="eastAsia" w:ascii="楷体" w:hAnsi="楷体" w:eastAsia="楷体"/>
          <w:kern w:val="44"/>
        </w:rPr>
        <w:t>—</w:t>
      </w:r>
      <w:r>
        <w:rPr>
          <w:rFonts w:hint="eastAsia" w:ascii="宋体" w:hAnsi="宋体"/>
          <w:kern w:val="44"/>
        </w:rPr>
        <w:t>徐辛庄</w:t>
      </w:r>
    </w:p>
    <w:p w14:paraId="2386CB0F">
      <w:pPr>
        <w:jc w:val="left"/>
        <w:rPr>
          <w:rFonts w:ascii="宋体" w:hAnsi="宋体"/>
          <w:kern w:val="44"/>
        </w:rPr>
      </w:pPr>
      <w:r>
        <w:rPr>
          <w:rFonts w:hint="eastAsia" w:ascii="宋体" w:hAnsi="宋体"/>
          <w:kern w:val="44"/>
        </w:rPr>
        <w:t>顺义</w:t>
      </w:r>
      <w:r>
        <w:rPr>
          <w:rFonts w:hint="eastAsia" w:ascii="楷体" w:hAnsi="楷体" w:eastAsia="楷体"/>
          <w:kern w:val="44"/>
        </w:rPr>
        <w:t>—</w:t>
      </w:r>
      <w:r>
        <w:rPr>
          <w:rFonts w:hint="eastAsia" w:ascii="宋体" w:hAnsi="宋体"/>
          <w:kern w:val="44"/>
        </w:rPr>
        <w:t>杨各庄</w:t>
      </w:r>
      <w:r>
        <w:rPr>
          <w:rFonts w:hint="eastAsia" w:ascii="楷体" w:hAnsi="楷体" w:eastAsia="楷体"/>
          <w:kern w:val="44"/>
        </w:rPr>
        <w:t>—</w:t>
      </w:r>
      <w:r>
        <w:rPr>
          <w:rFonts w:hint="eastAsia" w:ascii="宋体" w:hAnsi="宋体"/>
          <w:kern w:val="44"/>
        </w:rPr>
        <w:t>平谷</w:t>
      </w:r>
      <w:r>
        <w:rPr>
          <w:rFonts w:hint="eastAsia" w:ascii="楷体" w:hAnsi="楷体" w:eastAsia="楷体"/>
          <w:kern w:val="44"/>
        </w:rPr>
        <w:t>—</w:t>
      </w:r>
      <w:r>
        <w:rPr>
          <w:rFonts w:hint="eastAsia" w:ascii="宋体" w:hAnsi="宋体"/>
          <w:kern w:val="44"/>
        </w:rPr>
        <w:t>海子水库</w:t>
      </w:r>
    </w:p>
    <w:p w14:paraId="6A8B85B0">
      <w:pPr>
        <w:jc w:val="left"/>
        <w:rPr>
          <w:rFonts w:ascii="宋体" w:hAnsi="宋体"/>
          <w:kern w:val="44"/>
        </w:rPr>
      </w:pPr>
      <w:r>
        <w:rPr>
          <w:rFonts w:hint="eastAsia" w:ascii="宋体" w:hAnsi="宋体"/>
          <w:kern w:val="44"/>
        </w:rPr>
        <w:t>黄土坡</w:t>
      </w:r>
      <w:r>
        <w:rPr>
          <w:rFonts w:hint="eastAsia" w:ascii="楷体" w:hAnsi="楷体" w:eastAsia="楷体"/>
          <w:kern w:val="44"/>
        </w:rPr>
        <w:t>—</w:t>
      </w:r>
      <w:r>
        <w:rPr>
          <w:rFonts w:hint="eastAsia" w:ascii="宋体" w:hAnsi="宋体"/>
          <w:kern w:val="44"/>
        </w:rPr>
        <w:t>良乡</w:t>
      </w:r>
      <w:r>
        <w:rPr>
          <w:rFonts w:hint="eastAsia" w:ascii="楷体" w:hAnsi="楷体" w:eastAsia="楷体"/>
          <w:kern w:val="44"/>
        </w:rPr>
        <w:t>—</w:t>
      </w:r>
      <w:r>
        <w:rPr>
          <w:rFonts w:hint="eastAsia" w:ascii="宋体" w:hAnsi="宋体"/>
          <w:kern w:val="44"/>
        </w:rPr>
        <w:t>房山</w:t>
      </w:r>
      <w:r>
        <w:rPr>
          <w:rFonts w:hint="eastAsia" w:ascii="楷体" w:hAnsi="楷体" w:eastAsia="楷体"/>
          <w:kern w:val="44"/>
        </w:rPr>
        <w:t>—</w:t>
      </w:r>
      <w:r>
        <w:rPr>
          <w:rFonts w:hint="eastAsia" w:ascii="宋体" w:hAnsi="宋体"/>
          <w:kern w:val="44"/>
        </w:rPr>
        <w:t>长沟</w:t>
      </w:r>
      <w:r>
        <w:rPr>
          <w:rFonts w:hint="eastAsia" w:ascii="楷体" w:hAnsi="楷体" w:eastAsia="楷体"/>
          <w:kern w:val="44"/>
        </w:rPr>
        <w:t>—</w:t>
      </w:r>
      <w:r>
        <w:rPr>
          <w:rFonts w:hint="eastAsia" w:ascii="宋体" w:hAnsi="宋体"/>
          <w:kern w:val="44"/>
        </w:rPr>
        <w:t>张坊</w:t>
      </w:r>
    </w:p>
    <w:p w14:paraId="4A93E491">
      <w:pPr>
        <w:jc w:val="left"/>
        <w:rPr>
          <w:rFonts w:ascii="宋体" w:hAnsi="宋体"/>
          <w:kern w:val="44"/>
        </w:rPr>
      </w:pPr>
      <w:r>
        <w:rPr>
          <w:rFonts w:hint="eastAsia" w:ascii="宋体" w:hAnsi="宋体"/>
          <w:kern w:val="44"/>
        </w:rPr>
        <w:t>良乡</w:t>
      </w:r>
      <w:r>
        <w:rPr>
          <w:rFonts w:hint="eastAsia" w:ascii="楷体" w:hAnsi="楷体" w:eastAsia="楷体"/>
          <w:kern w:val="44"/>
        </w:rPr>
        <w:t>—</w:t>
      </w:r>
      <w:r>
        <w:rPr>
          <w:rFonts w:hint="eastAsia" w:ascii="宋体" w:hAnsi="宋体"/>
          <w:kern w:val="44"/>
        </w:rPr>
        <w:t>阎村</w:t>
      </w:r>
      <w:r>
        <w:rPr>
          <w:rFonts w:hint="eastAsia" w:ascii="楷体" w:hAnsi="楷体" w:eastAsia="楷体"/>
          <w:kern w:val="44"/>
        </w:rPr>
        <w:t>—</w:t>
      </w:r>
      <w:r>
        <w:rPr>
          <w:rFonts w:hint="eastAsia" w:ascii="宋体" w:hAnsi="宋体"/>
          <w:kern w:val="44"/>
        </w:rPr>
        <w:t>燕山石化区</w:t>
      </w:r>
    </w:p>
    <w:p w14:paraId="6316DF14">
      <w:pPr>
        <w:jc w:val="left"/>
        <w:rPr>
          <w:rFonts w:ascii="宋体" w:hAnsi="宋体"/>
          <w:kern w:val="44"/>
        </w:rPr>
      </w:pPr>
      <w:r>
        <w:rPr>
          <w:rFonts w:hint="eastAsia" w:ascii="宋体" w:hAnsi="宋体"/>
          <w:kern w:val="44"/>
        </w:rPr>
        <w:t>燕山石化区</w:t>
      </w:r>
      <w:r>
        <w:rPr>
          <w:rFonts w:hint="eastAsia" w:ascii="楷体" w:hAnsi="楷体" w:eastAsia="楷体"/>
          <w:kern w:val="44"/>
        </w:rPr>
        <w:t>——</w:t>
      </w:r>
      <w:r>
        <w:rPr>
          <w:rFonts w:hint="eastAsia" w:ascii="宋体" w:hAnsi="宋体"/>
          <w:kern w:val="44"/>
        </w:rPr>
        <w:t>周口店</w:t>
      </w:r>
      <w:r>
        <w:rPr>
          <w:rFonts w:hint="eastAsia" w:ascii="楷体" w:hAnsi="楷体" w:eastAsia="楷体"/>
          <w:kern w:val="44"/>
        </w:rPr>
        <w:t>—</w:t>
      </w:r>
      <w:r>
        <w:rPr>
          <w:rFonts w:hint="eastAsia" w:ascii="宋体" w:hAnsi="宋体"/>
          <w:kern w:val="44"/>
        </w:rPr>
        <w:t>云居寺</w:t>
      </w:r>
      <w:r>
        <w:rPr>
          <w:rFonts w:hint="eastAsia" w:ascii="楷体" w:hAnsi="楷体" w:eastAsia="楷体"/>
          <w:kern w:val="44"/>
        </w:rPr>
        <w:t>—</w:t>
      </w:r>
      <w:r>
        <w:rPr>
          <w:rFonts w:hint="eastAsia" w:ascii="宋体" w:hAnsi="宋体"/>
          <w:kern w:val="44"/>
        </w:rPr>
        <w:t>张坊</w:t>
      </w:r>
    </w:p>
    <w:p w14:paraId="5720CA74">
      <w:pPr>
        <w:jc w:val="left"/>
        <w:rPr>
          <w:rFonts w:ascii="宋体" w:hAnsi="宋体"/>
          <w:kern w:val="44"/>
        </w:rPr>
      </w:pPr>
      <w:r>
        <w:rPr>
          <w:rFonts w:hint="eastAsia" w:ascii="宋体" w:hAnsi="宋体"/>
          <w:kern w:val="44"/>
        </w:rPr>
        <w:t>昌平</w:t>
      </w:r>
      <w:r>
        <w:rPr>
          <w:rFonts w:hint="eastAsia" w:ascii="楷体" w:hAnsi="楷体" w:eastAsia="楷体"/>
          <w:kern w:val="44"/>
        </w:rPr>
        <w:t>—</w:t>
      </w:r>
      <w:r>
        <w:rPr>
          <w:rFonts w:hint="eastAsia" w:ascii="宋体" w:hAnsi="宋体"/>
          <w:kern w:val="44"/>
        </w:rPr>
        <w:t>南口</w:t>
      </w:r>
      <w:r>
        <w:rPr>
          <w:rFonts w:hint="eastAsia" w:ascii="楷体" w:hAnsi="楷体" w:eastAsia="楷体"/>
          <w:kern w:val="44"/>
        </w:rPr>
        <w:t>—</w:t>
      </w:r>
      <w:r>
        <w:rPr>
          <w:rFonts w:hint="eastAsia" w:ascii="宋体" w:hAnsi="宋体"/>
          <w:kern w:val="44"/>
        </w:rPr>
        <w:t>西拨子</w:t>
      </w:r>
      <w:r>
        <w:rPr>
          <w:rFonts w:hint="eastAsia" w:ascii="楷体" w:hAnsi="楷体" w:eastAsia="楷体"/>
          <w:kern w:val="44"/>
        </w:rPr>
        <w:t>—</w:t>
      </w:r>
      <w:r>
        <w:rPr>
          <w:rFonts w:hint="eastAsia" w:ascii="宋体" w:hAnsi="宋体"/>
          <w:kern w:val="44"/>
        </w:rPr>
        <w:t>延庆</w:t>
      </w:r>
    </w:p>
    <w:p w14:paraId="109BA895">
      <w:pPr>
        <w:jc w:val="left"/>
        <w:rPr>
          <w:rFonts w:ascii="宋体" w:hAnsi="宋体"/>
          <w:kern w:val="44"/>
        </w:rPr>
      </w:pPr>
      <w:r>
        <w:rPr>
          <w:rFonts w:hint="eastAsia" w:ascii="宋体" w:hAnsi="宋体"/>
          <w:kern w:val="44"/>
        </w:rPr>
        <w:t>十三陵（定陵西）</w:t>
      </w:r>
      <w:r>
        <w:rPr>
          <w:rFonts w:hint="eastAsia" w:ascii="楷体" w:hAnsi="楷体" w:eastAsia="楷体"/>
          <w:kern w:val="44"/>
        </w:rPr>
        <w:t>—</w:t>
      </w:r>
      <w:r>
        <w:rPr>
          <w:rFonts w:hint="eastAsia" w:ascii="宋体" w:hAnsi="宋体"/>
          <w:kern w:val="44"/>
        </w:rPr>
        <w:t>永宁</w:t>
      </w:r>
      <w:r>
        <w:rPr>
          <w:rFonts w:hint="eastAsia" w:ascii="楷体" w:hAnsi="楷体" w:eastAsia="楷体"/>
          <w:kern w:val="44"/>
        </w:rPr>
        <w:t>—</w:t>
      </w:r>
      <w:r>
        <w:rPr>
          <w:rFonts w:hint="eastAsia" w:ascii="宋体" w:hAnsi="宋体"/>
          <w:kern w:val="44"/>
        </w:rPr>
        <w:t>白河堡</w:t>
      </w:r>
    </w:p>
    <w:p w14:paraId="5FAD5245">
      <w:pPr>
        <w:jc w:val="left"/>
        <w:rPr>
          <w:rFonts w:ascii="宋体" w:hAnsi="宋体"/>
          <w:kern w:val="44"/>
        </w:rPr>
      </w:pPr>
      <w:r>
        <w:rPr>
          <w:rFonts w:hint="eastAsia" w:ascii="宋体" w:hAnsi="宋体"/>
          <w:kern w:val="44"/>
        </w:rPr>
        <w:t>怀柔</w:t>
      </w:r>
      <w:r>
        <w:rPr>
          <w:rFonts w:hint="eastAsia" w:ascii="楷体" w:hAnsi="楷体" w:eastAsia="楷体"/>
          <w:kern w:val="44"/>
        </w:rPr>
        <w:t>—</w:t>
      </w:r>
      <w:r>
        <w:rPr>
          <w:rFonts w:hint="eastAsia" w:ascii="宋体" w:hAnsi="宋体"/>
          <w:kern w:val="44"/>
        </w:rPr>
        <w:t>汤河口</w:t>
      </w:r>
      <w:r>
        <w:rPr>
          <w:rFonts w:hint="eastAsia" w:ascii="楷体" w:hAnsi="楷体" w:eastAsia="楷体"/>
          <w:kern w:val="44"/>
        </w:rPr>
        <w:t>—</w:t>
      </w:r>
      <w:r>
        <w:rPr>
          <w:rFonts w:hint="eastAsia" w:ascii="宋体" w:hAnsi="宋体"/>
          <w:kern w:val="44"/>
        </w:rPr>
        <w:t>琉璃庙</w:t>
      </w:r>
    </w:p>
    <w:p w14:paraId="60055960">
      <w:pPr>
        <w:jc w:val="left"/>
        <w:rPr>
          <w:rFonts w:ascii="宋体" w:hAnsi="宋体"/>
          <w:kern w:val="44"/>
        </w:rPr>
      </w:pPr>
      <w:r>
        <w:rPr>
          <w:rFonts w:hint="eastAsia" w:ascii="宋体" w:hAnsi="宋体"/>
          <w:kern w:val="44"/>
        </w:rPr>
        <w:t>通镇</w:t>
      </w:r>
      <w:r>
        <w:rPr>
          <w:rFonts w:hint="eastAsia" w:ascii="楷体" w:hAnsi="楷体" w:eastAsia="楷体"/>
          <w:kern w:val="44"/>
        </w:rPr>
        <w:t>—</w:t>
      </w:r>
      <w:r>
        <w:rPr>
          <w:rFonts w:hint="eastAsia" w:ascii="宋体" w:hAnsi="宋体"/>
          <w:kern w:val="44"/>
        </w:rPr>
        <w:t>马头</w:t>
      </w:r>
      <w:r>
        <w:rPr>
          <w:rFonts w:hint="eastAsia" w:ascii="楷体" w:hAnsi="楷体" w:eastAsia="楷体"/>
          <w:kern w:val="44"/>
        </w:rPr>
        <w:t>—</w:t>
      </w:r>
      <w:r>
        <w:rPr>
          <w:rFonts w:hint="eastAsia" w:ascii="宋体" w:hAnsi="宋体"/>
          <w:kern w:val="44"/>
        </w:rPr>
        <w:t>觅子店</w:t>
      </w:r>
    </w:p>
    <w:p w14:paraId="2087CB07">
      <w:pPr>
        <w:pStyle w:val="4"/>
        <w:pageBreakBefore/>
        <w:rPr>
          <w:kern w:val="44"/>
        </w:rPr>
      </w:pPr>
      <w:bookmarkStart w:id="759" w:name="_Toc422471215"/>
      <w:bookmarkStart w:id="760" w:name="_Toc427651852"/>
      <w:bookmarkStart w:id="761" w:name="_Toc427651510"/>
      <w:bookmarkStart w:id="762" w:name="_Toc428780076"/>
      <w:bookmarkStart w:id="763" w:name="_Toc428781558"/>
      <w:r>
        <w:rPr>
          <w:rFonts w:hint="eastAsia"/>
          <w:kern w:val="44"/>
        </w:rPr>
        <w:t>关于划定市区河道两侧</w:t>
      </w:r>
      <w:bookmarkEnd w:id="759"/>
      <w:bookmarkStart w:id="764" w:name="_Toc422471216"/>
      <w:r>
        <w:rPr>
          <w:rFonts w:hint="eastAsia"/>
          <w:kern w:val="44"/>
        </w:rPr>
        <w:t>隔离带的规定</w:t>
      </w:r>
      <w:bookmarkEnd w:id="760"/>
      <w:bookmarkEnd w:id="761"/>
      <w:bookmarkEnd w:id="762"/>
      <w:bookmarkEnd w:id="763"/>
      <w:bookmarkEnd w:id="764"/>
    </w:p>
    <w:p w14:paraId="26F81F6B">
      <w:pPr>
        <w:ind w:left="630" w:leftChars="300" w:right="630" w:rightChars="300"/>
        <w:jc w:val="left"/>
        <w:rPr>
          <w:rFonts w:ascii="楷体" w:hAnsi="楷体" w:eastAsia="楷体"/>
          <w:kern w:val="44"/>
        </w:rPr>
      </w:pPr>
      <w:r>
        <w:rPr>
          <w:rFonts w:hint="eastAsia" w:ascii="楷体" w:hAnsi="楷体" w:eastAsia="楷体"/>
          <w:kern w:val="44"/>
        </w:rPr>
        <w:t>（1984年11月15日北京市人民政府京政发126号文件发布　根据1994年1月17日北京市人民政府批准修改）</w:t>
      </w:r>
    </w:p>
    <w:p w14:paraId="3774AD9E">
      <w:pPr>
        <w:jc w:val="left"/>
        <w:rPr>
          <w:rFonts w:ascii="宋体" w:hAnsi="宋体"/>
          <w:kern w:val="44"/>
        </w:rPr>
      </w:pPr>
    </w:p>
    <w:p w14:paraId="6B0C432E">
      <w:pPr>
        <w:jc w:val="left"/>
        <w:rPr>
          <w:rFonts w:ascii="宋体" w:hAnsi="宋体"/>
          <w:kern w:val="44"/>
        </w:rPr>
      </w:pPr>
      <w:r>
        <w:rPr>
          <w:rFonts w:hint="eastAsia" w:ascii="宋体" w:hAnsi="宋体"/>
          <w:kern w:val="44"/>
        </w:rPr>
        <w:t>为了贯彻北京城市总体规划方案，加强城市的环境建设，提高绿化和环境卫生水平，开发、整治城市水系，保护水源，确保排水顺畅，为首都人民的工作和生活创造良好的条件，特将市区河道两侧一定范围划为隔离带，并对隔离带的范围和管理作如下规定：</w:t>
      </w:r>
    </w:p>
    <w:p w14:paraId="42F78A82">
      <w:pPr>
        <w:ind w:firstLine="422"/>
        <w:jc w:val="left"/>
        <w:rPr>
          <w:rFonts w:ascii="宋体" w:hAnsi="宋体"/>
          <w:kern w:val="44"/>
        </w:rPr>
      </w:pPr>
      <w:r>
        <w:rPr>
          <w:rFonts w:hint="eastAsia" w:ascii="宋体" w:hAnsi="宋体"/>
          <w:b/>
          <w:kern w:val="44"/>
        </w:rPr>
        <w:t>一、</w:t>
      </w:r>
      <w:r>
        <w:rPr>
          <w:rFonts w:hint="eastAsia" w:ascii="宋体" w:hAnsi="宋体"/>
          <w:kern w:val="44"/>
        </w:rPr>
        <w:t>市区河道隔离带范围</w:t>
      </w:r>
    </w:p>
    <w:p w14:paraId="6765B202">
      <w:pPr>
        <w:jc w:val="left"/>
        <w:rPr>
          <w:rFonts w:ascii="宋体" w:hAnsi="宋体"/>
          <w:kern w:val="44"/>
        </w:rPr>
      </w:pPr>
      <w:r>
        <w:rPr>
          <w:rFonts w:hint="eastAsia" w:ascii="宋体" w:hAnsi="宋体"/>
          <w:kern w:val="44"/>
        </w:rPr>
        <w:t>市区河道按其所处位置和主要功能分为风景观赏河道、水源河道和排水河道三类。</w:t>
      </w:r>
    </w:p>
    <w:p w14:paraId="3F3AC088">
      <w:pPr>
        <w:jc w:val="left"/>
        <w:rPr>
          <w:rFonts w:ascii="宋体" w:hAnsi="宋体"/>
          <w:kern w:val="44"/>
        </w:rPr>
      </w:pPr>
      <w:r>
        <w:rPr>
          <w:rFonts w:hint="eastAsia" w:ascii="宋体" w:hAnsi="宋体"/>
          <w:kern w:val="44"/>
        </w:rPr>
        <w:t>（一）风景观赏河道两侧隔离带宽度，以规划河道上口线为准，根据各地段具体情况，两侧各向外划五十米，或七十米，或一百米。这类河道包括：</w:t>
      </w:r>
    </w:p>
    <w:p w14:paraId="376497A4">
      <w:pPr>
        <w:jc w:val="left"/>
        <w:rPr>
          <w:rFonts w:ascii="宋体" w:hAnsi="宋体"/>
          <w:kern w:val="44"/>
        </w:rPr>
      </w:pPr>
      <w:r>
        <w:rPr>
          <w:rFonts w:hint="eastAsia" w:ascii="宋体" w:hAnsi="宋体"/>
          <w:kern w:val="44"/>
        </w:rPr>
        <w:t>（1）昆明湖</w:t>
      </w:r>
      <w:r>
        <w:rPr>
          <w:rFonts w:hint="eastAsia" w:ascii="楷体" w:hAnsi="楷体" w:eastAsia="楷体"/>
          <w:kern w:val="44"/>
        </w:rPr>
        <w:t>—</w:t>
      </w:r>
      <w:r>
        <w:rPr>
          <w:rFonts w:hint="eastAsia" w:ascii="宋体" w:hAnsi="宋体"/>
          <w:kern w:val="44"/>
        </w:rPr>
        <w:t>玉渊潭</w:t>
      </w:r>
      <w:r>
        <w:rPr>
          <w:rFonts w:hint="eastAsia" w:ascii="楷体" w:hAnsi="楷体" w:eastAsia="楷体"/>
          <w:kern w:val="44"/>
        </w:rPr>
        <w:t>—</w:t>
      </w:r>
      <w:r>
        <w:rPr>
          <w:rFonts w:hint="eastAsia" w:ascii="宋体" w:hAnsi="宋体"/>
          <w:kern w:val="44"/>
        </w:rPr>
        <w:t>南护城河</w:t>
      </w:r>
      <w:r>
        <w:rPr>
          <w:rFonts w:hint="eastAsia" w:ascii="楷体" w:hAnsi="楷体" w:eastAsia="楷体"/>
          <w:kern w:val="44"/>
        </w:rPr>
        <w:t>—</w:t>
      </w:r>
      <w:r>
        <w:rPr>
          <w:rFonts w:hint="eastAsia" w:ascii="宋体" w:hAnsi="宋体"/>
          <w:kern w:val="44"/>
        </w:rPr>
        <w:t>通惠河花园式河道环；</w:t>
      </w:r>
    </w:p>
    <w:p w14:paraId="5F6C94C9">
      <w:pPr>
        <w:jc w:val="left"/>
        <w:rPr>
          <w:rFonts w:ascii="宋体" w:hAnsi="宋体"/>
          <w:kern w:val="44"/>
        </w:rPr>
      </w:pPr>
      <w:r>
        <w:rPr>
          <w:rFonts w:hint="eastAsia" w:ascii="宋体" w:hAnsi="宋体"/>
          <w:kern w:val="44"/>
        </w:rPr>
        <w:t>（2）长河</w:t>
      </w:r>
      <w:r>
        <w:rPr>
          <w:rFonts w:hint="eastAsia" w:ascii="楷体" w:hAnsi="楷体" w:eastAsia="楷体"/>
          <w:kern w:val="44"/>
        </w:rPr>
        <w:t>—</w:t>
      </w:r>
      <w:r>
        <w:rPr>
          <w:rFonts w:hint="eastAsia" w:ascii="宋体" w:hAnsi="宋体"/>
          <w:kern w:val="44"/>
        </w:rPr>
        <w:t>北护城河</w:t>
      </w:r>
      <w:r>
        <w:rPr>
          <w:rFonts w:hint="eastAsia" w:ascii="楷体" w:hAnsi="楷体" w:eastAsia="楷体"/>
          <w:kern w:val="44"/>
        </w:rPr>
        <w:t>—</w:t>
      </w:r>
      <w:r>
        <w:rPr>
          <w:rFonts w:hint="eastAsia" w:ascii="宋体" w:hAnsi="宋体"/>
          <w:kern w:val="44"/>
        </w:rPr>
        <w:t>亮马河</w:t>
      </w:r>
      <w:r>
        <w:rPr>
          <w:rFonts w:hint="eastAsia" w:ascii="楷体" w:hAnsi="楷体" w:eastAsia="楷体"/>
          <w:kern w:val="44"/>
        </w:rPr>
        <w:t>—</w:t>
      </w:r>
      <w:r>
        <w:rPr>
          <w:rFonts w:hint="eastAsia" w:ascii="宋体" w:hAnsi="宋体"/>
          <w:kern w:val="44"/>
        </w:rPr>
        <w:t>水碓湖</w:t>
      </w:r>
      <w:r>
        <w:rPr>
          <w:rFonts w:hint="eastAsia" w:ascii="楷体" w:hAnsi="楷体" w:eastAsia="楷体"/>
          <w:kern w:val="44"/>
        </w:rPr>
        <w:t>—</w:t>
      </w:r>
      <w:r>
        <w:rPr>
          <w:rFonts w:hint="eastAsia" w:ascii="宋体" w:hAnsi="宋体"/>
          <w:kern w:val="44"/>
        </w:rPr>
        <w:t>通惠河花园式河道环；</w:t>
      </w:r>
    </w:p>
    <w:p w14:paraId="389948C3">
      <w:pPr>
        <w:jc w:val="left"/>
        <w:rPr>
          <w:rFonts w:ascii="宋体" w:hAnsi="宋体"/>
          <w:kern w:val="44"/>
        </w:rPr>
      </w:pPr>
      <w:r>
        <w:rPr>
          <w:rFonts w:hint="eastAsia" w:ascii="宋体" w:hAnsi="宋体"/>
          <w:kern w:val="44"/>
        </w:rPr>
        <w:t>（3）土城沟花园式河道（小西门经黄亭子往东至坝河）；</w:t>
      </w:r>
    </w:p>
    <w:p w14:paraId="47CB31AF">
      <w:pPr>
        <w:jc w:val="left"/>
        <w:rPr>
          <w:rFonts w:ascii="宋体" w:hAnsi="宋体"/>
          <w:kern w:val="44"/>
        </w:rPr>
      </w:pPr>
      <w:r>
        <w:rPr>
          <w:rFonts w:hint="eastAsia" w:ascii="宋体" w:hAnsi="宋体"/>
          <w:kern w:val="44"/>
        </w:rPr>
        <w:t>（4）其他风景观赏河道：永定河引水渠（电站闸</w:t>
      </w:r>
      <w:r>
        <w:rPr>
          <w:rFonts w:hint="eastAsia" w:ascii="楷体" w:hAnsi="楷体" w:eastAsia="楷体"/>
          <w:kern w:val="44"/>
        </w:rPr>
        <w:t>—</w:t>
      </w:r>
      <w:r>
        <w:rPr>
          <w:rFonts w:hint="eastAsia" w:ascii="宋体" w:hAnsi="宋体"/>
          <w:kern w:val="44"/>
        </w:rPr>
        <w:t>罗道庄）、双紫支渠下段（京密引水渠</w:t>
      </w:r>
      <w:r>
        <w:rPr>
          <w:rFonts w:hint="eastAsia" w:ascii="楷体" w:hAnsi="楷体" w:eastAsia="楷体"/>
          <w:kern w:val="44"/>
        </w:rPr>
        <w:t>—</w:t>
      </w:r>
      <w:r>
        <w:rPr>
          <w:rFonts w:hint="eastAsia" w:ascii="宋体" w:hAnsi="宋体"/>
          <w:kern w:val="44"/>
        </w:rPr>
        <w:t>长河）、体育馆水系上段（亮马河</w:t>
      </w:r>
      <w:r>
        <w:rPr>
          <w:rFonts w:hint="eastAsia" w:ascii="楷体" w:hAnsi="楷体" w:eastAsia="楷体"/>
          <w:kern w:val="44"/>
        </w:rPr>
        <w:t>—</w:t>
      </w:r>
      <w:r>
        <w:rPr>
          <w:rFonts w:hint="eastAsia" w:ascii="宋体" w:hAnsi="宋体"/>
          <w:kern w:val="44"/>
        </w:rPr>
        <w:t>东直门大街）、清河（安河闸</w:t>
      </w:r>
      <w:r>
        <w:rPr>
          <w:rFonts w:hint="eastAsia" w:ascii="楷体" w:hAnsi="楷体" w:eastAsia="楷体"/>
          <w:kern w:val="44"/>
        </w:rPr>
        <w:t>—</w:t>
      </w:r>
      <w:r>
        <w:rPr>
          <w:rFonts w:hint="eastAsia" w:ascii="宋体" w:hAnsi="宋体"/>
          <w:kern w:val="44"/>
        </w:rPr>
        <w:t>清河镇）、万泉河（万泉庄</w:t>
      </w:r>
      <w:r>
        <w:rPr>
          <w:rFonts w:hint="eastAsia" w:ascii="楷体" w:hAnsi="楷体" w:eastAsia="楷体"/>
          <w:kern w:val="44"/>
        </w:rPr>
        <w:t>—</w:t>
      </w:r>
      <w:r>
        <w:rPr>
          <w:rFonts w:hint="eastAsia" w:ascii="宋体" w:hAnsi="宋体"/>
          <w:kern w:val="44"/>
        </w:rPr>
        <w:t>清河）、坝河（东北城角</w:t>
      </w:r>
      <w:r>
        <w:rPr>
          <w:rFonts w:hint="eastAsia" w:ascii="楷体" w:hAnsi="楷体" w:eastAsia="楷体"/>
          <w:kern w:val="44"/>
        </w:rPr>
        <w:t>—</w:t>
      </w:r>
      <w:r>
        <w:rPr>
          <w:rFonts w:hint="eastAsia" w:ascii="宋体" w:hAnsi="宋体"/>
          <w:kern w:val="44"/>
        </w:rPr>
        <w:t>酒仙桥）、通惠河（高碑店湖</w:t>
      </w:r>
      <w:r>
        <w:rPr>
          <w:rFonts w:hint="eastAsia" w:ascii="楷体" w:hAnsi="楷体" w:eastAsia="楷体"/>
          <w:kern w:val="44"/>
        </w:rPr>
        <w:t>—</w:t>
      </w:r>
      <w:r>
        <w:rPr>
          <w:rFonts w:hint="eastAsia" w:ascii="宋体" w:hAnsi="宋体"/>
          <w:kern w:val="44"/>
        </w:rPr>
        <w:t>通县）、莲花河（莲花池</w:t>
      </w:r>
      <w:r>
        <w:rPr>
          <w:rFonts w:hint="eastAsia" w:ascii="楷体" w:hAnsi="楷体" w:eastAsia="楷体"/>
          <w:kern w:val="44"/>
        </w:rPr>
        <w:t>—</w:t>
      </w:r>
      <w:r>
        <w:rPr>
          <w:rFonts w:hint="eastAsia" w:ascii="宋体" w:hAnsi="宋体"/>
          <w:kern w:val="44"/>
        </w:rPr>
        <w:t>万泉寺铁路桥）、凉水河（万泉寺铁路桥</w:t>
      </w:r>
      <w:r>
        <w:rPr>
          <w:rFonts w:hint="eastAsia" w:ascii="楷体" w:hAnsi="楷体" w:eastAsia="楷体"/>
          <w:kern w:val="44"/>
        </w:rPr>
        <w:t>—</w:t>
      </w:r>
      <w:r>
        <w:rPr>
          <w:rFonts w:hint="eastAsia" w:ascii="宋体" w:hAnsi="宋体"/>
          <w:kern w:val="44"/>
        </w:rPr>
        <w:t>大红门闸）等。</w:t>
      </w:r>
    </w:p>
    <w:p w14:paraId="7C81902D">
      <w:pPr>
        <w:jc w:val="left"/>
        <w:rPr>
          <w:rFonts w:ascii="宋体" w:hAnsi="宋体"/>
          <w:kern w:val="44"/>
        </w:rPr>
      </w:pPr>
      <w:r>
        <w:rPr>
          <w:rFonts w:hint="eastAsia" w:ascii="宋体" w:hAnsi="宋体"/>
          <w:kern w:val="44"/>
        </w:rPr>
        <w:t>（二）城市水源河道两侧隔离带宽度，以规划河道上口线为准，两侧各向外划一百米。这类河道包括：</w:t>
      </w:r>
    </w:p>
    <w:p w14:paraId="1BC7004F">
      <w:pPr>
        <w:jc w:val="left"/>
        <w:rPr>
          <w:rFonts w:ascii="宋体" w:hAnsi="宋体"/>
          <w:kern w:val="44"/>
        </w:rPr>
      </w:pPr>
      <w:r>
        <w:rPr>
          <w:rFonts w:hint="eastAsia" w:ascii="宋体" w:hAnsi="宋体"/>
          <w:kern w:val="44"/>
        </w:rPr>
        <w:t>（1）永定河引水渠的市区部分（从三家店拦河闸到电站闸）；</w:t>
      </w:r>
    </w:p>
    <w:p w14:paraId="20C5FB62">
      <w:pPr>
        <w:jc w:val="left"/>
        <w:rPr>
          <w:rFonts w:ascii="宋体" w:hAnsi="宋体"/>
          <w:kern w:val="44"/>
        </w:rPr>
      </w:pPr>
      <w:r>
        <w:rPr>
          <w:rFonts w:hint="eastAsia" w:ascii="宋体" w:hAnsi="宋体"/>
          <w:kern w:val="44"/>
        </w:rPr>
        <w:t>（2）南旱河（自颐和园的团城湖到永定河引水渠的电站闸）。</w:t>
      </w:r>
    </w:p>
    <w:p w14:paraId="2BFBBECE">
      <w:pPr>
        <w:jc w:val="left"/>
        <w:rPr>
          <w:rFonts w:ascii="宋体" w:hAnsi="宋体"/>
          <w:kern w:val="44"/>
        </w:rPr>
      </w:pPr>
      <w:r>
        <w:rPr>
          <w:rFonts w:hint="eastAsia" w:ascii="宋体" w:hAnsi="宋体"/>
          <w:kern w:val="44"/>
        </w:rPr>
        <w:t>（三）城市排水河道两侧隔离带宽度，以规划河道上口线为准，两侧各向外划五十至七十米，其排水支沟隔离带宽度为二十至三十米，这类河道包括：</w:t>
      </w:r>
    </w:p>
    <w:p w14:paraId="013D0802">
      <w:pPr>
        <w:jc w:val="left"/>
        <w:rPr>
          <w:rFonts w:ascii="宋体" w:hAnsi="宋体"/>
          <w:kern w:val="44"/>
        </w:rPr>
      </w:pPr>
      <w:r>
        <w:rPr>
          <w:rFonts w:hint="eastAsia" w:ascii="宋体" w:hAnsi="宋体"/>
          <w:kern w:val="44"/>
        </w:rPr>
        <w:t>（1）坝河（酒仙桥</w:t>
      </w:r>
      <w:r>
        <w:rPr>
          <w:rFonts w:hint="eastAsia" w:ascii="楷体" w:hAnsi="楷体" w:eastAsia="楷体"/>
          <w:kern w:val="44"/>
        </w:rPr>
        <w:t>—</w:t>
      </w:r>
      <w:r>
        <w:rPr>
          <w:rFonts w:hint="eastAsia" w:ascii="宋体" w:hAnsi="宋体"/>
          <w:kern w:val="44"/>
        </w:rPr>
        <w:t>温榆河）；</w:t>
      </w:r>
    </w:p>
    <w:p w14:paraId="10984014">
      <w:pPr>
        <w:jc w:val="left"/>
        <w:rPr>
          <w:rFonts w:ascii="宋体" w:hAnsi="宋体"/>
          <w:kern w:val="44"/>
        </w:rPr>
      </w:pPr>
      <w:r>
        <w:rPr>
          <w:rFonts w:hint="eastAsia" w:ascii="宋体" w:hAnsi="宋体"/>
          <w:kern w:val="44"/>
        </w:rPr>
        <w:t>（2）清河（清河镇</w:t>
      </w:r>
      <w:r>
        <w:rPr>
          <w:rFonts w:hint="eastAsia" w:ascii="楷体" w:hAnsi="楷体" w:eastAsia="楷体"/>
          <w:kern w:val="44"/>
        </w:rPr>
        <w:t>—</w:t>
      </w:r>
      <w:r>
        <w:rPr>
          <w:rFonts w:hint="eastAsia" w:ascii="宋体" w:hAnsi="宋体"/>
          <w:kern w:val="44"/>
        </w:rPr>
        <w:t>温榆河）；</w:t>
      </w:r>
    </w:p>
    <w:p w14:paraId="5D89EF1A">
      <w:pPr>
        <w:jc w:val="left"/>
        <w:rPr>
          <w:rFonts w:ascii="宋体" w:hAnsi="宋体"/>
          <w:kern w:val="44"/>
        </w:rPr>
      </w:pPr>
      <w:r>
        <w:rPr>
          <w:rFonts w:hint="eastAsia" w:ascii="宋体" w:hAnsi="宋体"/>
          <w:kern w:val="44"/>
        </w:rPr>
        <w:t>（3）凉水河（大红门闸</w:t>
      </w:r>
      <w:r>
        <w:rPr>
          <w:rFonts w:hint="eastAsia" w:ascii="楷体" w:hAnsi="楷体" w:eastAsia="楷体"/>
          <w:kern w:val="44"/>
        </w:rPr>
        <w:t>—</w:t>
      </w:r>
      <w:r>
        <w:rPr>
          <w:rFonts w:hint="eastAsia" w:ascii="宋体" w:hAnsi="宋体"/>
          <w:kern w:val="44"/>
        </w:rPr>
        <w:t>马驹桥）；</w:t>
      </w:r>
    </w:p>
    <w:p w14:paraId="29C2C646">
      <w:pPr>
        <w:jc w:val="left"/>
        <w:rPr>
          <w:rFonts w:ascii="宋体" w:hAnsi="宋体"/>
          <w:kern w:val="44"/>
        </w:rPr>
      </w:pPr>
      <w:r>
        <w:rPr>
          <w:rFonts w:hint="eastAsia" w:ascii="宋体" w:hAnsi="宋体"/>
          <w:kern w:val="44"/>
        </w:rPr>
        <w:t>（4）其他支沟：北旱河、小月河、沟泥河、北小河、亮马河下游、新开渠、水衙沟、丰草河、马草河、小龙河、大柳树沟、肖太后河上段、大羊坊沟等。</w:t>
      </w:r>
    </w:p>
    <w:p w14:paraId="10425B60">
      <w:pPr>
        <w:jc w:val="left"/>
        <w:rPr>
          <w:rFonts w:ascii="宋体" w:hAnsi="宋体"/>
          <w:kern w:val="44"/>
        </w:rPr>
      </w:pPr>
      <w:r>
        <w:rPr>
          <w:rFonts w:hint="eastAsia" w:ascii="宋体" w:hAnsi="宋体"/>
          <w:kern w:val="44"/>
        </w:rPr>
        <w:t>以上三类河道隔离带各地段宽度详见附表。</w:t>
      </w:r>
    </w:p>
    <w:p w14:paraId="28946B89">
      <w:pPr>
        <w:ind w:firstLine="422"/>
        <w:jc w:val="left"/>
        <w:rPr>
          <w:rFonts w:ascii="宋体" w:hAnsi="宋体"/>
          <w:kern w:val="44"/>
        </w:rPr>
      </w:pPr>
      <w:r>
        <w:rPr>
          <w:rFonts w:hint="eastAsia" w:ascii="宋体" w:hAnsi="宋体"/>
          <w:b/>
          <w:kern w:val="44"/>
        </w:rPr>
        <w:t>二、</w:t>
      </w:r>
      <w:r>
        <w:rPr>
          <w:rFonts w:hint="eastAsia" w:ascii="宋体" w:hAnsi="宋体"/>
          <w:kern w:val="44"/>
        </w:rPr>
        <w:t>在城市建设区范围内的风景观赏河道隔离带，必须逐步进行绿化，形成滨河绿化带。在非建设区的河道隔离带内的土地，可以继续耕种，鼓励植树造林、种花植草。</w:t>
      </w:r>
    </w:p>
    <w:p w14:paraId="240E9074">
      <w:pPr>
        <w:jc w:val="left"/>
        <w:rPr>
          <w:rFonts w:ascii="宋体" w:hAnsi="宋体"/>
          <w:kern w:val="44"/>
        </w:rPr>
      </w:pPr>
      <w:r>
        <w:rPr>
          <w:rFonts w:hint="eastAsia" w:ascii="宋体" w:hAnsi="宋体"/>
          <w:kern w:val="44"/>
        </w:rPr>
        <w:t>河道隔离带内可以按规划修路，埋设必要的市政管线，修建少量园林小品及必要的附属设施，如闸房、游船码头等。</w:t>
      </w:r>
    </w:p>
    <w:p w14:paraId="710D054C">
      <w:pPr>
        <w:ind w:firstLine="422"/>
        <w:jc w:val="left"/>
        <w:rPr>
          <w:rFonts w:ascii="宋体" w:hAnsi="宋体"/>
          <w:kern w:val="44"/>
        </w:rPr>
      </w:pPr>
      <w:r>
        <w:rPr>
          <w:rFonts w:hint="eastAsia" w:ascii="宋体" w:hAnsi="宋体"/>
          <w:b/>
          <w:kern w:val="44"/>
        </w:rPr>
        <w:t>三、</w:t>
      </w:r>
      <w:r>
        <w:rPr>
          <w:rFonts w:hint="eastAsia" w:ascii="宋体" w:hAnsi="宋体"/>
          <w:kern w:val="44"/>
        </w:rPr>
        <w:t>在隔离带内，不准建造生产和生活用房以及各类临时棚屋，不准堆料、堆垃圾，不准取土挖砂石。个别确属十分必要的施工临时设施，应按临时占地的规定从严审批，并由批准机关监督其在工程完工后立即拆除，恢复地貌。</w:t>
      </w:r>
    </w:p>
    <w:p w14:paraId="16B7FB53">
      <w:pPr>
        <w:ind w:firstLine="422"/>
        <w:jc w:val="left"/>
        <w:rPr>
          <w:rFonts w:ascii="宋体" w:hAnsi="宋体"/>
          <w:kern w:val="44"/>
        </w:rPr>
      </w:pPr>
      <w:r>
        <w:rPr>
          <w:rFonts w:hint="eastAsia" w:ascii="宋体" w:hAnsi="宋体"/>
          <w:b/>
          <w:kern w:val="44"/>
        </w:rPr>
        <w:t>四、</w:t>
      </w:r>
      <w:r>
        <w:rPr>
          <w:rFonts w:hint="eastAsia" w:ascii="宋体" w:hAnsi="宋体"/>
          <w:kern w:val="44"/>
        </w:rPr>
        <w:t>在隔离带内过去经过批准已经建设的单位（不含违法建设的单位），原则上不再扩大用地和新增各类建筑；现有房屋如确需翻建时，应尽可能迁建或退到隔离带以外进行改建，各类新建房屋应一律按规划进行建设。</w:t>
      </w:r>
    </w:p>
    <w:p w14:paraId="590BCE2B">
      <w:pPr>
        <w:jc w:val="left"/>
        <w:rPr>
          <w:rFonts w:ascii="宋体" w:hAnsi="宋体"/>
          <w:kern w:val="44"/>
        </w:rPr>
      </w:pPr>
      <w:r>
        <w:rPr>
          <w:rFonts w:hint="eastAsia" w:ascii="宋体" w:hAnsi="宋体"/>
          <w:kern w:val="44"/>
        </w:rPr>
        <w:t>隔离带内的现有农村居民点和工副业点，原则上也不再扩大用地，可根据批准的农村建设规划进行调整改造，并尽量多保留一些绿化用地。</w:t>
      </w:r>
    </w:p>
    <w:p w14:paraId="0DB8DBE0">
      <w:pPr>
        <w:ind w:firstLine="422"/>
        <w:jc w:val="left"/>
        <w:rPr>
          <w:rFonts w:ascii="宋体" w:hAnsi="宋体"/>
          <w:kern w:val="44"/>
        </w:rPr>
      </w:pPr>
      <w:r>
        <w:rPr>
          <w:rFonts w:hint="eastAsia" w:ascii="宋体" w:hAnsi="宋体"/>
          <w:b/>
          <w:kern w:val="44"/>
        </w:rPr>
        <w:t>五、</w:t>
      </w:r>
      <w:r>
        <w:rPr>
          <w:rFonts w:hint="eastAsia" w:ascii="宋体" w:hAnsi="宋体"/>
          <w:kern w:val="44"/>
        </w:rPr>
        <w:t>凡违反本规定在河道隔离带内占地建房者，均按违法建设处理。</w:t>
      </w:r>
    </w:p>
    <w:p w14:paraId="1CF0BAA2">
      <w:pPr>
        <w:ind w:firstLine="422"/>
        <w:jc w:val="left"/>
        <w:rPr>
          <w:rFonts w:ascii="宋体" w:hAnsi="宋体"/>
          <w:kern w:val="44"/>
        </w:rPr>
      </w:pPr>
      <w:r>
        <w:rPr>
          <w:rFonts w:hint="eastAsia" w:ascii="宋体" w:hAnsi="宋体"/>
          <w:b/>
          <w:kern w:val="44"/>
        </w:rPr>
        <w:t>六、</w:t>
      </w:r>
      <w:r>
        <w:rPr>
          <w:rFonts w:hint="eastAsia" w:ascii="宋体" w:hAnsi="宋体"/>
          <w:kern w:val="44"/>
        </w:rPr>
        <w:t>城市建设区范围以外的河道和郊区农田排水沟、大型灌渠如何划定隔离带，由各区、县人民政府参照本规定另作必要的补充规定。本规定自1984年11月3日起施行。</w:t>
      </w:r>
    </w:p>
    <w:p w14:paraId="10DC7F93">
      <w:pPr>
        <w:ind w:firstLine="0" w:firstLineChars="0"/>
        <w:jc w:val="left"/>
        <w:rPr>
          <w:rFonts w:ascii="宋体" w:hAnsi="宋体"/>
          <w:kern w:val="44"/>
        </w:rPr>
      </w:pPr>
    </w:p>
    <w:p w14:paraId="42820FF1">
      <w:pPr>
        <w:ind w:firstLine="0" w:firstLineChars="0"/>
        <w:jc w:val="left"/>
        <w:rPr>
          <w:rFonts w:ascii="宋体" w:hAnsi="宋体"/>
          <w:b/>
          <w:kern w:val="44"/>
        </w:rPr>
        <w:sectPr>
          <w:footerReference r:id="rId19" w:type="default"/>
          <w:footerReference r:id="rId20" w:type="even"/>
          <w:type w:val="continuous"/>
          <w:pgSz w:w="11906" w:h="16838"/>
          <w:pgMar w:top="1440" w:right="1800" w:bottom="1440" w:left="1800" w:header="851" w:footer="992" w:gutter="0"/>
          <w:cols w:space="720" w:num="1"/>
          <w:titlePg/>
          <w:docGrid w:type="lines" w:linePitch="312" w:charSpace="0"/>
        </w:sectPr>
      </w:pPr>
    </w:p>
    <w:p w14:paraId="5F6CDC99">
      <w:pPr>
        <w:ind w:firstLine="0" w:firstLineChars="0"/>
        <w:jc w:val="left"/>
        <w:rPr>
          <w:rFonts w:ascii="宋体" w:hAnsi="宋体"/>
          <w:b/>
          <w:kern w:val="44"/>
          <w:sz w:val="28"/>
        </w:rPr>
      </w:pPr>
      <w:r>
        <w:rPr>
          <w:rFonts w:hint="eastAsia" w:ascii="宋体" w:hAnsi="宋体"/>
          <w:b/>
          <w:kern w:val="44"/>
          <w:sz w:val="28"/>
        </w:rPr>
        <w:t>附件：</w:t>
      </w:r>
    </w:p>
    <w:p w14:paraId="373DD3D9">
      <w:pPr>
        <w:ind w:firstLine="0" w:firstLineChars="0"/>
        <w:jc w:val="center"/>
        <w:rPr>
          <w:rFonts w:ascii="宋体" w:hAnsi="宋体"/>
          <w:kern w:val="44"/>
          <w:sz w:val="28"/>
        </w:rPr>
      </w:pPr>
      <w:r>
        <w:rPr>
          <w:rFonts w:hint="eastAsia" w:ascii="宋体" w:hAnsi="宋体"/>
          <w:kern w:val="44"/>
          <w:sz w:val="28"/>
        </w:rPr>
        <w:t>各类河道隔离带各地段宽度表</w:t>
      </w:r>
    </w:p>
    <w:tbl>
      <w:tblPr>
        <w:tblStyle w:val="23"/>
        <w:tblpPr w:leftFromText="180" w:rightFromText="180" w:vertAnchor="text" w:horzAnchor="margin" w:tblpXSpec="center" w:tblpY="80"/>
        <w:tblW w:w="137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1418"/>
        <w:gridCol w:w="2977"/>
        <w:gridCol w:w="1134"/>
        <w:gridCol w:w="1275"/>
        <w:gridCol w:w="1134"/>
        <w:gridCol w:w="3997"/>
      </w:tblGrid>
      <w:tr w14:paraId="67482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vMerge w:val="restart"/>
            <w:tcBorders>
              <w:top w:val="single" w:color="auto" w:sz="12" w:space="0"/>
              <w:left w:val="single" w:color="auto" w:sz="12" w:space="0"/>
            </w:tcBorders>
            <w:vAlign w:val="center"/>
          </w:tcPr>
          <w:p w14:paraId="163BF9D1">
            <w:pPr>
              <w:spacing w:line="240" w:lineRule="exact"/>
              <w:ind w:firstLine="0" w:firstLineChars="0"/>
              <w:jc w:val="center"/>
              <w:rPr>
                <w:rFonts w:ascii="宋体" w:hAnsi="宋体"/>
                <w:kern w:val="44"/>
                <w:sz w:val="18"/>
                <w:szCs w:val="18"/>
              </w:rPr>
            </w:pPr>
            <w:r>
              <w:rPr>
                <w:rFonts w:hint="eastAsia" w:ascii="宋体" w:hAnsi="宋体"/>
                <w:kern w:val="44"/>
                <w:sz w:val="18"/>
                <w:szCs w:val="18"/>
              </w:rPr>
              <w:t>河道类别</w:t>
            </w:r>
          </w:p>
        </w:tc>
        <w:tc>
          <w:tcPr>
            <w:tcW w:w="1418" w:type="dxa"/>
            <w:vMerge w:val="restart"/>
            <w:tcBorders>
              <w:top w:val="single" w:color="auto" w:sz="12" w:space="0"/>
            </w:tcBorders>
            <w:vAlign w:val="center"/>
          </w:tcPr>
          <w:p w14:paraId="26B86E3C">
            <w:pPr>
              <w:spacing w:line="240" w:lineRule="exact"/>
              <w:ind w:firstLine="0" w:firstLineChars="0"/>
              <w:jc w:val="center"/>
              <w:rPr>
                <w:rFonts w:ascii="宋体" w:hAnsi="宋体"/>
                <w:kern w:val="44"/>
                <w:sz w:val="18"/>
                <w:szCs w:val="18"/>
              </w:rPr>
            </w:pPr>
            <w:r>
              <w:rPr>
                <w:rFonts w:hint="eastAsia" w:ascii="宋体" w:hAnsi="宋体"/>
                <w:kern w:val="44"/>
                <w:sz w:val="18"/>
                <w:szCs w:val="18"/>
              </w:rPr>
              <w:t>河道名称</w:t>
            </w:r>
          </w:p>
        </w:tc>
        <w:tc>
          <w:tcPr>
            <w:tcW w:w="2977" w:type="dxa"/>
            <w:vMerge w:val="restart"/>
            <w:tcBorders>
              <w:top w:val="single" w:color="auto" w:sz="12" w:space="0"/>
            </w:tcBorders>
            <w:vAlign w:val="center"/>
          </w:tcPr>
          <w:p w14:paraId="1150682C">
            <w:pPr>
              <w:tabs>
                <w:tab w:val="left" w:pos="585"/>
              </w:tabs>
              <w:spacing w:line="240" w:lineRule="exact"/>
              <w:ind w:firstLine="0" w:firstLineChars="0"/>
              <w:jc w:val="center"/>
              <w:rPr>
                <w:rFonts w:ascii="宋体" w:hAnsi="宋体"/>
                <w:kern w:val="44"/>
                <w:sz w:val="18"/>
                <w:szCs w:val="18"/>
              </w:rPr>
            </w:pPr>
            <w:r>
              <w:rPr>
                <w:rFonts w:hint="eastAsia" w:ascii="宋体" w:hAnsi="宋体"/>
                <w:kern w:val="44"/>
                <w:sz w:val="18"/>
                <w:szCs w:val="18"/>
              </w:rPr>
              <w:t>起始地段</w:t>
            </w:r>
          </w:p>
        </w:tc>
        <w:tc>
          <w:tcPr>
            <w:tcW w:w="1134" w:type="dxa"/>
            <w:vMerge w:val="restart"/>
            <w:tcBorders>
              <w:top w:val="single" w:color="auto" w:sz="12" w:space="0"/>
            </w:tcBorders>
            <w:vAlign w:val="center"/>
          </w:tcPr>
          <w:p w14:paraId="19D5181B">
            <w:pPr>
              <w:spacing w:line="240" w:lineRule="exact"/>
              <w:ind w:firstLine="0" w:firstLineChars="0"/>
              <w:jc w:val="center"/>
              <w:rPr>
                <w:rFonts w:ascii="宋体" w:hAnsi="宋体"/>
                <w:kern w:val="44"/>
                <w:sz w:val="18"/>
                <w:szCs w:val="18"/>
              </w:rPr>
            </w:pPr>
            <w:r>
              <w:rPr>
                <w:rFonts w:hint="eastAsia" w:ascii="宋体" w:hAnsi="宋体"/>
                <w:kern w:val="44"/>
                <w:sz w:val="18"/>
                <w:szCs w:val="18"/>
              </w:rPr>
              <w:t>隔离带长度（公里）</w:t>
            </w:r>
          </w:p>
        </w:tc>
        <w:tc>
          <w:tcPr>
            <w:tcW w:w="2409" w:type="dxa"/>
            <w:gridSpan w:val="2"/>
            <w:tcBorders>
              <w:top w:val="single" w:color="auto" w:sz="12" w:space="0"/>
            </w:tcBorders>
            <w:vAlign w:val="center"/>
          </w:tcPr>
          <w:p w14:paraId="0E1C7604">
            <w:pPr>
              <w:spacing w:line="240" w:lineRule="exact"/>
              <w:ind w:firstLine="0" w:firstLineChars="0"/>
              <w:jc w:val="center"/>
              <w:rPr>
                <w:rFonts w:ascii="宋体" w:hAnsi="宋体"/>
                <w:kern w:val="44"/>
                <w:sz w:val="18"/>
                <w:szCs w:val="18"/>
              </w:rPr>
            </w:pPr>
            <w:r>
              <w:rPr>
                <w:rFonts w:hint="eastAsia" w:ascii="宋体" w:hAnsi="宋体"/>
                <w:kern w:val="44"/>
                <w:sz w:val="18"/>
                <w:szCs w:val="18"/>
              </w:rPr>
              <w:t>隔离带宽度（米）</w:t>
            </w:r>
          </w:p>
        </w:tc>
        <w:tc>
          <w:tcPr>
            <w:tcW w:w="3997" w:type="dxa"/>
            <w:vMerge w:val="restart"/>
            <w:tcBorders>
              <w:top w:val="single" w:color="auto" w:sz="12" w:space="0"/>
              <w:right w:val="single" w:color="auto" w:sz="12" w:space="0"/>
            </w:tcBorders>
            <w:vAlign w:val="center"/>
          </w:tcPr>
          <w:p w14:paraId="22261CE1">
            <w:pPr>
              <w:spacing w:line="240" w:lineRule="exact"/>
              <w:ind w:firstLine="0" w:firstLineChars="0"/>
              <w:jc w:val="center"/>
              <w:rPr>
                <w:rFonts w:ascii="宋体" w:hAnsi="宋体"/>
                <w:kern w:val="44"/>
                <w:sz w:val="18"/>
                <w:szCs w:val="18"/>
              </w:rPr>
            </w:pPr>
            <w:r>
              <w:rPr>
                <w:rFonts w:hint="eastAsia" w:ascii="宋体" w:hAnsi="宋体"/>
                <w:kern w:val="44"/>
                <w:sz w:val="18"/>
                <w:szCs w:val="18"/>
              </w:rPr>
              <w:t>备注</w:t>
            </w:r>
          </w:p>
        </w:tc>
      </w:tr>
      <w:tr w14:paraId="7DEB6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vMerge w:val="continue"/>
            <w:tcBorders>
              <w:left w:val="single" w:color="auto" w:sz="12" w:space="0"/>
            </w:tcBorders>
            <w:vAlign w:val="center"/>
          </w:tcPr>
          <w:p w14:paraId="571D2311">
            <w:pPr>
              <w:spacing w:line="240" w:lineRule="exact"/>
              <w:ind w:firstLine="0" w:firstLineChars="0"/>
              <w:jc w:val="center"/>
              <w:rPr>
                <w:rFonts w:ascii="宋体" w:hAnsi="宋体"/>
                <w:kern w:val="44"/>
                <w:sz w:val="18"/>
                <w:szCs w:val="18"/>
              </w:rPr>
            </w:pPr>
          </w:p>
        </w:tc>
        <w:tc>
          <w:tcPr>
            <w:tcW w:w="1418" w:type="dxa"/>
            <w:vMerge w:val="continue"/>
            <w:vAlign w:val="center"/>
          </w:tcPr>
          <w:p w14:paraId="783532DF">
            <w:pPr>
              <w:spacing w:line="240" w:lineRule="exact"/>
              <w:ind w:firstLine="0" w:firstLineChars="0"/>
              <w:jc w:val="center"/>
              <w:rPr>
                <w:rFonts w:ascii="宋体" w:hAnsi="宋体"/>
                <w:kern w:val="44"/>
                <w:sz w:val="18"/>
                <w:szCs w:val="18"/>
              </w:rPr>
            </w:pPr>
          </w:p>
        </w:tc>
        <w:tc>
          <w:tcPr>
            <w:tcW w:w="2977" w:type="dxa"/>
            <w:vMerge w:val="continue"/>
            <w:vAlign w:val="center"/>
          </w:tcPr>
          <w:p w14:paraId="0088B487">
            <w:pPr>
              <w:spacing w:line="240" w:lineRule="exact"/>
              <w:ind w:firstLine="0" w:firstLineChars="0"/>
              <w:jc w:val="center"/>
              <w:rPr>
                <w:rFonts w:ascii="宋体" w:hAnsi="宋体"/>
                <w:kern w:val="44"/>
                <w:sz w:val="18"/>
                <w:szCs w:val="18"/>
              </w:rPr>
            </w:pPr>
          </w:p>
        </w:tc>
        <w:tc>
          <w:tcPr>
            <w:tcW w:w="1134" w:type="dxa"/>
            <w:vMerge w:val="continue"/>
            <w:vAlign w:val="center"/>
          </w:tcPr>
          <w:p w14:paraId="472CE0C4">
            <w:pPr>
              <w:spacing w:line="240" w:lineRule="exact"/>
              <w:ind w:firstLine="0" w:firstLineChars="0"/>
              <w:jc w:val="center"/>
              <w:rPr>
                <w:rFonts w:ascii="宋体" w:hAnsi="宋体"/>
                <w:kern w:val="44"/>
                <w:sz w:val="18"/>
                <w:szCs w:val="18"/>
              </w:rPr>
            </w:pPr>
          </w:p>
        </w:tc>
        <w:tc>
          <w:tcPr>
            <w:tcW w:w="1275" w:type="dxa"/>
            <w:vAlign w:val="center"/>
          </w:tcPr>
          <w:p w14:paraId="0634D9BB">
            <w:pPr>
              <w:spacing w:line="240" w:lineRule="exact"/>
              <w:ind w:firstLine="0" w:firstLineChars="0"/>
              <w:jc w:val="center"/>
              <w:rPr>
                <w:rFonts w:ascii="宋体" w:hAnsi="宋体"/>
                <w:kern w:val="44"/>
                <w:sz w:val="18"/>
                <w:szCs w:val="18"/>
              </w:rPr>
            </w:pPr>
            <w:r>
              <w:rPr>
                <w:rFonts w:hint="eastAsia" w:ascii="宋体" w:hAnsi="宋体"/>
                <w:kern w:val="44"/>
                <w:sz w:val="18"/>
                <w:szCs w:val="18"/>
              </w:rPr>
              <w:t>右岸</w:t>
            </w:r>
          </w:p>
        </w:tc>
        <w:tc>
          <w:tcPr>
            <w:tcW w:w="1134" w:type="dxa"/>
            <w:vAlign w:val="center"/>
          </w:tcPr>
          <w:p w14:paraId="24774ABD">
            <w:pPr>
              <w:tabs>
                <w:tab w:val="left" w:pos="495"/>
              </w:tabs>
              <w:spacing w:line="240" w:lineRule="exact"/>
              <w:ind w:firstLine="0" w:firstLineChars="0"/>
              <w:jc w:val="center"/>
              <w:rPr>
                <w:rFonts w:ascii="宋体" w:hAnsi="宋体"/>
                <w:kern w:val="44"/>
                <w:sz w:val="18"/>
                <w:szCs w:val="18"/>
              </w:rPr>
            </w:pPr>
            <w:r>
              <w:rPr>
                <w:rFonts w:hint="eastAsia" w:ascii="宋体" w:hAnsi="宋体"/>
                <w:kern w:val="44"/>
                <w:sz w:val="18"/>
                <w:szCs w:val="18"/>
              </w:rPr>
              <w:t>左岸</w:t>
            </w:r>
          </w:p>
        </w:tc>
        <w:tc>
          <w:tcPr>
            <w:tcW w:w="3997" w:type="dxa"/>
            <w:vMerge w:val="continue"/>
            <w:tcBorders>
              <w:right w:val="single" w:color="auto" w:sz="12" w:space="0"/>
            </w:tcBorders>
            <w:vAlign w:val="center"/>
          </w:tcPr>
          <w:p w14:paraId="56956AEA">
            <w:pPr>
              <w:spacing w:line="240" w:lineRule="exact"/>
              <w:ind w:firstLine="0" w:firstLineChars="0"/>
              <w:jc w:val="center"/>
              <w:rPr>
                <w:rFonts w:ascii="宋体" w:hAnsi="宋体"/>
                <w:kern w:val="44"/>
                <w:sz w:val="18"/>
                <w:szCs w:val="18"/>
              </w:rPr>
            </w:pPr>
          </w:p>
        </w:tc>
      </w:tr>
      <w:tr w14:paraId="34F9F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32E4A382">
            <w:pPr>
              <w:spacing w:line="240" w:lineRule="exact"/>
              <w:ind w:firstLine="0" w:firstLineChars="0"/>
              <w:jc w:val="center"/>
              <w:rPr>
                <w:rFonts w:ascii="宋体" w:hAnsi="宋体"/>
                <w:kern w:val="44"/>
                <w:sz w:val="18"/>
                <w:szCs w:val="18"/>
              </w:rPr>
            </w:pPr>
            <w:r>
              <w:rPr>
                <w:rFonts w:hint="eastAsia" w:ascii="宋体" w:hAnsi="宋体"/>
                <w:kern w:val="44"/>
                <w:sz w:val="18"/>
                <w:szCs w:val="18"/>
              </w:rPr>
              <w:t>一、水源河道</w:t>
            </w:r>
          </w:p>
        </w:tc>
        <w:tc>
          <w:tcPr>
            <w:tcW w:w="1418" w:type="dxa"/>
            <w:vAlign w:val="center"/>
          </w:tcPr>
          <w:p w14:paraId="1FFC398D">
            <w:pPr>
              <w:spacing w:line="240" w:lineRule="exact"/>
              <w:ind w:firstLine="0" w:firstLineChars="0"/>
              <w:jc w:val="center"/>
              <w:rPr>
                <w:rFonts w:ascii="宋体" w:hAnsi="宋体"/>
                <w:kern w:val="44"/>
                <w:sz w:val="18"/>
                <w:szCs w:val="18"/>
              </w:rPr>
            </w:pPr>
            <w:r>
              <w:rPr>
                <w:rFonts w:hint="eastAsia" w:ascii="宋体" w:hAnsi="宋体"/>
                <w:kern w:val="44"/>
                <w:sz w:val="18"/>
                <w:szCs w:val="18"/>
              </w:rPr>
              <w:t>永定河引水渠</w:t>
            </w:r>
          </w:p>
        </w:tc>
        <w:tc>
          <w:tcPr>
            <w:tcW w:w="2977" w:type="dxa"/>
            <w:vAlign w:val="center"/>
          </w:tcPr>
          <w:p w14:paraId="7B0B643C">
            <w:pPr>
              <w:spacing w:line="240" w:lineRule="exact"/>
              <w:ind w:firstLine="0" w:firstLineChars="0"/>
              <w:jc w:val="center"/>
              <w:rPr>
                <w:rFonts w:ascii="宋体" w:hAnsi="宋体"/>
                <w:kern w:val="44"/>
                <w:sz w:val="18"/>
                <w:szCs w:val="18"/>
              </w:rPr>
            </w:pPr>
            <w:r>
              <w:rPr>
                <w:rFonts w:hint="eastAsia" w:ascii="宋体" w:hAnsi="宋体"/>
                <w:kern w:val="44"/>
                <w:sz w:val="18"/>
                <w:szCs w:val="18"/>
              </w:rPr>
              <w:t>三家店拦河闸～电站闸（四号跌水）</w:t>
            </w:r>
          </w:p>
        </w:tc>
        <w:tc>
          <w:tcPr>
            <w:tcW w:w="1134" w:type="dxa"/>
            <w:vAlign w:val="center"/>
          </w:tcPr>
          <w:p w14:paraId="6FA7D613">
            <w:pPr>
              <w:spacing w:line="240" w:lineRule="exact"/>
              <w:ind w:firstLine="0" w:firstLineChars="0"/>
              <w:jc w:val="center"/>
              <w:rPr>
                <w:rFonts w:ascii="宋体" w:hAnsi="宋体"/>
                <w:kern w:val="44"/>
                <w:sz w:val="18"/>
                <w:szCs w:val="18"/>
              </w:rPr>
            </w:pPr>
            <w:r>
              <w:rPr>
                <w:rFonts w:ascii="宋体" w:hAnsi="宋体"/>
                <w:kern w:val="44"/>
                <w:sz w:val="18"/>
                <w:szCs w:val="18"/>
              </w:rPr>
              <w:t>14.3</w:t>
            </w:r>
          </w:p>
        </w:tc>
        <w:tc>
          <w:tcPr>
            <w:tcW w:w="1275" w:type="dxa"/>
            <w:vAlign w:val="center"/>
          </w:tcPr>
          <w:p w14:paraId="36B2B1FD">
            <w:pPr>
              <w:spacing w:line="240" w:lineRule="exact"/>
              <w:ind w:firstLine="0" w:firstLineChars="0"/>
              <w:jc w:val="center"/>
              <w:rPr>
                <w:rFonts w:ascii="宋体" w:hAnsi="宋体"/>
                <w:kern w:val="44"/>
                <w:sz w:val="18"/>
                <w:szCs w:val="18"/>
              </w:rPr>
            </w:pPr>
            <w:r>
              <w:rPr>
                <w:rFonts w:hint="eastAsia" w:ascii="宋体" w:hAnsi="宋体"/>
                <w:kern w:val="44"/>
                <w:sz w:val="18"/>
                <w:szCs w:val="18"/>
              </w:rPr>
              <w:t>100</w:t>
            </w:r>
          </w:p>
        </w:tc>
        <w:tc>
          <w:tcPr>
            <w:tcW w:w="1134" w:type="dxa"/>
            <w:vAlign w:val="center"/>
          </w:tcPr>
          <w:p w14:paraId="79E17C7B">
            <w:pPr>
              <w:spacing w:line="240" w:lineRule="exact"/>
              <w:ind w:firstLine="0" w:firstLineChars="0"/>
              <w:jc w:val="center"/>
              <w:rPr>
                <w:rFonts w:ascii="宋体" w:hAnsi="宋体"/>
                <w:kern w:val="44"/>
                <w:sz w:val="18"/>
                <w:szCs w:val="18"/>
              </w:rPr>
            </w:pPr>
            <w:r>
              <w:rPr>
                <w:rFonts w:hint="eastAsia" w:ascii="宋体" w:hAnsi="宋体"/>
                <w:kern w:val="44"/>
                <w:sz w:val="18"/>
                <w:szCs w:val="18"/>
              </w:rPr>
              <w:t>100</w:t>
            </w:r>
          </w:p>
        </w:tc>
        <w:tc>
          <w:tcPr>
            <w:tcW w:w="3997" w:type="dxa"/>
            <w:tcBorders>
              <w:right w:val="single" w:color="auto" w:sz="12" w:space="0"/>
            </w:tcBorders>
            <w:vAlign w:val="center"/>
          </w:tcPr>
          <w:p w14:paraId="441BAC48">
            <w:pPr>
              <w:spacing w:line="240" w:lineRule="exact"/>
              <w:ind w:firstLine="0" w:firstLineChars="0"/>
              <w:jc w:val="center"/>
              <w:rPr>
                <w:rFonts w:ascii="宋体" w:hAnsi="宋体"/>
                <w:kern w:val="44"/>
                <w:sz w:val="18"/>
                <w:szCs w:val="18"/>
              </w:rPr>
            </w:pPr>
            <w:r>
              <w:rPr>
                <w:rFonts w:hint="eastAsia" w:ascii="宋体" w:hAnsi="宋体"/>
                <w:kern w:val="44"/>
                <w:sz w:val="18"/>
                <w:szCs w:val="18"/>
              </w:rPr>
              <w:t>朝向下游。左侧为左岸</w:t>
            </w:r>
          </w:p>
        </w:tc>
      </w:tr>
      <w:tr w14:paraId="43987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0AC97FE6">
            <w:pPr>
              <w:spacing w:line="240" w:lineRule="exact"/>
              <w:ind w:firstLine="0" w:firstLineChars="0"/>
              <w:jc w:val="center"/>
              <w:rPr>
                <w:rFonts w:ascii="宋体" w:hAnsi="宋体"/>
                <w:kern w:val="44"/>
                <w:sz w:val="18"/>
                <w:szCs w:val="18"/>
              </w:rPr>
            </w:pPr>
          </w:p>
        </w:tc>
        <w:tc>
          <w:tcPr>
            <w:tcW w:w="1418" w:type="dxa"/>
            <w:vAlign w:val="center"/>
          </w:tcPr>
          <w:p w14:paraId="5EB0C1B2">
            <w:pPr>
              <w:spacing w:line="240" w:lineRule="exact"/>
              <w:ind w:firstLine="0" w:firstLineChars="0"/>
              <w:jc w:val="center"/>
              <w:rPr>
                <w:rFonts w:ascii="宋体" w:hAnsi="宋体"/>
                <w:kern w:val="44"/>
                <w:sz w:val="18"/>
                <w:szCs w:val="18"/>
              </w:rPr>
            </w:pPr>
            <w:r>
              <w:rPr>
                <w:rFonts w:hint="eastAsia" w:ascii="宋体" w:hAnsi="宋体"/>
                <w:kern w:val="44"/>
                <w:sz w:val="18"/>
                <w:szCs w:val="18"/>
              </w:rPr>
              <w:t>南旱河</w:t>
            </w:r>
          </w:p>
        </w:tc>
        <w:tc>
          <w:tcPr>
            <w:tcW w:w="2977" w:type="dxa"/>
            <w:vAlign w:val="center"/>
          </w:tcPr>
          <w:p w14:paraId="6F3FED2C">
            <w:pPr>
              <w:spacing w:line="240" w:lineRule="exact"/>
              <w:ind w:firstLine="0" w:firstLineChars="0"/>
              <w:jc w:val="center"/>
              <w:rPr>
                <w:rFonts w:ascii="宋体" w:hAnsi="宋体"/>
                <w:kern w:val="44"/>
                <w:sz w:val="18"/>
                <w:szCs w:val="18"/>
              </w:rPr>
            </w:pPr>
            <w:r>
              <w:rPr>
                <w:rFonts w:hint="eastAsia" w:ascii="宋体" w:hAnsi="宋体"/>
                <w:kern w:val="44"/>
                <w:sz w:val="18"/>
                <w:szCs w:val="18"/>
              </w:rPr>
              <w:t>团城湖～电站闸（四号跌水）</w:t>
            </w:r>
          </w:p>
        </w:tc>
        <w:tc>
          <w:tcPr>
            <w:tcW w:w="1134" w:type="dxa"/>
            <w:vAlign w:val="center"/>
          </w:tcPr>
          <w:p w14:paraId="19DB0BAE">
            <w:pPr>
              <w:spacing w:line="240" w:lineRule="exact"/>
              <w:ind w:firstLine="0" w:firstLineChars="0"/>
              <w:jc w:val="center"/>
              <w:rPr>
                <w:rFonts w:ascii="宋体" w:hAnsi="宋体"/>
                <w:kern w:val="44"/>
                <w:sz w:val="18"/>
                <w:szCs w:val="18"/>
              </w:rPr>
            </w:pPr>
            <w:r>
              <w:rPr>
                <w:rFonts w:hint="eastAsia" w:ascii="宋体" w:hAnsi="宋体"/>
                <w:kern w:val="44"/>
                <w:sz w:val="18"/>
                <w:szCs w:val="18"/>
              </w:rPr>
              <w:t>7.9</w:t>
            </w:r>
          </w:p>
        </w:tc>
        <w:tc>
          <w:tcPr>
            <w:tcW w:w="1275" w:type="dxa"/>
            <w:vAlign w:val="center"/>
          </w:tcPr>
          <w:p w14:paraId="2A40AEAE">
            <w:pPr>
              <w:spacing w:line="240" w:lineRule="exact"/>
              <w:ind w:firstLine="0" w:firstLineChars="0"/>
              <w:jc w:val="center"/>
              <w:rPr>
                <w:rFonts w:ascii="宋体" w:hAnsi="宋体"/>
                <w:kern w:val="44"/>
                <w:sz w:val="18"/>
                <w:szCs w:val="18"/>
              </w:rPr>
            </w:pPr>
            <w:r>
              <w:rPr>
                <w:rFonts w:hint="eastAsia" w:ascii="宋体" w:hAnsi="宋体"/>
                <w:kern w:val="44"/>
                <w:sz w:val="18"/>
                <w:szCs w:val="18"/>
              </w:rPr>
              <w:t>100</w:t>
            </w:r>
          </w:p>
        </w:tc>
        <w:tc>
          <w:tcPr>
            <w:tcW w:w="1134" w:type="dxa"/>
            <w:vAlign w:val="center"/>
          </w:tcPr>
          <w:p w14:paraId="3C871F09">
            <w:pPr>
              <w:spacing w:line="240" w:lineRule="exact"/>
              <w:ind w:firstLine="0" w:firstLineChars="0"/>
              <w:jc w:val="center"/>
              <w:rPr>
                <w:rFonts w:ascii="宋体" w:hAnsi="宋体"/>
                <w:kern w:val="44"/>
                <w:sz w:val="18"/>
                <w:szCs w:val="18"/>
              </w:rPr>
            </w:pPr>
            <w:r>
              <w:rPr>
                <w:rFonts w:hint="eastAsia" w:ascii="宋体" w:hAnsi="宋体"/>
                <w:kern w:val="44"/>
                <w:sz w:val="18"/>
                <w:szCs w:val="18"/>
              </w:rPr>
              <w:t>100</w:t>
            </w:r>
          </w:p>
        </w:tc>
        <w:tc>
          <w:tcPr>
            <w:tcW w:w="3997" w:type="dxa"/>
            <w:tcBorders>
              <w:right w:val="single" w:color="auto" w:sz="12" w:space="0"/>
            </w:tcBorders>
            <w:vAlign w:val="center"/>
          </w:tcPr>
          <w:p w14:paraId="23D94B54">
            <w:pPr>
              <w:spacing w:line="240" w:lineRule="exact"/>
              <w:ind w:firstLine="0" w:firstLineChars="0"/>
              <w:jc w:val="center"/>
              <w:rPr>
                <w:rFonts w:ascii="宋体" w:hAnsi="宋体"/>
                <w:kern w:val="44"/>
                <w:sz w:val="18"/>
                <w:szCs w:val="18"/>
              </w:rPr>
            </w:pPr>
          </w:p>
        </w:tc>
      </w:tr>
      <w:tr w14:paraId="6FB87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09C7626B">
            <w:pPr>
              <w:spacing w:line="240" w:lineRule="exact"/>
              <w:ind w:firstLine="0" w:firstLineChars="0"/>
              <w:jc w:val="center"/>
              <w:rPr>
                <w:rFonts w:ascii="宋体" w:hAnsi="宋体"/>
                <w:kern w:val="44"/>
                <w:sz w:val="18"/>
                <w:szCs w:val="18"/>
              </w:rPr>
            </w:pPr>
            <w:r>
              <w:rPr>
                <w:rFonts w:hint="eastAsia" w:ascii="宋体" w:hAnsi="宋体"/>
                <w:kern w:val="44"/>
                <w:sz w:val="18"/>
                <w:szCs w:val="18"/>
              </w:rPr>
              <w:t>二、风景观赏河道</w:t>
            </w:r>
          </w:p>
        </w:tc>
        <w:tc>
          <w:tcPr>
            <w:tcW w:w="1418" w:type="dxa"/>
            <w:vAlign w:val="center"/>
          </w:tcPr>
          <w:p w14:paraId="3117C8EF">
            <w:pPr>
              <w:spacing w:line="240" w:lineRule="exact"/>
              <w:ind w:firstLine="0" w:firstLineChars="0"/>
              <w:jc w:val="center"/>
              <w:rPr>
                <w:rFonts w:ascii="宋体" w:hAnsi="宋体"/>
                <w:kern w:val="44"/>
                <w:sz w:val="18"/>
                <w:szCs w:val="18"/>
              </w:rPr>
            </w:pPr>
          </w:p>
        </w:tc>
        <w:tc>
          <w:tcPr>
            <w:tcW w:w="2977" w:type="dxa"/>
            <w:vAlign w:val="center"/>
          </w:tcPr>
          <w:p w14:paraId="380DE17C">
            <w:pPr>
              <w:spacing w:line="240" w:lineRule="exact"/>
              <w:ind w:firstLine="0" w:firstLineChars="0"/>
              <w:jc w:val="center"/>
              <w:rPr>
                <w:rFonts w:ascii="宋体" w:hAnsi="宋体"/>
                <w:kern w:val="44"/>
                <w:sz w:val="18"/>
                <w:szCs w:val="18"/>
              </w:rPr>
            </w:pPr>
          </w:p>
        </w:tc>
        <w:tc>
          <w:tcPr>
            <w:tcW w:w="1134" w:type="dxa"/>
            <w:vAlign w:val="center"/>
          </w:tcPr>
          <w:p w14:paraId="3CA2955F">
            <w:pPr>
              <w:spacing w:line="240" w:lineRule="exact"/>
              <w:ind w:firstLine="0" w:firstLineChars="0"/>
              <w:jc w:val="center"/>
              <w:rPr>
                <w:rFonts w:ascii="宋体" w:hAnsi="宋体"/>
                <w:kern w:val="44"/>
                <w:sz w:val="18"/>
                <w:szCs w:val="18"/>
              </w:rPr>
            </w:pPr>
          </w:p>
        </w:tc>
        <w:tc>
          <w:tcPr>
            <w:tcW w:w="1275" w:type="dxa"/>
            <w:vAlign w:val="center"/>
          </w:tcPr>
          <w:p w14:paraId="17080A66">
            <w:pPr>
              <w:spacing w:line="240" w:lineRule="exact"/>
              <w:ind w:firstLine="0" w:firstLineChars="0"/>
              <w:jc w:val="center"/>
              <w:rPr>
                <w:rFonts w:ascii="宋体" w:hAnsi="宋体"/>
                <w:kern w:val="44"/>
                <w:sz w:val="18"/>
                <w:szCs w:val="18"/>
              </w:rPr>
            </w:pPr>
          </w:p>
        </w:tc>
        <w:tc>
          <w:tcPr>
            <w:tcW w:w="1134" w:type="dxa"/>
            <w:vAlign w:val="center"/>
          </w:tcPr>
          <w:p w14:paraId="57C9F990">
            <w:pPr>
              <w:spacing w:line="240" w:lineRule="exact"/>
              <w:ind w:firstLine="0" w:firstLineChars="0"/>
              <w:jc w:val="center"/>
              <w:rPr>
                <w:rFonts w:ascii="宋体" w:hAnsi="宋体"/>
                <w:kern w:val="44"/>
                <w:sz w:val="18"/>
                <w:szCs w:val="18"/>
              </w:rPr>
            </w:pPr>
          </w:p>
        </w:tc>
        <w:tc>
          <w:tcPr>
            <w:tcW w:w="3997" w:type="dxa"/>
            <w:tcBorders>
              <w:right w:val="single" w:color="auto" w:sz="12" w:space="0"/>
            </w:tcBorders>
            <w:vAlign w:val="center"/>
          </w:tcPr>
          <w:p w14:paraId="57D84B0B">
            <w:pPr>
              <w:spacing w:line="240" w:lineRule="exact"/>
              <w:ind w:firstLine="0" w:firstLineChars="0"/>
              <w:jc w:val="center"/>
              <w:rPr>
                <w:rFonts w:ascii="宋体" w:hAnsi="宋体"/>
                <w:kern w:val="44"/>
                <w:sz w:val="18"/>
                <w:szCs w:val="18"/>
              </w:rPr>
            </w:pPr>
          </w:p>
        </w:tc>
      </w:tr>
      <w:tr w14:paraId="7CE02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74FE49D8">
            <w:pPr>
              <w:spacing w:line="240" w:lineRule="exact"/>
              <w:ind w:firstLine="0" w:firstLineChars="0"/>
              <w:jc w:val="center"/>
              <w:rPr>
                <w:rFonts w:ascii="宋体" w:hAnsi="宋体"/>
                <w:kern w:val="44"/>
                <w:sz w:val="18"/>
                <w:szCs w:val="18"/>
              </w:rPr>
            </w:pPr>
          </w:p>
        </w:tc>
        <w:tc>
          <w:tcPr>
            <w:tcW w:w="1418" w:type="dxa"/>
            <w:vAlign w:val="center"/>
          </w:tcPr>
          <w:p w14:paraId="1148E53D">
            <w:pPr>
              <w:spacing w:line="240" w:lineRule="exact"/>
              <w:ind w:firstLine="0" w:firstLineChars="0"/>
              <w:jc w:val="center"/>
              <w:rPr>
                <w:rFonts w:ascii="宋体" w:hAnsi="宋体"/>
                <w:kern w:val="44"/>
                <w:sz w:val="18"/>
                <w:szCs w:val="18"/>
              </w:rPr>
            </w:pPr>
            <w:r>
              <w:rPr>
                <w:rFonts w:hint="eastAsia" w:ascii="宋体" w:hAnsi="宋体"/>
                <w:kern w:val="44"/>
                <w:sz w:val="18"/>
                <w:szCs w:val="18"/>
              </w:rPr>
              <w:t>京密引水渠</w:t>
            </w:r>
          </w:p>
        </w:tc>
        <w:tc>
          <w:tcPr>
            <w:tcW w:w="2977" w:type="dxa"/>
            <w:vAlign w:val="center"/>
          </w:tcPr>
          <w:p w14:paraId="5FB851C6">
            <w:pPr>
              <w:spacing w:line="240" w:lineRule="exact"/>
              <w:ind w:firstLine="0" w:firstLineChars="0"/>
              <w:jc w:val="center"/>
              <w:rPr>
                <w:rFonts w:ascii="宋体" w:hAnsi="宋体"/>
                <w:kern w:val="44"/>
                <w:sz w:val="18"/>
                <w:szCs w:val="18"/>
              </w:rPr>
            </w:pPr>
            <w:r>
              <w:rPr>
                <w:rFonts w:hint="eastAsia" w:ascii="宋体" w:hAnsi="宋体"/>
                <w:kern w:val="44"/>
                <w:sz w:val="18"/>
                <w:szCs w:val="18"/>
              </w:rPr>
              <w:t>绣漪桥～长河闸</w:t>
            </w:r>
          </w:p>
        </w:tc>
        <w:tc>
          <w:tcPr>
            <w:tcW w:w="1134" w:type="dxa"/>
            <w:vAlign w:val="center"/>
          </w:tcPr>
          <w:p w14:paraId="6695B2DC">
            <w:pPr>
              <w:spacing w:line="240" w:lineRule="exact"/>
              <w:ind w:firstLine="0" w:firstLineChars="0"/>
              <w:jc w:val="center"/>
              <w:rPr>
                <w:rFonts w:ascii="宋体" w:hAnsi="宋体"/>
                <w:kern w:val="44"/>
                <w:sz w:val="18"/>
                <w:szCs w:val="18"/>
              </w:rPr>
            </w:pPr>
            <w:r>
              <w:rPr>
                <w:rFonts w:hint="eastAsia" w:ascii="宋体" w:hAnsi="宋体"/>
                <w:kern w:val="44"/>
                <w:sz w:val="18"/>
                <w:szCs w:val="18"/>
              </w:rPr>
              <w:t>3</w:t>
            </w:r>
          </w:p>
        </w:tc>
        <w:tc>
          <w:tcPr>
            <w:tcW w:w="1275" w:type="dxa"/>
            <w:vAlign w:val="center"/>
          </w:tcPr>
          <w:p w14:paraId="6A30D6A9">
            <w:pPr>
              <w:spacing w:line="240" w:lineRule="exact"/>
              <w:ind w:firstLine="0" w:firstLineChars="0"/>
              <w:jc w:val="center"/>
              <w:rPr>
                <w:rFonts w:ascii="宋体" w:hAnsi="宋体"/>
                <w:kern w:val="44"/>
                <w:sz w:val="18"/>
                <w:szCs w:val="18"/>
              </w:rPr>
            </w:pPr>
            <w:r>
              <w:rPr>
                <w:rFonts w:hint="eastAsia" w:ascii="宋体" w:hAnsi="宋体"/>
                <w:kern w:val="44"/>
                <w:sz w:val="18"/>
                <w:szCs w:val="18"/>
              </w:rPr>
              <w:t>100</w:t>
            </w:r>
          </w:p>
        </w:tc>
        <w:tc>
          <w:tcPr>
            <w:tcW w:w="1134" w:type="dxa"/>
            <w:vAlign w:val="center"/>
          </w:tcPr>
          <w:p w14:paraId="38837935">
            <w:pPr>
              <w:spacing w:line="240" w:lineRule="exact"/>
              <w:ind w:firstLine="0" w:firstLineChars="0"/>
              <w:jc w:val="center"/>
              <w:rPr>
                <w:rFonts w:ascii="宋体" w:hAnsi="宋体"/>
                <w:kern w:val="44"/>
                <w:sz w:val="18"/>
                <w:szCs w:val="18"/>
              </w:rPr>
            </w:pPr>
            <w:r>
              <w:rPr>
                <w:rFonts w:hint="eastAsia" w:ascii="宋体" w:hAnsi="宋体"/>
                <w:kern w:val="44"/>
                <w:sz w:val="18"/>
                <w:szCs w:val="18"/>
              </w:rPr>
              <w:t>100</w:t>
            </w:r>
          </w:p>
        </w:tc>
        <w:tc>
          <w:tcPr>
            <w:tcW w:w="3997" w:type="dxa"/>
            <w:tcBorders>
              <w:right w:val="single" w:color="auto" w:sz="12" w:space="0"/>
            </w:tcBorders>
            <w:vAlign w:val="center"/>
          </w:tcPr>
          <w:p w14:paraId="648F50AD">
            <w:pPr>
              <w:spacing w:line="240" w:lineRule="exact"/>
              <w:ind w:firstLine="0" w:firstLineChars="0"/>
              <w:jc w:val="center"/>
              <w:rPr>
                <w:rFonts w:ascii="宋体" w:hAnsi="宋体"/>
                <w:kern w:val="44"/>
                <w:sz w:val="18"/>
                <w:szCs w:val="18"/>
              </w:rPr>
            </w:pPr>
          </w:p>
        </w:tc>
      </w:tr>
      <w:tr w14:paraId="11750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604EDF1A">
            <w:pPr>
              <w:spacing w:line="240" w:lineRule="exact"/>
              <w:ind w:firstLine="0" w:firstLineChars="0"/>
              <w:jc w:val="center"/>
              <w:rPr>
                <w:rFonts w:ascii="宋体" w:hAnsi="宋体"/>
                <w:kern w:val="44"/>
                <w:sz w:val="18"/>
                <w:szCs w:val="18"/>
              </w:rPr>
            </w:pPr>
          </w:p>
        </w:tc>
        <w:tc>
          <w:tcPr>
            <w:tcW w:w="1418" w:type="dxa"/>
            <w:vAlign w:val="center"/>
          </w:tcPr>
          <w:p w14:paraId="5F74C7BC">
            <w:pPr>
              <w:spacing w:line="240" w:lineRule="exact"/>
              <w:ind w:firstLine="0" w:firstLineChars="0"/>
              <w:jc w:val="center"/>
              <w:rPr>
                <w:rFonts w:ascii="宋体" w:hAnsi="宋体"/>
                <w:kern w:val="44"/>
                <w:sz w:val="18"/>
                <w:szCs w:val="18"/>
              </w:rPr>
            </w:pPr>
          </w:p>
        </w:tc>
        <w:tc>
          <w:tcPr>
            <w:tcW w:w="2977" w:type="dxa"/>
            <w:vAlign w:val="center"/>
          </w:tcPr>
          <w:p w14:paraId="775AC353">
            <w:pPr>
              <w:spacing w:line="240" w:lineRule="exact"/>
              <w:ind w:firstLine="0" w:firstLineChars="0"/>
              <w:jc w:val="center"/>
              <w:rPr>
                <w:rFonts w:ascii="宋体" w:hAnsi="宋体"/>
                <w:kern w:val="44"/>
                <w:sz w:val="18"/>
                <w:szCs w:val="18"/>
              </w:rPr>
            </w:pPr>
            <w:r>
              <w:rPr>
                <w:rFonts w:hint="eastAsia" w:ascii="宋体" w:hAnsi="宋体"/>
                <w:kern w:val="44"/>
                <w:sz w:val="18"/>
                <w:szCs w:val="18"/>
              </w:rPr>
              <w:t>长河闸～罗道庄</w:t>
            </w:r>
          </w:p>
        </w:tc>
        <w:tc>
          <w:tcPr>
            <w:tcW w:w="1134" w:type="dxa"/>
            <w:vAlign w:val="center"/>
          </w:tcPr>
          <w:p w14:paraId="06F03DFC">
            <w:pPr>
              <w:spacing w:line="240" w:lineRule="exact"/>
              <w:ind w:firstLine="0" w:firstLineChars="0"/>
              <w:jc w:val="center"/>
              <w:rPr>
                <w:rFonts w:ascii="宋体" w:hAnsi="宋体"/>
                <w:kern w:val="44"/>
                <w:sz w:val="18"/>
                <w:szCs w:val="18"/>
              </w:rPr>
            </w:pPr>
            <w:r>
              <w:rPr>
                <w:rFonts w:hint="eastAsia" w:ascii="宋体" w:hAnsi="宋体"/>
                <w:kern w:val="44"/>
                <w:sz w:val="18"/>
                <w:szCs w:val="18"/>
              </w:rPr>
              <w:t>4.2</w:t>
            </w:r>
          </w:p>
        </w:tc>
        <w:tc>
          <w:tcPr>
            <w:tcW w:w="1275" w:type="dxa"/>
            <w:vAlign w:val="center"/>
          </w:tcPr>
          <w:p w14:paraId="50CE074C">
            <w:pPr>
              <w:spacing w:line="240" w:lineRule="exact"/>
              <w:ind w:firstLine="0" w:firstLineChars="0"/>
              <w:jc w:val="center"/>
              <w:rPr>
                <w:rFonts w:ascii="宋体" w:hAnsi="宋体"/>
                <w:kern w:val="44"/>
                <w:sz w:val="18"/>
                <w:szCs w:val="18"/>
              </w:rPr>
            </w:pPr>
            <w:r>
              <w:rPr>
                <w:rFonts w:hint="eastAsia" w:ascii="宋体" w:hAnsi="宋体"/>
                <w:kern w:val="44"/>
                <w:sz w:val="18"/>
                <w:szCs w:val="18"/>
              </w:rPr>
              <w:t>100</w:t>
            </w:r>
          </w:p>
        </w:tc>
        <w:tc>
          <w:tcPr>
            <w:tcW w:w="1134" w:type="dxa"/>
            <w:vAlign w:val="center"/>
          </w:tcPr>
          <w:p w14:paraId="4446AAD8">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3997" w:type="dxa"/>
            <w:tcBorders>
              <w:right w:val="single" w:color="auto" w:sz="12" w:space="0"/>
            </w:tcBorders>
            <w:vAlign w:val="center"/>
          </w:tcPr>
          <w:p w14:paraId="5F7DB350">
            <w:pPr>
              <w:spacing w:line="240" w:lineRule="exact"/>
              <w:ind w:firstLine="0" w:firstLineChars="0"/>
              <w:jc w:val="center"/>
              <w:rPr>
                <w:rFonts w:ascii="宋体" w:hAnsi="宋体"/>
                <w:kern w:val="44"/>
                <w:sz w:val="18"/>
                <w:szCs w:val="18"/>
              </w:rPr>
            </w:pPr>
          </w:p>
        </w:tc>
      </w:tr>
      <w:tr w14:paraId="65384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1A789F07">
            <w:pPr>
              <w:spacing w:line="240" w:lineRule="exact"/>
              <w:ind w:firstLine="0" w:firstLineChars="0"/>
              <w:jc w:val="center"/>
              <w:rPr>
                <w:rFonts w:ascii="宋体" w:hAnsi="宋体"/>
                <w:kern w:val="44"/>
                <w:sz w:val="18"/>
                <w:szCs w:val="18"/>
              </w:rPr>
            </w:pPr>
          </w:p>
        </w:tc>
        <w:tc>
          <w:tcPr>
            <w:tcW w:w="1418" w:type="dxa"/>
            <w:vAlign w:val="center"/>
          </w:tcPr>
          <w:p w14:paraId="34BD3304">
            <w:pPr>
              <w:spacing w:line="240" w:lineRule="exact"/>
              <w:ind w:firstLine="0" w:firstLineChars="0"/>
              <w:jc w:val="center"/>
              <w:rPr>
                <w:rFonts w:ascii="宋体" w:hAnsi="宋体"/>
                <w:kern w:val="44"/>
                <w:sz w:val="18"/>
                <w:szCs w:val="18"/>
              </w:rPr>
            </w:pPr>
            <w:r>
              <w:rPr>
                <w:rFonts w:hint="eastAsia" w:ascii="宋体" w:hAnsi="宋体"/>
                <w:kern w:val="44"/>
                <w:sz w:val="18"/>
                <w:szCs w:val="18"/>
              </w:rPr>
              <w:t>永定河引水渠</w:t>
            </w:r>
          </w:p>
        </w:tc>
        <w:tc>
          <w:tcPr>
            <w:tcW w:w="2977" w:type="dxa"/>
            <w:vAlign w:val="center"/>
          </w:tcPr>
          <w:p w14:paraId="25D41C81">
            <w:pPr>
              <w:spacing w:line="240" w:lineRule="exact"/>
              <w:ind w:firstLine="0" w:firstLineChars="0"/>
              <w:jc w:val="center"/>
              <w:rPr>
                <w:rFonts w:ascii="宋体" w:hAnsi="宋体"/>
                <w:kern w:val="44"/>
                <w:sz w:val="18"/>
                <w:szCs w:val="18"/>
              </w:rPr>
            </w:pPr>
            <w:r>
              <w:rPr>
                <w:rFonts w:hint="eastAsia" w:ascii="宋体" w:hAnsi="宋体"/>
                <w:kern w:val="44"/>
                <w:sz w:val="18"/>
                <w:szCs w:val="18"/>
              </w:rPr>
              <w:t>罗道庄～三环路桥</w:t>
            </w:r>
          </w:p>
        </w:tc>
        <w:tc>
          <w:tcPr>
            <w:tcW w:w="1134" w:type="dxa"/>
            <w:vAlign w:val="center"/>
          </w:tcPr>
          <w:p w14:paraId="754D19CE">
            <w:pPr>
              <w:spacing w:line="240" w:lineRule="exact"/>
              <w:ind w:firstLine="0" w:firstLineChars="0"/>
              <w:jc w:val="center"/>
              <w:rPr>
                <w:rFonts w:ascii="宋体" w:hAnsi="宋体"/>
                <w:kern w:val="44"/>
                <w:sz w:val="18"/>
                <w:szCs w:val="18"/>
              </w:rPr>
            </w:pPr>
            <w:r>
              <w:rPr>
                <w:rFonts w:hint="eastAsia" w:ascii="宋体" w:hAnsi="宋体"/>
                <w:kern w:val="44"/>
                <w:sz w:val="18"/>
                <w:szCs w:val="18"/>
              </w:rPr>
              <w:t>1.2</w:t>
            </w:r>
          </w:p>
        </w:tc>
        <w:tc>
          <w:tcPr>
            <w:tcW w:w="1275" w:type="dxa"/>
            <w:vAlign w:val="center"/>
          </w:tcPr>
          <w:p w14:paraId="5FF90180">
            <w:pPr>
              <w:spacing w:line="240" w:lineRule="exact"/>
              <w:ind w:firstLine="0" w:firstLineChars="0"/>
              <w:jc w:val="center"/>
              <w:rPr>
                <w:rFonts w:ascii="宋体" w:hAnsi="宋体"/>
                <w:kern w:val="44"/>
                <w:sz w:val="18"/>
                <w:szCs w:val="18"/>
              </w:rPr>
            </w:pPr>
            <w:r>
              <w:rPr>
                <w:rFonts w:hint="eastAsia" w:ascii="宋体" w:hAnsi="宋体"/>
                <w:kern w:val="44"/>
                <w:sz w:val="18"/>
                <w:szCs w:val="18"/>
              </w:rPr>
              <w:t>100</w:t>
            </w:r>
          </w:p>
        </w:tc>
        <w:tc>
          <w:tcPr>
            <w:tcW w:w="1134" w:type="dxa"/>
            <w:vAlign w:val="center"/>
          </w:tcPr>
          <w:p w14:paraId="09BD5125">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3997" w:type="dxa"/>
            <w:tcBorders>
              <w:right w:val="single" w:color="auto" w:sz="12" w:space="0"/>
            </w:tcBorders>
            <w:vAlign w:val="center"/>
          </w:tcPr>
          <w:p w14:paraId="37B18E30">
            <w:pPr>
              <w:spacing w:line="240" w:lineRule="exact"/>
              <w:ind w:firstLine="0" w:firstLineChars="0"/>
              <w:jc w:val="center"/>
              <w:rPr>
                <w:rFonts w:ascii="宋体" w:hAnsi="宋体"/>
                <w:kern w:val="44"/>
                <w:sz w:val="18"/>
                <w:szCs w:val="18"/>
              </w:rPr>
            </w:pPr>
          </w:p>
        </w:tc>
      </w:tr>
      <w:tr w14:paraId="275AB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5DB8A576">
            <w:pPr>
              <w:spacing w:line="240" w:lineRule="exact"/>
              <w:ind w:firstLine="0" w:firstLineChars="0"/>
              <w:jc w:val="center"/>
              <w:rPr>
                <w:rFonts w:ascii="宋体" w:hAnsi="宋体"/>
                <w:kern w:val="44"/>
                <w:sz w:val="18"/>
                <w:szCs w:val="18"/>
              </w:rPr>
            </w:pPr>
          </w:p>
        </w:tc>
        <w:tc>
          <w:tcPr>
            <w:tcW w:w="1418" w:type="dxa"/>
            <w:vAlign w:val="center"/>
          </w:tcPr>
          <w:p w14:paraId="708AF04A">
            <w:pPr>
              <w:spacing w:line="240" w:lineRule="exact"/>
              <w:ind w:firstLine="0" w:firstLineChars="0"/>
              <w:jc w:val="center"/>
              <w:rPr>
                <w:rFonts w:ascii="宋体" w:hAnsi="宋体"/>
                <w:kern w:val="44"/>
                <w:sz w:val="18"/>
                <w:szCs w:val="18"/>
              </w:rPr>
            </w:pPr>
          </w:p>
        </w:tc>
        <w:tc>
          <w:tcPr>
            <w:tcW w:w="2977" w:type="dxa"/>
            <w:vAlign w:val="center"/>
          </w:tcPr>
          <w:p w14:paraId="1344A3C6">
            <w:pPr>
              <w:tabs>
                <w:tab w:val="left" w:pos="480"/>
              </w:tabs>
              <w:spacing w:line="240" w:lineRule="exact"/>
              <w:ind w:firstLine="0" w:firstLineChars="0"/>
              <w:jc w:val="center"/>
              <w:rPr>
                <w:rFonts w:ascii="宋体" w:hAnsi="宋体"/>
                <w:kern w:val="44"/>
                <w:sz w:val="18"/>
                <w:szCs w:val="18"/>
              </w:rPr>
            </w:pPr>
            <w:r>
              <w:rPr>
                <w:rFonts w:hint="eastAsia" w:ascii="宋体" w:hAnsi="宋体"/>
                <w:kern w:val="44"/>
                <w:sz w:val="18"/>
                <w:szCs w:val="18"/>
              </w:rPr>
              <w:t>玉渊潭出口～木樨地</w:t>
            </w:r>
          </w:p>
        </w:tc>
        <w:tc>
          <w:tcPr>
            <w:tcW w:w="1134" w:type="dxa"/>
            <w:vAlign w:val="center"/>
          </w:tcPr>
          <w:p w14:paraId="1F290219">
            <w:pPr>
              <w:spacing w:line="240" w:lineRule="exact"/>
              <w:ind w:firstLine="0" w:firstLineChars="0"/>
              <w:jc w:val="center"/>
              <w:rPr>
                <w:rFonts w:ascii="宋体" w:hAnsi="宋体"/>
                <w:kern w:val="44"/>
                <w:sz w:val="18"/>
                <w:szCs w:val="18"/>
              </w:rPr>
            </w:pPr>
            <w:r>
              <w:rPr>
                <w:rFonts w:hint="eastAsia" w:ascii="宋体" w:hAnsi="宋体"/>
                <w:kern w:val="44"/>
                <w:sz w:val="18"/>
                <w:szCs w:val="18"/>
              </w:rPr>
              <w:t>0.9</w:t>
            </w:r>
          </w:p>
        </w:tc>
        <w:tc>
          <w:tcPr>
            <w:tcW w:w="1275" w:type="dxa"/>
            <w:vAlign w:val="center"/>
          </w:tcPr>
          <w:p w14:paraId="51299585">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1134" w:type="dxa"/>
            <w:vAlign w:val="center"/>
          </w:tcPr>
          <w:p w14:paraId="689465A9">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3997" w:type="dxa"/>
            <w:tcBorders>
              <w:right w:val="single" w:color="auto" w:sz="12" w:space="0"/>
            </w:tcBorders>
            <w:vAlign w:val="center"/>
          </w:tcPr>
          <w:p w14:paraId="5330BA74">
            <w:pPr>
              <w:spacing w:line="240" w:lineRule="exact"/>
              <w:ind w:firstLine="0" w:firstLineChars="0"/>
              <w:jc w:val="center"/>
              <w:rPr>
                <w:rFonts w:ascii="宋体" w:hAnsi="宋体"/>
                <w:kern w:val="44"/>
                <w:sz w:val="18"/>
                <w:szCs w:val="18"/>
              </w:rPr>
            </w:pPr>
          </w:p>
        </w:tc>
      </w:tr>
      <w:tr w14:paraId="7337A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231D373C">
            <w:pPr>
              <w:spacing w:line="240" w:lineRule="exact"/>
              <w:ind w:firstLine="0" w:firstLineChars="0"/>
              <w:jc w:val="center"/>
              <w:rPr>
                <w:rFonts w:ascii="宋体" w:hAnsi="宋体"/>
                <w:kern w:val="44"/>
                <w:sz w:val="18"/>
                <w:szCs w:val="18"/>
              </w:rPr>
            </w:pPr>
          </w:p>
        </w:tc>
        <w:tc>
          <w:tcPr>
            <w:tcW w:w="1418" w:type="dxa"/>
            <w:vAlign w:val="center"/>
          </w:tcPr>
          <w:p w14:paraId="7AAC491F">
            <w:pPr>
              <w:spacing w:line="240" w:lineRule="exact"/>
              <w:ind w:firstLine="0" w:firstLineChars="0"/>
              <w:jc w:val="center"/>
              <w:rPr>
                <w:rFonts w:ascii="宋体" w:hAnsi="宋体"/>
                <w:kern w:val="44"/>
                <w:sz w:val="18"/>
                <w:szCs w:val="18"/>
              </w:rPr>
            </w:pPr>
          </w:p>
        </w:tc>
        <w:tc>
          <w:tcPr>
            <w:tcW w:w="2977" w:type="dxa"/>
            <w:vAlign w:val="center"/>
          </w:tcPr>
          <w:p w14:paraId="1130BE4F">
            <w:pPr>
              <w:tabs>
                <w:tab w:val="left" w:pos="480"/>
              </w:tabs>
              <w:spacing w:line="240" w:lineRule="exact"/>
              <w:ind w:firstLine="0" w:firstLineChars="0"/>
              <w:jc w:val="center"/>
              <w:rPr>
                <w:rFonts w:ascii="宋体" w:hAnsi="宋体"/>
                <w:kern w:val="44"/>
                <w:sz w:val="18"/>
                <w:szCs w:val="18"/>
              </w:rPr>
            </w:pPr>
            <w:r>
              <w:rPr>
                <w:rFonts w:hint="eastAsia" w:ascii="宋体" w:hAnsi="宋体"/>
                <w:kern w:val="44"/>
                <w:sz w:val="18"/>
                <w:szCs w:val="18"/>
              </w:rPr>
              <w:t>木樨地～甘雨桥跌水</w:t>
            </w:r>
          </w:p>
        </w:tc>
        <w:tc>
          <w:tcPr>
            <w:tcW w:w="1134" w:type="dxa"/>
            <w:vAlign w:val="center"/>
          </w:tcPr>
          <w:p w14:paraId="16A0D183">
            <w:pPr>
              <w:spacing w:line="240" w:lineRule="exact"/>
              <w:ind w:firstLine="0" w:firstLineChars="0"/>
              <w:jc w:val="center"/>
              <w:rPr>
                <w:rFonts w:ascii="宋体" w:hAnsi="宋体"/>
                <w:kern w:val="44"/>
                <w:sz w:val="18"/>
                <w:szCs w:val="18"/>
              </w:rPr>
            </w:pPr>
            <w:r>
              <w:rPr>
                <w:rFonts w:hint="eastAsia" w:ascii="宋体" w:hAnsi="宋体"/>
                <w:kern w:val="44"/>
                <w:sz w:val="18"/>
                <w:szCs w:val="18"/>
              </w:rPr>
              <w:t>1.7</w:t>
            </w:r>
          </w:p>
        </w:tc>
        <w:tc>
          <w:tcPr>
            <w:tcW w:w="1275" w:type="dxa"/>
            <w:vAlign w:val="center"/>
          </w:tcPr>
          <w:p w14:paraId="573D5FAF">
            <w:pPr>
              <w:spacing w:line="240" w:lineRule="exact"/>
              <w:ind w:firstLine="0" w:firstLineChars="0"/>
              <w:jc w:val="center"/>
              <w:rPr>
                <w:rFonts w:ascii="宋体" w:hAnsi="宋体"/>
                <w:kern w:val="44"/>
                <w:sz w:val="18"/>
                <w:szCs w:val="18"/>
              </w:rPr>
            </w:pPr>
            <w:r>
              <w:rPr>
                <w:rFonts w:hint="eastAsia" w:ascii="宋体" w:hAnsi="宋体"/>
                <w:kern w:val="44"/>
                <w:sz w:val="18"/>
                <w:szCs w:val="18"/>
              </w:rPr>
              <w:t>50</w:t>
            </w:r>
          </w:p>
        </w:tc>
        <w:tc>
          <w:tcPr>
            <w:tcW w:w="1134" w:type="dxa"/>
            <w:vAlign w:val="center"/>
          </w:tcPr>
          <w:p w14:paraId="1C9C5DBF">
            <w:pPr>
              <w:spacing w:line="240" w:lineRule="exact"/>
              <w:ind w:firstLine="0" w:firstLineChars="0"/>
              <w:jc w:val="center"/>
              <w:rPr>
                <w:rFonts w:ascii="宋体" w:hAnsi="宋体"/>
                <w:kern w:val="44"/>
                <w:sz w:val="18"/>
                <w:szCs w:val="18"/>
              </w:rPr>
            </w:pPr>
            <w:r>
              <w:rPr>
                <w:rFonts w:hint="eastAsia" w:ascii="宋体" w:hAnsi="宋体"/>
                <w:kern w:val="44"/>
                <w:sz w:val="18"/>
                <w:szCs w:val="18"/>
              </w:rPr>
              <w:t>30-50</w:t>
            </w:r>
          </w:p>
        </w:tc>
        <w:tc>
          <w:tcPr>
            <w:tcW w:w="3997" w:type="dxa"/>
            <w:tcBorders>
              <w:right w:val="single" w:color="auto" w:sz="12" w:space="0"/>
            </w:tcBorders>
            <w:vAlign w:val="center"/>
          </w:tcPr>
          <w:p w14:paraId="39742B98">
            <w:pPr>
              <w:spacing w:line="240" w:lineRule="exact"/>
              <w:ind w:firstLine="0" w:firstLineChars="0"/>
              <w:jc w:val="center"/>
              <w:rPr>
                <w:rFonts w:ascii="宋体" w:hAnsi="宋体"/>
                <w:kern w:val="44"/>
                <w:sz w:val="18"/>
                <w:szCs w:val="18"/>
              </w:rPr>
            </w:pPr>
          </w:p>
        </w:tc>
      </w:tr>
      <w:tr w14:paraId="16D82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0BF0999B">
            <w:pPr>
              <w:spacing w:line="240" w:lineRule="exact"/>
              <w:ind w:firstLine="0" w:firstLineChars="0"/>
              <w:jc w:val="center"/>
              <w:rPr>
                <w:rFonts w:ascii="宋体" w:hAnsi="宋体"/>
                <w:kern w:val="44"/>
                <w:sz w:val="18"/>
                <w:szCs w:val="18"/>
              </w:rPr>
            </w:pPr>
          </w:p>
        </w:tc>
        <w:tc>
          <w:tcPr>
            <w:tcW w:w="1418" w:type="dxa"/>
            <w:vAlign w:val="center"/>
          </w:tcPr>
          <w:p w14:paraId="1C524451">
            <w:pPr>
              <w:tabs>
                <w:tab w:val="left" w:pos="210"/>
              </w:tabs>
              <w:spacing w:line="240" w:lineRule="exact"/>
              <w:ind w:firstLine="0" w:firstLineChars="0"/>
              <w:jc w:val="center"/>
              <w:rPr>
                <w:rFonts w:ascii="宋体" w:hAnsi="宋体"/>
                <w:kern w:val="44"/>
                <w:sz w:val="18"/>
                <w:szCs w:val="18"/>
              </w:rPr>
            </w:pPr>
            <w:r>
              <w:rPr>
                <w:rFonts w:hint="eastAsia" w:ascii="宋体" w:hAnsi="宋体"/>
                <w:kern w:val="44"/>
                <w:sz w:val="18"/>
                <w:szCs w:val="18"/>
              </w:rPr>
              <w:t>南护城河</w:t>
            </w:r>
          </w:p>
        </w:tc>
        <w:tc>
          <w:tcPr>
            <w:tcW w:w="2977" w:type="dxa"/>
            <w:vAlign w:val="center"/>
          </w:tcPr>
          <w:p w14:paraId="4B5F73A0">
            <w:pPr>
              <w:spacing w:line="240" w:lineRule="exact"/>
              <w:ind w:firstLine="0" w:firstLineChars="0"/>
              <w:jc w:val="center"/>
              <w:rPr>
                <w:rFonts w:ascii="宋体" w:hAnsi="宋体"/>
                <w:kern w:val="44"/>
                <w:sz w:val="18"/>
                <w:szCs w:val="18"/>
              </w:rPr>
            </w:pPr>
            <w:r>
              <w:rPr>
                <w:rFonts w:hint="eastAsia" w:ascii="宋体" w:hAnsi="宋体"/>
                <w:kern w:val="44"/>
                <w:sz w:val="18"/>
                <w:szCs w:val="18"/>
              </w:rPr>
              <w:t>甘雨桥～西南城角</w:t>
            </w:r>
          </w:p>
        </w:tc>
        <w:tc>
          <w:tcPr>
            <w:tcW w:w="1134" w:type="dxa"/>
            <w:vAlign w:val="center"/>
          </w:tcPr>
          <w:p w14:paraId="25949A65">
            <w:pPr>
              <w:spacing w:line="240" w:lineRule="exact"/>
              <w:ind w:firstLine="0" w:firstLineChars="0"/>
              <w:jc w:val="center"/>
              <w:rPr>
                <w:rFonts w:ascii="宋体" w:hAnsi="宋体"/>
                <w:kern w:val="44"/>
                <w:sz w:val="18"/>
                <w:szCs w:val="18"/>
              </w:rPr>
            </w:pPr>
            <w:r>
              <w:rPr>
                <w:rFonts w:hint="eastAsia" w:ascii="宋体" w:hAnsi="宋体"/>
                <w:kern w:val="44"/>
                <w:sz w:val="18"/>
                <w:szCs w:val="18"/>
              </w:rPr>
              <w:t>3.5</w:t>
            </w:r>
          </w:p>
        </w:tc>
        <w:tc>
          <w:tcPr>
            <w:tcW w:w="1275" w:type="dxa"/>
            <w:vAlign w:val="center"/>
          </w:tcPr>
          <w:p w14:paraId="35AE8767">
            <w:pPr>
              <w:spacing w:line="240" w:lineRule="exact"/>
              <w:ind w:firstLine="0" w:firstLineChars="0"/>
              <w:jc w:val="center"/>
              <w:rPr>
                <w:rFonts w:ascii="宋体" w:hAnsi="宋体"/>
                <w:kern w:val="44"/>
                <w:sz w:val="18"/>
                <w:szCs w:val="18"/>
              </w:rPr>
            </w:pPr>
            <w:r>
              <w:rPr>
                <w:rFonts w:hint="eastAsia" w:ascii="宋体" w:hAnsi="宋体"/>
                <w:kern w:val="44"/>
                <w:sz w:val="18"/>
                <w:szCs w:val="18"/>
              </w:rPr>
              <w:t>到原西红线</w:t>
            </w:r>
          </w:p>
        </w:tc>
        <w:tc>
          <w:tcPr>
            <w:tcW w:w="1134" w:type="dxa"/>
            <w:vAlign w:val="center"/>
          </w:tcPr>
          <w:p w14:paraId="4F7A053C">
            <w:pPr>
              <w:spacing w:line="240" w:lineRule="exact"/>
              <w:ind w:firstLine="0" w:firstLineChars="0"/>
              <w:jc w:val="center"/>
              <w:rPr>
                <w:rFonts w:ascii="宋体" w:hAnsi="宋体"/>
                <w:kern w:val="44"/>
                <w:sz w:val="18"/>
                <w:szCs w:val="18"/>
              </w:rPr>
            </w:pPr>
            <w:r>
              <w:rPr>
                <w:rFonts w:hint="eastAsia" w:ascii="宋体" w:hAnsi="宋体"/>
                <w:kern w:val="44"/>
                <w:sz w:val="18"/>
                <w:szCs w:val="18"/>
              </w:rPr>
              <w:t>60</w:t>
            </w:r>
          </w:p>
        </w:tc>
        <w:tc>
          <w:tcPr>
            <w:tcW w:w="3997" w:type="dxa"/>
            <w:tcBorders>
              <w:right w:val="single" w:color="auto" w:sz="12" w:space="0"/>
            </w:tcBorders>
            <w:vAlign w:val="center"/>
          </w:tcPr>
          <w:p w14:paraId="19ECC016">
            <w:pPr>
              <w:spacing w:line="240" w:lineRule="exact"/>
              <w:ind w:firstLine="0" w:firstLineChars="0"/>
              <w:jc w:val="center"/>
              <w:rPr>
                <w:rFonts w:ascii="宋体" w:hAnsi="宋体"/>
                <w:kern w:val="44"/>
                <w:sz w:val="18"/>
                <w:szCs w:val="18"/>
              </w:rPr>
            </w:pPr>
            <w:r>
              <w:rPr>
                <w:rFonts w:hint="eastAsia" w:ascii="宋体" w:hAnsi="宋体"/>
                <w:kern w:val="44"/>
                <w:sz w:val="18"/>
                <w:szCs w:val="18"/>
              </w:rPr>
              <w:t>西红线尚未建设地区预留30米绿地</w:t>
            </w:r>
          </w:p>
        </w:tc>
      </w:tr>
      <w:tr w14:paraId="50D49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36101F9B">
            <w:pPr>
              <w:spacing w:line="240" w:lineRule="exact"/>
              <w:ind w:firstLine="0" w:firstLineChars="0"/>
              <w:jc w:val="center"/>
              <w:rPr>
                <w:rFonts w:ascii="宋体" w:hAnsi="宋体"/>
                <w:kern w:val="44"/>
                <w:sz w:val="18"/>
                <w:szCs w:val="18"/>
              </w:rPr>
            </w:pPr>
          </w:p>
        </w:tc>
        <w:tc>
          <w:tcPr>
            <w:tcW w:w="1418" w:type="dxa"/>
            <w:vAlign w:val="center"/>
          </w:tcPr>
          <w:p w14:paraId="70FE49AC">
            <w:pPr>
              <w:spacing w:line="240" w:lineRule="exact"/>
              <w:ind w:firstLine="0" w:firstLineChars="0"/>
              <w:jc w:val="center"/>
              <w:rPr>
                <w:rFonts w:ascii="宋体" w:hAnsi="宋体"/>
                <w:kern w:val="44"/>
                <w:sz w:val="18"/>
                <w:szCs w:val="18"/>
              </w:rPr>
            </w:pPr>
          </w:p>
        </w:tc>
        <w:tc>
          <w:tcPr>
            <w:tcW w:w="2977" w:type="dxa"/>
            <w:vAlign w:val="center"/>
          </w:tcPr>
          <w:p w14:paraId="404DE34F">
            <w:pPr>
              <w:spacing w:line="240" w:lineRule="exact"/>
              <w:ind w:firstLine="0" w:firstLineChars="0"/>
              <w:jc w:val="center"/>
              <w:rPr>
                <w:rFonts w:ascii="宋体" w:hAnsi="宋体"/>
                <w:kern w:val="44"/>
                <w:sz w:val="18"/>
                <w:szCs w:val="18"/>
              </w:rPr>
            </w:pPr>
            <w:r>
              <w:rPr>
                <w:rFonts w:hint="eastAsia" w:ascii="宋体" w:hAnsi="宋体"/>
                <w:kern w:val="44"/>
                <w:sz w:val="18"/>
                <w:szCs w:val="18"/>
              </w:rPr>
              <w:t>西南城角～内环西侧延长路</w:t>
            </w:r>
          </w:p>
        </w:tc>
        <w:tc>
          <w:tcPr>
            <w:tcW w:w="1134" w:type="dxa"/>
            <w:vAlign w:val="center"/>
          </w:tcPr>
          <w:p w14:paraId="17FF832F">
            <w:pPr>
              <w:spacing w:line="240" w:lineRule="exact"/>
              <w:ind w:firstLine="0" w:firstLineChars="0"/>
              <w:jc w:val="center"/>
              <w:rPr>
                <w:rFonts w:ascii="宋体" w:hAnsi="宋体"/>
                <w:kern w:val="44"/>
                <w:sz w:val="18"/>
                <w:szCs w:val="18"/>
              </w:rPr>
            </w:pPr>
            <w:r>
              <w:rPr>
                <w:rFonts w:hint="eastAsia" w:ascii="宋体" w:hAnsi="宋体"/>
                <w:kern w:val="44"/>
                <w:sz w:val="18"/>
                <w:szCs w:val="18"/>
              </w:rPr>
              <w:t>2</w:t>
            </w:r>
          </w:p>
        </w:tc>
        <w:tc>
          <w:tcPr>
            <w:tcW w:w="1275" w:type="dxa"/>
            <w:vAlign w:val="center"/>
          </w:tcPr>
          <w:p w14:paraId="63E5AD1C">
            <w:pPr>
              <w:spacing w:line="240" w:lineRule="exact"/>
              <w:ind w:firstLine="0" w:firstLineChars="0"/>
              <w:jc w:val="center"/>
              <w:rPr>
                <w:rFonts w:ascii="宋体" w:hAnsi="宋体"/>
                <w:kern w:val="44"/>
                <w:sz w:val="18"/>
                <w:szCs w:val="18"/>
              </w:rPr>
            </w:pPr>
            <w:r>
              <w:rPr>
                <w:rFonts w:hint="eastAsia" w:ascii="宋体" w:hAnsi="宋体"/>
                <w:kern w:val="44"/>
                <w:sz w:val="18"/>
                <w:szCs w:val="18"/>
              </w:rPr>
              <w:t>150</w:t>
            </w:r>
          </w:p>
        </w:tc>
        <w:tc>
          <w:tcPr>
            <w:tcW w:w="1134" w:type="dxa"/>
            <w:vAlign w:val="center"/>
          </w:tcPr>
          <w:p w14:paraId="7FD0517B">
            <w:pPr>
              <w:spacing w:line="240" w:lineRule="exact"/>
              <w:ind w:firstLine="0" w:firstLineChars="0"/>
              <w:jc w:val="center"/>
              <w:rPr>
                <w:rFonts w:ascii="宋体" w:hAnsi="宋体"/>
                <w:kern w:val="44"/>
                <w:sz w:val="18"/>
                <w:szCs w:val="18"/>
              </w:rPr>
            </w:pPr>
            <w:r>
              <w:rPr>
                <w:rFonts w:hint="eastAsia" w:ascii="宋体" w:hAnsi="宋体"/>
                <w:kern w:val="44"/>
                <w:sz w:val="18"/>
                <w:szCs w:val="18"/>
              </w:rPr>
              <w:t>60</w:t>
            </w:r>
          </w:p>
        </w:tc>
        <w:tc>
          <w:tcPr>
            <w:tcW w:w="3997" w:type="dxa"/>
            <w:tcBorders>
              <w:right w:val="single" w:color="auto" w:sz="12" w:space="0"/>
            </w:tcBorders>
            <w:vAlign w:val="center"/>
          </w:tcPr>
          <w:p w14:paraId="270E73E7">
            <w:pPr>
              <w:spacing w:line="240" w:lineRule="exact"/>
              <w:ind w:firstLine="0" w:firstLineChars="0"/>
              <w:jc w:val="center"/>
              <w:rPr>
                <w:rFonts w:ascii="宋体" w:hAnsi="宋体"/>
                <w:kern w:val="44"/>
                <w:sz w:val="18"/>
                <w:szCs w:val="18"/>
              </w:rPr>
            </w:pPr>
          </w:p>
        </w:tc>
      </w:tr>
      <w:tr w14:paraId="221CE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2923E669">
            <w:pPr>
              <w:spacing w:line="240" w:lineRule="exact"/>
              <w:ind w:firstLine="0" w:firstLineChars="0"/>
              <w:jc w:val="center"/>
              <w:rPr>
                <w:rFonts w:ascii="宋体" w:hAnsi="宋体"/>
                <w:kern w:val="44"/>
                <w:sz w:val="18"/>
                <w:szCs w:val="18"/>
              </w:rPr>
            </w:pPr>
          </w:p>
        </w:tc>
        <w:tc>
          <w:tcPr>
            <w:tcW w:w="1418" w:type="dxa"/>
            <w:vAlign w:val="center"/>
          </w:tcPr>
          <w:p w14:paraId="3CDB118E">
            <w:pPr>
              <w:spacing w:line="240" w:lineRule="exact"/>
              <w:ind w:firstLine="0" w:firstLineChars="0"/>
              <w:jc w:val="center"/>
              <w:rPr>
                <w:rFonts w:ascii="宋体" w:hAnsi="宋体"/>
                <w:kern w:val="44"/>
                <w:sz w:val="18"/>
                <w:szCs w:val="18"/>
              </w:rPr>
            </w:pPr>
          </w:p>
        </w:tc>
        <w:tc>
          <w:tcPr>
            <w:tcW w:w="2977" w:type="dxa"/>
            <w:vAlign w:val="center"/>
          </w:tcPr>
          <w:p w14:paraId="3044F6E3">
            <w:pPr>
              <w:spacing w:line="240" w:lineRule="exact"/>
              <w:ind w:firstLine="0" w:firstLineChars="0"/>
              <w:jc w:val="center"/>
              <w:rPr>
                <w:rFonts w:ascii="宋体" w:hAnsi="宋体"/>
                <w:kern w:val="44"/>
                <w:sz w:val="18"/>
                <w:szCs w:val="18"/>
              </w:rPr>
            </w:pPr>
            <w:r>
              <w:rPr>
                <w:rFonts w:hint="eastAsia" w:ascii="宋体" w:hAnsi="宋体"/>
                <w:kern w:val="44"/>
                <w:sz w:val="18"/>
                <w:szCs w:val="18"/>
              </w:rPr>
              <w:t>内环西侧延长路～永定门</w:t>
            </w:r>
          </w:p>
        </w:tc>
        <w:tc>
          <w:tcPr>
            <w:tcW w:w="1134" w:type="dxa"/>
            <w:vAlign w:val="center"/>
          </w:tcPr>
          <w:p w14:paraId="6B287FC6">
            <w:pPr>
              <w:spacing w:line="240" w:lineRule="exact"/>
              <w:ind w:firstLine="0" w:firstLineChars="0"/>
              <w:jc w:val="center"/>
              <w:rPr>
                <w:rFonts w:ascii="宋体" w:hAnsi="宋体"/>
                <w:kern w:val="44"/>
                <w:sz w:val="18"/>
                <w:szCs w:val="18"/>
              </w:rPr>
            </w:pPr>
            <w:r>
              <w:rPr>
                <w:rFonts w:hint="eastAsia" w:ascii="宋体" w:hAnsi="宋体"/>
                <w:kern w:val="44"/>
                <w:sz w:val="18"/>
                <w:szCs w:val="18"/>
              </w:rPr>
              <w:t>2.2</w:t>
            </w:r>
          </w:p>
        </w:tc>
        <w:tc>
          <w:tcPr>
            <w:tcW w:w="1275" w:type="dxa"/>
            <w:vAlign w:val="center"/>
          </w:tcPr>
          <w:p w14:paraId="40196465">
            <w:pPr>
              <w:spacing w:line="240" w:lineRule="exact"/>
              <w:ind w:firstLine="0" w:firstLineChars="0"/>
              <w:jc w:val="center"/>
              <w:rPr>
                <w:rFonts w:ascii="宋体" w:hAnsi="宋体"/>
                <w:kern w:val="44"/>
                <w:sz w:val="18"/>
                <w:szCs w:val="18"/>
              </w:rPr>
            </w:pPr>
            <w:r>
              <w:rPr>
                <w:rFonts w:hint="eastAsia" w:ascii="宋体" w:hAnsi="宋体"/>
                <w:kern w:val="44"/>
                <w:sz w:val="18"/>
                <w:szCs w:val="18"/>
              </w:rPr>
              <w:t>60</w:t>
            </w:r>
          </w:p>
        </w:tc>
        <w:tc>
          <w:tcPr>
            <w:tcW w:w="1134" w:type="dxa"/>
            <w:vAlign w:val="center"/>
          </w:tcPr>
          <w:p w14:paraId="469AEF2E">
            <w:pPr>
              <w:spacing w:line="240" w:lineRule="exact"/>
              <w:ind w:firstLine="0" w:firstLineChars="0"/>
              <w:jc w:val="center"/>
              <w:rPr>
                <w:rFonts w:ascii="宋体" w:hAnsi="宋体"/>
                <w:kern w:val="44"/>
                <w:sz w:val="18"/>
                <w:szCs w:val="18"/>
              </w:rPr>
            </w:pPr>
            <w:r>
              <w:rPr>
                <w:rFonts w:hint="eastAsia" w:ascii="宋体" w:hAnsi="宋体"/>
                <w:kern w:val="44"/>
                <w:sz w:val="18"/>
                <w:szCs w:val="18"/>
              </w:rPr>
              <w:t>60</w:t>
            </w:r>
          </w:p>
        </w:tc>
        <w:tc>
          <w:tcPr>
            <w:tcW w:w="3997" w:type="dxa"/>
            <w:tcBorders>
              <w:right w:val="single" w:color="auto" w:sz="12" w:space="0"/>
            </w:tcBorders>
            <w:vAlign w:val="center"/>
          </w:tcPr>
          <w:p w14:paraId="42155831">
            <w:pPr>
              <w:spacing w:line="240" w:lineRule="exact"/>
              <w:ind w:firstLine="0" w:firstLineChars="0"/>
              <w:jc w:val="center"/>
              <w:rPr>
                <w:rFonts w:ascii="宋体" w:hAnsi="宋体"/>
                <w:kern w:val="44"/>
                <w:sz w:val="18"/>
                <w:szCs w:val="18"/>
              </w:rPr>
            </w:pPr>
          </w:p>
        </w:tc>
      </w:tr>
      <w:tr w14:paraId="7E043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5AB88BF1">
            <w:pPr>
              <w:spacing w:line="240" w:lineRule="exact"/>
              <w:ind w:firstLine="0" w:firstLineChars="0"/>
              <w:jc w:val="center"/>
              <w:rPr>
                <w:rFonts w:ascii="宋体" w:hAnsi="宋体"/>
                <w:kern w:val="44"/>
                <w:sz w:val="18"/>
                <w:szCs w:val="18"/>
              </w:rPr>
            </w:pPr>
          </w:p>
        </w:tc>
        <w:tc>
          <w:tcPr>
            <w:tcW w:w="1418" w:type="dxa"/>
            <w:vAlign w:val="center"/>
          </w:tcPr>
          <w:p w14:paraId="1D5CA6BD">
            <w:pPr>
              <w:spacing w:line="240" w:lineRule="exact"/>
              <w:ind w:firstLine="0" w:firstLineChars="0"/>
              <w:jc w:val="center"/>
              <w:rPr>
                <w:rFonts w:ascii="宋体" w:hAnsi="宋体"/>
                <w:kern w:val="44"/>
                <w:sz w:val="18"/>
                <w:szCs w:val="18"/>
              </w:rPr>
            </w:pPr>
          </w:p>
        </w:tc>
        <w:tc>
          <w:tcPr>
            <w:tcW w:w="2977" w:type="dxa"/>
            <w:vAlign w:val="center"/>
          </w:tcPr>
          <w:p w14:paraId="2F3E2199">
            <w:pPr>
              <w:spacing w:line="240" w:lineRule="exact"/>
              <w:ind w:firstLine="0" w:firstLineChars="0"/>
              <w:jc w:val="center"/>
              <w:rPr>
                <w:rFonts w:ascii="宋体" w:hAnsi="宋体"/>
                <w:kern w:val="44"/>
                <w:sz w:val="18"/>
                <w:szCs w:val="18"/>
              </w:rPr>
            </w:pPr>
            <w:r>
              <w:rPr>
                <w:rFonts w:hint="eastAsia" w:ascii="宋体" w:hAnsi="宋体"/>
                <w:kern w:val="44"/>
                <w:sz w:val="18"/>
                <w:szCs w:val="18"/>
              </w:rPr>
              <w:t>永定门～东南城角</w:t>
            </w:r>
          </w:p>
        </w:tc>
        <w:tc>
          <w:tcPr>
            <w:tcW w:w="1134" w:type="dxa"/>
            <w:vAlign w:val="center"/>
          </w:tcPr>
          <w:p w14:paraId="3E3FFAD2">
            <w:pPr>
              <w:spacing w:line="240" w:lineRule="exact"/>
              <w:ind w:firstLine="0" w:firstLineChars="0"/>
              <w:jc w:val="center"/>
              <w:rPr>
                <w:rFonts w:ascii="宋体" w:hAnsi="宋体"/>
                <w:kern w:val="44"/>
                <w:sz w:val="18"/>
                <w:szCs w:val="18"/>
              </w:rPr>
            </w:pPr>
            <w:r>
              <w:rPr>
                <w:rFonts w:hint="eastAsia" w:ascii="宋体" w:hAnsi="宋体"/>
                <w:kern w:val="44"/>
                <w:sz w:val="18"/>
                <w:szCs w:val="18"/>
              </w:rPr>
              <w:t>3.8</w:t>
            </w:r>
          </w:p>
        </w:tc>
        <w:tc>
          <w:tcPr>
            <w:tcW w:w="1275" w:type="dxa"/>
            <w:vAlign w:val="center"/>
          </w:tcPr>
          <w:p w14:paraId="4AE48129">
            <w:pPr>
              <w:spacing w:line="240" w:lineRule="exact"/>
              <w:ind w:firstLine="0" w:firstLineChars="0"/>
              <w:jc w:val="center"/>
              <w:rPr>
                <w:rFonts w:ascii="宋体" w:hAnsi="宋体"/>
                <w:kern w:val="44"/>
                <w:sz w:val="18"/>
                <w:szCs w:val="18"/>
              </w:rPr>
            </w:pPr>
            <w:r>
              <w:rPr>
                <w:rFonts w:hint="eastAsia" w:ascii="宋体" w:hAnsi="宋体"/>
                <w:kern w:val="44"/>
                <w:sz w:val="18"/>
                <w:szCs w:val="18"/>
              </w:rPr>
              <w:t>158</w:t>
            </w:r>
          </w:p>
        </w:tc>
        <w:tc>
          <w:tcPr>
            <w:tcW w:w="1134" w:type="dxa"/>
            <w:vAlign w:val="center"/>
          </w:tcPr>
          <w:p w14:paraId="16A7EC87">
            <w:pPr>
              <w:spacing w:line="240" w:lineRule="exact"/>
              <w:ind w:firstLine="0" w:firstLineChars="0"/>
              <w:jc w:val="center"/>
              <w:rPr>
                <w:rFonts w:ascii="宋体" w:hAnsi="宋体"/>
                <w:kern w:val="44"/>
                <w:sz w:val="18"/>
                <w:szCs w:val="18"/>
              </w:rPr>
            </w:pPr>
            <w:r>
              <w:rPr>
                <w:rFonts w:hint="eastAsia" w:ascii="宋体" w:hAnsi="宋体"/>
                <w:kern w:val="44"/>
                <w:sz w:val="18"/>
                <w:szCs w:val="18"/>
              </w:rPr>
              <w:t>60</w:t>
            </w:r>
          </w:p>
        </w:tc>
        <w:tc>
          <w:tcPr>
            <w:tcW w:w="3997" w:type="dxa"/>
            <w:tcBorders>
              <w:right w:val="single" w:color="auto" w:sz="12" w:space="0"/>
            </w:tcBorders>
            <w:vAlign w:val="center"/>
          </w:tcPr>
          <w:p w14:paraId="730CBECA">
            <w:pPr>
              <w:spacing w:line="240" w:lineRule="exact"/>
              <w:ind w:firstLine="0" w:firstLineChars="0"/>
              <w:jc w:val="center"/>
              <w:rPr>
                <w:rFonts w:ascii="宋体" w:hAnsi="宋体"/>
                <w:kern w:val="44"/>
                <w:sz w:val="18"/>
                <w:szCs w:val="18"/>
              </w:rPr>
            </w:pPr>
          </w:p>
        </w:tc>
      </w:tr>
      <w:tr w14:paraId="056CF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5C1B45FF">
            <w:pPr>
              <w:spacing w:line="240" w:lineRule="exact"/>
              <w:ind w:firstLine="0" w:firstLineChars="0"/>
              <w:jc w:val="center"/>
              <w:rPr>
                <w:rFonts w:ascii="宋体" w:hAnsi="宋体"/>
                <w:kern w:val="44"/>
                <w:sz w:val="18"/>
                <w:szCs w:val="18"/>
              </w:rPr>
            </w:pPr>
          </w:p>
        </w:tc>
        <w:tc>
          <w:tcPr>
            <w:tcW w:w="1418" w:type="dxa"/>
            <w:vAlign w:val="center"/>
          </w:tcPr>
          <w:p w14:paraId="2645EE63">
            <w:pPr>
              <w:spacing w:line="240" w:lineRule="exact"/>
              <w:ind w:firstLine="0" w:firstLineChars="0"/>
              <w:jc w:val="center"/>
              <w:rPr>
                <w:rFonts w:ascii="宋体" w:hAnsi="宋体"/>
                <w:kern w:val="44"/>
                <w:sz w:val="18"/>
                <w:szCs w:val="18"/>
              </w:rPr>
            </w:pPr>
          </w:p>
        </w:tc>
        <w:tc>
          <w:tcPr>
            <w:tcW w:w="2977" w:type="dxa"/>
            <w:vAlign w:val="center"/>
          </w:tcPr>
          <w:p w14:paraId="2E3B5913">
            <w:pPr>
              <w:spacing w:line="240" w:lineRule="exact"/>
              <w:ind w:firstLine="0" w:firstLineChars="0"/>
              <w:jc w:val="center"/>
              <w:rPr>
                <w:rFonts w:ascii="宋体" w:hAnsi="宋体"/>
                <w:kern w:val="44"/>
                <w:sz w:val="18"/>
                <w:szCs w:val="18"/>
              </w:rPr>
            </w:pPr>
            <w:r>
              <w:rPr>
                <w:rFonts w:hint="eastAsia" w:ascii="宋体" w:hAnsi="宋体"/>
                <w:kern w:val="44"/>
                <w:sz w:val="18"/>
                <w:szCs w:val="18"/>
              </w:rPr>
              <w:t>东南城角～东便门</w:t>
            </w:r>
          </w:p>
        </w:tc>
        <w:tc>
          <w:tcPr>
            <w:tcW w:w="1134" w:type="dxa"/>
            <w:vAlign w:val="center"/>
          </w:tcPr>
          <w:p w14:paraId="5FC0BEB6">
            <w:pPr>
              <w:spacing w:line="240" w:lineRule="exact"/>
              <w:ind w:firstLine="0" w:firstLineChars="0"/>
              <w:jc w:val="center"/>
              <w:rPr>
                <w:rFonts w:ascii="宋体" w:hAnsi="宋体"/>
                <w:kern w:val="44"/>
                <w:sz w:val="18"/>
                <w:szCs w:val="18"/>
              </w:rPr>
            </w:pPr>
            <w:r>
              <w:rPr>
                <w:rFonts w:hint="eastAsia" w:ascii="宋体" w:hAnsi="宋体"/>
                <w:kern w:val="44"/>
                <w:sz w:val="18"/>
                <w:szCs w:val="18"/>
              </w:rPr>
              <w:t>3.7</w:t>
            </w:r>
          </w:p>
        </w:tc>
        <w:tc>
          <w:tcPr>
            <w:tcW w:w="1275" w:type="dxa"/>
            <w:vAlign w:val="center"/>
          </w:tcPr>
          <w:p w14:paraId="2F42AF04">
            <w:pPr>
              <w:spacing w:line="240" w:lineRule="exact"/>
              <w:ind w:firstLine="0" w:firstLineChars="0"/>
              <w:jc w:val="center"/>
              <w:rPr>
                <w:rFonts w:ascii="宋体" w:hAnsi="宋体"/>
                <w:kern w:val="44"/>
                <w:sz w:val="18"/>
                <w:szCs w:val="18"/>
              </w:rPr>
            </w:pPr>
            <w:r>
              <w:rPr>
                <w:rFonts w:hint="eastAsia" w:ascii="宋体" w:hAnsi="宋体"/>
                <w:kern w:val="44"/>
                <w:sz w:val="18"/>
                <w:szCs w:val="18"/>
              </w:rPr>
              <w:t>60</w:t>
            </w:r>
          </w:p>
        </w:tc>
        <w:tc>
          <w:tcPr>
            <w:tcW w:w="1134" w:type="dxa"/>
            <w:vAlign w:val="center"/>
          </w:tcPr>
          <w:p w14:paraId="56DB2F87">
            <w:pPr>
              <w:spacing w:line="240" w:lineRule="exact"/>
              <w:ind w:firstLine="0" w:firstLineChars="0"/>
              <w:jc w:val="center"/>
              <w:rPr>
                <w:rFonts w:ascii="宋体" w:hAnsi="宋体"/>
                <w:kern w:val="44"/>
                <w:sz w:val="18"/>
                <w:szCs w:val="18"/>
              </w:rPr>
            </w:pPr>
            <w:r>
              <w:rPr>
                <w:rFonts w:hint="eastAsia" w:ascii="宋体" w:hAnsi="宋体"/>
                <w:kern w:val="44"/>
                <w:sz w:val="18"/>
                <w:szCs w:val="18"/>
              </w:rPr>
              <w:t>60</w:t>
            </w:r>
          </w:p>
        </w:tc>
        <w:tc>
          <w:tcPr>
            <w:tcW w:w="3997" w:type="dxa"/>
            <w:tcBorders>
              <w:right w:val="single" w:color="auto" w:sz="12" w:space="0"/>
            </w:tcBorders>
            <w:vAlign w:val="center"/>
          </w:tcPr>
          <w:p w14:paraId="68ECF325">
            <w:pPr>
              <w:spacing w:line="240" w:lineRule="exact"/>
              <w:ind w:firstLine="0" w:firstLineChars="0"/>
              <w:jc w:val="center"/>
              <w:rPr>
                <w:rFonts w:ascii="宋体" w:hAnsi="宋体"/>
                <w:kern w:val="44"/>
                <w:sz w:val="18"/>
                <w:szCs w:val="18"/>
              </w:rPr>
            </w:pPr>
            <w:r>
              <w:rPr>
                <w:rFonts w:hint="eastAsia" w:ascii="宋体" w:hAnsi="宋体"/>
                <w:kern w:val="44"/>
                <w:sz w:val="18"/>
                <w:szCs w:val="18"/>
              </w:rPr>
              <w:t>广渠门～东便门东红线外留30米</w:t>
            </w:r>
          </w:p>
        </w:tc>
      </w:tr>
      <w:tr w14:paraId="65F77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2DD465F5">
            <w:pPr>
              <w:spacing w:line="240" w:lineRule="exact"/>
              <w:ind w:firstLine="0" w:firstLineChars="0"/>
              <w:jc w:val="center"/>
              <w:rPr>
                <w:rFonts w:ascii="宋体" w:hAnsi="宋体"/>
                <w:kern w:val="44"/>
                <w:sz w:val="18"/>
                <w:szCs w:val="18"/>
              </w:rPr>
            </w:pPr>
          </w:p>
        </w:tc>
        <w:tc>
          <w:tcPr>
            <w:tcW w:w="1418" w:type="dxa"/>
            <w:vAlign w:val="center"/>
          </w:tcPr>
          <w:p w14:paraId="4358CBCE">
            <w:pPr>
              <w:tabs>
                <w:tab w:val="left" w:pos="750"/>
              </w:tabs>
              <w:spacing w:line="240" w:lineRule="exact"/>
              <w:ind w:firstLine="0" w:firstLineChars="0"/>
              <w:jc w:val="center"/>
              <w:rPr>
                <w:rFonts w:ascii="宋体" w:hAnsi="宋体"/>
                <w:kern w:val="44"/>
                <w:sz w:val="18"/>
                <w:szCs w:val="18"/>
              </w:rPr>
            </w:pPr>
            <w:r>
              <w:rPr>
                <w:rFonts w:hint="eastAsia" w:ascii="宋体" w:hAnsi="宋体"/>
                <w:kern w:val="44"/>
                <w:sz w:val="18"/>
                <w:szCs w:val="18"/>
              </w:rPr>
              <w:t>通惠河</w:t>
            </w:r>
          </w:p>
        </w:tc>
        <w:tc>
          <w:tcPr>
            <w:tcW w:w="2977" w:type="dxa"/>
            <w:vAlign w:val="center"/>
          </w:tcPr>
          <w:p w14:paraId="6546F08C">
            <w:pPr>
              <w:spacing w:line="240" w:lineRule="exact"/>
              <w:ind w:firstLine="0" w:firstLineChars="0"/>
              <w:jc w:val="center"/>
              <w:rPr>
                <w:rFonts w:ascii="宋体" w:hAnsi="宋体"/>
                <w:kern w:val="44"/>
                <w:sz w:val="18"/>
                <w:szCs w:val="18"/>
              </w:rPr>
            </w:pPr>
            <w:r>
              <w:rPr>
                <w:rFonts w:hint="eastAsia" w:ascii="宋体" w:hAnsi="宋体"/>
                <w:kern w:val="44"/>
                <w:sz w:val="18"/>
                <w:szCs w:val="18"/>
              </w:rPr>
              <w:t>东便门～西大望路</w:t>
            </w:r>
          </w:p>
        </w:tc>
        <w:tc>
          <w:tcPr>
            <w:tcW w:w="1134" w:type="dxa"/>
            <w:vAlign w:val="center"/>
          </w:tcPr>
          <w:p w14:paraId="5EDD1BDA">
            <w:pPr>
              <w:spacing w:line="240" w:lineRule="exact"/>
              <w:ind w:firstLine="0" w:firstLineChars="0"/>
              <w:jc w:val="center"/>
              <w:rPr>
                <w:rFonts w:ascii="宋体" w:hAnsi="宋体"/>
                <w:kern w:val="44"/>
                <w:sz w:val="18"/>
                <w:szCs w:val="18"/>
              </w:rPr>
            </w:pPr>
            <w:r>
              <w:rPr>
                <w:rFonts w:hint="eastAsia" w:ascii="宋体" w:hAnsi="宋体"/>
                <w:kern w:val="44"/>
                <w:sz w:val="18"/>
                <w:szCs w:val="18"/>
              </w:rPr>
              <w:t>3.5</w:t>
            </w:r>
          </w:p>
        </w:tc>
        <w:tc>
          <w:tcPr>
            <w:tcW w:w="1275" w:type="dxa"/>
            <w:vAlign w:val="center"/>
          </w:tcPr>
          <w:p w14:paraId="07705AF2">
            <w:pPr>
              <w:spacing w:line="240" w:lineRule="exact"/>
              <w:ind w:firstLine="0" w:firstLineChars="0"/>
              <w:jc w:val="center"/>
              <w:rPr>
                <w:rFonts w:ascii="宋体" w:hAnsi="宋体"/>
                <w:kern w:val="44"/>
                <w:sz w:val="18"/>
                <w:szCs w:val="18"/>
              </w:rPr>
            </w:pPr>
            <w:r>
              <w:rPr>
                <w:rFonts w:hint="eastAsia" w:ascii="宋体" w:hAnsi="宋体"/>
                <w:kern w:val="44"/>
                <w:sz w:val="18"/>
                <w:szCs w:val="18"/>
              </w:rPr>
              <w:t>50</w:t>
            </w:r>
          </w:p>
        </w:tc>
        <w:tc>
          <w:tcPr>
            <w:tcW w:w="1134" w:type="dxa"/>
            <w:vAlign w:val="center"/>
          </w:tcPr>
          <w:p w14:paraId="0B2C5C8D">
            <w:pPr>
              <w:spacing w:line="240" w:lineRule="exact"/>
              <w:ind w:firstLine="0" w:firstLineChars="0"/>
              <w:jc w:val="center"/>
              <w:rPr>
                <w:rFonts w:ascii="宋体" w:hAnsi="宋体"/>
                <w:kern w:val="44"/>
                <w:sz w:val="18"/>
                <w:szCs w:val="18"/>
              </w:rPr>
            </w:pPr>
            <w:r>
              <w:rPr>
                <w:rFonts w:hint="eastAsia" w:ascii="宋体" w:hAnsi="宋体"/>
                <w:kern w:val="44"/>
                <w:sz w:val="18"/>
                <w:szCs w:val="18"/>
              </w:rPr>
              <w:t>45</w:t>
            </w:r>
          </w:p>
        </w:tc>
        <w:tc>
          <w:tcPr>
            <w:tcW w:w="3997" w:type="dxa"/>
            <w:tcBorders>
              <w:right w:val="single" w:color="auto" w:sz="12" w:space="0"/>
            </w:tcBorders>
            <w:vAlign w:val="center"/>
          </w:tcPr>
          <w:p w14:paraId="0C6EE6BA">
            <w:pPr>
              <w:spacing w:line="240" w:lineRule="exact"/>
              <w:ind w:firstLine="0" w:firstLineChars="0"/>
              <w:jc w:val="center"/>
              <w:rPr>
                <w:rFonts w:ascii="宋体" w:hAnsi="宋体"/>
                <w:kern w:val="44"/>
                <w:sz w:val="18"/>
                <w:szCs w:val="18"/>
              </w:rPr>
            </w:pPr>
            <w:r>
              <w:rPr>
                <w:rFonts w:hint="eastAsia" w:ascii="宋体" w:hAnsi="宋体"/>
                <w:kern w:val="44"/>
                <w:sz w:val="18"/>
                <w:szCs w:val="18"/>
              </w:rPr>
              <w:t>东便门～建华路北岸北红线外留20米绿地</w:t>
            </w:r>
          </w:p>
        </w:tc>
      </w:tr>
      <w:tr w14:paraId="43DD5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3768E302">
            <w:pPr>
              <w:spacing w:line="240" w:lineRule="exact"/>
              <w:ind w:firstLine="0" w:firstLineChars="0"/>
              <w:jc w:val="center"/>
              <w:rPr>
                <w:rFonts w:ascii="宋体" w:hAnsi="宋体"/>
                <w:kern w:val="44"/>
                <w:sz w:val="18"/>
                <w:szCs w:val="18"/>
              </w:rPr>
            </w:pPr>
          </w:p>
        </w:tc>
        <w:tc>
          <w:tcPr>
            <w:tcW w:w="1418" w:type="dxa"/>
            <w:vAlign w:val="center"/>
          </w:tcPr>
          <w:p w14:paraId="7E44847C">
            <w:pPr>
              <w:spacing w:line="240" w:lineRule="exact"/>
              <w:ind w:firstLine="0" w:firstLineChars="0"/>
              <w:jc w:val="center"/>
              <w:rPr>
                <w:rFonts w:ascii="宋体" w:hAnsi="宋体"/>
                <w:kern w:val="44"/>
                <w:sz w:val="18"/>
                <w:szCs w:val="18"/>
              </w:rPr>
            </w:pPr>
          </w:p>
        </w:tc>
        <w:tc>
          <w:tcPr>
            <w:tcW w:w="2977" w:type="dxa"/>
            <w:vAlign w:val="center"/>
          </w:tcPr>
          <w:p w14:paraId="5464AB50">
            <w:pPr>
              <w:spacing w:line="240" w:lineRule="exact"/>
              <w:ind w:firstLine="0" w:firstLineChars="0"/>
              <w:jc w:val="center"/>
              <w:rPr>
                <w:rFonts w:ascii="宋体" w:hAnsi="宋体"/>
                <w:kern w:val="44"/>
                <w:sz w:val="18"/>
                <w:szCs w:val="18"/>
              </w:rPr>
            </w:pPr>
            <w:r>
              <w:rPr>
                <w:rFonts w:hint="eastAsia" w:ascii="宋体" w:hAnsi="宋体"/>
                <w:kern w:val="44"/>
                <w:sz w:val="18"/>
                <w:szCs w:val="18"/>
              </w:rPr>
              <w:t>西大望路～高碑店湖</w:t>
            </w:r>
          </w:p>
        </w:tc>
        <w:tc>
          <w:tcPr>
            <w:tcW w:w="1134" w:type="dxa"/>
            <w:vAlign w:val="center"/>
          </w:tcPr>
          <w:p w14:paraId="09F2D908">
            <w:pPr>
              <w:spacing w:line="240" w:lineRule="exact"/>
              <w:ind w:firstLine="0" w:firstLineChars="0"/>
              <w:jc w:val="center"/>
              <w:rPr>
                <w:rFonts w:ascii="宋体" w:hAnsi="宋体"/>
                <w:kern w:val="44"/>
                <w:sz w:val="18"/>
                <w:szCs w:val="18"/>
              </w:rPr>
            </w:pPr>
            <w:r>
              <w:rPr>
                <w:rFonts w:hint="eastAsia" w:ascii="宋体" w:hAnsi="宋体"/>
                <w:kern w:val="44"/>
                <w:sz w:val="18"/>
                <w:szCs w:val="18"/>
              </w:rPr>
              <w:t>3.5</w:t>
            </w:r>
          </w:p>
        </w:tc>
        <w:tc>
          <w:tcPr>
            <w:tcW w:w="1275" w:type="dxa"/>
            <w:vAlign w:val="center"/>
          </w:tcPr>
          <w:p w14:paraId="7E98D77B">
            <w:pPr>
              <w:spacing w:line="240" w:lineRule="exact"/>
              <w:ind w:firstLine="0" w:firstLineChars="0"/>
              <w:jc w:val="center"/>
              <w:rPr>
                <w:rFonts w:ascii="宋体" w:hAnsi="宋体"/>
                <w:kern w:val="44"/>
                <w:sz w:val="18"/>
                <w:szCs w:val="18"/>
              </w:rPr>
            </w:pPr>
            <w:r>
              <w:rPr>
                <w:rFonts w:hint="eastAsia" w:ascii="宋体" w:hAnsi="宋体"/>
                <w:kern w:val="44"/>
                <w:sz w:val="18"/>
                <w:szCs w:val="18"/>
              </w:rPr>
              <w:t>100</w:t>
            </w:r>
          </w:p>
        </w:tc>
        <w:tc>
          <w:tcPr>
            <w:tcW w:w="1134" w:type="dxa"/>
            <w:vAlign w:val="center"/>
          </w:tcPr>
          <w:p w14:paraId="195A601A">
            <w:pPr>
              <w:spacing w:line="240" w:lineRule="exact"/>
              <w:ind w:firstLine="0" w:firstLineChars="0"/>
              <w:jc w:val="center"/>
              <w:rPr>
                <w:rFonts w:ascii="宋体" w:hAnsi="宋体"/>
                <w:kern w:val="44"/>
                <w:sz w:val="18"/>
                <w:szCs w:val="18"/>
              </w:rPr>
            </w:pPr>
            <w:r>
              <w:rPr>
                <w:rFonts w:hint="eastAsia" w:ascii="宋体" w:hAnsi="宋体"/>
                <w:kern w:val="44"/>
                <w:sz w:val="18"/>
                <w:szCs w:val="18"/>
              </w:rPr>
              <w:t>100</w:t>
            </w:r>
          </w:p>
        </w:tc>
        <w:tc>
          <w:tcPr>
            <w:tcW w:w="3997" w:type="dxa"/>
            <w:tcBorders>
              <w:right w:val="single" w:color="auto" w:sz="12" w:space="0"/>
            </w:tcBorders>
            <w:vAlign w:val="center"/>
          </w:tcPr>
          <w:p w14:paraId="470DDB45">
            <w:pPr>
              <w:spacing w:line="240" w:lineRule="exact"/>
              <w:ind w:firstLine="0" w:firstLineChars="0"/>
              <w:jc w:val="center"/>
              <w:rPr>
                <w:rFonts w:ascii="宋体" w:hAnsi="宋体"/>
                <w:kern w:val="44"/>
                <w:sz w:val="18"/>
                <w:szCs w:val="18"/>
              </w:rPr>
            </w:pPr>
          </w:p>
        </w:tc>
      </w:tr>
      <w:tr w14:paraId="3808A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74E36344">
            <w:pPr>
              <w:spacing w:line="240" w:lineRule="exact"/>
              <w:ind w:firstLine="0" w:firstLineChars="0"/>
              <w:jc w:val="center"/>
              <w:rPr>
                <w:rFonts w:ascii="宋体" w:hAnsi="宋体"/>
                <w:kern w:val="44"/>
                <w:sz w:val="18"/>
                <w:szCs w:val="18"/>
              </w:rPr>
            </w:pPr>
          </w:p>
        </w:tc>
        <w:tc>
          <w:tcPr>
            <w:tcW w:w="1418" w:type="dxa"/>
            <w:vAlign w:val="center"/>
          </w:tcPr>
          <w:p w14:paraId="32F789A3">
            <w:pPr>
              <w:spacing w:line="240" w:lineRule="exact"/>
              <w:ind w:firstLine="0" w:firstLineChars="0"/>
              <w:jc w:val="center"/>
              <w:rPr>
                <w:rFonts w:ascii="宋体" w:hAnsi="宋体"/>
                <w:kern w:val="44"/>
                <w:sz w:val="18"/>
                <w:szCs w:val="18"/>
              </w:rPr>
            </w:pPr>
            <w:r>
              <w:rPr>
                <w:rFonts w:hint="eastAsia" w:ascii="宋体" w:hAnsi="宋体"/>
                <w:kern w:val="44"/>
                <w:sz w:val="18"/>
                <w:szCs w:val="18"/>
              </w:rPr>
              <w:t>长河</w:t>
            </w:r>
          </w:p>
        </w:tc>
        <w:tc>
          <w:tcPr>
            <w:tcW w:w="2977" w:type="dxa"/>
            <w:vAlign w:val="center"/>
          </w:tcPr>
          <w:p w14:paraId="0910C794">
            <w:pPr>
              <w:spacing w:line="240" w:lineRule="exact"/>
              <w:ind w:firstLine="0" w:firstLineChars="0"/>
              <w:jc w:val="center"/>
              <w:rPr>
                <w:rFonts w:ascii="宋体" w:hAnsi="宋体"/>
                <w:kern w:val="44"/>
                <w:sz w:val="18"/>
                <w:szCs w:val="18"/>
              </w:rPr>
            </w:pPr>
            <w:r>
              <w:rPr>
                <w:rFonts w:hint="eastAsia" w:ascii="宋体" w:hAnsi="宋体"/>
                <w:kern w:val="44"/>
                <w:sz w:val="18"/>
                <w:szCs w:val="18"/>
              </w:rPr>
              <w:t>长河闸～三环路</w:t>
            </w:r>
          </w:p>
        </w:tc>
        <w:tc>
          <w:tcPr>
            <w:tcW w:w="1134" w:type="dxa"/>
            <w:vAlign w:val="center"/>
          </w:tcPr>
          <w:p w14:paraId="1F8617A5">
            <w:pPr>
              <w:spacing w:line="240" w:lineRule="exact"/>
              <w:ind w:firstLine="0" w:firstLineChars="0"/>
              <w:jc w:val="center"/>
              <w:rPr>
                <w:rFonts w:ascii="宋体" w:hAnsi="宋体"/>
                <w:kern w:val="44"/>
                <w:sz w:val="18"/>
                <w:szCs w:val="18"/>
              </w:rPr>
            </w:pPr>
            <w:r>
              <w:rPr>
                <w:rFonts w:hint="eastAsia" w:ascii="宋体" w:hAnsi="宋体"/>
                <w:kern w:val="44"/>
                <w:sz w:val="18"/>
                <w:szCs w:val="18"/>
              </w:rPr>
              <w:t>1.7</w:t>
            </w:r>
          </w:p>
        </w:tc>
        <w:tc>
          <w:tcPr>
            <w:tcW w:w="1275" w:type="dxa"/>
            <w:vAlign w:val="center"/>
          </w:tcPr>
          <w:p w14:paraId="245A9F52">
            <w:pPr>
              <w:spacing w:line="240" w:lineRule="exact"/>
              <w:ind w:firstLine="0" w:firstLineChars="0"/>
              <w:jc w:val="center"/>
              <w:rPr>
                <w:rFonts w:ascii="宋体" w:hAnsi="宋体"/>
                <w:kern w:val="44"/>
                <w:sz w:val="18"/>
                <w:szCs w:val="18"/>
              </w:rPr>
            </w:pPr>
            <w:r>
              <w:rPr>
                <w:rFonts w:hint="eastAsia" w:ascii="宋体" w:hAnsi="宋体"/>
                <w:kern w:val="44"/>
                <w:sz w:val="18"/>
                <w:szCs w:val="18"/>
              </w:rPr>
              <w:t>100</w:t>
            </w:r>
          </w:p>
        </w:tc>
        <w:tc>
          <w:tcPr>
            <w:tcW w:w="1134" w:type="dxa"/>
            <w:vAlign w:val="center"/>
          </w:tcPr>
          <w:p w14:paraId="554BD92E">
            <w:pPr>
              <w:spacing w:line="240" w:lineRule="exact"/>
              <w:ind w:firstLine="0" w:firstLineChars="0"/>
              <w:jc w:val="center"/>
              <w:rPr>
                <w:rFonts w:ascii="宋体" w:hAnsi="宋体"/>
                <w:kern w:val="44"/>
                <w:sz w:val="18"/>
                <w:szCs w:val="18"/>
              </w:rPr>
            </w:pPr>
            <w:r>
              <w:rPr>
                <w:rFonts w:hint="eastAsia" w:ascii="宋体" w:hAnsi="宋体"/>
                <w:kern w:val="44"/>
                <w:sz w:val="18"/>
                <w:szCs w:val="18"/>
              </w:rPr>
              <w:t>100</w:t>
            </w:r>
          </w:p>
        </w:tc>
        <w:tc>
          <w:tcPr>
            <w:tcW w:w="3997" w:type="dxa"/>
            <w:tcBorders>
              <w:right w:val="single" w:color="auto" w:sz="12" w:space="0"/>
            </w:tcBorders>
            <w:vAlign w:val="center"/>
          </w:tcPr>
          <w:p w14:paraId="67E68838">
            <w:pPr>
              <w:spacing w:line="240" w:lineRule="exact"/>
              <w:ind w:firstLine="0" w:firstLineChars="0"/>
              <w:jc w:val="center"/>
              <w:rPr>
                <w:rFonts w:ascii="宋体" w:hAnsi="宋体"/>
                <w:kern w:val="44"/>
                <w:sz w:val="18"/>
                <w:szCs w:val="18"/>
              </w:rPr>
            </w:pPr>
          </w:p>
        </w:tc>
      </w:tr>
      <w:tr w14:paraId="41408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751DB0EF">
            <w:pPr>
              <w:spacing w:line="240" w:lineRule="exact"/>
              <w:ind w:firstLine="0" w:firstLineChars="0"/>
              <w:jc w:val="center"/>
              <w:rPr>
                <w:rFonts w:ascii="宋体" w:hAnsi="宋体"/>
                <w:kern w:val="44"/>
                <w:sz w:val="18"/>
                <w:szCs w:val="18"/>
              </w:rPr>
            </w:pPr>
          </w:p>
        </w:tc>
        <w:tc>
          <w:tcPr>
            <w:tcW w:w="1418" w:type="dxa"/>
            <w:vAlign w:val="center"/>
          </w:tcPr>
          <w:p w14:paraId="29CFB777">
            <w:pPr>
              <w:spacing w:line="240" w:lineRule="exact"/>
              <w:ind w:firstLine="0" w:firstLineChars="0"/>
              <w:jc w:val="center"/>
              <w:rPr>
                <w:rFonts w:ascii="宋体" w:hAnsi="宋体"/>
                <w:kern w:val="44"/>
                <w:sz w:val="18"/>
                <w:szCs w:val="18"/>
              </w:rPr>
            </w:pPr>
          </w:p>
        </w:tc>
        <w:tc>
          <w:tcPr>
            <w:tcW w:w="2977" w:type="dxa"/>
            <w:vAlign w:val="center"/>
          </w:tcPr>
          <w:p w14:paraId="2553AA6A">
            <w:pPr>
              <w:spacing w:line="240" w:lineRule="exact"/>
              <w:ind w:firstLine="0" w:firstLineChars="0"/>
              <w:jc w:val="center"/>
              <w:rPr>
                <w:rFonts w:ascii="宋体" w:hAnsi="宋体"/>
                <w:kern w:val="44"/>
                <w:sz w:val="18"/>
                <w:szCs w:val="18"/>
              </w:rPr>
            </w:pPr>
            <w:r>
              <w:rPr>
                <w:rFonts w:hint="eastAsia" w:ascii="宋体" w:hAnsi="宋体"/>
                <w:kern w:val="44"/>
                <w:sz w:val="18"/>
                <w:szCs w:val="18"/>
              </w:rPr>
              <w:t>动物园出口～高梁桥</w:t>
            </w:r>
          </w:p>
        </w:tc>
        <w:tc>
          <w:tcPr>
            <w:tcW w:w="1134" w:type="dxa"/>
            <w:vAlign w:val="center"/>
          </w:tcPr>
          <w:p w14:paraId="52782617">
            <w:pPr>
              <w:spacing w:line="240" w:lineRule="exact"/>
              <w:ind w:firstLine="0" w:firstLineChars="0"/>
              <w:jc w:val="center"/>
              <w:rPr>
                <w:rFonts w:ascii="宋体" w:hAnsi="宋体"/>
                <w:kern w:val="44"/>
                <w:sz w:val="18"/>
                <w:szCs w:val="18"/>
              </w:rPr>
            </w:pPr>
            <w:r>
              <w:rPr>
                <w:rFonts w:hint="eastAsia" w:ascii="宋体" w:hAnsi="宋体"/>
                <w:kern w:val="44"/>
                <w:sz w:val="18"/>
                <w:szCs w:val="18"/>
              </w:rPr>
              <w:t>0.8</w:t>
            </w:r>
          </w:p>
        </w:tc>
        <w:tc>
          <w:tcPr>
            <w:tcW w:w="1275" w:type="dxa"/>
            <w:vAlign w:val="center"/>
          </w:tcPr>
          <w:p w14:paraId="67EF3A75">
            <w:pPr>
              <w:spacing w:line="240" w:lineRule="exact"/>
              <w:ind w:firstLine="0" w:firstLineChars="0"/>
              <w:jc w:val="center"/>
              <w:rPr>
                <w:rFonts w:ascii="宋体" w:hAnsi="宋体"/>
                <w:kern w:val="44"/>
                <w:sz w:val="18"/>
                <w:szCs w:val="18"/>
              </w:rPr>
            </w:pPr>
            <w:r>
              <w:rPr>
                <w:rFonts w:hint="eastAsia" w:ascii="宋体" w:hAnsi="宋体"/>
                <w:kern w:val="44"/>
                <w:sz w:val="18"/>
                <w:szCs w:val="18"/>
              </w:rPr>
              <w:t>50</w:t>
            </w:r>
          </w:p>
        </w:tc>
        <w:tc>
          <w:tcPr>
            <w:tcW w:w="1134" w:type="dxa"/>
            <w:vAlign w:val="center"/>
          </w:tcPr>
          <w:p w14:paraId="412801FC">
            <w:pPr>
              <w:spacing w:line="240" w:lineRule="exact"/>
              <w:ind w:firstLine="0" w:firstLineChars="0"/>
              <w:jc w:val="center"/>
              <w:rPr>
                <w:rFonts w:ascii="宋体" w:hAnsi="宋体"/>
                <w:kern w:val="44"/>
                <w:sz w:val="18"/>
                <w:szCs w:val="18"/>
              </w:rPr>
            </w:pPr>
          </w:p>
        </w:tc>
        <w:tc>
          <w:tcPr>
            <w:tcW w:w="3997" w:type="dxa"/>
            <w:tcBorders>
              <w:right w:val="single" w:color="auto" w:sz="12" w:space="0"/>
            </w:tcBorders>
            <w:vAlign w:val="center"/>
          </w:tcPr>
          <w:p w14:paraId="3F914F10">
            <w:pPr>
              <w:spacing w:line="240" w:lineRule="exact"/>
              <w:ind w:firstLine="0" w:firstLineChars="0"/>
              <w:jc w:val="center"/>
              <w:rPr>
                <w:rFonts w:ascii="宋体" w:hAnsi="宋体"/>
                <w:kern w:val="44"/>
                <w:sz w:val="18"/>
                <w:szCs w:val="18"/>
              </w:rPr>
            </w:pPr>
          </w:p>
        </w:tc>
      </w:tr>
      <w:tr w14:paraId="6259F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68B87B5D">
            <w:pPr>
              <w:spacing w:line="240" w:lineRule="exact"/>
              <w:ind w:firstLine="0" w:firstLineChars="0"/>
              <w:jc w:val="center"/>
              <w:rPr>
                <w:rFonts w:ascii="宋体" w:hAnsi="宋体"/>
                <w:kern w:val="44"/>
                <w:sz w:val="18"/>
                <w:szCs w:val="18"/>
              </w:rPr>
            </w:pPr>
          </w:p>
        </w:tc>
        <w:tc>
          <w:tcPr>
            <w:tcW w:w="1418" w:type="dxa"/>
            <w:vAlign w:val="center"/>
          </w:tcPr>
          <w:p w14:paraId="1F103B49">
            <w:pPr>
              <w:spacing w:line="240" w:lineRule="exact"/>
              <w:ind w:firstLine="0" w:firstLineChars="0"/>
              <w:jc w:val="center"/>
              <w:rPr>
                <w:rFonts w:ascii="宋体" w:hAnsi="宋体"/>
                <w:kern w:val="44"/>
                <w:sz w:val="18"/>
                <w:szCs w:val="18"/>
              </w:rPr>
            </w:pPr>
            <w:r>
              <w:rPr>
                <w:rFonts w:hint="eastAsia" w:ascii="宋体" w:hAnsi="宋体"/>
                <w:kern w:val="44"/>
                <w:sz w:val="18"/>
                <w:szCs w:val="18"/>
              </w:rPr>
              <w:t>北护城河</w:t>
            </w:r>
          </w:p>
        </w:tc>
        <w:tc>
          <w:tcPr>
            <w:tcW w:w="2977" w:type="dxa"/>
            <w:vAlign w:val="center"/>
          </w:tcPr>
          <w:p w14:paraId="32C5D7D6">
            <w:pPr>
              <w:spacing w:line="240" w:lineRule="exact"/>
              <w:ind w:firstLine="0" w:firstLineChars="0"/>
              <w:jc w:val="center"/>
              <w:rPr>
                <w:rFonts w:ascii="宋体" w:hAnsi="宋体"/>
                <w:kern w:val="44"/>
                <w:sz w:val="18"/>
                <w:szCs w:val="18"/>
              </w:rPr>
            </w:pPr>
            <w:r>
              <w:rPr>
                <w:rFonts w:hint="eastAsia" w:ascii="宋体" w:hAnsi="宋体"/>
                <w:kern w:val="44"/>
                <w:sz w:val="18"/>
                <w:szCs w:val="18"/>
              </w:rPr>
              <w:t>新街口豁口～东北城角</w:t>
            </w:r>
          </w:p>
        </w:tc>
        <w:tc>
          <w:tcPr>
            <w:tcW w:w="1134" w:type="dxa"/>
            <w:vAlign w:val="center"/>
          </w:tcPr>
          <w:p w14:paraId="0D0B5391">
            <w:pPr>
              <w:spacing w:line="240" w:lineRule="exact"/>
              <w:ind w:firstLine="0" w:firstLineChars="0"/>
              <w:jc w:val="center"/>
              <w:rPr>
                <w:rFonts w:ascii="宋体" w:hAnsi="宋体"/>
                <w:kern w:val="44"/>
                <w:sz w:val="18"/>
                <w:szCs w:val="18"/>
              </w:rPr>
            </w:pPr>
            <w:r>
              <w:rPr>
                <w:rFonts w:hint="eastAsia" w:ascii="宋体" w:hAnsi="宋体"/>
                <w:kern w:val="44"/>
                <w:sz w:val="18"/>
                <w:szCs w:val="18"/>
              </w:rPr>
              <w:t>5.6</w:t>
            </w:r>
          </w:p>
        </w:tc>
        <w:tc>
          <w:tcPr>
            <w:tcW w:w="1275" w:type="dxa"/>
            <w:vAlign w:val="center"/>
          </w:tcPr>
          <w:p w14:paraId="41F56C52">
            <w:pPr>
              <w:spacing w:line="240" w:lineRule="exact"/>
              <w:ind w:firstLine="0" w:firstLineChars="0"/>
              <w:jc w:val="center"/>
              <w:rPr>
                <w:rFonts w:ascii="宋体" w:hAnsi="宋体"/>
                <w:kern w:val="44"/>
                <w:sz w:val="18"/>
                <w:szCs w:val="18"/>
              </w:rPr>
            </w:pPr>
            <w:r>
              <w:rPr>
                <w:rFonts w:hint="eastAsia" w:ascii="宋体" w:hAnsi="宋体"/>
                <w:kern w:val="44"/>
                <w:sz w:val="18"/>
                <w:szCs w:val="18"/>
              </w:rPr>
              <w:t>68</w:t>
            </w:r>
          </w:p>
        </w:tc>
        <w:tc>
          <w:tcPr>
            <w:tcW w:w="1134" w:type="dxa"/>
            <w:vAlign w:val="center"/>
          </w:tcPr>
          <w:p w14:paraId="38D58127">
            <w:pPr>
              <w:spacing w:line="240" w:lineRule="exact"/>
              <w:ind w:firstLine="0" w:firstLineChars="0"/>
              <w:jc w:val="center"/>
              <w:rPr>
                <w:rFonts w:ascii="宋体" w:hAnsi="宋体"/>
                <w:kern w:val="44"/>
                <w:sz w:val="18"/>
                <w:szCs w:val="18"/>
              </w:rPr>
            </w:pPr>
            <w:r>
              <w:rPr>
                <w:rFonts w:hint="eastAsia" w:ascii="宋体" w:hAnsi="宋体"/>
                <w:kern w:val="44"/>
                <w:sz w:val="18"/>
                <w:szCs w:val="18"/>
              </w:rPr>
              <w:t>16</w:t>
            </w:r>
          </w:p>
        </w:tc>
        <w:tc>
          <w:tcPr>
            <w:tcW w:w="3997" w:type="dxa"/>
            <w:tcBorders>
              <w:right w:val="single" w:color="auto" w:sz="12" w:space="0"/>
            </w:tcBorders>
            <w:vAlign w:val="center"/>
          </w:tcPr>
          <w:p w14:paraId="27E03299">
            <w:pPr>
              <w:spacing w:line="240" w:lineRule="exact"/>
              <w:ind w:firstLine="0" w:firstLineChars="0"/>
              <w:jc w:val="center"/>
              <w:rPr>
                <w:rFonts w:ascii="宋体" w:hAnsi="宋体"/>
                <w:kern w:val="44"/>
                <w:sz w:val="18"/>
                <w:szCs w:val="18"/>
              </w:rPr>
            </w:pPr>
            <w:r>
              <w:rPr>
                <w:rFonts w:hint="eastAsia" w:ascii="宋体" w:hAnsi="宋体"/>
                <w:kern w:val="44"/>
                <w:sz w:val="18"/>
                <w:szCs w:val="18"/>
              </w:rPr>
              <w:t>新街口豁口～雍和宫南红线外预留20米绿带。北中轴～安定门，北红线外保留现状20－30米绿地，德胜门河段北岸松林闸以东600米隔离宽100米</w:t>
            </w:r>
          </w:p>
        </w:tc>
      </w:tr>
      <w:tr w14:paraId="69EB4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35902B02">
            <w:pPr>
              <w:spacing w:line="240" w:lineRule="exact"/>
              <w:ind w:firstLine="0" w:firstLineChars="0"/>
              <w:jc w:val="center"/>
              <w:rPr>
                <w:rFonts w:ascii="宋体" w:hAnsi="宋体"/>
                <w:kern w:val="44"/>
                <w:sz w:val="18"/>
                <w:szCs w:val="18"/>
              </w:rPr>
            </w:pPr>
          </w:p>
        </w:tc>
        <w:tc>
          <w:tcPr>
            <w:tcW w:w="1418" w:type="dxa"/>
            <w:vAlign w:val="center"/>
          </w:tcPr>
          <w:p w14:paraId="2AD97221">
            <w:pPr>
              <w:spacing w:line="240" w:lineRule="exact"/>
              <w:ind w:firstLine="0" w:firstLineChars="0"/>
              <w:jc w:val="center"/>
              <w:rPr>
                <w:rFonts w:ascii="宋体" w:hAnsi="宋体"/>
                <w:kern w:val="44"/>
                <w:sz w:val="18"/>
                <w:szCs w:val="18"/>
              </w:rPr>
            </w:pPr>
            <w:r>
              <w:rPr>
                <w:rFonts w:hint="eastAsia" w:ascii="宋体" w:hAnsi="宋体"/>
                <w:kern w:val="44"/>
                <w:sz w:val="18"/>
                <w:szCs w:val="18"/>
              </w:rPr>
              <w:t>亮马河上游</w:t>
            </w:r>
          </w:p>
        </w:tc>
        <w:tc>
          <w:tcPr>
            <w:tcW w:w="2977" w:type="dxa"/>
            <w:vAlign w:val="center"/>
          </w:tcPr>
          <w:p w14:paraId="1D5D6028">
            <w:pPr>
              <w:spacing w:line="240" w:lineRule="exact"/>
              <w:ind w:firstLine="0" w:firstLineChars="0"/>
              <w:jc w:val="center"/>
              <w:rPr>
                <w:rFonts w:ascii="宋体" w:hAnsi="宋体"/>
                <w:kern w:val="44"/>
                <w:sz w:val="18"/>
                <w:szCs w:val="18"/>
              </w:rPr>
            </w:pPr>
            <w:r>
              <w:rPr>
                <w:rFonts w:hint="eastAsia" w:ascii="宋体" w:hAnsi="宋体"/>
                <w:kern w:val="44"/>
                <w:sz w:val="18"/>
                <w:szCs w:val="18"/>
              </w:rPr>
              <w:t>造纸厂出口～壅水闸</w:t>
            </w:r>
          </w:p>
        </w:tc>
        <w:tc>
          <w:tcPr>
            <w:tcW w:w="1134" w:type="dxa"/>
            <w:vAlign w:val="center"/>
          </w:tcPr>
          <w:p w14:paraId="1B9A68BE">
            <w:pPr>
              <w:spacing w:line="240" w:lineRule="exact"/>
              <w:ind w:firstLine="0" w:firstLineChars="0"/>
              <w:jc w:val="center"/>
              <w:rPr>
                <w:rFonts w:ascii="宋体" w:hAnsi="宋体"/>
                <w:kern w:val="44"/>
                <w:sz w:val="18"/>
                <w:szCs w:val="18"/>
              </w:rPr>
            </w:pPr>
            <w:r>
              <w:rPr>
                <w:rFonts w:hint="eastAsia" w:ascii="宋体" w:hAnsi="宋体"/>
                <w:kern w:val="44"/>
                <w:sz w:val="18"/>
                <w:szCs w:val="18"/>
              </w:rPr>
              <w:t>2.7</w:t>
            </w:r>
          </w:p>
        </w:tc>
        <w:tc>
          <w:tcPr>
            <w:tcW w:w="1275" w:type="dxa"/>
            <w:vAlign w:val="center"/>
          </w:tcPr>
          <w:p w14:paraId="33ED7D72">
            <w:pPr>
              <w:spacing w:line="240" w:lineRule="exact"/>
              <w:ind w:firstLine="0" w:firstLineChars="0"/>
              <w:jc w:val="center"/>
              <w:rPr>
                <w:rFonts w:ascii="宋体" w:hAnsi="宋体"/>
                <w:kern w:val="44"/>
                <w:sz w:val="18"/>
                <w:szCs w:val="18"/>
              </w:rPr>
            </w:pPr>
            <w:r>
              <w:rPr>
                <w:rFonts w:hint="eastAsia" w:ascii="宋体" w:hAnsi="宋体"/>
                <w:kern w:val="44"/>
                <w:sz w:val="18"/>
                <w:szCs w:val="18"/>
              </w:rPr>
              <w:t>20-50</w:t>
            </w:r>
          </w:p>
        </w:tc>
        <w:tc>
          <w:tcPr>
            <w:tcW w:w="1134" w:type="dxa"/>
            <w:vAlign w:val="center"/>
          </w:tcPr>
          <w:p w14:paraId="323B5885">
            <w:pPr>
              <w:spacing w:line="240" w:lineRule="exact"/>
              <w:ind w:firstLine="0" w:firstLineChars="0"/>
              <w:jc w:val="center"/>
              <w:rPr>
                <w:rFonts w:ascii="宋体" w:hAnsi="宋体"/>
                <w:kern w:val="44"/>
                <w:sz w:val="18"/>
                <w:szCs w:val="18"/>
              </w:rPr>
            </w:pPr>
            <w:r>
              <w:rPr>
                <w:rFonts w:hint="eastAsia" w:ascii="宋体" w:hAnsi="宋体"/>
                <w:kern w:val="44"/>
                <w:sz w:val="18"/>
                <w:szCs w:val="18"/>
              </w:rPr>
              <w:t>30-50</w:t>
            </w:r>
          </w:p>
        </w:tc>
        <w:tc>
          <w:tcPr>
            <w:tcW w:w="3997" w:type="dxa"/>
            <w:tcBorders>
              <w:right w:val="single" w:color="auto" w:sz="12" w:space="0"/>
            </w:tcBorders>
            <w:vAlign w:val="center"/>
          </w:tcPr>
          <w:p w14:paraId="2A43A87F">
            <w:pPr>
              <w:spacing w:line="240" w:lineRule="exact"/>
              <w:ind w:firstLine="0" w:firstLineChars="0"/>
              <w:jc w:val="center"/>
              <w:rPr>
                <w:rFonts w:ascii="宋体" w:hAnsi="宋体"/>
                <w:kern w:val="44"/>
                <w:sz w:val="18"/>
                <w:szCs w:val="18"/>
              </w:rPr>
            </w:pPr>
            <w:r>
              <w:rPr>
                <w:rFonts w:hint="eastAsia" w:ascii="宋体" w:hAnsi="宋体"/>
                <w:kern w:val="44"/>
                <w:sz w:val="18"/>
                <w:szCs w:val="18"/>
              </w:rPr>
              <w:t>三环路到壅水闸两岸各50米</w:t>
            </w:r>
          </w:p>
        </w:tc>
      </w:tr>
      <w:tr w14:paraId="47ED7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1331EF89">
            <w:pPr>
              <w:spacing w:line="240" w:lineRule="exact"/>
              <w:ind w:firstLine="0" w:firstLineChars="0"/>
              <w:jc w:val="center"/>
              <w:rPr>
                <w:rFonts w:ascii="宋体" w:hAnsi="宋体"/>
                <w:kern w:val="44"/>
                <w:sz w:val="18"/>
                <w:szCs w:val="18"/>
              </w:rPr>
            </w:pPr>
          </w:p>
        </w:tc>
        <w:tc>
          <w:tcPr>
            <w:tcW w:w="1418" w:type="dxa"/>
            <w:vAlign w:val="center"/>
          </w:tcPr>
          <w:p w14:paraId="214AB7E0">
            <w:pPr>
              <w:tabs>
                <w:tab w:val="left" w:pos="510"/>
              </w:tabs>
              <w:spacing w:line="240" w:lineRule="exact"/>
              <w:ind w:firstLine="0" w:firstLineChars="0"/>
              <w:jc w:val="center"/>
              <w:rPr>
                <w:rFonts w:ascii="宋体" w:hAnsi="宋体"/>
                <w:kern w:val="44"/>
                <w:sz w:val="18"/>
                <w:szCs w:val="18"/>
              </w:rPr>
            </w:pPr>
            <w:r>
              <w:rPr>
                <w:rFonts w:hint="eastAsia" w:ascii="宋体" w:hAnsi="宋体"/>
                <w:kern w:val="44"/>
                <w:sz w:val="18"/>
                <w:szCs w:val="18"/>
              </w:rPr>
              <w:t>平房灌渠</w:t>
            </w:r>
          </w:p>
        </w:tc>
        <w:tc>
          <w:tcPr>
            <w:tcW w:w="2977" w:type="dxa"/>
            <w:vAlign w:val="center"/>
          </w:tcPr>
          <w:p w14:paraId="368DBC78">
            <w:pPr>
              <w:spacing w:line="240" w:lineRule="exact"/>
              <w:ind w:firstLine="0" w:firstLineChars="0"/>
              <w:jc w:val="center"/>
              <w:rPr>
                <w:rFonts w:ascii="宋体" w:hAnsi="宋体"/>
                <w:kern w:val="44"/>
                <w:sz w:val="18"/>
                <w:szCs w:val="18"/>
              </w:rPr>
            </w:pPr>
            <w:r>
              <w:rPr>
                <w:rFonts w:hint="eastAsia" w:ascii="宋体" w:hAnsi="宋体"/>
                <w:kern w:val="44"/>
                <w:sz w:val="18"/>
                <w:szCs w:val="18"/>
              </w:rPr>
              <w:t>壅水闸～水碓湖</w:t>
            </w:r>
          </w:p>
        </w:tc>
        <w:tc>
          <w:tcPr>
            <w:tcW w:w="1134" w:type="dxa"/>
            <w:vAlign w:val="center"/>
          </w:tcPr>
          <w:p w14:paraId="1E28E3C0">
            <w:pPr>
              <w:spacing w:line="240" w:lineRule="exact"/>
              <w:ind w:firstLine="0" w:firstLineChars="0"/>
              <w:jc w:val="center"/>
              <w:rPr>
                <w:rFonts w:ascii="宋体" w:hAnsi="宋体"/>
                <w:kern w:val="44"/>
                <w:sz w:val="18"/>
                <w:szCs w:val="18"/>
              </w:rPr>
            </w:pPr>
            <w:r>
              <w:rPr>
                <w:rFonts w:hint="eastAsia" w:ascii="宋体" w:hAnsi="宋体"/>
                <w:kern w:val="44"/>
                <w:sz w:val="18"/>
                <w:szCs w:val="18"/>
              </w:rPr>
              <w:t>1.3</w:t>
            </w:r>
          </w:p>
        </w:tc>
        <w:tc>
          <w:tcPr>
            <w:tcW w:w="1275" w:type="dxa"/>
            <w:vAlign w:val="center"/>
          </w:tcPr>
          <w:p w14:paraId="63437624">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c>
          <w:tcPr>
            <w:tcW w:w="1134" w:type="dxa"/>
            <w:vAlign w:val="center"/>
          </w:tcPr>
          <w:p w14:paraId="20825E85">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c>
          <w:tcPr>
            <w:tcW w:w="3997" w:type="dxa"/>
            <w:tcBorders>
              <w:right w:val="single" w:color="auto" w:sz="12" w:space="0"/>
            </w:tcBorders>
            <w:vAlign w:val="center"/>
          </w:tcPr>
          <w:p w14:paraId="5A5CA9F9">
            <w:pPr>
              <w:spacing w:line="240" w:lineRule="exact"/>
              <w:ind w:firstLine="0" w:firstLineChars="0"/>
              <w:jc w:val="center"/>
              <w:rPr>
                <w:rFonts w:ascii="宋体" w:hAnsi="宋体"/>
                <w:kern w:val="44"/>
                <w:sz w:val="18"/>
                <w:szCs w:val="18"/>
              </w:rPr>
            </w:pPr>
          </w:p>
        </w:tc>
      </w:tr>
      <w:tr w14:paraId="34A0B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bottom w:val="single" w:color="auto" w:sz="12" w:space="0"/>
            </w:tcBorders>
            <w:vAlign w:val="center"/>
          </w:tcPr>
          <w:p w14:paraId="32433A3A">
            <w:pPr>
              <w:spacing w:line="240" w:lineRule="exact"/>
              <w:ind w:firstLine="0" w:firstLineChars="0"/>
              <w:jc w:val="center"/>
              <w:rPr>
                <w:rFonts w:ascii="宋体" w:hAnsi="宋体"/>
                <w:kern w:val="44"/>
                <w:sz w:val="18"/>
                <w:szCs w:val="18"/>
              </w:rPr>
            </w:pPr>
          </w:p>
        </w:tc>
        <w:tc>
          <w:tcPr>
            <w:tcW w:w="1418" w:type="dxa"/>
            <w:tcBorders>
              <w:bottom w:val="single" w:color="auto" w:sz="12" w:space="0"/>
            </w:tcBorders>
            <w:vAlign w:val="center"/>
          </w:tcPr>
          <w:p w14:paraId="156DB6D8">
            <w:pPr>
              <w:spacing w:line="240" w:lineRule="exact"/>
              <w:ind w:firstLine="0" w:firstLineChars="0"/>
              <w:jc w:val="center"/>
              <w:rPr>
                <w:rFonts w:ascii="宋体" w:hAnsi="宋体"/>
                <w:kern w:val="44"/>
                <w:sz w:val="18"/>
                <w:szCs w:val="18"/>
              </w:rPr>
            </w:pPr>
            <w:r>
              <w:rPr>
                <w:rFonts w:hint="eastAsia" w:ascii="宋体" w:hAnsi="宋体"/>
                <w:kern w:val="44"/>
                <w:sz w:val="18"/>
                <w:szCs w:val="18"/>
              </w:rPr>
              <w:t>二道沟</w:t>
            </w:r>
          </w:p>
        </w:tc>
        <w:tc>
          <w:tcPr>
            <w:tcW w:w="2977" w:type="dxa"/>
            <w:tcBorders>
              <w:bottom w:val="single" w:color="auto" w:sz="12" w:space="0"/>
            </w:tcBorders>
            <w:vAlign w:val="center"/>
          </w:tcPr>
          <w:p w14:paraId="4C515829">
            <w:pPr>
              <w:spacing w:line="240" w:lineRule="exact"/>
              <w:ind w:firstLine="0" w:firstLineChars="0"/>
              <w:jc w:val="center"/>
              <w:rPr>
                <w:rFonts w:ascii="宋体" w:hAnsi="宋体"/>
                <w:kern w:val="44"/>
                <w:sz w:val="18"/>
                <w:szCs w:val="18"/>
              </w:rPr>
            </w:pPr>
            <w:r>
              <w:rPr>
                <w:rFonts w:hint="eastAsia" w:ascii="宋体" w:hAnsi="宋体"/>
                <w:kern w:val="44"/>
                <w:sz w:val="18"/>
                <w:szCs w:val="18"/>
              </w:rPr>
              <w:t>金台路～高碑店湖</w:t>
            </w:r>
          </w:p>
        </w:tc>
        <w:tc>
          <w:tcPr>
            <w:tcW w:w="1134" w:type="dxa"/>
            <w:tcBorders>
              <w:bottom w:val="single" w:color="auto" w:sz="12" w:space="0"/>
            </w:tcBorders>
            <w:vAlign w:val="center"/>
          </w:tcPr>
          <w:p w14:paraId="019502CE">
            <w:pPr>
              <w:spacing w:line="240" w:lineRule="exact"/>
              <w:ind w:firstLine="0" w:firstLineChars="0"/>
              <w:jc w:val="center"/>
              <w:rPr>
                <w:rFonts w:ascii="宋体" w:hAnsi="宋体"/>
                <w:kern w:val="44"/>
                <w:sz w:val="18"/>
                <w:szCs w:val="18"/>
              </w:rPr>
            </w:pPr>
            <w:r>
              <w:rPr>
                <w:rFonts w:hint="eastAsia" w:ascii="宋体" w:hAnsi="宋体"/>
                <w:kern w:val="44"/>
                <w:sz w:val="18"/>
                <w:szCs w:val="18"/>
              </w:rPr>
              <w:t>5</w:t>
            </w:r>
          </w:p>
        </w:tc>
        <w:tc>
          <w:tcPr>
            <w:tcW w:w="1275" w:type="dxa"/>
            <w:tcBorders>
              <w:bottom w:val="single" w:color="auto" w:sz="12" w:space="0"/>
            </w:tcBorders>
            <w:vAlign w:val="center"/>
          </w:tcPr>
          <w:p w14:paraId="4DA3C298">
            <w:pPr>
              <w:spacing w:line="240" w:lineRule="exact"/>
              <w:ind w:firstLine="0" w:firstLineChars="0"/>
              <w:jc w:val="center"/>
              <w:rPr>
                <w:rFonts w:ascii="宋体" w:hAnsi="宋体"/>
                <w:kern w:val="44"/>
                <w:sz w:val="18"/>
                <w:szCs w:val="18"/>
              </w:rPr>
            </w:pPr>
            <w:r>
              <w:rPr>
                <w:rFonts w:hint="eastAsia" w:ascii="宋体" w:hAnsi="宋体"/>
                <w:kern w:val="44"/>
                <w:sz w:val="18"/>
                <w:szCs w:val="18"/>
              </w:rPr>
              <w:t>60</w:t>
            </w:r>
          </w:p>
        </w:tc>
        <w:tc>
          <w:tcPr>
            <w:tcW w:w="1134" w:type="dxa"/>
            <w:tcBorders>
              <w:bottom w:val="single" w:color="auto" w:sz="12" w:space="0"/>
            </w:tcBorders>
            <w:vAlign w:val="center"/>
          </w:tcPr>
          <w:p w14:paraId="2AE2E6CD">
            <w:pPr>
              <w:spacing w:line="240" w:lineRule="exact"/>
              <w:ind w:firstLine="0" w:firstLineChars="0"/>
              <w:jc w:val="center"/>
              <w:rPr>
                <w:rFonts w:ascii="宋体" w:hAnsi="宋体"/>
                <w:kern w:val="44"/>
                <w:sz w:val="18"/>
                <w:szCs w:val="18"/>
              </w:rPr>
            </w:pPr>
            <w:r>
              <w:rPr>
                <w:rFonts w:hint="eastAsia" w:ascii="宋体" w:hAnsi="宋体"/>
                <w:kern w:val="44"/>
                <w:sz w:val="18"/>
                <w:szCs w:val="18"/>
              </w:rPr>
              <w:t>60</w:t>
            </w:r>
          </w:p>
        </w:tc>
        <w:tc>
          <w:tcPr>
            <w:tcW w:w="3997" w:type="dxa"/>
            <w:tcBorders>
              <w:bottom w:val="single" w:color="auto" w:sz="12" w:space="0"/>
              <w:right w:val="single" w:color="auto" w:sz="12" w:space="0"/>
            </w:tcBorders>
            <w:vAlign w:val="center"/>
          </w:tcPr>
          <w:p w14:paraId="17BBEFBC">
            <w:pPr>
              <w:spacing w:line="240" w:lineRule="exact"/>
              <w:ind w:firstLine="0" w:firstLineChars="0"/>
              <w:jc w:val="center"/>
              <w:rPr>
                <w:rFonts w:ascii="宋体" w:hAnsi="宋体"/>
                <w:kern w:val="44"/>
                <w:sz w:val="18"/>
                <w:szCs w:val="18"/>
              </w:rPr>
            </w:pPr>
          </w:p>
        </w:tc>
      </w:tr>
    </w:tbl>
    <w:p w14:paraId="7D4AB50E">
      <w:pPr>
        <w:spacing w:line="240" w:lineRule="exact"/>
        <w:jc w:val="right"/>
      </w:pPr>
      <w:r>
        <w:rPr>
          <w:rFonts w:hint="eastAsia"/>
        </w:rPr>
        <w:t>（续）</w:t>
      </w:r>
    </w:p>
    <w:tbl>
      <w:tblPr>
        <w:tblStyle w:val="23"/>
        <w:tblpPr w:leftFromText="180" w:rightFromText="180" w:vertAnchor="text" w:horzAnchor="margin" w:tblpXSpec="center" w:tblpY="80"/>
        <w:tblW w:w="137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1486"/>
        <w:gridCol w:w="3043"/>
        <w:gridCol w:w="1283"/>
        <w:gridCol w:w="1134"/>
        <w:gridCol w:w="992"/>
        <w:gridCol w:w="3997"/>
      </w:tblGrid>
      <w:tr w14:paraId="0E6EC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9" w:hRule="atLeast"/>
        </w:trPr>
        <w:tc>
          <w:tcPr>
            <w:tcW w:w="1809" w:type="dxa"/>
            <w:vMerge w:val="restart"/>
            <w:tcBorders>
              <w:top w:val="single" w:color="auto" w:sz="12" w:space="0"/>
              <w:left w:val="single" w:color="auto" w:sz="12" w:space="0"/>
            </w:tcBorders>
            <w:vAlign w:val="center"/>
          </w:tcPr>
          <w:p w14:paraId="1F491A57">
            <w:pPr>
              <w:spacing w:line="240" w:lineRule="exact"/>
              <w:ind w:firstLine="0" w:firstLineChars="0"/>
              <w:jc w:val="center"/>
              <w:rPr>
                <w:rFonts w:ascii="宋体" w:hAnsi="宋体"/>
                <w:kern w:val="44"/>
                <w:sz w:val="18"/>
                <w:szCs w:val="18"/>
              </w:rPr>
            </w:pPr>
            <w:r>
              <w:rPr>
                <w:rFonts w:hint="eastAsia" w:ascii="宋体" w:hAnsi="宋体"/>
                <w:kern w:val="44"/>
                <w:sz w:val="18"/>
                <w:szCs w:val="18"/>
              </w:rPr>
              <w:t>河道类别</w:t>
            </w:r>
          </w:p>
        </w:tc>
        <w:tc>
          <w:tcPr>
            <w:tcW w:w="1486" w:type="dxa"/>
            <w:vMerge w:val="restart"/>
            <w:tcBorders>
              <w:top w:val="single" w:color="auto" w:sz="12" w:space="0"/>
            </w:tcBorders>
            <w:vAlign w:val="center"/>
          </w:tcPr>
          <w:p w14:paraId="7DE70A15">
            <w:pPr>
              <w:spacing w:line="240" w:lineRule="exact"/>
              <w:ind w:firstLine="0" w:firstLineChars="0"/>
              <w:jc w:val="center"/>
              <w:rPr>
                <w:rFonts w:ascii="宋体" w:hAnsi="宋体"/>
                <w:kern w:val="44"/>
                <w:sz w:val="18"/>
                <w:szCs w:val="18"/>
              </w:rPr>
            </w:pPr>
            <w:r>
              <w:rPr>
                <w:rFonts w:hint="eastAsia" w:ascii="宋体" w:hAnsi="宋体"/>
                <w:kern w:val="44"/>
                <w:sz w:val="18"/>
                <w:szCs w:val="18"/>
              </w:rPr>
              <w:t>河道名称</w:t>
            </w:r>
          </w:p>
        </w:tc>
        <w:tc>
          <w:tcPr>
            <w:tcW w:w="3043" w:type="dxa"/>
            <w:vMerge w:val="restart"/>
            <w:tcBorders>
              <w:top w:val="single" w:color="auto" w:sz="12" w:space="0"/>
            </w:tcBorders>
            <w:vAlign w:val="center"/>
          </w:tcPr>
          <w:p w14:paraId="1F804A3E">
            <w:pPr>
              <w:tabs>
                <w:tab w:val="left" w:pos="585"/>
              </w:tabs>
              <w:spacing w:line="240" w:lineRule="exact"/>
              <w:ind w:firstLine="0" w:firstLineChars="0"/>
              <w:jc w:val="center"/>
              <w:rPr>
                <w:rFonts w:ascii="宋体" w:hAnsi="宋体"/>
                <w:kern w:val="44"/>
                <w:sz w:val="18"/>
                <w:szCs w:val="18"/>
              </w:rPr>
            </w:pPr>
            <w:r>
              <w:rPr>
                <w:rFonts w:hint="eastAsia" w:ascii="宋体" w:hAnsi="宋体"/>
                <w:kern w:val="44"/>
                <w:sz w:val="18"/>
                <w:szCs w:val="18"/>
              </w:rPr>
              <w:t>起始地段</w:t>
            </w:r>
          </w:p>
        </w:tc>
        <w:tc>
          <w:tcPr>
            <w:tcW w:w="1283" w:type="dxa"/>
            <w:vMerge w:val="restart"/>
            <w:tcBorders>
              <w:top w:val="single" w:color="auto" w:sz="12" w:space="0"/>
            </w:tcBorders>
            <w:vAlign w:val="center"/>
          </w:tcPr>
          <w:p w14:paraId="5329A6E7">
            <w:pPr>
              <w:spacing w:line="240" w:lineRule="exact"/>
              <w:ind w:firstLine="0" w:firstLineChars="0"/>
              <w:jc w:val="center"/>
              <w:rPr>
                <w:rFonts w:ascii="宋体" w:hAnsi="宋体"/>
                <w:kern w:val="44"/>
                <w:sz w:val="20"/>
                <w:szCs w:val="20"/>
              </w:rPr>
            </w:pPr>
            <w:r>
              <w:rPr>
                <w:rFonts w:hint="eastAsia" w:ascii="宋体" w:hAnsi="宋体"/>
                <w:kern w:val="44"/>
                <w:sz w:val="18"/>
                <w:szCs w:val="18"/>
              </w:rPr>
              <w:t>隔离带长度（公里）</w:t>
            </w:r>
          </w:p>
        </w:tc>
        <w:tc>
          <w:tcPr>
            <w:tcW w:w="2126" w:type="dxa"/>
            <w:gridSpan w:val="2"/>
            <w:tcBorders>
              <w:top w:val="single" w:color="auto" w:sz="12" w:space="0"/>
              <w:bottom w:val="single" w:color="auto" w:sz="4" w:space="0"/>
            </w:tcBorders>
            <w:vAlign w:val="center"/>
          </w:tcPr>
          <w:p w14:paraId="431696E0">
            <w:pPr>
              <w:spacing w:line="240" w:lineRule="exact"/>
              <w:ind w:firstLine="0" w:firstLineChars="0"/>
              <w:jc w:val="center"/>
              <w:rPr>
                <w:rFonts w:ascii="宋体" w:hAnsi="宋体"/>
                <w:kern w:val="44"/>
                <w:sz w:val="18"/>
                <w:szCs w:val="18"/>
              </w:rPr>
            </w:pPr>
            <w:r>
              <w:rPr>
                <w:rFonts w:hint="eastAsia" w:ascii="宋体" w:hAnsi="宋体"/>
                <w:kern w:val="44"/>
                <w:sz w:val="18"/>
                <w:szCs w:val="18"/>
              </w:rPr>
              <w:t>隔离带宽度（米）</w:t>
            </w:r>
          </w:p>
        </w:tc>
        <w:tc>
          <w:tcPr>
            <w:tcW w:w="3997" w:type="dxa"/>
            <w:vMerge w:val="restart"/>
            <w:tcBorders>
              <w:top w:val="single" w:color="auto" w:sz="12" w:space="0"/>
              <w:right w:val="single" w:color="auto" w:sz="12" w:space="0"/>
            </w:tcBorders>
            <w:vAlign w:val="center"/>
          </w:tcPr>
          <w:p w14:paraId="386668FA">
            <w:pPr>
              <w:spacing w:line="240" w:lineRule="exact"/>
              <w:ind w:firstLine="0" w:firstLineChars="0"/>
              <w:jc w:val="center"/>
              <w:rPr>
                <w:rFonts w:ascii="宋体" w:hAnsi="宋体"/>
                <w:kern w:val="44"/>
                <w:sz w:val="18"/>
                <w:szCs w:val="18"/>
              </w:rPr>
            </w:pPr>
            <w:r>
              <w:rPr>
                <w:rFonts w:hint="eastAsia" w:ascii="宋体" w:hAnsi="宋体"/>
                <w:kern w:val="44"/>
                <w:sz w:val="18"/>
                <w:szCs w:val="18"/>
              </w:rPr>
              <w:t>备注</w:t>
            </w:r>
          </w:p>
        </w:tc>
      </w:tr>
      <w:tr w14:paraId="28EA9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vMerge w:val="continue"/>
            <w:tcBorders>
              <w:left w:val="single" w:color="auto" w:sz="12" w:space="0"/>
              <w:bottom w:val="single" w:color="auto" w:sz="4" w:space="0"/>
            </w:tcBorders>
            <w:vAlign w:val="center"/>
          </w:tcPr>
          <w:p w14:paraId="5E662C77">
            <w:pPr>
              <w:spacing w:line="240" w:lineRule="exact"/>
              <w:ind w:firstLine="0" w:firstLineChars="0"/>
              <w:jc w:val="center"/>
              <w:rPr>
                <w:rFonts w:ascii="宋体" w:hAnsi="宋体"/>
                <w:kern w:val="44"/>
                <w:sz w:val="18"/>
                <w:szCs w:val="18"/>
              </w:rPr>
            </w:pPr>
          </w:p>
        </w:tc>
        <w:tc>
          <w:tcPr>
            <w:tcW w:w="1486" w:type="dxa"/>
            <w:vMerge w:val="continue"/>
            <w:tcBorders>
              <w:bottom w:val="single" w:color="auto" w:sz="4" w:space="0"/>
            </w:tcBorders>
            <w:vAlign w:val="center"/>
          </w:tcPr>
          <w:p w14:paraId="59FB3D03">
            <w:pPr>
              <w:tabs>
                <w:tab w:val="left" w:pos="433"/>
              </w:tabs>
              <w:spacing w:line="240" w:lineRule="exact"/>
              <w:ind w:firstLine="0" w:firstLineChars="0"/>
              <w:jc w:val="left"/>
              <w:rPr>
                <w:rFonts w:ascii="宋体" w:hAnsi="宋体"/>
                <w:kern w:val="44"/>
                <w:sz w:val="18"/>
                <w:szCs w:val="18"/>
              </w:rPr>
            </w:pPr>
          </w:p>
        </w:tc>
        <w:tc>
          <w:tcPr>
            <w:tcW w:w="3043" w:type="dxa"/>
            <w:vMerge w:val="continue"/>
            <w:tcBorders>
              <w:bottom w:val="single" w:color="auto" w:sz="4" w:space="0"/>
            </w:tcBorders>
            <w:vAlign w:val="center"/>
          </w:tcPr>
          <w:p w14:paraId="21B545B2">
            <w:pPr>
              <w:spacing w:line="240" w:lineRule="exact"/>
              <w:ind w:firstLine="0" w:firstLineChars="0"/>
              <w:jc w:val="center"/>
              <w:rPr>
                <w:rFonts w:ascii="宋体" w:hAnsi="宋体"/>
                <w:kern w:val="44"/>
                <w:sz w:val="18"/>
                <w:szCs w:val="18"/>
              </w:rPr>
            </w:pPr>
          </w:p>
        </w:tc>
        <w:tc>
          <w:tcPr>
            <w:tcW w:w="1283" w:type="dxa"/>
            <w:vMerge w:val="continue"/>
            <w:tcBorders>
              <w:bottom w:val="single" w:color="auto" w:sz="4" w:space="0"/>
            </w:tcBorders>
            <w:vAlign w:val="center"/>
          </w:tcPr>
          <w:p w14:paraId="29BAC5D8">
            <w:pPr>
              <w:spacing w:line="240" w:lineRule="exact"/>
              <w:ind w:firstLine="0" w:firstLineChars="0"/>
              <w:jc w:val="center"/>
              <w:rPr>
                <w:rFonts w:ascii="宋体" w:hAnsi="宋体"/>
                <w:kern w:val="44"/>
                <w:sz w:val="18"/>
                <w:szCs w:val="18"/>
              </w:rPr>
            </w:pPr>
          </w:p>
        </w:tc>
        <w:tc>
          <w:tcPr>
            <w:tcW w:w="1134" w:type="dxa"/>
            <w:tcBorders>
              <w:top w:val="single" w:color="auto" w:sz="4" w:space="0"/>
              <w:bottom w:val="single" w:color="auto" w:sz="4" w:space="0"/>
            </w:tcBorders>
            <w:vAlign w:val="center"/>
          </w:tcPr>
          <w:p w14:paraId="6A834E32">
            <w:pPr>
              <w:spacing w:line="240" w:lineRule="exact"/>
              <w:ind w:firstLine="0" w:firstLineChars="0"/>
              <w:jc w:val="center"/>
              <w:rPr>
                <w:rFonts w:ascii="宋体" w:hAnsi="宋体"/>
                <w:kern w:val="44"/>
                <w:sz w:val="18"/>
                <w:szCs w:val="18"/>
              </w:rPr>
            </w:pPr>
            <w:r>
              <w:rPr>
                <w:rFonts w:hint="eastAsia" w:ascii="宋体" w:hAnsi="宋体"/>
                <w:kern w:val="44"/>
                <w:sz w:val="18"/>
                <w:szCs w:val="18"/>
              </w:rPr>
              <w:t>右岸</w:t>
            </w:r>
          </w:p>
        </w:tc>
        <w:tc>
          <w:tcPr>
            <w:tcW w:w="992" w:type="dxa"/>
            <w:tcBorders>
              <w:top w:val="single" w:color="auto" w:sz="4" w:space="0"/>
              <w:bottom w:val="single" w:color="auto" w:sz="4" w:space="0"/>
            </w:tcBorders>
            <w:vAlign w:val="center"/>
          </w:tcPr>
          <w:p w14:paraId="4BE25C76">
            <w:pPr>
              <w:spacing w:line="240" w:lineRule="exact"/>
              <w:ind w:firstLine="0" w:firstLineChars="0"/>
              <w:jc w:val="center"/>
              <w:rPr>
                <w:rFonts w:ascii="宋体" w:hAnsi="宋体"/>
                <w:kern w:val="44"/>
                <w:sz w:val="18"/>
                <w:szCs w:val="18"/>
              </w:rPr>
            </w:pPr>
            <w:r>
              <w:rPr>
                <w:rFonts w:hint="eastAsia" w:ascii="宋体" w:hAnsi="宋体"/>
                <w:kern w:val="44"/>
                <w:sz w:val="18"/>
                <w:szCs w:val="18"/>
              </w:rPr>
              <w:t>左岸</w:t>
            </w:r>
          </w:p>
        </w:tc>
        <w:tc>
          <w:tcPr>
            <w:tcW w:w="3997" w:type="dxa"/>
            <w:vMerge w:val="continue"/>
            <w:tcBorders>
              <w:bottom w:val="single" w:color="auto" w:sz="4" w:space="0"/>
              <w:right w:val="single" w:color="auto" w:sz="12" w:space="0"/>
            </w:tcBorders>
            <w:vAlign w:val="center"/>
          </w:tcPr>
          <w:p w14:paraId="1B115898">
            <w:pPr>
              <w:spacing w:line="240" w:lineRule="exact"/>
              <w:ind w:firstLine="0" w:firstLineChars="0"/>
              <w:jc w:val="center"/>
              <w:rPr>
                <w:rFonts w:ascii="宋体" w:hAnsi="宋体"/>
                <w:kern w:val="44"/>
                <w:sz w:val="18"/>
                <w:szCs w:val="18"/>
              </w:rPr>
            </w:pPr>
          </w:p>
        </w:tc>
      </w:tr>
      <w:tr w14:paraId="2A033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top w:val="single" w:color="auto" w:sz="4" w:space="0"/>
              <w:left w:val="single" w:color="auto" w:sz="12" w:space="0"/>
            </w:tcBorders>
            <w:vAlign w:val="center"/>
          </w:tcPr>
          <w:p w14:paraId="7D0EFF20">
            <w:pPr>
              <w:spacing w:line="240" w:lineRule="exact"/>
              <w:ind w:firstLine="0" w:firstLineChars="0"/>
              <w:jc w:val="center"/>
              <w:rPr>
                <w:rFonts w:ascii="宋体" w:hAnsi="宋体"/>
                <w:kern w:val="44"/>
                <w:sz w:val="18"/>
                <w:szCs w:val="18"/>
              </w:rPr>
            </w:pPr>
          </w:p>
        </w:tc>
        <w:tc>
          <w:tcPr>
            <w:tcW w:w="1486" w:type="dxa"/>
            <w:tcBorders>
              <w:top w:val="single" w:color="auto" w:sz="4" w:space="0"/>
            </w:tcBorders>
            <w:vAlign w:val="center"/>
          </w:tcPr>
          <w:p w14:paraId="56C7E8DE">
            <w:pPr>
              <w:spacing w:line="240" w:lineRule="exact"/>
              <w:ind w:firstLine="0" w:firstLineChars="0"/>
              <w:jc w:val="center"/>
              <w:rPr>
                <w:rFonts w:ascii="宋体" w:hAnsi="宋体"/>
                <w:kern w:val="44"/>
                <w:sz w:val="18"/>
                <w:szCs w:val="18"/>
              </w:rPr>
            </w:pPr>
            <w:r>
              <w:rPr>
                <w:rFonts w:hint="eastAsia" w:ascii="宋体" w:hAnsi="宋体"/>
                <w:kern w:val="44"/>
                <w:sz w:val="18"/>
                <w:szCs w:val="18"/>
              </w:rPr>
              <w:t>土城沟</w:t>
            </w:r>
          </w:p>
        </w:tc>
        <w:tc>
          <w:tcPr>
            <w:tcW w:w="3043" w:type="dxa"/>
            <w:tcBorders>
              <w:top w:val="single" w:color="auto" w:sz="4" w:space="0"/>
            </w:tcBorders>
            <w:vAlign w:val="center"/>
          </w:tcPr>
          <w:p w14:paraId="7919451D">
            <w:pPr>
              <w:spacing w:line="240" w:lineRule="exact"/>
              <w:ind w:firstLine="0" w:firstLineChars="0"/>
              <w:jc w:val="center"/>
              <w:rPr>
                <w:rFonts w:ascii="宋体" w:hAnsi="宋体"/>
                <w:kern w:val="44"/>
                <w:sz w:val="18"/>
                <w:szCs w:val="18"/>
              </w:rPr>
            </w:pPr>
            <w:r>
              <w:rPr>
                <w:rFonts w:hint="eastAsia" w:ascii="宋体" w:hAnsi="宋体"/>
                <w:kern w:val="44"/>
                <w:sz w:val="18"/>
                <w:szCs w:val="18"/>
              </w:rPr>
              <w:t>学院南路～土城北路</w:t>
            </w:r>
          </w:p>
        </w:tc>
        <w:tc>
          <w:tcPr>
            <w:tcW w:w="1283" w:type="dxa"/>
            <w:tcBorders>
              <w:top w:val="single" w:color="auto" w:sz="4" w:space="0"/>
            </w:tcBorders>
            <w:vAlign w:val="center"/>
          </w:tcPr>
          <w:p w14:paraId="74F406F9">
            <w:pPr>
              <w:spacing w:line="240" w:lineRule="exact"/>
              <w:ind w:firstLine="0" w:firstLineChars="0"/>
              <w:jc w:val="center"/>
              <w:rPr>
                <w:rFonts w:ascii="宋体" w:hAnsi="宋体"/>
                <w:kern w:val="44"/>
                <w:sz w:val="18"/>
                <w:szCs w:val="18"/>
              </w:rPr>
            </w:pPr>
            <w:r>
              <w:rPr>
                <w:rFonts w:hint="eastAsia" w:ascii="宋体" w:hAnsi="宋体"/>
                <w:kern w:val="44"/>
                <w:sz w:val="18"/>
                <w:szCs w:val="18"/>
              </w:rPr>
              <w:t>1.9</w:t>
            </w:r>
          </w:p>
        </w:tc>
        <w:tc>
          <w:tcPr>
            <w:tcW w:w="1134" w:type="dxa"/>
            <w:tcBorders>
              <w:top w:val="single" w:color="auto" w:sz="4" w:space="0"/>
            </w:tcBorders>
            <w:vAlign w:val="center"/>
          </w:tcPr>
          <w:p w14:paraId="6894EE3C">
            <w:pPr>
              <w:spacing w:line="240" w:lineRule="exact"/>
              <w:ind w:firstLine="0" w:firstLineChars="0"/>
              <w:jc w:val="center"/>
              <w:rPr>
                <w:rFonts w:ascii="宋体" w:hAnsi="宋体"/>
                <w:kern w:val="44"/>
                <w:sz w:val="18"/>
                <w:szCs w:val="18"/>
              </w:rPr>
            </w:pPr>
            <w:r>
              <w:rPr>
                <w:rFonts w:hint="eastAsia" w:ascii="宋体" w:hAnsi="宋体"/>
                <w:kern w:val="44"/>
                <w:sz w:val="18"/>
                <w:szCs w:val="18"/>
              </w:rPr>
              <w:t>100-130</w:t>
            </w:r>
          </w:p>
        </w:tc>
        <w:tc>
          <w:tcPr>
            <w:tcW w:w="992" w:type="dxa"/>
            <w:tcBorders>
              <w:top w:val="single" w:color="auto" w:sz="4" w:space="0"/>
            </w:tcBorders>
            <w:vAlign w:val="center"/>
          </w:tcPr>
          <w:p w14:paraId="160C73D7">
            <w:pPr>
              <w:spacing w:line="240" w:lineRule="exact"/>
              <w:ind w:firstLine="0" w:firstLineChars="0"/>
              <w:jc w:val="center"/>
              <w:rPr>
                <w:rFonts w:ascii="宋体" w:hAnsi="宋体"/>
                <w:kern w:val="44"/>
                <w:sz w:val="18"/>
                <w:szCs w:val="18"/>
              </w:rPr>
            </w:pPr>
            <w:r>
              <w:rPr>
                <w:rFonts w:hint="eastAsia" w:ascii="宋体" w:hAnsi="宋体"/>
                <w:kern w:val="44"/>
                <w:sz w:val="18"/>
                <w:szCs w:val="18"/>
              </w:rPr>
              <w:t>40-60</w:t>
            </w:r>
          </w:p>
        </w:tc>
        <w:tc>
          <w:tcPr>
            <w:tcW w:w="3997" w:type="dxa"/>
            <w:tcBorders>
              <w:top w:val="single" w:color="auto" w:sz="4" w:space="0"/>
              <w:right w:val="single" w:color="auto" w:sz="12" w:space="0"/>
            </w:tcBorders>
            <w:vAlign w:val="center"/>
          </w:tcPr>
          <w:p w14:paraId="4AFB9EB6">
            <w:pPr>
              <w:spacing w:line="240" w:lineRule="exact"/>
              <w:ind w:firstLine="0" w:firstLineChars="0"/>
              <w:jc w:val="center"/>
              <w:rPr>
                <w:rFonts w:ascii="宋体" w:hAnsi="宋体"/>
                <w:kern w:val="44"/>
                <w:sz w:val="18"/>
                <w:szCs w:val="18"/>
              </w:rPr>
            </w:pPr>
          </w:p>
        </w:tc>
      </w:tr>
      <w:tr w14:paraId="1C32F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22F93281">
            <w:pPr>
              <w:spacing w:line="240" w:lineRule="exact"/>
              <w:ind w:firstLine="0" w:firstLineChars="0"/>
              <w:jc w:val="center"/>
              <w:rPr>
                <w:rFonts w:ascii="宋体" w:hAnsi="宋体"/>
                <w:kern w:val="44"/>
                <w:sz w:val="18"/>
                <w:szCs w:val="18"/>
              </w:rPr>
            </w:pPr>
          </w:p>
        </w:tc>
        <w:tc>
          <w:tcPr>
            <w:tcW w:w="1486" w:type="dxa"/>
            <w:vAlign w:val="center"/>
          </w:tcPr>
          <w:p w14:paraId="5FC4CFD2">
            <w:pPr>
              <w:spacing w:line="240" w:lineRule="exact"/>
              <w:ind w:firstLine="0" w:firstLineChars="0"/>
              <w:jc w:val="center"/>
              <w:rPr>
                <w:rFonts w:ascii="宋体" w:hAnsi="宋体"/>
                <w:kern w:val="44"/>
                <w:sz w:val="18"/>
                <w:szCs w:val="18"/>
              </w:rPr>
            </w:pPr>
          </w:p>
        </w:tc>
        <w:tc>
          <w:tcPr>
            <w:tcW w:w="3043" w:type="dxa"/>
            <w:vAlign w:val="center"/>
          </w:tcPr>
          <w:p w14:paraId="6E94E5F9">
            <w:pPr>
              <w:spacing w:line="240" w:lineRule="exact"/>
              <w:ind w:firstLine="0" w:firstLineChars="0"/>
              <w:jc w:val="center"/>
              <w:rPr>
                <w:rFonts w:ascii="宋体" w:hAnsi="宋体"/>
                <w:kern w:val="44"/>
                <w:sz w:val="18"/>
                <w:szCs w:val="18"/>
              </w:rPr>
            </w:pPr>
            <w:r>
              <w:rPr>
                <w:rFonts w:hint="eastAsia" w:ascii="宋体" w:hAnsi="宋体"/>
                <w:kern w:val="44"/>
                <w:sz w:val="18"/>
                <w:szCs w:val="18"/>
              </w:rPr>
              <w:t>土城北路～土城东北角</w:t>
            </w:r>
          </w:p>
        </w:tc>
        <w:tc>
          <w:tcPr>
            <w:tcW w:w="1283" w:type="dxa"/>
            <w:vAlign w:val="center"/>
          </w:tcPr>
          <w:p w14:paraId="705970E8">
            <w:pPr>
              <w:spacing w:line="240" w:lineRule="exact"/>
              <w:ind w:firstLine="0" w:firstLineChars="0"/>
              <w:jc w:val="center"/>
              <w:rPr>
                <w:rFonts w:ascii="宋体" w:hAnsi="宋体"/>
                <w:kern w:val="44"/>
                <w:sz w:val="18"/>
                <w:szCs w:val="18"/>
              </w:rPr>
            </w:pPr>
            <w:r>
              <w:rPr>
                <w:rFonts w:hint="eastAsia" w:ascii="宋体" w:hAnsi="宋体"/>
                <w:kern w:val="44"/>
                <w:sz w:val="18"/>
                <w:szCs w:val="18"/>
              </w:rPr>
              <w:t>6.6</w:t>
            </w:r>
          </w:p>
        </w:tc>
        <w:tc>
          <w:tcPr>
            <w:tcW w:w="1134" w:type="dxa"/>
            <w:vAlign w:val="center"/>
          </w:tcPr>
          <w:p w14:paraId="0B957651">
            <w:pPr>
              <w:spacing w:line="240" w:lineRule="exact"/>
              <w:ind w:firstLine="0" w:firstLineChars="0"/>
              <w:jc w:val="center"/>
              <w:rPr>
                <w:rFonts w:ascii="宋体" w:hAnsi="宋体"/>
                <w:kern w:val="44"/>
                <w:sz w:val="18"/>
                <w:szCs w:val="18"/>
              </w:rPr>
            </w:pPr>
            <w:r>
              <w:rPr>
                <w:rFonts w:hint="eastAsia" w:ascii="宋体" w:hAnsi="宋体"/>
                <w:kern w:val="44"/>
                <w:sz w:val="18"/>
                <w:szCs w:val="18"/>
              </w:rPr>
              <w:t>65-110到土城南路</w:t>
            </w:r>
          </w:p>
        </w:tc>
        <w:tc>
          <w:tcPr>
            <w:tcW w:w="992" w:type="dxa"/>
            <w:vAlign w:val="center"/>
          </w:tcPr>
          <w:p w14:paraId="595B17D9">
            <w:pPr>
              <w:spacing w:line="240" w:lineRule="exact"/>
              <w:ind w:firstLine="0" w:firstLineChars="0"/>
              <w:jc w:val="center"/>
              <w:rPr>
                <w:rFonts w:ascii="宋体" w:hAnsi="宋体"/>
                <w:kern w:val="44"/>
                <w:sz w:val="18"/>
                <w:szCs w:val="18"/>
              </w:rPr>
            </w:pPr>
            <w:r>
              <w:rPr>
                <w:rFonts w:hint="eastAsia" w:ascii="宋体" w:hAnsi="宋体"/>
                <w:kern w:val="44"/>
                <w:sz w:val="18"/>
                <w:szCs w:val="18"/>
              </w:rPr>
              <w:t>80-140到土城北路</w:t>
            </w:r>
          </w:p>
        </w:tc>
        <w:tc>
          <w:tcPr>
            <w:tcW w:w="3997" w:type="dxa"/>
            <w:tcBorders>
              <w:right w:val="single" w:color="auto" w:sz="12" w:space="0"/>
            </w:tcBorders>
            <w:vAlign w:val="center"/>
          </w:tcPr>
          <w:p w14:paraId="4832798E">
            <w:pPr>
              <w:spacing w:line="240" w:lineRule="exact"/>
              <w:ind w:firstLine="0" w:firstLineChars="0"/>
              <w:jc w:val="center"/>
              <w:rPr>
                <w:rFonts w:ascii="宋体" w:hAnsi="宋体"/>
                <w:kern w:val="44"/>
                <w:sz w:val="18"/>
                <w:szCs w:val="18"/>
              </w:rPr>
            </w:pPr>
            <w:r>
              <w:rPr>
                <w:rFonts w:hint="eastAsia" w:ascii="宋体" w:hAnsi="宋体"/>
                <w:kern w:val="44"/>
                <w:sz w:val="18"/>
                <w:szCs w:val="18"/>
              </w:rPr>
              <w:t>土城南路北太平庄延长线～安立路南红线外留20米绿带</w:t>
            </w:r>
          </w:p>
        </w:tc>
      </w:tr>
      <w:tr w14:paraId="730C3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6BE849F6">
            <w:pPr>
              <w:spacing w:line="240" w:lineRule="exact"/>
              <w:ind w:firstLine="0" w:firstLineChars="0"/>
              <w:jc w:val="center"/>
              <w:rPr>
                <w:rFonts w:ascii="宋体" w:hAnsi="宋体"/>
                <w:kern w:val="44"/>
                <w:sz w:val="18"/>
                <w:szCs w:val="18"/>
              </w:rPr>
            </w:pPr>
          </w:p>
        </w:tc>
        <w:tc>
          <w:tcPr>
            <w:tcW w:w="1486" w:type="dxa"/>
            <w:vAlign w:val="center"/>
          </w:tcPr>
          <w:p w14:paraId="4FC9E2A4">
            <w:pPr>
              <w:spacing w:line="240" w:lineRule="exact"/>
              <w:ind w:firstLine="0" w:firstLineChars="0"/>
              <w:jc w:val="center"/>
              <w:rPr>
                <w:rFonts w:ascii="宋体" w:hAnsi="宋体"/>
                <w:kern w:val="44"/>
                <w:sz w:val="18"/>
                <w:szCs w:val="18"/>
              </w:rPr>
            </w:pPr>
          </w:p>
        </w:tc>
        <w:tc>
          <w:tcPr>
            <w:tcW w:w="3043" w:type="dxa"/>
            <w:vAlign w:val="center"/>
          </w:tcPr>
          <w:p w14:paraId="48999A13">
            <w:pPr>
              <w:spacing w:line="240" w:lineRule="exact"/>
              <w:ind w:firstLine="0" w:firstLineChars="0"/>
              <w:jc w:val="center"/>
              <w:rPr>
                <w:rFonts w:ascii="宋体" w:hAnsi="宋体"/>
                <w:kern w:val="44"/>
                <w:sz w:val="18"/>
                <w:szCs w:val="18"/>
              </w:rPr>
            </w:pPr>
            <w:r>
              <w:rPr>
                <w:rFonts w:hint="eastAsia" w:ascii="宋体" w:hAnsi="宋体"/>
                <w:kern w:val="44"/>
                <w:sz w:val="18"/>
                <w:szCs w:val="18"/>
              </w:rPr>
              <w:t>土城东北角～入坝河</w:t>
            </w:r>
          </w:p>
        </w:tc>
        <w:tc>
          <w:tcPr>
            <w:tcW w:w="1283" w:type="dxa"/>
            <w:vAlign w:val="center"/>
          </w:tcPr>
          <w:p w14:paraId="5AAAE5E2">
            <w:pPr>
              <w:spacing w:line="240" w:lineRule="exact"/>
              <w:ind w:firstLine="0" w:firstLineChars="0"/>
              <w:jc w:val="center"/>
              <w:rPr>
                <w:rFonts w:ascii="宋体" w:hAnsi="宋体"/>
                <w:kern w:val="44"/>
                <w:sz w:val="18"/>
                <w:szCs w:val="18"/>
              </w:rPr>
            </w:pPr>
            <w:r>
              <w:rPr>
                <w:rFonts w:hint="eastAsia" w:ascii="宋体" w:hAnsi="宋体"/>
                <w:kern w:val="44"/>
                <w:sz w:val="18"/>
                <w:szCs w:val="18"/>
              </w:rPr>
              <w:t>1.5</w:t>
            </w:r>
          </w:p>
        </w:tc>
        <w:tc>
          <w:tcPr>
            <w:tcW w:w="1134" w:type="dxa"/>
            <w:vAlign w:val="center"/>
          </w:tcPr>
          <w:p w14:paraId="554CF537">
            <w:pPr>
              <w:spacing w:line="240" w:lineRule="exact"/>
              <w:ind w:firstLine="0" w:firstLineChars="0"/>
              <w:jc w:val="center"/>
              <w:rPr>
                <w:rFonts w:ascii="宋体" w:hAnsi="宋体"/>
                <w:kern w:val="44"/>
                <w:sz w:val="18"/>
                <w:szCs w:val="18"/>
              </w:rPr>
            </w:pPr>
            <w:r>
              <w:rPr>
                <w:rFonts w:hint="eastAsia" w:ascii="宋体" w:hAnsi="宋体"/>
                <w:kern w:val="44"/>
                <w:sz w:val="18"/>
                <w:szCs w:val="18"/>
              </w:rPr>
              <w:t>50</w:t>
            </w:r>
          </w:p>
        </w:tc>
        <w:tc>
          <w:tcPr>
            <w:tcW w:w="992" w:type="dxa"/>
            <w:vAlign w:val="center"/>
          </w:tcPr>
          <w:p w14:paraId="04679B31">
            <w:pPr>
              <w:spacing w:line="240" w:lineRule="exact"/>
              <w:ind w:firstLine="0" w:firstLineChars="0"/>
              <w:jc w:val="center"/>
              <w:rPr>
                <w:rFonts w:ascii="宋体" w:hAnsi="宋体"/>
                <w:kern w:val="44"/>
                <w:sz w:val="18"/>
                <w:szCs w:val="18"/>
              </w:rPr>
            </w:pPr>
            <w:r>
              <w:rPr>
                <w:rFonts w:hint="eastAsia" w:ascii="宋体" w:hAnsi="宋体"/>
                <w:kern w:val="44"/>
                <w:sz w:val="18"/>
                <w:szCs w:val="18"/>
              </w:rPr>
              <w:t>50</w:t>
            </w:r>
          </w:p>
        </w:tc>
        <w:tc>
          <w:tcPr>
            <w:tcW w:w="3997" w:type="dxa"/>
            <w:tcBorders>
              <w:right w:val="single" w:color="auto" w:sz="12" w:space="0"/>
            </w:tcBorders>
            <w:vAlign w:val="center"/>
          </w:tcPr>
          <w:p w14:paraId="2372BFA7">
            <w:pPr>
              <w:spacing w:line="240" w:lineRule="exact"/>
              <w:ind w:firstLine="0" w:firstLineChars="0"/>
              <w:jc w:val="center"/>
              <w:rPr>
                <w:rFonts w:ascii="宋体" w:hAnsi="宋体"/>
                <w:kern w:val="44"/>
                <w:sz w:val="18"/>
                <w:szCs w:val="18"/>
              </w:rPr>
            </w:pPr>
          </w:p>
        </w:tc>
      </w:tr>
      <w:tr w14:paraId="2E6AD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249716BE">
            <w:pPr>
              <w:spacing w:line="240" w:lineRule="exact"/>
              <w:ind w:firstLine="0" w:firstLineChars="0"/>
              <w:jc w:val="center"/>
              <w:rPr>
                <w:rFonts w:ascii="宋体" w:hAnsi="宋体"/>
                <w:kern w:val="44"/>
                <w:sz w:val="18"/>
                <w:szCs w:val="18"/>
              </w:rPr>
            </w:pPr>
          </w:p>
        </w:tc>
        <w:tc>
          <w:tcPr>
            <w:tcW w:w="1486" w:type="dxa"/>
            <w:vAlign w:val="center"/>
          </w:tcPr>
          <w:p w14:paraId="52852D12">
            <w:pPr>
              <w:spacing w:line="240" w:lineRule="exact"/>
              <w:ind w:firstLine="0" w:firstLineChars="0"/>
              <w:jc w:val="center"/>
              <w:rPr>
                <w:rFonts w:ascii="宋体" w:hAnsi="宋体"/>
                <w:kern w:val="44"/>
                <w:sz w:val="18"/>
                <w:szCs w:val="18"/>
              </w:rPr>
            </w:pPr>
            <w:r>
              <w:rPr>
                <w:rFonts w:hint="eastAsia" w:ascii="宋体" w:hAnsi="宋体"/>
                <w:kern w:val="44"/>
                <w:sz w:val="18"/>
                <w:szCs w:val="18"/>
              </w:rPr>
              <w:t>永定河引水渠</w:t>
            </w:r>
          </w:p>
        </w:tc>
        <w:tc>
          <w:tcPr>
            <w:tcW w:w="3043" w:type="dxa"/>
            <w:vAlign w:val="center"/>
          </w:tcPr>
          <w:p w14:paraId="6285EF87">
            <w:pPr>
              <w:spacing w:line="240" w:lineRule="exact"/>
              <w:ind w:firstLine="0" w:firstLineChars="0"/>
              <w:jc w:val="center"/>
              <w:rPr>
                <w:rFonts w:ascii="宋体" w:hAnsi="宋体"/>
                <w:kern w:val="44"/>
                <w:sz w:val="18"/>
                <w:szCs w:val="18"/>
              </w:rPr>
            </w:pPr>
            <w:r>
              <w:rPr>
                <w:rFonts w:hint="eastAsia" w:ascii="宋体" w:hAnsi="宋体"/>
                <w:kern w:val="44"/>
                <w:sz w:val="18"/>
                <w:szCs w:val="18"/>
              </w:rPr>
              <w:t>电站闸～五路居铁路</w:t>
            </w:r>
          </w:p>
        </w:tc>
        <w:tc>
          <w:tcPr>
            <w:tcW w:w="1283" w:type="dxa"/>
            <w:vAlign w:val="center"/>
          </w:tcPr>
          <w:p w14:paraId="46963274">
            <w:pPr>
              <w:spacing w:line="240" w:lineRule="exact"/>
              <w:ind w:firstLine="0" w:firstLineChars="0"/>
              <w:jc w:val="center"/>
              <w:rPr>
                <w:rFonts w:ascii="宋体" w:hAnsi="宋体"/>
                <w:kern w:val="44"/>
                <w:sz w:val="18"/>
                <w:szCs w:val="18"/>
              </w:rPr>
            </w:pPr>
            <w:r>
              <w:rPr>
                <w:rFonts w:hint="eastAsia" w:ascii="宋体" w:hAnsi="宋体"/>
                <w:kern w:val="44"/>
                <w:sz w:val="18"/>
                <w:szCs w:val="18"/>
              </w:rPr>
              <w:t>1.9</w:t>
            </w:r>
          </w:p>
        </w:tc>
        <w:tc>
          <w:tcPr>
            <w:tcW w:w="1134" w:type="dxa"/>
            <w:vAlign w:val="center"/>
          </w:tcPr>
          <w:p w14:paraId="01FE3492">
            <w:pPr>
              <w:spacing w:line="240" w:lineRule="exact"/>
              <w:ind w:firstLine="0" w:firstLineChars="0"/>
              <w:jc w:val="center"/>
              <w:rPr>
                <w:rFonts w:ascii="宋体" w:hAnsi="宋体"/>
                <w:kern w:val="44"/>
                <w:sz w:val="18"/>
                <w:szCs w:val="18"/>
              </w:rPr>
            </w:pPr>
            <w:r>
              <w:rPr>
                <w:rFonts w:hint="eastAsia" w:ascii="宋体" w:hAnsi="宋体"/>
                <w:kern w:val="44"/>
                <w:sz w:val="18"/>
                <w:szCs w:val="18"/>
              </w:rPr>
              <w:t>100</w:t>
            </w:r>
          </w:p>
        </w:tc>
        <w:tc>
          <w:tcPr>
            <w:tcW w:w="992" w:type="dxa"/>
            <w:vAlign w:val="center"/>
          </w:tcPr>
          <w:p w14:paraId="45639B46">
            <w:pPr>
              <w:spacing w:line="240" w:lineRule="exact"/>
              <w:ind w:firstLine="0" w:firstLineChars="0"/>
              <w:jc w:val="center"/>
              <w:rPr>
                <w:rFonts w:ascii="宋体" w:hAnsi="宋体"/>
                <w:kern w:val="44"/>
                <w:sz w:val="18"/>
                <w:szCs w:val="18"/>
              </w:rPr>
            </w:pPr>
            <w:r>
              <w:rPr>
                <w:rFonts w:hint="eastAsia" w:ascii="宋体" w:hAnsi="宋体"/>
                <w:kern w:val="44"/>
                <w:sz w:val="18"/>
                <w:szCs w:val="18"/>
              </w:rPr>
              <w:t>100</w:t>
            </w:r>
          </w:p>
        </w:tc>
        <w:tc>
          <w:tcPr>
            <w:tcW w:w="3997" w:type="dxa"/>
            <w:tcBorders>
              <w:right w:val="single" w:color="auto" w:sz="12" w:space="0"/>
            </w:tcBorders>
            <w:vAlign w:val="center"/>
          </w:tcPr>
          <w:p w14:paraId="5C3DB3A6">
            <w:pPr>
              <w:spacing w:line="240" w:lineRule="exact"/>
              <w:ind w:firstLine="0" w:firstLineChars="0"/>
              <w:jc w:val="center"/>
              <w:rPr>
                <w:rFonts w:ascii="宋体" w:hAnsi="宋体"/>
                <w:kern w:val="44"/>
                <w:sz w:val="18"/>
                <w:szCs w:val="18"/>
              </w:rPr>
            </w:pPr>
          </w:p>
        </w:tc>
      </w:tr>
      <w:tr w14:paraId="4FAFF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4A126853">
            <w:pPr>
              <w:spacing w:line="240" w:lineRule="exact"/>
              <w:ind w:firstLine="0" w:firstLineChars="0"/>
              <w:jc w:val="center"/>
              <w:rPr>
                <w:rFonts w:ascii="宋体" w:hAnsi="宋体"/>
                <w:kern w:val="44"/>
                <w:sz w:val="18"/>
                <w:szCs w:val="18"/>
              </w:rPr>
            </w:pPr>
          </w:p>
        </w:tc>
        <w:tc>
          <w:tcPr>
            <w:tcW w:w="1486" w:type="dxa"/>
            <w:vAlign w:val="center"/>
          </w:tcPr>
          <w:p w14:paraId="43AD218E">
            <w:pPr>
              <w:spacing w:line="240" w:lineRule="exact"/>
              <w:ind w:firstLine="0" w:firstLineChars="0"/>
              <w:jc w:val="center"/>
              <w:rPr>
                <w:rFonts w:ascii="宋体" w:hAnsi="宋体"/>
                <w:kern w:val="44"/>
                <w:sz w:val="18"/>
                <w:szCs w:val="18"/>
              </w:rPr>
            </w:pPr>
          </w:p>
        </w:tc>
        <w:tc>
          <w:tcPr>
            <w:tcW w:w="3043" w:type="dxa"/>
            <w:vAlign w:val="center"/>
          </w:tcPr>
          <w:p w14:paraId="4DC46926">
            <w:pPr>
              <w:spacing w:line="240" w:lineRule="exact"/>
              <w:ind w:firstLine="0" w:firstLineChars="0"/>
              <w:jc w:val="center"/>
              <w:rPr>
                <w:rFonts w:ascii="宋体" w:hAnsi="宋体"/>
                <w:kern w:val="44"/>
                <w:sz w:val="18"/>
                <w:szCs w:val="18"/>
              </w:rPr>
            </w:pPr>
            <w:r>
              <w:rPr>
                <w:rFonts w:hint="eastAsia" w:ascii="宋体" w:hAnsi="宋体"/>
                <w:kern w:val="44"/>
                <w:sz w:val="18"/>
                <w:szCs w:val="18"/>
              </w:rPr>
              <w:t>五路居铁路～罗道庄</w:t>
            </w:r>
          </w:p>
        </w:tc>
        <w:tc>
          <w:tcPr>
            <w:tcW w:w="1283" w:type="dxa"/>
            <w:vAlign w:val="center"/>
          </w:tcPr>
          <w:p w14:paraId="314691A2">
            <w:pPr>
              <w:spacing w:line="240" w:lineRule="exact"/>
              <w:ind w:firstLine="0" w:firstLineChars="0"/>
              <w:jc w:val="center"/>
              <w:rPr>
                <w:rFonts w:ascii="宋体" w:hAnsi="宋体"/>
                <w:kern w:val="44"/>
                <w:sz w:val="18"/>
                <w:szCs w:val="18"/>
              </w:rPr>
            </w:pPr>
            <w:r>
              <w:rPr>
                <w:rFonts w:hint="eastAsia" w:ascii="宋体" w:hAnsi="宋体"/>
                <w:kern w:val="44"/>
                <w:sz w:val="18"/>
                <w:szCs w:val="18"/>
              </w:rPr>
              <w:t>3.5</w:t>
            </w:r>
          </w:p>
        </w:tc>
        <w:tc>
          <w:tcPr>
            <w:tcW w:w="1134" w:type="dxa"/>
            <w:vAlign w:val="center"/>
          </w:tcPr>
          <w:p w14:paraId="43FCFFA9">
            <w:pPr>
              <w:spacing w:line="240" w:lineRule="exact"/>
              <w:ind w:firstLine="0" w:firstLineChars="0"/>
              <w:jc w:val="center"/>
              <w:rPr>
                <w:rFonts w:ascii="宋体" w:hAnsi="宋体"/>
                <w:kern w:val="44"/>
                <w:sz w:val="18"/>
                <w:szCs w:val="18"/>
              </w:rPr>
            </w:pPr>
            <w:r>
              <w:rPr>
                <w:rFonts w:hint="eastAsia" w:ascii="宋体" w:hAnsi="宋体"/>
                <w:kern w:val="44"/>
                <w:sz w:val="18"/>
                <w:szCs w:val="18"/>
              </w:rPr>
              <w:t>50</w:t>
            </w:r>
          </w:p>
        </w:tc>
        <w:tc>
          <w:tcPr>
            <w:tcW w:w="992" w:type="dxa"/>
            <w:vAlign w:val="center"/>
          </w:tcPr>
          <w:p w14:paraId="08F60965">
            <w:pPr>
              <w:spacing w:line="240" w:lineRule="exact"/>
              <w:ind w:firstLine="0" w:firstLineChars="0"/>
              <w:jc w:val="center"/>
              <w:rPr>
                <w:rFonts w:ascii="宋体" w:hAnsi="宋体"/>
                <w:kern w:val="44"/>
                <w:sz w:val="18"/>
                <w:szCs w:val="18"/>
              </w:rPr>
            </w:pPr>
            <w:r>
              <w:rPr>
                <w:rFonts w:hint="eastAsia" w:ascii="宋体" w:hAnsi="宋体"/>
                <w:kern w:val="44"/>
                <w:sz w:val="18"/>
                <w:szCs w:val="18"/>
              </w:rPr>
              <w:t>50</w:t>
            </w:r>
          </w:p>
        </w:tc>
        <w:tc>
          <w:tcPr>
            <w:tcW w:w="3997" w:type="dxa"/>
            <w:tcBorders>
              <w:right w:val="single" w:color="auto" w:sz="12" w:space="0"/>
            </w:tcBorders>
            <w:vAlign w:val="center"/>
          </w:tcPr>
          <w:p w14:paraId="23206E7A">
            <w:pPr>
              <w:spacing w:line="240" w:lineRule="exact"/>
              <w:ind w:firstLine="0" w:firstLineChars="0"/>
              <w:jc w:val="center"/>
              <w:rPr>
                <w:rFonts w:ascii="宋体" w:hAnsi="宋体"/>
                <w:kern w:val="44"/>
                <w:sz w:val="18"/>
                <w:szCs w:val="18"/>
              </w:rPr>
            </w:pPr>
          </w:p>
        </w:tc>
      </w:tr>
      <w:tr w14:paraId="7F9E8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3FD2F1DD">
            <w:pPr>
              <w:spacing w:line="240" w:lineRule="exact"/>
              <w:ind w:firstLine="0" w:firstLineChars="0"/>
              <w:jc w:val="center"/>
              <w:rPr>
                <w:rFonts w:ascii="宋体" w:hAnsi="宋体"/>
                <w:kern w:val="44"/>
                <w:sz w:val="18"/>
                <w:szCs w:val="18"/>
              </w:rPr>
            </w:pPr>
          </w:p>
        </w:tc>
        <w:tc>
          <w:tcPr>
            <w:tcW w:w="1486" w:type="dxa"/>
            <w:vAlign w:val="center"/>
          </w:tcPr>
          <w:p w14:paraId="775C28FE">
            <w:pPr>
              <w:spacing w:line="240" w:lineRule="exact"/>
              <w:ind w:firstLine="0" w:firstLineChars="0"/>
              <w:jc w:val="center"/>
              <w:rPr>
                <w:rFonts w:ascii="宋体" w:hAnsi="宋体"/>
                <w:kern w:val="44"/>
                <w:sz w:val="18"/>
                <w:szCs w:val="18"/>
              </w:rPr>
            </w:pPr>
            <w:r>
              <w:rPr>
                <w:rFonts w:hint="eastAsia" w:ascii="宋体" w:hAnsi="宋体"/>
                <w:kern w:val="44"/>
                <w:sz w:val="18"/>
                <w:szCs w:val="18"/>
              </w:rPr>
              <w:t>双紫支渠下段</w:t>
            </w:r>
          </w:p>
        </w:tc>
        <w:tc>
          <w:tcPr>
            <w:tcW w:w="3043" w:type="dxa"/>
            <w:vAlign w:val="center"/>
          </w:tcPr>
          <w:p w14:paraId="3BAD1370">
            <w:pPr>
              <w:spacing w:line="240" w:lineRule="exact"/>
              <w:ind w:firstLine="0" w:firstLineChars="0"/>
              <w:jc w:val="center"/>
              <w:rPr>
                <w:rFonts w:ascii="宋体" w:hAnsi="宋体"/>
                <w:kern w:val="44"/>
                <w:sz w:val="18"/>
                <w:szCs w:val="18"/>
              </w:rPr>
            </w:pPr>
            <w:r>
              <w:rPr>
                <w:rFonts w:hint="eastAsia" w:ascii="宋体" w:hAnsi="宋体"/>
                <w:kern w:val="44"/>
                <w:sz w:val="18"/>
                <w:szCs w:val="18"/>
              </w:rPr>
              <w:t>京密引水渠～长河</w:t>
            </w:r>
          </w:p>
        </w:tc>
        <w:tc>
          <w:tcPr>
            <w:tcW w:w="1283" w:type="dxa"/>
            <w:vAlign w:val="center"/>
          </w:tcPr>
          <w:p w14:paraId="027A5F80">
            <w:pPr>
              <w:spacing w:line="240" w:lineRule="exact"/>
              <w:ind w:firstLine="0" w:firstLineChars="0"/>
              <w:jc w:val="center"/>
              <w:rPr>
                <w:rFonts w:ascii="宋体" w:hAnsi="宋体"/>
                <w:kern w:val="44"/>
                <w:sz w:val="18"/>
                <w:szCs w:val="18"/>
              </w:rPr>
            </w:pPr>
            <w:r>
              <w:rPr>
                <w:rFonts w:hint="eastAsia" w:ascii="宋体" w:hAnsi="宋体"/>
                <w:kern w:val="44"/>
                <w:sz w:val="18"/>
                <w:szCs w:val="18"/>
              </w:rPr>
              <w:t>2.8</w:t>
            </w:r>
          </w:p>
        </w:tc>
        <w:tc>
          <w:tcPr>
            <w:tcW w:w="1134" w:type="dxa"/>
            <w:vAlign w:val="center"/>
          </w:tcPr>
          <w:p w14:paraId="6AAD5D04">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c>
          <w:tcPr>
            <w:tcW w:w="992" w:type="dxa"/>
            <w:vAlign w:val="center"/>
          </w:tcPr>
          <w:p w14:paraId="544788ED">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c>
          <w:tcPr>
            <w:tcW w:w="3997" w:type="dxa"/>
            <w:tcBorders>
              <w:right w:val="single" w:color="auto" w:sz="12" w:space="0"/>
            </w:tcBorders>
            <w:vAlign w:val="center"/>
          </w:tcPr>
          <w:p w14:paraId="0C8F9834">
            <w:pPr>
              <w:spacing w:line="240" w:lineRule="exact"/>
              <w:ind w:firstLine="0" w:firstLineChars="0"/>
              <w:jc w:val="center"/>
              <w:rPr>
                <w:rFonts w:ascii="宋体" w:hAnsi="宋体"/>
                <w:kern w:val="44"/>
                <w:sz w:val="18"/>
                <w:szCs w:val="18"/>
              </w:rPr>
            </w:pPr>
          </w:p>
        </w:tc>
      </w:tr>
      <w:tr w14:paraId="4236E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52CDD74B">
            <w:pPr>
              <w:spacing w:line="240" w:lineRule="exact"/>
              <w:ind w:firstLine="0" w:firstLineChars="0"/>
              <w:jc w:val="center"/>
              <w:rPr>
                <w:rFonts w:ascii="宋体" w:hAnsi="宋体"/>
                <w:kern w:val="44"/>
                <w:sz w:val="18"/>
                <w:szCs w:val="18"/>
              </w:rPr>
            </w:pPr>
          </w:p>
        </w:tc>
        <w:tc>
          <w:tcPr>
            <w:tcW w:w="1486" w:type="dxa"/>
            <w:vAlign w:val="center"/>
          </w:tcPr>
          <w:p w14:paraId="42D21D2D">
            <w:pPr>
              <w:spacing w:line="240" w:lineRule="exact"/>
              <w:ind w:firstLine="0" w:firstLineChars="0"/>
              <w:jc w:val="center"/>
              <w:rPr>
                <w:rFonts w:ascii="宋体" w:hAnsi="宋体"/>
                <w:kern w:val="44"/>
                <w:sz w:val="18"/>
                <w:szCs w:val="18"/>
              </w:rPr>
            </w:pPr>
            <w:r>
              <w:rPr>
                <w:rFonts w:hint="eastAsia" w:ascii="宋体" w:hAnsi="宋体"/>
                <w:kern w:val="44"/>
                <w:sz w:val="18"/>
                <w:szCs w:val="18"/>
              </w:rPr>
              <w:t>体育馆水系上段</w:t>
            </w:r>
          </w:p>
        </w:tc>
        <w:tc>
          <w:tcPr>
            <w:tcW w:w="3043" w:type="dxa"/>
            <w:vAlign w:val="center"/>
          </w:tcPr>
          <w:p w14:paraId="45F0CC98">
            <w:pPr>
              <w:spacing w:line="240" w:lineRule="exact"/>
              <w:ind w:firstLine="0" w:firstLineChars="0"/>
              <w:jc w:val="center"/>
              <w:rPr>
                <w:rFonts w:ascii="宋体" w:hAnsi="宋体"/>
                <w:kern w:val="44"/>
                <w:sz w:val="18"/>
                <w:szCs w:val="18"/>
              </w:rPr>
            </w:pPr>
            <w:r>
              <w:rPr>
                <w:rFonts w:hint="eastAsia" w:ascii="宋体" w:hAnsi="宋体"/>
                <w:kern w:val="44"/>
                <w:sz w:val="18"/>
                <w:szCs w:val="18"/>
              </w:rPr>
              <w:t>亮马河～东直门外大街</w:t>
            </w:r>
          </w:p>
        </w:tc>
        <w:tc>
          <w:tcPr>
            <w:tcW w:w="1283" w:type="dxa"/>
            <w:vAlign w:val="center"/>
          </w:tcPr>
          <w:p w14:paraId="43F56B9F">
            <w:pPr>
              <w:spacing w:line="240" w:lineRule="exact"/>
              <w:ind w:firstLine="0" w:firstLineChars="0"/>
              <w:jc w:val="center"/>
              <w:rPr>
                <w:rFonts w:ascii="宋体" w:hAnsi="宋体"/>
                <w:kern w:val="44"/>
                <w:sz w:val="18"/>
                <w:szCs w:val="18"/>
              </w:rPr>
            </w:pPr>
            <w:r>
              <w:rPr>
                <w:rFonts w:hint="eastAsia" w:ascii="宋体" w:hAnsi="宋体"/>
                <w:kern w:val="44"/>
                <w:sz w:val="18"/>
                <w:szCs w:val="18"/>
              </w:rPr>
              <w:t>0.5</w:t>
            </w:r>
          </w:p>
        </w:tc>
        <w:tc>
          <w:tcPr>
            <w:tcW w:w="1134" w:type="dxa"/>
            <w:vAlign w:val="center"/>
          </w:tcPr>
          <w:p w14:paraId="4F4DBC10">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992" w:type="dxa"/>
            <w:vAlign w:val="center"/>
          </w:tcPr>
          <w:p w14:paraId="210ABF50">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3997" w:type="dxa"/>
            <w:tcBorders>
              <w:right w:val="single" w:color="auto" w:sz="12" w:space="0"/>
            </w:tcBorders>
            <w:vAlign w:val="center"/>
          </w:tcPr>
          <w:p w14:paraId="742801A1">
            <w:pPr>
              <w:spacing w:line="240" w:lineRule="exact"/>
              <w:ind w:firstLine="0" w:firstLineChars="0"/>
              <w:jc w:val="center"/>
              <w:rPr>
                <w:rFonts w:ascii="宋体" w:hAnsi="宋体"/>
                <w:kern w:val="44"/>
                <w:sz w:val="18"/>
                <w:szCs w:val="18"/>
              </w:rPr>
            </w:pPr>
          </w:p>
        </w:tc>
      </w:tr>
      <w:tr w14:paraId="5FF74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24E163D8">
            <w:pPr>
              <w:spacing w:line="240" w:lineRule="exact"/>
              <w:ind w:firstLine="0" w:firstLineChars="0"/>
              <w:jc w:val="center"/>
              <w:rPr>
                <w:rFonts w:ascii="宋体" w:hAnsi="宋体"/>
                <w:kern w:val="44"/>
                <w:sz w:val="18"/>
                <w:szCs w:val="18"/>
              </w:rPr>
            </w:pPr>
          </w:p>
        </w:tc>
        <w:tc>
          <w:tcPr>
            <w:tcW w:w="1486" w:type="dxa"/>
            <w:vAlign w:val="center"/>
          </w:tcPr>
          <w:p w14:paraId="1E872539">
            <w:pPr>
              <w:spacing w:line="240" w:lineRule="exact"/>
              <w:ind w:firstLine="0" w:firstLineChars="0"/>
              <w:jc w:val="center"/>
              <w:rPr>
                <w:rFonts w:ascii="宋体" w:hAnsi="宋体"/>
                <w:kern w:val="44"/>
                <w:sz w:val="18"/>
                <w:szCs w:val="18"/>
              </w:rPr>
            </w:pPr>
            <w:r>
              <w:rPr>
                <w:rFonts w:hint="eastAsia" w:ascii="宋体" w:hAnsi="宋体"/>
                <w:kern w:val="44"/>
                <w:sz w:val="18"/>
                <w:szCs w:val="18"/>
              </w:rPr>
              <w:t>清河</w:t>
            </w:r>
          </w:p>
        </w:tc>
        <w:tc>
          <w:tcPr>
            <w:tcW w:w="3043" w:type="dxa"/>
            <w:vAlign w:val="center"/>
          </w:tcPr>
          <w:p w14:paraId="5D02C008">
            <w:pPr>
              <w:spacing w:line="240" w:lineRule="exact"/>
              <w:ind w:firstLine="0" w:firstLineChars="0"/>
              <w:jc w:val="center"/>
              <w:rPr>
                <w:rFonts w:ascii="宋体" w:hAnsi="宋体"/>
                <w:kern w:val="44"/>
                <w:sz w:val="18"/>
                <w:szCs w:val="18"/>
              </w:rPr>
            </w:pPr>
            <w:r>
              <w:rPr>
                <w:rFonts w:hint="eastAsia" w:ascii="宋体" w:hAnsi="宋体"/>
                <w:kern w:val="44"/>
                <w:sz w:val="18"/>
                <w:szCs w:val="18"/>
              </w:rPr>
              <w:t>安河闸～清河镇</w:t>
            </w:r>
          </w:p>
        </w:tc>
        <w:tc>
          <w:tcPr>
            <w:tcW w:w="1283" w:type="dxa"/>
            <w:vAlign w:val="center"/>
          </w:tcPr>
          <w:p w14:paraId="11DF1067">
            <w:pPr>
              <w:spacing w:line="240" w:lineRule="exact"/>
              <w:ind w:firstLine="0" w:firstLineChars="0"/>
              <w:jc w:val="center"/>
              <w:rPr>
                <w:rFonts w:ascii="宋体" w:hAnsi="宋体"/>
                <w:kern w:val="44"/>
                <w:sz w:val="18"/>
                <w:szCs w:val="18"/>
              </w:rPr>
            </w:pPr>
            <w:r>
              <w:rPr>
                <w:rFonts w:hint="eastAsia" w:ascii="宋体" w:hAnsi="宋体"/>
                <w:kern w:val="44"/>
                <w:sz w:val="18"/>
                <w:szCs w:val="18"/>
              </w:rPr>
              <w:t>7.5</w:t>
            </w:r>
          </w:p>
        </w:tc>
        <w:tc>
          <w:tcPr>
            <w:tcW w:w="1134" w:type="dxa"/>
            <w:vAlign w:val="center"/>
          </w:tcPr>
          <w:p w14:paraId="3C89FBB7">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992" w:type="dxa"/>
            <w:vAlign w:val="center"/>
          </w:tcPr>
          <w:p w14:paraId="13FEB119">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3997" w:type="dxa"/>
            <w:tcBorders>
              <w:right w:val="single" w:color="auto" w:sz="12" w:space="0"/>
            </w:tcBorders>
            <w:vAlign w:val="center"/>
          </w:tcPr>
          <w:p w14:paraId="70594457">
            <w:pPr>
              <w:spacing w:line="240" w:lineRule="exact"/>
              <w:ind w:firstLine="0" w:firstLineChars="0"/>
              <w:jc w:val="center"/>
              <w:rPr>
                <w:rFonts w:ascii="宋体" w:hAnsi="宋体"/>
                <w:kern w:val="44"/>
                <w:sz w:val="18"/>
                <w:szCs w:val="18"/>
              </w:rPr>
            </w:pPr>
          </w:p>
        </w:tc>
      </w:tr>
      <w:tr w14:paraId="686FD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6BBA9110">
            <w:pPr>
              <w:spacing w:line="240" w:lineRule="exact"/>
              <w:ind w:firstLine="0" w:firstLineChars="0"/>
              <w:jc w:val="center"/>
              <w:rPr>
                <w:rFonts w:ascii="宋体" w:hAnsi="宋体"/>
                <w:kern w:val="44"/>
                <w:sz w:val="18"/>
                <w:szCs w:val="18"/>
              </w:rPr>
            </w:pPr>
          </w:p>
        </w:tc>
        <w:tc>
          <w:tcPr>
            <w:tcW w:w="1486" w:type="dxa"/>
            <w:vAlign w:val="center"/>
          </w:tcPr>
          <w:p w14:paraId="2A610643">
            <w:pPr>
              <w:spacing w:line="240" w:lineRule="exact"/>
              <w:ind w:firstLine="0" w:firstLineChars="0"/>
              <w:jc w:val="center"/>
              <w:rPr>
                <w:rFonts w:ascii="宋体" w:hAnsi="宋体"/>
                <w:kern w:val="44"/>
                <w:sz w:val="18"/>
                <w:szCs w:val="18"/>
              </w:rPr>
            </w:pPr>
            <w:r>
              <w:rPr>
                <w:rFonts w:hint="eastAsia" w:ascii="宋体" w:hAnsi="宋体"/>
                <w:kern w:val="44"/>
                <w:sz w:val="18"/>
                <w:szCs w:val="18"/>
              </w:rPr>
              <w:t>万泉河</w:t>
            </w:r>
          </w:p>
        </w:tc>
        <w:tc>
          <w:tcPr>
            <w:tcW w:w="3043" w:type="dxa"/>
            <w:vAlign w:val="center"/>
          </w:tcPr>
          <w:p w14:paraId="0A990DA5">
            <w:pPr>
              <w:spacing w:line="240" w:lineRule="exact"/>
              <w:ind w:firstLine="0" w:firstLineChars="0"/>
              <w:jc w:val="center"/>
              <w:rPr>
                <w:rFonts w:ascii="宋体" w:hAnsi="宋体"/>
                <w:kern w:val="44"/>
                <w:sz w:val="18"/>
                <w:szCs w:val="18"/>
              </w:rPr>
            </w:pPr>
            <w:r>
              <w:rPr>
                <w:rFonts w:hint="eastAsia" w:ascii="宋体" w:hAnsi="宋体"/>
                <w:kern w:val="44"/>
                <w:sz w:val="18"/>
                <w:szCs w:val="18"/>
              </w:rPr>
              <w:t>清华出口～入清河</w:t>
            </w:r>
          </w:p>
        </w:tc>
        <w:tc>
          <w:tcPr>
            <w:tcW w:w="1283" w:type="dxa"/>
            <w:vAlign w:val="center"/>
          </w:tcPr>
          <w:p w14:paraId="39DB6FB0">
            <w:pPr>
              <w:spacing w:line="240" w:lineRule="exact"/>
              <w:ind w:firstLine="0" w:firstLineChars="0"/>
              <w:jc w:val="center"/>
              <w:rPr>
                <w:rFonts w:ascii="宋体" w:hAnsi="宋体"/>
                <w:kern w:val="44"/>
                <w:sz w:val="18"/>
                <w:szCs w:val="18"/>
              </w:rPr>
            </w:pPr>
            <w:r>
              <w:rPr>
                <w:rFonts w:hint="eastAsia" w:ascii="宋体" w:hAnsi="宋体"/>
                <w:kern w:val="44"/>
                <w:sz w:val="18"/>
                <w:szCs w:val="18"/>
              </w:rPr>
              <w:t>2.6</w:t>
            </w:r>
          </w:p>
        </w:tc>
        <w:tc>
          <w:tcPr>
            <w:tcW w:w="1134" w:type="dxa"/>
            <w:vAlign w:val="center"/>
          </w:tcPr>
          <w:p w14:paraId="1D424FE3">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c>
          <w:tcPr>
            <w:tcW w:w="992" w:type="dxa"/>
            <w:vAlign w:val="center"/>
          </w:tcPr>
          <w:p w14:paraId="32B077D2">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c>
          <w:tcPr>
            <w:tcW w:w="3997" w:type="dxa"/>
            <w:tcBorders>
              <w:right w:val="single" w:color="auto" w:sz="12" w:space="0"/>
            </w:tcBorders>
            <w:vAlign w:val="center"/>
          </w:tcPr>
          <w:p w14:paraId="6138523D">
            <w:pPr>
              <w:spacing w:line="240" w:lineRule="exact"/>
              <w:ind w:firstLine="0" w:firstLineChars="0"/>
              <w:jc w:val="center"/>
              <w:rPr>
                <w:rFonts w:ascii="宋体" w:hAnsi="宋体"/>
                <w:kern w:val="44"/>
                <w:sz w:val="18"/>
                <w:szCs w:val="18"/>
              </w:rPr>
            </w:pPr>
          </w:p>
        </w:tc>
      </w:tr>
      <w:tr w14:paraId="4B722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1B02E6A5">
            <w:pPr>
              <w:spacing w:line="240" w:lineRule="exact"/>
              <w:ind w:firstLine="0" w:firstLineChars="0"/>
              <w:jc w:val="center"/>
              <w:rPr>
                <w:rFonts w:ascii="宋体" w:hAnsi="宋体"/>
                <w:kern w:val="44"/>
                <w:sz w:val="18"/>
                <w:szCs w:val="18"/>
              </w:rPr>
            </w:pPr>
          </w:p>
        </w:tc>
        <w:tc>
          <w:tcPr>
            <w:tcW w:w="1486" w:type="dxa"/>
            <w:vAlign w:val="center"/>
          </w:tcPr>
          <w:p w14:paraId="42520FA5">
            <w:pPr>
              <w:spacing w:line="240" w:lineRule="exact"/>
              <w:ind w:firstLine="0" w:firstLineChars="0"/>
              <w:jc w:val="center"/>
              <w:rPr>
                <w:rFonts w:ascii="宋体" w:hAnsi="宋体"/>
                <w:kern w:val="44"/>
                <w:sz w:val="18"/>
                <w:szCs w:val="18"/>
              </w:rPr>
            </w:pPr>
            <w:r>
              <w:rPr>
                <w:rFonts w:hint="eastAsia" w:ascii="宋体" w:hAnsi="宋体"/>
                <w:kern w:val="44"/>
                <w:sz w:val="18"/>
                <w:szCs w:val="18"/>
              </w:rPr>
              <w:t>坝河</w:t>
            </w:r>
          </w:p>
        </w:tc>
        <w:tc>
          <w:tcPr>
            <w:tcW w:w="3043" w:type="dxa"/>
            <w:vAlign w:val="center"/>
          </w:tcPr>
          <w:p w14:paraId="5F755B78">
            <w:pPr>
              <w:spacing w:line="240" w:lineRule="exact"/>
              <w:ind w:firstLine="0" w:firstLineChars="0"/>
              <w:jc w:val="center"/>
              <w:rPr>
                <w:rFonts w:ascii="宋体" w:hAnsi="宋体"/>
                <w:kern w:val="44"/>
                <w:sz w:val="18"/>
                <w:szCs w:val="18"/>
              </w:rPr>
            </w:pPr>
            <w:r>
              <w:rPr>
                <w:rFonts w:hint="eastAsia" w:ascii="宋体" w:hAnsi="宋体"/>
                <w:kern w:val="44"/>
                <w:sz w:val="18"/>
                <w:szCs w:val="18"/>
              </w:rPr>
              <w:t>东北城角～三环路</w:t>
            </w:r>
          </w:p>
        </w:tc>
        <w:tc>
          <w:tcPr>
            <w:tcW w:w="1283" w:type="dxa"/>
            <w:vAlign w:val="center"/>
          </w:tcPr>
          <w:p w14:paraId="1A8FAF70">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1134" w:type="dxa"/>
            <w:vAlign w:val="center"/>
          </w:tcPr>
          <w:p w14:paraId="7DE97FC5">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c>
          <w:tcPr>
            <w:tcW w:w="992" w:type="dxa"/>
            <w:vAlign w:val="center"/>
          </w:tcPr>
          <w:p w14:paraId="561D66F0">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c>
          <w:tcPr>
            <w:tcW w:w="3997" w:type="dxa"/>
            <w:tcBorders>
              <w:right w:val="single" w:color="auto" w:sz="12" w:space="0"/>
            </w:tcBorders>
            <w:vAlign w:val="center"/>
          </w:tcPr>
          <w:p w14:paraId="4FF6C3BD">
            <w:pPr>
              <w:spacing w:line="240" w:lineRule="exact"/>
              <w:ind w:firstLine="0" w:firstLineChars="0"/>
              <w:jc w:val="center"/>
              <w:rPr>
                <w:rFonts w:ascii="宋体" w:hAnsi="宋体"/>
                <w:kern w:val="44"/>
                <w:sz w:val="18"/>
                <w:szCs w:val="18"/>
              </w:rPr>
            </w:pPr>
          </w:p>
        </w:tc>
      </w:tr>
      <w:tr w14:paraId="2EC5D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2814EC38">
            <w:pPr>
              <w:spacing w:line="240" w:lineRule="exact"/>
              <w:ind w:firstLine="0" w:firstLineChars="0"/>
              <w:jc w:val="center"/>
              <w:rPr>
                <w:rFonts w:ascii="宋体" w:hAnsi="宋体"/>
                <w:kern w:val="44"/>
                <w:sz w:val="18"/>
                <w:szCs w:val="18"/>
              </w:rPr>
            </w:pPr>
          </w:p>
        </w:tc>
        <w:tc>
          <w:tcPr>
            <w:tcW w:w="1486" w:type="dxa"/>
            <w:vAlign w:val="center"/>
          </w:tcPr>
          <w:p w14:paraId="47D9AE44">
            <w:pPr>
              <w:spacing w:line="240" w:lineRule="exact"/>
              <w:ind w:firstLine="0" w:firstLineChars="0"/>
              <w:jc w:val="center"/>
              <w:rPr>
                <w:rFonts w:ascii="宋体" w:hAnsi="宋体"/>
                <w:kern w:val="44"/>
                <w:sz w:val="18"/>
                <w:szCs w:val="18"/>
              </w:rPr>
            </w:pPr>
          </w:p>
        </w:tc>
        <w:tc>
          <w:tcPr>
            <w:tcW w:w="3043" w:type="dxa"/>
            <w:vAlign w:val="center"/>
          </w:tcPr>
          <w:p w14:paraId="4C491594">
            <w:pPr>
              <w:spacing w:line="240" w:lineRule="exact"/>
              <w:ind w:firstLine="0" w:firstLineChars="0"/>
              <w:jc w:val="center"/>
              <w:rPr>
                <w:rFonts w:ascii="宋体" w:hAnsi="宋体"/>
                <w:kern w:val="44"/>
                <w:sz w:val="18"/>
                <w:szCs w:val="18"/>
              </w:rPr>
            </w:pPr>
            <w:r>
              <w:rPr>
                <w:rFonts w:hint="eastAsia" w:ascii="宋体" w:hAnsi="宋体"/>
                <w:kern w:val="44"/>
                <w:sz w:val="18"/>
                <w:szCs w:val="18"/>
              </w:rPr>
              <w:t>三环路～尚家楼</w:t>
            </w:r>
          </w:p>
        </w:tc>
        <w:tc>
          <w:tcPr>
            <w:tcW w:w="1283" w:type="dxa"/>
            <w:vAlign w:val="center"/>
          </w:tcPr>
          <w:p w14:paraId="65A31E5C">
            <w:pPr>
              <w:spacing w:line="240" w:lineRule="exact"/>
              <w:ind w:firstLine="0" w:firstLineChars="0"/>
              <w:jc w:val="center"/>
              <w:rPr>
                <w:rFonts w:ascii="宋体" w:hAnsi="宋体"/>
                <w:kern w:val="44"/>
                <w:sz w:val="18"/>
                <w:szCs w:val="18"/>
              </w:rPr>
            </w:pPr>
            <w:r>
              <w:rPr>
                <w:rFonts w:hint="eastAsia" w:ascii="宋体" w:hAnsi="宋体"/>
                <w:kern w:val="44"/>
                <w:sz w:val="18"/>
                <w:szCs w:val="18"/>
              </w:rPr>
              <w:t>1.5</w:t>
            </w:r>
          </w:p>
        </w:tc>
        <w:tc>
          <w:tcPr>
            <w:tcW w:w="1134" w:type="dxa"/>
            <w:vAlign w:val="center"/>
          </w:tcPr>
          <w:p w14:paraId="30C291CA">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c>
          <w:tcPr>
            <w:tcW w:w="992" w:type="dxa"/>
            <w:vAlign w:val="center"/>
          </w:tcPr>
          <w:p w14:paraId="6A814850">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3997" w:type="dxa"/>
            <w:tcBorders>
              <w:right w:val="single" w:color="auto" w:sz="12" w:space="0"/>
            </w:tcBorders>
            <w:vAlign w:val="center"/>
          </w:tcPr>
          <w:p w14:paraId="131E5E27">
            <w:pPr>
              <w:spacing w:line="240" w:lineRule="exact"/>
              <w:ind w:firstLine="0" w:firstLineChars="0"/>
              <w:jc w:val="center"/>
              <w:rPr>
                <w:rFonts w:ascii="宋体" w:hAnsi="宋体"/>
                <w:kern w:val="44"/>
                <w:sz w:val="18"/>
                <w:szCs w:val="18"/>
              </w:rPr>
            </w:pPr>
          </w:p>
        </w:tc>
      </w:tr>
      <w:tr w14:paraId="6897D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5283B0DF">
            <w:pPr>
              <w:spacing w:line="240" w:lineRule="exact"/>
              <w:ind w:firstLine="0" w:firstLineChars="0"/>
              <w:jc w:val="center"/>
              <w:rPr>
                <w:rFonts w:ascii="宋体" w:hAnsi="宋体"/>
                <w:kern w:val="44"/>
                <w:sz w:val="18"/>
                <w:szCs w:val="18"/>
              </w:rPr>
            </w:pPr>
          </w:p>
        </w:tc>
        <w:tc>
          <w:tcPr>
            <w:tcW w:w="1486" w:type="dxa"/>
            <w:vAlign w:val="center"/>
          </w:tcPr>
          <w:p w14:paraId="14CE88E8">
            <w:pPr>
              <w:spacing w:line="240" w:lineRule="exact"/>
              <w:ind w:firstLine="0" w:firstLineChars="0"/>
              <w:jc w:val="center"/>
              <w:rPr>
                <w:rFonts w:ascii="宋体" w:hAnsi="宋体"/>
                <w:kern w:val="44"/>
                <w:sz w:val="18"/>
                <w:szCs w:val="18"/>
              </w:rPr>
            </w:pPr>
            <w:r>
              <w:rPr>
                <w:rFonts w:hint="eastAsia" w:ascii="宋体" w:hAnsi="宋体"/>
                <w:kern w:val="44"/>
                <w:sz w:val="18"/>
                <w:szCs w:val="18"/>
              </w:rPr>
              <w:t>通惠河</w:t>
            </w:r>
          </w:p>
        </w:tc>
        <w:tc>
          <w:tcPr>
            <w:tcW w:w="3043" w:type="dxa"/>
            <w:vAlign w:val="center"/>
          </w:tcPr>
          <w:p w14:paraId="17A600F0">
            <w:pPr>
              <w:spacing w:line="240" w:lineRule="exact"/>
              <w:ind w:firstLine="0" w:firstLineChars="0"/>
              <w:jc w:val="center"/>
              <w:rPr>
                <w:rFonts w:ascii="宋体" w:hAnsi="宋体"/>
                <w:kern w:val="44"/>
                <w:sz w:val="18"/>
                <w:szCs w:val="18"/>
              </w:rPr>
            </w:pPr>
            <w:r>
              <w:rPr>
                <w:rFonts w:hint="eastAsia" w:ascii="宋体" w:hAnsi="宋体"/>
                <w:kern w:val="44"/>
                <w:sz w:val="18"/>
                <w:szCs w:val="18"/>
              </w:rPr>
              <w:t>高碑店湖～通县</w:t>
            </w:r>
          </w:p>
        </w:tc>
        <w:tc>
          <w:tcPr>
            <w:tcW w:w="1283" w:type="dxa"/>
            <w:vAlign w:val="center"/>
          </w:tcPr>
          <w:p w14:paraId="697372C1">
            <w:pPr>
              <w:spacing w:line="240" w:lineRule="exact"/>
              <w:ind w:firstLine="0" w:firstLineChars="0"/>
              <w:jc w:val="center"/>
              <w:rPr>
                <w:rFonts w:ascii="宋体" w:hAnsi="宋体"/>
                <w:kern w:val="44"/>
                <w:sz w:val="18"/>
                <w:szCs w:val="18"/>
              </w:rPr>
            </w:pPr>
            <w:r>
              <w:rPr>
                <w:rFonts w:hint="eastAsia" w:ascii="宋体" w:hAnsi="宋体"/>
                <w:kern w:val="44"/>
                <w:sz w:val="18"/>
                <w:szCs w:val="18"/>
              </w:rPr>
              <w:t>12.7</w:t>
            </w:r>
          </w:p>
        </w:tc>
        <w:tc>
          <w:tcPr>
            <w:tcW w:w="1134" w:type="dxa"/>
            <w:vAlign w:val="center"/>
          </w:tcPr>
          <w:p w14:paraId="37BF7269">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992" w:type="dxa"/>
            <w:vAlign w:val="center"/>
          </w:tcPr>
          <w:p w14:paraId="121FF31E">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3997" w:type="dxa"/>
            <w:tcBorders>
              <w:right w:val="single" w:color="auto" w:sz="12" w:space="0"/>
            </w:tcBorders>
            <w:vAlign w:val="center"/>
          </w:tcPr>
          <w:p w14:paraId="437C6296">
            <w:pPr>
              <w:spacing w:line="240" w:lineRule="exact"/>
              <w:ind w:firstLine="0" w:firstLineChars="0"/>
              <w:jc w:val="center"/>
              <w:rPr>
                <w:rFonts w:ascii="宋体" w:hAnsi="宋体"/>
                <w:kern w:val="44"/>
                <w:sz w:val="18"/>
                <w:szCs w:val="18"/>
              </w:rPr>
            </w:pPr>
          </w:p>
        </w:tc>
      </w:tr>
      <w:tr w14:paraId="70B28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693754CA">
            <w:pPr>
              <w:spacing w:line="240" w:lineRule="exact"/>
              <w:ind w:firstLine="0" w:firstLineChars="0"/>
              <w:jc w:val="center"/>
              <w:rPr>
                <w:rFonts w:ascii="宋体" w:hAnsi="宋体"/>
                <w:kern w:val="44"/>
                <w:sz w:val="18"/>
                <w:szCs w:val="18"/>
              </w:rPr>
            </w:pPr>
          </w:p>
        </w:tc>
        <w:tc>
          <w:tcPr>
            <w:tcW w:w="1486" w:type="dxa"/>
            <w:vAlign w:val="center"/>
          </w:tcPr>
          <w:p w14:paraId="4A4B5EEB">
            <w:pPr>
              <w:spacing w:line="240" w:lineRule="exact"/>
              <w:ind w:firstLine="0" w:firstLineChars="0"/>
              <w:jc w:val="center"/>
              <w:rPr>
                <w:rFonts w:ascii="宋体" w:hAnsi="宋体"/>
                <w:kern w:val="44"/>
                <w:sz w:val="18"/>
                <w:szCs w:val="18"/>
              </w:rPr>
            </w:pPr>
            <w:r>
              <w:rPr>
                <w:rFonts w:hint="eastAsia" w:ascii="宋体" w:hAnsi="宋体"/>
                <w:kern w:val="44"/>
                <w:sz w:val="18"/>
                <w:szCs w:val="18"/>
              </w:rPr>
              <w:t>莲花河</w:t>
            </w:r>
          </w:p>
        </w:tc>
        <w:tc>
          <w:tcPr>
            <w:tcW w:w="3043" w:type="dxa"/>
            <w:vAlign w:val="center"/>
          </w:tcPr>
          <w:p w14:paraId="5015EF4F">
            <w:pPr>
              <w:spacing w:line="240" w:lineRule="exact"/>
              <w:ind w:firstLine="0" w:firstLineChars="0"/>
              <w:jc w:val="center"/>
              <w:rPr>
                <w:rFonts w:ascii="宋体" w:hAnsi="宋体"/>
                <w:kern w:val="44"/>
                <w:sz w:val="18"/>
                <w:szCs w:val="18"/>
              </w:rPr>
            </w:pPr>
            <w:r>
              <w:rPr>
                <w:rFonts w:hint="eastAsia" w:ascii="宋体" w:hAnsi="宋体"/>
                <w:kern w:val="44"/>
                <w:sz w:val="18"/>
                <w:szCs w:val="18"/>
              </w:rPr>
              <w:t>莲花池～孟家桥</w:t>
            </w:r>
          </w:p>
        </w:tc>
        <w:tc>
          <w:tcPr>
            <w:tcW w:w="1283" w:type="dxa"/>
            <w:vAlign w:val="center"/>
          </w:tcPr>
          <w:p w14:paraId="32CE4B1A">
            <w:pPr>
              <w:spacing w:line="240" w:lineRule="exact"/>
              <w:ind w:firstLine="0" w:firstLineChars="0"/>
              <w:jc w:val="center"/>
              <w:rPr>
                <w:rFonts w:ascii="宋体" w:hAnsi="宋体"/>
                <w:kern w:val="44"/>
                <w:sz w:val="18"/>
                <w:szCs w:val="18"/>
              </w:rPr>
            </w:pPr>
            <w:r>
              <w:rPr>
                <w:rFonts w:hint="eastAsia" w:ascii="宋体" w:hAnsi="宋体"/>
                <w:kern w:val="44"/>
                <w:sz w:val="18"/>
                <w:szCs w:val="18"/>
              </w:rPr>
              <w:t>3.5</w:t>
            </w:r>
          </w:p>
        </w:tc>
        <w:tc>
          <w:tcPr>
            <w:tcW w:w="1134" w:type="dxa"/>
            <w:vAlign w:val="center"/>
          </w:tcPr>
          <w:p w14:paraId="38E128D6">
            <w:pPr>
              <w:spacing w:line="240" w:lineRule="exact"/>
              <w:ind w:firstLine="0" w:firstLineChars="0"/>
              <w:jc w:val="center"/>
              <w:rPr>
                <w:rFonts w:ascii="宋体" w:hAnsi="宋体"/>
                <w:kern w:val="44"/>
                <w:sz w:val="18"/>
                <w:szCs w:val="18"/>
              </w:rPr>
            </w:pPr>
            <w:r>
              <w:rPr>
                <w:rFonts w:hint="eastAsia" w:ascii="宋体" w:hAnsi="宋体"/>
                <w:kern w:val="44"/>
                <w:sz w:val="18"/>
                <w:szCs w:val="18"/>
              </w:rPr>
              <w:t>36.5</w:t>
            </w:r>
          </w:p>
        </w:tc>
        <w:tc>
          <w:tcPr>
            <w:tcW w:w="992" w:type="dxa"/>
            <w:vAlign w:val="center"/>
          </w:tcPr>
          <w:p w14:paraId="5D538B5D">
            <w:pPr>
              <w:spacing w:line="240" w:lineRule="exact"/>
              <w:ind w:firstLine="0" w:firstLineChars="0"/>
              <w:jc w:val="center"/>
              <w:rPr>
                <w:rFonts w:ascii="宋体" w:hAnsi="宋体"/>
                <w:kern w:val="44"/>
                <w:sz w:val="18"/>
                <w:szCs w:val="18"/>
              </w:rPr>
            </w:pPr>
            <w:r>
              <w:rPr>
                <w:rFonts w:hint="eastAsia" w:ascii="宋体" w:hAnsi="宋体"/>
                <w:kern w:val="44"/>
                <w:sz w:val="18"/>
                <w:szCs w:val="18"/>
              </w:rPr>
              <w:t>50</w:t>
            </w:r>
          </w:p>
        </w:tc>
        <w:tc>
          <w:tcPr>
            <w:tcW w:w="3997" w:type="dxa"/>
            <w:tcBorders>
              <w:right w:val="single" w:color="auto" w:sz="12" w:space="0"/>
            </w:tcBorders>
            <w:vAlign w:val="center"/>
          </w:tcPr>
          <w:p w14:paraId="09CCDE9D">
            <w:pPr>
              <w:spacing w:line="240" w:lineRule="exact"/>
              <w:ind w:firstLine="0" w:firstLineChars="0"/>
              <w:jc w:val="center"/>
              <w:rPr>
                <w:rFonts w:ascii="宋体" w:hAnsi="宋体"/>
                <w:kern w:val="44"/>
                <w:sz w:val="18"/>
                <w:szCs w:val="18"/>
              </w:rPr>
            </w:pPr>
          </w:p>
        </w:tc>
      </w:tr>
      <w:tr w14:paraId="7DF83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001E3F1C">
            <w:pPr>
              <w:spacing w:line="240" w:lineRule="exact"/>
              <w:ind w:firstLine="0" w:firstLineChars="0"/>
              <w:jc w:val="center"/>
              <w:rPr>
                <w:rFonts w:ascii="宋体" w:hAnsi="宋体"/>
                <w:kern w:val="44"/>
                <w:sz w:val="18"/>
                <w:szCs w:val="18"/>
              </w:rPr>
            </w:pPr>
          </w:p>
        </w:tc>
        <w:tc>
          <w:tcPr>
            <w:tcW w:w="1486" w:type="dxa"/>
            <w:vAlign w:val="center"/>
          </w:tcPr>
          <w:p w14:paraId="4D29290E">
            <w:pPr>
              <w:spacing w:line="240" w:lineRule="exact"/>
              <w:ind w:firstLine="0" w:firstLineChars="0"/>
              <w:jc w:val="center"/>
              <w:rPr>
                <w:rFonts w:ascii="宋体" w:hAnsi="宋体"/>
                <w:kern w:val="44"/>
                <w:sz w:val="18"/>
                <w:szCs w:val="18"/>
              </w:rPr>
            </w:pPr>
          </w:p>
        </w:tc>
        <w:tc>
          <w:tcPr>
            <w:tcW w:w="3043" w:type="dxa"/>
            <w:vAlign w:val="center"/>
          </w:tcPr>
          <w:p w14:paraId="2D6D32AE">
            <w:pPr>
              <w:spacing w:line="240" w:lineRule="exact"/>
              <w:ind w:firstLine="0" w:firstLineChars="0"/>
              <w:jc w:val="center"/>
              <w:rPr>
                <w:rFonts w:ascii="宋体" w:hAnsi="宋体"/>
                <w:kern w:val="44"/>
                <w:sz w:val="18"/>
                <w:szCs w:val="18"/>
              </w:rPr>
            </w:pPr>
            <w:r>
              <w:rPr>
                <w:rFonts w:hint="eastAsia" w:ascii="宋体" w:hAnsi="宋体"/>
                <w:kern w:val="44"/>
                <w:sz w:val="18"/>
                <w:szCs w:val="18"/>
              </w:rPr>
              <w:t>孟家桥～万泉寺铁路桥</w:t>
            </w:r>
          </w:p>
        </w:tc>
        <w:tc>
          <w:tcPr>
            <w:tcW w:w="1283" w:type="dxa"/>
            <w:vAlign w:val="center"/>
          </w:tcPr>
          <w:p w14:paraId="2883D237">
            <w:pPr>
              <w:spacing w:line="240" w:lineRule="exact"/>
              <w:ind w:firstLine="0" w:firstLineChars="0"/>
              <w:jc w:val="center"/>
              <w:rPr>
                <w:rFonts w:ascii="宋体" w:hAnsi="宋体"/>
                <w:kern w:val="44"/>
                <w:sz w:val="18"/>
                <w:szCs w:val="18"/>
              </w:rPr>
            </w:pPr>
            <w:r>
              <w:rPr>
                <w:rFonts w:hint="eastAsia" w:ascii="宋体" w:hAnsi="宋体"/>
                <w:kern w:val="44"/>
                <w:sz w:val="18"/>
                <w:szCs w:val="18"/>
              </w:rPr>
              <w:t>2.4</w:t>
            </w:r>
          </w:p>
        </w:tc>
        <w:tc>
          <w:tcPr>
            <w:tcW w:w="1134" w:type="dxa"/>
            <w:vAlign w:val="center"/>
          </w:tcPr>
          <w:p w14:paraId="27BE2FF9">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992" w:type="dxa"/>
            <w:vAlign w:val="center"/>
          </w:tcPr>
          <w:p w14:paraId="2B6B1E97">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3997" w:type="dxa"/>
            <w:tcBorders>
              <w:right w:val="single" w:color="auto" w:sz="12" w:space="0"/>
            </w:tcBorders>
            <w:vAlign w:val="center"/>
          </w:tcPr>
          <w:p w14:paraId="7173EDB9">
            <w:pPr>
              <w:spacing w:line="240" w:lineRule="exact"/>
              <w:ind w:firstLine="0" w:firstLineChars="0"/>
              <w:jc w:val="center"/>
              <w:rPr>
                <w:rFonts w:ascii="宋体" w:hAnsi="宋体"/>
                <w:kern w:val="44"/>
                <w:sz w:val="18"/>
                <w:szCs w:val="18"/>
              </w:rPr>
            </w:pPr>
          </w:p>
        </w:tc>
      </w:tr>
      <w:tr w14:paraId="08B67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0F96236B">
            <w:pPr>
              <w:spacing w:line="240" w:lineRule="exact"/>
              <w:ind w:firstLine="0" w:firstLineChars="0"/>
              <w:jc w:val="center"/>
              <w:rPr>
                <w:rFonts w:ascii="宋体" w:hAnsi="宋体"/>
                <w:kern w:val="44"/>
                <w:sz w:val="18"/>
                <w:szCs w:val="18"/>
              </w:rPr>
            </w:pPr>
          </w:p>
        </w:tc>
        <w:tc>
          <w:tcPr>
            <w:tcW w:w="1486" w:type="dxa"/>
            <w:vAlign w:val="center"/>
          </w:tcPr>
          <w:p w14:paraId="2FDC6612">
            <w:pPr>
              <w:spacing w:line="240" w:lineRule="exact"/>
              <w:ind w:firstLine="0" w:firstLineChars="0"/>
              <w:jc w:val="center"/>
              <w:rPr>
                <w:rFonts w:ascii="宋体" w:hAnsi="宋体"/>
                <w:kern w:val="44"/>
                <w:sz w:val="18"/>
                <w:szCs w:val="18"/>
              </w:rPr>
            </w:pPr>
            <w:r>
              <w:rPr>
                <w:rFonts w:hint="eastAsia" w:ascii="宋体" w:hAnsi="宋体"/>
                <w:kern w:val="44"/>
                <w:sz w:val="18"/>
                <w:szCs w:val="18"/>
              </w:rPr>
              <w:t>分洪道</w:t>
            </w:r>
          </w:p>
        </w:tc>
        <w:tc>
          <w:tcPr>
            <w:tcW w:w="3043" w:type="dxa"/>
            <w:vAlign w:val="center"/>
          </w:tcPr>
          <w:p w14:paraId="77E55579">
            <w:pPr>
              <w:spacing w:line="240" w:lineRule="exact"/>
              <w:ind w:firstLine="0" w:firstLineChars="0"/>
              <w:jc w:val="center"/>
              <w:rPr>
                <w:rFonts w:ascii="宋体" w:hAnsi="宋体"/>
                <w:kern w:val="44"/>
                <w:sz w:val="18"/>
                <w:szCs w:val="18"/>
              </w:rPr>
            </w:pPr>
            <w:r>
              <w:rPr>
                <w:rFonts w:hint="eastAsia" w:ascii="宋体" w:hAnsi="宋体"/>
                <w:kern w:val="44"/>
                <w:sz w:val="18"/>
                <w:szCs w:val="18"/>
              </w:rPr>
              <w:t>西南城角～入凉水河</w:t>
            </w:r>
          </w:p>
        </w:tc>
        <w:tc>
          <w:tcPr>
            <w:tcW w:w="1283" w:type="dxa"/>
            <w:vAlign w:val="center"/>
          </w:tcPr>
          <w:p w14:paraId="580A7C0D">
            <w:pPr>
              <w:spacing w:line="240" w:lineRule="exact"/>
              <w:ind w:firstLine="0" w:firstLineChars="0"/>
              <w:jc w:val="center"/>
              <w:rPr>
                <w:rFonts w:ascii="宋体" w:hAnsi="宋体"/>
                <w:kern w:val="44"/>
                <w:sz w:val="18"/>
                <w:szCs w:val="18"/>
              </w:rPr>
            </w:pPr>
            <w:r>
              <w:rPr>
                <w:rFonts w:hint="eastAsia" w:ascii="宋体" w:hAnsi="宋体"/>
                <w:kern w:val="44"/>
                <w:sz w:val="18"/>
                <w:szCs w:val="18"/>
              </w:rPr>
              <w:t>0.8</w:t>
            </w:r>
          </w:p>
        </w:tc>
        <w:tc>
          <w:tcPr>
            <w:tcW w:w="1134" w:type="dxa"/>
            <w:vAlign w:val="center"/>
          </w:tcPr>
          <w:p w14:paraId="3CD772FE">
            <w:pPr>
              <w:spacing w:line="240" w:lineRule="exact"/>
              <w:ind w:firstLine="0" w:firstLineChars="0"/>
              <w:jc w:val="center"/>
              <w:rPr>
                <w:rFonts w:ascii="宋体" w:hAnsi="宋体"/>
                <w:kern w:val="44"/>
                <w:sz w:val="18"/>
                <w:szCs w:val="18"/>
              </w:rPr>
            </w:pPr>
            <w:r>
              <w:rPr>
                <w:rFonts w:hint="eastAsia" w:ascii="宋体" w:hAnsi="宋体"/>
                <w:kern w:val="44"/>
                <w:sz w:val="18"/>
                <w:szCs w:val="18"/>
              </w:rPr>
              <w:t>50</w:t>
            </w:r>
          </w:p>
        </w:tc>
        <w:tc>
          <w:tcPr>
            <w:tcW w:w="992" w:type="dxa"/>
            <w:vAlign w:val="center"/>
          </w:tcPr>
          <w:p w14:paraId="441B90C2">
            <w:pPr>
              <w:spacing w:line="240" w:lineRule="exact"/>
              <w:ind w:firstLine="0" w:firstLineChars="0"/>
              <w:jc w:val="center"/>
              <w:rPr>
                <w:rFonts w:ascii="宋体" w:hAnsi="宋体"/>
                <w:kern w:val="44"/>
                <w:sz w:val="18"/>
                <w:szCs w:val="18"/>
              </w:rPr>
            </w:pPr>
            <w:r>
              <w:rPr>
                <w:rFonts w:hint="eastAsia" w:ascii="宋体" w:hAnsi="宋体"/>
                <w:kern w:val="44"/>
                <w:sz w:val="18"/>
                <w:szCs w:val="18"/>
              </w:rPr>
              <w:t>50</w:t>
            </w:r>
          </w:p>
        </w:tc>
        <w:tc>
          <w:tcPr>
            <w:tcW w:w="3997" w:type="dxa"/>
            <w:tcBorders>
              <w:right w:val="single" w:color="auto" w:sz="12" w:space="0"/>
            </w:tcBorders>
            <w:vAlign w:val="center"/>
          </w:tcPr>
          <w:p w14:paraId="676C8EF3">
            <w:pPr>
              <w:spacing w:line="240" w:lineRule="exact"/>
              <w:ind w:firstLine="0" w:firstLineChars="0"/>
              <w:jc w:val="center"/>
              <w:rPr>
                <w:rFonts w:ascii="宋体" w:hAnsi="宋体"/>
                <w:kern w:val="44"/>
                <w:sz w:val="18"/>
                <w:szCs w:val="18"/>
              </w:rPr>
            </w:pPr>
          </w:p>
        </w:tc>
      </w:tr>
      <w:tr w14:paraId="1E0C8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0CF520C4">
            <w:pPr>
              <w:spacing w:line="240" w:lineRule="exact"/>
              <w:ind w:firstLine="0" w:firstLineChars="0"/>
              <w:jc w:val="center"/>
              <w:rPr>
                <w:rFonts w:ascii="宋体" w:hAnsi="宋体"/>
                <w:kern w:val="44"/>
                <w:sz w:val="18"/>
                <w:szCs w:val="18"/>
              </w:rPr>
            </w:pPr>
          </w:p>
        </w:tc>
        <w:tc>
          <w:tcPr>
            <w:tcW w:w="1486" w:type="dxa"/>
            <w:vAlign w:val="center"/>
          </w:tcPr>
          <w:p w14:paraId="33BABCAE">
            <w:pPr>
              <w:spacing w:line="240" w:lineRule="exact"/>
              <w:ind w:firstLine="0" w:firstLineChars="0"/>
              <w:jc w:val="center"/>
              <w:rPr>
                <w:rFonts w:ascii="宋体" w:hAnsi="宋体"/>
                <w:kern w:val="44"/>
                <w:sz w:val="18"/>
                <w:szCs w:val="18"/>
              </w:rPr>
            </w:pPr>
            <w:r>
              <w:rPr>
                <w:rFonts w:hint="eastAsia" w:ascii="宋体" w:hAnsi="宋体"/>
                <w:kern w:val="44"/>
                <w:sz w:val="18"/>
                <w:szCs w:val="18"/>
              </w:rPr>
              <w:t>凉水河</w:t>
            </w:r>
          </w:p>
        </w:tc>
        <w:tc>
          <w:tcPr>
            <w:tcW w:w="3043" w:type="dxa"/>
            <w:vAlign w:val="center"/>
          </w:tcPr>
          <w:p w14:paraId="57C08E9F">
            <w:pPr>
              <w:spacing w:line="240" w:lineRule="exact"/>
              <w:ind w:firstLine="0" w:firstLineChars="0"/>
              <w:jc w:val="center"/>
              <w:rPr>
                <w:rFonts w:ascii="宋体" w:hAnsi="宋体"/>
                <w:kern w:val="44"/>
                <w:sz w:val="18"/>
                <w:szCs w:val="18"/>
              </w:rPr>
            </w:pPr>
            <w:r>
              <w:rPr>
                <w:rFonts w:hint="eastAsia" w:ascii="宋体" w:hAnsi="宋体"/>
                <w:kern w:val="44"/>
                <w:sz w:val="18"/>
                <w:szCs w:val="18"/>
              </w:rPr>
              <w:t>万泉寺铁路桥～分洪道出口</w:t>
            </w:r>
          </w:p>
        </w:tc>
        <w:tc>
          <w:tcPr>
            <w:tcW w:w="1283" w:type="dxa"/>
            <w:vAlign w:val="center"/>
          </w:tcPr>
          <w:p w14:paraId="341DFD54">
            <w:pPr>
              <w:spacing w:line="240" w:lineRule="exact"/>
              <w:ind w:firstLine="0" w:firstLineChars="0"/>
              <w:jc w:val="center"/>
              <w:rPr>
                <w:rFonts w:ascii="宋体" w:hAnsi="宋体"/>
                <w:kern w:val="44"/>
                <w:sz w:val="18"/>
                <w:szCs w:val="18"/>
              </w:rPr>
            </w:pPr>
            <w:r>
              <w:rPr>
                <w:rFonts w:hint="eastAsia" w:ascii="宋体" w:hAnsi="宋体"/>
                <w:kern w:val="44"/>
                <w:sz w:val="18"/>
                <w:szCs w:val="18"/>
              </w:rPr>
              <w:t>1.4</w:t>
            </w:r>
          </w:p>
        </w:tc>
        <w:tc>
          <w:tcPr>
            <w:tcW w:w="1134" w:type="dxa"/>
            <w:vAlign w:val="center"/>
          </w:tcPr>
          <w:p w14:paraId="7EA3D2D2">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992" w:type="dxa"/>
            <w:vAlign w:val="center"/>
          </w:tcPr>
          <w:p w14:paraId="4F36F59A">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3997" w:type="dxa"/>
            <w:tcBorders>
              <w:right w:val="single" w:color="auto" w:sz="12" w:space="0"/>
            </w:tcBorders>
            <w:vAlign w:val="center"/>
          </w:tcPr>
          <w:p w14:paraId="454CA691">
            <w:pPr>
              <w:spacing w:line="240" w:lineRule="exact"/>
              <w:ind w:firstLine="0" w:firstLineChars="0"/>
              <w:jc w:val="center"/>
              <w:rPr>
                <w:rFonts w:ascii="宋体" w:hAnsi="宋体"/>
                <w:kern w:val="44"/>
                <w:sz w:val="18"/>
                <w:szCs w:val="18"/>
              </w:rPr>
            </w:pPr>
          </w:p>
        </w:tc>
      </w:tr>
      <w:tr w14:paraId="5270D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59853D9F">
            <w:pPr>
              <w:spacing w:line="240" w:lineRule="exact"/>
              <w:ind w:firstLine="0" w:firstLineChars="0"/>
              <w:jc w:val="center"/>
              <w:rPr>
                <w:rFonts w:ascii="宋体" w:hAnsi="宋体"/>
                <w:kern w:val="44"/>
                <w:sz w:val="18"/>
                <w:szCs w:val="18"/>
              </w:rPr>
            </w:pPr>
          </w:p>
        </w:tc>
        <w:tc>
          <w:tcPr>
            <w:tcW w:w="1486" w:type="dxa"/>
            <w:vAlign w:val="center"/>
          </w:tcPr>
          <w:p w14:paraId="61687B55">
            <w:pPr>
              <w:spacing w:line="240" w:lineRule="exact"/>
              <w:ind w:firstLine="0" w:firstLineChars="0"/>
              <w:jc w:val="center"/>
              <w:rPr>
                <w:rFonts w:ascii="宋体" w:hAnsi="宋体"/>
                <w:kern w:val="44"/>
                <w:sz w:val="18"/>
                <w:szCs w:val="18"/>
              </w:rPr>
            </w:pPr>
          </w:p>
        </w:tc>
        <w:tc>
          <w:tcPr>
            <w:tcW w:w="3043" w:type="dxa"/>
            <w:vAlign w:val="center"/>
          </w:tcPr>
          <w:p w14:paraId="7A44CB87">
            <w:pPr>
              <w:spacing w:line="240" w:lineRule="exact"/>
              <w:ind w:firstLine="0" w:firstLineChars="0"/>
              <w:jc w:val="center"/>
              <w:rPr>
                <w:rFonts w:ascii="宋体" w:hAnsi="宋体"/>
                <w:kern w:val="44"/>
                <w:sz w:val="18"/>
                <w:szCs w:val="18"/>
              </w:rPr>
            </w:pPr>
            <w:r>
              <w:rPr>
                <w:rFonts w:hint="eastAsia" w:ascii="宋体" w:hAnsi="宋体"/>
                <w:kern w:val="44"/>
                <w:sz w:val="18"/>
                <w:szCs w:val="18"/>
              </w:rPr>
              <w:t>分洪道出口～铁路</w:t>
            </w:r>
          </w:p>
        </w:tc>
        <w:tc>
          <w:tcPr>
            <w:tcW w:w="1283" w:type="dxa"/>
            <w:vAlign w:val="center"/>
          </w:tcPr>
          <w:p w14:paraId="48B0C1FE">
            <w:pPr>
              <w:spacing w:line="240" w:lineRule="exact"/>
              <w:ind w:firstLine="0" w:firstLineChars="0"/>
              <w:jc w:val="center"/>
              <w:rPr>
                <w:rFonts w:ascii="宋体" w:hAnsi="宋体"/>
                <w:kern w:val="44"/>
                <w:sz w:val="18"/>
                <w:szCs w:val="18"/>
              </w:rPr>
            </w:pPr>
            <w:r>
              <w:rPr>
                <w:rFonts w:hint="eastAsia" w:ascii="宋体" w:hAnsi="宋体"/>
                <w:kern w:val="44"/>
                <w:sz w:val="18"/>
                <w:szCs w:val="18"/>
              </w:rPr>
              <w:t>2</w:t>
            </w:r>
          </w:p>
        </w:tc>
        <w:tc>
          <w:tcPr>
            <w:tcW w:w="1134" w:type="dxa"/>
            <w:vAlign w:val="center"/>
          </w:tcPr>
          <w:p w14:paraId="090E2EB9">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992" w:type="dxa"/>
            <w:vAlign w:val="center"/>
          </w:tcPr>
          <w:p w14:paraId="5C48470D">
            <w:pPr>
              <w:spacing w:line="240" w:lineRule="exact"/>
              <w:ind w:firstLine="0" w:firstLineChars="0"/>
              <w:jc w:val="center"/>
              <w:rPr>
                <w:rFonts w:ascii="宋体" w:hAnsi="宋体"/>
                <w:kern w:val="44"/>
                <w:sz w:val="18"/>
                <w:szCs w:val="18"/>
              </w:rPr>
            </w:pPr>
            <w:r>
              <w:rPr>
                <w:rFonts w:hint="eastAsia" w:ascii="宋体" w:hAnsi="宋体"/>
                <w:kern w:val="44"/>
                <w:sz w:val="18"/>
                <w:szCs w:val="18"/>
              </w:rPr>
              <w:t>50</w:t>
            </w:r>
          </w:p>
        </w:tc>
        <w:tc>
          <w:tcPr>
            <w:tcW w:w="3997" w:type="dxa"/>
            <w:tcBorders>
              <w:right w:val="single" w:color="auto" w:sz="12" w:space="0"/>
            </w:tcBorders>
            <w:vAlign w:val="center"/>
          </w:tcPr>
          <w:p w14:paraId="0B1376DC">
            <w:pPr>
              <w:spacing w:line="240" w:lineRule="exact"/>
              <w:ind w:firstLine="0" w:firstLineChars="0"/>
              <w:jc w:val="center"/>
              <w:rPr>
                <w:rFonts w:ascii="宋体" w:hAnsi="宋体"/>
                <w:kern w:val="44"/>
                <w:sz w:val="18"/>
                <w:szCs w:val="18"/>
              </w:rPr>
            </w:pPr>
          </w:p>
        </w:tc>
      </w:tr>
      <w:tr w14:paraId="5B5D8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56BC579B">
            <w:pPr>
              <w:spacing w:line="240" w:lineRule="exact"/>
              <w:ind w:firstLine="0" w:firstLineChars="0"/>
              <w:jc w:val="center"/>
              <w:rPr>
                <w:rFonts w:ascii="宋体" w:hAnsi="宋体"/>
                <w:kern w:val="44"/>
                <w:sz w:val="18"/>
                <w:szCs w:val="18"/>
              </w:rPr>
            </w:pPr>
          </w:p>
        </w:tc>
        <w:tc>
          <w:tcPr>
            <w:tcW w:w="1486" w:type="dxa"/>
            <w:vAlign w:val="center"/>
          </w:tcPr>
          <w:p w14:paraId="50A6231B">
            <w:pPr>
              <w:spacing w:line="240" w:lineRule="exact"/>
              <w:ind w:firstLine="0" w:firstLineChars="0"/>
              <w:jc w:val="center"/>
              <w:rPr>
                <w:rFonts w:ascii="宋体" w:hAnsi="宋体"/>
                <w:kern w:val="44"/>
                <w:sz w:val="18"/>
                <w:szCs w:val="18"/>
              </w:rPr>
            </w:pPr>
          </w:p>
        </w:tc>
        <w:tc>
          <w:tcPr>
            <w:tcW w:w="3043" w:type="dxa"/>
            <w:vAlign w:val="center"/>
          </w:tcPr>
          <w:p w14:paraId="12C7CAD2">
            <w:pPr>
              <w:spacing w:line="240" w:lineRule="exact"/>
              <w:ind w:firstLine="0" w:firstLineChars="0"/>
              <w:jc w:val="center"/>
              <w:rPr>
                <w:rFonts w:ascii="宋体" w:hAnsi="宋体"/>
                <w:kern w:val="44"/>
                <w:sz w:val="18"/>
                <w:szCs w:val="18"/>
              </w:rPr>
            </w:pPr>
            <w:r>
              <w:rPr>
                <w:rFonts w:hint="eastAsia" w:ascii="宋体" w:hAnsi="宋体"/>
                <w:kern w:val="44"/>
                <w:sz w:val="18"/>
                <w:szCs w:val="18"/>
              </w:rPr>
              <w:t>铁路～大红门闸</w:t>
            </w:r>
          </w:p>
        </w:tc>
        <w:tc>
          <w:tcPr>
            <w:tcW w:w="1283" w:type="dxa"/>
            <w:vAlign w:val="center"/>
          </w:tcPr>
          <w:p w14:paraId="24B3219D">
            <w:pPr>
              <w:spacing w:line="240" w:lineRule="exact"/>
              <w:ind w:firstLine="0" w:firstLineChars="0"/>
              <w:jc w:val="center"/>
              <w:rPr>
                <w:rFonts w:ascii="宋体" w:hAnsi="宋体"/>
                <w:kern w:val="44"/>
                <w:sz w:val="18"/>
                <w:szCs w:val="18"/>
              </w:rPr>
            </w:pPr>
            <w:r>
              <w:rPr>
                <w:rFonts w:hint="eastAsia" w:ascii="宋体" w:hAnsi="宋体"/>
                <w:kern w:val="44"/>
                <w:sz w:val="18"/>
                <w:szCs w:val="18"/>
              </w:rPr>
              <w:t>3.8</w:t>
            </w:r>
          </w:p>
        </w:tc>
        <w:tc>
          <w:tcPr>
            <w:tcW w:w="1134" w:type="dxa"/>
            <w:vAlign w:val="center"/>
          </w:tcPr>
          <w:p w14:paraId="7929CEF4">
            <w:pPr>
              <w:spacing w:line="240" w:lineRule="exact"/>
              <w:ind w:firstLine="0" w:firstLineChars="0"/>
              <w:jc w:val="center"/>
              <w:rPr>
                <w:rFonts w:ascii="宋体" w:hAnsi="宋体"/>
                <w:kern w:val="44"/>
                <w:sz w:val="18"/>
                <w:szCs w:val="18"/>
              </w:rPr>
            </w:pPr>
            <w:r>
              <w:rPr>
                <w:rFonts w:hint="eastAsia" w:ascii="宋体" w:hAnsi="宋体"/>
                <w:kern w:val="44"/>
                <w:sz w:val="18"/>
                <w:szCs w:val="18"/>
              </w:rPr>
              <w:t>40</w:t>
            </w:r>
          </w:p>
        </w:tc>
        <w:tc>
          <w:tcPr>
            <w:tcW w:w="992" w:type="dxa"/>
            <w:vAlign w:val="center"/>
          </w:tcPr>
          <w:p w14:paraId="330FD1F0">
            <w:pPr>
              <w:spacing w:line="240" w:lineRule="exact"/>
              <w:ind w:firstLine="0" w:firstLineChars="0"/>
              <w:jc w:val="center"/>
              <w:rPr>
                <w:rFonts w:ascii="宋体" w:hAnsi="宋体"/>
                <w:kern w:val="44"/>
                <w:sz w:val="18"/>
                <w:szCs w:val="18"/>
              </w:rPr>
            </w:pPr>
            <w:r>
              <w:rPr>
                <w:rFonts w:hint="eastAsia" w:ascii="宋体" w:hAnsi="宋体"/>
                <w:kern w:val="44"/>
                <w:sz w:val="18"/>
                <w:szCs w:val="18"/>
              </w:rPr>
              <w:t>25</w:t>
            </w:r>
          </w:p>
        </w:tc>
        <w:tc>
          <w:tcPr>
            <w:tcW w:w="3997" w:type="dxa"/>
            <w:tcBorders>
              <w:right w:val="single" w:color="auto" w:sz="12" w:space="0"/>
            </w:tcBorders>
            <w:vAlign w:val="center"/>
          </w:tcPr>
          <w:p w14:paraId="767C1B58">
            <w:pPr>
              <w:spacing w:line="240" w:lineRule="exact"/>
              <w:ind w:firstLine="0" w:firstLineChars="0"/>
              <w:jc w:val="center"/>
              <w:rPr>
                <w:rFonts w:ascii="宋体" w:hAnsi="宋体"/>
                <w:kern w:val="44"/>
                <w:sz w:val="18"/>
                <w:szCs w:val="18"/>
              </w:rPr>
            </w:pPr>
            <w:r>
              <w:rPr>
                <w:rFonts w:hint="eastAsia" w:ascii="宋体" w:hAnsi="宋体"/>
                <w:kern w:val="44"/>
                <w:sz w:val="18"/>
                <w:szCs w:val="18"/>
              </w:rPr>
              <w:t>马草河入口～大红门闸左岸27.5米，右岸42.5米</w:t>
            </w:r>
          </w:p>
        </w:tc>
      </w:tr>
      <w:tr w14:paraId="17F3B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4B9383ED">
            <w:pPr>
              <w:spacing w:line="240" w:lineRule="exact"/>
              <w:ind w:firstLine="0" w:firstLineChars="0"/>
              <w:jc w:val="center"/>
              <w:rPr>
                <w:rFonts w:ascii="宋体" w:hAnsi="宋体"/>
                <w:kern w:val="44"/>
                <w:sz w:val="18"/>
                <w:szCs w:val="18"/>
              </w:rPr>
            </w:pPr>
            <w:r>
              <w:rPr>
                <w:rFonts w:hint="eastAsia" w:ascii="宋体" w:hAnsi="宋体"/>
                <w:kern w:val="44"/>
                <w:sz w:val="18"/>
                <w:szCs w:val="18"/>
              </w:rPr>
              <w:t>三、排水河道</w:t>
            </w:r>
          </w:p>
        </w:tc>
        <w:tc>
          <w:tcPr>
            <w:tcW w:w="1486" w:type="dxa"/>
            <w:vAlign w:val="center"/>
          </w:tcPr>
          <w:p w14:paraId="1FBD9E10">
            <w:pPr>
              <w:spacing w:line="240" w:lineRule="exact"/>
              <w:ind w:firstLine="0" w:firstLineChars="0"/>
              <w:jc w:val="center"/>
              <w:rPr>
                <w:rFonts w:ascii="宋体" w:hAnsi="宋体"/>
                <w:kern w:val="44"/>
                <w:sz w:val="18"/>
                <w:szCs w:val="18"/>
              </w:rPr>
            </w:pPr>
            <w:r>
              <w:rPr>
                <w:rFonts w:hint="eastAsia" w:ascii="宋体" w:hAnsi="宋体"/>
                <w:kern w:val="44"/>
                <w:sz w:val="18"/>
                <w:szCs w:val="18"/>
              </w:rPr>
              <w:t>清河</w:t>
            </w:r>
          </w:p>
        </w:tc>
        <w:tc>
          <w:tcPr>
            <w:tcW w:w="3043" w:type="dxa"/>
            <w:vAlign w:val="center"/>
          </w:tcPr>
          <w:p w14:paraId="68E467DB">
            <w:pPr>
              <w:spacing w:line="240" w:lineRule="exact"/>
              <w:ind w:firstLine="0" w:firstLineChars="0"/>
              <w:jc w:val="center"/>
              <w:rPr>
                <w:rFonts w:ascii="宋体" w:hAnsi="宋体"/>
                <w:kern w:val="44"/>
                <w:sz w:val="18"/>
                <w:szCs w:val="18"/>
              </w:rPr>
            </w:pPr>
            <w:r>
              <w:rPr>
                <w:rFonts w:hint="eastAsia" w:ascii="宋体" w:hAnsi="宋体"/>
                <w:kern w:val="44"/>
                <w:sz w:val="18"/>
                <w:szCs w:val="18"/>
              </w:rPr>
              <w:t>清河镇～入温榆河</w:t>
            </w:r>
          </w:p>
        </w:tc>
        <w:tc>
          <w:tcPr>
            <w:tcW w:w="1283" w:type="dxa"/>
            <w:vAlign w:val="center"/>
          </w:tcPr>
          <w:p w14:paraId="01F6F41D">
            <w:pPr>
              <w:spacing w:line="240" w:lineRule="exact"/>
              <w:ind w:firstLine="0" w:firstLineChars="0"/>
              <w:jc w:val="center"/>
              <w:rPr>
                <w:rFonts w:ascii="宋体" w:hAnsi="宋体"/>
                <w:kern w:val="44"/>
                <w:sz w:val="18"/>
                <w:szCs w:val="18"/>
              </w:rPr>
            </w:pPr>
            <w:r>
              <w:rPr>
                <w:rFonts w:hint="eastAsia" w:ascii="宋体" w:hAnsi="宋体"/>
                <w:kern w:val="44"/>
                <w:sz w:val="18"/>
                <w:szCs w:val="18"/>
              </w:rPr>
              <w:t>16.2</w:t>
            </w:r>
          </w:p>
        </w:tc>
        <w:tc>
          <w:tcPr>
            <w:tcW w:w="1134" w:type="dxa"/>
            <w:vAlign w:val="center"/>
          </w:tcPr>
          <w:p w14:paraId="60C0A5A9">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992" w:type="dxa"/>
            <w:vAlign w:val="center"/>
          </w:tcPr>
          <w:p w14:paraId="07508A73">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3997" w:type="dxa"/>
            <w:tcBorders>
              <w:right w:val="single" w:color="auto" w:sz="12" w:space="0"/>
            </w:tcBorders>
            <w:vAlign w:val="center"/>
          </w:tcPr>
          <w:p w14:paraId="4DFF4EAD">
            <w:pPr>
              <w:spacing w:line="240" w:lineRule="exact"/>
              <w:ind w:firstLine="0" w:firstLineChars="0"/>
              <w:jc w:val="center"/>
              <w:rPr>
                <w:rFonts w:ascii="宋体" w:hAnsi="宋体"/>
                <w:kern w:val="44"/>
                <w:sz w:val="18"/>
                <w:szCs w:val="18"/>
              </w:rPr>
            </w:pPr>
          </w:p>
        </w:tc>
      </w:tr>
      <w:tr w14:paraId="60A29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1DB8A420">
            <w:pPr>
              <w:spacing w:line="240" w:lineRule="exact"/>
              <w:ind w:firstLine="0" w:firstLineChars="0"/>
              <w:jc w:val="center"/>
              <w:rPr>
                <w:rFonts w:ascii="宋体" w:hAnsi="宋体"/>
                <w:kern w:val="44"/>
                <w:sz w:val="18"/>
                <w:szCs w:val="18"/>
              </w:rPr>
            </w:pPr>
          </w:p>
        </w:tc>
        <w:tc>
          <w:tcPr>
            <w:tcW w:w="1486" w:type="dxa"/>
            <w:vAlign w:val="center"/>
          </w:tcPr>
          <w:p w14:paraId="76361747">
            <w:pPr>
              <w:spacing w:line="240" w:lineRule="exact"/>
              <w:ind w:firstLine="0" w:firstLineChars="0"/>
              <w:jc w:val="center"/>
              <w:rPr>
                <w:rFonts w:ascii="宋体" w:hAnsi="宋体"/>
                <w:kern w:val="44"/>
                <w:sz w:val="18"/>
                <w:szCs w:val="18"/>
              </w:rPr>
            </w:pPr>
            <w:r>
              <w:rPr>
                <w:rFonts w:hint="eastAsia" w:ascii="宋体" w:hAnsi="宋体"/>
                <w:kern w:val="44"/>
                <w:sz w:val="18"/>
                <w:szCs w:val="18"/>
              </w:rPr>
              <w:t>坝河</w:t>
            </w:r>
          </w:p>
        </w:tc>
        <w:tc>
          <w:tcPr>
            <w:tcW w:w="3043" w:type="dxa"/>
            <w:vAlign w:val="center"/>
          </w:tcPr>
          <w:p w14:paraId="7FA37CBD">
            <w:pPr>
              <w:spacing w:line="240" w:lineRule="exact"/>
              <w:ind w:firstLine="0" w:firstLineChars="0"/>
              <w:jc w:val="center"/>
              <w:rPr>
                <w:rFonts w:ascii="宋体" w:hAnsi="宋体"/>
                <w:kern w:val="44"/>
                <w:sz w:val="18"/>
                <w:szCs w:val="18"/>
              </w:rPr>
            </w:pPr>
            <w:r>
              <w:rPr>
                <w:rFonts w:hint="eastAsia" w:ascii="宋体" w:hAnsi="宋体"/>
                <w:kern w:val="44"/>
                <w:sz w:val="18"/>
                <w:szCs w:val="18"/>
              </w:rPr>
              <w:t>尚家楼～入温榆河</w:t>
            </w:r>
          </w:p>
        </w:tc>
        <w:tc>
          <w:tcPr>
            <w:tcW w:w="1283" w:type="dxa"/>
            <w:vAlign w:val="center"/>
          </w:tcPr>
          <w:p w14:paraId="6316C366">
            <w:pPr>
              <w:spacing w:line="240" w:lineRule="exact"/>
              <w:ind w:firstLine="0" w:firstLineChars="0"/>
              <w:jc w:val="center"/>
              <w:rPr>
                <w:rFonts w:ascii="宋体" w:hAnsi="宋体"/>
                <w:kern w:val="44"/>
                <w:sz w:val="18"/>
                <w:szCs w:val="18"/>
              </w:rPr>
            </w:pPr>
            <w:r>
              <w:rPr>
                <w:rFonts w:hint="eastAsia" w:ascii="宋体" w:hAnsi="宋体"/>
                <w:kern w:val="44"/>
                <w:sz w:val="18"/>
                <w:szCs w:val="18"/>
              </w:rPr>
              <w:t>19.8</w:t>
            </w:r>
          </w:p>
        </w:tc>
        <w:tc>
          <w:tcPr>
            <w:tcW w:w="1134" w:type="dxa"/>
            <w:vAlign w:val="center"/>
          </w:tcPr>
          <w:p w14:paraId="5D21FDA4">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992" w:type="dxa"/>
            <w:vAlign w:val="center"/>
          </w:tcPr>
          <w:p w14:paraId="6AB7AFA7">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3997" w:type="dxa"/>
            <w:tcBorders>
              <w:right w:val="single" w:color="auto" w:sz="12" w:space="0"/>
            </w:tcBorders>
            <w:vAlign w:val="center"/>
          </w:tcPr>
          <w:p w14:paraId="73EC6DC5">
            <w:pPr>
              <w:spacing w:line="240" w:lineRule="exact"/>
              <w:ind w:firstLine="0" w:firstLineChars="0"/>
              <w:jc w:val="center"/>
              <w:rPr>
                <w:rFonts w:ascii="宋体" w:hAnsi="宋体"/>
                <w:kern w:val="44"/>
                <w:sz w:val="18"/>
                <w:szCs w:val="18"/>
              </w:rPr>
            </w:pPr>
          </w:p>
        </w:tc>
      </w:tr>
      <w:tr w14:paraId="0E6E2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35C44A55">
            <w:pPr>
              <w:spacing w:line="240" w:lineRule="exact"/>
              <w:ind w:firstLine="0" w:firstLineChars="0"/>
              <w:jc w:val="center"/>
              <w:rPr>
                <w:rFonts w:ascii="宋体" w:hAnsi="宋体"/>
                <w:kern w:val="44"/>
                <w:sz w:val="18"/>
                <w:szCs w:val="18"/>
              </w:rPr>
            </w:pPr>
          </w:p>
        </w:tc>
        <w:tc>
          <w:tcPr>
            <w:tcW w:w="1486" w:type="dxa"/>
            <w:vAlign w:val="center"/>
          </w:tcPr>
          <w:p w14:paraId="70ED9603">
            <w:pPr>
              <w:spacing w:line="240" w:lineRule="exact"/>
              <w:ind w:firstLine="0" w:firstLineChars="0"/>
              <w:jc w:val="center"/>
              <w:rPr>
                <w:rFonts w:ascii="宋体" w:hAnsi="宋体"/>
                <w:kern w:val="44"/>
                <w:sz w:val="18"/>
                <w:szCs w:val="18"/>
              </w:rPr>
            </w:pPr>
            <w:r>
              <w:rPr>
                <w:rFonts w:hint="eastAsia" w:ascii="宋体" w:hAnsi="宋体"/>
                <w:kern w:val="44"/>
                <w:sz w:val="18"/>
                <w:szCs w:val="18"/>
              </w:rPr>
              <w:t>凉水河</w:t>
            </w:r>
          </w:p>
        </w:tc>
        <w:tc>
          <w:tcPr>
            <w:tcW w:w="3043" w:type="dxa"/>
            <w:vAlign w:val="center"/>
          </w:tcPr>
          <w:p w14:paraId="7AB12CD9">
            <w:pPr>
              <w:spacing w:line="240" w:lineRule="exact"/>
              <w:ind w:firstLine="0" w:firstLineChars="0"/>
              <w:jc w:val="center"/>
              <w:rPr>
                <w:rFonts w:ascii="宋体" w:hAnsi="宋体"/>
                <w:kern w:val="44"/>
                <w:sz w:val="18"/>
                <w:szCs w:val="18"/>
              </w:rPr>
            </w:pPr>
            <w:r>
              <w:rPr>
                <w:rFonts w:hint="eastAsia" w:ascii="宋体" w:hAnsi="宋体"/>
                <w:kern w:val="44"/>
                <w:sz w:val="18"/>
                <w:szCs w:val="18"/>
              </w:rPr>
              <w:t>大红门闸～马驹桥</w:t>
            </w:r>
          </w:p>
        </w:tc>
        <w:tc>
          <w:tcPr>
            <w:tcW w:w="1283" w:type="dxa"/>
            <w:vAlign w:val="center"/>
          </w:tcPr>
          <w:p w14:paraId="023874C5">
            <w:pPr>
              <w:spacing w:line="240" w:lineRule="exact"/>
              <w:ind w:firstLine="0" w:firstLineChars="0"/>
              <w:jc w:val="center"/>
              <w:rPr>
                <w:rFonts w:ascii="宋体" w:hAnsi="宋体"/>
                <w:kern w:val="44"/>
                <w:sz w:val="18"/>
                <w:szCs w:val="18"/>
              </w:rPr>
            </w:pPr>
            <w:r>
              <w:rPr>
                <w:rFonts w:hint="eastAsia" w:ascii="宋体" w:hAnsi="宋体"/>
                <w:kern w:val="44"/>
                <w:sz w:val="18"/>
                <w:szCs w:val="18"/>
              </w:rPr>
              <w:t>16.4</w:t>
            </w:r>
          </w:p>
        </w:tc>
        <w:tc>
          <w:tcPr>
            <w:tcW w:w="1134" w:type="dxa"/>
            <w:vAlign w:val="center"/>
          </w:tcPr>
          <w:p w14:paraId="390017C1">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992" w:type="dxa"/>
            <w:vAlign w:val="center"/>
          </w:tcPr>
          <w:p w14:paraId="3882AF55">
            <w:pPr>
              <w:spacing w:line="240" w:lineRule="exact"/>
              <w:ind w:firstLine="0" w:firstLineChars="0"/>
              <w:jc w:val="center"/>
              <w:rPr>
                <w:rFonts w:ascii="宋体" w:hAnsi="宋体"/>
                <w:kern w:val="44"/>
                <w:sz w:val="18"/>
                <w:szCs w:val="18"/>
              </w:rPr>
            </w:pPr>
            <w:r>
              <w:rPr>
                <w:rFonts w:hint="eastAsia" w:ascii="宋体" w:hAnsi="宋体"/>
                <w:kern w:val="44"/>
                <w:sz w:val="18"/>
                <w:szCs w:val="18"/>
              </w:rPr>
              <w:t>70</w:t>
            </w:r>
          </w:p>
        </w:tc>
        <w:tc>
          <w:tcPr>
            <w:tcW w:w="3997" w:type="dxa"/>
            <w:tcBorders>
              <w:right w:val="single" w:color="auto" w:sz="12" w:space="0"/>
            </w:tcBorders>
            <w:vAlign w:val="center"/>
          </w:tcPr>
          <w:p w14:paraId="6F69F731">
            <w:pPr>
              <w:spacing w:line="240" w:lineRule="exact"/>
              <w:ind w:firstLine="0" w:firstLineChars="0"/>
              <w:jc w:val="center"/>
              <w:rPr>
                <w:rFonts w:ascii="宋体" w:hAnsi="宋体"/>
                <w:kern w:val="44"/>
                <w:sz w:val="18"/>
                <w:szCs w:val="18"/>
              </w:rPr>
            </w:pPr>
          </w:p>
        </w:tc>
      </w:tr>
      <w:tr w14:paraId="31588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719A7DF4">
            <w:pPr>
              <w:spacing w:line="240" w:lineRule="exact"/>
              <w:ind w:firstLine="0" w:firstLineChars="0"/>
              <w:jc w:val="center"/>
              <w:rPr>
                <w:rFonts w:ascii="宋体" w:hAnsi="宋体"/>
                <w:kern w:val="44"/>
                <w:sz w:val="18"/>
                <w:szCs w:val="18"/>
              </w:rPr>
            </w:pPr>
          </w:p>
        </w:tc>
        <w:tc>
          <w:tcPr>
            <w:tcW w:w="1486" w:type="dxa"/>
            <w:vAlign w:val="center"/>
          </w:tcPr>
          <w:p w14:paraId="00E13162">
            <w:pPr>
              <w:spacing w:line="240" w:lineRule="exact"/>
              <w:ind w:firstLine="0" w:firstLineChars="0"/>
              <w:jc w:val="center"/>
              <w:rPr>
                <w:rFonts w:ascii="宋体" w:hAnsi="宋体"/>
                <w:kern w:val="44"/>
                <w:sz w:val="18"/>
                <w:szCs w:val="18"/>
              </w:rPr>
            </w:pPr>
            <w:r>
              <w:rPr>
                <w:rFonts w:hint="eastAsia" w:ascii="宋体" w:hAnsi="宋体"/>
                <w:kern w:val="44"/>
                <w:sz w:val="18"/>
                <w:szCs w:val="18"/>
              </w:rPr>
              <w:t>其他支沟</w:t>
            </w:r>
          </w:p>
        </w:tc>
        <w:tc>
          <w:tcPr>
            <w:tcW w:w="3043" w:type="dxa"/>
            <w:vAlign w:val="center"/>
          </w:tcPr>
          <w:p w14:paraId="693F11BA">
            <w:pPr>
              <w:spacing w:line="240" w:lineRule="exact"/>
              <w:ind w:firstLine="0" w:firstLineChars="0"/>
              <w:jc w:val="center"/>
              <w:rPr>
                <w:rFonts w:ascii="宋体" w:hAnsi="宋体"/>
                <w:kern w:val="44"/>
                <w:sz w:val="18"/>
                <w:szCs w:val="18"/>
              </w:rPr>
            </w:pPr>
          </w:p>
        </w:tc>
        <w:tc>
          <w:tcPr>
            <w:tcW w:w="1283" w:type="dxa"/>
            <w:vAlign w:val="center"/>
          </w:tcPr>
          <w:p w14:paraId="72899BF0">
            <w:pPr>
              <w:spacing w:line="240" w:lineRule="exact"/>
              <w:ind w:firstLine="0" w:firstLineChars="0"/>
              <w:jc w:val="center"/>
              <w:rPr>
                <w:rFonts w:ascii="宋体" w:hAnsi="宋体"/>
                <w:kern w:val="44"/>
                <w:sz w:val="18"/>
                <w:szCs w:val="18"/>
              </w:rPr>
            </w:pPr>
          </w:p>
        </w:tc>
        <w:tc>
          <w:tcPr>
            <w:tcW w:w="1134" w:type="dxa"/>
            <w:vAlign w:val="center"/>
          </w:tcPr>
          <w:p w14:paraId="148D9793">
            <w:pPr>
              <w:spacing w:line="240" w:lineRule="exact"/>
              <w:ind w:firstLine="0" w:firstLineChars="0"/>
              <w:jc w:val="center"/>
              <w:rPr>
                <w:rFonts w:ascii="宋体" w:hAnsi="宋体"/>
                <w:kern w:val="44"/>
                <w:sz w:val="18"/>
                <w:szCs w:val="18"/>
              </w:rPr>
            </w:pPr>
          </w:p>
        </w:tc>
        <w:tc>
          <w:tcPr>
            <w:tcW w:w="992" w:type="dxa"/>
            <w:vAlign w:val="center"/>
          </w:tcPr>
          <w:p w14:paraId="61E356F1">
            <w:pPr>
              <w:spacing w:line="240" w:lineRule="exact"/>
              <w:ind w:firstLine="0" w:firstLineChars="0"/>
              <w:jc w:val="center"/>
              <w:rPr>
                <w:rFonts w:ascii="宋体" w:hAnsi="宋体"/>
                <w:kern w:val="44"/>
                <w:sz w:val="18"/>
                <w:szCs w:val="18"/>
              </w:rPr>
            </w:pPr>
          </w:p>
        </w:tc>
        <w:tc>
          <w:tcPr>
            <w:tcW w:w="3997" w:type="dxa"/>
            <w:tcBorders>
              <w:right w:val="single" w:color="auto" w:sz="12" w:space="0"/>
            </w:tcBorders>
            <w:vAlign w:val="center"/>
          </w:tcPr>
          <w:p w14:paraId="2F7D85AE">
            <w:pPr>
              <w:spacing w:line="240" w:lineRule="exact"/>
              <w:ind w:firstLine="0" w:firstLineChars="0"/>
              <w:jc w:val="center"/>
              <w:rPr>
                <w:rFonts w:ascii="宋体" w:hAnsi="宋体"/>
                <w:kern w:val="44"/>
                <w:sz w:val="18"/>
                <w:szCs w:val="18"/>
              </w:rPr>
            </w:pPr>
          </w:p>
        </w:tc>
      </w:tr>
      <w:tr w14:paraId="4DCA0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24" w:hRule="atLeast"/>
        </w:trPr>
        <w:tc>
          <w:tcPr>
            <w:tcW w:w="1809" w:type="dxa"/>
            <w:tcBorders>
              <w:left w:val="single" w:color="auto" w:sz="12" w:space="0"/>
              <w:bottom w:val="single" w:color="auto" w:sz="12" w:space="0"/>
            </w:tcBorders>
            <w:vAlign w:val="center"/>
          </w:tcPr>
          <w:p w14:paraId="2C9E6129">
            <w:pPr>
              <w:spacing w:line="240" w:lineRule="exact"/>
              <w:ind w:firstLine="0" w:firstLineChars="0"/>
              <w:jc w:val="center"/>
              <w:rPr>
                <w:rFonts w:ascii="宋体" w:hAnsi="宋体"/>
                <w:kern w:val="44"/>
                <w:sz w:val="18"/>
                <w:szCs w:val="18"/>
              </w:rPr>
            </w:pPr>
          </w:p>
        </w:tc>
        <w:tc>
          <w:tcPr>
            <w:tcW w:w="1486" w:type="dxa"/>
            <w:tcBorders>
              <w:bottom w:val="single" w:color="auto" w:sz="12" w:space="0"/>
            </w:tcBorders>
            <w:vAlign w:val="center"/>
          </w:tcPr>
          <w:p w14:paraId="7B309226">
            <w:pPr>
              <w:spacing w:line="240" w:lineRule="exact"/>
              <w:ind w:firstLine="0" w:firstLineChars="0"/>
              <w:jc w:val="center"/>
              <w:rPr>
                <w:rFonts w:ascii="宋体" w:hAnsi="宋体"/>
                <w:kern w:val="44"/>
                <w:sz w:val="18"/>
                <w:szCs w:val="18"/>
              </w:rPr>
            </w:pPr>
            <w:r>
              <w:rPr>
                <w:rFonts w:hint="eastAsia" w:ascii="宋体" w:hAnsi="宋体"/>
                <w:kern w:val="44"/>
                <w:sz w:val="18"/>
                <w:szCs w:val="18"/>
              </w:rPr>
              <w:t>北旱河</w:t>
            </w:r>
          </w:p>
        </w:tc>
        <w:tc>
          <w:tcPr>
            <w:tcW w:w="3043" w:type="dxa"/>
            <w:tcBorders>
              <w:bottom w:val="single" w:color="auto" w:sz="12" w:space="0"/>
            </w:tcBorders>
            <w:vAlign w:val="center"/>
          </w:tcPr>
          <w:p w14:paraId="01B17148">
            <w:pPr>
              <w:spacing w:line="240" w:lineRule="exact"/>
              <w:ind w:firstLine="0" w:firstLineChars="0"/>
              <w:jc w:val="center"/>
              <w:rPr>
                <w:rFonts w:ascii="宋体" w:hAnsi="宋体"/>
                <w:kern w:val="44"/>
                <w:sz w:val="18"/>
                <w:szCs w:val="18"/>
              </w:rPr>
            </w:pPr>
            <w:r>
              <w:rPr>
                <w:rFonts w:hint="eastAsia" w:ascii="宋体" w:hAnsi="宋体"/>
                <w:kern w:val="44"/>
                <w:sz w:val="18"/>
                <w:szCs w:val="18"/>
              </w:rPr>
              <w:t>卧佛寺路口～安河闸</w:t>
            </w:r>
          </w:p>
        </w:tc>
        <w:tc>
          <w:tcPr>
            <w:tcW w:w="1283" w:type="dxa"/>
            <w:tcBorders>
              <w:bottom w:val="single" w:color="auto" w:sz="12" w:space="0"/>
            </w:tcBorders>
            <w:vAlign w:val="center"/>
          </w:tcPr>
          <w:p w14:paraId="6CF3FD11">
            <w:pPr>
              <w:spacing w:line="240" w:lineRule="exact"/>
              <w:ind w:firstLine="0" w:firstLineChars="0"/>
              <w:jc w:val="center"/>
              <w:rPr>
                <w:rFonts w:ascii="宋体" w:hAnsi="宋体"/>
                <w:kern w:val="44"/>
                <w:sz w:val="18"/>
                <w:szCs w:val="18"/>
              </w:rPr>
            </w:pPr>
            <w:r>
              <w:rPr>
                <w:rFonts w:hint="eastAsia" w:ascii="宋体" w:hAnsi="宋体"/>
                <w:kern w:val="44"/>
                <w:sz w:val="18"/>
                <w:szCs w:val="18"/>
              </w:rPr>
              <w:t>5.8</w:t>
            </w:r>
          </w:p>
        </w:tc>
        <w:tc>
          <w:tcPr>
            <w:tcW w:w="1134" w:type="dxa"/>
            <w:tcBorders>
              <w:bottom w:val="single" w:color="auto" w:sz="12" w:space="0"/>
            </w:tcBorders>
            <w:vAlign w:val="center"/>
          </w:tcPr>
          <w:p w14:paraId="1E185FEB">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992" w:type="dxa"/>
            <w:tcBorders>
              <w:bottom w:val="single" w:color="auto" w:sz="12" w:space="0"/>
            </w:tcBorders>
            <w:vAlign w:val="center"/>
          </w:tcPr>
          <w:p w14:paraId="2587B90B">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3997" w:type="dxa"/>
            <w:tcBorders>
              <w:bottom w:val="single" w:color="auto" w:sz="12" w:space="0"/>
              <w:right w:val="single" w:color="auto" w:sz="12" w:space="0"/>
            </w:tcBorders>
            <w:vAlign w:val="center"/>
          </w:tcPr>
          <w:p w14:paraId="71F4991E">
            <w:pPr>
              <w:spacing w:line="240" w:lineRule="exact"/>
              <w:ind w:firstLine="0" w:firstLineChars="0"/>
              <w:jc w:val="center"/>
              <w:rPr>
                <w:rFonts w:ascii="宋体" w:hAnsi="宋体"/>
                <w:kern w:val="44"/>
                <w:sz w:val="18"/>
                <w:szCs w:val="18"/>
              </w:rPr>
            </w:pPr>
          </w:p>
        </w:tc>
      </w:tr>
    </w:tbl>
    <w:p w14:paraId="55D5A803">
      <w:pPr>
        <w:spacing w:line="240" w:lineRule="exact"/>
        <w:jc w:val="right"/>
      </w:pPr>
      <w:r>
        <w:rPr>
          <w:rFonts w:hint="eastAsia"/>
        </w:rPr>
        <w:t>（续）</w:t>
      </w:r>
    </w:p>
    <w:tbl>
      <w:tblPr>
        <w:tblStyle w:val="23"/>
        <w:tblpPr w:leftFromText="180" w:rightFromText="180" w:vertAnchor="text" w:horzAnchor="margin" w:tblpXSpec="center" w:tblpY="80"/>
        <w:tblW w:w="137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1418"/>
        <w:gridCol w:w="3111"/>
        <w:gridCol w:w="1283"/>
        <w:gridCol w:w="1134"/>
        <w:gridCol w:w="992"/>
        <w:gridCol w:w="3997"/>
      </w:tblGrid>
      <w:tr w14:paraId="277F8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vMerge w:val="restart"/>
            <w:tcBorders>
              <w:top w:val="single" w:color="auto" w:sz="12" w:space="0"/>
              <w:left w:val="single" w:color="auto" w:sz="12" w:space="0"/>
            </w:tcBorders>
            <w:vAlign w:val="center"/>
          </w:tcPr>
          <w:p w14:paraId="45A8E0A4">
            <w:pPr>
              <w:spacing w:line="240" w:lineRule="exact"/>
              <w:ind w:firstLine="0" w:firstLineChars="0"/>
              <w:jc w:val="center"/>
              <w:rPr>
                <w:rFonts w:ascii="宋体" w:hAnsi="宋体"/>
                <w:kern w:val="44"/>
                <w:sz w:val="18"/>
                <w:szCs w:val="18"/>
              </w:rPr>
            </w:pPr>
            <w:r>
              <w:rPr>
                <w:rFonts w:hint="eastAsia" w:ascii="宋体" w:hAnsi="宋体"/>
                <w:kern w:val="44"/>
                <w:sz w:val="18"/>
                <w:szCs w:val="18"/>
              </w:rPr>
              <w:t>河道类别</w:t>
            </w:r>
          </w:p>
        </w:tc>
        <w:tc>
          <w:tcPr>
            <w:tcW w:w="1418" w:type="dxa"/>
            <w:vMerge w:val="restart"/>
            <w:tcBorders>
              <w:top w:val="single" w:color="auto" w:sz="12" w:space="0"/>
            </w:tcBorders>
            <w:vAlign w:val="center"/>
          </w:tcPr>
          <w:p w14:paraId="71C8CD66">
            <w:pPr>
              <w:spacing w:line="240" w:lineRule="exact"/>
              <w:ind w:firstLine="0" w:firstLineChars="0"/>
              <w:jc w:val="center"/>
              <w:rPr>
                <w:rFonts w:ascii="宋体" w:hAnsi="宋体"/>
                <w:kern w:val="44"/>
                <w:sz w:val="18"/>
                <w:szCs w:val="18"/>
              </w:rPr>
            </w:pPr>
            <w:r>
              <w:rPr>
                <w:rFonts w:hint="eastAsia" w:ascii="宋体" w:hAnsi="宋体"/>
                <w:kern w:val="44"/>
                <w:sz w:val="18"/>
                <w:szCs w:val="18"/>
              </w:rPr>
              <w:t>河道名称</w:t>
            </w:r>
          </w:p>
        </w:tc>
        <w:tc>
          <w:tcPr>
            <w:tcW w:w="3111" w:type="dxa"/>
            <w:vMerge w:val="restart"/>
            <w:tcBorders>
              <w:top w:val="single" w:color="auto" w:sz="12" w:space="0"/>
            </w:tcBorders>
            <w:vAlign w:val="center"/>
          </w:tcPr>
          <w:p w14:paraId="3943A1E6">
            <w:pPr>
              <w:tabs>
                <w:tab w:val="left" w:pos="585"/>
              </w:tabs>
              <w:spacing w:line="240" w:lineRule="exact"/>
              <w:ind w:firstLine="0" w:firstLineChars="0"/>
              <w:jc w:val="center"/>
              <w:rPr>
                <w:rFonts w:ascii="宋体" w:hAnsi="宋体"/>
                <w:kern w:val="44"/>
                <w:sz w:val="18"/>
                <w:szCs w:val="18"/>
              </w:rPr>
            </w:pPr>
            <w:r>
              <w:rPr>
                <w:rFonts w:hint="eastAsia" w:ascii="宋体" w:hAnsi="宋体"/>
                <w:kern w:val="44"/>
                <w:sz w:val="18"/>
                <w:szCs w:val="18"/>
              </w:rPr>
              <w:t>起始地段</w:t>
            </w:r>
          </w:p>
        </w:tc>
        <w:tc>
          <w:tcPr>
            <w:tcW w:w="1283" w:type="dxa"/>
            <w:vMerge w:val="restart"/>
            <w:tcBorders>
              <w:top w:val="single" w:color="auto" w:sz="12" w:space="0"/>
            </w:tcBorders>
            <w:vAlign w:val="center"/>
          </w:tcPr>
          <w:p w14:paraId="7C9B9112">
            <w:pPr>
              <w:spacing w:line="240" w:lineRule="exact"/>
              <w:ind w:firstLine="0" w:firstLineChars="0"/>
              <w:jc w:val="center"/>
              <w:rPr>
                <w:rFonts w:ascii="宋体" w:hAnsi="宋体"/>
                <w:kern w:val="44"/>
                <w:sz w:val="18"/>
                <w:szCs w:val="18"/>
              </w:rPr>
            </w:pPr>
            <w:r>
              <w:rPr>
                <w:rFonts w:hint="eastAsia" w:ascii="宋体" w:hAnsi="宋体"/>
                <w:kern w:val="44"/>
                <w:sz w:val="18"/>
                <w:szCs w:val="18"/>
              </w:rPr>
              <w:t>隔离带长度（公里）</w:t>
            </w:r>
          </w:p>
        </w:tc>
        <w:tc>
          <w:tcPr>
            <w:tcW w:w="2126" w:type="dxa"/>
            <w:gridSpan w:val="2"/>
            <w:tcBorders>
              <w:top w:val="single" w:color="auto" w:sz="12" w:space="0"/>
            </w:tcBorders>
            <w:vAlign w:val="center"/>
          </w:tcPr>
          <w:p w14:paraId="3B0610FB">
            <w:pPr>
              <w:spacing w:line="240" w:lineRule="exact"/>
              <w:ind w:firstLine="0" w:firstLineChars="0"/>
              <w:jc w:val="center"/>
              <w:rPr>
                <w:rFonts w:ascii="宋体" w:hAnsi="宋体"/>
                <w:kern w:val="44"/>
                <w:sz w:val="18"/>
                <w:szCs w:val="18"/>
              </w:rPr>
            </w:pPr>
            <w:r>
              <w:rPr>
                <w:rFonts w:hint="eastAsia" w:ascii="宋体" w:hAnsi="宋体"/>
                <w:kern w:val="44"/>
                <w:sz w:val="18"/>
                <w:szCs w:val="18"/>
              </w:rPr>
              <w:t>隔离带宽度（米）</w:t>
            </w:r>
          </w:p>
        </w:tc>
        <w:tc>
          <w:tcPr>
            <w:tcW w:w="3997" w:type="dxa"/>
            <w:vMerge w:val="restart"/>
            <w:tcBorders>
              <w:top w:val="single" w:color="auto" w:sz="12" w:space="0"/>
              <w:right w:val="single" w:color="auto" w:sz="12" w:space="0"/>
            </w:tcBorders>
            <w:vAlign w:val="center"/>
          </w:tcPr>
          <w:p w14:paraId="56EA75C6">
            <w:pPr>
              <w:spacing w:line="240" w:lineRule="exact"/>
              <w:ind w:firstLine="0" w:firstLineChars="0"/>
              <w:jc w:val="center"/>
              <w:rPr>
                <w:rFonts w:ascii="宋体" w:hAnsi="宋体"/>
                <w:kern w:val="44"/>
                <w:sz w:val="18"/>
                <w:szCs w:val="18"/>
              </w:rPr>
            </w:pPr>
            <w:r>
              <w:rPr>
                <w:rFonts w:hint="eastAsia" w:ascii="宋体" w:hAnsi="宋体"/>
                <w:kern w:val="44"/>
                <w:sz w:val="18"/>
                <w:szCs w:val="18"/>
              </w:rPr>
              <w:t>备注</w:t>
            </w:r>
          </w:p>
        </w:tc>
      </w:tr>
      <w:tr w14:paraId="21B4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vMerge w:val="continue"/>
            <w:tcBorders>
              <w:left w:val="single" w:color="auto" w:sz="12" w:space="0"/>
            </w:tcBorders>
            <w:vAlign w:val="center"/>
          </w:tcPr>
          <w:p w14:paraId="180D4E44">
            <w:pPr>
              <w:spacing w:line="240" w:lineRule="exact"/>
              <w:ind w:firstLine="0" w:firstLineChars="0"/>
              <w:jc w:val="center"/>
              <w:rPr>
                <w:rFonts w:ascii="宋体" w:hAnsi="宋体"/>
                <w:kern w:val="44"/>
                <w:sz w:val="18"/>
                <w:szCs w:val="18"/>
              </w:rPr>
            </w:pPr>
          </w:p>
        </w:tc>
        <w:tc>
          <w:tcPr>
            <w:tcW w:w="1418" w:type="dxa"/>
            <w:vMerge w:val="continue"/>
            <w:vAlign w:val="center"/>
          </w:tcPr>
          <w:p w14:paraId="1A34A78D">
            <w:pPr>
              <w:spacing w:line="240" w:lineRule="exact"/>
              <w:ind w:firstLine="0" w:firstLineChars="0"/>
              <w:jc w:val="center"/>
              <w:rPr>
                <w:rFonts w:ascii="宋体" w:hAnsi="宋体"/>
                <w:kern w:val="44"/>
                <w:sz w:val="18"/>
                <w:szCs w:val="18"/>
              </w:rPr>
            </w:pPr>
          </w:p>
        </w:tc>
        <w:tc>
          <w:tcPr>
            <w:tcW w:w="3111" w:type="dxa"/>
            <w:vMerge w:val="continue"/>
            <w:vAlign w:val="center"/>
          </w:tcPr>
          <w:p w14:paraId="0690E015">
            <w:pPr>
              <w:spacing w:line="240" w:lineRule="exact"/>
              <w:ind w:firstLine="0" w:firstLineChars="0"/>
              <w:jc w:val="center"/>
              <w:rPr>
                <w:rFonts w:ascii="宋体" w:hAnsi="宋体"/>
                <w:kern w:val="44"/>
                <w:sz w:val="18"/>
                <w:szCs w:val="18"/>
              </w:rPr>
            </w:pPr>
          </w:p>
        </w:tc>
        <w:tc>
          <w:tcPr>
            <w:tcW w:w="1283" w:type="dxa"/>
            <w:vMerge w:val="continue"/>
            <w:vAlign w:val="center"/>
          </w:tcPr>
          <w:p w14:paraId="5BB5561D">
            <w:pPr>
              <w:spacing w:line="240" w:lineRule="exact"/>
              <w:ind w:firstLine="0" w:firstLineChars="0"/>
              <w:jc w:val="center"/>
              <w:rPr>
                <w:rFonts w:ascii="宋体" w:hAnsi="宋体"/>
                <w:kern w:val="44"/>
                <w:sz w:val="18"/>
                <w:szCs w:val="18"/>
              </w:rPr>
            </w:pPr>
          </w:p>
        </w:tc>
        <w:tc>
          <w:tcPr>
            <w:tcW w:w="1134" w:type="dxa"/>
            <w:vAlign w:val="center"/>
          </w:tcPr>
          <w:p w14:paraId="26B836BE">
            <w:pPr>
              <w:spacing w:line="240" w:lineRule="exact"/>
              <w:ind w:firstLine="0" w:firstLineChars="0"/>
              <w:jc w:val="center"/>
              <w:rPr>
                <w:rFonts w:ascii="宋体" w:hAnsi="宋体"/>
                <w:kern w:val="44"/>
                <w:sz w:val="18"/>
                <w:szCs w:val="18"/>
              </w:rPr>
            </w:pPr>
            <w:r>
              <w:rPr>
                <w:rFonts w:hint="eastAsia" w:ascii="宋体" w:hAnsi="宋体"/>
                <w:kern w:val="44"/>
                <w:sz w:val="18"/>
                <w:szCs w:val="18"/>
              </w:rPr>
              <w:t>右岸</w:t>
            </w:r>
          </w:p>
        </w:tc>
        <w:tc>
          <w:tcPr>
            <w:tcW w:w="992" w:type="dxa"/>
            <w:vAlign w:val="center"/>
          </w:tcPr>
          <w:p w14:paraId="5CB23FD7">
            <w:pPr>
              <w:spacing w:line="240" w:lineRule="exact"/>
              <w:ind w:firstLine="0" w:firstLineChars="0"/>
              <w:jc w:val="center"/>
              <w:rPr>
                <w:rFonts w:ascii="宋体" w:hAnsi="宋体"/>
                <w:kern w:val="44"/>
                <w:sz w:val="18"/>
                <w:szCs w:val="18"/>
              </w:rPr>
            </w:pPr>
            <w:r>
              <w:rPr>
                <w:rFonts w:hint="eastAsia" w:ascii="宋体" w:hAnsi="宋体"/>
                <w:kern w:val="44"/>
                <w:sz w:val="18"/>
                <w:szCs w:val="18"/>
              </w:rPr>
              <w:t>左岸</w:t>
            </w:r>
          </w:p>
        </w:tc>
        <w:tc>
          <w:tcPr>
            <w:tcW w:w="3997" w:type="dxa"/>
            <w:vMerge w:val="continue"/>
            <w:tcBorders>
              <w:right w:val="single" w:color="auto" w:sz="12" w:space="0"/>
            </w:tcBorders>
            <w:vAlign w:val="center"/>
          </w:tcPr>
          <w:p w14:paraId="184A9267">
            <w:pPr>
              <w:spacing w:line="240" w:lineRule="exact"/>
              <w:ind w:firstLine="0" w:firstLineChars="0"/>
              <w:jc w:val="center"/>
              <w:rPr>
                <w:rFonts w:ascii="宋体" w:hAnsi="宋体"/>
                <w:kern w:val="44"/>
                <w:sz w:val="18"/>
                <w:szCs w:val="18"/>
              </w:rPr>
            </w:pPr>
          </w:p>
        </w:tc>
      </w:tr>
      <w:tr w14:paraId="07A7F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094B8F70">
            <w:pPr>
              <w:spacing w:line="240" w:lineRule="exact"/>
              <w:ind w:firstLine="0" w:firstLineChars="0"/>
              <w:jc w:val="center"/>
              <w:rPr>
                <w:rFonts w:ascii="宋体" w:hAnsi="宋体"/>
                <w:kern w:val="44"/>
                <w:sz w:val="18"/>
                <w:szCs w:val="18"/>
              </w:rPr>
            </w:pPr>
          </w:p>
        </w:tc>
        <w:tc>
          <w:tcPr>
            <w:tcW w:w="1418" w:type="dxa"/>
            <w:vAlign w:val="center"/>
          </w:tcPr>
          <w:p w14:paraId="039D5C30">
            <w:pPr>
              <w:spacing w:line="240" w:lineRule="exact"/>
              <w:ind w:firstLine="0" w:firstLineChars="0"/>
              <w:jc w:val="center"/>
              <w:rPr>
                <w:rFonts w:ascii="宋体" w:hAnsi="宋体"/>
                <w:kern w:val="44"/>
                <w:sz w:val="18"/>
                <w:szCs w:val="18"/>
              </w:rPr>
            </w:pPr>
            <w:r>
              <w:rPr>
                <w:rFonts w:hint="eastAsia" w:ascii="宋体" w:hAnsi="宋体"/>
                <w:kern w:val="44"/>
                <w:sz w:val="18"/>
                <w:szCs w:val="18"/>
              </w:rPr>
              <w:t>小月河</w:t>
            </w:r>
          </w:p>
        </w:tc>
        <w:tc>
          <w:tcPr>
            <w:tcW w:w="3111" w:type="dxa"/>
            <w:vAlign w:val="center"/>
          </w:tcPr>
          <w:p w14:paraId="4100D769">
            <w:pPr>
              <w:spacing w:line="240" w:lineRule="exact"/>
              <w:ind w:firstLine="0" w:firstLineChars="0"/>
              <w:jc w:val="center"/>
              <w:rPr>
                <w:rFonts w:ascii="宋体" w:hAnsi="宋体"/>
                <w:kern w:val="44"/>
                <w:sz w:val="18"/>
                <w:szCs w:val="18"/>
              </w:rPr>
            </w:pPr>
            <w:r>
              <w:rPr>
                <w:rFonts w:hint="eastAsia" w:ascii="宋体" w:hAnsi="宋体"/>
                <w:kern w:val="44"/>
                <w:sz w:val="18"/>
                <w:szCs w:val="18"/>
              </w:rPr>
              <w:t>祁家豁子～入清河</w:t>
            </w:r>
          </w:p>
        </w:tc>
        <w:tc>
          <w:tcPr>
            <w:tcW w:w="1283" w:type="dxa"/>
            <w:vAlign w:val="center"/>
          </w:tcPr>
          <w:p w14:paraId="7165083F">
            <w:pPr>
              <w:spacing w:line="240" w:lineRule="exact"/>
              <w:ind w:firstLine="0" w:firstLineChars="0"/>
              <w:jc w:val="center"/>
              <w:rPr>
                <w:rFonts w:ascii="宋体" w:hAnsi="宋体"/>
                <w:kern w:val="44"/>
                <w:sz w:val="18"/>
                <w:szCs w:val="18"/>
              </w:rPr>
            </w:pPr>
            <w:r>
              <w:rPr>
                <w:rFonts w:hint="eastAsia" w:ascii="宋体" w:hAnsi="宋体"/>
                <w:kern w:val="44"/>
                <w:sz w:val="18"/>
                <w:szCs w:val="18"/>
              </w:rPr>
              <w:t>6.5</w:t>
            </w:r>
          </w:p>
        </w:tc>
        <w:tc>
          <w:tcPr>
            <w:tcW w:w="1134" w:type="dxa"/>
            <w:vAlign w:val="center"/>
          </w:tcPr>
          <w:p w14:paraId="26DF41BB">
            <w:pPr>
              <w:spacing w:line="240" w:lineRule="exact"/>
              <w:ind w:firstLine="0" w:firstLineChars="0"/>
              <w:jc w:val="center"/>
              <w:rPr>
                <w:rFonts w:ascii="宋体" w:hAnsi="宋体"/>
                <w:kern w:val="44"/>
                <w:sz w:val="18"/>
                <w:szCs w:val="18"/>
              </w:rPr>
            </w:pPr>
            <w:r>
              <w:rPr>
                <w:rFonts w:hint="eastAsia" w:ascii="宋体" w:hAnsi="宋体"/>
                <w:kern w:val="44"/>
                <w:sz w:val="18"/>
                <w:szCs w:val="18"/>
              </w:rPr>
              <w:t>规划绿地</w:t>
            </w:r>
          </w:p>
        </w:tc>
        <w:tc>
          <w:tcPr>
            <w:tcW w:w="992" w:type="dxa"/>
            <w:vAlign w:val="center"/>
          </w:tcPr>
          <w:p w14:paraId="7ED7EA69">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c>
          <w:tcPr>
            <w:tcW w:w="3997" w:type="dxa"/>
            <w:tcBorders>
              <w:right w:val="single" w:color="auto" w:sz="12" w:space="0"/>
            </w:tcBorders>
            <w:vAlign w:val="center"/>
          </w:tcPr>
          <w:p w14:paraId="4CAF0E9B">
            <w:pPr>
              <w:spacing w:line="240" w:lineRule="exact"/>
              <w:ind w:firstLine="0" w:firstLineChars="0"/>
              <w:jc w:val="center"/>
              <w:rPr>
                <w:rFonts w:ascii="宋体" w:hAnsi="宋体"/>
                <w:kern w:val="44"/>
                <w:sz w:val="18"/>
                <w:szCs w:val="18"/>
              </w:rPr>
            </w:pPr>
          </w:p>
        </w:tc>
      </w:tr>
      <w:tr w14:paraId="04873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bottom w:val="single" w:color="auto" w:sz="4" w:space="0"/>
            </w:tcBorders>
            <w:vAlign w:val="center"/>
          </w:tcPr>
          <w:p w14:paraId="23C55B29">
            <w:pPr>
              <w:spacing w:line="240" w:lineRule="exact"/>
              <w:ind w:firstLine="0" w:firstLineChars="0"/>
              <w:jc w:val="center"/>
              <w:rPr>
                <w:rFonts w:ascii="宋体" w:hAnsi="宋体"/>
                <w:kern w:val="44"/>
                <w:sz w:val="18"/>
                <w:szCs w:val="18"/>
              </w:rPr>
            </w:pPr>
          </w:p>
        </w:tc>
        <w:tc>
          <w:tcPr>
            <w:tcW w:w="1418" w:type="dxa"/>
            <w:tcBorders>
              <w:bottom w:val="single" w:color="auto" w:sz="4" w:space="0"/>
            </w:tcBorders>
            <w:vAlign w:val="center"/>
          </w:tcPr>
          <w:p w14:paraId="7E6773D9">
            <w:pPr>
              <w:spacing w:line="240" w:lineRule="exact"/>
              <w:ind w:firstLine="0" w:firstLineChars="0"/>
              <w:jc w:val="center"/>
              <w:rPr>
                <w:rFonts w:ascii="宋体" w:hAnsi="宋体"/>
                <w:kern w:val="44"/>
                <w:sz w:val="18"/>
                <w:szCs w:val="18"/>
              </w:rPr>
            </w:pPr>
            <w:r>
              <w:rPr>
                <w:rFonts w:hint="eastAsia" w:ascii="宋体" w:hAnsi="宋体"/>
                <w:kern w:val="44"/>
                <w:sz w:val="18"/>
                <w:szCs w:val="18"/>
              </w:rPr>
              <w:t>沟泥河</w:t>
            </w:r>
          </w:p>
        </w:tc>
        <w:tc>
          <w:tcPr>
            <w:tcW w:w="3111" w:type="dxa"/>
            <w:tcBorders>
              <w:bottom w:val="single" w:color="auto" w:sz="4" w:space="0"/>
            </w:tcBorders>
            <w:vAlign w:val="center"/>
          </w:tcPr>
          <w:p w14:paraId="0B80D0F0">
            <w:pPr>
              <w:spacing w:line="240" w:lineRule="exact"/>
              <w:ind w:firstLine="0" w:firstLineChars="0"/>
              <w:jc w:val="center"/>
              <w:rPr>
                <w:rFonts w:ascii="宋体" w:hAnsi="宋体"/>
                <w:kern w:val="44"/>
                <w:sz w:val="18"/>
                <w:szCs w:val="18"/>
              </w:rPr>
            </w:pPr>
            <w:r>
              <w:rPr>
                <w:rFonts w:hint="eastAsia" w:ascii="宋体" w:hAnsi="宋体"/>
                <w:kern w:val="44"/>
                <w:sz w:val="18"/>
                <w:szCs w:val="18"/>
              </w:rPr>
              <w:t>清华东路～入清河</w:t>
            </w:r>
          </w:p>
        </w:tc>
        <w:tc>
          <w:tcPr>
            <w:tcW w:w="1283" w:type="dxa"/>
            <w:tcBorders>
              <w:bottom w:val="single" w:color="auto" w:sz="4" w:space="0"/>
            </w:tcBorders>
            <w:vAlign w:val="center"/>
          </w:tcPr>
          <w:p w14:paraId="273BC2D7">
            <w:pPr>
              <w:spacing w:line="240" w:lineRule="exact"/>
              <w:ind w:firstLine="0" w:firstLineChars="0"/>
              <w:jc w:val="center"/>
              <w:rPr>
                <w:rFonts w:ascii="宋体" w:hAnsi="宋体"/>
                <w:kern w:val="44"/>
                <w:sz w:val="18"/>
                <w:szCs w:val="18"/>
              </w:rPr>
            </w:pPr>
            <w:r>
              <w:rPr>
                <w:rFonts w:hint="eastAsia" w:ascii="宋体" w:hAnsi="宋体"/>
                <w:kern w:val="44"/>
                <w:sz w:val="18"/>
                <w:szCs w:val="18"/>
              </w:rPr>
              <w:t>3.5</w:t>
            </w:r>
          </w:p>
        </w:tc>
        <w:tc>
          <w:tcPr>
            <w:tcW w:w="1134" w:type="dxa"/>
            <w:tcBorders>
              <w:bottom w:val="single" w:color="auto" w:sz="4" w:space="0"/>
            </w:tcBorders>
            <w:vAlign w:val="center"/>
          </w:tcPr>
          <w:p w14:paraId="6474CD0C">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992" w:type="dxa"/>
            <w:tcBorders>
              <w:bottom w:val="single" w:color="auto" w:sz="4" w:space="0"/>
            </w:tcBorders>
            <w:vAlign w:val="center"/>
          </w:tcPr>
          <w:p w14:paraId="13CC5436">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3997" w:type="dxa"/>
            <w:tcBorders>
              <w:bottom w:val="single" w:color="auto" w:sz="4" w:space="0"/>
              <w:right w:val="single" w:color="auto" w:sz="12" w:space="0"/>
            </w:tcBorders>
            <w:vAlign w:val="center"/>
          </w:tcPr>
          <w:p w14:paraId="307937E4">
            <w:pPr>
              <w:spacing w:line="240" w:lineRule="exact"/>
              <w:ind w:firstLine="0" w:firstLineChars="0"/>
              <w:jc w:val="center"/>
              <w:rPr>
                <w:rFonts w:ascii="宋体" w:hAnsi="宋体"/>
                <w:kern w:val="44"/>
                <w:sz w:val="18"/>
                <w:szCs w:val="18"/>
              </w:rPr>
            </w:pPr>
          </w:p>
        </w:tc>
      </w:tr>
      <w:tr w14:paraId="6C4A2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top w:val="single" w:color="auto" w:sz="4" w:space="0"/>
              <w:left w:val="single" w:color="auto" w:sz="12" w:space="0"/>
            </w:tcBorders>
            <w:vAlign w:val="center"/>
          </w:tcPr>
          <w:p w14:paraId="6807A8C5">
            <w:pPr>
              <w:spacing w:line="240" w:lineRule="exact"/>
              <w:ind w:firstLine="0" w:firstLineChars="0"/>
              <w:jc w:val="center"/>
              <w:rPr>
                <w:rFonts w:ascii="宋体" w:hAnsi="宋体"/>
                <w:kern w:val="44"/>
                <w:sz w:val="18"/>
                <w:szCs w:val="18"/>
              </w:rPr>
            </w:pPr>
          </w:p>
        </w:tc>
        <w:tc>
          <w:tcPr>
            <w:tcW w:w="1418" w:type="dxa"/>
            <w:tcBorders>
              <w:top w:val="single" w:color="auto" w:sz="4" w:space="0"/>
            </w:tcBorders>
            <w:vAlign w:val="center"/>
          </w:tcPr>
          <w:p w14:paraId="58BAD44E">
            <w:pPr>
              <w:spacing w:line="240" w:lineRule="exact"/>
              <w:ind w:firstLine="0" w:firstLineChars="0"/>
              <w:jc w:val="center"/>
              <w:rPr>
                <w:rFonts w:ascii="宋体" w:hAnsi="宋体"/>
                <w:kern w:val="44"/>
                <w:sz w:val="18"/>
                <w:szCs w:val="18"/>
              </w:rPr>
            </w:pPr>
            <w:r>
              <w:rPr>
                <w:rFonts w:hint="eastAsia" w:ascii="宋体" w:hAnsi="宋体"/>
                <w:kern w:val="44"/>
                <w:sz w:val="18"/>
                <w:szCs w:val="18"/>
              </w:rPr>
              <w:t>北小河</w:t>
            </w:r>
          </w:p>
        </w:tc>
        <w:tc>
          <w:tcPr>
            <w:tcW w:w="3111" w:type="dxa"/>
            <w:tcBorders>
              <w:top w:val="single" w:color="auto" w:sz="4" w:space="0"/>
            </w:tcBorders>
            <w:vAlign w:val="center"/>
          </w:tcPr>
          <w:p w14:paraId="2A2CCF4A">
            <w:pPr>
              <w:spacing w:line="240" w:lineRule="exact"/>
              <w:ind w:firstLine="0" w:firstLineChars="0"/>
              <w:jc w:val="center"/>
              <w:rPr>
                <w:rFonts w:ascii="宋体" w:hAnsi="宋体"/>
                <w:kern w:val="44"/>
                <w:sz w:val="18"/>
                <w:szCs w:val="18"/>
              </w:rPr>
            </w:pPr>
            <w:r>
              <w:rPr>
                <w:rFonts w:hint="eastAsia" w:ascii="宋体" w:hAnsi="宋体"/>
                <w:kern w:val="44"/>
                <w:sz w:val="18"/>
                <w:szCs w:val="18"/>
              </w:rPr>
              <w:t>安立路西～入坝河</w:t>
            </w:r>
          </w:p>
        </w:tc>
        <w:tc>
          <w:tcPr>
            <w:tcW w:w="1283" w:type="dxa"/>
            <w:tcBorders>
              <w:top w:val="single" w:color="auto" w:sz="4" w:space="0"/>
            </w:tcBorders>
            <w:vAlign w:val="center"/>
          </w:tcPr>
          <w:p w14:paraId="506DC00D">
            <w:pPr>
              <w:spacing w:line="240" w:lineRule="exact"/>
              <w:ind w:firstLine="0" w:firstLineChars="0"/>
              <w:jc w:val="center"/>
              <w:rPr>
                <w:rFonts w:ascii="宋体" w:hAnsi="宋体"/>
                <w:kern w:val="44"/>
                <w:sz w:val="18"/>
                <w:szCs w:val="18"/>
              </w:rPr>
            </w:pPr>
            <w:r>
              <w:rPr>
                <w:rFonts w:hint="eastAsia" w:ascii="宋体" w:hAnsi="宋体"/>
                <w:kern w:val="44"/>
                <w:sz w:val="18"/>
                <w:szCs w:val="18"/>
              </w:rPr>
              <w:t>16.7</w:t>
            </w:r>
          </w:p>
        </w:tc>
        <w:tc>
          <w:tcPr>
            <w:tcW w:w="1134" w:type="dxa"/>
            <w:tcBorders>
              <w:top w:val="single" w:color="auto" w:sz="4" w:space="0"/>
            </w:tcBorders>
            <w:vAlign w:val="center"/>
          </w:tcPr>
          <w:p w14:paraId="11BDE0DD">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c>
          <w:tcPr>
            <w:tcW w:w="992" w:type="dxa"/>
            <w:tcBorders>
              <w:top w:val="single" w:color="auto" w:sz="4" w:space="0"/>
            </w:tcBorders>
            <w:vAlign w:val="center"/>
          </w:tcPr>
          <w:p w14:paraId="6496A123">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c>
          <w:tcPr>
            <w:tcW w:w="3997" w:type="dxa"/>
            <w:tcBorders>
              <w:top w:val="single" w:color="auto" w:sz="4" w:space="0"/>
              <w:right w:val="single" w:color="auto" w:sz="12" w:space="0"/>
            </w:tcBorders>
            <w:vAlign w:val="center"/>
          </w:tcPr>
          <w:p w14:paraId="45F1D46C">
            <w:pPr>
              <w:spacing w:line="240" w:lineRule="exact"/>
              <w:ind w:firstLine="0" w:firstLineChars="0"/>
              <w:jc w:val="center"/>
              <w:rPr>
                <w:rFonts w:ascii="宋体" w:hAnsi="宋体"/>
                <w:kern w:val="44"/>
                <w:sz w:val="18"/>
                <w:szCs w:val="18"/>
              </w:rPr>
            </w:pPr>
          </w:p>
        </w:tc>
      </w:tr>
      <w:tr w14:paraId="25F4E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17BA4A8E">
            <w:pPr>
              <w:spacing w:line="240" w:lineRule="exact"/>
              <w:ind w:firstLine="0" w:firstLineChars="0"/>
              <w:jc w:val="center"/>
              <w:rPr>
                <w:rFonts w:ascii="宋体" w:hAnsi="宋体"/>
                <w:kern w:val="44"/>
                <w:sz w:val="18"/>
                <w:szCs w:val="18"/>
              </w:rPr>
            </w:pPr>
          </w:p>
        </w:tc>
        <w:tc>
          <w:tcPr>
            <w:tcW w:w="1418" w:type="dxa"/>
            <w:vAlign w:val="center"/>
          </w:tcPr>
          <w:p w14:paraId="5A47B965">
            <w:pPr>
              <w:spacing w:line="240" w:lineRule="exact"/>
              <w:ind w:firstLine="0" w:firstLineChars="0"/>
              <w:jc w:val="center"/>
              <w:rPr>
                <w:rFonts w:ascii="宋体" w:hAnsi="宋体"/>
                <w:kern w:val="44"/>
                <w:sz w:val="18"/>
                <w:szCs w:val="18"/>
              </w:rPr>
            </w:pPr>
            <w:r>
              <w:rPr>
                <w:rFonts w:hint="eastAsia" w:ascii="宋体" w:hAnsi="宋体"/>
                <w:kern w:val="44"/>
                <w:sz w:val="18"/>
                <w:szCs w:val="18"/>
              </w:rPr>
              <w:t>亮马河下游</w:t>
            </w:r>
          </w:p>
        </w:tc>
        <w:tc>
          <w:tcPr>
            <w:tcW w:w="3111" w:type="dxa"/>
            <w:vAlign w:val="center"/>
          </w:tcPr>
          <w:p w14:paraId="4FAE862A">
            <w:pPr>
              <w:spacing w:line="240" w:lineRule="exact"/>
              <w:ind w:firstLine="0" w:firstLineChars="0"/>
              <w:jc w:val="center"/>
              <w:rPr>
                <w:rFonts w:ascii="宋体" w:hAnsi="宋体"/>
                <w:kern w:val="44"/>
                <w:sz w:val="18"/>
                <w:szCs w:val="18"/>
              </w:rPr>
            </w:pPr>
            <w:r>
              <w:rPr>
                <w:rFonts w:hint="eastAsia" w:ascii="宋体" w:hAnsi="宋体"/>
                <w:kern w:val="44"/>
                <w:sz w:val="18"/>
                <w:szCs w:val="18"/>
              </w:rPr>
              <w:t>壅水闸～入坝河</w:t>
            </w:r>
          </w:p>
        </w:tc>
        <w:tc>
          <w:tcPr>
            <w:tcW w:w="1283" w:type="dxa"/>
            <w:vAlign w:val="center"/>
          </w:tcPr>
          <w:p w14:paraId="593BD50E">
            <w:pPr>
              <w:spacing w:line="240" w:lineRule="exact"/>
              <w:ind w:firstLine="0" w:firstLineChars="0"/>
              <w:jc w:val="center"/>
              <w:rPr>
                <w:rFonts w:ascii="宋体" w:hAnsi="宋体"/>
                <w:kern w:val="44"/>
                <w:sz w:val="18"/>
                <w:szCs w:val="18"/>
              </w:rPr>
            </w:pPr>
            <w:r>
              <w:rPr>
                <w:rFonts w:hint="eastAsia" w:ascii="宋体" w:hAnsi="宋体"/>
                <w:kern w:val="44"/>
                <w:sz w:val="18"/>
                <w:szCs w:val="18"/>
              </w:rPr>
              <w:t>6.5</w:t>
            </w:r>
          </w:p>
        </w:tc>
        <w:tc>
          <w:tcPr>
            <w:tcW w:w="1134" w:type="dxa"/>
            <w:vAlign w:val="center"/>
          </w:tcPr>
          <w:p w14:paraId="4C9A836A">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c>
          <w:tcPr>
            <w:tcW w:w="992" w:type="dxa"/>
            <w:vAlign w:val="center"/>
          </w:tcPr>
          <w:p w14:paraId="5AFCEADC">
            <w:pPr>
              <w:spacing w:line="240" w:lineRule="exact"/>
              <w:ind w:firstLine="0" w:firstLineChars="0"/>
              <w:jc w:val="center"/>
              <w:rPr>
                <w:rFonts w:ascii="宋体" w:hAnsi="宋体"/>
                <w:kern w:val="44"/>
                <w:sz w:val="18"/>
                <w:szCs w:val="18"/>
              </w:rPr>
            </w:pPr>
            <w:r>
              <w:rPr>
                <w:rFonts w:hint="eastAsia" w:ascii="宋体" w:hAnsi="宋体"/>
                <w:kern w:val="44"/>
                <w:sz w:val="18"/>
                <w:szCs w:val="18"/>
              </w:rPr>
              <w:t>30</w:t>
            </w:r>
          </w:p>
        </w:tc>
        <w:tc>
          <w:tcPr>
            <w:tcW w:w="3997" w:type="dxa"/>
            <w:tcBorders>
              <w:right w:val="single" w:color="auto" w:sz="12" w:space="0"/>
            </w:tcBorders>
            <w:vAlign w:val="center"/>
          </w:tcPr>
          <w:p w14:paraId="0D7EC3FE">
            <w:pPr>
              <w:spacing w:line="240" w:lineRule="exact"/>
              <w:ind w:firstLine="0" w:firstLineChars="0"/>
              <w:jc w:val="center"/>
              <w:rPr>
                <w:rFonts w:ascii="宋体" w:hAnsi="宋体"/>
                <w:kern w:val="44"/>
                <w:sz w:val="18"/>
                <w:szCs w:val="18"/>
              </w:rPr>
            </w:pPr>
          </w:p>
        </w:tc>
      </w:tr>
      <w:tr w14:paraId="67BAB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444B4614">
            <w:pPr>
              <w:spacing w:line="240" w:lineRule="exact"/>
              <w:ind w:firstLine="0" w:firstLineChars="0"/>
              <w:jc w:val="center"/>
              <w:rPr>
                <w:rFonts w:ascii="宋体" w:hAnsi="宋体"/>
                <w:kern w:val="44"/>
                <w:sz w:val="18"/>
                <w:szCs w:val="18"/>
              </w:rPr>
            </w:pPr>
          </w:p>
        </w:tc>
        <w:tc>
          <w:tcPr>
            <w:tcW w:w="1418" w:type="dxa"/>
            <w:vAlign w:val="center"/>
          </w:tcPr>
          <w:p w14:paraId="267C2E1C">
            <w:pPr>
              <w:spacing w:line="240" w:lineRule="exact"/>
              <w:ind w:firstLine="0" w:firstLineChars="0"/>
              <w:jc w:val="center"/>
              <w:rPr>
                <w:rFonts w:ascii="宋体" w:hAnsi="宋体"/>
                <w:kern w:val="44"/>
                <w:sz w:val="18"/>
                <w:szCs w:val="18"/>
              </w:rPr>
            </w:pPr>
            <w:r>
              <w:rPr>
                <w:rFonts w:hint="eastAsia" w:ascii="宋体" w:hAnsi="宋体"/>
                <w:kern w:val="44"/>
                <w:sz w:val="18"/>
                <w:szCs w:val="18"/>
              </w:rPr>
              <w:t>新开渠</w:t>
            </w:r>
          </w:p>
        </w:tc>
        <w:tc>
          <w:tcPr>
            <w:tcW w:w="3111" w:type="dxa"/>
            <w:vAlign w:val="center"/>
          </w:tcPr>
          <w:p w14:paraId="3A86844A">
            <w:pPr>
              <w:spacing w:line="240" w:lineRule="exact"/>
              <w:ind w:firstLine="0" w:firstLineChars="0"/>
              <w:jc w:val="center"/>
              <w:rPr>
                <w:rFonts w:ascii="宋体" w:hAnsi="宋体"/>
                <w:kern w:val="44"/>
                <w:sz w:val="18"/>
                <w:szCs w:val="18"/>
              </w:rPr>
            </w:pPr>
            <w:r>
              <w:rPr>
                <w:rFonts w:hint="eastAsia" w:ascii="宋体" w:hAnsi="宋体"/>
                <w:kern w:val="44"/>
                <w:sz w:val="18"/>
                <w:szCs w:val="18"/>
              </w:rPr>
              <w:t>白庙村～入莲花池</w:t>
            </w:r>
          </w:p>
        </w:tc>
        <w:tc>
          <w:tcPr>
            <w:tcW w:w="1283" w:type="dxa"/>
            <w:vAlign w:val="center"/>
          </w:tcPr>
          <w:p w14:paraId="76488A47">
            <w:pPr>
              <w:spacing w:line="240" w:lineRule="exact"/>
              <w:ind w:firstLine="0" w:firstLineChars="0"/>
              <w:jc w:val="center"/>
              <w:rPr>
                <w:rFonts w:ascii="宋体" w:hAnsi="宋体"/>
                <w:kern w:val="44"/>
                <w:sz w:val="18"/>
                <w:szCs w:val="18"/>
              </w:rPr>
            </w:pPr>
            <w:r>
              <w:rPr>
                <w:rFonts w:hint="eastAsia" w:ascii="宋体" w:hAnsi="宋体"/>
                <w:kern w:val="44"/>
                <w:sz w:val="18"/>
                <w:szCs w:val="18"/>
              </w:rPr>
              <w:t>12</w:t>
            </w:r>
          </w:p>
        </w:tc>
        <w:tc>
          <w:tcPr>
            <w:tcW w:w="1134" w:type="dxa"/>
            <w:vAlign w:val="center"/>
          </w:tcPr>
          <w:p w14:paraId="014C9336">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992" w:type="dxa"/>
            <w:vAlign w:val="center"/>
          </w:tcPr>
          <w:p w14:paraId="74652B49">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3997" w:type="dxa"/>
            <w:tcBorders>
              <w:right w:val="single" w:color="auto" w:sz="12" w:space="0"/>
            </w:tcBorders>
            <w:vAlign w:val="center"/>
          </w:tcPr>
          <w:p w14:paraId="7FCF3F5A">
            <w:pPr>
              <w:spacing w:line="240" w:lineRule="exact"/>
              <w:ind w:firstLine="0" w:firstLineChars="0"/>
              <w:jc w:val="center"/>
              <w:rPr>
                <w:rFonts w:ascii="宋体" w:hAnsi="宋体"/>
                <w:kern w:val="44"/>
                <w:sz w:val="18"/>
                <w:szCs w:val="18"/>
              </w:rPr>
            </w:pPr>
          </w:p>
        </w:tc>
      </w:tr>
      <w:tr w14:paraId="41A61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573491B6">
            <w:pPr>
              <w:spacing w:line="240" w:lineRule="exact"/>
              <w:ind w:firstLine="0" w:firstLineChars="0"/>
              <w:jc w:val="center"/>
              <w:rPr>
                <w:rFonts w:ascii="宋体" w:hAnsi="宋体"/>
                <w:kern w:val="44"/>
                <w:sz w:val="18"/>
                <w:szCs w:val="18"/>
              </w:rPr>
            </w:pPr>
          </w:p>
        </w:tc>
        <w:tc>
          <w:tcPr>
            <w:tcW w:w="1418" w:type="dxa"/>
            <w:vAlign w:val="center"/>
          </w:tcPr>
          <w:p w14:paraId="25E9B18A">
            <w:pPr>
              <w:spacing w:line="240" w:lineRule="exact"/>
              <w:ind w:firstLine="0" w:firstLineChars="0"/>
              <w:jc w:val="center"/>
              <w:rPr>
                <w:rFonts w:ascii="宋体" w:hAnsi="宋体"/>
                <w:kern w:val="44"/>
                <w:sz w:val="18"/>
                <w:szCs w:val="18"/>
              </w:rPr>
            </w:pPr>
            <w:r>
              <w:rPr>
                <w:rFonts w:hint="eastAsia" w:ascii="宋体" w:hAnsi="宋体"/>
                <w:kern w:val="44"/>
                <w:sz w:val="18"/>
                <w:szCs w:val="18"/>
              </w:rPr>
              <w:t>水衙沟</w:t>
            </w:r>
          </w:p>
        </w:tc>
        <w:tc>
          <w:tcPr>
            <w:tcW w:w="3111" w:type="dxa"/>
            <w:vAlign w:val="center"/>
          </w:tcPr>
          <w:p w14:paraId="1A93C70E">
            <w:pPr>
              <w:spacing w:line="240" w:lineRule="exact"/>
              <w:ind w:firstLine="0" w:firstLineChars="0"/>
              <w:jc w:val="center"/>
              <w:rPr>
                <w:rFonts w:ascii="宋体" w:hAnsi="宋体"/>
                <w:kern w:val="44"/>
                <w:sz w:val="18"/>
                <w:szCs w:val="18"/>
              </w:rPr>
            </w:pPr>
            <w:r>
              <w:rPr>
                <w:rFonts w:hint="eastAsia" w:ascii="宋体" w:hAnsi="宋体"/>
                <w:kern w:val="44"/>
                <w:sz w:val="18"/>
                <w:szCs w:val="18"/>
              </w:rPr>
              <w:t>吴家村～广外桥</w:t>
            </w:r>
          </w:p>
        </w:tc>
        <w:tc>
          <w:tcPr>
            <w:tcW w:w="1283" w:type="dxa"/>
            <w:vAlign w:val="center"/>
          </w:tcPr>
          <w:p w14:paraId="54D83D70">
            <w:pPr>
              <w:spacing w:line="240" w:lineRule="exact"/>
              <w:ind w:firstLine="0" w:firstLineChars="0"/>
              <w:jc w:val="center"/>
              <w:rPr>
                <w:rFonts w:ascii="宋体" w:hAnsi="宋体"/>
                <w:kern w:val="44"/>
                <w:sz w:val="18"/>
                <w:szCs w:val="18"/>
              </w:rPr>
            </w:pPr>
            <w:r>
              <w:rPr>
                <w:rFonts w:hint="eastAsia" w:ascii="宋体" w:hAnsi="宋体"/>
                <w:kern w:val="44"/>
                <w:sz w:val="18"/>
                <w:szCs w:val="18"/>
              </w:rPr>
              <w:t>7.7</w:t>
            </w:r>
          </w:p>
        </w:tc>
        <w:tc>
          <w:tcPr>
            <w:tcW w:w="1134" w:type="dxa"/>
            <w:vAlign w:val="center"/>
          </w:tcPr>
          <w:p w14:paraId="247F3A7F">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992" w:type="dxa"/>
            <w:vAlign w:val="center"/>
          </w:tcPr>
          <w:p w14:paraId="04B89749">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3997" w:type="dxa"/>
            <w:tcBorders>
              <w:right w:val="single" w:color="auto" w:sz="12" w:space="0"/>
            </w:tcBorders>
            <w:vAlign w:val="center"/>
          </w:tcPr>
          <w:p w14:paraId="5D6EF9DC">
            <w:pPr>
              <w:spacing w:line="240" w:lineRule="exact"/>
              <w:ind w:firstLine="0" w:firstLineChars="0"/>
              <w:jc w:val="center"/>
              <w:rPr>
                <w:rFonts w:ascii="宋体" w:hAnsi="宋体"/>
                <w:kern w:val="44"/>
                <w:sz w:val="18"/>
                <w:szCs w:val="18"/>
              </w:rPr>
            </w:pPr>
          </w:p>
        </w:tc>
      </w:tr>
      <w:tr w14:paraId="05F5F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2F7393E5">
            <w:pPr>
              <w:spacing w:line="240" w:lineRule="exact"/>
              <w:ind w:firstLine="0" w:firstLineChars="0"/>
              <w:jc w:val="center"/>
              <w:rPr>
                <w:rFonts w:ascii="宋体" w:hAnsi="宋体"/>
                <w:kern w:val="44"/>
                <w:sz w:val="18"/>
                <w:szCs w:val="18"/>
              </w:rPr>
            </w:pPr>
          </w:p>
        </w:tc>
        <w:tc>
          <w:tcPr>
            <w:tcW w:w="1418" w:type="dxa"/>
            <w:vAlign w:val="center"/>
          </w:tcPr>
          <w:p w14:paraId="0C88619C">
            <w:pPr>
              <w:spacing w:line="240" w:lineRule="exact"/>
              <w:ind w:firstLine="0" w:firstLineChars="0"/>
              <w:jc w:val="center"/>
              <w:rPr>
                <w:rFonts w:ascii="宋体" w:hAnsi="宋体"/>
                <w:kern w:val="44"/>
                <w:sz w:val="18"/>
                <w:szCs w:val="18"/>
              </w:rPr>
            </w:pPr>
            <w:r>
              <w:rPr>
                <w:rFonts w:hint="eastAsia" w:ascii="宋体" w:hAnsi="宋体"/>
                <w:kern w:val="44"/>
                <w:sz w:val="18"/>
                <w:szCs w:val="18"/>
              </w:rPr>
              <w:t>丰草河</w:t>
            </w:r>
          </w:p>
        </w:tc>
        <w:tc>
          <w:tcPr>
            <w:tcW w:w="3111" w:type="dxa"/>
            <w:vAlign w:val="center"/>
          </w:tcPr>
          <w:p w14:paraId="7BA09606">
            <w:pPr>
              <w:spacing w:line="240" w:lineRule="exact"/>
              <w:ind w:firstLine="0" w:firstLineChars="0"/>
              <w:jc w:val="center"/>
              <w:rPr>
                <w:rFonts w:ascii="宋体" w:hAnsi="宋体"/>
                <w:kern w:val="44"/>
                <w:sz w:val="18"/>
                <w:szCs w:val="18"/>
              </w:rPr>
            </w:pPr>
            <w:r>
              <w:rPr>
                <w:rFonts w:hint="eastAsia" w:ascii="宋体" w:hAnsi="宋体"/>
                <w:kern w:val="44"/>
                <w:sz w:val="18"/>
                <w:szCs w:val="18"/>
              </w:rPr>
              <w:t>程庄子～万泉寺铁路桥</w:t>
            </w:r>
          </w:p>
        </w:tc>
        <w:tc>
          <w:tcPr>
            <w:tcW w:w="1283" w:type="dxa"/>
            <w:vAlign w:val="center"/>
          </w:tcPr>
          <w:p w14:paraId="02987D15">
            <w:pPr>
              <w:spacing w:line="240" w:lineRule="exact"/>
              <w:ind w:firstLine="0" w:firstLineChars="0"/>
              <w:jc w:val="center"/>
              <w:rPr>
                <w:rFonts w:ascii="宋体" w:hAnsi="宋体"/>
                <w:kern w:val="44"/>
                <w:sz w:val="18"/>
                <w:szCs w:val="18"/>
              </w:rPr>
            </w:pPr>
            <w:r>
              <w:rPr>
                <w:rFonts w:hint="eastAsia" w:ascii="宋体" w:hAnsi="宋体"/>
                <w:kern w:val="44"/>
                <w:sz w:val="18"/>
                <w:szCs w:val="18"/>
              </w:rPr>
              <w:t>7.8</w:t>
            </w:r>
          </w:p>
        </w:tc>
        <w:tc>
          <w:tcPr>
            <w:tcW w:w="1134" w:type="dxa"/>
            <w:vAlign w:val="center"/>
          </w:tcPr>
          <w:p w14:paraId="4522B4CC">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992" w:type="dxa"/>
            <w:vAlign w:val="center"/>
          </w:tcPr>
          <w:p w14:paraId="4B5225A7">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3997" w:type="dxa"/>
            <w:tcBorders>
              <w:right w:val="single" w:color="auto" w:sz="12" w:space="0"/>
            </w:tcBorders>
            <w:vAlign w:val="center"/>
          </w:tcPr>
          <w:p w14:paraId="73278161">
            <w:pPr>
              <w:spacing w:line="240" w:lineRule="exact"/>
              <w:ind w:firstLine="0" w:firstLineChars="0"/>
              <w:jc w:val="center"/>
              <w:rPr>
                <w:rFonts w:ascii="宋体" w:hAnsi="宋体"/>
                <w:kern w:val="44"/>
                <w:sz w:val="18"/>
                <w:szCs w:val="18"/>
              </w:rPr>
            </w:pPr>
          </w:p>
        </w:tc>
      </w:tr>
      <w:tr w14:paraId="0F8F1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729B89A0">
            <w:pPr>
              <w:spacing w:line="240" w:lineRule="exact"/>
              <w:ind w:firstLine="0" w:firstLineChars="0"/>
              <w:jc w:val="center"/>
              <w:rPr>
                <w:rFonts w:ascii="宋体" w:hAnsi="宋体"/>
                <w:kern w:val="44"/>
                <w:sz w:val="18"/>
                <w:szCs w:val="18"/>
              </w:rPr>
            </w:pPr>
          </w:p>
        </w:tc>
        <w:tc>
          <w:tcPr>
            <w:tcW w:w="1418" w:type="dxa"/>
            <w:vAlign w:val="center"/>
          </w:tcPr>
          <w:p w14:paraId="25A620E0">
            <w:pPr>
              <w:spacing w:line="240" w:lineRule="exact"/>
              <w:ind w:firstLine="0" w:firstLineChars="0"/>
              <w:jc w:val="center"/>
              <w:rPr>
                <w:rFonts w:ascii="宋体" w:hAnsi="宋体"/>
                <w:kern w:val="44"/>
                <w:sz w:val="18"/>
                <w:szCs w:val="18"/>
              </w:rPr>
            </w:pPr>
            <w:r>
              <w:rPr>
                <w:rFonts w:hint="eastAsia" w:ascii="宋体" w:hAnsi="宋体"/>
                <w:kern w:val="44"/>
                <w:sz w:val="18"/>
                <w:szCs w:val="18"/>
              </w:rPr>
              <w:t>马草河</w:t>
            </w:r>
          </w:p>
        </w:tc>
        <w:tc>
          <w:tcPr>
            <w:tcW w:w="3111" w:type="dxa"/>
            <w:vAlign w:val="center"/>
          </w:tcPr>
          <w:p w14:paraId="1D968E14">
            <w:pPr>
              <w:spacing w:line="240" w:lineRule="exact"/>
              <w:ind w:firstLine="0" w:firstLineChars="0"/>
              <w:jc w:val="center"/>
              <w:rPr>
                <w:rFonts w:ascii="宋体" w:hAnsi="宋体"/>
                <w:kern w:val="44"/>
                <w:sz w:val="18"/>
                <w:szCs w:val="18"/>
              </w:rPr>
            </w:pPr>
            <w:r>
              <w:rPr>
                <w:rFonts w:hint="eastAsia" w:ascii="宋体" w:hAnsi="宋体"/>
                <w:kern w:val="44"/>
                <w:sz w:val="18"/>
                <w:szCs w:val="18"/>
              </w:rPr>
              <w:t>六圈～入凉水河</w:t>
            </w:r>
          </w:p>
        </w:tc>
        <w:tc>
          <w:tcPr>
            <w:tcW w:w="1283" w:type="dxa"/>
            <w:vAlign w:val="center"/>
          </w:tcPr>
          <w:p w14:paraId="1588D629">
            <w:pPr>
              <w:spacing w:line="240" w:lineRule="exact"/>
              <w:ind w:firstLine="0" w:firstLineChars="0"/>
              <w:jc w:val="center"/>
              <w:rPr>
                <w:rFonts w:ascii="宋体" w:hAnsi="宋体"/>
                <w:kern w:val="44"/>
                <w:sz w:val="18"/>
                <w:szCs w:val="18"/>
              </w:rPr>
            </w:pPr>
            <w:r>
              <w:rPr>
                <w:rFonts w:hint="eastAsia" w:ascii="宋体" w:hAnsi="宋体"/>
                <w:kern w:val="44"/>
                <w:sz w:val="18"/>
                <w:szCs w:val="18"/>
              </w:rPr>
              <w:t>10.1</w:t>
            </w:r>
          </w:p>
        </w:tc>
        <w:tc>
          <w:tcPr>
            <w:tcW w:w="1134" w:type="dxa"/>
            <w:vAlign w:val="center"/>
          </w:tcPr>
          <w:p w14:paraId="33E88A24">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992" w:type="dxa"/>
            <w:vAlign w:val="center"/>
          </w:tcPr>
          <w:p w14:paraId="4A7CF900">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3997" w:type="dxa"/>
            <w:tcBorders>
              <w:right w:val="single" w:color="auto" w:sz="12" w:space="0"/>
            </w:tcBorders>
            <w:vAlign w:val="center"/>
          </w:tcPr>
          <w:p w14:paraId="1F8499B3">
            <w:pPr>
              <w:spacing w:line="240" w:lineRule="exact"/>
              <w:ind w:firstLine="0" w:firstLineChars="0"/>
              <w:jc w:val="center"/>
              <w:rPr>
                <w:rFonts w:ascii="宋体" w:hAnsi="宋体"/>
                <w:kern w:val="44"/>
                <w:sz w:val="18"/>
                <w:szCs w:val="18"/>
              </w:rPr>
            </w:pPr>
          </w:p>
        </w:tc>
      </w:tr>
      <w:tr w14:paraId="5AD56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7309BE68">
            <w:pPr>
              <w:spacing w:line="240" w:lineRule="exact"/>
              <w:ind w:firstLine="0" w:firstLineChars="0"/>
              <w:jc w:val="center"/>
              <w:rPr>
                <w:rFonts w:ascii="宋体" w:hAnsi="宋体"/>
                <w:kern w:val="44"/>
                <w:sz w:val="18"/>
                <w:szCs w:val="18"/>
              </w:rPr>
            </w:pPr>
          </w:p>
        </w:tc>
        <w:tc>
          <w:tcPr>
            <w:tcW w:w="1418" w:type="dxa"/>
            <w:vAlign w:val="center"/>
          </w:tcPr>
          <w:p w14:paraId="21D559C2">
            <w:pPr>
              <w:spacing w:line="240" w:lineRule="exact"/>
              <w:ind w:firstLine="0" w:firstLineChars="0"/>
              <w:jc w:val="center"/>
              <w:rPr>
                <w:rFonts w:ascii="宋体" w:hAnsi="宋体"/>
                <w:kern w:val="44"/>
                <w:sz w:val="18"/>
                <w:szCs w:val="18"/>
              </w:rPr>
            </w:pPr>
            <w:r>
              <w:rPr>
                <w:rFonts w:hint="eastAsia" w:ascii="宋体" w:hAnsi="宋体"/>
                <w:kern w:val="44"/>
                <w:sz w:val="18"/>
                <w:szCs w:val="18"/>
              </w:rPr>
              <w:t>小龙河</w:t>
            </w:r>
          </w:p>
        </w:tc>
        <w:tc>
          <w:tcPr>
            <w:tcW w:w="3111" w:type="dxa"/>
            <w:vAlign w:val="center"/>
          </w:tcPr>
          <w:p w14:paraId="45796E64">
            <w:pPr>
              <w:spacing w:line="240" w:lineRule="exact"/>
              <w:ind w:firstLine="0" w:firstLineChars="0"/>
              <w:jc w:val="center"/>
              <w:rPr>
                <w:rFonts w:ascii="宋体" w:hAnsi="宋体"/>
                <w:kern w:val="44"/>
                <w:sz w:val="18"/>
                <w:szCs w:val="18"/>
              </w:rPr>
            </w:pPr>
            <w:r>
              <w:rPr>
                <w:rFonts w:hint="eastAsia" w:ascii="宋体" w:hAnsi="宋体"/>
                <w:kern w:val="44"/>
                <w:sz w:val="18"/>
                <w:szCs w:val="18"/>
              </w:rPr>
              <w:t>谢家庄～入凉水河</w:t>
            </w:r>
          </w:p>
        </w:tc>
        <w:tc>
          <w:tcPr>
            <w:tcW w:w="1283" w:type="dxa"/>
            <w:vAlign w:val="center"/>
          </w:tcPr>
          <w:p w14:paraId="01EF8F57">
            <w:pPr>
              <w:spacing w:line="240" w:lineRule="exact"/>
              <w:ind w:firstLine="0" w:firstLineChars="0"/>
              <w:jc w:val="center"/>
              <w:rPr>
                <w:rFonts w:ascii="宋体" w:hAnsi="宋体"/>
                <w:kern w:val="44"/>
                <w:sz w:val="18"/>
                <w:szCs w:val="18"/>
              </w:rPr>
            </w:pPr>
            <w:r>
              <w:rPr>
                <w:rFonts w:hint="eastAsia" w:ascii="宋体" w:hAnsi="宋体"/>
                <w:kern w:val="44"/>
                <w:sz w:val="18"/>
                <w:szCs w:val="18"/>
              </w:rPr>
              <w:t>9.4</w:t>
            </w:r>
          </w:p>
        </w:tc>
        <w:tc>
          <w:tcPr>
            <w:tcW w:w="1134" w:type="dxa"/>
            <w:vAlign w:val="center"/>
          </w:tcPr>
          <w:p w14:paraId="3D4D506D">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992" w:type="dxa"/>
            <w:vAlign w:val="center"/>
          </w:tcPr>
          <w:p w14:paraId="2BA3C47F">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3997" w:type="dxa"/>
            <w:tcBorders>
              <w:right w:val="single" w:color="auto" w:sz="12" w:space="0"/>
            </w:tcBorders>
            <w:vAlign w:val="center"/>
          </w:tcPr>
          <w:p w14:paraId="305FCA3F">
            <w:pPr>
              <w:spacing w:line="240" w:lineRule="exact"/>
              <w:ind w:firstLine="0" w:firstLineChars="0"/>
              <w:jc w:val="center"/>
              <w:rPr>
                <w:rFonts w:ascii="宋体" w:hAnsi="宋体"/>
                <w:kern w:val="44"/>
                <w:sz w:val="18"/>
                <w:szCs w:val="18"/>
              </w:rPr>
            </w:pPr>
          </w:p>
        </w:tc>
      </w:tr>
      <w:tr w14:paraId="7974D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51CBB792">
            <w:pPr>
              <w:spacing w:line="240" w:lineRule="exact"/>
              <w:ind w:firstLine="0" w:firstLineChars="0"/>
              <w:jc w:val="center"/>
              <w:rPr>
                <w:rFonts w:ascii="宋体" w:hAnsi="宋体"/>
                <w:kern w:val="44"/>
                <w:sz w:val="18"/>
                <w:szCs w:val="18"/>
              </w:rPr>
            </w:pPr>
          </w:p>
        </w:tc>
        <w:tc>
          <w:tcPr>
            <w:tcW w:w="1418" w:type="dxa"/>
            <w:vAlign w:val="center"/>
          </w:tcPr>
          <w:p w14:paraId="4770FBEB">
            <w:pPr>
              <w:spacing w:line="240" w:lineRule="exact"/>
              <w:ind w:firstLine="0" w:firstLineChars="0"/>
              <w:jc w:val="center"/>
              <w:rPr>
                <w:rFonts w:ascii="宋体" w:hAnsi="宋体"/>
                <w:kern w:val="44"/>
                <w:sz w:val="18"/>
                <w:szCs w:val="18"/>
              </w:rPr>
            </w:pPr>
            <w:r>
              <w:rPr>
                <w:rFonts w:hint="eastAsia" w:ascii="宋体" w:hAnsi="宋体"/>
                <w:kern w:val="44"/>
                <w:sz w:val="18"/>
                <w:szCs w:val="18"/>
              </w:rPr>
              <w:t>大柳树沟</w:t>
            </w:r>
          </w:p>
        </w:tc>
        <w:tc>
          <w:tcPr>
            <w:tcW w:w="3111" w:type="dxa"/>
            <w:vAlign w:val="center"/>
          </w:tcPr>
          <w:p w14:paraId="0BE2DE18">
            <w:pPr>
              <w:spacing w:line="240" w:lineRule="exact"/>
              <w:ind w:firstLine="0" w:firstLineChars="0"/>
              <w:jc w:val="center"/>
              <w:rPr>
                <w:rFonts w:ascii="宋体" w:hAnsi="宋体"/>
                <w:kern w:val="44"/>
                <w:sz w:val="18"/>
                <w:szCs w:val="18"/>
              </w:rPr>
            </w:pPr>
            <w:r>
              <w:rPr>
                <w:rFonts w:hint="eastAsia" w:ascii="宋体" w:hAnsi="宋体"/>
                <w:kern w:val="44"/>
                <w:sz w:val="18"/>
                <w:szCs w:val="18"/>
              </w:rPr>
              <w:t>窑洼湖～通惠排干</w:t>
            </w:r>
          </w:p>
        </w:tc>
        <w:tc>
          <w:tcPr>
            <w:tcW w:w="1283" w:type="dxa"/>
            <w:vAlign w:val="center"/>
          </w:tcPr>
          <w:p w14:paraId="76B3B102">
            <w:pPr>
              <w:spacing w:line="240" w:lineRule="exact"/>
              <w:ind w:firstLine="0" w:firstLineChars="0"/>
              <w:jc w:val="center"/>
              <w:rPr>
                <w:rFonts w:ascii="宋体" w:hAnsi="宋体"/>
                <w:kern w:val="44"/>
                <w:sz w:val="18"/>
                <w:szCs w:val="18"/>
              </w:rPr>
            </w:pPr>
            <w:r>
              <w:rPr>
                <w:rFonts w:hint="eastAsia" w:ascii="宋体" w:hAnsi="宋体"/>
                <w:kern w:val="44"/>
                <w:sz w:val="18"/>
                <w:szCs w:val="18"/>
              </w:rPr>
              <w:t>8.4</w:t>
            </w:r>
          </w:p>
        </w:tc>
        <w:tc>
          <w:tcPr>
            <w:tcW w:w="1134" w:type="dxa"/>
            <w:vAlign w:val="center"/>
          </w:tcPr>
          <w:p w14:paraId="146086D8">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992" w:type="dxa"/>
            <w:vAlign w:val="center"/>
          </w:tcPr>
          <w:p w14:paraId="78A0CD1A">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3997" w:type="dxa"/>
            <w:tcBorders>
              <w:right w:val="single" w:color="auto" w:sz="12" w:space="0"/>
            </w:tcBorders>
            <w:vAlign w:val="center"/>
          </w:tcPr>
          <w:p w14:paraId="3A8A7835">
            <w:pPr>
              <w:spacing w:line="240" w:lineRule="exact"/>
              <w:ind w:firstLine="0" w:firstLineChars="0"/>
              <w:jc w:val="center"/>
              <w:rPr>
                <w:rFonts w:ascii="宋体" w:hAnsi="宋体"/>
                <w:kern w:val="44"/>
                <w:sz w:val="18"/>
                <w:szCs w:val="18"/>
              </w:rPr>
            </w:pPr>
          </w:p>
        </w:tc>
      </w:tr>
      <w:tr w14:paraId="2825B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3E2C4281">
            <w:pPr>
              <w:spacing w:line="240" w:lineRule="exact"/>
              <w:ind w:firstLine="0" w:firstLineChars="0"/>
              <w:jc w:val="center"/>
              <w:rPr>
                <w:rFonts w:ascii="宋体" w:hAnsi="宋体"/>
                <w:kern w:val="44"/>
                <w:sz w:val="18"/>
                <w:szCs w:val="18"/>
              </w:rPr>
            </w:pPr>
          </w:p>
        </w:tc>
        <w:tc>
          <w:tcPr>
            <w:tcW w:w="1418" w:type="dxa"/>
            <w:vAlign w:val="center"/>
          </w:tcPr>
          <w:p w14:paraId="01EBDCE8">
            <w:pPr>
              <w:spacing w:line="240" w:lineRule="exact"/>
              <w:ind w:firstLine="0" w:firstLineChars="0"/>
              <w:jc w:val="center"/>
              <w:rPr>
                <w:rFonts w:ascii="宋体" w:hAnsi="宋体"/>
                <w:kern w:val="44"/>
                <w:sz w:val="18"/>
                <w:szCs w:val="18"/>
              </w:rPr>
            </w:pPr>
            <w:r>
              <w:rPr>
                <w:rFonts w:hint="eastAsia" w:ascii="宋体" w:hAnsi="宋体"/>
                <w:kern w:val="44"/>
                <w:sz w:val="18"/>
                <w:szCs w:val="18"/>
              </w:rPr>
              <w:t>肖太后河上段</w:t>
            </w:r>
          </w:p>
        </w:tc>
        <w:tc>
          <w:tcPr>
            <w:tcW w:w="3111" w:type="dxa"/>
            <w:vAlign w:val="center"/>
          </w:tcPr>
          <w:p w14:paraId="0D440741">
            <w:pPr>
              <w:spacing w:line="240" w:lineRule="exact"/>
              <w:ind w:firstLine="0" w:firstLineChars="0"/>
              <w:jc w:val="center"/>
              <w:rPr>
                <w:rFonts w:ascii="宋体" w:hAnsi="宋体"/>
                <w:kern w:val="44"/>
                <w:sz w:val="18"/>
                <w:szCs w:val="18"/>
              </w:rPr>
            </w:pPr>
            <w:r>
              <w:rPr>
                <w:rFonts w:hint="eastAsia" w:ascii="宋体" w:hAnsi="宋体"/>
                <w:kern w:val="44"/>
                <w:sz w:val="18"/>
                <w:szCs w:val="18"/>
              </w:rPr>
              <w:t>架榆树～通惠排干</w:t>
            </w:r>
          </w:p>
        </w:tc>
        <w:tc>
          <w:tcPr>
            <w:tcW w:w="1283" w:type="dxa"/>
            <w:vAlign w:val="center"/>
          </w:tcPr>
          <w:p w14:paraId="471FAA9C">
            <w:pPr>
              <w:spacing w:line="240" w:lineRule="exact"/>
              <w:ind w:firstLine="0" w:firstLineChars="0"/>
              <w:jc w:val="center"/>
              <w:rPr>
                <w:rFonts w:ascii="宋体" w:hAnsi="宋体"/>
                <w:kern w:val="44"/>
                <w:sz w:val="18"/>
                <w:szCs w:val="18"/>
              </w:rPr>
            </w:pPr>
            <w:r>
              <w:rPr>
                <w:rFonts w:hint="eastAsia" w:ascii="宋体" w:hAnsi="宋体"/>
                <w:kern w:val="44"/>
                <w:sz w:val="18"/>
                <w:szCs w:val="18"/>
              </w:rPr>
              <w:t>11.8</w:t>
            </w:r>
          </w:p>
        </w:tc>
        <w:tc>
          <w:tcPr>
            <w:tcW w:w="1134" w:type="dxa"/>
            <w:vAlign w:val="center"/>
          </w:tcPr>
          <w:p w14:paraId="5352BDF0">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992" w:type="dxa"/>
            <w:vAlign w:val="center"/>
          </w:tcPr>
          <w:p w14:paraId="36BC407A">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3997" w:type="dxa"/>
            <w:tcBorders>
              <w:right w:val="single" w:color="auto" w:sz="12" w:space="0"/>
            </w:tcBorders>
            <w:vAlign w:val="center"/>
          </w:tcPr>
          <w:p w14:paraId="564446C0">
            <w:pPr>
              <w:spacing w:line="240" w:lineRule="exact"/>
              <w:ind w:firstLine="0" w:firstLineChars="0"/>
              <w:jc w:val="center"/>
              <w:rPr>
                <w:rFonts w:ascii="宋体" w:hAnsi="宋体"/>
                <w:kern w:val="44"/>
                <w:sz w:val="18"/>
                <w:szCs w:val="18"/>
              </w:rPr>
            </w:pPr>
          </w:p>
        </w:tc>
      </w:tr>
      <w:tr w14:paraId="52604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tcBorders>
            <w:vAlign w:val="center"/>
          </w:tcPr>
          <w:p w14:paraId="22B34E86">
            <w:pPr>
              <w:spacing w:line="240" w:lineRule="exact"/>
              <w:ind w:firstLine="0" w:firstLineChars="0"/>
              <w:jc w:val="center"/>
              <w:rPr>
                <w:rFonts w:ascii="宋体" w:hAnsi="宋体"/>
                <w:kern w:val="44"/>
                <w:sz w:val="18"/>
                <w:szCs w:val="18"/>
              </w:rPr>
            </w:pPr>
          </w:p>
        </w:tc>
        <w:tc>
          <w:tcPr>
            <w:tcW w:w="1418" w:type="dxa"/>
            <w:vAlign w:val="center"/>
          </w:tcPr>
          <w:p w14:paraId="646D68F0">
            <w:pPr>
              <w:spacing w:line="240" w:lineRule="exact"/>
              <w:ind w:firstLine="0" w:firstLineChars="0"/>
              <w:jc w:val="center"/>
              <w:rPr>
                <w:rFonts w:ascii="宋体" w:hAnsi="宋体"/>
                <w:kern w:val="44"/>
                <w:sz w:val="18"/>
                <w:szCs w:val="18"/>
              </w:rPr>
            </w:pPr>
            <w:r>
              <w:rPr>
                <w:rFonts w:hint="eastAsia" w:ascii="宋体" w:hAnsi="宋体"/>
                <w:kern w:val="44"/>
                <w:sz w:val="18"/>
                <w:szCs w:val="18"/>
              </w:rPr>
              <w:t>大羊坊沟</w:t>
            </w:r>
          </w:p>
        </w:tc>
        <w:tc>
          <w:tcPr>
            <w:tcW w:w="3111" w:type="dxa"/>
            <w:vAlign w:val="center"/>
          </w:tcPr>
          <w:p w14:paraId="1A9ADF5D">
            <w:pPr>
              <w:spacing w:line="240" w:lineRule="exact"/>
              <w:ind w:firstLine="0" w:firstLineChars="0"/>
              <w:jc w:val="center"/>
              <w:rPr>
                <w:rFonts w:ascii="宋体" w:hAnsi="宋体"/>
                <w:kern w:val="44"/>
                <w:sz w:val="18"/>
                <w:szCs w:val="18"/>
              </w:rPr>
            </w:pPr>
            <w:r>
              <w:rPr>
                <w:rFonts w:hint="eastAsia" w:ascii="宋体" w:hAnsi="宋体"/>
                <w:kern w:val="44"/>
                <w:sz w:val="18"/>
                <w:szCs w:val="18"/>
              </w:rPr>
              <w:t>十里河～马驹桥</w:t>
            </w:r>
          </w:p>
        </w:tc>
        <w:tc>
          <w:tcPr>
            <w:tcW w:w="1283" w:type="dxa"/>
            <w:vAlign w:val="center"/>
          </w:tcPr>
          <w:p w14:paraId="2E9B68B7">
            <w:pPr>
              <w:spacing w:line="240" w:lineRule="exact"/>
              <w:ind w:firstLine="0" w:firstLineChars="0"/>
              <w:jc w:val="center"/>
              <w:rPr>
                <w:rFonts w:ascii="宋体" w:hAnsi="宋体"/>
                <w:kern w:val="44"/>
                <w:sz w:val="18"/>
                <w:szCs w:val="18"/>
              </w:rPr>
            </w:pPr>
            <w:r>
              <w:rPr>
                <w:rFonts w:hint="eastAsia" w:ascii="宋体" w:hAnsi="宋体"/>
                <w:kern w:val="44"/>
                <w:sz w:val="18"/>
                <w:szCs w:val="18"/>
              </w:rPr>
              <w:t>13.4</w:t>
            </w:r>
          </w:p>
        </w:tc>
        <w:tc>
          <w:tcPr>
            <w:tcW w:w="1134" w:type="dxa"/>
            <w:vAlign w:val="center"/>
          </w:tcPr>
          <w:p w14:paraId="738EEF96">
            <w:pPr>
              <w:spacing w:line="240" w:lineRule="exact"/>
              <w:ind w:firstLine="0" w:firstLineChars="0"/>
              <w:jc w:val="center"/>
              <w:rPr>
                <w:rFonts w:ascii="宋体" w:hAnsi="宋体"/>
                <w:kern w:val="44"/>
                <w:sz w:val="18"/>
                <w:szCs w:val="18"/>
              </w:rPr>
            </w:pPr>
            <w:r>
              <w:rPr>
                <w:rFonts w:hint="eastAsia" w:ascii="宋体" w:hAnsi="宋体"/>
                <w:kern w:val="44"/>
                <w:sz w:val="18"/>
                <w:szCs w:val="18"/>
              </w:rPr>
              <w:t>50</w:t>
            </w:r>
          </w:p>
        </w:tc>
        <w:tc>
          <w:tcPr>
            <w:tcW w:w="992" w:type="dxa"/>
            <w:vAlign w:val="center"/>
          </w:tcPr>
          <w:p w14:paraId="6414E597">
            <w:pPr>
              <w:spacing w:line="240" w:lineRule="exact"/>
              <w:ind w:firstLine="0" w:firstLineChars="0"/>
              <w:jc w:val="center"/>
              <w:rPr>
                <w:rFonts w:ascii="宋体" w:hAnsi="宋体"/>
                <w:kern w:val="44"/>
                <w:sz w:val="18"/>
                <w:szCs w:val="18"/>
              </w:rPr>
            </w:pPr>
            <w:r>
              <w:rPr>
                <w:rFonts w:hint="eastAsia" w:ascii="宋体" w:hAnsi="宋体"/>
                <w:kern w:val="44"/>
                <w:sz w:val="18"/>
                <w:szCs w:val="18"/>
              </w:rPr>
              <w:t>50</w:t>
            </w:r>
          </w:p>
        </w:tc>
        <w:tc>
          <w:tcPr>
            <w:tcW w:w="3997" w:type="dxa"/>
            <w:tcBorders>
              <w:right w:val="single" w:color="auto" w:sz="12" w:space="0"/>
            </w:tcBorders>
            <w:vAlign w:val="center"/>
          </w:tcPr>
          <w:p w14:paraId="0BAB5FBB">
            <w:pPr>
              <w:spacing w:line="240" w:lineRule="exact"/>
              <w:ind w:firstLine="0" w:firstLineChars="0"/>
              <w:jc w:val="center"/>
              <w:rPr>
                <w:rFonts w:ascii="宋体" w:hAnsi="宋体"/>
                <w:kern w:val="44"/>
                <w:sz w:val="18"/>
                <w:szCs w:val="18"/>
              </w:rPr>
            </w:pPr>
          </w:p>
        </w:tc>
      </w:tr>
      <w:tr w14:paraId="4FB8F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4" w:hRule="atLeast"/>
        </w:trPr>
        <w:tc>
          <w:tcPr>
            <w:tcW w:w="1809" w:type="dxa"/>
            <w:tcBorders>
              <w:left w:val="single" w:color="auto" w:sz="12" w:space="0"/>
              <w:bottom w:val="single" w:color="auto" w:sz="12" w:space="0"/>
            </w:tcBorders>
            <w:vAlign w:val="center"/>
          </w:tcPr>
          <w:p w14:paraId="01B7AC85">
            <w:pPr>
              <w:spacing w:line="240" w:lineRule="exact"/>
              <w:ind w:firstLine="0" w:firstLineChars="0"/>
              <w:jc w:val="center"/>
              <w:rPr>
                <w:rFonts w:ascii="宋体" w:hAnsi="宋体"/>
                <w:kern w:val="44"/>
                <w:sz w:val="18"/>
                <w:szCs w:val="18"/>
              </w:rPr>
            </w:pPr>
          </w:p>
        </w:tc>
        <w:tc>
          <w:tcPr>
            <w:tcW w:w="1418" w:type="dxa"/>
            <w:tcBorders>
              <w:bottom w:val="single" w:color="auto" w:sz="12" w:space="0"/>
            </w:tcBorders>
            <w:vAlign w:val="center"/>
          </w:tcPr>
          <w:p w14:paraId="3E2B8F27">
            <w:pPr>
              <w:spacing w:line="240" w:lineRule="exact"/>
              <w:ind w:firstLine="0" w:firstLineChars="0"/>
              <w:jc w:val="center"/>
              <w:rPr>
                <w:rFonts w:ascii="宋体" w:hAnsi="宋体"/>
                <w:kern w:val="44"/>
                <w:sz w:val="18"/>
                <w:szCs w:val="18"/>
              </w:rPr>
            </w:pPr>
            <w:r>
              <w:rPr>
                <w:rFonts w:hint="eastAsia" w:ascii="宋体" w:hAnsi="宋体"/>
                <w:kern w:val="44"/>
                <w:sz w:val="18"/>
                <w:szCs w:val="18"/>
              </w:rPr>
              <w:t>旱河</w:t>
            </w:r>
          </w:p>
        </w:tc>
        <w:tc>
          <w:tcPr>
            <w:tcW w:w="3111" w:type="dxa"/>
            <w:tcBorders>
              <w:bottom w:val="single" w:color="auto" w:sz="12" w:space="0"/>
            </w:tcBorders>
            <w:vAlign w:val="center"/>
          </w:tcPr>
          <w:p w14:paraId="5DDEBB02">
            <w:pPr>
              <w:spacing w:line="240" w:lineRule="exact"/>
              <w:ind w:firstLine="0" w:firstLineChars="0"/>
              <w:jc w:val="center"/>
              <w:rPr>
                <w:rFonts w:ascii="宋体" w:hAnsi="宋体"/>
                <w:kern w:val="44"/>
                <w:sz w:val="18"/>
                <w:szCs w:val="18"/>
              </w:rPr>
            </w:pPr>
            <w:r>
              <w:rPr>
                <w:rFonts w:hint="eastAsia" w:ascii="宋体" w:hAnsi="宋体"/>
                <w:kern w:val="44"/>
                <w:sz w:val="18"/>
                <w:szCs w:val="18"/>
              </w:rPr>
              <w:t>潘家庙～凉水河</w:t>
            </w:r>
          </w:p>
        </w:tc>
        <w:tc>
          <w:tcPr>
            <w:tcW w:w="1283" w:type="dxa"/>
            <w:tcBorders>
              <w:bottom w:val="single" w:color="auto" w:sz="12" w:space="0"/>
            </w:tcBorders>
            <w:vAlign w:val="center"/>
          </w:tcPr>
          <w:p w14:paraId="53A894F5">
            <w:pPr>
              <w:spacing w:line="240" w:lineRule="exact"/>
              <w:ind w:firstLine="0" w:firstLineChars="0"/>
              <w:jc w:val="center"/>
              <w:rPr>
                <w:rFonts w:ascii="宋体" w:hAnsi="宋体"/>
                <w:kern w:val="44"/>
                <w:sz w:val="18"/>
                <w:szCs w:val="18"/>
              </w:rPr>
            </w:pPr>
            <w:r>
              <w:rPr>
                <w:rFonts w:hint="eastAsia" w:ascii="宋体" w:hAnsi="宋体"/>
                <w:kern w:val="44"/>
                <w:sz w:val="18"/>
                <w:szCs w:val="18"/>
              </w:rPr>
              <w:t>6.7</w:t>
            </w:r>
          </w:p>
        </w:tc>
        <w:tc>
          <w:tcPr>
            <w:tcW w:w="1134" w:type="dxa"/>
            <w:tcBorders>
              <w:bottom w:val="single" w:color="auto" w:sz="12" w:space="0"/>
            </w:tcBorders>
            <w:vAlign w:val="center"/>
          </w:tcPr>
          <w:p w14:paraId="4B14696B">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992" w:type="dxa"/>
            <w:tcBorders>
              <w:bottom w:val="single" w:color="auto" w:sz="12" w:space="0"/>
            </w:tcBorders>
            <w:vAlign w:val="center"/>
          </w:tcPr>
          <w:p w14:paraId="2510E09E">
            <w:pPr>
              <w:spacing w:line="240" w:lineRule="exact"/>
              <w:ind w:firstLine="0" w:firstLineChars="0"/>
              <w:jc w:val="center"/>
              <w:rPr>
                <w:rFonts w:ascii="宋体" w:hAnsi="宋体"/>
                <w:kern w:val="44"/>
                <w:sz w:val="18"/>
                <w:szCs w:val="18"/>
              </w:rPr>
            </w:pPr>
            <w:r>
              <w:rPr>
                <w:rFonts w:hint="eastAsia" w:ascii="宋体" w:hAnsi="宋体"/>
                <w:kern w:val="44"/>
                <w:sz w:val="18"/>
                <w:szCs w:val="18"/>
              </w:rPr>
              <w:t>20</w:t>
            </w:r>
          </w:p>
        </w:tc>
        <w:tc>
          <w:tcPr>
            <w:tcW w:w="3997" w:type="dxa"/>
            <w:tcBorders>
              <w:bottom w:val="single" w:color="auto" w:sz="12" w:space="0"/>
              <w:right w:val="single" w:color="auto" w:sz="12" w:space="0"/>
            </w:tcBorders>
            <w:vAlign w:val="center"/>
          </w:tcPr>
          <w:p w14:paraId="7D21AE8C">
            <w:pPr>
              <w:spacing w:line="240" w:lineRule="exact"/>
              <w:ind w:firstLine="0" w:firstLineChars="0"/>
              <w:jc w:val="center"/>
              <w:rPr>
                <w:rFonts w:ascii="宋体" w:hAnsi="宋体"/>
                <w:kern w:val="44"/>
                <w:sz w:val="18"/>
                <w:szCs w:val="18"/>
              </w:rPr>
            </w:pPr>
          </w:p>
        </w:tc>
      </w:tr>
    </w:tbl>
    <w:p w14:paraId="79AD78F2">
      <w:pPr>
        <w:ind w:firstLine="0" w:firstLineChars="0"/>
        <w:jc w:val="center"/>
        <w:rPr>
          <w:rFonts w:ascii="宋体" w:hAnsi="宋体"/>
          <w:kern w:val="44"/>
        </w:rPr>
      </w:pPr>
    </w:p>
    <w:p w14:paraId="47C79E93">
      <w:pPr>
        <w:ind w:firstLine="0" w:firstLineChars="0"/>
        <w:jc w:val="left"/>
        <w:rPr>
          <w:rFonts w:ascii="宋体" w:hAnsi="宋体"/>
          <w:kern w:val="44"/>
        </w:rPr>
      </w:pPr>
      <w:r>
        <w:rPr>
          <w:rFonts w:hint="eastAsia" w:ascii="宋体" w:hAnsi="宋体"/>
          <w:kern w:val="44"/>
        </w:rPr>
        <w:t xml:space="preserve">发布部门：北京市政府　                            发布日期：1994年01月17日       </w:t>
      </w:r>
      <w:r>
        <w:rPr>
          <w:rFonts w:hint="eastAsia" w:ascii="宋体" w:hAnsi="宋体"/>
          <w:kern w:val="44"/>
          <w:lang w:val="en-US" w:eastAsia="zh-CN"/>
        </w:rPr>
        <w:t xml:space="preserve"> </w:t>
      </w:r>
      <w:r>
        <w:rPr>
          <w:rFonts w:hint="eastAsia" w:ascii="宋体" w:hAnsi="宋体"/>
          <w:kern w:val="44"/>
        </w:rPr>
        <w:t xml:space="preserve">           实施日期：1984年11月03日（地方法规）</w:t>
      </w:r>
    </w:p>
    <w:p w14:paraId="2799AF27">
      <w:pPr>
        <w:pStyle w:val="4"/>
        <w:jc w:val="both"/>
        <w:rPr>
          <w:kern w:val="44"/>
        </w:rPr>
        <w:sectPr>
          <w:pgSz w:w="16838" w:h="11906" w:orient="landscape"/>
          <w:pgMar w:top="1797" w:right="1440" w:bottom="1797" w:left="1440" w:header="851" w:footer="992" w:gutter="0"/>
          <w:cols w:space="720" w:num="1"/>
          <w:docGrid w:type="linesAndChars" w:linePitch="312" w:charSpace="0"/>
        </w:sectPr>
      </w:pPr>
    </w:p>
    <w:p w14:paraId="10377BEE">
      <w:pPr>
        <w:pStyle w:val="4"/>
        <w:pageBreakBefore/>
        <w:rPr>
          <w:kern w:val="44"/>
        </w:rPr>
      </w:pPr>
      <w:bookmarkStart w:id="765" w:name="_Toc428780077"/>
      <w:bookmarkStart w:id="766" w:name="_Toc427651511"/>
      <w:bookmarkStart w:id="767" w:name="_Toc427651853"/>
      <w:bookmarkStart w:id="768" w:name="_Toc422471217"/>
      <w:bookmarkStart w:id="769" w:name="_Toc428781559"/>
      <w:r>
        <w:rPr>
          <w:rFonts w:hint="eastAsia"/>
          <w:kern w:val="44"/>
        </w:rPr>
        <w:t>北京市人民政府关于在城市道路两侧</w:t>
      </w:r>
      <w:bookmarkEnd w:id="765"/>
      <w:bookmarkEnd w:id="766"/>
      <w:bookmarkEnd w:id="767"/>
      <w:bookmarkEnd w:id="768"/>
      <w:bookmarkEnd w:id="769"/>
    </w:p>
    <w:p w14:paraId="620998B8">
      <w:pPr>
        <w:pStyle w:val="4"/>
        <w:rPr>
          <w:kern w:val="44"/>
        </w:rPr>
      </w:pPr>
      <w:bookmarkStart w:id="770" w:name="_Toc427651854"/>
      <w:bookmarkStart w:id="771" w:name="_Toc422471218"/>
      <w:bookmarkStart w:id="772" w:name="_Toc428781560"/>
      <w:bookmarkStart w:id="773" w:name="_Toc428780078"/>
      <w:bookmarkStart w:id="774" w:name="_Toc427651512"/>
      <w:r>
        <w:rPr>
          <w:rFonts w:hint="eastAsia"/>
          <w:kern w:val="44"/>
        </w:rPr>
        <w:t>和交叉路口周围新建、改建建筑</w:t>
      </w:r>
      <w:bookmarkEnd w:id="770"/>
      <w:bookmarkEnd w:id="771"/>
      <w:bookmarkEnd w:id="772"/>
      <w:bookmarkEnd w:id="773"/>
      <w:bookmarkEnd w:id="774"/>
    </w:p>
    <w:p w14:paraId="1FB64CDC">
      <w:pPr>
        <w:pStyle w:val="4"/>
        <w:rPr>
          <w:kern w:val="44"/>
        </w:rPr>
      </w:pPr>
      <w:bookmarkStart w:id="775" w:name="_Toc427651855"/>
      <w:bookmarkStart w:id="776" w:name="_Toc422471219"/>
      <w:bookmarkStart w:id="777" w:name="_Toc428781561"/>
      <w:bookmarkStart w:id="778" w:name="_Toc428780079"/>
      <w:bookmarkStart w:id="779" w:name="_Toc427651513"/>
      <w:r>
        <w:rPr>
          <w:rFonts w:hint="eastAsia"/>
          <w:kern w:val="44"/>
        </w:rPr>
        <w:t>工程的若干规定</w:t>
      </w:r>
      <w:bookmarkEnd w:id="775"/>
      <w:bookmarkEnd w:id="776"/>
      <w:bookmarkEnd w:id="777"/>
      <w:bookmarkEnd w:id="778"/>
      <w:bookmarkEnd w:id="779"/>
    </w:p>
    <w:p w14:paraId="29F2E411">
      <w:pPr>
        <w:ind w:left="630" w:leftChars="300" w:right="630" w:rightChars="300"/>
        <w:rPr>
          <w:rFonts w:ascii="楷体" w:hAnsi="楷体" w:eastAsia="楷体"/>
          <w:kern w:val="44"/>
        </w:rPr>
      </w:pPr>
      <w:r>
        <w:rPr>
          <w:rFonts w:hint="eastAsia" w:ascii="楷体" w:hAnsi="楷体" w:eastAsia="楷体"/>
          <w:kern w:val="44"/>
        </w:rPr>
        <w:t>（1987年3月25日北京市人民政府京政发33号文件发布）</w:t>
      </w:r>
    </w:p>
    <w:p w14:paraId="3AD20E1D">
      <w:pPr>
        <w:jc w:val="left"/>
        <w:rPr>
          <w:rFonts w:ascii="宋体" w:hAnsi="宋体"/>
          <w:kern w:val="44"/>
        </w:rPr>
      </w:pPr>
    </w:p>
    <w:p w14:paraId="2965F01F">
      <w:pPr>
        <w:spacing w:line="356" w:lineRule="exact"/>
        <w:jc w:val="left"/>
        <w:rPr>
          <w:rFonts w:ascii="宋体" w:hAnsi="宋体"/>
          <w:kern w:val="44"/>
        </w:rPr>
      </w:pPr>
      <w:r>
        <w:rPr>
          <w:rFonts w:hint="eastAsia" w:ascii="宋体" w:hAnsi="宋体"/>
          <w:kern w:val="44"/>
        </w:rPr>
        <w:t>为维护交通秩序，改善城市道路两侧和交叉路口的环境，并为绿化首都、美化市容创造条件，根据北京城市总体规划的要求，特作如下规定。</w:t>
      </w:r>
    </w:p>
    <w:p w14:paraId="069BC14C">
      <w:pPr>
        <w:spacing w:line="356" w:lineRule="exact"/>
        <w:ind w:firstLine="422"/>
        <w:jc w:val="left"/>
        <w:rPr>
          <w:rFonts w:ascii="宋体" w:hAnsi="宋体"/>
          <w:kern w:val="44"/>
        </w:rPr>
      </w:pPr>
      <w:r>
        <w:rPr>
          <w:rFonts w:hint="eastAsia" w:ascii="宋体" w:hAnsi="宋体"/>
          <w:b w:val="0"/>
          <w:bCs/>
          <w:kern w:val="44"/>
        </w:rPr>
        <w:t>一</w:t>
      </w:r>
      <w:r>
        <w:rPr>
          <w:rFonts w:hint="eastAsia" w:ascii="宋体" w:hAnsi="宋体"/>
          <w:b/>
          <w:kern w:val="44"/>
        </w:rPr>
        <w:t>、</w:t>
      </w:r>
      <w:r>
        <w:rPr>
          <w:rFonts w:hint="eastAsia" w:ascii="宋体" w:hAnsi="宋体"/>
          <w:kern w:val="44"/>
        </w:rPr>
        <w:t>凡在本市市区和郊区城镇地区的道路（包括主干道、次干道和支路，以下简称城市道路）两侧和交叉路口周围新建、改建建筑工程，均须按以下规定保持建筑工程与城市道路（即规划道路红线，下同）之间的距离：</w:t>
      </w:r>
    </w:p>
    <w:p w14:paraId="115AA200">
      <w:pPr>
        <w:spacing w:line="356" w:lineRule="exact"/>
        <w:jc w:val="left"/>
        <w:rPr>
          <w:rFonts w:ascii="宋体" w:hAnsi="宋体"/>
          <w:kern w:val="44"/>
        </w:rPr>
      </w:pPr>
      <w:r>
        <w:rPr>
          <w:rFonts w:hint="eastAsia" w:ascii="宋体" w:hAnsi="宋体"/>
          <w:kern w:val="44"/>
        </w:rPr>
        <w:t>（一）立体交叉路口周围建筑工程与城市道路距离的宽度，视城市道路宽度而定：城市道路宽度在150米以上的，距离的宽度不小于15米；城市道路宽度在150米以下（含150米）的，距离的宽度不小于30米。</w:t>
      </w:r>
    </w:p>
    <w:p w14:paraId="094A8683">
      <w:pPr>
        <w:spacing w:line="356" w:lineRule="exact"/>
        <w:jc w:val="left"/>
        <w:rPr>
          <w:rFonts w:ascii="宋体" w:hAnsi="宋体"/>
          <w:kern w:val="44"/>
        </w:rPr>
      </w:pPr>
      <w:r>
        <w:rPr>
          <w:rFonts w:hint="eastAsia" w:ascii="宋体" w:hAnsi="宋体"/>
          <w:kern w:val="44"/>
        </w:rPr>
        <w:t>立体交叉引桥高出地面的，建筑工程距离引桥路面外边线的宽度不小于30米。</w:t>
      </w:r>
    </w:p>
    <w:p w14:paraId="73946F96">
      <w:pPr>
        <w:spacing w:line="356" w:lineRule="exact"/>
        <w:jc w:val="left"/>
        <w:rPr>
          <w:rFonts w:ascii="宋体" w:hAnsi="宋体"/>
          <w:kern w:val="44"/>
        </w:rPr>
      </w:pPr>
      <w:r>
        <w:rPr>
          <w:rFonts w:hint="eastAsia" w:ascii="宋体" w:hAnsi="宋体"/>
          <w:kern w:val="44"/>
        </w:rPr>
        <w:t>特殊形式立体交叉路口周围建筑工程与城市道路距离的宽度，由市规划管理局视具体情况确定。</w:t>
      </w:r>
    </w:p>
    <w:p w14:paraId="0E047653">
      <w:pPr>
        <w:spacing w:line="356" w:lineRule="exact"/>
        <w:jc w:val="left"/>
        <w:rPr>
          <w:rFonts w:ascii="宋体" w:hAnsi="宋体"/>
          <w:kern w:val="44"/>
        </w:rPr>
      </w:pPr>
      <w:r>
        <w:rPr>
          <w:rFonts w:hint="eastAsia" w:ascii="宋体" w:hAnsi="宋体"/>
          <w:kern w:val="44"/>
        </w:rPr>
        <w:t>（二）平交路口周围30米范围内，根据规划的需要，建筑工程与城市道路距离宽度不小于10至20米。</w:t>
      </w:r>
    </w:p>
    <w:p w14:paraId="4E7D8CF3">
      <w:pPr>
        <w:spacing w:line="356" w:lineRule="exact"/>
        <w:jc w:val="left"/>
        <w:rPr>
          <w:rFonts w:ascii="宋体" w:hAnsi="宋体"/>
          <w:kern w:val="44"/>
        </w:rPr>
      </w:pPr>
      <w:r>
        <w:rPr>
          <w:rFonts w:hint="eastAsia" w:ascii="宋体" w:hAnsi="宋体"/>
          <w:kern w:val="44"/>
        </w:rPr>
        <w:t>（三）城市道路两侧（即非交叉路口的路段）建筑工程与城市道路距离的宽度，由市规划管理局按规划的需要规定。</w:t>
      </w:r>
    </w:p>
    <w:p w14:paraId="4DBFD89D">
      <w:pPr>
        <w:spacing w:line="356" w:lineRule="exact"/>
        <w:jc w:val="left"/>
        <w:rPr>
          <w:rFonts w:ascii="宋体" w:hAnsi="宋体"/>
          <w:kern w:val="44"/>
        </w:rPr>
      </w:pPr>
      <w:r>
        <w:rPr>
          <w:rFonts w:hint="eastAsia" w:ascii="宋体" w:hAnsi="宋体"/>
          <w:kern w:val="44"/>
        </w:rPr>
        <w:t>（四）城市道路两侧现有建筑物翻建或建设临时性建筑工程，按规定保留距离的宽度确有困难的，可适当照顾。但建筑工程与现有城市道路路面边线的距离，不得小于10至15米。</w:t>
      </w:r>
    </w:p>
    <w:p w14:paraId="41F875CF">
      <w:pPr>
        <w:spacing w:line="356" w:lineRule="exact"/>
        <w:jc w:val="left"/>
        <w:rPr>
          <w:rFonts w:ascii="宋体" w:hAnsi="宋体"/>
          <w:kern w:val="44"/>
        </w:rPr>
      </w:pPr>
      <w:r>
        <w:rPr>
          <w:rFonts w:hint="eastAsia" w:ascii="宋体" w:hAnsi="宋体"/>
          <w:kern w:val="44"/>
        </w:rPr>
        <w:t>现有城市道路交叉口范围内，禁止新建临时性建筑工程。</w:t>
      </w:r>
    </w:p>
    <w:p w14:paraId="524A1A0C">
      <w:pPr>
        <w:spacing w:line="356" w:lineRule="exact"/>
        <w:ind w:firstLine="422"/>
        <w:jc w:val="left"/>
        <w:rPr>
          <w:rFonts w:ascii="宋体" w:hAnsi="宋体"/>
          <w:kern w:val="44"/>
        </w:rPr>
      </w:pPr>
      <w:r>
        <w:rPr>
          <w:rFonts w:hint="eastAsia" w:ascii="宋体" w:hAnsi="宋体"/>
          <w:b/>
          <w:kern w:val="44"/>
        </w:rPr>
        <w:t>二、</w:t>
      </w:r>
      <w:r>
        <w:rPr>
          <w:rFonts w:hint="eastAsia" w:ascii="宋体" w:hAnsi="宋体"/>
          <w:kern w:val="44"/>
        </w:rPr>
        <w:t>建筑工程与城市道路之间按规定宽度保留的空地，由市规划管理局安排用途。在用途确定前，可暂由新建、改建工程的建设单位负责进行绿化。</w:t>
      </w:r>
    </w:p>
    <w:p w14:paraId="67883D87">
      <w:pPr>
        <w:spacing w:line="356" w:lineRule="exact"/>
        <w:ind w:firstLine="422"/>
        <w:jc w:val="left"/>
        <w:rPr>
          <w:rFonts w:ascii="宋体" w:hAnsi="宋体"/>
          <w:kern w:val="44"/>
        </w:rPr>
      </w:pPr>
      <w:r>
        <w:rPr>
          <w:rFonts w:hint="eastAsia" w:ascii="宋体" w:hAnsi="宋体"/>
          <w:b/>
          <w:kern w:val="44"/>
        </w:rPr>
        <w:t>三、</w:t>
      </w:r>
      <w:r>
        <w:rPr>
          <w:rFonts w:hint="eastAsia" w:ascii="宋体" w:hAnsi="宋体"/>
          <w:kern w:val="44"/>
        </w:rPr>
        <w:t>新建大型公共建筑工程（包括饭店、旅馆、写字楼、医院、影剧院、博物馆、大型商场等），除按本规定进行建设外，还须按规划要求在建设用地范围内留足停车场和绿化用地。</w:t>
      </w:r>
    </w:p>
    <w:p w14:paraId="32F687CC">
      <w:pPr>
        <w:spacing w:line="356" w:lineRule="exact"/>
        <w:ind w:firstLine="422"/>
        <w:jc w:val="left"/>
        <w:rPr>
          <w:rFonts w:ascii="宋体" w:hAnsi="宋体"/>
          <w:kern w:val="44"/>
        </w:rPr>
      </w:pPr>
      <w:r>
        <w:rPr>
          <w:rFonts w:hint="eastAsia" w:ascii="宋体" w:hAnsi="宋体"/>
          <w:b/>
          <w:kern w:val="44"/>
        </w:rPr>
        <w:t>四、</w:t>
      </w:r>
      <w:r>
        <w:rPr>
          <w:rFonts w:hint="eastAsia" w:ascii="宋体" w:hAnsi="宋体"/>
          <w:kern w:val="44"/>
        </w:rPr>
        <w:t>本规定执行中的具体问题，由市规划管理局负责解释。</w:t>
      </w:r>
    </w:p>
    <w:p w14:paraId="275427FF">
      <w:pPr>
        <w:spacing w:line="356" w:lineRule="exact"/>
        <w:ind w:firstLine="422"/>
        <w:jc w:val="left"/>
        <w:rPr>
          <w:rFonts w:ascii="宋体" w:hAnsi="宋体"/>
          <w:kern w:val="44"/>
        </w:rPr>
      </w:pPr>
      <w:r>
        <w:rPr>
          <w:rFonts w:hint="eastAsia" w:ascii="宋体" w:hAnsi="宋体"/>
          <w:b/>
          <w:kern w:val="44"/>
        </w:rPr>
        <w:t>五、</w:t>
      </w:r>
      <w:r>
        <w:rPr>
          <w:rFonts w:hint="eastAsia" w:ascii="宋体" w:hAnsi="宋体"/>
          <w:kern w:val="44"/>
        </w:rPr>
        <w:t>本规定自1987年4月1日起施行。本规定施行前已经批准建设但尚未施工的建筑工程，由市规划管理局根据本规定，区别不同情况重新审定。</w:t>
      </w:r>
    </w:p>
    <w:p w14:paraId="56772D93">
      <w:pPr>
        <w:spacing w:line="356" w:lineRule="exact"/>
        <w:jc w:val="left"/>
        <w:rPr>
          <w:rFonts w:ascii="宋体" w:hAnsi="宋体"/>
          <w:kern w:val="44"/>
        </w:rPr>
      </w:pPr>
      <w:r>
        <w:rPr>
          <w:rFonts w:hint="eastAsia" w:ascii="宋体" w:hAnsi="宋体"/>
          <w:kern w:val="44"/>
        </w:rPr>
        <w:t>市人民政府1984年2月10日批准施行的《关于在城市干道两侧划定隔离带的规定》 中，有关城市干道通过城镇地区路段的隔离带宽度的规定，一律按本规定修订。</w:t>
      </w:r>
    </w:p>
    <w:p w14:paraId="39C1F13B">
      <w:pPr>
        <w:pStyle w:val="4"/>
        <w:pageBreakBefore/>
        <w:rPr>
          <w:kern w:val="44"/>
        </w:rPr>
      </w:pPr>
      <w:bookmarkStart w:id="780" w:name="_Toc427651514"/>
      <w:bookmarkStart w:id="781" w:name="_Toc428780080"/>
      <w:bookmarkStart w:id="782" w:name="_Toc422471220"/>
      <w:bookmarkStart w:id="783" w:name="_Toc428781562"/>
      <w:bookmarkStart w:id="784" w:name="_Toc427651856"/>
      <w:r>
        <w:rPr>
          <w:rFonts w:hint="eastAsia"/>
          <w:kern w:val="44"/>
        </w:rPr>
        <w:t>关于城市干道两侧隔离带内现有村镇</w:t>
      </w:r>
      <w:bookmarkEnd w:id="780"/>
      <w:bookmarkEnd w:id="781"/>
      <w:bookmarkEnd w:id="782"/>
      <w:bookmarkEnd w:id="783"/>
      <w:bookmarkEnd w:id="784"/>
    </w:p>
    <w:p w14:paraId="200E6AB7">
      <w:pPr>
        <w:pStyle w:val="4"/>
        <w:rPr>
          <w:kern w:val="44"/>
        </w:rPr>
      </w:pPr>
      <w:bookmarkStart w:id="785" w:name="_Toc422471221"/>
      <w:bookmarkStart w:id="786" w:name="_Toc427651515"/>
      <w:bookmarkStart w:id="787" w:name="_Toc427651857"/>
      <w:bookmarkStart w:id="788" w:name="_Toc428781563"/>
      <w:bookmarkStart w:id="789" w:name="_Toc428780081"/>
      <w:r>
        <w:rPr>
          <w:rFonts w:hint="eastAsia"/>
          <w:kern w:val="44"/>
        </w:rPr>
        <w:t>建设管理的若干规定</w:t>
      </w:r>
      <w:bookmarkEnd w:id="785"/>
      <w:bookmarkEnd w:id="786"/>
      <w:bookmarkEnd w:id="787"/>
      <w:bookmarkEnd w:id="788"/>
      <w:bookmarkEnd w:id="789"/>
    </w:p>
    <w:p w14:paraId="7725F24C">
      <w:pPr>
        <w:ind w:left="630" w:leftChars="300" w:right="630" w:rightChars="300"/>
        <w:jc w:val="left"/>
        <w:rPr>
          <w:rFonts w:ascii="楷体" w:hAnsi="楷体" w:eastAsia="楷体"/>
          <w:kern w:val="44"/>
        </w:rPr>
      </w:pPr>
      <w:r>
        <w:rPr>
          <w:rFonts w:hint="eastAsia" w:ascii="楷体" w:hAnsi="楷体" w:eastAsia="楷体"/>
          <w:kern w:val="44"/>
        </w:rPr>
        <w:t>（1988年2月24日北京市人民政府京政发17号文件发布  根据1994年1月17日北京市人民政府批准修改）</w:t>
      </w:r>
    </w:p>
    <w:p w14:paraId="7CF2EF77">
      <w:pPr>
        <w:jc w:val="left"/>
        <w:rPr>
          <w:rFonts w:ascii="宋体" w:hAnsi="宋体"/>
          <w:kern w:val="44"/>
        </w:rPr>
      </w:pPr>
    </w:p>
    <w:p w14:paraId="4FC7F285">
      <w:pPr>
        <w:jc w:val="left"/>
        <w:rPr>
          <w:rFonts w:ascii="宋体" w:hAnsi="宋体"/>
          <w:kern w:val="44"/>
        </w:rPr>
      </w:pPr>
      <w:r>
        <w:rPr>
          <w:rFonts w:hint="eastAsia" w:ascii="宋体" w:hAnsi="宋体"/>
          <w:kern w:val="44"/>
        </w:rPr>
        <w:t>为进一步贯彻市政府批准的《关于在城市干道两则划定隔离带的规定》，加强对本市城市干道两侧隔离带内现有村镇建设的规划管理，保证实现划定隔离带的目的，特作以下补充规定：</w:t>
      </w:r>
    </w:p>
    <w:p w14:paraId="640DC361">
      <w:pPr>
        <w:ind w:firstLine="422"/>
        <w:jc w:val="left"/>
        <w:rPr>
          <w:rFonts w:ascii="宋体" w:hAnsi="宋体"/>
          <w:kern w:val="44"/>
        </w:rPr>
      </w:pPr>
      <w:r>
        <w:rPr>
          <w:rFonts w:hint="eastAsia" w:ascii="宋体" w:hAnsi="宋体"/>
          <w:b/>
          <w:bCs w:val="0"/>
          <w:kern w:val="44"/>
        </w:rPr>
        <w:t>一</w:t>
      </w:r>
      <w:r>
        <w:rPr>
          <w:rFonts w:hint="eastAsia" w:ascii="宋体" w:hAnsi="宋体"/>
          <w:b/>
          <w:kern w:val="44"/>
        </w:rPr>
        <w:t>、</w:t>
      </w:r>
      <w:r>
        <w:rPr>
          <w:rFonts w:hint="eastAsia" w:ascii="宋体" w:hAnsi="宋体"/>
          <w:kern w:val="44"/>
        </w:rPr>
        <w:t>凡本市平原农业区城市干道两侧隔离带内的现有村镇（以下简称现有村镇，不包括建制镇）建设，由城市规划行政主管部门制定调整规划方案，并按本规定管理。</w:t>
      </w:r>
    </w:p>
    <w:p w14:paraId="44A3E0CB">
      <w:pPr>
        <w:ind w:firstLine="422"/>
        <w:jc w:val="left"/>
        <w:rPr>
          <w:rFonts w:ascii="宋体" w:hAnsi="宋体"/>
          <w:kern w:val="44"/>
        </w:rPr>
      </w:pPr>
      <w:r>
        <w:rPr>
          <w:rFonts w:hint="eastAsia" w:ascii="宋体" w:hAnsi="宋体"/>
          <w:b/>
          <w:kern w:val="44"/>
        </w:rPr>
        <w:t>二、</w:t>
      </w:r>
      <w:r>
        <w:rPr>
          <w:rFonts w:hint="eastAsia" w:ascii="宋体" w:hAnsi="宋体"/>
          <w:kern w:val="44"/>
        </w:rPr>
        <w:t>现有村镇内的乡镇机关、企业事业单位新建工作或生产用房，须在其原建设用地范围内进行建设，不得侵占城市规划干道（即规划干道红线，下同），原用地范围内不能安排建设的，须在隔离带以外建设。</w:t>
      </w:r>
    </w:p>
    <w:p w14:paraId="500F1ACF">
      <w:pPr>
        <w:ind w:firstLine="422"/>
        <w:jc w:val="left"/>
        <w:rPr>
          <w:rFonts w:ascii="宋体" w:hAnsi="宋体"/>
          <w:kern w:val="44"/>
        </w:rPr>
      </w:pPr>
      <w:r>
        <w:rPr>
          <w:rFonts w:hint="eastAsia" w:ascii="宋体" w:hAnsi="宋体"/>
          <w:b/>
          <w:bCs w:val="0"/>
          <w:kern w:val="44"/>
        </w:rPr>
        <w:t>三</w:t>
      </w:r>
      <w:r>
        <w:rPr>
          <w:rFonts w:hint="eastAsia" w:ascii="宋体" w:hAnsi="宋体"/>
          <w:b/>
          <w:kern w:val="44"/>
        </w:rPr>
        <w:t>、</w:t>
      </w:r>
      <w:r>
        <w:rPr>
          <w:rFonts w:hint="eastAsia" w:ascii="宋体" w:hAnsi="宋体"/>
          <w:kern w:val="44"/>
        </w:rPr>
        <w:t>现有村镇新建商业、服务业用房和农村住宅，应在隔离带以外安排建设，确因群众实际生活需要，必须在隔离带内建设的，一律不得侵占城市规划干道。</w:t>
      </w:r>
    </w:p>
    <w:p w14:paraId="77224086">
      <w:pPr>
        <w:ind w:firstLine="422"/>
        <w:jc w:val="left"/>
        <w:rPr>
          <w:rFonts w:ascii="宋体" w:hAnsi="宋体"/>
          <w:kern w:val="44"/>
        </w:rPr>
      </w:pPr>
      <w:r>
        <w:rPr>
          <w:rFonts w:hint="eastAsia" w:ascii="宋体" w:hAnsi="宋体"/>
          <w:b/>
          <w:kern w:val="44"/>
        </w:rPr>
        <w:t>四、</w:t>
      </w:r>
      <w:r>
        <w:rPr>
          <w:rFonts w:hint="eastAsia" w:ascii="宋体" w:hAnsi="宋体"/>
          <w:kern w:val="44"/>
        </w:rPr>
        <w:t>现有村镇房屋翻建，不能超出原用地范围。原有房屋占压城市规划干道的，翻建时应退出占压的城市规划干道。退出城市规划干道确有困难的，可暂予适当照顾，但翻建房屋与现有道路路面边线的距离不得小于10至15米。</w:t>
      </w:r>
    </w:p>
    <w:p w14:paraId="5661D617">
      <w:pPr>
        <w:ind w:firstLine="422"/>
        <w:jc w:val="left"/>
        <w:rPr>
          <w:rFonts w:ascii="宋体" w:hAnsi="宋体"/>
          <w:kern w:val="44"/>
        </w:rPr>
      </w:pPr>
      <w:r>
        <w:rPr>
          <w:rFonts w:hint="eastAsia" w:ascii="宋体" w:hAnsi="宋体"/>
          <w:b/>
          <w:kern w:val="44"/>
        </w:rPr>
        <w:t>五、</w:t>
      </w:r>
      <w:r>
        <w:rPr>
          <w:rFonts w:hint="eastAsia" w:ascii="宋体" w:hAnsi="宋体"/>
          <w:kern w:val="44"/>
        </w:rPr>
        <w:t>远郊区城市干道未定线的，暂按现在道路路面中心向两侧垂直平分确定城市规划干道范围，主干道按60米宽度平分，次干道按50米宽度平分。</w:t>
      </w:r>
    </w:p>
    <w:p w14:paraId="4657544D">
      <w:pPr>
        <w:ind w:firstLine="422"/>
        <w:jc w:val="left"/>
        <w:rPr>
          <w:rFonts w:ascii="宋体" w:hAnsi="宋体"/>
          <w:kern w:val="44"/>
        </w:rPr>
      </w:pPr>
      <w:r>
        <w:rPr>
          <w:rFonts w:hint="eastAsia" w:ascii="宋体" w:hAnsi="宋体"/>
          <w:b/>
          <w:kern w:val="44"/>
        </w:rPr>
        <w:t>六、</w:t>
      </w:r>
      <w:r>
        <w:rPr>
          <w:rFonts w:hint="eastAsia" w:ascii="宋体" w:hAnsi="宋体"/>
          <w:kern w:val="44"/>
        </w:rPr>
        <w:t>城市干道隔离带内的现有村镇建设，均须按有关规定，报城市规划行政主管部门审批。</w:t>
      </w:r>
    </w:p>
    <w:p w14:paraId="43FF4B1F">
      <w:pPr>
        <w:ind w:firstLine="422"/>
        <w:jc w:val="left"/>
        <w:rPr>
          <w:rFonts w:ascii="宋体" w:hAnsi="宋体"/>
          <w:kern w:val="44"/>
        </w:rPr>
      </w:pPr>
      <w:r>
        <w:rPr>
          <w:rFonts w:hint="eastAsia" w:ascii="宋体" w:hAnsi="宋体"/>
          <w:b/>
          <w:kern w:val="44"/>
        </w:rPr>
        <w:t>七、</w:t>
      </w:r>
      <w:r>
        <w:rPr>
          <w:rFonts w:hint="eastAsia" w:ascii="宋体" w:hAnsi="宋体"/>
          <w:kern w:val="44"/>
        </w:rPr>
        <w:t>通过山区的城市干道两侧隔离带内的现有村镇建设，由城市规划行政主管部门视具体情况，参照本规定管理。</w:t>
      </w:r>
    </w:p>
    <w:p w14:paraId="5DB15856">
      <w:pPr>
        <w:ind w:firstLine="422"/>
        <w:jc w:val="left"/>
        <w:rPr>
          <w:rFonts w:ascii="宋体" w:hAnsi="宋体"/>
          <w:kern w:val="44"/>
        </w:rPr>
      </w:pPr>
      <w:r>
        <w:rPr>
          <w:rFonts w:hint="eastAsia" w:ascii="宋体" w:hAnsi="宋体"/>
          <w:b/>
          <w:kern w:val="44"/>
        </w:rPr>
        <w:t>八、</w:t>
      </w:r>
      <w:r>
        <w:rPr>
          <w:rFonts w:hint="eastAsia" w:ascii="宋体" w:hAnsi="宋体"/>
          <w:kern w:val="44"/>
        </w:rPr>
        <w:t>凡违反本规定的，一律按违法建设处理。</w:t>
      </w:r>
    </w:p>
    <w:p w14:paraId="5A0FC182">
      <w:pPr>
        <w:ind w:firstLine="422"/>
        <w:jc w:val="left"/>
        <w:rPr>
          <w:rFonts w:ascii="宋体" w:hAnsi="宋体"/>
          <w:kern w:val="44"/>
        </w:rPr>
      </w:pPr>
      <w:r>
        <w:rPr>
          <w:rFonts w:hint="eastAsia" w:ascii="宋体" w:hAnsi="宋体"/>
          <w:b/>
          <w:kern w:val="44"/>
        </w:rPr>
        <w:t>九、</w:t>
      </w:r>
      <w:r>
        <w:rPr>
          <w:rFonts w:hint="eastAsia" w:ascii="宋体" w:hAnsi="宋体"/>
          <w:kern w:val="44"/>
        </w:rPr>
        <w:t>本规定执行中的具体问题，由市城市规划管理局组织实施并负责解释。</w:t>
      </w:r>
    </w:p>
    <w:p w14:paraId="767FC066">
      <w:pPr>
        <w:ind w:firstLine="422"/>
        <w:jc w:val="left"/>
        <w:rPr>
          <w:rFonts w:ascii="宋体" w:hAnsi="宋体"/>
          <w:kern w:val="44"/>
        </w:rPr>
      </w:pPr>
      <w:r>
        <w:rPr>
          <w:rFonts w:hint="eastAsia" w:ascii="宋体" w:hAnsi="宋体"/>
          <w:b/>
          <w:kern w:val="44"/>
        </w:rPr>
        <w:t>十、</w:t>
      </w:r>
      <w:r>
        <w:rPr>
          <w:rFonts w:hint="eastAsia" w:ascii="宋体" w:hAnsi="宋体"/>
          <w:kern w:val="44"/>
        </w:rPr>
        <w:t>本规定经市人民政府批准，自1988年3月1日起施行。</w:t>
      </w:r>
    </w:p>
    <w:p w14:paraId="58A7A3E4">
      <w:pPr>
        <w:pStyle w:val="4"/>
        <w:pageBreakBefore/>
        <w:rPr>
          <w:kern w:val="44"/>
        </w:rPr>
      </w:pPr>
      <w:bookmarkStart w:id="790" w:name="_Toc422471222"/>
      <w:bookmarkStart w:id="791" w:name="_Toc427651516"/>
      <w:bookmarkStart w:id="792" w:name="_Toc428780082"/>
      <w:bookmarkStart w:id="793" w:name="_Toc427651858"/>
      <w:bookmarkStart w:id="794" w:name="_Toc428781564"/>
      <w:r>
        <w:rPr>
          <w:rFonts w:hint="eastAsia"/>
          <w:kern w:val="44"/>
        </w:rPr>
        <w:t>北京市城市建设临时用地和临时</w:t>
      </w:r>
      <w:bookmarkEnd w:id="790"/>
      <w:bookmarkEnd w:id="791"/>
      <w:bookmarkEnd w:id="792"/>
      <w:bookmarkEnd w:id="793"/>
      <w:bookmarkEnd w:id="794"/>
    </w:p>
    <w:p w14:paraId="190DE086">
      <w:pPr>
        <w:pStyle w:val="4"/>
        <w:rPr>
          <w:kern w:val="44"/>
        </w:rPr>
      </w:pPr>
      <w:bookmarkStart w:id="795" w:name="_Toc428780083"/>
      <w:bookmarkStart w:id="796" w:name="_Toc428781565"/>
      <w:bookmarkStart w:id="797" w:name="_Toc427651517"/>
      <w:bookmarkStart w:id="798" w:name="_Toc422471223"/>
      <w:bookmarkStart w:id="799" w:name="_Toc427651859"/>
      <w:r>
        <w:rPr>
          <w:rFonts w:hint="eastAsia"/>
          <w:kern w:val="44"/>
        </w:rPr>
        <w:t>建设工程管理暂行规定</w:t>
      </w:r>
      <w:bookmarkEnd w:id="795"/>
      <w:bookmarkEnd w:id="796"/>
      <w:bookmarkEnd w:id="797"/>
      <w:bookmarkEnd w:id="798"/>
      <w:bookmarkEnd w:id="799"/>
    </w:p>
    <w:p w14:paraId="24CD9CC9">
      <w:pPr>
        <w:ind w:left="630" w:leftChars="300" w:right="630" w:rightChars="300"/>
        <w:jc w:val="left"/>
        <w:rPr>
          <w:rFonts w:ascii="楷体" w:hAnsi="楷体" w:eastAsia="楷体"/>
          <w:kern w:val="44"/>
        </w:rPr>
      </w:pPr>
      <w:r>
        <w:rPr>
          <w:rFonts w:hint="eastAsia" w:ascii="楷体" w:hAnsi="楷体" w:eastAsia="楷体"/>
          <w:kern w:val="44"/>
        </w:rPr>
        <w:t>（1988年2月29日北京市人民政府京政发22号文件发布  根据1994年1月17日北京市人民政府批准第一次修改  根据2007年11月23日北京市人民政府第200号令第二次修改）</w:t>
      </w:r>
    </w:p>
    <w:p w14:paraId="4DE0AD46">
      <w:pPr>
        <w:jc w:val="left"/>
        <w:rPr>
          <w:rFonts w:ascii="宋体" w:hAnsi="宋体"/>
          <w:kern w:val="44"/>
        </w:rPr>
      </w:pPr>
    </w:p>
    <w:p w14:paraId="0948675B">
      <w:pPr>
        <w:ind w:firstLine="422"/>
        <w:jc w:val="left"/>
        <w:rPr>
          <w:rFonts w:ascii="宋体" w:hAnsi="宋体"/>
          <w:kern w:val="44"/>
        </w:rPr>
      </w:pPr>
      <w:r>
        <w:rPr>
          <w:rFonts w:hint="eastAsia" w:ascii="宋体" w:hAnsi="宋体"/>
          <w:b/>
          <w:kern w:val="44"/>
        </w:rPr>
        <w:t>第一条</w:t>
      </w:r>
      <w:r>
        <w:rPr>
          <w:rFonts w:hint="eastAsia" w:ascii="宋体" w:hAnsi="宋体"/>
          <w:kern w:val="44"/>
        </w:rPr>
        <w:t>　为保证城市建设规划的顺利实施，根据《北京市城市规划条例》和有关规定，制定本规定。</w:t>
      </w:r>
    </w:p>
    <w:p w14:paraId="0E4D0087">
      <w:pPr>
        <w:ind w:firstLine="422"/>
        <w:jc w:val="left"/>
        <w:rPr>
          <w:rFonts w:ascii="宋体" w:hAnsi="宋体"/>
          <w:kern w:val="44"/>
        </w:rPr>
      </w:pPr>
      <w:r>
        <w:rPr>
          <w:rFonts w:hint="eastAsia" w:ascii="宋体" w:hAnsi="宋体"/>
          <w:b/>
          <w:kern w:val="44"/>
        </w:rPr>
        <w:t>第二条</w:t>
      </w:r>
      <w:r>
        <w:rPr>
          <w:rFonts w:hint="eastAsia" w:ascii="宋体" w:hAnsi="宋体"/>
          <w:kern w:val="44"/>
        </w:rPr>
        <w:t>　凡本市行政区域内的城市建设临时用地（除道路用地范围内堆物、堆料、堆放渣土或临时性施工作业、设置临时汽车候车棚等临时占地外）和临时建设工程，均按北京市有关规定和本规定管理。</w:t>
      </w:r>
    </w:p>
    <w:p w14:paraId="4C0BDAF9">
      <w:pPr>
        <w:ind w:firstLine="422"/>
        <w:jc w:val="left"/>
        <w:rPr>
          <w:rFonts w:ascii="宋体" w:hAnsi="宋体"/>
          <w:kern w:val="44"/>
        </w:rPr>
      </w:pPr>
      <w:r>
        <w:rPr>
          <w:rFonts w:hint="eastAsia" w:ascii="宋体" w:hAnsi="宋体"/>
          <w:b/>
          <w:kern w:val="44"/>
        </w:rPr>
        <w:t>第三条</w:t>
      </w:r>
      <w:r>
        <w:rPr>
          <w:rFonts w:hint="eastAsia" w:ascii="宋体" w:hAnsi="宋体"/>
          <w:kern w:val="44"/>
        </w:rPr>
        <w:t>　凡临时用地和临时建设工程，均须经城市规划行政主管部门审查批准，规定使用期限，核发临时用地规划许可证和临时建设工程规划许可证（以下简称规划许可证）。临时用地和临时建设工程使用期应限制在2年以内。因特殊情况延长使用期的，应在期满前2个月向原批准机关提出延期申请，经批准后方可延期使用。</w:t>
      </w:r>
    </w:p>
    <w:p w14:paraId="589CF70B">
      <w:pPr>
        <w:ind w:firstLine="422"/>
        <w:jc w:val="left"/>
        <w:rPr>
          <w:rFonts w:ascii="宋体" w:hAnsi="宋体"/>
          <w:kern w:val="44"/>
        </w:rPr>
      </w:pPr>
      <w:r>
        <w:rPr>
          <w:rFonts w:hint="eastAsia" w:ascii="宋体" w:hAnsi="宋体"/>
          <w:b/>
          <w:kern w:val="44"/>
        </w:rPr>
        <w:t>第四条</w:t>
      </w:r>
      <w:r>
        <w:rPr>
          <w:rFonts w:hint="eastAsia" w:ascii="宋体" w:hAnsi="宋体"/>
          <w:kern w:val="44"/>
        </w:rPr>
        <w:t>　临时用地和临时建设工程，不得任意改变使用性质，不得转让、交换、买卖、租赁或变相买卖、租赁，不得建设永久性或半永久性建设工程。使用期满或城市建设需要时，使用单位应无条件自行拆除临时建设工程及一切设施，恢复地貌，交回用地。</w:t>
      </w:r>
    </w:p>
    <w:p w14:paraId="58C14770">
      <w:pPr>
        <w:ind w:firstLine="422"/>
        <w:jc w:val="left"/>
        <w:rPr>
          <w:rFonts w:ascii="宋体" w:hAnsi="宋体"/>
          <w:kern w:val="44"/>
        </w:rPr>
      </w:pPr>
      <w:r>
        <w:rPr>
          <w:rFonts w:hint="eastAsia" w:ascii="宋体" w:hAnsi="宋体"/>
          <w:b/>
          <w:kern w:val="44"/>
        </w:rPr>
        <w:t>第五条</w:t>
      </w:r>
      <w:r>
        <w:rPr>
          <w:rFonts w:hint="eastAsia" w:ascii="宋体" w:hAnsi="宋体"/>
          <w:kern w:val="44"/>
        </w:rPr>
        <w:t>　临时建设工程过期未拆除的，按照违法建设处理。</w:t>
      </w:r>
    </w:p>
    <w:p w14:paraId="7C6BF3D1">
      <w:pPr>
        <w:ind w:firstLine="422"/>
        <w:jc w:val="left"/>
        <w:rPr>
          <w:rFonts w:ascii="宋体" w:hAnsi="宋体"/>
          <w:kern w:val="44"/>
        </w:rPr>
      </w:pPr>
      <w:r>
        <w:rPr>
          <w:rFonts w:hint="eastAsia" w:ascii="宋体" w:hAnsi="宋体"/>
          <w:b/>
          <w:kern w:val="44"/>
        </w:rPr>
        <w:t>第六条</w:t>
      </w:r>
      <w:r>
        <w:rPr>
          <w:rFonts w:hint="eastAsia" w:ascii="宋体" w:hAnsi="宋体"/>
          <w:kern w:val="44"/>
        </w:rPr>
        <w:t>　本规定自1988年3月1日起施行。</w:t>
      </w:r>
    </w:p>
    <w:p w14:paraId="12610453">
      <w:pPr>
        <w:pStyle w:val="4"/>
        <w:pageBreakBefore/>
        <w:rPr>
          <w:kern w:val="44"/>
        </w:rPr>
      </w:pPr>
      <w:bookmarkStart w:id="800" w:name="_Toc422471224"/>
      <w:bookmarkStart w:id="801" w:name="_Toc428780084"/>
      <w:bookmarkStart w:id="802" w:name="_Toc428781566"/>
      <w:bookmarkStart w:id="803" w:name="_Toc427651518"/>
      <w:bookmarkStart w:id="804" w:name="_Toc427651860"/>
      <w:r>
        <w:rPr>
          <w:rFonts w:hint="eastAsia"/>
          <w:kern w:val="44"/>
        </w:rPr>
        <w:t>北京市人民政府关于外地建筑</w:t>
      </w:r>
      <w:bookmarkEnd w:id="800"/>
      <w:bookmarkEnd w:id="801"/>
      <w:bookmarkEnd w:id="802"/>
      <w:bookmarkEnd w:id="803"/>
      <w:bookmarkEnd w:id="804"/>
    </w:p>
    <w:p w14:paraId="0DBFE791">
      <w:pPr>
        <w:pStyle w:val="4"/>
        <w:rPr>
          <w:kern w:val="44"/>
        </w:rPr>
      </w:pPr>
      <w:bookmarkStart w:id="805" w:name="_Toc428780085"/>
      <w:bookmarkStart w:id="806" w:name="_Toc428781567"/>
      <w:bookmarkStart w:id="807" w:name="_Toc427651861"/>
      <w:bookmarkStart w:id="808" w:name="_Toc422471225"/>
      <w:bookmarkStart w:id="809" w:name="_Toc427651519"/>
      <w:r>
        <w:rPr>
          <w:rFonts w:hint="eastAsia"/>
          <w:kern w:val="44"/>
        </w:rPr>
        <w:t>企业来京施工管理暂行规定</w:t>
      </w:r>
      <w:bookmarkEnd w:id="805"/>
      <w:bookmarkEnd w:id="806"/>
      <w:bookmarkEnd w:id="807"/>
      <w:bookmarkEnd w:id="808"/>
      <w:bookmarkEnd w:id="809"/>
    </w:p>
    <w:p w14:paraId="3FAC3307">
      <w:pPr>
        <w:ind w:left="630" w:leftChars="300" w:right="630" w:rightChars="300"/>
        <w:jc w:val="left"/>
        <w:rPr>
          <w:rFonts w:ascii="楷体" w:hAnsi="楷体" w:eastAsia="楷体"/>
          <w:kern w:val="44"/>
        </w:rPr>
      </w:pPr>
      <w:r>
        <w:rPr>
          <w:rFonts w:hint="eastAsia" w:ascii="楷体" w:hAnsi="楷体" w:eastAsia="楷体"/>
          <w:kern w:val="44"/>
        </w:rPr>
        <w:t>（1988年7月1日北京市人民政府京政发61号文件发布  根据1994年6月20日北京市人民政府批准第一次修改  根据1997年12月31日北京市人民政府第12号令第二次修改  根据2007年11月23日北京市人民政府第200号令第三次修改）</w:t>
      </w:r>
    </w:p>
    <w:p w14:paraId="426FB08A">
      <w:pPr>
        <w:jc w:val="left"/>
        <w:rPr>
          <w:rFonts w:ascii="宋体" w:hAnsi="宋体"/>
          <w:kern w:val="44"/>
        </w:rPr>
      </w:pPr>
    </w:p>
    <w:p w14:paraId="131594BA">
      <w:pPr>
        <w:jc w:val="left"/>
        <w:rPr>
          <w:rFonts w:ascii="宋体" w:hAnsi="宋体"/>
          <w:kern w:val="44"/>
        </w:rPr>
      </w:pPr>
      <w:r>
        <w:rPr>
          <w:rFonts w:hint="eastAsia" w:ascii="宋体" w:hAnsi="宋体"/>
          <w:kern w:val="44"/>
        </w:rPr>
        <w:t>为加强外地建筑企业来京施工的管理，维护本市建筑市场的正常秩序和社会秩序，促进首都城市建设的顺利进行，特作如下规定。</w:t>
      </w:r>
    </w:p>
    <w:p w14:paraId="2BD06D4A">
      <w:pPr>
        <w:ind w:firstLine="422"/>
        <w:jc w:val="left"/>
        <w:rPr>
          <w:rFonts w:ascii="宋体" w:hAnsi="宋体"/>
          <w:kern w:val="44"/>
        </w:rPr>
      </w:pPr>
      <w:r>
        <w:rPr>
          <w:rFonts w:hint="eastAsia" w:ascii="宋体" w:hAnsi="宋体"/>
          <w:b/>
          <w:kern w:val="44"/>
        </w:rPr>
        <w:t>一、</w:t>
      </w:r>
      <w:r>
        <w:rPr>
          <w:rFonts w:hint="eastAsia" w:ascii="宋体" w:hAnsi="宋体"/>
          <w:kern w:val="44"/>
        </w:rPr>
        <w:t>凡外地建筑企业在本市行政区域内从事建筑、安装、市政、修缮等施工，均按本规定管理。</w:t>
      </w:r>
    </w:p>
    <w:p w14:paraId="64B193CA">
      <w:pPr>
        <w:jc w:val="left"/>
        <w:rPr>
          <w:rFonts w:ascii="宋体" w:hAnsi="宋体"/>
          <w:kern w:val="44"/>
        </w:rPr>
      </w:pPr>
      <w:r>
        <w:rPr>
          <w:rFonts w:hint="eastAsia" w:ascii="宋体" w:hAnsi="宋体"/>
          <w:kern w:val="44"/>
        </w:rPr>
        <w:t>本规定所称外地建筑企业，包括：外省、自治区、直辖市所属的建筑企业，中央各部门、军队系统所属非本市登记注册，或企业基地不在本市，或企业职工常住户口不在本市的，以及与本市企业以合作等形式来京施工的外地企业。</w:t>
      </w:r>
    </w:p>
    <w:p w14:paraId="2D1C89DA">
      <w:pPr>
        <w:ind w:firstLine="422"/>
        <w:jc w:val="left"/>
        <w:rPr>
          <w:rFonts w:ascii="宋体" w:hAnsi="宋体"/>
          <w:kern w:val="44"/>
        </w:rPr>
      </w:pPr>
      <w:r>
        <w:rPr>
          <w:rFonts w:hint="eastAsia" w:ascii="宋体" w:hAnsi="宋体"/>
          <w:b/>
          <w:kern w:val="44"/>
        </w:rPr>
        <w:t>二、</w:t>
      </w:r>
      <w:r>
        <w:rPr>
          <w:rFonts w:hint="eastAsia" w:ascii="宋体" w:hAnsi="宋体"/>
          <w:kern w:val="44"/>
        </w:rPr>
        <w:t>市建设委员会（以下简称市建委）主管本市外地建筑企业的管理工作，北京市建筑业管理服务中心具体负责外地建筑企业的管理监督。</w:t>
      </w:r>
    </w:p>
    <w:p w14:paraId="2CE39026">
      <w:pPr>
        <w:jc w:val="left"/>
        <w:rPr>
          <w:rFonts w:ascii="宋体" w:hAnsi="宋体"/>
          <w:kern w:val="44"/>
        </w:rPr>
      </w:pPr>
      <w:r>
        <w:rPr>
          <w:rFonts w:hint="eastAsia" w:ascii="宋体" w:hAnsi="宋体"/>
          <w:kern w:val="44"/>
        </w:rPr>
        <w:t>区、县建委负责本行政区域内外地建筑企业的日常管理监督。</w:t>
      </w:r>
    </w:p>
    <w:p w14:paraId="525F18EA">
      <w:pPr>
        <w:ind w:firstLine="422"/>
        <w:jc w:val="left"/>
        <w:rPr>
          <w:rFonts w:ascii="宋体" w:hAnsi="宋体"/>
          <w:kern w:val="44"/>
        </w:rPr>
      </w:pPr>
      <w:r>
        <w:rPr>
          <w:rFonts w:hint="eastAsia" w:ascii="宋体" w:hAnsi="宋体"/>
          <w:b/>
          <w:kern w:val="44"/>
        </w:rPr>
        <w:t>三、</w:t>
      </w:r>
      <w:r>
        <w:rPr>
          <w:rFonts w:hint="eastAsia" w:ascii="宋体" w:hAnsi="宋体"/>
          <w:kern w:val="44"/>
        </w:rPr>
        <w:t>建设单位和在本市施工的所有建筑企业，均不得使用零散民工。</w:t>
      </w:r>
    </w:p>
    <w:p w14:paraId="512AF323">
      <w:pPr>
        <w:ind w:firstLine="422"/>
        <w:jc w:val="left"/>
        <w:rPr>
          <w:rFonts w:ascii="宋体" w:hAnsi="宋体"/>
          <w:kern w:val="44"/>
        </w:rPr>
      </w:pPr>
      <w:r>
        <w:rPr>
          <w:rFonts w:hint="eastAsia" w:ascii="宋体" w:hAnsi="宋体"/>
          <w:b/>
          <w:kern w:val="44"/>
        </w:rPr>
        <w:t>四、</w:t>
      </w:r>
      <w:r>
        <w:rPr>
          <w:rFonts w:hint="eastAsia" w:ascii="宋体" w:hAnsi="宋体"/>
          <w:kern w:val="44"/>
        </w:rPr>
        <w:t>外地建筑企业来本市施工，到北京市建筑业管理服务中心办理备案必须符合下列规定：</w:t>
      </w:r>
    </w:p>
    <w:p w14:paraId="10750FD0">
      <w:pPr>
        <w:jc w:val="left"/>
        <w:rPr>
          <w:rFonts w:ascii="宋体" w:hAnsi="宋体"/>
          <w:kern w:val="44"/>
        </w:rPr>
      </w:pPr>
      <w:r>
        <w:rPr>
          <w:rFonts w:hint="eastAsia" w:ascii="宋体" w:hAnsi="宋体"/>
          <w:kern w:val="44"/>
        </w:rPr>
        <w:t>（一）承包建设工程的，持营业执照、企业等级证书和所在地区省级建筑业主管机关的批准证件，办理备案。其中参加投标的，须领有投标许可证，中标后再办理备案。备案期限按承建工程的合同工期确定。备案期满，工程未能按期完工的，须办理延期备案手续。</w:t>
      </w:r>
    </w:p>
    <w:p w14:paraId="530C467F">
      <w:pPr>
        <w:jc w:val="left"/>
        <w:rPr>
          <w:rFonts w:ascii="宋体" w:hAnsi="宋体"/>
          <w:kern w:val="44"/>
        </w:rPr>
      </w:pPr>
      <w:r>
        <w:rPr>
          <w:rFonts w:hint="eastAsia" w:ascii="宋体" w:hAnsi="宋体"/>
          <w:kern w:val="44"/>
        </w:rPr>
        <w:t>（二）提供劳务的，持营业执照、企业等级证书和所在地区县以上建筑业主管机关的批准证件，办理备案，备案期限按年度确定，每年备案一次。</w:t>
      </w:r>
    </w:p>
    <w:p w14:paraId="2C080781">
      <w:pPr>
        <w:ind w:firstLine="422"/>
        <w:jc w:val="left"/>
        <w:rPr>
          <w:rFonts w:ascii="宋体" w:hAnsi="宋体"/>
          <w:kern w:val="44"/>
        </w:rPr>
      </w:pPr>
      <w:r>
        <w:rPr>
          <w:rFonts w:hint="eastAsia" w:ascii="宋体" w:hAnsi="宋体"/>
          <w:b/>
          <w:kern w:val="44"/>
        </w:rPr>
        <w:t>五、</w:t>
      </w:r>
      <w:r>
        <w:rPr>
          <w:rFonts w:hint="eastAsia" w:ascii="宋体" w:hAnsi="宋体"/>
          <w:kern w:val="44"/>
        </w:rPr>
        <w:t>外地建筑企业在本市的营业范围，由北京市建筑业管理服务中心根据该企业等级和曾承建的工程质量等情况核定。外地建筑企业应按企业等级和核定的营业范围经营。</w:t>
      </w:r>
    </w:p>
    <w:p w14:paraId="2F9AB6CC">
      <w:pPr>
        <w:ind w:firstLine="422"/>
        <w:jc w:val="left"/>
        <w:rPr>
          <w:rFonts w:ascii="宋体" w:hAnsi="宋体"/>
          <w:kern w:val="44"/>
        </w:rPr>
      </w:pPr>
      <w:r>
        <w:rPr>
          <w:rFonts w:hint="eastAsia" w:ascii="宋体" w:hAnsi="宋体"/>
          <w:b/>
          <w:kern w:val="44"/>
        </w:rPr>
        <w:t>六、</w:t>
      </w:r>
      <w:r>
        <w:rPr>
          <w:rFonts w:hint="eastAsia" w:ascii="宋体" w:hAnsi="宋体"/>
          <w:kern w:val="44"/>
        </w:rPr>
        <w:t>外地建筑企业在本市施工期间，必须遵守下列规定：</w:t>
      </w:r>
    </w:p>
    <w:p w14:paraId="41927BD0">
      <w:pPr>
        <w:jc w:val="left"/>
        <w:rPr>
          <w:rFonts w:ascii="宋体" w:hAnsi="宋体"/>
          <w:kern w:val="44"/>
        </w:rPr>
      </w:pPr>
      <w:r>
        <w:rPr>
          <w:rFonts w:hint="eastAsia" w:ascii="宋体" w:hAnsi="宋体"/>
          <w:kern w:val="44"/>
        </w:rPr>
        <w:t>（一）遵守国家法律、法规和本市的法规、规章，接受本市建筑业主管机关和公安、工商、环境卫生、劳动、税务、审计等部门和建设银行的监督管理；</w:t>
      </w:r>
    </w:p>
    <w:p w14:paraId="4F703C6E">
      <w:pPr>
        <w:rPr>
          <w:kern w:val="44"/>
        </w:rPr>
      </w:pPr>
      <w:r>
        <w:rPr>
          <w:rFonts w:hint="eastAsia"/>
          <w:kern w:val="44"/>
        </w:rPr>
        <w:t>（二）严格履行合同，保证工程质量和施工安全；</w:t>
      </w:r>
    </w:p>
    <w:p w14:paraId="60EA5925">
      <w:pPr>
        <w:jc w:val="left"/>
        <w:rPr>
          <w:rFonts w:ascii="宋体" w:hAnsi="宋体"/>
          <w:kern w:val="44"/>
        </w:rPr>
      </w:pPr>
      <w:r>
        <w:rPr>
          <w:rFonts w:hint="eastAsia" w:ascii="宋体" w:hAnsi="宋体"/>
          <w:kern w:val="44"/>
        </w:rPr>
        <w:t>（三）向施工所在区、县建委办理施工管理备案，并按规定向市和区、县建委报送统计资料；</w:t>
      </w:r>
    </w:p>
    <w:p w14:paraId="4EF0C5F1">
      <w:pPr>
        <w:jc w:val="left"/>
        <w:rPr>
          <w:rFonts w:ascii="宋体" w:hAnsi="宋体"/>
          <w:kern w:val="44"/>
        </w:rPr>
      </w:pPr>
      <w:r>
        <w:rPr>
          <w:rFonts w:hint="eastAsia" w:ascii="宋体" w:hAnsi="宋体"/>
          <w:kern w:val="44"/>
        </w:rPr>
        <w:t>（四）按规定向公安机关办理企业职工暂住户口登记，申请暂住证，签订治安责任书；</w:t>
      </w:r>
    </w:p>
    <w:p w14:paraId="7A7705E8">
      <w:pPr>
        <w:jc w:val="left"/>
        <w:rPr>
          <w:rFonts w:ascii="宋体" w:hAnsi="宋体"/>
          <w:kern w:val="44"/>
        </w:rPr>
      </w:pPr>
      <w:r>
        <w:rPr>
          <w:rFonts w:hint="eastAsia" w:ascii="宋体" w:hAnsi="宋体"/>
          <w:kern w:val="44"/>
        </w:rPr>
        <w:t>（五）按规定向劳动部门申领安全生产合格证；</w:t>
      </w:r>
    </w:p>
    <w:p w14:paraId="24345BC7">
      <w:pPr>
        <w:jc w:val="left"/>
        <w:rPr>
          <w:rFonts w:ascii="宋体" w:hAnsi="宋体"/>
          <w:kern w:val="44"/>
        </w:rPr>
      </w:pPr>
      <w:r>
        <w:rPr>
          <w:rFonts w:hint="eastAsia" w:ascii="宋体" w:hAnsi="宋体"/>
          <w:kern w:val="44"/>
        </w:rPr>
        <w:t>（六）在建设银行开立</w:t>
      </w:r>
      <w:r>
        <w:rPr>
          <w:rFonts w:hint="eastAsia" w:ascii="宋体" w:hAnsi="宋体"/>
          <w:kern w:val="44"/>
          <w:lang w:eastAsia="zh-CN"/>
        </w:rPr>
        <w:t>账户</w:t>
      </w:r>
      <w:r>
        <w:rPr>
          <w:rFonts w:hint="eastAsia" w:ascii="宋体" w:hAnsi="宋体"/>
          <w:kern w:val="44"/>
        </w:rPr>
        <w:t>；</w:t>
      </w:r>
    </w:p>
    <w:p w14:paraId="27418A9F">
      <w:pPr>
        <w:jc w:val="left"/>
        <w:rPr>
          <w:rFonts w:ascii="宋体" w:hAnsi="宋体"/>
          <w:kern w:val="44"/>
        </w:rPr>
      </w:pPr>
      <w:r>
        <w:rPr>
          <w:rFonts w:hint="eastAsia" w:ascii="宋体" w:hAnsi="宋体"/>
          <w:kern w:val="44"/>
        </w:rPr>
        <w:t>（七）向税务部门办理税务登记，照章纳税。</w:t>
      </w:r>
    </w:p>
    <w:p w14:paraId="10BB5D2E">
      <w:pPr>
        <w:jc w:val="left"/>
        <w:rPr>
          <w:rFonts w:ascii="宋体" w:hAnsi="宋体"/>
          <w:kern w:val="44"/>
        </w:rPr>
      </w:pPr>
      <w:r>
        <w:rPr>
          <w:rFonts w:hint="eastAsia" w:ascii="宋体" w:hAnsi="宋体"/>
          <w:kern w:val="44"/>
        </w:rPr>
        <w:t>使用外地建筑企业劳务的单位，必须指定机构或专人，负责其日常施工和生活管理。</w:t>
      </w:r>
    </w:p>
    <w:p w14:paraId="35CBEDEF">
      <w:pPr>
        <w:ind w:firstLine="422"/>
        <w:jc w:val="left"/>
        <w:rPr>
          <w:rFonts w:ascii="宋体" w:hAnsi="宋体"/>
          <w:kern w:val="44"/>
        </w:rPr>
      </w:pPr>
      <w:r>
        <w:rPr>
          <w:rFonts w:hint="eastAsia" w:ascii="宋体" w:hAnsi="宋体"/>
          <w:b/>
          <w:kern w:val="44"/>
        </w:rPr>
        <w:t>七、</w:t>
      </w:r>
      <w:r>
        <w:rPr>
          <w:rFonts w:hint="eastAsia" w:ascii="宋体" w:hAnsi="宋体"/>
          <w:kern w:val="44"/>
        </w:rPr>
        <w:t>违反本规定使用零散民工的，责令其停止使用，限期清退，并对其按每使用一人500元的标准处以罚款，罚款总额不超过3万元。</w:t>
      </w:r>
    </w:p>
    <w:p w14:paraId="08C01B95">
      <w:pPr>
        <w:jc w:val="left"/>
        <w:rPr>
          <w:rFonts w:ascii="宋体" w:hAnsi="宋体"/>
          <w:kern w:val="44"/>
        </w:rPr>
      </w:pPr>
      <w:r>
        <w:rPr>
          <w:rFonts w:hint="eastAsia" w:ascii="宋体" w:hAnsi="宋体"/>
          <w:kern w:val="44"/>
        </w:rPr>
        <w:t>违反治安、工商行政、劳动安全、税收等规定的，由公安、工商行政、劳动、税务等部门依法处罚。</w:t>
      </w:r>
    </w:p>
    <w:p w14:paraId="269BDBC5">
      <w:pPr>
        <w:ind w:firstLine="422"/>
        <w:jc w:val="left"/>
        <w:rPr>
          <w:rFonts w:ascii="宋体" w:hAnsi="宋体"/>
          <w:kern w:val="44"/>
        </w:rPr>
      </w:pPr>
      <w:r>
        <w:rPr>
          <w:rFonts w:hint="eastAsia" w:ascii="宋体" w:hAnsi="宋体"/>
          <w:b/>
          <w:kern w:val="44"/>
        </w:rPr>
        <w:t>八、</w:t>
      </w:r>
      <w:r>
        <w:rPr>
          <w:rFonts w:hint="eastAsia" w:ascii="宋体" w:hAnsi="宋体"/>
          <w:kern w:val="44"/>
        </w:rPr>
        <w:t>本规定自1988年7月1日起施行。1986年5月14日市人民政府公布的《关于严格控制外地建筑企业来京施工的暂行规定》同时废止。</w:t>
      </w:r>
    </w:p>
    <w:p w14:paraId="7D52E6A0">
      <w:pPr>
        <w:pStyle w:val="4"/>
        <w:pageBreakBefore/>
        <w:rPr>
          <w:kern w:val="44"/>
        </w:rPr>
      </w:pPr>
      <w:bookmarkStart w:id="810" w:name="_Toc422471226"/>
      <w:bookmarkStart w:id="811" w:name="_Toc427651862"/>
      <w:bookmarkStart w:id="812" w:name="_Toc428780086"/>
      <w:bookmarkStart w:id="813" w:name="_Toc428781568"/>
      <w:bookmarkStart w:id="814" w:name="_Toc427651520"/>
      <w:r>
        <w:rPr>
          <w:rFonts w:hint="eastAsia"/>
          <w:kern w:val="44"/>
        </w:rPr>
        <w:t>北京市生活居住建筑</w:t>
      </w:r>
      <w:bookmarkEnd w:id="810"/>
      <w:bookmarkStart w:id="815" w:name="_Toc422471227"/>
      <w:r>
        <w:rPr>
          <w:rFonts w:hint="eastAsia"/>
          <w:kern w:val="44"/>
        </w:rPr>
        <w:t>间距暂行规定</w:t>
      </w:r>
      <w:bookmarkEnd w:id="811"/>
      <w:bookmarkEnd w:id="812"/>
      <w:bookmarkEnd w:id="813"/>
      <w:bookmarkEnd w:id="814"/>
      <w:bookmarkEnd w:id="815"/>
    </w:p>
    <w:p w14:paraId="5306025C">
      <w:pPr>
        <w:ind w:left="630" w:leftChars="300" w:right="630" w:rightChars="300"/>
        <w:jc w:val="left"/>
        <w:rPr>
          <w:rFonts w:ascii="楷体" w:hAnsi="楷体" w:eastAsia="楷体"/>
          <w:kern w:val="44"/>
        </w:rPr>
      </w:pPr>
      <w:r>
        <w:rPr>
          <w:rFonts w:hint="eastAsia" w:ascii="楷体" w:hAnsi="楷体" w:eastAsia="楷体"/>
          <w:kern w:val="44"/>
        </w:rPr>
        <w:t>（1988年8月1日北京市人民政府批准　1988年8月30日北京市城市规划管理局发布　根据1994年1月17日北京市人民政府批准第一次修改　根据2007年11月23日北京市人民政府第200号令第二次修改）</w:t>
      </w:r>
    </w:p>
    <w:p w14:paraId="05246AA3">
      <w:pPr>
        <w:spacing w:line="300" w:lineRule="exact"/>
        <w:jc w:val="left"/>
        <w:rPr>
          <w:rFonts w:ascii="宋体" w:hAnsi="宋体"/>
          <w:kern w:val="44"/>
        </w:rPr>
      </w:pPr>
    </w:p>
    <w:p w14:paraId="156D0A3C">
      <w:pPr>
        <w:ind w:firstLine="0" w:firstLineChars="0"/>
        <w:jc w:val="center"/>
        <w:rPr>
          <w:rFonts w:ascii="宋体" w:hAnsi="宋体"/>
          <w:b/>
          <w:kern w:val="44"/>
          <w:sz w:val="28"/>
        </w:rPr>
      </w:pPr>
      <w:r>
        <w:rPr>
          <w:rFonts w:hint="eastAsia" w:ascii="宋体" w:hAnsi="宋体"/>
          <w:b/>
          <w:kern w:val="44"/>
          <w:sz w:val="28"/>
        </w:rPr>
        <w:t>第一章　总　则</w:t>
      </w:r>
    </w:p>
    <w:p w14:paraId="450C55CC">
      <w:pPr>
        <w:spacing w:line="300" w:lineRule="exact"/>
        <w:jc w:val="left"/>
        <w:rPr>
          <w:rFonts w:ascii="宋体" w:hAnsi="宋体"/>
          <w:kern w:val="44"/>
        </w:rPr>
      </w:pPr>
    </w:p>
    <w:p w14:paraId="3DE8559C">
      <w:pPr>
        <w:ind w:firstLine="422"/>
        <w:jc w:val="left"/>
        <w:rPr>
          <w:rFonts w:ascii="宋体" w:hAnsi="宋体"/>
          <w:kern w:val="44"/>
        </w:rPr>
      </w:pPr>
      <w:r>
        <w:rPr>
          <w:rFonts w:hint="eastAsia" w:ascii="宋体" w:hAnsi="宋体"/>
          <w:b/>
          <w:kern w:val="44"/>
        </w:rPr>
        <w:t>第一条</w:t>
      </w:r>
      <w:r>
        <w:rPr>
          <w:rFonts w:hint="eastAsia" w:ascii="宋体" w:hAnsi="宋体"/>
          <w:kern w:val="44"/>
        </w:rPr>
        <w:t>　为保障生活居住建筑有良好的日照卫生环境和方便的生活条件，合理使用城市土地，制定本规定。</w:t>
      </w:r>
    </w:p>
    <w:p w14:paraId="5F45365D">
      <w:pPr>
        <w:ind w:firstLine="422"/>
        <w:jc w:val="left"/>
        <w:rPr>
          <w:rFonts w:ascii="宋体" w:hAnsi="宋体"/>
          <w:kern w:val="44"/>
        </w:rPr>
      </w:pPr>
      <w:r>
        <w:rPr>
          <w:rFonts w:hint="eastAsia" w:ascii="宋体" w:hAnsi="宋体"/>
          <w:b/>
          <w:kern w:val="44"/>
        </w:rPr>
        <w:t>第二条</w:t>
      </w:r>
      <w:r>
        <w:rPr>
          <w:rFonts w:hint="eastAsia" w:ascii="宋体" w:hAnsi="宋体"/>
          <w:kern w:val="44"/>
        </w:rPr>
        <w:t>　本规定适用于本市规划区域内2层和2层以上的生活居住建筑。</w:t>
      </w:r>
    </w:p>
    <w:p w14:paraId="209C2BA9">
      <w:pPr>
        <w:jc w:val="left"/>
        <w:rPr>
          <w:rFonts w:ascii="宋体" w:hAnsi="宋体"/>
          <w:kern w:val="44"/>
        </w:rPr>
      </w:pPr>
      <w:r>
        <w:rPr>
          <w:rFonts w:hint="eastAsia" w:ascii="宋体" w:hAnsi="宋体"/>
          <w:kern w:val="44"/>
        </w:rPr>
        <w:t>本规定所称生活居住建筑，包括居民住宅（含公寓，以下称居住建筑）和托儿所、幼儿园、中小学、医疗病房、集体宿舍、招待所、旅馆、影剧院等建筑（以下称公共建筑）。</w:t>
      </w:r>
    </w:p>
    <w:p w14:paraId="2C52F11F">
      <w:pPr>
        <w:ind w:firstLine="422"/>
        <w:jc w:val="left"/>
        <w:rPr>
          <w:rFonts w:ascii="宋体" w:hAnsi="宋体"/>
          <w:kern w:val="44"/>
        </w:rPr>
      </w:pPr>
      <w:r>
        <w:rPr>
          <w:rFonts w:hint="eastAsia" w:ascii="宋体" w:hAnsi="宋体"/>
          <w:b/>
          <w:kern w:val="44"/>
        </w:rPr>
        <w:t>第三条</w:t>
      </w:r>
      <w:r>
        <w:rPr>
          <w:rFonts w:hint="eastAsia" w:ascii="宋体" w:hAnsi="宋体"/>
          <w:kern w:val="44"/>
        </w:rPr>
        <w:t>　两栋4层或4层以上的生活居住建筑（至少1栋为居住建筑）的间距，采用规定的建筑间距系数仍小于以下距离的，按下列规定执行：</w:t>
      </w:r>
    </w:p>
    <w:p w14:paraId="1A01E067">
      <w:pPr>
        <w:jc w:val="left"/>
        <w:rPr>
          <w:rFonts w:ascii="宋体" w:hAnsi="宋体"/>
          <w:kern w:val="44"/>
        </w:rPr>
      </w:pPr>
      <w:r>
        <w:rPr>
          <w:rFonts w:hint="eastAsia" w:ascii="宋体" w:hAnsi="宋体"/>
          <w:kern w:val="44"/>
        </w:rPr>
        <w:t>（一）两建筑的长边相对的，不小于18米。</w:t>
      </w:r>
    </w:p>
    <w:p w14:paraId="0366877D">
      <w:pPr>
        <w:jc w:val="left"/>
        <w:rPr>
          <w:rFonts w:ascii="宋体" w:hAnsi="宋体"/>
          <w:kern w:val="44"/>
        </w:rPr>
      </w:pPr>
      <w:r>
        <w:rPr>
          <w:rFonts w:hint="eastAsia" w:ascii="宋体" w:hAnsi="宋体"/>
          <w:kern w:val="44"/>
        </w:rPr>
        <w:t>（二）一建筑的长边与另一建筑的端边相对的，不小于12米。</w:t>
      </w:r>
    </w:p>
    <w:p w14:paraId="455BA8BC">
      <w:pPr>
        <w:jc w:val="left"/>
        <w:rPr>
          <w:rFonts w:ascii="宋体" w:hAnsi="宋体"/>
          <w:kern w:val="44"/>
        </w:rPr>
      </w:pPr>
      <w:r>
        <w:rPr>
          <w:rFonts w:hint="eastAsia" w:ascii="宋体" w:hAnsi="宋体"/>
          <w:kern w:val="44"/>
        </w:rPr>
        <w:t>（三）两建筑的端边相对的，不小于10米。</w:t>
      </w:r>
    </w:p>
    <w:p w14:paraId="7BE665C0">
      <w:pPr>
        <w:jc w:val="left"/>
        <w:rPr>
          <w:rFonts w:ascii="宋体" w:hAnsi="宋体"/>
          <w:kern w:val="44"/>
        </w:rPr>
      </w:pPr>
      <w:r>
        <w:rPr>
          <w:rFonts w:hint="eastAsia" w:ascii="宋体" w:hAnsi="宋体"/>
          <w:kern w:val="44"/>
        </w:rPr>
        <w:t>（四）4层或4层以上的生活居住建筑与3层或3层以下生活居住建筑的间距，由城市规划行政主管部门按规划要求确定。</w:t>
      </w:r>
    </w:p>
    <w:p w14:paraId="194CD546">
      <w:pPr>
        <w:ind w:firstLine="422"/>
        <w:jc w:val="left"/>
        <w:rPr>
          <w:rFonts w:ascii="宋体" w:hAnsi="宋体"/>
          <w:kern w:val="44"/>
        </w:rPr>
      </w:pPr>
      <w:r>
        <w:rPr>
          <w:rFonts w:hint="eastAsia" w:ascii="宋体" w:hAnsi="宋体"/>
          <w:b/>
          <w:kern w:val="44"/>
        </w:rPr>
        <w:t>第四条</w:t>
      </w:r>
      <w:r>
        <w:rPr>
          <w:rFonts w:hint="eastAsia" w:ascii="宋体" w:hAnsi="宋体"/>
          <w:kern w:val="44"/>
        </w:rPr>
        <w:t>　建筑间距符合本规定，但小于建筑防火间距时，须按消防管理的有关规定执行。</w:t>
      </w:r>
    </w:p>
    <w:p w14:paraId="1D81855A">
      <w:pPr>
        <w:spacing w:line="300" w:lineRule="exact"/>
        <w:jc w:val="left"/>
        <w:rPr>
          <w:rFonts w:ascii="宋体" w:hAnsi="宋体"/>
          <w:kern w:val="44"/>
        </w:rPr>
      </w:pPr>
    </w:p>
    <w:p w14:paraId="5FCCE8AD">
      <w:pPr>
        <w:ind w:firstLine="0" w:firstLineChars="0"/>
        <w:jc w:val="center"/>
        <w:rPr>
          <w:rFonts w:ascii="宋体" w:hAnsi="宋体"/>
          <w:b/>
          <w:kern w:val="44"/>
          <w:sz w:val="28"/>
        </w:rPr>
      </w:pPr>
      <w:r>
        <w:rPr>
          <w:rFonts w:hint="eastAsia" w:ascii="宋体" w:hAnsi="宋体"/>
          <w:b/>
          <w:kern w:val="44"/>
          <w:sz w:val="28"/>
        </w:rPr>
        <w:t>第二章　居住建筑的间距</w:t>
      </w:r>
    </w:p>
    <w:p w14:paraId="1F87834F">
      <w:pPr>
        <w:spacing w:line="300" w:lineRule="exact"/>
        <w:jc w:val="left"/>
        <w:rPr>
          <w:rFonts w:ascii="宋体" w:hAnsi="宋体"/>
          <w:kern w:val="44"/>
        </w:rPr>
      </w:pPr>
    </w:p>
    <w:p w14:paraId="2FBCAA1C">
      <w:pPr>
        <w:ind w:firstLine="422"/>
        <w:jc w:val="left"/>
        <w:rPr>
          <w:rFonts w:ascii="宋体" w:hAnsi="宋体"/>
          <w:kern w:val="44"/>
        </w:rPr>
      </w:pPr>
      <w:r>
        <w:rPr>
          <w:rFonts w:hint="eastAsia" w:ascii="宋体" w:hAnsi="宋体"/>
          <w:b/>
          <w:kern w:val="44"/>
        </w:rPr>
        <w:t>第五条</w:t>
      </w:r>
      <w:r>
        <w:rPr>
          <w:rFonts w:hint="eastAsia" w:ascii="宋体" w:hAnsi="宋体"/>
          <w:kern w:val="44"/>
        </w:rPr>
        <w:t>　板式居住建筑群体布置时，建筑间距根据其朝向和与正南的夹角不同，采用不得小于附表一规定的建筑间距系数。</w:t>
      </w:r>
    </w:p>
    <w:p w14:paraId="0194BF44">
      <w:pPr>
        <w:ind w:firstLine="422"/>
        <w:jc w:val="left"/>
        <w:rPr>
          <w:rFonts w:ascii="宋体" w:hAnsi="宋体"/>
          <w:kern w:val="44"/>
        </w:rPr>
      </w:pPr>
      <w:r>
        <w:rPr>
          <w:rFonts w:hint="eastAsia" w:ascii="宋体" w:hAnsi="宋体"/>
          <w:b/>
          <w:kern w:val="44"/>
        </w:rPr>
        <w:t>第六条</w:t>
      </w:r>
      <w:r>
        <w:rPr>
          <w:rFonts w:hint="eastAsia" w:ascii="宋体" w:hAnsi="宋体"/>
          <w:kern w:val="44"/>
        </w:rPr>
        <w:t>　单栋塔式居住建筑在两侧无其他遮挡阳光的建筑（含规划建筑）时，与其他居住建筑的间距系数不得小于1.0。</w:t>
      </w:r>
    </w:p>
    <w:p w14:paraId="6C005BDF">
      <w:pPr>
        <w:ind w:firstLine="422"/>
        <w:jc w:val="left"/>
        <w:rPr>
          <w:rFonts w:ascii="宋体" w:hAnsi="宋体"/>
          <w:kern w:val="44"/>
        </w:rPr>
      </w:pPr>
      <w:r>
        <w:rPr>
          <w:rFonts w:hint="eastAsia" w:ascii="宋体" w:hAnsi="宋体"/>
          <w:b/>
          <w:kern w:val="44"/>
        </w:rPr>
        <w:t>第七条</w:t>
      </w:r>
      <w:r>
        <w:rPr>
          <w:rFonts w:hint="eastAsia" w:ascii="宋体" w:hAnsi="宋体"/>
          <w:kern w:val="44"/>
        </w:rPr>
        <w:t>　多栋塔式居住建筑成东西向单排布置时，与被其遮挡阳光的板式居住建筑的建筑间距，按下列规定执行：</w:t>
      </w:r>
    </w:p>
    <w:p w14:paraId="7EB34FB6">
      <w:pPr>
        <w:jc w:val="left"/>
        <w:rPr>
          <w:rFonts w:ascii="宋体" w:hAnsi="宋体"/>
          <w:kern w:val="44"/>
        </w:rPr>
      </w:pPr>
      <w:r>
        <w:rPr>
          <w:rFonts w:hint="eastAsia" w:ascii="宋体" w:hAnsi="宋体"/>
          <w:kern w:val="44"/>
        </w:rPr>
        <w:t>（一）相邻塔式居住建筑的间距小于单栋塔式居住建筑的长度时，塔式居住建筑长高比的长度，应按各塔式居住建筑的长度和间距之和计算，并根据其不同的长高比，采用不得小于附表二规定的建筑间距系数。</w:t>
      </w:r>
    </w:p>
    <w:p w14:paraId="38854FAE">
      <w:pPr>
        <w:jc w:val="left"/>
        <w:rPr>
          <w:rFonts w:ascii="宋体" w:hAnsi="宋体"/>
          <w:kern w:val="44"/>
        </w:rPr>
      </w:pPr>
      <w:r>
        <w:rPr>
          <w:rFonts w:hint="eastAsia" w:ascii="宋体" w:hAnsi="宋体"/>
          <w:kern w:val="44"/>
        </w:rPr>
        <w:t>（二）相邻塔式居住建筑的间距等于或大于单栋塔式居住建筑的长度时，建筑间距系数不得小于1.2。</w:t>
      </w:r>
    </w:p>
    <w:p w14:paraId="4366CB66">
      <w:pPr>
        <w:ind w:firstLine="422"/>
        <w:jc w:val="left"/>
        <w:rPr>
          <w:rFonts w:ascii="宋体" w:hAnsi="宋体"/>
          <w:kern w:val="44"/>
        </w:rPr>
      </w:pPr>
      <w:r>
        <w:rPr>
          <w:rFonts w:hint="eastAsia" w:ascii="宋体" w:hAnsi="宋体"/>
          <w:b/>
          <w:kern w:val="44"/>
        </w:rPr>
        <w:t>第八条</w:t>
      </w:r>
      <w:r>
        <w:rPr>
          <w:rFonts w:hint="eastAsia" w:ascii="宋体" w:hAnsi="宋体"/>
          <w:kern w:val="44"/>
        </w:rPr>
        <w:t>　其他建筑遮挡居住建筑阳光时，按本章规定执行。</w:t>
      </w:r>
    </w:p>
    <w:p w14:paraId="058D773E">
      <w:pPr>
        <w:spacing w:line="300" w:lineRule="exact"/>
        <w:jc w:val="left"/>
        <w:rPr>
          <w:rFonts w:ascii="宋体" w:hAnsi="宋体"/>
          <w:kern w:val="44"/>
        </w:rPr>
      </w:pPr>
    </w:p>
    <w:p w14:paraId="7434ED8B">
      <w:pPr>
        <w:spacing w:line="300" w:lineRule="exact"/>
        <w:ind w:firstLine="0" w:firstLineChars="0"/>
        <w:jc w:val="center"/>
        <w:rPr>
          <w:rFonts w:ascii="宋体" w:hAnsi="宋体"/>
          <w:b/>
          <w:kern w:val="44"/>
          <w:sz w:val="28"/>
        </w:rPr>
      </w:pPr>
      <w:r>
        <w:rPr>
          <w:rFonts w:hint="eastAsia" w:ascii="宋体" w:hAnsi="宋体"/>
          <w:b/>
          <w:kern w:val="44"/>
          <w:sz w:val="28"/>
        </w:rPr>
        <w:t>第三章　公共建筑的间距</w:t>
      </w:r>
    </w:p>
    <w:p w14:paraId="42ED49E8">
      <w:pPr>
        <w:spacing w:line="300" w:lineRule="exact"/>
        <w:jc w:val="left"/>
        <w:rPr>
          <w:rFonts w:ascii="宋体" w:hAnsi="宋体"/>
          <w:kern w:val="44"/>
        </w:rPr>
      </w:pPr>
    </w:p>
    <w:p w14:paraId="4A6E15AC">
      <w:pPr>
        <w:ind w:firstLine="422"/>
        <w:jc w:val="left"/>
        <w:rPr>
          <w:rFonts w:ascii="宋体" w:hAnsi="宋体"/>
          <w:kern w:val="44"/>
        </w:rPr>
      </w:pPr>
      <w:r>
        <w:rPr>
          <w:rFonts w:hint="eastAsia" w:ascii="宋体" w:hAnsi="宋体"/>
          <w:b/>
          <w:kern w:val="44"/>
        </w:rPr>
        <w:t>第九条</w:t>
      </w:r>
      <w:r>
        <w:rPr>
          <w:rFonts w:hint="eastAsia" w:ascii="宋体" w:hAnsi="宋体"/>
          <w:kern w:val="44"/>
        </w:rPr>
        <w:t>　板式建筑遮挡中小学教室、托儿所和幼儿园的活动室、医疗病房等公共建筑的阳光时，须采用不得小于附表三规定的建筑间距系数。</w:t>
      </w:r>
    </w:p>
    <w:p w14:paraId="2B15D372">
      <w:pPr>
        <w:jc w:val="left"/>
        <w:rPr>
          <w:rFonts w:ascii="宋体" w:hAnsi="宋体"/>
          <w:kern w:val="44"/>
        </w:rPr>
      </w:pPr>
      <w:r>
        <w:rPr>
          <w:rFonts w:hint="eastAsia" w:ascii="宋体" w:hAnsi="宋体"/>
          <w:kern w:val="44"/>
        </w:rPr>
        <w:t>塔式建筑遮挡中小学教室、托儿所和幼儿园的活动室、医疗病房等建筑的，建筑间距由城市规划行政主管部门视具体情况确定，但不得小于第六条和第七条关于塔式居住建筑间距的规定。</w:t>
      </w:r>
    </w:p>
    <w:p w14:paraId="752F195A">
      <w:pPr>
        <w:ind w:firstLine="422"/>
        <w:jc w:val="left"/>
        <w:rPr>
          <w:rFonts w:ascii="宋体" w:hAnsi="宋体"/>
          <w:kern w:val="44"/>
        </w:rPr>
      </w:pPr>
      <w:r>
        <w:rPr>
          <w:rFonts w:hint="eastAsia" w:ascii="宋体" w:hAnsi="宋体"/>
          <w:b/>
          <w:kern w:val="44"/>
        </w:rPr>
        <w:t>第十条</w:t>
      </w:r>
      <w:r>
        <w:rPr>
          <w:rFonts w:hint="eastAsia" w:ascii="宋体" w:hAnsi="宋体"/>
          <w:kern w:val="44"/>
        </w:rPr>
        <w:t>　板式建筑遮挡办公楼、集体宿舍、招待所、旅馆等建筑的阳光时，除第十一条规定的情况外，建筑间距系数不得小于1.3。</w:t>
      </w:r>
    </w:p>
    <w:p w14:paraId="70AF8BE0">
      <w:pPr>
        <w:jc w:val="left"/>
        <w:rPr>
          <w:rFonts w:ascii="宋体" w:hAnsi="宋体"/>
          <w:kern w:val="44"/>
        </w:rPr>
      </w:pPr>
      <w:r>
        <w:rPr>
          <w:rFonts w:hint="eastAsia" w:ascii="宋体" w:hAnsi="宋体"/>
          <w:kern w:val="44"/>
        </w:rPr>
        <w:t>塔式建筑遮挡前款所列建筑的阳光时，按第六条和第七条关于居住建筑间距的规定执行。</w:t>
      </w:r>
    </w:p>
    <w:p w14:paraId="6AE0611F">
      <w:pPr>
        <w:ind w:firstLine="422"/>
        <w:jc w:val="left"/>
        <w:rPr>
          <w:rFonts w:ascii="宋体" w:hAnsi="宋体"/>
          <w:kern w:val="44"/>
        </w:rPr>
      </w:pPr>
      <w:r>
        <w:rPr>
          <w:rFonts w:hint="eastAsia" w:ascii="宋体" w:hAnsi="宋体"/>
          <w:b/>
          <w:kern w:val="44"/>
        </w:rPr>
        <w:t>第十一条</w:t>
      </w:r>
      <w:r>
        <w:rPr>
          <w:rFonts w:hint="eastAsia" w:ascii="宋体" w:hAnsi="宋体"/>
          <w:kern w:val="44"/>
        </w:rPr>
        <w:t>　下列建筑被遮挡阳光时，其建筑间距系数由城市规划行政主管部门按规划要求确定：</w:t>
      </w:r>
    </w:p>
    <w:p w14:paraId="2EA72362">
      <w:pPr>
        <w:jc w:val="left"/>
        <w:rPr>
          <w:rFonts w:ascii="宋体" w:hAnsi="宋体"/>
          <w:kern w:val="44"/>
        </w:rPr>
      </w:pPr>
      <w:r>
        <w:rPr>
          <w:rFonts w:hint="eastAsia" w:ascii="宋体" w:hAnsi="宋体"/>
          <w:kern w:val="44"/>
        </w:rPr>
        <w:t>（一）2层或2层以下的办公楼、集体宿舍、招待所、旅馆等建筑。</w:t>
      </w:r>
    </w:p>
    <w:p w14:paraId="0431D370">
      <w:pPr>
        <w:jc w:val="left"/>
        <w:rPr>
          <w:rFonts w:ascii="宋体" w:hAnsi="宋体"/>
          <w:kern w:val="44"/>
        </w:rPr>
      </w:pPr>
      <w:r>
        <w:rPr>
          <w:rFonts w:hint="eastAsia" w:ascii="宋体" w:hAnsi="宋体"/>
          <w:kern w:val="44"/>
        </w:rPr>
        <w:t>（二）商业、服务业、影剧院、公用设施等建筑。</w:t>
      </w:r>
    </w:p>
    <w:p w14:paraId="6FCB48CA">
      <w:pPr>
        <w:jc w:val="left"/>
        <w:rPr>
          <w:rFonts w:ascii="宋体" w:hAnsi="宋体"/>
          <w:kern w:val="44"/>
        </w:rPr>
      </w:pPr>
      <w:r>
        <w:rPr>
          <w:rFonts w:hint="eastAsia" w:ascii="宋体" w:hAnsi="宋体"/>
          <w:kern w:val="44"/>
        </w:rPr>
        <w:t>（三）与遮挡阳光的建筑属于同一单位的办公楼、集体宿舍、招待所、旅馆等建筑。</w:t>
      </w:r>
    </w:p>
    <w:p w14:paraId="58D50255">
      <w:pPr>
        <w:jc w:val="left"/>
        <w:rPr>
          <w:rFonts w:ascii="宋体" w:hAnsi="宋体"/>
          <w:kern w:val="44"/>
        </w:rPr>
      </w:pPr>
    </w:p>
    <w:p w14:paraId="6735739F">
      <w:pPr>
        <w:ind w:firstLine="0" w:firstLineChars="0"/>
        <w:jc w:val="center"/>
        <w:rPr>
          <w:rFonts w:ascii="宋体" w:hAnsi="宋体"/>
          <w:b/>
          <w:kern w:val="44"/>
          <w:sz w:val="28"/>
        </w:rPr>
      </w:pPr>
      <w:r>
        <w:rPr>
          <w:rFonts w:hint="eastAsia" w:ascii="宋体" w:hAnsi="宋体"/>
          <w:b/>
          <w:kern w:val="44"/>
          <w:sz w:val="28"/>
        </w:rPr>
        <w:t>第四章　附  则</w:t>
      </w:r>
    </w:p>
    <w:p w14:paraId="0163F372">
      <w:pPr>
        <w:jc w:val="left"/>
        <w:rPr>
          <w:rFonts w:ascii="宋体" w:hAnsi="宋体"/>
          <w:kern w:val="44"/>
        </w:rPr>
      </w:pPr>
    </w:p>
    <w:p w14:paraId="41524F5B">
      <w:pPr>
        <w:ind w:firstLine="422"/>
        <w:jc w:val="left"/>
        <w:rPr>
          <w:rFonts w:ascii="宋体" w:hAnsi="宋体"/>
          <w:kern w:val="44"/>
        </w:rPr>
      </w:pPr>
      <w:r>
        <w:rPr>
          <w:rFonts w:hint="eastAsia" w:ascii="宋体" w:hAnsi="宋体"/>
          <w:b/>
          <w:kern w:val="44"/>
        </w:rPr>
        <w:t>第十二条</w:t>
      </w:r>
      <w:r>
        <w:rPr>
          <w:rFonts w:hint="eastAsia" w:ascii="宋体" w:hAnsi="宋体"/>
          <w:kern w:val="44"/>
        </w:rPr>
        <w:t>　本规定技术用语定义如下：</w:t>
      </w:r>
    </w:p>
    <w:p w14:paraId="320B54C1">
      <w:pPr>
        <w:jc w:val="left"/>
        <w:rPr>
          <w:rFonts w:ascii="宋体" w:hAnsi="宋体"/>
          <w:kern w:val="44"/>
        </w:rPr>
      </w:pPr>
      <w:r>
        <w:rPr>
          <w:rFonts w:hint="eastAsia" w:ascii="宋体" w:hAnsi="宋体"/>
          <w:kern w:val="44"/>
        </w:rPr>
        <w:t>建筑间距系数：指遮挡阳光的建筑与被遮挡阳光的建筑的间距为遮挡阳光的建筑高度的倍数。</w:t>
      </w:r>
    </w:p>
    <w:p w14:paraId="55059024">
      <w:pPr>
        <w:jc w:val="left"/>
        <w:rPr>
          <w:rFonts w:ascii="宋体" w:hAnsi="宋体"/>
          <w:kern w:val="44"/>
        </w:rPr>
      </w:pPr>
      <w:r>
        <w:rPr>
          <w:rFonts w:hint="eastAsia" w:ascii="宋体" w:hAnsi="宋体"/>
          <w:kern w:val="44"/>
        </w:rPr>
        <w:t>建筑的长高比：指遮挡阳光的建筑的正面长度为该建筑高度的倍数。</w:t>
      </w:r>
    </w:p>
    <w:p w14:paraId="4286B64C">
      <w:pPr>
        <w:ind w:firstLine="422"/>
        <w:jc w:val="left"/>
        <w:rPr>
          <w:rFonts w:ascii="宋体" w:hAnsi="宋体"/>
          <w:kern w:val="44"/>
        </w:rPr>
      </w:pPr>
      <w:r>
        <w:rPr>
          <w:rFonts w:hint="eastAsia" w:ascii="宋体" w:hAnsi="宋体"/>
          <w:b/>
          <w:kern w:val="44"/>
        </w:rPr>
        <w:t>第十三条</w:t>
      </w:r>
      <w:r>
        <w:rPr>
          <w:rFonts w:hint="eastAsia" w:ascii="宋体" w:hAnsi="宋体"/>
          <w:kern w:val="44"/>
        </w:rPr>
        <w:t>　本规定经市人民政府批准自1988年10月1日起施行。</w:t>
      </w:r>
    </w:p>
    <w:p w14:paraId="17439CB8">
      <w:pPr>
        <w:jc w:val="left"/>
        <w:rPr>
          <w:rFonts w:ascii="宋体" w:hAnsi="宋体"/>
          <w:kern w:val="44"/>
        </w:rPr>
      </w:pPr>
    </w:p>
    <w:p w14:paraId="15958E07">
      <w:pPr>
        <w:ind w:firstLine="0" w:firstLineChars="0"/>
        <w:jc w:val="left"/>
        <w:rPr>
          <w:rFonts w:hint="eastAsia" w:ascii="宋体" w:hAnsi="宋体"/>
          <w:b/>
          <w:kern w:val="44"/>
          <w:sz w:val="28"/>
        </w:rPr>
      </w:pPr>
    </w:p>
    <w:p w14:paraId="1E6137AD">
      <w:pPr>
        <w:ind w:firstLine="0" w:firstLineChars="0"/>
        <w:jc w:val="left"/>
        <w:rPr>
          <w:rFonts w:ascii="宋体" w:hAnsi="宋体"/>
          <w:b/>
          <w:kern w:val="44"/>
          <w:sz w:val="28"/>
        </w:rPr>
      </w:pPr>
      <w:r>
        <w:rPr>
          <w:rFonts w:hint="eastAsia" w:ascii="宋体" w:hAnsi="宋体"/>
          <w:b/>
          <w:kern w:val="44"/>
          <w:sz w:val="28"/>
        </w:rPr>
        <w:t>附表一</w:t>
      </w:r>
    </w:p>
    <w:p w14:paraId="1FFD63F6">
      <w:pPr>
        <w:ind w:firstLine="0" w:firstLineChars="0"/>
        <w:jc w:val="left"/>
        <w:rPr>
          <w:rFonts w:ascii="宋体" w:hAnsi="宋体"/>
          <w:b/>
          <w:kern w:val="44"/>
          <w:sz w:val="28"/>
        </w:rPr>
      </w:pPr>
    </w:p>
    <w:p w14:paraId="2D2DE261">
      <w:pPr>
        <w:ind w:firstLine="0" w:firstLineChars="0"/>
        <w:jc w:val="center"/>
        <w:rPr>
          <w:rFonts w:ascii="宋体" w:hAnsi="宋体"/>
          <w:kern w:val="44"/>
          <w:sz w:val="28"/>
        </w:rPr>
      </w:pPr>
      <w:r>
        <w:rPr>
          <w:rFonts w:hint="eastAsia" w:ascii="宋体" w:hAnsi="宋体"/>
          <w:kern w:val="44"/>
          <w:sz w:val="28"/>
        </w:rPr>
        <w:t>群体布置时板式居住建筑的间距系数</w:t>
      </w:r>
    </w:p>
    <w:p w14:paraId="050286FA">
      <w:pPr>
        <w:ind w:firstLine="0" w:firstLineChars="0"/>
        <w:jc w:val="center"/>
        <w:rPr>
          <w:rFonts w:ascii="宋体" w:hAnsi="宋体"/>
          <w:kern w:val="44"/>
          <w:sz w:val="28"/>
        </w:rPr>
      </w:pPr>
    </w:p>
    <w:tbl>
      <w:tblPr>
        <w:tblStyle w:val="23"/>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2"/>
        <w:gridCol w:w="2132"/>
        <w:gridCol w:w="2132"/>
        <w:gridCol w:w="2132"/>
      </w:tblGrid>
      <w:tr w14:paraId="7477E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trPr>
        <w:tc>
          <w:tcPr>
            <w:tcW w:w="2132" w:type="dxa"/>
            <w:tcBorders>
              <w:top w:val="single" w:color="auto" w:sz="12" w:space="0"/>
              <w:left w:val="single" w:color="auto" w:sz="12" w:space="0"/>
            </w:tcBorders>
            <w:vAlign w:val="center"/>
          </w:tcPr>
          <w:p w14:paraId="4A9EAF53">
            <w:pPr>
              <w:spacing w:line="240" w:lineRule="exact"/>
              <w:ind w:firstLine="0" w:firstLineChars="0"/>
              <w:jc w:val="center"/>
              <w:rPr>
                <w:rFonts w:ascii="宋体" w:hAnsi="宋体"/>
                <w:kern w:val="44"/>
                <w:sz w:val="18"/>
              </w:rPr>
            </w:pPr>
            <w:r>
              <w:rPr>
                <w:rFonts w:hint="eastAsia" w:ascii="宋体" w:hAnsi="宋体"/>
                <w:kern w:val="44"/>
                <w:sz w:val="18"/>
              </w:rPr>
              <w:t>建筑朝向与正南夹角</w:t>
            </w:r>
          </w:p>
        </w:tc>
        <w:tc>
          <w:tcPr>
            <w:tcW w:w="2132" w:type="dxa"/>
            <w:tcBorders>
              <w:top w:val="single" w:color="auto" w:sz="12" w:space="0"/>
            </w:tcBorders>
            <w:vAlign w:val="center"/>
          </w:tcPr>
          <w:p w14:paraId="452D15F8">
            <w:pPr>
              <w:spacing w:line="240" w:lineRule="exact"/>
              <w:ind w:firstLine="0" w:firstLineChars="0"/>
              <w:jc w:val="center"/>
              <w:rPr>
                <w:rFonts w:ascii="宋体" w:hAnsi="宋体"/>
                <w:kern w:val="44"/>
                <w:sz w:val="18"/>
              </w:rPr>
            </w:pPr>
            <w:r>
              <w:rPr>
                <w:rFonts w:hint="eastAsia" w:ascii="宋体" w:hAnsi="宋体"/>
                <w:kern w:val="44"/>
                <w:sz w:val="18"/>
              </w:rPr>
              <w:t>0</w:t>
            </w:r>
            <w:r>
              <w:rPr>
                <w:rFonts w:ascii="宋体" w:hAnsi="宋体" w:cs="Arial"/>
                <w:color w:val="333333"/>
                <w:sz w:val="18"/>
              </w:rPr>
              <w:t>°</w:t>
            </w:r>
            <w:r>
              <w:rPr>
                <w:rFonts w:hint="eastAsia" w:ascii="宋体" w:hAnsi="宋体" w:cs="Arial"/>
                <w:color w:val="333333"/>
                <w:sz w:val="18"/>
              </w:rPr>
              <w:t>～20</w:t>
            </w:r>
            <w:r>
              <w:rPr>
                <w:rFonts w:ascii="宋体" w:hAnsi="宋体" w:cs="Arial"/>
                <w:color w:val="333333"/>
                <w:sz w:val="18"/>
              </w:rPr>
              <w:t>°</w:t>
            </w:r>
          </w:p>
        </w:tc>
        <w:tc>
          <w:tcPr>
            <w:tcW w:w="2132" w:type="dxa"/>
            <w:tcBorders>
              <w:top w:val="single" w:color="auto" w:sz="12" w:space="0"/>
            </w:tcBorders>
            <w:vAlign w:val="center"/>
          </w:tcPr>
          <w:p w14:paraId="72A9CC44">
            <w:pPr>
              <w:spacing w:line="240" w:lineRule="exact"/>
              <w:ind w:firstLine="0" w:firstLineChars="0"/>
              <w:jc w:val="center"/>
              <w:rPr>
                <w:rFonts w:ascii="宋体" w:hAnsi="宋体"/>
                <w:kern w:val="44"/>
                <w:sz w:val="18"/>
              </w:rPr>
            </w:pPr>
            <w:r>
              <w:rPr>
                <w:rFonts w:hint="eastAsia" w:ascii="宋体" w:hAnsi="宋体"/>
                <w:kern w:val="44"/>
                <w:sz w:val="18"/>
              </w:rPr>
              <w:t>20</w:t>
            </w:r>
            <w:r>
              <w:rPr>
                <w:rFonts w:ascii="宋体" w:hAnsi="宋体" w:cs="Arial"/>
                <w:color w:val="333333"/>
                <w:sz w:val="18"/>
              </w:rPr>
              <w:t>°</w:t>
            </w:r>
            <w:r>
              <w:rPr>
                <w:rFonts w:hint="eastAsia" w:ascii="宋体" w:hAnsi="宋体" w:cs="Arial"/>
                <w:color w:val="333333"/>
                <w:sz w:val="18"/>
              </w:rPr>
              <w:t>以上～60</w:t>
            </w:r>
            <w:r>
              <w:rPr>
                <w:rFonts w:ascii="宋体" w:hAnsi="宋体" w:cs="Arial"/>
                <w:color w:val="333333"/>
                <w:sz w:val="18"/>
              </w:rPr>
              <w:t>°</w:t>
            </w:r>
          </w:p>
        </w:tc>
        <w:tc>
          <w:tcPr>
            <w:tcW w:w="2132" w:type="dxa"/>
            <w:tcBorders>
              <w:top w:val="single" w:color="auto" w:sz="12" w:space="0"/>
              <w:right w:val="single" w:color="auto" w:sz="12" w:space="0"/>
            </w:tcBorders>
            <w:vAlign w:val="center"/>
          </w:tcPr>
          <w:p w14:paraId="1C372608">
            <w:pPr>
              <w:spacing w:line="240" w:lineRule="exact"/>
              <w:ind w:firstLine="0" w:firstLineChars="0"/>
              <w:jc w:val="center"/>
              <w:rPr>
                <w:rFonts w:ascii="宋体" w:hAnsi="宋体"/>
                <w:kern w:val="44"/>
                <w:sz w:val="18"/>
              </w:rPr>
            </w:pPr>
            <w:r>
              <w:rPr>
                <w:rFonts w:hint="eastAsia" w:ascii="宋体" w:hAnsi="宋体"/>
                <w:kern w:val="44"/>
                <w:sz w:val="18"/>
              </w:rPr>
              <w:t>60</w:t>
            </w:r>
            <w:r>
              <w:rPr>
                <w:rFonts w:ascii="宋体" w:hAnsi="宋体" w:cs="Arial"/>
                <w:color w:val="333333"/>
                <w:sz w:val="18"/>
              </w:rPr>
              <w:t>°</w:t>
            </w:r>
            <w:r>
              <w:rPr>
                <w:rFonts w:hint="eastAsia" w:ascii="宋体" w:hAnsi="宋体" w:cs="Arial"/>
                <w:color w:val="333333"/>
                <w:sz w:val="18"/>
              </w:rPr>
              <w:t>以上</w:t>
            </w:r>
          </w:p>
        </w:tc>
      </w:tr>
      <w:tr w14:paraId="221D8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trPr>
        <w:tc>
          <w:tcPr>
            <w:tcW w:w="2132" w:type="dxa"/>
            <w:tcBorders>
              <w:left w:val="single" w:color="auto" w:sz="12" w:space="0"/>
            </w:tcBorders>
            <w:vAlign w:val="center"/>
          </w:tcPr>
          <w:p w14:paraId="03CF7EB5">
            <w:pPr>
              <w:spacing w:line="240" w:lineRule="exact"/>
              <w:ind w:firstLine="0" w:firstLineChars="0"/>
              <w:jc w:val="center"/>
              <w:rPr>
                <w:rFonts w:ascii="宋体" w:hAnsi="宋体"/>
                <w:kern w:val="44"/>
                <w:sz w:val="18"/>
              </w:rPr>
            </w:pPr>
            <w:r>
              <w:rPr>
                <w:rFonts w:hint="eastAsia" w:ascii="宋体" w:hAnsi="宋体"/>
                <w:kern w:val="44"/>
                <w:sz w:val="18"/>
              </w:rPr>
              <w:t>新建区</w:t>
            </w:r>
          </w:p>
        </w:tc>
        <w:tc>
          <w:tcPr>
            <w:tcW w:w="2132" w:type="dxa"/>
            <w:vAlign w:val="center"/>
          </w:tcPr>
          <w:p w14:paraId="3F1EF47C">
            <w:pPr>
              <w:spacing w:line="240" w:lineRule="exact"/>
              <w:ind w:firstLine="0" w:firstLineChars="0"/>
              <w:jc w:val="center"/>
              <w:rPr>
                <w:rFonts w:ascii="宋体" w:hAnsi="宋体"/>
                <w:kern w:val="44"/>
                <w:sz w:val="18"/>
              </w:rPr>
            </w:pPr>
            <w:r>
              <w:rPr>
                <w:rFonts w:hint="eastAsia" w:ascii="宋体" w:hAnsi="宋体"/>
                <w:kern w:val="44"/>
                <w:sz w:val="18"/>
              </w:rPr>
              <w:t>1.7</w:t>
            </w:r>
          </w:p>
        </w:tc>
        <w:tc>
          <w:tcPr>
            <w:tcW w:w="2132" w:type="dxa"/>
            <w:vAlign w:val="center"/>
          </w:tcPr>
          <w:p w14:paraId="03096692">
            <w:pPr>
              <w:spacing w:line="240" w:lineRule="exact"/>
              <w:ind w:firstLine="0" w:firstLineChars="0"/>
              <w:jc w:val="center"/>
              <w:rPr>
                <w:rFonts w:ascii="宋体" w:hAnsi="宋体"/>
                <w:kern w:val="44"/>
                <w:sz w:val="18"/>
              </w:rPr>
            </w:pPr>
            <w:r>
              <w:rPr>
                <w:rFonts w:hint="eastAsia" w:ascii="宋体" w:hAnsi="宋体"/>
                <w:kern w:val="44"/>
                <w:sz w:val="18"/>
              </w:rPr>
              <w:t>1.4</w:t>
            </w:r>
          </w:p>
        </w:tc>
        <w:tc>
          <w:tcPr>
            <w:tcW w:w="2132" w:type="dxa"/>
            <w:tcBorders>
              <w:right w:val="single" w:color="auto" w:sz="12" w:space="0"/>
            </w:tcBorders>
            <w:vAlign w:val="center"/>
          </w:tcPr>
          <w:p w14:paraId="63AE8EFD">
            <w:pPr>
              <w:spacing w:line="240" w:lineRule="exact"/>
              <w:ind w:firstLine="0" w:firstLineChars="0"/>
              <w:jc w:val="center"/>
              <w:rPr>
                <w:rFonts w:ascii="宋体" w:hAnsi="宋体"/>
                <w:kern w:val="44"/>
                <w:sz w:val="18"/>
              </w:rPr>
            </w:pPr>
            <w:r>
              <w:rPr>
                <w:rFonts w:hint="eastAsia" w:ascii="宋体" w:hAnsi="宋体"/>
                <w:kern w:val="44"/>
                <w:sz w:val="18"/>
              </w:rPr>
              <w:t>1.5</w:t>
            </w:r>
          </w:p>
        </w:tc>
      </w:tr>
      <w:tr w14:paraId="4B84C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trPr>
        <w:tc>
          <w:tcPr>
            <w:tcW w:w="2132" w:type="dxa"/>
            <w:tcBorders>
              <w:left w:val="single" w:color="auto" w:sz="12" w:space="0"/>
              <w:bottom w:val="single" w:color="auto" w:sz="12" w:space="0"/>
            </w:tcBorders>
            <w:vAlign w:val="center"/>
          </w:tcPr>
          <w:p w14:paraId="39B1F26D">
            <w:pPr>
              <w:spacing w:line="240" w:lineRule="exact"/>
              <w:ind w:firstLine="0" w:firstLineChars="0"/>
              <w:jc w:val="center"/>
              <w:rPr>
                <w:rFonts w:ascii="宋体" w:hAnsi="宋体"/>
                <w:kern w:val="44"/>
                <w:sz w:val="18"/>
              </w:rPr>
            </w:pPr>
            <w:r>
              <w:rPr>
                <w:rFonts w:hint="eastAsia" w:ascii="宋体" w:hAnsi="宋体"/>
                <w:kern w:val="44"/>
                <w:sz w:val="18"/>
              </w:rPr>
              <w:t>改建区</w:t>
            </w:r>
          </w:p>
        </w:tc>
        <w:tc>
          <w:tcPr>
            <w:tcW w:w="2132" w:type="dxa"/>
            <w:tcBorders>
              <w:bottom w:val="single" w:color="auto" w:sz="12" w:space="0"/>
            </w:tcBorders>
            <w:vAlign w:val="center"/>
          </w:tcPr>
          <w:p w14:paraId="65B87823">
            <w:pPr>
              <w:spacing w:line="240" w:lineRule="exact"/>
              <w:ind w:firstLine="0" w:firstLineChars="0"/>
              <w:jc w:val="center"/>
              <w:rPr>
                <w:rFonts w:ascii="宋体" w:hAnsi="宋体"/>
                <w:kern w:val="44"/>
                <w:sz w:val="18"/>
              </w:rPr>
            </w:pPr>
            <w:r>
              <w:rPr>
                <w:rFonts w:hint="eastAsia" w:ascii="宋体" w:hAnsi="宋体"/>
                <w:kern w:val="44"/>
                <w:sz w:val="18"/>
              </w:rPr>
              <w:t>1.6</w:t>
            </w:r>
          </w:p>
        </w:tc>
        <w:tc>
          <w:tcPr>
            <w:tcW w:w="2132" w:type="dxa"/>
            <w:tcBorders>
              <w:bottom w:val="single" w:color="auto" w:sz="12" w:space="0"/>
            </w:tcBorders>
            <w:vAlign w:val="center"/>
          </w:tcPr>
          <w:p w14:paraId="7D124A39">
            <w:pPr>
              <w:spacing w:line="240" w:lineRule="exact"/>
              <w:ind w:firstLine="0" w:firstLineChars="0"/>
              <w:jc w:val="center"/>
              <w:rPr>
                <w:rFonts w:ascii="宋体" w:hAnsi="宋体"/>
                <w:kern w:val="44"/>
                <w:sz w:val="18"/>
              </w:rPr>
            </w:pPr>
            <w:r>
              <w:rPr>
                <w:rFonts w:hint="eastAsia" w:ascii="宋体" w:hAnsi="宋体"/>
                <w:kern w:val="44"/>
                <w:sz w:val="18"/>
              </w:rPr>
              <w:t>1.4</w:t>
            </w:r>
          </w:p>
        </w:tc>
        <w:tc>
          <w:tcPr>
            <w:tcW w:w="2132" w:type="dxa"/>
            <w:tcBorders>
              <w:bottom w:val="single" w:color="auto" w:sz="12" w:space="0"/>
              <w:right w:val="single" w:color="auto" w:sz="12" w:space="0"/>
            </w:tcBorders>
            <w:vAlign w:val="center"/>
          </w:tcPr>
          <w:p w14:paraId="049207DE">
            <w:pPr>
              <w:spacing w:line="240" w:lineRule="exact"/>
              <w:ind w:firstLine="0" w:firstLineChars="0"/>
              <w:jc w:val="center"/>
              <w:rPr>
                <w:rFonts w:ascii="宋体" w:hAnsi="宋体"/>
                <w:kern w:val="44"/>
                <w:sz w:val="18"/>
              </w:rPr>
            </w:pPr>
            <w:r>
              <w:rPr>
                <w:rFonts w:hint="eastAsia" w:ascii="宋体" w:hAnsi="宋体"/>
                <w:kern w:val="44"/>
                <w:sz w:val="18"/>
              </w:rPr>
              <w:t>1.5</w:t>
            </w:r>
          </w:p>
        </w:tc>
      </w:tr>
    </w:tbl>
    <w:p w14:paraId="38989ED6">
      <w:pPr>
        <w:jc w:val="left"/>
        <w:rPr>
          <w:rFonts w:ascii="宋体" w:hAnsi="宋体"/>
          <w:kern w:val="44"/>
        </w:rPr>
      </w:pPr>
    </w:p>
    <w:p w14:paraId="6BF47012">
      <w:pPr>
        <w:ind w:firstLine="0" w:firstLineChars="0"/>
        <w:jc w:val="left"/>
        <w:rPr>
          <w:rFonts w:ascii="宋体" w:hAnsi="宋体"/>
          <w:b/>
          <w:kern w:val="44"/>
          <w:sz w:val="28"/>
        </w:rPr>
      </w:pPr>
      <w:r>
        <w:rPr>
          <w:rFonts w:hint="eastAsia" w:ascii="宋体" w:hAnsi="宋体"/>
          <w:b/>
          <w:kern w:val="44"/>
          <w:sz w:val="28"/>
        </w:rPr>
        <w:t>附表二</w:t>
      </w:r>
    </w:p>
    <w:p w14:paraId="7E54CD70">
      <w:pPr>
        <w:spacing w:line="300" w:lineRule="exact"/>
        <w:ind w:firstLine="0" w:firstLineChars="0"/>
        <w:jc w:val="left"/>
        <w:rPr>
          <w:rFonts w:ascii="宋体" w:hAnsi="宋体"/>
          <w:b/>
          <w:kern w:val="44"/>
        </w:rPr>
      </w:pPr>
    </w:p>
    <w:p w14:paraId="09FC038A">
      <w:pPr>
        <w:ind w:firstLine="560"/>
        <w:jc w:val="center"/>
        <w:rPr>
          <w:rFonts w:ascii="宋体" w:hAnsi="宋体"/>
          <w:kern w:val="44"/>
          <w:sz w:val="28"/>
        </w:rPr>
      </w:pPr>
      <w:r>
        <w:rPr>
          <w:rFonts w:hint="eastAsia" w:ascii="宋体" w:hAnsi="宋体"/>
          <w:kern w:val="44"/>
          <w:sz w:val="28"/>
        </w:rPr>
        <w:t>多栋塔式居住建筑的间距系数</w:t>
      </w:r>
    </w:p>
    <w:p w14:paraId="0BC9209A">
      <w:pPr>
        <w:spacing w:line="300" w:lineRule="exact"/>
        <w:ind w:firstLine="560"/>
        <w:jc w:val="center"/>
        <w:rPr>
          <w:rFonts w:ascii="宋体" w:hAnsi="宋体"/>
          <w:kern w:val="44"/>
          <w:sz w:val="28"/>
        </w:rPr>
      </w:pPr>
    </w:p>
    <w:tbl>
      <w:tblPr>
        <w:tblStyle w:val="23"/>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0"/>
        <w:gridCol w:w="1700"/>
        <w:gridCol w:w="1727"/>
        <w:gridCol w:w="1753"/>
        <w:gridCol w:w="1648"/>
      </w:tblGrid>
      <w:tr w14:paraId="352A3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trPr>
        <w:tc>
          <w:tcPr>
            <w:tcW w:w="1700" w:type="dxa"/>
            <w:tcBorders>
              <w:top w:val="single" w:color="auto" w:sz="12" w:space="0"/>
              <w:left w:val="single" w:color="auto" w:sz="12" w:space="0"/>
            </w:tcBorders>
            <w:vAlign w:val="center"/>
          </w:tcPr>
          <w:p w14:paraId="6317530F">
            <w:pPr>
              <w:spacing w:line="240" w:lineRule="exact"/>
              <w:ind w:firstLine="0" w:firstLineChars="0"/>
              <w:jc w:val="center"/>
              <w:rPr>
                <w:rFonts w:ascii="宋体" w:hAnsi="宋体"/>
                <w:kern w:val="44"/>
                <w:sz w:val="18"/>
              </w:rPr>
            </w:pPr>
            <w:r>
              <w:rPr>
                <w:rFonts w:hint="eastAsia" w:ascii="宋体" w:hAnsi="宋体"/>
                <w:kern w:val="44"/>
                <w:sz w:val="18"/>
              </w:rPr>
              <w:t>遮挡阳光建筑群的长高比</w:t>
            </w:r>
          </w:p>
        </w:tc>
        <w:tc>
          <w:tcPr>
            <w:tcW w:w="1700" w:type="dxa"/>
            <w:tcBorders>
              <w:top w:val="single" w:color="auto" w:sz="12" w:space="0"/>
            </w:tcBorders>
            <w:vAlign w:val="center"/>
          </w:tcPr>
          <w:p w14:paraId="5056B923">
            <w:pPr>
              <w:spacing w:line="240" w:lineRule="exact"/>
              <w:ind w:firstLine="0" w:firstLineChars="0"/>
              <w:jc w:val="center"/>
              <w:rPr>
                <w:rFonts w:ascii="宋体" w:hAnsi="宋体"/>
                <w:kern w:val="44"/>
                <w:sz w:val="18"/>
              </w:rPr>
            </w:pPr>
            <w:r>
              <w:rPr>
                <w:rFonts w:hint="eastAsia" w:ascii="宋体" w:hAnsi="宋体"/>
                <w:kern w:val="44"/>
                <w:sz w:val="18"/>
              </w:rPr>
              <w:t>1.0 以下</w:t>
            </w:r>
          </w:p>
        </w:tc>
        <w:tc>
          <w:tcPr>
            <w:tcW w:w="1727" w:type="dxa"/>
            <w:tcBorders>
              <w:top w:val="single" w:color="auto" w:sz="12" w:space="0"/>
            </w:tcBorders>
            <w:vAlign w:val="center"/>
          </w:tcPr>
          <w:p w14:paraId="1DD46793">
            <w:pPr>
              <w:spacing w:line="240" w:lineRule="exact"/>
              <w:ind w:firstLine="0" w:firstLineChars="0"/>
              <w:jc w:val="center"/>
              <w:rPr>
                <w:rFonts w:ascii="宋体" w:hAnsi="宋体"/>
                <w:kern w:val="44"/>
                <w:sz w:val="18"/>
              </w:rPr>
            </w:pPr>
            <w:r>
              <w:rPr>
                <w:rFonts w:hint="eastAsia" w:ascii="宋体" w:hAnsi="宋体"/>
                <w:kern w:val="44"/>
                <w:sz w:val="18"/>
              </w:rPr>
              <w:t>1.0 ～ 2.0</w:t>
            </w:r>
          </w:p>
        </w:tc>
        <w:tc>
          <w:tcPr>
            <w:tcW w:w="1753" w:type="dxa"/>
            <w:tcBorders>
              <w:top w:val="single" w:color="auto" w:sz="12" w:space="0"/>
            </w:tcBorders>
            <w:vAlign w:val="center"/>
          </w:tcPr>
          <w:p w14:paraId="6545C735">
            <w:pPr>
              <w:spacing w:line="240" w:lineRule="exact"/>
              <w:ind w:firstLine="0" w:firstLineChars="0"/>
              <w:jc w:val="center"/>
              <w:rPr>
                <w:rFonts w:ascii="宋体" w:hAnsi="宋体"/>
                <w:kern w:val="44"/>
                <w:sz w:val="18"/>
              </w:rPr>
            </w:pPr>
            <w:r>
              <w:rPr>
                <w:rFonts w:hint="eastAsia" w:ascii="宋体" w:hAnsi="宋体"/>
                <w:kern w:val="44"/>
                <w:sz w:val="18"/>
              </w:rPr>
              <w:t>2.0 以上～</w:t>
            </w:r>
            <w:r>
              <w:rPr>
                <w:rFonts w:ascii="宋体" w:hAnsi="宋体"/>
                <w:kern w:val="44"/>
                <w:sz w:val="18"/>
              </w:rPr>
              <w:t>2.5</w:t>
            </w:r>
          </w:p>
        </w:tc>
        <w:tc>
          <w:tcPr>
            <w:tcW w:w="1648" w:type="dxa"/>
            <w:tcBorders>
              <w:top w:val="single" w:color="auto" w:sz="12" w:space="0"/>
              <w:right w:val="single" w:color="auto" w:sz="12" w:space="0"/>
            </w:tcBorders>
            <w:vAlign w:val="center"/>
          </w:tcPr>
          <w:p w14:paraId="5C7452BF">
            <w:pPr>
              <w:spacing w:line="240" w:lineRule="exact"/>
              <w:ind w:firstLine="0" w:firstLineChars="0"/>
              <w:jc w:val="center"/>
              <w:rPr>
                <w:rFonts w:ascii="宋体" w:hAnsi="宋体"/>
                <w:kern w:val="44"/>
                <w:sz w:val="18"/>
              </w:rPr>
            </w:pPr>
            <w:r>
              <w:rPr>
                <w:rFonts w:hint="eastAsia" w:ascii="宋体" w:hAnsi="宋体"/>
                <w:kern w:val="44"/>
                <w:sz w:val="18"/>
              </w:rPr>
              <w:t>2.5 以上</w:t>
            </w:r>
          </w:p>
        </w:tc>
      </w:tr>
      <w:tr w14:paraId="1DAF0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trPr>
        <w:tc>
          <w:tcPr>
            <w:tcW w:w="1700" w:type="dxa"/>
            <w:tcBorders>
              <w:left w:val="single" w:color="auto" w:sz="12" w:space="0"/>
            </w:tcBorders>
            <w:vAlign w:val="center"/>
          </w:tcPr>
          <w:p w14:paraId="00F15588">
            <w:pPr>
              <w:spacing w:line="240" w:lineRule="exact"/>
              <w:ind w:firstLine="0" w:firstLineChars="0"/>
              <w:jc w:val="center"/>
              <w:rPr>
                <w:rFonts w:ascii="宋体" w:hAnsi="宋体"/>
                <w:kern w:val="44"/>
                <w:sz w:val="18"/>
              </w:rPr>
            </w:pPr>
            <w:r>
              <w:rPr>
                <w:rFonts w:hint="eastAsia" w:ascii="宋体" w:hAnsi="宋体"/>
                <w:kern w:val="44"/>
                <w:sz w:val="18"/>
              </w:rPr>
              <w:t>新建区</w:t>
            </w:r>
          </w:p>
        </w:tc>
        <w:tc>
          <w:tcPr>
            <w:tcW w:w="1700" w:type="dxa"/>
            <w:vAlign w:val="center"/>
          </w:tcPr>
          <w:p w14:paraId="19626DB6">
            <w:pPr>
              <w:spacing w:line="240" w:lineRule="exact"/>
              <w:ind w:firstLine="0" w:firstLineChars="0"/>
              <w:jc w:val="center"/>
              <w:rPr>
                <w:rFonts w:ascii="宋体" w:hAnsi="宋体"/>
                <w:kern w:val="44"/>
                <w:sz w:val="18"/>
              </w:rPr>
            </w:pPr>
            <w:r>
              <w:rPr>
                <w:rFonts w:hint="eastAsia" w:ascii="宋体" w:hAnsi="宋体"/>
                <w:kern w:val="44"/>
                <w:sz w:val="18"/>
              </w:rPr>
              <w:t>1.0</w:t>
            </w:r>
          </w:p>
        </w:tc>
        <w:tc>
          <w:tcPr>
            <w:tcW w:w="1727" w:type="dxa"/>
            <w:vAlign w:val="center"/>
          </w:tcPr>
          <w:p w14:paraId="2C430FE2">
            <w:pPr>
              <w:spacing w:line="240" w:lineRule="exact"/>
              <w:ind w:firstLine="0" w:firstLineChars="0"/>
              <w:jc w:val="center"/>
              <w:rPr>
                <w:rFonts w:ascii="宋体" w:hAnsi="宋体"/>
                <w:kern w:val="44"/>
                <w:sz w:val="18"/>
              </w:rPr>
            </w:pPr>
            <w:r>
              <w:rPr>
                <w:rFonts w:hint="eastAsia" w:ascii="宋体" w:hAnsi="宋体"/>
                <w:kern w:val="44"/>
                <w:sz w:val="18"/>
              </w:rPr>
              <w:t>1.2</w:t>
            </w:r>
          </w:p>
        </w:tc>
        <w:tc>
          <w:tcPr>
            <w:tcW w:w="1753" w:type="dxa"/>
            <w:vAlign w:val="center"/>
          </w:tcPr>
          <w:p w14:paraId="1CA0E224">
            <w:pPr>
              <w:spacing w:line="240" w:lineRule="exact"/>
              <w:ind w:firstLine="0" w:firstLineChars="0"/>
              <w:jc w:val="center"/>
              <w:rPr>
                <w:rFonts w:ascii="宋体" w:hAnsi="宋体"/>
                <w:kern w:val="44"/>
                <w:sz w:val="18"/>
              </w:rPr>
            </w:pPr>
            <w:r>
              <w:rPr>
                <w:rFonts w:hint="eastAsia" w:ascii="宋体" w:hAnsi="宋体"/>
                <w:kern w:val="44"/>
                <w:sz w:val="18"/>
              </w:rPr>
              <w:t>1.5</w:t>
            </w:r>
          </w:p>
        </w:tc>
        <w:tc>
          <w:tcPr>
            <w:tcW w:w="1648" w:type="dxa"/>
            <w:tcBorders>
              <w:right w:val="single" w:color="auto" w:sz="12" w:space="0"/>
            </w:tcBorders>
            <w:vAlign w:val="center"/>
          </w:tcPr>
          <w:p w14:paraId="399E84A0">
            <w:pPr>
              <w:spacing w:line="240" w:lineRule="exact"/>
              <w:ind w:firstLine="0" w:firstLineChars="0"/>
              <w:jc w:val="center"/>
              <w:rPr>
                <w:rFonts w:ascii="宋体" w:hAnsi="宋体"/>
                <w:kern w:val="44"/>
                <w:sz w:val="18"/>
              </w:rPr>
            </w:pPr>
            <w:r>
              <w:rPr>
                <w:rFonts w:hint="eastAsia" w:ascii="宋体" w:hAnsi="宋体"/>
                <w:kern w:val="44"/>
                <w:sz w:val="18"/>
              </w:rPr>
              <w:t>1.7</w:t>
            </w:r>
          </w:p>
        </w:tc>
      </w:tr>
      <w:tr w14:paraId="305E2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trPr>
        <w:tc>
          <w:tcPr>
            <w:tcW w:w="1700" w:type="dxa"/>
            <w:tcBorders>
              <w:left w:val="single" w:color="auto" w:sz="12" w:space="0"/>
              <w:bottom w:val="single" w:color="auto" w:sz="12" w:space="0"/>
            </w:tcBorders>
            <w:vAlign w:val="center"/>
          </w:tcPr>
          <w:p w14:paraId="2B19D280">
            <w:pPr>
              <w:spacing w:line="240" w:lineRule="exact"/>
              <w:ind w:firstLine="0" w:firstLineChars="0"/>
              <w:jc w:val="center"/>
              <w:rPr>
                <w:rFonts w:ascii="宋体" w:hAnsi="宋体"/>
                <w:kern w:val="44"/>
                <w:sz w:val="18"/>
              </w:rPr>
            </w:pPr>
            <w:r>
              <w:rPr>
                <w:rFonts w:hint="eastAsia" w:ascii="宋体" w:hAnsi="宋体"/>
                <w:kern w:val="44"/>
                <w:sz w:val="18"/>
              </w:rPr>
              <w:t>改建区</w:t>
            </w:r>
          </w:p>
        </w:tc>
        <w:tc>
          <w:tcPr>
            <w:tcW w:w="1700" w:type="dxa"/>
            <w:tcBorders>
              <w:bottom w:val="single" w:color="auto" w:sz="12" w:space="0"/>
            </w:tcBorders>
            <w:vAlign w:val="center"/>
          </w:tcPr>
          <w:p w14:paraId="0D736ACE">
            <w:pPr>
              <w:spacing w:line="240" w:lineRule="exact"/>
              <w:ind w:firstLine="0" w:firstLineChars="0"/>
              <w:jc w:val="center"/>
              <w:rPr>
                <w:rFonts w:ascii="宋体" w:hAnsi="宋体"/>
                <w:kern w:val="44"/>
                <w:sz w:val="18"/>
              </w:rPr>
            </w:pPr>
            <w:r>
              <w:rPr>
                <w:rFonts w:hint="eastAsia" w:ascii="宋体" w:hAnsi="宋体"/>
                <w:kern w:val="44"/>
                <w:sz w:val="18"/>
              </w:rPr>
              <w:t>1.0</w:t>
            </w:r>
          </w:p>
        </w:tc>
        <w:tc>
          <w:tcPr>
            <w:tcW w:w="1727" w:type="dxa"/>
            <w:tcBorders>
              <w:bottom w:val="single" w:color="auto" w:sz="12" w:space="0"/>
            </w:tcBorders>
            <w:vAlign w:val="center"/>
          </w:tcPr>
          <w:p w14:paraId="43EA16EF">
            <w:pPr>
              <w:spacing w:line="240" w:lineRule="exact"/>
              <w:ind w:firstLine="0" w:firstLineChars="0"/>
              <w:jc w:val="center"/>
              <w:rPr>
                <w:rFonts w:ascii="宋体" w:hAnsi="宋体"/>
                <w:kern w:val="44"/>
                <w:sz w:val="18"/>
              </w:rPr>
            </w:pPr>
            <w:r>
              <w:rPr>
                <w:rFonts w:hint="eastAsia" w:ascii="宋体" w:hAnsi="宋体"/>
                <w:kern w:val="44"/>
                <w:sz w:val="18"/>
              </w:rPr>
              <w:t>1.2</w:t>
            </w:r>
          </w:p>
        </w:tc>
        <w:tc>
          <w:tcPr>
            <w:tcW w:w="1753" w:type="dxa"/>
            <w:tcBorders>
              <w:bottom w:val="single" w:color="auto" w:sz="12" w:space="0"/>
            </w:tcBorders>
            <w:vAlign w:val="center"/>
          </w:tcPr>
          <w:p w14:paraId="374A3A98">
            <w:pPr>
              <w:spacing w:line="240" w:lineRule="exact"/>
              <w:ind w:firstLine="0" w:firstLineChars="0"/>
              <w:jc w:val="center"/>
              <w:rPr>
                <w:rFonts w:ascii="宋体" w:hAnsi="宋体"/>
                <w:kern w:val="44"/>
                <w:sz w:val="18"/>
              </w:rPr>
            </w:pPr>
            <w:r>
              <w:rPr>
                <w:rFonts w:hint="eastAsia" w:ascii="宋体" w:hAnsi="宋体"/>
                <w:kern w:val="44"/>
                <w:sz w:val="18"/>
              </w:rPr>
              <w:t>1.5</w:t>
            </w:r>
          </w:p>
        </w:tc>
        <w:tc>
          <w:tcPr>
            <w:tcW w:w="1648" w:type="dxa"/>
            <w:tcBorders>
              <w:bottom w:val="single" w:color="auto" w:sz="12" w:space="0"/>
              <w:right w:val="single" w:color="auto" w:sz="12" w:space="0"/>
            </w:tcBorders>
            <w:vAlign w:val="center"/>
          </w:tcPr>
          <w:p w14:paraId="213B1ACA">
            <w:pPr>
              <w:spacing w:line="240" w:lineRule="exact"/>
              <w:ind w:firstLine="0" w:firstLineChars="0"/>
              <w:jc w:val="center"/>
              <w:rPr>
                <w:rFonts w:ascii="宋体" w:hAnsi="宋体"/>
                <w:kern w:val="44"/>
                <w:sz w:val="18"/>
              </w:rPr>
            </w:pPr>
            <w:r>
              <w:rPr>
                <w:rFonts w:hint="eastAsia" w:ascii="宋体" w:hAnsi="宋体"/>
                <w:kern w:val="44"/>
                <w:sz w:val="18"/>
              </w:rPr>
              <w:t>1.6</w:t>
            </w:r>
          </w:p>
        </w:tc>
      </w:tr>
    </w:tbl>
    <w:p w14:paraId="743934D6">
      <w:pPr>
        <w:ind w:firstLine="0" w:firstLineChars="0"/>
        <w:jc w:val="left"/>
        <w:rPr>
          <w:rFonts w:ascii="宋体" w:hAnsi="宋体"/>
          <w:b/>
          <w:kern w:val="44"/>
          <w:sz w:val="28"/>
        </w:rPr>
      </w:pPr>
    </w:p>
    <w:p w14:paraId="11134AD3">
      <w:pPr>
        <w:ind w:firstLine="0" w:firstLineChars="0"/>
        <w:jc w:val="left"/>
        <w:rPr>
          <w:rFonts w:ascii="宋体" w:hAnsi="宋体"/>
          <w:b/>
          <w:kern w:val="44"/>
          <w:sz w:val="28"/>
        </w:rPr>
      </w:pPr>
    </w:p>
    <w:p w14:paraId="2A365C90">
      <w:pPr>
        <w:ind w:firstLine="0" w:firstLineChars="0"/>
        <w:jc w:val="left"/>
        <w:rPr>
          <w:rFonts w:ascii="宋体" w:hAnsi="宋体"/>
          <w:b/>
          <w:kern w:val="44"/>
          <w:sz w:val="28"/>
        </w:rPr>
      </w:pPr>
    </w:p>
    <w:p w14:paraId="6777D537">
      <w:pPr>
        <w:ind w:firstLine="0" w:firstLineChars="0"/>
        <w:jc w:val="left"/>
        <w:rPr>
          <w:rFonts w:hint="eastAsia" w:ascii="宋体" w:hAnsi="宋体"/>
          <w:b/>
          <w:kern w:val="44"/>
          <w:sz w:val="28"/>
        </w:rPr>
      </w:pPr>
    </w:p>
    <w:p w14:paraId="4EDE3586">
      <w:pPr>
        <w:ind w:firstLine="0" w:firstLineChars="0"/>
        <w:jc w:val="left"/>
        <w:rPr>
          <w:rFonts w:ascii="宋体" w:hAnsi="宋体"/>
          <w:b/>
          <w:kern w:val="44"/>
          <w:sz w:val="28"/>
        </w:rPr>
      </w:pPr>
      <w:r>
        <w:rPr>
          <w:rFonts w:hint="eastAsia" w:ascii="宋体" w:hAnsi="宋体"/>
          <w:b/>
          <w:kern w:val="44"/>
          <w:sz w:val="28"/>
        </w:rPr>
        <w:t>附表三</w:t>
      </w:r>
    </w:p>
    <w:p w14:paraId="5866781A">
      <w:pPr>
        <w:ind w:firstLine="0" w:firstLineChars="0"/>
        <w:jc w:val="left"/>
        <w:rPr>
          <w:rFonts w:ascii="宋体" w:hAnsi="宋体"/>
          <w:b/>
          <w:kern w:val="44"/>
          <w:sz w:val="28"/>
        </w:rPr>
      </w:pPr>
    </w:p>
    <w:p w14:paraId="4DE74244">
      <w:pPr>
        <w:ind w:firstLine="560"/>
        <w:jc w:val="center"/>
        <w:rPr>
          <w:rFonts w:ascii="宋体" w:hAnsi="宋体"/>
          <w:kern w:val="44"/>
          <w:sz w:val="28"/>
        </w:rPr>
      </w:pPr>
      <w:r>
        <w:rPr>
          <w:rFonts w:hint="eastAsia" w:ascii="宋体" w:hAnsi="宋体"/>
          <w:kern w:val="44"/>
          <w:sz w:val="28"/>
        </w:rPr>
        <w:t>中小学教室、托儿所和幼儿园</w:t>
      </w:r>
    </w:p>
    <w:p w14:paraId="234A7D86">
      <w:pPr>
        <w:ind w:firstLine="560"/>
        <w:jc w:val="center"/>
        <w:rPr>
          <w:rFonts w:ascii="宋体" w:hAnsi="宋体"/>
          <w:kern w:val="44"/>
          <w:sz w:val="28"/>
        </w:rPr>
      </w:pPr>
      <w:r>
        <w:rPr>
          <w:rFonts w:hint="eastAsia" w:ascii="宋体" w:hAnsi="宋体"/>
          <w:kern w:val="44"/>
          <w:sz w:val="28"/>
        </w:rPr>
        <w:t>的活动室、医疗病房建筑的间距系数</w:t>
      </w:r>
    </w:p>
    <w:p w14:paraId="5E6D9EB1">
      <w:pPr>
        <w:ind w:firstLine="560"/>
        <w:jc w:val="center"/>
        <w:rPr>
          <w:rFonts w:ascii="宋体" w:hAnsi="宋体"/>
          <w:kern w:val="44"/>
          <w:sz w:val="28"/>
        </w:rPr>
      </w:pPr>
    </w:p>
    <w:tbl>
      <w:tblPr>
        <w:tblStyle w:val="23"/>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2"/>
        <w:gridCol w:w="2132"/>
        <w:gridCol w:w="2132"/>
        <w:gridCol w:w="2132"/>
      </w:tblGrid>
      <w:tr w14:paraId="623D6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trPr>
        <w:tc>
          <w:tcPr>
            <w:tcW w:w="2132" w:type="dxa"/>
            <w:tcBorders>
              <w:top w:val="single" w:color="auto" w:sz="12" w:space="0"/>
              <w:left w:val="single" w:color="auto" w:sz="12" w:space="0"/>
            </w:tcBorders>
            <w:vAlign w:val="center"/>
          </w:tcPr>
          <w:p w14:paraId="636F5079">
            <w:pPr>
              <w:spacing w:line="240" w:lineRule="exact"/>
              <w:ind w:firstLine="0" w:firstLineChars="0"/>
              <w:jc w:val="center"/>
              <w:rPr>
                <w:kern w:val="44"/>
                <w:sz w:val="18"/>
              </w:rPr>
            </w:pPr>
            <w:r>
              <w:rPr>
                <w:rFonts w:hint="eastAsia" w:ascii="宋体" w:hAnsi="宋体"/>
                <w:kern w:val="44"/>
                <w:sz w:val="18"/>
              </w:rPr>
              <w:t>建筑朝向与正南夹角</w:t>
            </w:r>
          </w:p>
        </w:tc>
        <w:tc>
          <w:tcPr>
            <w:tcW w:w="2132" w:type="dxa"/>
            <w:tcBorders>
              <w:top w:val="single" w:color="auto" w:sz="12" w:space="0"/>
            </w:tcBorders>
            <w:vAlign w:val="center"/>
          </w:tcPr>
          <w:p w14:paraId="6E9F27E8">
            <w:pPr>
              <w:spacing w:line="240" w:lineRule="exact"/>
              <w:ind w:firstLine="0" w:firstLineChars="0"/>
              <w:jc w:val="center"/>
              <w:rPr>
                <w:kern w:val="44"/>
                <w:sz w:val="18"/>
              </w:rPr>
            </w:pPr>
            <w:r>
              <w:rPr>
                <w:rFonts w:hint="eastAsia" w:ascii="宋体" w:hAnsi="宋体"/>
                <w:kern w:val="44"/>
                <w:sz w:val="18"/>
              </w:rPr>
              <w:t>0°～ 20°</w:t>
            </w:r>
          </w:p>
        </w:tc>
        <w:tc>
          <w:tcPr>
            <w:tcW w:w="2132" w:type="dxa"/>
            <w:tcBorders>
              <w:top w:val="single" w:color="auto" w:sz="12" w:space="0"/>
            </w:tcBorders>
            <w:vAlign w:val="center"/>
          </w:tcPr>
          <w:p w14:paraId="54177932">
            <w:pPr>
              <w:spacing w:line="240" w:lineRule="exact"/>
              <w:ind w:firstLine="0" w:firstLineChars="0"/>
              <w:jc w:val="center"/>
              <w:rPr>
                <w:kern w:val="44"/>
                <w:sz w:val="18"/>
              </w:rPr>
            </w:pPr>
            <w:r>
              <w:rPr>
                <w:rFonts w:hint="eastAsia" w:ascii="宋体" w:hAnsi="宋体"/>
                <w:kern w:val="44"/>
                <w:sz w:val="18"/>
              </w:rPr>
              <w:t>20°以上～ 60°</w:t>
            </w:r>
          </w:p>
        </w:tc>
        <w:tc>
          <w:tcPr>
            <w:tcW w:w="2132" w:type="dxa"/>
            <w:tcBorders>
              <w:top w:val="single" w:color="auto" w:sz="12" w:space="0"/>
              <w:right w:val="single" w:color="auto" w:sz="12" w:space="0"/>
            </w:tcBorders>
            <w:vAlign w:val="center"/>
          </w:tcPr>
          <w:p w14:paraId="6B9DB634">
            <w:pPr>
              <w:spacing w:line="240" w:lineRule="exact"/>
              <w:ind w:firstLine="0" w:firstLineChars="0"/>
              <w:jc w:val="center"/>
              <w:rPr>
                <w:kern w:val="44"/>
                <w:sz w:val="18"/>
              </w:rPr>
            </w:pPr>
            <w:r>
              <w:rPr>
                <w:rFonts w:hint="eastAsia" w:ascii="宋体" w:hAnsi="宋体"/>
                <w:kern w:val="44"/>
                <w:sz w:val="18"/>
              </w:rPr>
              <w:t>60°以上</w:t>
            </w:r>
          </w:p>
        </w:tc>
      </w:tr>
      <w:tr w14:paraId="7A85F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exact"/>
        </w:trPr>
        <w:tc>
          <w:tcPr>
            <w:tcW w:w="2132" w:type="dxa"/>
            <w:tcBorders>
              <w:left w:val="single" w:color="auto" w:sz="12" w:space="0"/>
              <w:bottom w:val="single" w:color="auto" w:sz="12" w:space="0"/>
            </w:tcBorders>
            <w:vAlign w:val="center"/>
          </w:tcPr>
          <w:p w14:paraId="559076DA">
            <w:pPr>
              <w:spacing w:line="240" w:lineRule="exact"/>
              <w:ind w:firstLine="0" w:firstLineChars="0"/>
              <w:jc w:val="center"/>
              <w:rPr>
                <w:kern w:val="44"/>
                <w:sz w:val="18"/>
              </w:rPr>
            </w:pPr>
            <w:r>
              <w:rPr>
                <w:rFonts w:hint="eastAsia" w:ascii="宋体" w:hAnsi="宋体"/>
                <w:kern w:val="44"/>
                <w:sz w:val="18"/>
              </w:rPr>
              <w:t>建筑间距系数</w:t>
            </w:r>
          </w:p>
        </w:tc>
        <w:tc>
          <w:tcPr>
            <w:tcW w:w="2132" w:type="dxa"/>
            <w:tcBorders>
              <w:bottom w:val="single" w:color="auto" w:sz="12" w:space="0"/>
            </w:tcBorders>
            <w:vAlign w:val="center"/>
          </w:tcPr>
          <w:p w14:paraId="0F842C81">
            <w:pPr>
              <w:spacing w:line="240" w:lineRule="exact"/>
              <w:ind w:firstLine="0" w:firstLineChars="0"/>
              <w:jc w:val="center"/>
              <w:rPr>
                <w:kern w:val="44"/>
                <w:sz w:val="18"/>
              </w:rPr>
            </w:pPr>
            <w:r>
              <w:rPr>
                <w:rFonts w:hint="eastAsia" w:ascii="宋体" w:hAnsi="宋体"/>
                <w:kern w:val="44"/>
                <w:sz w:val="18"/>
              </w:rPr>
              <w:t>1.9</w:t>
            </w:r>
          </w:p>
        </w:tc>
        <w:tc>
          <w:tcPr>
            <w:tcW w:w="2132" w:type="dxa"/>
            <w:tcBorders>
              <w:bottom w:val="single" w:color="auto" w:sz="12" w:space="0"/>
            </w:tcBorders>
            <w:vAlign w:val="center"/>
          </w:tcPr>
          <w:p w14:paraId="440EC7E8">
            <w:pPr>
              <w:spacing w:line="240" w:lineRule="exact"/>
              <w:ind w:firstLine="0" w:firstLineChars="0"/>
              <w:jc w:val="center"/>
              <w:rPr>
                <w:kern w:val="44"/>
                <w:sz w:val="18"/>
              </w:rPr>
            </w:pPr>
            <w:r>
              <w:rPr>
                <w:rFonts w:hint="eastAsia" w:ascii="宋体" w:hAnsi="宋体"/>
                <w:kern w:val="44"/>
                <w:sz w:val="18"/>
              </w:rPr>
              <w:t>1.6</w:t>
            </w:r>
          </w:p>
        </w:tc>
        <w:tc>
          <w:tcPr>
            <w:tcW w:w="2132" w:type="dxa"/>
            <w:tcBorders>
              <w:bottom w:val="single" w:color="auto" w:sz="12" w:space="0"/>
              <w:right w:val="single" w:color="auto" w:sz="12" w:space="0"/>
            </w:tcBorders>
            <w:vAlign w:val="center"/>
          </w:tcPr>
          <w:p w14:paraId="6A12C2DA">
            <w:pPr>
              <w:spacing w:line="240" w:lineRule="exact"/>
              <w:ind w:firstLine="0" w:firstLineChars="0"/>
              <w:jc w:val="center"/>
              <w:rPr>
                <w:kern w:val="44"/>
                <w:sz w:val="18"/>
              </w:rPr>
            </w:pPr>
            <w:r>
              <w:rPr>
                <w:rFonts w:hint="eastAsia" w:ascii="宋体" w:hAnsi="宋体"/>
                <w:kern w:val="44"/>
                <w:sz w:val="18"/>
              </w:rPr>
              <w:t>1.8</w:t>
            </w:r>
          </w:p>
        </w:tc>
      </w:tr>
    </w:tbl>
    <w:p w14:paraId="630FF290">
      <w:pPr>
        <w:rPr>
          <w:kern w:val="44"/>
        </w:rPr>
      </w:pPr>
    </w:p>
    <w:p w14:paraId="74DF0A94">
      <w:pPr>
        <w:jc w:val="left"/>
        <w:rPr>
          <w:rFonts w:ascii="宋体" w:hAnsi="宋体"/>
          <w:kern w:val="44"/>
        </w:rPr>
      </w:pPr>
      <w:r>
        <w:rPr>
          <w:rFonts w:hint="eastAsia" w:ascii="宋体" w:hAnsi="宋体"/>
          <w:kern w:val="44"/>
        </w:rPr>
        <w:t xml:space="preserve">    </w:t>
      </w:r>
    </w:p>
    <w:p w14:paraId="62C418E8">
      <w:pPr>
        <w:jc w:val="left"/>
        <w:rPr>
          <w:rFonts w:ascii="宋体" w:hAnsi="宋体"/>
          <w:kern w:val="44"/>
        </w:rPr>
      </w:pPr>
    </w:p>
    <w:p w14:paraId="7DC478E1">
      <w:pPr>
        <w:pStyle w:val="4"/>
        <w:pageBreakBefore/>
        <w:rPr>
          <w:kern w:val="44"/>
        </w:rPr>
      </w:pPr>
      <w:bookmarkStart w:id="816" w:name="_Toc427651521"/>
      <w:bookmarkStart w:id="817" w:name="_Toc428780087"/>
      <w:bookmarkStart w:id="818" w:name="_Toc428781569"/>
      <w:bookmarkStart w:id="819" w:name="_Toc427651863"/>
      <w:bookmarkStart w:id="820" w:name="_Toc422471228"/>
      <w:r>
        <w:rPr>
          <w:rFonts w:hint="eastAsia"/>
          <w:kern w:val="44"/>
        </w:rPr>
        <w:t>北京市城镇私有房屋翻建</w:t>
      </w:r>
      <w:bookmarkEnd w:id="816"/>
      <w:bookmarkEnd w:id="817"/>
      <w:bookmarkEnd w:id="818"/>
      <w:bookmarkEnd w:id="819"/>
      <w:bookmarkEnd w:id="820"/>
    </w:p>
    <w:p w14:paraId="01077558">
      <w:pPr>
        <w:pStyle w:val="4"/>
        <w:rPr>
          <w:kern w:val="44"/>
        </w:rPr>
      </w:pPr>
      <w:bookmarkStart w:id="821" w:name="_Toc427651864"/>
      <w:bookmarkStart w:id="822" w:name="_Toc427651522"/>
      <w:bookmarkStart w:id="823" w:name="_Toc422471229"/>
      <w:bookmarkStart w:id="824" w:name="_Toc428780088"/>
      <w:bookmarkStart w:id="825" w:name="_Toc428781570"/>
      <w:r>
        <w:rPr>
          <w:rFonts w:hint="eastAsia"/>
          <w:kern w:val="44"/>
        </w:rPr>
        <w:t>扩建规划管理若干规定</w:t>
      </w:r>
      <w:bookmarkEnd w:id="821"/>
      <w:bookmarkEnd w:id="822"/>
      <w:bookmarkEnd w:id="823"/>
      <w:bookmarkEnd w:id="824"/>
      <w:bookmarkEnd w:id="825"/>
    </w:p>
    <w:p w14:paraId="01DB2768">
      <w:pPr>
        <w:ind w:left="630" w:leftChars="300" w:right="630" w:rightChars="300"/>
        <w:jc w:val="left"/>
        <w:rPr>
          <w:rFonts w:ascii="楷体" w:hAnsi="楷体" w:eastAsia="楷体"/>
          <w:kern w:val="44"/>
        </w:rPr>
      </w:pPr>
      <w:r>
        <w:rPr>
          <w:rFonts w:hint="eastAsia" w:ascii="楷体" w:hAnsi="楷体" w:eastAsia="楷体"/>
          <w:kern w:val="44"/>
        </w:rPr>
        <w:t>（1989年5月5日北京市人民政府第15号令发布  根据1994年1月17日北京市人民政府批准修改）</w:t>
      </w:r>
    </w:p>
    <w:p w14:paraId="029BF88B">
      <w:pPr>
        <w:ind w:left="630" w:leftChars="300" w:right="630" w:rightChars="300"/>
        <w:jc w:val="left"/>
        <w:rPr>
          <w:rFonts w:ascii="楷体" w:hAnsi="楷体" w:eastAsia="楷体"/>
          <w:kern w:val="44"/>
        </w:rPr>
      </w:pPr>
    </w:p>
    <w:p w14:paraId="6D7933CE">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为加强本市城镇居民私有房屋翻建、扩建的规划管理，根据《北京市城市规划条例》和有关规定，制定本规定。</w:t>
      </w:r>
    </w:p>
    <w:p w14:paraId="42BB6E72">
      <w:pPr>
        <w:ind w:firstLine="422"/>
        <w:jc w:val="left"/>
        <w:rPr>
          <w:rFonts w:ascii="宋体" w:hAnsi="宋体"/>
          <w:kern w:val="44"/>
        </w:rPr>
      </w:pPr>
      <w:r>
        <w:rPr>
          <w:rFonts w:hint="eastAsia" w:ascii="宋体" w:hAnsi="宋体"/>
          <w:b/>
          <w:kern w:val="44"/>
        </w:rPr>
        <w:t>第二条</w:t>
      </w:r>
      <w:r>
        <w:rPr>
          <w:rFonts w:hint="eastAsia" w:ascii="宋体" w:hAnsi="宋体"/>
          <w:kern w:val="44"/>
        </w:rPr>
        <w:t>　本市城区和郊区城镇（指建制镇，下同）居民翻建、扩建私有房屋（单元式楼房除外），均须遵守本规定。</w:t>
      </w:r>
    </w:p>
    <w:p w14:paraId="313E3C76">
      <w:pPr>
        <w:ind w:firstLine="422"/>
        <w:jc w:val="left"/>
        <w:rPr>
          <w:rFonts w:ascii="宋体" w:hAnsi="宋体"/>
          <w:kern w:val="44"/>
        </w:rPr>
      </w:pPr>
      <w:r>
        <w:rPr>
          <w:rFonts w:hint="eastAsia" w:ascii="宋体" w:hAnsi="宋体"/>
          <w:b/>
          <w:kern w:val="44"/>
        </w:rPr>
        <w:t>第三条</w:t>
      </w:r>
      <w:r>
        <w:rPr>
          <w:rFonts w:hint="eastAsia" w:ascii="宋体" w:hAnsi="宋体"/>
          <w:kern w:val="44"/>
        </w:rPr>
        <w:t>　翻建、扩建私有房屋，须符合下列条件：</w:t>
      </w:r>
    </w:p>
    <w:p w14:paraId="5D61824E">
      <w:pPr>
        <w:jc w:val="left"/>
        <w:rPr>
          <w:rFonts w:ascii="宋体" w:hAnsi="宋体"/>
          <w:kern w:val="44"/>
        </w:rPr>
      </w:pPr>
      <w:r>
        <w:rPr>
          <w:rFonts w:hint="eastAsia" w:ascii="宋体" w:hAnsi="宋体"/>
          <w:kern w:val="44"/>
        </w:rPr>
        <w:t>（一）符合城镇建设规划。</w:t>
      </w:r>
    </w:p>
    <w:p w14:paraId="32037C21">
      <w:pPr>
        <w:jc w:val="left"/>
        <w:rPr>
          <w:rFonts w:ascii="宋体" w:hAnsi="宋体"/>
          <w:kern w:val="44"/>
        </w:rPr>
      </w:pPr>
      <w:r>
        <w:rPr>
          <w:rFonts w:hint="eastAsia" w:ascii="宋体" w:hAnsi="宋体"/>
          <w:kern w:val="44"/>
        </w:rPr>
        <w:t>（二）以自用为目的。属于扩建住房的，全家人均现住房（包括本市的异地住房和出租房）建筑面积不超过20平方米。</w:t>
      </w:r>
    </w:p>
    <w:p w14:paraId="45B28A2F">
      <w:pPr>
        <w:jc w:val="left"/>
        <w:rPr>
          <w:rFonts w:ascii="宋体" w:hAnsi="宋体"/>
          <w:kern w:val="44"/>
        </w:rPr>
      </w:pPr>
      <w:r>
        <w:rPr>
          <w:rFonts w:hint="eastAsia" w:ascii="宋体" w:hAnsi="宋体"/>
          <w:kern w:val="44"/>
        </w:rPr>
        <w:t>（三）不影响城市基础设施管线和其他公用设施的安全和使用。</w:t>
      </w:r>
    </w:p>
    <w:p w14:paraId="5DB3FEF8">
      <w:pPr>
        <w:jc w:val="left"/>
        <w:rPr>
          <w:rFonts w:ascii="宋体" w:hAnsi="宋体"/>
          <w:kern w:val="44"/>
        </w:rPr>
      </w:pPr>
      <w:r>
        <w:rPr>
          <w:rFonts w:hint="eastAsia" w:ascii="宋体" w:hAnsi="宋体"/>
          <w:kern w:val="44"/>
        </w:rPr>
        <w:t>（四）不影响相邻居住建筑的采光、通风、排水和相邻居民的正常通行。</w:t>
      </w:r>
    </w:p>
    <w:p w14:paraId="414501EC">
      <w:pPr>
        <w:ind w:firstLine="422"/>
        <w:jc w:val="left"/>
        <w:rPr>
          <w:rFonts w:ascii="宋体" w:hAnsi="宋体"/>
          <w:kern w:val="44"/>
        </w:rPr>
      </w:pPr>
      <w:r>
        <w:rPr>
          <w:rFonts w:hint="eastAsia" w:ascii="宋体" w:hAnsi="宋体"/>
          <w:b/>
          <w:kern w:val="44"/>
        </w:rPr>
        <w:t>第四条</w:t>
      </w:r>
      <w:r>
        <w:rPr>
          <w:rFonts w:hint="eastAsia" w:ascii="宋体" w:hAnsi="宋体"/>
          <w:kern w:val="44"/>
        </w:rPr>
        <w:t>　城镇土地为国家所有，不准擅自占用。翻建、扩建私有房屋，应在原批准的用地（包括院落，下同）范围内进行。翻建、扩建房屋占用与其他房屋所有人共用的院落，须征得其他房屋所有人书面同意，并经过公证机关公证。</w:t>
      </w:r>
    </w:p>
    <w:p w14:paraId="6803FF69">
      <w:pPr>
        <w:ind w:firstLine="422"/>
        <w:jc w:val="left"/>
        <w:rPr>
          <w:rFonts w:ascii="宋体" w:hAnsi="宋体"/>
          <w:kern w:val="44"/>
        </w:rPr>
      </w:pPr>
      <w:r>
        <w:rPr>
          <w:rFonts w:hint="eastAsia" w:ascii="宋体" w:hAnsi="宋体"/>
          <w:b/>
          <w:kern w:val="44"/>
        </w:rPr>
        <w:t>第五条</w:t>
      </w:r>
      <w:r>
        <w:rPr>
          <w:rFonts w:hint="eastAsia" w:ascii="宋体" w:hAnsi="宋体"/>
          <w:kern w:val="44"/>
        </w:rPr>
        <w:t>　翻建、扩建私有房屋，须持下列证件，向所在地的区、县城市规划管理局申请；经区、县城市规划管理局审核批准，核发建设工程规划许可证后，方准施工。</w:t>
      </w:r>
    </w:p>
    <w:p w14:paraId="71D042D7">
      <w:pPr>
        <w:jc w:val="left"/>
        <w:rPr>
          <w:rFonts w:ascii="宋体" w:hAnsi="宋体"/>
          <w:kern w:val="44"/>
        </w:rPr>
      </w:pPr>
      <w:r>
        <w:rPr>
          <w:rFonts w:hint="eastAsia" w:ascii="宋体" w:hAnsi="宋体"/>
          <w:kern w:val="44"/>
        </w:rPr>
        <w:t>（一）家庭成员常住户口证明。</w:t>
      </w:r>
    </w:p>
    <w:p w14:paraId="5A24A5AD">
      <w:pPr>
        <w:jc w:val="left"/>
        <w:rPr>
          <w:rFonts w:ascii="宋体" w:hAnsi="宋体"/>
          <w:kern w:val="44"/>
        </w:rPr>
      </w:pPr>
      <w:r>
        <w:rPr>
          <w:rFonts w:hint="eastAsia" w:ascii="宋体" w:hAnsi="宋体"/>
          <w:kern w:val="44"/>
        </w:rPr>
        <w:t>（二）居所地街道办事处的证明。</w:t>
      </w:r>
    </w:p>
    <w:p w14:paraId="733FDFD5">
      <w:pPr>
        <w:jc w:val="left"/>
        <w:rPr>
          <w:rFonts w:ascii="宋体" w:hAnsi="宋体"/>
          <w:kern w:val="44"/>
        </w:rPr>
      </w:pPr>
      <w:r>
        <w:rPr>
          <w:rFonts w:hint="eastAsia" w:ascii="宋体" w:hAnsi="宋体"/>
          <w:kern w:val="44"/>
        </w:rPr>
        <w:t>（三）房屋所有权和土地使用权证件。翻建、扩建与他人共有的房屋，须提交其他共有人同意的证明。</w:t>
      </w:r>
    </w:p>
    <w:p w14:paraId="18F752FB">
      <w:pPr>
        <w:jc w:val="left"/>
        <w:rPr>
          <w:rFonts w:ascii="宋体" w:hAnsi="宋体"/>
          <w:kern w:val="44"/>
        </w:rPr>
      </w:pPr>
      <w:r>
        <w:rPr>
          <w:rFonts w:hint="eastAsia" w:ascii="宋体" w:hAnsi="宋体"/>
          <w:kern w:val="44"/>
        </w:rPr>
        <w:t>（四）房屋平面位置图。</w:t>
      </w:r>
    </w:p>
    <w:p w14:paraId="6DA78331">
      <w:pPr>
        <w:jc w:val="left"/>
        <w:rPr>
          <w:rFonts w:ascii="宋体" w:hAnsi="宋体"/>
          <w:kern w:val="44"/>
        </w:rPr>
      </w:pPr>
      <w:r>
        <w:rPr>
          <w:rFonts w:hint="eastAsia" w:ascii="宋体" w:hAnsi="宋体"/>
          <w:kern w:val="44"/>
        </w:rPr>
        <w:t>建设跨度超过6米的平房或二层（含二层）以上楼房的，须提交有设计资格证书的设计单位的设计。</w:t>
      </w:r>
    </w:p>
    <w:p w14:paraId="6C92F6C7">
      <w:pPr>
        <w:ind w:firstLine="422"/>
        <w:jc w:val="left"/>
        <w:rPr>
          <w:rFonts w:ascii="宋体" w:hAnsi="宋体"/>
          <w:kern w:val="44"/>
        </w:rPr>
      </w:pPr>
      <w:r>
        <w:rPr>
          <w:rFonts w:hint="eastAsia" w:ascii="宋体" w:hAnsi="宋体"/>
          <w:b/>
          <w:kern w:val="44"/>
        </w:rPr>
        <w:t>第六条</w:t>
      </w:r>
      <w:r>
        <w:rPr>
          <w:rFonts w:hint="eastAsia" w:ascii="宋体" w:hAnsi="宋体"/>
          <w:kern w:val="44"/>
        </w:rPr>
        <w:t>　下列地区的私有房屋，不准扩建；破旧危险房屋，经房地产管理部门确认、市城市规划管理局批准，允许翻建。</w:t>
      </w:r>
    </w:p>
    <w:p w14:paraId="26282F26">
      <w:pPr>
        <w:jc w:val="left"/>
        <w:rPr>
          <w:rFonts w:ascii="宋体" w:hAnsi="宋体"/>
          <w:kern w:val="44"/>
        </w:rPr>
      </w:pPr>
      <w:r>
        <w:rPr>
          <w:rFonts w:hint="eastAsia" w:ascii="宋体" w:hAnsi="宋体"/>
          <w:kern w:val="44"/>
        </w:rPr>
        <w:t>（一）文物保护区、风景游览区、水源保护区。</w:t>
      </w:r>
    </w:p>
    <w:p w14:paraId="63254B26">
      <w:pPr>
        <w:jc w:val="left"/>
        <w:rPr>
          <w:rFonts w:ascii="宋体" w:hAnsi="宋体"/>
          <w:kern w:val="44"/>
        </w:rPr>
      </w:pPr>
      <w:r>
        <w:rPr>
          <w:rFonts w:hint="eastAsia" w:ascii="宋体" w:hAnsi="宋体"/>
          <w:kern w:val="44"/>
        </w:rPr>
        <w:t>（二）规划道路和公共绿地范围内。</w:t>
      </w:r>
    </w:p>
    <w:p w14:paraId="203BC685">
      <w:pPr>
        <w:jc w:val="left"/>
        <w:rPr>
          <w:rFonts w:ascii="宋体" w:hAnsi="宋体"/>
          <w:kern w:val="44"/>
        </w:rPr>
      </w:pPr>
      <w:r>
        <w:rPr>
          <w:rFonts w:hint="eastAsia" w:ascii="宋体" w:hAnsi="宋体"/>
          <w:kern w:val="44"/>
        </w:rPr>
        <w:t>（三）城市干道两侧的临街房（改建为商业、服务业用房的除外）。</w:t>
      </w:r>
    </w:p>
    <w:p w14:paraId="28EDFADC">
      <w:pPr>
        <w:jc w:val="left"/>
        <w:rPr>
          <w:rFonts w:ascii="宋体" w:hAnsi="宋体"/>
          <w:kern w:val="44"/>
        </w:rPr>
      </w:pPr>
      <w:r>
        <w:rPr>
          <w:rFonts w:hint="eastAsia" w:ascii="宋体" w:hAnsi="宋体"/>
          <w:kern w:val="44"/>
        </w:rPr>
        <w:t>（四）市区河道两侧隔离带。</w:t>
      </w:r>
    </w:p>
    <w:p w14:paraId="6528F7BD">
      <w:pPr>
        <w:jc w:val="left"/>
        <w:rPr>
          <w:rFonts w:ascii="宋体" w:hAnsi="宋体"/>
          <w:kern w:val="44"/>
        </w:rPr>
      </w:pPr>
      <w:r>
        <w:rPr>
          <w:rFonts w:hint="eastAsia" w:ascii="宋体" w:hAnsi="宋体"/>
          <w:kern w:val="44"/>
        </w:rPr>
        <w:t>（五）铁路干线两侧隔离带。</w:t>
      </w:r>
    </w:p>
    <w:p w14:paraId="7A8F954B">
      <w:pPr>
        <w:jc w:val="left"/>
        <w:rPr>
          <w:rFonts w:ascii="宋体" w:hAnsi="宋体"/>
          <w:kern w:val="44"/>
        </w:rPr>
      </w:pPr>
      <w:r>
        <w:rPr>
          <w:rFonts w:hint="eastAsia" w:ascii="宋体" w:hAnsi="宋体"/>
          <w:kern w:val="44"/>
        </w:rPr>
        <w:t>（六）城镇规划范围内的其他特定区域。</w:t>
      </w:r>
    </w:p>
    <w:p w14:paraId="0BAC6AE6">
      <w:pPr>
        <w:ind w:firstLine="422"/>
        <w:jc w:val="left"/>
        <w:rPr>
          <w:rFonts w:ascii="宋体" w:hAnsi="宋体"/>
          <w:kern w:val="44"/>
        </w:rPr>
      </w:pPr>
      <w:r>
        <w:rPr>
          <w:rFonts w:hint="eastAsia" w:ascii="宋体" w:hAnsi="宋体"/>
          <w:b/>
          <w:kern w:val="44"/>
        </w:rPr>
        <w:t>第七条</w:t>
      </w:r>
      <w:r>
        <w:rPr>
          <w:rFonts w:hint="eastAsia" w:ascii="宋体" w:hAnsi="宋体"/>
          <w:kern w:val="44"/>
        </w:rPr>
        <w:t>　在下列地区扩建私有房屋，除特殊情况，经市城市规划管理局审核符合本规定第三条条件、批准建设二层楼房的外，一般不得建设二层（ 含二层 ）以上的楼房。</w:t>
      </w:r>
    </w:p>
    <w:p w14:paraId="620B288F">
      <w:pPr>
        <w:jc w:val="left"/>
        <w:rPr>
          <w:rFonts w:ascii="宋体" w:hAnsi="宋体"/>
          <w:kern w:val="44"/>
        </w:rPr>
      </w:pPr>
      <w:r>
        <w:rPr>
          <w:rFonts w:hint="eastAsia" w:ascii="宋体" w:hAnsi="宋体"/>
          <w:kern w:val="44"/>
        </w:rPr>
        <w:t>（一）规划市区。</w:t>
      </w:r>
    </w:p>
    <w:p w14:paraId="26F0C694">
      <w:pPr>
        <w:jc w:val="left"/>
        <w:rPr>
          <w:rFonts w:ascii="宋体" w:hAnsi="宋体"/>
          <w:kern w:val="44"/>
        </w:rPr>
      </w:pPr>
      <w:r>
        <w:rPr>
          <w:rFonts w:hint="eastAsia" w:ascii="宋体" w:hAnsi="宋体"/>
          <w:kern w:val="44"/>
        </w:rPr>
        <w:t>（二）近期开发建设区。</w:t>
      </w:r>
    </w:p>
    <w:p w14:paraId="7AC7F2A4">
      <w:pPr>
        <w:jc w:val="left"/>
        <w:rPr>
          <w:rFonts w:ascii="宋体" w:hAnsi="宋体"/>
          <w:kern w:val="44"/>
        </w:rPr>
      </w:pPr>
      <w:r>
        <w:rPr>
          <w:rFonts w:hint="eastAsia" w:ascii="宋体" w:hAnsi="宋体"/>
          <w:kern w:val="44"/>
        </w:rPr>
        <w:t>（三）城镇规划范围内有特殊要求的地区。</w:t>
      </w:r>
    </w:p>
    <w:p w14:paraId="1AE40B99">
      <w:pPr>
        <w:jc w:val="left"/>
        <w:rPr>
          <w:rFonts w:ascii="宋体" w:hAnsi="宋体"/>
          <w:kern w:val="44"/>
        </w:rPr>
      </w:pPr>
      <w:r>
        <w:rPr>
          <w:rFonts w:hint="eastAsia" w:ascii="宋体" w:hAnsi="宋体"/>
          <w:kern w:val="44"/>
        </w:rPr>
        <w:t>在上述地区以外扩建楼房的，由区、县城市规划管理局核报市城市规划管理局批准。</w:t>
      </w:r>
    </w:p>
    <w:p w14:paraId="72750FFE">
      <w:pPr>
        <w:ind w:firstLine="422"/>
        <w:jc w:val="left"/>
        <w:rPr>
          <w:rFonts w:ascii="宋体" w:hAnsi="宋体"/>
          <w:kern w:val="44"/>
        </w:rPr>
      </w:pPr>
      <w:r>
        <w:rPr>
          <w:rFonts w:hint="eastAsia" w:ascii="宋体" w:hAnsi="宋体"/>
          <w:b/>
          <w:kern w:val="44"/>
        </w:rPr>
        <w:t>第八条</w:t>
      </w:r>
      <w:r>
        <w:rPr>
          <w:rFonts w:hint="eastAsia" w:ascii="宋体" w:hAnsi="宋体"/>
          <w:kern w:val="44"/>
        </w:rPr>
        <w:t>　翻建、扩建私有房屋， 必须按城市规划行政主管部门核发的建设工程规划许可证规定的内容施工。需要变更规定内容的，须报经核发建设工程规划许可证的机关批准。</w:t>
      </w:r>
    </w:p>
    <w:p w14:paraId="47E3C8B5">
      <w:pPr>
        <w:ind w:firstLine="422"/>
        <w:jc w:val="left"/>
        <w:rPr>
          <w:rFonts w:ascii="宋体" w:hAnsi="宋体"/>
          <w:kern w:val="44"/>
        </w:rPr>
      </w:pPr>
      <w:r>
        <w:rPr>
          <w:rFonts w:hint="eastAsia" w:ascii="宋体" w:hAnsi="宋体"/>
          <w:b/>
          <w:kern w:val="44"/>
        </w:rPr>
        <w:t>第九条</w:t>
      </w:r>
      <w:r>
        <w:rPr>
          <w:rFonts w:hint="eastAsia" w:ascii="宋体" w:hAnsi="宋体"/>
          <w:kern w:val="44"/>
        </w:rPr>
        <w:t>　翻建、扩建房屋竣工后，房屋所有人须向区、县城市规划管理局申请验收。验收合格的，发给验收合格证明。房屋所有人须在验收后三个月内，持建设工程规划许可证、房屋平面位置图和验收合格证明，向所在地的区、县房屋土地管理局申请换领新的房屋所有权证。</w:t>
      </w:r>
    </w:p>
    <w:p w14:paraId="6485612F">
      <w:pPr>
        <w:ind w:firstLine="422"/>
        <w:jc w:val="left"/>
        <w:rPr>
          <w:rFonts w:ascii="宋体" w:hAnsi="宋体"/>
          <w:kern w:val="44"/>
        </w:rPr>
      </w:pPr>
      <w:r>
        <w:rPr>
          <w:rFonts w:hint="eastAsia" w:ascii="宋体" w:hAnsi="宋体"/>
          <w:b/>
          <w:kern w:val="44"/>
        </w:rPr>
        <w:t>第十条</w:t>
      </w:r>
      <w:r>
        <w:rPr>
          <w:rFonts w:hint="eastAsia" w:ascii="宋体" w:hAnsi="宋体"/>
          <w:kern w:val="44"/>
        </w:rPr>
        <w:t>　违反本规定的，由城市规划行政主管部门按有关规定处理。</w:t>
      </w:r>
    </w:p>
    <w:p w14:paraId="31AA9B01">
      <w:pPr>
        <w:ind w:firstLine="422"/>
        <w:jc w:val="left"/>
        <w:rPr>
          <w:rFonts w:ascii="宋体" w:hAnsi="宋体"/>
          <w:kern w:val="44"/>
        </w:rPr>
      </w:pPr>
      <w:r>
        <w:rPr>
          <w:rFonts w:hint="eastAsia" w:ascii="宋体" w:hAnsi="宋体"/>
          <w:b/>
          <w:kern w:val="44"/>
        </w:rPr>
        <w:t>第十一条</w:t>
      </w:r>
      <w:r>
        <w:rPr>
          <w:rFonts w:hint="eastAsia" w:ascii="宋体" w:hAnsi="宋体"/>
          <w:kern w:val="44"/>
        </w:rPr>
        <w:t>　本规定执行中的具体问题，由市城市规划管理局负责解释。</w:t>
      </w:r>
    </w:p>
    <w:p w14:paraId="74646807">
      <w:pPr>
        <w:ind w:firstLine="422"/>
        <w:jc w:val="left"/>
        <w:rPr>
          <w:rFonts w:ascii="宋体" w:hAnsi="宋体"/>
          <w:kern w:val="44"/>
        </w:rPr>
      </w:pPr>
      <w:r>
        <w:rPr>
          <w:rFonts w:hint="eastAsia" w:ascii="宋体" w:hAnsi="宋体"/>
          <w:b/>
          <w:kern w:val="44"/>
        </w:rPr>
        <w:t>第十二条</w:t>
      </w:r>
      <w:r>
        <w:rPr>
          <w:rFonts w:hint="eastAsia" w:ascii="宋体" w:hAnsi="宋体"/>
          <w:kern w:val="44"/>
        </w:rPr>
        <w:t>　本规定自1989年6月1日起施行。</w:t>
      </w:r>
    </w:p>
    <w:p w14:paraId="79605B24">
      <w:pPr>
        <w:pStyle w:val="4"/>
        <w:pageBreakBefore/>
        <w:rPr>
          <w:kern w:val="44"/>
        </w:rPr>
      </w:pPr>
      <w:bookmarkStart w:id="826" w:name="_Toc428781571"/>
      <w:bookmarkStart w:id="827" w:name="_Toc427651523"/>
      <w:bookmarkStart w:id="828" w:name="_Toc427651865"/>
      <w:bookmarkStart w:id="829" w:name="_Toc428780089"/>
      <w:bookmarkStart w:id="830" w:name="_Toc422471230"/>
      <w:r>
        <w:rPr>
          <w:rFonts w:hint="eastAsia"/>
          <w:kern w:val="44"/>
        </w:rPr>
        <w:t>北京市工程建设监理管理办法</w:t>
      </w:r>
      <w:bookmarkEnd w:id="826"/>
      <w:bookmarkEnd w:id="827"/>
      <w:bookmarkEnd w:id="828"/>
      <w:bookmarkEnd w:id="829"/>
      <w:bookmarkEnd w:id="830"/>
    </w:p>
    <w:p w14:paraId="567913E6">
      <w:pPr>
        <w:ind w:left="630" w:leftChars="300" w:right="630" w:rightChars="300"/>
        <w:jc w:val="left"/>
        <w:rPr>
          <w:rFonts w:ascii="楷体" w:hAnsi="楷体" w:eastAsia="楷体"/>
          <w:kern w:val="44"/>
        </w:rPr>
      </w:pPr>
      <w:r>
        <w:rPr>
          <w:rFonts w:hint="eastAsia" w:ascii="楷体" w:hAnsi="楷体" w:eastAsia="楷体"/>
          <w:kern w:val="44"/>
        </w:rPr>
        <w:t>（1995年2月21日北京市人民政府第5号令公布  根据1997年12月31日北京市人民政府第12号令第一次修改  根据2004年6月1日北京市人民政府第150号令第二次修改  根据2007年11月23日北京市人民政府第200号令第三次修改  根据2010年11月27日北京市人民政府第226号令第四次修改）</w:t>
      </w:r>
    </w:p>
    <w:p w14:paraId="421AC62E">
      <w:pPr>
        <w:ind w:left="630" w:leftChars="300" w:right="630" w:rightChars="300"/>
        <w:jc w:val="left"/>
        <w:rPr>
          <w:rFonts w:ascii="楷体" w:hAnsi="楷体" w:eastAsia="楷体"/>
          <w:kern w:val="44"/>
        </w:rPr>
      </w:pPr>
    </w:p>
    <w:p w14:paraId="11BF3463">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为加强对工程建设监理的管理，提高建设工程质量，充分发挥建设投资的综合效益，制定本办法。</w:t>
      </w:r>
    </w:p>
    <w:p w14:paraId="505EE8FF">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本办法所称建设监理，是指具有法人资格的监理单位受建设单位的委托，依据有关法律、法规以及合同等对施工阶段工程建设投资、工期和质量进行的监督管理。</w:t>
      </w:r>
    </w:p>
    <w:p w14:paraId="250F24C1">
      <w:pPr>
        <w:ind w:firstLine="422"/>
        <w:jc w:val="left"/>
        <w:rPr>
          <w:rFonts w:ascii="宋体" w:hAnsi="宋体"/>
          <w:kern w:val="44"/>
        </w:rPr>
      </w:pPr>
      <w:r>
        <w:rPr>
          <w:rFonts w:hint="eastAsia" w:ascii="宋体" w:hAnsi="宋体"/>
          <w:b/>
          <w:kern w:val="44"/>
        </w:rPr>
        <w:t>第三条</w:t>
      </w:r>
      <w:r>
        <w:rPr>
          <w:rFonts w:hint="eastAsia" w:ascii="宋体" w:hAnsi="宋体"/>
          <w:kern w:val="44"/>
        </w:rPr>
        <w:t>　凡在本市行政区域内进行建筑、市政、设备安装等工程建设监理，均按本办法执行。</w:t>
      </w:r>
    </w:p>
    <w:p w14:paraId="4EB3F4F3">
      <w:pPr>
        <w:ind w:firstLine="422"/>
        <w:jc w:val="left"/>
        <w:rPr>
          <w:rFonts w:ascii="宋体" w:hAnsi="宋体"/>
          <w:kern w:val="44"/>
        </w:rPr>
      </w:pPr>
      <w:r>
        <w:rPr>
          <w:rFonts w:hint="eastAsia" w:ascii="宋体" w:hAnsi="宋体"/>
          <w:b/>
          <w:kern w:val="44"/>
        </w:rPr>
        <w:t>第四条</w:t>
      </w:r>
      <w:r>
        <w:rPr>
          <w:rFonts w:hint="eastAsia" w:ascii="宋体" w:hAnsi="宋体"/>
          <w:kern w:val="44"/>
        </w:rPr>
        <w:t>　市住房和城乡建设委员会是本市工程建设监理的主管机关。</w:t>
      </w:r>
    </w:p>
    <w:p w14:paraId="229E8B51">
      <w:pPr>
        <w:ind w:firstLine="422"/>
        <w:jc w:val="left"/>
        <w:rPr>
          <w:rFonts w:ascii="宋体" w:hAnsi="宋体"/>
          <w:kern w:val="44"/>
        </w:rPr>
      </w:pPr>
      <w:r>
        <w:rPr>
          <w:rFonts w:hint="eastAsia" w:ascii="宋体" w:hAnsi="宋体"/>
          <w:b/>
          <w:kern w:val="44"/>
        </w:rPr>
        <w:t>第五条</w:t>
      </w:r>
      <w:r>
        <w:rPr>
          <w:rFonts w:hint="eastAsia" w:ascii="宋体" w:hAnsi="宋体"/>
          <w:kern w:val="44"/>
        </w:rPr>
        <w:t>　工程建设监理主管机关主要履行以下职责：</w:t>
      </w:r>
    </w:p>
    <w:p w14:paraId="0283A627">
      <w:pPr>
        <w:jc w:val="left"/>
        <w:rPr>
          <w:rFonts w:ascii="宋体" w:hAnsi="宋体"/>
          <w:kern w:val="44"/>
        </w:rPr>
      </w:pPr>
      <w:r>
        <w:rPr>
          <w:rFonts w:hint="eastAsia" w:ascii="宋体" w:hAnsi="宋体"/>
          <w:kern w:val="44"/>
        </w:rPr>
        <w:t>（一）贯彻执行国家和本市有关工程建设监理的法律、法规和规章；</w:t>
      </w:r>
    </w:p>
    <w:p w14:paraId="14D8090B">
      <w:pPr>
        <w:jc w:val="left"/>
        <w:rPr>
          <w:rFonts w:ascii="宋体" w:hAnsi="宋体"/>
          <w:kern w:val="44"/>
        </w:rPr>
      </w:pPr>
      <w:r>
        <w:rPr>
          <w:rFonts w:hint="eastAsia" w:ascii="宋体" w:hAnsi="宋体"/>
          <w:kern w:val="44"/>
        </w:rPr>
        <w:t>（二）负责本市监理单位的资质管理；</w:t>
      </w:r>
    </w:p>
    <w:p w14:paraId="44149772">
      <w:pPr>
        <w:jc w:val="left"/>
        <w:rPr>
          <w:rFonts w:ascii="宋体" w:hAnsi="宋体"/>
          <w:kern w:val="44"/>
        </w:rPr>
      </w:pPr>
      <w:r>
        <w:rPr>
          <w:rFonts w:hint="eastAsia" w:ascii="宋体" w:hAnsi="宋体"/>
          <w:kern w:val="44"/>
        </w:rPr>
        <w:t>（三）负责中央各部门、军队系统所属监理单位和外省市监理单位，港、澳、台地区以及外国监理单位在本市从事监理业务的管理；</w:t>
      </w:r>
    </w:p>
    <w:p w14:paraId="1115483A">
      <w:pPr>
        <w:jc w:val="left"/>
        <w:rPr>
          <w:rFonts w:ascii="宋体" w:hAnsi="宋体"/>
          <w:kern w:val="44"/>
        </w:rPr>
      </w:pPr>
      <w:r>
        <w:rPr>
          <w:rFonts w:hint="eastAsia" w:ascii="宋体" w:hAnsi="宋体"/>
          <w:kern w:val="44"/>
        </w:rPr>
        <w:t>（四）负责本市监理工程师的培训、资格审定和执业注册的管理；</w:t>
      </w:r>
    </w:p>
    <w:p w14:paraId="1EBD053E">
      <w:pPr>
        <w:jc w:val="left"/>
        <w:rPr>
          <w:rFonts w:ascii="宋体" w:hAnsi="宋体"/>
          <w:kern w:val="44"/>
        </w:rPr>
      </w:pPr>
      <w:r>
        <w:rPr>
          <w:rFonts w:hint="eastAsia" w:ascii="宋体" w:hAnsi="宋体"/>
          <w:kern w:val="44"/>
        </w:rPr>
        <w:t>（五）负责工程建设监理招标投标工作的管理；</w:t>
      </w:r>
    </w:p>
    <w:p w14:paraId="2303FE9D">
      <w:pPr>
        <w:jc w:val="left"/>
        <w:rPr>
          <w:rFonts w:ascii="宋体" w:hAnsi="宋体"/>
          <w:kern w:val="44"/>
        </w:rPr>
      </w:pPr>
      <w:r>
        <w:rPr>
          <w:rFonts w:hint="eastAsia" w:ascii="宋体" w:hAnsi="宋体"/>
          <w:kern w:val="44"/>
        </w:rPr>
        <w:t>（六）调解监理争议，调查处理重大监理事故；</w:t>
      </w:r>
    </w:p>
    <w:p w14:paraId="1067CC1E">
      <w:pPr>
        <w:jc w:val="left"/>
        <w:rPr>
          <w:rFonts w:ascii="宋体" w:hAnsi="宋体"/>
          <w:kern w:val="44"/>
        </w:rPr>
      </w:pPr>
      <w:r>
        <w:rPr>
          <w:rFonts w:hint="eastAsia" w:ascii="宋体" w:hAnsi="宋体"/>
          <w:kern w:val="44"/>
        </w:rPr>
        <w:t>（七）检查处理违法的监理行为。</w:t>
      </w:r>
    </w:p>
    <w:p w14:paraId="4E37A466">
      <w:pPr>
        <w:ind w:firstLine="422"/>
        <w:jc w:val="left"/>
        <w:rPr>
          <w:rFonts w:ascii="宋体" w:hAnsi="宋体"/>
          <w:kern w:val="44"/>
        </w:rPr>
      </w:pPr>
      <w:r>
        <w:rPr>
          <w:rFonts w:hint="eastAsia" w:ascii="宋体" w:hAnsi="宋体"/>
          <w:b/>
          <w:kern w:val="44"/>
        </w:rPr>
        <w:t>第六条</w:t>
      </w:r>
      <w:r>
        <w:rPr>
          <w:rFonts w:hint="eastAsia" w:ascii="宋体" w:hAnsi="宋体"/>
          <w:kern w:val="44"/>
        </w:rPr>
        <w:t>　下列建设工程应当实行监理：</w:t>
      </w:r>
    </w:p>
    <w:p w14:paraId="5F9B742C">
      <w:pPr>
        <w:jc w:val="left"/>
        <w:rPr>
          <w:rFonts w:ascii="宋体" w:hAnsi="宋体"/>
          <w:kern w:val="44"/>
        </w:rPr>
      </w:pPr>
      <w:r>
        <w:rPr>
          <w:rFonts w:hint="eastAsia" w:ascii="宋体" w:hAnsi="宋体"/>
          <w:kern w:val="44"/>
        </w:rPr>
        <w:t>（一）大中型工业和交通建设项目，市政工程和大型民用建设工程；</w:t>
      </w:r>
    </w:p>
    <w:p w14:paraId="3BF51AB7">
      <w:pPr>
        <w:jc w:val="left"/>
        <w:rPr>
          <w:rFonts w:ascii="宋体" w:hAnsi="宋体"/>
          <w:kern w:val="44"/>
        </w:rPr>
      </w:pPr>
      <w:r>
        <w:rPr>
          <w:rFonts w:hint="eastAsia" w:ascii="宋体" w:hAnsi="宋体"/>
          <w:kern w:val="44"/>
        </w:rPr>
        <w:t>（二）国家和本市的重点建设工程；</w:t>
      </w:r>
    </w:p>
    <w:p w14:paraId="1D65EC21">
      <w:pPr>
        <w:jc w:val="left"/>
        <w:rPr>
          <w:rFonts w:ascii="宋体" w:hAnsi="宋体"/>
          <w:kern w:val="44"/>
        </w:rPr>
      </w:pPr>
      <w:r>
        <w:rPr>
          <w:rFonts w:hint="eastAsia" w:ascii="宋体" w:hAnsi="宋体"/>
          <w:kern w:val="44"/>
        </w:rPr>
        <w:t>（三）利用外资的建设工程；</w:t>
      </w:r>
    </w:p>
    <w:p w14:paraId="43028A24">
      <w:pPr>
        <w:jc w:val="left"/>
        <w:rPr>
          <w:rFonts w:ascii="宋体" w:hAnsi="宋体"/>
          <w:kern w:val="44"/>
        </w:rPr>
      </w:pPr>
      <w:r>
        <w:rPr>
          <w:rFonts w:hint="eastAsia" w:ascii="宋体" w:hAnsi="宋体"/>
          <w:kern w:val="44"/>
        </w:rPr>
        <w:t>（四）高新技术产业开发区工程；</w:t>
      </w:r>
    </w:p>
    <w:p w14:paraId="6E9B850A">
      <w:pPr>
        <w:jc w:val="left"/>
        <w:rPr>
          <w:rFonts w:ascii="宋体" w:hAnsi="宋体"/>
          <w:kern w:val="44"/>
        </w:rPr>
      </w:pPr>
      <w:r>
        <w:rPr>
          <w:rFonts w:hint="eastAsia" w:ascii="宋体" w:hAnsi="宋体"/>
          <w:kern w:val="44"/>
        </w:rPr>
        <w:t>（五）住宅小区和危旧房改造小区工程。</w:t>
      </w:r>
    </w:p>
    <w:p w14:paraId="46591D24">
      <w:pPr>
        <w:ind w:firstLine="422"/>
        <w:jc w:val="left"/>
        <w:rPr>
          <w:rFonts w:ascii="宋体" w:hAnsi="宋体"/>
          <w:kern w:val="44"/>
        </w:rPr>
      </w:pPr>
      <w:r>
        <w:rPr>
          <w:rFonts w:hint="eastAsia" w:ascii="宋体" w:hAnsi="宋体"/>
          <w:b/>
          <w:kern w:val="44"/>
        </w:rPr>
        <w:t>第七条</w:t>
      </w:r>
      <w:r>
        <w:rPr>
          <w:rFonts w:hint="eastAsia" w:ascii="宋体" w:hAnsi="宋体"/>
          <w:kern w:val="44"/>
        </w:rPr>
        <w:t>　成立建设监理单位应当具备下列条件：</w:t>
      </w:r>
    </w:p>
    <w:p w14:paraId="01A62A49">
      <w:pPr>
        <w:jc w:val="left"/>
        <w:rPr>
          <w:rFonts w:ascii="宋体" w:hAnsi="宋体"/>
          <w:kern w:val="44"/>
        </w:rPr>
      </w:pPr>
      <w:r>
        <w:rPr>
          <w:rFonts w:hint="eastAsia" w:ascii="宋体" w:hAnsi="宋体"/>
          <w:kern w:val="44"/>
        </w:rPr>
        <w:t>（一）有固定的经营场所；</w:t>
      </w:r>
    </w:p>
    <w:p w14:paraId="2CA95B00">
      <w:pPr>
        <w:jc w:val="left"/>
        <w:rPr>
          <w:rFonts w:ascii="宋体" w:hAnsi="宋体"/>
          <w:kern w:val="44"/>
        </w:rPr>
      </w:pPr>
      <w:r>
        <w:rPr>
          <w:rFonts w:hint="eastAsia" w:ascii="宋体" w:hAnsi="宋体"/>
          <w:kern w:val="44"/>
        </w:rPr>
        <w:t>（二）注册资本金符合国家有关规定；</w:t>
      </w:r>
    </w:p>
    <w:p w14:paraId="4D36374F">
      <w:pPr>
        <w:jc w:val="left"/>
        <w:rPr>
          <w:rFonts w:ascii="宋体" w:hAnsi="宋体"/>
          <w:kern w:val="44"/>
        </w:rPr>
      </w:pPr>
      <w:r>
        <w:rPr>
          <w:rFonts w:hint="eastAsia" w:ascii="宋体" w:hAnsi="宋体"/>
          <w:kern w:val="44"/>
        </w:rPr>
        <w:t>（三）有符合国家和本市规定的工程技术与管理人员。</w:t>
      </w:r>
    </w:p>
    <w:p w14:paraId="765AA86E">
      <w:pPr>
        <w:ind w:firstLine="422"/>
        <w:jc w:val="left"/>
        <w:rPr>
          <w:rFonts w:ascii="宋体" w:hAnsi="宋体"/>
          <w:kern w:val="44"/>
        </w:rPr>
      </w:pPr>
      <w:r>
        <w:rPr>
          <w:rFonts w:hint="eastAsia" w:ascii="宋体" w:hAnsi="宋体"/>
          <w:b/>
          <w:kern w:val="44"/>
        </w:rPr>
        <w:t>第八条</w:t>
      </w:r>
      <w:r>
        <w:rPr>
          <w:rFonts w:hint="eastAsia" w:ascii="宋体" w:hAnsi="宋体"/>
          <w:kern w:val="44"/>
        </w:rPr>
        <w:t>　成立监理单位应当在工商行政管理机关登记注册后，到建设监理主管部门办理资质认定手续。</w:t>
      </w:r>
    </w:p>
    <w:p w14:paraId="3FE9ABC8">
      <w:pPr>
        <w:ind w:firstLine="422"/>
        <w:jc w:val="left"/>
        <w:rPr>
          <w:rFonts w:ascii="宋体" w:hAnsi="宋体"/>
          <w:kern w:val="44"/>
        </w:rPr>
      </w:pPr>
      <w:r>
        <w:rPr>
          <w:rFonts w:hint="eastAsia" w:ascii="宋体" w:hAnsi="宋体"/>
          <w:b/>
          <w:kern w:val="44"/>
        </w:rPr>
        <w:t>第九条</w:t>
      </w:r>
      <w:r>
        <w:rPr>
          <w:rFonts w:hint="eastAsia" w:ascii="宋体" w:hAnsi="宋体"/>
          <w:kern w:val="44"/>
        </w:rPr>
        <w:t>　从事监理工作的注册监理工程师应当按照国家有关规定考试合格并注册，取得监理工程师注册执业证书和执业印章。未取得注册证书和执业印章的人员，不得以注册监理工程师的名义从事工程监理及相关业务活动。</w:t>
      </w:r>
    </w:p>
    <w:p w14:paraId="382A2363">
      <w:pPr>
        <w:ind w:firstLine="422"/>
        <w:jc w:val="left"/>
        <w:rPr>
          <w:rFonts w:ascii="宋体" w:hAnsi="宋体"/>
          <w:kern w:val="44"/>
        </w:rPr>
      </w:pPr>
      <w:r>
        <w:rPr>
          <w:rFonts w:hint="eastAsia" w:ascii="宋体" w:hAnsi="宋体"/>
          <w:b/>
          <w:kern w:val="44"/>
        </w:rPr>
        <w:t>第十条</w:t>
      </w:r>
      <w:r>
        <w:rPr>
          <w:rFonts w:hint="eastAsia" w:ascii="宋体" w:hAnsi="宋体"/>
          <w:kern w:val="44"/>
        </w:rPr>
        <w:t>　建设单位应当通过招标投标方式选择监理单位。建设单位和监理单位应当签订合同，合同应当具备以下主要条款：</w:t>
      </w:r>
    </w:p>
    <w:p w14:paraId="7C20C650">
      <w:pPr>
        <w:jc w:val="left"/>
        <w:rPr>
          <w:rFonts w:ascii="宋体" w:hAnsi="宋体"/>
          <w:kern w:val="44"/>
        </w:rPr>
      </w:pPr>
      <w:r>
        <w:rPr>
          <w:rFonts w:hint="eastAsia" w:ascii="宋体" w:hAnsi="宋体"/>
          <w:kern w:val="44"/>
        </w:rPr>
        <w:t>（一）监理的范围和内容；</w:t>
      </w:r>
    </w:p>
    <w:p w14:paraId="0A8E65E4">
      <w:pPr>
        <w:jc w:val="left"/>
        <w:rPr>
          <w:rFonts w:ascii="宋体" w:hAnsi="宋体"/>
          <w:kern w:val="44"/>
        </w:rPr>
      </w:pPr>
      <w:r>
        <w:rPr>
          <w:rFonts w:hint="eastAsia" w:ascii="宋体" w:hAnsi="宋体"/>
          <w:kern w:val="44"/>
        </w:rPr>
        <w:t>（二）对工程工期、质量和投资控制的要求；</w:t>
      </w:r>
    </w:p>
    <w:p w14:paraId="22DEC000">
      <w:pPr>
        <w:jc w:val="left"/>
        <w:rPr>
          <w:rFonts w:ascii="宋体" w:hAnsi="宋体"/>
          <w:kern w:val="44"/>
        </w:rPr>
      </w:pPr>
      <w:r>
        <w:rPr>
          <w:rFonts w:hint="eastAsia" w:ascii="宋体" w:hAnsi="宋体"/>
          <w:kern w:val="44"/>
        </w:rPr>
        <w:t>（三）建设单位赋予监理单位的权限和提供的工作条件；</w:t>
      </w:r>
    </w:p>
    <w:p w14:paraId="038D79E3">
      <w:pPr>
        <w:jc w:val="left"/>
        <w:rPr>
          <w:rFonts w:ascii="宋体" w:hAnsi="宋体"/>
          <w:kern w:val="44"/>
        </w:rPr>
      </w:pPr>
      <w:r>
        <w:rPr>
          <w:rFonts w:hint="eastAsia" w:ascii="宋体" w:hAnsi="宋体"/>
          <w:kern w:val="44"/>
        </w:rPr>
        <w:t>（四）监理费率和支付方式；</w:t>
      </w:r>
    </w:p>
    <w:p w14:paraId="7BDD51BA">
      <w:pPr>
        <w:jc w:val="left"/>
        <w:rPr>
          <w:rFonts w:ascii="宋体" w:hAnsi="宋体"/>
          <w:kern w:val="44"/>
        </w:rPr>
      </w:pPr>
      <w:r>
        <w:rPr>
          <w:rFonts w:hint="eastAsia" w:ascii="宋体" w:hAnsi="宋体"/>
          <w:kern w:val="44"/>
        </w:rPr>
        <w:t>（五）建设单位对监理单位合理化建议的奖励办法；</w:t>
      </w:r>
    </w:p>
    <w:p w14:paraId="095570C6">
      <w:pPr>
        <w:jc w:val="left"/>
        <w:rPr>
          <w:rFonts w:ascii="宋体" w:hAnsi="宋体"/>
          <w:kern w:val="44"/>
        </w:rPr>
      </w:pPr>
      <w:r>
        <w:rPr>
          <w:rFonts w:hint="eastAsia" w:ascii="宋体" w:hAnsi="宋体"/>
          <w:kern w:val="44"/>
        </w:rPr>
        <w:t>（六）违约责任。</w:t>
      </w:r>
    </w:p>
    <w:p w14:paraId="328AD948">
      <w:pPr>
        <w:jc w:val="left"/>
        <w:rPr>
          <w:rFonts w:ascii="宋体" w:hAnsi="宋体"/>
          <w:kern w:val="44"/>
        </w:rPr>
      </w:pPr>
      <w:r>
        <w:rPr>
          <w:rFonts w:hint="eastAsia" w:ascii="宋体" w:hAnsi="宋体"/>
          <w:kern w:val="44"/>
        </w:rPr>
        <w:t>监理合同签订后，监理单位应当将合同向建设监理主管机关备案。</w:t>
      </w:r>
    </w:p>
    <w:p w14:paraId="63595ADE">
      <w:pPr>
        <w:ind w:firstLine="422"/>
        <w:jc w:val="left"/>
        <w:rPr>
          <w:rFonts w:ascii="宋体" w:hAnsi="宋体"/>
          <w:kern w:val="44"/>
        </w:rPr>
      </w:pPr>
      <w:r>
        <w:rPr>
          <w:rFonts w:hint="eastAsia" w:ascii="宋体" w:hAnsi="宋体"/>
          <w:b/>
          <w:kern w:val="44"/>
        </w:rPr>
        <w:t>第十一条</w:t>
      </w:r>
      <w:r>
        <w:rPr>
          <w:rFonts w:hint="eastAsia" w:ascii="宋体" w:hAnsi="宋体"/>
          <w:kern w:val="44"/>
        </w:rPr>
        <w:t>　建设单位在监理单位实施监理前应当将监理的范围、内容、总监理工程师姓名及其授予监理单位的权限等，书面通知施工单位；总监理工程师应当将其授予监理工程师的权限书面通知施工单位。</w:t>
      </w:r>
    </w:p>
    <w:p w14:paraId="27DA9FAC">
      <w:pPr>
        <w:ind w:firstLine="422"/>
        <w:jc w:val="left"/>
        <w:rPr>
          <w:rFonts w:ascii="宋体" w:hAnsi="宋体"/>
          <w:kern w:val="44"/>
        </w:rPr>
      </w:pPr>
      <w:r>
        <w:rPr>
          <w:rFonts w:hint="eastAsia" w:ascii="宋体" w:hAnsi="宋体"/>
          <w:b/>
          <w:kern w:val="44"/>
        </w:rPr>
        <w:t>第十二条</w:t>
      </w:r>
      <w:r>
        <w:rPr>
          <w:rFonts w:hint="eastAsia" w:ascii="宋体" w:hAnsi="宋体"/>
          <w:kern w:val="44"/>
        </w:rPr>
        <w:t>　监理单位必须按照规定的营业范围和资质等级承接监理业务，并遵守下列规定：</w:t>
      </w:r>
    </w:p>
    <w:p w14:paraId="56898D49">
      <w:pPr>
        <w:jc w:val="left"/>
        <w:rPr>
          <w:rFonts w:ascii="宋体" w:hAnsi="宋体"/>
          <w:kern w:val="44"/>
        </w:rPr>
      </w:pPr>
      <w:r>
        <w:rPr>
          <w:rFonts w:hint="eastAsia" w:ascii="宋体" w:hAnsi="宋体"/>
          <w:kern w:val="44"/>
        </w:rPr>
        <w:t>（一）不得监理与被监理工程的施工承包单位以及建筑材料、建筑构配件和设备供应单位有隶属关系或者其他利害关系的建设工程；</w:t>
      </w:r>
    </w:p>
    <w:p w14:paraId="07946C77">
      <w:pPr>
        <w:jc w:val="left"/>
        <w:rPr>
          <w:rFonts w:ascii="宋体" w:hAnsi="宋体"/>
          <w:kern w:val="44"/>
        </w:rPr>
      </w:pPr>
      <w:r>
        <w:rPr>
          <w:rFonts w:hint="eastAsia" w:ascii="宋体" w:hAnsi="宋体"/>
          <w:kern w:val="44"/>
        </w:rPr>
        <w:t>（二）禁止将本单位监理的建设工程转给其他单位监理；</w:t>
      </w:r>
    </w:p>
    <w:p w14:paraId="2696A28A">
      <w:pPr>
        <w:jc w:val="left"/>
        <w:rPr>
          <w:rFonts w:ascii="宋体" w:hAnsi="宋体"/>
          <w:kern w:val="44"/>
        </w:rPr>
      </w:pPr>
      <w:r>
        <w:rPr>
          <w:rFonts w:hint="eastAsia" w:ascii="宋体" w:hAnsi="宋体"/>
          <w:kern w:val="44"/>
        </w:rPr>
        <w:t>（三）不得承包施工或进行材料及设备的销售；</w:t>
      </w:r>
    </w:p>
    <w:p w14:paraId="1E2ACFB4">
      <w:pPr>
        <w:jc w:val="left"/>
        <w:rPr>
          <w:rFonts w:ascii="宋体" w:hAnsi="宋体"/>
          <w:kern w:val="44"/>
        </w:rPr>
      </w:pPr>
      <w:r>
        <w:rPr>
          <w:rFonts w:hint="eastAsia" w:ascii="宋体" w:hAnsi="宋体"/>
          <w:kern w:val="44"/>
        </w:rPr>
        <w:t>（四）本单位从业人员不得在施工、设备制造和材料销售单位兼职。</w:t>
      </w:r>
    </w:p>
    <w:p w14:paraId="19EED42F">
      <w:pPr>
        <w:ind w:firstLine="422"/>
        <w:jc w:val="left"/>
        <w:rPr>
          <w:rFonts w:ascii="宋体" w:hAnsi="宋体"/>
          <w:kern w:val="44"/>
        </w:rPr>
      </w:pPr>
      <w:r>
        <w:rPr>
          <w:rFonts w:hint="eastAsia" w:ascii="宋体" w:hAnsi="宋体"/>
          <w:b/>
          <w:kern w:val="44"/>
        </w:rPr>
        <w:t>第十三条</w:t>
      </w:r>
      <w:r>
        <w:rPr>
          <w:rFonts w:hint="eastAsia" w:ascii="宋体" w:hAnsi="宋体"/>
          <w:kern w:val="44"/>
        </w:rPr>
        <w:t>　监理人员进行监理，必须严格执行合同和有关法律、法规、技术标准。</w:t>
      </w:r>
    </w:p>
    <w:p w14:paraId="09575ACA">
      <w:pPr>
        <w:ind w:firstLine="422"/>
        <w:jc w:val="left"/>
        <w:rPr>
          <w:rFonts w:ascii="宋体" w:hAnsi="宋体"/>
          <w:kern w:val="44"/>
        </w:rPr>
      </w:pPr>
      <w:r>
        <w:rPr>
          <w:rFonts w:hint="eastAsia" w:ascii="宋体" w:hAnsi="宋体"/>
          <w:b/>
          <w:kern w:val="44"/>
        </w:rPr>
        <w:t>第十四条</w:t>
      </w:r>
      <w:r>
        <w:rPr>
          <w:rFonts w:hint="eastAsia" w:ascii="宋体" w:hAnsi="宋体"/>
          <w:kern w:val="44"/>
        </w:rPr>
        <w:t>　工程监理实行总监理工程师负责制。总监理工程师行使合同赋予监理单位的权限，对工程的投资、工期和质量、安全进行全面监督和管理。</w:t>
      </w:r>
    </w:p>
    <w:p w14:paraId="145DB7B5">
      <w:pPr>
        <w:jc w:val="left"/>
        <w:rPr>
          <w:rFonts w:ascii="宋体" w:hAnsi="宋体"/>
          <w:kern w:val="44"/>
        </w:rPr>
      </w:pPr>
      <w:r>
        <w:rPr>
          <w:rFonts w:hint="eastAsia" w:ascii="宋体" w:hAnsi="宋体"/>
          <w:kern w:val="44"/>
        </w:rPr>
        <w:t>在监理过程中，总监理工程师应当向建设单位报告工程情况，未经建设单位特别授权，总监理工程师无权变更建设单位与施工单位签订的工程承包合同。</w:t>
      </w:r>
    </w:p>
    <w:p w14:paraId="7224D837">
      <w:pPr>
        <w:ind w:firstLine="422"/>
        <w:jc w:val="left"/>
        <w:rPr>
          <w:rFonts w:ascii="宋体" w:hAnsi="宋体"/>
          <w:kern w:val="44"/>
        </w:rPr>
      </w:pPr>
      <w:r>
        <w:rPr>
          <w:rFonts w:hint="eastAsia" w:ascii="宋体" w:hAnsi="宋体"/>
          <w:b/>
          <w:kern w:val="44"/>
        </w:rPr>
        <w:t>第十五条</w:t>
      </w:r>
      <w:r>
        <w:rPr>
          <w:rFonts w:hint="eastAsia" w:ascii="宋体" w:hAnsi="宋体"/>
          <w:kern w:val="44"/>
        </w:rPr>
        <w:t>　总监理工程师对危及工程质量和安全的施工，按照监理权限可以下达停工指令，对施工单位人员不符合工作要求的，可以要求撤换，施工单位应当执行。</w:t>
      </w:r>
    </w:p>
    <w:p w14:paraId="13EE4F3A">
      <w:pPr>
        <w:ind w:firstLine="422"/>
        <w:jc w:val="left"/>
        <w:rPr>
          <w:rFonts w:ascii="宋体" w:hAnsi="宋体"/>
          <w:kern w:val="44"/>
        </w:rPr>
      </w:pPr>
      <w:r>
        <w:rPr>
          <w:rFonts w:hint="eastAsia" w:ascii="宋体" w:hAnsi="宋体"/>
          <w:b/>
          <w:kern w:val="44"/>
        </w:rPr>
        <w:t>第十六条</w:t>
      </w:r>
      <w:r>
        <w:rPr>
          <w:rFonts w:hint="eastAsia" w:ascii="宋体" w:hAnsi="宋体"/>
          <w:kern w:val="44"/>
        </w:rPr>
        <w:t>　对监理的工程项目，施工单位结算工程进度款要经总监理工程师核定签字认可，建设单位同意并报开户银行审查后方可支付。被总监理工程师拒绝签字认可的，建设单位不予支付工程款。</w:t>
      </w:r>
    </w:p>
    <w:p w14:paraId="052C56E8">
      <w:pPr>
        <w:ind w:firstLine="422"/>
        <w:jc w:val="left"/>
        <w:rPr>
          <w:rFonts w:ascii="宋体" w:hAnsi="宋体"/>
          <w:kern w:val="44"/>
        </w:rPr>
      </w:pPr>
      <w:r>
        <w:rPr>
          <w:rFonts w:hint="eastAsia" w:ascii="宋体" w:hAnsi="宋体"/>
          <w:b/>
          <w:kern w:val="44"/>
        </w:rPr>
        <w:t>第十七条</w:t>
      </w:r>
      <w:r>
        <w:rPr>
          <w:rFonts w:hint="eastAsia" w:ascii="宋体" w:hAnsi="宋体"/>
          <w:kern w:val="44"/>
        </w:rPr>
        <w:t>　对影响工程质量和使用功能以及不合理的设计图纸，监理单位有权要求有关单位修改。对不符合质量要求的材料、设备和构配件，监理单位有权要求生产或者供应单位退换。</w:t>
      </w:r>
    </w:p>
    <w:p w14:paraId="74E61020">
      <w:pPr>
        <w:ind w:firstLine="422"/>
        <w:jc w:val="left"/>
        <w:rPr>
          <w:rFonts w:ascii="宋体" w:hAnsi="宋体"/>
          <w:kern w:val="44"/>
        </w:rPr>
      </w:pPr>
      <w:r>
        <w:rPr>
          <w:rFonts w:hint="eastAsia" w:ascii="宋体" w:hAnsi="宋体"/>
          <w:b/>
          <w:kern w:val="44"/>
        </w:rPr>
        <w:t>第十八条</w:t>
      </w:r>
      <w:r>
        <w:rPr>
          <w:rFonts w:hint="eastAsia" w:ascii="宋体" w:hAnsi="宋体"/>
          <w:kern w:val="44"/>
        </w:rPr>
        <w:t>　监理费用的收取应当按照《建设工程监理与相关服务收费管理规定》执行。</w:t>
      </w:r>
    </w:p>
    <w:p w14:paraId="6C084C19">
      <w:pPr>
        <w:jc w:val="left"/>
        <w:rPr>
          <w:rFonts w:ascii="宋体" w:hAnsi="宋体"/>
          <w:kern w:val="44"/>
        </w:rPr>
      </w:pPr>
      <w:r>
        <w:rPr>
          <w:rFonts w:hint="eastAsia" w:ascii="宋体" w:hAnsi="宋体"/>
          <w:kern w:val="44"/>
        </w:rPr>
        <w:t>外商独资和国外贷款、赠款建设的工程建设监理费，国内监理单位监理的，可按国内同类型工程监理费率的130％至150％计收；合作监理的，可参照国外标准由建设单位和监理单位商定。</w:t>
      </w:r>
    </w:p>
    <w:p w14:paraId="6D495CB9">
      <w:pPr>
        <w:ind w:firstLine="422"/>
        <w:jc w:val="left"/>
        <w:rPr>
          <w:rFonts w:ascii="宋体" w:hAnsi="宋体"/>
          <w:kern w:val="44"/>
        </w:rPr>
      </w:pPr>
      <w:r>
        <w:rPr>
          <w:rFonts w:hint="eastAsia" w:ascii="宋体" w:hAnsi="宋体"/>
          <w:b/>
          <w:kern w:val="44"/>
        </w:rPr>
        <w:t>第十九条</w:t>
      </w:r>
      <w:r>
        <w:rPr>
          <w:rFonts w:hint="eastAsia" w:ascii="宋体" w:hAnsi="宋体"/>
          <w:kern w:val="44"/>
        </w:rPr>
        <w:t>　实行监理的工程必须接受建设工程质量监督部门的监督管理。</w:t>
      </w:r>
    </w:p>
    <w:p w14:paraId="785065A5">
      <w:pPr>
        <w:ind w:firstLine="422"/>
        <w:jc w:val="left"/>
        <w:rPr>
          <w:rFonts w:ascii="宋体" w:hAnsi="宋体"/>
          <w:kern w:val="44"/>
        </w:rPr>
      </w:pPr>
      <w:r>
        <w:rPr>
          <w:rFonts w:hint="eastAsia" w:ascii="宋体" w:hAnsi="宋体"/>
          <w:b/>
          <w:kern w:val="44"/>
        </w:rPr>
        <w:t>第二十条</w:t>
      </w:r>
      <w:r>
        <w:rPr>
          <w:rFonts w:hint="eastAsia" w:ascii="宋体" w:hAnsi="宋体"/>
          <w:kern w:val="44"/>
        </w:rPr>
        <w:t>　违反本办法，建设项目必须实行工程监理而建设单位未实行的，由工程建设监理主管部门按照《建设工程质量管理条例》的有关规定处理。</w:t>
      </w:r>
    </w:p>
    <w:p w14:paraId="0B2D2757">
      <w:pPr>
        <w:ind w:firstLine="422"/>
        <w:jc w:val="left"/>
        <w:rPr>
          <w:rFonts w:ascii="宋体" w:hAnsi="宋体"/>
          <w:kern w:val="44"/>
        </w:rPr>
      </w:pPr>
      <w:r>
        <w:rPr>
          <w:rFonts w:hint="eastAsia" w:ascii="宋体" w:hAnsi="宋体"/>
          <w:b/>
          <w:kern w:val="44"/>
        </w:rPr>
        <w:t>第二十一条</w:t>
      </w:r>
      <w:r>
        <w:rPr>
          <w:rFonts w:hint="eastAsia" w:ascii="宋体" w:hAnsi="宋体"/>
          <w:kern w:val="44"/>
        </w:rPr>
        <w:t>　本办法自1995年3月10日起施行。</w:t>
      </w:r>
    </w:p>
    <w:p w14:paraId="2A9CD7D4">
      <w:pPr>
        <w:pStyle w:val="4"/>
        <w:pageBreakBefore/>
        <w:rPr>
          <w:kern w:val="44"/>
        </w:rPr>
      </w:pPr>
      <w:bookmarkStart w:id="831" w:name="_Toc422471231"/>
      <w:bookmarkStart w:id="832" w:name="_Toc427651866"/>
      <w:bookmarkStart w:id="833" w:name="_Toc428780090"/>
      <w:bookmarkStart w:id="834" w:name="_Toc427651524"/>
      <w:bookmarkStart w:id="835" w:name="_Toc428781572"/>
      <w:r>
        <w:rPr>
          <w:rFonts w:hint="eastAsia"/>
          <w:kern w:val="44"/>
        </w:rPr>
        <w:t>北京市工程建设场地地震</w:t>
      </w:r>
      <w:bookmarkEnd w:id="831"/>
      <w:bookmarkStart w:id="836" w:name="_Toc422471232"/>
      <w:r>
        <w:rPr>
          <w:rFonts w:hint="eastAsia"/>
          <w:kern w:val="44"/>
        </w:rPr>
        <w:t>安全性评价管理办法</w:t>
      </w:r>
      <w:bookmarkEnd w:id="832"/>
      <w:bookmarkEnd w:id="833"/>
      <w:bookmarkEnd w:id="834"/>
      <w:bookmarkEnd w:id="835"/>
      <w:bookmarkEnd w:id="836"/>
    </w:p>
    <w:p w14:paraId="7DC1E09C">
      <w:pPr>
        <w:ind w:left="630" w:leftChars="300" w:right="630" w:rightChars="300"/>
        <w:jc w:val="center"/>
        <w:rPr>
          <w:rFonts w:ascii="楷体" w:hAnsi="楷体" w:eastAsia="楷体"/>
          <w:kern w:val="44"/>
        </w:rPr>
      </w:pPr>
      <w:r>
        <w:rPr>
          <w:rFonts w:hint="eastAsia" w:ascii="楷体" w:hAnsi="楷体" w:eastAsia="楷体"/>
          <w:kern w:val="44"/>
        </w:rPr>
        <w:t>（1997年7月14日北京市人民政府第5号令发布）</w:t>
      </w:r>
    </w:p>
    <w:p w14:paraId="4F9FFA7A">
      <w:pPr>
        <w:jc w:val="left"/>
        <w:rPr>
          <w:rFonts w:ascii="宋体" w:hAnsi="宋体"/>
          <w:kern w:val="44"/>
        </w:rPr>
      </w:pPr>
    </w:p>
    <w:p w14:paraId="513A38D3">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为加强本市工程建设场地地震安全性评价工作的管理，防御和减轻地震灾害，保护国家和人民生命财产安全，制定本办法。</w:t>
      </w:r>
    </w:p>
    <w:p w14:paraId="5B0FEF2D">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所称工程建设场地地震安全性评价（以下简称地震安全性评价），是指以地震观测资料和地震地质、地球物理等科研和技术工作为基础，对工程建设场地未来可能遭遇到的地震及其不同风险水平所取概率、强度的预测和地震事件对工程建设场地的影响程度及安全程度的评价。</w:t>
      </w:r>
    </w:p>
    <w:p w14:paraId="70D40789">
      <w:pPr>
        <w:ind w:firstLine="422"/>
        <w:jc w:val="left"/>
        <w:rPr>
          <w:rFonts w:ascii="宋体" w:hAnsi="宋体"/>
          <w:kern w:val="44"/>
        </w:rPr>
      </w:pPr>
      <w:r>
        <w:rPr>
          <w:rFonts w:hint="eastAsia" w:ascii="宋体" w:hAnsi="宋体"/>
          <w:b/>
          <w:kern w:val="44"/>
        </w:rPr>
        <w:t>第三条</w:t>
      </w:r>
      <w:r>
        <w:rPr>
          <w:rFonts w:hint="eastAsia" w:ascii="宋体" w:hAnsi="宋体"/>
          <w:kern w:val="44"/>
        </w:rPr>
        <w:t>　本办法适用于本市行政区域内工程建设场地的地震安全性评价工作。</w:t>
      </w:r>
    </w:p>
    <w:p w14:paraId="0404688C">
      <w:pPr>
        <w:ind w:firstLine="422"/>
        <w:jc w:val="left"/>
        <w:rPr>
          <w:rFonts w:ascii="宋体" w:hAnsi="宋体"/>
          <w:kern w:val="44"/>
        </w:rPr>
      </w:pPr>
      <w:r>
        <w:rPr>
          <w:rFonts w:hint="eastAsia" w:ascii="宋体" w:hAnsi="宋体"/>
          <w:b/>
          <w:kern w:val="44"/>
        </w:rPr>
        <w:t>第四条</w:t>
      </w:r>
      <w:r>
        <w:rPr>
          <w:rFonts w:hint="eastAsia" w:ascii="宋体" w:hAnsi="宋体"/>
          <w:kern w:val="44"/>
        </w:rPr>
        <w:t>　市地震局是本市地震安全性评价工作的主管部门，负责本办法的组织实施和监督检查。</w:t>
      </w:r>
    </w:p>
    <w:p w14:paraId="6FA8A864">
      <w:pPr>
        <w:jc w:val="left"/>
        <w:rPr>
          <w:rFonts w:ascii="宋体" w:hAnsi="宋体"/>
          <w:kern w:val="44"/>
        </w:rPr>
      </w:pPr>
      <w:r>
        <w:rPr>
          <w:rFonts w:hint="eastAsia" w:ascii="宋体" w:hAnsi="宋体"/>
          <w:kern w:val="44"/>
        </w:rPr>
        <w:t>区、县地震工作部门协助市地震局进行本行政区域内地震安全性评价的管理工作。</w:t>
      </w:r>
    </w:p>
    <w:p w14:paraId="5DAA513C">
      <w:pPr>
        <w:jc w:val="left"/>
        <w:rPr>
          <w:rFonts w:ascii="宋体" w:hAnsi="宋体"/>
          <w:kern w:val="44"/>
        </w:rPr>
      </w:pPr>
      <w:r>
        <w:rPr>
          <w:rFonts w:hint="eastAsia" w:ascii="宋体" w:hAnsi="宋体"/>
          <w:kern w:val="44"/>
        </w:rPr>
        <w:t>计划、规划、建设、房屋土地、财政等部门，应当按照各自的职责，依法对地震安全性评价进行管理。</w:t>
      </w:r>
    </w:p>
    <w:p w14:paraId="076B8FF3">
      <w:pPr>
        <w:ind w:firstLine="422"/>
        <w:jc w:val="left"/>
        <w:rPr>
          <w:rFonts w:ascii="宋体" w:hAnsi="宋体"/>
          <w:kern w:val="44"/>
        </w:rPr>
      </w:pPr>
      <w:r>
        <w:rPr>
          <w:rFonts w:hint="eastAsia" w:ascii="宋体" w:hAnsi="宋体"/>
          <w:b/>
          <w:kern w:val="44"/>
        </w:rPr>
        <w:t>第五条</w:t>
      </w:r>
      <w:r>
        <w:rPr>
          <w:rFonts w:hint="eastAsia" w:ascii="宋体" w:hAnsi="宋体"/>
          <w:kern w:val="44"/>
        </w:rPr>
        <w:t>　下列工程建设场地，建设单位必须进行地震安全性评价：</w:t>
      </w:r>
    </w:p>
    <w:p w14:paraId="7C439CF5">
      <w:pPr>
        <w:jc w:val="left"/>
        <w:rPr>
          <w:rFonts w:ascii="宋体" w:hAnsi="宋体"/>
          <w:kern w:val="44"/>
        </w:rPr>
      </w:pPr>
      <w:r>
        <w:rPr>
          <w:rFonts w:hint="eastAsia" w:ascii="宋体" w:hAnsi="宋体"/>
          <w:kern w:val="44"/>
        </w:rPr>
        <w:t>（一）抗震设防要求高于《中国地震烈度区划图》标定设防标准的重点工程、特殊工程和可能产生严重次生灾害的工程；</w:t>
      </w:r>
    </w:p>
    <w:p w14:paraId="0BE499F3">
      <w:pPr>
        <w:jc w:val="left"/>
        <w:rPr>
          <w:rFonts w:ascii="宋体" w:hAnsi="宋体"/>
          <w:kern w:val="44"/>
        </w:rPr>
      </w:pPr>
      <w:r>
        <w:rPr>
          <w:rFonts w:hint="eastAsia" w:ascii="宋体" w:hAnsi="宋体"/>
          <w:kern w:val="44"/>
        </w:rPr>
        <w:t>（二）位于地震烈度分界线两侧各8公里区域内的新建、改建、扩建工程；</w:t>
      </w:r>
    </w:p>
    <w:p w14:paraId="302F56FF">
      <w:pPr>
        <w:jc w:val="left"/>
        <w:rPr>
          <w:rFonts w:ascii="宋体" w:hAnsi="宋体"/>
          <w:kern w:val="44"/>
        </w:rPr>
      </w:pPr>
      <w:r>
        <w:rPr>
          <w:rFonts w:hint="eastAsia" w:ascii="宋体" w:hAnsi="宋体"/>
          <w:kern w:val="44"/>
        </w:rPr>
        <w:t>（三）局部地质条件较复杂或者地震研究程度和资料详细程度较低的地区；</w:t>
      </w:r>
    </w:p>
    <w:p w14:paraId="3F2B793A">
      <w:pPr>
        <w:jc w:val="left"/>
        <w:rPr>
          <w:rFonts w:ascii="宋体" w:hAnsi="宋体"/>
          <w:kern w:val="44"/>
        </w:rPr>
      </w:pPr>
      <w:r>
        <w:rPr>
          <w:rFonts w:hint="eastAsia" w:ascii="宋体" w:hAnsi="宋体"/>
          <w:kern w:val="44"/>
        </w:rPr>
        <w:t>（四）占地面积较大或者跨越不同地质条件区域的新建城镇、大型厂矿企业以及经济技术开发区。</w:t>
      </w:r>
    </w:p>
    <w:p w14:paraId="518FF6A4">
      <w:pPr>
        <w:jc w:val="left"/>
        <w:rPr>
          <w:rFonts w:ascii="宋体" w:hAnsi="宋体"/>
          <w:kern w:val="44"/>
        </w:rPr>
      </w:pPr>
      <w:r>
        <w:rPr>
          <w:rFonts w:hint="eastAsia" w:ascii="宋体" w:hAnsi="宋体"/>
          <w:kern w:val="44"/>
        </w:rPr>
        <w:t>进行地震安全性评价的工程建设场地的具体范围由市地震局、市计划委员会、市市政管理委员会和市城乡规划委员会按照国家有关规定并结合本市实际情况制定。</w:t>
      </w:r>
    </w:p>
    <w:p w14:paraId="1A5DA76D">
      <w:pPr>
        <w:ind w:firstLine="422"/>
        <w:jc w:val="left"/>
        <w:rPr>
          <w:rFonts w:ascii="宋体" w:hAnsi="宋体"/>
          <w:kern w:val="44"/>
        </w:rPr>
      </w:pPr>
      <w:r>
        <w:rPr>
          <w:rFonts w:hint="eastAsia" w:ascii="宋体" w:hAnsi="宋体"/>
          <w:b/>
          <w:kern w:val="44"/>
        </w:rPr>
        <w:t>第六条</w:t>
      </w:r>
      <w:r>
        <w:rPr>
          <w:rFonts w:hint="eastAsia" w:ascii="宋体" w:hAnsi="宋体"/>
          <w:kern w:val="44"/>
        </w:rPr>
        <w:t>　承担地震安全性评价任务的单位，必须持有国家或者市地震局核发的工程建设场地地震安全性评价许可证书，并按照许可证书规定的资质等级和评价范围进行地震安全性评价工作。</w:t>
      </w:r>
    </w:p>
    <w:p w14:paraId="1EB5FD0B">
      <w:pPr>
        <w:jc w:val="left"/>
        <w:rPr>
          <w:rFonts w:ascii="宋体" w:hAnsi="宋体"/>
          <w:kern w:val="44"/>
        </w:rPr>
      </w:pPr>
      <w:r>
        <w:rPr>
          <w:rFonts w:hint="eastAsia" w:ascii="宋体" w:hAnsi="宋体"/>
          <w:kern w:val="44"/>
        </w:rPr>
        <w:t>中央和外省市单位在本市行政区域内承担地震安全性评价任务，应当持国家地震局核发的工程建设场地地震安全性评价许可证书到市地震局办理资格验证和任务登记。</w:t>
      </w:r>
    </w:p>
    <w:p w14:paraId="34136BFC">
      <w:pPr>
        <w:ind w:firstLine="422"/>
        <w:jc w:val="left"/>
        <w:rPr>
          <w:rFonts w:ascii="宋体" w:hAnsi="宋体"/>
          <w:kern w:val="44"/>
        </w:rPr>
      </w:pPr>
      <w:r>
        <w:rPr>
          <w:rFonts w:hint="eastAsia" w:ascii="宋体" w:hAnsi="宋体"/>
          <w:b/>
          <w:kern w:val="44"/>
        </w:rPr>
        <w:t>第七条</w:t>
      </w:r>
      <w:r>
        <w:rPr>
          <w:rFonts w:hint="eastAsia" w:ascii="宋体" w:hAnsi="宋体"/>
          <w:kern w:val="44"/>
        </w:rPr>
        <w:t>　承担地震安全性评价任务的单位应当执行国家规定的地震安全性评价工作规范，编制地震安全性评价报告。</w:t>
      </w:r>
    </w:p>
    <w:p w14:paraId="14F45C06">
      <w:pPr>
        <w:ind w:firstLine="422"/>
        <w:jc w:val="left"/>
        <w:rPr>
          <w:rFonts w:ascii="宋体" w:hAnsi="宋体"/>
          <w:kern w:val="44"/>
        </w:rPr>
      </w:pPr>
      <w:r>
        <w:rPr>
          <w:rFonts w:hint="eastAsia" w:ascii="宋体" w:hAnsi="宋体"/>
          <w:b/>
          <w:kern w:val="44"/>
        </w:rPr>
        <w:t>第八条</w:t>
      </w:r>
      <w:r>
        <w:rPr>
          <w:rFonts w:hint="eastAsia" w:ascii="宋体" w:hAnsi="宋体"/>
          <w:kern w:val="44"/>
        </w:rPr>
        <w:t>　地震安全性评价报告应当报请市地震安全性评定委员会评审，经评审通过的地震安全性评价报告应当由市地震局审核批准，确定抗震设防标准。经审核批准的抗震设防标准，任何单位和个人不得擅自降低或者提高。</w:t>
      </w:r>
    </w:p>
    <w:p w14:paraId="18894388">
      <w:pPr>
        <w:ind w:firstLine="422"/>
        <w:jc w:val="left"/>
        <w:rPr>
          <w:rFonts w:ascii="宋体" w:hAnsi="宋体"/>
          <w:kern w:val="44"/>
        </w:rPr>
      </w:pPr>
      <w:r>
        <w:rPr>
          <w:rFonts w:hint="eastAsia" w:ascii="宋体" w:hAnsi="宋体"/>
          <w:b/>
          <w:kern w:val="44"/>
        </w:rPr>
        <w:t>第九条</w:t>
      </w:r>
      <w:r>
        <w:rPr>
          <w:rFonts w:hint="eastAsia" w:ascii="宋体" w:hAnsi="宋体"/>
          <w:kern w:val="44"/>
        </w:rPr>
        <w:t>　工程建设场地地震安全性评价工作，应当在工程建设项目的可行性研究阶段进行。</w:t>
      </w:r>
    </w:p>
    <w:p w14:paraId="1EF69CB9">
      <w:pPr>
        <w:jc w:val="left"/>
        <w:rPr>
          <w:rFonts w:ascii="宋体" w:hAnsi="宋体"/>
          <w:kern w:val="44"/>
        </w:rPr>
      </w:pPr>
      <w:r>
        <w:rPr>
          <w:rFonts w:hint="eastAsia" w:ascii="宋体" w:hAnsi="宋体"/>
          <w:kern w:val="44"/>
        </w:rPr>
        <w:t>工程建设项目的可行性研究报告应当包括工程建设场地的地震安全性评价内容和市地震局审核批准的抗震设防标准。工程建设项目的可行性研究报告中没有相应的地震安全性评价内容和市地震局审核批准的抗震设防标准的，计划部门不予批准可行性研究报告，其他主管部门不予办理有关手续。</w:t>
      </w:r>
    </w:p>
    <w:p w14:paraId="54FAFD75">
      <w:pPr>
        <w:jc w:val="left"/>
        <w:rPr>
          <w:rFonts w:ascii="宋体" w:hAnsi="宋体"/>
          <w:kern w:val="44"/>
        </w:rPr>
      </w:pPr>
      <w:r>
        <w:rPr>
          <w:rFonts w:hint="eastAsia" w:ascii="宋体" w:hAnsi="宋体"/>
          <w:kern w:val="44"/>
        </w:rPr>
        <w:t>工程建设场地地震安全性评价工作经费应当列入工程建设项目投资计划，在工程建设前期费用中支出。</w:t>
      </w:r>
    </w:p>
    <w:p w14:paraId="51F44B7A">
      <w:pPr>
        <w:ind w:firstLine="422"/>
        <w:jc w:val="left"/>
        <w:rPr>
          <w:rFonts w:ascii="宋体" w:hAnsi="宋体"/>
          <w:kern w:val="44"/>
        </w:rPr>
      </w:pPr>
      <w:r>
        <w:rPr>
          <w:rFonts w:hint="eastAsia" w:ascii="宋体" w:hAnsi="宋体"/>
          <w:b/>
          <w:kern w:val="44"/>
        </w:rPr>
        <w:t>第十条</w:t>
      </w:r>
      <w:r>
        <w:rPr>
          <w:rFonts w:hint="eastAsia" w:ascii="宋体" w:hAnsi="宋体"/>
          <w:kern w:val="44"/>
        </w:rPr>
        <w:t>　承担地震安全性评价任务的单位，应当严格执行国家和本市制定的收费项目和收费标准，不得擅自增加收费项目或者提高收费标准。</w:t>
      </w:r>
    </w:p>
    <w:p w14:paraId="6DAFFA92">
      <w:pPr>
        <w:ind w:firstLine="422"/>
        <w:jc w:val="left"/>
        <w:rPr>
          <w:rFonts w:ascii="宋体" w:hAnsi="宋体"/>
          <w:kern w:val="44"/>
        </w:rPr>
      </w:pPr>
      <w:r>
        <w:rPr>
          <w:rFonts w:hint="eastAsia" w:ascii="宋体" w:hAnsi="宋体"/>
          <w:b/>
          <w:kern w:val="44"/>
        </w:rPr>
        <w:t>第十一条</w:t>
      </w:r>
      <w:r>
        <w:rPr>
          <w:rFonts w:hint="eastAsia" w:ascii="宋体" w:hAnsi="宋体"/>
          <w:kern w:val="44"/>
        </w:rPr>
        <w:t>　建设单位未按照抗震设防标准进行建设的，由市地震局责令其限期改正，并可处以1万元以上3万元以下罚款。</w:t>
      </w:r>
    </w:p>
    <w:p w14:paraId="20CF1F1E">
      <w:pPr>
        <w:ind w:firstLine="422"/>
        <w:jc w:val="left"/>
        <w:rPr>
          <w:rFonts w:ascii="宋体" w:hAnsi="宋体"/>
          <w:kern w:val="44"/>
        </w:rPr>
      </w:pPr>
      <w:r>
        <w:rPr>
          <w:rFonts w:hint="eastAsia" w:ascii="宋体" w:hAnsi="宋体"/>
          <w:b/>
          <w:kern w:val="44"/>
        </w:rPr>
        <w:t>第十二条</w:t>
      </w:r>
      <w:r>
        <w:rPr>
          <w:rFonts w:hint="eastAsia" w:ascii="宋体" w:hAnsi="宋体"/>
          <w:kern w:val="44"/>
        </w:rPr>
        <w:t>　没有工程建设场地地震安全性评价许可证书，或者超越许可证书规定的资质等级和评价范围进行地震安全性评价的，其评价结果无效，由市地震局给予警告，并可处以1万元罚款。</w:t>
      </w:r>
    </w:p>
    <w:p w14:paraId="5688ECD1">
      <w:pPr>
        <w:ind w:firstLine="422"/>
        <w:jc w:val="left"/>
        <w:rPr>
          <w:rFonts w:ascii="宋体" w:hAnsi="宋体"/>
          <w:kern w:val="44"/>
        </w:rPr>
      </w:pPr>
      <w:r>
        <w:rPr>
          <w:rFonts w:hint="eastAsia" w:ascii="宋体" w:hAnsi="宋体"/>
          <w:b/>
          <w:kern w:val="44"/>
        </w:rPr>
        <w:t>第十三条</w:t>
      </w:r>
      <w:r>
        <w:rPr>
          <w:rFonts w:hint="eastAsia" w:ascii="宋体" w:hAnsi="宋体"/>
          <w:kern w:val="44"/>
        </w:rPr>
        <w:t>　本办法执行中的具体问题，由市地震局负责解释。</w:t>
      </w:r>
    </w:p>
    <w:p w14:paraId="3830802B">
      <w:pPr>
        <w:ind w:firstLine="422"/>
        <w:jc w:val="left"/>
        <w:rPr>
          <w:rFonts w:ascii="宋体" w:hAnsi="宋体"/>
          <w:kern w:val="44"/>
        </w:rPr>
      </w:pPr>
      <w:r>
        <w:rPr>
          <w:rFonts w:hint="eastAsia" w:ascii="宋体" w:hAnsi="宋体"/>
          <w:b/>
          <w:kern w:val="44"/>
        </w:rPr>
        <w:t>第十四条</w:t>
      </w:r>
      <w:r>
        <w:rPr>
          <w:rFonts w:hint="eastAsia" w:ascii="宋体" w:hAnsi="宋体"/>
          <w:kern w:val="44"/>
        </w:rPr>
        <w:t>　本办法自1997年7月28日起施行。</w:t>
      </w:r>
    </w:p>
    <w:p w14:paraId="25DD05D7">
      <w:pPr>
        <w:pStyle w:val="4"/>
        <w:pageBreakBefore/>
        <w:rPr>
          <w:kern w:val="44"/>
        </w:rPr>
      </w:pPr>
      <w:bookmarkStart w:id="837" w:name="_Toc428780091"/>
      <w:bookmarkStart w:id="838" w:name="_Toc427651525"/>
      <w:bookmarkStart w:id="839" w:name="_Toc422471233"/>
      <w:bookmarkStart w:id="840" w:name="_Toc427651867"/>
      <w:bookmarkStart w:id="841" w:name="_Toc428781573"/>
      <w:r>
        <w:rPr>
          <w:rFonts w:hint="eastAsia"/>
          <w:kern w:val="44"/>
        </w:rPr>
        <w:t>北京市人民防空工程建设</w:t>
      </w:r>
      <w:bookmarkEnd w:id="837"/>
      <w:bookmarkEnd w:id="838"/>
      <w:bookmarkEnd w:id="839"/>
      <w:bookmarkEnd w:id="840"/>
      <w:bookmarkEnd w:id="841"/>
    </w:p>
    <w:p w14:paraId="1C6E8E39">
      <w:pPr>
        <w:pStyle w:val="4"/>
        <w:rPr>
          <w:kern w:val="44"/>
        </w:rPr>
      </w:pPr>
      <w:bookmarkStart w:id="842" w:name="_Toc428780092"/>
      <w:bookmarkStart w:id="843" w:name="_Toc428781574"/>
      <w:bookmarkStart w:id="844" w:name="_Toc427651526"/>
      <w:bookmarkStart w:id="845" w:name="_Toc422471234"/>
      <w:bookmarkStart w:id="846" w:name="_Toc427651868"/>
      <w:r>
        <w:rPr>
          <w:rFonts w:hint="eastAsia"/>
          <w:kern w:val="44"/>
        </w:rPr>
        <w:t>与使用管理规定</w:t>
      </w:r>
      <w:bookmarkEnd w:id="842"/>
      <w:bookmarkEnd w:id="843"/>
      <w:bookmarkEnd w:id="844"/>
      <w:bookmarkEnd w:id="845"/>
      <w:bookmarkEnd w:id="846"/>
    </w:p>
    <w:p w14:paraId="19777479">
      <w:pPr>
        <w:ind w:left="630" w:leftChars="300" w:right="630" w:rightChars="300"/>
        <w:jc w:val="left"/>
        <w:rPr>
          <w:rFonts w:ascii="楷体" w:hAnsi="楷体" w:eastAsia="楷体"/>
          <w:kern w:val="44"/>
        </w:rPr>
      </w:pPr>
      <w:r>
        <w:rPr>
          <w:rFonts w:hint="eastAsia" w:ascii="楷体" w:hAnsi="楷体" w:eastAsia="楷体"/>
          <w:kern w:val="44"/>
        </w:rPr>
        <w:t>（1998年4月1日北京市人民政府第1号令公布　根据2001年8月27日北京市人民政府第82号令第一次修改　根据2004年6月1日北京市人民政府第150号令第二次修改　根据2010年11月27日北京市人民政府第226号令第三次修改）</w:t>
      </w:r>
    </w:p>
    <w:p w14:paraId="6C0C78A9">
      <w:pPr>
        <w:ind w:left="630" w:leftChars="300" w:right="630" w:rightChars="300"/>
        <w:jc w:val="left"/>
        <w:rPr>
          <w:rFonts w:ascii="楷体" w:hAnsi="楷体" w:eastAsia="楷体"/>
          <w:kern w:val="44"/>
        </w:rPr>
      </w:pPr>
    </w:p>
    <w:p w14:paraId="2AD71C85">
      <w:pPr>
        <w:ind w:firstLine="0" w:firstLineChars="0"/>
        <w:jc w:val="center"/>
        <w:rPr>
          <w:rFonts w:ascii="宋体" w:hAnsi="宋体"/>
          <w:b/>
          <w:kern w:val="44"/>
          <w:sz w:val="28"/>
        </w:rPr>
      </w:pPr>
      <w:r>
        <w:rPr>
          <w:rFonts w:hint="eastAsia" w:ascii="宋体" w:hAnsi="宋体"/>
          <w:b/>
          <w:kern w:val="44"/>
          <w:sz w:val="28"/>
        </w:rPr>
        <w:t>第一章　总　则</w:t>
      </w:r>
    </w:p>
    <w:p w14:paraId="44942514">
      <w:pPr>
        <w:jc w:val="left"/>
        <w:rPr>
          <w:rFonts w:ascii="宋体" w:hAnsi="宋体"/>
          <w:kern w:val="44"/>
        </w:rPr>
      </w:pPr>
    </w:p>
    <w:p w14:paraId="1073E3A7">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为了加强人民防空工程（以下简称人防工程）的建设和使用管理，提高城市整体防护能力，保护人民的生命和财产安全，为经济建设服务，结合本市实际情况，制定本规定。</w:t>
      </w:r>
    </w:p>
    <w:p w14:paraId="1F8822BB">
      <w:pPr>
        <w:ind w:firstLine="422"/>
        <w:jc w:val="left"/>
        <w:rPr>
          <w:rFonts w:ascii="宋体" w:hAnsi="宋体"/>
          <w:kern w:val="44"/>
        </w:rPr>
      </w:pPr>
      <w:r>
        <w:rPr>
          <w:rFonts w:hint="eastAsia" w:ascii="宋体" w:hAnsi="宋体"/>
          <w:b/>
          <w:kern w:val="44"/>
        </w:rPr>
        <w:t>第二条</w:t>
      </w:r>
      <w:r>
        <w:rPr>
          <w:rFonts w:hint="eastAsia" w:ascii="宋体" w:hAnsi="宋体"/>
          <w:kern w:val="44"/>
        </w:rPr>
        <w:t>　本规定所称人防工程包括为保障战时人员与物资掩蔽、人民防空指挥、医疗救护等单独修建的地下防护建筑，以及结合地面建筑修建的战时可用于防空的地下室。</w:t>
      </w:r>
    </w:p>
    <w:p w14:paraId="7FD303DB">
      <w:pPr>
        <w:ind w:firstLine="422"/>
        <w:jc w:val="left"/>
        <w:rPr>
          <w:rFonts w:ascii="宋体" w:hAnsi="宋体"/>
          <w:kern w:val="44"/>
        </w:rPr>
      </w:pPr>
      <w:r>
        <w:rPr>
          <w:rFonts w:hint="eastAsia" w:ascii="宋体" w:hAnsi="宋体"/>
          <w:b/>
          <w:kern w:val="44"/>
        </w:rPr>
        <w:t>第三条</w:t>
      </w:r>
      <w:r>
        <w:rPr>
          <w:rFonts w:hint="eastAsia" w:ascii="宋体" w:hAnsi="宋体"/>
          <w:kern w:val="44"/>
        </w:rPr>
        <w:t>　本市行政区域内人防工程的规划、建设、维护和使用管理，应当遵守本规定。法律、法规另有规定的除外。</w:t>
      </w:r>
    </w:p>
    <w:p w14:paraId="048BB7CA">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市和区、县人民防空主管部门负责本行政区域内的人防工程建设和使用管理工作。</w:t>
      </w:r>
    </w:p>
    <w:p w14:paraId="7EB93449">
      <w:pPr>
        <w:jc w:val="left"/>
        <w:rPr>
          <w:rFonts w:ascii="宋体" w:hAnsi="宋体"/>
          <w:kern w:val="44"/>
        </w:rPr>
      </w:pPr>
      <w:r>
        <w:rPr>
          <w:rFonts w:hint="eastAsia" w:ascii="宋体" w:hAnsi="宋体"/>
          <w:kern w:val="44"/>
        </w:rPr>
        <w:t>本市发展改革、规划、住房城乡建设、公安、消防、财政、物价、工商行政和市政市容管理等有关部门在各自的职责范围内，依法进行人防工程的建设和使用管理工作。</w:t>
      </w:r>
    </w:p>
    <w:p w14:paraId="5AB2ED35">
      <w:pPr>
        <w:ind w:firstLine="422"/>
        <w:jc w:val="left"/>
        <w:rPr>
          <w:rFonts w:ascii="宋体" w:hAnsi="宋体"/>
          <w:kern w:val="44"/>
        </w:rPr>
      </w:pPr>
      <w:r>
        <w:rPr>
          <w:rFonts w:hint="eastAsia" w:ascii="宋体" w:hAnsi="宋体"/>
          <w:b/>
          <w:kern w:val="44"/>
        </w:rPr>
        <w:t>第五条</w:t>
      </w:r>
      <w:r>
        <w:rPr>
          <w:rFonts w:hint="eastAsia" w:ascii="宋体" w:hAnsi="宋体"/>
          <w:kern w:val="44"/>
        </w:rPr>
        <w:t>　人防工程建设实行长期准备、重点建设、平战结合的方针，贯彻与经济建设协调发展、与城市建设相结合的原则。</w:t>
      </w:r>
    </w:p>
    <w:p w14:paraId="17A16CAC">
      <w:pPr>
        <w:ind w:firstLine="422"/>
        <w:jc w:val="left"/>
        <w:rPr>
          <w:rFonts w:ascii="宋体" w:hAnsi="宋体"/>
          <w:kern w:val="44"/>
        </w:rPr>
      </w:pPr>
      <w:r>
        <w:rPr>
          <w:rFonts w:hint="eastAsia" w:ascii="宋体" w:hAnsi="宋体"/>
          <w:b/>
          <w:kern w:val="44"/>
        </w:rPr>
        <w:t>第六条</w:t>
      </w:r>
      <w:r>
        <w:rPr>
          <w:rFonts w:hint="eastAsia" w:ascii="宋体" w:hAnsi="宋体"/>
          <w:kern w:val="44"/>
        </w:rPr>
        <w:t>　本市鼓励支持企业事业组织、社会团体、个人建设和使用人防工程。人防工程平时由投资者使用管理，收益归投资者所有。</w:t>
      </w:r>
    </w:p>
    <w:p w14:paraId="1DE749F3">
      <w:pPr>
        <w:jc w:val="left"/>
        <w:rPr>
          <w:rFonts w:ascii="宋体" w:hAnsi="宋体"/>
          <w:kern w:val="44"/>
        </w:rPr>
      </w:pPr>
      <w:r>
        <w:rPr>
          <w:rFonts w:hint="eastAsia" w:ascii="宋体" w:hAnsi="宋体"/>
          <w:kern w:val="44"/>
        </w:rPr>
        <w:t>平时使用人防工程实行有偿使用的原则。</w:t>
      </w:r>
    </w:p>
    <w:p w14:paraId="718CB6D1">
      <w:pPr>
        <w:jc w:val="left"/>
        <w:rPr>
          <w:rFonts w:ascii="宋体" w:hAnsi="宋体"/>
          <w:kern w:val="44"/>
        </w:rPr>
      </w:pPr>
    </w:p>
    <w:p w14:paraId="1A7DD08B">
      <w:pPr>
        <w:ind w:firstLine="0" w:firstLineChars="0"/>
        <w:jc w:val="center"/>
        <w:rPr>
          <w:rFonts w:ascii="宋体" w:hAnsi="宋体"/>
          <w:b/>
          <w:kern w:val="44"/>
          <w:sz w:val="28"/>
        </w:rPr>
      </w:pPr>
      <w:r>
        <w:rPr>
          <w:rFonts w:hint="eastAsia" w:ascii="宋体" w:hAnsi="宋体"/>
          <w:b/>
          <w:kern w:val="44"/>
          <w:sz w:val="28"/>
        </w:rPr>
        <w:t>第二章　人防工程的建设</w:t>
      </w:r>
    </w:p>
    <w:p w14:paraId="2CA6086A">
      <w:pPr>
        <w:jc w:val="left"/>
        <w:rPr>
          <w:rFonts w:ascii="宋体" w:hAnsi="宋体"/>
          <w:kern w:val="44"/>
        </w:rPr>
      </w:pPr>
    </w:p>
    <w:p w14:paraId="14E93989">
      <w:pPr>
        <w:ind w:firstLine="422"/>
        <w:jc w:val="left"/>
        <w:rPr>
          <w:rFonts w:ascii="宋体" w:hAnsi="宋体"/>
          <w:kern w:val="44"/>
        </w:rPr>
      </w:pPr>
      <w:r>
        <w:rPr>
          <w:rFonts w:hint="eastAsia" w:ascii="宋体" w:hAnsi="宋体"/>
          <w:b/>
          <w:kern w:val="44"/>
        </w:rPr>
        <w:t>第七条</w:t>
      </w:r>
      <w:r>
        <w:rPr>
          <w:rFonts w:hint="eastAsia" w:ascii="宋体" w:hAnsi="宋体"/>
          <w:kern w:val="44"/>
        </w:rPr>
        <w:t>　本市人防工程的规划应当按照平战结合、地上地下结合、单建附建结合、配套建设的原则确定。规模较大的人防工程应当与地下铁道、地下商业设施、地下车库以及绿地、广场的建设相结合。</w:t>
      </w:r>
    </w:p>
    <w:p w14:paraId="71BC8205">
      <w:pPr>
        <w:ind w:firstLine="422"/>
        <w:jc w:val="left"/>
        <w:rPr>
          <w:rFonts w:ascii="宋体" w:hAnsi="宋体"/>
          <w:kern w:val="44"/>
        </w:rPr>
      </w:pPr>
      <w:r>
        <w:rPr>
          <w:rFonts w:hint="eastAsia" w:ascii="宋体" w:hAnsi="宋体"/>
          <w:b/>
          <w:kern w:val="44"/>
        </w:rPr>
        <w:t>第八条</w:t>
      </w:r>
      <w:r>
        <w:rPr>
          <w:rFonts w:hint="eastAsia" w:ascii="宋体" w:hAnsi="宋体"/>
          <w:kern w:val="44"/>
        </w:rPr>
        <w:t>　各单位按照规定建设的人防工程，应当列入本市年度投资计划和规划年度实施计划。</w:t>
      </w:r>
    </w:p>
    <w:p w14:paraId="512C59B0">
      <w:pPr>
        <w:jc w:val="left"/>
        <w:rPr>
          <w:rFonts w:ascii="宋体" w:hAnsi="宋体"/>
          <w:kern w:val="44"/>
        </w:rPr>
      </w:pPr>
      <w:r>
        <w:rPr>
          <w:rFonts w:hint="eastAsia" w:ascii="宋体" w:hAnsi="宋体"/>
          <w:kern w:val="44"/>
        </w:rPr>
        <w:t>由国家专项投资新建的人防工程，应当列入市人民防空主管部门的人防工程建设计划，并向市发展改革部门备案。</w:t>
      </w:r>
    </w:p>
    <w:p w14:paraId="6BBFE464">
      <w:pPr>
        <w:ind w:firstLine="422"/>
        <w:jc w:val="left"/>
        <w:rPr>
          <w:rFonts w:ascii="宋体" w:hAnsi="宋体"/>
          <w:kern w:val="44"/>
        </w:rPr>
      </w:pPr>
      <w:r>
        <w:rPr>
          <w:rFonts w:hint="eastAsia" w:ascii="宋体" w:hAnsi="宋体"/>
          <w:b/>
          <w:kern w:val="44"/>
        </w:rPr>
        <w:t>第九条</w:t>
      </w:r>
      <w:r>
        <w:rPr>
          <w:rFonts w:hint="eastAsia" w:ascii="宋体" w:hAnsi="宋体"/>
          <w:kern w:val="44"/>
        </w:rPr>
        <w:t>　建设单位在城镇结合民用建筑建设的人防工程，应当按照国家和本市规定的建设标准进行建设。</w:t>
      </w:r>
    </w:p>
    <w:p w14:paraId="3761CD6E">
      <w:pPr>
        <w:ind w:firstLine="422"/>
        <w:jc w:val="left"/>
        <w:rPr>
          <w:rFonts w:ascii="宋体" w:hAnsi="宋体"/>
          <w:kern w:val="44"/>
        </w:rPr>
      </w:pPr>
      <w:r>
        <w:rPr>
          <w:rFonts w:hint="eastAsia" w:ascii="宋体" w:hAnsi="宋体"/>
          <w:b/>
          <w:kern w:val="44"/>
        </w:rPr>
        <w:t>第十条</w:t>
      </w:r>
      <w:r>
        <w:rPr>
          <w:rFonts w:hint="eastAsia" w:ascii="宋体" w:hAnsi="宋体"/>
          <w:kern w:val="44"/>
        </w:rPr>
        <w:t>　建设项目人防工程建设标准审查办理流程按照本市有关规定执行。</w:t>
      </w:r>
    </w:p>
    <w:p w14:paraId="353E7D47">
      <w:pPr>
        <w:jc w:val="left"/>
        <w:rPr>
          <w:rFonts w:ascii="宋体" w:hAnsi="宋体"/>
          <w:kern w:val="44"/>
        </w:rPr>
      </w:pPr>
      <w:r>
        <w:rPr>
          <w:rFonts w:hint="eastAsia" w:ascii="宋体" w:hAnsi="宋体"/>
          <w:kern w:val="44"/>
        </w:rPr>
        <w:t>经审查批准的人防工程的规划设计，不得擅自改变；确需改变的，应当报原审批机关批准。</w:t>
      </w:r>
    </w:p>
    <w:p w14:paraId="3C80770F">
      <w:pPr>
        <w:ind w:firstLine="422"/>
        <w:jc w:val="left"/>
        <w:rPr>
          <w:rFonts w:ascii="宋体" w:hAnsi="宋体"/>
          <w:kern w:val="44"/>
        </w:rPr>
      </w:pPr>
      <w:r>
        <w:rPr>
          <w:rFonts w:hint="eastAsia" w:ascii="宋体" w:hAnsi="宋体"/>
          <w:b/>
          <w:kern w:val="44"/>
        </w:rPr>
        <w:t>第十一条</w:t>
      </w:r>
      <w:r>
        <w:rPr>
          <w:rFonts w:hint="eastAsia" w:ascii="宋体" w:hAnsi="宋体"/>
          <w:kern w:val="44"/>
        </w:rPr>
        <w:t>　按照规定应当建设人防工程的工程建设项目，由于客观条件限制或者其他原因不宜建设人防工程的，经市人民防空主管部门审查批准，可以易地集中建设人防工程。</w:t>
      </w:r>
    </w:p>
    <w:p w14:paraId="137AFE35">
      <w:pPr>
        <w:ind w:firstLine="422"/>
        <w:jc w:val="left"/>
        <w:rPr>
          <w:rFonts w:ascii="宋体" w:hAnsi="宋体"/>
          <w:kern w:val="44"/>
        </w:rPr>
      </w:pPr>
      <w:r>
        <w:rPr>
          <w:rFonts w:hint="eastAsia" w:ascii="宋体" w:hAnsi="宋体"/>
          <w:b/>
          <w:kern w:val="44"/>
        </w:rPr>
        <w:t>第十二条</w:t>
      </w:r>
      <w:r>
        <w:rPr>
          <w:rFonts w:hint="eastAsia" w:ascii="宋体" w:hAnsi="宋体"/>
          <w:kern w:val="44"/>
        </w:rPr>
        <w:t>　人防工程应当按照规划确定的建设规模、防护要求和使用效能进行设计，并应当符合国家规定的设计规范和设计标准。</w:t>
      </w:r>
    </w:p>
    <w:p w14:paraId="247D87FE">
      <w:pPr>
        <w:jc w:val="left"/>
        <w:rPr>
          <w:rFonts w:ascii="宋体" w:hAnsi="宋体"/>
          <w:kern w:val="44"/>
        </w:rPr>
      </w:pPr>
      <w:r>
        <w:rPr>
          <w:rFonts w:hint="eastAsia" w:ascii="宋体" w:hAnsi="宋体"/>
          <w:kern w:val="44"/>
        </w:rPr>
        <w:t>人防工程的出入口以及采光、通风、采暖、防水、防火、供电、照明、给排水、噪声处理等设计，应当采取相应措施符合平时使用的要求，并在设计中同步完成。</w:t>
      </w:r>
    </w:p>
    <w:p w14:paraId="098540B7">
      <w:pPr>
        <w:ind w:firstLine="422"/>
        <w:jc w:val="left"/>
        <w:rPr>
          <w:rFonts w:ascii="宋体" w:hAnsi="宋体"/>
          <w:kern w:val="44"/>
        </w:rPr>
      </w:pPr>
      <w:r>
        <w:rPr>
          <w:rFonts w:hint="eastAsia" w:ascii="宋体" w:hAnsi="宋体"/>
          <w:b/>
          <w:kern w:val="44"/>
        </w:rPr>
        <w:t>第十三条</w:t>
      </w:r>
      <w:r>
        <w:rPr>
          <w:rFonts w:hint="eastAsia" w:ascii="宋体" w:hAnsi="宋体"/>
          <w:kern w:val="44"/>
        </w:rPr>
        <w:t>　承担人防工程设计任务的单位应当具有国家规定的工程设计资格等级。</w:t>
      </w:r>
    </w:p>
    <w:p w14:paraId="771E2B52">
      <w:pPr>
        <w:ind w:firstLine="422"/>
        <w:jc w:val="left"/>
        <w:rPr>
          <w:rFonts w:ascii="宋体" w:hAnsi="宋体"/>
          <w:kern w:val="44"/>
        </w:rPr>
      </w:pPr>
      <w:r>
        <w:rPr>
          <w:rFonts w:hint="eastAsia" w:ascii="宋体" w:hAnsi="宋体"/>
          <w:b/>
          <w:kern w:val="44"/>
        </w:rPr>
        <w:t>第十四条</w:t>
      </w:r>
      <w:r>
        <w:rPr>
          <w:rFonts w:hint="eastAsia" w:ascii="宋体" w:hAnsi="宋体"/>
          <w:kern w:val="44"/>
        </w:rPr>
        <w:t>　按照规定需要建设人防工程的建设单位，应当持市人民防空主管部门核发的《人防工程设计审核批准通知单》或者《防空地下室易地建设证明书》向规划管理部门申请办理《建设工程规划许可证》。</w:t>
      </w:r>
    </w:p>
    <w:p w14:paraId="6149F661">
      <w:pPr>
        <w:ind w:firstLine="422"/>
        <w:jc w:val="left"/>
        <w:rPr>
          <w:rFonts w:ascii="宋体" w:hAnsi="宋体"/>
          <w:kern w:val="44"/>
        </w:rPr>
      </w:pPr>
      <w:r>
        <w:rPr>
          <w:rFonts w:hint="eastAsia" w:ascii="宋体" w:hAnsi="宋体"/>
          <w:b/>
          <w:kern w:val="44"/>
        </w:rPr>
        <w:t>第十五条</w:t>
      </w:r>
      <w:r>
        <w:rPr>
          <w:rFonts w:hint="eastAsia" w:ascii="宋体" w:hAnsi="宋体"/>
          <w:kern w:val="44"/>
        </w:rPr>
        <w:t>　人防工程的施工应当按照批准的施工图设计进行，并符合国家规定的防护标准和质量标准。</w:t>
      </w:r>
    </w:p>
    <w:p w14:paraId="2F450DDC">
      <w:pPr>
        <w:jc w:val="left"/>
        <w:rPr>
          <w:rFonts w:ascii="宋体" w:hAnsi="宋体"/>
          <w:kern w:val="44"/>
        </w:rPr>
      </w:pPr>
      <w:r>
        <w:rPr>
          <w:rFonts w:hint="eastAsia" w:ascii="宋体" w:hAnsi="宋体"/>
          <w:kern w:val="44"/>
        </w:rPr>
        <w:t>安装、使用的人防工程专用设备和防水材料应当符合国家规定的标准。</w:t>
      </w:r>
    </w:p>
    <w:p w14:paraId="6CFC74E8">
      <w:pPr>
        <w:ind w:firstLine="422"/>
        <w:jc w:val="left"/>
        <w:rPr>
          <w:rFonts w:ascii="宋体" w:hAnsi="宋体"/>
          <w:kern w:val="44"/>
        </w:rPr>
      </w:pPr>
      <w:r>
        <w:rPr>
          <w:rFonts w:hint="eastAsia" w:ascii="宋体" w:hAnsi="宋体"/>
          <w:b/>
          <w:kern w:val="44"/>
        </w:rPr>
        <w:t>第十六条</w:t>
      </w:r>
      <w:r>
        <w:rPr>
          <w:rFonts w:hint="eastAsia" w:ascii="宋体" w:hAnsi="宋体"/>
          <w:kern w:val="44"/>
        </w:rPr>
        <w:t>　人防工程竣工应当由建设单位组织验收，经验收合格的，依法向人民防空主管部门备案，并可交付使用。未经验收或者验收不合格的，不得交付使用。</w:t>
      </w:r>
    </w:p>
    <w:p w14:paraId="4EBBD9C6">
      <w:pPr>
        <w:ind w:firstLine="422"/>
        <w:jc w:val="left"/>
        <w:rPr>
          <w:rFonts w:ascii="宋体" w:hAnsi="宋体"/>
          <w:kern w:val="44"/>
        </w:rPr>
      </w:pPr>
      <w:r>
        <w:rPr>
          <w:rFonts w:hint="eastAsia" w:ascii="宋体" w:hAnsi="宋体"/>
          <w:b/>
          <w:kern w:val="44"/>
        </w:rPr>
        <w:t>第十七条</w:t>
      </w:r>
      <w:r>
        <w:rPr>
          <w:rFonts w:hint="eastAsia" w:ascii="宋体" w:hAnsi="宋体"/>
          <w:kern w:val="44"/>
        </w:rPr>
        <w:t>　建设单位应当在人防工程竣工验收合格后，按照规定移交人防工程的档案资料。</w:t>
      </w:r>
    </w:p>
    <w:p w14:paraId="023C2D19">
      <w:pPr>
        <w:ind w:firstLine="422"/>
        <w:jc w:val="left"/>
        <w:rPr>
          <w:rFonts w:ascii="宋体" w:hAnsi="宋体"/>
          <w:kern w:val="44"/>
        </w:rPr>
      </w:pPr>
      <w:r>
        <w:rPr>
          <w:rFonts w:hint="eastAsia" w:ascii="宋体" w:hAnsi="宋体"/>
          <w:b/>
          <w:kern w:val="44"/>
        </w:rPr>
        <w:t>第十八条</w:t>
      </w:r>
      <w:r>
        <w:rPr>
          <w:rFonts w:hint="eastAsia" w:ascii="宋体" w:hAnsi="宋体"/>
          <w:kern w:val="44"/>
        </w:rPr>
        <w:t>　人防工程的规划、设计和建设单位及其有关人员应当遵守国家规定，依法保守人防工程的秘密。</w:t>
      </w:r>
    </w:p>
    <w:p w14:paraId="40CF1714">
      <w:pPr>
        <w:jc w:val="left"/>
        <w:rPr>
          <w:rFonts w:ascii="宋体" w:hAnsi="宋体"/>
          <w:kern w:val="44"/>
        </w:rPr>
      </w:pPr>
    </w:p>
    <w:p w14:paraId="2312C07E">
      <w:pPr>
        <w:ind w:firstLine="0" w:firstLineChars="0"/>
        <w:jc w:val="center"/>
        <w:rPr>
          <w:rFonts w:ascii="宋体" w:hAnsi="宋体"/>
          <w:b/>
          <w:kern w:val="44"/>
          <w:sz w:val="28"/>
        </w:rPr>
      </w:pPr>
      <w:r>
        <w:rPr>
          <w:rFonts w:hint="eastAsia" w:ascii="宋体" w:hAnsi="宋体"/>
          <w:b/>
          <w:kern w:val="44"/>
          <w:sz w:val="28"/>
        </w:rPr>
        <w:t>第三章　人防工程的维护与使用</w:t>
      </w:r>
    </w:p>
    <w:p w14:paraId="68487CA4">
      <w:pPr>
        <w:jc w:val="left"/>
        <w:rPr>
          <w:rFonts w:ascii="宋体" w:hAnsi="宋体"/>
          <w:kern w:val="44"/>
        </w:rPr>
      </w:pPr>
    </w:p>
    <w:p w14:paraId="2100DAC8">
      <w:pPr>
        <w:ind w:firstLine="422"/>
        <w:jc w:val="left"/>
        <w:rPr>
          <w:rFonts w:ascii="宋体" w:hAnsi="宋体"/>
          <w:kern w:val="44"/>
        </w:rPr>
      </w:pPr>
      <w:r>
        <w:rPr>
          <w:rFonts w:hint="eastAsia" w:ascii="宋体" w:hAnsi="宋体"/>
          <w:b/>
          <w:kern w:val="44"/>
        </w:rPr>
        <w:t>第十九条</w:t>
      </w:r>
      <w:r>
        <w:rPr>
          <w:rFonts w:hint="eastAsia" w:ascii="宋体" w:hAnsi="宋体"/>
          <w:kern w:val="44"/>
        </w:rPr>
        <w:t>　本市鼓励平时利用人防工程为经济建设和人民生活服务。</w:t>
      </w:r>
    </w:p>
    <w:p w14:paraId="3810A4D3">
      <w:pPr>
        <w:jc w:val="left"/>
        <w:rPr>
          <w:rFonts w:ascii="宋体" w:hAnsi="宋体"/>
          <w:kern w:val="44"/>
        </w:rPr>
      </w:pPr>
      <w:r>
        <w:rPr>
          <w:rFonts w:hint="eastAsia" w:ascii="宋体" w:hAnsi="宋体"/>
          <w:kern w:val="44"/>
        </w:rPr>
        <w:t>市人民防空主管部门对人防工程的维护管理进行监督检查。</w:t>
      </w:r>
    </w:p>
    <w:p w14:paraId="2FAAF201">
      <w:pPr>
        <w:jc w:val="left"/>
        <w:rPr>
          <w:rFonts w:ascii="宋体" w:hAnsi="宋体"/>
          <w:kern w:val="44"/>
        </w:rPr>
      </w:pPr>
      <w:r>
        <w:rPr>
          <w:rFonts w:hint="eastAsia" w:ascii="宋体" w:hAnsi="宋体"/>
          <w:kern w:val="44"/>
        </w:rPr>
        <w:t>公用人防工程的维护管理由人民防空主管部门负责。</w:t>
      </w:r>
    </w:p>
    <w:p w14:paraId="1E67B409">
      <w:pPr>
        <w:jc w:val="left"/>
        <w:rPr>
          <w:rFonts w:ascii="宋体" w:hAnsi="宋体"/>
          <w:kern w:val="44"/>
        </w:rPr>
      </w:pPr>
      <w:r>
        <w:rPr>
          <w:rFonts w:hint="eastAsia" w:ascii="宋体" w:hAnsi="宋体"/>
          <w:kern w:val="44"/>
        </w:rPr>
        <w:t>有关单位应当按照国家规定对本单位已经修建或者使用的人防工程进行维护管理，使其保持良好使用状态和防护能力。</w:t>
      </w:r>
    </w:p>
    <w:p w14:paraId="5E9631CC">
      <w:pPr>
        <w:ind w:firstLine="422"/>
        <w:jc w:val="left"/>
        <w:rPr>
          <w:rFonts w:ascii="宋体" w:hAnsi="宋体"/>
          <w:kern w:val="44"/>
        </w:rPr>
      </w:pPr>
      <w:r>
        <w:rPr>
          <w:rFonts w:hint="eastAsia" w:ascii="宋体" w:hAnsi="宋体"/>
          <w:b/>
          <w:kern w:val="44"/>
        </w:rPr>
        <w:t>第二十条</w:t>
      </w:r>
      <w:r>
        <w:rPr>
          <w:rFonts w:hint="eastAsia" w:ascii="宋体" w:hAnsi="宋体"/>
          <w:kern w:val="44"/>
        </w:rPr>
        <w:t>　人防工程的维护管理应当执行国家规定的技术规程，实行分工负责的原则。</w:t>
      </w:r>
    </w:p>
    <w:p w14:paraId="0AD20AED">
      <w:pPr>
        <w:ind w:firstLine="422"/>
        <w:jc w:val="left"/>
        <w:rPr>
          <w:rFonts w:ascii="宋体" w:hAnsi="宋体"/>
          <w:kern w:val="44"/>
        </w:rPr>
      </w:pPr>
      <w:r>
        <w:rPr>
          <w:rFonts w:hint="eastAsia" w:ascii="宋体" w:hAnsi="宋体"/>
          <w:b/>
          <w:kern w:val="44"/>
        </w:rPr>
        <w:t>第二十一条</w:t>
      </w:r>
      <w:r>
        <w:rPr>
          <w:rFonts w:hint="eastAsia" w:ascii="宋体" w:hAnsi="宋体"/>
          <w:kern w:val="44"/>
        </w:rPr>
        <w:t>　人防工程的建设或者使用单位应当确定专职人员负责人防工程的维护管理，建立健全人防工程维护管理的各项规章制度，发现安全隐患及时处理并向人民防空主管部门报告。</w:t>
      </w:r>
    </w:p>
    <w:p w14:paraId="3D6B5D6B">
      <w:pPr>
        <w:jc w:val="left"/>
        <w:rPr>
          <w:rFonts w:ascii="宋体" w:hAnsi="宋体"/>
          <w:kern w:val="44"/>
        </w:rPr>
      </w:pPr>
      <w:r>
        <w:rPr>
          <w:rFonts w:hint="eastAsia" w:ascii="宋体" w:hAnsi="宋体"/>
          <w:kern w:val="44"/>
        </w:rPr>
        <w:t>人民防空主管部门应当加强对人防工程使用安全的监督检查。对可能造成人防工程重大安全隐患的行为，人民防空主管部门有权予以制止。</w:t>
      </w:r>
    </w:p>
    <w:p w14:paraId="49BD1F0A">
      <w:pPr>
        <w:ind w:firstLine="422"/>
        <w:jc w:val="left"/>
        <w:rPr>
          <w:rFonts w:ascii="宋体" w:hAnsi="宋体"/>
          <w:kern w:val="44"/>
        </w:rPr>
      </w:pPr>
      <w:r>
        <w:rPr>
          <w:rFonts w:hint="eastAsia" w:ascii="宋体" w:hAnsi="宋体"/>
          <w:b/>
          <w:kern w:val="44"/>
        </w:rPr>
        <w:t>第二十二条</w:t>
      </w:r>
      <w:r>
        <w:rPr>
          <w:rFonts w:hint="eastAsia" w:ascii="宋体" w:hAnsi="宋体"/>
          <w:kern w:val="44"/>
        </w:rPr>
        <w:t>　禁止下列侵害人防工程的行为：</w:t>
      </w:r>
    </w:p>
    <w:p w14:paraId="69A14185">
      <w:pPr>
        <w:jc w:val="left"/>
        <w:rPr>
          <w:rFonts w:ascii="宋体" w:hAnsi="宋体"/>
          <w:kern w:val="44"/>
        </w:rPr>
      </w:pPr>
      <w:r>
        <w:rPr>
          <w:rFonts w:hint="eastAsia" w:ascii="宋体" w:hAnsi="宋体"/>
          <w:kern w:val="44"/>
        </w:rPr>
        <w:t>（一）在人防工程内生产和储存爆炸、剧毒、易燃、放射性和腐蚀性物品；</w:t>
      </w:r>
    </w:p>
    <w:p w14:paraId="538C46A1">
      <w:pPr>
        <w:jc w:val="left"/>
        <w:rPr>
          <w:rFonts w:ascii="宋体" w:hAnsi="宋体"/>
          <w:kern w:val="44"/>
        </w:rPr>
      </w:pPr>
      <w:r>
        <w:rPr>
          <w:rFonts w:hint="eastAsia" w:ascii="宋体" w:hAnsi="宋体"/>
          <w:kern w:val="44"/>
        </w:rPr>
        <w:t>（二）进行影响人防工程使用或者降低人防工程防护能力的作业；</w:t>
      </w:r>
    </w:p>
    <w:p w14:paraId="14EE67B5">
      <w:pPr>
        <w:jc w:val="left"/>
        <w:rPr>
          <w:rFonts w:ascii="宋体" w:hAnsi="宋体"/>
          <w:kern w:val="44"/>
        </w:rPr>
      </w:pPr>
      <w:r>
        <w:rPr>
          <w:rFonts w:hint="eastAsia" w:ascii="宋体" w:hAnsi="宋体"/>
          <w:kern w:val="44"/>
        </w:rPr>
        <w:t>（三）向人防工程内排入废水、废气和倾倒废弃物；</w:t>
      </w:r>
    </w:p>
    <w:p w14:paraId="1CA126EB">
      <w:pPr>
        <w:jc w:val="left"/>
        <w:rPr>
          <w:rFonts w:ascii="宋体" w:hAnsi="宋体"/>
          <w:kern w:val="44"/>
        </w:rPr>
      </w:pPr>
      <w:r>
        <w:rPr>
          <w:rFonts w:hint="eastAsia" w:ascii="宋体" w:hAnsi="宋体"/>
          <w:kern w:val="44"/>
        </w:rPr>
        <w:t>（四）破坏人防工程的行为。</w:t>
      </w:r>
    </w:p>
    <w:p w14:paraId="68B2FFE0">
      <w:pPr>
        <w:ind w:firstLine="422"/>
        <w:jc w:val="left"/>
        <w:rPr>
          <w:rFonts w:ascii="宋体" w:hAnsi="宋体"/>
          <w:kern w:val="44"/>
        </w:rPr>
      </w:pPr>
      <w:r>
        <w:rPr>
          <w:rFonts w:hint="eastAsia" w:ascii="宋体" w:hAnsi="宋体"/>
          <w:b/>
          <w:kern w:val="44"/>
        </w:rPr>
        <w:t>第二十三条</w:t>
      </w:r>
      <w:r>
        <w:rPr>
          <w:rFonts w:hint="eastAsia" w:ascii="宋体" w:hAnsi="宋体"/>
          <w:kern w:val="44"/>
        </w:rPr>
        <w:t>　任何组织或者个人不得擅自拆除公用的人民防空工程和专用配套工程；确需拆除的，必须报经所在地区、县人民防空主管部门批准，并由拆除单位补建或者补偿。</w:t>
      </w:r>
    </w:p>
    <w:p w14:paraId="0E2F1FBE">
      <w:pPr>
        <w:jc w:val="left"/>
        <w:rPr>
          <w:rFonts w:ascii="宋体" w:hAnsi="宋体"/>
          <w:kern w:val="44"/>
        </w:rPr>
      </w:pPr>
      <w:r>
        <w:rPr>
          <w:rFonts w:hint="eastAsia" w:ascii="宋体" w:hAnsi="宋体"/>
          <w:kern w:val="44"/>
        </w:rPr>
        <w:t>其他人民防空工程确需拆除的，报所在地区、县人民防空主管部门备案。</w:t>
      </w:r>
    </w:p>
    <w:p w14:paraId="42F30809">
      <w:pPr>
        <w:ind w:firstLine="422"/>
        <w:jc w:val="left"/>
        <w:rPr>
          <w:rFonts w:ascii="宋体" w:hAnsi="宋体"/>
          <w:kern w:val="44"/>
        </w:rPr>
      </w:pPr>
      <w:r>
        <w:rPr>
          <w:rFonts w:hint="eastAsia" w:ascii="宋体" w:hAnsi="宋体"/>
          <w:b/>
          <w:kern w:val="44"/>
        </w:rPr>
        <w:t>第二十四条</w:t>
      </w:r>
      <w:r>
        <w:rPr>
          <w:rFonts w:hint="eastAsia" w:ascii="宋体" w:hAnsi="宋体"/>
          <w:kern w:val="44"/>
        </w:rPr>
        <w:t>　任何组织或者个人不得擅自改造人防工程；确需改造的，应当报人民防空主管部门批准，在按照人防工程有关技术规范采取有效安全措施后进行，并不得改变人防工程的主体结构和降低人防工程的原有防护能力。</w:t>
      </w:r>
    </w:p>
    <w:p w14:paraId="3C5CDEB6">
      <w:pPr>
        <w:ind w:firstLine="422"/>
        <w:jc w:val="left"/>
        <w:rPr>
          <w:rFonts w:ascii="宋体" w:hAnsi="宋体"/>
          <w:kern w:val="44"/>
        </w:rPr>
      </w:pPr>
      <w:r>
        <w:rPr>
          <w:rFonts w:hint="eastAsia" w:ascii="宋体" w:hAnsi="宋体"/>
          <w:b/>
          <w:kern w:val="44"/>
        </w:rPr>
        <w:t>第二十五条</w:t>
      </w:r>
      <w:r>
        <w:rPr>
          <w:rFonts w:hint="eastAsia" w:ascii="宋体" w:hAnsi="宋体"/>
          <w:kern w:val="44"/>
        </w:rPr>
        <w:t>　平时使用人防工程，应当按照规定报人民防空主管部门审查批准，并向人民防空主管部门申请办理《人防工程使用证》。</w:t>
      </w:r>
    </w:p>
    <w:p w14:paraId="7483B1F4">
      <w:pPr>
        <w:jc w:val="left"/>
        <w:rPr>
          <w:rFonts w:ascii="宋体" w:hAnsi="宋体"/>
          <w:kern w:val="44"/>
        </w:rPr>
      </w:pPr>
      <w:r>
        <w:rPr>
          <w:rFonts w:hint="eastAsia" w:ascii="宋体" w:hAnsi="宋体"/>
          <w:kern w:val="44"/>
        </w:rPr>
        <w:t>平时使用公用的人防工程，使用人应当按照国家和本市的规定交纳人防工程使用费。</w:t>
      </w:r>
    </w:p>
    <w:p w14:paraId="2691D482">
      <w:pPr>
        <w:jc w:val="left"/>
        <w:rPr>
          <w:rFonts w:ascii="宋体" w:hAnsi="宋体"/>
          <w:kern w:val="44"/>
        </w:rPr>
      </w:pPr>
    </w:p>
    <w:p w14:paraId="0073AA50">
      <w:pPr>
        <w:ind w:firstLine="0" w:firstLineChars="0"/>
        <w:jc w:val="center"/>
        <w:rPr>
          <w:rFonts w:ascii="宋体" w:hAnsi="宋体"/>
          <w:b/>
          <w:kern w:val="44"/>
          <w:sz w:val="28"/>
        </w:rPr>
      </w:pPr>
      <w:r>
        <w:rPr>
          <w:rFonts w:hint="eastAsia" w:ascii="宋体" w:hAnsi="宋体"/>
          <w:b/>
          <w:kern w:val="44"/>
          <w:sz w:val="28"/>
        </w:rPr>
        <w:t>第四章　法律责任</w:t>
      </w:r>
    </w:p>
    <w:p w14:paraId="4A8132D3">
      <w:pPr>
        <w:jc w:val="left"/>
        <w:rPr>
          <w:rFonts w:ascii="宋体" w:hAnsi="宋体"/>
          <w:kern w:val="44"/>
        </w:rPr>
      </w:pPr>
    </w:p>
    <w:p w14:paraId="7F15420E">
      <w:pPr>
        <w:ind w:firstLine="422"/>
        <w:jc w:val="left"/>
        <w:rPr>
          <w:rFonts w:ascii="宋体" w:hAnsi="宋体"/>
          <w:kern w:val="44"/>
        </w:rPr>
      </w:pPr>
      <w:r>
        <w:rPr>
          <w:rFonts w:hint="eastAsia" w:ascii="宋体" w:hAnsi="宋体"/>
          <w:b/>
          <w:kern w:val="44"/>
        </w:rPr>
        <w:t>第二十六条</w:t>
      </w:r>
      <w:r>
        <w:rPr>
          <w:rFonts w:hint="eastAsia" w:ascii="宋体" w:hAnsi="宋体"/>
          <w:kern w:val="44"/>
        </w:rPr>
        <w:t>　在城镇新建民用建筑，违反国家和本市有关规定不修建人防工程的，由人民防空主管部门按照《北京市人民防空条例》的有关规定处理。</w:t>
      </w:r>
    </w:p>
    <w:p w14:paraId="3515D258">
      <w:pPr>
        <w:ind w:firstLine="422"/>
        <w:jc w:val="left"/>
        <w:rPr>
          <w:rFonts w:ascii="宋体" w:hAnsi="宋体"/>
          <w:kern w:val="44"/>
        </w:rPr>
      </w:pPr>
      <w:r>
        <w:rPr>
          <w:rFonts w:hint="eastAsia" w:ascii="宋体" w:hAnsi="宋体"/>
          <w:b/>
          <w:kern w:val="44"/>
        </w:rPr>
        <w:t>第二十七条</w:t>
      </w:r>
      <w:r>
        <w:rPr>
          <w:rFonts w:hint="eastAsia" w:ascii="宋体" w:hAnsi="宋体"/>
          <w:kern w:val="44"/>
        </w:rPr>
        <w:t>　不按照国家规定的防护标准和质量标准修建人防工程，致使人防工程验收不合格的，由人民防空主管部门对当事人给予警告、责令限期改正，并处1万元至5万元罚款；造成损失的，应当依法赔偿损失。</w:t>
      </w:r>
    </w:p>
    <w:p w14:paraId="3DC23289">
      <w:pPr>
        <w:ind w:firstLine="422"/>
        <w:jc w:val="left"/>
        <w:rPr>
          <w:rFonts w:ascii="宋体" w:hAnsi="宋体"/>
          <w:kern w:val="44"/>
        </w:rPr>
      </w:pPr>
      <w:r>
        <w:rPr>
          <w:rFonts w:hint="eastAsia" w:ascii="宋体" w:hAnsi="宋体"/>
          <w:b/>
          <w:kern w:val="44"/>
        </w:rPr>
        <w:t>第二十八条</w:t>
      </w:r>
      <w:r>
        <w:rPr>
          <w:rFonts w:hint="eastAsia" w:ascii="宋体" w:hAnsi="宋体"/>
          <w:kern w:val="44"/>
        </w:rPr>
        <w:t>　侵占人防工程的，由人民防空主管部门对当事人给予警告、责令限期改正，可以对个人并处5000元以下罚款，对单位并处1万元至5万元罚款；造成损失的，应当依法赔偿损失。</w:t>
      </w:r>
    </w:p>
    <w:p w14:paraId="081ADD14">
      <w:pPr>
        <w:ind w:firstLine="422"/>
        <w:jc w:val="left"/>
        <w:rPr>
          <w:rFonts w:ascii="宋体" w:hAnsi="宋体"/>
          <w:kern w:val="44"/>
        </w:rPr>
      </w:pPr>
      <w:r>
        <w:rPr>
          <w:rFonts w:hint="eastAsia" w:ascii="宋体" w:hAnsi="宋体"/>
          <w:b/>
          <w:kern w:val="44"/>
        </w:rPr>
        <w:t>第二十九条</w:t>
      </w:r>
      <w:r>
        <w:rPr>
          <w:rFonts w:hint="eastAsia" w:ascii="宋体" w:hAnsi="宋体"/>
          <w:kern w:val="44"/>
        </w:rPr>
        <w:t>　违反本规定，有下列行为之一的，由人民防空主管部门对当事人给予警告、责令限期改正，可以对个人并处5000元以下罚款，对单位并处1万元至5万元罚款；造成损失的，应当依法赔偿损失：</w:t>
      </w:r>
    </w:p>
    <w:p w14:paraId="4E6DE252">
      <w:pPr>
        <w:jc w:val="left"/>
        <w:rPr>
          <w:rFonts w:ascii="宋体" w:hAnsi="宋体"/>
          <w:kern w:val="44"/>
        </w:rPr>
      </w:pPr>
      <w:r>
        <w:rPr>
          <w:rFonts w:hint="eastAsia" w:ascii="宋体" w:hAnsi="宋体"/>
          <w:kern w:val="44"/>
        </w:rPr>
        <w:t>（一）擅自改造、改变人防工程主体结构的；</w:t>
      </w:r>
    </w:p>
    <w:p w14:paraId="30307012">
      <w:pPr>
        <w:jc w:val="left"/>
        <w:rPr>
          <w:rFonts w:ascii="宋体" w:hAnsi="宋体"/>
          <w:kern w:val="44"/>
        </w:rPr>
      </w:pPr>
      <w:r>
        <w:rPr>
          <w:rFonts w:hint="eastAsia" w:ascii="宋体" w:hAnsi="宋体"/>
          <w:kern w:val="44"/>
        </w:rPr>
        <w:t>（二）擅自拆除人防工程设备设施的；</w:t>
      </w:r>
    </w:p>
    <w:p w14:paraId="4F15E75F">
      <w:pPr>
        <w:jc w:val="left"/>
        <w:rPr>
          <w:rFonts w:ascii="宋体" w:hAnsi="宋体"/>
          <w:kern w:val="44"/>
        </w:rPr>
      </w:pPr>
      <w:r>
        <w:rPr>
          <w:rFonts w:hint="eastAsia" w:ascii="宋体" w:hAnsi="宋体"/>
          <w:kern w:val="44"/>
        </w:rPr>
        <w:t>（三）未采取有效安全措施，擅自进行影响人防工程使用或者降低人防工程防护能力的作业，或者采用其他方法危害人防工程的安全和使用效能的；</w:t>
      </w:r>
    </w:p>
    <w:p w14:paraId="533A5988">
      <w:pPr>
        <w:jc w:val="left"/>
        <w:rPr>
          <w:rFonts w:ascii="宋体" w:hAnsi="宋体"/>
          <w:kern w:val="44"/>
        </w:rPr>
      </w:pPr>
      <w:r>
        <w:rPr>
          <w:rFonts w:hint="eastAsia" w:ascii="宋体" w:hAnsi="宋体"/>
          <w:kern w:val="44"/>
        </w:rPr>
        <w:t>（四）拆除人防工程后拒不补建或者补偿的；</w:t>
      </w:r>
    </w:p>
    <w:p w14:paraId="21EEA6DA">
      <w:pPr>
        <w:jc w:val="left"/>
        <w:rPr>
          <w:rFonts w:ascii="宋体" w:hAnsi="宋体"/>
          <w:kern w:val="44"/>
        </w:rPr>
      </w:pPr>
      <w:r>
        <w:rPr>
          <w:rFonts w:hint="eastAsia" w:ascii="宋体" w:hAnsi="宋体"/>
          <w:kern w:val="44"/>
        </w:rPr>
        <w:t>（五）向人防工程内排入废水、废气或者倾倒废弃物的。</w:t>
      </w:r>
    </w:p>
    <w:p w14:paraId="7D1FBE04">
      <w:pPr>
        <w:ind w:firstLine="422"/>
        <w:jc w:val="left"/>
        <w:rPr>
          <w:rFonts w:ascii="宋体" w:hAnsi="宋体"/>
          <w:kern w:val="44"/>
        </w:rPr>
      </w:pPr>
      <w:r>
        <w:rPr>
          <w:rFonts w:hint="eastAsia" w:ascii="宋体" w:hAnsi="宋体"/>
          <w:b/>
          <w:kern w:val="44"/>
        </w:rPr>
        <w:t>第三十条</w:t>
      </w:r>
      <w:r>
        <w:rPr>
          <w:rFonts w:hint="eastAsia" w:ascii="宋体" w:hAnsi="宋体"/>
          <w:kern w:val="44"/>
        </w:rPr>
        <w:t>　违反本规定，故意损坏人防工程设施或者在人防工程内生产和储存爆炸、剧毒、易燃、放射性等危险品，尚不构成犯罪的，依照治安管理处罚条例的有关规定处罚；构成犯罪的，依法追究刑事责任。</w:t>
      </w:r>
    </w:p>
    <w:p w14:paraId="3A3C3CC2">
      <w:pPr>
        <w:ind w:firstLine="422"/>
        <w:jc w:val="left"/>
        <w:rPr>
          <w:rFonts w:ascii="宋体" w:hAnsi="宋体"/>
          <w:kern w:val="44"/>
        </w:rPr>
      </w:pPr>
      <w:r>
        <w:rPr>
          <w:rFonts w:hint="eastAsia" w:ascii="宋体" w:hAnsi="宋体"/>
          <w:b/>
          <w:kern w:val="44"/>
        </w:rPr>
        <w:t>第三十一条</w:t>
      </w:r>
      <w:r>
        <w:rPr>
          <w:rFonts w:hint="eastAsia" w:ascii="宋体" w:hAnsi="宋体"/>
          <w:kern w:val="44"/>
        </w:rPr>
        <w:t>　人民防空主管部门的工作人员玩忽职守、滥用职权、徇私舞弊或者有其他违法、失职行为构成犯罪的，依法追究刑事责任；尚不构成犯罪的，依法给予行政处分。</w:t>
      </w:r>
    </w:p>
    <w:p w14:paraId="1A858F20">
      <w:pPr>
        <w:jc w:val="left"/>
        <w:rPr>
          <w:rFonts w:ascii="宋体" w:hAnsi="宋体"/>
          <w:kern w:val="44"/>
        </w:rPr>
      </w:pPr>
    </w:p>
    <w:p w14:paraId="676F2EC8">
      <w:pPr>
        <w:ind w:firstLine="0" w:firstLineChars="0"/>
        <w:jc w:val="center"/>
        <w:rPr>
          <w:rFonts w:ascii="宋体" w:hAnsi="宋体"/>
          <w:b/>
          <w:kern w:val="44"/>
          <w:sz w:val="28"/>
        </w:rPr>
      </w:pPr>
      <w:r>
        <w:rPr>
          <w:rFonts w:hint="eastAsia" w:ascii="宋体" w:hAnsi="宋体"/>
          <w:b/>
          <w:kern w:val="44"/>
          <w:sz w:val="28"/>
        </w:rPr>
        <w:t>第五章　附　则</w:t>
      </w:r>
    </w:p>
    <w:p w14:paraId="5B7CBB30">
      <w:pPr>
        <w:jc w:val="left"/>
        <w:rPr>
          <w:rFonts w:ascii="宋体" w:hAnsi="宋体"/>
          <w:kern w:val="44"/>
        </w:rPr>
      </w:pPr>
    </w:p>
    <w:p w14:paraId="20FAC145">
      <w:pPr>
        <w:ind w:firstLine="422"/>
        <w:jc w:val="left"/>
        <w:rPr>
          <w:rFonts w:ascii="宋体" w:hAnsi="宋体"/>
          <w:kern w:val="44"/>
        </w:rPr>
      </w:pPr>
      <w:r>
        <w:rPr>
          <w:rFonts w:hint="eastAsia" w:ascii="宋体" w:hAnsi="宋体"/>
          <w:b/>
          <w:kern w:val="44"/>
        </w:rPr>
        <w:t>第三十二条</w:t>
      </w:r>
      <w:r>
        <w:rPr>
          <w:rFonts w:hint="eastAsia" w:ascii="宋体" w:hAnsi="宋体"/>
          <w:kern w:val="44"/>
        </w:rPr>
        <w:t>　本规定自1998年5月1日起施行。1986年8月15日市人民政府发布的《北京市实施〈人民防空工程维护管理规定〉的细则》同时废止。</w:t>
      </w:r>
    </w:p>
    <w:p w14:paraId="250A077E">
      <w:pPr>
        <w:pStyle w:val="4"/>
        <w:pageBreakBefore/>
        <w:rPr>
          <w:kern w:val="44"/>
        </w:rPr>
      </w:pPr>
      <w:bookmarkStart w:id="847" w:name="_Toc428780093"/>
      <w:bookmarkStart w:id="848" w:name="_Toc427651527"/>
      <w:bookmarkStart w:id="849" w:name="_Toc428781575"/>
      <w:bookmarkStart w:id="850" w:name="_Toc422471235"/>
      <w:bookmarkStart w:id="851" w:name="_Toc427651869"/>
      <w:r>
        <w:rPr>
          <w:rFonts w:hint="eastAsia"/>
          <w:kern w:val="44"/>
        </w:rPr>
        <w:t>北京市建设工程绿化用地</w:t>
      </w:r>
      <w:bookmarkEnd w:id="847"/>
      <w:bookmarkEnd w:id="848"/>
      <w:bookmarkEnd w:id="849"/>
      <w:bookmarkEnd w:id="850"/>
      <w:bookmarkEnd w:id="851"/>
    </w:p>
    <w:p w14:paraId="44387347">
      <w:pPr>
        <w:pStyle w:val="4"/>
        <w:rPr>
          <w:kern w:val="44"/>
        </w:rPr>
      </w:pPr>
      <w:bookmarkStart w:id="852" w:name="_Toc422471236"/>
      <w:bookmarkStart w:id="853" w:name="_Toc428781576"/>
      <w:bookmarkStart w:id="854" w:name="_Toc427651528"/>
      <w:bookmarkStart w:id="855" w:name="_Toc427651870"/>
      <w:bookmarkStart w:id="856" w:name="_Toc428780094"/>
      <w:r>
        <w:rPr>
          <w:rFonts w:hint="eastAsia"/>
          <w:kern w:val="44"/>
        </w:rPr>
        <w:t>面积比例实施办法</w:t>
      </w:r>
      <w:bookmarkEnd w:id="852"/>
      <w:bookmarkEnd w:id="853"/>
      <w:bookmarkEnd w:id="854"/>
      <w:bookmarkEnd w:id="855"/>
      <w:bookmarkEnd w:id="856"/>
    </w:p>
    <w:p w14:paraId="540B31FE">
      <w:pPr>
        <w:ind w:left="630" w:leftChars="300" w:right="630" w:rightChars="300"/>
        <w:jc w:val="left"/>
        <w:rPr>
          <w:rFonts w:ascii="楷体" w:hAnsi="楷体" w:eastAsia="楷体"/>
          <w:kern w:val="44"/>
        </w:rPr>
      </w:pPr>
      <w:r>
        <w:rPr>
          <w:rFonts w:hint="eastAsia" w:ascii="楷体" w:hAnsi="楷体" w:eastAsia="楷体"/>
          <w:kern w:val="44"/>
        </w:rPr>
        <w:t>（1990年11月12日北京市人民政府批准  1991年1月1日北京市城市规划管理局、北京市园林局发布）</w:t>
      </w:r>
    </w:p>
    <w:p w14:paraId="2ADAC38C">
      <w:pPr>
        <w:jc w:val="left"/>
        <w:rPr>
          <w:rFonts w:ascii="宋体" w:hAnsi="宋体"/>
          <w:kern w:val="44"/>
        </w:rPr>
      </w:pPr>
    </w:p>
    <w:p w14:paraId="5F18ED6F">
      <w:pPr>
        <w:ind w:firstLine="422"/>
        <w:jc w:val="left"/>
        <w:rPr>
          <w:rFonts w:ascii="宋体" w:hAnsi="宋体"/>
          <w:kern w:val="44"/>
        </w:rPr>
      </w:pPr>
      <w:r>
        <w:rPr>
          <w:rFonts w:hint="eastAsia" w:ascii="宋体" w:hAnsi="宋体"/>
          <w:b/>
          <w:kern w:val="44"/>
        </w:rPr>
        <w:t>第一条</w:t>
      </w:r>
      <w:r>
        <w:rPr>
          <w:rFonts w:hint="eastAsia" w:ascii="宋体" w:hAnsi="宋体"/>
          <w:kern w:val="44"/>
        </w:rPr>
        <w:t>　根据市人民代表大会常务委员会颁布的 《北京市城市绿化条例》（以下简称《条例》）第十三条的规定，制定本办法。</w:t>
      </w:r>
    </w:p>
    <w:p w14:paraId="6C00215E">
      <w:pPr>
        <w:ind w:firstLine="422"/>
        <w:jc w:val="left"/>
        <w:rPr>
          <w:rFonts w:ascii="宋体" w:hAnsi="宋体"/>
          <w:kern w:val="44"/>
        </w:rPr>
      </w:pPr>
      <w:r>
        <w:rPr>
          <w:rFonts w:hint="eastAsia" w:ascii="宋体" w:hAnsi="宋体"/>
          <w:b/>
          <w:kern w:val="44"/>
        </w:rPr>
        <w:t>第二条</w:t>
      </w:r>
      <w:r>
        <w:rPr>
          <w:rFonts w:hint="eastAsia" w:ascii="宋体" w:hAnsi="宋体"/>
          <w:kern w:val="44"/>
        </w:rPr>
        <w:t>　建设工程绿化用地面积占建设用地面积的比例，按照《条例》第十三条的原则，具体规定如下：</w:t>
      </w:r>
    </w:p>
    <w:p w14:paraId="1E4F5D70">
      <w:pPr>
        <w:jc w:val="left"/>
        <w:rPr>
          <w:rFonts w:ascii="宋体" w:hAnsi="宋体"/>
          <w:kern w:val="44"/>
        </w:rPr>
      </w:pPr>
      <w:r>
        <w:rPr>
          <w:rFonts w:hint="eastAsia" w:ascii="宋体" w:hAnsi="宋体"/>
          <w:kern w:val="44"/>
        </w:rPr>
        <w:t>（一）凡符合规划标准的新建居住区、居住小区（居住人口7000人以上或建设用地面积10公顷以上），按照不低于30％的比例执行，并按居住区人口人均2平方米、居住小区人均1平方米的标准建设公共绿地，配套建设的商业、服务业等公共设施的绿化用地，与居住区、居住小区的绿化用地统一计算（非配套建筑设施，按有关规定执行）。不符合规划标准的，按地处城区的不低于25％、地处效区的不低于30％的比例执行。</w:t>
      </w:r>
    </w:p>
    <w:p w14:paraId="20BED66E">
      <w:pPr>
        <w:jc w:val="left"/>
        <w:rPr>
          <w:rFonts w:ascii="宋体" w:hAnsi="宋体"/>
          <w:kern w:val="44"/>
        </w:rPr>
      </w:pPr>
      <w:r>
        <w:rPr>
          <w:rFonts w:hint="eastAsia" w:ascii="宋体" w:hAnsi="宋体"/>
          <w:kern w:val="44"/>
        </w:rPr>
        <w:t>（二）凡经环境保护部门认定属于产生有毒有害气体污染的工厂等单位，按不低于40％的比例执行。</w:t>
      </w:r>
    </w:p>
    <w:p w14:paraId="25A0EC1C">
      <w:pPr>
        <w:jc w:val="left"/>
        <w:rPr>
          <w:rFonts w:ascii="宋体" w:hAnsi="宋体"/>
          <w:kern w:val="44"/>
        </w:rPr>
      </w:pPr>
      <w:r>
        <w:rPr>
          <w:rFonts w:hint="eastAsia" w:ascii="宋体" w:hAnsi="宋体"/>
          <w:kern w:val="44"/>
        </w:rPr>
        <w:t>（三）高等院校，按地处三环路以内的不低于35％、地处三环路以外的不低于45％的比例执行。夜大学、广播电视大学、函授大学等成人高等院校和社会力量举办的进行高等教育的学校以及走读制的高等院校，按地处城区的不低于25％、地处效区的不低于30％的比例执行。</w:t>
      </w:r>
    </w:p>
    <w:p w14:paraId="3FA2519C">
      <w:pPr>
        <w:jc w:val="left"/>
        <w:rPr>
          <w:rFonts w:ascii="宋体" w:hAnsi="宋体"/>
          <w:kern w:val="44"/>
        </w:rPr>
      </w:pPr>
      <w:r>
        <w:rPr>
          <w:rFonts w:hint="eastAsia" w:ascii="宋体" w:hAnsi="宋体"/>
          <w:kern w:val="44"/>
        </w:rPr>
        <w:t>（四）建筑面积2万平方米以上的宾馆、饭店和体育场馆等大型公共建筑设施，按不低于30％的比例执行。</w:t>
      </w:r>
    </w:p>
    <w:p w14:paraId="08D57454">
      <w:pPr>
        <w:jc w:val="left"/>
        <w:rPr>
          <w:rFonts w:ascii="宋体" w:hAnsi="宋体"/>
          <w:kern w:val="44"/>
        </w:rPr>
      </w:pPr>
      <w:r>
        <w:rPr>
          <w:rFonts w:hint="eastAsia" w:ascii="宋体" w:hAnsi="宋体"/>
          <w:kern w:val="44"/>
        </w:rPr>
        <w:t>（五）建筑面积6000平方米以上的城市商业区内的大中型商业、服务业设施，按不低于20％的比例执行。</w:t>
      </w:r>
    </w:p>
    <w:p w14:paraId="1DDC4521">
      <w:pPr>
        <w:jc w:val="left"/>
        <w:rPr>
          <w:rFonts w:ascii="宋体" w:hAnsi="宋体"/>
          <w:kern w:val="44"/>
        </w:rPr>
      </w:pPr>
      <w:r>
        <w:rPr>
          <w:rFonts w:hint="eastAsia" w:ascii="宋体" w:hAnsi="宋体"/>
          <w:kern w:val="44"/>
        </w:rPr>
        <w:t>其他建设工程，按地处城区的不低于25％、地处郊区的不低于30％的比例执行，但属市人民政府确定的危房改造区的绿化用地面积比例以及一般零星添建工程和配套建设的小型公共建筑设施的绿化用地面积比例，可以由市城市规划管理局会同市园林局根据实际情况确定。</w:t>
      </w:r>
    </w:p>
    <w:p w14:paraId="15549A5F">
      <w:pPr>
        <w:ind w:firstLine="422"/>
        <w:jc w:val="left"/>
        <w:rPr>
          <w:rFonts w:ascii="宋体" w:hAnsi="宋体"/>
          <w:kern w:val="44"/>
        </w:rPr>
      </w:pPr>
      <w:r>
        <w:rPr>
          <w:rFonts w:hint="eastAsia" w:ascii="宋体" w:hAnsi="宋体"/>
          <w:b/>
          <w:kern w:val="44"/>
        </w:rPr>
        <w:t>第三条</w:t>
      </w:r>
      <w:r>
        <w:rPr>
          <w:rFonts w:hint="eastAsia" w:ascii="宋体" w:hAnsi="宋体"/>
          <w:kern w:val="44"/>
        </w:rPr>
        <w:t>　进行建设工程设计，按下列规定计算绿化用地面积：</w:t>
      </w:r>
    </w:p>
    <w:p w14:paraId="5BB2AA1B">
      <w:pPr>
        <w:jc w:val="left"/>
        <w:rPr>
          <w:rFonts w:ascii="宋体" w:hAnsi="宋体"/>
          <w:kern w:val="44"/>
        </w:rPr>
      </w:pPr>
      <w:r>
        <w:rPr>
          <w:rFonts w:hint="eastAsia" w:ascii="宋体" w:hAnsi="宋体"/>
          <w:kern w:val="44"/>
        </w:rPr>
        <w:t>（一）成片绿化的用地面积，按绿化设计的实际范围计算。绿化设计中园林设施的占地，计算为绿化用地，非园林设施的占地，不计算为绿化用地。</w:t>
      </w:r>
    </w:p>
    <w:p w14:paraId="31634FBC">
      <w:pPr>
        <w:jc w:val="left"/>
        <w:rPr>
          <w:rFonts w:ascii="宋体" w:hAnsi="宋体"/>
          <w:kern w:val="44"/>
        </w:rPr>
      </w:pPr>
      <w:r>
        <w:rPr>
          <w:rFonts w:hint="eastAsia" w:ascii="宋体" w:hAnsi="宋体"/>
          <w:kern w:val="44"/>
        </w:rPr>
        <w:t>（二）庭院绿化的用地面积，按设计中可用于绿化的用地计算，但距建筑外墙1.5米和道路边线1米以内的用地，不计算为绿化用地。</w:t>
      </w:r>
    </w:p>
    <w:p w14:paraId="0ED06164">
      <w:pPr>
        <w:jc w:val="left"/>
        <w:rPr>
          <w:rFonts w:ascii="宋体" w:hAnsi="宋体"/>
          <w:kern w:val="44"/>
        </w:rPr>
      </w:pPr>
      <w:r>
        <w:rPr>
          <w:rFonts w:hint="eastAsia" w:ascii="宋体" w:hAnsi="宋体"/>
          <w:kern w:val="44"/>
        </w:rPr>
        <w:t>（三）两个以上单位共有的绿化用地，按其所占各单位的建筑物面积的比例分开计算。</w:t>
      </w:r>
    </w:p>
    <w:p w14:paraId="4E12F0B3">
      <w:pPr>
        <w:jc w:val="left"/>
        <w:rPr>
          <w:rFonts w:ascii="宋体" w:hAnsi="宋体"/>
          <w:kern w:val="44"/>
        </w:rPr>
      </w:pPr>
      <w:r>
        <w:rPr>
          <w:rFonts w:hint="eastAsia" w:ascii="宋体" w:hAnsi="宋体"/>
          <w:kern w:val="44"/>
        </w:rPr>
        <w:t>（四）道路绿化用地面积，按道路设计中的绿化设计计算，分段绿化的分段计算。</w:t>
      </w:r>
    </w:p>
    <w:p w14:paraId="0D54CC90">
      <w:pPr>
        <w:jc w:val="left"/>
        <w:rPr>
          <w:rFonts w:ascii="宋体" w:hAnsi="宋体"/>
          <w:kern w:val="44"/>
        </w:rPr>
      </w:pPr>
      <w:r>
        <w:rPr>
          <w:rFonts w:hint="eastAsia" w:ascii="宋体" w:hAnsi="宋体"/>
          <w:kern w:val="44"/>
        </w:rPr>
        <w:t>（五）株行距在6×6米以下栽有乔木的停车场，计算为绿化用地面积。</w:t>
      </w:r>
    </w:p>
    <w:p w14:paraId="282E8050">
      <w:pPr>
        <w:ind w:firstLine="422"/>
        <w:jc w:val="left"/>
        <w:rPr>
          <w:rFonts w:ascii="宋体" w:hAnsi="宋体"/>
          <w:kern w:val="44"/>
        </w:rPr>
      </w:pPr>
      <w:r>
        <w:rPr>
          <w:rFonts w:hint="eastAsia" w:ascii="宋体" w:hAnsi="宋体"/>
          <w:b/>
          <w:kern w:val="44"/>
        </w:rPr>
        <w:t>第四条</w:t>
      </w:r>
      <w:r>
        <w:rPr>
          <w:rFonts w:hint="eastAsia" w:ascii="宋体" w:hAnsi="宋体"/>
          <w:kern w:val="44"/>
        </w:rPr>
        <w:t>　建设单位向城市规划管理机关报送设计方案须附有城市绿化管理机关核定的现有绿化用地面积和设计绿化用地面积的文件。</w:t>
      </w:r>
    </w:p>
    <w:p w14:paraId="7E892BF5">
      <w:pPr>
        <w:ind w:firstLine="422"/>
        <w:jc w:val="left"/>
        <w:rPr>
          <w:rFonts w:ascii="宋体" w:hAnsi="宋体"/>
          <w:kern w:val="44"/>
        </w:rPr>
      </w:pPr>
      <w:r>
        <w:rPr>
          <w:rFonts w:hint="eastAsia" w:ascii="宋体" w:hAnsi="宋体"/>
          <w:b/>
          <w:kern w:val="44"/>
        </w:rPr>
        <w:t>第五条</w:t>
      </w:r>
      <w:r>
        <w:rPr>
          <w:rFonts w:hint="eastAsia" w:ascii="宋体" w:hAnsi="宋体"/>
          <w:kern w:val="44"/>
        </w:rPr>
        <w:t>　本规定所称“以上”、“以下”、“以内”，均含本数在内。</w:t>
      </w:r>
    </w:p>
    <w:p w14:paraId="4B82EBFA">
      <w:pPr>
        <w:ind w:firstLine="422"/>
        <w:jc w:val="left"/>
        <w:rPr>
          <w:rFonts w:ascii="宋体" w:hAnsi="宋体"/>
          <w:kern w:val="44"/>
        </w:rPr>
      </w:pPr>
      <w:r>
        <w:rPr>
          <w:rFonts w:hint="eastAsia" w:ascii="宋体" w:hAnsi="宋体"/>
          <w:b/>
          <w:kern w:val="44"/>
        </w:rPr>
        <w:t>第六条</w:t>
      </w:r>
      <w:r>
        <w:rPr>
          <w:rFonts w:hint="eastAsia" w:ascii="宋体" w:hAnsi="宋体"/>
          <w:kern w:val="44"/>
        </w:rPr>
        <w:t>　本规定执行中的具体问题，由市城市规划管理局和市园林局共同负责解释。</w:t>
      </w:r>
    </w:p>
    <w:p w14:paraId="34672BB7">
      <w:pPr>
        <w:ind w:firstLine="422"/>
        <w:jc w:val="left"/>
        <w:rPr>
          <w:rFonts w:ascii="宋体" w:hAnsi="宋体"/>
          <w:kern w:val="44"/>
        </w:rPr>
      </w:pPr>
      <w:r>
        <w:rPr>
          <w:rFonts w:hint="eastAsia" w:ascii="宋体" w:hAnsi="宋体"/>
          <w:b/>
          <w:kern w:val="44"/>
        </w:rPr>
        <w:t>第七条</w:t>
      </w:r>
      <w:r>
        <w:rPr>
          <w:rFonts w:hint="eastAsia" w:ascii="宋体" w:hAnsi="宋体"/>
          <w:kern w:val="44"/>
        </w:rPr>
        <w:t>　本规定经市人民政府批准，自1991年1月1日起施行。</w:t>
      </w:r>
    </w:p>
    <w:p w14:paraId="6B79E860">
      <w:pPr>
        <w:pStyle w:val="4"/>
        <w:pageBreakBefore/>
        <w:rPr>
          <w:kern w:val="44"/>
        </w:rPr>
      </w:pPr>
      <w:bookmarkStart w:id="857" w:name="_Toc422471237"/>
      <w:bookmarkStart w:id="858" w:name="_Toc427651529"/>
      <w:bookmarkStart w:id="859" w:name="_Toc427651871"/>
      <w:bookmarkStart w:id="860" w:name="_Toc428780095"/>
      <w:bookmarkStart w:id="861" w:name="_Toc428781577"/>
      <w:r>
        <w:rPr>
          <w:rFonts w:hint="eastAsia"/>
          <w:kern w:val="44"/>
        </w:rPr>
        <w:t>北京市人民政府关于郊区城镇和农村</w:t>
      </w:r>
      <w:bookmarkEnd w:id="857"/>
      <w:bookmarkEnd w:id="858"/>
      <w:bookmarkEnd w:id="859"/>
      <w:bookmarkEnd w:id="860"/>
      <w:bookmarkEnd w:id="861"/>
    </w:p>
    <w:p w14:paraId="728BE887">
      <w:pPr>
        <w:pStyle w:val="4"/>
        <w:rPr>
          <w:kern w:val="44"/>
        </w:rPr>
      </w:pPr>
      <w:bookmarkStart w:id="862" w:name="_Toc427651530"/>
      <w:bookmarkStart w:id="863" w:name="_Toc428781578"/>
      <w:bookmarkStart w:id="864" w:name="_Toc422471238"/>
      <w:bookmarkStart w:id="865" w:name="_Toc427651872"/>
      <w:bookmarkStart w:id="866" w:name="_Toc428780096"/>
      <w:r>
        <w:rPr>
          <w:rFonts w:hint="eastAsia"/>
          <w:kern w:val="44"/>
        </w:rPr>
        <w:t>建设规划管理的若干规定</w:t>
      </w:r>
      <w:bookmarkEnd w:id="862"/>
      <w:bookmarkEnd w:id="863"/>
      <w:bookmarkEnd w:id="864"/>
      <w:bookmarkEnd w:id="865"/>
      <w:bookmarkEnd w:id="866"/>
    </w:p>
    <w:p w14:paraId="2D0ED469">
      <w:pPr>
        <w:ind w:left="630" w:leftChars="300" w:right="630" w:rightChars="300"/>
        <w:jc w:val="left"/>
        <w:rPr>
          <w:rFonts w:ascii="楷体" w:hAnsi="楷体" w:eastAsia="楷体"/>
          <w:kern w:val="44"/>
        </w:rPr>
      </w:pPr>
      <w:r>
        <w:rPr>
          <w:rFonts w:hint="eastAsia" w:ascii="楷体" w:hAnsi="楷体" w:eastAsia="楷体"/>
          <w:kern w:val="44"/>
        </w:rPr>
        <w:t>（1991年3月6日北京市人民政府第5号令发布　根据2007年11月23日北京市人民政府第200号令修改）</w:t>
      </w:r>
    </w:p>
    <w:p w14:paraId="1C123E01">
      <w:pPr>
        <w:jc w:val="left"/>
        <w:rPr>
          <w:rFonts w:ascii="宋体" w:hAnsi="宋体"/>
          <w:kern w:val="44"/>
        </w:rPr>
      </w:pPr>
    </w:p>
    <w:p w14:paraId="1F311603">
      <w:pPr>
        <w:jc w:val="left"/>
        <w:rPr>
          <w:rFonts w:ascii="宋体" w:hAnsi="宋体"/>
          <w:kern w:val="44"/>
        </w:rPr>
      </w:pPr>
      <w:r>
        <w:rPr>
          <w:rFonts w:hint="eastAsia" w:ascii="宋体" w:hAnsi="宋体"/>
          <w:kern w:val="44"/>
        </w:rPr>
        <w:t>为加强本市城乡建设规划管理，保证各项建设按照统一规定实施，根据《中华人民共和国城市规划法》和《中华人民共和国土地管理法》，作如下规定：</w:t>
      </w:r>
    </w:p>
    <w:p w14:paraId="33292C44">
      <w:pPr>
        <w:ind w:firstLine="422"/>
        <w:jc w:val="left"/>
        <w:rPr>
          <w:rFonts w:ascii="宋体" w:hAnsi="宋体"/>
          <w:kern w:val="44"/>
        </w:rPr>
      </w:pPr>
      <w:r>
        <w:rPr>
          <w:rFonts w:hint="eastAsia" w:ascii="宋体" w:hAnsi="宋体"/>
          <w:b/>
          <w:kern w:val="44"/>
        </w:rPr>
        <w:t>一、</w:t>
      </w:r>
      <w:r>
        <w:rPr>
          <w:rFonts w:hint="eastAsia" w:ascii="宋体" w:hAnsi="宋体"/>
          <w:kern w:val="44"/>
        </w:rPr>
        <w:t>全市行政区域16800平方公里范围，都是“城市规划区”的范围。“城市规划区”范围内一切城市和农村各项建设工程、建设用地都必须执行统一规划，服从城市规划管理部门的统一规划管理。</w:t>
      </w:r>
    </w:p>
    <w:p w14:paraId="3F3706FC">
      <w:pPr>
        <w:ind w:firstLine="422"/>
        <w:jc w:val="left"/>
        <w:rPr>
          <w:rFonts w:ascii="宋体" w:hAnsi="宋体"/>
          <w:kern w:val="44"/>
        </w:rPr>
      </w:pPr>
      <w:r>
        <w:rPr>
          <w:rFonts w:hint="eastAsia" w:ascii="宋体" w:hAnsi="宋体"/>
          <w:b/>
          <w:kern w:val="44"/>
        </w:rPr>
        <w:t>二、</w:t>
      </w:r>
      <w:r>
        <w:rPr>
          <w:rFonts w:hint="eastAsia" w:ascii="宋体" w:hAnsi="宋体"/>
          <w:kern w:val="44"/>
        </w:rPr>
        <w:t>根据《中华人民共和国城市规划法》第三十一条和第三十二条的规定，本市的乡镇机关、乡镇村企事业单位、新集镇、新农村和农民住宅等建设工程的选址定点，必须经城市规划管理部门审查批准，核发建设用地规划许可证和建设工程规划许可证后，方可建设。</w:t>
      </w:r>
    </w:p>
    <w:p w14:paraId="16F11D46">
      <w:pPr>
        <w:ind w:firstLine="422"/>
        <w:jc w:val="left"/>
        <w:rPr>
          <w:rFonts w:ascii="宋体" w:hAnsi="宋体"/>
          <w:kern w:val="44"/>
        </w:rPr>
      </w:pPr>
      <w:r>
        <w:rPr>
          <w:rFonts w:hint="eastAsia" w:ascii="宋体" w:hAnsi="宋体"/>
          <w:b/>
          <w:kern w:val="44"/>
        </w:rPr>
        <w:t>三、</w:t>
      </w:r>
      <w:r>
        <w:rPr>
          <w:rFonts w:hint="eastAsia" w:ascii="宋体" w:hAnsi="宋体"/>
          <w:kern w:val="44"/>
        </w:rPr>
        <w:t>各区（县）人民政府要加强对县域规划、乡域规划、城镇规划编制工作的领导。农村的规划方案（包括乡镇村、农民住宅、乡镇机关和乡镇村企事业），由规划管理部门组织编制。各项规划方案的审批，按《中华人民共和国城市规划法》规定的权限进行。市人民政府农林办公室所属农村建设管理机构依据审定的规划方案组织农村建设和管理。</w:t>
      </w:r>
    </w:p>
    <w:p w14:paraId="565A697A">
      <w:pPr>
        <w:ind w:firstLine="422"/>
        <w:jc w:val="left"/>
        <w:rPr>
          <w:rFonts w:ascii="宋体" w:hAnsi="宋体"/>
          <w:kern w:val="44"/>
        </w:rPr>
      </w:pPr>
      <w:r>
        <w:rPr>
          <w:rFonts w:hint="eastAsia" w:ascii="宋体" w:hAnsi="宋体"/>
          <w:b/>
          <w:kern w:val="44"/>
        </w:rPr>
        <w:t>四、</w:t>
      </w:r>
      <w:r>
        <w:rPr>
          <w:rFonts w:hint="eastAsia" w:ascii="宋体" w:hAnsi="宋体"/>
          <w:kern w:val="44"/>
        </w:rPr>
        <w:t>未取得城市规划行政主管部门核发的建设用地规划许可证、建设工程规划许可证的一切建设活动，均按照违法建设处理。</w:t>
      </w:r>
    </w:p>
    <w:p w14:paraId="35781C47">
      <w:pPr>
        <w:ind w:firstLine="422"/>
        <w:jc w:val="left"/>
        <w:rPr>
          <w:rFonts w:ascii="宋体" w:hAnsi="宋体"/>
          <w:kern w:val="44"/>
        </w:rPr>
      </w:pPr>
      <w:r>
        <w:rPr>
          <w:rFonts w:hint="eastAsia" w:ascii="宋体" w:hAnsi="宋体"/>
          <w:b/>
          <w:kern w:val="44"/>
        </w:rPr>
        <w:t>五、</w:t>
      </w:r>
      <w:r>
        <w:rPr>
          <w:rFonts w:hint="eastAsia" w:ascii="宋体" w:hAnsi="宋体"/>
          <w:kern w:val="44"/>
        </w:rPr>
        <w:t>各级城市规划行政主管部门的工作人员，要忠于职守，依法办事，切实加强对郊区城镇和农村建设的规划管理工作。对执法不严、越权审批造成不良后果的要依法追究责任。</w:t>
      </w:r>
    </w:p>
    <w:p w14:paraId="02F9B50D">
      <w:pPr>
        <w:ind w:firstLine="422"/>
        <w:jc w:val="left"/>
        <w:rPr>
          <w:rFonts w:ascii="宋体" w:hAnsi="宋体"/>
          <w:kern w:val="44"/>
        </w:rPr>
      </w:pPr>
      <w:r>
        <w:rPr>
          <w:rFonts w:hint="eastAsia" w:ascii="宋体" w:hAnsi="宋体"/>
          <w:b/>
          <w:kern w:val="44"/>
        </w:rPr>
        <w:t>六、</w:t>
      </w:r>
      <w:r>
        <w:rPr>
          <w:rFonts w:hint="eastAsia" w:ascii="宋体" w:hAnsi="宋体"/>
          <w:kern w:val="44"/>
        </w:rPr>
        <w:t>本规定自1991年3月10日施行。</w:t>
      </w:r>
    </w:p>
    <w:p w14:paraId="42D80A11">
      <w:pPr>
        <w:pStyle w:val="4"/>
        <w:pageBreakBefore/>
        <w:rPr>
          <w:kern w:val="44"/>
        </w:rPr>
      </w:pPr>
      <w:bookmarkStart w:id="867" w:name="_Toc428780097"/>
      <w:bookmarkStart w:id="868" w:name="_Toc427651873"/>
      <w:bookmarkStart w:id="869" w:name="_Toc428781579"/>
      <w:bookmarkStart w:id="870" w:name="_Toc422471239"/>
      <w:bookmarkStart w:id="871" w:name="_Toc427651531"/>
      <w:r>
        <w:rPr>
          <w:rFonts w:hint="eastAsia"/>
          <w:kern w:val="44"/>
        </w:rPr>
        <w:t>北京市人民政府关于严格限制在城市</w:t>
      </w:r>
      <w:bookmarkEnd w:id="867"/>
      <w:bookmarkEnd w:id="868"/>
      <w:bookmarkEnd w:id="869"/>
      <w:bookmarkEnd w:id="870"/>
      <w:bookmarkEnd w:id="871"/>
    </w:p>
    <w:p w14:paraId="26614B57">
      <w:pPr>
        <w:pStyle w:val="4"/>
        <w:rPr>
          <w:kern w:val="44"/>
        </w:rPr>
      </w:pPr>
      <w:bookmarkStart w:id="872" w:name="_Toc427651874"/>
      <w:bookmarkStart w:id="873" w:name="_Toc428781580"/>
      <w:bookmarkStart w:id="874" w:name="_Toc427651532"/>
      <w:bookmarkStart w:id="875" w:name="_Toc428780098"/>
      <w:bookmarkStart w:id="876" w:name="_Toc422471240"/>
      <w:r>
        <w:rPr>
          <w:rFonts w:hint="eastAsia"/>
          <w:kern w:val="44"/>
        </w:rPr>
        <w:t>建设中分散插建楼房的规定</w:t>
      </w:r>
      <w:bookmarkEnd w:id="872"/>
      <w:bookmarkEnd w:id="873"/>
      <w:bookmarkEnd w:id="874"/>
      <w:bookmarkEnd w:id="875"/>
      <w:bookmarkEnd w:id="876"/>
    </w:p>
    <w:p w14:paraId="1BE51C34">
      <w:pPr>
        <w:ind w:left="630" w:leftChars="300" w:right="630" w:rightChars="300"/>
        <w:jc w:val="left"/>
        <w:rPr>
          <w:rFonts w:ascii="楷体" w:hAnsi="楷体" w:eastAsia="楷体"/>
          <w:kern w:val="44"/>
        </w:rPr>
      </w:pPr>
      <w:r>
        <w:rPr>
          <w:rFonts w:hint="eastAsia" w:ascii="楷体" w:hAnsi="楷体" w:eastAsia="楷体"/>
          <w:kern w:val="44"/>
        </w:rPr>
        <w:t>（1991年7月16日北京市人民政府第21号令发布　根据1994年1月17日经北京市人民政府批准第一次修改　根据2007年11月23日北京市人民政府第200号令第二次修改）</w:t>
      </w:r>
    </w:p>
    <w:p w14:paraId="11F679E8">
      <w:pPr>
        <w:jc w:val="left"/>
        <w:rPr>
          <w:rFonts w:ascii="宋体" w:hAnsi="宋体"/>
          <w:kern w:val="44"/>
        </w:rPr>
      </w:pPr>
    </w:p>
    <w:p w14:paraId="3672EE1A">
      <w:pPr>
        <w:ind w:firstLine="422"/>
        <w:jc w:val="left"/>
        <w:rPr>
          <w:rFonts w:ascii="宋体" w:hAnsi="宋体"/>
          <w:kern w:val="44"/>
        </w:rPr>
      </w:pPr>
      <w:r>
        <w:rPr>
          <w:rFonts w:hint="eastAsia" w:ascii="宋体" w:hAnsi="宋体"/>
          <w:b/>
          <w:kern w:val="44"/>
        </w:rPr>
        <w:t>第一条</w:t>
      </w:r>
      <w:r>
        <w:rPr>
          <w:rFonts w:hint="eastAsia" w:ascii="宋体" w:hAnsi="宋体"/>
          <w:kern w:val="44"/>
        </w:rPr>
        <w:t>　为了贯彻执行北京城市总体规划，统一规划建设，制止分散插建楼房，制定本规定。</w:t>
      </w:r>
    </w:p>
    <w:p w14:paraId="5B21B413">
      <w:pPr>
        <w:ind w:firstLine="422"/>
        <w:jc w:val="left"/>
        <w:rPr>
          <w:rFonts w:ascii="宋体" w:hAnsi="宋体"/>
          <w:kern w:val="44"/>
        </w:rPr>
      </w:pPr>
      <w:r>
        <w:rPr>
          <w:rFonts w:hint="eastAsia" w:ascii="宋体" w:hAnsi="宋体"/>
          <w:b/>
          <w:kern w:val="44"/>
        </w:rPr>
        <w:t>第二条</w:t>
      </w:r>
      <w:r>
        <w:rPr>
          <w:rFonts w:hint="eastAsia" w:ascii="宋体" w:hAnsi="宋体"/>
          <w:kern w:val="44"/>
        </w:rPr>
        <w:t>　本规定适用于本市三环路以内地区和保护古都风貌有关地区。</w:t>
      </w:r>
    </w:p>
    <w:p w14:paraId="0589170C">
      <w:pPr>
        <w:ind w:firstLine="422"/>
        <w:jc w:val="left"/>
        <w:rPr>
          <w:rFonts w:ascii="宋体" w:hAnsi="宋体"/>
          <w:kern w:val="44"/>
        </w:rPr>
      </w:pPr>
      <w:r>
        <w:rPr>
          <w:rFonts w:hint="eastAsia" w:ascii="宋体" w:hAnsi="宋体"/>
          <w:b/>
          <w:kern w:val="44"/>
        </w:rPr>
        <w:t>第三条</w:t>
      </w:r>
      <w:r>
        <w:rPr>
          <w:rFonts w:hint="eastAsia" w:ascii="宋体" w:hAnsi="宋体"/>
          <w:kern w:val="44"/>
        </w:rPr>
        <w:t>　在已按规划建成的完整楼房区，禁止插建楼房，并严格控制添建其他房屋。按批准的规划方案可以新建、改建文化教育、生活服务设施用房的，其新建房屋的高度，一般不得超过6米。</w:t>
      </w:r>
    </w:p>
    <w:p w14:paraId="49466981">
      <w:pPr>
        <w:ind w:firstLine="422"/>
        <w:jc w:val="left"/>
        <w:rPr>
          <w:rFonts w:ascii="宋体" w:hAnsi="宋体"/>
          <w:kern w:val="44"/>
        </w:rPr>
      </w:pPr>
      <w:r>
        <w:rPr>
          <w:rFonts w:hint="eastAsia" w:ascii="宋体" w:hAnsi="宋体"/>
          <w:b/>
          <w:kern w:val="44"/>
        </w:rPr>
        <w:t>第四条</w:t>
      </w:r>
      <w:r>
        <w:rPr>
          <w:rFonts w:hint="eastAsia" w:ascii="宋体" w:hAnsi="宋体"/>
          <w:kern w:val="44"/>
        </w:rPr>
        <w:t>　在现有单位院内进行工程建设，必须按批准的总体规划方案实施，不得擅自改变方案；没有总体规划方案，不得申报项目。</w:t>
      </w:r>
    </w:p>
    <w:p w14:paraId="75B5B2AD">
      <w:pPr>
        <w:jc w:val="left"/>
        <w:rPr>
          <w:rFonts w:ascii="宋体" w:hAnsi="宋体"/>
          <w:kern w:val="44"/>
        </w:rPr>
      </w:pPr>
      <w:r>
        <w:rPr>
          <w:rFonts w:hint="eastAsia" w:ascii="宋体" w:hAnsi="宋体"/>
          <w:kern w:val="44"/>
        </w:rPr>
        <w:t>经鉴定有保护价值的四合院、旧王府、园林宅邸、庵观寺院以及其他庙宇，必须保持原有特点和风貌，禁止在其院内插建楼房。</w:t>
      </w:r>
    </w:p>
    <w:p w14:paraId="5B2F4381">
      <w:pPr>
        <w:ind w:firstLine="422"/>
        <w:jc w:val="left"/>
        <w:rPr>
          <w:rFonts w:ascii="宋体" w:hAnsi="宋体"/>
          <w:kern w:val="44"/>
        </w:rPr>
      </w:pPr>
      <w:r>
        <w:rPr>
          <w:rFonts w:hint="eastAsia" w:ascii="宋体" w:hAnsi="宋体"/>
          <w:b/>
          <w:kern w:val="44"/>
        </w:rPr>
        <w:t>第五条</w:t>
      </w:r>
      <w:r>
        <w:rPr>
          <w:rFonts w:hint="eastAsia" w:ascii="宋体" w:hAnsi="宋体"/>
          <w:kern w:val="44"/>
        </w:rPr>
        <w:t>　计划部门审批建设项目，应当根据本规定从严审查，一般不再批准分散建设项目的计划任务。</w:t>
      </w:r>
    </w:p>
    <w:p w14:paraId="4E32EA42">
      <w:pPr>
        <w:ind w:firstLine="422"/>
        <w:jc w:val="left"/>
        <w:rPr>
          <w:rFonts w:ascii="宋体" w:hAnsi="宋体"/>
          <w:kern w:val="44"/>
        </w:rPr>
      </w:pPr>
      <w:r>
        <w:rPr>
          <w:rFonts w:hint="eastAsia" w:ascii="宋体" w:hAnsi="宋体"/>
          <w:b/>
          <w:kern w:val="44"/>
        </w:rPr>
        <w:t>第六条</w:t>
      </w:r>
      <w:r>
        <w:rPr>
          <w:rFonts w:hint="eastAsia" w:ascii="宋体" w:hAnsi="宋体"/>
          <w:kern w:val="44"/>
        </w:rPr>
        <w:t>　凡不符合本规定要求，因特殊情况确需建设的项目，均须报市人民政府批准。新建各类建筑必须遵循保护北京历史文化名城独特风貌和地区特点的原则，精心设计，精心施工。</w:t>
      </w:r>
    </w:p>
    <w:p w14:paraId="64093D46">
      <w:pPr>
        <w:ind w:firstLine="422"/>
        <w:jc w:val="left"/>
        <w:rPr>
          <w:rFonts w:ascii="宋体" w:hAnsi="宋体"/>
          <w:kern w:val="44"/>
        </w:rPr>
      </w:pPr>
      <w:r>
        <w:rPr>
          <w:rFonts w:hint="eastAsia" w:ascii="宋体" w:hAnsi="宋体"/>
          <w:b/>
          <w:kern w:val="44"/>
        </w:rPr>
        <w:t>第七条</w:t>
      </w:r>
      <w:r>
        <w:rPr>
          <w:rFonts w:hint="eastAsia" w:ascii="宋体" w:hAnsi="宋体"/>
          <w:kern w:val="44"/>
        </w:rPr>
        <w:t xml:space="preserve">  违反本规定，未经批准擅自进行建设的，以违法建设论处。</w:t>
      </w:r>
    </w:p>
    <w:p w14:paraId="36114B4B">
      <w:pPr>
        <w:ind w:firstLine="422"/>
        <w:jc w:val="left"/>
        <w:rPr>
          <w:rFonts w:ascii="宋体" w:hAnsi="宋体"/>
          <w:kern w:val="44"/>
        </w:rPr>
      </w:pPr>
      <w:r>
        <w:rPr>
          <w:rFonts w:hint="eastAsia" w:ascii="宋体" w:hAnsi="宋体"/>
          <w:b/>
          <w:kern w:val="44"/>
        </w:rPr>
        <w:t>第八条</w:t>
      </w:r>
      <w:r>
        <w:rPr>
          <w:rFonts w:hint="eastAsia" w:ascii="宋体" w:hAnsi="宋体"/>
          <w:kern w:val="44"/>
        </w:rPr>
        <w:t>　各级城市规划行政主管部门及其工作人员，必须忠于职守，依法办事。对执法不严，越权审批，造成不良后果的，要依法追究行政责任。</w:t>
      </w:r>
    </w:p>
    <w:p w14:paraId="2F691A6A">
      <w:pPr>
        <w:ind w:firstLine="422"/>
        <w:jc w:val="left"/>
        <w:rPr>
          <w:rFonts w:ascii="宋体" w:hAnsi="宋体"/>
          <w:kern w:val="44"/>
        </w:rPr>
      </w:pPr>
      <w:r>
        <w:rPr>
          <w:rFonts w:hint="eastAsia" w:ascii="宋体" w:hAnsi="宋体"/>
          <w:b/>
          <w:kern w:val="44"/>
        </w:rPr>
        <w:t>第九条</w:t>
      </w:r>
      <w:r>
        <w:rPr>
          <w:rFonts w:hint="eastAsia" w:ascii="宋体" w:hAnsi="宋体"/>
          <w:kern w:val="44"/>
        </w:rPr>
        <w:t>　本规定自1991年8月1日施行。1986年8月1日发布的《北京市人民政府关于限制在城区分散插建楼房的几项规定》同时废止。</w:t>
      </w:r>
    </w:p>
    <w:p w14:paraId="2112B241">
      <w:pPr>
        <w:pStyle w:val="4"/>
        <w:pageBreakBefore/>
        <w:rPr>
          <w:kern w:val="44"/>
        </w:rPr>
      </w:pPr>
      <w:bookmarkStart w:id="877" w:name="_Toc428780099"/>
      <w:bookmarkStart w:id="878" w:name="_Toc422471241"/>
      <w:bookmarkStart w:id="879" w:name="_Toc428781581"/>
      <w:bookmarkStart w:id="880" w:name="_Toc427651533"/>
      <w:bookmarkStart w:id="881" w:name="_Toc427651875"/>
      <w:r>
        <w:rPr>
          <w:rFonts w:hint="eastAsia"/>
          <w:kern w:val="44"/>
        </w:rPr>
        <w:t>北京市建设工程规划监督</w:t>
      </w:r>
      <w:bookmarkEnd w:id="877"/>
      <w:bookmarkEnd w:id="878"/>
      <w:bookmarkEnd w:id="879"/>
      <w:bookmarkEnd w:id="880"/>
      <w:bookmarkEnd w:id="881"/>
      <w:bookmarkStart w:id="882" w:name="_Toc428781582"/>
      <w:bookmarkStart w:id="883" w:name="_Toc427651534"/>
      <w:bookmarkStart w:id="884" w:name="_Toc422471242"/>
      <w:bookmarkStart w:id="885" w:name="_Toc428780100"/>
      <w:bookmarkStart w:id="886" w:name="_Toc427651876"/>
      <w:r>
        <w:rPr>
          <w:rFonts w:hint="eastAsia"/>
          <w:kern w:val="44"/>
        </w:rPr>
        <w:t>若干规定</w:t>
      </w:r>
      <w:bookmarkEnd w:id="882"/>
      <w:bookmarkEnd w:id="883"/>
      <w:bookmarkEnd w:id="884"/>
      <w:bookmarkEnd w:id="885"/>
      <w:bookmarkEnd w:id="886"/>
    </w:p>
    <w:p w14:paraId="40F9B918">
      <w:pPr>
        <w:ind w:left="630" w:leftChars="300" w:right="630" w:rightChars="300"/>
        <w:jc w:val="left"/>
        <w:rPr>
          <w:rFonts w:ascii="楷体" w:hAnsi="楷体" w:eastAsia="楷体"/>
          <w:kern w:val="44"/>
        </w:rPr>
      </w:pPr>
      <w:r>
        <w:rPr>
          <w:rFonts w:hint="eastAsia" w:ascii="楷体" w:hAnsi="楷体" w:eastAsia="楷体"/>
          <w:kern w:val="44"/>
        </w:rPr>
        <w:t>（2001年10月22日北京市人民政府第86号令发布  根据2007年11月23日北京市人民政府第200号令修改）</w:t>
      </w:r>
    </w:p>
    <w:p w14:paraId="6BC764A3">
      <w:pPr>
        <w:jc w:val="left"/>
        <w:rPr>
          <w:rFonts w:ascii="宋体" w:hAnsi="宋体"/>
          <w:kern w:val="44"/>
        </w:rPr>
      </w:pPr>
    </w:p>
    <w:p w14:paraId="3AA2F58A">
      <w:pPr>
        <w:ind w:firstLine="422"/>
        <w:jc w:val="left"/>
        <w:rPr>
          <w:rFonts w:ascii="宋体" w:hAnsi="宋体"/>
          <w:kern w:val="44"/>
        </w:rPr>
      </w:pPr>
      <w:r>
        <w:rPr>
          <w:rFonts w:hint="eastAsia" w:ascii="宋体" w:hAnsi="宋体"/>
          <w:b/>
          <w:kern w:val="44"/>
        </w:rPr>
        <w:t>第一条</w:t>
      </w:r>
      <w:r>
        <w:rPr>
          <w:rFonts w:hint="eastAsia" w:ascii="宋体" w:hAnsi="宋体"/>
          <w:kern w:val="44"/>
        </w:rPr>
        <w:t xml:space="preserve">  为加强对建设工程的规划监督，确保《北京城市总体规划》的实施，根据《北京市城市规划条例》，结合本市实际情况，制定本规定。</w:t>
      </w:r>
    </w:p>
    <w:p w14:paraId="4C4C3C9D">
      <w:pPr>
        <w:ind w:firstLine="422"/>
        <w:jc w:val="left"/>
        <w:rPr>
          <w:rFonts w:ascii="宋体" w:hAnsi="宋体"/>
          <w:kern w:val="44"/>
        </w:rPr>
      </w:pPr>
      <w:r>
        <w:rPr>
          <w:rFonts w:hint="eastAsia" w:ascii="宋体" w:hAnsi="宋体"/>
          <w:b/>
          <w:kern w:val="44"/>
        </w:rPr>
        <w:t>第二条</w:t>
      </w:r>
      <w:r>
        <w:rPr>
          <w:rFonts w:hint="eastAsia" w:ascii="宋体" w:hAnsi="宋体"/>
          <w:kern w:val="44"/>
        </w:rPr>
        <w:t xml:space="preserve">  在本市行政区域内依法取得建设用地规划许可证和建设工程规划许可证（含临时用地规划许可证和临时建设工程规划许可证，以下统称规划许可证件）的建设单位或者个人（以下简称建设单位），必须严格依照规划许可证件批准的内容使用土地、进行建设。严禁未经取得规划许可证件进行建设。</w:t>
      </w:r>
    </w:p>
    <w:p w14:paraId="31FED6AD">
      <w:pPr>
        <w:jc w:val="left"/>
        <w:rPr>
          <w:rFonts w:ascii="宋体" w:hAnsi="宋体"/>
          <w:kern w:val="44"/>
        </w:rPr>
      </w:pPr>
      <w:r>
        <w:rPr>
          <w:rFonts w:hint="eastAsia" w:ascii="宋体" w:hAnsi="宋体"/>
          <w:kern w:val="44"/>
        </w:rPr>
        <w:t>确需变更规划许可证件批准的内容的，必须依法到原审批部门重新办理审批手续；属于建筑内部平面调整的，应当报原审批部门备案。</w:t>
      </w:r>
    </w:p>
    <w:p w14:paraId="28DED490">
      <w:pPr>
        <w:ind w:firstLine="422"/>
        <w:jc w:val="left"/>
        <w:rPr>
          <w:rFonts w:ascii="宋体" w:hAnsi="宋体"/>
          <w:kern w:val="44"/>
        </w:rPr>
      </w:pPr>
      <w:r>
        <w:rPr>
          <w:rFonts w:hint="eastAsia" w:ascii="宋体" w:hAnsi="宋体"/>
          <w:b/>
          <w:kern w:val="44"/>
        </w:rPr>
        <w:t>第三条</w:t>
      </w:r>
      <w:r>
        <w:rPr>
          <w:rFonts w:hint="eastAsia" w:ascii="宋体" w:hAnsi="宋体"/>
          <w:kern w:val="44"/>
        </w:rPr>
        <w:t xml:space="preserve">  规划行政主管部门负责本市建设工程的规划监督工作，组织实施本规定。</w:t>
      </w:r>
    </w:p>
    <w:p w14:paraId="3EF8FEDE">
      <w:pPr>
        <w:ind w:firstLine="422"/>
        <w:jc w:val="left"/>
        <w:rPr>
          <w:rFonts w:ascii="宋体" w:hAnsi="宋体"/>
          <w:kern w:val="44"/>
        </w:rPr>
      </w:pPr>
      <w:r>
        <w:rPr>
          <w:rFonts w:hint="eastAsia" w:ascii="宋体" w:hAnsi="宋体"/>
          <w:b/>
          <w:kern w:val="44"/>
        </w:rPr>
        <w:t>第四条</w:t>
      </w:r>
      <w:r>
        <w:rPr>
          <w:rFonts w:hint="eastAsia" w:ascii="宋体" w:hAnsi="宋体"/>
          <w:kern w:val="44"/>
        </w:rPr>
        <w:t xml:space="preserve">  规划行政主管部门在核发规划许可证件时，应当向建设单位一并发放《建设工程验线申请表》和《建设工程规划验收申请表》。</w:t>
      </w:r>
    </w:p>
    <w:p w14:paraId="372A8555">
      <w:pPr>
        <w:jc w:val="left"/>
        <w:rPr>
          <w:rFonts w:ascii="宋体" w:hAnsi="宋体"/>
          <w:kern w:val="44"/>
        </w:rPr>
      </w:pPr>
      <w:r>
        <w:rPr>
          <w:rFonts w:hint="eastAsia" w:ascii="宋体" w:hAnsi="宋体"/>
          <w:kern w:val="44"/>
        </w:rPr>
        <w:t>建设单位在施工前应当向规划行政主管部门提交填写完整的《建设工程验线申请表》。规划行政主管部门应当在收到申请表后3个工作日内组织验线。经验线合格的，方可施工。</w:t>
      </w:r>
    </w:p>
    <w:p w14:paraId="165F3572">
      <w:pPr>
        <w:ind w:firstLine="422"/>
        <w:jc w:val="left"/>
        <w:rPr>
          <w:rFonts w:ascii="宋体" w:hAnsi="宋体"/>
          <w:kern w:val="44"/>
        </w:rPr>
      </w:pPr>
      <w:r>
        <w:rPr>
          <w:rFonts w:hint="eastAsia" w:ascii="宋体" w:hAnsi="宋体"/>
          <w:b/>
          <w:kern w:val="44"/>
        </w:rPr>
        <w:t>第五条</w:t>
      </w:r>
      <w:r>
        <w:rPr>
          <w:rFonts w:hint="eastAsia" w:ascii="宋体" w:hAnsi="宋体"/>
          <w:kern w:val="44"/>
        </w:rPr>
        <w:t xml:space="preserve">  建设单位应当在建设工程施工现场的显著位置张挂规划许可证件的副本，公示规划许可证件正本及其附件、附图的内容。</w:t>
      </w:r>
    </w:p>
    <w:p w14:paraId="18AE1CD5">
      <w:pPr>
        <w:ind w:firstLine="422"/>
        <w:jc w:val="left"/>
        <w:rPr>
          <w:rFonts w:ascii="宋体" w:hAnsi="宋体"/>
          <w:kern w:val="44"/>
        </w:rPr>
      </w:pPr>
      <w:r>
        <w:rPr>
          <w:rFonts w:hint="eastAsia" w:ascii="宋体" w:hAnsi="宋体"/>
          <w:b/>
          <w:kern w:val="44"/>
        </w:rPr>
        <w:t>第六条</w:t>
      </w:r>
      <w:r>
        <w:rPr>
          <w:rFonts w:hint="eastAsia" w:ascii="宋体" w:hAnsi="宋体"/>
          <w:kern w:val="44"/>
        </w:rPr>
        <w:t xml:space="preserve">  在工程建设期间，规划行政主管部门应当对工程建筑的总平面位置、层数和高度、配套设施、规定拆迁范围的拆迁情况等环境建设以及临时建设工程的建设情况进行检查。</w:t>
      </w:r>
    </w:p>
    <w:p w14:paraId="655E2AC7">
      <w:pPr>
        <w:jc w:val="left"/>
        <w:rPr>
          <w:rFonts w:ascii="宋体" w:hAnsi="宋体"/>
          <w:kern w:val="44"/>
        </w:rPr>
      </w:pPr>
      <w:r>
        <w:rPr>
          <w:rFonts w:hint="eastAsia" w:ascii="宋体" w:hAnsi="宋体"/>
          <w:kern w:val="44"/>
        </w:rPr>
        <w:t>规划监督检查人员在施工现场进行查验时，应当出示行政执法证件。建设单位和施工管理人员应当积极配合规划监督检查工作，如实提供情况和必要的资料。</w:t>
      </w:r>
    </w:p>
    <w:p w14:paraId="26677AD8">
      <w:pPr>
        <w:ind w:firstLine="422"/>
        <w:jc w:val="left"/>
        <w:rPr>
          <w:rFonts w:ascii="宋体" w:hAnsi="宋体"/>
          <w:kern w:val="44"/>
        </w:rPr>
      </w:pPr>
      <w:r>
        <w:rPr>
          <w:rFonts w:hint="eastAsia" w:ascii="宋体" w:hAnsi="宋体"/>
          <w:b/>
          <w:kern w:val="44"/>
        </w:rPr>
        <w:t>第七条</w:t>
      </w:r>
      <w:r>
        <w:rPr>
          <w:rFonts w:hint="eastAsia" w:ascii="宋体" w:hAnsi="宋体"/>
          <w:kern w:val="44"/>
        </w:rPr>
        <w:t xml:space="preserve">  建设工程竣工后，建设单位应当申请规划验收，并填写、报送下列材料：</w:t>
      </w:r>
    </w:p>
    <w:p w14:paraId="5CF391E9">
      <w:pPr>
        <w:jc w:val="left"/>
        <w:rPr>
          <w:rFonts w:ascii="宋体" w:hAnsi="宋体"/>
          <w:kern w:val="44"/>
        </w:rPr>
      </w:pPr>
      <w:r>
        <w:rPr>
          <w:rFonts w:hint="eastAsia" w:ascii="宋体" w:hAnsi="宋体"/>
          <w:kern w:val="44"/>
        </w:rPr>
        <w:t>（一）《建设工程规划验收申请表》；</w:t>
      </w:r>
    </w:p>
    <w:p w14:paraId="5DF1F589">
      <w:pPr>
        <w:jc w:val="left"/>
        <w:rPr>
          <w:rFonts w:ascii="宋体" w:hAnsi="宋体"/>
          <w:kern w:val="44"/>
        </w:rPr>
      </w:pPr>
      <w:r>
        <w:rPr>
          <w:rFonts w:hint="eastAsia" w:ascii="宋体" w:hAnsi="宋体"/>
          <w:kern w:val="44"/>
        </w:rPr>
        <w:t>（二）建设工程竣工图及相关资料；</w:t>
      </w:r>
    </w:p>
    <w:p w14:paraId="0040F9FD">
      <w:pPr>
        <w:jc w:val="left"/>
        <w:rPr>
          <w:rFonts w:ascii="宋体" w:hAnsi="宋体"/>
          <w:kern w:val="44"/>
        </w:rPr>
      </w:pPr>
      <w:r>
        <w:rPr>
          <w:rFonts w:hint="eastAsia" w:ascii="宋体" w:hAnsi="宋体"/>
          <w:kern w:val="44"/>
        </w:rPr>
        <w:t>（三）由具有相应测绘资质等级的测绘单位编制的《建设工程竣工测量成果报告书》；</w:t>
      </w:r>
    </w:p>
    <w:p w14:paraId="0942AB97">
      <w:pPr>
        <w:jc w:val="left"/>
        <w:rPr>
          <w:rFonts w:ascii="宋体" w:hAnsi="宋体"/>
          <w:kern w:val="44"/>
        </w:rPr>
      </w:pPr>
      <w:r>
        <w:rPr>
          <w:rFonts w:hint="eastAsia" w:ascii="宋体" w:hAnsi="宋体"/>
          <w:kern w:val="44"/>
        </w:rPr>
        <w:t>（四）规划规定的拆迁任务完成情况说明。</w:t>
      </w:r>
    </w:p>
    <w:p w14:paraId="76A2CF8F">
      <w:pPr>
        <w:jc w:val="left"/>
        <w:rPr>
          <w:rFonts w:ascii="宋体" w:hAnsi="宋体"/>
          <w:kern w:val="44"/>
        </w:rPr>
      </w:pPr>
      <w:r>
        <w:rPr>
          <w:rFonts w:hint="eastAsia" w:ascii="宋体" w:hAnsi="宋体"/>
          <w:kern w:val="44"/>
        </w:rPr>
        <w:t>对符合条件的，规划行政主管部门应当在收到申请之日起7个工作日内组织规划验收。</w:t>
      </w:r>
    </w:p>
    <w:p w14:paraId="3D258A9D">
      <w:pPr>
        <w:ind w:firstLine="422"/>
        <w:jc w:val="left"/>
        <w:rPr>
          <w:rFonts w:ascii="宋体" w:hAnsi="宋体"/>
          <w:kern w:val="44"/>
        </w:rPr>
      </w:pPr>
      <w:r>
        <w:rPr>
          <w:rFonts w:hint="eastAsia" w:ascii="宋体" w:hAnsi="宋体"/>
          <w:b/>
          <w:kern w:val="44"/>
        </w:rPr>
        <w:t>第八条</w:t>
      </w:r>
      <w:r>
        <w:rPr>
          <w:rFonts w:hint="eastAsia" w:ascii="宋体" w:hAnsi="宋体"/>
          <w:kern w:val="44"/>
        </w:rPr>
        <w:t xml:space="preserve">  规划行政主管部门对建设工程实施规划验收的内容应当与规划许可证件批准的内容一致，包括：</w:t>
      </w:r>
    </w:p>
    <w:p w14:paraId="3E34E9EF">
      <w:pPr>
        <w:jc w:val="left"/>
        <w:rPr>
          <w:rFonts w:ascii="宋体" w:hAnsi="宋体"/>
          <w:kern w:val="44"/>
        </w:rPr>
      </w:pPr>
      <w:r>
        <w:rPr>
          <w:rFonts w:hint="eastAsia" w:ascii="宋体" w:hAnsi="宋体"/>
          <w:kern w:val="44"/>
        </w:rPr>
        <w:t>（一）建筑的总平面位置、层数、高度、立面、使用性质和建筑规模；</w:t>
      </w:r>
    </w:p>
    <w:p w14:paraId="26715E71">
      <w:pPr>
        <w:jc w:val="left"/>
        <w:rPr>
          <w:rFonts w:ascii="宋体" w:hAnsi="宋体"/>
          <w:kern w:val="44"/>
        </w:rPr>
      </w:pPr>
      <w:r>
        <w:rPr>
          <w:rFonts w:hint="eastAsia" w:ascii="宋体" w:hAnsi="宋体"/>
          <w:kern w:val="44"/>
        </w:rPr>
        <w:t>（二）用地范围内和代征地范围内应当拆除的建筑物、构筑物及其他设施的拆除情况；</w:t>
      </w:r>
    </w:p>
    <w:p w14:paraId="60930CED">
      <w:pPr>
        <w:jc w:val="left"/>
        <w:rPr>
          <w:rFonts w:ascii="宋体" w:hAnsi="宋体"/>
          <w:kern w:val="44"/>
        </w:rPr>
      </w:pPr>
      <w:r>
        <w:rPr>
          <w:rFonts w:hint="eastAsia" w:ascii="宋体" w:hAnsi="宋体"/>
          <w:kern w:val="44"/>
        </w:rPr>
        <w:t>（三）绿化用地的腾退情况；</w:t>
      </w:r>
    </w:p>
    <w:p w14:paraId="5F895363">
      <w:pPr>
        <w:jc w:val="left"/>
        <w:rPr>
          <w:rFonts w:ascii="宋体" w:hAnsi="宋体"/>
          <w:kern w:val="44"/>
        </w:rPr>
      </w:pPr>
      <w:r>
        <w:rPr>
          <w:rFonts w:hint="eastAsia" w:ascii="宋体" w:hAnsi="宋体"/>
          <w:kern w:val="44"/>
        </w:rPr>
        <w:t>（四）单体配套设施建设情况。</w:t>
      </w:r>
    </w:p>
    <w:p w14:paraId="2DCCB5CB">
      <w:pPr>
        <w:jc w:val="left"/>
        <w:rPr>
          <w:rFonts w:ascii="宋体" w:hAnsi="宋体"/>
          <w:kern w:val="44"/>
        </w:rPr>
      </w:pPr>
      <w:r>
        <w:rPr>
          <w:rFonts w:hint="eastAsia" w:ascii="宋体" w:hAnsi="宋体"/>
          <w:kern w:val="44"/>
        </w:rPr>
        <w:t>居住区（含居住小区、居住组团）的配套设施和环境建设应当与住宅建设同步完成。未能同步完成的，对相应的住宅建筑不予进行规划验收。</w:t>
      </w:r>
    </w:p>
    <w:p w14:paraId="5908E760">
      <w:pPr>
        <w:ind w:firstLine="422"/>
        <w:jc w:val="left"/>
        <w:rPr>
          <w:rFonts w:ascii="宋体" w:hAnsi="宋体"/>
          <w:kern w:val="44"/>
        </w:rPr>
      </w:pPr>
      <w:r>
        <w:rPr>
          <w:rFonts w:hint="eastAsia" w:ascii="宋体" w:hAnsi="宋体"/>
          <w:b/>
          <w:kern w:val="44"/>
        </w:rPr>
        <w:t>第九条</w:t>
      </w:r>
      <w:r>
        <w:rPr>
          <w:rFonts w:hint="eastAsia" w:ascii="宋体" w:hAnsi="宋体"/>
          <w:kern w:val="44"/>
        </w:rPr>
        <w:t xml:space="preserve">  建设工程经规划验收合格的，规划行政主管部门应当在规划许可证件附件上签章。</w:t>
      </w:r>
    </w:p>
    <w:p w14:paraId="7ABEF515">
      <w:pPr>
        <w:jc w:val="left"/>
        <w:rPr>
          <w:rFonts w:ascii="宋体" w:hAnsi="宋体"/>
          <w:kern w:val="44"/>
        </w:rPr>
      </w:pPr>
      <w:r>
        <w:rPr>
          <w:rFonts w:hint="eastAsia" w:ascii="宋体" w:hAnsi="宋体"/>
          <w:kern w:val="44"/>
        </w:rPr>
        <w:t>建设工程未经规划验收或者经规划验收不合格的，产权登记机关不予办理产权登记手续。</w:t>
      </w:r>
    </w:p>
    <w:p w14:paraId="24506CD3">
      <w:pPr>
        <w:ind w:firstLine="422"/>
        <w:jc w:val="left"/>
        <w:rPr>
          <w:rFonts w:ascii="宋体" w:hAnsi="宋体"/>
          <w:kern w:val="44"/>
        </w:rPr>
      </w:pPr>
      <w:r>
        <w:rPr>
          <w:rFonts w:hint="eastAsia" w:ascii="宋体" w:hAnsi="宋体"/>
          <w:b/>
          <w:kern w:val="44"/>
        </w:rPr>
        <w:t>第十条</w:t>
      </w:r>
      <w:r>
        <w:rPr>
          <w:rFonts w:hint="eastAsia" w:ascii="宋体" w:hAnsi="宋体"/>
          <w:kern w:val="44"/>
        </w:rPr>
        <w:t xml:space="preserve">  规划行政主管部门应当建立建设单位守法情况档案。对未按照规划许可证件批准内容进行建设的，规划行政主管部门除依法予以处理外，还应当制作违法记录。有违法记录的建设单位再建的建设工程，应当作为规划监督的重点。</w:t>
      </w:r>
    </w:p>
    <w:p w14:paraId="4B152BEA">
      <w:pPr>
        <w:jc w:val="left"/>
        <w:rPr>
          <w:rFonts w:ascii="宋体" w:hAnsi="宋体"/>
          <w:kern w:val="44"/>
        </w:rPr>
      </w:pPr>
      <w:r>
        <w:rPr>
          <w:rFonts w:hint="eastAsia" w:ascii="宋体" w:hAnsi="宋体"/>
          <w:kern w:val="44"/>
        </w:rPr>
        <w:t>对遵守规划法规和严格按照规划许可证件批准内容进行建设的建设单位，市规划委员会应当定期向社会公布名录。经公布的建设单位再建的建设工程，可以由建设单位自行组织规划验收，规划验收的结果应当报规划行政主管部门备案。</w:t>
      </w:r>
    </w:p>
    <w:p w14:paraId="01B8D88E">
      <w:pPr>
        <w:jc w:val="left"/>
        <w:rPr>
          <w:rFonts w:ascii="宋体" w:hAnsi="宋体"/>
          <w:kern w:val="44"/>
        </w:rPr>
      </w:pPr>
      <w:r>
        <w:rPr>
          <w:rFonts w:hint="eastAsia" w:ascii="宋体" w:hAnsi="宋体"/>
          <w:kern w:val="44"/>
        </w:rPr>
        <w:t>对建设单位自行组织规划验收的建设工程，规划行政主管部门可以进行抽查。</w:t>
      </w:r>
    </w:p>
    <w:p w14:paraId="230FBB83">
      <w:pPr>
        <w:ind w:firstLine="422"/>
        <w:jc w:val="left"/>
        <w:rPr>
          <w:rFonts w:ascii="宋体" w:hAnsi="宋体"/>
          <w:kern w:val="44"/>
        </w:rPr>
      </w:pPr>
      <w:r>
        <w:rPr>
          <w:rFonts w:hint="eastAsia" w:ascii="宋体" w:hAnsi="宋体"/>
          <w:b/>
          <w:kern w:val="44"/>
        </w:rPr>
        <w:t>第十一条</w:t>
      </w:r>
      <w:r>
        <w:rPr>
          <w:rFonts w:hint="eastAsia" w:ascii="宋体" w:hAnsi="宋体"/>
          <w:kern w:val="44"/>
        </w:rPr>
        <w:t xml:space="preserve">  本市实行建设工程规划监督公报制度。对规划行政主管部门在实施规划监督中发现的违法行为，市规划委员会应当定期发布公报，公布违法建设单位的名称、建设工程的名称及其所在位置、违法的时间和事实等。</w:t>
      </w:r>
    </w:p>
    <w:p w14:paraId="1E84D59E">
      <w:pPr>
        <w:ind w:firstLine="422"/>
        <w:jc w:val="left"/>
        <w:rPr>
          <w:rFonts w:ascii="宋体" w:hAnsi="宋体"/>
          <w:kern w:val="44"/>
        </w:rPr>
      </w:pPr>
      <w:r>
        <w:rPr>
          <w:rFonts w:hint="eastAsia" w:ascii="宋体" w:hAnsi="宋体"/>
          <w:b/>
          <w:kern w:val="44"/>
        </w:rPr>
        <w:t>第十二条</w:t>
      </w:r>
      <w:r>
        <w:rPr>
          <w:rFonts w:hint="eastAsia" w:ascii="宋体" w:hAnsi="宋体"/>
          <w:kern w:val="44"/>
        </w:rPr>
        <w:t xml:space="preserve">  对违反规划许可证件批准的内容进行建设的，任何单位和个人都可以向规划行政主管部门举报。</w:t>
      </w:r>
    </w:p>
    <w:p w14:paraId="2E8229E9">
      <w:pPr>
        <w:ind w:firstLine="422"/>
        <w:jc w:val="left"/>
        <w:rPr>
          <w:rFonts w:ascii="宋体" w:hAnsi="宋体"/>
          <w:kern w:val="44"/>
        </w:rPr>
      </w:pPr>
      <w:r>
        <w:rPr>
          <w:rFonts w:hint="eastAsia" w:ascii="宋体" w:hAnsi="宋体"/>
          <w:b/>
          <w:kern w:val="44"/>
        </w:rPr>
        <w:t>第十三条</w:t>
      </w:r>
      <w:r>
        <w:rPr>
          <w:rFonts w:hint="eastAsia" w:ascii="宋体" w:hAnsi="宋体"/>
          <w:kern w:val="44"/>
        </w:rPr>
        <w:t xml:space="preserve">  对未经验线进行建设的，由规划、建设行政主管部门分别对建设单位和施工单位予以警告，并责令限期补验。</w:t>
      </w:r>
    </w:p>
    <w:p w14:paraId="02AED700">
      <w:pPr>
        <w:ind w:firstLine="422"/>
        <w:jc w:val="left"/>
        <w:rPr>
          <w:rFonts w:ascii="宋体" w:hAnsi="宋体"/>
          <w:kern w:val="44"/>
        </w:rPr>
      </w:pPr>
      <w:r>
        <w:rPr>
          <w:rFonts w:hint="eastAsia" w:ascii="宋体" w:hAnsi="宋体"/>
          <w:b/>
          <w:kern w:val="44"/>
        </w:rPr>
        <w:t>第十四条</w:t>
      </w:r>
      <w:r>
        <w:rPr>
          <w:rFonts w:hint="eastAsia" w:ascii="宋体" w:hAnsi="宋体"/>
          <w:kern w:val="44"/>
        </w:rPr>
        <w:t xml:space="preserve">  对未按照规划许可证件批准内容进行建设，尚能及时纠正的，由规划行政主管部门责令限期改正；不履行规划许可证件规定的要求的，责令限期履行；构成违法建设的，依照《〈北京市城市规划条例〉行政处罚办法》的规定给予行政处罚。</w:t>
      </w:r>
    </w:p>
    <w:p w14:paraId="3C793B9F">
      <w:pPr>
        <w:ind w:firstLine="422"/>
        <w:jc w:val="left"/>
        <w:rPr>
          <w:rFonts w:ascii="宋体" w:hAnsi="宋体"/>
          <w:kern w:val="44"/>
        </w:rPr>
      </w:pPr>
      <w:r>
        <w:rPr>
          <w:rFonts w:hint="eastAsia" w:ascii="宋体" w:hAnsi="宋体"/>
          <w:b/>
          <w:kern w:val="44"/>
        </w:rPr>
        <w:t>第十五条</w:t>
      </w:r>
      <w:r>
        <w:rPr>
          <w:rFonts w:hint="eastAsia" w:ascii="宋体" w:hAnsi="宋体"/>
          <w:kern w:val="44"/>
        </w:rPr>
        <w:t xml:space="preserve">  规划行政主管部门应当建立规划监督工作责任制，依法履行规划监督职责，及时制止和纠正违法建设。监察机关依法对规划行政主管部门执行法规、规章的情况实施行政监察。</w:t>
      </w:r>
    </w:p>
    <w:p w14:paraId="45BFFBEF">
      <w:pPr>
        <w:ind w:firstLine="422"/>
        <w:jc w:val="left"/>
        <w:rPr>
          <w:rFonts w:ascii="宋体" w:hAnsi="宋体"/>
          <w:kern w:val="44"/>
        </w:rPr>
      </w:pPr>
      <w:r>
        <w:rPr>
          <w:rFonts w:hint="eastAsia" w:ascii="宋体" w:hAnsi="宋体"/>
          <w:b/>
          <w:kern w:val="44"/>
        </w:rPr>
        <w:t>第十六条</w:t>
      </w:r>
      <w:r>
        <w:rPr>
          <w:rFonts w:hint="eastAsia" w:ascii="宋体" w:hAnsi="宋体"/>
          <w:kern w:val="44"/>
        </w:rPr>
        <w:t xml:space="preserve">  本规定自2002年1月1日起施行。本规定施行之日尚未竣工的建设工程，适用本规定。</w:t>
      </w:r>
    </w:p>
    <w:p w14:paraId="0C54C13E">
      <w:pPr>
        <w:pStyle w:val="4"/>
        <w:pageBreakBefore/>
        <w:rPr>
          <w:kern w:val="44"/>
        </w:rPr>
      </w:pPr>
      <w:bookmarkStart w:id="887" w:name="_Toc428780101"/>
      <w:bookmarkStart w:id="888" w:name="_Toc428781583"/>
      <w:bookmarkStart w:id="889" w:name="_Toc427651535"/>
      <w:bookmarkStart w:id="890" w:name="_Toc427651877"/>
      <w:bookmarkStart w:id="891" w:name="_Toc422471243"/>
      <w:r>
        <w:rPr>
          <w:rFonts w:hint="eastAsia"/>
          <w:kern w:val="44"/>
        </w:rPr>
        <w:t>北京市工程建设项目招标</w:t>
      </w:r>
      <w:bookmarkEnd w:id="887"/>
      <w:bookmarkEnd w:id="888"/>
      <w:bookmarkEnd w:id="889"/>
      <w:bookmarkEnd w:id="890"/>
      <w:bookmarkEnd w:id="891"/>
    </w:p>
    <w:p w14:paraId="6545926C">
      <w:pPr>
        <w:pStyle w:val="4"/>
        <w:rPr>
          <w:kern w:val="44"/>
        </w:rPr>
      </w:pPr>
      <w:bookmarkStart w:id="892" w:name="_Toc427651878"/>
      <w:bookmarkStart w:id="893" w:name="_Toc428780102"/>
      <w:bookmarkStart w:id="894" w:name="_Toc422471244"/>
      <w:bookmarkStart w:id="895" w:name="_Toc427651536"/>
      <w:bookmarkStart w:id="896" w:name="_Toc428781584"/>
      <w:r>
        <w:rPr>
          <w:rFonts w:hint="eastAsia"/>
          <w:kern w:val="44"/>
        </w:rPr>
        <w:t>范围和规模标准规定</w:t>
      </w:r>
      <w:bookmarkEnd w:id="892"/>
      <w:bookmarkEnd w:id="893"/>
      <w:bookmarkEnd w:id="894"/>
      <w:bookmarkEnd w:id="895"/>
      <w:bookmarkEnd w:id="896"/>
    </w:p>
    <w:p w14:paraId="34D33822">
      <w:pPr>
        <w:ind w:left="630" w:leftChars="300" w:right="630" w:rightChars="300"/>
        <w:jc w:val="left"/>
        <w:rPr>
          <w:rFonts w:ascii="楷体" w:hAnsi="楷体" w:eastAsia="楷体"/>
          <w:kern w:val="44"/>
        </w:rPr>
      </w:pPr>
      <w:r>
        <w:rPr>
          <w:rFonts w:hint="eastAsia" w:ascii="楷体" w:hAnsi="楷体" w:eastAsia="楷体"/>
          <w:kern w:val="44"/>
        </w:rPr>
        <w:t>（2001年11月26日北京市人民政府第42次常务会议审议通过  2001年12月6日北京市人民政府第89号令发布）</w:t>
      </w:r>
    </w:p>
    <w:p w14:paraId="5B29E006">
      <w:pPr>
        <w:jc w:val="left"/>
        <w:rPr>
          <w:rFonts w:ascii="宋体" w:hAnsi="宋体"/>
          <w:kern w:val="44"/>
        </w:rPr>
      </w:pPr>
    </w:p>
    <w:p w14:paraId="34F34C08">
      <w:pPr>
        <w:ind w:firstLine="422"/>
        <w:jc w:val="left"/>
        <w:rPr>
          <w:rFonts w:ascii="宋体" w:hAnsi="宋体"/>
          <w:kern w:val="44"/>
        </w:rPr>
      </w:pPr>
      <w:r>
        <w:rPr>
          <w:rFonts w:hint="eastAsia" w:ascii="宋体" w:hAnsi="宋体"/>
          <w:b/>
          <w:kern w:val="44"/>
        </w:rPr>
        <w:t>第一条</w:t>
      </w:r>
      <w:r>
        <w:rPr>
          <w:rFonts w:hint="eastAsia" w:ascii="宋体" w:hAnsi="宋体"/>
          <w:kern w:val="44"/>
        </w:rPr>
        <w:t>　为了确定本市必须进行招标的工程建设项目的具体范围和规模标准，规范招标投标活动，根据《中华人民共和国招标投标法》和 《工程建设项目招标范围和规模标准规定》，结合本市实际情况，制定本规定。</w:t>
      </w:r>
    </w:p>
    <w:p w14:paraId="5D3547E7">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本市行政区域内的下列工程建设项目，包括项目的勘察、设计、施工、监理以及与工程建设有关的重要设备、材料等的采购，达到本规定第八条所列规模标准之一的，必须进行招标：</w:t>
      </w:r>
    </w:p>
    <w:p w14:paraId="5900E27C">
      <w:pPr>
        <w:jc w:val="left"/>
        <w:rPr>
          <w:rFonts w:ascii="宋体" w:hAnsi="宋体"/>
          <w:kern w:val="44"/>
        </w:rPr>
      </w:pPr>
      <w:r>
        <w:rPr>
          <w:rFonts w:hint="eastAsia" w:ascii="宋体" w:hAnsi="宋体"/>
          <w:kern w:val="44"/>
        </w:rPr>
        <w:t>（一）基础设施、公用事业等关系社会公共利益、公众安全的项目；</w:t>
      </w:r>
    </w:p>
    <w:p w14:paraId="6E7723A4">
      <w:pPr>
        <w:jc w:val="left"/>
        <w:rPr>
          <w:rFonts w:ascii="宋体" w:hAnsi="宋体"/>
          <w:kern w:val="44"/>
        </w:rPr>
      </w:pPr>
      <w:r>
        <w:rPr>
          <w:rFonts w:hint="eastAsia" w:ascii="宋体" w:hAnsi="宋体"/>
          <w:kern w:val="44"/>
        </w:rPr>
        <w:t>（二）使用国有资金投资或者国家融资的项目；</w:t>
      </w:r>
    </w:p>
    <w:p w14:paraId="624D152E">
      <w:pPr>
        <w:jc w:val="left"/>
        <w:rPr>
          <w:rFonts w:ascii="宋体" w:hAnsi="宋体"/>
          <w:kern w:val="44"/>
        </w:rPr>
      </w:pPr>
      <w:r>
        <w:rPr>
          <w:rFonts w:hint="eastAsia" w:ascii="宋体" w:hAnsi="宋体"/>
          <w:kern w:val="44"/>
        </w:rPr>
        <w:t>（三）使用国际组织或者外国政府贷款、援助资金的项目。</w:t>
      </w:r>
    </w:p>
    <w:p w14:paraId="6A9C6ECE">
      <w:pPr>
        <w:ind w:firstLine="422"/>
        <w:jc w:val="left"/>
        <w:rPr>
          <w:rFonts w:ascii="宋体" w:hAnsi="宋体"/>
          <w:kern w:val="44"/>
        </w:rPr>
      </w:pPr>
      <w:r>
        <w:rPr>
          <w:rFonts w:hint="eastAsia" w:ascii="宋体" w:hAnsi="宋体"/>
          <w:b/>
          <w:kern w:val="44"/>
        </w:rPr>
        <w:t>第三条</w:t>
      </w:r>
      <w:r>
        <w:rPr>
          <w:rFonts w:hint="eastAsia" w:ascii="宋体" w:hAnsi="宋体"/>
          <w:kern w:val="44"/>
        </w:rPr>
        <w:t>　关系社会公共利益、公众安全的基础设施项目的范围包括：</w:t>
      </w:r>
    </w:p>
    <w:p w14:paraId="092F5D83">
      <w:pPr>
        <w:jc w:val="left"/>
        <w:rPr>
          <w:rFonts w:ascii="宋体" w:hAnsi="宋体"/>
          <w:kern w:val="44"/>
        </w:rPr>
      </w:pPr>
      <w:r>
        <w:rPr>
          <w:rFonts w:hint="eastAsia" w:ascii="宋体" w:hAnsi="宋体"/>
          <w:kern w:val="44"/>
        </w:rPr>
        <w:t>（一）煤炭、电力、新能源等能源生产和开发项目；</w:t>
      </w:r>
    </w:p>
    <w:p w14:paraId="482B3F27">
      <w:pPr>
        <w:jc w:val="left"/>
        <w:rPr>
          <w:rFonts w:ascii="宋体" w:hAnsi="宋体"/>
          <w:kern w:val="44"/>
        </w:rPr>
      </w:pPr>
      <w:r>
        <w:rPr>
          <w:rFonts w:hint="eastAsia" w:ascii="宋体" w:hAnsi="宋体"/>
          <w:kern w:val="44"/>
        </w:rPr>
        <w:t>（二）铁路、公路、管道、航空以及其他交通运输业等交通运输项目；</w:t>
      </w:r>
    </w:p>
    <w:p w14:paraId="310EEE0C">
      <w:pPr>
        <w:jc w:val="left"/>
        <w:rPr>
          <w:rFonts w:ascii="宋体" w:hAnsi="宋体"/>
          <w:kern w:val="44"/>
        </w:rPr>
      </w:pPr>
      <w:r>
        <w:rPr>
          <w:rFonts w:hint="eastAsia" w:ascii="宋体" w:hAnsi="宋体"/>
          <w:kern w:val="44"/>
        </w:rPr>
        <w:t>（三）邮政、电信枢纽、通信、信息网络等邮电通讯项目；</w:t>
      </w:r>
    </w:p>
    <w:p w14:paraId="0CDC2371">
      <w:pPr>
        <w:jc w:val="left"/>
        <w:rPr>
          <w:rFonts w:ascii="宋体" w:hAnsi="宋体"/>
          <w:kern w:val="44"/>
        </w:rPr>
      </w:pPr>
      <w:r>
        <w:rPr>
          <w:rFonts w:hint="eastAsia" w:ascii="宋体" w:hAnsi="宋体"/>
          <w:kern w:val="44"/>
        </w:rPr>
        <w:t>（四）防洪、灌溉、排涝、引水、滩涂治理、水土保持、水利枢纽等水利项目；</w:t>
      </w:r>
    </w:p>
    <w:p w14:paraId="2050AFEA">
      <w:pPr>
        <w:jc w:val="left"/>
        <w:rPr>
          <w:rFonts w:ascii="宋体" w:hAnsi="宋体"/>
          <w:kern w:val="44"/>
        </w:rPr>
      </w:pPr>
      <w:r>
        <w:rPr>
          <w:rFonts w:hint="eastAsia" w:ascii="宋体" w:hAnsi="宋体"/>
          <w:kern w:val="44"/>
        </w:rPr>
        <w:t>（五）道路、桥梁、地铁和轻轨交通、地下管道、公共停车场等城市设施项目；</w:t>
      </w:r>
    </w:p>
    <w:p w14:paraId="0C079724">
      <w:pPr>
        <w:jc w:val="left"/>
        <w:rPr>
          <w:rFonts w:ascii="宋体" w:hAnsi="宋体"/>
          <w:kern w:val="44"/>
        </w:rPr>
      </w:pPr>
      <w:r>
        <w:rPr>
          <w:rFonts w:hint="eastAsia" w:ascii="宋体" w:hAnsi="宋体"/>
          <w:kern w:val="44"/>
        </w:rPr>
        <w:t>（六）污水排放及其处理、垃圾处理、河湖水环境治理、园林、绿化等生态环境建设和保护项目；</w:t>
      </w:r>
    </w:p>
    <w:p w14:paraId="6B3FF89F">
      <w:pPr>
        <w:jc w:val="left"/>
        <w:rPr>
          <w:rFonts w:ascii="宋体" w:hAnsi="宋体"/>
          <w:kern w:val="44"/>
        </w:rPr>
      </w:pPr>
      <w:r>
        <w:rPr>
          <w:rFonts w:hint="eastAsia" w:ascii="宋体" w:hAnsi="宋体"/>
          <w:kern w:val="44"/>
        </w:rPr>
        <w:t>（七）其他基础设施项目。</w:t>
      </w:r>
    </w:p>
    <w:p w14:paraId="252B4329">
      <w:pPr>
        <w:ind w:firstLine="422"/>
        <w:jc w:val="left"/>
        <w:rPr>
          <w:rFonts w:ascii="宋体" w:hAnsi="宋体"/>
          <w:kern w:val="44"/>
        </w:rPr>
      </w:pPr>
      <w:r>
        <w:rPr>
          <w:rFonts w:hint="eastAsia" w:ascii="宋体" w:hAnsi="宋体"/>
          <w:b/>
          <w:kern w:val="44"/>
        </w:rPr>
        <w:t>第四条</w:t>
      </w:r>
      <w:r>
        <w:rPr>
          <w:rFonts w:hint="eastAsia" w:ascii="宋体" w:hAnsi="宋体"/>
          <w:kern w:val="44"/>
        </w:rPr>
        <w:t>　关系社会公共利益、公众安全的公用事业项目的范围包括：</w:t>
      </w:r>
    </w:p>
    <w:p w14:paraId="59B04924">
      <w:pPr>
        <w:jc w:val="left"/>
        <w:rPr>
          <w:rFonts w:ascii="宋体" w:hAnsi="宋体"/>
          <w:kern w:val="44"/>
        </w:rPr>
      </w:pPr>
      <w:r>
        <w:rPr>
          <w:rFonts w:hint="eastAsia" w:ascii="宋体" w:hAnsi="宋体"/>
          <w:kern w:val="44"/>
        </w:rPr>
        <w:t>（一）供水、供电、供气、供热等市政工程项目；</w:t>
      </w:r>
    </w:p>
    <w:p w14:paraId="5FF8983C">
      <w:pPr>
        <w:jc w:val="left"/>
        <w:rPr>
          <w:rFonts w:ascii="宋体" w:hAnsi="宋体"/>
          <w:kern w:val="44"/>
        </w:rPr>
      </w:pPr>
      <w:r>
        <w:rPr>
          <w:rFonts w:hint="eastAsia" w:ascii="宋体" w:hAnsi="宋体"/>
          <w:kern w:val="44"/>
        </w:rPr>
        <w:t>（二）科技、教育、文化等项目；</w:t>
      </w:r>
    </w:p>
    <w:p w14:paraId="2F92A14A">
      <w:pPr>
        <w:jc w:val="left"/>
        <w:rPr>
          <w:rFonts w:ascii="宋体" w:hAnsi="宋体"/>
          <w:kern w:val="44"/>
        </w:rPr>
      </w:pPr>
      <w:r>
        <w:rPr>
          <w:rFonts w:hint="eastAsia" w:ascii="宋体" w:hAnsi="宋体"/>
          <w:kern w:val="44"/>
        </w:rPr>
        <w:t>（三）体育、旅游等项目；</w:t>
      </w:r>
    </w:p>
    <w:p w14:paraId="65EDE0D2">
      <w:pPr>
        <w:jc w:val="left"/>
        <w:rPr>
          <w:rFonts w:ascii="宋体" w:hAnsi="宋体"/>
          <w:kern w:val="44"/>
        </w:rPr>
      </w:pPr>
      <w:r>
        <w:rPr>
          <w:rFonts w:hint="eastAsia" w:ascii="宋体" w:hAnsi="宋体"/>
          <w:kern w:val="44"/>
        </w:rPr>
        <w:t>（四）卫生、社会福利等项目；</w:t>
      </w:r>
    </w:p>
    <w:p w14:paraId="3B1910B2">
      <w:pPr>
        <w:jc w:val="left"/>
        <w:rPr>
          <w:rFonts w:ascii="宋体" w:hAnsi="宋体"/>
          <w:kern w:val="44"/>
        </w:rPr>
      </w:pPr>
      <w:r>
        <w:rPr>
          <w:rFonts w:hint="eastAsia" w:ascii="宋体" w:hAnsi="宋体"/>
          <w:kern w:val="44"/>
        </w:rPr>
        <w:t>（五）住宅、酒店、公寓、写字楼等项目；</w:t>
      </w:r>
    </w:p>
    <w:p w14:paraId="3A47FC54">
      <w:pPr>
        <w:jc w:val="left"/>
        <w:rPr>
          <w:rFonts w:ascii="宋体" w:hAnsi="宋体"/>
          <w:kern w:val="44"/>
        </w:rPr>
      </w:pPr>
      <w:r>
        <w:rPr>
          <w:rFonts w:hint="eastAsia" w:ascii="宋体" w:hAnsi="宋体"/>
          <w:kern w:val="44"/>
        </w:rPr>
        <w:t>（六）政法设施项目；</w:t>
      </w:r>
    </w:p>
    <w:p w14:paraId="41A4F99E">
      <w:pPr>
        <w:jc w:val="left"/>
        <w:rPr>
          <w:rFonts w:ascii="宋体" w:hAnsi="宋体"/>
          <w:kern w:val="44"/>
        </w:rPr>
      </w:pPr>
      <w:r>
        <w:rPr>
          <w:rFonts w:hint="eastAsia" w:ascii="宋体" w:hAnsi="宋体"/>
          <w:kern w:val="44"/>
        </w:rPr>
        <w:t>（七）防灾减灾项目；</w:t>
      </w:r>
    </w:p>
    <w:p w14:paraId="18279104">
      <w:pPr>
        <w:jc w:val="left"/>
        <w:rPr>
          <w:rFonts w:ascii="宋体" w:hAnsi="宋体"/>
          <w:kern w:val="44"/>
        </w:rPr>
      </w:pPr>
      <w:r>
        <w:rPr>
          <w:rFonts w:hint="eastAsia" w:ascii="宋体" w:hAnsi="宋体"/>
          <w:kern w:val="44"/>
        </w:rPr>
        <w:t>（八）其他公用事业项目。</w:t>
      </w:r>
    </w:p>
    <w:p w14:paraId="72D9DFE8">
      <w:pPr>
        <w:ind w:firstLine="422"/>
        <w:jc w:val="left"/>
        <w:rPr>
          <w:rFonts w:ascii="宋体" w:hAnsi="宋体"/>
          <w:kern w:val="44"/>
        </w:rPr>
      </w:pPr>
      <w:r>
        <w:rPr>
          <w:rFonts w:hint="eastAsia" w:ascii="宋体" w:hAnsi="宋体"/>
          <w:b/>
          <w:kern w:val="44"/>
        </w:rPr>
        <w:t>第五条</w:t>
      </w:r>
      <w:r>
        <w:rPr>
          <w:rFonts w:hint="eastAsia" w:ascii="宋体" w:hAnsi="宋体"/>
          <w:kern w:val="44"/>
        </w:rPr>
        <w:t>　使用国有资金投资项目的范围包括：</w:t>
      </w:r>
    </w:p>
    <w:p w14:paraId="5894E048">
      <w:pPr>
        <w:jc w:val="left"/>
        <w:rPr>
          <w:rFonts w:ascii="宋体" w:hAnsi="宋体"/>
          <w:kern w:val="44"/>
        </w:rPr>
      </w:pPr>
      <w:r>
        <w:rPr>
          <w:rFonts w:hint="eastAsia" w:ascii="宋体" w:hAnsi="宋体"/>
          <w:kern w:val="44"/>
        </w:rPr>
        <w:t>（一）使用政府投资的项目，包括使用各级财政预算内资金的项目，使用政府土地收益，政府减免税费抵用，城市基础设施“四源”建设费，市政公用设施建设费，社会事业建设费，水利建设基金，养路费，污水处理费以及其他纳入财政管理的各种政府性专项建设基金的项目；</w:t>
      </w:r>
    </w:p>
    <w:p w14:paraId="1212A391">
      <w:pPr>
        <w:jc w:val="left"/>
        <w:rPr>
          <w:rFonts w:ascii="宋体" w:hAnsi="宋体"/>
          <w:kern w:val="44"/>
        </w:rPr>
      </w:pPr>
      <w:r>
        <w:rPr>
          <w:rFonts w:hint="eastAsia" w:ascii="宋体" w:hAnsi="宋体"/>
          <w:kern w:val="44"/>
        </w:rPr>
        <w:t>（二）使用国有企业事业单位自有资金，并且国有资产投资者实际拥有控制权的项目。</w:t>
      </w:r>
    </w:p>
    <w:p w14:paraId="04C425A1">
      <w:pPr>
        <w:ind w:firstLine="422"/>
        <w:jc w:val="left"/>
        <w:rPr>
          <w:rFonts w:ascii="宋体" w:hAnsi="宋体"/>
          <w:kern w:val="44"/>
        </w:rPr>
      </w:pPr>
      <w:r>
        <w:rPr>
          <w:rFonts w:hint="eastAsia" w:ascii="宋体" w:hAnsi="宋体"/>
          <w:b/>
          <w:kern w:val="44"/>
        </w:rPr>
        <w:t>第六条</w:t>
      </w:r>
      <w:r>
        <w:rPr>
          <w:rFonts w:hint="eastAsia" w:ascii="宋体" w:hAnsi="宋体"/>
          <w:kern w:val="44"/>
        </w:rPr>
        <w:t>　使用国家融资项目的范围包括：</w:t>
      </w:r>
    </w:p>
    <w:p w14:paraId="0C295A63">
      <w:pPr>
        <w:jc w:val="left"/>
        <w:rPr>
          <w:rFonts w:ascii="宋体" w:hAnsi="宋体"/>
          <w:kern w:val="44"/>
        </w:rPr>
      </w:pPr>
      <w:r>
        <w:rPr>
          <w:rFonts w:hint="eastAsia" w:ascii="宋体" w:hAnsi="宋体"/>
          <w:kern w:val="44"/>
        </w:rPr>
        <w:t>（一）使用国家发行债券所筹资金的项目；</w:t>
      </w:r>
    </w:p>
    <w:p w14:paraId="7E357012">
      <w:pPr>
        <w:jc w:val="left"/>
        <w:rPr>
          <w:rFonts w:ascii="宋体" w:hAnsi="宋体"/>
          <w:kern w:val="44"/>
        </w:rPr>
      </w:pPr>
      <w:r>
        <w:rPr>
          <w:rFonts w:hint="eastAsia" w:ascii="宋体" w:hAnsi="宋体"/>
          <w:kern w:val="44"/>
        </w:rPr>
        <w:t>（二）使用国家对外借款、政府担保或者承诺还款所筹资金的项目；</w:t>
      </w:r>
    </w:p>
    <w:p w14:paraId="24D2C0DA">
      <w:pPr>
        <w:jc w:val="left"/>
        <w:rPr>
          <w:rFonts w:ascii="宋体" w:hAnsi="宋体"/>
          <w:kern w:val="44"/>
        </w:rPr>
      </w:pPr>
      <w:r>
        <w:rPr>
          <w:rFonts w:hint="eastAsia" w:ascii="宋体" w:hAnsi="宋体"/>
          <w:kern w:val="44"/>
        </w:rPr>
        <w:t>（三）使用国家政策性贷款资金的项目；</w:t>
      </w:r>
    </w:p>
    <w:p w14:paraId="791D3B7A">
      <w:pPr>
        <w:jc w:val="left"/>
        <w:rPr>
          <w:rFonts w:ascii="宋体" w:hAnsi="宋体"/>
          <w:kern w:val="44"/>
        </w:rPr>
      </w:pPr>
      <w:r>
        <w:rPr>
          <w:rFonts w:hint="eastAsia" w:ascii="宋体" w:hAnsi="宋体"/>
          <w:kern w:val="44"/>
        </w:rPr>
        <w:t>（四）政府授权投资主体融资的项目；</w:t>
      </w:r>
    </w:p>
    <w:p w14:paraId="63A7E971">
      <w:pPr>
        <w:jc w:val="left"/>
        <w:rPr>
          <w:rFonts w:ascii="宋体" w:hAnsi="宋体"/>
          <w:kern w:val="44"/>
        </w:rPr>
      </w:pPr>
      <w:r>
        <w:rPr>
          <w:rFonts w:hint="eastAsia" w:ascii="宋体" w:hAnsi="宋体"/>
          <w:kern w:val="44"/>
        </w:rPr>
        <w:t>（五）政府特许的融资项目。</w:t>
      </w:r>
    </w:p>
    <w:p w14:paraId="3BC5D305">
      <w:pPr>
        <w:ind w:firstLine="422"/>
        <w:jc w:val="left"/>
        <w:rPr>
          <w:rFonts w:ascii="宋体" w:hAnsi="宋体"/>
          <w:kern w:val="44"/>
        </w:rPr>
      </w:pPr>
      <w:r>
        <w:rPr>
          <w:rFonts w:hint="eastAsia" w:ascii="宋体" w:hAnsi="宋体"/>
          <w:b/>
          <w:kern w:val="44"/>
        </w:rPr>
        <w:t>第七条</w:t>
      </w:r>
      <w:r>
        <w:rPr>
          <w:rFonts w:hint="eastAsia" w:ascii="宋体" w:hAnsi="宋体"/>
          <w:kern w:val="44"/>
        </w:rPr>
        <w:t>　使用国际组织或者外国政府贷款、援助资金项目的范围包括：</w:t>
      </w:r>
    </w:p>
    <w:p w14:paraId="5747E5E5">
      <w:pPr>
        <w:jc w:val="left"/>
        <w:rPr>
          <w:rFonts w:ascii="宋体" w:hAnsi="宋体"/>
          <w:kern w:val="44"/>
        </w:rPr>
      </w:pPr>
      <w:r>
        <w:rPr>
          <w:rFonts w:hint="eastAsia" w:ascii="宋体" w:hAnsi="宋体"/>
          <w:kern w:val="44"/>
        </w:rPr>
        <w:t>（一）使用世界银行、亚洲开发银行等国际组织贷款资金的项目；</w:t>
      </w:r>
    </w:p>
    <w:p w14:paraId="1427B43D">
      <w:pPr>
        <w:jc w:val="left"/>
        <w:rPr>
          <w:rFonts w:ascii="宋体" w:hAnsi="宋体"/>
          <w:kern w:val="44"/>
        </w:rPr>
      </w:pPr>
      <w:r>
        <w:rPr>
          <w:rFonts w:hint="eastAsia" w:ascii="宋体" w:hAnsi="宋体"/>
          <w:kern w:val="44"/>
        </w:rPr>
        <w:t>（二）使用外国政府及其机构贷款资金的项目；</w:t>
      </w:r>
    </w:p>
    <w:p w14:paraId="57701714">
      <w:pPr>
        <w:jc w:val="left"/>
        <w:rPr>
          <w:rFonts w:ascii="宋体" w:hAnsi="宋体"/>
          <w:kern w:val="44"/>
        </w:rPr>
      </w:pPr>
      <w:r>
        <w:rPr>
          <w:rFonts w:hint="eastAsia" w:ascii="宋体" w:hAnsi="宋体"/>
          <w:kern w:val="44"/>
        </w:rPr>
        <w:t>（三）使用国际组织或者外国政府援助资金的项目。</w:t>
      </w:r>
    </w:p>
    <w:p w14:paraId="48C774B6">
      <w:pPr>
        <w:ind w:firstLine="422"/>
        <w:jc w:val="left"/>
        <w:rPr>
          <w:rFonts w:ascii="宋体" w:hAnsi="宋体"/>
          <w:kern w:val="44"/>
        </w:rPr>
      </w:pPr>
      <w:r>
        <w:rPr>
          <w:rFonts w:hint="eastAsia" w:ascii="宋体" w:hAnsi="宋体"/>
          <w:b/>
          <w:kern w:val="44"/>
        </w:rPr>
        <w:t>第八条</w:t>
      </w:r>
      <w:r>
        <w:rPr>
          <w:rFonts w:hint="eastAsia" w:ascii="宋体" w:hAnsi="宋体"/>
          <w:kern w:val="44"/>
        </w:rPr>
        <w:t>　本规定第三条至第七条规定范围内的各类工程建设项目应当达到下列规模标准之一：</w:t>
      </w:r>
    </w:p>
    <w:p w14:paraId="456FFE02">
      <w:pPr>
        <w:jc w:val="left"/>
        <w:rPr>
          <w:rFonts w:ascii="宋体" w:hAnsi="宋体"/>
          <w:kern w:val="44"/>
        </w:rPr>
      </w:pPr>
      <w:r>
        <w:rPr>
          <w:rFonts w:hint="eastAsia" w:ascii="宋体" w:hAnsi="宋体"/>
          <w:kern w:val="44"/>
        </w:rPr>
        <w:t>（一）施工（含土建施工、设备安装、装饰装修等）单项合同估算价在200万元人民币以上或者建筑面积在2000平方米以上的；</w:t>
      </w:r>
    </w:p>
    <w:p w14:paraId="752B44A4">
      <w:pPr>
        <w:jc w:val="left"/>
        <w:rPr>
          <w:rFonts w:ascii="宋体" w:hAnsi="宋体"/>
          <w:kern w:val="44"/>
        </w:rPr>
      </w:pPr>
      <w:r>
        <w:rPr>
          <w:rFonts w:hint="eastAsia" w:ascii="宋体" w:hAnsi="宋体"/>
          <w:kern w:val="44"/>
        </w:rPr>
        <w:t>（二）重要设备、材料等货物的采购，单项合同估算价在100万元人民币以上或者单台重要设备估算价在30万元人民币以上的；</w:t>
      </w:r>
    </w:p>
    <w:p w14:paraId="3EF43062">
      <w:pPr>
        <w:jc w:val="left"/>
        <w:rPr>
          <w:rFonts w:ascii="宋体" w:hAnsi="宋体"/>
          <w:kern w:val="44"/>
        </w:rPr>
      </w:pPr>
      <w:r>
        <w:rPr>
          <w:rFonts w:hint="eastAsia" w:ascii="宋体" w:hAnsi="宋体"/>
          <w:kern w:val="44"/>
        </w:rPr>
        <w:t>（三）勘察、设计、监理等服务的采购，单项合同估算价在50万元人民币以上的；</w:t>
      </w:r>
    </w:p>
    <w:p w14:paraId="4B48F579">
      <w:pPr>
        <w:jc w:val="left"/>
        <w:rPr>
          <w:rFonts w:ascii="宋体" w:hAnsi="宋体"/>
          <w:kern w:val="44"/>
        </w:rPr>
      </w:pPr>
      <w:r>
        <w:rPr>
          <w:rFonts w:hint="eastAsia" w:ascii="宋体" w:hAnsi="宋体"/>
          <w:kern w:val="44"/>
        </w:rPr>
        <w:t>（四）单项合同估算价低于第（一）、（二）、（三）项规定的规模标准，但符合下列标准之一的：</w:t>
      </w:r>
    </w:p>
    <w:p w14:paraId="37DA00CA">
      <w:pPr>
        <w:jc w:val="left"/>
        <w:rPr>
          <w:rFonts w:ascii="宋体" w:hAnsi="宋体"/>
          <w:kern w:val="44"/>
        </w:rPr>
      </w:pPr>
      <w:r>
        <w:rPr>
          <w:rFonts w:hint="eastAsia" w:ascii="宋体" w:hAnsi="宋体"/>
          <w:kern w:val="44"/>
        </w:rPr>
        <w:t>1．项目总投资额在3000万元人民币以上的；</w:t>
      </w:r>
    </w:p>
    <w:p w14:paraId="6FF42426">
      <w:pPr>
        <w:jc w:val="left"/>
        <w:rPr>
          <w:rFonts w:ascii="宋体" w:hAnsi="宋体"/>
          <w:kern w:val="44"/>
        </w:rPr>
      </w:pPr>
      <w:r>
        <w:rPr>
          <w:rFonts w:hint="eastAsia" w:ascii="宋体" w:hAnsi="宋体"/>
          <w:kern w:val="44"/>
        </w:rPr>
        <w:t>2．全部或者部分使用政府投资或者国家融资的项目中，政府投资或者国家融资金额在100万元人民币以上的。</w:t>
      </w:r>
    </w:p>
    <w:p w14:paraId="7D443FC1">
      <w:pPr>
        <w:jc w:val="left"/>
        <w:rPr>
          <w:rFonts w:ascii="宋体" w:hAnsi="宋体"/>
          <w:kern w:val="44"/>
        </w:rPr>
      </w:pPr>
      <w:r>
        <w:rPr>
          <w:rFonts w:hint="eastAsia" w:ascii="宋体" w:hAnsi="宋体"/>
          <w:kern w:val="44"/>
        </w:rPr>
        <w:t>鼓励政府投资或者国家融资金额在100万元人民币以下的项目进行招标。</w:t>
      </w:r>
    </w:p>
    <w:p w14:paraId="4E439B82">
      <w:pPr>
        <w:ind w:firstLine="422"/>
        <w:jc w:val="left"/>
        <w:rPr>
          <w:rFonts w:ascii="宋体" w:hAnsi="宋体"/>
          <w:kern w:val="44"/>
        </w:rPr>
      </w:pPr>
      <w:r>
        <w:rPr>
          <w:rFonts w:hint="eastAsia" w:ascii="宋体" w:hAnsi="宋体"/>
          <w:b/>
          <w:kern w:val="44"/>
        </w:rPr>
        <w:t>第九条</w:t>
      </w:r>
      <w:r>
        <w:rPr>
          <w:rFonts w:hint="eastAsia" w:ascii="宋体" w:hAnsi="宋体"/>
          <w:kern w:val="44"/>
        </w:rPr>
        <w:t>　选择基础设施和公用事业项目的投资主体、经营主体或者政府投资项目的项目法人，具备竞争条件的，应当通过招标的方式确定。</w:t>
      </w:r>
    </w:p>
    <w:p w14:paraId="26F62FD1">
      <w:pPr>
        <w:ind w:firstLine="422"/>
        <w:jc w:val="left"/>
        <w:rPr>
          <w:rFonts w:ascii="宋体" w:hAnsi="宋体"/>
          <w:kern w:val="44"/>
        </w:rPr>
      </w:pPr>
      <w:r>
        <w:rPr>
          <w:rFonts w:hint="eastAsia" w:ascii="宋体" w:hAnsi="宋体"/>
          <w:b/>
          <w:kern w:val="44"/>
        </w:rPr>
        <w:t>第十条</w:t>
      </w:r>
      <w:r>
        <w:rPr>
          <w:rFonts w:hint="eastAsia" w:ascii="宋体" w:hAnsi="宋体"/>
          <w:kern w:val="44"/>
        </w:rPr>
        <w:t>　招标投标活动不受地区、部门的限制，任何单位和个人不得对潜在投标人实行歧视待遇。</w:t>
      </w:r>
    </w:p>
    <w:p w14:paraId="02C10DEC">
      <w:pPr>
        <w:ind w:firstLine="422"/>
        <w:jc w:val="left"/>
        <w:rPr>
          <w:rFonts w:ascii="宋体" w:hAnsi="宋体"/>
          <w:kern w:val="44"/>
        </w:rPr>
      </w:pPr>
      <w:r>
        <w:rPr>
          <w:rFonts w:hint="eastAsia" w:ascii="宋体" w:hAnsi="宋体"/>
          <w:b/>
          <w:kern w:val="44"/>
        </w:rPr>
        <w:t>第十一条</w:t>
      </w:r>
      <w:r>
        <w:rPr>
          <w:rFonts w:hint="eastAsia" w:ascii="宋体" w:hAnsi="宋体"/>
          <w:kern w:val="44"/>
        </w:rPr>
        <w:t>　依照本规定必须进行招标的项目具备下列情况之一的，经项目审批部门批准，可以不进行招标：</w:t>
      </w:r>
    </w:p>
    <w:p w14:paraId="416CD7BC">
      <w:pPr>
        <w:jc w:val="left"/>
        <w:rPr>
          <w:rFonts w:ascii="宋体" w:hAnsi="宋体"/>
          <w:kern w:val="44"/>
        </w:rPr>
      </w:pPr>
      <w:r>
        <w:rPr>
          <w:rFonts w:hint="eastAsia" w:ascii="宋体" w:hAnsi="宋体"/>
          <w:kern w:val="44"/>
        </w:rPr>
        <w:t>（一）涉及国家安全或者有特殊保密要求的；</w:t>
      </w:r>
    </w:p>
    <w:p w14:paraId="5DA7AE8B">
      <w:pPr>
        <w:jc w:val="left"/>
        <w:rPr>
          <w:rFonts w:ascii="宋体" w:hAnsi="宋体"/>
          <w:kern w:val="44"/>
        </w:rPr>
      </w:pPr>
      <w:r>
        <w:rPr>
          <w:rFonts w:hint="eastAsia" w:ascii="宋体" w:hAnsi="宋体"/>
          <w:kern w:val="44"/>
        </w:rPr>
        <w:t>（二）抢险救灾或者利用扶贫资金实行以工代赈的；</w:t>
      </w:r>
    </w:p>
    <w:p w14:paraId="4C2EE981">
      <w:pPr>
        <w:jc w:val="left"/>
        <w:rPr>
          <w:rFonts w:ascii="宋体" w:hAnsi="宋体"/>
          <w:kern w:val="44"/>
        </w:rPr>
      </w:pPr>
      <w:r>
        <w:rPr>
          <w:rFonts w:hint="eastAsia" w:ascii="宋体" w:hAnsi="宋体"/>
          <w:kern w:val="44"/>
        </w:rPr>
        <w:t>（三）项目的勘察、设计采用特定专利或者专有技术或者其建筑艺术造型有特殊要求的；</w:t>
      </w:r>
    </w:p>
    <w:p w14:paraId="24DA850D">
      <w:pPr>
        <w:jc w:val="left"/>
        <w:rPr>
          <w:rFonts w:ascii="宋体" w:hAnsi="宋体"/>
          <w:kern w:val="44"/>
        </w:rPr>
      </w:pPr>
      <w:r>
        <w:rPr>
          <w:rFonts w:hint="eastAsia" w:ascii="宋体" w:hAnsi="宋体"/>
          <w:kern w:val="44"/>
        </w:rPr>
        <w:t>（四）承包商、供应商或者服务提供者少于3家，不能形成有效竞争的；</w:t>
      </w:r>
    </w:p>
    <w:p w14:paraId="5825859E">
      <w:pPr>
        <w:jc w:val="left"/>
        <w:rPr>
          <w:rFonts w:ascii="宋体" w:hAnsi="宋体"/>
          <w:kern w:val="44"/>
        </w:rPr>
      </w:pPr>
      <w:r>
        <w:rPr>
          <w:rFonts w:hint="eastAsia" w:ascii="宋体" w:hAnsi="宋体"/>
          <w:kern w:val="44"/>
        </w:rPr>
        <w:t>（五）国内外民间组织或者个人全额捐赠的；</w:t>
      </w:r>
    </w:p>
    <w:p w14:paraId="0EB7EFC3">
      <w:pPr>
        <w:jc w:val="left"/>
        <w:rPr>
          <w:rFonts w:ascii="宋体" w:hAnsi="宋体"/>
          <w:kern w:val="44"/>
        </w:rPr>
      </w:pPr>
      <w:r>
        <w:rPr>
          <w:rFonts w:hint="eastAsia" w:ascii="宋体" w:hAnsi="宋体"/>
          <w:kern w:val="44"/>
        </w:rPr>
        <w:t>（六）其他特殊情况不适宜招标的。</w:t>
      </w:r>
    </w:p>
    <w:p w14:paraId="3C76D7B3">
      <w:pPr>
        <w:ind w:firstLine="422"/>
        <w:jc w:val="left"/>
        <w:rPr>
          <w:rFonts w:ascii="宋体" w:hAnsi="宋体"/>
          <w:kern w:val="44"/>
        </w:rPr>
      </w:pPr>
      <w:r>
        <w:rPr>
          <w:rFonts w:hint="eastAsia" w:ascii="宋体" w:hAnsi="宋体"/>
          <w:b/>
          <w:kern w:val="44"/>
        </w:rPr>
        <w:t>第十二条</w:t>
      </w:r>
      <w:r>
        <w:rPr>
          <w:rFonts w:hint="eastAsia" w:ascii="宋体" w:hAnsi="宋体"/>
          <w:kern w:val="44"/>
        </w:rPr>
        <w:t>　法律、行政法规对必须进行招标的项目的范围和规模标准另有规定的，依照其规定执行。</w:t>
      </w:r>
    </w:p>
    <w:p w14:paraId="429011B7">
      <w:pPr>
        <w:ind w:firstLine="422"/>
        <w:jc w:val="left"/>
        <w:rPr>
          <w:rFonts w:ascii="宋体" w:hAnsi="宋体"/>
          <w:kern w:val="44"/>
        </w:rPr>
      </w:pPr>
      <w:r>
        <w:rPr>
          <w:rFonts w:hint="eastAsia" w:ascii="宋体" w:hAnsi="宋体"/>
          <w:b/>
          <w:kern w:val="44"/>
        </w:rPr>
        <w:t>第十三条</w:t>
      </w:r>
      <w:r>
        <w:rPr>
          <w:rFonts w:hint="eastAsia" w:ascii="宋体" w:hAnsi="宋体"/>
          <w:kern w:val="44"/>
        </w:rPr>
        <w:t>　违反本规定，必须进行招标的项目而不招标的，将必须进行招标的项目化整为零或者以其他任何方式规避招标的，由有关行政部门依照《中华人民共和国招标投标法》第四十九条的规定追究法律责任。</w:t>
      </w:r>
    </w:p>
    <w:p w14:paraId="0D1C82C8">
      <w:pPr>
        <w:ind w:firstLine="422"/>
        <w:jc w:val="left"/>
        <w:rPr>
          <w:rFonts w:ascii="宋体" w:hAnsi="宋体"/>
          <w:kern w:val="44"/>
        </w:rPr>
      </w:pPr>
      <w:r>
        <w:rPr>
          <w:rFonts w:hint="eastAsia" w:ascii="宋体" w:hAnsi="宋体"/>
          <w:b/>
          <w:kern w:val="44"/>
        </w:rPr>
        <w:t>第十四条</w:t>
      </w:r>
      <w:r>
        <w:rPr>
          <w:rFonts w:hint="eastAsia" w:ascii="宋体" w:hAnsi="宋体"/>
          <w:kern w:val="44"/>
        </w:rPr>
        <w:t>　本规定自2002年1月1日起施行。</w:t>
      </w:r>
    </w:p>
    <w:p w14:paraId="769B36E6">
      <w:pPr>
        <w:pStyle w:val="4"/>
        <w:pageBreakBefore/>
        <w:rPr>
          <w:kern w:val="44"/>
        </w:rPr>
      </w:pPr>
      <w:bookmarkStart w:id="897" w:name="_Toc428780103"/>
      <w:bookmarkStart w:id="898" w:name="_Toc422471245"/>
      <w:bookmarkStart w:id="899" w:name="_Toc428781585"/>
      <w:bookmarkStart w:id="900" w:name="_Toc427651537"/>
      <w:bookmarkStart w:id="901" w:name="_Toc427651879"/>
      <w:r>
        <w:rPr>
          <w:rFonts w:hint="eastAsia"/>
          <w:kern w:val="44"/>
        </w:rPr>
        <w:t>北京市建设工程招标</w:t>
      </w:r>
      <w:bookmarkEnd w:id="897"/>
      <w:bookmarkEnd w:id="898"/>
      <w:bookmarkEnd w:id="899"/>
      <w:bookmarkEnd w:id="900"/>
      <w:bookmarkEnd w:id="901"/>
    </w:p>
    <w:p w14:paraId="3D5A6FE4">
      <w:pPr>
        <w:pStyle w:val="4"/>
        <w:rPr>
          <w:kern w:val="44"/>
        </w:rPr>
      </w:pPr>
      <w:bookmarkStart w:id="902" w:name="_Toc428780104"/>
      <w:bookmarkStart w:id="903" w:name="_Toc427651880"/>
      <w:bookmarkStart w:id="904" w:name="_Toc422471246"/>
      <w:bookmarkStart w:id="905" w:name="_Toc428781586"/>
      <w:bookmarkStart w:id="906" w:name="_Toc427651538"/>
      <w:r>
        <w:rPr>
          <w:rFonts w:hint="eastAsia"/>
          <w:kern w:val="44"/>
        </w:rPr>
        <w:t>投标监督管理规定</w:t>
      </w:r>
      <w:bookmarkEnd w:id="902"/>
      <w:bookmarkEnd w:id="903"/>
      <w:bookmarkEnd w:id="904"/>
      <w:bookmarkEnd w:id="905"/>
      <w:bookmarkEnd w:id="906"/>
    </w:p>
    <w:p w14:paraId="66FEC448">
      <w:pPr>
        <w:ind w:left="630" w:leftChars="300" w:right="630" w:rightChars="300"/>
        <w:jc w:val="left"/>
        <w:rPr>
          <w:rFonts w:ascii="楷体" w:hAnsi="楷体" w:eastAsia="楷体"/>
          <w:kern w:val="44"/>
        </w:rPr>
      </w:pPr>
      <w:r>
        <w:rPr>
          <w:rFonts w:hint="eastAsia" w:ascii="楷体" w:hAnsi="楷体" w:eastAsia="楷体"/>
          <w:kern w:val="44"/>
        </w:rPr>
        <w:t>（2003年3月25日市人民政府第5次常务会议通过　2003年4月2日北京市人民政府第122号令发布）</w:t>
      </w:r>
    </w:p>
    <w:p w14:paraId="5AF10641">
      <w:pPr>
        <w:jc w:val="left"/>
        <w:rPr>
          <w:rFonts w:ascii="宋体" w:hAnsi="宋体"/>
          <w:kern w:val="44"/>
        </w:rPr>
      </w:pPr>
    </w:p>
    <w:p w14:paraId="002E5715">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为加强建设工程招标投标活动的监督管理，根据《中华人民共和国建筑法》、《中华人民共和国招标投标法》、《北京市招标投标条例》等有关法律、法规，制定本规定。</w:t>
      </w:r>
    </w:p>
    <w:p w14:paraId="110C34C3">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在本市行政区域内进行建设工程勘察、设计、施工、监理和与工程建设有关的重要设备、材料采购的招标投标活动，以及对其实施的监督管理，适用本规定。</w:t>
      </w:r>
    </w:p>
    <w:p w14:paraId="34F2ABB8">
      <w:pPr>
        <w:jc w:val="left"/>
        <w:rPr>
          <w:rFonts w:ascii="宋体" w:hAnsi="宋体"/>
          <w:kern w:val="44"/>
        </w:rPr>
      </w:pPr>
      <w:r>
        <w:rPr>
          <w:rFonts w:hint="eastAsia" w:ascii="宋体" w:hAnsi="宋体"/>
          <w:kern w:val="44"/>
        </w:rPr>
        <w:t>本规定所称建设工程，是指各类房屋建筑及其附属设施和与其配套的线路、管道、设备的安装工程、室内外装修工程，以及市政基础设施新建项目。</w:t>
      </w:r>
    </w:p>
    <w:p w14:paraId="65A63A5D">
      <w:pPr>
        <w:jc w:val="left"/>
        <w:rPr>
          <w:rFonts w:ascii="宋体" w:hAnsi="宋体"/>
          <w:kern w:val="44"/>
        </w:rPr>
      </w:pPr>
      <w:r>
        <w:rPr>
          <w:rFonts w:hint="eastAsia" w:ascii="宋体" w:hAnsi="宋体"/>
          <w:kern w:val="44"/>
        </w:rPr>
        <w:t>本规定所称重要设备、材料，是指涉及建设工程安全、质量、环保、节能的设备和材料，具体名录由市建设委员会（以下简称市建委）确定并公布。</w:t>
      </w:r>
    </w:p>
    <w:p w14:paraId="500FC72A">
      <w:pPr>
        <w:ind w:firstLine="422"/>
        <w:jc w:val="left"/>
        <w:rPr>
          <w:rFonts w:ascii="宋体" w:hAnsi="宋体"/>
          <w:kern w:val="44"/>
        </w:rPr>
      </w:pPr>
      <w:r>
        <w:rPr>
          <w:rFonts w:hint="eastAsia" w:ascii="宋体" w:hAnsi="宋体"/>
          <w:b/>
          <w:kern w:val="44"/>
        </w:rPr>
        <w:t>第三条</w:t>
      </w:r>
      <w:r>
        <w:rPr>
          <w:rFonts w:hint="eastAsia" w:ascii="宋体" w:hAnsi="宋体"/>
          <w:kern w:val="44"/>
        </w:rPr>
        <w:t>　依法必须招标的建设工程的范围和规模标准，按照国务院《工程建设项目招标范围和规模标准规定》和《北京市工程建设项目招标范围和规模标准规定》执行。</w:t>
      </w:r>
    </w:p>
    <w:p w14:paraId="19222345">
      <w:pPr>
        <w:ind w:firstLine="422"/>
        <w:jc w:val="left"/>
        <w:rPr>
          <w:rFonts w:ascii="宋体" w:hAnsi="宋体"/>
          <w:kern w:val="44"/>
        </w:rPr>
      </w:pPr>
      <w:r>
        <w:rPr>
          <w:rFonts w:hint="eastAsia" w:ascii="宋体" w:hAnsi="宋体"/>
          <w:b/>
          <w:kern w:val="44"/>
        </w:rPr>
        <w:t>第四条</w:t>
      </w:r>
      <w:r>
        <w:rPr>
          <w:rFonts w:hint="eastAsia" w:ascii="宋体" w:hAnsi="宋体"/>
          <w:kern w:val="44"/>
        </w:rPr>
        <w:t>　市规划委员会（以下简称市规划委）负责本市建设工程勘察、设计招标投标活动的监督工作。市建委负责本市建设工程施工、监理和与工程建设有关的重要设备、材料采购的招标投标活动的监督工作；区、县建设委员会（以下简称区、县建委）对本行政区域内的相关建设工程招标投标活动进行监督。</w:t>
      </w:r>
    </w:p>
    <w:p w14:paraId="0B7508DC">
      <w:pPr>
        <w:jc w:val="left"/>
        <w:rPr>
          <w:rFonts w:ascii="宋体" w:hAnsi="宋体"/>
          <w:kern w:val="44"/>
        </w:rPr>
      </w:pPr>
      <w:r>
        <w:rPr>
          <w:rFonts w:hint="eastAsia" w:ascii="宋体" w:hAnsi="宋体"/>
          <w:kern w:val="44"/>
        </w:rPr>
        <w:t>市规划委、市建委或者区、县建委可以委托建设工程招标投标管理机构负责建设工程招标投标活动的日常监督工作。</w:t>
      </w:r>
    </w:p>
    <w:p w14:paraId="5096B004">
      <w:pPr>
        <w:jc w:val="left"/>
        <w:rPr>
          <w:rFonts w:ascii="宋体" w:hAnsi="宋体"/>
          <w:kern w:val="44"/>
        </w:rPr>
      </w:pPr>
      <w:r>
        <w:rPr>
          <w:rFonts w:hint="eastAsia" w:ascii="宋体" w:hAnsi="宋体"/>
          <w:kern w:val="44"/>
        </w:rPr>
        <w:t>有关行政监督部门按照各自的职责，依法对本市建设工程招标投标活动实施监督。</w:t>
      </w:r>
    </w:p>
    <w:p w14:paraId="42508DEC">
      <w:pPr>
        <w:ind w:firstLine="422"/>
        <w:jc w:val="left"/>
        <w:rPr>
          <w:rFonts w:ascii="宋体" w:hAnsi="宋体"/>
          <w:kern w:val="44"/>
        </w:rPr>
      </w:pPr>
      <w:r>
        <w:rPr>
          <w:rFonts w:hint="eastAsia" w:ascii="宋体" w:hAnsi="宋体"/>
          <w:b/>
          <w:kern w:val="44"/>
        </w:rPr>
        <w:t>第五条</w:t>
      </w:r>
      <w:r>
        <w:rPr>
          <w:rFonts w:hint="eastAsia" w:ascii="宋体" w:hAnsi="宋体"/>
          <w:kern w:val="44"/>
        </w:rPr>
        <w:t>　建设工程招标应当具备下列条件：</w:t>
      </w:r>
    </w:p>
    <w:p w14:paraId="2798CC0E">
      <w:pPr>
        <w:jc w:val="left"/>
        <w:rPr>
          <w:rFonts w:ascii="宋体" w:hAnsi="宋体"/>
          <w:kern w:val="44"/>
        </w:rPr>
      </w:pPr>
      <w:r>
        <w:rPr>
          <w:rFonts w:hint="eastAsia" w:ascii="宋体" w:hAnsi="宋体"/>
          <w:kern w:val="44"/>
        </w:rPr>
        <w:t>（一）招标人已经依法成立；</w:t>
      </w:r>
    </w:p>
    <w:p w14:paraId="355FA1A4">
      <w:pPr>
        <w:jc w:val="left"/>
        <w:rPr>
          <w:rFonts w:ascii="宋体" w:hAnsi="宋体"/>
          <w:kern w:val="44"/>
        </w:rPr>
      </w:pPr>
      <w:r>
        <w:rPr>
          <w:rFonts w:hint="eastAsia" w:ascii="宋体" w:hAnsi="宋体"/>
          <w:kern w:val="44"/>
        </w:rPr>
        <w:t>（二）按照国家有关规定履行审批手续且已获得批准；</w:t>
      </w:r>
    </w:p>
    <w:p w14:paraId="5C2D032D">
      <w:pPr>
        <w:jc w:val="left"/>
        <w:rPr>
          <w:rFonts w:ascii="宋体" w:hAnsi="宋体"/>
          <w:kern w:val="44"/>
        </w:rPr>
      </w:pPr>
      <w:r>
        <w:rPr>
          <w:rFonts w:hint="eastAsia" w:ascii="宋体" w:hAnsi="宋体"/>
          <w:kern w:val="44"/>
        </w:rPr>
        <w:t>（三）按照国家有关规定应当履行核准手续的，已经核准；</w:t>
      </w:r>
    </w:p>
    <w:p w14:paraId="7F467FD6">
      <w:pPr>
        <w:jc w:val="left"/>
        <w:rPr>
          <w:rFonts w:ascii="宋体" w:hAnsi="宋体"/>
          <w:kern w:val="44"/>
        </w:rPr>
      </w:pPr>
      <w:r>
        <w:rPr>
          <w:rFonts w:hint="eastAsia" w:ascii="宋体" w:hAnsi="宋体"/>
          <w:kern w:val="44"/>
        </w:rPr>
        <w:t>（四）建设工程资金或者资金来源已经落实；</w:t>
      </w:r>
    </w:p>
    <w:p w14:paraId="220E448A">
      <w:pPr>
        <w:jc w:val="left"/>
        <w:rPr>
          <w:rFonts w:ascii="宋体" w:hAnsi="宋体"/>
          <w:kern w:val="44"/>
        </w:rPr>
      </w:pPr>
      <w:r>
        <w:rPr>
          <w:rFonts w:hint="eastAsia" w:ascii="宋体" w:hAnsi="宋体"/>
          <w:kern w:val="44"/>
        </w:rPr>
        <w:t>（五）有满足招标需要的文件和技术资料。</w:t>
      </w:r>
    </w:p>
    <w:p w14:paraId="4BBD3536">
      <w:pPr>
        <w:ind w:firstLine="422"/>
        <w:jc w:val="left"/>
        <w:rPr>
          <w:rFonts w:ascii="宋体" w:hAnsi="宋体"/>
          <w:kern w:val="44"/>
        </w:rPr>
      </w:pPr>
      <w:r>
        <w:rPr>
          <w:rFonts w:hint="eastAsia" w:ascii="宋体" w:hAnsi="宋体"/>
          <w:b/>
          <w:kern w:val="44"/>
        </w:rPr>
        <w:t>第六条</w:t>
      </w:r>
      <w:r>
        <w:rPr>
          <w:rFonts w:hint="eastAsia" w:ascii="宋体" w:hAnsi="宋体"/>
          <w:kern w:val="44"/>
        </w:rPr>
        <w:t>　依法必须招标的建设工程项目需要履行项目审批手续的，项目审批部门应当在核准建设工程项目招标范围、招标方式和招标组织形式后5个工作日内向市规划委、市建委通报。</w:t>
      </w:r>
    </w:p>
    <w:p w14:paraId="1F2C38D9">
      <w:pPr>
        <w:jc w:val="left"/>
        <w:rPr>
          <w:rFonts w:ascii="宋体" w:hAnsi="宋体"/>
          <w:kern w:val="44"/>
        </w:rPr>
      </w:pPr>
      <w:r>
        <w:rPr>
          <w:rFonts w:hint="eastAsia" w:ascii="宋体" w:hAnsi="宋体"/>
          <w:kern w:val="44"/>
        </w:rPr>
        <w:t>依法必须招标的建设工程项目不需要履行项目审批手续的，其招标方式由招标人自行确定。招标人应当在发布招标公告或者发出投标邀请书5个工作日前将招标方式抄报市规划委、市建委或者区、县建委。</w:t>
      </w:r>
    </w:p>
    <w:p w14:paraId="0B6A7518">
      <w:pPr>
        <w:ind w:firstLine="422"/>
        <w:jc w:val="left"/>
        <w:rPr>
          <w:rFonts w:ascii="宋体" w:hAnsi="宋体"/>
          <w:kern w:val="44"/>
        </w:rPr>
      </w:pPr>
      <w:r>
        <w:rPr>
          <w:rFonts w:hint="eastAsia" w:ascii="宋体" w:hAnsi="宋体"/>
          <w:b/>
          <w:kern w:val="44"/>
        </w:rPr>
        <w:t>第七条</w:t>
      </w:r>
      <w:r>
        <w:rPr>
          <w:rFonts w:hint="eastAsia" w:ascii="宋体" w:hAnsi="宋体"/>
          <w:kern w:val="44"/>
        </w:rPr>
        <w:t>　招标人自行办理招标事宜的，应当具有编制招标文件和组织评标的能力。依法必须招标的建设工程，招标人自行招标的，应当在发布招标公告或者发出投标邀请书5个工作日前，向市规划委、市建委或者区、县建委备案，并提交下列材料：</w:t>
      </w:r>
    </w:p>
    <w:p w14:paraId="5F3576E4">
      <w:pPr>
        <w:jc w:val="left"/>
        <w:rPr>
          <w:rFonts w:ascii="宋体" w:hAnsi="宋体"/>
          <w:kern w:val="44"/>
        </w:rPr>
      </w:pPr>
      <w:r>
        <w:rPr>
          <w:rFonts w:hint="eastAsia" w:ascii="宋体" w:hAnsi="宋体"/>
          <w:kern w:val="44"/>
        </w:rPr>
        <w:t>（一）招标组织机构和专职招标业务人员的证明材料；</w:t>
      </w:r>
    </w:p>
    <w:p w14:paraId="75EC5EF5">
      <w:pPr>
        <w:jc w:val="left"/>
        <w:rPr>
          <w:rFonts w:ascii="宋体" w:hAnsi="宋体"/>
          <w:kern w:val="44"/>
        </w:rPr>
      </w:pPr>
      <w:r>
        <w:rPr>
          <w:rFonts w:hint="eastAsia" w:ascii="宋体" w:hAnsi="宋体"/>
          <w:kern w:val="44"/>
        </w:rPr>
        <w:t>（二）专业技术人员名单、职称证书或者执业资格证书及其工作经历的证明材料。</w:t>
      </w:r>
    </w:p>
    <w:p w14:paraId="6C4DF490">
      <w:pPr>
        <w:ind w:firstLine="422"/>
        <w:jc w:val="left"/>
        <w:rPr>
          <w:rFonts w:ascii="宋体" w:hAnsi="宋体"/>
          <w:kern w:val="44"/>
        </w:rPr>
      </w:pPr>
      <w:r>
        <w:rPr>
          <w:rFonts w:hint="eastAsia" w:ascii="宋体" w:hAnsi="宋体"/>
          <w:b/>
          <w:kern w:val="44"/>
        </w:rPr>
        <w:t>第八条</w:t>
      </w:r>
      <w:r>
        <w:rPr>
          <w:rFonts w:hint="eastAsia" w:ascii="宋体" w:hAnsi="宋体"/>
          <w:kern w:val="44"/>
        </w:rPr>
        <w:t>　招标人委托招标代理机构办理招标事宜的，双方应当签订书面委托合同。招标代理机构应当在其资格等级范围内承揽代理业务。未经招标人书面同意，招标代理机构不得转让代理业务。</w:t>
      </w:r>
    </w:p>
    <w:p w14:paraId="5609A867">
      <w:pPr>
        <w:jc w:val="left"/>
        <w:rPr>
          <w:rFonts w:ascii="宋体" w:hAnsi="宋体"/>
          <w:kern w:val="44"/>
        </w:rPr>
      </w:pPr>
      <w:r>
        <w:rPr>
          <w:rFonts w:hint="eastAsia" w:ascii="宋体" w:hAnsi="宋体"/>
          <w:kern w:val="44"/>
        </w:rPr>
        <w:t>招标代理机构的资格认定，按照国家有关规定执行。</w:t>
      </w:r>
    </w:p>
    <w:p w14:paraId="098DD87A">
      <w:pPr>
        <w:ind w:firstLine="422"/>
        <w:jc w:val="left"/>
        <w:rPr>
          <w:rFonts w:ascii="宋体" w:hAnsi="宋体"/>
          <w:kern w:val="44"/>
        </w:rPr>
      </w:pPr>
      <w:r>
        <w:rPr>
          <w:rFonts w:hint="eastAsia" w:ascii="宋体" w:hAnsi="宋体"/>
          <w:b/>
          <w:kern w:val="44"/>
        </w:rPr>
        <w:t>第九条</w:t>
      </w:r>
      <w:r>
        <w:rPr>
          <w:rFonts w:hint="eastAsia" w:ascii="宋体" w:hAnsi="宋体"/>
          <w:kern w:val="44"/>
        </w:rPr>
        <w:t>　招标人对投标人进行资格预审的，应当根据建设工程的性质、特点和要求，编制资格预审的条件和方法，并在招标公告或者资格预审公告中载明。</w:t>
      </w:r>
    </w:p>
    <w:p w14:paraId="21F6C53B">
      <w:pPr>
        <w:jc w:val="left"/>
        <w:rPr>
          <w:rFonts w:ascii="宋体" w:hAnsi="宋体"/>
          <w:kern w:val="44"/>
        </w:rPr>
      </w:pPr>
      <w:r>
        <w:rPr>
          <w:rFonts w:hint="eastAsia" w:ascii="宋体" w:hAnsi="宋体"/>
          <w:kern w:val="44"/>
        </w:rPr>
        <w:t>招标人拟限制投标人数量的，应当在招标公告或者资格预审公告中载明预审后投标人的数量，并按照招标公告或者资格预审公告中载明的资格预审的条件和方法选择投标人。招标公告或者资格预审公告中没有载明预审后投标人数量的，招标人不得限制符合资格预审条件的投标人投标。</w:t>
      </w:r>
    </w:p>
    <w:p w14:paraId="74CF889A">
      <w:pPr>
        <w:ind w:firstLine="422"/>
        <w:jc w:val="left"/>
        <w:rPr>
          <w:rFonts w:ascii="宋体" w:hAnsi="宋体"/>
          <w:kern w:val="44"/>
        </w:rPr>
      </w:pPr>
      <w:r>
        <w:rPr>
          <w:rFonts w:hint="eastAsia" w:ascii="宋体" w:hAnsi="宋体"/>
          <w:b/>
          <w:kern w:val="44"/>
        </w:rPr>
        <w:t>第十条</w:t>
      </w:r>
      <w:r>
        <w:rPr>
          <w:rFonts w:hint="eastAsia" w:ascii="宋体" w:hAnsi="宋体"/>
          <w:kern w:val="44"/>
        </w:rPr>
        <w:t>　依法必须公开招标的建设工程，招标公告应当在国家或者本市指定的媒介发布。</w:t>
      </w:r>
    </w:p>
    <w:p w14:paraId="2E35C0CF">
      <w:pPr>
        <w:ind w:firstLine="422"/>
        <w:jc w:val="left"/>
        <w:rPr>
          <w:rFonts w:ascii="宋体" w:hAnsi="宋体"/>
          <w:kern w:val="44"/>
        </w:rPr>
      </w:pPr>
      <w:r>
        <w:rPr>
          <w:rFonts w:hint="eastAsia" w:ascii="宋体" w:hAnsi="宋体"/>
          <w:b/>
          <w:kern w:val="44"/>
        </w:rPr>
        <w:t>第十一条</w:t>
      </w:r>
      <w:r>
        <w:rPr>
          <w:rFonts w:hint="eastAsia" w:ascii="宋体" w:hAnsi="宋体"/>
          <w:kern w:val="44"/>
        </w:rPr>
        <w:t>　建设工程设计招标的招标人应当在招标公告或者投标邀请书中明确是否给予设计方案未中标的单位经济补偿及补偿金额。</w:t>
      </w:r>
    </w:p>
    <w:p w14:paraId="511A70F1">
      <w:pPr>
        <w:ind w:firstLine="422"/>
        <w:jc w:val="left"/>
        <w:rPr>
          <w:rFonts w:ascii="宋体" w:hAnsi="宋体"/>
          <w:kern w:val="44"/>
        </w:rPr>
      </w:pPr>
      <w:r>
        <w:rPr>
          <w:rFonts w:hint="eastAsia" w:ascii="宋体" w:hAnsi="宋体"/>
          <w:b/>
          <w:kern w:val="44"/>
        </w:rPr>
        <w:t>第十二条</w:t>
      </w:r>
      <w:r>
        <w:rPr>
          <w:rFonts w:hint="eastAsia" w:ascii="宋体" w:hAnsi="宋体"/>
          <w:kern w:val="44"/>
        </w:rPr>
        <w:t>　招标人应当根据招标项目的特点和需要编制招标文件。进行设计招标的建设工程，需另择设计单位承担施工图设计的，招标人应当在招标文件中明确。</w:t>
      </w:r>
    </w:p>
    <w:p w14:paraId="5B90EC77">
      <w:pPr>
        <w:jc w:val="left"/>
        <w:rPr>
          <w:rFonts w:ascii="宋体" w:hAnsi="宋体"/>
          <w:kern w:val="44"/>
        </w:rPr>
      </w:pPr>
      <w:r>
        <w:rPr>
          <w:rFonts w:hint="eastAsia" w:ascii="宋体" w:hAnsi="宋体"/>
          <w:kern w:val="44"/>
        </w:rPr>
        <w:t>依法必须进行施工、监理和与工程建设有关的重要设备、材料采购招标的建设工程，招标人应当在招标文件发出的同时，向市建委或者区、县建委备案。招标人对已发出的招标文件进行必要的澄清或者修改的，应当在提交投标文件截止日期15日前以书面形式通知所有招标文件的收受人，并向市建委或者区、县建委备案。</w:t>
      </w:r>
    </w:p>
    <w:p w14:paraId="3109EA74">
      <w:pPr>
        <w:jc w:val="left"/>
        <w:rPr>
          <w:rFonts w:ascii="宋体" w:hAnsi="宋体"/>
          <w:kern w:val="44"/>
        </w:rPr>
      </w:pPr>
      <w:r>
        <w:rPr>
          <w:rFonts w:hint="eastAsia" w:ascii="宋体" w:hAnsi="宋体"/>
          <w:kern w:val="44"/>
        </w:rPr>
        <w:t>招标文件及对其澄清或者修改的文件，不得违反法律、法规、规章的规定。</w:t>
      </w:r>
    </w:p>
    <w:p w14:paraId="1805E250">
      <w:pPr>
        <w:ind w:firstLine="422"/>
        <w:jc w:val="left"/>
        <w:rPr>
          <w:rFonts w:ascii="宋体" w:hAnsi="宋体"/>
          <w:kern w:val="44"/>
        </w:rPr>
      </w:pPr>
      <w:r>
        <w:rPr>
          <w:rFonts w:hint="eastAsia" w:ascii="宋体" w:hAnsi="宋体"/>
          <w:b/>
          <w:kern w:val="44"/>
        </w:rPr>
        <w:t>第十三条</w:t>
      </w:r>
      <w:r>
        <w:rPr>
          <w:rFonts w:hint="eastAsia" w:ascii="宋体" w:hAnsi="宋体"/>
          <w:kern w:val="44"/>
        </w:rPr>
        <w:t>　建设工程投标人应当具有承担招标的建设工程的能力；国家有关规定对投标人资格或者招标文件对投标人资格有规定的，投标人应当具备规定的资格条件。</w:t>
      </w:r>
    </w:p>
    <w:p w14:paraId="56E61F64">
      <w:pPr>
        <w:jc w:val="left"/>
        <w:rPr>
          <w:rFonts w:ascii="宋体" w:hAnsi="宋体"/>
          <w:kern w:val="44"/>
        </w:rPr>
      </w:pPr>
      <w:r>
        <w:rPr>
          <w:rFonts w:hint="eastAsia" w:ascii="宋体" w:hAnsi="宋体"/>
          <w:kern w:val="44"/>
        </w:rPr>
        <w:t>境外设计单位参加本市建设工程设计投标的，按照国家有关规定执行。</w:t>
      </w:r>
    </w:p>
    <w:p w14:paraId="37C4BA9A">
      <w:pPr>
        <w:ind w:firstLine="422"/>
        <w:jc w:val="left"/>
        <w:rPr>
          <w:rFonts w:ascii="宋体" w:hAnsi="宋体"/>
          <w:kern w:val="44"/>
        </w:rPr>
      </w:pPr>
      <w:r>
        <w:rPr>
          <w:rFonts w:hint="eastAsia" w:ascii="宋体" w:hAnsi="宋体"/>
          <w:b/>
          <w:kern w:val="44"/>
        </w:rPr>
        <w:t>第十四条</w:t>
      </w:r>
      <w:r>
        <w:rPr>
          <w:rFonts w:hint="eastAsia" w:ascii="宋体" w:hAnsi="宋体"/>
          <w:kern w:val="44"/>
        </w:rPr>
        <w:t>　建设工程勘察设计投标文件，应当由具有与投标建设工程相应资格的注册建筑师、注册工程师签章并加盖单位公章。</w:t>
      </w:r>
    </w:p>
    <w:p w14:paraId="38D01FC4">
      <w:pPr>
        <w:ind w:firstLine="422"/>
        <w:jc w:val="left"/>
        <w:rPr>
          <w:rFonts w:ascii="宋体" w:hAnsi="宋体"/>
          <w:kern w:val="44"/>
        </w:rPr>
      </w:pPr>
      <w:r>
        <w:rPr>
          <w:rFonts w:hint="eastAsia" w:ascii="宋体" w:hAnsi="宋体"/>
          <w:b/>
          <w:kern w:val="44"/>
        </w:rPr>
        <w:t>第十五条</w:t>
      </w:r>
      <w:r>
        <w:rPr>
          <w:rFonts w:hint="eastAsia" w:ascii="宋体" w:hAnsi="宋体"/>
          <w:kern w:val="44"/>
        </w:rPr>
        <w:t>　开标应当在招标文件确定的提交投标文件截止时间的同一时间公开进行；开标地点应当为招标文件中预先确定的地点。</w:t>
      </w:r>
    </w:p>
    <w:p w14:paraId="5B585452">
      <w:pPr>
        <w:jc w:val="left"/>
        <w:rPr>
          <w:rFonts w:ascii="宋体" w:hAnsi="宋体"/>
          <w:kern w:val="44"/>
        </w:rPr>
      </w:pPr>
      <w:r>
        <w:rPr>
          <w:rFonts w:hint="eastAsia" w:ascii="宋体" w:hAnsi="宋体"/>
          <w:kern w:val="44"/>
        </w:rPr>
        <w:t>招标人应当接受市规划委、市建委或者区、县建委等有关行政监督部门对开标过程的监督。</w:t>
      </w:r>
    </w:p>
    <w:p w14:paraId="670EF87A">
      <w:pPr>
        <w:ind w:firstLine="422"/>
        <w:jc w:val="left"/>
        <w:rPr>
          <w:rFonts w:ascii="宋体" w:hAnsi="宋体"/>
          <w:kern w:val="44"/>
        </w:rPr>
      </w:pPr>
      <w:r>
        <w:rPr>
          <w:rFonts w:hint="eastAsia" w:ascii="宋体" w:hAnsi="宋体"/>
          <w:b/>
          <w:kern w:val="44"/>
        </w:rPr>
        <w:t>第十六条</w:t>
      </w:r>
      <w:r>
        <w:rPr>
          <w:rFonts w:hint="eastAsia" w:ascii="宋体" w:hAnsi="宋体"/>
          <w:kern w:val="44"/>
        </w:rPr>
        <w:t>　评标工作由招标人依法组建的评标委员会负责。评标专家应当从市规划委、市建委确定的专家名册或者建设工程招标代理机构的专家库中随机抽取确定。特殊项目的评标专家选取方式按照国家和本市有关规定执行。</w:t>
      </w:r>
    </w:p>
    <w:p w14:paraId="72D82477">
      <w:pPr>
        <w:jc w:val="left"/>
        <w:rPr>
          <w:rFonts w:ascii="宋体" w:hAnsi="宋体"/>
          <w:kern w:val="44"/>
        </w:rPr>
      </w:pPr>
      <w:r>
        <w:rPr>
          <w:rFonts w:hint="eastAsia" w:ascii="宋体" w:hAnsi="宋体"/>
          <w:kern w:val="44"/>
        </w:rPr>
        <w:t>市规划委、市建委确定的评标专家名册应当逐步纳入全市统一的评标专家名册。</w:t>
      </w:r>
    </w:p>
    <w:p w14:paraId="35B0BAB7">
      <w:pPr>
        <w:ind w:firstLine="422"/>
        <w:jc w:val="left"/>
        <w:rPr>
          <w:rFonts w:ascii="宋体" w:hAnsi="宋体"/>
          <w:kern w:val="44"/>
        </w:rPr>
      </w:pPr>
      <w:r>
        <w:rPr>
          <w:rFonts w:hint="eastAsia" w:ascii="宋体" w:hAnsi="宋体"/>
          <w:b/>
          <w:kern w:val="44"/>
        </w:rPr>
        <w:t>第十七条</w:t>
      </w:r>
      <w:r>
        <w:rPr>
          <w:rFonts w:hint="eastAsia" w:ascii="宋体" w:hAnsi="宋体"/>
          <w:kern w:val="44"/>
        </w:rPr>
        <w:t>　评标委员会成员不得私下接触投标人，不得收受投标人的财物或者其他好处。</w:t>
      </w:r>
    </w:p>
    <w:p w14:paraId="62803DF4">
      <w:pPr>
        <w:jc w:val="left"/>
        <w:rPr>
          <w:rFonts w:ascii="宋体" w:hAnsi="宋体"/>
          <w:kern w:val="44"/>
        </w:rPr>
      </w:pPr>
      <w:r>
        <w:rPr>
          <w:rFonts w:hint="eastAsia" w:ascii="宋体" w:hAnsi="宋体"/>
          <w:kern w:val="44"/>
        </w:rPr>
        <w:t>评标委员会成员不得透露对投标文件的评审情况、中标候选人的推荐情况以及与评标有关的其他情况。</w:t>
      </w:r>
    </w:p>
    <w:p w14:paraId="7471C6BC">
      <w:pPr>
        <w:ind w:firstLine="422"/>
        <w:jc w:val="left"/>
        <w:rPr>
          <w:rFonts w:ascii="宋体" w:hAnsi="宋体"/>
          <w:kern w:val="44"/>
        </w:rPr>
      </w:pPr>
      <w:r>
        <w:rPr>
          <w:rFonts w:hint="eastAsia" w:ascii="宋体" w:hAnsi="宋体"/>
          <w:b/>
          <w:kern w:val="44"/>
        </w:rPr>
        <w:t>第十八条</w:t>
      </w:r>
      <w:r>
        <w:rPr>
          <w:rFonts w:hint="eastAsia" w:ascii="宋体" w:hAnsi="宋体"/>
          <w:kern w:val="44"/>
        </w:rPr>
        <w:t>　评标委员会完成评标后，应当向招标人提出书面评标报告，阐明评标委员会对各投标文件的评审意见，并按照招标文件中规定的评标方法，推荐1至3名中标候选人，并标明排列顺序。招标人根据评标委员会提出的书面评标报告和推荐的中标候选人确定中标人。</w:t>
      </w:r>
    </w:p>
    <w:p w14:paraId="7853AAFD">
      <w:pPr>
        <w:jc w:val="left"/>
        <w:rPr>
          <w:rFonts w:ascii="宋体" w:hAnsi="宋体"/>
          <w:kern w:val="44"/>
        </w:rPr>
      </w:pPr>
      <w:r>
        <w:rPr>
          <w:rFonts w:hint="eastAsia" w:ascii="宋体" w:hAnsi="宋体"/>
          <w:kern w:val="44"/>
        </w:rPr>
        <w:t>对使用国有资金投资或者国家融资的建设工程，招标人应当按照中标候选人的排序确定中标人。当确定的中标人放弃中标、因不可抗力提出不能履行合同，或者招标文件规定应当提交履约保证金而在规定的期限内未能提交的，招标人可以依序确定其他中标候选人为中标人。</w:t>
      </w:r>
    </w:p>
    <w:p w14:paraId="1287B95C">
      <w:pPr>
        <w:jc w:val="left"/>
        <w:rPr>
          <w:rFonts w:ascii="宋体" w:hAnsi="宋体"/>
          <w:kern w:val="44"/>
        </w:rPr>
      </w:pPr>
      <w:r>
        <w:rPr>
          <w:rFonts w:hint="eastAsia" w:ascii="宋体" w:hAnsi="宋体"/>
          <w:kern w:val="44"/>
        </w:rPr>
        <w:t>招标人也可以授权评标委员会直接确定中标人。</w:t>
      </w:r>
    </w:p>
    <w:p w14:paraId="71F12CBD">
      <w:pPr>
        <w:ind w:firstLine="422"/>
        <w:jc w:val="left"/>
        <w:rPr>
          <w:rFonts w:ascii="宋体" w:hAnsi="宋体"/>
          <w:kern w:val="44"/>
        </w:rPr>
      </w:pPr>
      <w:r>
        <w:rPr>
          <w:rFonts w:hint="eastAsia" w:ascii="宋体" w:hAnsi="宋体"/>
          <w:b/>
          <w:kern w:val="44"/>
        </w:rPr>
        <w:t>第十九条</w:t>
      </w:r>
      <w:r>
        <w:rPr>
          <w:rFonts w:hint="eastAsia" w:ascii="宋体" w:hAnsi="宋体"/>
          <w:kern w:val="44"/>
        </w:rPr>
        <w:t>　依法必须招标的建设工程，招标人应当自发出中标通知书之日起15日内，向市规划委、市建委或者区、县建委提交招标投标情况的书面报告。书面报告应当包括下列内容：</w:t>
      </w:r>
    </w:p>
    <w:p w14:paraId="7850113A">
      <w:pPr>
        <w:jc w:val="left"/>
        <w:rPr>
          <w:rFonts w:ascii="宋体" w:hAnsi="宋体"/>
          <w:kern w:val="44"/>
        </w:rPr>
      </w:pPr>
      <w:r>
        <w:rPr>
          <w:rFonts w:hint="eastAsia" w:ascii="宋体" w:hAnsi="宋体"/>
          <w:kern w:val="44"/>
        </w:rPr>
        <w:t>（一）招标投标的基本情况，包括招标范围、招标方式、资格审查情况、开标和评标过程和确定中标人的方式及理由等；</w:t>
      </w:r>
    </w:p>
    <w:p w14:paraId="130E240A">
      <w:pPr>
        <w:jc w:val="left"/>
        <w:rPr>
          <w:rFonts w:ascii="宋体" w:hAnsi="宋体"/>
          <w:kern w:val="44"/>
        </w:rPr>
      </w:pPr>
      <w:r>
        <w:rPr>
          <w:rFonts w:hint="eastAsia" w:ascii="宋体" w:hAnsi="宋体"/>
          <w:kern w:val="44"/>
        </w:rPr>
        <w:t>（二）相关的文件材料，包括招标公告或者投标邀请书、投标报名表、资格预审文件和资格预审结果、招标文件、评标委员会成员名单和评标报告、中标结果及中标人的投标文件。委托工程招标代理机构进行招标的，应当提交建设工程招标代理委托合同。</w:t>
      </w:r>
    </w:p>
    <w:p w14:paraId="10B210BC">
      <w:pPr>
        <w:jc w:val="left"/>
        <w:rPr>
          <w:rFonts w:ascii="宋体" w:hAnsi="宋体"/>
          <w:kern w:val="44"/>
        </w:rPr>
      </w:pPr>
      <w:r>
        <w:rPr>
          <w:rFonts w:hint="eastAsia" w:ascii="宋体" w:hAnsi="宋体"/>
          <w:kern w:val="44"/>
        </w:rPr>
        <w:t>前款第（二）项中已按照本规定办理了备案的文件材料，不再重复提交。</w:t>
      </w:r>
    </w:p>
    <w:p w14:paraId="3D392E83">
      <w:pPr>
        <w:ind w:firstLine="422"/>
        <w:jc w:val="left"/>
        <w:rPr>
          <w:rFonts w:ascii="宋体" w:hAnsi="宋体"/>
          <w:kern w:val="44"/>
        </w:rPr>
      </w:pPr>
      <w:r>
        <w:rPr>
          <w:rFonts w:hint="eastAsia" w:ascii="宋体" w:hAnsi="宋体"/>
          <w:b/>
          <w:kern w:val="44"/>
        </w:rPr>
        <w:t>第二十条</w:t>
      </w:r>
      <w:r>
        <w:rPr>
          <w:rFonts w:hint="eastAsia" w:ascii="宋体" w:hAnsi="宋体"/>
          <w:kern w:val="44"/>
        </w:rPr>
        <w:t>　市规划委、市建委或者区、县建委应当对招标人在招标投标活动中的行为进行监督，并有权责令招标人改正在招标投标活动中的违法行为。招标人在改正前不得向中标人发出中标通知书。</w:t>
      </w:r>
    </w:p>
    <w:p w14:paraId="1C8C6898">
      <w:pPr>
        <w:ind w:firstLine="422"/>
        <w:jc w:val="left"/>
        <w:rPr>
          <w:rFonts w:ascii="宋体" w:hAnsi="宋体"/>
          <w:kern w:val="44"/>
        </w:rPr>
      </w:pPr>
      <w:r>
        <w:rPr>
          <w:rFonts w:hint="eastAsia" w:ascii="宋体" w:hAnsi="宋体"/>
          <w:b/>
          <w:kern w:val="44"/>
        </w:rPr>
        <w:t>第二十一条</w:t>
      </w:r>
      <w:r>
        <w:rPr>
          <w:rFonts w:hint="eastAsia" w:ascii="宋体" w:hAnsi="宋体"/>
          <w:kern w:val="44"/>
        </w:rPr>
        <w:t>　建设工程施工招标的招标人和中标人应当在依法订立书面合同后7个工作日内，向市建委或者区、县建委备案。</w:t>
      </w:r>
    </w:p>
    <w:p w14:paraId="0C247521">
      <w:pPr>
        <w:jc w:val="left"/>
        <w:rPr>
          <w:rFonts w:ascii="宋体" w:hAnsi="宋体"/>
          <w:kern w:val="44"/>
        </w:rPr>
      </w:pPr>
      <w:r>
        <w:rPr>
          <w:rFonts w:hint="eastAsia" w:ascii="宋体" w:hAnsi="宋体"/>
          <w:kern w:val="44"/>
        </w:rPr>
        <w:t>招标人和中标人不得再行订立背离合同实质性内容的其他协议。</w:t>
      </w:r>
    </w:p>
    <w:p w14:paraId="01825BB3">
      <w:pPr>
        <w:ind w:firstLine="422"/>
        <w:jc w:val="left"/>
        <w:rPr>
          <w:rFonts w:ascii="宋体" w:hAnsi="宋体"/>
          <w:kern w:val="44"/>
        </w:rPr>
      </w:pPr>
      <w:r>
        <w:rPr>
          <w:rFonts w:hint="eastAsia" w:ascii="宋体" w:hAnsi="宋体"/>
          <w:b/>
          <w:kern w:val="44"/>
        </w:rPr>
        <w:t>第二十二条</w:t>
      </w:r>
      <w:r>
        <w:rPr>
          <w:rFonts w:hint="eastAsia" w:ascii="宋体" w:hAnsi="宋体"/>
          <w:kern w:val="44"/>
        </w:rPr>
        <w:t>　招标文件要求中标人提交履约担保的，中标人应当提交。招标人应当同时向中标人提交工程款支付担保。</w:t>
      </w:r>
    </w:p>
    <w:p w14:paraId="77429321">
      <w:pPr>
        <w:ind w:firstLine="422"/>
        <w:jc w:val="left"/>
        <w:rPr>
          <w:rFonts w:ascii="宋体" w:hAnsi="宋体"/>
          <w:kern w:val="44"/>
        </w:rPr>
      </w:pPr>
      <w:r>
        <w:rPr>
          <w:rFonts w:hint="eastAsia" w:ascii="宋体" w:hAnsi="宋体"/>
          <w:b/>
          <w:kern w:val="44"/>
        </w:rPr>
        <w:t>第二十三条</w:t>
      </w:r>
      <w:r>
        <w:rPr>
          <w:rFonts w:hint="eastAsia" w:ascii="宋体" w:hAnsi="宋体"/>
          <w:kern w:val="44"/>
        </w:rPr>
        <w:t>　招标人、中标人使用未中标的设计方案的，应当征得提交方案的投标人同意并支付使用费。</w:t>
      </w:r>
    </w:p>
    <w:p w14:paraId="2FA87469">
      <w:pPr>
        <w:ind w:firstLine="422"/>
        <w:jc w:val="left"/>
        <w:rPr>
          <w:rFonts w:ascii="宋体" w:hAnsi="宋体"/>
          <w:kern w:val="44"/>
        </w:rPr>
      </w:pPr>
      <w:r>
        <w:rPr>
          <w:rFonts w:hint="eastAsia" w:ascii="宋体" w:hAnsi="宋体"/>
          <w:b/>
          <w:kern w:val="44"/>
        </w:rPr>
        <w:t>第二十四条</w:t>
      </w:r>
      <w:r>
        <w:rPr>
          <w:rFonts w:hint="eastAsia" w:ascii="宋体" w:hAnsi="宋体"/>
          <w:kern w:val="44"/>
        </w:rPr>
        <w:t>　违反本规定应当予以处罚的，由市规划委、市建委或者区、县建委按照《中华人民共和国招标投标法》、《北京市招标投标条例》等法律、法规和规章的规定处理，并将违法行为记入本市招标投标活动违法行为记录系统。</w:t>
      </w:r>
    </w:p>
    <w:p w14:paraId="15AC9F65">
      <w:pPr>
        <w:ind w:firstLine="422"/>
        <w:jc w:val="left"/>
        <w:rPr>
          <w:rFonts w:ascii="宋体" w:hAnsi="宋体"/>
          <w:kern w:val="44"/>
        </w:rPr>
      </w:pPr>
      <w:r>
        <w:rPr>
          <w:rFonts w:hint="eastAsia" w:ascii="宋体" w:hAnsi="宋体"/>
          <w:b/>
          <w:kern w:val="44"/>
        </w:rPr>
        <w:t>第二十五条</w:t>
      </w:r>
      <w:r>
        <w:rPr>
          <w:rFonts w:hint="eastAsia" w:ascii="宋体" w:hAnsi="宋体"/>
          <w:kern w:val="44"/>
        </w:rPr>
        <w:t>　建设工程施工专业分包、劳务分包采用招标投标方式的，参照本规定执行。</w:t>
      </w:r>
    </w:p>
    <w:p w14:paraId="0BB75D6F">
      <w:pPr>
        <w:ind w:firstLine="422"/>
        <w:jc w:val="left"/>
        <w:rPr>
          <w:rFonts w:ascii="宋体" w:hAnsi="宋体"/>
          <w:kern w:val="44"/>
        </w:rPr>
      </w:pPr>
      <w:r>
        <w:rPr>
          <w:rFonts w:hint="eastAsia" w:ascii="宋体" w:hAnsi="宋体"/>
          <w:b/>
          <w:kern w:val="44"/>
        </w:rPr>
        <w:t>第二十六条</w:t>
      </w:r>
      <w:r>
        <w:rPr>
          <w:rFonts w:hint="eastAsia" w:ascii="宋体" w:hAnsi="宋体"/>
          <w:kern w:val="44"/>
        </w:rPr>
        <w:t>　本规定自2003年6月1日起施行。1987年10月24日市人民政府发布的《北京市建设工程施工招标投标管理暂行办法》、1994年10月6日市人民政府发布的《北京市建设工程设备招标投标管理规定》、1995年4月7日市人民政府发布的《北京市建设工程勘察招标投标管理规定》同时废止。</w:t>
      </w:r>
    </w:p>
    <w:p w14:paraId="4CEC722B">
      <w:pPr>
        <w:pStyle w:val="4"/>
        <w:pageBreakBefore/>
        <w:rPr>
          <w:kern w:val="44"/>
        </w:rPr>
      </w:pPr>
      <w:bookmarkStart w:id="907" w:name="_Toc422471247"/>
      <w:bookmarkStart w:id="908" w:name="_Toc427651539"/>
      <w:bookmarkStart w:id="909" w:name="_Toc427651881"/>
      <w:bookmarkStart w:id="910" w:name="_Toc428780105"/>
      <w:bookmarkStart w:id="911" w:name="_Toc428781587"/>
      <w:r>
        <w:rPr>
          <w:rFonts w:hint="eastAsia"/>
          <w:kern w:val="44"/>
        </w:rPr>
        <w:t>北京市城市建设档案管理办法</w:t>
      </w:r>
      <w:bookmarkEnd w:id="907"/>
      <w:bookmarkEnd w:id="908"/>
      <w:bookmarkEnd w:id="909"/>
      <w:bookmarkEnd w:id="910"/>
      <w:bookmarkEnd w:id="911"/>
    </w:p>
    <w:p w14:paraId="4F2A9058">
      <w:pPr>
        <w:ind w:left="630" w:leftChars="300" w:right="630" w:rightChars="300"/>
        <w:jc w:val="left"/>
        <w:rPr>
          <w:rFonts w:ascii="楷体" w:hAnsi="楷体" w:eastAsia="楷体"/>
          <w:kern w:val="44"/>
        </w:rPr>
      </w:pPr>
      <w:r>
        <w:rPr>
          <w:rFonts w:hint="eastAsia" w:ascii="楷体" w:hAnsi="楷体" w:eastAsia="楷体"/>
          <w:kern w:val="44"/>
        </w:rPr>
        <w:t>（2003年7月29日市人民政府第11次常务会议审议通过  2003年8月4日北京市人民政府第129号令发布）</w:t>
      </w:r>
    </w:p>
    <w:p w14:paraId="35D9BE55">
      <w:pPr>
        <w:jc w:val="left"/>
        <w:rPr>
          <w:rFonts w:ascii="宋体" w:hAnsi="宋体"/>
          <w:kern w:val="44"/>
        </w:rPr>
      </w:pPr>
    </w:p>
    <w:p w14:paraId="05A4C2A3">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本市城市建设档案的管理和收集、整理工作，有效地保护和利用城市建设档案，充分发挥城市建设档案在城市规划、建设、管理工作中的作用，根据《中华人民共和国档案法》、《中华人民共和国城市规划法》、《建设工程质量管理条例》，结合本市实际情况，制定本办法。</w:t>
      </w:r>
    </w:p>
    <w:p w14:paraId="40728182">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城市建设档案的形成、接收、收集、整理、保管、利用和管理。本办法所称城市建设档案是指在城市规划、建设、管理活动中直接形成的，对国家和社会具有保存价值的文字、图纸、图表、声像等不同形式的记录。</w:t>
      </w:r>
    </w:p>
    <w:p w14:paraId="28FAB190">
      <w:pPr>
        <w:ind w:firstLine="422"/>
        <w:jc w:val="left"/>
        <w:rPr>
          <w:rFonts w:ascii="宋体" w:hAnsi="宋体"/>
          <w:kern w:val="44"/>
        </w:rPr>
      </w:pPr>
      <w:r>
        <w:rPr>
          <w:rFonts w:hint="eastAsia" w:ascii="宋体" w:hAnsi="宋体"/>
          <w:b/>
          <w:kern w:val="44"/>
        </w:rPr>
        <w:t>第三条</w:t>
      </w:r>
      <w:r>
        <w:rPr>
          <w:rFonts w:hint="eastAsia" w:ascii="宋体" w:hAnsi="宋体"/>
          <w:kern w:val="44"/>
        </w:rPr>
        <w:t>　本市的城市建设档案事业应当纳入国民经济和社会发展计划，并保障其与城市建设需要相适应。</w:t>
      </w:r>
    </w:p>
    <w:p w14:paraId="2460420A">
      <w:pPr>
        <w:ind w:firstLine="422"/>
        <w:jc w:val="left"/>
        <w:rPr>
          <w:rFonts w:ascii="宋体" w:hAnsi="宋体"/>
          <w:kern w:val="44"/>
        </w:rPr>
      </w:pPr>
      <w:r>
        <w:rPr>
          <w:rFonts w:hint="eastAsia" w:ascii="宋体" w:hAnsi="宋体"/>
          <w:b/>
          <w:kern w:val="44"/>
        </w:rPr>
        <w:t>第四条</w:t>
      </w:r>
      <w:r>
        <w:rPr>
          <w:rFonts w:hint="eastAsia" w:ascii="宋体" w:hAnsi="宋体"/>
          <w:kern w:val="44"/>
        </w:rPr>
        <w:t>　市规划行政管理部门负责本市城市建设档案的监督和管理工作。</w:t>
      </w:r>
    </w:p>
    <w:p w14:paraId="46D9BCE3">
      <w:pPr>
        <w:jc w:val="left"/>
        <w:rPr>
          <w:rFonts w:ascii="宋体" w:hAnsi="宋体"/>
          <w:kern w:val="44"/>
        </w:rPr>
      </w:pPr>
      <w:r>
        <w:rPr>
          <w:rFonts w:hint="eastAsia" w:ascii="宋体" w:hAnsi="宋体"/>
          <w:kern w:val="44"/>
        </w:rPr>
        <w:t>市规划行政管理部门各分局（以下简称各分局）负责所辖区域内城市建设档案的监督和管理工作。</w:t>
      </w:r>
    </w:p>
    <w:p w14:paraId="6D347B87">
      <w:pPr>
        <w:jc w:val="left"/>
        <w:rPr>
          <w:rFonts w:ascii="宋体" w:hAnsi="宋体"/>
          <w:kern w:val="44"/>
        </w:rPr>
      </w:pPr>
      <w:r>
        <w:rPr>
          <w:rFonts w:hint="eastAsia" w:ascii="宋体" w:hAnsi="宋体"/>
          <w:kern w:val="44"/>
        </w:rPr>
        <w:t>市和区、县档案行政管理部门对城市建设档案工作依法行使监督和指导职权。</w:t>
      </w:r>
    </w:p>
    <w:p w14:paraId="2D247B8F">
      <w:pPr>
        <w:ind w:firstLine="422"/>
        <w:jc w:val="left"/>
        <w:rPr>
          <w:rFonts w:ascii="宋体" w:hAnsi="宋体"/>
          <w:kern w:val="44"/>
        </w:rPr>
      </w:pPr>
      <w:r>
        <w:rPr>
          <w:rFonts w:hint="eastAsia" w:ascii="宋体" w:hAnsi="宋体"/>
          <w:b/>
          <w:kern w:val="44"/>
        </w:rPr>
        <w:t>第五条</w:t>
      </w:r>
      <w:r>
        <w:rPr>
          <w:rFonts w:hint="eastAsia" w:ascii="宋体" w:hAnsi="宋体"/>
          <w:kern w:val="44"/>
        </w:rPr>
        <w:t>　市城市建设档案馆负责接收、收集、整理、保管全市应当永久和长期保存的城市建设档案，对城市建设档案进行科学管理和利用。</w:t>
      </w:r>
    </w:p>
    <w:p w14:paraId="21464D66">
      <w:pPr>
        <w:jc w:val="left"/>
        <w:rPr>
          <w:rFonts w:ascii="宋体" w:hAnsi="宋体"/>
          <w:kern w:val="44"/>
        </w:rPr>
      </w:pPr>
      <w:r>
        <w:rPr>
          <w:rFonts w:hint="eastAsia" w:ascii="宋体" w:hAnsi="宋体"/>
          <w:kern w:val="44"/>
        </w:rPr>
        <w:t>各分局城市建设档案机构负责所辖区域内城市建设档案接收、收集、整理、保管、利用等日常管理工作。</w:t>
      </w:r>
    </w:p>
    <w:p w14:paraId="4FEE9737">
      <w:pPr>
        <w:ind w:firstLine="422"/>
        <w:jc w:val="left"/>
        <w:rPr>
          <w:rFonts w:ascii="宋体" w:hAnsi="宋体"/>
          <w:kern w:val="44"/>
        </w:rPr>
      </w:pPr>
      <w:r>
        <w:rPr>
          <w:rFonts w:hint="eastAsia" w:ascii="宋体" w:hAnsi="宋体"/>
          <w:b/>
          <w:kern w:val="44"/>
        </w:rPr>
        <w:t>第六条</w:t>
      </w:r>
      <w:r>
        <w:rPr>
          <w:rFonts w:hint="eastAsia" w:ascii="宋体" w:hAnsi="宋体"/>
          <w:kern w:val="44"/>
        </w:rPr>
        <w:t>　城市建设档案工作人员应当忠于职守，遵纪守法，具备城市建设档案专业知识，并按照规定取得岗位资格证书。</w:t>
      </w:r>
    </w:p>
    <w:p w14:paraId="68E5CE41">
      <w:pPr>
        <w:ind w:firstLine="422"/>
        <w:jc w:val="left"/>
        <w:rPr>
          <w:rFonts w:ascii="宋体" w:hAnsi="宋体"/>
          <w:kern w:val="44"/>
        </w:rPr>
      </w:pPr>
      <w:r>
        <w:rPr>
          <w:rFonts w:hint="eastAsia" w:ascii="宋体" w:hAnsi="宋体"/>
          <w:b/>
          <w:kern w:val="44"/>
        </w:rPr>
        <w:t>第七条</w:t>
      </w:r>
      <w:r>
        <w:rPr>
          <w:rFonts w:hint="eastAsia" w:ascii="宋体" w:hAnsi="宋体"/>
          <w:kern w:val="44"/>
        </w:rPr>
        <w:t>　建设单位应当根据本单位形成、编制、整理、归档城市建设档案的实际情况，设置专门的档案机构或者配备专职管理人员，提供必要工作条件，建立健全工作制度，并收集齐全和安全保管本单位的城市建设档案。</w:t>
      </w:r>
    </w:p>
    <w:p w14:paraId="42E17212">
      <w:pPr>
        <w:ind w:firstLine="422"/>
        <w:jc w:val="left"/>
        <w:rPr>
          <w:rFonts w:ascii="宋体" w:hAnsi="宋体"/>
          <w:kern w:val="44"/>
        </w:rPr>
      </w:pPr>
      <w:r>
        <w:rPr>
          <w:rFonts w:hint="eastAsia" w:ascii="宋体" w:hAnsi="宋体"/>
          <w:b/>
          <w:kern w:val="44"/>
        </w:rPr>
        <w:t>第八条</w:t>
      </w:r>
      <w:r>
        <w:rPr>
          <w:rFonts w:hint="eastAsia" w:ascii="宋体" w:hAnsi="宋体"/>
          <w:kern w:val="44"/>
        </w:rPr>
        <w:t>　建设单位应当按照国家和本市有关规定对本单位的城市建设档案进行编制，并经市城市建设档案馆或者各分局城市建设档案机构（以下统称城市建设档案馆）检验合格后，方可移交。编制城市建设档案确有困难的，可以委托档案馆编制。</w:t>
      </w:r>
    </w:p>
    <w:p w14:paraId="53DD9717">
      <w:pPr>
        <w:ind w:firstLine="422"/>
        <w:jc w:val="left"/>
        <w:rPr>
          <w:rFonts w:ascii="宋体" w:hAnsi="宋体"/>
          <w:kern w:val="44"/>
        </w:rPr>
      </w:pPr>
      <w:r>
        <w:rPr>
          <w:rFonts w:hint="eastAsia" w:ascii="宋体" w:hAnsi="宋体"/>
          <w:b/>
          <w:kern w:val="44"/>
        </w:rPr>
        <w:t>第九条</w:t>
      </w:r>
      <w:r>
        <w:rPr>
          <w:rFonts w:hint="eastAsia" w:ascii="宋体" w:hAnsi="宋体"/>
          <w:kern w:val="44"/>
        </w:rPr>
        <w:t>　城市建设档案馆接收下列城市建设档案：</w:t>
      </w:r>
    </w:p>
    <w:p w14:paraId="4339BEB3">
      <w:pPr>
        <w:jc w:val="left"/>
        <w:rPr>
          <w:rFonts w:ascii="宋体" w:hAnsi="宋体"/>
          <w:kern w:val="44"/>
        </w:rPr>
      </w:pPr>
      <w:r>
        <w:rPr>
          <w:rFonts w:hint="eastAsia" w:ascii="宋体" w:hAnsi="宋体"/>
          <w:kern w:val="44"/>
        </w:rPr>
        <w:t>（一）城市建设专业管理部门形成的，包括规划、勘测、设计、建设和市政、环卫、公用、园林、人民防空等业务管理和业务技术档案。</w:t>
      </w:r>
    </w:p>
    <w:p w14:paraId="4DA3E6FD">
      <w:pPr>
        <w:jc w:val="left"/>
        <w:rPr>
          <w:rFonts w:ascii="宋体" w:hAnsi="宋体"/>
          <w:kern w:val="44"/>
        </w:rPr>
      </w:pPr>
      <w:r>
        <w:rPr>
          <w:rFonts w:hint="eastAsia" w:ascii="宋体" w:hAnsi="宋体"/>
          <w:kern w:val="44"/>
        </w:rPr>
        <w:t>（二）建设工程档案。</w:t>
      </w:r>
    </w:p>
    <w:p w14:paraId="02B95EC2">
      <w:pPr>
        <w:jc w:val="left"/>
        <w:rPr>
          <w:rFonts w:ascii="宋体" w:hAnsi="宋体"/>
          <w:kern w:val="44"/>
        </w:rPr>
      </w:pPr>
      <w:r>
        <w:rPr>
          <w:rFonts w:hint="eastAsia" w:ascii="宋体" w:hAnsi="宋体"/>
          <w:kern w:val="44"/>
        </w:rPr>
        <w:t>（三）有关城市规划、建设、管理的文件及科学研究成果和城市建设基础资料。</w:t>
      </w:r>
    </w:p>
    <w:p w14:paraId="607B2AA0">
      <w:pPr>
        <w:ind w:firstLine="422"/>
        <w:jc w:val="left"/>
        <w:rPr>
          <w:rFonts w:ascii="宋体" w:hAnsi="宋体"/>
          <w:kern w:val="44"/>
        </w:rPr>
      </w:pPr>
      <w:r>
        <w:rPr>
          <w:rFonts w:hint="eastAsia" w:ascii="宋体" w:hAnsi="宋体"/>
          <w:b/>
          <w:kern w:val="44"/>
        </w:rPr>
        <w:t>第十条</w:t>
      </w:r>
      <w:r>
        <w:rPr>
          <w:rFonts w:hint="eastAsia" w:ascii="宋体" w:hAnsi="宋体"/>
          <w:kern w:val="44"/>
        </w:rPr>
        <w:t>　建设单位应当在建设工程竣工验收后6个月内，向城市建设档案馆移交齐全、准确的城市建设工程档案原件。</w:t>
      </w:r>
    </w:p>
    <w:p w14:paraId="6482C133">
      <w:pPr>
        <w:ind w:firstLine="422"/>
        <w:jc w:val="left"/>
        <w:rPr>
          <w:rFonts w:ascii="宋体" w:hAnsi="宋体"/>
          <w:kern w:val="44"/>
        </w:rPr>
      </w:pPr>
      <w:r>
        <w:rPr>
          <w:rFonts w:hint="eastAsia" w:ascii="宋体" w:hAnsi="宋体"/>
          <w:b/>
          <w:kern w:val="44"/>
        </w:rPr>
        <w:t>第十一条</w:t>
      </w:r>
      <w:r>
        <w:rPr>
          <w:rFonts w:hint="eastAsia" w:ascii="宋体" w:hAnsi="宋体"/>
          <w:kern w:val="44"/>
        </w:rPr>
        <w:t>　本市供水、排水、燃气、热力、电力、通信、地下交通、人民防空等专业管理单位，应当每年向城市建设档案馆移交更改、报废、漏测部分的地下管线现状图和资料。地下管线普查和补测补绘形成的档案，应当在普查、补测、补绘结束后6个月内移交城市建设档案馆。</w:t>
      </w:r>
    </w:p>
    <w:p w14:paraId="05518EA8">
      <w:pPr>
        <w:ind w:firstLine="422"/>
        <w:jc w:val="left"/>
        <w:rPr>
          <w:rFonts w:ascii="宋体" w:hAnsi="宋体"/>
          <w:kern w:val="44"/>
        </w:rPr>
      </w:pPr>
      <w:r>
        <w:rPr>
          <w:rFonts w:hint="eastAsia" w:ascii="宋体" w:hAnsi="宋体"/>
          <w:b/>
          <w:kern w:val="44"/>
        </w:rPr>
        <w:t>第十二条</w:t>
      </w:r>
      <w:r>
        <w:rPr>
          <w:rFonts w:hint="eastAsia" w:ascii="宋体" w:hAnsi="宋体"/>
          <w:kern w:val="44"/>
        </w:rPr>
        <w:t>　停建、缓建工程的建设工程档案，由建设单位负责保管。</w:t>
      </w:r>
    </w:p>
    <w:p w14:paraId="60BDE031">
      <w:pPr>
        <w:jc w:val="left"/>
        <w:rPr>
          <w:rFonts w:ascii="宋体" w:hAnsi="宋体"/>
          <w:kern w:val="44"/>
        </w:rPr>
      </w:pPr>
      <w:r>
        <w:rPr>
          <w:rFonts w:hint="eastAsia" w:ascii="宋体" w:hAnsi="宋体"/>
          <w:kern w:val="44"/>
        </w:rPr>
        <w:t>建设单位被撤销的，应当及时整理城市建设档案，通知并移交城市建设档案馆保管。</w:t>
      </w:r>
    </w:p>
    <w:p w14:paraId="1B88EA26">
      <w:pPr>
        <w:jc w:val="left"/>
        <w:rPr>
          <w:rFonts w:ascii="宋体" w:hAnsi="宋体"/>
          <w:kern w:val="44"/>
        </w:rPr>
      </w:pPr>
      <w:r>
        <w:rPr>
          <w:rFonts w:hint="eastAsia" w:ascii="宋体" w:hAnsi="宋体"/>
          <w:kern w:val="44"/>
        </w:rPr>
        <w:t>建筑物、构筑物产权变动时，原建筑物、构筑物产权人保存的城市建设档案必须随同产权一并移交给新的产权人保存，也可以在城市建设档案馆寄存。</w:t>
      </w:r>
    </w:p>
    <w:p w14:paraId="6DB7162F">
      <w:pPr>
        <w:ind w:firstLine="422"/>
        <w:jc w:val="left"/>
        <w:rPr>
          <w:rFonts w:ascii="宋体" w:hAnsi="宋体"/>
          <w:kern w:val="44"/>
        </w:rPr>
      </w:pPr>
      <w:r>
        <w:rPr>
          <w:rFonts w:hint="eastAsia" w:ascii="宋体" w:hAnsi="宋体"/>
          <w:b/>
          <w:kern w:val="44"/>
        </w:rPr>
        <w:t>第十三条</w:t>
      </w:r>
      <w:r>
        <w:rPr>
          <w:rFonts w:hint="eastAsia" w:ascii="宋体" w:hAnsi="宋体"/>
          <w:kern w:val="44"/>
        </w:rPr>
        <w:t>　市规划行政管理部门及其各分局核发建设工程规划许可证时，应当告知建设单位向城市建设档案馆按时移交建设工程档案。</w:t>
      </w:r>
    </w:p>
    <w:p w14:paraId="08A23F11">
      <w:pPr>
        <w:jc w:val="left"/>
        <w:rPr>
          <w:rFonts w:ascii="宋体" w:hAnsi="宋体"/>
          <w:kern w:val="44"/>
        </w:rPr>
      </w:pPr>
      <w:r>
        <w:rPr>
          <w:rFonts w:hint="eastAsia" w:ascii="宋体" w:hAnsi="宋体"/>
          <w:kern w:val="44"/>
        </w:rPr>
        <w:t>城市建设档案馆应当对建设单位城市建设档案形成、编制、整理、归档工作进行业务指导，对国家和本市重点工程的城市建设工程档案编制、整理、归档工作应当指派专人进行具体指导。</w:t>
      </w:r>
    </w:p>
    <w:p w14:paraId="58248795">
      <w:pPr>
        <w:ind w:firstLine="422"/>
        <w:jc w:val="left"/>
        <w:rPr>
          <w:rFonts w:ascii="宋体" w:hAnsi="宋体"/>
          <w:kern w:val="44"/>
        </w:rPr>
      </w:pPr>
      <w:r>
        <w:rPr>
          <w:rFonts w:hint="eastAsia" w:ascii="宋体" w:hAnsi="宋体"/>
          <w:b/>
          <w:kern w:val="44"/>
        </w:rPr>
        <w:t>第十四条</w:t>
      </w:r>
      <w:r>
        <w:rPr>
          <w:rFonts w:hint="eastAsia" w:ascii="宋体" w:hAnsi="宋体"/>
          <w:kern w:val="44"/>
        </w:rPr>
        <w:t>　建设单位在组织竣工验收前，应当提请城市建设档案馆对建设工程档案进行预验收。建设行政管理部门在办理建设工程竣工验收备案时，应当按照规定查验建设工程档案预验收情况。</w:t>
      </w:r>
    </w:p>
    <w:p w14:paraId="37BDC986">
      <w:pPr>
        <w:ind w:firstLine="422"/>
        <w:jc w:val="left"/>
        <w:rPr>
          <w:rFonts w:ascii="宋体" w:hAnsi="宋体"/>
          <w:kern w:val="44"/>
        </w:rPr>
      </w:pPr>
      <w:r>
        <w:rPr>
          <w:rFonts w:hint="eastAsia" w:ascii="宋体" w:hAnsi="宋体"/>
          <w:b/>
          <w:kern w:val="44"/>
        </w:rPr>
        <w:t>第十五条</w:t>
      </w:r>
      <w:r>
        <w:rPr>
          <w:rFonts w:hint="eastAsia" w:ascii="宋体" w:hAnsi="宋体"/>
          <w:kern w:val="44"/>
        </w:rPr>
        <w:t>　城市建设档案馆应当对接收进馆的城市建设档案实行科学规范管理，及时登记、整理，编制检索工具。</w:t>
      </w:r>
    </w:p>
    <w:p w14:paraId="729D687D">
      <w:pPr>
        <w:jc w:val="left"/>
        <w:rPr>
          <w:rFonts w:ascii="宋体" w:hAnsi="宋体"/>
          <w:kern w:val="44"/>
        </w:rPr>
      </w:pPr>
      <w:r>
        <w:rPr>
          <w:rFonts w:hint="eastAsia" w:ascii="宋体" w:hAnsi="宋体"/>
          <w:kern w:val="44"/>
        </w:rPr>
        <w:t>城市建设档案馆应当建立健全城市建设档案保护的各项管理制度，配置适宜保管、利用城市建设档案的专门库房和必要设施，采用先进技术，防治有害物质，及时消除不安全因素，确保档案的完整与安全。对破损或者变质的档案，应当及时抢救、修复。</w:t>
      </w:r>
    </w:p>
    <w:p w14:paraId="442B4BFF">
      <w:pPr>
        <w:ind w:firstLine="422"/>
        <w:jc w:val="left"/>
        <w:rPr>
          <w:rFonts w:ascii="宋体" w:hAnsi="宋体"/>
          <w:kern w:val="44"/>
        </w:rPr>
      </w:pPr>
      <w:r>
        <w:rPr>
          <w:rFonts w:hint="eastAsia" w:ascii="宋体" w:hAnsi="宋体"/>
          <w:b/>
          <w:kern w:val="44"/>
        </w:rPr>
        <w:t>第十六条</w:t>
      </w:r>
      <w:r>
        <w:rPr>
          <w:rFonts w:hint="eastAsia" w:ascii="宋体" w:hAnsi="宋体"/>
          <w:kern w:val="44"/>
        </w:rPr>
        <w:t>　城市建设档案馆应当按照国家和本市有关规定确定城市建设档案保管期限以及应当保密的密级。</w:t>
      </w:r>
    </w:p>
    <w:p w14:paraId="114C9491">
      <w:pPr>
        <w:jc w:val="left"/>
        <w:rPr>
          <w:rFonts w:ascii="宋体" w:hAnsi="宋体"/>
          <w:kern w:val="44"/>
        </w:rPr>
      </w:pPr>
      <w:r>
        <w:rPr>
          <w:rFonts w:hint="eastAsia" w:ascii="宋体" w:hAnsi="宋体"/>
          <w:kern w:val="44"/>
        </w:rPr>
        <w:t>城市建设档案馆应当定期对保管的档案进行鉴定。对失去保存价值的档案列出销毁清册，按照国家有关规定予以销毁。禁止擅自销毁档案。</w:t>
      </w:r>
    </w:p>
    <w:p w14:paraId="3B8E07D2">
      <w:pPr>
        <w:jc w:val="left"/>
        <w:rPr>
          <w:rFonts w:ascii="宋体" w:hAnsi="宋体"/>
          <w:kern w:val="44"/>
        </w:rPr>
      </w:pPr>
      <w:r>
        <w:rPr>
          <w:rFonts w:hint="eastAsia" w:ascii="宋体" w:hAnsi="宋体"/>
          <w:kern w:val="44"/>
        </w:rPr>
        <w:t>对具有密级的城市建设档案管理和利用，以及密级的变更和解密必须按照国家有关保密的法律和法规办理。</w:t>
      </w:r>
    </w:p>
    <w:p w14:paraId="2673A2B5">
      <w:pPr>
        <w:ind w:firstLine="422"/>
        <w:jc w:val="left"/>
        <w:rPr>
          <w:rFonts w:ascii="宋体" w:hAnsi="宋体"/>
          <w:kern w:val="44"/>
        </w:rPr>
      </w:pPr>
      <w:r>
        <w:rPr>
          <w:rFonts w:hint="eastAsia" w:ascii="宋体" w:hAnsi="宋体"/>
          <w:b/>
          <w:kern w:val="44"/>
        </w:rPr>
        <w:t>第十七条</w:t>
      </w:r>
      <w:r>
        <w:rPr>
          <w:rFonts w:hint="eastAsia" w:ascii="宋体" w:hAnsi="宋体"/>
          <w:kern w:val="44"/>
        </w:rPr>
        <w:t>　城市建设档案馆应当按照国家有关规定定期公布开放的城市建设档案目录。</w:t>
      </w:r>
    </w:p>
    <w:p w14:paraId="5862A9B0">
      <w:pPr>
        <w:jc w:val="left"/>
        <w:rPr>
          <w:rFonts w:ascii="宋体" w:hAnsi="宋体"/>
          <w:kern w:val="44"/>
        </w:rPr>
      </w:pPr>
      <w:r>
        <w:rPr>
          <w:rFonts w:hint="eastAsia" w:ascii="宋体" w:hAnsi="宋体"/>
          <w:kern w:val="44"/>
        </w:rPr>
        <w:t>单位和个人持介绍信或者工作证、身份证等合法证明，可以利用已开放的城市建设档案。单位按照有关规定，可以利用未开放的城市建设档案。</w:t>
      </w:r>
    </w:p>
    <w:p w14:paraId="33934D43">
      <w:pPr>
        <w:jc w:val="left"/>
        <w:rPr>
          <w:rFonts w:ascii="宋体" w:hAnsi="宋体"/>
          <w:kern w:val="44"/>
        </w:rPr>
      </w:pPr>
      <w:r>
        <w:rPr>
          <w:rFonts w:hint="eastAsia" w:ascii="宋体" w:hAnsi="宋体"/>
          <w:kern w:val="44"/>
        </w:rPr>
        <w:t>向城市建设档案馆移交、捐赠、委托保管城市建设档案的单位和个人，对其档案享有优先利用权，并可对其档案不宜向社会开放的部分提出限制利用意见，城市建设档案馆应当依法维护他们的合法权益。</w:t>
      </w:r>
    </w:p>
    <w:p w14:paraId="51AAE3FA">
      <w:pPr>
        <w:ind w:firstLine="422"/>
        <w:jc w:val="left"/>
        <w:rPr>
          <w:rFonts w:ascii="宋体" w:hAnsi="宋体"/>
          <w:kern w:val="44"/>
        </w:rPr>
      </w:pPr>
      <w:r>
        <w:rPr>
          <w:rFonts w:hint="eastAsia" w:ascii="宋体" w:hAnsi="宋体"/>
          <w:b/>
          <w:kern w:val="44"/>
        </w:rPr>
        <w:t>第十八条</w:t>
      </w:r>
      <w:r>
        <w:rPr>
          <w:rFonts w:hint="eastAsia" w:ascii="宋体" w:hAnsi="宋体"/>
          <w:kern w:val="44"/>
        </w:rPr>
        <w:t>　城市建设档案馆应当充分利用城市建设档案信息资源，建立城市建设档案资料信息库、目录库，汇编城市建设档案综合信息，为社会提供城市建设基础数据、城市建设信息咨询和技术服务等。</w:t>
      </w:r>
    </w:p>
    <w:p w14:paraId="2652F3FF">
      <w:pPr>
        <w:ind w:firstLine="422"/>
        <w:jc w:val="left"/>
        <w:rPr>
          <w:rFonts w:ascii="宋体" w:hAnsi="宋体"/>
          <w:kern w:val="44"/>
        </w:rPr>
      </w:pPr>
      <w:r>
        <w:rPr>
          <w:rFonts w:hint="eastAsia" w:ascii="宋体" w:hAnsi="宋体"/>
          <w:b/>
          <w:kern w:val="44"/>
        </w:rPr>
        <w:t>第十九条</w:t>
      </w:r>
      <w:r>
        <w:rPr>
          <w:rFonts w:hint="eastAsia" w:ascii="宋体" w:hAnsi="宋体"/>
          <w:kern w:val="44"/>
        </w:rPr>
        <w:t>　建设单位或者施工单位在施工前应当查阅施工地点有关地下管线、设施等隐蔽工程档案资料。</w:t>
      </w:r>
    </w:p>
    <w:p w14:paraId="27E5BB1C">
      <w:pPr>
        <w:jc w:val="left"/>
        <w:rPr>
          <w:rFonts w:ascii="宋体" w:hAnsi="宋体"/>
          <w:kern w:val="44"/>
        </w:rPr>
      </w:pPr>
      <w:r>
        <w:rPr>
          <w:rFonts w:hint="eastAsia" w:ascii="宋体" w:hAnsi="宋体"/>
          <w:kern w:val="44"/>
        </w:rPr>
        <w:t>地下管线、设施等隐蔽工程的建设单位应当及时移交齐全、准确的地下管线、设施等隐蔽工程档案资料。未移交以及未按时移交工程档案资料，或者移交工程档案资料不齐全、不准确，致使其他建设单位、施工单位因无法查阅有关档案资料或者查阅的档案资料内容不准确造成施工破坏地下管线、设施等隐蔽工程的，地下管线、设施等隐蔽工程的建设单位应当依法承担相应责任。</w:t>
      </w:r>
    </w:p>
    <w:p w14:paraId="5732B5C2">
      <w:pPr>
        <w:ind w:firstLine="422"/>
        <w:jc w:val="left"/>
        <w:rPr>
          <w:rFonts w:ascii="宋体" w:hAnsi="宋体"/>
          <w:kern w:val="44"/>
        </w:rPr>
      </w:pPr>
      <w:r>
        <w:rPr>
          <w:rFonts w:hint="eastAsia" w:ascii="宋体" w:hAnsi="宋体"/>
          <w:b/>
          <w:kern w:val="44"/>
        </w:rPr>
        <w:t>第二十条</w:t>
      </w:r>
      <w:r>
        <w:rPr>
          <w:rFonts w:hint="eastAsia" w:ascii="宋体" w:hAnsi="宋体"/>
          <w:kern w:val="44"/>
        </w:rPr>
        <w:t>　城市建设档案馆应当加强城市建设档案理论研究、宣传教育和业务培训工作，利用媒体、展览等形式向社会开展爱国主义和国情、市情教育。</w:t>
      </w:r>
    </w:p>
    <w:p w14:paraId="6060C128">
      <w:pPr>
        <w:ind w:firstLine="422"/>
        <w:jc w:val="left"/>
        <w:rPr>
          <w:rFonts w:ascii="宋体" w:hAnsi="宋体"/>
          <w:kern w:val="44"/>
        </w:rPr>
      </w:pPr>
      <w:r>
        <w:rPr>
          <w:rFonts w:hint="eastAsia" w:ascii="宋体" w:hAnsi="宋体"/>
          <w:b/>
          <w:kern w:val="44"/>
        </w:rPr>
        <w:t>第二十一条</w:t>
      </w:r>
      <w:r>
        <w:rPr>
          <w:rFonts w:hint="eastAsia" w:ascii="宋体" w:hAnsi="宋体"/>
          <w:kern w:val="44"/>
        </w:rPr>
        <w:t>　建设工程竣工后，建设单位未按照规定移交建设工程档案的，由市规划行政管理部门或者各分局责令改正，并处1万元以上10万元以下罚款；对单位直接负责的主管人员和其他直接责任人员处单位罚款数额5％以上10％以下罚款。</w:t>
      </w:r>
    </w:p>
    <w:p w14:paraId="4C19FFDF">
      <w:pPr>
        <w:ind w:firstLine="422"/>
        <w:jc w:val="left"/>
        <w:rPr>
          <w:rFonts w:ascii="宋体" w:hAnsi="宋体"/>
          <w:kern w:val="44"/>
        </w:rPr>
      </w:pPr>
      <w:r>
        <w:rPr>
          <w:rFonts w:hint="eastAsia" w:ascii="宋体" w:hAnsi="宋体"/>
          <w:b/>
          <w:kern w:val="44"/>
        </w:rPr>
        <w:t>第二十二条</w:t>
      </w:r>
      <w:r>
        <w:rPr>
          <w:rFonts w:hint="eastAsia" w:ascii="宋体" w:hAnsi="宋体"/>
          <w:kern w:val="44"/>
        </w:rPr>
        <w:t>　本办法自2003年10月1日起施行。1983年6月14日市人民政府发布的《北京市城市建设档案管理规定》同时废止。</w:t>
      </w:r>
    </w:p>
    <w:p w14:paraId="6299C326">
      <w:pPr>
        <w:pStyle w:val="4"/>
        <w:pageBreakBefore/>
        <w:rPr>
          <w:kern w:val="44"/>
        </w:rPr>
      </w:pPr>
      <w:bookmarkStart w:id="912" w:name="_Toc428780106"/>
      <w:bookmarkStart w:id="913" w:name="_Toc428781588"/>
      <w:bookmarkStart w:id="914" w:name="_Toc422471248"/>
      <w:bookmarkStart w:id="915" w:name="_Toc427651882"/>
      <w:bookmarkStart w:id="916" w:name="_Toc427651540"/>
      <w:r>
        <w:rPr>
          <w:rFonts w:hint="eastAsia"/>
          <w:kern w:val="44"/>
        </w:rPr>
        <w:t>北京市建筑工程施工许可办法</w:t>
      </w:r>
      <w:bookmarkEnd w:id="912"/>
      <w:bookmarkEnd w:id="913"/>
      <w:bookmarkEnd w:id="914"/>
      <w:bookmarkEnd w:id="915"/>
      <w:bookmarkEnd w:id="916"/>
    </w:p>
    <w:p w14:paraId="406379BD">
      <w:pPr>
        <w:ind w:left="630" w:leftChars="300" w:right="630" w:rightChars="300"/>
        <w:jc w:val="left"/>
        <w:rPr>
          <w:rFonts w:ascii="楷体" w:hAnsi="楷体" w:eastAsia="楷体"/>
          <w:kern w:val="44"/>
        </w:rPr>
      </w:pPr>
      <w:r>
        <w:rPr>
          <w:rFonts w:hint="eastAsia" w:ascii="楷体" w:hAnsi="楷体" w:eastAsia="楷体"/>
          <w:kern w:val="44"/>
        </w:rPr>
        <w:t>（2003年11月11日北京市人民政府第16次常务会议审议通过  2003年11月25日北京市人民政府第139号令发布）</w:t>
      </w:r>
    </w:p>
    <w:p w14:paraId="07DF006F">
      <w:pPr>
        <w:jc w:val="left"/>
        <w:rPr>
          <w:rFonts w:ascii="宋体" w:hAnsi="宋体"/>
          <w:kern w:val="44"/>
        </w:rPr>
      </w:pPr>
    </w:p>
    <w:p w14:paraId="22D036B1">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为了加强对建筑活动的监督管理，维护建筑市场秩序，保证建筑工程质量和施工安全，根据《中华人民共和国建筑法》和《建设工程质量管理条例》，结合本市实际情况，制定本办法。</w:t>
      </w:r>
    </w:p>
    <w:p w14:paraId="54069566">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在本市行政区域内进行工程投资额在30万元以上或者建筑面积在300平方米以上的下列建筑工程施工的，建设单位应当领取施工许可证：</w:t>
      </w:r>
    </w:p>
    <w:p w14:paraId="1E2D7254">
      <w:pPr>
        <w:jc w:val="left"/>
        <w:rPr>
          <w:rFonts w:ascii="宋体" w:hAnsi="宋体"/>
          <w:kern w:val="44"/>
        </w:rPr>
      </w:pPr>
      <w:r>
        <w:rPr>
          <w:rFonts w:hint="eastAsia" w:ascii="宋体" w:hAnsi="宋体"/>
          <w:kern w:val="44"/>
        </w:rPr>
        <w:t>（一）房屋建筑及其附属设施和与其配套的线路、管道、设备安装的新建、改建、扩建工程；</w:t>
      </w:r>
    </w:p>
    <w:p w14:paraId="73D9E553">
      <w:pPr>
        <w:jc w:val="left"/>
        <w:rPr>
          <w:rFonts w:ascii="宋体" w:hAnsi="宋体"/>
          <w:kern w:val="44"/>
        </w:rPr>
      </w:pPr>
      <w:r>
        <w:rPr>
          <w:rFonts w:hint="eastAsia" w:ascii="宋体" w:hAnsi="宋体"/>
          <w:kern w:val="44"/>
        </w:rPr>
        <w:t>（二）市政基础设施的新建、改建、扩建工程；</w:t>
      </w:r>
    </w:p>
    <w:p w14:paraId="04219988">
      <w:pPr>
        <w:jc w:val="left"/>
        <w:rPr>
          <w:rFonts w:ascii="宋体" w:hAnsi="宋体"/>
          <w:kern w:val="44"/>
        </w:rPr>
      </w:pPr>
      <w:r>
        <w:rPr>
          <w:rFonts w:hint="eastAsia" w:ascii="宋体" w:hAnsi="宋体"/>
          <w:kern w:val="44"/>
        </w:rPr>
        <w:t>（三）房屋装饰装修工程。</w:t>
      </w:r>
    </w:p>
    <w:p w14:paraId="0A4ACF47">
      <w:pPr>
        <w:jc w:val="left"/>
        <w:rPr>
          <w:rFonts w:ascii="宋体" w:hAnsi="宋体"/>
          <w:kern w:val="44"/>
        </w:rPr>
      </w:pPr>
      <w:r>
        <w:rPr>
          <w:rFonts w:hint="eastAsia" w:ascii="宋体" w:hAnsi="宋体"/>
          <w:kern w:val="44"/>
        </w:rPr>
        <w:t>按照国务院规定的权限和程序批准开工报告的建筑工程，不再领取施工许可证。</w:t>
      </w:r>
    </w:p>
    <w:p w14:paraId="47525C7B">
      <w:pPr>
        <w:ind w:firstLine="422"/>
        <w:jc w:val="left"/>
        <w:rPr>
          <w:rFonts w:ascii="宋体" w:hAnsi="宋体"/>
          <w:kern w:val="44"/>
        </w:rPr>
      </w:pPr>
      <w:r>
        <w:rPr>
          <w:rFonts w:hint="eastAsia" w:ascii="宋体" w:hAnsi="宋体"/>
          <w:b/>
          <w:kern w:val="44"/>
        </w:rPr>
        <w:t>第三条</w:t>
      </w:r>
      <w:r>
        <w:rPr>
          <w:rFonts w:hint="eastAsia" w:ascii="宋体" w:hAnsi="宋体"/>
          <w:kern w:val="44"/>
        </w:rPr>
        <w:t>　依法应当领取施工许可证而未领取的，建筑工程不得开工。</w:t>
      </w:r>
    </w:p>
    <w:p w14:paraId="306D7C1A">
      <w:pPr>
        <w:jc w:val="left"/>
        <w:rPr>
          <w:rFonts w:ascii="宋体" w:hAnsi="宋体"/>
          <w:kern w:val="44"/>
        </w:rPr>
      </w:pPr>
      <w:r>
        <w:rPr>
          <w:rFonts w:hint="eastAsia" w:ascii="宋体" w:hAnsi="宋体"/>
          <w:kern w:val="44"/>
        </w:rPr>
        <w:t>本办法所称开工，是指建筑工程开始施工作业，其中，新建工程的开工，是指开始进行基础桩施工或者土方开挖；改建、扩建工程和旧有房屋装饰装修工程的开工，是指开始进行拆改作业。</w:t>
      </w:r>
    </w:p>
    <w:p w14:paraId="0DED3EA0">
      <w:pPr>
        <w:ind w:firstLine="422"/>
        <w:jc w:val="left"/>
        <w:rPr>
          <w:rFonts w:ascii="宋体" w:hAnsi="宋体"/>
          <w:kern w:val="44"/>
        </w:rPr>
      </w:pPr>
      <w:r>
        <w:rPr>
          <w:rFonts w:hint="eastAsia" w:ascii="宋体" w:hAnsi="宋体"/>
          <w:b/>
          <w:kern w:val="44"/>
        </w:rPr>
        <w:t>第四条</w:t>
      </w:r>
      <w:r>
        <w:rPr>
          <w:rFonts w:hint="eastAsia" w:ascii="宋体" w:hAnsi="宋体"/>
          <w:kern w:val="44"/>
        </w:rPr>
        <w:t>　任何单位和个人不得将应该申请领取施工许可证的工程项目分解为若干限额以下的工程项目，规避申请领取施工许可证。</w:t>
      </w:r>
    </w:p>
    <w:p w14:paraId="13DB1F24">
      <w:pPr>
        <w:ind w:firstLine="422"/>
        <w:jc w:val="left"/>
        <w:rPr>
          <w:rFonts w:ascii="宋体" w:hAnsi="宋体"/>
          <w:kern w:val="44"/>
        </w:rPr>
      </w:pPr>
      <w:r>
        <w:rPr>
          <w:rFonts w:hint="eastAsia" w:ascii="宋体" w:hAnsi="宋体"/>
          <w:b/>
          <w:kern w:val="44"/>
        </w:rPr>
        <w:t>第五条</w:t>
      </w:r>
      <w:r>
        <w:rPr>
          <w:rFonts w:hint="eastAsia" w:ascii="宋体" w:hAnsi="宋体"/>
          <w:kern w:val="44"/>
        </w:rPr>
        <w:t>　市建设委员会是本市建筑工程施工许可的主管机关。区、县建设委员会按照规定职责负责本行政区域内建筑工程施工许可工作。</w:t>
      </w:r>
    </w:p>
    <w:p w14:paraId="6216B1B1">
      <w:pPr>
        <w:ind w:firstLine="422"/>
        <w:jc w:val="left"/>
        <w:rPr>
          <w:rFonts w:ascii="宋体" w:hAnsi="宋体"/>
          <w:kern w:val="44"/>
        </w:rPr>
      </w:pPr>
      <w:r>
        <w:rPr>
          <w:rFonts w:hint="eastAsia" w:ascii="宋体" w:hAnsi="宋体"/>
          <w:b/>
          <w:kern w:val="44"/>
        </w:rPr>
        <w:t>第六条</w:t>
      </w:r>
      <w:r>
        <w:rPr>
          <w:rFonts w:hint="eastAsia" w:ascii="宋体" w:hAnsi="宋体"/>
          <w:kern w:val="44"/>
        </w:rPr>
        <w:t>　建设单位领取施工许可证，应当具备下列条件：</w:t>
      </w:r>
    </w:p>
    <w:p w14:paraId="47B24491">
      <w:pPr>
        <w:jc w:val="left"/>
        <w:rPr>
          <w:rFonts w:ascii="宋体" w:hAnsi="宋体"/>
          <w:kern w:val="44"/>
        </w:rPr>
      </w:pPr>
      <w:r>
        <w:rPr>
          <w:rFonts w:hint="eastAsia" w:ascii="宋体" w:hAnsi="宋体"/>
          <w:kern w:val="44"/>
        </w:rPr>
        <w:t>（一）已经办理该建筑工程用地批准手续并取得土地使用权，房屋装饰装修工程应当取得房屋所有权人同意；</w:t>
      </w:r>
    </w:p>
    <w:p w14:paraId="2ED2F54A">
      <w:pPr>
        <w:jc w:val="left"/>
        <w:rPr>
          <w:rFonts w:ascii="宋体" w:hAnsi="宋体"/>
          <w:kern w:val="44"/>
        </w:rPr>
      </w:pPr>
      <w:r>
        <w:rPr>
          <w:rFonts w:hint="eastAsia" w:ascii="宋体" w:hAnsi="宋体"/>
          <w:kern w:val="44"/>
        </w:rPr>
        <w:t>（二）取得建设工程规划许可证；</w:t>
      </w:r>
    </w:p>
    <w:p w14:paraId="2EB85ECB">
      <w:pPr>
        <w:jc w:val="left"/>
        <w:rPr>
          <w:rFonts w:ascii="宋体" w:hAnsi="宋体"/>
          <w:kern w:val="44"/>
        </w:rPr>
      </w:pPr>
      <w:r>
        <w:rPr>
          <w:rFonts w:hint="eastAsia" w:ascii="宋体" w:hAnsi="宋体"/>
          <w:kern w:val="44"/>
        </w:rPr>
        <w:t>（三）需要拆迁的，其拆迁进度符合施工要求；需要挖掘道路的，已经征得道路主管部门同意，影响交通安全的，已经征得公安机关交通管理部门的同意；</w:t>
      </w:r>
    </w:p>
    <w:p w14:paraId="399BB85F">
      <w:pPr>
        <w:jc w:val="left"/>
        <w:rPr>
          <w:rFonts w:ascii="宋体" w:hAnsi="宋体"/>
          <w:kern w:val="44"/>
        </w:rPr>
      </w:pPr>
      <w:r>
        <w:rPr>
          <w:rFonts w:hint="eastAsia" w:ascii="宋体" w:hAnsi="宋体"/>
          <w:kern w:val="44"/>
        </w:rPr>
        <w:t>（四）已经确定建筑施工企业，并签订施工承包合同；</w:t>
      </w:r>
    </w:p>
    <w:p w14:paraId="0766F010">
      <w:pPr>
        <w:jc w:val="left"/>
        <w:rPr>
          <w:rFonts w:ascii="宋体" w:hAnsi="宋体"/>
          <w:kern w:val="44"/>
        </w:rPr>
      </w:pPr>
      <w:r>
        <w:rPr>
          <w:rFonts w:hint="eastAsia" w:ascii="宋体" w:hAnsi="宋体"/>
          <w:kern w:val="44"/>
        </w:rPr>
        <w:t>（五）有满足施工需要的施工图纸及技术资料，施工图设计文件已按规定进行了审查，依法建设的人防工程的施工图符合有关法律规定；</w:t>
      </w:r>
    </w:p>
    <w:p w14:paraId="73E65577">
      <w:pPr>
        <w:jc w:val="left"/>
        <w:rPr>
          <w:rFonts w:ascii="宋体" w:hAnsi="宋体"/>
          <w:kern w:val="44"/>
        </w:rPr>
      </w:pPr>
      <w:r>
        <w:rPr>
          <w:rFonts w:hint="eastAsia" w:ascii="宋体" w:hAnsi="宋体"/>
          <w:kern w:val="44"/>
        </w:rPr>
        <w:t>（六）有保证工程质量和安全的具体措施，并按规定办理了工程质量监督手续；</w:t>
      </w:r>
    </w:p>
    <w:p w14:paraId="13A8A0D9">
      <w:pPr>
        <w:jc w:val="left"/>
        <w:rPr>
          <w:rFonts w:ascii="宋体" w:hAnsi="宋体"/>
          <w:kern w:val="44"/>
        </w:rPr>
      </w:pPr>
      <w:r>
        <w:rPr>
          <w:rFonts w:hint="eastAsia" w:ascii="宋体" w:hAnsi="宋体"/>
          <w:kern w:val="44"/>
        </w:rPr>
        <w:t>（七）建设资金已经落实，建设工期不足1年的，到位资金不得少于工程合同价款的50％；建设工期超过1年的，到位资金不得少于工程合同价款的30％；</w:t>
      </w:r>
    </w:p>
    <w:p w14:paraId="16184933">
      <w:pPr>
        <w:jc w:val="left"/>
        <w:rPr>
          <w:rFonts w:ascii="宋体" w:hAnsi="宋体"/>
          <w:kern w:val="44"/>
        </w:rPr>
      </w:pPr>
      <w:r>
        <w:rPr>
          <w:rFonts w:hint="eastAsia" w:ascii="宋体" w:hAnsi="宋体"/>
          <w:kern w:val="44"/>
        </w:rPr>
        <w:t>（八）法律、行政法规规定的其他条件。</w:t>
      </w:r>
    </w:p>
    <w:p w14:paraId="4261A705">
      <w:pPr>
        <w:ind w:firstLine="422"/>
        <w:jc w:val="left"/>
        <w:rPr>
          <w:rFonts w:ascii="宋体" w:hAnsi="宋体"/>
          <w:kern w:val="44"/>
        </w:rPr>
      </w:pPr>
      <w:r>
        <w:rPr>
          <w:rFonts w:hint="eastAsia" w:ascii="宋体" w:hAnsi="宋体"/>
          <w:b/>
          <w:kern w:val="44"/>
        </w:rPr>
        <w:t>第七条</w:t>
      </w:r>
      <w:r>
        <w:rPr>
          <w:rFonts w:hint="eastAsia" w:ascii="宋体" w:hAnsi="宋体"/>
          <w:kern w:val="44"/>
        </w:rPr>
        <w:t>　施工许可证应当以建设项目为单位领取。但房屋建筑工程可以以一个或者若干单项工程为单位分别领取；线状市政基础设施工程可以分段领取。</w:t>
      </w:r>
    </w:p>
    <w:p w14:paraId="7D1B3FC2">
      <w:pPr>
        <w:jc w:val="left"/>
        <w:rPr>
          <w:rFonts w:ascii="宋体" w:hAnsi="宋体"/>
          <w:kern w:val="44"/>
        </w:rPr>
      </w:pPr>
      <w:r>
        <w:rPr>
          <w:rFonts w:hint="eastAsia" w:ascii="宋体" w:hAnsi="宋体"/>
          <w:kern w:val="44"/>
        </w:rPr>
        <w:t>按照前款规定建设项目分别领取施工许可证的，各单项工程、分段工程的工程投资额或者建筑面积不得低于本办法第二条规定的限额；各单项工程、分段工程的建设规模、工程投资额总和应当分别与建设项目的总建设规模和总工程投资额一致。</w:t>
      </w:r>
    </w:p>
    <w:p w14:paraId="676615AB">
      <w:pPr>
        <w:ind w:firstLine="422"/>
        <w:jc w:val="left"/>
        <w:rPr>
          <w:rFonts w:ascii="宋体" w:hAnsi="宋体"/>
          <w:kern w:val="44"/>
        </w:rPr>
      </w:pPr>
      <w:r>
        <w:rPr>
          <w:rFonts w:hint="eastAsia" w:ascii="宋体" w:hAnsi="宋体"/>
          <w:b/>
          <w:kern w:val="44"/>
        </w:rPr>
        <w:t>第八条</w:t>
      </w:r>
      <w:r>
        <w:rPr>
          <w:rFonts w:hint="eastAsia" w:ascii="宋体" w:hAnsi="宋体"/>
          <w:kern w:val="44"/>
        </w:rPr>
        <w:t>　新建道路的地下管线工程应当随同新建道路工程领取施工许可证；房屋附属设施工程、与房屋配套的线路、管道、设备安装工程应当随同房屋建筑工程领取施工许可证；新建房屋装饰装修工程可以随同房屋建筑工程领取施工许可证。</w:t>
      </w:r>
    </w:p>
    <w:p w14:paraId="68A32AE1">
      <w:pPr>
        <w:ind w:firstLine="422"/>
        <w:jc w:val="left"/>
        <w:rPr>
          <w:rFonts w:ascii="宋体" w:hAnsi="宋体"/>
          <w:kern w:val="44"/>
        </w:rPr>
      </w:pPr>
      <w:r>
        <w:rPr>
          <w:rFonts w:hint="eastAsia" w:ascii="宋体" w:hAnsi="宋体"/>
          <w:b/>
          <w:kern w:val="44"/>
        </w:rPr>
        <w:t>第九条</w:t>
      </w:r>
      <w:r>
        <w:rPr>
          <w:rFonts w:hint="eastAsia" w:ascii="宋体" w:hAnsi="宋体"/>
          <w:kern w:val="44"/>
        </w:rPr>
        <w:t>　建设单位应当在建筑工程开工前向市建设委员会或者建筑工程所在地的区、县建设委员会（以下简称发证机关）申请领取施工许可证，并提交下列文件：</w:t>
      </w:r>
    </w:p>
    <w:p w14:paraId="0E74B217">
      <w:pPr>
        <w:jc w:val="left"/>
        <w:rPr>
          <w:rFonts w:ascii="宋体" w:hAnsi="宋体"/>
          <w:kern w:val="44"/>
        </w:rPr>
      </w:pPr>
      <w:r>
        <w:rPr>
          <w:rFonts w:hint="eastAsia" w:ascii="宋体" w:hAnsi="宋体"/>
          <w:kern w:val="44"/>
        </w:rPr>
        <w:t>（一）填写齐备并加盖建设单位印章的施工许可证申请表，申请表可以从市建设委员会网站上下载或者向发证机关免费索取；</w:t>
      </w:r>
    </w:p>
    <w:p w14:paraId="51F30BAE">
      <w:pPr>
        <w:jc w:val="left"/>
        <w:rPr>
          <w:rFonts w:ascii="宋体" w:hAnsi="宋体"/>
          <w:kern w:val="44"/>
        </w:rPr>
      </w:pPr>
      <w:r>
        <w:rPr>
          <w:rFonts w:hint="eastAsia" w:ascii="宋体" w:hAnsi="宋体"/>
          <w:kern w:val="44"/>
        </w:rPr>
        <w:t>（二）符合本办法第六条规定条件的证明文件。</w:t>
      </w:r>
    </w:p>
    <w:p w14:paraId="79FF6F10">
      <w:pPr>
        <w:ind w:firstLine="422"/>
        <w:jc w:val="left"/>
        <w:rPr>
          <w:rFonts w:ascii="宋体" w:hAnsi="宋体"/>
          <w:kern w:val="44"/>
        </w:rPr>
      </w:pPr>
      <w:r>
        <w:rPr>
          <w:rFonts w:hint="eastAsia" w:ascii="宋体" w:hAnsi="宋体"/>
          <w:b/>
          <w:kern w:val="44"/>
        </w:rPr>
        <w:t>第十条</w:t>
      </w:r>
      <w:r>
        <w:rPr>
          <w:rFonts w:hint="eastAsia" w:ascii="宋体" w:hAnsi="宋体"/>
          <w:kern w:val="44"/>
        </w:rPr>
        <w:t>　发证机关应当即时审查建设单位的施工许可申请，对申请人提交的文件不齐备的，应当当场一次告知需要补正的全部文件；对提交文件齐备的，应当受理施工许可申请并出具加盖本行政机关专用印章和注明日期的书面凭证。</w:t>
      </w:r>
    </w:p>
    <w:p w14:paraId="5D6F4006">
      <w:pPr>
        <w:jc w:val="left"/>
        <w:rPr>
          <w:rFonts w:ascii="宋体" w:hAnsi="宋体"/>
          <w:kern w:val="44"/>
        </w:rPr>
      </w:pPr>
      <w:r>
        <w:rPr>
          <w:rFonts w:hint="eastAsia" w:ascii="宋体" w:hAnsi="宋体"/>
          <w:kern w:val="44"/>
        </w:rPr>
        <w:t>对符合本办法第六条规定的，发证机关应当自受理之日起10日内核发施工许可证；对不符合本办法第六条规定的，应当作出不予发证的书面决定并说明理由。</w:t>
      </w:r>
    </w:p>
    <w:p w14:paraId="3F9CDF74">
      <w:pPr>
        <w:jc w:val="left"/>
        <w:rPr>
          <w:rFonts w:ascii="宋体" w:hAnsi="宋体"/>
          <w:kern w:val="44"/>
        </w:rPr>
      </w:pPr>
      <w:r>
        <w:rPr>
          <w:rFonts w:hint="eastAsia" w:ascii="宋体" w:hAnsi="宋体"/>
          <w:kern w:val="44"/>
        </w:rPr>
        <w:t>发证机关可以根据需要对建筑工程用地进行现场踏勘。</w:t>
      </w:r>
    </w:p>
    <w:p w14:paraId="4F6444E2">
      <w:pPr>
        <w:ind w:firstLine="422"/>
        <w:jc w:val="left"/>
        <w:rPr>
          <w:rFonts w:ascii="宋体" w:hAnsi="宋体"/>
          <w:kern w:val="44"/>
        </w:rPr>
      </w:pPr>
      <w:r>
        <w:rPr>
          <w:rFonts w:hint="eastAsia" w:ascii="宋体" w:hAnsi="宋体"/>
          <w:b/>
          <w:kern w:val="44"/>
        </w:rPr>
        <w:t>第十一条</w:t>
      </w:r>
      <w:r>
        <w:rPr>
          <w:rFonts w:hint="eastAsia" w:ascii="宋体" w:hAnsi="宋体"/>
          <w:kern w:val="44"/>
        </w:rPr>
        <w:t>　施工许可证分为一件正本和两件副本，副本和正本具有同等法律效力。</w:t>
      </w:r>
    </w:p>
    <w:p w14:paraId="2A6024D2">
      <w:pPr>
        <w:jc w:val="left"/>
        <w:rPr>
          <w:rFonts w:ascii="宋体" w:hAnsi="宋体"/>
          <w:kern w:val="44"/>
        </w:rPr>
      </w:pPr>
      <w:r>
        <w:rPr>
          <w:rFonts w:hint="eastAsia" w:ascii="宋体" w:hAnsi="宋体"/>
          <w:kern w:val="44"/>
        </w:rPr>
        <w:t>禁止伪造、变造和涂改施工许可证。</w:t>
      </w:r>
    </w:p>
    <w:p w14:paraId="11080846">
      <w:pPr>
        <w:ind w:firstLine="422"/>
        <w:jc w:val="left"/>
        <w:rPr>
          <w:rFonts w:ascii="宋体" w:hAnsi="宋体"/>
          <w:kern w:val="44"/>
        </w:rPr>
      </w:pPr>
      <w:r>
        <w:rPr>
          <w:rFonts w:hint="eastAsia" w:ascii="宋体" w:hAnsi="宋体"/>
          <w:b/>
          <w:kern w:val="44"/>
        </w:rPr>
        <w:t>第十二条</w:t>
      </w:r>
      <w:r>
        <w:rPr>
          <w:rFonts w:hint="eastAsia" w:ascii="宋体" w:hAnsi="宋体"/>
          <w:kern w:val="44"/>
        </w:rPr>
        <w:t>　施工许可证发放后，建设单位或者施工单位发生变更的，应当重新申请领取施工许可证。</w:t>
      </w:r>
    </w:p>
    <w:p w14:paraId="3D47E453">
      <w:pPr>
        <w:jc w:val="left"/>
        <w:rPr>
          <w:rFonts w:ascii="宋体" w:hAnsi="宋体"/>
          <w:kern w:val="44"/>
        </w:rPr>
      </w:pPr>
      <w:r>
        <w:rPr>
          <w:rFonts w:hint="eastAsia" w:ascii="宋体" w:hAnsi="宋体"/>
          <w:kern w:val="44"/>
        </w:rPr>
        <w:t>本办法第六条规定的其他条件发生变更，依法应当报经有关行政主管部门办理变更手续的，建设单位应当在办理变更手续后10日内告知发证机关；依法不需要报经有关行政主管部门办理变更手续的，建设单位应当在条件变更后10日内告知发证机关。</w:t>
      </w:r>
    </w:p>
    <w:p w14:paraId="6253DE5D">
      <w:pPr>
        <w:ind w:firstLine="422"/>
        <w:jc w:val="left"/>
        <w:rPr>
          <w:rFonts w:ascii="宋体" w:hAnsi="宋体"/>
          <w:kern w:val="44"/>
        </w:rPr>
      </w:pPr>
      <w:r>
        <w:rPr>
          <w:rFonts w:hint="eastAsia" w:ascii="宋体" w:hAnsi="宋体"/>
          <w:b/>
          <w:kern w:val="44"/>
        </w:rPr>
        <w:t>第十三条</w:t>
      </w:r>
      <w:r>
        <w:rPr>
          <w:rFonts w:hint="eastAsia" w:ascii="宋体" w:hAnsi="宋体"/>
          <w:kern w:val="44"/>
        </w:rPr>
        <w:t>　建设单位应当在建筑工程施工现场的显著位置公示施工许可证复印件。</w:t>
      </w:r>
    </w:p>
    <w:p w14:paraId="5CD6238F">
      <w:pPr>
        <w:ind w:firstLine="422"/>
        <w:jc w:val="left"/>
        <w:rPr>
          <w:rFonts w:ascii="宋体" w:hAnsi="宋体"/>
          <w:kern w:val="44"/>
        </w:rPr>
      </w:pPr>
      <w:r>
        <w:rPr>
          <w:rFonts w:hint="eastAsia" w:ascii="宋体" w:hAnsi="宋体"/>
          <w:b/>
          <w:kern w:val="44"/>
        </w:rPr>
        <w:t>第十四条</w:t>
      </w:r>
      <w:r>
        <w:rPr>
          <w:rFonts w:hint="eastAsia" w:ascii="宋体" w:hAnsi="宋体"/>
          <w:kern w:val="44"/>
        </w:rPr>
        <w:t>　建设单位应当自领取施工许可证之日起3个月内开工。因故不能开工的，应当在期满前向发证机关申请延期；延期以两次为限，每次不超过3个月。既不开工又不申请延期或者超过延期次数、时限的，施工许可证自行废止。</w:t>
      </w:r>
    </w:p>
    <w:p w14:paraId="2C36FC83">
      <w:pPr>
        <w:ind w:firstLine="422"/>
        <w:jc w:val="left"/>
        <w:rPr>
          <w:rFonts w:ascii="宋体" w:hAnsi="宋体"/>
          <w:kern w:val="44"/>
        </w:rPr>
      </w:pPr>
      <w:r>
        <w:rPr>
          <w:rFonts w:hint="eastAsia" w:ascii="宋体" w:hAnsi="宋体"/>
          <w:b/>
          <w:kern w:val="44"/>
        </w:rPr>
        <w:t>第十五条</w:t>
      </w:r>
      <w:r>
        <w:rPr>
          <w:rFonts w:hint="eastAsia" w:ascii="宋体" w:hAnsi="宋体"/>
          <w:kern w:val="44"/>
        </w:rPr>
        <w:t>　在建的建筑工程因故中止施工的，建设单位应当自中止施工之日起1个月内以书面形式向发证机关报告，报告内容包括中止施工的时间、原因、施工进度、维修管理措施等，并按照规定做好建筑工程的维护管理工作。</w:t>
      </w:r>
    </w:p>
    <w:p w14:paraId="586A9043">
      <w:pPr>
        <w:jc w:val="left"/>
        <w:rPr>
          <w:rFonts w:ascii="宋体" w:hAnsi="宋体"/>
          <w:kern w:val="44"/>
        </w:rPr>
      </w:pPr>
      <w:r>
        <w:rPr>
          <w:rFonts w:hint="eastAsia" w:ascii="宋体" w:hAnsi="宋体"/>
          <w:kern w:val="44"/>
        </w:rPr>
        <w:t>建筑工程恢复施工时，应当向发证机关报告；中止施工满1年的工程恢复施工前，建设单位应当报发证机关核验施工许可证。</w:t>
      </w:r>
    </w:p>
    <w:p w14:paraId="32FA9EC8">
      <w:pPr>
        <w:ind w:firstLine="422"/>
        <w:jc w:val="left"/>
        <w:rPr>
          <w:rFonts w:ascii="宋体" w:hAnsi="宋体"/>
          <w:kern w:val="44"/>
        </w:rPr>
      </w:pPr>
      <w:r>
        <w:rPr>
          <w:rFonts w:hint="eastAsia" w:ascii="宋体" w:hAnsi="宋体"/>
          <w:b/>
          <w:kern w:val="44"/>
        </w:rPr>
        <w:t>第十六条</w:t>
      </w:r>
      <w:r>
        <w:rPr>
          <w:rFonts w:hint="eastAsia" w:ascii="宋体" w:hAnsi="宋体"/>
          <w:kern w:val="44"/>
        </w:rPr>
        <w:t>　市建设委员会应当定期汇总全市颁发的施工许可证情况，向社会公布并接受公众查询。</w:t>
      </w:r>
    </w:p>
    <w:p w14:paraId="64D44DEB">
      <w:pPr>
        <w:ind w:firstLine="422"/>
        <w:jc w:val="left"/>
        <w:rPr>
          <w:rFonts w:ascii="宋体" w:hAnsi="宋体"/>
          <w:kern w:val="44"/>
        </w:rPr>
      </w:pPr>
      <w:r>
        <w:rPr>
          <w:rFonts w:hint="eastAsia" w:ascii="宋体" w:hAnsi="宋体"/>
          <w:b/>
          <w:kern w:val="44"/>
        </w:rPr>
        <w:t>第十七条</w:t>
      </w:r>
      <w:r>
        <w:rPr>
          <w:rFonts w:hint="eastAsia" w:ascii="宋体" w:hAnsi="宋体"/>
          <w:kern w:val="44"/>
        </w:rPr>
        <w:t>　任何单位和个人有权对未取得施工许可证擅自施工或者不按照施工许可证规定施工的行为进行检举和举报。</w:t>
      </w:r>
    </w:p>
    <w:p w14:paraId="5B50379E">
      <w:pPr>
        <w:ind w:firstLine="422"/>
        <w:jc w:val="left"/>
        <w:rPr>
          <w:rFonts w:ascii="宋体" w:hAnsi="宋体"/>
          <w:kern w:val="44"/>
        </w:rPr>
      </w:pPr>
      <w:r>
        <w:rPr>
          <w:rFonts w:hint="eastAsia" w:ascii="宋体" w:hAnsi="宋体"/>
          <w:b/>
          <w:kern w:val="44"/>
        </w:rPr>
        <w:t>第十八条</w:t>
      </w:r>
      <w:r>
        <w:rPr>
          <w:rFonts w:hint="eastAsia" w:ascii="宋体" w:hAnsi="宋体"/>
          <w:kern w:val="44"/>
        </w:rPr>
        <w:t>　市建设委员会应当按照规定将建设单位、施工单位与施工许可有关的信用信息记入北京市企业信用信息系统。</w:t>
      </w:r>
    </w:p>
    <w:p w14:paraId="75459AE0">
      <w:pPr>
        <w:ind w:firstLine="422"/>
        <w:jc w:val="left"/>
        <w:rPr>
          <w:rFonts w:ascii="宋体" w:hAnsi="宋体"/>
          <w:kern w:val="44"/>
        </w:rPr>
      </w:pPr>
      <w:r>
        <w:rPr>
          <w:rFonts w:hint="eastAsia" w:ascii="宋体" w:hAnsi="宋体"/>
          <w:b/>
          <w:kern w:val="44"/>
        </w:rPr>
        <w:t>第十九条</w:t>
      </w:r>
      <w:r>
        <w:rPr>
          <w:rFonts w:hint="eastAsia" w:ascii="宋体" w:hAnsi="宋体"/>
          <w:kern w:val="44"/>
        </w:rPr>
        <w:t>　建设单位未取得施工许可证擅自施工的，或者建设单位、施工单位发生变更未重新领取施工许可证的，由市或者区、县建设委员会责令停止施工，限期改正，处工程合同价款百分之一以上百分之二以下的罚款。</w:t>
      </w:r>
    </w:p>
    <w:p w14:paraId="2F4F023C">
      <w:pPr>
        <w:ind w:firstLine="422"/>
        <w:jc w:val="left"/>
        <w:rPr>
          <w:rFonts w:ascii="宋体" w:hAnsi="宋体"/>
          <w:kern w:val="44"/>
        </w:rPr>
      </w:pPr>
      <w:r>
        <w:rPr>
          <w:rFonts w:hint="eastAsia" w:ascii="宋体" w:hAnsi="宋体"/>
          <w:b/>
          <w:kern w:val="44"/>
        </w:rPr>
        <w:t>第二十条</w:t>
      </w:r>
      <w:r>
        <w:rPr>
          <w:rFonts w:hint="eastAsia" w:ascii="宋体" w:hAnsi="宋体"/>
          <w:kern w:val="44"/>
        </w:rPr>
        <w:t>　违反本办法第十二条第二款的规定，建设单位未按时告知发证机关有关变更事项的，由市或者区、县建设委员会给予警告，并处5000元以上3万元以下罚款。</w:t>
      </w:r>
    </w:p>
    <w:p w14:paraId="3CE63A02">
      <w:pPr>
        <w:ind w:firstLine="422"/>
        <w:jc w:val="left"/>
        <w:rPr>
          <w:rFonts w:ascii="宋体" w:hAnsi="宋体"/>
          <w:kern w:val="44"/>
        </w:rPr>
      </w:pPr>
      <w:r>
        <w:rPr>
          <w:rFonts w:hint="eastAsia" w:ascii="宋体" w:hAnsi="宋体"/>
          <w:b/>
          <w:kern w:val="44"/>
        </w:rPr>
        <w:t>第二十一条</w:t>
      </w:r>
      <w:r>
        <w:rPr>
          <w:rFonts w:hint="eastAsia" w:ascii="宋体" w:hAnsi="宋体"/>
          <w:kern w:val="44"/>
        </w:rPr>
        <w:t>　发证机关及其工作人员不按照规定核发施工许可证，或者核发施工许可证后不履行监督管理职责的，或者对依法应当查处的违法行为不予查处的，由上级机关责令改正，对责任人员依法给予行政处分；构成犯罪的，依法追究刑事责任。</w:t>
      </w:r>
    </w:p>
    <w:p w14:paraId="722E659E">
      <w:pPr>
        <w:ind w:firstLine="422"/>
        <w:jc w:val="left"/>
        <w:rPr>
          <w:rFonts w:ascii="宋体" w:hAnsi="宋体"/>
          <w:kern w:val="44"/>
        </w:rPr>
      </w:pPr>
      <w:r>
        <w:rPr>
          <w:rFonts w:hint="eastAsia" w:ascii="宋体" w:hAnsi="宋体"/>
          <w:b/>
          <w:kern w:val="44"/>
        </w:rPr>
        <w:t>第二十二条</w:t>
      </w:r>
      <w:r>
        <w:rPr>
          <w:rFonts w:hint="eastAsia" w:ascii="宋体" w:hAnsi="宋体"/>
          <w:kern w:val="44"/>
        </w:rPr>
        <w:t>　建设单位认为发证机关办理施工许可的具体行政行为侵犯其合法权益的，可以依法申请行政复议或者提起行政诉讼。</w:t>
      </w:r>
    </w:p>
    <w:p w14:paraId="70C68875">
      <w:pPr>
        <w:ind w:firstLine="422"/>
        <w:jc w:val="left"/>
        <w:rPr>
          <w:rFonts w:ascii="宋体" w:hAnsi="宋体"/>
          <w:kern w:val="44"/>
        </w:rPr>
      </w:pPr>
      <w:r>
        <w:rPr>
          <w:rFonts w:hint="eastAsia" w:ascii="宋体" w:hAnsi="宋体"/>
          <w:b/>
          <w:kern w:val="44"/>
        </w:rPr>
        <w:t>第二十三条</w:t>
      </w:r>
      <w:r>
        <w:rPr>
          <w:rFonts w:hint="eastAsia" w:ascii="宋体" w:hAnsi="宋体"/>
          <w:kern w:val="44"/>
        </w:rPr>
        <w:t>　依法核定作为文物保护的纪念建筑物和古建筑等的修缮，依照文物保护的有关法律、法规的规定执行。</w:t>
      </w:r>
    </w:p>
    <w:p w14:paraId="71B86E4D">
      <w:pPr>
        <w:jc w:val="left"/>
        <w:rPr>
          <w:rFonts w:ascii="宋体" w:hAnsi="宋体"/>
          <w:kern w:val="44"/>
        </w:rPr>
      </w:pPr>
      <w:r>
        <w:rPr>
          <w:rFonts w:hint="eastAsia" w:ascii="宋体" w:hAnsi="宋体"/>
          <w:kern w:val="44"/>
        </w:rPr>
        <w:t>军用房屋建筑工程施工许可管理办法，按照国务院、中央军事委员会的有关规定执行。</w:t>
      </w:r>
    </w:p>
    <w:p w14:paraId="747BADEA">
      <w:pPr>
        <w:jc w:val="left"/>
        <w:rPr>
          <w:rFonts w:ascii="宋体" w:hAnsi="宋体"/>
          <w:kern w:val="44"/>
        </w:rPr>
      </w:pPr>
      <w:r>
        <w:rPr>
          <w:rFonts w:hint="eastAsia" w:ascii="宋体" w:hAnsi="宋体"/>
          <w:kern w:val="44"/>
        </w:rPr>
        <w:t>抢险救灾及其他临时性房屋建筑和农民自建两层以下（含两层）住宅的建设，不适用本办法。</w:t>
      </w:r>
    </w:p>
    <w:p w14:paraId="727E5D88">
      <w:pPr>
        <w:ind w:firstLine="422"/>
        <w:jc w:val="left"/>
        <w:rPr>
          <w:rFonts w:ascii="宋体" w:hAnsi="宋体"/>
          <w:kern w:val="44"/>
        </w:rPr>
      </w:pPr>
      <w:r>
        <w:rPr>
          <w:rFonts w:hint="eastAsia" w:ascii="宋体" w:hAnsi="宋体"/>
          <w:b/>
          <w:kern w:val="44"/>
        </w:rPr>
        <w:t>第二十四条</w:t>
      </w:r>
      <w:r>
        <w:rPr>
          <w:rFonts w:hint="eastAsia" w:ascii="宋体" w:hAnsi="宋体"/>
          <w:kern w:val="44"/>
        </w:rPr>
        <w:t>　本办法自2004年1月1日起施行。1989年11月25日北京市人民政府第36号令发布、根据1997年12月31日北京市人民政府第12号令修改的《北京市建设工程开工管理暂行办法》同时废止。</w:t>
      </w:r>
    </w:p>
    <w:p w14:paraId="6719F330">
      <w:pPr>
        <w:pStyle w:val="4"/>
        <w:pageBreakBefore/>
        <w:rPr>
          <w:kern w:val="44"/>
        </w:rPr>
      </w:pPr>
      <w:bookmarkStart w:id="917" w:name="_Toc427651541"/>
      <w:bookmarkStart w:id="918" w:name="_Toc428780107"/>
      <w:bookmarkStart w:id="919" w:name="_Toc422471249"/>
      <w:bookmarkStart w:id="920" w:name="_Toc428781589"/>
      <w:bookmarkStart w:id="921" w:name="_Toc427651883"/>
      <w:r>
        <w:rPr>
          <w:rFonts w:hint="eastAsia"/>
          <w:kern w:val="44"/>
        </w:rPr>
        <w:t>北京市建设征地补偿安置办法</w:t>
      </w:r>
      <w:bookmarkEnd w:id="917"/>
      <w:bookmarkEnd w:id="918"/>
      <w:bookmarkEnd w:id="919"/>
      <w:bookmarkEnd w:id="920"/>
      <w:bookmarkEnd w:id="921"/>
    </w:p>
    <w:p w14:paraId="388F6B04">
      <w:pPr>
        <w:ind w:left="630" w:leftChars="300" w:right="630" w:rightChars="300"/>
        <w:jc w:val="left"/>
        <w:rPr>
          <w:rFonts w:ascii="楷体" w:hAnsi="楷体" w:eastAsia="楷体"/>
          <w:kern w:val="44"/>
        </w:rPr>
      </w:pPr>
      <w:r>
        <w:rPr>
          <w:rFonts w:hint="eastAsia" w:ascii="楷体" w:hAnsi="楷体" w:eastAsia="楷体"/>
          <w:kern w:val="44"/>
        </w:rPr>
        <w:t>（2004年4月29日市人民政府第24次常务会议通过  2004年5月21日北京市人民政府第148号令发布）</w:t>
      </w:r>
    </w:p>
    <w:p w14:paraId="7B76E26E">
      <w:pPr>
        <w:jc w:val="left"/>
        <w:rPr>
          <w:rFonts w:ascii="宋体" w:hAnsi="宋体"/>
          <w:kern w:val="44"/>
        </w:rPr>
      </w:pPr>
    </w:p>
    <w:p w14:paraId="6AE2BDD6">
      <w:pPr>
        <w:ind w:firstLine="0" w:firstLineChars="0"/>
        <w:jc w:val="center"/>
        <w:rPr>
          <w:rFonts w:ascii="宋体" w:hAnsi="宋体"/>
          <w:b/>
          <w:kern w:val="44"/>
          <w:sz w:val="28"/>
        </w:rPr>
      </w:pPr>
      <w:r>
        <w:rPr>
          <w:rFonts w:hint="eastAsia" w:ascii="宋体" w:hAnsi="宋体"/>
          <w:b/>
          <w:kern w:val="44"/>
          <w:sz w:val="28"/>
        </w:rPr>
        <w:t>第一章　总　则</w:t>
      </w:r>
    </w:p>
    <w:p w14:paraId="2D6E2C41">
      <w:pPr>
        <w:jc w:val="left"/>
        <w:rPr>
          <w:rFonts w:ascii="宋体" w:hAnsi="宋体"/>
          <w:kern w:val="44"/>
        </w:rPr>
      </w:pPr>
    </w:p>
    <w:p w14:paraId="6C122DD8">
      <w:pPr>
        <w:ind w:firstLine="422"/>
        <w:jc w:val="left"/>
        <w:rPr>
          <w:rFonts w:ascii="宋体" w:hAnsi="宋体"/>
          <w:kern w:val="44"/>
        </w:rPr>
      </w:pPr>
      <w:r>
        <w:rPr>
          <w:rFonts w:hint="eastAsia" w:ascii="宋体" w:hAnsi="宋体"/>
          <w:b/>
          <w:kern w:val="44"/>
        </w:rPr>
        <w:t>第一条</w:t>
      </w:r>
      <w:r>
        <w:rPr>
          <w:rFonts w:hint="eastAsia" w:ascii="宋体" w:hAnsi="宋体"/>
          <w:kern w:val="44"/>
        </w:rPr>
        <w:t>　为了保护被征地农村村民、农村集体经济组织和征地单位合法权益，促进首都经济发展，维护社会稳定，根据《中华人民共和国土地管理法》、《中华人民共和国劳动法》等有关规定，结合本市实际情况，制定本办法。</w:t>
      </w:r>
    </w:p>
    <w:p w14:paraId="7A5039B5">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本市行政区域内依法征用农民集体所有土地的，依照本办法进行补偿安置。</w:t>
      </w:r>
    </w:p>
    <w:p w14:paraId="2B567D0A">
      <w:pPr>
        <w:ind w:firstLine="422"/>
        <w:jc w:val="left"/>
        <w:rPr>
          <w:rFonts w:ascii="宋体" w:hAnsi="宋体"/>
          <w:kern w:val="44"/>
        </w:rPr>
      </w:pPr>
      <w:r>
        <w:rPr>
          <w:rFonts w:hint="eastAsia" w:ascii="宋体" w:hAnsi="宋体"/>
          <w:b/>
          <w:kern w:val="44"/>
        </w:rPr>
        <w:t>第三条</w:t>
      </w:r>
      <w:r>
        <w:rPr>
          <w:rFonts w:hint="eastAsia" w:ascii="宋体" w:hAnsi="宋体"/>
          <w:kern w:val="44"/>
        </w:rPr>
        <w:t>　市土地行政主管部门负责征地补偿管理工作；市劳动保障行政主管部门负责转非劳动力就业和社会保险管理工作；市民政部门负责超转人员管理工作。区、县土地、劳动保障、民政部门按照分工负责本行政区域内征地补偿安置具体管理工作。</w:t>
      </w:r>
    </w:p>
    <w:p w14:paraId="76C17E89">
      <w:pPr>
        <w:jc w:val="left"/>
        <w:rPr>
          <w:rFonts w:ascii="宋体" w:hAnsi="宋体"/>
          <w:kern w:val="44"/>
        </w:rPr>
      </w:pPr>
      <w:r>
        <w:rPr>
          <w:rFonts w:hint="eastAsia" w:ascii="宋体" w:hAnsi="宋体"/>
          <w:kern w:val="44"/>
        </w:rPr>
        <w:t>公安、农村工作等部门应当按照各自的职责对征地补偿安置工作实施管理。</w:t>
      </w:r>
    </w:p>
    <w:p w14:paraId="091BAE71">
      <w:pPr>
        <w:jc w:val="left"/>
        <w:rPr>
          <w:rFonts w:ascii="宋体" w:hAnsi="宋体"/>
          <w:kern w:val="44"/>
        </w:rPr>
      </w:pPr>
      <w:r>
        <w:rPr>
          <w:rFonts w:hint="eastAsia" w:ascii="宋体" w:hAnsi="宋体"/>
          <w:kern w:val="44"/>
        </w:rPr>
        <w:t>区、县人民政府应当对本行政区域内的征地补偿安置工作实施监督管理。乡镇人民政府应当协助做好征地补偿安置工作。</w:t>
      </w:r>
    </w:p>
    <w:p w14:paraId="20A317CC">
      <w:pPr>
        <w:ind w:firstLine="422"/>
        <w:jc w:val="left"/>
        <w:rPr>
          <w:rFonts w:ascii="宋体" w:hAnsi="宋体"/>
          <w:kern w:val="44"/>
        </w:rPr>
      </w:pPr>
      <w:r>
        <w:rPr>
          <w:rFonts w:hint="eastAsia" w:ascii="宋体" w:hAnsi="宋体"/>
          <w:b/>
          <w:kern w:val="44"/>
        </w:rPr>
        <w:t>第四条</w:t>
      </w:r>
      <w:r>
        <w:rPr>
          <w:rFonts w:hint="eastAsia" w:ascii="宋体" w:hAnsi="宋体"/>
          <w:kern w:val="44"/>
        </w:rPr>
        <w:t>　本市征地补偿安置工作坚持公开的原则，征地补偿费由征地双方依法协商确定。</w:t>
      </w:r>
    </w:p>
    <w:p w14:paraId="46A357DE">
      <w:pPr>
        <w:ind w:firstLine="422"/>
        <w:jc w:val="left"/>
        <w:rPr>
          <w:rFonts w:ascii="宋体" w:hAnsi="宋体"/>
          <w:kern w:val="44"/>
        </w:rPr>
      </w:pPr>
      <w:r>
        <w:rPr>
          <w:rFonts w:hint="eastAsia" w:ascii="宋体" w:hAnsi="宋体"/>
          <w:b/>
          <w:kern w:val="44"/>
        </w:rPr>
        <w:t>第五条</w:t>
      </w:r>
      <w:r>
        <w:rPr>
          <w:rFonts w:hint="eastAsia" w:ascii="宋体" w:hAnsi="宋体"/>
          <w:kern w:val="44"/>
        </w:rPr>
        <w:t>　经批准征用农民集体所有土地的单位（以下简称征地单位）应当支付征地补偿费。征地补偿费应当按时、足额支付到位。</w:t>
      </w:r>
    </w:p>
    <w:p w14:paraId="251FF94F">
      <w:pPr>
        <w:jc w:val="left"/>
        <w:rPr>
          <w:rFonts w:ascii="宋体" w:hAnsi="宋体"/>
          <w:kern w:val="44"/>
        </w:rPr>
      </w:pPr>
      <w:r>
        <w:rPr>
          <w:rFonts w:hint="eastAsia" w:ascii="宋体" w:hAnsi="宋体"/>
          <w:kern w:val="44"/>
        </w:rPr>
        <w:t>本市征地补偿费实行最低保护标准制度。</w:t>
      </w:r>
    </w:p>
    <w:p w14:paraId="4938A859">
      <w:pPr>
        <w:ind w:firstLine="422"/>
        <w:jc w:val="left"/>
        <w:rPr>
          <w:rFonts w:ascii="宋体" w:hAnsi="宋体"/>
          <w:kern w:val="44"/>
        </w:rPr>
      </w:pPr>
      <w:r>
        <w:rPr>
          <w:rFonts w:hint="eastAsia" w:ascii="宋体" w:hAnsi="宋体"/>
          <w:b/>
          <w:kern w:val="44"/>
        </w:rPr>
        <w:t>第六条</w:t>
      </w:r>
      <w:r>
        <w:rPr>
          <w:rFonts w:hint="eastAsia" w:ascii="宋体" w:hAnsi="宋体"/>
          <w:kern w:val="44"/>
        </w:rPr>
        <w:t>　任何单位和个人不得侵占、挪用征地补偿费用和其他有关费用。</w:t>
      </w:r>
    </w:p>
    <w:p w14:paraId="14579CA7">
      <w:pPr>
        <w:ind w:firstLine="422"/>
        <w:jc w:val="left"/>
        <w:rPr>
          <w:rFonts w:ascii="宋体" w:hAnsi="宋体"/>
          <w:kern w:val="44"/>
        </w:rPr>
      </w:pPr>
      <w:r>
        <w:rPr>
          <w:rFonts w:hint="eastAsia" w:ascii="宋体" w:hAnsi="宋体"/>
          <w:b/>
          <w:kern w:val="44"/>
        </w:rPr>
        <w:t>第七条</w:t>
      </w:r>
      <w:r>
        <w:rPr>
          <w:rFonts w:hint="eastAsia" w:ascii="宋体" w:hAnsi="宋体"/>
          <w:kern w:val="44"/>
        </w:rPr>
        <w:t>　农村集体经济组织和村民委员会应当按照本办法规定做好征地补偿安置中相应工作。</w:t>
      </w:r>
    </w:p>
    <w:p w14:paraId="61AFC20F">
      <w:pPr>
        <w:jc w:val="left"/>
        <w:rPr>
          <w:rFonts w:ascii="宋体" w:hAnsi="宋体"/>
          <w:kern w:val="44"/>
        </w:rPr>
      </w:pPr>
    </w:p>
    <w:p w14:paraId="145EA167">
      <w:pPr>
        <w:ind w:firstLine="0" w:firstLineChars="0"/>
        <w:jc w:val="center"/>
        <w:rPr>
          <w:rFonts w:ascii="宋体" w:hAnsi="宋体"/>
          <w:b/>
          <w:kern w:val="44"/>
          <w:sz w:val="28"/>
        </w:rPr>
      </w:pPr>
      <w:r>
        <w:rPr>
          <w:rFonts w:hint="eastAsia" w:ascii="宋体" w:hAnsi="宋体"/>
          <w:b/>
          <w:kern w:val="44"/>
          <w:sz w:val="28"/>
        </w:rPr>
        <w:t>第二章  征地补偿</w:t>
      </w:r>
    </w:p>
    <w:p w14:paraId="315733ED">
      <w:pPr>
        <w:jc w:val="left"/>
        <w:rPr>
          <w:rFonts w:ascii="宋体" w:hAnsi="宋体"/>
          <w:kern w:val="44"/>
        </w:rPr>
      </w:pPr>
    </w:p>
    <w:p w14:paraId="355C6398">
      <w:pPr>
        <w:ind w:firstLine="422"/>
        <w:jc w:val="left"/>
        <w:rPr>
          <w:rFonts w:ascii="宋体" w:hAnsi="宋体"/>
          <w:kern w:val="44"/>
        </w:rPr>
      </w:pPr>
      <w:r>
        <w:rPr>
          <w:rFonts w:hint="eastAsia" w:ascii="宋体" w:hAnsi="宋体"/>
          <w:b/>
          <w:kern w:val="44"/>
        </w:rPr>
        <w:t>第八条</w:t>
      </w:r>
      <w:r>
        <w:rPr>
          <w:rFonts w:hint="eastAsia" w:ascii="宋体" w:hAnsi="宋体"/>
          <w:kern w:val="44"/>
        </w:rPr>
        <w:t>　征地单位支付的征地补偿费包括土地补偿费和安置补助费。涉及青苗和其他土地附着物的，还应当向所有权人支付青苗补偿费和其他土地附着物补偿费。</w:t>
      </w:r>
    </w:p>
    <w:p w14:paraId="7F02B83D">
      <w:pPr>
        <w:jc w:val="left"/>
        <w:rPr>
          <w:rFonts w:ascii="宋体" w:hAnsi="宋体"/>
          <w:kern w:val="44"/>
        </w:rPr>
      </w:pPr>
      <w:r>
        <w:rPr>
          <w:rFonts w:hint="eastAsia" w:ascii="宋体" w:hAnsi="宋体"/>
          <w:kern w:val="44"/>
        </w:rPr>
        <w:t>青苗是指尚未收获的农作物。其他土地附着物包括房屋、水井、道路、管线、水渠等建筑物、构筑物以及林木和其他经济作物等。</w:t>
      </w:r>
    </w:p>
    <w:p w14:paraId="4A6D97AB">
      <w:pPr>
        <w:ind w:firstLine="422"/>
        <w:jc w:val="left"/>
        <w:rPr>
          <w:rFonts w:ascii="宋体" w:hAnsi="宋体"/>
          <w:kern w:val="44"/>
        </w:rPr>
      </w:pPr>
      <w:r>
        <w:rPr>
          <w:rFonts w:hint="eastAsia" w:ascii="宋体" w:hAnsi="宋体"/>
          <w:b/>
          <w:kern w:val="44"/>
        </w:rPr>
        <w:t>第九条</w:t>
      </w:r>
      <w:r>
        <w:rPr>
          <w:rFonts w:hint="eastAsia" w:ascii="宋体" w:hAnsi="宋体"/>
          <w:kern w:val="44"/>
        </w:rPr>
        <w:t>　征地补偿费最低保护标准由市土地行政主管部门以乡镇为单位结合被征地农村村民的生活水平、农业产值、土地区位以及本办法规定的人员安置费用等综合因素确定，报市人民政府批准后公布执行。</w:t>
      </w:r>
    </w:p>
    <w:p w14:paraId="698D5972">
      <w:pPr>
        <w:jc w:val="left"/>
        <w:rPr>
          <w:rFonts w:ascii="宋体" w:hAnsi="宋体"/>
          <w:kern w:val="44"/>
        </w:rPr>
      </w:pPr>
      <w:r>
        <w:rPr>
          <w:rFonts w:hint="eastAsia" w:ascii="宋体" w:hAnsi="宋体"/>
          <w:kern w:val="44"/>
        </w:rPr>
        <w:t>征地补偿费最低保护标准应当根据社会、经济发展水平适时调整。</w:t>
      </w:r>
    </w:p>
    <w:p w14:paraId="62501B61">
      <w:pPr>
        <w:ind w:firstLine="422"/>
        <w:jc w:val="left"/>
        <w:rPr>
          <w:rFonts w:ascii="宋体" w:hAnsi="宋体"/>
          <w:kern w:val="44"/>
        </w:rPr>
      </w:pPr>
      <w:r>
        <w:rPr>
          <w:rFonts w:hint="eastAsia" w:ascii="宋体" w:hAnsi="宋体"/>
          <w:b/>
          <w:kern w:val="44"/>
        </w:rPr>
        <w:t>第十条</w:t>
      </w:r>
      <w:r>
        <w:rPr>
          <w:rFonts w:hint="eastAsia" w:ascii="宋体" w:hAnsi="宋体"/>
          <w:kern w:val="44"/>
        </w:rPr>
        <w:t>　征地单位与被征地农村集体经济组织或者村民委员会应当在不低于本市征地补偿费最低保护标准的基础上，协商签订书面征地补偿安置协议。协议应当包括补偿方式、补偿款金额及支付方式、安置人员数量及安置方式、青苗及土地附着物补偿、违约责任和纠纷处理方式等内容。</w:t>
      </w:r>
    </w:p>
    <w:p w14:paraId="15F88425">
      <w:pPr>
        <w:jc w:val="left"/>
        <w:rPr>
          <w:rFonts w:ascii="宋体" w:hAnsi="宋体"/>
          <w:kern w:val="44"/>
        </w:rPr>
      </w:pPr>
      <w:r>
        <w:rPr>
          <w:rFonts w:hint="eastAsia" w:ascii="宋体" w:hAnsi="宋体"/>
          <w:kern w:val="44"/>
        </w:rPr>
        <w:t>签订协议前，被征地农村集体经济组织或者村民委员会应当就协议主要内容经村民大会或者村民代表大会等民主程序形成书面决议。决议应当妥善保存。签订协议后，农村集体经济组织或者村民委员会应当向农村村民公示征地补偿安置协议。</w:t>
      </w:r>
    </w:p>
    <w:p w14:paraId="6A4403B2">
      <w:pPr>
        <w:ind w:firstLine="422"/>
        <w:jc w:val="left"/>
        <w:rPr>
          <w:rFonts w:ascii="宋体" w:hAnsi="宋体"/>
          <w:kern w:val="44"/>
        </w:rPr>
      </w:pPr>
      <w:r>
        <w:rPr>
          <w:rFonts w:hint="eastAsia" w:ascii="宋体" w:hAnsi="宋体"/>
          <w:b/>
          <w:kern w:val="44"/>
        </w:rPr>
        <w:t>第十一条</w:t>
      </w:r>
      <w:r>
        <w:rPr>
          <w:rFonts w:hint="eastAsia" w:ascii="宋体" w:hAnsi="宋体"/>
          <w:kern w:val="44"/>
        </w:rPr>
        <w:t>　土地行政主管部门应当对农村集体经济组织或者村民委员会在签订征地补偿安置协议前是否履行民主程序、征地双方达成协议的内容是否符合法律规定进行监督，并可就监督内容听取农村村民意见。</w:t>
      </w:r>
    </w:p>
    <w:p w14:paraId="6ABF3601">
      <w:pPr>
        <w:jc w:val="left"/>
        <w:rPr>
          <w:rFonts w:ascii="宋体" w:hAnsi="宋体"/>
          <w:kern w:val="44"/>
        </w:rPr>
      </w:pPr>
      <w:r>
        <w:rPr>
          <w:rFonts w:hint="eastAsia" w:ascii="宋体" w:hAnsi="宋体"/>
          <w:kern w:val="44"/>
        </w:rPr>
        <w:t>土地行政主管部门在向批准征地机关报送征用土地方案时，应当附具征地双方签订的征地补偿安置协议。</w:t>
      </w:r>
    </w:p>
    <w:p w14:paraId="390F33B9">
      <w:pPr>
        <w:ind w:firstLine="422"/>
        <w:jc w:val="left"/>
        <w:rPr>
          <w:rFonts w:ascii="宋体" w:hAnsi="宋体"/>
          <w:kern w:val="44"/>
        </w:rPr>
      </w:pPr>
      <w:r>
        <w:rPr>
          <w:rFonts w:hint="eastAsia" w:ascii="宋体" w:hAnsi="宋体"/>
          <w:b/>
          <w:kern w:val="44"/>
        </w:rPr>
        <w:t>第十二条</w:t>
      </w:r>
      <w:r>
        <w:rPr>
          <w:rFonts w:hint="eastAsia" w:ascii="宋体" w:hAnsi="宋体"/>
          <w:kern w:val="44"/>
        </w:rPr>
        <w:t>　区、县人民政府应当自收到征用土地批准文件之日起10日内在被征地的乡镇、村进行征地公告。征地公告的内容应当包括批准机关、批准时间、批准文件名称和文号，被征地范围、地类、土地面积，征地单位、项目名称、征后用途，双方协议的征地补偿款金额和人员安置方式等内容。</w:t>
      </w:r>
    </w:p>
    <w:p w14:paraId="2F6A60BA">
      <w:pPr>
        <w:ind w:firstLine="422"/>
        <w:jc w:val="left"/>
        <w:rPr>
          <w:rFonts w:ascii="宋体" w:hAnsi="宋体"/>
          <w:kern w:val="44"/>
        </w:rPr>
      </w:pPr>
      <w:r>
        <w:rPr>
          <w:rFonts w:hint="eastAsia" w:ascii="宋体" w:hAnsi="宋体"/>
          <w:b/>
          <w:kern w:val="44"/>
        </w:rPr>
        <w:t>第十三条</w:t>
      </w:r>
      <w:r>
        <w:rPr>
          <w:rFonts w:hint="eastAsia" w:ascii="宋体" w:hAnsi="宋体"/>
          <w:kern w:val="44"/>
        </w:rPr>
        <w:t>　征地单位应当将征地补偿费专户存储，接受土地行政主管部门的监督，依法支付。</w:t>
      </w:r>
    </w:p>
    <w:p w14:paraId="6CA32DC5">
      <w:pPr>
        <w:jc w:val="left"/>
        <w:rPr>
          <w:rFonts w:ascii="宋体" w:hAnsi="宋体"/>
          <w:kern w:val="44"/>
        </w:rPr>
      </w:pPr>
      <w:r>
        <w:rPr>
          <w:rFonts w:hint="eastAsia" w:ascii="宋体" w:hAnsi="宋体"/>
          <w:kern w:val="44"/>
        </w:rPr>
        <w:t>征地补偿费监管的具体办法，由市土地行政主管部门规定并公布。</w:t>
      </w:r>
    </w:p>
    <w:p w14:paraId="61DCB66C">
      <w:pPr>
        <w:ind w:firstLine="422"/>
        <w:jc w:val="left"/>
        <w:rPr>
          <w:rFonts w:ascii="宋体" w:hAnsi="宋体"/>
          <w:kern w:val="44"/>
        </w:rPr>
      </w:pPr>
      <w:r>
        <w:rPr>
          <w:rFonts w:hint="eastAsia" w:ascii="宋体" w:hAnsi="宋体"/>
          <w:b/>
          <w:kern w:val="44"/>
        </w:rPr>
        <w:t>第十四条</w:t>
      </w:r>
      <w:r>
        <w:rPr>
          <w:rFonts w:hint="eastAsia" w:ascii="宋体" w:hAnsi="宋体"/>
          <w:kern w:val="44"/>
        </w:rPr>
        <w:t>　征地补偿费用于人员安置后，其余部分作为土地补偿费支付给被征地的农村集体经济组织或者村民委员会，用于农村村民生产生活。</w:t>
      </w:r>
    </w:p>
    <w:p w14:paraId="4D9DA345">
      <w:pPr>
        <w:jc w:val="left"/>
        <w:rPr>
          <w:rFonts w:ascii="宋体" w:hAnsi="宋体"/>
          <w:kern w:val="44"/>
        </w:rPr>
      </w:pPr>
      <w:r>
        <w:rPr>
          <w:rFonts w:hint="eastAsia" w:ascii="宋体" w:hAnsi="宋体"/>
          <w:kern w:val="44"/>
        </w:rPr>
        <w:t>农村集体经济组织或者村民委员会应当依法公开土地补偿费和安置补助费的使用情况，接受监督。</w:t>
      </w:r>
    </w:p>
    <w:p w14:paraId="783EC322">
      <w:pPr>
        <w:ind w:firstLine="422"/>
        <w:jc w:val="left"/>
        <w:rPr>
          <w:rFonts w:ascii="宋体" w:hAnsi="宋体"/>
          <w:kern w:val="44"/>
        </w:rPr>
      </w:pPr>
      <w:r>
        <w:rPr>
          <w:rFonts w:hint="eastAsia" w:ascii="宋体" w:hAnsi="宋体"/>
          <w:b/>
          <w:kern w:val="44"/>
        </w:rPr>
        <w:t>第十五条</w:t>
      </w:r>
      <w:r>
        <w:rPr>
          <w:rFonts w:hint="eastAsia" w:ascii="宋体" w:hAnsi="宋体"/>
          <w:kern w:val="44"/>
        </w:rPr>
        <w:t>　征地双方经协商可以实行非货币补偿。在符合规划的前提下，征地单位可以在征用范围内留出部分土地由农村集体经济组织或者村民委员会使用，作为征地补偿。</w:t>
      </w:r>
    </w:p>
    <w:p w14:paraId="4CC922E4">
      <w:pPr>
        <w:ind w:firstLine="422"/>
        <w:jc w:val="left"/>
        <w:rPr>
          <w:rFonts w:ascii="宋体" w:hAnsi="宋体"/>
          <w:kern w:val="44"/>
        </w:rPr>
      </w:pPr>
      <w:r>
        <w:rPr>
          <w:rFonts w:hint="eastAsia" w:ascii="宋体" w:hAnsi="宋体"/>
          <w:b/>
          <w:kern w:val="44"/>
        </w:rPr>
        <w:t>第十六条</w:t>
      </w:r>
      <w:r>
        <w:rPr>
          <w:rFonts w:hint="eastAsia" w:ascii="宋体" w:hAnsi="宋体"/>
          <w:kern w:val="44"/>
        </w:rPr>
        <w:t>　青苗补偿按照1季产值计算，但多年生的农作物青苗按照1年产值计算。</w:t>
      </w:r>
    </w:p>
    <w:p w14:paraId="62085537">
      <w:pPr>
        <w:jc w:val="left"/>
        <w:rPr>
          <w:rFonts w:ascii="宋体" w:hAnsi="宋体"/>
          <w:kern w:val="44"/>
        </w:rPr>
      </w:pPr>
      <w:r>
        <w:rPr>
          <w:rFonts w:hint="eastAsia" w:ascii="宋体" w:hAnsi="宋体"/>
          <w:kern w:val="44"/>
        </w:rPr>
        <w:t>林木的补偿按照本市有关规定执行。</w:t>
      </w:r>
    </w:p>
    <w:p w14:paraId="67D00055">
      <w:pPr>
        <w:jc w:val="left"/>
        <w:rPr>
          <w:rFonts w:ascii="宋体" w:hAnsi="宋体"/>
          <w:kern w:val="44"/>
        </w:rPr>
      </w:pPr>
      <w:r>
        <w:rPr>
          <w:rFonts w:hint="eastAsia" w:ascii="宋体" w:hAnsi="宋体"/>
          <w:kern w:val="44"/>
        </w:rPr>
        <w:t>其他经济作物的补偿，由征地双方根据经济作物生长情况协商确定；协商不成的，可以委托评估机构参照届时市场价格评估确定。</w:t>
      </w:r>
    </w:p>
    <w:p w14:paraId="17343D6B">
      <w:pPr>
        <w:ind w:firstLine="422"/>
        <w:jc w:val="left"/>
        <w:rPr>
          <w:rFonts w:ascii="宋体" w:hAnsi="宋体"/>
          <w:kern w:val="44"/>
        </w:rPr>
      </w:pPr>
      <w:r>
        <w:rPr>
          <w:rFonts w:hint="eastAsia" w:ascii="宋体" w:hAnsi="宋体"/>
          <w:b/>
          <w:kern w:val="44"/>
        </w:rPr>
        <w:t>第十七条</w:t>
      </w:r>
      <w:r>
        <w:rPr>
          <w:rFonts w:hint="eastAsia" w:ascii="宋体" w:hAnsi="宋体"/>
          <w:kern w:val="44"/>
        </w:rPr>
        <w:t>　拆迁住宅房屋的，按照《北京市集体土地房屋拆迁管理办法》执行。</w:t>
      </w:r>
    </w:p>
    <w:p w14:paraId="07489185">
      <w:pPr>
        <w:jc w:val="left"/>
        <w:rPr>
          <w:rFonts w:ascii="宋体" w:hAnsi="宋体"/>
          <w:kern w:val="44"/>
        </w:rPr>
      </w:pPr>
      <w:r>
        <w:rPr>
          <w:rFonts w:hint="eastAsia" w:ascii="宋体" w:hAnsi="宋体"/>
          <w:kern w:val="44"/>
        </w:rPr>
        <w:t>拆迁非住宅房屋和其他建筑物、构筑物的，按照重置成新价格予以补偿；公益公共设施确需迁建的，应当迁建。拆迁经营性用房造成停产停业经济损失的，应当按照规定给予一次性停产停业补助费。</w:t>
      </w:r>
    </w:p>
    <w:p w14:paraId="62E8B31C">
      <w:pPr>
        <w:jc w:val="left"/>
        <w:rPr>
          <w:rFonts w:ascii="宋体" w:hAnsi="宋体"/>
          <w:kern w:val="44"/>
        </w:rPr>
      </w:pPr>
      <w:r>
        <w:rPr>
          <w:rFonts w:hint="eastAsia" w:ascii="宋体" w:hAnsi="宋体"/>
          <w:kern w:val="44"/>
        </w:rPr>
        <w:t>拆迁未超过批准期限的临时建筑，按照重置成新价格予以适当补偿；超过批准期限的临时建筑和违法建设，不予补偿。</w:t>
      </w:r>
    </w:p>
    <w:p w14:paraId="483BCC29">
      <w:pPr>
        <w:ind w:firstLine="422"/>
        <w:jc w:val="left"/>
        <w:rPr>
          <w:rFonts w:ascii="宋体" w:hAnsi="宋体"/>
          <w:kern w:val="44"/>
        </w:rPr>
      </w:pPr>
      <w:r>
        <w:rPr>
          <w:rFonts w:hint="eastAsia" w:ascii="宋体" w:hAnsi="宋体"/>
          <w:b/>
          <w:kern w:val="44"/>
        </w:rPr>
        <w:t>第十八条</w:t>
      </w:r>
      <w:r>
        <w:rPr>
          <w:rFonts w:hint="eastAsia" w:ascii="宋体" w:hAnsi="宋体"/>
          <w:kern w:val="44"/>
        </w:rPr>
        <w:t>　违法建设、违法占用土地的，涉及的土地附着物不予补偿。征地公告发布后，在征地范围内新种植的青苗、经济作物、林木等，不予补偿。</w:t>
      </w:r>
    </w:p>
    <w:p w14:paraId="2E06A67B">
      <w:pPr>
        <w:jc w:val="left"/>
        <w:rPr>
          <w:rFonts w:ascii="宋体" w:hAnsi="宋体"/>
          <w:kern w:val="44"/>
        </w:rPr>
      </w:pPr>
    </w:p>
    <w:p w14:paraId="2247184C">
      <w:pPr>
        <w:ind w:firstLine="0" w:firstLineChars="0"/>
        <w:jc w:val="center"/>
        <w:rPr>
          <w:rFonts w:ascii="宋体" w:hAnsi="宋体"/>
          <w:b/>
          <w:kern w:val="44"/>
          <w:sz w:val="28"/>
        </w:rPr>
      </w:pPr>
      <w:r>
        <w:rPr>
          <w:rFonts w:hint="eastAsia" w:ascii="宋体" w:hAnsi="宋体"/>
          <w:b/>
          <w:kern w:val="44"/>
          <w:sz w:val="28"/>
        </w:rPr>
        <w:t>第三章  人员安置</w:t>
      </w:r>
    </w:p>
    <w:p w14:paraId="00AAAB8A">
      <w:pPr>
        <w:jc w:val="left"/>
        <w:rPr>
          <w:rFonts w:ascii="宋体" w:hAnsi="宋体"/>
          <w:kern w:val="44"/>
        </w:rPr>
      </w:pPr>
    </w:p>
    <w:p w14:paraId="77F06064">
      <w:pPr>
        <w:ind w:firstLine="422"/>
        <w:jc w:val="left"/>
        <w:rPr>
          <w:rFonts w:ascii="宋体" w:hAnsi="宋体"/>
          <w:kern w:val="44"/>
        </w:rPr>
      </w:pPr>
      <w:r>
        <w:rPr>
          <w:rFonts w:hint="eastAsia" w:ascii="宋体" w:hAnsi="宋体"/>
          <w:b/>
          <w:kern w:val="44"/>
        </w:rPr>
        <w:t>第十九条</w:t>
      </w:r>
      <w:r>
        <w:rPr>
          <w:rFonts w:hint="eastAsia" w:ascii="宋体" w:hAnsi="宋体"/>
          <w:kern w:val="44"/>
        </w:rPr>
        <w:t>　征用农民集体所有土地的，相应的农村村民应当同时转为非农业户口。应当转为非农业户口的农村村民数量，按照被征用的土地数量除以征地前被征地农村集体经济组织或者该村人均土地数量计算。应当转为非农业户口的农村村民人口年龄结构应当与该农村集体经济组织的人口年龄结构一致。</w:t>
      </w:r>
    </w:p>
    <w:p w14:paraId="465F22AB">
      <w:pPr>
        <w:ind w:firstLine="422"/>
        <w:jc w:val="left"/>
        <w:rPr>
          <w:rFonts w:ascii="宋体" w:hAnsi="宋体"/>
          <w:kern w:val="44"/>
        </w:rPr>
      </w:pPr>
      <w:r>
        <w:rPr>
          <w:rFonts w:hint="eastAsia" w:ascii="宋体" w:hAnsi="宋体"/>
          <w:b/>
          <w:kern w:val="44"/>
        </w:rPr>
        <w:t>第二十条</w:t>
      </w:r>
      <w:r>
        <w:rPr>
          <w:rFonts w:hint="eastAsia" w:ascii="宋体" w:hAnsi="宋体"/>
          <w:kern w:val="44"/>
        </w:rPr>
        <w:t>　农村集体经济组织或者村民委员会应当自征地公告之日起60日内确定应当转为非农业户口人员、转非劳动力、超转人员名单，向农村村民公示，并分别报区、县公安、劳动保障和民政部门。各有关部门应当依照职责办理相关手续。</w:t>
      </w:r>
    </w:p>
    <w:p w14:paraId="664493AE">
      <w:pPr>
        <w:jc w:val="left"/>
        <w:rPr>
          <w:rFonts w:ascii="宋体" w:hAnsi="宋体"/>
          <w:kern w:val="44"/>
        </w:rPr>
      </w:pPr>
      <w:r>
        <w:rPr>
          <w:rFonts w:hint="eastAsia" w:ascii="宋体" w:hAnsi="宋体"/>
          <w:kern w:val="44"/>
        </w:rPr>
        <w:t>超转人员安置办法依照市人民政府有关规定执行。</w:t>
      </w:r>
    </w:p>
    <w:p w14:paraId="22F2ED1F">
      <w:pPr>
        <w:ind w:firstLine="422"/>
        <w:jc w:val="left"/>
        <w:rPr>
          <w:rFonts w:ascii="宋体" w:hAnsi="宋体"/>
          <w:kern w:val="44"/>
        </w:rPr>
      </w:pPr>
      <w:r>
        <w:rPr>
          <w:rFonts w:hint="eastAsia" w:ascii="宋体" w:hAnsi="宋体"/>
          <w:b/>
          <w:kern w:val="44"/>
        </w:rPr>
        <w:t>第二十一条</w:t>
      </w:r>
      <w:r>
        <w:rPr>
          <w:rFonts w:hint="eastAsia" w:ascii="宋体" w:hAnsi="宋体"/>
          <w:kern w:val="44"/>
        </w:rPr>
        <w:t>　不满16周岁的未成年人及16周岁以上正在接受义务教育和学历教育的学生，只办理转为非农业户口的手续，不享受本办法规定的转非劳动力安置补偿待遇。</w:t>
      </w:r>
    </w:p>
    <w:p w14:paraId="1038EA58">
      <w:pPr>
        <w:ind w:firstLine="422"/>
        <w:jc w:val="left"/>
        <w:rPr>
          <w:rFonts w:ascii="宋体" w:hAnsi="宋体"/>
          <w:kern w:val="44"/>
        </w:rPr>
      </w:pPr>
      <w:r>
        <w:rPr>
          <w:rFonts w:hint="eastAsia" w:ascii="宋体" w:hAnsi="宋体"/>
          <w:b/>
          <w:kern w:val="44"/>
        </w:rPr>
        <w:t>第二十二条</w:t>
      </w:r>
      <w:r>
        <w:rPr>
          <w:rFonts w:hint="eastAsia" w:ascii="宋体" w:hAnsi="宋体"/>
          <w:kern w:val="44"/>
        </w:rPr>
        <w:t>　依照本办法第十五条规定实行非货币补偿的，农村集体经济组织或者村民委员会应当保证转非劳动力和超转人员安置补偿所需费用。</w:t>
      </w:r>
    </w:p>
    <w:p w14:paraId="40B83463">
      <w:pPr>
        <w:jc w:val="left"/>
        <w:rPr>
          <w:rFonts w:ascii="宋体" w:hAnsi="宋体"/>
          <w:kern w:val="44"/>
        </w:rPr>
      </w:pPr>
    </w:p>
    <w:p w14:paraId="18A3570E">
      <w:pPr>
        <w:ind w:firstLine="0" w:firstLineChars="0"/>
        <w:jc w:val="center"/>
        <w:rPr>
          <w:rFonts w:ascii="宋体" w:hAnsi="宋体"/>
          <w:b/>
          <w:kern w:val="44"/>
          <w:sz w:val="28"/>
        </w:rPr>
      </w:pPr>
      <w:r>
        <w:rPr>
          <w:rFonts w:hint="eastAsia" w:ascii="宋体" w:hAnsi="宋体"/>
          <w:b/>
          <w:kern w:val="44"/>
          <w:sz w:val="28"/>
        </w:rPr>
        <w:t>第四章　就业促进</w:t>
      </w:r>
    </w:p>
    <w:p w14:paraId="666AD81B">
      <w:pPr>
        <w:jc w:val="left"/>
        <w:rPr>
          <w:rFonts w:ascii="宋体" w:hAnsi="宋体"/>
          <w:kern w:val="44"/>
        </w:rPr>
      </w:pPr>
    </w:p>
    <w:p w14:paraId="5A464AF3">
      <w:pPr>
        <w:ind w:firstLine="422"/>
        <w:jc w:val="left"/>
        <w:rPr>
          <w:rFonts w:ascii="宋体" w:hAnsi="宋体"/>
          <w:kern w:val="44"/>
        </w:rPr>
      </w:pPr>
      <w:r>
        <w:rPr>
          <w:rFonts w:hint="eastAsia" w:ascii="宋体" w:hAnsi="宋体"/>
          <w:b/>
          <w:kern w:val="44"/>
        </w:rPr>
        <w:t>第二十三条</w:t>
      </w:r>
      <w:r>
        <w:rPr>
          <w:rFonts w:hint="eastAsia" w:ascii="宋体" w:hAnsi="宋体"/>
          <w:kern w:val="44"/>
        </w:rPr>
        <w:t>　转非劳动力的就业应当坚持征地单位优先招用、劳动者自主择业、政府促进就业的方针。</w:t>
      </w:r>
    </w:p>
    <w:p w14:paraId="255825B2">
      <w:pPr>
        <w:ind w:firstLine="422"/>
        <w:jc w:val="left"/>
        <w:rPr>
          <w:rFonts w:ascii="宋体" w:hAnsi="宋体"/>
          <w:kern w:val="44"/>
        </w:rPr>
      </w:pPr>
      <w:r>
        <w:rPr>
          <w:rFonts w:hint="eastAsia" w:ascii="宋体" w:hAnsi="宋体"/>
          <w:b/>
          <w:kern w:val="44"/>
        </w:rPr>
        <w:t>第二十四条</w:t>
      </w:r>
      <w:r>
        <w:rPr>
          <w:rFonts w:hint="eastAsia" w:ascii="宋体" w:hAnsi="宋体"/>
          <w:kern w:val="44"/>
        </w:rPr>
        <w:t>　征地单位招用人员时，应当优先招用转非劳动力。乡镇企业、农村集体经济组织有条件的，可以吸纳转非劳动力就业。</w:t>
      </w:r>
    </w:p>
    <w:p w14:paraId="7AEBCFA6">
      <w:pPr>
        <w:jc w:val="left"/>
        <w:rPr>
          <w:rFonts w:ascii="宋体" w:hAnsi="宋体"/>
          <w:kern w:val="44"/>
        </w:rPr>
      </w:pPr>
      <w:r>
        <w:rPr>
          <w:rFonts w:hint="eastAsia" w:ascii="宋体" w:hAnsi="宋体"/>
          <w:kern w:val="44"/>
        </w:rPr>
        <w:t>鼓励用人单位招用转非劳动力。</w:t>
      </w:r>
    </w:p>
    <w:p w14:paraId="0F48532F">
      <w:pPr>
        <w:ind w:firstLine="422"/>
        <w:jc w:val="left"/>
        <w:rPr>
          <w:rFonts w:ascii="宋体" w:hAnsi="宋体"/>
          <w:kern w:val="44"/>
        </w:rPr>
      </w:pPr>
      <w:r>
        <w:rPr>
          <w:rFonts w:hint="eastAsia" w:ascii="宋体" w:hAnsi="宋体"/>
          <w:b/>
          <w:kern w:val="44"/>
        </w:rPr>
        <w:t>第二十五条</w:t>
      </w:r>
      <w:r>
        <w:rPr>
          <w:rFonts w:hint="eastAsia" w:ascii="宋体" w:hAnsi="宋体"/>
          <w:kern w:val="44"/>
        </w:rPr>
        <w:t>　公共就业服务机构应当为转非劳动力提供职业指导、职业介绍、职业技能培训等促进就业服务。</w:t>
      </w:r>
    </w:p>
    <w:p w14:paraId="42412E10">
      <w:pPr>
        <w:ind w:firstLine="422"/>
        <w:jc w:val="left"/>
        <w:rPr>
          <w:rFonts w:ascii="宋体" w:hAnsi="宋体"/>
          <w:kern w:val="44"/>
        </w:rPr>
      </w:pPr>
      <w:r>
        <w:rPr>
          <w:rFonts w:hint="eastAsia" w:ascii="宋体" w:hAnsi="宋体"/>
          <w:b/>
          <w:kern w:val="44"/>
        </w:rPr>
        <w:t>第二十六条</w:t>
      </w:r>
      <w:r>
        <w:rPr>
          <w:rFonts w:hint="eastAsia" w:ascii="宋体" w:hAnsi="宋体"/>
          <w:kern w:val="44"/>
        </w:rPr>
        <w:t>　转非劳动力在征地时被单位招用的，征地单位应当从征地补偿款中支付招用单位一次性就业补助费；转非劳动力自谋职业的，一次性就业补助费支付给本人。</w:t>
      </w:r>
    </w:p>
    <w:p w14:paraId="2A7A8C52">
      <w:pPr>
        <w:ind w:firstLine="422"/>
        <w:jc w:val="left"/>
        <w:rPr>
          <w:rFonts w:ascii="宋体" w:hAnsi="宋体"/>
          <w:kern w:val="44"/>
        </w:rPr>
      </w:pPr>
      <w:r>
        <w:rPr>
          <w:rFonts w:hint="eastAsia" w:ascii="宋体" w:hAnsi="宋体"/>
          <w:b/>
          <w:kern w:val="44"/>
        </w:rPr>
        <w:t>第二十七条</w:t>
      </w:r>
      <w:r>
        <w:rPr>
          <w:rFonts w:hint="eastAsia" w:ascii="宋体" w:hAnsi="宋体"/>
          <w:kern w:val="44"/>
        </w:rPr>
        <w:t>　一次性就业补助费不低于下列标准：</w:t>
      </w:r>
    </w:p>
    <w:p w14:paraId="258E1B11">
      <w:pPr>
        <w:jc w:val="left"/>
        <w:rPr>
          <w:rFonts w:ascii="宋体" w:hAnsi="宋体"/>
          <w:kern w:val="44"/>
        </w:rPr>
      </w:pPr>
      <w:r>
        <w:rPr>
          <w:rFonts w:hint="eastAsia" w:ascii="宋体" w:hAnsi="宋体"/>
          <w:kern w:val="44"/>
        </w:rPr>
        <w:t>（一）转非劳动力年满30周岁、不满40周岁的，为征地时本市月最低工资标准的60倍；</w:t>
      </w:r>
    </w:p>
    <w:p w14:paraId="2BABA184">
      <w:pPr>
        <w:jc w:val="left"/>
        <w:rPr>
          <w:rFonts w:ascii="宋体" w:hAnsi="宋体"/>
          <w:kern w:val="44"/>
        </w:rPr>
      </w:pPr>
      <w:r>
        <w:rPr>
          <w:rFonts w:hint="eastAsia" w:ascii="宋体" w:hAnsi="宋体"/>
          <w:kern w:val="44"/>
        </w:rPr>
        <w:t>（二）转非劳动力男年满55周岁、女年满45周岁的，为征地时本市月最低工资标准的48倍，年龄每增加1岁递减六分之一，至达到国家规定的退休年龄时止；</w:t>
      </w:r>
    </w:p>
    <w:p w14:paraId="493D0CA9">
      <w:pPr>
        <w:jc w:val="left"/>
        <w:rPr>
          <w:rFonts w:ascii="宋体" w:hAnsi="宋体"/>
          <w:kern w:val="44"/>
        </w:rPr>
      </w:pPr>
      <w:r>
        <w:rPr>
          <w:rFonts w:hint="eastAsia" w:ascii="宋体" w:hAnsi="宋体"/>
          <w:kern w:val="44"/>
        </w:rPr>
        <w:t>（三）其他转非劳动力为征地时本市月最低工资标准的48倍。</w:t>
      </w:r>
    </w:p>
    <w:p w14:paraId="05D502A3">
      <w:pPr>
        <w:ind w:firstLine="422"/>
        <w:jc w:val="left"/>
        <w:rPr>
          <w:rFonts w:ascii="宋体" w:hAnsi="宋体"/>
          <w:kern w:val="44"/>
        </w:rPr>
      </w:pPr>
      <w:r>
        <w:rPr>
          <w:rFonts w:hint="eastAsia" w:ascii="宋体" w:hAnsi="宋体"/>
          <w:b/>
          <w:kern w:val="44"/>
        </w:rPr>
        <w:t>第二十八条</w:t>
      </w:r>
      <w:r>
        <w:rPr>
          <w:rFonts w:hint="eastAsia" w:ascii="宋体" w:hAnsi="宋体"/>
          <w:kern w:val="44"/>
        </w:rPr>
        <w:t>　依照本办法第二十六条规定招用转非劳动力的单位，应当按照劳动管理法律、法规、规章的规定，对转非劳动力实行同工同酬、进行岗前职业技能培训等，并遵守下列规定：</w:t>
      </w:r>
    </w:p>
    <w:p w14:paraId="0A898E6B">
      <w:pPr>
        <w:jc w:val="left"/>
        <w:rPr>
          <w:rFonts w:ascii="宋体" w:hAnsi="宋体"/>
          <w:kern w:val="44"/>
        </w:rPr>
      </w:pPr>
      <w:r>
        <w:rPr>
          <w:rFonts w:hint="eastAsia" w:ascii="宋体" w:hAnsi="宋体"/>
          <w:kern w:val="44"/>
        </w:rPr>
        <w:t>（一）与转非劳动力签订劳动合同，并到土地所在区、县劳动保障部门办理招聘备案手续。转非劳动力要求签订无固定期限合同的，应当与其签订无固定期限劳动合同，并不得约定试用期。</w:t>
      </w:r>
    </w:p>
    <w:p w14:paraId="16921566">
      <w:pPr>
        <w:jc w:val="left"/>
        <w:rPr>
          <w:rFonts w:ascii="宋体" w:hAnsi="宋体"/>
          <w:kern w:val="44"/>
        </w:rPr>
      </w:pPr>
      <w:r>
        <w:rPr>
          <w:rFonts w:hint="eastAsia" w:ascii="宋体" w:hAnsi="宋体"/>
          <w:kern w:val="44"/>
        </w:rPr>
        <w:t>（二）与转非劳动力履行劳动合同未满5年且转非劳动力未达到国家规定退休年龄的，解除或终止劳动合同时，每少履行1年，一次性就业补助费按照五分之一的比例返还给转非劳动力，不足1年的，按1年计算。</w:t>
      </w:r>
    </w:p>
    <w:p w14:paraId="46B5B9BD">
      <w:pPr>
        <w:ind w:firstLine="422"/>
        <w:jc w:val="left"/>
        <w:rPr>
          <w:rFonts w:ascii="宋体" w:hAnsi="宋体"/>
          <w:kern w:val="44"/>
        </w:rPr>
      </w:pPr>
      <w:r>
        <w:rPr>
          <w:rFonts w:hint="eastAsia" w:ascii="宋体" w:hAnsi="宋体"/>
          <w:b/>
          <w:kern w:val="44"/>
        </w:rPr>
        <w:t>第二十九条</w:t>
      </w:r>
      <w:r>
        <w:rPr>
          <w:rFonts w:hint="eastAsia" w:ascii="宋体" w:hAnsi="宋体"/>
          <w:kern w:val="44"/>
        </w:rPr>
        <w:t>　转非劳动力自谋职业的，应当与乡镇人民政府、农村集体经济组织或者村民委员会签订自谋职业协议并经公证机关公证。</w:t>
      </w:r>
    </w:p>
    <w:p w14:paraId="6DBEF2CA">
      <w:pPr>
        <w:jc w:val="left"/>
        <w:rPr>
          <w:rFonts w:ascii="宋体" w:hAnsi="宋体"/>
          <w:kern w:val="44"/>
        </w:rPr>
      </w:pPr>
      <w:r>
        <w:rPr>
          <w:rFonts w:hint="eastAsia" w:ascii="宋体" w:hAnsi="宋体"/>
          <w:kern w:val="44"/>
        </w:rPr>
        <w:t>按照前款规定签订自谋职业协议后，转非劳动力应当办理就业登记手续，将档案转到市或者区、县职业介绍服务中心，并按照国家和本市规定缴纳各项社会保险费。</w:t>
      </w:r>
    </w:p>
    <w:p w14:paraId="5E2C7313">
      <w:pPr>
        <w:ind w:firstLine="422"/>
        <w:jc w:val="left"/>
        <w:rPr>
          <w:rFonts w:ascii="宋体" w:hAnsi="宋体"/>
          <w:kern w:val="44"/>
        </w:rPr>
      </w:pPr>
      <w:r>
        <w:rPr>
          <w:rFonts w:hint="eastAsia" w:ascii="宋体" w:hAnsi="宋体"/>
          <w:b/>
          <w:kern w:val="44"/>
        </w:rPr>
        <w:t>第三十条</w:t>
      </w:r>
      <w:r>
        <w:rPr>
          <w:rFonts w:hint="eastAsia" w:ascii="宋体" w:hAnsi="宋体"/>
          <w:kern w:val="44"/>
        </w:rPr>
        <w:t>　转非劳动力失业的，可以将本人档案转到户籍所在地的区、县失业保险经办机构，并办理失业登记、申领失业保险金手续。有关部门应当按照规定为其发放《北京市再就业优惠证》。</w:t>
      </w:r>
    </w:p>
    <w:p w14:paraId="0D49468F">
      <w:pPr>
        <w:jc w:val="left"/>
        <w:rPr>
          <w:rFonts w:ascii="宋体" w:hAnsi="宋体"/>
          <w:kern w:val="44"/>
        </w:rPr>
      </w:pPr>
      <w:r>
        <w:rPr>
          <w:rFonts w:hint="eastAsia" w:ascii="宋体" w:hAnsi="宋体"/>
          <w:kern w:val="44"/>
        </w:rPr>
        <w:t>失业的转非劳动力和招用失业转非劳动力的单位，享受本市促进就业的各项优惠政策。</w:t>
      </w:r>
    </w:p>
    <w:p w14:paraId="044BB07C">
      <w:pPr>
        <w:ind w:firstLine="422"/>
        <w:jc w:val="left"/>
        <w:rPr>
          <w:rFonts w:ascii="宋体" w:hAnsi="宋体"/>
          <w:kern w:val="44"/>
        </w:rPr>
      </w:pPr>
      <w:r>
        <w:rPr>
          <w:rFonts w:hint="eastAsia" w:ascii="宋体" w:hAnsi="宋体"/>
          <w:b/>
          <w:kern w:val="44"/>
        </w:rPr>
        <w:t>第三十一条</w:t>
      </w:r>
      <w:r>
        <w:rPr>
          <w:rFonts w:hint="eastAsia" w:ascii="宋体" w:hAnsi="宋体"/>
          <w:kern w:val="44"/>
        </w:rPr>
        <w:t>　正在服有期徒刑或者被劳动教养的转非劳动力，其一次性就业补助费可以支付给其委托的人，也可以先由农村集体经济组织或者村民委员会代为保管，待其刑满释放或者解除劳动教养后一次性全额支付给本人。</w:t>
      </w:r>
    </w:p>
    <w:p w14:paraId="1F445A47">
      <w:pPr>
        <w:ind w:firstLine="422"/>
        <w:jc w:val="left"/>
        <w:rPr>
          <w:rFonts w:ascii="宋体" w:hAnsi="宋体"/>
          <w:kern w:val="44"/>
        </w:rPr>
      </w:pPr>
      <w:r>
        <w:rPr>
          <w:rFonts w:hint="eastAsia" w:ascii="宋体" w:hAnsi="宋体"/>
          <w:b/>
          <w:kern w:val="44"/>
        </w:rPr>
        <w:t>第三十二条</w:t>
      </w:r>
      <w:r>
        <w:rPr>
          <w:rFonts w:hint="eastAsia" w:ascii="宋体" w:hAnsi="宋体"/>
          <w:kern w:val="44"/>
        </w:rPr>
        <w:t>　转非劳动力的档案由农村集体经济组织或者村民委员会负责建立。档案中应当有转非劳动力登记表及相关材料，自谋职业的还应当有经公证的自谋职业协议书。</w:t>
      </w:r>
    </w:p>
    <w:p w14:paraId="0B4B1AB4">
      <w:pPr>
        <w:jc w:val="left"/>
        <w:rPr>
          <w:rFonts w:ascii="宋体" w:hAnsi="宋体"/>
          <w:kern w:val="44"/>
        </w:rPr>
      </w:pPr>
    </w:p>
    <w:p w14:paraId="32188DEF">
      <w:pPr>
        <w:ind w:firstLine="0" w:firstLineChars="0"/>
        <w:jc w:val="center"/>
        <w:rPr>
          <w:rFonts w:ascii="宋体" w:hAnsi="宋体"/>
          <w:b/>
          <w:kern w:val="44"/>
          <w:sz w:val="28"/>
        </w:rPr>
      </w:pPr>
      <w:r>
        <w:rPr>
          <w:rFonts w:hint="eastAsia" w:ascii="宋体" w:hAnsi="宋体"/>
          <w:b/>
          <w:kern w:val="44"/>
          <w:sz w:val="28"/>
        </w:rPr>
        <w:t>第五章  社会保险</w:t>
      </w:r>
    </w:p>
    <w:p w14:paraId="52DE855C">
      <w:pPr>
        <w:jc w:val="left"/>
        <w:rPr>
          <w:rFonts w:ascii="宋体" w:hAnsi="宋体"/>
          <w:kern w:val="44"/>
        </w:rPr>
      </w:pPr>
    </w:p>
    <w:p w14:paraId="1817CE12">
      <w:pPr>
        <w:ind w:firstLine="422"/>
        <w:jc w:val="left"/>
        <w:rPr>
          <w:rFonts w:ascii="宋体" w:hAnsi="宋体"/>
          <w:kern w:val="44"/>
        </w:rPr>
      </w:pPr>
      <w:r>
        <w:rPr>
          <w:rFonts w:hint="eastAsia" w:ascii="宋体" w:hAnsi="宋体"/>
          <w:b/>
          <w:kern w:val="44"/>
        </w:rPr>
        <w:t>第三十三条</w:t>
      </w:r>
      <w:r>
        <w:rPr>
          <w:rFonts w:hint="eastAsia" w:ascii="宋体" w:hAnsi="宋体"/>
          <w:kern w:val="44"/>
        </w:rPr>
        <w:t>　自批准征地之月起，转非劳动力应当按照国家和本市规定参加各项社会保险，并按规定缴纳社会保险费。</w:t>
      </w:r>
    </w:p>
    <w:p w14:paraId="6C1285EB">
      <w:pPr>
        <w:jc w:val="left"/>
        <w:rPr>
          <w:rFonts w:ascii="宋体" w:hAnsi="宋体"/>
          <w:kern w:val="44"/>
        </w:rPr>
      </w:pPr>
      <w:r>
        <w:rPr>
          <w:rFonts w:hint="eastAsia" w:ascii="宋体" w:hAnsi="宋体"/>
          <w:kern w:val="44"/>
        </w:rPr>
        <w:t>农村集体经济组织或者村民委员会应当在转非劳动力办理转为非农业户口手续后30日内，到所在区、县社会保险经办机构为其办理参加社会保险手续，补缴社会保险费。</w:t>
      </w:r>
    </w:p>
    <w:p w14:paraId="59BFE6E1">
      <w:pPr>
        <w:jc w:val="left"/>
        <w:rPr>
          <w:rFonts w:ascii="宋体" w:hAnsi="宋体"/>
          <w:kern w:val="44"/>
        </w:rPr>
      </w:pPr>
      <w:r>
        <w:rPr>
          <w:rFonts w:hint="eastAsia" w:ascii="宋体" w:hAnsi="宋体"/>
          <w:kern w:val="44"/>
        </w:rPr>
        <w:t>转非劳动力补缴的社会保险费，由征地单位从征地补偿费中直接拨付到其所在区、县社会保险经办机构。</w:t>
      </w:r>
    </w:p>
    <w:p w14:paraId="226CE9D9">
      <w:pPr>
        <w:ind w:firstLine="422"/>
        <w:jc w:val="left"/>
        <w:rPr>
          <w:rFonts w:ascii="宋体" w:hAnsi="宋体"/>
          <w:kern w:val="44"/>
        </w:rPr>
      </w:pPr>
      <w:r>
        <w:rPr>
          <w:rFonts w:hint="eastAsia" w:ascii="宋体" w:hAnsi="宋体"/>
          <w:b/>
          <w:kern w:val="44"/>
        </w:rPr>
        <w:t>第三十四条</w:t>
      </w:r>
      <w:r>
        <w:rPr>
          <w:rFonts w:hint="eastAsia" w:ascii="宋体" w:hAnsi="宋体"/>
          <w:kern w:val="44"/>
        </w:rPr>
        <w:t>　转非劳动力达到国家规定的退休年龄时，累计缴纳基本养老保险费满15年及其以上的，享受按月领取基本养老金待遇。基本养老金由基础养老金和个人</w:t>
      </w:r>
      <w:r>
        <w:rPr>
          <w:rFonts w:hint="eastAsia" w:ascii="宋体" w:hAnsi="宋体"/>
          <w:kern w:val="44"/>
          <w:lang w:eastAsia="zh-CN"/>
        </w:rPr>
        <w:t>账户</w:t>
      </w:r>
      <w:r>
        <w:rPr>
          <w:rFonts w:hint="eastAsia" w:ascii="宋体" w:hAnsi="宋体"/>
          <w:kern w:val="44"/>
        </w:rPr>
        <w:t>养老金两部分组成。基础养老金按照本人退休时上一年本市职工月平均工资的20％计发；个人</w:t>
      </w:r>
      <w:r>
        <w:rPr>
          <w:rFonts w:hint="eastAsia" w:ascii="宋体" w:hAnsi="宋体"/>
          <w:kern w:val="44"/>
          <w:lang w:eastAsia="zh-CN"/>
        </w:rPr>
        <w:t>账户</w:t>
      </w:r>
      <w:r>
        <w:rPr>
          <w:rFonts w:hint="eastAsia" w:ascii="宋体" w:hAnsi="宋体"/>
          <w:kern w:val="44"/>
        </w:rPr>
        <w:t>养老金按照个人</w:t>
      </w:r>
      <w:r>
        <w:rPr>
          <w:rFonts w:hint="eastAsia" w:ascii="宋体" w:hAnsi="宋体"/>
          <w:kern w:val="44"/>
          <w:lang w:eastAsia="zh-CN"/>
        </w:rPr>
        <w:t>账户</w:t>
      </w:r>
      <w:r>
        <w:rPr>
          <w:rFonts w:hint="eastAsia" w:ascii="宋体" w:hAnsi="宋体"/>
          <w:kern w:val="44"/>
        </w:rPr>
        <w:t>累计储存额的一百二十分之一计发。转非劳动力按月领取的基本养老金低于本市基本养老金最低标准的，按照最低标准发放，并执行基本养老金调整的统一规定。</w:t>
      </w:r>
    </w:p>
    <w:p w14:paraId="35BBF4F2">
      <w:pPr>
        <w:jc w:val="left"/>
        <w:rPr>
          <w:rFonts w:ascii="宋体" w:hAnsi="宋体"/>
          <w:kern w:val="44"/>
        </w:rPr>
      </w:pPr>
      <w:r>
        <w:rPr>
          <w:rFonts w:hint="eastAsia" w:ascii="宋体" w:hAnsi="宋体"/>
          <w:kern w:val="44"/>
        </w:rPr>
        <w:t>转非劳动力达到国家规定的退休年龄时，累计缴纳基本养老保险费不满15年的，不享受按月领取基本养老金待遇，其个人</w:t>
      </w:r>
      <w:r>
        <w:rPr>
          <w:rFonts w:hint="eastAsia" w:ascii="宋体" w:hAnsi="宋体"/>
          <w:kern w:val="44"/>
          <w:lang w:eastAsia="zh-CN"/>
        </w:rPr>
        <w:t>账户</w:t>
      </w:r>
      <w:r>
        <w:rPr>
          <w:rFonts w:hint="eastAsia" w:ascii="宋体" w:hAnsi="宋体"/>
          <w:kern w:val="44"/>
        </w:rPr>
        <w:t>储存额一次性支付给本人，并终止养老保险关系。</w:t>
      </w:r>
    </w:p>
    <w:p w14:paraId="778C8232">
      <w:pPr>
        <w:ind w:firstLine="422"/>
        <w:jc w:val="left"/>
        <w:rPr>
          <w:rFonts w:ascii="宋体" w:hAnsi="宋体"/>
          <w:kern w:val="44"/>
        </w:rPr>
      </w:pPr>
      <w:r>
        <w:rPr>
          <w:rFonts w:hint="eastAsia" w:ascii="宋体" w:hAnsi="宋体"/>
          <w:b/>
          <w:kern w:val="44"/>
        </w:rPr>
        <w:t>第三十五条</w:t>
      </w:r>
      <w:r>
        <w:rPr>
          <w:rFonts w:hint="eastAsia" w:ascii="宋体" w:hAnsi="宋体"/>
          <w:kern w:val="44"/>
        </w:rPr>
        <w:t>　依法批准征地时，转非劳动力男年满41周岁、女年满31周岁的补缴1年基本养老保险费；年龄每增加1岁增补1年基本养老保险费，最多补缴15年。</w:t>
      </w:r>
    </w:p>
    <w:p w14:paraId="1FFFDAA7">
      <w:pPr>
        <w:jc w:val="left"/>
        <w:rPr>
          <w:rFonts w:ascii="宋体" w:hAnsi="宋体"/>
          <w:kern w:val="44"/>
        </w:rPr>
      </w:pPr>
      <w:r>
        <w:rPr>
          <w:rFonts w:hint="eastAsia" w:ascii="宋体" w:hAnsi="宋体"/>
          <w:kern w:val="44"/>
        </w:rPr>
        <w:t>补缴基本养老保险费以依法批准征地时上一年本市职工平均工资的60％为基数，按照28％的比例一次性补缴。补缴后，由社会保险经办机构按照11％的比例一次性为其建立基本养老保险个人</w:t>
      </w:r>
      <w:r>
        <w:rPr>
          <w:rFonts w:hint="eastAsia" w:ascii="宋体" w:hAnsi="宋体"/>
          <w:kern w:val="44"/>
          <w:lang w:eastAsia="zh-CN"/>
        </w:rPr>
        <w:t>账户</w:t>
      </w:r>
      <w:r>
        <w:rPr>
          <w:rFonts w:hint="eastAsia" w:ascii="宋体" w:hAnsi="宋体"/>
          <w:kern w:val="44"/>
        </w:rPr>
        <w:t>。</w:t>
      </w:r>
    </w:p>
    <w:p w14:paraId="788671E8">
      <w:pPr>
        <w:ind w:firstLine="422"/>
        <w:jc w:val="left"/>
        <w:rPr>
          <w:rFonts w:ascii="宋体" w:hAnsi="宋体"/>
          <w:kern w:val="44"/>
        </w:rPr>
      </w:pPr>
      <w:r>
        <w:rPr>
          <w:rFonts w:hint="eastAsia" w:ascii="宋体" w:hAnsi="宋体"/>
          <w:b/>
          <w:kern w:val="44"/>
        </w:rPr>
        <w:t>第三十六条</w:t>
      </w:r>
      <w:r>
        <w:rPr>
          <w:rFonts w:hint="eastAsia" w:ascii="宋体" w:hAnsi="宋体"/>
          <w:kern w:val="44"/>
        </w:rPr>
        <w:t>　转非劳动力达到国家规定的退休年龄时，基本医疗保险累计缴费年限男满25年、女满20年且符合按月领取基本养老金条件的，办理退休手续后按规定享受退休人员基本医疗保险待遇；不符合上述条件的不享受退休人员基本医疗保险待遇，个人</w:t>
      </w:r>
      <w:r>
        <w:rPr>
          <w:rFonts w:hint="eastAsia" w:ascii="宋体" w:hAnsi="宋体"/>
          <w:kern w:val="44"/>
          <w:lang w:eastAsia="zh-CN"/>
        </w:rPr>
        <w:t>账户</w:t>
      </w:r>
      <w:r>
        <w:rPr>
          <w:rFonts w:hint="eastAsia" w:ascii="宋体" w:hAnsi="宋体"/>
          <w:kern w:val="44"/>
        </w:rPr>
        <w:t>余额一次性支付给本人。</w:t>
      </w:r>
    </w:p>
    <w:p w14:paraId="607C8513">
      <w:pPr>
        <w:ind w:firstLine="422"/>
        <w:jc w:val="left"/>
        <w:rPr>
          <w:rFonts w:ascii="宋体" w:hAnsi="宋体"/>
          <w:kern w:val="44"/>
        </w:rPr>
      </w:pPr>
      <w:r>
        <w:rPr>
          <w:rFonts w:hint="eastAsia" w:ascii="宋体" w:hAnsi="宋体"/>
          <w:b/>
          <w:kern w:val="44"/>
        </w:rPr>
        <w:t>第三十七条</w:t>
      </w:r>
      <w:r>
        <w:rPr>
          <w:rFonts w:hint="eastAsia" w:ascii="宋体" w:hAnsi="宋体"/>
          <w:kern w:val="44"/>
        </w:rPr>
        <w:t>　依法批准征地时，转非劳动力男年满31周岁的补缴1年基本医疗保险费，至年满51周岁前每增加1岁增补1年，最多补缴10年；年满51周岁的补缴11年基本医疗保险费，至退休前每增加1岁增补1年，最多补缴15年。</w:t>
      </w:r>
    </w:p>
    <w:p w14:paraId="4094B4B9">
      <w:pPr>
        <w:jc w:val="left"/>
        <w:rPr>
          <w:rFonts w:ascii="宋体" w:hAnsi="宋体"/>
          <w:kern w:val="44"/>
        </w:rPr>
      </w:pPr>
      <w:r>
        <w:rPr>
          <w:rFonts w:hint="eastAsia" w:ascii="宋体" w:hAnsi="宋体"/>
          <w:kern w:val="44"/>
        </w:rPr>
        <w:t>依法批准征地时，转非劳动力女年满26周岁的补缴1年基本医疗保险费，至年满41周岁前每增加1岁增补1年，最多补缴5年；年满41周岁补缴6年基本医疗保险费，至退休前每增加1岁增补1年，最多补缴10年。</w:t>
      </w:r>
    </w:p>
    <w:p w14:paraId="0FB7A267">
      <w:pPr>
        <w:jc w:val="left"/>
        <w:rPr>
          <w:rFonts w:ascii="宋体" w:hAnsi="宋体"/>
          <w:kern w:val="44"/>
        </w:rPr>
      </w:pPr>
      <w:r>
        <w:rPr>
          <w:rFonts w:hint="eastAsia" w:ascii="宋体" w:hAnsi="宋体"/>
          <w:kern w:val="44"/>
        </w:rPr>
        <w:t>补缴基本医疗保险费以依法批准征地时上一年本市职工平均工资的60％为基数，按照12％的比例一次性补缴。补缴后，由社会保险经办机构将其中9％划入统筹基金、1％划入大额医疗互助资金、2％划入个人</w:t>
      </w:r>
      <w:r>
        <w:rPr>
          <w:rFonts w:hint="eastAsia" w:ascii="宋体" w:hAnsi="宋体"/>
          <w:kern w:val="44"/>
          <w:lang w:eastAsia="zh-CN"/>
        </w:rPr>
        <w:t>账户</w:t>
      </w:r>
      <w:r>
        <w:rPr>
          <w:rFonts w:hint="eastAsia" w:ascii="宋体" w:hAnsi="宋体"/>
          <w:kern w:val="44"/>
        </w:rPr>
        <w:t>。</w:t>
      </w:r>
    </w:p>
    <w:p w14:paraId="438D5E21">
      <w:pPr>
        <w:ind w:firstLine="422"/>
        <w:jc w:val="left"/>
        <w:rPr>
          <w:rFonts w:ascii="宋体" w:hAnsi="宋体"/>
          <w:kern w:val="44"/>
        </w:rPr>
      </w:pPr>
      <w:r>
        <w:rPr>
          <w:rFonts w:hint="eastAsia" w:ascii="宋体" w:hAnsi="宋体"/>
          <w:b/>
          <w:kern w:val="44"/>
        </w:rPr>
        <w:t>第三十八条</w:t>
      </w:r>
      <w:r>
        <w:rPr>
          <w:rFonts w:hint="eastAsia" w:ascii="宋体" w:hAnsi="宋体"/>
          <w:kern w:val="44"/>
        </w:rPr>
        <w:t>　转非劳动力按本办法第三十五条规定一次性补缴基本养老保险费的，其补缴基本养老保险费年限视同基本医疗保险缴费年限，但最多视同10年缴费年限。</w:t>
      </w:r>
    </w:p>
    <w:p w14:paraId="41325589">
      <w:pPr>
        <w:ind w:firstLine="422"/>
        <w:jc w:val="left"/>
        <w:rPr>
          <w:rFonts w:ascii="宋体" w:hAnsi="宋体"/>
          <w:kern w:val="44"/>
        </w:rPr>
      </w:pPr>
      <w:r>
        <w:rPr>
          <w:rFonts w:hint="eastAsia" w:ascii="宋体" w:hAnsi="宋体"/>
          <w:b/>
          <w:kern w:val="44"/>
        </w:rPr>
        <w:t>第三十九条</w:t>
      </w:r>
      <w:r>
        <w:rPr>
          <w:rFonts w:hint="eastAsia" w:ascii="宋体" w:hAnsi="宋体"/>
          <w:kern w:val="44"/>
        </w:rPr>
        <w:t>　转非劳动力按照本办法第三十七条规定补缴基本医疗保险费后，在达到国家规定的退休年龄前继续缴纳基本医疗保险费的，享受当期基本医疗保险待遇；不继续缴纳基本医疗保险费的，不享受当期基本医疗保险待遇。</w:t>
      </w:r>
    </w:p>
    <w:p w14:paraId="29FFA13A">
      <w:pPr>
        <w:ind w:firstLine="422"/>
        <w:jc w:val="left"/>
        <w:rPr>
          <w:rFonts w:ascii="宋体" w:hAnsi="宋体"/>
          <w:kern w:val="44"/>
        </w:rPr>
      </w:pPr>
      <w:r>
        <w:rPr>
          <w:rFonts w:hint="eastAsia" w:ascii="宋体" w:hAnsi="宋体"/>
          <w:b/>
          <w:kern w:val="44"/>
        </w:rPr>
        <w:t>第四十条</w:t>
      </w:r>
      <w:r>
        <w:rPr>
          <w:rFonts w:hint="eastAsia" w:ascii="宋体" w:hAnsi="宋体"/>
          <w:kern w:val="44"/>
        </w:rPr>
        <w:t>　依法批准征地时，转非劳动力年满16周岁的补缴1年失业保险费，至达到国家规定的退休年龄前，每增加1岁增补1年，最多补缴20年。补缴失业保险费以依法批准征地时上一年本市职工平均工资的60％为基数，按照2％的比例一次性补缴。</w:t>
      </w:r>
    </w:p>
    <w:p w14:paraId="0D457D30">
      <w:pPr>
        <w:jc w:val="left"/>
        <w:rPr>
          <w:rFonts w:ascii="宋体" w:hAnsi="宋体"/>
          <w:kern w:val="44"/>
        </w:rPr>
      </w:pPr>
      <w:r>
        <w:rPr>
          <w:rFonts w:hint="eastAsia" w:ascii="宋体" w:hAnsi="宋体"/>
          <w:kern w:val="44"/>
        </w:rPr>
        <w:t>转非劳动力失业后，按照规定享受失业保险待遇。但其在领取失业保险金期间自谋职业的，不执行一次性领取失业保险金的规定。未领取失业保险金的期限予以保留，与再次失业后应当领取失业保险金的期限合并计算。</w:t>
      </w:r>
    </w:p>
    <w:p w14:paraId="01FDC058">
      <w:pPr>
        <w:ind w:firstLine="422"/>
        <w:jc w:val="left"/>
        <w:rPr>
          <w:rFonts w:ascii="宋体" w:hAnsi="宋体"/>
          <w:kern w:val="44"/>
        </w:rPr>
      </w:pPr>
      <w:r>
        <w:rPr>
          <w:rFonts w:hint="eastAsia" w:ascii="宋体" w:hAnsi="宋体"/>
          <w:b/>
          <w:kern w:val="44"/>
        </w:rPr>
        <w:t>第四十一条</w:t>
      </w:r>
      <w:r>
        <w:rPr>
          <w:rFonts w:hint="eastAsia" w:ascii="宋体" w:hAnsi="宋体"/>
          <w:kern w:val="44"/>
        </w:rPr>
        <w:t>　转非劳动力中的复员退伍军人，其在军队工作的年限视同社会保险费缴费年限。</w:t>
      </w:r>
    </w:p>
    <w:p w14:paraId="68804E4E">
      <w:pPr>
        <w:jc w:val="left"/>
        <w:rPr>
          <w:rFonts w:ascii="宋体" w:hAnsi="宋体"/>
          <w:kern w:val="44"/>
        </w:rPr>
      </w:pPr>
      <w:r>
        <w:rPr>
          <w:rFonts w:hint="eastAsia" w:ascii="宋体" w:hAnsi="宋体"/>
          <w:kern w:val="44"/>
        </w:rPr>
        <w:t>参加了城镇企业农民工社会保险的转非劳动力，其参加农民工社会保险的时间计算为缴费年限。但已一次性领取养老保险费、一次性生活补助费的，不计算养老保险和失业保险的缴费年限。</w:t>
      </w:r>
    </w:p>
    <w:p w14:paraId="599F56FF">
      <w:pPr>
        <w:ind w:firstLine="422"/>
        <w:jc w:val="left"/>
        <w:rPr>
          <w:rFonts w:ascii="宋体" w:hAnsi="宋体"/>
          <w:kern w:val="44"/>
        </w:rPr>
      </w:pPr>
      <w:r>
        <w:rPr>
          <w:rFonts w:hint="eastAsia" w:ascii="宋体" w:hAnsi="宋体"/>
          <w:b/>
          <w:kern w:val="44"/>
        </w:rPr>
        <w:t>第四十二条</w:t>
      </w:r>
      <w:r>
        <w:rPr>
          <w:rFonts w:hint="eastAsia" w:ascii="宋体" w:hAnsi="宋体"/>
          <w:kern w:val="44"/>
        </w:rPr>
        <w:t>　正在服有期徒刑或者被劳动教养的转非劳动力，其补偿安置适用本章有关规定。</w:t>
      </w:r>
    </w:p>
    <w:p w14:paraId="2069CBDB">
      <w:pPr>
        <w:jc w:val="left"/>
        <w:rPr>
          <w:rFonts w:ascii="宋体" w:hAnsi="宋体"/>
          <w:kern w:val="44"/>
        </w:rPr>
      </w:pPr>
    </w:p>
    <w:p w14:paraId="70C23A9E">
      <w:pPr>
        <w:ind w:firstLine="0" w:firstLineChars="0"/>
        <w:jc w:val="center"/>
        <w:rPr>
          <w:rFonts w:ascii="宋体" w:hAnsi="宋体"/>
          <w:b/>
          <w:kern w:val="44"/>
        </w:rPr>
      </w:pPr>
      <w:r>
        <w:rPr>
          <w:rFonts w:hint="eastAsia" w:ascii="宋体" w:hAnsi="宋体"/>
          <w:b/>
          <w:kern w:val="44"/>
          <w:sz w:val="28"/>
        </w:rPr>
        <w:t>第六章  法律责任</w:t>
      </w:r>
    </w:p>
    <w:p w14:paraId="68A08914">
      <w:pPr>
        <w:jc w:val="left"/>
        <w:rPr>
          <w:rFonts w:ascii="宋体" w:hAnsi="宋体"/>
          <w:kern w:val="44"/>
        </w:rPr>
      </w:pPr>
    </w:p>
    <w:p w14:paraId="418BB1C9">
      <w:pPr>
        <w:ind w:firstLine="422"/>
        <w:jc w:val="left"/>
        <w:rPr>
          <w:rFonts w:ascii="宋体" w:hAnsi="宋体"/>
          <w:kern w:val="44"/>
        </w:rPr>
      </w:pPr>
      <w:r>
        <w:rPr>
          <w:rFonts w:hint="eastAsia" w:ascii="宋体" w:hAnsi="宋体"/>
          <w:b/>
          <w:kern w:val="44"/>
        </w:rPr>
        <w:t>第四十三条</w:t>
      </w:r>
      <w:r>
        <w:rPr>
          <w:rFonts w:hint="eastAsia" w:ascii="宋体" w:hAnsi="宋体"/>
          <w:kern w:val="44"/>
        </w:rPr>
        <w:t>　侵占、挪用征地补偿费用和其他有关费用的，由上级机关或者监察部门依法给予行政处分；构成犯罪的，依法追究刑事责任。</w:t>
      </w:r>
    </w:p>
    <w:p w14:paraId="47E51082">
      <w:pPr>
        <w:ind w:firstLine="422"/>
        <w:jc w:val="left"/>
        <w:rPr>
          <w:rFonts w:ascii="宋体" w:hAnsi="宋体"/>
          <w:kern w:val="44"/>
        </w:rPr>
      </w:pPr>
      <w:r>
        <w:rPr>
          <w:rFonts w:hint="eastAsia" w:ascii="宋体" w:hAnsi="宋体"/>
          <w:b/>
          <w:kern w:val="44"/>
        </w:rPr>
        <w:t>第四十四条</w:t>
      </w:r>
      <w:r>
        <w:rPr>
          <w:rFonts w:hint="eastAsia" w:ascii="宋体" w:hAnsi="宋体"/>
          <w:kern w:val="44"/>
        </w:rPr>
        <w:t>　土地、劳动保障、民政、公安等有关管理部门不依法履行职责的，由其上级主管部门责令限期改正，逾期不改正的，依法追究主管责任人员和其他直接责任人员的行政责任。</w:t>
      </w:r>
    </w:p>
    <w:p w14:paraId="0B50A3D7">
      <w:pPr>
        <w:ind w:firstLine="0" w:firstLineChars="0"/>
        <w:jc w:val="center"/>
        <w:rPr>
          <w:rFonts w:ascii="宋体" w:hAnsi="宋体"/>
          <w:b/>
          <w:kern w:val="44"/>
          <w:sz w:val="28"/>
        </w:rPr>
      </w:pPr>
      <w:r>
        <w:rPr>
          <w:rFonts w:hint="eastAsia" w:ascii="宋体" w:hAnsi="宋体"/>
          <w:b/>
          <w:kern w:val="44"/>
          <w:sz w:val="28"/>
        </w:rPr>
        <w:t>第七章  附　则</w:t>
      </w:r>
    </w:p>
    <w:p w14:paraId="4AE7C01E">
      <w:pPr>
        <w:jc w:val="left"/>
        <w:rPr>
          <w:rFonts w:ascii="宋体" w:hAnsi="宋体"/>
          <w:kern w:val="44"/>
        </w:rPr>
      </w:pPr>
    </w:p>
    <w:p w14:paraId="53F34498">
      <w:pPr>
        <w:ind w:firstLine="422"/>
        <w:jc w:val="left"/>
        <w:rPr>
          <w:rFonts w:ascii="宋体" w:hAnsi="宋体"/>
          <w:kern w:val="44"/>
        </w:rPr>
      </w:pPr>
      <w:r>
        <w:rPr>
          <w:rFonts w:hint="eastAsia" w:ascii="宋体" w:hAnsi="宋体"/>
          <w:b/>
          <w:kern w:val="44"/>
        </w:rPr>
        <w:t>第四十五条</w:t>
      </w:r>
      <w:r>
        <w:rPr>
          <w:rFonts w:hint="eastAsia" w:ascii="宋体" w:hAnsi="宋体"/>
          <w:kern w:val="44"/>
        </w:rPr>
        <w:t>　本办法所称下列名词的含义是：</w:t>
      </w:r>
    </w:p>
    <w:p w14:paraId="6203E637">
      <w:pPr>
        <w:jc w:val="left"/>
        <w:rPr>
          <w:rFonts w:ascii="宋体" w:hAnsi="宋体"/>
          <w:kern w:val="44"/>
        </w:rPr>
      </w:pPr>
      <w:r>
        <w:rPr>
          <w:rFonts w:hint="eastAsia" w:ascii="宋体" w:hAnsi="宋体"/>
          <w:kern w:val="44"/>
        </w:rPr>
        <w:t>转非劳动力是指征地转为非农业户口且在法定劳动年龄范围内具有劳动能力的人员，不包括16周岁以上正在接受义务教育和学历教育的学生。</w:t>
      </w:r>
    </w:p>
    <w:p w14:paraId="4F4A28F4">
      <w:pPr>
        <w:jc w:val="left"/>
        <w:rPr>
          <w:rFonts w:ascii="宋体" w:hAnsi="宋体"/>
          <w:kern w:val="44"/>
        </w:rPr>
      </w:pPr>
      <w:r>
        <w:rPr>
          <w:rFonts w:hint="eastAsia" w:ascii="宋体" w:hAnsi="宋体"/>
          <w:kern w:val="44"/>
        </w:rPr>
        <w:t>超转人员是指征地转为非农业户口且男年满60周岁、女年满50周岁及其以上的人员和经认定完全丧失劳动能力的人员。</w:t>
      </w:r>
    </w:p>
    <w:p w14:paraId="664E461B">
      <w:pPr>
        <w:jc w:val="left"/>
        <w:rPr>
          <w:rFonts w:ascii="宋体" w:hAnsi="宋体"/>
          <w:kern w:val="44"/>
        </w:rPr>
      </w:pPr>
      <w:r>
        <w:rPr>
          <w:rFonts w:hint="eastAsia" w:ascii="宋体" w:hAnsi="宋体"/>
          <w:kern w:val="44"/>
        </w:rPr>
        <w:t>以上年龄计算以依法批准征地之日为准。</w:t>
      </w:r>
    </w:p>
    <w:p w14:paraId="0799AA14">
      <w:pPr>
        <w:ind w:firstLine="422"/>
        <w:jc w:val="left"/>
        <w:rPr>
          <w:rFonts w:ascii="宋体" w:hAnsi="宋体"/>
          <w:kern w:val="44"/>
        </w:rPr>
      </w:pPr>
      <w:r>
        <w:rPr>
          <w:rFonts w:hint="eastAsia" w:ascii="宋体" w:hAnsi="宋体"/>
          <w:b/>
          <w:kern w:val="44"/>
        </w:rPr>
        <w:t>第四十六条</w:t>
      </w:r>
      <w:r>
        <w:rPr>
          <w:rFonts w:hint="eastAsia" w:ascii="宋体" w:hAnsi="宋体"/>
          <w:kern w:val="44"/>
        </w:rPr>
        <w:t>　农村村民转为非农业户口后，不丧失对农村集体经济组织积累应当享有的财产权利。</w:t>
      </w:r>
    </w:p>
    <w:p w14:paraId="497EDD99">
      <w:pPr>
        <w:ind w:firstLine="422"/>
        <w:jc w:val="left"/>
        <w:rPr>
          <w:rFonts w:ascii="宋体" w:hAnsi="宋体"/>
          <w:kern w:val="44"/>
        </w:rPr>
      </w:pPr>
      <w:r>
        <w:rPr>
          <w:rFonts w:hint="eastAsia" w:ascii="宋体" w:hAnsi="宋体"/>
          <w:b/>
          <w:kern w:val="44"/>
        </w:rPr>
        <w:t>第四十七条</w:t>
      </w:r>
      <w:r>
        <w:rPr>
          <w:rFonts w:hint="eastAsia" w:ascii="宋体" w:hAnsi="宋体"/>
          <w:kern w:val="44"/>
        </w:rPr>
        <w:t xml:space="preserve">  国家对大中型水利、水电工程建设征地补偿另有规定的，从其规定。</w:t>
      </w:r>
    </w:p>
    <w:p w14:paraId="59E31DB0">
      <w:pPr>
        <w:ind w:firstLine="422"/>
        <w:jc w:val="left"/>
        <w:rPr>
          <w:rFonts w:ascii="宋体" w:hAnsi="宋体"/>
          <w:kern w:val="44"/>
        </w:rPr>
      </w:pPr>
      <w:r>
        <w:rPr>
          <w:rFonts w:hint="eastAsia" w:ascii="宋体" w:hAnsi="宋体"/>
          <w:b/>
          <w:kern w:val="44"/>
        </w:rPr>
        <w:t>第四十八条</w:t>
      </w:r>
      <w:r>
        <w:rPr>
          <w:rFonts w:hint="eastAsia" w:ascii="宋体" w:hAnsi="宋体"/>
          <w:kern w:val="44"/>
        </w:rPr>
        <w:t xml:space="preserve">  本办法自2004年7月1日起实施，1993年10月6日市人民政府发布的《北京市建设征地农转工人员安置办法》同时废止。</w:t>
      </w:r>
    </w:p>
    <w:p w14:paraId="1B1033E4">
      <w:pPr>
        <w:pStyle w:val="4"/>
        <w:pageBreakBefore/>
        <w:rPr>
          <w:kern w:val="44"/>
        </w:rPr>
      </w:pPr>
      <w:bookmarkStart w:id="922" w:name="_Toc427651884"/>
      <w:bookmarkStart w:id="923" w:name="_Toc428780108"/>
      <w:bookmarkStart w:id="924" w:name="_Toc427651542"/>
      <w:bookmarkStart w:id="925" w:name="_Toc422471250"/>
      <w:bookmarkStart w:id="926" w:name="_Toc428781590"/>
      <w:r>
        <w:rPr>
          <w:rFonts w:hint="eastAsia"/>
          <w:kern w:val="44"/>
        </w:rPr>
        <w:t>北京市禁止违法建设若干规定</w:t>
      </w:r>
      <w:bookmarkEnd w:id="922"/>
      <w:bookmarkEnd w:id="923"/>
      <w:bookmarkEnd w:id="924"/>
      <w:bookmarkEnd w:id="925"/>
      <w:bookmarkEnd w:id="926"/>
    </w:p>
    <w:p w14:paraId="1B6C7096">
      <w:pPr>
        <w:ind w:left="630" w:leftChars="300" w:right="630" w:rightChars="300"/>
        <w:jc w:val="left"/>
        <w:rPr>
          <w:rFonts w:ascii="楷体" w:hAnsi="楷体" w:eastAsia="楷体"/>
          <w:kern w:val="44"/>
        </w:rPr>
      </w:pPr>
      <w:r>
        <w:rPr>
          <w:rFonts w:hint="eastAsia" w:ascii="楷体" w:hAnsi="楷体" w:eastAsia="楷体"/>
          <w:kern w:val="44"/>
        </w:rPr>
        <w:t>（2010年11月16日北京市人民政府第78次常务会议审议通过  2011年1月10日北京市人民政府第228号令公布）</w:t>
      </w:r>
    </w:p>
    <w:p w14:paraId="065FF5CC">
      <w:pPr>
        <w:jc w:val="left"/>
        <w:rPr>
          <w:rFonts w:ascii="宋体" w:hAnsi="宋体"/>
          <w:kern w:val="44"/>
        </w:rPr>
      </w:pPr>
    </w:p>
    <w:p w14:paraId="1EAF5214">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为了加强城乡规划管理，制止和查处违法建设，根据《北京市城乡规划条例》，制定本规定。</w:t>
      </w:r>
    </w:p>
    <w:p w14:paraId="5D228745">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本市行政区域内制止和查处违法建设适用本规定。</w:t>
      </w:r>
    </w:p>
    <w:p w14:paraId="2A6D5533">
      <w:pPr>
        <w:jc w:val="left"/>
        <w:rPr>
          <w:rFonts w:ascii="宋体" w:hAnsi="宋体"/>
          <w:kern w:val="44"/>
        </w:rPr>
      </w:pPr>
      <w:r>
        <w:rPr>
          <w:rFonts w:hint="eastAsia" w:ascii="宋体" w:hAnsi="宋体"/>
          <w:kern w:val="44"/>
        </w:rPr>
        <w:t>水务、文物保护、土地管理、园林绿化等有关法律、法规另有规定的从其规定。</w:t>
      </w:r>
    </w:p>
    <w:p w14:paraId="2210B7FF">
      <w:pPr>
        <w:ind w:firstLine="422"/>
        <w:jc w:val="left"/>
        <w:rPr>
          <w:rFonts w:ascii="宋体" w:hAnsi="宋体"/>
          <w:kern w:val="44"/>
        </w:rPr>
      </w:pPr>
      <w:r>
        <w:rPr>
          <w:rFonts w:hint="eastAsia" w:ascii="宋体" w:hAnsi="宋体"/>
          <w:b/>
          <w:kern w:val="44"/>
        </w:rPr>
        <w:t>第三条</w:t>
      </w:r>
      <w:r>
        <w:rPr>
          <w:rFonts w:hint="eastAsia" w:ascii="宋体" w:hAnsi="宋体"/>
          <w:kern w:val="44"/>
        </w:rPr>
        <w:t>　违法建设包括城镇违法建设和乡村违法建设。城镇违法建设是指未取得建设工程规划许可证、临时建设工程规划许可证或者未按照许可内容进行建设的城镇建设工程，以及逾期未拆除的城镇临时建设工程。乡村违法建设是指应当取得而未取得乡村建设规划许可证、临时乡村建设规划许可证或者未按照许可内容进行建设的乡村建设工程。</w:t>
      </w:r>
    </w:p>
    <w:p w14:paraId="60E7E0E6">
      <w:pPr>
        <w:ind w:firstLine="422"/>
        <w:jc w:val="left"/>
        <w:rPr>
          <w:rFonts w:ascii="宋体" w:hAnsi="宋体"/>
          <w:kern w:val="44"/>
        </w:rPr>
      </w:pPr>
      <w:r>
        <w:rPr>
          <w:rFonts w:hint="eastAsia" w:ascii="宋体" w:hAnsi="宋体"/>
          <w:b/>
          <w:kern w:val="44"/>
        </w:rPr>
        <w:t>第四条</w:t>
      </w:r>
      <w:r>
        <w:rPr>
          <w:rFonts w:hint="eastAsia" w:ascii="宋体" w:hAnsi="宋体"/>
          <w:kern w:val="44"/>
        </w:rPr>
        <w:t>　区县人民政府负责本行政区域内禁止违法建设工作，组织、协调有关行政机关制止和查处违法建设。乡镇人民政府负责本行政区域内禁止违法建设工作，制止和查处乡村违法建设。街道办事处负责本行政区域内禁止违法建设相关工作。</w:t>
      </w:r>
    </w:p>
    <w:p w14:paraId="4513962F">
      <w:pPr>
        <w:jc w:val="left"/>
        <w:rPr>
          <w:rFonts w:ascii="宋体" w:hAnsi="宋体"/>
          <w:kern w:val="44"/>
        </w:rPr>
      </w:pPr>
      <w:r>
        <w:rPr>
          <w:rFonts w:hint="eastAsia" w:ascii="宋体" w:hAnsi="宋体"/>
          <w:kern w:val="44"/>
        </w:rPr>
        <w:t>规划行政主管部门、城市管理综合行政执法机关按照各自职责制止和查处违法建设。</w:t>
      </w:r>
    </w:p>
    <w:p w14:paraId="45E67C1C">
      <w:pPr>
        <w:jc w:val="left"/>
        <w:rPr>
          <w:rFonts w:ascii="宋体" w:hAnsi="宋体"/>
          <w:kern w:val="44"/>
        </w:rPr>
      </w:pPr>
      <w:r>
        <w:rPr>
          <w:rFonts w:hint="eastAsia" w:ascii="宋体" w:hAnsi="宋体"/>
          <w:kern w:val="44"/>
        </w:rPr>
        <w:t>公安、国土、水务、农村工作、市政市容、文物保护、园林绿化、住房城乡建设以及监察等部门按照各自职责，做好禁止违法建设相关工作。</w:t>
      </w:r>
    </w:p>
    <w:p w14:paraId="1EF699DA">
      <w:pPr>
        <w:ind w:firstLine="422"/>
        <w:jc w:val="left"/>
        <w:rPr>
          <w:rFonts w:ascii="宋体" w:hAnsi="宋体"/>
          <w:kern w:val="44"/>
        </w:rPr>
      </w:pPr>
      <w:r>
        <w:rPr>
          <w:rFonts w:hint="eastAsia" w:ascii="宋体" w:hAnsi="宋体"/>
          <w:b/>
          <w:kern w:val="44"/>
        </w:rPr>
        <w:t>第五条</w:t>
      </w:r>
      <w:r>
        <w:rPr>
          <w:rFonts w:hint="eastAsia" w:ascii="宋体" w:hAnsi="宋体"/>
          <w:kern w:val="44"/>
        </w:rPr>
        <w:t>　任何单位和个人都应当遵守城乡规划，服从规划管理，不得进行违法建设，或者利用违法建设非法获利。</w:t>
      </w:r>
    </w:p>
    <w:p w14:paraId="3792C6FB">
      <w:pPr>
        <w:jc w:val="left"/>
        <w:rPr>
          <w:rFonts w:ascii="宋体" w:hAnsi="宋体"/>
          <w:kern w:val="44"/>
        </w:rPr>
      </w:pPr>
      <w:r>
        <w:rPr>
          <w:rFonts w:hint="eastAsia" w:ascii="宋体" w:hAnsi="宋体"/>
          <w:kern w:val="44"/>
        </w:rPr>
        <w:t>各级人民政府和规划行政主管部门、城市管理综合行政执法机关应当组织开展城乡规划宣传、教育工作，提高公民遵守城乡规划的意识。</w:t>
      </w:r>
    </w:p>
    <w:p w14:paraId="0C687E77">
      <w:pPr>
        <w:ind w:firstLine="422"/>
        <w:jc w:val="left"/>
        <w:rPr>
          <w:rFonts w:ascii="宋体" w:hAnsi="宋体"/>
          <w:kern w:val="44"/>
        </w:rPr>
      </w:pPr>
      <w:r>
        <w:rPr>
          <w:rFonts w:hint="eastAsia" w:ascii="宋体" w:hAnsi="宋体"/>
          <w:b/>
          <w:kern w:val="44"/>
        </w:rPr>
        <w:t>第六条</w:t>
      </w:r>
      <w:r>
        <w:rPr>
          <w:rFonts w:hint="eastAsia" w:ascii="宋体" w:hAnsi="宋体"/>
          <w:kern w:val="44"/>
        </w:rPr>
        <w:t>　任何单位和个人都有权举报违法建设行为。</w:t>
      </w:r>
    </w:p>
    <w:p w14:paraId="44D94846">
      <w:pPr>
        <w:jc w:val="left"/>
        <w:rPr>
          <w:rFonts w:ascii="宋体" w:hAnsi="宋体"/>
          <w:kern w:val="44"/>
        </w:rPr>
      </w:pPr>
      <w:r>
        <w:rPr>
          <w:rFonts w:hint="eastAsia" w:ascii="宋体" w:hAnsi="宋体"/>
          <w:kern w:val="44"/>
        </w:rPr>
        <w:t>规划行政主管部门、城市管理综合行政执法机关和乡镇人民政府（以下统称负有查处职责的机关）应当建立举报制度，对举报及时调查、处理，并为举报人保密。违法建设经查证属实的，对举报人予以表彰、奖励。</w:t>
      </w:r>
    </w:p>
    <w:p w14:paraId="6A367C36">
      <w:pPr>
        <w:ind w:firstLine="422"/>
        <w:jc w:val="left"/>
        <w:rPr>
          <w:rFonts w:ascii="宋体" w:hAnsi="宋体"/>
          <w:kern w:val="44"/>
        </w:rPr>
      </w:pPr>
      <w:r>
        <w:rPr>
          <w:rFonts w:hint="eastAsia" w:ascii="宋体" w:hAnsi="宋体"/>
          <w:b/>
          <w:kern w:val="44"/>
        </w:rPr>
        <w:t>第七条</w:t>
      </w:r>
      <w:r>
        <w:rPr>
          <w:rFonts w:hint="eastAsia" w:ascii="宋体" w:hAnsi="宋体"/>
          <w:kern w:val="44"/>
        </w:rPr>
        <w:t>　本市建立禁止违法建设信息共享机制。利用城市网格化管理信息系统、卫星遥感监测、电子政务网络、城市基础地理信息系统等技术手段和信息资源，建立禁止违法建设信息平台，实现信息互通和数据共享。</w:t>
      </w:r>
    </w:p>
    <w:p w14:paraId="524AEB7D">
      <w:pPr>
        <w:ind w:firstLine="422"/>
        <w:jc w:val="left"/>
        <w:rPr>
          <w:rFonts w:ascii="宋体" w:hAnsi="宋体"/>
          <w:kern w:val="44"/>
        </w:rPr>
      </w:pPr>
      <w:r>
        <w:rPr>
          <w:rFonts w:hint="eastAsia" w:ascii="宋体" w:hAnsi="宋体"/>
          <w:b/>
          <w:kern w:val="44"/>
        </w:rPr>
        <w:t>第八条</w:t>
      </w:r>
      <w:r>
        <w:rPr>
          <w:rFonts w:hint="eastAsia" w:ascii="宋体" w:hAnsi="宋体"/>
          <w:kern w:val="44"/>
        </w:rPr>
        <w:t>　区县人民政府建立违法建设巡查制度。乡镇人民政府、街道办事处按照属地管理原则，加强巡查，及时发现、制止违法建设，并按照职责查处或者向负有查处职责的机关报告。</w:t>
      </w:r>
    </w:p>
    <w:p w14:paraId="3F7AEBBA">
      <w:pPr>
        <w:ind w:firstLine="422"/>
        <w:jc w:val="left"/>
        <w:rPr>
          <w:rFonts w:ascii="宋体" w:hAnsi="宋体"/>
          <w:kern w:val="44"/>
        </w:rPr>
      </w:pPr>
      <w:r>
        <w:rPr>
          <w:rFonts w:hint="eastAsia" w:ascii="宋体" w:hAnsi="宋体"/>
          <w:b/>
          <w:kern w:val="44"/>
        </w:rPr>
        <w:t>第九条</w:t>
      </w:r>
      <w:r>
        <w:rPr>
          <w:rFonts w:hint="eastAsia" w:ascii="宋体" w:hAnsi="宋体"/>
          <w:kern w:val="44"/>
        </w:rPr>
        <w:t>　市规划行政主管部门指导全市违法建设查处工作。规划行政主管部门负责查处下列违法建设：</w:t>
      </w:r>
    </w:p>
    <w:p w14:paraId="1DDE5575">
      <w:pPr>
        <w:jc w:val="left"/>
        <w:rPr>
          <w:rFonts w:ascii="宋体" w:hAnsi="宋体"/>
          <w:kern w:val="44"/>
        </w:rPr>
      </w:pPr>
      <w:r>
        <w:rPr>
          <w:rFonts w:hint="eastAsia" w:ascii="宋体" w:hAnsi="宋体"/>
          <w:kern w:val="44"/>
        </w:rPr>
        <w:t>（一）已经取得建设工程规划许可证、临时建设工程规划许可证但未按照许可内容进行建设的城镇建设工程；</w:t>
      </w:r>
    </w:p>
    <w:p w14:paraId="7CDF8156">
      <w:pPr>
        <w:jc w:val="left"/>
        <w:rPr>
          <w:rFonts w:ascii="宋体" w:hAnsi="宋体"/>
          <w:kern w:val="44"/>
        </w:rPr>
      </w:pPr>
      <w:r>
        <w:rPr>
          <w:rFonts w:hint="eastAsia" w:ascii="宋体" w:hAnsi="宋体"/>
          <w:kern w:val="44"/>
        </w:rPr>
        <w:t>（二）未取得建设工程规划许可证但已经取得选址意见书、规划条件或者建设工程设计方案审查同意意见的城镇建设工程；</w:t>
      </w:r>
    </w:p>
    <w:p w14:paraId="528E3681">
      <w:pPr>
        <w:jc w:val="left"/>
        <w:rPr>
          <w:rFonts w:ascii="宋体" w:hAnsi="宋体"/>
          <w:kern w:val="44"/>
        </w:rPr>
      </w:pPr>
      <w:r>
        <w:rPr>
          <w:rFonts w:hint="eastAsia" w:ascii="宋体" w:hAnsi="宋体"/>
          <w:kern w:val="44"/>
        </w:rPr>
        <w:t>（三）逾期未拆除的城镇临时建设工程；</w:t>
      </w:r>
    </w:p>
    <w:p w14:paraId="520C1E8B">
      <w:pPr>
        <w:jc w:val="left"/>
        <w:rPr>
          <w:rFonts w:ascii="宋体" w:hAnsi="宋体"/>
          <w:kern w:val="44"/>
        </w:rPr>
      </w:pPr>
      <w:r>
        <w:rPr>
          <w:rFonts w:hint="eastAsia" w:ascii="宋体" w:hAnsi="宋体"/>
          <w:kern w:val="44"/>
        </w:rPr>
        <w:t>（四）其他不属于城市管理综合行政执法机关、乡镇人民政府负责查处的违法建设。</w:t>
      </w:r>
    </w:p>
    <w:p w14:paraId="2011678A">
      <w:pPr>
        <w:jc w:val="left"/>
        <w:rPr>
          <w:rFonts w:ascii="宋体" w:hAnsi="宋体"/>
          <w:kern w:val="44"/>
        </w:rPr>
      </w:pPr>
      <w:r>
        <w:rPr>
          <w:rFonts w:hint="eastAsia" w:ascii="宋体" w:hAnsi="宋体"/>
          <w:kern w:val="44"/>
        </w:rPr>
        <w:t>城市管理综合行政执法机关负责查处未取得建设工程规划许可证、临时建设工程规划许可证以及前款第（二）项中所列规划文件的城镇建设工程。</w:t>
      </w:r>
    </w:p>
    <w:p w14:paraId="2C19D15E">
      <w:pPr>
        <w:jc w:val="left"/>
        <w:rPr>
          <w:rFonts w:ascii="宋体" w:hAnsi="宋体"/>
          <w:kern w:val="44"/>
        </w:rPr>
      </w:pPr>
      <w:r>
        <w:rPr>
          <w:rFonts w:hint="eastAsia" w:ascii="宋体" w:hAnsi="宋体"/>
          <w:kern w:val="44"/>
        </w:rPr>
        <w:t>乡镇人民政府负责查处本行政区域内的乡村违法建设，但在撤销乡镇人民政府设置街道办事处的区域内的乡村违法建设，已经取得临时乡村建设规划许可证但未按照许可内容进行建设的，由规划行政主管部门负责查处，应当取得而未取得临时乡村建设规划许可证的，由城市管理综合行政执法机关负责查处。</w:t>
      </w:r>
    </w:p>
    <w:p w14:paraId="29013BB2">
      <w:pPr>
        <w:ind w:firstLine="422"/>
        <w:jc w:val="left"/>
        <w:rPr>
          <w:rFonts w:ascii="宋体" w:hAnsi="宋体"/>
          <w:kern w:val="44"/>
        </w:rPr>
      </w:pPr>
      <w:r>
        <w:rPr>
          <w:rFonts w:hint="eastAsia" w:ascii="宋体" w:hAnsi="宋体"/>
          <w:b/>
          <w:kern w:val="44"/>
        </w:rPr>
        <w:t>第十条</w:t>
      </w:r>
      <w:r>
        <w:rPr>
          <w:rFonts w:hint="eastAsia" w:ascii="宋体" w:hAnsi="宋体"/>
          <w:kern w:val="44"/>
        </w:rPr>
        <w:t>　首先发现违法建设或者接到举报的行政机关为首查责任机关，不属于其管辖的，应当在2个工作日内将案件材料移送负有查处职责的机关；发现同时有违反其他法律规定情况的，应当在2个工作日内通报其他行政机关。受移送的行政机关应当依法及时查处，并在处理决定做出后2个工作日内书面通报首查责任机关。</w:t>
      </w:r>
    </w:p>
    <w:p w14:paraId="67D7B451">
      <w:pPr>
        <w:ind w:firstLine="422"/>
        <w:jc w:val="left"/>
        <w:rPr>
          <w:rFonts w:ascii="宋体" w:hAnsi="宋体"/>
          <w:kern w:val="44"/>
        </w:rPr>
      </w:pPr>
      <w:r>
        <w:rPr>
          <w:rFonts w:hint="eastAsia" w:ascii="宋体" w:hAnsi="宋体"/>
          <w:b/>
          <w:kern w:val="44"/>
        </w:rPr>
        <w:t>第十一条</w:t>
      </w:r>
      <w:r>
        <w:rPr>
          <w:rFonts w:hint="eastAsia" w:ascii="宋体" w:hAnsi="宋体"/>
          <w:kern w:val="44"/>
        </w:rPr>
        <w:t>　发现正在建设的城镇违法建设，负有查处职责的机关应当立即书面责令停止建设。当事人不停止建设的，应当立即报告违法建设所在地的区县人民政府，区县人民政府可以责成区县城市管理综合行政执法等机关查封施工现场。</w:t>
      </w:r>
    </w:p>
    <w:p w14:paraId="5B2CBE83">
      <w:pPr>
        <w:ind w:firstLine="422"/>
        <w:jc w:val="left"/>
        <w:rPr>
          <w:rFonts w:ascii="宋体" w:hAnsi="宋体"/>
          <w:kern w:val="44"/>
        </w:rPr>
      </w:pPr>
      <w:r>
        <w:rPr>
          <w:rFonts w:hint="eastAsia" w:ascii="宋体" w:hAnsi="宋体"/>
          <w:b/>
          <w:kern w:val="44"/>
        </w:rPr>
        <w:t>第十二条</w:t>
      </w:r>
      <w:r>
        <w:rPr>
          <w:rFonts w:hint="eastAsia" w:ascii="宋体" w:hAnsi="宋体"/>
          <w:kern w:val="44"/>
        </w:rPr>
        <w:t>　规划行政主管部门责令停止建设或者发现已经建成的城镇违法建设，对尚可采取改正措施消除对规划实施影响的，应当在20日内书面责令限期改正；改正后处该建设工程总造价5％以上10％以下罚款。对逾期不改正或者无法采取改正措施消除对规划实施影响的城镇违法建设，能够拆除的，应当责令限期拆除，不能拆除的，没收实物或者违法收入，可以并处该建设工程总造价10％ 以下罚款。</w:t>
      </w:r>
    </w:p>
    <w:p w14:paraId="6BBB2F20">
      <w:pPr>
        <w:jc w:val="left"/>
        <w:rPr>
          <w:rFonts w:ascii="宋体" w:hAnsi="宋体"/>
          <w:kern w:val="44"/>
        </w:rPr>
      </w:pPr>
      <w:r>
        <w:rPr>
          <w:rFonts w:hint="eastAsia" w:ascii="宋体" w:hAnsi="宋体"/>
          <w:kern w:val="44"/>
        </w:rPr>
        <w:t>城市管理综合行政执法机关责令停止建设或者发现已经建成的城镇违法建设，应当在20日内责令限期拆除，不能拆除的，没收实物或者违法收入，可以并处该建设工程总造价10％ 以下罚款。</w:t>
      </w:r>
    </w:p>
    <w:p w14:paraId="734A2E07">
      <w:pPr>
        <w:jc w:val="left"/>
        <w:rPr>
          <w:rFonts w:ascii="宋体" w:hAnsi="宋体"/>
          <w:kern w:val="44"/>
        </w:rPr>
      </w:pPr>
      <w:r>
        <w:rPr>
          <w:rFonts w:hint="eastAsia" w:ascii="宋体" w:hAnsi="宋体"/>
          <w:kern w:val="44"/>
        </w:rPr>
        <w:t>责令限期改正和限期拆除的期限一般不超过15日。</w:t>
      </w:r>
    </w:p>
    <w:p w14:paraId="6BC432CA">
      <w:pPr>
        <w:ind w:firstLine="422"/>
        <w:jc w:val="left"/>
        <w:rPr>
          <w:rFonts w:ascii="宋体" w:hAnsi="宋体"/>
          <w:kern w:val="44"/>
        </w:rPr>
      </w:pPr>
      <w:r>
        <w:rPr>
          <w:rFonts w:hint="eastAsia" w:ascii="宋体" w:hAnsi="宋体"/>
          <w:b/>
          <w:kern w:val="44"/>
        </w:rPr>
        <w:t>第十三条</w:t>
      </w:r>
      <w:r>
        <w:rPr>
          <w:rFonts w:hint="eastAsia" w:ascii="宋体" w:hAnsi="宋体"/>
          <w:kern w:val="44"/>
        </w:rPr>
        <w:t>　城镇违法建设当事人逾期不拆除的，负有查处职责的机关应当在期限届满后5个工作日内，将限期拆除决定及逾期未拆除的情况报告违法建设所在地的区县人民政府。区县人民政府应当责成区县城市管理综合行政执法等机关实施强制拆除。实施强制拆除前，应当制定工作方案、应急预案，并确定公安机关、街道办事处、市政公用服务单位等配合单位的职责。</w:t>
      </w:r>
    </w:p>
    <w:p w14:paraId="7328BA17">
      <w:pPr>
        <w:ind w:firstLine="422"/>
        <w:jc w:val="left"/>
        <w:rPr>
          <w:rFonts w:ascii="宋体" w:hAnsi="宋体"/>
          <w:kern w:val="44"/>
        </w:rPr>
      </w:pPr>
      <w:r>
        <w:rPr>
          <w:rFonts w:hint="eastAsia" w:ascii="宋体" w:hAnsi="宋体"/>
          <w:b/>
          <w:kern w:val="44"/>
        </w:rPr>
        <w:t>第十四条</w:t>
      </w:r>
      <w:r>
        <w:rPr>
          <w:rFonts w:hint="eastAsia" w:ascii="宋体" w:hAnsi="宋体"/>
          <w:kern w:val="44"/>
        </w:rPr>
        <w:t>　发现城镇临时建设工程未取得临时建设工程规划许可证或者未按照临时建设工程规划许可证许可内容进行建设或者逾期未拆除的，负有查处职责的机关应当责令限期拆除，可以并处该建设工程总造价一倍以下的罚款。责令限期拆除的期限不超过15日。</w:t>
      </w:r>
    </w:p>
    <w:p w14:paraId="4F8B5C61">
      <w:pPr>
        <w:ind w:firstLine="422"/>
        <w:jc w:val="left"/>
        <w:rPr>
          <w:rFonts w:ascii="宋体" w:hAnsi="宋体"/>
          <w:kern w:val="44"/>
        </w:rPr>
      </w:pPr>
      <w:r>
        <w:rPr>
          <w:rFonts w:hint="eastAsia" w:ascii="宋体" w:hAnsi="宋体"/>
          <w:b/>
          <w:kern w:val="44"/>
        </w:rPr>
        <w:t>第十五条</w:t>
      </w:r>
      <w:r>
        <w:rPr>
          <w:rFonts w:hint="eastAsia" w:ascii="宋体" w:hAnsi="宋体"/>
          <w:kern w:val="44"/>
        </w:rPr>
        <w:t>　乡镇人民政府发现正在建设的乡村违法建设后，应当立即书面责令停止建设，当事人不停止建设的，可以查封施工现场。责令停止建设或者发现已经建成的乡村违法建设后20日内，乡镇人民政府应当作出如下处理：</w:t>
      </w:r>
    </w:p>
    <w:p w14:paraId="1CF098FC">
      <w:pPr>
        <w:spacing w:line="356" w:lineRule="exact"/>
        <w:jc w:val="left"/>
        <w:rPr>
          <w:rFonts w:ascii="宋体" w:hAnsi="宋体"/>
          <w:kern w:val="44"/>
        </w:rPr>
      </w:pPr>
      <w:r>
        <w:rPr>
          <w:rFonts w:hint="eastAsia" w:ascii="宋体" w:hAnsi="宋体"/>
          <w:kern w:val="44"/>
        </w:rPr>
        <w:t>（一）应当取得规划许可而未取得规划许可，不符合村庄规划的，限期拆除；符合村庄规划的，责令限期改正，逾期不改正的，限期拆除。</w:t>
      </w:r>
    </w:p>
    <w:p w14:paraId="2DA822D8">
      <w:pPr>
        <w:spacing w:line="356" w:lineRule="exact"/>
        <w:jc w:val="left"/>
        <w:rPr>
          <w:rFonts w:ascii="宋体" w:hAnsi="宋体"/>
          <w:kern w:val="44"/>
        </w:rPr>
      </w:pPr>
      <w:r>
        <w:rPr>
          <w:rFonts w:hint="eastAsia" w:ascii="宋体" w:hAnsi="宋体"/>
          <w:kern w:val="44"/>
        </w:rPr>
        <w:t>（二）已经取得规划许可，但违反规划许可内容进行建设的，责令限期改正，逾期不改正的，限期拆除。</w:t>
      </w:r>
    </w:p>
    <w:p w14:paraId="408DAD7D">
      <w:pPr>
        <w:spacing w:line="356" w:lineRule="exact"/>
        <w:jc w:val="left"/>
        <w:rPr>
          <w:rFonts w:ascii="宋体" w:hAnsi="宋体"/>
          <w:kern w:val="44"/>
        </w:rPr>
      </w:pPr>
      <w:r>
        <w:rPr>
          <w:rFonts w:hint="eastAsia" w:ascii="宋体" w:hAnsi="宋体"/>
          <w:kern w:val="44"/>
        </w:rPr>
        <w:t>责令限期改正和限期拆除的期限一般不超过15日。乡村违法建设当事人逾期不拆除的，由乡镇人民政府组织拆除，区县人民政府可以责成区县城管、规划、国土、农村工作、公安等部门协助，市政公用服务单位和当地村民委员会应当予以配合。</w:t>
      </w:r>
    </w:p>
    <w:p w14:paraId="20A813E7">
      <w:pPr>
        <w:spacing w:line="356" w:lineRule="exact"/>
        <w:ind w:firstLine="422"/>
        <w:jc w:val="left"/>
        <w:rPr>
          <w:rFonts w:ascii="宋体" w:hAnsi="宋体"/>
          <w:kern w:val="44"/>
        </w:rPr>
      </w:pPr>
      <w:r>
        <w:rPr>
          <w:rFonts w:hint="eastAsia" w:ascii="宋体" w:hAnsi="宋体"/>
          <w:b/>
          <w:kern w:val="44"/>
        </w:rPr>
        <w:t>第十六条</w:t>
      </w:r>
      <w:r>
        <w:rPr>
          <w:rFonts w:hint="eastAsia" w:ascii="宋体" w:hAnsi="宋体"/>
          <w:kern w:val="44"/>
        </w:rPr>
        <w:t>　查封施工现场应当在现场公告查封决定。</w:t>
      </w:r>
    </w:p>
    <w:p w14:paraId="615DD3EC">
      <w:pPr>
        <w:spacing w:line="356" w:lineRule="exact"/>
        <w:jc w:val="left"/>
        <w:rPr>
          <w:rFonts w:ascii="宋体" w:hAnsi="宋体"/>
          <w:kern w:val="44"/>
        </w:rPr>
      </w:pPr>
      <w:r>
        <w:rPr>
          <w:rFonts w:hint="eastAsia" w:ascii="宋体" w:hAnsi="宋体"/>
          <w:kern w:val="44"/>
        </w:rPr>
        <w:t>实施查封施工现场时，应当通知当事人清理有关工具、物品，当事人拒不清理的，可以一并查封，并制作财物清单由当事人签字确认，当事人不签字的，可以由违法建设所在地居民委员会、村民委员会确认。</w:t>
      </w:r>
    </w:p>
    <w:p w14:paraId="21197042">
      <w:pPr>
        <w:spacing w:line="356" w:lineRule="exact"/>
        <w:jc w:val="left"/>
        <w:rPr>
          <w:rFonts w:ascii="宋体" w:hAnsi="宋体"/>
          <w:kern w:val="44"/>
        </w:rPr>
      </w:pPr>
      <w:r>
        <w:rPr>
          <w:rFonts w:hint="eastAsia" w:ascii="宋体" w:hAnsi="宋体"/>
          <w:kern w:val="44"/>
        </w:rPr>
        <w:t>公安机关、街道办事处以及市政公用服务单位应当对查封施工现场工作予以配合。</w:t>
      </w:r>
    </w:p>
    <w:p w14:paraId="12E08EF3">
      <w:pPr>
        <w:spacing w:line="356" w:lineRule="exact"/>
        <w:ind w:firstLine="422"/>
        <w:jc w:val="left"/>
        <w:rPr>
          <w:rFonts w:ascii="宋体" w:hAnsi="宋体"/>
          <w:kern w:val="44"/>
        </w:rPr>
      </w:pPr>
      <w:r>
        <w:rPr>
          <w:rFonts w:hint="eastAsia" w:ascii="宋体" w:hAnsi="宋体"/>
          <w:b/>
          <w:kern w:val="44"/>
        </w:rPr>
        <w:t>第十七条</w:t>
      </w:r>
      <w:r>
        <w:rPr>
          <w:rFonts w:hint="eastAsia" w:ascii="宋体" w:hAnsi="宋体"/>
          <w:kern w:val="44"/>
        </w:rPr>
        <w:t>　强制拆除违法建设，应当提前5日在现场公告强制拆除决定，告知实施强制拆除的时间、相关依据、当事人的权利和义务等。当事人是公民的，通知本人或者其成年家属到场；当事人是法人或者其他组织的，通知其法定代表人、主要负责人或者其上级单位负责人到场。拒不到场的，不影响实施强制拆除。</w:t>
      </w:r>
    </w:p>
    <w:p w14:paraId="77462F4A">
      <w:pPr>
        <w:spacing w:line="356" w:lineRule="exact"/>
        <w:jc w:val="left"/>
        <w:rPr>
          <w:rFonts w:ascii="宋体" w:hAnsi="宋体"/>
          <w:kern w:val="44"/>
        </w:rPr>
      </w:pPr>
      <w:r>
        <w:rPr>
          <w:rFonts w:hint="eastAsia" w:ascii="宋体" w:hAnsi="宋体"/>
          <w:kern w:val="44"/>
        </w:rPr>
        <w:t>实施强制拆除的行政机关应当通知当事人清理有关物品，当事人拒不清理的，应当制作财物清单并由当事人签字确认。当事人不签字的，可以由违法建设所在地居民委员会、村民委员会确认。实施强制拆除的行政机关应当将财物运送到指定场所，交还当事人，当事人拒绝接收的，依法办理提存。</w:t>
      </w:r>
    </w:p>
    <w:p w14:paraId="1BABBB31">
      <w:pPr>
        <w:spacing w:line="356" w:lineRule="exact"/>
        <w:jc w:val="left"/>
        <w:rPr>
          <w:rFonts w:ascii="宋体" w:hAnsi="宋体"/>
          <w:kern w:val="44"/>
        </w:rPr>
      </w:pPr>
      <w:r>
        <w:rPr>
          <w:rFonts w:hint="eastAsia" w:ascii="宋体" w:hAnsi="宋体"/>
          <w:kern w:val="44"/>
        </w:rPr>
        <w:t>实施强制拆除应当制作笔录并摄制录像。</w:t>
      </w:r>
    </w:p>
    <w:p w14:paraId="02A06E10">
      <w:pPr>
        <w:spacing w:line="356" w:lineRule="exact"/>
        <w:ind w:firstLine="422"/>
        <w:jc w:val="left"/>
        <w:rPr>
          <w:rFonts w:ascii="宋体" w:hAnsi="宋体"/>
          <w:kern w:val="44"/>
        </w:rPr>
      </w:pPr>
      <w:r>
        <w:rPr>
          <w:rFonts w:hint="eastAsia" w:ascii="宋体" w:hAnsi="宋体"/>
          <w:b/>
          <w:kern w:val="44"/>
        </w:rPr>
        <w:t>第十八条</w:t>
      </w:r>
      <w:r>
        <w:rPr>
          <w:rFonts w:hint="eastAsia" w:ascii="宋体" w:hAnsi="宋体"/>
          <w:kern w:val="44"/>
        </w:rPr>
        <w:t>　不能拆除的城镇违法建设，应当依法没收实物或者违法收入。没收的实物按照有关规定交由财政统一管理。</w:t>
      </w:r>
    </w:p>
    <w:p w14:paraId="4F10E58D">
      <w:pPr>
        <w:spacing w:line="356" w:lineRule="exact"/>
        <w:jc w:val="left"/>
        <w:rPr>
          <w:rFonts w:ascii="宋体" w:hAnsi="宋体"/>
          <w:kern w:val="44"/>
        </w:rPr>
      </w:pPr>
      <w:r>
        <w:rPr>
          <w:rFonts w:hint="eastAsia" w:ascii="宋体" w:hAnsi="宋体"/>
          <w:kern w:val="44"/>
        </w:rPr>
        <w:t>违法收入按照违法建设出售所得价款计算。违法建设未出售或者出售所得价款明显低于同类建筑市场价格的，应当委托有资质的评估机构评估，按照同类建筑市场价格确定。</w:t>
      </w:r>
    </w:p>
    <w:p w14:paraId="590D8B4A">
      <w:pPr>
        <w:spacing w:line="356" w:lineRule="exact"/>
        <w:ind w:firstLine="422"/>
        <w:jc w:val="left"/>
        <w:rPr>
          <w:rFonts w:ascii="宋体" w:hAnsi="宋体"/>
          <w:kern w:val="44"/>
        </w:rPr>
      </w:pPr>
      <w:r>
        <w:rPr>
          <w:rFonts w:hint="eastAsia" w:ascii="宋体" w:hAnsi="宋体"/>
          <w:b/>
          <w:kern w:val="44"/>
        </w:rPr>
        <w:t>第十九条</w:t>
      </w:r>
      <w:r>
        <w:rPr>
          <w:rFonts w:hint="eastAsia" w:ascii="宋体" w:hAnsi="宋体"/>
          <w:kern w:val="44"/>
        </w:rPr>
        <w:t>　违法建设的建筑面积，依照下列规定确定：</w:t>
      </w:r>
    </w:p>
    <w:p w14:paraId="60DBA96A">
      <w:pPr>
        <w:spacing w:line="356" w:lineRule="exact"/>
        <w:jc w:val="left"/>
        <w:rPr>
          <w:rFonts w:ascii="宋体" w:hAnsi="宋体"/>
          <w:kern w:val="44"/>
        </w:rPr>
      </w:pPr>
      <w:r>
        <w:rPr>
          <w:rFonts w:hint="eastAsia" w:ascii="宋体" w:hAnsi="宋体"/>
          <w:kern w:val="44"/>
        </w:rPr>
        <w:t>（一）未取得建设工程规划许可证和其他规划文件进行建设的，按照实际建筑面积数计算；</w:t>
      </w:r>
    </w:p>
    <w:p w14:paraId="527CB1A7">
      <w:pPr>
        <w:spacing w:line="356" w:lineRule="exact"/>
        <w:jc w:val="left"/>
        <w:rPr>
          <w:rFonts w:ascii="宋体" w:hAnsi="宋体"/>
          <w:kern w:val="44"/>
        </w:rPr>
      </w:pPr>
      <w:r>
        <w:rPr>
          <w:rFonts w:hint="eastAsia" w:ascii="宋体" w:hAnsi="宋体"/>
          <w:kern w:val="44"/>
        </w:rPr>
        <w:t>（二）未按照建设工程规划许可证内容进行建设的，按照实际增加的建筑面积数计算；</w:t>
      </w:r>
    </w:p>
    <w:p w14:paraId="44870998">
      <w:pPr>
        <w:spacing w:line="356" w:lineRule="exact"/>
        <w:jc w:val="left"/>
        <w:rPr>
          <w:rFonts w:ascii="宋体" w:hAnsi="宋体"/>
          <w:kern w:val="44"/>
        </w:rPr>
      </w:pPr>
      <w:r>
        <w:rPr>
          <w:rFonts w:hint="eastAsia" w:ascii="宋体" w:hAnsi="宋体"/>
          <w:kern w:val="44"/>
        </w:rPr>
        <w:t>（三）未按照建设工程规划许可证内容进行建设，建筑高度增加但建筑面积未增加的，按照超出部分的高度与许可建筑高度的比值乘以许可的建筑面积数折算；</w:t>
      </w:r>
    </w:p>
    <w:p w14:paraId="254EC69D">
      <w:pPr>
        <w:spacing w:line="356" w:lineRule="exact"/>
        <w:jc w:val="left"/>
        <w:rPr>
          <w:rFonts w:ascii="宋体" w:hAnsi="宋体"/>
          <w:kern w:val="44"/>
        </w:rPr>
      </w:pPr>
      <w:r>
        <w:rPr>
          <w:rFonts w:hint="eastAsia" w:ascii="宋体" w:hAnsi="宋体"/>
          <w:kern w:val="44"/>
        </w:rPr>
        <w:t>（四）未按照建设工程规划许可证内容进行建设，建筑位置与许可不符但建筑面积未增加的，按照其位置超出部分折算。</w:t>
      </w:r>
    </w:p>
    <w:p w14:paraId="03323C00">
      <w:pPr>
        <w:spacing w:line="356" w:lineRule="exact"/>
        <w:jc w:val="left"/>
        <w:rPr>
          <w:rFonts w:ascii="宋体" w:hAnsi="宋体"/>
          <w:kern w:val="44"/>
        </w:rPr>
      </w:pPr>
      <w:r>
        <w:rPr>
          <w:rFonts w:hint="eastAsia" w:ascii="宋体" w:hAnsi="宋体"/>
          <w:kern w:val="44"/>
        </w:rPr>
        <w:t>同时有上述第（二）项至第（四）项规定两种以上情形的，违法建设的建筑面积分别计算或者折算后累计。</w:t>
      </w:r>
    </w:p>
    <w:p w14:paraId="5A37A0A3">
      <w:pPr>
        <w:spacing w:line="356" w:lineRule="exact"/>
        <w:ind w:firstLine="422"/>
        <w:jc w:val="left"/>
        <w:rPr>
          <w:rFonts w:ascii="宋体" w:hAnsi="宋体"/>
          <w:kern w:val="44"/>
        </w:rPr>
      </w:pPr>
      <w:r>
        <w:rPr>
          <w:rFonts w:hint="eastAsia" w:ascii="宋体" w:hAnsi="宋体"/>
          <w:b/>
          <w:kern w:val="44"/>
        </w:rPr>
        <w:t>第二十条</w:t>
      </w:r>
      <w:r>
        <w:rPr>
          <w:rFonts w:hint="eastAsia" w:ascii="宋体" w:hAnsi="宋体"/>
          <w:kern w:val="44"/>
        </w:rPr>
        <w:t>　无法确定违法建设的建设单位或者所有人、管理人的，负有查处职责的机关可以通过在公共媒体或者违法建设所在地发布公告的形式督促违法建设单位或者其所有人、管理人依法接受处理，公告期限不得少于15日。公告期限届满，仍无法确定建设单位、所有人、管理人或者其拒不接受处理的，由负有查处职责的机关报经市或者区县人民政府批准后强制拆除或者没收。</w:t>
      </w:r>
    </w:p>
    <w:p w14:paraId="2E2BB052">
      <w:pPr>
        <w:spacing w:line="356" w:lineRule="exact"/>
        <w:ind w:firstLine="422"/>
        <w:jc w:val="left"/>
        <w:rPr>
          <w:rFonts w:ascii="宋体" w:hAnsi="宋体"/>
          <w:kern w:val="44"/>
        </w:rPr>
      </w:pPr>
      <w:r>
        <w:rPr>
          <w:rFonts w:hint="eastAsia" w:ascii="宋体" w:hAnsi="宋体"/>
          <w:b/>
          <w:kern w:val="44"/>
        </w:rPr>
        <w:t>第二十一条</w:t>
      </w:r>
      <w:r>
        <w:rPr>
          <w:rFonts w:hint="eastAsia" w:ascii="宋体" w:hAnsi="宋体"/>
          <w:kern w:val="44"/>
        </w:rPr>
        <w:t>　以违法建设为经营场所的，有关行政主管部门依法不得办理相关证照。</w:t>
      </w:r>
    </w:p>
    <w:p w14:paraId="76611689">
      <w:pPr>
        <w:spacing w:line="356" w:lineRule="exact"/>
        <w:jc w:val="left"/>
        <w:rPr>
          <w:rFonts w:ascii="宋体" w:hAnsi="宋体"/>
          <w:kern w:val="44"/>
        </w:rPr>
      </w:pPr>
      <w:r>
        <w:rPr>
          <w:rFonts w:hint="eastAsia" w:ascii="宋体" w:hAnsi="宋体"/>
          <w:kern w:val="44"/>
        </w:rPr>
        <w:t>负有查处职责的机关作出责令限期改正或者限期拆除决定的，应当通知房屋行政主管部门暂停办理房屋登记手续；当事人依法改正的，应当及时通知房屋行政主管部门。</w:t>
      </w:r>
    </w:p>
    <w:p w14:paraId="5F633535">
      <w:pPr>
        <w:spacing w:line="356" w:lineRule="exact"/>
        <w:jc w:val="left"/>
        <w:rPr>
          <w:rFonts w:ascii="宋体" w:hAnsi="宋体"/>
          <w:kern w:val="44"/>
        </w:rPr>
      </w:pPr>
      <w:r>
        <w:rPr>
          <w:rFonts w:hint="eastAsia" w:ascii="宋体" w:hAnsi="宋体"/>
          <w:kern w:val="44"/>
        </w:rPr>
        <w:t>市政公用服务单位办理供水、供电、供气、供热等服务手续时，应当查验建设工程的规划许可证件或者房屋产权证明，对没有规划许可证件或者房屋产权证明的，不得提供相应服务。</w:t>
      </w:r>
    </w:p>
    <w:p w14:paraId="2E6810D4">
      <w:pPr>
        <w:spacing w:line="356" w:lineRule="exact"/>
        <w:ind w:firstLine="422"/>
        <w:jc w:val="left"/>
        <w:rPr>
          <w:rFonts w:ascii="宋体" w:hAnsi="宋体"/>
          <w:kern w:val="44"/>
        </w:rPr>
      </w:pPr>
      <w:r>
        <w:rPr>
          <w:rFonts w:hint="eastAsia" w:ascii="宋体" w:hAnsi="宋体"/>
          <w:b/>
          <w:kern w:val="44"/>
        </w:rPr>
        <w:t>第二十二条</w:t>
      </w:r>
      <w:r>
        <w:rPr>
          <w:rFonts w:hint="eastAsia" w:ascii="宋体" w:hAnsi="宋体"/>
          <w:kern w:val="44"/>
        </w:rPr>
        <w:t>　负有查处职责的机关在对违法建设调查过程中，可以查阅、调取、复制有关证据材料，有关单位应当予以配合。</w:t>
      </w:r>
    </w:p>
    <w:p w14:paraId="314B71FB">
      <w:pPr>
        <w:spacing w:line="356" w:lineRule="exact"/>
        <w:ind w:firstLine="422"/>
        <w:jc w:val="left"/>
        <w:rPr>
          <w:rFonts w:ascii="宋体" w:hAnsi="宋体"/>
          <w:kern w:val="44"/>
        </w:rPr>
      </w:pPr>
      <w:r>
        <w:rPr>
          <w:rFonts w:hint="eastAsia" w:ascii="宋体" w:hAnsi="宋体"/>
          <w:b/>
          <w:kern w:val="44"/>
        </w:rPr>
        <w:t>第二十三条</w:t>
      </w:r>
      <w:r>
        <w:rPr>
          <w:rFonts w:hint="eastAsia" w:ascii="宋体" w:hAnsi="宋体"/>
          <w:kern w:val="44"/>
        </w:rPr>
        <w:t>　在已建成的居住建筑（含别墅）区域内，不得擅自新建、改建、扩建、翻建各类建筑物、构筑物。</w:t>
      </w:r>
    </w:p>
    <w:p w14:paraId="2B9569A9">
      <w:pPr>
        <w:spacing w:line="356" w:lineRule="exact"/>
        <w:jc w:val="left"/>
        <w:rPr>
          <w:rFonts w:ascii="宋体" w:hAnsi="宋体"/>
          <w:kern w:val="44"/>
        </w:rPr>
      </w:pPr>
      <w:r>
        <w:rPr>
          <w:rFonts w:hint="eastAsia" w:ascii="宋体" w:hAnsi="宋体"/>
          <w:kern w:val="44"/>
        </w:rPr>
        <w:t>居民委员会、村民委员会、物业服务企业发现本区域内违法建设行为的，有权予以制止，并及时向负有查处职责的机关报告。</w:t>
      </w:r>
    </w:p>
    <w:p w14:paraId="2B7B18C3">
      <w:pPr>
        <w:spacing w:line="356" w:lineRule="exact"/>
        <w:ind w:firstLine="422"/>
        <w:jc w:val="left"/>
        <w:rPr>
          <w:rFonts w:ascii="宋体" w:hAnsi="宋体"/>
          <w:kern w:val="44"/>
        </w:rPr>
      </w:pPr>
      <w:r>
        <w:rPr>
          <w:rFonts w:hint="eastAsia" w:ascii="宋体" w:hAnsi="宋体"/>
          <w:b/>
          <w:kern w:val="44"/>
        </w:rPr>
        <w:t>第二十四条</w:t>
      </w:r>
      <w:r>
        <w:rPr>
          <w:rFonts w:hint="eastAsia" w:ascii="宋体" w:hAnsi="宋体"/>
          <w:kern w:val="44"/>
        </w:rPr>
        <w:t>　行政机关有下列未履行禁止违法建设相关职责情形的，由相关主管部门或者监察机关责令改正，通报批评，对直接负责的主管人员和其他直接责任人员依法给予行政处分：</w:t>
      </w:r>
    </w:p>
    <w:p w14:paraId="347EA737">
      <w:pPr>
        <w:spacing w:line="356" w:lineRule="exact"/>
        <w:jc w:val="left"/>
        <w:rPr>
          <w:rFonts w:ascii="宋体" w:hAnsi="宋体"/>
          <w:kern w:val="44"/>
        </w:rPr>
      </w:pPr>
      <w:r>
        <w:rPr>
          <w:rFonts w:hint="eastAsia" w:ascii="宋体" w:hAnsi="宋体"/>
          <w:kern w:val="44"/>
        </w:rPr>
        <w:t>（一）负有查处职责的机关发现违法建设不予查处或者接到举报后不依法处理的；</w:t>
      </w:r>
    </w:p>
    <w:p w14:paraId="7A77647A">
      <w:pPr>
        <w:spacing w:line="356" w:lineRule="exact"/>
        <w:jc w:val="left"/>
        <w:rPr>
          <w:rFonts w:ascii="宋体" w:hAnsi="宋体"/>
          <w:kern w:val="44"/>
        </w:rPr>
      </w:pPr>
      <w:r>
        <w:rPr>
          <w:rFonts w:hint="eastAsia" w:ascii="宋体" w:hAnsi="宋体"/>
          <w:kern w:val="44"/>
        </w:rPr>
        <w:t>（二）乡镇人民政府和街道办事处不履行巡查、制止、报告职责的；</w:t>
      </w:r>
    </w:p>
    <w:p w14:paraId="4AD4353B">
      <w:pPr>
        <w:spacing w:line="356" w:lineRule="exact"/>
        <w:jc w:val="left"/>
        <w:rPr>
          <w:rFonts w:ascii="宋体" w:hAnsi="宋体"/>
          <w:kern w:val="44"/>
        </w:rPr>
      </w:pPr>
      <w:r>
        <w:rPr>
          <w:rFonts w:hint="eastAsia" w:ascii="宋体" w:hAnsi="宋体"/>
          <w:kern w:val="44"/>
        </w:rPr>
        <w:t>（三）相关行政主管部门为以违法建设为经营场所的单位或者个人办理相关证照的。</w:t>
      </w:r>
    </w:p>
    <w:p w14:paraId="69963DD6">
      <w:pPr>
        <w:spacing w:line="356" w:lineRule="exact"/>
        <w:ind w:firstLine="422"/>
        <w:jc w:val="left"/>
        <w:rPr>
          <w:rFonts w:ascii="宋体" w:hAnsi="宋体"/>
          <w:kern w:val="44"/>
        </w:rPr>
      </w:pPr>
      <w:r>
        <w:rPr>
          <w:rFonts w:hint="eastAsia" w:ascii="宋体" w:hAnsi="宋体"/>
          <w:b/>
          <w:kern w:val="44"/>
        </w:rPr>
        <w:t>第二十五条</w:t>
      </w:r>
      <w:r>
        <w:rPr>
          <w:rFonts w:hint="eastAsia" w:ascii="宋体" w:hAnsi="宋体"/>
          <w:kern w:val="44"/>
        </w:rPr>
        <w:t>　阻碍行政机关工作人员依法执行职务，以及隐藏、转移、变卖或者损毁行政执法机关依法查封的财物的，由公安机关依法予以处罚。</w:t>
      </w:r>
    </w:p>
    <w:p w14:paraId="726645F0">
      <w:pPr>
        <w:spacing w:line="356" w:lineRule="exact"/>
        <w:ind w:firstLine="422"/>
        <w:jc w:val="left"/>
        <w:rPr>
          <w:rFonts w:ascii="宋体" w:hAnsi="宋体"/>
          <w:kern w:val="44"/>
        </w:rPr>
      </w:pPr>
      <w:r>
        <w:rPr>
          <w:rFonts w:hint="eastAsia" w:ascii="宋体" w:hAnsi="宋体"/>
          <w:b/>
          <w:kern w:val="44"/>
        </w:rPr>
        <w:t>第二十六条</w:t>
      </w:r>
      <w:r>
        <w:rPr>
          <w:rFonts w:hint="eastAsia" w:ascii="宋体" w:hAnsi="宋体"/>
          <w:kern w:val="44"/>
        </w:rPr>
        <w:t>　本规定第十二条所称尚可采取改正措施消除对规划实施影响的城镇违法建设，包括：</w:t>
      </w:r>
    </w:p>
    <w:p w14:paraId="721E86F5">
      <w:pPr>
        <w:spacing w:line="356" w:lineRule="exact"/>
        <w:jc w:val="left"/>
        <w:rPr>
          <w:rFonts w:ascii="宋体" w:hAnsi="宋体"/>
          <w:kern w:val="44"/>
        </w:rPr>
      </w:pPr>
      <w:r>
        <w:rPr>
          <w:rFonts w:hint="eastAsia" w:ascii="宋体" w:hAnsi="宋体"/>
          <w:kern w:val="44"/>
        </w:rPr>
        <w:t>（一）未取得建设工程规划许可证，但是已进入规划审批程序并取得审核同意的规划文件，且按照规划文件的内容进行建设的；</w:t>
      </w:r>
    </w:p>
    <w:p w14:paraId="2E0D58EF">
      <w:pPr>
        <w:spacing w:line="356" w:lineRule="exact"/>
        <w:jc w:val="left"/>
        <w:rPr>
          <w:rFonts w:ascii="宋体" w:hAnsi="宋体"/>
          <w:kern w:val="44"/>
        </w:rPr>
      </w:pPr>
      <w:r>
        <w:rPr>
          <w:rFonts w:hint="eastAsia" w:ascii="宋体" w:hAnsi="宋体"/>
          <w:kern w:val="44"/>
        </w:rPr>
        <w:t>（二）未按照建设工程规划许可证的规定进行建设，但是可以通过改建或者部分拆除达到与许可内容一致的；</w:t>
      </w:r>
    </w:p>
    <w:p w14:paraId="62D49B60">
      <w:pPr>
        <w:spacing w:line="356" w:lineRule="exact"/>
        <w:jc w:val="left"/>
        <w:rPr>
          <w:rFonts w:ascii="宋体" w:hAnsi="宋体"/>
          <w:kern w:val="44"/>
        </w:rPr>
      </w:pPr>
      <w:r>
        <w:rPr>
          <w:rFonts w:hint="eastAsia" w:ascii="宋体" w:hAnsi="宋体"/>
          <w:kern w:val="44"/>
        </w:rPr>
        <w:t>（三）国家和本市规定符合公共利益的。</w:t>
      </w:r>
    </w:p>
    <w:p w14:paraId="035C2DD9">
      <w:pPr>
        <w:spacing w:line="356" w:lineRule="exact"/>
        <w:ind w:firstLine="422"/>
        <w:jc w:val="left"/>
        <w:rPr>
          <w:rFonts w:ascii="宋体" w:hAnsi="宋体"/>
          <w:kern w:val="44"/>
        </w:rPr>
      </w:pPr>
      <w:r>
        <w:rPr>
          <w:rFonts w:hint="eastAsia" w:ascii="宋体" w:hAnsi="宋体"/>
          <w:b/>
          <w:kern w:val="44"/>
        </w:rPr>
        <w:t>第二十七条</w:t>
      </w:r>
      <w:r>
        <w:rPr>
          <w:rFonts w:hint="eastAsia" w:ascii="宋体" w:hAnsi="宋体"/>
          <w:kern w:val="44"/>
        </w:rPr>
        <w:t>　本规定第十二条所称不能拆除的城镇违法建设，是指经有资质的设计单位和建设工程质量检测机构认定，拆除建筑物违法建设部分，应用现有施工技术无法保证建筑物整体结构安全的城镇违法建设。</w:t>
      </w:r>
    </w:p>
    <w:p w14:paraId="2BB4D102">
      <w:pPr>
        <w:spacing w:line="356" w:lineRule="exact"/>
        <w:ind w:firstLine="422"/>
        <w:jc w:val="left"/>
        <w:rPr>
          <w:rFonts w:ascii="宋体" w:hAnsi="宋体"/>
          <w:kern w:val="44"/>
        </w:rPr>
      </w:pPr>
      <w:r>
        <w:rPr>
          <w:rFonts w:hint="eastAsia" w:ascii="宋体" w:hAnsi="宋体"/>
          <w:b/>
          <w:kern w:val="44"/>
        </w:rPr>
        <w:t>第二十八条</w:t>
      </w:r>
      <w:r>
        <w:rPr>
          <w:rFonts w:hint="eastAsia" w:ascii="宋体" w:hAnsi="宋体"/>
          <w:kern w:val="44"/>
        </w:rPr>
        <w:t>　本规定实施前，在农民集体所有建设用地上已经建成乡村基础设施、公益设施以及农民个人在原有宅基地上已经建成村民住宅，按照规定应当取得规划许可而未取得规划许可，但符合村庄规划和建设工程施工许可管理以及其他建设工程质量管理规定的，可以责令限期改正，完善有关行政管理手续。</w:t>
      </w:r>
    </w:p>
    <w:p w14:paraId="167CD3A1">
      <w:pPr>
        <w:spacing w:line="356" w:lineRule="exact"/>
        <w:ind w:firstLine="422"/>
        <w:jc w:val="left"/>
        <w:rPr>
          <w:rFonts w:ascii="宋体" w:hAnsi="宋体"/>
          <w:kern w:val="44"/>
        </w:rPr>
      </w:pPr>
      <w:r>
        <w:rPr>
          <w:rFonts w:hint="eastAsia" w:ascii="宋体" w:hAnsi="宋体"/>
          <w:b/>
          <w:kern w:val="44"/>
        </w:rPr>
        <w:t>第二十九条</w:t>
      </w:r>
      <w:r>
        <w:rPr>
          <w:rFonts w:hint="eastAsia" w:ascii="宋体" w:hAnsi="宋体"/>
          <w:kern w:val="44"/>
        </w:rPr>
        <w:t>　本规定自2011年4月1日起施行。1999年11月2日北京市人民政府第43号令发布、根据2007年11月23日北京市人民政府第200号令修改的《北京市禁止违法建设若干规定》和1999年11月2日北京市人民政府第44号令发布、根据2007年11月23日北京市人民政府第200号令修改的《〈北京市城市规划条例〉行政处罚办法》同时废止。</w:t>
      </w:r>
    </w:p>
    <w:p w14:paraId="4C7B91B0">
      <w:pPr>
        <w:pStyle w:val="4"/>
        <w:pageBreakBefore/>
        <w:rPr>
          <w:kern w:val="44"/>
        </w:rPr>
      </w:pPr>
      <w:bookmarkStart w:id="927" w:name="_Toc422471251"/>
      <w:bookmarkStart w:id="928" w:name="_Toc427651543"/>
      <w:bookmarkStart w:id="929" w:name="_Toc428781591"/>
      <w:bookmarkStart w:id="930" w:name="_Toc427651885"/>
      <w:bookmarkStart w:id="931" w:name="_Toc428780109"/>
      <w:r>
        <w:rPr>
          <w:rFonts w:hint="eastAsia"/>
          <w:kern w:val="44"/>
        </w:rPr>
        <w:t>北京市房屋建筑使用</w:t>
      </w:r>
      <w:bookmarkEnd w:id="927"/>
      <w:bookmarkEnd w:id="928"/>
      <w:bookmarkEnd w:id="929"/>
      <w:bookmarkEnd w:id="930"/>
      <w:bookmarkEnd w:id="931"/>
    </w:p>
    <w:p w14:paraId="3B328331">
      <w:pPr>
        <w:pStyle w:val="4"/>
        <w:rPr>
          <w:kern w:val="44"/>
        </w:rPr>
      </w:pPr>
      <w:bookmarkStart w:id="932" w:name="_Toc422471252"/>
      <w:bookmarkStart w:id="933" w:name="_Toc428780110"/>
      <w:bookmarkStart w:id="934" w:name="_Toc427651886"/>
      <w:bookmarkStart w:id="935" w:name="_Toc427651544"/>
      <w:bookmarkStart w:id="936" w:name="_Toc428781592"/>
      <w:r>
        <w:rPr>
          <w:rFonts w:hint="eastAsia"/>
          <w:kern w:val="44"/>
        </w:rPr>
        <w:t>安全管理办法</w:t>
      </w:r>
      <w:bookmarkEnd w:id="932"/>
      <w:bookmarkEnd w:id="933"/>
      <w:bookmarkEnd w:id="934"/>
      <w:bookmarkEnd w:id="935"/>
      <w:bookmarkEnd w:id="936"/>
    </w:p>
    <w:p w14:paraId="32A188A3">
      <w:pPr>
        <w:ind w:left="630" w:leftChars="300" w:right="630" w:rightChars="300"/>
        <w:jc w:val="left"/>
        <w:rPr>
          <w:rFonts w:ascii="楷体" w:hAnsi="楷体" w:eastAsia="楷体"/>
          <w:kern w:val="44"/>
        </w:rPr>
      </w:pPr>
      <w:r>
        <w:rPr>
          <w:rFonts w:hint="eastAsia" w:ascii="楷体" w:hAnsi="楷体" w:eastAsia="楷体"/>
          <w:kern w:val="44"/>
        </w:rPr>
        <w:t>（2011年1月4日北京市人民政府第82次常务会议审议通过  2011年1月26日北京市人民政府第229号令公布）</w:t>
      </w:r>
    </w:p>
    <w:p w14:paraId="5EE076F3">
      <w:pPr>
        <w:jc w:val="left"/>
        <w:rPr>
          <w:rFonts w:ascii="宋体" w:hAnsi="宋体"/>
          <w:kern w:val="44"/>
        </w:rPr>
      </w:pPr>
    </w:p>
    <w:p w14:paraId="65561A7C">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为了加强房屋建筑使用安全管理，保障居住和使用安全，制定本办法。</w:t>
      </w:r>
    </w:p>
    <w:p w14:paraId="640EAA71">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本市行政区域内依法建造或者登记的各类房屋建筑及其附属构筑物和配套设施设备的使用安全管理，适用本办法。</w:t>
      </w:r>
    </w:p>
    <w:p w14:paraId="1001D396">
      <w:pPr>
        <w:jc w:val="left"/>
        <w:rPr>
          <w:rFonts w:ascii="宋体" w:hAnsi="宋体"/>
          <w:kern w:val="44"/>
        </w:rPr>
      </w:pPr>
      <w:r>
        <w:rPr>
          <w:rFonts w:hint="eastAsia" w:ascii="宋体" w:hAnsi="宋体"/>
          <w:kern w:val="44"/>
        </w:rPr>
        <w:t>其他法律法规对配套设施设备使用安全管理另有规定的，从其规定。</w:t>
      </w:r>
    </w:p>
    <w:p w14:paraId="27BE7C3A">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市和区县住房城乡建设行政主管部门负责房屋建筑使用安全的监督管理。</w:t>
      </w:r>
    </w:p>
    <w:p w14:paraId="57059610">
      <w:pPr>
        <w:jc w:val="left"/>
        <w:rPr>
          <w:rFonts w:ascii="宋体" w:hAnsi="宋体"/>
          <w:kern w:val="44"/>
        </w:rPr>
      </w:pPr>
      <w:r>
        <w:rPr>
          <w:rFonts w:hint="eastAsia" w:ascii="宋体" w:hAnsi="宋体"/>
          <w:kern w:val="44"/>
        </w:rPr>
        <w:t>规划、质量技术监督、市政市容、卫生、气象、农村工作、人民防空、安全生产、公安等部门应当按照各自职责，做好房屋建筑使用安全的相关监督管理工作。</w:t>
      </w:r>
    </w:p>
    <w:p w14:paraId="2BD9DDED">
      <w:pPr>
        <w:ind w:firstLine="422"/>
        <w:jc w:val="left"/>
        <w:rPr>
          <w:rFonts w:ascii="宋体" w:hAnsi="宋体"/>
          <w:kern w:val="44"/>
        </w:rPr>
      </w:pPr>
      <w:r>
        <w:rPr>
          <w:rFonts w:hint="eastAsia" w:ascii="宋体" w:hAnsi="宋体"/>
          <w:b/>
          <w:kern w:val="44"/>
        </w:rPr>
        <w:t>第四条</w:t>
      </w:r>
      <w:r>
        <w:rPr>
          <w:rFonts w:hint="eastAsia" w:ascii="宋体" w:hAnsi="宋体"/>
          <w:kern w:val="44"/>
        </w:rPr>
        <w:t>　房屋建筑使用安全责任由房屋建筑所有权人承担。</w:t>
      </w:r>
    </w:p>
    <w:p w14:paraId="014823B0">
      <w:pPr>
        <w:jc w:val="left"/>
        <w:rPr>
          <w:rFonts w:ascii="宋体" w:hAnsi="宋体"/>
          <w:kern w:val="44"/>
        </w:rPr>
      </w:pPr>
      <w:r>
        <w:rPr>
          <w:rFonts w:hint="eastAsia" w:ascii="宋体" w:hAnsi="宋体"/>
          <w:kern w:val="44"/>
        </w:rPr>
        <w:t>所有权人对房屋建筑使用安全可以自行管理，也可以委托物业服务企业以及其他单位、个人管理，受托管理人应当按照规定和约定承担房屋建筑使用安全管理责任。</w:t>
      </w:r>
    </w:p>
    <w:p w14:paraId="3BAC10B3">
      <w:pPr>
        <w:jc w:val="left"/>
        <w:rPr>
          <w:rFonts w:ascii="宋体" w:hAnsi="宋体"/>
          <w:kern w:val="44"/>
        </w:rPr>
      </w:pPr>
      <w:r>
        <w:rPr>
          <w:rFonts w:hint="eastAsia" w:ascii="宋体" w:hAnsi="宋体"/>
          <w:kern w:val="44"/>
        </w:rPr>
        <w:t>自行管理的单位和受托管理的物业服务企业应当配备房屋建筑安全管理员。安全管理员应当具备房屋建筑结构和设施设备安全管理的专业知识。</w:t>
      </w:r>
    </w:p>
    <w:p w14:paraId="3DCC30F2">
      <w:pPr>
        <w:ind w:firstLine="422"/>
        <w:jc w:val="left"/>
        <w:rPr>
          <w:rFonts w:ascii="宋体" w:hAnsi="宋体"/>
          <w:kern w:val="44"/>
        </w:rPr>
      </w:pPr>
      <w:r>
        <w:rPr>
          <w:rFonts w:hint="eastAsia" w:ascii="宋体" w:hAnsi="宋体"/>
          <w:b/>
          <w:kern w:val="44"/>
        </w:rPr>
        <w:t>第五条</w:t>
      </w:r>
      <w:r>
        <w:rPr>
          <w:rFonts w:hint="eastAsia" w:ascii="宋体" w:hAnsi="宋体"/>
          <w:kern w:val="44"/>
        </w:rPr>
        <w:t>　房屋建筑使用人应当安全使用房屋建筑，及时向所有权人、受托管理人报告发现的安全问题，配合开展对房屋建筑的检查维护、安全评估、安全鉴定、抗震鉴定、安全问题治理等活动。</w:t>
      </w:r>
    </w:p>
    <w:p w14:paraId="383254AA">
      <w:pPr>
        <w:ind w:firstLine="422"/>
        <w:jc w:val="left"/>
        <w:rPr>
          <w:rFonts w:ascii="宋体" w:hAnsi="宋体"/>
          <w:kern w:val="44"/>
        </w:rPr>
      </w:pPr>
      <w:r>
        <w:rPr>
          <w:rFonts w:hint="eastAsia" w:ascii="宋体" w:hAnsi="宋体"/>
          <w:b/>
          <w:kern w:val="44"/>
        </w:rPr>
        <w:t>第六条</w:t>
      </w:r>
      <w:r>
        <w:rPr>
          <w:rFonts w:hint="eastAsia" w:ascii="宋体" w:hAnsi="宋体"/>
          <w:kern w:val="44"/>
        </w:rPr>
        <w:t>　房屋建筑工程交付使用时，建设单位应当提交质量保证书、使用说明书，明示房屋建筑的性能指标、使用维护保养要求，并按照规定和约定承担保修责任。</w:t>
      </w:r>
    </w:p>
    <w:p w14:paraId="7746B076">
      <w:pPr>
        <w:jc w:val="left"/>
        <w:rPr>
          <w:rFonts w:ascii="宋体" w:hAnsi="宋体"/>
          <w:kern w:val="44"/>
        </w:rPr>
      </w:pPr>
      <w:r>
        <w:rPr>
          <w:rFonts w:hint="eastAsia" w:ascii="宋体" w:hAnsi="宋体"/>
          <w:kern w:val="44"/>
        </w:rPr>
        <w:t>房屋建筑工程的勘察、设计、施工、监理单位依法承担相应的质量安全责任。</w:t>
      </w:r>
    </w:p>
    <w:p w14:paraId="4B26207E">
      <w:pPr>
        <w:ind w:firstLine="422"/>
        <w:jc w:val="left"/>
        <w:rPr>
          <w:rFonts w:ascii="宋体" w:hAnsi="宋体"/>
          <w:kern w:val="44"/>
        </w:rPr>
      </w:pPr>
      <w:r>
        <w:rPr>
          <w:rFonts w:hint="eastAsia" w:ascii="宋体" w:hAnsi="宋体"/>
          <w:b/>
          <w:kern w:val="44"/>
        </w:rPr>
        <w:t>第七条</w:t>
      </w:r>
      <w:r>
        <w:rPr>
          <w:rFonts w:hint="eastAsia" w:ascii="宋体" w:hAnsi="宋体"/>
          <w:kern w:val="44"/>
        </w:rPr>
        <w:t>　房屋建筑所有权人或者受托管理人应当对房屋建筑进行检查维护，发现危及房屋建筑使用安全的问题时，应当及时向住房城乡建设行政主管部门报告，并有权对危害房屋建筑使用安全的行为进行制止。</w:t>
      </w:r>
    </w:p>
    <w:p w14:paraId="13DF51BD">
      <w:pPr>
        <w:jc w:val="left"/>
        <w:rPr>
          <w:rFonts w:ascii="宋体" w:hAnsi="宋体"/>
          <w:kern w:val="44"/>
        </w:rPr>
      </w:pPr>
      <w:r>
        <w:rPr>
          <w:rFonts w:hint="eastAsia" w:ascii="宋体" w:hAnsi="宋体"/>
          <w:kern w:val="44"/>
        </w:rPr>
        <w:t>自行管理的单位和受托管理的物业服务企业应当按照住房城乡建设行政主管部门的规定建立房屋建筑使用安全管理档案。</w:t>
      </w:r>
    </w:p>
    <w:p w14:paraId="658D4794">
      <w:pPr>
        <w:ind w:firstLine="422"/>
        <w:jc w:val="left"/>
        <w:rPr>
          <w:rFonts w:ascii="宋体" w:hAnsi="宋体"/>
          <w:kern w:val="44"/>
        </w:rPr>
      </w:pPr>
      <w:r>
        <w:rPr>
          <w:rFonts w:hint="eastAsia" w:ascii="宋体" w:hAnsi="宋体"/>
          <w:b/>
          <w:kern w:val="44"/>
        </w:rPr>
        <w:t>第八条</w:t>
      </w:r>
      <w:r>
        <w:rPr>
          <w:rFonts w:hint="eastAsia" w:ascii="宋体" w:hAnsi="宋体"/>
          <w:kern w:val="44"/>
        </w:rPr>
        <w:t>　禁止下列影响房屋建筑使用安全的行为：</w:t>
      </w:r>
    </w:p>
    <w:p w14:paraId="137CC4C1">
      <w:pPr>
        <w:jc w:val="left"/>
        <w:rPr>
          <w:rFonts w:ascii="宋体" w:hAnsi="宋体"/>
          <w:kern w:val="44"/>
        </w:rPr>
      </w:pPr>
      <w:r>
        <w:rPr>
          <w:rFonts w:hint="eastAsia" w:ascii="宋体" w:hAnsi="宋体"/>
          <w:kern w:val="44"/>
        </w:rPr>
        <w:t>（一）擅自变动房屋建筑主体和承重结构；</w:t>
      </w:r>
    </w:p>
    <w:p w14:paraId="2F1A5168">
      <w:pPr>
        <w:jc w:val="left"/>
        <w:rPr>
          <w:rFonts w:ascii="宋体" w:hAnsi="宋体"/>
          <w:kern w:val="44"/>
        </w:rPr>
      </w:pPr>
      <w:r>
        <w:rPr>
          <w:rFonts w:hint="eastAsia" w:ascii="宋体" w:hAnsi="宋体"/>
          <w:kern w:val="44"/>
        </w:rPr>
        <w:t>（二）违法存放爆炸性、毒害性、放射性、腐蚀性等危险物品；</w:t>
      </w:r>
    </w:p>
    <w:p w14:paraId="6DE0559B">
      <w:pPr>
        <w:jc w:val="left"/>
        <w:rPr>
          <w:rFonts w:ascii="宋体" w:hAnsi="宋体"/>
          <w:kern w:val="44"/>
        </w:rPr>
      </w:pPr>
      <w:r>
        <w:rPr>
          <w:rFonts w:hint="eastAsia" w:ascii="宋体" w:hAnsi="宋体"/>
          <w:kern w:val="44"/>
        </w:rPr>
        <w:t>（三）超过设计使用荷载使用房屋建筑；</w:t>
      </w:r>
    </w:p>
    <w:p w14:paraId="7D7FEB9E">
      <w:pPr>
        <w:jc w:val="left"/>
        <w:rPr>
          <w:rFonts w:ascii="宋体" w:hAnsi="宋体"/>
          <w:kern w:val="44"/>
        </w:rPr>
      </w:pPr>
      <w:r>
        <w:rPr>
          <w:rFonts w:hint="eastAsia" w:ascii="宋体" w:hAnsi="宋体"/>
          <w:kern w:val="44"/>
        </w:rPr>
        <w:t>（四）损坏、挪用或者擅自拆除、停用消防设施、器材；</w:t>
      </w:r>
    </w:p>
    <w:p w14:paraId="0D9BCA89">
      <w:pPr>
        <w:jc w:val="left"/>
        <w:rPr>
          <w:rFonts w:ascii="宋体" w:hAnsi="宋体"/>
          <w:kern w:val="44"/>
        </w:rPr>
      </w:pPr>
      <w:r>
        <w:rPr>
          <w:rFonts w:hint="eastAsia" w:ascii="宋体" w:hAnsi="宋体"/>
          <w:kern w:val="44"/>
        </w:rPr>
        <w:t>（五）占用、堵塞、封闭房屋建筑的疏散通道、安全出口以及其他妨碍安全疏散的行为；</w:t>
      </w:r>
    </w:p>
    <w:p w14:paraId="6EC3F67F">
      <w:pPr>
        <w:jc w:val="left"/>
        <w:rPr>
          <w:rFonts w:ascii="宋体" w:hAnsi="宋体"/>
          <w:kern w:val="44"/>
        </w:rPr>
      </w:pPr>
      <w:r>
        <w:rPr>
          <w:rFonts w:hint="eastAsia" w:ascii="宋体" w:hAnsi="宋体"/>
          <w:kern w:val="44"/>
        </w:rPr>
        <w:t>（六）在人员密集场所门窗上设置障碍物；</w:t>
      </w:r>
    </w:p>
    <w:p w14:paraId="3471C2DE">
      <w:pPr>
        <w:jc w:val="left"/>
        <w:rPr>
          <w:rFonts w:ascii="宋体" w:hAnsi="宋体"/>
          <w:kern w:val="44"/>
        </w:rPr>
      </w:pPr>
      <w:r>
        <w:rPr>
          <w:rFonts w:hint="eastAsia" w:ascii="宋体" w:hAnsi="宋体"/>
          <w:kern w:val="44"/>
        </w:rPr>
        <w:t>（七）损坏或者擅自拆改供水、排水、供电、供气、供热、防雷装置、电梯等设施设备；</w:t>
      </w:r>
    </w:p>
    <w:p w14:paraId="55972B31">
      <w:pPr>
        <w:jc w:val="left"/>
        <w:rPr>
          <w:rFonts w:ascii="宋体" w:hAnsi="宋体"/>
          <w:kern w:val="44"/>
        </w:rPr>
      </w:pPr>
      <w:r>
        <w:rPr>
          <w:rFonts w:hint="eastAsia" w:ascii="宋体" w:hAnsi="宋体"/>
          <w:kern w:val="44"/>
        </w:rPr>
        <w:t>（八）其他违反法律、法规、规章的行为。</w:t>
      </w:r>
    </w:p>
    <w:p w14:paraId="4BFC3622">
      <w:pPr>
        <w:ind w:firstLine="422"/>
        <w:jc w:val="left"/>
        <w:rPr>
          <w:rFonts w:ascii="宋体" w:hAnsi="宋体"/>
          <w:kern w:val="44"/>
        </w:rPr>
      </w:pPr>
      <w:r>
        <w:rPr>
          <w:rFonts w:hint="eastAsia" w:ascii="宋体" w:hAnsi="宋体"/>
          <w:b/>
          <w:kern w:val="44"/>
        </w:rPr>
        <w:t>第九条</w:t>
      </w:r>
      <w:r>
        <w:rPr>
          <w:rFonts w:hint="eastAsia" w:ascii="宋体" w:hAnsi="宋体"/>
          <w:kern w:val="44"/>
        </w:rPr>
        <w:t>　区分所有权的房屋建筑主体和承重结构属于房屋建筑的共有部分，进行装饰装修活动需要变动建筑主体和承重结构的，须经全体所有权人共同决定后，方可委托具有相应资质的设计单位出具设计方案，装饰装修企业应当按照设计方案进行施工。</w:t>
      </w:r>
    </w:p>
    <w:p w14:paraId="3FFCC53E">
      <w:pPr>
        <w:ind w:firstLine="422"/>
        <w:jc w:val="left"/>
        <w:rPr>
          <w:rFonts w:ascii="宋体" w:hAnsi="宋体"/>
          <w:kern w:val="44"/>
        </w:rPr>
      </w:pPr>
      <w:r>
        <w:rPr>
          <w:rFonts w:hint="eastAsia" w:ascii="宋体" w:hAnsi="宋体"/>
          <w:b/>
          <w:kern w:val="44"/>
        </w:rPr>
        <w:t>第十条</w:t>
      </w:r>
      <w:r>
        <w:rPr>
          <w:rFonts w:hint="eastAsia" w:ascii="宋体" w:hAnsi="宋体"/>
          <w:kern w:val="44"/>
        </w:rPr>
        <w:t>　房屋建筑所有权人应当根据房屋建筑的类型、设计使用年限、使用时间等情况，按照规定定期委托房屋安全鉴定机构对房屋建筑进行安全评估。建设单位、设计单位应当按照规定履行定期告知的义务。</w:t>
      </w:r>
    </w:p>
    <w:p w14:paraId="0FE92805">
      <w:pPr>
        <w:ind w:firstLine="422"/>
        <w:jc w:val="left"/>
        <w:rPr>
          <w:rFonts w:ascii="宋体" w:hAnsi="宋体"/>
          <w:kern w:val="44"/>
        </w:rPr>
      </w:pPr>
      <w:r>
        <w:rPr>
          <w:rFonts w:hint="eastAsia" w:ascii="宋体" w:hAnsi="宋体"/>
          <w:b/>
          <w:kern w:val="44"/>
        </w:rPr>
        <w:t>第十一条</w:t>
      </w:r>
      <w:r>
        <w:rPr>
          <w:rFonts w:hint="eastAsia" w:ascii="宋体" w:hAnsi="宋体"/>
          <w:kern w:val="44"/>
        </w:rPr>
        <w:t>　房屋建筑有下列情形之一的，房屋建筑所有权人应当委托房屋安全鉴定机构进行安全鉴定：</w:t>
      </w:r>
    </w:p>
    <w:p w14:paraId="0FB224FD">
      <w:pPr>
        <w:jc w:val="left"/>
        <w:rPr>
          <w:rFonts w:ascii="宋体" w:hAnsi="宋体"/>
          <w:kern w:val="44"/>
        </w:rPr>
      </w:pPr>
      <w:r>
        <w:rPr>
          <w:rFonts w:hint="eastAsia" w:ascii="宋体" w:hAnsi="宋体"/>
          <w:kern w:val="44"/>
        </w:rPr>
        <w:t>（一）出现开裂、变形等结构损伤的；</w:t>
      </w:r>
    </w:p>
    <w:p w14:paraId="38AA0B09">
      <w:pPr>
        <w:jc w:val="left"/>
        <w:rPr>
          <w:rFonts w:ascii="宋体" w:hAnsi="宋体"/>
          <w:kern w:val="44"/>
        </w:rPr>
      </w:pPr>
      <w:r>
        <w:rPr>
          <w:rFonts w:hint="eastAsia" w:ascii="宋体" w:hAnsi="宋体"/>
          <w:kern w:val="44"/>
        </w:rPr>
        <w:t>（二）出现地基不均匀沉降的；</w:t>
      </w:r>
    </w:p>
    <w:p w14:paraId="268ADCA6">
      <w:pPr>
        <w:jc w:val="left"/>
        <w:rPr>
          <w:rFonts w:ascii="宋体" w:hAnsi="宋体"/>
          <w:kern w:val="44"/>
        </w:rPr>
      </w:pPr>
      <w:r>
        <w:rPr>
          <w:rFonts w:hint="eastAsia" w:ascii="宋体" w:hAnsi="宋体"/>
          <w:kern w:val="44"/>
        </w:rPr>
        <w:t>（三）因自然灾害或者事故可能导致结构损伤的；</w:t>
      </w:r>
    </w:p>
    <w:p w14:paraId="7EAEF53F">
      <w:pPr>
        <w:jc w:val="left"/>
        <w:rPr>
          <w:rFonts w:ascii="宋体" w:hAnsi="宋体"/>
          <w:kern w:val="44"/>
        </w:rPr>
      </w:pPr>
      <w:r>
        <w:rPr>
          <w:rFonts w:hint="eastAsia" w:ascii="宋体" w:hAnsi="宋体"/>
          <w:kern w:val="44"/>
        </w:rPr>
        <w:t>（四）未按照规定变动建筑主体和承重结构的；</w:t>
      </w:r>
    </w:p>
    <w:p w14:paraId="03DABF1A">
      <w:pPr>
        <w:jc w:val="left"/>
        <w:rPr>
          <w:rFonts w:ascii="宋体" w:hAnsi="宋体"/>
          <w:kern w:val="44"/>
        </w:rPr>
      </w:pPr>
      <w:r>
        <w:rPr>
          <w:rFonts w:hint="eastAsia" w:ascii="宋体" w:hAnsi="宋体"/>
          <w:kern w:val="44"/>
        </w:rPr>
        <w:t>（五）进行结构改造或者改变使用用途可能影响房屋建筑安全的；</w:t>
      </w:r>
    </w:p>
    <w:p w14:paraId="46B74EF6">
      <w:pPr>
        <w:jc w:val="left"/>
        <w:rPr>
          <w:rFonts w:ascii="宋体" w:hAnsi="宋体"/>
          <w:kern w:val="44"/>
        </w:rPr>
      </w:pPr>
      <w:r>
        <w:rPr>
          <w:rFonts w:hint="eastAsia" w:ascii="宋体" w:hAnsi="宋体"/>
          <w:kern w:val="44"/>
        </w:rPr>
        <w:t>（六）毗邻的建设工程施工可能影响房屋建筑使用安全的；</w:t>
      </w:r>
    </w:p>
    <w:p w14:paraId="46D130EC">
      <w:pPr>
        <w:jc w:val="left"/>
        <w:rPr>
          <w:rFonts w:ascii="宋体" w:hAnsi="宋体"/>
          <w:kern w:val="44"/>
        </w:rPr>
      </w:pPr>
      <w:r>
        <w:rPr>
          <w:rFonts w:hint="eastAsia" w:ascii="宋体" w:hAnsi="宋体"/>
          <w:kern w:val="44"/>
        </w:rPr>
        <w:t>（七）经安全评估发现房屋建筑存在安全隐患需要进行安全鉴定的；</w:t>
      </w:r>
    </w:p>
    <w:p w14:paraId="403EA64B">
      <w:pPr>
        <w:jc w:val="left"/>
        <w:rPr>
          <w:rFonts w:ascii="宋体" w:hAnsi="宋体"/>
          <w:kern w:val="44"/>
        </w:rPr>
      </w:pPr>
      <w:r>
        <w:rPr>
          <w:rFonts w:hint="eastAsia" w:ascii="宋体" w:hAnsi="宋体"/>
          <w:kern w:val="44"/>
        </w:rPr>
        <w:t>（八）其他依法应当进行安全鉴定的。</w:t>
      </w:r>
    </w:p>
    <w:p w14:paraId="3A80E004">
      <w:pPr>
        <w:jc w:val="left"/>
        <w:rPr>
          <w:rFonts w:ascii="宋体" w:hAnsi="宋体"/>
          <w:kern w:val="44"/>
        </w:rPr>
      </w:pPr>
      <w:r>
        <w:rPr>
          <w:rFonts w:hint="eastAsia" w:ascii="宋体" w:hAnsi="宋体"/>
          <w:kern w:val="44"/>
        </w:rPr>
        <w:t>有关行政部门根据公共利益的需要可以委托房屋安全鉴定机构进行安全鉴定。</w:t>
      </w:r>
    </w:p>
    <w:p w14:paraId="6ADC4837">
      <w:pPr>
        <w:ind w:firstLine="422"/>
        <w:jc w:val="left"/>
        <w:rPr>
          <w:rFonts w:ascii="宋体" w:hAnsi="宋体"/>
          <w:kern w:val="44"/>
        </w:rPr>
      </w:pPr>
      <w:r>
        <w:rPr>
          <w:rFonts w:hint="eastAsia" w:ascii="宋体" w:hAnsi="宋体"/>
          <w:b/>
          <w:kern w:val="44"/>
        </w:rPr>
        <w:t>第十二条</w:t>
      </w:r>
      <w:r>
        <w:rPr>
          <w:rFonts w:hint="eastAsia" w:ascii="宋体" w:hAnsi="宋体"/>
          <w:kern w:val="44"/>
        </w:rPr>
        <w:t>　房屋建筑有下列情形的，房屋建筑所有权人应当委托进行抗震鉴定：</w:t>
      </w:r>
    </w:p>
    <w:p w14:paraId="65F1AAEC">
      <w:pPr>
        <w:jc w:val="left"/>
        <w:rPr>
          <w:rFonts w:ascii="宋体" w:hAnsi="宋体"/>
          <w:kern w:val="44"/>
        </w:rPr>
      </w:pPr>
      <w:r>
        <w:rPr>
          <w:rFonts w:hint="eastAsia" w:ascii="宋体" w:hAnsi="宋体"/>
          <w:kern w:val="44"/>
        </w:rPr>
        <w:t>（一）达到设计使用年限需要继续使用的；</w:t>
      </w:r>
    </w:p>
    <w:p w14:paraId="2349A08B">
      <w:pPr>
        <w:jc w:val="left"/>
        <w:rPr>
          <w:rFonts w:ascii="宋体" w:hAnsi="宋体"/>
          <w:kern w:val="44"/>
        </w:rPr>
      </w:pPr>
      <w:r>
        <w:rPr>
          <w:rFonts w:hint="eastAsia" w:ascii="宋体" w:hAnsi="宋体"/>
          <w:kern w:val="44"/>
        </w:rPr>
        <w:t>（二）未采取抗震设防措施或者达不到现行抗震设防类别、烈度的；</w:t>
      </w:r>
    </w:p>
    <w:p w14:paraId="220195ED">
      <w:pPr>
        <w:jc w:val="left"/>
        <w:rPr>
          <w:rFonts w:ascii="宋体" w:hAnsi="宋体"/>
          <w:kern w:val="44"/>
        </w:rPr>
      </w:pPr>
      <w:r>
        <w:rPr>
          <w:rFonts w:hint="eastAsia" w:ascii="宋体" w:hAnsi="宋体"/>
          <w:kern w:val="44"/>
        </w:rPr>
        <w:t>（三）进行结构改造或者改变使用用途可能影响抗震性能的；</w:t>
      </w:r>
    </w:p>
    <w:p w14:paraId="6DC16236">
      <w:pPr>
        <w:jc w:val="left"/>
        <w:rPr>
          <w:rFonts w:ascii="宋体" w:hAnsi="宋体"/>
          <w:kern w:val="44"/>
        </w:rPr>
      </w:pPr>
      <w:r>
        <w:rPr>
          <w:rFonts w:hint="eastAsia" w:ascii="宋体" w:hAnsi="宋体"/>
          <w:kern w:val="44"/>
        </w:rPr>
        <w:t>（四）其他依法应当进行抗震鉴定的。</w:t>
      </w:r>
    </w:p>
    <w:p w14:paraId="4E776B18">
      <w:pPr>
        <w:jc w:val="left"/>
        <w:rPr>
          <w:rFonts w:ascii="宋体" w:hAnsi="宋体"/>
          <w:kern w:val="44"/>
        </w:rPr>
      </w:pPr>
      <w:r>
        <w:rPr>
          <w:rFonts w:hint="eastAsia" w:ascii="宋体" w:hAnsi="宋体"/>
          <w:kern w:val="44"/>
        </w:rPr>
        <w:t>出具抗震鉴定报告依据的房屋建筑现状检查检测数据，应当由依法取得计量认证的单位提供。</w:t>
      </w:r>
    </w:p>
    <w:p w14:paraId="29BB114F">
      <w:pPr>
        <w:ind w:firstLine="422"/>
        <w:jc w:val="left"/>
        <w:rPr>
          <w:rFonts w:ascii="宋体" w:hAnsi="宋体"/>
          <w:kern w:val="44"/>
        </w:rPr>
      </w:pPr>
      <w:r>
        <w:rPr>
          <w:rFonts w:hint="eastAsia" w:ascii="宋体" w:hAnsi="宋体"/>
          <w:b/>
          <w:kern w:val="44"/>
        </w:rPr>
        <w:t>第十三条</w:t>
      </w:r>
      <w:r>
        <w:rPr>
          <w:rFonts w:hint="eastAsia" w:ascii="宋体" w:hAnsi="宋体"/>
          <w:kern w:val="44"/>
        </w:rPr>
        <w:t>　房屋安全鉴定机构从事房屋建筑安全评估、安全鉴定活动应当向市住房城乡建设行政主管部门备案，并提交下列材料：</w:t>
      </w:r>
    </w:p>
    <w:p w14:paraId="1F0996E5">
      <w:pPr>
        <w:jc w:val="left"/>
        <w:rPr>
          <w:rFonts w:ascii="宋体" w:hAnsi="宋体"/>
          <w:kern w:val="44"/>
        </w:rPr>
      </w:pPr>
      <w:r>
        <w:rPr>
          <w:rFonts w:hint="eastAsia" w:ascii="宋体" w:hAnsi="宋体"/>
          <w:kern w:val="44"/>
        </w:rPr>
        <w:t>（一）房屋安全鉴定机构设立的相关证明文件，或者工程质量检测机构的检测资质证书及具备建设工程结构检查能力的证明文件；</w:t>
      </w:r>
    </w:p>
    <w:p w14:paraId="7AB46A37">
      <w:pPr>
        <w:jc w:val="left"/>
        <w:rPr>
          <w:rFonts w:ascii="宋体" w:hAnsi="宋体"/>
          <w:kern w:val="44"/>
        </w:rPr>
      </w:pPr>
      <w:r>
        <w:rPr>
          <w:rFonts w:hint="eastAsia" w:ascii="宋体" w:hAnsi="宋体"/>
          <w:kern w:val="44"/>
        </w:rPr>
        <w:t>（二）经过计量检定的检测仪器、设备清单；</w:t>
      </w:r>
    </w:p>
    <w:p w14:paraId="11D81C4C">
      <w:pPr>
        <w:jc w:val="left"/>
        <w:rPr>
          <w:rFonts w:ascii="宋体" w:hAnsi="宋体"/>
          <w:kern w:val="44"/>
        </w:rPr>
      </w:pPr>
      <w:r>
        <w:rPr>
          <w:rFonts w:hint="eastAsia" w:ascii="宋体" w:hAnsi="宋体"/>
          <w:kern w:val="44"/>
        </w:rPr>
        <w:t>（三）技术负责人的土建类高级技术职称证书，鉴定负责人的土建类中级以上技术职称证书；</w:t>
      </w:r>
    </w:p>
    <w:p w14:paraId="11380522">
      <w:pPr>
        <w:jc w:val="left"/>
        <w:rPr>
          <w:rFonts w:ascii="宋体" w:hAnsi="宋体"/>
          <w:kern w:val="44"/>
        </w:rPr>
      </w:pPr>
      <w:r>
        <w:rPr>
          <w:rFonts w:hint="eastAsia" w:ascii="宋体" w:hAnsi="宋体"/>
          <w:kern w:val="44"/>
        </w:rPr>
        <w:t>（四）管理制度及质量控制措施。</w:t>
      </w:r>
    </w:p>
    <w:p w14:paraId="426659D7">
      <w:pPr>
        <w:jc w:val="left"/>
        <w:rPr>
          <w:rFonts w:ascii="宋体" w:hAnsi="宋体"/>
          <w:kern w:val="44"/>
        </w:rPr>
      </w:pPr>
      <w:r>
        <w:rPr>
          <w:rFonts w:hint="eastAsia" w:ascii="宋体" w:hAnsi="宋体"/>
          <w:kern w:val="44"/>
        </w:rPr>
        <w:t>上述内容发生变更的，房屋安全鉴定机构应当在30日内办理变更备案。</w:t>
      </w:r>
    </w:p>
    <w:p w14:paraId="56088584">
      <w:pPr>
        <w:ind w:firstLine="422"/>
        <w:jc w:val="left"/>
        <w:rPr>
          <w:rFonts w:ascii="宋体" w:hAnsi="宋体"/>
          <w:kern w:val="44"/>
        </w:rPr>
      </w:pPr>
      <w:r>
        <w:rPr>
          <w:rFonts w:hint="eastAsia" w:ascii="宋体" w:hAnsi="宋体"/>
          <w:b/>
          <w:kern w:val="44"/>
        </w:rPr>
        <w:t>第十四条</w:t>
      </w:r>
      <w:r>
        <w:rPr>
          <w:rFonts w:hint="eastAsia" w:ascii="宋体" w:hAnsi="宋体"/>
          <w:kern w:val="44"/>
        </w:rPr>
        <w:t>　房屋安全鉴定机构进行房屋建筑安全评估、安全鉴定活动，应当有两名以上鉴定人员参加，并按照国家和本市相关规定和技术标准进行评估与鉴定，及时、准确、真实地向委托人出具房屋建筑安全评估、安全鉴定报告，同时报送住房城乡建设行政主管部门。对鉴定为危险房屋的，房屋安全鉴定机构应当在作出鉴定结论后24小时内书面通知委托人，同时报告住房城乡建设行政主管部门。</w:t>
      </w:r>
    </w:p>
    <w:p w14:paraId="4FE54646">
      <w:pPr>
        <w:ind w:firstLine="422"/>
        <w:jc w:val="left"/>
        <w:rPr>
          <w:rFonts w:ascii="宋体" w:hAnsi="宋体"/>
          <w:kern w:val="44"/>
        </w:rPr>
      </w:pPr>
      <w:r>
        <w:rPr>
          <w:rFonts w:hint="eastAsia" w:ascii="宋体" w:hAnsi="宋体"/>
          <w:b/>
          <w:kern w:val="44"/>
        </w:rPr>
        <w:t>第十五条</w:t>
      </w:r>
      <w:r>
        <w:rPr>
          <w:rFonts w:hint="eastAsia" w:ascii="宋体" w:hAnsi="宋体"/>
          <w:kern w:val="44"/>
        </w:rPr>
        <w:t>　房屋建筑安全鉴定报告应当由鉴定负责人、技术负责人、机构负责人签字。房屋安全鉴定机构及相关负责人对出具的报告依法承担法律责任。</w:t>
      </w:r>
    </w:p>
    <w:p w14:paraId="66C5AC1E">
      <w:pPr>
        <w:jc w:val="left"/>
        <w:rPr>
          <w:rFonts w:ascii="宋体" w:hAnsi="宋体"/>
          <w:kern w:val="44"/>
        </w:rPr>
      </w:pPr>
      <w:r>
        <w:rPr>
          <w:rFonts w:hint="eastAsia" w:ascii="宋体" w:hAnsi="宋体"/>
          <w:kern w:val="44"/>
        </w:rPr>
        <w:t>房屋建筑安全鉴定报告涉及结构体系计算的，应当由具备相应资格的注册结构工程师出具计算书，涉及结构实体检测的，应当由经过相应计量认证的单位出具检测数据。</w:t>
      </w:r>
    </w:p>
    <w:p w14:paraId="27120263">
      <w:pPr>
        <w:jc w:val="left"/>
        <w:rPr>
          <w:rFonts w:ascii="宋体" w:hAnsi="宋体"/>
          <w:kern w:val="44"/>
        </w:rPr>
      </w:pPr>
      <w:r>
        <w:rPr>
          <w:rFonts w:hint="eastAsia" w:ascii="宋体" w:hAnsi="宋体"/>
          <w:kern w:val="44"/>
        </w:rPr>
        <w:t>本市采用统一的房屋建筑安全鉴定报告文本，由市住房城乡建设行政主管部门制发并免费提供。</w:t>
      </w:r>
    </w:p>
    <w:p w14:paraId="1620C003">
      <w:pPr>
        <w:ind w:firstLine="422"/>
        <w:jc w:val="left"/>
        <w:rPr>
          <w:rFonts w:ascii="宋体" w:hAnsi="宋体"/>
          <w:kern w:val="44"/>
        </w:rPr>
      </w:pPr>
      <w:r>
        <w:rPr>
          <w:rFonts w:hint="eastAsia" w:ascii="宋体" w:hAnsi="宋体"/>
          <w:b/>
          <w:kern w:val="44"/>
        </w:rPr>
        <w:t>第十六条</w:t>
      </w:r>
      <w:r>
        <w:rPr>
          <w:rFonts w:hint="eastAsia" w:ascii="宋体" w:hAnsi="宋体"/>
          <w:kern w:val="44"/>
        </w:rPr>
        <w:t>　房屋安全鉴定机构不得出具虚假的安全评估、安全鉴定报告。</w:t>
      </w:r>
    </w:p>
    <w:p w14:paraId="04986B70">
      <w:pPr>
        <w:jc w:val="left"/>
        <w:rPr>
          <w:rFonts w:ascii="宋体" w:hAnsi="宋体"/>
          <w:kern w:val="44"/>
        </w:rPr>
      </w:pPr>
      <w:r>
        <w:rPr>
          <w:rFonts w:hint="eastAsia" w:ascii="宋体" w:hAnsi="宋体"/>
          <w:kern w:val="44"/>
        </w:rPr>
        <w:t>任何单位和个人不得干涉正常的安全评估、安全鉴定活动，不得伪造、变造安全评估、安全鉴定报告。</w:t>
      </w:r>
    </w:p>
    <w:p w14:paraId="3D4CA00A">
      <w:pPr>
        <w:ind w:firstLine="422"/>
        <w:jc w:val="left"/>
        <w:rPr>
          <w:rFonts w:ascii="宋体" w:hAnsi="宋体"/>
          <w:kern w:val="44"/>
        </w:rPr>
      </w:pPr>
      <w:r>
        <w:rPr>
          <w:rFonts w:hint="eastAsia" w:ascii="宋体" w:hAnsi="宋体"/>
          <w:b/>
          <w:kern w:val="44"/>
        </w:rPr>
        <w:t>第十七条</w:t>
      </w:r>
      <w:r>
        <w:rPr>
          <w:rFonts w:hint="eastAsia" w:ascii="宋体" w:hAnsi="宋体"/>
          <w:kern w:val="44"/>
        </w:rPr>
        <w:t>　委托人及利害关系人对房屋建筑安全鉴定结论有异议的，可以向市房屋安全鉴定管理机构申请重新鉴定，市房屋安全鉴定管理机构可以组织重新鉴定。</w:t>
      </w:r>
    </w:p>
    <w:p w14:paraId="688ADF05">
      <w:pPr>
        <w:ind w:firstLine="422"/>
        <w:jc w:val="left"/>
        <w:rPr>
          <w:rFonts w:ascii="宋体" w:hAnsi="宋体"/>
          <w:kern w:val="44"/>
        </w:rPr>
      </w:pPr>
      <w:r>
        <w:rPr>
          <w:rFonts w:hint="eastAsia" w:ascii="宋体" w:hAnsi="宋体"/>
          <w:b/>
          <w:kern w:val="44"/>
        </w:rPr>
        <w:t>第十八条</w:t>
      </w:r>
      <w:r>
        <w:rPr>
          <w:rFonts w:hint="eastAsia" w:ascii="宋体" w:hAnsi="宋体"/>
          <w:kern w:val="44"/>
        </w:rPr>
        <w:t>　房屋建筑所有权人应当根据鉴定报告的处理建议对房屋建筑采取修缮、拆除以及其他解除危险的安全治理措施并承担相应的治理费用。</w:t>
      </w:r>
    </w:p>
    <w:p w14:paraId="4905141C">
      <w:pPr>
        <w:ind w:firstLine="422"/>
        <w:jc w:val="left"/>
        <w:rPr>
          <w:rFonts w:ascii="宋体" w:hAnsi="宋体"/>
          <w:kern w:val="44"/>
        </w:rPr>
      </w:pPr>
      <w:r>
        <w:rPr>
          <w:rFonts w:hint="eastAsia" w:ascii="宋体" w:hAnsi="宋体"/>
          <w:b/>
          <w:kern w:val="44"/>
        </w:rPr>
        <w:t>第十九条</w:t>
      </w:r>
      <w:r>
        <w:rPr>
          <w:rFonts w:hint="eastAsia" w:ascii="宋体" w:hAnsi="宋体"/>
          <w:kern w:val="44"/>
        </w:rPr>
        <w:t>　经鉴定为危险房屋的，应当根据鉴定报告的处理建议使用或者停止使用房屋建筑：</w:t>
      </w:r>
    </w:p>
    <w:p w14:paraId="1C9F55BE">
      <w:pPr>
        <w:jc w:val="left"/>
        <w:rPr>
          <w:rFonts w:ascii="宋体" w:hAnsi="宋体"/>
          <w:kern w:val="44"/>
        </w:rPr>
      </w:pPr>
      <w:r>
        <w:rPr>
          <w:rFonts w:hint="eastAsia" w:ascii="宋体" w:hAnsi="宋体"/>
          <w:kern w:val="44"/>
        </w:rPr>
        <w:t>（一）鉴定为观察使用的，应当按照鉴定报告注明的观察使用时限使用；</w:t>
      </w:r>
    </w:p>
    <w:p w14:paraId="7D34D94A">
      <w:pPr>
        <w:jc w:val="left"/>
        <w:rPr>
          <w:rFonts w:ascii="宋体" w:hAnsi="宋体"/>
          <w:kern w:val="44"/>
        </w:rPr>
      </w:pPr>
      <w:r>
        <w:rPr>
          <w:rFonts w:hint="eastAsia" w:ascii="宋体" w:hAnsi="宋体"/>
          <w:kern w:val="44"/>
        </w:rPr>
        <w:t>（二）鉴定为处理使用的，使用人应当按照鉴定报告限制使用的要求搬出危险部位，房屋建筑所有权人应当委托原设计单位或者具有相应资质等级的设计单位出具解危技术措施方案，并按照设计单位确定的后续使用年限使用；</w:t>
      </w:r>
    </w:p>
    <w:p w14:paraId="3B294FB0">
      <w:pPr>
        <w:jc w:val="left"/>
        <w:rPr>
          <w:rFonts w:ascii="宋体" w:hAnsi="宋体"/>
          <w:kern w:val="44"/>
        </w:rPr>
      </w:pPr>
      <w:r>
        <w:rPr>
          <w:rFonts w:hint="eastAsia" w:ascii="宋体" w:hAnsi="宋体"/>
          <w:kern w:val="44"/>
        </w:rPr>
        <w:t>（三）鉴定为停止使用、整体拆除的，使用人应当停止使用，立即搬出。</w:t>
      </w:r>
    </w:p>
    <w:p w14:paraId="18ABCB84">
      <w:pPr>
        <w:jc w:val="left"/>
        <w:rPr>
          <w:rFonts w:ascii="宋体" w:hAnsi="宋体"/>
          <w:kern w:val="44"/>
        </w:rPr>
      </w:pPr>
      <w:r>
        <w:rPr>
          <w:rFonts w:hint="eastAsia" w:ascii="宋体" w:hAnsi="宋体"/>
          <w:kern w:val="44"/>
        </w:rPr>
        <w:t>使用人拒不按照前款规定搬出的，住房城乡建设行政主管部门应当书面责令使用人搬出，情况紧急危及公共安全的，区县人民政府可以责成有关部门组织强制搬出，并妥善安置。</w:t>
      </w:r>
    </w:p>
    <w:p w14:paraId="18E067FE">
      <w:pPr>
        <w:ind w:firstLine="422"/>
        <w:jc w:val="left"/>
        <w:rPr>
          <w:rFonts w:ascii="宋体" w:hAnsi="宋体"/>
          <w:kern w:val="44"/>
        </w:rPr>
      </w:pPr>
      <w:r>
        <w:rPr>
          <w:rFonts w:hint="eastAsia" w:ascii="宋体" w:hAnsi="宋体"/>
          <w:b/>
          <w:kern w:val="44"/>
        </w:rPr>
        <w:t>第二十条</w:t>
      </w:r>
      <w:r>
        <w:rPr>
          <w:rFonts w:hint="eastAsia" w:ascii="宋体" w:hAnsi="宋体"/>
          <w:kern w:val="44"/>
        </w:rPr>
        <w:t>　使用人搬出的危险房屋为其唯一居住用房的，可以向房屋所在地区县人民政府申请临时安置住房。危险房屋治理结束后，使用人应当搬出临时安置住房。</w:t>
      </w:r>
    </w:p>
    <w:p w14:paraId="1386F527">
      <w:pPr>
        <w:ind w:firstLine="422"/>
        <w:jc w:val="left"/>
        <w:rPr>
          <w:rFonts w:ascii="宋体" w:hAnsi="宋体"/>
          <w:kern w:val="44"/>
        </w:rPr>
      </w:pPr>
      <w:r>
        <w:rPr>
          <w:rFonts w:hint="eastAsia" w:ascii="宋体" w:hAnsi="宋体"/>
          <w:b/>
          <w:kern w:val="44"/>
        </w:rPr>
        <w:t>第二十一条</w:t>
      </w:r>
      <w:r>
        <w:rPr>
          <w:rFonts w:hint="eastAsia" w:ascii="宋体" w:hAnsi="宋体"/>
          <w:kern w:val="44"/>
        </w:rPr>
        <w:t>　低收入家庭承担危险房屋治理费用有困难，或者在危险房屋治理期间支付临时安置住房租金有困难的，可以申请补助，具体补助办法由区县人民政府制定。</w:t>
      </w:r>
    </w:p>
    <w:p w14:paraId="13CB2BA0">
      <w:pPr>
        <w:ind w:firstLine="422"/>
        <w:jc w:val="left"/>
        <w:rPr>
          <w:rFonts w:ascii="宋体" w:hAnsi="宋体"/>
          <w:kern w:val="44"/>
        </w:rPr>
      </w:pPr>
      <w:r>
        <w:rPr>
          <w:rFonts w:hint="eastAsia" w:ascii="宋体" w:hAnsi="宋体"/>
          <w:b/>
          <w:kern w:val="44"/>
        </w:rPr>
        <w:t>第二十二条</w:t>
      </w:r>
      <w:r>
        <w:rPr>
          <w:rFonts w:hint="eastAsia" w:ascii="宋体" w:hAnsi="宋体"/>
          <w:kern w:val="44"/>
        </w:rPr>
        <w:t>　对房屋建筑进行应急抢险应当按照国家和本市应对突发事件的有关规定执行。对危险房屋的修缮工程，相关行政部门应当及时办理审批手续；需要紧急抢修的，可以先行抢修。</w:t>
      </w:r>
    </w:p>
    <w:p w14:paraId="01170104">
      <w:pPr>
        <w:ind w:firstLine="422"/>
        <w:jc w:val="left"/>
        <w:rPr>
          <w:rFonts w:ascii="宋体" w:hAnsi="宋体"/>
          <w:kern w:val="44"/>
        </w:rPr>
      </w:pPr>
      <w:r>
        <w:rPr>
          <w:rFonts w:hint="eastAsia" w:ascii="宋体" w:hAnsi="宋体"/>
          <w:b/>
          <w:kern w:val="44"/>
        </w:rPr>
        <w:t>第二十三条</w:t>
      </w:r>
      <w:r>
        <w:rPr>
          <w:rFonts w:hint="eastAsia" w:ascii="宋体" w:hAnsi="宋体"/>
          <w:kern w:val="44"/>
        </w:rPr>
        <w:t>　住房城乡建设行政主管部门及有关部门应当建立房屋建筑使用安全信息通报和信息共享制度，实现对房屋建筑使用安全的综合治理。</w:t>
      </w:r>
    </w:p>
    <w:p w14:paraId="663A1425">
      <w:pPr>
        <w:jc w:val="left"/>
        <w:rPr>
          <w:rFonts w:ascii="宋体" w:hAnsi="宋体"/>
          <w:kern w:val="44"/>
        </w:rPr>
      </w:pPr>
      <w:r>
        <w:rPr>
          <w:rFonts w:hint="eastAsia" w:ascii="宋体" w:hAnsi="宋体"/>
          <w:kern w:val="44"/>
        </w:rPr>
        <w:t>市住房城乡建设行政主管部门应当建立房屋安全鉴定机构信用信息管理系统，记载并公布备案和监督管理信息。</w:t>
      </w:r>
    </w:p>
    <w:p w14:paraId="35645380">
      <w:pPr>
        <w:ind w:firstLine="422"/>
        <w:jc w:val="left"/>
        <w:rPr>
          <w:rFonts w:ascii="宋体" w:hAnsi="宋体"/>
          <w:kern w:val="44"/>
        </w:rPr>
      </w:pPr>
      <w:r>
        <w:rPr>
          <w:rFonts w:hint="eastAsia" w:ascii="宋体" w:hAnsi="宋体"/>
          <w:b/>
          <w:kern w:val="44"/>
        </w:rPr>
        <w:t>第二十四条</w:t>
      </w:r>
      <w:r>
        <w:rPr>
          <w:rFonts w:hint="eastAsia" w:ascii="宋体" w:hAnsi="宋体"/>
          <w:kern w:val="44"/>
        </w:rPr>
        <w:t>　住房城乡建设行政主管部门建立房屋建筑安全信息档案，记载房屋建筑安全的相关信息。发现下列情况时应当及时记载并予以公布：</w:t>
      </w:r>
    </w:p>
    <w:p w14:paraId="287A2E78">
      <w:pPr>
        <w:jc w:val="left"/>
        <w:rPr>
          <w:rFonts w:ascii="宋体" w:hAnsi="宋体"/>
          <w:kern w:val="44"/>
        </w:rPr>
      </w:pPr>
      <w:r>
        <w:rPr>
          <w:rFonts w:hint="eastAsia" w:ascii="宋体" w:hAnsi="宋体"/>
          <w:kern w:val="44"/>
        </w:rPr>
        <w:t>（一）擅自变动建筑主体和承重结构的；</w:t>
      </w:r>
    </w:p>
    <w:p w14:paraId="2F34D4BC">
      <w:pPr>
        <w:jc w:val="left"/>
        <w:rPr>
          <w:rFonts w:ascii="宋体" w:hAnsi="宋体"/>
          <w:kern w:val="44"/>
        </w:rPr>
      </w:pPr>
      <w:r>
        <w:rPr>
          <w:rFonts w:hint="eastAsia" w:ascii="宋体" w:hAnsi="宋体"/>
          <w:kern w:val="44"/>
        </w:rPr>
        <w:t>（二）应当进行安全鉴定未鉴定的；</w:t>
      </w:r>
    </w:p>
    <w:p w14:paraId="2538D126">
      <w:pPr>
        <w:jc w:val="left"/>
        <w:rPr>
          <w:rFonts w:ascii="宋体" w:hAnsi="宋体"/>
          <w:kern w:val="44"/>
        </w:rPr>
      </w:pPr>
      <w:r>
        <w:rPr>
          <w:rFonts w:hint="eastAsia" w:ascii="宋体" w:hAnsi="宋体"/>
          <w:kern w:val="44"/>
        </w:rPr>
        <w:t>（三）经鉴定为危险房屋未治理的。</w:t>
      </w:r>
    </w:p>
    <w:p w14:paraId="32EC2AF6">
      <w:pPr>
        <w:jc w:val="left"/>
        <w:rPr>
          <w:rFonts w:ascii="宋体" w:hAnsi="宋体"/>
          <w:kern w:val="44"/>
        </w:rPr>
      </w:pPr>
      <w:r>
        <w:rPr>
          <w:rFonts w:hint="eastAsia" w:ascii="宋体" w:hAnsi="宋体"/>
          <w:kern w:val="44"/>
        </w:rPr>
        <w:t>房屋登记部门在办理房屋转移登记时应当告知受让人查询房屋建筑使用安全信息档案。</w:t>
      </w:r>
    </w:p>
    <w:p w14:paraId="4905A385">
      <w:pPr>
        <w:ind w:firstLine="422"/>
        <w:jc w:val="left"/>
        <w:rPr>
          <w:rFonts w:ascii="宋体" w:hAnsi="宋体"/>
          <w:kern w:val="44"/>
        </w:rPr>
      </w:pPr>
      <w:r>
        <w:rPr>
          <w:rFonts w:hint="eastAsia" w:ascii="宋体" w:hAnsi="宋体"/>
          <w:b/>
          <w:kern w:val="44"/>
        </w:rPr>
        <w:t>第二十五条</w:t>
      </w:r>
      <w:r>
        <w:rPr>
          <w:rFonts w:hint="eastAsia" w:ascii="宋体" w:hAnsi="宋体"/>
          <w:kern w:val="44"/>
        </w:rPr>
        <w:t>　房屋建筑所有权人未按照规定进行安全鉴定、抗震鉴定或者房屋建筑经鉴定为危险房屋未及时治理的，住房城乡建设、规划等行政主管部门应当按照各自职责督促所有权人及时履责；拒不履责的，行政主管部门可以指定有关单位代为履行，所需费用由所有权人承担。</w:t>
      </w:r>
    </w:p>
    <w:p w14:paraId="34CEC78F">
      <w:pPr>
        <w:ind w:firstLine="422"/>
        <w:jc w:val="left"/>
        <w:rPr>
          <w:rFonts w:ascii="宋体" w:hAnsi="宋体"/>
          <w:kern w:val="44"/>
        </w:rPr>
      </w:pPr>
      <w:r>
        <w:rPr>
          <w:rFonts w:hint="eastAsia" w:ascii="宋体" w:hAnsi="宋体"/>
          <w:b/>
          <w:kern w:val="44"/>
        </w:rPr>
        <w:t>第二十六条</w:t>
      </w:r>
      <w:r>
        <w:rPr>
          <w:rFonts w:hint="eastAsia" w:ascii="宋体" w:hAnsi="宋体"/>
          <w:kern w:val="44"/>
        </w:rPr>
        <w:t>　学校、幼儿园、医院、体育场馆、商场、图书馆、公共娱乐场所、宾馆、饭店以及客运车站候车厅、机场候机厅等人员密集的公共建筑，应当每5年进行一次安全评估；达到设计使用年限需要继续使用的，应当每2年进行一次安全评估。</w:t>
      </w:r>
    </w:p>
    <w:p w14:paraId="179D0728">
      <w:pPr>
        <w:jc w:val="left"/>
        <w:rPr>
          <w:rFonts w:ascii="宋体" w:hAnsi="宋体"/>
          <w:kern w:val="44"/>
        </w:rPr>
      </w:pPr>
      <w:r>
        <w:rPr>
          <w:rFonts w:hint="eastAsia" w:ascii="宋体" w:hAnsi="宋体"/>
          <w:kern w:val="44"/>
        </w:rPr>
        <w:t>住房城乡建设行政主管部门应当会同相关行业主管部门定期对人员密集的公共建筑进行巡查，对未按照规定进行安全评估、安全鉴定、抗震鉴定或者未按照鉴定报告的处理建议及时治理的，应当督促所有权人及时履责，拒不履责的，可以指定有关单位代为履行，费用由所有权人承担。</w:t>
      </w:r>
    </w:p>
    <w:p w14:paraId="4EDDA5B4">
      <w:pPr>
        <w:ind w:firstLine="422"/>
        <w:jc w:val="left"/>
        <w:rPr>
          <w:rFonts w:ascii="宋体" w:hAnsi="宋体"/>
          <w:kern w:val="44"/>
        </w:rPr>
      </w:pPr>
      <w:r>
        <w:rPr>
          <w:rFonts w:hint="eastAsia" w:ascii="宋体" w:hAnsi="宋体"/>
          <w:b/>
          <w:kern w:val="44"/>
        </w:rPr>
        <w:t>第二十七条</w:t>
      </w:r>
      <w:r>
        <w:rPr>
          <w:rFonts w:hint="eastAsia" w:ascii="宋体" w:hAnsi="宋体"/>
          <w:kern w:val="44"/>
        </w:rPr>
        <w:t>　行政主管部门办理相关证照依法查验经营场所时，应当核实房屋建筑的相关情况，对以危险房屋作为经营场所的，不得办理相关证照。</w:t>
      </w:r>
    </w:p>
    <w:p w14:paraId="4DC77203">
      <w:pPr>
        <w:ind w:firstLine="422"/>
        <w:jc w:val="left"/>
        <w:rPr>
          <w:rFonts w:ascii="宋体" w:hAnsi="宋体"/>
          <w:kern w:val="44"/>
        </w:rPr>
      </w:pPr>
      <w:r>
        <w:rPr>
          <w:rFonts w:hint="eastAsia" w:ascii="宋体" w:hAnsi="宋体"/>
          <w:b/>
          <w:kern w:val="44"/>
        </w:rPr>
        <w:t>第二十八条</w:t>
      </w:r>
      <w:r>
        <w:rPr>
          <w:rFonts w:hint="eastAsia" w:ascii="宋体" w:hAnsi="宋体"/>
          <w:kern w:val="44"/>
        </w:rPr>
        <w:t>　违反本办法第四条第三款规定，自行管理的单位或者受托管理的物业服务企业未配备安全管理员的，由住房城乡建设行政主管部门责令限期改正；拒不改正的，处1万元以上3万元以下罚款。</w:t>
      </w:r>
    </w:p>
    <w:p w14:paraId="2A3AA600">
      <w:pPr>
        <w:ind w:firstLine="422"/>
        <w:jc w:val="left"/>
        <w:rPr>
          <w:rFonts w:ascii="宋体" w:hAnsi="宋体"/>
          <w:kern w:val="44"/>
        </w:rPr>
      </w:pPr>
      <w:r>
        <w:rPr>
          <w:rFonts w:hint="eastAsia" w:ascii="宋体" w:hAnsi="宋体"/>
          <w:b/>
          <w:kern w:val="44"/>
        </w:rPr>
        <w:t>第二十九条</w:t>
      </w:r>
      <w:r>
        <w:rPr>
          <w:rFonts w:hint="eastAsia" w:ascii="宋体" w:hAnsi="宋体"/>
          <w:kern w:val="44"/>
        </w:rPr>
        <w:t>　违反本办法第七条规定，未按照规定建立房屋建筑使用安全管理档案并如实记录的，由住房城乡建设行政主管部门责令限期改正；并可以处1万元以上3万元以下罚款。</w:t>
      </w:r>
    </w:p>
    <w:p w14:paraId="78E68093">
      <w:pPr>
        <w:ind w:firstLine="422"/>
        <w:jc w:val="left"/>
        <w:rPr>
          <w:rFonts w:ascii="宋体" w:hAnsi="宋体"/>
          <w:kern w:val="44"/>
        </w:rPr>
      </w:pPr>
      <w:r>
        <w:rPr>
          <w:rFonts w:hint="eastAsia" w:ascii="宋体" w:hAnsi="宋体"/>
          <w:b/>
          <w:kern w:val="44"/>
        </w:rPr>
        <w:t>第三十条</w:t>
      </w:r>
      <w:r>
        <w:rPr>
          <w:rFonts w:hint="eastAsia" w:ascii="宋体" w:hAnsi="宋体"/>
          <w:kern w:val="44"/>
        </w:rPr>
        <w:t>　违反本办法第八条第（三）项规定，超过设计使用荷载使用房屋建筑的，由住房城乡建设行政主管部门责令限期改正；拒不改正的，处1万元以上3万元以下罚款。</w:t>
      </w:r>
    </w:p>
    <w:p w14:paraId="7D3A340A">
      <w:pPr>
        <w:ind w:firstLine="422"/>
        <w:jc w:val="left"/>
        <w:rPr>
          <w:rFonts w:ascii="宋体" w:hAnsi="宋体"/>
          <w:kern w:val="44"/>
        </w:rPr>
      </w:pPr>
      <w:r>
        <w:rPr>
          <w:rFonts w:hint="eastAsia" w:ascii="宋体" w:hAnsi="宋体"/>
          <w:b/>
          <w:kern w:val="44"/>
        </w:rPr>
        <w:t>第三十一条</w:t>
      </w:r>
      <w:r>
        <w:rPr>
          <w:rFonts w:hint="eastAsia" w:ascii="宋体" w:hAnsi="宋体"/>
          <w:kern w:val="44"/>
        </w:rPr>
        <w:t>　违反本办法第十四条、第十五条、第十六条规定，房屋安全鉴定机构有下列行为的，由市住房城乡建设行政主管部门责令限期改正，计入房屋安全鉴定机构信用信息管理系统，并处5万元以上10万元以下罚款：</w:t>
      </w:r>
    </w:p>
    <w:p w14:paraId="2A93E3CB">
      <w:pPr>
        <w:jc w:val="left"/>
        <w:rPr>
          <w:rFonts w:ascii="宋体" w:hAnsi="宋体"/>
          <w:kern w:val="44"/>
        </w:rPr>
      </w:pPr>
      <w:r>
        <w:rPr>
          <w:rFonts w:hint="eastAsia" w:ascii="宋体" w:hAnsi="宋体"/>
          <w:kern w:val="44"/>
        </w:rPr>
        <w:t>（一）出具虚假鉴定报告的；</w:t>
      </w:r>
    </w:p>
    <w:p w14:paraId="537143E2">
      <w:pPr>
        <w:jc w:val="left"/>
        <w:rPr>
          <w:rFonts w:ascii="宋体" w:hAnsi="宋体"/>
          <w:kern w:val="44"/>
        </w:rPr>
      </w:pPr>
      <w:r>
        <w:rPr>
          <w:rFonts w:hint="eastAsia" w:ascii="宋体" w:hAnsi="宋体"/>
          <w:kern w:val="44"/>
        </w:rPr>
        <w:t>（二）鉴定结论存在严重错误的；</w:t>
      </w:r>
    </w:p>
    <w:p w14:paraId="705AA8BA">
      <w:pPr>
        <w:jc w:val="left"/>
        <w:rPr>
          <w:rFonts w:ascii="宋体" w:hAnsi="宋体"/>
          <w:kern w:val="44"/>
        </w:rPr>
      </w:pPr>
      <w:r>
        <w:rPr>
          <w:rFonts w:hint="eastAsia" w:ascii="宋体" w:hAnsi="宋体"/>
          <w:kern w:val="44"/>
        </w:rPr>
        <w:t>（三）未及时将危险房屋鉴定结论通知委托人导致责任人未及时履责发生事故的。</w:t>
      </w:r>
    </w:p>
    <w:p w14:paraId="3A5B6651">
      <w:pPr>
        <w:ind w:firstLine="422"/>
        <w:jc w:val="left"/>
        <w:rPr>
          <w:rFonts w:ascii="宋体" w:hAnsi="宋体"/>
          <w:kern w:val="44"/>
        </w:rPr>
      </w:pPr>
      <w:r>
        <w:rPr>
          <w:rFonts w:hint="eastAsia" w:ascii="宋体" w:hAnsi="宋体"/>
          <w:b/>
          <w:kern w:val="44"/>
        </w:rPr>
        <w:t>第三十二条</w:t>
      </w:r>
      <w:r>
        <w:rPr>
          <w:rFonts w:hint="eastAsia" w:ascii="宋体" w:hAnsi="宋体"/>
          <w:kern w:val="44"/>
        </w:rPr>
        <w:t>　违反本办法第二十六条规定，人员密集的公共建筑的所有权人未按照规定进行安全评估、安全鉴定、抗震鉴定或者未按照鉴定报告的处理建议及时治理的，由住房城乡建设行政主管部门责令限期改正；拒不改正的，处10万元以下罚款。</w:t>
      </w:r>
    </w:p>
    <w:p w14:paraId="69357EA6">
      <w:pPr>
        <w:jc w:val="left"/>
        <w:rPr>
          <w:rFonts w:ascii="宋体" w:hAnsi="宋体"/>
          <w:kern w:val="44"/>
        </w:rPr>
      </w:pPr>
      <w:r>
        <w:rPr>
          <w:rFonts w:hint="eastAsia" w:ascii="宋体" w:hAnsi="宋体"/>
          <w:kern w:val="44"/>
        </w:rPr>
        <w:t>人员密集的公共建筑经鉴定为危险房屋，生产经营单位以其为经营场所，不具备安全生产条件的，负有安全生产监督管理职责的部门应当按照《北京市安全生产条例》的规定，责令限期改正，逾期未改正的，责令停产停业整顿，经停产停业整顿仍不符合安全生产条件的，予以关闭。</w:t>
      </w:r>
    </w:p>
    <w:p w14:paraId="7754D41C">
      <w:pPr>
        <w:ind w:firstLine="422"/>
        <w:jc w:val="left"/>
        <w:rPr>
          <w:rFonts w:ascii="宋体" w:hAnsi="宋体"/>
          <w:kern w:val="44"/>
        </w:rPr>
      </w:pPr>
      <w:r>
        <w:rPr>
          <w:rFonts w:hint="eastAsia" w:ascii="宋体" w:hAnsi="宋体"/>
          <w:b/>
          <w:kern w:val="44"/>
        </w:rPr>
        <w:t>第三十三条</w:t>
      </w:r>
      <w:r>
        <w:rPr>
          <w:rFonts w:hint="eastAsia" w:ascii="宋体" w:hAnsi="宋体"/>
          <w:kern w:val="44"/>
        </w:rPr>
        <w:t>　阻碍国家机关工作人员依法履行房屋建筑使用安全监管职责，违反《中华人民共和国治安管理处罚法》的，由公安机关给予治安处罚；构成犯罪的，依法追究刑事责任。</w:t>
      </w:r>
    </w:p>
    <w:p w14:paraId="18E40DE1">
      <w:pPr>
        <w:ind w:firstLine="422"/>
        <w:jc w:val="left"/>
        <w:rPr>
          <w:rFonts w:ascii="宋体" w:hAnsi="宋体"/>
          <w:kern w:val="44"/>
        </w:rPr>
      </w:pPr>
      <w:r>
        <w:rPr>
          <w:rFonts w:hint="eastAsia" w:ascii="宋体" w:hAnsi="宋体"/>
          <w:b/>
          <w:kern w:val="44"/>
        </w:rPr>
        <w:t>第三十四条</w:t>
      </w:r>
      <w:r>
        <w:rPr>
          <w:rFonts w:hint="eastAsia" w:ascii="宋体" w:hAnsi="宋体"/>
          <w:kern w:val="44"/>
        </w:rPr>
        <w:t>　房屋建筑所有权人下落不明或者权属不明的，本办法规定的房屋建筑所有权人责任由实际占有人承担。</w:t>
      </w:r>
    </w:p>
    <w:p w14:paraId="6D2EC03F">
      <w:pPr>
        <w:ind w:firstLine="422"/>
        <w:jc w:val="left"/>
        <w:rPr>
          <w:rFonts w:ascii="宋体" w:hAnsi="宋体"/>
          <w:kern w:val="44"/>
        </w:rPr>
      </w:pPr>
      <w:r>
        <w:rPr>
          <w:rFonts w:hint="eastAsia" w:ascii="宋体" w:hAnsi="宋体"/>
          <w:b/>
          <w:kern w:val="44"/>
        </w:rPr>
        <w:t>第三十五条</w:t>
      </w:r>
      <w:r>
        <w:rPr>
          <w:rFonts w:hint="eastAsia" w:ascii="宋体" w:hAnsi="宋体"/>
          <w:kern w:val="44"/>
        </w:rPr>
        <w:t>　农村村民自建住宅的使用安全管理由区县人民政府参照本办法制定具体办法；市住房城乡建设、规划、农村工作等行政主管部门负责对农村村民自建住宅的监督管理工作进行指导。</w:t>
      </w:r>
    </w:p>
    <w:p w14:paraId="16171EA1">
      <w:pPr>
        <w:ind w:firstLine="422"/>
        <w:jc w:val="left"/>
        <w:rPr>
          <w:rFonts w:ascii="宋体" w:hAnsi="宋体"/>
          <w:kern w:val="44"/>
        </w:rPr>
      </w:pPr>
      <w:r>
        <w:rPr>
          <w:rFonts w:hint="eastAsia" w:ascii="宋体" w:hAnsi="宋体"/>
          <w:b/>
          <w:kern w:val="44"/>
        </w:rPr>
        <w:t>第三十六条</w:t>
      </w:r>
      <w:r>
        <w:rPr>
          <w:rFonts w:hint="eastAsia" w:ascii="宋体" w:hAnsi="宋体"/>
          <w:kern w:val="44"/>
        </w:rPr>
        <w:t>　本办法自2011年5月1日起施行。1991年1月5日北京市人民政府批准，1991年3月9日原北京市房地产管理局发布，根据2004年6月1日北京市人民政府第150号令修改的《北京市实施〈城市危险房屋管理规定〉的若干规定》同时废止。</w:t>
      </w:r>
    </w:p>
    <w:p w14:paraId="0E1848EA">
      <w:pPr>
        <w:pStyle w:val="4"/>
        <w:pageBreakBefore/>
        <w:rPr>
          <w:kern w:val="44"/>
        </w:rPr>
      </w:pPr>
      <w:bookmarkStart w:id="937" w:name="_Toc427651545"/>
      <w:bookmarkStart w:id="938" w:name="_Toc428780111"/>
      <w:bookmarkStart w:id="939" w:name="_Toc427651887"/>
      <w:bookmarkStart w:id="940" w:name="_Toc428781593"/>
      <w:bookmarkStart w:id="941" w:name="_Toc422471253"/>
      <w:r>
        <w:rPr>
          <w:rFonts w:hint="eastAsia"/>
          <w:kern w:val="44"/>
        </w:rPr>
        <w:t>北京市建设工程施工</w:t>
      </w:r>
      <w:bookmarkEnd w:id="937"/>
      <w:bookmarkEnd w:id="938"/>
      <w:bookmarkEnd w:id="939"/>
      <w:bookmarkEnd w:id="940"/>
      <w:bookmarkEnd w:id="941"/>
    </w:p>
    <w:p w14:paraId="125D5567">
      <w:pPr>
        <w:pStyle w:val="4"/>
        <w:rPr>
          <w:kern w:val="44"/>
        </w:rPr>
      </w:pPr>
      <w:bookmarkStart w:id="942" w:name="_Toc427651546"/>
      <w:bookmarkStart w:id="943" w:name="_Toc422471254"/>
      <w:bookmarkStart w:id="944" w:name="_Toc428780112"/>
      <w:bookmarkStart w:id="945" w:name="_Toc427651888"/>
      <w:bookmarkStart w:id="946" w:name="_Toc428781594"/>
      <w:r>
        <w:rPr>
          <w:rFonts w:hint="eastAsia"/>
          <w:kern w:val="44"/>
        </w:rPr>
        <w:t>现场管理办法</w:t>
      </w:r>
      <w:bookmarkEnd w:id="942"/>
      <w:bookmarkEnd w:id="943"/>
      <w:bookmarkEnd w:id="944"/>
      <w:bookmarkEnd w:id="945"/>
      <w:bookmarkEnd w:id="946"/>
    </w:p>
    <w:p w14:paraId="7B321F93">
      <w:pPr>
        <w:ind w:left="630" w:leftChars="300" w:right="630" w:rightChars="300"/>
        <w:jc w:val="left"/>
        <w:rPr>
          <w:rFonts w:ascii="楷体" w:hAnsi="楷体" w:eastAsia="楷体"/>
          <w:kern w:val="44"/>
        </w:rPr>
      </w:pPr>
      <w:r>
        <w:rPr>
          <w:rFonts w:hint="eastAsia" w:ascii="楷体" w:hAnsi="楷体" w:eastAsia="楷体"/>
          <w:kern w:val="44"/>
        </w:rPr>
        <w:t>（2013年4月11日北京市人民政府第6次常务会议审议通过  2013年5月7日北京市人民政府令第247号发布）</w:t>
      </w:r>
    </w:p>
    <w:p w14:paraId="0F688CB2">
      <w:pPr>
        <w:jc w:val="left"/>
        <w:rPr>
          <w:rFonts w:ascii="宋体" w:hAnsi="宋体"/>
          <w:kern w:val="44"/>
        </w:rPr>
      </w:pPr>
    </w:p>
    <w:p w14:paraId="4BF69EB4">
      <w:pPr>
        <w:ind w:firstLine="0" w:firstLineChars="0"/>
        <w:jc w:val="center"/>
        <w:rPr>
          <w:rFonts w:ascii="宋体" w:hAnsi="宋体"/>
          <w:b/>
          <w:kern w:val="44"/>
          <w:sz w:val="28"/>
        </w:rPr>
      </w:pPr>
      <w:r>
        <w:rPr>
          <w:rFonts w:hint="eastAsia" w:ascii="宋体" w:hAnsi="宋体"/>
          <w:b/>
          <w:kern w:val="44"/>
          <w:sz w:val="28"/>
        </w:rPr>
        <w:t>第一章　总　则</w:t>
      </w:r>
    </w:p>
    <w:p w14:paraId="0A305BE3">
      <w:pPr>
        <w:jc w:val="left"/>
        <w:rPr>
          <w:rFonts w:ascii="宋体" w:hAnsi="宋体"/>
          <w:kern w:val="44"/>
        </w:rPr>
      </w:pPr>
    </w:p>
    <w:p w14:paraId="41CD3EB9">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为加强建设工程施工现场管理，保障安全生产和绿色施工，依据《建设工程安全生产管理条例》以及有关法律、法规，结合本市实际情况，制定本办法。</w:t>
      </w:r>
    </w:p>
    <w:p w14:paraId="78FF8A9E">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在本市行政区域内的建设工程施工现场（以下简称“施工现场”）进行施工活动以及对施工活动的管理，适用本办法。</w:t>
      </w:r>
    </w:p>
    <w:p w14:paraId="3F12EF58">
      <w:pPr>
        <w:jc w:val="left"/>
        <w:rPr>
          <w:rFonts w:ascii="宋体" w:hAnsi="宋体"/>
          <w:kern w:val="44"/>
        </w:rPr>
      </w:pPr>
      <w:r>
        <w:rPr>
          <w:rFonts w:hint="eastAsia" w:ascii="宋体" w:hAnsi="宋体"/>
          <w:kern w:val="44"/>
        </w:rPr>
        <w:t>本办法所称施工活动包括房屋建筑和市政基础设施工程的新建、改建、扩建和拆除活动，抢险救灾工程除外。</w:t>
      </w:r>
    </w:p>
    <w:p w14:paraId="55F862D3">
      <w:pPr>
        <w:jc w:val="left"/>
        <w:rPr>
          <w:rFonts w:ascii="宋体" w:hAnsi="宋体"/>
          <w:kern w:val="44"/>
        </w:rPr>
      </w:pPr>
      <w:r>
        <w:rPr>
          <w:rFonts w:hint="eastAsia" w:ascii="宋体" w:hAnsi="宋体"/>
          <w:kern w:val="44"/>
        </w:rPr>
        <w:t>水利、铁路、公路、园林绿化、电信等专业工程的施工活动，法律、法规另有规定的，从其规定。</w:t>
      </w:r>
    </w:p>
    <w:p w14:paraId="235B2E47">
      <w:pPr>
        <w:ind w:firstLine="422"/>
        <w:jc w:val="left"/>
        <w:rPr>
          <w:rFonts w:ascii="宋体" w:hAnsi="宋体"/>
          <w:kern w:val="44"/>
        </w:rPr>
      </w:pPr>
      <w:r>
        <w:rPr>
          <w:rFonts w:hint="eastAsia" w:ascii="宋体" w:hAnsi="宋体"/>
          <w:b/>
          <w:kern w:val="44"/>
        </w:rPr>
        <w:t>第三条</w:t>
      </w:r>
      <w:r>
        <w:rPr>
          <w:rFonts w:hint="eastAsia" w:ascii="宋体" w:hAnsi="宋体"/>
          <w:kern w:val="44"/>
        </w:rPr>
        <w:t>　市建设行政主管部门负责本市施工现场监督管理工作，区县建设行政主管部门负责本辖区内施工现场监督管理工作。</w:t>
      </w:r>
    </w:p>
    <w:p w14:paraId="049C059F">
      <w:pPr>
        <w:jc w:val="left"/>
        <w:rPr>
          <w:rFonts w:ascii="宋体" w:hAnsi="宋体"/>
          <w:kern w:val="44"/>
        </w:rPr>
      </w:pPr>
      <w:r>
        <w:rPr>
          <w:rFonts w:hint="eastAsia" w:ascii="宋体" w:hAnsi="宋体"/>
          <w:kern w:val="44"/>
        </w:rPr>
        <w:t>城市管理综合执法部门负责有关施工现场扬尘污染、施工噪声污染行政执法工作。</w:t>
      </w:r>
    </w:p>
    <w:p w14:paraId="31D1DB17">
      <w:pPr>
        <w:jc w:val="left"/>
        <w:rPr>
          <w:rFonts w:ascii="宋体" w:hAnsi="宋体"/>
          <w:kern w:val="44"/>
        </w:rPr>
      </w:pPr>
      <w:r>
        <w:rPr>
          <w:rFonts w:hint="eastAsia" w:ascii="宋体" w:hAnsi="宋体"/>
          <w:kern w:val="44"/>
        </w:rPr>
        <w:t>规划、交通、市政市容、公安、安全生产、环境保护、质量监督、水务等部门按照各自职责对施工现场进行监督管理。</w:t>
      </w:r>
    </w:p>
    <w:p w14:paraId="7669CBC1">
      <w:pPr>
        <w:ind w:firstLine="422"/>
        <w:jc w:val="left"/>
        <w:rPr>
          <w:rFonts w:ascii="宋体" w:hAnsi="宋体"/>
          <w:kern w:val="44"/>
        </w:rPr>
      </w:pPr>
      <w:r>
        <w:rPr>
          <w:rFonts w:hint="eastAsia" w:ascii="宋体" w:hAnsi="宋体"/>
          <w:b/>
          <w:kern w:val="44"/>
        </w:rPr>
        <w:t>第四条</w:t>
      </w:r>
      <w:r>
        <w:rPr>
          <w:rFonts w:hint="eastAsia" w:ascii="宋体" w:hAnsi="宋体"/>
          <w:kern w:val="44"/>
        </w:rPr>
        <w:t>　农民自建低层住宅施工活动的监督管理由乡镇人民政府、街道办事处参照本办法进行管理，建设行政主管部门负责对农民自建低层住宅施工活动的技术指导工作。</w:t>
      </w:r>
    </w:p>
    <w:p w14:paraId="79D30334">
      <w:pPr>
        <w:ind w:firstLine="422"/>
        <w:jc w:val="left"/>
        <w:rPr>
          <w:rFonts w:ascii="宋体" w:hAnsi="宋体"/>
          <w:kern w:val="44"/>
        </w:rPr>
      </w:pPr>
      <w:r>
        <w:rPr>
          <w:rFonts w:hint="eastAsia" w:ascii="宋体" w:hAnsi="宋体"/>
          <w:b/>
          <w:kern w:val="44"/>
        </w:rPr>
        <w:t>第五条</w:t>
      </w:r>
      <w:r>
        <w:rPr>
          <w:rFonts w:hint="eastAsia" w:ascii="宋体" w:hAnsi="宋体"/>
          <w:kern w:val="44"/>
        </w:rPr>
        <w:t>　建设行政主管部门及相关部门应当加强对施工现场的监督管理工作，建立施工现场监督检查工作制度，组织开展绿色安全工地创建活动。</w:t>
      </w:r>
    </w:p>
    <w:p w14:paraId="5D8E5E3F">
      <w:pPr>
        <w:jc w:val="left"/>
        <w:rPr>
          <w:rFonts w:ascii="宋体" w:hAnsi="宋体"/>
          <w:kern w:val="44"/>
        </w:rPr>
      </w:pPr>
      <w:r>
        <w:rPr>
          <w:rFonts w:hint="eastAsia" w:ascii="宋体" w:hAnsi="宋体"/>
          <w:kern w:val="44"/>
        </w:rPr>
        <w:t>建设单位、施工单位、监理单位应当根据施工现场管理要求，按照各方主体责任，做好施工现场管理工作。</w:t>
      </w:r>
    </w:p>
    <w:p w14:paraId="1EFA5DEC">
      <w:pPr>
        <w:ind w:firstLine="422"/>
        <w:jc w:val="left"/>
        <w:rPr>
          <w:rFonts w:ascii="宋体" w:hAnsi="宋体"/>
          <w:kern w:val="44"/>
        </w:rPr>
      </w:pPr>
      <w:r>
        <w:rPr>
          <w:rFonts w:hint="eastAsia" w:ascii="宋体" w:hAnsi="宋体"/>
          <w:b/>
          <w:kern w:val="44"/>
        </w:rPr>
        <w:t>第六条</w:t>
      </w:r>
      <w:r>
        <w:rPr>
          <w:rFonts w:hint="eastAsia" w:ascii="宋体" w:hAnsi="宋体"/>
          <w:kern w:val="44"/>
        </w:rPr>
        <w:t>　任何单位和个人都有权举报施工现场违法行为。建设行政主管部门及相关部门应当建立举报制度，并根据职责对举报及时调查、处理。</w:t>
      </w:r>
    </w:p>
    <w:p w14:paraId="5716515B">
      <w:pPr>
        <w:jc w:val="left"/>
        <w:rPr>
          <w:rFonts w:ascii="宋体" w:hAnsi="宋体"/>
          <w:kern w:val="44"/>
        </w:rPr>
      </w:pPr>
    </w:p>
    <w:p w14:paraId="093D8783">
      <w:pPr>
        <w:ind w:firstLine="0" w:firstLineChars="0"/>
        <w:jc w:val="center"/>
        <w:rPr>
          <w:rFonts w:ascii="宋体" w:hAnsi="宋体"/>
          <w:b/>
          <w:kern w:val="44"/>
          <w:sz w:val="28"/>
        </w:rPr>
      </w:pPr>
      <w:r>
        <w:rPr>
          <w:rFonts w:hint="eastAsia" w:ascii="宋体" w:hAnsi="宋体"/>
          <w:b/>
          <w:kern w:val="44"/>
          <w:sz w:val="28"/>
        </w:rPr>
        <w:t>第二章　安全施工</w:t>
      </w:r>
    </w:p>
    <w:p w14:paraId="516F6CAE">
      <w:pPr>
        <w:jc w:val="left"/>
        <w:rPr>
          <w:rFonts w:ascii="宋体" w:hAnsi="宋体"/>
          <w:kern w:val="44"/>
        </w:rPr>
      </w:pPr>
    </w:p>
    <w:p w14:paraId="117B6052">
      <w:pPr>
        <w:ind w:firstLine="422"/>
        <w:jc w:val="left"/>
        <w:rPr>
          <w:rFonts w:ascii="宋体" w:hAnsi="宋体"/>
          <w:kern w:val="44"/>
        </w:rPr>
      </w:pPr>
      <w:r>
        <w:rPr>
          <w:rFonts w:hint="eastAsia" w:ascii="宋体" w:hAnsi="宋体"/>
          <w:b/>
          <w:kern w:val="44"/>
        </w:rPr>
        <w:t>第七条</w:t>
      </w:r>
      <w:r>
        <w:rPr>
          <w:rFonts w:hint="eastAsia" w:ascii="宋体" w:hAnsi="宋体"/>
          <w:kern w:val="44"/>
        </w:rPr>
        <w:t>　施工现场安全管理应当坚持安全第一、预防为主，建设单位、施工单位、监理单位应当建立健全安全生产责任制，加强施工现场安全管理，消除事故隐患，防止伤亡和其他事故发生。</w:t>
      </w:r>
    </w:p>
    <w:p w14:paraId="11F9C3DB">
      <w:pPr>
        <w:ind w:firstLine="422"/>
        <w:jc w:val="left"/>
        <w:rPr>
          <w:rFonts w:ascii="宋体" w:hAnsi="宋体"/>
          <w:kern w:val="44"/>
        </w:rPr>
      </w:pPr>
      <w:r>
        <w:rPr>
          <w:rFonts w:hint="eastAsia" w:ascii="宋体" w:hAnsi="宋体"/>
          <w:b/>
          <w:kern w:val="44"/>
        </w:rPr>
        <w:t>第八条</w:t>
      </w:r>
      <w:r>
        <w:rPr>
          <w:rFonts w:hint="eastAsia" w:ascii="宋体" w:hAnsi="宋体"/>
          <w:kern w:val="44"/>
        </w:rPr>
        <w:t>　建设单位应当加强施工现场管理，履行下列责任：</w:t>
      </w:r>
    </w:p>
    <w:p w14:paraId="28D39427">
      <w:pPr>
        <w:jc w:val="left"/>
        <w:rPr>
          <w:rFonts w:ascii="宋体" w:hAnsi="宋体"/>
          <w:kern w:val="44"/>
        </w:rPr>
      </w:pPr>
      <w:r>
        <w:rPr>
          <w:rFonts w:hint="eastAsia" w:ascii="宋体" w:hAnsi="宋体"/>
          <w:kern w:val="44"/>
        </w:rPr>
        <w:t>（一）依法选定施工单位和监理单位；</w:t>
      </w:r>
    </w:p>
    <w:p w14:paraId="27A89995">
      <w:pPr>
        <w:jc w:val="left"/>
        <w:rPr>
          <w:rFonts w:ascii="宋体" w:hAnsi="宋体"/>
          <w:kern w:val="44"/>
        </w:rPr>
      </w:pPr>
      <w:r>
        <w:rPr>
          <w:rFonts w:hint="eastAsia" w:ascii="宋体" w:hAnsi="宋体"/>
          <w:kern w:val="44"/>
        </w:rPr>
        <w:t>（二）组织协调建设工程参建各方的施工现场管理工作；</w:t>
      </w:r>
    </w:p>
    <w:p w14:paraId="55A277C5">
      <w:pPr>
        <w:jc w:val="left"/>
        <w:rPr>
          <w:rFonts w:ascii="宋体" w:hAnsi="宋体"/>
          <w:kern w:val="44"/>
        </w:rPr>
      </w:pPr>
      <w:r>
        <w:rPr>
          <w:rFonts w:hint="eastAsia" w:ascii="宋体" w:hAnsi="宋体"/>
          <w:kern w:val="44"/>
        </w:rPr>
        <w:t>（三）设立专门安全管理机构；</w:t>
      </w:r>
    </w:p>
    <w:p w14:paraId="6BB87A57">
      <w:pPr>
        <w:jc w:val="left"/>
        <w:rPr>
          <w:rFonts w:ascii="宋体" w:hAnsi="宋体"/>
          <w:kern w:val="44"/>
        </w:rPr>
      </w:pPr>
      <w:r>
        <w:rPr>
          <w:rFonts w:hint="eastAsia" w:ascii="宋体" w:hAnsi="宋体"/>
          <w:kern w:val="44"/>
        </w:rPr>
        <w:t>（四）按照国家有关规定及时支付安全防护、文明施工措施费，并督促施工单位落实安全防护和绿色施工措施。</w:t>
      </w:r>
    </w:p>
    <w:p w14:paraId="2E2FDB1E">
      <w:pPr>
        <w:ind w:firstLine="422"/>
        <w:jc w:val="left"/>
        <w:rPr>
          <w:rFonts w:ascii="宋体" w:hAnsi="宋体"/>
          <w:kern w:val="44"/>
        </w:rPr>
      </w:pPr>
      <w:r>
        <w:rPr>
          <w:rFonts w:hint="eastAsia" w:ascii="宋体" w:hAnsi="宋体"/>
          <w:b/>
          <w:kern w:val="44"/>
        </w:rPr>
        <w:t>第九条</w:t>
      </w:r>
      <w:r>
        <w:rPr>
          <w:rFonts w:hint="eastAsia" w:ascii="宋体" w:hAnsi="宋体"/>
          <w:kern w:val="44"/>
        </w:rPr>
        <w:t>　施工现场的安全管理由施工单位负责。建设工程实行总承包和分包的，由总承包单位负责对施工现场统一管理，分包单位负责分包范围内的施工现场管理。建设单位直接发包的专业工程，专业承包单位应当接受总承包单位的现场管理，建设单位、专业承包单位和总承包单位应当签订施工现场管理协议，明确各方责任。</w:t>
      </w:r>
    </w:p>
    <w:p w14:paraId="02D1706D">
      <w:pPr>
        <w:jc w:val="left"/>
        <w:rPr>
          <w:rFonts w:ascii="宋体" w:hAnsi="宋体"/>
          <w:kern w:val="44"/>
        </w:rPr>
      </w:pPr>
      <w:r>
        <w:rPr>
          <w:rFonts w:hint="eastAsia" w:ascii="宋体" w:hAnsi="宋体"/>
          <w:kern w:val="44"/>
        </w:rPr>
        <w:t>因总承包单位违章指挥造成事故的，由总承包单位负责；分包单位或者专业承包单位不服从总承包单位管理造成事故的，由分包单位或者专业承包单位承担主要责任。</w:t>
      </w:r>
    </w:p>
    <w:p w14:paraId="56E0A445">
      <w:pPr>
        <w:ind w:firstLine="422"/>
        <w:jc w:val="left"/>
        <w:rPr>
          <w:rFonts w:ascii="宋体" w:hAnsi="宋体"/>
          <w:kern w:val="44"/>
        </w:rPr>
      </w:pPr>
      <w:r>
        <w:rPr>
          <w:rFonts w:hint="eastAsia" w:ascii="宋体" w:hAnsi="宋体"/>
          <w:b/>
          <w:kern w:val="44"/>
        </w:rPr>
        <w:t>第十条</w:t>
      </w:r>
      <w:r>
        <w:rPr>
          <w:rFonts w:hint="eastAsia" w:ascii="宋体" w:hAnsi="宋体"/>
          <w:kern w:val="44"/>
        </w:rPr>
        <w:t>　施工单位的主要负责人全面负责施工单位安全生产。施工单位的项目负责人负责施工现场的安全生产，履行现场管理职责。</w:t>
      </w:r>
    </w:p>
    <w:p w14:paraId="3629CA12">
      <w:pPr>
        <w:jc w:val="left"/>
        <w:rPr>
          <w:rFonts w:ascii="宋体" w:hAnsi="宋体"/>
          <w:kern w:val="44"/>
        </w:rPr>
      </w:pPr>
      <w:r>
        <w:rPr>
          <w:rFonts w:hint="eastAsia" w:ascii="宋体" w:hAnsi="宋体"/>
          <w:kern w:val="44"/>
        </w:rPr>
        <w:t>施工单位应当根据规定在施工现场设置安全生产管理机构或者配备专职安全生产管理人员。</w:t>
      </w:r>
    </w:p>
    <w:p w14:paraId="6E526541">
      <w:pPr>
        <w:ind w:firstLine="422"/>
        <w:jc w:val="left"/>
        <w:rPr>
          <w:rFonts w:ascii="宋体" w:hAnsi="宋体"/>
          <w:kern w:val="44"/>
        </w:rPr>
      </w:pPr>
      <w:r>
        <w:rPr>
          <w:rFonts w:hint="eastAsia" w:ascii="宋体" w:hAnsi="宋体"/>
          <w:b/>
          <w:kern w:val="44"/>
        </w:rPr>
        <w:t>第十一条</w:t>
      </w:r>
      <w:r>
        <w:rPr>
          <w:rFonts w:hint="eastAsia" w:ascii="宋体" w:hAnsi="宋体"/>
          <w:kern w:val="44"/>
        </w:rPr>
        <w:t>　监理单位应当按照规定在施工现场配备与工程相适应并具备安全管理知识和能力的安全监理人员。</w:t>
      </w:r>
    </w:p>
    <w:p w14:paraId="49D9ADB5">
      <w:pPr>
        <w:jc w:val="left"/>
        <w:rPr>
          <w:rFonts w:ascii="宋体" w:hAnsi="宋体"/>
          <w:kern w:val="44"/>
        </w:rPr>
      </w:pPr>
      <w:r>
        <w:rPr>
          <w:rFonts w:hint="eastAsia" w:ascii="宋体" w:hAnsi="宋体"/>
          <w:kern w:val="44"/>
        </w:rPr>
        <w:t>监理单位应当核验施工单位资质、安全生产许可证和特种作业人员上岗资格证书等，并依法审核施工组织设计中的安全技术措施和专项施工方案。</w:t>
      </w:r>
    </w:p>
    <w:p w14:paraId="5BC98AEC">
      <w:pPr>
        <w:ind w:firstLine="422"/>
        <w:jc w:val="left"/>
        <w:rPr>
          <w:rFonts w:ascii="宋体" w:hAnsi="宋体"/>
          <w:kern w:val="44"/>
        </w:rPr>
      </w:pPr>
      <w:r>
        <w:rPr>
          <w:rFonts w:hint="eastAsia" w:ascii="宋体" w:hAnsi="宋体"/>
          <w:b/>
          <w:kern w:val="44"/>
        </w:rPr>
        <w:t>第十二条</w:t>
      </w:r>
      <w:r>
        <w:rPr>
          <w:rFonts w:hint="eastAsia" w:ascii="宋体" w:hAnsi="宋体"/>
          <w:kern w:val="44"/>
        </w:rPr>
        <w:t>　进入施工现场的管理人员和施工作业人员应当达到岗位管理和技能操作的要求，按照规定持证上岗，并应当经过安全生产培训，未经培训的，不得上岗作业。</w:t>
      </w:r>
    </w:p>
    <w:p w14:paraId="4689CBF6">
      <w:pPr>
        <w:ind w:firstLine="422"/>
        <w:jc w:val="left"/>
        <w:rPr>
          <w:rFonts w:ascii="宋体" w:hAnsi="宋体"/>
          <w:kern w:val="44"/>
        </w:rPr>
      </w:pPr>
      <w:r>
        <w:rPr>
          <w:rFonts w:hint="eastAsia" w:ascii="宋体" w:hAnsi="宋体"/>
          <w:b/>
          <w:kern w:val="44"/>
        </w:rPr>
        <w:t>第十三条</w:t>
      </w:r>
      <w:r>
        <w:rPr>
          <w:rFonts w:hint="eastAsia" w:ascii="宋体" w:hAnsi="宋体"/>
          <w:kern w:val="44"/>
        </w:rPr>
        <w:t>　施工单位应当严格按照建筑业安全作业规程和标准、施工方案以及设计要求进行施工，并按照本市有关施工现场消防安全管理的规定，建立健全用火用电管理制度。</w:t>
      </w:r>
    </w:p>
    <w:p w14:paraId="6FD27B2E">
      <w:pPr>
        <w:jc w:val="left"/>
        <w:rPr>
          <w:rFonts w:ascii="宋体" w:hAnsi="宋体"/>
          <w:kern w:val="44"/>
        </w:rPr>
      </w:pPr>
      <w:r>
        <w:rPr>
          <w:rFonts w:hint="eastAsia" w:ascii="宋体" w:hAnsi="宋体"/>
          <w:kern w:val="44"/>
        </w:rPr>
        <w:t>施工中需要高处作业和动火作业的，施工单位应当按照本市规定和国家标准进行，出现五级以上风力时，应当停止作业。</w:t>
      </w:r>
    </w:p>
    <w:p w14:paraId="12D9A999">
      <w:pPr>
        <w:ind w:firstLine="422"/>
        <w:jc w:val="left"/>
        <w:rPr>
          <w:rFonts w:ascii="宋体" w:hAnsi="宋体"/>
          <w:kern w:val="44"/>
        </w:rPr>
      </w:pPr>
      <w:r>
        <w:rPr>
          <w:rFonts w:hint="eastAsia" w:ascii="宋体" w:hAnsi="宋体"/>
          <w:b/>
          <w:kern w:val="44"/>
        </w:rPr>
        <w:t>第十四条</w:t>
      </w:r>
      <w:r>
        <w:rPr>
          <w:rFonts w:hint="eastAsia" w:ascii="宋体" w:hAnsi="宋体"/>
          <w:kern w:val="44"/>
        </w:rPr>
        <w:t>　施工单位应当建立施工现场安全生产、环境保护等管理制度，在施工现场公示，并应当制定应急预案，定期组织应急演练。</w:t>
      </w:r>
    </w:p>
    <w:p w14:paraId="6CB9ED65">
      <w:pPr>
        <w:ind w:firstLine="422"/>
        <w:jc w:val="left"/>
        <w:rPr>
          <w:rFonts w:ascii="宋体" w:hAnsi="宋体"/>
          <w:kern w:val="44"/>
        </w:rPr>
      </w:pPr>
      <w:r>
        <w:rPr>
          <w:rFonts w:hint="eastAsia" w:ascii="宋体" w:hAnsi="宋体"/>
          <w:b/>
          <w:kern w:val="44"/>
        </w:rPr>
        <w:t>第十五条</w:t>
      </w:r>
      <w:r>
        <w:rPr>
          <w:rFonts w:hint="eastAsia" w:ascii="宋体" w:hAnsi="宋体"/>
          <w:kern w:val="44"/>
        </w:rPr>
        <w:t>　施工单位应当按照规定编制施工组织设计文件，并按照施工组织设计文件进行施工。施工组织设计文件应当包括安全生产和绿色施工现场管理措施。</w:t>
      </w:r>
    </w:p>
    <w:p w14:paraId="489BC7CD">
      <w:pPr>
        <w:jc w:val="left"/>
        <w:rPr>
          <w:rFonts w:ascii="宋体" w:hAnsi="宋体"/>
          <w:kern w:val="44"/>
        </w:rPr>
      </w:pPr>
      <w:r>
        <w:rPr>
          <w:rFonts w:hint="eastAsia" w:ascii="宋体" w:hAnsi="宋体"/>
          <w:kern w:val="44"/>
        </w:rPr>
        <w:t>施工单位应当编制拆除施工方案，并按照拆除施工方案进行施工。</w:t>
      </w:r>
    </w:p>
    <w:p w14:paraId="39EC5C58">
      <w:pPr>
        <w:ind w:firstLine="422"/>
        <w:jc w:val="left"/>
        <w:rPr>
          <w:rFonts w:ascii="宋体" w:hAnsi="宋体"/>
          <w:kern w:val="44"/>
        </w:rPr>
      </w:pPr>
      <w:r>
        <w:rPr>
          <w:rFonts w:hint="eastAsia" w:ascii="宋体" w:hAnsi="宋体"/>
          <w:b/>
          <w:kern w:val="44"/>
        </w:rPr>
        <w:t>第十六条</w:t>
      </w:r>
      <w:r>
        <w:rPr>
          <w:rFonts w:hint="eastAsia" w:ascii="宋体" w:hAnsi="宋体"/>
          <w:kern w:val="44"/>
        </w:rPr>
        <w:t>　建设单位应当在建设工程施工前向施工单位提供相关的地下管线、相邻建筑物和构筑物、地下工程的有关资料。建设单位因建设工程需要，向有关部门或者单位查询有关资料时，有关部门或者单位应当及时提供。</w:t>
      </w:r>
    </w:p>
    <w:p w14:paraId="0453C1DA">
      <w:pPr>
        <w:jc w:val="left"/>
        <w:rPr>
          <w:rFonts w:ascii="宋体" w:hAnsi="宋体"/>
          <w:kern w:val="44"/>
        </w:rPr>
      </w:pPr>
      <w:r>
        <w:rPr>
          <w:rFonts w:hint="eastAsia" w:ascii="宋体" w:hAnsi="宋体"/>
          <w:kern w:val="44"/>
        </w:rPr>
        <w:t>建设工程施工前，施工单位应当会同地下管线权属单位制定管线专项防护方案，确保地下管线、相邻建筑物和构筑物、地下工程和特殊作业环境的安全。施工中施工单位应当采取相应的地下管线防护措施，仍不能确保管线安全或者施工安全的，建设单位应当会同地下管线权属单位对管线进行改移或者采取其他措施。</w:t>
      </w:r>
    </w:p>
    <w:p w14:paraId="41A14549">
      <w:pPr>
        <w:ind w:firstLine="422"/>
        <w:jc w:val="left"/>
        <w:rPr>
          <w:rFonts w:ascii="宋体" w:hAnsi="宋体"/>
          <w:kern w:val="44"/>
        </w:rPr>
      </w:pPr>
      <w:r>
        <w:rPr>
          <w:rFonts w:hint="eastAsia" w:ascii="宋体" w:hAnsi="宋体"/>
          <w:b/>
          <w:kern w:val="44"/>
        </w:rPr>
        <w:t>第十七条</w:t>
      </w:r>
      <w:r>
        <w:rPr>
          <w:rFonts w:hint="eastAsia" w:ascii="宋体" w:hAnsi="宋体"/>
          <w:kern w:val="44"/>
        </w:rPr>
        <w:t>　危险性较大的分部分项工程施工前，施工单位应当按照规定编制专项施工方案并按照方案组织实施；达到国家规定规模标准的，专项施工方案应当经专家论证。</w:t>
      </w:r>
    </w:p>
    <w:p w14:paraId="3B65A294">
      <w:pPr>
        <w:jc w:val="left"/>
        <w:rPr>
          <w:rFonts w:ascii="宋体" w:hAnsi="宋体"/>
          <w:kern w:val="44"/>
        </w:rPr>
      </w:pPr>
      <w:r>
        <w:rPr>
          <w:rFonts w:hint="eastAsia" w:ascii="宋体" w:hAnsi="宋体"/>
          <w:kern w:val="44"/>
        </w:rPr>
        <w:t>按照规定需要验收的，施工单位应当组织进行验收，验收合格的，方可进入下一道工序。</w:t>
      </w:r>
    </w:p>
    <w:p w14:paraId="423AC4F5">
      <w:pPr>
        <w:ind w:firstLine="422"/>
        <w:jc w:val="left"/>
        <w:rPr>
          <w:rFonts w:ascii="宋体" w:hAnsi="宋体"/>
          <w:kern w:val="44"/>
        </w:rPr>
      </w:pPr>
      <w:r>
        <w:rPr>
          <w:rFonts w:hint="eastAsia" w:ascii="宋体" w:hAnsi="宋体"/>
          <w:b/>
          <w:kern w:val="44"/>
        </w:rPr>
        <w:t>第十八条</w:t>
      </w:r>
      <w:r>
        <w:rPr>
          <w:rFonts w:hint="eastAsia" w:ascii="宋体" w:hAnsi="宋体"/>
          <w:kern w:val="44"/>
        </w:rPr>
        <w:t>　总承包单位负责对进入施工现场的大型施工机械进行统一管理，依法审核相关企业资质、人员资格、检测报告和专项方案。</w:t>
      </w:r>
    </w:p>
    <w:p w14:paraId="649C54F4">
      <w:pPr>
        <w:jc w:val="left"/>
        <w:rPr>
          <w:rFonts w:ascii="宋体" w:hAnsi="宋体"/>
          <w:kern w:val="44"/>
        </w:rPr>
      </w:pPr>
      <w:r>
        <w:rPr>
          <w:rFonts w:hint="eastAsia" w:ascii="宋体" w:hAnsi="宋体"/>
          <w:kern w:val="44"/>
        </w:rPr>
        <w:t>提供大型施工机械的单位应当对进入施工现场的设备做好日常维护保养，按照规定进行检测，每月进行不少于一次的检查，并做好记录。大型施工机械应当按照作业标准和规程要求进行施工作业，任何单位不得违章指挥。</w:t>
      </w:r>
    </w:p>
    <w:p w14:paraId="2335F9B4">
      <w:pPr>
        <w:ind w:firstLine="422"/>
        <w:jc w:val="left"/>
        <w:rPr>
          <w:rFonts w:ascii="宋体" w:hAnsi="宋体"/>
          <w:kern w:val="44"/>
        </w:rPr>
      </w:pPr>
      <w:r>
        <w:rPr>
          <w:rFonts w:hint="eastAsia" w:ascii="宋体" w:hAnsi="宋体"/>
          <w:b/>
          <w:kern w:val="44"/>
        </w:rPr>
        <w:t>第十九条</w:t>
      </w:r>
      <w:r>
        <w:rPr>
          <w:rFonts w:hint="eastAsia" w:ascii="宋体" w:hAnsi="宋体"/>
          <w:kern w:val="44"/>
        </w:rPr>
        <w:t>　建筑起重机械租赁单位应当向市建设行政主管部门进行备案，并提交下列材料：</w:t>
      </w:r>
    </w:p>
    <w:p w14:paraId="6895690E">
      <w:pPr>
        <w:jc w:val="left"/>
        <w:rPr>
          <w:rFonts w:ascii="宋体" w:hAnsi="宋体"/>
          <w:kern w:val="44"/>
        </w:rPr>
      </w:pPr>
      <w:r>
        <w:rPr>
          <w:rFonts w:hint="eastAsia" w:ascii="宋体" w:hAnsi="宋体"/>
          <w:kern w:val="44"/>
        </w:rPr>
        <w:t>（一）营业执照；</w:t>
      </w:r>
    </w:p>
    <w:p w14:paraId="671C3D8D">
      <w:pPr>
        <w:jc w:val="left"/>
        <w:rPr>
          <w:rFonts w:ascii="宋体" w:hAnsi="宋体"/>
          <w:kern w:val="44"/>
        </w:rPr>
      </w:pPr>
      <w:r>
        <w:rPr>
          <w:rFonts w:hint="eastAsia" w:ascii="宋体" w:hAnsi="宋体"/>
          <w:kern w:val="44"/>
        </w:rPr>
        <w:t>（二）建筑起重机械设备登记编号；</w:t>
      </w:r>
    </w:p>
    <w:p w14:paraId="08ADFB6D">
      <w:pPr>
        <w:jc w:val="left"/>
        <w:rPr>
          <w:rFonts w:ascii="宋体" w:hAnsi="宋体"/>
          <w:kern w:val="44"/>
        </w:rPr>
      </w:pPr>
      <w:r>
        <w:rPr>
          <w:rFonts w:hint="eastAsia" w:ascii="宋体" w:hAnsi="宋体"/>
          <w:kern w:val="44"/>
        </w:rPr>
        <w:t>（三）建筑起重机械司机特种作业操作资格证书；</w:t>
      </w:r>
    </w:p>
    <w:p w14:paraId="2AD403DC">
      <w:pPr>
        <w:jc w:val="left"/>
        <w:rPr>
          <w:rFonts w:ascii="宋体" w:hAnsi="宋体"/>
          <w:kern w:val="44"/>
        </w:rPr>
      </w:pPr>
      <w:r>
        <w:rPr>
          <w:rFonts w:hint="eastAsia" w:ascii="宋体" w:hAnsi="宋体"/>
          <w:kern w:val="44"/>
        </w:rPr>
        <w:t>（四）符合作业要求的设备维修、存放场地证明；</w:t>
      </w:r>
    </w:p>
    <w:p w14:paraId="0695706C">
      <w:pPr>
        <w:jc w:val="left"/>
        <w:rPr>
          <w:rFonts w:ascii="宋体" w:hAnsi="宋体"/>
          <w:kern w:val="44"/>
        </w:rPr>
      </w:pPr>
      <w:r>
        <w:rPr>
          <w:rFonts w:hint="eastAsia" w:ascii="宋体" w:hAnsi="宋体"/>
          <w:kern w:val="44"/>
        </w:rPr>
        <w:t>（五）机械设备管理人员情况；</w:t>
      </w:r>
    </w:p>
    <w:p w14:paraId="72656832">
      <w:pPr>
        <w:jc w:val="left"/>
        <w:rPr>
          <w:rFonts w:ascii="宋体" w:hAnsi="宋体"/>
          <w:kern w:val="44"/>
        </w:rPr>
      </w:pPr>
      <w:r>
        <w:rPr>
          <w:rFonts w:hint="eastAsia" w:ascii="宋体" w:hAnsi="宋体"/>
          <w:kern w:val="44"/>
        </w:rPr>
        <w:t>（六）安全生产管理制度和岗位责任制度。</w:t>
      </w:r>
    </w:p>
    <w:p w14:paraId="69723579">
      <w:pPr>
        <w:jc w:val="left"/>
        <w:rPr>
          <w:rFonts w:ascii="宋体" w:hAnsi="宋体"/>
          <w:kern w:val="44"/>
        </w:rPr>
      </w:pPr>
      <w:r>
        <w:rPr>
          <w:rFonts w:hint="eastAsia" w:ascii="宋体" w:hAnsi="宋体"/>
          <w:kern w:val="44"/>
        </w:rPr>
        <w:t>市建设行政主管部门应当建立本市建筑起重机械租赁单位信用信息管理平台，对租赁单位备案情况及其信用信息进行公示，并实行动态管理。</w:t>
      </w:r>
    </w:p>
    <w:p w14:paraId="043DFAD0">
      <w:pPr>
        <w:jc w:val="left"/>
        <w:rPr>
          <w:rFonts w:ascii="宋体" w:hAnsi="宋体"/>
          <w:kern w:val="44"/>
        </w:rPr>
      </w:pPr>
      <w:r>
        <w:rPr>
          <w:rFonts w:hint="eastAsia" w:ascii="宋体" w:hAnsi="宋体"/>
          <w:kern w:val="44"/>
        </w:rPr>
        <w:t>施工单位应当在施工中选择租赁信用良好的租赁单位的建筑起重机械。</w:t>
      </w:r>
    </w:p>
    <w:p w14:paraId="7AB46CD8">
      <w:pPr>
        <w:ind w:firstLine="422"/>
        <w:jc w:val="left"/>
        <w:rPr>
          <w:rFonts w:ascii="宋体" w:hAnsi="宋体"/>
          <w:kern w:val="44"/>
        </w:rPr>
      </w:pPr>
      <w:r>
        <w:rPr>
          <w:rFonts w:hint="eastAsia" w:ascii="宋体" w:hAnsi="宋体"/>
          <w:b/>
          <w:kern w:val="44"/>
        </w:rPr>
        <w:t>第二十条</w:t>
      </w:r>
      <w:r>
        <w:rPr>
          <w:rFonts w:hint="eastAsia" w:ascii="宋体" w:hAnsi="宋体"/>
          <w:kern w:val="44"/>
        </w:rPr>
        <w:t>　施工现场发生事故时，施工单位应当采取紧急措施减少人员伤亡和财产损失，并按照规定及时向有关部门报告。</w:t>
      </w:r>
    </w:p>
    <w:p w14:paraId="07C4769A">
      <w:pPr>
        <w:jc w:val="left"/>
        <w:rPr>
          <w:rFonts w:ascii="宋体" w:hAnsi="宋体"/>
          <w:kern w:val="44"/>
        </w:rPr>
      </w:pPr>
      <w:r>
        <w:rPr>
          <w:rFonts w:hint="eastAsia" w:ascii="宋体" w:hAnsi="宋体"/>
          <w:kern w:val="44"/>
        </w:rPr>
        <w:t>施工现场发现文物、古化石或者爆炸物以及放射性污染源等，施工单位应当保护好现场并按照规定及时向有关部门报告。</w:t>
      </w:r>
    </w:p>
    <w:p w14:paraId="4E289FEE">
      <w:pPr>
        <w:jc w:val="left"/>
        <w:rPr>
          <w:rFonts w:ascii="宋体" w:hAnsi="宋体"/>
          <w:kern w:val="44"/>
        </w:rPr>
      </w:pPr>
    </w:p>
    <w:p w14:paraId="658A1849">
      <w:pPr>
        <w:ind w:firstLine="0" w:firstLineChars="0"/>
        <w:jc w:val="center"/>
        <w:rPr>
          <w:rFonts w:ascii="宋体" w:hAnsi="宋体"/>
          <w:b/>
          <w:kern w:val="44"/>
          <w:sz w:val="28"/>
        </w:rPr>
      </w:pPr>
      <w:r>
        <w:rPr>
          <w:rFonts w:hint="eastAsia" w:ascii="宋体" w:hAnsi="宋体"/>
          <w:b/>
          <w:kern w:val="44"/>
          <w:sz w:val="28"/>
        </w:rPr>
        <w:t>第三章　绿色施工</w:t>
      </w:r>
    </w:p>
    <w:p w14:paraId="3170C75D">
      <w:pPr>
        <w:jc w:val="left"/>
        <w:rPr>
          <w:rFonts w:ascii="宋体" w:hAnsi="宋体"/>
          <w:kern w:val="44"/>
        </w:rPr>
      </w:pPr>
    </w:p>
    <w:p w14:paraId="3C9C7A1E">
      <w:pPr>
        <w:ind w:firstLine="422"/>
        <w:jc w:val="left"/>
        <w:rPr>
          <w:rFonts w:ascii="宋体" w:hAnsi="宋体"/>
          <w:kern w:val="44"/>
        </w:rPr>
      </w:pPr>
      <w:r>
        <w:rPr>
          <w:rFonts w:hint="eastAsia" w:ascii="宋体" w:hAnsi="宋体"/>
          <w:b/>
          <w:kern w:val="44"/>
        </w:rPr>
        <w:t>第二十一条</w:t>
      </w:r>
      <w:r>
        <w:rPr>
          <w:rFonts w:hint="eastAsia" w:ascii="宋体" w:hAnsi="宋体"/>
          <w:kern w:val="44"/>
        </w:rPr>
        <w:t>　施工单位应当按照国家和本市有关绿色施工管理规定，做好节地、节水、节能、节材以及保护环境工作。</w:t>
      </w:r>
    </w:p>
    <w:p w14:paraId="0A590899">
      <w:pPr>
        <w:ind w:firstLine="422"/>
        <w:jc w:val="left"/>
        <w:rPr>
          <w:rFonts w:ascii="宋体" w:hAnsi="宋体"/>
          <w:kern w:val="44"/>
        </w:rPr>
      </w:pPr>
      <w:r>
        <w:rPr>
          <w:rFonts w:hint="eastAsia" w:ascii="宋体" w:hAnsi="宋体"/>
          <w:b/>
          <w:kern w:val="44"/>
        </w:rPr>
        <w:t>第二十二条</w:t>
      </w:r>
      <w:r>
        <w:rPr>
          <w:rFonts w:hint="eastAsia" w:ascii="宋体" w:hAnsi="宋体"/>
          <w:kern w:val="44"/>
        </w:rPr>
        <w:t>　新建、改建、扩建建设项目严格限制施工降水。确需要进行降水的，施工单位应当按照规定组织专家论证审查，取得排水许可，并依法缴纳地下水资源费。</w:t>
      </w:r>
    </w:p>
    <w:p w14:paraId="4F2AC39D">
      <w:pPr>
        <w:ind w:firstLine="422"/>
        <w:jc w:val="left"/>
        <w:rPr>
          <w:rFonts w:ascii="宋体" w:hAnsi="宋体"/>
          <w:kern w:val="44"/>
        </w:rPr>
      </w:pPr>
      <w:r>
        <w:rPr>
          <w:rFonts w:hint="eastAsia" w:ascii="宋体" w:hAnsi="宋体"/>
          <w:b/>
          <w:kern w:val="44"/>
        </w:rPr>
        <w:t>第二十三条</w:t>
      </w:r>
      <w:r>
        <w:rPr>
          <w:rFonts w:hint="eastAsia" w:ascii="宋体" w:hAnsi="宋体"/>
          <w:kern w:val="44"/>
        </w:rPr>
        <w:t>　施工现场应当根据绿色施工规程的要求，采取下列措施：</w:t>
      </w:r>
    </w:p>
    <w:p w14:paraId="741790FE">
      <w:pPr>
        <w:jc w:val="left"/>
        <w:rPr>
          <w:rFonts w:ascii="宋体" w:hAnsi="宋体"/>
          <w:kern w:val="44"/>
        </w:rPr>
      </w:pPr>
      <w:r>
        <w:rPr>
          <w:rFonts w:hint="eastAsia" w:ascii="宋体" w:hAnsi="宋体"/>
          <w:kern w:val="44"/>
        </w:rPr>
        <w:t>（一）建设工程开工前，建设单位应当按照标准在施工现场周边设置围挡，施工单位应当对围挡进行维护。市政基础设施工程因特殊情况不能进行围挡的，应当设置警示标志，并在工程危险部位采取防护措施。</w:t>
      </w:r>
    </w:p>
    <w:p w14:paraId="68FB4900">
      <w:pPr>
        <w:jc w:val="left"/>
        <w:rPr>
          <w:rFonts w:ascii="宋体" w:hAnsi="宋体"/>
          <w:kern w:val="44"/>
        </w:rPr>
      </w:pPr>
      <w:r>
        <w:rPr>
          <w:rFonts w:hint="eastAsia" w:ascii="宋体" w:hAnsi="宋体"/>
          <w:kern w:val="44"/>
        </w:rPr>
        <w:t>（二）施工单位应当对施工现场主要道路和模板存放、料具码放等场地进行硬化，其他场地应当进行覆盖或者绿化；土方应当集中堆放并采取覆盖或者固化等措施。建设单位应当对暂时不开发的空地进行绿化。</w:t>
      </w:r>
    </w:p>
    <w:p w14:paraId="26EB5A06">
      <w:pPr>
        <w:jc w:val="left"/>
        <w:rPr>
          <w:rFonts w:ascii="宋体" w:hAnsi="宋体"/>
          <w:kern w:val="44"/>
        </w:rPr>
      </w:pPr>
      <w:r>
        <w:rPr>
          <w:rFonts w:hint="eastAsia" w:ascii="宋体" w:hAnsi="宋体"/>
          <w:kern w:val="44"/>
        </w:rPr>
        <w:t>（三）施工单位应当做好施工现场洒水降尘工作，拆除工程进行拆除作业时应当同时进行洒水降尘。</w:t>
      </w:r>
    </w:p>
    <w:p w14:paraId="35E9ABF7">
      <w:pPr>
        <w:jc w:val="left"/>
        <w:rPr>
          <w:rFonts w:ascii="宋体" w:hAnsi="宋体"/>
          <w:kern w:val="44"/>
        </w:rPr>
      </w:pPr>
      <w:r>
        <w:rPr>
          <w:rFonts w:hint="eastAsia" w:ascii="宋体" w:hAnsi="宋体"/>
          <w:kern w:val="44"/>
        </w:rPr>
        <w:t>（四）施工单位对可能产生扬尘污染的建筑材料应当在库房存放或者进行严密遮盖；油料存放应当采取防止泄漏和防止污染措施。</w:t>
      </w:r>
    </w:p>
    <w:p w14:paraId="41E36952">
      <w:pPr>
        <w:ind w:firstLine="422"/>
        <w:jc w:val="left"/>
        <w:rPr>
          <w:rFonts w:ascii="宋体" w:hAnsi="宋体"/>
          <w:kern w:val="44"/>
        </w:rPr>
      </w:pPr>
      <w:r>
        <w:rPr>
          <w:rFonts w:hint="eastAsia" w:ascii="宋体" w:hAnsi="宋体"/>
          <w:b/>
          <w:kern w:val="44"/>
        </w:rPr>
        <w:t>第二十四条</w:t>
      </w:r>
      <w:r>
        <w:rPr>
          <w:rFonts w:hint="eastAsia" w:ascii="宋体" w:hAnsi="宋体"/>
          <w:kern w:val="44"/>
        </w:rPr>
        <w:t>　施工现场出入口应当设置冲洗车辆设施。车辆清洗处及搅拌机前台应当设置沉淀池，清洗搅拌机和运输车辆的污水，应当综合循环利用，或者经沉淀处理并达标后排入公共排水设施以及河道、水库、湖泊、渠道。</w:t>
      </w:r>
    </w:p>
    <w:p w14:paraId="1E2C1168">
      <w:pPr>
        <w:ind w:firstLine="422"/>
        <w:jc w:val="left"/>
        <w:rPr>
          <w:rFonts w:ascii="宋体" w:hAnsi="宋体"/>
          <w:kern w:val="44"/>
        </w:rPr>
      </w:pPr>
      <w:r>
        <w:rPr>
          <w:rFonts w:hint="eastAsia" w:ascii="宋体" w:hAnsi="宋体"/>
          <w:b/>
          <w:kern w:val="44"/>
        </w:rPr>
        <w:t>第二十五条</w:t>
      </w:r>
      <w:r>
        <w:rPr>
          <w:rFonts w:hint="eastAsia" w:ascii="宋体" w:hAnsi="宋体"/>
          <w:kern w:val="44"/>
        </w:rPr>
        <w:t>　施工现场应当设置密闭式垃圾站用于存放建筑垃圾，建筑垃圾清理应当搭设密闭式专用垃圾通道或者采用容器吊运，严禁随意抛撒。施工现场建筑垃圾的消纳和运输按照本市有关垃圾管理的规定处理。</w:t>
      </w:r>
    </w:p>
    <w:p w14:paraId="6F460CE9">
      <w:pPr>
        <w:ind w:firstLine="422"/>
        <w:jc w:val="left"/>
        <w:rPr>
          <w:rFonts w:ascii="宋体" w:hAnsi="宋体"/>
          <w:kern w:val="44"/>
        </w:rPr>
      </w:pPr>
      <w:r>
        <w:rPr>
          <w:rFonts w:hint="eastAsia" w:ascii="宋体" w:hAnsi="宋体"/>
          <w:b/>
          <w:kern w:val="44"/>
        </w:rPr>
        <w:t>第二十六条</w:t>
      </w:r>
      <w:r>
        <w:rPr>
          <w:rFonts w:hint="eastAsia" w:ascii="宋体" w:hAnsi="宋体"/>
          <w:kern w:val="44"/>
        </w:rPr>
        <w:t>　本市禁止现场搅拌混凝土。</w:t>
      </w:r>
    </w:p>
    <w:p w14:paraId="26F2E8D6">
      <w:pPr>
        <w:jc w:val="left"/>
        <w:rPr>
          <w:rFonts w:ascii="宋体" w:hAnsi="宋体"/>
          <w:kern w:val="44"/>
        </w:rPr>
      </w:pPr>
      <w:r>
        <w:rPr>
          <w:rFonts w:hint="eastAsia" w:ascii="宋体" w:hAnsi="宋体"/>
          <w:kern w:val="44"/>
        </w:rPr>
        <w:t>由政府投资的建设工程以及在本市规定区域内的建设工程，禁止现场搅拌砂浆；其中，砌筑、抹灰以及地面工程砂浆应当使用散装预拌砂浆。</w:t>
      </w:r>
    </w:p>
    <w:p w14:paraId="1EC0237D">
      <w:pPr>
        <w:jc w:val="left"/>
        <w:rPr>
          <w:rFonts w:ascii="宋体" w:hAnsi="宋体"/>
          <w:kern w:val="44"/>
        </w:rPr>
      </w:pPr>
      <w:r>
        <w:rPr>
          <w:rFonts w:hint="eastAsia" w:ascii="宋体" w:hAnsi="宋体"/>
          <w:kern w:val="44"/>
        </w:rPr>
        <w:t>其他建设工程在施工现场设置砂浆搅拌机的，应当配备降尘防尘装置。</w:t>
      </w:r>
    </w:p>
    <w:p w14:paraId="24865AB8">
      <w:pPr>
        <w:ind w:firstLine="422"/>
        <w:jc w:val="left"/>
        <w:rPr>
          <w:rFonts w:ascii="宋体" w:hAnsi="宋体"/>
          <w:kern w:val="44"/>
        </w:rPr>
      </w:pPr>
      <w:r>
        <w:rPr>
          <w:rFonts w:hint="eastAsia" w:ascii="宋体" w:hAnsi="宋体"/>
          <w:b/>
          <w:kern w:val="44"/>
        </w:rPr>
        <w:t>第二十七条</w:t>
      </w:r>
      <w:r>
        <w:rPr>
          <w:rFonts w:hint="eastAsia" w:ascii="宋体" w:hAnsi="宋体"/>
          <w:kern w:val="44"/>
        </w:rPr>
        <w:t>　在噪声敏感建筑物集中区域内，夜间不得进行产生环境噪声污染的施工作业。因重点工程或者生产工艺要求连续作业，确需在22时至次日6时期间进行施工的，建设单位应当在施工前到建设工程所在地的区县建设行政主管部门提出申请，经批准后方可进行夜间施工，并公告施工期限。未经批准或者超过批准期限，施工单位不得进行夜间施工。</w:t>
      </w:r>
    </w:p>
    <w:p w14:paraId="7FDF657B">
      <w:pPr>
        <w:ind w:firstLine="422"/>
        <w:jc w:val="left"/>
        <w:rPr>
          <w:rFonts w:ascii="宋体" w:hAnsi="宋体"/>
          <w:kern w:val="44"/>
        </w:rPr>
      </w:pPr>
      <w:r>
        <w:rPr>
          <w:rFonts w:hint="eastAsia" w:ascii="宋体" w:hAnsi="宋体"/>
          <w:b/>
          <w:kern w:val="44"/>
        </w:rPr>
        <w:t>第二十八条</w:t>
      </w:r>
      <w:r>
        <w:rPr>
          <w:rFonts w:hint="eastAsia" w:ascii="宋体" w:hAnsi="宋体"/>
          <w:kern w:val="44"/>
        </w:rPr>
        <w:t>　进行夜间施工的，建设单位应当会同施工单位做好周边居民工作，并采取有效的噪声污染防治措施，减少对周边居民生活影响。</w:t>
      </w:r>
    </w:p>
    <w:p w14:paraId="69781E35">
      <w:pPr>
        <w:jc w:val="left"/>
        <w:rPr>
          <w:rFonts w:ascii="宋体" w:hAnsi="宋体"/>
          <w:kern w:val="44"/>
        </w:rPr>
      </w:pPr>
      <w:r>
        <w:rPr>
          <w:rFonts w:hint="eastAsia" w:ascii="宋体" w:hAnsi="宋体"/>
          <w:kern w:val="44"/>
        </w:rPr>
        <w:t>进行夜间施工产生噪声超过规定标准的，对影响范围内的居民由建设单位给予经济补偿。具体补偿办法由建设行政主管部门会同发展改革、环境保护等部门制定，补偿办法应当包括补偿范围、补偿标准的确定原则、争议救济途径等内容。</w:t>
      </w:r>
    </w:p>
    <w:p w14:paraId="2E888DE7">
      <w:pPr>
        <w:jc w:val="left"/>
        <w:rPr>
          <w:rFonts w:ascii="宋体" w:hAnsi="宋体"/>
          <w:kern w:val="44"/>
        </w:rPr>
      </w:pPr>
      <w:r>
        <w:rPr>
          <w:rFonts w:hint="eastAsia" w:ascii="宋体" w:hAnsi="宋体"/>
          <w:kern w:val="44"/>
        </w:rPr>
        <w:t>建设单位应当委托环境保护监测机构测定夜间施工噪声影响范围，并会同相关居民委员会或者物业服务单位确定应当给予补偿的户数。建设单位应当与居民签订补偿协议。</w:t>
      </w:r>
    </w:p>
    <w:p w14:paraId="042C2112">
      <w:pPr>
        <w:ind w:firstLine="422"/>
        <w:jc w:val="left"/>
        <w:rPr>
          <w:rFonts w:ascii="宋体" w:hAnsi="宋体"/>
          <w:kern w:val="44"/>
        </w:rPr>
      </w:pPr>
      <w:r>
        <w:rPr>
          <w:rFonts w:hint="eastAsia" w:ascii="宋体" w:hAnsi="宋体"/>
          <w:b/>
          <w:kern w:val="44"/>
        </w:rPr>
        <w:t>第二十九条</w:t>
      </w:r>
      <w:r>
        <w:rPr>
          <w:rFonts w:hint="eastAsia" w:ascii="宋体" w:hAnsi="宋体"/>
          <w:kern w:val="44"/>
        </w:rPr>
        <w:t>　施工现场的各类生活设施，应当符合消防、通风、卫生、采光等要求，安全使用燃气，防止火灾、煤气中毒、食物中毒和各种疫情的发生。</w:t>
      </w:r>
    </w:p>
    <w:p w14:paraId="69FB32EF">
      <w:pPr>
        <w:jc w:val="left"/>
        <w:rPr>
          <w:rFonts w:ascii="宋体" w:hAnsi="宋体"/>
          <w:kern w:val="44"/>
        </w:rPr>
      </w:pPr>
      <w:r>
        <w:rPr>
          <w:rFonts w:hint="eastAsia" w:ascii="宋体" w:hAnsi="宋体"/>
          <w:kern w:val="44"/>
        </w:rPr>
        <w:t>热水锅炉、炊事炉灶、取暖设施等禁止使用燃煤。</w:t>
      </w:r>
    </w:p>
    <w:p w14:paraId="16D74E6D">
      <w:pPr>
        <w:jc w:val="left"/>
        <w:rPr>
          <w:rFonts w:ascii="宋体" w:hAnsi="宋体"/>
          <w:kern w:val="44"/>
        </w:rPr>
      </w:pPr>
    </w:p>
    <w:p w14:paraId="51803B2C">
      <w:pPr>
        <w:ind w:firstLine="0" w:firstLineChars="0"/>
        <w:jc w:val="center"/>
        <w:rPr>
          <w:rFonts w:ascii="宋体" w:hAnsi="宋体"/>
          <w:b/>
          <w:kern w:val="44"/>
          <w:sz w:val="28"/>
        </w:rPr>
      </w:pPr>
      <w:r>
        <w:rPr>
          <w:rFonts w:hint="eastAsia" w:ascii="宋体" w:hAnsi="宋体"/>
          <w:b/>
          <w:kern w:val="44"/>
          <w:sz w:val="28"/>
        </w:rPr>
        <w:t>第四章　法律责任</w:t>
      </w:r>
    </w:p>
    <w:p w14:paraId="7DE12C8C">
      <w:pPr>
        <w:jc w:val="left"/>
        <w:rPr>
          <w:rFonts w:ascii="宋体" w:hAnsi="宋体"/>
          <w:kern w:val="44"/>
        </w:rPr>
      </w:pPr>
    </w:p>
    <w:p w14:paraId="3EEF8BC3">
      <w:pPr>
        <w:ind w:firstLine="422"/>
        <w:jc w:val="left"/>
        <w:rPr>
          <w:rFonts w:ascii="宋体" w:hAnsi="宋体"/>
          <w:kern w:val="44"/>
        </w:rPr>
      </w:pPr>
      <w:r>
        <w:rPr>
          <w:rFonts w:hint="eastAsia" w:ascii="宋体" w:hAnsi="宋体"/>
          <w:b/>
          <w:kern w:val="44"/>
        </w:rPr>
        <w:t>第三十条</w:t>
      </w:r>
      <w:r>
        <w:rPr>
          <w:rFonts w:hint="eastAsia" w:ascii="宋体" w:hAnsi="宋体"/>
          <w:kern w:val="44"/>
        </w:rPr>
        <w:t>　违反本办法第十二条规定，未经安全生产培训上岗作业的，由建设行政主管部门依据《中华人民共和国安全生产法》和《建设工程安全生产管理条例》进行处理。</w:t>
      </w:r>
    </w:p>
    <w:p w14:paraId="35EDEE95">
      <w:pPr>
        <w:ind w:firstLine="422"/>
        <w:jc w:val="left"/>
        <w:rPr>
          <w:rFonts w:ascii="宋体" w:hAnsi="宋体"/>
          <w:kern w:val="44"/>
        </w:rPr>
      </w:pPr>
      <w:r>
        <w:rPr>
          <w:rFonts w:hint="eastAsia" w:ascii="宋体" w:hAnsi="宋体"/>
          <w:b/>
          <w:kern w:val="44"/>
        </w:rPr>
        <w:t>第三十一条</w:t>
      </w:r>
      <w:r>
        <w:rPr>
          <w:rFonts w:hint="eastAsia" w:ascii="宋体" w:hAnsi="宋体"/>
          <w:kern w:val="44"/>
        </w:rPr>
        <w:t>　违反本办法第十三条规定，未严格按照建筑业安全作业规程或者标准进行施工，造成事故隐患的，由建设行政主管部门责令改正，可处1000元以上1万元以下罚款；情节严重的，处1万元以上3万元以下罚款。未严格按照规定和标准要求进行动火作业的，由公安机关消防机构责令改正，处1万元以上3万元以下罚款。</w:t>
      </w:r>
    </w:p>
    <w:p w14:paraId="509D16C2">
      <w:pPr>
        <w:ind w:firstLine="422"/>
        <w:jc w:val="left"/>
        <w:rPr>
          <w:rFonts w:ascii="宋体" w:hAnsi="宋体"/>
          <w:kern w:val="44"/>
        </w:rPr>
      </w:pPr>
      <w:r>
        <w:rPr>
          <w:rFonts w:hint="eastAsia" w:ascii="宋体" w:hAnsi="宋体"/>
          <w:b/>
          <w:kern w:val="44"/>
        </w:rPr>
        <w:t>第三十二条</w:t>
      </w:r>
      <w:r>
        <w:rPr>
          <w:rFonts w:hint="eastAsia" w:ascii="宋体" w:hAnsi="宋体"/>
          <w:kern w:val="44"/>
        </w:rPr>
        <w:t>　违反本办法第十五条第一款规定，施工组织设计文件未包括安全生产或者绿色施工现场管理措施的，由建设行政主管部门责令改正，处1000元以上5000元以下罚款。</w:t>
      </w:r>
    </w:p>
    <w:p w14:paraId="69D7475A">
      <w:pPr>
        <w:jc w:val="left"/>
        <w:rPr>
          <w:rFonts w:ascii="宋体" w:hAnsi="宋体"/>
          <w:kern w:val="44"/>
        </w:rPr>
      </w:pPr>
      <w:r>
        <w:rPr>
          <w:rFonts w:hint="eastAsia" w:ascii="宋体" w:hAnsi="宋体"/>
          <w:kern w:val="44"/>
        </w:rPr>
        <w:t>违反本办法第十五条第二款规定，未编制拆除施工方案或者未按照拆除施工方案进行施工的，由建设行政主管部门责令改正，处1000元以上5000元以下罚款；情节严重造成严重后果的，处1万元以上3万元以下罚款。</w:t>
      </w:r>
    </w:p>
    <w:p w14:paraId="2ACB66D1">
      <w:pPr>
        <w:ind w:firstLine="422"/>
        <w:jc w:val="left"/>
        <w:rPr>
          <w:rFonts w:ascii="宋体" w:hAnsi="宋体"/>
          <w:kern w:val="44"/>
        </w:rPr>
      </w:pPr>
      <w:r>
        <w:rPr>
          <w:rFonts w:hint="eastAsia" w:ascii="宋体" w:hAnsi="宋体"/>
          <w:b/>
          <w:kern w:val="44"/>
        </w:rPr>
        <w:t>第三十三条</w:t>
      </w:r>
      <w:r>
        <w:rPr>
          <w:rFonts w:hint="eastAsia" w:ascii="宋体" w:hAnsi="宋体"/>
          <w:kern w:val="44"/>
        </w:rPr>
        <w:t>　违反本办法第十六条第二款规定，未采取专项防护措施的，由建设行政主管部门依据《建设工程安全生产管理条例》进行处理；因未采取改移或者其他措施，造成管线损坏的，由建设行政主管部门对建设单位处1万元以上5万元以下罚款，情节严重的，处5万元以上10万元以下罚款。</w:t>
      </w:r>
    </w:p>
    <w:p w14:paraId="4BF215CD">
      <w:pPr>
        <w:ind w:firstLine="422"/>
        <w:jc w:val="left"/>
        <w:rPr>
          <w:rFonts w:ascii="宋体" w:hAnsi="宋体"/>
          <w:kern w:val="44"/>
        </w:rPr>
      </w:pPr>
      <w:r>
        <w:rPr>
          <w:rFonts w:hint="eastAsia" w:ascii="宋体" w:hAnsi="宋体"/>
          <w:b/>
          <w:kern w:val="44"/>
        </w:rPr>
        <w:t>第三十四条</w:t>
      </w:r>
      <w:r>
        <w:rPr>
          <w:rFonts w:hint="eastAsia" w:ascii="宋体" w:hAnsi="宋体"/>
          <w:kern w:val="44"/>
        </w:rPr>
        <w:t>　违反本办法第十七条第二款规定，未按照规定组织验收的，由建设行政主管部门责令改正，处1万元以上3万元以下罚款。</w:t>
      </w:r>
    </w:p>
    <w:p w14:paraId="3786AFCD">
      <w:pPr>
        <w:ind w:firstLine="422"/>
        <w:jc w:val="left"/>
        <w:rPr>
          <w:rFonts w:ascii="宋体" w:hAnsi="宋体"/>
          <w:kern w:val="44"/>
        </w:rPr>
      </w:pPr>
      <w:r>
        <w:rPr>
          <w:rFonts w:hint="eastAsia" w:ascii="宋体" w:hAnsi="宋体"/>
          <w:b/>
          <w:kern w:val="44"/>
        </w:rPr>
        <w:t>第三十五条</w:t>
      </w:r>
      <w:r>
        <w:rPr>
          <w:rFonts w:hint="eastAsia" w:ascii="宋体" w:hAnsi="宋体"/>
          <w:kern w:val="44"/>
        </w:rPr>
        <w:t>　违反本办法第十八条第二款规定，未按照规定进行检查和维护保养的，由建设行政主管部门责令改正，处1000以上5000元以下罚款。</w:t>
      </w:r>
    </w:p>
    <w:p w14:paraId="6656F77C">
      <w:pPr>
        <w:ind w:firstLine="422"/>
        <w:jc w:val="left"/>
        <w:rPr>
          <w:rFonts w:ascii="宋体" w:hAnsi="宋体"/>
          <w:kern w:val="44"/>
        </w:rPr>
      </w:pPr>
      <w:r>
        <w:rPr>
          <w:rFonts w:hint="eastAsia" w:ascii="宋体" w:hAnsi="宋体"/>
          <w:b/>
          <w:kern w:val="44"/>
        </w:rPr>
        <w:t>第三十六条</w:t>
      </w:r>
      <w:r>
        <w:rPr>
          <w:rFonts w:hint="eastAsia" w:ascii="宋体" w:hAnsi="宋体"/>
          <w:kern w:val="44"/>
        </w:rPr>
        <w:t>　违反本办法第二十三条规定，未按照规定采取措施或者采取措施不当的，由城市管理综合执法部门责令改正，处2000元以上1万元以下罚款；情节严重的，处1万元以上2万元以下罚款。</w:t>
      </w:r>
    </w:p>
    <w:p w14:paraId="0745BCB6">
      <w:pPr>
        <w:ind w:firstLine="422"/>
        <w:jc w:val="left"/>
        <w:rPr>
          <w:rFonts w:ascii="宋体" w:hAnsi="宋体"/>
          <w:kern w:val="44"/>
        </w:rPr>
      </w:pPr>
      <w:r>
        <w:rPr>
          <w:rFonts w:hint="eastAsia" w:ascii="宋体" w:hAnsi="宋体"/>
          <w:b/>
          <w:kern w:val="44"/>
        </w:rPr>
        <w:t>第三十七条</w:t>
      </w:r>
      <w:r>
        <w:rPr>
          <w:rFonts w:hint="eastAsia" w:ascii="宋体" w:hAnsi="宋体"/>
          <w:kern w:val="44"/>
        </w:rPr>
        <w:t>　违反本办法第二十四条规定，未设置冲洗车辆设施的，由城市管理综合执法部门责令改正，处1000元以上1万元以下罚款。</w:t>
      </w:r>
    </w:p>
    <w:p w14:paraId="6240F5F5">
      <w:pPr>
        <w:ind w:firstLine="422"/>
        <w:jc w:val="left"/>
        <w:rPr>
          <w:rFonts w:ascii="宋体" w:hAnsi="宋体"/>
          <w:kern w:val="44"/>
        </w:rPr>
      </w:pPr>
      <w:r>
        <w:rPr>
          <w:rFonts w:hint="eastAsia" w:ascii="宋体" w:hAnsi="宋体"/>
          <w:b/>
          <w:kern w:val="44"/>
        </w:rPr>
        <w:t>第三十八条</w:t>
      </w:r>
      <w:r>
        <w:rPr>
          <w:rFonts w:hint="eastAsia" w:ascii="宋体" w:hAnsi="宋体"/>
          <w:kern w:val="44"/>
        </w:rPr>
        <w:t>　违反本办法第二十五条规定，未设置密闭式垃圾站、未搭设密闭式专用垃圾通道或者未采用容器吊运的，由城市管理综合执法部门责令改正，处1000元以上1万元以下罚款。</w:t>
      </w:r>
    </w:p>
    <w:p w14:paraId="21D7A209">
      <w:pPr>
        <w:ind w:firstLine="422"/>
        <w:jc w:val="left"/>
        <w:rPr>
          <w:rFonts w:ascii="宋体" w:hAnsi="宋体"/>
          <w:kern w:val="44"/>
        </w:rPr>
      </w:pPr>
      <w:r>
        <w:rPr>
          <w:rFonts w:hint="eastAsia" w:ascii="宋体" w:hAnsi="宋体"/>
          <w:b/>
          <w:kern w:val="44"/>
        </w:rPr>
        <w:t>第三十九条</w:t>
      </w:r>
      <w:r>
        <w:rPr>
          <w:rFonts w:hint="eastAsia" w:ascii="宋体" w:hAnsi="宋体"/>
          <w:kern w:val="44"/>
        </w:rPr>
        <w:t>　违反本办法第二十六条第一款、第二款规定，现场搅拌混凝土、砂浆或者未按照规定使用散装预拌砂浆的，由建设行政主管部门责令改正，处1万元以上5万元以下罚款；情节严重的，处5万元以上10万元以下罚款。</w:t>
      </w:r>
    </w:p>
    <w:p w14:paraId="26C745C7">
      <w:pPr>
        <w:jc w:val="left"/>
        <w:rPr>
          <w:rFonts w:ascii="宋体" w:hAnsi="宋体"/>
          <w:kern w:val="44"/>
        </w:rPr>
      </w:pPr>
      <w:r>
        <w:rPr>
          <w:rFonts w:hint="eastAsia" w:ascii="宋体" w:hAnsi="宋体"/>
          <w:kern w:val="44"/>
        </w:rPr>
        <w:t>违反本办法第二十六条第三款规定，未配备降尘防尘装置的，由城市管理综合执法部门责令改正，处1000元以上1万元以下罚款；情节严重的，处1万元以上3万元以下罚款。</w:t>
      </w:r>
    </w:p>
    <w:p w14:paraId="51426F85">
      <w:pPr>
        <w:ind w:firstLine="422"/>
        <w:jc w:val="left"/>
        <w:rPr>
          <w:rFonts w:ascii="宋体" w:hAnsi="宋体"/>
          <w:kern w:val="44"/>
        </w:rPr>
      </w:pPr>
      <w:r>
        <w:rPr>
          <w:rFonts w:hint="eastAsia" w:ascii="宋体" w:hAnsi="宋体"/>
          <w:b/>
          <w:kern w:val="44"/>
        </w:rPr>
        <w:t>第四十条</w:t>
      </w:r>
      <w:r>
        <w:rPr>
          <w:rFonts w:hint="eastAsia" w:ascii="宋体" w:hAnsi="宋体"/>
          <w:kern w:val="44"/>
        </w:rPr>
        <w:t>　违反本办法第二十七条规定，施工单位未经批准或者超过批准期限进行夜间施工的，由城市管理综合执法部门责令改正，处1万元以上3万元以下罚款。</w:t>
      </w:r>
    </w:p>
    <w:p w14:paraId="61AA2588">
      <w:pPr>
        <w:jc w:val="left"/>
        <w:rPr>
          <w:rFonts w:ascii="宋体" w:hAnsi="宋体"/>
          <w:kern w:val="44"/>
        </w:rPr>
      </w:pPr>
    </w:p>
    <w:p w14:paraId="6DC0D324">
      <w:pPr>
        <w:ind w:firstLine="0" w:firstLineChars="0"/>
        <w:jc w:val="center"/>
        <w:rPr>
          <w:rFonts w:ascii="宋体" w:hAnsi="宋体"/>
          <w:b/>
          <w:kern w:val="44"/>
          <w:sz w:val="28"/>
        </w:rPr>
      </w:pPr>
      <w:r>
        <w:rPr>
          <w:rFonts w:hint="eastAsia" w:ascii="宋体" w:hAnsi="宋体"/>
          <w:b/>
          <w:kern w:val="44"/>
          <w:sz w:val="28"/>
        </w:rPr>
        <w:t>第五章　附　则</w:t>
      </w:r>
    </w:p>
    <w:p w14:paraId="768F23BE">
      <w:pPr>
        <w:jc w:val="left"/>
        <w:rPr>
          <w:rFonts w:ascii="宋体" w:hAnsi="宋体"/>
          <w:kern w:val="44"/>
        </w:rPr>
      </w:pPr>
    </w:p>
    <w:p w14:paraId="638F8D67">
      <w:pPr>
        <w:ind w:firstLine="422"/>
        <w:jc w:val="left"/>
        <w:rPr>
          <w:rFonts w:ascii="宋体" w:hAnsi="宋体"/>
          <w:kern w:val="44"/>
        </w:rPr>
      </w:pPr>
      <w:r>
        <w:rPr>
          <w:rFonts w:hint="eastAsia" w:ascii="宋体" w:hAnsi="宋体"/>
          <w:b/>
          <w:kern w:val="44"/>
        </w:rPr>
        <w:t>第四十一条</w:t>
      </w:r>
      <w:r>
        <w:rPr>
          <w:rFonts w:hint="eastAsia" w:ascii="宋体" w:hAnsi="宋体"/>
          <w:kern w:val="44"/>
        </w:rPr>
        <w:t>　本办法自2013年7月1日起施行。2001年4月5日市人民政府发布的 《北京市建设工程施工现场管理办法》同时废止。</w:t>
      </w:r>
    </w:p>
    <w:p w14:paraId="6BC8C2E3">
      <w:pPr>
        <w:pStyle w:val="4"/>
        <w:pageBreakBefore/>
        <w:rPr>
          <w:kern w:val="44"/>
        </w:rPr>
      </w:pPr>
      <w:bookmarkStart w:id="947" w:name="_Toc422471255"/>
      <w:bookmarkStart w:id="948" w:name="_Toc427651547"/>
      <w:bookmarkStart w:id="949" w:name="_Toc428781595"/>
      <w:bookmarkStart w:id="950" w:name="_Toc427651889"/>
      <w:bookmarkStart w:id="951" w:name="_Toc428780113"/>
      <w:r>
        <w:rPr>
          <w:rFonts w:hint="eastAsia"/>
          <w:kern w:val="44"/>
        </w:rPr>
        <w:t>北京市民用建筑节能管理办法</w:t>
      </w:r>
      <w:bookmarkEnd w:id="947"/>
      <w:bookmarkEnd w:id="948"/>
      <w:bookmarkEnd w:id="949"/>
      <w:bookmarkEnd w:id="950"/>
      <w:bookmarkEnd w:id="951"/>
    </w:p>
    <w:p w14:paraId="1BAECEE8">
      <w:pPr>
        <w:ind w:left="630" w:leftChars="300" w:right="630" w:rightChars="300"/>
        <w:jc w:val="left"/>
        <w:rPr>
          <w:rFonts w:ascii="楷体" w:hAnsi="楷体" w:eastAsia="楷体"/>
          <w:kern w:val="44"/>
        </w:rPr>
      </w:pPr>
      <w:r>
        <w:rPr>
          <w:rFonts w:hint="eastAsia" w:ascii="楷体" w:hAnsi="楷体" w:eastAsia="楷体"/>
          <w:kern w:val="44"/>
        </w:rPr>
        <w:t>（2014年6月3日市人民政府第43次常务会议审议通过  2014年6月24日北京市人民政府256号令公布）</w:t>
      </w:r>
    </w:p>
    <w:p w14:paraId="7A7B7D40">
      <w:pPr>
        <w:jc w:val="left"/>
        <w:rPr>
          <w:rFonts w:ascii="宋体" w:hAnsi="宋体"/>
          <w:kern w:val="44"/>
        </w:rPr>
      </w:pPr>
    </w:p>
    <w:p w14:paraId="768CAD55">
      <w:pPr>
        <w:ind w:firstLine="0" w:firstLineChars="0"/>
        <w:jc w:val="center"/>
        <w:rPr>
          <w:rFonts w:ascii="宋体" w:hAnsi="宋体"/>
          <w:b/>
          <w:kern w:val="44"/>
          <w:sz w:val="28"/>
        </w:rPr>
      </w:pPr>
      <w:r>
        <w:rPr>
          <w:rFonts w:hint="eastAsia" w:ascii="宋体" w:hAnsi="宋体"/>
          <w:b/>
          <w:kern w:val="44"/>
          <w:sz w:val="28"/>
        </w:rPr>
        <w:t>第一章　总  则</w:t>
      </w:r>
    </w:p>
    <w:p w14:paraId="7623018E">
      <w:pPr>
        <w:ind w:firstLine="0" w:firstLineChars="0"/>
        <w:jc w:val="center"/>
        <w:rPr>
          <w:rFonts w:ascii="宋体" w:hAnsi="宋体"/>
          <w:b/>
          <w:kern w:val="44"/>
          <w:sz w:val="28"/>
        </w:rPr>
      </w:pPr>
    </w:p>
    <w:p w14:paraId="139C2DD0">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为加强本市民用建筑节能管理，降低能源消耗，提高能源利用效率，根据有关法律法规，结合本市实际情况，制定本办法。</w:t>
      </w:r>
    </w:p>
    <w:p w14:paraId="2C4D1208">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本市行政区域内的民用建筑节能及其监督管理活动，适用本办法。</w:t>
      </w:r>
    </w:p>
    <w:p w14:paraId="03FB7C1A">
      <w:pPr>
        <w:jc w:val="left"/>
        <w:rPr>
          <w:rFonts w:ascii="宋体" w:hAnsi="宋体"/>
          <w:kern w:val="44"/>
        </w:rPr>
      </w:pPr>
      <w:r>
        <w:rPr>
          <w:rFonts w:hint="eastAsia" w:ascii="宋体" w:hAnsi="宋体"/>
          <w:kern w:val="44"/>
        </w:rPr>
        <w:t>本办法所称民用建筑节能，是指在居住建筑和公共建筑的规划、设计、建造、使用、改造等活动中，按照有关标准和规定，采用符合节能要求的建筑材料、设备、技术、工艺和管理措施，在保证建筑物使用功能和室内环境质量的前提下，合理、有效地利用能源，降低能源消耗。</w:t>
      </w:r>
    </w:p>
    <w:p w14:paraId="50D6487E">
      <w:pPr>
        <w:ind w:firstLine="422"/>
        <w:jc w:val="left"/>
        <w:rPr>
          <w:rFonts w:ascii="宋体" w:hAnsi="宋体"/>
          <w:kern w:val="44"/>
        </w:rPr>
      </w:pPr>
      <w:r>
        <w:rPr>
          <w:rFonts w:hint="eastAsia" w:ascii="宋体" w:hAnsi="宋体"/>
          <w:b/>
          <w:kern w:val="44"/>
        </w:rPr>
        <w:t>第三条</w:t>
      </w:r>
      <w:r>
        <w:rPr>
          <w:rFonts w:hint="eastAsia" w:ascii="宋体" w:hAnsi="宋体"/>
          <w:kern w:val="44"/>
        </w:rPr>
        <w:t>　本市民用建筑节能管理工作遵循政府引导、市场调节、社会参与的原则，通过提高节能技术标准，加强节能管理，实现节约能源、改善环境、社会受益。</w:t>
      </w:r>
    </w:p>
    <w:p w14:paraId="1000E24E">
      <w:pPr>
        <w:ind w:firstLine="422"/>
        <w:jc w:val="left"/>
        <w:rPr>
          <w:rFonts w:ascii="宋体" w:hAnsi="宋体"/>
          <w:kern w:val="44"/>
        </w:rPr>
      </w:pPr>
      <w:r>
        <w:rPr>
          <w:rFonts w:hint="eastAsia" w:ascii="宋体" w:hAnsi="宋体"/>
          <w:b/>
          <w:kern w:val="44"/>
        </w:rPr>
        <w:t>第四条</w:t>
      </w:r>
      <w:r>
        <w:rPr>
          <w:rFonts w:hint="eastAsia" w:ascii="宋体" w:hAnsi="宋体"/>
          <w:kern w:val="44"/>
        </w:rPr>
        <w:t>　住房城乡建设行政主管部门负责本市民用建筑节能管理的综合统筹、监督、协调工作，具体负责民用建筑建造、使用、改造方面的节能监督管理工作。</w:t>
      </w:r>
    </w:p>
    <w:p w14:paraId="1F934493">
      <w:pPr>
        <w:jc w:val="left"/>
        <w:rPr>
          <w:rFonts w:ascii="宋体" w:hAnsi="宋体"/>
          <w:kern w:val="44"/>
        </w:rPr>
      </w:pPr>
      <w:r>
        <w:rPr>
          <w:rFonts w:hint="eastAsia" w:ascii="宋体" w:hAnsi="宋体"/>
          <w:kern w:val="44"/>
        </w:rPr>
        <w:t>规划行政主管部门负责民用建筑规划、设计方面的节能监督管理工作；市政市容行政主管部门负责民用建筑供热方面的节能监督管理工作；发改、财政、统计、农村工作等行政主管部门按照职责负责民用建筑节能的相关监督管理工作。</w:t>
      </w:r>
    </w:p>
    <w:p w14:paraId="124FC227">
      <w:pPr>
        <w:jc w:val="left"/>
        <w:rPr>
          <w:rFonts w:ascii="宋体" w:hAnsi="宋体"/>
          <w:kern w:val="44"/>
        </w:rPr>
      </w:pPr>
      <w:r>
        <w:rPr>
          <w:rFonts w:hint="eastAsia" w:ascii="宋体" w:hAnsi="宋体"/>
          <w:kern w:val="44"/>
        </w:rPr>
        <w:t>区、县人民政府负责本行政区域内民用建筑节能管理的组织领导工作。</w:t>
      </w:r>
    </w:p>
    <w:p w14:paraId="4A27C3BD">
      <w:pPr>
        <w:ind w:firstLine="422"/>
        <w:jc w:val="left"/>
        <w:rPr>
          <w:rFonts w:ascii="宋体" w:hAnsi="宋体"/>
          <w:kern w:val="44"/>
        </w:rPr>
      </w:pPr>
      <w:r>
        <w:rPr>
          <w:rFonts w:hint="eastAsia" w:ascii="宋体" w:hAnsi="宋体"/>
          <w:b/>
          <w:kern w:val="44"/>
        </w:rPr>
        <w:t>第五条</w:t>
      </w:r>
      <w:r>
        <w:rPr>
          <w:rFonts w:hint="eastAsia" w:ascii="宋体" w:hAnsi="宋体"/>
          <w:kern w:val="44"/>
        </w:rPr>
        <w:t>　市住房城乡建设行政主管部门负责编制本市民用建筑节能专项规划，民用建筑节能专项规划的主要指标应当纳入国民经济和社会发展规划。</w:t>
      </w:r>
    </w:p>
    <w:p w14:paraId="66E01C4E">
      <w:pPr>
        <w:jc w:val="left"/>
        <w:rPr>
          <w:rFonts w:ascii="宋体" w:hAnsi="宋体"/>
          <w:kern w:val="44"/>
        </w:rPr>
      </w:pPr>
      <w:r>
        <w:rPr>
          <w:rFonts w:hint="eastAsia" w:ascii="宋体" w:hAnsi="宋体"/>
          <w:kern w:val="44"/>
        </w:rPr>
        <w:t>市和区县住房城乡建设行政主管部门根据专项规划制定民用建筑节能年度工作计划。</w:t>
      </w:r>
    </w:p>
    <w:p w14:paraId="4781CF49">
      <w:pPr>
        <w:ind w:firstLine="422"/>
        <w:jc w:val="left"/>
        <w:rPr>
          <w:rFonts w:ascii="宋体" w:hAnsi="宋体"/>
          <w:kern w:val="44"/>
        </w:rPr>
      </w:pPr>
      <w:r>
        <w:rPr>
          <w:rFonts w:hint="eastAsia" w:ascii="宋体" w:hAnsi="宋体"/>
          <w:b/>
          <w:kern w:val="44"/>
        </w:rPr>
        <w:t>第六条</w:t>
      </w:r>
      <w:r>
        <w:rPr>
          <w:rFonts w:hint="eastAsia" w:ascii="宋体" w:hAnsi="宋体"/>
          <w:kern w:val="44"/>
        </w:rPr>
        <w:t>　新建民用建筑、实施节能改造的既有民用建筑的建筑节能责任由建设单位承担。设计单位、施工单位、监理单位、检测单位、施工图设计文件审查机构等单位及其相关人员，按照规定承担设计、施工、监理、检测、施工图审查等方面的建筑节能责任。</w:t>
      </w:r>
    </w:p>
    <w:p w14:paraId="6EC9D17E">
      <w:pPr>
        <w:jc w:val="left"/>
        <w:rPr>
          <w:rFonts w:ascii="宋体" w:hAnsi="宋体"/>
          <w:kern w:val="44"/>
        </w:rPr>
      </w:pPr>
      <w:r>
        <w:rPr>
          <w:rFonts w:hint="eastAsia" w:ascii="宋体" w:hAnsi="宋体"/>
          <w:kern w:val="44"/>
        </w:rPr>
        <w:t>民用建筑使用中的节能责任由所有权人、运行管理人、使用人按照规定或者约定承担，没有规定或者约定的，由所有权人承担。</w:t>
      </w:r>
    </w:p>
    <w:p w14:paraId="700A4E0B">
      <w:pPr>
        <w:ind w:firstLine="422"/>
        <w:jc w:val="left"/>
        <w:rPr>
          <w:rFonts w:ascii="宋体" w:hAnsi="宋体"/>
          <w:kern w:val="44"/>
        </w:rPr>
      </w:pPr>
      <w:r>
        <w:rPr>
          <w:rFonts w:hint="eastAsia" w:ascii="宋体" w:hAnsi="宋体"/>
          <w:b/>
          <w:kern w:val="44"/>
        </w:rPr>
        <w:t>第七条</w:t>
      </w:r>
      <w:r>
        <w:rPr>
          <w:rFonts w:hint="eastAsia" w:ascii="宋体" w:hAnsi="宋体"/>
          <w:kern w:val="44"/>
        </w:rPr>
        <w:t>　公民、法人和其他组织应当提高节能意识，采取节能措施，加强日常行为节能。</w:t>
      </w:r>
    </w:p>
    <w:p w14:paraId="0E3945EC">
      <w:pPr>
        <w:jc w:val="left"/>
        <w:rPr>
          <w:rFonts w:ascii="宋体" w:hAnsi="宋体"/>
          <w:kern w:val="44"/>
        </w:rPr>
      </w:pPr>
      <w:r>
        <w:rPr>
          <w:rFonts w:hint="eastAsia" w:ascii="宋体" w:hAnsi="宋体"/>
          <w:kern w:val="44"/>
        </w:rPr>
        <w:t>新闻媒体应当加强民用建筑节能宣传工作，普及建筑节能科学知识，引导、鼓励社会公众节能行为。</w:t>
      </w:r>
    </w:p>
    <w:p w14:paraId="4E6A7079">
      <w:pPr>
        <w:ind w:firstLine="422"/>
        <w:jc w:val="left"/>
        <w:rPr>
          <w:rFonts w:ascii="宋体" w:hAnsi="宋体"/>
          <w:kern w:val="44"/>
        </w:rPr>
      </w:pPr>
      <w:r>
        <w:rPr>
          <w:rFonts w:hint="eastAsia" w:ascii="宋体" w:hAnsi="宋体"/>
          <w:b/>
          <w:kern w:val="44"/>
        </w:rPr>
        <w:t>第八条</w:t>
      </w:r>
      <w:r>
        <w:rPr>
          <w:rFonts w:hint="eastAsia" w:ascii="宋体" w:hAnsi="宋体"/>
          <w:kern w:val="44"/>
        </w:rPr>
        <w:t>　本市民用建筑节能工作严格执行国家标准、行业标准和本市地方标准。根据本市民用建筑节能管理工作的需要，可以制定严于国家标准和行业标准的地方标准，地方标准可以制定强制性条文。</w:t>
      </w:r>
    </w:p>
    <w:p w14:paraId="328142A6">
      <w:pPr>
        <w:ind w:firstLine="422"/>
        <w:jc w:val="left"/>
        <w:rPr>
          <w:rFonts w:ascii="宋体" w:hAnsi="宋体"/>
          <w:kern w:val="44"/>
        </w:rPr>
      </w:pPr>
      <w:r>
        <w:rPr>
          <w:rFonts w:hint="eastAsia" w:ascii="宋体" w:hAnsi="宋体"/>
          <w:b/>
          <w:kern w:val="44"/>
        </w:rPr>
        <w:t>第九条</w:t>
      </w:r>
      <w:r>
        <w:rPr>
          <w:rFonts w:hint="eastAsia" w:ascii="宋体" w:hAnsi="宋体"/>
          <w:kern w:val="44"/>
        </w:rPr>
        <w:t>　市住房城乡建设行政主管部门会同市规划等部门，定期发布本市推广、限制、禁止使用的建筑材料、设备、技术、工艺目录，并实行动态管理。本市推广安全耐久、节能环保、便于施工的绿色建材，禁止生产和使用粘土砖、粘土瓦、粘土陶粒。</w:t>
      </w:r>
    </w:p>
    <w:p w14:paraId="4527DD44">
      <w:pPr>
        <w:ind w:firstLine="422"/>
        <w:jc w:val="left"/>
        <w:rPr>
          <w:rFonts w:ascii="宋体" w:hAnsi="宋体"/>
          <w:kern w:val="44"/>
        </w:rPr>
      </w:pPr>
      <w:r>
        <w:rPr>
          <w:rFonts w:hint="eastAsia" w:ascii="宋体" w:hAnsi="宋体"/>
          <w:b/>
          <w:kern w:val="44"/>
        </w:rPr>
        <w:t>第十条</w:t>
      </w:r>
      <w:r>
        <w:rPr>
          <w:rFonts w:hint="eastAsia" w:ascii="宋体" w:hAnsi="宋体"/>
          <w:kern w:val="44"/>
        </w:rPr>
        <w:t>　本市实行公共建筑能耗限额管理制度，逐步建立分类公共建筑能耗定额管理、能源阶梯价格制度，具体办法由市住房城乡建设行政主管部门会同市发展改革行政主管部门制定。</w:t>
      </w:r>
    </w:p>
    <w:p w14:paraId="5BCCC60A">
      <w:pPr>
        <w:jc w:val="left"/>
        <w:rPr>
          <w:rFonts w:ascii="宋体" w:hAnsi="宋体"/>
          <w:kern w:val="44"/>
        </w:rPr>
      </w:pPr>
      <w:r>
        <w:rPr>
          <w:rFonts w:hint="eastAsia" w:ascii="宋体" w:hAnsi="宋体"/>
          <w:kern w:val="44"/>
        </w:rPr>
        <w:t>集中供热的公共建筑实行热计量收费制度，集中供热的居住建筑逐步实行热计量收费制度，具体办法由市市政市容行政主管部门会同市发展改革行政主管部门制定。</w:t>
      </w:r>
    </w:p>
    <w:p w14:paraId="10589809">
      <w:pPr>
        <w:ind w:firstLine="422"/>
        <w:jc w:val="left"/>
        <w:rPr>
          <w:rFonts w:ascii="宋体" w:hAnsi="宋体"/>
          <w:kern w:val="44"/>
        </w:rPr>
      </w:pPr>
      <w:r>
        <w:rPr>
          <w:rFonts w:hint="eastAsia" w:ascii="宋体" w:hAnsi="宋体"/>
          <w:b/>
          <w:kern w:val="44"/>
        </w:rPr>
        <w:t>第十一条</w:t>
      </w:r>
      <w:r>
        <w:rPr>
          <w:rFonts w:hint="eastAsia" w:ascii="宋体" w:hAnsi="宋体"/>
          <w:kern w:val="44"/>
        </w:rPr>
        <w:t>　本市建立民用建筑能耗统计制度，具体办法由市住房城乡建设行政主管部门会同市统计、计量行政主管部门制定。</w:t>
      </w:r>
    </w:p>
    <w:p w14:paraId="1DA95FEA">
      <w:pPr>
        <w:jc w:val="left"/>
        <w:rPr>
          <w:rFonts w:ascii="宋体" w:hAnsi="宋体"/>
          <w:kern w:val="44"/>
        </w:rPr>
      </w:pPr>
      <w:r>
        <w:rPr>
          <w:rFonts w:hint="eastAsia" w:ascii="宋体" w:hAnsi="宋体"/>
          <w:kern w:val="44"/>
        </w:rPr>
        <w:t>民用建筑的所有权人、使用人、运行管理单位和能源供应单位应当配合建筑能耗调查统计工作，并按照规定提供统计调查所需要的资料。</w:t>
      </w:r>
    </w:p>
    <w:p w14:paraId="5997DB2B">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本市在民用建筑中推广太阳能、地热能、水能、风能等可再生能源的利用。民用建筑节能项目按照国家和本市规定，享受税收优惠和资金补贴、奖励政策。</w:t>
      </w:r>
    </w:p>
    <w:p w14:paraId="46EE338A">
      <w:pPr>
        <w:jc w:val="left"/>
        <w:rPr>
          <w:rFonts w:ascii="宋体" w:hAnsi="宋体"/>
          <w:kern w:val="44"/>
        </w:rPr>
      </w:pPr>
      <w:r>
        <w:rPr>
          <w:rFonts w:hint="eastAsia" w:ascii="宋体" w:hAnsi="宋体"/>
          <w:kern w:val="44"/>
        </w:rPr>
        <w:t>本市节能专项资金中应当安排专门用于民用建筑节能的资金，用于建筑节能技术研究和推广、节能改造、可再生能源应用、建筑节能宣传培训以及绿色建筑和住宅产业化等项目的补贴和奖励。</w:t>
      </w:r>
    </w:p>
    <w:p w14:paraId="2BBAE0FA">
      <w:pPr>
        <w:jc w:val="left"/>
        <w:rPr>
          <w:rFonts w:ascii="宋体" w:hAnsi="宋体"/>
          <w:kern w:val="44"/>
        </w:rPr>
      </w:pPr>
      <w:r>
        <w:rPr>
          <w:rFonts w:hint="eastAsia" w:ascii="宋体" w:hAnsi="宋体"/>
          <w:kern w:val="44"/>
        </w:rPr>
        <w:t>鼓励以商业银行贷款、合同能源管理等方式推动民用建筑节能工作。</w:t>
      </w:r>
    </w:p>
    <w:p w14:paraId="15AC6F00">
      <w:pPr>
        <w:jc w:val="left"/>
        <w:rPr>
          <w:rFonts w:ascii="宋体" w:hAnsi="宋体"/>
          <w:kern w:val="44"/>
        </w:rPr>
      </w:pPr>
    </w:p>
    <w:p w14:paraId="655E6E26">
      <w:pPr>
        <w:ind w:firstLine="0" w:firstLineChars="0"/>
        <w:jc w:val="center"/>
        <w:rPr>
          <w:rFonts w:ascii="宋体" w:hAnsi="宋体"/>
          <w:b/>
          <w:kern w:val="44"/>
          <w:sz w:val="28"/>
        </w:rPr>
      </w:pPr>
      <w:r>
        <w:rPr>
          <w:rFonts w:hint="eastAsia" w:ascii="宋体" w:hAnsi="宋体"/>
          <w:b/>
          <w:kern w:val="44"/>
          <w:sz w:val="28"/>
        </w:rPr>
        <w:t>第二章　新建民用建筑节能管理</w:t>
      </w:r>
    </w:p>
    <w:p w14:paraId="5C45EED0">
      <w:pPr>
        <w:jc w:val="left"/>
        <w:rPr>
          <w:rFonts w:ascii="宋体" w:hAnsi="宋体"/>
          <w:kern w:val="44"/>
        </w:rPr>
      </w:pPr>
    </w:p>
    <w:p w14:paraId="089D5166">
      <w:pPr>
        <w:ind w:firstLine="422"/>
        <w:jc w:val="left"/>
        <w:rPr>
          <w:rFonts w:ascii="宋体" w:hAnsi="宋体"/>
          <w:kern w:val="44"/>
        </w:rPr>
      </w:pPr>
      <w:r>
        <w:rPr>
          <w:rFonts w:hint="eastAsia" w:ascii="宋体" w:hAnsi="宋体"/>
          <w:b/>
          <w:kern w:val="44"/>
        </w:rPr>
        <w:t>第十三条</w:t>
      </w:r>
      <w:r>
        <w:rPr>
          <w:rFonts w:hint="eastAsia" w:ascii="宋体" w:hAnsi="宋体"/>
          <w:kern w:val="44"/>
        </w:rPr>
        <w:t>　本市编制、调整城乡规划时应当充分考虑气候、地形地貌、资源等条件，按照建筑节能与宜居的要求，对区域功能、人口密度、能源消耗强度、基础设施配置等进行统筹研究、合理安排。</w:t>
      </w:r>
    </w:p>
    <w:p w14:paraId="46305F8B">
      <w:pPr>
        <w:ind w:firstLine="422"/>
        <w:jc w:val="left"/>
        <w:rPr>
          <w:rFonts w:ascii="宋体" w:hAnsi="宋体"/>
          <w:kern w:val="44"/>
        </w:rPr>
      </w:pPr>
      <w:r>
        <w:rPr>
          <w:rFonts w:hint="eastAsia" w:ascii="宋体" w:hAnsi="宋体"/>
          <w:b/>
          <w:kern w:val="44"/>
        </w:rPr>
        <w:t>第十四条</w:t>
      </w:r>
      <w:r>
        <w:rPr>
          <w:rFonts w:hint="eastAsia" w:ascii="宋体" w:hAnsi="宋体"/>
          <w:kern w:val="44"/>
        </w:rPr>
        <w:t>　新建民用建筑在编制项目建议书、可行性研究报告、项目申请报告时应当包括建筑节能内容。</w:t>
      </w:r>
    </w:p>
    <w:p w14:paraId="5AB51F59">
      <w:pPr>
        <w:jc w:val="left"/>
        <w:rPr>
          <w:rFonts w:ascii="宋体" w:hAnsi="宋体"/>
          <w:kern w:val="44"/>
        </w:rPr>
      </w:pPr>
      <w:r>
        <w:rPr>
          <w:rFonts w:hint="eastAsia" w:ascii="宋体" w:hAnsi="宋体"/>
          <w:kern w:val="44"/>
        </w:rPr>
        <w:t>达到国家规定的规模和标准的项目，建设单位应当单独编制节能评估文件，由发展改革部门组织节能评估并出具节能审查意见。建设单位应当将节能审查意见中的能源利用方案、能耗指标和提高能效的要求转化成具体措施。</w:t>
      </w:r>
    </w:p>
    <w:p w14:paraId="69DD8FAC">
      <w:pPr>
        <w:ind w:firstLine="422"/>
        <w:jc w:val="left"/>
        <w:rPr>
          <w:rFonts w:ascii="宋体" w:hAnsi="宋体"/>
          <w:kern w:val="44"/>
        </w:rPr>
      </w:pPr>
      <w:r>
        <w:rPr>
          <w:rFonts w:hint="eastAsia" w:ascii="宋体" w:hAnsi="宋体"/>
          <w:b/>
          <w:kern w:val="44"/>
        </w:rPr>
        <w:t>第十五条</w:t>
      </w:r>
      <w:r>
        <w:rPr>
          <w:rFonts w:hint="eastAsia" w:ascii="宋体" w:hAnsi="宋体"/>
          <w:kern w:val="44"/>
        </w:rPr>
        <w:t>　新建民用建筑的设计说明应当注明符合建筑节能标准、符合固定资产投资项目节能审查意见要求的具体措施。</w:t>
      </w:r>
    </w:p>
    <w:p w14:paraId="6E4DE0B1">
      <w:pPr>
        <w:jc w:val="left"/>
        <w:rPr>
          <w:rFonts w:ascii="宋体" w:hAnsi="宋体"/>
          <w:kern w:val="44"/>
        </w:rPr>
      </w:pPr>
      <w:r>
        <w:rPr>
          <w:rFonts w:hint="eastAsia" w:ascii="宋体" w:hAnsi="宋体"/>
          <w:kern w:val="44"/>
        </w:rPr>
        <w:t>施工图设计文件审查机构应当按照建筑节能标准和规定对施工图设计文件进行审查。经审查合格的施工图设计文件不得擅自变更；确需变更且涉及建筑节能内容的，建设单位应当重新履行施工图设计文件审查程序。</w:t>
      </w:r>
    </w:p>
    <w:p w14:paraId="67D07C9C">
      <w:pPr>
        <w:ind w:firstLine="422"/>
        <w:jc w:val="left"/>
        <w:rPr>
          <w:rFonts w:ascii="宋体" w:hAnsi="宋体"/>
          <w:kern w:val="44"/>
        </w:rPr>
      </w:pPr>
      <w:r>
        <w:rPr>
          <w:rFonts w:hint="eastAsia" w:ascii="宋体" w:hAnsi="宋体"/>
          <w:b/>
          <w:kern w:val="44"/>
        </w:rPr>
        <w:t>第十六条</w:t>
      </w:r>
      <w:r>
        <w:rPr>
          <w:rFonts w:hint="eastAsia" w:ascii="宋体" w:hAnsi="宋体"/>
          <w:kern w:val="44"/>
        </w:rPr>
        <w:t>　施工单位应当按照建设工程设计图纸和施工技术标准进行施工，采用符合建筑节能要求的建筑材料、设备和施工工艺；在施工作业中，应当按照本市绿色施工管理规程的要求进行绿色施工。</w:t>
      </w:r>
    </w:p>
    <w:p w14:paraId="7DFC4D46">
      <w:pPr>
        <w:jc w:val="left"/>
        <w:rPr>
          <w:rFonts w:ascii="宋体" w:hAnsi="宋体"/>
          <w:kern w:val="44"/>
        </w:rPr>
      </w:pPr>
      <w:r>
        <w:rPr>
          <w:rFonts w:hint="eastAsia" w:ascii="宋体" w:hAnsi="宋体"/>
          <w:kern w:val="44"/>
        </w:rPr>
        <w:t>在建设工程项目竣工验收之前，建设单位应当按照规定组织建筑节能专项验收。</w:t>
      </w:r>
    </w:p>
    <w:p w14:paraId="18BA34F3">
      <w:pPr>
        <w:ind w:firstLine="422"/>
        <w:jc w:val="left"/>
        <w:rPr>
          <w:rFonts w:ascii="宋体" w:hAnsi="宋体"/>
          <w:kern w:val="44"/>
        </w:rPr>
      </w:pPr>
      <w:r>
        <w:rPr>
          <w:rFonts w:hint="eastAsia" w:ascii="宋体" w:hAnsi="宋体"/>
          <w:b/>
          <w:kern w:val="44"/>
        </w:rPr>
        <w:t>第十七条</w:t>
      </w:r>
      <w:r>
        <w:rPr>
          <w:rFonts w:hint="eastAsia" w:ascii="宋体" w:hAnsi="宋体"/>
          <w:kern w:val="44"/>
        </w:rPr>
        <w:t>　市住房城乡建设行政主管部门应当建立全市建筑材料使用管理信息化监控平台，实行建筑节能材料信用信息管理制度，定期发布建筑节能材料的相关信息，对涉及建筑节能效能的建筑材料实施重点监管。</w:t>
      </w:r>
    </w:p>
    <w:p w14:paraId="02FAB231">
      <w:pPr>
        <w:jc w:val="left"/>
        <w:rPr>
          <w:rFonts w:ascii="宋体" w:hAnsi="宋体"/>
          <w:kern w:val="44"/>
        </w:rPr>
      </w:pPr>
      <w:r>
        <w:rPr>
          <w:rFonts w:hint="eastAsia" w:ascii="宋体" w:hAnsi="宋体"/>
          <w:kern w:val="44"/>
        </w:rPr>
        <w:t>施工总承包单位应当按照规定报送相关建筑节能材料的数据信息。</w:t>
      </w:r>
    </w:p>
    <w:p w14:paraId="68320651">
      <w:pPr>
        <w:ind w:firstLine="422"/>
        <w:jc w:val="left"/>
        <w:rPr>
          <w:rFonts w:ascii="宋体" w:hAnsi="宋体"/>
          <w:kern w:val="44"/>
        </w:rPr>
      </w:pPr>
      <w:r>
        <w:rPr>
          <w:rFonts w:hint="eastAsia" w:ascii="宋体" w:hAnsi="宋体"/>
          <w:b/>
          <w:kern w:val="44"/>
        </w:rPr>
        <w:t>第十八条</w:t>
      </w:r>
      <w:r>
        <w:rPr>
          <w:rFonts w:hint="eastAsia" w:ascii="宋体" w:hAnsi="宋体"/>
          <w:kern w:val="44"/>
        </w:rPr>
        <w:t>　新建民用建筑应当按标准和规定安装能耗计量设施，大型公共建筑应当安装能耗分项计量设施。新建民用建筑安装供热计量与温控装置应当符合下列要求：</w:t>
      </w:r>
    </w:p>
    <w:p w14:paraId="424318C8">
      <w:pPr>
        <w:jc w:val="left"/>
        <w:rPr>
          <w:rFonts w:ascii="宋体" w:hAnsi="宋体"/>
          <w:kern w:val="44"/>
        </w:rPr>
      </w:pPr>
      <w:r>
        <w:rPr>
          <w:rFonts w:hint="eastAsia" w:ascii="宋体" w:hAnsi="宋体"/>
          <w:kern w:val="44"/>
        </w:rPr>
        <w:t>（一）热量表经计量检定合格；</w:t>
      </w:r>
    </w:p>
    <w:p w14:paraId="04C1049F">
      <w:pPr>
        <w:jc w:val="left"/>
        <w:rPr>
          <w:rFonts w:ascii="宋体" w:hAnsi="宋体"/>
          <w:kern w:val="44"/>
        </w:rPr>
      </w:pPr>
      <w:r>
        <w:rPr>
          <w:rFonts w:hint="eastAsia" w:ascii="宋体" w:hAnsi="宋体"/>
          <w:kern w:val="44"/>
        </w:rPr>
        <w:t>（二）温控装置具有检测合格报告；</w:t>
      </w:r>
    </w:p>
    <w:p w14:paraId="0A909345">
      <w:pPr>
        <w:jc w:val="left"/>
        <w:rPr>
          <w:rFonts w:ascii="宋体" w:hAnsi="宋体"/>
          <w:kern w:val="44"/>
        </w:rPr>
      </w:pPr>
      <w:r>
        <w:rPr>
          <w:rFonts w:hint="eastAsia" w:ascii="宋体" w:hAnsi="宋体"/>
          <w:kern w:val="44"/>
        </w:rPr>
        <w:t>（三）供热计量装置达到数据远传通讯功能；</w:t>
      </w:r>
    </w:p>
    <w:p w14:paraId="533C2BB9">
      <w:pPr>
        <w:jc w:val="left"/>
        <w:rPr>
          <w:rFonts w:ascii="宋体" w:hAnsi="宋体"/>
          <w:kern w:val="44"/>
        </w:rPr>
      </w:pPr>
      <w:r>
        <w:rPr>
          <w:rFonts w:hint="eastAsia" w:ascii="宋体" w:hAnsi="宋体"/>
          <w:kern w:val="44"/>
        </w:rPr>
        <w:t>（四）建筑物室内分户安装采暖温度采集远传装置。</w:t>
      </w:r>
    </w:p>
    <w:p w14:paraId="5A787F80">
      <w:pPr>
        <w:jc w:val="left"/>
        <w:rPr>
          <w:rFonts w:ascii="宋体" w:hAnsi="宋体"/>
          <w:kern w:val="44"/>
        </w:rPr>
      </w:pPr>
      <w:r>
        <w:rPr>
          <w:rFonts w:hint="eastAsia" w:ascii="宋体" w:hAnsi="宋体"/>
          <w:kern w:val="44"/>
        </w:rPr>
        <w:t>供热计量与温控装置安装应当便于日常巡检、维修，并保证正常运行。</w:t>
      </w:r>
    </w:p>
    <w:p w14:paraId="4A837D8A">
      <w:pPr>
        <w:ind w:firstLine="422"/>
        <w:jc w:val="left"/>
        <w:rPr>
          <w:rFonts w:ascii="宋体" w:hAnsi="宋体"/>
          <w:kern w:val="44"/>
        </w:rPr>
      </w:pPr>
      <w:r>
        <w:rPr>
          <w:rFonts w:hint="eastAsia" w:ascii="宋体" w:hAnsi="宋体"/>
          <w:b/>
          <w:kern w:val="44"/>
        </w:rPr>
        <w:t>第十九条</w:t>
      </w:r>
      <w:r>
        <w:rPr>
          <w:rFonts w:hint="eastAsia" w:ascii="宋体" w:hAnsi="宋体"/>
          <w:kern w:val="44"/>
        </w:rPr>
        <w:t>　采用集中供热的建设工程，建设单位应当在建设工程开工前与供热单位签订集中供热设施的运行管理合同，明确供热计量与温控装置的采购、技术标准及安装要求。供热单位采购供热计量与温控装置，对装置安装工作进行技术指导，参与采暖节能工程分项验收中的供热计量与温控装置安装工程验收工作。供热计量与温控装置不符合要求的，供热单位不予验收。</w:t>
      </w:r>
    </w:p>
    <w:p w14:paraId="3E86635D">
      <w:pPr>
        <w:ind w:firstLine="422"/>
        <w:jc w:val="left"/>
        <w:rPr>
          <w:rFonts w:ascii="宋体" w:hAnsi="宋体"/>
          <w:kern w:val="44"/>
        </w:rPr>
      </w:pPr>
      <w:r>
        <w:rPr>
          <w:rFonts w:hint="eastAsia" w:ascii="宋体" w:hAnsi="宋体"/>
          <w:b/>
          <w:kern w:val="44"/>
        </w:rPr>
        <w:t>第二十条</w:t>
      </w:r>
      <w:r>
        <w:rPr>
          <w:rFonts w:hint="eastAsia" w:ascii="宋体" w:hAnsi="宋体"/>
          <w:kern w:val="44"/>
        </w:rPr>
        <w:t>　本市新建民用建筑执行一星级绿色建筑标准。</w:t>
      </w:r>
    </w:p>
    <w:p w14:paraId="2FEFF23C">
      <w:pPr>
        <w:jc w:val="left"/>
        <w:rPr>
          <w:rFonts w:ascii="宋体" w:hAnsi="宋体"/>
          <w:kern w:val="44"/>
        </w:rPr>
      </w:pPr>
      <w:r>
        <w:rPr>
          <w:rFonts w:hint="eastAsia" w:ascii="宋体" w:hAnsi="宋体"/>
          <w:kern w:val="44"/>
        </w:rPr>
        <w:t>根据民用建筑节能管理需要，部分新建民用建筑应当按照二星级以上绿色建筑标准或者住宅产业化要求进行建设，具体范围由市住房城乡建设行政主管部门会同规划等部门确定，根据经济社会发展情况实行动态调整，并制定年度建设计划。</w:t>
      </w:r>
    </w:p>
    <w:p w14:paraId="312759BE">
      <w:pPr>
        <w:jc w:val="left"/>
        <w:rPr>
          <w:rFonts w:ascii="宋体" w:hAnsi="宋体"/>
          <w:kern w:val="44"/>
        </w:rPr>
      </w:pPr>
      <w:r>
        <w:rPr>
          <w:rFonts w:hint="eastAsia" w:ascii="宋体" w:hAnsi="宋体"/>
          <w:kern w:val="44"/>
        </w:rPr>
        <w:t>确定为按照二星级以上绿色建筑标准或者住宅产业化要求进行建设的项目，相关建设标准或者要求应当在土地出让条件、选址意见书或者规划条件中明确。</w:t>
      </w:r>
    </w:p>
    <w:p w14:paraId="43A3902E">
      <w:pPr>
        <w:ind w:firstLine="422"/>
        <w:jc w:val="left"/>
        <w:rPr>
          <w:rFonts w:ascii="宋体" w:hAnsi="宋体"/>
          <w:kern w:val="44"/>
        </w:rPr>
      </w:pPr>
      <w:r>
        <w:rPr>
          <w:rFonts w:hint="eastAsia" w:ascii="宋体" w:hAnsi="宋体"/>
          <w:b/>
          <w:kern w:val="44"/>
        </w:rPr>
        <w:t>第二十一条</w:t>
      </w:r>
      <w:r>
        <w:rPr>
          <w:rFonts w:hint="eastAsia" w:ascii="宋体" w:hAnsi="宋体"/>
          <w:kern w:val="44"/>
        </w:rPr>
        <w:t>　市规划、住房城乡建设行政主管部门负责组织对按照二星级以上绿色建筑标准进行建设的民用建筑进行绿色建筑评审，对评审合格的民用建筑，颁发绿色建筑设计、运行标识，并按照规定给予补贴或者奖励。</w:t>
      </w:r>
    </w:p>
    <w:p w14:paraId="35830BC4">
      <w:pPr>
        <w:ind w:firstLine="422"/>
        <w:jc w:val="left"/>
        <w:rPr>
          <w:rFonts w:ascii="宋体" w:hAnsi="宋体"/>
          <w:kern w:val="44"/>
        </w:rPr>
      </w:pPr>
      <w:r>
        <w:rPr>
          <w:rFonts w:hint="eastAsia" w:ascii="宋体" w:hAnsi="宋体"/>
          <w:b/>
          <w:kern w:val="44"/>
        </w:rPr>
        <w:t>第二十二条</w:t>
      </w:r>
      <w:r>
        <w:rPr>
          <w:rFonts w:hint="eastAsia" w:ascii="宋体" w:hAnsi="宋体"/>
          <w:kern w:val="44"/>
        </w:rPr>
        <w:t>　建设单位应当在房屋销售场所、房屋买卖合同、住宅质量保证书、住宅使用说明书中明示所售房屋的建筑节能设计指标、绿色建筑星级、可再生能源利用情况、供热方式、供热单位及供热计量收费方式、节能设施的使用与保护要求等基本信息。</w:t>
      </w:r>
    </w:p>
    <w:p w14:paraId="7204304C">
      <w:pPr>
        <w:ind w:firstLine="422"/>
        <w:jc w:val="left"/>
        <w:rPr>
          <w:rFonts w:ascii="宋体" w:hAnsi="宋体"/>
          <w:kern w:val="44"/>
        </w:rPr>
      </w:pPr>
      <w:r>
        <w:rPr>
          <w:rFonts w:hint="eastAsia" w:ascii="宋体" w:hAnsi="宋体"/>
          <w:b/>
          <w:kern w:val="44"/>
        </w:rPr>
        <w:t>第二十三条</w:t>
      </w:r>
      <w:r>
        <w:rPr>
          <w:rFonts w:hint="eastAsia" w:ascii="宋体" w:hAnsi="宋体"/>
          <w:kern w:val="44"/>
        </w:rPr>
        <w:t>　由农村集体组织统一规划、统一建设的三层以上建设项目应当执行本市建筑节能设计标准。</w:t>
      </w:r>
    </w:p>
    <w:p w14:paraId="4D8CB93D">
      <w:pPr>
        <w:jc w:val="left"/>
        <w:rPr>
          <w:rFonts w:ascii="宋体" w:hAnsi="宋体"/>
          <w:kern w:val="44"/>
        </w:rPr>
      </w:pPr>
      <w:r>
        <w:rPr>
          <w:rFonts w:hint="eastAsia" w:ascii="宋体" w:hAnsi="宋体"/>
          <w:kern w:val="44"/>
        </w:rPr>
        <w:t>农村村民自建住宅的，鼓励其采用建筑节能设计，使用新型建筑材料和清洁能源。经住房城乡建设行政主管部门认定，农村村民自建住宅符合本市农村村民住宅节能标准、采用清洁能源的，市和区县财政部门可以按照规定给予补贴。</w:t>
      </w:r>
    </w:p>
    <w:p w14:paraId="649C0C8B">
      <w:pPr>
        <w:jc w:val="left"/>
        <w:rPr>
          <w:rFonts w:ascii="宋体" w:hAnsi="宋体"/>
          <w:kern w:val="44"/>
        </w:rPr>
      </w:pPr>
    </w:p>
    <w:p w14:paraId="122D0327">
      <w:pPr>
        <w:ind w:firstLine="0" w:firstLineChars="0"/>
        <w:jc w:val="center"/>
        <w:rPr>
          <w:rFonts w:ascii="宋体" w:hAnsi="宋体"/>
          <w:b/>
          <w:kern w:val="44"/>
          <w:sz w:val="28"/>
        </w:rPr>
      </w:pPr>
      <w:r>
        <w:rPr>
          <w:rFonts w:hint="eastAsia" w:ascii="宋体" w:hAnsi="宋体"/>
          <w:b/>
          <w:kern w:val="44"/>
          <w:sz w:val="28"/>
        </w:rPr>
        <w:t>第三章　既有民用建筑节能改造</w:t>
      </w:r>
    </w:p>
    <w:p w14:paraId="588F242F">
      <w:pPr>
        <w:jc w:val="left"/>
        <w:rPr>
          <w:rFonts w:ascii="宋体" w:hAnsi="宋体"/>
          <w:kern w:val="44"/>
        </w:rPr>
      </w:pPr>
    </w:p>
    <w:p w14:paraId="0B25FAB1">
      <w:pPr>
        <w:ind w:firstLine="422"/>
        <w:jc w:val="left"/>
        <w:rPr>
          <w:rFonts w:ascii="宋体" w:hAnsi="宋体"/>
          <w:kern w:val="44"/>
        </w:rPr>
      </w:pPr>
      <w:r>
        <w:rPr>
          <w:rFonts w:hint="eastAsia" w:ascii="宋体" w:hAnsi="宋体"/>
          <w:b/>
          <w:kern w:val="44"/>
        </w:rPr>
        <w:t>第二十四条</w:t>
      </w:r>
      <w:r>
        <w:rPr>
          <w:rFonts w:hint="eastAsia" w:ascii="宋体" w:hAnsi="宋体"/>
          <w:kern w:val="44"/>
        </w:rPr>
        <w:t>　本市对不符合民用建筑节能强制性标准且有改造价值的民用建筑逐步实行节能改造。区、县人民政府负责统筹推进本行政区域内的节能改造工作。在实行抗震加固、老旧小区改造时，应当同时进行节能改造。</w:t>
      </w:r>
    </w:p>
    <w:p w14:paraId="5FBBFF28">
      <w:pPr>
        <w:ind w:firstLine="422"/>
        <w:jc w:val="left"/>
        <w:rPr>
          <w:rFonts w:ascii="宋体" w:hAnsi="宋体"/>
          <w:kern w:val="44"/>
        </w:rPr>
      </w:pPr>
      <w:r>
        <w:rPr>
          <w:rFonts w:hint="eastAsia" w:ascii="宋体" w:hAnsi="宋体"/>
          <w:b/>
          <w:kern w:val="44"/>
        </w:rPr>
        <w:t>第二十五条</w:t>
      </w:r>
      <w:r>
        <w:rPr>
          <w:rFonts w:hint="eastAsia" w:ascii="宋体" w:hAnsi="宋体"/>
          <w:kern w:val="44"/>
        </w:rPr>
        <w:t>　既有普通公共建筑不符合民用建筑节能强制性标准的，所有权人在进行改建、扩建和外部装饰装修工程时，应当同时进行围护结构的节能改造和能耗计量监控设施改造，并依法进行施工图设计审查。既有大型公共建筑不符合民用建筑节能强制性标准的，在进行改建、扩建时，应当同时进行能耗分项计量监控设施和用能系统节能改造。</w:t>
      </w:r>
    </w:p>
    <w:p w14:paraId="1C2E147A">
      <w:pPr>
        <w:jc w:val="left"/>
        <w:rPr>
          <w:rFonts w:ascii="宋体" w:hAnsi="宋体"/>
          <w:kern w:val="44"/>
        </w:rPr>
      </w:pPr>
      <w:r>
        <w:rPr>
          <w:rFonts w:hint="eastAsia" w:ascii="宋体" w:hAnsi="宋体"/>
          <w:kern w:val="44"/>
        </w:rPr>
        <w:t>未同步进行节能改造的，相关行政主管部门不予办理改建、扩建和外部装饰装修工程的相关手续。</w:t>
      </w:r>
    </w:p>
    <w:p w14:paraId="62A37577">
      <w:pPr>
        <w:ind w:firstLine="422"/>
        <w:jc w:val="left"/>
        <w:rPr>
          <w:rFonts w:ascii="宋体" w:hAnsi="宋体"/>
          <w:kern w:val="44"/>
        </w:rPr>
      </w:pPr>
      <w:r>
        <w:rPr>
          <w:rFonts w:hint="eastAsia" w:ascii="宋体" w:hAnsi="宋体"/>
          <w:b/>
          <w:kern w:val="44"/>
        </w:rPr>
        <w:t>第二十六条</w:t>
      </w:r>
      <w:r>
        <w:rPr>
          <w:rFonts w:hint="eastAsia" w:ascii="宋体" w:hAnsi="宋体"/>
          <w:kern w:val="44"/>
        </w:rPr>
        <w:t>　本市鼓励对不符合建筑节能强制性标准的既有居住建筑进行围护结构和供热计量改造，改造资金由政府、所有权人共同承担。既有居住建筑属于职工购买公有住宅楼房性质的，改造资金按照本市有关规定及原售房合同的约定承担。</w:t>
      </w:r>
    </w:p>
    <w:p w14:paraId="602B9CCA">
      <w:pPr>
        <w:ind w:firstLine="422"/>
        <w:jc w:val="left"/>
        <w:rPr>
          <w:rFonts w:ascii="宋体" w:hAnsi="宋体"/>
          <w:kern w:val="44"/>
        </w:rPr>
      </w:pPr>
      <w:r>
        <w:rPr>
          <w:rFonts w:hint="eastAsia" w:ascii="宋体" w:hAnsi="宋体"/>
          <w:b/>
          <w:kern w:val="44"/>
        </w:rPr>
        <w:t>第二十七条</w:t>
      </w:r>
      <w:r>
        <w:rPr>
          <w:rFonts w:hint="eastAsia" w:ascii="宋体" w:hAnsi="宋体"/>
          <w:kern w:val="44"/>
        </w:rPr>
        <w:t>　公共建筑的节能改造由建筑物所有权人负责组织实施，公共建筑的所有权人为分散业主的，由公共建筑的运行管理单位负责组织实施工作。</w:t>
      </w:r>
    </w:p>
    <w:p w14:paraId="794AEFC0">
      <w:pPr>
        <w:jc w:val="left"/>
        <w:rPr>
          <w:rFonts w:ascii="宋体" w:hAnsi="宋体"/>
          <w:kern w:val="44"/>
        </w:rPr>
      </w:pPr>
      <w:r>
        <w:rPr>
          <w:rFonts w:hint="eastAsia" w:ascii="宋体" w:hAnsi="宋体"/>
          <w:kern w:val="44"/>
        </w:rPr>
        <w:t>居住建筑的节能改造，属于政府直管或者单位自管的，由房屋管理单位负责组织实施工作；其他居住建筑由区县住房城乡建设行政主管部门或者区县人民政府指定的有关机构负责组织实施工作。集中供热系统热计量改造由供热单位组织实施，负责供热计量与温控装置的采购和组织安装。</w:t>
      </w:r>
    </w:p>
    <w:p w14:paraId="5B869E53">
      <w:pPr>
        <w:jc w:val="left"/>
        <w:rPr>
          <w:rFonts w:ascii="宋体" w:hAnsi="宋体"/>
          <w:kern w:val="44"/>
        </w:rPr>
      </w:pPr>
      <w:r>
        <w:rPr>
          <w:rFonts w:hint="eastAsia" w:ascii="宋体" w:hAnsi="宋体"/>
          <w:kern w:val="44"/>
        </w:rPr>
        <w:t>中央在京机关、军队、企业、事业单位的居住建筑，由房屋管理单位按照国家主管部门和市人民政府的规定组织实施。本市国有资产监督管理机构按照规定督促所监管企业做好既有建筑节能改造工作。</w:t>
      </w:r>
    </w:p>
    <w:p w14:paraId="135277D9">
      <w:pPr>
        <w:jc w:val="left"/>
        <w:rPr>
          <w:rFonts w:ascii="宋体" w:hAnsi="宋体"/>
          <w:kern w:val="44"/>
        </w:rPr>
      </w:pPr>
      <w:r>
        <w:rPr>
          <w:rFonts w:hint="eastAsia" w:ascii="宋体" w:hAnsi="宋体"/>
          <w:kern w:val="44"/>
        </w:rPr>
        <w:t>建筑物所有权人、管理人、使用人应当依法配合节能改造工作。</w:t>
      </w:r>
    </w:p>
    <w:p w14:paraId="69386748">
      <w:pPr>
        <w:ind w:firstLine="422"/>
        <w:jc w:val="left"/>
        <w:rPr>
          <w:rFonts w:ascii="宋体" w:hAnsi="宋体"/>
          <w:kern w:val="44"/>
        </w:rPr>
      </w:pPr>
      <w:r>
        <w:rPr>
          <w:rFonts w:hint="eastAsia" w:ascii="宋体" w:hAnsi="宋体"/>
          <w:b/>
          <w:kern w:val="44"/>
        </w:rPr>
        <w:t>第二十八条</w:t>
      </w:r>
      <w:r>
        <w:rPr>
          <w:rFonts w:hint="eastAsia" w:ascii="宋体" w:hAnsi="宋体"/>
          <w:kern w:val="44"/>
        </w:rPr>
        <w:t>　既有居住建筑实施节能改造应当制定改造工作方案。改造工作方案由本办法第二十七条确定的负责组织实施工作的主体制定，并征求房屋所有权人的意见。改造工作方案应当确定实施改造的项目管理人，项目管理人承担建设单位的法律责任。</w:t>
      </w:r>
    </w:p>
    <w:p w14:paraId="598F4429">
      <w:pPr>
        <w:jc w:val="left"/>
        <w:rPr>
          <w:rFonts w:ascii="宋体" w:hAnsi="宋体"/>
          <w:kern w:val="44"/>
        </w:rPr>
      </w:pPr>
    </w:p>
    <w:p w14:paraId="7D2FCA52">
      <w:pPr>
        <w:ind w:firstLine="0" w:firstLineChars="0"/>
        <w:jc w:val="center"/>
        <w:rPr>
          <w:rFonts w:ascii="宋体" w:hAnsi="宋体"/>
          <w:b/>
          <w:kern w:val="44"/>
          <w:sz w:val="28"/>
        </w:rPr>
      </w:pPr>
      <w:r>
        <w:rPr>
          <w:rFonts w:hint="eastAsia" w:ascii="宋体" w:hAnsi="宋体"/>
          <w:b/>
          <w:kern w:val="44"/>
          <w:sz w:val="28"/>
        </w:rPr>
        <w:t>第四章　民用建筑节能运行</w:t>
      </w:r>
    </w:p>
    <w:p w14:paraId="3D69BDFA">
      <w:pPr>
        <w:jc w:val="left"/>
        <w:rPr>
          <w:rFonts w:ascii="宋体" w:hAnsi="宋体"/>
          <w:kern w:val="44"/>
        </w:rPr>
      </w:pPr>
    </w:p>
    <w:p w14:paraId="0AA9FB87">
      <w:pPr>
        <w:ind w:firstLine="422"/>
        <w:jc w:val="left"/>
        <w:rPr>
          <w:rFonts w:ascii="宋体" w:hAnsi="宋体"/>
          <w:kern w:val="44"/>
        </w:rPr>
      </w:pPr>
      <w:r>
        <w:rPr>
          <w:rFonts w:hint="eastAsia" w:ascii="宋体" w:hAnsi="宋体"/>
          <w:b/>
          <w:kern w:val="44"/>
        </w:rPr>
        <w:t>第二十九条</w:t>
      </w:r>
      <w:r>
        <w:rPr>
          <w:rFonts w:hint="eastAsia" w:ascii="宋体" w:hAnsi="宋体"/>
          <w:kern w:val="44"/>
        </w:rPr>
        <w:t>　实行物业管理的民用建筑，物业服务单位应当按照物业服务合同的约定承担建筑节能运行管理责任。物业服务单位应当向建筑物所有权人提出建筑物节能运行的方案。</w:t>
      </w:r>
    </w:p>
    <w:p w14:paraId="48550400">
      <w:pPr>
        <w:jc w:val="left"/>
        <w:rPr>
          <w:rFonts w:ascii="宋体" w:hAnsi="宋体"/>
          <w:kern w:val="44"/>
        </w:rPr>
      </w:pPr>
      <w:r>
        <w:rPr>
          <w:rFonts w:hint="eastAsia" w:ascii="宋体" w:hAnsi="宋体"/>
          <w:kern w:val="44"/>
        </w:rPr>
        <w:t>居住建筑的物业服务单位应当建立健全节能管理制度，开展节能宣传教育，负责物业管理区域内共用部位的节能管理工作。公共建筑的物业服务单位应当设立能源管理岗位，采用节能技术和管理措施，负责用能分类分项计量调控系统、数据远传系统的运行管理。</w:t>
      </w:r>
    </w:p>
    <w:p w14:paraId="4D1474A2">
      <w:pPr>
        <w:ind w:firstLine="422"/>
        <w:jc w:val="left"/>
        <w:rPr>
          <w:rFonts w:ascii="宋体" w:hAnsi="宋体"/>
          <w:kern w:val="44"/>
        </w:rPr>
      </w:pPr>
      <w:r>
        <w:rPr>
          <w:rFonts w:hint="eastAsia" w:ascii="宋体" w:hAnsi="宋体"/>
          <w:b/>
          <w:kern w:val="44"/>
        </w:rPr>
        <w:t>第三十条</w:t>
      </w:r>
      <w:r>
        <w:rPr>
          <w:rFonts w:hint="eastAsia" w:ascii="宋体" w:hAnsi="宋体"/>
          <w:kern w:val="44"/>
        </w:rPr>
        <w:t>　公共建筑的所有权人应当采取节能技术和措施，采取建筑物用能系统节能运行方案，减少能源消耗。公共建筑和居住建筑的使用人应当提高节能意识，在日常使用中注意节电、节水、节能。</w:t>
      </w:r>
    </w:p>
    <w:p w14:paraId="5F4237C6">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住房城乡建设行政主管部门会同发展改革等主管部门确定重点公共建筑的年度能耗限额，对具有标杆作用的低能耗公共建筑、超过年度能耗限额的公共建筑和公共建筑的所有权人、运行管理单位定期向社会公布。</w:t>
      </w:r>
    </w:p>
    <w:p w14:paraId="37BE1C41">
      <w:pPr>
        <w:jc w:val="left"/>
        <w:rPr>
          <w:rFonts w:ascii="宋体" w:hAnsi="宋体"/>
          <w:kern w:val="44"/>
        </w:rPr>
      </w:pPr>
      <w:r>
        <w:rPr>
          <w:rFonts w:hint="eastAsia" w:ascii="宋体" w:hAnsi="宋体"/>
          <w:kern w:val="44"/>
        </w:rPr>
        <w:t>对超过年度能耗限额的重点公共建筑，有关行政主管部门应当要求建筑物所有权人制定整改方案，并督促其采用节能技术，减少能源消耗。</w:t>
      </w:r>
    </w:p>
    <w:p w14:paraId="34CCED9A">
      <w:pPr>
        <w:ind w:firstLine="422"/>
        <w:jc w:val="left"/>
        <w:rPr>
          <w:rFonts w:ascii="宋体" w:hAnsi="宋体"/>
          <w:kern w:val="44"/>
        </w:rPr>
      </w:pPr>
      <w:r>
        <w:rPr>
          <w:rFonts w:hint="eastAsia" w:ascii="宋体" w:hAnsi="宋体"/>
          <w:b/>
          <w:kern w:val="44"/>
        </w:rPr>
        <w:t>第三十二条</w:t>
      </w:r>
      <w:r>
        <w:rPr>
          <w:rFonts w:hint="eastAsia" w:ascii="宋体" w:hAnsi="宋体"/>
          <w:kern w:val="44"/>
        </w:rPr>
        <w:t>　本市建立公共建筑能源利用状况报告和能源审计制度。大型公共建筑的所有权人应当每年向市住房城乡建设行政主管部门报送年度能源利用状况报告。</w:t>
      </w:r>
    </w:p>
    <w:p w14:paraId="5E0AE3FD">
      <w:pPr>
        <w:jc w:val="left"/>
        <w:rPr>
          <w:rFonts w:ascii="宋体" w:hAnsi="宋体"/>
          <w:kern w:val="44"/>
        </w:rPr>
      </w:pPr>
      <w:r>
        <w:rPr>
          <w:rFonts w:hint="eastAsia" w:ascii="宋体" w:hAnsi="宋体"/>
          <w:kern w:val="44"/>
        </w:rPr>
        <w:t>年度能源利用状况报告显示建筑物出现能源利用状况明显异常或者超过公共建筑年度能耗限额20％的，市住房城乡建设行政主管部门应当责令该公共建筑的所有权人实施能源审计。所有权人应当聘请能源审计机构进行能源审计，将审计结果报送市住房城乡建设行政主管部门，并依据能源审计结果加强节能管理和实施节能改造。</w:t>
      </w:r>
    </w:p>
    <w:p w14:paraId="2EA32261">
      <w:pPr>
        <w:ind w:firstLine="422"/>
        <w:jc w:val="left"/>
        <w:rPr>
          <w:rFonts w:ascii="宋体" w:hAnsi="宋体"/>
          <w:kern w:val="44"/>
        </w:rPr>
      </w:pPr>
      <w:r>
        <w:rPr>
          <w:rFonts w:hint="eastAsia" w:ascii="宋体" w:hAnsi="宋体"/>
          <w:b/>
          <w:kern w:val="44"/>
        </w:rPr>
        <w:t>第三十三条</w:t>
      </w:r>
      <w:r>
        <w:rPr>
          <w:rFonts w:hint="eastAsia" w:ascii="宋体" w:hAnsi="宋体"/>
          <w:kern w:val="44"/>
        </w:rPr>
        <w:t>　任何人不得损坏、擅自拆改建筑物围护结构保温层、供热计量装置与调控系统、能耗计量设施等。</w:t>
      </w:r>
    </w:p>
    <w:p w14:paraId="2C5BFDF3">
      <w:pPr>
        <w:ind w:firstLine="422"/>
        <w:jc w:val="left"/>
        <w:rPr>
          <w:rFonts w:ascii="宋体" w:hAnsi="宋体"/>
          <w:kern w:val="44"/>
        </w:rPr>
      </w:pPr>
      <w:r>
        <w:rPr>
          <w:rFonts w:hint="eastAsia" w:ascii="宋体" w:hAnsi="宋体"/>
          <w:b/>
          <w:kern w:val="44"/>
        </w:rPr>
        <w:t>第三十四条</w:t>
      </w:r>
      <w:r>
        <w:rPr>
          <w:rFonts w:hint="eastAsia" w:ascii="宋体" w:hAnsi="宋体"/>
          <w:kern w:val="44"/>
        </w:rPr>
        <w:t>　使用空调采暖、制冷的公共建筑所有权人应当改进空调运行管理，充分利用自然通风，管理运行单位和使用人应当按照国家规定实行室内温度控制。</w:t>
      </w:r>
    </w:p>
    <w:p w14:paraId="07A93D45">
      <w:pPr>
        <w:ind w:firstLine="422"/>
        <w:jc w:val="left"/>
        <w:rPr>
          <w:rFonts w:ascii="宋体" w:hAnsi="宋体"/>
          <w:kern w:val="44"/>
        </w:rPr>
      </w:pPr>
      <w:r>
        <w:rPr>
          <w:rFonts w:hint="eastAsia" w:ascii="宋体" w:hAnsi="宋体"/>
          <w:b/>
          <w:kern w:val="44"/>
        </w:rPr>
        <w:t>第三十五条</w:t>
      </w:r>
      <w:r>
        <w:rPr>
          <w:rFonts w:hint="eastAsia" w:ascii="宋体" w:hAnsi="宋体"/>
          <w:kern w:val="44"/>
        </w:rPr>
        <w:t>　新建民用建筑、既有建筑节能改造项目的供热计量和温控装置经验收交付后，供热单位应当按照本市规定实行供热计量，并与用户签订按照供热计量收费的供用热合同。</w:t>
      </w:r>
    </w:p>
    <w:p w14:paraId="337A6973">
      <w:pPr>
        <w:jc w:val="left"/>
        <w:rPr>
          <w:rFonts w:ascii="宋体" w:hAnsi="宋体"/>
          <w:kern w:val="44"/>
        </w:rPr>
      </w:pPr>
      <w:r>
        <w:rPr>
          <w:rFonts w:hint="eastAsia" w:ascii="宋体" w:hAnsi="宋体"/>
          <w:kern w:val="44"/>
        </w:rPr>
        <w:t>供热单位应当在民用建筑区的显著位置公示实行供热计量信息及其收费标准和收费办法。应当实行供热计量的民用建筑，供热单位未按照供热计量方式收取费用的，用户可以按照供热计量收费的基本热价标准交纳采暖费。</w:t>
      </w:r>
    </w:p>
    <w:p w14:paraId="17F9B6CF">
      <w:pPr>
        <w:ind w:firstLine="422"/>
        <w:jc w:val="left"/>
        <w:rPr>
          <w:rFonts w:ascii="宋体" w:hAnsi="宋体"/>
          <w:kern w:val="44"/>
        </w:rPr>
      </w:pPr>
      <w:r>
        <w:rPr>
          <w:rFonts w:hint="eastAsia" w:ascii="宋体" w:hAnsi="宋体"/>
          <w:b/>
          <w:kern w:val="44"/>
        </w:rPr>
        <w:t>第三十六条</w:t>
      </w:r>
      <w:r>
        <w:rPr>
          <w:rFonts w:hint="eastAsia" w:ascii="宋体" w:hAnsi="宋体"/>
          <w:kern w:val="44"/>
        </w:rPr>
        <w:t>　供热单位应当负责并做好供热计量与温控装置的管理、维护、抢修、更新改造等工作，并加强巡检，提高节能运行水平。供热单位应当定期监测水质，并在非供暖季，对供热系统实施充水保养。</w:t>
      </w:r>
    </w:p>
    <w:p w14:paraId="69EB5045">
      <w:pPr>
        <w:jc w:val="left"/>
        <w:rPr>
          <w:rFonts w:ascii="宋体" w:hAnsi="宋体"/>
          <w:kern w:val="44"/>
        </w:rPr>
      </w:pPr>
      <w:r>
        <w:rPr>
          <w:rFonts w:hint="eastAsia" w:ascii="宋体" w:hAnsi="宋体"/>
          <w:kern w:val="44"/>
        </w:rPr>
        <w:t>市政市容行政主管部门应当做好本市供热计量监督管理工作，畅通供热计量投诉、举报渠道，对用户反映的供热计量意见，及时受理和处理；发现供热单位不按照规定实行供热计量的，应当督促供热单位及时整改，并移送城市管理综合执法部门处理。</w:t>
      </w:r>
    </w:p>
    <w:p w14:paraId="56C1CEC2">
      <w:pPr>
        <w:jc w:val="left"/>
        <w:rPr>
          <w:rFonts w:ascii="宋体" w:hAnsi="宋体"/>
          <w:kern w:val="44"/>
        </w:rPr>
      </w:pPr>
    </w:p>
    <w:p w14:paraId="2CE779D9">
      <w:pPr>
        <w:ind w:firstLine="0" w:firstLineChars="0"/>
        <w:jc w:val="center"/>
        <w:rPr>
          <w:rFonts w:ascii="宋体" w:hAnsi="宋体"/>
          <w:b/>
          <w:kern w:val="44"/>
          <w:sz w:val="28"/>
        </w:rPr>
      </w:pPr>
      <w:r>
        <w:rPr>
          <w:rFonts w:hint="eastAsia" w:ascii="宋体" w:hAnsi="宋体"/>
          <w:b/>
          <w:kern w:val="44"/>
          <w:sz w:val="28"/>
        </w:rPr>
        <w:t>第五章　法律责任</w:t>
      </w:r>
    </w:p>
    <w:p w14:paraId="39EE1387">
      <w:pPr>
        <w:jc w:val="left"/>
        <w:rPr>
          <w:rFonts w:ascii="宋体" w:hAnsi="宋体"/>
          <w:kern w:val="44"/>
        </w:rPr>
      </w:pPr>
    </w:p>
    <w:p w14:paraId="45B38F97">
      <w:pPr>
        <w:ind w:firstLine="422"/>
        <w:jc w:val="left"/>
        <w:rPr>
          <w:rFonts w:ascii="宋体" w:hAnsi="宋体"/>
          <w:kern w:val="44"/>
        </w:rPr>
      </w:pPr>
      <w:r>
        <w:rPr>
          <w:rFonts w:hint="eastAsia" w:ascii="宋体" w:hAnsi="宋体"/>
          <w:b/>
          <w:kern w:val="44"/>
        </w:rPr>
        <w:t>第三十七条</w:t>
      </w:r>
      <w:r>
        <w:rPr>
          <w:rFonts w:hint="eastAsia" w:ascii="宋体" w:hAnsi="宋体"/>
          <w:kern w:val="44"/>
        </w:rPr>
        <w:t>　建设单位、设计单位、施工单位、监理单位违反本办法规定，未按照民用建筑节能要求建设、设计、施工、监理的，按照《建设工程质量管理条例》、《民用建筑节能条例》及相关法律法规处理。</w:t>
      </w:r>
    </w:p>
    <w:p w14:paraId="0A7B94A3">
      <w:pPr>
        <w:ind w:firstLine="422"/>
        <w:jc w:val="left"/>
        <w:rPr>
          <w:rFonts w:ascii="宋体" w:hAnsi="宋体"/>
          <w:kern w:val="44"/>
        </w:rPr>
      </w:pPr>
      <w:r>
        <w:rPr>
          <w:rFonts w:hint="eastAsia" w:ascii="宋体" w:hAnsi="宋体"/>
          <w:b/>
          <w:kern w:val="44"/>
        </w:rPr>
        <w:t>第三十八条</w:t>
      </w:r>
      <w:r>
        <w:rPr>
          <w:rFonts w:hint="eastAsia" w:ascii="宋体" w:hAnsi="宋体"/>
          <w:kern w:val="44"/>
        </w:rPr>
        <w:t>　违反本办法第二十二条规定，建设单位未按照规定履行相关信息告知义务的，由住房城乡建设行政主管部门责令限期改正，处1万元以上3万元以下罚款。</w:t>
      </w:r>
    </w:p>
    <w:p w14:paraId="5E91B5EA">
      <w:pPr>
        <w:ind w:firstLine="422"/>
        <w:jc w:val="left"/>
        <w:rPr>
          <w:rFonts w:ascii="宋体" w:hAnsi="宋体"/>
          <w:kern w:val="44"/>
        </w:rPr>
      </w:pPr>
      <w:r>
        <w:rPr>
          <w:rFonts w:hint="eastAsia" w:ascii="宋体" w:hAnsi="宋体"/>
          <w:b/>
          <w:kern w:val="44"/>
        </w:rPr>
        <w:t>第三十九条</w:t>
      </w:r>
      <w:r>
        <w:rPr>
          <w:rFonts w:hint="eastAsia" w:ascii="宋体" w:hAnsi="宋体"/>
          <w:kern w:val="44"/>
        </w:rPr>
        <w:t>　违反本办法第二十五条规定，公共建筑的所有权人在进行改建、扩建或者外部装饰装修工程时，未按照规定同时进行相关节能改造的，由住房城乡建设行政主管部门责令限期改正，处3万元以上10万元以下罚款。</w:t>
      </w:r>
    </w:p>
    <w:p w14:paraId="7CA85129">
      <w:pPr>
        <w:ind w:firstLine="422"/>
        <w:jc w:val="left"/>
        <w:rPr>
          <w:rFonts w:ascii="宋体" w:hAnsi="宋体"/>
          <w:kern w:val="44"/>
        </w:rPr>
      </w:pPr>
      <w:r>
        <w:rPr>
          <w:rFonts w:hint="eastAsia" w:ascii="宋体" w:hAnsi="宋体"/>
          <w:b/>
          <w:kern w:val="44"/>
        </w:rPr>
        <w:t>第四十条</w:t>
      </w:r>
      <w:r>
        <w:rPr>
          <w:rFonts w:hint="eastAsia" w:ascii="宋体" w:hAnsi="宋体"/>
          <w:kern w:val="44"/>
        </w:rPr>
        <w:t>　违反本办法第三十一条第二款规定，重点公共建筑连续两年超过年度能耗限额20％的，由住房城乡建设行政主管部门责令改正，处3万元以上10万元以下罚款。</w:t>
      </w:r>
    </w:p>
    <w:p w14:paraId="55A48EFB">
      <w:pPr>
        <w:ind w:firstLine="422"/>
        <w:jc w:val="left"/>
        <w:rPr>
          <w:rFonts w:ascii="宋体" w:hAnsi="宋体"/>
          <w:kern w:val="44"/>
        </w:rPr>
      </w:pPr>
      <w:r>
        <w:rPr>
          <w:rFonts w:hint="eastAsia" w:ascii="宋体" w:hAnsi="宋体"/>
          <w:b/>
          <w:kern w:val="44"/>
        </w:rPr>
        <w:t>第四十一条</w:t>
      </w:r>
      <w:r>
        <w:rPr>
          <w:rFonts w:hint="eastAsia" w:ascii="宋体" w:hAnsi="宋体"/>
          <w:kern w:val="44"/>
        </w:rPr>
        <w:t>　违反本办法第三十二条规定，未按照要求开展能源审计、未按照规定报送能源审计结果或者报送虚假审计报告的，由住房城乡建设行政主管部门责令改正，逾期不改正的，处1万元以上3万元以下罚款。</w:t>
      </w:r>
    </w:p>
    <w:p w14:paraId="591755ED">
      <w:pPr>
        <w:ind w:firstLine="422"/>
        <w:jc w:val="left"/>
        <w:rPr>
          <w:rFonts w:ascii="宋体" w:hAnsi="宋体"/>
          <w:kern w:val="44"/>
        </w:rPr>
      </w:pPr>
      <w:r>
        <w:rPr>
          <w:rFonts w:hint="eastAsia" w:ascii="宋体" w:hAnsi="宋体"/>
          <w:b/>
          <w:kern w:val="44"/>
        </w:rPr>
        <w:t>第四十二条</w:t>
      </w:r>
      <w:r>
        <w:rPr>
          <w:rFonts w:hint="eastAsia" w:ascii="宋体" w:hAnsi="宋体"/>
          <w:kern w:val="44"/>
        </w:rPr>
        <w:t>　违反本办法第三十三条规定，损坏建筑物围护结构保温层的，由住房城乡建设行政主管部门责令改正，情节严重的，可处1000元以上1万元以下罚款。损坏供热计量装置与调控系统的，由城市管理综合执法部门责令改正，可处500元以上1000元以下罚款；情节严重，影响正常供热的，可处1000元以上1万元以下罚款。</w:t>
      </w:r>
    </w:p>
    <w:p w14:paraId="0094100F">
      <w:pPr>
        <w:ind w:firstLine="422"/>
        <w:jc w:val="left"/>
        <w:rPr>
          <w:rFonts w:ascii="宋体" w:hAnsi="宋体"/>
          <w:kern w:val="44"/>
        </w:rPr>
      </w:pPr>
      <w:r>
        <w:rPr>
          <w:rFonts w:hint="eastAsia" w:ascii="宋体" w:hAnsi="宋体"/>
          <w:b/>
          <w:kern w:val="44"/>
        </w:rPr>
        <w:t>第四十三条</w:t>
      </w:r>
      <w:r>
        <w:rPr>
          <w:rFonts w:hint="eastAsia" w:ascii="宋体" w:hAnsi="宋体"/>
          <w:kern w:val="44"/>
        </w:rPr>
        <w:t>　违反本办法第三十四条规定，公共建筑的运行管理单位或者使用人不按照规定执行公共建筑室内温度控制的，由住房城乡建设行政主管部门责令限期改正，逾期不改正的，处1000元以上5000元以下罚款。</w:t>
      </w:r>
    </w:p>
    <w:p w14:paraId="4DEBF792">
      <w:pPr>
        <w:ind w:firstLine="422"/>
        <w:jc w:val="left"/>
        <w:rPr>
          <w:rFonts w:ascii="宋体" w:hAnsi="宋体"/>
          <w:kern w:val="44"/>
        </w:rPr>
      </w:pPr>
      <w:r>
        <w:rPr>
          <w:rFonts w:hint="eastAsia" w:ascii="宋体" w:hAnsi="宋体"/>
          <w:b/>
          <w:kern w:val="44"/>
        </w:rPr>
        <w:t>第四十四条</w:t>
      </w:r>
      <w:r>
        <w:rPr>
          <w:rFonts w:hint="eastAsia" w:ascii="宋体" w:hAnsi="宋体"/>
          <w:kern w:val="44"/>
        </w:rPr>
        <w:t>　违反本办法第三十五条规定，新建民用建筑、既有建筑节能改造项目的供热计量和温控装置经验收交付后，供热单位不实行供热计量的，由城市管理综合执法部门责令供热单位限期整改，逾期不改正的，处3万元罚款。</w:t>
      </w:r>
    </w:p>
    <w:p w14:paraId="2909F746">
      <w:pPr>
        <w:jc w:val="left"/>
        <w:rPr>
          <w:rFonts w:ascii="宋体" w:hAnsi="宋体"/>
          <w:kern w:val="44"/>
        </w:rPr>
      </w:pPr>
    </w:p>
    <w:p w14:paraId="61840DC1">
      <w:pPr>
        <w:ind w:firstLine="0" w:firstLineChars="0"/>
        <w:jc w:val="center"/>
        <w:rPr>
          <w:rFonts w:ascii="宋体" w:hAnsi="宋体"/>
          <w:b/>
          <w:kern w:val="44"/>
          <w:sz w:val="28"/>
        </w:rPr>
      </w:pPr>
      <w:r>
        <w:rPr>
          <w:rFonts w:hint="eastAsia" w:ascii="宋体" w:hAnsi="宋体"/>
          <w:b/>
          <w:kern w:val="44"/>
          <w:sz w:val="28"/>
        </w:rPr>
        <w:t>第六章　附　则</w:t>
      </w:r>
    </w:p>
    <w:p w14:paraId="27D40E66">
      <w:pPr>
        <w:jc w:val="left"/>
        <w:rPr>
          <w:rFonts w:ascii="宋体" w:hAnsi="宋体"/>
          <w:kern w:val="44"/>
        </w:rPr>
      </w:pPr>
    </w:p>
    <w:p w14:paraId="3E6D107E">
      <w:pPr>
        <w:ind w:firstLine="422"/>
        <w:jc w:val="left"/>
        <w:rPr>
          <w:rFonts w:ascii="宋体" w:hAnsi="宋体"/>
          <w:kern w:val="44"/>
        </w:rPr>
      </w:pPr>
      <w:r>
        <w:rPr>
          <w:rFonts w:hint="eastAsia" w:ascii="宋体" w:hAnsi="宋体"/>
          <w:b/>
          <w:kern w:val="44"/>
        </w:rPr>
        <w:t>第四十五条</w:t>
      </w:r>
      <w:r>
        <w:rPr>
          <w:rFonts w:hint="eastAsia" w:ascii="宋体" w:hAnsi="宋体"/>
          <w:kern w:val="44"/>
        </w:rPr>
        <w:t>　本办法所称的新建民用建筑包括新建、改建、扩建和翻建的民用建筑。</w:t>
      </w:r>
    </w:p>
    <w:p w14:paraId="2732B5DA">
      <w:pPr>
        <w:ind w:firstLine="422"/>
        <w:jc w:val="left"/>
        <w:rPr>
          <w:rFonts w:ascii="宋体" w:hAnsi="宋体"/>
          <w:kern w:val="44"/>
        </w:rPr>
      </w:pPr>
      <w:r>
        <w:rPr>
          <w:rFonts w:hint="eastAsia" w:ascii="宋体" w:hAnsi="宋体"/>
          <w:b/>
          <w:kern w:val="44"/>
        </w:rPr>
        <w:t>第四十六条</w:t>
      </w:r>
      <w:r>
        <w:rPr>
          <w:rFonts w:hint="eastAsia" w:ascii="宋体" w:hAnsi="宋体"/>
          <w:kern w:val="44"/>
        </w:rPr>
        <w:t>　本办法自2014年8月1日起施行。2001年8月14日北京市人民政府令第80号发布的《北京市建筑节能管理规定》同时废止。</w:t>
      </w:r>
    </w:p>
    <w:p w14:paraId="5AF590FE">
      <w:pPr>
        <w:pStyle w:val="3"/>
        <w:pageBreakBefore/>
        <w:rPr>
          <w:kern w:val="44"/>
        </w:rPr>
      </w:pPr>
      <w:bookmarkStart w:id="952" w:name="_Toc428781596"/>
      <w:bookmarkStart w:id="953" w:name="_Toc427651548"/>
      <w:bookmarkStart w:id="954" w:name="_Toc427651890"/>
      <w:bookmarkStart w:id="955" w:name="_Toc422471256"/>
      <w:bookmarkStart w:id="956" w:name="_Toc428780114"/>
      <w:r>
        <w:rPr>
          <w:rFonts w:hint="eastAsia"/>
          <w:kern w:val="44"/>
        </w:rPr>
        <w:t>（六）房地产</w:t>
      </w:r>
      <w:bookmarkEnd w:id="952"/>
      <w:bookmarkEnd w:id="953"/>
      <w:bookmarkEnd w:id="954"/>
      <w:bookmarkEnd w:id="955"/>
      <w:bookmarkEnd w:id="956"/>
    </w:p>
    <w:p w14:paraId="4A347993"/>
    <w:p w14:paraId="288C9D7C">
      <w:pPr>
        <w:pStyle w:val="4"/>
        <w:rPr>
          <w:kern w:val="44"/>
        </w:rPr>
      </w:pPr>
      <w:bookmarkStart w:id="957" w:name="_Toc427651549"/>
      <w:bookmarkStart w:id="958" w:name="_Toc427651891"/>
      <w:bookmarkStart w:id="959" w:name="_Toc428780115"/>
      <w:bookmarkStart w:id="960" w:name="_Toc422471257"/>
      <w:bookmarkStart w:id="961" w:name="_Toc428781597"/>
      <w:r>
        <w:rPr>
          <w:rFonts w:hint="eastAsia"/>
          <w:kern w:val="44"/>
        </w:rPr>
        <w:t>北京市人民政府关于城市</w:t>
      </w:r>
      <w:bookmarkEnd w:id="957"/>
      <w:bookmarkEnd w:id="958"/>
      <w:bookmarkEnd w:id="959"/>
      <w:bookmarkEnd w:id="960"/>
      <w:bookmarkEnd w:id="961"/>
    </w:p>
    <w:p w14:paraId="1D8D2712">
      <w:pPr>
        <w:pStyle w:val="4"/>
        <w:rPr>
          <w:kern w:val="44"/>
        </w:rPr>
      </w:pPr>
      <w:bookmarkStart w:id="962" w:name="_Toc427651892"/>
      <w:bookmarkStart w:id="963" w:name="_Toc427651550"/>
      <w:bookmarkStart w:id="964" w:name="_Toc428780116"/>
      <w:bookmarkStart w:id="965" w:name="_Toc428781598"/>
      <w:bookmarkStart w:id="966" w:name="_Toc422471258"/>
      <w:r>
        <w:rPr>
          <w:rFonts w:hint="eastAsia"/>
          <w:kern w:val="44"/>
        </w:rPr>
        <w:t>公有房屋管理的若干规定</w:t>
      </w:r>
      <w:bookmarkEnd w:id="962"/>
      <w:bookmarkEnd w:id="963"/>
      <w:bookmarkEnd w:id="964"/>
      <w:bookmarkEnd w:id="965"/>
      <w:bookmarkEnd w:id="966"/>
    </w:p>
    <w:p w14:paraId="7F76836C">
      <w:pPr>
        <w:ind w:left="630" w:leftChars="300" w:right="630" w:rightChars="300"/>
        <w:jc w:val="left"/>
        <w:rPr>
          <w:rFonts w:ascii="楷体" w:hAnsi="楷体" w:eastAsia="楷体"/>
          <w:kern w:val="44"/>
        </w:rPr>
      </w:pPr>
      <w:r>
        <w:rPr>
          <w:rFonts w:hint="eastAsia" w:ascii="楷体" w:hAnsi="楷体" w:eastAsia="楷体"/>
          <w:kern w:val="44"/>
        </w:rPr>
        <w:t>（1987年8月28日北京市人民政府京政发109号文件发布  根据1997年12月31日北京市人民政府第12号令修改）</w:t>
      </w:r>
    </w:p>
    <w:p w14:paraId="7EEC406B">
      <w:pPr>
        <w:jc w:val="left"/>
        <w:rPr>
          <w:rFonts w:ascii="宋体" w:hAnsi="宋体"/>
          <w:kern w:val="44"/>
        </w:rPr>
      </w:pPr>
    </w:p>
    <w:p w14:paraId="079C162A">
      <w:pPr>
        <w:jc w:val="left"/>
        <w:rPr>
          <w:rFonts w:ascii="宋体" w:hAnsi="宋体"/>
          <w:kern w:val="44"/>
        </w:rPr>
      </w:pPr>
      <w:r>
        <w:rPr>
          <w:rFonts w:hint="eastAsia" w:ascii="宋体" w:hAnsi="宋体"/>
          <w:kern w:val="44"/>
        </w:rPr>
        <w:t>为加强城市公有房屋的保护管理，维护管理秩序，促进房屋的合理使用，根据国家有关法律，结合本市实际情况，作如下规定。</w:t>
      </w:r>
    </w:p>
    <w:p w14:paraId="583B8940">
      <w:pPr>
        <w:ind w:firstLine="422"/>
        <w:jc w:val="left"/>
        <w:rPr>
          <w:rFonts w:ascii="宋体" w:hAnsi="宋体"/>
          <w:kern w:val="44"/>
        </w:rPr>
      </w:pPr>
      <w:r>
        <w:rPr>
          <w:rFonts w:hint="eastAsia" w:ascii="宋体" w:hAnsi="宋体"/>
          <w:b/>
          <w:kern w:val="44"/>
        </w:rPr>
        <w:t>一、</w:t>
      </w:r>
      <w:r>
        <w:rPr>
          <w:rFonts w:hint="eastAsia" w:ascii="宋体" w:hAnsi="宋体"/>
          <w:kern w:val="44"/>
        </w:rPr>
        <w:t>凡本市城区、近郊区、远郊县城、建制镇和工矿区的公有房屋（以下简称公房），均按本规定管理。</w:t>
      </w:r>
    </w:p>
    <w:p w14:paraId="0C21FEC7">
      <w:pPr>
        <w:ind w:firstLine="422"/>
        <w:jc w:val="left"/>
        <w:rPr>
          <w:rFonts w:ascii="宋体" w:hAnsi="宋体"/>
          <w:kern w:val="44"/>
        </w:rPr>
      </w:pPr>
      <w:r>
        <w:rPr>
          <w:rFonts w:hint="eastAsia" w:ascii="宋体" w:hAnsi="宋体"/>
          <w:b/>
          <w:kern w:val="44"/>
        </w:rPr>
        <w:t>二、</w:t>
      </w:r>
      <w:r>
        <w:rPr>
          <w:rFonts w:hint="eastAsia" w:ascii="宋体" w:hAnsi="宋体"/>
          <w:kern w:val="44"/>
        </w:rPr>
        <w:t>市房屋土地管理局是全市房屋的行政管理机关，区、县房屋土地管理局是本区、县房屋的行政管理机关（市和区、县房屋土地管理局及其下属管理机构统称房管机关）。</w:t>
      </w:r>
    </w:p>
    <w:p w14:paraId="6C1446CF">
      <w:pPr>
        <w:jc w:val="left"/>
        <w:rPr>
          <w:rFonts w:ascii="宋体" w:hAnsi="宋体"/>
          <w:kern w:val="44"/>
        </w:rPr>
      </w:pPr>
      <w:r>
        <w:rPr>
          <w:rFonts w:hint="eastAsia" w:ascii="宋体" w:hAnsi="宋体"/>
          <w:kern w:val="44"/>
        </w:rPr>
        <w:t>一切单位和个人，管理和使用公房，都必须遵守本规定，接受各级房管机关的监督管理。</w:t>
      </w:r>
    </w:p>
    <w:p w14:paraId="1E9EE5FA">
      <w:pPr>
        <w:ind w:firstLine="422"/>
        <w:jc w:val="left"/>
        <w:rPr>
          <w:rFonts w:ascii="宋体" w:hAnsi="宋体"/>
          <w:kern w:val="44"/>
        </w:rPr>
      </w:pPr>
      <w:r>
        <w:rPr>
          <w:rFonts w:hint="eastAsia" w:ascii="宋体" w:hAnsi="宋体"/>
          <w:b/>
          <w:kern w:val="44"/>
        </w:rPr>
        <w:t>三、</w:t>
      </w:r>
      <w:r>
        <w:rPr>
          <w:rFonts w:hint="eastAsia" w:ascii="宋体" w:hAnsi="宋体"/>
          <w:kern w:val="44"/>
        </w:rPr>
        <w:t>全民所有和集体所有的房屋，都是公房。全民所有的公房，所有权属于国家。集体所有的公房，所有权属于集体单位。公房分别不同情况，按下列原则管理：</w:t>
      </w:r>
    </w:p>
    <w:p w14:paraId="53F5B9B7">
      <w:pPr>
        <w:jc w:val="left"/>
        <w:rPr>
          <w:rFonts w:ascii="宋体" w:hAnsi="宋体"/>
          <w:kern w:val="44"/>
        </w:rPr>
      </w:pPr>
      <w:r>
        <w:rPr>
          <w:rFonts w:hint="eastAsia" w:ascii="宋体" w:hAnsi="宋体"/>
          <w:kern w:val="44"/>
        </w:rPr>
        <w:t>（一）机关、团体、学校等行政、事业单位使用的全民所有的公房，由房管机关所属的管房单位直接管理，或按现实情况由各该单位自行管理。</w:t>
      </w:r>
    </w:p>
    <w:p w14:paraId="36CFE6F4">
      <w:pPr>
        <w:jc w:val="left"/>
        <w:rPr>
          <w:rFonts w:ascii="宋体" w:hAnsi="宋体"/>
          <w:kern w:val="44"/>
        </w:rPr>
      </w:pPr>
      <w:r>
        <w:rPr>
          <w:rFonts w:hint="eastAsia" w:ascii="宋体" w:hAnsi="宋体"/>
          <w:kern w:val="44"/>
        </w:rPr>
        <w:t>（二）国有企业使用的全民所有的公房，除由房管机关所属单位或其他行政事业单位管理的以外，属国家授予企业经营管理的固定资产，由企业负责管理。</w:t>
      </w:r>
    </w:p>
    <w:p w14:paraId="18D0CCAA">
      <w:pPr>
        <w:jc w:val="left"/>
        <w:rPr>
          <w:rFonts w:ascii="宋体" w:hAnsi="宋体"/>
          <w:kern w:val="44"/>
        </w:rPr>
      </w:pPr>
      <w:r>
        <w:rPr>
          <w:rFonts w:hint="eastAsia" w:ascii="宋体" w:hAnsi="宋体"/>
          <w:kern w:val="44"/>
        </w:rPr>
        <w:t>（三）集体所有制单位自建、自购的房屋，属本单位所有，由本单位管理。</w:t>
      </w:r>
    </w:p>
    <w:p w14:paraId="0E15F34A">
      <w:pPr>
        <w:jc w:val="left"/>
        <w:rPr>
          <w:rFonts w:ascii="宋体" w:hAnsi="宋体"/>
          <w:kern w:val="44"/>
        </w:rPr>
      </w:pPr>
      <w:r>
        <w:rPr>
          <w:rFonts w:hint="eastAsia" w:ascii="宋体" w:hAnsi="宋体"/>
          <w:kern w:val="44"/>
        </w:rPr>
        <w:t>集体所有制企业使用的全民所有的公房，分别不同情况，按以上第（一）、（二）项规定管理。</w:t>
      </w:r>
    </w:p>
    <w:p w14:paraId="15A95DBD">
      <w:pPr>
        <w:jc w:val="left"/>
        <w:rPr>
          <w:rFonts w:ascii="宋体" w:hAnsi="宋体"/>
          <w:kern w:val="44"/>
        </w:rPr>
      </w:pPr>
      <w:r>
        <w:rPr>
          <w:rFonts w:hint="eastAsia" w:ascii="宋体" w:hAnsi="宋体"/>
          <w:kern w:val="44"/>
        </w:rPr>
        <w:t>（四）居民租用的公房，由出租公房的单位管理。</w:t>
      </w:r>
    </w:p>
    <w:p w14:paraId="414EE0E2">
      <w:pPr>
        <w:jc w:val="left"/>
        <w:rPr>
          <w:rFonts w:ascii="宋体" w:hAnsi="宋体"/>
          <w:kern w:val="44"/>
        </w:rPr>
      </w:pPr>
      <w:r>
        <w:rPr>
          <w:rFonts w:hint="eastAsia" w:ascii="宋体" w:hAnsi="宋体"/>
          <w:kern w:val="44"/>
        </w:rPr>
        <w:t>（五）外地的机关、团体、企事业单位在本市建、购的房屋，由建、购单位管理。</w:t>
      </w:r>
    </w:p>
    <w:p w14:paraId="6A99CFCF">
      <w:pPr>
        <w:jc w:val="left"/>
        <w:rPr>
          <w:rFonts w:ascii="宋体" w:hAnsi="宋体"/>
          <w:kern w:val="44"/>
        </w:rPr>
      </w:pPr>
      <w:r>
        <w:rPr>
          <w:rFonts w:hint="eastAsia" w:ascii="宋体" w:hAnsi="宋体"/>
          <w:kern w:val="44"/>
        </w:rPr>
        <w:t>（六）楼房住宅小区范围内的公房，分属若干单位管理的，由区、县房管机关指定房屋数量较多的单位牵头，与其他单位组成协调机构，负责协调本小区住宅管理的有关事宜。</w:t>
      </w:r>
    </w:p>
    <w:p w14:paraId="4ABCB190">
      <w:pPr>
        <w:jc w:val="left"/>
        <w:rPr>
          <w:rFonts w:ascii="宋体" w:hAnsi="宋体"/>
          <w:kern w:val="44"/>
        </w:rPr>
      </w:pPr>
      <w:r>
        <w:rPr>
          <w:rFonts w:hint="eastAsia" w:ascii="宋体" w:hAnsi="宋体"/>
          <w:kern w:val="44"/>
        </w:rPr>
        <w:t>集体所有制单位自建自购的房屋，其本单位为所有权单位；全民所有的公房，由本条第（一）至（五）项规定的各管理单位代表国家行使对公房的所有权。管理单位可视为所有权单位（以下即统称所有权单位）。</w:t>
      </w:r>
    </w:p>
    <w:p w14:paraId="69A35F31">
      <w:pPr>
        <w:ind w:firstLine="422"/>
        <w:jc w:val="left"/>
        <w:rPr>
          <w:rFonts w:ascii="宋体" w:hAnsi="宋体"/>
          <w:kern w:val="44"/>
        </w:rPr>
      </w:pPr>
      <w:r>
        <w:rPr>
          <w:rFonts w:hint="eastAsia" w:ascii="宋体" w:hAnsi="宋体"/>
          <w:b/>
          <w:kern w:val="44"/>
        </w:rPr>
        <w:t>四、</w:t>
      </w:r>
      <w:r>
        <w:rPr>
          <w:rFonts w:hint="eastAsia" w:ascii="宋体" w:hAnsi="宋体"/>
          <w:kern w:val="44"/>
        </w:rPr>
        <w:t>公房实行登记制度。公房的所有权单位须持有关证件，向房屋所在区、县的房管机关申请房产登记，经审查确认，发给《房屋所有权证》。</w:t>
      </w:r>
    </w:p>
    <w:p w14:paraId="672B4FCD">
      <w:pPr>
        <w:jc w:val="left"/>
        <w:rPr>
          <w:rFonts w:ascii="宋体" w:hAnsi="宋体"/>
          <w:kern w:val="44"/>
        </w:rPr>
      </w:pPr>
      <w:r>
        <w:rPr>
          <w:rFonts w:hint="eastAsia" w:ascii="宋体" w:hAnsi="宋体"/>
          <w:kern w:val="44"/>
        </w:rPr>
        <w:t>新建公房的所有权单位，应在竣工后6个月内申请登记。公房所有权转移或改建、扩建等房屋现状变更，应自转移、变更之日起1年内办理登记手续。因故不能按期登记的，经房管机关同意，可以缓期登记。凡无正当理由不按期登记的，每逾期1个月，由区、县房管机关按建筑面积每平方米处1角的罚款，但罚款总额不超过3万元。</w:t>
      </w:r>
    </w:p>
    <w:p w14:paraId="6D524A44">
      <w:pPr>
        <w:ind w:firstLine="422"/>
        <w:jc w:val="left"/>
        <w:rPr>
          <w:rFonts w:ascii="宋体" w:hAnsi="宋体"/>
          <w:kern w:val="44"/>
        </w:rPr>
      </w:pPr>
      <w:r>
        <w:rPr>
          <w:rFonts w:hint="eastAsia" w:ascii="宋体" w:hAnsi="宋体"/>
          <w:b/>
          <w:kern w:val="44"/>
        </w:rPr>
        <w:t>五、</w:t>
      </w:r>
      <w:r>
        <w:rPr>
          <w:rFonts w:hint="eastAsia" w:ascii="宋体" w:hAnsi="宋体"/>
          <w:kern w:val="44"/>
        </w:rPr>
        <w:t>《房屋所有权证》由所有权单位妥善保管。禁止涂改。因涂改造成不良后果的，必须追究其行政责任或法律责任。</w:t>
      </w:r>
    </w:p>
    <w:p w14:paraId="2D3651CD">
      <w:pPr>
        <w:ind w:firstLine="422"/>
        <w:jc w:val="left"/>
        <w:rPr>
          <w:rFonts w:ascii="宋体" w:hAnsi="宋体"/>
          <w:kern w:val="44"/>
        </w:rPr>
      </w:pPr>
      <w:r>
        <w:rPr>
          <w:rFonts w:hint="eastAsia" w:ascii="宋体" w:hAnsi="宋体"/>
          <w:b/>
          <w:kern w:val="44"/>
        </w:rPr>
        <w:t>六、</w:t>
      </w:r>
      <w:r>
        <w:rPr>
          <w:rFonts w:hint="eastAsia" w:ascii="宋体" w:hAnsi="宋体"/>
          <w:kern w:val="44"/>
        </w:rPr>
        <w:t>各级房管机关要加强对房产登记资料的管理，建立完整的房产档案。档案资料要准确地反映房屋的座落地点、所有权归属和房屋的结构、层数、面积、设备、用途、建筑年代、变更情况等全貌。</w:t>
      </w:r>
    </w:p>
    <w:p w14:paraId="128743B7">
      <w:pPr>
        <w:ind w:firstLine="422"/>
        <w:jc w:val="left"/>
        <w:rPr>
          <w:rFonts w:ascii="宋体" w:hAnsi="宋体"/>
          <w:kern w:val="44"/>
        </w:rPr>
      </w:pPr>
      <w:r>
        <w:rPr>
          <w:rFonts w:hint="eastAsia" w:ascii="宋体" w:hAnsi="宋体"/>
          <w:b/>
          <w:kern w:val="44"/>
        </w:rPr>
        <w:t>七、</w:t>
      </w:r>
      <w:r>
        <w:rPr>
          <w:rFonts w:hint="eastAsia" w:ascii="宋体" w:hAnsi="宋体"/>
          <w:kern w:val="44"/>
        </w:rPr>
        <w:t>使用公房，应贯彻合理和节约的原则，按房屋的设计用途使用，节约用房。地处主要大街的铺面房，应作商业、服务业使用。</w:t>
      </w:r>
    </w:p>
    <w:p w14:paraId="09D00D8A">
      <w:pPr>
        <w:ind w:firstLine="422"/>
        <w:jc w:val="left"/>
        <w:rPr>
          <w:rFonts w:ascii="宋体" w:hAnsi="宋体"/>
          <w:kern w:val="44"/>
        </w:rPr>
      </w:pPr>
      <w:r>
        <w:rPr>
          <w:rFonts w:hint="eastAsia" w:ascii="宋体" w:hAnsi="宋体"/>
          <w:b/>
          <w:kern w:val="44"/>
        </w:rPr>
        <w:t>八、</w:t>
      </w:r>
      <w:r>
        <w:rPr>
          <w:rFonts w:hint="eastAsia" w:ascii="宋体" w:hAnsi="宋体"/>
          <w:kern w:val="44"/>
        </w:rPr>
        <w:t>公房所有权单位，应根据方便生活、有利生产、自愿互利的原则，开展职工住房的互换工作，帮助职工解决上班路远、居住不便等实际困难。</w:t>
      </w:r>
    </w:p>
    <w:p w14:paraId="73DC322B">
      <w:pPr>
        <w:ind w:firstLine="422"/>
        <w:jc w:val="left"/>
        <w:rPr>
          <w:rFonts w:ascii="宋体" w:hAnsi="宋体"/>
          <w:kern w:val="44"/>
        </w:rPr>
      </w:pPr>
      <w:r>
        <w:rPr>
          <w:rFonts w:hint="eastAsia" w:ascii="宋体" w:hAnsi="宋体"/>
          <w:b/>
          <w:kern w:val="44"/>
        </w:rPr>
        <w:t>九、</w:t>
      </w:r>
      <w:r>
        <w:rPr>
          <w:rFonts w:hint="eastAsia" w:ascii="宋体" w:hAnsi="宋体"/>
          <w:kern w:val="44"/>
        </w:rPr>
        <w:t>使用公房，必须经所有权单位同意，不得擅自进住。违者，所有权单位有权责令其迁出和赔偿由此而造成的经济损失，或诉请房管机关或司法机关解决。</w:t>
      </w:r>
    </w:p>
    <w:p w14:paraId="18014EBE">
      <w:pPr>
        <w:ind w:firstLine="422"/>
        <w:jc w:val="left"/>
        <w:rPr>
          <w:rFonts w:ascii="宋体" w:hAnsi="宋体"/>
          <w:kern w:val="44"/>
        </w:rPr>
      </w:pPr>
      <w:r>
        <w:rPr>
          <w:rFonts w:hint="eastAsia" w:ascii="宋体" w:hAnsi="宋体"/>
          <w:b/>
          <w:kern w:val="44"/>
        </w:rPr>
        <w:t>十、</w:t>
      </w:r>
      <w:r>
        <w:rPr>
          <w:rFonts w:hint="eastAsia" w:ascii="宋体" w:hAnsi="宋体"/>
          <w:kern w:val="44"/>
        </w:rPr>
        <w:t>公房买卖必须按房管机关的规定进行。</w:t>
      </w:r>
    </w:p>
    <w:p w14:paraId="0BDECE61">
      <w:pPr>
        <w:jc w:val="left"/>
        <w:rPr>
          <w:rFonts w:ascii="宋体" w:hAnsi="宋体"/>
          <w:kern w:val="44"/>
        </w:rPr>
      </w:pPr>
      <w:r>
        <w:rPr>
          <w:rFonts w:hint="eastAsia" w:ascii="宋体" w:hAnsi="宋体"/>
          <w:kern w:val="44"/>
        </w:rPr>
        <w:t>（一）卖方凭《房屋所有权证》出售。单位买房，须持有本单位归口的市级主管部门或区县领导部门同意买房的批准文件；个人买房须有本市正式户口。</w:t>
      </w:r>
    </w:p>
    <w:p w14:paraId="6B1D1EDF">
      <w:pPr>
        <w:jc w:val="left"/>
        <w:rPr>
          <w:rFonts w:ascii="宋体" w:hAnsi="宋体"/>
          <w:kern w:val="44"/>
        </w:rPr>
      </w:pPr>
      <w:r>
        <w:rPr>
          <w:rFonts w:hint="eastAsia" w:ascii="宋体" w:hAnsi="宋体"/>
          <w:kern w:val="44"/>
        </w:rPr>
        <w:t>（二）全民所有公房的卖房价款，只准用于房屋建设，或上交同级财政，不准挪作他用。</w:t>
      </w:r>
    </w:p>
    <w:p w14:paraId="727D639B">
      <w:pPr>
        <w:jc w:val="left"/>
        <w:rPr>
          <w:rFonts w:ascii="宋体" w:hAnsi="宋体"/>
          <w:kern w:val="44"/>
        </w:rPr>
      </w:pPr>
      <w:r>
        <w:rPr>
          <w:rFonts w:hint="eastAsia" w:ascii="宋体" w:hAnsi="宋体"/>
          <w:kern w:val="44"/>
        </w:rPr>
        <w:t>（三）必须经区、县房管机关审查批准，办理立契过户手续，按规定交纳税费。非经批准，不得擅自买卖。违者，由区、县房管机关处买卖双方以成交价1倍以下的罚款，但最高不超过3万元。处罚后按规定进行审查，不符合条件的，不予立契过户。</w:t>
      </w:r>
    </w:p>
    <w:p w14:paraId="54B96558">
      <w:pPr>
        <w:jc w:val="left"/>
        <w:rPr>
          <w:rFonts w:ascii="宋体" w:hAnsi="宋体"/>
          <w:kern w:val="44"/>
        </w:rPr>
      </w:pPr>
      <w:r>
        <w:rPr>
          <w:rFonts w:hint="eastAsia" w:ascii="宋体" w:hAnsi="宋体"/>
          <w:kern w:val="44"/>
        </w:rPr>
        <w:t>（四）必须按照市人民政府规定的房价标准确定房屋价格。公房所有权单位以房屋折抵投资与其他单位合营企业，须经房屋所在地的房管机关评定房价。禁止高价买卖公房，禁止以合营为名变相高价买卖公房，禁止倒卖公房或居间牟利等非法活动。违者，由区、县房管机关处买卖双方（含中间人）以非法所得2倍以下的罚款，但最高不超过3万元。</w:t>
      </w:r>
    </w:p>
    <w:p w14:paraId="207D0B38">
      <w:pPr>
        <w:ind w:firstLine="422"/>
        <w:jc w:val="left"/>
        <w:rPr>
          <w:rFonts w:ascii="宋体" w:hAnsi="宋体"/>
          <w:kern w:val="44"/>
        </w:rPr>
      </w:pPr>
      <w:r>
        <w:rPr>
          <w:rFonts w:hint="eastAsia" w:ascii="宋体" w:hAnsi="宋体"/>
          <w:b/>
          <w:kern w:val="44"/>
        </w:rPr>
        <w:t>十一、</w:t>
      </w:r>
      <w:r>
        <w:rPr>
          <w:rFonts w:hint="eastAsia" w:ascii="宋体" w:hAnsi="宋体"/>
          <w:kern w:val="44"/>
        </w:rPr>
        <w:t>公房被建设单位征用拆除，或调拨给其他单位使用，除经市人民政府批准无偿征用或无偿调拨者外，应按规定的房价标准，对所有权单位给以合理补偿。</w:t>
      </w:r>
    </w:p>
    <w:p w14:paraId="12A3A74A">
      <w:pPr>
        <w:jc w:val="left"/>
        <w:rPr>
          <w:rFonts w:ascii="宋体" w:hAnsi="宋体"/>
          <w:kern w:val="44"/>
        </w:rPr>
      </w:pPr>
      <w:r>
        <w:rPr>
          <w:rFonts w:hint="eastAsia" w:ascii="宋体" w:hAnsi="宋体"/>
          <w:kern w:val="44"/>
        </w:rPr>
        <w:t>征用拆除或调拨全民所有公房的补偿价款，只准用于房屋建设，或上交同级财政，不准挪作他用。</w:t>
      </w:r>
    </w:p>
    <w:p w14:paraId="0A90FBAD">
      <w:pPr>
        <w:jc w:val="left"/>
        <w:rPr>
          <w:rFonts w:ascii="宋体" w:hAnsi="宋体"/>
          <w:kern w:val="44"/>
        </w:rPr>
      </w:pPr>
      <w:r>
        <w:rPr>
          <w:rFonts w:hint="eastAsia" w:ascii="宋体" w:hAnsi="宋体"/>
          <w:b/>
          <w:bCs/>
          <w:kern w:val="44"/>
        </w:rPr>
        <w:t>十二</w:t>
      </w:r>
      <w:r>
        <w:rPr>
          <w:rFonts w:hint="eastAsia" w:ascii="宋体" w:hAnsi="宋体"/>
          <w:kern w:val="44"/>
        </w:rPr>
        <w:t>、公房租赁，必须遵守房管机关的各项规定。</w:t>
      </w:r>
    </w:p>
    <w:p w14:paraId="7147D3A5">
      <w:pPr>
        <w:jc w:val="left"/>
        <w:rPr>
          <w:rFonts w:ascii="宋体" w:hAnsi="宋体"/>
          <w:kern w:val="44"/>
        </w:rPr>
      </w:pPr>
      <w:r>
        <w:rPr>
          <w:rFonts w:hint="eastAsia" w:ascii="宋体" w:hAnsi="宋体"/>
          <w:kern w:val="44"/>
        </w:rPr>
        <w:t>（一）除中、小学校舍和市人民政府规定不能出租的房屋以外，其他公房均可出租。</w:t>
      </w:r>
    </w:p>
    <w:p w14:paraId="2CF7D85C">
      <w:pPr>
        <w:jc w:val="left"/>
        <w:rPr>
          <w:rFonts w:ascii="宋体" w:hAnsi="宋体"/>
          <w:kern w:val="44"/>
        </w:rPr>
      </w:pPr>
      <w:r>
        <w:rPr>
          <w:rFonts w:hint="eastAsia" w:ascii="宋体" w:hAnsi="宋体"/>
          <w:kern w:val="44"/>
        </w:rPr>
        <w:t>（二）出租方须持有《房屋所有权证》。单位租房须持有批准文件，个人租房须有本市正式户口。</w:t>
      </w:r>
    </w:p>
    <w:p w14:paraId="4C11D835">
      <w:pPr>
        <w:jc w:val="left"/>
        <w:rPr>
          <w:rFonts w:ascii="宋体" w:hAnsi="宋体"/>
          <w:kern w:val="44"/>
        </w:rPr>
      </w:pPr>
      <w:r>
        <w:rPr>
          <w:rFonts w:hint="eastAsia" w:ascii="宋体" w:hAnsi="宋体"/>
          <w:kern w:val="44"/>
        </w:rPr>
        <w:t>（三）租赁双方必须签订租赁合同，明确双方的权利与义务。单位或个体工商户租用公房，租赁合同须经房管机关审核同意。</w:t>
      </w:r>
    </w:p>
    <w:p w14:paraId="1057B70E">
      <w:pPr>
        <w:jc w:val="left"/>
        <w:rPr>
          <w:rFonts w:ascii="宋体" w:hAnsi="宋体"/>
          <w:kern w:val="44"/>
        </w:rPr>
      </w:pPr>
      <w:r>
        <w:rPr>
          <w:rFonts w:hint="eastAsia" w:ascii="宋体" w:hAnsi="宋体"/>
          <w:kern w:val="44"/>
        </w:rPr>
        <w:t>（四）在租赁合同规定的期限内，出租单位需收回房屋自用的，应妥善安置原承租者。租赁合同期满，承租者仍需租用的，应征得出租单位同意，续订合同。</w:t>
      </w:r>
    </w:p>
    <w:p w14:paraId="0AF5DC17">
      <w:pPr>
        <w:jc w:val="left"/>
        <w:rPr>
          <w:rFonts w:ascii="宋体" w:hAnsi="宋体"/>
          <w:kern w:val="44"/>
        </w:rPr>
      </w:pPr>
      <w:r>
        <w:rPr>
          <w:rFonts w:hint="eastAsia" w:ascii="宋体" w:hAnsi="宋体"/>
          <w:kern w:val="44"/>
        </w:rPr>
        <w:t>（五）承租者外迁或死亡，原同住者要求继续承租的，须经出租单位同意，并新订租赁合同。</w:t>
      </w:r>
    </w:p>
    <w:p w14:paraId="442DD1BC">
      <w:pPr>
        <w:jc w:val="left"/>
        <w:rPr>
          <w:rFonts w:ascii="宋体" w:hAnsi="宋体"/>
          <w:kern w:val="44"/>
        </w:rPr>
      </w:pPr>
      <w:r>
        <w:rPr>
          <w:rFonts w:hint="eastAsia" w:ascii="宋体" w:hAnsi="宋体"/>
          <w:kern w:val="44"/>
        </w:rPr>
        <w:t>（六）承租者与他人换房，须征得出租单位同意。出租单位应支持承租者合理的换房要求。换房后，要新订租赁合同。</w:t>
      </w:r>
    </w:p>
    <w:p w14:paraId="2E16E64D">
      <w:pPr>
        <w:jc w:val="left"/>
        <w:rPr>
          <w:rFonts w:ascii="宋体" w:hAnsi="宋体"/>
          <w:kern w:val="44"/>
        </w:rPr>
      </w:pPr>
      <w:r>
        <w:rPr>
          <w:rFonts w:hint="eastAsia" w:ascii="宋体" w:hAnsi="宋体"/>
          <w:kern w:val="44"/>
        </w:rPr>
        <w:t>（七）承租者对其租用的公房及设备负有保护责任，除经出租单位同意者外，不得擅自拆改。因擅自拆改或其他过失造成房屋及设备损坏的，承租者应负责修复或赔偿。</w:t>
      </w:r>
    </w:p>
    <w:p w14:paraId="1892E9D1">
      <w:pPr>
        <w:jc w:val="left"/>
        <w:rPr>
          <w:rFonts w:ascii="宋体" w:hAnsi="宋体"/>
          <w:kern w:val="44"/>
        </w:rPr>
      </w:pPr>
      <w:r>
        <w:rPr>
          <w:rFonts w:hint="eastAsia" w:ascii="宋体" w:hAnsi="宋体"/>
          <w:kern w:val="44"/>
        </w:rPr>
        <w:t>（八）承租者不得擅自将承租的房屋转租、转让、转借他人或擅自调换使用，不得利用承租的房屋进行非法活动。违者，出租单位有权中止租赁合同，收回房屋。</w:t>
      </w:r>
    </w:p>
    <w:p w14:paraId="5F8EE911">
      <w:pPr>
        <w:jc w:val="left"/>
        <w:rPr>
          <w:rFonts w:ascii="宋体" w:hAnsi="宋体"/>
          <w:kern w:val="44"/>
        </w:rPr>
      </w:pPr>
      <w:r>
        <w:rPr>
          <w:rFonts w:hint="eastAsia" w:ascii="宋体" w:hAnsi="宋体"/>
          <w:kern w:val="44"/>
        </w:rPr>
        <w:t>（九）承租者多户共同使用的院落、楼（门）道、厕所、上下水等设施，由承租者共同合理使用，不得恃强独占。由此发生争执又不能协商解决的，可由出租单位确定各承租者的使用范围。</w:t>
      </w:r>
    </w:p>
    <w:p w14:paraId="3ABF7048">
      <w:pPr>
        <w:jc w:val="left"/>
        <w:rPr>
          <w:rFonts w:ascii="宋体" w:hAnsi="宋体"/>
          <w:kern w:val="44"/>
        </w:rPr>
      </w:pPr>
      <w:r>
        <w:rPr>
          <w:rFonts w:hint="eastAsia" w:ascii="宋体" w:hAnsi="宋体"/>
          <w:kern w:val="44"/>
        </w:rPr>
        <w:t>（十）必须执行市房屋土地管理局制定并经市人民政府批准的租金标准。禁止高价出租、转租，禁止以合营为名或其他巧立名目变相高价出租，严禁出卖公房使用权。违者，由区、县房管机关处出租方（含转租人或出卖公房使用权人）以非法所得1倍以下的罚款，但最高不超过3万元。</w:t>
      </w:r>
    </w:p>
    <w:p w14:paraId="293C863E">
      <w:pPr>
        <w:jc w:val="left"/>
        <w:rPr>
          <w:rFonts w:ascii="宋体" w:hAnsi="宋体"/>
          <w:kern w:val="44"/>
        </w:rPr>
      </w:pPr>
      <w:r>
        <w:rPr>
          <w:rFonts w:hint="eastAsia" w:ascii="宋体" w:hAnsi="宋体"/>
          <w:kern w:val="44"/>
        </w:rPr>
        <w:t>（十一）承租者必须按合同规定交租，不得拖欠。凡无正当理由拖欠租金1个月以上的，出租单位有权要求终止租赁合同，追索拖欠的租金、滞纳金。</w:t>
      </w:r>
    </w:p>
    <w:p w14:paraId="31AF2D08">
      <w:pPr>
        <w:ind w:firstLine="422"/>
        <w:jc w:val="left"/>
        <w:rPr>
          <w:rFonts w:ascii="宋体" w:hAnsi="宋体"/>
          <w:kern w:val="44"/>
        </w:rPr>
      </w:pPr>
      <w:r>
        <w:rPr>
          <w:rFonts w:hint="eastAsia" w:ascii="宋体" w:hAnsi="宋体"/>
          <w:b/>
          <w:kern w:val="44"/>
        </w:rPr>
        <w:t>十三、</w:t>
      </w:r>
      <w:r>
        <w:rPr>
          <w:rFonts w:hint="eastAsia" w:ascii="宋体" w:hAnsi="宋体"/>
          <w:kern w:val="44"/>
        </w:rPr>
        <w:t>公房所有权单位，每年应定期进行房屋安全检查，加强维修养护，确保房屋的住用安全和装修设备的正常使用，尽量改善房屋住用条件，延长房屋使用年限。使用公房的单位或个人，应配合所有权单位检查和修缮房屋，发现险情，应迅速通知所有权单位及时妥善处理。</w:t>
      </w:r>
    </w:p>
    <w:p w14:paraId="486C7E7E">
      <w:pPr>
        <w:ind w:firstLine="422"/>
        <w:jc w:val="left"/>
        <w:rPr>
          <w:rFonts w:ascii="宋体" w:hAnsi="宋体"/>
          <w:kern w:val="44"/>
        </w:rPr>
      </w:pPr>
      <w:r>
        <w:rPr>
          <w:rFonts w:hint="eastAsia" w:ascii="宋体" w:hAnsi="宋体"/>
          <w:b/>
          <w:kern w:val="44"/>
        </w:rPr>
        <w:t>十四、</w:t>
      </w:r>
      <w:r>
        <w:rPr>
          <w:rFonts w:hint="eastAsia" w:ascii="宋体" w:hAnsi="宋体"/>
          <w:kern w:val="44"/>
        </w:rPr>
        <w:t>各级房管机关对公房修缮情况要进行监督检查，发现有倒塌危险的房屋，立即责成所有权单位抢修或通知住房人及时从危房中迁出。</w:t>
      </w:r>
    </w:p>
    <w:p w14:paraId="3C0C90AB">
      <w:pPr>
        <w:jc w:val="left"/>
        <w:rPr>
          <w:rFonts w:ascii="宋体" w:hAnsi="宋体"/>
          <w:kern w:val="44"/>
        </w:rPr>
      </w:pPr>
      <w:r>
        <w:rPr>
          <w:rFonts w:hint="eastAsia" w:ascii="宋体" w:hAnsi="宋体"/>
          <w:kern w:val="44"/>
        </w:rPr>
        <w:t>因对房屋检查修缮不及时造成事故的，由公房所有权单位负责赔偿损失，并追究所有权单位领导人和直接责任人的责任。</w:t>
      </w:r>
    </w:p>
    <w:p w14:paraId="4010CF44">
      <w:pPr>
        <w:ind w:firstLine="422"/>
        <w:jc w:val="left"/>
        <w:rPr>
          <w:rFonts w:ascii="宋体" w:hAnsi="宋体"/>
          <w:kern w:val="44"/>
        </w:rPr>
      </w:pPr>
      <w:r>
        <w:rPr>
          <w:rFonts w:hint="eastAsia" w:ascii="宋体" w:hAnsi="宋体"/>
          <w:b/>
          <w:kern w:val="44"/>
        </w:rPr>
        <w:t>十五、</w:t>
      </w:r>
      <w:r>
        <w:rPr>
          <w:rFonts w:hint="eastAsia" w:ascii="宋体" w:hAnsi="宋体"/>
          <w:kern w:val="44"/>
        </w:rPr>
        <w:t>公房管理中发生的纠纷，当事人双方均可向房屋所在地的房管机关申请调解、处理。</w:t>
      </w:r>
    </w:p>
    <w:p w14:paraId="4AA17A45">
      <w:pPr>
        <w:ind w:firstLine="422"/>
        <w:jc w:val="left"/>
        <w:rPr>
          <w:rFonts w:ascii="宋体" w:hAnsi="宋体"/>
          <w:kern w:val="44"/>
        </w:rPr>
      </w:pPr>
      <w:r>
        <w:rPr>
          <w:rFonts w:hint="eastAsia" w:ascii="宋体" w:hAnsi="宋体"/>
          <w:b/>
          <w:kern w:val="44"/>
        </w:rPr>
        <w:t>十六、</w:t>
      </w:r>
      <w:r>
        <w:rPr>
          <w:rFonts w:hint="eastAsia" w:ascii="宋体" w:hAnsi="宋体"/>
          <w:kern w:val="44"/>
        </w:rPr>
        <w:t>本规定执行中的具体问题，由市房屋土地管理局负责解释。</w:t>
      </w:r>
    </w:p>
    <w:p w14:paraId="3B8E9648">
      <w:pPr>
        <w:ind w:firstLine="422"/>
        <w:jc w:val="left"/>
        <w:rPr>
          <w:rFonts w:ascii="宋体" w:hAnsi="宋体"/>
          <w:kern w:val="44"/>
        </w:rPr>
      </w:pPr>
      <w:r>
        <w:rPr>
          <w:rFonts w:hint="eastAsia" w:ascii="宋体" w:hAnsi="宋体"/>
          <w:b/>
          <w:kern w:val="44"/>
        </w:rPr>
        <w:t>十七、</w:t>
      </w:r>
      <w:r>
        <w:rPr>
          <w:rFonts w:hint="eastAsia" w:ascii="宋体" w:hAnsi="宋体"/>
          <w:kern w:val="44"/>
        </w:rPr>
        <w:t>本规定自1987年10月1日起施行。</w:t>
      </w:r>
    </w:p>
    <w:p w14:paraId="051F358C">
      <w:pPr>
        <w:jc w:val="left"/>
        <w:rPr>
          <w:rFonts w:ascii="宋体" w:hAnsi="宋体"/>
          <w:kern w:val="44"/>
        </w:rPr>
      </w:pPr>
      <w:r>
        <w:rPr>
          <w:rFonts w:hint="eastAsia" w:ascii="宋体" w:hAnsi="宋体"/>
          <w:kern w:val="44"/>
        </w:rPr>
        <w:t>1953年市人民政府公布的《北京市公有房屋管理暂行办法》同时废止。</w:t>
      </w:r>
    </w:p>
    <w:p w14:paraId="59F0CC9E">
      <w:pPr>
        <w:pStyle w:val="4"/>
        <w:pageBreakBefore/>
        <w:rPr>
          <w:kern w:val="44"/>
        </w:rPr>
      </w:pPr>
      <w:bookmarkStart w:id="967" w:name="_Toc422471259"/>
      <w:bookmarkStart w:id="968" w:name="_Toc427651551"/>
      <w:bookmarkStart w:id="969" w:name="_Toc428781599"/>
      <w:bookmarkStart w:id="970" w:name="_Toc428780117"/>
      <w:bookmarkStart w:id="971" w:name="_Toc427651893"/>
      <w:r>
        <w:rPr>
          <w:rFonts w:hint="eastAsia"/>
          <w:kern w:val="44"/>
        </w:rPr>
        <w:t>北京市私有住宅楼房</w:t>
      </w:r>
      <w:bookmarkEnd w:id="967"/>
      <w:bookmarkStart w:id="972" w:name="_Toc422471260"/>
      <w:r>
        <w:rPr>
          <w:rFonts w:hint="eastAsia"/>
          <w:kern w:val="44"/>
        </w:rPr>
        <w:t>管理与维修办法</w:t>
      </w:r>
      <w:bookmarkEnd w:id="968"/>
      <w:bookmarkEnd w:id="969"/>
      <w:bookmarkEnd w:id="970"/>
      <w:bookmarkEnd w:id="971"/>
      <w:bookmarkEnd w:id="972"/>
    </w:p>
    <w:p w14:paraId="2AECC8AE">
      <w:pPr>
        <w:ind w:left="630" w:leftChars="300" w:right="630" w:rightChars="300"/>
        <w:jc w:val="left"/>
        <w:rPr>
          <w:rFonts w:ascii="楷体" w:hAnsi="楷体" w:eastAsia="楷体"/>
          <w:kern w:val="44"/>
        </w:rPr>
      </w:pPr>
      <w:r>
        <w:rPr>
          <w:rFonts w:hint="eastAsia" w:ascii="楷体" w:hAnsi="楷体" w:eastAsia="楷体"/>
          <w:kern w:val="44"/>
        </w:rPr>
        <w:t>（1992年5月30日北京市人民政府京政发35号文件发布  1992年7月1日起施行）</w:t>
      </w:r>
    </w:p>
    <w:p w14:paraId="4FF625FF">
      <w:pPr>
        <w:ind w:left="630" w:leftChars="300" w:right="630" w:rightChars="300"/>
        <w:jc w:val="left"/>
        <w:rPr>
          <w:rFonts w:ascii="楷体" w:hAnsi="楷体" w:eastAsia="楷体"/>
          <w:kern w:val="44"/>
        </w:rPr>
      </w:pPr>
    </w:p>
    <w:p w14:paraId="360C8A9B">
      <w:pPr>
        <w:ind w:firstLine="422"/>
        <w:jc w:val="left"/>
        <w:rPr>
          <w:rFonts w:ascii="宋体" w:hAnsi="宋体"/>
          <w:kern w:val="44"/>
        </w:rPr>
      </w:pPr>
      <w:r>
        <w:rPr>
          <w:rFonts w:hint="eastAsia" w:ascii="宋体" w:hAnsi="宋体"/>
          <w:b/>
          <w:kern w:val="44"/>
        </w:rPr>
        <w:t>第一条</w:t>
      </w:r>
      <w:r>
        <w:rPr>
          <w:rFonts w:hint="eastAsia" w:ascii="宋体" w:hAnsi="宋体"/>
          <w:kern w:val="44"/>
        </w:rPr>
        <w:t>　为实施《北京市住房制度改革实施方案》， 制定本办法。</w:t>
      </w:r>
    </w:p>
    <w:p w14:paraId="1C3255A3">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本办法所称私有住宅楼房， 是指个人按本市住房制度改革的有关规定购买的单元式住宅楼房（ 以下简称私有住房 ）。</w:t>
      </w:r>
    </w:p>
    <w:p w14:paraId="36A8CB1F">
      <w:pPr>
        <w:ind w:firstLine="422"/>
        <w:jc w:val="left"/>
        <w:rPr>
          <w:rFonts w:ascii="宋体" w:hAnsi="宋体"/>
          <w:kern w:val="44"/>
        </w:rPr>
      </w:pPr>
      <w:r>
        <w:rPr>
          <w:rFonts w:hint="eastAsia" w:ascii="宋体" w:hAnsi="宋体"/>
          <w:b/>
          <w:kern w:val="44"/>
        </w:rPr>
        <w:t>第三条</w:t>
      </w:r>
      <w:r>
        <w:rPr>
          <w:rFonts w:hint="eastAsia" w:ascii="宋体" w:hAnsi="宋体"/>
          <w:kern w:val="44"/>
        </w:rPr>
        <w:t>　同一楼房的产权人享有平等的权利和义务。产权人须遵守国家和本市私有房屋管理的有关规定。</w:t>
      </w:r>
    </w:p>
    <w:p w14:paraId="5B0BED91">
      <w:pPr>
        <w:ind w:firstLine="422"/>
        <w:jc w:val="left"/>
        <w:rPr>
          <w:rFonts w:ascii="宋体" w:hAnsi="宋体"/>
          <w:kern w:val="44"/>
        </w:rPr>
      </w:pPr>
      <w:r>
        <w:rPr>
          <w:rFonts w:hint="eastAsia" w:ascii="宋体" w:hAnsi="宋体"/>
          <w:b/>
          <w:kern w:val="44"/>
        </w:rPr>
        <w:t>第四条</w:t>
      </w:r>
      <w:r>
        <w:rPr>
          <w:rFonts w:hint="eastAsia" w:ascii="宋体" w:hAnsi="宋体"/>
          <w:kern w:val="44"/>
        </w:rPr>
        <w:t>　住宅楼房售出后，一律由售房单位组织楼房管理机构， 全面负责售出楼房的日常管理。具体职责是：</w:t>
      </w:r>
    </w:p>
    <w:p w14:paraId="482E4AE9">
      <w:pPr>
        <w:jc w:val="left"/>
        <w:rPr>
          <w:rFonts w:ascii="宋体" w:hAnsi="宋体"/>
          <w:kern w:val="44"/>
        </w:rPr>
      </w:pPr>
      <w:r>
        <w:rPr>
          <w:rFonts w:hint="eastAsia" w:ascii="宋体" w:hAnsi="宋体"/>
          <w:kern w:val="44"/>
        </w:rPr>
        <w:t>（一）组织和协调楼房共用部位、共用设施的使用、维修，负责私有住房自来水设施跑水、下水管道和垃圾道堵塞，燃气设施故障、供暖设备漏水、电源线路和照明设备故障等项目的急修。</w:t>
      </w:r>
    </w:p>
    <w:p w14:paraId="64FA2AED">
      <w:pPr>
        <w:jc w:val="left"/>
        <w:rPr>
          <w:rFonts w:ascii="宋体" w:hAnsi="宋体"/>
          <w:kern w:val="44"/>
        </w:rPr>
      </w:pPr>
      <w:r>
        <w:rPr>
          <w:rFonts w:hint="eastAsia" w:ascii="宋体" w:hAnsi="宋体"/>
          <w:kern w:val="44"/>
        </w:rPr>
        <w:t>（二）管理公共维修基金，定期向产权人公布使用情况。</w:t>
      </w:r>
    </w:p>
    <w:p w14:paraId="2C354882">
      <w:pPr>
        <w:jc w:val="left"/>
        <w:rPr>
          <w:rFonts w:ascii="宋体" w:hAnsi="宋体"/>
          <w:kern w:val="44"/>
        </w:rPr>
      </w:pPr>
      <w:r>
        <w:rPr>
          <w:rFonts w:hint="eastAsia" w:ascii="宋体" w:hAnsi="宋体"/>
          <w:kern w:val="44"/>
        </w:rPr>
        <w:t>（三）及时向售房单位反映产权人的意见。</w:t>
      </w:r>
    </w:p>
    <w:p w14:paraId="0B63B1A1">
      <w:pPr>
        <w:jc w:val="left"/>
        <w:rPr>
          <w:rFonts w:ascii="宋体" w:hAnsi="宋体"/>
          <w:kern w:val="44"/>
        </w:rPr>
      </w:pPr>
      <w:r>
        <w:rPr>
          <w:rFonts w:hint="eastAsia" w:ascii="宋体" w:hAnsi="宋体"/>
          <w:kern w:val="44"/>
        </w:rPr>
        <w:t>（四）调解产权人之间因房屋使用与维修发生的纠纷。</w:t>
      </w:r>
    </w:p>
    <w:p w14:paraId="17F973C4">
      <w:pPr>
        <w:ind w:firstLine="422"/>
        <w:jc w:val="left"/>
        <w:rPr>
          <w:rFonts w:ascii="宋体" w:hAnsi="宋体"/>
          <w:kern w:val="44"/>
        </w:rPr>
      </w:pPr>
      <w:r>
        <w:rPr>
          <w:rFonts w:hint="eastAsia" w:ascii="宋体" w:hAnsi="宋体"/>
          <w:b/>
          <w:kern w:val="44"/>
        </w:rPr>
        <w:t>第五条</w:t>
      </w:r>
      <w:r>
        <w:rPr>
          <w:rFonts w:hint="eastAsia" w:ascii="宋体" w:hAnsi="宋体"/>
          <w:kern w:val="44"/>
        </w:rPr>
        <w:t>　私有住房的各项维修费用（供暖、燃气设施除外），由产权人负担。其中，共用部位、共用设施维修所需费用，从公共维修基金的利息中支付，不足部分，可由产权人按各自占有房屋建筑面积的比例分摊。</w:t>
      </w:r>
    </w:p>
    <w:p w14:paraId="6F526140">
      <w:pPr>
        <w:ind w:firstLine="422"/>
        <w:jc w:val="left"/>
        <w:rPr>
          <w:rFonts w:ascii="宋体" w:hAnsi="宋体"/>
          <w:kern w:val="44"/>
        </w:rPr>
      </w:pPr>
      <w:r>
        <w:rPr>
          <w:rFonts w:hint="eastAsia" w:ascii="宋体" w:hAnsi="宋体"/>
          <w:b/>
          <w:kern w:val="44"/>
        </w:rPr>
        <w:t>第六条</w:t>
      </w:r>
      <w:r>
        <w:rPr>
          <w:rFonts w:hint="eastAsia" w:ascii="宋体" w:hAnsi="宋体"/>
          <w:kern w:val="44"/>
        </w:rPr>
        <w:t xml:space="preserve">  公共维修基金由产权人在购房时按每平方米建筑面积30元交纳。以准成本价购房的，可由产权人和售房单位各交纳50％（单位交纳部分可从售房款中支付）。产权人出售私有住房或其私有住房拆除更新时，应退还其交纳的公共维修基金本金，其中售房单位交纳部分应退还原单位。</w:t>
      </w:r>
    </w:p>
    <w:p w14:paraId="7933D617">
      <w:pPr>
        <w:ind w:firstLine="422"/>
        <w:jc w:val="left"/>
        <w:rPr>
          <w:rFonts w:ascii="宋体" w:hAnsi="宋体"/>
          <w:kern w:val="44"/>
        </w:rPr>
      </w:pPr>
      <w:r>
        <w:rPr>
          <w:rFonts w:hint="eastAsia" w:ascii="宋体" w:hAnsi="宋体"/>
          <w:b/>
          <w:kern w:val="44"/>
        </w:rPr>
        <w:t>第七条</w:t>
      </w:r>
      <w:r>
        <w:rPr>
          <w:rFonts w:hint="eastAsia" w:ascii="宋体" w:hAnsi="宋体"/>
          <w:kern w:val="44"/>
        </w:rPr>
        <w:t>　私有住房电梯、高压水泵的管理及其运行、维护和更新费用，由售房单位负责和负担。</w:t>
      </w:r>
    </w:p>
    <w:p w14:paraId="48ED6C49">
      <w:pPr>
        <w:jc w:val="left"/>
        <w:rPr>
          <w:rFonts w:ascii="宋体" w:hAnsi="宋体"/>
          <w:kern w:val="44"/>
        </w:rPr>
      </w:pPr>
      <w:r>
        <w:rPr>
          <w:rFonts w:hint="eastAsia" w:ascii="宋体" w:hAnsi="宋体"/>
          <w:kern w:val="44"/>
        </w:rPr>
        <w:t>供暖、燃气设施的维修、更新和费用负担，按本市公有住宅楼房管理的有关规定执行。</w:t>
      </w:r>
    </w:p>
    <w:p w14:paraId="3363C31D">
      <w:pPr>
        <w:ind w:firstLine="422"/>
        <w:jc w:val="left"/>
        <w:rPr>
          <w:rFonts w:ascii="宋体" w:hAnsi="宋体"/>
          <w:kern w:val="44"/>
        </w:rPr>
      </w:pPr>
      <w:r>
        <w:rPr>
          <w:rFonts w:hint="eastAsia" w:ascii="宋体" w:hAnsi="宋体"/>
          <w:b/>
          <w:kern w:val="44"/>
        </w:rPr>
        <w:t>第八条</w:t>
      </w:r>
      <w:r>
        <w:rPr>
          <w:rFonts w:hint="eastAsia" w:ascii="宋体" w:hAnsi="宋体"/>
          <w:kern w:val="44"/>
        </w:rPr>
        <w:t>　私有住房的正常修缮，由产权人负责，也可委托管房单位或其他房屋修缮单位承担。</w:t>
      </w:r>
    </w:p>
    <w:p w14:paraId="2F9DF839">
      <w:pPr>
        <w:jc w:val="left"/>
        <w:rPr>
          <w:rFonts w:ascii="宋体" w:hAnsi="宋体"/>
          <w:kern w:val="44"/>
        </w:rPr>
      </w:pPr>
      <w:r>
        <w:rPr>
          <w:rFonts w:hint="eastAsia" w:ascii="宋体" w:hAnsi="宋体"/>
          <w:kern w:val="44"/>
        </w:rPr>
        <w:t>承担修缮施工任务的单位，应保证维修及时和施工质量。修缮费用按《北京市房屋修缮工程预算定额》执行，或由双方协商议定。</w:t>
      </w:r>
    </w:p>
    <w:p w14:paraId="0B09C3DF">
      <w:pPr>
        <w:ind w:firstLine="422"/>
        <w:jc w:val="left"/>
        <w:rPr>
          <w:rFonts w:ascii="宋体" w:hAnsi="宋体"/>
          <w:kern w:val="44"/>
        </w:rPr>
      </w:pPr>
      <w:r>
        <w:rPr>
          <w:rFonts w:hint="eastAsia" w:ascii="宋体" w:hAnsi="宋体"/>
          <w:b/>
          <w:kern w:val="44"/>
        </w:rPr>
        <w:t>第九条</w:t>
      </w:r>
      <w:r>
        <w:rPr>
          <w:rFonts w:hint="eastAsia" w:ascii="宋体" w:hAnsi="宋体"/>
          <w:kern w:val="44"/>
        </w:rPr>
        <w:t>　产权人应合理使用共用部位和毗连部位，保证走廊、楼梯、通道畅通。对楼房的承重结构和暖气、燃气、上下水、供电等设施设备的使用，应遵守有关规定。需要拆改的，须经管房单位或有关设施设备的管理部门批准。擅自拆改或使用不当造成损坏或发生故障的，按有关规定由责任者负责修复或赔偿。</w:t>
      </w:r>
    </w:p>
    <w:p w14:paraId="430178A0">
      <w:pPr>
        <w:jc w:val="left"/>
        <w:rPr>
          <w:rFonts w:ascii="宋体" w:hAnsi="宋体"/>
          <w:kern w:val="44"/>
        </w:rPr>
      </w:pPr>
      <w:r>
        <w:rPr>
          <w:rFonts w:hint="eastAsia" w:ascii="宋体" w:hAnsi="宋体"/>
          <w:kern w:val="44"/>
        </w:rPr>
        <w:t>产权人有权按照自己的意愿使用住房，但不得影响建筑安全和他人的正常使用，不得妨害市容观瞻。产权人改变住房使用性质的，应征询管房单位的意见，报所在地房地产管理机关批准。</w:t>
      </w:r>
    </w:p>
    <w:p w14:paraId="15C36193">
      <w:pPr>
        <w:ind w:firstLine="422"/>
        <w:jc w:val="left"/>
        <w:rPr>
          <w:rFonts w:ascii="宋体" w:hAnsi="宋体"/>
          <w:kern w:val="44"/>
        </w:rPr>
      </w:pPr>
      <w:r>
        <w:rPr>
          <w:rFonts w:hint="eastAsia" w:ascii="宋体" w:hAnsi="宋体"/>
          <w:b/>
          <w:kern w:val="44"/>
        </w:rPr>
        <w:t>第十条</w:t>
      </w:r>
      <w:r>
        <w:rPr>
          <w:rFonts w:hint="eastAsia" w:ascii="宋体" w:hAnsi="宋体"/>
          <w:kern w:val="44"/>
        </w:rPr>
        <w:t>　市和区、县房屋土地管理局应加强对私有住房的管理， 定期组织有关部门进行房屋安全检查，监督售房单位对售出楼房的管理与维修工作。对管理不善的单位，房屋土地管理局应给予警告并限期改正；对因未履行职责造成产权人损失的，责任单位应予赔偿。</w:t>
      </w:r>
    </w:p>
    <w:p w14:paraId="6E0DA961">
      <w:pPr>
        <w:ind w:firstLine="422"/>
        <w:jc w:val="left"/>
        <w:rPr>
          <w:rFonts w:ascii="宋体" w:hAnsi="宋体"/>
          <w:kern w:val="44"/>
        </w:rPr>
      </w:pPr>
      <w:r>
        <w:rPr>
          <w:rFonts w:hint="eastAsia" w:ascii="宋体" w:hAnsi="宋体"/>
          <w:b/>
          <w:kern w:val="44"/>
        </w:rPr>
        <w:t>第十一条</w:t>
      </w:r>
      <w:r>
        <w:rPr>
          <w:rFonts w:hint="eastAsia" w:ascii="宋体" w:hAnsi="宋体"/>
          <w:kern w:val="44"/>
        </w:rPr>
        <w:t>　本市住房制度改革前已有的私有住宅楼房的管理与维修，参照本办法执行。</w:t>
      </w:r>
    </w:p>
    <w:p w14:paraId="1571F3BE">
      <w:pPr>
        <w:ind w:firstLine="422"/>
        <w:jc w:val="left"/>
        <w:rPr>
          <w:rFonts w:ascii="宋体" w:hAnsi="宋体"/>
          <w:kern w:val="44"/>
        </w:rPr>
      </w:pPr>
      <w:r>
        <w:rPr>
          <w:rFonts w:hint="eastAsia" w:ascii="宋体" w:hAnsi="宋体"/>
          <w:b/>
          <w:kern w:val="44"/>
        </w:rPr>
        <w:t>第十二条</w:t>
      </w:r>
      <w:r>
        <w:rPr>
          <w:rFonts w:hint="eastAsia" w:ascii="宋体" w:hAnsi="宋体"/>
          <w:kern w:val="44"/>
        </w:rPr>
        <w:t>　本办法执行中的具体问题，由市房屋土地管理局负责解释。</w:t>
      </w:r>
    </w:p>
    <w:p w14:paraId="003894B8">
      <w:pPr>
        <w:ind w:firstLine="422"/>
        <w:jc w:val="left"/>
        <w:rPr>
          <w:rFonts w:ascii="宋体" w:hAnsi="宋体"/>
          <w:kern w:val="44"/>
        </w:rPr>
      </w:pPr>
      <w:r>
        <w:rPr>
          <w:rFonts w:hint="eastAsia" w:ascii="宋体" w:hAnsi="宋体"/>
          <w:b/>
          <w:kern w:val="44"/>
        </w:rPr>
        <w:t>第十三条</w:t>
      </w:r>
      <w:r>
        <w:rPr>
          <w:rFonts w:hint="eastAsia" w:ascii="宋体" w:hAnsi="宋体"/>
          <w:kern w:val="44"/>
        </w:rPr>
        <w:t>　本办法自1992年7月1日起施行。</w:t>
      </w:r>
    </w:p>
    <w:p w14:paraId="2EEDC8C2">
      <w:pPr>
        <w:pStyle w:val="4"/>
        <w:pageBreakBefore/>
        <w:rPr>
          <w:kern w:val="44"/>
        </w:rPr>
      </w:pPr>
      <w:bookmarkStart w:id="973" w:name="_Toc422471261"/>
      <w:bookmarkStart w:id="974" w:name="_Toc427651894"/>
      <w:bookmarkStart w:id="975" w:name="_Toc428780118"/>
      <w:bookmarkStart w:id="976" w:name="_Toc427651552"/>
      <w:bookmarkStart w:id="977" w:name="_Toc428781600"/>
      <w:r>
        <w:rPr>
          <w:rFonts w:hint="eastAsia"/>
          <w:kern w:val="44"/>
        </w:rPr>
        <w:t>北京市职工购买公有</w:t>
      </w:r>
      <w:bookmarkEnd w:id="973"/>
      <w:bookmarkStart w:id="978" w:name="_Toc422471262"/>
      <w:r>
        <w:rPr>
          <w:rFonts w:hint="eastAsia"/>
          <w:kern w:val="44"/>
        </w:rPr>
        <w:t>住宅楼房管理办法</w:t>
      </w:r>
      <w:bookmarkEnd w:id="974"/>
      <w:bookmarkEnd w:id="975"/>
      <w:bookmarkEnd w:id="976"/>
      <w:bookmarkEnd w:id="977"/>
      <w:bookmarkEnd w:id="978"/>
    </w:p>
    <w:p w14:paraId="159198E0">
      <w:pPr>
        <w:ind w:left="630" w:leftChars="300" w:right="630" w:rightChars="300"/>
        <w:jc w:val="left"/>
        <w:rPr>
          <w:rFonts w:ascii="楷体" w:hAnsi="楷体" w:eastAsia="楷体"/>
          <w:kern w:val="44"/>
        </w:rPr>
      </w:pPr>
      <w:r>
        <w:rPr>
          <w:rFonts w:hint="eastAsia" w:ascii="楷体" w:hAnsi="楷体" w:eastAsia="楷体"/>
          <w:kern w:val="44"/>
        </w:rPr>
        <w:t>（1992年5月30日北京市人民政府京政发35号文件发布  1992年7月1日起施行  根据2007年11月23日北京市人民政府第200号令修改）</w:t>
      </w:r>
    </w:p>
    <w:p w14:paraId="0214E1C1">
      <w:pPr>
        <w:ind w:left="630" w:leftChars="300" w:right="630" w:rightChars="300"/>
        <w:jc w:val="left"/>
        <w:rPr>
          <w:rFonts w:ascii="楷体" w:hAnsi="楷体" w:eastAsia="楷体"/>
          <w:kern w:val="44"/>
        </w:rPr>
      </w:pPr>
    </w:p>
    <w:p w14:paraId="79CD1D0B">
      <w:pPr>
        <w:ind w:firstLine="422"/>
        <w:jc w:val="left"/>
        <w:rPr>
          <w:rFonts w:ascii="宋体" w:hAnsi="宋体"/>
          <w:kern w:val="44"/>
        </w:rPr>
      </w:pPr>
      <w:r>
        <w:rPr>
          <w:rFonts w:hint="eastAsia" w:ascii="宋体" w:hAnsi="宋体"/>
          <w:b/>
          <w:kern w:val="44"/>
        </w:rPr>
        <w:t>第一条</w:t>
      </w:r>
      <w:r>
        <w:rPr>
          <w:rFonts w:hint="eastAsia" w:ascii="宋体" w:hAnsi="宋体"/>
          <w:kern w:val="44"/>
        </w:rPr>
        <w:t>　为实施《北京市住房制度改革实施方案》，制定本办法。</w:t>
      </w:r>
    </w:p>
    <w:p w14:paraId="3B9ACD03">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本办法所称公有住宅楼房，是指由政府房管部门直接管理和由产权单位自行管理的公有单元式住宅楼房，包括新建楼房和已住用的楼房（以下简称新、旧楼房）。</w:t>
      </w:r>
    </w:p>
    <w:p w14:paraId="7CA810D4">
      <w:pPr>
        <w:jc w:val="left"/>
        <w:rPr>
          <w:rFonts w:ascii="宋体" w:hAnsi="宋体"/>
          <w:kern w:val="44"/>
        </w:rPr>
      </w:pPr>
      <w:r>
        <w:rPr>
          <w:rFonts w:hint="eastAsia" w:ascii="宋体" w:hAnsi="宋体"/>
          <w:kern w:val="44"/>
        </w:rPr>
        <w:t>本市行政区域内有自管公有住宅楼房的企业、行政事业单位和房管部门，均可依照本办法向职工出售公有住宅楼房。</w:t>
      </w:r>
    </w:p>
    <w:p w14:paraId="226BEF2A">
      <w:pPr>
        <w:jc w:val="left"/>
        <w:rPr>
          <w:rFonts w:ascii="宋体" w:hAnsi="宋体"/>
          <w:kern w:val="44"/>
        </w:rPr>
      </w:pPr>
      <w:r>
        <w:rPr>
          <w:rFonts w:hint="eastAsia" w:ascii="宋体" w:hAnsi="宋体"/>
          <w:kern w:val="44"/>
        </w:rPr>
        <w:t>简易房、危险房、违章建筑和近期需要拆除、产权有争议以及具有历史价值的楼房，不准出售。</w:t>
      </w:r>
    </w:p>
    <w:p w14:paraId="132DD240">
      <w:pPr>
        <w:ind w:firstLine="422"/>
        <w:jc w:val="left"/>
        <w:rPr>
          <w:rFonts w:ascii="宋体" w:hAnsi="宋体"/>
          <w:kern w:val="44"/>
        </w:rPr>
      </w:pPr>
      <w:r>
        <w:rPr>
          <w:rFonts w:hint="eastAsia" w:ascii="宋体" w:hAnsi="宋体"/>
          <w:b/>
          <w:kern w:val="44"/>
        </w:rPr>
        <w:t>第三条</w:t>
      </w:r>
      <w:r>
        <w:rPr>
          <w:rFonts w:hint="eastAsia" w:ascii="宋体" w:hAnsi="宋体"/>
          <w:kern w:val="44"/>
        </w:rPr>
        <w:t>　凡有本市城镇常住户口的职工，均可向所在单位或现住房产权单位申请购买公有住宅楼房。</w:t>
      </w:r>
    </w:p>
    <w:p w14:paraId="5B55107E">
      <w:pPr>
        <w:jc w:val="left"/>
        <w:rPr>
          <w:rFonts w:ascii="宋体" w:hAnsi="宋体"/>
          <w:kern w:val="44"/>
        </w:rPr>
      </w:pPr>
      <w:r>
        <w:rPr>
          <w:rFonts w:hint="eastAsia" w:ascii="宋体" w:hAnsi="宋体"/>
          <w:kern w:val="44"/>
        </w:rPr>
        <w:t>新楼房和腾空的旧楼房，应优先出售给住房困难户。</w:t>
      </w:r>
    </w:p>
    <w:p w14:paraId="08396FCF">
      <w:pPr>
        <w:ind w:firstLine="422"/>
        <w:jc w:val="left"/>
        <w:rPr>
          <w:rFonts w:ascii="宋体" w:hAnsi="宋体"/>
          <w:kern w:val="44"/>
        </w:rPr>
      </w:pPr>
      <w:r>
        <w:rPr>
          <w:rFonts w:hint="eastAsia" w:ascii="宋体" w:hAnsi="宋体"/>
          <w:b/>
          <w:kern w:val="44"/>
        </w:rPr>
        <w:t>第四条</w:t>
      </w:r>
      <w:r>
        <w:rPr>
          <w:rFonts w:hint="eastAsia" w:ascii="宋体" w:hAnsi="宋体"/>
          <w:kern w:val="44"/>
        </w:rPr>
        <w:t>　职工购买公有住宅楼房，实行准成本价。新楼房的准成本价，每年由市人民政府住房制度改革办公室会同市发展改革委员会、市国有资产监督管理委员会等部门评估测定，经市人民政府批准后公布。旧楼房的准成本价，按重置价成新折扣计算。重置价是指出售当年新楼房的准成本价。</w:t>
      </w:r>
    </w:p>
    <w:p w14:paraId="5769084E">
      <w:pPr>
        <w:jc w:val="left"/>
        <w:rPr>
          <w:rFonts w:ascii="宋体" w:hAnsi="宋体"/>
          <w:kern w:val="44"/>
        </w:rPr>
      </w:pPr>
      <w:r>
        <w:rPr>
          <w:rFonts w:hint="eastAsia" w:ascii="宋体" w:hAnsi="宋体"/>
          <w:kern w:val="44"/>
        </w:rPr>
        <w:t>公有住宅楼房的实际售价，按建筑面积计算，依市建设委员会制定的地段、环境、层次、朝向等项因素的调节标准调节，以每套住房标价。</w:t>
      </w:r>
    </w:p>
    <w:p w14:paraId="04B1C1CE">
      <w:pPr>
        <w:ind w:firstLine="422"/>
        <w:jc w:val="left"/>
        <w:rPr>
          <w:rFonts w:ascii="宋体" w:hAnsi="宋体"/>
          <w:kern w:val="44"/>
        </w:rPr>
      </w:pPr>
      <w:r>
        <w:rPr>
          <w:rFonts w:hint="eastAsia" w:ascii="宋体" w:hAnsi="宋体"/>
          <w:b/>
          <w:kern w:val="44"/>
        </w:rPr>
        <w:t>第五条</w:t>
      </w:r>
      <w:r>
        <w:rPr>
          <w:rFonts w:hint="eastAsia" w:ascii="宋体" w:hAnsi="宋体"/>
          <w:kern w:val="44"/>
        </w:rPr>
        <w:t>　出售公有住宅楼房的实际建筑面积，由区、县建设委员会测定。</w:t>
      </w:r>
    </w:p>
    <w:p w14:paraId="386FC330">
      <w:pPr>
        <w:jc w:val="left"/>
        <w:rPr>
          <w:rFonts w:ascii="宋体" w:hAnsi="宋体"/>
          <w:kern w:val="44"/>
        </w:rPr>
      </w:pPr>
      <w:r>
        <w:rPr>
          <w:rFonts w:hint="eastAsia" w:ascii="宋体" w:hAnsi="宋体"/>
          <w:kern w:val="44"/>
        </w:rPr>
        <w:t>建筑面积，包括使用面积、结构面积、阳台面积，以及按比例分摊的共用建筑面积。</w:t>
      </w:r>
    </w:p>
    <w:p w14:paraId="6A1E61AF">
      <w:pPr>
        <w:jc w:val="left"/>
        <w:rPr>
          <w:rFonts w:ascii="宋体" w:hAnsi="宋体"/>
          <w:kern w:val="44"/>
        </w:rPr>
      </w:pPr>
      <w:r>
        <w:rPr>
          <w:rFonts w:hint="eastAsia" w:ascii="宋体" w:hAnsi="宋体"/>
          <w:kern w:val="44"/>
        </w:rPr>
        <w:t>计算共用建筑面积，应将电梯间、电梯工休息室、配电室、高压水泵房、设备层、地下室、楼房内供暖锅炉的建筑面积扣除。</w:t>
      </w:r>
    </w:p>
    <w:p w14:paraId="590AD783">
      <w:pPr>
        <w:ind w:firstLine="422"/>
        <w:jc w:val="left"/>
        <w:rPr>
          <w:rFonts w:ascii="宋体" w:hAnsi="宋体"/>
          <w:kern w:val="44"/>
        </w:rPr>
      </w:pPr>
      <w:r>
        <w:rPr>
          <w:rFonts w:hint="eastAsia" w:ascii="宋体" w:hAnsi="宋体"/>
          <w:b/>
          <w:kern w:val="44"/>
        </w:rPr>
        <w:t>第六条</w:t>
      </w:r>
      <w:r>
        <w:rPr>
          <w:rFonts w:hint="eastAsia" w:ascii="宋体" w:hAnsi="宋体"/>
          <w:kern w:val="44"/>
        </w:rPr>
        <w:t>　单位以准成本价向职工出售公有住宅楼房，依法免征营业税，固定资产投资方向调节税适用零税率。</w:t>
      </w:r>
    </w:p>
    <w:p w14:paraId="2E285DD1">
      <w:pPr>
        <w:jc w:val="left"/>
        <w:rPr>
          <w:rFonts w:ascii="宋体" w:hAnsi="宋体"/>
          <w:kern w:val="44"/>
        </w:rPr>
      </w:pPr>
      <w:r>
        <w:rPr>
          <w:rFonts w:hint="eastAsia" w:ascii="宋体" w:hAnsi="宋体"/>
          <w:kern w:val="44"/>
        </w:rPr>
        <w:t>职工第一次购买公有住宅楼房，免征契税，自住期间免征房产税、土地使用税。</w:t>
      </w:r>
    </w:p>
    <w:p w14:paraId="312047C8">
      <w:pPr>
        <w:ind w:firstLine="422"/>
        <w:jc w:val="left"/>
        <w:rPr>
          <w:rFonts w:ascii="宋体" w:hAnsi="宋体"/>
          <w:kern w:val="44"/>
        </w:rPr>
      </w:pPr>
      <w:r>
        <w:rPr>
          <w:rFonts w:hint="eastAsia" w:ascii="宋体" w:hAnsi="宋体"/>
          <w:b/>
          <w:kern w:val="44"/>
        </w:rPr>
        <w:t>第七条</w:t>
      </w:r>
      <w:r>
        <w:rPr>
          <w:rFonts w:hint="eastAsia" w:ascii="宋体" w:hAnsi="宋体"/>
          <w:kern w:val="44"/>
        </w:rPr>
        <w:t>　职工购买的住宅楼房，供暖费用、燃气设施维修更新费用的收取，按职工承租公有住宅楼房的办法执行。电梯、高压水泵的运行、维修及更新费用，由售房单位负担。</w:t>
      </w:r>
    </w:p>
    <w:p w14:paraId="7B8FC6EF">
      <w:pPr>
        <w:ind w:firstLine="422"/>
        <w:jc w:val="left"/>
        <w:rPr>
          <w:rFonts w:ascii="宋体" w:hAnsi="宋体"/>
          <w:kern w:val="44"/>
        </w:rPr>
      </w:pPr>
      <w:r>
        <w:rPr>
          <w:rFonts w:hint="eastAsia" w:ascii="宋体" w:hAnsi="宋体"/>
          <w:b/>
          <w:kern w:val="44"/>
        </w:rPr>
        <w:t>第八条</w:t>
      </w:r>
      <w:r>
        <w:rPr>
          <w:rFonts w:hint="eastAsia" w:ascii="宋体" w:hAnsi="宋体"/>
          <w:kern w:val="44"/>
        </w:rPr>
        <w:t>　职工购买公有住宅楼房，须按《北京市房屋买卖管理暂行规定》到房屋所在地的区、县房屋土地管理局办理立契过户和产权登记，领取房屋所有权证。</w:t>
      </w:r>
    </w:p>
    <w:p w14:paraId="486FDC1D">
      <w:pPr>
        <w:ind w:firstLine="422"/>
        <w:jc w:val="left"/>
        <w:rPr>
          <w:rFonts w:ascii="宋体" w:hAnsi="宋体"/>
          <w:kern w:val="44"/>
        </w:rPr>
      </w:pPr>
      <w:r>
        <w:rPr>
          <w:rFonts w:hint="eastAsia" w:ascii="宋体" w:hAnsi="宋体"/>
          <w:b/>
          <w:kern w:val="44"/>
        </w:rPr>
        <w:t>第九条</w:t>
      </w:r>
      <w:r>
        <w:rPr>
          <w:rFonts w:hint="eastAsia" w:ascii="宋体" w:hAnsi="宋体"/>
          <w:kern w:val="44"/>
        </w:rPr>
        <w:t>　职工依照本办法购买的住宅楼房，享有合法所有权，可以依法使用、继承和抵押。对住宅楼房出售、出租的，按本市有关规定执行。</w:t>
      </w:r>
    </w:p>
    <w:p w14:paraId="650DE07D">
      <w:pPr>
        <w:ind w:firstLine="422"/>
        <w:jc w:val="left"/>
        <w:rPr>
          <w:rFonts w:ascii="宋体" w:hAnsi="宋体"/>
          <w:kern w:val="44"/>
        </w:rPr>
      </w:pPr>
      <w:r>
        <w:rPr>
          <w:rFonts w:hint="eastAsia" w:ascii="宋体" w:hAnsi="宋体"/>
          <w:b/>
          <w:kern w:val="44"/>
        </w:rPr>
        <w:t>第十条</w:t>
      </w:r>
      <w:r>
        <w:rPr>
          <w:rFonts w:hint="eastAsia" w:ascii="宋体" w:hAnsi="宋体"/>
          <w:kern w:val="44"/>
        </w:rPr>
        <w:t>　出售的新楼房，售房单位须按国家和本市规定的期限和项目保修。旧楼房出售前，售房单位须对房屋结构和装修设备进行检修，保证住用安全和正常使用。</w:t>
      </w:r>
    </w:p>
    <w:p w14:paraId="42EA33F9">
      <w:pPr>
        <w:jc w:val="left"/>
        <w:rPr>
          <w:rFonts w:ascii="宋体" w:hAnsi="宋体"/>
          <w:kern w:val="44"/>
        </w:rPr>
      </w:pPr>
      <w:r>
        <w:rPr>
          <w:rFonts w:hint="eastAsia" w:ascii="宋体" w:hAnsi="宋体"/>
          <w:kern w:val="44"/>
        </w:rPr>
        <w:t>职工购买住宅楼房后的管理和维修，按《北京市私有住宅楼房管理与维修办法》执行。</w:t>
      </w:r>
    </w:p>
    <w:p w14:paraId="64B7804E">
      <w:pPr>
        <w:ind w:firstLine="422"/>
        <w:jc w:val="left"/>
        <w:rPr>
          <w:rFonts w:ascii="宋体" w:hAnsi="宋体"/>
          <w:kern w:val="44"/>
        </w:rPr>
      </w:pPr>
      <w:r>
        <w:rPr>
          <w:rFonts w:hint="eastAsia" w:ascii="宋体" w:hAnsi="宋体"/>
          <w:b/>
          <w:kern w:val="44"/>
        </w:rPr>
        <w:t>第十一条</w:t>
      </w:r>
      <w:r>
        <w:rPr>
          <w:rFonts w:hint="eastAsia" w:ascii="宋体" w:hAnsi="宋体"/>
          <w:kern w:val="44"/>
        </w:rPr>
        <w:t>　出售公有住宅楼房的收入，由售房单位存入市住房资金管理中心委托的金融机构，纳入本单位住房基金，所有权不变。</w:t>
      </w:r>
    </w:p>
    <w:p w14:paraId="2D2DDF54">
      <w:pPr>
        <w:ind w:firstLine="422"/>
        <w:jc w:val="left"/>
        <w:rPr>
          <w:rFonts w:ascii="宋体" w:hAnsi="宋体"/>
          <w:kern w:val="44"/>
        </w:rPr>
      </w:pPr>
      <w:r>
        <w:rPr>
          <w:rFonts w:hint="eastAsia" w:ascii="宋体" w:hAnsi="宋体"/>
          <w:b/>
          <w:kern w:val="44"/>
        </w:rPr>
        <w:t>第十二条</w:t>
      </w:r>
      <w:r>
        <w:rPr>
          <w:rFonts w:hint="eastAsia" w:ascii="宋体" w:hAnsi="宋体"/>
          <w:kern w:val="44"/>
        </w:rPr>
        <w:t>　单位违反本办法规定，以贱价出售公有住宅楼房的，由房地产管理机关责令限期改正，补足房价款，可并处所得房价款2倍以下，不超过3万元的罚款，提请其上级主管部门追究单位负责人或直接责任人的行政责任。</w:t>
      </w:r>
    </w:p>
    <w:p w14:paraId="2DD2D69C">
      <w:pPr>
        <w:ind w:firstLine="422"/>
        <w:jc w:val="left"/>
        <w:rPr>
          <w:rFonts w:ascii="宋体" w:hAnsi="宋体"/>
          <w:kern w:val="44"/>
        </w:rPr>
      </w:pPr>
      <w:r>
        <w:rPr>
          <w:rFonts w:hint="eastAsia" w:ascii="宋体" w:hAnsi="宋体"/>
          <w:b/>
          <w:kern w:val="44"/>
        </w:rPr>
        <w:t>第十三条</w:t>
      </w:r>
      <w:r>
        <w:rPr>
          <w:rFonts w:hint="eastAsia" w:ascii="宋体" w:hAnsi="宋体"/>
          <w:kern w:val="44"/>
        </w:rPr>
        <w:t>　本办法以准成本价出售公有住宅楼房的规定不适用于高收入家庭的职工。</w:t>
      </w:r>
    </w:p>
    <w:p w14:paraId="0DD4587B">
      <w:pPr>
        <w:ind w:firstLine="422"/>
        <w:jc w:val="left"/>
        <w:rPr>
          <w:rFonts w:ascii="宋体" w:hAnsi="宋体"/>
          <w:kern w:val="44"/>
        </w:rPr>
      </w:pPr>
      <w:r>
        <w:rPr>
          <w:rFonts w:hint="eastAsia" w:ascii="宋体" w:hAnsi="宋体"/>
          <w:b/>
          <w:kern w:val="44"/>
        </w:rPr>
        <w:t>第十四条</w:t>
      </w:r>
      <w:r>
        <w:rPr>
          <w:rFonts w:hint="eastAsia" w:ascii="宋体" w:hAnsi="宋体"/>
          <w:kern w:val="44"/>
        </w:rPr>
        <w:t>　单位向职工出售公有住宅楼房的具体形式，依据本市房改统一政策和本单位实际情况确定。售房方案按隶属关系报上级主管部门批准后执行，并报所在地的区、县人民政府住房制度改革办公室和建设委员会备案。</w:t>
      </w:r>
    </w:p>
    <w:p w14:paraId="0F79650F">
      <w:pPr>
        <w:ind w:firstLine="422"/>
        <w:jc w:val="left"/>
        <w:rPr>
          <w:rFonts w:ascii="宋体" w:hAnsi="宋体"/>
          <w:kern w:val="44"/>
        </w:rPr>
      </w:pPr>
      <w:r>
        <w:rPr>
          <w:rFonts w:hint="eastAsia" w:ascii="宋体" w:hAnsi="宋体"/>
          <w:b/>
          <w:kern w:val="44"/>
        </w:rPr>
        <w:t>第十五条</w:t>
      </w:r>
      <w:r>
        <w:rPr>
          <w:rFonts w:hint="eastAsia" w:ascii="宋体" w:hAnsi="宋体"/>
          <w:kern w:val="44"/>
        </w:rPr>
        <w:t>　本办法自1992年7月1日起施行。</w:t>
      </w:r>
    </w:p>
    <w:p w14:paraId="0717B11B">
      <w:pPr>
        <w:pStyle w:val="4"/>
        <w:pageBreakBefore/>
        <w:rPr>
          <w:kern w:val="44"/>
        </w:rPr>
      </w:pPr>
      <w:bookmarkStart w:id="979" w:name="_Toc427651895"/>
      <w:bookmarkStart w:id="980" w:name="_Toc422471263"/>
      <w:bookmarkStart w:id="981" w:name="_Toc427651553"/>
      <w:bookmarkStart w:id="982" w:name="_Toc428781601"/>
      <w:bookmarkStart w:id="983" w:name="_Toc428780119"/>
      <w:r>
        <w:rPr>
          <w:rFonts w:hint="eastAsia"/>
          <w:kern w:val="44"/>
        </w:rPr>
        <w:t>北京市城镇住宅合作社管理办法</w:t>
      </w:r>
      <w:bookmarkEnd w:id="979"/>
      <w:bookmarkEnd w:id="980"/>
      <w:bookmarkEnd w:id="981"/>
      <w:bookmarkEnd w:id="982"/>
      <w:bookmarkEnd w:id="983"/>
    </w:p>
    <w:p w14:paraId="1244D217">
      <w:pPr>
        <w:ind w:left="630" w:leftChars="300" w:right="630" w:rightChars="300"/>
        <w:jc w:val="left"/>
        <w:rPr>
          <w:rFonts w:ascii="楷体" w:hAnsi="楷体" w:eastAsia="楷体"/>
          <w:kern w:val="44"/>
        </w:rPr>
      </w:pPr>
      <w:r>
        <w:rPr>
          <w:rFonts w:hint="eastAsia" w:ascii="楷体" w:hAnsi="楷体" w:eastAsia="楷体"/>
          <w:kern w:val="44"/>
        </w:rPr>
        <w:t>（1992年5月30日北京市人民政府京政发35号文件发布  根据2010年11月27日北京市人民政府第226号令修改）</w:t>
      </w:r>
    </w:p>
    <w:p w14:paraId="10689B29">
      <w:pPr>
        <w:jc w:val="left"/>
        <w:rPr>
          <w:rFonts w:ascii="宋体" w:hAnsi="宋体"/>
          <w:kern w:val="44"/>
        </w:rPr>
      </w:pPr>
    </w:p>
    <w:p w14:paraId="148ACCF9">
      <w:pPr>
        <w:ind w:firstLine="422"/>
        <w:jc w:val="left"/>
        <w:rPr>
          <w:rFonts w:ascii="宋体" w:hAnsi="宋体"/>
          <w:kern w:val="44"/>
        </w:rPr>
      </w:pPr>
      <w:r>
        <w:rPr>
          <w:rFonts w:hint="eastAsia" w:ascii="宋体" w:hAnsi="宋体"/>
          <w:b/>
          <w:kern w:val="44"/>
        </w:rPr>
        <w:t>第一条</w:t>
      </w:r>
      <w:r>
        <w:rPr>
          <w:rFonts w:hint="eastAsia" w:ascii="宋体" w:hAnsi="宋体"/>
          <w:kern w:val="44"/>
        </w:rPr>
        <w:t>　为实施《北京市住房制度改革实施方案》，制定本办法。</w:t>
      </w:r>
    </w:p>
    <w:p w14:paraId="320ECE32">
      <w:pPr>
        <w:ind w:firstLine="422"/>
        <w:jc w:val="left"/>
        <w:rPr>
          <w:rFonts w:ascii="宋体" w:hAnsi="宋体"/>
          <w:kern w:val="44"/>
        </w:rPr>
      </w:pPr>
      <w:r>
        <w:rPr>
          <w:rFonts w:hint="eastAsia" w:ascii="宋体" w:hAnsi="宋体"/>
          <w:b/>
          <w:kern w:val="44"/>
        </w:rPr>
        <w:t>第二条</w:t>
      </w:r>
      <w:r>
        <w:rPr>
          <w:rFonts w:hint="eastAsia" w:ascii="宋体" w:hAnsi="宋体"/>
          <w:kern w:val="44"/>
        </w:rPr>
        <w:t>　住宅合作社是本市行政区域内中、低收入的城镇居民（包括职工），为解决自身住房困难，在人民政府或单位的组织下，自愿建立的、不以营利为目的的、公益性合作经济组织。其任务是：筹集资金，建设住宅，并对建设的住宅（以下简称合作住宅）进行分配、维修和管理。</w:t>
      </w:r>
    </w:p>
    <w:p w14:paraId="5C102825">
      <w:pPr>
        <w:ind w:firstLine="422"/>
        <w:jc w:val="left"/>
        <w:rPr>
          <w:rFonts w:ascii="宋体" w:hAnsi="宋体"/>
          <w:kern w:val="44"/>
        </w:rPr>
      </w:pPr>
      <w:r>
        <w:rPr>
          <w:rFonts w:hint="eastAsia" w:ascii="宋体" w:hAnsi="宋体"/>
          <w:b/>
          <w:kern w:val="44"/>
        </w:rPr>
        <w:t>第三条</w:t>
      </w:r>
      <w:r>
        <w:rPr>
          <w:rFonts w:hint="eastAsia" w:ascii="宋体" w:hAnsi="宋体"/>
          <w:kern w:val="44"/>
        </w:rPr>
        <w:t>　住宅合作社遵循“个人集资、单位资助、政府扶持、民主管理、自我服务”的原则，实行独立核算，资金自求平衡。</w:t>
      </w:r>
    </w:p>
    <w:p w14:paraId="01A28629">
      <w:pPr>
        <w:ind w:firstLine="422"/>
        <w:jc w:val="left"/>
        <w:rPr>
          <w:rFonts w:ascii="宋体" w:hAnsi="宋体"/>
          <w:kern w:val="44"/>
        </w:rPr>
      </w:pPr>
      <w:r>
        <w:rPr>
          <w:rFonts w:hint="eastAsia" w:ascii="宋体" w:hAnsi="宋体"/>
          <w:b/>
          <w:kern w:val="44"/>
        </w:rPr>
        <w:t>第四条</w:t>
      </w:r>
      <w:r>
        <w:rPr>
          <w:rFonts w:hint="eastAsia" w:ascii="宋体" w:hAnsi="宋体"/>
          <w:kern w:val="44"/>
        </w:rPr>
        <w:t>　市人民政府住房制度改革办公室（以下简称市政府房改办公室）会同有关部门，负责制定政策，进行建社审批、工作协调与指导，对执行情况实施监督。</w:t>
      </w:r>
    </w:p>
    <w:p w14:paraId="7E86A7BC">
      <w:pPr>
        <w:jc w:val="left"/>
        <w:rPr>
          <w:rFonts w:ascii="宋体" w:hAnsi="宋体"/>
          <w:kern w:val="44"/>
        </w:rPr>
      </w:pPr>
      <w:r>
        <w:rPr>
          <w:rFonts w:hint="eastAsia" w:ascii="宋体" w:hAnsi="宋体"/>
          <w:kern w:val="44"/>
        </w:rPr>
        <w:t>区、县人民政府住房制度改革办公室（以下简称区、县政府房改办公室）负责本行政区域内住宅合作社的审批、协调和管理工作。</w:t>
      </w:r>
    </w:p>
    <w:p w14:paraId="0A99FA86">
      <w:pPr>
        <w:ind w:firstLine="422"/>
        <w:jc w:val="left"/>
        <w:rPr>
          <w:rFonts w:ascii="宋体" w:hAnsi="宋体"/>
          <w:kern w:val="44"/>
        </w:rPr>
      </w:pPr>
      <w:r>
        <w:rPr>
          <w:rFonts w:hint="eastAsia" w:ascii="宋体" w:hAnsi="宋体"/>
          <w:b/>
          <w:kern w:val="44"/>
        </w:rPr>
        <w:t>第五条</w:t>
      </w:r>
      <w:r>
        <w:rPr>
          <w:rFonts w:hint="eastAsia" w:ascii="宋体" w:hAnsi="宋体"/>
          <w:kern w:val="44"/>
        </w:rPr>
        <w:t>　组建住宅合作社的程序：</w:t>
      </w:r>
    </w:p>
    <w:p w14:paraId="161916B4">
      <w:pPr>
        <w:jc w:val="left"/>
        <w:rPr>
          <w:rFonts w:ascii="宋体" w:hAnsi="宋体"/>
          <w:kern w:val="44"/>
        </w:rPr>
      </w:pPr>
      <w:r>
        <w:rPr>
          <w:rFonts w:hint="eastAsia" w:ascii="宋体" w:hAnsi="宋体"/>
          <w:kern w:val="44"/>
        </w:rPr>
        <w:t>（一）住宅合作社的筹建组织单位（以下简称组织单位），向市或区、县政府房改办公室提交建社申请书和住宅合作社章程。住宅合作社章程应包括：组织机构、建设资金筹集方式、建设住宅分配和管理办法、社员的权利与义务等。</w:t>
      </w:r>
    </w:p>
    <w:p w14:paraId="114F45D4">
      <w:pPr>
        <w:jc w:val="left"/>
        <w:rPr>
          <w:rFonts w:ascii="宋体" w:hAnsi="宋体"/>
          <w:kern w:val="44"/>
        </w:rPr>
      </w:pPr>
      <w:r>
        <w:rPr>
          <w:rFonts w:hint="eastAsia" w:ascii="宋体" w:hAnsi="宋体"/>
          <w:kern w:val="44"/>
        </w:rPr>
        <w:t>（二）建立住宅合作社的申请，由区、县政府房改办公室审核批准；其中，中央在京单位、市级主管部门建立本系统住宅合作社的申请，由该主管部门报市政府房改办公室审核批准。</w:t>
      </w:r>
    </w:p>
    <w:p w14:paraId="017DB5BE">
      <w:pPr>
        <w:jc w:val="left"/>
        <w:rPr>
          <w:rFonts w:ascii="宋体" w:hAnsi="宋体"/>
          <w:kern w:val="44"/>
        </w:rPr>
      </w:pPr>
      <w:r>
        <w:rPr>
          <w:rFonts w:hint="eastAsia" w:ascii="宋体" w:hAnsi="宋体"/>
          <w:kern w:val="44"/>
        </w:rPr>
        <w:t>（三）组织单位持住宅合作社的批准文件，按社团登记管理的有关规定向民政部门申请社团登记。</w:t>
      </w:r>
    </w:p>
    <w:p w14:paraId="59E6BDE5">
      <w:pPr>
        <w:ind w:firstLine="422"/>
        <w:jc w:val="left"/>
        <w:rPr>
          <w:rFonts w:ascii="宋体" w:hAnsi="宋体"/>
          <w:kern w:val="44"/>
        </w:rPr>
      </w:pPr>
      <w:r>
        <w:rPr>
          <w:rFonts w:hint="eastAsia" w:ascii="宋体" w:hAnsi="宋体"/>
          <w:b/>
          <w:kern w:val="44"/>
        </w:rPr>
        <w:t>第六条</w:t>
      </w:r>
      <w:r>
        <w:rPr>
          <w:rFonts w:hint="eastAsia" w:ascii="宋体" w:hAnsi="宋体"/>
          <w:kern w:val="44"/>
        </w:rPr>
        <w:t>　住宅合作社成立应召开社员大会或社员代表大会，讨论和通过合作社章程。</w:t>
      </w:r>
    </w:p>
    <w:p w14:paraId="69650A54">
      <w:pPr>
        <w:jc w:val="left"/>
        <w:rPr>
          <w:rFonts w:ascii="宋体" w:hAnsi="宋体"/>
          <w:kern w:val="44"/>
        </w:rPr>
      </w:pPr>
      <w:r>
        <w:rPr>
          <w:rFonts w:hint="eastAsia" w:ascii="宋体" w:hAnsi="宋体"/>
          <w:kern w:val="44"/>
        </w:rPr>
        <w:t>社员大会或社员代表大会是住宅合作社最高权力机构。</w:t>
      </w:r>
    </w:p>
    <w:p w14:paraId="5AA7CA79">
      <w:pPr>
        <w:ind w:firstLine="422"/>
        <w:jc w:val="left"/>
        <w:rPr>
          <w:rFonts w:ascii="宋体" w:hAnsi="宋体"/>
          <w:kern w:val="44"/>
        </w:rPr>
      </w:pPr>
      <w:r>
        <w:rPr>
          <w:rFonts w:hint="eastAsia" w:ascii="宋体" w:hAnsi="宋体"/>
          <w:b/>
          <w:kern w:val="44"/>
        </w:rPr>
        <w:t>第七条</w:t>
      </w:r>
      <w:r>
        <w:rPr>
          <w:rFonts w:hint="eastAsia" w:ascii="宋体" w:hAnsi="宋体"/>
          <w:kern w:val="44"/>
        </w:rPr>
        <w:t>　住宅合作社实行自愿入社，优先吸收住房困难的居民（职工）入社。</w:t>
      </w:r>
    </w:p>
    <w:p w14:paraId="29334ECC">
      <w:pPr>
        <w:jc w:val="left"/>
        <w:rPr>
          <w:rFonts w:ascii="宋体" w:hAnsi="宋体"/>
          <w:kern w:val="44"/>
        </w:rPr>
      </w:pPr>
      <w:r>
        <w:rPr>
          <w:rFonts w:hint="eastAsia" w:ascii="宋体" w:hAnsi="宋体"/>
          <w:kern w:val="44"/>
        </w:rPr>
        <w:t>政府鼓励和支持建立住宅合作社。</w:t>
      </w:r>
    </w:p>
    <w:p w14:paraId="782BC255">
      <w:pPr>
        <w:ind w:firstLine="422"/>
        <w:jc w:val="left"/>
        <w:rPr>
          <w:rFonts w:ascii="宋体" w:hAnsi="宋体"/>
          <w:kern w:val="44"/>
        </w:rPr>
      </w:pPr>
      <w:r>
        <w:rPr>
          <w:rFonts w:hint="eastAsia" w:ascii="宋体" w:hAnsi="宋体"/>
          <w:b/>
          <w:kern w:val="44"/>
        </w:rPr>
        <w:t>第八条</w:t>
      </w:r>
      <w:r>
        <w:rPr>
          <w:rFonts w:hint="eastAsia" w:ascii="宋体" w:hAnsi="宋体"/>
          <w:kern w:val="44"/>
        </w:rPr>
        <w:t>　合作住宅的建设、维修、管理资金，采取社员集资、单位资助的办法筹集，政府在政策上给予扶持。</w:t>
      </w:r>
    </w:p>
    <w:p w14:paraId="6CF64959">
      <w:pPr>
        <w:jc w:val="left"/>
        <w:rPr>
          <w:rFonts w:ascii="宋体" w:hAnsi="宋体"/>
          <w:kern w:val="44"/>
        </w:rPr>
      </w:pPr>
      <w:r>
        <w:rPr>
          <w:rFonts w:hint="eastAsia" w:ascii="宋体" w:hAnsi="宋体"/>
          <w:kern w:val="44"/>
        </w:rPr>
        <w:t>住宅合作社向社员个人出售的合作住宅，投资方向调节税适用零税率，向社员个人出售和出租合作住宅免征营业税。住宅合作社可根据国家和本市有关规定，申请合作住宅建设贷款。</w:t>
      </w:r>
    </w:p>
    <w:p w14:paraId="069AA6DF">
      <w:pPr>
        <w:jc w:val="left"/>
        <w:rPr>
          <w:rFonts w:ascii="宋体" w:hAnsi="宋体"/>
          <w:kern w:val="44"/>
        </w:rPr>
      </w:pPr>
      <w:r>
        <w:rPr>
          <w:rFonts w:hint="eastAsia" w:ascii="宋体" w:hAnsi="宋体"/>
          <w:kern w:val="44"/>
        </w:rPr>
        <w:t>各级计划、规划和建设主管部门应对住宅合作社的住宅建设给予支持，优先安排。</w:t>
      </w:r>
    </w:p>
    <w:p w14:paraId="7E03B96D">
      <w:pPr>
        <w:ind w:firstLine="422"/>
        <w:jc w:val="left"/>
        <w:rPr>
          <w:rFonts w:ascii="宋体" w:hAnsi="宋体"/>
          <w:kern w:val="44"/>
        </w:rPr>
      </w:pPr>
      <w:r>
        <w:rPr>
          <w:rFonts w:hint="eastAsia" w:ascii="宋体" w:hAnsi="宋体"/>
          <w:b/>
          <w:kern w:val="44"/>
        </w:rPr>
        <w:t>第九条</w:t>
      </w:r>
      <w:r>
        <w:rPr>
          <w:rFonts w:hint="eastAsia" w:ascii="宋体" w:hAnsi="宋体"/>
          <w:kern w:val="44"/>
        </w:rPr>
        <w:t>　社员第一次购买合作住宅，免缴契税；购房后自住期间，免缴房产税、土地使用税。</w:t>
      </w:r>
    </w:p>
    <w:p w14:paraId="24FF07C8">
      <w:pPr>
        <w:jc w:val="left"/>
        <w:rPr>
          <w:rFonts w:ascii="宋体" w:hAnsi="宋体"/>
          <w:kern w:val="44"/>
        </w:rPr>
      </w:pPr>
      <w:r>
        <w:rPr>
          <w:rFonts w:hint="eastAsia" w:ascii="宋体" w:hAnsi="宋体"/>
          <w:kern w:val="44"/>
        </w:rPr>
        <w:t>社员购买合作住宅后，应按本市房屋买卖管理的有关规定，向住宅所在地的区、县房地产管理局申办立契过户和房产登记，领取房屋所有权证。</w:t>
      </w:r>
    </w:p>
    <w:p w14:paraId="364B65FF">
      <w:pPr>
        <w:ind w:firstLine="422"/>
        <w:jc w:val="left"/>
        <w:rPr>
          <w:rFonts w:ascii="宋体" w:hAnsi="宋体"/>
          <w:kern w:val="44"/>
        </w:rPr>
      </w:pPr>
      <w:r>
        <w:rPr>
          <w:rFonts w:hint="eastAsia" w:ascii="宋体" w:hAnsi="宋体"/>
          <w:b/>
          <w:kern w:val="44"/>
        </w:rPr>
        <w:t>第十条</w:t>
      </w:r>
      <w:r>
        <w:rPr>
          <w:rFonts w:hint="eastAsia" w:ascii="宋体" w:hAnsi="宋体"/>
          <w:kern w:val="44"/>
        </w:rPr>
        <w:t>　合作住宅的维修，由住宅合作社参照本市住宅维修有关规定执行。</w:t>
      </w:r>
    </w:p>
    <w:p w14:paraId="228D149E">
      <w:pPr>
        <w:ind w:firstLine="422"/>
        <w:jc w:val="left"/>
        <w:rPr>
          <w:rFonts w:ascii="宋体" w:hAnsi="宋体"/>
          <w:kern w:val="44"/>
        </w:rPr>
      </w:pPr>
      <w:r>
        <w:rPr>
          <w:rFonts w:hint="eastAsia" w:ascii="宋体" w:hAnsi="宋体"/>
          <w:b/>
          <w:kern w:val="44"/>
        </w:rPr>
        <w:t>第十一条</w:t>
      </w:r>
      <w:r>
        <w:rPr>
          <w:rFonts w:hint="eastAsia" w:ascii="宋体" w:hAnsi="宋体"/>
          <w:kern w:val="44"/>
        </w:rPr>
        <w:t xml:space="preserve">  住宅合作社解散，须报原批准成立的市或区、县政府房改办公室批准，并将债权债务清理和财务结算报告，报房改办公室核准后，方可正式宣告解散。</w:t>
      </w:r>
    </w:p>
    <w:p w14:paraId="75EA985A">
      <w:pPr>
        <w:ind w:firstLine="422"/>
        <w:jc w:val="left"/>
        <w:rPr>
          <w:rFonts w:ascii="宋体" w:hAnsi="宋体"/>
          <w:kern w:val="44"/>
        </w:rPr>
      </w:pPr>
      <w:r>
        <w:rPr>
          <w:rFonts w:hint="eastAsia" w:ascii="宋体" w:hAnsi="宋体"/>
          <w:b/>
          <w:kern w:val="44"/>
        </w:rPr>
        <w:t>第十二条</w:t>
      </w:r>
      <w:r>
        <w:rPr>
          <w:rFonts w:hint="eastAsia" w:ascii="宋体" w:hAnsi="宋体"/>
          <w:kern w:val="44"/>
        </w:rPr>
        <w:t>　本办法执行中的具体问题，由市政府房改办公室负责解释。</w:t>
      </w:r>
    </w:p>
    <w:p w14:paraId="41632AAE">
      <w:pPr>
        <w:ind w:firstLine="422"/>
        <w:jc w:val="left"/>
        <w:rPr>
          <w:rFonts w:ascii="宋体" w:hAnsi="宋体"/>
          <w:kern w:val="44"/>
        </w:rPr>
      </w:pPr>
      <w:r>
        <w:rPr>
          <w:rFonts w:hint="eastAsia" w:ascii="宋体" w:hAnsi="宋体"/>
          <w:b/>
          <w:kern w:val="44"/>
        </w:rPr>
        <w:t>第十三条</w:t>
      </w:r>
      <w:r>
        <w:rPr>
          <w:rFonts w:hint="eastAsia" w:ascii="宋体" w:hAnsi="宋体"/>
          <w:kern w:val="44"/>
        </w:rPr>
        <w:t>　本办法自1992年7月1日起施行。</w:t>
      </w:r>
    </w:p>
    <w:p w14:paraId="1EF4DFF7">
      <w:pPr>
        <w:pStyle w:val="4"/>
        <w:pageBreakBefore/>
        <w:rPr>
          <w:kern w:val="44"/>
        </w:rPr>
      </w:pPr>
      <w:bookmarkStart w:id="984" w:name="_Toc428780120"/>
      <w:bookmarkStart w:id="985" w:name="_Toc427651896"/>
      <w:bookmarkStart w:id="986" w:name="_Toc428781602"/>
      <w:bookmarkStart w:id="987" w:name="_Toc427651554"/>
      <w:bookmarkStart w:id="988" w:name="_Toc422471264"/>
      <w:r>
        <w:rPr>
          <w:rFonts w:hint="eastAsia"/>
          <w:kern w:val="44"/>
        </w:rPr>
        <w:t>关于对世界银行贷款项目内住房合股</w:t>
      </w:r>
      <w:bookmarkEnd w:id="984"/>
      <w:bookmarkEnd w:id="985"/>
      <w:bookmarkEnd w:id="986"/>
      <w:bookmarkEnd w:id="987"/>
      <w:bookmarkEnd w:id="988"/>
    </w:p>
    <w:p w14:paraId="63B41A4E">
      <w:pPr>
        <w:pStyle w:val="4"/>
        <w:rPr>
          <w:kern w:val="44"/>
        </w:rPr>
      </w:pPr>
      <w:bookmarkStart w:id="989" w:name="_Toc422471265"/>
      <w:bookmarkStart w:id="990" w:name="_Toc428781603"/>
      <w:bookmarkStart w:id="991" w:name="_Toc427651555"/>
      <w:bookmarkStart w:id="992" w:name="_Toc427651897"/>
      <w:bookmarkStart w:id="993" w:name="_Toc428780121"/>
      <w:r>
        <w:rPr>
          <w:rFonts w:hint="eastAsia"/>
          <w:kern w:val="44"/>
        </w:rPr>
        <w:t>公司的住房承租人违约</w:t>
      </w:r>
      <w:bookmarkEnd w:id="989"/>
      <w:bookmarkStart w:id="994" w:name="_Toc422471266"/>
      <w:r>
        <w:rPr>
          <w:rFonts w:hint="eastAsia"/>
          <w:kern w:val="44"/>
        </w:rPr>
        <w:t>处理程序的规定</w:t>
      </w:r>
      <w:bookmarkEnd w:id="990"/>
      <w:bookmarkEnd w:id="991"/>
      <w:bookmarkEnd w:id="992"/>
      <w:bookmarkEnd w:id="993"/>
      <w:bookmarkEnd w:id="994"/>
    </w:p>
    <w:p w14:paraId="3E77916B">
      <w:pPr>
        <w:ind w:left="630" w:leftChars="300" w:right="630" w:rightChars="300"/>
        <w:jc w:val="center"/>
        <w:rPr>
          <w:rFonts w:ascii="楷体" w:hAnsi="楷体" w:eastAsia="楷体"/>
          <w:kern w:val="44"/>
        </w:rPr>
      </w:pPr>
      <w:r>
        <w:rPr>
          <w:rFonts w:hint="eastAsia" w:ascii="楷体" w:hAnsi="楷体" w:eastAsia="楷体"/>
          <w:kern w:val="44"/>
        </w:rPr>
        <w:t>（1994年3月22日北京市人民政府第4号令发布）</w:t>
      </w:r>
    </w:p>
    <w:p w14:paraId="018BB513">
      <w:pPr>
        <w:ind w:left="630" w:leftChars="300" w:right="630" w:rightChars="300"/>
        <w:jc w:val="center"/>
        <w:rPr>
          <w:rFonts w:ascii="楷体" w:hAnsi="楷体" w:eastAsia="楷体"/>
          <w:kern w:val="44"/>
        </w:rPr>
      </w:pPr>
    </w:p>
    <w:p w14:paraId="70D44249">
      <w:pPr>
        <w:ind w:firstLine="422"/>
        <w:jc w:val="left"/>
        <w:rPr>
          <w:rFonts w:ascii="宋体" w:hAnsi="宋体"/>
          <w:kern w:val="44"/>
        </w:rPr>
      </w:pPr>
      <w:r>
        <w:rPr>
          <w:rFonts w:hint="eastAsia" w:ascii="宋体" w:hAnsi="宋体"/>
          <w:b/>
          <w:kern w:val="44"/>
        </w:rPr>
        <w:t>第一条</w:t>
      </w:r>
      <w:r>
        <w:rPr>
          <w:rFonts w:hint="eastAsia" w:ascii="宋体" w:hAnsi="宋体"/>
          <w:kern w:val="44"/>
        </w:rPr>
        <w:t>　本规定的宗旨，是维护住房合股公司的合法权益，保障世界银行贷款项目顺利进行。凡参加世界银行住房制度改革贷款项目的住房合股公司（以下简称出租人）及其住房承租人（以下简称承租人），均适用本规定。</w:t>
      </w:r>
    </w:p>
    <w:p w14:paraId="45268457">
      <w:pPr>
        <w:ind w:firstLine="422"/>
        <w:jc w:val="left"/>
        <w:rPr>
          <w:rFonts w:ascii="宋体" w:hAnsi="宋体"/>
          <w:kern w:val="44"/>
        </w:rPr>
      </w:pPr>
      <w:r>
        <w:rPr>
          <w:rFonts w:hint="eastAsia" w:ascii="宋体" w:hAnsi="宋体"/>
          <w:b/>
          <w:kern w:val="44"/>
        </w:rPr>
        <w:t>第二条</w:t>
      </w:r>
      <w:r>
        <w:rPr>
          <w:rFonts w:hint="eastAsia" w:ascii="宋体" w:hAnsi="宋体"/>
          <w:kern w:val="44"/>
        </w:rPr>
        <w:t>　承租人应按住房租赁合同规定的期限、方式和数额，向出租人给付租金。</w:t>
      </w:r>
    </w:p>
    <w:p w14:paraId="1B24CAD8">
      <w:pPr>
        <w:jc w:val="left"/>
        <w:rPr>
          <w:rFonts w:ascii="宋体" w:hAnsi="宋体"/>
          <w:kern w:val="44"/>
        </w:rPr>
      </w:pPr>
      <w:r>
        <w:rPr>
          <w:rFonts w:hint="eastAsia" w:ascii="宋体" w:hAnsi="宋体"/>
          <w:kern w:val="44"/>
        </w:rPr>
        <w:t>承租人未按合同约定的期限给付租金、也未向出租人说明正当理由和补交欠租时间的，自第2个月起，出租人有权以催告书方式督促承租人履行给付义务。</w:t>
      </w:r>
    </w:p>
    <w:p w14:paraId="216F941F">
      <w:pPr>
        <w:jc w:val="left"/>
        <w:rPr>
          <w:rFonts w:ascii="宋体" w:hAnsi="宋体"/>
          <w:kern w:val="44"/>
        </w:rPr>
      </w:pPr>
      <w:r>
        <w:rPr>
          <w:rFonts w:hint="eastAsia" w:ascii="宋体" w:hAnsi="宋体"/>
          <w:kern w:val="44"/>
        </w:rPr>
        <w:t>催告书应写明承租人欠租期限、所欠租金数额及滞纳金数额、给付期限、违约后果等。给付的最后期限不超过自欠租之月起第6个月。</w:t>
      </w:r>
    </w:p>
    <w:p w14:paraId="16A0C42B">
      <w:pPr>
        <w:jc w:val="left"/>
        <w:rPr>
          <w:rFonts w:ascii="宋体" w:hAnsi="宋体"/>
          <w:kern w:val="44"/>
        </w:rPr>
      </w:pPr>
      <w:r>
        <w:rPr>
          <w:rFonts w:hint="eastAsia" w:ascii="宋体" w:hAnsi="宋体"/>
          <w:kern w:val="44"/>
        </w:rPr>
        <w:t>催告书应送达承租人。</w:t>
      </w:r>
    </w:p>
    <w:p w14:paraId="314914C3">
      <w:pPr>
        <w:ind w:firstLine="422"/>
        <w:jc w:val="left"/>
        <w:rPr>
          <w:rFonts w:ascii="宋体" w:hAnsi="宋体"/>
          <w:kern w:val="44"/>
        </w:rPr>
      </w:pPr>
      <w:r>
        <w:rPr>
          <w:rFonts w:hint="eastAsia" w:ascii="宋体" w:hAnsi="宋体"/>
          <w:b/>
          <w:kern w:val="44"/>
        </w:rPr>
        <w:t>第三条</w:t>
      </w:r>
      <w:r>
        <w:rPr>
          <w:rFonts w:hint="eastAsia" w:ascii="宋体" w:hAnsi="宋体"/>
          <w:kern w:val="44"/>
        </w:rPr>
        <w:t>　承租人确有正当理由不能按期给付租金的，应在催告书确定的给付期内同出租人协商解决。出租人应对承租人提出的理由给予充分考虑。</w:t>
      </w:r>
    </w:p>
    <w:p w14:paraId="45EA0344">
      <w:pPr>
        <w:jc w:val="left"/>
        <w:rPr>
          <w:rFonts w:ascii="宋体" w:hAnsi="宋体"/>
          <w:kern w:val="44"/>
        </w:rPr>
      </w:pPr>
      <w:r>
        <w:rPr>
          <w:rFonts w:hint="eastAsia" w:ascii="宋体" w:hAnsi="宋体"/>
          <w:kern w:val="44"/>
        </w:rPr>
        <w:t>承租人与出租人在催告期内不能协商一致的，任何一方均可向当地房管部门申请调解。房管部门自受理调解申请之日起30日内未能调解解决的，应以书面方式通知出租人和承租人，调解程序即终结。</w:t>
      </w:r>
    </w:p>
    <w:p w14:paraId="289E1E97">
      <w:pPr>
        <w:ind w:firstLine="422"/>
        <w:jc w:val="left"/>
        <w:rPr>
          <w:rFonts w:ascii="宋体" w:hAnsi="宋体"/>
          <w:kern w:val="44"/>
        </w:rPr>
      </w:pPr>
      <w:r>
        <w:rPr>
          <w:rFonts w:hint="eastAsia" w:ascii="宋体" w:hAnsi="宋体"/>
          <w:b/>
          <w:kern w:val="44"/>
        </w:rPr>
        <w:t>第四条</w:t>
      </w:r>
      <w:r>
        <w:rPr>
          <w:rFonts w:hint="eastAsia" w:ascii="宋体" w:hAnsi="宋体"/>
          <w:kern w:val="44"/>
        </w:rPr>
        <w:t>　出租人在协商和调解中作出了努力，仍未能就补交欠租与承租人达成协议的，出租人有权解除租约。出租人解除租约，应在给付期满或调解程序终结后书面通知承租人。书面通知应写明承租人的违约行为、违约责任以及要求承租人迁出住房的期限。</w:t>
      </w:r>
    </w:p>
    <w:p w14:paraId="0A806A08">
      <w:pPr>
        <w:jc w:val="left"/>
        <w:rPr>
          <w:rFonts w:ascii="宋体" w:hAnsi="宋体"/>
          <w:kern w:val="44"/>
        </w:rPr>
      </w:pPr>
      <w:r>
        <w:rPr>
          <w:rFonts w:hint="eastAsia" w:ascii="宋体" w:hAnsi="宋体"/>
          <w:kern w:val="44"/>
        </w:rPr>
        <w:t>承租人违反合同规定的其他义务，经出租人提示拒不改正，或其违约行为给出租人权益造成较大损害的，出租人有权解除租约，并以通知书方式限期承租人迁出住房。</w:t>
      </w:r>
    </w:p>
    <w:p w14:paraId="0907DCA5">
      <w:pPr>
        <w:jc w:val="left"/>
        <w:rPr>
          <w:rFonts w:ascii="宋体" w:hAnsi="宋体"/>
          <w:kern w:val="44"/>
        </w:rPr>
      </w:pPr>
      <w:r>
        <w:rPr>
          <w:rFonts w:hint="eastAsia" w:ascii="宋体" w:hAnsi="宋体"/>
          <w:kern w:val="44"/>
        </w:rPr>
        <w:t>限期迁出住房，应给承租人不少于30天的准备时间。</w:t>
      </w:r>
    </w:p>
    <w:p w14:paraId="39A97E6D">
      <w:pPr>
        <w:ind w:firstLine="422"/>
        <w:jc w:val="left"/>
        <w:rPr>
          <w:rFonts w:ascii="宋体" w:hAnsi="宋体"/>
          <w:kern w:val="44"/>
        </w:rPr>
      </w:pPr>
      <w:r>
        <w:rPr>
          <w:rFonts w:hint="eastAsia" w:ascii="宋体" w:hAnsi="宋体"/>
          <w:b/>
          <w:kern w:val="44"/>
        </w:rPr>
        <w:t>第五条</w:t>
      </w:r>
      <w:r>
        <w:rPr>
          <w:rFonts w:hint="eastAsia" w:ascii="宋体" w:hAnsi="宋体"/>
          <w:kern w:val="44"/>
        </w:rPr>
        <w:t>　限期迁出期满，承租人未迁出住房的，出租人可向人民法院提起诉讼，申请人民法院强制执行。</w:t>
      </w:r>
    </w:p>
    <w:p w14:paraId="7933E457">
      <w:pPr>
        <w:ind w:firstLine="422"/>
        <w:jc w:val="left"/>
        <w:rPr>
          <w:rFonts w:ascii="宋体" w:hAnsi="宋体"/>
          <w:kern w:val="44"/>
        </w:rPr>
      </w:pPr>
      <w:r>
        <w:rPr>
          <w:rFonts w:hint="eastAsia" w:ascii="宋体" w:hAnsi="宋体"/>
          <w:b/>
          <w:kern w:val="44"/>
        </w:rPr>
        <w:t>第六条</w:t>
      </w:r>
      <w:r>
        <w:rPr>
          <w:rFonts w:hint="eastAsia" w:ascii="宋体" w:hAnsi="宋体"/>
          <w:kern w:val="44"/>
        </w:rPr>
        <w:t>　本规定第二条、第三条、第四条规定的程序，因下列原因终止：</w:t>
      </w:r>
    </w:p>
    <w:p w14:paraId="125FDD6B">
      <w:pPr>
        <w:jc w:val="left"/>
        <w:rPr>
          <w:rFonts w:ascii="宋体" w:hAnsi="宋体"/>
          <w:kern w:val="44"/>
        </w:rPr>
      </w:pPr>
      <w:r>
        <w:rPr>
          <w:rFonts w:hint="eastAsia" w:ascii="宋体" w:hAnsi="宋体"/>
          <w:kern w:val="44"/>
        </w:rPr>
        <w:t>（一）承租人履行了全部租金给付义务；</w:t>
      </w:r>
    </w:p>
    <w:p w14:paraId="7A5942CC">
      <w:pPr>
        <w:jc w:val="left"/>
        <w:rPr>
          <w:rFonts w:ascii="宋体" w:hAnsi="宋体"/>
          <w:kern w:val="44"/>
        </w:rPr>
      </w:pPr>
      <w:r>
        <w:rPr>
          <w:rFonts w:hint="eastAsia" w:ascii="宋体" w:hAnsi="宋体"/>
          <w:kern w:val="44"/>
        </w:rPr>
        <w:t>（二）承租人已就该租约的履行或解除向人民法院提起诉讼。</w:t>
      </w:r>
    </w:p>
    <w:p w14:paraId="6BC688FB">
      <w:pPr>
        <w:ind w:firstLine="422"/>
        <w:jc w:val="left"/>
        <w:rPr>
          <w:rFonts w:ascii="宋体" w:hAnsi="宋体"/>
          <w:kern w:val="44"/>
        </w:rPr>
      </w:pPr>
      <w:r>
        <w:rPr>
          <w:rFonts w:hint="eastAsia" w:ascii="宋体" w:hAnsi="宋体"/>
          <w:b/>
          <w:kern w:val="44"/>
        </w:rPr>
        <w:t>第七条</w:t>
      </w:r>
      <w:r>
        <w:rPr>
          <w:rFonts w:hint="eastAsia" w:ascii="宋体" w:hAnsi="宋体"/>
          <w:kern w:val="44"/>
        </w:rPr>
        <w:t>　本规定自1994年4月1日起施行。</w:t>
      </w:r>
    </w:p>
    <w:p w14:paraId="33EB154D">
      <w:pPr>
        <w:pStyle w:val="4"/>
        <w:pageBreakBefore/>
        <w:rPr>
          <w:kern w:val="44"/>
        </w:rPr>
      </w:pPr>
      <w:bookmarkStart w:id="995" w:name="_Toc422471267"/>
      <w:bookmarkStart w:id="996" w:name="_Toc428781604"/>
      <w:bookmarkStart w:id="997" w:name="_Toc427651898"/>
      <w:bookmarkStart w:id="998" w:name="_Toc428780122"/>
      <w:bookmarkStart w:id="999" w:name="_Toc427651556"/>
      <w:r>
        <w:rPr>
          <w:rFonts w:hint="eastAsia"/>
          <w:kern w:val="44"/>
        </w:rPr>
        <w:t>北京市商品住宅销售</w:t>
      </w:r>
      <w:bookmarkEnd w:id="995"/>
      <w:bookmarkStart w:id="1000" w:name="_Toc422471268"/>
      <w:r>
        <w:rPr>
          <w:rFonts w:hint="eastAsia"/>
          <w:kern w:val="44"/>
        </w:rPr>
        <w:t>价格构成管理办法</w:t>
      </w:r>
      <w:bookmarkEnd w:id="996"/>
      <w:bookmarkEnd w:id="997"/>
      <w:bookmarkEnd w:id="998"/>
      <w:bookmarkEnd w:id="999"/>
      <w:bookmarkEnd w:id="1000"/>
    </w:p>
    <w:p w14:paraId="50314BD0">
      <w:pPr>
        <w:ind w:left="630" w:leftChars="300" w:right="630" w:rightChars="300"/>
        <w:jc w:val="left"/>
        <w:rPr>
          <w:rFonts w:ascii="楷体" w:hAnsi="楷体" w:eastAsia="楷体"/>
          <w:kern w:val="44"/>
        </w:rPr>
      </w:pPr>
      <w:r>
        <w:rPr>
          <w:rFonts w:hint="eastAsia" w:ascii="楷体" w:hAnsi="楷体" w:eastAsia="楷体"/>
          <w:kern w:val="44"/>
        </w:rPr>
        <w:t>（2001年3月28日北京市人民政府第33次常务会议通过  2001年4月11日北京市人民政府第73号令发布 ）</w:t>
      </w:r>
    </w:p>
    <w:p w14:paraId="1524D701">
      <w:pPr>
        <w:jc w:val="left"/>
        <w:rPr>
          <w:rFonts w:ascii="宋体" w:hAnsi="宋体"/>
          <w:kern w:val="44"/>
        </w:rPr>
      </w:pPr>
    </w:p>
    <w:p w14:paraId="63D5A6D2">
      <w:pPr>
        <w:ind w:firstLine="422"/>
        <w:jc w:val="left"/>
        <w:rPr>
          <w:rFonts w:ascii="宋体" w:hAnsi="宋体"/>
          <w:kern w:val="44"/>
        </w:rPr>
      </w:pPr>
      <w:r>
        <w:rPr>
          <w:rFonts w:hint="eastAsia" w:ascii="宋体" w:hAnsi="宋体"/>
          <w:b/>
          <w:kern w:val="44"/>
        </w:rPr>
        <w:t>第一条</w:t>
      </w:r>
      <w:r>
        <w:rPr>
          <w:rFonts w:hint="eastAsia" w:ascii="宋体" w:hAnsi="宋体"/>
          <w:kern w:val="44"/>
        </w:rPr>
        <w:t>　为规范商品住宅销售价格构成，促进商品住宅建设和房地产业健康发展，制定本办法。</w:t>
      </w:r>
    </w:p>
    <w:p w14:paraId="5764739A">
      <w:pPr>
        <w:ind w:firstLine="422"/>
        <w:jc w:val="left"/>
        <w:rPr>
          <w:rFonts w:ascii="宋体" w:hAnsi="宋体"/>
          <w:kern w:val="44"/>
        </w:rPr>
      </w:pPr>
      <w:r>
        <w:rPr>
          <w:rFonts w:hint="eastAsia" w:ascii="宋体" w:hAnsi="宋体"/>
          <w:b/>
          <w:kern w:val="44"/>
        </w:rPr>
        <w:t>第二条</w:t>
      </w:r>
      <w:r>
        <w:rPr>
          <w:rFonts w:hint="eastAsia" w:ascii="宋体" w:hAnsi="宋体"/>
          <w:kern w:val="44"/>
        </w:rPr>
        <w:t>　凡本市行政区域内新建商品住宅销售价格的制定，均须遵守本办法。</w:t>
      </w:r>
    </w:p>
    <w:p w14:paraId="28672C4D">
      <w:pPr>
        <w:ind w:firstLine="422"/>
        <w:jc w:val="left"/>
        <w:rPr>
          <w:rFonts w:ascii="宋体" w:hAnsi="宋体"/>
          <w:kern w:val="44"/>
        </w:rPr>
      </w:pPr>
      <w:r>
        <w:rPr>
          <w:rFonts w:hint="eastAsia" w:ascii="宋体" w:hAnsi="宋体"/>
          <w:b/>
          <w:kern w:val="44"/>
        </w:rPr>
        <w:t>第三条</w:t>
      </w:r>
      <w:r>
        <w:rPr>
          <w:rFonts w:hint="eastAsia" w:ascii="宋体" w:hAnsi="宋体"/>
          <w:kern w:val="44"/>
        </w:rPr>
        <w:t>　市价格行政主管部门是本市商品住宅销售价格的主管机关，负责组织实施本办法。区、县价格行政主管部门负责本辖区内商品住宅销售价格行为的管理和监督检查工作。</w:t>
      </w:r>
    </w:p>
    <w:p w14:paraId="217D6EB7">
      <w:pPr>
        <w:jc w:val="left"/>
        <w:rPr>
          <w:rFonts w:ascii="宋体" w:hAnsi="宋体"/>
          <w:kern w:val="44"/>
        </w:rPr>
      </w:pPr>
      <w:r>
        <w:rPr>
          <w:rFonts w:hint="eastAsia" w:ascii="宋体" w:hAnsi="宋体"/>
          <w:kern w:val="44"/>
        </w:rPr>
        <w:t>建设、财政、税务、审计、规划、国土资源和房屋管理等行政主管部门按照各自的职责，依法实施监督和管理。</w:t>
      </w:r>
    </w:p>
    <w:p w14:paraId="658E3D43">
      <w:pPr>
        <w:ind w:firstLine="422"/>
        <w:jc w:val="left"/>
        <w:rPr>
          <w:rFonts w:ascii="宋体" w:hAnsi="宋体"/>
          <w:kern w:val="44"/>
        </w:rPr>
      </w:pPr>
      <w:r>
        <w:rPr>
          <w:rFonts w:hint="eastAsia" w:ascii="宋体" w:hAnsi="宋体"/>
          <w:b/>
          <w:kern w:val="44"/>
        </w:rPr>
        <w:t>第四条</w:t>
      </w:r>
      <w:r>
        <w:rPr>
          <w:rFonts w:hint="eastAsia" w:ascii="宋体" w:hAnsi="宋体"/>
          <w:kern w:val="44"/>
        </w:rPr>
        <w:t>　商品住宅的销售价格，由商品住宅开发经营者（以下简称开发经营者）依照本办法的规定确定。市或者区、县价格行政主管部门有权进行抽查审核。被抽查的开发经营者应当如实提供相关资料。价格行政主管部门及其工作人员不得将依法取得的资料或者了解的情况用于依法进行价格管理以外的任何其他目的，不得泄露当事人的商业秘密。</w:t>
      </w:r>
    </w:p>
    <w:p w14:paraId="78E7A88D">
      <w:pPr>
        <w:jc w:val="left"/>
        <w:rPr>
          <w:rFonts w:ascii="宋体" w:hAnsi="宋体"/>
          <w:kern w:val="44"/>
        </w:rPr>
      </w:pPr>
      <w:r>
        <w:rPr>
          <w:rFonts w:hint="eastAsia" w:ascii="宋体" w:hAnsi="宋体"/>
          <w:kern w:val="44"/>
        </w:rPr>
        <w:t>经济适用住房销售价格按照国家和本市有关规定确定。</w:t>
      </w:r>
    </w:p>
    <w:p w14:paraId="7A74F49E">
      <w:pPr>
        <w:ind w:firstLine="422"/>
        <w:jc w:val="left"/>
        <w:rPr>
          <w:rFonts w:ascii="宋体" w:hAnsi="宋体"/>
          <w:kern w:val="44"/>
        </w:rPr>
      </w:pPr>
      <w:r>
        <w:rPr>
          <w:rFonts w:hint="eastAsia" w:ascii="宋体" w:hAnsi="宋体"/>
          <w:b/>
          <w:kern w:val="44"/>
        </w:rPr>
        <w:t>第五条</w:t>
      </w:r>
      <w:r>
        <w:rPr>
          <w:rFonts w:hint="eastAsia" w:ascii="宋体" w:hAnsi="宋体"/>
          <w:kern w:val="44"/>
        </w:rPr>
        <w:t>　开发经营者要加强管理，提高效率，严格成本核算，降低商品住宅的成本和价格。</w:t>
      </w:r>
    </w:p>
    <w:p w14:paraId="010D681C">
      <w:pPr>
        <w:ind w:firstLine="422"/>
        <w:jc w:val="left"/>
        <w:rPr>
          <w:rFonts w:ascii="宋体" w:hAnsi="宋体"/>
          <w:kern w:val="44"/>
        </w:rPr>
      </w:pPr>
      <w:r>
        <w:rPr>
          <w:rFonts w:hint="eastAsia" w:ascii="宋体" w:hAnsi="宋体"/>
          <w:b/>
          <w:kern w:val="44"/>
        </w:rPr>
        <w:t>第六条</w:t>
      </w:r>
      <w:r>
        <w:rPr>
          <w:rFonts w:hint="eastAsia" w:ascii="宋体" w:hAnsi="宋体"/>
          <w:kern w:val="44"/>
        </w:rPr>
        <w:t>　本市商品住宅的销售实行明码标价制度。开发经营者不得超过标价出售商品住宅，不得收取任何未予标明的费用。</w:t>
      </w:r>
    </w:p>
    <w:p w14:paraId="571A4B74">
      <w:pPr>
        <w:ind w:firstLine="422"/>
        <w:jc w:val="left"/>
        <w:rPr>
          <w:rFonts w:ascii="宋体" w:hAnsi="宋体"/>
          <w:kern w:val="44"/>
        </w:rPr>
      </w:pPr>
      <w:r>
        <w:rPr>
          <w:rFonts w:hint="eastAsia" w:ascii="宋体" w:hAnsi="宋体"/>
          <w:b/>
          <w:kern w:val="44"/>
        </w:rPr>
        <w:t>第七条</w:t>
      </w:r>
      <w:r>
        <w:rPr>
          <w:rFonts w:hint="eastAsia" w:ascii="宋体" w:hAnsi="宋体"/>
          <w:kern w:val="44"/>
        </w:rPr>
        <w:t>　商品住宅销售价格由以下部分构成：</w:t>
      </w:r>
    </w:p>
    <w:p w14:paraId="34C0E550">
      <w:pPr>
        <w:jc w:val="left"/>
        <w:rPr>
          <w:rFonts w:ascii="宋体" w:hAnsi="宋体"/>
          <w:kern w:val="44"/>
        </w:rPr>
      </w:pPr>
      <w:r>
        <w:rPr>
          <w:rFonts w:hint="eastAsia" w:ascii="宋体" w:hAnsi="宋体"/>
          <w:kern w:val="44"/>
        </w:rPr>
        <w:t>（一）住宅开发成本费用，包括土地使用权出让金、征地费、房屋拆迁补偿补助费、勘察设计及前期工程费、建筑安装工程费、附属工程费和间接费用。</w:t>
      </w:r>
    </w:p>
    <w:p w14:paraId="0E7DB126">
      <w:pPr>
        <w:jc w:val="left"/>
        <w:rPr>
          <w:rFonts w:ascii="宋体" w:hAnsi="宋体"/>
          <w:kern w:val="44"/>
        </w:rPr>
      </w:pPr>
      <w:r>
        <w:rPr>
          <w:rFonts w:hint="eastAsia" w:ascii="宋体" w:hAnsi="宋体"/>
          <w:kern w:val="44"/>
        </w:rPr>
        <w:t>（二）期间费用，包括管理费用、财务费用和销售费用。</w:t>
      </w:r>
    </w:p>
    <w:p w14:paraId="7ABBACF9">
      <w:pPr>
        <w:jc w:val="left"/>
        <w:rPr>
          <w:rFonts w:ascii="宋体" w:hAnsi="宋体"/>
          <w:kern w:val="44"/>
        </w:rPr>
      </w:pPr>
      <w:r>
        <w:rPr>
          <w:rFonts w:hint="eastAsia" w:ascii="宋体" w:hAnsi="宋体"/>
          <w:kern w:val="44"/>
        </w:rPr>
        <w:t>（三）税金，包括营业税、城市维护建设税、教育费附加等。</w:t>
      </w:r>
    </w:p>
    <w:p w14:paraId="70D5EC9E">
      <w:pPr>
        <w:jc w:val="left"/>
        <w:rPr>
          <w:rFonts w:ascii="宋体" w:hAnsi="宋体"/>
          <w:kern w:val="44"/>
        </w:rPr>
      </w:pPr>
      <w:r>
        <w:rPr>
          <w:rFonts w:hint="eastAsia" w:ascii="宋体" w:hAnsi="宋体"/>
          <w:kern w:val="44"/>
        </w:rPr>
        <w:t>（四）依法应当缴纳的其他</w:t>
      </w:r>
      <w:r>
        <w:rPr>
          <w:rFonts w:hint="eastAsia" w:ascii="宋体" w:hAnsi="宋体"/>
          <w:kern w:val="44"/>
          <w:lang w:eastAsia="zh-CN"/>
        </w:rPr>
        <w:t>行政事业性收费</w:t>
      </w:r>
      <w:r>
        <w:rPr>
          <w:rFonts w:hint="eastAsia" w:ascii="宋体" w:hAnsi="宋体"/>
          <w:kern w:val="44"/>
        </w:rPr>
        <w:t>。</w:t>
      </w:r>
    </w:p>
    <w:p w14:paraId="78570B60">
      <w:pPr>
        <w:jc w:val="left"/>
        <w:rPr>
          <w:rFonts w:ascii="宋体" w:hAnsi="宋体"/>
          <w:kern w:val="44"/>
        </w:rPr>
      </w:pPr>
      <w:r>
        <w:rPr>
          <w:rFonts w:hint="eastAsia" w:ascii="宋体" w:hAnsi="宋体"/>
          <w:kern w:val="44"/>
        </w:rPr>
        <w:t>（五）利润。</w:t>
      </w:r>
    </w:p>
    <w:p w14:paraId="3CB9727F">
      <w:pPr>
        <w:jc w:val="left"/>
        <w:rPr>
          <w:rFonts w:ascii="宋体" w:hAnsi="宋体"/>
          <w:kern w:val="44"/>
        </w:rPr>
      </w:pPr>
      <w:r>
        <w:rPr>
          <w:rFonts w:hint="eastAsia" w:ascii="宋体" w:hAnsi="宋体"/>
          <w:kern w:val="44"/>
        </w:rPr>
        <w:t>商品住宅销售价格构成的具体项目，由市价格行政主管部门制定并予以公布。</w:t>
      </w:r>
    </w:p>
    <w:p w14:paraId="44A8CD29">
      <w:pPr>
        <w:ind w:firstLine="422"/>
        <w:jc w:val="left"/>
        <w:rPr>
          <w:rFonts w:ascii="宋体" w:hAnsi="宋体"/>
          <w:kern w:val="44"/>
        </w:rPr>
      </w:pPr>
      <w:r>
        <w:rPr>
          <w:rFonts w:hint="eastAsia" w:ascii="宋体" w:hAnsi="宋体"/>
          <w:b/>
          <w:kern w:val="44"/>
        </w:rPr>
        <w:t>第八条</w:t>
      </w:r>
      <w:r>
        <w:rPr>
          <w:rFonts w:hint="eastAsia" w:ascii="宋体" w:hAnsi="宋体"/>
          <w:kern w:val="44"/>
        </w:rPr>
        <w:t>　下列费用不得计入商品住宅成本：</w:t>
      </w:r>
    </w:p>
    <w:p w14:paraId="687D586A">
      <w:pPr>
        <w:jc w:val="left"/>
        <w:rPr>
          <w:rFonts w:ascii="宋体" w:hAnsi="宋体"/>
          <w:kern w:val="44"/>
        </w:rPr>
      </w:pPr>
      <w:r>
        <w:rPr>
          <w:rFonts w:hint="eastAsia" w:ascii="宋体" w:hAnsi="宋体"/>
          <w:kern w:val="44"/>
        </w:rPr>
        <w:t>（一）各种集资、赞助、捐赠和其他与开发经营无关的费用。</w:t>
      </w:r>
    </w:p>
    <w:p w14:paraId="05DF33B2">
      <w:pPr>
        <w:jc w:val="left"/>
        <w:rPr>
          <w:rFonts w:ascii="宋体" w:hAnsi="宋体"/>
          <w:kern w:val="44"/>
        </w:rPr>
      </w:pPr>
      <w:r>
        <w:rPr>
          <w:rFonts w:hint="eastAsia" w:ascii="宋体" w:hAnsi="宋体"/>
          <w:kern w:val="44"/>
        </w:rPr>
        <w:t>（二）各种赔偿金、违约金、滞纳金和罚款。</w:t>
      </w:r>
    </w:p>
    <w:p w14:paraId="02B0A690">
      <w:pPr>
        <w:jc w:val="left"/>
        <w:rPr>
          <w:rFonts w:ascii="宋体" w:hAnsi="宋体"/>
          <w:kern w:val="44"/>
        </w:rPr>
      </w:pPr>
      <w:r>
        <w:rPr>
          <w:rFonts w:hint="eastAsia" w:ascii="宋体" w:hAnsi="宋体"/>
          <w:kern w:val="44"/>
        </w:rPr>
        <w:t>（三）土地闲置费。</w:t>
      </w:r>
    </w:p>
    <w:p w14:paraId="373A950B">
      <w:pPr>
        <w:jc w:val="left"/>
        <w:rPr>
          <w:rFonts w:ascii="宋体" w:hAnsi="宋体"/>
          <w:kern w:val="44"/>
        </w:rPr>
      </w:pPr>
      <w:r>
        <w:rPr>
          <w:rFonts w:hint="eastAsia" w:ascii="宋体" w:hAnsi="宋体"/>
          <w:kern w:val="44"/>
        </w:rPr>
        <w:t>（四）开发经营者自留的房屋建设费用。</w:t>
      </w:r>
    </w:p>
    <w:p w14:paraId="65B1B573">
      <w:pPr>
        <w:jc w:val="left"/>
        <w:rPr>
          <w:rFonts w:ascii="宋体" w:hAnsi="宋体"/>
          <w:kern w:val="44"/>
        </w:rPr>
      </w:pPr>
      <w:r>
        <w:rPr>
          <w:rFonts w:hint="eastAsia" w:ascii="宋体" w:hAnsi="宋体"/>
          <w:kern w:val="44"/>
        </w:rPr>
        <w:t>（五）营业性用房和设施的建设费用。</w:t>
      </w:r>
    </w:p>
    <w:p w14:paraId="6ADB340F">
      <w:pPr>
        <w:jc w:val="left"/>
        <w:rPr>
          <w:rFonts w:ascii="宋体" w:hAnsi="宋体"/>
          <w:kern w:val="44"/>
        </w:rPr>
      </w:pPr>
      <w:r>
        <w:rPr>
          <w:rFonts w:hint="eastAsia" w:ascii="宋体" w:hAnsi="宋体"/>
          <w:kern w:val="44"/>
        </w:rPr>
        <w:t>（六）由市或者区、县财政拨款建设的非营业性公共建筑、配套设施的建设费用。</w:t>
      </w:r>
    </w:p>
    <w:p w14:paraId="4C0B8BFB">
      <w:pPr>
        <w:ind w:firstLine="422"/>
        <w:jc w:val="left"/>
        <w:rPr>
          <w:rFonts w:ascii="宋体" w:hAnsi="宋体"/>
          <w:kern w:val="44"/>
        </w:rPr>
      </w:pPr>
      <w:r>
        <w:rPr>
          <w:rFonts w:hint="eastAsia" w:ascii="宋体" w:hAnsi="宋体"/>
          <w:b/>
          <w:kern w:val="44"/>
        </w:rPr>
        <w:t>第九条</w:t>
      </w:r>
      <w:r>
        <w:rPr>
          <w:rFonts w:hint="eastAsia" w:ascii="宋体" w:hAnsi="宋体"/>
          <w:kern w:val="44"/>
        </w:rPr>
        <w:t>　配套建设的居住区公共服务设施，其建设开发费用已经计入商品住宅成本后又出售、出租的，应当相应冲减商品住宅成本。</w:t>
      </w:r>
    </w:p>
    <w:p w14:paraId="2612E1D3">
      <w:pPr>
        <w:ind w:firstLine="422"/>
        <w:jc w:val="left"/>
        <w:rPr>
          <w:rFonts w:ascii="宋体" w:hAnsi="宋体"/>
          <w:kern w:val="44"/>
        </w:rPr>
      </w:pPr>
      <w:r>
        <w:rPr>
          <w:rFonts w:hint="eastAsia" w:ascii="宋体" w:hAnsi="宋体"/>
          <w:b/>
          <w:kern w:val="44"/>
        </w:rPr>
        <w:t>第十条</w:t>
      </w:r>
      <w:r>
        <w:rPr>
          <w:rFonts w:hint="eastAsia" w:ascii="宋体" w:hAnsi="宋体"/>
          <w:kern w:val="44"/>
        </w:rPr>
        <w:t>　市价格行政主管部门定期公布向建设项目收费的项目目录。经公布的收费项目可以计入商品住宅销售价格构成，凡未经公布的收费项目，开发经营者有权抵制并拒绝缴纳。</w:t>
      </w:r>
    </w:p>
    <w:p w14:paraId="6A248C79">
      <w:pPr>
        <w:ind w:firstLine="422"/>
        <w:jc w:val="left"/>
        <w:rPr>
          <w:rFonts w:ascii="宋体" w:hAnsi="宋体"/>
          <w:kern w:val="44"/>
        </w:rPr>
      </w:pPr>
      <w:r>
        <w:rPr>
          <w:rFonts w:hint="eastAsia" w:ascii="宋体" w:hAnsi="宋体"/>
          <w:b/>
          <w:kern w:val="44"/>
        </w:rPr>
        <w:t>第十一条</w:t>
      </w:r>
      <w:r>
        <w:rPr>
          <w:rFonts w:hint="eastAsia" w:ascii="宋体" w:hAnsi="宋体"/>
          <w:kern w:val="44"/>
        </w:rPr>
        <w:t>　价格行政主管部门应当加强对商品住宅销售价格的市场监测，并发布有关信息。</w:t>
      </w:r>
    </w:p>
    <w:p w14:paraId="2C556391">
      <w:pPr>
        <w:ind w:firstLine="422"/>
        <w:jc w:val="left"/>
        <w:rPr>
          <w:rFonts w:ascii="宋体" w:hAnsi="宋体"/>
          <w:kern w:val="44"/>
        </w:rPr>
      </w:pPr>
      <w:r>
        <w:rPr>
          <w:rFonts w:hint="eastAsia" w:ascii="宋体" w:hAnsi="宋体"/>
          <w:b/>
          <w:kern w:val="44"/>
        </w:rPr>
        <w:t>第十二条</w:t>
      </w:r>
      <w:r>
        <w:rPr>
          <w:rFonts w:hint="eastAsia" w:ascii="宋体" w:hAnsi="宋体"/>
          <w:kern w:val="44"/>
        </w:rPr>
        <w:t>　开发经营者在建设项目开工前，应当向所在地的区、县价格行政主管部门领取收费监督卡。收费监督卡的使用和管理，按照《北京市收费监督卡使用管理办法》的规定执行。</w:t>
      </w:r>
    </w:p>
    <w:p w14:paraId="42E7D867">
      <w:pPr>
        <w:ind w:firstLine="422"/>
        <w:jc w:val="left"/>
        <w:rPr>
          <w:rFonts w:ascii="宋体" w:hAnsi="宋体"/>
          <w:kern w:val="44"/>
        </w:rPr>
      </w:pPr>
      <w:r>
        <w:rPr>
          <w:rFonts w:hint="eastAsia" w:ascii="宋体" w:hAnsi="宋体"/>
          <w:b/>
          <w:kern w:val="44"/>
        </w:rPr>
        <w:t>第十三条</w:t>
      </w:r>
      <w:r>
        <w:rPr>
          <w:rFonts w:hint="eastAsia" w:ascii="宋体" w:hAnsi="宋体"/>
          <w:kern w:val="44"/>
        </w:rPr>
        <w:t>　对违反《中华人民共和国价格法》应当予以行政处罚的，由市或者区、县价格行政主管部门依法处罚。对违反《北京市</w:t>
      </w:r>
      <w:r>
        <w:rPr>
          <w:rFonts w:hint="eastAsia" w:ascii="宋体" w:hAnsi="宋体"/>
          <w:kern w:val="44"/>
          <w:lang w:eastAsia="zh-CN"/>
        </w:rPr>
        <w:t>行政事业性收费</w:t>
      </w:r>
      <w:r>
        <w:rPr>
          <w:rFonts w:hint="eastAsia" w:ascii="宋体" w:hAnsi="宋体"/>
          <w:kern w:val="44"/>
        </w:rPr>
        <w:t>管理条例》的，由市或者区、县财政，价格行政主管部门依法处罚。</w:t>
      </w:r>
    </w:p>
    <w:p w14:paraId="0041CF3B">
      <w:pPr>
        <w:ind w:firstLine="422"/>
        <w:jc w:val="left"/>
        <w:rPr>
          <w:rFonts w:ascii="宋体" w:hAnsi="宋体"/>
          <w:kern w:val="44"/>
        </w:rPr>
      </w:pPr>
      <w:r>
        <w:rPr>
          <w:rFonts w:hint="eastAsia" w:ascii="宋体" w:hAnsi="宋体"/>
          <w:b/>
          <w:kern w:val="44"/>
        </w:rPr>
        <w:t>第十四条</w:t>
      </w:r>
      <w:r>
        <w:rPr>
          <w:rFonts w:hint="eastAsia" w:ascii="宋体" w:hAnsi="宋体"/>
          <w:kern w:val="44"/>
        </w:rPr>
        <w:t>　违反本办法第七条、第八条规定，擅自扩大商品住宅销售价格构成的，由市或者区、县价格行政主管部门责令改正，并可处3万元以下罚款。</w:t>
      </w:r>
    </w:p>
    <w:p w14:paraId="0A889944">
      <w:pPr>
        <w:ind w:firstLine="422"/>
        <w:jc w:val="left"/>
        <w:rPr>
          <w:rFonts w:ascii="宋体" w:hAnsi="宋体"/>
          <w:kern w:val="44"/>
        </w:rPr>
      </w:pPr>
      <w:r>
        <w:rPr>
          <w:rFonts w:hint="eastAsia" w:ascii="宋体" w:hAnsi="宋体"/>
          <w:b/>
          <w:kern w:val="44"/>
        </w:rPr>
        <w:t>第十五条</w:t>
      </w:r>
      <w:r>
        <w:rPr>
          <w:rFonts w:hint="eastAsia" w:ascii="宋体" w:hAnsi="宋体"/>
          <w:kern w:val="44"/>
        </w:rPr>
        <w:t>　违反本办法，属于违反建设、规划、房屋土地等法律、法规和规章的规定的，由建设、规划、国土资源和房屋管理等部门依法处理。</w:t>
      </w:r>
    </w:p>
    <w:p w14:paraId="0F18592A">
      <w:pPr>
        <w:ind w:firstLine="422"/>
        <w:jc w:val="left"/>
        <w:rPr>
          <w:rFonts w:ascii="宋体" w:hAnsi="宋体"/>
          <w:kern w:val="44"/>
        </w:rPr>
      </w:pPr>
      <w:r>
        <w:rPr>
          <w:rFonts w:hint="eastAsia" w:ascii="宋体" w:hAnsi="宋体"/>
          <w:b/>
          <w:kern w:val="44"/>
        </w:rPr>
        <w:t>第十六条</w:t>
      </w:r>
      <w:r>
        <w:rPr>
          <w:rFonts w:hint="eastAsia" w:ascii="宋体" w:hAnsi="宋体"/>
          <w:kern w:val="44"/>
        </w:rPr>
        <w:t>　本办法自2001年6月1日起施行。</w:t>
      </w:r>
    </w:p>
    <w:p w14:paraId="6D46D0C0">
      <w:pPr>
        <w:pStyle w:val="4"/>
        <w:pageBreakBefore/>
        <w:rPr>
          <w:kern w:val="44"/>
        </w:rPr>
      </w:pPr>
      <w:bookmarkStart w:id="1001" w:name="_Toc422471269"/>
      <w:bookmarkStart w:id="1002" w:name="_Toc427651899"/>
      <w:bookmarkStart w:id="1003" w:name="_Toc427651557"/>
      <w:bookmarkStart w:id="1004" w:name="_Toc428781605"/>
      <w:bookmarkStart w:id="1005" w:name="_Toc428780123"/>
      <w:r>
        <w:rPr>
          <w:rFonts w:hint="eastAsia"/>
          <w:kern w:val="44"/>
        </w:rPr>
        <w:t>北京市集体土地房屋</w:t>
      </w:r>
      <w:bookmarkEnd w:id="1001"/>
      <w:bookmarkStart w:id="1006" w:name="_Toc422471270"/>
      <w:r>
        <w:rPr>
          <w:rFonts w:hint="eastAsia"/>
          <w:kern w:val="44"/>
        </w:rPr>
        <w:t>拆迁管理办法</w:t>
      </w:r>
      <w:bookmarkEnd w:id="1002"/>
      <w:bookmarkEnd w:id="1003"/>
      <w:bookmarkEnd w:id="1004"/>
      <w:bookmarkEnd w:id="1005"/>
      <w:bookmarkEnd w:id="1006"/>
    </w:p>
    <w:p w14:paraId="7A7AF9A5">
      <w:pPr>
        <w:ind w:left="630" w:leftChars="300" w:right="630" w:rightChars="300"/>
        <w:jc w:val="left"/>
        <w:rPr>
          <w:rFonts w:ascii="楷体" w:hAnsi="楷体" w:eastAsia="楷体"/>
          <w:kern w:val="44"/>
        </w:rPr>
      </w:pPr>
      <w:r>
        <w:rPr>
          <w:rFonts w:hint="eastAsia" w:ascii="楷体" w:hAnsi="楷体" w:eastAsia="楷体"/>
          <w:kern w:val="44"/>
        </w:rPr>
        <w:t>（2003年5月27日北京市人民政府第9次常务会议通过  2003年6月6日北京市人民政府第124号令发布）</w:t>
      </w:r>
    </w:p>
    <w:p w14:paraId="11A0BE1D">
      <w:pPr>
        <w:ind w:left="630" w:leftChars="300" w:right="630" w:rightChars="300"/>
        <w:jc w:val="left"/>
        <w:rPr>
          <w:rFonts w:ascii="楷体" w:hAnsi="楷体" w:eastAsia="楷体"/>
          <w:kern w:val="44"/>
        </w:rPr>
      </w:pPr>
    </w:p>
    <w:p w14:paraId="6D452FA8">
      <w:pPr>
        <w:ind w:firstLine="0" w:firstLineChars="0"/>
        <w:jc w:val="center"/>
        <w:rPr>
          <w:rFonts w:ascii="宋体" w:hAnsi="宋体"/>
          <w:b/>
          <w:kern w:val="44"/>
          <w:sz w:val="28"/>
        </w:rPr>
      </w:pPr>
      <w:r>
        <w:rPr>
          <w:rFonts w:hint="eastAsia" w:ascii="宋体" w:hAnsi="宋体"/>
          <w:b/>
          <w:kern w:val="44"/>
          <w:sz w:val="28"/>
        </w:rPr>
        <w:t>第一章　总　则</w:t>
      </w:r>
    </w:p>
    <w:p w14:paraId="6479906B">
      <w:pPr>
        <w:jc w:val="left"/>
        <w:rPr>
          <w:rFonts w:ascii="宋体" w:hAnsi="宋体"/>
          <w:kern w:val="44"/>
        </w:rPr>
      </w:pPr>
    </w:p>
    <w:p w14:paraId="27D287FE">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为了加强集体土地房屋拆迁管理，维护拆迁当事人合法权益，保障城乡建设顺利进行，根据《中华人民共和国土地管理法》等有关法律、法规，结合本市实际情况，制定本办法。</w:t>
      </w:r>
    </w:p>
    <w:p w14:paraId="36B4F93F">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在本市行政区域内因国家建设征用集体土地（以下简称征地）或者因农村建设占用集体土地（以下简称占地）拆迁房屋，并需要对被拆迁人补偿、安置的，适用本办法。</w:t>
      </w:r>
    </w:p>
    <w:p w14:paraId="3B229300">
      <w:pPr>
        <w:jc w:val="left"/>
        <w:rPr>
          <w:rFonts w:ascii="宋体" w:hAnsi="宋体"/>
          <w:kern w:val="44"/>
        </w:rPr>
      </w:pPr>
      <w:r>
        <w:rPr>
          <w:rFonts w:hint="eastAsia" w:ascii="宋体" w:hAnsi="宋体"/>
          <w:kern w:val="44"/>
        </w:rPr>
        <w:t>征地拆迁宅基地以外的房屋的，按照本市有关规定执行。</w:t>
      </w:r>
    </w:p>
    <w:p w14:paraId="6978E654">
      <w:pPr>
        <w:ind w:firstLine="422"/>
        <w:jc w:val="left"/>
        <w:rPr>
          <w:rFonts w:ascii="宋体" w:hAnsi="宋体"/>
          <w:kern w:val="44"/>
        </w:rPr>
      </w:pPr>
      <w:r>
        <w:rPr>
          <w:rFonts w:hint="eastAsia" w:ascii="宋体" w:hAnsi="宋体"/>
          <w:b/>
          <w:kern w:val="44"/>
        </w:rPr>
        <w:t>第三条</w:t>
      </w:r>
      <w:r>
        <w:rPr>
          <w:rFonts w:hint="eastAsia" w:ascii="宋体" w:hAnsi="宋体"/>
          <w:kern w:val="44"/>
        </w:rPr>
        <w:t>　本办法所称拆迁人是指经依法批准征用或者占用集体土地并取得房屋拆迁许可证的用地单位。</w:t>
      </w:r>
    </w:p>
    <w:p w14:paraId="66D2A09D">
      <w:pPr>
        <w:jc w:val="left"/>
        <w:rPr>
          <w:rFonts w:ascii="宋体" w:hAnsi="宋体"/>
          <w:kern w:val="44"/>
        </w:rPr>
      </w:pPr>
      <w:r>
        <w:rPr>
          <w:rFonts w:hint="eastAsia" w:ascii="宋体" w:hAnsi="宋体"/>
          <w:kern w:val="44"/>
        </w:rPr>
        <w:t>本办法所称被拆迁人是指对被拆除房屋拥有所有权的单位或者个人。</w:t>
      </w:r>
    </w:p>
    <w:p w14:paraId="3F5AA3FD">
      <w:pPr>
        <w:ind w:firstLine="422"/>
        <w:jc w:val="left"/>
        <w:rPr>
          <w:rFonts w:ascii="宋体" w:hAnsi="宋体"/>
          <w:kern w:val="44"/>
        </w:rPr>
      </w:pPr>
      <w:r>
        <w:rPr>
          <w:rFonts w:hint="eastAsia" w:ascii="宋体" w:hAnsi="宋体"/>
          <w:b/>
          <w:kern w:val="44"/>
        </w:rPr>
        <w:t>第四条</w:t>
      </w:r>
      <w:r>
        <w:rPr>
          <w:rFonts w:hint="eastAsia" w:ascii="宋体" w:hAnsi="宋体"/>
          <w:kern w:val="44"/>
        </w:rPr>
        <w:t>　市国土资源和房屋管理局（以下简称市国土房管局）主管本市集体土地房屋拆迁管理工作；区、县国土资源和房屋管理局（以下简称区、县国土房管局）负责本行政区域内集体土地房屋拆迁管理工作。</w:t>
      </w:r>
    </w:p>
    <w:p w14:paraId="1377DF63">
      <w:pPr>
        <w:ind w:firstLine="422"/>
        <w:jc w:val="left"/>
        <w:rPr>
          <w:rFonts w:ascii="宋体" w:hAnsi="宋体"/>
          <w:kern w:val="44"/>
        </w:rPr>
      </w:pPr>
      <w:r>
        <w:rPr>
          <w:rFonts w:hint="eastAsia" w:ascii="宋体" w:hAnsi="宋体"/>
          <w:b/>
          <w:kern w:val="44"/>
        </w:rPr>
        <w:t>第五条</w:t>
      </w:r>
      <w:r>
        <w:rPr>
          <w:rFonts w:hint="eastAsia" w:ascii="宋体" w:hAnsi="宋体"/>
          <w:kern w:val="44"/>
        </w:rPr>
        <w:t>　区、县人民政府和乡（民族乡）、镇人民政府应当依照本办法规定的职责，做好本行政区域内的房屋拆迁管理工作。</w:t>
      </w:r>
    </w:p>
    <w:p w14:paraId="3CE5F7E0">
      <w:pPr>
        <w:ind w:firstLine="422"/>
        <w:jc w:val="left"/>
        <w:rPr>
          <w:rFonts w:ascii="宋体" w:hAnsi="宋体"/>
          <w:kern w:val="44"/>
        </w:rPr>
      </w:pPr>
      <w:r>
        <w:rPr>
          <w:rFonts w:hint="eastAsia" w:ascii="宋体" w:hAnsi="宋体"/>
          <w:b/>
          <w:kern w:val="44"/>
        </w:rPr>
        <w:t>第六条</w:t>
      </w:r>
      <w:r>
        <w:rPr>
          <w:rFonts w:hint="eastAsia" w:ascii="宋体" w:hAnsi="宋体"/>
          <w:kern w:val="44"/>
        </w:rPr>
        <w:t>　拆迁人应当依照本办法的规定对被拆迁人进行补偿安置。被拆迁人应当在规定的搬迁期限内完成搬迁。</w:t>
      </w:r>
    </w:p>
    <w:p w14:paraId="35748CB2">
      <w:pPr>
        <w:jc w:val="left"/>
        <w:rPr>
          <w:rFonts w:ascii="宋体" w:hAnsi="宋体"/>
          <w:kern w:val="44"/>
        </w:rPr>
      </w:pPr>
    </w:p>
    <w:p w14:paraId="3F8CB7DC">
      <w:pPr>
        <w:ind w:firstLine="0" w:firstLineChars="0"/>
        <w:jc w:val="center"/>
        <w:rPr>
          <w:rFonts w:ascii="宋体" w:hAnsi="宋体"/>
          <w:b/>
          <w:kern w:val="44"/>
          <w:sz w:val="28"/>
        </w:rPr>
      </w:pPr>
      <w:r>
        <w:rPr>
          <w:rFonts w:hint="eastAsia" w:ascii="宋体" w:hAnsi="宋体"/>
          <w:b/>
          <w:kern w:val="44"/>
          <w:sz w:val="28"/>
        </w:rPr>
        <w:t>第二章　拆迁管理</w:t>
      </w:r>
    </w:p>
    <w:p w14:paraId="312CD5C4">
      <w:pPr>
        <w:jc w:val="left"/>
        <w:rPr>
          <w:rFonts w:ascii="宋体" w:hAnsi="宋体"/>
          <w:kern w:val="44"/>
        </w:rPr>
      </w:pPr>
    </w:p>
    <w:p w14:paraId="62B62E00">
      <w:pPr>
        <w:ind w:firstLine="422"/>
        <w:jc w:val="left"/>
        <w:rPr>
          <w:rFonts w:ascii="宋体" w:hAnsi="宋体"/>
          <w:kern w:val="44"/>
        </w:rPr>
      </w:pPr>
      <w:r>
        <w:rPr>
          <w:rFonts w:hint="eastAsia" w:ascii="宋体" w:hAnsi="宋体"/>
          <w:b/>
          <w:kern w:val="44"/>
        </w:rPr>
        <w:t>第七条</w:t>
      </w:r>
      <w:r>
        <w:rPr>
          <w:rFonts w:hint="eastAsia" w:ascii="宋体" w:hAnsi="宋体"/>
          <w:kern w:val="44"/>
        </w:rPr>
        <w:t>　用地单位取得房屋拆迁许可证后，方可实施拆迁。</w:t>
      </w:r>
    </w:p>
    <w:p w14:paraId="4455291F">
      <w:pPr>
        <w:ind w:firstLine="422"/>
        <w:jc w:val="left"/>
        <w:rPr>
          <w:rFonts w:ascii="宋体" w:hAnsi="宋体"/>
          <w:kern w:val="44"/>
        </w:rPr>
      </w:pPr>
      <w:r>
        <w:rPr>
          <w:rFonts w:hint="eastAsia" w:ascii="宋体" w:hAnsi="宋体"/>
          <w:b/>
          <w:kern w:val="44"/>
        </w:rPr>
        <w:t>第八条</w:t>
      </w:r>
      <w:r>
        <w:rPr>
          <w:rFonts w:hint="eastAsia" w:ascii="宋体" w:hAnsi="宋体"/>
          <w:kern w:val="44"/>
        </w:rPr>
        <w:t>　用地单位取得征地或者占地批准文件后，可以向区、县国土房管局申请在用地范围内暂停办理下列事项：</w:t>
      </w:r>
    </w:p>
    <w:p w14:paraId="3663B9AE">
      <w:pPr>
        <w:jc w:val="left"/>
        <w:rPr>
          <w:rFonts w:ascii="宋体" w:hAnsi="宋体"/>
          <w:kern w:val="44"/>
        </w:rPr>
      </w:pPr>
      <w:r>
        <w:rPr>
          <w:rFonts w:hint="eastAsia" w:ascii="宋体" w:hAnsi="宋体"/>
          <w:kern w:val="44"/>
        </w:rPr>
        <w:t>（一）新批宅基地和其他建设用地；</w:t>
      </w:r>
    </w:p>
    <w:p w14:paraId="2D848DD3">
      <w:pPr>
        <w:jc w:val="left"/>
        <w:rPr>
          <w:rFonts w:ascii="宋体" w:hAnsi="宋体"/>
          <w:kern w:val="44"/>
        </w:rPr>
      </w:pPr>
      <w:r>
        <w:rPr>
          <w:rFonts w:hint="eastAsia" w:ascii="宋体" w:hAnsi="宋体"/>
          <w:kern w:val="44"/>
        </w:rPr>
        <w:t>（二）审批新建、改建、扩建房屋；</w:t>
      </w:r>
    </w:p>
    <w:p w14:paraId="2DFC1398">
      <w:pPr>
        <w:jc w:val="left"/>
        <w:rPr>
          <w:rFonts w:ascii="宋体" w:hAnsi="宋体"/>
          <w:kern w:val="44"/>
        </w:rPr>
      </w:pPr>
      <w:r>
        <w:rPr>
          <w:rFonts w:hint="eastAsia" w:ascii="宋体" w:hAnsi="宋体"/>
          <w:kern w:val="44"/>
        </w:rPr>
        <w:t>（三）办理入户和分户，但因婚姻、出生、回国、军人退伍转业、经批准由外省市投靠直系亲属、刑满释放和解除劳动教养等原因必须入户、分户的除外；</w:t>
      </w:r>
    </w:p>
    <w:p w14:paraId="4C1D50AA">
      <w:pPr>
        <w:jc w:val="left"/>
        <w:rPr>
          <w:rFonts w:ascii="宋体" w:hAnsi="宋体"/>
          <w:kern w:val="44"/>
        </w:rPr>
      </w:pPr>
      <w:r>
        <w:rPr>
          <w:rFonts w:hint="eastAsia" w:ascii="宋体" w:hAnsi="宋体"/>
          <w:kern w:val="44"/>
        </w:rPr>
        <w:t>（四）核发工商营业执照；</w:t>
      </w:r>
    </w:p>
    <w:p w14:paraId="13447AE9">
      <w:pPr>
        <w:jc w:val="left"/>
        <w:rPr>
          <w:rFonts w:ascii="宋体" w:hAnsi="宋体"/>
          <w:kern w:val="44"/>
        </w:rPr>
      </w:pPr>
      <w:r>
        <w:rPr>
          <w:rFonts w:hint="eastAsia" w:ascii="宋体" w:hAnsi="宋体"/>
          <w:kern w:val="44"/>
        </w:rPr>
        <w:t>（五）房屋、土地租赁；</w:t>
      </w:r>
    </w:p>
    <w:p w14:paraId="63F38F0E">
      <w:pPr>
        <w:jc w:val="left"/>
        <w:rPr>
          <w:rFonts w:ascii="宋体" w:hAnsi="宋体"/>
          <w:kern w:val="44"/>
        </w:rPr>
      </w:pPr>
      <w:r>
        <w:rPr>
          <w:rFonts w:hint="eastAsia" w:ascii="宋体" w:hAnsi="宋体"/>
          <w:kern w:val="44"/>
        </w:rPr>
        <w:t>（六）改变房屋、土地用途。</w:t>
      </w:r>
    </w:p>
    <w:p w14:paraId="39500BA9">
      <w:pPr>
        <w:jc w:val="left"/>
        <w:rPr>
          <w:rFonts w:ascii="宋体" w:hAnsi="宋体"/>
          <w:kern w:val="44"/>
        </w:rPr>
      </w:pPr>
      <w:r>
        <w:rPr>
          <w:rFonts w:hint="eastAsia" w:ascii="宋体" w:hAnsi="宋体"/>
          <w:kern w:val="44"/>
        </w:rPr>
        <w:t>区、县国土房管局核准用地单位的申请后，应当就前款所列事项书面通知有关部门暂停办理相关手续，并在用地范围内予以公告。通知和公告应当载明拆迁范围、暂停办理事项和暂停期限。暂停期限自公告之日起算，最长不超过1年。用地单位确需延长暂停期限的，应当报经区、县国土房管局批准，延长的期限不超过半年。</w:t>
      </w:r>
    </w:p>
    <w:p w14:paraId="0AAB16A4">
      <w:pPr>
        <w:jc w:val="left"/>
        <w:rPr>
          <w:rFonts w:ascii="宋体" w:hAnsi="宋体"/>
          <w:kern w:val="44"/>
        </w:rPr>
      </w:pPr>
      <w:r>
        <w:rPr>
          <w:rFonts w:hint="eastAsia" w:ascii="宋体" w:hAnsi="宋体"/>
          <w:kern w:val="44"/>
        </w:rPr>
        <w:t>暂停期限内，擅自办理本条第一款所列事项的，房屋拆迁时不予认定。</w:t>
      </w:r>
    </w:p>
    <w:p w14:paraId="29F4BB23">
      <w:pPr>
        <w:ind w:firstLine="422"/>
        <w:jc w:val="left"/>
        <w:rPr>
          <w:rFonts w:ascii="宋体" w:hAnsi="宋体"/>
          <w:kern w:val="44"/>
        </w:rPr>
      </w:pPr>
      <w:r>
        <w:rPr>
          <w:rFonts w:hint="eastAsia" w:ascii="宋体" w:hAnsi="宋体"/>
          <w:b/>
          <w:kern w:val="44"/>
        </w:rPr>
        <w:t>第九条</w:t>
      </w:r>
      <w:r>
        <w:rPr>
          <w:rFonts w:hint="eastAsia" w:ascii="宋体" w:hAnsi="宋体"/>
          <w:kern w:val="44"/>
        </w:rPr>
        <w:t>　用地单位申请核发房屋拆迁许可证的，应当向被拆迁房屋所在地的区、县国土房管局提交下列文件：</w:t>
      </w:r>
    </w:p>
    <w:p w14:paraId="142C9EA1">
      <w:pPr>
        <w:jc w:val="left"/>
        <w:rPr>
          <w:rFonts w:ascii="宋体" w:hAnsi="宋体"/>
          <w:kern w:val="44"/>
        </w:rPr>
      </w:pPr>
      <w:r>
        <w:rPr>
          <w:rFonts w:hint="eastAsia" w:ascii="宋体" w:hAnsi="宋体"/>
          <w:kern w:val="44"/>
        </w:rPr>
        <w:t>（一）用地批准文件；</w:t>
      </w:r>
    </w:p>
    <w:p w14:paraId="4FB0E6E1">
      <w:pPr>
        <w:jc w:val="left"/>
        <w:rPr>
          <w:rFonts w:ascii="宋体" w:hAnsi="宋体"/>
          <w:kern w:val="44"/>
        </w:rPr>
      </w:pPr>
      <w:r>
        <w:rPr>
          <w:rFonts w:hint="eastAsia" w:ascii="宋体" w:hAnsi="宋体"/>
          <w:kern w:val="44"/>
        </w:rPr>
        <w:t>（二）规划批准文件；</w:t>
      </w:r>
    </w:p>
    <w:p w14:paraId="7E8B70B4">
      <w:pPr>
        <w:jc w:val="left"/>
        <w:rPr>
          <w:rFonts w:ascii="宋体" w:hAnsi="宋体"/>
          <w:kern w:val="44"/>
        </w:rPr>
      </w:pPr>
      <w:r>
        <w:rPr>
          <w:rFonts w:hint="eastAsia" w:ascii="宋体" w:hAnsi="宋体"/>
          <w:kern w:val="44"/>
        </w:rPr>
        <w:t>（三）拆迁实施方案；</w:t>
      </w:r>
    </w:p>
    <w:p w14:paraId="4001D6DD">
      <w:pPr>
        <w:jc w:val="left"/>
        <w:rPr>
          <w:rFonts w:ascii="宋体" w:hAnsi="宋体"/>
          <w:kern w:val="44"/>
        </w:rPr>
      </w:pPr>
      <w:r>
        <w:rPr>
          <w:rFonts w:hint="eastAsia" w:ascii="宋体" w:hAnsi="宋体"/>
          <w:kern w:val="44"/>
        </w:rPr>
        <w:t>（四）安置房屋或者拆迁补偿资金的证明文件。</w:t>
      </w:r>
    </w:p>
    <w:p w14:paraId="16BF0361">
      <w:pPr>
        <w:jc w:val="left"/>
        <w:rPr>
          <w:rFonts w:ascii="宋体" w:hAnsi="宋体"/>
          <w:kern w:val="44"/>
        </w:rPr>
      </w:pPr>
      <w:r>
        <w:rPr>
          <w:rFonts w:hint="eastAsia" w:ascii="宋体" w:hAnsi="宋体"/>
          <w:kern w:val="44"/>
        </w:rPr>
        <w:t>区、县国土房管局应当自收到申请之日起30日内审查完毕；对符合条件的，核发房屋拆迁许可证，并将拆迁人、拆迁范围、搬迁期限等情况向被拆迁人公告。</w:t>
      </w:r>
    </w:p>
    <w:p w14:paraId="3E4541B7">
      <w:pPr>
        <w:ind w:firstLine="422"/>
        <w:jc w:val="left"/>
        <w:rPr>
          <w:rFonts w:ascii="宋体" w:hAnsi="宋体"/>
          <w:kern w:val="44"/>
        </w:rPr>
      </w:pPr>
      <w:r>
        <w:rPr>
          <w:rFonts w:hint="eastAsia" w:ascii="宋体" w:hAnsi="宋体"/>
          <w:b/>
          <w:kern w:val="44"/>
        </w:rPr>
        <w:t>第十条</w:t>
      </w:r>
      <w:r>
        <w:rPr>
          <w:rFonts w:hint="eastAsia" w:ascii="宋体" w:hAnsi="宋体"/>
          <w:kern w:val="44"/>
        </w:rPr>
        <w:t>　征地拆迁宅基地上房屋的，拆迁实施方案由拆迁人根据本办法第三章的规定和经批准的征地方案拟订，报区、县国土房管局批准后执行。</w:t>
      </w:r>
    </w:p>
    <w:p w14:paraId="2CEF9A7E">
      <w:pPr>
        <w:jc w:val="left"/>
        <w:rPr>
          <w:rFonts w:ascii="宋体" w:hAnsi="宋体"/>
          <w:kern w:val="44"/>
        </w:rPr>
      </w:pPr>
      <w:r>
        <w:rPr>
          <w:rFonts w:hint="eastAsia" w:ascii="宋体" w:hAnsi="宋体"/>
          <w:kern w:val="44"/>
        </w:rPr>
        <w:t>占地拆迁房屋的，拆迁实施方案由拆迁人拟订，经乡（民族乡）、镇人民政府审核并报区、县国土房管局备案后执行；其中旧村改造的拆迁实施方案在报乡（民族乡）、镇人民政府审核前，应当经村民会议或者村民代表会议讨论通过。</w:t>
      </w:r>
    </w:p>
    <w:p w14:paraId="3FC84789">
      <w:pPr>
        <w:jc w:val="left"/>
        <w:rPr>
          <w:rFonts w:ascii="宋体" w:hAnsi="宋体"/>
          <w:kern w:val="44"/>
        </w:rPr>
      </w:pPr>
      <w:r>
        <w:rPr>
          <w:rFonts w:hint="eastAsia" w:ascii="宋体" w:hAnsi="宋体"/>
          <w:kern w:val="44"/>
        </w:rPr>
        <w:t>拆迁人应当在拆迁范围内公布拆迁实施方案，公布的期限不少于10日。</w:t>
      </w:r>
    </w:p>
    <w:p w14:paraId="5F221D14">
      <w:pPr>
        <w:ind w:firstLine="422"/>
        <w:jc w:val="left"/>
        <w:rPr>
          <w:rFonts w:ascii="宋体" w:hAnsi="宋体"/>
          <w:kern w:val="44"/>
        </w:rPr>
      </w:pPr>
      <w:r>
        <w:rPr>
          <w:rFonts w:hint="eastAsia" w:ascii="宋体" w:hAnsi="宋体"/>
          <w:b/>
          <w:kern w:val="44"/>
        </w:rPr>
        <w:t>第十一条</w:t>
      </w:r>
      <w:r>
        <w:rPr>
          <w:rFonts w:hint="eastAsia" w:ascii="宋体" w:hAnsi="宋体"/>
          <w:kern w:val="44"/>
        </w:rPr>
        <w:t>　拆迁人与被拆迁人应当就房屋拆迁补偿安置事宜签订书面协议。协议应当规定补偿安置方式和标准、搬迁期限、违约责任等内容。</w:t>
      </w:r>
    </w:p>
    <w:p w14:paraId="59516B76">
      <w:pPr>
        <w:ind w:firstLine="422"/>
        <w:jc w:val="left"/>
        <w:rPr>
          <w:rFonts w:ascii="宋体" w:hAnsi="宋体"/>
          <w:kern w:val="44"/>
        </w:rPr>
      </w:pPr>
      <w:r>
        <w:rPr>
          <w:rFonts w:hint="eastAsia" w:ascii="宋体" w:hAnsi="宋体"/>
          <w:b/>
          <w:kern w:val="44"/>
        </w:rPr>
        <w:t>第十二条</w:t>
      </w:r>
      <w:r>
        <w:rPr>
          <w:rFonts w:hint="eastAsia" w:ascii="宋体" w:hAnsi="宋体"/>
          <w:kern w:val="44"/>
        </w:rPr>
        <w:t>　在区、县国土房管局公告的搬迁期限内，拆迁人与被拆迁人没有达成拆迁补偿安置协议的，经一方或者双方当事人申请，由区、县国土房管局裁决。</w:t>
      </w:r>
    </w:p>
    <w:p w14:paraId="22655B83">
      <w:pPr>
        <w:jc w:val="left"/>
        <w:rPr>
          <w:rFonts w:ascii="宋体" w:hAnsi="宋体"/>
          <w:kern w:val="44"/>
        </w:rPr>
      </w:pPr>
      <w:r>
        <w:rPr>
          <w:rFonts w:hint="eastAsia" w:ascii="宋体" w:hAnsi="宋体"/>
          <w:kern w:val="44"/>
        </w:rPr>
        <w:t>裁决规定的搬迁期限届满被拆迁人拒绝搬迁的，属于征地拆迁宅基地上房屋的，由区、县国土房管局申请人民法院强制执行；属于占地拆迁房屋的，由当事人依法向人民法院提起民事诉讼。</w:t>
      </w:r>
    </w:p>
    <w:p w14:paraId="756CCE0E">
      <w:pPr>
        <w:jc w:val="left"/>
        <w:rPr>
          <w:rFonts w:ascii="宋体" w:hAnsi="宋体"/>
          <w:kern w:val="44"/>
        </w:rPr>
      </w:pPr>
    </w:p>
    <w:p w14:paraId="7E951E14">
      <w:pPr>
        <w:ind w:firstLine="0" w:firstLineChars="0"/>
        <w:jc w:val="center"/>
        <w:rPr>
          <w:rFonts w:ascii="宋体" w:hAnsi="宋体"/>
          <w:b/>
          <w:kern w:val="44"/>
          <w:sz w:val="28"/>
        </w:rPr>
      </w:pPr>
      <w:r>
        <w:rPr>
          <w:rFonts w:hint="eastAsia" w:ascii="宋体" w:hAnsi="宋体"/>
          <w:b/>
          <w:kern w:val="44"/>
          <w:sz w:val="28"/>
        </w:rPr>
        <w:t>第三章　拆迁补偿和安置</w:t>
      </w:r>
    </w:p>
    <w:p w14:paraId="24167349">
      <w:pPr>
        <w:jc w:val="left"/>
        <w:rPr>
          <w:rFonts w:ascii="宋体" w:hAnsi="宋体"/>
          <w:kern w:val="44"/>
        </w:rPr>
      </w:pPr>
    </w:p>
    <w:p w14:paraId="5326AFEA">
      <w:pPr>
        <w:ind w:firstLine="422"/>
        <w:jc w:val="left"/>
        <w:rPr>
          <w:rFonts w:ascii="宋体" w:hAnsi="宋体"/>
          <w:kern w:val="44"/>
        </w:rPr>
      </w:pPr>
      <w:r>
        <w:rPr>
          <w:rFonts w:hint="eastAsia" w:ascii="宋体" w:hAnsi="宋体"/>
          <w:b/>
          <w:kern w:val="44"/>
        </w:rPr>
        <w:t>第十三条</w:t>
      </w:r>
      <w:r>
        <w:rPr>
          <w:rFonts w:hint="eastAsia" w:ascii="宋体" w:hAnsi="宋体"/>
          <w:kern w:val="44"/>
        </w:rPr>
        <w:t>　宅基地上的房屋拆迁，可以实行货币补偿或者房屋安置，有条件的地区也可以另行审批宅基地。</w:t>
      </w:r>
    </w:p>
    <w:p w14:paraId="1155E786">
      <w:pPr>
        <w:ind w:firstLine="422"/>
        <w:jc w:val="left"/>
        <w:rPr>
          <w:rFonts w:ascii="宋体" w:hAnsi="宋体"/>
          <w:kern w:val="44"/>
        </w:rPr>
      </w:pPr>
      <w:r>
        <w:rPr>
          <w:rFonts w:hint="eastAsia" w:ascii="宋体" w:hAnsi="宋体"/>
          <w:b/>
          <w:kern w:val="44"/>
        </w:rPr>
        <w:t>第十四条</w:t>
      </w:r>
      <w:r>
        <w:rPr>
          <w:rFonts w:hint="eastAsia" w:ascii="宋体" w:hAnsi="宋体"/>
          <w:kern w:val="44"/>
        </w:rPr>
        <w:t>　拆迁宅基地上房屋实行货币补偿的，拆迁人应当向被拆迁人支付补偿款。补偿款按照被拆除房屋的重置成新价和宅基地的区位补偿价确定。房屋重置成新价的评估规则和宅基地区位补偿价的计算办法由市国土房管局制定并公布。</w:t>
      </w:r>
    </w:p>
    <w:p w14:paraId="653D0FB9">
      <w:pPr>
        <w:jc w:val="left"/>
        <w:rPr>
          <w:rFonts w:ascii="宋体" w:hAnsi="宋体"/>
          <w:kern w:val="44"/>
        </w:rPr>
      </w:pPr>
      <w:r>
        <w:rPr>
          <w:rFonts w:hint="eastAsia" w:ascii="宋体" w:hAnsi="宋体"/>
          <w:kern w:val="44"/>
        </w:rPr>
        <w:t>按照前款规定对被拆迁人给予货币补偿的，不再进行房屋安置或者另行审批宅基地。</w:t>
      </w:r>
    </w:p>
    <w:p w14:paraId="08FDADD2">
      <w:pPr>
        <w:ind w:firstLine="422"/>
        <w:jc w:val="left"/>
        <w:rPr>
          <w:rFonts w:ascii="宋体" w:hAnsi="宋体"/>
          <w:kern w:val="44"/>
        </w:rPr>
      </w:pPr>
      <w:r>
        <w:rPr>
          <w:rFonts w:hint="eastAsia" w:ascii="宋体" w:hAnsi="宋体"/>
          <w:b/>
          <w:kern w:val="44"/>
        </w:rPr>
        <w:t>第十五条</w:t>
      </w:r>
      <w:r>
        <w:rPr>
          <w:rFonts w:hint="eastAsia" w:ascii="宋体" w:hAnsi="宋体"/>
          <w:kern w:val="44"/>
        </w:rPr>
        <w:t>　拆除宅基地上房屋以国有土地上房屋安置的，拆迁人与被拆迁人应当按照本办法第十四条第一款的规定确定拆迁补偿款，并与安置房屋的市场评估价款结算差价；但按照市人民政府规定以经济适用住房安置被拆迁人的除外。</w:t>
      </w:r>
    </w:p>
    <w:p w14:paraId="6F93FF13">
      <w:pPr>
        <w:jc w:val="left"/>
        <w:rPr>
          <w:rFonts w:ascii="宋体" w:hAnsi="宋体"/>
          <w:kern w:val="44"/>
        </w:rPr>
      </w:pPr>
      <w:r>
        <w:rPr>
          <w:rFonts w:hint="eastAsia" w:ascii="宋体" w:hAnsi="宋体"/>
          <w:kern w:val="44"/>
        </w:rPr>
        <w:t>农村集体经济组织或者村民委员会作为拆迁人实施拆迁，以本集体建设用地范围内的房屋安置被拆迁人的，经村民会议或者村民代表会议讨论通过并报乡（民族乡）、镇人民政府批准后，可以按照被拆除房屋建筑面积安置，也可以结合被拆迁人家庭人口情况安置。</w:t>
      </w:r>
    </w:p>
    <w:p w14:paraId="63D49E4E">
      <w:pPr>
        <w:jc w:val="left"/>
        <w:rPr>
          <w:rFonts w:ascii="宋体" w:hAnsi="宋体"/>
          <w:kern w:val="44"/>
        </w:rPr>
      </w:pPr>
      <w:r>
        <w:rPr>
          <w:rFonts w:hint="eastAsia" w:ascii="宋体" w:hAnsi="宋体"/>
          <w:kern w:val="44"/>
        </w:rPr>
        <w:t>其他拆迁人委托农村集体经济组织或者村民委员会安置被拆迁人的，可以参照本条第二款的规定执行。</w:t>
      </w:r>
    </w:p>
    <w:p w14:paraId="786ACF1F">
      <w:pPr>
        <w:ind w:firstLine="422"/>
        <w:jc w:val="left"/>
        <w:rPr>
          <w:rFonts w:ascii="宋体" w:hAnsi="宋体"/>
          <w:kern w:val="44"/>
        </w:rPr>
      </w:pPr>
      <w:r>
        <w:rPr>
          <w:rFonts w:hint="eastAsia" w:ascii="宋体" w:hAnsi="宋体"/>
          <w:b/>
          <w:kern w:val="44"/>
        </w:rPr>
        <w:t>第十六条</w:t>
      </w:r>
      <w:r>
        <w:rPr>
          <w:rFonts w:hint="eastAsia" w:ascii="宋体" w:hAnsi="宋体"/>
          <w:kern w:val="44"/>
        </w:rPr>
        <w:t>　农村集体经济组织或者村民委员会在集体土地上建设安置房屋的，应当符合城市规划、土地利用规划和年度计划，依法取得用地和规划许可。</w:t>
      </w:r>
    </w:p>
    <w:p w14:paraId="210D5772">
      <w:pPr>
        <w:ind w:firstLine="422"/>
        <w:jc w:val="left"/>
        <w:rPr>
          <w:rFonts w:ascii="宋体" w:hAnsi="宋体"/>
          <w:kern w:val="44"/>
        </w:rPr>
      </w:pPr>
      <w:r>
        <w:rPr>
          <w:rFonts w:hint="eastAsia" w:ascii="宋体" w:hAnsi="宋体"/>
          <w:b/>
          <w:kern w:val="44"/>
        </w:rPr>
        <w:t>第十七条</w:t>
      </w:r>
      <w:r>
        <w:rPr>
          <w:rFonts w:hint="eastAsia" w:ascii="宋体" w:hAnsi="宋体"/>
          <w:kern w:val="44"/>
        </w:rPr>
        <w:t>　农村集体经济组织或者村民委员会作为拆迁人拆迁宅基地上房屋，有条件的地区，可以按照土地管理法律、法规和规章的规定，另行审批宅基地由被拆迁人自建房屋，并对被拆除的房屋按照重置成新价给予补偿。</w:t>
      </w:r>
    </w:p>
    <w:p w14:paraId="4AA2EE42">
      <w:pPr>
        <w:jc w:val="left"/>
        <w:rPr>
          <w:rFonts w:ascii="宋体" w:hAnsi="宋体"/>
          <w:kern w:val="44"/>
        </w:rPr>
      </w:pPr>
      <w:r>
        <w:rPr>
          <w:rFonts w:hint="eastAsia" w:ascii="宋体" w:hAnsi="宋体"/>
          <w:kern w:val="44"/>
        </w:rPr>
        <w:t>其他拆迁人委托农村集体经济组织或者村民委员会安置被拆迁人的，可以参照前款规定执行。</w:t>
      </w:r>
    </w:p>
    <w:p w14:paraId="028CB270">
      <w:pPr>
        <w:ind w:firstLine="422"/>
        <w:jc w:val="left"/>
        <w:rPr>
          <w:rFonts w:ascii="宋体" w:hAnsi="宋体"/>
          <w:kern w:val="44"/>
        </w:rPr>
      </w:pPr>
      <w:r>
        <w:rPr>
          <w:rFonts w:hint="eastAsia" w:ascii="宋体" w:hAnsi="宋体"/>
          <w:b/>
          <w:kern w:val="44"/>
        </w:rPr>
        <w:t>第十八条</w:t>
      </w:r>
      <w:r>
        <w:rPr>
          <w:rFonts w:hint="eastAsia" w:ascii="宋体" w:hAnsi="宋体"/>
          <w:kern w:val="44"/>
        </w:rPr>
        <w:t>　拆迁补偿中认定的宅基地面积应当经过合法批准，且不超过控制标准。未经合法批准的宅基地，不予认定。</w:t>
      </w:r>
    </w:p>
    <w:p w14:paraId="53D9F4FA">
      <w:pPr>
        <w:jc w:val="left"/>
        <w:rPr>
          <w:rFonts w:ascii="宋体" w:hAnsi="宋体"/>
          <w:kern w:val="44"/>
        </w:rPr>
      </w:pPr>
      <w:r>
        <w:rPr>
          <w:rFonts w:hint="eastAsia" w:ascii="宋体" w:hAnsi="宋体"/>
          <w:kern w:val="44"/>
        </w:rPr>
        <w:t>经合法批准的宅基地超出控制标准的部分，不予补偿；但1982年以前经合法批准的宅基地超出控制标准的部分，可以按照区、县人民政府的规定给予适当补偿。</w:t>
      </w:r>
    </w:p>
    <w:p w14:paraId="7AC287E3">
      <w:pPr>
        <w:jc w:val="left"/>
        <w:rPr>
          <w:rFonts w:ascii="宋体" w:hAnsi="宋体"/>
          <w:kern w:val="44"/>
        </w:rPr>
      </w:pPr>
      <w:r>
        <w:rPr>
          <w:rFonts w:hint="eastAsia" w:ascii="宋体" w:hAnsi="宋体"/>
          <w:kern w:val="44"/>
        </w:rPr>
        <w:t>每户宅基地面积的控制标准，按照区、县人民政府根据《北京市人民政府关于加强农村村民建房用地管理若干规定》第六条确定的标准执行。</w:t>
      </w:r>
    </w:p>
    <w:p w14:paraId="74252114">
      <w:pPr>
        <w:ind w:firstLine="422"/>
        <w:jc w:val="left"/>
        <w:rPr>
          <w:rFonts w:ascii="宋体" w:hAnsi="宋体"/>
          <w:kern w:val="44"/>
        </w:rPr>
      </w:pPr>
      <w:r>
        <w:rPr>
          <w:rFonts w:hint="eastAsia" w:ascii="宋体" w:hAnsi="宋体"/>
          <w:b/>
          <w:kern w:val="44"/>
        </w:rPr>
        <w:t>第十九条</w:t>
      </w:r>
      <w:r>
        <w:rPr>
          <w:rFonts w:hint="eastAsia" w:ascii="宋体" w:hAnsi="宋体"/>
          <w:kern w:val="44"/>
        </w:rPr>
        <w:t>　拆迁补偿中认定宅基地上房屋建筑面积，以房屋所有权证标明的面积为准；未取得房屋所有权证但具有规划行政主管部门批准建房文件的，按照批准的建筑面积认定。</w:t>
      </w:r>
    </w:p>
    <w:p w14:paraId="51262B5E">
      <w:pPr>
        <w:jc w:val="left"/>
        <w:rPr>
          <w:rFonts w:ascii="宋体" w:hAnsi="宋体"/>
          <w:kern w:val="44"/>
        </w:rPr>
      </w:pPr>
      <w:r>
        <w:rPr>
          <w:rFonts w:hint="eastAsia" w:ascii="宋体" w:hAnsi="宋体"/>
          <w:kern w:val="44"/>
        </w:rPr>
        <w:t>本办法施行前宅基地上已建成的房屋，未取得房屋所有权证和规划行政主管部门批准建房文件，但确由被拆迁人长期自住的，应当给予适当补偿。属于征地拆迁房屋的，补偿标准由乡（民族乡）、镇人民政府根据当地实际情况确定，报区、县人民政府批准后执行；属于占地拆迁房屋的，补偿标准由农村集体经济组织或者村民委员会确定，报乡（民族乡）、镇人民政府批准后执行。</w:t>
      </w:r>
    </w:p>
    <w:p w14:paraId="7356D981">
      <w:pPr>
        <w:jc w:val="left"/>
        <w:rPr>
          <w:rFonts w:ascii="宋体" w:hAnsi="宋体"/>
          <w:kern w:val="44"/>
        </w:rPr>
      </w:pPr>
      <w:r>
        <w:rPr>
          <w:rFonts w:hint="eastAsia" w:ascii="宋体" w:hAnsi="宋体"/>
          <w:kern w:val="44"/>
        </w:rPr>
        <w:t>本办法施行后宅基地上新建、改建、扩建的房屋，未取得房屋所有权证或者规划行政主管部门批准建房文件的，拆迁房屋时不予认定。</w:t>
      </w:r>
    </w:p>
    <w:p w14:paraId="0869EB54">
      <w:pPr>
        <w:ind w:firstLine="422"/>
        <w:jc w:val="left"/>
        <w:rPr>
          <w:rFonts w:ascii="宋体" w:hAnsi="宋体"/>
          <w:kern w:val="44"/>
        </w:rPr>
      </w:pPr>
      <w:r>
        <w:rPr>
          <w:rFonts w:hint="eastAsia" w:ascii="宋体" w:hAnsi="宋体"/>
          <w:b/>
          <w:kern w:val="44"/>
        </w:rPr>
        <w:t>第二十条</w:t>
      </w:r>
      <w:r>
        <w:rPr>
          <w:rFonts w:hint="eastAsia" w:ascii="宋体" w:hAnsi="宋体"/>
          <w:kern w:val="44"/>
        </w:rPr>
        <w:t>　农村村民符合审批宅基地条件但未实际取得宅基地，且按照拆迁实施方案安置确有困难的，拆迁人应当按照区、县人民政府的规定给予适当补助。但拆迁实施方案确定以另行审批宅基地的方式予以补偿安置的除外。</w:t>
      </w:r>
    </w:p>
    <w:p w14:paraId="57BC516C">
      <w:pPr>
        <w:ind w:firstLine="422"/>
        <w:jc w:val="left"/>
        <w:rPr>
          <w:rFonts w:ascii="宋体" w:hAnsi="宋体"/>
          <w:kern w:val="44"/>
        </w:rPr>
      </w:pPr>
      <w:r>
        <w:rPr>
          <w:rFonts w:hint="eastAsia" w:ascii="宋体" w:hAnsi="宋体"/>
          <w:b/>
          <w:kern w:val="44"/>
        </w:rPr>
        <w:t>第二十一条</w:t>
      </w:r>
      <w:r>
        <w:rPr>
          <w:rFonts w:hint="eastAsia" w:ascii="宋体" w:hAnsi="宋体"/>
          <w:kern w:val="44"/>
        </w:rPr>
        <w:t>　占地拆迁宅基地以外房屋的补偿，参照征地拆迁的有关规定执行。</w:t>
      </w:r>
    </w:p>
    <w:p w14:paraId="0760A472">
      <w:pPr>
        <w:ind w:firstLine="422"/>
        <w:jc w:val="left"/>
        <w:rPr>
          <w:rFonts w:ascii="宋体" w:hAnsi="宋体"/>
          <w:kern w:val="44"/>
        </w:rPr>
      </w:pPr>
      <w:r>
        <w:rPr>
          <w:rFonts w:hint="eastAsia" w:ascii="宋体" w:hAnsi="宋体"/>
          <w:b/>
          <w:kern w:val="44"/>
        </w:rPr>
        <w:t>第二十二条</w:t>
      </w:r>
      <w:r>
        <w:rPr>
          <w:rFonts w:hint="eastAsia" w:ascii="宋体" w:hAnsi="宋体"/>
          <w:kern w:val="44"/>
        </w:rPr>
        <w:t>　对利用宅基地内自有房屋从事生产经营活动并持有工商营业执照的，拆迁人除按照本办法的规定予以补偿、安置外，还应当适当补偿停产、停业的经济损失。其中，征地拆迁房屋的经济损失补偿标准，由区、县人民政府规定；占地拆迁房屋的经济损失补偿标准，由乡（民族乡）、镇人民政府规定并报区、县人民政府备案。</w:t>
      </w:r>
    </w:p>
    <w:p w14:paraId="12ECEE05">
      <w:pPr>
        <w:ind w:firstLine="422"/>
        <w:jc w:val="left"/>
        <w:rPr>
          <w:rFonts w:ascii="宋体" w:hAnsi="宋体"/>
          <w:kern w:val="44"/>
        </w:rPr>
      </w:pPr>
      <w:r>
        <w:rPr>
          <w:rFonts w:hint="eastAsia" w:ascii="宋体" w:hAnsi="宋体"/>
          <w:b/>
          <w:kern w:val="44"/>
        </w:rPr>
        <w:t>第二十三条</w:t>
      </w:r>
      <w:r>
        <w:rPr>
          <w:rFonts w:hint="eastAsia" w:ascii="宋体" w:hAnsi="宋体"/>
          <w:kern w:val="44"/>
        </w:rPr>
        <w:t>　拆迁人应当向被拆迁人支付搬迁补助费。征地拆迁房屋的搬迁补助费，由区、县人民政府规定；占地拆迁房屋的搬迁补助费，由乡（民族乡）、镇人民政府规定并报区、县人民政府备案。</w:t>
      </w:r>
    </w:p>
    <w:p w14:paraId="74D0584A">
      <w:pPr>
        <w:ind w:firstLine="422"/>
        <w:jc w:val="left"/>
        <w:rPr>
          <w:rFonts w:ascii="宋体" w:hAnsi="宋体"/>
          <w:kern w:val="44"/>
        </w:rPr>
      </w:pPr>
      <w:r>
        <w:rPr>
          <w:rFonts w:hint="eastAsia" w:ascii="宋体" w:hAnsi="宋体"/>
          <w:b/>
          <w:kern w:val="44"/>
        </w:rPr>
        <w:t>第二十四条</w:t>
      </w:r>
      <w:r>
        <w:rPr>
          <w:rFonts w:hint="eastAsia" w:ascii="宋体" w:hAnsi="宋体"/>
          <w:kern w:val="44"/>
        </w:rPr>
        <w:t>　拆除违法建筑和超过批准期限的临时建筑不予补偿；拆除未超过批准期限的临时建筑，按照重置成新价结合剩余期限给予适当补偿。</w:t>
      </w:r>
    </w:p>
    <w:p w14:paraId="2CCBEBAC">
      <w:pPr>
        <w:jc w:val="left"/>
        <w:rPr>
          <w:rFonts w:ascii="宋体" w:hAnsi="宋体"/>
          <w:kern w:val="44"/>
        </w:rPr>
      </w:pPr>
    </w:p>
    <w:p w14:paraId="33F1AD04">
      <w:pPr>
        <w:ind w:firstLine="0" w:firstLineChars="0"/>
        <w:jc w:val="center"/>
        <w:rPr>
          <w:rFonts w:ascii="宋体" w:hAnsi="宋体"/>
          <w:b/>
          <w:kern w:val="44"/>
          <w:sz w:val="28"/>
        </w:rPr>
      </w:pPr>
      <w:r>
        <w:rPr>
          <w:rFonts w:hint="eastAsia" w:ascii="宋体" w:hAnsi="宋体"/>
          <w:b/>
          <w:kern w:val="44"/>
          <w:sz w:val="28"/>
        </w:rPr>
        <w:t>第四章　法律责任</w:t>
      </w:r>
    </w:p>
    <w:p w14:paraId="3B93A283">
      <w:pPr>
        <w:jc w:val="left"/>
        <w:rPr>
          <w:rFonts w:ascii="宋体" w:hAnsi="宋体"/>
          <w:kern w:val="44"/>
        </w:rPr>
      </w:pPr>
    </w:p>
    <w:p w14:paraId="4B35D298">
      <w:pPr>
        <w:ind w:firstLine="422"/>
        <w:jc w:val="left"/>
        <w:rPr>
          <w:rFonts w:ascii="宋体" w:hAnsi="宋体"/>
          <w:kern w:val="44"/>
        </w:rPr>
      </w:pPr>
      <w:r>
        <w:rPr>
          <w:rFonts w:hint="eastAsia" w:ascii="宋体" w:hAnsi="宋体"/>
          <w:b/>
          <w:kern w:val="44"/>
        </w:rPr>
        <w:t>第二十五条</w:t>
      </w:r>
      <w:r>
        <w:rPr>
          <w:rFonts w:hint="eastAsia" w:ascii="宋体" w:hAnsi="宋体"/>
          <w:kern w:val="44"/>
        </w:rPr>
        <w:t>　违反本办法第七条规定，未取得房屋拆迁许可证擅自实施拆迁的，由市或者区、县国土房管局责令停止拆迁行为，处1万元以上3万元以下罚款。</w:t>
      </w:r>
    </w:p>
    <w:p w14:paraId="6E2101E7">
      <w:pPr>
        <w:ind w:firstLine="422"/>
        <w:jc w:val="left"/>
        <w:rPr>
          <w:rFonts w:ascii="宋体" w:hAnsi="宋体"/>
          <w:kern w:val="44"/>
        </w:rPr>
      </w:pPr>
      <w:r>
        <w:rPr>
          <w:rFonts w:hint="eastAsia" w:ascii="宋体" w:hAnsi="宋体"/>
          <w:b/>
          <w:kern w:val="44"/>
        </w:rPr>
        <w:t>第二十六条</w:t>
      </w:r>
      <w:r>
        <w:rPr>
          <w:rFonts w:hint="eastAsia" w:ascii="宋体" w:hAnsi="宋体"/>
          <w:kern w:val="44"/>
        </w:rPr>
        <w:t>　市和区、县国土房管局违反本办法规定核发房屋拆迁许可证以及其他批准文件的，核发房屋拆迁许可证以及其他批准文件后不履行监督管理职责的，或者对违法行为不予查处的，对直接负责的主管人员和其他直接责任人员依法给予行政处分；情节严重，致使公共财产、国家和人民利益遭受重大损失，构成犯罪的，依法追究刑事责任。</w:t>
      </w:r>
    </w:p>
    <w:p w14:paraId="41E53AD3">
      <w:pPr>
        <w:jc w:val="left"/>
        <w:rPr>
          <w:rFonts w:ascii="宋体" w:hAnsi="宋体"/>
          <w:kern w:val="44"/>
        </w:rPr>
      </w:pPr>
    </w:p>
    <w:p w14:paraId="273B637E">
      <w:pPr>
        <w:ind w:firstLine="0" w:firstLineChars="0"/>
        <w:jc w:val="center"/>
        <w:rPr>
          <w:rFonts w:ascii="宋体" w:hAnsi="宋体"/>
          <w:b/>
          <w:kern w:val="44"/>
          <w:sz w:val="28"/>
        </w:rPr>
      </w:pPr>
      <w:r>
        <w:rPr>
          <w:rFonts w:hint="eastAsia" w:ascii="宋体" w:hAnsi="宋体"/>
          <w:b/>
          <w:kern w:val="44"/>
          <w:sz w:val="28"/>
        </w:rPr>
        <w:t>第五章　附　则</w:t>
      </w:r>
    </w:p>
    <w:p w14:paraId="2B144ED5">
      <w:pPr>
        <w:jc w:val="left"/>
        <w:rPr>
          <w:rFonts w:ascii="宋体" w:hAnsi="宋体"/>
          <w:kern w:val="44"/>
        </w:rPr>
      </w:pPr>
    </w:p>
    <w:p w14:paraId="5207A9BF">
      <w:pPr>
        <w:ind w:firstLine="422"/>
        <w:jc w:val="left"/>
        <w:rPr>
          <w:rFonts w:ascii="宋体" w:hAnsi="宋体"/>
          <w:kern w:val="44"/>
        </w:rPr>
      </w:pPr>
      <w:r>
        <w:rPr>
          <w:rFonts w:hint="eastAsia" w:ascii="宋体" w:hAnsi="宋体"/>
          <w:b/>
          <w:kern w:val="44"/>
        </w:rPr>
        <w:t>第二十七条</w:t>
      </w:r>
      <w:r>
        <w:rPr>
          <w:rFonts w:hint="eastAsia" w:ascii="宋体" w:hAnsi="宋体"/>
          <w:kern w:val="44"/>
        </w:rPr>
        <w:t>　因进行水利水电工程建设、绿化隔离地区建设、贫困山区农民搬迁以及因地质灾害移民涉及集体土地房屋拆迁的，不适用本办法。</w:t>
      </w:r>
    </w:p>
    <w:p w14:paraId="53F696B3">
      <w:pPr>
        <w:ind w:firstLine="422"/>
        <w:jc w:val="left"/>
        <w:rPr>
          <w:rFonts w:ascii="宋体" w:hAnsi="宋体"/>
          <w:kern w:val="44"/>
        </w:rPr>
      </w:pPr>
      <w:r>
        <w:rPr>
          <w:rFonts w:hint="eastAsia" w:ascii="宋体" w:hAnsi="宋体"/>
          <w:b/>
          <w:kern w:val="44"/>
        </w:rPr>
        <w:t>第二十八条</w:t>
      </w:r>
      <w:r>
        <w:rPr>
          <w:rFonts w:hint="eastAsia" w:ascii="宋体" w:hAnsi="宋体"/>
          <w:kern w:val="44"/>
        </w:rPr>
        <w:t>　本办法自2003年8月1日起施行。</w:t>
      </w:r>
    </w:p>
    <w:p w14:paraId="79C1FAA2">
      <w:pPr>
        <w:jc w:val="left"/>
        <w:rPr>
          <w:rFonts w:ascii="宋体" w:hAnsi="宋体"/>
          <w:kern w:val="44"/>
        </w:rPr>
      </w:pPr>
      <w:r>
        <w:rPr>
          <w:rFonts w:hint="eastAsia" w:ascii="宋体" w:hAnsi="宋体"/>
          <w:kern w:val="44"/>
        </w:rPr>
        <w:t>本办法施行前已发布拆迁公告的，不适用本办法。</w:t>
      </w:r>
    </w:p>
    <w:p w14:paraId="3449BE2E">
      <w:pPr>
        <w:pStyle w:val="4"/>
        <w:pageBreakBefore/>
        <w:rPr>
          <w:kern w:val="44"/>
        </w:rPr>
      </w:pPr>
      <w:bookmarkStart w:id="1007" w:name="_Toc427651558"/>
      <w:bookmarkStart w:id="1008" w:name="_Toc428780124"/>
      <w:bookmarkStart w:id="1009" w:name="_Toc427651900"/>
      <w:bookmarkStart w:id="1010" w:name="_Toc428781606"/>
      <w:bookmarkStart w:id="1011" w:name="_Toc422471271"/>
      <w:r>
        <w:rPr>
          <w:rFonts w:hint="eastAsia"/>
          <w:kern w:val="44"/>
        </w:rPr>
        <w:t>北京市住宅区及住宅安全防范</w:t>
      </w:r>
      <w:bookmarkEnd w:id="1007"/>
      <w:bookmarkEnd w:id="1008"/>
      <w:bookmarkEnd w:id="1009"/>
      <w:bookmarkEnd w:id="1010"/>
      <w:bookmarkEnd w:id="1011"/>
    </w:p>
    <w:p w14:paraId="255D762D">
      <w:pPr>
        <w:pStyle w:val="4"/>
        <w:rPr>
          <w:kern w:val="44"/>
        </w:rPr>
      </w:pPr>
      <w:bookmarkStart w:id="1012" w:name="_Toc427651559"/>
      <w:bookmarkStart w:id="1013" w:name="_Toc427651901"/>
      <w:bookmarkStart w:id="1014" w:name="_Toc428780125"/>
      <w:bookmarkStart w:id="1015" w:name="_Toc422471272"/>
      <w:bookmarkStart w:id="1016" w:name="_Toc428781607"/>
      <w:r>
        <w:rPr>
          <w:rFonts w:hint="eastAsia"/>
          <w:kern w:val="44"/>
        </w:rPr>
        <w:t>设施建设和使用管理办法</w:t>
      </w:r>
      <w:bookmarkEnd w:id="1012"/>
      <w:bookmarkEnd w:id="1013"/>
      <w:bookmarkEnd w:id="1014"/>
      <w:bookmarkEnd w:id="1015"/>
      <w:bookmarkEnd w:id="1016"/>
    </w:p>
    <w:p w14:paraId="02927798">
      <w:pPr>
        <w:ind w:left="630" w:leftChars="300" w:right="630" w:rightChars="300"/>
        <w:jc w:val="left"/>
        <w:rPr>
          <w:rFonts w:ascii="楷体" w:hAnsi="楷体" w:eastAsia="楷体"/>
          <w:kern w:val="44"/>
        </w:rPr>
      </w:pPr>
      <w:r>
        <w:rPr>
          <w:rFonts w:ascii="楷体" w:hAnsi="楷体" w:eastAsia="楷体"/>
          <w:kern w:val="44"/>
        </w:rPr>
        <w:t>（2003年8月7日北京市人民政府第132号令发布　根据2014年7月9日北京市人民政府第259号令修改 ）</w:t>
      </w:r>
    </w:p>
    <w:p w14:paraId="35890D7A">
      <w:pPr>
        <w:ind w:left="630" w:leftChars="300" w:right="630" w:rightChars="300"/>
        <w:jc w:val="left"/>
        <w:rPr>
          <w:rFonts w:ascii="楷体" w:hAnsi="楷体" w:eastAsia="楷体"/>
          <w:kern w:val="44"/>
        </w:rPr>
      </w:pPr>
    </w:p>
    <w:p w14:paraId="342AC2EB">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为了规范住宅区及住宅安全防范设施的建设和使用，增强住宅区及住宅的安全防范功能，保护公民人身、财产安全，根据本市实际情况，制定本办法。</w:t>
      </w:r>
    </w:p>
    <w:p w14:paraId="03D1CB73">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所称安全防范设施，是指为了预防、制止违法犯罪行为和重大治安事件，在住宅区内和住宅建筑主体上设置的报警、监控、出入口控制等安全技术防范产品，以及综合运用安全技术防范产品和其他相关产品所构成的系统。</w:t>
      </w:r>
    </w:p>
    <w:p w14:paraId="5C436C96">
      <w:pPr>
        <w:ind w:firstLine="422"/>
        <w:jc w:val="left"/>
        <w:rPr>
          <w:rFonts w:ascii="宋体" w:hAnsi="宋体"/>
          <w:kern w:val="44"/>
        </w:rPr>
      </w:pPr>
      <w:r>
        <w:rPr>
          <w:rFonts w:hint="eastAsia" w:ascii="宋体" w:hAnsi="宋体"/>
          <w:b/>
          <w:kern w:val="44"/>
        </w:rPr>
        <w:t>第三条</w:t>
      </w:r>
      <w:r>
        <w:rPr>
          <w:rFonts w:hint="eastAsia" w:ascii="宋体" w:hAnsi="宋体"/>
          <w:kern w:val="44"/>
        </w:rPr>
        <w:t>　本办法适用于本市行政区域内安全防范设施的建设和使用管理。</w:t>
      </w:r>
    </w:p>
    <w:p w14:paraId="0D7330AD">
      <w:pPr>
        <w:ind w:firstLine="422"/>
        <w:jc w:val="left"/>
        <w:rPr>
          <w:rFonts w:ascii="宋体" w:hAnsi="宋体"/>
          <w:kern w:val="44"/>
        </w:rPr>
      </w:pPr>
      <w:r>
        <w:rPr>
          <w:rFonts w:hint="eastAsia" w:ascii="宋体" w:hAnsi="宋体"/>
          <w:b/>
          <w:kern w:val="44"/>
        </w:rPr>
        <w:t>第四条</w:t>
      </w:r>
      <w:r>
        <w:rPr>
          <w:rFonts w:hint="eastAsia" w:ascii="宋体" w:hAnsi="宋体"/>
          <w:kern w:val="44"/>
        </w:rPr>
        <w:t>　本市公安机关负责本办法的组织实施。</w:t>
      </w:r>
    </w:p>
    <w:p w14:paraId="7D232CB2">
      <w:pPr>
        <w:jc w:val="left"/>
        <w:rPr>
          <w:rFonts w:ascii="宋体" w:hAnsi="宋体"/>
          <w:kern w:val="44"/>
        </w:rPr>
      </w:pPr>
      <w:r>
        <w:rPr>
          <w:rFonts w:hint="eastAsia" w:ascii="宋体" w:hAnsi="宋体"/>
          <w:kern w:val="44"/>
        </w:rPr>
        <w:t>公安、规划、建设等行政主管部门应当按照本办法规定的职责，负责安全防范设施建设和使用的监督、管理工作。</w:t>
      </w:r>
    </w:p>
    <w:p w14:paraId="1F15EE5A">
      <w:pPr>
        <w:ind w:firstLine="422"/>
        <w:jc w:val="left"/>
        <w:rPr>
          <w:rFonts w:ascii="宋体" w:hAnsi="宋体"/>
          <w:kern w:val="44"/>
        </w:rPr>
      </w:pPr>
      <w:r>
        <w:rPr>
          <w:rFonts w:hint="eastAsia" w:ascii="宋体" w:hAnsi="宋体"/>
          <w:b/>
          <w:kern w:val="44"/>
        </w:rPr>
        <w:t>第五条</w:t>
      </w:r>
      <w:r>
        <w:rPr>
          <w:rFonts w:hint="eastAsia" w:ascii="宋体" w:hAnsi="宋体"/>
          <w:kern w:val="44"/>
        </w:rPr>
        <w:t>　新建、改建、扩建住宅区及住宅的设计文件，应当包括安全防范设施工程的设计内容。</w:t>
      </w:r>
    </w:p>
    <w:p w14:paraId="1C976636">
      <w:pPr>
        <w:jc w:val="left"/>
        <w:rPr>
          <w:rFonts w:ascii="宋体" w:hAnsi="宋体"/>
          <w:kern w:val="44"/>
        </w:rPr>
      </w:pPr>
      <w:r>
        <w:rPr>
          <w:rFonts w:hint="eastAsia" w:ascii="宋体" w:hAnsi="宋体"/>
          <w:kern w:val="44"/>
        </w:rPr>
        <w:t>安全防范设施工程的设计，应当符合本市住宅区及住宅安全防范设计标准及其他有关规范。规划行政主管部门对安全防范设施工程的设计，应当依法进行审查。</w:t>
      </w:r>
    </w:p>
    <w:p w14:paraId="11866386">
      <w:pPr>
        <w:ind w:firstLine="422"/>
        <w:jc w:val="left"/>
        <w:rPr>
          <w:rFonts w:ascii="宋体" w:hAnsi="宋体"/>
          <w:kern w:val="44"/>
        </w:rPr>
      </w:pPr>
      <w:r>
        <w:rPr>
          <w:rFonts w:hint="eastAsia" w:ascii="宋体" w:hAnsi="宋体"/>
          <w:b/>
          <w:kern w:val="44"/>
        </w:rPr>
        <w:t>第六条</w:t>
      </w:r>
      <w:r>
        <w:rPr>
          <w:rFonts w:hint="eastAsia" w:ascii="宋体" w:hAnsi="宋体"/>
          <w:kern w:val="44"/>
        </w:rPr>
        <w:t>　施工单位应当按照安全防范设施工程的设计文件施工，不得擅自改动。安全防范设施工程设计的修改，应当由原设计单位负责。</w:t>
      </w:r>
    </w:p>
    <w:p w14:paraId="77573B21">
      <w:pPr>
        <w:ind w:firstLine="422"/>
        <w:jc w:val="left"/>
        <w:rPr>
          <w:rFonts w:ascii="宋体" w:hAnsi="宋体"/>
          <w:kern w:val="44"/>
        </w:rPr>
      </w:pPr>
      <w:r>
        <w:rPr>
          <w:rFonts w:hint="eastAsia" w:ascii="宋体" w:hAnsi="宋体"/>
          <w:b/>
          <w:kern w:val="44"/>
        </w:rPr>
        <w:t>第七条</w:t>
      </w:r>
      <w:r>
        <w:rPr>
          <w:rFonts w:hint="eastAsia" w:ascii="宋体" w:hAnsi="宋体"/>
          <w:kern w:val="44"/>
        </w:rPr>
        <w:t>　新建、改建、扩建住宅区及住宅工程竣工后，建设单位应当按照国家安全防范系统验收规则组织验收。安全防范设施工程经竣工验收合格后，住宅区及住宅工程方可交付使用。</w:t>
      </w:r>
    </w:p>
    <w:p w14:paraId="7A53B062">
      <w:pPr>
        <w:ind w:firstLine="422"/>
        <w:jc w:val="left"/>
        <w:rPr>
          <w:rFonts w:ascii="宋体" w:hAnsi="宋体"/>
          <w:kern w:val="44"/>
        </w:rPr>
      </w:pPr>
      <w:r>
        <w:rPr>
          <w:rFonts w:hint="eastAsia" w:ascii="宋体" w:hAnsi="宋体"/>
          <w:b/>
          <w:kern w:val="44"/>
        </w:rPr>
        <w:t>第八条</w:t>
      </w:r>
      <w:r>
        <w:rPr>
          <w:rFonts w:hint="eastAsia" w:ascii="宋体" w:hAnsi="宋体"/>
          <w:kern w:val="44"/>
        </w:rPr>
        <w:t>　本办法施行前已建成的住宅区及住宅没有安装安全防范设施的，公安机关应当与产权人协商制定方案，逐步安装。</w:t>
      </w:r>
    </w:p>
    <w:p w14:paraId="5F61A1C4">
      <w:pPr>
        <w:ind w:firstLine="422"/>
        <w:jc w:val="left"/>
        <w:rPr>
          <w:rFonts w:ascii="宋体" w:hAnsi="宋体"/>
          <w:kern w:val="44"/>
        </w:rPr>
      </w:pPr>
      <w:r>
        <w:rPr>
          <w:rFonts w:hint="eastAsia" w:ascii="宋体" w:hAnsi="宋体"/>
          <w:b/>
          <w:kern w:val="44"/>
        </w:rPr>
        <w:t>第九条</w:t>
      </w:r>
      <w:r>
        <w:rPr>
          <w:rFonts w:hint="eastAsia" w:ascii="宋体" w:hAnsi="宋体"/>
          <w:kern w:val="44"/>
        </w:rPr>
        <w:t>　住宅区及住宅安全防范设施公共部分的使用和维护，由物业管理单位负责；没有物业管理单位的，由产权人负责。</w:t>
      </w:r>
    </w:p>
    <w:p w14:paraId="50560680">
      <w:pPr>
        <w:jc w:val="left"/>
        <w:rPr>
          <w:rFonts w:ascii="宋体" w:hAnsi="宋体"/>
          <w:kern w:val="44"/>
        </w:rPr>
      </w:pPr>
      <w:r>
        <w:rPr>
          <w:rFonts w:hint="eastAsia" w:ascii="宋体" w:hAnsi="宋体"/>
          <w:kern w:val="44"/>
        </w:rPr>
        <w:t>住宅区及住宅的物业管理单位或者产权人（以下简称管理人）应当遵守下列规定：</w:t>
      </w:r>
    </w:p>
    <w:p w14:paraId="10B79413">
      <w:pPr>
        <w:jc w:val="left"/>
        <w:rPr>
          <w:rFonts w:ascii="宋体" w:hAnsi="宋体"/>
          <w:kern w:val="44"/>
        </w:rPr>
      </w:pPr>
      <w:r>
        <w:rPr>
          <w:rFonts w:hint="eastAsia" w:ascii="宋体" w:hAnsi="宋体"/>
          <w:kern w:val="44"/>
        </w:rPr>
        <w:t>（一）保证安全防范设施不间断运行，并有效记录监控信息；</w:t>
      </w:r>
    </w:p>
    <w:p w14:paraId="7E8C462D">
      <w:pPr>
        <w:jc w:val="left"/>
        <w:rPr>
          <w:rFonts w:ascii="宋体" w:hAnsi="宋体"/>
          <w:kern w:val="44"/>
        </w:rPr>
      </w:pPr>
      <w:r>
        <w:rPr>
          <w:rFonts w:hint="eastAsia" w:ascii="宋体" w:hAnsi="宋体"/>
          <w:kern w:val="44"/>
        </w:rPr>
        <w:t>（二）妥善保存监控系统所记录的信息资料，且保存期限不得少于7日；</w:t>
      </w:r>
    </w:p>
    <w:p w14:paraId="2311F607">
      <w:pPr>
        <w:jc w:val="left"/>
        <w:rPr>
          <w:rFonts w:ascii="宋体" w:hAnsi="宋体"/>
          <w:kern w:val="44"/>
        </w:rPr>
      </w:pPr>
      <w:r>
        <w:rPr>
          <w:rFonts w:hint="eastAsia" w:ascii="宋体" w:hAnsi="宋体"/>
          <w:kern w:val="44"/>
        </w:rPr>
        <w:t>（三）不得擅自改变安全防范设施的用途和位置；</w:t>
      </w:r>
    </w:p>
    <w:p w14:paraId="1160691F">
      <w:pPr>
        <w:jc w:val="left"/>
        <w:rPr>
          <w:rFonts w:ascii="宋体" w:hAnsi="宋体"/>
          <w:kern w:val="44"/>
        </w:rPr>
      </w:pPr>
      <w:r>
        <w:rPr>
          <w:rFonts w:hint="eastAsia" w:ascii="宋体" w:hAnsi="宋体"/>
          <w:kern w:val="44"/>
        </w:rPr>
        <w:t>（四）建立安全防范设施的日常检查、维护制度，对被损坏或者出现故障的安全防范设施，及时维修、排除故障。</w:t>
      </w:r>
    </w:p>
    <w:p w14:paraId="0A2A9BBC">
      <w:pPr>
        <w:jc w:val="left"/>
        <w:rPr>
          <w:rFonts w:ascii="宋体" w:hAnsi="宋体"/>
          <w:kern w:val="44"/>
        </w:rPr>
      </w:pPr>
      <w:r>
        <w:rPr>
          <w:rFonts w:hint="eastAsia" w:ascii="宋体" w:hAnsi="宋体"/>
          <w:kern w:val="44"/>
        </w:rPr>
        <w:t>管理人对通过安全防范设施发现的涉嫌犯罪或者违反治安管理的行为应当及时报警。</w:t>
      </w:r>
    </w:p>
    <w:p w14:paraId="23C22C9F">
      <w:pPr>
        <w:ind w:firstLine="422"/>
        <w:jc w:val="left"/>
        <w:rPr>
          <w:rFonts w:ascii="宋体" w:hAnsi="宋体"/>
          <w:kern w:val="44"/>
        </w:rPr>
      </w:pPr>
      <w:r>
        <w:rPr>
          <w:rFonts w:hint="eastAsia" w:ascii="宋体" w:hAnsi="宋体"/>
          <w:b/>
          <w:kern w:val="44"/>
        </w:rPr>
        <w:t>第十条</w:t>
      </w:r>
      <w:r>
        <w:rPr>
          <w:rFonts w:hint="eastAsia" w:ascii="宋体" w:hAnsi="宋体"/>
          <w:kern w:val="44"/>
        </w:rPr>
        <w:t>　管理人应当依法管理监控系统所记录的信息资料，保守秘密，不得利用监控系统所记录的信息资料干扰他人的正常生活，侵犯他人的合法权益。</w:t>
      </w:r>
    </w:p>
    <w:p w14:paraId="16116CC5">
      <w:pPr>
        <w:ind w:firstLine="422"/>
        <w:jc w:val="left"/>
        <w:rPr>
          <w:rFonts w:ascii="宋体" w:hAnsi="宋体"/>
          <w:kern w:val="44"/>
        </w:rPr>
      </w:pPr>
      <w:r>
        <w:rPr>
          <w:rFonts w:hint="eastAsia" w:ascii="宋体" w:hAnsi="宋体"/>
          <w:b/>
          <w:kern w:val="44"/>
        </w:rPr>
        <w:t>第十一条</w:t>
      </w:r>
      <w:r>
        <w:rPr>
          <w:rFonts w:hint="eastAsia" w:ascii="宋体" w:hAnsi="宋体"/>
          <w:kern w:val="44"/>
        </w:rPr>
        <w:t>　一切单位和个人都应当爱护安全防范设施，不得损坏或者擅自改动安全防范设施；对破坏安全防范设施或者管理人不依法履行管理职责的行为，有权向公安机关举报。公安机关接到举报后，应当及时处理，不得推诿、拖延。</w:t>
      </w:r>
    </w:p>
    <w:p w14:paraId="7E1936FA">
      <w:pPr>
        <w:ind w:firstLine="422"/>
        <w:jc w:val="left"/>
        <w:rPr>
          <w:rFonts w:ascii="宋体" w:hAnsi="宋体"/>
          <w:kern w:val="44"/>
        </w:rPr>
      </w:pPr>
      <w:r>
        <w:rPr>
          <w:rFonts w:hint="eastAsia" w:ascii="宋体" w:hAnsi="宋体"/>
          <w:b/>
          <w:kern w:val="44"/>
        </w:rPr>
        <w:t>第十二条</w:t>
      </w:r>
      <w:r>
        <w:rPr>
          <w:rFonts w:hint="eastAsia" w:ascii="宋体" w:hAnsi="宋体"/>
          <w:kern w:val="44"/>
        </w:rPr>
        <w:t>　对违反本办法第九条规定，管理人不依法履行管理职责的，由公安机关责令改正，并可处500元以上1000元以下的罚款。</w:t>
      </w:r>
    </w:p>
    <w:p w14:paraId="3B02882D">
      <w:pPr>
        <w:jc w:val="left"/>
        <w:rPr>
          <w:rFonts w:ascii="宋体" w:hAnsi="宋体"/>
          <w:kern w:val="44"/>
        </w:rPr>
      </w:pPr>
      <w:r>
        <w:rPr>
          <w:rFonts w:hint="eastAsia" w:ascii="宋体" w:hAnsi="宋体"/>
          <w:kern w:val="44"/>
        </w:rPr>
        <w:t>对违反本办法的行为，其他法律、法规、规章已经规定了行政处罚的，由有关部门依法处理。</w:t>
      </w:r>
    </w:p>
    <w:p w14:paraId="01DE9B9E">
      <w:pPr>
        <w:ind w:firstLine="422"/>
        <w:jc w:val="left"/>
        <w:rPr>
          <w:rFonts w:ascii="宋体" w:hAnsi="宋体"/>
          <w:kern w:val="44"/>
        </w:rPr>
      </w:pPr>
      <w:r>
        <w:rPr>
          <w:rFonts w:hint="eastAsia" w:ascii="宋体" w:hAnsi="宋体"/>
          <w:b/>
          <w:kern w:val="44"/>
        </w:rPr>
        <w:t>第十三条</w:t>
      </w:r>
      <w:r>
        <w:rPr>
          <w:rFonts w:hint="eastAsia" w:ascii="宋体" w:hAnsi="宋体"/>
          <w:kern w:val="44"/>
        </w:rPr>
        <w:t>　本办法自2003年10月1日起施行。</w:t>
      </w:r>
    </w:p>
    <w:p w14:paraId="01D2C703">
      <w:pPr>
        <w:pStyle w:val="4"/>
        <w:pageBreakBefore/>
        <w:rPr>
          <w:kern w:val="44"/>
        </w:rPr>
      </w:pPr>
      <w:bookmarkStart w:id="1017" w:name="_Toc422471273"/>
      <w:bookmarkStart w:id="1018" w:name="_Toc428781608"/>
      <w:bookmarkStart w:id="1019" w:name="_Toc427651560"/>
      <w:bookmarkStart w:id="1020" w:name="_Toc428780126"/>
      <w:bookmarkStart w:id="1021" w:name="_Toc427651902"/>
      <w:r>
        <w:rPr>
          <w:rFonts w:hint="eastAsia"/>
          <w:kern w:val="44"/>
        </w:rPr>
        <w:t>北京市城市房地产转让管理办法</w:t>
      </w:r>
      <w:bookmarkEnd w:id="1017"/>
      <w:bookmarkEnd w:id="1018"/>
      <w:bookmarkEnd w:id="1019"/>
      <w:bookmarkEnd w:id="1020"/>
      <w:bookmarkEnd w:id="1021"/>
    </w:p>
    <w:p w14:paraId="230CCCAC">
      <w:pPr>
        <w:ind w:left="630" w:leftChars="300" w:right="630" w:rightChars="300"/>
        <w:jc w:val="left"/>
        <w:rPr>
          <w:rFonts w:ascii="楷体" w:hAnsi="楷体" w:eastAsia="楷体"/>
          <w:kern w:val="44"/>
        </w:rPr>
      </w:pPr>
      <w:r>
        <w:rPr>
          <w:rFonts w:hint="eastAsia" w:ascii="楷体" w:hAnsi="楷体" w:eastAsia="楷体"/>
          <w:kern w:val="44"/>
        </w:rPr>
        <w:t>（2003年8月26日北京市人民政府第13次常务会议审议通过  2003年9月2日北京市人民政府令第135号令公布  根据2008年12月6日北京市人民政府第209号令修改）</w:t>
      </w:r>
    </w:p>
    <w:p w14:paraId="38FAC81E">
      <w:pPr>
        <w:spacing w:line="300" w:lineRule="exact"/>
        <w:ind w:left="630" w:leftChars="300" w:right="630" w:rightChars="300"/>
        <w:jc w:val="left"/>
        <w:rPr>
          <w:rFonts w:ascii="楷体" w:hAnsi="楷体" w:eastAsia="楷体"/>
          <w:kern w:val="44"/>
        </w:rPr>
      </w:pPr>
    </w:p>
    <w:p w14:paraId="7648F0B4">
      <w:pPr>
        <w:ind w:firstLine="0" w:firstLineChars="0"/>
        <w:jc w:val="center"/>
        <w:rPr>
          <w:rFonts w:ascii="宋体" w:hAnsi="宋体"/>
          <w:b/>
          <w:kern w:val="44"/>
          <w:sz w:val="28"/>
        </w:rPr>
      </w:pPr>
      <w:r>
        <w:rPr>
          <w:rFonts w:hint="eastAsia" w:ascii="宋体" w:hAnsi="宋体"/>
          <w:b/>
          <w:kern w:val="44"/>
          <w:sz w:val="28"/>
        </w:rPr>
        <w:t>第一章　总  则</w:t>
      </w:r>
    </w:p>
    <w:p w14:paraId="581387DF">
      <w:pPr>
        <w:spacing w:line="300" w:lineRule="exact"/>
        <w:jc w:val="left"/>
        <w:rPr>
          <w:rFonts w:ascii="宋体" w:hAnsi="宋体"/>
          <w:kern w:val="44"/>
        </w:rPr>
      </w:pPr>
    </w:p>
    <w:p w14:paraId="3133587C">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城市房地产转让行为，保障当事人的合法权益，促进房地产市场健康发展，根据《中华人民共和国城市房地产管理法》和《城市房地产开发经营管理条例》等法律、法规，结合本市实际情况，制定本办法。</w:t>
      </w:r>
    </w:p>
    <w:p w14:paraId="2373CA44">
      <w:pPr>
        <w:ind w:firstLine="422"/>
        <w:jc w:val="left"/>
        <w:rPr>
          <w:rFonts w:ascii="宋体" w:hAnsi="宋体"/>
          <w:kern w:val="44"/>
        </w:rPr>
      </w:pPr>
      <w:r>
        <w:rPr>
          <w:rFonts w:hint="eastAsia" w:ascii="宋体" w:hAnsi="宋体"/>
          <w:b/>
          <w:kern w:val="44"/>
        </w:rPr>
        <w:t>第二条</w:t>
      </w:r>
      <w:r>
        <w:rPr>
          <w:rFonts w:hint="eastAsia" w:ascii="宋体" w:hAnsi="宋体"/>
          <w:kern w:val="44"/>
        </w:rPr>
        <w:t>　本市国有土地范围内的房地产转让，适用本办法。</w:t>
      </w:r>
    </w:p>
    <w:p w14:paraId="1FE92E26">
      <w:pPr>
        <w:jc w:val="left"/>
        <w:rPr>
          <w:rFonts w:ascii="宋体" w:hAnsi="宋体"/>
          <w:kern w:val="44"/>
        </w:rPr>
      </w:pPr>
      <w:r>
        <w:rPr>
          <w:rFonts w:hint="eastAsia" w:ascii="宋体" w:hAnsi="宋体"/>
          <w:kern w:val="44"/>
        </w:rPr>
        <w:t>本市城镇职工根据城镇住房制度改革政策购买公有住房、安居工程住房和集资合作建设的住房的，不适用本办法。</w:t>
      </w:r>
    </w:p>
    <w:p w14:paraId="5C34B069">
      <w:pPr>
        <w:ind w:firstLine="422"/>
        <w:jc w:val="left"/>
        <w:rPr>
          <w:rFonts w:ascii="宋体" w:hAnsi="宋体"/>
          <w:kern w:val="44"/>
        </w:rPr>
      </w:pPr>
      <w:r>
        <w:rPr>
          <w:rFonts w:hint="eastAsia" w:ascii="宋体" w:hAnsi="宋体"/>
          <w:b/>
          <w:kern w:val="44"/>
        </w:rPr>
        <w:t>第三条</w:t>
      </w:r>
      <w:r>
        <w:rPr>
          <w:rFonts w:hint="eastAsia" w:ascii="宋体" w:hAnsi="宋体"/>
          <w:kern w:val="44"/>
        </w:rPr>
        <w:t>　房地产转让，是指拥有房屋所有权、土地使用权的自然人、法人和其他组织，依法将房地产转移给他人的行为。</w:t>
      </w:r>
    </w:p>
    <w:p w14:paraId="0A304C16">
      <w:pPr>
        <w:jc w:val="left"/>
        <w:rPr>
          <w:rFonts w:ascii="宋体" w:hAnsi="宋体"/>
          <w:kern w:val="44"/>
        </w:rPr>
      </w:pPr>
      <w:r>
        <w:rPr>
          <w:rFonts w:hint="eastAsia" w:ascii="宋体" w:hAnsi="宋体"/>
          <w:kern w:val="44"/>
        </w:rPr>
        <w:t>房地产转让人是指拥有房屋所有权、土地使用权的自然人、法人和其他组织。房地产受让人可以是中华人民共和国境内外的自然人、法人和其他组织，国家和市人民政府另有规定的从其规定。</w:t>
      </w:r>
    </w:p>
    <w:p w14:paraId="0CB7A80C">
      <w:pPr>
        <w:ind w:firstLine="422"/>
        <w:jc w:val="left"/>
        <w:rPr>
          <w:rFonts w:ascii="宋体" w:hAnsi="宋体"/>
          <w:kern w:val="44"/>
        </w:rPr>
      </w:pPr>
      <w:r>
        <w:rPr>
          <w:rFonts w:hint="eastAsia" w:ascii="宋体" w:hAnsi="宋体"/>
          <w:b/>
          <w:kern w:val="44"/>
        </w:rPr>
        <w:t>第四条</w:t>
      </w:r>
      <w:r>
        <w:rPr>
          <w:rFonts w:hint="eastAsia" w:ascii="宋体" w:hAnsi="宋体"/>
          <w:kern w:val="44"/>
        </w:rPr>
        <w:t>　房地产转让包括下列方式：</w:t>
      </w:r>
    </w:p>
    <w:p w14:paraId="69C0737D">
      <w:pPr>
        <w:jc w:val="left"/>
        <w:rPr>
          <w:rFonts w:ascii="宋体" w:hAnsi="宋体"/>
          <w:kern w:val="44"/>
        </w:rPr>
      </w:pPr>
      <w:r>
        <w:rPr>
          <w:rFonts w:hint="eastAsia" w:ascii="宋体" w:hAnsi="宋体"/>
          <w:kern w:val="44"/>
        </w:rPr>
        <w:t>（一）买卖；</w:t>
      </w:r>
    </w:p>
    <w:p w14:paraId="6AA4ED7B">
      <w:pPr>
        <w:jc w:val="left"/>
        <w:rPr>
          <w:rFonts w:ascii="宋体" w:hAnsi="宋体"/>
          <w:kern w:val="44"/>
        </w:rPr>
      </w:pPr>
      <w:r>
        <w:rPr>
          <w:rFonts w:hint="eastAsia" w:ascii="宋体" w:hAnsi="宋体"/>
          <w:kern w:val="44"/>
        </w:rPr>
        <w:t>（二）赠与；</w:t>
      </w:r>
    </w:p>
    <w:p w14:paraId="40824609">
      <w:pPr>
        <w:jc w:val="left"/>
        <w:rPr>
          <w:rFonts w:ascii="宋体" w:hAnsi="宋体"/>
          <w:kern w:val="44"/>
        </w:rPr>
      </w:pPr>
      <w:r>
        <w:rPr>
          <w:rFonts w:hint="eastAsia" w:ascii="宋体" w:hAnsi="宋体"/>
          <w:kern w:val="44"/>
        </w:rPr>
        <w:t>（三）交换；</w:t>
      </w:r>
    </w:p>
    <w:p w14:paraId="4D341265">
      <w:pPr>
        <w:jc w:val="left"/>
        <w:rPr>
          <w:rFonts w:ascii="宋体" w:hAnsi="宋体"/>
          <w:kern w:val="44"/>
        </w:rPr>
      </w:pPr>
      <w:r>
        <w:rPr>
          <w:rFonts w:hint="eastAsia" w:ascii="宋体" w:hAnsi="宋体"/>
          <w:kern w:val="44"/>
        </w:rPr>
        <w:t>（四）以房地产作价入股或者作为合作条件与他人成立法人或者其他组织，使房地产权属发生变更的；</w:t>
      </w:r>
    </w:p>
    <w:p w14:paraId="3D0B2164">
      <w:pPr>
        <w:jc w:val="left"/>
        <w:rPr>
          <w:rFonts w:ascii="宋体" w:hAnsi="宋体"/>
          <w:kern w:val="44"/>
        </w:rPr>
      </w:pPr>
      <w:r>
        <w:rPr>
          <w:rFonts w:hint="eastAsia" w:ascii="宋体" w:hAnsi="宋体"/>
          <w:kern w:val="44"/>
        </w:rPr>
        <w:t>（五）因法人或者其他组织合并、分立，使房地产权属发生变更的；</w:t>
      </w:r>
    </w:p>
    <w:p w14:paraId="30A18739">
      <w:pPr>
        <w:jc w:val="left"/>
        <w:rPr>
          <w:rFonts w:ascii="宋体" w:hAnsi="宋体"/>
          <w:kern w:val="44"/>
        </w:rPr>
      </w:pPr>
      <w:r>
        <w:rPr>
          <w:rFonts w:hint="eastAsia" w:ascii="宋体" w:hAnsi="宋体"/>
          <w:kern w:val="44"/>
        </w:rPr>
        <w:t>（六）以房地产清偿债务的；</w:t>
      </w:r>
    </w:p>
    <w:p w14:paraId="25FF86BC">
      <w:pPr>
        <w:jc w:val="left"/>
        <w:rPr>
          <w:rFonts w:ascii="宋体" w:hAnsi="宋体"/>
          <w:kern w:val="44"/>
        </w:rPr>
      </w:pPr>
      <w:r>
        <w:rPr>
          <w:rFonts w:hint="eastAsia" w:ascii="宋体" w:hAnsi="宋体"/>
          <w:kern w:val="44"/>
        </w:rPr>
        <w:t>（七）法律、法规和规章规定的其他方式。</w:t>
      </w:r>
    </w:p>
    <w:p w14:paraId="05FC85A9">
      <w:pPr>
        <w:ind w:firstLine="422"/>
        <w:jc w:val="left"/>
        <w:rPr>
          <w:rFonts w:ascii="宋体" w:hAnsi="宋体"/>
          <w:kern w:val="44"/>
        </w:rPr>
      </w:pPr>
      <w:r>
        <w:rPr>
          <w:rFonts w:hint="eastAsia" w:ascii="宋体" w:hAnsi="宋体"/>
          <w:b/>
          <w:kern w:val="44"/>
        </w:rPr>
        <w:t>第五条</w:t>
      </w:r>
      <w:r>
        <w:rPr>
          <w:rFonts w:hint="eastAsia" w:ascii="宋体" w:hAnsi="宋体"/>
          <w:kern w:val="44"/>
        </w:rPr>
        <w:t>　市房地产行政主管部门主管本市房地产转让管理工作。区、县房地产行政主管部门负责本行政区域内房地产转让管理工作。</w:t>
      </w:r>
    </w:p>
    <w:p w14:paraId="2A93DCA8">
      <w:pPr>
        <w:jc w:val="left"/>
        <w:rPr>
          <w:rFonts w:ascii="宋体" w:hAnsi="宋体"/>
          <w:kern w:val="44"/>
        </w:rPr>
      </w:pPr>
      <w:r>
        <w:rPr>
          <w:rFonts w:hint="eastAsia" w:ascii="宋体" w:hAnsi="宋体"/>
          <w:kern w:val="44"/>
        </w:rPr>
        <w:t>有关行政管理部门应当按照各自职责，依法对房地产转让实施监督和管理。</w:t>
      </w:r>
    </w:p>
    <w:p w14:paraId="56740F8A">
      <w:pPr>
        <w:ind w:firstLine="422"/>
        <w:jc w:val="left"/>
        <w:rPr>
          <w:rFonts w:ascii="宋体" w:hAnsi="宋体"/>
          <w:kern w:val="44"/>
        </w:rPr>
      </w:pPr>
      <w:r>
        <w:rPr>
          <w:rFonts w:hint="eastAsia" w:ascii="宋体" w:hAnsi="宋体"/>
          <w:b/>
          <w:kern w:val="44"/>
        </w:rPr>
        <w:t>第六条</w:t>
      </w:r>
      <w:r>
        <w:rPr>
          <w:rFonts w:hint="eastAsia" w:ascii="宋体" w:hAnsi="宋体"/>
          <w:kern w:val="44"/>
        </w:rPr>
        <w:t>　房地产转让应当遵循自愿、公平、诚实信用的原则。</w:t>
      </w:r>
    </w:p>
    <w:p w14:paraId="47D29D61">
      <w:pPr>
        <w:ind w:firstLine="422"/>
        <w:jc w:val="left"/>
        <w:rPr>
          <w:rFonts w:ascii="宋体" w:hAnsi="宋体"/>
          <w:kern w:val="44"/>
        </w:rPr>
      </w:pPr>
      <w:r>
        <w:rPr>
          <w:rFonts w:hint="eastAsia" w:ascii="宋体" w:hAnsi="宋体"/>
          <w:b/>
          <w:kern w:val="44"/>
        </w:rPr>
        <w:t>第七条</w:t>
      </w:r>
      <w:r>
        <w:rPr>
          <w:rFonts w:hint="eastAsia" w:ascii="宋体" w:hAnsi="宋体"/>
          <w:kern w:val="44"/>
        </w:rPr>
        <w:t>　本市逐步建立房地产交易信息披露制度。市房地产行政主管部门应当会同有关部门定期公布本市房地产交易指导信息。</w:t>
      </w:r>
    </w:p>
    <w:p w14:paraId="19D48567">
      <w:pPr>
        <w:spacing w:line="300" w:lineRule="exact"/>
        <w:jc w:val="left"/>
        <w:rPr>
          <w:rFonts w:ascii="宋体" w:hAnsi="宋体"/>
          <w:kern w:val="44"/>
        </w:rPr>
      </w:pPr>
    </w:p>
    <w:p w14:paraId="476E0C7B">
      <w:pPr>
        <w:ind w:firstLine="0" w:firstLineChars="0"/>
        <w:jc w:val="center"/>
        <w:rPr>
          <w:rFonts w:ascii="宋体" w:hAnsi="宋体"/>
          <w:b/>
          <w:kern w:val="44"/>
          <w:sz w:val="28"/>
        </w:rPr>
      </w:pPr>
      <w:r>
        <w:rPr>
          <w:rFonts w:hint="eastAsia" w:ascii="宋体" w:hAnsi="宋体"/>
          <w:b/>
          <w:kern w:val="44"/>
          <w:sz w:val="28"/>
        </w:rPr>
        <w:t>第二章　一般规定</w:t>
      </w:r>
    </w:p>
    <w:p w14:paraId="282906D2">
      <w:pPr>
        <w:spacing w:line="300" w:lineRule="exact"/>
        <w:jc w:val="left"/>
        <w:rPr>
          <w:rFonts w:ascii="宋体" w:hAnsi="宋体"/>
          <w:kern w:val="44"/>
        </w:rPr>
      </w:pPr>
    </w:p>
    <w:p w14:paraId="271F22F2">
      <w:pPr>
        <w:ind w:firstLine="422"/>
        <w:jc w:val="left"/>
        <w:rPr>
          <w:rFonts w:ascii="宋体" w:hAnsi="宋体"/>
          <w:kern w:val="44"/>
        </w:rPr>
      </w:pPr>
      <w:r>
        <w:rPr>
          <w:rFonts w:hint="eastAsia" w:ascii="宋体" w:hAnsi="宋体"/>
          <w:b/>
          <w:kern w:val="44"/>
        </w:rPr>
        <w:t>第八条</w:t>
      </w:r>
      <w:r>
        <w:rPr>
          <w:rFonts w:hint="eastAsia" w:ascii="宋体" w:hAnsi="宋体"/>
          <w:kern w:val="44"/>
        </w:rPr>
        <w:t>　转让房屋的，该房屋占用范围的国有土地使用权同时转让。</w:t>
      </w:r>
    </w:p>
    <w:p w14:paraId="3B23FDF0">
      <w:pPr>
        <w:ind w:firstLine="422"/>
        <w:jc w:val="left"/>
        <w:rPr>
          <w:rFonts w:ascii="宋体" w:hAnsi="宋体"/>
          <w:kern w:val="44"/>
        </w:rPr>
      </w:pPr>
      <w:r>
        <w:rPr>
          <w:rFonts w:hint="eastAsia" w:ascii="宋体" w:hAnsi="宋体"/>
          <w:b/>
          <w:kern w:val="44"/>
        </w:rPr>
        <w:t>第九条</w:t>
      </w:r>
      <w:r>
        <w:rPr>
          <w:rFonts w:hint="eastAsia" w:ascii="宋体" w:hAnsi="宋体"/>
          <w:kern w:val="44"/>
        </w:rPr>
        <w:t>　在依法取得使用权的国有土地上建成的房屋，必须在办理房屋所有权和相应的土地使用权登记并取得房地产权属证书后，方可转让。</w:t>
      </w:r>
    </w:p>
    <w:p w14:paraId="71258EA0">
      <w:pPr>
        <w:ind w:firstLine="422"/>
        <w:jc w:val="left"/>
        <w:rPr>
          <w:rFonts w:ascii="宋体" w:hAnsi="宋体"/>
          <w:kern w:val="44"/>
        </w:rPr>
      </w:pPr>
      <w:r>
        <w:rPr>
          <w:rFonts w:hint="eastAsia" w:ascii="宋体" w:hAnsi="宋体"/>
          <w:b/>
          <w:kern w:val="44"/>
        </w:rPr>
        <w:t>第十条</w:t>
      </w:r>
      <w:r>
        <w:rPr>
          <w:rFonts w:hint="eastAsia" w:ascii="宋体" w:hAnsi="宋体"/>
          <w:kern w:val="44"/>
        </w:rPr>
        <w:t>　出让土地上的房屋在建工程转让的，应当符合下列条件：</w:t>
      </w:r>
    </w:p>
    <w:p w14:paraId="218868BA">
      <w:pPr>
        <w:jc w:val="left"/>
        <w:rPr>
          <w:rFonts w:ascii="宋体" w:hAnsi="宋体"/>
          <w:kern w:val="44"/>
        </w:rPr>
      </w:pPr>
      <w:r>
        <w:rPr>
          <w:rFonts w:hint="eastAsia" w:ascii="宋体" w:hAnsi="宋体"/>
          <w:kern w:val="44"/>
        </w:rPr>
        <w:t>（一）按照出让合同约定已经支付全部土地使用权出让金，并取得土地使用权证书；</w:t>
      </w:r>
    </w:p>
    <w:p w14:paraId="33F04902">
      <w:pPr>
        <w:jc w:val="left"/>
        <w:rPr>
          <w:rFonts w:ascii="宋体" w:hAnsi="宋体"/>
          <w:kern w:val="44"/>
        </w:rPr>
      </w:pPr>
      <w:r>
        <w:rPr>
          <w:rFonts w:hint="eastAsia" w:ascii="宋体" w:hAnsi="宋体"/>
          <w:kern w:val="44"/>
        </w:rPr>
        <w:t>（二）按照出让合同约定进行投资开发，完成开发投资总额的25％以上。</w:t>
      </w:r>
    </w:p>
    <w:p w14:paraId="22FEE1F1">
      <w:pPr>
        <w:jc w:val="left"/>
        <w:rPr>
          <w:rFonts w:ascii="宋体" w:hAnsi="宋体"/>
          <w:kern w:val="44"/>
        </w:rPr>
      </w:pPr>
      <w:r>
        <w:rPr>
          <w:rFonts w:hint="eastAsia" w:ascii="宋体" w:hAnsi="宋体"/>
          <w:kern w:val="44"/>
        </w:rPr>
        <w:t>以划拨方式取得土地使用权的房地产转让，按照国家和本市有关规定执行。</w:t>
      </w:r>
    </w:p>
    <w:p w14:paraId="7F4B424E">
      <w:pPr>
        <w:ind w:firstLine="422"/>
        <w:jc w:val="left"/>
        <w:rPr>
          <w:rFonts w:ascii="宋体" w:hAnsi="宋体"/>
          <w:kern w:val="44"/>
        </w:rPr>
      </w:pPr>
      <w:r>
        <w:rPr>
          <w:rFonts w:hint="eastAsia" w:ascii="宋体" w:hAnsi="宋体"/>
          <w:b/>
          <w:kern w:val="44"/>
        </w:rPr>
        <w:t>第十一条</w:t>
      </w:r>
      <w:r>
        <w:rPr>
          <w:rFonts w:hint="eastAsia" w:ascii="宋体" w:hAnsi="宋体"/>
          <w:kern w:val="44"/>
        </w:rPr>
        <w:t>　下列房地产，不得转让：</w:t>
      </w:r>
    </w:p>
    <w:p w14:paraId="49390BF1">
      <w:pPr>
        <w:jc w:val="left"/>
        <w:rPr>
          <w:rFonts w:ascii="宋体" w:hAnsi="宋体"/>
          <w:kern w:val="44"/>
        </w:rPr>
      </w:pPr>
      <w:r>
        <w:rPr>
          <w:rFonts w:hint="eastAsia" w:ascii="宋体" w:hAnsi="宋体"/>
          <w:kern w:val="44"/>
        </w:rPr>
        <w:t>（一）司法机关和行政机关依法裁定、决定查封或者以其他方式限制房地产权利的；</w:t>
      </w:r>
    </w:p>
    <w:p w14:paraId="0393CE2E">
      <w:pPr>
        <w:jc w:val="left"/>
        <w:rPr>
          <w:rFonts w:ascii="宋体" w:hAnsi="宋体"/>
          <w:kern w:val="44"/>
        </w:rPr>
      </w:pPr>
      <w:r>
        <w:rPr>
          <w:rFonts w:hint="eastAsia" w:ascii="宋体" w:hAnsi="宋体"/>
          <w:kern w:val="44"/>
        </w:rPr>
        <w:t>（二）依法收回土地使用权的；</w:t>
      </w:r>
    </w:p>
    <w:p w14:paraId="73765D31">
      <w:pPr>
        <w:jc w:val="left"/>
        <w:rPr>
          <w:rFonts w:ascii="宋体" w:hAnsi="宋体"/>
          <w:kern w:val="44"/>
        </w:rPr>
      </w:pPr>
      <w:r>
        <w:rPr>
          <w:rFonts w:hint="eastAsia" w:ascii="宋体" w:hAnsi="宋体"/>
          <w:kern w:val="44"/>
        </w:rPr>
        <w:t>（三）登记为共有的房地产，未经其他共有人书面同意的；</w:t>
      </w:r>
    </w:p>
    <w:p w14:paraId="0A2EE795">
      <w:pPr>
        <w:jc w:val="left"/>
        <w:rPr>
          <w:rFonts w:ascii="宋体" w:hAnsi="宋体"/>
          <w:kern w:val="44"/>
        </w:rPr>
      </w:pPr>
      <w:r>
        <w:rPr>
          <w:rFonts w:hint="eastAsia" w:ascii="宋体" w:hAnsi="宋体"/>
          <w:kern w:val="44"/>
        </w:rPr>
        <w:t>（四）权属有争议的；</w:t>
      </w:r>
    </w:p>
    <w:p w14:paraId="33C13FBA">
      <w:pPr>
        <w:jc w:val="left"/>
        <w:rPr>
          <w:rFonts w:ascii="宋体" w:hAnsi="宋体"/>
          <w:kern w:val="44"/>
        </w:rPr>
      </w:pPr>
      <w:r>
        <w:rPr>
          <w:rFonts w:hint="eastAsia" w:ascii="宋体" w:hAnsi="宋体"/>
          <w:kern w:val="44"/>
        </w:rPr>
        <w:t>（五）未经依法登记取得房地产权属证书的；</w:t>
      </w:r>
    </w:p>
    <w:p w14:paraId="32CF320E">
      <w:pPr>
        <w:jc w:val="left"/>
        <w:rPr>
          <w:rFonts w:ascii="宋体" w:hAnsi="宋体"/>
          <w:kern w:val="44"/>
        </w:rPr>
      </w:pPr>
      <w:r>
        <w:rPr>
          <w:rFonts w:hint="eastAsia" w:ascii="宋体" w:hAnsi="宋体"/>
          <w:kern w:val="44"/>
        </w:rPr>
        <w:t>（六）法律、行政法规规定不得转让的其他情形。</w:t>
      </w:r>
    </w:p>
    <w:p w14:paraId="656A8F96">
      <w:pPr>
        <w:ind w:firstLine="422"/>
        <w:jc w:val="left"/>
        <w:rPr>
          <w:rFonts w:ascii="宋体" w:hAnsi="宋体"/>
          <w:kern w:val="44"/>
        </w:rPr>
      </w:pPr>
      <w:r>
        <w:rPr>
          <w:rFonts w:hint="eastAsia" w:ascii="宋体" w:hAnsi="宋体"/>
          <w:b/>
          <w:kern w:val="44"/>
        </w:rPr>
        <w:t>第十二条</w:t>
      </w:r>
      <w:r>
        <w:rPr>
          <w:rFonts w:hint="eastAsia" w:ascii="宋体" w:hAnsi="宋体"/>
          <w:kern w:val="44"/>
        </w:rPr>
        <w:t>　按照房屋建筑设计为独立成套（单元）的房屋，不得分割转让。</w:t>
      </w:r>
    </w:p>
    <w:p w14:paraId="0D659283">
      <w:pPr>
        <w:ind w:firstLine="422"/>
        <w:jc w:val="left"/>
        <w:rPr>
          <w:rFonts w:ascii="宋体" w:hAnsi="宋体"/>
          <w:kern w:val="44"/>
        </w:rPr>
      </w:pPr>
      <w:r>
        <w:rPr>
          <w:rFonts w:hint="eastAsia" w:ascii="宋体" w:hAnsi="宋体"/>
          <w:b/>
          <w:kern w:val="44"/>
        </w:rPr>
        <w:t>第十三条</w:t>
      </w:r>
      <w:r>
        <w:rPr>
          <w:rFonts w:hint="eastAsia" w:ascii="宋体" w:hAnsi="宋体"/>
          <w:kern w:val="44"/>
        </w:rPr>
        <w:t>　房地产转让时，相应的共用部位、共用设备设施的转让按照国家和本市的规定执行。</w:t>
      </w:r>
    </w:p>
    <w:p w14:paraId="289CF9A5">
      <w:pPr>
        <w:ind w:firstLine="422"/>
        <w:jc w:val="left"/>
        <w:rPr>
          <w:rFonts w:ascii="宋体" w:hAnsi="宋体"/>
          <w:kern w:val="44"/>
        </w:rPr>
      </w:pPr>
      <w:r>
        <w:rPr>
          <w:rFonts w:hint="eastAsia" w:ascii="宋体" w:hAnsi="宋体"/>
          <w:b/>
          <w:kern w:val="44"/>
        </w:rPr>
        <w:t>第十四条</w:t>
      </w:r>
      <w:r>
        <w:rPr>
          <w:rFonts w:hint="eastAsia" w:ascii="宋体" w:hAnsi="宋体"/>
          <w:kern w:val="44"/>
        </w:rPr>
        <w:t>　共有房地产买卖，在同等条件下，共有人享有优先购买权。</w:t>
      </w:r>
    </w:p>
    <w:p w14:paraId="2222B9B8">
      <w:pPr>
        <w:jc w:val="left"/>
        <w:rPr>
          <w:rFonts w:ascii="宋体" w:hAnsi="宋体"/>
          <w:kern w:val="44"/>
        </w:rPr>
      </w:pPr>
      <w:r>
        <w:rPr>
          <w:rFonts w:hint="eastAsia" w:ascii="宋体" w:hAnsi="宋体"/>
          <w:kern w:val="44"/>
        </w:rPr>
        <w:t>出卖已出租的房地产的，出卖人应当提前3个月通知承租人。在同等条件下，承租人享有优先购买权。出卖人未履行通知义务的，应当承担相应的民事责任。</w:t>
      </w:r>
    </w:p>
    <w:p w14:paraId="13B0AEB4">
      <w:pPr>
        <w:ind w:firstLine="422"/>
        <w:jc w:val="left"/>
        <w:rPr>
          <w:rFonts w:ascii="宋体" w:hAnsi="宋体"/>
          <w:kern w:val="44"/>
        </w:rPr>
      </w:pPr>
      <w:r>
        <w:rPr>
          <w:rFonts w:hint="eastAsia" w:ascii="宋体" w:hAnsi="宋体"/>
          <w:b/>
          <w:kern w:val="44"/>
        </w:rPr>
        <w:t>第十五条</w:t>
      </w:r>
      <w:r>
        <w:rPr>
          <w:rFonts w:hint="eastAsia" w:ascii="宋体" w:hAnsi="宋体"/>
          <w:kern w:val="44"/>
        </w:rPr>
        <w:t>　转让已出租的房地产的，受让人应当继续履行原租赁合同。但房地产出租前已依法抵押，为实现该抵押权转让房地产的，受让人不承担继续履行原租赁合同的义务。</w:t>
      </w:r>
    </w:p>
    <w:p w14:paraId="0CC006C8">
      <w:pPr>
        <w:ind w:firstLine="422"/>
        <w:jc w:val="left"/>
        <w:rPr>
          <w:rFonts w:ascii="宋体" w:hAnsi="宋体"/>
          <w:kern w:val="44"/>
        </w:rPr>
      </w:pPr>
      <w:r>
        <w:rPr>
          <w:rFonts w:hint="eastAsia" w:ascii="宋体" w:hAnsi="宋体"/>
          <w:b/>
          <w:kern w:val="44"/>
        </w:rPr>
        <w:t>第十六条</w:t>
      </w:r>
      <w:r>
        <w:rPr>
          <w:rFonts w:hint="eastAsia" w:ascii="宋体" w:hAnsi="宋体"/>
          <w:kern w:val="44"/>
        </w:rPr>
        <w:t>　已购公有住房转让时，可以不征得原售房单位同意。</w:t>
      </w:r>
    </w:p>
    <w:p w14:paraId="6E29117F">
      <w:pPr>
        <w:jc w:val="left"/>
        <w:rPr>
          <w:rFonts w:ascii="宋体" w:hAnsi="宋体"/>
          <w:kern w:val="44"/>
        </w:rPr>
      </w:pPr>
      <w:r>
        <w:rPr>
          <w:rFonts w:hint="eastAsia" w:ascii="宋体" w:hAnsi="宋体"/>
          <w:kern w:val="44"/>
        </w:rPr>
        <w:t>已购公有住房转让后，原售房单位不再承担该房屋的供暖、物业管理等费用。</w:t>
      </w:r>
    </w:p>
    <w:p w14:paraId="24A03374">
      <w:pPr>
        <w:ind w:firstLine="422"/>
        <w:jc w:val="left"/>
        <w:rPr>
          <w:rFonts w:ascii="宋体" w:hAnsi="宋体"/>
          <w:kern w:val="44"/>
        </w:rPr>
      </w:pPr>
      <w:r>
        <w:rPr>
          <w:rFonts w:hint="eastAsia" w:ascii="宋体" w:hAnsi="宋体"/>
          <w:b/>
          <w:kern w:val="44"/>
        </w:rPr>
        <w:t>第十七条</w:t>
      </w:r>
      <w:r>
        <w:rPr>
          <w:rFonts w:hint="eastAsia" w:ascii="宋体" w:hAnsi="宋体"/>
          <w:kern w:val="44"/>
        </w:rPr>
        <w:t>　房地产转让时，除本办法第四条第（四）项、第（五）项规定的情形外，当事人应当签订书面转让合同。房地产转让合同应当包括下列内容：</w:t>
      </w:r>
    </w:p>
    <w:p w14:paraId="16FA968B">
      <w:pPr>
        <w:jc w:val="left"/>
        <w:rPr>
          <w:rFonts w:ascii="宋体" w:hAnsi="宋体"/>
          <w:kern w:val="44"/>
        </w:rPr>
      </w:pPr>
      <w:r>
        <w:rPr>
          <w:rFonts w:hint="eastAsia" w:ascii="宋体" w:hAnsi="宋体"/>
          <w:kern w:val="44"/>
        </w:rPr>
        <w:t>（一）转让人和受让人的名称或者姓名、住所；</w:t>
      </w:r>
    </w:p>
    <w:p w14:paraId="679ECBAD">
      <w:pPr>
        <w:jc w:val="left"/>
        <w:rPr>
          <w:rFonts w:ascii="宋体" w:hAnsi="宋体"/>
          <w:kern w:val="44"/>
        </w:rPr>
      </w:pPr>
      <w:r>
        <w:rPr>
          <w:rFonts w:hint="eastAsia" w:ascii="宋体" w:hAnsi="宋体"/>
          <w:kern w:val="44"/>
        </w:rPr>
        <w:t>（二）房地产的坐落位置、四至范围和面积；</w:t>
      </w:r>
    </w:p>
    <w:p w14:paraId="4F758DCE">
      <w:pPr>
        <w:jc w:val="left"/>
        <w:rPr>
          <w:rFonts w:ascii="宋体" w:hAnsi="宋体"/>
          <w:kern w:val="44"/>
        </w:rPr>
      </w:pPr>
      <w:r>
        <w:rPr>
          <w:rFonts w:hint="eastAsia" w:ascii="宋体" w:hAnsi="宋体"/>
          <w:kern w:val="44"/>
        </w:rPr>
        <w:t>（三）房地产用途；</w:t>
      </w:r>
    </w:p>
    <w:p w14:paraId="6EE2A0DD">
      <w:pPr>
        <w:jc w:val="left"/>
        <w:rPr>
          <w:rFonts w:ascii="宋体" w:hAnsi="宋体"/>
          <w:kern w:val="44"/>
        </w:rPr>
      </w:pPr>
      <w:r>
        <w:rPr>
          <w:rFonts w:hint="eastAsia" w:ascii="宋体" w:hAnsi="宋体"/>
          <w:kern w:val="44"/>
        </w:rPr>
        <w:t>（四）房地产权属证书编号；</w:t>
      </w:r>
    </w:p>
    <w:p w14:paraId="7DBC882B">
      <w:pPr>
        <w:jc w:val="left"/>
        <w:rPr>
          <w:rFonts w:ascii="宋体" w:hAnsi="宋体"/>
          <w:kern w:val="44"/>
        </w:rPr>
      </w:pPr>
      <w:r>
        <w:rPr>
          <w:rFonts w:hint="eastAsia" w:ascii="宋体" w:hAnsi="宋体"/>
          <w:kern w:val="44"/>
        </w:rPr>
        <w:t>（五）买卖的价格或者交换的差价金额、清偿债务的金额；</w:t>
      </w:r>
    </w:p>
    <w:p w14:paraId="3C9E8273">
      <w:pPr>
        <w:jc w:val="left"/>
        <w:rPr>
          <w:rFonts w:ascii="宋体" w:hAnsi="宋体"/>
          <w:kern w:val="44"/>
        </w:rPr>
      </w:pPr>
      <w:r>
        <w:rPr>
          <w:rFonts w:hint="eastAsia" w:ascii="宋体" w:hAnsi="宋体"/>
          <w:kern w:val="44"/>
        </w:rPr>
        <w:t>（六）房地产交付的条件和日期；</w:t>
      </w:r>
    </w:p>
    <w:p w14:paraId="30D95B7B">
      <w:pPr>
        <w:jc w:val="left"/>
        <w:rPr>
          <w:rFonts w:ascii="宋体" w:hAnsi="宋体"/>
          <w:kern w:val="44"/>
        </w:rPr>
      </w:pPr>
      <w:r>
        <w:rPr>
          <w:rFonts w:hint="eastAsia" w:ascii="宋体" w:hAnsi="宋体"/>
          <w:kern w:val="44"/>
        </w:rPr>
        <w:t>（七）违约责任；</w:t>
      </w:r>
    </w:p>
    <w:p w14:paraId="51E88A85">
      <w:pPr>
        <w:jc w:val="left"/>
        <w:rPr>
          <w:rFonts w:ascii="宋体" w:hAnsi="宋体"/>
          <w:kern w:val="44"/>
        </w:rPr>
      </w:pPr>
      <w:r>
        <w:rPr>
          <w:rFonts w:hint="eastAsia" w:ascii="宋体" w:hAnsi="宋体"/>
          <w:kern w:val="44"/>
        </w:rPr>
        <w:t>（八）争议解决方式；</w:t>
      </w:r>
    </w:p>
    <w:p w14:paraId="3BF67067">
      <w:pPr>
        <w:jc w:val="left"/>
        <w:rPr>
          <w:rFonts w:ascii="宋体" w:hAnsi="宋体"/>
          <w:kern w:val="44"/>
        </w:rPr>
      </w:pPr>
      <w:r>
        <w:rPr>
          <w:rFonts w:hint="eastAsia" w:ascii="宋体" w:hAnsi="宋体"/>
          <w:kern w:val="44"/>
        </w:rPr>
        <w:t>（九）转让人和受让人约定的其他内容。</w:t>
      </w:r>
    </w:p>
    <w:p w14:paraId="08E2A4EE">
      <w:pPr>
        <w:ind w:firstLine="422"/>
        <w:jc w:val="left"/>
        <w:rPr>
          <w:rFonts w:ascii="宋体" w:hAnsi="宋体"/>
          <w:kern w:val="44"/>
        </w:rPr>
      </w:pPr>
      <w:r>
        <w:rPr>
          <w:rFonts w:hint="eastAsia" w:ascii="宋体" w:hAnsi="宋体"/>
          <w:b/>
          <w:kern w:val="44"/>
        </w:rPr>
        <w:t>第十八条</w:t>
      </w:r>
      <w:r>
        <w:rPr>
          <w:rFonts w:hint="eastAsia" w:ascii="宋体" w:hAnsi="宋体"/>
          <w:kern w:val="44"/>
        </w:rPr>
        <w:t>　房地产行政主管部门应当应用网络信息技术，建立和完善房地产管理信息系统；推行房地产转让合同网上签约和网上登记备案。</w:t>
      </w:r>
    </w:p>
    <w:p w14:paraId="0CBDB373">
      <w:pPr>
        <w:ind w:firstLine="422"/>
        <w:jc w:val="left"/>
        <w:rPr>
          <w:rFonts w:ascii="宋体" w:hAnsi="宋体"/>
          <w:kern w:val="44"/>
        </w:rPr>
      </w:pPr>
      <w:r>
        <w:rPr>
          <w:rFonts w:hint="eastAsia" w:ascii="宋体" w:hAnsi="宋体"/>
          <w:b/>
          <w:kern w:val="44"/>
        </w:rPr>
        <w:t>第十九条</w:t>
      </w:r>
      <w:r>
        <w:rPr>
          <w:rFonts w:hint="eastAsia" w:ascii="宋体" w:hAnsi="宋体"/>
          <w:kern w:val="44"/>
        </w:rPr>
        <w:t>　房地产转让时，转让人应当如实告知受让人转让房地产的抵押、租赁等有关情况。转让人不履行告知义务的，应当承担相应的民事责任。</w:t>
      </w:r>
    </w:p>
    <w:p w14:paraId="5D1507DB">
      <w:pPr>
        <w:ind w:firstLine="422"/>
        <w:jc w:val="left"/>
        <w:rPr>
          <w:rFonts w:ascii="宋体" w:hAnsi="宋体"/>
          <w:kern w:val="44"/>
        </w:rPr>
      </w:pPr>
      <w:r>
        <w:rPr>
          <w:rFonts w:hint="eastAsia" w:ascii="宋体" w:hAnsi="宋体"/>
          <w:b/>
          <w:kern w:val="44"/>
        </w:rPr>
        <w:t>第二十条</w:t>
      </w:r>
      <w:r>
        <w:rPr>
          <w:rFonts w:hint="eastAsia" w:ascii="宋体" w:hAnsi="宋体"/>
          <w:kern w:val="44"/>
        </w:rPr>
        <w:t>　房地产转让价格由转让人和受让人协商议定，但实行政府指导价的除外。</w:t>
      </w:r>
    </w:p>
    <w:p w14:paraId="100D6CF7">
      <w:pPr>
        <w:ind w:firstLine="422"/>
        <w:jc w:val="left"/>
        <w:rPr>
          <w:rFonts w:ascii="宋体" w:hAnsi="宋体"/>
          <w:kern w:val="44"/>
        </w:rPr>
      </w:pPr>
      <w:r>
        <w:rPr>
          <w:rFonts w:hint="eastAsia" w:ascii="宋体" w:hAnsi="宋体"/>
          <w:b/>
          <w:kern w:val="44"/>
        </w:rPr>
        <w:t>第二十一条</w:t>
      </w:r>
      <w:r>
        <w:rPr>
          <w:rFonts w:hint="eastAsia" w:ascii="宋体" w:hAnsi="宋体"/>
          <w:kern w:val="44"/>
        </w:rPr>
        <w:t>　新建商品房转让应当按照套内建筑面积计价，但是独栋别墅、整栋楼房和车库（位）转让可以按照套内建筑面积计价，也可以按照建筑面积计价或者按照套（单元）计价。</w:t>
      </w:r>
    </w:p>
    <w:p w14:paraId="290852C7">
      <w:pPr>
        <w:ind w:firstLine="422"/>
        <w:jc w:val="left"/>
        <w:rPr>
          <w:rFonts w:ascii="宋体" w:hAnsi="宋体"/>
          <w:kern w:val="44"/>
        </w:rPr>
      </w:pPr>
      <w:r>
        <w:rPr>
          <w:rFonts w:hint="eastAsia" w:ascii="宋体" w:hAnsi="宋体"/>
          <w:b/>
          <w:kern w:val="44"/>
        </w:rPr>
        <w:t>第二十二条</w:t>
      </w:r>
      <w:r>
        <w:rPr>
          <w:rFonts w:hint="eastAsia" w:ascii="宋体" w:hAnsi="宋体"/>
          <w:kern w:val="44"/>
        </w:rPr>
        <w:t>　为保障将来实现物权，房地产转让当事人签订买卖房屋的协议，可以按照约定向市或者区、县房地产行政主管部门申请预告登记。</w:t>
      </w:r>
    </w:p>
    <w:p w14:paraId="4BE385A0">
      <w:pPr>
        <w:ind w:firstLine="422"/>
        <w:jc w:val="left"/>
        <w:rPr>
          <w:rFonts w:ascii="宋体" w:hAnsi="宋体"/>
          <w:kern w:val="44"/>
        </w:rPr>
      </w:pPr>
      <w:r>
        <w:rPr>
          <w:rFonts w:hint="eastAsia" w:ascii="宋体" w:hAnsi="宋体"/>
          <w:b/>
          <w:kern w:val="44"/>
        </w:rPr>
        <w:t>第二十三条</w:t>
      </w:r>
      <w:r>
        <w:rPr>
          <w:rFonts w:hint="eastAsia" w:ascii="宋体" w:hAnsi="宋体"/>
          <w:kern w:val="44"/>
        </w:rPr>
        <w:t>　房地产转让时，房地产转让人和受让人应当依法纳税。</w:t>
      </w:r>
    </w:p>
    <w:p w14:paraId="797A3813">
      <w:pPr>
        <w:ind w:firstLine="422"/>
        <w:jc w:val="left"/>
        <w:rPr>
          <w:rFonts w:ascii="宋体" w:hAnsi="宋体"/>
          <w:kern w:val="44"/>
        </w:rPr>
      </w:pPr>
      <w:r>
        <w:rPr>
          <w:rFonts w:hint="eastAsia" w:ascii="宋体" w:hAnsi="宋体"/>
          <w:b/>
          <w:kern w:val="44"/>
        </w:rPr>
        <w:t>第二十四条</w:t>
      </w:r>
      <w:r>
        <w:rPr>
          <w:rFonts w:hint="eastAsia" w:ascii="宋体" w:hAnsi="宋体"/>
          <w:kern w:val="44"/>
        </w:rPr>
        <w:t>　房地产转让人和受让人应当在签订转让合同或者取得与转让有关的法律文件生效后90日内，向市或者区、县房地产行政主管部门申请办理房地产权属转移登记，并提交下列文件：</w:t>
      </w:r>
    </w:p>
    <w:p w14:paraId="5174738F">
      <w:pPr>
        <w:jc w:val="left"/>
        <w:rPr>
          <w:rFonts w:ascii="宋体" w:hAnsi="宋体"/>
          <w:kern w:val="44"/>
        </w:rPr>
      </w:pPr>
      <w:r>
        <w:rPr>
          <w:rFonts w:hint="eastAsia" w:ascii="宋体" w:hAnsi="宋体"/>
          <w:kern w:val="44"/>
        </w:rPr>
        <w:t>（一）房地产权属证书；</w:t>
      </w:r>
    </w:p>
    <w:p w14:paraId="5A819B39">
      <w:pPr>
        <w:jc w:val="left"/>
        <w:rPr>
          <w:rFonts w:ascii="宋体" w:hAnsi="宋体"/>
          <w:kern w:val="44"/>
        </w:rPr>
      </w:pPr>
      <w:r>
        <w:rPr>
          <w:rFonts w:hint="eastAsia" w:ascii="宋体" w:hAnsi="宋体"/>
          <w:kern w:val="44"/>
        </w:rPr>
        <w:t>（二）转让当事人的身份证明，转让当事人是法人或者其他组织的，还应当出具对具体承办人员的授权委托书；</w:t>
      </w:r>
    </w:p>
    <w:p w14:paraId="2C52DEB9">
      <w:pPr>
        <w:jc w:val="left"/>
        <w:rPr>
          <w:rFonts w:ascii="宋体" w:hAnsi="宋体"/>
          <w:kern w:val="44"/>
        </w:rPr>
      </w:pPr>
      <w:r>
        <w:rPr>
          <w:rFonts w:hint="eastAsia" w:ascii="宋体" w:hAnsi="宋体"/>
          <w:kern w:val="44"/>
        </w:rPr>
        <w:t>（三）转让合同或者与转让有关的法律文件；</w:t>
      </w:r>
    </w:p>
    <w:p w14:paraId="16AD8DC4">
      <w:pPr>
        <w:jc w:val="left"/>
        <w:rPr>
          <w:rFonts w:ascii="宋体" w:hAnsi="宋体"/>
          <w:kern w:val="44"/>
        </w:rPr>
      </w:pPr>
      <w:r>
        <w:rPr>
          <w:rFonts w:hint="eastAsia" w:ascii="宋体" w:hAnsi="宋体"/>
          <w:kern w:val="44"/>
        </w:rPr>
        <w:t>（四）法律、法规和规章规定的其他文件。</w:t>
      </w:r>
    </w:p>
    <w:p w14:paraId="5119E168">
      <w:pPr>
        <w:jc w:val="left"/>
        <w:rPr>
          <w:rFonts w:ascii="宋体" w:hAnsi="宋体"/>
          <w:kern w:val="44"/>
        </w:rPr>
      </w:pPr>
      <w:r>
        <w:rPr>
          <w:rFonts w:hint="eastAsia" w:ascii="宋体" w:hAnsi="宋体"/>
          <w:kern w:val="44"/>
        </w:rPr>
        <w:t>境外法人、组织办理房地产转让登记时提交的文件，应当按规定经公证、认证，并提交经公证的中文译本。</w:t>
      </w:r>
    </w:p>
    <w:p w14:paraId="4847E881">
      <w:pPr>
        <w:ind w:firstLine="422"/>
        <w:jc w:val="left"/>
        <w:rPr>
          <w:rFonts w:ascii="宋体" w:hAnsi="宋体"/>
          <w:kern w:val="44"/>
        </w:rPr>
      </w:pPr>
      <w:r>
        <w:rPr>
          <w:rFonts w:hint="eastAsia" w:ascii="宋体" w:hAnsi="宋体"/>
          <w:b/>
          <w:kern w:val="44"/>
        </w:rPr>
        <w:t>第二十五条</w:t>
      </w:r>
      <w:r>
        <w:rPr>
          <w:rFonts w:hint="eastAsia" w:ascii="宋体" w:hAnsi="宋体"/>
          <w:kern w:val="44"/>
        </w:rPr>
        <w:t>　市或者区、县房地产行政主管部门应当审核转让当事人的房地产权属转移登记申请，对当事人提交的文件不齐备的，应当一次性告知当事人需补充提交的全部文件；对当事人提交的文件齐备的，应当即时受理。</w:t>
      </w:r>
    </w:p>
    <w:p w14:paraId="3A524B6B">
      <w:pPr>
        <w:jc w:val="left"/>
        <w:rPr>
          <w:rFonts w:ascii="宋体" w:hAnsi="宋体"/>
          <w:kern w:val="44"/>
        </w:rPr>
      </w:pPr>
      <w:r>
        <w:rPr>
          <w:rFonts w:hint="eastAsia" w:ascii="宋体" w:hAnsi="宋体"/>
          <w:kern w:val="44"/>
        </w:rPr>
        <w:t>对符合登记条件的，自受理之日起20个工作日内办理房地产权属转移登记；对不符合登记条件的，应当书面告知当事人不予登记的理由。</w:t>
      </w:r>
    </w:p>
    <w:p w14:paraId="75C19E2C">
      <w:pPr>
        <w:ind w:firstLine="422"/>
        <w:jc w:val="left"/>
        <w:rPr>
          <w:rFonts w:ascii="宋体" w:hAnsi="宋体"/>
          <w:kern w:val="44"/>
        </w:rPr>
      </w:pPr>
      <w:r>
        <w:rPr>
          <w:rFonts w:hint="eastAsia" w:ascii="宋体" w:hAnsi="宋体"/>
          <w:b/>
          <w:kern w:val="44"/>
        </w:rPr>
        <w:t>第二十六条</w:t>
      </w:r>
      <w:r>
        <w:rPr>
          <w:rFonts w:hint="eastAsia" w:ascii="宋体" w:hAnsi="宋体"/>
          <w:kern w:val="44"/>
        </w:rPr>
        <w:t>　房地产开发企业应当对其出售的新建商品房承担质量保修责任。房地产开发企业应当与受让人在转让合同中约定保修范围、保修期限和保修责任。约定的保修期限不得低于国家规定的最低期限。保修期限自商品房交付之日起计算。</w:t>
      </w:r>
    </w:p>
    <w:p w14:paraId="50042AFC">
      <w:pPr>
        <w:jc w:val="left"/>
        <w:rPr>
          <w:rFonts w:ascii="宋体" w:hAnsi="宋体"/>
          <w:kern w:val="44"/>
        </w:rPr>
      </w:pPr>
      <w:r>
        <w:rPr>
          <w:rFonts w:hint="eastAsia" w:ascii="宋体" w:hAnsi="宋体"/>
          <w:kern w:val="44"/>
        </w:rPr>
        <w:t>新建商品房在保修期限内再转让的，房地产开发企业应当继续承担对该商品房的保修责任。</w:t>
      </w:r>
    </w:p>
    <w:p w14:paraId="2F5B1852">
      <w:pPr>
        <w:ind w:firstLine="422"/>
        <w:jc w:val="left"/>
        <w:rPr>
          <w:rFonts w:ascii="宋体" w:hAnsi="宋体"/>
          <w:kern w:val="44"/>
        </w:rPr>
      </w:pPr>
      <w:r>
        <w:rPr>
          <w:rFonts w:hint="eastAsia" w:ascii="宋体" w:hAnsi="宋体"/>
          <w:b/>
          <w:kern w:val="44"/>
        </w:rPr>
        <w:t>第二十七条</w:t>
      </w:r>
      <w:r>
        <w:rPr>
          <w:rFonts w:hint="eastAsia" w:ascii="宋体" w:hAnsi="宋体"/>
          <w:kern w:val="44"/>
        </w:rPr>
        <w:t>　房地产转让当事人可以委托律师和房地产经纪机构代理房地产转让或者提供中介服务。</w:t>
      </w:r>
    </w:p>
    <w:p w14:paraId="5E83C5C2">
      <w:pPr>
        <w:jc w:val="left"/>
        <w:rPr>
          <w:rFonts w:ascii="宋体" w:hAnsi="宋体"/>
          <w:kern w:val="44"/>
        </w:rPr>
      </w:pPr>
      <w:r>
        <w:rPr>
          <w:rFonts w:hint="eastAsia" w:ascii="宋体" w:hAnsi="宋体"/>
          <w:kern w:val="44"/>
        </w:rPr>
        <w:t>受托人应当忠实、勤勉地履行职责。因受托人过错给房地产转让当事人造成损失的，房地产转让当事人可以要求受托人承担赔偿责任。</w:t>
      </w:r>
    </w:p>
    <w:p w14:paraId="0E0AD6BF">
      <w:pPr>
        <w:ind w:firstLine="422"/>
        <w:jc w:val="left"/>
        <w:rPr>
          <w:rFonts w:ascii="宋体" w:hAnsi="宋体"/>
          <w:kern w:val="44"/>
        </w:rPr>
      </w:pPr>
      <w:r>
        <w:rPr>
          <w:rFonts w:hint="eastAsia" w:ascii="宋体" w:hAnsi="宋体"/>
          <w:b/>
          <w:kern w:val="44"/>
        </w:rPr>
        <w:t>第二十八条</w:t>
      </w:r>
      <w:r>
        <w:rPr>
          <w:rFonts w:hint="eastAsia" w:ascii="宋体" w:hAnsi="宋体"/>
          <w:kern w:val="44"/>
        </w:rPr>
        <w:t>　房地产行政主管部门应当归集房地产开发企业和房地产经纪机构在从事房地产经营活动中的有关信用信息，并按照规定公布。</w:t>
      </w:r>
    </w:p>
    <w:p w14:paraId="51044294">
      <w:pPr>
        <w:jc w:val="left"/>
        <w:rPr>
          <w:rFonts w:ascii="宋体" w:hAnsi="宋体"/>
          <w:kern w:val="44"/>
        </w:rPr>
      </w:pPr>
    </w:p>
    <w:p w14:paraId="1706205F">
      <w:pPr>
        <w:ind w:firstLine="0" w:firstLineChars="0"/>
        <w:jc w:val="center"/>
        <w:rPr>
          <w:rFonts w:ascii="宋体" w:hAnsi="宋体"/>
          <w:b/>
          <w:kern w:val="44"/>
          <w:sz w:val="28"/>
        </w:rPr>
      </w:pPr>
      <w:r>
        <w:rPr>
          <w:rFonts w:hint="eastAsia" w:ascii="宋体" w:hAnsi="宋体"/>
          <w:b/>
          <w:kern w:val="44"/>
          <w:sz w:val="28"/>
        </w:rPr>
        <w:t>第三章　商品房预售</w:t>
      </w:r>
    </w:p>
    <w:p w14:paraId="3C3BDEE5">
      <w:pPr>
        <w:jc w:val="left"/>
        <w:rPr>
          <w:rFonts w:ascii="宋体" w:hAnsi="宋体"/>
          <w:kern w:val="44"/>
        </w:rPr>
      </w:pPr>
    </w:p>
    <w:p w14:paraId="06637A2A">
      <w:pPr>
        <w:ind w:firstLine="422"/>
        <w:jc w:val="left"/>
        <w:rPr>
          <w:rFonts w:ascii="宋体" w:hAnsi="宋体"/>
          <w:kern w:val="44"/>
        </w:rPr>
      </w:pPr>
      <w:r>
        <w:rPr>
          <w:rFonts w:hint="eastAsia" w:ascii="宋体" w:hAnsi="宋体"/>
          <w:b/>
          <w:kern w:val="44"/>
        </w:rPr>
        <w:t>第二十九条</w:t>
      </w:r>
      <w:r>
        <w:rPr>
          <w:rFonts w:hint="eastAsia" w:ascii="宋体" w:hAnsi="宋体"/>
          <w:kern w:val="44"/>
        </w:rPr>
        <w:t>　房地产开发企业取得预售许可后，方可预售商品房。</w:t>
      </w:r>
    </w:p>
    <w:p w14:paraId="403FD745">
      <w:pPr>
        <w:jc w:val="left"/>
        <w:rPr>
          <w:rFonts w:ascii="宋体" w:hAnsi="宋体"/>
          <w:kern w:val="44"/>
        </w:rPr>
      </w:pPr>
      <w:r>
        <w:rPr>
          <w:rFonts w:hint="eastAsia" w:ascii="宋体" w:hAnsi="宋体"/>
          <w:kern w:val="44"/>
        </w:rPr>
        <w:t>预售商品房，应当符合下列条件：</w:t>
      </w:r>
    </w:p>
    <w:p w14:paraId="3DECCE73">
      <w:pPr>
        <w:jc w:val="left"/>
        <w:rPr>
          <w:rFonts w:ascii="宋体" w:hAnsi="宋体"/>
          <w:kern w:val="44"/>
        </w:rPr>
      </w:pPr>
      <w:r>
        <w:rPr>
          <w:rFonts w:hint="eastAsia" w:ascii="宋体" w:hAnsi="宋体"/>
          <w:kern w:val="44"/>
        </w:rPr>
        <w:t>（一）已交付全部土地使用权出让金并取得国有土地使用权证，属于预售经济适用住房的，应当取得建设用地批准书；</w:t>
      </w:r>
    </w:p>
    <w:p w14:paraId="61A6F82F">
      <w:pPr>
        <w:jc w:val="left"/>
        <w:rPr>
          <w:rFonts w:ascii="宋体" w:hAnsi="宋体"/>
          <w:kern w:val="44"/>
        </w:rPr>
      </w:pPr>
      <w:r>
        <w:rPr>
          <w:rFonts w:hint="eastAsia" w:ascii="宋体" w:hAnsi="宋体"/>
          <w:kern w:val="44"/>
        </w:rPr>
        <w:t>（二）取得建设工程规划许可证件和施工许可证件；</w:t>
      </w:r>
    </w:p>
    <w:p w14:paraId="0E82EB9B">
      <w:pPr>
        <w:jc w:val="left"/>
        <w:rPr>
          <w:rFonts w:ascii="宋体" w:hAnsi="宋体"/>
          <w:kern w:val="44"/>
        </w:rPr>
      </w:pPr>
      <w:r>
        <w:rPr>
          <w:rFonts w:hint="eastAsia" w:ascii="宋体" w:hAnsi="宋体"/>
          <w:kern w:val="44"/>
        </w:rPr>
        <w:t>（三）按提供预售的商品房计算，投入开发的建设资金达到工程建设总投资的25％以上；</w:t>
      </w:r>
    </w:p>
    <w:p w14:paraId="4B5426D0">
      <w:pPr>
        <w:jc w:val="left"/>
        <w:rPr>
          <w:rFonts w:ascii="宋体" w:hAnsi="宋体"/>
          <w:kern w:val="44"/>
        </w:rPr>
      </w:pPr>
      <w:r>
        <w:rPr>
          <w:rFonts w:hint="eastAsia" w:ascii="宋体" w:hAnsi="宋体"/>
          <w:kern w:val="44"/>
        </w:rPr>
        <w:t>（四）已确定竣工日期，且满足市房地产行政主管部门公布的预售最长期限。</w:t>
      </w:r>
    </w:p>
    <w:p w14:paraId="42F6C730">
      <w:pPr>
        <w:ind w:firstLine="422"/>
        <w:jc w:val="left"/>
        <w:rPr>
          <w:rFonts w:ascii="宋体" w:hAnsi="宋体"/>
          <w:kern w:val="44"/>
        </w:rPr>
      </w:pPr>
      <w:r>
        <w:rPr>
          <w:rFonts w:hint="eastAsia" w:ascii="宋体" w:hAnsi="宋体"/>
          <w:b/>
          <w:kern w:val="44"/>
        </w:rPr>
        <w:t>第三十条</w:t>
      </w:r>
      <w:r>
        <w:rPr>
          <w:rFonts w:hint="eastAsia" w:ascii="宋体" w:hAnsi="宋体"/>
          <w:kern w:val="44"/>
        </w:rPr>
        <w:t>　房地产开发企业申请商品房预售许可的，应当向市房地产行政主管部门提交下列文件：</w:t>
      </w:r>
    </w:p>
    <w:p w14:paraId="72C85A45">
      <w:pPr>
        <w:jc w:val="left"/>
        <w:rPr>
          <w:rFonts w:ascii="宋体" w:hAnsi="宋体"/>
          <w:kern w:val="44"/>
        </w:rPr>
      </w:pPr>
      <w:r>
        <w:rPr>
          <w:rFonts w:hint="eastAsia" w:ascii="宋体" w:hAnsi="宋体"/>
          <w:kern w:val="44"/>
        </w:rPr>
        <w:t>（一）本办法第二十九条第二款规定的事项证明文件；</w:t>
      </w:r>
    </w:p>
    <w:p w14:paraId="19DC4140">
      <w:pPr>
        <w:jc w:val="left"/>
        <w:rPr>
          <w:rFonts w:ascii="宋体" w:hAnsi="宋体"/>
          <w:kern w:val="44"/>
        </w:rPr>
      </w:pPr>
      <w:r>
        <w:rPr>
          <w:rFonts w:hint="eastAsia" w:ascii="宋体" w:hAnsi="宋体"/>
          <w:kern w:val="44"/>
        </w:rPr>
        <w:t>（二）工商营业执照和企业资质等级证书；</w:t>
      </w:r>
    </w:p>
    <w:p w14:paraId="7F57A9A5">
      <w:pPr>
        <w:jc w:val="left"/>
        <w:rPr>
          <w:rFonts w:ascii="宋体" w:hAnsi="宋体"/>
          <w:kern w:val="44"/>
        </w:rPr>
      </w:pPr>
      <w:r>
        <w:rPr>
          <w:rFonts w:hint="eastAsia" w:ascii="宋体" w:hAnsi="宋体"/>
          <w:kern w:val="44"/>
        </w:rPr>
        <w:t>（三）工程施工合同和施工进度说明；</w:t>
      </w:r>
    </w:p>
    <w:p w14:paraId="0828F34C">
      <w:pPr>
        <w:jc w:val="left"/>
        <w:rPr>
          <w:rFonts w:ascii="宋体" w:hAnsi="宋体"/>
          <w:kern w:val="44"/>
        </w:rPr>
      </w:pPr>
      <w:r>
        <w:rPr>
          <w:rFonts w:hint="eastAsia" w:ascii="宋体" w:hAnsi="宋体"/>
          <w:kern w:val="44"/>
        </w:rPr>
        <w:t>（四）包括经备案的测绘成果、房地产开发项目手册、销售机构和销售人员情况、住宅小区建设方案、房屋装饰装修及相关设备设施的交付使用情况、前期物业服务等内容的商品房预售方案；</w:t>
      </w:r>
    </w:p>
    <w:p w14:paraId="005E0EE7">
      <w:pPr>
        <w:jc w:val="left"/>
        <w:rPr>
          <w:rFonts w:ascii="宋体" w:hAnsi="宋体"/>
          <w:kern w:val="44"/>
        </w:rPr>
      </w:pPr>
      <w:r>
        <w:rPr>
          <w:rFonts w:hint="eastAsia" w:ascii="宋体" w:hAnsi="宋体"/>
          <w:kern w:val="44"/>
        </w:rPr>
        <w:t>（五）已将土地使用权或者土地使用权连同在建工程设定抵押的，提交抵押权人同意抵押房屋转让的证明。</w:t>
      </w:r>
    </w:p>
    <w:p w14:paraId="7CD7ED4D">
      <w:pPr>
        <w:jc w:val="left"/>
        <w:rPr>
          <w:rFonts w:ascii="宋体" w:hAnsi="宋体"/>
          <w:kern w:val="44"/>
        </w:rPr>
      </w:pPr>
      <w:r>
        <w:rPr>
          <w:rFonts w:hint="eastAsia" w:ascii="宋体" w:hAnsi="宋体"/>
          <w:kern w:val="44"/>
        </w:rPr>
        <w:t>房地产开发企业申请办理经济适用住房预售许可的，还应当提交经济适用住房销售价格的批准文件。</w:t>
      </w:r>
    </w:p>
    <w:p w14:paraId="170A5577">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市房地产行政主管部门应当审核商品房预售申请，对申请人提交的文件不齐备的，应当一次性告知需补充提交的全部文件；对提交文件齐备的，应当即时受理。</w:t>
      </w:r>
    </w:p>
    <w:p w14:paraId="3A925BE4">
      <w:pPr>
        <w:jc w:val="left"/>
        <w:rPr>
          <w:rFonts w:ascii="宋体" w:hAnsi="宋体"/>
          <w:kern w:val="44"/>
        </w:rPr>
      </w:pPr>
      <w:r>
        <w:rPr>
          <w:rFonts w:hint="eastAsia" w:ascii="宋体" w:hAnsi="宋体"/>
          <w:kern w:val="44"/>
        </w:rPr>
        <w:t>对符合本办法第二十九条规定的，市房地产行政主管部门应当自受理商品房预售申请之日起10个工作日内核发商品房预售许可证；对不符合预售条件的，应当作出不同意预售的决定并说明理由。</w:t>
      </w:r>
    </w:p>
    <w:p w14:paraId="6859F9D3">
      <w:pPr>
        <w:jc w:val="left"/>
        <w:rPr>
          <w:rFonts w:ascii="宋体" w:hAnsi="宋体"/>
          <w:kern w:val="44"/>
        </w:rPr>
      </w:pPr>
      <w:r>
        <w:rPr>
          <w:rFonts w:hint="eastAsia" w:ascii="宋体" w:hAnsi="宋体"/>
          <w:kern w:val="44"/>
        </w:rPr>
        <w:t>市房地产行政主管部门应当将核发预售许可证的情况予以公布。</w:t>
      </w:r>
    </w:p>
    <w:p w14:paraId="005511B7">
      <w:pPr>
        <w:ind w:firstLine="422"/>
        <w:jc w:val="left"/>
        <w:rPr>
          <w:rFonts w:ascii="宋体" w:hAnsi="宋体"/>
          <w:kern w:val="44"/>
        </w:rPr>
      </w:pPr>
      <w:r>
        <w:rPr>
          <w:rFonts w:hint="eastAsia" w:ascii="宋体" w:hAnsi="宋体"/>
          <w:b/>
          <w:kern w:val="44"/>
        </w:rPr>
        <w:t>第三十二条</w:t>
      </w:r>
      <w:r>
        <w:rPr>
          <w:rFonts w:hint="eastAsia" w:ascii="宋体" w:hAnsi="宋体"/>
          <w:kern w:val="44"/>
        </w:rPr>
        <w:t>　商品房预售许可证应当载明下列内容：</w:t>
      </w:r>
    </w:p>
    <w:p w14:paraId="6785C4E4">
      <w:pPr>
        <w:jc w:val="left"/>
        <w:rPr>
          <w:rFonts w:ascii="宋体" w:hAnsi="宋体"/>
          <w:kern w:val="44"/>
        </w:rPr>
      </w:pPr>
      <w:r>
        <w:rPr>
          <w:rFonts w:hint="eastAsia" w:ascii="宋体" w:hAnsi="宋体"/>
          <w:kern w:val="44"/>
        </w:rPr>
        <w:t>（一）房地产开发企业名称；</w:t>
      </w:r>
    </w:p>
    <w:p w14:paraId="18762841">
      <w:pPr>
        <w:jc w:val="left"/>
        <w:rPr>
          <w:rFonts w:ascii="宋体" w:hAnsi="宋体"/>
          <w:kern w:val="44"/>
        </w:rPr>
      </w:pPr>
      <w:r>
        <w:rPr>
          <w:rFonts w:hint="eastAsia" w:ascii="宋体" w:hAnsi="宋体"/>
          <w:kern w:val="44"/>
        </w:rPr>
        <w:t>（二）预售许可证编号；</w:t>
      </w:r>
    </w:p>
    <w:p w14:paraId="34CC625F">
      <w:pPr>
        <w:jc w:val="left"/>
        <w:rPr>
          <w:rFonts w:ascii="宋体" w:hAnsi="宋体"/>
          <w:kern w:val="44"/>
        </w:rPr>
      </w:pPr>
      <w:r>
        <w:rPr>
          <w:rFonts w:hint="eastAsia" w:ascii="宋体" w:hAnsi="宋体"/>
          <w:kern w:val="44"/>
        </w:rPr>
        <w:t>（三）预售商品房的建设工程规划许可证编号；</w:t>
      </w:r>
    </w:p>
    <w:p w14:paraId="7BDF73B6">
      <w:pPr>
        <w:jc w:val="left"/>
        <w:rPr>
          <w:rFonts w:ascii="宋体" w:hAnsi="宋体"/>
          <w:kern w:val="44"/>
        </w:rPr>
      </w:pPr>
      <w:r>
        <w:rPr>
          <w:rFonts w:hint="eastAsia" w:ascii="宋体" w:hAnsi="宋体"/>
          <w:kern w:val="44"/>
        </w:rPr>
        <w:t>（四）预售商品房的坐落位置、幢号或者楼层、面积；</w:t>
      </w:r>
    </w:p>
    <w:p w14:paraId="075090CC">
      <w:pPr>
        <w:jc w:val="left"/>
        <w:rPr>
          <w:rFonts w:ascii="宋体" w:hAnsi="宋体"/>
          <w:kern w:val="44"/>
        </w:rPr>
      </w:pPr>
      <w:r>
        <w:rPr>
          <w:rFonts w:hint="eastAsia" w:ascii="宋体" w:hAnsi="宋体"/>
          <w:kern w:val="44"/>
        </w:rPr>
        <w:t>（五）土地的用途和使用期限；</w:t>
      </w:r>
    </w:p>
    <w:p w14:paraId="40AE7F8D">
      <w:pPr>
        <w:jc w:val="left"/>
        <w:rPr>
          <w:rFonts w:ascii="宋体" w:hAnsi="宋体"/>
          <w:kern w:val="44"/>
        </w:rPr>
      </w:pPr>
      <w:r>
        <w:rPr>
          <w:rFonts w:hint="eastAsia" w:ascii="宋体" w:hAnsi="宋体"/>
          <w:kern w:val="44"/>
        </w:rPr>
        <w:t>（六）发证机关和发证日期。</w:t>
      </w:r>
    </w:p>
    <w:p w14:paraId="48A093D3">
      <w:pPr>
        <w:ind w:firstLine="422"/>
        <w:jc w:val="left"/>
        <w:rPr>
          <w:rFonts w:ascii="宋体" w:hAnsi="宋体"/>
          <w:kern w:val="44"/>
        </w:rPr>
      </w:pPr>
      <w:r>
        <w:rPr>
          <w:rFonts w:hint="eastAsia" w:ascii="宋体" w:hAnsi="宋体"/>
          <w:b/>
          <w:kern w:val="44"/>
        </w:rPr>
        <w:t>第三十三条</w:t>
      </w:r>
      <w:r>
        <w:rPr>
          <w:rFonts w:hint="eastAsia" w:ascii="宋体" w:hAnsi="宋体"/>
          <w:kern w:val="44"/>
        </w:rPr>
        <w:t>　房地产开发企业应当按照商品房预售许可证核准的内容预售商品房。预售时，房地产开发企业应当向预购人出示商品房预售许可证。</w:t>
      </w:r>
    </w:p>
    <w:p w14:paraId="06B78F02">
      <w:pPr>
        <w:jc w:val="left"/>
        <w:rPr>
          <w:rFonts w:ascii="宋体" w:hAnsi="宋体"/>
          <w:kern w:val="44"/>
        </w:rPr>
      </w:pPr>
      <w:r>
        <w:rPr>
          <w:rFonts w:hint="eastAsia" w:ascii="宋体" w:hAnsi="宋体"/>
          <w:kern w:val="44"/>
        </w:rPr>
        <w:t>任何单位和个人不得伪造、涂改、租借、转让、冒用商品房预售许可证。</w:t>
      </w:r>
    </w:p>
    <w:p w14:paraId="4EA205C4">
      <w:pPr>
        <w:ind w:firstLine="422"/>
        <w:jc w:val="left"/>
        <w:rPr>
          <w:rFonts w:ascii="宋体" w:hAnsi="宋体"/>
          <w:kern w:val="44"/>
        </w:rPr>
      </w:pPr>
      <w:r>
        <w:rPr>
          <w:rFonts w:hint="eastAsia" w:ascii="宋体" w:hAnsi="宋体"/>
          <w:b/>
          <w:kern w:val="44"/>
        </w:rPr>
        <w:t>第三十四条</w:t>
      </w:r>
      <w:r>
        <w:rPr>
          <w:rFonts w:hint="eastAsia" w:ascii="宋体" w:hAnsi="宋体"/>
          <w:kern w:val="44"/>
        </w:rPr>
        <w:t>　房地产开发企业取得商品房预售许可证后，方可发布商品房预售广告、参加房地产交易展示活动。</w:t>
      </w:r>
    </w:p>
    <w:p w14:paraId="62A222D4">
      <w:pPr>
        <w:jc w:val="left"/>
        <w:rPr>
          <w:rFonts w:ascii="宋体" w:hAnsi="宋体"/>
          <w:kern w:val="44"/>
        </w:rPr>
      </w:pPr>
      <w:r>
        <w:rPr>
          <w:rFonts w:hint="eastAsia" w:ascii="宋体" w:hAnsi="宋体"/>
          <w:kern w:val="44"/>
        </w:rPr>
        <w:t>房地产开发企业发布商品房预售广告，应当在广告中明示房地产开发企业的名称、商品房坐落位置、商品房预售许可证编号。</w:t>
      </w:r>
    </w:p>
    <w:p w14:paraId="2D767851">
      <w:pPr>
        <w:ind w:firstLine="422"/>
        <w:jc w:val="left"/>
        <w:rPr>
          <w:rFonts w:ascii="宋体" w:hAnsi="宋体"/>
          <w:kern w:val="44"/>
        </w:rPr>
      </w:pPr>
      <w:r>
        <w:rPr>
          <w:rFonts w:hint="eastAsia" w:ascii="宋体" w:hAnsi="宋体"/>
          <w:b/>
          <w:kern w:val="44"/>
        </w:rPr>
        <w:t>第三十五条</w:t>
      </w:r>
      <w:r>
        <w:rPr>
          <w:rFonts w:hint="eastAsia" w:ascii="宋体" w:hAnsi="宋体"/>
          <w:kern w:val="44"/>
        </w:rPr>
        <w:t>　房地产开发企业在预售商品住宅之前，应当公示有资质的测绘单位出具的商品房预售面积测绘技术报告书和下列分摊情况：</w:t>
      </w:r>
    </w:p>
    <w:p w14:paraId="01FF931B">
      <w:pPr>
        <w:jc w:val="left"/>
        <w:rPr>
          <w:rFonts w:ascii="宋体" w:hAnsi="宋体"/>
          <w:kern w:val="44"/>
        </w:rPr>
      </w:pPr>
      <w:r>
        <w:rPr>
          <w:rFonts w:hint="eastAsia" w:ascii="宋体" w:hAnsi="宋体"/>
          <w:kern w:val="44"/>
        </w:rPr>
        <w:t>（一）被分摊的共用部位的名称、用途、所在位置、面积；</w:t>
      </w:r>
    </w:p>
    <w:p w14:paraId="25749C61">
      <w:pPr>
        <w:jc w:val="left"/>
        <w:rPr>
          <w:rFonts w:ascii="宋体" w:hAnsi="宋体"/>
          <w:kern w:val="44"/>
        </w:rPr>
      </w:pPr>
      <w:r>
        <w:rPr>
          <w:rFonts w:hint="eastAsia" w:ascii="宋体" w:hAnsi="宋体"/>
          <w:kern w:val="44"/>
        </w:rPr>
        <w:t>（二）参与分摊共用建筑面积的商品房的名称、用途、所在位置、面积、分摊系数；</w:t>
      </w:r>
    </w:p>
    <w:p w14:paraId="5CD00B26">
      <w:pPr>
        <w:jc w:val="left"/>
        <w:rPr>
          <w:rFonts w:ascii="宋体" w:hAnsi="宋体"/>
          <w:kern w:val="44"/>
        </w:rPr>
      </w:pPr>
      <w:r>
        <w:rPr>
          <w:rFonts w:hint="eastAsia" w:ascii="宋体" w:hAnsi="宋体"/>
          <w:kern w:val="44"/>
        </w:rPr>
        <w:t>（三）不分摊的共用部位。</w:t>
      </w:r>
    </w:p>
    <w:p w14:paraId="1A6B076F">
      <w:pPr>
        <w:jc w:val="left"/>
        <w:rPr>
          <w:rFonts w:ascii="宋体" w:hAnsi="宋体"/>
          <w:kern w:val="44"/>
        </w:rPr>
      </w:pPr>
      <w:r>
        <w:rPr>
          <w:rFonts w:hint="eastAsia" w:ascii="宋体" w:hAnsi="宋体"/>
          <w:kern w:val="44"/>
        </w:rPr>
        <w:t>共用建筑面积的分摊情况经公示并与第一个预购人签订预售合同后，房地产开发企业不得更改。房地产开发企业与预购人签订的预售合同中应当附有上述经公示的共用建筑面积分摊的内容。</w:t>
      </w:r>
    </w:p>
    <w:p w14:paraId="6754CC04">
      <w:pPr>
        <w:jc w:val="left"/>
        <w:rPr>
          <w:rFonts w:ascii="宋体" w:hAnsi="宋体"/>
          <w:kern w:val="44"/>
        </w:rPr>
      </w:pPr>
      <w:r>
        <w:rPr>
          <w:rFonts w:hint="eastAsia" w:ascii="宋体" w:hAnsi="宋体"/>
          <w:kern w:val="44"/>
        </w:rPr>
        <w:t>其他商品房预售时，房地产开发企业应当明示共用建筑面积分摊情况。</w:t>
      </w:r>
    </w:p>
    <w:p w14:paraId="05C34461">
      <w:pPr>
        <w:ind w:firstLine="422"/>
        <w:jc w:val="left"/>
        <w:rPr>
          <w:rFonts w:ascii="宋体" w:hAnsi="宋体"/>
          <w:kern w:val="44"/>
        </w:rPr>
      </w:pPr>
      <w:r>
        <w:rPr>
          <w:rFonts w:hint="eastAsia" w:ascii="宋体" w:hAnsi="宋体"/>
          <w:b/>
          <w:kern w:val="44"/>
        </w:rPr>
        <w:t>第三十六条</w:t>
      </w:r>
      <w:r>
        <w:rPr>
          <w:rFonts w:hint="eastAsia" w:ascii="宋体" w:hAnsi="宋体"/>
          <w:kern w:val="44"/>
        </w:rPr>
        <w:t>　预售商品房的，当事人应当签订书面合同。商品房预售合同应当包括下列内容：</w:t>
      </w:r>
    </w:p>
    <w:p w14:paraId="552E1C76">
      <w:pPr>
        <w:jc w:val="left"/>
        <w:rPr>
          <w:rFonts w:ascii="宋体" w:hAnsi="宋体"/>
          <w:kern w:val="44"/>
        </w:rPr>
      </w:pPr>
      <w:r>
        <w:rPr>
          <w:rFonts w:hint="eastAsia" w:ascii="宋体" w:hAnsi="宋体"/>
          <w:kern w:val="44"/>
        </w:rPr>
        <w:t>（一）房地产开发企业和预购人名称或者姓名、住所；</w:t>
      </w:r>
    </w:p>
    <w:p w14:paraId="49399DDF">
      <w:pPr>
        <w:jc w:val="left"/>
        <w:rPr>
          <w:rFonts w:ascii="宋体" w:hAnsi="宋体"/>
          <w:kern w:val="44"/>
        </w:rPr>
      </w:pPr>
      <w:r>
        <w:rPr>
          <w:rFonts w:hint="eastAsia" w:ascii="宋体" w:hAnsi="宋体"/>
          <w:kern w:val="44"/>
        </w:rPr>
        <w:t>（二）商品房预售许可证编号；</w:t>
      </w:r>
    </w:p>
    <w:p w14:paraId="113B5E2F">
      <w:pPr>
        <w:jc w:val="left"/>
        <w:rPr>
          <w:rFonts w:ascii="宋体" w:hAnsi="宋体"/>
          <w:kern w:val="44"/>
        </w:rPr>
      </w:pPr>
      <w:r>
        <w:rPr>
          <w:rFonts w:hint="eastAsia" w:ascii="宋体" w:hAnsi="宋体"/>
          <w:kern w:val="44"/>
        </w:rPr>
        <w:t>（三）商品房的坐落位置、结构、层高、建筑层数、阳台封闭情况；</w:t>
      </w:r>
    </w:p>
    <w:p w14:paraId="676D1A04">
      <w:pPr>
        <w:jc w:val="left"/>
        <w:rPr>
          <w:rFonts w:ascii="宋体" w:hAnsi="宋体"/>
          <w:kern w:val="44"/>
        </w:rPr>
      </w:pPr>
      <w:r>
        <w:rPr>
          <w:rFonts w:hint="eastAsia" w:ascii="宋体" w:hAnsi="宋体"/>
          <w:kern w:val="44"/>
        </w:rPr>
        <w:t>（四）商品房的用途；</w:t>
      </w:r>
    </w:p>
    <w:p w14:paraId="26A70AA2">
      <w:pPr>
        <w:jc w:val="left"/>
        <w:rPr>
          <w:rFonts w:ascii="宋体" w:hAnsi="宋体"/>
          <w:kern w:val="44"/>
        </w:rPr>
      </w:pPr>
      <w:r>
        <w:rPr>
          <w:rFonts w:hint="eastAsia" w:ascii="宋体" w:hAnsi="宋体"/>
          <w:kern w:val="44"/>
        </w:rPr>
        <w:t>（五）土地使用权取得方式和期限；</w:t>
      </w:r>
    </w:p>
    <w:p w14:paraId="3FEEE190">
      <w:pPr>
        <w:jc w:val="left"/>
        <w:rPr>
          <w:rFonts w:ascii="宋体" w:hAnsi="宋体"/>
          <w:kern w:val="44"/>
        </w:rPr>
      </w:pPr>
      <w:r>
        <w:rPr>
          <w:rFonts w:hint="eastAsia" w:ascii="宋体" w:hAnsi="宋体"/>
          <w:kern w:val="44"/>
        </w:rPr>
        <w:t>（六）预售的建筑面积、套内建筑面积和分摊的共用建筑面积；</w:t>
      </w:r>
    </w:p>
    <w:p w14:paraId="716B7344">
      <w:pPr>
        <w:jc w:val="left"/>
        <w:rPr>
          <w:rFonts w:ascii="宋体" w:hAnsi="宋体"/>
          <w:kern w:val="44"/>
        </w:rPr>
      </w:pPr>
      <w:r>
        <w:rPr>
          <w:rFonts w:hint="eastAsia" w:ascii="宋体" w:hAnsi="宋体"/>
          <w:kern w:val="44"/>
        </w:rPr>
        <w:t>（七）预售的面积和实测面积误差的处理方式；</w:t>
      </w:r>
    </w:p>
    <w:p w14:paraId="24D2E014">
      <w:pPr>
        <w:jc w:val="left"/>
        <w:rPr>
          <w:rFonts w:ascii="宋体" w:hAnsi="宋体"/>
          <w:kern w:val="44"/>
        </w:rPr>
      </w:pPr>
      <w:r>
        <w:rPr>
          <w:rFonts w:hint="eastAsia" w:ascii="宋体" w:hAnsi="宋体"/>
          <w:kern w:val="44"/>
        </w:rPr>
        <w:t>（八）商品房附属设备和装修标准；</w:t>
      </w:r>
    </w:p>
    <w:p w14:paraId="504BE548">
      <w:pPr>
        <w:jc w:val="left"/>
        <w:rPr>
          <w:rFonts w:ascii="宋体" w:hAnsi="宋体"/>
          <w:kern w:val="44"/>
        </w:rPr>
      </w:pPr>
      <w:r>
        <w:rPr>
          <w:rFonts w:hint="eastAsia" w:ascii="宋体" w:hAnsi="宋体"/>
          <w:kern w:val="44"/>
        </w:rPr>
        <w:t>（九）交付条件和日期；</w:t>
      </w:r>
    </w:p>
    <w:p w14:paraId="6A91B704">
      <w:pPr>
        <w:jc w:val="left"/>
        <w:rPr>
          <w:rFonts w:ascii="宋体" w:hAnsi="宋体"/>
          <w:kern w:val="44"/>
        </w:rPr>
      </w:pPr>
      <w:r>
        <w:rPr>
          <w:rFonts w:hint="eastAsia" w:ascii="宋体" w:hAnsi="宋体"/>
          <w:kern w:val="44"/>
        </w:rPr>
        <w:t>（十）供水、供电、供热、燃气、通讯、道路、绿化等配套设施的交付承诺；</w:t>
      </w:r>
    </w:p>
    <w:p w14:paraId="7AA7DF8D">
      <w:pPr>
        <w:jc w:val="left"/>
        <w:rPr>
          <w:rFonts w:ascii="宋体" w:hAnsi="宋体"/>
          <w:kern w:val="44"/>
        </w:rPr>
      </w:pPr>
      <w:r>
        <w:rPr>
          <w:rFonts w:hint="eastAsia" w:ascii="宋体" w:hAnsi="宋体"/>
          <w:kern w:val="44"/>
        </w:rPr>
        <w:t>（十一）共用部位、共用设备设施所在位置、用途、交付使用时间；</w:t>
      </w:r>
    </w:p>
    <w:p w14:paraId="4250D469">
      <w:pPr>
        <w:jc w:val="left"/>
        <w:rPr>
          <w:rFonts w:ascii="宋体" w:hAnsi="宋体"/>
          <w:kern w:val="44"/>
        </w:rPr>
      </w:pPr>
      <w:r>
        <w:rPr>
          <w:rFonts w:hint="eastAsia" w:ascii="宋体" w:hAnsi="宋体"/>
          <w:kern w:val="44"/>
        </w:rPr>
        <w:t>（十二）申请办理商品房权属转移登记手续的约定；</w:t>
      </w:r>
    </w:p>
    <w:p w14:paraId="45DD8321">
      <w:pPr>
        <w:jc w:val="left"/>
        <w:rPr>
          <w:rFonts w:ascii="宋体" w:hAnsi="宋体"/>
          <w:kern w:val="44"/>
        </w:rPr>
      </w:pPr>
      <w:r>
        <w:rPr>
          <w:rFonts w:hint="eastAsia" w:ascii="宋体" w:hAnsi="宋体"/>
          <w:kern w:val="44"/>
        </w:rPr>
        <w:t>（十三）违约责任；</w:t>
      </w:r>
    </w:p>
    <w:p w14:paraId="1B5823C6">
      <w:pPr>
        <w:jc w:val="left"/>
        <w:rPr>
          <w:rFonts w:ascii="宋体" w:hAnsi="宋体"/>
          <w:kern w:val="44"/>
        </w:rPr>
      </w:pPr>
      <w:r>
        <w:rPr>
          <w:rFonts w:hint="eastAsia" w:ascii="宋体" w:hAnsi="宋体"/>
          <w:kern w:val="44"/>
        </w:rPr>
        <w:t>（十四）争议解决方式；</w:t>
      </w:r>
    </w:p>
    <w:p w14:paraId="07762D1C">
      <w:pPr>
        <w:jc w:val="left"/>
        <w:rPr>
          <w:rFonts w:ascii="宋体" w:hAnsi="宋体"/>
          <w:kern w:val="44"/>
        </w:rPr>
      </w:pPr>
      <w:r>
        <w:rPr>
          <w:rFonts w:hint="eastAsia" w:ascii="宋体" w:hAnsi="宋体"/>
          <w:kern w:val="44"/>
        </w:rPr>
        <w:t>（十五）当事人约定的其他内容。</w:t>
      </w:r>
    </w:p>
    <w:p w14:paraId="21C24285">
      <w:pPr>
        <w:ind w:firstLine="422"/>
        <w:jc w:val="left"/>
        <w:rPr>
          <w:rFonts w:ascii="宋体" w:hAnsi="宋体"/>
          <w:kern w:val="44"/>
        </w:rPr>
      </w:pPr>
      <w:r>
        <w:rPr>
          <w:rFonts w:hint="eastAsia" w:ascii="宋体" w:hAnsi="宋体"/>
          <w:b/>
          <w:kern w:val="44"/>
        </w:rPr>
        <w:t>第三十七条</w:t>
      </w:r>
      <w:r>
        <w:rPr>
          <w:rFonts w:hint="eastAsia" w:ascii="宋体" w:hAnsi="宋体"/>
          <w:kern w:val="44"/>
        </w:rPr>
        <w:t>　房地产开发企业在签订合同前收取预付款性质的费用的，在签订预售合同时，所收费用应当抵作房价款；未能签订预售合同的，房地产开发企业应当向预购人返还所收费用。</w:t>
      </w:r>
    </w:p>
    <w:p w14:paraId="40F7CA54">
      <w:pPr>
        <w:ind w:firstLine="422"/>
        <w:jc w:val="left"/>
        <w:rPr>
          <w:rFonts w:ascii="宋体" w:hAnsi="宋体"/>
          <w:kern w:val="44"/>
        </w:rPr>
      </w:pPr>
      <w:r>
        <w:rPr>
          <w:rFonts w:hint="eastAsia" w:ascii="宋体" w:hAnsi="宋体"/>
          <w:b/>
          <w:kern w:val="44"/>
        </w:rPr>
        <w:t>第三十八条</w:t>
      </w:r>
      <w:r>
        <w:rPr>
          <w:rFonts w:hint="eastAsia" w:ascii="宋体" w:hAnsi="宋体"/>
          <w:kern w:val="44"/>
        </w:rPr>
        <w:t>　房地产开发企业在与预购人依法解除预售合同之前，不得与他人签订同一商品房的预售合同。</w:t>
      </w:r>
    </w:p>
    <w:p w14:paraId="1CAFA7BA">
      <w:pPr>
        <w:ind w:firstLine="422"/>
        <w:jc w:val="left"/>
        <w:rPr>
          <w:rFonts w:ascii="宋体" w:hAnsi="宋体"/>
          <w:kern w:val="44"/>
        </w:rPr>
      </w:pPr>
      <w:r>
        <w:rPr>
          <w:rFonts w:hint="eastAsia" w:ascii="宋体" w:hAnsi="宋体"/>
          <w:b/>
          <w:kern w:val="44"/>
        </w:rPr>
        <w:t>第三十九条</w:t>
      </w:r>
      <w:r>
        <w:rPr>
          <w:rFonts w:hint="eastAsia" w:ascii="宋体" w:hAnsi="宋体"/>
          <w:kern w:val="44"/>
        </w:rPr>
        <w:t>　房地产开发企业预售已抵押的商品房，应当征得抵押权人同意，并将抵押情况以及解除抵押的条件、时间书面告知预购人。</w:t>
      </w:r>
    </w:p>
    <w:p w14:paraId="33197262">
      <w:pPr>
        <w:jc w:val="left"/>
        <w:rPr>
          <w:rFonts w:ascii="宋体" w:hAnsi="宋体"/>
          <w:kern w:val="44"/>
        </w:rPr>
      </w:pPr>
      <w:r>
        <w:rPr>
          <w:rFonts w:hint="eastAsia" w:ascii="宋体" w:hAnsi="宋体"/>
          <w:kern w:val="44"/>
        </w:rPr>
        <w:t>房地产开发企业不得将已预售的商品房进行抵押。</w:t>
      </w:r>
    </w:p>
    <w:p w14:paraId="6C4D1B21">
      <w:pPr>
        <w:ind w:firstLine="422"/>
        <w:jc w:val="left"/>
        <w:rPr>
          <w:rFonts w:ascii="宋体" w:hAnsi="宋体"/>
          <w:kern w:val="44"/>
        </w:rPr>
      </w:pPr>
      <w:r>
        <w:rPr>
          <w:rFonts w:hint="eastAsia" w:ascii="宋体" w:hAnsi="宋体"/>
          <w:b/>
          <w:kern w:val="44"/>
        </w:rPr>
        <w:t>第四十条</w:t>
      </w:r>
      <w:r>
        <w:rPr>
          <w:rFonts w:hint="eastAsia" w:ascii="宋体" w:hAnsi="宋体"/>
          <w:kern w:val="44"/>
        </w:rPr>
        <w:t>　房地产开发企业应当自商品房预售合同签订之日起30日内，向市或者区、县房地产行政主管部门申请办理预售合同登记备案手续。</w:t>
      </w:r>
    </w:p>
    <w:p w14:paraId="0C2B3A59">
      <w:pPr>
        <w:ind w:firstLine="422"/>
        <w:jc w:val="left"/>
        <w:rPr>
          <w:rFonts w:ascii="宋体" w:hAnsi="宋体"/>
          <w:kern w:val="44"/>
        </w:rPr>
      </w:pPr>
      <w:r>
        <w:rPr>
          <w:rFonts w:hint="eastAsia" w:ascii="宋体" w:hAnsi="宋体"/>
          <w:b/>
          <w:kern w:val="44"/>
        </w:rPr>
        <w:t>第四十一条</w:t>
      </w:r>
      <w:r>
        <w:rPr>
          <w:rFonts w:hint="eastAsia" w:ascii="宋体" w:hAnsi="宋体"/>
          <w:kern w:val="44"/>
        </w:rPr>
        <w:t>　商品房预售合同登记备案后，房地产开发企业与预购人变更预售标的物或者解除预售合同的，应当签订合同变更或者解除预售合同的协议，并依照本办法第四十条规定，由双方共同到原登记机关办理变更或者解除预售合同登记备案手续。</w:t>
      </w:r>
    </w:p>
    <w:p w14:paraId="22103444">
      <w:pPr>
        <w:ind w:firstLine="422"/>
        <w:jc w:val="left"/>
        <w:rPr>
          <w:rFonts w:ascii="宋体" w:hAnsi="宋体"/>
          <w:kern w:val="44"/>
        </w:rPr>
      </w:pPr>
      <w:r>
        <w:rPr>
          <w:rFonts w:hint="eastAsia" w:ascii="宋体" w:hAnsi="宋体"/>
          <w:b/>
          <w:kern w:val="44"/>
        </w:rPr>
        <w:t>第四十二条</w:t>
      </w:r>
      <w:r>
        <w:rPr>
          <w:rFonts w:hint="eastAsia" w:ascii="宋体" w:hAnsi="宋体"/>
          <w:kern w:val="44"/>
        </w:rPr>
        <w:t>　房地产行政主管部门应当加强预售项目建设和销售期间的监管，对房地产开发企业的下列违法行为，应当依法处理并督促其履行义务：</w:t>
      </w:r>
    </w:p>
    <w:p w14:paraId="711B1F78">
      <w:pPr>
        <w:jc w:val="left"/>
        <w:rPr>
          <w:rFonts w:ascii="宋体" w:hAnsi="宋体"/>
          <w:kern w:val="44"/>
        </w:rPr>
      </w:pPr>
      <w:r>
        <w:rPr>
          <w:rFonts w:hint="eastAsia" w:ascii="宋体" w:hAnsi="宋体"/>
          <w:kern w:val="44"/>
        </w:rPr>
        <w:t>（一）违规交易；</w:t>
      </w:r>
    </w:p>
    <w:p w14:paraId="14BFA150">
      <w:pPr>
        <w:jc w:val="left"/>
        <w:rPr>
          <w:rFonts w:ascii="宋体" w:hAnsi="宋体"/>
          <w:kern w:val="44"/>
        </w:rPr>
      </w:pPr>
      <w:r>
        <w:rPr>
          <w:rFonts w:hint="eastAsia" w:ascii="宋体" w:hAnsi="宋体"/>
          <w:kern w:val="44"/>
        </w:rPr>
        <w:t>（二）拖欠工程款；</w:t>
      </w:r>
    </w:p>
    <w:p w14:paraId="1C8DFF8D">
      <w:pPr>
        <w:jc w:val="left"/>
        <w:rPr>
          <w:rFonts w:ascii="宋体" w:hAnsi="宋体"/>
          <w:kern w:val="44"/>
        </w:rPr>
      </w:pPr>
      <w:r>
        <w:rPr>
          <w:rFonts w:hint="eastAsia" w:ascii="宋体" w:hAnsi="宋体"/>
          <w:kern w:val="44"/>
        </w:rPr>
        <w:t>（三）延期交房；</w:t>
      </w:r>
    </w:p>
    <w:p w14:paraId="5298DF0C">
      <w:pPr>
        <w:jc w:val="left"/>
        <w:rPr>
          <w:rFonts w:ascii="宋体" w:hAnsi="宋体"/>
          <w:kern w:val="44"/>
        </w:rPr>
      </w:pPr>
      <w:r>
        <w:rPr>
          <w:rFonts w:hint="eastAsia" w:ascii="宋体" w:hAnsi="宋体"/>
          <w:kern w:val="44"/>
        </w:rPr>
        <w:t>（四）未同步建设配套公共服务设施；</w:t>
      </w:r>
    </w:p>
    <w:p w14:paraId="690E4C48">
      <w:pPr>
        <w:jc w:val="left"/>
        <w:rPr>
          <w:rFonts w:ascii="宋体" w:hAnsi="宋体"/>
          <w:kern w:val="44"/>
        </w:rPr>
      </w:pPr>
      <w:r>
        <w:rPr>
          <w:rFonts w:hint="eastAsia" w:ascii="宋体" w:hAnsi="宋体"/>
          <w:kern w:val="44"/>
        </w:rPr>
        <w:t>（五）建设工程出现质量问题；</w:t>
      </w:r>
    </w:p>
    <w:p w14:paraId="6EC34252">
      <w:pPr>
        <w:jc w:val="left"/>
        <w:rPr>
          <w:rFonts w:ascii="宋体" w:hAnsi="宋体"/>
          <w:kern w:val="44"/>
        </w:rPr>
      </w:pPr>
      <w:r>
        <w:rPr>
          <w:rFonts w:hint="eastAsia" w:ascii="宋体" w:hAnsi="宋体"/>
          <w:kern w:val="44"/>
        </w:rPr>
        <w:t>（六）其他不依法履行合同的行为。</w:t>
      </w:r>
    </w:p>
    <w:p w14:paraId="774EB684">
      <w:pPr>
        <w:ind w:firstLine="422"/>
        <w:jc w:val="left"/>
        <w:rPr>
          <w:rFonts w:ascii="宋体" w:hAnsi="宋体"/>
          <w:kern w:val="44"/>
        </w:rPr>
      </w:pPr>
      <w:r>
        <w:rPr>
          <w:rFonts w:hint="eastAsia" w:ascii="宋体" w:hAnsi="宋体"/>
          <w:b/>
          <w:kern w:val="44"/>
        </w:rPr>
        <w:t>第四十三条</w:t>
      </w:r>
      <w:r>
        <w:rPr>
          <w:rFonts w:hint="eastAsia" w:ascii="宋体" w:hAnsi="宋体"/>
          <w:kern w:val="44"/>
        </w:rPr>
        <w:t>　房地产开发企业应当按照规划行政主管部门核发的建设工程规划许可证的规定建设商品房，不得擅自变更。</w:t>
      </w:r>
    </w:p>
    <w:p w14:paraId="42CE8CE5">
      <w:pPr>
        <w:jc w:val="left"/>
        <w:rPr>
          <w:rFonts w:ascii="宋体" w:hAnsi="宋体"/>
          <w:kern w:val="44"/>
        </w:rPr>
      </w:pPr>
      <w:r>
        <w:rPr>
          <w:rFonts w:hint="eastAsia" w:ascii="宋体" w:hAnsi="宋体"/>
          <w:kern w:val="44"/>
        </w:rPr>
        <w:t>房地产开发企业确需变更规划许可证规定内容的，应当书面征得受影响的预购人同意，并取得规划行政主管部门的批准。因规划变更给预购人的权益造成损失的，房地产开发企业应当给予相应的补偿。</w:t>
      </w:r>
    </w:p>
    <w:p w14:paraId="1398DAF9">
      <w:pPr>
        <w:ind w:firstLine="422"/>
        <w:jc w:val="left"/>
        <w:rPr>
          <w:rFonts w:ascii="宋体" w:hAnsi="宋体"/>
          <w:kern w:val="44"/>
        </w:rPr>
      </w:pPr>
      <w:r>
        <w:rPr>
          <w:rFonts w:hint="eastAsia" w:ascii="宋体" w:hAnsi="宋体"/>
          <w:b/>
          <w:kern w:val="44"/>
        </w:rPr>
        <w:t>第四十四条</w:t>
      </w:r>
      <w:r>
        <w:rPr>
          <w:rFonts w:hint="eastAsia" w:ascii="宋体" w:hAnsi="宋体"/>
          <w:kern w:val="44"/>
        </w:rPr>
        <w:t>　预购人在预售合同登记备案后、商品房竣工前转让其预购的商品房的，按照下列规定办理：</w:t>
      </w:r>
    </w:p>
    <w:p w14:paraId="21D67B78">
      <w:pPr>
        <w:jc w:val="left"/>
        <w:rPr>
          <w:rFonts w:ascii="宋体" w:hAnsi="宋体"/>
          <w:kern w:val="44"/>
        </w:rPr>
      </w:pPr>
      <w:r>
        <w:rPr>
          <w:rFonts w:hint="eastAsia" w:ascii="宋体" w:hAnsi="宋体"/>
          <w:kern w:val="44"/>
        </w:rPr>
        <w:t>（一）未付清预售商品房预售合同约定的总价款的，预购人应当取得房地产开发企业同意；</w:t>
      </w:r>
    </w:p>
    <w:p w14:paraId="55534F2B">
      <w:pPr>
        <w:jc w:val="left"/>
        <w:rPr>
          <w:rFonts w:ascii="宋体" w:hAnsi="宋体"/>
          <w:kern w:val="44"/>
        </w:rPr>
      </w:pPr>
      <w:r>
        <w:rPr>
          <w:rFonts w:hint="eastAsia" w:ascii="宋体" w:hAnsi="宋体"/>
          <w:kern w:val="44"/>
        </w:rPr>
        <w:t>（二）已付清预售商品房预售合同约定的总价款的，预购人应当将其转让预购商品房的情况书面通知房地产开发企业。</w:t>
      </w:r>
    </w:p>
    <w:p w14:paraId="030AA639">
      <w:pPr>
        <w:jc w:val="left"/>
        <w:rPr>
          <w:rFonts w:ascii="宋体" w:hAnsi="宋体"/>
          <w:kern w:val="44"/>
        </w:rPr>
      </w:pPr>
      <w:r>
        <w:rPr>
          <w:rFonts w:hint="eastAsia" w:ascii="宋体" w:hAnsi="宋体"/>
          <w:kern w:val="44"/>
        </w:rPr>
        <w:t>转让预购的商品房的，预购人与受让人应当签订书面合同，并在合同签订后15日内依照本办法第四十条的规定到原登记机关申请变更预售合同登记备案。</w:t>
      </w:r>
    </w:p>
    <w:p w14:paraId="1DCEFE57">
      <w:pPr>
        <w:ind w:firstLine="422"/>
        <w:jc w:val="left"/>
        <w:rPr>
          <w:rFonts w:ascii="宋体" w:hAnsi="宋体"/>
          <w:kern w:val="44"/>
        </w:rPr>
      </w:pPr>
      <w:r>
        <w:rPr>
          <w:rFonts w:hint="eastAsia" w:ascii="宋体" w:hAnsi="宋体"/>
          <w:b/>
          <w:kern w:val="44"/>
        </w:rPr>
        <w:t>第四十五条</w:t>
      </w:r>
      <w:r>
        <w:rPr>
          <w:rFonts w:hint="eastAsia" w:ascii="宋体" w:hAnsi="宋体"/>
          <w:kern w:val="44"/>
        </w:rPr>
        <w:t>　房地产开发企业预售商品房时设置样板间的，在签订预售合同前没有告知预购人实际交付的商品房质量、设备、装修标准、布局结构及其附属设施等与样板间是否一致的，实际交付的商品房应当与样板间一致。</w:t>
      </w:r>
    </w:p>
    <w:p w14:paraId="43EF2E9B">
      <w:pPr>
        <w:ind w:firstLine="422"/>
        <w:jc w:val="left"/>
        <w:rPr>
          <w:rFonts w:ascii="宋体" w:hAnsi="宋体"/>
          <w:kern w:val="44"/>
        </w:rPr>
      </w:pPr>
      <w:r>
        <w:rPr>
          <w:rFonts w:hint="eastAsia" w:ascii="宋体" w:hAnsi="宋体"/>
          <w:b/>
          <w:kern w:val="44"/>
        </w:rPr>
        <w:t>第四十六条</w:t>
      </w:r>
      <w:r>
        <w:rPr>
          <w:rFonts w:hint="eastAsia" w:ascii="宋体" w:hAnsi="宋体"/>
          <w:kern w:val="44"/>
        </w:rPr>
        <w:t>　商品房竣工后，房地产开发企业应当委托有资质的测绘单位对每套房屋的建筑面积、套内建筑面积和分摊的共用建筑面积进行测绘，并提供下列文件：</w:t>
      </w:r>
    </w:p>
    <w:p w14:paraId="395BA128">
      <w:pPr>
        <w:jc w:val="left"/>
        <w:rPr>
          <w:rFonts w:ascii="宋体" w:hAnsi="宋体"/>
          <w:kern w:val="44"/>
        </w:rPr>
      </w:pPr>
      <w:r>
        <w:rPr>
          <w:rFonts w:hint="eastAsia" w:ascii="宋体" w:hAnsi="宋体"/>
          <w:kern w:val="44"/>
        </w:rPr>
        <w:t>（一）商品房预售面积测绘技术报告书。</w:t>
      </w:r>
    </w:p>
    <w:p w14:paraId="50CCA738">
      <w:pPr>
        <w:jc w:val="left"/>
        <w:rPr>
          <w:rFonts w:ascii="宋体" w:hAnsi="宋体"/>
          <w:kern w:val="44"/>
        </w:rPr>
      </w:pPr>
      <w:r>
        <w:rPr>
          <w:rFonts w:hint="eastAsia" w:ascii="宋体" w:hAnsi="宋体"/>
          <w:kern w:val="44"/>
        </w:rPr>
        <w:t>（二）商品房共用建筑面积分摊情况的说明文件。属于商品住宅的，说明文件的内容应当与依照本办法第三十五条规定公示的内容一致；根据本办法第四十三条第二款规定变更建设工程规划许可证内容，致使分摊的共用建筑面积情况发生变更的，还应当提供相应的批准规划变更的文件。</w:t>
      </w:r>
    </w:p>
    <w:p w14:paraId="217C1DBD">
      <w:pPr>
        <w:jc w:val="left"/>
        <w:rPr>
          <w:rFonts w:ascii="宋体" w:hAnsi="宋体"/>
          <w:kern w:val="44"/>
        </w:rPr>
      </w:pPr>
      <w:r>
        <w:rPr>
          <w:rFonts w:hint="eastAsia" w:ascii="宋体" w:hAnsi="宋体"/>
          <w:kern w:val="44"/>
        </w:rPr>
        <w:t>受委托的测绘单位应当按照国家和本市有关技术规范进行实测，并出具商品房面积实测技术报告书和每套房屋的面积实测数据表。测绘单位对测绘成果质量承担责任。</w:t>
      </w:r>
    </w:p>
    <w:p w14:paraId="2AD9987D">
      <w:pPr>
        <w:jc w:val="left"/>
        <w:rPr>
          <w:rFonts w:ascii="宋体" w:hAnsi="宋体"/>
          <w:kern w:val="44"/>
        </w:rPr>
      </w:pPr>
      <w:r>
        <w:rPr>
          <w:rFonts w:hint="eastAsia" w:ascii="宋体" w:hAnsi="宋体"/>
          <w:kern w:val="44"/>
        </w:rPr>
        <w:t>房地产开发企业应当允许购房人查询商品房面积实测技术报告书。</w:t>
      </w:r>
    </w:p>
    <w:p w14:paraId="3A6440D3">
      <w:pPr>
        <w:ind w:firstLine="422"/>
        <w:jc w:val="left"/>
        <w:rPr>
          <w:rFonts w:ascii="宋体" w:hAnsi="宋体"/>
          <w:kern w:val="44"/>
        </w:rPr>
      </w:pPr>
      <w:r>
        <w:rPr>
          <w:rFonts w:hint="eastAsia" w:ascii="宋体" w:hAnsi="宋体"/>
          <w:b/>
          <w:kern w:val="44"/>
        </w:rPr>
        <w:t>第四十七条</w:t>
      </w:r>
      <w:r>
        <w:rPr>
          <w:rFonts w:hint="eastAsia" w:ascii="宋体" w:hAnsi="宋体"/>
          <w:kern w:val="44"/>
        </w:rPr>
        <w:t>　预售商品房按照套内建筑面积计价的，预售合同中载明的预售的套内建筑面积与实测的套内建筑面积发生误差时，按照合同约定的方式处理。合同中未作约定或者约定不明的，按照下列规定处理：</w:t>
      </w:r>
    </w:p>
    <w:p w14:paraId="5D80E114">
      <w:pPr>
        <w:jc w:val="left"/>
        <w:rPr>
          <w:rFonts w:ascii="宋体" w:hAnsi="宋体"/>
          <w:kern w:val="44"/>
        </w:rPr>
      </w:pPr>
      <w:r>
        <w:rPr>
          <w:rFonts w:hint="eastAsia" w:ascii="宋体" w:hAnsi="宋体"/>
          <w:kern w:val="44"/>
        </w:rPr>
        <w:t>（一）面积误差比绝对值在3％ 以内（含3％）的，根据实测面积结算房价款。</w:t>
      </w:r>
    </w:p>
    <w:p w14:paraId="04738DF1">
      <w:pPr>
        <w:jc w:val="left"/>
        <w:rPr>
          <w:rFonts w:ascii="宋体" w:hAnsi="宋体"/>
          <w:kern w:val="44"/>
        </w:rPr>
      </w:pPr>
      <w:r>
        <w:rPr>
          <w:rFonts w:hint="eastAsia" w:ascii="宋体" w:hAnsi="宋体"/>
          <w:kern w:val="44"/>
        </w:rPr>
        <w:t>（二）面积误差比绝对值超出3％的，预购人有权退房。预购人退房的，房地产开发企业应当在预购人提出书面退房要求之日起30日内退还预购人已付房价款及其利息。预购人不退房的，实测面积大于合同约定的，面积误差比在3％以内（含3％）部分的房价款由预购人补足；超出3％部分的房价款由房地产开发企业承担，产权归预购人。实测面积小于合同约定的，面积误差比绝对值在3％以内（含3％）部分的房价款由房地产开发企业返还预购人；超出3％部分的房价款由房地产开发企业双倍返还预购人。</w:t>
      </w:r>
    </w:p>
    <w:p w14:paraId="25F9F05C">
      <w:pPr>
        <w:jc w:val="left"/>
        <w:rPr>
          <w:rFonts w:ascii="宋体" w:hAnsi="宋体"/>
          <w:kern w:val="44"/>
        </w:rPr>
      </w:pPr>
      <w:r>
        <w:rPr>
          <w:rFonts w:hint="eastAsia" w:ascii="宋体" w:hAnsi="宋体"/>
          <w:kern w:val="44"/>
        </w:rPr>
        <w:t>本办法所称的面积误差比等于实测面积与合同约定面积之差除以合同约定面积乘以100％。</w:t>
      </w:r>
    </w:p>
    <w:p w14:paraId="4F32827C">
      <w:pPr>
        <w:ind w:firstLine="422"/>
        <w:jc w:val="left"/>
        <w:rPr>
          <w:rFonts w:ascii="宋体" w:hAnsi="宋体"/>
          <w:kern w:val="44"/>
        </w:rPr>
      </w:pPr>
      <w:r>
        <w:rPr>
          <w:rFonts w:hint="eastAsia" w:ascii="宋体" w:hAnsi="宋体"/>
          <w:b/>
          <w:kern w:val="44"/>
        </w:rPr>
        <w:t>第四十八条</w:t>
      </w:r>
      <w:r>
        <w:rPr>
          <w:rFonts w:hint="eastAsia" w:ascii="宋体" w:hAnsi="宋体"/>
          <w:kern w:val="44"/>
        </w:rPr>
        <w:t>　预售商品房按照建筑面积计价的，预售合同中载明的预售建筑面积、套内建筑面积与实测面积发生误差时，按照合同约定的方式处理。合同未作约定或者约定不明的，按照下列规定处理：</w:t>
      </w:r>
    </w:p>
    <w:p w14:paraId="09DF7393">
      <w:pPr>
        <w:jc w:val="left"/>
        <w:rPr>
          <w:rFonts w:ascii="宋体" w:hAnsi="宋体"/>
          <w:kern w:val="44"/>
        </w:rPr>
      </w:pPr>
      <w:r>
        <w:rPr>
          <w:rFonts w:hint="eastAsia" w:ascii="宋体" w:hAnsi="宋体"/>
          <w:kern w:val="44"/>
        </w:rPr>
        <w:t>（一）建筑面积、套内建筑面积误差比绝对值均在3％以内（含3％）的，根据实测面积结算房价款；</w:t>
      </w:r>
    </w:p>
    <w:p w14:paraId="4F0B4D79">
      <w:pPr>
        <w:jc w:val="left"/>
        <w:rPr>
          <w:rFonts w:ascii="宋体" w:hAnsi="宋体"/>
          <w:kern w:val="44"/>
        </w:rPr>
      </w:pPr>
      <w:r>
        <w:rPr>
          <w:rFonts w:hint="eastAsia" w:ascii="宋体" w:hAnsi="宋体"/>
          <w:kern w:val="44"/>
        </w:rPr>
        <w:t>（二）建筑面积误差比绝对值超出3％的，依照本办法第四十七条第一款第（二）项的规定执行；</w:t>
      </w:r>
    </w:p>
    <w:p w14:paraId="5B7E0AD7">
      <w:pPr>
        <w:jc w:val="left"/>
        <w:rPr>
          <w:rFonts w:ascii="宋体" w:hAnsi="宋体"/>
          <w:kern w:val="44"/>
        </w:rPr>
      </w:pPr>
      <w:r>
        <w:rPr>
          <w:rFonts w:hint="eastAsia" w:ascii="宋体" w:hAnsi="宋体"/>
          <w:kern w:val="44"/>
        </w:rPr>
        <w:t>（三）建筑面积误差比绝对值在3％以内（含3％）、套内建筑面积误差比绝对值超出3％的，购房人有权退房。预购人退房的，房地产开发企业应当在预购人提出书面退房要求之日起30日内退还预购人已付房价款及其利息；购房人不退房的，根据实测面积结算房价款。</w:t>
      </w:r>
    </w:p>
    <w:p w14:paraId="128555A8">
      <w:pPr>
        <w:ind w:firstLine="422"/>
        <w:jc w:val="left"/>
        <w:rPr>
          <w:rFonts w:ascii="宋体" w:hAnsi="宋体"/>
          <w:kern w:val="44"/>
        </w:rPr>
      </w:pPr>
      <w:r>
        <w:rPr>
          <w:rFonts w:hint="eastAsia" w:ascii="宋体" w:hAnsi="宋体"/>
          <w:b/>
          <w:kern w:val="44"/>
        </w:rPr>
        <w:t>第四十九条</w:t>
      </w:r>
      <w:r>
        <w:rPr>
          <w:rFonts w:hint="eastAsia" w:ascii="宋体" w:hAnsi="宋体"/>
          <w:kern w:val="44"/>
        </w:rPr>
        <w:t>　预售商品房按照套（单元）计价的，商品房预售合同中应当约定商品房的套型、详细尺寸和误差范围及处理方式并附平面图。</w:t>
      </w:r>
    </w:p>
    <w:p w14:paraId="47581CE3">
      <w:pPr>
        <w:jc w:val="left"/>
        <w:rPr>
          <w:rFonts w:ascii="宋体" w:hAnsi="宋体"/>
          <w:kern w:val="44"/>
        </w:rPr>
      </w:pPr>
      <w:r>
        <w:rPr>
          <w:rFonts w:hint="eastAsia" w:ascii="宋体" w:hAnsi="宋体"/>
          <w:kern w:val="44"/>
        </w:rPr>
        <w:t>按照套（单元）计价的预售商品房实际交付时，房屋的套型与设计图纸一致，相关尺寸在预售合同约定的误差范围之内的，总价款不变。套型与设计图纸不一致或者相关尺寸超出约定的误差范围的，按照合同约定的方式处理；合同未作约定的，由当事人协商解决；协商不成的，可以依法申请仲裁或者提起民事诉讼。</w:t>
      </w:r>
    </w:p>
    <w:p w14:paraId="3B2CB968">
      <w:pPr>
        <w:ind w:firstLine="422"/>
        <w:jc w:val="left"/>
        <w:rPr>
          <w:rFonts w:ascii="宋体" w:hAnsi="宋体"/>
          <w:kern w:val="44"/>
        </w:rPr>
      </w:pPr>
      <w:r>
        <w:rPr>
          <w:rFonts w:hint="eastAsia" w:ascii="宋体" w:hAnsi="宋体"/>
          <w:b/>
          <w:kern w:val="44"/>
        </w:rPr>
        <w:t>第五十条</w:t>
      </w:r>
      <w:r>
        <w:rPr>
          <w:rFonts w:hint="eastAsia" w:ascii="宋体" w:hAnsi="宋体"/>
          <w:kern w:val="44"/>
        </w:rPr>
        <w:t>　房地产开发企业交付预售商品房，应当符合下列条件：</w:t>
      </w:r>
    </w:p>
    <w:p w14:paraId="45F65015">
      <w:pPr>
        <w:jc w:val="left"/>
        <w:rPr>
          <w:rFonts w:ascii="宋体" w:hAnsi="宋体"/>
          <w:kern w:val="44"/>
        </w:rPr>
      </w:pPr>
      <w:r>
        <w:rPr>
          <w:rFonts w:hint="eastAsia" w:ascii="宋体" w:hAnsi="宋体"/>
          <w:kern w:val="44"/>
        </w:rPr>
        <w:t>（一）取得建筑工程竣工验收备案表；</w:t>
      </w:r>
    </w:p>
    <w:p w14:paraId="6C83A447">
      <w:pPr>
        <w:jc w:val="left"/>
        <w:rPr>
          <w:rFonts w:ascii="宋体" w:hAnsi="宋体"/>
          <w:kern w:val="44"/>
        </w:rPr>
      </w:pPr>
      <w:r>
        <w:rPr>
          <w:rFonts w:hint="eastAsia" w:ascii="宋体" w:hAnsi="宋体"/>
          <w:kern w:val="44"/>
        </w:rPr>
        <w:t>（二）取得商品房面积实测技术报告书；</w:t>
      </w:r>
    </w:p>
    <w:p w14:paraId="6AABE8CA">
      <w:pPr>
        <w:jc w:val="left"/>
        <w:rPr>
          <w:rFonts w:ascii="宋体" w:hAnsi="宋体"/>
          <w:kern w:val="44"/>
        </w:rPr>
      </w:pPr>
      <w:r>
        <w:rPr>
          <w:rFonts w:hint="eastAsia" w:ascii="宋体" w:hAnsi="宋体"/>
          <w:kern w:val="44"/>
        </w:rPr>
        <w:t>（三）预售合同约定的其他交付条件。</w:t>
      </w:r>
    </w:p>
    <w:p w14:paraId="5024F884">
      <w:pPr>
        <w:jc w:val="left"/>
        <w:rPr>
          <w:rFonts w:ascii="宋体" w:hAnsi="宋体"/>
          <w:kern w:val="44"/>
        </w:rPr>
      </w:pPr>
      <w:r>
        <w:rPr>
          <w:rFonts w:hint="eastAsia" w:ascii="宋体" w:hAnsi="宋体"/>
          <w:kern w:val="44"/>
        </w:rPr>
        <w:t>房地产开发企业应当在交付日的7日前书面通知预购人办理交付手续的时间、地点及预购人应当携带的证件、文件。交付时，房地产开发企业应当向预购人出具前款规定的文件；交付住宅的，还应当同时向预购人提供住宅质量保证书和住宅使用说明书。</w:t>
      </w:r>
    </w:p>
    <w:p w14:paraId="383F7148">
      <w:pPr>
        <w:ind w:firstLine="422"/>
        <w:jc w:val="left"/>
        <w:rPr>
          <w:rFonts w:ascii="宋体" w:hAnsi="宋体"/>
          <w:kern w:val="44"/>
        </w:rPr>
      </w:pPr>
      <w:r>
        <w:rPr>
          <w:rFonts w:hint="eastAsia" w:ascii="宋体" w:hAnsi="宋体"/>
          <w:b/>
          <w:kern w:val="44"/>
        </w:rPr>
        <w:t>第五十一条</w:t>
      </w:r>
      <w:r>
        <w:rPr>
          <w:rFonts w:hint="eastAsia" w:ascii="宋体" w:hAnsi="宋体"/>
          <w:kern w:val="44"/>
        </w:rPr>
        <w:t>　已经取得商品房预售许可的项目依法转让的，项目受让人应当按照本办法第三十条的规定申请预售许可。原房地产开发企业应当自项目转让合同签订之日起10日内书面通知预购人，预购人在收到书面通知之日起30日内有权解除预售合同。</w:t>
      </w:r>
    </w:p>
    <w:p w14:paraId="3AB73225">
      <w:pPr>
        <w:jc w:val="left"/>
        <w:rPr>
          <w:rFonts w:ascii="宋体" w:hAnsi="宋体"/>
          <w:kern w:val="44"/>
        </w:rPr>
      </w:pPr>
      <w:r>
        <w:rPr>
          <w:rFonts w:hint="eastAsia" w:ascii="宋体" w:hAnsi="宋体"/>
          <w:kern w:val="44"/>
        </w:rPr>
        <w:t>预购人未解除预售合同的，预售合同中约定原房地产开发企业的权利和义务，由项目受让人承担。</w:t>
      </w:r>
    </w:p>
    <w:p w14:paraId="4F4003AC">
      <w:pPr>
        <w:jc w:val="left"/>
        <w:rPr>
          <w:rFonts w:ascii="宋体" w:hAnsi="宋体"/>
          <w:kern w:val="44"/>
        </w:rPr>
      </w:pPr>
    </w:p>
    <w:p w14:paraId="001DB9BA">
      <w:pPr>
        <w:ind w:firstLine="0" w:firstLineChars="0"/>
        <w:jc w:val="center"/>
        <w:rPr>
          <w:rFonts w:ascii="宋体" w:hAnsi="宋体"/>
          <w:b/>
          <w:kern w:val="44"/>
          <w:sz w:val="28"/>
        </w:rPr>
      </w:pPr>
      <w:r>
        <w:rPr>
          <w:rFonts w:hint="eastAsia" w:ascii="宋体" w:hAnsi="宋体"/>
          <w:b/>
          <w:kern w:val="44"/>
          <w:sz w:val="28"/>
        </w:rPr>
        <w:t>第四章　法律责任</w:t>
      </w:r>
    </w:p>
    <w:p w14:paraId="0335B2BB">
      <w:pPr>
        <w:jc w:val="left"/>
        <w:rPr>
          <w:rFonts w:ascii="宋体" w:hAnsi="宋体"/>
          <w:kern w:val="44"/>
        </w:rPr>
      </w:pPr>
    </w:p>
    <w:p w14:paraId="2183D874">
      <w:pPr>
        <w:ind w:firstLine="422"/>
        <w:jc w:val="left"/>
        <w:rPr>
          <w:rFonts w:ascii="宋体" w:hAnsi="宋体"/>
          <w:kern w:val="44"/>
        </w:rPr>
      </w:pPr>
      <w:r>
        <w:rPr>
          <w:rFonts w:hint="eastAsia" w:ascii="宋体" w:hAnsi="宋体"/>
          <w:b/>
          <w:kern w:val="44"/>
        </w:rPr>
        <w:t>第五十二条</w:t>
      </w:r>
      <w:r>
        <w:rPr>
          <w:rFonts w:hint="eastAsia" w:ascii="宋体" w:hAnsi="宋体"/>
          <w:kern w:val="44"/>
        </w:rPr>
        <w:t>　违反本办法第十条第一款和第二十九条、第三十条规定擅自转让房地产开发项目或者擅自预售商品房的，由市或者区、县房地产行政主管部门按照《城市房地产开发经营管理条例》的规定处罚。</w:t>
      </w:r>
    </w:p>
    <w:p w14:paraId="79F7C956">
      <w:pPr>
        <w:jc w:val="left"/>
        <w:rPr>
          <w:rFonts w:ascii="宋体" w:hAnsi="宋体"/>
          <w:kern w:val="44"/>
        </w:rPr>
      </w:pPr>
      <w:r>
        <w:rPr>
          <w:rFonts w:hint="eastAsia" w:ascii="宋体" w:hAnsi="宋体"/>
          <w:kern w:val="44"/>
        </w:rPr>
        <w:t>房地产受让人知道或者应当知道转让人没有取得房地产权属证书或者相关批准文件仍然购买商品房的，应当承担相应不利的民事法律后果。</w:t>
      </w:r>
    </w:p>
    <w:p w14:paraId="2DFC0A95">
      <w:pPr>
        <w:ind w:firstLine="422"/>
        <w:jc w:val="left"/>
        <w:rPr>
          <w:rFonts w:ascii="宋体" w:hAnsi="宋体"/>
          <w:kern w:val="44"/>
        </w:rPr>
      </w:pPr>
      <w:r>
        <w:rPr>
          <w:rFonts w:hint="eastAsia" w:ascii="宋体" w:hAnsi="宋体"/>
          <w:b/>
          <w:kern w:val="44"/>
        </w:rPr>
        <w:t>第五十三条</w:t>
      </w:r>
      <w:r>
        <w:rPr>
          <w:rFonts w:hint="eastAsia" w:ascii="宋体" w:hAnsi="宋体"/>
          <w:kern w:val="44"/>
        </w:rPr>
        <w:t>　违反本办法第三十三条第二款规定，伪造、涂改、租借、转让、冒用商品房预售许可证的，由市房地产行政主管部门依法收缴伪造、涂改的预售许可证，并处3万元以下罚款，造成损失的，依法承担相应的民事责任；情节严重构成犯罪的，移送司法机关依法处理。</w:t>
      </w:r>
    </w:p>
    <w:p w14:paraId="436531E7">
      <w:pPr>
        <w:ind w:firstLine="422"/>
        <w:jc w:val="left"/>
        <w:rPr>
          <w:rFonts w:ascii="宋体" w:hAnsi="宋体"/>
          <w:kern w:val="44"/>
        </w:rPr>
      </w:pPr>
      <w:r>
        <w:rPr>
          <w:rFonts w:hint="eastAsia" w:ascii="宋体" w:hAnsi="宋体"/>
          <w:b/>
          <w:kern w:val="44"/>
        </w:rPr>
        <w:t>第五十四条</w:t>
      </w:r>
      <w:r>
        <w:rPr>
          <w:rFonts w:hint="eastAsia" w:ascii="宋体" w:hAnsi="宋体"/>
          <w:kern w:val="44"/>
        </w:rPr>
        <w:t>　违反本办法，按照规划、广告、价格管理等法律、法规和规章的规定应当予以行政处罚的，由规划、工商行政和价格主管部门依法处理。</w:t>
      </w:r>
    </w:p>
    <w:p w14:paraId="5D41830D">
      <w:pPr>
        <w:ind w:firstLine="422"/>
        <w:jc w:val="left"/>
        <w:rPr>
          <w:rFonts w:ascii="宋体" w:hAnsi="宋体"/>
          <w:kern w:val="44"/>
        </w:rPr>
      </w:pPr>
      <w:r>
        <w:rPr>
          <w:rFonts w:hint="eastAsia" w:ascii="宋体" w:hAnsi="宋体"/>
          <w:b/>
          <w:kern w:val="44"/>
        </w:rPr>
        <w:t>第五十五条</w:t>
      </w:r>
      <w:r>
        <w:rPr>
          <w:rFonts w:hint="eastAsia" w:ascii="宋体" w:hAnsi="宋体"/>
          <w:kern w:val="44"/>
        </w:rPr>
        <w:t>　市和区、县房地产行政主管部门在房地产转让行政管理工作中不履行或者不适当履行法定职责的，由其所在单位或者上级主管部门对直接负责的主管人员和其他责任人员给予行政处分；构成犯罪的，依法追究刑事责任。</w:t>
      </w:r>
    </w:p>
    <w:p w14:paraId="4FB2F110">
      <w:pPr>
        <w:jc w:val="left"/>
        <w:rPr>
          <w:rFonts w:ascii="宋体" w:hAnsi="宋体"/>
          <w:kern w:val="44"/>
        </w:rPr>
      </w:pPr>
    </w:p>
    <w:p w14:paraId="58A51A3E">
      <w:pPr>
        <w:ind w:firstLine="0" w:firstLineChars="0"/>
        <w:jc w:val="center"/>
        <w:rPr>
          <w:rFonts w:ascii="宋体" w:hAnsi="宋体"/>
          <w:b/>
          <w:kern w:val="44"/>
          <w:sz w:val="28"/>
        </w:rPr>
      </w:pPr>
      <w:r>
        <w:rPr>
          <w:rFonts w:hint="eastAsia" w:ascii="宋体" w:hAnsi="宋体"/>
          <w:b/>
          <w:kern w:val="44"/>
          <w:sz w:val="28"/>
        </w:rPr>
        <w:t>第五章　附　　则</w:t>
      </w:r>
    </w:p>
    <w:p w14:paraId="34572BB5">
      <w:pPr>
        <w:jc w:val="left"/>
        <w:rPr>
          <w:rFonts w:ascii="宋体" w:hAnsi="宋体"/>
          <w:kern w:val="44"/>
        </w:rPr>
      </w:pPr>
    </w:p>
    <w:p w14:paraId="16CCDEB9">
      <w:pPr>
        <w:ind w:firstLine="422"/>
        <w:jc w:val="left"/>
        <w:rPr>
          <w:rFonts w:ascii="宋体" w:hAnsi="宋体"/>
          <w:kern w:val="44"/>
        </w:rPr>
      </w:pPr>
      <w:r>
        <w:rPr>
          <w:rFonts w:hint="eastAsia" w:ascii="宋体" w:hAnsi="宋体"/>
          <w:b/>
          <w:kern w:val="44"/>
        </w:rPr>
        <w:t>第五十六条</w:t>
      </w:r>
      <w:r>
        <w:rPr>
          <w:rFonts w:hint="eastAsia" w:ascii="宋体" w:hAnsi="宋体"/>
          <w:kern w:val="44"/>
        </w:rPr>
        <w:t>　市房地产行政主管部门可以根据本办法第十七条、第三十六条的规定拟订房地产买卖和商品房预售的合同示范文本。</w:t>
      </w:r>
    </w:p>
    <w:p w14:paraId="1B465CF6">
      <w:pPr>
        <w:ind w:firstLine="422"/>
        <w:jc w:val="left"/>
        <w:rPr>
          <w:rFonts w:ascii="宋体" w:hAnsi="宋体"/>
          <w:kern w:val="44"/>
        </w:rPr>
      </w:pPr>
      <w:r>
        <w:rPr>
          <w:rFonts w:hint="eastAsia" w:ascii="宋体" w:hAnsi="宋体"/>
          <w:b/>
          <w:kern w:val="44"/>
        </w:rPr>
        <w:t>第五十七条</w:t>
      </w:r>
      <w:r>
        <w:rPr>
          <w:rFonts w:hint="eastAsia" w:ascii="宋体" w:hAnsi="宋体"/>
          <w:kern w:val="44"/>
        </w:rPr>
        <w:t>　本办法自2003年12月1日起施行。1984年8月11日市人民政府发布的《北京市贯彻实施〈城市私有房屋管理条例〉若干具体问题的规定》、1988年9月15日市人民政府发布的《北京市房屋买卖管理暂行规定》同时废止。</w:t>
      </w:r>
    </w:p>
    <w:p w14:paraId="5152BDCD">
      <w:pPr>
        <w:pStyle w:val="4"/>
        <w:pageBreakBefore/>
        <w:rPr>
          <w:kern w:val="44"/>
        </w:rPr>
      </w:pPr>
      <w:bookmarkStart w:id="1022" w:name="_Toc422471274"/>
      <w:bookmarkStart w:id="1023" w:name="_Toc428781609"/>
      <w:bookmarkStart w:id="1024" w:name="_Toc428780127"/>
      <w:bookmarkStart w:id="1025" w:name="_Toc427651903"/>
      <w:bookmarkStart w:id="1026" w:name="_Toc427651561"/>
      <w:r>
        <w:rPr>
          <w:rFonts w:hint="eastAsia"/>
          <w:kern w:val="44"/>
        </w:rPr>
        <w:t>北京市实施《住房公积金</w:t>
      </w:r>
      <w:bookmarkEnd w:id="1022"/>
      <w:bookmarkStart w:id="1027" w:name="_Toc422471275"/>
      <w:r>
        <w:rPr>
          <w:rFonts w:hint="eastAsia"/>
          <w:kern w:val="44"/>
        </w:rPr>
        <w:t>管理条例》若干规定</w:t>
      </w:r>
      <w:bookmarkEnd w:id="1023"/>
      <w:bookmarkEnd w:id="1024"/>
      <w:bookmarkEnd w:id="1025"/>
      <w:bookmarkEnd w:id="1026"/>
      <w:bookmarkEnd w:id="1027"/>
    </w:p>
    <w:p w14:paraId="02FB6DEB">
      <w:pPr>
        <w:ind w:left="630" w:leftChars="300" w:right="630" w:rightChars="300"/>
        <w:jc w:val="left"/>
        <w:rPr>
          <w:rFonts w:ascii="楷体" w:hAnsi="楷体" w:eastAsia="楷体"/>
          <w:kern w:val="44"/>
        </w:rPr>
      </w:pPr>
      <w:r>
        <w:rPr>
          <w:rFonts w:hint="eastAsia" w:ascii="楷体" w:hAnsi="楷体" w:eastAsia="楷体"/>
          <w:kern w:val="44"/>
        </w:rPr>
        <w:t>（2005年12月30日北京市人民政府第46次常务会议审议通过  2006年1月6日北京市人民政府第164号令公布）</w:t>
      </w:r>
    </w:p>
    <w:p w14:paraId="6DA669BB">
      <w:pPr>
        <w:jc w:val="left"/>
        <w:rPr>
          <w:rFonts w:ascii="宋体" w:hAnsi="宋体"/>
          <w:kern w:val="44"/>
        </w:rPr>
      </w:pPr>
    </w:p>
    <w:p w14:paraId="57C98824">
      <w:pPr>
        <w:ind w:firstLine="422"/>
        <w:jc w:val="left"/>
        <w:rPr>
          <w:rFonts w:ascii="宋体" w:hAnsi="宋体"/>
          <w:kern w:val="44"/>
        </w:rPr>
      </w:pPr>
      <w:r>
        <w:rPr>
          <w:rFonts w:hint="eastAsia" w:ascii="宋体" w:hAnsi="宋体"/>
          <w:b/>
          <w:kern w:val="44"/>
        </w:rPr>
        <w:t>第一条</w:t>
      </w:r>
      <w:r>
        <w:rPr>
          <w:rFonts w:hint="eastAsia" w:ascii="宋体" w:hAnsi="宋体"/>
          <w:kern w:val="44"/>
        </w:rPr>
        <w:t>　为实施国务院《住房公积金管理条例》，结合本市实际情况，制定本规定。</w:t>
      </w:r>
    </w:p>
    <w:p w14:paraId="14D63194">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本市行政区域内住房公积金的缴存、提取、使用、管理和监督，应当遵守国务院《住房公积金管理条例》和本规定。</w:t>
      </w:r>
    </w:p>
    <w:p w14:paraId="6B5556C1">
      <w:pPr>
        <w:ind w:firstLine="422"/>
        <w:jc w:val="left"/>
        <w:rPr>
          <w:rFonts w:ascii="宋体" w:hAnsi="宋体"/>
          <w:kern w:val="44"/>
        </w:rPr>
      </w:pPr>
      <w:r>
        <w:rPr>
          <w:rFonts w:hint="eastAsia" w:ascii="宋体" w:hAnsi="宋体"/>
          <w:b/>
          <w:kern w:val="44"/>
        </w:rPr>
        <w:t>第三条</w:t>
      </w:r>
      <w:r>
        <w:rPr>
          <w:rFonts w:hint="eastAsia" w:ascii="宋体" w:hAnsi="宋体"/>
          <w:kern w:val="44"/>
        </w:rPr>
        <w:t>　北京住房公积金管理委员会（以下简称管委会）是本市住房公积金管理的决策机构。</w:t>
      </w:r>
    </w:p>
    <w:p w14:paraId="462A7EDB">
      <w:pPr>
        <w:jc w:val="left"/>
        <w:rPr>
          <w:rFonts w:ascii="宋体" w:hAnsi="宋体"/>
          <w:kern w:val="44"/>
        </w:rPr>
      </w:pPr>
      <w:r>
        <w:rPr>
          <w:rFonts w:hint="eastAsia" w:ascii="宋体" w:hAnsi="宋体"/>
          <w:kern w:val="44"/>
        </w:rPr>
        <w:t>管委会委员中，市人民政府负责人，房改、财政和审计等部门负责人，人民银行、国务院机关事务管理局和中共中央直属机关事务管理局等有关部门代表，法律、金融和住房等方面有关专家占三分之一；工会代表和职工代表占三分之一；单位代表占三分之一。在管委会中，中央国家机关、中共中央直属机关和北京铁路系统的委员占三分之一。</w:t>
      </w:r>
    </w:p>
    <w:p w14:paraId="240D6A0F">
      <w:pPr>
        <w:ind w:firstLine="422"/>
        <w:jc w:val="left"/>
        <w:rPr>
          <w:rFonts w:ascii="宋体" w:hAnsi="宋体"/>
          <w:kern w:val="44"/>
        </w:rPr>
      </w:pPr>
      <w:r>
        <w:rPr>
          <w:rFonts w:hint="eastAsia" w:ascii="宋体" w:hAnsi="宋体"/>
          <w:b/>
          <w:kern w:val="44"/>
        </w:rPr>
        <w:t>第四条</w:t>
      </w:r>
      <w:r>
        <w:rPr>
          <w:rFonts w:hint="eastAsia" w:ascii="宋体" w:hAnsi="宋体"/>
          <w:kern w:val="44"/>
        </w:rPr>
        <w:t>　北京住房公积金管理中心（以下简称管理中心）为直属市人民政府、不以营利为目的的独立的事业单位，负责承办管委会决定的有关事项，依法履行本市住房公积金管理运作及执法监督等职责。</w:t>
      </w:r>
    </w:p>
    <w:p w14:paraId="3D9E613F">
      <w:pPr>
        <w:jc w:val="left"/>
        <w:rPr>
          <w:rFonts w:ascii="宋体" w:hAnsi="宋体"/>
          <w:kern w:val="44"/>
        </w:rPr>
      </w:pPr>
      <w:r>
        <w:rPr>
          <w:rFonts w:hint="eastAsia" w:ascii="宋体" w:hAnsi="宋体"/>
          <w:kern w:val="44"/>
        </w:rPr>
        <w:t>管理中心设立中央国家机关分中心、中共中央直属机关分中心和北京铁路分中心。分中心的业务范围按照国家和本市有关规定确定。</w:t>
      </w:r>
    </w:p>
    <w:p w14:paraId="5415F78C">
      <w:pPr>
        <w:ind w:firstLine="422"/>
        <w:jc w:val="left"/>
        <w:rPr>
          <w:rFonts w:ascii="宋体" w:hAnsi="宋体"/>
          <w:kern w:val="44"/>
        </w:rPr>
      </w:pPr>
      <w:r>
        <w:rPr>
          <w:rFonts w:hint="eastAsia" w:ascii="宋体" w:hAnsi="宋体"/>
          <w:b/>
          <w:kern w:val="44"/>
        </w:rPr>
        <w:t>第五条</w:t>
      </w:r>
      <w:r>
        <w:rPr>
          <w:rFonts w:hint="eastAsia" w:ascii="宋体" w:hAnsi="宋体"/>
          <w:kern w:val="44"/>
        </w:rPr>
        <w:t>　下列单位及其在职职工应当缴存住房公积金：</w:t>
      </w:r>
    </w:p>
    <w:p w14:paraId="5A44C50D">
      <w:pPr>
        <w:jc w:val="left"/>
        <w:rPr>
          <w:rFonts w:ascii="宋体" w:hAnsi="宋体"/>
          <w:kern w:val="44"/>
        </w:rPr>
      </w:pPr>
      <w:r>
        <w:rPr>
          <w:rFonts w:hint="eastAsia" w:ascii="宋体" w:hAnsi="宋体"/>
          <w:kern w:val="44"/>
        </w:rPr>
        <w:t>（一）国家机关；</w:t>
      </w:r>
    </w:p>
    <w:p w14:paraId="6DA4F3E5">
      <w:pPr>
        <w:jc w:val="left"/>
        <w:rPr>
          <w:rFonts w:ascii="宋体" w:hAnsi="宋体"/>
          <w:kern w:val="44"/>
        </w:rPr>
      </w:pPr>
      <w:r>
        <w:rPr>
          <w:rFonts w:hint="eastAsia" w:ascii="宋体" w:hAnsi="宋体"/>
          <w:kern w:val="44"/>
        </w:rPr>
        <w:t>（二）国有企业、城镇集体企业、外商投资企业、城镇私营企业、其他城镇企业；</w:t>
      </w:r>
    </w:p>
    <w:p w14:paraId="2396F6D5">
      <w:pPr>
        <w:jc w:val="left"/>
        <w:rPr>
          <w:rFonts w:ascii="宋体" w:hAnsi="宋体"/>
          <w:kern w:val="44"/>
        </w:rPr>
      </w:pPr>
      <w:r>
        <w:rPr>
          <w:rFonts w:hint="eastAsia" w:ascii="宋体" w:hAnsi="宋体"/>
          <w:kern w:val="44"/>
        </w:rPr>
        <w:t>（三）事业单位；</w:t>
      </w:r>
    </w:p>
    <w:p w14:paraId="3820C887">
      <w:pPr>
        <w:jc w:val="left"/>
        <w:rPr>
          <w:rFonts w:ascii="宋体" w:hAnsi="宋体"/>
          <w:kern w:val="44"/>
        </w:rPr>
      </w:pPr>
      <w:r>
        <w:rPr>
          <w:rFonts w:hint="eastAsia" w:ascii="宋体" w:hAnsi="宋体"/>
          <w:kern w:val="44"/>
        </w:rPr>
        <w:t>（四）民办非企业单位；</w:t>
      </w:r>
    </w:p>
    <w:p w14:paraId="017461DD">
      <w:pPr>
        <w:jc w:val="left"/>
        <w:rPr>
          <w:rFonts w:ascii="宋体" w:hAnsi="宋体"/>
          <w:kern w:val="44"/>
        </w:rPr>
      </w:pPr>
      <w:r>
        <w:rPr>
          <w:rFonts w:hint="eastAsia" w:ascii="宋体" w:hAnsi="宋体"/>
          <w:kern w:val="44"/>
        </w:rPr>
        <w:t>（五）社会团体。</w:t>
      </w:r>
    </w:p>
    <w:p w14:paraId="06D5430C">
      <w:pPr>
        <w:jc w:val="left"/>
        <w:rPr>
          <w:rFonts w:ascii="宋体" w:hAnsi="宋体"/>
          <w:kern w:val="44"/>
        </w:rPr>
      </w:pPr>
      <w:r>
        <w:rPr>
          <w:rFonts w:hint="eastAsia" w:ascii="宋体" w:hAnsi="宋体"/>
          <w:kern w:val="44"/>
        </w:rPr>
        <w:t>其他单位及其在职职工可以按照双方自愿的原则缴存住房公积金。</w:t>
      </w:r>
    </w:p>
    <w:p w14:paraId="00776B1F">
      <w:pPr>
        <w:ind w:firstLine="422"/>
        <w:jc w:val="left"/>
        <w:rPr>
          <w:rFonts w:ascii="宋体" w:hAnsi="宋体"/>
          <w:kern w:val="44"/>
        </w:rPr>
      </w:pPr>
      <w:r>
        <w:rPr>
          <w:rFonts w:hint="eastAsia" w:ascii="宋体" w:hAnsi="宋体"/>
          <w:b/>
          <w:kern w:val="44"/>
        </w:rPr>
        <w:t>第六条</w:t>
      </w:r>
      <w:r>
        <w:rPr>
          <w:rFonts w:hint="eastAsia" w:ascii="宋体" w:hAnsi="宋体"/>
          <w:kern w:val="44"/>
        </w:rPr>
        <w:t>　管委会根据本市经济、社会发展等具体情况，可以适时拟定住房公积金缴存比例的调整方案，报市人民政府批准后，向社会公布执行。</w:t>
      </w:r>
    </w:p>
    <w:p w14:paraId="444FD557">
      <w:pPr>
        <w:ind w:firstLine="422"/>
        <w:jc w:val="left"/>
        <w:rPr>
          <w:rFonts w:ascii="宋体" w:hAnsi="宋体"/>
          <w:kern w:val="44"/>
        </w:rPr>
      </w:pPr>
      <w:r>
        <w:rPr>
          <w:rFonts w:hint="eastAsia" w:ascii="宋体" w:hAnsi="宋体"/>
          <w:b/>
          <w:kern w:val="44"/>
        </w:rPr>
        <w:t>第七条</w:t>
      </w:r>
      <w:r>
        <w:rPr>
          <w:rFonts w:hint="eastAsia" w:ascii="宋体" w:hAnsi="宋体"/>
          <w:kern w:val="44"/>
        </w:rPr>
        <w:t>　管理中心应当于每年7月31日前，向社会发布住房公积金对账公告。</w:t>
      </w:r>
    </w:p>
    <w:p w14:paraId="4DD39520">
      <w:pPr>
        <w:jc w:val="left"/>
        <w:rPr>
          <w:rFonts w:ascii="宋体" w:hAnsi="宋体"/>
          <w:kern w:val="44"/>
        </w:rPr>
      </w:pPr>
      <w:r>
        <w:rPr>
          <w:rFonts w:hint="eastAsia" w:ascii="宋体" w:hAnsi="宋体"/>
          <w:kern w:val="44"/>
        </w:rPr>
        <w:t>管理中心或者受委托银行应当于每年8月31日前，向单位及其在职职工发放住房公积金对账凭证。</w:t>
      </w:r>
    </w:p>
    <w:p w14:paraId="2D922E6C">
      <w:pPr>
        <w:jc w:val="left"/>
        <w:rPr>
          <w:rFonts w:ascii="宋体" w:hAnsi="宋体"/>
          <w:kern w:val="44"/>
        </w:rPr>
      </w:pPr>
      <w:r>
        <w:rPr>
          <w:rFonts w:hint="eastAsia" w:ascii="宋体" w:hAnsi="宋体"/>
          <w:kern w:val="44"/>
        </w:rPr>
        <w:t>管理中心或者受委托银行应当向缴存单位和缴存职工提供准确、便捷的住房公积金账户信息查询服务。</w:t>
      </w:r>
    </w:p>
    <w:p w14:paraId="532AF552">
      <w:pPr>
        <w:jc w:val="left"/>
        <w:rPr>
          <w:rFonts w:ascii="宋体" w:hAnsi="宋体"/>
          <w:kern w:val="44"/>
        </w:rPr>
      </w:pPr>
      <w:r>
        <w:rPr>
          <w:rFonts w:hint="eastAsia" w:ascii="宋体" w:hAnsi="宋体"/>
          <w:kern w:val="44"/>
        </w:rPr>
        <w:t>管理中心、受委托银行及其相关工作人员应当对职工的住房公积金账户信息保密。</w:t>
      </w:r>
    </w:p>
    <w:p w14:paraId="5DBD6FA3">
      <w:pPr>
        <w:ind w:firstLine="422"/>
        <w:jc w:val="left"/>
        <w:rPr>
          <w:rFonts w:ascii="宋体" w:hAnsi="宋体"/>
          <w:kern w:val="44"/>
        </w:rPr>
      </w:pPr>
      <w:r>
        <w:rPr>
          <w:rFonts w:hint="eastAsia" w:ascii="宋体" w:hAnsi="宋体"/>
          <w:b/>
          <w:kern w:val="44"/>
        </w:rPr>
        <w:t>第八条</w:t>
      </w:r>
      <w:r>
        <w:rPr>
          <w:rFonts w:hint="eastAsia" w:ascii="宋体" w:hAnsi="宋体"/>
          <w:kern w:val="44"/>
        </w:rPr>
        <w:t>　管理中心应当为住房公积金缴存职工发放住房公积金卡或者住房公积金存折，作为缴存住房公积金的有效凭证。</w:t>
      </w:r>
    </w:p>
    <w:p w14:paraId="5AB64F4F">
      <w:pPr>
        <w:ind w:firstLine="422"/>
        <w:jc w:val="left"/>
        <w:rPr>
          <w:rFonts w:ascii="宋体" w:hAnsi="宋体"/>
          <w:kern w:val="44"/>
        </w:rPr>
      </w:pPr>
      <w:r>
        <w:rPr>
          <w:rFonts w:hint="eastAsia" w:ascii="宋体" w:hAnsi="宋体"/>
          <w:b/>
          <w:kern w:val="44"/>
        </w:rPr>
        <w:t>第九条</w:t>
      </w:r>
      <w:r>
        <w:rPr>
          <w:rFonts w:hint="eastAsia" w:ascii="宋体" w:hAnsi="宋体"/>
          <w:kern w:val="44"/>
        </w:rPr>
        <w:t>　单位应当依法为职工办理住房公积金账户的设立、转移、封存、注销等相关手续。</w:t>
      </w:r>
    </w:p>
    <w:p w14:paraId="44460E70">
      <w:pPr>
        <w:jc w:val="left"/>
        <w:rPr>
          <w:rFonts w:ascii="宋体" w:hAnsi="宋体"/>
          <w:kern w:val="44"/>
        </w:rPr>
      </w:pPr>
      <w:r>
        <w:rPr>
          <w:rFonts w:hint="eastAsia" w:ascii="宋体" w:hAnsi="宋体"/>
          <w:kern w:val="44"/>
        </w:rPr>
        <w:t>单位不为职工办理住房公积金账户转移、封存和提取等手续的，职工可以凭有效证明材料申请管理中心督促单位办理，经督促仍不办理的，管理中心可以依职工申请办理。</w:t>
      </w:r>
    </w:p>
    <w:p w14:paraId="0C3221A9">
      <w:pPr>
        <w:ind w:firstLine="422"/>
        <w:jc w:val="left"/>
        <w:rPr>
          <w:rFonts w:ascii="宋体" w:hAnsi="宋体"/>
          <w:kern w:val="44"/>
        </w:rPr>
      </w:pPr>
      <w:r>
        <w:rPr>
          <w:rFonts w:hint="eastAsia" w:ascii="宋体" w:hAnsi="宋体"/>
          <w:b/>
          <w:kern w:val="44"/>
        </w:rPr>
        <w:t>第十条</w:t>
      </w:r>
      <w:r>
        <w:rPr>
          <w:rFonts w:hint="eastAsia" w:ascii="宋体" w:hAnsi="宋体"/>
          <w:kern w:val="44"/>
        </w:rPr>
        <w:t>　单位应当按时、足额缴存住房公积金，不得少缴、多缴或者逾期缴存。</w:t>
      </w:r>
    </w:p>
    <w:p w14:paraId="764304D0">
      <w:pPr>
        <w:jc w:val="left"/>
        <w:rPr>
          <w:rFonts w:ascii="宋体" w:hAnsi="宋体"/>
          <w:kern w:val="44"/>
        </w:rPr>
      </w:pPr>
      <w:r>
        <w:rPr>
          <w:rFonts w:hint="eastAsia" w:ascii="宋体" w:hAnsi="宋体"/>
          <w:kern w:val="44"/>
        </w:rPr>
        <w:t>单位多缴住房公积金的，管理中心应当依法退回。</w:t>
      </w:r>
    </w:p>
    <w:p w14:paraId="6B803BA8">
      <w:pPr>
        <w:jc w:val="left"/>
        <w:rPr>
          <w:rFonts w:ascii="宋体" w:hAnsi="宋体"/>
          <w:kern w:val="44"/>
        </w:rPr>
      </w:pPr>
      <w:r>
        <w:rPr>
          <w:rFonts w:hint="eastAsia" w:ascii="宋体" w:hAnsi="宋体"/>
          <w:kern w:val="44"/>
        </w:rPr>
        <w:t>缴存住房公积金确有困难的单位，可以按照规定申请降低缴存比例或者缓缴，每次申请期限不超过1年。</w:t>
      </w:r>
    </w:p>
    <w:p w14:paraId="7B1D79C1">
      <w:pPr>
        <w:ind w:firstLine="422"/>
        <w:jc w:val="left"/>
        <w:rPr>
          <w:rFonts w:ascii="宋体" w:hAnsi="宋体"/>
          <w:kern w:val="44"/>
        </w:rPr>
      </w:pPr>
      <w:r>
        <w:rPr>
          <w:rFonts w:hint="eastAsia" w:ascii="宋体" w:hAnsi="宋体"/>
          <w:b/>
          <w:kern w:val="44"/>
        </w:rPr>
        <w:t>第十一条</w:t>
      </w:r>
      <w:r>
        <w:rPr>
          <w:rFonts w:hint="eastAsia" w:ascii="宋体" w:hAnsi="宋体"/>
          <w:kern w:val="44"/>
        </w:rPr>
        <w:t>　单位合并、分立时，应当为职工补缴未缴和少缴的住房公积金。无力补缴的，应当在办理有关手续前，明确住房公积金缴存责任主体。</w:t>
      </w:r>
    </w:p>
    <w:p w14:paraId="0FBFB1AE">
      <w:pPr>
        <w:jc w:val="left"/>
        <w:rPr>
          <w:rFonts w:ascii="宋体" w:hAnsi="宋体"/>
          <w:kern w:val="44"/>
        </w:rPr>
      </w:pPr>
      <w:r>
        <w:rPr>
          <w:rFonts w:hint="eastAsia" w:ascii="宋体" w:hAnsi="宋体"/>
          <w:kern w:val="44"/>
        </w:rPr>
        <w:t>单位撤销、解散或者破产时，应当按照国家和本市有关规定，清偿欠缴的职工住房公积金。</w:t>
      </w:r>
    </w:p>
    <w:p w14:paraId="579C8429">
      <w:pPr>
        <w:ind w:firstLine="422"/>
        <w:jc w:val="left"/>
        <w:rPr>
          <w:rFonts w:ascii="宋体" w:hAnsi="宋体"/>
          <w:kern w:val="44"/>
        </w:rPr>
      </w:pPr>
      <w:r>
        <w:rPr>
          <w:rFonts w:hint="eastAsia" w:ascii="宋体" w:hAnsi="宋体"/>
          <w:b/>
          <w:kern w:val="44"/>
        </w:rPr>
        <w:t>第十二条</w:t>
      </w:r>
      <w:r>
        <w:rPr>
          <w:rFonts w:hint="eastAsia" w:ascii="宋体" w:hAnsi="宋体"/>
          <w:kern w:val="44"/>
        </w:rPr>
        <w:t>　在管理中心缴存住房公积金的在职职工和在职期间缴存住房公积金的离退休职工，购买、建造、翻修、大修自住住房时可以申请住房公积金贷款，也可以在办理商业银行个人住房贷款时，申请管理中心给予贴息。贴息的具体办法由管委会制定。</w:t>
      </w:r>
    </w:p>
    <w:p w14:paraId="745D368F">
      <w:pPr>
        <w:ind w:firstLine="422"/>
        <w:jc w:val="left"/>
        <w:rPr>
          <w:rFonts w:ascii="宋体" w:hAnsi="宋体"/>
          <w:kern w:val="44"/>
        </w:rPr>
      </w:pPr>
      <w:r>
        <w:rPr>
          <w:rFonts w:hint="eastAsia" w:ascii="宋体" w:hAnsi="宋体"/>
          <w:b/>
          <w:kern w:val="44"/>
        </w:rPr>
        <w:t>第十三条</w:t>
      </w:r>
      <w:r>
        <w:rPr>
          <w:rFonts w:hint="eastAsia" w:ascii="宋体" w:hAnsi="宋体"/>
          <w:kern w:val="44"/>
        </w:rPr>
        <w:t>　住房公积金贷款的最高贷款额度由管理中心根据本市的住房价格、政策、职工购买能力及公积金的资金状况等拟订，报管委会批准后公布实施。</w:t>
      </w:r>
    </w:p>
    <w:p w14:paraId="559DCDD1">
      <w:pPr>
        <w:ind w:firstLine="422"/>
        <w:jc w:val="left"/>
        <w:rPr>
          <w:rFonts w:ascii="宋体" w:hAnsi="宋体"/>
          <w:kern w:val="44"/>
        </w:rPr>
      </w:pPr>
      <w:r>
        <w:rPr>
          <w:rFonts w:hint="eastAsia" w:ascii="宋体" w:hAnsi="宋体"/>
          <w:b/>
          <w:kern w:val="44"/>
        </w:rPr>
        <w:t>第十四条</w:t>
      </w:r>
      <w:r>
        <w:rPr>
          <w:rFonts w:hint="eastAsia" w:ascii="宋体" w:hAnsi="宋体"/>
          <w:kern w:val="44"/>
        </w:rPr>
        <w:t>　住房公积金的增值收益用于住房公积金贷款风险准备金、管理中心管理费用以及按照规定解决低收入家庭住房困难问题所需资金。</w:t>
      </w:r>
    </w:p>
    <w:p w14:paraId="512BFDC4">
      <w:pPr>
        <w:ind w:firstLine="422"/>
        <w:jc w:val="left"/>
        <w:rPr>
          <w:rFonts w:ascii="宋体" w:hAnsi="宋体"/>
          <w:kern w:val="44"/>
        </w:rPr>
      </w:pPr>
      <w:r>
        <w:rPr>
          <w:rFonts w:hint="eastAsia" w:ascii="宋体" w:hAnsi="宋体"/>
          <w:b/>
          <w:kern w:val="44"/>
        </w:rPr>
        <w:t>第十五条</w:t>
      </w:r>
      <w:r>
        <w:rPr>
          <w:rFonts w:hint="eastAsia" w:ascii="宋体" w:hAnsi="宋体"/>
          <w:kern w:val="44"/>
        </w:rPr>
        <w:t>　审计部门应当对管理中心进行年度审计监督，并依法向社会公告审计结果。</w:t>
      </w:r>
    </w:p>
    <w:p w14:paraId="2670BF3C">
      <w:pPr>
        <w:ind w:firstLine="422"/>
        <w:jc w:val="left"/>
        <w:rPr>
          <w:rFonts w:ascii="宋体" w:hAnsi="宋体"/>
          <w:kern w:val="44"/>
        </w:rPr>
      </w:pPr>
      <w:r>
        <w:rPr>
          <w:rFonts w:hint="eastAsia" w:ascii="宋体" w:hAnsi="宋体"/>
          <w:b/>
          <w:kern w:val="44"/>
        </w:rPr>
        <w:t>第十六条</w:t>
      </w:r>
      <w:r>
        <w:rPr>
          <w:rFonts w:hint="eastAsia" w:ascii="宋体" w:hAnsi="宋体"/>
          <w:kern w:val="44"/>
        </w:rPr>
        <w:t>　管理中心可以对未按照规定缴存住房公积金的单位进行检查。</w:t>
      </w:r>
    </w:p>
    <w:p w14:paraId="7C333C20">
      <w:pPr>
        <w:jc w:val="left"/>
        <w:rPr>
          <w:rFonts w:ascii="宋体" w:hAnsi="宋体"/>
          <w:kern w:val="44"/>
        </w:rPr>
      </w:pPr>
      <w:r>
        <w:rPr>
          <w:rFonts w:hint="eastAsia" w:ascii="宋体" w:hAnsi="宋体"/>
          <w:kern w:val="44"/>
        </w:rPr>
        <w:t>单位应当如实提供用人情况以及工资、财务报表等与缴存住房公积金有关的资料。</w:t>
      </w:r>
    </w:p>
    <w:p w14:paraId="3A7285CD">
      <w:pPr>
        <w:jc w:val="left"/>
        <w:rPr>
          <w:rFonts w:ascii="宋体" w:hAnsi="宋体"/>
          <w:kern w:val="44"/>
        </w:rPr>
      </w:pPr>
      <w:r>
        <w:rPr>
          <w:rFonts w:hint="eastAsia" w:ascii="宋体" w:hAnsi="宋体"/>
          <w:kern w:val="44"/>
        </w:rPr>
        <w:t>管理中心应当对单位提供的资料保密。</w:t>
      </w:r>
    </w:p>
    <w:p w14:paraId="1B3153B1">
      <w:pPr>
        <w:ind w:firstLine="422"/>
        <w:jc w:val="left"/>
        <w:rPr>
          <w:rFonts w:ascii="宋体" w:hAnsi="宋体"/>
          <w:kern w:val="44"/>
        </w:rPr>
      </w:pPr>
      <w:r>
        <w:rPr>
          <w:rFonts w:hint="eastAsia" w:ascii="宋体" w:hAnsi="宋体"/>
          <w:b/>
          <w:kern w:val="44"/>
        </w:rPr>
        <w:t>第十七条</w:t>
      </w:r>
      <w:r>
        <w:rPr>
          <w:rFonts w:hint="eastAsia" w:ascii="宋体" w:hAnsi="宋体"/>
          <w:kern w:val="44"/>
        </w:rPr>
        <w:t>　单位拒绝管理中心检查、不如实提供用人情况以及工资、财务报表等与缴存住房公积金有关的资料的，由管理中心责令改正，拒不改正的，可以处500元以上1000元以下罚款。</w:t>
      </w:r>
    </w:p>
    <w:p w14:paraId="075754D2">
      <w:pPr>
        <w:ind w:firstLine="422"/>
        <w:jc w:val="left"/>
        <w:rPr>
          <w:rFonts w:ascii="宋体" w:hAnsi="宋体"/>
          <w:kern w:val="44"/>
        </w:rPr>
      </w:pPr>
      <w:r>
        <w:rPr>
          <w:rFonts w:hint="eastAsia" w:ascii="宋体" w:hAnsi="宋体"/>
          <w:b/>
          <w:kern w:val="44"/>
        </w:rPr>
        <w:t>第十八条</w:t>
      </w:r>
      <w:r>
        <w:rPr>
          <w:rFonts w:hint="eastAsia" w:ascii="宋体" w:hAnsi="宋体"/>
          <w:kern w:val="44"/>
        </w:rPr>
        <w:t>　本规定自2006年3月1日起施行。</w:t>
      </w:r>
    </w:p>
    <w:p w14:paraId="63FE39DB">
      <w:pPr>
        <w:pStyle w:val="4"/>
        <w:pageBreakBefore/>
        <w:rPr>
          <w:kern w:val="44"/>
        </w:rPr>
      </w:pPr>
      <w:bookmarkStart w:id="1028" w:name="_Toc428781610"/>
      <w:bookmarkStart w:id="1029" w:name="_Toc422471276"/>
      <w:bookmarkStart w:id="1030" w:name="_Toc427651904"/>
      <w:bookmarkStart w:id="1031" w:name="_Toc427651562"/>
      <w:bookmarkStart w:id="1032" w:name="_Toc428780128"/>
      <w:r>
        <w:rPr>
          <w:rFonts w:hint="eastAsia"/>
          <w:kern w:val="44"/>
        </w:rPr>
        <w:t>北京市房屋租赁管理若干规定</w:t>
      </w:r>
      <w:bookmarkEnd w:id="1028"/>
      <w:bookmarkEnd w:id="1029"/>
      <w:bookmarkEnd w:id="1030"/>
      <w:bookmarkEnd w:id="1031"/>
      <w:bookmarkEnd w:id="1032"/>
    </w:p>
    <w:p w14:paraId="651DC3FB">
      <w:pPr>
        <w:ind w:left="630" w:leftChars="300" w:right="630" w:rightChars="300"/>
        <w:jc w:val="left"/>
        <w:rPr>
          <w:rFonts w:ascii="楷体" w:hAnsi="楷体" w:eastAsia="楷体"/>
          <w:kern w:val="44"/>
        </w:rPr>
      </w:pPr>
      <w:r>
        <w:rPr>
          <w:rFonts w:hint="eastAsia" w:ascii="楷体" w:hAnsi="楷体" w:eastAsia="楷体"/>
          <w:kern w:val="44"/>
        </w:rPr>
        <w:t>（2007年11月3日北京市人民政府第194号令发布　根据2011年5月5日北京市人民政府第231号令修改 ）</w:t>
      </w:r>
    </w:p>
    <w:p w14:paraId="690926F8">
      <w:pPr>
        <w:jc w:val="left"/>
        <w:rPr>
          <w:rFonts w:ascii="宋体" w:hAnsi="宋体"/>
          <w:kern w:val="44"/>
        </w:rPr>
      </w:pPr>
    </w:p>
    <w:p w14:paraId="00EA4313">
      <w:pPr>
        <w:ind w:firstLine="0" w:firstLineChars="0"/>
        <w:jc w:val="center"/>
        <w:rPr>
          <w:rFonts w:ascii="宋体" w:hAnsi="宋体"/>
          <w:b/>
          <w:kern w:val="44"/>
          <w:sz w:val="28"/>
        </w:rPr>
      </w:pPr>
      <w:r>
        <w:rPr>
          <w:rFonts w:hint="eastAsia" w:ascii="宋体" w:hAnsi="宋体"/>
          <w:b/>
          <w:kern w:val="44"/>
          <w:sz w:val="28"/>
        </w:rPr>
        <w:t>第一章　总　则</w:t>
      </w:r>
    </w:p>
    <w:p w14:paraId="58A16E40">
      <w:pPr>
        <w:jc w:val="left"/>
        <w:rPr>
          <w:rFonts w:ascii="宋体" w:hAnsi="宋体"/>
          <w:kern w:val="44"/>
        </w:rPr>
      </w:pPr>
    </w:p>
    <w:p w14:paraId="48970129">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为了加强房屋租赁管理，维护社会秩序，保护房屋租赁当事人的合法权益，根据有关法律、法规，结合本市实际情况，制定本规定。</w:t>
      </w:r>
    </w:p>
    <w:p w14:paraId="3085328C">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本市行政区域内的房屋租赁依照本规定管理。</w:t>
      </w:r>
    </w:p>
    <w:p w14:paraId="37E899C7">
      <w:pPr>
        <w:ind w:firstLine="422"/>
        <w:jc w:val="left"/>
        <w:rPr>
          <w:rFonts w:ascii="宋体" w:hAnsi="宋体"/>
          <w:kern w:val="44"/>
        </w:rPr>
      </w:pPr>
      <w:r>
        <w:rPr>
          <w:rFonts w:hint="eastAsia" w:ascii="宋体" w:hAnsi="宋体"/>
          <w:b/>
          <w:kern w:val="44"/>
        </w:rPr>
        <w:t>第三条</w:t>
      </w:r>
      <w:r>
        <w:rPr>
          <w:rFonts w:hint="eastAsia" w:ascii="宋体" w:hAnsi="宋体"/>
          <w:kern w:val="44"/>
        </w:rPr>
        <w:t>　房屋租赁管理坚持管理与服务相结合的原则，实行属地管理。</w:t>
      </w:r>
    </w:p>
    <w:p w14:paraId="6C9F70CA">
      <w:pPr>
        <w:ind w:firstLine="422"/>
        <w:jc w:val="left"/>
        <w:rPr>
          <w:rFonts w:ascii="宋体" w:hAnsi="宋体"/>
          <w:kern w:val="44"/>
        </w:rPr>
      </w:pPr>
      <w:r>
        <w:rPr>
          <w:rFonts w:hint="eastAsia" w:ascii="宋体" w:hAnsi="宋体"/>
          <w:b/>
          <w:kern w:val="44"/>
        </w:rPr>
        <w:t>第四条</w:t>
      </w:r>
      <w:r>
        <w:rPr>
          <w:rFonts w:hint="eastAsia" w:ascii="宋体" w:hAnsi="宋体"/>
          <w:kern w:val="44"/>
        </w:rPr>
        <w:t>　本市各级人民政府应当加强对房屋租赁管理工作的领导，建立出租房屋管理机构。出租房屋管理机构具体负责房屋租赁管理的组织、指导、协调、监督等综合管理工作。</w:t>
      </w:r>
    </w:p>
    <w:p w14:paraId="2E19854E">
      <w:pPr>
        <w:jc w:val="left"/>
        <w:rPr>
          <w:rFonts w:ascii="宋体" w:hAnsi="宋体"/>
          <w:kern w:val="44"/>
        </w:rPr>
      </w:pPr>
      <w:r>
        <w:rPr>
          <w:rFonts w:hint="eastAsia" w:ascii="宋体" w:hAnsi="宋体"/>
          <w:kern w:val="44"/>
        </w:rPr>
        <w:t>公安机关负责出租房屋治安管理、消防管理和租赁当事人的户籍管理。</w:t>
      </w:r>
    </w:p>
    <w:p w14:paraId="5E0C9ED0">
      <w:pPr>
        <w:jc w:val="left"/>
        <w:rPr>
          <w:rFonts w:ascii="宋体" w:hAnsi="宋体"/>
          <w:kern w:val="44"/>
        </w:rPr>
      </w:pPr>
      <w:r>
        <w:rPr>
          <w:rFonts w:hint="eastAsia" w:ascii="宋体" w:hAnsi="宋体"/>
          <w:kern w:val="44"/>
        </w:rPr>
        <w:t>建设（房屋）行政部门负责房屋租赁市场、出租房屋建筑结构安全的监督管理和房地产经纪的行业管理。</w:t>
      </w:r>
    </w:p>
    <w:p w14:paraId="7F342F4B">
      <w:pPr>
        <w:jc w:val="left"/>
        <w:rPr>
          <w:rFonts w:ascii="宋体" w:hAnsi="宋体"/>
          <w:kern w:val="44"/>
        </w:rPr>
      </w:pPr>
      <w:r>
        <w:rPr>
          <w:rFonts w:hint="eastAsia" w:ascii="宋体" w:hAnsi="宋体"/>
          <w:kern w:val="44"/>
        </w:rPr>
        <w:t>工商行政管理部门负责对经纪活动进行综合监督管理，查处利用出租房屋进行无照经营等违法经营行为。</w:t>
      </w:r>
    </w:p>
    <w:p w14:paraId="264FE864">
      <w:pPr>
        <w:jc w:val="left"/>
        <w:rPr>
          <w:rFonts w:ascii="宋体" w:hAnsi="宋体"/>
          <w:kern w:val="44"/>
        </w:rPr>
      </w:pPr>
      <w:r>
        <w:rPr>
          <w:rFonts w:hint="eastAsia" w:ascii="宋体" w:hAnsi="宋体"/>
          <w:kern w:val="44"/>
        </w:rPr>
        <w:t>民防行政部门负责人防工程的租赁管理。</w:t>
      </w:r>
    </w:p>
    <w:p w14:paraId="0CE444EE">
      <w:pPr>
        <w:jc w:val="left"/>
        <w:rPr>
          <w:rFonts w:ascii="宋体" w:hAnsi="宋体"/>
          <w:kern w:val="44"/>
        </w:rPr>
      </w:pPr>
      <w:r>
        <w:rPr>
          <w:rFonts w:hint="eastAsia" w:ascii="宋体" w:hAnsi="宋体"/>
          <w:kern w:val="44"/>
        </w:rPr>
        <w:t>卫生、人口计生、规划、税务、国家安全和城市管理综合执法等行政部门应当按照各自职责做好房屋租赁的管理工作。</w:t>
      </w:r>
    </w:p>
    <w:p w14:paraId="73592065">
      <w:pPr>
        <w:ind w:firstLine="422"/>
        <w:jc w:val="left"/>
        <w:rPr>
          <w:rFonts w:ascii="宋体" w:hAnsi="宋体"/>
          <w:kern w:val="44"/>
        </w:rPr>
      </w:pPr>
      <w:r>
        <w:rPr>
          <w:rFonts w:hint="eastAsia" w:ascii="宋体" w:hAnsi="宋体"/>
          <w:b/>
          <w:kern w:val="44"/>
        </w:rPr>
        <w:t>第五条</w:t>
      </w:r>
      <w:r>
        <w:rPr>
          <w:rFonts w:hint="eastAsia" w:ascii="宋体" w:hAnsi="宋体"/>
          <w:kern w:val="44"/>
        </w:rPr>
        <w:t>　区、县人民政府应当在社区、村建立负责房屋租赁管理、服务的基层管理服务站（ 以下简称基层管理服务站 ），并保障其工作所需的经费、办公场所。</w:t>
      </w:r>
    </w:p>
    <w:p w14:paraId="75DFD1FF">
      <w:pPr>
        <w:ind w:firstLine="422"/>
        <w:jc w:val="left"/>
        <w:rPr>
          <w:rFonts w:ascii="宋体" w:hAnsi="宋体"/>
          <w:kern w:val="44"/>
        </w:rPr>
      </w:pPr>
      <w:r>
        <w:rPr>
          <w:rFonts w:hint="eastAsia" w:ascii="宋体" w:hAnsi="宋体"/>
          <w:b/>
          <w:kern w:val="44"/>
        </w:rPr>
        <w:t>第六条</w:t>
      </w:r>
      <w:r>
        <w:rPr>
          <w:rFonts w:hint="eastAsia" w:ascii="宋体" w:hAnsi="宋体"/>
          <w:kern w:val="44"/>
        </w:rPr>
        <w:t>　居民委员会、村民委员会等基层组织应当协助有关行政部门做好房屋租赁管理工作，督促出租人、承租人自觉遵守国家和本市房屋租赁管理规定。</w:t>
      </w:r>
    </w:p>
    <w:p w14:paraId="32945E8A">
      <w:pPr>
        <w:jc w:val="left"/>
        <w:rPr>
          <w:rFonts w:ascii="宋体" w:hAnsi="宋体"/>
          <w:kern w:val="44"/>
        </w:rPr>
      </w:pPr>
      <w:r>
        <w:rPr>
          <w:rFonts w:hint="eastAsia" w:ascii="宋体" w:hAnsi="宋体"/>
          <w:kern w:val="44"/>
        </w:rPr>
        <w:t>居民委员会、村民委员会可以根据本地区实际，组织居民制定房屋租赁管理公约，对房屋租赁实行自治管理。</w:t>
      </w:r>
    </w:p>
    <w:p w14:paraId="217947E3">
      <w:pPr>
        <w:ind w:firstLine="422"/>
        <w:jc w:val="left"/>
        <w:rPr>
          <w:rFonts w:ascii="宋体" w:hAnsi="宋体"/>
          <w:kern w:val="44"/>
        </w:rPr>
      </w:pPr>
      <w:r>
        <w:rPr>
          <w:rFonts w:hint="eastAsia" w:ascii="宋体" w:hAnsi="宋体"/>
          <w:b/>
          <w:kern w:val="44"/>
        </w:rPr>
        <w:t>第七条</w:t>
      </w:r>
      <w:r>
        <w:rPr>
          <w:rFonts w:hint="eastAsia" w:ascii="宋体" w:hAnsi="宋体"/>
          <w:kern w:val="44"/>
        </w:rPr>
        <w:t>　租赁房屋的，出租人和承租人应当依法签订房屋租赁合同。合同内容应当包括房屋基本情况、租金、租赁期限、租赁用途、违约责任等。</w:t>
      </w:r>
    </w:p>
    <w:p w14:paraId="73A282DB">
      <w:pPr>
        <w:jc w:val="left"/>
        <w:rPr>
          <w:rFonts w:ascii="宋体" w:hAnsi="宋体"/>
          <w:kern w:val="44"/>
        </w:rPr>
      </w:pPr>
      <w:r>
        <w:rPr>
          <w:rFonts w:hint="eastAsia" w:ascii="宋体" w:hAnsi="宋体"/>
          <w:kern w:val="44"/>
        </w:rPr>
        <w:t>房屋租赁期限内未经承租人同意，出租人不得擅自缩短租赁期限、增加租金。</w:t>
      </w:r>
    </w:p>
    <w:p w14:paraId="65F2F1D6">
      <w:pPr>
        <w:jc w:val="left"/>
        <w:rPr>
          <w:rFonts w:ascii="宋体" w:hAnsi="宋体"/>
          <w:kern w:val="44"/>
        </w:rPr>
      </w:pPr>
      <w:r>
        <w:rPr>
          <w:rFonts w:hint="eastAsia" w:ascii="宋体" w:hAnsi="宋体"/>
          <w:kern w:val="44"/>
        </w:rPr>
        <w:t>市建设（房屋）行政部门应当会同市工商行政管理部门制定房屋租赁合同示范文本，向社会公布。</w:t>
      </w:r>
    </w:p>
    <w:p w14:paraId="4216399F">
      <w:pPr>
        <w:ind w:firstLine="422"/>
        <w:jc w:val="left"/>
        <w:rPr>
          <w:rFonts w:ascii="宋体" w:hAnsi="宋体"/>
          <w:kern w:val="44"/>
        </w:rPr>
      </w:pPr>
      <w:r>
        <w:rPr>
          <w:rFonts w:hint="eastAsia" w:ascii="宋体" w:hAnsi="宋体"/>
          <w:b/>
          <w:kern w:val="44"/>
        </w:rPr>
        <w:t>第八条</w:t>
      </w:r>
      <w:r>
        <w:rPr>
          <w:rFonts w:hint="eastAsia" w:ascii="宋体" w:hAnsi="宋体"/>
          <w:kern w:val="44"/>
        </w:rPr>
        <w:t>　出租人出卖租赁房屋的，应当在出卖之前的合理期限内通知承租人，承租人享有以同等条件优先购买的权利。</w:t>
      </w:r>
    </w:p>
    <w:p w14:paraId="621907E2">
      <w:pPr>
        <w:jc w:val="left"/>
        <w:rPr>
          <w:rFonts w:ascii="宋体" w:hAnsi="宋体"/>
          <w:kern w:val="44"/>
        </w:rPr>
      </w:pPr>
      <w:r>
        <w:rPr>
          <w:rFonts w:hint="eastAsia" w:ascii="宋体" w:hAnsi="宋体"/>
          <w:kern w:val="44"/>
        </w:rPr>
        <w:t>房屋在租赁期限内因买卖、继承、赠与等发生所有权变动的，不影响租赁合同的效力。</w:t>
      </w:r>
    </w:p>
    <w:p w14:paraId="11FEA1C0">
      <w:pPr>
        <w:ind w:firstLine="422"/>
        <w:jc w:val="left"/>
        <w:rPr>
          <w:rFonts w:ascii="宋体" w:hAnsi="宋体"/>
          <w:kern w:val="44"/>
        </w:rPr>
      </w:pPr>
      <w:r>
        <w:rPr>
          <w:rFonts w:hint="eastAsia" w:ascii="宋体" w:hAnsi="宋体"/>
          <w:b/>
          <w:kern w:val="44"/>
        </w:rPr>
        <w:t>第九条</w:t>
      </w:r>
      <w:r>
        <w:rPr>
          <w:rFonts w:hint="eastAsia" w:ascii="宋体" w:hAnsi="宋体"/>
          <w:kern w:val="44"/>
        </w:rPr>
        <w:t>　本市鼓励、支持出租人和承租人签订长期居住租赁合同，建立稳定的租赁关系。</w:t>
      </w:r>
    </w:p>
    <w:p w14:paraId="63AD50C9">
      <w:pPr>
        <w:jc w:val="left"/>
        <w:rPr>
          <w:rFonts w:ascii="宋体" w:hAnsi="宋体"/>
          <w:kern w:val="44"/>
        </w:rPr>
      </w:pPr>
      <w:r>
        <w:rPr>
          <w:rFonts w:hint="eastAsia" w:ascii="宋体" w:hAnsi="宋体"/>
          <w:kern w:val="44"/>
        </w:rPr>
        <w:t>租赁市场在短期内出现租金较大波动等异常变化，市人民政府可以授权市发展改革、市建设（房屋）等行政部门采取必要的临时干预措施，稳定租赁市场。</w:t>
      </w:r>
    </w:p>
    <w:p w14:paraId="69A20966">
      <w:pPr>
        <w:ind w:firstLine="422"/>
        <w:jc w:val="left"/>
        <w:rPr>
          <w:rFonts w:ascii="宋体" w:hAnsi="宋体"/>
          <w:kern w:val="44"/>
        </w:rPr>
      </w:pPr>
      <w:r>
        <w:rPr>
          <w:rFonts w:hint="eastAsia" w:ascii="宋体" w:hAnsi="宋体"/>
          <w:b/>
          <w:kern w:val="44"/>
        </w:rPr>
        <w:t>第十条</w:t>
      </w:r>
      <w:r>
        <w:rPr>
          <w:rFonts w:hint="eastAsia" w:ascii="宋体" w:hAnsi="宋体"/>
          <w:kern w:val="44"/>
        </w:rPr>
        <w:t>　市和区、县人民政府应当制定计划，通过建设、收购等多种方式提供廉租房、公共租赁房。</w:t>
      </w:r>
    </w:p>
    <w:p w14:paraId="04CAF10B">
      <w:pPr>
        <w:jc w:val="left"/>
        <w:rPr>
          <w:rFonts w:ascii="宋体" w:hAnsi="宋体"/>
          <w:kern w:val="44"/>
        </w:rPr>
      </w:pPr>
      <w:r>
        <w:rPr>
          <w:rFonts w:hint="eastAsia" w:ascii="宋体" w:hAnsi="宋体"/>
          <w:kern w:val="44"/>
        </w:rPr>
        <w:t>本市鼓励企业、个人投资建设公共租赁房。</w:t>
      </w:r>
    </w:p>
    <w:p w14:paraId="490A3361">
      <w:pPr>
        <w:jc w:val="left"/>
        <w:rPr>
          <w:rFonts w:ascii="宋体" w:hAnsi="宋体"/>
          <w:kern w:val="44"/>
        </w:rPr>
      </w:pPr>
    </w:p>
    <w:p w14:paraId="285E6E87">
      <w:pPr>
        <w:ind w:firstLine="0" w:firstLineChars="0"/>
        <w:jc w:val="center"/>
        <w:rPr>
          <w:rFonts w:ascii="宋体" w:hAnsi="宋体"/>
          <w:b/>
          <w:kern w:val="44"/>
          <w:sz w:val="28"/>
        </w:rPr>
      </w:pPr>
      <w:r>
        <w:rPr>
          <w:rFonts w:hint="eastAsia" w:ascii="宋体" w:hAnsi="宋体"/>
          <w:b/>
          <w:kern w:val="44"/>
          <w:sz w:val="28"/>
        </w:rPr>
        <w:t>第二章  出租登记</w:t>
      </w:r>
    </w:p>
    <w:p w14:paraId="4D563979">
      <w:pPr>
        <w:jc w:val="left"/>
        <w:rPr>
          <w:rFonts w:ascii="宋体" w:hAnsi="宋体"/>
          <w:kern w:val="44"/>
        </w:rPr>
      </w:pPr>
    </w:p>
    <w:p w14:paraId="26825783">
      <w:pPr>
        <w:ind w:firstLine="422"/>
        <w:jc w:val="left"/>
        <w:rPr>
          <w:rFonts w:ascii="宋体" w:hAnsi="宋体"/>
          <w:kern w:val="44"/>
        </w:rPr>
      </w:pPr>
      <w:r>
        <w:rPr>
          <w:rFonts w:hint="eastAsia" w:ascii="宋体" w:hAnsi="宋体"/>
          <w:b/>
          <w:kern w:val="44"/>
        </w:rPr>
        <w:t>第十一条</w:t>
      </w:r>
      <w:r>
        <w:rPr>
          <w:rFonts w:hint="eastAsia" w:ascii="宋体" w:hAnsi="宋体"/>
          <w:kern w:val="44"/>
        </w:rPr>
        <w:t>　租赁房屋用于居住的，应当进行出租登记。</w:t>
      </w:r>
    </w:p>
    <w:p w14:paraId="3765AD39">
      <w:pPr>
        <w:jc w:val="left"/>
        <w:rPr>
          <w:rFonts w:ascii="宋体" w:hAnsi="宋体"/>
          <w:kern w:val="44"/>
        </w:rPr>
      </w:pPr>
      <w:r>
        <w:rPr>
          <w:rFonts w:hint="eastAsia" w:ascii="宋体" w:hAnsi="宋体"/>
          <w:kern w:val="44"/>
        </w:rPr>
        <w:t>出租人应当自与承租人订立房屋租赁合同之日起7日内，到房屋所在地的基层管理服务站办理房屋出租登记手续，并填报下列内容：</w:t>
      </w:r>
    </w:p>
    <w:p w14:paraId="27CFC643">
      <w:pPr>
        <w:jc w:val="left"/>
        <w:rPr>
          <w:rFonts w:ascii="宋体" w:hAnsi="宋体"/>
          <w:kern w:val="44"/>
        </w:rPr>
      </w:pPr>
      <w:r>
        <w:rPr>
          <w:rFonts w:hint="eastAsia" w:ascii="宋体" w:hAnsi="宋体"/>
          <w:kern w:val="44"/>
        </w:rPr>
        <w:t>（一）出租人、承租人姓名或者名称、证件种类和号码、住所地，实际居住人员的姓名、身份证件种类和号码、户籍地；</w:t>
      </w:r>
    </w:p>
    <w:p w14:paraId="7A334F3E">
      <w:pPr>
        <w:jc w:val="left"/>
        <w:rPr>
          <w:rFonts w:ascii="宋体" w:hAnsi="宋体"/>
          <w:kern w:val="44"/>
        </w:rPr>
      </w:pPr>
      <w:r>
        <w:rPr>
          <w:rFonts w:hint="eastAsia" w:ascii="宋体" w:hAnsi="宋体"/>
          <w:kern w:val="44"/>
        </w:rPr>
        <w:t>（二）出租房屋的基本情况、租金和租赁期限；</w:t>
      </w:r>
    </w:p>
    <w:p w14:paraId="62BFC245">
      <w:pPr>
        <w:jc w:val="left"/>
        <w:rPr>
          <w:rFonts w:ascii="宋体" w:hAnsi="宋体"/>
          <w:kern w:val="44"/>
        </w:rPr>
      </w:pPr>
      <w:r>
        <w:rPr>
          <w:rFonts w:hint="eastAsia" w:ascii="宋体" w:hAnsi="宋体"/>
          <w:kern w:val="44"/>
        </w:rPr>
        <w:t>（三）房屋权属证书或者房屋来源证明；</w:t>
      </w:r>
    </w:p>
    <w:p w14:paraId="4B146E4B">
      <w:pPr>
        <w:jc w:val="left"/>
        <w:rPr>
          <w:rFonts w:ascii="宋体" w:hAnsi="宋体"/>
          <w:kern w:val="44"/>
        </w:rPr>
      </w:pPr>
      <w:r>
        <w:rPr>
          <w:rFonts w:hint="eastAsia" w:ascii="宋体" w:hAnsi="宋体"/>
          <w:kern w:val="44"/>
        </w:rPr>
        <w:t>（四）本市规定的其他内容。</w:t>
      </w:r>
    </w:p>
    <w:p w14:paraId="6E11551B">
      <w:pPr>
        <w:ind w:firstLine="422"/>
        <w:jc w:val="left"/>
        <w:rPr>
          <w:rFonts w:ascii="宋体" w:hAnsi="宋体"/>
          <w:kern w:val="44"/>
        </w:rPr>
      </w:pPr>
      <w:r>
        <w:rPr>
          <w:rFonts w:hint="eastAsia" w:ascii="宋体" w:hAnsi="宋体"/>
          <w:b/>
          <w:kern w:val="44"/>
        </w:rPr>
        <w:t>第十二条</w:t>
      </w:r>
      <w:r>
        <w:rPr>
          <w:rFonts w:hint="eastAsia" w:ascii="宋体" w:hAnsi="宋体"/>
          <w:kern w:val="44"/>
        </w:rPr>
        <w:t>　房屋租赁合同变更或者终止的，出租人应当自合同变更或者终止之日起5日内，到房屋所在地的基层管理服务站办理登记变更、注销手续。</w:t>
      </w:r>
    </w:p>
    <w:p w14:paraId="42F2D5C3">
      <w:pPr>
        <w:jc w:val="left"/>
        <w:rPr>
          <w:rFonts w:ascii="宋体" w:hAnsi="宋体"/>
          <w:kern w:val="44"/>
        </w:rPr>
      </w:pPr>
      <w:r>
        <w:rPr>
          <w:rFonts w:hint="eastAsia" w:ascii="宋体" w:hAnsi="宋体"/>
          <w:kern w:val="44"/>
        </w:rPr>
        <w:t>在房屋租赁合同有效期内，居住人员发生变更的，承租人应当自变更之日起2日内告知基层管理服务站，办理变更登记手续。</w:t>
      </w:r>
    </w:p>
    <w:p w14:paraId="64CAE433">
      <w:pPr>
        <w:ind w:firstLine="422"/>
        <w:jc w:val="left"/>
        <w:rPr>
          <w:rFonts w:ascii="宋体" w:hAnsi="宋体"/>
          <w:kern w:val="44"/>
        </w:rPr>
      </w:pPr>
      <w:r>
        <w:rPr>
          <w:rFonts w:hint="eastAsia" w:ascii="宋体" w:hAnsi="宋体"/>
          <w:b/>
          <w:kern w:val="44"/>
        </w:rPr>
        <w:t>第十三条</w:t>
      </w:r>
      <w:r>
        <w:rPr>
          <w:rFonts w:hint="eastAsia" w:ascii="宋体" w:hAnsi="宋体"/>
          <w:kern w:val="44"/>
        </w:rPr>
        <w:t>　房地产经纪机构从事房屋租赁居间活动，应当书面告知租赁当事人到房屋所在地基层管理服务站办理房屋出租登记手续；提供房屋租赁经纪委托代理业务的，房地产经纪机构应当按照本规定第十一条、第十二条第一款的规定，办理房屋出租登记、变更、注销手续或者按照市建设（房屋）行政部门的规定通过房屋租赁合同网上备案系统填报相关信息。</w:t>
      </w:r>
    </w:p>
    <w:p w14:paraId="662F019E">
      <w:pPr>
        <w:ind w:firstLine="422"/>
        <w:jc w:val="left"/>
        <w:rPr>
          <w:rFonts w:ascii="宋体" w:hAnsi="宋体"/>
          <w:kern w:val="44"/>
        </w:rPr>
      </w:pPr>
      <w:r>
        <w:rPr>
          <w:rFonts w:hint="eastAsia" w:ascii="宋体" w:hAnsi="宋体"/>
          <w:b/>
          <w:kern w:val="44"/>
        </w:rPr>
        <w:t>第十四条</w:t>
      </w:r>
      <w:r>
        <w:rPr>
          <w:rFonts w:hint="eastAsia" w:ascii="宋体" w:hAnsi="宋体"/>
          <w:kern w:val="44"/>
        </w:rPr>
        <w:t>　基层管理服务站应当为办理房屋出租登记的当事人提供下列服务：</w:t>
      </w:r>
    </w:p>
    <w:p w14:paraId="421C6B67">
      <w:pPr>
        <w:jc w:val="left"/>
        <w:rPr>
          <w:rFonts w:ascii="宋体" w:hAnsi="宋体"/>
          <w:kern w:val="44"/>
        </w:rPr>
      </w:pPr>
      <w:r>
        <w:rPr>
          <w:rFonts w:hint="eastAsia" w:ascii="宋体" w:hAnsi="宋体"/>
          <w:kern w:val="44"/>
        </w:rPr>
        <w:t>（一）宣传有关房屋租赁管理的规定和安全使用房屋的知识；</w:t>
      </w:r>
    </w:p>
    <w:p w14:paraId="28D2D92C">
      <w:pPr>
        <w:jc w:val="left"/>
        <w:rPr>
          <w:rFonts w:ascii="宋体" w:hAnsi="宋体"/>
          <w:kern w:val="44"/>
        </w:rPr>
      </w:pPr>
      <w:r>
        <w:rPr>
          <w:rFonts w:hint="eastAsia" w:ascii="宋体" w:hAnsi="宋体"/>
          <w:kern w:val="44"/>
        </w:rPr>
        <w:t>（二）告知有关人员办理流动儿童入学、国家免疫规划项目的预防接种、计划生育免费技术服务等事项的规定和流程；</w:t>
      </w:r>
    </w:p>
    <w:p w14:paraId="1DD3E3C4">
      <w:pPr>
        <w:jc w:val="left"/>
        <w:rPr>
          <w:rFonts w:ascii="宋体" w:hAnsi="宋体"/>
          <w:kern w:val="44"/>
        </w:rPr>
      </w:pPr>
      <w:r>
        <w:rPr>
          <w:rFonts w:hint="eastAsia" w:ascii="宋体" w:hAnsi="宋体"/>
          <w:kern w:val="44"/>
        </w:rPr>
        <w:t>（三）根据当事人的要求出具与房屋租赁有关的证明；</w:t>
      </w:r>
    </w:p>
    <w:p w14:paraId="1C868747">
      <w:pPr>
        <w:jc w:val="left"/>
        <w:rPr>
          <w:rFonts w:ascii="宋体" w:hAnsi="宋体"/>
          <w:kern w:val="44"/>
        </w:rPr>
      </w:pPr>
      <w:r>
        <w:rPr>
          <w:rFonts w:hint="eastAsia" w:ascii="宋体" w:hAnsi="宋体"/>
          <w:kern w:val="44"/>
        </w:rPr>
        <w:t>（四）受当事人委托，提供办理暂住登记、暂住证件，办理普通地下室登记备案，交验、登记流动人口婚育证明，纳税代办服务等；</w:t>
      </w:r>
    </w:p>
    <w:p w14:paraId="047B3CBC">
      <w:pPr>
        <w:jc w:val="left"/>
        <w:rPr>
          <w:rFonts w:ascii="宋体" w:hAnsi="宋体"/>
          <w:kern w:val="44"/>
        </w:rPr>
      </w:pPr>
      <w:r>
        <w:rPr>
          <w:rFonts w:hint="eastAsia" w:ascii="宋体" w:hAnsi="宋体"/>
          <w:kern w:val="44"/>
        </w:rPr>
        <w:t>（五）提供维权服务信息；</w:t>
      </w:r>
    </w:p>
    <w:p w14:paraId="37459C24">
      <w:pPr>
        <w:jc w:val="left"/>
        <w:rPr>
          <w:rFonts w:ascii="宋体" w:hAnsi="宋体"/>
          <w:kern w:val="44"/>
        </w:rPr>
      </w:pPr>
      <w:r>
        <w:rPr>
          <w:rFonts w:hint="eastAsia" w:ascii="宋体" w:hAnsi="宋体"/>
          <w:kern w:val="44"/>
        </w:rPr>
        <w:t>（六）市和区、县人民政府规定的其他服务项目。</w:t>
      </w:r>
    </w:p>
    <w:p w14:paraId="09D74465">
      <w:pPr>
        <w:ind w:firstLine="422"/>
        <w:jc w:val="left"/>
        <w:rPr>
          <w:rFonts w:ascii="宋体" w:hAnsi="宋体"/>
          <w:kern w:val="44"/>
        </w:rPr>
      </w:pPr>
      <w:r>
        <w:rPr>
          <w:rFonts w:hint="eastAsia" w:ascii="宋体" w:hAnsi="宋体"/>
          <w:b/>
          <w:kern w:val="44"/>
        </w:rPr>
        <w:t>第十五条</w:t>
      </w:r>
      <w:r>
        <w:rPr>
          <w:rFonts w:hint="eastAsia" w:ascii="宋体" w:hAnsi="宋体"/>
          <w:kern w:val="44"/>
        </w:rPr>
        <w:t>　基层管理服务站办理出租登记、为当事人提供服务，不得收取任何费用。基层管理服务站不得从事或者变相从事经营性活动。</w:t>
      </w:r>
    </w:p>
    <w:p w14:paraId="50E2CC20">
      <w:pPr>
        <w:jc w:val="left"/>
        <w:rPr>
          <w:rFonts w:ascii="宋体" w:hAnsi="宋体"/>
          <w:kern w:val="44"/>
        </w:rPr>
      </w:pPr>
    </w:p>
    <w:p w14:paraId="1F2B1D54">
      <w:pPr>
        <w:ind w:firstLine="0" w:firstLineChars="0"/>
        <w:jc w:val="center"/>
        <w:rPr>
          <w:rFonts w:ascii="宋体" w:hAnsi="宋体"/>
          <w:b/>
          <w:kern w:val="44"/>
          <w:sz w:val="28"/>
        </w:rPr>
      </w:pPr>
      <w:r>
        <w:rPr>
          <w:rFonts w:hint="eastAsia" w:ascii="宋体" w:hAnsi="宋体"/>
          <w:b/>
          <w:kern w:val="44"/>
          <w:sz w:val="28"/>
        </w:rPr>
        <w:t>第三章  管理规范</w:t>
      </w:r>
    </w:p>
    <w:p w14:paraId="00D0E6DC">
      <w:pPr>
        <w:jc w:val="left"/>
        <w:rPr>
          <w:rFonts w:ascii="宋体" w:hAnsi="宋体"/>
          <w:kern w:val="44"/>
        </w:rPr>
      </w:pPr>
    </w:p>
    <w:p w14:paraId="296DBD9C">
      <w:pPr>
        <w:ind w:firstLine="422"/>
        <w:jc w:val="left"/>
        <w:rPr>
          <w:rFonts w:ascii="宋体" w:hAnsi="宋体"/>
          <w:kern w:val="44"/>
        </w:rPr>
      </w:pPr>
      <w:r>
        <w:rPr>
          <w:rFonts w:hint="eastAsia" w:ascii="宋体" w:hAnsi="宋体"/>
          <w:b/>
          <w:kern w:val="44"/>
        </w:rPr>
        <w:t>第十六条</w:t>
      </w:r>
      <w:r>
        <w:rPr>
          <w:rFonts w:hint="eastAsia" w:ascii="宋体" w:hAnsi="宋体"/>
          <w:kern w:val="44"/>
        </w:rPr>
        <w:t>　出租房屋的安全由房屋所有人负责。房屋承租人应当对其使用行为负责。</w:t>
      </w:r>
    </w:p>
    <w:p w14:paraId="1C791E5F">
      <w:pPr>
        <w:jc w:val="left"/>
        <w:rPr>
          <w:rFonts w:ascii="宋体" w:hAnsi="宋体"/>
          <w:kern w:val="44"/>
        </w:rPr>
      </w:pPr>
      <w:r>
        <w:rPr>
          <w:rFonts w:hint="eastAsia" w:ascii="宋体" w:hAnsi="宋体"/>
          <w:kern w:val="44"/>
        </w:rPr>
        <w:t>房屋所有人将出租登记的房屋委托他人管理的，应当书面报告房屋所在地的基层管理服务站。</w:t>
      </w:r>
    </w:p>
    <w:p w14:paraId="75DE39C3">
      <w:pPr>
        <w:ind w:firstLine="422"/>
        <w:jc w:val="left"/>
        <w:rPr>
          <w:rFonts w:ascii="宋体" w:hAnsi="宋体"/>
          <w:kern w:val="44"/>
        </w:rPr>
      </w:pPr>
      <w:r>
        <w:rPr>
          <w:rFonts w:hint="eastAsia" w:ascii="宋体" w:hAnsi="宋体"/>
          <w:b/>
          <w:kern w:val="44"/>
        </w:rPr>
        <w:t>第十七条</w:t>
      </w:r>
      <w:r>
        <w:rPr>
          <w:rFonts w:hint="eastAsia" w:ascii="宋体" w:hAnsi="宋体"/>
          <w:kern w:val="44"/>
        </w:rPr>
        <w:t>　出租房屋的建筑结构和设备设施，应当符合建筑、消防、治安、卫生等方面的安全条件，不得危及人身安全。</w:t>
      </w:r>
    </w:p>
    <w:p w14:paraId="1C6C84EA">
      <w:pPr>
        <w:jc w:val="left"/>
        <w:rPr>
          <w:rFonts w:ascii="宋体" w:hAnsi="宋体"/>
          <w:kern w:val="44"/>
        </w:rPr>
      </w:pPr>
      <w:r>
        <w:rPr>
          <w:rFonts w:hint="eastAsia" w:ascii="宋体" w:hAnsi="宋体"/>
          <w:kern w:val="44"/>
        </w:rPr>
        <w:t>禁止将违法建筑和其他依法不得出租的房屋出租。</w:t>
      </w:r>
    </w:p>
    <w:p w14:paraId="4554DE00">
      <w:pPr>
        <w:ind w:firstLine="422"/>
        <w:jc w:val="left"/>
        <w:rPr>
          <w:rFonts w:ascii="宋体" w:hAnsi="宋体"/>
          <w:kern w:val="44"/>
        </w:rPr>
      </w:pPr>
      <w:r>
        <w:rPr>
          <w:rFonts w:hint="eastAsia" w:ascii="宋体" w:hAnsi="宋体"/>
          <w:b/>
          <w:kern w:val="44"/>
        </w:rPr>
        <w:t>第十八条</w:t>
      </w:r>
      <w:r>
        <w:rPr>
          <w:rFonts w:hint="eastAsia" w:ascii="宋体" w:hAnsi="宋体"/>
          <w:kern w:val="44"/>
        </w:rPr>
        <w:t>　出租人有权对承租人使用房屋的情况进行监督。出租人不得向无身份证明的人出租房屋；不得以出租房屋的方式为非法生产经营活动提供便利条件；发现承租人利用出租房屋有犯罪活动嫌疑的，及时向公安机关报告。</w:t>
      </w:r>
    </w:p>
    <w:p w14:paraId="37D18337">
      <w:pPr>
        <w:jc w:val="left"/>
        <w:rPr>
          <w:rFonts w:ascii="宋体" w:hAnsi="宋体"/>
          <w:kern w:val="44"/>
        </w:rPr>
      </w:pPr>
      <w:r>
        <w:rPr>
          <w:rFonts w:hint="eastAsia" w:ascii="宋体" w:hAnsi="宋体"/>
          <w:kern w:val="44"/>
        </w:rPr>
        <w:t>出租人出租房屋的收入，应当依法纳税。</w:t>
      </w:r>
    </w:p>
    <w:p w14:paraId="5421396D">
      <w:pPr>
        <w:ind w:firstLine="422"/>
        <w:jc w:val="left"/>
        <w:rPr>
          <w:rFonts w:ascii="宋体" w:hAnsi="宋体"/>
          <w:kern w:val="44"/>
        </w:rPr>
      </w:pPr>
      <w:r>
        <w:rPr>
          <w:rFonts w:hint="eastAsia" w:ascii="宋体" w:hAnsi="宋体"/>
          <w:b/>
          <w:kern w:val="44"/>
        </w:rPr>
        <w:t>第十九条</w:t>
      </w:r>
      <w:r>
        <w:rPr>
          <w:rFonts w:hint="eastAsia" w:ascii="宋体" w:hAnsi="宋体"/>
          <w:kern w:val="44"/>
        </w:rPr>
        <w:t>　承租人应当配合出租人进行房屋出租登记；不得擅自改变承租房屋的规划设计用途，不得利用租赁房屋从事非法生产、加工、储存、经营爆炸性、毒害性、放射性、腐蚀性物质或者传染病病原体等危险物质和其他违法活动，不得损害公共利益或者妨碍他人正常工作、生活。</w:t>
      </w:r>
    </w:p>
    <w:p w14:paraId="065DB11C">
      <w:pPr>
        <w:ind w:firstLine="422"/>
        <w:jc w:val="left"/>
        <w:rPr>
          <w:rFonts w:ascii="宋体" w:hAnsi="宋体"/>
          <w:kern w:val="44"/>
        </w:rPr>
      </w:pPr>
      <w:r>
        <w:rPr>
          <w:rFonts w:hint="eastAsia" w:ascii="宋体" w:hAnsi="宋体"/>
          <w:b/>
          <w:kern w:val="44"/>
        </w:rPr>
        <w:t>第二十条</w:t>
      </w:r>
      <w:r>
        <w:rPr>
          <w:rFonts w:hint="eastAsia" w:ascii="宋体" w:hAnsi="宋体"/>
          <w:kern w:val="44"/>
        </w:rPr>
        <w:t>　出租房屋人均居住面积不得低于本市规定的标准。具体标准由市建设（房屋）行政部门会同市公安、市规划、市卫生等有关行政部门制定。</w:t>
      </w:r>
    </w:p>
    <w:p w14:paraId="160CD44F">
      <w:pPr>
        <w:jc w:val="left"/>
        <w:rPr>
          <w:rFonts w:ascii="宋体" w:hAnsi="宋体"/>
          <w:kern w:val="44"/>
        </w:rPr>
      </w:pPr>
      <w:r>
        <w:rPr>
          <w:rFonts w:hint="eastAsia" w:ascii="宋体" w:hAnsi="宋体"/>
          <w:kern w:val="44"/>
        </w:rPr>
        <w:t>不得将厨房、卫生间、阳台、地下储藏室等作为卧室出租供人员居住。</w:t>
      </w:r>
    </w:p>
    <w:p w14:paraId="64C3583A">
      <w:pPr>
        <w:ind w:firstLine="422"/>
        <w:jc w:val="left"/>
        <w:rPr>
          <w:rFonts w:ascii="宋体" w:hAnsi="宋体"/>
          <w:kern w:val="44"/>
        </w:rPr>
      </w:pPr>
      <w:r>
        <w:rPr>
          <w:rFonts w:hint="eastAsia" w:ascii="宋体" w:hAnsi="宋体"/>
          <w:b/>
          <w:kern w:val="44"/>
        </w:rPr>
        <w:t>第二十一条</w:t>
      </w:r>
      <w:r>
        <w:rPr>
          <w:rFonts w:hint="eastAsia" w:ascii="宋体" w:hAnsi="宋体"/>
          <w:kern w:val="44"/>
        </w:rPr>
        <w:t>　集中出租房屋供他人居住，出租房间达到10间以上或者出租房屋居住人员达到15人以上的，出租人应当建立相应的管理制度，明确专门的管理人员，设置监控、灭火等治安防范、消防设备设施和安全通道，并建立信息登记簿或者登记系统。</w:t>
      </w:r>
    </w:p>
    <w:p w14:paraId="68E9E71B">
      <w:pPr>
        <w:jc w:val="left"/>
        <w:rPr>
          <w:rFonts w:ascii="宋体" w:hAnsi="宋体"/>
          <w:kern w:val="44"/>
        </w:rPr>
      </w:pPr>
      <w:r>
        <w:rPr>
          <w:rFonts w:hint="eastAsia" w:ascii="宋体" w:hAnsi="宋体"/>
          <w:kern w:val="44"/>
        </w:rPr>
        <w:t>单位承租房屋作为集体宿舍供本单位职工居住的，单位应当按照前款规定履行安全管理职责。</w:t>
      </w:r>
    </w:p>
    <w:p w14:paraId="1775BE80">
      <w:pPr>
        <w:jc w:val="left"/>
        <w:rPr>
          <w:rFonts w:ascii="宋体" w:hAnsi="宋体"/>
          <w:kern w:val="44"/>
        </w:rPr>
      </w:pPr>
      <w:r>
        <w:rPr>
          <w:rFonts w:hint="eastAsia" w:ascii="宋体" w:hAnsi="宋体"/>
          <w:kern w:val="44"/>
        </w:rPr>
        <w:t>公安机关应当统一印制出租房屋多人居住登记簿册供出租人免费领取。</w:t>
      </w:r>
    </w:p>
    <w:p w14:paraId="2599A1D6">
      <w:pPr>
        <w:ind w:firstLine="422"/>
        <w:jc w:val="left"/>
        <w:rPr>
          <w:rFonts w:ascii="宋体" w:hAnsi="宋体"/>
          <w:kern w:val="44"/>
        </w:rPr>
      </w:pPr>
      <w:r>
        <w:rPr>
          <w:rFonts w:hint="eastAsia" w:ascii="宋体" w:hAnsi="宋体"/>
          <w:b/>
          <w:kern w:val="44"/>
        </w:rPr>
        <w:t>第二十二条</w:t>
      </w:r>
      <w:r>
        <w:rPr>
          <w:rFonts w:hint="eastAsia" w:ascii="宋体" w:hAnsi="宋体"/>
          <w:kern w:val="44"/>
        </w:rPr>
        <w:t>　向境外单位、人员出租、转租、转借房屋，或者承租人留住境外人员的，出租人、承租人应当遵守国家和本市有关国家安全管理的规定。</w:t>
      </w:r>
    </w:p>
    <w:p w14:paraId="7F9D5944">
      <w:pPr>
        <w:ind w:firstLine="422"/>
        <w:jc w:val="left"/>
        <w:rPr>
          <w:rFonts w:ascii="宋体" w:hAnsi="宋体"/>
          <w:kern w:val="44"/>
        </w:rPr>
      </w:pPr>
      <w:r>
        <w:rPr>
          <w:rFonts w:hint="eastAsia" w:ascii="宋体" w:hAnsi="宋体"/>
          <w:b/>
          <w:kern w:val="44"/>
        </w:rPr>
        <w:t>第二十三条</w:t>
      </w:r>
      <w:r>
        <w:rPr>
          <w:rFonts w:hint="eastAsia" w:ascii="宋体" w:hAnsi="宋体"/>
          <w:kern w:val="44"/>
        </w:rPr>
        <w:t>　房屋管理单位应当按照下列规定对房屋进行安全管理：</w:t>
      </w:r>
    </w:p>
    <w:p w14:paraId="191C6F14">
      <w:pPr>
        <w:jc w:val="left"/>
        <w:rPr>
          <w:rFonts w:ascii="宋体" w:hAnsi="宋体"/>
          <w:kern w:val="44"/>
        </w:rPr>
      </w:pPr>
      <w:r>
        <w:rPr>
          <w:rFonts w:hint="eastAsia" w:ascii="宋体" w:hAnsi="宋体"/>
          <w:kern w:val="44"/>
        </w:rPr>
        <w:t>（一）建立房屋安全管理制度，落实各项管理措施。</w:t>
      </w:r>
    </w:p>
    <w:p w14:paraId="06E4CF69">
      <w:pPr>
        <w:jc w:val="left"/>
        <w:rPr>
          <w:rFonts w:ascii="宋体" w:hAnsi="宋体"/>
          <w:kern w:val="44"/>
        </w:rPr>
      </w:pPr>
      <w:r>
        <w:rPr>
          <w:rFonts w:hint="eastAsia" w:ascii="宋体" w:hAnsi="宋体"/>
          <w:kern w:val="44"/>
        </w:rPr>
        <w:t>（二）按规定对所管房屋进行安全检查，并将安全检查情况予以记录，妥善保存。</w:t>
      </w:r>
    </w:p>
    <w:p w14:paraId="2F9EBFE1">
      <w:pPr>
        <w:jc w:val="left"/>
        <w:rPr>
          <w:rFonts w:ascii="宋体" w:hAnsi="宋体"/>
          <w:kern w:val="44"/>
        </w:rPr>
      </w:pPr>
      <w:r>
        <w:rPr>
          <w:rFonts w:hint="eastAsia" w:ascii="宋体" w:hAnsi="宋体"/>
          <w:kern w:val="44"/>
        </w:rPr>
        <w:t>（三）按照有关行政部门或者基层管理服务站的要求提供房屋安全检查结果。</w:t>
      </w:r>
    </w:p>
    <w:p w14:paraId="576964E0">
      <w:pPr>
        <w:jc w:val="left"/>
        <w:rPr>
          <w:rFonts w:ascii="宋体" w:hAnsi="宋体"/>
          <w:kern w:val="44"/>
        </w:rPr>
      </w:pPr>
      <w:r>
        <w:rPr>
          <w:rFonts w:hint="eastAsia" w:ascii="宋体" w:hAnsi="宋体"/>
          <w:kern w:val="44"/>
        </w:rPr>
        <w:t>（四）发现危及房屋使用安全或者其他违法行为的，立即制止，并督促责任人改正；拒不改正的，及时报告房屋所在地有关行政部门依法处理。</w:t>
      </w:r>
    </w:p>
    <w:p w14:paraId="1C721EDB">
      <w:pPr>
        <w:ind w:firstLine="422"/>
        <w:jc w:val="left"/>
        <w:rPr>
          <w:rFonts w:ascii="宋体" w:hAnsi="宋体"/>
          <w:kern w:val="44"/>
        </w:rPr>
      </w:pPr>
      <w:r>
        <w:rPr>
          <w:rFonts w:hint="eastAsia" w:ascii="宋体" w:hAnsi="宋体"/>
          <w:b/>
          <w:kern w:val="44"/>
        </w:rPr>
        <w:t>第二十四条</w:t>
      </w:r>
      <w:r>
        <w:rPr>
          <w:rFonts w:hint="eastAsia" w:ascii="宋体" w:hAnsi="宋体"/>
          <w:kern w:val="44"/>
        </w:rPr>
        <w:t>　公安、工商行政管理、民防、卫生、文化、新闻出版、教育等行政部门在办理相关行政许可时依法应当审查活动场所的，应当审查租赁房屋的使用用途是否符合规划设计用途，是否符合法律、法规、规章有关活动场所的规定；不符合的，不予办理相关行政许可。</w:t>
      </w:r>
    </w:p>
    <w:p w14:paraId="467044AE">
      <w:pPr>
        <w:ind w:firstLine="422"/>
        <w:jc w:val="left"/>
        <w:rPr>
          <w:rFonts w:ascii="宋体" w:hAnsi="宋体"/>
          <w:kern w:val="44"/>
        </w:rPr>
      </w:pPr>
      <w:r>
        <w:rPr>
          <w:rFonts w:hint="eastAsia" w:ascii="宋体" w:hAnsi="宋体"/>
          <w:b/>
          <w:kern w:val="44"/>
        </w:rPr>
        <w:t>第二十五条</w:t>
      </w:r>
      <w:r>
        <w:rPr>
          <w:rFonts w:hint="eastAsia" w:ascii="宋体" w:hAnsi="宋体"/>
          <w:kern w:val="44"/>
        </w:rPr>
        <w:t>　从事房屋租赁经纪业务的机构应当依法成立，取得营业执照，符合国家和本市规定的条件，并应当自成立之日起30日内，将机构和从业人员的基本情况等信息报送所在区、县建设（房屋）行政部门。</w:t>
      </w:r>
    </w:p>
    <w:p w14:paraId="3D5305EE">
      <w:pPr>
        <w:jc w:val="left"/>
        <w:rPr>
          <w:rFonts w:ascii="宋体" w:hAnsi="宋体"/>
          <w:kern w:val="44"/>
        </w:rPr>
      </w:pPr>
      <w:r>
        <w:rPr>
          <w:rFonts w:hint="eastAsia" w:ascii="宋体" w:hAnsi="宋体"/>
          <w:kern w:val="44"/>
        </w:rPr>
        <w:t>从事房屋租赁经纪活动的人员，应当取得相应的房地产经纪资格证书。未取得房地产经纪资格证书的人员，不得从事房屋租赁经纪活动。</w:t>
      </w:r>
    </w:p>
    <w:p w14:paraId="72B46A5B">
      <w:pPr>
        <w:ind w:firstLine="422"/>
        <w:jc w:val="left"/>
        <w:rPr>
          <w:rFonts w:ascii="宋体" w:hAnsi="宋体"/>
          <w:kern w:val="44"/>
        </w:rPr>
      </w:pPr>
      <w:r>
        <w:rPr>
          <w:rFonts w:hint="eastAsia" w:ascii="宋体" w:hAnsi="宋体"/>
          <w:b/>
          <w:kern w:val="44"/>
        </w:rPr>
        <w:t>第二十六条</w:t>
      </w:r>
      <w:r>
        <w:rPr>
          <w:rFonts w:hint="eastAsia" w:ascii="宋体" w:hAnsi="宋体"/>
          <w:kern w:val="44"/>
        </w:rPr>
        <w:t>　本市对房屋租赁经纪委托代理业务实行银行代收代付、风险准备金、客户资金与自有资金分</w:t>
      </w:r>
      <w:r>
        <w:rPr>
          <w:rFonts w:hint="eastAsia" w:ascii="宋体" w:hAnsi="宋体"/>
          <w:kern w:val="44"/>
          <w:lang w:eastAsia="zh-CN"/>
        </w:rPr>
        <w:t>账户</w:t>
      </w:r>
      <w:r>
        <w:rPr>
          <w:rFonts w:hint="eastAsia" w:ascii="宋体" w:hAnsi="宋体"/>
          <w:kern w:val="44"/>
        </w:rPr>
        <w:t>管理等资金监管制度。具体办法由市建设（房屋）行政部门会同有关部门制定。</w:t>
      </w:r>
    </w:p>
    <w:p w14:paraId="0CA65E6F">
      <w:pPr>
        <w:ind w:firstLine="422"/>
        <w:jc w:val="left"/>
        <w:rPr>
          <w:rFonts w:ascii="宋体" w:hAnsi="宋体"/>
          <w:kern w:val="44"/>
        </w:rPr>
      </w:pPr>
      <w:r>
        <w:rPr>
          <w:rFonts w:hint="eastAsia" w:ascii="宋体" w:hAnsi="宋体"/>
          <w:b/>
          <w:kern w:val="44"/>
        </w:rPr>
        <w:t>第二十七条</w:t>
      </w:r>
      <w:r>
        <w:rPr>
          <w:rFonts w:hint="eastAsia" w:ascii="宋体" w:hAnsi="宋体"/>
          <w:kern w:val="44"/>
        </w:rPr>
        <w:t>　房地产经纪机构及其经纪人员从事房屋租赁经纪业务，应当遵守下列规定：</w:t>
      </w:r>
    </w:p>
    <w:p w14:paraId="2AD8201D">
      <w:pPr>
        <w:jc w:val="left"/>
        <w:rPr>
          <w:rFonts w:ascii="宋体" w:hAnsi="宋体"/>
          <w:kern w:val="44"/>
        </w:rPr>
      </w:pPr>
      <w:r>
        <w:rPr>
          <w:rFonts w:hint="eastAsia" w:ascii="宋体" w:hAnsi="宋体"/>
          <w:kern w:val="44"/>
        </w:rPr>
        <w:t>（一）在经营场所公示服务内容、服务标准、房地产经纪资格证书复印件。</w:t>
      </w:r>
    </w:p>
    <w:p w14:paraId="063DE079">
      <w:pPr>
        <w:jc w:val="left"/>
        <w:rPr>
          <w:rFonts w:ascii="宋体" w:hAnsi="宋体"/>
          <w:kern w:val="44"/>
        </w:rPr>
      </w:pPr>
      <w:r>
        <w:rPr>
          <w:rFonts w:hint="eastAsia" w:ascii="宋体" w:hAnsi="宋体"/>
          <w:kern w:val="44"/>
        </w:rPr>
        <w:t>（二）房屋租赁经纪业务，由房地产经纪机构统一受理并与委托人签订书面经纪合同，统一收取佣金、开具发票。房地产经纪人员不得以个人名义承揽业务。</w:t>
      </w:r>
    </w:p>
    <w:p w14:paraId="224F2BA3">
      <w:pPr>
        <w:jc w:val="left"/>
        <w:rPr>
          <w:rFonts w:ascii="宋体" w:hAnsi="宋体"/>
          <w:kern w:val="44"/>
        </w:rPr>
      </w:pPr>
      <w:r>
        <w:rPr>
          <w:rFonts w:hint="eastAsia" w:ascii="宋体" w:hAnsi="宋体"/>
          <w:kern w:val="44"/>
        </w:rPr>
        <w:t>（三）房地产经纪人员不得同时在两个或者两个以上房地产经纪机构执行业务。</w:t>
      </w:r>
    </w:p>
    <w:p w14:paraId="39911B7A">
      <w:pPr>
        <w:jc w:val="left"/>
        <w:rPr>
          <w:rFonts w:ascii="宋体" w:hAnsi="宋体"/>
          <w:kern w:val="44"/>
        </w:rPr>
      </w:pPr>
      <w:r>
        <w:rPr>
          <w:rFonts w:hint="eastAsia" w:ascii="宋体" w:hAnsi="宋体"/>
          <w:kern w:val="44"/>
        </w:rPr>
        <w:t>（四）不得伪造、变造、买卖、租借房地产经纪资格证书。</w:t>
      </w:r>
    </w:p>
    <w:p w14:paraId="49FF787A">
      <w:pPr>
        <w:jc w:val="left"/>
        <w:rPr>
          <w:rFonts w:ascii="宋体" w:hAnsi="宋体"/>
          <w:kern w:val="44"/>
        </w:rPr>
      </w:pPr>
      <w:r>
        <w:rPr>
          <w:rFonts w:hint="eastAsia" w:ascii="宋体" w:hAnsi="宋体"/>
          <w:kern w:val="44"/>
        </w:rPr>
        <w:t>（五）不得占用、挪用或者拖延支付客户资金。</w:t>
      </w:r>
    </w:p>
    <w:p w14:paraId="7D97F340">
      <w:pPr>
        <w:jc w:val="left"/>
        <w:rPr>
          <w:rFonts w:ascii="宋体" w:hAnsi="宋体"/>
          <w:kern w:val="44"/>
        </w:rPr>
      </w:pPr>
      <w:r>
        <w:rPr>
          <w:rFonts w:hint="eastAsia" w:ascii="宋体" w:hAnsi="宋体"/>
          <w:kern w:val="44"/>
        </w:rPr>
        <w:t>（六）不得居间、代理出租不符合出租条件的房屋。</w:t>
      </w:r>
    </w:p>
    <w:p w14:paraId="557C0D5E">
      <w:pPr>
        <w:jc w:val="left"/>
        <w:rPr>
          <w:rFonts w:ascii="宋体" w:hAnsi="宋体"/>
          <w:kern w:val="44"/>
        </w:rPr>
      </w:pPr>
      <w:r>
        <w:rPr>
          <w:rFonts w:hint="eastAsia" w:ascii="宋体" w:hAnsi="宋体"/>
          <w:kern w:val="44"/>
        </w:rPr>
        <w:t>（七）不得违反有关规定从事居间、代理业务范围以外的其他经营活动。</w:t>
      </w:r>
    </w:p>
    <w:p w14:paraId="0EF2EB97">
      <w:pPr>
        <w:jc w:val="left"/>
        <w:rPr>
          <w:rFonts w:ascii="宋体" w:hAnsi="宋体"/>
          <w:kern w:val="44"/>
        </w:rPr>
      </w:pPr>
    </w:p>
    <w:p w14:paraId="584238FB">
      <w:pPr>
        <w:ind w:firstLine="0" w:firstLineChars="0"/>
        <w:jc w:val="center"/>
        <w:rPr>
          <w:rFonts w:ascii="宋体" w:hAnsi="宋体"/>
          <w:b/>
          <w:kern w:val="44"/>
          <w:sz w:val="28"/>
        </w:rPr>
      </w:pPr>
      <w:r>
        <w:rPr>
          <w:rFonts w:hint="eastAsia" w:ascii="宋体" w:hAnsi="宋体"/>
          <w:b/>
          <w:kern w:val="44"/>
          <w:sz w:val="28"/>
        </w:rPr>
        <w:t>第四章  监督检查</w:t>
      </w:r>
    </w:p>
    <w:p w14:paraId="268D04B5">
      <w:pPr>
        <w:jc w:val="left"/>
        <w:rPr>
          <w:rFonts w:ascii="宋体" w:hAnsi="宋体"/>
          <w:kern w:val="44"/>
        </w:rPr>
      </w:pPr>
    </w:p>
    <w:p w14:paraId="3DA4933D">
      <w:pPr>
        <w:ind w:firstLine="422"/>
        <w:jc w:val="left"/>
        <w:rPr>
          <w:rFonts w:ascii="宋体" w:hAnsi="宋体"/>
          <w:kern w:val="44"/>
        </w:rPr>
      </w:pPr>
      <w:r>
        <w:rPr>
          <w:rFonts w:hint="eastAsia" w:ascii="宋体" w:hAnsi="宋体"/>
          <w:b/>
          <w:kern w:val="44"/>
        </w:rPr>
        <w:t>第二十八条</w:t>
      </w:r>
      <w:r>
        <w:rPr>
          <w:rFonts w:hint="eastAsia" w:ascii="宋体" w:hAnsi="宋体"/>
          <w:kern w:val="44"/>
        </w:rPr>
        <w:t>　建设（房屋）行政部门应当建立房屋租赁市场信息系统，为单位和个人提供房屋租赁市场信息、房地产经纪机构经纪活动信用记录等租赁信息服务。</w:t>
      </w:r>
    </w:p>
    <w:p w14:paraId="008E3EF5">
      <w:pPr>
        <w:ind w:firstLine="422"/>
        <w:jc w:val="left"/>
        <w:rPr>
          <w:rFonts w:ascii="宋体" w:hAnsi="宋体"/>
          <w:kern w:val="44"/>
        </w:rPr>
      </w:pPr>
      <w:r>
        <w:rPr>
          <w:rFonts w:hint="eastAsia" w:ascii="宋体" w:hAnsi="宋体"/>
          <w:b/>
          <w:kern w:val="44"/>
        </w:rPr>
        <w:t>第二十九条</w:t>
      </w:r>
      <w:r>
        <w:rPr>
          <w:rFonts w:hint="eastAsia" w:ascii="宋体" w:hAnsi="宋体"/>
          <w:kern w:val="44"/>
        </w:rPr>
        <w:t>　本市按照统一规划、资源共享的原则，建立房屋租赁综合管理信息系统平台，对房屋租赁信息实行动态管理。</w:t>
      </w:r>
    </w:p>
    <w:p w14:paraId="5BC47993">
      <w:pPr>
        <w:jc w:val="left"/>
        <w:rPr>
          <w:rFonts w:ascii="宋体" w:hAnsi="宋体"/>
          <w:kern w:val="44"/>
        </w:rPr>
      </w:pPr>
      <w:r>
        <w:rPr>
          <w:rFonts w:hint="eastAsia" w:ascii="宋体" w:hAnsi="宋体"/>
          <w:kern w:val="44"/>
        </w:rPr>
        <w:t>管理、使用房屋租赁信息的部门及其工作人员，应当对房屋租赁信息保密，维护当事人的合法权益。</w:t>
      </w:r>
    </w:p>
    <w:p w14:paraId="2E256B43">
      <w:pPr>
        <w:ind w:firstLine="422"/>
        <w:jc w:val="left"/>
        <w:rPr>
          <w:rFonts w:ascii="宋体" w:hAnsi="宋体"/>
          <w:kern w:val="44"/>
        </w:rPr>
      </w:pPr>
      <w:r>
        <w:rPr>
          <w:rFonts w:hint="eastAsia" w:ascii="宋体" w:hAnsi="宋体"/>
          <w:b/>
          <w:kern w:val="44"/>
        </w:rPr>
        <w:t>第三十条</w:t>
      </w:r>
      <w:r>
        <w:rPr>
          <w:rFonts w:hint="eastAsia" w:ascii="宋体" w:hAnsi="宋体"/>
          <w:kern w:val="44"/>
        </w:rPr>
        <w:t>　公安、建设（房屋）、工商行政管理、民防、卫生、人口计生、规划、文化、教育、税务和城市管理综合执法等行政部门应当建立执法责任制，落实对房屋租赁管理的监督检查责任；在执法中发现不属于本部门查处的违法行为的，应当及时告知同级出租房屋管理机构，出租房屋管理机构应当及时告知有关行政部门依法查处。</w:t>
      </w:r>
    </w:p>
    <w:p w14:paraId="66904554">
      <w:pPr>
        <w:jc w:val="left"/>
        <w:rPr>
          <w:rFonts w:ascii="宋体" w:hAnsi="宋体"/>
          <w:kern w:val="44"/>
        </w:rPr>
      </w:pPr>
      <w:r>
        <w:rPr>
          <w:rFonts w:hint="eastAsia" w:ascii="宋体" w:hAnsi="宋体"/>
          <w:kern w:val="44"/>
        </w:rPr>
        <w:t>房屋管理单位、房地产经纪机构、房屋租赁当事人应当配合有关行政部门对房屋租赁进行管理。</w:t>
      </w:r>
    </w:p>
    <w:p w14:paraId="1A8C96DE">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市和区、县有关行政部门，街道办事处，乡、镇人民政府应当按照各自职责，做好对基层管理服务站及其工作人员的培训、指导工作。</w:t>
      </w:r>
    </w:p>
    <w:p w14:paraId="33497B8C">
      <w:pPr>
        <w:ind w:firstLine="422"/>
        <w:jc w:val="left"/>
        <w:rPr>
          <w:rFonts w:ascii="宋体" w:hAnsi="宋体"/>
          <w:kern w:val="44"/>
        </w:rPr>
      </w:pPr>
      <w:r>
        <w:rPr>
          <w:rFonts w:hint="eastAsia" w:ascii="宋体" w:hAnsi="宋体"/>
          <w:b/>
          <w:kern w:val="44"/>
        </w:rPr>
        <w:t>第三十二条</w:t>
      </w:r>
      <w:r>
        <w:rPr>
          <w:rFonts w:hint="eastAsia" w:ascii="宋体" w:hAnsi="宋体"/>
          <w:kern w:val="44"/>
        </w:rPr>
        <w:t>　基层管理服务站应当建立巡视制度，采集房屋租赁信息，对房屋租赁情况进行日常检查，并做好下列工作：</w:t>
      </w:r>
    </w:p>
    <w:p w14:paraId="4CDE6A45">
      <w:pPr>
        <w:jc w:val="left"/>
        <w:rPr>
          <w:rFonts w:ascii="宋体" w:hAnsi="宋体"/>
          <w:kern w:val="44"/>
        </w:rPr>
      </w:pPr>
      <w:r>
        <w:rPr>
          <w:rFonts w:hint="eastAsia" w:ascii="宋体" w:hAnsi="宋体"/>
          <w:kern w:val="44"/>
        </w:rPr>
        <w:t>（一）发现登记信息不实的，予以更正；</w:t>
      </w:r>
    </w:p>
    <w:p w14:paraId="6ED999CD">
      <w:pPr>
        <w:jc w:val="left"/>
        <w:rPr>
          <w:rFonts w:ascii="宋体" w:hAnsi="宋体"/>
          <w:kern w:val="44"/>
        </w:rPr>
      </w:pPr>
      <w:r>
        <w:rPr>
          <w:rFonts w:hint="eastAsia" w:ascii="宋体" w:hAnsi="宋体"/>
          <w:kern w:val="44"/>
        </w:rPr>
        <w:t>（二）发现未登记的，进行补登；</w:t>
      </w:r>
    </w:p>
    <w:p w14:paraId="271B05F7">
      <w:pPr>
        <w:jc w:val="left"/>
        <w:rPr>
          <w:rFonts w:ascii="宋体" w:hAnsi="宋体"/>
          <w:kern w:val="44"/>
        </w:rPr>
      </w:pPr>
      <w:r>
        <w:rPr>
          <w:rFonts w:hint="eastAsia" w:ascii="宋体" w:hAnsi="宋体"/>
          <w:kern w:val="44"/>
        </w:rPr>
        <w:t>（三）发现房屋存在安全隐患的，督促出租人或者承租人进行整改；</w:t>
      </w:r>
    </w:p>
    <w:p w14:paraId="6B1F26B8">
      <w:pPr>
        <w:jc w:val="left"/>
        <w:rPr>
          <w:rFonts w:ascii="宋体" w:hAnsi="宋体"/>
          <w:kern w:val="44"/>
        </w:rPr>
      </w:pPr>
      <w:r>
        <w:rPr>
          <w:rFonts w:hint="eastAsia" w:ascii="宋体" w:hAnsi="宋体"/>
          <w:kern w:val="44"/>
        </w:rPr>
        <w:t>（四）发现违反治安、消防、卫生、计划生育、建筑结构安全等管理规定的违法行为，报告上级出租房屋管理机构或者其他有关行政部门。</w:t>
      </w:r>
    </w:p>
    <w:p w14:paraId="68F769CC">
      <w:pPr>
        <w:ind w:firstLine="422"/>
        <w:jc w:val="left"/>
        <w:rPr>
          <w:rFonts w:ascii="宋体" w:hAnsi="宋体"/>
          <w:kern w:val="44"/>
        </w:rPr>
      </w:pPr>
      <w:r>
        <w:rPr>
          <w:rFonts w:hint="eastAsia" w:ascii="宋体" w:hAnsi="宋体"/>
          <w:b/>
          <w:kern w:val="44"/>
        </w:rPr>
        <w:t>第三十三条</w:t>
      </w:r>
      <w:r>
        <w:rPr>
          <w:rFonts w:hint="eastAsia" w:ascii="宋体" w:hAnsi="宋体"/>
          <w:kern w:val="44"/>
        </w:rPr>
        <w:t>　建设（房屋）、工商行政管理等行政部门对房地产经纪机构履行监督检查职责时，可以检查有关资料，了解房地产经纪业务情况和客户资金、风险准备金等方面的管理情况；可以要求被检查单位提供房地产经纪机构营业执照、房地产经纪人员资格证书。</w:t>
      </w:r>
    </w:p>
    <w:p w14:paraId="12A59A15">
      <w:pPr>
        <w:jc w:val="left"/>
        <w:rPr>
          <w:rFonts w:ascii="宋体" w:hAnsi="宋体"/>
          <w:kern w:val="44"/>
        </w:rPr>
      </w:pPr>
      <w:r>
        <w:rPr>
          <w:rFonts w:hint="eastAsia" w:ascii="宋体" w:hAnsi="宋体"/>
          <w:kern w:val="44"/>
        </w:rPr>
        <w:t>建设（房屋）、工商行政管理等行政部门可以根据国家和本市有关规定向社会公布监督检查的有关信息。</w:t>
      </w:r>
    </w:p>
    <w:p w14:paraId="04E2A59F">
      <w:pPr>
        <w:jc w:val="left"/>
        <w:rPr>
          <w:rFonts w:ascii="宋体" w:hAnsi="宋体"/>
          <w:kern w:val="44"/>
        </w:rPr>
      </w:pPr>
    </w:p>
    <w:p w14:paraId="7EDF8BE1">
      <w:pPr>
        <w:ind w:firstLine="0" w:firstLineChars="0"/>
        <w:jc w:val="center"/>
        <w:rPr>
          <w:rFonts w:ascii="宋体" w:hAnsi="宋体"/>
          <w:b/>
          <w:kern w:val="44"/>
          <w:sz w:val="28"/>
        </w:rPr>
      </w:pPr>
      <w:r>
        <w:rPr>
          <w:rFonts w:hint="eastAsia" w:ascii="宋体" w:hAnsi="宋体"/>
          <w:b/>
          <w:kern w:val="44"/>
          <w:sz w:val="28"/>
        </w:rPr>
        <w:t>第五章  法律责任</w:t>
      </w:r>
    </w:p>
    <w:p w14:paraId="5ED229EF">
      <w:pPr>
        <w:jc w:val="left"/>
        <w:rPr>
          <w:rFonts w:ascii="宋体" w:hAnsi="宋体"/>
          <w:kern w:val="44"/>
        </w:rPr>
      </w:pPr>
    </w:p>
    <w:p w14:paraId="3FB20DB2">
      <w:pPr>
        <w:ind w:firstLine="422"/>
        <w:jc w:val="left"/>
        <w:rPr>
          <w:rFonts w:ascii="宋体" w:hAnsi="宋体"/>
          <w:kern w:val="44"/>
        </w:rPr>
      </w:pPr>
      <w:r>
        <w:rPr>
          <w:rFonts w:hint="eastAsia" w:ascii="宋体" w:hAnsi="宋体"/>
          <w:b/>
          <w:kern w:val="44"/>
        </w:rPr>
        <w:t>第三十四条</w:t>
      </w:r>
      <w:r>
        <w:rPr>
          <w:rFonts w:hint="eastAsia" w:ascii="宋体" w:hAnsi="宋体"/>
          <w:kern w:val="44"/>
        </w:rPr>
        <w:t>　具有房屋租赁管理职责的行政部门及其工作人员玩忽职守、滥用职权、徇私舞弊的，由其上级部门或者监察机关责令改正；情节严重的，对直接负责的主管人员和其他直接责任人员依法给予行政处分；构成犯罪的，依法追究刑事责任。</w:t>
      </w:r>
    </w:p>
    <w:p w14:paraId="638DCC18">
      <w:pPr>
        <w:ind w:firstLine="422"/>
        <w:jc w:val="left"/>
        <w:rPr>
          <w:rFonts w:ascii="宋体" w:hAnsi="宋体"/>
          <w:kern w:val="44"/>
        </w:rPr>
      </w:pPr>
      <w:r>
        <w:rPr>
          <w:rFonts w:hint="eastAsia" w:ascii="宋体" w:hAnsi="宋体"/>
          <w:b/>
          <w:kern w:val="44"/>
        </w:rPr>
        <w:t>第三十五条</w:t>
      </w:r>
      <w:r>
        <w:rPr>
          <w:rFonts w:hint="eastAsia" w:ascii="宋体" w:hAnsi="宋体"/>
          <w:kern w:val="44"/>
        </w:rPr>
        <w:t>　对违反本规定的下列行为，由公安机关按照下列规定处罚：</w:t>
      </w:r>
    </w:p>
    <w:p w14:paraId="1216858D">
      <w:pPr>
        <w:jc w:val="left"/>
        <w:rPr>
          <w:rFonts w:ascii="宋体" w:hAnsi="宋体"/>
          <w:kern w:val="44"/>
        </w:rPr>
      </w:pPr>
      <w:r>
        <w:rPr>
          <w:rFonts w:hint="eastAsia" w:ascii="宋体" w:hAnsi="宋体"/>
          <w:kern w:val="44"/>
        </w:rPr>
        <w:t>（一）出租人、承租人、房地产经纪机构未按照本规定第十一条、第十二条规定办理房屋出租登记、变更、注销手续的，责令改正，处200元以上500元以下罚款。</w:t>
      </w:r>
    </w:p>
    <w:p w14:paraId="64517C99">
      <w:pPr>
        <w:jc w:val="left"/>
        <w:rPr>
          <w:rFonts w:ascii="宋体" w:hAnsi="宋体"/>
          <w:kern w:val="44"/>
        </w:rPr>
      </w:pPr>
      <w:r>
        <w:rPr>
          <w:rFonts w:hint="eastAsia" w:ascii="宋体" w:hAnsi="宋体"/>
          <w:kern w:val="44"/>
        </w:rPr>
        <w:t>（二）违反本规定第十七条规定，出租的房屋存在治安、消防安全隐患的，责令改正，并可处1000元以上3万元以下罚款。</w:t>
      </w:r>
    </w:p>
    <w:p w14:paraId="01DD9185">
      <w:pPr>
        <w:jc w:val="left"/>
        <w:rPr>
          <w:rFonts w:ascii="宋体" w:hAnsi="宋体"/>
          <w:kern w:val="44"/>
        </w:rPr>
      </w:pPr>
      <w:r>
        <w:rPr>
          <w:rFonts w:hint="eastAsia" w:ascii="宋体" w:hAnsi="宋体"/>
          <w:kern w:val="44"/>
        </w:rPr>
        <w:t>（三）违反本规定第十八条第一款规定，出租人向无身份证明的人出租房屋，或者发现承租人利用出租房屋有犯罪活动嫌疑，不向公安机关报告的，处200元以上500元以下罚款。</w:t>
      </w:r>
    </w:p>
    <w:p w14:paraId="5A72E26F">
      <w:pPr>
        <w:jc w:val="left"/>
        <w:rPr>
          <w:rFonts w:ascii="宋体" w:hAnsi="宋体"/>
          <w:kern w:val="44"/>
        </w:rPr>
      </w:pPr>
      <w:r>
        <w:rPr>
          <w:rFonts w:hint="eastAsia" w:ascii="宋体" w:hAnsi="宋体"/>
          <w:kern w:val="44"/>
        </w:rPr>
        <w:t>（四）违反本规定第十九条规定，承租人使用租赁房屋时损害公共利益或者妨碍他人正常工作、生活的，处警告，并责令改正；逾期拒不改正的，处200元以上500元以下罚款。</w:t>
      </w:r>
    </w:p>
    <w:p w14:paraId="65125CF0">
      <w:pPr>
        <w:jc w:val="left"/>
        <w:rPr>
          <w:rFonts w:ascii="宋体" w:hAnsi="宋体"/>
          <w:kern w:val="44"/>
        </w:rPr>
      </w:pPr>
      <w:r>
        <w:rPr>
          <w:rFonts w:hint="eastAsia" w:ascii="宋体" w:hAnsi="宋体"/>
          <w:kern w:val="44"/>
        </w:rPr>
        <w:t>（五）违反本规定第二十一条第一款、第二款规定，出租人、单位未落实安全管理责任的，责令改正，并可处1万元以上3万元以下罚款；造成严重后果的，处3万元以上10万元以下罚款。</w:t>
      </w:r>
    </w:p>
    <w:p w14:paraId="35F26EEE">
      <w:pPr>
        <w:ind w:firstLine="422"/>
        <w:jc w:val="left"/>
        <w:rPr>
          <w:rFonts w:ascii="宋体" w:hAnsi="宋体"/>
          <w:kern w:val="44"/>
        </w:rPr>
      </w:pPr>
      <w:r>
        <w:rPr>
          <w:rFonts w:hint="eastAsia" w:ascii="宋体" w:hAnsi="宋体"/>
          <w:b/>
          <w:kern w:val="44"/>
        </w:rPr>
        <w:t>第三十六条</w:t>
      </w:r>
      <w:r>
        <w:rPr>
          <w:rFonts w:hint="eastAsia" w:ascii="宋体" w:hAnsi="宋体"/>
          <w:kern w:val="44"/>
        </w:rPr>
        <w:t>　对违反本规定的下列行为，由建设（房屋）行政部门按照下列规定处罚：</w:t>
      </w:r>
    </w:p>
    <w:p w14:paraId="48CE5BD5">
      <w:pPr>
        <w:jc w:val="left"/>
        <w:rPr>
          <w:rFonts w:ascii="宋体" w:hAnsi="宋体"/>
          <w:kern w:val="44"/>
        </w:rPr>
      </w:pPr>
      <w:r>
        <w:rPr>
          <w:rFonts w:hint="eastAsia" w:ascii="宋体" w:hAnsi="宋体"/>
          <w:kern w:val="44"/>
        </w:rPr>
        <w:t>（一）违反本规定第十七条规定，出租的房屋存在建筑安全隐患的，责令改正，并可处1000元以上3万元以下罚款。</w:t>
      </w:r>
    </w:p>
    <w:p w14:paraId="60E902F4">
      <w:pPr>
        <w:jc w:val="left"/>
        <w:rPr>
          <w:rFonts w:ascii="宋体" w:hAnsi="宋体"/>
          <w:kern w:val="44"/>
        </w:rPr>
      </w:pPr>
      <w:r>
        <w:rPr>
          <w:rFonts w:hint="eastAsia" w:ascii="宋体" w:hAnsi="宋体"/>
          <w:kern w:val="44"/>
        </w:rPr>
        <w:t>（二）违反本规定第二十条规定，出租人违反出租房屋限制条件的，责令改正，情节严重的，可处5000元以上3万元以下罚款；房地产经纪机构及其经纪人员从事房屋租赁经纪业务违反出租房屋限制条件的，责令改正，处3万元以上10万元以下罚款。</w:t>
      </w:r>
    </w:p>
    <w:p w14:paraId="23095CA8">
      <w:pPr>
        <w:jc w:val="left"/>
        <w:rPr>
          <w:rFonts w:ascii="宋体" w:hAnsi="宋体"/>
          <w:kern w:val="44"/>
        </w:rPr>
      </w:pPr>
      <w:r>
        <w:rPr>
          <w:rFonts w:hint="eastAsia" w:ascii="宋体" w:hAnsi="宋体"/>
          <w:kern w:val="44"/>
        </w:rPr>
        <w:t>（三）违反本规定第二十五条第一款规定，房地产经纪机构未按照规定报送相关信息的，责令改正，并可处1万元以上3万元以下罚款。</w:t>
      </w:r>
    </w:p>
    <w:p w14:paraId="0043158A">
      <w:pPr>
        <w:jc w:val="left"/>
        <w:rPr>
          <w:rFonts w:ascii="宋体" w:hAnsi="宋体"/>
          <w:kern w:val="44"/>
        </w:rPr>
      </w:pPr>
      <w:r>
        <w:rPr>
          <w:rFonts w:hint="eastAsia" w:ascii="宋体" w:hAnsi="宋体"/>
          <w:kern w:val="44"/>
        </w:rPr>
        <w:t>（四）违反本规定第二十六条规定，房地产经纪机构未落实资金监管制度的，责令改正，并处1万元以上3万元以下罚款。</w:t>
      </w:r>
    </w:p>
    <w:p w14:paraId="0D26A0A0">
      <w:pPr>
        <w:jc w:val="left"/>
        <w:rPr>
          <w:rFonts w:ascii="宋体" w:hAnsi="宋体"/>
          <w:kern w:val="44"/>
        </w:rPr>
      </w:pPr>
      <w:r>
        <w:rPr>
          <w:rFonts w:hint="eastAsia" w:ascii="宋体" w:hAnsi="宋体"/>
          <w:kern w:val="44"/>
        </w:rPr>
        <w:t>（五）房地产经纪机构及其经纪人员从事房屋租赁经纪业务，违反本规定第二十七条第（二）项、第（三）项、第（六）项规定，或者违反第（四）项规定，租借房地产经纪资格证书的，责令改正，处1万元以上3万元以下罚款。</w:t>
      </w:r>
    </w:p>
    <w:p w14:paraId="51EDD972">
      <w:pPr>
        <w:ind w:firstLine="422"/>
        <w:jc w:val="left"/>
        <w:rPr>
          <w:rFonts w:ascii="宋体" w:hAnsi="宋体"/>
          <w:kern w:val="44"/>
        </w:rPr>
      </w:pPr>
      <w:r>
        <w:rPr>
          <w:rFonts w:hint="eastAsia" w:ascii="宋体" w:hAnsi="宋体"/>
          <w:b/>
          <w:kern w:val="44"/>
        </w:rPr>
        <w:t>第三十七条</w:t>
      </w:r>
      <w:r>
        <w:rPr>
          <w:rFonts w:hint="eastAsia" w:ascii="宋体" w:hAnsi="宋体"/>
          <w:kern w:val="44"/>
        </w:rPr>
        <w:t>　对违反本规定的下列行为，由工商行政管理部门按照下列规定处罚：</w:t>
      </w:r>
    </w:p>
    <w:p w14:paraId="69FEF0B9">
      <w:pPr>
        <w:jc w:val="left"/>
        <w:rPr>
          <w:rFonts w:ascii="宋体" w:hAnsi="宋体"/>
          <w:kern w:val="44"/>
        </w:rPr>
      </w:pPr>
      <w:r>
        <w:rPr>
          <w:rFonts w:hint="eastAsia" w:ascii="宋体" w:hAnsi="宋体"/>
          <w:kern w:val="44"/>
        </w:rPr>
        <w:t>（一）违反本规定第二十五条第二款规定，房地产经纪机构使用未取得房地产经纪资格证书的人员从事房屋租赁经纪活动的，处1万元以上3万元以下罚款；</w:t>
      </w:r>
    </w:p>
    <w:p w14:paraId="1C4B0DF8">
      <w:pPr>
        <w:jc w:val="left"/>
        <w:rPr>
          <w:rFonts w:ascii="宋体" w:hAnsi="宋体"/>
          <w:kern w:val="44"/>
        </w:rPr>
      </w:pPr>
      <w:r>
        <w:rPr>
          <w:rFonts w:hint="eastAsia" w:ascii="宋体" w:hAnsi="宋体"/>
          <w:kern w:val="44"/>
        </w:rPr>
        <w:t>（二）违反本规定第二十七条第（一）项、第（五）项规定，房地产经纪机构违规经营的，责令改正，处1万元以上3万元以下罚款；</w:t>
      </w:r>
    </w:p>
    <w:p w14:paraId="58F0CFD9">
      <w:pPr>
        <w:jc w:val="left"/>
        <w:rPr>
          <w:rFonts w:ascii="宋体" w:hAnsi="宋体"/>
          <w:kern w:val="44"/>
        </w:rPr>
      </w:pPr>
      <w:r>
        <w:rPr>
          <w:rFonts w:hint="eastAsia" w:ascii="宋体" w:hAnsi="宋体"/>
          <w:kern w:val="44"/>
        </w:rPr>
        <w:t>（三）违反本规定第二十七条第（七）项规定，房地产经纪机构违反有关规定从事居间、代理业务范围以外的其他经营活动，按照登记管理的有关规定进行处罚。</w:t>
      </w:r>
    </w:p>
    <w:p w14:paraId="05C9E7DE">
      <w:pPr>
        <w:ind w:firstLine="422"/>
        <w:jc w:val="left"/>
        <w:rPr>
          <w:rFonts w:ascii="宋体" w:hAnsi="宋体"/>
          <w:kern w:val="44"/>
        </w:rPr>
      </w:pPr>
      <w:r>
        <w:rPr>
          <w:rFonts w:hint="eastAsia" w:ascii="宋体" w:hAnsi="宋体"/>
          <w:b/>
          <w:kern w:val="44"/>
        </w:rPr>
        <w:t>第三十八条</w:t>
      </w:r>
      <w:r>
        <w:rPr>
          <w:rFonts w:hint="eastAsia" w:ascii="宋体" w:hAnsi="宋体"/>
          <w:kern w:val="44"/>
        </w:rPr>
        <w:t>　违反本规定第十七条规定，出租的房屋存在卫生安全隐患的，由卫生行政部门责令改正，并可处1000元以上3万元以下罚款。</w:t>
      </w:r>
    </w:p>
    <w:p w14:paraId="24E2C348">
      <w:pPr>
        <w:ind w:firstLine="422"/>
        <w:jc w:val="left"/>
        <w:rPr>
          <w:rFonts w:ascii="宋体" w:hAnsi="宋体"/>
          <w:kern w:val="44"/>
        </w:rPr>
      </w:pPr>
      <w:r>
        <w:rPr>
          <w:rFonts w:hint="eastAsia" w:ascii="宋体" w:hAnsi="宋体"/>
          <w:b/>
          <w:kern w:val="44"/>
        </w:rPr>
        <w:t>第三十九条</w:t>
      </w:r>
      <w:r>
        <w:rPr>
          <w:rFonts w:hint="eastAsia" w:ascii="宋体" w:hAnsi="宋体"/>
          <w:kern w:val="44"/>
        </w:rPr>
        <w:t>　出租人、承租人在房屋租赁活动中发生纠纷的，应当协商解决；协商不成，出租人、承租人可以向人民调解委员会、房地产中介行业协会、建设（房屋）行政部门或者其他相关单位申请调解，也可以依法申请仲裁或者提起诉讼。</w:t>
      </w:r>
    </w:p>
    <w:p w14:paraId="73D3EF1C">
      <w:pPr>
        <w:ind w:firstLine="422"/>
        <w:jc w:val="left"/>
        <w:rPr>
          <w:rFonts w:ascii="宋体" w:hAnsi="宋体"/>
          <w:kern w:val="44"/>
        </w:rPr>
      </w:pPr>
      <w:r>
        <w:rPr>
          <w:rFonts w:hint="eastAsia" w:ascii="宋体" w:hAnsi="宋体"/>
          <w:b/>
          <w:kern w:val="44"/>
        </w:rPr>
        <w:t>第四十条</w:t>
      </w:r>
      <w:r>
        <w:rPr>
          <w:rFonts w:hint="eastAsia" w:ascii="宋体" w:hAnsi="宋体"/>
          <w:kern w:val="44"/>
        </w:rPr>
        <w:t>　对违反本规定的行为，其他法律、法规、规章已经规定行政处罚的，由有关行政部门依法处理；构成犯罪的，依法追究刑事责任。</w:t>
      </w:r>
    </w:p>
    <w:p w14:paraId="6B6216AC">
      <w:pPr>
        <w:jc w:val="left"/>
        <w:rPr>
          <w:rFonts w:ascii="宋体" w:hAnsi="宋体"/>
          <w:kern w:val="44"/>
        </w:rPr>
      </w:pPr>
    </w:p>
    <w:p w14:paraId="38F18694">
      <w:pPr>
        <w:ind w:firstLine="562"/>
        <w:jc w:val="center"/>
        <w:rPr>
          <w:rFonts w:ascii="宋体" w:hAnsi="宋体"/>
          <w:b/>
          <w:bCs/>
          <w:kern w:val="44"/>
          <w:sz w:val="28"/>
          <w:szCs w:val="28"/>
        </w:rPr>
      </w:pPr>
      <w:r>
        <w:rPr>
          <w:rFonts w:hint="eastAsia" w:ascii="宋体" w:hAnsi="宋体"/>
          <w:b/>
          <w:bCs/>
          <w:kern w:val="44"/>
          <w:sz w:val="28"/>
          <w:szCs w:val="28"/>
        </w:rPr>
        <w:t>第六章  附　则</w:t>
      </w:r>
    </w:p>
    <w:p w14:paraId="372E9358">
      <w:pPr>
        <w:jc w:val="left"/>
        <w:rPr>
          <w:rFonts w:ascii="宋体" w:hAnsi="宋体"/>
          <w:bCs/>
          <w:kern w:val="44"/>
        </w:rPr>
      </w:pPr>
    </w:p>
    <w:p w14:paraId="79ECD193">
      <w:pPr>
        <w:ind w:firstLine="422"/>
        <w:jc w:val="left"/>
        <w:rPr>
          <w:rFonts w:ascii="宋体" w:hAnsi="宋体"/>
          <w:kern w:val="44"/>
        </w:rPr>
      </w:pPr>
      <w:r>
        <w:rPr>
          <w:rFonts w:hint="eastAsia" w:ascii="宋体" w:hAnsi="宋体"/>
          <w:b/>
          <w:kern w:val="44"/>
        </w:rPr>
        <w:t>第四十一条</w:t>
      </w:r>
      <w:r>
        <w:rPr>
          <w:rFonts w:hint="eastAsia" w:ascii="宋体" w:hAnsi="宋体"/>
          <w:kern w:val="44"/>
        </w:rPr>
        <w:t>　本规定自2008年1月1日起施行。1995年6月13日北京市人民政府第13号令发布，根据1997年12月31日北京市人民政府第12号令第一次修改，根据2004年6月1日北京市人民政府第150号令第二次修改的《北京市外地来京人员租赁房屋治安管理规定》同时废止。</w:t>
      </w:r>
    </w:p>
    <w:p w14:paraId="433688B3">
      <w:pPr>
        <w:pStyle w:val="4"/>
        <w:pageBreakBefore/>
        <w:rPr>
          <w:kern w:val="44"/>
        </w:rPr>
      </w:pPr>
      <w:bookmarkStart w:id="1033" w:name="_Toc422471277"/>
      <w:bookmarkStart w:id="1034" w:name="_Toc427651563"/>
      <w:bookmarkStart w:id="1035" w:name="_Toc428780129"/>
      <w:bookmarkStart w:id="1036" w:name="_Toc428781611"/>
      <w:bookmarkStart w:id="1037" w:name="_Toc427651905"/>
      <w:r>
        <w:rPr>
          <w:rFonts w:hint="eastAsia"/>
          <w:kern w:val="44"/>
        </w:rPr>
        <w:t>北京市物业管理办法</w:t>
      </w:r>
      <w:bookmarkEnd w:id="1033"/>
      <w:bookmarkEnd w:id="1034"/>
      <w:bookmarkEnd w:id="1035"/>
      <w:bookmarkEnd w:id="1036"/>
      <w:bookmarkEnd w:id="1037"/>
    </w:p>
    <w:p w14:paraId="66FF45B0">
      <w:pPr>
        <w:ind w:left="630" w:leftChars="300" w:right="630" w:rightChars="300"/>
        <w:jc w:val="center"/>
        <w:rPr>
          <w:rFonts w:ascii="楷体" w:hAnsi="楷体" w:eastAsia="楷体"/>
          <w:kern w:val="44"/>
        </w:rPr>
      </w:pPr>
      <w:r>
        <w:rPr>
          <w:rFonts w:hint="eastAsia" w:ascii="楷体" w:hAnsi="楷体" w:eastAsia="楷体"/>
          <w:kern w:val="44"/>
        </w:rPr>
        <w:t>（2010年4月20日北京市人民政府第219号令公布）</w:t>
      </w:r>
    </w:p>
    <w:p w14:paraId="521C7F41">
      <w:pPr>
        <w:jc w:val="left"/>
        <w:rPr>
          <w:rFonts w:ascii="宋体" w:hAnsi="宋体"/>
          <w:kern w:val="44"/>
        </w:rPr>
      </w:pPr>
    </w:p>
    <w:p w14:paraId="494C7254">
      <w:pPr>
        <w:ind w:firstLine="0" w:firstLineChars="0"/>
        <w:jc w:val="center"/>
        <w:rPr>
          <w:rFonts w:ascii="宋体" w:hAnsi="宋体"/>
          <w:b/>
          <w:kern w:val="44"/>
          <w:sz w:val="28"/>
        </w:rPr>
      </w:pPr>
      <w:r>
        <w:rPr>
          <w:rFonts w:hint="eastAsia" w:ascii="宋体" w:hAnsi="宋体"/>
          <w:b/>
          <w:kern w:val="44"/>
          <w:sz w:val="28"/>
        </w:rPr>
        <w:t>第一章　总　则</w:t>
      </w:r>
    </w:p>
    <w:p w14:paraId="3463D967">
      <w:pPr>
        <w:jc w:val="left"/>
        <w:rPr>
          <w:rFonts w:ascii="宋体" w:hAnsi="宋体"/>
          <w:kern w:val="44"/>
        </w:rPr>
      </w:pPr>
    </w:p>
    <w:p w14:paraId="35748567">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为了规范本市物业管理活动，维护物业管理各方的合法权益，促进和谐社区建设，根据《中华人民共和国物权法》和《物业管理条例》，结合本市实际情况，制定本办法。</w:t>
      </w:r>
    </w:p>
    <w:p w14:paraId="79CE6096">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本办法所称物业管理，是指业主自行或者通过他人对物业管理区域内的建筑物、构筑物及配套的设施设备和相关场地进行维修、养护、管理，维护环境卫生和相关秩序的活动。</w:t>
      </w:r>
    </w:p>
    <w:p w14:paraId="709224A4">
      <w:pPr>
        <w:ind w:firstLine="422"/>
        <w:jc w:val="left"/>
        <w:rPr>
          <w:rFonts w:ascii="宋体" w:hAnsi="宋体"/>
          <w:kern w:val="44"/>
        </w:rPr>
      </w:pPr>
      <w:r>
        <w:rPr>
          <w:rFonts w:hint="eastAsia" w:ascii="宋体" w:hAnsi="宋体"/>
          <w:b/>
          <w:kern w:val="44"/>
        </w:rPr>
        <w:t>第三条</w:t>
      </w:r>
      <w:r>
        <w:rPr>
          <w:rFonts w:hint="eastAsia" w:ascii="宋体" w:hAnsi="宋体"/>
          <w:kern w:val="44"/>
        </w:rPr>
        <w:t>　市房屋行政主管部门负责全市物业管理活动的监督管理工作。区县房屋行政主管部门负责本行政区域内物业管理活动的监督管理工作。</w:t>
      </w:r>
    </w:p>
    <w:p w14:paraId="3610008C">
      <w:pPr>
        <w:jc w:val="left"/>
        <w:rPr>
          <w:rFonts w:ascii="宋体" w:hAnsi="宋体"/>
          <w:kern w:val="44"/>
        </w:rPr>
      </w:pPr>
      <w:r>
        <w:rPr>
          <w:rFonts w:hint="eastAsia" w:ascii="宋体" w:hAnsi="宋体"/>
          <w:kern w:val="44"/>
        </w:rPr>
        <w:t>供水、排水、供电、供气、供热、环境卫生、园林绿化、停车管理、秩序维护、设施设备维护等专项服务的行业主管部门和专业监管部门依法按照职责负责相关监督管理工作。</w:t>
      </w:r>
    </w:p>
    <w:p w14:paraId="23ADE9D9">
      <w:pPr>
        <w:ind w:firstLine="422"/>
        <w:jc w:val="left"/>
        <w:rPr>
          <w:rFonts w:ascii="宋体" w:hAnsi="宋体"/>
          <w:kern w:val="44"/>
        </w:rPr>
      </w:pPr>
      <w:r>
        <w:rPr>
          <w:rFonts w:hint="eastAsia" w:ascii="宋体" w:hAnsi="宋体"/>
          <w:b/>
          <w:kern w:val="44"/>
        </w:rPr>
        <w:t>第四条</w:t>
      </w:r>
      <w:r>
        <w:rPr>
          <w:rFonts w:hint="eastAsia" w:ascii="宋体" w:hAnsi="宋体"/>
          <w:kern w:val="44"/>
        </w:rPr>
        <w:t>　区县人民政府应当做好辖区内物业管理以及和谐社区建设的相关工作。</w:t>
      </w:r>
    </w:p>
    <w:p w14:paraId="7FE99FD2">
      <w:pPr>
        <w:jc w:val="left"/>
        <w:rPr>
          <w:rFonts w:ascii="宋体" w:hAnsi="宋体"/>
          <w:kern w:val="44"/>
        </w:rPr>
      </w:pPr>
      <w:r>
        <w:rPr>
          <w:rFonts w:hint="eastAsia" w:ascii="宋体" w:hAnsi="宋体"/>
          <w:kern w:val="44"/>
        </w:rPr>
        <w:t>街道办事处、乡镇人民政府负责对辖区内业主大会、业主委员会的成立及活动进行协助、指导和监督，协调处理纠纷。</w:t>
      </w:r>
    </w:p>
    <w:p w14:paraId="2CC49F5F">
      <w:pPr>
        <w:jc w:val="left"/>
        <w:rPr>
          <w:rFonts w:ascii="宋体" w:hAnsi="宋体"/>
          <w:kern w:val="44"/>
        </w:rPr>
      </w:pPr>
    </w:p>
    <w:p w14:paraId="43E87779">
      <w:pPr>
        <w:ind w:firstLine="0" w:firstLineChars="0"/>
        <w:jc w:val="center"/>
        <w:rPr>
          <w:rFonts w:ascii="宋体" w:hAnsi="宋体"/>
          <w:b/>
          <w:kern w:val="44"/>
          <w:sz w:val="28"/>
        </w:rPr>
      </w:pPr>
      <w:r>
        <w:rPr>
          <w:rFonts w:hint="eastAsia" w:ascii="宋体" w:hAnsi="宋体"/>
          <w:b/>
          <w:kern w:val="44"/>
          <w:sz w:val="28"/>
        </w:rPr>
        <w:t>第二章  前期物业管理</w:t>
      </w:r>
    </w:p>
    <w:p w14:paraId="6D063B0B">
      <w:pPr>
        <w:jc w:val="left"/>
        <w:rPr>
          <w:rFonts w:ascii="宋体" w:hAnsi="宋体"/>
          <w:kern w:val="44"/>
        </w:rPr>
      </w:pPr>
    </w:p>
    <w:p w14:paraId="7139428F">
      <w:pPr>
        <w:ind w:firstLine="422"/>
        <w:jc w:val="left"/>
        <w:rPr>
          <w:rFonts w:ascii="宋体" w:hAnsi="宋体"/>
          <w:kern w:val="44"/>
        </w:rPr>
      </w:pPr>
      <w:r>
        <w:rPr>
          <w:rFonts w:hint="eastAsia" w:ascii="宋体" w:hAnsi="宋体"/>
          <w:b/>
          <w:kern w:val="44"/>
        </w:rPr>
        <w:t>第五条</w:t>
      </w:r>
      <w:r>
        <w:rPr>
          <w:rFonts w:hint="eastAsia" w:ascii="宋体" w:hAnsi="宋体"/>
          <w:kern w:val="44"/>
        </w:rPr>
        <w:t>　建设单位应当在销售房屋前，结合物业的共用设施设备、建筑物规模、社区建设等因素划分物业管理区域，并在房屋买卖合同中明示。</w:t>
      </w:r>
    </w:p>
    <w:p w14:paraId="2A9E930E">
      <w:pPr>
        <w:jc w:val="left"/>
        <w:rPr>
          <w:rFonts w:ascii="宋体" w:hAnsi="宋体"/>
          <w:kern w:val="44"/>
        </w:rPr>
      </w:pPr>
      <w:r>
        <w:rPr>
          <w:rFonts w:hint="eastAsia" w:ascii="宋体" w:hAnsi="宋体"/>
          <w:kern w:val="44"/>
        </w:rPr>
        <w:t>物业主要配套设施设备和相关场地共用的，应当划分为一个物业管理区域；住宅区和非住宅区原则上应当划分为不同的物业管理区域。</w:t>
      </w:r>
    </w:p>
    <w:p w14:paraId="418348C2">
      <w:pPr>
        <w:ind w:firstLine="422"/>
        <w:jc w:val="left"/>
        <w:rPr>
          <w:rFonts w:ascii="宋体" w:hAnsi="宋体"/>
          <w:kern w:val="44"/>
        </w:rPr>
      </w:pPr>
      <w:r>
        <w:rPr>
          <w:rFonts w:hint="eastAsia" w:ascii="宋体" w:hAnsi="宋体"/>
          <w:b/>
          <w:kern w:val="44"/>
        </w:rPr>
        <w:t>第六条</w:t>
      </w:r>
      <w:r>
        <w:rPr>
          <w:rFonts w:hint="eastAsia" w:ascii="宋体" w:hAnsi="宋体"/>
          <w:kern w:val="44"/>
        </w:rPr>
        <w:t>　业主共同决定对物业管理区域进行分立或者合并的，应当向物业所在地街道办事处、乡镇人民政府提出申请，由街道办事处、乡镇人民政府会同区县房屋行政主管部门等相关部门进行审查，确需调整的，予以确认并公告。</w:t>
      </w:r>
    </w:p>
    <w:p w14:paraId="46F995F1">
      <w:pPr>
        <w:ind w:firstLine="422"/>
        <w:jc w:val="left"/>
        <w:rPr>
          <w:rFonts w:ascii="宋体" w:hAnsi="宋体"/>
          <w:kern w:val="44"/>
        </w:rPr>
      </w:pPr>
      <w:r>
        <w:rPr>
          <w:rFonts w:hint="eastAsia" w:ascii="宋体" w:hAnsi="宋体"/>
          <w:b/>
          <w:kern w:val="44"/>
        </w:rPr>
        <w:t>第七条</w:t>
      </w:r>
      <w:r>
        <w:rPr>
          <w:rFonts w:hint="eastAsia" w:ascii="宋体" w:hAnsi="宋体"/>
          <w:kern w:val="44"/>
        </w:rPr>
        <w:t>　新建住宅物业，建设单位应当配建物业服务用房，包括客服接待、项目档案资料保存、工具物料存放、人员值班备勤、业主大会及业主委员会办公用房等，并在房屋买卖合同中明确物业服务用房的坐落位置（具体到楼栋、房号）。物业服务用房建筑面积不得低于150平方米，其中地上房屋不得低于100平方米，业主大会及业主委员会办公用房建筑面积30至60平方米。</w:t>
      </w:r>
    </w:p>
    <w:p w14:paraId="44873291">
      <w:pPr>
        <w:jc w:val="left"/>
        <w:rPr>
          <w:rFonts w:ascii="宋体" w:hAnsi="宋体"/>
          <w:kern w:val="44"/>
        </w:rPr>
      </w:pPr>
      <w:r>
        <w:rPr>
          <w:rFonts w:hint="eastAsia" w:ascii="宋体" w:hAnsi="宋体"/>
          <w:kern w:val="44"/>
        </w:rPr>
        <w:t>规划行政主管部门在规划许可、验收过程中，应当审查物业服务用房建筑面积、位置、配置等是否符合规划设计指标。房屋行政主管部门在办理房产测绘成果备案时应当核查物业服务用房配置情况。</w:t>
      </w:r>
    </w:p>
    <w:p w14:paraId="12665CFE">
      <w:pPr>
        <w:ind w:firstLine="422"/>
        <w:jc w:val="left"/>
        <w:rPr>
          <w:rFonts w:ascii="宋体" w:hAnsi="宋体"/>
          <w:kern w:val="44"/>
        </w:rPr>
      </w:pPr>
      <w:r>
        <w:rPr>
          <w:rFonts w:hint="eastAsia" w:ascii="宋体" w:hAnsi="宋体"/>
          <w:b/>
          <w:kern w:val="44"/>
        </w:rPr>
        <w:t>第八条</w:t>
      </w:r>
      <w:r>
        <w:rPr>
          <w:rFonts w:hint="eastAsia" w:ascii="宋体" w:hAnsi="宋体"/>
          <w:kern w:val="44"/>
        </w:rPr>
        <w:t>　建设单位承担前期物业服务责任。销售房屋时，前期物业服务合同应当作为房屋买卖合同的附件。</w:t>
      </w:r>
    </w:p>
    <w:p w14:paraId="0B3537E9">
      <w:pPr>
        <w:jc w:val="left"/>
        <w:rPr>
          <w:rFonts w:ascii="宋体" w:hAnsi="宋体"/>
          <w:kern w:val="44"/>
        </w:rPr>
      </w:pPr>
      <w:r>
        <w:rPr>
          <w:rFonts w:hint="eastAsia" w:ascii="宋体" w:hAnsi="宋体"/>
          <w:kern w:val="44"/>
        </w:rPr>
        <w:t>前期物业服务合同关于物业服务是否收费、收费标准以及服务标准的约定应当符合本市相关规定。</w:t>
      </w:r>
    </w:p>
    <w:p w14:paraId="032C90C5">
      <w:pPr>
        <w:jc w:val="left"/>
        <w:rPr>
          <w:rFonts w:ascii="宋体" w:hAnsi="宋体"/>
          <w:kern w:val="44"/>
        </w:rPr>
      </w:pPr>
      <w:r>
        <w:rPr>
          <w:rFonts w:hint="eastAsia" w:ascii="宋体" w:hAnsi="宋体"/>
          <w:kern w:val="44"/>
        </w:rPr>
        <w:t>建设单位可以将全部专项服务委托给物业服务企业，也可以将专项服务委托给专业性服务企业。</w:t>
      </w:r>
    </w:p>
    <w:p w14:paraId="7CFD63F0">
      <w:pPr>
        <w:ind w:firstLine="422"/>
        <w:jc w:val="left"/>
        <w:rPr>
          <w:rFonts w:ascii="宋体" w:hAnsi="宋体"/>
          <w:kern w:val="44"/>
        </w:rPr>
      </w:pPr>
      <w:r>
        <w:rPr>
          <w:rFonts w:hint="eastAsia" w:ascii="宋体" w:hAnsi="宋体"/>
          <w:b/>
          <w:kern w:val="44"/>
        </w:rPr>
        <w:t>第九条</w:t>
      </w:r>
      <w:r>
        <w:rPr>
          <w:rFonts w:hint="eastAsia" w:ascii="宋体" w:hAnsi="宋体"/>
          <w:kern w:val="44"/>
        </w:rPr>
        <w:t>　建设单位在销售物业前，应当制定临时管理规约，并在销售场所公示，对有关物业的使用、维护、管理，业主的共同利益，业主应当履行的义务，违反临时管理规约应当承担的责任等事项依法作出约定。临时管理规约不得侵害物业买受人的合法权益。</w:t>
      </w:r>
    </w:p>
    <w:p w14:paraId="221E4D22">
      <w:pPr>
        <w:jc w:val="left"/>
        <w:rPr>
          <w:rFonts w:ascii="宋体" w:hAnsi="宋体"/>
          <w:kern w:val="44"/>
        </w:rPr>
      </w:pPr>
      <w:r>
        <w:rPr>
          <w:rFonts w:hint="eastAsia" w:ascii="宋体" w:hAnsi="宋体"/>
          <w:kern w:val="44"/>
        </w:rPr>
        <w:t>市房屋行政主管部门应当制定并发布临时管理规约的示范文本。</w:t>
      </w:r>
    </w:p>
    <w:p w14:paraId="15DCA806">
      <w:pPr>
        <w:ind w:firstLine="422"/>
        <w:jc w:val="left"/>
        <w:rPr>
          <w:rFonts w:ascii="宋体" w:hAnsi="宋体"/>
          <w:kern w:val="44"/>
        </w:rPr>
      </w:pPr>
      <w:r>
        <w:rPr>
          <w:rFonts w:hint="eastAsia" w:ascii="宋体" w:hAnsi="宋体"/>
          <w:b/>
          <w:kern w:val="44"/>
        </w:rPr>
        <w:t>第十条</w:t>
      </w:r>
      <w:r>
        <w:rPr>
          <w:rFonts w:hint="eastAsia" w:ascii="宋体" w:hAnsi="宋体"/>
          <w:kern w:val="44"/>
        </w:rPr>
        <w:t>　业主共同决定解除前期物业服务合同的，建设单位应当与全体业主进行物业共用部分查验交接，撤出物业管理区域，并移交下列资料：</w:t>
      </w:r>
    </w:p>
    <w:p w14:paraId="26A39DE0">
      <w:pPr>
        <w:jc w:val="left"/>
        <w:rPr>
          <w:rFonts w:ascii="宋体" w:hAnsi="宋体"/>
          <w:kern w:val="44"/>
        </w:rPr>
      </w:pPr>
      <w:r>
        <w:rPr>
          <w:rFonts w:hint="eastAsia" w:ascii="宋体" w:hAnsi="宋体"/>
          <w:kern w:val="44"/>
        </w:rPr>
        <w:t>（一）物业管理区域划分资料；</w:t>
      </w:r>
    </w:p>
    <w:p w14:paraId="23673DB1">
      <w:pPr>
        <w:jc w:val="left"/>
        <w:rPr>
          <w:rFonts w:ascii="宋体" w:hAnsi="宋体"/>
          <w:kern w:val="44"/>
        </w:rPr>
      </w:pPr>
      <w:r>
        <w:rPr>
          <w:rFonts w:hint="eastAsia" w:ascii="宋体" w:hAnsi="宋体"/>
          <w:kern w:val="44"/>
        </w:rPr>
        <w:t>（二）建设用地规划许可证和建设工程规划许可证的附件、附图；</w:t>
      </w:r>
    </w:p>
    <w:p w14:paraId="748E5C79">
      <w:pPr>
        <w:jc w:val="left"/>
        <w:rPr>
          <w:rFonts w:ascii="宋体" w:hAnsi="宋体"/>
          <w:kern w:val="44"/>
        </w:rPr>
      </w:pPr>
      <w:r>
        <w:rPr>
          <w:rFonts w:hint="eastAsia" w:ascii="宋体" w:hAnsi="宋体"/>
          <w:kern w:val="44"/>
        </w:rPr>
        <w:t>（三）竣工验收报告及竣工总平面图，单体建筑、结构、设备竣工图，配套设施、地下管网工程竣工图、消防验收等竣工验收资料；</w:t>
      </w:r>
    </w:p>
    <w:p w14:paraId="3C250BB6">
      <w:pPr>
        <w:jc w:val="left"/>
        <w:rPr>
          <w:rFonts w:ascii="宋体" w:hAnsi="宋体"/>
          <w:kern w:val="44"/>
        </w:rPr>
      </w:pPr>
      <w:r>
        <w:rPr>
          <w:rFonts w:hint="eastAsia" w:ascii="宋体" w:hAnsi="宋体"/>
          <w:kern w:val="44"/>
        </w:rPr>
        <w:t>（四）设施设备的出厂随机资料，安装、验收、使用、维护保养和定期检验等技术资料，运行、维护保养记录；</w:t>
      </w:r>
    </w:p>
    <w:p w14:paraId="00A8D611">
      <w:pPr>
        <w:jc w:val="left"/>
        <w:rPr>
          <w:rFonts w:ascii="宋体" w:hAnsi="宋体"/>
          <w:kern w:val="44"/>
        </w:rPr>
      </w:pPr>
      <w:r>
        <w:rPr>
          <w:rFonts w:hint="eastAsia" w:ascii="宋体" w:hAnsi="宋体"/>
          <w:kern w:val="44"/>
        </w:rPr>
        <w:t>（五）物业质量保修文件和物业使用说明文件；</w:t>
      </w:r>
    </w:p>
    <w:p w14:paraId="40BDC495">
      <w:pPr>
        <w:jc w:val="left"/>
        <w:rPr>
          <w:rFonts w:ascii="宋体" w:hAnsi="宋体"/>
          <w:kern w:val="44"/>
        </w:rPr>
      </w:pPr>
      <w:r>
        <w:rPr>
          <w:rFonts w:hint="eastAsia" w:ascii="宋体" w:hAnsi="宋体"/>
          <w:kern w:val="44"/>
        </w:rPr>
        <w:t>（六）业主名册；</w:t>
      </w:r>
    </w:p>
    <w:p w14:paraId="665B6284">
      <w:pPr>
        <w:jc w:val="left"/>
        <w:rPr>
          <w:rFonts w:ascii="宋体" w:hAnsi="宋体"/>
          <w:kern w:val="44"/>
        </w:rPr>
      </w:pPr>
      <w:r>
        <w:rPr>
          <w:rFonts w:hint="eastAsia" w:ascii="宋体" w:hAnsi="宋体"/>
          <w:kern w:val="44"/>
        </w:rPr>
        <w:t>（七）物业管理必需的其他资料。</w:t>
      </w:r>
    </w:p>
    <w:p w14:paraId="2CE6D2B1">
      <w:pPr>
        <w:jc w:val="left"/>
        <w:rPr>
          <w:rFonts w:ascii="宋体" w:hAnsi="宋体"/>
          <w:kern w:val="44"/>
        </w:rPr>
      </w:pPr>
      <w:r>
        <w:rPr>
          <w:rFonts w:hint="eastAsia" w:ascii="宋体" w:hAnsi="宋体"/>
          <w:kern w:val="44"/>
        </w:rPr>
        <w:t>全体业主承接前应当对物业共用部分进行查验，可以委托选聘的物业服务企业进行查验。全体业主与建设单位也可以共同委托物业服务评估监理机构进行查验。</w:t>
      </w:r>
    </w:p>
    <w:p w14:paraId="5FB9F15A">
      <w:pPr>
        <w:jc w:val="left"/>
        <w:rPr>
          <w:rFonts w:ascii="宋体" w:hAnsi="宋体"/>
          <w:kern w:val="44"/>
        </w:rPr>
      </w:pPr>
    </w:p>
    <w:p w14:paraId="3043E23C">
      <w:pPr>
        <w:ind w:firstLine="0" w:firstLineChars="0"/>
        <w:jc w:val="center"/>
        <w:rPr>
          <w:rFonts w:ascii="宋体" w:hAnsi="宋体"/>
          <w:b/>
          <w:kern w:val="44"/>
          <w:sz w:val="28"/>
        </w:rPr>
      </w:pPr>
      <w:r>
        <w:rPr>
          <w:rFonts w:hint="eastAsia" w:ascii="宋体" w:hAnsi="宋体"/>
          <w:b/>
          <w:kern w:val="44"/>
          <w:sz w:val="28"/>
        </w:rPr>
        <w:t>第三章  业主、业主大会与</w:t>
      </w:r>
    </w:p>
    <w:p w14:paraId="778D2839">
      <w:pPr>
        <w:ind w:firstLine="0" w:firstLineChars="0"/>
        <w:jc w:val="center"/>
        <w:rPr>
          <w:rFonts w:ascii="宋体" w:hAnsi="宋体"/>
          <w:b/>
          <w:kern w:val="44"/>
          <w:sz w:val="28"/>
        </w:rPr>
      </w:pPr>
      <w:r>
        <w:rPr>
          <w:rFonts w:hint="eastAsia" w:ascii="宋体" w:hAnsi="宋体"/>
          <w:b/>
          <w:kern w:val="44"/>
          <w:sz w:val="28"/>
        </w:rPr>
        <w:t xml:space="preserve">  业主委员会</w:t>
      </w:r>
    </w:p>
    <w:p w14:paraId="7B8D8F9D">
      <w:pPr>
        <w:jc w:val="left"/>
        <w:rPr>
          <w:rFonts w:ascii="宋体" w:hAnsi="宋体"/>
          <w:kern w:val="44"/>
        </w:rPr>
      </w:pPr>
    </w:p>
    <w:p w14:paraId="3164E0C4">
      <w:pPr>
        <w:ind w:firstLine="422"/>
        <w:jc w:val="left"/>
        <w:rPr>
          <w:rFonts w:ascii="宋体" w:hAnsi="宋体"/>
          <w:kern w:val="44"/>
        </w:rPr>
      </w:pPr>
      <w:r>
        <w:rPr>
          <w:rFonts w:hint="eastAsia" w:ascii="宋体" w:hAnsi="宋体"/>
          <w:b/>
          <w:kern w:val="44"/>
        </w:rPr>
        <w:t>第十一条</w:t>
      </w:r>
      <w:r>
        <w:rPr>
          <w:rFonts w:hint="eastAsia" w:ascii="宋体" w:hAnsi="宋体"/>
          <w:kern w:val="44"/>
        </w:rPr>
        <w:t>　业主对物业管理区域共用部分实施共同管理。下列事项由业主共同决定：</w:t>
      </w:r>
    </w:p>
    <w:p w14:paraId="0004B846">
      <w:pPr>
        <w:jc w:val="left"/>
        <w:rPr>
          <w:rFonts w:ascii="宋体" w:hAnsi="宋体"/>
          <w:kern w:val="44"/>
        </w:rPr>
      </w:pPr>
      <w:r>
        <w:rPr>
          <w:rFonts w:hint="eastAsia" w:ascii="宋体" w:hAnsi="宋体"/>
          <w:kern w:val="44"/>
        </w:rPr>
        <w:t>（一）制定或者修改管理规约、业主大会议事规则；</w:t>
      </w:r>
    </w:p>
    <w:p w14:paraId="0F97DB74">
      <w:pPr>
        <w:jc w:val="left"/>
        <w:rPr>
          <w:rFonts w:ascii="宋体" w:hAnsi="宋体"/>
          <w:kern w:val="44"/>
        </w:rPr>
      </w:pPr>
      <w:r>
        <w:rPr>
          <w:rFonts w:hint="eastAsia" w:ascii="宋体" w:hAnsi="宋体"/>
          <w:kern w:val="44"/>
        </w:rPr>
        <w:t>（二）选举或者更换业主委员会委员；</w:t>
      </w:r>
    </w:p>
    <w:p w14:paraId="0FF0D640">
      <w:pPr>
        <w:jc w:val="left"/>
        <w:rPr>
          <w:rFonts w:ascii="宋体" w:hAnsi="宋体"/>
          <w:kern w:val="44"/>
        </w:rPr>
      </w:pPr>
      <w:r>
        <w:rPr>
          <w:rFonts w:hint="eastAsia" w:ascii="宋体" w:hAnsi="宋体"/>
          <w:kern w:val="44"/>
        </w:rPr>
        <w:t>（三）确定或者变更物业管理方式、服务内容、服务标准和收费方案；</w:t>
      </w:r>
    </w:p>
    <w:p w14:paraId="4C2EB154">
      <w:pPr>
        <w:jc w:val="left"/>
        <w:rPr>
          <w:rFonts w:ascii="宋体" w:hAnsi="宋体"/>
          <w:kern w:val="44"/>
        </w:rPr>
      </w:pPr>
      <w:r>
        <w:rPr>
          <w:rFonts w:hint="eastAsia" w:ascii="宋体" w:hAnsi="宋体"/>
          <w:kern w:val="44"/>
        </w:rPr>
        <w:t>（四）选聘、解聘物业服务企业或者不再接受物业服务企业事实服务；</w:t>
      </w:r>
    </w:p>
    <w:p w14:paraId="2C75B9EA">
      <w:pPr>
        <w:jc w:val="left"/>
        <w:rPr>
          <w:rFonts w:ascii="宋体" w:hAnsi="宋体"/>
          <w:kern w:val="44"/>
        </w:rPr>
      </w:pPr>
      <w:r>
        <w:rPr>
          <w:rFonts w:hint="eastAsia" w:ascii="宋体" w:hAnsi="宋体"/>
          <w:kern w:val="44"/>
        </w:rPr>
        <w:t>（五）筹集、管理和使用专项维修资金；</w:t>
      </w:r>
    </w:p>
    <w:p w14:paraId="1F93291D">
      <w:pPr>
        <w:jc w:val="left"/>
        <w:rPr>
          <w:rFonts w:ascii="宋体" w:hAnsi="宋体"/>
          <w:kern w:val="44"/>
        </w:rPr>
      </w:pPr>
      <w:r>
        <w:rPr>
          <w:rFonts w:hint="eastAsia" w:ascii="宋体" w:hAnsi="宋体"/>
          <w:kern w:val="44"/>
        </w:rPr>
        <w:t>（六）申请改建、重建建筑物及附属设施；</w:t>
      </w:r>
    </w:p>
    <w:p w14:paraId="2948FBB9">
      <w:pPr>
        <w:jc w:val="left"/>
        <w:rPr>
          <w:rFonts w:ascii="宋体" w:hAnsi="宋体"/>
          <w:kern w:val="44"/>
        </w:rPr>
      </w:pPr>
      <w:r>
        <w:rPr>
          <w:rFonts w:hint="eastAsia" w:ascii="宋体" w:hAnsi="宋体"/>
          <w:kern w:val="44"/>
        </w:rPr>
        <w:t>（七）申请分立或者合并物业管理区域；</w:t>
      </w:r>
    </w:p>
    <w:p w14:paraId="3C58D4E1">
      <w:pPr>
        <w:jc w:val="left"/>
        <w:rPr>
          <w:rFonts w:ascii="宋体" w:hAnsi="宋体"/>
          <w:kern w:val="44"/>
        </w:rPr>
      </w:pPr>
      <w:r>
        <w:rPr>
          <w:rFonts w:hint="eastAsia" w:ascii="宋体" w:hAnsi="宋体"/>
          <w:kern w:val="44"/>
        </w:rPr>
        <w:t>（八）决定物业管理区域内的其他重大物业管理事项。</w:t>
      </w:r>
    </w:p>
    <w:p w14:paraId="744AB5F3">
      <w:pPr>
        <w:jc w:val="left"/>
        <w:rPr>
          <w:rFonts w:ascii="宋体" w:hAnsi="宋体"/>
          <w:kern w:val="44"/>
        </w:rPr>
      </w:pPr>
      <w:r>
        <w:rPr>
          <w:rFonts w:hint="eastAsia" w:ascii="宋体" w:hAnsi="宋体"/>
          <w:kern w:val="44"/>
        </w:rPr>
        <w:t>决定第（五）、（六）项事项，应当经专有部分占建筑物总面积三分之二以上的业主且占总人数三分之二以上的业主同意；决定第（七）项事项，应当分别经原物业管理区域内以及拟分立或者合并后物业管理区域内专有部分占建筑物总面积三分之二以上的业主且占总人数三分之二以上的业主同意；决定其他事项，应当经专有部分占建筑物总面积过半数的业主且占总人数过半数的业主同意。</w:t>
      </w:r>
    </w:p>
    <w:p w14:paraId="2FF73AAA">
      <w:pPr>
        <w:ind w:firstLine="422"/>
        <w:jc w:val="left"/>
        <w:rPr>
          <w:rFonts w:ascii="宋体" w:hAnsi="宋体"/>
          <w:kern w:val="44"/>
        </w:rPr>
      </w:pPr>
      <w:r>
        <w:rPr>
          <w:rFonts w:hint="eastAsia" w:ascii="宋体" w:hAnsi="宋体"/>
          <w:b/>
          <w:kern w:val="44"/>
        </w:rPr>
        <w:t>第十二条</w:t>
      </w:r>
      <w:r>
        <w:rPr>
          <w:rFonts w:hint="eastAsia" w:ascii="宋体" w:hAnsi="宋体"/>
          <w:kern w:val="44"/>
        </w:rPr>
        <w:t>　业主可以以幢、单元、楼层为单位，共同决定本单位范围内的物业管理事项，事项范围和决定程序由业主大会议事规则规定或者物业管理区域内全体业主共同决定。</w:t>
      </w:r>
    </w:p>
    <w:p w14:paraId="2E06CB85">
      <w:pPr>
        <w:ind w:firstLine="422"/>
        <w:jc w:val="left"/>
        <w:rPr>
          <w:rFonts w:ascii="宋体" w:hAnsi="宋体"/>
          <w:kern w:val="44"/>
        </w:rPr>
      </w:pPr>
      <w:r>
        <w:rPr>
          <w:rFonts w:hint="eastAsia" w:ascii="宋体" w:hAnsi="宋体"/>
          <w:b/>
          <w:kern w:val="44"/>
        </w:rPr>
        <w:t>第十三条</w:t>
      </w:r>
      <w:r>
        <w:rPr>
          <w:rFonts w:hint="eastAsia" w:ascii="宋体" w:hAnsi="宋体"/>
          <w:kern w:val="44"/>
        </w:rPr>
        <w:t>　业主可以成立业主大会，业主大会由物业管理区域内全体业主组成，对物业管理区域内共用部分实施共同管理，按照相关规定开展与物业管理有关的活动。一个物业管理区域成立一个业主大会。</w:t>
      </w:r>
    </w:p>
    <w:p w14:paraId="4F2EB081">
      <w:pPr>
        <w:jc w:val="left"/>
        <w:rPr>
          <w:rFonts w:ascii="宋体" w:hAnsi="宋体"/>
          <w:kern w:val="44"/>
        </w:rPr>
      </w:pPr>
      <w:r>
        <w:rPr>
          <w:rFonts w:hint="eastAsia" w:ascii="宋体" w:hAnsi="宋体"/>
          <w:kern w:val="44"/>
        </w:rPr>
        <w:t>未成立业主大会，发生物业服务企业停止服务或者其他重大、紧急物业管理事件，需要业主共同决定解聘、选聘物业服务企业或者其他事项的，由物业所在地街道办事处、乡镇人民政府指导协助业主共同决定有关事项。</w:t>
      </w:r>
    </w:p>
    <w:p w14:paraId="1378F2B7">
      <w:pPr>
        <w:ind w:firstLine="422"/>
        <w:jc w:val="left"/>
        <w:rPr>
          <w:rFonts w:ascii="宋体" w:hAnsi="宋体"/>
          <w:kern w:val="44"/>
        </w:rPr>
      </w:pPr>
      <w:r>
        <w:rPr>
          <w:rFonts w:hint="eastAsia" w:ascii="宋体" w:hAnsi="宋体"/>
          <w:b/>
          <w:kern w:val="44"/>
        </w:rPr>
        <w:t>第十四条</w:t>
      </w:r>
      <w:r>
        <w:rPr>
          <w:rFonts w:hint="eastAsia" w:ascii="宋体" w:hAnsi="宋体"/>
          <w:kern w:val="44"/>
        </w:rPr>
        <w:t>　物业管理区域内已交付业主的专有部分达到建筑物总面积50％以上的，建设单位应当向物业所在地街道办事处、乡镇人民政府报送筹备首次业主大会会议所需资料，并推荐业主代表作为临时召集人，召集占总人数5％以上或者专有部分占建筑物总面积5％以上的业主向物业所在地街道办事处、乡镇人民政府提出书面申请成立业主大会；占总人数5％以上或者专有部分占建筑物总面积5％以上的业主也可以自行向物业所在地街道办事处、乡镇人民政府提出书面申请成立业主大会。</w:t>
      </w:r>
    </w:p>
    <w:p w14:paraId="7AF6BBAA">
      <w:pPr>
        <w:ind w:firstLine="422"/>
        <w:jc w:val="left"/>
        <w:rPr>
          <w:rFonts w:ascii="宋体" w:hAnsi="宋体"/>
          <w:kern w:val="44"/>
        </w:rPr>
      </w:pPr>
      <w:r>
        <w:rPr>
          <w:rFonts w:hint="eastAsia" w:ascii="宋体" w:hAnsi="宋体"/>
          <w:b/>
          <w:kern w:val="44"/>
        </w:rPr>
        <w:t>第十五条</w:t>
      </w:r>
      <w:r>
        <w:rPr>
          <w:rFonts w:hint="eastAsia" w:ascii="宋体" w:hAnsi="宋体"/>
          <w:kern w:val="44"/>
        </w:rPr>
        <w:t>　街道办事处、乡镇人民政府应当自接到申请之日起60日内，指定代表担任筹备组组长，组织成立首次业主大会会议筹备组，筹备组负责召集首次业主大会会议。筹备组中非建设单位的业主代表人数不低于筹备组中具有表决权成员人数的三分之二。</w:t>
      </w:r>
    </w:p>
    <w:p w14:paraId="79AD0E5E">
      <w:pPr>
        <w:jc w:val="left"/>
        <w:rPr>
          <w:rFonts w:ascii="宋体" w:hAnsi="宋体"/>
          <w:kern w:val="44"/>
        </w:rPr>
      </w:pPr>
      <w:r>
        <w:rPr>
          <w:rFonts w:hint="eastAsia" w:ascii="宋体" w:hAnsi="宋体"/>
          <w:kern w:val="44"/>
        </w:rPr>
        <w:t>筹备组成员名单确定后，应当在物业管理区域内显著位置公示。</w:t>
      </w:r>
    </w:p>
    <w:p w14:paraId="71809C91">
      <w:pPr>
        <w:ind w:firstLine="422"/>
        <w:jc w:val="left"/>
        <w:rPr>
          <w:rFonts w:ascii="宋体" w:hAnsi="宋体"/>
          <w:kern w:val="44"/>
        </w:rPr>
      </w:pPr>
      <w:r>
        <w:rPr>
          <w:rFonts w:hint="eastAsia" w:ascii="宋体" w:hAnsi="宋体"/>
          <w:b/>
          <w:kern w:val="44"/>
        </w:rPr>
        <w:t>第十六条</w:t>
      </w:r>
      <w:r>
        <w:rPr>
          <w:rFonts w:hint="eastAsia" w:ascii="宋体" w:hAnsi="宋体"/>
          <w:kern w:val="44"/>
        </w:rPr>
        <w:t>　建设单位应当自首次业主大会会议筹备组成立之日起7日内向筹备组提供业主名册、业主专有部分面积、建筑物总面积等资料，并承担筹备及召开首次业主大会会议所需费用。</w:t>
      </w:r>
    </w:p>
    <w:p w14:paraId="2FF1D513">
      <w:pPr>
        <w:ind w:firstLine="422"/>
        <w:jc w:val="left"/>
        <w:rPr>
          <w:rFonts w:ascii="宋体" w:hAnsi="宋体"/>
          <w:kern w:val="44"/>
        </w:rPr>
      </w:pPr>
      <w:r>
        <w:rPr>
          <w:rFonts w:hint="eastAsia" w:ascii="宋体" w:hAnsi="宋体"/>
          <w:b/>
          <w:kern w:val="44"/>
        </w:rPr>
        <w:t>第十七条</w:t>
      </w:r>
      <w:r>
        <w:rPr>
          <w:rFonts w:hint="eastAsia" w:ascii="宋体" w:hAnsi="宋体"/>
          <w:kern w:val="44"/>
        </w:rPr>
        <w:t>　业主大会选举产生业主委员会。业主委员会应当自选举产生之日起30日内，持以下材料向物业所在地街道办事处、乡镇人民政府备案：</w:t>
      </w:r>
    </w:p>
    <w:p w14:paraId="1AA045F7">
      <w:pPr>
        <w:jc w:val="left"/>
        <w:rPr>
          <w:rFonts w:ascii="宋体" w:hAnsi="宋体"/>
          <w:kern w:val="44"/>
        </w:rPr>
      </w:pPr>
      <w:r>
        <w:rPr>
          <w:rFonts w:hint="eastAsia" w:ascii="宋体" w:hAnsi="宋体"/>
          <w:kern w:val="44"/>
        </w:rPr>
        <w:t>（一）筹备组出具并由组长签字的业主大会成立和业主委员会选举情况的报告；</w:t>
      </w:r>
    </w:p>
    <w:p w14:paraId="7161FF49">
      <w:pPr>
        <w:jc w:val="left"/>
        <w:rPr>
          <w:rFonts w:ascii="宋体" w:hAnsi="宋体"/>
          <w:kern w:val="44"/>
        </w:rPr>
      </w:pPr>
      <w:r>
        <w:rPr>
          <w:rFonts w:hint="eastAsia" w:ascii="宋体" w:hAnsi="宋体"/>
          <w:kern w:val="44"/>
        </w:rPr>
        <w:t>（二）业主大会决议；</w:t>
      </w:r>
    </w:p>
    <w:p w14:paraId="4FC3F775">
      <w:pPr>
        <w:jc w:val="left"/>
        <w:rPr>
          <w:rFonts w:ascii="宋体" w:hAnsi="宋体"/>
          <w:kern w:val="44"/>
        </w:rPr>
      </w:pPr>
      <w:r>
        <w:rPr>
          <w:rFonts w:hint="eastAsia" w:ascii="宋体" w:hAnsi="宋体"/>
          <w:kern w:val="44"/>
        </w:rPr>
        <w:t>（三）管理规约、业主大会议事规则；</w:t>
      </w:r>
    </w:p>
    <w:p w14:paraId="01CA9EE2">
      <w:pPr>
        <w:jc w:val="left"/>
        <w:rPr>
          <w:rFonts w:ascii="宋体" w:hAnsi="宋体"/>
          <w:kern w:val="44"/>
        </w:rPr>
      </w:pPr>
      <w:r>
        <w:rPr>
          <w:rFonts w:hint="eastAsia" w:ascii="宋体" w:hAnsi="宋体"/>
          <w:kern w:val="44"/>
        </w:rPr>
        <w:t>（四）业主委员会委员名单。</w:t>
      </w:r>
    </w:p>
    <w:p w14:paraId="26586925">
      <w:pPr>
        <w:jc w:val="left"/>
        <w:rPr>
          <w:rFonts w:ascii="宋体" w:hAnsi="宋体"/>
          <w:kern w:val="44"/>
        </w:rPr>
      </w:pPr>
      <w:r>
        <w:rPr>
          <w:rFonts w:hint="eastAsia" w:ascii="宋体" w:hAnsi="宋体"/>
          <w:kern w:val="44"/>
        </w:rPr>
        <w:t>材料齐全的，街道办事处、乡镇人民政府应当当场予以备案，并在备案后7日内将备案材料抄送区县房屋行政主管部门，同时将有关情况书面通报物业所在地公安派出所、社区居民委员会。第（二）、（三）、（四）项内容发生变更时，应当及时办理备案变更手续。</w:t>
      </w:r>
    </w:p>
    <w:p w14:paraId="7D67B4AD">
      <w:pPr>
        <w:ind w:firstLine="422"/>
        <w:jc w:val="left"/>
        <w:rPr>
          <w:rFonts w:ascii="宋体" w:hAnsi="宋体"/>
          <w:kern w:val="44"/>
        </w:rPr>
      </w:pPr>
      <w:r>
        <w:rPr>
          <w:rFonts w:hint="eastAsia" w:ascii="宋体" w:hAnsi="宋体"/>
          <w:b/>
          <w:kern w:val="44"/>
        </w:rPr>
        <w:t>第十八条</w:t>
      </w:r>
      <w:r>
        <w:rPr>
          <w:rFonts w:hint="eastAsia" w:ascii="宋体" w:hAnsi="宋体"/>
          <w:kern w:val="44"/>
        </w:rPr>
        <w:t>　业主委员会委员实行任期制，有关任期、候补、空缺、资格终止等事项由业主大会议事规则规定。有下列情形之一的，委员资格自动终止：</w:t>
      </w:r>
    </w:p>
    <w:p w14:paraId="25674DC1">
      <w:pPr>
        <w:jc w:val="left"/>
        <w:rPr>
          <w:rFonts w:ascii="宋体" w:hAnsi="宋体"/>
          <w:kern w:val="44"/>
        </w:rPr>
      </w:pPr>
      <w:r>
        <w:rPr>
          <w:rFonts w:hint="eastAsia" w:ascii="宋体" w:hAnsi="宋体"/>
          <w:kern w:val="44"/>
        </w:rPr>
        <w:t>（一）任职期限届满的；</w:t>
      </w:r>
    </w:p>
    <w:p w14:paraId="3F806DC8">
      <w:pPr>
        <w:jc w:val="left"/>
        <w:rPr>
          <w:rFonts w:ascii="宋体" w:hAnsi="宋体"/>
          <w:kern w:val="44"/>
        </w:rPr>
      </w:pPr>
      <w:r>
        <w:rPr>
          <w:rFonts w:hint="eastAsia" w:ascii="宋体" w:hAnsi="宋体"/>
          <w:kern w:val="44"/>
        </w:rPr>
        <w:t>（二）不再具备业主身份的；</w:t>
      </w:r>
    </w:p>
    <w:p w14:paraId="690BE0EB">
      <w:pPr>
        <w:jc w:val="left"/>
        <w:rPr>
          <w:rFonts w:ascii="宋体" w:hAnsi="宋体"/>
          <w:kern w:val="44"/>
        </w:rPr>
      </w:pPr>
      <w:r>
        <w:rPr>
          <w:rFonts w:hint="eastAsia" w:ascii="宋体" w:hAnsi="宋体"/>
          <w:kern w:val="44"/>
        </w:rPr>
        <w:t>（三）限制民事行为能力或者无民事行为能力的；</w:t>
      </w:r>
    </w:p>
    <w:p w14:paraId="43D83528">
      <w:pPr>
        <w:jc w:val="left"/>
        <w:rPr>
          <w:rFonts w:ascii="宋体" w:hAnsi="宋体"/>
          <w:kern w:val="44"/>
        </w:rPr>
      </w:pPr>
      <w:r>
        <w:rPr>
          <w:rFonts w:hint="eastAsia" w:ascii="宋体" w:hAnsi="宋体"/>
          <w:kern w:val="44"/>
        </w:rPr>
        <w:t>（四）被依法追究刑事责任，无法履行委员职责的；</w:t>
      </w:r>
    </w:p>
    <w:p w14:paraId="512C8AA9">
      <w:pPr>
        <w:jc w:val="left"/>
        <w:rPr>
          <w:rFonts w:ascii="宋体" w:hAnsi="宋体"/>
          <w:kern w:val="44"/>
        </w:rPr>
      </w:pPr>
      <w:r>
        <w:rPr>
          <w:rFonts w:hint="eastAsia" w:ascii="宋体" w:hAnsi="宋体"/>
          <w:kern w:val="44"/>
        </w:rPr>
        <w:t>（五）以书面形式向业主大会或者业主委员会提出辞职的；</w:t>
      </w:r>
    </w:p>
    <w:p w14:paraId="7A3E0BFE">
      <w:pPr>
        <w:jc w:val="left"/>
        <w:rPr>
          <w:rFonts w:ascii="宋体" w:hAnsi="宋体"/>
          <w:kern w:val="44"/>
        </w:rPr>
      </w:pPr>
      <w:r>
        <w:rPr>
          <w:rFonts w:hint="eastAsia" w:ascii="宋体" w:hAnsi="宋体"/>
          <w:kern w:val="44"/>
        </w:rPr>
        <w:t>（六）业主大会议事规则规定的其他情形。</w:t>
      </w:r>
    </w:p>
    <w:p w14:paraId="1482A7AA">
      <w:pPr>
        <w:jc w:val="left"/>
        <w:rPr>
          <w:rFonts w:ascii="宋体" w:hAnsi="宋体"/>
          <w:kern w:val="44"/>
        </w:rPr>
      </w:pPr>
      <w:r>
        <w:rPr>
          <w:rFonts w:hint="eastAsia" w:ascii="宋体" w:hAnsi="宋体"/>
          <w:kern w:val="44"/>
        </w:rPr>
        <w:t>业主委员会委员资格终止的，应当自终止之日起3日内将所保管的档案资料、印章及其他应当移交的财物，移交给业主委员会；拒不移交印章、相关财物和档案资料的，街道办事处、乡镇人民政府应当责令移交，物业所在地公安机关应当予以协助。</w:t>
      </w:r>
    </w:p>
    <w:p w14:paraId="5E58EDCB">
      <w:pPr>
        <w:jc w:val="left"/>
        <w:rPr>
          <w:rFonts w:ascii="宋体" w:hAnsi="宋体"/>
          <w:kern w:val="44"/>
        </w:rPr>
      </w:pPr>
    </w:p>
    <w:p w14:paraId="327D3D76">
      <w:pPr>
        <w:ind w:firstLine="0" w:firstLineChars="0"/>
        <w:jc w:val="center"/>
        <w:rPr>
          <w:rFonts w:ascii="宋体" w:hAnsi="宋体"/>
          <w:b/>
          <w:kern w:val="44"/>
          <w:sz w:val="28"/>
        </w:rPr>
      </w:pPr>
      <w:r>
        <w:rPr>
          <w:rFonts w:hint="eastAsia" w:ascii="宋体" w:hAnsi="宋体"/>
          <w:b/>
          <w:kern w:val="44"/>
          <w:sz w:val="28"/>
        </w:rPr>
        <w:t>第四章  物业服务</w:t>
      </w:r>
    </w:p>
    <w:p w14:paraId="3CF84275">
      <w:pPr>
        <w:jc w:val="left"/>
        <w:rPr>
          <w:rFonts w:ascii="宋体" w:hAnsi="宋体"/>
          <w:kern w:val="44"/>
        </w:rPr>
      </w:pPr>
    </w:p>
    <w:p w14:paraId="6EAB9DDF">
      <w:pPr>
        <w:ind w:firstLine="422"/>
        <w:jc w:val="left"/>
        <w:rPr>
          <w:rFonts w:ascii="宋体" w:hAnsi="宋体"/>
          <w:kern w:val="44"/>
        </w:rPr>
      </w:pPr>
      <w:r>
        <w:rPr>
          <w:rFonts w:hint="eastAsia" w:ascii="宋体" w:hAnsi="宋体"/>
          <w:b/>
          <w:kern w:val="44"/>
        </w:rPr>
        <w:t>第十九条</w:t>
      </w:r>
      <w:r>
        <w:rPr>
          <w:rFonts w:hint="eastAsia" w:ascii="宋体" w:hAnsi="宋体"/>
          <w:kern w:val="44"/>
        </w:rPr>
        <w:t>　业主选聘的物业服务企业应当具有法人资格，并按照国家规定取得物业服务企业资质。</w:t>
      </w:r>
    </w:p>
    <w:p w14:paraId="7F41717F">
      <w:pPr>
        <w:jc w:val="left"/>
        <w:rPr>
          <w:rFonts w:ascii="宋体" w:hAnsi="宋体"/>
          <w:kern w:val="44"/>
        </w:rPr>
      </w:pPr>
      <w:r>
        <w:rPr>
          <w:rFonts w:hint="eastAsia" w:ascii="宋体" w:hAnsi="宋体"/>
          <w:kern w:val="44"/>
        </w:rPr>
        <w:t>市房屋行政主管部门应当建立物业服务企业信用信息系统，对物业服务企业实行动态监督管理。</w:t>
      </w:r>
    </w:p>
    <w:p w14:paraId="7F7E70C9">
      <w:pPr>
        <w:ind w:firstLine="422"/>
        <w:jc w:val="left"/>
        <w:rPr>
          <w:rFonts w:ascii="宋体" w:hAnsi="宋体"/>
          <w:kern w:val="44"/>
        </w:rPr>
      </w:pPr>
      <w:r>
        <w:rPr>
          <w:rFonts w:hint="eastAsia" w:ascii="宋体" w:hAnsi="宋体"/>
          <w:b/>
          <w:kern w:val="44"/>
        </w:rPr>
        <w:t>第二十条</w:t>
      </w:r>
      <w:r>
        <w:rPr>
          <w:rFonts w:hint="eastAsia" w:ascii="宋体" w:hAnsi="宋体"/>
          <w:kern w:val="44"/>
        </w:rPr>
        <w:t>　物业服务合同应当对双方权利义务、物业服务事项、服务标准、服务费用、项目负责人、物业服务用房的管理与使用、合同期限、服务交接、违约责任等内容进行约定。</w:t>
      </w:r>
    </w:p>
    <w:p w14:paraId="5F8126FE">
      <w:pPr>
        <w:jc w:val="left"/>
        <w:rPr>
          <w:rFonts w:ascii="宋体" w:hAnsi="宋体"/>
          <w:kern w:val="44"/>
        </w:rPr>
      </w:pPr>
      <w:r>
        <w:rPr>
          <w:rFonts w:hint="eastAsia" w:ascii="宋体" w:hAnsi="宋体"/>
          <w:kern w:val="44"/>
        </w:rPr>
        <w:t>物业服务企业应当自物业服务合同签订之日起15日内，将物业服务合同报物业服务项目所在地区县房屋行政主管部门备案，区县房屋行政主管部门将备案材料抄送物业服务项目所在地街道办事处、乡镇人民政府。</w:t>
      </w:r>
    </w:p>
    <w:p w14:paraId="732ABD84">
      <w:pPr>
        <w:ind w:firstLine="422"/>
        <w:jc w:val="left"/>
        <w:rPr>
          <w:rFonts w:ascii="宋体" w:hAnsi="宋体"/>
          <w:kern w:val="44"/>
        </w:rPr>
      </w:pPr>
      <w:r>
        <w:rPr>
          <w:rFonts w:hint="eastAsia" w:ascii="宋体" w:hAnsi="宋体"/>
          <w:b/>
          <w:kern w:val="44"/>
        </w:rPr>
        <w:t>第二十一条</w:t>
      </w:r>
      <w:r>
        <w:rPr>
          <w:rFonts w:hint="eastAsia" w:ascii="宋体" w:hAnsi="宋体"/>
          <w:kern w:val="44"/>
        </w:rPr>
        <w:t>　物业服务是包括各专项服务的综合服务。物业服务企业可以将专项服务委托给专业性服务企业，但不得将全部物业服务一并委托给其他单位或者个人。</w:t>
      </w:r>
    </w:p>
    <w:p w14:paraId="7B895069">
      <w:pPr>
        <w:jc w:val="left"/>
        <w:rPr>
          <w:rFonts w:ascii="宋体" w:hAnsi="宋体"/>
          <w:kern w:val="44"/>
        </w:rPr>
      </w:pPr>
      <w:r>
        <w:rPr>
          <w:rFonts w:hint="eastAsia" w:ascii="宋体" w:hAnsi="宋体"/>
          <w:kern w:val="44"/>
        </w:rPr>
        <w:t>未选聘物业服务企业的，业主可以共同决定将各专项服务委托给专业性服务企业或者个人。</w:t>
      </w:r>
    </w:p>
    <w:p w14:paraId="7AAA903E">
      <w:pPr>
        <w:ind w:firstLine="422"/>
        <w:jc w:val="left"/>
        <w:rPr>
          <w:rFonts w:ascii="宋体" w:hAnsi="宋体"/>
          <w:kern w:val="44"/>
        </w:rPr>
      </w:pPr>
      <w:r>
        <w:rPr>
          <w:rFonts w:hint="eastAsia" w:ascii="宋体" w:hAnsi="宋体"/>
          <w:b/>
          <w:kern w:val="44"/>
        </w:rPr>
        <w:t>第二十二条</w:t>
      </w:r>
      <w:r>
        <w:rPr>
          <w:rFonts w:hint="eastAsia" w:ascii="宋体" w:hAnsi="宋体"/>
          <w:kern w:val="44"/>
        </w:rPr>
        <w:t>　物业服务企业应当按照物业服务合同和本市规定的服务标准、技术规范等提供质价相符的服务。</w:t>
      </w:r>
    </w:p>
    <w:p w14:paraId="008D283A">
      <w:pPr>
        <w:jc w:val="left"/>
        <w:rPr>
          <w:rFonts w:ascii="宋体" w:hAnsi="宋体"/>
          <w:kern w:val="44"/>
        </w:rPr>
      </w:pPr>
      <w:r>
        <w:rPr>
          <w:rFonts w:hint="eastAsia" w:ascii="宋体" w:hAnsi="宋体"/>
          <w:kern w:val="44"/>
        </w:rPr>
        <w:t>物业服务企业及相关人员实施锅炉、电梯、电气、制冷以及有限空间、高空等涉及人身安全的作业，应当具备相应资质或者委托具备相应资质的单位及个人实施；委托实施的，应当明确各自的安全管理责任。</w:t>
      </w:r>
    </w:p>
    <w:p w14:paraId="61AA8202">
      <w:pPr>
        <w:ind w:firstLine="422"/>
        <w:jc w:val="left"/>
        <w:rPr>
          <w:rFonts w:ascii="宋体" w:hAnsi="宋体"/>
          <w:kern w:val="44"/>
        </w:rPr>
      </w:pPr>
      <w:r>
        <w:rPr>
          <w:rFonts w:hint="eastAsia" w:ascii="宋体" w:hAnsi="宋体"/>
          <w:b/>
          <w:kern w:val="44"/>
        </w:rPr>
        <w:t>第二十三条</w:t>
      </w:r>
      <w:r>
        <w:rPr>
          <w:rFonts w:hint="eastAsia" w:ascii="宋体" w:hAnsi="宋体"/>
          <w:kern w:val="44"/>
        </w:rPr>
        <w:t>　物业服务企业应当按照价格主管部门的规定，将服务事项、服务标准、收费项目、收费标准等有关情况在物业管理区域内显著位置公示。</w:t>
      </w:r>
    </w:p>
    <w:p w14:paraId="0C77CE78">
      <w:pPr>
        <w:jc w:val="left"/>
        <w:rPr>
          <w:rFonts w:ascii="宋体" w:hAnsi="宋体"/>
          <w:kern w:val="44"/>
        </w:rPr>
      </w:pPr>
      <w:r>
        <w:rPr>
          <w:rFonts w:hint="eastAsia" w:ascii="宋体" w:hAnsi="宋体"/>
          <w:kern w:val="44"/>
        </w:rPr>
        <w:t>物业服务企业应当于每年第一季度公示上一年度物业服务合同履行情况、物业服务项目收支情况、本年度物业服务项目收支预算，业主提出质询时，物业服务企业应当及时答复。业主共同决定或者业主委员会要求对物业服务项目收支情况进行审计的，物业服务企业应当予以配合。</w:t>
      </w:r>
    </w:p>
    <w:p w14:paraId="6B2ED8E5">
      <w:pPr>
        <w:ind w:firstLine="422"/>
        <w:jc w:val="left"/>
        <w:rPr>
          <w:rFonts w:ascii="宋体" w:hAnsi="宋体"/>
          <w:kern w:val="44"/>
        </w:rPr>
      </w:pPr>
      <w:r>
        <w:rPr>
          <w:rFonts w:hint="eastAsia" w:ascii="宋体" w:hAnsi="宋体"/>
          <w:b/>
          <w:kern w:val="44"/>
        </w:rPr>
        <w:t>第二十四条</w:t>
      </w:r>
      <w:r>
        <w:rPr>
          <w:rFonts w:hint="eastAsia" w:ascii="宋体" w:hAnsi="宋体"/>
          <w:kern w:val="44"/>
        </w:rPr>
        <w:t>　物业服务合同期限届满前，全体业主应当共同决定物业管理方式、服务内容、是否更换物业服务企业等事项。</w:t>
      </w:r>
    </w:p>
    <w:p w14:paraId="36731348">
      <w:pPr>
        <w:jc w:val="left"/>
        <w:rPr>
          <w:rFonts w:ascii="宋体" w:hAnsi="宋体"/>
          <w:kern w:val="44"/>
        </w:rPr>
      </w:pPr>
      <w:r>
        <w:rPr>
          <w:rFonts w:hint="eastAsia" w:ascii="宋体" w:hAnsi="宋体"/>
          <w:kern w:val="44"/>
        </w:rPr>
        <w:t>决定续聘原物业服务企业的，应当与原物业服务企业协商签订物业服务合同；决定解聘的，应当履行必要的通知义务，合同未约定通知期限的，应当于合同期限届满前三个月告知原物业服务企业，并在物业管理区域内公告。</w:t>
      </w:r>
    </w:p>
    <w:p w14:paraId="43223443">
      <w:pPr>
        <w:ind w:firstLine="422"/>
        <w:jc w:val="left"/>
        <w:rPr>
          <w:rFonts w:ascii="宋体" w:hAnsi="宋体"/>
          <w:kern w:val="44"/>
        </w:rPr>
      </w:pPr>
      <w:r>
        <w:rPr>
          <w:rFonts w:hint="eastAsia" w:ascii="宋体" w:hAnsi="宋体"/>
          <w:b/>
          <w:kern w:val="44"/>
        </w:rPr>
        <w:t>第二十五条</w:t>
      </w:r>
      <w:r>
        <w:rPr>
          <w:rFonts w:hint="eastAsia" w:ascii="宋体" w:hAnsi="宋体"/>
          <w:kern w:val="44"/>
        </w:rPr>
        <w:t>　物业服务合同终止前，物业服务企业不得停止服务。</w:t>
      </w:r>
    </w:p>
    <w:p w14:paraId="49CB9A95">
      <w:pPr>
        <w:jc w:val="left"/>
        <w:rPr>
          <w:rFonts w:ascii="宋体" w:hAnsi="宋体"/>
          <w:kern w:val="44"/>
        </w:rPr>
      </w:pPr>
      <w:r>
        <w:rPr>
          <w:rFonts w:hint="eastAsia" w:ascii="宋体" w:hAnsi="宋体"/>
          <w:kern w:val="44"/>
        </w:rPr>
        <w:t>物业服务合同届满，物业服务企业决定不再续签物业服务合同的，应当于合同期限届满前履行必要的通知义务；合同未约定通知期限的，应当于合同期限届满前三个月通知业主。</w:t>
      </w:r>
    </w:p>
    <w:p w14:paraId="3CE38041">
      <w:pPr>
        <w:ind w:firstLine="422"/>
        <w:jc w:val="left"/>
        <w:rPr>
          <w:rFonts w:ascii="宋体" w:hAnsi="宋体"/>
          <w:kern w:val="44"/>
        </w:rPr>
      </w:pPr>
      <w:r>
        <w:rPr>
          <w:rFonts w:hint="eastAsia" w:ascii="宋体" w:hAnsi="宋体"/>
          <w:b/>
          <w:kern w:val="44"/>
        </w:rPr>
        <w:t>第二十六条</w:t>
      </w:r>
      <w:r>
        <w:rPr>
          <w:rFonts w:hint="eastAsia" w:ascii="宋体" w:hAnsi="宋体"/>
          <w:kern w:val="44"/>
        </w:rPr>
        <w:t>　物业服务企业未与业主签订书面物业服务合同，但事实上提供了物业服务，并履行了告知义务的，物业服务企业有权要求业主履行相关义务。</w:t>
      </w:r>
    </w:p>
    <w:p w14:paraId="3F280A86">
      <w:pPr>
        <w:jc w:val="left"/>
        <w:rPr>
          <w:rFonts w:ascii="宋体" w:hAnsi="宋体"/>
          <w:kern w:val="44"/>
        </w:rPr>
      </w:pPr>
      <w:r>
        <w:rPr>
          <w:rFonts w:hint="eastAsia" w:ascii="宋体" w:hAnsi="宋体"/>
          <w:kern w:val="44"/>
        </w:rPr>
        <w:t>业主共同决定不再接受物业服务的，物业服务企业不得强行提供物业服务，不得以事实服务为由向业主收取物业服务费用。物业服务企业决定不再提供物业服务的，应当提前三个月告知业主。</w:t>
      </w:r>
    </w:p>
    <w:p w14:paraId="0B90129E">
      <w:pPr>
        <w:ind w:firstLine="422"/>
        <w:jc w:val="left"/>
        <w:rPr>
          <w:rFonts w:ascii="宋体" w:hAnsi="宋体"/>
          <w:kern w:val="44"/>
        </w:rPr>
      </w:pPr>
      <w:r>
        <w:rPr>
          <w:rFonts w:hint="eastAsia" w:ascii="宋体" w:hAnsi="宋体"/>
          <w:b/>
          <w:kern w:val="44"/>
        </w:rPr>
        <w:t>第二十七条</w:t>
      </w:r>
      <w:r>
        <w:rPr>
          <w:rFonts w:hint="eastAsia" w:ascii="宋体" w:hAnsi="宋体"/>
          <w:kern w:val="44"/>
        </w:rPr>
        <w:t>　物业服务合同终止或者业主共同决定不再接受事实服务，物业服务企业应当在60日内与全体业主完成交接。物业服务企业应当履行下列交接义务，并撤出物业管理区域：</w:t>
      </w:r>
    </w:p>
    <w:p w14:paraId="6F518239">
      <w:pPr>
        <w:jc w:val="left"/>
        <w:rPr>
          <w:rFonts w:ascii="宋体" w:hAnsi="宋体"/>
          <w:kern w:val="44"/>
        </w:rPr>
      </w:pPr>
      <w:r>
        <w:rPr>
          <w:rFonts w:hint="eastAsia" w:ascii="宋体" w:hAnsi="宋体"/>
          <w:kern w:val="44"/>
        </w:rPr>
        <w:t>（一）移交物业共用部分；</w:t>
      </w:r>
    </w:p>
    <w:p w14:paraId="48F50DBC">
      <w:pPr>
        <w:jc w:val="left"/>
        <w:rPr>
          <w:rFonts w:ascii="宋体" w:hAnsi="宋体"/>
          <w:kern w:val="44"/>
        </w:rPr>
      </w:pPr>
      <w:r>
        <w:rPr>
          <w:rFonts w:hint="eastAsia" w:ascii="宋体" w:hAnsi="宋体"/>
          <w:kern w:val="44"/>
        </w:rPr>
        <w:t>（二）移交本办法第十条规定的相关资料；</w:t>
      </w:r>
    </w:p>
    <w:p w14:paraId="712A8F95">
      <w:pPr>
        <w:jc w:val="left"/>
        <w:rPr>
          <w:rFonts w:ascii="宋体" w:hAnsi="宋体"/>
          <w:kern w:val="44"/>
        </w:rPr>
      </w:pPr>
      <w:r>
        <w:rPr>
          <w:rFonts w:hint="eastAsia" w:ascii="宋体" w:hAnsi="宋体"/>
          <w:kern w:val="44"/>
        </w:rPr>
        <w:t>（三）移交物业服务期间形成的物业和设施设备使用、维护保养和定期检验等技术资料，运行、维护保养记录；</w:t>
      </w:r>
    </w:p>
    <w:p w14:paraId="244C38FF">
      <w:pPr>
        <w:jc w:val="left"/>
        <w:rPr>
          <w:rFonts w:ascii="宋体" w:hAnsi="宋体"/>
          <w:kern w:val="44"/>
        </w:rPr>
      </w:pPr>
      <w:r>
        <w:rPr>
          <w:rFonts w:hint="eastAsia" w:ascii="宋体" w:hAnsi="宋体"/>
          <w:kern w:val="44"/>
        </w:rPr>
        <w:t>（四）结清预收、代收的有关费用；</w:t>
      </w:r>
    </w:p>
    <w:p w14:paraId="6B502CD8">
      <w:pPr>
        <w:jc w:val="left"/>
        <w:rPr>
          <w:rFonts w:ascii="宋体" w:hAnsi="宋体"/>
          <w:kern w:val="44"/>
        </w:rPr>
      </w:pPr>
      <w:r>
        <w:rPr>
          <w:rFonts w:hint="eastAsia" w:ascii="宋体" w:hAnsi="宋体"/>
          <w:kern w:val="44"/>
        </w:rPr>
        <w:t>（五）法律、法规、规章规定和物业服务合同约定的其他事项。</w:t>
      </w:r>
    </w:p>
    <w:p w14:paraId="15E449C4">
      <w:pPr>
        <w:jc w:val="left"/>
        <w:rPr>
          <w:rFonts w:ascii="宋体" w:hAnsi="宋体"/>
          <w:kern w:val="44"/>
        </w:rPr>
      </w:pPr>
      <w:r>
        <w:rPr>
          <w:rFonts w:hint="eastAsia" w:ascii="宋体" w:hAnsi="宋体"/>
          <w:kern w:val="44"/>
        </w:rPr>
        <w:t>原物业服务企业不得以业主欠交物业服务费用、对业主共同决定有异议等为由拒绝办理交接。原物业服务企业在应当办理交接至撤出物业管理区域前的期间内，应当维持正常的物业管理秩序，并不得向业主收取物业服务费用。</w:t>
      </w:r>
    </w:p>
    <w:p w14:paraId="4741D1AE">
      <w:pPr>
        <w:jc w:val="left"/>
        <w:rPr>
          <w:rFonts w:ascii="宋体" w:hAnsi="宋体"/>
          <w:kern w:val="44"/>
        </w:rPr>
      </w:pPr>
      <w:r>
        <w:rPr>
          <w:rFonts w:hint="eastAsia" w:ascii="宋体" w:hAnsi="宋体"/>
          <w:kern w:val="44"/>
        </w:rPr>
        <w:t>原物业服务企业拒不撤出物业管理区域的，新的物业服务企业和业主应当与原物业服务企业协商解决；协商不成的，应当依法提起诉讼或者申请仲裁，不得强行接管。街道办事处、乡镇人民政府和房屋行政主管部门应当加强对物业服务企业交接工作的监管。</w:t>
      </w:r>
    </w:p>
    <w:p w14:paraId="55B64191">
      <w:pPr>
        <w:ind w:firstLine="422"/>
        <w:jc w:val="left"/>
        <w:rPr>
          <w:rFonts w:ascii="宋体" w:hAnsi="宋体"/>
          <w:kern w:val="44"/>
        </w:rPr>
      </w:pPr>
      <w:r>
        <w:rPr>
          <w:rFonts w:hint="eastAsia" w:ascii="宋体" w:hAnsi="宋体"/>
          <w:b/>
          <w:kern w:val="44"/>
        </w:rPr>
        <w:t>第二十八条</w:t>
      </w:r>
      <w:r>
        <w:rPr>
          <w:rFonts w:hint="eastAsia" w:ascii="宋体" w:hAnsi="宋体"/>
          <w:kern w:val="44"/>
        </w:rPr>
        <w:t>　物业服务企业应当按照物业服务合同指派项目负责人，除物业服务合同另有约定外，项目负责人原则上只能在一个物业服务项目任职。</w:t>
      </w:r>
    </w:p>
    <w:p w14:paraId="1266DED7">
      <w:pPr>
        <w:jc w:val="left"/>
        <w:rPr>
          <w:rFonts w:ascii="宋体" w:hAnsi="宋体"/>
          <w:kern w:val="44"/>
        </w:rPr>
      </w:pPr>
      <w:r>
        <w:rPr>
          <w:rFonts w:hint="eastAsia" w:ascii="宋体" w:hAnsi="宋体"/>
          <w:kern w:val="44"/>
        </w:rPr>
        <w:t>物业服务企业更换项目负责人的，应当及时告知业主并进行公示。业主共同决定要求物业服务企业更换项目负责人的，物业服务企业应当及时更换。</w:t>
      </w:r>
    </w:p>
    <w:p w14:paraId="1EEDBF6C">
      <w:pPr>
        <w:ind w:firstLine="422"/>
        <w:jc w:val="left"/>
        <w:rPr>
          <w:rFonts w:ascii="宋体" w:hAnsi="宋体"/>
          <w:kern w:val="44"/>
        </w:rPr>
      </w:pPr>
      <w:r>
        <w:rPr>
          <w:rFonts w:hint="eastAsia" w:ascii="宋体" w:hAnsi="宋体"/>
          <w:b/>
          <w:kern w:val="44"/>
        </w:rPr>
        <w:t>第二十九条</w:t>
      </w:r>
      <w:r>
        <w:rPr>
          <w:rFonts w:hint="eastAsia" w:ascii="宋体" w:hAnsi="宋体"/>
          <w:kern w:val="44"/>
        </w:rPr>
        <w:t>　业主、物业服务企业、建设单位和有关部门可以委托物业服务评估监理机构，就物业服务质量、服务费用和物业共用部分管理状况等进行评估和监理。</w:t>
      </w:r>
    </w:p>
    <w:p w14:paraId="7908C1B7">
      <w:pPr>
        <w:jc w:val="left"/>
        <w:rPr>
          <w:rFonts w:ascii="宋体" w:hAnsi="宋体"/>
          <w:kern w:val="44"/>
        </w:rPr>
      </w:pPr>
      <w:r>
        <w:rPr>
          <w:rFonts w:hint="eastAsia" w:ascii="宋体" w:hAnsi="宋体"/>
          <w:kern w:val="44"/>
        </w:rPr>
        <w:t>物业服务评估监理机构应当按照本市相关规定提供专业服务，不得出具有虚假内容、误导性陈述和重大遗漏的评估监理报告。</w:t>
      </w:r>
    </w:p>
    <w:p w14:paraId="7A884F1E">
      <w:pPr>
        <w:ind w:firstLine="422"/>
        <w:jc w:val="left"/>
        <w:rPr>
          <w:rFonts w:ascii="宋体" w:hAnsi="宋体"/>
          <w:kern w:val="44"/>
        </w:rPr>
      </w:pPr>
      <w:r>
        <w:rPr>
          <w:rFonts w:hint="eastAsia" w:ascii="宋体" w:hAnsi="宋体"/>
          <w:b/>
          <w:kern w:val="44"/>
        </w:rPr>
        <w:t>第三十条</w:t>
      </w:r>
      <w:r>
        <w:rPr>
          <w:rFonts w:hint="eastAsia" w:ascii="宋体" w:hAnsi="宋体"/>
          <w:kern w:val="44"/>
        </w:rPr>
        <w:t>　房屋行政主管部门应当加强对物业服务活动的监督和管理，及时处理物业服务投诉。</w:t>
      </w:r>
    </w:p>
    <w:p w14:paraId="4F75B0FA">
      <w:pPr>
        <w:jc w:val="left"/>
        <w:rPr>
          <w:rFonts w:ascii="宋体" w:hAnsi="宋体"/>
          <w:kern w:val="44"/>
        </w:rPr>
      </w:pPr>
      <w:r>
        <w:rPr>
          <w:rFonts w:hint="eastAsia" w:ascii="宋体" w:hAnsi="宋体"/>
          <w:kern w:val="44"/>
        </w:rPr>
        <w:t>本市支持物业服务行业协会充分发挥服务、沟通和监督作用，完善物业服务行业自律制度，促进物业服务行业发展。物业服务行业协会可以根据物业服务项目的性质、物业服务内容、服务标准等因素，定期发布物业服务成本信息。</w:t>
      </w:r>
    </w:p>
    <w:p w14:paraId="11F0B119">
      <w:pPr>
        <w:spacing w:line="300" w:lineRule="exact"/>
        <w:jc w:val="left"/>
        <w:rPr>
          <w:rFonts w:ascii="宋体" w:hAnsi="宋体"/>
          <w:kern w:val="44"/>
        </w:rPr>
      </w:pPr>
    </w:p>
    <w:p w14:paraId="03D7B233">
      <w:pPr>
        <w:ind w:firstLine="0" w:firstLineChars="0"/>
        <w:jc w:val="center"/>
        <w:rPr>
          <w:rFonts w:ascii="宋体" w:hAnsi="宋体"/>
          <w:b/>
          <w:kern w:val="44"/>
          <w:sz w:val="28"/>
        </w:rPr>
      </w:pPr>
      <w:r>
        <w:rPr>
          <w:rFonts w:hint="eastAsia" w:ascii="宋体" w:hAnsi="宋体"/>
          <w:b/>
          <w:kern w:val="44"/>
          <w:sz w:val="28"/>
        </w:rPr>
        <w:t>第五章  物业的使用与维护</w:t>
      </w:r>
    </w:p>
    <w:p w14:paraId="1F8138FB">
      <w:pPr>
        <w:spacing w:line="300" w:lineRule="exact"/>
        <w:jc w:val="left"/>
        <w:rPr>
          <w:rFonts w:ascii="宋体" w:hAnsi="宋体"/>
          <w:kern w:val="44"/>
        </w:rPr>
      </w:pPr>
    </w:p>
    <w:p w14:paraId="7C528253">
      <w:pPr>
        <w:ind w:firstLine="422"/>
        <w:jc w:val="left"/>
        <w:rPr>
          <w:rFonts w:ascii="宋体" w:hAnsi="宋体"/>
          <w:kern w:val="44"/>
        </w:rPr>
      </w:pPr>
      <w:r>
        <w:rPr>
          <w:rFonts w:hint="eastAsia" w:ascii="宋体" w:hAnsi="宋体"/>
          <w:b/>
          <w:kern w:val="44"/>
        </w:rPr>
        <w:t>第三十一条</w:t>
      </w:r>
      <w:r>
        <w:rPr>
          <w:rFonts w:hint="eastAsia" w:ascii="宋体" w:hAnsi="宋体"/>
          <w:kern w:val="44"/>
        </w:rPr>
        <w:t>　住宅物业装饰装修前，业主或者物业使用人应当按照规定办理申报登记，并与物业服务企业签订住宅装饰装修服务协议。物业服务企业应当将装饰装修的时间、地点等情况在业主所在楼内公示。</w:t>
      </w:r>
    </w:p>
    <w:p w14:paraId="39239FF6">
      <w:pPr>
        <w:jc w:val="left"/>
        <w:rPr>
          <w:rFonts w:ascii="宋体" w:hAnsi="宋体"/>
          <w:kern w:val="44"/>
        </w:rPr>
      </w:pPr>
      <w:r>
        <w:rPr>
          <w:rFonts w:hint="eastAsia" w:ascii="宋体" w:hAnsi="宋体"/>
          <w:kern w:val="44"/>
        </w:rPr>
        <w:t>物业服务企业应当加强对装饰装修活动的巡查、监督。业主或者物业使用人拒不办理申报登记或者违反相关规定及装饰装修服务协议的，物业服务企业应当及时告知并劝阻；拒不改正的，物业服务企业应当及时向有关主管部门报告，并在物业管理区域内公示。</w:t>
      </w:r>
    </w:p>
    <w:p w14:paraId="415A5C8A">
      <w:pPr>
        <w:ind w:firstLine="422"/>
        <w:jc w:val="left"/>
        <w:rPr>
          <w:rFonts w:ascii="宋体" w:hAnsi="宋体"/>
          <w:kern w:val="44"/>
        </w:rPr>
      </w:pPr>
      <w:r>
        <w:rPr>
          <w:rFonts w:hint="eastAsia" w:ascii="宋体" w:hAnsi="宋体"/>
          <w:b/>
          <w:kern w:val="44"/>
        </w:rPr>
        <w:t>第三十二条</w:t>
      </w:r>
      <w:r>
        <w:rPr>
          <w:rFonts w:hint="eastAsia" w:ascii="宋体" w:hAnsi="宋体"/>
          <w:kern w:val="44"/>
        </w:rPr>
        <w:t>　建设单位出售物业管理区域内车库、车位的，应当在出售前依法办理车库、车位预售许可或者物权登记。物业管理区域内规划用于停放车辆的车库、车位，不得出售给本物业管理区域业主以外的其他人。</w:t>
      </w:r>
    </w:p>
    <w:p w14:paraId="37B307A6">
      <w:pPr>
        <w:jc w:val="left"/>
        <w:rPr>
          <w:rFonts w:ascii="宋体" w:hAnsi="宋体"/>
          <w:kern w:val="44"/>
        </w:rPr>
      </w:pPr>
      <w:r>
        <w:rPr>
          <w:rFonts w:hint="eastAsia" w:ascii="宋体" w:hAnsi="宋体"/>
          <w:kern w:val="44"/>
        </w:rPr>
        <w:t>建设单位出租物业管理区域内规划用于停放车辆的车库、车位的，应当首先出租给本物业管理区域业主。在满足本区域业主需要后，建设单位可以将车库、车位出租给本区域业主以外的其他人，租期不得超过六个月。建设单位调整租金时应当与全体业主协商。</w:t>
      </w:r>
    </w:p>
    <w:p w14:paraId="37913B57">
      <w:pPr>
        <w:jc w:val="left"/>
        <w:rPr>
          <w:rFonts w:ascii="宋体" w:hAnsi="宋体"/>
          <w:kern w:val="44"/>
        </w:rPr>
      </w:pPr>
      <w:r>
        <w:rPr>
          <w:rFonts w:hint="eastAsia" w:ascii="宋体" w:hAnsi="宋体"/>
          <w:kern w:val="44"/>
        </w:rPr>
        <w:t>业主以外的其他车库、车位使用人应当遵守管理规约关于停车管理的约定。</w:t>
      </w:r>
    </w:p>
    <w:p w14:paraId="3E43156D">
      <w:pPr>
        <w:ind w:firstLine="422"/>
        <w:jc w:val="left"/>
        <w:rPr>
          <w:rFonts w:ascii="宋体" w:hAnsi="宋体"/>
          <w:kern w:val="44"/>
        </w:rPr>
      </w:pPr>
      <w:r>
        <w:rPr>
          <w:rFonts w:hint="eastAsia" w:ascii="宋体" w:hAnsi="宋体"/>
          <w:b/>
          <w:kern w:val="44"/>
        </w:rPr>
        <w:t>第三十三条</w:t>
      </w:r>
      <w:r>
        <w:rPr>
          <w:rFonts w:hint="eastAsia" w:ascii="宋体" w:hAnsi="宋体"/>
          <w:kern w:val="44"/>
        </w:rPr>
        <w:t>　物业管理区域内，供水、供电、供气、供热、通信、有线电视等专业经营单位应当向最终用户收取有关费用，并依法承担相关管线和设施设备的维修、养护责任。</w:t>
      </w:r>
    </w:p>
    <w:p w14:paraId="3315D4F0">
      <w:pPr>
        <w:jc w:val="left"/>
        <w:rPr>
          <w:rFonts w:ascii="宋体" w:hAnsi="宋体"/>
          <w:kern w:val="44"/>
        </w:rPr>
      </w:pPr>
      <w:r>
        <w:rPr>
          <w:rFonts w:hint="eastAsia" w:ascii="宋体" w:hAnsi="宋体"/>
          <w:kern w:val="44"/>
        </w:rPr>
        <w:t>物业服务企业接受委托代收前款费用的，应当向业主出具专业经营单位的发票，并不得向业主收取手续费等额外费用，不得以业主拖欠物业服务费用为由限制或者变相限制专业服务。</w:t>
      </w:r>
    </w:p>
    <w:p w14:paraId="39F8B8F8">
      <w:pPr>
        <w:ind w:firstLine="422"/>
        <w:jc w:val="left"/>
        <w:rPr>
          <w:rFonts w:ascii="宋体" w:hAnsi="宋体"/>
          <w:kern w:val="44"/>
        </w:rPr>
      </w:pPr>
      <w:r>
        <w:rPr>
          <w:rFonts w:hint="eastAsia" w:ascii="宋体" w:hAnsi="宋体"/>
          <w:b/>
          <w:kern w:val="44"/>
        </w:rPr>
        <w:t>第三十四条</w:t>
      </w:r>
      <w:r>
        <w:rPr>
          <w:rFonts w:hint="eastAsia" w:ascii="宋体" w:hAnsi="宋体"/>
          <w:kern w:val="44"/>
        </w:rPr>
        <w:t>　发生下列危及房屋使用安全的紧急情况，需要立即对共用部分进行维修、更新、改造的，按照有关规定使用专项维修资金：</w:t>
      </w:r>
    </w:p>
    <w:p w14:paraId="083B6406">
      <w:pPr>
        <w:jc w:val="left"/>
        <w:rPr>
          <w:rFonts w:ascii="宋体" w:hAnsi="宋体"/>
          <w:kern w:val="44"/>
        </w:rPr>
      </w:pPr>
      <w:r>
        <w:rPr>
          <w:rFonts w:hint="eastAsia" w:ascii="宋体" w:hAnsi="宋体"/>
          <w:kern w:val="44"/>
        </w:rPr>
        <w:t>（一）屋面防水损坏造成渗漏的；</w:t>
      </w:r>
    </w:p>
    <w:p w14:paraId="6C24D607">
      <w:pPr>
        <w:jc w:val="left"/>
        <w:rPr>
          <w:rFonts w:ascii="宋体" w:hAnsi="宋体"/>
          <w:kern w:val="44"/>
        </w:rPr>
      </w:pPr>
      <w:r>
        <w:rPr>
          <w:rFonts w:hint="eastAsia" w:ascii="宋体" w:hAnsi="宋体"/>
          <w:kern w:val="44"/>
        </w:rPr>
        <w:t>（二）电梯故障危及人身安全的；</w:t>
      </w:r>
    </w:p>
    <w:p w14:paraId="3A01FA03">
      <w:pPr>
        <w:jc w:val="left"/>
        <w:rPr>
          <w:rFonts w:ascii="宋体" w:hAnsi="宋体"/>
          <w:kern w:val="44"/>
        </w:rPr>
      </w:pPr>
      <w:r>
        <w:rPr>
          <w:rFonts w:hint="eastAsia" w:ascii="宋体" w:hAnsi="宋体"/>
          <w:kern w:val="44"/>
        </w:rPr>
        <w:t>（三）高层住宅水泵损坏导致供水中断的；</w:t>
      </w:r>
    </w:p>
    <w:p w14:paraId="31E3A9F5">
      <w:pPr>
        <w:jc w:val="left"/>
        <w:rPr>
          <w:rFonts w:ascii="宋体" w:hAnsi="宋体"/>
          <w:kern w:val="44"/>
        </w:rPr>
      </w:pPr>
      <w:r>
        <w:rPr>
          <w:rFonts w:hint="eastAsia" w:ascii="宋体" w:hAnsi="宋体"/>
          <w:kern w:val="44"/>
        </w:rPr>
        <w:t>（四）楼体单侧外立面五分之一以上有脱落危险的；</w:t>
      </w:r>
    </w:p>
    <w:p w14:paraId="74FC00E5">
      <w:pPr>
        <w:jc w:val="left"/>
        <w:rPr>
          <w:rFonts w:ascii="宋体" w:hAnsi="宋体"/>
          <w:kern w:val="44"/>
        </w:rPr>
      </w:pPr>
      <w:r>
        <w:rPr>
          <w:rFonts w:hint="eastAsia" w:ascii="宋体" w:hAnsi="宋体"/>
          <w:kern w:val="44"/>
        </w:rPr>
        <w:t>（五）专用排水设施因坍塌、堵塞、爆裂等造成功能障碍，危及人身财产安全的；</w:t>
      </w:r>
    </w:p>
    <w:p w14:paraId="0D571166">
      <w:pPr>
        <w:jc w:val="left"/>
        <w:rPr>
          <w:rFonts w:ascii="宋体" w:hAnsi="宋体"/>
          <w:kern w:val="44"/>
        </w:rPr>
      </w:pPr>
      <w:r>
        <w:rPr>
          <w:rFonts w:hint="eastAsia" w:ascii="宋体" w:hAnsi="宋体"/>
          <w:kern w:val="44"/>
        </w:rPr>
        <w:t>（六）消防系统出现功能障碍，消防管理部门要求对消防设施设备维修、更新、改造的。</w:t>
      </w:r>
    </w:p>
    <w:p w14:paraId="0D609062">
      <w:pPr>
        <w:jc w:val="left"/>
        <w:rPr>
          <w:rFonts w:ascii="宋体" w:hAnsi="宋体"/>
          <w:kern w:val="44"/>
        </w:rPr>
      </w:pPr>
      <w:r>
        <w:rPr>
          <w:rFonts w:hint="eastAsia" w:ascii="宋体" w:hAnsi="宋体"/>
          <w:kern w:val="44"/>
        </w:rPr>
        <w:t>使用专项维修资金的具体办法由市房屋行政主管部门会同相关部门制定。</w:t>
      </w:r>
    </w:p>
    <w:p w14:paraId="188993C0">
      <w:pPr>
        <w:ind w:firstLine="422"/>
        <w:jc w:val="left"/>
        <w:rPr>
          <w:rFonts w:ascii="宋体" w:hAnsi="宋体"/>
          <w:kern w:val="44"/>
        </w:rPr>
      </w:pPr>
      <w:r>
        <w:rPr>
          <w:rFonts w:hint="eastAsia" w:ascii="宋体" w:hAnsi="宋体"/>
          <w:b/>
          <w:kern w:val="44"/>
        </w:rPr>
        <w:t>第三十五条</w:t>
      </w:r>
      <w:r>
        <w:rPr>
          <w:rFonts w:hint="eastAsia" w:ascii="宋体" w:hAnsi="宋体"/>
          <w:kern w:val="44"/>
        </w:rPr>
        <w:t>　物业转让时，业主应当向受让人说明专项维修资金交存和结余情况，该物业分户账中结余的专项维修资金随物业同时过户。</w:t>
      </w:r>
    </w:p>
    <w:p w14:paraId="121A804B">
      <w:pPr>
        <w:ind w:firstLine="422"/>
        <w:jc w:val="left"/>
        <w:rPr>
          <w:rFonts w:ascii="宋体" w:hAnsi="宋体"/>
          <w:kern w:val="44"/>
        </w:rPr>
      </w:pPr>
      <w:r>
        <w:rPr>
          <w:rFonts w:hint="eastAsia" w:ascii="宋体" w:hAnsi="宋体"/>
          <w:b/>
          <w:kern w:val="44"/>
        </w:rPr>
        <w:t>第三十六条</w:t>
      </w:r>
      <w:r>
        <w:rPr>
          <w:rFonts w:hint="eastAsia" w:ascii="宋体" w:hAnsi="宋体"/>
          <w:kern w:val="44"/>
        </w:rPr>
        <w:t>　建设单位应当按照国家规定和房屋买卖合同约定的保修期限、范围等承担建筑物及附属设施设备保修责任。保修过程中，业主、物业使用人和物业服务企业应当给予协助配合。</w:t>
      </w:r>
    </w:p>
    <w:p w14:paraId="528F035D">
      <w:pPr>
        <w:ind w:firstLine="422"/>
        <w:jc w:val="left"/>
        <w:rPr>
          <w:rFonts w:ascii="宋体" w:hAnsi="宋体"/>
          <w:kern w:val="44"/>
        </w:rPr>
      </w:pPr>
      <w:r>
        <w:rPr>
          <w:rFonts w:hint="eastAsia" w:ascii="宋体" w:hAnsi="宋体"/>
          <w:b/>
          <w:kern w:val="44"/>
        </w:rPr>
        <w:t>第三十七条</w:t>
      </w:r>
      <w:r>
        <w:rPr>
          <w:rFonts w:hint="eastAsia" w:ascii="宋体" w:hAnsi="宋体"/>
          <w:kern w:val="44"/>
        </w:rPr>
        <w:t>　物业共用部分维修、养护、更新、改造时，相关专有部分的业主、物业使用人应当予以配合，造成专有部分损失的，责任人应当依法承担恢复原状、赔偿损失等法律责任。</w:t>
      </w:r>
    </w:p>
    <w:p w14:paraId="6FDD5C69">
      <w:pPr>
        <w:ind w:firstLine="422"/>
        <w:jc w:val="left"/>
        <w:rPr>
          <w:rFonts w:ascii="宋体" w:hAnsi="宋体"/>
          <w:kern w:val="44"/>
        </w:rPr>
      </w:pPr>
      <w:r>
        <w:rPr>
          <w:rFonts w:hint="eastAsia" w:ascii="宋体" w:hAnsi="宋体"/>
          <w:b/>
          <w:kern w:val="44"/>
        </w:rPr>
        <w:t>第三十八条</w:t>
      </w:r>
      <w:r>
        <w:rPr>
          <w:rFonts w:hint="eastAsia" w:ascii="宋体" w:hAnsi="宋体"/>
          <w:kern w:val="44"/>
        </w:rPr>
        <w:t>　业主转让或者出租物业时，应当将管理规约、物业服务合同、有关费用交纳情况等事项告知受让人或者承租人，并自买卖合同或者租赁合同签订之日起15日内，将买卖或者出租情况告知物业服务企业。</w:t>
      </w:r>
    </w:p>
    <w:p w14:paraId="3E7D8143">
      <w:pPr>
        <w:jc w:val="left"/>
        <w:rPr>
          <w:rFonts w:ascii="宋体" w:hAnsi="宋体"/>
          <w:kern w:val="44"/>
        </w:rPr>
      </w:pPr>
      <w:r>
        <w:rPr>
          <w:rFonts w:hint="eastAsia" w:ascii="宋体" w:hAnsi="宋体"/>
          <w:kern w:val="44"/>
        </w:rPr>
        <w:t>业主转让物业的，应当与物业服务企业、专业性服务企业结清相关费用。</w:t>
      </w:r>
    </w:p>
    <w:p w14:paraId="3EC3FE2A">
      <w:pPr>
        <w:ind w:firstLine="0" w:firstLineChars="0"/>
        <w:jc w:val="center"/>
        <w:rPr>
          <w:rFonts w:ascii="宋体" w:hAnsi="宋体"/>
          <w:b/>
          <w:kern w:val="44"/>
          <w:sz w:val="28"/>
        </w:rPr>
      </w:pPr>
    </w:p>
    <w:p w14:paraId="22EFEEC2">
      <w:pPr>
        <w:ind w:firstLine="0" w:firstLineChars="0"/>
        <w:jc w:val="center"/>
        <w:rPr>
          <w:rFonts w:ascii="宋体" w:hAnsi="宋体"/>
          <w:b/>
          <w:kern w:val="44"/>
          <w:sz w:val="28"/>
        </w:rPr>
      </w:pPr>
    </w:p>
    <w:p w14:paraId="583C7919">
      <w:pPr>
        <w:ind w:firstLine="0" w:firstLineChars="0"/>
        <w:jc w:val="center"/>
        <w:rPr>
          <w:rFonts w:ascii="宋体" w:hAnsi="宋体"/>
          <w:b/>
          <w:kern w:val="44"/>
          <w:sz w:val="28"/>
        </w:rPr>
      </w:pPr>
      <w:r>
        <w:rPr>
          <w:rFonts w:hint="eastAsia" w:ascii="宋体" w:hAnsi="宋体"/>
          <w:b/>
          <w:kern w:val="44"/>
          <w:sz w:val="28"/>
        </w:rPr>
        <w:t>第六章  法律责任</w:t>
      </w:r>
    </w:p>
    <w:p w14:paraId="7DD442D3">
      <w:pPr>
        <w:jc w:val="left"/>
        <w:rPr>
          <w:rFonts w:ascii="宋体" w:hAnsi="宋体"/>
          <w:kern w:val="44"/>
        </w:rPr>
      </w:pPr>
    </w:p>
    <w:p w14:paraId="01BDE2DB">
      <w:pPr>
        <w:ind w:firstLine="422"/>
        <w:jc w:val="left"/>
        <w:rPr>
          <w:rFonts w:ascii="宋体" w:hAnsi="宋体"/>
          <w:kern w:val="44"/>
        </w:rPr>
      </w:pPr>
      <w:r>
        <w:rPr>
          <w:rFonts w:hint="eastAsia" w:ascii="宋体" w:hAnsi="宋体"/>
          <w:b/>
          <w:kern w:val="44"/>
        </w:rPr>
        <w:t>第三十九条</w:t>
      </w:r>
      <w:r>
        <w:rPr>
          <w:rFonts w:hint="eastAsia" w:ascii="宋体" w:hAnsi="宋体"/>
          <w:kern w:val="44"/>
        </w:rPr>
        <w:t>　违反本办法第十条规定，建设单位不履行交接义务的，由区县房屋行政主管部门责令限期改正；逾期不改正的，可处3万元罚款。</w:t>
      </w:r>
    </w:p>
    <w:p w14:paraId="0448FA3E">
      <w:pPr>
        <w:ind w:firstLine="422"/>
        <w:jc w:val="left"/>
        <w:rPr>
          <w:rFonts w:ascii="宋体" w:hAnsi="宋体"/>
          <w:kern w:val="44"/>
        </w:rPr>
      </w:pPr>
      <w:r>
        <w:rPr>
          <w:rFonts w:hint="eastAsia" w:ascii="宋体" w:hAnsi="宋体"/>
          <w:b/>
          <w:kern w:val="44"/>
        </w:rPr>
        <w:t>第四十条</w:t>
      </w:r>
      <w:r>
        <w:rPr>
          <w:rFonts w:hint="eastAsia" w:ascii="宋体" w:hAnsi="宋体"/>
          <w:kern w:val="44"/>
        </w:rPr>
        <w:t>　违反本办法第十六条规定，建设单位未按规定向首次业主大会会议筹备组提供相关资料的，由物业所在地街道办事处、乡镇人民政府责令限期改正；逾期不改正的，可处3万元罚款。</w:t>
      </w:r>
    </w:p>
    <w:p w14:paraId="0C3517D7">
      <w:pPr>
        <w:ind w:firstLine="422"/>
        <w:jc w:val="left"/>
        <w:rPr>
          <w:rFonts w:ascii="宋体" w:hAnsi="宋体"/>
          <w:kern w:val="44"/>
        </w:rPr>
      </w:pPr>
      <w:r>
        <w:rPr>
          <w:rFonts w:hint="eastAsia" w:ascii="宋体" w:hAnsi="宋体"/>
          <w:b/>
          <w:kern w:val="44"/>
        </w:rPr>
        <w:t>第四十一条</w:t>
      </w:r>
      <w:r>
        <w:rPr>
          <w:rFonts w:hint="eastAsia" w:ascii="宋体" w:hAnsi="宋体"/>
          <w:kern w:val="44"/>
        </w:rPr>
        <w:t>　违反本办法第二十条规定，物业服务企业未按时将合同报送备案的，由区县房屋行政主管部门责令限期改正，并可处1万元罚款。</w:t>
      </w:r>
    </w:p>
    <w:p w14:paraId="70778887">
      <w:pPr>
        <w:ind w:firstLine="422"/>
        <w:jc w:val="left"/>
        <w:rPr>
          <w:rFonts w:ascii="宋体" w:hAnsi="宋体"/>
          <w:kern w:val="44"/>
        </w:rPr>
      </w:pPr>
      <w:r>
        <w:rPr>
          <w:rFonts w:hint="eastAsia" w:ascii="宋体" w:hAnsi="宋体"/>
          <w:b/>
          <w:kern w:val="44"/>
        </w:rPr>
        <w:t>第四十二条</w:t>
      </w:r>
      <w:r>
        <w:rPr>
          <w:rFonts w:hint="eastAsia" w:ascii="宋体" w:hAnsi="宋体"/>
          <w:kern w:val="44"/>
        </w:rPr>
        <w:t>　违反本办法第二十五条、第二十六条规定，物业服务企业擅自停止物业服务的，由区县房屋行政主管部门责令改正，并可处1万元以上10万元以下罚款；造成损失的，依法承担赔偿责任。</w:t>
      </w:r>
    </w:p>
    <w:p w14:paraId="587522CC">
      <w:pPr>
        <w:ind w:firstLine="422"/>
        <w:jc w:val="left"/>
        <w:rPr>
          <w:rFonts w:ascii="宋体" w:hAnsi="宋体"/>
          <w:kern w:val="44"/>
        </w:rPr>
      </w:pPr>
      <w:r>
        <w:rPr>
          <w:rFonts w:hint="eastAsia" w:ascii="宋体" w:hAnsi="宋体"/>
          <w:b/>
          <w:kern w:val="44"/>
        </w:rPr>
        <w:t>第四十三条</w:t>
      </w:r>
      <w:r>
        <w:rPr>
          <w:rFonts w:hint="eastAsia" w:ascii="宋体" w:hAnsi="宋体"/>
          <w:kern w:val="44"/>
        </w:rPr>
        <w:t>　违反本办法第二十七条规定，原物业服务企业未按规定交接的，由区县房屋行政主管部门责令限期交接；逾期不交接的，可处3万元罚款。</w:t>
      </w:r>
    </w:p>
    <w:p w14:paraId="2B7878BF">
      <w:pPr>
        <w:jc w:val="left"/>
        <w:rPr>
          <w:rFonts w:ascii="宋体" w:hAnsi="宋体"/>
          <w:kern w:val="44"/>
        </w:rPr>
      </w:pPr>
      <w:r>
        <w:rPr>
          <w:rFonts w:hint="eastAsia" w:ascii="宋体" w:hAnsi="宋体"/>
          <w:kern w:val="44"/>
        </w:rPr>
        <w:t>违反本办法第二十七条规定，原物业服务企业拒不撤出物业管理区域的，由区县房屋行政主管部门责令限期撤出；逾期不撤出的，可处10万元罚款；不能维持正常物业管理秩序的，由区县人民政府责成区县房屋行政主管部门、物业所在地街道办事处、乡镇人民政府及公安机关组织接管。</w:t>
      </w:r>
    </w:p>
    <w:p w14:paraId="71B8762B">
      <w:pPr>
        <w:jc w:val="left"/>
        <w:rPr>
          <w:rFonts w:ascii="宋体" w:hAnsi="宋体"/>
          <w:kern w:val="44"/>
        </w:rPr>
      </w:pPr>
      <w:r>
        <w:rPr>
          <w:rFonts w:hint="eastAsia" w:ascii="宋体" w:hAnsi="宋体"/>
          <w:kern w:val="44"/>
        </w:rPr>
        <w:t>违反本办法第二十七条规定，新物业服务企业强行接管的，由区县房屋行政主管部门责令改正，并可处1万元以上10万元以下罚款；造成损失的，依法承担赔偿责任。</w:t>
      </w:r>
    </w:p>
    <w:p w14:paraId="4EB87CBF">
      <w:pPr>
        <w:ind w:firstLine="422"/>
        <w:jc w:val="left"/>
        <w:rPr>
          <w:rFonts w:ascii="宋体" w:hAnsi="宋体"/>
          <w:kern w:val="44"/>
        </w:rPr>
      </w:pPr>
      <w:r>
        <w:rPr>
          <w:rFonts w:hint="eastAsia" w:ascii="宋体" w:hAnsi="宋体"/>
          <w:b/>
          <w:kern w:val="44"/>
        </w:rPr>
        <w:t>第四十四条</w:t>
      </w:r>
      <w:r>
        <w:rPr>
          <w:rFonts w:hint="eastAsia" w:ascii="宋体" w:hAnsi="宋体"/>
          <w:kern w:val="44"/>
        </w:rPr>
        <w:t>　业主委员会不履行或者无法履行职责的，物业所在地街道办事处、乡镇人民政府应当责令其限期履行职责；逾期仍不履行的，街道办事处、乡镇人民政府应当指导协助业主召开业主大会会议决定有关事项。</w:t>
      </w:r>
    </w:p>
    <w:p w14:paraId="7719F6C8">
      <w:pPr>
        <w:jc w:val="left"/>
        <w:rPr>
          <w:rFonts w:ascii="宋体" w:hAnsi="宋体"/>
          <w:kern w:val="44"/>
        </w:rPr>
      </w:pPr>
      <w:r>
        <w:rPr>
          <w:rFonts w:hint="eastAsia" w:ascii="宋体" w:hAnsi="宋体"/>
          <w:kern w:val="44"/>
        </w:rPr>
        <w:t>业主大会、业主委员会作出的决定违反法律、法规、规章的，物业所在地街道办事处、乡镇人民政府应当责令限期改正或者撤销其决定，并通告全体业主。业主大会、业主委员会作出的决定侵害业主合法权益的，受侵害的业主可以请求人民法院予以撤销。</w:t>
      </w:r>
    </w:p>
    <w:p w14:paraId="01C9E5F4">
      <w:pPr>
        <w:jc w:val="left"/>
        <w:rPr>
          <w:rFonts w:ascii="宋体" w:hAnsi="宋体"/>
          <w:kern w:val="44"/>
        </w:rPr>
      </w:pPr>
    </w:p>
    <w:p w14:paraId="76D5145C">
      <w:pPr>
        <w:ind w:firstLine="0" w:firstLineChars="0"/>
        <w:jc w:val="center"/>
        <w:rPr>
          <w:rFonts w:ascii="宋体" w:hAnsi="宋体"/>
          <w:b/>
          <w:kern w:val="44"/>
          <w:sz w:val="28"/>
        </w:rPr>
      </w:pPr>
      <w:r>
        <w:rPr>
          <w:rFonts w:hint="eastAsia" w:ascii="宋体" w:hAnsi="宋体"/>
          <w:b/>
          <w:kern w:val="44"/>
          <w:sz w:val="28"/>
        </w:rPr>
        <w:t>第七章  附　则</w:t>
      </w:r>
    </w:p>
    <w:p w14:paraId="3E8B0ACD">
      <w:pPr>
        <w:jc w:val="left"/>
        <w:rPr>
          <w:rFonts w:ascii="宋体" w:hAnsi="宋体"/>
          <w:kern w:val="44"/>
        </w:rPr>
      </w:pPr>
    </w:p>
    <w:p w14:paraId="1A83EF41">
      <w:pPr>
        <w:ind w:firstLine="422"/>
        <w:jc w:val="left"/>
        <w:rPr>
          <w:rFonts w:ascii="宋体" w:hAnsi="宋体"/>
          <w:kern w:val="44"/>
        </w:rPr>
      </w:pPr>
      <w:r>
        <w:rPr>
          <w:rFonts w:hint="eastAsia" w:ascii="宋体" w:hAnsi="宋体"/>
          <w:b/>
          <w:kern w:val="44"/>
        </w:rPr>
        <w:t>第四十五条</w:t>
      </w:r>
      <w:r>
        <w:rPr>
          <w:rFonts w:hint="eastAsia" w:ascii="宋体" w:hAnsi="宋体"/>
          <w:kern w:val="44"/>
        </w:rPr>
        <w:t>　本办法所称物业共用部分，是指物业管理区域内业主专有部分以外按照规定由业主共同管理的建筑物、构筑物及配套设施设备和相关场地。</w:t>
      </w:r>
    </w:p>
    <w:p w14:paraId="5FCA9FB6">
      <w:pPr>
        <w:jc w:val="left"/>
        <w:rPr>
          <w:rFonts w:ascii="宋体" w:hAnsi="宋体"/>
          <w:kern w:val="44"/>
        </w:rPr>
      </w:pPr>
      <w:r>
        <w:rPr>
          <w:rFonts w:hint="eastAsia" w:ascii="宋体" w:hAnsi="宋体"/>
          <w:kern w:val="44"/>
        </w:rPr>
        <w:t>本办法所称全体业主，在依法成立业主大会后是指业主大会。</w:t>
      </w:r>
    </w:p>
    <w:p w14:paraId="4973BA51">
      <w:pPr>
        <w:jc w:val="left"/>
        <w:rPr>
          <w:rFonts w:ascii="宋体" w:hAnsi="宋体"/>
          <w:kern w:val="44"/>
        </w:rPr>
      </w:pPr>
      <w:r>
        <w:rPr>
          <w:rFonts w:hint="eastAsia" w:ascii="宋体" w:hAnsi="宋体"/>
          <w:kern w:val="44"/>
        </w:rPr>
        <w:t>本办法所称业主共同决定，是指业主大会的决定；未依法成立业主大会的，是指业主依法共同作出的决定。</w:t>
      </w:r>
    </w:p>
    <w:p w14:paraId="7843C853">
      <w:pPr>
        <w:jc w:val="left"/>
        <w:rPr>
          <w:rFonts w:ascii="宋体" w:hAnsi="宋体"/>
          <w:kern w:val="44"/>
        </w:rPr>
      </w:pPr>
      <w:r>
        <w:rPr>
          <w:rFonts w:hint="eastAsia" w:ascii="宋体" w:hAnsi="宋体"/>
          <w:kern w:val="44"/>
        </w:rPr>
        <w:t>本办法所称专有部分面积是指房屋所有权证记载的建筑面积；尚未进行登记的，暂按测绘机构的实测面积计算；尚未进行实测的，暂按房屋买卖合同记载的面积计算。建筑物总面积是指专有部分面积之和。</w:t>
      </w:r>
    </w:p>
    <w:p w14:paraId="2CFC3667">
      <w:pPr>
        <w:jc w:val="left"/>
        <w:rPr>
          <w:rFonts w:ascii="宋体" w:hAnsi="宋体"/>
          <w:kern w:val="44"/>
        </w:rPr>
      </w:pPr>
      <w:r>
        <w:rPr>
          <w:rFonts w:hint="eastAsia" w:ascii="宋体" w:hAnsi="宋体"/>
          <w:kern w:val="44"/>
        </w:rPr>
        <w:t>本办法所称物业服务企业，包括在前期物业服务中提供物业服务的建设单位。</w:t>
      </w:r>
    </w:p>
    <w:p w14:paraId="3D6515A2">
      <w:pPr>
        <w:ind w:firstLine="422"/>
        <w:jc w:val="left"/>
        <w:rPr>
          <w:rFonts w:ascii="宋体" w:hAnsi="宋体"/>
          <w:kern w:val="44"/>
        </w:rPr>
      </w:pPr>
      <w:r>
        <w:rPr>
          <w:rFonts w:hint="eastAsia" w:ascii="宋体" w:hAnsi="宋体"/>
          <w:b/>
          <w:kern w:val="44"/>
        </w:rPr>
        <w:t>第四十六条</w:t>
      </w:r>
      <w:r>
        <w:rPr>
          <w:rFonts w:hint="eastAsia" w:ascii="宋体" w:hAnsi="宋体"/>
          <w:kern w:val="44"/>
        </w:rPr>
        <w:t>　本办法自2010年10月1日起施行。1995年7月7日市人民政府第21号令发布，1997年12月31日市人民政府第12号令修改的《北京市居住小区物业管理办法》同时废止。</w:t>
      </w:r>
    </w:p>
    <w:p w14:paraId="688FC59B">
      <w:pPr>
        <w:pStyle w:val="3"/>
        <w:pageBreakBefore/>
        <w:rPr>
          <w:kern w:val="44"/>
        </w:rPr>
      </w:pPr>
      <w:bookmarkStart w:id="1038" w:name="_Toc427651564"/>
      <w:bookmarkStart w:id="1039" w:name="_Toc428781612"/>
      <w:bookmarkStart w:id="1040" w:name="_Toc422471278"/>
      <w:bookmarkStart w:id="1041" w:name="_Toc427651906"/>
      <w:bookmarkStart w:id="1042" w:name="_Toc428780130"/>
      <w:r>
        <w:rPr>
          <w:rFonts w:hint="eastAsia"/>
          <w:kern w:val="44"/>
        </w:rPr>
        <w:t>（七）农  业</w:t>
      </w:r>
      <w:bookmarkEnd w:id="1038"/>
      <w:bookmarkEnd w:id="1039"/>
      <w:bookmarkEnd w:id="1040"/>
      <w:bookmarkEnd w:id="1041"/>
      <w:bookmarkEnd w:id="1042"/>
    </w:p>
    <w:p w14:paraId="37237FF4"/>
    <w:p w14:paraId="771D0976">
      <w:pPr>
        <w:pStyle w:val="4"/>
        <w:rPr>
          <w:kern w:val="44"/>
        </w:rPr>
      </w:pPr>
      <w:bookmarkStart w:id="1043" w:name="_Toc422471279"/>
      <w:bookmarkStart w:id="1044" w:name="_Toc427651907"/>
      <w:bookmarkStart w:id="1045" w:name="_Toc428780131"/>
      <w:bookmarkStart w:id="1046" w:name="_Toc428781613"/>
      <w:bookmarkStart w:id="1047" w:name="_Toc427651565"/>
      <w:r>
        <w:rPr>
          <w:rFonts w:hint="eastAsia"/>
          <w:kern w:val="44"/>
        </w:rPr>
        <w:t>北京市实施《中华人民共和国</w:t>
      </w:r>
      <w:bookmarkEnd w:id="1043"/>
      <w:bookmarkStart w:id="1048" w:name="_Toc422471280"/>
      <w:r>
        <w:rPr>
          <w:rFonts w:hint="eastAsia"/>
          <w:kern w:val="44"/>
        </w:rPr>
        <w:t>渔业法》办法</w:t>
      </w:r>
      <w:bookmarkEnd w:id="1044"/>
      <w:bookmarkEnd w:id="1045"/>
      <w:bookmarkEnd w:id="1046"/>
      <w:bookmarkEnd w:id="1047"/>
      <w:bookmarkEnd w:id="1048"/>
    </w:p>
    <w:p w14:paraId="6748982D">
      <w:pPr>
        <w:ind w:left="630" w:leftChars="300" w:right="630" w:rightChars="300"/>
        <w:jc w:val="left"/>
        <w:rPr>
          <w:rFonts w:ascii="楷体" w:hAnsi="楷体" w:eastAsia="楷体"/>
          <w:kern w:val="44"/>
        </w:rPr>
      </w:pPr>
      <w:r>
        <w:rPr>
          <w:rFonts w:hint="eastAsia" w:ascii="楷体" w:hAnsi="楷体" w:eastAsia="楷体"/>
          <w:kern w:val="44"/>
        </w:rPr>
        <w:t>（1990年9月8日北京市第九届人民代表大会常务委员会第二十二次会议通过　根据1997年4月15日北京市第十届人民代表大会常务委员会第三十六次会议《关于修改〈北京市实施中华人民共和国渔业法办法〉的决定》修正　2007年7月27日北京市第十二届人民代表大会常务委员会第三十七次会议修订 ）</w:t>
      </w:r>
    </w:p>
    <w:p w14:paraId="1FF4C330">
      <w:pPr>
        <w:jc w:val="left"/>
        <w:rPr>
          <w:rFonts w:ascii="宋体" w:hAnsi="宋体"/>
          <w:kern w:val="44"/>
        </w:rPr>
      </w:pPr>
    </w:p>
    <w:p w14:paraId="44E5C9FE">
      <w:pPr>
        <w:ind w:firstLine="422"/>
        <w:jc w:val="left"/>
        <w:rPr>
          <w:rFonts w:ascii="宋体" w:hAnsi="宋体"/>
          <w:kern w:val="44"/>
        </w:rPr>
      </w:pPr>
      <w:r>
        <w:rPr>
          <w:rFonts w:hint="eastAsia" w:ascii="宋体" w:hAnsi="宋体"/>
          <w:b/>
          <w:kern w:val="44"/>
        </w:rPr>
        <w:t>第一条</w:t>
      </w:r>
      <w:r>
        <w:rPr>
          <w:rFonts w:hint="eastAsia" w:ascii="宋体" w:hAnsi="宋体"/>
          <w:kern w:val="44"/>
        </w:rPr>
        <w:t>　根据《中华人民共和国渔业法》，结合本市实际情况，制定本办法。</w:t>
      </w:r>
    </w:p>
    <w:p w14:paraId="24292128">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本办法适用于在本市行政区域内水域从事的养殖、捕捞等渔业生产活动。</w:t>
      </w:r>
    </w:p>
    <w:p w14:paraId="1D9162DB">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市和区、县人民政府应当加强水域的统一规划和综合开发利用，保护渔业资源和渔业水域生态环境。</w:t>
      </w:r>
    </w:p>
    <w:p w14:paraId="4F63A75C">
      <w:pPr>
        <w:jc w:val="left"/>
        <w:rPr>
          <w:rFonts w:ascii="宋体" w:hAnsi="宋体"/>
          <w:kern w:val="44"/>
        </w:rPr>
      </w:pPr>
      <w:r>
        <w:rPr>
          <w:rFonts w:hint="eastAsia" w:ascii="宋体" w:hAnsi="宋体"/>
          <w:kern w:val="44"/>
        </w:rPr>
        <w:t>渔业生产实行养殖为主、合理捕捞的方针，鼓励科学研究，推广先进技术，促进生产发展。</w:t>
      </w:r>
    </w:p>
    <w:p w14:paraId="51D902EA">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市和区、县渔业行政主管部门主管本行政区域内的渔业工作；市和区、县渔政监督管理机构具体实施渔政监督管理工作。</w:t>
      </w:r>
    </w:p>
    <w:p w14:paraId="62B7080D">
      <w:pPr>
        <w:jc w:val="left"/>
        <w:rPr>
          <w:rFonts w:ascii="宋体" w:hAnsi="宋体"/>
          <w:kern w:val="44"/>
        </w:rPr>
      </w:pPr>
      <w:r>
        <w:rPr>
          <w:rFonts w:hint="eastAsia" w:ascii="宋体" w:hAnsi="宋体"/>
          <w:kern w:val="44"/>
        </w:rPr>
        <w:t>水务、环境保护、园林绿化、工商行政管理和公安等部门，应当按照各自职责做好与渔业相关的工作。</w:t>
      </w:r>
    </w:p>
    <w:p w14:paraId="624A291D">
      <w:pPr>
        <w:ind w:firstLine="422"/>
        <w:jc w:val="left"/>
        <w:rPr>
          <w:rFonts w:ascii="宋体" w:hAnsi="宋体"/>
          <w:kern w:val="44"/>
        </w:rPr>
      </w:pPr>
      <w:r>
        <w:rPr>
          <w:rFonts w:hint="eastAsia" w:ascii="宋体" w:hAnsi="宋体"/>
          <w:b/>
          <w:kern w:val="44"/>
        </w:rPr>
        <w:t>第五条</w:t>
      </w:r>
      <w:r>
        <w:rPr>
          <w:rFonts w:hint="eastAsia" w:ascii="宋体" w:hAnsi="宋体"/>
          <w:kern w:val="44"/>
        </w:rPr>
        <w:t>　辖区内渔业水域较大的乡镇人民政府，协助区、县渔业行政主管部门和渔政监督管理机构，开展渔业法制宣传教育，维护渔业生产秩序，保护渔业资源。</w:t>
      </w:r>
    </w:p>
    <w:p w14:paraId="7E809E8B">
      <w:pPr>
        <w:ind w:firstLine="422"/>
        <w:jc w:val="left"/>
        <w:rPr>
          <w:rFonts w:ascii="宋体" w:hAnsi="宋体"/>
          <w:kern w:val="44"/>
        </w:rPr>
      </w:pPr>
      <w:r>
        <w:rPr>
          <w:rFonts w:hint="eastAsia" w:ascii="宋体" w:hAnsi="宋体"/>
          <w:b/>
          <w:kern w:val="44"/>
        </w:rPr>
        <w:t>第六条</w:t>
      </w:r>
      <w:r>
        <w:rPr>
          <w:rFonts w:hint="eastAsia" w:ascii="宋体" w:hAnsi="宋体"/>
          <w:kern w:val="44"/>
        </w:rPr>
        <w:t>　渔业生产者所有的渔业生产设施和产品以及依法取得的养殖水面使用权受法律保护，任何单位和个人不得侵占和破坏。</w:t>
      </w:r>
    </w:p>
    <w:p w14:paraId="13CEEF51">
      <w:pPr>
        <w:ind w:firstLine="422"/>
        <w:jc w:val="left"/>
        <w:rPr>
          <w:rFonts w:ascii="宋体" w:hAnsi="宋体"/>
          <w:kern w:val="44"/>
        </w:rPr>
      </w:pPr>
      <w:r>
        <w:rPr>
          <w:rFonts w:hint="eastAsia" w:ascii="宋体" w:hAnsi="宋体"/>
          <w:b/>
          <w:kern w:val="44"/>
        </w:rPr>
        <w:t>第七条</w:t>
      </w:r>
      <w:r>
        <w:rPr>
          <w:rFonts w:hint="eastAsia" w:ascii="宋体" w:hAnsi="宋体"/>
          <w:kern w:val="44"/>
        </w:rPr>
        <w:t>　本市鼓励利用适于养殖的水域发展生态渔业、休闲渔业、节水型渔业、籽种渔业和特色养殖，优化养殖品种结构，实行渔业标准化生产，并在资金、物资和技术等方面给予扶持。</w:t>
      </w:r>
    </w:p>
    <w:p w14:paraId="73613B06">
      <w:pPr>
        <w:ind w:firstLine="422"/>
        <w:jc w:val="left"/>
        <w:rPr>
          <w:rFonts w:ascii="宋体" w:hAnsi="宋体"/>
          <w:kern w:val="44"/>
        </w:rPr>
      </w:pPr>
      <w:r>
        <w:rPr>
          <w:rFonts w:hint="eastAsia" w:ascii="宋体" w:hAnsi="宋体"/>
          <w:b/>
          <w:kern w:val="44"/>
        </w:rPr>
        <w:t>第八条</w:t>
      </w:r>
      <w:r>
        <w:rPr>
          <w:rFonts w:hint="eastAsia" w:ascii="宋体" w:hAnsi="宋体"/>
          <w:kern w:val="44"/>
        </w:rPr>
        <w:t>　使用全民所有的水域从事养殖生产的单位和个人，应当向所在区、县渔业行政主管部门提出申请，由区、县人民政府核发养殖证。</w:t>
      </w:r>
    </w:p>
    <w:p w14:paraId="73EBDF35">
      <w:pPr>
        <w:jc w:val="left"/>
        <w:rPr>
          <w:rFonts w:ascii="宋体" w:hAnsi="宋体"/>
          <w:kern w:val="44"/>
        </w:rPr>
      </w:pPr>
      <w:r>
        <w:rPr>
          <w:rFonts w:hint="eastAsia" w:ascii="宋体" w:hAnsi="宋体"/>
          <w:kern w:val="44"/>
        </w:rPr>
        <w:t>集体所有的或者全民所有由农村集体经济组织使用的水域，由个人或者集体承包从事养殖生产的，承包人持承包合同，到所在区、县渔业行政主管部门备案，领取养殖证件。</w:t>
      </w:r>
    </w:p>
    <w:p w14:paraId="2AB6F0B2">
      <w:pPr>
        <w:ind w:firstLine="422"/>
        <w:jc w:val="left"/>
        <w:rPr>
          <w:rFonts w:ascii="宋体" w:hAnsi="宋体"/>
          <w:kern w:val="44"/>
        </w:rPr>
      </w:pPr>
      <w:r>
        <w:rPr>
          <w:rFonts w:hint="eastAsia" w:ascii="宋体" w:hAnsi="宋体"/>
          <w:b/>
          <w:kern w:val="44"/>
        </w:rPr>
        <w:t>第九条</w:t>
      </w:r>
      <w:r>
        <w:rPr>
          <w:rFonts w:hint="eastAsia" w:ascii="宋体" w:hAnsi="宋体"/>
          <w:kern w:val="44"/>
        </w:rPr>
        <w:t>　从事渔业生产应当按照国家和本市有关养殖技术规范，合理投饵、施肥、使用药物，做好水生动物防疫工作，保护水域生态环境。</w:t>
      </w:r>
    </w:p>
    <w:p w14:paraId="7976B72A">
      <w:pPr>
        <w:jc w:val="left"/>
        <w:rPr>
          <w:rFonts w:ascii="宋体" w:hAnsi="宋体"/>
          <w:kern w:val="44"/>
        </w:rPr>
      </w:pPr>
      <w:r>
        <w:rPr>
          <w:rFonts w:hint="eastAsia" w:ascii="宋体" w:hAnsi="宋体"/>
          <w:kern w:val="44"/>
        </w:rPr>
        <w:t>禁止使用国家公布的停用、禁用或者淘汰的药品、饲料、饲料添加剂及其他化合物；禁止使用未经审定公布的饲料、饲料添加剂；禁止使用假、劣兽药。</w:t>
      </w:r>
    </w:p>
    <w:p w14:paraId="18CBDC52">
      <w:pPr>
        <w:jc w:val="left"/>
        <w:rPr>
          <w:rFonts w:ascii="宋体" w:hAnsi="宋体"/>
          <w:kern w:val="44"/>
        </w:rPr>
      </w:pPr>
      <w:r>
        <w:rPr>
          <w:rFonts w:hint="eastAsia" w:ascii="宋体" w:hAnsi="宋体"/>
          <w:kern w:val="44"/>
        </w:rPr>
        <w:t>使用国家公布限制使用的药品、饲料、饲料添加剂及其他化合物，应当按照国家有关规定执行。</w:t>
      </w:r>
    </w:p>
    <w:p w14:paraId="747CF8F6">
      <w:pPr>
        <w:ind w:firstLine="422"/>
        <w:jc w:val="left"/>
        <w:rPr>
          <w:rFonts w:ascii="宋体" w:hAnsi="宋体"/>
          <w:kern w:val="44"/>
        </w:rPr>
      </w:pPr>
      <w:r>
        <w:rPr>
          <w:rFonts w:hint="eastAsia" w:ascii="宋体" w:hAnsi="宋体"/>
          <w:b/>
          <w:kern w:val="44"/>
        </w:rPr>
        <w:t>第十条</w:t>
      </w:r>
      <w:r>
        <w:rPr>
          <w:rFonts w:hint="eastAsia" w:ascii="宋体" w:hAnsi="宋体"/>
          <w:kern w:val="44"/>
        </w:rPr>
        <w:t>　渔业生产者应当依法建立水产养殖生产记录和水产养殖用药记录。水产养殖生产和用药记录至少应当保存2年。禁止伪造水产养殖生产记录和水产养殖用药记录。</w:t>
      </w:r>
    </w:p>
    <w:p w14:paraId="53B1147D">
      <w:pPr>
        <w:ind w:firstLine="422"/>
        <w:jc w:val="left"/>
        <w:rPr>
          <w:rFonts w:ascii="宋体" w:hAnsi="宋体"/>
          <w:kern w:val="44"/>
        </w:rPr>
      </w:pPr>
      <w:r>
        <w:rPr>
          <w:rFonts w:hint="eastAsia" w:ascii="宋体" w:hAnsi="宋体"/>
          <w:b/>
          <w:kern w:val="44"/>
        </w:rPr>
        <w:t>第十一条</w:t>
      </w:r>
      <w:r>
        <w:rPr>
          <w:rFonts w:hint="eastAsia" w:ascii="宋体" w:hAnsi="宋体"/>
          <w:kern w:val="44"/>
        </w:rPr>
        <w:t>　在水库从事渔业生产活动，必须遵守保护水利工程设施和水源保护的规定，不得影响防洪、供水，不得污染水体，不得影响水库的主要功能。</w:t>
      </w:r>
    </w:p>
    <w:p w14:paraId="5C0F47DF">
      <w:pPr>
        <w:jc w:val="left"/>
        <w:rPr>
          <w:rFonts w:ascii="宋体" w:hAnsi="宋体"/>
          <w:kern w:val="44"/>
        </w:rPr>
      </w:pPr>
      <w:r>
        <w:rPr>
          <w:rFonts w:hint="eastAsia" w:ascii="宋体" w:hAnsi="宋体"/>
          <w:kern w:val="44"/>
        </w:rPr>
        <w:t>在水库管理范围内设置渔业设施，必须征得该水利工程管理部门的同意。</w:t>
      </w:r>
    </w:p>
    <w:p w14:paraId="63D91DB7">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本市根据动物防疫法律法规的规定和水生动物防疫规划，加强水生动物的防疫、检疫和疫病的控制、扑灭工作。</w:t>
      </w:r>
    </w:p>
    <w:p w14:paraId="481AA0C5">
      <w:pPr>
        <w:jc w:val="left"/>
        <w:rPr>
          <w:rFonts w:ascii="宋体" w:hAnsi="宋体"/>
          <w:kern w:val="44"/>
        </w:rPr>
      </w:pPr>
      <w:r>
        <w:rPr>
          <w:rFonts w:hint="eastAsia" w:ascii="宋体" w:hAnsi="宋体"/>
          <w:kern w:val="44"/>
        </w:rPr>
        <w:t>单位和个人发现患有疫病或者疑似疫病的水生动物，应当及时向所在地负责水生动物防疫监督的机构报告。接到报告的防疫监督机构应当迅速采取措施，并按照国家和本市有关规定上报。</w:t>
      </w:r>
    </w:p>
    <w:p w14:paraId="1EA94CA5">
      <w:pPr>
        <w:ind w:firstLine="422"/>
        <w:jc w:val="left"/>
        <w:rPr>
          <w:rFonts w:ascii="宋体" w:hAnsi="宋体"/>
          <w:kern w:val="44"/>
        </w:rPr>
      </w:pPr>
      <w:r>
        <w:rPr>
          <w:rFonts w:hint="eastAsia" w:ascii="宋体" w:hAnsi="宋体"/>
          <w:b/>
          <w:kern w:val="44"/>
        </w:rPr>
        <w:t>第十三条</w:t>
      </w:r>
      <w:r>
        <w:rPr>
          <w:rFonts w:hint="eastAsia" w:ascii="宋体" w:hAnsi="宋体"/>
          <w:kern w:val="44"/>
        </w:rPr>
        <w:t>　本市实行水产品标识和水产品质量追溯制度。</w:t>
      </w:r>
    </w:p>
    <w:p w14:paraId="26D1A1FF">
      <w:pPr>
        <w:jc w:val="left"/>
        <w:rPr>
          <w:rFonts w:ascii="宋体" w:hAnsi="宋体"/>
          <w:kern w:val="44"/>
        </w:rPr>
      </w:pPr>
      <w:r>
        <w:rPr>
          <w:rFonts w:hint="eastAsia" w:ascii="宋体" w:hAnsi="宋体"/>
          <w:kern w:val="44"/>
        </w:rPr>
        <w:t>市和区、县渔业行政主管部门应当加强水产品质量的检验和监督工作，水产品质量的检验结果由市渔业行政主管部门按照国家规定的权限予以公布。</w:t>
      </w:r>
    </w:p>
    <w:p w14:paraId="36E07617">
      <w:pPr>
        <w:jc w:val="left"/>
        <w:rPr>
          <w:rFonts w:ascii="宋体" w:hAnsi="宋体"/>
          <w:kern w:val="44"/>
        </w:rPr>
      </w:pPr>
      <w:r>
        <w:rPr>
          <w:rFonts w:hint="eastAsia" w:ascii="宋体" w:hAnsi="宋体"/>
          <w:kern w:val="44"/>
        </w:rPr>
        <w:t>渔业生产者不得销售不符合质量安全标准的水产品。</w:t>
      </w:r>
    </w:p>
    <w:p w14:paraId="2C815599">
      <w:pPr>
        <w:ind w:firstLine="422"/>
        <w:jc w:val="left"/>
        <w:rPr>
          <w:rFonts w:ascii="宋体" w:hAnsi="宋体"/>
          <w:kern w:val="44"/>
        </w:rPr>
      </w:pPr>
      <w:r>
        <w:rPr>
          <w:rFonts w:hint="eastAsia" w:ascii="宋体" w:hAnsi="宋体"/>
          <w:b/>
          <w:kern w:val="44"/>
        </w:rPr>
        <w:t>第十四条</w:t>
      </w:r>
      <w:r>
        <w:rPr>
          <w:rFonts w:hint="eastAsia" w:ascii="宋体" w:hAnsi="宋体"/>
          <w:kern w:val="44"/>
        </w:rPr>
        <w:t>　在密云水库、怀柔水库、官厅水库以及其他重要渔业水域从事捕捞作业的单位和个人应当依法申请领取捕捞许可证。区、县渔政监督管理机构具体负责捕捞许可证的办理。</w:t>
      </w:r>
    </w:p>
    <w:p w14:paraId="4B397C6A">
      <w:pPr>
        <w:jc w:val="left"/>
        <w:rPr>
          <w:rFonts w:ascii="宋体" w:hAnsi="宋体"/>
          <w:kern w:val="44"/>
        </w:rPr>
      </w:pPr>
      <w:r>
        <w:rPr>
          <w:rFonts w:hint="eastAsia" w:ascii="宋体" w:hAnsi="宋体"/>
          <w:kern w:val="44"/>
        </w:rPr>
        <w:t>前款规定的其他重要渔业水域由市渔业行政主管部门向社会公布。</w:t>
      </w:r>
    </w:p>
    <w:p w14:paraId="3AE73D82">
      <w:pPr>
        <w:ind w:firstLine="422"/>
        <w:jc w:val="left"/>
        <w:rPr>
          <w:rFonts w:ascii="宋体" w:hAnsi="宋体"/>
          <w:kern w:val="44"/>
        </w:rPr>
      </w:pPr>
      <w:r>
        <w:rPr>
          <w:rFonts w:hint="eastAsia" w:ascii="宋体" w:hAnsi="宋体"/>
          <w:b/>
          <w:kern w:val="44"/>
        </w:rPr>
        <w:t>第十五条</w:t>
      </w:r>
      <w:r>
        <w:rPr>
          <w:rFonts w:hint="eastAsia" w:ascii="宋体" w:hAnsi="宋体"/>
          <w:kern w:val="44"/>
        </w:rPr>
        <w:t>　市渔业行政主管部门应当会同市水务部门、环境保护部门确定水库捕捞的船网工具控制指标。捕捞许可证的发放不得突破船网工具控制指标。</w:t>
      </w:r>
    </w:p>
    <w:p w14:paraId="7D19A187">
      <w:pPr>
        <w:ind w:firstLine="422"/>
        <w:jc w:val="left"/>
        <w:rPr>
          <w:rFonts w:ascii="宋体" w:hAnsi="宋体"/>
          <w:kern w:val="44"/>
        </w:rPr>
      </w:pPr>
      <w:r>
        <w:rPr>
          <w:rFonts w:hint="eastAsia" w:ascii="宋体" w:hAnsi="宋体"/>
          <w:b/>
          <w:kern w:val="44"/>
        </w:rPr>
        <w:t>第十六条</w:t>
      </w:r>
      <w:r>
        <w:rPr>
          <w:rFonts w:hint="eastAsia" w:ascii="宋体" w:hAnsi="宋体"/>
          <w:kern w:val="44"/>
        </w:rPr>
        <w:t>　持捕捞许可证从事捕捞生产的，应当缴纳渔业资源增殖保护费，收费标准和办法按国家和本市的规定执行。</w:t>
      </w:r>
    </w:p>
    <w:p w14:paraId="7E6A8738">
      <w:pPr>
        <w:ind w:firstLine="422"/>
        <w:jc w:val="left"/>
        <w:rPr>
          <w:rFonts w:ascii="宋体" w:hAnsi="宋体"/>
          <w:kern w:val="44"/>
        </w:rPr>
      </w:pPr>
      <w:r>
        <w:rPr>
          <w:rFonts w:hint="eastAsia" w:ascii="宋体" w:hAnsi="宋体"/>
          <w:b/>
          <w:kern w:val="44"/>
        </w:rPr>
        <w:t>第十七条</w:t>
      </w:r>
      <w:r>
        <w:rPr>
          <w:rFonts w:hint="eastAsia" w:ascii="宋体" w:hAnsi="宋体"/>
          <w:kern w:val="44"/>
        </w:rPr>
        <w:t>　捕捞许可证不得买卖、出租或者以其他形式非法转让，不得涂改。</w:t>
      </w:r>
    </w:p>
    <w:p w14:paraId="736B28B7">
      <w:pPr>
        <w:ind w:firstLine="422"/>
        <w:jc w:val="left"/>
        <w:rPr>
          <w:rFonts w:ascii="宋体" w:hAnsi="宋体"/>
          <w:kern w:val="44"/>
        </w:rPr>
      </w:pPr>
      <w:r>
        <w:rPr>
          <w:rFonts w:hint="eastAsia" w:ascii="宋体" w:hAnsi="宋体"/>
          <w:b/>
          <w:kern w:val="44"/>
        </w:rPr>
        <w:t>第十八条</w:t>
      </w:r>
      <w:r>
        <w:rPr>
          <w:rFonts w:hint="eastAsia" w:ascii="宋体" w:hAnsi="宋体"/>
          <w:kern w:val="44"/>
        </w:rPr>
        <w:t>　渔业行政主管部门应当根据生产的需要，组织苗种生产，引进、推广优良品种，进行技术指导和其他服务工作。</w:t>
      </w:r>
    </w:p>
    <w:p w14:paraId="6256D95C">
      <w:pPr>
        <w:jc w:val="left"/>
        <w:rPr>
          <w:rFonts w:ascii="宋体" w:hAnsi="宋体"/>
          <w:kern w:val="44"/>
        </w:rPr>
      </w:pPr>
      <w:r>
        <w:rPr>
          <w:rFonts w:hint="eastAsia" w:ascii="宋体" w:hAnsi="宋体"/>
          <w:kern w:val="44"/>
        </w:rPr>
        <w:t>引进或者销售外地苗种，应当经由渔业行政主管部门检疫。</w:t>
      </w:r>
    </w:p>
    <w:p w14:paraId="5AC59C53">
      <w:pPr>
        <w:ind w:firstLine="422"/>
        <w:jc w:val="left"/>
        <w:rPr>
          <w:rFonts w:ascii="宋体" w:hAnsi="宋体"/>
          <w:kern w:val="44"/>
        </w:rPr>
      </w:pPr>
      <w:r>
        <w:rPr>
          <w:rFonts w:hint="eastAsia" w:ascii="宋体" w:hAnsi="宋体"/>
          <w:b/>
          <w:kern w:val="44"/>
        </w:rPr>
        <w:t>第十九条</w:t>
      </w:r>
      <w:r>
        <w:rPr>
          <w:rFonts w:hint="eastAsia" w:ascii="宋体" w:hAnsi="宋体"/>
          <w:kern w:val="44"/>
        </w:rPr>
        <w:t>　市和区、县人民政府及渔业行政主管部门应当加强渔业资源增殖工作，采取措施，促进渔业资源增殖。</w:t>
      </w:r>
    </w:p>
    <w:p w14:paraId="3F1207B5">
      <w:pPr>
        <w:jc w:val="left"/>
        <w:rPr>
          <w:rFonts w:ascii="宋体" w:hAnsi="宋体"/>
          <w:kern w:val="44"/>
        </w:rPr>
      </w:pPr>
      <w:r>
        <w:rPr>
          <w:rFonts w:hint="eastAsia" w:ascii="宋体" w:hAnsi="宋体"/>
          <w:kern w:val="44"/>
        </w:rPr>
        <w:t>单位和个人增殖放流水生动物和水生植物应当符合国家和本市有关规定，并在渔政监督管理机构的指导和监督下实施。</w:t>
      </w:r>
    </w:p>
    <w:p w14:paraId="75434115">
      <w:pPr>
        <w:jc w:val="left"/>
        <w:rPr>
          <w:rFonts w:ascii="宋体" w:hAnsi="宋体"/>
          <w:kern w:val="44"/>
        </w:rPr>
      </w:pPr>
      <w:r>
        <w:rPr>
          <w:rFonts w:hint="eastAsia" w:ascii="宋体" w:hAnsi="宋体"/>
          <w:kern w:val="44"/>
        </w:rPr>
        <w:t>增殖放流水生动物和水生植物的水域、品种和质量由市渔业行政主管部门向社会公布。</w:t>
      </w:r>
    </w:p>
    <w:p w14:paraId="436B7374">
      <w:pPr>
        <w:ind w:firstLine="422"/>
        <w:jc w:val="left"/>
        <w:rPr>
          <w:rFonts w:ascii="宋体" w:hAnsi="宋体"/>
          <w:kern w:val="44"/>
        </w:rPr>
      </w:pPr>
      <w:r>
        <w:rPr>
          <w:rFonts w:hint="eastAsia" w:ascii="宋体" w:hAnsi="宋体"/>
          <w:b/>
          <w:kern w:val="44"/>
        </w:rPr>
        <w:t>第二十条</w:t>
      </w:r>
      <w:r>
        <w:rPr>
          <w:rFonts w:hint="eastAsia" w:ascii="宋体" w:hAnsi="宋体"/>
          <w:kern w:val="44"/>
        </w:rPr>
        <w:t>　密云水库、怀柔水库禁止垂钓。其他禁止垂钓的增殖放流水域，由市渔业行政主管部门会同水务、环境保护等部门确定并向社会公布。</w:t>
      </w:r>
    </w:p>
    <w:p w14:paraId="30AF547D">
      <w:pPr>
        <w:ind w:firstLine="422"/>
        <w:jc w:val="left"/>
        <w:rPr>
          <w:rFonts w:ascii="宋体" w:hAnsi="宋体"/>
          <w:kern w:val="44"/>
        </w:rPr>
      </w:pPr>
      <w:r>
        <w:rPr>
          <w:rFonts w:hint="eastAsia" w:ascii="宋体" w:hAnsi="宋体"/>
          <w:b/>
          <w:kern w:val="44"/>
        </w:rPr>
        <w:t>第二十一条</w:t>
      </w:r>
      <w:r>
        <w:rPr>
          <w:rFonts w:hint="eastAsia" w:ascii="宋体" w:hAnsi="宋体"/>
          <w:kern w:val="44"/>
        </w:rPr>
        <w:t>　任何单位和个人不得从事下列活动：</w:t>
      </w:r>
    </w:p>
    <w:p w14:paraId="44F29C48">
      <w:pPr>
        <w:jc w:val="left"/>
        <w:rPr>
          <w:rFonts w:ascii="宋体" w:hAnsi="宋体"/>
          <w:kern w:val="44"/>
        </w:rPr>
      </w:pPr>
      <w:r>
        <w:rPr>
          <w:rFonts w:hint="eastAsia" w:ascii="宋体" w:hAnsi="宋体"/>
          <w:kern w:val="44"/>
        </w:rPr>
        <w:t>（一）使用炸鱼、毒鱼、电鱼等破坏渔业资源的方法进行捕捞；</w:t>
      </w:r>
    </w:p>
    <w:p w14:paraId="6DE5E930">
      <w:pPr>
        <w:jc w:val="left"/>
        <w:rPr>
          <w:rFonts w:ascii="宋体" w:hAnsi="宋体"/>
          <w:kern w:val="44"/>
        </w:rPr>
      </w:pPr>
      <w:r>
        <w:rPr>
          <w:rFonts w:hint="eastAsia" w:ascii="宋体" w:hAnsi="宋体"/>
          <w:kern w:val="44"/>
        </w:rPr>
        <w:t>（二）在禁渔区和禁渔期进行捕捞；</w:t>
      </w:r>
    </w:p>
    <w:p w14:paraId="75A158CF">
      <w:pPr>
        <w:jc w:val="left"/>
        <w:rPr>
          <w:rFonts w:ascii="宋体" w:hAnsi="宋体"/>
          <w:kern w:val="44"/>
        </w:rPr>
      </w:pPr>
      <w:r>
        <w:rPr>
          <w:rFonts w:hint="eastAsia" w:ascii="宋体" w:hAnsi="宋体"/>
          <w:kern w:val="44"/>
        </w:rPr>
        <w:t>（三）捕捞的渔获物中幼鱼超过规定的比例；</w:t>
      </w:r>
    </w:p>
    <w:p w14:paraId="663AF3C3">
      <w:pPr>
        <w:jc w:val="left"/>
        <w:rPr>
          <w:rFonts w:ascii="宋体" w:hAnsi="宋体"/>
          <w:kern w:val="44"/>
        </w:rPr>
      </w:pPr>
      <w:r>
        <w:rPr>
          <w:rFonts w:hint="eastAsia" w:ascii="宋体" w:hAnsi="宋体"/>
          <w:kern w:val="44"/>
        </w:rPr>
        <w:t>（四）使用小于规定的最小网目尺寸的网具进行捕捞；</w:t>
      </w:r>
    </w:p>
    <w:p w14:paraId="162AD2C1">
      <w:pPr>
        <w:jc w:val="left"/>
        <w:rPr>
          <w:rFonts w:ascii="宋体" w:hAnsi="宋体"/>
          <w:kern w:val="44"/>
        </w:rPr>
      </w:pPr>
      <w:r>
        <w:rPr>
          <w:rFonts w:hint="eastAsia" w:ascii="宋体" w:hAnsi="宋体"/>
          <w:kern w:val="44"/>
        </w:rPr>
        <w:t>（五）未经批准捕捞有重要经济价值的水生动物苗种和怀卵亲体；</w:t>
      </w:r>
    </w:p>
    <w:p w14:paraId="1FF07A6F">
      <w:pPr>
        <w:jc w:val="left"/>
        <w:rPr>
          <w:rFonts w:ascii="宋体" w:hAnsi="宋体"/>
          <w:kern w:val="44"/>
        </w:rPr>
      </w:pPr>
      <w:r>
        <w:rPr>
          <w:rFonts w:hint="eastAsia" w:ascii="宋体" w:hAnsi="宋体"/>
          <w:kern w:val="44"/>
        </w:rPr>
        <w:t>（六）未经批准捕捞国家重点保护的水生野生动物；</w:t>
      </w:r>
    </w:p>
    <w:p w14:paraId="3B095917">
      <w:pPr>
        <w:jc w:val="left"/>
        <w:rPr>
          <w:rFonts w:ascii="宋体" w:hAnsi="宋体"/>
          <w:kern w:val="44"/>
        </w:rPr>
      </w:pPr>
      <w:r>
        <w:rPr>
          <w:rFonts w:hint="eastAsia" w:ascii="宋体" w:hAnsi="宋体"/>
          <w:kern w:val="44"/>
        </w:rPr>
        <w:t>（七）在禁止垂钓的水域进行垂钓。</w:t>
      </w:r>
    </w:p>
    <w:p w14:paraId="7C4B18F8">
      <w:pPr>
        <w:jc w:val="left"/>
        <w:rPr>
          <w:rFonts w:ascii="宋体" w:hAnsi="宋体"/>
          <w:kern w:val="44"/>
        </w:rPr>
      </w:pPr>
      <w:r>
        <w:rPr>
          <w:rFonts w:hint="eastAsia" w:ascii="宋体" w:hAnsi="宋体"/>
          <w:kern w:val="44"/>
        </w:rPr>
        <w:t>重点保护的渔业资源品种及其可捕捞标准、禁渔区和禁渔期、禁止使用或者限制使用的渔具和捕捞方法、最小网目尺寸以及其他保护渔业资源的措施，由市渔业行政主管部门制定并向社会公布。</w:t>
      </w:r>
    </w:p>
    <w:p w14:paraId="12D7D79E">
      <w:pPr>
        <w:ind w:firstLine="422"/>
        <w:jc w:val="left"/>
        <w:rPr>
          <w:rFonts w:ascii="宋体" w:hAnsi="宋体"/>
          <w:kern w:val="44"/>
        </w:rPr>
      </w:pPr>
      <w:r>
        <w:rPr>
          <w:rFonts w:hint="eastAsia" w:ascii="宋体" w:hAnsi="宋体"/>
          <w:b/>
          <w:kern w:val="44"/>
        </w:rPr>
        <w:t>第二十二条</w:t>
      </w:r>
      <w:r>
        <w:rPr>
          <w:rFonts w:hint="eastAsia" w:ascii="宋体" w:hAnsi="宋体"/>
          <w:kern w:val="44"/>
        </w:rPr>
        <w:t>　渔业水域生态环境的监督管理和渔业污染事故的调查处理，按照水污染防治法律、法规的规定执行。</w:t>
      </w:r>
    </w:p>
    <w:p w14:paraId="137A1395">
      <w:pPr>
        <w:ind w:firstLine="422"/>
        <w:jc w:val="left"/>
        <w:rPr>
          <w:rFonts w:ascii="宋体" w:hAnsi="宋体"/>
          <w:kern w:val="44"/>
        </w:rPr>
      </w:pPr>
      <w:r>
        <w:rPr>
          <w:rFonts w:hint="eastAsia" w:ascii="宋体" w:hAnsi="宋体"/>
          <w:b/>
          <w:kern w:val="44"/>
        </w:rPr>
        <w:t>第二十三条</w:t>
      </w:r>
      <w:r>
        <w:rPr>
          <w:rFonts w:hint="eastAsia" w:ascii="宋体" w:hAnsi="宋体"/>
          <w:kern w:val="44"/>
        </w:rPr>
        <w:t>　市和区、县渔业行政主管部门及渔政监督管理机构应当按规定配备渔政执法人员。渔政执法人员经培训合格后，方可持证上岗。渔政执法人员对渔业生产及其相关活动进行检查时，应当统一着装、佩戴标志、出示执法证件。</w:t>
      </w:r>
    </w:p>
    <w:p w14:paraId="04311003">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市和区、县渔政监督管理机构履行监督管理职责时，有权采取下列措施：</w:t>
      </w:r>
    </w:p>
    <w:p w14:paraId="647649CE">
      <w:pPr>
        <w:jc w:val="left"/>
        <w:rPr>
          <w:rFonts w:ascii="宋体" w:hAnsi="宋体"/>
          <w:kern w:val="44"/>
        </w:rPr>
      </w:pPr>
      <w:r>
        <w:rPr>
          <w:rFonts w:hint="eastAsia" w:ascii="宋体" w:hAnsi="宋体"/>
          <w:kern w:val="44"/>
        </w:rPr>
        <w:t>（一）进入渔业生产活动场所进行检查；</w:t>
      </w:r>
    </w:p>
    <w:p w14:paraId="43F4120D">
      <w:pPr>
        <w:jc w:val="left"/>
        <w:rPr>
          <w:rFonts w:ascii="宋体" w:hAnsi="宋体"/>
          <w:kern w:val="44"/>
        </w:rPr>
      </w:pPr>
      <w:r>
        <w:rPr>
          <w:rFonts w:hint="eastAsia" w:ascii="宋体" w:hAnsi="宋体"/>
          <w:kern w:val="44"/>
        </w:rPr>
        <w:t>（二）要求被检查单位和个人就有关问题作出说明；</w:t>
      </w:r>
    </w:p>
    <w:p w14:paraId="47A45630">
      <w:pPr>
        <w:jc w:val="left"/>
        <w:rPr>
          <w:rFonts w:ascii="宋体" w:hAnsi="宋体"/>
          <w:kern w:val="44"/>
        </w:rPr>
      </w:pPr>
      <w:r>
        <w:rPr>
          <w:rFonts w:hint="eastAsia" w:ascii="宋体" w:hAnsi="宋体"/>
          <w:kern w:val="44"/>
        </w:rPr>
        <w:t>（三）查阅、复制被检查单位和个人的有关文件、凭证和资料；</w:t>
      </w:r>
    </w:p>
    <w:p w14:paraId="4C37A9C6">
      <w:pPr>
        <w:jc w:val="left"/>
        <w:rPr>
          <w:rFonts w:ascii="宋体" w:hAnsi="宋体"/>
          <w:kern w:val="44"/>
        </w:rPr>
      </w:pPr>
      <w:r>
        <w:rPr>
          <w:rFonts w:hint="eastAsia" w:ascii="宋体" w:hAnsi="宋体"/>
          <w:kern w:val="44"/>
        </w:rPr>
        <w:t>（四）依法查封、扣押渔业生产活动中涉嫌违法的物品；</w:t>
      </w:r>
    </w:p>
    <w:p w14:paraId="728E0413">
      <w:pPr>
        <w:jc w:val="left"/>
        <w:rPr>
          <w:rFonts w:ascii="宋体" w:hAnsi="宋体"/>
          <w:kern w:val="44"/>
        </w:rPr>
      </w:pPr>
      <w:r>
        <w:rPr>
          <w:rFonts w:hint="eastAsia" w:ascii="宋体" w:hAnsi="宋体"/>
          <w:kern w:val="44"/>
        </w:rPr>
        <w:t>（五）对不符合质量安全标准的水产品进行无害化处理或者监督销毁；</w:t>
      </w:r>
    </w:p>
    <w:p w14:paraId="22928A34">
      <w:pPr>
        <w:jc w:val="left"/>
        <w:rPr>
          <w:rFonts w:ascii="宋体" w:hAnsi="宋体"/>
          <w:kern w:val="44"/>
        </w:rPr>
      </w:pPr>
      <w:r>
        <w:rPr>
          <w:rFonts w:hint="eastAsia" w:ascii="宋体" w:hAnsi="宋体"/>
          <w:kern w:val="44"/>
        </w:rPr>
        <w:t>（六）责令被检查单位和个人改正违反渔业法律法规的行为。</w:t>
      </w:r>
    </w:p>
    <w:p w14:paraId="45CEDC20">
      <w:pPr>
        <w:ind w:firstLine="422"/>
        <w:jc w:val="left"/>
        <w:rPr>
          <w:rFonts w:ascii="宋体" w:hAnsi="宋体"/>
          <w:kern w:val="44"/>
        </w:rPr>
      </w:pPr>
      <w:r>
        <w:rPr>
          <w:rFonts w:hint="eastAsia" w:ascii="宋体" w:hAnsi="宋体"/>
          <w:b/>
          <w:kern w:val="44"/>
        </w:rPr>
        <w:t>第二十五条</w:t>
      </w:r>
      <w:r>
        <w:rPr>
          <w:rFonts w:hint="eastAsia" w:ascii="宋体" w:hAnsi="宋体"/>
          <w:kern w:val="44"/>
        </w:rPr>
        <w:t>　市和区、县渔政监督管理机构对违反有关渔业法律、法规的行为予以行政处罚的，应当及时将有关单位的违法行为信息记入本市企业信用信息系统。</w:t>
      </w:r>
    </w:p>
    <w:p w14:paraId="6B3B7108">
      <w:pPr>
        <w:ind w:firstLine="422"/>
        <w:jc w:val="left"/>
        <w:rPr>
          <w:rFonts w:ascii="宋体" w:hAnsi="宋体"/>
          <w:kern w:val="44"/>
        </w:rPr>
      </w:pPr>
      <w:r>
        <w:rPr>
          <w:rFonts w:hint="eastAsia" w:ascii="宋体" w:hAnsi="宋体"/>
          <w:b/>
          <w:kern w:val="44"/>
        </w:rPr>
        <w:t>第二十六条</w:t>
      </w:r>
      <w:r>
        <w:rPr>
          <w:rFonts w:hint="eastAsia" w:ascii="宋体" w:hAnsi="宋体"/>
          <w:kern w:val="44"/>
        </w:rPr>
        <w:t>　违反本办法规定的，由渔政监督管理机构予以处罚：</w:t>
      </w:r>
    </w:p>
    <w:p w14:paraId="4881EFA9">
      <w:pPr>
        <w:jc w:val="left"/>
        <w:rPr>
          <w:rFonts w:ascii="宋体" w:hAnsi="宋体"/>
          <w:kern w:val="44"/>
        </w:rPr>
      </w:pPr>
      <w:r>
        <w:rPr>
          <w:rFonts w:hint="eastAsia" w:ascii="宋体" w:hAnsi="宋体"/>
          <w:kern w:val="44"/>
        </w:rPr>
        <w:t>（一）违反本办法第九条第二款规定，在渔业生产过程中使用禁止使用的药品、饲料、饲料添加剂及其他化合物的，责令改正，并处1万元以上5万元以下罚款。</w:t>
      </w:r>
    </w:p>
    <w:p w14:paraId="44018277">
      <w:pPr>
        <w:jc w:val="left"/>
        <w:rPr>
          <w:rFonts w:ascii="宋体" w:hAnsi="宋体"/>
          <w:kern w:val="44"/>
        </w:rPr>
      </w:pPr>
      <w:r>
        <w:rPr>
          <w:rFonts w:hint="eastAsia" w:ascii="宋体" w:hAnsi="宋体"/>
          <w:kern w:val="44"/>
        </w:rPr>
        <w:t>（二）违反本办法第十条规定，未按规定建立和保存水产养殖生产记录、水产养殖用药记录的，责令限期改正；逾期不改或者伪造记录的，处200元以上2000元以下罚款。</w:t>
      </w:r>
    </w:p>
    <w:p w14:paraId="2D832459">
      <w:pPr>
        <w:jc w:val="left"/>
        <w:rPr>
          <w:rFonts w:ascii="宋体" w:hAnsi="宋体"/>
          <w:kern w:val="44"/>
        </w:rPr>
      </w:pPr>
      <w:r>
        <w:rPr>
          <w:rFonts w:hint="eastAsia" w:ascii="宋体" w:hAnsi="宋体"/>
          <w:kern w:val="44"/>
        </w:rPr>
        <w:t>（三）违反本办法第十三条第三款规定，销售不符合质量安全标准水产品的，责令停止销售，追回已经销售的水产品，对违法销售的水产品进行无害化处理或者予以监督销毁，并没收违法所得，处2000元以上2万元以下罚款。</w:t>
      </w:r>
    </w:p>
    <w:p w14:paraId="0CA62B67">
      <w:pPr>
        <w:jc w:val="left"/>
        <w:rPr>
          <w:rFonts w:ascii="宋体" w:hAnsi="宋体"/>
          <w:kern w:val="44"/>
        </w:rPr>
      </w:pPr>
      <w:r>
        <w:rPr>
          <w:rFonts w:hint="eastAsia" w:ascii="宋体" w:hAnsi="宋体"/>
          <w:kern w:val="44"/>
        </w:rPr>
        <w:t>（四）违反本办法第十九条第二款、第三款规定，增殖放流水生动物和水生植物的水域、品种和质量不符合规定的，处50元以上500元以下罚款；情节严重的，处500元以上5000元以下罚款。</w:t>
      </w:r>
    </w:p>
    <w:p w14:paraId="1D201457">
      <w:pPr>
        <w:jc w:val="left"/>
        <w:rPr>
          <w:rFonts w:ascii="宋体" w:hAnsi="宋体"/>
          <w:kern w:val="44"/>
        </w:rPr>
      </w:pPr>
      <w:r>
        <w:rPr>
          <w:rFonts w:hint="eastAsia" w:ascii="宋体" w:hAnsi="宋体"/>
          <w:kern w:val="44"/>
        </w:rPr>
        <w:t>（五）违反本办法第二十一条第一款第七项规定，在禁止垂钓的水域垂钓的，责令停止违法行为，没收渔具，并可以处50元以上500元以下罚款。</w:t>
      </w:r>
    </w:p>
    <w:p w14:paraId="449ACD45">
      <w:pPr>
        <w:jc w:val="left"/>
        <w:rPr>
          <w:rFonts w:ascii="宋体" w:hAnsi="宋体"/>
          <w:kern w:val="44"/>
        </w:rPr>
      </w:pPr>
      <w:r>
        <w:rPr>
          <w:rFonts w:hint="eastAsia" w:ascii="宋体" w:hAnsi="宋体"/>
          <w:kern w:val="44"/>
        </w:rPr>
        <w:t>有上述行为，属于违反环境保护、城市管理等法律法规的，由有关部门予以处罚。</w:t>
      </w:r>
    </w:p>
    <w:p w14:paraId="24A5EF9A">
      <w:pPr>
        <w:ind w:firstLine="422"/>
        <w:jc w:val="left"/>
        <w:rPr>
          <w:rFonts w:ascii="宋体" w:hAnsi="宋体"/>
          <w:kern w:val="44"/>
        </w:rPr>
      </w:pPr>
      <w:r>
        <w:rPr>
          <w:rFonts w:hint="eastAsia" w:ascii="宋体" w:hAnsi="宋体"/>
          <w:b/>
          <w:kern w:val="44"/>
        </w:rPr>
        <w:t>第二十七条</w:t>
      </w:r>
      <w:r>
        <w:rPr>
          <w:rFonts w:hint="eastAsia" w:ascii="宋体" w:hAnsi="宋体"/>
          <w:kern w:val="44"/>
        </w:rPr>
        <w:t>　阻碍渔政执法人员依法执行职务的，由公安机关依照《中华人民共和国治安管理处罚法》的规定处罚；构成犯罪的，依法追究刑事责任。</w:t>
      </w:r>
    </w:p>
    <w:p w14:paraId="164F71C8">
      <w:pPr>
        <w:ind w:firstLine="422"/>
        <w:jc w:val="left"/>
        <w:rPr>
          <w:rFonts w:ascii="宋体" w:hAnsi="宋体"/>
          <w:kern w:val="44"/>
        </w:rPr>
      </w:pPr>
      <w:r>
        <w:rPr>
          <w:rFonts w:hint="eastAsia" w:ascii="宋体" w:hAnsi="宋体"/>
          <w:b/>
          <w:kern w:val="44"/>
        </w:rPr>
        <w:t>第二十八条</w:t>
      </w:r>
      <w:r>
        <w:rPr>
          <w:rFonts w:hint="eastAsia" w:ascii="宋体" w:hAnsi="宋体"/>
          <w:kern w:val="44"/>
        </w:rPr>
        <w:t>　渔业行政主管部门和渔政监督管理机构的工作人员有玩忽职守、滥用职权、徇私舞弊行为的，依法给予行政处分；构成犯罪的，依法追究刑事责任。</w:t>
      </w:r>
    </w:p>
    <w:p w14:paraId="0ADE3516">
      <w:pPr>
        <w:ind w:firstLine="422"/>
        <w:jc w:val="left"/>
        <w:rPr>
          <w:rFonts w:ascii="宋体" w:hAnsi="宋体"/>
          <w:kern w:val="44"/>
        </w:rPr>
      </w:pPr>
      <w:r>
        <w:rPr>
          <w:rFonts w:hint="eastAsia" w:ascii="宋体" w:hAnsi="宋体"/>
          <w:b/>
          <w:kern w:val="44"/>
        </w:rPr>
        <w:t>第二十九条</w:t>
      </w:r>
      <w:r>
        <w:rPr>
          <w:rFonts w:hint="eastAsia" w:ascii="宋体" w:hAnsi="宋体"/>
          <w:kern w:val="44"/>
        </w:rPr>
        <w:t>　本办法自2007年9月1日起施行。</w:t>
      </w:r>
    </w:p>
    <w:p w14:paraId="04958CF7">
      <w:pPr>
        <w:pStyle w:val="4"/>
        <w:pageBreakBefore/>
        <w:rPr>
          <w:kern w:val="44"/>
        </w:rPr>
      </w:pPr>
      <w:bookmarkStart w:id="1049" w:name="_Toc422471281"/>
      <w:bookmarkStart w:id="1050" w:name="_Toc428781614"/>
      <w:bookmarkStart w:id="1051" w:name="_Toc427651908"/>
      <w:bookmarkStart w:id="1052" w:name="_Toc428780132"/>
      <w:bookmarkStart w:id="1053" w:name="_Toc427651566"/>
      <w:r>
        <w:rPr>
          <w:rFonts w:hint="eastAsia"/>
          <w:kern w:val="44"/>
        </w:rPr>
        <w:t>北京市农村集体资产管理条例</w:t>
      </w:r>
      <w:bookmarkEnd w:id="1049"/>
      <w:bookmarkEnd w:id="1050"/>
      <w:bookmarkEnd w:id="1051"/>
      <w:bookmarkEnd w:id="1052"/>
      <w:bookmarkEnd w:id="1053"/>
    </w:p>
    <w:p w14:paraId="0D8DB6C6">
      <w:pPr>
        <w:ind w:left="630" w:leftChars="300" w:right="630" w:rightChars="300"/>
        <w:jc w:val="left"/>
        <w:rPr>
          <w:rFonts w:ascii="楷体" w:hAnsi="楷体" w:eastAsia="楷体"/>
          <w:kern w:val="44"/>
        </w:rPr>
      </w:pPr>
      <w:r>
        <w:rPr>
          <w:rFonts w:hint="eastAsia" w:ascii="楷体" w:hAnsi="楷体" w:eastAsia="楷体"/>
          <w:kern w:val="44"/>
        </w:rPr>
        <w:t>（1993年5月7日北京市第十届人民代表大会常务委员会第二次会议通过　根据1998年11月5日北京市第十一届人民代表大会常务委员会第六次会议《关于修改〈北京市农村集体资产管理条例〉的决定》第一次修正　根据2010年12月23日北京市第十三届人民代表大会常务委员会第二十二次会议《关于修改部分地方性法规的决定》第二次修正）</w:t>
      </w:r>
    </w:p>
    <w:p w14:paraId="53BC3608">
      <w:pPr>
        <w:jc w:val="left"/>
        <w:rPr>
          <w:rFonts w:ascii="宋体" w:hAnsi="宋体"/>
          <w:kern w:val="44"/>
        </w:rPr>
      </w:pPr>
    </w:p>
    <w:p w14:paraId="7F260444">
      <w:pPr>
        <w:ind w:firstLine="0" w:firstLineChars="0"/>
        <w:jc w:val="center"/>
        <w:rPr>
          <w:rFonts w:ascii="宋体" w:hAnsi="宋体"/>
          <w:b/>
          <w:kern w:val="44"/>
          <w:sz w:val="28"/>
        </w:rPr>
      </w:pPr>
      <w:r>
        <w:rPr>
          <w:rFonts w:hint="eastAsia" w:ascii="宋体" w:hAnsi="宋体"/>
          <w:b/>
          <w:kern w:val="44"/>
          <w:sz w:val="28"/>
        </w:rPr>
        <w:t>第一章　总　则</w:t>
      </w:r>
    </w:p>
    <w:p w14:paraId="44F9E801">
      <w:pPr>
        <w:jc w:val="left"/>
        <w:rPr>
          <w:rFonts w:ascii="宋体" w:hAnsi="宋体"/>
          <w:kern w:val="44"/>
        </w:rPr>
      </w:pPr>
    </w:p>
    <w:p w14:paraId="75EAA2F5">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为了加强农村集体资产管理，保护集体资产所有者、经营者的合法权益，促进农村社会主义市场经济健康发展，根据国家有关法律规定，结合本市实际情况，制定本条例。</w:t>
      </w:r>
    </w:p>
    <w:p w14:paraId="0372F4F9">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本条例适用于本市乡（镇）合作经济联合社和村经济合作社（以下简称乡联社、村合作社）集体所有的资产的管理。</w:t>
      </w:r>
    </w:p>
    <w:p w14:paraId="7A69072D">
      <w:pPr>
        <w:ind w:firstLine="422"/>
        <w:jc w:val="left"/>
        <w:rPr>
          <w:rFonts w:ascii="宋体" w:hAnsi="宋体"/>
          <w:kern w:val="44"/>
        </w:rPr>
      </w:pPr>
      <w:r>
        <w:rPr>
          <w:rFonts w:hint="eastAsia" w:ascii="宋体" w:hAnsi="宋体"/>
          <w:b/>
          <w:kern w:val="44"/>
        </w:rPr>
        <w:t>第三条</w:t>
      </w:r>
      <w:r>
        <w:rPr>
          <w:rFonts w:hint="eastAsia" w:ascii="宋体" w:hAnsi="宋体"/>
          <w:kern w:val="44"/>
        </w:rPr>
        <w:t>　农村集体资产受法律保护，禁止任何组织或者个人侵占、哄抢、私分、破坏、平调或者非法查封、扣押、冻结、没收。</w:t>
      </w:r>
    </w:p>
    <w:p w14:paraId="60222E97">
      <w:pPr>
        <w:ind w:firstLine="422"/>
        <w:jc w:val="left"/>
        <w:rPr>
          <w:rFonts w:ascii="宋体" w:hAnsi="宋体"/>
          <w:kern w:val="44"/>
        </w:rPr>
      </w:pPr>
      <w:r>
        <w:rPr>
          <w:rFonts w:hint="eastAsia" w:ascii="宋体" w:hAnsi="宋体"/>
          <w:b/>
          <w:kern w:val="44"/>
        </w:rPr>
        <w:t>第四条</w:t>
      </w:r>
      <w:r>
        <w:rPr>
          <w:rFonts w:hint="eastAsia" w:ascii="宋体" w:hAnsi="宋体"/>
          <w:kern w:val="44"/>
        </w:rPr>
        <w:t>　乡联社、村合作社应当加强集体资产管理。</w:t>
      </w:r>
    </w:p>
    <w:p w14:paraId="6B7DE0B1">
      <w:pPr>
        <w:ind w:firstLine="422"/>
        <w:jc w:val="left"/>
        <w:rPr>
          <w:rFonts w:ascii="宋体" w:hAnsi="宋体"/>
          <w:kern w:val="44"/>
        </w:rPr>
      </w:pPr>
      <w:r>
        <w:rPr>
          <w:rFonts w:hint="eastAsia" w:ascii="宋体" w:hAnsi="宋体"/>
          <w:b/>
          <w:kern w:val="44"/>
        </w:rPr>
        <w:t>第五条</w:t>
      </w:r>
      <w:r>
        <w:rPr>
          <w:rFonts w:hint="eastAsia" w:ascii="宋体" w:hAnsi="宋体"/>
          <w:kern w:val="44"/>
        </w:rPr>
        <w:t>　任何组织和个人都应当爱护集体资产。乡联社、村合作社及其成员有保护集体资产的权利和义务。</w:t>
      </w:r>
    </w:p>
    <w:p w14:paraId="1AB41F63">
      <w:pPr>
        <w:ind w:firstLine="422"/>
        <w:jc w:val="left"/>
        <w:rPr>
          <w:rFonts w:ascii="宋体" w:hAnsi="宋体"/>
          <w:kern w:val="44"/>
        </w:rPr>
      </w:pPr>
      <w:r>
        <w:rPr>
          <w:rFonts w:hint="eastAsia" w:ascii="宋体" w:hAnsi="宋体"/>
          <w:b/>
          <w:kern w:val="44"/>
        </w:rPr>
        <w:t>第六条</w:t>
      </w:r>
      <w:r>
        <w:rPr>
          <w:rFonts w:hint="eastAsia" w:ascii="宋体" w:hAnsi="宋体"/>
          <w:kern w:val="44"/>
        </w:rPr>
        <w:t>　农村集体资产可以按照所有权和经营权分离的原则，采取多种经营方式，实行有偿使用。</w:t>
      </w:r>
    </w:p>
    <w:p w14:paraId="330A4C6C">
      <w:pPr>
        <w:ind w:firstLine="422"/>
        <w:jc w:val="left"/>
        <w:rPr>
          <w:rFonts w:ascii="宋体" w:hAnsi="宋体"/>
          <w:kern w:val="44"/>
        </w:rPr>
      </w:pPr>
      <w:r>
        <w:rPr>
          <w:rFonts w:hint="eastAsia" w:ascii="宋体" w:hAnsi="宋体"/>
          <w:b/>
          <w:kern w:val="44"/>
        </w:rPr>
        <w:t>第七条</w:t>
      </w:r>
      <w:r>
        <w:rPr>
          <w:rFonts w:hint="eastAsia" w:ascii="宋体" w:hAnsi="宋体"/>
          <w:kern w:val="44"/>
        </w:rPr>
        <w:t>　各级人民政府农村合作经济管理部门负责农村集体资产管理工作的指导，对本条例的实施进行监督。</w:t>
      </w:r>
    </w:p>
    <w:p w14:paraId="4160A8B0">
      <w:pPr>
        <w:jc w:val="left"/>
        <w:rPr>
          <w:rFonts w:ascii="宋体" w:hAnsi="宋体"/>
          <w:kern w:val="44"/>
        </w:rPr>
      </w:pPr>
    </w:p>
    <w:p w14:paraId="48BD475C">
      <w:pPr>
        <w:ind w:firstLine="0" w:firstLineChars="0"/>
        <w:jc w:val="center"/>
        <w:rPr>
          <w:rFonts w:ascii="宋体" w:hAnsi="宋体"/>
          <w:b/>
          <w:kern w:val="44"/>
          <w:sz w:val="28"/>
        </w:rPr>
      </w:pPr>
      <w:r>
        <w:rPr>
          <w:rFonts w:hint="eastAsia" w:ascii="宋体" w:hAnsi="宋体"/>
          <w:b/>
          <w:kern w:val="44"/>
          <w:sz w:val="28"/>
        </w:rPr>
        <w:t>第二章　农村集体资产所有权</w:t>
      </w:r>
    </w:p>
    <w:p w14:paraId="6912E3D0">
      <w:pPr>
        <w:jc w:val="left"/>
        <w:rPr>
          <w:rFonts w:ascii="宋体" w:hAnsi="宋体"/>
          <w:kern w:val="44"/>
        </w:rPr>
      </w:pPr>
    </w:p>
    <w:p w14:paraId="0DC9C00A">
      <w:pPr>
        <w:ind w:firstLine="422"/>
        <w:jc w:val="left"/>
        <w:rPr>
          <w:rFonts w:ascii="宋体" w:hAnsi="宋体"/>
          <w:kern w:val="44"/>
        </w:rPr>
      </w:pPr>
      <w:r>
        <w:rPr>
          <w:rFonts w:hint="eastAsia" w:ascii="宋体" w:hAnsi="宋体"/>
          <w:b/>
          <w:kern w:val="44"/>
        </w:rPr>
        <w:t>第八条</w:t>
      </w:r>
      <w:r>
        <w:rPr>
          <w:rFonts w:hint="eastAsia" w:ascii="宋体" w:hAnsi="宋体"/>
          <w:kern w:val="44"/>
        </w:rPr>
        <w:t>　乡联社、村合作社的集体资产属于该合作社劳动群众集体所有。</w:t>
      </w:r>
    </w:p>
    <w:p w14:paraId="555C24C5">
      <w:pPr>
        <w:jc w:val="left"/>
        <w:rPr>
          <w:rFonts w:ascii="宋体" w:hAnsi="宋体"/>
          <w:kern w:val="44"/>
        </w:rPr>
      </w:pPr>
      <w:r>
        <w:rPr>
          <w:rFonts w:hint="eastAsia" w:ascii="宋体" w:hAnsi="宋体"/>
          <w:kern w:val="44"/>
        </w:rPr>
        <w:t>社员大会或者社员代表大会选举产生的乡联社、村合作社管理委员会依法行使集体资产所有权。</w:t>
      </w:r>
    </w:p>
    <w:p w14:paraId="1F06003A">
      <w:pPr>
        <w:ind w:firstLine="422"/>
        <w:jc w:val="left"/>
        <w:rPr>
          <w:rFonts w:ascii="宋体" w:hAnsi="宋体"/>
          <w:kern w:val="44"/>
        </w:rPr>
      </w:pPr>
      <w:r>
        <w:rPr>
          <w:rFonts w:hint="eastAsia" w:ascii="宋体" w:hAnsi="宋体"/>
          <w:b/>
          <w:kern w:val="44"/>
        </w:rPr>
        <w:t>第九条</w:t>
      </w:r>
      <w:r>
        <w:rPr>
          <w:rFonts w:hint="eastAsia" w:ascii="宋体" w:hAnsi="宋体"/>
          <w:kern w:val="44"/>
        </w:rPr>
        <w:t>　乡联社、村合作社的集体资产包括：</w:t>
      </w:r>
    </w:p>
    <w:p w14:paraId="74C7E7E4">
      <w:pPr>
        <w:jc w:val="left"/>
        <w:rPr>
          <w:rFonts w:ascii="宋体" w:hAnsi="宋体"/>
          <w:kern w:val="44"/>
        </w:rPr>
      </w:pPr>
      <w:r>
        <w:rPr>
          <w:rFonts w:hint="eastAsia" w:ascii="宋体" w:hAnsi="宋体"/>
          <w:kern w:val="44"/>
        </w:rPr>
        <w:t>（一）乡联社、村合作社集体所有的土地、山场、森林、草原、水面等自然资源；</w:t>
      </w:r>
    </w:p>
    <w:p w14:paraId="06E11AC6">
      <w:pPr>
        <w:jc w:val="left"/>
        <w:rPr>
          <w:rFonts w:ascii="宋体" w:hAnsi="宋体"/>
          <w:kern w:val="44"/>
        </w:rPr>
      </w:pPr>
      <w:r>
        <w:rPr>
          <w:rFonts w:hint="eastAsia" w:ascii="宋体" w:hAnsi="宋体"/>
          <w:kern w:val="44"/>
        </w:rPr>
        <w:t>（二）乡联社、村合作社投资形成的建筑物、构筑物、机械、设备、产畜、役畜、林木和农田水利设施等；</w:t>
      </w:r>
    </w:p>
    <w:p w14:paraId="6BBAB74A">
      <w:pPr>
        <w:jc w:val="left"/>
        <w:rPr>
          <w:rFonts w:ascii="宋体" w:hAnsi="宋体"/>
          <w:kern w:val="44"/>
        </w:rPr>
      </w:pPr>
      <w:r>
        <w:rPr>
          <w:rFonts w:hint="eastAsia" w:ascii="宋体" w:hAnsi="宋体"/>
          <w:kern w:val="44"/>
        </w:rPr>
        <w:t>（三）乡联社、村合作社投资兴办的企业资产；</w:t>
      </w:r>
    </w:p>
    <w:p w14:paraId="0046ED67">
      <w:pPr>
        <w:jc w:val="left"/>
        <w:rPr>
          <w:rFonts w:ascii="宋体" w:hAnsi="宋体"/>
          <w:kern w:val="44"/>
        </w:rPr>
      </w:pPr>
      <w:r>
        <w:rPr>
          <w:rFonts w:hint="eastAsia" w:ascii="宋体" w:hAnsi="宋体"/>
          <w:kern w:val="44"/>
        </w:rPr>
        <w:t>（四）在股份制企业、联营企业和中外合资、合作企业中，乡联社、村合作社按照协议占有的资产份额；</w:t>
      </w:r>
    </w:p>
    <w:p w14:paraId="024B905C">
      <w:pPr>
        <w:jc w:val="left"/>
        <w:rPr>
          <w:rFonts w:ascii="宋体" w:hAnsi="宋体"/>
          <w:kern w:val="44"/>
        </w:rPr>
      </w:pPr>
      <w:r>
        <w:rPr>
          <w:rFonts w:hint="eastAsia" w:ascii="宋体" w:hAnsi="宋体"/>
          <w:kern w:val="44"/>
        </w:rPr>
        <w:t>（五）乡联社、村合作社出资兼并的企业资产；</w:t>
      </w:r>
    </w:p>
    <w:p w14:paraId="799ACA09">
      <w:pPr>
        <w:jc w:val="left"/>
        <w:rPr>
          <w:rFonts w:ascii="宋体" w:hAnsi="宋体"/>
          <w:kern w:val="44"/>
        </w:rPr>
      </w:pPr>
      <w:r>
        <w:rPr>
          <w:rFonts w:hint="eastAsia" w:ascii="宋体" w:hAnsi="宋体"/>
          <w:kern w:val="44"/>
        </w:rPr>
        <w:t>（六）国家无偿资助形成的资产；</w:t>
      </w:r>
    </w:p>
    <w:p w14:paraId="1CC96058">
      <w:pPr>
        <w:jc w:val="left"/>
        <w:rPr>
          <w:rFonts w:ascii="宋体" w:hAnsi="宋体"/>
          <w:kern w:val="44"/>
        </w:rPr>
      </w:pPr>
      <w:r>
        <w:rPr>
          <w:rFonts w:hint="eastAsia" w:ascii="宋体" w:hAnsi="宋体"/>
          <w:kern w:val="44"/>
        </w:rPr>
        <w:t>（七）国家对乡联社、村合作社及其所属企业减免税形成的资产；</w:t>
      </w:r>
    </w:p>
    <w:p w14:paraId="47B02116">
      <w:pPr>
        <w:jc w:val="left"/>
        <w:rPr>
          <w:rFonts w:ascii="宋体" w:hAnsi="宋体"/>
          <w:kern w:val="44"/>
        </w:rPr>
      </w:pPr>
      <w:r>
        <w:rPr>
          <w:rFonts w:hint="eastAsia" w:ascii="宋体" w:hAnsi="宋体"/>
          <w:kern w:val="44"/>
        </w:rPr>
        <w:t>（八）乡联社、村合作社拥有的著作权、专利权、商标专用权等无形资产；</w:t>
      </w:r>
    </w:p>
    <w:p w14:paraId="4EFB8590">
      <w:pPr>
        <w:jc w:val="left"/>
        <w:rPr>
          <w:rFonts w:ascii="宋体" w:hAnsi="宋体"/>
          <w:kern w:val="44"/>
        </w:rPr>
      </w:pPr>
      <w:r>
        <w:rPr>
          <w:rFonts w:hint="eastAsia" w:ascii="宋体" w:hAnsi="宋体"/>
          <w:kern w:val="44"/>
        </w:rPr>
        <w:t>（九）乡联杜、村合作社出资购买的股票、债券等有价证券；</w:t>
      </w:r>
    </w:p>
    <w:p w14:paraId="69F71602">
      <w:pPr>
        <w:jc w:val="left"/>
        <w:rPr>
          <w:rFonts w:ascii="宋体" w:hAnsi="宋体"/>
          <w:kern w:val="44"/>
        </w:rPr>
      </w:pPr>
      <w:r>
        <w:rPr>
          <w:rFonts w:hint="eastAsia" w:ascii="宋体" w:hAnsi="宋体"/>
          <w:kern w:val="44"/>
        </w:rPr>
        <w:t>（十）依法属于乡联社、村合作社所有的货币资产和其他资产。</w:t>
      </w:r>
    </w:p>
    <w:p w14:paraId="303A5D3F">
      <w:pPr>
        <w:ind w:firstLine="422"/>
        <w:jc w:val="left"/>
        <w:rPr>
          <w:rFonts w:ascii="宋体" w:hAnsi="宋体"/>
          <w:kern w:val="44"/>
        </w:rPr>
      </w:pPr>
      <w:r>
        <w:rPr>
          <w:rFonts w:hint="eastAsia" w:ascii="宋体" w:hAnsi="宋体"/>
          <w:b/>
          <w:kern w:val="44"/>
        </w:rPr>
        <w:t>第十条</w:t>
      </w:r>
      <w:r>
        <w:rPr>
          <w:rFonts w:hint="eastAsia" w:ascii="宋体" w:hAnsi="宋体"/>
          <w:kern w:val="44"/>
        </w:rPr>
        <w:t>　乡联社、村合作社的土地、企业和其他资产实行承包经营或者租赁经营的，资产的所有权不变。</w:t>
      </w:r>
    </w:p>
    <w:p w14:paraId="06AA3493">
      <w:pPr>
        <w:ind w:firstLine="422"/>
        <w:jc w:val="left"/>
        <w:rPr>
          <w:rFonts w:ascii="宋体" w:hAnsi="宋体"/>
          <w:kern w:val="44"/>
        </w:rPr>
      </w:pPr>
      <w:r>
        <w:rPr>
          <w:rFonts w:hint="eastAsia" w:ascii="宋体" w:hAnsi="宋体"/>
          <w:b/>
          <w:kern w:val="44"/>
        </w:rPr>
        <w:t>第十一条</w:t>
      </w:r>
      <w:r>
        <w:rPr>
          <w:rFonts w:hint="eastAsia" w:ascii="宋体" w:hAnsi="宋体"/>
          <w:kern w:val="44"/>
        </w:rPr>
        <w:t>　集体资产所有权争议，除法律、法规另有规定的以外，当事人可以协商解决，也可以直接向人民法院起诉。</w:t>
      </w:r>
    </w:p>
    <w:p w14:paraId="3DB6ED9E">
      <w:pPr>
        <w:jc w:val="left"/>
        <w:rPr>
          <w:rFonts w:ascii="宋体" w:hAnsi="宋体"/>
          <w:kern w:val="44"/>
        </w:rPr>
      </w:pPr>
    </w:p>
    <w:p w14:paraId="5BAD7FBF">
      <w:pPr>
        <w:ind w:firstLine="0" w:firstLineChars="0"/>
        <w:jc w:val="center"/>
        <w:rPr>
          <w:rFonts w:ascii="宋体" w:hAnsi="宋体"/>
          <w:b/>
          <w:kern w:val="44"/>
          <w:sz w:val="28"/>
        </w:rPr>
      </w:pPr>
      <w:r>
        <w:rPr>
          <w:rFonts w:hint="eastAsia" w:ascii="宋体" w:hAnsi="宋体"/>
          <w:b/>
          <w:kern w:val="44"/>
          <w:sz w:val="28"/>
        </w:rPr>
        <w:t>第三章　农村集体资产经营权</w:t>
      </w:r>
    </w:p>
    <w:p w14:paraId="2B675000">
      <w:pPr>
        <w:jc w:val="left"/>
        <w:rPr>
          <w:rFonts w:ascii="宋体" w:hAnsi="宋体"/>
          <w:kern w:val="44"/>
        </w:rPr>
      </w:pPr>
    </w:p>
    <w:p w14:paraId="6FDF992E">
      <w:pPr>
        <w:ind w:firstLine="422"/>
        <w:jc w:val="left"/>
        <w:rPr>
          <w:rFonts w:ascii="宋体" w:hAnsi="宋体"/>
          <w:kern w:val="44"/>
        </w:rPr>
      </w:pPr>
      <w:r>
        <w:rPr>
          <w:rFonts w:hint="eastAsia" w:ascii="宋体" w:hAnsi="宋体"/>
          <w:b/>
          <w:kern w:val="44"/>
        </w:rPr>
        <w:t>第十二条</w:t>
      </w:r>
      <w:r>
        <w:rPr>
          <w:rFonts w:hint="eastAsia" w:ascii="宋体" w:hAnsi="宋体"/>
          <w:kern w:val="44"/>
        </w:rPr>
        <w:t>　乡联社、村合作社依法决定集体资产的经营方式。可以实行承包经营、租赁经营；可以以集体资产参股、联营；也可以实行股份合作经营。</w:t>
      </w:r>
    </w:p>
    <w:p w14:paraId="125F63D1">
      <w:pPr>
        <w:ind w:firstLine="422"/>
        <w:jc w:val="left"/>
        <w:rPr>
          <w:rFonts w:ascii="宋体" w:hAnsi="宋体"/>
          <w:kern w:val="44"/>
        </w:rPr>
      </w:pPr>
      <w:r>
        <w:rPr>
          <w:rFonts w:hint="eastAsia" w:ascii="宋体" w:hAnsi="宋体"/>
          <w:b/>
          <w:kern w:val="44"/>
        </w:rPr>
        <w:t>第十三条</w:t>
      </w:r>
      <w:r>
        <w:rPr>
          <w:rFonts w:hint="eastAsia" w:ascii="宋体" w:hAnsi="宋体"/>
          <w:kern w:val="44"/>
        </w:rPr>
        <w:t>　集体资产实行承包经营或者租赁经营的，应当依法签订承包合同或者租赁合同。经营者的债务责任，按照合同规定承担；合同没有规定的，个人经营的，以个人财产承担，家庭经营的，以家庭财产承担。</w:t>
      </w:r>
    </w:p>
    <w:p w14:paraId="330BB029">
      <w:pPr>
        <w:ind w:firstLine="422"/>
        <w:jc w:val="left"/>
        <w:rPr>
          <w:rFonts w:ascii="宋体" w:hAnsi="宋体"/>
          <w:kern w:val="44"/>
        </w:rPr>
      </w:pPr>
      <w:r>
        <w:rPr>
          <w:rFonts w:hint="eastAsia" w:ascii="宋体" w:hAnsi="宋体"/>
          <w:b/>
          <w:kern w:val="44"/>
        </w:rPr>
        <w:t>第十四条</w:t>
      </w:r>
      <w:r>
        <w:rPr>
          <w:rFonts w:hint="eastAsia" w:ascii="宋体" w:hAnsi="宋体"/>
          <w:kern w:val="44"/>
        </w:rPr>
        <w:t>　集体资产经营者的合法权益受法律保护。</w:t>
      </w:r>
    </w:p>
    <w:p w14:paraId="54154956">
      <w:pPr>
        <w:jc w:val="left"/>
        <w:rPr>
          <w:rFonts w:ascii="宋体" w:hAnsi="宋体"/>
          <w:kern w:val="44"/>
        </w:rPr>
      </w:pPr>
      <w:r>
        <w:rPr>
          <w:rFonts w:hint="eastAsia" w:ascii="宋体" w:hAnsi="宋体"/>
          <w:kern w:val="44"/>
        </w:rPr>
        <w:t>经营集体资产的集体或者个人，享有合同规定的经营权和收益权，有管理、保护和按照合同规定的用途合理利用集体资产的权利和义务。</w:t>
      </w:r>
    </w:p>
    <w:p w14:paraId="4A8DEAA2">
      <w:pPr>
        <w:ind w:firstLine="422"/>
        <w:jc w:val="left"/>
        <w:rPr>
          <w:rFonts w:ascii="宋体" w:hAnsi="宋体"/>
          <w:kern w:val="44"/>
        </w:rPr>
      </w:pPr>
      <w:r>
        <w:rPr>
          <w:rFonts w:hint="eastAsia" w:ascii="宋体" w:hAnsi="宋体"/>
          <w:b/>
          <w:kern w:val="44"/>
        </w:rPr>
        <w:t>第十五条</w:t>
      </w:r>
      <w:r>
        <w:rPr>
          <w:rFonts w:hint="eastAsia" w:ascii="宋体" w:hAnsi="宋体"/>
          <w:kern w:val="44"/>
        </w:rPr>
        <w:t>　集体资产实行承包经营的，应当合理确定承包款；实行租赁经营的，应当合理确定租金。承包经营或者租赁经营集体资产的集体或者个人必须按照合同规定及时交纳承包款或者租金。</w:t>
      </w:r>
    </w:p>
    <w:p w14:paraId="32222F75">
      <w:pPr>
        <w:ind w:firstLine="422"/>
        <w:jc w:val="left"/>
        <w:rPr>
          <w:rFonts w:ascii="宋体" w:hAnsi="宋体"/>
          <w:kern w:val="44"/>
        </w:rPr>
      </w:pPr>
      <w:r>
        <w:rPr>
          <w:rFonts w:hint="eastAsia" w:ascii="宋体" w:hAnsi="宋体"/>
          <w:b/>
          <w:kern w:val="44"/>
        </w:rPr>
        <w:t>第十六条</w:t>
      </w:r>
      <w:r>
        <w:rPr>
          <w:rFonts w:hint="eastAsia" w:ascii="宋体" w:hAnsi="宋体"/>
          <w:kern w:val="44"/>
        </w:rPr>
        <w:t>　实行承包经营或者租赁经营，应当进行资产评估，把资产保值增值纳入承包合同，建立固定资产折旧制度。经营者必须按照规定提取折旧费。折旧费归集体所有。</w:t>
      </w:r>
    </w:p>
    <w:p w14:paraId="6F71F877">
      <w:pPr>
        <w:ind w:firstLine="422"/>
        <w:jc w:val="left"/>
        <w:rPr>
          <w:rFonts w:ascii="宋体" w:hAnsi="宋体"/>
          <w:kern w:val="44"/>
        </w:rPr>
      </w:pPr>
      <w:r>
        <w:rPr>
          <w:rFonts w:hint="eastAsia" w:ascii="宋体" w:hAnsi="宋体"/>
          <w:b/>
          <w:kern w:val="44"/>
        </w:rPr>
        <w:t>第十七条</w:t>
      </w:r>
      <w:r>
        <w:rPr>
          <w:rFonts w:hint="eastAsia" w:ascii="宋体" w:hAnsi="宋体"/>
          <w:kern w:val="44"/>
        </w:rPr>
        <w:t>　用集体资产参股、联营、合资经营，应当清查资产，清查债权债务，由会计事务所或者审计事务所进行资产评估。</w:t>
      </w:r>
    </w:p>
    <w:p w14:paraId="42E7A6AA">
      <w:pPr>
        <w:ind w:firstLine="422"/>
        <w:jc w:val="left"/>
        <w:rPr>
          <w:rFonts w:ascii="宋体" w:hAnsi="宋体"/>
          <w:kern w:val="44"/>
        </w:rPr>
      </w:pPr>
      <w:r>
        <w:rPr>
          <w:rFonts w:hint="eastAsia" w:ascii="宋体" w:hAnsi="宋体"/>
          <w:b/>
          <w:kern w:val="44"/>
        </w:rPr>
        <w:t>第十八条</w:t>
      </w:r>
      <w:r>
        <w:rPr>
          <w:rFonts w:hint="eastAsia" w:ascii="宋体" w:hAnsi="宋体"/>
          <w:kern w:val="44"/>
        </w:rPr>
        <w:t>　集体资产评估结果，报县（ 区 ）农村合作经济管理部门备案。</w:t>
      </w:r>
    </w:p>
    <w:p w14:paraId="7D463623">
      <w:pPr>
        <w:jc w:val="left"/>
        <w:rPr>
          <w:rFonts w:ascii="宋体" w:hAnsi="宋体"/>
          <w:kern w:val="44"/>
        </w:rPr>
      </w:pPr>
    </w:p>
    <w:p w14:paraId="26BE4D56">
      <w:pPr>
        <w:ind w:firstLine="0" w:firstLineChars="0"/>
        <w:jc w:val="center"/>
        <w:rPr>
          <w:rFonts w:ascii="宋体" w:hAnsi="宋体"/>
          <w:b/>
          <w:kern w:val="44"/>
          <w:sz w:val="28"/>
        </w:rPr>
      </w:pPr>
      <w:r>
        <w:rPr>
          <w:rFonts w:hint="eastAsia" w:ascii="宋体" w:hAnsi="宋体"/>
          <w:b/>
          <w:kern w:val="44"/>
          <w:sz w:val="28"/>
        </w:rPr>
        <w:t>第四章　农村集体资产管理</w:t>
      </w:r>
    </w:p>
    <w:p w14:paraId="4A0B1429">
      <w:pPr>
        <w:jc w:val="left"/>
        <w:rPr>
          <w:rFonts w:ascii="宋体" w:hAnsi="宋体"/>
          <w:kern w:val="44"/>
        </w:rPr>
      </w:pPr>
    </w:p>
    <w:p w14:paraId="2AFD5FB0">
      <w:pPr>
        <w:ind w:firstLine="422"/>
        <w:jc w:val="left"/>
        <w:rPr>
          <w:rFonts w:ascii="宋体" w:hAnsi="宋体"/>
          <w:kern w:val="44"/>
        </w:rPr>
      </w:pPr>
      <w:r>
        <w:rPr>
          <w:rFonts w:hint="eastAsia" w:ascii="宋体" w:hAnsi="宋体"/>
          <w:b/>
          <w:kern w:val="44"/>
        </w:rPr>
        <w:t>第十九条</w:t>
      </w:r>
      <w:r>
        <w:rPr>
          <w:rFonts w:hint="eastAsia" w:ascii="宋体" w:hAnsi="宋体"/>
          <w:kern w:val="44"/>
        </w:rPr>
        <w:t>　乡联社、村合作社管理委员会负责集体资产的管理工作，主要职责是：</w:t>
      </w:r>
    </w:p>
    <w:p w14:paraId="2CC9ECBC">
      <w:pPr>
        <w:jc w:val="left"/>
        <w:rPr>
          <w:rFonts w:ascii="宋体" w:hAnsi="宋体"/>
          <w:kern w:val="44"/>
        </w:rPr>
      </w:pPr>
      <w:r>
        <w:rPr>
          <w:rFonts w:hint="eastAsia" w:ascii="宋体" w:hAnsi="宋体"/>
          <w:kern w:val="44"/>
        </w:rPr>
        <w:t>（一）组织实施社员大会或者社员代表大会关于集体资产管理的决定，保障集体资产保值增值；</w:t>
      </w:r>
    </w:p>
    <w:p w14:paraId="6BB811AD">
      <w:pPr>
        <w:jc w:val="left"/>
        <w:rPr>
          <w:rFonts w:ascii="宋体" w:hAnsi="宋体"/>
          <w:kern w:val="44"/>
        </w:rPr>
      </w:pPr>
      <w:r>
        <w:rPr>
          <w:rFonts w:hint="eastAsia" w:ascii="宋体" w:hAnsi="宋体"/>
          <w:kern w:val="44"/>
        </w:rPr>
        <w:t>（二）依法制定、执行集体资产管理制度；</w:t>
      </w:r>
    </w:p>
    <w:p w14:paraId="7DBAEEDB">
      <w:pPr>
        <w:jc w:val="left"/>
        <w:rPr>
          <w:rFonts w:ascii="宋体" w:hAnsi="宋体"/>
          <w:kern w:val="44"/>
        </w:rPr>
      </w:pPr>
      <w:r>
        <w:rPr>
          <w:rFonts w:hint="eastAsia" w:ascii="宋体" w:hAnsi="宋体"/>
          <w:kern w:val="44"/>
        </w:rPr>
        <w:t>（三）检查所属经营单位的经营管理工作；</w:t>
      </w:r>
    </w:p>
    <w:p w14:paraId="7DB51CF7">
      <w:pPr>
        <w:jc w:val="left"/>
        <w:rPr>
          <w:rFonts w:ascii="宋体" w:hAnsi="宋体"/>
          <w:kern w:val="44"/>
        </w:rPr>
      </w:pPr>
      <w:r>
        <w:rPr>
          <w:rFonts w:hint="eastAsia" w:ascii="宋体" w:hAnsi="宋体"/>
          <w:kern w:val="44"/>
        </w:rPr>
        <w:t>（四）派员参加联营企业、股份制企业、合资企业董事会；</w:t>
      </w:r>
    </w:p>
    <w:p w14:paraId="6BFC0776">
      <w:pPr>
        <w:jc w:val="left"/>
        <w:rPr>
          <w:rFonts w:ascii="宋体" w:hAnsi="宋体"/>
          <w:kern w:val="44"/>
        </w:rPr>
      </w:pPr>
      <w:r>
        <w:rPr>
          <w:rFonts w:hint="eastAsia" w:ascii="宋体" w:hAnsi="宋体"/>
          <w:kern w:val="44"/>
        </w:rPr>
        <w:t>（五）集体资产管理的日常工作。</w:t>
      </w:r>
    </w:p>
    <w:p w14:paraId="6F26E4B2">
      <w:pPr>
        <w:ind w:firstLine="422"/>
        <w:jc w:val="left"/>
        <w:rPr>
          <w:rFonts w:ascii="宋体" w:hAnsi="宋体"/>
          <w:kern w:val="44"/>
        </w:rPr>
      </w:pPr>
      <w:r>
        <w:rPr>
          <w:rFonts w:hint="eastAsia" w:ascii="宋体" w:hAnsi="宋体"/>
          <w:b/>
          <w:kern w:val="44"/>
        </w:rPr>
        <w:t>第二十条</w:t>
      </w:r>
      <w:r>
        <w:rPr>
          <w:rFonts w:hint="eastAsia" w:ascii="宋体" w:hAnsi="宋体"/>
          <w:kern w:val="44"/>
        </w:rPr>
        <w:t>　农村集体资产实行民主管理，定期公布账目，接受社员监督。</w:t>
      </w:r>
    </w:p>
    <w:p w14:paraId="795FBA42">
      <w:pPr>
        <w:ind w:firstLine="422"/>
        <w:jc w:val="left"/>
        <w:rPr>
          <w:rFonts w:ascii="宋体" w:hAnsi="宋体"/>
          <w:kern w:val="44"/>
        </w:rPr>
      </w:pPr>
      <w:r>
        <w:rPr>
          <w:rFonts w:hint="eastAsia" w:ascii="宋体" w:hAnsi="宋体"/>
          <w:b/>
          <w:kern w:val="44"/>
        </w:rPr>
        <w:t>第二十一条</w:t>
      </w:r>
      <w:r>
        <w:rPr>
          <w:rFonts w:hint="eastAsia" w:ascii="宋体" w:hAnsi="宋体"/>
          <w:kern w:val="44"/>
        </w:rPr>
        <w:t>　下列事项必须经同级社员大会或者社员代表大会讨论通过：</w:t>
      </w:r>
    </w:p>
    <w:p w14:paraId="43DD77AC">
      <w:pPr>
        <w:jc w:val="left"/>
        <w:rPr>
          <w:rFonts w:ascii="宋体" w:hAnsi="宋体"/>
          <w:kern w:val="44"/>
        </w:rPr>
      </w:pPr>
      <w:r>
        <w:rPr>
          <w:rFonts w:hint="eastAsia" w:ascii="宋体" w:hAnsi="宋体"/>
          <w:kern w:val="44"/>
        </w:rPr>
        <w:t>（一）乡联杜、村合作社年度财务预算、决算；</w:t>
      </w:r>
    </w:p>
    <w:p w14:paraId="7AA5ABC9">
      <w:pPr>
        <w:jc w:val="left"/>
        <w:rPr>
          <w:rFonts w:ascii="宋体" w:hAnsi="宋体"/>
          <w:kern w:val="44"/>
        </w:rPr>
      </w:pPr>
      <w:r>
        <w:rPr>
          <w:rFonts w:hint="eastAsia" w:ascii="宋体" w:hAnsi="宋体"/>
          <w:kern w:val="44"/>
        </w:rPr>
        <w:t>（二）集体资产经营方式的确定和重大变更；</w:t>
      </w:r>
    </w:p>
    <w:p w14:paraId="1343C9B0">
      <w:pPr>
        <w:jc w:val="left"/>
        <w:rPr>
          <w:rFonts w:ascii="宋体" w:hAnsi="宋体"/>
          <w:kern w:val="44"/>
        </w:rPr>
      </w:pPr>
      <w:r>
        <w:rPr>
          <w:rFonts w:hint="eastAsia" w:ascii="宋体" w:hAnsi="宋体"/>
          <w:kern w:val="44"/>
        </w:rPr>
        <w:t>（三）重大项目投资；</w:t>
      </w:r>
    </w:p>
    <w:p w14:paraId="18820469">
      <w:pPr>
        <w:jc w:val="left"/>
        <w:rPr>
          <w:rFonts w:ascii="宋体" w:hAnsi="宋体"/>
          <w:kern w:val="44"/>
        </w:rPr>
      </w:pPr>
      <w:r>
        <w:rPr>
          <w:rFonts w:hint="eastAsia" w:ascii="宋体" w:hAnsi="宋体"/>
          <w:kern w:val="44"/>
        </w:rPr>
        <w:t>（四）年度收益分配方案；</w:t>
      </w:r>
    </w:p>
    <w:p w14:paraId="02B2025E">
      <w:pPr>
        <w:jc w:val="left"/>
        <w:rPr>
          <w:rFonts w:ascii="宋体" w:hAnsi="宋体"/>
          <w:kern w:val="44"/>
        </w:rPr>
      </w:pPr>
      <w:r>
        <w:rPr>
          <w:rFonts w:hint="eastAsia" w:ascii="宋体" w:hAnsi="宋体"/>
          <w:kern w:val="44"/>
        </w:rPr>
        <w:t>（五）主要资产处置和其他重大事项。</w:t>
      </w:r>
    </w:p>
    <w:p w14:paraId="76B9A379">
      <w:pPr>
        <w:ind w:firstLine="422"/>
        <w:jc w:val="left"/>
        <w:rPr>
          <w:rFonts w:ascii="宋体" w:hAnsi="宋体"/>
          <w:kern w:val="44"/>
        </w:rPr>
      </w:pPr>
      <w:r>
        <w:rPr>
          <w:rFonts w:hint="eastAsia" w:ascii="宋体" w:hAnsi="宋体"/>
          <w:b/>
          <w:kern w:val="44"/>
        </w:rPr>
        <w:t>第二十二条</w:t>
      </w:r>
      <w:r>
        <w:rPr>
          <w:rFonts w:hint="eastAsia" w:ascii="宋体" w:hAnsi="宋体"/>
          <w:kern w:val="44"/>
        </w:rPr>
        <w:t>　乡联社、村合作社监察委员会对本社集体资产管理进行监督，重点对财务计划、收益分配方案、专项基金的提取和使用、承包合同和其他经济合同的执行情况进行检查。</w:t>
      </w:r>
    </w:p>
    <w:p w14:paraId="48CB8A41">
      <w:pPr>
        <w:ind w:firstLine="422"/>
        <w:jc w:val="left"/>
        <w:rPr>
          <w:rFonts w:ascii="宋体" w:hAnsi="宋体"/>
          <w:kern w:val="44"/>
        </w:rPr>
      </w:pPr>
      <w:r>
        <w:rPr>
          <w:rFonts w:hint="eastAsia" w:ascii="宋体" w:hAnsi="宋体"/>
          <w:b/>
          <w:kern w:val="44"/>
        </w:rPr>
        <w:t>第二十三条</w:t>
      </w:r>
      <w:r>
        <w:rPr>
          <w:rFonts w:hint="eastAsia" w:ascii="宋体" w:hAnsi="宋体"/>
          <w:kern w:val="44"/>
        </w:rPr>
        <w:t>　乡联社、村合作社要建立健全固定资产登记和保管使用制度。对资产存量、增减变动情况要及时准确如实登记；建立固定资产明细账，定期盘点，做到账实相符。</w:t>
      </w:r>
    </w:p>
    <w:p w14:paraId="4A1F3200">
      <w:pPr>
        <w:ind w:firstLine="422"/>
        <w:jc w:val="left"/>
        <w:rPr>
          <w:rFonts w:ascii="宋体" w:hAnsi="宋体"/>
          <w:kern w:val="44"/>
        </w:rPr>
      </w:pPr>
      <w:r>
        <w:rPr>
          <w:rFonts w:hint="eastAsia" w:ascii="宋体" w:hAnsi="宋体"/>
          <w:b/>
          <w:kern w:val="44"/>
        </w:rPr>
        <w:t>第二十四条</w:t>
      </w:r>
      <w:r>
        <w:rPr>
          <w:rFonts w:hint="eastAsia" w:ascii="宋体" w:hAnsi="宋体"/>
          <w:kern w:val="44"/>
        </w:rPr>
        <w:t>　乡联社、村合作社及其经营单位生产经营的农工副产品、半成品、种子、化肥、农药、燃料、原材料、机械零配件和未列入固定资产的低值易耗品等，应当明确专人保管，建立健全产品物资入库、出库、保管、领用制度。</w:t>
      </w:r>
    </w:p>
    <w:p w14:paraId="47B4429A">
      <w:pPr>
        <w:ind w:firstLine="422"/>
        <w:jc w:val="left"/>
        <w:rPr>
          <w:rFonts w:ascii="宋体" w:hAnsi="宋体"/>
          <w:kern w:val="44"/>
        </w:rPr>
      </w:pPr>
      <w:r>
        <w:rPr>
          <w:rFonts w:hint="eastAsia" w:ascii="宋体" w:hAnsi="宋体"/>
          <w:b/>
          <w:kern w:val="44"/>
        </w:rPr>
        <w:t>第二十五条</w:t>
      </w:r>
      <w:r>
        <w:rPr>
          <w:rFonts w:hint="eastAsia" w:ascii="宋体" w:hAnsi="宋体"/>
          <w:kern w:val="44"/>
        </w:rPr>
        <w:t>　乡联社、村合作社及其经营单位必须严格执行国家财务制度和现金管理制度，建立健全开支审批制度，严格审批手续，保障货币资产的安全完整。</w:t>
      </w:r>
    </w:p>
    <w:p w14:paraId="24E5E780">
      <w:pPr>
        <w:jc w:val="left"/>
        <w:rPr>
          <w:rFonts w:ascii="宋体" w:hAnsi="宋体"/>
          <w:kern w:val="44"/>
        </w:rPr>
      </w:pPr>
      <w:r>
        <w:rPr>
          <w:rFonts w:hint="eastAsia" w:ascii="宋体" w:hAnsi="宋体"/>
          <w:kern w:val="44"/>
        </w:rPr>
        <w:t>会计人员必须及时准确地核算收入、支出和结存，对违反国家财政制度、财务制度规定的收支，不予办理。</w:t>
      </w:r>
    </w:p>
    <w:p w14:paraId="6306EEBF">
      <w:pPr>
        <w:ind w:firstLine="422"/>
        <w:jc w:val="left"/>
        <w:rPr>
          <w:rFonts w:ascii="宋体" w:hAnsi="宋体"/>
          <w:kern w:val="44"/>
        </w:rPr>
      </w:pPr>
      <w:r>
        <w:rPr>
          <w:rFonts w:hint="eastAsia" w:ascii="宋体" w:hAnsi="宋体"/>
          <w:b/>
          <w:kern w:val="44"/>
        </w:rPr>
        <w:t>第二十六条</w:t>
      </w:r>
      <w:r>
        <w:rPr>
          <w:rFonts w:hint="eastAsia" w:ascii="宋体" w:hAnsi="宋体"/>
          <w:kern w:val="44"/>
        </w:rPr>
        <w:t>　乡联社、村合作社年终收益分配，应当结清全年的收入和支出，清理财务和债权、债务，兑现承包合同。</w:t>
      </w:r>
    </w:p>
    <w:p w14:paraId="1146D171">
      <w:pPr>
        <w:ind w:firstLine="422"/>
        <w:jc w:val="left"/>
        <w:rPr>
          <w:rFonts w:ascii="宋体" w:hAnsi="宋体"/>
          <w:kern w:val="44"/>
        </w:rPr>
      </w:pPr>
      <w:r>
        <w:rPr>
          <w:rFonts w:hint="eastAsia" w:ascii="宋体" w:hAnsi="宋体"/>
          <w:b/>
          <w:kern w:val="44"/>
        </w:rPr>
        <w:t>第二十七条</w:t>
      </w:r>
      <w:r>
        <w:rPr>
          <w:rFonts w:hint="eastAsia" w:ascii="宋体" w:hAnsi="宋体"/>
          <w:kern w:val="44"/>
        </w:rPr>
        <w:t>　乡联社、村合作社的土地被国家全部征收、征用、行政建制被撤销的，其集体资产处置办法由市人民政府规定。</w:t>
      </w:r>
    </w:p>
    <w:p w14:paraId="59E9D191">
      <w:pPr>
        <w:ind w:firstLine="422"/>
        <w:jc w:val="left"/>
        <w:rPr>
          <w:rFonts w:ascii="宋体" w:hAnsi="宋体"/>
          <w:kern w:val="44"/>
        </w:rPr>
      </w:pPr>
      <w:r>
        <w:rPr>
          <w:rFonts w:hint="eastAsia" w:ascii="宋体" w:hAnsi="宋体"/>
          <w:b/>
          <w:kern w:val="44"/>
        </w:rPr>
        <w:t>第二十八条</w:t>
      </w:r>
      <w:r>
        <w:rPr>
          <w:rFonts w:hint="eastAsia" w:ascii="宋体" w:hAnsi="宋体"/>
          <w:kern w:val="44"/>
        </w:rPr>
        <w:t>　建立农村集体资产报告制度。乡联社、村合作社应当按照规定填报统计报表，定期向乡（镇）农村合作经济管理部门报告。</w:t>
      </w:r>
    </w:p>
    <w:p w14:paraId="0E1755EA">
      <w:pPr>
        <w:ind w:firstLine="422"/>
        <w:jc w:val="left"/>
        <w:rPr>
          <w:rFonts w:ascii="宋体" w:hAnsi="宋体"/>
          <w:kern w:val="44"/>
        </w:rPr>
      </w:pPr>
      <w:r>
        <w:rPr>
          <w:rFonts w:hint="eastAsia" w:ascii="宋体" w:hAnsi="宋体"/>
          <w:b/>
          <w:kern w:val="44"/>
        </w:rPr>
        <w:t>第二十九条</w:t>
      </w:r>
      <w:r>
        <w:rPr>
          <w:rFonts w:hint="eastAsia" w:ascii="宋体" w:hAnsi="宋体"/>
          <w:kern w:val="44"/>
        </w:rPr>
        <w:t>　乡联社、村合作社及其经营单位主要干部离任、年终收益分配、社员代表大会提出要求或者乡（镇）人民政府认为需要时，应当对集体资产进行审计。</w:t>
      </w:r>
    </w:p>
    <w:p w14:paraId="5B272862">
      <w:pPr>
        <w:jc w:val="left"/>
        <w:rPr>
          <w:rFonts w:ascii="宋体" w:hAnsi="宋体"/>
          <w:kern w:val="44"/>
        </w:rPr>
      </w:pPr>
    </w:p>
    <w:p w14:paraId="66979835">
      <w:pPr>
        <w:ind w:firstLine="0" w:firstLineChars="0"/>
        <w:jc w:val="center"/>
        <w:rPr>
          <w:rFonts w:ascii="宋体" w:hAnsi="宋体"/>
          <w:b/>
          <w:kern w:val="44"/>
          <w:sz w:val="28"/>
        </w:rPr>
      </w:pPr>
      <w:r>
        <w:rPr>
          <w:rFonts w:hint="eastAsia" w:ascii="宋体" w:hAnsi="宋体"/>
          <w:b/>
          <w:kern w:val="44"/>
          <w:sz w:val="28"/>
        </w:rPr>
        <w:t>第五章　法律责任</w:t>
      </w:r>
    </w:p>
    <w:p w14:paraId="3CA6C3C6">
      <w:pPr>
        <w:jc w:val="left"/>
        <w:rPr>
          <w:rFonts w:ascii="宋体" w:hAnsi="宋体"/>
          <w:kern w:val="44"/>
        </w:rPr>
      </w:pPr>
    </w:p>
    <w:p w14:paraId="0931D65F">
      <w:pPr>
        <w:ind w:firstLine="422"/>
        <w:jc w:val="left"/>
        <w:rPr>
          <w:rFonts w:ascii="宋体" w:hAnsi="宋体"/>
          <w:kern w:val="44"/>
        </w:rPr>
      </w:pPr>
      <w:r>
        <w:rPr>
          <w:rFonts w:hint="eastAsia" w:ascii="宋体" w:hAnsi="宋体"/>
          <w:b/>
          <w:kern w:val="44"/>
        </w:rPr>
        <w:t>第三十条</w:t>
      </w:r>
      <w:r>
        <w:rPr>
          <w:rFonts w:hint="eastAsia" w:ascii="宋体" w:hAnsi="宋体"/>
          <w:kern w:val="44"/>
        </w:rPr>
        <w:t>　违反本条例规定侵占集体资产的，应当返还财产，不能返还财产的，应当折价赔偿。</w:t>
      </w:r>
    </w:p>
    <w:p w14:paraId="5D1C6021">
      <w:pPr>
        <w:jc w:val="left"/>
        <w:rPr>
          <w:rFonts w:ascii="宋体" w:hAnsi="宋体"/>
          <w:kern w:val="44"/>
        </w:rPr>
      </w:pPr>
      <w:r>
        <w:rPr>
          <w:rFonts w:hint="eastAsia" w:ascii="宋体" w:hAnsi="宋体"/>
          <w:kern w:val="44"/>
        </w:rPr>
        <w:t>损坏集体资产的，应当恢复原状或者折价赔偿。</w:t>
      </w:r>
    </w:p>
    <w:p w14:paraId="42B186C4">
      <w:pPr>
        <w:jc w:val="left"/>
        <w:rPr>
          <w:rFonts w:ascii="宋体" w:hAnsi="宋体"/>
          <w:kern w:val="44"/>
        </w:rPr>
      </w:pPr>
      <w:r>
        <w:rPr>
          <w:rFonts w:hint="eastAsia" w:ascii="宋体" w:hAnsi="宋体"/>
          <w:kern w:val="44"/>
        </w:rPr>
        <w:t>受害人因此遭受其他重大损失的，侵害人并应当赔偿损失。</w:t>
      </w:r>
    </w:p>
    <w:p w14:paraId="4972A6E4">
      <w:pPr>
        <w:ind w:firstLine="422"/>
        <w:jc w:val="left"/>
        <w:rPr>
          <w:rFonts w:ascii="宋体" w:hAnsi="宋体"/>
          <w:kern w:val="44"/>
        </w:rPr>
      </w:pPr>
      <w:r>
        <w:rPr>
          <w:rFonts w:hint="eastAsia" w:ascii="宋体" w:hAnsi="宋体"/>
          <w:b/>
          <w:kern w:val="44"/>
        </w:rPr>
        <w:t>第三十一条</w:t>
      </w:r>
      <w:r>
        <w:rPr>
          <w:rFonts w:hint="eastAsia" w:ascii="宋体" w:hAnsi="宋体"/>
          <w:kern w:val="44"/>
        </w:rPr>
        <w:t>　违反本条例规定，侵犯乡联社、村合作社合法权益，造成集体资产损害的，应当依法赔偿或者承担其他民事责任。</w:t>
      </w:r>
    </w:p>
    <w:p w14:paraId="1640B7CF">
      <w:pPr>
        <w:ind w:firstLine="422"/>
        <w:jc w:val="left"/>
        <w:rPr>
          <w:rFonts w:ascii="宋体" w:hAnsi="宋体"/>
          <w:kern w:val="44"/>
        </w:rPr>
      </w:pPr>
      <w:r>
        <w:rPr>
          <w:rFonts w:hint="eastAsia" w:ascii="宋体" w:hAnsi="宋体"/>
          <w:b/>
          <w:kern w:val="44"/>
        </w:rPr>
        <w:t>第三十二条</w:t>
      </w:r>
      <w:r>
        <w:rPr>
          <w:rFonts w:hint="eastAsia" w:ascii="宋体" w:hAnsi="宋体"/>
          <w:kern w:val="44"/>
        </w:rPr>
        <w:t>　承包经营或者租赁经营农村集体资产，不按规定提取折旧费，或者不按时交纳承包款、租金的，应当依照合同约定或者法律规定承担违约责任。</w:t>
      </w:r>
    </w:p>
    <w:p w14:paraId="769A5E0D">
      <w:pPr>
        <w:ind w:firstLine="422"/>
        <w:jc w:val="left"/>
        <w:rPr>
          <w:rFonts w:ascii="宋体" w:hAnsi="宋体"/>
          <w:kern w:val="44"/>
        </w:rPr>
      </w:pPr>
      <w:r>
        <w:rPr>
          <w:rFonts w:hint="eastAsia" w:ascii="宋体" w:hAnsi="宋体"/>
          <w:b/>
          <w:kern w:val="44"/>
        </w:rPr>
        <w:t>第三十三条</w:t>
      </w:r>
      <w:r>
        <w:rPr>
          <w:rFonts w:hint="eastAsia" w:ascii="宋体" w:hAnsi="宋体"/>
          <w:kern w:val="44"/>
        </w:rPr>
        <w:t>　集体资产管理人员失职，造成集体资产损失、损坏的，由乡联社、村合作社追究责任。</w:t>
      </w:r>
    </w:p>
    <w:p w14:paraId="07EA92FD">
      <w:pPr>
        <w:ind w:firstLine="422"/>
        <w:jc w:val="left"/>
        <w:rPr>
          <w:rFonts w:ascii="宋体" w:hAnsi="宋体"/>
          <w:kern w:val="44"/>
        </w:rPr>
      </w:pPr>
      <w:r>
        <w:rPr>
          <w:rFonts w:hint="eastAsia" w:ascii="宋体" w:hAnsi="宋体"/>
          <w:b/>
          <w:kern w:val="44"/>
        </w:rPr>
        <w:t>第三十四条</w:t>
      </w:r>
      <w:r>
        <w:rPr>
          <w:rFonts w:hint="eastAsia" w:ascii="宋体" w:hAnsi="宋体"/>
          <w:kern w:val="44"/>
        </w:rPr>
        <w:t>　违反本条例规定，依法应当由行政主管部门给予行政处罚的，由行政主管机关依法处理。情节严重构成犯罪的，依法追究刑事责任。</w:t>
      </w:r>
    </w:p>
    <w:p w14:paraId="64DF9A0D">
      <w:pPr>
        <w:ind w:firstLine="422"/>
        <w:jc w:val="left"/>
        <w:rPr>
          <w:rFonts w:ascii="宋体" w:hAnsi="宋体"/>
          <w:kern w:val="44"/>
        </w:rPr>
      </w:pPr>
      <w:r>
        <w:rPr>
          <w:rFonts w:hint="eastAsia" w:ascii="宋体" w:hAnsi="宋体"/>
          <w:b/>
          <w:kern w:val="44"/>
        </w:rPr>
        <w:t>第三十五条</w:t>
      </w:r>
      <w:r>
        <w:rPr>
          <w:rFonts w:hint="eastAsia" w:ascii="宋体" w:hAnsi="宋体"/>
          <w:kern w:val="44"/>
        </w:rPr>
        <w:t>　当事人对承担本章规定的民事责任有争议的，可以向乡（镇）人民政府申请调解。有关承包、租赁经营集体资产引起的民事责任纠纷，可以向县（区）承包合同仲裁委员会申请仲裁，仲裁委员会应当在接到仲裁申请书二个月内作出裁决。当事人对裁决不服的，可以在收到仲裁决定书三十日内向人民法院起诉。当事人也可以直接向人民法院起诉。</w:t>
      </w:r>
    </w:p>
    <w:p w14:paraId="5112C8F0">
      <w:pPr>
        <w:ind w:firstLine="422"/>
        <w:jc w:val="left"/>
        <w:rPr>
          <w:rFonts w:ascii="宋体" w:hAnsi="宋体"/>
          <w:kern w:val="44"/>
        </w:rPr>
      </w:pPr>
      <w:r>
        <w:rPr>
          <w:rFonts w:hint="eastAsia" w:ascii="宋体" w:hAnsi="宋体"/>
          <w:b/>
          <w:kern w:val="44"/>
        </w:rPr>
        <w:t>第三十六条</w:t>
      </w:r>
      <w:r>
        <w:rPr>
          <w:rFonts w:hint="eastAsia" w:ascii="宋体" w:hAnsi="宋体"/>
          <w:kern w:val="44"/>
        </w:rPr>
        <w:t>　仲裁机构的仲裁决定发生法律效力后，一方当事人不履行，他方当事人可以向人民法院申请执行。</w:t>
      </w:r>
    </w:p>
    <w:p w14:paraId="3D5B6037">
      <w:pPr>
        <w:ind w:firstLine="422"/>
        <w:jc w:val="left"/>
        <w:rPr>
          <w:rFonts w:ascii="宋体" w:hAnsi="宋体"/>
          <w:kern w:val="44"/>
        </w:rPr>
      </w:pPr>
      <w:r>
        <w:rPr>
          <w:rFonts w:hint="eastAsia" w:ascii="宋体" w:hAnsi="宋体"/>
          <w:b/>
          <w:kern w:val="44"/>
        </w:rPr>
        <w:t>第三十七条</w:t>
      </w:r>
      <w:r>
        <w:rPr>
          <w:rFonts w:hint="eastAsia" w:ascii="宋体" w:hAnsi="宋体"/>
          <w:kern w:val="44"/>
        </w:rPr>
        <w:t>　市、县（区）农村合作经济管理部门对损害农村集体资产的行为，可以支持受损害的乡联社、村合作社向人民法院起诉。</w:t>
      </w:r>
    </w:p>
    <w:p w14:paraId="11A464B0">
      <w:pPr>
        <w:jc w:val="left"/>
        <w:rPr>
          <w:rFonts w:ascii="宋体" w:hAnsi="宋体"/>
          <w:kern w:val="44"/>
        </w:rPr>
      </w:pPr>
    </w:p>
    <w:p w14:paraId="0FD0F4DD">
      <w:pPr>
        <w:ind w:firstLine="0" w:firstLineChars="0"/>
        <w:jc w:val="center"/>
        <w:rPr>
          <w:rFonts w:ascii="宋体" w:hAnsi="宋体"/>
          <w:b/>
          <w:kern w:val="44"/>
          <w:sz w:val="28"/>
        </w:rPr>
      </w:pPr>
      <w:r>
        <w:rPr>
          <w:rFonts w:hint="eastAsia" w:ascii="宋体" w:hAnsi="宋体"/>
          <w:b/>
          <w:kern w:val="44"/>
          <w:sz w:val="28"/>
        </w:rPr>
        <w:t>第六章　附　则</w:t>
      </w:r>
    </w:p>
    <w:p w14:paraId="4DEE6EBB">
      <w:pPr>
        <w:jc w:val="left"/>
        <w:rPr>
          <w:rFonts w:ascii="宋体" w:hAnsi="宋体"/>
          <w:kern w:val="44"/>
        </w:rPr>
      </w:pPr>
    </w:p>
    <w:p w14:paraId="67E27325">
      <w:pPr>
        <w:ind w:firstLine="422"/>
        <w:jc w:val="left"/>
        <w:rPr>
          <w:rFonts w:ascii="宋体" w:hAnsi="宋体"/>
          <w:kern w:val="44"/>
        </w:rPr>
      </w:pPr>
      <w:r>
        <w:rPr>
          <w:rFonts w:hint="eastAsia" w:ascii="宋体" w:hAnsi="宋体"/>
          <w:b/>
          <w:kern w:val="44"/>
        </w:rPr>
        <w:t>第三十八条</w:t>
      </w:r>
      <w:r>
        <w:rPr>
          <w:rFonts w:hint="eastAsia" w:ascii="宋体" w:hAnsi="宋体"/>
          <w:kern w:val="44"/>
        </w:rPr>
        <w:t>　本条例具体应用中的问题，由市人民政府农村工作主管部门负责解释。</w:t>
      </w:r>
    </w:p>
    <w:p w14:paraId="5351A114">
      <w:pPr>
        <w:ind w:firstLine="422"/>
        <w:jc w:val="left"/>
        <w:rPr>
          <w:rFonts w:ascii="宋体" w:hAnsi="宋体"/>
          <w:kern w:val="44"/>
        </w:rPr>
      </w:pPr>
      <w:r>
        <w:rPr>
          <w:rFonts w:hint="eastAsia" w:ascii="宋体" w:hAnsi="宋体"/>
          <w:b/>
          <w:kern w:val="44"/>
        </w:rPr>
        <w:t>第三十九条</w:t>
      </w:r>
      <w:r>
        <w:rPr>
          <w:rFonts w:hint="eastAsia" w:ascii="宋体" w:hAnsi="宋体"/>
          <w:kern w:val="44"/>
        </w:rPr>
        <w:t>　本条例自1993年7月1日起施行。</w:t>
      </w:r>
    </w:p>
    <w:p w14:paraId="0D953148">
      <w:pPr>
        <w:pStyle w:val="4"/>
        <w:pageBreakBefore/>
        <w:rPr>
          <w:kern w:val="44"/>
        </w:rPr>
      </w:pPr>
      <w:bookmarkStart w:id="1054" w:name="_Toc428780133"/>
      <w:bookmarkStart w:id="1055" w:name="_Toc428781615"/>
      <w:bookmarkStart w:id="1056" w:name="_Toc422471282"/>
      <w:bookmarkStart w:id="1057" w:name="_Toc427651909"/>
      <w:bookmarkStart w:id="1058" w:name="_Toc427651567"/>
      <w:r>
        <w:rPr>
          <w:rFonts w:hint="eastAsia"/>
          <w:kern w:val="44"/>
        </w:rPr>
        <w:t>北京市基本农田保护条例</w:t>
      </w:r>
      <w:bookmarkEnd w:id="1054"/>
      <w:bookmarkEnd w:id="1055"/>
      <w:bookmarkEnd w:id="1056"/>
      <w:bookmarkEnd w:id="1057"/>
      <w:bookmarkEnd w:id="1058"/>
    </w:p>
    <w:p w14:paraId="5B8D25FE">
      <w:pPr>
        <w:ind w:left="630" w:leftChars="300" w:right="630" w:rightChars="300"/>
        <w:jc w:val="left"/>
        <w:rPr>
          <w:rFonts w:ascii="楷体" w:hAnsi="楷体" w:eastAsia="楷体"/>
          <w:kern w:val="44"/>
        </w:rPr>
      </w:pPr>
      <w:r>
        <w:rPr>
          <w:rFonts w:hint="eastAsia" w:ascii="楷体" w:hAnsi="楷体" w:eastAsia="楷体"/>
          <w:kern w:val="44"/>
        </w:rPr>
        <w:t>（1994年5月21日北京市第十届人民代表大会常务委员会第十次会议通过  根据1994年5月21日北京市人民代表大会常务委员公告第17号公布施行）</w:t>
      </w:r>
    </w:p>
    <w:p w14:paraId="4C9C98B8">
      <w:pPr>
        <w:jc w:val="left"/>
        <w:rPr>
          <w:rFonts w:ascii="宋体" w:hAnsi="宋体"/>
          <w:kern w:val="44"/>
        </w:rPr>
      </w:pPr>
    </w:p>
    <w:p w14:paraId="66A8FCCA">
      <w:pPr>
        <w:ind w:firstLine="0" w:firstLineChars="0"/>
        <w:jc w:val="center"/>
        <w:rPr>
          <w:rFonts w:ascii="宋体" w:hAnsi="宋体"/>
          <w:b/>
          <w:kern w:val="44"/>
        </w:rPr>
      </w:pPr>
      <w:r>
        <w:rPr>
          <w:rFonts w:hint="eastAsia" w:ascii="宋体" w:hAnsi="宋体"/>
          <w:b/>
          <w:kern w:val="44"/>
          <w:sz w:val="28"/>
        </w:rPr>
        <w:t>第一章　总　则</w:t>
      </w:r>
    </w:p>
    <w:p w14:paraId="16174B25">
      <w:pPr>
        <w:jc w:val="left"/>
        <w:rPr>
          <w:rFonts w:ascii="宋体" w:hAnsi="宋体"/>
          <w:kern w:val="44"/>
        </w:rPr>
      </w:pPr>
    </w:p>
    <w:p w14:paraId="2623F6D6">
      <w:pPr>
        <w:ind w:firstLine="422"/>
        <w:jc w:val="left"/>
        <w:rPr>
          <w:rFonts w:ascii="宋体" w:hAnsi="宋体"/>
          <w:kern w:val="44"/>
        </w:rPr>
      </w:pPr>
      <w:r>
        <w:rPr>
          <w:rFonts w:hint="eastAsia" w:ascii="宋体" w:hAnsi="宋体"/>
          <w:b/>
          <w:kern w:val="44"/>
        </w:rPr>
        <w:t>第一条</w:t>
      </w:r>
      <w:r>
        <w:rPr>
          <w:rFonts w:hint="eastAsia" w:ascii="宋体" w:hAnsi="宋体"/>
          <w:kern w:val="44"/>
        </w:rPr>
        <w:t>　为切实保护耕地资源，对基本农田实行特殊保护，保障农业持续、稳定发展，根据《中华人民共和国土地管理法》和《中华人民共和国农业法》，结合本市实际情况，制定本条例。</w:t>
      </w:r>
    </w:p>
    <w:p w14:paraId="476DCC3C">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本条例所称基本农田是指依据国民经济和社会发展以及规划人口增长的需求，依法划定、特殊保护、长期稳定的耕地。</w:t>
      </w:r>
    </w:p>
    <w:p w14:paraId="374CF851">
      <w:pPr>
        <w:jc w:val="left"/>
        <w:rPr>
          <w:rFonts w:ascii="宋体" w:hAnsi="宋体"/>
          <w:kern w:val="44"/>
        </w:rPr>
      </w:pPr>
      <w:r>
        <w:rPr>
          <w:rFonts w:hint="eastAsia" w:ascii="宋体" w:hAnsi="宋体"/>
          <w:kern w:val="44"/>
        </w:rPr>
        <w:t>本条例所称耕地是指种植粮食、油料、蔬菜、饲料以及其他农作物的土地。</w:t>
      </w:r>
    </w:p>
    <w:p w14:paraId="26A4792A">
      <w:pPr>
        <w:ind w:firstLine="422"/>
        <w:jc w:val="left"/>
        <w:rPr>
          <w:rFonts w:ascii="宋体" w:hAnsi="宋体"/>
          <w:kern w:val="44"/>
        </w:rPr>
      </w:pPr>
      <w:r>
        <w:rPr>
          <w:rFonts w:hint="eastAsia" w:ascii="宋体" w:hAnsi="宋体"/>
          <w:b/>
          <w:kern w:val="44"/>
        </w:rPr>
        <w:t>第三条</w:t>
      </w:r>
      <w:r>
        <w:rPr>
          <w:rFonts w:hint="eastAsia" w:ascii="宋体" w:hAnsi="宋体"/>
          <w:kern w:val="44"/>
        </w:rPr>
        <w:t>　本条例适用于本市行政区域内基本农田的划定、保护、建设和监督管理。</w:t>
      </w:r>
    </w:p>
    <w:p w14:paraId="16E53482">
      <w:pPr>
        <w:ind w:firstLine="422"/>
        <w:jc w:val="left"/>
        <w:rPr>
          <w:rFonts w:ascii="宋体" w:hAnsi="宋体"/>
          <w:kern w:val="44"/>
        </w:rPr>
      </w:pPr>
      <w:r>
        <w:rPr>
          <w:rFonts w:hint="eastAsia" w:ascii="宋体" w:hAnsi="宋体"/>
          <w:b/>
          <w:kern w:val="44"/>
        </w:rPr>
        <w:t>第四条</w:t>
      </w:r>
      <w:r>
        <w:rPr>
          <w:rFonts w:hint="eastAsia" w:ascii="宋体" w:hAnsi="宋体"/>
          <w:kern w:val="44"/>
        </w:rPr>
        <w:t>　一切单位和个人都有保护基本农田的义务；对侵占、破坏基本农田的行为有检举、控告的权利。</w:t>
      </w:r>
    </w:p>
    <w:p w14:paraId="5A0A3E2B">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市和区、县人民政府应当加强对基本农田保护工作的领导。</w:t>
      </w:r>
    </w:p>
    <w:p w14:paraId="5BCA1439">
      <w:pPr>
        <w:jc w:val="left"/>
        <w:rPr>
          <w:rFonts w:ascii="宋体" w:hAnsi="宋体"/>
          <w:kern w:val="44"/>
        </w:rPr>
      </w:pPr>
      <w:r>
        <w:rPr>
          <w:rFonts w:hint="eastAsia" w:ascii="宋体" w:hAnsi="宋体"/>
          <w:kern w:val="44"/>
        </w:rPr>
        <w:t>市和区、县土地行政主管部门和农业行政主管部门，按照本条例规定的职责，负责本行政区域内基本农田保护的监督管理。</w:t>
      </w:r>
    </w:p>
    <w:p w14:paraId="5FFCFE07">
      <w:pPr>
        <w:jc w:val="left"/>
        <w:rPr>
          <w:rFonts w:ascii="宋体" w:hAnsi="宋体"/>
          <w:kern w:val="44"/>
        </w:rPr>
      </w:pPr>
      <w:r>
        <w:rPr>
          <w:rFonts w:hint="eastAsia" w:ascii="宋体" w:hAnsi="宋体"/>
          <w:kern w:val="44"/>
        </w:rPr>
        <w:t>乡、镇人民政府负责本行政区域内基本农田的保护管理。</w:t>
      </w:r>
    </w:p>
    <w:p w14:paraId="64D49F0D">
      <w:pPr>
        <w:jc w:val="left"/>
        <w:rPr>
          <w:rFonts w:ascii="宋体" w:hAnsi="宋体"/>
          <w:kern w:val="44"/>
        </w:rPr>
      </w:pPr>
    </w:p>
    <w:p w14:paraId="5C7B1F1E">
      <w:pPr>
        <w:ind w:firstLine="0" w:firstLineChars="0"/>
        <w:jc w:val="center"/>
        <w:rPr>
          <w:rFonts w:ascii="宋体" w:hAnsi="宋体"/>
          <w:b/>
          <w:kern w:val="44"/>
          <w:sz w:val="28"/>
        </w:rPr>
      </w:pPr>
      <w:r>
        <w:rPr>
          <w:rFonts w:hint="eastAsia" w:ascii="宋体" w:hAnsi="宋体"/>
          <w:b/>
          <w:kern w:val="44"/>
          <w:sz w:val="28"/>
        </w:rPr>
        <w:t>第二章　基本农田的划定</w:t>
      </w:r>
    </w:p>
    <w:p w14:paraId="3745DC93">
      <w:pPr>
        <w:jc w:val="left"/>
        <w:rPr>
          <w:rFonts w:ascii="宋体" w:hAnsi="宋体"/>
          <w:kern w:val="44"/>
        </w:rPr>
      </w:pPr>
    </w:p>
    <w:p w14:paraId="28764298">
      <w:pPr>
        <w:ind w:firstLine="422"/>
        <w:jc w:val="left"/>
        <w:rPr>
          <w:rFonts w:ascii="宋体" w:hAnsi="宋体"/>
          <w:kern w:val="44"/>
        </w:rPr>
      </w:pPr>
      <w:r>
        <w:rPr>
          <w:rFonts w:hint="eastAsia" w:ascii="宋体" w:hAnsi="宋体"/>
          <w:b/>
          <w:kern w:val="44"/>
        </w:rPr>
        <w:t>第六条</w:t>
      </w:r>
      <w:r>
        <w:rPr>
          <w:rFonts w:hint="eastAsia" w:ascii="宋体" w:hAnsi="宋体"/>
          <w:kern w:val="44"/>
        </w:rPr>
        <w:t>　确定基本农田面积，必须从实际出发，对本市国民经济和社会发展以及人口增长对耕地的需求进行科学预测。</w:t>
      </w:r>
    </w:p>
    <w:p w14:paraId="2DCC6326">
      <w:pPr>
        <w:ind w:firstLine="422"/>
        <w:jc w:val="left"/>
        <w:rPr>
          <w:rFonts w:ascii="宋体" w:hAnsi="宋体"/>
          <w:kern w:val="44"/>
        </w:rPr>
      </w:pPr>
      <w:r>
        <w:rPr>
          <w:rFonts w:hint="eastAsia" w:ascii="宋体" w:hAnsi="宋体"/>
          <w:b/>
          <w:kern w:val="44"/>
        </w:rPr>
        <w:t>第七条</w:t>
      </w:r>
      <w:r>
        <w:rPr>
          <w:rFonts w:hint="eastAsia" w:ascii="宋体" w:hAnsi="宋体"/>
          <w:kern w:val="44"/>
        </w:rPr>
        <w:t>　基本农田划定方案应当根据国务院批准的北京城市总体规划制定，并与区、县域规划、村镇规划相协调。</w:t>
      </w:r>
    </w:p>
    <w:p w14:paraId="2B108F69">
      <w:pPr>
        <w:ind w:firstLine="422"/>
        <w:jc w:val="left"/>
        <w:rPr>
          <w:rFonts w:ascii="宋体" w:hAnsi="宋体"/>
          <w:kern w:val="44"/>
        </w:rPr>
      </w:pPr>
      <w:r>
        <w:rPr>
          <w:rFonts w:hint="eastAsia" w:ascii="宋体" w:hAnsi="宋体"/>
          <w:b/>
          <w:kern w:val="44"/>
        </w:rPr>
        <w:t>第八条</w:t>
      </w:r>
      <w:r>
        <w:rPr>
          <w:rFonts w:hint="eastAsia" w:ascii="宋体" w:hAnsi="宋体"/>
          <w:kern w:val="44"/>
        </w:rPr>
        <w:t>　市人民政府对基本农田面积实行指标控制。全市基本农田划定方案由市土地、农业行政主管部门制定，报市人民政府批准。</w:t>
      </w:r>
    </w:p>
    <w:p w14:paraId="05AC0369">
      <w:pPr>
        <w:jc w:val="left"/>
        <w:rPr>
          <w:rFonts w:ascii="宋体" w:hAnsi="宋体"/>
          <w:kern w:val="44"/>
        </w:rPr>
      </w:pPr>
      <w:r>
        <w:rPr>
          <w:rFonts w:hint="eastAsia" w:ascii="宋体" w:hAnsi="宋体"/>
          <w:kern w:val="44"/>
        </w:rPr>
        <w:t>区、县人民政府根据全市基本农田划定方案，结合当地实际情况，制定具体方案，报市人民政府批准后组织实施。</w:t>
      </w:r>
    </w:p>
    <w:p w14:paraId="597312A5">
      <w:pPr>
        <w:jc w:val="left"/>
        <w:rPr>
          <w:rFonts w:ascii="宋体" w:hAnsi="宋体"/>
          <w:kern w:val="44"/>
        </w:rPr>
      </w:pPr>
      <w:r>
        <w:rPr>
          <w:rFonts w:hint="eastAsia" w:ascii="宋体" w:hAnsi="宋体"/>
          <w:kern w:val="44"/>
        </w:rPr>
        <w:t>任何单位和个人不得擅自改变基本农田划定方案。确需改变的，必须报经原批准机关批准。</w:t>
      </w:r>
    </w:p>
    <w:p w14:paraId="0F425C4B">
      <w:pPr>
        <w:ind w:firstLine="422"/>
        <w:jc w:val="left"/>
        <w:rPr>
          <w:rFonts w:ascii="宋体" w:hAnsi="宋体"/>
          <w:kern w:val="44"/>
        </w:rPr>
      </w:pPr>
      <w:r>
        <w:rPr>
          <w:rFonts w:hint="eastAsia" w:ascii="宋体" w:hAnsi="宋体"/>
          <w:b/>
          <w:kern w:val="44"/>
        </w:rPr>
        <w:t>第九条</w:t>
      </w:r>
      <w:r>
        <w:rPr>
          <w:rFonts w:hint="eastAsia" w:ascii="宋体" w:hAnsi="宋体"/>
          <w:kern w:val="44"/>
        </w:rPr>
        <w:t>　下列耕地应当划入基本农田：</w:t>
      </w:r>
    </w:p>
    <w:p w14:paraId="0B54685C">
      <w:pPr>
        <w:jc w:val="left"/>
        <w:rPr>
          <w:rFonts w:ascii="宋体" w:hAnsi="宋体"/>
          <w:kern w:val="44"/>
        </w:rPr>
      </w:pPr>
      <w:r>
        <w:rPr>
          <w:rFonts w:hint="eastAsia" w:ascii="宋体" w:hAnsi="宋体"/>
          <w:kern w:val="44"/>
        </w:rPr>
        <w:t>（一）国务院主管部门和市人民政府批准确定的粮、油生产基地；</w:t>
      </w:r>
    </w:p>
    <w:p w14:paraId="08DA7E4A">
      <w:pPr>
        <w:jc w:val="left"/>
        <w:rPr>
          <w:rFonts w:ascii="宋体" w:hAnsi="宋体"/>
          <w:kern w:val="44"/>
        </w:rPr>
      </w:pPr>
      <w:r>
        <w:rPr>
          <w:rFonts w:hint="eastAsia" w:ascii="宋体" w:hAnsi="宋体"/>
          <w:kern w:val="44"/>
        </w:rPr>
        <w:t>（二）市人民政府批准确定的蔬菜生产基地；</w:t>
      </w:r>
    </w:p>
    <w:p w14:paraId="31312263">
      <w:pPr>
        <w:jc w:val="left"/>
        <w:rPr>
          <w:rFonts w:ascii="宋体" w:hAnsi="宋体"/>
          <w:kern w:val="44"/>
        </w:rPr>
      </w:pPr>
      <w:r>
        <w:rPr>
          <w:rFonts w:hint="eastAsia" w:ascii="宋体" w:hAnsi="宋体"/>
          <w:kern w:val="44"/>
        </w:rPr>
        <w:t>（三）市人民政府批准建立的种子生产基地；</w:t>
      </w:r>
    </w:p>
    <w:p w14:paraId="07265F54">
      <w:pPr>
        <w:jc w:val="left"/>
        <w:rPr>
          <w:rFonts w:ascii="宋体" w:hAnsi="宋体"/>
          <w:kern w:val="44"/>
        </w:rPr>
      </w:pPr>
      <w:r>
        <w:rPr>
          <w:rFonts w:hint="eastAsia" w:ascii="宋体" w:hAnsi="宋体"/>
          <w:kern w:val="44"/>
        </w:rPr>
        <w:t>（四）本行政区域内高产、稳产、优质农田；</w:t>
      </w:r>
    </w:p>
    <w:p w14:paraId="217CCF4C">
      <w:pPr>
        <w:jc w:val="left"/>
        <w:rPr>
          <w:rFonts w:ascii="宋体" w:hAnsi="宋体"/>
          <w:kern w:val="44"/>
        </w:rPr>
      </w:pPr>
      <w:r>
        <w:rPr>
          <w:rFonts w:hint="eastAsia" w:ascii="宋体" w:hAnsi="宋体"/>
          <w:kern w:val="44"/>
        </w:rPr>
        <w:t>（五）名、特、优、新农产品生产基地；</w:t>
      </w:r>
    </w:p>
    <w:p w14:paraId="3C5DB654">
      <w:pPr>
        <w:jc w:val="left"/>
        <w:rPr>
          <w:rFonts w:ascii="宋体" w:hAnsi="宋体"/>
          <w:kern w:val="44"/>
        </w:rPr>
      </w:pPr>
      <w:r>
        <w:rPr>
          <w:rFonts w:hint="eastAsia" w:ascii="宋体" w:hAnsi="宋体"/>
          <w:kern w:val="44"/>
        </w:rPr>
        <w:t>（六）农业教学、科研试验基地；</w:t>
      </w:r>
    </w:p>
    <w:p w14:paraId="78FA42B4">
      <w:pPr>
        <w:jc w:val="left"/>
        <w:rPr>
          <w:rFonts w:ascii="宋体" w:hAnsi="宋体"/>
          <w:kern w:val="44"/>
        </w:rPr>
      </w:pPr>
      <w:r>
        <w:rPr>
          <w:rFonts w:hint="eastAsia" w:ascii="宋体" w:hAnsi="宋体"/>
          <w:kern w:val="44"/>
        </w:rPr>
        <w:t>（七）市和区、县人民政府认为需要划定的其他耕地。</w:t>
      </w:r>
    </w:p>
    <w:p w14:paraId="551FD7B6">
      <w:pPr>
        <w:ind w:firstLine="422"/>
        <w:jc w:val="left"/>
        <w:rPr>
          <w:rFonts w:ascii="宋体" w:hAnsi="宋体"/>
          <w:kern w:val="44"/>
        </w:rPr>
      </w:pPr>
      <w:r>
        <w:rPr>
          <w:rFonts w:hint="eastAsia" w:ascii="宋体" w:hAnsi="宋体"/>
          <w:b/>
          <w:kern w:val="44"/>
        </w:rPr>
        <w:t>第十条</w:t>
      </w:r>
      <w:r>
        <w:rPr>
          <w:rFonts w:hint="eastAsia" w:ascii="宋体" w:hAnsi="宋体"/>
          <w:kern w:val="44"/>
        </w:rPr>
        <w:t>　基本农田的划定，由乡、镇人民政府负责。划定的基本农田面积不得低于上级人民政府下达的指标，并应当绘图、登记、造册，建立档案。</w:t>
      </w:r>
    </w:p>
    <w:p w14:paraId="3832EFAD">
      <w:pPr>
        <w:jc w:val="left"/>
        <w:rPr>
          <w:rFonts w:ascii="宋体" w:hAnsi="宋体"/>
          <w:kern w:val="44"/>
        </w:rPr>
      </w:pPr>
      <w:r>
        <w:rPr>
          <w:rFonts w:hint="eastAsia" w:ascii="宋体" w:hAnsi="宋体"/>
          <w:kern w:val="44"/>
        </w:rPr>
        <w:t>划定的基本农田，由区、县人民政府批准，并予以公布。</w:t>
      </w:r>
    </w:p>
    <w:p w14:paraId="19B0B1D9">
      <w:pPr>
        <w:jc w:val="left"/>
        <w:rPr>
          <w:rFonts w:ascii="宋体" w:hAnsi="宋体"/>
          <w:kern w:val="44"/>
        </w:rPr>
      </w:pPr>
    </w:p>
    <w:p w14:paraId="053B2E04">
      <w:pPr>
        <w:ind w:firstLine="0" w:firstLineChars="0"/>
        <w:jc w:val="center"/>
        <w:rPr>
          <w:rFonts w:ascii="宋体" w:hAnsi="宋体"/>
          <w:b/>
          <w:kern w:val="44"/>
          <w:sz w:val="28"/>
        </w:rPr>
      </w:pPr>
      <w:r>
        <w:rPr>
          <w:rFonts w:hint="eastAsia" w:ascii="宋体" w:hAnsi="宋体"/>
          <w:b/>
          <w:kern w:val="44"/>
          <w:sz w:val="28"/>
        </w:rPr>
        <w:t>第三章　基本农田的保护和管理</w:t>
      </w:r>
    </w:p>
    <w:p w14:paraId="1C1A0981">
      <w:pPr>
        <w:jc w:val="left"/>
        <w:rPr>
          <w:rFonts w:ascii="宋体" w:hAnsi="宋体"/>
          <w:kern w:val="44"/>
        </w:rPr>
      </w:pPr>
    </w:p>
    <w:p w14:paraId="1B654F65">
      <w:pPr>
        <w:ind w:firstLine="422"/>
        <w:jc w:val="left"/>
        <w:rPr>
          <w:rFonts w:ascii="宋体" w:hAnsi="宋体"/>
          <w:kern w:val="44"/>
        </w:rPr>
      </w:pPr>
      <w:r>
        <w:rPr>
          <w:rFonts w:hint="eastAsia" w:ascii="宋体" w:hAnsi="宋体"/>
          <w:b/>
          <w:kern w:val="44"/>
        </w:rPr>
        <w:t>第十一条</w:t>
      </w:r>
      <w:r>
        <w:rPr>
          <w:rFonts w:hint="eastAsia" w:ascii="宋体" w:hAnsi="宋体"/>
          <w:kern w:val="44"/>
        </w:rPr>
        <w:t>　区、县和乡、镇人民政府要把基本农田的保护工作列入政府目标管理责任制，由上级人民政府监督检查。</w:t>
      </w:r>
    </w:p>
    <w:p w14:paraId="1A412FF6">
      <w:pPr>
        <w:jc w:val="left"/>
        <w:rPr>
          <w:rFonts w:ascii="宋体" w:hAnsi="宋体"/>
          <w:kern w:val="44"/>
        </w:rPr>
      </w:pPr>
      <w:r>
        <w:rPr>
          <w:rFonts w:hint="eastAsia" w:ascii="宋体" w:hAnsi="宋体"/>
          <w:kern w:val="44"/>
        </w:rPr>
        <w:t>土地、农业行政主管部门应当按照各自的职责，对基本农田每年进行一次普查。被检查单位和个人应当如实提供有关情况和资料。</w:t>
      </w:r>
    </w:p>
    <w:p w14:paraId="5E46F567">
      <w:pPr>
        <w:ind w:firstLine="422"/>
        <w:jc w:val="left"/>
        <w:rPr>
          <w:rFonts w:ascii="宋体" w:hAnsi="宋体"/>
          <w:kern w:val="44"/>
        </w:rPr>
      </w:pPr>
      <w:r>
        <w:rPr>
          <w:rFonts w:hint="eastAsia" w:ascii="宋体" w:hAnsi="宋体"/>
          <w:b/>
          <w:kern w:val="44"/>
        </w:rPr>
        <w:t>第十二条</w:t>
      </w:r>
      <w:r>
        <w:rPr>
          <w:rFonts w:hint="eastAsia" w:ascii="宋体" w:hAnsi="宋体"/>
          <w:kern w:val="44"/>
        </w:rPr>
        <w:t>　农村集体经济组织可以根据市场的需求，调整种植结构。但禁止在基本农田内挖鱼塘、种果树；禁止挖沙、取土、烧砖、建坟、采石、采矿、建房等非种植业建设和生产经营活动；禁止倾倒垃圾、渣土等废弃物和排放未经处理的废水。</w:t>
      </w:r>
    </w:p>
    <w:p w14:paraId="0F74E8C4">
      <w:pPr>
        <w:ind w:firstLine="422"/>
        <w:jc w:val="left"/>
        <w:rPr>
          <w:rFonts w:ascii="宋体" w:hAnsi="宋体"/>
          <w:kern w:val="44"/>
        </w:rPr>
      </w:pPr>
      <w:r>
        <w:rPr>
          <w:rFonts w:hint="eastAsia" w:ascii="宋体" w:hAnsi="宋体"/>
          <w:b/>
          <w:kern w:val="44"/>
        </w:rPr>
        <w:t>第十三条</w:t>
      </w:r>
      <w:r>
        <w:rPr>
          <w:rFonts w:hint="eastAsia" w:ascii="宋体" w:hAnsi="宋体"/>
          <w:kern w:val="44"/>
        </w:rPr>
        <w:t>　严格控制征用、占用基本农田。除国务院和市人民政府批准的国家重点工程外，其他建设项目禁止征用、占用基本农田。确需征用、占用的，由农业行政主管部门签署意见后，按照《北京市实施〈中华人民共和国土地管理法办法〉办法》规定的审批权限和程序办理。</w:t>
      </w:r>
    </w:p>
    <w:p w14:paraId="224F0A1F">
      <w:pPr>
        <w:ind w:firstLine="422"/>
        <w:jc w:val="left"/>
        <w:rPr>
          <w:rFonts w:ascii="宋体" w:hAnsi="宋体"/>
          <w:kern w:val="44"/>
        </w:rPr>
      </w:pPr>
      <w:r>
        <w:rPr>
          <w:rFonts w:hint="eastAsia" w:ascii="宋体" w:hAnsi="宋体"/>
          <w:b/>
          <w:kern w:val="44"/>
        </w:rPr>
        <w:t>第十四条</w:t>
      </w:r>
      <w:r>
        <w:rPr>
          <w:rFonts w:hint="eastAsia" w:ascii="宋体" w:hAnsi="宋体"/>
          <w:kern w:val="44"/>
        </w:rPr>
        <w:t>　严禁无权批准征用、占用土地的单位和个人批准征用、占用基本农田；严禁超越批准权限批准征用、占用基本农田。非法批准的文件无效，所占用的土地按非法占地处理。</w:t>
      </w:r>
    </w:p>
    <w:p w14:paraId="29CE4DF9">
      <w:pPr>
        <w:ind w:firstLine="422"/>
        <w:jc w:val="left"/>
        <w:rPr>
          <w:rFonts w:ascii="宋体" w:hAnsi="宋体"/>
          <w:kern w:val="44"/>
        </w:rPr>
      </w:pPr>
      <w:r>
        <w:rPr>
          <w:rFonts w:hint="eastAsia" w:ascii="宋体" w:hAnsi="宋体"/>
          <w:b/>
          <w:kern w:val="44"/>
        </w:rPr>
        <w:t>第十五条</w:t>
      </w:r>
      <w:r>
        <w:rPr>
          <w:rFonts w:hint="eastAsia" w:ascii="宋体" w:hAnsi="宋体"/>
          <w:kern w:val="44"/>
        </w:rPr>
        <w:t>　征用、占用基本农田的单位，必须依法支付征地费。其中土地补偿费和安置补助费按《北京市实施〈中华人民共和国土地管理法〉办法》规定的上限计算。地上附着物和青苗补偿标准，按照市人民政府的规定执行。</w:t>
      </w:r>
    </w:p>
    <w:p w14:paraId="62C46D3C">
      <w:pPr>
        <w:ind w:firstLine="422"/>
        <w:jc w:val="left"/>
        <w:rPr>
          <w:rFonts w:ascii="宋体" w:hAnsi="宋体"/>
          <w:kern w:val="44"/>
        </w:rPr>
      </w:pPr>
      <w:r>
        <w:rPr>
          <w:rFonts w:hint="eastAsia" w:ascii="宋体" w:hAnsi="宋体"/>
          <w:b/>
          <w:kern w:val="44"/>
        </w:rPr>
        <w:t>第十六条</w:t>
      </w:r>
      <w:r>
        <w:rPr>
          <w:rFonts w:hint="eastAsia" w:ascii="宋体" w:hAnsi="宋体"/>
          <w:kern w:val="44"/>
        </w:rPr>
        <w:t>　征用、占用基本农田的单位，除依法缴纳耕地占用税外，还应当缴纳基本农田开发建设基金，用于基本农田的建设和开发。</w:t>
      </w:r>
    </w:p>
    <w:p w14:paraId="31102D7E">
      <w:pPr>
        <w:jc w:val="left"/>
        <w:rPr>
          <w:rFonts w:ascii="宋体" w:hAnsi="宋体"/>
          <w:kern w:val="44"/>
        </w:rPr>
      </w:pPr>
      <w:r>
        <w:rPr>
          <w:rFonts w:hint="eastAsia" w:ascii="宋体" w:hAnsi="宋体"/>
          <w:kern w:val="44"/>
        </w:rPr>
        <w:t>基本农田开发建设基金的征收标准和办法，由市人民政府制定。</w:t>
      </w:r>
    </w:p>
    <w:p w14:paraId="71801425">
      <w:pPr>
        <w:ind w:firstLine="422"/>
        <w:jc w:val="left"/>
        <w:rPr>
          <w:rFonts w:ascii="宋体" w:hAnsi="宋体"/>
          <w:kern w:val="44"/>
        </w:rPr>
      </w:pPr>
      <w:r>
        <w:rPr>
          <w:rFonts w:hint="eastAsia" w:ascii="宋体" w:hAnsi="宋体"/>
          <w:b/>
          <w:kern w:val="44"/>
        </w:rPr>
        <w:t>第十七条</w:t>
      </w:r>
      <w:r>
        <w:rPr>
          <w:rFonts w:hint="eastAsia" w:ascii="宋体" w:hAnsi="宋体"/>
          <w:kern w:val="44"/>
        </w:rPr>
        <w:t>　征用、占用基本农田，实行“占一亩、补一亩”的原则。补建的基本农田，由农业集体经济组织负责建设，费用从基本农田开发建设基金中给予补助。</w:t>
      </w:r>
    </w:p>
    <w:p w14:paraId="2398568F">
      <w:pPr>
        <w:jc w:val="left"/>
        <w:rPr>
          <w:rFonts w:ascii="宋体" w:hAnsi="宋体"/>
          <w:kern w:val="44"/>
        </w:rPr>
      </w:pPr>
      <w:r>
        <w:rPr>
          <w:rFonts w:hint="eastAsia" w:ascii="宋体" w:hAnsi="宋体"/>
          <w:kern w:val="44"/>
        </w:rPr>
        <w:t>补建的基本农田，由土地、农业行政主管部门验收合格后，纳入基本农田管理。</w:t>
      </w:r>
    </w:p>
    <w:p w14:paraId="70373130">
      <w:pPr>
        <w:ind w:firstLine="422"/>
        <w:jc w:val="left"/>
        <w:rPr>
          <w:rFonts w:ascii="宋体" w:hAnsi="宋体"/>
          <w:kern w:val="44"/>
        </w:rPr>
      </w:pPr>
      <w:r>
        <w:rPr>
          <w:rFonts w:hint="eastAsia" w:ascii="宋体" w:hAnsi="宋体"/>
          <w:b/>
          <w:kern w:val="44"/>
        </w:rPr>
        <w:t>第十八条</w:t>
      </w:r>
      <w:r>
        <w:rPr>
          <w:rFonts w:hint="eastAsia" w:ascii="宋体" w:hAnsi="宋体"/>
          <w:kern w:val="44"/>
        </w:rPr>
        <w:t>　严禁荒芜基本农田。对荒芜基本农田的，由农村集体经济组织责令限期改正。凡弃耕一年以上的，征收土地荒芜费。征收标准和办法由市人民政府制定。</w:t>
      </w:r>
    </w:p>
    <w:p w14:paraId="1A3777F8">
      <w:pPr>
        <w:ind w:firstLine="422"/>
        <w:jc w:val="left"/>
        <w:rPr>
          <w:rFonts w:ascii="宋体" w:hAnsi="宋体"/>
          <w:kern w:val="44"/>
        </w:rPr>
      </w:pPr>
      <w:r>
        <w:rPr>
          <w:rFonts w:hint="eastAsia" w:ascii="宋体" w:hAnsi="宋体"/>
          <w:b/>
          <w:kern w:val="44"/>
        </w:rPr>
        <w:t>第十九条</w:t>
      </w:r>
      <w:r>
        <w:rPr>
          <w:rFonts w:hint="eastAsia" w:ascii="宋体" w:hAnsi="宋体"/>
          <w:kern w:val="44"/>
        </w:rPr>
        <w:t>　乡、镇人民政府和区、县土地行政主管部门应当加强对基本农田的监督管理，及时查处违法占用和破坏基本农田的案件，并向上一级人民政府和上一级土地行政主管部门报告。</w:t>
      </w:r>
    </w:p>
    <w:p w14:paraId="7B574384">
      <w:pPr>
        <w:jc w:val="left"/>
        <w:rPr>
          <w:rFonts w:ascii="宋体" w:hAnsi="宋体"/>
          <w:kern w:val="44"/>
        </w:rPr>
      </w:pPr>
    </w:p>
    <w:p w14:paraId="46E166F5">
      <w:pPr>
        <w:ind w:firstLine="0" w:firstLineChars="0"/>
        <w:jc w:val="center"/>
        <w:rPr>
          <w:rFonts w:ascii="宋体" w:hAnsi="宋体"/>
          <w:b/>
          <w:kern w:val="44"/>
          <w:sz w:val="28"/>
        </w:rPr>
      </w:pPr>
      <w:r>
        <w:rPr>
          <w:rFonts w:hint="eastAsia" w:ascii="宋体" w:hAnsi="宋体"/>
          <w:b/>
          <w:kern w:val="44"/>
          <w:sz w:val="28"/>
        </w:rPr>
        <w:t>第四章　基本农田的建设</w:t>
      </w:r>
    </w:p>
    <w:p w14:paraId="6CC13A38">
      <w:pPr>
        <w:jc w:val="left"/>
        <w:rPr>
          <w:rFonts w:ascii="宋体" w:hAnsi="宋体"/>
          <w:kern w:val="44"/>
        </w:rPr>
      </w:pPr>
    </w:p>
    <w:p w14:paraId="380645A5">
      <w:pPr>
        <w:ind w:firstLine="422"/>
        <w:jc w:val="left"/>
        <w:rPr>
          <w:rFonts w:ascii="宋体" w:hAnsi="宋体"/>
          <w:kern w:val="44"/>
        </w:rPr>
      </w:pPr>
      <w:r>
        <w:rPr>
          <w:rFonts w:hint="eastAsia" w:ascii="宋体" w:hAnsi="宋体"/>
          <w:b/>
          <w:kern w:val="44"/>
        </w:rPr>
        <w:t>第二十条</w:t>
      </w:r>
      <w:r>
        <w:rPr>
          <w:rFonts w:hint="eastAsia" w:ascii="宋体" w:hAnsi="宋体"/>
          <w:kern w:val="44"/>
        </w:rPr>
        <w:t>　本市各级人民政府应当制定基本农田建设规划，组织农村集体经济组织进行农田水利、田间道路和农田防护林建设，减少风沙危害，防止水土流失，改良土壤，提高地力，把基本农田建设成为旱涝保收的高产、稳产农田。</w:t>
      </w:r>
    </w:p>
    <w:p w14:paraId="71571D45">
      <w:pPr>
        <w:ind w:firstLine="422"/>
        <w:jc w:val="left"/>
        <w:rPr>
          <w:rFonts w:ascii="宋体" w:hAnsi="宋体"/>
          <w:kern w:val="44"/>
        </w:rPr>
      </w:pPr>
      <w:r>
        <w:rPr>
          <w:rFonts w:hint="eastAsia" w:ascii="宋体" w:hAnsi="宋体"/>
          <w:b/>
          <w:kern w:val="44"/>
        </w:rPr>
        <w:t>第二十一条</w:t>
      </w:r>
      <w:r>
        <w:rPr>
          <w:rFonts w:hint="eastAsia" w:ascii="宋体" w:hAnsi="宋体"/>
          <w:kern w:val="44"/>
        </w:rPr>
        <w:t>　基本农田应当按照土地分级标准分等定级，并实行地力补偿制度。</w:t>
      </w:r>
    </w:p>
    <w:p w14:paraId="766A2AF4">
      <w:pPr>
        <w:jc w:val="left"/>
        <w:rPr>
          <w:rFonts w:ascii="宋体" w:hAnsi="宋体"/>
          <w:kern w:val="44"/>
        </w:rPr>
      </w:pPr>
      <w:r>
        <w:rPr>
          <w:rFonts w:hint="eastAsia" w:ascii="宋体" w:hAnsi="宋体"/>
          <w:kern w:val="44"/>
        </w:rPr>
        <w:t>鼓励基本农田经营者增施有机肥，培肥地力。在承包期间，地力升级的，由集体经济组织给予奖励；地力降级的，由经营者予以赔偿。</w:t>
      </w:r>
    </w:p>
    <w:p w14:paraId="61506094">
      <w:pPr>
        <w:jc w:val="left"/>
        <w:rPr>
          <w:rFonts w:ascii="宋体" w:hAnsi="宋体"/>
          <w:kern w:val="44"/>
        </w:rPr>
      </w:pPr>
      <w:r>
        <w:rPr>
          <w:rFonts w:hint="eastAsia" w:ascii="宋体" w:hAnsi="宋体"/>
          <w:kern w:val="44"/>
        </w:rPr>
        <w:t>基本农田分等定级标准，由市农业行政主管部门制定。</w:t>
      </w:r>
    </w:p>
    <w:p w14:paraId="3E56B505">
      <w:pPr>
        <w:ind w:firstLine="422"/>
        <w:jc w:val="left"/>
        <w:rPr>
          <w:rFonts w:ascii="宋体" w:hAnsi="宋体"/>
          <w:kern w:val="44"/>
        </w:rPr>
      </w:pPr>
      <w:r>
        <w:rPr>
          <w:rFonts w:hint="eastAsia" w:ascii="宋体" w:hAnsi="宋体"/>
          <w:b/>
          <w:kern w:val="44"/>
        </w:rPr>
        <w:t>第二十二条</w:t>
      </w:r>
      <w:r>
        <w:rPr>
          <w:rFonts w:hint="eastAsia" w:ascii="宋体" w:hAnsi="宋体"/>
          <w:kern w:val="44"/>
        </w:rPr>
        <w:t>　市和区、县农业行政主管部门，应当建立基本农田肥力监测网点，定期向同级人民政府提交基本农田地力状况和地力保护措施的报告，并为基本农田经营者提供指导服务。</w:t>
      </w:r>
    </w:p>
    <w:p w14:paraId="1C89B8C8">
      <w:pPr>
        <w:ind w:firstLine="422"/>
        <w:jc w:val="left"/>
        <w:rPr>
          <w:rFonts w:ascii="宋体" w:hAnsi="宋体"/>
          <w:kern w:val="44"/>
        </w:rPr>
      </w:pPr>
      <w:r>
        <w:rPr>
          <w:rFonts w:hint="eastAsia" w:ascii="宋体" w:hAnsi="宋体"/>
          <w:b/>
          <w:kern w:val="44"/>
        </w:rPr>
        <w:t>第二十三条</w:t>
      </w:r>
      <w:r>
        <w:rPr>
          <w:rFonts w:hint="eastAsia" w:ascii="宋体" w:hAnsi="宋体"/>
          <w:kern w:val="44"/>
        </w:rPr>
        <w:t>　市和区、县农业行政主管部门，应当会同同级环境保护部门对基本农田环境质量进行监测与评价，并定期向同级人民政府提交基本农田环境质量与发展趋势的报告。</w:t>
      </w:r>
    </w:p>
    <w:p w14:paraId="6D8DB87C">
      <w:pPr>
        <w:jc w:val="left"/>
        <w:rPr>
          <w:rFonts w:ascii="宋体" w:hAnsi="宋体"/>
          <w:kern w:val="44"/>
        </w:rPr>
      </w:pPr>
    </w:p>
    <w:p w14:paraId="16AEF84F">
      <w:pPr>
        <w:ind w:firstLine="0" w:firstLineChars="0"/>
        <w:jc w:val="center"/>
        <w:rPr>
          <w:rFonts w:ascii="宋体" w:hAnsi="宋体"/>
          <w:b/>
          <w:kern w:val="44"/>
          <w:sz w:val="28"/>
        </w:rPr>
      </w:pPr>
      <w:r>
        <w:rPr>
          <w:rFonts w:hint="eastAsia" w:ascii="宋体" w:hAnsi="宋体"/>
          <w:b/>
          <w:kern w:val="44"/>
          <w:sz w:val="28"/>
        </w:rPr>
        <w:t>第五章　法律责任</w:t>
      </w:r>
    </w:p>
    <w:p w14:paraId="25049C7D">
      <w:pPr>
        <w:jc w:val="left"/>
        <w:rPr>
          <w:rFonts w:ascii="宋体" w:hAnsi="宋体"/>
          <w:kern w:val="44"/>
        </w:rPr>
      </w:pPr>
    </w:p>
    <w:p w14:paraId="401DF0DC">
      <w:pPr>
        <w:ind w:firstLine="422"/>
        <w:jc w:val="left"/>
        <w:rPr>
          <w:rFonts w:ascii="宋体" w:hAnsi="宋体"/>
          <w:kern w:val="44"/>
        </w:rPr>
      </w:pPr>
      <w:r>
        <w:rPr>
          <w:rFonts w:hint="eastAsia" w:ascii="宋体" w:hAnsi="宋体"/>
          <w:b/>
          <w:kern w:val="44"/>
        </w:rPr>
        <w:t>第二十四条</w:t>
      </w:r>
      <w:r>
        <w:rPr>
          <w:rFonts w:hint="eastAsia" w:ascii="宋体" w:hAnsi="宋体"/>
          <w:kern w:val="44"/>
        </w:rPr>
        <w:t>　违反本条例规定非法占用、破坏基本农田的，按《中华人民共和国土地管理法》和《北京市实施〈中华人民共和国土地管理法〉办法》的规定，由土地行政主管部门责令退还非法占用的土地，限期拆在非法占用的土地上新建的建筑物和其他设施，恢复地貌并处以罚款。</w:t>
      </w:r>
    </w:p>
    <w:p w14:paraId="606CF6D0">
      <w:pPr>
        <w:ind w:firstLine="422"/>
        <w:jc w:val="left"/>
        <w:rPr>
          <w:rFonts w:ascii="宋体" w:hAnsi="宋体"/>
          <w:kern w:val="44"/>
        </w:rPr>
      </w:pPr>
      <w:r>
        <w:rPr>
          <w:rFonts w:hint="eastAsia" w:ascii="宋体" w:hAnsi="宋体"/>
          <w:b/>
          <w:kern w:val="44"/>
        </w:rPr>
        <w:t>第二十五条</w:t>
      </w:r>
      <w:r>
        <w:rPr>
          <w:rFonts w:hint="eastAsia" w:ascii="宋体" w:hAnsi="宋体"/>
          <w:kern w:val="44"/>
        </w:rPr>
        <w:t>　对违反本条例规定非法批准占用基本农田的直接责任人，由其所在机关或者上级机关给予行政处分；构成犯罪的，依法追究刑事责任。</w:t>
      </w:r>
    </w:p>
    <w:p w14:paraId="07F1EE4B">
      <w:pPr>
        <w:ind w:firstLine="422"/>
        <w:jc w:val="left"/>
        <w:rPr>
          <w:rFonts w:ascii="宋体" w:hAnsi="宋体"/>
          <w:kern w:val="44"/>
        </w:rPr>
      </w:pPr>
      <w:r>
        <w:rPr>
          <w:rFonts w:hint="eastAsia" w:ascii="宋体" w:hAnsi="宋体"/>
          <w:b/>
          <w:kern w:val="44"/>
        </w:rPr>
        <w:t>第二十六条</w:t>
      </w:r>
      <w:r>
        <w:rPr>
          <w:rFonts w:hint="eastAsia" w:ascii="宋体" w:hAnsi="宋体"/>
          <w:kern w:val="44"/>
        </w:rPr>
        <w:t>　土地、农业行政主管部门工作人员不认真履行职责，玩忽职守，徇私舞弊的，由所在机关或者上级机关给予行政处分；构成犯罪的，依法追究刑事责任。</w:t>
      </w:r>
    </w:p>
    <w:p w14:paraId="23FC8F64">
      <w:pPr>
        <w:ind w:firstLine="422"/>
        <w:jc w:val="left"/>
        <w:rPr>
          <w:rFonts w:ascii="宋体" w:hAnsi="宋体"/>
          <w:kern w:val="44"/>
        </w:rPr>
      </w:pPr>
      <w:r>
        <w:rPr>
          <w:rFonts w:hint="eastAsia" w:ascii="宋体" w:hAnsi="宋体"/>
          <w:b/>
          <w:kern w:val="44"/>
        </w:rPr>
        <w:t>第二十七条</w:t>
      </w:r>
      <w:r>
        <w:rPr>
          <w:rFonts w:hint="eastAsia" w:ascii="宋体" w:hAnsi="宋体"/>
          <w:kern w:val="44"/>
        </w:rPr>
        <w:t>　违反本条例规定，排放污染物质，致使基本农田遭受污染并造成实际经济损失的，依照《中华人民共和国环境保护法》的规定处理。</w:t>
      </w:r>
    </w:p>
    <w:p w14:paraId="1046AD96">
      <w:pPr>
        <w:jc w:val="left"/>
        <w:rPr>
          <w:rFonts w:ascii="宋体" w:hAnsi="宋体"/>
          <w:kern w:val="44"/>
        </w:rPr>
      </w:pPr>
    </w:p>
    <w:p w14:paraId="353C3389">
      <w:pPr>
        <w:ind w:firstLine="0" w:firstLineChars="0"/>
        <w:jc w:val="center"/>
        <w:rPr>
          <w:rFonts w:ascii="宋体" w:hAnsi="宋体"/>
          <w:b/>
          <w:kern w:val="44"/>
          <w:sz w:val="28"/>
        </w:rPr>
      </w:pPr>
      <w:r>
        <w:rPr>
          <w:rFonts w:hint="eastAsia" w:ascii="宋体" w:hAnsi="宋体"/>
          <w:b/>
          <w:kern w:val="44"/>
          <w:sz w:val="28"/>
        </w:rPr>
        <w:t>第六章　附　则</w:t>
      </w:r>
    </w:p>
    <w:p w14:paraId="1A758DB8">
      <w:pPr>
        <w:jc w:val="left"/>
        <w:rPr>
          <w:rFonts w:ascii="宋体" w:hAnsi="宋体"/>
          <w:kern w:val="44"/>
        </w:rPr>
      </w:pPr>
    </w:p>
    <w:p w14:paraId="51292A2C">
      <w:pPr>
        <w:ind w:firstLine="422"/>
        <w:jc w:val="left"/>
        <w:rPr>
          <w:rFonts w:ascii="宋体" w:hAnsi="宋体"/>
          <w:kern w:val="44"/>
        </w:rPr>
      </w:pPr>
      <w:r>
        <w:rPr>
          <w:rFonts w:hint="eastAsia" w:ascii="宋体" w:hAnsi="宋体"/>
          <w:b/>
          <w:kern w:val="44"/>
        </w:rPr>
        <w:t>第二十八条</w:t>
      </w:r>
      <w:r>
        <w:rPr>
          <w:rFonts w:hint="eastAsia" w:ascii="宋体" w:hAnsi="宋体"/>
          <w:kern w:val="44"/>
        </w:rPr>
        <w:t>　本条例未作规定的事项及基本农田以外耕地的保护管理，按照 《中华人民共和国土地管理法》和《北京市实施〈中华人民共和国土地管理法〉办法》执行。</w:t>
      </w:r>
    </w:p>
    <w:p w14:paraId="4508833C">
      <w:pPr>
        <w:ind w:firstLine="422"/>
        <w:jc w:val="left"/>
        <w:rPr>
          <w:rFonts w:ascii="宋体" w:hAnsi="宋体"/>
          <w:kern w:val="44"/>
        </w:rPr>
      </w:pPr>
      <w:r>
        <w:rPr>
          <w:rFonts w:hint="eastAsia" w:ascii="宋体" w:hAnsi="宋体"/>
          <w:b/>
          <w:kern w:val="44"/>
        </w:rPr>
        <w:t>第二十九条</w:t>
      </w:r>
      <w:r>
        <w:rPr>
          <w:rFonts w:hint="eastAsia" w:ascii="宋体" w:hAnsi="宋体"/>
          <w:kern w:val="44"/>
        </w:rPr>
        <w:t>　本条例具体应用中的问题，由市土地行政主管部门会同市农业行政主管部门解释。</w:t>
      </w:r>
    </w:p>
    <w:p w14:paraId="61B29821">
      <w:pPr>
        <w:ind w:firstLine="422"/>
        <w:jc w:val="left"/>
        <w:rPr>
          <w:rFonts w:ascii="宋体" w:hAnsi="宋体"/>
          <w:kern w:val="44"/>
        </w:rPr>
      </w:pPr>
      <w:r>
        <w:rPr>
          <w:rFonts w:hint="eastAsia" w:ascii="宋体" w:hAnsi="宋体"/>
          <w:b/>
          <w:kern w:val="44"/>
        </w:rPr>
        <w:t>第三十条</w:t>
      </w:r>
      <w:r>
        <w:rPr>
          <w:rFonts w:hint="eastAsia" w:ascii="宋体" w:hAnsi="宋体"/>
          <w:kern w:val="44"/>
        </w:rPr>
        <w:t>　本条例自公布之日起施行。</w:t>
      </w:r>
    </w:p>
    <w:p w14:paraId="3104B2D0">
      <w:pPr>
        <w:pStyle w:val="4"/>
        <w:pageBreakBefore/>
        <w:rPr>
          <w:kern w:val="44"/>
        </w:rPr>
      </w:pPr>
      <w:bookmarkStart w:id="1059" w:name="_Toc428781616"/>
      <w:bookmarkStart w:id="1060" w:name="_Toc428780134"/>
      <w:bookmarkStart w:id="1061" w:name="_Toc422471283"/>
      <w:bookmarkStart w:id="1062" w:name="_Toc427651568"/>
      <w:bookmarkStart w:id="1063" w:name="_Toc427651910"/>
      <w:r>
        <w:rPr>
          <w:rFonts w:hint="eastAsia"/>
          <w:kern w:val="44"/>
        </w:rPr>
        <w:t>北京市农民负担管理条例</w:t>
      </w:r>
      <w:bookmarkEnd w:id="1059"/>
      <w:bookmarkEnd w:id="1060"/>
      <w:bookmarkEnd w:id="1061"/>
      <w:bookmarkEnd w:id="1062"/>
      <w:bookmarkEnd w:id="1063"/>
    </w:p>
    <w:p w14:paraId="1193B548">
      <w:pPr>
        <w:ind w:left="630" w:leftChars="300" w:right="630" w:rightChars="300"/>
        <w:jc w:val="left"/>
        <w:rPr>
          <w:rFonts w:ascii="楷体" w:hAnsi="楷体" w:eastAsia="楷体"/>
          <w:kern w:val="44"/>
        </w:rPr>
      </w:pPr>
      <w:r>
        <w:rPr>
          <w:rFonts w:hint="eastAsia" w:ascii="楷体" w:hAnsi="楷体" w:eastAsia="楷体"/>
          <w:kern w:val="44"/>
        </w:rPr>
        <w:t>（1994年5月21日北京市第十届人民代表大会常务委员会第十次会议通过  1994年5月21日北京市人民代表大会常务委员会公告第16号公布  1994年6月1日起施行）</w:t>
      </w:r>
    </w:p>
    <w:p w14:paraId="59805582">
      <w:pPr>
        <w:jc w:val="left"/>
        <w:rPr>
          <w:rFonts w:ascii="宋体" w:hAnsi="宋体"/>
          <w:kern w:val="44"/>
        </w:rPr>
      </w:pPr>
    </w:p>
    <w:p w14:paraId="47B1714A">
      <w:pPr>
        <w:ind w:firstLine="0" w:firstLineChars="0"/>
        <w:jc w:val="center"/>
        <w:rPr>
          <w:rFonts w:ascii="宋体" w:hAnsi="宋体"/>
          <w:b/>
          <w:kern w:val="44"/>
          <w:sz w:val="28"/>
        </w:rPr>
      </w:pPr>
      <w:r>
        <w:rPr>
          <w:rFonts w:hint="eastAsia" w:ascii="宋体" w:hAnsi="宋体"/>
          <w:b/>
          <w:kern w:val="44"/>
          <w:sz w:val="28"/>
        </w:rPr>
        <w:t>第一章　总　则</w:t>
      </w:r>
    </w:p>
    <w:p w14:paraId="585F1B42">
      <w:pPr>
        <w:jc w:val="left"/>
        <w:rPr>
          <w:rFonts w:ascii="宋体" w:hAnsi="宋体"/>
          <w:kern w:val="44"/>
        </w:rPr>
      </w:pPr>
    </w:p>
    <w:p w14:paraId="3D8149B4">
      <w:pPr>
        <w:ind w:firstLine="422"/>
        <w:jc w:val="left"/>
        <w:rPr>
          <w:rFonts w:ascii="宋体" w:hAnsi="宋体"/>
          <w:kern w:val="44"/>
        </w:rPr>
      </w:pPr>
      <w:r>
        <w:rPr>
          <w:rFonts w:hint="eastAsia" w:ascii="宋体" w:hAnsi="宋体"/>
          <w:b/>
          <w:kern w:val="44"/>
        </w:rPr>
        <w:t>第一条</w:t>
      </w:r>
      <w:r>
        <w:rPr>
          <w:rFonts w:hint="eastAsia" w:ascii="宋体" w:hAnsi="宋体"/>
          <w:kern w:val="44"/>
        </w:rPr>
        <w:t>　为减轻农民负担，保护农民的合法权益，调动农民的生产积极性，促进本市农村经济发展，根据《中华人民共和国农业法》、《农民承担费用和劳务管理条例》，结合本市实际情况，制定本条例。</w:t>
      </w:r>
    </w:p>
    <w:p w14:paraId="07737F1C">
      <w:pPr>
        <w:ind w:firstLine="422"/>
        <w:jc w:val="left"/>
        <w:rPr>
          <w:rFonts w:ascii="宋体" w:hAnsi="宋体"/>
          <w:kern w:val="44"/>
        </w:rPr>
      </w:pPr>
      <w:r>
        <w:rPr>
          <w:rFonts w:hint="eastAsia" w:ascii="宋体" w:hAnsi="宋体"/>
          <w:b/>
          <w:kern w:val="44"/>
        </w:rPr>
        <w:t>第二条</w:t>
      </w:r>
      <w:r>
        <w:rPr>
          <w:rFonts w:hint="eastAsia" w:ascii="宋体" w:hAnsi="宋体"/>
          <w:kern w:val="44"/>
        </w:rPr>
        <w:t>　凡在本市行政区域内向农民或者向农村集体经济组织征收、筹集，提取资金费用，要求提供劳务的，必须遵守本条例。</w:t>
      </w:r>
    </w:p>
    <w:p w14:paraId="1A3A2FAE">
      <w:pPr>
        <w:ind w:firstLine="422"/>
        <w:jc w:val="left"/>
        <w:rPr>
          <w:rFonts w:ascii="宋体" w:hAnsi="宋体"/>
          <w:kern w:val="44"/>
        </w:rPr>
      </w:pPr>
      <w:r>
        <w:rPr>
          <w:rFonts w:hint="eastAsia" w:ascii="宋体" w:hAnsi="宋体"/>
          <w:b/>
          <w:kern w:val="44"/>
        </w:rPr>
        <w:t>第三条</w:t>
      </w:r>
      <w:r>
        <w:rPr>
          <w:rFonts w:hint="eastAsia" w:ascii="宋体" w:hAnsi="宋体"/>
          <w:kern w:val="44"/>
        </w:rPr>
        <w:t>　依照法律、法规向国家缴纳税金，完成国家农产品定购任务，承担村提留、乡（包括镇，下同）统筹费、劳务以及其他依法应当缴纳的费用，是农民的合法负担。承担合法负担是农民应尽的义务，不得拒交和拖欠。</w:t>
      </w:r>
    </w:p>
    <w:p w14:paraId="4CD91856">
      <w:pPr>
        <w:jc w:val="left"/>
        <w:rPr>
          <w:rFonts w:ascii="宋体" w:hAnsi="宋体"/>
          <w:kern w:val="44"/>
        </w:rPr>
      </w:pPr>
      <w:r>
        <w:rPr>
          <w:rFonts w:hint="eastAsia" w:ascii="宋体" w:hAnsi="宋体"/>
          <w:kern w:val="44"/>
        </w:rPr>
        <w:t>除前款规定之外，要求农民无偿提供其他任何财力、物力、劳务的，均为非法行为，农民有权拒绝，有权向人民政府及其有关部门检举和控告或者向人民法院起诉。</w:t>
      </w:r>
    </w:p>
    <w:p w14:paraId="270950FD">
      <w:pPr>
        <w:jc w:val="left"/>
        <w:rPr>
          <w:rFonts w:ascii="宋体" w:hAnsi="宋体"/>
          <w:kern w:val="44"/>
        </w:rPr>
      </w:pPr>
    </w:p>
    <w:p w14:paraId="45E0C470">
      <w:pPr>
        <w:ind w:firstLine="0" w:firstLineChars="0"/>
        <w:jc w:val="center"/>
        <w:rPr>
          <w:rFonts w:ascii="宋体" w:hAnsi="宋体"/>
          <w:b/>
          <w:kern w:val="44"/>
          <w:sz w:val="28"/>
        </w:rPr>
      </w:pPr>
      <w:r>
        <w:rPr>
          <w:rFonts w:hint="eastAsia" w:ascii="宋体" w:hAnsi="宋体"/>
          <w:b/>
          <w:kern w:val="44"/>
          <w:sz w:val="28"/>
        </w:rPr>
        <w:t>第二章　村提留、乡统筹费和劳务</w:t>
      </w:r>
    </w:p>
    <w:p w14:paraId="7AE0D4EB">
      <w:pPr>
        <w:jc w:val="left"/>
        <w:rPr>
          <w:rFonts w:ascii="宋体" w:hAnsi="宋体"/>
          <w:kern w:val="44"/>
        </w:rPr>
      </w:pPr>
    </w:p>
    <w:p w14:paraId="4513E48B">
      <w:pPr>
        <w:ind w:firstLine="422"/>
        <w:jc w:val="left"/>
        <w:rPr>
          <w:rFonts w:ascii="宋体" w:hAnsi="宋体"/>
          <w:kern w:val="44"/>
        </w:rPr>
      </w:pPr>
      <w:r>
        <w:rPr>
          <w:rFonts w:hint="eastAsia" w:ascii="宋体" w:hAnsi="宋体"/>
          <w:b/>
          <w:kern w:val="44"/>
        </w:rPr>
        <w:t>第四条</w:t>
      </w:r>
      <w:r>
        <w:rPr>
          <w:rFonts w:hint="eastAsia" w:ascii="宋体" w:hAnsi="宋体"/>
          <w:kern w:val="44"/>
        </w:rPr>
        <w:t>　农民直接向乡、村集体经济组织缴纳的村提留和乡统筹费总额（不含乡村集体所有制企业缴纳的利润），应当根据当地经济状况确定标准，以乡为单位，以国家统计局批准、农业部制定的农村经济收益分配统计报表和计算方法统计的数字为依据，最高不得超过上年农民人均纯收入的5％，其中乡统筹费不得超过总额的40％。</w:t>
      </w:r>
    </w:p>
    <w:p w14:paraId="3D9F6B7C">
      <w:pPr>
        <w:ind w:firstLine="422"/>
        <w:jc w:val="left"/>
        <w:rPr>
          <w:rFonts w:ascii="宋体" w:hAnsi="宋体"/>
          <w:kern w:val="44"/>
        </w:rPr>
      </w:pPr>
      <w:r>
        <w:rPr>
          <w:rFonts w:hint="eastAsia" w:ascii="宋体" w:hAnsi="宋体"/>
          <w:b/>
          <w:kern w:val="44"/>
        </w:rPr>
        <w:t>第五条</w:t>
      </w:r>
      <w:r>
        <w:rPr>
          <w:rFonts w:hint="eastAsia" w:ascii="宋体" w:hAnsi="宋体"/>
          <w:kern w:val="44"/>
        </w:rPr>
        <w:t>　村提留和乡统筹费主要按农民从事的产业、经济收入承担。</w:t>
      </w:r>
    </w:p>
    <w:p w14:paraId="6872B3F9">
      <w:pPr>
        <w:jc w:val="left"/>
        <w:rPr>
          <w:rFonts w:ascii="宋体" w:hAnsi="宋体"/>
          <w:kern w:val="44"/>
        </w:rPr>
      </w:pPr>
      <w:r>
        <w:rPr>
          <w:rFonts w:hint="eastAsia" w:ascii="宋体" w:hAnsi="宋体"/>
          <w:kern w:val="44"/>
        </w:rPr>
        <w:t>实行家庭联产承包责任制，承包耕地的农民缴纳的承包款即为村提留和乡统筹费。</w:t>
      </w:r>
    </w:p>
    <w:p w14:paraId="70918D6D">
      <w:pPr>
        <w:jc w:val="left"/>
        <w:rPr>
          <w:rFonts w:ascii="宋体" w:hAnsi="宋体"/>
          <w:kern w:val="44"/>
        </w:rPr>
      </w:pPr>
      <w:r>
        <w:rPr>
          <w:rFonts w:hint="eastAsia" w:ascii="宋体" w:hAnsi="宋体"/>
          <w:kern w:val="44"/>
        </w:rPr>
        <w:t>在乡村集体所有制企业从业的本乡、镇农民和承包集体山林、果园、水面，畜牧场等从事种植业、养殖业的劳动力，由集体经济组织按照乡、镇人民政府规定的数额，在上缴利润或者承包款中统一扣留村提留和乡统筹费。</w:t>
      </w:r>
    </w:p>
    <w:p w14:paraId="357C5D93">
      <w:pPr>
        <w:jc w:val="left"/>
        <w:rPr>
          <w:rFonts w:ascii="宋体" w:hAnsi="宋体"/>
          <w:kern w:val="44"/>
        </w:rPr>
      </w:pPr>
      <w:r>
        <w:rPr>
          <w:rFonts w:hint="eastAsia" w:ascii="宋体" w:hAnsi="宋体"/>
          <w:kern w:val="44"/>
        </w:rPr>
        <w:t>个体工商户、私营企业和从事其他劳务的，应当缴纳村提留和乡统筹费，提取比例由区、县人民政府制定，但不计算在本条例第四条规定的限额比例内。</w:t>
      </w:r>
    </w:p>
    <w:p w14:paraId="643BD3E3">
      <w:pPr>
        <w:ind w:firstLine="422"/>
        <w:jc w:val="left"/>
        <w:rPr>
          <w:rFonts w:ascii="宋体" w:hAnsi="宋体"/>
          <w:kern w:val="44"/>
        </w:rPr>
      </w:pPr>
      <w:r>
        <w:rPr>
          <w:rFonts w:hint="eastAsia" w:ascii="宋体" w:hAnsi="宋体"/>
          <w:b/>
          <w:kern w:val="44"/>
        </w:rPr>
        <w:t>第六条</w:t>
      </w:r>
      <w:r>
        <w:rPr>
          <w:rFonts w:hint="eastAsia" w:ascii="宋体" w:hAnsi="宋体"/>
          <w:kern w:val="44"/>
        </w:rPr>
        <w:t>　对于收入水平在本村平均线以下的革命烈军属、伤残军人、失去劳动能力的复员退伍军人和特别困难户，经村社员代表大会讨论评定，可以适当减免村提留。</w:t>
      </w:r>
    </w:p>
    <w:p w14:paraId="501D1239">
      <w:pPr>
        <w:ind w:firstLine="422"/>
        <w:jc w:val="left"/>
        <w:rPr>
          <w:rFonts w:ascii="宋体" w:hAnsi="宋体"/>
          <w:kern w:val="44"/>
        </w:rPr>
      </w:pPr>
      <w:r>
        <w:rPr>
          <w:rFonts w:hint="eastAsia" w:ascii="宋体" w:hAnsi="宋体"/>
          <w:b/>
          <w:kern w:val="44"/>
        </w:rPr>
        <w:t>第七条</w:t>
      </w:r>
      <w:r>
        <w:rPr>
          <w:rFonts w:hint="eastAsia" w:ascii="宋体" w:hAnsi="宋体"/>
          <w:kern w:val="44"/>
        </w:rPr>
        <w:t>　村提留包括公积金、公益金（含村合作医疗经费）、管理费。管理费不得超过村提留的40％，特殊情况需要提高管理费比例的，由乡、镇人民政府批准。</w:t>
      </w:r>
    </w:p>
    <w:p w14:paraId="28E87442">
      <w:pPr>
        <w:jc w:val="left"/>
        <w:rPr>
          <w:rFonts w:ascii="宋体" w:hAnsi="宋体"/>
          <w:kern w:val="44"/>
        </w:rPr>
      </w:pPr>
      <w:r>
        <w:rPr>
          <w:rFonts w:hint="eastAsia" w:ascii="宋体" w:hAnsi="宋体"/>
          <w:kern w:val="44"/>
        </w:rPr>
        <w:t>乡统筹费用于安排乡村两级办学、计划生育、优抚、民兵训练、修建乡村道路等民办公助事业和“五保户”供养。乡村两级办学经费（即农村教育事业费附加）用于本乡、镇范围内乡村两级民办教育事业仍然不足的，可以从乡统筹费中适当追加。</w:t>
      </w:r>
    </w:p>
    <w:p w14:paraId="35366A5A">
      <w:pPr>
        <w:jc w:val="left"/>
        <w:rPr>
          <w:rFonts w:ascii="宋体" w:hAnsi="宋体"/>
          <w:kern w:val="44"/>
        </w:rPr>
      </w:pPr>
      <w:r>
        <w:rPr>
          <w:rFonts w:hint="eastAsia" w:ascii="宋体" w:hAnsi="宋体"/>
          <w:kern w:val="44"/>
        </w:rPr>
        <w:t>任何单位和部门不得在村提留、乡统筹费中另立项目或者扩大范围，不得平调出本村、本乡、镇使用，不得挪作乡、镇财政开支。</w:t>
      </w:r>
    </w:p>
    <w:p w14:paraId="18953EDB">
      <w:pPr>
        <w:ind w:firstLine="422"/>
        <w:jc w:val="left"/>
        <w:rPr>
          <w:rFonts w:ascii="宋体" w:hAnsi="宋体"/>
          <w:kern w:val="44"/>
        </w:rPr>
      </w:pPr>
      <w:r>
        <w:rPr>
          <w:rFonts w:hint="eastAsia" w:ascii="宋体" w:hAnsi="宋体"/>
          <w:b/>
          <w:kern w:val="44"/>
        </w:rPr>
        <w:t>第八条</w:t>
      </w:r>
      <w:r>
        <w:rPr>
          <w:rFonts w:hint="eastAsia" w:ascii="宋体" w:hAnsi="宋体"/>
          <w:kern w:val="44"/>
        </w:rPr>
        <w:t>　村提留和乡统筹费，分别由村和乡、镇实行全年统算统收制度，村提留由村集体经济组织提取和管理，乡统筹费由村集体经济组织收取，交乡、镇农村合作经济管理部门统一管理与核算。</w:t>
      </w:r>
    </w:p>
    <w:p w14:paraId="4E0F95BF">
      <w:pPr>
        <w:ind w:firstLine="422"/>
        <w:jc w:val="left"/>
        <w:rPr>
          <w:rFonts w:ascii="宋体" w:hAnsi="宋体"/>
          <w:kern w:val="44"/>
        </w:rPr>
      </w:pPr>
      <w:r>
        <w:rPr>
          <w:rFonts w:hint="eastAsia" w:ascii="宋体" w:hAnsi="宋体"/>
          <w:b/>
          <w:kern w:val="44"/>
        </w:rPr>
        <w:t>第九条</w:t>
      </w:r>
      <w:r>
        <w:rPr>
          <w:rFonts w:hint="eastAsia" w:ascii="宋体" w:hAnsi="宋体"/>
          <w:kern w:val="44"/>
        </w:rPr>
        <w:t>　村提留和乡统筹费，分别由村集体经济组织和乡、镇人民政府在每年年底作出决算报告，并提出下一年度预算方案，经村社员代表大会或者乡人民代表大会审查通过，并张榜公布，接受群众监督。</w:t>
      </w:r>
    </w:p>
    <w:p w14:paraId="1EAA460E">
      <w:pPr>
        <w:jc w:val="left"/>
        <w:rPr>
          <w:rFonts w:ascii="宋体" w:hAnsi="宋体"/>
          <w:kern w:val="44"/>
        </w:rPr>
      </w:pPr>
      <w:r>
        <w:rPr>
          <w:rFonts w:hint="eastAsia" w:ascii="宋体" w:hAnsi="宋体"/>
          <w:kern w:val="44"/>
        </w:rPr>
        <w:t>村提留预决算应当报乡、镇人民政府备案；乡统筹费预决算应当报区、县农村合作经济管理部门备案。</w:t>
      </w:r>
    </w:p>
    <w:p w14:paraId="7B837EA2">
      <w:pPr>
        <w:ind w:firstLine="422"/>
        <w:jc w:val="left"/>
        <w:rPr>
          <w:rFonts w:ascii="宋体" w:hAnsi="宋体"/>
          <w:kern w:val="44"/>
        </w:rPr>
      </w:pPr>
      <w:r>
        <w:rPr>
          <w:rFonts w:hint="eastAsia" w:ascii="宋体" w:hAnsi="宋体"/>
          <w:b/>
          <w:kern w:val="44"/>
        </w:rPr>
        <w:t>第十条</w:t>
      </w:r>
      <w:r>
        <w:rPr>
          <w:rFonts w:hint="eastAsia" w:ascii="宋体" w:hAnsi="宋体"/>
          <w:kern w:val="44"/>
        </w:rPr>
        <w:t>　村提留、乡统筹费属于该乡、村集体经济组织范围内全体成员所有，不得改变其集体资金的性质和用途。应当严格财务制度，专款专用，当年结余可结转下年使用。</w:t>
      </w:r>
    </w:p>
    <w:p w14:paraId="68F5438C">
      <w:pPr>
        <w:ind w:firstLine="422"/>
        <w:jc w:val="left"/>
        <w:rPr>
          <w:rFonts w:ascii="宋体" w:hAnsi="宋体"/>
          <w:kern w:val="44"/>
        </w:rPr>
      </w:pPr>
      <w:r>
        <w:rPr>
          <w:rFonts w:hint="eastAsia" w:ascii="宋体" w:hAnsi="宋体"/>
          <w:b/>
          <w:kern w:val="44"/>
        </w:rPr>
        <w:t>第十一条</w:t>
      </w:r>
      <w:r>
        <w:rPr>
          <w:rFonts w:hint="eastAsia" w:ascii="宋体" w:hAnsi="宋体"/>
          <w:kern w:val="44"/>
        </w:rPr>
        <w:t>　每个农村劳动力每年承担5至10个农村义务工，主要用于植树造林、防汛、公路建设、修缮校舍等，由乡、镇以上人民政府统一安排用工计划。因抢险救灾，需要增加义务工的，由乡、镇人民政府统筹安排。</w:t>
      </w:r>
    </w:p>
    <w:p w14:paraId="79EF0ED9">
      <w:pPr>
        <w:jc w:val="left"/>
        <w:rPr>
          <w:rFonts w:ascii="宋体" w:hAnsi="宋体"/>
          <w:kern w:val="44"/>
        </w:rPr>
      </w:pPr>
      <w:r>
        <w:rPr>
          <w:rFonts w:hint="eastAsia" w:ascii="宋体" w:hAnsi="宋体"/>
          <w:kern w:val="44"/>
        </w:rPr>
        <w:t>每个农村劳动力每年承担10至20个劳动积累工，主要用于农田水利基本建设和植树造林，用于农田水利基本建设的不得少于75％。需要增加劳动积累工的，由区、县人民政府批准。</w:t>
      </w:r>
    </w:p>
    <w:p w14:paraId="435C633E">
      <w:pPr>
        <w:jc w:val="left"/>
        <w:rPr>
          <w:rFonts w:ascii="宋体" w:hAnsi="宋体"/>
          <w:kern w:val="44"/>
        </w:rPr>
      </w:pPr>
      <w:r>
        <w:rPr>
          <w:rFonts w:hint="eastAsia" w:ascii="宋体" w:hAnsi="宋体"/>
          <w:kern w:val="44"/>
        </w:rPr>
        <w:t>对因病或者伤残不能承担农村义务工、劳动积累工的，经村社员大会或者社员代表大会讨论通过，可以减免。</w:t>
      </w:r>
    </w:p>
    <w:p w14:paraId="00BF12FB">
      <w:pPr>
        <w:ind w:firstLine="422"/>
        <w:jc w:val="left"/>
        <w:rPr>
          <w:rFonts w:ascii="宋体" w:hAnsi="宋体"/>
          <w:kern w:val="44"/>
        </w:rPr>
      </w:pPr>
      <w:r>
        <w:rPr>
          <w:rFonts w:hint="eastAsia" w:ascii="宋体" w:hAnsi="宋体"/>
          <w:b/>
          <w:kern w:val="44"/>
        </w:rPr>
        <w:t>第十二条</w:t>
      </w:r>
      <w:r>
        <w:rPr>
          <w:rFonts w:hint="eastAsia" w:ascii="宋体" w:hAnsi="宋体"/>
          <w:kern w:val="44"/>
        </w:rPr>
        <w:t>　农村义务工和劳动积累工可以出劳，也可以以资代劳。任何单位和个人不得强迫农民以资代劳。</w:t>
      </w:r>
    </w:p>
    <w:p w14:paraId="4637BB37">
      <w:pPr>
        <w:jc w:val="left"/>
        <w:rPr>
          <w:rFonts w:ascii="宋体" w:hAnsi="宋体"/>
          <w:kern w:val="44"/>
        </w:rPr>
      </w:pPr>
    </w:p>
    <w:p w14:paraId="49071F21">
      <w:pPr>
        <w:ind w:firstLine="0" w:firstLineChars="0"/>
        <w:jc w:val="center"/>
        <w:rPr>
          <w:rFonts w:ascii="宋体" w:hAnsi="宋体"/>
          <w:b/>
          <w:kern w:val="44"/>
          <w:sz w:val="28"/>
        </w:rPr>
      </w:pPr>
      <w:r>
        <w:rPr>
          <w:rFonts w:hint="eastAsia" w:ascii="宋体" w:hAnsi="宋体"/>
          <w:b/>
          <w:kern w:val="44"/>
          <w:sz w:val="28"/>
        </w:rPr>
        <w:t>第三章　集资、收费和其他项目</w:t>
      </w:r>
    </w:p>
    <w:p w14:paraId="655B2331">
      <w:pPr>
        <w:jc w:val="left"/>
        <w:rPr>
          <w:rFonts w:ascii="宋体" w:hAnsi="宋体"/>
          <w:kern w:val="44"/>
        </w:rPr>
      </w:pPr>
    </w:p>
    <w:p w14:paraId="386E855D">
      <w:pPr>
        <w:ind w:firstLine="422"/>
        <w:jc w:val="left"/>
        <w:rPr>
          <w:rFonts w:ascii="宋体" w:hAnsi="宋体"/>
          <w:kern w:val="44"/>
        </w:rPr>
      </w:pPr>
      <w:r>
        <w:rPr>
          <w:rFonts w:hint="eastAsia" w:ascii="宋体" w:hAnsi="宋体"/>
          <w:b/>
          <w:kern w:val="44"/>
        </w:rPr>
        <w:t>第十三条</w:t>
      </w:r>
      <w:r>
        <w:rPr>
          <w:rFonts w:hint="eastAsia" w:ascii="宋体" w:hAnsi="宋体"/>
          <w:kern w:val="44"/>
        </w:rPr>
        <w:t>　面向农民和集体经济组织的</w:t>
      </w:r>
      <w:r>
        <w:rPr>
          <w:rFonts w:hint="eastAsia" w:ascii="宋体" w:hAnsi="宋体"/>
          <w:kern w:val="44"/>
          <w:lang w:eastAsia="zh-CN"/>
        </w:rPr>
        <w:t>行政事业性收费</w:t>
      </w:r>
      <w:r>
        <w:rPr>
          <w:rFonts w:hint="eastAsia" w:ascii="宋体" w:hAnsi="宋体"/>
          <w:kern w:val="44"/>
        </w:rPr>
        <w:t>，其项目的设置，标准的制定和调整，按照《北京市</w:t>
      </w:r>
      <w:r>
        <w:rPr>
          <w:rFonts w:hint="eastAsia" w:ascii="宋体" w:hAnsi="宋体"/>
          <w:kern w:val="44"/>
          <w:lang w:eastAsia="zh-CN"/>
        </w:rPr>
        <w:t>行政事业性收费</w:t>
      </w:r>
      <w:r>
        <w:rPr>
          <w:rFonts w:hint="eastAsia" w:ascii="宋体" w:hAnsi="宋体"/>
          <w:kern w:val="44"/>
        </w:rPr>
        <w:t>管理条例》的规定执行。</w:t>
      </w:r>
    </w:p>
    <w:p w14:paraId="0704A605">
      <w:pPr>
        <w:jc w:val="left"/>
        <w:rPr>
          <w:rFonts w:ascii="宋体" w:hAnsi="宋体"/>
          <w:kern w:val="44"/>
        </w:rPr>
      </w:pPr>
      <w:r>
        <w:rPr>
          <w:rFonts w:hint="eastAsia" w:ascii="宋体" w:hAnsi="宋体"/>
          <w:kern w:val="44"/>
        </w:rPr>
        <w:t>收费单位必须持《收费许可证》，并使用市财政部门统一制发或者监制的票据收费。</w:t>
      </w:r>
    </w:p>
    <w:p w14:paraId="53C27C85">
      <w:pPr>
        <w:jc w:val="left"/>
        <w:rPr>
          <w:rFonts w:ascii="宋体" w:hAnsi="宋体"/>
          <w:kern w:val="44"/>
        </w:rPr>
      </w:pPr>
      <w:r>
        <w:rPr>
          <w:rFonts w:hint="eastAsia" w:ascii="宋体" w:hAnsi="宋体"/>
          <w:kern w:val="44"/>
        </w:rPr>
        <w:t>没有《收费许可证》、未持证收费和未使用规定收据收费的，农民和农村集体经济组织有权拒绝。</w:t>
      </w:r>
    </w:p>
    <w:p w14:paraId="2FC107A0">
      <w:pPr>
        <w:ind w:firstLine="422"/>
        <w:jc w:val="left"/>
        <w:rPr>
          <w:rFonts w:ascii="宋体" w:hAnsi="宋体"/>
          <w:kern w:val="44"/>
        </w:rPr>
      </w:pPr>
      <w:r>
        <w:rPr>
          <w:rFonts w:hint="eastAsia" w:ascii="宋体" w:hAnsi="宋体"/>
          <w:b/>
          <w:kern w:val="44"/>
        </w:rPr>
        <w:t>第十四条</w:t>
      </w:r>
      <w:r>
        <w:rPr>
          <w:rFonts w:hint="eastAsia" w:ascii="宋体" w:hAnsi="宋体"/>
          <w:kern w:val="44"/>
        </w:rPr>
        <w:t>　向农民和农村集体经济组织集资必须在法律、法规和国务院有关政策允许的范围内进行，遵循自愿的原则，在集资活动中，坚持适度、出资者受益、资金定向使用。集资项目的设置和范围的确定，须经市人民政府计划主管部门会同财政主管部门、农民负担监督管理部门批准，重要项目须经市人民政府批准。</w:t>
      </w:r>
    </w:p>
    <w:p w14:paraId="0A21141E">
      <w:pPr>
        <w:ind w:firstLine="422"/>
        <w:jc w:val="left"/>
        <w:rPr>
          <w:rFonts w:ascii="宋体" w:hAnsi="宋体"/>
          <w:kern w:val="44"/>
        </w:rPr>
      </w:pPr>
      <w:r>
        <w:rPr>
          <w:rFonts w:hint="eastAsia" w:ascii="宋体" w:hAnsi="宋体"/>
          <w:b/>
          <w:kern w:val="44"/>
        </w:rPr>
        <w:t>第十五条</w:t>
      </w:r>
      <w:r>
        <w:rPr>
          <w:rFonts w:hint="eastAsia" w:ascii="宋体" w:hAnsi="宋体"/>
          <w:kern w:val="44"/>
        </w:rPr>
        <w:t>　在农村建立各种基金，需要报经国务院财政主管部门会同农民负担监督管理部门和有关部门批准。</w:t>
      </w:r>
    </w:p>
    <w:p w14:paraId="41CDCE9B">
      <w:pPr>
        <w:ind w:firstLine="422"/>
        <w:jc w:val="left"/>
        <w:rPr>
          <w:rFonts w:ascii="宋体" w:hAnsi="宋体"/>
          <w:kern w:val="44"/>
        </w:rPr>
      </w:pPr>
      <w:r>
        <w:rPr>
          <w:rFonts w:hint="eastAsia" w:ascii="宋体" w:hAnsi="宋体"/>
          <w:b/>
          <w:kern w:val="44"/>
        </w:rPr>
        <w:t>第十六条</w:t>
      </w:r>
      <w:r>
        <w:rPr>
          <w:rFonts w:hint="eastAsia" w:ascii="宋体" w:hAnsi="宋体"/>
          <w:kern w:val="44"/>
        </w:rPr>
        <w:t>　向农民和集体经济组织发放牌照、证件和簿册，必须依照法律、法规的规定，或者经市人民政府批准。</w:t>
      </w:r>
    </w:p>
    <w:p w14:paraId="0FF56240">
      <w:pPr>
        <w:jc w:val="left"/>
        <w:rPr>
          <w:rFonts w:ascii="宋体" w:hAnsi="宋体"/>
          <w:kern w:val="44"/>
        </w:rPr>
      </w:pPr>
      <w:r>
        <w:rPr>
          <w:rFonts w:hint="eastAsia" w:ascii="宋体" w:hAnsi="宋体"/>
          <w:kern w:val="44"/>
        </w:rPr>
        <w:t>向农民和集体经济组织发放牌照、证件和簿册，只准收取工本费，工本费标准按照有关规定核定。</w:t>
      </w:r>
    </w:p>
    <w:p w14:paraId="3A28E6BE">
      <w:pPr>
        <w:ind w:firstLine="422"/>
        <w:jc w:val="left"/>
        <w:rPr>
          <w:rFonts w:ascii="宋体" w:hAnsi="宋体"/>
          <w:kern w:val="44"/>
        </w:rPr>
      </w:pPr>
      <w:r>
        <w:rPr>
          <w:rFonts w:hint="eastAsia" w:ascii="宋体" w:hAnsi="宋体"/>
          <w:b/>
          <w:kern w:val="44"/>
        </w:rPr>
        <w:t>第十七条</w:t>
      </w:r>
      <w:r>
        <w:rPr>
          <w:rFonts w:hint="eastAsia" w:ascii="宋体" w:hAnsi="宋体"/>
          <w:kern w:val="44"/>
        </w:rPr>
        <w:t>　乡、镇人民政府的各项行政经费开支不得向农民摊派。</w:t>
      </w:r>
    </w:p>
    <w:p w14:paraId="38FD39A4">
      <w:pPr>
        <w:ind w:firstLine="422"/>
        <w:jc w:val="left"/>
        <w:rPr>
          <w:rFonts w:ascii="宋体" w:hAnsi="宋体"/>
          <w:kern w:val="44"/>
        </w:rPr>
      </w:pPr>
      <w:r>
        <w:rPr>
          <w:rFonts w:hint="eastAsia" w:ascii="宋体" w:hAnsi="宋体"/>
          <w:b/>
          <w:kern w:val="44"/>
        </w:rPr>
        <w:t>第十八条</w:t>
      </w:r>
      <w:r>
        <w:rPr>
          <w:rFonts w:hint="eastAsia" w:ascii="宋体" w:hAnsi="宋体"/>
          <w:kern w:val="44"/>
        </w:rPr>
        <w:t>　国家机关工作人员在农村执行公务，所需经费不得向农民或者集体经济组织摊派。</w:t>
      </w:r>
    </w:p>
    <w:p w14:paraId="1A5EF2AF">
      <w:pPr>
        <w:ind w:firstLine="422"/>
        <w:jc w:val="left"/>
        <w:rPr>
          <w:rFonts w:ascii="宋体" w:hAnsi="宋体"/>
          <w:kern w:val="44"/>
        </w:rPr>
      </w:pPr>
      <w:r>
        <w:rPr>
          <w:rFonts w:hint="eastAsia" w:ascii="宋体" w:hAnsi="宋体"/>
          <w:b/>
          <w:kern w:val="44"/>
        </w:rPr>
        <w:t>第十九条</w:t>
      </w:r>
      <w:r>
        <w:rPr>
          <w:rFonts w:hint="eastAsia" w:ascii="宋体" w:hAnsi="宋体"/>
          <w:kern w:val="44"/>
        </w:rPr>
        <w:t>　农业生产资料经营部门，不得截留计划内供应的农业生产资料，并应当严格执行国家价格政策。</w:t>
      </w:r>
    </w:p>
    <w:p w14:paraId="028A0C12">
      <w:pPr>
        <w:ind w:firstLine="422"/>
        <w:jc w:val="left"/>
        <w:rPr>
          <w:rFonts w:ascii="宋体" w:hAnsi="宋体"/>
          <w:kern w:val="44"/>
        </w:rPr>
      </w:pPr>
      <w:r>
        <w:rPr>
          <w:rFonts w:hint="eastAsia" w:ascii="宋体" w:hAnsi="宋体"/>
          <w:b/>
          <w:kern w:val="44"/>
        </w:rPr>
        <w:t>第二十条</w:t>
      </w:r>
      <w:r>
        <w:rPr>
          <w:rFonts w:hint="eastAsia" w:ascii="宋体" w:hAnsi="宋体"/>
          <w:kern w:val="44"/>
        </w:rPr>
        <w:t>　农用水费和电费必须执行国家和本市规定的价格标准。不得擅自提高收费标准，不得随水费、电费加收其他费用。</w:t>
      </w:r>
    </w:p>
    <w:p w14:paraId="0EC77FB6">
      <w:pPr>
        <w:ind w:firstLine="422"/>
        <w:jc w:val="left"/>
        <w:rPr>
          <w:rFonts w:ascii="宋体" w:hAnsi="宋体"/>
          <w:kern w:val="44"/>
        </w:rPr>
      </w:pPr>
      <w:r>
        <w:rPr>
          <w:rFonts w:hint="eastAsia" w:ascii="宋体" w:hAnsi="宋体"/>
          <w:b/>
          <w:kern w:val="44"/>
        </w:rPr>
        <w:t>第二十一条</w:t>
      </w:r>
      <w:r>
        <w:rPr>
          <w:rFonts w:hint="eastAsia" w:ascii="宋体" w:hAnsi="宋体"/>
          <w:kern w:val="44"/>
        </w:rPr>
        <w:t>　禁止强制农民认购有价证券、定购报刊和书籍；禁止强制农民参加保险，法律、法规另有规定的除外；禁止非法对农民罚款和没收财物；禁止强制向农民募捐和摊派；禁止未经市人民政府批准要求农民或者农村集体经济组织出钱、出物、出工的达标升级活动。</w:t>
      </w:r>
    </w:p>
    <w:p w14:paraId="193D60E4">
      <w:pPr>
        <w:ind w:firstLine="422"/>
        <w:jc w:val="left"/>
        <w:rPr>
          <w:rFonts w:ascii="宋体" w:hAnsi="宋体"/>
          <w:kern w:val="44"/>
        </w:rPr>
      </w:pPr>
      <w:r>
        <w:rPr>
          <w:rFonts w:hint="eastAsia" w:ascii="宋体" w:hAnsi="宋体"/>
          <w:b/>
          <w:kern w:val="44"/>
        </w:rPr>
        <w:t>第二十二条</w:t>
      </w:r>
      <w:r>
        <w:rPr>
          <w:rFonts w:hint="eastAsia" w:ascii="宋体" w:hAnsi="宋体"/>
          <w:kern w:val="44"/>
        </w:rPr>
        <w:t>　国家和本市各级人民政府提供给农民的各种贷款、补贴、预购定金、专项投资、农产品收购资金、救灾救济款、扶贫资金、收购农产品的挂钩优惠物资和返还的减免税，任何单位和人不得截留、挪用。有关部门和农民负担监督管理部门应当对上述款项的拨付使用情况进行检查、审计。</w:t>
      </w:r>
    </w:p>
    <w:p w14:paraId="1638C44A">
      <w:pPr>
        <w:ind w:firstLine="422"/>
        <w:jc w:val="left"/>
        <w:rPr>
          <w:rFonts w:ascii="宋体" w:hAnsi="宋体"/>
          <w:kern w:val="44"/>
        </w:rPr>
      </w:pPr>
      <w:r>
        <w:rPr>
          <w:rFonts w:hint="eastAsia" w:ascii="宋体" w:hAnsi="宋体"/>
          <w:b/>
          <w:kern w:val="44"/>
        </w:rPr>
        <w:t>第二十三条</w:t>
      </w:r>
      <w:r>
        <w:rPr>
          <w:rFonts w:hint="eastAsia" w:ascii="宋体" w:hAnsi="宋体"/>
          <w:kern w:val="44"/>
        </w:rPr>
        <w:t>　企业、事业单位或者团体为农民和集体经济组织提供经济、技术、劳务、信息等服务，不得违背自愿原则，收取服务费用应当按照国家有关规定执行，国家没有规定的，由双方协商。</w:t>
      </w:r>
    </w:p>
    <w:p w14:paraId="7A7BB9F1">
      <w:pPr>
        <w:ind w:firstLine="422"/>
        <w:jc w:val="left"/>
        <w:rPr>
          <w:rFonts w:ascii="宋体" w:hAnsi="宋体"/>
          <w:kern w:val="44"/>
        </w:rPr>
      </w:pPr>
      <w:r>
        <w:rPr>
          <w:rFonts w:hint="eastAsia" w:ascii="宋体" w:hAnsi="宋体"/>
          <w:b/>
          <w:kern w:val="44"/>
        </w:rPr>
        <w:t>第二十四条</w:t>
      </w:r>
      <w:r>
        <w:rPr>
          <w:rFonts w:hint="eastAsia" w:ascii="宋体" w:hAnsi="宋体"/>
          <w:kern w:val="44"/>
        </w:rPr>
        <w:t>　农民交售农副产品，收购单位应当及时兑付，不得拖欠。不得为任何部门代扣各种费用，国家另有规定的除外。</w:t>
      </w:r>
    </w:p>
    <w:p w14:paraId="4663AFF5">
      <w:pPr>
        <w:jc w:val="left"/>
        <w:rPr>
          <w:rFonts w:ascii="宋体" w:hAnsi="宋体"/>
          <w:kern w:val="44"/>
        </w:rPr>
      </w:pPr>
      <w:r>
        <w:rPr>
          <w:rFonts w:hint="eastAsia" w:ascii="宋体" w:hAnsi="宋体"/>
          <w:kern w:val="44"/>
        </w:rPr>
        <w:t>收购农副产品，应当严格执行等级标准和相应的价格，不得压级压价，也不得抬级抬价。</w:t>
      </w:r>
    </w:p>
    <w:p w14:paraId="510B7972">
      <w:pPr>
        <w:jc w:val="left"/>
        <w:rPr>
          <w:rFonts w:ascii="宋体" w:hAnsi="宋体"/>
          <w:kern w:val="44"/>
        </w:rPr>
      </w:pPr>
    </w:p>
    <w:p w14:paraId="1B00DB55">
      <w:pPr>
        <w:ind w:firstLine="0" w:firstLineChars="0"/>
        <w:jc w:val="center"/>
        <w:rPr>
          <w:rFonts w:ascii="宋体" w:hAnsi="宋体"/>
          <w:b/>
          <w:kern w:val="44"/>
          <w:sz w:val="28"/>
        </w:rPr>
      </w:pPr>
      <w:r>
        <w:rPr>
          <w:rFonts w:hint="eastAsia" w:ascii="宋体" w:hAnsi="宋体"/>
          <w:b/>
          <w:kern w:val="44"/>
          <w:sz w:val="28"/>
        </w:rPr>
        <w:t>第四章　监督管理</w:t>
      </w:r>
    </w:p>
    <w:p w14:paraId="682B5DF8">
      <w:pPr>
        <w:jc w:val="left"/>
        <w:rPr>
          <w:rFonts w:ascii="宋体" w:hAnsi="宋体"/>
          <w:kern w:val="44"/>
        </w:rPr>
      </w:pPr>
    </w:p>
    <w:p w14:paraId="75E9FAA9">
      <w:pPr>
        <w:ind w:firstLine="422"/>
        <w:jc w:val="left"/>
        <w:rPr>
          <w:rFonts w:ascii="宋体" w:hAnsi="宋体"/>
          <w:kern w:val="44"/>
        </w:rPr>
      </w:pPr>
      <w:r>
        <w:rPr>
          <w:rFonts w:hint="eastAsia" w:ascii="宋体" w:hAnsi="宋体"/>
          <w:b/>
          <w:kern w:val="44"/>
        </w:rPr>
        <w:t>第二十五条</w:t>
      </w:r>
      <w:r>
        <w:rPr>
          <w:rFonts w:hint="eastAsia" w:ascii="宋体" w:hAnsi="宋体"/>
          <w:kern w:val="44"/>
        </w:rPr>
        <w:t>　市、区、县人民政府农林办公室（农委）是本行政区域内的农民负担监督管理部门。</w:t>
      </w:r>
    </w:p>
    <w:p w14:paraId="7B2ADAD6">
      <w:pPr>
        <w:jc w:val="left"/>
        <w:rPr>
          <w:rFonts w:ascii="宋体" w:hAnsi="宋体"/>
          <w:kern w:val="44"/>
        </w:rPr>
      </w:pPr>
      <w:r>
        <w:rPr>
          <w:rFonts w:hint="eastAsia" w:ascii="宋体" w:hAnsi="宋体"/>
          <w:kern w:val="44"/>
        </w:rPr>
        <w:t>乡、镇人民政府负责本乡、镇农民负担监督管理工作。</w:t>
      </w:r>
    </w:p>
    <w:p w14:paraId="661147AB">
      <w:pPr>
        <w:jc w:val="left"/>
        <w:rPr>
          <w:rFonts w:ascii="宋体" w:hAnsi="宋体"/>
          <w:kern w:val="44"/>
        </w:rPr>
      </w:pPr>
      <w:r>
        <w:rPr>
          <w:rFonts w:hint="eastAsia" w:ascii="宋体" w:hAnsi="宋体"/>
          <w:kern w:val="44"/>
        </w:rPr>
        <w:t>日常工作由同级农村合作经济管理部门负责。</w:t>
      </w:r>
    </w:p>
    <w:p w14:paraId="7600A75E">
      <w:pPr>
        <w:ind w:firstLine="422"/>
        <w:jc w:val="left"/>
        <w:rPr>
          <w:rFonts w:ascii="宋体" w:hAnsi="宋体"/>
          <w:kern w:val="44"/>
        </w:rPr>
      </w:pPr>
      <w:r>
        <w:rPr>
          <w:rFonts w:hint="eastAsia" w:ascii="宋体" w:hAnsi="宋体"/>
          <w:b/>
          <w:kern w:val="44"/>
        </w:rPr>
        <w:t>第二十六条</w:t>
      </w:r>
      <w:r>
        <w:rPr>
          <w:rFonts w:hint="eastAsia" w:ascii="宋体" w:hAnsi="宋体"/>
          <w:kern w:val="44"/>
        </w:rPr>
        <w:t>　各级农民负担监督管理部门的主要职责是：</w:t>
      </w:r>
    </w:p>
    <w:p w14:paraId="0D4D63F2">
      <w:pPr>
        <w:jc w:val="left"/>
        <w:rPr>
          <w:rFonts w:ascii="宋体" w:hAnsi="宋体"/>
          <w:kern w:val="44"/>
        </w:rPr>
      </w:pPr>
      <w:r>
        <w:rPr>
          <w:rFonts w:hint="eastAsia" w:ascii="宋体" w:hAnsi="宋体"/>
          <w:kern w:val="44"/>
        </w:rPr>
        <w:t>（一）宣传、贯彻国家有关农民负担管理的法律、法规和政策；</w:t>
      </w:r>
    </w:p>
    <w:p w14:paraId="274AD4E5">
      <w:pPr>
        <w:jc w:val="left"/>
        <w:rPr>
          <w:rFonts w:ascii="宋体" w:hAnsi="宋体"/>
          <w:kern w:val="44"/>
        </w:rPr>
      </w:pPr>
      <w:r>
        <w:rPr>
          <w:rFonts w:hint="eastAsia" w:ascii="宋体" w:hAnsi="宋体"/>
          <w:kern w:val="44"/>
        </w:rPr>
        <w:t>（二）检查有关农民负担管理法律、法规的实施和政策的执行情况；</w:t>
      </w:r>
    </w:p>
    <w:p w14:paraId="1FE9CC90">
      <w:pPr>
        <w:jc w:val="left"/>
        <w:rPr>
          <w:rFonts w:ascii="宋体" w:hAnsi="宋体"/>
          <w:kern w:val="44"/>
        </w:rPr>
      </w:pPr>
      <w:r>
        <w:rPr>
          <w:rFonts w:hint="eastAsia" w:ascii="宋体" w:hAnsi="宋体"/>
          <w:kern w:val="44"/>
        </w:rPr>
        <w:t>（三）按照管理权限审核涉及农民负担的文件；</w:t>
      </w:r>
    </w:p>
    <w:p w14:paraId="479A745C">
      <w:pPr>
        <w:jc w:val="left"/>
        <w:rPr>
          <w:rFonts w:ascii="宋体" w:hAnsi="宋体"/>
          <w:kern w:val="44"/>
        </w:rPr>
      </w:pPr>
      <w:r>
        <w:rPr>
          <w:rFonts w:hint="eastAsia" w:ascii="宋体" w:hAnsi="宋体"/>
          <w:kern w:val="44"/>
        </w:rPr>
        <w:t>（四）监督村提留、乡统筹费和劳务的使用情况；</w:t>
      </w:r>
    </w:p>
    <w:p w14:paraId="5A814F50">
      <w:pPr>
        <w:jc w:val="left"/>
        <w:rPr>
          <w:rFonts w:ascii="宋体" w:hAnsi="宋体"/>
          <w:kern w:val="44"/>
        </w:rPr>
      </w:pPr>
      <w:r>
        <w:rPr>
          <w:rFonts w:hint="eastAsia" w:ascii="宋体" w:hAnsi="宋体"/>
          <w:kern w:val="44"/>
        </w:rPr>
        <w:t>（五）受理有关农民负担的检举和控告，协助有关部门处理涉及农民负担的案件；</w:t>
      </w:r>
    </w:p>
    <w:p w14:paraId="08688164">
      <w:pPr>
        <w:jc w:val="left"/>
        <w:rPr>
          <w:rFonts w:ascii="宋体" w:hAnsi="宋体"/>
          <w:kern w:val="44"/>
        </w:rPr>
      </w:pPr>
      <w:r>
        <w:rPr>
          <w:rFonts w:hint="eastAsia" w:ascii="宋体" w:hAnsi="宋体"/>
          <w:kern w:val="44"/>
        </w:rPr>
        <w:t>（六）培训农民负担监督管理工作人员。</w:t>
      </w:r>
    </w:p>
    <w:p w14:paraId="460D8533">
      <w:pPr>
        <w:ind w:firstLine="422"/>
        <w:jc w:val="left"/>
        <w:rPr>
          <w:rFonts w:ascii="宋体" w:hAnsi="宋体"/>
          <w:kern w:val="44"/>
        </w:rPr>
      </w:pPr>
      <w:r>
        <w:rPr>
          <w:rFonts w:hint="eastAsia" w:ascii="宋体" w:hAnsi="宋体"/>
          <w:b/>
          <w:kern w:val="44"/>
        </w:rPr>
        <w:t>第二十七条</w:t>
      </w:r>
      <w:r>
        <w:rPr>
          <w:rFonts w:hint="eastAsia" w:ascii="宋体" w:hAnsi="宋体"/>
          <w:kern w:val="44"/>
        </w:rPr>
        <w:t>　区、县农民负担监督管理部门应当每年对农民负担情况进行一次监督检查，并向市农民负担监督管理部门报告。</w:t>
      </w:r>
    </w:p>
    <w:p w14:paraId="7F8F9695">
      <w:pPr>
        <w:ind w:firstLine="422"/>
        <w:jc w:val="left"/>
        <w:rPr>
          <w:rFonts w:ascii="宋体" w:hAnsi="宋体"/>
          <w:kern w:val="44"/>
        </w:rPr>
      </w:pPr>
      <w:r>
        <w:rPr>
          <w:rFonts w:hint="eastAsia" w:ascii="宋体" w:hAnsi="宋体"/>
          <w:b/>
          <w:kern w:val="44"/>
        </w:rPr>
        <w:t>第二十八条</w:t>
      </w:r>
      <w:r>
        <w:rPr>
          <w:rFonts w:hint="eastAsia" w:ascii="宋体" w:hAnsi="宋体"/>
          <w:kern w:val="44"/>
        </w:rPr>
        <w:t>　农民负担监督管理部门及其他有关部门应当受理有关农民非法负担的检举和控告。从受理之日起二个月内作出处理决定。</w:t>
      </w:r>
    </w:p>
    <w:p w14:paraId="16E94DED">
      <w:pPr>
        <w:ind w:firstLine="422"/>
        <w:jc w:val="left"/>
        <w:rPr>
          <w:rFonts w:ascii="宋体" w:hAnsi="宋体"/>
          <w:kern w:val="44"/>
        </w:rPr>
      </w:pPr>
      <w:r>
        <w:rPr>
          <w:rFonts w:hint="eastAsia" w:ascii="宋体" w:hAnsi="宋体"/>
          <w:b/>
          <w:kern w:val="44"/>
        </w:rPr>
        <w:t>第二十九条</w:t>
      </w:r>
      <w:r>
        <w:rPr>
          <w:rFonts w:hint="eastAsia" w:ascii="宋体" w:hAnsi="宋体"/>
          <w:kern w:val="44"/>
        </w:rPr>
        <w:t>　区、县人民代表大会常务委员会和乡、镇人民代表大会应当加强对农民负担情况的监督，根据当地情况听取并审议同级人民政府的报告。</w:t>
      </w:r>
    </w:p>
    <w:p w14:paraId="3F4E4EF3">
      <w:pPr>
        <w:jc w:val="left"/>
        <w:rPr>
          <w:rFonts w:ascii="宋体" w:hAnsi="宋体"/>
          <w:kern w:val="44"/>
        </w:rPr>
      </w:pPr>
    </w:p>
    <w:p w14:paraId="26D60793">
      <w:pPr>
        <w:ind w:firstLine="0" w:firstLineChars="0"/>
        <w:jc w:val="center"/>
        <w:rPr>
          <w:rFonts w:ascii="宋体" w:hAnsi="宋体"/>
          <w:b/>
          <w:kern w:val="44"/>
          <w:sz w:val="28"/>
        </w:rPr>
      </w:pPr>
      <w:r>
        <w:rPr>
          <w:rFonts w:hint="eastAsia" w:ascii="宋体" w:hAnsi="宋体"/>
          <w:b/>
          <w:kern w:val="44"/>
          <w:sz w:val="28"/>
        </w:rPr>
        <w:t>第五章　法律责任</w:t>
      </w:r>
    </w:p>
    <w:p w14:paraId="5E971B29">
      <w:pPr>
        <w:jc w:val="left"/>
        <w:rPr>
          <w:rFonts w:ascii="宋体" w:hAnsi="宋体"/>
          <w:kern w:val="44"/>
        </w:rPr>
      </w:pPr>
    </w:p>
    <w:p w14:paraId="6B57B0D4">
      <w:pPr>
        <w:ind w:firstLine="422"/>
        <w:jc w:val="left"/>
        <w:rPr>
          <w:rFonts w:ascii="宋体" w:hAnsi="宋体"/>
          <w:kern w:val="44"/>
        </w:rPr>
      </w:pPr>
      <w:r>
        <w:rPr>
          <w:rFonts w:hint="eastAsia" w:ascii="宋体" w:hAnsi="宋体"/>
          <w:b/>
          <w:kern w:val="44"/>
        </w:rPr>
        <w:t>第三十条</w:t>
      </w:r>
      <w:r>
        <w:rPr>
          <w:rFonts w:hint="eastAsia" w:ascii="宋体" w:hAnsi="宋体"/>
          <w:kern w:val="44"/>
        </w:rPr>
        <w:t>　违反本条例规定设置的收费、集资和基金项目，由农民负担监督管理部门或者有关部门请同级人民政府予以撤销。</w:t>
      </w:r>
    </w:p>
    <w:p w14:paraId="376843F5">
      <w:pPr>
        <w:ind w:firstLine="422"/>
        <w:jc w:val="left"/>
        <w:rPr>
          <w:rFonts w:ascii="宋体" w:hAnsi="宋体"/>
          <w:kern w:val="44"/>
        </w:rPr>
      </w:pPr>
      <w:r>
        <w:rPr>
          <w:rFonts w:hint="eastAsia" w:ascii="宋体" w:hAnsi="宋体"/>
          <w:b/>
          <w:kern w:val="44"/>
        </w:rPr>
        <w:t>第三十一条</w:t>
      </w:r>
      <w:r>
        <w:rPr>
          <w:rFonts w:hint="eastAsia" w:ascii="宋体" w:hAnsi="宋体"/>
          <w:kern w:val="44"/>
        </w:rPr>
        <w:t>　凡违反本条例规定增加农民负担的，由农民负担监督管理部门或者有关部门提请同级人民政府责令停止违法行为，限期如数退还非法收取的款物；造成经济损失的，予以赔偿。</w:t>
      </w:r>
    </w:p>
    <w:p w14:paraId="166AD284">
      <w:pPr>
        <w:ind w:firstLine="422"/>
        <w:jc w:val="left"/>
        <w:rPr>
          <w:rFonts w:ascii="宋体" w:hAnsi="宋体"/>
          <w:kern w:val="44"/>
        </w:rPr>
      </w:pPr>
      <w:r>
        <w:rPr>
          <w:rFonts w:hint="eastAsia" w:ascii="宋体" w:hAnsi="宋体"/>
          <w:b/>
          <w:kern w:val="44"/>
        </w:rPr>
        <w:t>第三十二条</w:t>
      </w:r>
      <w:r>
        <w:rPr>
          <w:rFonts w:hint="eastAsia" w:ascii="宋体" w:hAnsi="宋体"/>
          <w:kern w:val="44"/>
        </w:rPr>
        <w:t>　违反国家法律、法规和本条例规定，非法加重农民负担的，可以由人民政府给予单位负责人和直接责任人员行政处分；因非法加重农民负担而引发恶性案件，致使国家和人民利益遭受重大损失，构成犯罪的，依法追究刑事责任。</w:t>
      </w:r>
    </w:p>
    <w:p w14:paraId="36E02DA9">
      <w:pPr>
        <w:ind w:firstLine="422"/>
        <w:jc w:val="left"/>
        <w:rPr>
          <w:rFonts w:ascii="宋体" w:hAnsi="宋体"/>
          <w:kern w:val="44"/>
        </w:rPr>
      </w:pPr>
      <w:r>
        <w:rPr>
          <w:rFonts w:hint="eastAsia" w:ascii="宋体" w:hAnsi="宋体"/>
          <w:b/>
          <w:kern w:val="44"/>
        </w:rPr>
        <w:t>第三十三条</w:t>
      </w:r>
      <w:r>
        <w:rPr>
          <w:rFonts w:hint="eastAsia" w:ascii="宋体" w:hAnsi="宋体"/>
          <w:kern w:val="44"/>
        </w:rPr>
        <w:t>　对拒绝承担非法负担或者检举、控告非法摊派的当事人进行打击报复的，由上级主管机关依法处理；构成犯罪的，依法追究刑事责任。</w:t>
      </w:r>
    </w:p>
    <w:p w14:paraId="174E9FB2">
      <w:pPr>
        <w:ind w:firstLine="422"/>
        <w:jc w:val="left"/>
        <w:rPr>
          <w:rFonts w:ascii="宋体" w:hAnsi="宋体"/>
          <w:kern w:val="44"/>
        </w:rPr>
      </w:pPr>
      <w:r>
        <w:rPr>
          <w:rFonts w:hint="eastAsia" w:ascii="宋体" w:hAnsi="宋体"/>
          <w:b/>
          <w:kern w:val="44"/>
        </w:rPr>
        <w:t>第三十四条</w:t>
      </w:r>
      <w:r>
        <w:rPr>
          <w:rFonts w:hint="eastAsia" w:ascii="宋体" w:hAnsi="宋体"/>
          <w:kern w:val="44"/>
        </w:rPr>
        <w:t>　农民负担监督管理部门工作人员不认真履行职务，玩忽职守、徇私舞弊的，由所在单位或者有关机关给予行政处分；构成犯罪的，依法追究刑事责任。</w:t>
      </w:r>
    </w:p>
    <w:p w14:paraId="12823406">
      <w:pPr>
        <w:jc w:val="left"/>
        <w:rPr>
          <w:rFonts w:ascii="宋体" w:hAnsi="宋体"/>
          <w:kern w:val="44"/>
        </w:rPr>
      </w:pPr>
    </w:p>
    <w:p w14:paraId="59EAAB96">
      <w:pPr>
        <w:ind w:firstLine="0" w:firstLineChars="0"/>
        <w:jc w:val="center"/>
        <w:rPr>
          <w:rFonts w:ascii="宋体" w:hAnsi="宋体"/>
          <w:b/>
          <w:kern w:val="44"/>
          <w:sz w:val="28"/>
        </w:rPr>
      </w:pPr>
      <w:r>
        <w:rPr>
          <w:rFonts w:hint="eastAsia" w:ascii="宋体" w:hAnsi="宋体"/>
          <w:b/>
          <w:kern w:val="44"/>
          <w:sz w:val="28"/>
        </w:rPr>
        <w:t>第六章　附　则</w:t>
      </w:r>
    </w:p>
    <w:p w14:paraId="0954EEF7">
      <w:pPr>
        <w:jc w:val="left"/>
        <w:rPr>
          <w:rFonts w:ascii="宋体" w:hAnsi="宋体"/>
          <w:kern w:val="44"/>
        </w:rPr>
      </w:pPr>
    </w:p>
    <w:p w14:paraId="66C349A2">
      <w:pPr>
        <w:ind w:firstLine="422"/>
        <w:jc w:val="left"/>
        <w:rPr>
          <w:rFonts w:ascii="宋体" w:hAnsi="宋体"/>
          <w:kern w:val="44"/>
        </w:rPr>
      </w:pPr>
      <w:r>
        <w:rPr>
          <w:rFonts w:hint="eastAsia" w:ascii="宋体" w:hAnsi="宋体"/>
          <w:b/>
          <w:kern w:val="44"/>
        </w:rPr>
        <w:t>第三十五条</w:t>
      </w:r>
      <w:r>
        <w:rPr>
          <w:rFonts w:hint="eastAsia" w:ascii="宋体" w:hAnsi="宋体"/>
          <w:kern w:val="44"/>
        </w:rPr>
        <w:t>　本条例具体应用中的问题，由市人民政府农林办公室负责解释。</w:t>
      </w:r>
    </w:p>
    <w:p w14:paraId="0B11E25F">
      <w:pPr>
        <w:ind w:firstLine="422"/>
        <w:jc w:val="left"/>
        <w:rPr>
          <w:rFonts w:ascii="宋体" w:hAnsi="宋体"/>
          <w:kern w:val="44"/>
        </w:rPr>
      </w:pPr>
      <w:r>
        <w:rPr>
          <w:rFonts w:hint="eastAsia" w:ascii="宋体" w:hAnsi="宋体"/>
          <w:b/>
          <w:kern w:val="44"/>
        </w:rPr>
        <w:t>第三十六条</w:t>
      </w:r>
      <w:r>
        <w:rPr>
          <w:rFonts w:hint="eastAsia" w:ascii="宋体" w:hAnsi="宋体"/>
          <w:kern w:val="44"/>
        </w:rPr>
        <w:t>　本条例自1994年6月1日起施行。</w:t>
      </w:r>
    </w:p>
    <w:p w14:paraId="4EAB07D2">
      <w:pPr>
        <w:pStyle w:val="4"/>
        <w:pageBreakBefore/>
        <w:rPr>
          <w:kern w:val="44"/>
        </w:rPr>
      </w:pPr>
      <w:bookmarkStart w:id="1064" w:name="_Toc422471284"/>
      <w:bookmarkStart w:id="1065" w:name="_Toc427651911"/>
      <w:bookmarkStart w:id="1066" w:name="_Toc428780135"/>
      <w:bookmarkStart w:id="1067" w:name="_Toc428781617"/>
      <w:bookmarkStart w:id="1068" w:name="_Toc427651569"/>
      <w:r>
        <w:rPr>
          <w:rFonts w:hint="eastAsia"/>
          <w:kern w:val="44"/>
        </w:rPr>
        <w:t>北京市农村集体所有</w:t>
      </w:r>
      <w:bookmarkEnd w:id="1064"/>
      <w:bookmarkStart w:id="1069" w:name="_Toc422471285"/>
      <w:r>
        <w:rPr>
          <w:rFonts w:hint="eastAsia"/>
          <w:kern w:val="44"/>
        </w:rPr>
        <w:t>荒山荒滩租赁条例</w:t>
      </w:r>
      <w:bookmarkEnd w:id="1065"/>
      <w:bookmarkEnd w:id="1066"/>
      <w:bookmarkEnd w:id="1067"/>
      <w:bookmarkEnd w:id="1068"/>
      <w:bookmarkEnd w:id="1069"/>
    </w:p>
    <w:p w14:paraId="60A55212">
      <w:pPr>
        <w:ind w:left="630" w:leftChars="300" w:right="630" w:rightChars="300"/>
        <w:jc w:val="left"/>
        <w:rPr>
          <w:rFonts w:ascii="楷体" w:hAnsi="楷体" w:eastAsia="楷体"/>
          <w:kern w:val="44"/>
        </w:rPr>
      </w:pPr>
      <w:r>
        <w:rPr>
          <w:rFonts w:hint="eastAsia" w:ascii="楷体" w:hAnsi="楷体" w:eastAsia="楷体"/>
          <w:kern w:val="44"/>
        </w:rPr>
        <w:t>（1994年9月9日北京市第十届人民代表大会常务委员会第十二次会议通过　根据2010年12月23日北京市第十三届人民代表大会常务委员会第二十二次会议《关于修改部分地方性法规的决定》修正 ）</w:t>
      </w:r>
    </w:p>
    <w:p w14:paraId="16F13E20">
      <w:pPr>
        <w:jc w:val="left"/>
        <w:rPr>
          <w:rFonts w:ascii="宋体" w:hAnsi="宋体"/>
          <w:kern w:val="44"/>
        </w:rPr>
      </w:pPr>
    </w:p>
    <w:p w14:paraId="37790DEF">
      <w:pPr>
        <w:ind w:firstLine="0" w:firstLineChars="0"/>
        <w:jc w:val="center"/>
        <w:rPr>
          <w:rFonts w:ascii="宋体" w:hAnsi="宋体"/>
          <w:b/>
          <w:kern w:val="44"/>
          <w:sz w:val="28"/>
        </w:rPr>
      </w:pPr>
      <w:r>
        <w:rPr>
          <w:rFonts w:hint="eastAsia" w:ascii="宋体" w:hAnsi="宋体"/>
          <w:b/>
          <w:kern w:val="44"/>
          <w:sz w:val="28"/>
        </w:rPr>
        <w:t>第一章　总　则</w:t>
      </w:r>
    </w:p>
    <w:p w14:paraId="74DF76E6">
      <w:pPr>
        <w:jc w:val="left"/>
        <w:rPr>
          <w:rFonts w:ascii="宋体" w:hAnsi="宋体"/>
          <w:kern w:val="44"/>
        </w:rPr>
      </w:pPr>
    </w:p>
    <w:p w14:paraId="17028FCD">
      <w:pPr>
        <w:ind w:firstLine="422"/>
        <w:jc w:val="left"/>
        <w:rPr>
          <w:rFonts w:ascii="宋体" w:hAnsi="宋体"/>
          <w:kern w:val="44"/>
        </w:rPr>
      </w:pPr>
      <w:r>
        <w:rPr>
          <w:rFonts w:hint="eastAsia" w:ascii="宋体" w:hAnsi="宋体"/>
          <w:b/>
          <w:kern w:val="44"/>
        </w:rPr>
        <w:t>第一条</w:t>
      </w:r>
      <w:r>
        <w:rPr>
          <w:rFonts w:hint="eastAsia" w:ascii="宋体" w:hAnsi="宋体"/>
          <w:kern w:val="44"/>
        </w:rPr>
        <w:t>　为加快荒山、荒滩开发利用，促进农村经济发展，保护荒山、荒滩租赁双方当事人的合法权益，根据国家有关法律、法规的规定，制定本条例。</w:t>
      </w:r>
    </w:p>
    <w:p w14:paraId="2E85F110">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本条例适用于本市行政区域内集体所有的荒山、荒滩（以下简称荒山）的租赁开发。</w:t>
      </w:r>
    </w:p>
    <w:p w14:paraId="7B5036E1">
      <w:pPr>
        <w:jc w:val="left"/>
        <w:rPr>
          <w:rFonts w:ascii="宋体" w:hAnsi="宋体"/>
          <w:kern w:val="44"/>
        </w:rPr>
      </w:pPr>
      <w:r>
        <w:rPr>
          <w:rFonts w:hint="eastAsia" w:ascii="宋体" w:hAnsi="宋体"/>
          <w:kern w:val="44"/>
        </w:rPr>
        <w:t>本条例所称的租赁是指在不改变土地所有权的前提下，农村集体经济组织将其集体所有的荒山使用权出租给承租人，用于林果业、种植业、养殖业生产的开发和经营，并由承租人支付租金的行为。</w:t>
      </w:r>
    </w:p>
    <w:p w14:paraId="45C27610">
      <w:pPr>
        <w:jc w:val="left"/>
        <w:rPr>
          <w:rFonts w:ascii="宋体" w:hAnsi="宋体"/>
          <w:kern w:val="44"/>
        </w:rPr>
      </w:pPr>
      <w:r>
        <w:rPr>
          <w:rFonts w:hint="eastAsia" w:ascii="宋体" w:hAnsi="宋体"/>
          <w:kern w:val="44"/>
        </w:rPr>
        <w:t>出租荒山使用权，不包括地下资源、埋藏物和公用农田水利设施。</w:t>
      </w:r>
    </w:p>
    <w:p w14:paraId="3E715B3F">
      <w:pPr>
        <w:ind w:firstLine="422"/>
        <w:jc w:val="left"/>
        <w:rPr>
          <w:rFonts w:ascii="宋体" w:hAnsi="宋体"/>
          <w:kern w:val="44"/>
        </w:rPr>
      </w:pPr>
      <w:r>
        <w:rPr>
          <w:rFonts w:hint="eastAsia" w:ascii="宋体" w:hAnsi="宋体"/>
          <w:b/>
          <w:kern w:val="44"/>
        </w:rPr>
        <w:t>第三条</w:t>
      </w:r>
      <w:r>
        <w:rPr>
          <w:rFonts w:hint="eastAsia" w:ascii="宋体" w:hAnsi="宋体"/>
          <w:kern w:val="44"/>
        </w:rPr>
        <w:t>　租赁双方当事人必须遵守有关法律、法规。</w:t>
      </w:r>
    </w:p>
    <w:p w14:paraId="56A4E4A1">
      <w:pPr>
        <w:ind w:firstLine="422"/>
        <w:jc w:val="left"/>
        <w:rPr>
          <w:rFonts w:ascii="宋体" w:hAnsi="宋体"/>
          <w:kern w:val="44"/>
        </w:rPr>
      </w:pPr>
      <w:r>
        <w:rPr>
          <w:rFonts w:hint="eastAsia" w:ascii="宋体" w:hAnsi="宋体"/>
          <w:b/>
          <w:kern w:val="44"/>
        </w:rPr>
        <w:t>第四条</w:t>
      </w:r>
      <w:r>
        <w:rPr>
          <w:rFonts w:hint="eastAsia" w:ascii="宋体" w:hAnsi="宋体"/>
          <w:kern w:val="44"/>
        </w:rPr>
        <w:t>　荒山租赁必须坚持公开、公正、公平和自愿的原则。</w:t>
      </w:r>
    </w:p>
    <w:p w14:paraId="43A75650">
      <w:pPr>
        <w:jc w:val="left"/>
        <w:rPr>
          <w:rFonts w:ascii="宋体" w:hAnsi="宋体"/>
          <w:kern w:val="44"/>
        </w:rPr>
      </w:pPr>
    </w:p>
    <w:p w14:paraId="408CC851">
      <w:pPr>
        <w:ind w:firstLine="0" w:firstLineChars="0"/>
        <w:jc w:val="center"/>
        <w:rPr>
          <w:rFonts w:ascii="宋体" w:hAnsi="宋体"/>
          <w:b/>
          <w:kern w:val="44"/>
          <w:sz w:val="28"/>
        </w:rPr>
      </w:pPr>
      <w:r>
        <w:rPr>
          <w:rFonts w:hint="eastAsia" w:ascii="宋体" w:hAnsi="宋体"/>
          <w:b/>
          <w:kern w:val="44"/>
          <w:sz w:val="28"/>
        </w:rPr>
        <w:t>第二章　出租与承租</w:t>
      </w:r>
    </w:p>
    <w:p w14:paraId="2168BB86">
      <w:pPr>
        <w:jc w:val="left"/>
        <w:rPr>
          <w:rFonts w:ascii="宋体" w:hAnsi="宋体"/>
          <w:kern w:val="44"/>
        </w:rPr>
      </w:pPr>
    </w:p>
    <w:p w14:paraId="46EA45DA">
      <w:pPr>
        <w:ind w:firstLine="422"/>
        <w:jc w:val="left"/>
        <w:rPr>
          <w:rFonts w:ascii="宋体" w:hAnsi="宋体"/>
          <w:kern w:val="44"/>
        </w:rPr>
      </w:pPr>
      <w:r>
        <w:rPr>
          <w:rFonts w:hint="eastAsia" w:ascii="宋体" w:hAnsi="宋体"/>
          <w:b/>
          <w:kern w:val="44"/>
        </w:rPr>
        <w:t>第五条</w:t>
      </w:r>
      <w:r>
        <w:rPr>
          <w:rFonts w:hint="eastAsia" w:ascii="宋体" w:hAnsi="宋体"/>
          <w:kern w:val="44"/>
        </w:rPr>
        <w:t>　荒山租赁的出租方是农村集体经济组织；承租方是有承租能力的农村集体经济组织成员、企业事业单位、社会团体或者其他个人。</w:t>
      </w:r>
    </w:p>
    <w:p w14:paraId="36BBB8F2">
      <w:pPr>
        <w:ind w:firstLine="422"/>
        <w:jc w:val="left"/>
        <w:rPr>
          <w:rFonts w:ascii="宋体" w:hAnsi="宋体"/>
          <w:kern w:val="44"/>
        </w:rPr>
      </w:pPr>
      <w:r>
        <w:rPr>
          <w:rFonts w:hint="eastAsia" w:ascii="宋体" w:hAnsi="宋体"/>
          <w:b/>
          <w:kern w:val="44"/>
        </w:rPr>
        <w:t>第六条</w:t>
      </w:r>
      <w:r>
        <w:rPr>
          <w:rFonts w:hint="eastAsia" w:ascii="宋体" w:hAnsi="宋体"/>
          <w:kern w:val="44"/>
        </w:rPr>
        <w:t>　农村集体经济组织必须根据社员大会或者社员代表会议决定的出租方案组织荒山租赁。</w:t>
      </w:r>
    </w:p>
    <w:p w14:paraId="5CBDCB05">
      <w:pPr>
        <w:jc w:val="left"/>
        <w:rPr>
          <w:rFonts w:ascii="宋体" w:hAnsi="宋体"/>
          <w:kern w:val="44"/>
        </w:rPr>
      </w:pPr>
      <w:r>
        <w:rPr>
          <w:rFonts w:hint="eastAsia" w:ascii="宋体" w:hAnsi="宋体"/>
          <w:kern w:val="44"/>
        </w:rPr>
        <w:t>农村集体经济组织应当成立有社员代表参加的评议小组，拟定租金数额或者租金标底，并经社员大会或者社员代表会议讨论通过。</w:t>
      </w:r>
    </w:p>
    <w:p w14:paraId="26E51538">
      <w:pPr>
        <w:ind w:firstLine="422"/>
        <w:jc w:val="left"/>
        <w:rPr>
          <w:rFonts w:ascii="宋体" w:hAnsi="宋体"/>
          <w:kern w:val="44"/>
        </w:rPr>
      </w:pPr>
      <w:r>
        <w:rPr>
          <w:rFonts w:hint="eastAsia" w:ascii="宋体" w:hAnsi="宋体"/>
          <w:b/>
          <w:kern w:val="44"/>
        </w:rPr>
        <w:t>第七条</w:t>
      </w:r>
      <w:r>
        <w:rPr>
          <w:rFonts w:hint="eastAsia" w:ascii="宋体" w:hAnsi="宋体"/>
          <w:kern w:val="44"/>
        </w:rPr>
        <w:t>　制定荒山租赁方案，应当兼顾国家、集体、个人三者利益，按照经济效益、生态效益、社会效益相结合的原则，因地制宜，综合治理，山水林田路统一规划，科学开发。</w:t>
      </w:r>
    </w:p>
    <w:p w14:paraId="52F53D99">
      <w:pPr>
        <w:ind w:firstLine="422"/>
        <w:jc w:val="left"/>
        <w:rPr>
          <w:rFonts w:ascii="宋体" w:hAnsi="宋体"/>
          <w:kern w:val="44"/>
        </w:rPr>
      </w:pPr>
      <w:r>
        <w:rPr>
          <w:rFonts w:hint="eastAsia" w:ascii="宋体" w:hAnsi="宋体"/>
          <w:b/>
          <w:kern w:val="44"/>
        </w:rPr>
        <w:t>第八条</w:t>
      </w:r>
      <w:r>
        <w:rPr>
          <w:rFonts w:hint="eastAsia" w:ascii="宋体" w:hAnsi="宋体"/>
          <w:kern w:val="44"/>
        </w:rPr>
        <w:t>　已经植树造林的责任山、义务植树责任区不得纳入租赁范围。</w:t>
      </w:r>
    </w:p>
    <w:p w14:paraId="3ED14D60">
      <w:pPr>
        <w:jc w:val="left"/>
        <w:rPr>
          <w:rFonts w:ascii="宋体" w:hAnsi="宋体"/>
          <w:kern w:val="44"/>
        </w:rPr>
      </w:pPr>
      <w:r>
        <w:rPr>
          <w:rFonts w:hint="eastAsia" w:ascii="宋体" w:hAnsi="宋体"/>
          <w:kern w:val="44"/>
        </w:rPr>
        <w:t>没有植树造林的责任山，可以由集体经济组织收回，另行出租。</w:t>
      </w:r>
    </w:p>
    <w:p w14:paraId="0CBC7448">
      <w:pPr>
        <w:jc w:val="left"/>
        <w:rPr>
          <w:rFonts w:ascii="宋体" w:hAnsi="宋体"/>
          <w:kern w:val="44"/>
        </w:rPr>
      </w:pPr>
      <w:r>
        <w:rPr>
          <w:rFonts w:hint="eastAsia" w:ascii="宋体" w:hAnsi="宋体"/>
          <w:kern w:val="44"/>
        </w:rPr>
        <w:t>在国家批准的矿井井田范围内，出租方应当向地下资源开发单位了解地下资源开采对地上安全的影响，不安全区域的荒山不得出租。</w:t>
      </w:r>
    </w:p>
    <w:p w14:paraId="27619D32">
      <w:pPr>
        <w:ind w:firstLine="422"/>
        <w:jc w:val="left"/>
        <w:rPr>
          <w:rFonts w:ascii="宋体" w:hAnsi="宋体"/>
          <w:kern w:val="44"/>
        </w:rPr>
      </w:pPr>
      <w:r>
        <w:rPr>
          <w:rFonts w:hint="eastAsia" w:ascii="宋体" w:hAnsi="宋体"/>
          <w:b/>
          <w:kern w:val="44"/>
        </w:rPr>
        <w:t>第九条</w:t>
      </w:r>
      <w:r>
        <w:rPr>
          <w:rFonts w:hint="eastAsia" w:ascii="宋体" w:hAnsi="宋体"/>
          <w:kern w:val="44"/>
        </w:rPr>
        <w:t>　荒山租赁前已有的零星树木，可以合理作价出售给承租方，也可以出租给承租方。</w:t>
      </w:r>
    </w:p>
    <w:p w14:paraId="78A32366">
      <w:pPr>
        <w:jc w:val="left"/>
        <w:rPr>
          <w:rFonts w:ascii="宋体" w:hAnsi="宋体"/>
          <w:kern w:val="44"/>
        </w:rPr>
      </w:pPr>
      <w:r>
        <w:rPr>
          <w:rFonts w:hint="eastAsia" w:ascii="宋体" w:hAnsi="宋体"/>
          <w:kern w:val="44"/>
        </w:rPr>
        <w:t>承租方在所承租荒山上栽植的林木，在承租期内归承租方所有。租赁期满，林木的处置由租赁合同约定。</w:t>
      </w:r>
    </w:p>
    <w:p w14:paraId="68061388">
      <w:pPr>
        <w:jc w:val="left"/>
        <w:rPr>
          <w:rFonts w:ascii="宋体" w:hAnsi="宋体"/>
          <w:kern w:val="44"/>
        </w:rPr>
      </w:pPr>
      <w:r>
        <w:rPr>
          <w:rFonts w:hint="eastAsia" w:ascii="宋体" w:hAnsi="宋体"/>
          <w:kern w:val="44"/>
        </w:rPr>
        <w:t>承租方所有的林木，按照《北京市森林资源保护管理条例》规定的程序审查批准，可以采伐、更新。</w:t>
      </w:r>
    </w:p>
    <w:p w14:paraId="3FDDC705">
      <w:pPr>
        <w:ind w:firstLine="422"/>
        <w:jc w:val="left"/>
        <w:rPr>
          <w:rFonts w:ascii="宋体" w:hAnsi="宋体"/>
          <w:kern w:val="44"/>
        </w:rPr>
      </w:pPr>
      <w:r>
        <w:rPr>
          <w:rFonts w:hint="eastAsia" w:ascii="宋体" w:hAnsi="宋体"/>
          <w:b/>
          <w:kern w:val="44"/>
        </w:rPr>
        <w:t>第十条</w:t>
      </w:r>
      <w:r>
        <w:rPr>
          <w:rFonts w:hint="eastAsia" w:ascii="宋体" w:hAnsi="宋体"/>
          <w:kern w:val="44"/>
        </w:rPr>
        <w:t>　荒山租赁期限最长不超过70年；开发限期一般不超过5年。</w:t>
      </w:r>
    </w:p>
    <w:p w14:paraId="7CB4164E">
      <w:pPr>
        <w:ind w:firstLine="422"/>
        <w:jc w:val="left"/>
        <w:rPr>
          <w:rFonts w:ascii="宋体" w:hAnsi="宋体"/>
          <w:kern w:val="44"/>
        </w:rPr>
      </w:pPr>
      <w:r>
        <w:rPr>
          <w:rFonts w:hint="eastAsia" w:ascii="宋体" w:hAnsi="宋体"/>
          <w:b/>
          <w:kern w:val="44"/>
        </w:rPr>
        <w:t>第十一条</w:t>
      </w:r>
      <w:r>
        <w:rPr>
          <w:rFonts w:hint="eastAsia" w:ascii="宋体" w:hAnsi="宋体"/>
          <w:kern w:val="44"/>
        </w:rPr>
        <w:t>　承租方必须按照租赁合同约定的用途和期限开发利用荒山，逾期不开发利用的，由集体经济组织无偿收回。</w:t>
      </w:r>
    </w:p>
    <w:p w14:paraId="05ED431A">
      <w:pPr>
        <w:ind w:firstLine="422"/>
        <w:jc w:val="left"/>
        <w:rPr>
          <w:rFonts w:ascii="宋体" w:hAnsi="宋体"/>
          <w:kern w:val="44"/>
        </w:rPr>
      </w:pPr>
      <w:r>
        <w:rPr>
          <w:rFonts w:hint="eastAsia" w:ascii="宋体" w:hAnsi="宋体"/>
          <w:b/>
          <w:kern w:val="44"/>
        </w:rPr>
        <w:t>第十二条</w:t>
      </w:r>
      <w:r>
        <w:rPr>
          <w:rFonts w:hint="eastAsia" w:ascii="宋体" w:hAnsi="宋体"/>
          <w:kern w:val="44"/>
        </w:rPr>
        <w:t>　荒山租赁的租金可以一次计租，也可以分段计租；租金可以一次交付，也可以分期交付。</w:t>
      </w:r>
    </w:p>
    <w:p w14:paraId="35A479AD">
      <w:pPr>
        <w:ind w:firstLine="422"/>
        <w:jc w:val="left"/>
        <w:rPr>
          <w:rFonts w:ascii="宋体" w:hAnsi="宋体"/>
          <w:kern w:val="44"/>
        </w:rPr>
      </w:pPr>
      <w:r>
        <w:rPr>
          <w:rFonts w:hint="eastAsia" w:ascii="宋体" w:hAnsi="宋体"/>
          <w:b/>
          <w:kern w:val="44"/>
        </w:rPr>
        <w:t>第十三条</w:t>
      </w:r>
      <w:r>
        <w:rPr>
          <w:rFonts w:hint="eastAsia" w:ascii="宋体" w:hAnsi="宋体"/>
          <w:kern w:val="44"/>
        </w:rPr>
        <w:t>　荒山租赁可以采取协议、定价招租和招标等方式。</w:t>
      </w:r>
    </w:p>
    <w:p w14:paraId="3E183780">
      <w:pPr>
        <w:ind w:firstLine="422"/>
        <w:jc w:val="left"/>
        <w:rPr>
          <w:rFonts w:ascii="宋体" w:hAnsi="宋体"/>
          <w:kern w:val="44"/>
        </w:rPr>
      </w:pPr>
      <w:r>
        <w:rPr>
          <w:rFonts w:hint="eastAsia" w:ascii="宋体" w:hAnsi="宋体"/>
          <w:b/>
          <w:kern w:val="44"/>
        </w:rPr>
        <w:t>第十四条</w:t>
      </w:r>
      <w:r>
        <w:rPr>
          <w:rFonts w:hint="eastAsia" w:ascii="宋体" w:hAnsi="宋体"/>
          <w:kern w:val="44"/>
        </w:rPr>
        <w:t>　在租赁合同约定的期限内，荒山使用权及承租方所有的林木、地上财产可以依法继承和转租。</w:t>
      </w:r>
    </w:p>
    <w:p w14:paraId="6F6E7009">
      <w:pPr>
        <w:jc w:val="left"/>
        <w:rPr>
          <w:rFonts w:ascii="宋体" w:hAnsi="宋体"/>
          <w:kern w:val="44"/>
        </w:rPr>
      </w:pPr>
      <w:r>
        <w:rPr>
          <w:rFonts w:hint="eastAsia" w:ascii="宋体" w:hAnsi="宋体"/>
          <w:kern w:val="44"/>
        </w:rPr>
        <w:t>转租须经出租方同意，并由转租方与承租方签订转租合同。</w:t>
      </w:r>
    </w:p>
    <w:p w14:paraId="20D53D8A">
      <w:pPr>
        <w:jc w:val="left"/>
        <w:rPr>
          <w:rFonts w:ascii="宋体" w:hAnsi="宋体"/>
          <w:kern w:val="44"/>
        </w:rPr>
      </w:pPr>
    </w:p>
    <w:p w14:paraId="39DC1216">
      <w:pPr>
        <w:ind w:firstLine="0" w:firstLineChars="0"/>
        <w:jc w:val="center"/>
        <w:rPr>
          <w:rFonts w:ascii="宋体" w:hAnsi="宋体"/>
          <w:b/>
          <w:kern w:val="44"/>
          <w:sz w:val="28"/>
        </w:rPr>
      </w:pPr>
      <w:r>
        <w:rPr>
          <w:rFonts w:hint="eastAsia" w:ascii="宋体" w:hAnsi="宋体"/>
          <w:b/>
          <w:kern w:val="44"/>
          <w:sz w:val="28"/>
        </w:rPr>
        <w:t>第三章　当事人的权利和义务</w:t>
      </w:r>
    </w:p>
    <w:p w14:paraId="6161C458">
      <w:pPr>
        <w:jc w:val="left"/>
        <w:rPr>
          <w:rFonts w:ascii="宋体" w:hAnsi="宋体"/>
          <w:kern w:val="44"/>
        </w:rPr>
      </w:pPr>
    </w:p>
    <w:p w14:paraId="243F1BB3">
      <w:pPr>
        <w:ind w:firstLine="422"/>
        <w:jc w:val="left"/>
        <w:rPr>
          <w:rFonts w:ascii="宋体" w:hAnsi="宋体"/>
          <w:kern w:val="44"/>
        </w:rPr>
      </w:pPr>
      <w:r>
        <w:rPr>
          <w:rFonts w:hint="eastAsia" w:ascii="宋体" w:hAnsi="宋体"/>
          <w:b/>
          <w:kern w:val="44"/>
        </w:rPr>
        <w:t>第十五条</w:t>
      </w:r>
      <w:r>
        <w:rPr>
          <w:rFonts w:hint="eastAsia" w:ascii="宋体" w:hAnsi="宋体"/>
          <w:kern w:val="44"/>
        </w:rPr>
        <w:t>　出租方的权利：</w:t>
      </w:r>
    </w:p>
    <w:p w14:paraId="0607E35E">
      <w:pPr>
        <w:jc w:val="left"/>
        <w:rPr>
          <w:rFonts w:ascii="宋体" w:hAnsi="宋体"/>
          <w:kern w:val="44"/>
        </w:rPr>
      </w:pPr>
      <w:r>
        <w:rPr>
          <w:rFonts w:hint="eastAsia" w:ascii="宋体" w:hAnsi="宋体"/>
          <w:kern w:val="44"/>
        </w:rPr>
        <w:t>（一）对荒山开发利用活动进行检查，保护资源不受破坏；</w:t>
      </w:r>
    </w:p>
    <w:p w14:paraId="34D8B652">
      <w:pPr>
        <w:jc w:val="left"/>
        <w:rPr>
          <w:rFonts w:ascii="宋体" w:hAnsi="宋体"/>
          <w:kern w:val="44"/>
        </w:rPr>
      </w:pPr>
      <w:r>
        <w:rPr>
          <w:rFonts w:hint="eastAsia" w:ascii="宋体" w:hAnsi="宋体"/>
          <w:kern w:val="44"/>
        </w:rPr>
        <w:t>（二）检查荒山开发项目和限期等履行情况；</w:t>
      </w:r>
    </w:p>
    <w:p w14:paraId="2F8C4ACB">
      <w:pPr>
        <w:jc w:val="left"/>
        <w:rPr>
          <w:rFonts w:ascii="宋体" w:hAnsi="宋体"/>
          <w:kern w:val="44"/>
        </w:rPr>
      </w:pPr>
      <w:r>
        <w:rPr>
          <w:rFonts w:hint="eastAsia" w:ascii="宋体" w:hAnsi="宋体"/>
          <w:kern w:val="44"/>
        </w:rPr>
        <w:t>（三）按照合同约定收取租金。</w:t>
      </w:r>
    </w:p>
    <w:p w14:paraId="44EFB414">
      <w:pPr>
        <w:ind w:firstLine="422"/>
        <w:jc w:val="left"/>
        <w:rPr>
          <w:rFonts w:ascii="宋体" w:hAnsi="宋体"/>
          <w:kern w:val="44"/>
        </w:rPr>
      </w:pPr>
      <w:r>
        <w:rPr>
          <w:rFonts w:hint="eastAsia" w:ascii="宋体" w:hAnsi="宋体"/>
          <w:b/>
          <w:kern w:val="44"/>
        </w:rPr>
        <w:t>第十六条</w:t>
      </w:r>
      <w:r>
        <w:rPr>
          <w:rFonts w:hint="eastAsia" w:ascii="宋体" w:hAnsi="宋体"/>
          <w:kern w:val="44"/>
        </w:rPr>
        <w:t>　出租方的义务：</w:t>
      </w:r>
    </w:p>
    <w:p w14:paraId="360468E8">
      <w:pPr>
        <w:jc w:val="left"/>
        <w:rPr>
          <w:rFonts w:ascii="宋体" w:hAnsi="宋体"/>
          <w:kern w:val="44"/>
        </w:rPr>
      </w:pPr>
      <w:r>
        <w:rPr>
          <w:rFonts w:hint="eastAsia" w:ascii="宋体" w:hAnsi="宋体"/>
          <w:kern w:val="44"/>
        </w:rPr>
        <w:t>（一）保证承租方的自主经营；</w:t>
      </w:r>
    </w:p>
    <w:p w14:paraId="51C9CB5E">
      <w:pPr>
        <w:jc w:val="left"/>
        <w:rPr>
          <w:rFonts w:ascii="宋体" w:hAnsi="宋体"/>
          <w:kern w:val="44"/>
        </w:rPr>
      </w:pPr>
      <w:r>
        <w:rPr>
          <w:rFonts w:hint="eastAsia" w:ascii="宋体" w:hAnsi="宋体"/>
          <w:kern w:val="44"/>
        </w:rPr>
        <w:t>（二）不侵犯承租方的合法收益；</w:t>
      </w:r>
    </w:p>
    <w:p w14:paraId="74624677">
      <w:pPr>
        <w:jc w:val="left"/>
        <w:rPr>
          <w:rFonts w:ascii="宋体" w:hAnsi="宋体"/>
          <w:kern w:val="44"/>
        </w:rPr>
      </w:pPr>
      <w:r>
        <w:rPr>
          <w:rFonts w:hint="eastAsia" w:ascii="宋体" w:hAnsi="宋体"/>
          <w:kern w:val="44"/>
        </w:rPr>
        <w:t>（三）按照合同约定提供生产、技术等项服务。</w:t>
      </w:r>
    </w:p>
    <w:p w14:paraId="3627D29C">
      <w:pPr>
        <w:ind w:firstLine="422"/>
        <w:jc w:val="left"/>
        <w:rPr>
          <w:rFonts w:ascii="宋体" w:hAnsi="宋体"/>
          <w:kern w:val="44"/>
        </w:rPr>
      </w:pPr>
      <w:r>
        <w:rPr>
          <w:rFonts w:hint="eastAsia" w:ascii="宋体" w:hAnsi="宋体"/>
          <w:b/>
          <w:kern w:val="44"/>
        </w:rPr>
        <w:t>第十七条</w:t>
      </w:r>
      <w:r>
        <w:rPr>
          <w:rFonts w:hint="eastAsia" w:ascii="宋体" w:hAnsi="宋体"/>
          <w:kern w:val="44"/>
        </w:rPr>
        <w:t>　承租方的权利：</w:t>
      </w:r>
    </w:p>
    <w:p w14:paraId="1297AF41">
      <w:pPr>
        <w:jc w:val="left"/>
        <w:rPr>
          <w:rFonts w:ascii="宋体" w:hAnsi="宋体"/>
          <w:kern w:val="44"/>
        </w:rPr>
      </w:pPr>
      <w:r>
        <w:rPr>
          <w:rFonts w:hint="eastAsia" w:ascii="宋体" w:hAnsi="宋体"/>
          <w:kern w:val="44"/>
        </w:rPr>
        <w:t>（一）按照合同约定的用途自主开发经营承租的荒山；</w:t>
      </w:r>
    </w:p>
    <w:p w14:paraId="442312CE">
      <w:pPr>
        <w:jc w:val="left"/>
        <w:rPr>
          <w:rFonts w:ascii="宋体" w:hAnsi="宋体"/>
          <w:kern w:val="44"/>
        </w:rPr>
      </w:pPr>
      <w:r>
        <w:rPr>
          <w:rFonts w:hint="eastAsia" w:ascii="宋体" w:hAnsi="宋体"/>
          <w:kern w:val="44"/>
        </w:rPr>
        <w:t>（二）享有承租荒山的收益权和按照合同约定的财产所有权；</w:t>
      </w:r>
    </w:p>
    <w:p w14:paraId="339D6DD9">
      <w:pPr>
        <w:jc w:val="left"/>
        <w:rPr>
          <w:rFonts w:ascii="宋体" w:hAnsi="宋体"/>
          <w:kern w:val="44"/>
        </w:rPr>
      </w:pPr>
      <w:r>
        <w:rPr>
          <w:rFonts w:hint="eastAsia" w:ascii="宋体" w:hAnsi="宋体"/>
          <w:kern w:val="44"/>
        </w:rPr>
        <w:t>（三）享受国家有关政策规定的优惠。</w:t>
      </w:r>
    </w:p>
    <w:p w14:paraId="57501178">
      <w:pPr>
        <w:ind w:firstLine="422"/>
        <w:jc w:val="left"/>
        <w:rPr>
          <w:rFonts w:ascii="宋体" w:hAnsi="宋体"/>
          <w:kern w:val="44"/>
        </w:rPr>
      </w:pPr>
      <w:r>
        <w:rPr>
          <w:rFonts w:hint="eastAsia" w:ascii="宋体" w:hAnsi="宋体"/>
          <w:b/>
          <w:kern w:val="44"/>
        </w:rPr>
        <w:t>第十八条</w:t>
      </w:r>
      <w:r>
        <w:rPr>
          <w:rFonts w:hint="eastAsia" w:ascii="宋体" w:hAnsi="宋体"/>
          <w:kern w:val="44"/>
        </w:rPr>
        <w:t>　承租方的义务：</w:t>
      </w:r>
    </w:p>
    <w:p w14:paraId="5675EA12">
      <w:pPr>
        <w:jc w:val="left"/>
        <w:rPr>
          <w:rFonts w:ascii="宋体" w:hAnsi="宋体"/>
          <w:kern w:val="44"/>
        </w:rPr>
      </w:pPr>
      <w:r>
        <w:rPr>
          <w:rFonts w:hint="eastAsia" w:ascii="宋体" w:hAnsi="宋体"/>
          <w:kern w:val="44"/>
        </w:rPr>
        <w:t>（一）按照合同约定的用途、期限开发利用所承租的荒山；</w:t>
      </w:r>
    </w:p>
    <w:p w14:paraId="17854BD2">
      <w:pPr>
        <w:jc w:val="left"/>
        <w:rPr>
          <w:rFonts w:ascii="宋体" w:hAnsi="宋体"/>
          <w:kern w:val="44"/>
        </w:rPr>
      </w:pPr>
      <w:r>
        <w:rPr>
          <w:rFonts w:hint="eastAsia" w:ascii="宋体" w:hAnsi="宋体"/>
          <w:kern w:val="44"/>
        </w:rPr>
        <w:t>（二）保护自然资源和公用农田水利设施，搞好水土保持；</w:t>
      </w:r>
    </w:p>
    <w:p w14:paraId="3C4C1F5D">
      <w:pPr>
        <w:jc w:val="left"/>
        <w:rPr>
          <w:rFonts w:ascii="宋体" w:hAnsi="宋体"/>
          <w:kern w:val="44"/>
        </w:rPr>
      </w:pPr>
      <w:r>
        <w:rPr>
          <w:rFonts w:hint="eastAsia" w:ascii="宋体" w:hAnsi="宋体"/>
          <w:kern w:val="44"/>
        </w:rPr>
        <w:t>（三）按期交付租金。</w:t>
      </w:r>
    </w:p>
    <w:p w14:paraId="1C6ACC21">
      <w:pPr>
        <w:jc w:val="left"/>
        <w:rPr>
          <w:rFonts w:ascii="宋体" w:hAnsi="宋体"/>
          <w:kern w:val="44"/>
        </w:rPr>
      </w:pPr>
    </w:p>
    <w:p w14:paraId="68E055A7">
      <w:pPr>
        <w:ind w:firstLine="0" w:firstLineChars="0"/>
        <w:jc w:val="center"/>
        <w:rPr>
          <w:rFonts w:ascii="宋体" w:hAnsi="宋体"/>
          <w:b/>
          <w:kern w:val="44"/>
          <w:sz w:val="28"/>
        </w:rPr>
      </w:pPr>
      <w:r>
        <w:rPr>
          <w:rFonts w:hint="eastAsia" w:ascii="宋体" w:hAnsi="宋体"/>
          <w:b/>
          <w:kern w:val="44"/>
          <w:sz w:val="28"/>
        </w:rPr>
        <w:t>第四章　租赁合同</w:t>
      </w:r>
    </w:p>
    <w:p w14:paraId="1008D5DE">
      <w:pPr>
        <w:jc w:val="left"/>
        <w:rPr>
          <w:rFonts w:ascii="宋体" w:hAnsi="宋体"/>
          <w:kern w:val="44"/>
        </w:rPr>
      </w:pPr>
    </w:p>
    <w:p w14:paraId="08B747DC">
      <w:pPr>
        <w:ind w:firstLine="422"/>
        <w:jc w:val="left"/>
        <w:rPr>
          <w:rFonts w:ascii="宋体" w:hAnsi="宋体"/>
          <w:kern w:val="44"/>
        </w:rPr>
      </w:pPr>
      <w:r>
        <w:rPr>
          <w:rFonts w:hint="eastAsia" w:ascii="宋体" w:hAnsi="宋体"/>
          <w:b/>
          <w:kern w:val="44"/>
        </w:rPr>
        <w:t>第十九条</w:t>
      </w:r>
      <w:r>
        <w:rPr>
          <w:rFonts w:hint="eastAsia" w:ascii="宋体" w:hAnsi="宋体"/>
          <w:kern w:val="44"/>
        </w:rPr>
        <w:t>　荒山租赁，出租方和承租方必须签订书面合同。订立租赁合同，应当遵循平等互利、协商一致的原则。</w:t>
      </w:r>
    </w:p>
    <w:p w14:paraId="53F14FCC">
      <w:pPr>
        <w:ind w:firstLine="422"/>
        <w:jc w:val="left"/>
        <w:rPr>
          <w:rFonts w:ascii="宋体" w:hAnsi="宋体"/>
          <w:kern w:val="44"/>
        </w:rPr>
      </w:pPr>
      <w:r>
        <w:rPr>
          <w:rFonts w:hint="eastAsia" w:ascii="宋体" w:hAnsi="宋体"/>
          <w:b/>
          <w:kern w:val="44"/>
        </w:rPr>
        <w:t>第二十条</w:t>
      </w:r>
      <w:r>
        <w:rPr>
          <w:rFonts w:hint="eastAsia" w:ascii="宋体" w:hAnsi="宋体"/>
          <w:kern w:val="44"/>
        </w:rPr>
        <w:t>　租赁合同应当具备以下主要条款：</w:t>
      </w:r>
    </w:p>
    <w:p w14:paraId="6E4A148F">
      <w:pPr>
        <w:jc w:val="left"/>
        <w:rPr>
          <w:rFonts w:ascii="宋体" w:hAnsi="宋体"/>
          <w:kern w:val="44"/>
        </w:rPr>
      </w:pPr>
      <w:r>
        <w:rPr>
          <w:rFonts w:hint="eastAsia" w:ascii="宋体" w:hAnsi="宋体"/>
          <w:kern w:val="44"/>
        </w:rPr>
        <w:t>（一）荒山的位置、面积；</w:t>
      </w:r>
    </w:p>
    <w:p w14:paraId="74F4B679">
      <w:pPr>
        <w:jc w:val="left"/>
        <w:rPr>
          <w:rFonts w:ascii="宋体" w:hAnsi="宋体"/>
          <w:kern w:val="44"/>
        </w:rPr>
      </w:pPr>
      <w:r>
        <w:rPr>
          <w:rFonts w:hint="eastAsia" w:ascii="宋体" w:hAnsi="宋体"/>
          <w:kern w:val="44"/>
        </w:rPr>
        <w:t>（二）用途；</w:t>
      </w:r>
    </w:p>
    <w:p w14:paraId="38A0BD66">
      <w:pPr>
        <w:jc w:val="left"/>
        <w:rPr>
          <w:rFonts w:ascii="宋体" w:hAnsi="宋体"/>
          <w:kern w:val="44"/>
        </w:rPr>
      </w:pPr>
      <w:r>
        <w:rPr>
          <w:rFonts w:hint="eastAsia" w:ascii="宋体" w:hAnsi="宋体"/>
          <w:kern w:val="44"/>
        </w:rPr>
        <w:t>（三）租赁期限和开发限期；</w:t>
      </w:r>
    </w:p>
    <w:p w14:paraId="0ECBAD11">
      <w:pPr>
        <w:jc w:val="left"/>
        <w:rPr>
          <w:rFonts w:ascii="宋体" w:hAnsi="宋体"/>
          <w:kern w:val="44"/>
        </w:rPr>
      </w:pPr>
      <w:r>
        <w:rPr>
          <w:rFonts w:hint="eastAsia" w:ascii="宋体" w:hAnsi="宋体"/>
          <w:kern w:val="44"/>
        </w:rPr>
        <w:t>（四）出租前和合同期满后地上物的处置；</w:t>
      </w:r>
    </w:p>
    <w:p w14:paraId="663F20DA">
      <w:pPr>
        <w:jc w:val="left"/>
        <w:rPr>
          <w:rFonts w:ascii="宋体" w:hAnsi="宋体"/>
          <w:kern w:val="44"/>
        </w:rPr>
      </w:pPr>
      <w:r>
        <w:rPr>
          <w:rFonts w:hint="eastAsia" w:ascii="宋体" w:hAnsi="宋体"/>
          <w:kern w:val="44"/>
        </w:rPr>
        <w:t>（五）租金及其交付方式；</w:t>
      </w:r>
    </w:p>
    <w:p w14:paraId="63F96390">
      <w:pPr>
        <w:jc w:val="left"/>
        <w:rPr>
          <w:rFonts w:ascii="宋体" w:hAnsi="宋体"/>
          <w:kern w:val="44"/>
        </w:rPr>
      </w:pPr>
      <w:r>
        <w:rPr>
          <w:rFonts w:hint="eastAsia" w:ascii="宋体" w:hAnsi="宋体"/>
          <w:kern w:val="44"/>
        </w:rPr>
        <w:t>（六）双方当事人的权利和义务；</w:t>
      </w:r>
    </w:p>
    <w:p w14:paraId="44FA16B5">
      <w:pPr>
        <w:jc w:val="left"/>
        <w:rPr>
          <w:rFonts w:ascii="宋体" w:hAnsi="宋体"/>
          <w:kern w:val="44"/>
        </w:rPr>
      </w:pPr>
      <w:r>
        <w:rPr>
          <w:rFonts w:hint="eastAsia" w:ascii="宋体" w:hAnsi="宋体"/>
          <w:kern w:val="44"/>
        </w:rPr>
        <w:t>（七）违约责任；</w:t>
      </w:r>
    </w:p>
    <w:p w14:paraId="049282CD">
      <w:pPr>
        <w:jc w:val="left"/>
        <w:rPr>
          <w:rFonts w:ascii="宋体" w:hAnsi="宋体"/>
          <w:kern w:val="44"/>
        </w:rPr>
      </w:pPr>
      <w:r>
        <w:rPr>
          <w:rFonts w:hint="eastAsia" w:ascii="宋体" w:hAnsi="宋体"/>
          <w:kern w:val="44"/>
        </w:rPr>
        <w:t>（八）合同纠纷的解决办法；</w:t>
      </w:r>
    </w:p>
    <w:p w14:paraId="145D77B8">
      <w:pPr>
        <w:jc w:val="left"/>
        <w:rPr>
          <w:rFonts w:ascii="宋体" w:hAnsi="宋体"/>
          <w:kern w:val="44"/>
        </w:rPr>
      </w:pPr>
      <w:r>
        <w:rPr>
          <w:rFonts w:hint="eastAsia" w:ascii="宋体" w:hAnsi="宋体"/>
          <w:kern w:val="44"/>
        </w:rPr>
        <w:t>（九）双方当事人协议的其他事项。</w:t>
      </w:r>
    </w:p>
    <w:p w14:paraId="77EE072D">
      <w:pPr>
        <w:ind w:firstLine="422"/>
        <w:jc w:val="left"/>
        <w:rPr>
          <w:rFonts w:ascii="宋体" w:hAnsi="宋体"/>
          <w:kern w:val="44"/>
        </w:rPr>
      </w:pPr>
      <w:r>
        <w:rPr>
          <w:rFonts w:hint="eastAsia" w:ascii="宋体" w:hAnsi="宋体"/>
          <w:b/>
          <w:kern w:val="44"/>
        </w:rPr>
        <w:t>第二十一条</w:t>
      </w:r>
      <w:r>
        <w:rPr>
          <w:rFonts w:hint="eastAsia" w:ascii="宋体" w:hAnsi="宋体"/>
          <w:kern w:val="44"/>
        </w:rPr>
        <w:t>　出租方和承租方就租赁合同条款协商一致，签字盖章，合同即为成立。</w:t>
      </w:r>
    </w:p>
    <w:p w14:paraId="7A1A60A2">
      <w:pPr>
        <w:jc w:val="left"/>
        <w:rPr>
          <w:rFonts w:ascii="宋体" w:hAnsi="宋体"/>
          <w:kern w:val="44"/>
        </w:rPr>
      </w:pPr>
      <w:r>
        <w:rPr>
          <w:rFonts w:hint="eastAsia" w:ascii="宋体" w:hAnsi="宋体"/>
          <w:kern w:val="44"/>
        </w:rPr>
        <w:t>租赁合同具有法律效力，任何单位和个人不得随意变更或者解除。</w:t>
      </w:r>
    </w:p>
    <w:p w14:paraId="7EA31458">
      <w:pPr>
        <w:ind w:firstLine="422"/>
        <w:jc w:val="left"/>
        <w:rPr>
          <w:rFonts w:ascii="宋体" w:hAnsi="宋体"/>
          <w:kern w:val="44"/>
        </w:rPr>
      </w:pPr>
      <w:r>
        <w:rPr>
          <w:rFonts w:hint="eastAsia" w:ascii="宋体" w:hAnsi="宋体"/>
          <w:b/>
          <w:kern w:val="44"/>
        </w:rPr>
        <w:t>第二十二条</w:t>
      </w:r>
      <w:r>
        <w:rPr>
          <w:rFonts w:hint="eastAsia" w:ascii="宋体" w:hAnsi="宋体"/>
          <w:kern w:val="44"/>
        </w:rPr>
        <w:t>　租赁合同签订后，当事人可以向农村合作经济管理部门或者公证机关申请鉴证或者公证，确认租赁合同的真实性、合法性。</w:t>
      </w:r>
    </w:p>
    <w:p w14:paraId="198AAB34">
      <w:pPr>
        <w:ind w:firstLine="422"/>
        <w:jc w:val="left"/>
        <w:rPr>
          <w:rFonts w:ascii="宋体" w:hAnsi="宋体"/>
          <w:kern w:val="44"/>
        </w:rPr>
      </w:pPr>
      <w:r>
        <w:rPr>
          <w:rFonts w:hint="eastAsia" w:ascii="宋体" w:hAnsi="宋体"/>
          <w:b/>
          <w:kern w:val="44"/>
        </w:rPr>
        <w:t>第二十三条</w:t>
      </w:r>
      <w:r>
        <w:rPr>
          <w:rFonts w:hint="eastAsia" w:ascii="宋体" w:hAnsi="宋体"/>
          <w:kern w:val="44"/>
        </w:rPr>
        <w:t>　租赁合同、转租合同应当报乡、镇人民政府和区、县人民政府备案。</w:t>
      </w:r>
    </w:p>
    <w:p w14:paraId="3FD4B701">
      <w:pPr>
        <w:jc w:val="left"/>
        <w:rPr>
          <w:rFonts w:ascii="宋体" w:hAnsi="宋体"/>
          <w:kern w:val="44"/>
        </w:rPr>
      </w:pPr>
      <w:r>
        <w:rPr>
          <w:rFonts w:hint="eastAsia" w:ascii="宋体" w:hAnsi="宋体"/>
          <w:kern w:val="44"/>
        </w:rPr>
        <w:t>合同管理的具体工作由农村合作经济管理部门负责。</w:t>
      </w:r>
    </w:p>
    <w:p w14:paraId="6622F9B6">
      <w:pPr>
        <w:ind w:firstLine="422"/>
        <w:jc w:val="left"/>
        <w:rPr>
          <w:rFonts w:ascii="宋体" w:hAnsi="宋体"/>
          <w:kern w:val="44"/>
        </w:rPr>
      </w:pPr>
      <w:r>
        <w:rPr>
          <w:rFonts w:hint="eastAsia" w:ascii="宋体" w:hAnsi="宋体"/>
          <w:b/>
          <w:kern w:val="44"/>
        </w:rPr>
        <w:t>第二十四条</w:t>
      </w:r>
      <w:r>
        <w:rPr>
          <w:rFonts w:hint="eastAsia" w:ascii="宋体" w:hAnsi="宋体"/>
          <w:kern w:val="44"/>
        </w:rPr>
        <w:t>　凡有下列情况之一的，允许变更或者解除租赁合同：</w:t>
      </w:r>
    </w:p>
    <w:p w14:paraId="7F8D8509">
      <w:pPr>
        <w:jc w:val="left"/>
        <w:rPr>
          <w:rFonts w:ascii="宋体" w:hAnsi="宋体"/>
          <w:kern w:val="44"/>
        </w:rPr>
      </w:pPr>
      <w:r>
        <w:rPr>
          <w:rFonts w:hint="eastAsia" w:ascii="宋体" w:hAnsi="宋体"/>
          <w:kern w:val="44"/>
        </w:rPr>
        <w:t>（一）由于不可抗力的原因，致使租赁合同无法履行的；</w:t>
      </w:r>
    </w:p>
    <w:p w14:paraId="6B322292">
      <w:pPr>
        <w:jc w:val="left"/>
        <w:rPr>
          <w:rFonts w:ascii="宋体" w:hAnsi="宋体"/>
          <w:kern w:val="44"/>
        </w:rPr>
      </w:pPr>
      <w:r>
        <w:rPr>
          <w:rFonts w:hint="eastAsia" w:ascii="宋体" w:hAnsi="宋体"/>
          <w:kern w:val="44"/>
        </w:rPr>
        <w:t>（二）因国家建设，租赁的荒山被征收、征用的；</w:t>
      </w:r>
    </w:p>
    <w:p w14:paraId="0ADDE5F4">
      <w:pPr>
        <w:jc w:val="left"/>
        <w:rPr>
          <w:rFonts w:ascii="宋体" w:hAnsi="宋体"/>
          <w:kern w:val="44"/>
        </w:rPr>
      </w:pPr>
      <w:r>
        <w:rPr>
          <w:rFonts w:hint="eastAsia" w:ascii="宋体" w:hAnsi="宋体"/>
          <w:kern w:val="44"/>
        </w:rPr>
        <w:t>（三）当事人双方协商一致，并且不因变更或者解除租赁合同而损害国家、集体利益的；</w:t>
      </w:r>
    </w:p>
    <w:p w14:paraId="022B89D9">
      <w:pPr>
        <w:jc w:val="left"/>
        <w:rPr>
          <w:rFonts w:ascii="宋体" w:hAnsi="宋体"/>
          <w:kern w:val="44"/>
        </w:rPr>
      </w:pPr>
      <w:r>
        <w:rPr>
          <w:rFonts w:hint="eastAsia" w:ascii="宋体" w:hAnsi="宋体"/>
          <w:kern w:val="44"/>
        </w:rPr>
        <w:t>（四）由于一方当事人在合同约定的期限内没有履行合同的。</w:t>
      </w:r>
    </w:p>
    <w:p w14:paraId="2A7BA418">
      <w:pPr>
        <w:jc w:val="left"/>
        <w:rPr>
          <w:rFonts w:ascii="宋体" w:hAnsi="宋体"/>
          <w:kern w:val="44"/>
        </w:rPr>
      </w:pPr>
      <w:r>
        <w:rPr>
          <w:rFonts w:hint="eastAsia" w:ascii="宋体" w:hAnsi="宋体"/>
          <w:kern w:val="44"/>
        </w:rPr>
        <w:t>因变更或者解除合同，使他方遭受损失的，除依法可以免除责任的以外，应当由责任方负责赔偿。</w:t>
      </w:r>
    </w:p>
    <w:p w14:paraId="6E208AF7">
      <w:pPr>
        <w:ind w:firstLine="422"/>
        <w:jc w:val="left"/>
        <w:rPr>
          <w:rFonts w:ascii="宋体" w:hAnsi="宋体"/>
          <w:kern w:val="44"/>
        </w:rPr>
      </w:pPr>
      <w:r>
        <w:rPr>
          <w:rFonts w:hint="eastAsia" w:ascii="宋体" w:hAnsi="宋体"/>
          <w:b/>
          <w:kern w:val="44"/>
        </w:rPr>
        <w:t>第二十五条</w:t>
      </w:r>
      <w:r>
        <w:rPr>
          <w:rFonts w:hint="eastAsia" w:ascii="宋体" w:hAnsi="宋体"/>
          <w:kern w:val="44"/>
        </w:rPr>
        <w:t>　出租方出租不属于其集体所有的荒山，给承租方造成损失的，应当承担相应的责任。</w:t>
      </w:r>
    </w:p>
    <w:p w14:paraId="5BDB4000">
      <w:pPr>
        <w:ind w:firstLine="422"/>
        <w:jc w:val="left"/>
        <w:rPr>
          <w:rFonts w:ascii="宋体" w:hAnsi="宋体"/>
          <w:kern w:val="44"/>
        </w:rPr>
      </w:pPr>
      <w:r>
        <w:rPr>
          <w:rFonts w:hint="eastAsia" w:ascii="宋体" w:hAnsi="宋体"/>
          <w:b/>
          <w:kern w:val="44"/>
        </w:rPr>
        <w:t>第二十六条</w:t>
      </w:r>
      <w:r>
        <w:rPr>
          <w:rFonts w:hint="eastAsia" w:ascii="宋体" w:hAnsi="宋体"/>
          <w:kern w:val="44"/>
        </w:rPr>
        <w:t>　租赁合同一方当事人要求变更或者解除合同，应当及时书面通知对方；对方应当在接到通知书30日内予以书面答复。</w:t>
      </w:r>
    </w:p>
    <w:p w14:paraId="60043C0E">
      <w:pPr>
        <w:jc w:val="left"/>
        <w:rPr>
          <w:rFonts w:ascii="宋体" w:hAnsi="宋体"/>
          <w:kern w:val="44"/>
        </w:rPr>
      </w:pPr>
      <w:r>
        <w:rPr>
          <w:rFonts w:hint="eastAsia" w:ascii="宋体" w:hAnsi="宋体"/>
          <w:kern w:val="44"/>
        </w:rPr>
        <w:t>双方当事人就变更或者解除租赁合同达成书面协议后，应当在协议书上签字盖章，并报乡、镇人民政府和区、县人民政府备案。</w:t>
      </w:r>
    </w:p>
    <w:p w14:paraId="431F9795">
      <w:pPr>
        <w:ind w:firstLine="422"/>
        <w:jc w:val="left"/>
        <w:rPr>
          <w:rFonts w:ascii="宋体" w:hAnsi="宋体"/>
          <w:kern w:val="44"/>
        </w:rPr>
      </w:pPr>
      <w:r>
        <w:rPr>
          <w:rFonts w:hint="eastAsia" w:ascii="宋体" w:hAnsi="宋体"/>
          <w:b/>
          <w:kern w:val="44"/>
        </w:rPr>
        <w:t>第二十七条</w:t>
      </w:r>
      <w:r>
        <w:rPr>
          <w:rFonts w:hint="eastAsia" w:ascii="宋体" w:hAnsi="宋体"/>
          <w:kern w:val="44"/>
        </w:rPr>
        <w:t>　租赁合同期满后，可以续租。续租需经双方当事人协商一致，并重新签订合同。</w:t>
      </w:r>
    </w:p>
    <w:p w14:paraId="5404431B">
      <w:pPr>
        <w:ind w:firstLine="422"/>
        <w:jc w:val="left"/>
        <w:rPr>
          <w:rFonts w:ascii="宋体" w:hAnsi="宋体"/>
          <w:kern w:val="44"/>
        </w:rPr>
      </w:pPr>
      <w:r>
        <w:rPr>
          <w:rFonts w:hint="eastAsia" w:ascii="宋体" w:hAnsi="宋体"/>
          <w:b/>
          <w:kern w:val="44"/>
        </w:rPr>
        <w:t>第二十八条</w:t>
      </w:r>
      <w:r>
        <w:rPr>
          <w:rFonts w:hint="eastAsia" w:ascii="宋体" w:hAnsi="宋体"/>
          <w:kern w:val="44"/>
        </w:rPr>
        <w:t>　租赁合同发生纠纷时，当事人可以通过协商或者由人民政府调解解决。当事人不愿通过协商、调解解决或者协商、调解不成的，可以向农村土地承包仲裁机构申请仲裁，也可以直接向人民法院起诉。</w:t>
      </w:r>
    </w:p>
    <w:p w14:paraId="032DCBB5">
      <w:pPr>
        <w:jc w:val="left"/>
        <w:rPr>
          <w:rFonts w:ascii="宋体" w:hAnsi="宋体"/>
          <w:kern w:val="44"/>
        </w:rPr>
      </w:pPr>
      <w:r>
        <w:rPr>
          <w:rFonts w:hint="eastAsia" w:ascii="宋体" w:hAnsi="宋体"/>
          <w:kern w:val="44"/>
        </w:rPr>
        <w:t>仲裁作出裁决，由仲裁委员会制作仲裁裁决书。对仲裁委员会的仲裁裁决，当事人应当履行。当事人一方在规定的期限内不履行仲裁委员会的仲裁裁决的，对方可以申请人民法院强制执行。</w:t>
      </w:r>
    </w:p>
    <w:p w14:paraId="6FA951BF">
      <w:pPr>
        <w:jc w:val="left"/>
        <w:rPr>
          <w:rFonts w:ascii="宋体" w:hAnsi="宋体"/>
          <w:kern w:val="44"/>
        </w:rPr>
      </w:pPr>
    </w:p>
    <w:p w14:paraId="282E4B8B">
      <w:pPr>
        <w:ind w:firstLine="0" w:firstLineChars="0"/>
        <w:jc w:val="center"/>
        <w:rPr>
          <w:rFonts w:ascii="宋体" w:hAnsi="宋体"/>
          <w:b/>
          <w:kern w:val="44"/>
          <w:sz w:val="28"/>
        </w:rPr>
      </w:pPr>
      <w:r>
        <w:rPr>
          <w:rFonts w:hint="eastAsia" w:ascii="宋体" w:hAnsi="宋体"/>
          <w:b/>
          <w:kern w:val="44"/>
          <w:sz w:val="28"/>
        </w:rPr>
        <w:t>第五章　附　则</w:t>
      </w:r>
    </w:p>
    <w:p w14:paraId="1E4C9A82">
      <w:pPr>
        <w:jc w:val="left"/>
        <w:rPr>
          <w:rFonts w:ascii="宋体" w:hAnsi="宋体"/>
          <w:kern w:val="44"/>
        </w:rPr>
      </w:pPr>
    </w:p>
    <w:p w14:paraId="0AEDCDBD">
      <w:pPr>
        <w:ind w:firstLine="422"/>
        <w:jc w:val="left"/>
        <w:rPr>
          <w:rFonts w:ascii="宋体" w:hAnsi="宋体"/>
          <w:kern w:val="44"/>
        </w:rPr>
      </w:pPr>
      <w:r>
        <w:rPr>
          <w:rFonts w:hint="eastAsia" w:ascii="宋体" w:hAnsi="宋体"/>
          <w:b/>
          <w:kern w:val="44"/>
        </w:rPr>
        <w:t>第二十九条</w:t>
      </w:r>
      <w:r>
        <w:rPr>
          <w:rFonts w:hint="eastAsia" w:ascii="宋体" w:hAnsi="宋体"/>
          <w:kern w:val="44"/>
        </w:rPr>
        <w:t>　本条例具体应用中的问题，由市人民政府农林办公室负责解释。</w:t>
      </w:r>
    </w:p>
    <w:p w14:paraId="501C54D1">
      <w:pPr>
        <w:ind w:firstLine="422"/>
        <w:jc w:val="left"/>
        <w:rPr>
          <w:rFonts w:ascii="宋体" w:hAnsi="宋体"/>
          <w:kern w:val="44"/>
        </w:rPr>
      </w:pPr>
      <w:r>
        <w:rPr>
          <w:rFonts w:hint="eastAsia" w:ascii="宋体" w:hAnsi="宋体"/>
          <w:b/>
          <w:kern w:val="44"/>
        </w:rPr>
        <w:t>第三十条</w:t>
      </w:r>
      <w:r>
        <w:rPr>
          <w:rFonts w:hint="eastAsia" w:ascii="宋体" w:hAnsi="宋体"/>
          <w:kern w:val="44"/>
        </w:rPr>
        <w:t>　本条例自1994年10月1日起施行。</w:t>
      </w:r>
    </w:p>
    <w:p w14:paraId="0D01E420">
      <w:pPr>
        <w:pStyle w:val="4"/>
        <w:pageBreakBefore/>
        <w:rPr>
          <w:kern w:val="44"/>
        </w:rPr>
      </w:pPr>
      <w:bookmarkStart w:id="1070" w:name="_Toc428780136"/>
      <w:bookmarkStart w:id="1071" w:name="_Toc422471286"/>
      <w:bookmarkStart w:id="1072" w:name="_Toc427651912"/>
      <w:bookmarkStart w:id="1073" w:name="_Toc428781618"/>
      <w:bookmarkStart w:id="1074" w:name="_Toc427651570"/>
      <w:r>
        <w:rPr>
          <w:rFonts w:hint="eastAsia"/>
          <w:kern w:val="44"/>
        </w:rPr>
        <w:t>北京市实施《中华人民共和国</w:t>
      </w:r>
      <w:bookmarkEnd w:id="1070"/>
      <w:bookmarkEnd w:id="1071"/>
      <w:bookmarkEnd w:id="1072"/>
      <w:bookmarkEnd w:id="1073"/>
      <w:bookmarkEnd w:id="1074"/>
    </w:p>
    <w:p w14:paraId="294B3E5C">
      <w:pPr>
        <w:pStyle w:val="4"/>
        <w:rPr>
          <w:kern w:val="44"/>
        </w:rPr>
      </w:pPr>
      <w:bookmarkStart w:id="1075" w:name="_Toc427651913"/>
      <w:bookmarkStart w:id="1076" w:name="_Toc428780137"/>
      <w:bookmarkStart w:id="1077" w:name="_Toc422471287"/>
      <w:bookmarkStart w:id="1078" w:name="_Toc428781619"/>
      <w:bookmarkStart w:id="1079" w:name="_Toc427651571"/>
      <w:r>
        <w:rPr>
          <w:rFonts w:hint="eastAsia"/>
          <w:kern w:val="44"/>
        </w:rPr>
        <w:t>农业技术推广法》办法</w:t>
      </w:r>
      <w:bookmarkEnd w:id="1075"/>
      <w:bookmarkEnd w:id="1076"/>
      <w:bookmarkEnd w:id="1077"/>
      <w:bookmarkEnd w:id="1078"/>
      <w:bookmarkEnd w:id="1079"/>
    </w:p>
    <w:p w14:paraId="2FF4C29C">
      <w:pPr>
        <w:ind w:left="630" w:leftChars="300" w:right="630" w:rightChars="300"/>
        <w:jc w:val="left"/>
        <w:rPr>
          <w:rFonts w:ascii="楷体" w:hAnsi="楷体" w:eastAsia="楷体"/>
          <w:kern w:val="44"/>
        </w:rPr>
      </w:pPr>
      <w:r>
        <w:rPr>
          <w:rFonts w:hint="eastAsia" w:ascii="楷体" w:hAnsi="楷体" w:eastAsia="楷体"/>
          <w:kern w:val="44"/>
        </w:rPr>
        <w:t>（1995年6月8日北京市第十届人民代表大会常务委员会第十七次会议通过  1995年6月8日北京市人民代表大会常务委员会公告第44号公布  1995年8月1日起施行）</w:t>
      </w:r>
    </w:p>
    <w:p w14:paraId="31913FA1">
      <w:pPr>
        <w:jc w:val="left"/>
        <w:rPr>
          <w:rFonts w:ascii="宋体" w:hAnsi="宋体"/>
          <w:kern w:val="44"/>
        </w:rPr>
      </w:pPr>
    </w:p>
    <w:p w14:paraId="7D2A3F25">
      <w:pPr>
        <w:ind w:firstLine="0" w:firstLineChars="0"/>
        <w:jc w:val="center"/>
        <w:rPr>
          <w:rFonts w:ascii="宋体" w:hAnsi="宋体"/>
          <w:b/>
          <w:kern w:val="44"/>
          <w:sz w:val="28"/>
        </w:rPr>
      </w:pPr>
      <w:r>
        <w:rPr>
          <w:rFonts w:hint="eastAsia" w:ascii="宋体" w:hAnsi="宋体"/>
          <w:b/>
          <w:kern w:val="44"/>
          <w:sz w:val="28"/>
        </w:rPr>
        <w:t>第一章　总　则</w:t>
      </w:r>
    </w:p>
    <w:p w14:paraId="4458CE1B">
      <w:pPr>
        <w:jc w:val="left"/>
        <w:rPr>
          <w:rFonts w:ascii="宋体" w:hAnsi="宋体"/>
          <w:kern w:val="44"/>
        </w:rPr>
      </w:pPr>
    </w:p>
    <w:p w14:paraId="3DD69F28">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为了实施《中华人民共和国农业技术推广法》，结合本市实际情况，制定本办法。</w:t>
      </w:r>
    </w:p>
    <w:p w14:paraId="59E01188">
      <w:pPr>
        <w:ind w:firstLine="422"/>
        <w:jc w:val="left"/>
        <w:rPr>
          <w:rFonts w:ascii="宋体" w:hAnsi="宋体"/>
          <w:kern w:val="44"/>
        </w:rPr>
      </w:pPr>
      <w:r>
        <w:rPr>
          <w:rFonts w:hint="eastAsia" w:ascii="宋体" w:hAnsi="宋体"/>
          <w:b/>
          <w:kern w:val="44"/>
        </w:rPr>
        <w:t>第二条</w:t>
      </w:r>
      <w:r>
        <w:rPr>
          <w:rFonts w:hint="eastAsia" w:ascii="宋体" w:hAnsi="宋体"/>
          <w:kern w:val="44"/>
        </w:rPr>
        <w:t>　本市各级人民政府应当将农业技术推广工作纳入国民经济和社会发展计划，加强领导，稳定机构，增加经费，更新装备，促进农业技术推广事业的发展。</w:t>
      </w:r>
    </w:p>
    <w:p w14:paraId="0032B113">
      <w:pPr>
        <w:ind w:firstLine="422"/>
        <w:jc w:val="left"/>
        <w:rPr>
          <w:rFonts w:ascii="宋体" w:hAnsi="宋体"/>
          <w:kern w:val="44"/>
        </w:rPr>
      </w:pPr>
      <w:r>
        <w:rPr>
          <w:rFonts w:hint="eastAsia" w:ascii="宋体" w:hAnsi="宋体"/>
          <w:b/>
          <w:kern w:val="44"/>
        </w:rPr>
        <w:t>第三条</w:t>
      </w:r>
      <w:r>
        <w:rPr>
          <w:rFonts w:hint="eastAsia" w:ascii="宋体" w:hAnsi="宋体"/>
          <w:kern w:val="44"/>
        </w:rPr>
        <w:t>　市和郊区区县农业、林业、畜牧业、渔业、水利、农机等行政部门（以下简称农业技术推广行政部门），按照各自的职责，主管本行政区域内有关的农业技术推广工作。</w:t>
      </w:r>
    </w:p>
    <w:p w14:paraId="1329EFE5">
      <w:pPr>
        <w:jc w:val="left"/>
        <w:rPr>
          <w:rFonts w:ascii="宋体" w:hAnsi="宋体"/>
          <w:kern w:val="44"/>
        </w:rPr>
      </w:pPr>
      <w:r>
        <w:rPr>
          <w:rFonts w:hint="eastAsia" w:ascii="宋体" w:hAnsi="宋体"/>
          <w:kern w:val="44"/>
        </w:rPr>
        <w:t>计划、财政、税收、教育等行政部门，应当在各自的职责范围内，支持农业技术推广工作；科学技术行政部门应当加强对农业技术推广工作的指导。</w:t>
      </w:r>
    </w:p>
    <w:p w14:paraId="7CD6FF86">
      <w:pPr>
        <w:ind w:firstLine="422"/>
        <w:jc w:val="left"/>
        <w:rPr>
          <w:rFonts w:ascii="宋体" w:hAnsi="宋体"/>
          <w:kern w:val="44"/>
        </w:rPr>
      </w:pPr>
      <w:r>
        <w:rPr>
          <w:rFonts w:hint="eastAsia" w:ascii="宋体" w:hAnsi="宋体"/>
          <w:b/>
          <w:kern w:val="44"/>
        </w:rPr>
        <w:t>第四条</w:t>
      </w:r>
      <w:r>
        <w:rPr>
          <w:rFonts w:hint="eastAsia" w:ascii="宋体" w:hAnsi="宋体"/>
          <w:kern w:val="44"/>
        </w:rPr>
        <w:t>　市人民政府和郊区区县人民政府设立农业技术推广奖，对在农业技术推广工作中做出突出贡献的单位和个人给予奖励。</w:t>
      </w:r>
    </w:p>
    <w:p w14:paraId="28090978">
      <w:pPr>
        <w:jc w:val="left"/>
        <w:rPr>
          <w:rFonts w:ascii="宋体" w:hAnsi="宋体"/>
          <w:kern w:val="44"/>
        </w:rPr>
      </w:pPr>
    </w:p>
    <w:p w14:paraId="313FE69A">
      <w:pPr>
        <w:ind w:firstLine="0" w:firstLineChars="0"/>
        <w:jc w:val="center"/>
        <w:rPr>
          <w:rFonts w:ascii="宋体" w:hAnsi="宋体"/>
          <w:b/>
          <w:kern w:val="44"/>
          <w:sz w:val="28"/>
        </w:rPr>
      </w:pPr>
      <w:r>
        <w:rPr>
          <w:rFonts w:hint="eastAsia" w:ascii="宋体" w:hAnsi="宋体"/>
          <w:b/>
          <w:kern w:val="44"/>
          <w:sz w:val="28"/>
        </w:rPr>
        <w:t>第二章　农业技术推广体系</w:t>
      </w:r>
    </w:p>
    <w:p w14:paraId="5E99760F">
      <w:pPr>
        <w:jc w:val="left"/>
        <w:rPr>
          <w:rFonts w:ascii="宋体" w:hAnsi="宋体"/>
          <w:kern w:val="44"/>
        </w:rPr>
      </w:pPr>
    </w:p>
    <w:p w14:paraId="75490E13">
      <w:pPr>
        <w:ind w:firstLine="422"/>
        <w:jc w:val="left"/>
        <w:rPr>
          <w:rFonts w:ascii="宋体" w:hAnsi="宋体"/>
          <w:kern w:val="44"/>
        </w:rPr>
      </w:pPr>
      <w:r>
        <w:rPr>
          <w:rFonts w:hint="eastAsia" w:ascii="宋体" w:hAnsi="宋体"/>
          <w:b/>
          <w:kern w:val="44"/>
        </w:rPr>
        <w:t>第五条</w:t>
      </w:r>
      <w:r>
        <w:rPr>
          <w:rFonts w:hint="eastAsia" w:ascii="宋体" w:hAnsi="宋体"/>
          <w:kern w:val="44"/>
        </w:rPr>
        <w:t>　农业技术推广实行农业技术推广机构和农业科研单位、有关学校以及群众性科技组织、农民技术人员相结合的推广体系。</w:t>
      </w:r>
    </w:p>
    <w:p w14:paraId="3C261246">
      <w:pPr>
        <w:ind w:firstLine="422"/>
        <w:jc w:val="left"/>
        <w:rPr>
          <w:rFonts w:ascii="宋体" w:hAnsi="宋体"/>
          <w:kern w:val="44"/>
        </w:rPr>
      </w:pPr>
      <w:r>
        <w:rPr>
          <w:rFonts w:hint="eastAsia" w:ascii="宋体" w:hAnsi="宋体"/>
          <w:b/>
          <w:kern w:val="44"/>
        </w:rPr>
        <w:t>第六条</w:t>
      </w:r>
      <w:r>
        <w:rPr>
          <w:rFonts w:hint="eastAsia" w:ascii="宋体" w:hAnsi="宋体"/>
          <w:kern w:val="44"/>
        </w:rPr>
        <w:t>　市和郊区区县应当设立农业、林业、畜牧业、渔业、水利、农机、经营管理等农业技术推广机构。</w:t>
      </w:r>
    </w:p>
    <w:p w14:paraId="19CE20DF">
      <w:pPr>
        <w:jc w:val="left"/>
        <w:rPr>
          <w:rFonts w:ascii="宋体" w:hAnsi="宋体"/>
          <w:kern w:val="44"/>
        </w:rPr>
      </w:pPr>
      <w:r>
        <w:rPr>
          <w:rFonts w:hint="eastAsia" w:ascii="宋体" w:hAnsi="宋体"/>
          <w:kern w:val="44"/>
        </w:rPr>
        <w:t>乡、镇应当设立农业、林业、畜牧业、水利、农机、经营管理等农业技术推广机构，渔业技术推广机构的设立，由区、县人民政府决定。</w:t>
      </w:r>
    </w:p>
    <w:p w14:paraId="4C2FEC97">
      <w:pPr>
        <w:jc w:val="left"/>
        <w:rPr>
          <w:rFonts w:ascii="宋体" w:hAnsi="宋体"/>
          <w:kern w:val="44"/>
        </w:rPr>
      </w:pPr>
      <w:r>
        <w:rPr>
          <w:rFonts w:hint="eastAsia" w:ascii="宋体" w:hAnsi="宋体"/>
          <w:kern w:val="44"/>
        </w:rPr>
        <w:t>各级人民政府应当保证农业技术推广机构的稳定，不得擅自撤销、合并或者改变机构性质，违反的，由上级人民政府予以纠正。</w:t>
      </w:r>
    </w:p>
    <w:p w14:paraId="0A7186F5">
      <w:pPr>
        <w:ind w:firstLine="422"/>
        <w:jc w:val="left"/>
        <w:rPr>
          <w:rFonts w:ascii="宋体" w:hAnsi="宋体"/>
          <w:kern w:val="44"/>
        </w:rPr>
      </w:pPr>
      <w:r>
        <w:rPr>
          <w:rFonts w:hint="eastAsia" w:ascii="宋体" w:hAnsi="宋体"/>
          <w:b/>
          <w:kern w:val="44"/>
        </w:rPr>
        <w:t>第七条</w:t>
      </w:r>
      <w:r>
        <w:rPr>
          <w:rFonts w:hint="eastAsia" w:ascii="宋体" w:hAnsi="宋体"/>
          <w:kern w:val="44"/>
        </w:rPr>
        <w:t>　乡、镇以上（含乡、镇）农业技术推广机构为国家事业单位。</w:t>
      </w:r>
    </w:p>
    <w:p w14:paraId="434318AD">
      <w:pPr>
        <w:jc w:val="left"/>
        <w:rPr>
          <w:rFonts w:ascii="宋体" w:hAnsi="宋体"/>
          <w:kern w:val="44"/>
        </w:rPr>
      </w:pPr>
      <w:r>
        <w:rPr>
          <w:rFonts w:hint="eastAsia" w:ascii="宋体" w:hAnsi="宋体"/>
          <w:kern w:val="44"/>
        </w:rPr>
        <w:t>下级农业技术推广机构受上级农业技术推广机构的业务指导。</w:t>
      </w:r>
    </w:p>
    <w:p w14:paraId="0F9F243E">
      <w:pPr>
        <w:ind w:firstLine="422"/>
        <w:jc w:val="left"/>
        <w:rPr>
          <w:rFonts w:ascii="宋体" w:hAnsi="宋体"/>
          <w:kern w:val="44"/>
        </w:rPr>
      </w:pPr>
      <w:r>
        <w:rPr>
          <w:rFonts w:hint="eastAsia" w:ascii="宋体" w:hAnsi="宋体"/>
          <w:b/>
          <w:kern w:val="44"/>
        </w:rPr>
        <w:t>第八条</w:t>
      </w:r>
      <w:r>
        <w:rPr>
          <w:rFonts w:hint="eastAsia" w:ascii="宋体" w:hAnsi="宋体"/>
          <w:kern w:val="44"/>
        </w:rPr>
        <w:t>　各级农业技术推广机构应当充实队伍，定编、定员。</w:t>
      </w:r>
    </w:p>
    <w:p w14:paraId="767C3F60">
      <w:pPr>
        <w:jc w:val="left"/>
        <w:rPr>
          <w:rFonts w:ascii="宋体" w:hAnsi="宋体"/>
          <w:kern w:val="44"/>
        </w:rPr>
      </w:pPr>
      <w:r>
        <w:rPr>
          <w:rFonts w:hint="eastAsia" w:ascii="宋体" w:hAnsi="宋体"/>
          <w:kern w:val="44"/>
        </w:rPr>
        <w:t>各级农业技术推广机构的人员编制，由同级农业技术推广行政部门按照国家和本市有关规定，报机构编制主管部门审批后确定。</w:t>
      </w:r>
    </w:p>
    <w:p w14:paraId="6B4015B1">
      <w:pPr>
        <w:ind w:firstLine="422"/>
        <w:jc w:val="left"/>
        <w:rPr>
          <w:rFonts w:ascii="宋体" w:hAnsi="宋体"/>
          <w:kern w:val="44"/>
        </w:rPr>
      </w:pPr>
      <w:r>
        <w:rPr>
          <w:rFonts w:hint="eastAsia" w:ascii="宋体" w:hAnsi="宋体"/>
          <w:b/>
          <w:kern w:val="44"/>
        </w:rPr>
        <w:t>第九条</w:t>
      </w:r>
      <w:r>
        <w:rPr>
          <w:rFonts w:hint="eastAsia" w:ascii="宋体" w:hAnsi="宋体"/>
          <w:kern w:val="44"/>
        </w:rPr>
        <w:t>　农业技术推广机构的人员应当以专业技术人员为主，专业技术人员的比例应当占编制人员总数的百分之八十以上。</w:t>
      </w:r>
    </w:p>
    <w:p w14:paraId="127DDDED">
      <w:pPr>
        <w:jc w:val="left"/>
        <w:rPr>
          <w:rFonts w:ascii="宋体" w:hAnsi="宋体"/>
          <w:kern w:val="44"/>
        </w:rPr>
      </w:pPr>
      <w:r>
        <w:rPr>
          <w:rFonts w:hint="eastAsia" w:ascii="宋体" w:hAnsi="宋体"/>
          <w:kern w:val="44"/>
        </w:rPr>
        <w:t>乡、镇以上农业技术推广机构中的专业技术人员，应当具有中等以上有关专业学历。</w:t>
      </w:r>
    </w:p>
    <w:p w14:paraId="72B88074">
      <w:pPr>
        <w:ind w:firstLine="422"/>
        <w:jc w:val="left"/>
        <w:rPr>
          <w:rFonts w:ascii="宋体" w:hAnsi="宋体"/>
          <w:kern w:val="44"/>
        </w:rPr>
      </w:pPr>
      <w:r>
        <w:rPr>
          <w:rFonts w:hint="eastAsia" w:ascii="宋体" w:hAnsi="宋体"/>
          <w:b/>
          <w:kern w:val="44"/>
        </w:rPr>
        <w:t>第十条</w:t>
      </w:r>
      <w:r>
        <w:rPr>
          <w:rFonts w:hint="eastAsia" w:ascii="宋体" w:hAnsi="宋体"/>
          <w:kern w:val="44"/>
        </w:rPr>
        <w:t>　农村集体经济组织及其所属农业生产经营单位，应当根据需要配备专职或者兼职技术人员，负责农业先进技术的应用。</w:t>
      </w:r>
    </w:p>
    <w:p w14:paraId="11DBA10E">
      <w:pPr>
        <w:jc w:val="left"/>
        <w:rPr>
          <w:rFonts w:ascii="宋体" w:hAnsi="宋体"/>
          <w:kern w:val="44"/>
        </w:rPr>
      </w:pPr>
      <w:r>
        <w:rPr>
          <w:rFonts w:hint="eastAsia" w:ascii="宋体" w:hAnsi="宋体"/>
          <w:kern w:val="44"/>
        </w:rPr>
        <w:t>国有农业企业应当设置农业科技机构或者配备专业技术人员。</w:t>
      </w:r>
    </w:p>
    <w:p w14:paraId="478068B8">
      <w:pPr>
        <w:ind w:firstLine="422"/>
        <w:jc w:val="left"/>
        <w:rPr>
          <w:rFonts w:ascii="宋体" w:hAnsi="宋体"/>
          <w:kern w:val="44"/>
        </w:rPr>
      </w:pPr>
      <w:r>
        <w:rPr>
          <w:rFonts w:hint="eastAsia" w:ascii="宋体" w:hAnsi="宋体"/>
          <w:b/>
          <w:kern w:val="44"/>
        </w:rPr>
        <w:t>第十一条</w:t>
      </w:r>
      <w:r>
        <w:rPr>
          <w:rFonts w:hint="eastAsia" w:ascii="宋体" w:hAnsi="宋体"/>
          <w:kern w:val="44"/>
        </w:rPr>
        <w:t>　对乡、镇以上（含乡、镇）农业技术推广机构中的专业技术人员应当评定专业技术职称。在评定职称时应当将其从事农业技术推广工作的实绩作为考核的重要内容。</w:t>
      </w:r>
    </w:p>
    <w:p w14:paraId="5FC3C910">
      <w:pPr>
        <w:jc w:val="left"/>
        <w:rPr>
          <w:rFonts w:ascii="宋体" w:hAnsi="宋体"/>
          <w:kern w:val="44"/>
        </w:rPr>
      </w:pPr>
      <w:r>
        <w:rPr>
          <w:rFonts w:hint="eastAsia" w:ascii="宋体" w:hAnsi="宋体"/>
          <w:kern w:val="44"/>
        </w:rPr>
        <w:t>农民技术人员经考核符合条件的，可以按照有关规定授予相应的技术职称，并发给证书。</w:t>
      </w:r>
    </w:p>
    <w:p w14:paraId="7BD0116A">
      <w:pPr>
        <w:ind w:firstLine="422"/>
        <w:jc w:val="left"/>
        <w:rPr>
          <w:rFonts w:ascii="宋体" w:hAnsi="宋体"/>
          <w:kern w:val="44"/>
        </w:rPr>
      </w:pPr>
      <w:r>
        <w:rPr>
          <w:rFonts w:hint="eastAsia" w:ascii="宋体" w:hAnsi="宋体"/>
          <w:b/>
          <w:kern w:val="44"/>
        </w:rPr>
        <w:t>第十二条</w:t>
      </w:r>
      <w:r>
        <w:rPr>
          <w:rFonts w:hint="eastAsia" w:ascii="宋体" w:hAnsi="宋体"/>
          <w:kern w:val="44"/>
        </w:rPr>
        <w:t>　农业科研单位、有关学校、科学技术协会，应当配合农业技术推广机构开展实用技术培训、科普宣传、成果展示等形式的活动，为农村集体经济组织和农业劳动者从事生产经营活动提供技术服务和信息咨询。</w:t>
      </w:r>
    </w:p>
    <w:p w14:paraId="60AF745D">
      <w:pPr>
        <w:jc w:val="left"/>
        <w:rPr>
          <w:rFonts w:ascii="宋体" w:hAnsi="宋体"/>
          <w:kern w:val="44"/>
        </w:rPr>
      </w:pPr>
      <w:r>
        <w:rPr>
          <w:rFonts w:hint="eastAsia" w:ascii="宋体" w:hAnsi="宋体"/>
          <w:kern w:val="44"/>
        </w:rPr>
        <w:t>鼓励和支持农业集体经济组织、企业、事业单位和其他社会力量，在农业技术推广中发挥作用。</w:t>
      </w:r>
    </w:p>
    <w:p w14:paraId="63BAF6D7">
      <w:pPr>
        <w:jc w:val="left"/>
        <w:rPr>
          <w:rFonts w:ascii="宋体" w:hAnsi="宋体"/>
          <w:kern w:val="44"/>
        </w:rPr>
      </w:pPr>
    </w:p>
    <w:p w14:paraId="5E77F1E7">
      <w:pPr>
        <w:ind w:firstLine="0" w:firstLineChars="0"/>
        <w:jc w:val="center"/>
        <w:rPr>
          <w:rFonts w:ascii="宋体" w:hAnsi="宋体"/>
          <w:b/>
          <w:kern w:val="44"/>
          <w:sz w:val="28"/>
        </w:rPr>
      </w:pPr>
      <w:r>
        <w:rPr>
          <w:rFonts w:hint="eastAsia" w:ascii="宋体" w:hAnsi="宋体"/>
          <w:b/>
          <w:kern w:val="44"/>
          <w:sz w:val="28"/>
        </w:rPr>
        <w:t>第三章　农业技术的推广与应用</w:t>
      </w:r>
    </w:p>
    <w:p w14:paraId="3C212A7F">
      <w:pPr>
        <w:jc w:val="left"/>
        <w:rPr>
          <w:rFonts w:ascii="宋体" w:hAnsi="宋体"/>
          <w:kern w:val="44"/>
        </w:rPr>
      </w:pPr>
    </w:p>
    <w:p w14:paraId="550693D0">
      <w:pPr>
        <w:ind w:firstLine="422"/>
        <w:jc w:val="left"/>
        <w:rPr>
          <w:rFonts w:ascii="宋体" w:hAnsi="宋体"/>
          <w:kern w:val="44"/>
        </w:rPr>
      </w:pPr>
      <w:r>
        <w:rPr>
          <w:rFonts w:hint="eastAsia" w:ascii="宋体" w:hAnsi="宋体"/>
          <w:b/>
          <w:kern w:val="44"/>
        </w:rPr>
        <w:t>第十三条</w:t>
      </w:r>
      <w:r>
        <w:rPr>
          <w:rFonts w:hint="eastAsia" w:ascii="宋体" w:hAnsi="宋体"/>
          <w:kern w:val="44"/>
        </w:rPr>
        <w:t>　各级农业技术推广机构应当制定农业技术推广项目计划，经同级农业技术推广行政部门批准后实施。重点农业技术推广项目应当列入同级人民政府科技发展计划，并下达实施。</w:t>
      </w:r>
    </w:p>
    <w:p w14:paraId="285E344F">
      <w:pPr>
        <w:jc w:val="left"/>
        <w:rPr>
          <w:rFonts w:ascii="宋体" w:hAnsi="宋体"/>
          <w:kern w:val="44"/>
        </w:rPr>
      </w:pPr>
      <w:r>
        <w:rPr>
          <w:rFonts w:hint="eastAsia" w:ascii="宋体" w:hAnsi="宋体"/>
          <w:kern w:val="44"/>
        </w:rPr>
        <w:t>列入计划的农业技术推广项目所需经费，在农业技术推广资金或者科技经费中列支。</w:t>
      </w:r>
    </w:p>
    <w:p w14:paraId="163A5911">
      <w:pPr>
        <w:ind w:firstLine="422"/>
        <w:jc w:val="left"/>
        <w:rPr>
          <w:rFonts w:ascii="宋体" w:hAnsi="宋体"/>
          <w:kern w:val="44"/>
        </w:rPr>
      </w:pPr>
      <w:r>
        <w:rPr>
          <w:rFonts w:hint="eastAsia" w:ascii="宋体" w:hAnsi="宋体"/>
          <w:b/>
          <w:kern w:val="44"/>
        </w:rPr>
        <w:t>第十四条</w:t>
      </w:r>
      <w:r>
        <w:rPr>
          <w:rFonts w:hint="eastAsia" w:ascii="宋体" w:hAnsi="宋体"/>
          <w:kern w:val="44"/>
        </w:rPr>
        <w:t>　推广的农业技术必须具有先进性、适用性和经济合理性。</w:t>
      </w:r>
    </w:p>
    <w:p w14:paraId="453511A3">
      <w:pPr>
        <w:jc w:val="left"/>
        <w:rPr>
          <w:rFonts w:ascii="宋体" w:hAnsi="宋体"/>
          <w:kern w:val="44"/>
        </w:rPr>
      </w:pPr>
      <w:r>
        <w:rPr>
          <w:rFonts w:hint="eastAsia" w:ascii="宋体" w:hAnsi="宋体"/>
          <w:kern w:val="44"/>
        </w:rPr>
        <w:t>推广的农业技术必须是按规定经过审定、鉴定、登记的技术成果。</w:t>
      </w:r>
    </w:p>
    <w:p w14:paraId="26B5FA9E">
      <w:pPr>
        <w:jc w:val="left"/>
        <w:rPr>
          <w:rFonts w:ascii="宋体" w:hAnsi="宋体"/>
          <w:kern w:val="44"/>
        </w:rPr>
      </w:pPr>
      <w:r>
        <w:rPr>
          <w:rFonts w:hint="eastAsia" w:ascii="宋体" w:hAnsi="宋体"/>
          <w:kern w:val="44"/>
        </w:rPr>
        <w:t>推广农业技术必须经过试验、示范。</w:t>
      </w:r>
    </w:p>
    <w:p w14:paraId="70B7929A">
      <w:pPr>
        <w:ind w:firstLine="422"/>
        <w:jc w:val="left"/>
        <w:rPr>
          <w:rFonts w:ascii="宋体" w:hAnsi="宋体"/>
          <w:kern w:val="44"/>
        </w:rPr>
      </w:pPr>
      <w:r>
        <w:rPr>
          <w:rFonts w:hint="eastAsia" w:ascii="宋体" w:hAnsi="宋体"/>
          <w:b/>
          <w:kern w:val="44"/>
        </w:rPr>
        <w:t>第十五条</w:t>
      </w:r>
      <w:r>
        <w:rPr>
          <w:rFonts w:hint="eastAsia" w:ascii="宋体" w:hAnsi="宋体"/>
          <w:kern w:val="44"/>
        </w:rPr>
        <w:t>　农业技术推广机构应当引导和协助农业劳动者应用新品种、新技术、新成果。农业技术推广机构推广新品种、新技术、新成果应当尊重农业劳动者的意愿。</w:t>
      </w:r>
    </w:p>
    <w:p w14:paraId="584B1EBE">
      <w:pPr>
        <w:jc w:val="left"/>
        <w:rPr>
          <w:rFonts w:ascii="宋体" w:hAnsi="宋体"/>
          <w:kern w:val="44"/>
        </w:rPr>
      </w:pPr>
      <w:r>
        <w:rPr>
          <w:rFonts w:hint="eastAsia" w:ascii="宋体" w:hAnsi="宋体"/>
          <w:kern w:val="44"/>
        </w:rPr>
        <w:t>各级人民政府对采用新品种、新技术、新成果的集体经济组织和农业劳动者，在技术培训、资金、物资供应和产品销售等方面给予扶持。</w:t>
      </w:r>
    </w:p>
    <w:p w14:paraId="4A13DD1C">
      <w:pPr>
        <w:ind w:firstLine="422"/>
        <w:jc w:val="left"/>
        <w:rPr>
          <w:rFonts w:ascii="宋体" w:hAnsi="宋体"/>
          <w:kern w:val="44"/>
        </w:rPr>
      </w:pPr>
      <w:r>
        <w:rPr>
          <w:rFonts w:hint="eastAsia" w:ascii="宋体" w:hAnsi="宋体"/>
          <w:b/>
          <w:kern w:val="44"/>
        </w:rPr>
        <w:t>第十六条</w:t>
      </w:r>
      <w:r>
        <w:rPr>
          <w:rFonts w:hint="eastAsia" w:ascii="宋体" w:hAnsi="宋体"/>
          <w:kern w:val="44"/>
        </w:rPr>
        <w:t>　农业科研单位和有关学校研究的新品种、新技术、新成果，可以通过农业技术推广机构推，也可以由该农业科研单位、学校直接推广，推广方应当接受当地农业技术推广行政部门的管理。</w:t>
      </w:r>
    </w:p>
    <w:p w14:paraId="19CD24CF">
      <w:pPr>
        <w:ind w:firstLine="422"/>
        <w:jc w:val="left"/>
        <w:rPr>
          <w:rFonts w:ascii="宋体" w:hAnsi="宋体"/>
          <w:kern w:val="44"/>
        </w:rPr>
      </w:pPr>
      <w:r>
        <w:rPr>
          <w:rFonts w:hint="eastAsia" w:ascii="宋体" w:hAnsi="宋体"/>
          <w:b/>
          <w:kern w:val="44"/>
        </w:rPr>
        <w:t>第十七条</w:t>
      </w:r>
      <w:r>
        <w:rPr>
          <w:rFonts w:hint="eastAsia" w:ascii="宋体" w:hAnsi="宋体"/>
          <w:kern w:val="44"/>
        </w:rPr>
        <w:t>　农业技术推广实行推广责任制。农业技术推广方应当对所推广的农业技术产生的后果负责。</w:t>
      </w:r>
    </w:p>
    <w:p w14:paraId="79D243C9">
      <w:pPr>
        <w:jc w:val="left"/>
        <w:rPr>
          <w:rFonts w:ascii="宋体" w:hAnsi="宋体"/>
          <w:kern w:val="44"/>
        </w:rPr>
      </w:pPr>
      <w:r>
        <w:rPr>
          <w:rFonts w:hint="eastAsia" w:ascii="宋体" w:hAnsi="宋体"/>
          <w:kern w:val="44"/>
        </w:rPr>
        <w:t>农业技术推广方向农业劳动者推广未在推广地区经过试验证明具有先进性和适用性的农业技术，或者强制农业劳动者应用农业技术，给农业劳动者造成损失的，应当承担民事赔偿责任，直接负责的主管人员和其他直接责任人员，由其所在单位或者上级机关给予行政处分。</w:t>
      </w:r>
    </w:p>
    <w:p w14:paraId="4E6177FE">
      <w:pPr>
        <w:ind w:firstLine="422"/>
        <w:jc w:val="left"/>
        <w:rPr>
          <w:rFonts w:ascii="宋体" w:hAnsi="宋体"/>
          <w:kern w:val="44"/>
        </w:rPr>
      </w:pPr>
      <w:r>
        <w:rPr>
          <w:rFonts w:hint="eastAsia" w:ascii="宋体" w:hAnsi="宋体"/>
          <w:b/>
          <w:kern w:val="44"/>
        </w:rPr>
        <w:t>第十八条</w:t>
      </w:r>
      <w:r>
        <w:rPr>
          <w:rFonts w:hint="eastAsia" w:ascii="宋体" w:hAnsi="宋体"/>
          <w:kern w:val="44"/>
        </w:rPr>
        <w:t>　本市逐步实行农业新品种、新技术、新成果的有偿转让。</w:t>
      </w:r>
    </w:p>
    <w:p w14:paraId="4CF63BFD">
      <w:pPr>
        <w:ind w:firstLine="422"/>
        <w:jc w:val="left"/>
        <w:rPr>
          <w:rFonts w:ascii="宋体" w:hAnsi="宋体"/>
          <w:kern w:val="44"/>
        </w:rPr>
      </w:pPr>
      <w:r>
        <w:rPr>
          <w:rFonts w:hint="eastAsia" w:ascii="宋体" w:hAnsi="宋体"/>
          <w:b/>
          <w:kern w:val="44"/>
        </w:rPr>
        <w:t>第十九条</w:t>
      </w:r>
      <w:r>
        <w:rPr>
          <w:rFonts w:hint="eastAsia" w:ascii="宋体" w:hAnsi="宋体"/>
          <w:kern w:val="44"/>
        </w:rPr>
        <w:t>　农业技术推广机构向农业劳动者推广农业技术，除本条第二款另有规定外，实行无偿服务。</w:t>
      </w:r>
    </w:p>
    <w:p w14:paraId="0C635C17">
      <w:pPr>
        <w:jc w:val="left"/>
        <w:rPr>
          <w:rFonts w:ascii="宋体" w:hAnsi="宋体"/>
          <w:kern w:val="44"/>
        </w:rPr>
      </w:pPr>
      <w:r>
        <w:rPr>
          <w:rFonts w:hint="eastAsia" w:ascii="宋体" w:hAnsi="宋体"/>
          <w:kern w:val="44"/>
        </w:rPr>
        <w:t>农业技术推广机构、农业科研单位、有关学校以及其他组织和科技人员，以技术转让、技术服务和技术承包等形式提供农业技术的，可以实行有偿服务，并应当依法订立合同。</w:t>
      </w:r>
    </w:p>
    <w:p w14:paraId="4B23F867">
      <w:pPr>
        <w:jc w:val="left"/>
        <w:rPr>
          <w:rFonts w:ascii="宋体" w:hAnsi="宋体"/>
          <w:kern w:val="44"/>
        </w:rPr>
      </w:pPr>
      <w:r>
        <w:rPr>
          <w:rFonts w:hint="eastAsia" w:ascii="宋体" w:hAnsi="宋体"/>
          <w:kern w:val="44"/>
        </w:rPr>
        <w:t>农业技术推广机构、农业科研单位、有关学校以及其他组织，应当提取不超过农业技术性收入的百分之五十，奖励直接参加科技研究、开发、咨询和服务的人员。</w:t>
      </w:r>
    </w:p>
    <w:p w14:paraId="32DE9A6C">
      <w:pPr>
        <w:ind w:firstLine="422"/>
        <w:jc w:val="left"/>
        <w:rPr>
          <w:rFonts w:ascii="宋体" w:hAnsi="宋体"/>
          <w:kern w:val="44"/>
        </w:rPr>
      </w:pPr>
      <w:r>
        <w:rPr>
          <w:rFonts w:hint="eastAsia" w:ascii="宋体" w:hAnsi="宋体"/>
          <w:b/>
          <w:kern w:val="44"/>
        </w:rPr>
        <w:t>第二十条</w:t>
      </w:r>
      <w:r>
        <w:rPr>
          <w:rFonts w:hint="eastAsia" w:ascii="宋体" w:hAnsi="宋体"/>
          <w:kern w:val="44"/>
        </w:rPr>
        <w:t>　鼓励农业技术推广机构以技术在股份制、股份合作制的农业企业参股。</w:t>
      </w:r>
    </w:p>
    <w:p w14:paraId="39221A29">
      <w:pPr>
        <w:jc w:val="left"/>
        <w:rPr>
          <w:rFonts w:ascii="宋体" w:hAnsi="宋体"/>
          <w:kern w:val="44"/>
        </w:rPr>
      </w:pPr>
    </w:p>
    <w:p w14:paraId="11502780">
      <w:pPr>
        <w:ind w:firstLine="0" w:firstLineChars="0"/>
        <w:jc w:val="center"/>
        <w:rPr>
          <w:rFonts w:ascii="宋体" w:hAnsi="宋体"/>
          <w:b/>
          <w:kern w:val="44"/>
          <w:sz w:val="28"/>
        </w:rPr>
      </w:pPr>
      <w:r>
        <w:rPr>
          <w:rFonts w:hint="eastAsia" w:ascii="宋体" w:hAnsi="宋体"/>
          <w:b/>
          <w:kern w:val="44"/>
          <w:sz w:val="28"/>
        </w:rPr>
        <w:t>第四章　农业技术推广的保障措施</w:t>
      </w:r>
    </w:p>
    <w:p w14:paraId="590F38F9">
      <w:pPr>
        <w:jc w:val="left"/>
        <w:rPr>
          <w:rFonts w:ascii="宋体" w:hAnsi="宋体"/>
          <w:kern w:val="44"/>
        </w:rPr>
      </w:pPr>
    </w:p>
    <w:p w14:paraId="08848121">
      <w:pPr>
        <w:ind w:firstLine="422"/>
        <w:jc w:val="left"/>
        <w:rPr>
          <w:rFonts w:ascii="宋体" w:hAnsi="宋体"/>
          <w:kern w:val="44"/>
        </w:rPr>
      </w:pPr>
      <w:r>
        <w:rPr>
          <w:rFonts w:hint="eastAsia" w:ascii="宋体" w:hAnsi="宋体"/>
          <w:b/>
          <w:kern w:val="44"/>
        </w:rPr>
        <w:t>第二十一条</w:t>
      </w:r>
      <w:r>
        <w:rPr>
          <w:rFonts w:hint="eastAsia" w:ascii="宋体" w:hAnsi="宋体"/>
          <w:kern w:val="44"/>
        </w:rPr>
        <w:t>　各级人民政府在财政预算内应当保障用于农业技术推广的资金，并使其逐年增长。</w:t>
      </w:r>
    </w:p>
    <w:p w14:paraId="4D13F4CF">
      <w:pPr>
        <w:jc w:val="left"/>
        <w:rPr>
          <w:rFonts w:ascii="宋体" w:hAnsi="宋体"/>
          <w:kern w:val="44"/>
        </w:rPr>
      </w:pPr>
      <w:r>
        <w:rPr>
          <w:rFonts w:hint="eastAsia" w:ascii="宋体" w:hAnsi="宋体"/>
          <w:kern w:val="44"/>
        </w:rPr>
        <w:t>在财政预算内安排的支农资金和农业发展基金中，每年应当按照高于百分之十的比例提取资金，用于实施农业技术推广项目。</w:t>
      </w:r>
    </w:p>
    <w:p w14:paraId="63C5AB42">
      <w:pPr>
        <w:jc w:val="left"/>
        <w:rPr>
          <w:rFonts w:ascii="宋体" w:hAnsi="宋体"/>
          <w:kern w:val="44"/>
        </w:rPr>
      </w:pPr>
      <w:r>
        <w:rPr>
          <w:rFonts w:hint="eastAsia" w:ascii="宋体" w:hAnsi="宋体"/>
          <w:kern w:val="44"/>
        </w:rPr>
        <w:t>任何单位或者个人不得截留或者挪用用于农业技术推广的资金。</w:t>
      </w:r>
    </w:p>
    <w:p w14:paraId="47F2889F">
      <w:pPr>
        <w:ind w:firstLine="422"/>
        <w:jc w:val="left"/>
        <w:rPr>
          <w:rFonts w:ascii="宋体" w:hAnsi="宋体"/>
          <w:kern w:val="44"/>
        </w:rPr>
      </w:pPr>
      <w:r>
        <w:rPr>
          <w:rFonts w:hint="eastAsia" w:ascii="宋体" w:hAnsi="宋体"/>
          <w:b/>
          <w:kern w:val="44"/>
        </w:rPr>
        <w:t>第二十二条</w:t>
      </w:r>
      <w:r>
        <w:rPr>
          <w:rFonts w:hint="eastAsia" w:ascii="宋体" w:hAnsi="宋体"/>
          <w:kern w:val="44"/>
        </w:rPr>
        <w:t>　农业技术推广机构的经费实行财政全额预算。</w:t>
      </w:r>
    </w:p>
    <w:p w14:paraId="56B30364">
      <w:pPr>
        <w:jc w:val="left"/>
        <w:rPr>
          <w:rFonts w:ascii="宋体" w:hAnsi="宋体"/>
          <w:kern w:val="44"/>
        </w:rPr>
      </w:pPr>
      <w:r>
        <w:rPr>
          <w:rFonts w:hint="eastAsia" w:ascii="宋体" w:hAnsi="宋体"/>
          <w:kern w:val="44"/>
        </w:rPr>
        <w:t>对于条件具备、有稳定收入来源的农业技术推广机构，经区、县以上财政部会同同级农业技术推广行政部门审定，也可以实行差额补贴或者自收自支。</w:t>
      </w:r>
    </w:p>
    <w:p w14:paraId="06488858">
      <w:pPr>
        <w:jc w:val="left"/>
        <w:rPr>
          <w:rFonts w:ascii="宋体" w:hAnsi="宋体"/>
          <w:kern w:val="44"/>
        </w:rPr>
      </w:pPr>
      <w:r>
        <w:rPr>
          <w:rFonts w:hint="eastAsia" w:ascii="宋体" w:hAnsi="宋体"/>
          <w:kern w:val="44"/>
        </w:rPr>
        <w:t>任何单位和个人不得任意扣减或者停止拨付农业技术推广机构的经费。</w:t>
      </w:r>
    </w:p>
    <w:p w14:paraId="3C621C38">
      <w:pPr>
        <w:ind w:firstLine="422"/>
        <w:jc w:val="left"/>
        <w:rPr>
          <w:rFonts w:ascii="宋体" w:hAnsi="宋体"/>
          <w:kern w:val="44"/>
        </w:rPr>
      </w:pPr>
      <w:r>
        <w:rPr>
          <w:rFonts w:hint="eastAsia" w:ascii="宋体" w:hAnsi="宋体"/>
          <w:b/>
          <w:kern w:val="44"/>
        </w:rPr>
        <w:t>第二十三条</w:t>
      </w:r>
      <w:r>
        <w:rPr>
          <w:rFonts w:hint="eastAsia" w:ascii="宋体" w:hAnsi="宋体"/>
          <w:kern w:val="44"/>
        </w:rPr>
        <w:t>　农业技术推广机构可以结合技术推广开展经营服务，经营服务的主要范围包括：良种、农用生产资料以及农产品保鲜加、运销业务和产品开发。</w:t>
      </w:r>
    </w:p>
    <w:p w14:paraId="31968476">
      <w:pPr>
        <w:jc w:val="left"/>
        <w:rPr>
          <w:rFonts w:ascii="宋体" w:hAnsi="宋体"/>
          <w:kern w:val="44"/>
        </w:rPr>
      </w:pPr>
      <w:r>
        <w:rPr>
          <w:rFonts w:hint="eastAsia" w:ascii="宋体" w:hAnsi="宋体"/>
          <w:kern w:val="44"/>
        </w:rPr>
        <w:t>农业技术推广机构兴办的为农业服务、技贸结合的经济实体，依法享受国家税收和信贷优惠。</w:t>
      </w:r>
    </w:p>
    <w:p w14:paraId="3C09B02C">
      <w:pPr>
        <w:ind w:firstLine="422"/>
        <w:jc w:val="left"/>
        <w:rPr>
          <w:rFonts w:ascii="宋体" w:hAnsi="宋体"/>
          <w:kern w:val="44"/>
        </w:rPr>
      </w:pPr>
      <w:r>
        <w:rPr>
          <w:rFonts w:hint="eastAsia" w:ascii="宋体" w:hAnsi="宋体"/>
          <w:b/>
          <w:kern w:val="44"/>
        </w:rPr>
        <w:t>第二十四条</w:t>
      </w:r>
      <w:r>
        <w:rPr>
          <w:rFonts w:hint="eastAsia" w:ascii="宋体" w:hAnsi="宋体"/>
          <w:kern w:val="44"/>
        </w:rPr>
        <w:t>　农业技术推广机构开展经营服务的收入，主要用于发展农业技术推广事业和改善从事农业技术推广人员的工作、生活条件。</w:t>
      </w:r>
    </w:p>
    <w:p w14:paraId="7480BB08">
      <w:pPr>
        <w:jc w:val="left"/>
        <w:rPr>
          <w:rFonts w:ascii="宋体" w:hAnsi="宋体"/>
          <w:kern w:val="44"/>
        </w:rPr>
      </w:pPr>
      <w:r>
        <w:rPr>
          <w:rFonts w:hint="eastAsia" w:ascii="宋体" w:hAnsi="宋体"/>
          <w:kern w:val="44"/>
        </w:rPr>
        <w:t>任何部门不得要求农业技术推广机构上缴利润。</w:t>
      </w:r>
    </w:p>
    <w:p w14:paraId="048B5DBC">
      <w:pPr>
        <w:ind w:firstLine="422"/>
        <w:jc w:val="left"/>
        <w:rPr>
          <w:rFonts w:ascii="宋体" w:hAnsi="宋体"/>
          <w:kern w:val="44"/>
        </w:rPr>
      </w:pPr>
      <w:r>
        <w:rPr>
          <w:rFonts w:hint="eastAsia" w:ascii="宋体" w:hAnsi="宋体"/>
          <w:b/>
          <w:kern w:val="44"/>
        </w:rPr>
        <w:t>第二十五条</w:t>
      </w:r>
      <w:r>
        <w:rPr>
          <w:rFonts w:hint="eastAsia" w:ascii="宋体" w:hAnsi="宋体"/>
          <w:kern w:val="44"/>
        </w:rPr>
        <w:t>　各级人民政府应当保障农业技术推广机构的办公场所、试验基地、生产资料和其他财产不受侵占。对违反者应当责令改正，退回财产，赔偿损失，构成犯罪的依法追究刑事责任。</w:t>
      </w:r>
    </w:p>
    <w:p w14:paraId="6302F53D">
      <w:pPr>
        <w:ind w:firstLine="422"/>
        <w:jc w:val="left"/>
        <w:rPr>
          <w:rFonts w:ascii="宋体" w:hAnsi="宋体"/>
          <w:kern w:val="44"/>
        </w:rPr>
      </w:pPr>
      <w:r>
        <w:rPr>
          <w:rFonts w:hint="eastAsia" w:ascii="宋体" w:hAnsi="宋体"/>
          <w:b/>
          <w:kern w:val="44"/>
        </w:rPr>
        <w:t>第二十六条</w:t>
      </w:r>
      <w:r>
        <w:rPr>
          <w:rFonts w:hint="eastAsia" w:ascii="宋体" w:hAnsi="宋体"/>
          <w:kern w:val="44"/>
        </w:rPr>
        <w:t>　各级农业技术推广行政部门应当为农业技术推广人员接受继续教育，提高技术业务水平创造必要的条件。</w:t>
      </w:r>
    </w:p>
    <w:p w14:paraId="6E91F1A7">
      <w:pPr>
        <w:ind w:firstLine="422"/>
        <w:jc w:val="left"/>
        <w:rPr>
          <w:rFonts w:ascii="宋体" w:hAnsi="宋体"/>
          <w:kern w:val="44"/>
        </w:rPr>
      </w:pPr>
      <w:r>
        <w:rPr>
          <w:rFonts w:hint="eastAsia" w:ascii="宋体" w:hAnsi="宋体"/>
          <w:b/>
          <w:kern w:val="44"/>
        </w:rPr>
        <w:t>第二十七条</w:t>
      </w:r>
      <w:r>
        <w:rPr>
          <w:rFonts w:hint="eastAsia" w:ascii="宋体" w:hAnsi="宋体"/>
          <w:kern w:val="44"/>
        </w:rPr>
        <w:t>　各级人民政府应当采取措施，保障和改善从事农业技术推广工作的专业科技人员的工作条件和生活条件，改善他们的待遇，依照国家规定给予补贴，保持专业科技人员的稳定。</w:t>
      </w:r>
    </w:p>
    <w:p w14:paraId="671E92E6">
      <w:pPr>
        <w:jc w:val="left"/>
        <w:rPr>
          <w:rFonts w:ascii="宋体" w:hAnsi="宋体"/>
          <w:kern w:val="44"/>
        </w:rPr>
      </w:pPr>
      <w:r>
        <w:rPr>
          <w:rFonts w:hint="eastAsia" w:ascii="宋体" w:hAnsi="宋体"/>
          <w:kern w:val="44"/>
        </w:rPr>
        <w:t>鼓励国家农业科技人员到乡、镇农业技术推广机构工作。在乡、镇农业技术推广机构工作、具有中专以上学历或者技术员以上职称的国家农业技术人员，在原工资基础上向上浮动一档工资，每五年予以固定，并继续向上浮动。</w:t>
      </w:r>
    </w:p>
    <w:p w14:paraId="01B2C478">
      <w:pPr>
        <w:ind w:firstLine="422"/>
        <w:jc w:val="left"/>
        <w:rPr>
          <w:rFonts w:ascii="宋体" w:hAnsi="宋体"/>
          <w:kern w:val="44"/>
        </w:rPr>
      </w:pPr>
      <w:r>
        <w:rPr>
          <w:rFonts w:hint="eastAsia" w:ascii="宋体" w:hAnsi="宋体"/>
          <w:b/>
          <w:kern w:val="44"/>
        </w:rPr>
        <w:t>第二十八条</w:t>
      </w:r>
      <w:r>
        <w:rPr>
          <w:rFonts w:hint="eastAsia" w:ascii="宋体" w:hAnsi="宋体"/>
          <w:kern w:val="44"/>
        </w:rPr>
        <w:t>　农村集体经济组织及其所属农业生产经营单位，应当对农民技术员给予适当经济补贴。</w:t>
      </w:r>
    </w:p>
    <w:p w14:paraId="66E20BD4">
      <w:pPr>
        <w:jc w:val="left"/>
        <w:rPr>
          <w:rFonts w:ascii="宋体" w:hAnsi="宋体"/>
          <w:kern w:val="44"/>
        </w:rPr>
      </w:pPr>
    </w:p>
    <w:p w14:paraId="2C8995FA">
      <w:pPr>
        <w:jc w:val="left"/>
        <w:rPr>
          <w:rFonts w:ascii="宋体" w:hAnsi="宋体"/>
          <w:kern w:val="44"/>
        </w:rPr>
      </w:pPr>
    </w:p>
    <w:p w14:paraId="35F3A29D">
      <w:pPr>
        <w:ind w:firstLine="0" w:firstLineChars="0"/>
        <w:jc w:val="center"/>
        <w:rPr>
          <w:rFonts w:ascii="宋体" w:hAnsi="宋体"/>
          <w:b/>
          <w:kern w:val="44"/>
          <w:sz w:val="28"/>
        </w:rPr>
      </w:pPr>
      <w:r>
        <w:rPr>
          <w:rFonts w:hint="eastAsia" w:ascii="宋体" w:hAnsi="宋体"/>
          <w:b/>
          <w:kern w:val="44"/>
          <w:sz w:val="28"/>
        </w:rPr>
        <w:t>第五章　附　则</w:t>
      </w:r>
    </w:p>
    <w:p w14:paraId="72872E2F">
      <w:pPr>
        <w:jc w:val="left"/>
        <w:rPr>
          <w:rFonts w:ascii="宋体" w:hAnsi="宋体"/>
          <w:kern w:val="44"/>
        </w:rPr>
      </w:pPr>
    </w:p>
    <w:p w14:paraId="437A6C8C">
      <w:pPr>
        <w:ind w:firstLine="422"/>
        <w:jc w:val="left"/>
        <w:rPr>
          <w:rFonts w:ascii="宋体" w:hAnsi="宋体"/>
          <w:kern w:val="44"/>
        </w:rPr>
      </w:pPr>
      <w:r>
        <w:rPr>
          <w:rFonts w:hint="eastAsia" w:ascii="宋体" w:hAnsi="宋体"/>
          <w:b/>
          <w:kern w:val="44"/>
        </w:rPr>
        <w:t>第二十九条</w:t>
      </w:r>
      <w:r>
        <w:rPr>
          <w:rFonts w:hint="eastAsia" w:ascii="宋体" w:hAnsi="宋体"/>
          <w:kern w:val="44"/>
        </w:rPr>
        <w:t>　本办法具体应用中的问题，由市人民政府农林办公室负责解释。</w:t>
      </w:r>
    </w:p>
    <w:p w14:paraId="5CC7DC0A">
      <w:pPr>
        <w:ind w:firstLine="422"/>
        <w:jc w:val="left"/>
        <w:rPr>
          <w:rFonts w:ascii="宋体" w:hAnsi="宋体"/>
          <w:kern w:val="44"/>
        </w:rPr>
      </w:pPr>
      <w:r>
        <w:rPr>
          <w:rFonts w:hint="eastAsia" w:ascii="宋体" w:hAnsi="宋体"/>
          <w:b/>
          <w:kern w:val="44"/>
        </w:rPr>
        <w:t>第三十条</w:t>
      </w:r>
      <w:r>
        <w:rPr>
          <w:rFonts w:hint="eastAsia" w:ascii="宋体" w:hAnsi="宋体"/>
          <w:kern w:val="44"/>
        </w:rPr>
        <w:t>　本办法自1995年8月1日起施行。</w:t>
      </w:r>
    </w:p>
    <w:p w14:paraId="59DFFA03">
      <w:pPr>
        <w:pStyle w:val="4"/>
        <w:pageBreakBefore/>
        <w:rPr>
          <w:kern w:val="44"/>
        </w:rPr>
      </w:pPr>
      <w:bookmarkStart w:id="1080" w:name="_Toc427651572"/>
      <w:bookmarkStart w:id="1081" w:name="_Toc422471288"/>
      <w:bookmarkStart w:id="1082" w:name="_Toc427651914"/>
      <w:bookmarkStart w:id="1083" w:name="_Toc428781620"/>
      <w:bookmarkStart w:id="1084" w:name="_Toc428780138"/>
      <w:r>
        <w:rPr>
          <w:rFonts w:hint="eastAsia"/>
          <w:kern w:val="44"/>
        </w:rPr>
        <w:t>北京市农业承包合同条例</w:t>
      </w:r>
      <w:bookmarkEnd w:id="1080"/>
      <w:bookmarkEnd w:id="1081"/>
      <w:bookmarkEnd w:id="1082"/>
      <w:bookmarkEnd w:id="1083"/>
      <w:bookmarkEnd w:id="1084"/>
    </w:p>
    <w:p w14:paraId="37EDA443">
      <w:pPr>
        <w:ind w:left="630" w:leftChars="300" w:right="630" w:rightChars="300"/>
        <w:jc w:val="left"/>
        <w:rPr>
          <w:rFonts w:ascii="楷体" w:hAnsi="楷体" w:eastAsia="楷体"/>
          <w:kern w:val="44"/>
        </w:rPr>
      </w:pPr>
      <w:r>
        <w:rPr>
          <w:rFonts w:hint="eastAsia" w:ascii="楷体" w:hAnsi="楷体" w:eastAsia="楷体"/>
          <w:kern w:val="44"/>
        </w:rPr>
        <w:t>（1998年7月31日北京市第十一届人民代表大会常务委员会第四次会议通过）</w:t>
      </w:r>
    </w:p>
    <w:p w14:paraId="6094E476">
      <w:pPr>
        <w:jc w:val="left"/>
        <w:rPr>
          <w:rFonts w:ascii="宋体" w:hAnsi="宋体"/>
          <w:kern w:val="44"/>
        </w:rPr>
      </w:pPr>
    </w:p>
    <w:p w14:paraId="5895005E">
      <w:pPr>
        <w:ind w:firstLine="0" w:firstLineChars="0"/>
        <w:jc w:val="center"/>
        <w:rPr>
          <w:rFonts w:ascii="宋体" w:hAnsi="宋体"/>
          <w:b/>
          <w:kern w:val="44"/>
          <w:sz w:val="28"/>
        </w:rPr>
      </w:pPr>
      <w:r>
        <w:rPr>
          <w:rFonts w:hint="eastAsia" w:ascii="宋体" w:hAnsi="宋体"/>
          <w:b/>
          <w:kern w:val="44"/>
          <w:sz w:val="28"/>
        </w:rPr>
        <w:t>第一章　总　则</w:t>
      </w:r>
    </w:p>
    <w:p w14:paraId="5281C13B">
      <w:pPr>
        <w:jc w:val="left"/>
        <w:rPr>
          <w:rFonts w:ascii="宋体" w:hAnsi="宋体"/>
          <w:kern w:val="44"/>
        </w:rPr>
      </w:pPr>
    </w:p>
    <w:p w14:paraId="1F401E4F">
      <w:pPr>
        <w:ind w:firstLine="422"/>
        <w:jc w:val="left"/>
        <w:rPr>
          <w:rFonts w:ascii="宋体" w:hAnsi="宋体"/>
          <w:kern w:val="44"/>
        </w:rPr>
      </w:pPr>
      <w:r>
        <w:rPr>
          <w:rFonts w:hint="eastAsia" w:ascii="宋体" w:hAnsi="宋体"/>
          <w:b/>
          <w:kern w:val="44"/>
        </w:rPr>
        <w:t>第一条</w:t>
      </w:r>
      <w:r>
        <w:rPr>
          <w:rFonts w:hint="eastAsia" w:ascii="宋体" w:hAnsi="宋体"/>
          <w:kern w:val="44"/>
        </w:rPr>
        <w:t>　为了稳定和完善农业承包经营责任制，保护农业承包合同当事人的合法权益，根据本市实际情况，制定本条例。</w:t>
      </w:r>
    </w:p>
    <w:p w14:paraId="6D827901">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本条例适用于本市农村集体经济组织与其成员之间为从事种植业、林业、畜牧业和渔业生产经营活动，以承包的方式明确相互权利义务关系而订立的农业承包合同（以下简称承包合同）。</w:t>
      </w:r>
    </w:p>
    <w:p w14:paraId="2DB184BA">
      <w:pPr>
        <w:ind w:firstLine="422"/>
        <w:jc w:val="left"/>
        <w:rPr>
          <w:rFonts w:ascii="宋体" w:hAnsi="宋体"/>
          <w:kern w:val="44"/>
        </w:rPr>
      </w:pPr>
      <w:r>
        <w:rPr>
          <w:rFonts w:hint="eastAsia" w:ascii="宋体" w:hAnsi="宋体"/>
          <w:b/>
          <w:kern w:val="44"/>
        </w:rPr>
        <w:t>第三条</w:t>
      </w:r>
      <w:r>
        <w:rPr>
          <w:rFonts w:hint="eastAsia" w:ascii="宋体" w:hAnsi="宋体"/>
          <w:kern w:val="44"/>
        </w:rPr>
        <w:t>　本市农村实行以家庭联产承包为主的责任制和统分结合的双层经营体制。</w:t>
      </w:r>
    </w:p>
    <w:p w14:paraId="686F3A8B">
      <w:pPr>
        <w:jc w:val="left"/>
        <w:rPr>
          <w:rFonts w:ascii="宋体" w:hAnsi="宋体"/>
          <w:kern w:val="44"/>
        </w:rPr>
      </w:pPr>
      <w:r>
        <w:rPr>
          <w:rFonts w:hint="eastAsia" w:ascii="宋体" w:hAnsi="宋体"/>
          <w:kern w:val="44"/>
        </w:rPr>
        <w:t>农业承包经营方式应当根据当地生产力水平和集体经济组织成员的意愿确定。</w:t>
      </w:r>
    </w:p>
    <w:p w14:paraId="68808A8B">
      <w:pPr>
        <w:ind w:firstLine="422"/>
        <w:jc w:val="left"/>
        <w:rPr>
          <w:rFonts w:ascii="宋体" w:hAnsi="宋体"/>
          <w:kern w:val="44"/>
        </w:rPr>
      </w:pPr>
      <w:r>
        <w:rPr>
          <w:rFonts w:hint="eastAsia" w:ascii="宋体" w:hAnsi="宋体"/>
          <w:b/>
          <w:kern w:val="44"/>
        </w:rPr>
        <w:t>第四条</w:t>
      </w:r>
      <w:r>
        <w:rPr>
          <w:rFonts w:hint="eastAsia" w:ascii="宋体" w:hAnsi="宋体"/>
          <w:kern w:val="44"/>
        </w:rPr>
        <w:t>　农村集体经济组织成员对本集体经济组织所有的土地享有承包权。任何组织和个人不得非法剥夺农民的承包权。</w:t>
      </w:r>
    </w:p>
    <w:p w14:paraId="469A4E2B">
      <w:pPr>
        <w:ind w:firstLine="422"/>
        <w:jc w:val="left"/>
        <w:rPr>
          <w:rFonts w:ascii="宋体" w:hAnsi="宋体"/>
          <w:kern w:val="44"/>
        </w:rPr>
      </w:pPr>
      <w:r>
        <w:rPr>
          <w:rFonts w:hint="eastAsia" w:ascii="宋体" w:hAnsi="宋体"/>
          <w:b/>
          <w:kern w:val="44"/>
        </w:rPr>
        <w:t>第五条</w:t>
      </w:r>
      <w:r>
        <w:rPr>
          <w:rFonts w:hint="eastAsia" w:ascii="宋体" w:hAnsi="宋体"/>
          <w:kern w:val="44"/>
        </w:rPr>
        <w:t>　依照法律属于农民集体所有的土地和其他生产资料，承包后所有权不变。</w:t>
      </w:r>
    </w:p>
    <w:p w14:paraId="268EAEB1">
      <w:pPr>
        <w:ind w:firstLine="422"/>
        <w:jc w:val="left"/>
        <w:rPr>
          <w:rFonts w:ascii="宋体" w:hAnsi="宋体"/>
          <w:kern w:val="44"/>
        </w:rPr>
      </w:pPr>
      <w:r>
        <w:rPr>
          <w:rFonts w:hint="eastAsia" w:ascii="宋体" w:hAnsi="宋体"/>
          <w:b/>
          <w:kern w:val="44"/>
        </w:rPr>
        <w:t>第六条</w:t>
      </w:r>
      <w:r>
        <w:rPr>
          <w:rFonts w:hint="eastAsia" w:ascii="宋体" w:hAnsi="宋体"/>
          <w:kern w:val="44"/>
        </w:rPr>
        <w:t>　市和区、县以及乡、镇农村合作经济经营管理部门负责本行政区域内承包合同的管理工作。</w:t>
      </w:r>
    </w:p>
    <w:p w14:paraId="6D41A042">
      <w:pPr>
        <w:ind w:firstLine="422"/>
        <w:jc w:val="left"/>
        <w:rPr>
          <w:rFonts w:ascii="宋体" w:hAnsi="宋体"/>
          <w:kern w:val="44"/>
        </w:rPr>
      </w:pPr>
      <w:r>
        <w:rPr>
          <w:rFonts w:hint="eastAsia" w:ascii="宋体" w:hAnsi="宋体"/>
          <w:b/>
          <w:kern w:val="44"/>
        </w:rPr>
        <w:t>第七条</w:t>
      </w:r>
      <w:r>
        <w:rPr>
          <w:rFonts w:hint="eastAsia" w:ascii="宋体" w:hAnsi="宋体"/>
          <w:kern w:val="44"/>
        </w:rPr>
        <w:t>　区、县农业承包合同仲裁委员会负责本区、县承包合同纠纷的仲裁，日常办事机构设在区、县农村合作经济经营管理部门。</w:t>
      </w:r>
    </w:p>
    <w:p w14:paraId="1A2FED6F">
      <w:pPr>
        <w:jc w:val="left"/>
        <w:rPr>
          <w:rFonts w:ascii="宋体" w:hAnsi="宋体"/>
          <w:kern w:val="44"/>
        </w:rPr>
      </w:pPr>
    </w:p>
    <w:p w14:paraId="543AE367">
      <w:pPr>
        <w:ind w:firstLine="0" w:firstLineChars="0"/>
        <w:jc w:val="center"/>
        <w:rPr>
          <w:rFonts w:ascii="宋体" w:hAnsi="宋体"/>
          <w:b/>
          <w:kern w:val="44"/>
          <w:sz w:val="28"/>
        </w:rPr>
      </w:pPr>
      <w:r>
        <w:rPr>
          <w:rFonts w:hint="eastAsia" w:ascii="宋体" w:hAnsi="宋体"/>
          <w:b/>
          <w:kern w:val="44"/>
          <w:sz w:val="28"/>
        </w:rPr>
        <w:t>第二章　发包和承包</w:t>
      </w:r>
    </w:p>
    <w:p w14:paraId="578DD23E">
      <w:pPr>
        <w:jc w:val="left"/>
        <w:rPr>
          <w:rFonts w:ascii="宋体" w:hAnsi="宋体"/>
          <w:kern w:val="44"/>
        </w:rPr>
      </w:pPr>
    </w:p>
    <w:p w14:paraId="04343295">
      <w:pPr>
        <w:ind w:firstLine="422"/>
        <w:jc w:val="left"/>
        <w:rPr>
          <w:rFonts w:ascii="宋体" w:hAnsi="宋体"/>
          <w:kern w:val="44"/>
        </w:rPr>
      </w:pPr>
      <w:r>
        <w:rPr>
          <w:rFonts w:hint="eastAsia" w:ascii="宋体" w:hAnsi="宋体"/>
          <w:b/>
          <w:kern w:val="44"/>
        </w:rPr>
        <w:t>第八条</w:t>
      </w:r>
      <w:r>
        <w:rPr>
          <w:rFonts w:hint="eastAsia" w:ascii="宋体" w:hAnsi="宋体"/>
          <w:kern w:val="44"/>
        </w:rPr>
        <w:t>　承包合同的发包方是拥有土地和其他生产资料所有权的农村集体经济组织。承包方是该集体经济组织内部的农户、个人或者生产经营组织。</w:t>
      </w:r>
    </w:p>
    <w:p w14:paraId="4F847CB9">
      <w:pPr>
        <w:ind w:firstLine="422"/>
        <w:jc w:val="left"/>
        <w:rPr>
          <w:rFonts w:ascii="宋体" w:hAnsi="宋体"/>
          <w:kern w:val="44"/>
        </w:rPr>
      </w:pPr>
      <w:r>
        <w:rPr>
          <w:rFonts w:hint="eastAsia" w:ascii="宋体" w:hAnsi="宋体"/>
          <w:b/>
          <w:kern w:val="44"/>
        </w:rPr>
        <w:t>第九条</w:t>
      </w:r>
      <w:r>
        <w:rPr>
          <w:rFonts w:hint="eastAsia" w:ascii="宋体" w:hAnsi="宋体"/>
          <w:kern w:val="44"/>
        </w:rPr>
        <w:t>　发包项目和发包方案应当由集体经济组织成员大会或者成员代表大会决定并公布。</w:t>
      </w:r>
    </w:p>
    <w:p w14:paraId="1D34354E">
      <w:pPr>
        <w:ind w:firstLine="422"/>
        <w:jc w:val="left"/>
        <w:rPr>
          <w:rFonts w:ascii="宋体" w:hAnsi="宋体"/>
          <w:kern w:val="44"/>
        </w:rPr>
      </w:pPr>
      <w:r>
        <w:rPr>
          <w:rFonts w:hint="eastAsia" w:ascii="宋体" w:hAnsi="宋体"/>
          <w:b/>
          <w:kern w:val="44"/>
        </w:rPr>
        <w:t>第十条</w:t>
      </w:r>
      <w:r>
        <w:rPr>
          <w:rFonts w:hint="eastAsia" w:ascii="宋体" w:hAnsi="宋体"/>
          <w:kern w:val="44"/>
        </w:rPr>
        <w:t>　承包期限应当按照有利于发展生产，提高经济效益，调动承包者积极性，保护自然资源的原则确定实行家庭联产承包的，土地承包期限为30年。</w:t>
      </w:r>
    </w:p>
    <w:p w14:paraId="3554D4F9">
      <w:pPr>
        <w:ind w:firstLine="422"/>
        <w:jc w:val="left"/>
        <w:rPr>
          <w:rFonts w:ascii="宋体" w:hAnsi="宋体"/>
          <w:kern w:val="44"/>
        </w:rPr>
      </w:pPr>
      <w:r>
        <w:rPr>
          <w:rFonts w:hint="eastAsia" w:ascii="宋体" w:hAnsi="宋体"/>
          <w:b/>
          <w:kern w:val="44"/>
        </w:rPr>
        <w:t>第十一条</w:t>
      </w:r>
      <w:r>
        <w:rPr>
          <w:rFonts w:hint="eastAsia" w:ascii="宋体" w:hAnsi="宋体"/>
          <w:kern w:val="44"/>
        </w:rPr>
        <w:t>　发包方的权利和义务：</w:t>
      </w:r>
    </w:p>
    <w:p w14:paraId="5A0DE35D">
      <w:pPr>
        <w:jc w:val="left"/>
        <w:rPr>
          <w:rFonts w:ascii="宋体" w:hAnsi="宋体"/>
          <w:kern w:val="44"/>
        </w:rPr>
      </w:pPr>
      <w:r>
        <w:rPr>
          <w:rFonts w:hint="eastAsia" w:ascii="宋体" w:hAnsi="宋体"/>
          <w:kern w:val="44"/>
        </w:rPr>
        <w:t>（一）制定土地利用规划和区域种植规划；</w:t>
      </w:r>
    </w:p>
    <w:p w14:paraId="25BE4A8E">
      <w:pPr>
        <w:jc w:val="left"/>
        <w:rPr>
          <w:rFonts w:ascii="宋体" w:hAnsi="宋体"/>
          <w:kern w:val="44"/>
        </w:rPr>
      </w:pPr>
      <w:r>
        <w:rPr>
          <w:rFonts w:hint="eastAsia" w:ascii="宋体" w:hAnsi="宋体"/>
          <w:kern w:val="44"/>
        </w:rPr>
        <w:t>（二）依照承包合同约定，收取承包金；</w:t>
      </w:r>
    </w:p>
    <w:p w14:paraId="7929F86F">
      <w:pPr>
        <w:jc w:val="left"/>
        <w:rPr>
          <w:rFonts w:ascii="宋体" w:hAnsi="宋体"/>
          <w:kern w:val="44"/>
        </w:rPr>
      </w:pPr>
      <w:r>
        <w:rPr>
          <w:rFonts w:hint="eastAsia" w:ascii="宋体" w:hAnsi="宋体"/>
          <w:kern w:val="44"/>
        </w:rPr>
        <w:t>（三）制止承包方损害农业资源和其他资产的行为；</w:t>
      </w:r>
    </w:p>
    <w:p w14:paraId="3931750E">
      <w:pPr>
        <w:jc w:val="left"/>
        <w:rPr>
          <w:rFonts w:ascii="宋体" w:hAnsi="宋体"/>
          <w:kern w:val="44"/>
        </w:rPr>
      </w:pPr>
      <w:r>
        <w:rPr>
          <w:rFonts w:hint="eastAsia" w:ascii="宋体" w:hAnsi="宋体"/>
          <w:kern w:val="44"/>
        </w:rPr>
        <w:t>（四）依照承包合同约定，为承包方提供生产、经营、技术服务；</w:t>
      </w:r>
    </w:p>
    <w:p w14:paraId="05374539">
      <w:pPr>
        <w:jc w:val="left"/>
        <w:rPr>
          <w:rFonts w:ascii="宋体" w:hAnsi="宋体"/>
          <w:kern w:val="44"/>
        </w:rPr>
      </w:pPr>
      <w:r>
        <w:rPr>
          <w:rFonts w:hint="eastAsia" w:ascii="宋体" w:hAnsi="宋体"/>
          <w:kern w:val="44"/>
        </w:rPr>
        <w:t>（五）维护承包方的正常生产经营秩序；</w:t>
      </w:r>
    </w:p>
    <w:p w14:paraId="1091F2D3">
      <w:pPr>
        <w:jc w:val="left"/>
        <w:rPr>
          <w:rFonts w:ascii="宋体" w:hAnsi="宋体"/>
          <w:kern w:val="44"/>
        </w:rPr>
      </w:pPr>
      <w:r>
        <w:rPr>
          <w:rFonts w:hint="eastAsia" w:ascii="宋体" w:hAnsi="宋体"/>
          <w:kern w:val="44"/>
        </w:rPr>
        <w:t>（六）法律、法规规定和承包合同约定的其他权利和义务。</w:t>
      </w:r>
    </w:p>
    <w:p w14:paraId="38AC9FC5">
      <w:pPr>
        <w:ind w:firstLine="422"/>
        <w:jc w:val="left"/>
        <w:rPr>
          <w:rFonts w:ascii="宋体" w:hAnsi="宋体"/>
          <w:kern w:val="44"/>
        </w:rPr>
      </w:pPr>
      <w:r>
        <w:rPr>
          <w:rFonts w:hint="eastAsia" w:ascii="宋体" w:hAnsi="宋体"/>
          <w:b/>
          <w:kern w:val="44"/>
        </w:rPr>
        <w:t>第十二条</w:t>
      </w:r>
      <w:r>
        <w:rPr>
          <w:rFonts w:hint="eastAsia" w:ascii="宋体" w:hAnsi="宋体"/>
          <w:kern w:val="44"/>
        </w:rPr>
        <w:t>　承包方的权利和义务：</w:t>
      </w:r>
    </w:p>
    <w:p w14:paraId="0845BA6B">
      <w:pPr>
        <w:jc w:val="left"/>
        <w:rPr>
          <w:rFonts w:ascii="宋体" w:hAnsi="宋体"/>
          <w:kern w:val="44"/>
        </w:rPr>
      </w:pPr>
      <w:r>
        <w:rPr>
          <w:rFonts w:hint="eastAsia" w:ascii="宋体" w:hAnsi="宋体"/>
          <w:kern w:val="44"/>
        </w:rPr>
        <w:t>（一）依照承包合同约定，享有经营自主权、产品处分权和收益权；</w:t>
      </w:r>
    </w:p>
    <w:p w14:paraId="6C9CBB09">
      <w:pPr>
        <w:jc w:val="left"/>
        <w:rPr>
          <w:rFonts w:ascii="宋体" w:hAnsi="宋体"/>
          <w:kern w:val="44"/>
        </w:rPr>
      </w:pPr>
      <w:r>
        <w:rPr>
          <w:rFonts w:hint="eastAsia" w:ascii="宋体" w:hAnsi="宋体"/>
          <w:kern w:val="44"/>
        </w:rPr>
        <w:t>（二）依照承包合同约定和区域种植规划，合理使用和保护农业资源及其他资产；</w:t>
      </w:r>
    </w:p>
    <w:p w14:paraId="4264C08D">
      <w:pPr>
        <w:jc w:val="left"/>
        <w:rPr>
          <w:rFonts w:ascii="宋体" w:hAnsi="宋体"/>
          <w:kern w:val="44"/>
        </w:rPr>
      </w:pPr>
      <w:r>
        <w:rPr>
          <w:rFonts w:hint="eastAsia" w:ascii="宋体" w:hAnsi="宋体"/>
          <w:kern w:val="44"/>
        </w:rPr>
        <w:t>（三）依法缴纳税款，依照承包合同约定交纳承包金，完成国家的农产品定购任务；</w:t>
      </w:r>
    </w:p>
    <w:p w14:paraId="142C7EB3">
      <w:pPr>
        <w:jc w:val="left"/>
        <w:rPr>
          <w:rFonts w:ascii="宋体" w:hAnsi="宋体"/>
          <w:kern w:val="44"/>
        </w:rPr>
      </w:pPr>
      <w:r>
        <w:rPr>
          <w:rFonts w:hint="eastAsia" w:ascii="宋体" w:hAnsi="宋体"/>
          <w:kern w:val="44"/>
        </w:rPr>
        <w:t>（四）法律、法规规定和承包合同约定的其他权利和义务。</w:t>
      </w:r>
    </w:p>
    <w:p w14:paraId="4760B629">
      <w:pPr>
        <w:jc w:val="left"/>
        <w:rPr>
          <w:rFonts w:ascii="宋体" w:hAnsi="宋体"/>
          <w:kern w:val="44"/>
        </w:rPr>
      </w:pPr>
    </w:p>
    <w:p w14:paraId="0B9F8E45">
      <w:pPr>
        <w:ind w:firstLine="0" w:firstLineChars="0"/>
        <w:jc w:val="center"/>
        <w:rPr>
          <w:rFonts w:ascii="宋体" w:hAnsi="宋体"/>
          <w:b/>
          <w:kern w:val="44"/>
          <w:sz w:val="28"/>
        </w:rPr>
      </w:pPr>
      <w:r>
        <w:rPr>
          <w:rFonts w:hint="eastAsia" w:ascii="宋体" w:hAnsi="宋体"/>
          <w:b/>
          <w:kern w:val="44"/>
          <w:sz w:val="28"/>
        </w:rPr>
        <w:t>第三章　承包合同的订立和履行</w:t>
      </w:r>
    </w:p>
    <w:p w14:paraId="0D6E71CE">
      <w:pPr>
        <w:jc w:val="left"/>
        <w:rPr>
          <w:rFonts w:ascii="宋体" w:hAnsi="宋体"/>
          <w:kern w:val="44"/>
        </w:rPr>
      </w:pPr>
    </w:p>
    <w:p w14:paraId="17EDAB1C">
      <w:pPr>
        <w:ind w:firstLine="422"/>
        <w:jc w:val="left"/>
        <w:rPr>
          <w:rFonts w:ascii="宋体" w:hAnsi="宋体"/>
          <w:kern w:val="44"/>
        </w:rPr>
      </w:pPr>
      <w:r>
        <w:rPr>
          <w:rFonts w:hint="eastAsia" w:ascii="宋体" w:hAnsi="宋体"/>
          <w:b/>
          <w:kern w:val="44"/>
        </w:rPr>
        <w:t>第十三条</w:t>
      </w:r>
      <w:r>
        <w:rPr>
          <w:rFonts w:hint="eastAsia" w:ascii="宋体" w:hAnsi="宋体"/>
          <w:kern w:val="44"/>
        </w:rPr>
        <w:t>　实行农业承包经营的，当事人双方应当签订承包合同。</w:t>
      </w:r>
    </w:p>
    <w:p w14:paraId="38ECCDFD">
      <w:pPr>
        <w:jc w:val="left"/>
        <w:rPr>
          <w:rFonts w:ascii="宋体" w:hAnsi="宋体"/>
          <w:kern w:val="44"/>
        </w:rPr>
      </w:pPr>
      <w:r>
        <w:rPr>
          <w:rFonts w:hint="eastAsia" w:ascii="宋体" w:hAnsi="宋体"/>
          <w:kern w:val="44"/>
        </w:rPr>
        <w:t>订立承包合同必须遵守法律、法规和国家政策，符合集体经济组织章程，执行集体经济组织成员大会或者成员代表大会决议，坚持公开公正、自愿互利、协商一致、诚实信用的原则，兼顾国家、集体、个人三者利益。</w:t>
      </w:r>
    </w:p>
    <w:p w14:paraId="3429A36C">
      <w:pPr>
        <w:ind w:firstLine="422"/>
        <w:jc w:val="left"/>
        <w:rPr>
          <w:rFonts w:ascii="宋体" w:hAnsi="宋体"/>
          <w:kern w:val="44"/>
        </w:rPr>
      </w:pPr>
      <w:r>
        <w:rPr>
          <w:rFonts w:hint="eastAsia" w:ascii="宋体" w:hAnsi="宋体"/>
          <w:b/>
          <w:kern w:val="44"/>
        </w:rPr>
        <w:t>第十四条</w:t>
      </w:r>
      <w:r>
        <w:rPr>
          <w:rFonts w:hint="eastAsia" w:ascii="宋体" w:hAnsi="宋体"/>
          <w:kern w:val="44"/>
        </w:rPr>
        <w:t>　承包合同应当采用书面形式。发包方和承包方就承包合同条款协商一致，签字盖章，合同即为成立。</w:t>
      </w:r>
    </w:p>
    <w:p w14:paraId="02BED037">
      <w:pPr>
        <w:jc w:val="left"/>
        <w:rPr>
          <w:rFonts w:ascii="宋体" w:hAnsi="宋体"/>
          <w:kern w:val="44"/>
        </w:rPr>
      </w:pPr>
      <w:r>
        <w:rPr>
          <w:rFonts w:hint="eastAsia" w:ascii="宋体" w:hAnsi="宋体"/>
          <w:kern w:val="44"/>
        </w:rPr>
        <w:t>承包合同依法成立，即具有法律约束力，当事人必须全面履行承包合同规定的义务，任何一方不得擅自变更或者解除。</w:t>
      </w:r>
    </w:p>
    <w:p w14:paraId="0A8E7E68">
      <w:pPr>
        <w:jc w:val="left"/>
        <w:rPr>
          <w:rFonts w:ascii="宋体" w:hAnsi="宋体"/>
          <w:kern w:val="44"/>
        </w:rPr>
      </w:pPr>
      <w:r>
        <w:rPr>
          <w:rFonts w:hint="eastAsia" w:ascii="宋体" w:hAnsi="宋体"/>
          <w:kern w:val="44"/>
        </w:rPr>
        <w:t>承包合同签订后，当事人可以向农村合作经济经营管理部门申请鉴证，也可以向公证机关申请公证。</w:t>
      </w:r>
    </w:p>
    <w:p w14:paraId="16270FA6">
      <w:pPr>
        <w:ind w:firstLine="422"/>
        <w:jc w:val="left"/>
        <w:rPr>
          <w:rFonts w:ascii="宋体" w:hAnsi="宋体"/>
          <w:kern w:val="44"/>
        </w:rPr>
      </w:pPr>
      <w:r>
        <w:rPr>
          <w:rFonts w:hint="eastAsia" w:ascii="宋体" w:hAnsi="宋体"/>
          <w:b/>
          <w:kern w:val="44"/>
        </w:rPr>
        <w:t>第十五条</w:t>
      </w:r>
      <w:r>
        <w:rPr>
          <w:rFonts w:hint="eastAsia" w:ascii="宋体" w:hAnsi="宋体"/>
          <w:kern w:val="44"/>
        </w:rPr>
        <w:t>　承包合同应当具备以下主要条款：</w:t>
      </w:r>
    </w:p>
    <w:p w14:paraId="6F663A5E">
      <w:pPr>
        <w:jc w:val="left"/>
        <w:rPr>
          <w:rFonts w:ascii="宋体" w:hAnsi="宋体"/>
          <w:kern w:val="44"/>
        </w:rPr>
      </w:pPr>
      <w:r>
        <w:rPr>
          <w:rFonts w:hint="eastAsia" w:ascii="宋体" w:hAnsi="宋体"/>
          <w:kern w:val="44"/>
        </w:rPr>
        <w:t>（一）承包项目名称；</w:t>
      </w:r>
    </w:p>
    <w:p w14:paraId="560A9606">
      <w:pPr>
        <w:jc w:val="left"/>
        <w:rPr>
          <w:rFonts w:ascii="宋体" w:hAnsi="宋体"/>
          <w:kern w:val="44"/>
        </w:rPr>
      </w:pPr>
      <w:r>
        <w:rPr>
          <w:rFonts w:hint="eastAsia" w:ascii="宋体" w:hAnsi="宋体"/>
          <w:kern w:val="44"/>
        </w:rPr>
        <w:t>（二）发包方、承包方名称及双方代表人姓名；</w:t>
      </w:r>
    </w:p>
    <w:p w14:paraId="301AD8AD">
      <w:pPr>
        <w:jc w:val="left"/>
        <w:rPr>
          <w:rFonts w:ascii="宋体" w:hAnsi="宋体"/>
          <w:kern w:val="44"/>
        </w:rPr>
      </w:pPr>
      <w:r>
        <w:rPr>
          <w:rFonts w:hint="eastAsia" w:ascii="宋体" w:hAnsi="宋体"/>
          <w:kern w:val="44"/>
        </w:rPr>
        <w:t>（三）发包方提供的资源和其他资产的方位、数量、质量、等级；</w:t>
      </w:r>
    </w:p>
    <w:p w14:paraId="4BE95F8D">
      <w:pPr>
        <w:jc w:val="left"/>
        <w:rPr>
          <w:rFonts w:ascii="宋体" w:hAnsi="宋体"/>
          <w:kern w:val="44"/>
        </w:rPr>
      </w:pPr>
      <w:r>
        <w:rPr>
          <w:rFonts w:hint="eastAsia" w:ascii="宋体" w:hAnsi="宋体"/>
          <w:kern w:val="44"/>
        </w:rPr>
        <w:t>（四）承包期限和起止时间；</w:t>
      </w:r>
    </w:p>
    <w:p w14:paraId="76EB435A">
      <w:pPr>
        <w:jc w:val="left"/>
        <w:rPr>
          <w:rFonts w:ascii="宋体" w:hAnsi="宋体"/>
          <w:kern w:val="44"/>
        </w:rPr>
      </w:pPr>
      <w:r>
        <w:rPr>
          <w:rFonts w:hint="eastAsia" w:ascii="宋体" w:hAnsi="宋体"/>
          <w:kern w:val="44"/>
        </w:rPr>
        <w:t>（五）承包方应当缴纳的税款、承包金及缴纳时间，应当完成的国家农产品定购任务；</w:t>
      </w:r>
    </w:p>
    <w:p w14:paraId="33D34112">
      <w:pPr>
        <w:jc w:val="left"/>
        <w:rPr>
          <w:rFonts w:ascii="宋体" w:hAnsi="宋体"/>
          <w:kern w:val="44"/>
        </w:rPr>
      </w:pPr>
      <w:r>
        <w:rPr>
          <w:rFonts w:hint="eastAsia" w:ascii="宋体" w:hAnsi="宋体"/>
          <w:kern w:val="44"/>
        </w:rPr>
        <w:t>（六）发包方提供的生产条件和服务；</w:t>
      </w:r>
    </w:p>
    <w:p w14:paraId="1FC3210A">
      <w:pPr>
        <w:jc w:val="left"/>
        <w:rPr>
          <w:rFonts w:ascii="宋体" w:hAnsi="宋体"/>
          <w:kern w:val="44"/>
        </w:rPr>
      </w:pPr>
      <w:r>
        <w:rPr>
          <w:rFonts w:hint="eastAsia" w:ascii="宋体" w:hAnsi="宋体"/>
          <w:kern w:val="44"/>
        </w:rPr>
        <w:t>（七）因不可抗力的原因造成减产、减收或者绝产、绝收的处理办法；</w:t>
      </w:r>
    </w:p>
    <w:p w14:paraId="14DE1E6A">
      <w:pPr>
        <w:jc w:val="left"/>
        <w:rPr>
          <w:rFonts w:ascii="宋体" w:hAnsi="宋体"/>
          <w:kern w:val="44"/>
        </w:rPr>
      </w:pPr>
      <w:r>
        <w:rPr>
          <w:rFonts w:hint="eastAsia" w:ascii="宋体" w:hAnsi="宋体"/>
          <w:kern w:val="44"/>
        </w:rPr>
        <w:t>（八）承包合同存续期间资产增值、减值处理办法；</w:t>
      </w:r>
    </w:p>
    <w:p w14:paraId="72A76AE4">
      <w:pPr>
        <w:jc w:val="left"/>
        <w:rPr>
          <w:rFonts w:ascii="宋体" w:hAnsi="宋体"/>
          <w:kern w:val="44"/>
        </w:rPr>
      </w:pPr>
      <w:r>
        <w:rPr>
          <w:rFonts w:hint="eastAsia" w:ascii="宋体" w:hAnsi="宋体"/>
          <w:kern w:val="44"/>
        </w:rPr>
        <w:t>（九）违约责任；</w:t>
      </w:r>
    </w:p>
    <w:p w14:paraId="5B09895F">
      <w:pPr>
        <w:jc w:val="left"/>
        <w:rPr>
          <w:rFonts w:ascii="宋体" w:hAnsi="宋体"/>
          <w:kern w:val="44"/>
        </w:rPr>
      </w:pPr>
      <w:r>
        <w:rPr>
          <w:rFonts w:hint="eastAsia" w:ascii="宋体" w:hAnsi="宋体"/>
          <w:kern w:val="44"/>
        </w:rPr>
        <w:t>（十）双方议定的其他事项。</w:t>
      </w:r>
    </w:p>
    <w:p w14:paraId="16777251">
      <w:pPr>
        <w:ind w:firstLine="422"/>
        <w:jc w:val="left"/>
        <w:rPr>
          <w:rFonts w:ascii="宋体" w:hAnsi="宋体"/>
          <w:kern w:val="44"/>
        </w:rPr>
      </w:pPr>
      <w:r>
        <w:rPr>
          <w:rFonts w:hint="eastAsia" w:ascii="宋体" w:hAnsi="宋体"/>
          <w:b/>
          <w:kern w:val="44"/>
        </w:rPr>
        <w:t>第十六条</w:t>
      </w:r>
      <w:r>
        <w:rPr>
          <w:rFonts w:hint="eastAsia" w:ascii="宋体" w:hAnsi="宋体"/>
          <w:kern w:val="44"/>
        </w:rPr>
        <w:t>　发包方分立或者合并，承包合同仍然有效。发包方的权利、义务由分立或者合并后的集体经济组织行使和履行。</w:t>
      </w:r>
    </w:p>
    <w:p w14:paraId="10F2DD8C">
      <w:pPr>
        <w:ind w:firstLine="422"/>
        <w:jc w:val="left"/>
        <w:rPr>
          <w:rFonts w:ascii="宋体" w:hAnsi="宋体"/>
          <w:kern w:val="44"/>
        </w:rPr>
      </w:pPr>
      <w:r>
        <w:rPr>
          <w:rFonts w:hint="eastAsia" w:ascii="宋体" w:hAnsi="宋体"/>
          <w:b/>
          <w:kern w:val="44"/>
        </w:rPr>
        <w:t>第十七条</w:t>
      </w:r>
      <w:r>
        <w:rPr>
          <w:rFonts w:hint="eastAsia" w:ascii="宋体" w:hAnsi="宋体"/>
          <w:kern w:val="44"/>
        </w:rPr>
        <w:t>　实行家庭联产承包的，在承包期内，在不改变土地所有权和用途的前提下，承包方对其承包土地的使用权，可以有偿转包、转让或者互换、入股。</w:t>
      </w:r>
    </w:p>
    <w:p w14:paraId="7DE60527">
      <w:pPr>
        <w:ind w:firstLine="422"/>
        <w:jc w:val="left"/>
        <w:rPr>
          <w:rFonts w:ascii="宋体" w:hAnsi="宋体"/>
          <w:kern w:val="44"/>
        </w:rPr>
      </w:pPr>
      <w:r>
        <w:rPr>
          <w:rFonts w:hint="eastAsia" w:ascii="宋体" w:hAnsi="宋体"/>
          <w:b/>
          <w:kern w:val="44"/>
        </w:rPr>
        <w:t>第十八条</w:t>
      </w:r>
      <w:r>
        <w:rPr>
          <w:rFonts w:hint="eastAsia" w:ascii="宋体" w:hAnsi="宋体"/>
          <w:kern w:val="44"/>
        </w:rPr>
        <w:t>　承包方将承包土地的使用权转包、互换、入股，原承包合同有效。承包土地的使用权转包他人时，原承包方应当与第三方签订转包合同。</w:t>
      </w:r>
    </w:p>
    <w:p w14:paraId="41E3EF49">
      <w:pPr>
        <w:jc w:val="left"/>
        <w:rPr>
          <w:rFonts w:ascii="宋体" w:hAnsi="宋体"/>
          <w:kern w:val="44"/>
        </w:rPr>
      </w:pPr>
      <w:r>
        <w:rPr>
          <w:rFonts w:hint="eastAsia" w:ascii="宋体" w:hAnsi="宋体"/>
          <w:kern w:val="44"/>
        </w:rPr>
        <w:t>承包土地的使用权转让他人时，原承包合同解除，由发包方与第三方签订承包合同。</w:t>
      </w:r>
    </w:p>
    <w:p w14:paraId="544EA757">
      <w:pPr>
        <w:ind w:firstLine="422"/>
        <w:jc w:val="left"/>
        <w:rPr>
          <w:rFonts w:ascii="宋体" w:hAnsi="宋体"/>
          <w:kern w:val="44"/>
        </w:rPr>
      </w:pPr>
      <w:r>
        <w:rPr>
          <w:rFonts w:hint="eastAsia" w:ascii="宋体" w:hAnsi="宋体"/>
          <w:b/>
          <w:kern w:val="44"/>
        </w:rPr>
        <w:t>第十九条</w:t>
      </w:r>
      <w:r>
        <w:rPr>
          <w:rFonts w:hint="eastAsia" w:ascii="宋体" w:hAnsi="宋体"/>
          <w:kern w:val="44"/>
        </w:rPr>
        <w:t>　承包方将承包土地的使用权转包、转让、互换、入股的，应当经发包方同意。</w:t>
      </w:r>
    </w:p>
    <w:p w14:paraId="4F9CD867">
      <w:pPr>
        <w:ind w:firstLine="422"/>
        <w:jc w:val="left"/>
        <w:rPr>
          <w:rFonts w:ascii="宋体" w:hAnsi="宋体"/>
          <w:kern w:val="44"/>
        </w:rPr>
      </w:pPr>
      <w:r>
        <w:rPr>
          <w:rFonts w:hint="eastAsia" w:ascii="宋体" w:hAnsi="宋体"/>
          <w:b/>
          <w:kern w:val="44"/>
        </w:rPr>
        <w:t>第二十条</w:t>
      </w:r>
      <w:r>
        <w:rPr>
          <w:rFonts w:hint="eastAsia" w:ascii="宋体" w:hAnsi="宋体"/>
          <w:kern w:val="44"/>
        </w:rPr>
        <w:t>　承包人在承包期内死亡，其继承人可以继续承包，并履行原承包合同约定的权利和义务；没有继承人或者继承人不愿继续承包的，发包方可以收回承包项目重新发包。</w:t>
      </w:r>
    </w:p>
    <w:p w14:paraId="267AFA0D">
      <w:pPr>
        <w:ind w:firstLine="422"/>
        <w:jc w:val="left"/>
        <w:rPr>
          <w:rFonts w:ascii="宋体" w:hAnsi="宋体"/>
          <w:kern w:val="44"/>
        </w:rPr>
      </w:pPr>
      <w:r>
        <w:rPr>
          <w:rFonts w:hint="eastAsia" w:ascii="宋体" w:hAnsi="宋体"/>
          <w:b/>
          <w:kern w:val="44"/>
        </w:rPr>
        <w:t>第二十一条</w:t>
      </w:r>
      <w:r>
        <w:rPr>
          <w:rFonts w:hint="eastAsia" w:ascii="宋体" w:hAnsi="宋体"/>
          <w:kern w:val="44"/>
        </w:rPr>
        <w:t>　有下列情况之一的，为无效承包合同：</w:t>
      </w:r>
    </w:p>
    <w:p w14:paraId="61DA8E00">
      <w:pPr>
        <w:jc w:val="left"/>
        <w:rPr>
          <w:rFonts w:ascii="宋体" w:hAnsi="宋体"/>
          <w:kern w:val="44"/>
        </w:rPr>
      </w:pPr>
      <w:r>
        <w:rPr>
          <w:rFonts w:hint="eastAsia" w:ascii="宋体" w:hAnsi="宋体"/>
          <w:kern w:val="44"/>
        </w:rPr>
        <w:t>（一）违反法律、法规和国家政策的；</w:t>
      </w:r>
    </w:p>
    <w:p w14:paraId="5CD7449E">
      <w:pPr>
        <w:jc w:val="left"/>
        <w:rPr>
          <w:rFonts w:ascii="宋体" w:hAnsi="宋体"/>
          <w:kern w:val="44"/>
        </w:rPr>
      </w:pPr>
      <w:r>
        <w:rPr>
          <w:rFonts w:hint="eastAsia" w:ascii="宋体" w:hAnsi="宋体"/>
          <w:kern w:val="44"/>
        </w:rPr>
        <w:t>（二）损害国家、集体利益和社会公共利益的；</w:t>
      </w:r>
    </w:p>
    <w:p w14:paraId="2B52FC09">
      <w:pPr>
        <w:jc w:val="left"/>
        <w:rPr>
          <w:rFonts w:ascii="宋体" w:hAnsi="宋体"/>
          <w:kern w:val="44"/>
        </w:rPr>
      </w:pPr>
      <w:r>
        <w:rPr>
          <w:rFonts w:hint="eastAsia" w:ascii="宋体" w:hAnsi="宋体"/>
          <w:kern w:val="44"/>
        </w:rPr>
        <w:t>（三）发包方违背集体经济组织章程，违背集体经济组织成员大会或者成员代表大会决议越权发包的；</w:t>
      </w:r>
    </w:p>
    <w:p w14:paraId="3FE9DF9B">
      <w:pPr>
        <w:jc w:val="left"/>
        <w:rPr>
          <w:rFonts w:ascii="宋体" w:hAnsi="宋体"/>
          <w:kern w:val="44"/>
        </w:rPr>
      </w:pPr>
      <w:r>
        <w:rPr>
          <w:rFonts w:hint="eastAsia" w:ascii="宋体" w:hAnsi="宋体"/>
          <w:kern w:val="44"/>
        </w:rPr>
        <w:t>（四）采取欺诈、胁迫及其他不正当手段签订的。</w:t>
      </w:r>
    </w:p>
    <w:p w14:paraId="4A72857C">
      <w:pPr>
        <w:ind w:firstLine="422"/>
        <w:jc w:val="left"/>
        <w:rPr>
          <w:rFonts w:ascii="宋体" w:hAnsi="宋体"/>
          <w:kern w:val="44"/>
        </w:rPr>
      </w:pPr>
      <w:r>
        <w:rPr>
          <w:rFonts w:hint="eastAsia" w:ascii="宋体" w:hAnsi="宋体"/>
          <w:b/>
          <w:kern w:val="44"/>
        </w:rPr>
        <w:t>第二十二条</w:t>
      </w:r>
      <w:r>
        <w:rPr>
          <w:rFonts w:hint="eastAsia" w:ascii="宋体" w:hAnsi="宋体"/>
          <w:kern w:val="44"/>
        </w:rPr>
        <w:t>　无效承包合同从订立时起，就没有法律约束力。确认承包合同部分无效的，如果不影响其余部分的效力，其余部分仍然有效。</w:t>
      </w:r>
    </w:p>
    <w:p w14:paraId="3282B041">
      <w:pPr>
        <w:jc w:val="left"/>
        <w:rPr>
          <w:rFonts w:ascii="宋体" w:hAnsi="宋体"/>
          <w:kern w:val="44"/>
        </w:rPr>
      </w:pPr>
      <w:r>
        <w:rPr>
          <w:rFonts w:hint="eastAsia" w:ascii="宋体" w:hAnsi="宋体"/>
          <w:kern w:val="44"/>
        </w:rPr>
        <w:t>无效承包合同由农业承包合同仲裁委员会或者人民法院确认。</w:t>
      </w:r>
    </w:p>
    <w:p w14:paraId="789D750E">
      <w:pPr>
        <w:ind w:firstLine="422"/>
        <w:jc w:val="left"/>
        <w:rPr>
          <w:rFonts w:ascii="宋体" w:hAnsi="宋体"/>
          <w:kern w:val="44"/>
        </w:rPr>
      </w:pPr>
      <w:r>
        <w:rPr>
          <w:rFonts w:hint="eastAsia" w:ascii="宋体" w:hAnsi="宋体"/>
          <w:b/>
          <w:kern w:val="44"/>
        </w:rPr>
        <w:t>第二十三条</w:t>
      </w:r>
      <w:r>
        <w:rPr>
          <w:rFonts w:hint="eastAsia" w:ascii="宋体" w:hAnsi="宋体"/>
          <w:kern w:val="44"/>
        </w:rPr>
        <w:t>　承包合同被确认无效后，当事人依据该承包合同所取得的财产，应当返还给对方。有过错的一方应当赔偿对方因此遭受的经济损失；如果双方都有过错，各自承担相应的责任。</w:t>
      </w:r>
    </w:p>
    <w:p w14:paraId="38E742D0">
      <w:pPr>
        <w:jc w:val="left"/>
        <w:rPr>
          <w:rFonts w:ascii="宋体" w:hAnsi="宋体"/>
          <w:kern w:val="44"/>
        </w:rPr>
      </w:pPr>
      <w:r>
        <w:rPr>
          <w:rFonts w:hint="eastAsia" w:ascii="宋体" w:hAnsi="宋体"/>
          <w:kern w:val="44"/>
        </w:rPr>
        <w:t>发包方与承包方恶意串通，实施损害国家、集体或者第三人利益的行为，造成经济损失的，应当由双方负责赔偿，并追缴非法所得，收归国家、集体所有或者返还第三人。</w:t>
      </w:r>
    </w:p>
    <w:p w14:paraId="3378351A">
      <w:pPr>
        <w:jc w:val="left"/>
        <w:rPr>
          <w:rFonts w:ascii="宋体" w:hAnsi="宋体"/>
          <w:kern w:val="44"/>
        </w:rPr>
      </w:pPr>
    </w:p>
    <w:p w14:paraId="4FA335CF">
      <w:pPr>
        <w:ind w:firstLine="0" w:firstLineChars="0"/>
        <w:jc w:val="center"/>
        <w:rPr>
          <w:rFonts w:ascii="宋体" w:hAnsi="宋体"/>
          <w:b/>
          <w:kern w:val="44"/>
          <w:sz w:val="28"/>
        </w:rPr>
      </w:pPr>
      <w:r>
        <w:rPr>
          <w:rFonts w:hint="eastAsia" w:ascii="宋体" w:hAnsi="宋体"/>
          <w:b/>
          <w:kern w:val="44"/>
          <w:sz w:val="28"/>
        </w:rPr>
        <w:t>第四章　承包合同的变更和解除</w:t>
      </w:r>
    </w:p>
    <w:p w14:paraId="4E4814A5">
      <w:pPr>
        <w:jc w:val="left"/>
        <w:rPr>
          <w:rFonts w:ascii="宋体" w:hAnsi="宋体"/>
          <w:kern w:val="44"/>
        </w:rPr>
      </w:pPr>
    </w:p>
    <w:p w14:paraId="7DB58DB2">
      <w:pPr>
        <w:ind w:firstLine="422"/>
        <w:jc w:val="left"/>
        <w:rPr>
          <w:rFonts w:ascii="宋体" w:hAnsi="宋体"/>
          <w:kern w:val="44"/>
        </w:rPr>
      </w:pPr>
      <w:r>
        <w:rPr>
          <w:rFonts w:hint="eastAsia" w:ascii="宋体" w:hAnsi="宋体"/>
          <w:b/>
          <w:kern w:val="44"/>
        </w:rPr>
        <w:t>第二十四条</w:t>
      </w:r>
      <w:r>
        <w:rPr>
          <w:rFonts w:hint="eastAsia" w:ascii="宋体" w:hAnsi="宋体"/>
          <w:kern w:val="44"/>
        </w:rPr>
        <w:t>　发生下列情况之一的，允许变更或者解除承包合同：</w:t>
      </w:r>
    </w:p>
    <w:p w14:paraId="3724C197">
      <w:pPr>
        <w:jc w:val="left"/>
        <w:rPr>
          <w:rFonts w:ascii="宋体" w:hAnsi="宋体"/>
          <w:kern w:val="44"/>
        </w:rPr>
      </w:pPr>
      <w:r>
        <w:rPr>
          <w:rFonts w:hint="eastAsia" w:ascii="宋体" w:hAnsi="宋体"/>
          <w:kern w:val="44"/>
        </w:rPr>
        <w:t>（一）当事人双方经过协商一致，并且不因变更或者解除承包合同而损害国家、集体利益和社会公共利益的；</w:t>
      </w:r>
    </w:p>
    <w:p w14:paraId="7A6E255E">
      <w:pPr>
        <w:jc w:val="left"/>
        <w:rPr>
          <w:rFonts w:ascii="宋体" w:hAnsi="宋体"/>
          <w:kern w:val="44"/>
        </w:rPr>
      </w:pPr>
      <w:r>
        <w:rPr>
          <w:rFonts w:hint="eastAsia" w:ascii="宋体" w:hAnsi="宋体"/>
          <w:kern w:val="44"/>
        </w:rPr>
        <w:t>（二）承包的土地依法由农用地转为建设用地的；</w:t>
      </w:r>
    </w:p>
    <w:p w14:paraId="49A31728">
      <w:pPr>
        <w:jc w:val="left"/>
        <w:rPr>
          <w:rFonts w:ascii="宋体" w:hAnsi="宋体"/>
          <w:kern w:val="44"/>
        </w:rPr>
      </w:pPr>
      <w:r>
        <w:rPr>
          <w:rFonts w:hint="eastAsia" w:ascii="宋体" w:hAnsi="宋体"/>
          <w:kern w:val="44"/>
        </w:rPr>
        <w:t>（三）因不可抗力的原因，致使承包合同部分或者全部不能履行的；</w:t>
      </w:r>
    </w:p>
    <w:p w14:paraId="4D2D9C7C">
      <w:pPr>
        <w:jc w:val="left"/>
        <w:rPr>
          <w:rFonts w:ascii="宋体" w:hAnsi="宋体"/>
          <w:kern w:val="44"/>
        </w:rPr>
      </w:pPr>
      <w:r>
        <w:rPr>
          <w:rFonts w:hint="eastAsia" w:ascii="宋体" w:hAnsi="宋体"/>
          <w:kern w:val="44"/>
        </w:rPr>
        <w:t>（四）一方违约，致使承包合同无法履行或者没有必要继续履行的；</w:t>
      </w:r>
    </w:p>
    <w:p w14:paraId="3335F256">
      <w:pPr>
        <w:jc w:val="left"/>
        <w:rPr>
          <w:rFonts w:ascii="宋体" w:hAnsi="宋体"/>
          <w:kern w:val="44"/>
        </w:rPr>
      </w:pPr>
      <w:r>
        <w:rPr>
          <w:rFonts w:hint="eastAsia" w:ascii="宋体" w:hAnsi="宋体"/>
          <w:kern w:val="44"/>
        </w:rPr>
        <w:t>（五）承包方改变土地用途，或者进行破坏性生产经营，或者弃耕撂荒，或者拒交承包金，经发包方制止无效的；</w:t>
      </w:r>
    </w:p>
    <w:p w14:paraId="247DF72D">
      <w:pPr>
        <w:jc w:val="left"/>
        <w:rPr>
          <w:rFonts w:ascii="宋体" w:hAnsi="宋体"/>
          <w:kern w:val="44"/>
        </w:rPr>
      </w:pPr>
      <w:r>
        <w:rPr>
          <w:rFonts w:hint="eastAsia" w:ascii="宋体" w:hAnsi="宋体"/>
          <w:kern w:val="44"/>
        </w:rPr>
        <w:t>（六）承包方丧失承包经营能力或者转营他业无力经营的；</w:t>
      </w:r>
    </w:p>
    <w:p w14:paraId="7F9CE537">
      <w:pPr>
        <w:jc w:val="left"/>
        <w:rPr>
          <w:rFonts w:ascii="宋体" w:hAnsi="宋体"/>
          <w:kern w:val="44"/>
        </w:rPr>
      </w:pPr>
      <w:r>
        <w:rPr>
          <w:rFonts w:hint="eastAsia" w:ascii="宋体" w:hAnsi="宋体"/>
          <w:kern w:val="44"/>
        </w:rPr>
        <w:t>（七）签订承包合同所依据的国家政策发生重大变化的。</w:t>
      </w:r>
    </w:p>
    <w:p w14:paraId="7B36D039">
      <w:pPr>
        <w:jc w:val="left"/>
        <w:rPr>
          <w:rFonts w:ascii="宋体" w:hAnsi="宋体"/>
          <w:kern w:val="44"/>
        </w:rPr>
      </w:pPr>
      <w:r>
        <w:rPr>
          <w:rFonts w:hint="eastAsia" w:ascii="宋体" w:hAnsi="宋体"/>
          <w:kern w:val="44"/>
        </w:rPr>
        <w:t>变更或者解除承包合同，应当不违农时，避免造成损失。</w:t>
      </w:r>
    </w:p>
    <w:p w14:paraId="458C3932">
      <w:pPr>
        <w:ind w:firstLine="422"/>
        <w:jc w:val="left"/>
        <w:rPr>
          <w:rFonts w:ascii="宋体" w:hAnsi="宋体"/>
          <w:kern w:val="44"/>
        </w:rPr>
      </w:pPr>
      <w:r>
        <w:rPr>
          <w:rFonts w:hint="eastAsia" w:ascii="宋体" w:hAnsi="宋体"/>
          <w:b/>
          <w:kern w:val="44"/>
        </w:rPr>
        <w:t>第二十五条</w:t>
      </w:r>
      <w:r>
        <w:rPr>
          <w:rFonts w:hint="eastAsia" w:ascii="宋体" w:hAnsi="宋体"/>
          <w:kern w:val="44"/>
        </w:rPr>
        <w:t>　承包合同当事人一方要求变更或者解除承包合同，应当及时书面通知对方；对方应当自接到通知书之日起15日内予以书面答复。</w:t>
      </w:r>
    </w:p>
    <w:p w14:paraId="5F7BCE49">
      <w:pPr>
        <w:jc w:val="left"/>
        <w:rPr>
          <w:rFonts w:ascii="宋体" w:hAnsi="宋体"/>
          <w:kern w:val="44"/>
        </w:rPr>
      </w:pPr>
      <w:r>
        <w:rPr>
          <w:rFonts w:hint="eastAsia" w:ascii="宋体" w:hAnsi="宋体"/>
          <w:kern w:val="44"/>
        </w:rPr>
        <w:t>当事人双方就变更或者解除承包合同达成书面协议，报乡、镇农村合作经济经营管理部门备案。</w:t>
      </w:r>
    </w:p>
    <w:p w14:paraId="04B0062F">
      <w:pPr>
        <w:ind w:firstLine="422"/>
        <w:jc w:val="left"/>
        <w:rPr>
          <w:rFonts w:ascii="宋体" w:hAnsi="宋体"/>
          <w:kern w:val="44"/>
        </w:rPr>
      </w:pPr>
      <w:r>
        <w:rPr>
          <w:rFonts w:hint="eastAsia" w:ascii="宋体" w:hAnsi="宋体"/>
          <w:b/>
          <w:kern w:val="44"/>
        </w:rPr>
        <w:t>第二十六条</w:t>
      </w:r>
      <w:r>
        <w:rPr>
          <w:rFonts w:hint="eastAsia" w:ascii="宋体" w:hAnsi="宋体"/>
          <w:kern w:val="44"/>
        </w:rPr>
        <w:t>　因变更或者解除承包合同使一方遭受损失的，除依法可以免除责任的以外，应当由造成损失的责任方负责赔偿。</w:t>
      </w:r>
    </w:p>
    <w:p w14:paraId="08BDE371">
      <w:pPr>
        <w:ind w:firstLine="422"/>
        <w:jc w:val="left"/>
        <w:rPr>
          <w:rFonts w:ascii="宋体" w:hAnsi="宋体"/>
          <w:kern w:val="44"/>
        </w:rPr>
      </w:pPr>
      <w:r>
        <w:rPr>
          <w:rFonts w:hint="eastAsia" w:ascii="宋体" w:hAnsi="宋体"/>
          <w:b/>
          <w:kern w:val="44"/>
        </w:rPr>
        <w:t>第二十七条</w:t>
      </w:r>
      <w:r>
        <w:rPr>
          <w:rFonts w:hint="eastAsia" w:ascii="宋体" w:hAnsi="宋体"/>
          <w:kern w:val="44"/>
        </w:rPr>
        <w:t>　在承包期内，发包方不得随意调整承包方承包的土地。因承包土地依法由农用地转为建设用地或者自然灾害，需要对土地承包方案作调整的，应当经集体经济组织成员大会或者成员代表大会通过。</w:t>
      </w:r>
    </w:p>
    <w:p w14:paraId="6BAE191C">
      <w:pPr>
        <w:jc w:val="left"/>
        <w:rPr>
          <w:rFonts w:ascii="宋体" w:hAnsi="宋体"/>
          <w:kern w:val="44"/>
        </w:rPr>
      </w:pPr>
    </w:p>
    <w:p w14:paraId="1EC6A9DB">
      <w:pPr>
        <w:jc w:val="left"/>
        <w:rPr>
          <w:rFonts w:ascii="宋体" w:hAnsi="宋体"/>
          <w:kern w:val="44"/>
        </w:rPr>
      </w:pPr>
    </w:p>
    <w:p w14:paraId="754341AB">
      <w:pPr>
        <w:ind w:firstLine="0" w:firstLineChars="0"/>
        <w:jc w:val="center"/>
        <w:rPr>
          <w:rFonts w:ascii="宋体" w:hAnsi="宋体"/>
          <w:b/>
          <w:kern w:val="44"/>
          <w:sz w:val="28"/>
        </w:rPr>
      </w:pPr>
      <w:r>
        <w:rPr>
          <w:rFonts w:hint="eastAsia" w:ascii="宋体" w:hAnsi="宋体"/>
          <w:b/>
          <w:kern w:val="44"/>
          <w:sz w:val="28"/>
        </w:rPr>
        <w:t>第五章　违约责任</w:t>
      </w:r>
    </w:p>
    <w:p w14:paraId="6CF39C3A">
      <w:pPr>
        <w:jc w:val="left"/>
        <w:rPr>
          <w:rFonts w:ascii="宋体" w:hAnsi="宋体"/>
          <w:kern w:val="44"/>
        </w:rPr>
      </w:pPr>
    </w:p>
    <w:p w14:paraId="4AB5F2FC">
      <w:pPr>
        <w:ind w:firstLine="422"/>
        <w:jc w:val="left"/>
        <w:rPr>
          <w:rFonts w:ascii="宋体" w:hAnsi="宋体"/>
          <w:kern w:val="44"/>
        </w:rPr>
      </w:pPr>
      <w:r>
        <w:rPr>
          <w:rFonts w:hint="eastAsia" w:ascii="宋体" w:hAnsi="宋体"/>
          <w:b/>
          <w:kern w:val="44"/>
        </w:rPr>
        <w:t>第二十八条</w:t>
      </w:r>
      <w:r>
        <w:rPr>
          <w:rFonts w:hint="eastAsia" w:ascii="宋体" w:hAnsi="宋体"/>
          <w:kern w:val="44"/>
        </w:rPr>
        <w:t>　由于当事人一方的过错，造成承包合同不能履行或者不能完全履行的，由有过错的一方承担违约责任；双方都有过错的，由双方分别承担各自应负的违约责任。</w:t>
      </w:r>
    </w:p>
    <w:p w14:paraId="559B1ADD">
      <w:pPr>
        <w:ind w:firstLine="422"/>
        <w:jc w:val="left"/>
        <w:rPr>
          <w:rFonts w:ascii="宋体" w:hAnsi="宋体"/>
          <w:kern w:val="44"/>
        </w:rPr>
      </w:pPr>
      <w:r>
        <w:rPr>
          <w:rFonts w:hint="eastAsia" w:ascii="宋体" w:hAnsi="宋体"/>
          <w:b/>
          <w:kern w:val="44"/>
        </w:rPr>
        <w:t>第二十九条</w:t>
      </w:r>
      <w:r>
        <w:rPr>
          <w:rFonts w:hint="eastAsia" w:ascii="宋体" w:hAnsi="宋体"/>
          <w:kern w:val="44"/>
        </w:rPr>
        <w:t>　当事人一方由于不可抗力的原因不能履行承包合同的，应当及时向对方通报不能履行或者需要延期履行、部分履行承包合同的理由，在取得有关证明以后，允许延期履行、部分履行或者不履行，并可根据情况部分或者全部免予承担违约责任。</w:t>
      </w:r>
    </w:p>
    <w:p w14:paraId="074147A8">
      <w:pPr>
        <w:ind w:firstLine="422"/>
        <w:jc w:val="left"/>
        <w:rPr>
          <w:rFonts w:ascii="宋体" w:hAnsi="宋体"/>
          <w:kern w:val="44"/>
        </w:rPr>
      </w:pPr>
      <w:r>
        <w:rPr>
          <w:rFonts w:hint="eastAsia" w:ascii="宋体" w:hAnsi="宋体"/>
          <w:b/>
          <w:kern w:val="44"/>
        </w:rPr>
        <w:t>第三十条</w:t>
      </w:r>
      <w:r>
        <w:rPr>
          <w:rFonts w:hint="eastAsia" w:ascii="宋体" w:hAnsi="宋体"/>
          <w:kern w:val="44"/>
        </w:rPr>
        <w:t>　当事人一方违反承包合同，应当向对方支付违约金；违约金不足以弥补损失的，应当对超出的损失部分进行赔偿。对方要求继续履行承包合同的，应当继续履行。</w:t>
      </w:r>
    </w:p>
    <w:p w14:paraId="12983A48">
      <w:pPr>
        <w:ind w:firstLine="422"/>
        <w:jc w:val="left"/>
        <w:rPr>
          <w:rFonts w:ascii="宋体" w:hAnsi="宋体"/>
          <w:kern w:val="44"/>
        </w:rPr>
      </w:pPr>
      <w:r>
        <w:rPr>
          <w:rFonts w:hint="eastAsia" w:ascii="宋体" w:hAnsi="宋体"/>
          <w:b/>
          <w:kern w:val="44"/>
        </w:rPr>
        <w:t>第三十一条</w:t>
      </w:r>
      <w:r>
        <w:rPr>
          <w:rFonts w:hint="eastAsia" w:ascii="宋体" w:hAnsi="宋体"/>
          <w:kern w:val="44"/>
        </w:rPr>
        <w:t>　发包方有下列行为之一的，应当采取补救措施，给承包方造成损失的，应当负责赔偿：</w:t>
      </w:r>
    </w:p>
    <w:p w14:paraId="14B23A57">
      <w:pPr>
        <w:jc w:val="left"/>
        <w:rPr>
          <w:rFonts w:ascii="宋体" w:hAnsi="宋体"/>
          <w:kern w:val="44"/>
        </w:rPr>
      </w:pPr>
      <w:r>
        <w:rPr>
          <w:rFonts w:hint="eastAsia" w:ascii="宋体" w:hAnsi="宋体"/>
          <w:kern w:val="44"/>
        </w:rPr>
        <w:t>（一）擅自变更或者解除承包合同的；</w:t>
      </w:r>
    </w:p>
    <w:p w14:paraId="0C6795ED">
      <w:pPr>
        <w:jc w:val="left"/>
        <w:rPr>
          <w:rFonts w:ascii="宋体" w:hAnsi="宋体"/>
          <w:kern w:val="44"/>
        </w:rPr>
      </w:pPr>
      <w:r>
        <w:rPr>
          <w:rFonts w:hint="eastAsia" w:ascii="宋体" w:hAnsi="宋体"/>
          <w:kern w:val="44"/>
        </w:rPr>
        <w:t>（二）未按承包合同约定提供生产经营条件和服务的；</w:t>
      </w:r>
    </w:p>
    <w:p w14:paraId="00FECB8E">
      <w:pPr>
        <w:jc w:val="left"/>
        <w:rPr>
          <w:rFonts w:ascii="宋体" w:hAnsi="宋体"/>
          <w:kern w:val="44"/>
        </w:rPr>
      </w:pPr>
      <w:r>
        <w:rPr>
          <w:rFonts w:hint="eastAsia" w:ascii="宋体" w:hAnsi="宋体"/>
          <w:kern w:val="44"/>
        </w:rPr>
        <w:t>（三）非法干预承包方正常生产经营活动的；</w:t>
      </w:r>
    </w:p>
    <w:p w14:paraId="431BCE72">
      <w:pPr>
        <w:jc w:val="left"/>
        <w:rPr>
          <w:rFonts w:ascii="宋体" w:hAnsi="宋体"/>
          <w:kern w:val="44"/>
        </w:rPr>
      </w:pPr>
      <w:r>
        <w:rPr>
          <w:rFonts w:hint="eastAsia" w:ascii="宋体" w:hAnsi="宋体"/>
          <w:kern w:val="44"/>
        </w:rPr>
        <w:t>（四）未履行承包合同约定的其他义务的。</w:t>
      </w:r>
    </w:p>
    <w:p w14:paraId="40473DBD">
      <w:pPr>
        <w:ind w:firstLine="422"/>
        <w:jc w:val="left"/>
        <w:rPr>
          <w:rFonts w:ascii="宋体" w:hAnsi="宋体"/>
          <w:kern w:val="44"/>
        </w:rPr>
      </w:pPr>
      <w:r>
        <w:rPr>
          <w:rFonts w:hint="eastAsia" w:ascii="宋体" w:hAnsi="宋体"/>
          <w:b/>
          <w:kern w:val="44"/>
        </w:rPr>
        <w:t>第三十二条</w:t>
      </w:r>
      <w:r>
        <w:rPr>
          <w:rFonts w:hint="eastAsia" w:ascii="宋体" w:hAnsi="宋体"/>
          <w:kern w:val="44"/>
        </w:rPr>
        <w:t>　承包方有下列行为之一的，应当采取补救措施，给发包方造成损失的，应当负责赔偿：</w:t>
      </w:r>
    </w:p>
    <w:p w14:paraId="78BD1121">
      <w:pPr>
        <w:jc w:val="left"/>
        <w:rPr>
          <w:rFonts w:ascii="宋体" w:hAnsi="宋体"/>
          <w:kern w:val="44"/>
        </w:rPr>
      </w:pPr>
      <w:r>
        <w:rPr>
          <w:rFonts w:hint="eastAsia" w:ascii="宋体" w:hAnsi="宋体"/>
          <w:kern w:val="44"/>
        </w:rPr>
        <w:t>（一）改变承包土地用途，或者进行破坏性生产经营，或者弃耕撂荒的；</w:t>
      </w:r>
    </w:p>
    <w:p w14:paraId="226FFDAE">
      <w:pPr>
        <w:jc w:val="left"/>
        <w:rPr>
          <w:rFonts w:ascii="宋体" w:hAnsi="宋体"/>
          <w:kern w:val="44"/>
        </w:rPr>
      </w:pPr>
      <w:r>
        <w:rPr>
          <w:rFonts w:hint="eastAsia" w:ascii="宋体" w:hAnsi="宋体"/>
          <w:kern w:val="44"/>
        </w:rPr>
        <w:t>（二）承包的生产设施毁坏或者丢失的；</w:t>
      </w:r>
    </w:p>
    <w:p w14:paraId="2F15B2CD">
      <w:pPr>
        <w:jc w:val="left"/>
        <w:rPr>
          <w:rFonts w:ascii="宋体" w:hAnsi="宋体"/>
          <w:kern w:val="44"/>
        </w:rPr>
      </w:pPr>
      <w:r>
        <w:rPr>
          <w:rFonts w:hint="eastAsia" w:ascii="宋体" w:hAnsi="宋体"/>
          <w:kern w:val="44"/>
        </w:rPr>
        <w:t>（三）未按承包合同约定缴纳税款、承包金或者未完成国家农产品定购任务的；</w:t>
      </w:r>
    </w:p>
    <w:p w14:paraId="7E67E1DD">
      <w:pPr>
        <w:jc w:val="left"/>
        <w:rPr>
          <w:rFonts w:ascii="宋体" w:hAnsi="宋体"/>
          <w:kern w:val="44"/>
        </w:rPr>
      </w:pPr>
      <w:r>
        <w:rPr>
          <w:rFonts w:hint="eastAsia" w:ascii="宋体" w:hAnsi="宋体"/>
          <w:kern w:val="44"/>
        </w:rPr>
        <w:t>（四）未履行承包合同约定的其他义务的。</w:t>
      </w:r>
    </w:p>
    <w:p w14:paraId="30877BC6">
      <w:pPr>
        <w:jc w:val="left"/>
        <w:rPr>
          <w:rFonts w:ascii="宋体" w:hAnsi="宋体"/>
          <w:kern w:val="44"/>
        </w:rPr>
      </w:pPr>
    </w:p>
    <w:p w14:paraId="5484EDAF">
      <w:pPr>
        <w:ind w:firstLine="0" w:firstLineChars="0"/>
        <w:jc w:val="center"/>
        <w:rPr>
          <w:rFonts w:ascii="宋体" w:hAnsi="宋体"/>
          <w:b/>
          <w:kern w:val="44"/>
          <w:sz w:val="28"/>
        </w:rPr>
      </w:pPr>
      <w:r>
        <w:rPr>
          <w:rFonts w:hint="eastAsia" w:ascii="宋体" w:hAnsi="宋体"/>
          <w:b/>
          <w:kern w:val="44"/>
          <w:sz w:val="28"/>
        </w:rPr>
        <w:t>第六章　承包合同纠纷的处理</w:t>
      </w:r>
    </w:p>
    <w:p w14:paraId="372EAD18">
      <w:pPr>
        <w:jc w:val="left"/>
        <w:rPr>
          <w:rFonts w:ascii="宋体" w:hAnsi="宋体"/>
          <w:kern w:val="44"/>
        </w:rPr>
      </w:pPr>
    </w:p>
    <w:p w14:paraId="57D6AE07">
      <w:pPr>
        <w:ind w:firstLine="422"/>
        <w:jc w:val="left"/>
        <w:rPr>
          <w:rFonts w:ascii="宋体" w:hAnsi="宋体"/>
          <w:kern w:val="44"/>
        </w:rPr>
      </w:pPr>
      <w:r>
        <w:rPr>
          <w:rFonts w:hint="eastAsia" w:ascii="宋体" w:hAnsi="宋体"/>
          <w:b/>
          <w:kern w:val="44"/>
        </w:rPr>
        <w:t>第三十三条</w:t>
      </w:r>
      <w:r>
        <w:rPr>
          <w:rFonts w:hint="eastAsia" w:ascii="宋体" w:hAnsi="宋体"/>
          <w:kern w:val="44"/>
        </w:rPr>
        <w:t>　承包合同发生纠纷时，由当事人协商解决，也可以向所在乡、镇农村合作经济经营管理部门申请调解，调解达成协议的，应当制作调解书。</w:t>
      </w:r>
    </w:p>
    <w:p w14:paraId="6920276F">
      <w:pPr>
        <w:jc w:val="left"/>
        <w:rPr>
          <w:rFonts w:ascii="宋体" w:hAnsi="宋体"/>
          <w:kern w:val="44"/>
        </w:rPr>
      </w:pPr>
      <w:r>
        <w:rPr>
          <w:rFonts w:hint="eastAsia" w:ascii="宋体" w:hAnsi="宋体"/>
          <w:kern w:val="44"/>
        </w:rPr>
        <w:t>当事人双方协商一致，可以不经前款程序，向所在区、县农业承包合同仲裁委员会申请仲裁。仲裁作出裁决，由仲裁委员会制作裁决书。对仲裁不服的，可以在接到裁决书之日起30日内向人民法院起诉。当事人一方期满不起诉又不履行裁决的，另一方可以向人民法院申请执行。</w:t>
      </w:r>
    </w:p>
    <w:p w14:paraId="646E6753">
      <w:pPr>
        <w:jc w:val="left"/>
        <w:rPr>
          <w:rFonts w:ascii="宋体" w:hAnsi="宋体"/>
          <w:kern w:val="44"/>
        </w:rPr>
      </w:pPr>
      <w:r>
        <w:rPr>
          <w:rFonts w:hint="eastAsia" w:ascii="宋体" w:hAnsi="宋体"/>
          <w:kern w:val="44"/>
        </w:rPr>
        <w:t>当事人可以直接向人民法院起诉。</w:t>
      </w:r>
    </w:p>
    <w:p w14:paraId="13B72447">
      <w:pPr>
        <w:jc w:val="left"/>
        <w:rPr>
          <w:rFonts w:ascii="宋体" w:hAnsi="宋体"/>
          <w:kern w:val="44"/>
        </w:rPr>
      </w:pPr>
    </w:p>
    <w:p w14:paraId="4DF2FE0A">
      <w:pPr>
        <w:ind w:firstLine="0" w:firstLineChars="0"/>
        <w:jc w:val="center"/>
        <w:rPr>
          <w:rFonts w:ascii="宋体" w:hAnsi="宋体"/>
          <w:b/>
          <w:kern w:val="44"/>
          <w:sz w:val="28"/>
        </w:rPr>
      </w:pPr>
      <w:r>
        <w:rPr>
          <w:rFonts w:hint="eastAsia" w:ascii="宋体" w:hAnsi="宋体"/>
          <w:b/>
          <w:kern w:val="44"/>
          <w:sz w:val="28"/>
        </w:rPr>
        <w:t>第七章　附　则</w:t>
      </w:r>
    </w:p>
    <w:p w14:paraId="4196D346">
      <w:pPr>
        <w:jc w:val="left"/>
        <w:rPr>
          <w:rFonts w:ascii="宋体" w:hAnsi="宋体"/>
          <w:kern w:val="44"/>
        </w:rPr>
      </w:pPr>
    </w:p>
    <w:p w14:paraId="559DD43F">
      <w:pPr>
        <w:ind w:firstLine="422"/>
        <w:jc w:val="left"/>
        <w:rPr>
          <w:rFonts w:ascii="宋体" w:hAnsi="宋体"/>
          <w:kern w:val="44"/>
        </w:rPr>
      </w:pPr>
      <w:r>
        <w:rPr>
          <w:rFonts w:hint="eastAsia" w:ascii="宋体" w:hAnsi="宋体"/>
          <w:b/>
          <w:kern w:val="44"/>
        </w:rPr>
        <w:t>第三十四条</w:t>
      </w:r>
      <w:r>
        <w:rPr>
          <w:rFonts w:hint="eastAsia" w:ascii="宋体" w:hAnsi="宋体"/>
          <w:kern w:val="44"/>
        </w:rPr>
        <w:t>　本条例具体应用中的问题，由市人民政府负责解释。</w:t>
      </w:r>
    </w:p>
    <w:p w14:paraId="2373BBF1">
      <w:pPr>
        <w:ind w:firstLine="422"/>
        <w:jc w:val="left"/>
        <w:rPr>
          <w:rFonts w:ascii="宋体" w:hAnsi="宋体"/>
          <w:kern w:val="44"/>
        </w:rPr>
      </w:pPr>
      <w:r>
        <w:rPr>
          <w:rFonts w:hint="eastAsia" w:ascii="宋体" w:hAnsi="宋体"/>
          <w:b/>
          <w:kern w:val="44"/>
        </w:rPr>
        <w:t>第三十五条</w:t>
      </w:r>
      <w:r>
        <w:rPr>
          <w:rFonts w:hint="eastAsia" w:ascii="宋体" w:hAnsi="宋体"/>
          <w:kern w:val="44"/>
        </w:rPr>
        <w:t>　本条例自1998年9月15日起施行。1989年10月19日北京市第九届人民代表大会常务委员会第十四次会议通过的《北京市农业联产承包合同条例》同时废止。</w:t>
      </w:r>
    </w:p>
    <w:p w14:paraId="6E798E53">
      <w:pPr>
        <w:pStyle w:val="4"/>
        <w:pageBreakBefore/>
        <w:rPr>
          <w:kern w:val="44"/>
        </w:rPr>
      </w:pPr>
      <w:bookmarkStart w:id="1085" w:name="_Toc422471289"/>
      <w:bookmarkStart w:id="1086" w:name="_Toc428781621"/>
      <w:bookmarkStart w:id="1087" w:name="_Toc427651915"/>
      <w:bookmarkStart w:id="1088" w:name="_Toc427651573"/>
      <w:bookmarkStart w:id="1089" w:name="_Toc428780139"/>
      <w:r>
        <w:rPr>
          <w:rFonts w:hint="eastAsia"/>
          <w:kern w:val="44"/>
        </w:rPr>
        <w:t>北京市实施《中华人民</w:t>
      </w:r>
      <w:bookmarkEnd w:id="1085"/>
      <w:bookmarkStart w:id="1090" w:name="_Toc422471290"/>
      <w:r>
        <w:rPr>
          <w:rFonts w:hint="eastAsia"/>
          <w:kern w:val="44"/>
        </w:rPr>
        <w:t>共和国种子法》办法</w:t>
      </w:r>
      <w:bookmarkEnd w:id="1086"/>
      <w:bookmarkEnd w:id="1087"/>
      <w:bookmarkEnd w:id="1088"/>
      <w:bookmarkEnd w:id="1089"/>
      <w:bookmarkEnd w:id="1090"/>
    </w:p>
    <w:p w14:paraId="1132C043">
      <w:pPr>
        <w:ind w:left="630" w:leftChars="300" w:right="630" w:rightChars="300"/>
        <w:jc w:val="left"/>
        <w:rPr>
          <w:rFonts w:ascii="楷体" w:hAnsi="楷体" w:eastAsia="楷体"/>
          <w:kern w:val="44"/>
        </w:rPr>
      </w:pPr>
      <w:r>
        <w:rPr>
          <w:rFonts w:hint="eastAsia" w:ascii="楷体" w:hAnsi="楷体" w:eastAsia="楷体"/>
          <w:kern w:val="44"/>
        </w:rPr>
        <w:t>（2006年9月15日北京市第十二届人民代表大会常务委员会第三十次会议通过）</w:t>
      </w:r>
    </w:p>
    <w:p w14:paraId="2ACEFC3E">
      <w:pPr>
        <w:ind w:left="630" w:leftChars="300" w:right="630" w:rightChars="300"/>
        <w:jc w:val="left"/>
        <w:rPr>
          <w:rFonts w:ascii="楷体" w:hAnsi="楷体" w:eastAsia="楷体"/>
          <w:kern w:val="44"/>
        </w:rPr>
      </w:pPr>
    </w:p>
    <w:p w14:paraId="11D7962F">
      <w:pPr>
        <w:ind w:firstLine="0" w:firstLineChars="0"/>
        <w:jc w:val="center"/>
        <w:rPr>
          <w:rFonts w:ascii="宋体" w:hAnsi="宋体"/>
          <w:b/>
          <w:kern w:val="44"/>
          <w:sz w:val="28"/>
        </w:rPr>
      </w:pPr>
      <w:r>
        <w:rPr>
          <w:rFonts w:hint="eastAsia" w:ascii="宋体" w:hAnsi="宋体"/>
          <w:b/>
          <w:kern w:val="44"/>
          <w:sz w:val="28"/>
        </w:rPr>
        <w:t>第一章　总　则</w:t>
      </w:r>
    </w:p>
    <w:p w14:paraId="4B1E6417">
      <w:pPr>
        <w:jc w:val="left"/>
        <w:rPr>
          <w:rFonts w:ascii="宋体" w:hAnsi="宋体"/>
          <w:kern w:val="44"/>
        </w:rPr>
      </w:pPr>
    </w:p>
    <w:p w14:paraId="2FDB9C38">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为了实施《中华人民共和国种子法》（以下简称《种子法》），结合本市实际情况，制定本办法。</w:t>
      </w:r>
    </w:p>
    <w:p w14:paraId="19920DD7">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本办法适用于本市行政区域内从事品种选育和种子生产、经营、使用以及相关监督管理的活动。</w:t>
      </w:r>
    </w:p>
    <w:p w14:paraId="4DEE6240">
      <w:pPr>
        <w:jc w:val="left"/>
        <w:rPr>
          <w:rFonts w:ascii="宋体" w:hAnsi="宋体"/>
          <w:kern w:val="44"/>
        </w:rPr>
      </w:pPr>
      <w:r>
        <w:rPr>
          <w:rFonts w:hint="eastAsia" w:ascii="宋体" w:hAnsi="宋体"/>
          <w:kern w:val="44"/>
        </w:rPr>
        <w:t>本办法所称种子，是指农作物和林木的种植材料或者繁殖材料，包括籽粒、果实和根、茎、苗、芽、叶等。</w:t>
      </w:r>
    </w:p>
    <w:p w14:paraId="317C3037">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市和区、县人民政府应当制定种子发展规划，扶持种子生产基地和种子市场体系建设，按照国家有关规定在财政、信贷和税收等方面采取措施，促进种子产业发展。</w:t>
      </w:r>
    </w:p>
    <w:p w14:paraId="461506F4">
      <w:pPr>
        <w:jc w:val="left"/>
        <w:rPr>
          <w:rFonts w:ascii="宋体" w:hAnsi="宋体"/>
          <w:kern w:val="44"/>
        </w:rPr>
      </w:pPr>
      <w:r>
        <w:rPr>
          <w:rFonts w:hint="eastAsia" w:ascii="宋体" w:hAnsi="宋体"/>
          <w:kern w:val="44"/>
        </w:rPr>
        <w:t>市和区、县人民政府应当采取措施，扶持农作物、林木新品种的培育、开发和良种推广，保护植物新品种权，鼓励种子选育、生产、经营一体化。</w:t>
      </w:r>
    </w:p>
    <w:p w14:paraId="56C914E4">
      <w:pPr>
        <w:ind w:firstLine="422"/>
        <w:jc w:val="left"/>
        <w:rPr>
          <w:rFonts w:ascii="宋体" w:hAnsi="宋体"/>
          <w:kern w:val="44"/>
        </w:rPr>
      </w:pPr>
      <w:r>
        <w:rPr>
          <w:rFonts w:hint="eastAsia" w:ascii="宋体" w:hAnsi="宋体"/>
          <w:b/>
          <w:kern w:val="44"/>
        </w:rPr>
        <w:t>第四条</w:t>
      </w:r>
      <w:r>
        <w:rPr>
          <w:rFonts w:hint="eastAsia" w:ascii="宋体" w:hAnsi="宋体"/>
          <w:kern w:val="44"/>
        </w:rPr>
        <w:t>　市人民政府设立种子专项资金，用于种质资源保护与利用、种子技术研究与应用、种子基地建设、品种试验及良种选育、示范和推广。</w:t>
      </w:r>
    </w:p>
    <w:p w14:paraId="14C10C46">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市和区、县农业、林业行政主管部门分别主管本行政区域内农作物种子和林木种子工作。</w:t>
      </w:r>
    </w:p>
    <w:p w14:paraId="615DB5D3">
      <w:pPr>
        <w:jc w:val="left"/>
        <w:rPr>
          <w:rFonts w:ascii="宋体" w:hAnsi="宋体"/>
          <w:kern w:val="44"/>
        </w:rPr>
      </w:pPr>
      <w:r>
        <w:rPr>
          <w:rFonts w:hint="eastAsia" w:ascii="宋体" w:hAnsi="宋体"/>
          <w:kern w:val="44"/>
        </w:rPr>
        <w:t>市和区、县种子管理机构具体负责种子管理和监督工作。市种子管理机构对区、县种子管理机构进行指导和监督。</w:t>
      </w:r>
    </w:p>
    <w:p w14:paraId="7002C220">
      <w:pPr>
        <w:ind w:firstLine="422"/>
        <w:jc w:val="left"/>
        <w:rPr>
          <w:rFonts w:ascii="宋体" w:hAnsi="宋体"/>
          <w:kern w:val="44"/>
        </w:rPr>
      </w:pPr>
      <w:r>
        <w:rPr>
          <w:rFonts w:hint="eastAsia" w:ascii="宋体" w:hAnsi="宋体"/>
          <w:b/>
          <w:kern w:val="44"/>
        </w:rPr>
        <w:t>第六条</w:t>
      </w:r>
      <w:r>
        <w:rPr>
          <w:rFonts w:hint="eastAsia" w:ascii="宋体" w:hAnsi="宋体"/>
          <w:kern w:val="44"/>
        </w:rPr>
        <w:t>　本市建立种子贮备制度，主要用于发生灾害时的生产需要，保障农业、林业安全。</w:t>
      </w:r>
    </w:p>
    <w:p w14:paraId="59F96351">
      <w:pPr>
        <w:ind w:firstLine="422"/>
        <w:jc w:val="left"/>
        <w:rPr>
          <w:rFonts w:ascii="宋体" w:hAnsi="宋体"/>
          <w:kern w:val="44"/>
        </w:rPr>
      </w:pPr>
      <w:r>
        <w:rPr>
          <w:rFonts w:hint="eastAsia" w:ascii="宋体" w:hAnsi="宋体"/>
          <w:b/>
          <w:kern w:val="44"/>
        </w:rPr>
        <w:t>第七条</w:t>
      </w:r>
      <w:r>
        <w:rPr>
          <w:rFonts w:hint="eastAsia" w:ascii="宋体" w:hAnsi="宋体"/>
          <w:kern w:val="44"/>
        </w:rPr>
        <w:t>　种子进出口和对外合作应当严格执行国家规定，有关行政主管部门应当依法加强监督检查。</w:t>
      </w:r>
    </w:p>
    <w:p w14:paraId="21153615">
      <w:pPr>
        <w:ind w:firstLine="422"/>
        <w:jc w:val="left"/>
        <w:rPr>
          <w:rFonts w:ascii="宋体" w:hAnsi="宋体"/>
          <w:kern w:val="44"/>
        </w:rPr>
      </w:pPr>
      <w:r>
        <w:rPr>
          <w:rFonts w:hint="eastAsia" w:ascii="宋体" w:hAnsi="宋体"/>
          <w:b/>
          <w:kern w:val="44"/>
        </w:rPr>
        <w:t>第八条</w:t>
      </w:r>
      <w:r>
        <w:rPr>
          <w:rFonts w:hint="eastAsia" w:ascii="宋体" w:hAnsi="宋体"/>
          <w:kern w:val="44"/>
        </w:rPr>
        <w:t>　市和区、县人民政府和政府有关部门对在种质资源保护、良种选育、推广和种子管理等工作中成绩显著的单位和个人，给予奖励。</w:t>
      </w:r>
    </w:p>
    <w:p w14:paraId="01C5BFB2">
      <w:pPr>
        <w:jc w:val="left"/>
        <w:rPr>
          <w:rFonts w:ascii="宋体" w:hAnsi="宋体"/>
          <w:kern w:val="44"/>
        </w:rPr>
      </w:pPr>
    </w:p>
    <w:p w14:paraId="3ECF1C02">
      <w:pPr>
        <w:ind w:firstLine="0" w:firstLineChars="0"/>
        <w:jc w:val="center"/>
        <w:rPr>
          <w:rFonts w:ascii="宋体" w:hAnsi="宋体"/>
          <w:b/>
          <w:kern w:val="44"/>
          <w:sz w:val="28"/>
        </w:rPr>
      </w:pPr>
      <w:r>
        <w:rPr>
          <w:rFonts w:hint="eastAsia" w:ascii="宋体" w:hAnsi="宋体"/>
          <w:b/>
          <w:kern w:val="44"/>
          <w:sz w:val="28"/>
        </w:rPr>
        <w:t>第二章  种质资源保护</w:t>
      </w:r>
    </w:p>
    <w:p w14:paraId="44B12B7C">
      <w:pPr>
        <w:jc w:val="left"/>
        <w:rPr>
          <w:rFonts w:ascii="宋体" w:hAnsi="宋体"/>
          <w:kern w:val="44"/>
        </w:rPr>
      </w:pPr>
    </w:p>
    <w:p w14:paraId="4B60BD9D">
      <w:pPr>
        <w:ind w:firstLine="422"/>
        <w:jc w:val="left"/>
        <w:rPr>
          <w:rFonts w:ascii="宋体" w:hAnsi="宋体"/>
          <w:kern w:val="44"/>
        </w:rPr>
      </w:pPr>
      <w:r>
        <w:rPr>
          <w:rFonts w:hint="eastAsia" w:ascii="宋体" w:hAnsi="宋体"/>
          <w:b/>
          <w:kern w:val="44"/>
        </w:rPr>
        <w:t>第九条</w:t>
      </w:r>
      <w:r>
        <w:rPr>
          <w:rFonts w:hint="eastAsia" w:ascii="宋体" w:hAnsi="宋体"/>
          <w:kern w:val="44"/>
        </w:rPr>
        <w:t>　市农业、林业行政主管部门应当加强种质资源的保护，建立种质资源库、种质资源保护区或者种质资源保护地，确定并公布本市重点保护的种质资源目录。</w:t>
      </w:r>
    </w:p>
    <w:p w14:paraId="4699CB56">
      <w:pPr>
        <w:jc w:val="left"/>
        <w:rPr>
          <w:rFonts w:ascii="宋体" w:hAnsi="宋体"/>
          <w:kern w:val="44"/>
        </w:rPr>
      </w:pPr>
      <w:r>
        <w:rPr>
          <w:rFonts w:hint="eastAsia" w:ascii="宋体" w:hAnsi="宋体"/>
          <w:kern w:val="44"/>
        </w:rPr>
        <w:t>市农业、林业行政主管部门应当有计划地组织调查本市种质资源情况，并公布可供利用的种质资源目录。</w:t>
      </w:r>
    </w:p>
    <w:p w14:paraId="01BCEDF1">
      <w:pPr>
        <w:ind w:firstLine="422"/>
        <w:jc w:val="left"/>
        <w:rPr>
          <w:rFonts w:ascii="宋体" w:hAnsi="宋体"/>
          <w:kern w:val="44"/>
        </w:rPr>
      </w:pPr>
      <w:r>
        <w:rPr>
          <w:rFonts w:hint="eastAsia" w:ascii="宋体" w:hAnsi="宋体"/>
          <w:b/>
          <w:kern w:val="44"/>
        </w:rPr>
        <w:t>第十条</w:t>
      </w:r>
      <w:r>
        <w:rPr>
          <w:rFonts w:hint="eastAsia" w:ascii="宋体" w:hAnsi="宋体"/>
          <w:kern w:val="44"/>
        </w:rPr>
        <w:t>　鼓励单位和个人依法保护、交流与利用种质资源。</w:t>
      </w:r>
    </w:p>
    <w:p w14:paraId="6A1ADDD8">
      <w:pPr>
        <w:jc w:val="left"/>
        <w:rPr>
          <w:rFonts w:ascii="宋体" w:hAnsi="宋体"/>
          <w:kern w:val="44"/>
        </w:rPr>
      </w:pPr>
      <w:r>
        <w:rPr>
          <w:rFonts w:hint="eastAsia" w:ascii="宋体" w:hAnsi="宋体"/>
          <w:kern w:val="44"/>
        </w:rPr>
        <w:t>市和区、县农业、林业行政主管部门对符合本市种质资源保护需求，承担种质资源保护工作的单位和个人，应当给予适当的扶持和补偿。</w:t>
      </w:r>
    </w:p>
    <w:p w14:paraId="4D2D8F7A">
      <w:pPr>
        <w:ind w:firstLine="422"/>
        <w:jc w:val="left"/>
        <w:rPr>
          <w:rFonts w:ascii="宋体" w:hAnsi="宋体"/>
          <w:kern w:val="44"/>
        </w:rPr>
      </w:pPr>
      <w:r>
        <w:rPr>
          <w:rFonts w:hint="eastAsia" w:ascii="宋体" w:hAnsi="宋体"/>
          <w:b/>
          <w:kern w:val="44"/>
        </w:rPr>
        <w:t>第十一条</w:t>
      </w:r>
      <w:r>
        <w:rPr>
          <w:rFonts w:hint="eastAsia" w:ascii="宋体" w:hAnsi="宋体"/>
          <w:kern w:val="44"/>
        </w:rPr>
        <w:t>　市农业、林业行政主管部门应当根据本市种质资源的实际情况，对下列种质资源确定保护范围，设立保护标志，加强保护管理：</w:t>
      </w:r>
    </w:p>
    <w:p w14:paraId="3671F5FC">
      <w:pPr>
        <w:jc w:val="left"/>
        <w:rPr>
          <w:rFonts w:ascii="宋体" w:hAnsi="宋体"/>
          <w:kern w:val="44"/>
        </w:rPr>
      </w:pPr>
      <w:r>
        <w:rPr>
          <w:rFonts w:hint="eastAsia" w:ascii="宋体" w:hAnsi="宋体"/>
          <w:kern w:val="44"/>
        </w:rPr>
        <w:t>（一）农作物、林木的栽培种、野生种和濒危稀有的繁殖材料；</w:t>
      </w:r>
    </w:p>
    <w:p w14:paraId="30326C2B">
      <w:pPr>
        <w:jc w:val="left"/>
        <w:rPr>
          <w:rFonts w:ascii="宋体" w:hAnsi="宋体"/>
          <w:kern w:val="44"/>
        </w:rPr>
      </w:pPr>
      <w:r>
        <w:rPr>
          <w:rFonts w:hint="eastAsia" w:ascii="宋体" w:hAnsi="宋体"/>
          <w:kern w:val="44"/>
        </w:rPr>
        <w:t>（二）人工培育的遗传材料；</w:t>
      </w:r>
    </w:p>
    <w:p w14:paraId="21A7C64A">
      <w:pPr>
        <w:jc w:val="left"/>
        <w:rPr>
          <w:rFonts w:ascii="宋体" w:hAnsi="宋体"/>
          <w:kern w:val="44"/>
        </w:rPr>
      </w:pPr>
      <w:r>
        <w:rPr>
          <w:rFonts w:hint="eastAsia" w:ascii="宋体" w:hAnsi="宋体"/>
          <w:kern w:val="44"/>
        </w:rPr>
        <w:t>（三）其他具有保护价值的种质资源。</w:t>
      </w:r>
    </w:p>
    <w:p w14:paraId="67206BD0">
      <w:pPr>
        <w:ind w:firstLine="422"/>
        <w:jc w:val="left"/>
        <w:rPr>
          <w:rFonts w:ascii="宋体" w:hAnsi="宋体"/>
          <w:kern w:val="44"/>
        </w:rPr>
      </w:pPr>
      <w:r>
        <w:rPr>
          <w:rFonts w:hint="eastAsia" w:ascii="宋体" w:hAnsi="宋体"/>
          <w:b/>
          <w:kern w:val="44"/>
        </w:rPr>
        <w:t>第十二条</w:t>
      </w:r>
      <w:r>
        <w:rPr>
          <w:rFonts w:hint="eastAsia" w:ascii="宋体" w:hAnsi="宋体"/>
          <w:kern w:val="44"/>
        </w:rPr>
        <w:t>　禁止采集或者采伐国家和本市重点保护的天然种质资源。因科研、教学、人工繁育等特殊情况需要，经国务院农业、林业行政主管部门或者市农业、林业行政主管部门批准采集或者采伐的除外。</w:t>
      </w:r>
    </w:p>
    <w:p w14:paraId="208ACF8A">
      <w:pPr>
        <w:jc w:val="left"/>
        <w:rPr>
          <w:rFonts w:ascii="宋体" w:hAnsi="宋体"/>
          <w:kern w:val="44"/>
        </w:rPr>
      </w:pPr>
    </w:p>
    <w:p w14:paraId="73B15EDE">
      <w:pPr>
        <w:ind w:firstLine="0" w:firstLineChars="0"/>
        <w:jc w:val="center"/>
        <w:rPr>
          <w:rFonts w:ascii="宋体" w:hAnsi="宋体"/>
          <w:b/>
          <w:kern w:val="44"/>
          <w:sz w:val="28"/>
        </w:rPr>
      </w:pPr>
      <w:r>
        <w:rPr>
          <w:rFonts w:hint="eastAsia" w:ascii="宋体" w:hAnsi="宋体"/>
          <w:b/>
          <w:kern w:val="44"/>
          <w:sz w:val="28"/>
        </w:rPr>
        <w:t>第三章　品种选育与审定</w:t>
      </w:r>
    </w:p>
    <w:p w14:paraId="4DFF2923">
      <w:pPr>
        <w:jc w:val="left"/>
        <w:rPr>
          <w:rFonts w:ascii="宋体" w:hAnsi="宋体"/>
          <w:kern w:val="44"/>
        </w:rPr>
      </w:pPr>
    </w:p>
    <w:p w14:paraId="29CB3DF1">
      <w:pPr>
        <w:ind w:firstLine="422"/>
        <w:jc w:val="left"/>
        <w:rPr>
          <w:rFonts w:ascii="宋体" w:hAnsi="宋体"/>
          <w:kern w:val="44"/>
        </w:rPr>
      </w:pPr>
      <w:r>
        <w:rPr>
          <w:rFonts w:hint="eastAsia" w:ascii="宋体" w:hAnsi="宋体"/>
          <w:b/>
          <w:kern w:val="44"/>
        </w:rPr>
        <w:t>第十三条</w:t>
      </w:r>
      <w:r>
        <w:rPr>
          <w:rFonts w:hint="eastAsia" w:ascii="宋体" w:hAnsi="宋体"/>
          <w:kern w:val="44"/>
        </w:rPr>
        <w:t>　本市依法保护植物新品种权所有人（以下简称品种权人）的合法权益。</w:t>
      </w:r>
    </w:p>
    <w:p w14:paraId="1C7A335B">
      <w:pPr>
        <w:jc w:val="left"/>
        <w:rPr>
          <w:rFonts w:ascii="宋体" w:hAnsi="宋体"/>
          <w:kern w:val="44"/>
        </w:rPr>
      </w:pPr>
      <w:r>
        <w:rPr>
          <w:rFonts w:hint="eastAsia" w:ascii="宋体" w:hAnsi="宋体"/>
          <w:kern w:val="44"/>
        </w:rPr>
        <w:t>任何单位或者个人未经品种权人许可，不得为商业目的生产、销售该品种的繁殖材料。</w:t>
      </w:r>
    </w:p>
    <w:p w14:paraId="78C8BFB0">
      <w:pPr>
        <w:ind w:firstLine="422"/>
        <w:jc w:val="left"/>
        <w:rPr>
          <w:rFonts w:ascii="宋体" w:hAnsi="宋体"/>
          <w:kern w:val="44"/>
        </w:rPr>
      </w:pPr>
      <w:r>
        <w:rPr>
          <w:rFonts w:hint="eastAsia" w:ascii="宋体" w:hAnsi="宋体"/>
          <w:b/>
          <w:kern w:val="44"/>
        </w:rPr>
        <w:t>第十四条</w:t>
      </w:r>
      <w:r>
        <w:rPr>
          <w:rFonts w:hint="eastAsia" w:ascii="宋体" w:hAnsi="宋体"/>
          <w:kern w:val="44"/>
        </w:rPr>
        <w:t>　单位或者个人所有的育种材料、育种技术，他人不得侵占，未经该单位或者个人同意，他人不得使用、转让、赠予、披露。</w:t>
      </w:r>
    </w:p>
    <w:p w14:paraId="54FDDF5C">
      <w:pPr>
        <w:ind w:firstLine="422"/>
        <w:jc w:val="left"/>
        <w:rPr>
          <w:rFonts w:ascii="宋体" w:hAnsi="宋体"/>
          <w:kern w:val="44"/>
        </w:rPr>
      </w:pPr>
      <w:r>
        <w:rPr>
          <w:rFonts w:hint="eastAsia" w:ascii="宋体" w:hAnsi="宋体"/>
          <w:b/>
          <w:kern w:val="44"/>
        </w:rPr>
        <w:t>第十五条</w:t>
      </w:r>
      <w:r>
        <w:rPr>
          <w:rFonts w:hint="eastAsia" w:ascii="宋体" w:hAnsi="宋体"/>
          <w:kern w:val="44"/>
        </w:rPr>
        <w:t>　鼓励种子企业独立育种或者与科研单位、学校合作育种，或者委托科研单位、学校育种。合作育种或者委托育种的，当事人双方应当签订书面合同。合同内容包括育种目标、完成期限、投资、新品种权益、违约责任等。</w:t>
      </w:r>
    </w:p>
    <w:p w14:paraId="49D993B0">
      <w:pPr>
        <w:ind w:firstLine="422"/>
        <w:jc w:val="left"/>
        <w:rPr>
          <w:rFonts w:ascii="宋体" w:hAnsi="宋体"/>
          <w:kern w:val="44"/>
        </w:rPr>
      </w:pPr>
      <w:r>
        <w:rPr>
          <w:rFonts w:hint="eastAsia" w:ascii="宋体" w:hAnsi="宋体"/>
          <w:b/>
          <w:kern w:val="44"/>
        </w:rPr>
        <w:t>第十六条</w:t>
      </w:r>
      <w:r>
        <w:rPr>
          <w:rFonts w:hint="eastAsia" w:ascii="宋体" w:hAnsi="宋体"/>
          <w:kern w:val="44"/>
        </w:rPr>
        <w:t>　主要农作物品种、主要林木品种经国家或者本市审定通过并公告后，可以在本市适宜生态区域推广。</w:t>
      </w:r>
    </w:p>
    <w:p w14:paraId="60C303AE">
      <w:pPr>
        <w:jc w:val="left"/>
        <w:rPr>
          <w:rFonts w:ascii="宋体" w:hAnsi="宋体"/>
          <w:kern w:val="44"/>
        </w:rPr>
      </w:pPr>
      <w:r>
        <w:rPr>
          <w:rFonts w:hint="eastAsia" w:ascii="宋体" w:hAnsi="宋体"/>
          <w:kern w:val="44"/>
        </w:rPr>
        <w:t>从相邻省市且与本市于同一适宜生态区的地区引种属于本市主要农作物品种、主要林木品种的，应当经该地区省级审定通过，并报经市农业、林业行政主管部门同意后，方可在本市推广。</w:t>
      </w:r>
    </w:p>
    <w:p w14:paraId="09527CFA">
      <w:pPr>
        <w:ind w:firstLine="422"/>
        <w:jc w:val="left"/>
        <w:rPr>
          <w:rFonts w:ascii="宋体" w:hAnsi="宋体"/>
          <w:kern w:val="44"/>
        </w:rPr>
      </w:pPr>
      <w:r>
        <w:rPr>
          <w:rFonts w:hint="eastAsia" w:ascii="宋体" w:hAnsi="宋体"/>
          <w:b/>
          <w:kern w:val="44"/>
        </w:rPr>
        <w:t>第十七条</w:t>
      </w:r>
      <w:r>
        <w:rPr>
          <w:rFonts w:hint="eastAsia" w:ascii="宋体" w:hAnsi="宋体"/>
          <w:kern w:val="44"/>
        </w:rPr>
        <w:t>　应当审定的农作物品种未经审定通过的，不得发布广告，不得经营、推广，也不得以试验、示范等方式经营、推广。</w:t>
      </w:r>
    </w:p>
    <w:p w14:paraId="000045D1">
      <w:pPr>
        <w:jc w:val="left"/>
        <w:rPr>
          <w:rFonts w:ascii="宋体" w:hAnsi="宋体"/>
          <w:kern w:val="44"/>
        </w:rPr>
      </w:pPr>
      <w:r>
        <w:rPr>
          <w:rFonts w:hint="eastAsia" w:ascii="宋体" w:hAnsi="宋体"/>
          <w:kern w:val="44"/>
        </w:rPr>
        <w:t>应当审定的主要林木品种未经审定通过的，不得作为良种经营、推广，也不得以试验、示范等方式作为良种经营、推广；但生产确需使用的，应当经市林木品种审定委员会认定，并在规定的期限和生态区域内使用。</w:t>
      </w:r>
    </w:p>
    <w:p w14:paraId="14DA1515">
      <w:pPr>
        <w:ind w:firstLine="422"/>
        <w:jc w:val="left"/>
        <w:rPr>
          <w:rFonts w:ascii="宋体" w:hAnsi="宋体"/>
          <w:kern w:val="44"/>
        </w:rPr>
      </w:pPr>
      <w:r>
        <w:rPr>
          <w:rFonts w:hint="eastAsia" w:ascii="宋体" w:hAnsi="宋体"/>
          <w:b/>
          <w:kern w:val="44"/>
        </w:rPr>
        <w:t>第十八条</w:t>
      </w:r>
      <w:r>
        <w:rPr>
          <w:rFonts w:hint="eastAsia" w:ascii="宋体" w:hAnsi="宋体"/>
          <w:kern w:val="44"/>
        </w:rPr>
        <w:t>　在本市推广非主要农作物品种和非主要林木品种的，应当经过试验、示范，并控制在适宜区域内。</w:t>
      </w:r>
    </w:p>
    <w:p w14:paraId="6EA69E4C">
      <w:pPr>
        <w:ind w:firstLine="422"/>
        <w:jc w:val="left"/>
        <w:rPr>
          <w:rFonts w:ascii="宋体" w:hAnsi="宋体"/>
          <w:kern w:val="44"/>
        </w:rPr>
      </w:pPr>
      <w:r>
        <w:rPr>
          <w:rFonts w:hint="eastAsia" w:ascii="宋体" w:hAnsi="宋体"/>
          <w:b/>
          <w:kern w:val="44"/>
        </w:rPr>
        <w:t>第十九条</w:t>
      </w:r>
      <w:r>
        <w:rPr>
          <w:rFonts w:hint="eastAsia" w:ascii="宋体" w:hAnsi="宋体"/>
          <w:kern w:val="44"/>
        </w:rPr>
        <w:t>　经营、推广的农作物品种和林木品种，同一个品种应当使用同一个名称。</w:t>
      </w:r>
    </w:p>
    <w:p w14:paraId="0E0C54E3">
      <w:pPr>
        <w:jc w:val="left"/>
        <w:rPr>
          <w:rFonts w:ascii="宋体" w:hAnsi="宋体"/>
          <w:kern w:val="44"/>
        </w:rPr>
      </w:pPr>
      <w:r>
        <w:rPr>
          <w:rFonts w:hint="eastAsia" w:ascii="宋体" w:hAnsi="宋体"/>
          <w:kern w:val="44"/>
        </w:rPr>
        <w:t>经营、推广审定通过的主要农作物品种、主要林木品种应当使用审定公告确定的品种名称。</w:t>
      </w:r>
    </w:p>
    <w:p w14:paraId="0436C153">
      <w:pPr>
        <w:ind w:firstLine="422"/>
        <w:jc w:val="left"/>
        <w:rPr>
          <w:rFonts w:ascii="宋体" w:hAnsi="宋体"/>
          <w:kern w:val="44"/>
        </w:rPr>
      </w:pPr>
      <w:r>
        <w:rPr>
          <w:rFonts w:hint="eastAsia" w:ascii="宋体" w:hAnsi="宋体"/>
          <w:b/>
          <w:kern w:val="44"/>
        </w:rPr>
        <w:t>第二十条</w:t>
      </w:r>
      <w:r>
        <w:rPr>
          <w:rFonts w:hint="eastAsia" w:ascii="宋体" w:hAnsi="宋体"/>
          <w:kern w:val="44"/>
        </w:rPr>
        <w:t>　审定通过的主要农作物品种、主要林木品种，在使用过程中出现不可克服的缺点的，经市农作物品种审定委员会或者市林木品种审定委员会确认，由市农业行政主管部门或者市林业行政主管部门发布公告后，停止经营、推广。</w:t>
      </w:r>
    </w:p>
    <w:p w14:paraId="43176062">
      <w:pPr>
        <w:jc w:val="left"/>
        <w:rPr>
          <w:rFonts w:ascii="宋体" w:hAnsi="宋体"/>
          <w:kern w:val="44"/>
        </w:rPr>
      </w:pPr>
    </w:p>
    <w:p w14:paraId="31AD82DF">
      <w:pPr>
        <w:jc w:val="left"/>
        <w:rPr>
          <w:rFonts w:ascii="宋体" w:hAnsi="宋体"/>
          <w:kern w:val="44"/>
        </w:rPr>
      </w:pPr>
    </w:p>
    <w:p w14:paraId="3F60A417">
      <w:pPr>
        <w:ind w:firstLine="0" w:firstLineChars="0"/>
        <w:jc w:val="center"/>
        <w:rPr>
          <w:rFonts w:ascii="宋体" w:hAnsi="宋体"/>
          <w:b/>
          <w:kern w:val="44"/>
          <w:sz w:val="28"/>
        </w:rPr>
      </w:pPr>
      <w:r>
        <w:rPr>
          <w:rFonts w:hint="eastAsia" w:ascii="宋体" w:hAnsi="宋体"/>
          <w:b/>
          <w:kern w:val="44"/>
          <w:sz w:val="28"/>
        </w:rPr>
        <w:t>第四章  种子生产</w:t>
      </w:r>
    </w:p>
    <w:p w14:paraId="3975ED87">
      <w:pPr>
        <w:jc w:val="left"/>
        <w:rPr>
          <w:rFonts w:ascii="宋体" w:hAnsi="宋体"/>
          <w:kern w:val="44"/>
        </w:rPr>
      </w:pPr>
    </w:p>
    <w:p w14:paraId="5FBB9A7F">
      <w:pPr>
        <w:ind w:firstLine="422"/>
        <w:jc w:val="left"/>
        <w:rPr>
          <w:rFonts w:ascii="宋体" w:hAnsi="宋体"/>
          <w:kern w:val="44"/>
        </w:rPr>
      </w:pPr>
      <w:r>
        <w:rPr>
          <w:rFonts w:hint="eastAsia" w:ascii="宋体" w:hAnsi="宋体"/>
          <w:b/>
          <w:kern w:val="44"/>
        </w:rPr>
        <w:t>第二十一条</w:t>
      </w:r>
      <w:r>
        <w:rPr>
          <w:rFonts w:hint="eastAsia" w:ascii="宋体" w:hAnsi="宋体"/>
          <w:kern w:val="44"/>
        </w:rPr>
        <w:t>　主要农作物和主要林木的商品种子生产应当执行种子生产许可制度。</w:t>
      </w:r>
    </w:p>
    <w:p w14:paraId="17F73B19">
      <w:pPr>
        <w:jc w:val="left"/>
        <w:rPr>
          <w:rFonts w:ascii="宋体" w:hAnsi="宋体"/>
          <w:kern w:val="44"/>
        </w:rPr>
      </w:pPr>
      <w:r>
        <w:rPr>
          <w:rFonts w:hint="eastAsia" w:ascii="宋体" w:hAnsi="宋体"/>
          <w:kern w:val="44"/>
        </w:rPr>
        <w:t>申请领取种子生产许可证应当符合《种子法》第二十一条的规定，并提交相应的证明材料。</w:t>
      </w:r>
    </w:p>
    <w:p w14:paraId="3EBCC0B9">
      <w:pPr>
        <w:jc w:val="left"/>
        <w:rPr>
          <w:rFonts w:ascii="宋体" w:hAnsi="宋体"/>
          <w:kern w:val="44"/>
        </w:rPr>
      </w:pPr>
      <w:r>
        <w:rPr>
          <w:rFonts w:hint="eastAsia" w:ascii="宋体" w:hAnsi="宋体"/>
          <w:kern w:val="44"/>
        </w:rPr>
        <w:t>种子生产许可证由市或者区、县种子管理机构按照管理权限核发，有效期为三年。</w:t>
      </w:r>
    </w:p>
    <w:p w14:paraId="384F61CB">
      <w:pPr>
        <w:ind w:firstLine="422"/>
        <w:jc w:val="left"/>
        <w:rPr>
          <w:rFonts w:ascii="宋体" w:hAnsi="宋体"/>
          <w:kern w:val="44"/>
        </w:rPr>
      </w:pPr>
      <w:r>
        <w:rPr>
          <w:rFonts w:hint="eastAsia" w:ascii="宋体" w:hAnsi="宋体"/>
          <w:b/>
          <w:kern w:val="44"/>
        </w:rPr>
        <w:t>第二十二条</w:t>
      </w:r>
      <w:r>
        <w:rPr>
          <w:rFonts w:hint="eastAsia" w:ascii="宋体" w:hAnsi="宋体"/>
          <w:kern w:val="44"/>
        </w:rPr>
        <w:t>　在种子生产许可证有效期内，许可证注明的项目变更的，种子生产者应当自变更之日起30日内到原发证机关办理变更手续。</w:t>
      </w:r>
    </w:p>
    <w:p w14:paraId="18D9D0A0">
      <w:pPr>
        <w:ind w:firstLine="422"/>
        <w:jc w:val="left"/>
        <w:rPr>
          <w:rFonts w:ascii="宋体" w:hAnsi="宋体"/>
          <w:kern w:val="44"/>
        </w:rPr>
      </w:pPr>
      <w:r>
        <w:rPr>
          <w:rFonts w:hint="eastAsia" w:ascii="宋体" w:hAnsi="宋体"/>
          <w:b/>
          <w:kern w:val="44"/>
        </w:rPr>
        <w:t>第二十三条</w:t>
      </w:r>
      <w:r>
        <w:rPr>
          <w:rFonts w:hint="eastAsia" w:ascii="宋体" w:hAnsi="宋体"/>
          <w:kern w:val="44"/>
        </w:rPr>
        <w:t>　鼓励和支持种子生产基地建设，推进种子标准化生产，提高种子质量。</w:t>
      </w:r>
    </w:p>
    <w:p w14:paraId="1F9C9091">
      <w:pPr>
        <w:jc w:val="left"/>
        <w:rPr>
          <w:rFonts w:ascii="宋体" w:hAnsi="宋体"/>
          <w:kern w:val="44"/>
        </w:rPr>
      </w:pPr>
      <w:r>
        <w:rPr>
          <w:rFonts w:hint="eastAsia" w:ascii="宋体" w:hAnsi="宋体"/>
          <w:kern w:val="44"/>
        </w:rPr>
        <w:t>种子生产基地应当具备与种子生产相适应的生产条件、设施以及技术人员，有符合技术规范要求的隔离条件。</w:t>
      </w:r>
    </w:p>
    <w:p w14:paraId="519B2879">
      <w:pPr>
        <w:ind w:firstLine="422"/>
        <w:jc w:val="left"/>
        <w:rPr>
          <w:rFonts w:ascii="宋体" w:hAnsi="宋体"/>
          <w:kern w:val="44"/>
        </w:rPr>
      </w:pPr>
      <w:r>
        <w:rPr>
          <w:rFonts w:hint="eastAsia" w:ascii="宋体" w:hAnsi="宋体"/>
          <w:b/>
          <w:kern w:val="44"/>
        </w:rPr>
        <w:t>第二十四条</w:t>
      </w:r>
      <w:r>
        <w:rPr>
          <w:rFonts w:hint="eastAsia" w:ascii="宋体" w:hAnsi="宋体"/>
          <w:kern w:val="44"/>
        </w:rPr>
        <w:t>　种子企业委托农村集体经济组织或者农户生产种子的，应当签订书面合同。</w:t>
      </w:r>
    </w:p>
    <w:p w14:paraId="3B254ED6">
      <w:pPr>
        <w:jc w:val="left"/>
        <w:rPr>
          <w:rFonts w:ascii="宋体" w:hAnsi="宋体"/>
          <w:kern w:val="44"/>
        </w:rPr>
      </w:pPr>
      <w:r>
        <w:rPr>
          <w:rFonts w:hint="eastAsia" w:ascii="宋体" w:hAnsi="宋体"/>
          <w:kern w:val="44"/>
        </w:rPr>
        <w:t>委托方有义务提供合格的亲本或者原种，负责种子生产技术指导，并按照合同约定收购种子；受托方有义务按照生产技术规程或者合同约定的技术要求进行种子生产，接受委托方的技术指导，并不得违反合同约定将种子或者繁殖材料出售给他人。</w:t>
      </w:r>
    </w:p>
    <w:p w14:paraId="64E1667F">
      <w:pPr>
        <w:jc w:val="left"/>
        <w:rPr>
          <w:rFonts w:ascii="宋体" w:hAnsi="宋体"/>
          <w:kern w:val="44"/>
        </w:rPr>
      </w:pPr>
      <w:r>
        <w:rPr>
          <w:rFonts w:hint="eastAsia" w:ascii="宋体" w:hAnsi="宋体"/>
          <w:kern w:val="44"/>
        </w:rPr>
        <w:t>委托方有权拒绝收购因受托方未按种子技术规程或者合同约定的技术要求生产的不合格种子，但因委托方原因造成种子不合格的除外；受托方有权按照合同约定获得种子生产的收益，有权获得因委托方责任造成的损失补偿。</w:t>
      </w:r>
    </w:p>
    <w:p w14:paraId="14033B7C">
      <w:pPr>
        <w:ind w:firstLine="422"/>
        <w:jc w:val="left"/>
        <w:rPr>
          <w:rFonts w:ascii="宋体" w:hAnsi="宋体"/>
          <w:kern w:val="44"/>
        </w:rPr>
      </w:pPr>
      <w:r>
        <w:rPr>
          <w:rFonts w:hint="eastAsia" w:ascii="宋体" w:hAnsi="宋体"/>
          <w:b/>
          <w:kern w:val="44"/>
        </w:rPr>
        <w:t>第二十五条</w:t>
      </w:r>
      <w:r>
        <w:rPr>
          <w:rFonts w:hint="eastAsia" w:ascii="宋体" w:hAnsi="宋体"/>
          <w:kern w:val="44"/>
        </w:rPr>
        <w:t>　有下列情形之一的农作物种子，不得投入商品种子生产：</w:t>
      </w:r>
    </w:p>
    <w:p w14:paraId="3731AFF5">
      <w:pPr>
        <w:jc w:val="left"/>
        <w:rPr>
          <w:rFonts w:ascii="宋体" w:hAnsi="宋体"/>
          <w:kern w:val="44"/>
        </w:rPr>
      </w:pPr>
      <w:r>
        <w:rPr>
          <w:rFonts w:hint="eastAsia" w:ascii="宋体" w:hAnsi="宋体"/>
          <w:kern w:val="44"/>
        </w:rPr>
        <w:t>（一）应当审定而未经审定通过的；</w:t>
      </w:r>
    </w:p>
    <w:p w14:paraId="56B255C1">
      <w:pPr>
        <w:jc w:val="left"/>
        <w:rPr>
          <w:rFonts w:ascii="宋体" w:hAnsi="宋体"/>
          <w:kern w:val="44"/>
        </w:rPr>
      </w:pPr>
      <w:r>
        <w:rPr>
          <w:rFonts w:hint="eastAsia" w:ascii="宋体" w:hAnsi="宋体"/>
          <w:kern w:val="44"/>
        </w:rPr>
        <w:t>（二）亲本或者原种不合格的；</w:t>
      </w:r>
    </w:p>
    <w:p w14:paraId="00E67BDF">
      <w:pPr>
        <w:jc w:val="left"/>
        <w:rPr>
          <w:rFonts w:ascii="宋体" w:hAnsi="宋体"/>
          <w:kern w:val="44"/>
        </w:rPr>
      </w:pPr>
      <w:r>
        <w:rPr>
          <w:rFonts w:hint="eastAsia" w:ascii="宋体" w:hAnsi="宋体"/>
          <w:kern w:val="44"/>
        </w:rPr>
        <w:t>（三）品种性状尚不稳定的；</w:t>
      </w:r>
    </w:p>
    <w:p w14:paraId="196EC51F">
      <w:pPr>
        <w:jc w:val="left"/>
        <w:rPr>
          <w:rFonts w:ascii="宋体" w:hAnsi="宋体"/>
          <w:kern w:val="44"/>
        </w:rPr>
      </w:pPr>
      <w:r>
        <w:rPr>
          <w:rFonts w:hint="eastAsia" w:ascii="宋体" w:hAnsi="宋体"/>
          <w:kern w:val="44"/>
        </w:rPr>
        <w:t>（四）法律、法规规定的其他情形。</w:t>
      </w:r>
    </w:p>
    <w:p w14:paraId="552D5904">
      <w:pPr>
        <w:ind w:firstLine="422"/>
        <w:jc w:val="left"/>
        <w:rPr>
          <w:rFonts w:ascii="宋体" w:hAnsi="宋体"/>
          <w:kern w:val="44"/>
        </w:rPr>
      </w:pPr>
      <w:r>
        <w:rPr>
          <w:rFonts w:hint="eastAsia" w:ascii="宋体" w:hAnsi="宋体"/>
          <w:b/>
          <w:kern w:val="44"/>
        </w:rPr>
        <w:t>第二十六条</w:t>
      </w:r>
      <w:r>
        <w:rPr>
          <w:rFonts w:hint="eastAsia" w:ascii="宋体" w:hAnsi="宋体"/>
          <w:kern w:val="44"/>
        </w:rPr>
        <w:t>　商品种子生产者应当按照《种子法》第二十五条的规定，建立种子生产档案。</w:t>
      </w:r>
    </w:p>
    <w:p w14:paraId="296F8F58">
      <w:pPr>
        <w:jc w:val="left"/>
        <w:rPr>
          <w:rFonts w:ascii="宋体" w:hAnsi="宋体"/>
          <w:kern w:val="44"/>
        </w:rPr>
      </w:pPr>
      <w:r>
        <w:rPr>
          <w:rFonts w:hint="eastAsia" w:ascii="宋体" w:hAnsi="宋体"/>
          <w:kern w:val="44"/>
        </w:rPr>
        <w:t>种子生产档案保存期限，应当执行国务院农业、林业行政主管部门的有关规定。</w:t>
      </w:r>
    </w:p>
    <w:p w14:paraId="30813B70">
      <w:pPr>
        <w:jc w:val="left"/>
        <w:rPr>
          <w:rFonts w:ascii="宋体" w:hAnsi="宋体"/>
          <w:kern w:val="44"/>
        </w:rPr>
      </w:pPr>
    </w:p>
    <w:p w14:paraId="4560C919">
      <w:pPr>
        <w:ind w:firstLine="0" w:firstLineChars="0"/>
        <w:jc w:val="center"/>
        <w:rPr>
          <w:rFonts w:ascii="宋体" w:hAnsi="宋体"/>
          <w:b/>
          <w:kern w:val="44"/>
          <w:sz w:val="28"/>
        </w:rPr>
      </w:pPr>
      <w:r>
        <w:rPr>
          <w:rFonts w:hint="eastAsia" w:ascii="宋体" w:hAnsi="宋体"/>
          <w:b/>
          <w:kern w:val="44"/>
          <w:sz w:val="28"/>
        </w:rPr>
        <w:t>第五章  种子经营</w:t>
      </w:r>
    </w:p>
    <w:p w14:paraId="7A83BFCA">
      <w:pPr>
        <w:jc w:val="left"/>
        <w:rPr>
          <w:rFonts w:ascii="宋体" w:hAnsi="宋体"/>
          <w:kern w:val="44"/>
        </w:rPr>
      </w:pPr>
    </w:p>
    <w:p w14:paraId="4E0A0001">
      <w:pPr>
        <w:ind w:firstLine="422"/>
        <w:jc w:val="left"/>
        <w:rPr>
          <w:rFonts w:ascii="宋体" w:hAnsi="宋体"/>
          <w:kern w:val="44"/>
        </w:rPr>
      </w:pPr>
      <w:r>
        <w:rPr>
          <w:rFonts w:hint="eastAsia" w:ascii="宋体" w:hAnsi="宋体"/>
          <w:b/>
          <w:kern w:val="44"/>
        </w:rPr>
        <w:t>第二十七条</w:t>
      </w:r>
      <w:r>
        <w:rPr>
          <w:rFonts w:hint="eastAsia" w:ascii="宋体" w:hAnsi="宋体"/>
          <w:kern w:val="44"/>
        </w:rPr>
        <w:t>　种子经营应当执行种子经营许可制度。</w:t>
      </w:r>
    </w:p>
    <w:p w14:paraId="7C64D2B8">
      <w:pPr>
        <w:jc w:val="left"/>
        <w:rPr>
          <w:rFonts w:ascii="宋体" w:hAnsi="宋体"/>
          <w:kern w:val="44"/>
        </w:rPr>
      </w:pPr>
      <w:r>
        <w:rPr>
          <w:rFonts w:hint="eastAsia" w:ascii="宋体" w:hAnsi="宋体"/>
          <w:kern w:val="44"/>
        </w:rPr>
        <w:t>申请领取种子经营许可证应当符合《种子法》第二十九条的规定，并提交相应的证明材料。</w:t>
      </w:r>
    </w:p>
    <w:p w14:paraId="78E95B2A">
      <w:pPr>
        <w:jc w:val="left"/>
        <w:rPr>
          <w:rFonts w:ascii="宋体" w:hAnsi="宋体"/>
          <w:kern w:val="44"/>
        </w:rPr>
      </w:pPr>
      <w:r>
        <w:rPr>
          <w:rFonts w:hint="eastAsia" w:ascii="宋体" w:hAnsi="宋体"/>
          <w:kern w:val="44"/>
        </w:rPr>
        <w:t>种子经营许可证由市或者区、县种子管理机构按照管理权限核发。农作物种子经营许可证有效期为五年。林木种子经营许可证有效期为三年。</w:t>
      </w:r>
    </w:p>
    <w:p w14:paraId="55A80052">
      <w:pPr>
        <w:ind w:firstLine="422"/>
        <w:jc w:val="left"/>
        <w:rPr>
          <w:rFonts w:ascii="宋体" w:hAnsi="宋体"/>
          <w:kern w:val="44"/>
        </w:rPr>
      </w:pPr>
      <w:r>
        <w:rPr>
          <w:rFonts w:hint="eastAsia" w:ascii="宋体" w:hAnsi="宋体"/>
          <w:b/>
          <w:kern w:val="44"/>
        </w:rPr>
        <w:t>第二十八条</w:t>
      </w:r>
      <w:r>
        <w:rPr>
          <w:rFonts w:hint="eastAsia" w:ascii="宋体" w:hAnsi="宋体"/>
          <w:kern w:val="44"/>
        </w:rPr>
        <w:t>　在种子经营许可证有效期内，许可证注明的项目变更的，种子经营者应当自变更之日起30日内到原发证机关办理变更手续。</w:t>
      </w:r>
    </w:p>
    <w:p w14:paraId="2056DC08">
      <w:pPr>
        <w:ind w:firstLine="422"/>
        <w:jc w:val="left"/>
        <w:rPr>
          <w:rFonts w:ascii="宋体" w:hAnsi="宋体"/>
          <w:kern w:val="44"/>
        </w:rPr>
      </w:pPr>
      <w:r>
        <w:rPr>
          <w:rFonts w:hint="eastAsia" w:ascii="宋体" w:hAnsi="宋体"/>
          <w:b/>
          <w:kern w:val="44"/>
        </w:rPr>
        <w:t>第二十九条</w:t>
      </w:r>
      <w:r>
        <w:rPr>
          <w:rFonts w:hint="eastAsia" w:ascii="宋体" w:hAnsi="宋体"/>
          <w:kern w:val="44"/>
        </w:rPr>
        <w:t>　种子经营者在经营许可证规定的有效区域内设立分支机构的，应当在办理或者变更营业执照后15日内，向当地种子管理机构和原发证机关备案。</w:t>
      </w:r>
    </w:p>
    <w:p w14:paraId="1BD4C631">
      <w:pPr>
        <w:ind w:firstLine="422"/>
        <w:jc w:val="left"/>
        <w:rPr>
          <w:rFonts w:ascii="宋体" w:hAnsi="宋体"/>
          <w:kern w:val="44"/>
        </w:rPr>
      </w:pPr>
      <w:r>
        <w:rPr>
          <w:rFonts w:hint="eastAsia" w:ascii="宋体" w:hAnsi="宋体"/>
          <w:b/>
          <w:kern w:val="44"/>
        </w:rPr>
        <w:t>第三十条</w:t>
      </w:r>
      <w:r>
        <w:rPr>
          <w:rFonts w:hint="eastAsia" w:ascii="宋体" w:hAnsi="宋体"/>
          <w:kern w:val="44"/>
        </w:rPr>
        <w:t>　种子经营者应当按照《种子法》第三十六条的规定，建立种子经营档案。种子经营档案保存期限，应当执行国务院农业、林业行政主管部门的有关规定。</w:t>
      </w:r>
    </w:p>
    <w:p w14:paraId="25099EFA">
      <w:pPr>
        <w:ind w:firstLine="422"/>
        <w:jc w:val="left"/>
        <w:rPr>
          <w:rFonts w:ascii="宋体" w:hAnsi="宋体"/>
          <w:kern w:val="44"/>
        </w:rPr>
      </w:pPr>
      <w:r>
        <w:rPr>
          <w:rFonts w:hint="eastAsia" w:ascii="宋体" w:hAnsi="宋体"/>
          <w:b/>
          <w:kern w:val="44"/>
        </w:rPr>
        <w:t>第三十一条</w:t>
      </w:r>
      <w:r>
        <w:rPr>
          <w:rFonts w:hint="eastAsia" w:ascii="宋体" w:hAnsi="宋体"/>
          <w:kern w:val="44"/>
        </w:rPr>
        <w:t>　禁止销售下列种子：</w:t>
      </w:r>
    </w:p>
    <w:p w14:paraId="1323BF55">
      <w:pPr>
        <w:jc w:val="left"/>
        <w:rPr>
          <w:rFonts w:ascii="宋体" w:hAnsi="宋体"/>
          <w:kern w:val="44"/>
        </w:rPr>
      </w:pPr>
      <w:r>
        <w:rPr>
          <w:rFonts w:hint="eastAsia" w:ascii="宋体" w:hAnsi="宋体"/>
          <w:kern w:val="44"/>
        </w:rPr>
        <w:t>（一）应当审定而未经审定通过的农作物种子；</w:t>
      </w:r>
    </w:p>
    <w:p w14:paraId="44C5F23E">
      <w:pPr>
        <w:jc w:val="left"/>
        <w:rPr>
          <w:rFonts w:ascii="宋体" w:hAnsi="宋体"/>
          <w:kern w:val="44"/>
        </w:rPr>
      </w:pPr>
      <w:r>
        <w:rPr>
          <w:rFonts w:hint="eastAsia" w:ascii="宋体" w:hAnsi="宋体"/>
          <w:kern w:val="44"/>
        </w:rPr>
        <w:t>（二）应当包装而未包装的；</w:t>
      </w:r>
    </w:p>
    <w:p w14:paraId="7FD93D21">
      <w:pPr>
        <w:jc w:val="left"/>
        <w:rPr>
          <w:rFonts w:ascii="宋体" w:hAnsi="宋体"/>
          <w:kern w:val="44"/>
        </w:rPr>
      </w:pPr>
      <w:r>
        <w:rPr>
          <w:rFonts w:hint="eastAsia" w:ascii="宋体" w:hAnsi="宋体"/>
          <w:kern w:val="44"/>
        </w:rPr>
        <w:t>（三）没有标签或者标签内容、样式不符合规定的；</w:t>
      </w:r>
    </w:p>
    <w:p w14:paraId="7003F683">
      <w:pPr>
        <w:jc w:val="left"/>
        <w:rPr>
          <w:rFonts w:ascii="宋体" w:hAnsi="宋体"/>
          <w:kern w:val="44"/>
        </w:rPr>
      </w:pPr>
      <w:r>
        <w:rPr>
          <w:rFonts w:hint="eastAsia" w:ascii="宋体" w:hAnsi="宋体"/>
          <w:kern w:val="44"/>
        </w:rPr>
        <w:t>（四）假种子；</w:t>
      </w:r>
    </w:p>
    <w:p w14:paraId="314D13BC">
      <w:pPr>
        <w:jc w:val="left"/>
        <w:rPr>
          <w:rFonts w:ascii="宋体" w:hAnsi="宋体"/>
          <w:kern w:val="44"/>
        </w:rPr>
      </w:pPr>
      <w:r>
        <w:rPr>
          <w:rFonts w:hint="eastAsia" w:ascii="宋体" w:hAnsi="宋体"/>
          <w:kern w:val="44"/>
        </w:rPr>
        <w:t>（五）劣种子；</w:t>
      </w:r>
    </w:p>
    <w:p w14:paraId="1D8B6F2B">
      <w:pPr>
        <w:jc w:val="left"/>
        <w:rPr>
          <w:rFonts w:ascii="宋体" w:hAnsi="宋体"/>
          <w:kern w:val="44"/>
        </w:rPr>
      </w:pPr>
      <w:r>
        <w:rPr>
          <w:rFonts w:hint="eastAsia" w:ascii="宋体" w:hAnsi="宋体"/>
          <w:kern w:val="44"/>
        </w:rPr>
        <w:t>（六）未作明显文字标注的转基因种子；</w:t>
      </w:r>
    </w:p>
    <w:p w14:paraId="3C390BC4">
      <w:pPr>
        <w:jc w:val="left"/>
        <w:rPr>
          <w:rFonts w:ascii="宋体" w:hAnsi="宋体"/>
          <w:kern w:val="44"/>
        </w:rPr>
      </w:pPr>
      <w:r>
        <w:rPr>
          <w:rFonts w:hint="eastAsia" w:ascii="宋体" w:hAnsi="宋体"/>
          <w:kern w:val="44"/>
        </w:rPr>
        <w:t>（七）法律、法规规定的其他情形。</w:t>
      </w:r>
    </w:p>
    <w:p w14:paraId="42B357BE">
      <w:pPr>
        <w:ind w:firstLine="422"/>
        <w:jc w:val="left"/>
        <w:rPr>
          <w:rFonts w:ascii="宋体" w:hAnsi="宋体"/>
          <w:kern w:val="44"/>
        </w:rPr>
      </w:pPr>
      <w:r>
        <w:rPr>
          <w:rFonts w:hint="eastAsia" w:ascii="宋体" w:hAnsi="宋体"/>
          <w:b/>
          <w:kern w:val="44"/>
        </w:rPr>
        <w:t>第三十二条</w:t>
      </w:r>
      <w:r>
        <w:rPr>
          <w:rFonts w:hint="eastAsia" w:ascii="宋体" w:hAnsi="宋体"/>
          <w:kern w:val="44"/>
        </w:rPr>
        <w:t>　收购珍贵树木种子和市人民政府规定的限制收购的林木种子，应当经市林业行政主管部门批准。</w:t>
      </w:r>
    </w:p>
    <w:p w14:paraId="1582E159">
      <w:pPr>
        <w:jc w:val="left"/>
        <w:rPr>
          <w:rFonts w:ascii="宋体" w:hAnsi="宋体"/>
          <w:kern w:val="44"/>
        </w:rPr>
      </w:pPr>
      <w:r>
        <w:rPr>
          <w:rFonts w:hint="eastAsia" w:ascii="宋体" w:hAnsi="宋体"/>
          <w:kern w:val="44"/>
        </w:rPr>
        <w:t>珍贵树木和限制收购的林木种子名录，由市林业行政主管部门提出，经市人民政府批准后，向社会公布。</w:t>
      </w:r>
    </w:p>
    <w:p w14:paraId="3FAECAB3">
      <w:pPr>
        <w:ind w:firstLine="422"/>
        <w:jc w:val="left"/>
        <w:rPr>
          <w:rFonts w:ascii="宋体" w:hAnsi="宋体"/>
          <w:kern w:val="44"/>
        </w:rPr>
      </w:pPr>
      <w:r>
        <w:rPr>
          <w:rFonts w:hint="eastAsia" w:ascii="宋体" w:hAnsi="宋体"/>
          <w:b/>
          <w:kern w:val="44"/>
        </w:rPr>
        <w:t>第三十三条</w:t>
      </w:r>
      <w:r>
        <w:rPr>
          <w:rFonts w:hint="eastAsia" w:ascii="宋体" w:hAnsi="宋体"/>
          <w:kern w:val="44"/>
        </w:rPr>
        <w:t>　农民在集贸市场上出售、串换自繁自用剩余常规种子的，不需要办理种子经营许可证；种子买受人要求开具销售凭据的，种子出售人应当如实开具并出示有效身份证明。销售凭据应当注明售出种子的品种名称、产地、生产日期、数量、价格以及出售人的姓名、住址和联系方式。</w:t>
      </w:r>
    </w:p>
    <w:p w14:paraId="7F13017D">
      <w:pPr>
        <w:ind w:firstLine="422"/>
        <w:jc w:val="left"/>
        <w:rPr>
          <w:rFonts w:ascii="宋体" w:hAnsi="宋体"/>
          <w:kern w:val="44"/>
        </w:rPr>
      </w:pPr>
      <w:r>
        <w:rPr>
          <w:rFonts w:hint="eastAsia" w:ascii="宋体" w:hAnsi="宋体"/>
          <w:b/>
          <w:kern w:val="44"/>
        </w:rPr>
        <w:t>第三十四条</w:t>
      </w:r>
      <w:r>
        <w:rPr>
          <w:rFonts w:hint="eastAsia" w:ascii="宋体" w:hAnsi="宋体"/>
          <w:kern w:val="44"/>
        </w:rPr>
        <w:t>　在种子交易市场中经营或者参加种子交易会的种子经营者应当具有合法的种子经营资质证明，并依法开展经营活动。</w:t>
      </w:r>
    </w:p>
    <w:p w14:paraId="7097C2A8">
      <w:pPr>
        <w:ind w:firstLine="422"/>
        <w:jc w:val="left"/>
        <w:rPr>
          <w:rFonts w:ascii="宋体" w:hAnsi="宋体"/>
          <w:kern w:val="44"/>
        </w:rPr>
      </w:pPr>
      <w:r>
        <w:rPr>
          <w:rFonts w:hint="eastAsia" w:ascii="宋体" w:hAnsi="宋体"/>
          <w:b/>
          <w:kern w:val="44"/>
        </w:rPr>
        <w:t>第三十五条</w:t>
      </w:r>
      <w:r>
        <w:rPr>
          <w:rFonts w:hint="eastAsia" w:ascii="宋体" w:hAnsi="宋体"/>
          <w:kern w:val="44"/>
        </w:rPr>
        <w:t>　种子广告的内容应当符合《种子法》、《中华人民共和国广告法》和本办法的规定。种子广告内容应当与种子审定公告一致。</w:t>
      </w:r>
    </w:p>
    <w:p w14:paraId="469E3CA6">
      <w:pPr>
        <w:jc w:val="left"/>
        <w:rPr>
          <w:rFonts w:ascii="宋体" w:hAnsi="宋体"/>
          <w:kern w:val="44"/>
        </w:rPr>
      </w:pPr>
      <w:r>
        <w:rPr>
          <w:rFonts w:hint="eastAsia" w:ascii="宋体" w:hAnsi="宋体"/>
          <w:kern w:val="44"/>
        </w:rPr>
        <w:t>林木种子广告中涉及专业技术的，广告主应当按照有关规定提交市或者区、县林木种子管理机构出具的专业技术证明。</w:t>
      </w:r>
    </w:p>
    <w:p w14:paraId="29464A3C">
      <w:pPr>
        <w:jc w:val="left"/>
        <w:rPr>
          <w:rFonts w:ascii="宋体" w:hAnsi="宋体"/>
          <w:kern w:val="44"/>
        </w:rPr>
      </w:pPr>
    </w:p>
    <w:p w14:paraId="16FBEFC6">
      <w:pPr>
        <w:ind w:firstLine="0" w:firstLineChars="0"/>
        <w:jc w:val="center"/>
        <w:rPr>
          <w:rFonts w:ascii="宋体" w:hAnsi="宋体"/>
          <w:b/>
          <w:kern w:val="44"/>
          <w:sz w:val="28"/>
        </w:rPr>
      </w:pPr>
      <w:r>
        <w:rPr>
          <w:rFonts w:hint="eastAsia" w:ascii="宋体" w:hAnsi="宋体"/>
          <w:b/>
          <w:kern w:val="44"/>
          <w:sz w:val="28"/>
        </w:rPr>
        <w:t>第六章  种子使用</w:t>
      </w:r>
    </w:p>
    <w:p w14:paraId="0CD4151E">
      <w:pPr>
        <w:jc w:val="left"/>
        <w:rPr>
          <w:rFonts w:ascii="宋体" w:hAnsi="宋体"/>
          <w:kern w:val="44"/>
        </w:rPr>
      </w:pPr>
    </w:p>
    <w:p w14:paraId="4BE08F14">
      <w:pPr>
        <w:ind w:firstLine="422"/>
        <w:jc w:val="left"/>
        <w:rPr>
          <w:rFonts w:ascii="宋体" w:hAnsi="宋体"/>
          <w:kern w:val="44"/>
        </w:rPr>
      </w:pPr>
      <w:r>
        <w:rPr>
          <w:rFonts w:hint="eastAsia" w:ascii="宋体" w:hAnsi="宋体"/>
          <w:b/>
          <w:kern w:val="44"/>
        </w:rPr>
        <w:t>第三十六条</w:t>
      </w:r>
      <w:r>
        <w:rPr>
          <w:rFonts w:hint="eastAsia" w:ascii="宋体" w:hAnsi="宋体"/>
          <w:kern w:val="44"/>
        </w:rPr>
        <w:t>　种子使用者有权依照自己的意愿购买、使用种子，任何单位和个人不得非法干预。</w:t>
      </w:r>
    </w:p>
    <w:p w14:paraId="04780FC5">
      <w:pPr>
        <w:ind w:firstLine="422"/>
        <w:jc w:val="left"/>
        <w:rPr>
          <w:rFonts w:ascii="宋体" w:hAnsi="宋体"/>
          <w:kern w:val="44"/>
        </w:rPr>
      </w:pPr>
      <w:r>
        <w:rPr>
          <w:rFonts w:hint="eastAsia" w:ascii="宋体" w:hAnsi="宋体"/>
          <w:b/>
          <w:kern w:val="44"/>
        </w:rPr>
        <w:t>第三十七条</w:t>
      </w:r>
      <w:r>
        <w:rPr>
          <w:rFonts w:hint="eastAsia" w:ascii="宋体" w:hAnsi="宋体"/>
          <w:kern w:val="44"/>
        </w:rPr>
        <w:t>　重点造林项目、政府投资或者以政府投资为主的造林项目，应当根据林业行政主管部门制定的计划使用林木良种。</w:t>
      </w:r>
    </w:p>
    <w:p w14:paraId="3281047C">
      <w:pPr>
        <w:ind w:firstLine="422"/>
        <w:jc w:val="left"/>
        <w:rPr>
          <w:rFonts w:ascii="宋体" w:hAnsi="宋体"/>
          <w:kern w:val="44"/>
        </w:rPr>
      </w:pPr>
      <w:r>
        <w:rPr>
          <w:rFonts w:hint="eastAsia" w:ascii="宋体" w:hAnsi="宋体"/>
          <w:b/>
          <w:kern w:val="44"/>
        </w:rPr>
        <w:t>第三十八条</w:t>
      </w:r>
      <w:r>
        <w:rPr>
          <w:rFonts w:hint="eastAsia" w:ascii="宋体" w:hAnsi="宋体"/>
          <w:kern w:val="44"/>
        </w:rPr>
        <w:t>　种子使用者因种子质量问题遭受损失的，出售种子的经营者应当予以赔偿，赔偿额包括购种价款、有关费用和可得利益损失；经营者赔偿后，属于种子生产者或者其他经营者责任的，经营者有权向生产者或者其他经营者追偿。</w:t>
      </w:r>
    </w:p>
    <w:p w14:paraId="5FAAACB7">
      <w:pPr>
        <w:jc w:val="left"/>
        <w:rPr>
          <w:rFonts w:ascii="宋体" w:hAnsi="宋体"/>
          <w:kern w:val="44"/>
        </w:rPr>
      </w:pPr>
      <w:r>
        <w:rPr>
          <w:rFonts w:hint="eastAsia" w:ascii="宋体" w:hAnsi="宋体"/>
          <w:kern w:val="44"/>
        </w:rPr>
        <w:t>种子使用者在种子交易市场或者种子交易会购买种子，因种子质量问题遭受损失的，可以要求种子经营者赔偿；种子交易市场柜台租赁期满或者种子交易会结束的，可以向种子交易市场、种子交易会的举办者要求赔偿；种子交易市场、种子交易会的举办者予赔偿后，有权向种子经营者追偿。</w:t>
      </w:r>
    </w:p>
    <w:p w14:paraId="7671CE3D">
      <w:pPr>
        <w:ind w:firstLine="422"/>
        <w:jc w:val="left"/>
        <w:rPr>
          <w:rFonts w:ascii="宋体" w:hAnsi="宋体"/>
          <w:kern w:val="44"/>
        </w:rPr>
      </w:pPr>
      <w:r>
        <w:rPr>
          <w:rFonts w:hint="eastAsia" w:ascii="宋体" w:hAnsi="宋体"/>
          <w:b/>
          <w:kern w:val="44"/>
        </w:rPr>
        <w:t>第三十九条</w:t>
      </w:r>
      <w:r>
        <w:rPr>
          <w:rFonts w:hint="eastAsia" w:ascii="宋体" w:hAnsi="宋体"/>
          <w:kern w:val="44"/>
        </w:rPr>
        <w:t>　种子使用者因种子质量问题遭受损失的，赔偿额中的有关费用包括购买和使用种子过程中实际支出的交通费、食宿费、误工费、保管费、鉴定费、种植费等费用。</w:t>
      </w:r>
    </w:p>
    <w:p w14:paraId="5B024A27">
      <w:pPr>
        <w:ind w:firstLine="422"/>
        <w:jc w:val="left"/>
        <w:rPr>
          <w:rFonts w:ascii="宋体" w:hAnsi="宋体"/>
          <w:kern w:val="44"/>
        </w:rPr>
      </w:pPr>
      <w:r>
        <w:rPr>
          <w:rFonts w:hint="eastAsia" w:ascii="宋体" w:hAnsi="宋体"/>
          <w:b/>
          <w:kern w:val="44"/>
        </w:rPr>
        <w:t>第四十条</w:t>
      </w:r>
      <w:r>
        <w:rPr>
          <w:rFonts w:hint="eastAsia" w:ascii="宋体" w:hAnsi="宋体"/>
          <w:kern w:val="44"/>
        </w:rPr>
        <w:t>　农作物种子使用者因种子质量问题遭受损失的，赔偿额中的可得利益损失按其所在乡（镇）前三年同种作物的平均产值扣除其当年实际收入计算；无统计资料的，可以参照当地当年同种作物的平均产值扣除其实际收入计算；无参照农作物的，按照资金投入和劳动力投入的1.2至1.5倍计算。</w:t>
      </w:r>
    </w:p>
    <w:p w14:paraId="50E05B20">
      <w:pPr>
        <w:jc w:val="left"/>
        <w:rPr>
          <w:rFonts w:ascii="宋体" w:hAnsi="宋体"/>
          <w:kern w:val="44"/>
        </w:rPr>
      </w:pPr>
      <w:r>
        <w:rPr>
          <w:rFonts w:hint="eastAsia" w:ascii="宋体" w:hAnsi="宋体"/>
          <w:kern w:val="44"/>
        </w:rPr>
        <w:t>林木种子使用者因种子质量问题遭受损失的，赔偿额中的可得利益损失，按照购种价款和有关费用的3至5倍计算。</w:t>
      </w:r>
    </w:p>
    <w:p w14:paraId="642B5B3D">
      <w:pPr>
        <w:jc w:val="left"/>
        <w:rPr>
          <w:rFonts w:ascii="宋体" w:hAnsi="宋体"/>
          <w:kern w:val="44"/>
        </w:rPr>
      </w:pPr>
    </w:p>
    <w:p w14:paraId="20E1A912">
      <w:pPr>
        <w:ind w:firstLine="0" w:firstLineChars="0"/>
        <w:jc w:val="center"/>
        <w:rPr>
          <w:rFonts w:ascii="宋体" w:hAnsi="宋体"/>
          <w:b/>
          <w:kern w:val="44"/>
          <w:sz w:val="28"/>
        </w:rPr>
      </w:pPr>
      <w:r>
        <w:rPr>
          <w:rFonts w:hint="eastAsia" w:ascii="宋体" w:hAnsi="宋体"/>
          <w:b/>
          <w:kern w:val="44"/>
          <w:sz w:val="28"/>
        </w:rPr>
        <w:t>第七章  种子质量</w:t>
      </w:r>
    </w:p>
    <w:p w14:paraId="2143ACD0">
      <w:pPr>
        <w:jc w:val="left"/>
        <w:rPr>
          <w:rFonts w:ascii="宋体" w:hAnsi="宋体"/>
          <w:kern w:val="44"/>
        </w:rPr>
      </w:pPr>
    </w:p>
    <w:p w14:paraId="2CA5735A">
      <w:pPr>
        <w:ind w:firstLine="422"/>
        <w:jc w:val="left"/>
        <w:rPr>
          <w:rFonts w:ascii="宋体" w:hAnsi="宋体"/>
          <w:kern w:val="44"/>
        </w:rPr>
      </w:pPr>
      <w:r>
        <w:rPr>
          <w:rFonts w:hint="eastAsia" w:ascii="宋体" w:hAnsi="宋体"/>
          <w:b/>
          <w:kern w:val="44"/>
        </w:rPr>
        <w:t>第四十一条</w:t>
      </w:r>
      <w:r>
        <w:rPr>
          <w:rFonts w:hint="eastAsia" w:ascii="宋体" w:hAnsi="宋体"/>
          <w:kern w:val="44"/>
        </w:rPr>
        <w:t>　种子的生产、加工、包装、检验、贮藏应当执行国家规定的标准。</w:t>
      </w:r>
    </w:p>
    <w:p w14:paraId="2BE3C238">
      <w:pPr>
        <w:ind w:firstLine="422"/>
        <w:jc w:val="left"/>
        <w:rPr>
          <w:rFonts w:ascii="宋体" w:hAnsi="宋体"/>
          <w:kern w:val="44"/>
        </w:rPr>
      </w:pPr>
      <w:r>
        <w:rPr>
          <w:rFonts w:hint="eastAsia" w:ascii="宋体" w:hAnsi="宋体"/>
          <w:b/>
          <w:kern w:val="44"/>
        </w:rPr>
        <w:t>第四十二条</w:t>
      </w:r>
      <w:r>
        <w:rPr>
          <w:rFonts w:hint="eastAsia" w:ascii="宋体" w:hAnsi="宋体"/>
          <w:kern w:val="44"/>
        </w:rPr>
        <w:t>　种子生产、经营单位应当建立健全企业种子质量内部控制制度。</w:t>
      </w:r>
    </w:p>
    <w:p w14:paraId="0A59A3EB">
      <w:pPr>
        <w:ind w:firstLine="422"/>
        <w:jc w:val="left"/>
        <w:rPr>
          <w:rFonts w:ascii="宋体" w:hAnsi="宋体"/>
          <w:kern w:val="44"/>
        </w:rPr>
      </w:pPr>
      <w:r>
        <w:rPr>
          <w:rFonts w:hint="eastAsia" w:ascii="宋体" w:hAnsi="宋体"/>
          <w:b/>
          <w:kern w:val="44"/>
        </w:rPr>
        <w:t>第四十三条</w:t>
      </w:r>
      <w:r>
        <w:rPr>
          <w:rFonts w:hint="eastAsia" w:ascii="宋体" w:hAnsi="宋体"/>
          <w:kern w:val="44"/>
        </w:rPr>
        <w:t>　市和区、县种子管理机构应当加强种子质量监督，组织开展种子质量监督检验，检验结果由农业、林业行政主管部门向社会公布。</w:t>
      </w:r>
    </w:p>
    <w:p w14:paraId="6D84BB4D">
      <w:pPr>
        <w:ind w:firstLine="422"/>
        <w:jc w:val="left"/>
        <w:rPr>
          <w:rFonts w:ascii="宋体" w:hAnsi="宋体"/>
          <w:kern w:val="44"/>
        </w:rPr>
      </w:pPr>
      <w:r>
        <w:rPr>
          <w:rFonts w:hint="eastAsia" w:ascii="宋体" w:hAnsi="宋体"/>
          <w:b/>
          <w:kern w:val="44"/>
        </w:rPr>
        <w:t>第四十四条</w:t>
      </w:r>
      <w:r>
        <w:rPr>
          <w:rFonts w:hint="eastAsia" w:ascii="宋体" w:hAnsi="宋体"/>
          <w:kern w:val="44"/>
        </w:rPr>
        <w:t>　单位或者个人可以申请设立种子质量检验机构。</w:t>
      </w:r>
    </w:p>
    <w:p w14:paraId="26573F78">
      <w:pPr>
        <w:jc w:val="left"/>
        <w:rPr>
          <w:rFonts w:ascii="宋体" w:hAnsi="宋体"/>
          <w:kern w:val="44"/>
        </w:rPr>
      </w:pPr>
      <w:r>
        <w:rPr>
          <w:rFonts w:hint="eastAsia" w:ascii="宋体" w:hAnsi="宋体"/>
          <w:kern w:val="44"/>
        </w:rPr>
        <w:t>种子质量检验机构应当具备相应的检测条件和能力，经市质量技术监督部门计量认证，并经市农业、林业行政主管部门考核合格核发证书后，方可接受委托开展种子质量检验。</w:t>
      </w:r>
    </w:p>
    <w:p w14:paraId="6C1E2D6E">
      <w:pPr>
        <w:jc w:val="left"/>
        <w:rPr>
          <w:rFonts w:ascii="宋体" w:hAnsi="宋体"/>
          <w:kern w:val="44"/>
        </w:rPr>
      </w:pPr>
      <w:r>
        <w:rPr>
          <w:rFonts w:hint="eastAsia" w:ascii="宋体" w:hAnsi="宋体"/>
          <w:kern w:val="44"/>
        </w:rPr>
        <w:t>种子质量检验机构的种子质量检验员应当经市农业、林业行政主管部门考核合格。</w:t>
      </w:r>
    </w:p>
    <w:p w14:paraId="016EB11A">
      <w:pPr>
        <w:ind w:firstLine="422"/>
        <w:jc w:val="left"/>
        <w:rPr>
          <w:rFonts w:ascii="宋体" w:hAnsi="宋体"/>
          <w:kern w:val="44"/>
        </w:rPr>
      </w:pPr>
      <w:r>
        <w:rPr>
          <w:rFonts w:hint="eastAsia" w:ascii="宋体" w:hAnsi="宋体"/>
          <w:b/>
          <w:kern w:val="44"/>
        </w:rPr>
        <w:t>第四十五条</w:t>
      </w:r>
      <w:r>
        <w:rPr>
          <w:rFonts w:hint="eastAsia" w:ascii="宋体" w:hAnsi="宋体"/>
          <w:kern w:val="44"/>
        </w:rPr>
        <w:t>　种子使用者认为种子质量有问题的，可以向种子质量检验机构提出质量检验申请，种子质量检验机构应当依据国家有关规定实施检验，并如实出具质量检验报告。</w:t>
      </w:r>
    </w:p>
    <w:p w14:paraId="34225F53">
      <w:pPr>
        <w:jc w:val="left"/>
        <w:rPr>
          <w:rFonts w:ascii="宋体" w:hAnsi="宋体"/>
          <w:kern w:val="44"/>
        </w:rPr>
      </w:pPr>
    </w:p>
    <w:p w14:paraId="743185D0">
      <w:pPr>
        <w:ind w:firstLine="0" w:firstLineChars="0"/>
        <w:jc w:val="center"/>
        <w:rPr>
          <w:rFonts w:ascii="宋体" w:hAnsi="宋体"/>
          <w:b/>
          <w:kern w:val="44"/>
          <w:sz w:val="28"/>
        </w:rPr>
      </w:pPr>
      <w:r>
        <w:rPr>
          <w:rFonts w:hint="eastAsia" w:ascii="宋体" w:hAnsi="宋体"/>
          <w:b/>
          <w:kern w:val="44"/>
          <w:sz w:val="28"/>
        </w:rPr>
        <w:t>第八章  监督管理</w:t>
      </w:r>
    </w:p>
    <w:p w14:paraId="1F3DA6C0">
      <w:pPr>
        <w:jc w:val="left"/>
        <w:rPr>
          <w:rFonts w:ascii="宋体" w:hAnsi="宋体"/>
          <w:kern w:val="44"/>
        </w:rPr>
      </w:pPr>
    </w:p>
    <w:p w14:paraId="05519EDB">
      <w:pPr>
        <w:ind w:firstLine="422"/>
        <w:jc w:val="left"/>
        <w:rPr>
          <w:rFonts w:ascii="宋体" w:hAnsi="宋体"/>
          <w:kern w:val="44"/>
        </w:rPr>
      </w:pPr>
      <w:r>
        <w:rPr>
          <w:rFonts w:hint="eastAsia" w:ascii="宋体" w:hAnsi="宋体"/>
          <w:b/>
          <w:kern w:val="44"/>
        </w:rPr>
        <w:t>第四十六条</w:t>
      </w:r>
      <w:r>
        <w:rPr>
          <w:rFonts w:hint="eastAsia" w:ascii="宋体" w:hAnsi="宋体"/>
          <w:kern w:val="44"/>
        </w:rPr>
        <w:t>　农业、林业行政主管部门及其所属的种子管理机构和工商行政管理、质量技术监督、公安等其他有关部门，应当加强对种子市场的监督管理，维护种子市场秩序，依法查处违法的种子生产、经营活动。</w:t>
      </w:r>
    </w:p>
    <w:p w14:paraId="21E38A88">
      <w:pPr>
        <w:ind w:firstLine="422"/>
        <w:jc w:val="left"/>
        <w:rPr>
          <w:rFonts w:ascii="宋体" w:hAnsi="宋体"/>
          <w:kern w:val="44"/>
        </w:rPr>
      </w:pPr>
      <w:r>
        <w:rPr>
          <w:rFonts w:hint="eastAsia" w:ascii="宋体" w:hAnsi="宋体"/>
          <w:b/>
          <w:kern w:val="44"/>
        </w:rPr>
        <w:t>第四十七条</w:t>
      </w:r>
      <w:r>
        <w:rPr>
          <w:rFonts w:hint="eastAsia" w:ascii="宋体" w:hAnsi="宋体"/>
          <w:kern w:val="44"/>
        </w:rPr>
        <w:t>　农业、林业行政主管部门及其所属的种子管理机构和工商行政管理机关在实施监督检查过程中，有权采取下列措施：</w:t>
      </w:r>
    </w:p>
    <w:p w14:paraId="39DEB426">
      <w:pPr>
        <w:jc w:val="left"/>
        <w:rPr>
          <w:rFonts w:ascii="宋体" w:hAnsi="宋体"/>
          <w:kern w:val="44"/>
        </w:rPr>
      </w:pPr>
      <w:r>
        <w:rPr>
          <w:rFonts w:hint="eastAsia" w:ascii="宋体" w:hAnsi="宋体"/>
          <w:kern w:val="44"/>
        </w:rPr>
        <w:t>（一）对种子的生产、经营等活动进行现场检查；</w:t>
      </w:r>
    </w:p>
    <w:p w14:paraId="0ADE61B8">
      <w:pPr>
        <w:jc w:val="left"/>
        <w:rPr>
          <w:rFonts w:ascii="宋体" w:hAnsi="宋体"/>
          <w:kern w:val="44"/>
        </w:rPr>
      </w:pPr>
      <w:r>
        <w:rPr>
          <w:rFonts w:hint="eastAsia" w:ascii="宋体" w:hAnsi="宋体"/>
          <w:kern w:val="44"/>
        </w:rPr>
        <w:t>（二）在市场上或者企业成品库的待销种子中，按照种子质量检验规程抽取样品；</w:t>
      </w:r>
    </w:p>
    <w:p w14:paraId="002ADE3B">
      <w:pPr>
        <w:jc w:val="left"/>
        <w:rPr>
          <w:rFonts w:ascii="宋体" w:hAnsi="宋体"/>
          <w:kern w:val="44"/>
        </w:rPr>
      </w:pPr>
      <w:r>
        <w:rPr>
          <w:rFonts w:hint="eastAsia" w:ascii="宋体" w:hAnsi="宋体"/>
          <w:kern w:val="44"/>
        </w:rPr>
        <w:t>（三）对有根据认为种子不符合保障人体健康、人身安全的标准或者有其他严重质量问题的，责令当事人予以封存或者依法采取其他措施；</w:t>
      </w:r>
    </w:p>
    <w:p w14:paraId="41CBFEC4">
      <w:pPr>
        <w:jc w:val="left"/>
        <w:rPr>
          <w:rFonts w:ascii="宋体" w:hAnsi="宋体"/>
          <w:kern w:val="44"/>
        </w:rPr>
      </w:pPr>
      <w:r>
        <w:rPr>
          <w:rFonts w:hint="eastAsia" w:ascii="宋体" w:hAnsi="宋体"/>
          <w:kern w:val="44"/>
        </w:rPr>
        <w:t>（四）查处涉嫌种子违法行为的，可以查阅、复制当事人有关合同、发票、账簿。</w:t>
      </w:r>
    </w:p>
    <w:p w14:paraId="74D59ECD">
      <w:pPr>
        <w:ind w:firstLine="422"/>
        <w:jc w:val="left"/>
        <w:rPr>
          <w:rFonts w:ascii="宋体" w:hAnsi="宋体"/>
          <w:kern w:val="44"/>
        </w:rPr>
      </w:pPr>
      <w:r>
        <w:rPr>
          <w:rFonts w:hint="eastAsia" w:ascii="宋体" w:hAnsi="宋体"/>
          <w:b/>
          <w:kern w:val="44"/>
        </w:rPr>
        <w:t>第四十八条</w:t>
      </w:r>
      <w:r>
        <w:rPr>
          <w:rFonts w:hint="eastAsia" w:ascii="宋体" w:hAnsi="宋体"/>
          <w:kern w:val="44"/>
        </w:rPr>
        <w:t>　种子生产者和经营者不得拒绝、阻挠、妨碍种子执法人员依法进行监督检查。</w:t>
      </w:r>
    </w:p>
    <w:p w14:paraId="10722149">
      <w:pPr>
        <w:ind w:firstLine="422"/>
        <w:jc w:val="left"/>
        <w:rPr>
          <w:rFonts w:ascii="宋体" w:hAnsi="宋体"/>
          <w:kern w:val="44"/>
        </w:rPr>
      </w:pPr>
      <w:r>
        <w:rPr>
          <w:rFonts w:hint="eastAsia" w:ascii="宋体" w:hAnsi="宋体"/>
          <w:b/>
          <w:kern w:val="44"/>
        </w:rPr>
        <w:t>第四十九条</w:t>
      </w:r>
      <w:r>
        <w:rPr>
          <w:rFonts w:hint="eastAsia" w:ascii="宋体" w:hAnsi="宋体"/>
          <w:kern w:val="44"/>
        </w:rPr>
        <w:t>　任何单位和个人有权举报种子违法行为。接到举报的农业、林业行政主管部门及其所属的种子管理机构和其他有关部门，应当及时调查处理。</w:t>
      </w:r>
    </w:p>
    <w:p w14:paraId="6234BCCD">
      <w:pPr>
        <w:ind w:firstLine="422"/>
        <w:jc w:val="left"/>
        <w:rPr>
          <w:rFonts w:ascii="宋体" w:hAnsi="宋体"/>
          <w:kern w:val="44"/>
        </w:rPr>
      </w:pPr>
      <w:r>
        <w:rPr>
          <w:rFonts w:hint="eastAsia" w:ascii="宋体" w:hAnsi="宋体"/>
          <w:b/>
          <w:kern w:val="44"/>
        </w:rPr>
        <w:t>第五十条</w:t>
      </w:r>
      <w:r>
        <w:rPr>
          <w:rFonts w:hint="eastAsia" w:ascii="宋体" w:hAnsi="宋体"/>
          <w:kern w:val="44"/>
        </w:rPr>
        <w:t>　农业、林业行政主管部门及其所属的种子管理机构必须遵循政企分开的原则，与种子生产经营机构在人员和财务上分开。</w:t>
      </w:r>
    </w:p>
    <w:p w14:paraId="16528B02">
      <w:pPr>
        <w:jc w:val="left"/>
        <w:rPr>
          <w:rFonts w:ascii="宋体" w:hAnsi="宋体"/>
          <w:kern w:val="44"/>
        </w:rPr>
      </w:pPr>
      <w:r>
        <w:rPr>
          <w:rFonts w:hint="eastAsia" w:ascii="宋体" w:hAnsi="宋体"/>
          <w:kern w:val="44"/>
        </w:rPr>
        <w:t>农业、林业行政主管部门及其所属的种子管理机构和工作人员不得参与和从事种子生产、经营活动；种子生产经营机构不得参与和从事种子行政管理工作。</w:t>
      </w:r>
    </w:p>
    <w:p w14:paraId="6670499D">
      <w:pPr>
        <w:jc w:val="left"/>
        <w:rPr>
          <w:rFonts w:ascii="宋体" w:hAnsi="宋体"/>
          <w:kern w:val="44"/>
        </w:rPr>
      </w:pPr>
      <w:r>
        <w:rPr>
          <w:rFonts w:hint="eastAsia" w:ascii="宋体" w:hAnsi="宋体"/>
          <w:kern w:val="44"/>
        </w:rPr>
        <w:t>种子管理和监督工作所需经费由市和区、县人民政府予以保障。</w:t>
      </w:r>
    </w:p>
    <w:p w14:paraId="28264BEE">
      <w:pPr>
        <w:ind w:firstLine="422"/>
        <w:jc w:val="left"/>
        <w:rPr>
          <w:rFonts w:ascii="宋体" w:hAnsi="宋体"/>
          <w:kern w:val="44"/>
        </w:rPr>
      </w:pPr>
      <w:r>
        <w:rPr>
          <w:rFonts w:hint="eastAsia" w:ascii="宋体" w:hAnsi="宋体"/>
          <w:b/>
          <w:kern w:val="44"/>
        </w:rPr>
        <w:t>第五十一条</w:t>
      </w:r>
      <w:r>
        <w:rPr>
          <w:rFonts w:hint="eastAsia" w:ascii="宋体" w:hAnsi="宋体"/>
          <w:kern w:val="44"/>
        </w:rPr>
        <w:t>　市农业、林业行政主管部门应当加强对种子管理机构人员的培训。</w:t>
      </w:r>
    </w:p>
    <w:p w14:paraId="7F5F5D90">
      <w:pPr>
        <w:jc w:val="left"/>
        <w:rPr>
          <w:rFonts w:ascii="宋体" w:hAnsi="宋体"/>
          <w:kern w:val="44"/>
        </w:rPr>
      </w:pPr>
      <w:r>
        <w:rPr>
          <w:rFonts w:hint="eastAsia" w:ascii="宋体" w:hAnsi="宋体"/>
          <w:kern w:val="44"/>
        </w:rPr>
        <w:t>种子执法人员应当经过资格考核，持证上岗。</w:t>
      </w:r>
    </w:p>
    <w:p w14:paraId="4E88C2C0">
      <w:pPr>
        <w:jc w:val="left"/>
        <w:rPr>
          <w:rFonts w:ascii="宋体" w:hAnsi="宋体"/>
          <w:kern w:val="44"/>
        </w:rPr>
      </w:pPr>
    </w:p>
    <w:p w14:paraId="1D872A8E">
      <w:pPr>
        <w:ind w:firstLine="0" w:firstLineChars="0"/>
        <w:jc w:val="center"/>
        <w:rPr>
          <w:rFonts w:ascii="宋体" w:hAnsi="宋体"/>
          <w:b/>
          <w:kern w:val="44"/>
          <w:sz w:val="28"/>
        </w:rPr>
      </w:pPr>
      <w:r>
        <w:rPr>
          <w:rFonts w:hint="eastAsia" w:ascii="宋体" w:hAnsi="宋体"/>
          <w:b/>
          <w:kern w:val="44"/>
          <w:sz w:val="28"/>
        </w:rPr>
        <w:t>第九章  法律责任</w:t>
      </w:r>
    </w:p>
    <w:p w14:paraId="538BC4EC">
      <w:pPr>
        <w:jc w:val="left"/>
        <w:rPr>
          <w:rFonts w:ascii="宋体" w:hAnsi="宋体"/>
          <w:kern w:val="44"/>
        </w:rPr>
      </w:pPr>
    </w:p>
    <w:p w14:paraId="30186558">
      <w:pPr>
        <w:ind w:firstLine="422"/>
        <w:jc w:val="left"/>
        <w:rPr>
          <w:rFonts w:ascii="宋体" w:hAnsi="宋体"/>
          <w:kern w:val="44"/>
        </w:rPr>
      </w:pPr>
      <w:r>
        <w:rPr>
          <w:rFonts w:hint="eastAsia" w:ascii="宋体" w:hAnsi="宋体"/>
          <w:b/>
          <w:kern w:val="44"/>
        </w:rPr>
        <w:t>第五十二条</w:t>
      </w:r>
      <w:r>
        <w:rPr>
          <w:rFonts w:hint="eastAsia" w:ascii="宋体" w:hAnsi="宋体"/>
          <w:kern w:val="44"/>
        </w:rPr>
        <w:t>　违反本办法第十二条规定，未经批准采集或者采伐国家和本市重点保护的天然种质资源的，责令停止违法行为，没收种子和违法所得，并处违法所得1倍以上3倍以下罚款；没有违法所得的，处1000元以上2万元以下罚款。</w:t>
      </w:r>
    </w:p>
    <w:p w14:paraId="4F883B14">
      <w:pPr>
        <w:ind w:firstLine="422"/>
        <w:jc w:val="left"/>
        <w:rPr>
          <w:rFonts w:ascii="宋体" w:hAnsi="宋体"/>
          <w:kern w:val="44"/>
        </w:rPr>
      </w:pPr>
      <w:r>
        <w:rPr>
          <w:rFonts w:hint="eastAsia" w:ascii="宋体" w:hAnsi="宋体"/>
          <w:b/>
          <w:kern w:val="44"/>
        </w:rPr>
        <w:t>第五十三条</w:t>
      </w:r>
      <w:r>
        <w:rPr>
          <w:rFonts w:hint="eastAsia" w:ascii="宋体" w:hAnsi="宋体"/>
          <w:kern w:val="44"/>
        </w:rPr>
        <w:t>　违反本办法第十三条第二款规定，未经品种权人许可，为商业目的生产或者销售该品种繁殖材料的，品种权人或者利害关系人有权向市种子管理机构要求责令侵权人停止侵害，并可以向侵权人要求赔偿。</w:t>
      </w:r>
    </w:p>
    <w:p w14:paraId="4160A6AD">
      <w:pPr>
        <w:jc w:val="left"/>
        <w:rPr>
          <w:rFonts w:ascii="宋体" w:hAnsi="宋体"/>
          <w:kern w:val="44"/>
        </w:rPr>
      </w:pPr>
      <w:r>
        <w:rPr>
          <w:rFonts w:hint="eastAsia" w:ascii="宋体" w:hAnsi="宋体"/>
          <w:kern w:val="44"/>
        </w:rPr>
        <w:t>处理植物新品种权侵权案件时，为维护社会公共利益，市种子管理机构可以责令侵权人停止侵权行为，没收违法所得，可以并处违法所得5倍以下罚款。</w:t>
      </w:r>
    </w:p>
    <w:p w14:paraId="268ADA9F">
      <w:pPr>
        <w:ind w:firstLine="422"/>
        <w:jc w:val="left"/>
        <w:rPr>
          <w:rFonts w:ascii="宋体" w:hAnsi="宋体"/>
          <w:kern w:val="44"/>
        </w:rPr>
      </w:pPr>
      <w:r>
        <w:rPr>
          <w:rFonts w:hint="eastAsia" w:ascii="宋体" w:hAnsi="宋体"/>
          <w:b/>
          <w:kern w:val="44"/>
        </w:rPr>
        <w:t>第五十四条</w:t>
      </w:r>
      <w:r>
        <w:rPr>
          <w:rFonts w:hint="eastAsia" w:ascii="宋体" w:hAnsi="宋体"/>
          <w:kern w:val="44"/>
        </w:rPr>
        <w:t>　违反本办法第十六条第二款规定，未经市农业行政主管部门同意，在市推广相邻省市审定的，属于本市主要农作物品种的，责令停止推广，没收种子和违法所得，并处1万元以上3万元以下罚款；未经市林业行政主管部门同意，在本市作为良种推广相邻省市审定的，属于本市主要林木品种的，责令停止作为良种推广，没收种子和违法所得，并处1万元以上3万元以下罚款。</w:t>
      </w:r>
    </w:p>
    <w:p w14:paraId="4041287D">
      <w:pPr>
        <w:ind w:firstLine="422"/>
        <w:jc w:val="left"/>
        <w:rPr>
          <w:rFonts w:ascii="宋体" w:hAnsi="宋体"/>
          <w:kern w:val="44"/>
        </w:rPr>
      </w:pPr>
      <w:r>
        <w:rPr>
          <w:rFonts w:hint="eastAsia" w:ascii="宋体" w:hAnsi="宋体"/>
          <w:b/>
          <w:kern w:val="44"/>
        </w:rPr>
        <w:t>第五十五条</w:t>
      </w:r>
      <w:r>
        <w:rPr>
          <w:rFonts w:hint="eastAsia" w:ascii="宋体" w:hAnsi="宋体"/>
          <w:kern w:val="44"/>
        </w:rPr>
        <w:t>　违反本办法第十七条规定，经营、推广或者以试验、示范等方式经营、推广应当审定而未经审定通过的主要农作物品种的，责令停止经营、推广，没收违法所得，并处1万元以上5万元以下罚款；作为良种经营、推广或者以试验、示范等方式作为良种经营、推广应当审定而未经审定通过的主要林木品种的，责令停止作为良种经营、推广，没收违法所得，并处1万元以上5万元以下罚款。</w:t>
      </w:r>
    </w:p>
    <w:p w14:paraId="42DE6113">
      <w:pPr>
        <w:ind w:firstLine="422"/>
        <w:jc w:val="left"/>
        <w:rPr>
          <w:rFonts w:ascii="宋体" w:hAnsi="宋体"/>
          <w:kern w:val="44"/>
        </w:rPr>
      </w:pPr>
      <w:r>
        <w:rPr>
          <w:rFonts w:hint="eastAsia" w:ascii="宋体" w:hAnsi="宋体"/>
          <w:b/>
          <w:kern w:val="44"/>
        </w:rPr>
        <w:t>第五十六条</w:t>
      </w:r>
      <w:r>
        <w:rPr>
          <w:rFonts w:hint="eastAsia" w:ascii="宋体" w:hAnsi="宋体"/>
          <w:kern w:val="44"/>
        </w:rPr>
        <w:t>　违反本办法第十九条规定，同一个农作物品种或者林木品种在经营、推广过程中，未使用同一个名称的，或者审定通过的主要农作物品种和主要林木良种未使用审定公告确定的品种名称的，责令改正，处1000元以上1万元以下罚款。</w:t>
      </w:r>
    </w:p>
    <w:p w14:paraId="022606B7">
      <w:pPr>
        <w:ind w:firstLine="422"/>
        <w:jc w:val="left"/>
        <w:rPr>
          <w:rFonts w:ascii="宋体" w:hAnsi="宋体"/>
          <w:kern w:val="44"/>
        </w:rPr>
      </w:pPr>
      <w:r>
        <w:rPr>
          <w:rFonts w:hint="eastAsia" w:ascii="宋体" w:hAnsi="宋体"/>
          <w:b/>
          <w:kern w:val="44"/>
        </w:rPr>
        <w:t>第五十七条</w:t>
      </w:r>
      <w:r>
        <w:rPr>
          <w:rFonts w:hint="eastAsia" w:ascii="宋体" w:hAnsi="宋体"/>
          <w:kern w:val="44"/>
        </w:rPr>
        <w:t>　违反本办法第二十六条、第三十条规定，种子生产者、经营者未按照规定建立和保存种子生产、经营档案的，责令改正，处1000元以上1万元以下罚款。</w:t>
      </w:r>
    </w:p>
    <w:p w14:paraId="1345B96C">
      <w:pPr>
        <w:ind w:firstLine="422"/>
        <w:jc w:val="left"/>
        <w:rPr>
          <w:rFonts w:ascii="宋体" w:hAnsi="宋体"/>
          <w:kern w:val="44"/>
        </w:rPr>
      </w:pPr>
      <w:r>
        <w:rPr>
          <w:rFonts w:hint="eastAsia" w:ascii="宋体" w:hAnsi="宋体"/>
          <w:b/>
          <w:kern w:val="44"/>
        </w:rPr>
        <w:t>第五十八条</w:t>
      </w:r>
      <w:r>
        <w:rPr>
          <w:rFonts w:hint="eastAsia" w:ascii="宋体" w:hAnsi="宋体"/>
          <w:kern w:val="44"/>
        </w:rPr>
        <w:t>　违反本办法第三十五条的规定，由广告监督管理机关依照《中华人民共和国广告法》的有关规定追究法律责任。</w:t>
      </w:r>
    </w:p>
    <w:p w14:paraId="4C787018">
      <w:pPr>
        <w:ind w:firstLine="422"/>
        <w:jc w:val="left"/>
        <w:rPr>
          <w:rFonts w:ascii="宋体" w:hAnsi="宋体"/>
          <w:kern w:val="44"/>
        </w:rPr>
      </w:pPr>
      <w:r>
        <w:rPr>
          <w:rFonts w:hint="eastAsia" w:ascii="宋体" w:hAnsi="宋体"/>
          <w:b/>
          <w:kern w:val="44"/>
        </w:rPr>
        <w:t>第五十九条</w:t>
      </w:r>
      <w:r>
        <w:rPr>
          <w:rFonts w:hint="eastAsia" w:ascii="宋体" w:hAnsi="宋体"/>
          <w:kern w:val="44"/>
        </w:rPr>
        <w:t>　违反本办法第三十七条规定，在重点造林项目、政府投资或者以政府投资为主的造林项目中，未根据林业行政主管部门制定的计划使用林木良种的，责令限期改正；逾期未改正的，对责任者处3万元以下罚款。</w:t>
      </w:r>
    </w:p>
    <w:p w14:paraId="108A24F9">
      <w:pPr>
        <w:ind w:firstLine="422"/>
        <w:jc w:val="left"/>
        <w:rPr>
          <w:rFonts w:ascii="宋体" w:hAnsi="宋体"/>
          <w:kern w:val="44"/>
        </w:rPr>
      </w:pPr>
      <w:r>
        <w:rPr>
          <w:rFonts w:hint="eastAsia" w:ascii="宋体" w:hAnsi="宋体"/>
          <w:b/>
          <w:kern w:val="44"/>
        </w:rPr>
        <w:t>第六十条</w:t>
      </w:r>
      <w:r>
        <w:rPr>
          <w:rFonts w:hint="eastAsia" w:ascii="宋体" w:hAnsi="宋体"/>
          <w:kern w:val="44"/>
        </w:rPr>
        <w:t>　弄虚作假、采取欺骗手段取得种子生产许可证或者种子经营许可证的，由原发证机关撤销其许可证并予以公告。被许可人3年内不得申领种子生产许可证或者种子经营许可证。</w:t>
      </w:r>
    </w:p>
    <w:p w14:paraId="04F4F38F">
      <w:pPr>
        <w:ind w:firstLine="422"/>
        <w:jc w:val="left"/>
        <w:rPr>
          <w:rFonts w:ascii="宋体" w:hAnsi="宋体"/>
          <w:kern w:val="44"/>
        </w:rPr>
      </w:pPr>
      <w:r>
        <w:rPr>
          <w:rFonts w:hint="eastAsia" w:ascii="宋体" w:hAnsi="宋体"/>
          <w:b/>
          <w:kern w:val="44"/>
        </w:rPr>
        <w:t>第六十一条</w:t>
      </w:r>
      <w:r>
        <w:rPr>
          <w:rFonts w:hint="eastAsia" w:ascii="宋体" w:hAnsi="宋体"/>
          <w:kern w:val="44"/>
        </w:rPr>
        <w:t>　违反本办法规定，有下列情形之一，给种子使用者造成损失的，责任人应当依法承担赔偿责任：</w:t>
      </w:r>
    </w:p>
    <w:p w14:paraId="0F431B8B">
      <w:pPr>
        <w:jc w:val="left"/>
        <w:rPr>
          <w:rFonts w:ascii="宋体" w:hAnsi="宋体"/>
          <w:kern w:val="44"/>
        </w:rPr>
      </w:pPr>
      <w:r>
        <w:rPr>
          <w:rFonts w:hint="eastAsia" w:ascii="宋体" w:hAnsi="宋体"/>
          <w:kern w:val="44"/>
        </w:rPr>
        <w:t>（一）未经审定、认定将主要林木品种作为良种经营、推广的；</w:t>
      </w:r>
    </w:p>
    <w:p w14:paraId="5A923E00">
      <w:pPr>
        <w:jc w:val="left"/>
        <w:rPr>
          <w:rFonts w:ascii="宋体" w:hAnsi="宋体"/>
          <w:kern w:val="44"/>
        </w:rPr>
      </w:pPr>
      <w:r>
        <w:rPr>
          <w:rFonts w:hint="eastAsia" w:ascii="宋体" w:hAnsi="宋体"/>
          <w:kern w:val="44"/>
        </w:rPr>
        <w:t>（二）未经市林业行政主管部门同意，将相邻省市审定的本市主要林木品种作为良种推广的；</w:t>
      </w:r>
    </w:p>
    <w:p w14:paraId="59C6CAD7">
      <w:pPr>
        <w:jc w:val="left"/>
        <w:rPr>
          <w:rFonts w:ascii="宋体" w:hAnsi="宋体"/>
          <w:kern w:val="44"/>
        </w:rPr>
      </w:pPr>
      <w:r>
        <w:rPr>
          <w:rFonts w:hint="eastAsia" w:ascii="宋体" w:hAnsi="宋体"/>
          <w:kern w:val="44"/>
        </w:rPr>
        <w:t>（三）未经试验、示范经营、推广非主要农作物品种和非主要林木品种的；</w:t>
      </w:r>
    </w:p>
    <w:p w14:paraId="75059A29">
      <w:pPr>
        <w:jc w:val="left"/>
        <w:rPr>
          <w:rFonts w:ascii="宋体" w:hAnsi="宋体"/>
          <w:kern w:val="44"/>
        </w:rPr>
      </w:pPr>
      <w:r>
        <w:rPr>
          <w:rFonts w:hint="eastAsia" w:ascii="宋体" w:hAnsi="宋体"/>
          <w:kern w:val="44"/>
        </w:rPr>
        <w:t>（四）侵占或者私自使用、转让、赠与、披露他人所有的育种材料、育种技术的；</w:t>
      </w:r>
    </w:p>
    <w:p w14:paraId="0423017D">
      <w:pPr>
        <w:jc w:val="left"/>
        <w:rPr>
          <w:rFonts w:ascii="宋体" w:hAnsi="宋体"/>
          <w:kern w:val="44"/>
        </w:rPr>
      </w:pPr>
      <w:r>
        <w:rPr>
          <w:rFonts w:hint="eastAsia" w:ascii="宋体" w:hAnsi="宋体"/>
          <w:kern w:val="44"/>
        </w:rPr>
        <w:t>（五）农民出售、串换的种子存在质量问题的；</w:t>
      </w:r>
    </w:p>
    <w:p w14:paraId="03C02E41">
      <w:pPr>
        <w:jc w:val="left"/>
        <w:rPr>
          <w:rFonts w:ascii="宋体" w:hAnsi="宋体"/>
          <w:kern w:val="44"/>
        </w:rPr>
      </w:pPr>
      <w:r>
        <w:rPr>
          <w:rFonts w:hint="eastAsia" w:ascii="宋体" w:hAnsi="宋体"/>
          <w:kern w:val="44"/>
        </w:rPr>
        <w:t>（六）销售禁止销售的种子的；</w:t>
      </w:r>
    </w:p>
    <w:p w14:paraId="77DC2D8D">
      <w:pPr>
        <w:jc w:val="left"/>
        <w:rPr>
          <w:rFonts w:ascii="宋体" w:hAnsi="宋体"/>
          <w:kern w:val="44"/>
        </w:rPr>
      </w:pPr>
      <w:r>
        <w:rPr>
          <w:rFonts w:hint="eastAsia" w:ascii="宋体" w:hAnsi="宋体"/>
          <w:kern w:val="44"/>
        </w:rPr>
        <w:t>（七）强迫种子使用者购买、使用种子的。</w:t>
      </w:r>
    </w:p>
    <w:p w14:paraId="79752C82">
      <w:pPr>
        <w:jc w:val="left"/>
        <w:rPr>
          <w:rFonts w:ascii="宋体" w:hAnsi="宋体"/>
          <w:kern w:val="44"/>
        </w:rPr>
      </w:pPr>
      <w:r>
        <w:rPr>
          <w:rFonts w:hint="eastAsia" w:ascii="宋体" w:hAnsi="宋体"/>
          <w:kern w:val="44"/>
        </w:rPr>
        <w:t>赔偿额参照本办法第三十八条第一款的规定。</w:t>
      </w:r>
    </w:p>
    <w:p w14:paraId="6C3F84AC">
      <w:pPr>
        <w:ind w:firstLine="422"/>
        <w:jc w:val="left"/>
        <w:rPr>
          <w:rFonts w:ascii="宋体" w:hAnsi="宋体"/>
          <w:kern w:val="44"/>
        </w:rPr>
      </w:pPr>
      <w:r>
        <w:rPr>
          <w:rFonts w:hint="eastAsia" w:ascii="宋体" w:hAnsi="宋体"/>
          <w:b/>
          <w:kern w:val="44"/>
        </w:rPr>
        <w:t>第六十二条</w:t>
      </w:r>
      <w:r>
        <w:rPr>
          <w:rFonts w:hint="eastAsia" w:ascii="宋体" w:hAnsi="宋体"/>
          <w:kern w:val="44"/>
        </w:rPr>
        <w:t>　《种子法》和本办法规定的对种子违法行为的行政处罚，由市和区、县农业、林业种子管理机构实施。</w:t>
      </w:r>
    </w:p>
    <w:p w14:paraId="6D030F1B">
      <w:pPr>
        <w:ind w:firstLine="422"/>
        <w:jc w:val="left"/>
        <w:rPr>
          <w:rFonts w:ascii="宋体" w:hAnsi="宋体"/>
          <w:kern w:val="44"/>
        </w:rPr>
      </w:pPr>
      <w:r>
        <w:rPr>
          <w:rFonts w:hint="eastAsia" w:ascii="宋体" w:hAnsi="宋体"/>
          <w:b/>
          <w:kern w:val="44"/>
        </w:rPr>
        <w:t>第六十三条</w:t>
      </w:r>
      <w:r>
        <w:rPr>
          <w:rFonts w:hint="eastAsia" w:ascii="宋体" w:hAnsi="宋体"/>
          <w:kern w:val="44"/>
        </w:rPr>
        <w:t>　在品种选育、种子生产和经营活动中发生民事纠纷的，当事人可以协商解决，也可以向当地农业、林业行政主管部门或者其所属的种子管理机构申请调解，当事人不愿协商、调解或者协商、调解不成的，可以根据当事人之间的协议向仲裁机构申请仲裁，没有仲裁协议的，可以直接向人民法院提起诉讼。</w:t>
      </w:r>
    </w:p>
    <w:p w14:paraId="37CD7E54">
      <w:pPr>
        <w:ind w:firstLine="422"/>
        <w:jc w:val="left"/>
        <w:rPr>
          <w:rFonts w:ascii="宋体" w:hAnsi="宋体"/>
          <w:kern w:val="44"/>
        </w:rPr>
      </w:pPr>
      <w:r>
        <w:rPr>
          <w:rFonts w:hint="eastAsia" w:ascii="宋体" w:hAnsi="宋体"/>
          <w:b/>
          <w:kern w:val="44"/>
        </w:rPr>
        <w:t>第六十四条</w:t>
      </w:r>
      <w:r>
        <w:rPr>
          <w:rFonts w:hint="eastAsia" w:ascii="宋体" w:hAnsi="宋体"/>
          <w:kern w:val="44"/>
        </w:rPr>
        <w:t>　种子管理机构违反规定，对不具备条件的种子生产者、经营者核发种子生产许可证或者种子经营许可证的，对直接负责的主管人员和其他直接责任人员，依法给予行政处分；构成犯罪的，依法追究刑事责任。</w:t>
      </w:r>
    </w:p>
    <w:p w14:paraId="5D67F54E">
      <w:pPr>
        <w:ind w:firstLine="422"/>
        <w:jc w:val="left"/>
        <w:rPr>
          <w:rFonts w:ascii="宋体" w:hAnsi="宋体"/>
          <w:kern w:val="44"/>
        </w:rPr>
      </w:pPr>
      <w:r>
        <w:rPr>
          <w:rFonts w:hint="eastAsia" w:ascii="宋体" w:hAnsi="宋体"/>
          <w:b/>
          <w:kern w:val="44"/>
        </w:rPr>
        <w:t>第六十五条</w:t>
      </w:r>
      <w:r>
        <w:rPr>
          <w:rFonts w:hint="eastAsia" w:ascii="宋体" w:hAnsi="宋体"/>
          <w:kern w:val="44"/>
        </w:rPr>
        <w:t>　农业、林业行政主管部门的工作人员或者种子管理机构的种子管理人员徇私舞弊、滥用职权、玩忽职守的，或者违反规定从事种子生产、经营活动的，依法给予行政处分；构成犯罪的，依法追究刑事责任。</w:t>
      </w:r>
    </w:p>
    <w:p w14:paraId="0C1EB8C1">
      <w:pPr>
        <w:jc w:val="left"/>
        <w:rPr>
          <w:rFonts w:ascii="宋体" w:hAnsi="宋体"/>
          <w:kern w:val="44"/>
        </w:rPr>
      </w:pPr>
    </w:p>
    <w:p w14:paraId="628473C4">
      <w:pPr>
        <w:ind w:firstLine="0" w:firstLineChars="0"/>
        <w:jc w:val="center"/>
        <w:rPr>
          <w:rFonts w:ascii="宋体" w:hAnsi="宋体"/>
          <w:b/>
          <w:kern w:val="44"/>
          <w:sz w:val="28"/>
        </w:rPr>
      </w:pPr>
      <w:r>
        <w:rPr>
          <w:rFonts w:hint="eastAsia" w:ascii="宋体" w:hAnsi="宋体"/>
          <w:b/>
          <w:kern w:val="44"/>
          <w:sz w:val="28"/>
        </w:rPr>
        <w:t>第十章  附　则</w:t>
      </w:r>
    </w:p>
    <w:p w14:paraId="2EAE2DEA">
      <w:pPr>
        <w:jc w:val="left"/>
        <w:rPr>
          <w:rFonts w:ascii="宋体" w:hAnsi="宋体"/>
          <w:kern w:val="44"/>
        </w:rPr>
      </w:pPr>
    </w:p>
    <w:p w14:paraId="57435C05">
      <w:pPr>
        <w:ind w:firstLine="422"/>
        <w:jc w:val="left"/>
        <w:rPr>
          <w:rFonts w:ascii="宋体" w:hAnsi="宋体"/>
          <w:kern w:val="44"/>
        </w:rPr>
      </w:pPr>
      <w:r>
        <w:rPr>
          <w:rFonts w:hint="eastAsia" w:ascii="宋体" w:hAnsi="宋体"/>
          <w:b/>
          <w:kern w:val="44"/>
        </w:rPr>
        <w:t>第六十六条</w:t>
      </w:r>
      <w:r>
        <w:rPr>
          <w:rFonts w:hint="eastAsia" w:ascii="宋体" w:hAnsi="宋体"/>
          <w:kern w:val="44"/>
        </w:rPr>
        <w:t>　本办法自2006年11月1日起施行。2002年9月6日北京市第十一届人民代表大会常务委员会第三十六次会议通过的《北京市农作物种子条例》同时废止。</w:t>
      </w:r>
    </w:p>
    <w:p w14:paraId="79DDA489">
      <w:pPr>
        <w:pStyle w:val="4"/>
        <w:pageBreakBefore/>
        <w:rPr>
          <w:kern w:val="44"/>
        </w:rPr>
      </w:pPr>
      <w:bookmarkStart w:id="1091" w:name="_Toc427651916"/>
      <w:bookmarkStart w:id="1092" w:name="_Toc422471291"/>
      <w:bookmarkStart w:id="1093" w:name="_Toc428780140"/>
      <w:bookmarkStart w:id="1094" w:name="_Toc428781622"/>
      <w:bookmarkStart w:id="1095" w:name="_Toc427651574"/>
      <w:r>
        <w:rPr>
          <w:rFonts w:hint="eastAsia"/>
          <w:kern w:val="44"/>
        </w:rPr>
        <w:t>北京市实施《中华人民共和国</w:t>
      </w:r>
      <w:bookmarkEnd w:id="1091"/>
      <w:bookmarkEnd w:id="1092"/>
      <w:bookmarkEnd w:id="1093"/>
      <w:bookmarkEnd w:id="1094"/>
      <w:bookmarkEnd w:id="1095"/>
    </w:p>
    <w:p w14:paraId="2900B2AF">
      <w:pPr>
        <w:pStyle w:val="4"/>
        <w:rPr>
          <w:kern w:val="44"/>
        </w:rPr>
      </w:pPr>
      <w:bookmarkStart w:id="1096" w:name="_Toc428781623"/>
      <w:bookmarkStart w:id="1097" w:name="_Toc422471292"/>
      <w:bookmarkStart w:id="1098" w:name="_Toc427651917"/>
      <w:bookmarkStart w:id="1099" w:name="_Toc428780141"/>
      <w:bookmarkStart w:id="1100" w:name="_Toc427651575"/>
      <w:r>
        <w:rPr>
          <w:rFonts w:hint="eastAsia"/>
          <w:kern w:val="44"/>
        </w:rPr>
        <w:t>农民专业合作社法》办法</w:t>
      </w:r>
      <w:bookmarkEnd w:id="1096"/>
      <w:bookmarkEnd w:id="1097"/>
      <w:bookmarkEnd w:id="1098"/>
      <w:bookmarkEnd w:id="1099"/>
      <w:bookmarkEnd w:id="1100"/>
    </w:p>
    <w:p w14:paraId="601E7AAF">
      <w:pPr>
        <w:ind w:left="630" w:leftChars="300" w:right="630" w:rightChars="300"/>
        <w:jc w:val="left"/>
        <w:rPr>
          <w:rFonts w:ascii="楷体" w:hAnsi="楷体" w:eastAsia="楷体"/>
          <w:kern w:val="44"/>
        </w:rPr>
      </w:pPr>
      <w:r>
        <w:rPr>
          <w:rFonts w:hint="eastAsia" w:ascii="楷体" w:hAnsi="楷体" w:eastAsia="楷体"/>
          <w:kern w:val="44"/>
        </w:rPr>
        <w:t>（2009年11月20日北京市第十三届人民代表大会常务委员会第十四次会议通过 ）</w:t>
      </w:r>
    </w:p>
    <w:p w14:paraId="3231D6D5">
      <w:pPr>
        <w:jc w:val="left"/>
        <w:rPr>
          <w:rFonts w:ascii="宋体" w:hAnsi="宋体"/>
          <w:kern w:val="44"/>
        </w:rPr>
      </w:pPr>
    </w:p>
    <w:p w14:paraId="68B05AC2">
      <w:pPr>
        <w:ind w:firstLine="562"/>
        <w:jc w:val="center"/>
        <w:rPr>
          <w:rFonts w:ascii="宋体" w:hAnsi="宋体"/>
          <w:b/>
          <w:bCs/>
          <w:kern w:val="44"/>
          <w:sz w:val="28"/>
          <w:szCs w:val="28"/>
        </w:rPr>
      </w:pPr>
      <w:r>
        <w:rPr>
          <w:rFonts w:hint="eastAsia" w:ascii="宋体" w:hAnsi="宋体"/>
          <w:b/>
          <w:bCs/>
          <w:kern w:val="44"/>
          <w:sz w:val="28"/>
          <w:szCs w:val="28"/>
        </w:rPr>
        <w:t>第一章　总　则</w:t>
      </w:r>
    </w:p>
    <w:p w14:paraId="593AB80F">
      <w:pPr>
        <w:jc w:val="left"/>
        <w:rPr>
          <w:rFonts w:ascii="宋体" w:hAnsi="宋体"/>
          <w:kern w:val="44"/>
        </w:rPr>
      </w:pPr>
    </w:p>
    <w:p w14:paraId="556C8F1C">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为了实施《中华人民共和国农民专业合作社法》，结合本市实际情况，制定本办法。</w:t>
      </w:r>
    </w:p>
    <w:p w14:paraId="3DE3D4E9">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本办法适用于本市行政区域内农民专业合作社的设立、生产经营，以及相关的规范管理、指导、扶持和服务活动。</w:t>
      </w:r>
    </w:p>
    <w:p w14:paraId="51BE6D67">
      <w:pPr>
        <w:ind w:firstLine="422"/>
        <w:jc w:val="left"/>
        <w:rPr>
          <w:rFonts w:ascii="宋体" w:hAnsi="宋体"/>
          <w:kern w:val="44"/>
        </w:rPr>
      </w:pPr>
      <w:r>
        <w:rPr>
          <w:rFonts w:hint="eastAsia" w:ascii="宋体" w:hAnsi="宋体"/>
          <w:b/>
          <w:kern w:val="44"/>
        </w:rPr>
        <w:t>第三条</w:t>
      </w:r>
      <w:r>
        <w:rPr>
          <w:rFonts w:hint="eastAsia" w:ascii="宋体" w:hAnsi="宋体"/>
          <w:kern w:val="44"/>
        </w:rPr>
        <w:t>　农民专业合作社是在农村家庭承包经营基础上，同类农产品的生产经营者或者同类农业生产经营服务的提供者、利用者，自愿联合、民主管理的互助性经济组织。</w:t>
      </w:r>
    </w:p>
    <w:p w14:paraId="61D9950E">
      <w:pPr>
        <w:jc w:val="left"/>
        <w:rPr>
          <w:rFonts w:ascii="宋体" w:hAnsi="宋体"/>
          <w:kern w:val="44"/>
        </w:rPr>
      </w:pPr>
      <w:r>
        <w:rPr>
          <w:rFonts w:hint="eastAsia" w:ascii="宋体" w:hAnsi="宋体"/>
          <w:kern w:val="44"/>
        </w:rPr>
        <w:t>农民专业合作社以其成员为主要服务对象，提供农业生产资料的购买，农产品的销售、加工、运输、贮藏及与农业生产经营有关的技术、信息等服务。</w:t>
      </w:r>
    </w:p>
    <w:p w14:paraId="2916FAF8">
      <w:pPr>
        <w:ind w:firstLine="422"/>
        <w:jc w:val="left"/>
        <w:rPr>
          <w:rFonts w:ascii="宋体" w:hAnsi="宋体"/>
          <w:kern w:val="44"/>
        </w:rPr>
      </w:pPr>
      <w:r>
        <w:rPr>
          <w:rFonts w:hint="eastAsia" w:ascii="宋体" w:hAnsi="宋体"/>
          <w:b/>
          <w:kern w:val="44"/>
        </w:rPr>
        <w:t>第四条</w:t>
      </w:r>
      <w:r>
        <w:rPr>
          <w:rFonts w:hint="eastAsia" w:ascii="宋体" w:hAnsi="宋体"/>
          <w:kern w:val="44"/>
        </w:rPr>
        <w:t>　农民专业合作社应当遵循下列原则：</w:t>
      </w:r>
    </w:p>
    <w:p w14:paraId="70DFB494">
      <w:pPr>
        <w:jc w:val="left"/>
        <w:rPr>
          <w:rFonts w:ascii="宋体" w:hAnsi="宋体"/>
          <w:kern w:val="44"/>
        </w:rPr>
      </w:pPr>
      <w:r>
        <w:rPr>
          <w:rFonts w:hint="eastAsia" w:ascii="宋体" w:hAnsi="宋体"/>
          <w:kern w:val="44"/>
        </w:rPr>
        <w:t>（一）成员以农民为主体；</w:t>
      </w:r>
    </w:p>
    <w:p w14:paraId="0D372B85">
      <w:pPr>
        <w:jc w:val="left"/>
        <w:rPr>
          <w:rFonts w:ascii="宋体" w:hAnsi="宋体"/>
          <w:kern w:val="44"/>
        </w:rPr>
      </w:pPr>
      <w:r>
        <w:rPr>
          <w:rFonts w:hint="eastAsia" w:ascii="宋体" w:hAnsi="宋体"/>
          <w:kern w:val="44"/>
        </w:rPr>
        <w:t>（二）以服务成员为宗旨，谋求全体成员的共同利益；</w:t>
      </w:r>
    </w:p>
    <w:p w14:paraId="5A8E16D0">
      <w:pPr>
        <w:jc w:val="left"/>
        <w:rPr>
          <w:rFonts w:ascii="宋体" w:hAnsi="宋体"/>
          <w:kern w:val="44"/>
        </w:rPr>
      </w:pPr>
      <w:r>
        <w:rPr>
          <w:rFonts w:hint="eastAsia" w:ascii="宋体" w:hAnsi="宋体"/>
          <w:kern w:val="44"/>
        </w:rPr>
        <w:t>（三）入社自愿，退社自由；</w:t>
      </w:r>
    </w:p>
    <w:p w14:paraId="1BBB40A4">
      <w:pPr>
        <w:jc w:val="left"/>
        <w:rPr>
          <w:rFonts w:ascii="宋体" w:hAnsi="宋体"/>
          <w:kern w:val="44"/>
        </w:rPr>
      </w:pPr>
      <w:r>
        <w:rPr>
          <w:rFonts w:hint="eastAsia" w:ascii="宋体" w:hAnsi="宋体"/>
          <w:kern w:val="44"/>
        </w:rPr>
        <w:t>（四）成员地位平等，实行民主管理；</w:t>
      </w:r>
    </w:p>
    <w:p w14:paraId="5B668D67">
      <w:pPr>
        <w:jc w:val="left"/>
        <w:rPr>
          <w:rFonts w:ascii="宋体" w:hAnsi="宋体"/>
          <w:kern w:val="44"/>
        </w:rPr>
      </w:pPr>
      <w:r>
        <w:rPr>
          <w:rFonts w:hint="eastAsia" w:ascii="宋体" w:hAnsi="宋体"/>
          <w:kern w:val="44"/>
        </w:rPr>
        <w:t>（五）盈余主要按照成员与农民专业合作社的交易量（额）比例返还。</w:t>
      </w:r>
    </w:p>
    <w:p w14:paraId="2371E6C3">
      <w:pPr>
        <w:ind w:firstLine="422"/>
        <w:jc w:val="left"/>
        <w:rPr>
          <w:rFonts w:ascii="宋体" w:hAnsi="宋体"/>
          <w:kern w:val="44"/>
        </w:rPr>
      </w:pPr>
      <w:r>
        <w:rPr>
          <w:rFonts w:hint="eastAsia" w:ascii="宋体" w:hAnsi="宋体"/>
          <w:b/>
          <w:kern w:val="44"/>
        </w:rPr>
        <w:t>第五条</w:t>
      </w:r>
      <w:r>
        <w:rPr>
          <w:rFonts w:hint="eastAsia" w:ascii="宋体" w:hAnsi="宋体"/>
          <w:kern w:val="44"/>
        </w:rPr>
        <w:t>　农民专业合作社应当依法从事生产经营活动，诚实守信，遵守社会公德和商业道德。</w:t>
      </w:r>
    </w:p>
    <w:p w14:paraId="59FE5D43">
      <w:pPr>
        <w:ind w:firstLine="422"/>
        <w:jc w:val="left"/>
        <w:rPr>
          <w:rFonts w:ascii="宋体" w:hAnsi="宋体"/>
          <w:kern w:val="44"/>
        </w:rPr>
      </w:pPr>
      <w:r>
        <w:rPr>
          <w:rFonts w:hint="eastAsia" w:ascii="宋体" w:hAnsi="宋体"/>
          <w:b/>
          <w:kern w:val="44"/>
        </w:rPr>
        <w:t>第六条</w:t>
      </w:r>
      <w:r>
        <w:rPr>
          <w:rFonts w:hint="eastAsia" w:ascii="宋体" w:hAnsi="宋体"/>
          <w:kern w:val="44"/>
        </w:rPr>
        <w:t>　市和区、县人民政府应当将促进农民专业合作社发展与本地区农业及相关产业发展相结合，加强统筹协调，创新工作机制，及时组织农业行政主管部门和其他有关部门、有关组织制定政策，加大财政、科技和人才支持，落实金融、税收优惠政策，完善农业社会化服务体系。</w:t>
      </w:r>
    </w:p>
    <w:p w14:paraId="7CD155A6">
      <w:pPr>
        <w:jc w:val="left"/>
        <w:rPr>
          <w:rFonts w:ascii="宋体" w:hAnsi="宋体"/>
          <w:kern w:val="44"/>
        </w:rPr>
      </w:pPr>
      <w:r>
        <w:rPr>
          <w:rFonts w:hint="eastAsia" w:ascii="宋体" w:hAnsi="宋体"/>
          <w:kern w:val="44"/>
        </w:rPr>
        <w:t>乡、镇人民政府和街道办事处应当支持当地农民专业合作社发展，宣传有关政策，制订落实措施，为农民专业合作社的设立和生产经营等活动提供服务。</w:t>
      </w:r>
    </w:p>
    <w:p w14:paraId="0A8D2082">
      <w:pPr>
        <w:jc w:val="left"/>
        <w:rPr>
          <w:rFonts w:ascii="宋体" w:hAnsi="宋体"/>
          <w:kern w:val="44"/>
        </w:rPr>
      </w:pPr>
      <w:r>
        <w:rPr>
          <w:rFonts w:hint="eastAsia" w:ascii="宋体" w:hAnsi="宋体"/>
          <w:kern w:val="44"/>
        </w:rPr>
        <w:t>村民委员会、村集体经济组织对农民专业合作社的设立和生产经营活动依法给予支持和帮助。</w:t>
      </w:r>
    </w:p>
    <w:p w14:paraId="6660CEDA">
      <w:pPr>
        <w:ind w:firstLine="422"/>
        <w:jc w:val="left"/>
        <w:rPr>
          <w:rFonts w:ascii="宋体" w:hAnsi="宋体"/>
          <w:kern w:val="44"/>
        </w:rPr>
      </w:pPr>
      <w:r>
        <w:rPr>
          <w:rFonts w:hint="eastAsia" w:ascii="宋体" w:hAnsi="宋体"/>
          <w:b/>
          <w:kern w:val="44"/>
        </w:rPr>
        <w:t>第七条</w:t>
      </w:r>
      <w:r>
        <w:rPr>
          <w:rFonts w:hint="eastAsia" w:ascii="宋体" w:hAnsi="宋体"/>
          <w:kern w:val="44"/>
        </w:rPr>
        <w:t>　市和区、县人民政府对在促进农民专业合作社事业发展中做出显著成绩的单位和个人，予以表彰、奖励。</w:t>
      </w:r>
    </w:p>
    <w:p w14:paraId="7CA620B8">
      <w:pPr>
        <w:jc w:val="left"/>
        <w:rPr>
          <w:rFonts w:ascii="宋体" w:hAnsi="宋体"/>
          <w:kern w:val="44"/>
        </w:rPr>
      </w:pPr>
    </w:p>
    <w:p w14:paraId="3F739654">
      <w:pPr>
        <w:ind w:firstLine="0" w:firstLineChars="0"/>
        <w:jc w:val="center"/>
        <w:rPr>
          <w:rFonts w:ascii="宋体" w:hAnsi="宋体"/>
          <w:b/>
          <w:kern w:val="44"/>
          <w:sz w:val="28"/>
        </w:rPr>
      </w:pPr>
      <w:r>
        <w:rPr>
          <w:rFonts w:hint="eastAsia" w:ascii="宋体" w:hAnsi="宋体"/>
          <w:b/>
          <w:kern w:val="44"/>
          <w:sz w:val="28"/>
        </w:rPr>
        <w:t>第二章　设立与运行</w:t>
      </w:r>
    </w:p>
    <w:p w14:paraId="12B4405E">
      <w:pPr>
        <w:jc w:val="left"/>
        <w:rPr>
          <w:rFonts w:ascii="宋体" w:hAnsi="宋体"/>
          <w:kern w:val="44"/>
        </w:rPr>
      </w:pPr>
    </w:p>
    <w:p w14:paraId="5F5A7F2E">
      <w:pPr>
        <w:ind w:firstLine="422"/>
        <w:jc w:val="left"/>
        <w:rPr>
          <w:rFonts w:ascii="宋体" w:hAnsi="宋体"/>
          <w:kern w:val="44"/>
        </w:rPr>
      </w:pPr>
      <w:r>
        <w:rPr>
          <w:rFonts w:hint="eastAsia" w:ascii="宋体" w:hAnsi="宋体"/>
          <w:b/>
          <w:kern w:val="44"/>
        </w:rPr>
        <w:t>第八条</w:t>
      </w:r>
      <w:r>
        <w:rPr>
          <w:rFonts w:hint="eastAsia" w:ascii="宋体" w:hAnsi="宋体"/>
          <w:kern w:val="44"/>
        </w:rPr>
        <w:t>　本市农村家庭承包经营基础上同类农产品的生产经营者或者同类农业生产经营服务的提供者、利用者，自愿联合，依法从事下列生产经营活动的，可以申请设立农民专业合作社：</w:t>
      </w:r>
    </w:p>
    <w:p w14:paraId="319BDE71">
      <w:pPr>
        <w:jc w:val="left"/>
        <w:rPr>
          <w:rFonts w:ascii="宋体" w:hAnsi="宋体"/>
          <w:kern w:val="44"/>
        </w:rPr>
      </w:pPr>
      <w:r>
        <w:rPr>
          <w:rFonts w:hint="eastAsia" w:ascii="宋体" w:hAnsi="宋体"/>
          <w:kern w:val="44"/>
        </w:rPr>
        <w:t>（一）种植业、养殖业；</w:t>
      </w:r>
    </w:p>
    <w:p w14:paraId="1DC2A378">
      <w:pPr>
        <w:jc w:val="left"/>
        <w:rPr>
          <w:rFonts w:ascii="宋体" w:hAnsi="宋体"/>
          <w:kern w:val="44"/>
        </w:rPr>
      </w:pPr>
      <w:r>
        <w:rPr>
          <w:rFonts w:hint="eastAsia" w:ascii="宋体" w:hAnsi="宋体"/>
          <w:kern w:val="44"/>
        </w:rPr>
        <w:t>（二）农产品销售、加工、贮藏、运输；</w:t>
      </w:r>
    </w:p>
    <w:p w14:paraId="31BB9CED">
      <w:pPr>
        <w:jc w:val="left"/>
        <w:rPr>
          <w:rFonts w:ascii="宋体" w:hAnsi="宋体"/>
          <w:kern w:val="44"/>
        </w:rPr>
      </w:pPr>
      <w:r>
        <w:rPr>
          <w:rFonts w:hint="eastAsia" w:ascii="宋体" w:hAnsi="宋体"/>
          <w:kern w:val="44"/>
        </w:rPr>
        <w:t>（三）农业休闲观光和民俗旅游；</w:t>
      </w:r>
    </w:p>
    <w:p w14:paraId="04E2FD58">
      <w:pPr>
        <w:jc w:val="left"/>
        <w:rPr>
          <w:rFonts w:ascii="宋体" w:hAnsi="宋体"/>
          <w:kern w:val="44"/>
        </w:rPr>
      </w:pPr>
      <w:r>
        <w:rPr>
          <w:rFonts w:hint="eastAsia" w:ascii="宋体" w:hAnsi="宋体"/>
          <w:kern w:val="44"/>
        </w:rPr>
        <w:t>（四）农民家庭手工业；</w:t>
      </w:r>
    </w:p>
    <w:p w14:paraId="781586AE">
      <w:pPr>
        <w:jc w:val="left"/>
        <w:rPr>
          <w:rFonts w:ascii="宋体" w:hAnsi="宋体"/>
          <w:kern w:val="44"/>
        </w:rPr>
      </w:pPr>
      <w:r>
        <w:rPr>
          <w:rFonts w:hint="eastAsia" w:ascii="宋体" w:hAnsi="宋体"/>
          <w:kern w:val="44"/>
        </w:rPr>
        <w:t>（五）农业机械作业服务；</w:t>
      </w:r>
    </w:p>
    <w:p w14:paraId="783371AC">
      <w:pPr>
        <w:jc w:val="left"/>
        <w:rPr>
          <w:rFonts w:ascii="宋体" w:hAnsi="宋体"/>
          <w:kern w:val="44"/>
        </w:rPr>
      </w:pPr>
      <w:r>
        <w:rPr>
          <w:rFonts w:hint="eastAsia" w:ascii="宋体" w:hAnsi="宋体"/>
          <w:kern w:val="44"/>
        </w:rPr>
        <w:t>（六）农业技术服务；</w:t>
      </w:r>
    </w:p>
    <w:p w14:paraId="29185D2A">
      <w:pPr>
        <w:jc w:val="left"/>
        <w:rPr>
          <w:rFonts w:ascii="宋体" w:hAnsi="宋体"/>
          <w:kern w:val="44"/>
        </w:rPr>
      </w:pPr>
      <w:r>
        <w:rPr>
          <w:rFonts w:hint="eastAsia" w:ascii="宋体" w:hAnsi="宋体"/>
          <w:kern w:val="44"/>
        </w:rPr>
        <w:t>（七）依法开展的其他互助性农业生产经营活动。</w:t>
      </w:r>
    </w:p>
    <w:p w14:paraId="16CED4BE">
      <w:pPr>
        <w:jc w:val="left"/>
        <w:rPr>
          <w:rFonts w:ascii="宋体" w:hAnsi="宋体"/>
          <w:kern w:val="44"/>
        </w:rPr>
      </w:pPr>
      <w:r>
        <w:rPr>
          <w:rFonts w:hint="eastAsia" w:ascii="宋体" w:hAnsi="宋体"/>
          <w:kern w:val="44"/>
        </w:rPr>
        <w:t>设立农民专业合作社的，应当向所在区、县工商行政管理部门提出设立登记申请，依法取得农民专业合作社法人营业执照。</w:t>
      </w:r>
    </w:p>
    <w:p w14:paraId="04D811B1">
      <w:pPr>
        <w:jc w:val="left"/>
        <w:rPr>
          <w:rFonts w:ascii="宋体" w:hAnsi="宋体"/>
          <w:kern w:val="44"/>
        </w:rPr>
      </w:pPr>
      <w:r>
        <w:rPr>
          <w:rFonts w:hint="eastAsia" w:ascii="宋体" w:hAnsi="宋体"/>
          <w:kern w:val="44"/>
        </w:rPr>
        <w:t>农民专业合作社的业务范围有属于法律、行政法规或者国务院规定在登记前须经批准的项目的，应当提交有关批准文件。</w:t>
      </w:r>
    </w:p>
    <w:p w14:paraId="49D9128E">
      <w:pPr>
        <w:ind w:firstLine="422"/>
        <w:jc w:val="left"/>
        <w:rPr>
          <w:rFonts w:ascii="宋体" w:hAnsi="宋体"/>
          <w:kern w:val="44"/>
        </w:rPr>
      </w:pPr>
      <w:r>
        <w:rPr>
          <w:rFonts w:hint="eastAsia" w:ascii="宋体" w:hAnsi="宋体"/>
          <w:b/>
          <w:kern w:val="44"/>
        </w:rPr>
        <w:t>第九条</w:t>
      </w:r>
      <w:r>
        <w:rPr>
          <w:rFonts w:hint="eastAsia" w:ascii="宋体" w:hAnsi="宋体"/>
          <w:kern w:val="44"/>
        </w:rPr>
        <w:t>　设立农民专业合作社的，应当依法制定章程。章程的制定，可以参照本市农民专业合作社示范章程。</w:t>
      </w:r>
    </w:p>
    <w:p w14:paraId="51D4A060">
      <w:pPr>
        <w:jc w:val="left"/>
        <w:rPr>
          <w:rFonts w:ascii="宋体" w:hAnsi="宋体"/>
          <w:kern w:val="44"/>
        </w:rPr>
      </w:pPr>
      <w:r>
        <w:rPr>
          <w:rFonts w:hint="eastAsia" w:ascii="宋体" w:hAnsi="宋体"/>
          <w:kern w:val="44"/>
        </w:rPr>
        <w:t>农民专业合作社应当健全内部管理制度，履行章程的约定。</w:t>
      </w:r>
    </w:p>
    <w:p w14:paraId="079651E2">
      <w:pPr>
        <w:ind w:firstLine="422"/>
        <w:jc w:val="left"/>
        <w:rPr>
          <w:rFonts w:ascii="宋体" w:hAnsi="宋体"/>
          <w:kern w:val="44"/>
        </w:rPr>
      </w:pPr>
      <w:r>
        <w:rPr>
          <w:rFonts w:hint="eastAsia" w:ascii="宋体" w:hAnsi="宋体"/>
          <w:b/>
          <w:kern w:val="44"/>
        </w:rPr>
        <w:t>第十条</w:t>
      </w:r>
      <w:r>
        <w:rPr>
          <w:rFonts w:hint="eastAsia" w:ascii="宋体" w:hAnsi="宋体"/>
          <w:kern w:val="44"/>
        </w:rPr>
        <w:t>　农民专业合作社的成员中，农民至少应当占成员总数的80％。</w:t>
      </w:r>
    </w:p>
    <w:p w14:paraId="60581A22">
      <w:pPr>
        <w:jc w:val="left"/>
        <w:rPr>
          <w:rFonts w:ascii="宋体" w:hAnsi="宋体"/>
          <w:kern w:val="44"/>
        </w:rPr>
      </w:pPr>
      <w:r>
        <w:rPr>
          <w:rFonts w:hint="eastAsia" w:ascii="宋体" w:hAnsi="宋体"/>
          <w:kern w:val="44"/>
        </w:rPr>
        <w:t>农民专业合作社的成员为农民的，成员身份证明为本市农业人口户口簿；拥有本市农村土地承包经营权证的非农业户籍人员，凭本人居民身份证和本市农村土地承包经营权证或者村民委员会、居民委员会出具的身份证明，可以以农民成员身份申请办理入社登记。</w:t>
      </w:r>
    </w:p>
    <w:p w14:paraId="12AE4BDA">
      <w:pPr>
        <w:ind w:firstLine="422"/>
        <w:jc w:val="left"/>
        <w:rPr>
          <w:rFonts w:ascii="宋体" w:hAnsi="宋体"/>
          <w:kern w:val="44"/>
        </w:rPr>
      </w:pPr>
      <w:r>
        <w:rPr>
          <w:rFonts w:hint="eastAsia" w:ascii="宋体" w:hAnsi="宋体"/>
          <w:b/>
          <w:kern w:val="44"/>
        </w:rPr>
        <w:t>第十一条</w:t>
      </w:r>
      <w:r>
        <w:rPr>
          <w:rFonts w:hint="eastAsia" w:ascii="宋体" w:hAnsi="宋体"/>
          <w:kern w:val="44"/>
        </w:rPr>
        <w:t>　农民专业合作社自愿联合组成新的互助性经济组织，可以向工商行政管理部门提出设立登记申请，依法取得农民专业合作社法人营业执照。</w:t>
      </w:r>
    </w:p>
    <w:p w14:paraId="709D00FF">
      <w:pPr>
        <w:ind w:firstLine="422"/>
        <w:jc w:val="left"/>
        <w:rPr>
          <w:rFonts w:ascii="宋体" w:hAnsi="宋体"/>
          <w:kern w:val="44"/>
        </w:rPr>
      </w:pPr>
      <w:r>
        <w:rPr>
          <w:rFonts w:hint="eastAsia" w:ascii="宋体" w:hAnsi="宋体"/>
          <w:b/>
          <w:kern w:val="44"/>
        </w:rPr>
        <w:t>第十二条</w:t>
      </w:r>
      <w:r>
        <w:rPr>
          <w:rFonts w:hint="eastAsia" w:ascii="宋体" w:hAnsi="宋体"/>
          <w:kern w:val="44"/>
        </w:rPr>
        <w:t>　农民专业合作社应当为每位成员设立成员账户。</w:t>
      </w:r>
    </w:p>
    <w:p w14:paraId="358576F9">
      <w:pPr>
        <w:ind w:firstLine="422"/>
        <w:jc w:val="left"/>
        <w:rPr>
          <w:rFonts w:ascii="宋体" w:hAnsi="宋体"/>
          <w:kern w:val="44"/>
        </w:rPr>
      </w:pPr>
      <w:r>
        <w:rPr>
          <w:rFonts w:hint="eastAsia" w:ascii="宋体" w:hAnsi="宋体"/>
          <w:b/>
          <w:kern w:val="44"/>
        </w:rPr>
        <w:t>第十三条</w:t>
      </w:r>
      <w:r>
        <w:rPr>
          <w:rFonts w:hint="eastAsia" w:ascii="宋体" w:hAnsi="宋体"/>
          <w:kern w:val="44"/>
        </w:rPr>
        <w:t>　农民专业合作社成员可以用货币出资，也可以用实物、知识产权及其他能够用货币估价并可以依法转让的非货币财产作价出资。</w:t>
      </w:r>
    </w:p>
    <w:p w14:paraId="25B0E1A1">
      <w:pPr>
        <w:ind w:firstLine="422"/>
        <w:jc w:val="left"/>
        <w:rPr>
          <w:rFonts w:ascii="宋体" w:hAnsi="宋体"/>
          <w:kern w:val="44"/>
        </w:rPr>
      </w:pPr>
      <w:r>
        <w:rPr>
          <w:rFonts w:hint="eastAsia" w:ascii="宋体" w:hAnsi="宋体"/>
          <w:b/>
          <w:kern w:val="44"/>
        </w:rPr>
        <w:t>第十四条</w:t>
      </w:r>
      <w:r>
        <w:rPr>
          <w:rFonts w:hint="eastAsia" w:ascii="宋体" w:hAnsi="宋体"/>
          <w:kern w:val="44"/>
        </w:rPr>
        <w:t>　农民专业合作社章程应当对成员的出资方式、出资额进行规定；成员应当按照章程规定出资，出资额应当计入该成员账户。</w:t>
      </w:r>
    </w:p>
    <w:p w14:paraId="3E2C020A">
      <w:pPr>
        <w:jc w:val="left"/>
        <w:rPr>
          <w:rFonts w:ascii="宋体" w:hAnsi="宋体"/>
          <w:kern w:val="44"/>
        </w:rPr>
      </w:pPr>
      <w:r>
        <w:rPr>
          <w:rFonts w:hint="eastAsia" w:ascii="宋体" w:hAnsi="宋体"/>
          <w:kern w:val="44"/>
        </w:rPr>
        <w:t>农民专业合作社成员的出资方式、出资额及成员出资总额，应当在出资清单上载明，并经全体出资成员签名、盖章确认。</w:t>
      </w:r>
    </w:p>
    <w:p w14:paraId="46879907">
      <w:pPr>
        <w:ind w:firstLine="422"/>
        <w:jc w:val="left"/>
        <w:rPr>
          <w:rFonts w:ascii="宋体" w:hAnsi="宋体"/>
          <w:kern w:val="44"/>
        </w:rPr>
      </w:pPr>
      <w:r>
        <w:rPr>
          <w:rFonts w:hint="eastAsia" w:ascii="宋体" w:hAnsi="宋体"/>
          <w:b/>
          <w:kern w:val="44"/>
        </w:rPr>
        <w:t>第十五条</w:t>
      </w:r>
      <w:r>
        <w:rPr>
          <w:rFonts w:hint="eastAsia" w:ascii="宋体" w:hAnsi="宋体"/>
          <w:kern w:val="44"/>
        </w:rPr>
        <w:t>　农民专业合作社成员大会由全体成员组成，是本社的权力机构，依法行使职权。</w:t>
      </w:r>
    </w:p>
    <w:p w14:paraId="61D9226E">
      <w:pPr>
        <w:jc w:val="left"/>
        <w:rPr>
          <w:rFonts w:ascii="宋体" w:hAnsi="宋体"/>
          <w:kern w:val="44"/>
        </w:rPr>
      </w:pPr>
      <w:r>
        <w:rPr>
          <w:rFonts w:hint="eastAsia" w:ascii="宋体" w:hAnsi="宋体"/>
          <w:kern w:val="44"/>
        </w:rPr>
        <w:t>农民专业合作社成员超过150人的，可以依照章程设立成员代表大会。成员代表大会按照章程规定可以行使成员大会的部分或者全部职权。</w:t>
      </w:r>
    </w:p>
    <w:p w14:paraId="2EC76C31">
      <w:pPr>
        <w:jc w:val="left"/>
        <w:rPr>
          <w:rFonts w:ascii="宋体" w:hAnsi="宋体"/>
          <w:kern w:val="44"/>
        </w:rPr>
      </w:pPr>
      <w:r>
        <w:rPr>
          <w:rFonts w:hint="eastAsia" w:ascii="宋体" w:hAnsi="宋体"/>
          <w:kern w:val="44"/>
        </w:rPr>
        <w:t>设立的成员代表大会，成员代表人数不少于成员总数的30％；成员超过500人的，成员代表人数不少于成员总数的20％。成员代表大会代表的选举办法由章程规定。</w:t>
      </w:r>
    </w:p>
    <w:p w14:paraId="7EC306E8">
      <w:pPr>
        <w:ind w:firstLine="422"/>
        <w:jc w:val="left"/>
        <w:rPr>
          <w:rFonts w:ascii="宋体" w:hAnsi="宋体"/>
          <w:kern w:val="44"/>
        </w:rPr>
      </w:pPr>
      <w:r>
        <w:rPr>
          <w:rFonts w:hint="eastAsia" w:ascii="宋体" w:hAnsi="宋体"/>
          <w:b/>
          <w:kern w:val="44"/>
        </w:rPr>
        <w:t>第十六条</w:t>
      </w:r>
      <w:r>
        <w:rPr>
          <w:rFonts w:hint="eastAsia" w:ascii="宋体" w:hAnsi="宋体"/>
          <w:kern w:val="44"/>
        </w:rPr>
        <w:t>　农民专业合作社设立理事会、执行监事或者监事会的，农民专业合作社成员在150人以下的，理事会成员一般不少于3人，至少设执行监事1人；成员151人至500人的，理事会成员一般不少于5人，监事会成员一般不少于3人；成员超过500人的，理事会成员一般不少于7人，监事会成员一般不少于5人。</w:t>
      </w:r>
    </w:p>
    <w:p w14:paraId="0D34436C">
      <w:pPr>
        <w:ind w:firstLine="422"/>
        <w:jc w:val="left"/>
        <w:rPr>
          <w:rFonts w:ascii="宋体" w:hAnsi="宋体"/>
          <w:kern w:val="44"/>
        </w:rPr>
      </w:pPr>
      <w:r>
        <w:rPr>
          <w:rFonts w:hint="eastAsia" w:ascii="宋体" w:hAnsi="宋体"/>
          <w:b/>
          <w:kern w:val="44"/>
        </w:rPr>
        <w:t>第十七条</w:t>
      </w:r>
      <w:r>
        <w:rPr>
          <w:rFonts w:hint="eastAsia" w:ascii="宋体" w:hAnsi="宋体"/>
          <w:kern w:val="44"/>
        </w:rPr>
        <w:t>　农民专业合作社应当依法建立财务管理制度。财务管理制度应当明确规定成员大会、理事长、理事、经理的财务权限和职责，并经成员大会审议通过。</w:t>
      </w:r>
    </w:p>
    <w:p w14:paraId="1F7A0860">
      <w:pPr>
        <w:jc w:val="left"/>
        <w:rPr>
          <w:rFonts w:ascii="宋体" w:hAnsi="宋体"/>
          <w:kern w:val="44"/>
        </w:rPr>
      </w:pPr>
      <w:r>
        <w:rPr>
          <w:rFonts w:hint="eastAsia" w:ascii="宋体" w:hAnsi="宋体"/>
          <w:kern w:val="44"/>
        </w:rPr>
        <w:t>农民专业合作社应当建立财会人员的岗位责任制，明确相关岗位的职责权限。</w:t>
      </w:r>
    </w:p>
    <w:p w14:paraId="4ABC8A20">
      <w:pPr>
        <w:jc w:val="left"/>
        <w:rPr>
          <w:rFonts w:ascii="宋体" w:hAnsi="宋体"/>
          <w:kern w:val="44"/>
        </w:rPr>
      </w:pPr>
      <w:r>
        <w:rPr>
          <w:rFonts w:hint="eastAsia" w:ascii="宋体" w:hAnsi="宋体"/>
          <w:kern w:val="44"/>
        </w:rPr>
        <w:t>农民专业合作社可以设置专职会计人员，也可以委托会计服务机构代理记账。</w:t>
      </w:r>
    </w:p>
    <w:p w14:paraId="3E5CD206">
      <w:pPr>
        <w:ind w:firstLine="422"/>
        <w:jc w:val="left"/>
        <w:rPr>
          <w:rFonts w:ascii="宋体" w:hAnsi="宋体"/>
          <w:kern w:val="44"/>
        </w:rPr>
      </w:pPr>
      <w:r>
        <w:rPr>
          <w:rFonts w:hint="eastAsia" w:ascii="宋体" w:hAnsi="宋体"/>
          <w:b/>
          <w:kern w:val="44"/>
        </w:rPr>
        <w:t>第十八条</w:t>
      </w:r>
      <w:r>
        <w:rPr>
          <w:rFonts w:hint="eastAsia" w:ascii="宋体" w:hAnsi="宋体"/>
          <w:kern w:val="44"/>
        </w:rPr>
        <w:t>　农民专业合作社应当按照农民专业合作社财务会计制度进行独立会计核算，并按时进行财务年度决算。</w:t>
      </w:r>
    </w:p>
    <w:p w14:paraId="44008B66">
      <w:pPr>
        <w:jc w:val="left"/>
        <w:rPr>
          <w:rFonts w:ascii="宋体" w:hAnsi="宋体"/>
          <w:kern w:val="44"/>
        </w:rPr>
      </w:pPr>
      <w:r>
        <w:rPr>
          <w:rFonts w:hint="eastAsia" w:ascii="宋体" w:hAnsi="宋体"/>
          <w:kern w:val="44"/>
        </w:rPr>
        <w:t>农民专业合作社在进行年终盈余分配或者返还前，应当准确核算全年的收入和支出；清理财产和债权、债务，将其真实完整地记入成员账户。</w:t>
      </w:r>
    </w:p>
    <w:p w14:paraId="6F374D6D">
      <w:pPr>
        <w:ind w:firstLine="422"/>
        <w:jc w:val="left"/>
        <w:rPr>
          <w:rFonts w:ascii="宋体" w:hAnsi="宋体"/>
          <w:kern w:val="44"/>
        </w:rPr>
      </w:pPr>
      <w:r>
        <w:rPr>
          <w:rFonts w:hint="eastAsia" w:ascii="宋体" w:hAnsi="宋体"/>
          <w:b/>
          <w:kern w:val="44"/>
        </w:rPr>
        <w:t>第十九条</w:t>
      </w:r>
      <w:r>
        <w:rPr>
          <w:rFonts w:hint="eastAsia" w:ascii="宋体" w:hAnsi="宋体"/>
          <w:kern w:val="44"/>
        </w:rPr>
        <w:t>　在弥补亏损、提取公积金后的当年盈余，为农民专业合作社的可分配盈余。</w:t>
      </w:r>
    </w:p>
    <w:p w14:paraId="17239015">
      <w:pPr>
        <w:jc w:val="left"/>
        <w:rPr>
          <w:rFonts w:ascii="宋体" w:hAnsi="宋体"/>
          <w:kern w:val="44"/>
        </w:rPr>
      </w:pPr>
      <w:r>
        <w:rPr>
          <w:rFonts w:hint="eastAsia" w:ascii="宋体" w:hAnsi="宋体"/>
          <w:kern w:val="44"/>
        </w:rPr>
        <w:t>农民专业合作社的可分配盈余按成员与本社交易量（额）比例返还，返还总额不得低于可分配盈余的60％；剩余部分以成员的出资额、公积金份额及本社接受国家财政直接补助和他人捐赠形成的财产平均量化到成员的份额，按比例分配给成员。可分配盈余的具体分配办法，按照章程规定或者经成员大会决议确定。</w:t>
      </w:r>
    </w:p>
    <w:p w14:paraId="7C2C15F0">
      <w:pPr>
        <w:jc w:val="left"/>
        <w:rPr>
          <w:rFonts w:ascii="宋体" w:hAnsi="宋体"/>
          <w:kern w:val="44"/>
        </w:rPr>
      </w:pPr>
      <w:r>
        <w:rPr>
          <w:rFonts w:hint="eastAsia" w:ascii="宋体" w:hAnsi="宋体"/>
          <w:kern w:val="44"/>
        </w:rPr>
        <w:t>年度盈余分配方案，应当经成员大会批准后实施。</w:t>
      </w:r>
    </w:p>
    <w:p w14:paraId="2BD5A4A6">
      <w:pPr>
        <w:ind w:firstLine="422"/>
        <w:jc w:val="left"/>
        <w:rPr>
          <w:rFonts w:ascii="宋体" w:hAnsi="宋体"/>
          <w:kern w:val="44"/>
        </w:rPr>
      </w:pPr>
      <w:r>
        <w:rPr>
          <w:rFonts w:hint="eastAsia" w:ascii="宋体" w:hAnsi="宋体"/>
          <w:b/>
          <w:kern w:val="44"/>
        </w:rPr>
        <w:t>第二十条</w:t>
      </w:r>
      <w:r>
        <w:rPr>
          <w:rFonts w:hint="eastAsia" w:ascii="宋体" w:hAnsi="宋体"/>
          <w:kern w:val="44"/>
        </w:rPr>
        <w:t>　成员资格终止的，农民专业合作社应当按照章程规定的方式和期限，退还记载在该成员账户内的出资额和公积金份额，并依法将该成员资格终止前的可分配盈余向其返还。</w:t>
      </w:r>
    </w:p>
    <w:p w14:paraId="761D17AC">
      <w:pPr>
        <w:jc w:val="left"/>
        <w:rPr>
          <w:rFonts w:ascii="宋体" w:hAnsi="宋体"/>
          <w:kern w:val="44"/>
        </w:rPr>
      </w:pPr>
      <w:r>
        <w:rPr>
          <w:rFonts w:hint="eastAsia" w:ascii="宋体" w:hAnsi="宋体"/>
          <w:kern w:val="44"/>
        </w:rPr>
        <w:t>成员资格终止后，农民专业合作社应当在会计年度终了时，将该成员账户内记载的由国家财政直接补助形成的财产份额，重新平均量化到本社现有成员。</w:t>
      </w:r>
    </w:p>
    <w:p w14:paraId="4FCAB2BE">
      <w:pPr>
        <w:ind w:firstLine="422"/>
        <w:jc w:val="left"/>
        <w:rPr>
          <w:rFonts w:ascii="宋体" w:hAnsi="宋体"/>
          <w:kern w:val="44"/>
        </w:rPr>
      </w:pPr>
      <w:r>
        <w:rPr>
          <w:rFonts w:hint="eastAsia" w:ascii="宋体" w:hAnsi="宋体"/>
          <w:b/>
          <w:kern w:val="44"/>
        </w:rPr>
        <w:t>第二十一条</w:t>
      </w:r>
      <w:r>
        <w:rPr>
          <w:rFonts w:hint="eastAsia" w:ascii="宋体" w:hAnsi="宋体"/>
          <w:kern w:val="44"/>
        </w:rPr>
        <w:t>　农民专业合作社应当向成员实行社务公开。</w:t>
      </w:r>
    </w:p>
    <w:p w14:paraId="62BD3067">
      <w:pPr>
        <w:jc w:val="left"/>
        <w:rPr>
          <w:rFonts w:ascii="宋体" w:hAnsi="宋体"/>
          <w:kern w:val="44"/>
        </w:rPr>
      </w:pPr>
      <w:r>
        <w:rPr>
          <w:rFonts w:hint="eastAsia" w:ascii="宋体" w:hAnsi="宋体"/>
          <w:kern w:val="44"/>
        </w:rPr>
        <w:t>农民专业合作社的重大经营决策、国家财政对农民专业合作社的直接补助和他人捐赠形成财产的到账和使用情况，以及其他涉及成员切身利益的事项应当向成员公开。</w:t>
      </w:r>
    </w:p>
    <w:p w14:paraId="32303518">
      <w:pPr>
        <w:jc w:val="left"/>
        <w:rPr>
          <w:rFonts w:ascii="宋体" w:hAnsi="宋体"/>
          <w:kern w:val="44"/>
        </w:rPr>
      </w:pPr>
      <w:r>
        <w:rPr>
          <w:rFonts w:hint="eastAsia" w:ascii="宋体" w:hAnsi="宋体"/>
          <w:kern w:val="44"/>
        </w:rPr>
        <w:t>农民专业合作社应当在会计年度终了时向成员公布经营和财务状况，接受成员的监督。</w:t>
      </w:r>
    </w:p>
    <w:p w14:paraId="3128B6BD">
      <w:pPr>
        <w:ind w:firstLine="422"/>
        <w:jc w:val="left"/>
        <w:rPr>
          <w:rFonts w:ascii="宋体" w:hAnsi="宋体"/>
          <w:kern w:val="44"/>
        </w:rPr>
      </w:pPr>
      <w:r>
        <w:rPr>
          <w:rFonts w:hint="eastAsia" w:ascii="宋体" w:hAnsi="宋体"/>
          <w:b/>
          <w:kern w:val="44"/>
        </w:rPr>
        <w:t>第二十二条</w:t>
      </w:r>
      <w:r>
        <w:rPr>
          <w:rFonts w:hint="eastAsia" w:ascii="宋体" w:hAnsi="宋体"/>
          <w:kern w:val="44"/>
        </w:rPr>
        <w:t>　执行监事或者监事会负责对农民专业合作社财务的监督和内部审计工作，审计结果应当向成员大会报告。</w:t>
      </w:r>
    </w:p>
    <w:p w14:paraId="171DC1EF">
      <w:pPr>
        <w:jc w:val="left"/>
        <w:rPr>
          <w:rFonts w:ascii="宋体" w:hAnsi="宋体"/>
          <w:kern w:val="44"/>
        </w:rPr>
      </w:pPr>
      <w:r>
        <w:rPr>
          <w:rFonts w:hint="eastAsia" w:ascii="宋体" w:hAnsi="宋体"/>
          <w:kern w:val="44"/>
        </w:rPr>
        <w:t>成员大会可以委托有关审计机构对本社的财务进行年度审计、专项审计和换届、离任审计。</w:t>
      </w:r>
    </w:p>
    <w:p w14:paraId="35AA7B4A">
      <w:pPr>
        <w:jc w:val="left"/>
        <w:rPr>
          <w:rFonts w:ascii="宋体" w:hAnsi="宋体"/>
          <w:kern w:val="44"/>
        </w:rPr>
      </w:pPr>
      <w:r>
        <w:rPr>
          <w:rFonts w:hint="eastAsia" w:ascii="宋体" w:hAnsi="宋体"/>
          <w:kern w:val="44"/>
        </w:rPr>
        <w:t>农民专业合作社应当接受并配合政府有关部门对国家财政直接补助资金开展的审计监督工作。</w:t>
      </w:r>
    </w:p>
    <w:p w14:paraId="7C2C0591">
      <w:pPr>
        <w:ind w:firstLine="422"/>
        <w:jc w:val="left"/>
        <w:rPr>
          <w:rFonts w:ascii="宋体" w:hAnsi="宋体"/>
          <w:kern w:val="44"/>
        </w:rPr>
      </w:pPr>
      <w:r>
        <w:rPr>
          <w:rFonts w:hint="eastAsia" w:ascii="宋体" w:hAnsi="宋体"/>
          <w:b/>
          <w:kern w:val="44"/>
        </w:rPr>
        <w:t>第二十三条</w:t>
      </w:r>
      <w:r>
        <w:rPr>
          <w:rFonts w:hint="eastAsia" w:ascii="宋体" w:hAnsi="宋体"/>
          <w:kern w:val="44"/>
        </w:rPr>
        <w:t>　农民专业合作社应当按照国家和本市有关规定报送统计、财务报表。</w:t>
      </w:r>
    </w:p>
    <w:p w14:paraId="4C7FCFC6">
      <w:pPr>
        <w:ind w:firstLine="422"/>
        <w:jc w:val="left"/>
        <w:rPr>
          <w:rFonts w:ascii="宋体" w:hAnsi="宋体"/>
          <w:kern w:val="44"/>
        </w:rPr>
      </w:pPr>
      <w:r>
        <w:rPr>
          <w:rFonts w:hint="eastAsia" w:ascii="宋体" w:hAnsi="宋体"/>
          <w:b/>
          <w:kern w:val="44"/>
        </w:rPr>
        <w:t>第二十四条</w:t>
      </w:r>
      <w:r>
        <w:rPr>
          <w:rFonts w:hint="eastAsia" w:ascii="宋体" w:hAnsi="宋体"/>
          <w:kern w:val="44"/>
        </w:rPr>
        <w:t>　农民专业合作社应当加强对成员的培训，帮助成员增强法律意识、合作意识、自律意识，提高生产技能和经营水平。</w:t>
      </w:r>
    </w:p>
    <w:p w14:paraId="29D1BE45">
      <w:pPr>
        <w:ind w:firstLine="422"/>
        <w:jc w:val="left"/>
        <w:rPr>
          <w:rFonts w:ascii="宋体" w:hAnsi="宋体"/>
          <w:kern w:val="44"/>
        </w:rPr>
      </w:pPr>
      <w:r>
        <w:rPr>
          <w:rFonts w:hint="eastAsia" w:ascii="宋体" w:hAnsi="宋体"/>
          <w:b/>
          <w:kern w:val="44"/>
        </w:rPr>
        <w:t>第二十五条</w:t>
      </w:r>
      <w:r>
        <w:rPr>
          <w:rFonts w:hint="eastAsia" w:ascii="宋体" w:hAnsi="宋体"/>
          <w:kern w:val="44"/>
        </w:rPr>
        <w:t>　农民专业合作社与成员之间发生纠纷时，应当依照章程和有关约定协商解决；协商不成的，可以向农村合作经济经营管理机构申请调解，也可以直接向人民法院起诉。</w:t>
      </w:r>
    </w:p>
    <w:p w14:paraId="3FEF11AC">
      <w:pPr>
        <w:spacing w:line="300" w:lineRule="exact"/>
        <w:ind w:firstLine="0" w:firstLineChars="0"/>
        <w:jc w:val="center"/>
        <w:rPr>
          <w:rFonts w:ascii="宋体" w:hAnsi="宋体"/>
          <w:b/>
          <w:kern w:val="44"/>
          <w:sz w:val="28"/>
        </w:rPr>
      </w:pPr>
    </w:p>
    <w:p w14:paraId="23D7E2F2">
      <w:pPr>
        <w:ind w:firstLine="0" w:firstLineChars="0"/>
        <w:jc w:val="center"/>
        <w:rPr>
          <w:rFonts w:ascii="宋体" w:hAnsi="宋体"/>
          <w:b/>
          <w:kern w:val="44"/>
          <w:sz w:val="28"/>
        </w:rPr>
      </w:pPr>
      <w:r>
        <w:rPr>
          <w:rFonts w:hint="eastAsia" w:ascii="宋体" w:hAnsi="宋体"/>
          <w:b/>
          <w:kern w:val="44"/>
          <w:sz w:val="28"/>
        </w:rPr>
        <w:t>第三章　指导与服务</w:t>
      </w:r>
    </w:p>
    <w:p w14:paraId="67DBFEA9">
      <w:pPr>
        <w:spacing w:line="300" w:lineRule="exact"/>
        <w:jc w:val="left"/>
        <w:rPr>
          <w:rFonts w:ascii="宋体" w:hAnsi="宋体"/>
          <w:kern w:val="44"/>
        </w:rPr>
      </w:pPr>
    </w:p>
    <w:p w14:paraId="0EC5EB6A">
      <w:pPr>
        <w:ind w:firstLine="422"/>
        <w:jc w:val="left"/>
        <w:rPr>
          <w:rFonts w:ascii="宋体" w:hAnsi="宋体"/>
          <w:kern w:val="44"/>
        </w:rPr>
      </w:pPr>
      <w:r>
        <w:rPr>
          <w:rFonts w:hint="eastAsia" w:ascii="宋体" w:hAnsi="宋体"/>
          <w:b/>
          <w:kern w:val="44"/>
        </w:rPr>
        <w:t>第二十六条</w:t>
      </w:r>
      <w:r>
        <w:rPr>
          <w:rFonts w:hint="eastAsia" w:ascii="宋体" w:hAnsi="宋体"/>
          <w:kern w:val="44"/>
        </w:rPr>
        <w:t>　市和区、县人民政府应当建立由有关部门和机构参加的促进农民专业合作社发展的联席会议制度，研究和协调解决农民专业合作社发展中的重大问题。</w:t>
      </w:r>
    </w:p>
    <w:p w14:paraId="526C2BD2">
      <w:pPr>
        <w:ind w:firstLine="422"/>
        <w:jc w:val="left"/>
        <w:rPr>
          <w:rFonts w:ascii="宋体" w:hAnsi="宋体"/>
          <w:kern w:val="44"/>
        </w:rPr>
      </w:pPr>
      <w:r>
        <w:rPr>
          <w:rFonts w:hint="eastAsia" w:ascii="宋体" w:hAnsi="宋体"/>
          <w:b/>
          <w:kern w:val="44"/>
        </w:rPr>
        <w:t>第二十七条</w:t>
      </w:r>
      <w:r>
        <w:rPr>
          <w:rFonts w:hint="eastAsia" w:ascii="宋体" w:hAnsi="宋体"/>
          <w:kern w:val="44"/>
        </w:rPr>
        <w:t>　市和区、县农业行政主管部门负责下列与农民专业合作社建设和发展有关的指导、扶持和服务工作：</w:t>
      </w:r>
    </w:p>
    <w:p w14:paraId="22FCE217">
      <w:pPr>
        <w:jc w:val="left"/>
        <w:rPr>
          <w:rFonts w:ascii="宋体" w:hAnsi="宋体"/>
          <w:kern w:val="44"/>
        </w:rPr>
      </w:pPr>
      <w:r>
        <w:rPr>
          <w:rFonts w:hint="eastAsia" w:ascii="宋体" w:hAnsi="宋体"/>
          <w:kern w:val="44"/>
        </w:rPr>
        <w:t>（一）制定指导和扶持农民专业合作社发展的具体政策；</w:t>
      </w:r>
    </w:p>
    <w:p w14:paraId="6DF23D47">
      <w:pPr>
        <w:jc w:val="left"/>
        <w:rPr>
          <w:rFonts w:ascii="宋体" w:hAnsi="宋体"/>
          <w:kern w:val="44"/>
        </w:rPr>
      </w:pPr>
      <w:r>
        <w:rPr>
          <w:rFonts w:hint="eastAsia" w:ascii="宋体" w:hAnsi="宋体"/>
          <w:kern w:val="44"/>
        </w:rPr>
        <w:t>（二）提供有关政策咨询，收集发布相关信息；</w:t>
      </w:r>
    </w:p>
    <w:p w14:paraId="4A7ED286">
      <w:pPr>
        <w:jc w:val="left"/>
        <w:rPr>
          <w:rFonts w:ascii="宋体" w:hAnsi="宋体"/>
          <w:kern w:val="44"/>
        </w:rPr>
      </w:pPr>
      <w:r>
        <w:rPr>
          <w:rFonts w:hint="eastAsia" w:ascii="宋体" w:hAnsi="宋体"/>
          <w:kern w:val="44"/>
        </w:rPr>
        <w:t>（三）引导帮助农民专业合作社开展农业标准化、农产品质量安全、认证申报、品牌培育、产品营销、开拓市场等工作；</w:t>
      </w:r>
    </w:p>
    <w:p w14:paraId="55B377DE">
      <w:pPr>
        <w:jc w:val="left"/>
        <w:rPr>
          <w:rFonts w:ascii="宋体" w:hAnsi="宋体"/>
          <w:kern w:val="44"/>
        </w:rPr>
      </w:pPr>
      <w:r>
        <w:rPr>
          <w:rFonts w:hint="eastAsia" w:ascii="宋体" w:hAnsi="宋体"/>
          <w:kern w:val="44"/>
        </w:rPr>
        <w:t>（四）开展农民专业合作社典型示范和推广交流活动；</w:t>
      </w:r>
    </w:p>
    <w:p w14:paraId="7228D00E">
      <w:pPr>
        <w:jc w:val="left"/>
        <w:rPr>
          <w:rFonts w:ascii="宋体" w:hAnsi="宋体"/>
          <w:kern w:val="44"/>
        </w:rPr>
      </w:pPr>
      <w:r>
        <w:rPr>
          <w:rFonts w:hint="eastAsia" w:ascii="宋体" w:hAnsi="宋体"/>
          <w:kern w:val="44"/>
        </w:rPr>
        <w:t>（五）其他帮助农民专业合作社提高组织化程度，增强自我服务、抵御风险和市场竞争能力的工作。</w:t>
      </w:r>
    </w:p>
    <w:p w14:paraId="0F686BEE">
      <w:pPr>
        <w:ind w:firstLine="422"/>
        <w:jc w:val="left"/>
        <w:rPr>
          <w:rFonts w:ascii="宋体" w:hAnsi="宋体"/>
          <w:kern w:val="44"/>
        </w:rPr>
      </w:pPr>
      <w:r>
        <w:rPr>
          <w:rFonts w:hint="eastAsia" w:ascii="宋体" w:hAnsi="宋体"/>
          <w:b/>
          <w:kern w:val="44"/>
        </w:rPr>
        <w:t>第二十八条</w:t>
      </w:r>
      <w:r>
        <w:rPr>
          <w:rFonts w:hint="eastAsia" w:ascii="宋体" w:hAnsi="宋体"/>
          <w:kern w:val="44"/>
        </w:rPr>
        <w:t>　市和区、县农村合作经济经营管理机构负责下列与农民专业合作社建设和发展有关的指导和服务工作：</w:t>
      </w:r>
    </w:p>
    <w:p w14:paraId="5EAC318E">
      <w:pPr>
        <w:jc w:val="left"/>
        <w:rPr>
          <w:rFonts w:ascii="宋体" w:hAnsi="宋体"/>
          <w:kern w:val="44"/>
        </w:rPr>
      </w:pPr>
      <w:r>
        <w:rPr>
          <w:rFonts w:hint="eastAsia" w:ascii="宋体" w:hAnsi="宋体"/>
          <w:kern w:val="44"/>
        </w:rPr>
        <w:t>（一）指导农民专业合作社制定章程、建立健全内部运行机制、财务会计等管理制度；</w:t>
      </w:r>
    </w:p>
    <w:p w14:paraId="38657878">
      <w:pPr>
        <w:jc w:val="left"/>
        <w:rPr>
          <w:rFonts w:ascii="宋体" w:hAnsi="宋体"/>
          <w:kern w:val="44"/>
        </w:rPr>
      </w:pPr>
      <w:r>
        <w:rPr>
          <w:rFonts w:hint="eastAsia" w:ascii="宋体" w:hAnsi="宋体"/>
          <w:kern w:val="44"/>
        </w:rPr>
        <w:t>（二）指导农民专业合作社申报建设项目；</w:t>
      </w:r>
    </w:p>
    <w:p w14:paraId="0D237975">
      <w:pPr>
        <w:jc w:val="left"/>
        <w:rPr>
          <w:rFonts w:ascii="宋体" w:hAnsi="宋体"/>
          <w:kern w:val="44"/>
        </w:rPr>
      </w:pPr>
      <w:r>
        <w:rPr>
          <w:rFonts w:hint="eastAsia" w:ascii="宋体" w:hAnsi="宋体"/>
          <w:kern w:val="44"/>
        </w:rPr>
        <w:t>（三）开展对农民专业合作社的统计监测、人员培训等工作。</w:t>
      </w:r>
    </w:p>
    <w:p w14:paraId="71241189">
      <w:pPr>
        <w:jc w:val="left"/>
        <w:rPr>
          <w:rFonts w:ascii="宋体" w:hAnsi="宋体"/>
          <w:kern w:val="44"/>
        </w:rPr>
      </w:pPr>
      <w:r>
        <w:rPr>
          <w:rFonts w:hint="eastAsia" w:ascii="宋体" w:hAnsi="宋体"/>
          <w:kern w:val="44"/>
        </w:rPr>
        <w:t>区、县农村合作经济经营管理机构可以为农民专业合作社的设立提供咨询、指导和登记代办服务。</w:t>
      </w:r>
    </w:p>
    <w:p w14:paraId="7D8281AA">
      <w:pPr>
        <w:ind w:firstLine="422"/>
        <w:jc w:val="left"/>
        <w:rPr>
          <w:rFonts w:ascii="宋体" w:hAnsi="宋体"/>
          <w:kern w:val="44"/>
        </w:rPr>
      </w:pPr>
      <w:r>
        <w:rPr>
          <w:rFonts w:hint="eastAsia" w:ascii="宋体" w:hAnsi="宋体"/>
          <w:b/>
          <w:kern w:val="44"/>
        </w:rPr>
        <w:t>第二十九条</w:t>
      </w:r>
      <w:r>
        <w:rPr>
          <w:rFonts w:hint="eastAsia" w:ascii="宋体" w:hAnsi="宋体"/>
          <w:kern w:val="44"/>
        </w:rPr>
        <w:t>　市和区、县工商行政管理、财政、发展改革、商务、税务、科学技术、国土资源、规划、环境保护、交通、园林绿化、水务、旅游、知识产权和质量技术监督等行政管理部门应当依据各自职责，对农民专业合作社建设和发展给予指导、扶持和服务。</w:t>
      </w:r>
    </w:p>
    <w:p w14:paraId="41B78BC9">
      <w:pPr>
        <w:jc w:val="left"/>
        <w:rPr>
          <w:rFonts w:ascii="宋体" w:hAnsi="宋体"/>
          <w:kern w:val="44"/>
        </w:rPr>
      </w:pPr>
      <w:r>
        <w:rPr>
          <w:rFonts w:hint="eastAsia" w:ascii="宋体" w:hAnsi="宋体"/>
          <w:kern w:val="44"/>
        </w:rPr>
        <w:t>供销社、农产品行业协会、科学技术协会等有关单位或者组织应当对相关的农民专业合作社给予指导、扶持和服务。</w:t>
      </w:r>
    </w:p>
    <w:p w14:paraId="363F9FA1">
      <w:pPr>
        <w:ind w:firstLine="422"/>
        <w:jc w:val="left"/>
        <w:rPr>
          <w:rFonts w:ascii="宋体" w:hAnsi="宋体"/>
          <w:kern w:val="44"/>
        </w:rPr>
      </w:pPr>
      <w:r>
        <w:rPr>
          <w:rFonts w:hint="eastAsia" w:ascii="宋体" w:hAnsi="宋体"/>
          <w:b/>
          <w:kern w:val="44"/>
        </w:rPr>
        <w:t>第三十条</w:t>
      </w:r>
      <w:r>
        <w:rPr>
          <w:rFonts w:hint="eastAsia" w:ascii="宋体" w:hAnsi="宋体"/>
          <w:kern w:val="44"/>
        </w:rPr>
        <w:t>　工商行政管理部门应当将农民专业合作社信息纳入本市法人基础数据库，为相关部门及组织统一提供基础数据的共享交换服务。</w:t>
      </w:r>
    </w:p>
    <w:p w14:paraId="532AE05A">
      <w:pPr>
        <w:jc w:val="left"/>
        <w:rPr>
          <w:rFonts w:ascii="宋体" w:hAnsi="宋体"/>
          <w:kern w:val="44"/>
        </w:rPr>
      </w:pPr>
      <w:r>
        <w:rPr>
          <w:rFonts w:hint="eastAsia" w:ascii="宋体" w:hAnsi="宋体"/>
          <w:kern w:val="44"/>
        </w:rPr>
        <w:t>农业和工商行政管理等部门应当加强沟通协调，建立、健全部门之间的信息交流与共享机制。</w:t>
      </w:r>
    </w:p>
    <w:p w14:paraId="6B22BB30">
      <w:pPr>
        <w:ind w:firstLine="422"/>
        <w:jc w:val="left"/>
        <w:rPr>
          <w:rFonts w:ascii="宋体" w:hAnsi="宋体"/>
          <w:kern w:val="44"/>
        </w:rPr>
      </w:pPr>
      <w:r>
        <w:rPr>
          <w:rFonts w:hint="eastAsia" w:ascii="宋体" w:hAnsi="宋体"/>
          <w:b/>
          <w:kern w:val="44"/>
        </w:rPr>
        <w:t>第三十一条</w:t>
      </w:r>
      <w:r>
        <w:rPr>
          <w:rFonts w:hint="eastAsia" w:ascii="宋体" w:hAnsi="宋体"/>
          <w:kern w:val="44"/>
        </w:rPr>
        <w:t>　本市将农民专业合作社纳入企业信用信息系统，对农民专业合作社实施信用监管。</w:t>
      </w:r>
    </w:p>
    <w:p w14:paraId="37EB2D33">
      <w:pPr>
        <w:ind w:firstLine="422"/>
        <w:jc w:val="left"/>
        <w:rPr>
          <w:rFonts w:ascii="宋体" w:hAnsi="宋体"/>
          <w:kern w:val="44"/>
        </w:rPr>
      </w:pPr>
      <w:r>
        <w:rPr>
          <w:rFonts w:hint="eastAsia" w:ascii="宋体" w:hAnsi="宋体"/>
          <w:b/>
          <w:kern w:val="44"/>
        </w:rPr>
        <w:t>第三十二条</w:t>
      </w:r>
      <w:r>
        <w:rPr>
          <w:rFonts w:hint="eastAsia" w:ascii="宋体" w:hAnsi="宋体"/>
          <w:kern w:val="44"/>
        </w:rPr>
        <w:t>　办理农民专业合作社工商、税务登记的，登记机关不收取登记费用。</w:t>
      </w:r>
    </w:p>
    <w:p w14:paraId="75B35123">
      <w:pPr>
        <w:jc w:val="left"/>
        <w:rPr>
          <w:rFonts w:ascii="宋体" w:hAnsi="宋体"/>
          <w:kern w:val="44"/>
        </w:rPr>
      </w:pPr>
    </w:p>
    <w:p w14:paraId="67665C4B">
      <w:pPr>
        <w:ind w:firstLine="0" w:firstLineChars="0"/>
        <w:jc w:val="center"/>
        <w:rPr>
          <w:rFonts w:ascii="宋体" w:hAnsi="宋体"/>
          <w:b/>
          <w:kern w:val="44"/>
          <w:sz w:val="28"/>
        </w:rPr>
      </w:pPr>
      <w:r>
        <w:rPr>
          <w:rFonts w:hint="eastAsia" w:ascii="宋体" w:hAnsi="宋体"/>
          <w:b/>
          <w:kern w:val="44"/>
          <w:sz w:val="28"/>
        </w:rPr>
        <w:t>第四章　扶持与促进</w:t>
      </w:r>
    </w:p>
    <w:p w14:paraId="505F32C2">
      <w:pPr>
        <w:jc w:val="left"/>
        <w:rPr>
          <w:rFonts w:ascii="宋体" w:hAnsi="宋体"/>
          <w:kern w:val="44"/>
        </w:rPr>
      </w:pPr>
    </w:p>
    <w:p w14:paraId="48C26107">
      <w:pPr>
        <w:ind w:firstLine="422"/>
        <w:jc w:val="left"/>
        <w:rPr>
          <w:rFonts w:ascii="宋体" w:hAnsi="宋体"/>
          <w:kern w:val="44"/>
        </w:rPr>
      </w:pPr>
      <w:r>
        <w:rPr>
          <w:rFonts w:hint="eastAsia" w:ascii="宋体" w:hAnsi="宋体"/>
          <w:b/>
          <w:kern w:val="44"/>
        </w:rPr>
        <w:t>第三十三条</w:t>
      </w:r>
      <w:r>
        <w:rPr>
          <w:rFonts w:hint="eastAsia" w:ascii="宋体" w:hAnsi="宋体"/>
          <w:kern w:val="44"/>
        </w:rPr>
        <w:t>　市和区、县人民政府应当推进新型农业社会化服务体系建设，支持各类农业社会化服务组织为农民专业合作社发展提供市场营销、科技推广、人才引进、农资供应、农业信息、农村金融和保险等服务。</w:t>
      </w:r>
    </w:p>
    <w:p w14:paraId="5C2B9A84">
      <w:pPr>
        <w:ind w:firstLine="422"/>
        <w:jc w:val="left"/>
        <w:rPr>
          <w:rFonts w:ascii="宋体" w:hAnsi="宋体"/>
          <w:kern w:val="44"/>
        </w:rPr>
      </w:pPr>
      <w:r>
        <w:rPr>
          <w:rFonts w:hint="eastAsia" w:ascii="宋体" w:hAnsi="宋体"/>
          <w:b/>
          <w:kern w:val="44"/>
        </w:rPr>
        <w:t>第三十四条</w:t>
      </w:r>
      <w:r>
        <w:rPr>
          <w:rFonts w:hint="eastAsia" w:ascii="宋体" w:hAnsi="宋体"/>
          <w:kern w:val="44"/>
        </w:rPr>
        <w:t>　市和区、县人民政府应当安排资金，重点用于扶持农民专业合作社的下列项目：</w:t>
      </w:r>
    </w:p>
    <w:p w14:paraId="254EDEA1">
      <w:pPr>
        <w:jc w:val="left"/>
        <w:rPr>
          <w:rFonts w:ascii="宋体" w:hAnsi="宋体"/>
          <w:kern w:val="44"/>
        </w:rPr>
      </w:pPr>
      <w:r>
        <w:rPr>
          <w:rFonts w:hint="eastAsia" w:ascii="宋体" w:hAnsi="宋体"/>
          <w:kern w:val="44"/>
        </w:rPr>
        <w:t>（一）农业标准化生产基地建设；</w:t>
      </w:r>
    </w:p>
    <w:p w14:paraId="0F15E27C">
      <w:pPr>
        <w:jc w:val="left"/>
        <w:rPr>
          <w:rFonts w:ascii="宋体" w:hAnsi="宋体"/>
          <w:kern w:val="44"/>
        </w:rPr>
      </w:pPr>
      <w:r>
        <w:rPr>
          <w:rFonts w:hint="eastAsia" w:ascii="宋体" w:hAnsi="宋体"/>
          <w:kern w:val="44"/>
        </w:rPr>
        <w:t>（二）农产品加工、仓储、销售设施建设；</w:t>
      </w:r>
    </w:p>
    <w:p w14:paraId="75978836">
      <w:pPr>
        <w:jc w:val="left"/>
        <w:rPr>
          <w:rFonts w:ascii="宋体" w:hAnsi="宋体"/>
          <w:kern w:val="44"/>
        </w:rPr>
      </w:pPr>
      <w:r>
        <w:rPr>
          <w:rFonts w:hint="eastAsia" w:ascii="宋体" w:hAnsi="宋体"/>
          <w:kern w:val="44"/>
        </w:rPr>
        <w:t>（三）农产品质量标准与认证、产品包装、品牌建设和市场营销；</w:t>
      </w:r>
    </w:p>
    <w:p w14:paraId="3DC9710F">
      <w:pPr>
        <w:jc w:val="left"/>
        <w:rPr>
          <w:rFonts w:ascii="宋体" w:hAnsi="宋体"/>
          <w:kern w:val="44"/>
        </w:rPr>
      </w:pPr>
      <w:r>
        <w:rPr>
          <w:rFonts w:hint="eastAsia" w:ascii="宋体" w:hAnsi="宋体"/>
          <w:kern w:val="44"/>
        </w:rPr>
        <w:t>（四）农业机械、农产品运输设备购置；</w:t>
      </w:r>
    </w:p>
    <w:p w14:paraId="2DAB952C">
      <w:pPr>
        <w:jc w:val="left"/>
        <w:rPr>
          <w:rFonts w:ascii="宋体" w:hAnsi="宋体"/>
          <w:kern w:val="44"/>
        </w:rPr>
      </w:pPr>
      <w:r>
        <w:rPr>
          <w:rFonts w:hint="eastAsia" w:ascii="宋体" w:hAnsi="宋体"/>
          <w:kern w:val="44"/>
        </w:rPr>
        <w:t>（五）信息服务、科技推广、人才引进和培训；</w:t>
      </w:r>
    </w:p>
    <w:p w14:paraId="4B12C9D3">
      <w:pPr>
        <w:jc w:val="left"/>
        <w:rPr>
          <w:rFonts w:ascii="宋体" w:hAnsi="宋体"/>
          <w:kern w:val="44"/>
        </w:rPr>
      </w:pPr>
      <w:r>
        <w:rPr>
          <w:rFonts w:hint="eastAsia" w:ascii="宋体" w:hAnsi="宋体"/>
          <w:kern w:val="44"/>
        </w:rPr>
        <w:t>（六）其他重点扶持项目。</w:t>
      </w:r>
    </w:p>
    <w:p w14:paraId="6264C67F">
      <w:pPr>
        <w:jc w:val="left"/>
        <w:rPr>
          <w:rFonts w:ascii="宋体" w:hAnsi="宋体"/>
          <w:kern w:val="44"/>
        </w:rPr>
      </w:pPr>
      <w:r>
        <w:rPr>
          <w:rFonts w:hint="eastAsia" w:ascii="宋体" w:hAnsi="宋体"/>
          <w:kern w:val="44"/>
        </w:rPr>
        <w:t>本市各级人民政府应当对扶持农民专业合作社的资金使用情况予以监督。</w:t>
      </w:r>
    </w:p>
    <w:p w14:paraId="3B298E8A">
      <w:pPr>
        <w:ind w:firstLine="422"/>
        <w:jc w:val="left"/>
        <w:rPr>
          <w:rFonts w:ascii="宋体" w:hAnsi="宋体"/>
          <w:kern w:val="44"/>
        </w:rPr>
      </w:pPr>
      <w:r>
        <w:rPr>
          <w:rFonts w:hint="eastAsia" w:ascii="宋体" w:hAnsi="宋体"/>
          <w:b/>
          <w:kern w:val="44"/>
        </w:rPr>
        <w:t>第三十五条</w:t>
      </w:r>
      <w:r>
        <w:rPr>
          <w:rFonts w:hint="eastAsia" w:ascii="宋体" w:hAnsi="宋体"/>
          <w:kern w:val="44"/>
        </w:rPr>
        <w:t>　农民专业合作社有下列情形之一的，不列入国家和本市财政资金扶持范围：</w:t>
      </w:r>
    </w:p>
    <w:p w14:paraId="00DE7F59">
      <w:pPr>
        <w:jc w:val="left"/>
        <w:rPr>
          <w:rFonts w:ascii="宋体" w:hAnsi="宋体"/>
          <w:kern w:val="44"/>
        </w:rPr>
      </w:pPr>
      <w:r>
        <w:rPr>
          <w:rFonts w:hint="eastAsia" w:ascii="宋体" w:hAnsi="宋体"/>
          <w:kern w:val="44"/>
        </w:rPr>
        <w:t>（一）与本社成员的交易量（额）不足全部交易量（额）50％ 的；</w:t>
      </w:r>
    </w:p>
    <w:p w14:paraId="2DCECF88">
      <w:pPr>
        <w:jc w:val="left"/>
        <w:rPr>
          <w:rFonts w:ascii="宋体" w:hAnsi="宋体"/>
          <w:kern w:val="44"/>
        </w:rPr>
      </w:pPr>
      <w:r>
        <w:rPr>
          <w:rFonts w:hint="eastAsia" w:ascii="宋体" w:hAnsi="宋体"/>
          <w:kern w:val="44"/>
        </w:rPr>
        <w:t>（二）可分配盈余未依法按成员与本社的交易量（额）返还给成员的；</w:t>
      </w:r>
    </w:p>
    <w:p w14:paraId="25D62E99">
      <w:pPr>
        <w:jc w:val="left"/>
        <w:rPr>
          <w:rFonts w:ascii="宋体" w:hAnsi="宋体"/>
          <w:kern w:val="44"/>
        </w:rPr>
      </w:pPr>
      <w:r>
        <w:rPr>
          <w:rFonts w:hint="eastAsia" w:ascii="宋体" w:hAnsi="宋体"/>
          <w:kern w:val="44"/>
        </w:rPr>
        <w:t>（三）未依法实行民主管理造成不良影响的。</w:t>
      </w:r>
    </w:p>
    <w:p w14:paraId="2935C42D">
      <w:pPr>
        <w:ind w:firstLine="422"/>
        <w:jc w:val="left"/>
        <w:rPr>
          <w:rFonts w:ascii="宋体" w:hAnsi="宋体"/>
          <w:kern w:val="44"/>
        </w:rPr>
      </w:pPr>
      <w:r>
        <w:rPr>
          <w:rFonts w:hint="eastAsia" w:ascii="宋体" w:hAnsi="宋体"/>
          <w:b/>
          <w:kern w:val="44"/>
        </w:rPr>
        <w:t>第三十六条</w:t>
      </w:r>
      <w:r>
        <w:rPr>
          <w:rFonts w:hint="eastAsia" w:ascii="宋体" w:hAnsi="宋体"/>
          <w:kern w:val="44"/>
        </w:rPr>
        <w:t>　农民专业合作社可以独立申报、承担农业建设项目、农业科技项目及其他政府支持发展农业和农村经济的建设项目。</w:t>
      </w:r>
    </w:p>
    <w:p w14:paraId="28E80246">
      <w:pPr>
        <w:jc w:val="left"/>
        <w:rPr>
          <w:rFonts w:ascii="宋体" w:hAnsi="宋体"/>
          <w:kern w:val="44"/>
        </w:rPr>
      </w:pPr>
      <w:r>
        <w:rPr>
          <w:rFonts w:hint="eastAsia" w:ascii="宋体" w:hAnsi="宋体"/>
          <w:kern w:val="44"/>
        </w:rPr>
        <w:t>有关部门应当对承担政府支持发展农业和农村经济建设项目的农民专业合作社加强指导和服务。</w:t>
      </w:r>
    </w:p>
    <w:p w14:paraId="4919E6C2">
      <w:pPr>
        <w:ind w:firstLine="422"/>
        <w:jc w:val="left"/>
        <w:rPr>
          <w:rFonts w:ascii="宋体" w:hAnsi="宋体"/>
          <w:kern w:val="44"/>
        </w:rPr>
      </w:pPr>
      <w:r>
        <w:rPr>
          <w:rFonts w:hint="eastAsia" w:ascii="宋体" w:hAnsi="宋体"/>
          <w:b/>
          <w:kern w:val="44"/>
        </w:rPr>
        <w:t>第三十七条</w:t>
      </w:r>
      <w:r>
        <w:rPr>
          <w:rFonts w:hint="eastAsia" w:ascii="宋体" w:hAnsi="宋体"/>
          <w:kern w:val="44"/>
        </w:rPr>
        <w:t>　本市应当完善农产品市场流通体系，加强仓储、流通、信息等基础设施建设，改善农产品销售的市场环境。</w:t>
      </w:r>
    </w:p>
    <w:p w14:paraId="16986B72">
      <w:pPr>
        <w:jc w:val="left"/>
        <w:rPr>
          <w:rFonts w:ascii="宋体" w:hAnsi="宋体"/>
          <w:kern w:val="44"/>
        </w:rPr>
      </w:pPr>
      <w:r>
        <w:rPr>
          <w:rFonts w:hint="eastAsia" w:ascii="宋体" w:hAnsi="宋体"/>
          <w:kern w:val="44"/>
        </w:rPr>
        <w:t>市和区、县商务、农业行政主管部门应当采取措施，组织、引导、支持农民专业合作社与市场对接，为农民专业合作社生产的农产品进入市场销售提供便利和信息咨询服务。</w:t>
      </w:r>
    </w:p>
    <w:p w14:paraId="16B0AB5C">
      <w:pPr>
        <w:jc w:val="left"/>
        <w:rPr>
          <w:rFonts w:ascii="宋体" w:hAnsi="宋体"/>
          <w:kern w:val="44"/>
        </w:rPr>
      </w:pPr>
      <w:r>
        <w:rPr>
          <w:rFonts w:hint="eastAsia" w:ascii="宋体" w:hAnsi="宋体"/>
          <w:kern w:val="44"/>
        </w:rPr>
        <w:t>鼓励农产品加工、销售和会展企业与农民专业合作社建立直接联系，对农民专业合作社生产的农产品进行加工、销售和展览展销。</w:t>
      </w:r>
    </w:p>
    <w:p w14:paraId="46C0818E">
      <w:pPr>
        <w:ind w:firstLine="422"/>
        <w:jc w:val="left"/>
        <w:rPr>
          <w:rFonts w:ascii="宋体" w:hAnsi="宋体"/>
          <w:kern w:val="44"/>
        </w:rPr>
      </w:pPr>
      <w:r>
        <w:rPr>
          <w:rFonts w:hint="eastAsia" w:ascii="宋体" w:hAnsi="宋体"/>
          <w:b/>
          <w:kern w:val="44"/>
        </w:rPr>
        <w:t>第三十八条</w:t>
      </w:r>
      <w:r>
        <w:rPr>
          <w:rFonts w:hint="eastAsia" w:ascii="宋体" w:hAnsi="宋体"/>
          <w:kern w:val="44"/>
        </w:rPr>
        <w:t>　农产品生产、加工、销售企业，以及其他有销售渠道、生产加工技术、开拓创新能力的企业，可以联合农民创办或者加入农民专业合作社，带动农民专业合作社发展。</w:t>
      </w:r>
    </w:p>
    <w:p w14:paraId="0164ABC5">
      <w:pPr>
        <w:jc w:val="left"/>
        <w:rPr>
          <w:rFonts w:ascii="宋体" w:hAnsi="宋体"/>
          <w:kern w:val="44"/>
        </w:rPr>
      </w:pPr>
      <w:r>
        <w:rPr>
          <w:rFonts w:hint="eastAsia" w:ascii="宋体" w:hAnsi="宋体"/>
          <w:kern w:val="44"/>
        </w:rPr>
        <w:t>引导农业产业化龙头企业和农民专业合作社通过资本、劳动等方面合作，建立稳定的利益联结机制，共享农产品生产、加工、仓储、销售等环节的利益。</w:t>
      </w:r>
    </w:p>
    <w:p w14:paraId="19E1E7F3">
      <w:pPr>
        <w:jc w:val="left"/>
        <w:rPr>
          <w:rFonts w:ascii="宋体" w:hAnsi="宋体"/>
          <w:kern w:val="44"/>
        </w:rPr>
      </w:pPr>
      <w:r>
        <w:rPr>
          <w:rFonts w:hint="eastAsia" w:ascii="宋体" w:hAnsi="宋体"/>
          <w:kern w:val="44"/>
        </w:rPr>
        <w:t>鼓励农业产业化龙头企业为农民专业合作社及其成员提供技术、信息、农业生产资料等多种服务。</w:t>
      </w:r>
    </w:p>
    <w:p w14:paraId="6CB4AF3B">
      <w:pPr>
        <w:ind w:firstLine="422"/>
        <w:jc w:val="left"/>
        <w:rPr>
          <w:rFonts w:ascii="宋体" w:hAnsi="宋体"/>
          <w:kern w:val="44"/>
        </w:rPr>
      </w:pPr>
      <w:r>
        <w:rPr>
          <w:rFonts w:hint="eastAsia" w:ascii="宋体" w:hAnsi="宋体"/>
          <w:b/>
          <w:kern w:val="44"/>
        </w:rPr>
        <w:t>第三十九条</w:t>
      </w:r>
      <w:r>
        <w:rPr>
          <w:rFonts w:hint="eastAsia" w:ascii="宋体" w:hAnsi="宋体"/>
          <w:kern w:val="44"/>
        </w:rPr>
        <w:t>　鼓励高等院校、中等职业学校和科研院所与本市农民专业合作社开展技术合作。依托农民专业合作社建立科研试验示范基地的，享受相关政策优惠。</w:t>
      </w:r>
    </w:p>
    <w:p w14:paraId="0F91EA96">
      <w:pPr>
        <w:ind w:firstLine="422"/>
        <w:jc w:val="left"/>
        <w:rPr>
          <w:rFonts w:ascii="宋体" w:hAnsi="宋体"/>
          <w:kern w:val="44"/>
        </w:rPr>
      </w:pPr>
      <w:r>
        <w:rPr>
          <w:rFonts w:hint="eastAsia" w:ascii="宋体" w:hAnsi="宋体"/>
          <w:b/>
          <w:kern w:val="44"/>
        </w:rPr>
        <w:t>第四十条</w:t>
      </w:r>
      <w:r>
        <w:rPr>
          <w:rFonts w:hint="eastAsia" w:ascii="宋体" w:hAnsi="宋体"/>
          <w:kern w:val="44"/>
        </w:rPr>
        <w:t>　农民专业合作社享受国家规定的对农业生产、加工、流通、服务和其他涉农经济活动相应的税收优惠。</w:t>
      </w:r>
    </w:p>
    <w:p w14:paraId="2C1DAB68">
      <w:pPr>
        <w:ind w:firstLine="422"/>
        <w:jc w:val="left"/>
        <w:rPr>
          <w:rFonts w:ascii="宋体" w:hAnsi="宋体"/>
          <w:kern w:val="44"/>
        </w:rPr>
      </w:pPr>
      <w:r>
        <w:rPr>
          <w:rFonts w:hint="eastAsia" w:ascii="宋体" w:hAnsi="宋体"/>
          <w:b/>
          <w:kern w:val="44"/>
        </w:rPr>
        <w:t>第四十一条</w:t>
      </w:r>
      <w:r>
        <w:rPr>
          <w:rFonts w:hint="eastAsia" w:ascii="宋体" w:hAnsi="宋体"/>
          <w:kern w:val="44"/>
        </w:rPr>
        <w:t>　政策性金融机构应当采取多种形式为农民专业合作社提供信贷服务。鼓励商业性金融机构对农民专业合作社开展信贷服务，提供资金支持。</w:t>
      </w:r>
    </w:p>
    <w:p w14:paraId="750D4A7A">
      <w:pPr>
        <w:jc w:val="left"/>
        <w:rPr>
          <w:rFonts w:ascii="宋体" w:hAnsi="宋体"/>
          <w:kern w:val="44"/>
        </w:rPr>
      </w:pPr>
      <w:r>
        <w:rPr>
          <w:rFonts w:hint="eastAsia" w:ascii="宋体" w:hAnsi="宋体"/>
          <w:kern w:val="44"/>
        </w:rPr>
        <w:t>农民专业合作社申请的相关贷款，符合市财政、农业行政主管部门有关规定的，财政部门根据项目用途和实际需要给予贴息支持。</w:t>
      </w:r>
    </w:p>
    <w:p w14:paraId="7E2CCEFF">
      <w:pPr>
        <w:jc w:val="left"/>
        <w:rPr>
          <w:rFonts w:ascii="宋体" w:hAnsi="宋体"/>
          <w:kern w:val="44"/>
        </w:rPr>
      </w:pPr>
      <w:r>
        <w:rPr>
          <w:rFonts w:hint="eastAsia" w:ascii="宋体" w:hAnsi="宋体"/>
          <w:kern w:val="44"/>
        </w:rPr>
        <w:t>鼓励社会担保机构开展农民专业合作社贷款担保业务。政府扶持的政策性担保机构应当为农民专业合作社提供担保服务。</w:t>
      </w:r>
    </w:p>
    <w:p w14:paraId="0CC2CFE6">
      <w:pPr>
        <w:ind w:firstLine="422"/>
        <w:jc w:val="left"/>
        <w:rPr>
          <w:rFonts w:ascii="宋体" w:hAnsi="宋体"/>
          <w:kern w:val="44"/>
        </w:rPr>
      </w:pPr>
      <w:r>
        <w:rPr>
          <w:rFonts w:hint="eastAsia" w:ascii="宋体" w:hAnsi="宋体"/>
          <w:b/>
          <w:kern w:val="44"/>
        </w:rPr>
        <w:t>第四十二条</w:t>
      </w:r>
      <w:r>
        <w:rPr>
          <w:rFonts w:hint="eastAsia" w:ascii="宋体" w:hAnsi="宋体"/>
          <w:kern w:val="44"/>
        </w:rPr>
        <w:t>　农民专业合作社可以组织成员依法开展内部资金互助服务，解决成员在农业生产经营活动中的资金困难。</w:t>
      </w:r>
    </w:p>
    <w:p w14:paraId="7B3C1EEE">
      <w:pPr>
        <w:ind w:firstLine="422"/>
        <w:jc w:val="left"/>
        <w:rPr>
          <w:rFonts w:ascii="宋体" w:hAnsi="宋体"/>
          <w:kern w:val="44"/>
        </w:rPr>
      </w:pPr>
      <w:r>
        <w:rPr>
          <w:rFonts w:hint="eastAsia" w:ascii="宋体" w:hAnsi="宋体"/>
          <w:b/>
          <w:kern w:val="44"/>
        </w:rPr>
        <w:t>第四十三条</w:t>
      </w:r>
      <w:r>
        <w:rPr>
          <w:rFonts w:hint="eastAsia" w:ascii="宋体" w:hAnsi="宋体"/>
          <w:kern w:val="44"/>
        </w:rPr>
        <w:t>　政策性农业保险机构应当开发适合农民专业合作社特点的保险产品。</w:t>
      </w:r>
    </w:p>
    <w:p w14:paraId="587B3002">
      <w:pPr>
        <w:jc w:val="left"/>
        <w:rPr>
          <w:rFonts w:ascii="宋体" w:hAnsi="宋体"/>
          <w:kern w:val="44"/>
        </w:rPr>
      </w:pPr>
      <w:r>
        <w:rPr>
          <w:rFonts w:hint="eastAsia" w:ascii="宋体" w:hAnsi="宋体"/>
          <w:kern w:val="44"/>
        </w:rPr>
        <w:t>鼓励政策性、商业性保险机构通过农民专业合作社为农民提供农业保险服务。</w:t>
      </w:r>
    </w:p>
    <w:p w14:paraId="1F75F55B">
      <w:pPr>
        <w:ind w:firstLine="422"/>
        <w:jc w:val="left"/>
        <w:rPr>
          <w:rFonts w:ascii="宋体" w:hAnsi="宋体"/>
          <w:kern w:val="44"/>
        </w:rPr>
      </w:pPr>
      <w:r>
        <w:rPr>
          <w:rFonts w:hint="eastAsia" w:ascii="宋体" w:hAnsi="宋体"/>
          <w:b/>
          <w:kern w:val="44"/>
        </w:rPr>
        <w:t>第四十四条</w:t>
      </w:r>
      <w:r>
        <w:rPr>
          <w:rFonts w:hint="eastAsia" w:ascii="宋体" w:hAnsi="宋体"/>
          <w:kern w:val="44"/>
        </w:rPr>
        <w:t>　本市各级人民政府应当采取措施鼓励各类人才到农民专业合作社工作。</w:t>
      </w:r>
    </w:p>
    <w:p w14:paraId="359702AA">
      <w:pPr>
        <w:jc w:val="left"/>
        <w:rPr>
          <w:rFonts w:ascii="宋体" w:hAnsi="宋体"/>
          <w:kern w:val="44"/>
        </w:rPr>
      </w:pPr>
      <w:r>
        <w:rPr>
          <w:rFonts w:hint="eastAsia" w:ascii="宋体" w:hAnsi="宋体"/>
          <w:kern w:val="44"/>
        </w:rPr>
        <w:t>高等院校毕业生到农民专业合作社工作的，享受有关优惠待遇。</w:t>
      </w:r>
    </w:p>
    <w:p w14:paraId="5FC996E6">
      <w:pPr>
        <w:jc w:val="left"/>
        <w:rPr>
          <w:rFonts w:ascii="宋体" w:hAnsi="宋体"/>
          <w:kern w:val="44"/>
        </w:rPr>
      </w:pPr>
      <w:r>
        <w:rPr>
          <w:rFonts w:hint="eastAsia" w:ascii="宋体" w:hAnsi="宋体"/>
          <w:kern w:val="44"/>
        </w:rPr>
        <w:t>支持农业技术专家及其他各类优秀人才以咨询、培训等方式加强与农民专业合作社的合作。</w:t>
      </w:r>
    </w:p>
    <w:p w14:paraId="689613C4">
      <w:pPr>
        <w:jc w:val="left"/>
        <w:rPr>
          <w:rFonts w:ascii="宋体" w:hAnsi="宋体"/>
          <w:kern w:val="44"/>
        </w:rPr>
      </w:pPr>
      <w:r>
        <w:rPr>
          <w:rFonts w:hint="eastAsia" w:ascii="宋体" w:hAnsi="宋体"/>
          <w:kern w:val="44"/>
        </w:rPr>
        <w:t>鼓励各类科技人员为农民专业合作社提供技术服务。</w:t>
      </w:r>
    </w:p>
    <w:p w14:paraId="0BFE4BD4">
      <w:pPr>
        <w:ind w:firstLine="422"/>
        <w:jc w:val="left"/>
        <w:rPr>
          <w:rFonts w:ascii="宋体" w:hAnsi="宋体"/>
          <w:kern w:val="44"/>
        </w:rPr>
      </w:pPr>
      <w:r>
        <w:rPr>
          <w:rFonts w:hint="eastAsia" w:ascii="宋体" w:hAnsi="宋体"/>
          <w:b/>
          <w:kern w:val="44"/>
        </w:rPr>
        <w:t>第四十五条</w:t>
      </w:r>
      <w:r>
        <w:rPr>
          <w:rFonts w:hint="eastAsia" w:ascii="宋体" w:hAnsi="宋体"/>
          <w:kern w:val="44"/>
        </w:rPr>
        <w:t>　农民专业合作社的农产品生产基地、农业机械服务场所、规模养殖场、设施农业，以及其他有关项目的建设，应当符合土地利用总体规划和城乡规划；前述项目相关用地，未使用建筑材料硬化地面或者虽使用建筑材料但未破坏土地并易于复垦的，按照设施农用地进行管理。</w:t>
      </w:r>
    </w:p>
    <w:p w14:paraId="1A0B15A2">
      <w:pPr>
        <w:jc w:val="left"/>
        <w:rPr>
          <w:rFonts w:ascii="宋体" w:hAnsi="宋体"/>
          <w:kern w:val="44"/>
        </w:rPr>
      </w:pPr>
      <w:r>
        <w:rPr>
          <w:rFonts w:hint="eastAsia" w:ascii="宋体" w:hAnsi="宋体"/>
          <w:kern w:val="44"/>
        </w:rPr>
        <w:t>农民专业合作社建设农产品加工、仓储、冷藏和人员培训及设施农业附属的管理和生活用房等永久性建筑物的用地，使用农村集体建设用地的，应当符合土地利用总体规划和城乡规划，按照乡镇集体企业用地办理用地手续；使用农用地的，应当依法办理农用地转用审批手续。</w:t>
      </w:r>
    </w:p>
    <w:p w14:paraId="28BA44B8">
      <w:pPr>
        <w:jc w:val="left"/>
        <w:rPr>
          <w:rFonts w:ascii="宋体" w:hAnsi="宋体"/>
          <w:kern w:val="44"/>
        </w:rPr>
      </w:pPr>
      <w:r>
        <w:rPr>
          <w:rFonts w:hint="eastAsia" w:ascii="宋体" w:hAnsi="宋体"/>
          <w:kern w:val="44"/>
        </w:rPr>
        <w:t>农民专业合作社从事种植、养殖及本社成员农产品初加工、仓储、冷藏的用水用电，按照有关规定执行农业生产水电价格标准。</w:t>
      </w:r>
    </w:p>
    <w:p w14:paraId="70986353">
      <w:pPr>
        <w:ind w:firstLine="422"/>
        <w:jc w:val="left"/>
        <w:rPr>
          <w:rFonts w:ascii="宋体" w:hAnsi="宋体"/>
          <w:kern w:val="44"/>
        </w:rPr>
      </w:pPr>
      <w:r>
        <w:rPr>
          <w:rFonts w:hint="eastAsia" w:ascii="宋体" w:hAnsi="宋体"/>
          <w:b/>
          <w:kern w:val="44"/>
        </w:rPr>
        <w:t>第四十六条</w:t>
      </w:r>
      <w:r>
        <w:rPr>
          <w:rFonts w:hint="eastAsia" w:ascii="宋体" w:hAnsi="宋体"/>
          <w:kern w:val="44"/>
        </w:rPr>
        <w:t>　农民专业合作社申请认证无公害农产品、绿色食品、有机食品、原产地标记、地理标志和注册商标的，政府有关部门和相关组织应当给予指导、扶持和帮助。</w:t>
      </w:r>
    </w:p>
    <w:p w14:paraId="64089F11">
      <w:pPr>
        <w:ind w:firstLine="422"/>
        <w:jc w:val="left"/>
        <w:rPr>
          <w:rFonts w:ascii="宋体" w:hAnsi="宋体"/>
          <w:kern w:val="44"/>
        </w:rPr>
      </w:pPr>
      <w:r>
        <w:rPr>
          <w:rFonts w:hint="eastAsia" w:ascii="宋体" w:hAnsi="宋体"/>
          <w:b/>
          <w:kern w:val="44"/>
        </w:rPr>
        <w:t>第四十七条</w:t>
      </w:r>
      <w:r>
        <w:rPr>
          <w:rFonts w:hint="eastAsia" w:ascii="宋体" w:hAnsi="宋体"/>
          <w:kern w:val="44"/>
        </w:rPr>
        <w:t>　本市将农民专业合作社信息平台建设纳入全市信息化体系，通过信息化手段为农民专业合作社及其成员提供相关生产经营信息服务。</w:t>
      </w:r>
    </w:p>
    <w:p w14:paraId="0090DEE8">
      <w:pPr>
        <w:jc w:val="left"/>
        <w:rPr>
          <w:rFonts w:ascii="宋体" w:hAnsi="宋体"/>
          <w:kern w:val="44"/>
        </w:rPr>
      </w:pPr>
    </w:p>
    <w:p w14:paraId="494B3856">
      <w:pPr>
        <w:ind w:firstLine="0" w:firstLineChars="0"/>
        <w:jc w:val="center"/>
        <w:rPr>
          <w:rFonts w:ascii="宋体" w:hAnsi="宋体"/>
          <w:b/>
          <w:kern w:val="44"/>
          <w:sz w:val="28"/>
        </w:rPr>
      </w:pPr>
      <w:r>
        <w:rPr>
          <w:rFonts w:hint="eastAsia" w:ascii="宋体" w:hAnsi="宋体"/>
          <w:b/>
          <w:kern w:val="44"/>
          <w:sz w:val="28"/>
        </w:rPr>
        <w:t>第五章　法律责任</w:t>
      </w:r>
    </w:p>
    <w:p w14:paraId="7DE873B8">
      <w:pPr>
        <w:jc w:val="left"/>
        <w:rPr>
          <w:rFonts w:ascii="宋体" w:hAnsi="宋体"/>
          <w:kern w:val="44"/>
        </w:rPr>
      </w:pPr>
    </w:p>
    <w:p w14:paraId="58B1DF0D">
      <w:pPr>
        <w:ind w:firstLine="422"/>
        <w:jc w:val="left"/>
        <w:rPr>
          <w:rFonts w:ascii="宋体" w:hAnsi="宋体"/>
          <w:kern w:val="44"/>
        </w:rPr>
      </w:pPr>
      <w:r>
        <w:rPr>
          <w:rFonts w:hint="eastAsia" w:ascii="宋体" w:hAnsi="宋体"/>
          <w:b/>
          <w:kern w:val="44"/>
        </w:rPr>
        <w:t>第四十八条</w:t>
      </w:r>
      <w:r>
        <w:rPr>
          <w:rFonts w:hint="eastAsia" w:ascii="宋体" w:hAnsi="宋体"/>
          <w:kern w:val="44"/>
        </w:rPr>
        <w:t>　国家行政机关和负有管理职责的机构及其工作人员有下列行为之一的，根据情节轻重对直接负责的主管人员和其他直接责任人员，依法给予相应行政处分：</w:t>
      </w:r>
    </w:p>
    <w:p w14:paraId="7311F391">
      <w:pPr>
        <w:jc w:val="left"/>
        <w:rPr>
          <w:rFonts w:ascii="宋体" w:hAnsi="宋体"/>
          <w:kern w:val="44"/>
        </w:rPr>
      </w:pPr>
      <w:r>
        <w:rPr>
          <w:rFonts w:hint="eastAsia" w:ascii="宋体" w:hAnsi="宋体"/>
          <w:kern w:val="44"/>
        </w:rPr>
        <w:t>（一）非法干预农民专业合作社及其成员生产经营活动的；</w:t>
      </w:r>
    </w:p>
    <w:p w14:paraId="32FB9C83">
      <w:pPr>
        <w:jc w:val="left"/>
        <w:rPr>
          <w:rFonts w:ascii="宋体" w:hAnsi="宋体"/>
          <w:kern w:val="44"/>
        </w:rPr>
      </w:pPr>
      <w:r>
        <w:rPr>
          <w:rFonts w:hint="eastAsia" w:ascii="宋体" w:hAnsi="宋体"/>
          <w:kern w:val="44"/>
        </w:rPr>
        <w:t>（二）侵占、挪用、截留农民专业合作社及其成员财产或者应当属于农民专业合作社及其成员财产的；</w:t>
      </w:r>
    </w:p>
    <w:p w14:paraId="675E8199">
      <w:pPr>
        <w:jc w:val="left"/>
        <w:rPr>
          <w:rFonts w:ascii="宋体" w:hAnsi="宋体"/>
          <w:kern w:val="44"/>
        </w:rPr>
      </w:pPr>
      <w:r>
        <w:rPr>
          <w:rFonts w:hint="eastAsia" w:ascii="宋体" w:hAnsi="宋体"/>
          <w:kern w:val="44"/>
        </w:rPr>
        <w:t>（三）非法向农民专业合作社及其成员收费或者摊派的；</w:t>
      </w:r>
    </w:p>
    <w:p w14:paraId="091CE254">
      <w:pPr>
        <w:jc w:val="left"/>
        <w:rPr>
          <w:rFonts w:ascii="宋体" w:hAnsi="宋体"/>
          <w:kern w:val="44"/>
        </w:rPr>
      </w:pPr>
      <w:r>
        <w:rPr>
          <w:rFonts w:hint="eastAsia" w:ascii="宋体" w:hAnsi="宋体"/>
          <w:kern w:val="44"/>
        </w:rPr>
        <w:t>（四）强迫农民专业合作社及其成员接受有偿服务的；</w:t>
      </w:r>
    </w:p>
    <w:p w14:paraId="7BEDF11C">
      <w:pPr>
        <w:jc w:val="left"/>
        <w:rPr>
          <w:rFonts w:ascii="宋体" w:hAnsi="宋体"/>
          <w:kern w:val="44"/>
        </w:rPr>
      </w:pPr>
      <w:r>
        <w:rPr>
          <w:rFonts w:hint="eastAsia" w:ascii="宋体" w:hAnsi="宋体"/>
          <w:kern w:val="44"/>
        </w:rPr>
        <w:t>（五）其他玩忽职守、滥用职权、徇私舞弊侵害农民专业合作社及其成员合法权益的。</w:t>
      </w:r>
    </w:p>
    <w:p w14:paraId="3401A234">
      <w:pPr>
        <w:jc w:val="left"/>
        <w:rPr>
          <w:rFonts w:ascii="宋体" w:hAnsi="宋体"/>
          <w:kern w:val="44"/>
        </w:rPr>
      </w:pPr>
      <w:r>
        <w:rPr>
          <w:rFonts w:hint="eastAsia" w:ascii="宋体" w:hAnsi="宋体"/>
          <w:kern w:val="44"/>
        </w:rPr>
        <w:t>前款所列行为构成犯罪的，由司法机关依法追究刑事责任；给农民专业合作社造成损失的，依法承担民事责任。</w:t>
      </w:r>
    </w:p>
    <w:p w14:paraId="132CB8C3">
      <w:pPr>
        <w:ind w:firstLine="422"/>
        <w:jc w:val="left"/>
        <w:rPr>
          <w:rFonts w:ascii="宋体" w:hAnsi="宋体"/>
          <w:kern w:val="44"/>
        </w:rPr>
      </w:pPr>
      <w:r>
        <w:rPr>
          <w:rFonts w:hint="eastAsia" w:ascii="宋体" w:hAnsi="宋体"/>
          <w:b/>
          <w:kern w:val="44"/>
        </w:rPr>
        <w:t>第四十九条</w:t>
      </w:r>
      <w:r>
        <w:rPr>
          <w:rFonts w:hint="eastAsia" w:ascii="宋体" w:hAnsi="宋体"/>
          <w:kern w:val="44"/>
        </w:rPr>
        <w:t>　农民专业合作社违法开展生产经营活动的，由农业、工商行政管理、质量技术监督等有关部门依法处理。</w:t>
      </w:r>
    </w:p>
    <w:p w14:paraId="7C9748DF">
      <w:pPr>
        <w:ind w:firstLine="422"/>
        <w:jc w:val="left"/>
        <w:rPr>
          <w:rFonts w:ascii="宋体" w:hAnsi="宋体"/>
          <w:kern w:val="44"/>
        </w:rPr>
      </w:pPr>
      <w:r>
        <w:rPr>
          <w:rFonts w:hint="eastAsia" w:ascii="宋体" w:hAnsi="宋体"/>
          <w:b/>
          <w:kern w:val="44"/>
        </w:rPr>
        <w:t>第五十条</w:t>
      </w:r>
      <w:r>
        <w:rPr>
          <w:rFonts w:hint="eastAsia" w:ascii="宋体" w:hAnsi="宋体"/>
          <w:kern w:val="44"/>
        </w:rPr>
        <w:t>　农民专业合作社管理人员侵占、挪用、私分农民专业合作社及其成员财产的，依法追究其法律责任。</w:t>
      </w:r>
    </w:p>
    <w:p w14:paraId="24F6049B">
      <w:pPr>
        <w:ind w:firstLine="422"/>
        <w:jc w:val="left"/>
        <w:rPr>
          <w:rFonts w:ascii="宋体" w:hAnsi="宋体"/>
          <w:kern w:val="44"/>
        </w:rPr>
      </w:pPr>
      <w:r>
        <w:rPr>
          <w:rFonts w:hint="eastAsia" w:ascii="宋体" w:hAnsi="宋体"/>
          <w:b/>
          <w:kern w:val="44"/>
        </w:rPr>
        <w:t>第五十一条</w:t>
      </w:r>
      <w:r>
        <w:rPr>
          <w:rFonts w:hint="eastAsia" w:ascii="宋体" w:hAnsi="宋体"/>
          <w:kern w:val="44"/>
        </w:rPr>
        <w:t>　农民专业合作社成员违反农民专业合作社章程及财务管理制度，造成本社或者其他成员财产损失的，应当依法承担民事责任。</w:t>
      </w:r>
    </w:p>
    <w:p w14:paraId="1CCB9986">
      <w:pPr>
        <w:jc w:val="left"/>
        <w:rPr>
          <w:rFonts w:ascii="宋体" w:hAnsi="宋体"/>
          <w:kern w:val="44"/>
        </w:rPr>
      </w:pPr>
    </w:p>
    <w:p w14:paraId="2B06824B">
      <w:pPr>
        <w:ind w:firstLine="0" w:firstLineChars="0"/>
        <w:jc w:val="center"/>
        <w:rPr>
          <w:rFonts w:ascii="宋体" w:hAnsi="宋体"/>
          <w:b/>
          <w:kern w:val="44"/>
          <w:sz w:val="28"/>
        </w:rPr>
      </w:pPr>
      <w:r>
        <w:rPr>
          <w:rFonts w:hint="eastAsia" w:ascii="宋体" w:hAnsi="宋体"/>
          <w:b/>
          <w:kern w:val="44"/>
          <w:sz w:val="28"/>
        </w:rPr>
        <w:t>第六章　附　则</w:t>
      </w:r>
    </w:p>
    <w:p w14:paraId="516FEC6C">
      <w:pPr>
        <w:rPr>
          <w:kern w:val="44"/>
        </w:rPr>
      </w:pPr>
    </w:p>
    <w:p w14:paraId="13057080">
      <w:pPr>
        <w:ind w:firstLine="422"/>
        <w:jc w:val="left"/>
        <w:rPr>
          <w:rFonts w:ascii="宋体" w:hAnsi="宋体"/>
          <w:kern w:val="44"/>
        </w:rPr>
      </w:pPr>
      <w:r>
        <w:rPr>
          <w:rFonts w:hint="eastAsia" w:ascii="宋体" w:hAnsi="宋体"/>
          <w:b/>
          <w:kern w:val="44"/>
        </w:rPr>
        <w:t>第五十二条</w:t>
      </w:r>
      <w:r>
        <w:rPr>
          <w:rFonts w:hint="eastAsia" w:ascii="宋体" w:hAnsi="宋体"/>
          <w:kern w:val="44"/>
        </w:rPr>
        <w:t>　本办法自2010年3月1日起施行。</w:t>
      </w:r>
    </w:p>
    <w:p w14:paraId="23EC4CA7">
      <w:pPr>
        <w:pStyle w:val="4"/>
        <w:pageBreakBefore/>
        <w:rPr>
          <w:kern w:val="44"/>
        </w:rPr>
      </w:pPr>
      <w:bookmarkStart w:id="1101" w:name="_Toc427651576"/>
      <w:bookmarkStart w:id="1102" w:name="_Toc428780142"/>
      <w:bookmarkStart w:id="1103" w:name="_Toc427651918"/>
      <w:bookmarkStart w:id="1104" w:name="_Toc422471293"/>
      <w:bookmarkStart w:id="1105" w:name="_Toc428781624"/>
      <w:r>
        <w:rPr>
          <w:rFonts w:hint="eastAsia"/>
          <w:kern w:val="44"/>
        </w:rPr>
        <w:t>北京市农业机械化促进条例</w:t>
      </w:r>
      <w:bookmarkEnd w:id="1101"/>
      <w:bookmarkEnd w:id="1102"/>
      <w:bookmarkEnd w:id="1103"/>
      <w:bookmarkEnd w:id="1104"/>
      <w:bookmarkEnd w:id="1105"/>
    </w:p>
    <w:p w14:paraId="67947A04">
      <w:pPr>
        <w:ind w:left="630" w:leftChars="300" w:right="630" w:rightChars="300"/>
        <w:jc w:val="left"/>
        <w:rPr>
          <w:rFonts w:ascii="楷体" w:hAnsi="楷体" w:eastAsia="楷体"/>
          <w:kern w:val="44"/>
        </w:rPr>
      </w:pPr>
      <w:r>
        <w:rPr>
          <w:rFonts w:hint="eastAsia" w:ascii="楷体" w:hAnsi="楷体" w:eastAsia="楷体"/>
          <w:kern w:val="44"/>
        </w:rPr>
        <w:t>（2010年12月23日北京市第十三届人民代表大会常务委员会第二十二次会议通过）</w:t>
      </w:r>
    </w:p>
    <w:p w14:paraId="3F1D9B97">
      <w:pPr>
        <w:jc w:val="left"/>
        <w:rPr>
          <w:rFonts w:ascii="宋体" w:hAnsi="宋体"/>
          <w:kern w:val="44"/>
        </w:rPr>
      </w:pPr>
    </w:p>
    <w:p w14:paraId="35EB4A56">
      <w:pPr>
        <w:ind w:firstLine="0" w:firstLineChars="0"/>
        <w:jc w:val="center"/>
        <w:rPr>
          <w:rFonts w:ascii="宋体" w:hAnsi="宋体"/>
          <w:b/>
          <w:kern w:val="44"/>
          <w:sz w:val="28"/>
        </w:rPr>
      </w:pPr>
      <w:r>
        <w:rPr>
          <w:rFonts w:hint="eastAsia" w:ascii="宋体" w:hAnsi="宋体"/>
          <w:b/>
          <w:kern w:val="44"/>
          <w:sz w:val="28"/>
        </w:rPr>
        <w:t>第一章　总　则</w:t>
      </w:r>
    </w:p>
    <w:p w14:paraId="37A34435">
      <w:pPr>
        <w:jc w:val="left"/>
        <w:rPr>
          <w:rFonts w:ascii="宋体" w:hAnsi="宋体"/>
          <w:kern w:val="44"/>
        </w:rPr>
      </w:pPr>
    </w:p>
    <w:p w14:paraId="1EFF158C">
      <w:pPr>
        <w:ind w:firstLine="422"/>
        <w:jc w:val="left"/>
        <w:rPr>
          <w:rFonts w:ascii="宋体" w:hAnsi="宋体"/>
          <w:kern w:val="44"/>
        </w:rPr>
      </w:pPr>
      <w:r>
        <w:rPr>
          <w:rFonts w:hint="eastAsia" w:ascii="宋体" w:hAnsi="宋体"/>
          <w:b/>
          <w:kern w:val="44"/>
        </w:rPr>
        <w:t>第一条</w:t>
      </w:r>
      <w:r>
        <w:rPr>
          <w:rFonts w:hint="eastAsia" w:ascii="宋体" w:hAnsi="宋体"/>
          <w:kern w:val="44"/>
        </w:rPr>
        <w:t>　为了鼓励、扶持农民和农业生产经营组织使用先进适用的农业机械，促进本市农业机械化，建设都市型现代农业，根据《中华人民共和国农业机械化促进法》，结合本市实际情况，制定本条例。</w:t>
      </w:r>
    </w:p>
    <w:p w14:paraId="1803F891">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本条例所称农业机械化，是指运用先进适用的农业机械装备农业，改善农业生产经营条件，不断提高农业的生产技术水平和经济效益、生态效益的过程。</w:t>
      </w:r>
    </w:p>
    <w:p w14:paraId="4DC30E53">
      <w:pPr>
        <w:jc w:val="left"/>
        <w:rPr>
          <w:rFonts w:ascii="宋体" w:hAnsi="宋体"/>
          <w:kern w:val="44"/>
        </w:rPr>
      </w:pPr>
      <w:r>
        <w:rPr>
          <w:rFonts w:hint="eastAsia" w:ascii="宋体" w:hAnsi="宋体"/>
          <w:kern w:val="44"/>
        </w:rPr>
        <w:t>本条例所称农业机械，是指用于农业生产及其产品初加工等相关农事活动的机械、设备。</w:t>
      </w:r>
    </w:p>
    <w:p w14:paraId="032965D7">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人民政府应当加强对农业机械化工作的领导，将推进农业机械化纳入国民经济和社会发展规划，确定农业机械化发展目标，加大政策扶持和资金投入，充分发挥市场机制的作用，按照因地制宜、经济有效、保障安全、保护环境的原则，促进农业机械化的发展。</w:t>
      </w:r>
    </w:p>
    <w:p w14:paraId="021DA488">
      <w:pPr>
        <w:jc w:val="left"/>
        <w:rPr>
          <w:rFonts w:ascii="宋体" w:hAnsi="宋体"/>
          <w:kern w:val="44"/>
        </w:rPr>
      </w:pPr>
      <w:r>
        <w:rPr>
          <w:rFonts w:hint="eastAsia" w:ascii="宋体" w:hAnsi="宋体"/>
          <w:kern w:val="44"/>
        </w:rPr>
        <w:t>乡、镇人民政府负责本行政区域内农业机械化工作，做好对农民和农业生产经营组织的服务和指导，确定专门人员开展促进农业机械化的具体工作。</w:t>
      </w:r>
    </w:p>
    <w:p w14:paraId="3CFFED49">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市和区、县人民政府农业机械化主管部门（以下简称市和区、县农业机械化主管部门）负责本行政区域的农业机械化促进和农业机械安全监督管理工作。</w:t>
      </w:r>
    </w:p>
    <w:p w14:paraId="0A9A36EF">
      <w:pPr>
        <w:jc w:val="left"/>
        <w:rPr>
          <w:rFonts w:ascii="宋体" w:hAnsi="宋体"/>
          <w:kern w:val="44"/>
        </w:rPr>
      </w:pPr>
      <w:r>
        <w:rPr>
          <w:rFonts w:hint="eastAsia" w:ascii="宋体" w:hAnsi="宋体"/>
          <w:kern w:val="44"/>
        </w:rPr>
        <w:t>市和区、县人民政府有关部门应当按照各自的职责分工，共同做好农业机械化促进和农业机械安全监督管理工作。</w:t>
      </w:r>
    </w:p>
    <w:p w14:paraId="504743F8">
      <w:pPr>
        <w:ind w:firstLine="422"/>
        <w:jc w:val="left"/>
        <w:rPr>
          <w:rFonts w:ascii="宋体" w:hAnsi="宋体"/>
          <w:kern w:val="44"/>
        </w:rPr>
      </w:pPr>
      <w:r>
        <w:rPr>
          <w:rFonts w:hint="eastAsia" w:ascii="宋体" w:hAnsi="宋体"/>
          <w:b/>
          <w:kern w:val="44"/>
        </w:rPr>
        <w:t>第五条</w:t>
      </w:r>
      <w:r>
        <w:rPr>
          <w:rFonts w:hint="eastAsia" w:ascii="宋体" w:hAnsi="宋体"/>
          <w:kern w:val="44"/>
        </w:rPr>
        <w:t>　鼓励和支持开发、推广先进适用、安全可靠、节能环保的农业机械。</w:t>
      </w:r>
    </w:p>
    <w:p w14:paraId="387FCC2A">
      <w:pPr>
        <w:jc w:val="left"/>
        <w:rPr>
          <w:rFonts w:ascii="宋体" w:hAnsi="宋体"/>
          <w:kern w:val="44"/>
        </w:rPr>
      </w:pPr>
      <w:r>
        <w:rPr>
          <w:rFonts w:hint="eastAsia" w:ascii="宋体" w:hAnsi="宋体"/>
          <w:kern w:val="44"/>
        </w:rPr>
        <w:t>从事农业机械科研开发、推广、生产、销售、维修、作业和示范基地建设的单位和个人，依法享受政府扶持、税收优惠和金融支持等政策。</w:t>
      </w:r>
    </w:p>
    <w:p w14:paraId="6CC2362A">
      <w:pPr>
        <w:jc w:val="left"/>
        <w:rPr>
          <w:rFonts w:ascii="宋体" w:hAnsi="宋体"/>
          <w:kern w:val="44"/>
        </w:rPr>
      </w:pPr>
    </w:p>
    <w:p w14:paraId="72B4BB1E">
      <w:pPr>
        <w:ind w:firstLine="0" w:firstLineChars="0"/>
        <w:jc w:val="center"/>
        <w:rPr>
          <w:rFonts w:ascii="宋体" w:hAnsi="宋体"/>
          <w:b/>
          <w:kern w:val="44"/>
          <w:sz w:val="28"/>
        </w:rPr>
      </w:pPr>
      <w:r>
        <w:rPr>
          <w:rFonts w:hint="eastAsia" w:ascii="宋体" w:hAnsi="宋体"/>
          <w:b/>
          <w:kern w:val="44"/>
          <w:sz w:val="28"/>
        </w:rPr>
        <w:t>第二章　科研开发与推广</w:t>
      </w:r>
    </w:p>
    <w:p w14:paraId="67AD9E05">
      <w:pPr>
        <w:jc w:val="left"/>
        <w:rPr>
          <w:rFonts w:ascii="宋体" w:hAnsi="宋体"/>
          <w:kern w:val="44"/>
        </w:rPr>
      </w:pPr>
    </w:p>
    <w:p w14:paraId="3AD4D4A8">
      <w:pPr>
        <w:ind w:firstLine="422"/>
        <w:jc w:val="left"/>
        <w:rPr>
          <w:rFonts w:ascii="宋体" w:hAnsi="宋体"/>
          <w:kern w:val="44"/>
        </w:rPr>
      </w:pPr>
      <w:r>
        <w:rPr>
          <w:rFonts w:hint="eastAsia" w:ascii="宋体" w:hAnsi="宋体"/>
          <w:b/>
          <w:kern w:val="44"/>
        </w:rPr>
        <w:t>第六条</w:t>
      </w:r>
      <w:r>
        <w:rPr>
          <w:rFonts w:hint="eastAsia" w:ascii="宋体" w:hAnsi="宋体"/>
          <w:kern w:val="44"/>
        </w:rPr>
        <w:t>　市人民政府及其有关部门应当组织科研机构、院校和企业，开展基础性、关键性、公益性的农业机械化技术攻关，支持开发节能减排、低碳和适应都市型现代农业发展的农业机械化新技术、新产品、新工艺。</w:t>
      </w:r>
    </w:p>
    <w:p w14:paraId="2AA96617">
      <w:pPr>
        <w:ind w:firstLine="422"/>
        <w:jc w:val="left"/>
        <w:rPr>
          <w:rFonts w:ascii="宋体" w:hAnsi="宋体"/>
          <w:kern w:val="44"/>
        </w:rPr>
      </w:pPr>
      <w:r>
        <w:rPr>
          <w:rFonts w:hint="eastAsia" w:ascii="宋体" w:hAnsi="宋体"/>
          <w:b/>
          <w:kern w:val="44"/>
        </w:rPr>
        <w:t>第七条</w:t>
      </w:r>
      <w:r>
        <w:rPr>
          <w:rFonts w:hint="eastAsia" w:ascii="宋体" w:hAnsi="宋体"/>
          <w:kern w:val="44"/>
        </w:rPr>
        <w:t>　市农业机械化主管部门根据农业发展规划和农业生产需要，组织制定本市农业机械化科研开发项目计划。科技、财政部门应当在资金安排、项目组织、创新奖励等方面对农业机械化科研开发项目的技术攻关予以支持。</w:t>
      </w:r>
    </w:p>
    <w:p w14:paraId="38AEE91C">
      <w:pPr>
        <w:ind w:firstLine="422"/>
        <w:jc w:val="left"/>
        <w:rPr>
          <w:rFonts w:ascii="宋体" w:hAnsi="宋体"/>
          <w:kern w:val="44"/>
        </w:rPr>
      </w:pPr>
      <w:r>
        <w:rPr>
          <w:rFonts w:hint="eastAsia" w:ascii="宋体" w:hAnsi="宋体"/>
          <w:b/>
          <w:kern w:val="44"/>
        </w:rPr>
        <w:t>第八条</w:t>
      </w:r>
      <w:r>
        <w:rPr>
          <w:rFonts w:hint="eastAsia" w:ascii="宋体" w:hAnsi="宋体"/>
          <w:kern w:val="44"/>
        </w:rPr>
        <w:t>　鼓励农业机械技术人员和使用者根据农业生产实际需要，开展技术改进和技术革新活动，提高农业机械化水平和农业生产效率。市和区、县农业机械化主管部门应当会同财政、科技等有关部门予以支持。</w:t>
      </w:r>
    </w:p>
    <w:p w14:paraId="4F94242F">
      <w:pPr>
        <w:ind w:firstLine="422"/>
        <w:jc w:val="left"/>
        <w:rPr>
          <w:rFonts w:ascii="宋体" w:hAnsi="宋体"/>
          <w:kern w:val="44"/>
        </w:rPr>
      </w:pPr>
      <w:r>
        <w:rPr>
          <w:rFonts w:hint="eastAsia" w:ascii="宋体" w:hAnsi="宋体"/>
          <w:b/>
          <w:kern w:val="44"/>
        </w:rPr>
        <w:t>第九条</w:t>
      </w:r>
      <w:r>
        <w:rPr>
          <w:rFonts w:hint="eastAsia" w:ascii="宋体" w:hAnsi="宋体"/>
          <w:kern w:val="44"/>
        </w:rPr>
        <w:t>　农业机械生产者或者销售者，可以委托农业机械试验鉴定机构，对其定型生产或者销售的农业机械产品进行适用性、安全性、可靠性检测，作出技术评价。</w:t>
      </w:r>
    </w:p>
    <w:p w14:paraId="6834A994">
      <w:pPr>
        <w:jc w:val="left"/>
        <w:rPr>
          <w:rFonts w:ascii="宋体" w:hAnsi="宋体"/>
          <w:kern w:val="44"/>
        </w:rPr>
      </w:pPr>
      <w:r>
        <w:rPr>
          <w:rFonts w:hint="eastAsia" w:ascii="宋体" w:hAnsi="宋体"/>
          <w:kern w:val="44"/>
        </w:rPr>
        <w:t>农业机械试验鉴定机构应当公布具有适用性、安全性、可靠性的农业机械产品的检测结果，为农民和农业生产经营组织选购先进适用农业机械提供信息。</w:t>
      </w:r>
    </w:p>
    <w:p w14:paraId="65DBA8BE">
      <w:pPr>
        <w:ind w:firstLine="422"/>
        <w:jc w:val="left"/>
        <w:rPr>
          <w:rFonts w:ascii="宋体" w:hAnsi="宋体"/>
          <w:kern w:val="44"/>
        </w:rPr>
      </w:pPr>
      <w:r>
        <w:rPr>
          <w:rFonts w:hint="eastAsia" w:ascii="宋体" w:hAnsi="宋体"/>
          <w:b/>
          <w:kern w:val="44"/>
        </w:rPr>
        <w:t>第十条</w:t>
      </w:r>
      <w:r>
        <w:rPr>
          <w:rFonts w:hint="eastAsia" w:ascii="宋体" w:hAnsi="宋体"/>
          <w:kern w:val="44"/>
        </w:rPr>
        <w:t>　市农业机械化主管部门所属的农业机械试验鉴定机构应当提供农业机械推广鉴定服务，按照国家规定受理农业机械生产者或者销售者提出的推广鉴定申请，对其定型生产或者销售的农业机械产品进行适用性、安全性、可靠性检测，如实出具试验鉴定报告。通过推广鉴定的农业机械的相关信息由市农业机械化主管部门予以公告。</w:t>
      </w:r>
    </w:p>
    <w:p w14:paraId="3974F1BC">
      <w:pPr>
        <w:ind w:firstLine="422"/>
        <w:jc w:val="left"/>
        <w:rPr>
          <w:rFonts w:ascii="宋体" w:hAnsi="宋体"/>
          <w:kern w:val="44"/>
        </w:rPr>
      </w:pPr>
      <w:r>
        <w:rPr>
          <w:rFonts w:hint="eastAsia" w:ascii="宋体" w:hAnsi="宋体"/>
          <w:b/>
          <w:kern w:val="44"/>
        </w:rPr>
        <w:t>第十一条</w:t>
      </w:r>
      <w:r>
        <w:rPr>
          <w:rFonts w:hint="eastAsia" w:ascii="宋体" w:hAnsi="宋体"/>
          <w:kern w:val="44"/>
        </w:rPr>
        <w:t>　市和区、县农业机械化主管部门应当组织制定农业机械化推广计划。农业机械化重点推广项目应当列入同级人民政府的科技发展计划。农业机械化推广工作由农业机械技术推广机构组织实施。</w:t>
      </w:r>
    </w:p>
    <w:p w14:paraId="6E29544C">
      <w:pPr>
        <w:ind w:firstLine="422"/>
        <w:jc w:val="left"/>
        <w:rPr>
          <w:rFonts w:ascii="宋体" w:hAnsi="宋体"/>
          <w:kern w:val="44"/>
        </w:rPr>
      </w:pPr>
      <w:r>
        <w:rPr>
          <w:rFonts w:hint="eastAsia" w:ascii="宋体" w:hAnsi="宋体"/>
          <w:b/>
          <w:kern w:val="44"/>
        </w:rPr>
        <w:t>第十二条</w:t>
      </w:r>
      <w:r>
        <w:rPr>
          <w:rFonts w:hint="eastAsia" w:ascii="宋体" w:hAnsi="宋体"/>
          <w:kern w:val="44"/>
        </w:rPr>
        <w:t>　市和区、县人民政府应当通过建立农业机械化示范基地，加快农业机械化新技术、新产品的引进和试验，为农民和农业生产经营组织使用先进适用的农业机械提供示范服务。</w:t>
      </w:r>
    </w:p>
    <w:p w14:paraId="573CA246">
      <w:pPr>
        <w:jc w:val="left"/>
        <w:rPr>
          <w:rFonts w:ascii="宋体" w:hAnsi="宋体"/>
          <w:kern w:val="44"/>
        </w:rPr>
      </w:pPr>
      <w:r>
        <w:rPr>
          <w:rFonts w:hint="eastAsia" w:ascii="宋体" w:hAnsi="宋体"/>
          <w:kern w:val="44"/>
        </w:rPr>
        <w:t>本市农业机械化示范基地建设标准，由市农业机械化主管部门会同有关部门制定并公布。</w:t>
      </w:r>
    </w:p>
    <w:p w14:paraId="5F4AEF2B">
      <w:pPr>
        <w:ind w:firstLine="422"/>
        <w:jc w:val="left"/>
        <w:rPr>
          <w:rFonts w:ascii="宋体" w:hAnsi="宋体"/>
          <w:kern w:val="44"/>
        </w:rPr>
      </w:pPr>
      <w:r>
        <w:rPr>
          <w:rFonts w:hint="eastAsia" w:ascii="宋体" w:hAnsi="宋体"/>
          <w:b/>
          <w:kern w:val="44"/>
        </w:rPr>
        <w:t>第十三条</w:t>
      </w:r>
      <w:r>
        <w:rPr>
          <w:rFonts w:hint="eastAsia" w:ascii="宋体" w:hAnsi="宋体"/>
          <w:kern w:val="44"/>
        </w:rPr>
        <w:t>　支持在本市举办农业机械化高科技产品展览会、演示会或者技术交流研讨活动。</w:t>
      </w:r>
    </w:p>
    <w:p w14:paraId="6EFBA047">
      <w:pPr>
        <w:jc w:val="left"/>
        <w:rPr>
          <w:rFonts w:ascii="宋体" w:hAnsi="宋体"/>
          <w:kern w:val="44"/>
        </w:rPr>
      </w:pPr>
    </w:p>
    <w:p w14:paraId="0D8B50C4">
      <w:pPr>
        <w:ind w:firstLine="0" w:firstLineChars="0"/>
        <w:jc w:val="center"/>
        <w:rPr>
          <w:rFonts w:ascii="宋体" w:hAnsi="宋体"/>
          <w:b/>
          <w:kern w:val="44"/>
          <w:sz w:val="28"/>
        </w:rPr>
      </w:pPr>
      <w:r>
        <w:rPr>
          <w:rFonts w:hint="eastAsia" w:ascii="宋体" w:hAnsi="宋体"/>
          <w:b/>
          <w:kern w:val="44"/>
          <w:sz w:val="28"/>
        </w:rPr>
        <w:t>第三章　质量保障</w:t>
      </w:r>
    </w:p>
    <w:p w14:paraId="72EF24C5">
      <w:pPr>
        <w:jc w:val="left"/>
        <w:rPr>
          <w:rFonts w:ascii="宋体" w:hAnsi="宋体"/>
          <w:kern w:val="44"/>
        </w:rPr>
      </w:pPr>
    </w:p>
    <w:p w14:paraId="1C5F55BB">
      <w:pPr>
        <w:ind w:firstLine="422"/>
        <w:jc w:val="left"/>
        <w:rPr>
          <w:rFonts w:ascii="宋体" w:hAnsi="宋体"/>
          <w:kern w:val="44"/>
        </w:rPr>
      </w:pPr>
      <w:r>
        <w:rPr>
          <w:rFonts w:hint="eastAsia" w:ascii="宋体" w:hAnsi="宋体"/>
          <w:b/>
          <w:kern w:val="44"/>
        </w:rPr>
        <w:t>第十四条</w:t>
      </w:r>
      <w:r>
        <w:rPr>
          <w:rFonts w:hint="eastAsia" w:ascii="宋体" w:hAnsi="宋体"/>
          <w:kern w:val="44"/>
        </w:rPr>
        <w:t>　农业机械生产者、维修者、作业者应当执行农业机械产品质量、维修质量和作业质量的国家标准或者行业标准。</w:t>
      </w:r>
    </w:p>
    <w:p w14:paraId="24FE6F49">
      <w:pPr>
        <w:jc w:val="left"/>
        <w:rPr>
          <w:rFonts w:ascii="宋体" w:hAnsi="宋体"/>
          <w:kern w:val="44"/>
        </w:rPr>
      </w:pPr>
      <w:r>
        <w:rPr>
          <w:rFonts w:hint="eastAsia" w:ascii="宋体" w:hAnsi="宋体"/>
          <w:kern w:val="44"/>
        </w:rPr>
        <w:t>本市根据都市型现代农业的需要，建立和完善农业机械维修质量和作业质量标准。没有国家标准或者行业标准，又需要在本市范围内统一农业机械技术要求的，市农业机械化主管部门应当会同质量技术监督部门及时制定地方标准。</w:t>
      </w:r>
    </w:p>
    <w:p w14:paraId="127171D0">
      <w:pPr>
        <w:ind w:firstLine="422"/>
        <w:jc w:val="left"/>
        <w:rPr>
          <w:rFonts w:ascii="宋体" w:hAnsi="宋体"/>
          <w:kern w:val="44"/>
        </w:rPr>
      </w:pPr>
      <w:r>
        <w:rPr>
          <w:rFonts w:hint="eastAsia" w:ascii="宋体" w:hAnsi="宋体"/>
          <w:b/>
          <w:kern w:val="44"/>
        </w:rPr>
        <w:t>第十五条</w:t>
      </w:r>
      <w:r>
        <w:rPr>
          <w:rFonts w:hint="eastAsia" w:ascii="宋体" w:hAnsi="宋体"/>
          <w:kern w:val="44"/>
        </w:rPr>
        <w:t>　质量技术监督部门应当依法组织对农业机械产品质量的监督抽查。工商行政管理部门应当依法加强对农业机械产品市场的监督管理工作。</w:t>
      </w:r>
    </w:p>
    <w:p w14:paraId="1BE29F9D">
      <w:pPr>
        <w:jc w:val="left"/>
        <w:rPr>
          <w:rFonts w:ascii="宋体" w:hAnsi="宋体"/>
          <w:kern w:val="44"/>
        </w:rPr>
      </w:pPr>
      <w:r>
        <w:rPr>
          <w:rFonts w:hint="eastAsia" w:ascii="宋体" w:hAnsi="宋体"/>
          <w:kern w:val="44"/>
        </w:rPr>
        <w:t>市农业机械化主管部门可以根据农业机械使用者的投诉情况或者农业生产的实际需要，组织对在用的特定种类农业机械产品的适用性、安全性、可靠性和售后服务状况进行调查，并公布调查结果。</w:t>
      </w:r>
    </w:p>
    <w:p w14:paraId="2C264F2D">
      <w:pPr>
        <w:ind w:firstLine="422"/>
        <w:jc w:val="left"/>
        <w:rPr>
          <w:rFonts w:ascii="宋体" w:hAnsi="宋体"/>
          <w:kern w:val="44"/>
        </w:rPr>
      </w:pPr>
      <w:r>
        <w:rPr>
          <w:rFonts w:hint="eastAsia" w:ascii="宋体" w:hAnsi="宋体"/>
          <w:b/>
          <w:kern w:val="44"/>
        </w:rPr>
        <w:t>第十六条</w:t>
      </w:r>
      <w:r>
        <w:rPr>
          <w:rFonts w:hint="eastAsia" w:ascii="宋体" w:hAnsi="宋体"/>
          <w:kern w:val="44"/>
        </w:rPr>
        <w:t>　农业机械生产者、销售者应当对其生产、销售的农业机械产品质量负责，按照国家有关规定为使用者提供零配件供应、培训等售后服务，并承担相应的维修、更换、退货责任。</w:t>
      </w:r>
    </w:p>
    <w:p w14:paraId="3D0CAB59">
      <w:pPr>
        <w:jc w:val="left"/>
        <w:rPr>
          <w:rFonts w:ascii="宋体" w:hAnsi="宋体"/>
          <w:kern w:val="44"/>
        </w:rPr>
      </w:pPr>
      <w:r>
        <w:rPr>
          <w:rFonts w:hint="eastAsia" w:ascii="宋体" w:hAnsi="宋体"/>
          <w:kern w:val="44"/>
        </w:rPr>
        <w:t>销售、使用的农业机械产品，应当符合本市相关环保要求。</w:t>
      </w:r>
    </w:p>
    <w:p w14:paraId="4492F760">
      <w:pPr>
        <w:ind w:firstLine="422"/>
        <w:jc w:val="left"/>
        <w:rPr>
          <w:rFonts w:ascii="宋体" w:hAnsi="宋体"/>
          <w:kern w:val="44"/>
        </w:rPr>
      </w:pPr>
      <w:r>
        <w:rPr>
          <w:rFonts w:hint="eastAsia" w:ascii="宋体" w:hAnsi="宋体"/>
          <w:b/>
          <w:kern w:val="44"/>
        </w:rPr>
        <w:t>第十七条</w:t>
      </w:r>
      <w:r>
        <w:rPr>
          <w:rFonts w:hint="eastAsia" w:ascii="宋体" w:hAnsi="宋体"/>
          <w:kern w:val="44"/>
        </w:rPr>
        <w:t>　从事农业机械维修经营的，应当向当地区、县农业机械化主管部门提出申请，取得相应等级的农业机械维修技术合格证书，并依法办理工商登记手续。</w:t>
      </w:r>
    </w:p>
    <w:p w14:paraId="491550EE">
      <w:pPr>
        <w:ind w:firstLine="422"/>
        <w:jc w:val="left"/>
        <w:rPr>
          <w:rFonts w:ascii="宋体" w:hAnsi="宋体"/>
          <w:kern w:val="44"/>
        </w:rPr>
      </w:pPr>
      <w:r>
        <w:rPr>
          <w:rFonts w:hint="eastAsia" w:ascii="宋体" w:hAnsi="宋体"/>
          <w:b/>
          <w:kern w:val="44"/>
        </w:rPr>
        <w:t>第十八条</w:t>
      </w:r>
      <w:r>
        <w:rPr>
          <w:rFonts w:hint="eastAsia" w:ascii="宋体" w:hAnsi="宋体"/>
          <w:kern w:val="44"/>
        </w:rPr>
        <w:t>　农业机械维修者应当在农业机械维修技术合格证书核准的维修范围内开展业务，执行国家有关技术标准、规范，履行与用户签订的维修协议，保证维修质量；维修者应当按照国家有关规定对维修质量承担相应的责任。</w:t>
      </w:r>
    </w:p>
    <w:p w14:paraId="6FC5E09E">
      <w:pPr>
        <w:ind w:firstLine="422"/>
        <w:jc w:val="left"/>
        <w:rPr>
          <w:rFonts w:ascii="宋体" w:hAnsi="宋体"/>
          <w:kern w:val="44"/>
        </w:rPr>
      </w:pPr>
      <w:r>
        <w:rPr>
          <w:rFonts w:hint="eastAsia" w:ascii="宋体" w:hAnsi="宋体"/>
          <w:b/>
          <w:kern w:val="44"/>
        </w:rPr>
        <w:t>第十九条</w:t>
      </w:r>
      <w:r>
        <w:rPr>
          <w:rFonts w:hint="eastAsia" w:ascii="宋体" w:hAnsi="宋体"/>
          <w:kern w:val="44"/>
        </w:rPr>
        <w:t>　提供农业机械作业服务的组织或者个人，应当按照相关作业质量标准确保作业质量；没有相关作业质量标准的，当事人双方可以约定作业验收条件。</w:t>
      </w:r>
    </w:p>
    <w:p w14:paraId="30757F83">
      <w:pPr>
        <w:jc w:val="left"/>
        <w:rPr>
          <w:rFonts w:ascii="宋体" w:hAnsi="宋体"/>
          <w:kern w:val="44"/>
        </w:rPr>
      </w:pPr>
      <w:r>
        <w:rPr>
          <w:rFonts w:hint="eastAsia" w:ascii="宋体" w:hAnsi="宋体"/>
          <w:kern w:val="44"/>
        </w:rPr>
        <w:t>提供有偿农业机械作业服务的组织或者个人作业质量不符合标准或者未达到约定验收条件，造成经济损失的，应当依法赔偿。</w:t>
      </w:r>
    </w:p>
    <w:p w14:paraId="7400A292">
      <w:pPr>
        <w:ind w:firstLine="422"/>
        <w:jc w:val="left"/>
        <w:rPr>
          <w:rFonts w:ascii="宋体" w:hAnsi="宋体"/>
          <w:kern w:val="44"/>
        </w:rPr>
      </w:pPr>
      <w:r>
        <w:rPr>
          <w:rFonts w:hint="eastAsia" w:ascii="宋体" w:hAnsi="宋体"/>
          <w:b/>
          <w:kern w:val="44"/>
        </w:rPr>
        <w:t>第二十条</w:t>
      </w:r>
      <w:r>
        <w:rPr>
          <w:rFonts w:hint="eastAsia" w:ascii="宋体" w:hAnsi="宋体"/>
          <w:kern w:val="44"/>
        </w:rPr>
        <w:t>　因农业机械产品质量、维修质量和作业质量发生争议的，当事人可以协商解决；协商不成的，可以向当地区、县农业机械化主管部门或者其他有关部门申请调解，也可以直接向人民法院提起诉讼。</w:t>
      </w:r>
    </w:p>
    <w:p w14:paraId="32D13692">
      <w:pPr>
        <w:jc w:val="left"/>
        <w:rPr>
          <w:rFonts w:ascii="宋体" w:hAnsi="宋体"/>
          <w:kern w:val="44"/>
        </w:rPr>
      </w:pPr>
    </w:p>
    <w:p w14:paraId="129EAF0E">
      <w:pPr>
        <w:ind w:firstLine="0" w:firstLineChars="0"/>
        <w:jc w:val="center"/>
        <w:rPr>
          <w:rFonts w:ascii="宋体" w:hAnsi="宋体"/>
          <w:b/>
          <w:kern w:val="44"/>
          <w:sz w:val="28"/>
        </w:rPr>
      </w:pPr>
      <w:r>
        <w:rPr>
          <w:rFonts w:hint="eastAsia" w:ascii="宋体" w:hAnsi="宋体"/>
          <w:b/>
          <w:kern w:val="44"/>
          <w:sz w:val="28"/>
        </w:rPr>
        <w:t>第四章　社会化服务</w:t>
      </w:r>
    </w:p>
    <w:p w14:paraId="1277FD78">
      <w:pPr>
        <w:jc w:val="left"/>
        <w:rPr>
          <w:rFonts w:ascii="宋体" w:hAnsi="宋体"/>
          <w:kern w:val="44"/>
        </w:rPr>
      </w:pPr>
    </w:p>
    <w:p w14:paraId="623255D5">
      <w:pPr>
        <w:ind w:firstLine="422"/>
        <w:jc w:val="left"/>
        <w:rPr>
          <w:rFonts w:ascii="宋体" w:hAnsi="宋体"/>
          <w:kern w:val="44"/>
        </w:rPr>
      </w:pPr>
      <w:r>
        <w:rPr>
          <w:rFonts w:hint="eastAsia" w:ascii="宋体" w:hAnsi="宋体"/>
          <w:b/>
          <w:kern w:val="44"/>
        </w:rPr>
        <w:t>第二十一条</w:t>
      </w:r>
      <w:r>
        <w:rPr>
          <w:rFonts w:hint="eastAsia" w:ascii="宋体" w:hAnsi="宋体"/>
          <w:kern w:val="44"/>
        </w:rPr>
        <w:t>　市和区、县人民政府应当采取措施，鼓励和扶持多种形式的农业机械服务组织的发展，推进农业机械化信息网络建设，完善农业机械化服务体系。</w:t>
      </w:r>
    </w:p>
    <w:p w14:paraId="2E951213">
      <w:pPr>
        <w:jc w:val="left"/>
        <w:rPr>
          <w:rFonts w:ascii="宋体" w:hAnsi="宋体"/>
          <w:kern w:val="44"/>
        </w:rPr>
      </w:pPr>
      <w:r>
        <w:rPr>
          <w:rFonts w:hint="eastAsia" w:ascii="宋体" w:hAnsi="宋体"/>
          <w:kern w:val="44"/>
        </w:rPr>
        <w:t>农业机械服务组织可以根据农民、农业生产经营组织的需求，提供农业机械示范推广、维修、实用技术培训、信息咨询、中介等社会化服务。</w:t>
      </w:r>
    </w:p>
    <w:p w14:paraId="7F325FCE">
      <w:pPr>
        <w:ind w:firstLine="422"/>
        <w:jc w:val="left"/>
        <w:rPr>
          <w:rFonts w:ascii="宋体" w:hAnsi="宋体"/>
          <w:kern w:val="44"/>
        </w:rPr>
      </w:pPr>
      <w:r>
        <w:rPr>
          <w:rFonts w:hint="eastAsia" w:ascii="宋体" w:hAnsi="宋体"/>
          <w:b/>
          <w:kern w:val="44"/>
        </w:rPr>
        <w:t>第二十二条</w:t>
      </w:r>
      <w:r>
        <w:rPr>
          <w:rFonts w:hint="eastAsia" w:ascii="宋体" w:hAnsi="宋体"/>
          <w:kern w:val="44"/>
        </w:rPr>
        <w:t>　支持农业生产经营者通过机械、土地、资本、技术等要素进行联合，在自愿的基础上，依法设立农业机械作业服务合作社。</w:t>
      </w:r>
    </w:p>
    <w:p w14:paraId="4C3C466D">
      <w:pPr>
        <w:jc w:val="left"/>
        <w:rPr>
          <w:rFonts w:ascii="宋体" w:hAnsi="宋体"/>
          <w:kern w:val="44"/>
        </w:rPr>
      </w:pPr>
      <w:r>
        <w:rPr>
          <w:rFonts w:hint="eastAsia" w:ascii="宋体" w:hAnsi="宋体"/>
          <w:kern w:val="44"/>
        </w:rPr>
        <w:t>鼓励农民共同使用、合作经营农业机械，扩大作业规模，提高农业机械利用率和作业效率。</w:t>
      </w:r>
    </w:p>
    <w:p w14:paraId="3D2C8640">
      <w:pPr>
        <w:ind w:firstLine="422"/>
        <w:jc w:val="left"/>
        <w:rPr>
          <w:rFonts w:ascii="宋体" w:hAnsi="宋体"/>
          <w:kern w:val="44"/>
        </w:rPr>
      </w:pPr>
      <w:r>
        <w:rPr>
          <w:rFonts w:hint="eastAsia" w:ascii="宋体" w:hAnsi="宋体"/>
          <w:b/>
          <w:kern w:val="44"/>
        </w:rPr>
        <w:t>第二十三条</w:t>
      </w:r>
      <w:r>
        <w:rPr>
          <w:rFonts w:hint="eastAsia" w:ascii="宋体" w:hAnsi="宋体"/>
          <w:kern w:val="44"/>
        </w:rPr>
        <w:t>　市农业机械化主管部门应当建立全市统一的农业机械化信息服务平台，健全信息搜集、发布制度，为单位和个人购买、使用、租赁、流转、维修农业机械和跨行政区域作业提供信息服务。</w:t>
      </w:r>
    </w:p>
    <w:p w14:paraId="48FBB278">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市和区、县农业机械化主管部门应当为农业机械跨行政区域作业做好服务工作，提供作业信息，维护作业秩序，依法实施安全监督管理。</w:t>
      </w:r>
    </w:p>
    <w:p w14:paraId="3CF21909">
      <w:pPr>
        <w:jc w:val="left"/>
        <w:rPr>
          <w:rFonts w:ascii="宋体" w:hAnsi="宋体"/>
          <w:kern w:val="44"/>
        </w:rPr>
      </w:pPr>
      <w:r>
        <w:rPr>
          <w:rFonts w:hint="eastAsia" w:ascii="宋体" w:hAnsi="宋体"/>
          <w:kern w:val="44"/>
        </w:rPr>
        <w:t>公安、交通等部门应当根据农业机械跨行政区域作业实际需要，采取有效措施，合理安排跨行政区域作业的农业机械运行时间和路线，并提供相关保障和服务。</w:t>
      </w:r>
    </w:p>
    <w:p w14:paraId="6F07C42D">
      <w:pPr>
        <w:ind w:firstLine="422"/>
        <w:jc w:val="left"/>
        <w:rPr>
          <w:rFonts w:ascii="宋体" w:hAnsi="宋体"/>
          <w:kern w:val="44"/>
        </w:rPr>
      </w:pPr>
      <w:r>
        <w:rPr>
          <w:rFonts w:hint="eastAsia" w:ascii="宋体" w:hAnsi="宋体"/>
          <w:b/>
          <w:kern w:val="44"/>
        </w:rPr>
        <w:t>第二十五条</w:t>
      </w:r>
      <w:r>
        <w:rPr>
          <w:rFonts w:hint="eastAsia" w:ascii="宋体" w:hAnsi="宋体"/>
          <w:kern w:val="44"/>
        </w:rPr>
        <w:t>　市和区、县农业机械化主管部门应当组织农业机械技术推广机构和农业机械化学校，结合本地区农业生产实际，开展农业机械推广和科普宣传活动，做好农业机械化从业人员的培训和继续教育工作，提高农民对先进生产工具及技术的接受能力和安全操作水平。</w:t>
      </w:r>
    </w:p>
    <w:p w14:paraId="1A6D3A33">
      <w:pPr>
        <w:ind w:firstLine="422"/>
        <w:jc w:val="left"/>
        <w:rPr>
          <w:rFonts w:ascii="宋体" w:hAnsi="宋体"/>
          <w:kern w:val="44"/>
        </w:rPr>
      </w:pPr>
      <w:r>
        <w:rPr>
          <w:rFonts w:hint="eastAsia" w:ascii="宋体" w:hAnsi="宋体"/>
          <w:b/>
          <w:kern w:val="44"/>
        </w:rPr>
        <w:t>第二十六条</w:t>
      </w:r>
      <w:r>
        <w:rPr>
          <w:rFonts w:hint="eastAsia" w:ascii="宋体" w:hAnsi="宋体"/>
          <w:kern w:val="44"/>
        </w:rPr>
        <w:t>　鼓励有关高等院校、中等职业学校和培训机构通过远程教育、现场观摩、广播网络等多种形式，开展农业机械化专业人才和农业机械作业、维修、管理等高技术人员培养工作。</w:t>
      </w:r>
    </w:p>
    <w:p w14:paraId="7E549AAE">
      <w:pPr>
        <w:ind w:firstLine="422"/>
        <w:jc w:val="left"/>
        <w:rPr>
          <w:rFonts w:ascii="宋体" w:hAnsi="宋体"/>
          <w:kern w:val="44"/>
        </w:rPr>
      </w:pPr>
      <w:r>
        <w:rPr>
          <w:rFonts w:hint="eastAsia" w:ascii="宋体" w:hAnsi="宋体"/>
          <w:b/>
          <w:kern w:val="44"/>
        </w:rPr>
        <w:t>第二十七条</w:t>
      </w:r>
      <w:r>
        <w:rPr>
          <w:rFonts w:hint="eastAsia" w:ascii="宋体" w:hAnsi="宋体"/>
          <w:kern w:val="44"/>
        </w:rPr>
        <w:t>　农业机械生产者、销售者、维修者可以依法自愿成立行业协会，实行行业自律。</w:t>
      </w:r>
    </w:p>
    <w:p w14:paraId="786A0F80">
      <w:pPr>
        <w:jc w:val="left"/>
        <w:rPr>
          <w:rFonts w:ascii="宋体" w:hAnsi="宋体"/>
          <w:kern w:val="44"/>
        </w:rPr>
      </w:pPr>
      <w:r>
        <w:rPr>
          <w:rFonts w:hint="eastAsia" w:ascii="宋体" w:hAnsi="宋体"/>
          <w:kern w:val="44"/>
        </w:rPr>
        <w:t>行业协会应当为成员提供农业机械化的相关信息咨询、技术指导、市场营销、宣传培训等服务，维护成员和行业的合法权益。</w:t>
      </w:r>
    </w:p>
    <w:p w14:paraId="70DF3762">
      <w:pPr>
        <w:jc w:val="left"/>
        <w:rPr>
          <w:rFonts w:ascii="宋体" w:hAnsi="宋体"/>
          <w:kern w:val="44"/>
        </w:rPr>
      </w:pPr>
    </w:p>
    <w:p w14:paraId="53DC67EE">
      <w:pPr>
        <w:ind w:firstLine="0" w:firstLineChars="0"/>
        <w:jc w:val="center"/>
        <w:rPr>
          <w:rFonts w:hint="eastAsia" w:ascii="宋体" w:hAnsi="宋体"/>
          <w:b/>
          <w:kern w:val="44"/>
          <w:sz w:val="28"/>
        </w:rPr>
      </w:pPr>
    </w:p>
    <w:p w14:paraId="7986EA2C">
      <w:pPr>
        <w:ind w:firstLine="0" w:firstLineChars="0"/>
        <w:jc w:val="center"/>
        <w:rPr>
          <w:rFonts w:ascii="宋体" w:hAnsi="宋体"/>
          <w:b/>
          <w:kern w:val="44"/>
          <w:sz w:val="28"/>
        </w:rPr>
      </w:pPr>
      <w:r>
        <w:rPr>
          <w:rFonts w:hint="eastAsia" w:ascii="宋体" w:hAnsi="宋体"/>
          <w:b/>
          <w:kern w:val="44"/>
          <w:sz w:val="28"/>
        </w:rPr>
        <w:t>第五章　扶持措施</w:t>
      </w:r>
    </w:p>
    <w:p w14:paraId="34021AC1">
      <w:pPr>
        <w:jc w:val="left"/>
        <w:rPr>
          <w:rFonts w:ascii="宋体" w:hAnsi="宋体"/>
          <w:kern w:val="44"/>
        </w:rPr>
      </w:pPr>
    </w:p>
    <w:p w14:paraId="0C4D2235">
      <w:pPr>
        <w:ind w:firstLine="422"/>
        <w:jc w:val="left"/>
        <w:rPr>
          <w:rFonts w:ascii="宋体" w:hAnsi="宋体"/>
          <w:kern w:val="44"/>
        </w:rPr>
      </w:pPr>
      <w:r>
        <w:rPr>
          <w:rFonts w:hint="eastAsia" w:ascii="宋体" w:hAnsi="宋体"/>
          <w:b/>
          <w:kern w:val="44"/>
        </w:rPr>
        <w:t>第二十八条</w:t>
      </w:r>
      <w:r>
        <w:rPr>
          <w:rFonts w:hint="eastAsia" w:ascii="宋体" w:hAnsi="宋体"/>
          <w:kern w:val="44"/>
        </w:rPr>
        <w:t>　市和区、县人民政府应当安排资金，用于下列农业机械化发展相关事项：</w:t>
      </w:r>
    </w:p>
    <w:p w14:paraId="5E4EEB55">
      <w:pPr>
        <w:jc w:val="left"/>
        <w:rPr>
          <w:rFonts w:ascii="宋体" w:hAnsi="宋体"/>
          <w:kern w:val="44"/>
        </w:rPr>
      </w:pPr>
      <w:r>
        <w:rPr>
          <w:rFonts w:hint="eastAsia" w:ascii="宋体" w:hAnsi="宋体"/>
          <w:kern w:val="44"/>
        </w:rPr>
        <w:t>（一）农业机械科研开发与推广；</w:t>
      </w:r>
    </w:p>
    <w:p w14:paraId="0432ADA1">
      <w:pPr>
        <w:jc w:val="left"/>
        <w:rPr>
          <w:rFonts w:ascii="宋体" w:hAnsi="宋体"/>
          <w:kern w:val="44"/>
        </w:rPr>
      </w:pPr>
      <w:r>
        <w:rPr>
          <w:rFonts w:hint="eastAsia" w:ascii="宋体" w:hAnsi="宋体"/>
          <w:kern w:val="44"/>
        </w:rPr>
        <w:t>（二）农业机械化从业人员教育培训；</w:t>
      </w:r>
    </w:p>
    <w:p w14:paraId="4846F903">
      <w:pPr>
        <w:jc w:val="left"/>
        <w:rPr>
          <w:rFonts w:ascii="宋体" w:hAnsi="宋体"/>
          <w:kern w:val="44"/>
        </w:rPr>
      </w:pPr>
      <w:r>
        <w:rPr>
          <w:rFonts w:hint="eastAsia" w:ascii="宋体" w:hAnsi="宋体"/>
          <w:kern w:val="44"/>
        </w:rPr>
        <w:t>（三）农业机械购置补贴和贷款贴息；</w:t>
      </w:r>
    </w:p>
    <w:p w14:paraId="3E4D8F96">
      <w:pPr>
        <w:jc w:val="left"/>
        <w:rPr>
          <w:rFonts w:ascii="宋体" w:hAnsi="宋体"/>
          <w:kern w:val="44"/>
        </w:rPr>
      </w:pPr>
      <w:r>
        <w:rPr>
          <w:rFonts w:hint="eastAsia" w:ascii="宋体" w:hAnsi="宋体"/>
          <w:kern w:val="44"/>
        </w:rPr>
        <w:t>（四）农业机械生产作业用燃油补贴；</w:t>
      </w:r>
    </w:p>
    <w:p w14:paraId="1D479F60">
      <w:pPr>
        <w:jc w:val="left"/>
        <w:rPr>
          <w:rFonts w:ascii="宋体" w:hAnsi="宋体"/>
          <w:kern w:val="44"/>
        </w:rPr>
      </w:pPr>
      <w:r>
        <w:rPr>
          <w:rFonts w:hint="eastAsia" w:ascii="宋体" w:hAnsi="宋体"/>
          <w:kern w:val="44"/>
        </w:rPr>
        <w:t>（五）农业机械维修服务体系建设；</w:t>
      </w:r>
    </w:p>
    <w:p w14:paraId="6857BA76">
      <w:pPr>
        <w:jc w:val="left"/>
        <w:rPr>
          <w:rFonts w:ascii="宋体" w:hAnsi="宋体"/>
          <w:kern w:val="44"/>
        </w:rPr>
      </w:pPr>
      <w:r>
        <w:rPr>
          <w:rFonts w:hint="eastAsia" w:ascii="宋体" w:hAnsi="宋体"/>
          <w:kern w:val="44"/>
        </w:rPr>
        <w:t>（六）农业机械化基础设施建设；</w:t>
      </w:r>
    </w:p>
    <w:p w14:paraId="108B27F7">
      <w:pPr>
        <w:jc w:val="left"/>
        <w:rPr>
          <w:rFonts w:ascii="宋体" w:hAnsi="宋体"/>
          <w:kern w:val="44"/>
        </w:rPr>
      </w:pPr>
      <w:r>
        <w:rPr>
          <w:rFonts w:hint="eastAsia" w:ascii="宋体" w:hAnsi="宋体"/>
          <w:kern w:val="44"/>
        </w:rPr>
        <w:t>（七）其他促进农业机械化发展的事项。</w:t>
      </w:r>
    </w:p>
    <w:p w14:paraId="59F5158E">
      <w:pPr>
        <w:jc w:val="left"/>
        <w:rPr>
          <w:rFonts w:ascii="宋体" w:hAnsi="宋体"/>
          <w:kern w:val="44"/>
        </w:rPr>
      </w:pPr>
      <w:r>
        <w:rPr>
          <w:rFonts w:hint="eastAsia" w:ascii="宋体" w:hAnsi="宋体"/>
          <w:kern w:val="44"/>
        </w:rPr>
        <w:t>市和区、县人民政府应当加强对农业机械化扶持资金使用情况的监督。</w:t>
      </w:r>
    </w:p>
    <w:p w14:paraId="687A7AA0">
      <w:pPr>
        <w:ind w:firstLine="422"/>
        <w:jc w:val="left"/>
        <w:rPr>
          <w:rFonts w:ascii="宋体" w:hAnsi="宋体"/>
          <w:kern w:val="44"/>
        </w:rPr>
      </w:pPr>
      <w:r>
        <w:rPr>
          <w:rFonts w:hint="eastAsia" w:ascii="宋体" w:hAnsi="宋体"/>
          <w:b/>
          <w:kern w:val="44"/>
        </w:rPr>
        <w:t>第二十九条</w:t>
      </w:r>
      <w:r>
        <w:rPr>
          <w:rFonts w:hint="eastAsia" w:ascii="宋体" w:hAnsi="宋体"/>
          <w:kern w:val="44"/>
        </w:rPr>
        <w:t>　鼓励和支持农业机械生产者增加新技术、新产品、新工艺的研究开发投入。农业机械的科研开发和生产活动，依法享受税收优惠。</w:t>
      </w:r>
    </w:p>
    <w:p w14:paraId="2646FC23">
      <w:pPr>
        <w:ind w:firstLine="422"/>
        <w:jc w:val="left"/>
        <w:rPr>
          <w:rFonts w:ascii="宋体" w:hAnsi="宋体"/>
          <w:kern w:val="44"/>
        </w:rPr>
      </w:pPr>
      <w:r>
        <w:rPr>
          <w:rFonts w:hint="eastAsia" w:ascii="宋体" w:hAnsi="宋体"/>
          <w:b/>
          <w:kern w:val="44"/>
        </w:rPr>
        <w:t>第三十条</w:t>
      </w:r>
      <w:r>
        <w:rPr>
          <w:rFonts w:hint="eastAsia" w:ascii="宋体" w:hAnsi="宋体"/>
          <w:kern w:val="44"/>
        </w:rPr>
        <w:t>　鼓励农民和农业生产经营组织购买先进适用的农业机械。市农业机械化主管部门会同财政部门，按照国家有关规定制定并公布本市农业机械购置补贴的产品目录。</w:t>
      </w:r>
    </w:p>
    <w:p w14:paraId="0853FD55">
      <w:pPr>
        <w:jc w:val="left"/>
        <w:rPr>
          <w:rFonts w:ascii="宋体" w:hAnsi="宋体"/>
          <w:kern w:val="44"/>
        </w:rPr>
      </w:pPr>
      <w:r>
        <w:rPr>
          <w:rFonts w:hint="eastAsia" w:ascii="宋体" w:hAnsi="宋体"/>
          <w:kern w:val="44"/>
        </w:rPr>
        <w:t>具有较大规模的农业机械作业服务合作社及其他农业机械作业服务组织购买农业机械产品，可以按照有关规定享受扶持政策。</w:t>
      </w:r>
    </w:p>
    <w:p w14:paraId="0FB41BE4">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市和区、县农业机械化主管部门应当组织有关部门和燃油供应单位采取措施，对季节性农业机械生产作业用燃油优先予以保障。</w:t>
      </w:r>
    </w:p>
    <w:p w14:paraId="0BC9DF3C">
      <w:pPr>
        <w:ind w:firstLine="422"/>
        <w:jc w:val="left"/>
        <w:rPr>
          <w:rFonts w:ascii="宋体" w:hAnsi="宋体"/>
          <w:kern w:val="44"/>
        </w:rPr>
      </w:pPr>
      <w:r>
        <w:rPr>
          <w:rFonts w:hint="eastAsia" w:ascii="宋体" w:hAnsi="宋体"/>
          <w:b/>
          <w:kern w:val="44"/>
        </w:rPr>
        <w:t>第三十二条</w:t>
      </w:r>
      <w:r>
        <w:rPr>
          <w:rFonts w:hint="eastAsia" w:ascii="宋体" w:hAnsi="宋体"/>
          <w:kern w:val="44"/>
        </w:rPr>
        <w:t>　政策性金融机构应当采取多种形式为农民和农业机械作业服务组织购买先进适用的农业机械提供信贷服务，扩大购置农业机械信贷规模，加大扶持力度。</w:t>
      </w:r>
    </w:p>
    <w:p w14:paraId="3EA3FF48">
      <w:pPr>
        <w:jc w:val="left"/>
        <w:rPr>
          <w:rFonts w:ascii="宋体" w:hAnsi="宋体"/>
          <w:kern w:val="44"/>
        </w:rPr>
      </w:pPr>
      <w:r>
        <w:rPr>
          <w:rFonts w:hint="eastAsia" w:ascii="宋体" w:hAnsi="宋体"/>
          <w:kern w:val="44"/>
        </w:rPr>
        <w:t>鼓励商业性金融机构开展购置农业机械信贷服务，对农民和农业机械作业服务组织提供资金支持。</w:t>
      </w:r>
    </w:p>
    <w:p w14:paraId="79703C67">
      <w:pPr>
        <w:ind w:firstLine="422"/>
        <w:jc w:val="left"/>
        <w:rPr>
          <w:rFonts w:ascii="宋体" w:hAnsi="宋体"/>
          <w:kern w:val="44"/>
        </w:rPr>
      </w:pPr>
      <w:r>
        <w:rPr>
          <w:rFonts w:hint="eastAsia" w:ascii="宋体" w:hAnsi="宋体"/>
          <w:b/>
          <w:kern w:val="44"/>
        </w:rPr>
        <w:t>第三十三条</w:t>
      </w:r>
      <w:r>
        <w:rPr>
          <w:rFonts w:hint="eastAsia" w:ascii="宋体" w:hAnsi="宋体"/>
          <w:kern w:val="44"/>
        </w:rPr>
        <w:t>　建立和完善农业机械保险制度，将农业机械保险纳入本市政策性农业保险范围。</w:t>
      </w:r>
    </w:p>
    <w:p w14:paraId="09E8B185">
      <w:pPr>
        <w:jc w:val="left"/>
        <w:rPr>
          <w:rFonts w:ascii="宋体" w:hAnsi="宋体"/>
          <w:kern w:val="44"/>
        </w:rPr>
      </w:pPr>
      <w:r>
        <w:rPr>
          <w:rFonts w:hint="eastAsia" w:ascii="宋体" w:hAnsi="宋体"/>
          <w:kern w:val="44"/>
        </w:rPr>
        <w:t>鼓励各类保险机构研究开发适合本市农业机械特点的保险产品。</w:t>
      </w:r>
    </w:p>
    <w:p w14:paraId="0F51C11B">
      <w:pPr>
        <w:ind w:firstLine="422"/>
        <w:jc w:val="left"/>
        <w:rPr>
          <w:rFonts w:ascii="宋体" w:hAnsi="宋体"/>
          <w:kern w:val="44"/>
        </w:rPr>
      </w:pPr>
      <w:r>
        <w:rPr>
          <w:rFonts w:hint="eastAsia" w:ascii="宋体" w:hAnsi="宋体"/>
          <w:b/>
          <w:kern w:val="44"/>
        </w:rPr>
        <w:t>第三十四条</w:t>
      </w:r>
      <w:r>
        <w:rPr>
          <w:rFonts w:hint="eastAsia" w:ascii="宋体" w:hAnsi="宋体"/>
          <w:kern w:val="44"/>
        </w:rPr>
        <w:t>　本市各级人民政府应当采取措施，加强农村机耕道路和农业机械存放场库等农业机械化基础设施建设和维护，改善农业机械作业、通行条件。</w:t>
      </w:r>
    </w:p>
    <w:p w14:paraId="4EF95684">
      <w:pPr>
        <w:jc w:val="left"/>
        <w:rPr>
          <w:rFonts w:ascii="宋体" w:hAnsi="宋体"/>
          <w:kern w:val="44"/>
        </w:rPr>
      </w:pPr>
      <w:r>
        <w:rPr>
          <w:rFonts w:hint="eastAsia" w:ascii="宋体" w:hAnsi="宋体"/>
          <w:kern w:val="44"/>
        </w:rPr>
        <w:t>农业机械存放场库、维修保养车间等农业机械化基础设施用地，应当符合土地利用总体规划和城乡规划；未使用建筑材料硬化地面或者虽使用建筑材料但未破坏土地并易于复垦的，按照设施农用地进行管理。农业机械化基础设施用地不得挪作他用。</w:t>
      </w:r>
    </w:p>
    <w:p w14:paraId="43B0BDC7">
      <w:pPr>
        <w:jc w:val="left"/>
        <w:rPr>
          <w:rFonts w:ascii="宋体" w:hAnsi="宋体"/>
          <w:kern w:val="44"/>
        </w:rPr>
      </w:pPr>
      <w:r>
        <w:rPr>
          <w:rFonts w:hint="eastAsia" w:ascii="宋体" w:hAnsi="宋体"/>
          <w:kern w:val="44"/>
        </w:rPr>
        <w:t>村民委员会对农业机械存放场库、维修保养车间等农业机械化基础设施用地和建设，应当给予配合和支持。</w:t>
      </w:r>
    </w:p>
    <w:p w14:paraId="14D0E815">
      <w:pPr>
        <w:ind w:firstLine="422"/>
        <w:jc w:val="left"/>
        <w:rPr>
          <w:rFonts w:ascii="宋体" w:hAnsi="宋体"/>
          <w:kern w:val="44"/>
        </w:rPr>
      </w:pPr>
      <w:r>
        <w:rPr>
          <w:rFonts w:hint="eastAsia" w:ascii="宋体" w:hAnsi="宋体"/>
          <w:b/>
          <w:kern w:val="44"/>
        </w:rPr>
        <w:t>第三十五条</w:t>
      </w:r>
      <w:r>
        <w:rPr>
          <w:rFonts w:hint="eastAsia" w:ascii="宋体" w:hAnsi="宋体"/>
          <w:kern w:val="44"/>
        </w:rPr>
        <w:t>　市和区、县农业机械化主管部门应当加强农业机械维修服务体系建设，扶持社会力量及农业机械生产企业兴办农业机械维修服务站点，为农业机械的维修、保养提供便利。</w:t>
      </w:r>
    </w:p>
    <w:p w14:paraId="729F476F">
      <w:pPr>
        <w:jc w:val="left"/>
        <w:rPr>
          <w:rFonts w:ascii="宋体" w:hAnsi="宋体"/>
          <w:kern w:val="44"/>
        </w:rPr>
      </w:pPr>
      <w:r>
        <w:rPr>
          <w:rFonts w:hint="eastAsia" w:ascii="宋体" w:hAnsi="宋体"/>
          <w:kern w:val="44"/>
        </w:rPr>
        <w:t>从事农业机械维修经营活动的，依法享受税收优惠。</w:t>
      </w:r>
    </w:p>
    <w:p w14:paraId="69BCF02B">
      <w:pPr>
        <w:jc w:val="left"/>
        <w:rPr>
          <w:rFonts w:ascii="宋体" w:hAnsi="宋体"/>
          <w:kern w:val="44"/>
        </w:rPr>
      </w:pPr>
    </w:p>
    <w:p w14:paraId="7975528D">
      <w:pPr>
        <w:ind w:firstLine="0" w:firstLineChars="0"/>
        <w:jc w:val="center"/>
        <w:rPr>
          <w:rFonts w:ascii="宋体" w:hAnsi="宋体"/>
          <w:b/>
          <w:kern w:val="44"/>
          <w:sz w:val="28"/>
        </w:rPr>
      </w:pPr>
      <w:r>
        <w:rPr>
          <w:rFonts w:hint="eastAsia" w:ascii="宋体" w:hAnsi="宋体"/>
          <w:b/>
          <w:kern w:val="44"/>
          <w:sz w:val="28"/>
        </w:rPr>
        <w:t>第六章　安全监督管理</w:t>
      </w:r>
    </w:p>
    <w:p w14:paraId="14EEEEB6">
      <w:pPr>
        <w:jc w:val="left"/>
        <w:rPr>
          <w:rFonts w:ascii="宋体" w:hAnsi="宋体"/>
          <w:kern w:val="44"/>
        </w:rPr>
      </w:pPr>
    </w:p>
    <w:p w14:paraId="6C2D7C13">
      <w:pPr>
        <w:ind w:firstLine="422"/>
        <w:jc w:val="left"/>
        <w:rPr>
          <w:rFonts w:ascii="宋体" w:hAnsi="宋体"/>
          <w:kern w:val="44"/>
        </w:rPr>
      </w:pPr>
      <w:r>
        <w:rPr>
          <w:rFonts w:hint="eastAsia" w:ascii="宋体" w:hAnsi="宋体"/>
          <w:b/>
          <w:kern w:val="44"/>
        </w:rPr>
        <w:t>第三十六条</w:t>
      </w:r>
      <w:r>
        <w:rPr>
          <w:rFonts w:hint="eastAsia" w:ascii="宋体" w:hAnsi="宋体"/>
          <w:kern w:val="44"/>
        </w:rPr>
        <w:t>　本市完善农业机械安全监督管理体系，建立健全农业机械安全生产责任制。市和区、县农业机械化主管部门应当与同级安全生产、公安、工商行政管理、质量技术监督等部门建立定期通报和工作协调制度，依法做好农业机械安全监督管理工作。</w:t>
      </w:r>
    </w:p>
    <w:p w14:paraId="563B4248">
      <w:pPr>
        <w:ind w:firstLine="422"/>
        <w:jc w:val="left"/>
        <w:rPr>
          <w:rFonts w:ascii="宋体" w:hAnsi="宋体"/>
          <w:kern w:val="44"/>
        </w:rPr>
      </w:pPr>
      <w:r>
        <w:rPr>
          <w:rFonts w:hint="eastAsia" w:ascii="宋体" w:hAnsi="宋体"/>
          <w:b/>
          <w:kern w:val="44"/>
        </w:rPr>
        <w:t>第三十七条</w:t>
      </w:r>
      <w:r>
        <w:rPr>
          <w:rFonts w:hint="eastAsia" w:ascii="宋体" w:hAnsi="宋体"/>
          <w:kern w:val="44"/>
        </w:rPr>
        <w:t>　本市农业机械使用操作的安全监督管理及其行政处罚、安全事故处理，由市和区、县农业机械安全监督管理机构实施。</w:t>
      </w:r>
    </w:p>
    <w:p w14:paraId="546CC5E5">
      <w:pPr>
        <w:jc w:val="left"/>
        <w:rPr>
          <w:rFonts w:ascii="宋体" w:hAnsi="宋体"/>
          <w:kern w:val="44"/>
        </w:rPr>
      </w:pPr>
      <w:r>
        <w:rPr>
          <w:rFonts w:hint="eastAsia" w:ascii="宋体" w:hAnsi="宋体"/>
          <w:kern w:val="44"/>
        </w:rPr>
        <w:t>市和区、县农业机械安全监督管理机构应当定期对危及人身财产安全的农业机械进行免费实地安全检验。安全检验的农业机械目录及相关检验标准由市农业机械化主管部门制定。</w:t>
      </w:r>
    </w:p>
    <w:p w14:paraId="522BCA6F">
      <w:pPr>
        <w:ind w:firstLine="422"/>
        <w:jc w:val="left"/>
        <w:rPr>
          <w:rFonts w:ascii="宋体" w:hAnsi="宋体"/>
          <w:kern w:val="44"/>
        </w:rPr>
      </w:pPr>
      <w:r>
        <w:rPr>
          <w:rFonts w:hint="eastAsia" w:ascii="宋体" w:hAnsi="宋体"/>
          <w:b/>
          <w:kern w:val="44"/>
        </w:rPr>
        <w:t>第三十八条</w:t>
      </w:r>
      <w:r>
        <w:rPr>
          <w:rFonts w:hint="eastAsia" w:ascii="宋体" w:hAnsi="宋体"/>
          <w:kern w:val="44"/>
        </w:rPr>
        <w:t>　本市按照国家有关规定，实行农业机械的淘汰和报废制度，具体办法由市农业机械化主管部门会同有关部门制定。</w:t>
      </w:r>
    </w:p>
    <w:p w14:paraId="0587A2A5">
      <w:pPr>
        <w:jc w:val="left"/>
        <w:rPr>
          <w:rFonts w:ascii="宋体" w:hAnsi="宋体"/>
          <w:kern w:val="44"/>
        </w:rPr>
      </w:pPr>
      <w:r>
        <w:rPr>
          <w:rFonts w:hint="eastAsia" w:ascii="宋体" w:hAnsi="宋体"/>
          <w:kern w:val="44"/>
        </w:rPr>
        <w:t>明令淘汰和达到报废条件的农业机械应当停止使用并依法实行回收。</w:t>
      </w:r>
    </w:p>
    <w:p w14:paraId="7D81B0CF">
      <w:pPr>
        <w:jc w:val="left"/>
        <w:rPr>
          <w:rFonts w:ascii="宋体" w:hAnsi="宋体"/>
          <w:kern w:val="44"/>
        </w:rPr>
      </w:pPr>
      <w:r>
        <w:rPr>
          <w:rFonts w:hint="eastAsia" w:ascii="宋体" w:hAnsi="宋体"/>
          <w:kern w:val="44"/>
        </w:rPr>
        <w:t>市和区、县农业机械化主管部门应当监督回收单位对回收的农业机械进行解体或者销毁。</w:t>
      </w:r>
    </w:p>
    <w:p w14:paraId="4FFBDD20">
      <w:pPr>
        <w:ind w:firstLine="422"/>
        <w:jc w:val="left"/>
        <w:rPr>
          <w:rFonts w:ascii="宋体" w:hAnsi="宋体"/>
          <w:kern w:val="44"/>
        </w:rPr>
      </w:pPr>
      <w:r>
        <w:rPr>
          <w:rFonts w:hint="eastAsia" w:ascii="宋体" w:hAnsi="宋体"/>
          <w:b/>
          <w:kern w:val="44"/>
        </w:rPr>
        <w:t>第三十九条</w:t>
      </w:r>
      <w:r>
        <w:rPr>
          <w:rFonts w:hint="eastAsia" w:ascii="宋体" w:hAnsi="宋体"/>
          <w:kern w:val="44"/>
        </w:rPr>
        <w:t>　农业生产经营组织应当制定农业机械安全管理制度，定期对农业机械进行必要的安全检查，排除安全事故隐患，并对农业机械操作人员及相关人员进行农业机械安全知识教育和操作培训，提高其安全意识和安全操作技能。</w:t>
      </w:r>
    </w:p>
    <w:p w14:paraId="63DB1BF3">
      <w:pPr>
        <w:jc w:val="left"/>
        <w:rPr>
          <w:rFonts w:ascii="宋体" w:hAnsi="宋体"/>
          <w:kern w:val="44"/>
        </w:rPr>
      </w:pPr>
      <w:r>
        <w:rPr>
          <w:rFonts w:hint="eastAsia" w:ascii="宋体" w:hAnsi="宋体"/>
          <w:kern w:val="44"/>
        </w:rPr>
        <w:t>农业机械所有人不得将农业机械提供给未依法取得相应操作证件的人员操作，不得将明知存在安全事故隐患的农业机械出租、出借给他人使用。</w:t>
      </w:r>
    </w:p>
    <w:p w14:paraId="7568E444">
      <w:pPr>
        <w:ind w:firstLine="422"/>
        <w:jc w:val="left"/>
        <w:rPr>
          <w:rFonts w:ascii="宋体" w:hAnsi="宋体"/>
          <w:kern w:val="44"/>
        </w:rPr>
      </w:pPr>
      <w:r>
        <w:rPr>
          <w:rFonts w:hint="eastAsia" w:ascii="宋体" w:hAnsi="宋体"/>
          <w:b/>
          <w:kern w:val="44"/>
        </w:rPr>
        <w:t>第四十条</w:t>
      </w:r>
      <w:r>
        <w:rPr>
          <w:rFonts w:hint="eastAsia" w:ascii="宋体" w:hAnsi="宋体"/>
          <w:kern w:val="44"/>
        </w:rPr>
        <w:t>　农业机械操作人员在农业机械作业前，应当对农业机械进行安全查验；在作业过程中，应当严格执行农业机械安全生产规章制度和安全技术操作规程，正确佩戴和使用劳动防护用品。农业机械操作人员有权拒绝违章指挥和强令冒险作业。</w:t>
      </w:r>
    </w:p>
    <w:p w14:paraId="68BD0896">
      <w:pPr>
        <w:jc w:val="left"/>
        <w:rPr>
          <w:rFonts w:ascii="宋体" w:hAnsi="宋体"/>
          <w:kern w:val="44"/>
        </w:rPr>
      </w:pPr>
      <w:r>
        <w:rPr>
          <w:rFonts w:hint="eastAsia" w:ascii="宋体" w:hAnsi="宋体"/>
          <w:kern w:val="44"/>
        </w:rPr>
        <w:t>拖拉机、联合收割机操作人员及其他应当依法取得相应操作证件的农业机械操作人员，在农业机械作业过程中，应当随身携带本人合法、有效的操作证件。</w:t>
      </w:r>
    </w:p>
    <w:p w14:paraId="77174C16">
      <w:pPr>
        <w:ind w:firstLine="422"/>
        <w:jc w:val="left"/>
        <w:rPr>
          <w:rFonts w:ascii="宋体" w:hAnsi="宋体"/>
          <w:kern w:val="44"/>
        </w:rPr>
      </w:pPr>
      <w:r>
        <w:rPr>
          <w:rFonts w:hint="eastAsia" w:ascii="宋体" w:hAnsi="宋体"/>
          <w:b/>
          <w:kern w:val="44"/>
        </w:rPr>
        <w:t>第四十一条</w:t>
      </w:r>
      <w:r>
        <w:rPr>
          <w:rFonts w:hint="eastAsia" w:ascii="宋体" w:hAnsi="宋体"/>
          <w:kern w:val="44"/>
        </w:rPr>
        <w:t>　投入使用的农业机械，应当确保安全防护装置、警示标志等安全设施完好。</w:t>
      </w:r>
    </w:p>
    <w:p w14:paraId="358C6A8C">
      <w:pPr>
        <w:jc w:val="left"/>
        <w:rPr>
          <w:rFonts w:ascii="宋体" w:hAnsi="宋体"/>
          <w:kern w:val="44"/>
        </w:rPr>
      </w:pPr>
      <w:r>
        <w:rPr>
          <w:rFonts w:hint="eastAsia" w:ascii="宋体" w:hAnsi="宋体"/>
          <w:kern w:val="44"/>
        </w:rPr>
        <w:t>禁止改装、拆除农业机械安全设施。</w:t>
      </w:r>
    </w:p>
    <w:p w14:paraId="4262EF0C">
      <w:pPr>
        <w:jc w:val="left"/>
        <w:rPr>
          <w:rFonts w:ascii="宋体" w:hAnsi="宋体"/>
          <w:kern w:val="44"/>
        </w:rPr>
      </w:pPr>
    </w:p>
    <w:p w14:paraId="32C205A6">
      <w:pPr>
        <w:ind w:firstLine="0" w:firstLineChars="0"/>
        <w:jc w:val="center"/>
        <w:rPr>
          <w:rFonts w:ascii="宋体" w:hAnsi="宋体"/>
          <w:b/>
          <w:kern w:val="44"/>
          <w:sz w:val="28"/>
        </w:rPr>
      </w:pPr>
      <w:r>
        <w:rPr>
          <w:rFonts w:hint="eastAsia" w:ascii="宋体" w:hAnsi="宋体"/>
          <w:b/>
          <w:kern w:val="44"/>
          <w:sz w:val="28"/>
        </w:rPr>
        <w:t>第七章　法律责任</w:t>
      </w:r>
    </w:p>
    <w:p w14:paraId="29476130">
      <w:pPr>
        <w:jc w:val="left"/>
        <w:rPr>
          <w:rFonts w:ascii="宋体" w:hAnsi="宋体"/>
          <w:kern w:val="44"/>
        </w:rPr>
      </w:pPr>
    </w:p>
    <w:p w14:paraId="3FC5D97D">
      <w:pPr>
        <w:ind w:firstLine="422"/>
        <w:jc w:val="left"/>
        <w:rPr>
          <w:rFonts w:ascii="宋体" w:hAnsi="宋体"/>
          <w:kern w:val="44"/>
        </w:rPr>
      </w:pPr>
      <w:r>
        <w:rPr>
          <w:rFonts w:hint="eastAsia" w:ascii="宋体" w:hAnsi="宋体"/>
          <w:b/>
          <w:kern w:val="44"/>
        </w:rPr>
        <w:t>第四十二条</w:t>
      </w:r>
      <w:r>
        <w:rPr>
          <w:rFonts w:hint="eastAsia" w:ascii="宋体" w:hAnsi="宋体"/>
          <w:kern w:val="44"/>
        </w:rPr>
        <w:t>　违反本条例的行为，相关法律、行政法规对其法律责任有规定的，适用其规定；没有规定的，依照本条例规定执行。</w:t>
      </w:r>
    </w:p>
    <w:p w14:paraId="55A01CD8">
      <w:pPr>
        <w:ind w:firstLine="422"/>
        <w:jc w:val="left"/>
        <w:rPr>
          <w:rFonts w:ascii="宋体" w:hAnsi="宋体"/>
          <w:kern w:val="44"/>
        </w:rPr>
      </w:pPr>
      <w:r>
        <w:rPr>
          <w:rFonts w:hint="eastAsia" w:ascii="宋体" w:hAnsi="宋体"/>
          <w:b/>
          <w:kern w:val="44"/>
        </w:rPr>
        <w:t>第四十三条</w:t>
      </w:r>
      <w:r>
        <w:rPr>
          <w:rFonts w:hint="eastAsia" w:ascii="宋体" w:hAnsi="宋体"/>
          <w:kern w:val="44"/>
        </w:rPr>
        <w:t>　市和区、县农业机械化主管部门以及农业机械鉴定、技术推广、安全监督管理等机构工作人员，在农业机械化促进和安全监督管理工作中玩忽职守、滥用职权、徇私舞弊的，由所在单位或者上级主管部门给予行政处分；构成犯罪的，依法追究刑事责任。</w:t>
      </w:r>
    </w:p>
    <w:p w14:paraId="65ED24A0">
      <w:pPr>
        <w:ind w:firstLine="422"/>
        <w:jc w:val="left"/>
        <w:rPr>
          <w:rFonts w:ascii="宋体" w:hAnsi="宋体"/>
          <w:kern w:val="44"/>
        </w:rPr>
      </w:pPr>
      <w:r>
        <w:rPr>
          <w:rFonts w:hint="eastAsia" w:ascii="宋体" w:hAnsi="宋体"/>
          <w:b/>
          <w:kern w:val="44"/>
        </w:rPr>
        <w:t>第四十四条</w:t>
      </w:r>
      <w:r>
        <w:rPr>
          <w:rFonts w:hint="eastAsia" w:ascii="宋体" w:hAnsi="宋体"/>
          <w:kern w:val="44"/>
        </w:rPr>
        <w:t>　违反本条例第三十九条第二款规定，农业机械所有人将农业机械提供给未依法取得相应操作证件的人员操作或者将明知存在安全事故隐患的农业机械出租、出借给他人使用，导致发生农业机械安全事故的，应当依法承担相应法律责任。</w:t>
      </w:r>
    </w:p>
    <w:p w14:paraId="679A5B83">
      <w:pPr>
        <w:ind w:firstLine="422"/>
        <w:jc w:val="left"/>
        <w:rPr>
          <w:rFonts w:ascii="宋体" w:hAnsi="宋体"/>
          <w:kern w:val="44"/>
        </w:rPr>
      </w:pPr>
      <w:r>
        <w:rPr>
          <w:rFonts w:hint="eastAsia" w:ascii="宋体" w:hAnsi="宋体"/>
          <w:b/>
          <w:kern w:val="44"/>
        </w:rPr>
        <w:t>第四十五条</w:t>
      </w:r>
      <w:r>
        <w:rPr>
          <w:rFonts w:hint="eastAsia" w:ascii="宋体" w:hAnsi="宋体"/>
          <w:kern w:val="44"/>
        </w:rPr>
        <w:t>　违反本条例第四十条第二款规定，拖拉机、联合收割机操作人员及其他应当依法取得相应操作证件的农业机械操作人员，在作业过程中未随身携带本人合法、有效操作证件的，由农业机械安全监督管理机构给予警告，责令改正，可以并处50元以上100元以下罚款。</w:t>
      </w:r>
    </w:p>
    <w:p w14:paraId="7036F3D0">
      <w:pPr>
        <w:ind w:firstLine="422"/>
        <w:jc w:val="left"/>
        <w:rPr>
          <w:rFonts w:ascii="宋体" w:hAnsi="宋体"/>
          <w:kern w:val="44"/>
        </w:rPr>
      </w:pPr>
      <w:r>
        <w:rPr>
          <w:rFonts w:hint="eastAsia" w:ascii="宋体" w:hAnsi="宋体"/>
          <w:b/>
          <w:kern w:val="44"/>
        </w:rPr>
        <w:t>第四十六条</w:t>
      </w:r>
      <w:r>
        <w:rPr>
          <w:rFonts w:hint="eastAsia" w:ascii="宋体" w:hAnsi="宋体"/>
          <w:kern w:val="44"/>
        </w:rPr>
        <w:t>　违反本条例第四十一条第二款规定，改装、拆除农业机械安全设施的，由农业机械安全监督管理机构给予警告，责令限期改正；逾期不改正的，责令停止使用，并处200元以上500元以下罚款。</w:t>
      </w:r>
    </w:p>
    <w:p w14:paraId="41AE5C8D">
      <w:pPr>
        <w:jc w:val="left"/>
        <w:rPr>
          <w:rFonts w:ascii="宋体" w:hAnsi="宋体"/>
          <w:kern w:val="44"/>
        </w:rPr>
      </w:pPr>
    </w:p>
    <w:p w14:paraId="77CAA69F">
      <w:pPr>
        <w:ind w:firstLine="0" w:firstLineChars="0"/>
        <w:jc w:val="center"/>
        <w:rPr>
          <w:rFonts w:ascii="宋体" w:hAnsi="宋体"/>
          <w:b/>
          <w:kern w:val="44"/>
          <w:sz w:val="28"/>
        </w:rPr>
      </w:pPr>
      <w:r>
        <w:rPr>
          <w:rFonts w:hint="eastAsia" w:ascii="宋体" w:hAnsi="宋体"/>
          <w:b/>
          <w:kern w:val="44"/>
          <w:sz w:val="28"/>
        </w:rPr>
        <w:t>第八章　附　则</w:t>
      </w:r>
    </w:p>
    <w:p w14:paraId="5D7B1994">
      <w:pPr>
        <w:jc w:val="left"/>
        <w:rPr>
          <w:rFonts w:ascii="宋体" w:hAnsi="宋体"/>
          <w:kern w:val="44"/>
        </w:rPr>
      </w:pPr>
    </w:p>
    <w:p w14:paraId="1FB1BD88">
      <w:pPr>
        <w:ind w:firstLine="422"/>
        <w:jc w:val="left"/>
        <w:rPr>
          <w:rFonts w:ascii="宋体" w:hAnsi="宋体"/>
          <w:kern w:val="44"/>
        </w:rPr>
      </w:pPr>
      <w:r>
        <w:rPr>
          <w:rFonts w:hint="eastAsia" w:ascii="宋体" w:hAnsi="宋体"/>
          <w:b/>
          <w:kern w:val="44"/>
        </w:rPr>
        <w:t>第四十七条</w:t>
      </w:r>
      <w:r>
        <w:rPr>
          <w:rFonts w:hint="eastAsia" w:ascii="宋体" w:hAnsi="宋体"/>
          <w:kern w:val="44"/>
        </w:rPr>
        <w:t>　本条例自2011年3月1日起施行。1997年7月18日北京市第十届人民代表大会常务委员会第三十八次会议通过、2001年5月18日北京市第十一届人民代表大会常务委员会第二十六次会议修改的《北京市农业机械管理条例》同时废止。</w:t>
      </w:r>
    </w:p>
    <w:p w14:paraId="4744EACA">
      <w:pPr>
        <w:pStyle w:val="4"/>
        <w:pageBreakBefore/>
        <w:rPr>
          <w:kern w:val="44"/>
        </w:rPr>
      </w:pPr>
      <w:bookmarkStart w:id="1106" w:name="_Toc422471294"/>
      <w:bookmarkStart w:id="1107" w:name="_Toc428780143"/>
      <w:bookmarkStart w:id="1108" w:name="_Toc428781625"/>
      <w:bookmarkStart w:id="1109" w:name="_Toc427651919"/>
      <w:bookmarkStart w:id="1110" w:name="_Toc427651577"/>
      <w:r>
        <w:rPr>
          <w:rFonts w:hint="eastAsia"/>
          <w:kern w:val="44"/>
        </w:rPr>
        <w:t>北京市农业承包合同纠纷</w:t>
      </w:r>
      <w:bookmarkEnd w:id="1106"/>
      <w:bookmarkStart w:id="1111" w:name="_Toc422471295"/>
      <w:r>
        <w:rPr>
          <w:rFonts w:hint="eastAsia"/>
          <w:kern w:val="44"/>
        </w:rPr>
        <w:t>仲裁办法</w:t>
      </w:r>
      <w:bookmarkEnd w:id="1107"/>
      <w:bookmarkEnd w:id="1108"/>
      <w:bookmarkEnd w:id="1109"/>
      <w:bookmarkEnd w:id="1110"/>
      <w:bookmarkEnd w:id="1111"/>
    </w:p>
    <w:p w14:paraId="2EABC59A">
      <w:pPr>
        <w:ind w:left="630" w:leftChars="300" w:right="630" w:rightChars="300"/>
        <w:jc w:val="left"/>
        <w:rPr>
          <w:rFonts w:ascii="楷体" w:hAnsi="楷体" w:eastAsia="楷体"/>
          <w:kern w:val="44"/>
        </w:rPr>
      </w:pPr>
      <w:r>
        <w:rPr>
          <w:rFonts w:hint="eastAsia" w:ascii="楷体" w:hAnsi="楷体" w:eastAsia="楷体"/>
          <w:kern w:val="44"/>
        </w:rPr>
        <w:t>（1991年1月4日北京市人民政府批准　1991年3月1日北京市人民政府农林办公室发布　根据2007年11月23日北京市人民政府第200号令修改）</w:t>
      </w:r>
    </w:p>
    <w:p w14:paraId="0FBDBBAB">
      <w:pPr>
        <w:jc w:val="left"/>
        <w:rPr>
          <w:rFonts w:ascii="宋体" w:hAnsi="宋体"/>
          <w:kern w:val="44"/>
        </w:rPr>
      </w:pPr>
    </w:p>
    <w:p w14:paraId="379EEE61">
      <w:pPr>
        <w:ind w:firstLine="422"/>
        <w:jc w:val="left"/>
        <w:rPr>
          <w:rFonts w:ascii="宋体" w:hAnsi="宋体"/>
          <w:kern w:val="44"/>
        </w:rPr>
      </w:pPr>
      <w:r>
        <w:rPr>
          <w:rFonts w:hint="eastAsia" w:ascii="宋体" w:hAnsi="宋体"/>
          <w:b/>
          <w:kern w:val="44"/>
        </w:rPr>
        <w:t>第一条</w:t>
      </w:r>
      <w:r>
        <w:rPr>
          <w:rFonts w:hint="eastAsia" w:ascii="宋体" w:hAnsi="宋体"/>
          <w:kern w:val="44"/>
        </w:rPr>
        <w:t>　为正确、及时解决农业承包合同纠纷，维护农村集体经济组织及其成员双方的合法权益，根据《北京市农业承包合同条例》（以下简称《条例》），制定本办法。</w:t>
      </w:r>
    </w:p>
    <w:p w14:paraId="3A06D437">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本办法适用于本市行政区域内农业承包合同纠纷的仲裁。</w:t>
      </w:r>
    </w:p>
    <w:p w14:paraId="5F9641CD">
      <w:pPr>
        <w:ind w:firstLine="422"/>
        <w:jc w:val="left"/>
        <w:rPr>
          <w:rFonts w:ascii="宋体" w:hAnsi="宋体"/>
          <w:kern w:val="44"/>
        </w:rPr>
      </w:pPr>
      <w:r>
        <w:rPr>
          <w:rFonts w:hint="eastAsia" w:ascii="宋体" w:hAnsi="宋体"/>
          <w:b/>
          <w:kern w:val="44"/>
        </w:rPr>
        <w:t>第三条</w:t>
      </w:r>
      <w:r>
        <w:rPr>
          <w:rFonts w:hint="eastAsia" w:ascii="宋体" w:hAnsi="宋体"/>
          <w:kern w:val="44"/>
        </w:rPr>
        <w:t>　区、县承包合同仲裁委员会（以下简称仲裁委员会）负责本区、县承包合同纠纷的仲裁。仲裁委员会由区、县人民政府有关部门负责人组成。</w:t>
      </w:r>
    </w:p>
    <w:p w14:paraId="6E8A85D8">
      <w:pPr>
        <w:jc w:val="left"/>
        <w:rPr>
          <w:rFonts w:ascii="宋体" w:hAnsi="宋体"/>
          <w:kern w:val="44"/>
        </w:rPr>
      </w:pPr>
      <w:r>
        <w:rPr>
          <w:rFonts w:hint="eastAsia" w:ascii="宋体" w:hAnsi="宋体"/>
          <w:kern w:val="44"/>
        </w:rPr>
        <w:t>区、县农村合作经济经营管理站为仲裁委员会的日常办事机构。</w:t>
      </w:r>
    </w:p>
    <w:p w14:paraId="305B8071">
      <w:pPr>
        <w:jc w:val="left"/>
        <w:rPr>
          <w:rFonts w:ascii="宋体" w:hAnsi="宋体"/>
          <w:kern w:val="44"/>
        </w:rPr>
      </w:pPr>
      <w:r>
        <w:rPr>
          <w:rFonts w:hint="eastAsia" w:ascii="宋体" w:hAnsi="宋体"/>
          <w:kern w:val="44"/>
        </w:rPr>
        <w:t>仲裁委员会设仲裁员，办理承包合同纠纷案件。</w:t>
      </w:r>
    </w:p>
    <w:p w14:paraId="0975318F">
      <w:pPr>
        <w:ind w:firstLine="422"/>
        <w:jc w:val="left"/>
        <w:rPr>
          <w:rFonts w:ascii="宋体" w:hAnsi="宋体"/>
          <w:kern w:val="44"/>
        </w:rPr>
      </w:pPr>
      <w:r>
        <w:rPr>
          <w:rFonts w:hint="eastAsia" w:ascii="宋体" w:hAnsi="宋体"/>
          <w:b/>
          <w:kern w:val="44"/>
        </w:rPr>
        <w:t>第四条</w:t>
      </w:r>
      <w:r>
        <w:rPr>
          <w:rFonts w:hint="eastAsia" w:ascii="宋体" w:hAnsi="宋体"/>
          <w:kern w:val="44"/>
        </w:rPr>
        <w:t>　仲裁委员会仲裁承包合同纠纷，必须以事实为根据，以法律为准绳，当事人双方在适用法律上一律平等。</w:t>
      </w:r>
    </w:p>
    <w:p w14:paraId="758F1AFC">
      <w:pPr>
        <w:ind w:firstLine="422"/>
        <w:jc w:val="left"/>
        <w:rPr>
          <w:rFonts w:ascii="宋体" w:hAnsi="宋体"/>
          <w:kern w:val="44"/>
        </w:rPr>
      </w:pPr>
      <w:r>
        <w:rPr>
          <w:rFonts w:hint="eastAsia" w:ascii="宋体" w:hAnsi="宋体"/>
          <w:b/>
          <w:kern w:val="44"/>
        </w:rPr>
        <w:t>第五条</w:t>
      </w:r>
      <w:r>
        <w:rPr>
          <w:rFonts w:hint="eastAsia" w:ascii="宋体" w:hAnsi="宋体"/>
          <w:kern w:val="44"/>
        </w:rPr>
        <w:t>　仲裁承包合同纠纷，实行回避，公开处理和一次裁决制度。</w:t>
      </w:r>
    </w:p>
    <w:p w14:paraId="5B2BFBD6">
      <w:pPr>
        <w:ind w:firstLine="422"/>
        <w:jc w:val="left"/>
        <w:rPr>
          <w:rFonts w:ascii="宋体" w:hAnsi="宋体"/>
          <w:kern w:val="44"/>
        </w:rPr>
      </w:pPr>
      <w:r>
        <w:rPr>
          <w:rFonts w:hint="eastAsia" w:ascii="宋体" w:hAnsi="宋体"/>
          <w:b/>
          <w:kern w:val="44"/>
        </w:rPr>
        <w:t>第六条</w:t>
      </w:r>
      <w:r>
        <w:rPr>
          <w:rFonts w:hint="eastAsia" w:ascii="宋体" w:hAnsi="宋体"/>
          <w:kern w:val="44"/>
        </w:rPr>
        <w:t>　当事人认为仲裁员与本案有利害关系或者有其他关系可能影响公正仲裁的，有权申请其回避。</w:t>
      </w:r>
    </w:p>
    <w:p w14:paraId="59A9B79B">
      <w:pPr>
        <w:jc w:val="left"/>
        <w:rPr>
          <w:rFonts w:ascii="宋体" w:hAnsi="宋体"/>
          <w:kern w:val="44"/>
        </w:rPr>
      </w:pPr>
      <w:r>
        <w:rPr>
          <w:rFonts w:hint="eastAsia" w:ascii="宋体" w:hAnsi="宋体"/>
          <w:kern w:val="44"/>
        </w:rPr>
        <w:t>仲裁员认为自己与本案有利害关系或者其他关系，应当申请回避。</w:t>
      </w:r>
    </w:p>
    <w:p w14:paraId="2877BC85">
      <w:pPr>
        <w:jc w:val="left"/>
        <w:rPr>
          <w:rFonts w:ascii="宋体" w:hAnsi="宋体"/>
          <w:kern w:val="44"/>
        </w:rPr>
      </w:pPr>
      <w:r>
        <w:rPr>
          <w:rFonts w:hint="eastAsia" w:ascii="宋体" w:hAnsi="宋体"/>
          <w:kern w:val="44"/>
        </w:rPr>
        <w:t>仲裁员的回避，由仲裁委员会决定。</w:t>
      </w:r>
    </w:p>
    <w:p w14:paraId="61B1AC0C">
      <w:pPr>
        <w:ind w:firstLine="422"/>
        <w:jc w:val="left"/>
        <w:rPr>
          <w:rFonts w:ascii="宋体" w:hAnsi="宋体"/>
          <w:kern w:val="44"/>
        </w:rPr>
      </w:pPr>
      <w:r>
        <w:rPr>
          <w:rFonts w:hint="eastAsia" w:ascii="宋体" w:hAnsi="宋体"/>
          <w:b/>
          <w:kern w:val="44"/>
        </w:rPr>
        <w:t>第七条</w:t>
      </w:r>
      <w:r>
        <w:rPr>
          <w:rFonts w:hint="eastAsia" w:ascii="宋体" w:hAnsi="宋体"/>
          <w:kern w:val="44"/>
        </w:rPr>
        <w:t>　当事人向仲裁委员会申请仲裁，应当从其知道或者应当知道权利受侵害之日起1年内提出。</w:t>
      </w:r>
    </w:p>
    <w:p w14:paraId="208A2B04">
      <w:pPr>
        <w:ind w:firstLine="422"/>
        <w:jc w:val="left"/>
        <w:rPr>
          <w:rFonts w:ascii="宋体" w:hAnsi="宋体"/>
          <w:kern w:val="44"/>
        </w:rPr>
      </w:pPr>
      <w:r>
        <w:rPr>
          <w:rFonts w:hint="eastAsia" w:ascii="宋体" w:hAnsi="宋体"/>
          <w:b/>
          <w:kern w:val="44"/>
        </w:rPr>
        <w:t>第八条</w:t>
      </w:r>
      <w:r>
        <w:rPr>
          <w:rFonts w:hint="eastAsia" w:ascii="宋体" w:hAnsi="宋体"/>
          <w:kern w:val="44"/>
        </w:rPr>
        <w:t>　农村集体经济组织作为当事人参加仲裁，其负责人为法定代表人。</w:t>
      </w:r>
    </w:p>
    <w:p w14:paraId="55625A11">
      <w:pPr>
        <w:jc w:val="left"/>
        <w:rPr>
          <w:rFonts w:ascii="宋体" w:hAnsi="宋体"/>
          <w:kern w:val="44"/>
        </w:rPr>
      </w:pPr>
      <w:r>
        <w:rPr>
          <w:rFonts w:hint="eastAsia" w:ascii="宋体" w:hAnsi="宋体"/>
          <w:kern w:val="44"/>
        </w:rPr>
        <w:t>集体经济组织成员以家庭作为当事人参加仲裁，其户主为代表人；集体经济组织成员以专业场（队、组）作为当事人参加仲裁，应当推选1人为代表人。</w:t>
      </w:r>
    </w:p>
    <w:p w14:paraId="7DD93727">
      <w:pPr>
        <w:jc w:val="left"/>
        <w:rPr>
          <w:rFonts w:ascii="宋体" w:hAnsi="宋体"/>
          <w:kern w:val="44"/>
        </w:rPr>
      </w:pPr>
      <w:r>
        <w:rPr>
          <w:rFonts w:hint="eastAsia" w:ascii="宋体" w:hAnsi="宋体"/>
          <w:kern w:val="44"/>
        </w:rPr>
        <w:t>承包合同纠纷当事人，可以委托1至2人代理参加仲裁。委托他人代理参加仲裁的，必须向仲裁委员会提交授权委托书。授权委托书应当载明委托事项和权限。</w:t>
      </w:r>
    </w:p>
    <w:p w14:paraId="36D3577C">
      <w:pPr>
        <w:ind w:firstLine="422"/>
        <w:jc w:val="left"/>
        <w:rPr>
          <w:rFonts w:ascii="宋体" w:hAnsi="宋体"/>
          <w:kern w:val="44"/>
        </w:rPr>
      </w:pPr>
      <w:r>
        <w:rPr>
          <w:rFonts w:hint="eastAsia" w:ascii="宋体" w:hAnsi="宋体"/>
          <w:b/>
          <w:kern w:val="44"/>
        </w:rPr>
        <w:t>第九条</w:t>
      </w:r>
      <w:r>
        <w:rPr>
          <w:rFonts w:hint="eastAsia" w:ascii="宋体" w:hAnsi="宋体"/>
          <w:kern w:val="44"/>
        </w:rPr>
        <w:t>　承包合同发生纠纷，双方当事人可以通过协商解决，也可以请求村民委员会、乡（镇）人民政府调解解决。当事人不愿协商、调解或者协商、调解不成的，任何一方当事人均可以向所在地的区、县仲裁委员会申请仲裁。</w:t>
      </w:r>
    </w:p>
    <w:p w14:paraId="2819E8CC">
      <w:pPr>
        <w:ind w:firstLine="422"/>
        <w:jc w:val="left"/>
        <w:rPr>
          <w:rFonts w:ascii="宋体" w:hAnsi="宋体"/>
          <w:kern w:val="44"/>
        </w:rPr>
      </w:pPr>
      <w:r>
        <w:rPr>
          <w:rFonts w:hint="eastAsia" w:ascii="宋体" w:hAnsi="宋体"/>
          <w:b/>
          <w:kern w:val="44"/>
        </w:rPr>
        <w:t>第十条</w:t>
      </w:r>
      <w:r>
        <w:rPr>
          <w:rFonts w:hint="eastAsia" w:ascii="宋体" w:hAnsi="宋体"/>
          <w:kern w:val="44"/>
        </w:rPr>
        <w:t>　当事人申请仲裁，应当提交仲裁申请书、承包合同、鉴证书或公证书以及有关证据。仲裁委员会收到仲裁申请书后，应当在7日内做出是否受理的决定。</w:t>
      </w:r>
    </w:p>
    <w:p w14:paraId="2E759281">
      <w:pPr>
        <w:jc w:val="left"/>
        <w:rPr>
          <w:rFonts w:ascii="宋体" w:hAnsi="宋体"/>
          <w:kern w:val="44"/>
        </w:rPr>
      </w:pPr>
      <w:r>
        <w:rPr>
          <w:rFonts w:hint="eastAsia" w:ascii="宋体" w:hAnsi="宋体"/>
          <w:kern w:val="44"/>
        </w:rPr>
        <w:t>申请仲裁的一方是申诉人，被申请仲裁的一方是被诉人。</w:t>
      </w:r>
    </w:p>
    <w:p w14:paraId="1BD5A5FB">
      <w:pPr>
        <w:ind w:firstLine="422"/>
        <w:jc w:val="left"/>
        <w:rPr>
          <w:rFonts w:ascii="宋体" w:hAnsi="宋体"/>
          <w:kern w:val="44"/>
        </w:rPr>
      </w:pPr>
      <w:r>
        <w:rPr>
          <w:rFonts w:hint="eastAsia" w:ascii="宋体" w:hAnsi="宋体"/>
          <w:b/>
          <w:kern w:val="44"/>
        </w:rPr>
        <w:t>第十一条</w:t>
      </w:r>
      <w:r>
        <w:rPr>
          <w:rFonts w:hint="eastAsia" w:ascii="宋体" w:hAnsi="宋体"/>
          <w:kern w:val="44"/>
        </w:rPr>
        <w:t>　有下列情况之一的，仲裁委员会不予受理：</w:t>
      </w:r>
    </w:p>
    <w:p w14:paraId="5B97D514">
      <w:pPr>
        <w:jc w:val="left"/>
        <w:rPr>
          <w:rFonts w:ascii="宋体" w:hAnsi="宋体"/>
          <w:kern w:val="44"/>
        </w:rPr>
      </w:pPr>
      <w:r>
        <w:rPr>
          <w:rFonts w:hint="eastAsia" w:ascii="宋体" w:hAnsi="宋体"/>
          <w:kern w:val="44"/>
        </w:rPr>
        <w:t>（一）经济合同纠纷、民事纠纷等非承包合同纠纷。</w:t>
      </w:r>
    </w:p>
    <w:p w14:paraId="48AA1869">
      <w:pPr>
        <w:jc w:val="left"/>
        <w:rPr>
          <w:rFonts w:ascii="宋体" w:hAnsi="宋体"/>
          <w:kern w:val="44"/>
        </w:rPr>
      </w:pPr>
      <w:r>
        <w:rPr>
          <w:rFonts w:hint="eastAsia" w:ascii="宋体" w:hAnsi="宋体"/>
          <w:kern w:val="44"/>
        </w:rPr>
        <w:t>（二）超过时效的承包合同纠纷。</w:t>
      </w:r>
    </w:p>
    <w:p w14:paraId="1CC58B7C">
      <w:pPr>
        <w:jc w:val="left"/>
        <w:rPr>
          <w:rFonts w:ascii="宋体" w:hAnsi="宋体"/>
          <w:kern w:val="44"/>
        </w:rPr>
      </w:pPr>
      <w:r>
        <w:rPr>
          <w:rFonts w:hint="eastAsia" w:ascii="宋体" w:hAnsi="宋体"/>
          <w:kern w:val="44"/>
        </w:rPr>
        <w:t>（三）人民法院已经受理的承包合同纠纷。</w:t>
      </w:r>
    </w:p>
    <w:p w14:paraId="13AF5A36">
      <w:pPr>
        <w:jc w:val="left"/>
        <w:rPr>
          <w:rFonts w:ascii="宋体" w:hAnsi="宋体"/>
          <w:kern w:val="44"/>
        </w:rPr>
      </w:pPr>
      <w:r>
        <w:rPr>
          <w:rFonts w:hint="eastAsia" w:ascii="宋体" w:hAnsi="宋体"/>
          <w:kern w:val="44"/>
        </w:rPr>
        <w:t>（四）人民法院的判决、裁定已经发生法律效力或者仲裁已经终结，当事人又申请仲裁的。</w:t>
      </w:r>
    </w:p>
    <w:p w14:paraId="1F0CEF07">
      <w:pPr>
        <w:ind w:firstLine="422"/>
        <w:jc w:val="left"/>
        <w:rPr>
          <w:rFonts w:ascii="宋体" w:hAnsi="宋体"/>
          <w:kern w:val="44"/>
        </w:rPr>
      </w:pPr>
      <w:r>
        <w:rPr>
          <w:rFonts w:hint="eastAsia" w:ascii="宋体" w:hAnsi="宋体"/>
          <w:b/>
          <w:kern w:val="44"/>
        </w:rPr>
        <w:t>第十二条</w:t>
      </w:r>
      <w:r>
        <w:rPr>
          <w:rFonts w:hint="eastAsia" w:ascii="宋体" w:hAnsi="宋体"/>
          <w:kern w:val="44"/>
        </w:rPr>
        <w:t>　仲裁委员会决定受理后，应在5日内将申请书副本送达被诉人。被诉人应当自收到申请书副本之日起15日内，向仲裁委员会提交答辩书和有关证据。被诉人不提交答辩书的，不影响案件的处理。</w:t>
      </w:r>
    </w:p>
    <w:p w14:paraId="0C263971">
      <w:pPr>
        <w:ind w:firstLine="422"/>
        <w:jc w:val="left"/>
        <w:rPr>
          <w:rFonts w:ascii="宋体" w:hAnsi="宋体"/>
          <w:kern w:val="44"/>
        </w:rPr>
      </w:pPr>
      <w:r>
        <w:rPr>
          <w:rFonts w:hint="eastAsia" w:ascii="宋体" w:hAnsi="宋体"/>
          <w:b/>
          <w:kern w:val="44"/>
        </w:rPr>
        <w:t>第十三条</w:t>
      </w:r>
      <w:r>
        <w:rPr>
          <w:rFonts w:hint="eastAsia" w:ascii="宋体" w:hAnsi="宋体"/>
          <w:kern w:val="44"/>
        </w:rPr>
        <w:t>　复杂的承包合同纠纷案件，由仲裁委员会指定3名仲裁员组成仲裁庭处理。仲裁庭评议案件，实行少数服从多数的原则。</w:t>
      </w:r>
    </w:p>
    <w:p w14:paraId="14753D2B">
      <w:pPr>
        <w:jc w:val="left"/>
        <w:rPr>
          <w:rFonts w:ascii="宋体" w:hAnsi="宋体"/>
          <w:kern w:val="44"/>
        </w:rPr>
      </w:pPr>
      <w:r>
        <w:rPr>
          <w:rFonts w:hint="eastAsia" w:ascii="宋体" w:hAnsi="宋体"/>
          <w:kern w:val="44"/>
        </w:rPr>
        <w:t>简单的承包合同纠纷案件，可以由1名仲裁员处理。</w:t>
      </w:r>
    </w:p>
    <w:p w14:paraId="71F33B40">
      <w:pPr>
        <w:ind w:firstLine="422"/>
        <w:jc w:val="left"/>
        <w:rPr>
          <w:rFonts w:ascii="宋体" w:hAnsi="宋体"/>
          <w:kern w:val="44"/>
        </w:rPr>
      </w:pPr>
      <w:r>
        <w:rPr>
          <w:rFonts w:hint="eastAsia" w:ascii="宋体" w:hAnsi="宋体"/>
          <w:b/>
          <w:kern w:val="44"/>
        </w:rPr>
        <w:t>第十四条</w:t>
      </w:r>
      <w:r>
        <w:rPr>
          <w:rFonts w:hint="eastAsia" w:ascii="宋体" w:hAnsi="宋体"/>
          <w:kern w:val="44"/>
        </w:rPr>
        <w:t>　承包合同纠纷仲裁实行开庭处理。开庭时，仲裁庭或仲裁员应当认真听取申诉人陈述和被诉人答辩，严格审查核实有关证据，征询当事人双方的最后意见，并依法作出裁决。疑难案件由仲裁庭评议提出意见，报仲裁委员会依法作出裁决。</w:t>
      </w:r>
    </w:p>
    <w:p w14:paraId="1C14478B">
      <w:pPr>
        <w:jc w:val="left"/>
        <w:rPr>
          <w:rFonts w:ascii="宋体" w:hAnsi="宋体"/>
          <w:kern w:val="44"/>
        </w:rPr>
      </w:pPr>
      <w:r>
        <w:rPr>
          <w:rFonts w:hint="eastAsia" w:ascii="宋体" w:hAnsi="宋体"/>
          <w:kern w:val="44"/>
        </w:rPr>
        <w:t>经两次书面通知，当事人无正当理由拒不到庭参加仲裁的，仲裁委员会可以缺席裁决。</w:t>
      </w:r>
    </w:p>
    <w:p w14:paraId="05961E09">
      <w:pPr>
        <w:ind w:firstLine="422"/>
        <w:jc w:val="left"/>
        <w:rPr>
          <w:rFonts w:ascii="宋体" w:hAnsi="宋体"/>
          <w:kern w:val="44"/>
        </w:rPr>
      </w:pPr>
      <w:r>
        <w:rPr>
          <w:rFonts w:hint="eastAsia" w:ascii="宋体" w:hAnsi="宋体"/>
          <w:b/>
          <w:kern w:val="44"/>
        </w:rPr>
        <w:t>第十五条</w:t>
      </w:r>
      <w:r>
        <w:rPr>
          <w:rFonts w:hint="eastAsia" w:ascii="宋体" w:hAnsi="宋体"/>
          <w:kern w:val="44"/>
        </w:rPr>
        <w:t>　仲裁委员会仲裁承包合同纠纷，应在2个月内做出裁决，并制作裁决书送达当事人。</w:t>
      </w:r>
    </w:p>
    <w:p w14:paraId="166C84AB">
      <w:pPr>
        <w:ind w:firstLine="422"/>
        <w:jc w:val="left"/>
        <w:rPr>
          <w:rFonts w:ascii="宋体" w:hAnsi="宋体"/>
          <w:kern w:val="44"/>
        </w:rPr>
      </w:pPr>
      <w:r>
        <w:rPr>
          <w:rFonts w:hint="eastAsia" w:ascii="宋体" w:hAnsi="宋体"/>
          <w:b/>
          <w:kern w:val="44"/>
        </w:rPr>
        <w:t>第十六条</w:t>
      </w:r>
      <w:r>
        <w:rPr>
          <w:rFonts w:hint="eastAsia" w:ascii="宋体" w:hAnsi="宋体"/>
          <w:kern w:val="44"/>
        </w:rPr>
        <w:t>　仲裁委员会收集与案件有关的证据、进行现场勘察或者对物证进行技术鉴定时，有关单位或个人应当予以协助。</w:t>
      </w:r>
    </w:p>
    <w:p w14:paraId="20413826">
      <w:pPr>
        <w:ind w:firstLine="422"/>
        <w:jc w:val="left"/>
        <w:rPr>
          <w:rFonts w:ascii="宋体" w:hAnsi="宋体"/>
          <w:kern w:val="44"/>
        </w:rPr>
      </w:pPr>
      <w:r>
        <w:rPr>
          <w:rFonts w:hint="eastAsia" w:ascii="宋体" w:hAnsi="宋体"/>
          <w:b/>
          <w:kern w:val="44"/>
        </w:rPr>
        <w:t>第十七条</w:t>
      </w:r>
      <w:r>
        <w:rPr>
          <w:rFonts w:hint="eastAsia" w:ascii="宋体" w:hAnsi="宋体"/>
          <w:kern w:val="44"/>
        </w:rPr>
        <w:t>　因承包合同纠纷停止生产活动的，仲裁委员会在处理承包合同纠纷时，可以裁定先行恢复生产，然后解决纠纷。</w:t>
      </w:r>
    </w:p>
    <w:p w14:paraId="41BF3872">
      <w:pPr>
        <w:ind w:firstLine="422"/>
        <w:jc w:val="left"/>
        <w:rPr>
          <w:rFonts w:ascii="宋体" w:hAnsi="宋体"/>
          <w:kern w:val="44"/>
        </w:rPr>
      </w:pPr>
      <w:r>
        <w:rPr>
          <w:rFonts w:hint="eastAsia" w:ascii="宋体" w:hAnsi="宋体"/>
          <w:b/>
          <w:kern w:val="44"/>
        </w:rPr>
        <w:t>第十八条</w:t>
      </w:r>
      <w:r>
        <w:rPr>
          <w:rFonts w:hint="eastAsia" w:ascii="宋体" w:hAnsi="宋体"/>
          <w:kern w:val="44"/>
        </w:rPr>
        <w:t>　当事人对仲裁委员会裁决不服的，可以在接到裁决书之日起30日内向人民法院起诉。当事人一方期满不起诉又不履行裁决的，另一方可以向人民法院申请执行。</w:t>
      </w:r>
    </w:p>
    <w:p w14:paraId="079DFEDB">
      <w:pPr>
        <w:ind w:firstLine="422"/>
        <w:jc w:val="left"/>
        <w:rPr>
          <w:rFonts w:ascii="宋体" w:hAnsi="宋体"/>
          <w:kern w:val="44"/>
        </w:rPr>
      </w:pPr>
      <w:r>
        <w:rPr>
          <w:rFonts w:hint="eastAsia" w:ascii="宋体" w:hAnsi="宋体"/>
          <w:b/>
          <w:kern w:val="44"/>
        </w:rPr>
        <w:t>第十九条</w:t>
      </w:r>
      <w:r>
        <w:rPr>
          <w:rFonts w:hint="eastAsia" w:ascii="宋体" w:hAnsi="宋体"/>
          <w:kern w:val="44"/>
        </w:rPr>
        <w:t>　承包合同纠纷当事人可以不经调解或者仲裁，直接向人民法院起诉。</w:t>
      </w:r>
    </w:p>
    <w:p w14:paraId="44819404">
      <w:pPr>
        <w:jc w:val="left"/>
        <w:rPr>
          <w:rFonts w:ascii="宋体" w:hAnsi="宋体"/>
          <w:kern w:val="44"/>
        </w:rPr>
      </w:pPr>
      <w:r>
        <w:rPr>
          <w:rFonts w:hint="eastAsia" w:ascii="宋体" w:hAnsi="宋体"/>
          <w:kern w:val="44"/>
        </w:rPr>
        <w:t>承包合同纠纷案件仲裁过程中，申诉人或被诉人一方或双方向人民法院起诉，并经人民法院受理的，仲裁即告终结。</w:t>
      </w:r>
    </w:p>
    <w:p w14:paraId="63FD51D7">
      <w:pPr>
        <w:ind w:firstLine="422"/>
        <w:jc w:val="left"/>
        <w:rPr>
          <w:rFonts w:ascii="宋体" w:hAnsi="宋体"/>
          <w:kern w:val="44"/>
        </w:rPr>
      </w:pPr>
      <w:r>
        <w:rPr>
          <w:rFonts w:hint="eastAsia" w:ascii="宋体" w:hAnsi="宋体"/>
          <w:b/>
          <w:kern w:val="44"/>
        </w:rPr>
        <w:t>第二十条</w:t>
      </w:r>
      <w:r>
        <w:rPr>
          <w:rFonts w:hint="eastAsia" w:ascii="宋体" w:hAnsi="宋体"/>
          <w:kern w:val="44"/>
        </w:rPr>
        <w:t>　本办法经市人民政府批准，自1991年3月1日起施行。</w:t>
      </w:r>
    </w:p>
    <w:p w14:paraId="26C103C2">
      <w:pPr>
        <w:pStyle w:val="4"/>
        <w:pageBreakBefore/>
        <w:rPr>
          <w:kern w:val="44"/>
        </w:rPr>
      </w:pPr>
      <w:bookmarkStart w:id="1112" w:name="_Toc422471296"/>
      <w:bookmarkStart w:id="1113" w:name="_Toc428781626"/>
      <w:bookmarkStart w:id="1114" w:name="_Toc427651920"/>
      <w:bookmarkStart w:id="1115" w:name="_Toc427651578"/>
      <w:bookmarkStart w:id="1116" w:name="_Toc428780144"/>
      <w:r>
        <w:rPr>
          <w:rFonts w:hint="eastAsia"/>
          <w:kern w:val="44"/>
        </w:rPr>
        <w:t>北京市实施《森林病虫害</w:t>
      </w:r>
      <w:bookmarkEnd w:id="1112"/>
      <w:bookmarkStart w:id="1117" w:name="_Toc422471297"/>
      <w:r>
        <w:rPr>
          <w:rFonts w:hint="eastAsia"/>
          <w:kern w:val="44"/>
        </w:rPr>
        <w:t>防治条例》若干规定</w:t>
      </w:r>
      <w:bookmarkEnd w:id="1113"/>
      <w:bookmarkEnd w:id="1114"/>
      <w:bookmarkEnd w:id="1115"/>
      <w:bookmarkEnd w:id="1116"/>
      <w:bookmarkEnd w:id="1117"/>
    </w:p>
    <w:p w14:paraId="737F9AFC">
      <w:pPr>
        <w:ind w:left="630" w:leftChars="300" w:right="630" w:rightChars="300"/>
        <w:jc w:val="center"/>
        <w:rPr>
          <w:rFonts w:ascii="楷体" w:hAnsi="楷体" w:eastAsia="楷体"/>
          <w:kern w:val="44"/>
        </w:rPr>
      </w:pPr>
      <w:r>
        <w:rPr>
          <w:rFonts w:hint="eastAsia" w:ascii="楷体" w:hAnsi="楷体" w:eastAsia="楷体"/>
          <w:kern w:val="44"/>
        </w:rPr>
        <w:t>（1991年7月18日北京市人民政府第23号令发布）</w:t>
      </w:r>
    </w:p>
    <w:p w14:paraId="7C64511B">
      <w:pPr>
        <w:jc w:val="left"/>
        <w:rPr>
          <w:rFonts w:ascii="宋体" w:hAnsi="宋体"/>
          <w:kern w:val="44"/>
        </w:rPr>
      </w:pPr>
    </w:p>
    <w:p w14:paraId="5B72F807">
      <w:pPr>
        <w:ind w:firstLine="422"/>
        <w:jc w:val="left"/>
        <w:rPr>
          <w:rFonts w:ascii="宋体" w:hAnsi="宋体"/>
          <w:kern w:val="44"/>
        </w:rPr>
      </w:pPr>
      <w:r>
        <w:rPr>
          <w:rFonts w:hint="eastAsia" w:ascii="宋体" w:hAnsi="宋体"/>
          <w:b/>
          <w:kern w:val="44"/>
        </w:rPr>
        <w:t>第一条</w:t>
      </w:r>
      <w:r>
        <w:rPr>
          <w:rFonts w:hint="eastAsia" w:ascii="宋体" w:hAnsi="宋体"/>
          <w:kern w:val="44"/>
        </w:rPr>
        <w:t>　为贯彻实施《森林病虫害防治条例》（以下简称《条例》），结合本市实际情况，制定本规定。</w:t>
      </w:r>
    </w:p>
    <w:p w14:paraId="0F519505">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在本市行政区域内的林木（包括果树）、林木种苗、木本花卉及木材（以下统称林木）的病虫害防治，按《条例》和本规定执行。</w:t>
      </w:r>
    </w:p>
    <w:p w14:paraId="45651E6C">
      <w:pPr>
        <w:ind w:firstLine="422"/>
        <w:jc w:val="left"/>
        <w:rPr>
          <w:rFonts w:ascii="宋体" w:hAnsi="宋体"/>
          <w:kern w:val="44"/>
        </w:rPr>
      </w:pPr>
      <w:r>
        <w:rPr>
          <w:rFonts w:hint="eastAsia" w:ascii="宋体" w:hAnsi="宋体"/>
          <w:b/>
          <w:kern w:val="44"/>
        </w:rPr>
        <w:t>第三条</w:t>
      </w:r>
      <w:r>
        <w:rPr>
          <w:rFonts w:hint="eastAsia" w:ascii="宋体" w:hAnsi="宋体"/>
          <w:kern w:val="44"/>
        </w:rPr>
        <w:t>　市林业局主管全市农村林木病虫害防治工作。区、县林业主管机关主管本区、县行政区域内农村林木病虫害防治工作。</w:t>
      </w:r>
    </w:p>
    <w:p w14:paraId="2D99275C">
      <w:pPr>
        <w:jc w:val="left"/>
        <w:rPr>
          <w:rFonts w:ascii="宋体" w:hAnsi="宋体"/>
          <w:kern w:val="44"/>
        </w:rPr>
      </w:pPr>
      <w:r>
        <w:rPr>
          <w:rFonts w:hint="eastAsia" w:ascii="宋体" w:hAnsi="宋体"/>
          <w:kern w:val="44"/>
        </w:rPr>
        <w:t>市、区、县林业保护站负责农村林木病虫害防治的具体组织工作。乡、镇林业工作站负责组织本乡、镇的农村林木病虫害防治工作。</w:t>
      </w:r>
    </w:p>
    <w:p w14:paraId="46E6F258">
      <w:pPr>
        <w:jc w:val="left"/>
        <w:rPr>
          <w:rFonts w:ascii="宋体" w:hAnsi="宋体"/>
          <w:kern w:val="44"/>
        </w:rPr>
      </w:pPr>
      <w:r>
        <w:rPr>
          <w:rFonts w:hint="eastAsia" w:ascii="宋体" w:hAnsi="宋体"/>
          <w:kern w:val="44"/>
        </w:rPr>
        <w:t>市园林局和各级城市绿化管理部门负责本市城市绿化范围内的林木病虫害防治工作。</w:t>
      </w:r>
    </w:p>
    <w:p w14:paraId="0FA8FE5A">
      <w:pPr>
        <w:ind w:firstLine="422"/>
        <w:jc w:val="left"/>
        <w:rPr>
          <w:rFonts w:ascii="宋体" w:hAnsi="宋体"/>
          <w:kern w:val="44"/>
        </w:rPr>
      </w:pPr>
      <w:r>
        <w:rPr>
          <w:rFonts w:hint="eastAsia" w:ascii="宋体" w:hAnsi="宋体"/>
          <w:b/>
          <w:kern w:val="44"/>
        </w:rPr>
        <w:t>第四条</w:t>
      </w:r>
      <w:r>
        <w:rPr>
          <w:rFonts w:hint="eastAsia" w:ascii="宋体" w:hAnsi="宋体"/>
          <w:kern w:val="44"/>
        </w:rPr>
        <w:t>　本市林木病虫害防治工作，实行“谁经营、谁防治”的责任制度：</w:t>
      </w:r>
    </w:p>
    <w:p w14:paraId="49BEC4BA">
      <w:pPr>
        <w:jc w:val="left"/>
        <w:rPr>
          <w:rFonts w:ascii="宋体" w:hAnsi="宋体"/>
          <w:kern w:val="44"/>
        </w:rPr>
      </w:pPr>
      <w:r>
        <w:rPr>
          <w:rFonts w:hint="eastAsia" w:ascii="宋体" w:hAnsi="宋体"/>
          <w:kern w:val="44"/>
        </w:rPr>
        <w:t>（一）国营林场（苗圃），铁路、水利、公路部门和机关、团体、部队、企业事业等单位，负责本部门和本单位经营管护林木的病虫害防治。</w:t>
      </w:r>
    </w:p>
    <w:p w14:paraId="67D2EF7B">
      <w:pPr>
        <w:jc w:val="left"/>
        <w:rPr>
          <w:rFonts w:ascii="宋体" w:hAnsi="宋体"/>
          <w:kern w:val="44"/>
        </w:rPr>
      </w:pPr>
      <w:r>
        <w:rPr>
          <w:rFonts w:hint="eastAsia" w:ascii="宋体" w:hAnsi="宋体"/>
          <w:kern w:val="44"/>
        </w:rPr>
        <w:t>（二）农村农业生产合作社和个人，负责本社、本人所经营管护林木的病虫害防治。</w:t>
      </w:r>
    </w:p>
    <w:p w14:paraId="11AD491E">
      <w:pPr>
        <w:jc w:val="left"/>
        <w:rPr>
          <w:rFonts w:ascii="宋体" w:hAnsi="宋体"/>
          <w:kern w:val="44"/>
        </w:rPr>
      </w:pPr>
      <w:r>
        <w:rPr>
          <w:rFonts w:hint="eastAsia" w:ascii="宋体" w:hAnsi="宋体"/>
          <w:kern w:val="44"/>
        </w:rPr>
        <w:t>（三）联合经营管护林木的病虫害防治，由联合经营管护各方共同负责，具体责任的划分应当在联合经营合同中明确规定。</w:t>
      </w:r>
    </w:p>
    <w:p w14:paraId="1321ABDA">
      <w:pPr>
        <w:jc w:val="left"/>
        <w:rPr>
          <w:rFonts w:ascii="宋体" w:hAnsi="宋体"/>
          <w:kern w:val="44"/>
        </w:rPr>
      </w:pPr>
      <w:r>
        <w:rPr>
          <w:rFonts w:hint="eastAsia" w:ascii="宋体" w:hAnsi="宋体"/>
          <w:kern w:val="44"/>
        </w:rPr>
        <w:t>（四）承包经营全民所有、集体所有的林木，发包方和承包方应当在承包合同中规定防治林木病虫害的责任。</w:t>
      </w:r>
    </w:p>
    <w:p w14:paraId="2BB4B2D0">
      <w:pPr>
        <w:ind w:firstLine="422"/>
        <w:jc w:val="left"/>
        <w:rPr>
          <w:rFonts w:ascii="宋体" w:hAnsi="宋体"/>
          <w:kern w:val="44"/>
        </w:rPr>
      </w:pPr>
      <w:r>
        <w:rPr>
          <w:rFonts w:hint="eastAsia" w:ascii="宋体" w:hAnsi="宋体"/>
          <w:b/>
          <w:kern w:val="44"/>
        </w:rPr>
        <w:t>第五条</w:t>
      </w:r>
      <w:r>
        <w:rPr>
          <w:rFonts w:hint="eastAsia" w:ascii="宋体" w:hAnsi="宋体"/>
          <w:kern w:val="44"/>
        </w:rPr>
        <w:t>　本市林木病虫害防治工作，实行预防为主，综合治理的方针，建立健全林木病虫害预测预报、检疫和防治服务体系。</w:t>
      </w:r>
    </w:p>
    <w:p w14:paraId="20AA5C73">
      <w:pPr>
        <w:jc w:val="left"/>
        <w:rPr>
          <w:rFonts w:ascii="宋体" w:hAnsi="宋体"/>
          <w:kern w:val="44"/>
        </w:rPr>
      </w:pPr>
      <w:r>
        <w:rPr>
          <w:rFonts w:hint="eastAsia" w:ascii="宋体" w:hAnsi="宋体"/>
          <w:kern w:val="44"/>
        </w:rPr>
        <w:t>跨区、县、乡的林区（包括林带、路树），应当建立林木病虫害联防组织，划定联防区域和分工负责的责任区、责任段，由参加联防组织的单位共同防治林木病虫害。</w:t>
      </w:r>
    </w:p>
    <w:p w14:paraId="53B527C6">
      <w:pPr>
        <w:ind w:firstLine="422"/>
        <w:jc w:val="left"/>
        <w:rPr>
          <w:rFonts w:ascii="宋体" w:hAnsi="宋体"/>
          <w:kern w:val="44"/>
        </w:rPr>
      </w:pPr>
      <w:r>
        <w:rPr>
          <w:rFonts w:hint="eastAsia" w:ascii="宋体" w:hAnsi="宋体"/>
          <w:b/>
          <w:kern w:val="44"/>
        </w:rPr>
        <w:t>第六条</w:t>
      </w:r>
      <w:r>
        <w:rPr>
          <w:rFonts w:hint="eastAsia" w:ascii="宋体" w:hAnsi="宋体"/>
          <w:kern w:val="44"/>
        </w:rPr>
        <w:t>　本市城区，风景旅游区，自然保护区，水源保护区，市、区、县管理的植树造林工程，平原重点片林，城市主干道，主要公路干线、铁路、河流两侧的林带，是林木病虫害重点防治区。</w:t>
      </w:r>
    </w:p>
    <w:p w14:paraId="6190871C">
      <w:pPr>
        <w:jc w:val="left"/>
        <w:rPr>
          <w:rFonts w:ascii="宋体" w:hAnsi="宋体"/>
          <w:kern w:val="44"/>
        </w:rPr>
      </w:pPr>
      <w:r>
        <w:rPr>
          <w:rFonts w:hint="eastAsia" w:ascii="宋体" w:hAnsi="宋体"/>
          <w:kern w:val="44"/>
        </w:rPr>
        <w:t>郊区农村重点防治区范围内的乡、镇人民政府和有林单位，应当建立林木病虫害预测预报点，配备相应的防治器材，做到发现病虫害立即除治。位于城市绿化范围内的重点防治区的林木病虫害防治具体措施，由市园林局规定。</w:t>
      </w:r>
    </w:p>
    <w:p w14:paraId="6BC07EF9">
      <w:pPr>
        <w:ind w:firstLine="422"/>
        <w:jc w:val="left"/>
        <w:rPr>
          <w:rFonts w:ascii="宋体" w:hAnsi="宋体"/>
          <w:kern w:val="44"/>
        </w:rPr>
      </w:pPr>
      <w:r>
        <w:rPr>
          <w:rFonts w:hint="eastAsia" w:ascii="宋体" w:hAnsi="宋体"/>
          <w:b/>
          <w:kern w:val="44"/>
        </w:rPr>
        <w:t>第七条</w:t>
      </w:r>
      <w:r>
        <w:rPr>
          <w:rFonts w:hint="eastAsia" w:ascii="宋体" w:hAnsi="宋体"/>
          <w:kern w:val="44"/>
        </w:rPr>
        <w:t>　各项造林绿化工程的设计方案，应当有防治病虫害措施的内容，设计方案确定前，应由制定方案的单位征求林木病虫害防治机构的意见。</w:t>
      </w:r>
    </w:p>
    <w:p w14:paraId="534B12DC">
      <w:pPr>
        <w:ind w:firstLine="422"/>
        <w:jc w:val="left"/>
        <w:rPr>
          <w:rFonts w:ascii="宋体" w:hAnsi="宋体"/>
          <w:kern w:val="44"/>
        </w:rPr>
      </w:pPr>
      <w:r>
        <w:rPr>
          <w:rFonts w:hint="eastAsia" w:ascii="宋体" w:hAnsi="宋体"/>
          <w:b/>
          <w:kern w:val="44"/>
        </w:rPr>
        <w:t>第八条</w:t>
      </w:r>
      <w:r>
        <w:rPr>
          <w:rFonts w:hint="eastAsia" w:ascii="宋体" w:hAnsi="宋体"/>
          <w:kern w:val="44"/>
        </w:rPr>
        <w:t>　国营林场（苗圃），铁路、公路、水利等部门和机关、团体、部队、企业事业单位以及经营管理林木的农村农业生产合作社、个人，应当按照下列规定做好林木病虫害预防工作：</w:t>
      </w:r>
    </w:p>
    <w:p w14:paraId="07919633">
      <w:pPr>
        <w:jc w:val="left"/>
        <w:rPr>
          <w:rFonts w:ascii="宋体" w:hAnsi="宋体"/>
          <w:kern w:val="44"/>
        </w:rPr>
      </w:pPr>
      <w:r>
        <w:rPr>
          <w:rFonts w:hint="eastAsia" w:ascii="宋体" w:hAnsi="宋体"/>
          <w:kern w:val="44"/>
        </w:rPr>
        <w:t>（一）进行育苗或造林，不得使用带有危险性病虫的林木种苗。</w:t>
      </w:r>
    </w:p>
    <w:p w14:paraId="119C5495">
      <w:pPr>
        <w:jc w:val="left"/>
        <w:rPr>
          <w:rFonts w:ascii="宋体" w:hAnsi="宋体"/>
          <w:kern w:val="44"/>
        </w:rPr>
      </w:pPr>
      <w:r>
        <w:rPr>
          <w:rFonts w:hint="eastAsia" w:ascii="宋体" w:hAnsi="宋体"/>
          <w:kern w:val="44"/>
        </w:rPr>
        <w:t>（二）加强对幼龄林和中龄林的抚育管理，及时清除已经感染病虫害的林木。</w:t>
      </w:r>
    </w:p>
    <w:p w14:paraId="34CE1484">
      <w:pPr>
        <w:jc w:val="left"/>
        <w:rPr>
          <w:rFonts w:ascii="宋体" w:hAnsi="宋体"/>
          <w:kern w:val="44"/>
        </w:rPr>
      </w:pPr>
      <w:r>
        <w:rPr>
          <w:rFonts w:hint="eastAsia" w:ascii="宋体" w:hAnsi="宋体"/>
          <w:kern w:val="44"/>
        </w:rPr>
        <w:t>（三）有计划地实行封山育林，改变纯林生态环境。</w:t>
      </w:r>
    </w:p>
    <w:p w14:paraId="3C293111">
      <w:pPr>
        <w:jc w:val="left"/>
        <w:rPr>
          <w:rFonts w:ascii="宋体" w:hAnsi="宋体"/>
          <w:kern w:val="44"/>
        </w:rPr>
      </w:pPr>
      <w:r>
        <w:rPr>
          <w:rFonts w:hint="eastAsia" w:ascii="宋体" w:hAnsi="宋体"/>
          <w:kern w:val="44"/>
        </w:rPr>
        <w:t>（四）及时清除林地和果园作业迹地、贮木场、贮果场的病虫源。</w:t>
      </w:r>
    </w:p>
    <w:p w14:paraId="39AED96B">
      <w:pPr>
        <w:ind w:firstLine="422"/>
        <w:jc w:val="left"/>
        <w:rPr>
          <w:rFonts w:ascii="宋体" w:hAnsi="宋体"/>
          <w:kern w:val="44"/>
        </w:rPr>
      </w:pPr>
      <w:r>
        <w:rPr>
          <w:rFonts w:hint="eastAsia" w:ascii="宋体" w:hAnsi="宋体"/>
          <w:b/>
          <w:kern w:val="44"/>
        </w:rPr>
        <w:t>第九条</w:t>
      </w:r>
      <w:r>
        <w:rPr>
          <w:rFonts w:hint="eastAsia" w:ascii="宋体" w:hAnsi="宋体"/>
          <w:kern w:val="44"/>
        </w:rPr>
        <w:t>　除治林木病虫害，须遵守下列规定：</w:t>
      </w:r>
    </w:p>
    <w:p w14:paraId="244E3AA7">
      <w:pPr>
        <w:jc w:val="left"/>
        <w:rPr>
          <w:rFonts w:ascii="宋体" w:hAnsi="宋体"/>
          <w:kern w:val="44"/>
        </w:rPr>
      </w:pPr>
      <w:r>
        <w:rPr>
          <w:rFonts w:hint="eastAsia" w:ascii="宋体" w:hAnsi="宋体"/>
          <w:kern w:val="44"/>
        </w:rPr>
        <w:t>（一）禁止违章使用剧毒和高残留农药。</w:t>
      </w:r>
    </w:p>
    <w:p w14:paraId="03EC9F0A">
      <w:pPr>
        <w:jc w:val="left"/>
        <w:rPr>
          <w:rFonts w:ascii="宋体" w:hAnsi="宋体"/>
          <w:kern w:val="44"/>
        </w:rPr>
      </w:pPr>
      <w:r>
        <w:rPr>
          <w:rFonts w:hint="eastAsia" w:ascii="宋体" w:hAnsi="宋体"/>
          <w:kern w:val="44"/>
        </w:rPr>
        <w:t>（二）重点水源保护区应当采取生物、物理防治措施。</w:t>
      </w:r>
    </w:p>
    <w:p w14:paraId="5494F137">
      <w:pPr>
        <w:jc w:val="left"/>
        <w:rPr>
          <w:rFonts w:ascii="宋体" w:hAnsi="宋体"/>
          <w:kern w:val="44"/>
        </w:rPr>
      </w:pPr>
      <w:r>
        <w:rPr>
          <w:rFonts w:hint="eastAsia" w:ascii="宋体" w:hAnsi="宋体"/>
          <w:kern w:val="44"/>
        </w:rPr>
        <w:t>（三）采用飞机喷药、施放烟剂、投放毒饵的方法防治时，防治单位应当事先通知防治区域内的单位和居民，并采取保证人、畜安全的措施。</w:t>
      </w:r>
    </w:p>
    <w:p w14:paraId="5DB271ED">
      <w:pPr>
        <w:ind w:firstLine="422"/>
        <w:jc w:val="left"/>
        <w:rPr>
          <w:rFonts w:ascii="宋体" w:hAnsi="宋体"/>
          <w:kern w:val="44"/>
        </w:rPr>
      </w:pPr>
      <w:r>
        <w:rPr>
          <w:rFonts w:hint="eastAsia" w:ascii="宋体" w:hAnsi="宋体"/>
          <w:b/>
          <w:kern w:val="44"/>
        </w:rPr>
        <w:t>第十条</w:t>
      </w:r>
      <w:r>
        <w:rPr>
          <w:rFonts w:hint="eastAsia" w:ascii="宋体" w:hAnsi="宋体"/>
          <w:kern w:val="44"/>
        </w:rPr>
        <w:t>　各区、县林业主管机关和城市绿化管理部门以及市属有林部门，应当定期将本区、县和本部门林木病虫害发生和防治情况向所在区、县人民政府报告。发生突发性病虫害和危险性病虫害时，必须立即报告。对新传入的危险性病虫害，须及时采取严密封锁、扑灭措施，防止病虫害传播、蔓延。</w:t>
      </w:r>
    </w:p>
    <w:p w14:paraId="73C6A1A4">
      <w:pPr>
        <w:ind w:firstLine="422"/>
        <w:jc w:val="left"/>
        <w:rPr>
          <w:rFonts w:ascii="宋体" w:hAnsi="宋体"/>
          <w:kern w:val="44"/>
        </w:rPr>
      </w:pPr>
      <w:r>
        <w:rPr>
          <w:rFonts w:hint="eastAsia" w:ascii="宋体" w:hAnsi="宋体"/>
          <w:b/>
          <w:kern w:val="44"/>
        </w:rPr>
        <w:t>第十一条</w:t>
      </w:r>
      <w:r>
        <w:rPr>
          <w:rFonts w:hint="eastAsia" w:ascii="宋体" w:hAnsi="宋体"/>
          <w:kern w:val="44"/>
        </w:rPr>
        <w:t>　违反《条例》和本规定的，由林业主管部门和城市绿化管理部门根据职责分工，按《条例》的规定予以处罚。</w:t>
      </w:r>
    </w:p>
    <w:p w14:paraId="3DF6B551">
      <w:pPr>
        <w:ind w:firstLine="422"/>
        <w:jc w:val="left"/>
        <w:rPr>
          <w:rFonts w:ascii="宋体" w:hAnsi="宋体"/>
          <w:kern w:val="44"/>
        </w:rPr>
      </w:pPr>
      <w:r>
        <w:rPr>
          <w:rFonts w:hint="eastAsia" w:ascii="宋体" w:hAnsi="宋体"/>
          <w:b/>
          <w:kern w:val="44"/>
        </w:rPr>
        <w:t>第十二条</w:t>
      </w:r>
      <w:r>
        <w:rPr>
          <w:rFonts w:hint="eastAsia" w:ascii="宋体" w:hAnsi="宋体"/>
          <w:kern w:val="44"/>
        </w:rPr>
        <w:t>　本规定执行中的具体问题，由市林业局负责解释；属于城市绿化范围的具体问题，由市园林局负责解释。</w:t>
      </w:r>
    </w:p>
    <w:p w14:paraId="7DB9867F">
      <w:pPr>
        <w:ind w:firstLine="422"/>
        <w:jc w:val="left"/>
        <w:rPr>
          <w:rFonts w:ascii="宋体" w:hAnsi="宋体"/>
          <w:kern w:val="44"/>
        </w:rPr>
      </w:pPr>
      <w:r>
        <w:rPr>
          <w:rFonts w:hint="eastAsia" w:ascii="宋体" w:hAnsi="宋体"/>
          <w:b/>
          <w:kern w:val="44"/>
        </w:rPr>
        <w:t>第十三条</w:t>
      </w:r>
      <w:r>
        <w:rPr>
          <w:rFonts w:hint="eastAsia" w:ascii="宋体" w:hAnsi="宋体"/>
          <w:kern w:val="44"/>
        </w:rPr>
        <w:t>　本规定自1991年8月1日起施行。1988年3月16日北京市人民政府批准施行的《北京市农村林木病虫害防治管理暂行办法》同时废止。</w:t>
      </w:r>
    </w:p>
    <w:p w14:paraId="34C5058E">
      <w:pPr>
        <w:pStyle w:val="4"/>
        <w:pageBreakBefore/>
        <w:rPr>
          <w:kern w:val="44"/>
        </w:rPr>
      </w:pPr>
      <w:bookmarkStart w:id="1118" w:name="_Toc422471298"/>
      <w:bookmarkStart w:id="1119" w:name="_Toc428781627"/>
      <w:bookmarkStart w:id="1120" w:name="_Toc428780145"/>
      <w:bookmarkStart w:id="1121" w:name="_Toc427651921"/>
      <w:bookmarkStart w:id="1122" w:name="_Toc427651579"/>
      <w:r>
        <w:rPr>
          <w:rFonts w:hint="eastAsia"/>
          <w:kern w:val="44"/>
        </w:rPr>
        <w:t>北京市农业机械安全</w:t>
      </w:r>
      <w:bookmarkEnd w:id="1118"/>
      <w:bookmarkStart w:id="1123" w:name="_Toc422471299"/>
      <w:r>
        <w:rPr>
          <w:rFonts w:hint="eastAsia"/>
          <w:kern w:val="44"/>
        </w:rPr>
        <w:t>监督管理办法</w:t>
      </w:r>
      <w:bookmarkEnd w:id="1119"/>
      <w:bookmarkEnd w:id="1120"/>
      <w:bookmarkEnd w:id="1121"/>
      <w:bookmarkEnd w:id="1122"/>
      <w:bookmarkEnd w:id="1123"/>
    </w:p>
    <w:p w14:paraId="53689D4E">
      <w:pPr>
        <w:ind w:left="630" w:leftChars="300" w:right="630" w:rightChars="300"/>
        <w:jc w:val="left"/>
        <w:rPr>
          <w:rFonts w:ascii="楷体" w:hAnsi="楷体" w:eastAsia="楷体"/>
          <w:kern w:val="44"/>
        </w:rPr>
      </w:pPr>
      <w:r>
        <w:rPr>
          <w:rFonts w:hint="eastAsia" w:ascii="楷体" w:hAnsi="楷体" w:eastAsia="楷体"/>
          <w:kern w:val="44"/>
        </w:rPr>
        <w:t>（1995年8月2日北京市人民政府第23号令发布  根据1997年12月31日北京市人民政府第12号令第一次修改  根据2007年11月23日北京市人民政府第200号令第二次修改）</w:t>
      </w:r>
    </w:p>
    <w:p w14:paraId="4AE88FB2">
      <w:pPr>
        <w:jc w:val="left"/>
        <w:rPr>
          <w:rFonts w:ascii="宋体" w:hAnsi="宋体"/>
          <w:kern w:val="44"/>
        </w:rPr>
      </w:pPr>
    </w:p>
    <w:p w14:paraId="54A16E41">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为加强对农业机械及其驾驶、操作人员的安全监督管理，保障人民生命和财产安全，促进农业生产发展，根据《北京市农业机械管理条例》（以下简称《条例》）和国家有关规定，制定本办法。</w:t>
      </w:r>
    </w:p>
    <w:p w14:paraId="2438EBB4">
      <w:pPr>
        <w:ind w:firstLine="422"/>
        <w:jc w:val="left"/>
        <w:rPr>
          <w:rFonts w:ascii="宋体" w:hAnsi="宋体"/>
          <w:kern w:val="44"/>
        </w:rPr>
      </w:pPr>
      <w:r>
        <w:rPr>
          <w:rFonts w:hint="eastAsia" w:ascii="宋体" w:hAnsi="宋体"/>
          <w:b/>
          <w:kern w:val="44"/>
        </w:rPr>
        <w:t>第二条</w:t>
      </w:r>
      <w:r>
        <w:rPr>
          <w:rFonts w:hint="eastAsia" w:ascii="宋体" w:hAnsi="宋体"/>
          <w:kern w:val="44"/>
        </w:rPr>
        <w:t>　凡在本市行政区域内从事农业机械作业的驾驶、操作人员及与农业机械作业有关的单位和个人，均应遵守《条例》和本办法。</w:t>
      </w:r>
    </w:p>
    <w:p w14:paraId="1F8DA9CD">
      <w:pPr>
        <w:ind w:firstLine="422"/>
        <w:jc w:val="left"/>
        <w:rPr>
          <w:rFonts w:ascii="宋体" w:hAnsi="宋体"/>
          <w:kern w:val="44"/>
        </w:rPr>
      </w:pPr>
      <w:r>
        <w:rPr>
          <w:rFonts w:hint="eastAsia" w:ascii="宋体" w:hAnsi="宋体"/>
          <w:b/>
          <w:kern w:val="44"/>
        </w:rPr>
        <w:t>第三条</w:t>
      </w:r>
      <w:r>
        <w:rPr>
          <w:rFonts w:hint="eastAsia" w:ascii="宋体" w:hAnsi="宋体"/>
          <w:kern w:val="44"/>
        </w:rPr>
        <w:t>　市农业局是本市农业机械安全监督管理工作的行政部门；市和区、县农业机械安全监督管理机构，以及受委托的乡、镇农业机械管理服务站具体负责本行政区域内农业机械安全监督管理工作。</w:t>
      </w:r>
    </w:p>
    <w:p w14:paraId="42C2363B">
      <w:pPr>
        <w:ind w:firstLine="422"/>
        <w:jc w:val="left"/>
        <w:rPr>
          <w:rFonts w:ascii="宋体" w:hAnsi="宋体"/>
          <w:kern w:val="44"/>
        </w:rPr>
      </w:pPr>
      <w:r>
        <w:rPr>
          <w:rFonts w:hint="eastAsia" w:ascii="宋体" w:hAnsi="宋体"/>
          <w:b/>
          <w:kern w:val="44"/>
        </w:rPr>
        <w:t>第四条</w:t>
      </w:r>
      <w:r>
        <w:rPr>
          <w:rFonts w:hint="eastAsia" w:ascii="宋体" w:hAnsi="宋体"/>
          <w:kern w:val="44"/>
        </w:rPr>
        <w:t>　农机安全监理员应当加强农业机械安全执法检查，依法纠正和处理违章。</w:t>
      </w:r>
    </w:p>
    <w:p w14:paraId="1BD0CA7B">
      <w:pPr>
        <w:ind w:firstLine="422"/>
        <w:jc w:val="left"/>
        <w:rPr>
          <w:rFonts w:ascii="宋体" w:hAnsi="宋体"/>
          <w:kern w:val="44"/>
        </w:rPr>
      </w:pPr>
      <w:r>
        <w:rPr>
          <w:rFonts w:hint="eastAsia" w:ascii="宋体" w:hAnsi="宋体"/>
          <w:b/>
          <w:kern w:val="44"/>
        </w:rPr>
        <w:t>第五条</w:t>
      </w:r>
      <w:r>
        <w:rPr>
          <w:rFonts w:hint="eastAsia" w:ascii="宋体" w:hAnsi="宋体"/>
          <w:kern w:val="44"/>
        </w:rPr>
        <w:t>　购置使用农业机械的单位和个人，应当按照规定领取号牌、行驶证或者作业证。</w:t>
      </w:r>
    </w:p>
    <w:p w14:paraId="1D975C16">
      <w:pPr>
        <w:jc w:val="left"/>
        <w:rPr>
          <w:rFonts w:ascii="宋体" w:hAnsi="宋体"/>
          <w:kern w:val="44"/>
        </w:rPr>
      </w:pPr>
      <w:r>
        <w:rPr>
          <w:rFonts w:hint="eastAsia" w:ascii="宋体" w:hAnsi="宋体"/>
          <w:kern w:val="44"/>
        </w:rPr>
        <w:t>农业机械的号牌应当安装在规定位置。行驶证、作业证应当随身携带，不得转借、涂改和伪造；遗失的，使用者应当及时到原发证机关补办。</w:t>
      </w:r>
    </w:p>
    <w:p w14:paraId="2F8D63BE">
      <w:pPr>
        <w:jc w:val="left"/>
        <w:rPr>
          <w:rFonts w:ascii="宋体" w:hAnsi="宋体"/>
          <w:kern w:val="44"/>
        </w:rPr>
      </w:pPr>
      <w:r>
        <w:rPr>
          <w:rFonts w:hint="eastAsia" w:ascii="宋体" w:hAnsi="宋体"/>
          <w:kern w:val="44"/>
        </w:rPr>
        <w:t>领取牌证的农业机械应当按照规定进行年度检验；农业机械安全监督管理机构可以根据农业生产的需要，进行不定期检验。</w:t>
      </w:r>
    </w:p>
    <w:p w14:paraId="5B3E0BDB">
      <w:pPr>
        <w:ind w:firstLine="422"/>
        <w:jc w:val="left"/>
        <w:rPr>
          <w:rFonts w:ascii="宋体" w:hAnsi="宋体"/>
          <w:kern w:val="44"/>
        </w:rPr>
      </w:pPr>
      <w:r>
        <w:rPr>
          <w:rFonts w:hint="eastAsia" w:ascii="宋体" w:hAnsi="宋体"/>
          <w:b/>
          <w:kern w:val="44"/>
        </w:rPr>
        <w:t>第六条</w:t>
      </w:r>
      <w:r>
        <w:rPr>
          <w:rFonts w:hint="eastAsia" w:ascii="宋体" w:hAnsi="宋体"/>
          <w:kern w:val="44"/>
        </w:rPr>
        <w:t>　拖拉机和其他自走式农业机械在领取正式牌证之前，需要移动或者试车的，有关人员应当先向农业机械安全监督管理机构申领临时号牌或者试车号牌，并按照规定的要求驾驶。</w:t>
      </w:r>
    </w:p>
    <w:p w14:paraId="2F2AE28C">
      <w:pPr>
        <w:ind w:firstLine="422"/>
        <w:jc w:val="left"/>
        <w:rPr>
          <w:rFonts w:ascii="宋体" w:hAnsi="宋体"/>
          <w:kern w:val="44"/>
        </w:rPr>
      </w:pPr>
      <w:r>
        <w:rPr>
          <w:rFonts w:hint="eastAsia" w:ascii="宋体" w:hAnsi="宋体"/>
          <w:b/>
          <w:kern w:val="44"/>
        </w:rPr>
        <w:t>第七条</w:t>
      </w:r>
      <w:r>
        <w:rPr>
          <w:rFonts w:hint="eastAsia" w:ascii="宋体" w:hAnsi="宋体"/>
          <w:kern w:val="44"/>
        </w:rPr>
        <w:t>　转卖或者报废农业机械，应当到农业机械安全监督管理机构办理过户、转籍或者报废手续。</w:t>
      </w:r>
    </w:p>
    <w:p w14:paraId="6B8CA38C">
      <w:pPr>
        <w:jc w:val="left"/>
        <w:rPr>
          <w:rFonts w:ascii="宋体" w:hAnsi="宋体"/>
          <w:kern w:val="44"/>
        </w:rPr>
      </w:pPr>
      <w:r>
        <w:rPr>
          <w:rFonts w:hint="eastAsia" w:ascii="宋体" w:hAnsi="宋体"/>
          <w:kern w:val="44"/>
        </w:rPr>
        <w:t>报废的农业机械不得继续使用、转让或者买卖。</w:t>
      </w:r>
    </w:p>
    <w:p w14:paraId="22EB96A1">
      <w:pPr>
        <w:ind w:firstLine="422"/>
        <w:jc w:val="left"/>
        <w:rPr>
          <w:rFonts w:ascii="宋体" w:hAnsi="宋体"/>
          <w:kern w:val="44"/>
        </w:rPr>
      </w:pPr>
      <w:r>
        <w:rPr>
          <w:rFonts w:hint="eastAsia" w:ascii="宋体" w:hAnsi="宋体"/>
          <w:b/>
          <w:kern w:val="44"/>
        </w:rPr>
        <w:t>第八条</w:t>
      </w:r>
      <w:r>
        <w:rPr>
          <w:rFonts w:hint="eastAsia" w:ascii="宋体" w:hAnsi="宋体"/>
          <w:kern w:val="44"/>
        </w:rPr>
        <w:t>　改装动力机械安全系统，应当报经市农业机械安全监督管理机构核准，按照国家有关农业机械运行安全技术条件的要求，检验合格后方可使用。</w:t>
      </w:r>
    </w:p>
    <w:p w14:paraId="6FC3F77C">
      <w:pPr>
        <w:ind w:firstLine="422"/>
        <w:jc w:val="left"/>
        <w:rPr>
          <w:rFonts w:ascii="宋体" w:hAnsi="宋体"/>
          <w:kern w:val="44"/>
        </w:rPr>
      </w:pPr>
      <w:r>
        <w:rPr>
          <w:rFonts w:hint="eastAsia" w:ascii="宋体" w:hAnsi="宋体"/>
          <w:b/>
          <w:kern w:val="44"/>
        </w:rPr>
        <w:t>第九条</w:t>
      </w:r>
      <w:r>
        <w:rPr>
          <w:rFonts w:hint="eastAsia" w:ascii="宋体" w:hAnsi="宋体"/>
          <w:kern w:val="44"/>
        </w:rPr>
        <w:t>　农业机械驾驶、操作人员应当具备下列条件：</w:t>
      </w:r>
    </w:p>
    <w:p w14:paraId="11D2D721">
      <w:pPr>
        <w:jc w:val="left"/>
        <w:rPr>
          <w:rFonts w:ascii="宋体" w:hAnsi="宋体"/>
          <w:kern w:val="44"/>
        </w:rPr>
      </w:pPr>
      <w:r>
        <w:rPr>
          <w:rFonts w:hint="eastAsia" w:ascii="宋体" w:hAnsi="宋体"/>
          <w:kern w:val="44"/>
        </w:rPr>
        <w:t>（一）年满18周岁，身体健康；</w:t>
      </w:r>
    </w:p>
    <w:p w14:paraId="1377EAB2">
      <w:pPr>
        <w:jc w:val="left"/>
        <w:rPr>
          <w:rFonts w:ascii="宋体" w:hAnsi="宋体"/>
          <w:kern w:val="44"/>
        </w:rPr>
      </w:pPr>
      <w:r>
        <w:rPr>
          <w:rFonts w:hint="eastAsia" w:ascii="宋体" w:hAnsi="宋体"/>
          <w:kern w:val="44"/>
        </w:rPr>
        <w:t>（二）具有初中以上或者相当于初中以上的文化程度，掌握一定的农业机械专门知识；</w:t>
      </w:r>
    </w:p>
    <w:p w14:paraId="49529781">
      <w:pPr>
        <w:jc w:val="left"/>
        <w:rPr>
          <w:rFonts w:ascii="宋体" w:hAnsi="宋体"/>
          <w:kern w:val="44"/>
        </w:rPr>
      </w:pPr>
      <w:r>
        <w:rPr>
          <w:rFonts w:hint="eastAsia" w:ascii="宋体" w:hAnsi="宋体"/>
          <w:kern w:val="44"/>
        </w:rPr>
        <w:t>（三）经过专门培训并取得驾驶证或者操作证；</w:t>
      </w:r>
    </w:p>
    <w:p w14:paraId="32A8D99F">
      <w:pPr>
        <w:jc w:val="left"/>
        <w:rPr>
          <w:rFonts w:ascii="宋体" w:hAnsi="宋体"/>
          <w:kern w:val="44"/>
        </w:rPr>
      </w:pPr>
      <w:r>
        <w:rPr>
          <w:rFonts w:hint="eastAsia" w:ascii="宋体" w:hAnsi="宋体"/>
          <w:kern w:val="44"/>
        </w:rPr>
        <w:t>（四）国家和本市规定的其他条件。</w:t>
      </w:r>
    </w:p>
    <w:p w14:paraId="3C4AFDDC">
      <w:pPr>
        <w:ind w:firstLine="422"/>
        <w:jc w:val="left"/>
        <w:rPr>
          <w:rFonts w:ascii="宋体" w:hAnsi="宋体"/>
          <w:kern w:val="44"/>
        </w:rPr>
      </w:pPr>
      <w:r>
        <w:rPr>
          <w:rFonts w:hint="eastAsia" w:ascii="宋体" w:hAnsi="宋体"/>
          <w:b/>
          <w:kern w:val="44"/>
        </w:rPr>
        <w:t>第十条</w:t>
      </w:r>
      <w:r>
        <w:rPr>
          <w:rFonts w:hint="eastAsia" w:ascii="宋体" w:hAnsi="宋体"/>
          <w:kern w:val="44"/>
        </w:rPr>
        <w:t>　农业机械驾驶、操作人员应当经农业机械安全监督管理机构指定或者认可的专门培训机构培训；经农业机械安全监督管理机构考核合格的，发给驾驶证或者操作证。</w:t>
      </w:r>
    </w:p>
    <w:p w14:paraId="5842167E">
      <w:pPr>
        <w:jc w:val="left"/>
        <w:rPr>
          <w:rFonts w:ascii="宋体" w:hAnsi="宋体"/>
          <w:kern w:val="44"/>
        </w:rPr>
      </w:pPr>
      <w:r>
        <w:rPr>
          <w:rFonts w:hint="eastAsia" w:ascii="宋体" w:hAnsi="宋体"/>
          <w:kern w:val="44"/>
        </w:rPr>
        <w:t>驾驶证和操作证不得转借、涂改和伪造;有变更或者遗失的，使用者应当及时到原发证机关办理相关手续。</w:t>
      </w:r>
    </w:p>
    <w:p w14:paraId="358A0EB4">
      <w:pPr>
        <w:ind w:firstLine="422"/>
        <w:jc w:val="left"/>
        <w:rPr>
          <w:rFonts w:ascii="宋体" w:hAnsi="宋体"/>
          <w:kern w:val="44"/>
        </w:rPr>
      </w:pPr>
      <w:r>
        <w:rPr>
          <w:rFonts w:hint="eastAsia" w:ascii="宋体" w:hAnsi="宋体"/>
          <w:b/>
          <w:kern w:val="44"/>
        </w:rPr>
        <w:t>第十一条</w:t>
      </w:r>
      <w:r>
        <w:rPr>
          <w:rFonts w:hint="eastAsia" w:ascii="宋体" w:hAnsi="宋体"/>
          <w:kern w:val="44"/>
        </w:rPr>
        <w:t>　农业机械驾驶、操作人员使用农业机械应当遵守下列规定：</w:t>
      </w:r>
    </w:p>
    <w:p w14:paraId="5F8AFCCA">
      <w:pPr>
        <w:jc w:val="left"/>
        <w:rPr>
          <w:rFonts w:ascii="宋体" w:hAnsi="宋体"/>
          <w:kern w:val="44"/>
        </w:rPr>
      </w:pPr>
      <w:r>
        <w:rPr>
          <w:rFonts w:hint="eastAsia" w:ascii="宋体" w:hAnsi="宋体"/>
          <w:kern w:val="44"/>
        </w:rPr>
        <w:t>（一）随身携带驾驶证或者操作证；</w:t>
      </w:r>
    </w:p>
    <w:p w14:paraId="63F5E515">
      <w:pPr>
        <w:jc w:val="left"/>
        <w:rPr>
          <w:rFonts w:ascii="宋体" w:hAnsi="宋体"/>
          <w:kern w:val="44"/>
        </w:rPr>
      </w:pPr>
      <w:r>
        <w:rPr>
          <w:rFonts w:hint="eastAsia" w:ascii="宋体" w:hAnsi="宋体"/>
          <w:kern w:val="44"/>
        </w:rPr>
        <w:t>（二）所持证件与准用的农业机械名称、种类、型号相符；</w:t>
      </w:r>
    </w:p>
    <w:p w14:paraId="05FAD059">
      <w:pPr>
        <w:jc w:val="left"/>
        <w:rPr>
          <w:rFonts w:ascii="宋体" w:hAnsi="宋体"/>
          <w:kern w:val="44"/>
        </w:rPr>
      </w:pPr>
      <w:r>
        <w:rPr>
          <w:rFonts w:hint="eastAsia" w:ascii="宋体" w:hAnsi="宋体"/>
          <w:kern w:val="44"/>
        </w:rPr>
        <w:t>（三）严格执行安全生产的规章制度和安全操作规程；</w:t>
      </w:r>
    </w:p>
    <w:p w14:paraId="130E08C2">
      <w:pPr>
        <w:jc w:val="left"/>
        <w:rPr>
          <w:rFonts w:ascii="宋体" w:hAnsi="宋体"/>
          <w:kern w:val="44"/>
        </w:rPr>
      </w:pPr>
      <w:r>
        <w:rPr>
          <w:rFonts w:hint="eastAsia" w:ascii="宋体" w:hAnsi="宋体"/>
          <w:kern w:val="44"/>
        </w:rPr>
        <w:t>（四）按照规定维修、保养所使用的农业机械设备，保持安全技术状态良好，机容整洁，安全设施齐全有效；</w:t>
      </w:r>
    </w:p>
    <w:p w14:paraId="34AE5DB2">
      <w:pPr>
        <w:jc w:val="left"/>
        <w:rPr>
          <w:rFonts w:ascii="宋体" w:hAnsi="宋体"/>
          <w:kern w:val="44"/>
        </w:rPr>
      </w:pPr>
      <w:r>
        <w:rPr>
          <w:rFonts w:hint="eastAsia" w:ascii="宋体" w:hAnsi="宋体"/>
          <w:kern w:val="44"/>
        </w:rPr>
        <w:t>（五）按时参加审验，服从安全检查，接受安全教育。</w:t>
      </w:r>
    </w:p>
    <w:p w14:paraId="40C905E2">
      <w:pPr>
        <w:jc w:val="left"/>
        <w:rPr>
          <w:rFonts w:ascii="宋体" w:hAnsi="宋体"/>
          <w:kern w:val="44"/>
        </w:rPr>
      </w:pPr>
      <w:r>
        <w:rPr>
          <w:rFonts w:hint="eastAsia" w:ascii="宋体" w:hAnsi="宋体"/>
          <w:kern w:val="44"/>
        </w:rPr>
        <w:t>任何单位和个人不得怂恿、强迫他人违章作业。无驾驶证、操作证的人员不得驾驶、操作农业机械。</w:t>
      </w:r>
    </w:p>
    <w:p w14:paraId="178E3C09">
      <w:pPr>
        <w:ind w:firstLine="422"/>
        <w:jc w:val="left"/>
        <w:rPr>
          <w:rFonts w:ascii="宋体" w:hAnsi="宋体"/>
          <w:kern w:val="44"/>
        </w:rPr>
      </w:pPr>
      <w:r>
        <w:rPr>
          <w:rFonts w:hint="eastAsia" w:ascii="宋体" w:hAnsi="宋体"/>
          <w:b/>
          <w:kern w:val="44"/>
        </w:rPr>
        <w:t>第十二条</w:t>
      </w:r>
      <w:r>
        <w:rPr>
          <w:rFonts w:hint="eastAsia" w:ascii="宋体" w:hAnsi="宋体"/>
          <w:kern w:val="44"/>
        </w:rPr>
        <w:t>　违反本办法的，由农业机械安全监督管理机构按照《条例》第三十五条、第三十六条的规定予以处罚。</w:t>
      </w:r>
    </w:p>
    <w:p w14:paraId="3F103B54">
      <w:pPr>
        <w:ind w:firstLine="422"/>
        <w:jc w:val="left"/>
        <w:rPr>
          <w:rFonts w:ascii="宋体" w:hAnsi="宋体"/>
          <w:kern w:val="44"/>
        </w:rPr>
      </w:pPr>
      <w:r>
        <w:rPr>
          <w:rFonts w:hint="eastAsia" w:ascii="宋体" w:hAnsi="宋体"/>
          <w:b/>
          <w:kern w:val="44"/>
        </w:rPr>
        <w:t>第十三条</w:t>
      </w:r>
      <w:r>
        <w:rPr>
          <w:rFonts w:hint="eastAsia" w:ascii="宋体" w:hAnsi="宋体"/>
          <w:kern w:val="44"/>
        </w:rPr>
        <w:t>　除道路运输外，农业机械在乡村道路以及田间、场院发生安全事故，应当及时报告农业机械安全监督管理机构，由农业机械安全监督管理机构依照有关规定处理。</w:t>
      </w:r>
    </w:p>
    <w:p w14:paraId="63ED14A1">
      <w:pPr>
        <w:ind w:firstLine="422"/>
        <w:jc w:val="left"/>
        <w:rPr>
          <w:rFonts w:ascii="宋体" w:hAnsi="宋体"/>
          <w:kern w:val="44"/>
        </w:rPr>
      </w:pPr>
      <w:r>
        <w:rPr>
          <w:rFonts w:hint="eastAsia" w:ascii="宋体" w:hAnsi="宋体"/>
          <w:b/>
          <w:kern w:val="44"/>
        </w:rPr>
        <w:t>第十四条</w:t>
      </w:r>
      <w:r>
        <w:rPr>
          <w:rFonts w:hint="eastAsia" w:ascii="宋体" w:hAnsi="宋体"/>
          <w:kern w:val="44"/>
        </w:rPr>
        <w:t>　本办法自1995年9月1日起施行。</w:t>
      </w:r>
    </w:p>
    <w:p w14:paraId="5C8DA059">
      <w:pPr>
        <w:pStyle w:val="4"/>
        <w:pageBreakBefore/>
        <w:rPr>
          <w:kern w:val="44"/>
        </w:rPr>
      </w:pPr>
      <w:bookmarkStart w:id="1124" w:name="_Toc422471300"/>
      <w:bookmarkStart w:id="1125" w:name="_Toc428781628"/>
      <w:bookmarkStart w:id="1126" w:name="_Toc427651580"/>
      <w:bookmarkStart w:id="1127" w:name="_Toc428780146"/>
      <w:bookmarkStart w:id="1128" w:name="_Toc427651922"/>
      <w:r>
        <w:rPr>
          <w:rFonts w:hint="eastAsia"/>
          <w:kern w:val="44"/>
        </w:rPr>
        <w:t>北京市实施《水产资源繁殖</w:t>
      </w:r>
      <w:bookmarkEnd w:id="1124"/>
      <w:bookmarkStart w:id="1129" w:name="_Toc422471301"/>
      <w:r>
        <w:rPr>
          <w:rFonts w:hint="eastAsia"/>
          <w:kern w:val="44"/>
        </w:rPr>
        <w:t>保护条例》若干规定</w:t>
      </w:r>
      <w:bookmarkEnd w:id="1125"/>
      <w:bookmarkEnd w:id="1126"/>
      <w:bookmarkEnd w:id="1127"/>
      <w:bookmarkEnd w:id="1128"/>
      <w:bookmarkEnd w:id="1129"/>
    </w:p>
    <w:p w14:paraId="14B679DA">
      <w:pPr>
        <w:jc w:val="left"/>
        <w:rPr>
          <w:rFonts w:ascii="宋体" w:hAnsi="宋体"/>
          <w:kern w:val="44"/>
        </w:rPr>
      </w:pPr>
    </w:p>
    <w:p w14:paraId="4DEC14FC">
      <w:pPr>
        <w:ind w:left="630" w:leftChars="300" w:right="630" w:rightChars="300"/>
        <w:jc w:val="left"/>
        <w:rPr>
          <w:rFonts w:ascii="楷体" w:hAnsi="楷体" w:eastAsia="楷体"/>
          <w:kern w:val="44"/>
        </w:rPr>
      </w:pPr>
      <w:r>
        <w:rPr>
          <w:rFonts w:hint="eastAsia" w:ascii="楷体" w:hAnsi="楷体" w:eastAsia="楷体"/>
          <w:kern w:val="44"/>
        </w:rPr>
        <w:t>（1997年3月28日北京市人民政府第3号令发布　根据2004年6月1日北京市人民政府第150号令第一次修改　根据2007年11月23日北京市人民政府第200号令第二次修改）</w:t>
      </w:r>
    </w:p>
    <w:p w14:paraId="2075263F">
      <w:pPr>
        <w:jc w:val="left"/>
        <w:rPr>
          <w:rFonts w:ascii="宋体" w:hAnsi="宋体"/>
          <w:kern w:val="44"/>
        </w:rPr>
      </w:pPr>
    </w:p>
    <w:p w14:paraId="2A35F3D5">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为加强本市水产资源繁殖保护工作，发展水产事业，根据国务院发布的《水产资源繁殖保护条例》（以下简称《条例》）和有关法律、法规，结合本市实际情况，制定本规定。</w:t>
      </w:r>
    </w:p>
    <w:p w14:paraId="227F9980">
      <w:pPr>
        <w:ind w:firstLine="422"/>
        <w:jc w:val="left"/>
        <w:rPr>
          <w:rFonts w:ascii="宋体" w:hAnsi="宋体"/>
          <w:kern w:val="44"/>
        </w:rPr>
      </w:pPr>
      <w:r>
        <w:rPr>
          <w:rFonts w:hint="eastAsia" w:ascii="宋体" w:hAnsi="宋体"/>
          <w:b/>
          <w:kern w:val="44"/>
        </w:rPr>
        <w:t>第二条</w:t>
      </w:r>
      <w:r>
        <w:rPr>
          <w:rFonts w:hint="eastAsia" w:ascii="宋体" w:hAnsi="宋体"/>
          <w:kern w:val="44"/>
        </w:rPr>
        <w:t>　凡本市行政区域内，具有经济价值的水生动植物亲体、幼体、卵子、孢子等及其赖以繁殖成长的水域环境，均应按照《条例》和本规定加以保护。</w:t>
      </w:r>
    </w:p>
    <w:p w14:paraId="00AAA0EF">
      <w:pPr>
        <w:ind w:firstLine="422"/>
        <w:jc w:val="left"/>
        <w:rPr>
          <w:rFonts w:ascii="宋体" w:hAnsi="宋体"/>
          <w:kern w:val="44"/>
        </w:rPr>
      </w:pPr>
      <w:r>
        <w:rPr>
          <w:rFonts w:hint="eastAsia" w:ascii="宋体" w:hAnsi="宋体"/>
          <w:b/>
          <w:kern w:val="44"/>
        </w:rPr>
        <w:t>第三条</w:t>
      </w:r>
      <w:r>
        <w:rPr>
          <w:rFonts w:hint="eastAsia" w:ascii="宋体" w:hAnsi="宋体"/>
          <w:kern w:val="44"/>
        </w:rPr>
        <w:t>　市农业局是本市渔业行政主管部门，负责本市水产资源繁殖保护工作；区、县渔业行政主管部门负责本行政区域内的水产资源繁殖保护工作。</w:t>
      </w:r>
    </w:p>
    <w:p w14:paraId="55EE57FB">
      <w:pPr>
        <w:ind w:firstLine="422"/>
        <w:jc w:val="left"/>
        <w:rPr>
          <w:rFonts w:ascii="宋体" w:hAnsi="宋体"/>
          <w:kern w:val="44"/>
        </w:rPr>
      </w:pPr>
      <w:r>
        <w:rPr>
          <w:rFonts w:hint="eastAsia" w:ascii="宋体" w:hAnsi="宋体"/>
          <w:b/>
          <w:kern w:val="44"/>
        </w:rPr>
        <w:t>第四条</w:t>
      </w:r>
      <w:r>
        <w:rPr>
          <w:rFonts w:hint="eastAsia" w:ascii="宋体" w:hAnsi="宋体"/>
          <w:kern w:val="44"/>
        </w:rPr>
        <w:t>　本市各级渔业行政主管部门及其渔政监督管理机构，应当在同级人民政府的领导下，依法加强水产资源繁殖保护工作及监督检查，保障对水产资源的合理利用。</w:t>
      </w:r>
    </w:p>
    <w:p w14:paraId="0E22E923">
      <w:pPr>
        <w:ind w:firstLine="422"/>
        <w:jc w:val="left"/>
        <w:rPr>
          <w:rFonts w:ascii="宋体" w:hAnsi="宋体"/>
          <w:kern w:val="44"/>
        </w:rPr>
      </w:pPr>
      <w:r>
        <w:rPr>
          <w:rFonts w:hint="eastAsia" w:ascii="宋体" w:hAnsi="宋体"/>
          <w:b/>
          <w:kern w:val="44"/>
        </w:rPr>
        <w:t>第五条</w:t>
      </w:r>
      <w:r>
        <w:rPr>
          <w:rFonts w:hint="eastAsia" w:ascii="宋体" w:hAnsi="宋体"/>
          <w:kern w:val="44"/>
        </w:rPr>
        <w:t>　本市鼓励对水产资源的繁殖保护。在不破坏现有资源和环境的前提下，可以依法合理开发利用水产资源。任何单位和个人都有权揭发、检举破坏水产资源繁殖保护的行为。</w:t>
      </w:r>
    </w:p>
    <w:p w14:paraId="58CA1E8B">
      <w:pPr>
        <w:ind w:firstLine="422"/>
        <w:jc w:val="left"/>
        <w:rPr>
          <w:rFonts w:ascii="宋体" w:hAnsi="宋体"/>
          <w:kern w:val="44"/>
        </w:rPr>
      </w:pPr>
      <w:r>
        <w:rPr>
          <w:rFonts w:hint="eastAsia" w:ascii="宋体" w:hAnsi="宋体"/>
          <w:b/>
          <w:kern w:val="44"/>
        </w:rPr>
        <w:t>第六条</w:t>
      </w:r>
      <w:r>
        <w:rPr>
          <w:rFonts w:hint="eastAsia" w:ascii="宋体" w:hAnsi="宋体"/>
          <w:kern w:val="44"/>
        </w:rPr>
        <w:t>　本市对下列珍贵和重要水生动、植物重点加以繁殖保护：</w:t>
      </w:r>
    </w:p>
    <w:p w14:paraId="25580B70">
      <w:pPr>
        <w:jc w:val="left"/>
        <w:rPr>
          <w:rFonts w:ascii="宋体" w:hAnsi="宋体"/>
          <w:kern w:val="44"/>
        </w:rPr>
      </w:pPr>
      <w:r>
        <w:rPr>
          <w:rFonts w:hint="eastAsia" w:ascii="宋体" w:hAnsi="宋体"/>
          <w:kern w:val="44"/>
        </w:rPr>
        <w:t>（一）鱼类：鲢鱼、鲤鱼、草鱼、鳙鱼、青鱼、鲫鱼、鲶鱼、罗非鱼、鳊鱼、鲟鱼、鳗鱼、鲦鱼、香鱼、鳜鱼、团头鲂、乌鳢、圆尾斗鱼、赤眼鳟、虹鳟、中华九刺鱼、细鳞鱼、雅罗鱼、太湖短吻银鱼、多鳞铲颌鱼、东方薄鳅、黄线薄鳅、鲴鱼、池沼公鱼、红鳍鲌、翘嘴红鲌等。</w:t>
      </w:r>
    </w:p>
    <w:p w14:paraId="2666FEA2">
      <w:pPr>
        <w:jc w:val="left"/>
        <w:rPr>
          <w:rFonts w:ascii="宋体" w:hAnsi="宋体"/>
          <w:kern w:val="44"/>
        </w:rPr>
      </w:pPr>
      <w:r>
        <w:rPr>
          <w:rFonts w:hint="eastAsia" w:ascii="宋体" w:hAnsi="宋体"/>
          <w:kern w:val="44"/>
        </w:rPr>
        <w:t>（二）虾蟹类：罗氏沼虾、青虾、河蟹等。</w:t>
      </w:r>
    </w:p>
    <w:p w14:paraId="23FC07D5">
      <w:pPr>
        <w:jc w:val="left"/>
        <w:rPr>
          <w:rFonts w:ascii="宋体" w:hAnsi="宋体"/>
          <w:kern w:val="44"/>
        </w:rPr>
      </w:pPr>
      <w:r>
        <w:rPr>
          <w:rFonts w:hint="eastAsia" w:ascii="宋体" w:hAnsi="宋体"/>
          <w:kern w:val="44"/>
        </w:rPr>
        <w:t>（三）水生植物类：莲藕、菱角、茭白等。</w:t>
      </w:r>
    </w:p>
    <w:p w14:paraId="4EBE7B2E">
      <w:pPr>
        <w:jc w:val="left"/>
        <w:rPr>
          <w:rFonts w:ascii="宋体" w:hAnsi="宋体"/>
          <w:kern w:val="44"/>
        </w:rPr>
      </w:pPr>
      <w:r>
        <w:rPr>
          <w:rFonts w:hint="eastAsia" w:ascii="宋体" w:hAnsi="宋体"/>
          <w:kern w:val="44"/>
        </w:rPr>
        <w:t>（四）其他：大鲵、鳖、牛蛙、河蚌等。</w:t>
      </w:r>
    </w:p>
    <w:p w14:paraId="0AC6F0E0">
      <w:pPr>
        <w:ind w:firstLine="422"/>
        <w:jc w:val="left"/>
        <w:rPr>
          <w:rFonts w:ascii="宋体" w:hAnsi="宋体"/>
          <w:kern w:val="44"/>
        </w:rPr>
      </w:pPr>
      <w:r>
        <w:rPr>
          <w:rFonts w:hint="eastAsia" w:ascii="宋体" w:hAnsi="宋体"/>
          <w:b/>
          <w:kern w:val="44"/>
        </w:rPr>
        <w:t>第七条</w:t>
      </w:r>
      <w:r>
        <w:rPr>
          <w:rFonts w:hint="eastAsia" w:ascii="宋体" w:hAnsi="宋体"/>
          <w:kern w:val="44"/>
        </w:rPr>
        <w:t>　禁止捕捞、采集国家明令保护的水生动、植物。</w:t>
      </w:r>
    </w:p>
    <w:p w14:paraId="41704B39">
      <w:pPr>
        <w:jc w:val="left"/>
        <w:rPr>
          <w:rFonts w:ascii="宋体" w:hAnsi="宋体"/>
          <w:kern w:val="44"/>
        </w:rPr>
      </w:pPr>
      <w:r>
        <w:rPr>
          <w:rFonts w:hint="eastAsia" w:ascii="宋体" w:hAnsi="宋体"/>
          <w:kern w:val="44"/>
        </w:rPr>
        <w:t>重点保护水生动、植物品种的捕捞、采集标准，由市农业局根据本市具体情况另行制定。</w:t>
      </w:r>
    </w:p>
    <w:p w14:paraId="46D93BFC">
      <w:pPr>
        <w:ind w:firstLine="422"/>
        <w:jc w:val="left"/>
        <w:rPr>
          <w:rFonts w:ascii="宋体" w:hAnsi="宋体"/>
          <w:kern w:val="44"/>
        </w:rPr>
      </w:pPr>
      <w:r>
        <w:rPr>
          <w:rFonts w:hint="eastAsia" w:ascii="宋体" w:hAnsi="宋体"/>
          <w:b/>
          <w:kern w:val="44"/>
        </w:rPr>
        <w:t>第八条</w:t>
      </w:r>
      <w:r>
        <w:rPr>
          <w:rFonts w:hint="eastAsia" w:ascii="宋体" w:hAnsi="宋体"/>
          <w:kern w:val="44"/>
        </w:rPr>
        <w:t>　市农业局应当根据渔业生产和水产资源繁殖保护的需要，在渔业水域内划定禁渔区，规定禁渔期，并向社会公布。</w:t>
      </w:r>
    </w:p>
    <w:p w14:paraId="124537FA">
      <w:pPr>
        <w:jc w:val="left"/>
        <w:rPr>
          <w:rFonts w:ascii="宋体" w:hAnsi="宋体"/>
          <w:kern w:val="44"/>
        </w:rPr>
      </w:pPr>
      <w:r>
        <w:rPr>
          <w:rFonts w:hint="eastAsia" w:ascii="宋体" w:hAnsi="宋体"/>
          <w:kern w:val="44"/>
        </w:rPr>
        <w:t>在禁渔区四周应当设置明显标志。禁渔期间，禁渔区内禁止一切捕捞作业。</w:t>
      </w:r>
    </w:p>
    <w:p w14:paraId="43B53984">
      <w:pPr>
        <w:ind w:firstLine="422"/>
        <w:jc w:val="left"/>
        <w:rPr>
          <w:rFonts w:ascii="宋体" w:hAnsi="宋体"/>
          <w:kern w:val="44"/>
        </w:rPr>
      </w:pPr>
      <w:r>
        <w:rPr>
          <w:rFonts w:hint="eastAsia" w:ascii="宋体" w:hAnsi="宋体"/>
          <w:b/>
          <w:kern w:val="44"/>
        </w:rPr>
        <w:t>第九条</w:t>
      </w:r>
      <w:r>
        <w:rPr>
          <w:rFonts w:hint="eastAsia" w:ascii="宋体" w:hAnsi="宋体"/>
          <w:kern w:val="44"/>
        </w:rPr>
        <w:t>　禁止向渔业水域排放危害水产资源的污水、油类、油性混合物及其他污染物质和废弃物质。企业排污应当符合排污标准，保证临近渔业水域的水质。</w:t>
      </w:r>
    </w:p>
    <w:p w14:paraId="7E151561">
      <w:pPr>
        <w:ind w:firstLine="422"/>
        <w:jc w:val="left"/>
        <w:rPr>
          <w:rFonts w:ascii="宋体" w:hAnsi="宋体"/>
          <w:kern w:val="44"/>
        </w:rPr>
      </w:pPr>
      <w:r>
        <w:rPr>
          <w:rFonts w:hint="eastAsia" w:ascii="宋体" w:hAnsi="宋体"/>
          <w:b/>
          <w:kern w:val="44"/>
        </w:rPr>
        <w:t>第十条</w:t>
      </w:r>
      <w:r>
        <w:rPr>
          <w:rFonts w:hint="eastAsia" w:ascii="宋体" w:hAnsi="宋体"/>
          <w:kern w:val="44"/>
        </w:rPr>
        <w:t>　渔政监督管理机构每年应当负责组织向水库投放一定数量和一定规格的鱼种，并在鱼类自然繁殖季节组织敷设人工鱼巢，以保证水库渔业资源的充分增殖和合理利用。</w:t>
      </w:r>
    </w:p>
    <w:p w14:paraId="0465F359">
      <w:pPr>
        <w:ind w:firstLine="422"/>
        <w:jc w:val="left"/>
        <w:rPr>
          <w:rFonts w:ascii="宋体" w:hAnsi="宋体"/>
          <w:kern w:val="44"/>
        </w:rPr>
      </w:pPr>
      <w:r>
        <w:rPr>
          <w:rFonts w:hint="eastAsia" w:ascii="宋体" w:hAnsi="宋体"/>
          <w:b/>
          <w:kern w:val="44"/>
        </w:rPr>
        <w:t>第十一条</w:t>
      </w:r>
      <w:r>
        <w:rPr>
          <w:rFonts w:hint="eastAsia" w:ascii="宋体" w:hAnsi="宋体"/>
          <w:kern w:val="44"/>
        </w:rPr>
        <w:t>　对违反本规定的，按照《条例》和有关法律、法规的规定给予处罚。</w:t>
      </w:r>
    </w:p>
    <w:p w14:paraId="77169094">
      <w:pPr>
        <w:ind w:firstLine="422"/>
        <w:jc w:val="left"/>
        <w:rPr>
          <w:rFonts w:ascii="宋体" w:hAnsi="宋体"/>
          <w:kern w:val="44"/>
        </w:rPr>
      </w:pPr>
      <w:r>
        <w:rPr>
          <w:rFonts w:hint="eastAsia" w:ascii="宋体" w:hAnsi="宋体"/>
          <w:b/>
          <w:kern w:val="44"/>
        </w:rPr>
        <w:t>第十二条</w:t>
      </w:r>
      <w:r>
        <w:rPr>
          <w:rFonts w:hint="eastAsia" w:ascii="宋体" w:hAnsi="宋体"/>
          <w:kern w:val="44"/>
        </w:rPr>
        <w:t>　本规定自1997年5月1日起施行。</w:t>
      </w:r>
    </w:p>
    <w:p w14:paraId="2AD5C1B0">
      <w:pPr>
        <w:pStyle w:val="3"/>
        <w:pageBreakBefore/>
        <w:rPr>
          <w:kern w:val="44"/>
        </w:rPr>
      </w:pPr>
      <w:bookmarkStart w:id="1130" w:name="_Toc422471302"/>
      <w:bookmarkStart w:id="1131" w:name="_Toc428781629"/>
      <w:bookmarkStart w:id="1132" w:name="_Toc427651923"/>
      <w:bookmarkStart w:id="1133" w:name="_Toc427651581"/>
      <w:bookmarkStart w:id="1134" w:name="_Toc428780147"/>
      <w:r>
        <w:rPr>
          <w:rFonts w:hint="eastAsia"/>
          <w:kern w:val="44"/>
        </w:rPr>
        <w:t>（八）审  计</w:t>
      </w:r>
      <w:bookmarkEnd w:id="1130"/>
      <w:bookmarkEnd w:id="1131"/>
      <w:bookmarkEnd w:id="1132"/>
      <w:bookmarkEnd w:id="1133"/>
      <w:bookmarkEnd w:id="1134"/>
    </w:p>
    <w:p w14:paraId="4E2A76B5"/>
    <w:p w14:paraId="29236180">
      <w:pPr>
        <w:pStyle w:val="4"/>
        <w:rPr>
          <w:kern w:val="44"/>
        </w:rPr>
      </w:pPr>
      <w:bookmarkStart w:id="1135" w:name="_Toc427651582"/>
      <w:bookmarkStart w:id="1136" w:name="_Toc422471303"/>
      <w:bookmarkStart w:id="1137" w:name="_Toc428781630"/>
      <w:bookmarkStart w:id="1138" w:name="_Toc427651924"/>
      <w:bookmarkStart w:id="1139" w:name="_Toc428780148"/>
      <w:r>
        <w:rPr>
          <w:rFonts w:hint="eastAsia"/>
          <w:kern w:val="44"/>
        </w:rPr>
        <w:t>北京市农村集体经济审计条例</w:t>
      </w:r>
      <w:bookmarkEnd w:id="1135"/>
      <w:bookmarkEnd w:id="1136"/>
      <w:bookmarkEnd w:id="1137"/>
      <w:bookmarkEnd w:id="1138"/>
      <w:bookmarkEnd w:id="1139"/>
    </w:p>
    <w:p w14:paraId="1FA28919">
      <w:pPr>
        <w:ind w:left="630" w:leftChars="300" w:right="630" w:rightChars="300"/>
        <w:jc w:val="left"/>
        <w:rPr>
          <w:rFonts w:ascii="楷体" w:hAnsi="楷体" w:eastAsia="楷体"/>
          <w:kern w:val="44"/>
        </w:rPr>
      </w:pPr>
      <w:r>
        <w:rPr>
          <w:rFonts w:hint="eastAsia" w:ascii="楷体" w:hAnsi="楷体" w:eastAsia="楷体"/>
          <w:kern w:val="44"/>
        </w:rPr>
        <w:t>（1997年1月16日北京市第十届人民代表大会常务委员会第三十五次会议通过　根据2010年12月23日北京市第十三届人民代表大会常务委员会第二十二次会议《关于修改部分地方性法规的决定》修正 ）</w:t>
      </w:r>
    </w:p>
    <w:p w14:paraId="41CF4E97">
      <w:pPr>
        <w:jc w:val="left"/>
        <w:rPr>
          <w:rFonts w:ascii="宋体" w:hAnsi="宋体"/>
          <w:kern w:val="44"/>
        </w:rPr>
      </w:pPr>
    </w:p>
    <w:p w14:paraId="26DCBF24">
      <w:pPr>
        <w:ind w:firstLine="0" w:firstLineChars="0"/>
        <w:jc w:val="center"/>
        <w:rPr>
          <w:rFonts w:ascii="宋体" w:hAnsi="宋体"/>
          <w:b/>
          <w:kern w:val="44"/>
          <w:sz w:val="28"/>
        </w:rPr>
      </w:pPr>
      <w:r>
        <w:rPr>
          <w:rFonts w:hint="eastAsia" w:ascii="宋体" w:hAnsi="宋体"/>
          <w:b/>
          <w:kern w:val="44"/>
          <w:sz w:val="28"/>
        </w:rPr>
        <w:t>第一章　总　则</w:t>
      </w:r>
    </w:p>
    <w:p w14:paraId="2329DA08">
      <w:pPr>
        <w:jc w:val="left"/>
        <w:rPr>
          <w:rFonts w:ascii="宋体" w:hAnsi="宋体"/>
          <w:kern w:val="44"/>
        </w:rPr>
      </w:pPr>
    </w:p>
    <w:p w14:paraId="6C28CEA1">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为了加强农村集体经济的审计监督，巩固、发展农村集体经济，保护农民合法权益，根据有关法律、法规的规定，结合本市实际情况，制定本条例。</w:t>
      </w:r>
    </w:p>
    <w:p w14:paraId="34AD0278">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本条例适用于本市农村集体经济组织（即乡镇合作经济联合社、村经济合作社以及其他农村合作经济组织，以下简称合作社）及其所属企业事业单位的财务收支等有关经济活动的审计监督。</w:t>
      </w:r>
    </w:p>
    <w:p w14:paraId="677390FD">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市和区、县人民政府农村工作主管部门是本行政区域内农村集体经济审计工作的主管机关（以下简称主管机关），日常工作由同级农村合作经济管理部门负责。</w:t>
      </w:r>
    </w:p>
    <w:p w14:paraId="4C85738F">
      <w:pPr>
        <w:jc w:val="left"/>
        <w:rPr>
          <w:rFonts w:ascii="宋体" w:hAnsi="宋体"/>
          <w:kern w:val="44"/>
        </w:rPr>
      </w:pPr>
      <w:r>
        <w:rPr>
          <w:rFonts w:hint="eastAsia" w:ascii="宋体" w:hAnsi="宋体"/>
          <w:kern w:val="44"/>
        </w:rPr>
        <w:t>农村集体经济审计工作接受国家审计机关的指导和监督。</w:t>
      </w:r>
    </w:p>
    <w:p w14:paraId="311EE500">
      <w:pPr>
        <w:ind w:firstLine="422"/>
        <w:jc w:val="left"/>
        <w:rPr>
          <w:rFonts w:ascii="宋体" w:hAnsi="宋体"/>
          <w:kern w:val="44"/>
        </w:rPr>
      </w:pPr>
      <w:r>
        <w:rPr>
          <w:rFonts w:hint="eastAsia" w:ascii="宋体" w:hAnsi="宋体"/>
          <w:b/>
          <w:kern w:val="44"/>
        </w:rPr>
        <w:t>第四条</w:t>
      </w:r>
      <w:r>
        <w:rPr>
          <w:rFonts w:hint="eastAsia" w:ascii="宋体" w:hAnsi="宋体"/>
          <w:kern w:val="44"/>
        </w:rPr>
        <w:t>　农村集体经济组织设立的审计机构依照本条例规定，独立行使审计监督权，并向本级集体经济组织社员大会、职工大会或者其代表大会报告工作。</w:t>
      </w:r>
    </w:p>
    <w:p w14:paraId="1C366A76">
      <w:pPr>
        <w:ind w:firstLine="422"/>
        <w:jc w:val="left"/>
        <w:rPr>
          <w:rFonts w:ascii="宋体" w:hAnsi="宋体"/>
          <w:kern w:val="44"/>
        </w:rPr>
      </w:pPr>
      <w:r>
        <w:rPr>
          <w:rFonts w:hint="eastAsia" w:ascii="宋体" w:hAnsi="宋体"/>
          <w:b/>
          <w:kern w:val="44"/>
        </w:rPr>
        <w:t>第五条</w:t>
      </w:r>
      <w:r>
        <w:rPr>
          <w:rFonts w:hint="eastAsia" w:ascii="宋体" w:hAnsi="宋体"/>
          <w:kern w:val="44"/>
        </w:rPr>
        <w:t>　审计人员依法行使职权，受法律保护，任何人不得打击报复。</w:t>
      </w:r>
    </w:p>
    <w:p w14:paraId="490A0FA0">
      <w:pPr>
        <w:jc w:val="left"/>
        <w:rPr>
          <w:rFonts w:ascii="宋体" w:hAnsi="宋体"/>
          <w:kern w:val="44"/>
        </w:rPr>
      </w:pPr>
      <w:r>
        <w:rPr>
          <w:rFonts w:hint="eastAsia" w:ascii="宋体" w:hAnsi="宋体"/>
          <w:kern w:val="44"/>
        </w:rPr>
        <w:t>审计机构和审计人员办理审计事项，应当客观公正，实事求是，廉洁奉公，保守秘密。</w:t>
      </w:r>
    </w:p>
    <w:p w14:paraId="4C5E72A6">
      <w:pPr>
        <w:spacing w:line="300" w:lineRule="exact"/>
        <w:jc w:val="left"/>
        <w:rPr>
          <w:rFonts w:ascii="宋体" w:hAnsi="宋体"/>
          <w:kern w:val="44"/>
        </w:rPr>
      </w:pPr>
    </w:p>
    <w:p w14:paraId="3F5ECD18">
      <w:pPr>
        <w:ind w:firstLine="0" w:firstLineChars="0"/>
        <w:jc w:val="center"/>
        <w:rPr>
          <w:rFonts w:ascii="宋体" w:hAnsi="宋体"/>
          <w:b/>
          <w:kern w:val="44"/>
          <w:sz w:val="28"/>
        </w:rPr>
      </w:pPr>
      <w:r>
        <w:rPr>
          <w:rFonts w:hint="eastAsia" w:ascii="宋体" w:hAnsi="宋体"/>
          <w:b/>
          <w:kern w:val="44"/>
          <w:sz w:val="28"/>
        </w:rPr>
        <w:t>第二章　审计机构</w:t>
      </w:r>
    </w:p>
    <w:p w14:paraId="3ED74E96">
      <w:pPr>
        <w:spacing w:line="300" w:lineRule="exact"/>
        <w:jc w:val="left"/>
        <w:rPr>
          <w:rFonts w:ascii="宋体" w:hAnsi="宋体"/>
          <w:kern w:val="44"/>
        </w:rPr>
      </w:pPr>
    </w:p>
    <w:p w14:paraId="38ECAC5B">
      <w:pPr>
        <w:ind w:firstLine="422"/>
        <w:jc w:val="left"/>
        <w:rPr>
          <w:rFonts w:ascii="宋体" w:hAnsi="宋体"/>
          <w:kern w:val="44"/>
        </w:rPr>
      </w:pPr>
      <w:r>
        <w:rPr>
          <w:rFonts w:hint="eastAsia" w:ascii="宋体" w:hAnsi="宋体"/>
          <w:b/>
          <w:kern w:val="44"/>
        </w:rPr>
        <w:t>第六条</w:t>
      </w:r>
      <w:r>
        <w:rPr>
          <w:rFonts w:hint="eastAsia" w:ascii="宋体" w:hAnsi="宋体"/>
          <w:kern w:val="44"/>
        </w:rPr>
        <w:t>　合作社应当设立审计机构，但经济规模较小的村经济合作社及其他农村合作经济组织经区、县主管机关批准可以不设，其审计工作由乡镇合作经济联合社审计机构负责。</w:t>
      </w:r>
    </w:p>
    <w:p w14:paraId="173E571E">
      <w:pPr>
        <w:ind w:firstLine="422"/>
        <w:jc w:val="left"/>
        <w:rPr>
          <w:rFonts w:ascii="宋体" w:hAnsi="宋体"/>
          <w:kern w:val="44"/>
        </w:rPr>
      </w:pPr>
      <w:r>
        <w:rPr>
          <w:rFonts w:hint="eastAsia" w:ascii="宋体" w:hAnsi="宋体"/>
          <w:b/>
          <w:kern w:val="44"/>
        </w:rPr>
        <w:t>第七条</w:t>
      </w:r>
      <w:r>
        <w:rPr>
          <w:rFonts w:hint="eastAsia" w:ascii="宋体" w:hAnsi="宋体"/>
          <w:kern w:val="44"/>
        </w:rPr>
        <w:t>　规模较大的集体企业和事业单位应当设立审计机构，但规模较小的集体企业和事业单位经合作社管委会同意可以不设，其审计工作由合作社审计机构负责。</w:t>
      </w:r>
    </w:p>
    <w:p w14:paraId="7BE4C221">
      <w:pPr>
        <w:ind w:firstLine="422"/>
        <w:jc w:val="left"/>
        <w:rPr>
          <w:rFonts w:ascii="宋体" w:hAnsi="宋体"/>
          <w:kern w:val="44"/>
        </w:rPr>
      </w:pPr>
      <w:r>
        <w:rPr>
          <w:rFonts w:hint="eastAsia" w:ascii="宋体" w:hAnsi="宋体"/>
          <w:b/>
          <w:kern w:val="44"/>
        </w:rPr>
        <w:t>第八条</w:t>
      </w:r>
      <w:r>
        <w:rPr>
          <w:rFonts w:hint="eastAsia" w:ascii="宋体" w:hAnsi="宋体"/>
          <w:kern w:val="44"/>
        </w:rPr>
        <w:t>　审计机构应当配备相应的专职或者兼职审计人员。</w:t>
      </w:r>
    </w:p>
    <w:p w14:paraId="136DFE7B">
      <w:pPr>
        <w:jc w:val="left"/>
        <w:rPr>
          <w:rFonts w:ascii="宋体" w:hAnsi="宋体"/>
          <w:kern w:val="44"/>
        </w:rPr>
      </w:pPr>
      <w:r>
        <w:rPr>
          <w:rFonts w:hint="eastAsia" w:ascii="宋体" w:hAnsi="宋体"/>
          <w:kern w:val="44"/>
        </w:rPr>
        <w:t>审计人员应当具备与其从事的审计工作相适应的专业知识和业务能力，经考核合格，持证上岗。</w:t>
      </w:r>
    </w:p>
    <w:p w14:paraId="3037A531">
      <w:pPr>
        <w:spacing w:line="300" w:lineRule="exact"/>
        <w:jc w:val="left"/>
        <w:rPr>
          <w:rFonts w:ascii="宋体" w:hAnsi="宋体"/>
          <w:kern w:val="44"/>
        </w:rPr>
      </w:pPr>
    </w:p>
    <w:p w14:paraId="238A74C3">
      <w:pPr>
        <w:ind w:firstLine="0" w:firstLineChars="0"/>
        <w:jc w:val="center"/>
        <w:rPr>
          <w:rFonts w:ascii="宋体" w:hAnsi="宋体"/>
          <w:b/>
          <w:kern w:val="44"/>
        </w:rPr>
      </w:pPr>
      <w:r>
        <w:rPr>
          <w:rFonts w:hint="eastAsia" w:ascii="宋体" w:hAnsi="宋体"/>
          <w:b/>
          <w:kern w:val="44"/>
          <w:sz w:val="28"/>
        </w:rPr>
        <w:t>第三章　审计机构的任务和职权</w:t>
      </w:r>
    </w:p>
    <w:p w14:paraId="055FBA7A">
      <w:pPr>
        <w:spacing w:line="300" w:lineRule="exact"/>
        <w:jc w:val="left"/>
        <w:rPr>
          <w:rFonts w:ascii="宋体" w:hAnsi="宋体"/>
          <w:kern w:val="44"/>
        </w:rPr>
      </w:pPr>
    </w:p>
    <w:p w14:paraId="3E1A61C2">
      <w:pPr>
        <w:ind w:firstLine="422"/>
        <w:jc w:val="left"/>
        <w:rPr>
          <w:rFonts w:ascii="宋体" w:hAnsi="宋体"/>
          <w:kern w:val="44"/>
        </w:rPr>
      </w:pPr>
      <w:r>
        <w:rPr>
          <w:rFonts w:hint="eastAsia" w:ascii="宋体" w:hAnsi="宋体"/>
          <w:b/>
          <w:kern w:val="44"/>
        </w:rPr>
        <w:t>第九条</w:t>
      </w:r>
      <w:r>
        <w:rPr>
          <w:rFonts w:hint="eastAsia" w:ascii="宋体" w:hAnsi="宋体"/>
          <w:kern w:val="44"/>
        </w:rPr>
        <w:t>　审计机构对合作社按以下内容进行审计：</w:t>
      </w:r>
    </w:p>
    <w:p w14:paraId="79E46231">
      <w:pPr>
        <w:jc w:val="left"/>
        <w:rPr>
          <w:rFonts w:ascii="宋体" w:hAnsi="宋体"/>
          <w:kern w:val="44"/>
        </w:rPr>
      </w:pPr>
      <w:r>
        <w:rPr>
          <w:rFonts w:hint="eastAsia" w:ascii="宋体" w:hAnsi="宋体"/>
          <w:kern w:val="44"/>
        </w:rPr>
        <w:t>（一）财务管理等内部控制制度；</w:t>
      </w:r>
    </w:p>
    <w:p w14:paraId="5DF19219">
      <w:pPr>
        <w:jc w:val="left"/>
        <w:rPr>
          <w:rFonts w:ascii="宋体" w:hAnsi="宋体"/>
          <w:kern w:val="44"/>
        </w:rPr>
      </w:pPr>
      <w:r>
        <w:rPr>
          <w:rFonts w:hint="eastAsia" w:ascii="宋体" w:hAnsi="宋体"/>
          <w:kern w:val="44"/>
        </w:rPr>
        <w:t>（二）财务收支计划执行情况；</w:t>
      </w:r>
    </w:p>
    <w:p w14:paraId="464BB05A">
      <w:pPr>
        <w:jc w:val="left"/>
        <w:rPr>
          <w:rFonts w:ascii="宋体" w:hAnsi="宋体"/>
          <w:kern w:val="44"/>
        </w:rPr>
      </w:pPr>
      <w:r>
        <w:rPr>
          <w:rFonts w:hint="eastAsia" w:ascii="宋体" w:hAnsi="宋体"/>
          <w:kern w:val="44"/>
        </w:rPr>
        <w:t>（三）财务会计报表、凭证、账簿的完整性、真实性和合法性；</w:t>
      </w:r>
    </w:p>
    <w:p w14:paraId="0DEE3629">
      <w:pPr>
        <w:jc w:val="left"/>
        <w:rPr>
          <w:rFonts w:ascii="宋体" w:hAnsi="宋体"/>
          <w:kern w:val="44"/>
        </w:rPr>
      </w:pPr>
      <w:r>
        <w:rPr>
          <w:rFonts w:hint="eastAsia" w:ascii="宋体" w:hAnsi="宋体"/>
          <w:kern w:val="44"/>
        </w:rPr>
        <w:t>（四）集体资产、负债、损益；</w:t>
      </w:r>
    </w:p>
    <w:p w14:paraId="58FBAAF8">
      <w:pPr>
        <w:jc w:val="left"/>
        <w:rPr>
          <w:rFonts w:ascii="宋体" w:hAnsi="宋体"/>
          <w:kern w:val="44"/>
        </w:rPr>
      </w:pPr>
      <w:r>
        <w:rPr>
          <w:rFonts w:hint="eastAsia" w:ascii="宋体" w:hAnsi="宋体"/>
          <w:kern w:val="44"/>
        </w:rPr>
        <w:t>（五）建设项目的预算、决算及投资效益；</w:t>
      </w:r>
    </w:p>
    <w:p w14:paraId="4CB458C1">
      <w:pPr>
        <w:jc w:val="left"/>
        <w:rPr>
          <w:rFonts w:ascii="宋体" w:hAnsi="宋体"/>
          <w:kern w:val="44"/>
        </w:rPr>
      </w:pPr>
      <w:r>
        <w:rPr>
          <w:rFonts w:hint="eastAsia" w:ascii="宋体" w:hAnsi="宋体"/>
          <w:kern w:val="44"/>
        </w:rPr>
        <w:t>（六）承包费、租金、土地征收、征用补偿费、公积金、公益金及其他收入的收支情况；</w:t>
      </w:r>
    </w:p>
    <w:p w14:paraId="4B151AC6">
      <w:pPr>
        <w:jc w:val="left"/>
        <w:rPr>
          <w:rFonts w:ascii="宋体" w:hAnsi="宋体"/>
          <w:kern w:val="44"/>
        </w:rPr>
      </w:pPr>
      <w:r>
        <w:rPr>
          <w:rFonts w:hint="eastAsia" w:ascii="宋体" w:hAnsi="宋体"/>
          <w:kern w:val="44"/>
        </w:rPr>
        <w:t>（七）村提留、乡统筹费、义务工、积累工、以资代劳资金的提取使用和管理情况以及其他农民负担；</w:t>
      </w:r>
    </w:p>
    <w:p w14:paraId="5BD25EF6">
      <w:pPr>
        <w:jc w:val="left"/>
        <w:rPr>
          <w:rFonts w:ascii="宋体" w:hAnsi="宋体"/>
          <w:kern w:val="44"/>
        </w:rPr>
      </w:pPr>
      <w:r>
        <w:rPr>
          <w:rFonts w:hint="eastAsia" w:ascii="宋体" w:hAnsi="宋体"/>
          <w:kern w:val="44"/>
        </w:rPr>
        <w:t>（八）决算及收益分配；</w:t>
      </w:r>
    </w:p>
    <w:p w14:paraId="3A93BAF8">
      <w:pPr>
        <w:jc w:val="left"/>
        <w:rPr>
          <w:rFonts w:ascii="宋体" w:hAnsi="宋体"/>
          <w:kern w:val="44"/>
        </w:rPr>
      </w:pPr>
      <w:r>
        <w:rPr>
          <w:rFonts w:hint="eastAsia" w:ascii="宋体" w:hAnsi="宋体"/>
          <w:kern w:val="44"/>
        </w:rPr>
        <w:t>（九）其他需要审计的事项。</w:t>
      </w:r>
    </w:p>
    <w:p w14:paraId="080C114B">
      <w:pPr>
        <w:ind w:firstLine="422"/>
        <w:jc w:val="left"/>
        <w:rPr>
          <w:rFonts w:ascii="宋体" w:hAnsi="宋体"/>
          <w:kern w:val="44"/>
        </w:rPr>
      </w:pPr>
      <w:r>
        <w:rPr>
          <w:rFonts w:hint="eastAsia" w:ascii="宋体" w:hAnsi="宋体"/>
          <w:b/>
          <w:kern w:val="44"/>
        </w:rPr>
        <w:t>第十条</w:t>
      </w:r>
      <w:r>
        <w:rPr>
          <w:rFonts w:hint="eastAsia" w:ascii="宋体" w:hAnsi="宋体"/>
          <w:kern w:val="44"/>
        </w:rPr>
        <w:t>　审计机构对乡镇、村集体企业事业单位按以下内容进行审计：</w:t>
      </w:r>
    </w:p>
    <w:p w14:paraId="3FBA51CA">
      <w:pPr>
        <w:jc w:val="left"/>
        <w:rPr>
          <w:rFonts w:ascii="宋体" w:hAnsi="宋体"/>
          <w:kern w:val="44"/>
        </w:rPr>
      </w:pPr>
      <w:r>
        <w:rPr>
          <w:rFonts w:hint="eastAsia" w:ascii="宋体" w:hAnsi="宋体"/>
          <w:kern w:val="44"/>
        </w:rPr>
        <w:t>（一）本条例第九条第（一）、（二）、（三）、（四）、（五）、（八）项规定的审计事项；</w:t>
      </w:r>
    </w:p>
    <w:p w14:paraId="08C87F7A">
      <w:pPr>
        <w:jc w:val="left"/>
        <w:rPr>
          <w:rFonts w:ascii="宋体" w:hAnsi="宋体"/>
          <w:kern w:val="44"/>
        </w:rPr>
      </w:pPr>
      <w:r>
        <w:rPr>
          <w:rFonts w:hint="eastAsia" w:ascii="宋体" w:hAnsi="宋体"/>
          <w:kern w:val="44"/>
        </w:rPr>
        <w:t>（二）经济指标完成情况和经济效益；</w:t>
      </w:r>
    </w:p>
    <w:p w14:paraId="13305055">
      <w:pPr>
        <w:jc w:val="left"/>
        <w:rPr>
          <w:rFonts w:ascii="宋体" w:hAnsi="宋体"/>
          <w:kern w:val="44"/>
        </w:rPr>
      </w:pPr>
      <w:r>
        <w:rPr>
          <w:rFonts w:hint="eastAsia" w:ascii="宋体" w:hAnsi="宋体"/>
          <w:kern w:val="44"/>
        </w:rPr>
        <w:t>（三）承包合同履行情况；</w:t>
      </w:r>
    </w:p>
    <w:p w14:paraId="6B9DACDA">
      <w:pPr>
        <w:jc w:val="left"/>
        <w:rPr>
          <w:rFonts w:ascii="宋体" w:hAnsi="宋体"/>
          <w:kern w:val="44"/>
        </w:rPr>
      </w:pPr>
      <w:r>
        <w:rPr>
          <w:rFonts w:hint="eastAsia" w:ascii="宋体" w:hAnsi="宋体"/>
          <w:kern w:val="44"/>
        </w:rPr>
        <w:t>（四）其他需要审计的事项。</w:t>
      </w:r>
    </w:p>
    <w:p w14:paraId="7E9AFF7D">
      <w:pPr>
        <w:ind w:firstLine="422"/>
        <w:jc w:val="left"/>
        <w:rPr>
          <w:rFonts w:ascii="宋体" w:hAnsi="宋体"/>
          <w:kern w:val="44"/>
        </w:rPr>
      </w:pPr>
      <w:r>
        <w:rPr>
          <w:rFonts w:hint="eastAsia" w:ascii="宋体" w:hAnsi="宋体"/>
          <w:b/>
          <w:kern w:val="44"/>
        </w:rPr>
        <w:t>第十一条</w:t>
      </w:r>
      <w:r>
        <w:rPr>
          <w:rFonts w:hint="eastAsia" w:ascii="宋体" w:hAnsi="宋体"/>
          <w:kern w:val="44"/>
        </w:rPr>
        <w:t>　审计机构对即将离任的合作社主要负责人和集体企业厂长、经理应当按下列内容进行任期内的经济责任审计：</w:t>
      </w:r>
    </w:p>
    <w:p w14:paraId="59F505C3">
      <w:pPr>
        <w:jc w:val="left"/>
        <w:rPr>
          <w:rFonts w:ascii="宋体" w:hAnsi="宋体"/>
          <w:kern w:val="44"/>
        </w:rPr>
      </w:pPr>
      <w:r>
        <w:rPr>
          <w:rFonts w:hint="eastAsia" w:ascii="宋体" w:hAnsi="宋体"/>
          <w:kern w:val="44"/>
        </w:rPr>
        <w:t>（一）财务收支的合法性；</w:t>
      </w:r>
    </w:p>
    <w:p w14:paraId="39211FFD">
      <w:pPr>
        <w:jc w:val="left"/>
        <w:rPr>
          <w:rFonts w:ascii="宋体" w:hAnsi="宋体"/>
          <w:kern w:val="44"/>
        </w:rPr>
      </w:pPr>
      <w:r>
        <w:rPr>
          <w:rFonts w:hint="eastAsia" w:ascii="宋体" w:hAnsi="宋体"/>
          <w:kern w:val="44"/>
        </w:rPr>
        <w:t>（二）经济指标、经营成果等任期目标完成情况的真实性；</w:t>
      </w:r>
    </w:p>
    <w:p w14:paraId="7BD71E3D">
      <w:pPr>
        <w:jc w:val="left"/>
        <w:rPr>
          <w:rFonts w:ascii="宋体" w:hAnsi="宋体"/>
          <w:kern w:val="44"/>
        </w:rPr>
      </w:pPr>
      <w:r>
        <w:rPr>
          <w:rFonts w:hint="eastAsia" w:ascii="宋体" w:hAnsi="宋体"/>
          <w:kern w:val="44"/>
        </w:rPr>
        <w:t>（三）集体资产、负债、损益；</w:t>
      </w:r>
    </w:p>
    <w:p w14:paraId="508CCE10">
      <w:pPr>
        <w:jc w:val="left"/>
        <w:rPr>
          <w:rFonts w:ascii="宋体" w:hAnsi="宋体"/>
          <w:kern w:val="44"/>
        </w:rPr>
      </w:pPr>
      <w:r>
        <w:rPr>
          <w:rFonts w:hint="eastAsia" w:ascii="宋体" w:hAnsi="宋体"/>
          <w:kern w:val="44"/>
        </w:rPr>
        <w:t>（四）其他需要审计的事项。</w:t>
      </w:r>
    </w:p>
    <w:p w14:paraId="7B7FF2E2">
      <w:pPr>
        <w:ind w:firstLine="422"/>
        <w:jc w:val="left"/>
        <w:rPr>
          <w:rFonts w:ascii="宋体" w:hAnsi="宋体"/>
          <w:kern w:val="44"/>
        </w:rPr>
      </w:pPr>
      <w:r>
        <w:rPr>
          <w:rFonts w:hint="eastAsia" w:ascii="宋体" w:hAnsi="宋体"/>
          <w:b/>
          <w:kern w:val="44"/>
        </w:rPr>
        <w:t>第十二条</w:t>
      </w:r>
      <w:r>
        <w:rPr>
          <w:rFonts w:hint="eastAsia" w:ascii="宋体" w:hAnsi="宋体"/>
          <w:kern w:val="44"/>
        </w:rPr>
        <w:t>　审计机构应当对合作社及其所属企业事业单位的下列事项进行年度审计：</w:t>
      </w:r>
    </w:p>
    <w:p w14:paraId="0A8070C8">
      <w:pPr>
        <w:jc w:val="left"/>
        <w:rPr>
          <w:rFonts w:ascii="宋体" w:hAnsi="宋体"/>
          <w:kern w:val="44"/>
        </w:rPr>
      </w:pPr>
      <w:r>
        <w:rPr>
          <w:rFonts w:hint="eastAsia" w:ascii="宋体" w:hAnsi="宋体"/>
          <w:kern w:val="44"/>
        </w:rPr>
        <w:t>（一）经营成果；</w:t>
      </w:r>
    </w:p>
    <w:p w14:paraId="15D1A6CF">
      <w:pPr>
        <w:jc w:val="left"/>
        <w:rPr>
          <w:rFonts w:ascii="宋体" w:hAnsi="宋体"/>
          <w:kern w:val="44"/>
        </w:rPr>
      </w:pPr>
      <w:r>
        <w:rPr>
          <w:rFonts w:hint="eastAsia" w:ascii="宋体" w:hAnsi="宋体"/>
          <w:kern w:val="44"/>
        </w:rPr>
        <w:t>（二）农民负担；</w:t>
      </w:r>
    </w:p>
    <w:p w14:paraId="39F867CA">
      <w:pPr>
        <w:jc w:val="left"/>
        <w:rPr>
          <w:rFonts w:ascii="宋体" w:hAnsi="宋体"/>
          <w:kern w:val="44"/>
        </w:rPr>
      </w:pPr>
      <w:r>
        <w:rPr>
          <w:rFonts w:hint="eastAsia" w:ascii="宋体" w:hAnsi="宋体"/>
          <w:kern w:val="44"/>
        </w:rPr>
        <w:t>（三）年度审计计划列入的其他事项。</w:t>
      </w:r>
    </w:p>
    <w:p w14:paraId="6C7FC131">
      <w:pPr>
        <w:ind w:firstLine="422"/>
        <w:jc w:val="left"/>
        <w:rPr>
          <w:rFonts w:ascii="宋体" w:hAnsi="宋体"/>
          <w:kern w:val="44"/>
        </w:rPr>
      </w:pPr>
      <w:r>
        <w:rPr>
          <w:rFonts w:hint="eastAsia" w:ascii="宋体" w:hAnsi="宋体"/>
          <w:b/>
          <w:kern w:val="44"/>
        </w:rPr>
        <w:t>第十三条</w:t>
      </w:r>
      <w:r>
        <w:rPr>
          <w:rFonts w:hint="eastAsia" w:ascii="宋体" w:hAnsi="宋体"/>
          <w:kern w:val="44"/>
        </w:rPr>
        <w:t>　合作社审计机构对本合作社及其所属企业事业单位和合作社占控股地位的农村股份合作企业进行审计。</w:t>
      </w:r>
    </w:p>
    <w:p w14:paraId="6E540DE2">
      <w:pPr>
        <w:jc w:val="left"/>
        <w:rPr>
          <w:rFonts w:ascii="宋体" w:hAnsi="宋体"/>
          <w:kern w:val="44"/>
        </w:rPr>
      </w:pPr>
      <w:r>
        <w:rPr>
          <w:rFonts w:hint="eastAsia" w:ascii="宋体" w:hAnsi="宋体"/>
          <w:kern w:val="44"/>
        </w:rPr>
        <w:t>乡镇合作经济联合社审计机构可以对村经济合作社及其所属企业事业单位进行审计。</w:t>
      </w:r>
    </w:p>
    <w:p w14:paraId="6E2541E4">
      <w:pPr>
        <w:ind w:firstLine="422"/>
        <w:jc w:val="left"/>
        <w:rPr>
          <w:rFonts w:ascii="宋体" w:hAnsi="宋体"/>
          <w:kern w:val="44"/>
        </w:rPr>
      </w:pPr>
      <w:r>
        <w:rPr>
          <w:rFonts w:hint="eastAsia" w:ascii="宋体" w:hAnsi="宋体"/>
          <w:b/>
          <w:kern w:val="44"/>
        </w:rPr>
        <w:t>第十四条</w:t>
      </w:r>
      <w:r>
        <w:rPr>
          <w:rFonts w:hint="eastAsia" w:ascii="宋体" w:hAnsi="宋体"/>
          <w:kern w:val="44"/>
        </w:rPr>
        <w:t>　根据法律、法规的规定或者必要时，农村合作经济管理部门可以对合作社及其所属企业事业单位进行审计。</w:t>
      </w:r>
    </w:p>
    <w:p w14:paraId="72869D5D">
      <w:pPr>
        <w:ind w:firstLine="422"/>
        <w:jc w:val="left"/>
        <w:rPr>
          <w:rFonts w:ascii="宋体" w:hAnsi="宋体"/>
          <w:kern w:val="44"/>
        </w:rPr>
      </w:pPr>
      <w:r>
        <w:rPr>
          <w:rFonts w:hint="eastAsia" w:ascii="宋体" w:hAnsi="宋体"/>
          <w:b/>
          <w:kern w:val="44"/>
        </w:rPr>
        <w:t>第十五条</w:t>
      </w:r>
      <w:r>
        <w:rPr>
          <w:rFonts w:hint="eastAsia" w:ascii="宋体" w:hAnsi="宋体"/>
          <w:kern w:val="44"/>
        </w:rPr>
        <w:t>　合作社及其所属企业事业单位可以委托会计（审计）师事务所进行审计。</w:t>
      </w:r>
    </w:p>
    <w:p w14:paraId="615F65ED">
      <w:pPr>
        <w:ind w:firstLine="422"/>
        <w:jc w:val="left"/>
        <w:rPr>
          <w:rFonts w:ascii="宋体" w:hAnsi="宋体"/>
          <w:kern w:val="44"/>
        </w:rPr>
      </w:pPr>
      <w:r>
        <w:rPr>
          <w:rFonts w:hint="eastAsia" w:ascii="宋体" w:hAnsi="宋体"/>
          <w:b/>
          <w:kern w:val="44"/>
        </w:rPr>
        <w:t>第十六条</w:t>
      </w:r>
      <w:r>
        <w:rPr>
          <w:rFonts w:hint="eastAsia" w:ascii="宋体" w:hAnsi="宋体"/>
          <w:kern w:val="44"/>
        </w:rPr>
        <w:t>　审计机构在审计过程中有下列职权：</w:t>
      </w:r>
    </w:p>
    <w:p w14:paraId="06245C68">
      <w:pPr>
        <w:jc w:val="left"/>
        <w:rPr>
          <w:rFonts w:ascii="宋体" w:hAnsi="宋体"/>
          <w:kern w:val="44"/>
        </w:rPr>
      </w:pPr>
      <w:r>
        <w:rPr>
          <w:rFonts w:hint="eastAsia" w:ascii="宋体" w:hAnsi="宋体"/>
          <w:kern w:val="44"/>
        </w:rPr>
        <w:t>（一）要求被审计单位提供财务收支计划、预算执行情况、决算、财务报告、经济合同以及其他与财务收支有关的资料，被审计单位不得拒绝、拖延、谎报；</w:t>
      </w:r>
    </w:p>
    <w:p w14:paraId="3EDE873F">
      <w:pPr>
        <w:jc w:val="left"/>
        <w:rPr>
          <w:rFonts w:ascii="宋体" w:hAnsi="宋体"/>
          <w:kern w:val="44"/>
        </w:rPr>
      </w:pPr>
      <w:r>
        <w:rPr>
          <w:rFonts w:hint="eastAsia" w:ascii="宋体" w:hAnsi="宋体"/>
          <w:kern w:val="44"/>
        </w:rPr>
        <w:t>（二）检查被审计单位的会计报表、凭证、账簿以及其他与财务收支有关的资料和资产，被审计单位不得拒绝、阻挠；</w:t>
      </w:r>
    </w:p>
    <w:p w14:paraId="0FB8219E">
      <w:pPr>
        <w:jc w:val="left"/>
        <w:rPr>
          <w:rFonts w:ascii="宋体" w:hAnsi="宋体"/>
          <w:kern w:val="44"/>
        </w:rPr>
      </w:pPr>
      <w:r>
        <w:rPr>
          <w:rFonts w:hint="eastAsia" w:ascii="宋体" w:hAnsi="宋体"/>
          <w:kern w:val="44"/>
        </w:rPr>
        <w:t>（三）就审计事项的有关问题向有关单位和个人进行调查，被调查的单位和个人应当如实提供有关资料和证明材料；</w:t>
      </w:r>
    </w:p>
    <w:p w14:paraId="3875E40A">
      <w:pPr>
        <w:jc w:val="left"/>
        <w:rPr>
          <w:rFonts w:ascii="宋体" w:hAnsi="宋体"/>
          <w:kern w:val="44"/>
        </w:rPr>
      </w:pPr>
      <w:r>
        <w:rPr>
          <w:rFonts w:hint="eastAsia" w:ascii="宋体" w:hAnsi="宋体"/>
          <w:kern w:val="44"/>
        </w:rPr>
        <w:t>（四）有权制止正在进行的损害集体经济组织利益、违反财经纪律的行为；</w:t>
      </w:r>
    </w:p>
    <w:p w14:paraId="064EC367">
      <w:pPr>
        <w:jc w:val="left"/>
        <w:rPr>
          <w:rFonts w:ascii="宋体" w:hAnsi="宋体"/>
          <w:kern w:val="44"/>
        </w:rPr>
      </w:pPr>
      <w:r>
        <w:rPr>
          <w:rFonts w:hint="eastAsia" w:ascii="宋体" w:hAnsi="宋体"/>
          <w:kern w:val="44"/>
        </w:rPr>
        <w:t>（五）对转移、隐匿、篡改、毁弃会计报表、凭证、账簿等有关资料的，有权予以制止。</w:t>
      </w:r>
    </w:p>
    <w:p w14:paraId="7D5F7FAB">
      <w:pPr>
        <w:jc w:val="left"/>
        <w:rPr>
          <w:rFonts w:ascii="宋体" w:hAnsi="宋体"/>
          <w:kern w:val="44"/>
        </w:rPr>
      </w:pPr>
    </w:p>
    <w:p w14:paraId="0C4C015F">
      <w:pPr>
        <w:ind w:firstLine="0" w:firstLineChars="0"/>
        <w:jc w:val="center"/>
        <w:rPr>
          <w:rFonts w:ascii="宋体" w:hAnsi="宋体"/>
          <w:b/>
          <w:kern w:val="44"/>
          <w:sz w:val="28"/>
        </w:rPr>
      </w:pPr>
      <w:r>
        <w:rPr>
          <w:rFonts w:hint="eastAsia" w:ascii="宋体" w:hAnsi="宋体"/>
          <w:b/>
          <w:kern w:val="44"/>
          <w:sz w:val="28"/>
        </w:rPr>
        <w:t>第四章　审计程序</w:t>
      </w:r>
    </w:p>
    <w:p w14:paraId="63DD7AB3">
      <w:pPr>
        <w:jc w:val="left"/>
        <w:rPr>
          <w:rFonts w:ascii="宋体" w:hAnsi="宋体"/>
          <w:kern w:val="44"/>
        </w:rPr>
      </w:pPr>
    </w:p>
    <w:p w14:paraId="373B5B72">
      <w:pPr>
        <w:ind w:firstLine="422"/>
        <w:jc w:val="left"/>
        <w:rPr>
          <w:rFonts w:ascii="宋体" w:hAnsi="宋体"/>
          <w:kern w:val="44"/>
        </w:rPr>
      </w:pPr>
      <w:r>
        <w:rPr>
          <w:rFonts w:hint="eastAsia" w:ascii="宋体" w:hAnsi="宋体"/>
          <w:b/>
          <w:kern w:val="44"/>
        </w:rPr>
        <w:t>第十七条</w:t>
      </w:r>
      <w:r>
        <w:rPr>
          <w:rFonts w:hint="eastAsia" w:ascii="宋体" w:hAnsi="宋体"/>
          <w:kern w:val="44"/>
        </w:rPr>
        <w:t>　审计机构应当编制年度审计计划，报其主管领导批准后执行。</w:t>
      </w:r>
    </w:p>
    <w:p w14:paraId="7EDE306B">
      <w:pPr>
        <w:jc w:val="left"/>
        <w:rPr>
          <w:rFonts w:ascii="宋体" w:hAnsi="宋体"/>
          <w:kern w:val="44"/>
        </w:rPr>
      </w:pPr>
      <w:r>
        <w:rPr>
          <w:rFonts w:hint="eastAsia" w:ascii="宋体" w:hAnsi="宋体"/>
          <w:kern w:val="44"/>
        </w:rPr>
        <w:t>审计机构应当根据审计事项组成不少于二人的审计组，于实施审计三日前向被审计单位送达审计通知书。</w:t>
      </w:r>
    </w:p>
    <w:p w14:paraId="0C00B177">
      <w:pPr>
        <w:ind w:firstLine="422"/>
        <w:jc w:val="left"/>
        <w:rPr>
          <w:rFonts w:ascii="宋体" w:hAnsi="宋体"/>
          <w:kern w:val="44"/>
        </w:rPr>
      </w:pPr>
      <w:r>
        <w:rPr>
          <w:rFonts w:hint="eastAsia" w:ascii="宋体" w:hAnsi="宋体"/>
          <w:b/>
          <w:kern w:val="44"/>
        </w:rPr>
        <w:t>第十八条</w:t>
      </w:r>
      <w:r>
        <w:rPr>
          <w:rFonts w:hint="eastAsia" w:ascii="宋体" w:hAnsi="宋体"/>
          <w:kern w:val="44"/>
        </w:rPr>
        <w:t>　审计组根据审计项目工作方案审查会计报表、凭证、账簿，查阅有关文件资料，检查现金、实物，向有关单位和个人进行调查并取得证明材料。证明人提供的书面材料应当由其本人签名或者盖章。</w:t>
      </w:r>
    </w:p>
    <w:p w14:paraId="5105F15C">
      <w:pPr>
        <w:jc w:val="left"/>
        <w:rPr>
          <w:rFonts w:ascii="宋体" w:hAnsi="宋体"/>
          <w:kern w:val="44"/>
        </w:rPr>
      </w:pPr>
      <w:r>
        <w:rPr>
          <w:rFonts w:hint="eastAsia" w:ascii="宋体" w:hAnsi="宋体"/>
          <w:kern w:val="44"/>
        </w:rPr>
        <w:t>审计人员向有关单位和个人进行调查时，应当出示有关证明文件。</w:t>
      </w:r>
    </w:p>
    <w:p w14:paraId="3C63F3F8">
      <w:pPr>
        <w:ind w:firstLine="422"/>
        <w:jc w:val="left"/>
        <w:rPr>
          <w:rFonts w:ascii="宋体" w:hAnsi="宋体"/>
          <w:kern w:val="44"/>
        </w:rPr>
      </w:pPr>
      <w:r>
        <w:rPr>
          <w:rFonts w:hint="eastAsia" w:ascii="宋体" w:hAnsi="宋体"/>
          <w:b/>
          <w:kern w:val="44"/>
        </w:rPr>
        <w:t>第十九条</w:t>
      </w:r>
      <w:r>
        <w:rPr>
          <w:rFonts w:hint="eastAsia" w:ascii="宋体" w:hAnsi="宋体"/>
          <w:kern w:val="44"/>
        </w:rPr>
        <w:t>　审计组在审计过程中，应当听取社员或者职工的意见。</w:t>
      </w:r>
    </w:p>
    <w:p w14:paraId="6E45317C">
      <w:pPr>
        <w:ind w:firstLine="422"/>
        <w:jc w:val="left"/>
        <w:rPr>
          <w:rFonts w:ascii="宋体" w:hAnsi="宋体"/>
          <w:kern w:val="44"/>
        </w:rPr>
      </w:pPr>
      <w:r>
        <w:rPr>
          <w:rFonts w:hint="eastAsia" w:ascii="宋体" w:hAnsi="宋体"/>
          <w:b/>
          <w:kern w:val="44"/>
        </w:rPr>
        <w:t>第二十条</w:t>
      </w:r>
      <w:r>
        <w:rPr>
          <w:rFonts w:hint="eastAsia" w:ascii="宋体" w:hAnsi="宋体"/>
          <w:kern w:val="44"/>
        </w:rPr>
        <w:t>　审计组对审计事项审计后，应当向审计机构提出审计报告。审计报告在报送前，应当征求被审计单位的意见。被审计单位在收到审计报告之日起十日内提出书面意见送交审计组。</w:t>
      </w:r>
    </w:p>
    <w:p w14:paraId="5BC95512">
      <w:pPr>
        <w:jc w:val="left"/>
        <w:rPr>
          <w:rFonts w:ascii="宋体" w:hAnsi="宋体"/>
          <w:kern w:val="44"/>
        </w:rPr>
      </w:pPr>
      <w:r>
        <w:rPr>
          <w:rFonts w:hint="eastAsia" w:ascii="宋体" w:hAnsi="宋体"/>
          <w:kern w:val="44"/>
        </w:rPr>
        <w:t>审计机构审定审计报告后，出具审计意见书，报其领导机构批准后，通知被审计单位。</w:t>
      </w:r>
    </w:p>
    <w:p w14:paraId="735B7616">
      <w:pPr>
        <w:jc w:val="left"/>
        <w:rPr>
          <w:rFonts w:ascii="宋体" w:hAnsi="宋体"/>
          <w:kern w:val="44"/>
        </w:rPr>
      </w:pPr>
      <w:r>
        <w:rPr>
          <w:rFonts w:hint="eastAsia" w:ascii="宋体" w:hAnsi="宋体"/>
          <w:kern w:val="44"/>
        </w:rPr>
        <w:t>审计意见书自送达之日起生效，被审计单位必须执行。</w:t>
      </w:r>
    </w:p>
    <w:p w14:paraId="1FFA9383">
      <w:pPr>
        <w:jc w:val="left"/>
        <w:rPr>
          <w:rFonts w:ascii="宋体" w:hAnsi="宋体"/>
          <w:kern w:val="44"/>
        </w:rPr>
      </w:pPr>
      <w:r>
        <w:rPr>
          <w:rFonts w:hint="eastAsia" w:ascii="宋体" w:hAnsi="宋体"/>
          <w:kern w:val="44"/>
        </w:rPr>
        <w:t>审计意见书应当报上一级审计机构备案。</w:t>
      </w:r>
    </w:p>
    <w:p w14:paraId="43E761F0">
      <w:pPr>
        <w:ind w:firstLine="422"/>
        <w:jc w:val="left"/>
        <w:rPr>
          <w:rFonts w:ascii="宋体" w:hAnsi="宋体"/>
          <w:kern w:val="44"/>
        </w:rPr>
      </w:pPr>
      <w:r>
        <w:rPr>
          <w:rFonts w:hint="eastAsia" w:ascii="宋体" w:hAnsi="宋体"/>
          <w:b/>
          <w:kern w:val="44"/>
        </w:rPr>
        <w:t>第二十一条</w:t>
      </w:r>
      <w:r>
        <w:rPr>
          <w:rFonts w:hint="eastAsia" w:ascii="宋体" w:hAnsi="宋体"/>
          <w:kern w:val="44"/>
        </w:rPr>
        <w:t>　对同一审计对象进行审计，上级审计机构与下级审计机构的审计意见不一致时，以上级审计机构的审计意见为准。</w:t>
      </w:r>
    </w:p>
    <w:p w14:paraId="68CDDF54">
      <w:pPr>
        <w:ind w:firstLine="422"/>
        <w:jc w:val="left"/>
        <w:rPr>
          <w:rFonts w:ascii="宋体" w:hAnsi="宋体"/>
          <w:kern w:val="44"/>
        </w:rPr>
      </w:pPr>
      <w:r>
        <w:rPr>
          <w:rFonts w:hint="eastAsia" w:ascii="宋体" w:hAnsi="宋体"/>
          <w:b/>
          <w:kern w:val="44"/>
        </w:rPr>
        <w:t>第二十二条</w:t>
      </w:r>
      <w:r>
        <w:rPr>
          <w:rFonts w:hint="eastAsia" w:ascii="宋体" w:hAnsi="宋体"/>
          <w:kern w:val="44"/>
        </w:rPr>
        <w:t>　审计机构应当对办理的审计事项建立统一的审计档案。</w:t>
      </w:r>
    </w:p>
    <w:p w14:paraId="494594FC">
      <w:pPr>
        <w:jc w:val="left"/>
        <w:rPr>
          <w:rFonts w:ascii="宋体" w:hAnsi="宋体"/>
          <w:kern w:val="44"/>
        </w:rPr>
      </w:pPr>
    </w:p>
    <w:p w14:paraId="2D7B98FA">
      <w:pPr>
        <w:ind w:firstLine="0" w:firstLineChars="0"/>
        <w:jc w:val="center"/>
        <w:rPr>
          <w:rFonts w:ascii="宋体" w:hAnsi="宋体"/>
          <w:b/>
          <w:kern w:val="44"/>
          <w:sz w:val="28"/>
        </w:rPr>
      </w:pPr>
      <w:r>
        <w:rPr>
          <w:rFonts w:hint="eastAsia" w:ascii="宋体" w:hAnsi="宋体"/>
          <w:b/>
          <w:kern w:val="44"/>
          <w:sz w:val="28"/>
        </w:rPr>
        <w:t>第五章　法律责任</w:t>
      </w:r>
    </w:p>
    <w:p w14:paraId="33E94EE9">
      <w:pPr>
        <w:jc w:val="left"/>
        <w:rPr>
          <w:rFonts w:ascii="宋体" w:hAnsi="宋体"/>
          <w:kern w:val="44"/>
        </w:rPr>
      </w:pPr>
    </w:p>
    <w:p w14:paraId="3A2663BA">
      <w:pPr>
        <w:ind w:firstLine="422"/>
        <w:jc w:val="left"/>
        <w:rPr>
          <w:rFonts w:ascii="宋体" w:hAnsi="宋体"/>
          <w:kern w:val="44"/>
        </w:rPr>
      </w:pPr>
      <w:r>
        <w:rPr>
          <w:rFonts w:hint="eastAsia" w:ascii="宋体" w:hAnsi="宋体"/>
          <w:b/>
          <w:kern w:val="44"/>
        </w:rPr>
        <w:t>第二十三条</w:t>
      </w:r>
      <w:r>
        <w:rPr>
          <w:rFonts w:hint="eastAsia" w:ascii="宋体" w:hAnsi="宋体"/>
          <w:kern w:val="44"/>
        </w:rPr>
        <w:t>　违反本条例规定，拒绝、拖延提供与审计事项有关资料的，或者拒绝、阻挠审计工作的，由审计机构责令限期改正；逾期不改的，由审计机构建议其上级主管部门或者有关部门对直接责任人员给予处分。</w:t>
      </w:r>
    </w:p>
    <w:p w14:paraId="174519C5">
      <w:pPr>
        <w:ind w:firstLine="422"/>
        <w:jc w:val="left"/>
        <w:rPr>
          <w:rFonts w:ascii="宋体" w:hAnsi="宋体"/>
          <w:kern w:val="44"/>
        </w:rPr>
      </w:pPr>
      <w:r>
        <w:rPr>
          <w:rFonts w:hint="eastAsia" w:ascii="宋体" w:hAnsi="宋体"/>
          <w:b/>
          <w:kern w:val="44"/>
        </w:rPr>
        <w:t>第二十四条</w:t>
      </w:r>
      <w:r>
        <w:rPr>
          <w:rFonts w:hint="eastAsia" w:ascii="宋体" w:hAnsi="宋体"/>
          <w:kern w:val="44"/>
        </w:rPr>
        <w:t>　违反本条例规定，转移、隐匿、篡改、毁弃会计报表、凭证、账簿及有关资料的，由审计机构建议其上级主管部门或者有关部门对直接责任人员给予处分；构成犯罪的，依法追究刑事责任。</w:t>
      </w:r>
    </w:p>
    <w:p w14:paraId="6B00AF7C">
      <w:pPr>
        <w:ind w:firstLine="422"/>
        <w:jc w:val="left"/>
        <w:rPr>
          <w:rFonts w:ascii="宋体" w:hAnsi="宋体"/>
          <w:kern w:val="44"/>
        </w:rPr>
      </w:pPr>
      <w:r>
        <w:rPr>
          <w:rFonts w:hint="eastAsia" w:ascii="宋体" w:hAnsi="宋体"/>
          <w:b/>
          <w:kern w:val="44"/>
        </w:rPr>
        <w:t>第二十五条</w:t>
      </w:r>
      <w:r>
        <w:rPr>
          <w:rFonts w:hint="eastAsia" w:ascii="宋体" w:hAnsi="宋体"/>
          <w:kern w:val="44"/>
        </w:rPr>
        <w:t>　转移、隐匿违法取得的资产的，由审计机构建议其上级主管部门或者有关部门责令退还财产或者赔偿损失，并对直接责任人员给予处分；构成犯罪的，依法追究刑事责任。</w:t>
      </w:r>
    </w:p>
    <w:p w14:paraId="20A8F4FC">
      <w:pPr>
        <w:ind w:firstLine="422"/>
        <w:jc w:val="left"/>
        <w:rPr>
          <w:rFonts w:ascii="宋体" w:hAnsi="宋体"/>
          <w:kern w:val="44"/>
        </w:rPr>
      </w:pPr>
      <w:r>
        <w:rPr>
          <w:rFonts w:hint="eastAsia" w:ascii="宋体" w:hAnsi="宋体"/>
          <w:b/>
          <w:kern w:val="44"/>
        </w:rPr>
        <w:t>第二十六条</w:t>
      </w:r>
      <w:r>
        <w:rPr>
          <w:rFonts w:hint="eastAsia" w:ascii="宋体" w:hAnsi="宋体"/>
          <w:kern w:val="44"/>
        </w:rPr>
        <w:t>　侵占、侵吞集体资产或者因失职、渎职造成集体资产损失的，由审计机构建议其上级主管部门或者有关部门责令退还财产或者赔偿损失，并对直接责任人员给予处分；构成犯罪的，依法追究刑事责任。</w:t>
      </w:r>
    </w:p>
    <w:p w14:paraId="0BDDFEF3">
      <w:pPr>
        <w:ind w:firstLine="422"/>
        <w:jc w:val="left"/>
        <w:rPr>
          <w:rFonts w:ascii="宋体" w:hAnsi="宋体"/>
          <w:kern w:val="44"/>
        </w:rPr>
      </w:pPr>
      <w:r>
        <w:rPr>
          <w:rFonts w:hint="eastAsia" w:ascii="宋体" w:hAnsi="宋体"/>
          <w:b/>
          <w:kern w:val="44"/>
        </w:rPr>
        <w:t>第二十七条</w:t>
      </w:r>
      <w:r>
        <w:rPr>
          <w:rFonts w:hint="eastAsia" w:ascii="宋体" w:hAnsi="宋体"/>
          <w:kern w:val="44"/>
        </w:rPr>
        <w:t>　违反财务会计管理规定的，由审计机构责令改正；情节严重的，由审计机构建议其上级主管部门或者有关部门对直接责任人员给予处分。</w:t>
      </w:r>
    </w:p>
    <w:p w14:paraId="0DC9FD25">
      <w:pPr>
        <w:ind w:firstLine="422"/>
        <w:jc w:val="left"/>
        <w:rPr>
          <w:rFonts w:ascii="宋体" w:hAnsi="宋体"/>
          <w:kern w:val="44"/>
        </w:rPr>
      </w:pPr>
      <w:r>
        <w:rPr>
          <w:rFonts w:hint="eastAsia" w:ascii="宋体" w:hAnsi="宋体"/>
          <w:b/>
          <w:kern w:val="44"/>
        </w:rPr>
        <w:t>第二十八条</w:t>
      </w:r>
      <w:r>
        <w:rPr>
          <w:rFonts w:hint="eastAsia" w:ascii="宋体" w:hAnsi="宋体"/>
          <w:kern w:val="44"/>
        </w:rPr>
        <w:t>　打击报复审计人员，构成犯罪的，依法追究刑事责任；不构成犯罪的，给予行政处分。</w:t>
      </w:r>
    </w:p>
    <w:p w14:paraId="75DB4AE7">
      <w:pPr>
        <w:ind w:firstLine="422"/>
        <w:jc w:val="left"/>
        <w:rPr>
          <w:rFonts w:ascii="宋体" w:hAnsi="宋体"/>
          <w:kern w:val="44"/>
        </w:rPr>
      </w:pPr>
      <w:r>
        <w:rPr>
          <w:rFonts w:hint="eastAsia" w:ascii="宋体" w:hAnsi="宋体"/>
          <w:b/>
          <w:kern w:val="44"/>
        </w:rPr>
        <w:t>第二十九条</w:t>
      </w:r>
      <w:r>
        <w:rPr>
          <w:rFonts w:hint="eastAsia" w:ascii="宋体" w:hAnsi="宋体"/>
          <w:kern w:val="44"/>
        </w:rPr>
        <w:t>　审计人员滥用职权、徇私舞弊、玩忽职守、泄露秘密的，由其上级主管部门或者有关部门给予处分；构成犯罪的，依法追究刑事责任。</w:t>
      </w:r>
    </w:p>
    <w:p w14:paraId="28BBB387">
      <w:pPr>
        <w:ind w:firstLine="422"/>
        <w:jc w:val="left"/>
        <w:rPr>
          <w:rFonts w:ascii="宋体" w:hAnsi="宋体"/>
          <w:kern w:val="44"/>
        </w:rPr>
      </w:pPr>
      <w:r>
        <w:rPr>
          <w:rFonts w:hint="eastAsia" w:ascii="宋体" w:hAnsi="宋体"/>
          <w:b/>
          <w:kern w:val="44"/>
        </w:rPr>
        <w:t>第三十条</w:t>
      </w:r>
      <w:r>
        <w:rPr>
          <w:rFonts w:hint="eastAsia" w:ascii="宋体" w:hAnsi="宋体"/>
          <w:kern w:val="44"/>
        </w:rPr>
        <w:t>　对审计机构提出的审计意见书，其领导机构不作出决定的，审计机构可以提请上一级主管部门责令改正；拒不改正的，按照法定程序对直接责任人员给予处分。</w:t>
      </w:r>
    </w:p>
    <w:p w14:paraId="0E2D59B2">
      <w:pPr>
        <w:jc w:val="left"/>
        <w:rPr>
          <w:rFonts w:ascii="宋体" w:hAnsi="宋体"/>
          <w:kern w:val="44"/>
        </w:rPr>
      </w:pPr>
    </w:p>
    <w:p w14:paraId="73E0E8B4">
      <w:pPr>
        <w:ind w:firstLine="0" w:firstLineChars="0"/>
        <w:jc w:val="center"/>
        <w:rPr>
          <w:rFonts w:ascii="宋体" w:hAnsi="宋体"/>
          <w:b/>
          <w:kern w:val="44"/>
          <w:sz w:val="28"/>
        </w:rPr>
      </w:pPr>
      <w:r>
        <w:rPr>
          <w:rFonts w:hint="eastAsia" w:ascii="宋体" w:hAnsi="宋体"/>
          <w:b/>
          <w:kern w:val="44"/>
          <w:sz w:val="28"/>
        </w:rPr>
        <w:t>第六章　附　则</w:t>
      </w:r>
    </w:p>
    <w:p w14:paraId="537ECD65">
      <w:pPr>
        <w:jc w:val="left"/>
        <w:rPr>
          <w:rFonts w:ascii="宋体" w:hAnsi="宋体"/>
          <w:kern w:val="44"/>
        </w:rPr>
      </w:pPr>
    </w:p>
    <w:p w14:paraId="75E4EE12">
      <w:pPr>
        <w:ind w:firstLine="422"/>
        <w:jc w:val="left"/>
        <w:rPr>
          <w:rFonts w:ascii="宋体" w:hAnsi="宋体"/>
          <w:kern w:val="44"/>
        </w:rPr>
      </w:pPr>
      <w:r>
        <w:rPr>
          <w:rFonts w:hint="eastAsia" w:ascii="宋体" w:hAnsi="宋体"/>
          <w:b/>
          <w:kern w:val="44"/>
        </w:rPr>
        <w:t>第三十一条</w:t>
      </w:r>
      <w:r>
        <w:rPr>
          <w:rFonts w:hint="eastAsia" w:ascii="宋体" w:hAnsi="宋体"/>
          <w:kern w:val="44"/>
        </w:rPr>
        <w:t>　本条例具体应用中的问题，由市人民政府农村工作主管部门负责解释。</w:t>
      </w:r>
    </w:p>
    <w:p w14:paraId="2C9D7D8E">
      <w:pPr>
        <w:ind w:firstLine="422"/>
        <w:jc w:val="left"/>
        <w:rPr>
          <w:rFonts w:ascii="宋体" w:hAnsi="宋体"/>
          <w:kern w:val="44"/>
        </w:rPr>
      </w:pPr>
      <w:r>
        <w:rPr>
          <w:rFonts w:hint="eastAsia" w:ascii="宋体" w:hAnsi="宋体"/>
          <w:b/>
          <w:kern w:val="44"/>
        </w:rPr>
        <w:t>第三十二条</w:t>
      </w:r>
      <w:r>
        <w:rPr>
          <w:rFonts w:hint="eastAsia" w:ascii="宋体" w:hAnsi="宋体"/>
          <w:kern w:val="44"/>
        </w:rPr>
        <w:t>　本条例自1997年4月1日起施行。</w:t>
      </w:r>
    </w:p>
    <w:p w14:paraId="3069259A">
      <w:pPr>
        <w:pStyle w:val="4"/>
        <w:pageBreakBefore/>
        <w:rPr>
          <w:kern w:val="44"/>
        </w:rPr>
      </w:pPr>
      <w:bookmarkStart w:id="1140" w:name="_Toc427651925"/>
      <w:bookmarkStart w:id="1141" w:name="_Toc428781631"/>
      <w:bookmarkStart w:id="1142" w:name="_Toc427651583"/>
      <w:bookmarkStart w:id="1143" w:name="_Toc428780149"/>
      <w:bookmarkStart w:id="1144" w:name="_Toc422471304"/>
      <w:r>
        <w:rPr>
          <w:rFonts w:hint="eastAsia"/>
          <w:kern w:val="44"/>
        </w:rPr>
        <w:t>北京市审计条例</w:t>
      </w:r>
      <w:bookmarkEnd w:id="1140"/>
      <w:bookmarkEnd w:id="1141"/>
      <w:bookmarkEnd w:id="1142"/>
      <w:bookmarkEnd w:id="1143"/>
      <w:bookmarkEnd w:id="1144"/>
    </w:p>
    <w:p w14:paraId="76013D65">
      <w:pPr>
        <w:ind w:left="630" w:leftChars="300" w:right="630" w:rightChars="300"/>
        <w:jc w:val="left"/>
        <w:rPr>
          <w:rFonts w:ascii="楷体" w:hAnsi="楷体" w:eastAsia="楷体"/>
          <w:kern w:val="44"/>
        </w:rPr>
      </w:pPr>
      <w:r>
        <w:rPr>
          <w:rFonts w:hint="eastAsia" w:ascii="楷体" w:hAnsi="楷体" w:eastAsia="楷体"/>
          <w:kern w:val="44"/>
        </w:rPr>
        <w:t>（2012年7月27日北京市第十三届人民代表大会常务委员会第三十四次会议通过）</w:t>
      </w:r>
    </w:p>
    <w:p w14:paraId="755DE362">
      <w:pPr>
        <w:ind w:left="630" w:leftChars="300" w:right="630" w:rightChars="300"/>
        <w:jc w:val="left"/>
        <w:rPr>
          <w:rFonts w:ascii="楷体" w:hAnsi="楷体" w:eastAsia="楷体"/>
          <w:kern w:val="44"/>
        </w:rPr>
      </w:pPr>
    </w:p>
    <w:p w14:paraId="532DF4A7">
      <w:pPr>
        <w:ind w:firstLine="0" w:firstLineChars="0"/>
        <w:jc w:val="center"/>
        <w:rPr>
          <w:rFonts w:ascii="宋体" w:hAnsi="宋体"/>
          <w:b/>
          <w:kern w:val="44"/>
          <w:sz w:val="28"/>
        </w:rPr>
      </w:pPr>
      <w:r>
        <w:rPr>
          <w:rFonts w:hint="eastAsia" w:ascii="宋体" w:hAnsi="宋体"/>
          <w:b/>
          <w:kern w:val="44"/>
          <w:sz w:val="28"/>
        </w:rPr>
        <w:t>第一章　总　则</w:t>
      </w:r>
    </w:p>
    <w:p w14:paraId="772FD22A">
      <w:pPr>
        <w:jc w:val="left"/>
        <w:rPr>
          <w:rFonts w:ascii="宋体" w:hAnsi="宋体"/>
          <w:kern w:val="44"/>
        </w:rPr>
      </w:pPr>
    </w:p>
    <w:p w14:paraId="15A37FC4">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审计监督，规范审计行为，维护财政经济秩序，提高财政资金使用效益，发挥审计的监督、风险防范和完善制度建设功能，促进廉政建设，保障经济和社会健康发展，根据《中华人民共和国审计法》、《中华人民共和国审计法实施条例》及其他有关法律、法规，结合本市实际情况，制定本条例。</w:t>
      </w:r>
    </w:p>
    <w:p w14:paraId="600D7B26">
      <w:pPr>
        <w:ind w:firstLine="422"/>
        <w:jc w:val="left"/>
        <w:rPr>
          <w:rFonts w:ascii="宋体" w:hAnsi="宋体"/>
          <w:kern w:val="44"/>
        </w:rPr>
      </w:pPr>
      <w:r>
        <w:rPr>
          <w:rFonts w:hint="eastAsia" w:ascii="宋体" w:hAnsi="宋体"/>
          <w:b/>
          <w:kern w:val="44"/>
        </w:rPr>
        <w:t>第二条</w:t>
      </w:r>
      <w:r>
        <w:rPr>
          <w:rFonts w:hint="eastAsia" w:ascii="宋体" w:hAnsi="宋体"/>
          <w:kern w:val="44"/>
        </w:rPr>
        <w:t>　市和区、县人民政府依法设立审计机关。审计机关根据工作需要，经本级人民政府批准，可以在审计管辖范围内的重点地区和重点部门设立派出机构。</w:t>
      </w:r>
    </w:p>
    <w:p w14:paraId="3C0950E3">
      <w:pPr>
        <w:jc w:val="left"/>
        <w:rPr>
          <w:rFonts w:ascii="宋体" w:hAnsi="宋体"/>
          <w:kern w:val="44"/>
        </w:rPr>
      </w:pPr>
      <w:r>
        <w:rPr>
          <w:rFonts w:hint="eastAsia" w:ascii="宋体" w:hAnsi="宋体"/>
          <w:kern w:val="44"/>
        </w:rPr>
        <w:t>审计机关在本级人民政府行政首长和上一级审计机关的领导下，负责本行政区域内的审计工作，依法履行国家审计职责。</w:t>
      </w:r>
    </w:p>
    <w:p w14:paraId="23E165BA">
      <w:pPr>
        <w:ind w:firstLine="422"/>
        <w:jc w:val="left"/>
        <w:rPr>
          <w:rFonts w:ascii="宋体" w:hAnsi="宋体"/>
          <w:kern w:val="44"/>
        </w:rPr>
      </w:pPr>
      <w:r>
        <w:rPr>
          <w:rFonts w:hint="eastAsia" w:ascii="宋体" w:hAnsi="宋体"/>
          <w:b/>
          <w:kern w:val="44"/>
        </w:rPr>
        <w:t>第三条</w:t>
      </w:r>
      <w:r>
        <w:rPr>
          <w:rFonts w:hint="eastAsia" w:ascii="宋体" w:hAnsi="宋体"/>
          <w:kern w:val="44"/>
        </w:rPr>
        <w:t>　审计机关依法对本市各级人民政府及其部门（含直属单位）的财政收支、国有的企业事业组织和金融机构的财务收支，以及其他依照法律、行政法规和本条例规定应当接受审计的财政收支、财务收支及相关经济活动的真实、合法和效益进行审计监督。</w:t>
      </w:r>
    </w:p>
    <w:p w14:paraId="02E682AC">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市和区、县人民政府应当加强绩效审计制度建设。</w:t>
      </w:r>
    </w:p>
    <w:p w14:paraId="468117FF">
      <w:pPr>
        <w:jc w:val="left"/>
        <w:rPr>
          <w:rFonts w:ascii="宋体" w:hAnsi="宋体"/>
          <w:kern w:val="44"/>
        </w:rPr>
      </w:pPr>
      <w:r>
        <w:rPr>
          <w:rFonts w:hint="eastAsia" w:ascii="宋体" w:hAnsi="宋体"/>
          <w:kern w:val="44"/>
        </w:rPr>
        <w:t>审计机关应当对本级预算执行和被审计单位的财政收支、财务收支及相关经济活动的经济效益、社会效益和环境效益进行绩效审计。绩效审计应当重点审计政府部门履行职责中财政资金使用的效益。</w:t>
      </w:r>
    </w:p>
    <w:p w14:paraId="7106204C">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市和区、县人民政府应当建立财政资金、国有资产等公共资源的监督协调机制，统筹安排审计等监督计划，有效利用监督结果，共享公共资源监督管理信息。</w:t>
      </w:r>
    </w:p>
    <w:p w14:paraId="6F1AFB50">
      <w:pPr>
        <w:ind w:firstLine="422"/>
        <w:jc w:val="left"/>
        <w:rPr>
          <w:rFonts w:ascii="宋体" w:hAnsi="宋体"/>
          <w:kern w:val="44"/>
        </w:rPr>
      </w:pPr>
      <w:r>
        <w:rPr>
          <w:rFonts w:hint="eastAsia" w:ascii="宋体" w:hAnsi="宋体"/>
          <w:b/>
          <w:kern w:val="44"/>
        </w:rPr>
        <w:t>第六条</w:t>
      </w:r>
      <w:r>
        <w:rPr>
          <w:rFonts w:hint="eastAsia" w:ascii="宋体" w:hAnsi="宋体"/>
          <w:kern w:val="44"/>
        </w:rPr>
        <w:t>　审计机关依法独立行使审计监督权，不受其他行政机关、社会团体和个人的干涉。</w:t>
      </w:r>
    </w:p>
    <w:p w14:paraId="45E9669F">
      <w:pPr>
        <w:jc w:val="left"/>
        <w:rPr>
          <w:rFonts w:ascii="宋体" w:hAnsi="宋体"/>
          <w:kern w:val="44"/>
        </w:rPr>
      </w:pPr>
      <w:r>
        <w:rPr>
          <w:rFonts w:hint="eastAsia" w:ascii="宋体" w:hAnsi="宋体"/>
          <w:kern w:val="44"/>
        </w:rPr>
        <w:t>审计机关应当依照国家规定的审计程序开展审计工作。</w:t>
      </w:r>
    </w:p>
    <w:p w14:paraId="5A221326">
      <w:pPr>
        <w:jc w:val="left"/>
        <w:rPr>
          <w:rFonts w:ascii="宋体" w:hAnsi="宋体"/>
          <w:kern w:val="44"/>
        </w:rPr>
      </w:pPr>
    </w:p>
    <w:p w14:paraId="58EA88F6">
      <w:pPr>
        <w:ind w:firstLine="0" w:firstLineChars="0"/>
        <w:jc w:val="center"/>
        <w:rPr>
          <w:rFonts w:ascii="宋体" w:hAnsi="宋体"/>
          <w:b/>
          <w:kern w:val="44"/>
          <w:sz w:val="28"/>
        </w:rPr>
      </w:pPr>
      <w:r>
        <w:rPr>
          <w:rFonts w:hint="eastAsia" w:ascii="宋体" w:hAnsi="宋体"/>
          <w:b/>
          <w:kern w:val="44"/>
          <w:sz w:val="28"/>
        </w:rPr>
        <w:t>第二章　审计职责</w:t>
      </w:r>
    </w:p>
    <w:p w14:paraId="20D1E299">
      <w:pPr>
        <w:jc w:val="left"/>
        <w:rPr>
          <w:rFonts w:ascii="宋体" w:hAnsi="宋体"/>
          <w:kern w:val="44"/>
        </w:rPr>
      </w:pPr>
    </w:p>
    <w:p w14:paraId="3B8E4C28">
      <w:pPr>
        <w:ind w:firstLine="422"/>
        <w:jc w:val="left"/>
        <w:rPr>
          <w:rFonts w:ascii="宋体" w:hAnsi="宋体"/>
          <w:kern w:val="44"/>
        </w:rPr>
      </w:pPr>
      <w:r>
        <w:rPr>
          <w:rFonts w:hint="eastAsia" w:ascii="宋体" w:hAnsi="宋体"/>
          <w:b/>
          <w:kern w:val="44"/>
        </w:rPr>
        <w:t>第七条</w:t>
      </w:r>
      <w:r>
        <w:rPr>
          <w:rFonts w:hint="eastAsia" w:ascii="宋体" w:hAnsi="宋体"/>
          <w:kern w:val="44"/>
        </w:rPr>
        <w:t>　审计机关应当依法对下列事项进行审计：</w:t>
      </w:r>
    </w:p>
    <w:p w14:paraId="1E96A228">
      <w:pPr>
        <w:jc w:val="left"/>
        <w:rPr>
          <w:rFonts w:ascii="宋体" w:hAnsi="宋体"/>
          <w:kern w:val="44"/>
        </w:rPr>
      </w:pPr>
      <w:r>
        <w:rPr>
          <w:rFonts w:hint="eastAsia" w:ascii="宋体" w:hAnsi="宋体"/>
          <w:kern w:val="44"/>
        </w:rPr>
        <w:t>（一）本市各级人民政府及其部门预算的执行情况、决算和其他财政收支情况；国家的事业组织和使用财政资金的其他事业组织的财务收支情况；其他取得财政资金的单位和项目接受、使用财政资金的情况。</w:t>
      </w:r>
    </w:p>
    <w:p w14:paraId="25AC7D41">
      <w:pPr>
        <w:jc w:val="left"/>
        <w:rPr>
          <w:rFonts w:ascii="宋体" w:hAnsi="宋体"/>
          <w:kern w:val="44"/>
        </w:rPr>
      </w:pPr>
      <w:r>
        <w:rPr>
          <w:rFonts w:hint="eastAsia" w:ascii="宋体" w:hAnsi="宋体"/>
          <w:kern w:val="44"/>
        </w:rPr>
        <w:t>（二）国有、国有资本占控股地位或者主导地位的企业和金融机构的财务收支及其境内外国有资产经营管理情况。</w:t>
      </w:r>
    </w:p>
    <w:p w14:paraId="454D003F">
      <w:pPr>
        <w:jc w:val="left"/>
        <w:rPr>
          <w:rFonts w:ascii="宋体" w:hAnsi="宋体"/>
          <w:kern w:val="44"/>
        </w:rPr>
      </w:pPr>
      <w:r>
        <w:rPr>
          <w:rFonts w:hint="eastAsia" w:ascii="宋体" w:hAnsi="宋体"/>
          <w:kern w:val="44"/>
        </w:rPr>
        <w:t>（三）政府投资和以政府投资为主的建设项目的预算执行情况和决算。</w:t>
      </w:r>
    </w:p>
    <w:p w14:paraId="0E46F89B">
      <w:pPr>
        <w:jc w:val="left"/>
        <w:rPr>
          <w:rFonts w:ascii="宋体" w:hAnsi="宋体"/>
          <w:kern w:val="44"/>
        </w:rPr>
      </w:pPr>
      <w:r>
        <w:rPr>
          <w:rFonts w:hint="eastAsia" w:ascii="宋体" w:hAnsi="宋体"/>
          <w:kern w:val="44"/>
        </w:rPr>
        <w:t>（四）政府部门管理和其他单位受政府委托管理的社会保障基金、住房公积金、社会捐赠资金、彩票公益金及其他有关基金、资金的财务收支情况。</w:t>
      </w:r>
    </w:p>
    <w:p w14:paraId="351D7FD0">
      <w:pPr>
        <w:jc w:val="left"/>
        <w:rPr>
          <w:rFonts w:ascii="宋体" w:hAnsi="宋体"/>
          <w:kern w:val="44"/>
        </w:rPr>
      </w:pPr>
      <w:r>
        <w:rPr>
          <w:rFonts w:hint="eastAsia" w:ascii="宋体" w:hAnsi="宋体"/>
          <w:kern w:val="44"/>
        </w:rPr>
        <w:t>（五）国家机关和依法属于审计监督对象的其他单位的主要负责人应负经济责任的履行情况。</w:t>
      </w:r>
    </w:p>
    <w:p w14:paraId="411BA9A1">
      <w:pPr>
        <w:jc w:val="left"/>
        <w:rPr>
          <w:rFonts w:ascii="宋体" w:hAnsi="宋体"/>
          <w:kern w:val="44"/>
        </w:rPr>
      </w:pPr>
      <w:r>
        <w:rPr>
          <w:rFonts w:hint="eastAsia" w:ascii="宋体" w:hAnsi="宋体"/>
          <w:kern w:val="44"/>
        </w:rPr>
        <w:t>（六）本级人民政府批准的其他事项。</w:t>
      </w:r>
    </w:p>
    <w:p w14:paraId="47D5C87F">
      <w:pPr>
        <w:jc w:val="left"/>
        <w:rPr>
          <w:rFonts w:ascii="宋体" w:hAnsi="宋体"/>
          <w:kern w:val="44"/>
        </w:rPr>
      </w:pPr>
      <w:r>
        <w:rPr>
          <w:rFonts w:hint="eastAsia" w:ascii="宋体" w:hAnsi="宋体"/>
          <w:kern w:val="44"/>
        </w:rPr>
        <w:t>审计机关可以依法对财经政策和宏观调控措施执行情况，预算管理情况，国家所有的土地、水流、森林、矿藏等国有资产管理使用，以及其他与财政收支有关的特定事项进行专项审计调查。</w:t>
      </w:r>
    </w:p>
    <w:p w14:paraId="58F425ED">
      <w:pPr>
        <w:ind w:firstLine="422"/>
        <w:jc w:val="left"/>
        <w:rPr>
          <w:rFonts w:ascii="宋体" w:hAnsi="宋体"/>
          <w:kern w:val="44"/>
        </w:rPr>
      </w:pPr>
      <w:r>
        <w:rPr>
          <w:rFonts w:hint="eastAsia" w:ascii="宋体" w:hAnsi="宋体"/>
          <w:b/>
          <w:kern w:val="44"/>
        </w:rPr>
        <w:t>第八条</w:t>
      </w:r>
      <w:r>
        <w:rPr>
          <w:rFonts w:hint="eastAsia" w:ascii="宋体" w:hAnsi="宋体"/>
          <w:kern w:val="44"/>
        </w:rPr>
        <w:t>　审计机关应当依据法律、法规和其他有关规定，按照本级人民政府和上一级审计机关的要求，于每年第四季度提出下一年度审计项目计划草案，征求本级人民代表大会有关专门委员会或者常务委员会有关工作机构的意见，报本级人民政府批准后执行。</w:t>
      </w:r>
    </w:p>
    <w:p w14:paraId="3B6FA097">
      <w:pPr>
        <w:jc w:val="left"/>
        <w:rPr>
          <w:rFonts w:ascii="宋体" w:hAnsi="宋体"/>
          <w:kern w:val="44"/>
        </w:rPr>
      </w:pPr>
      <w:r>
        <w:rPr>
          <w:rFonts w:hint="eastAsia" w:ascii="宋体" w:hAnsi="宋体"/>
          <w:kern w:val="44"/>
        </w:rPr>
        <w:t>区、县审计机关提出的年度审计项目计划，应当在本级人民政府批准后15日内报市审计机关备案；区、县年度审计项目计划的执行情况，应当按规定向市审计机关报告。</w:t>
      </w:r>
    </w:p>
    <w:p w14:paraId="457C0B5B">
      <w:pPr>
        <w:jc w:val="left"/>
        <w:rPr>
          <w:rFonts w:ascii="宋体" w:hAnsi="宋体"/>
          <w:kern w:val="44"/>
        </w:rPr>
      </w:pPr>
      <w:r>
        <w:rPr>
          <w:rFonts w:hint="eastAsia" w:ascii="宋体" w:hAnsi="宋体"/>
          <w:kern w:val="44"/>
        </w:rPr>
        <w:t>市和区、县人民代表大会常务委员会可以要求本级人民政府安排绩效审计等专项审计。</w:t>
      </w:r>
    </w:p>
    <w:p w14:paraId="3B7CE62B">
      <w:pPr>
        <w:ind w:firstLine="422"/>
        <w:jc w:val="left"/>
        <w:rPr>
          <w:rFonts w:ascii="宋体" w:hAnsi="宋体"/>
          <w:kern w:val="44"/>
        </w:rPr>
      </w:pPr>
      <w:r>
        <w:rPr>
          <w:rFonts w:hint="eastAsia" w:ascii="宋体" w:hAnsi="宋体"/>
          <w:b/>
          <w:kern w:val="44"/>
        </w:rPr>
        <w:t>第九条</w:t>
      </w:r>
      <w:r>
        <w:rPr>
          <w:rFonts w:hint="eastAsia" w:ascii="宋体" w:hAnsi="宋体"/>
          <w:kern w:val="44"/>
        </w:rPr>
        <w:t>　审计机关应当对本条例第七条所列事项中社会关注度高、使用财政资金等公共资源数量大、涉及重大公共利益的事项，专门开展绩效审计。</w:t>
      </w:r>
    </w:p>
    <w:p w14:paraId="04B7DD9E">
      <w:pPr>
        <w:ind w:firstLine="422"/>
        <w:jc w:val="left"/>
        <w:rPr>
          <w:rFonts w:ascii="宋体" w:hAnsi="宋体"/>
          <w:kern w:val="44"/>
        </w:rPr>
      </w:pPr>
      <w:r>
        <w:rPr>
          <w:rFonts w:hint="eastAsia" w:ascii="宋体" w:hAnsi="宋体"/>
          <w:b/>
          <w:kern w:val="44"/>
        </w:rPr>
        <w:t>第十条</w:t>
      </w:r>
      <w:r>
        <w:rPr>
          <w:rFonts w:hint="eastAsia" w:ascii="宋体" w:hAnsi="宋体"/>
          <w:kern w:val="44"/>
        </w:rPr>
        <w:t>　审计机关应当建立并不断完善绩效审计评价体系，依照有关法律、法规、规章及政策、标准、项目目标、绩效目标等方面的规定，选择确定评价标准。政府预算确定的绩效目标应当作为政府预算绩效审计的重要评价标准。</w:t>
      </w:r>
    </w:p>
    <w:p w14:paraId="06213636">
      <w:pPr>
        <w:jc w:val="left"/>
        <w:rPr>
          <w:rFonts w:ascii="宋体" w:hAnsi="宋体"/>
          <w:kern w:val="44"/>
        </w:rPr>
      </w:pPr>
      <w:r>
        <w:rPr>
          <w:rFonts w:hint="eastAsia" w:ascii="宋体" w:hAnsi="宋体"/>
          <w:kern w:val="44"/>
        </w:rPr>
        <w:t>审计机关选择确定评价标准，应当听取被审计单位、专家学者、政府部门、行业协会及社会公众等有关方面的意见。</w:t>
      </w:r>
    </w:p>
    <w:p w14:paraId="20793635">
      <w:pPr>
        <w:ind w:firstLine="422"/>
        <w:jc w:val="left"/>
        <w:rPr>
          <w:rFonts w:ascii="宋体" w:hAnsi="宋体"/>
          <w:kern w:val="44"/>
        </w:rPr>
      </w:pPr>
      <w:r>
        <w:rPr>
          <w:rFonts w:hint="eastAsia" w:ascii="宋体" w:hAnsi="宋体"/>
          <w:b/>
          <w:kern w:val="44"/>
        </w:rPr>
        <w:t>第十一条</w:t>
      </w:r>
      <w:r>
        <w:rPr>
          <w:rFonts w:hint="eastAsia" w:ascii="宋体" w:hAnsi="宋体"/>
          <w:kern w:val="44"/>
        </w:rPr>
        <w:t>　审计机关对政府投资和以政府投资为主的建设项目进行审计，可以对项目的融资情况和国有土地上房屋征收与补偿情况及项目勘察、设计、施工、监理、代理、供货等单位或者个人取得建设项目资金的真实性、合法性进行调查。</w:t>
      </w:r>
    </w:p>
    <w:p w14:paraId="68D55272">
      <w:pPr>
        <w:ind w:firstLine="422"/>
        <w:jc w:val="left"/>
        <w:rPr>
          <w:rFonts w:ascii="宋体" w:hAnsi="宋体"/>
          <w:kern w:val="44"/>
        </w:rPr>
      </w:pPr>
      <w:r>
        <w:rPr>
          <w:rFonts w:hint="eastAsia" w:ascii="宋体" w:hAnsi="宋体"/>
          <w:b/>
          <w:kern w:val="44"/>
        </w:rPr>
        <w:t>第十二条</w:t>
      </w:r>
      <w:r>
        <w:rPr>
          <w:rFonts w:hint="eastAsia" w:ascii="宋体" w:hAnsi="宋体"/>
          <w:kern w:val="44"/>
        </w:rPr>
        <w:t>　审计机关按照国家有关规定对有关单位的主要负责人进行任中经济责任审计或者离任经济责任审计，作出审计评价。</w:t>
      </w:r>
    </w:p>
    <w:p w14:paraId="5FDD5B00">
      <w:pPr>
        <w:jc w:val="left"/>
        <w:rPr>
          <w:rFonts w:ascii="宋体" w:hAnsi="宋体"/>
          <w:kern w:val="44"/>
        </w:rPr>
      </w:pPr>
      <w:r>
        <w:rPr>
          <w:rFonts w:hint="eastAsia" w:ascii="宋体" w:hAnsi="宋体"/>
          <w:kern w:val="44"/>
        </w:rPr>
        <w:t>有关单位的主要负责人在履行经济职责过程中存在问题的，审计评价中应当对其应承担的直接责任、主管责任、领导责任作出界定。</w:t>
      </w:r>
    </w:p>
    <w:p w14:paraId="15F3E653">
      <w:pPr>
        <w:ind w:firstLine="422"/>
        <w:jc w:val="left"/>
        <w:rPr>
          <w:rFonts w:ascii="宋体" w:hAnsi="宋体"/>
          <w:kern w:val="44"/>
        </w:rPr>
      </w:pPr>
      <w:r>
        <w:rPr>
          <w:rFonts w:hint="eastAsia" w:ascii="宋体" w:hAnsi="宋体"/>
          <w:b/>
          <w:kern w:val="44"/>
        </w:rPr>
        <w:t>第十三条</w:t>
      </w:r>
      <w:r>
        <w:rPr>
          <w:rFonts w:hint="eastAsia" w:ascii="宋体" w:hAnsi="宋体"/>
          <w:kern w:val="44"/>
        </w:rPr>
        <w:t>　审计机关可以对政府投资和以政府投资为主的重大建设项目的建设情况、重点专项资金或者基金的使用情况，实施跟踪审计。</w:t>
      </w:r>
    </w:p>
    <w:p w14:paraId="146534CD">
      <w:pPr>
        <w:ind w:firstLine="422"/>
        <w:jc w:val="left"/>
        <w:rPr>
          <w:rFonts w:ascii="宋体" w:hAnsi="宋体"/>
          <w:kern w:val="44"/>
        </w:rPr>
      </w:pPr>
      <w:r>
        <w:rPr>
          <w:rFonts w:hint="eastAsia" w:ascii="宋体" w:hAnsi="宋体"/>
          <w:b/>
          <w:kern w:val="44"/>
        </w:rPr>
        <w:t>第十四条</w:t>
      </w:r>
      <w:r>
        <w:rPr>
          <w:rFonts w:hint="eastAsia" w:ascii="宋体" w:hAnsi="宋体"/>
          <w:kern w:val="44"/>
        </w:rPr>
        <w:t>　本市全面推进审计信息化建设，在审计与财政、税收、社会保险等领域实现数据系统的互联互通，并逐步实施联网审计。</w:t>
      </w:r>
    </w:p>
    <w:p w14:paraId="4CD8B066">
      <w:pPr>
        <w:jc w:val="left"/>
        <w:rPr>
          <w:rFonts w:ascii="宋体" w:hAnsi="宋体"/>
          <w:kern w:val="44"/>
        </w:rPr>
      </w:pPr>
      <w:r>
        <w:rPr>
          <w:rFonts w:hint="eastAsia" w:ascii="宋体" w:hAnsi="宋体"/>
          <w:kern w:val="44"/>
        </w:rPr>
        <w:t>政府有关部门应当按照审计机关的要求及时、完整地提供有关的电子数据和计算机技术文档等资料。</w:t>
      </w:r>
    </w:p>
    <w:p w14:paraId="7E0D8281">
      <w:pPr>
        <w:ind w:firstLine="422"/>
        <w:jc w:val="left"/>
        <w:rPr>
          <w:rFonts w:ascii="宋体" w:hAnsi="宋体"/>
          <w:kern w:val="44"/>
        </w:rPr>
      </w:pPr>
      <w:r>
        <w:rPr>
          <w:rFonts w:hint="eastAsia" w:ascii="宋体" w:hAnsi="宋体"/>
          <w:b/>
          <w:kern w:val="44"/>
        </w:rPr>
        <w:t>第十五条</w:t>
      </w:r>
      <w:r>
        <w:rPr>
          <w:rFonts w:hint="eastAsia" w:ascii="宋体" w:hAnsi="宋体"/>
          <w:kern w:val="44"/>
        </w:rPr>
        <w:t>　依法属于审计监督对象的单位应当按照国家有关规定建立健全内部审计制度，根据需要设立内部审计机构或者配备内部审计人员。</w:t>
      </w:r>
    </w:p>
    <w:p w14:paraId="40C86A3B">
      <w:pPr>
        <w:jc w:val="left"/>
        <w:rPr>
          <w:rFonts w:ascii="宋体" w:hAnsi="宋体"/>
          <w:kern w:val="44"/>
        </w:rPr>
      </w:pPr>
      <w:r>
        <w:rPr>
          <w:rFonts w:hint="eastAsia" w:ascii="宋体" w:hAnsi="宋体"/>
          <w:kern w:val="44"/>
        </w:rPr>
        <w:t>内部审计机构或者内部审计人员根据本单位确定的职责对本单位和所属单位的财政收支、财务收支及其他经济活动和所属单位负责人应负经济责任等事项，开展内部审计工作。</w:t>
      </w:r>
    </w:p>
    <w:p w14:paraId="766513AA">
      <w:pPr>
        <w:jc w:val="left"/>
        <w:rPr>
          <w:rFonts w:ascii="宋体" w:hAnsi="宋体"/>
          <w:kern w:val="44"/>
        </w:rPr>
      </w:pPr>
      <w:r>
        <w:rPr>
          <w:rFonts w:hint="eastAsia" w:ascii="宋体" w:hAnsi="宋体"/>
          <w:kern w:val="44"/>
        </w:rPr>
        <w:t>内部审计工作应当接受审计机关的业务指导和监督。</w:t>
      </w:r>
    </w:p>
    <w:p w14:paraId="79F6C7E4">
      <w:pPr>
        <w:jc w:val="left"/>
        <w:rPr>
          <w:rFonts w:ascii="宋体" w:hAnsi="宋体"/>
          <w:kern w:val="44"/>
        </w:rPr>
      </w:pPr>
    </w:p>
    <w:p w14:paraId="5B25AFC8">
      <w:pPr>
        <w:ind w:firstLine="0" w:firstLineChars="0"/>
        <w:jc w:val="center"/>
        <w:rPr>
          <w:rFonts w:ascii="宋体" w:hAnsi="宋体"/>
          <w:b/>
          <w:kern w:val="44"/>
          <w:sz w:val="28"/>
        </w:rPr>
      </w:pPr>
      <w:r>
        <w:rPr>
          <w:rFonts w:hint="eastAsia" w:ascii="宋体" w:hAnsi="宋体"/>
          <w:b/>
          <w:kern w:val="44"/>
          <w:sz w:val="28"/>
        </w:rPr>
        <w:t>第三章　审计结果</w:t>
      </w:r>
    </w:p>
    <w:p w14:paraId="2CA4848E">
      <w:pPr>
        <w:jc w:val="left"/>
        <w:rPr>
          <w:rFonts w:ascii="宋体" w:hAnsi="宋体"/>
          <w:kern w:val="44"/>
        </w:rPr>
      </w:pPr>
    </w:p>
    <w:p w14:paraId="65F7EA61">
      <w:pPr>
        <w:ind w:firstLine="422"/>
        <w:jc w:val="left"/>
        <w:rPr>
          <w:rFonts w:ascii="宋体" w:hAnsi="宋体"/>
          <w:kern w:val="44"/>
        </w:rPr>
      </w:pPr>
      <w:r>
        <w:rPr>
          <w:rFonts w:hint="eastAsia" w:ascii="宋体" w:hAnsi="宋体"/>
          <w:b/>
          <w:kern w:val="44"/>
        </w:rPr>
        <w:t>第十六条</w:t>
      </w:r>
      <w:r>
        <w:rPr>
          <w:rFonts w:hint="eastAsia" w:ascii="宋体" w:hAnsi="宋体"/>
          <w:kern w:val="44"/>
        </w:rPr>
        <w:t>　审计机关实施审计后，应当依法出具审计报告或者专项审计调查报告；实施跟踪审计的，可以出具阶段性审计报告。</w:t>
      </w:r>
    </w:p>
    <w:p w14:paraId="1E20DCE0">
      <w:pPr>
        <w:jc w:val="left"/>
        <w:rPr>
          <w:rFonts w:ascii="宋体" w:hAnsi="宋体"/>
          <w:kern w:val="44"/>
        </w:rPr>
      </w:pPr>
      <w:r>
        <w:rPr>
          <w:rFonts w:hint="eastAsia" w:ascii="宋体" w:hAnsi="宋体"/>
          <w:kern w:val="44"/>
        </w:rPr>
        <w:t>对违反国家规定的财政收支、财务收支行为，依法应当由审计机关进行处理处罚的，审计机关应当出具审计决定书；依法应当由其他有关部门纠正、处理处罚或者追究有关人员责任的，审计机关应当出具审计移送处理书。</w:t>
      </w:r>
    </w:p>
    <w:p w14:paraId="3AB81837">
      <w:pPr>
        <w:jc w:val="left"/>
        <w:rPr>
          <w:rFonts w:ascii="宋体" w:hAnsi="宋体"/>
          <w:kern w:val="44"/>
        </w:rPr>
      </w:pPr>
      <w:r>
        <w:rPr>
          <w:rFonts w:hint="eastAsia" w:ascii="宋体" w:hAnsi="宋体"/>
          <w:kern w:val="44"/>
        </w:rPr>
        <w:t>审计机关应当将审计报告和审计决定书送达被审计单位和有关主管机关、单位。</w:t>
      </w:r>
    </w:p>
    <w:p w14:paraId="2214EB76">
      <w:pPr>
        <w:ind w:firstLine="422"/>
        <w:jc w:val="left"/>
        <w:rPr>
          <w:rFonts w:ascii="宋体" w:hAnsi="宋体"/>
          <w:kern w:val="44"/>
        </w:rPr>
      </w:pPr>
      <w:r>
        <w:rPr>
          <w:rFonts w:hint="eastAsia" w:ascii="宋体" w:hAnsi="宋体"/>
          <w:b/>
          <w:kern w:val="44"/>
        </w:rPr>
        <w:t>第十七条</w:t>
      </w:r>
      <w:r>
        <w:rPr>
          <w:rFonts w:hint="eastAsia" w:ascii="宋体" w:hAnsi="宋体"/>
          <w:kern w:val="44"/>
        </w:rPr>
        <w:t>　被审计单位应当按照审计机关规定的期限和要求执行审计决定，对审计中发现的问题进行整改，并向审计机关报送审计整改报告。审计整改报告的内容应当包括执行审计机关作出的处理处罚决定的情况，对审计机关要求自行纠正事项采取措施的情况，根据审计机关的审计建议采取措施、健全规章制度、规范财政和财务管理及提高资金使用效益的情况，对有关责任部门和责任人的责任追究处理的情况，尚未整改到位的原因，限期整改和处理的计划等。</w:t>
      </w:r>
    </w:p>
    <w:p w14:paraId="46B9230A">
      <w:pPr>
        <w:jc w:val="left"/>
        <w:rPr>
          <w:rFonts w:ascii="宋体" w:hAnsi="宋体"/>
          <w:kern w:val="44"/>
        </w:rPr>
      </w:pPr>
      <w:r>
        <w:rPr>
          <w:rFonts w:hint="eastAsia" w:ascii="宋体" w:hAnsi="宋体"/>
          <w:kern w:val="44"/>
        </w:rPr>
        <w:t>审计机关可以对审计决定的执行情况和审计报告中提出的审计意见、建议的采纳情况及审计的整改情况进行跟踪检查或者后续审计。</w:t>
      </w:r>
    </w:p>
    <w:p w14:paraId="4F7F0EA3">
      <w:pPr>
        <w:ind w:firstLine="422"/>
        <w:jc w:val="left"/>
        <w:rPr>
          <w:rFonts w:ascii="宋体" w:hAnsi="宋体"/>
          <w:kern w:val="44"/>
        </w:rPr>
      </w:pPr>
      <w:r>
        <w:rPr>
          <w:rFonts w:hint="eastAsia" w:ascii="宋体" w:hAnsi="宋体"/>
          <w:b/>
          <w:kern w:val="44"/>
        </w:rPr>
        <w:t>第十八条</w:t>
      </w:r>
      <w:r>
        <w:rPr>
          <w:rFonts w:hint="eastAsia" w:ascii="宋体" w:hAnsi="宋体"/>
          <w:kern w:val="44"/>
        </w:rPr>
        <w:t>　市和区、县人民政府应当建立审计整改联动机制。审计机关提请有关部门协助落实审计整改意见，或者依法移送有关主管部门纠正、处理处罚、追究有关人员责任的，有关主管部门应当依法及时作出处理，并将结果书面反馈审计机关。</w:t>
      </w:r>
    </w:p>
    <w:p w14:paraId="03CEFFD8">
      <w:pPr>
        <w:ind w:firstLine="422"/>
        <w:jc w:val="left"/>
        <w:rPr>
          <w:rFonts w:ascii="宋体" w:hAnsi="宋体"/>
          <w:kern w:val="44"/>
        </w:rPr>
      </w:pPr>
      <w:r>
        <w:rPr>
          <w:rFonts w:hint="eastAsia" w:ascii="宋体" w:hAnsi="宋体"/>
          <w:b/>
          <w:kern w:val="44"/>
        </w:rPr>
        <w:t>第十九条</w:t>
      </w:r>
      <w:r>
        <w:rPr>
          <w:rFonts w:hint="eastAsia" w:ascii="宋体" w:hAnsi="宋体"/>
          <w:kern w:val="44"/>
        </w:rPr>
        <w:t>　审计机关应当对审计工作中发现的问题加强分析研究，将涉及宏观性、普遍性、政策性的问题和制度建设方面的问题向本级人民政府报告，并提出改进建议。政府研究后，责成财政、发展和改革、国有资产管理等相关部门落实。</w:t>
      </w:r>
    </w:p>
    <w:p w14:paraId="4DDD42E9">
      <w:pPr>
        <w:ind w:firstLine="422"/>
        <w:jc w:val="left"/>
        <w:rPr>
          <w:rFonts w:ascii="宋体" w:hAnsi="宋体"/>
          <w:kern w:val="44"/>
        </w:rPr>
      </w:pPr>
      <w:r>
        <w:rPr>
          <w:rFonts w:hint="eastAsia" w:ascii="宋体" w:hAnsi="宋体"/>
          <w:b/>
          <w:kern w:val="44"/>
        </w:rPr>
        <w:t>第二十条</w:t>
      </w:r>
      <w:r>
        <w:rPr>
          <w:rFonts w:hint="eastAsia" w:ascii="宋体" w:hAnsi="宋体"/>
          <w:kern w:val="44"/>
        </w:rPr>
        <w:t>　审计报告、专项审计调查报告或者审计决定能够满足政府及其有关部门履行职责需要的，政府及其有关部门应当利用。</w:t>
      </w:r>
    </w:p>
    <w:p w14:paraId="03E83EE4">
      <w:pPr>
        <w:ind w:firstLine="422"/>
        <w:jc w:val="left"/>
        <w:rPr>
          <w:rFonts w:ascii="宋体" w:hAnsi="宋体"/>
          <w:kern w:val="44"/>
        </w:rPr>
      </w:pPr>
      <w:r>
        <w:rPr>
          <w:rFonts w:hint="eastAsia" w:ascii="宋体" w:hAnsi="宋体"/>
          <w:b/>
          <w:kern w:val="44"/>
        </w:rPr>
        <w:t>第二十一条</w:t>
      </w:r>
      <w:r>
        <w:rPr>
          <w:rFonts w:hint="eastAsia" w:ascii="宋体" w:hAnsi="宋体"/>
          <w:kern w:val="44"/>
        </w:rPr>
        <w:t>　审计结果应当作为政府及其有关部门编制预算、安排投资、绩效考核的重要依据。</w:t>
      </w:r>
    </w:p>
    <w:p w14:paraId="2D1CBF09">
      <w:pPr>
        <w:ind w:firstLine="422"/>
        <w:jc w:val="left"/>
        <w:rPr>
          <w:rFonts w:ascii="宋体" w:hAnsi="宋体"/>
          <w:kern w:val="44"/>
        </w:rPr>
      </w:pPr>
      <w:r>
        <w:rPr>
          <w:rFonts w:hint="eastAsia" w:ascii="宋体" w:hAnsi="宋体"/>
          <w:b/>
          <w:kern w:val="44"/>
        </w:rPr>
        <w:t>第二十二条</w:t>
      </w:r>
      <w:r>
        <w:rPr>
          <w:rFonts w:hint="eastAsia" w:ascii="宋体" w:hAnsi="宋体"/>
          <w:kern w:val="44"/>
        </w:rPr>
        <w:t>　政府投资和以政府投资为主的建设项目，经审计机关审计发现存在违反基本建设投资管理有关规定的问题的，应当按照审计结论进行纠正。</w:t>
      </w:r>
    </w:p>
    <w:p w14:paraId="36F24345">
      <w:pPr>
        <w:jc w:val="left"/>
        <w:rPr>
          <w:rFonts w:ascii="宋体" w:hAnsi="宋体"/>
          <w:kern w:val="44"/>
        </w:rPr>
      </w:pPr>
      <w:r>
        <w:rPr>
          <w:rFonts w:hint="eastAsia" w:ascii="宋体" w:hAnsi="宋体"/>
          <w:kern w:val="44"/>
        </w:rPr>
        <w:t>纳入审计项目计划的政府投资和以政府投资为主的建设项目竣工后，建设单位应当依据审计机关的审计报告编制竣工决算报告；有关部门进行竣工决算审批、办理固定资产移交时，应当采用审计机关的审计报告。</w:t>
      </w:r>
    </w:p>
    <w:p w14:paraId="5B7F7A2F">
      <w:pPr>
        <w:ind w:firstLine="422"/>
        <w:jc w:val="left"/>
        <w:rPr>
          <w:rFonts w:ascii="宋体" w:hAnsi="宋体"/>
          <w:kern w:val="44"/>
        </w:rPr>
      </w:pPr>
      <w:r>
        <w:rPr>
          <w:rFonts w:hint="eastAsia" w:ascii="宋体" w:hAnsi="宋体"/>
          <w:b/>
          <w:kern w:val="44"/>
        </w:rPr>
        <w:t>第二十三条</w:t>
      </w:r>
      <w:r>
        <w:rPr>
          <w:rFonts w:hint="eastAsia" w:ascii="宋体" w:hAnsi="宋体"/>
          <w:kern w:val="44"/>
        </w:rPr>
        <w:t>　政府投资和以政府投资为主的建设项目，建设单位应当与承接项目的单位或者个人在合同中约定，建设项目纳入审计项目计划的，双方应当配合、接受审计，审计结论作为双方工程结算的依据；依法进行招标的，招标人应当在招标文件中载明上述内容。</w:t>
      </w:r>
    </w:p>
    <w:p w14:paraId="722EFC36">
      <w:pPr>
        <w:ind w:firstLine="422"/>
        <w:jc w:val="left"/>
        <w:rPr>
          <w:rFonts w:ascii="宋体" w:hAnsi="宋体"/>
          <w:kern w:val="44"/>
        </w:rPr>
      </w:pPr>
      <w:r>
        <w:rPr>
          <w:rFonts w:hint="eastAsia" w:ascii="宋体" w:hAnsi="宋体"/>
          <w:b/>
          <w:kern w:val="44"/>
        </w:rPr>
        <w:t>第二十四条</w:t>
      </w:r>
      <w:r>
        <w:rPr>
          <w:rFonts w:hint="eastAsia" w:ascii="宋体" w:hAnsi="宋体"/>
          <w:kern w:val="44"/>
        </w:rPr>
        <w:t>　经济责任审计结果报告按照国家有关规定作为领导干部考核、任免的依据。</w:t>
      </w:r>
    </w:p>
    <w:p w14:paraId="2C1C6F33">
      <w:pPr>
        <w:ind w:firstLine="422"/>
        <w:jc w:val="left"/>
        <w:rPr>
          <w:rFonts w:ascii="宋体" w:hAnsi="宋体"/>
          <w:kern w:val="44"/>
        </w:rPr>
      </w:pPr>
      <w:r>
        <w:rPr>
          <w:rFonts w:hint="eastAsia" w:ascii="宋体" w:hAnsi="宋体"/>
          <w:b/>
          <w:kern w:val="44"/>
        </w:rPr>
        <w:t>第二十五条</w:t>
      </w:r>
      <w:r>
        <w:rPr>
          <w:rFonts w:hint="eastAsia" w:ascii="宋体" w:hAnsi="宋体"/>
          <w:kern w:val="44"/>
        </w:rPr>
        <w:t>　审计机关应当每年就本级预算执行和其他财政收支情况，向本级人民政府和上一级审计机关提出审计结果报告。</w:t>
      </w:r>
    </w:p>
    <w:p w14:paraId="3AE9B195">
      <w:pPr>
        <w:jc w:val="left"/>
        <w:rPr>
          <w:rFonts w:ascii="宋体" w:hAnsi="宋体"/>
          <w:kern w:val="44"/>
        </w:rPr>
      </w:pPr>
      <w:r>
        <w:rPr>
          <w:rFonts w:hint="eastAsia" w:ascii="宋体" w:hAnsi="宋体"/>
          <w:kern w:val="44"/>
        </w:rPr>
        <w:t>市和区、县人民政府可以要求同级审计机关就特定事项提出专项审计结果报告。</w:t>
      </w:r>
    </w:p>
    <w:p w14:paraId="0457EE97">
      <w:pPr>
        <w:ind w:firstLine="422"/>
        <w:jc w:val="left"/>
        <w:rPr>
          <w:rFonts w:ascii="宋体" w:hAnsi="宋体"/>
          <w:kern w:val="44"/>
        </w:rPr>
      </w:pPr>
      <w:r>
        <w:rPr>
          <w:rFonts w:hint="eastAsia" w:ascii="宋体" w:hAnsi="宋体"/>
          <w:b/>
          <w:kern w:val="44"/>
        </w:rPr>
        <w:t>第二十六条</w:t>
      </w:r>
      <w:r>
        <w:rPr>
          <w:rFonts w:hint="eastAsia" w:ascii="宋体" w:hAnsi="宋体"/>
          <w:kern w:val="44"/>
        </w:rPr>
        <w:t>　市和区、县人民政府应当每年向本级人民代表大会常务委员会提出审计机关对预算执行和其他财政收支的审计工作报告。</w:t>
      </w:r>
    </w:p>
    <w:p w14:paraId="1F51A093">
      <w:pPr>
        <w:jc w:val="left"/>
        <w:rPr>
          <w:rFonts w:ascii="宋体" w:hAnsi="宋体"/>
          <w:kern w:val="44"/>
        </w:rPr>
      </w:pPr>
      <w:r>
        <w:rPr>
          <w:rFonts w:hint="eastAsia" w:ascii="宋体" w:hAnsi="宋体"/>
          <w:kern w:val="44"/>
        </w:rPr>
        <w:t>市和区、县人民代表大会常务委员会可以要求同级人民政府提交专项审计工作报告。</w:t>
      </w:r>
    </w:p>
    <w:p w14:paraId="63D2C7FB">
      <w:pPr>
        <w:jc w:val="left"/>
        <w:rPr>
          <w:rFonts w:ascii="宋体" w:hAnsi="宋体"/>
          <w:kern w:val="44"/>
        </w:rPr>
      </w:pPr>
      <w:r>
        <w:rPr>
          <w:rFonts w:hint="eastAsia" w:ascii="宋体" w:hAnsi="宋体"/>
          <w:kern w:val="44"/>
        </w:rPr>
        <w:t>市和区、县人民代表大会常务委员会对审计工作报告和专项审计工作报告作出的审议意见和决议，同级人民政府应当落实并报告落实情况。</w:t>
      </w:r>
    </w:p>
    <w:p w14:paraId="0E775B4A">
      <w:pPr>
        <w:ind w:firstLine="422"/>
        <w:jc w:val="left"/>
        <w:rPr>
          <w:rFonts w:ascii="宋体" w:hAnsi="宋体"/>
          <w:kern w:val="44"/>
        </w:rPr>
      </w:pPr>
      <w:r>
        <w:rPr>
          <w:rFonts w:hint="eastAsia" w:ascii="宋体" w:hAnsi="宋体"/>
          <w:b/>
          <w:kern w:val="44"/>
        </w:rPr>
        <w:t>第二十七条</w:t>
      </w:r>
      <w:r>
        <w:rPr>
          <w:rFonts w:hint="eastAsia" w:ascii="宋体" w:hAnsi="宋体"/>
          <w:kern w:val="44"/>
        </w:rPr>
        <w:t>　市和区、县人民政府应当督促被审计单位对审计工作报告中指出的问题进行整改，年底前向本级人民代表大会常务委员会报告整改情况和处理结果。</w:t>
      </w:r>
    </w:p>
    <w:p w14:paraId="43FF5010">
      <w:pPr>
        <w:jc w:val="left"/>
        <w:rPr>
          <w:rFonts w:ascii="宋体" w:hAnsi="宋体"/>
          <w:kern w:val="44"/>
        </w:rPr>
      </w:pPr>
      <w:r>
        <w:rPr>
          <w:rFonts w:hint="eastAsia" w:ascii="宋体" w:hAnsi="宋体"/>
          <w:kern w:val="44"/>
        </w:rPr>
        <w:t>市和区、县人民代表大会有关专门委员会或者常务委员会有关工作机构受常务委员会委托，可以组织对整改情况进行检查。</w:t>
      </w:r>
    </w:p>
    <w:p w14:paraId="4C872EB3">
      <w:pPr>
        <w:ind w:firstLine="422"/>
        <w:jc w:val="left"/>
        <w:rPr>
          <w:rFonts w:ascii="宋体" w:hAnsi="宋体"/>
          <w:kern w:val="44"/>
        </w:rPr>
      </w:pPr>
      <w:r>
        <w:rPr>
          <w:rFonts w:hint="eastAsia" w:ascii="宋体" w:hAnsi="宋体"/>
          <w:b/>
          <w:kern w:val="44"/>
        </w:rPr>
        <w:t>第二十八条</w:t>
      </w:r>
      <w:r>
        <w:rPr>
          <w:rFonts w:hint="eastAsia" w:ascii="宋体" w:hAnsi="宋体"/>
          <w:kern w:val="44"/>
        </w:rPr>
        <w:t>　审计结果应当通过新闻媒体、政府网站等途径向社会公布。</w:t>
      </w:r>
    </w:p>
    <w:p w14:paraId="18286BA8">
      <w:pPr>
        <w:jc w:val="left"/>
        <w:rPr>
          <w:rFonts w:ascii="宋体" w:hAnsi="宋体"/>
          <w:kern w:val="44"/>
        </w:rPr>
      </w:pPr>
      <w:r>
        <w:rPr>
          <w:rFonts w:hint="eastAsia" w:ascii="宋体" w:hAnsi="宋体"/>
          <w:kern w:val="44"/>
        </w:rPr>
        <w:t>审计工作报告经本级人民代表大会常务委员会审议后向社会公布。其他审计结果经履行规定的审核程序后7个工作日内，由审计机关向社会公布。</w:t>
      </w:r>
    </w:p>
    <w:p w14:paraId="430257E9">
      <w:pPr>
        <w:jc w:val="left"/>
        <w:rPr>
          <w:rFonts w:ascii="宋体" w:hAnsi="宋体"/>
          <w:kern w:val="44"/>
        </w:rPr>
      </w:pPr>
      <w:r>
        <w:rPr>
          <w:rFonts w:hint="eastAsia" w:ascii="宋体" w:hAnsi="宋体"/>
          <w:kern w:val="44"/>
        </w:rPr>
        <w:t>审计机关公布的审计结果应当包括被审计单位的基本情况，审计机关对被审计单位作出的审计评价，被审计单位存在的问题，审计机关提出的处理意见和建议，被审计单位的整改情况等内容。审计结果涉及国家秘密、商业秘密或者其他依法不予公开的信息的，应当依据相关法律、法规的规定处理。</w:t>
      </w:r>
    </w:p>
    <w:p w14:paraId="5AF7C840">
      <w:pPr>
        <w:ind w:firstLine="422"/>
        <w:jc w:val="left"/>
        <w:rPr>
          <w:rFonts w:ascii="宋体" w:hAnsi="宋体"/>
          <w:kern w:val="44"/>
        </w:rPr>
      </w:pPr>
      <w:r>
        <w:rPr>
          <w:rFonts w:hint="eastAsia" w:ascii="宋体" w:hAnsi="宋体"/>
          <w:b/>
          <w:kern w:val="44"/>
        </w:rPr>
        <w:t>第二十九条</w:t>
      </w:r>
      <w:r>
        <w:rPr>
          <w:rFonts w:hint="eastAsia" w:ascii="宋体" w:hAnsi="宋体"/>
          <w:kern w:val="44"/>
        </w:rPr>
        <w:t>　审计机关应当建立被审计单位违法违规行为信息系统，记录被审计单位违法违规行为，以及处理处罚的情况。</w:t>
      </w:r>
    </w:p>
    <w:p w14:paraId="47EA714A">
      <w:pPr>
        <w:jc w:val="left"/>
        <w:rPr>
          <w:rFonts w:ascii="宋体" w:hAnsi="宋体"/>
          <w:kern w:val="44"/>
        </w:rPr>
      </w:pPr>
      <w:r>
        <w:rPr>
          <w:rFonts w:hint="eastAsia" w:ascii="宋体" w:hAnsi="宋体"/>
          <w:kern w:val="44"/>
        </w:rPr>
        <w:t>被审计单位为企业的，其违法违规行为信息应当按照有关规定同时纳入本市企业信用信息系统。</w:t>
      </w:r>
    </w:p>
    <w:p w14:paraId="2FA087AF">
      <w:pPr>
        <w:jc w:val="left"/>
        <w:rPr>
          <w:rFonts w:ascii="宋体" w:hAnsi="宋体"/>
          <w:kern w:val="44"/>
        </w:rPr>
      </w:pPr>
    </w:p>
    <w:p w14:paraId="00501F03">
      <w:pPr>
        <w:ind w:firstLine="0" w:firstLineChars="0"/>
        <w:jc w:val="center"/>
        <w:rPr>
          <w:rFonts w:ascii="宋体" w:hAnsi="宋体"/>
          <w:b/>
          <w:kern w:val="44"/>
          <w:sz w:val="28"/>
        </w:rPr>
      </w:pPr>
      <w:r>
        <w:rPr>
          <w:rFonts w:hint="eastAsia" w:ascii="宋体" w:hAnsi="宋体"/>
          <w:b/>
          <w:kern w:val="44"/>
          <w:sz w:val="28"/>
        </w:rPr>
        <w:t>第四章　审计保障</w:t>
      </w:r>
    </w:p>
    <w:p w14:paraId="00E07B9A">
      <w:pPr>
        <w:jc w:val="left"/>
        <w:rPr>
          <w:rFonts w:ascii="宋体" w:hAnsi="宋体"/>
          <w:kern w:val="44"/>
        </w:rPr>
      </w:pPr>
    </w:p>
    <w:p w14:paraId="3421DFD6">
      <w:pPr>
        <w:ind w:firstLine="422"/>
        <w:jc w:val="left"/>
        <w:rPr>
          <w:rFonts w:ascii="宋体" w:hAnsi="宋体"/>
          <w:kern w:val="44"/>
        </w:rPr>
      </w:pPr>
      <w:r>
        <w:rPr>
          <w:rFonts w:hint="eastAsia" w:ascii="宋体" w:hAnsi="宋体"/>
          <w:b/>
          <w:kern w:val="44"/>
        </w:rPr>
        <w:t>第三十条</w:t>
      </w:r>
      <w:r>
        <w:rPr>
          <w:rFonts w:hint="eastAsia" w:ascii="宋体" w:hAnsi="宋体"/>
          <w:kern w:val="44"/>
        </w:rPr>
        <w:t>　审计机关负责人按照法定程序任免。</w:t>
      </w:r>
    </w:p>
    <w:p w14:paraId="2E060F8D">
      <w:pPr>
        <w:jc w:val="left"/>
        <w:rPr>
          <w:rFonts w:ascii="宋体" w:hAnsi="宋体"/>
          <w:kern w:val="44"/>
        </w:rPr>
      </w:pPr>
      <w:r>
        <w:rPr>
          <w:rFonts w:hint="eastAsia" w:ascii="宋体" w:hAnsi="宋体"/>
          <w:kern w:val="44"/>
        </w:rPr>
        <w:t>市和区、县审计机关正、副职负责人的任免，应当事先书面征求上一级审计机关的意见。</w:t>
      </w:r>
    </w:p>
    <w:p w14:paraId="3BCC0394">
      <w:pPr>
        <w:ind w:firstLine="422"/>
        <w:jc w:val="left"/>
        <w:rPr>
          <w:rFonts w:ascii="宋体" w:hAnsi="宋体"/>
          <w:kern w:val="44"/>
        </w:rPr>
      </w:pPr>
      <w:r>
        <w:rPr>
          <w:rFonts w:hint="eastAsia" w:ascii="宋体" w:hAnsi="宋体"/>
          <w:b/>
          <w:kern w:val="44"/>
        </w:rPr>
        <w:t>第三十一条</w:t>
      </w:r>
      <w:r>
        <w:rPr>
          <w:rFonts w:hint="eastAsia" w:ascii="宋体" w:hAnsi="宋体"/>
          <w:kern w:val="44"/>
        </w:rPr>
        <w:t>　审计机关应当加强审计队伍建设，提高审计人员的综合素质、依法审计能力和审计专业化水平。</w:t>
      </w:r>
    </w:p>
    <w:p w14:paraId="06148085">
      <w:pPr>
        <w:ind w:firstLine="422"/>
        <w:jc w:val="left"/>
        <w:rPr>
          <w:rFonts w:ascii="宋体" w:hAnsi="宋体"/>
          <w:kern w:val="44"/>
        </w:rPr>
      </w:pPr>
      <w:r>
        <w:rPr>
          <w:rFonts w:hint="eastAsia" w:ascii="宋体" w:hAnsi="宋体"/>
          <w:b/>
          <w:kern w:val="44"/>
        </w:rPr>
        <w:t>第三十二条</w:t>
      </w:r>
      <w:r>
        <w:rPr>
          <w:rFonts w:hint="eastAsia" w:ascii="宋体" w:hAnsi="宋体"/>
          <w:kern w:val="44"/>
        </w:rPr>
        <w:t>　审计机关应当建立健全审计质量分级控制制度，实现从审计组到总审计师、审计机关负责人对审计业务的分级质量控制。</w:t>
      </w:r>
    </w:p>
    <w:p w14:paraId="6C24E4BD">
      <w:pPr>
        <w:ind w:firstLine="422"/>
        <w:jc w:val="left"/>
        <w:rPr>
          <w:rFonts w:ascii="宋体" w:hAnsi="宋体"/>
          <w:kern w:val="44"/>
        </w:rPr>
      </w:pPr>
      <w:r>
        <w:rPr>
          <w:rFonts w:hint="eastAsia" w:ascii="宋体" w:hAnsi="宋体"/>
          <w:b/>
          <w:kern w:val="44"/>
        </w:rPr>
        <w:t>第三十三条</w:t>
      </w:r>
      <w:r>
        <w:rPr>
          <w:rFonts w:hint="eastAsia" w:ascii="宋体" w:hAnsi="宋体"/>
          <w:kern w:val="44"/>
        </w:rPr>
        <w:t>　审计人员不得有下列行为：</w:t>
      </w:r>
    </w:p>
    <w:p w14:paraId="68E7AE4C">
      <w:pPr>
        <w:jc w:val="left"/>
        <w:rPr>
          <w:rFonts w:ascii="宋体" w:hAnsi="宋体"/>
          <w:kern w:val="44"/>
        </w:rPr>
      </w:pPr>
      <w:r>
        <w:rPr>
          <w:rFonts w:hint="eastAsia" w:ascii="宋体" w:hAnsi="宋体"/>
          <w:kern w:val="44"/>
        </w:rPr>
        <w:t>（一）接受被审计单位的馈赠、报酬、福利待遇；</w:t>
      </w:r>
    </w:p>
    <w:p w14:paraId="4CA2DC24">
      <w:pPr>
        <w:jc w:val="left"/>
        <w:rPr>
          <w:rFonts w:ascii="宋体" w:hAnsi="宋体"/>
          <w:kern w:val="44"/>
        </w:rPr>
      </w:pPr>
      <w:r>
        <w:rPr>
          <w:rFonts w:hint="eastAsia" w:ascii="宋体" w:hAnsi="宋体"/>
          <w:kern w:val="44"/>
        </w:rPr>
        <w:t>（二）在被审计单位报销费用；</w:t>
      </w:r>
    </w:p>
    <w:p w14:paraId="2AF9D885">
      <w:pPr>
        <w:jc w:val="left"/>
        <w:rPr>
          <w:rFonts w:ascii="宋体" w:hAnsi="宋体"/>
          <w:kern w:val="44"/>
        </w:rPr>
      </w:pPr>
      <w:r>
        <w:rPr>
          <w:rFonts w:hint="eastAsia" w:ascii="宋体" w:hAnsi="宋体"/>
          <w:kern w:val="44"/>
        </w:rPr>
        <w:t>（三）参加被审计单位安排并支付费用的宴请、娱乐、旅游、出访等活动；</w:t>
      </w:r>
    </w:p>
    <w:p w14:paraId="0C28C9EE">
      <w:pPr>
        <w:jc w:val="left"/>
        <w:rPr>
          <w:rFonts w:ascii="宋体" w:hAnsi="宋体"/>
          <w:kern w:val="44"/>
        </w:rPr>
      </w:pPr>
      <w:r>
        <w:rPr>
          <w:rFonts w:hint="eastAsia" w:ascii="宋体" w:hAnsi="宋体"/>
          <w:kern w:val="44"/>
        </w:rPr>
        <w:t>（四）在被审计单位为自己、亲友或者其他人谋取私利；</w:t>
      </w:r>
    </w:p>
    <w:p w14:paraId="6A45FB81">
      <w:pPr>
        <w:jc w:val="left"/>
        <w:rPr>
          <w:rFonts w:ascii="宋体" w:hAnsi="宋体"/>
          <w:kern w:val="44"/>
        </w:rPr>
      </w:pPr>
      <w:r>
        <w:rPr>
          <w:rFonts w:hint="eastAsia" w:ascii="宋体" w:hAnsi="宋体"/>
          <w:kern w:val="44"/>
        </w:rPr>
        <w:t>（五）其他可能影响审计工作客观、公正的行为。</w:t>
      </w:r>
    </w:p>
    <w:p w14:paraId="71A4A2B0">
      <w:pPr>
        <w:ind w:firstLine="422"/>
        <w:jc w:val="left"/>
        <w:rPr>
          <w:rFonts w:ascii="宋体" w:hAnsi="宋体"/>
          <w:kern w:val="44"/>
        </w:rPr>
      </w:pPr>
      <w:r>
        <w:rPr>
          <w:rFonts w:hint="eastAsia" w:ascii="宋体" w:hAnsi="宋体"/>
          <w:b/>
          <w:kern w:val="44"/>
        </w:rPr>
        <w:t>第三十四条</w:t>
      </w:r>
      <w:r>
        <w:rPr>
          <w:rFonts w:hint="eastAsia" w:ascii="宋体" w:hAnsi="宋体"/>
          <w:kern w:val="44"/>
        </w:rPr>
        <w:t>　审计机关可以根据审计工作需要，按照公开、公平、公正的原则，确定符合条件的社会中介机构或者其他专业机构，并签订协议，由机构选派专业人员参加审计机关的审计工作。</w:t>
      </w:r>
    </w:p>
    <w:p w14:paraId="0FD14339">
      <w:pPr>
        <w:jc w:val="left"/>
        <w:rPr>
          <w:rFonts w:ascii="宋体" w:hAnsi="宋体"/>
          <w:kern w:val="44"/>
        </w:rPr>
      </w:pPr>
      <w:r>
        <w:rPr>
          <w:rFonts w:hint="eastAsia" w:ascii="宋体" w:hAnsi="宋体"/>
          <w:kern w:val="44"/>
        </w:rPr>
        <w:t>依照协议约定参加审计工作的专业人员应当遵守审计法律法规、职业准则和工作纪律，恪守职业道德，接受审计机关的领导和选派机构的监督。</w:t>
      </w:r>
    </w:p>
    <w:p w14:paraId="35860976">
      <w:pPr>
        <w:ind w:firstLine="422"/>
        <w:jc w:val="left"/>
        <w:rPr>
          <w:rFonts w:ascii="宋体" w:hAnsi="宋体"/>
          <w:kern w:val="44"/>
        </w:rPr>
      </w:pPr>
      <w:r>
        <w:rPr>
          <w:rFonts w:hint="eastAsia" w:ascii="宋体" w:hAnsi="宋体"/>
          <w:b/>
          <w:kern w:val="44"/>
        </w:rPr>
        <w:t>第三十五条</w:t>
      </w:r>
      <w:r>
        <w:rPr>
          <w:rFonts w:hint="eastAsia" w:ascii="宋体" w:hAnsi="宋体"/>
          <w:kern w:val="44"/>
        </w:rPr>
        <w:t>　审计机关执行年度审计项目计划所必需的条件，政府及其有关部门应当予以保障。</w:t>
      </w:r>
    </w:p>
    <w:p w14:paraId="000EA2E1">
      <w:pPr>
        <w:ind w:firstLine="422"/>
        <w:jc w:val="left"/>
        <w:rPr>
          <w:rFonts w:ascii="宋体" w:hAnsi="宋体"/>
          <w:kern w:val="44"/>
        </w:rPr>
      </w:pPr>
      <w:r>
        <w:rPr>
          <w:rFonts w:hint="eastAsia" w:ascii="宋体" w:hAnsi="宋体"/>
          <w:b/>
          <w:kern w:val="44"/>
        </w:rPr>
        <w:t>第三十六条</w:t>
      </w:r>
      <w:r>
        <w:rPr>
          <w:rFonts w:hint="eastAsia" w:ascii="宋体" w:hAnsi="宋体"/>
          <w:kern w:val="44"/>
        </w:rPr>
        <w:t>　审计机关有权检查被审计单位管理财政收支、财务收支和相关业务的信息系统。</w:t>
      </w:r>
    </w:p>
    <w:p w14:paraId="09E478A2">
      <w:pPr>
        <w:jc w:val="left"/>
        <w:rPr>
          <w:rFonts w:ascii="宋体" w:hAnsi="宋体"/>
          <w:kern w:val="44"/>
        </w:rPr>
      </w:pPr>
      <w:r>
        <w:rPr>
          <w:rFonts w:hint="eastAsia" w:ascii="宋体" w:hAnsi="宋体"/>
          <w:kern w:val="44"/>
        </w:rPr>
        <w:t>被审计单位应当按照审计机关的要求及时、完整地提供与财政收支、财务收支和相关业务有关的电子数据和计算机技术文档等资料。</w:t>
      </w:r>
    </w:p>
    <w:p w14:paraId="2705D1D6">
      <w:pPr>
        <w:ind w:firstLine="422"/>
        <w:jc w:val="left"/>
        <w:rPr>
          <w:rFonts w:ascii="宋体" w:hAnsi="宋体"/>
          <w:kern w:val="44"/>
        </w:rPr>
      </w:pPr>
      <w:r>
        <w:rPr>
          <w:rFonts w:hint="eastAsia" w:ascii="宋体" w:hAnsi="宋体"/>
          <w:b/>
          <w:kern w:val="44"/>
        </w:rPr>
        <w:t>第三十七条</w:t>
      </w:r>
      <w:r>
        <w:rPr>
          <w:rFonts w:hint="eastAsia" w:ascii="宋体" w:hAnsi="宋体"/>
          <w:kern w:val="44"/>
        </w:rPr>
        <w:t>　审计机关在审计过程中，有权就审计事项的相关问题向有关单位和个人进行调查，获取审计证据。</w:t>
      </w:r>
    </w:p>
    <w:p w14:paraId="4EC734AD">
      <w:pPr>
        <w:jc w:val="left"/>
        <w:rPr>
          <w:rFonts w:ascii="宋体" w:hAnsi="宋体"/>
          <w:kern w:val="44"/>
        </w:rPr>
      </w:pPr>
      <w:r>
        <w:rPr>
          <w:rFonts w:hint="eastAsia" w:ascii="宋体" w:hAnsi="宋体"/>
          <w:kern w:val="44"/>
        </w:rPr>
        <w:t>有关单位和个人应当如实向审计机关反映情况，对所提供资料的真实性和完整性负责。</w:t>
      </w:r>
    </w:p>
    <w:p w14:paraId="0ABB4353">
      <w:pPr>
        <w:jc w:val="left"/>
        <w:rPr>
          <w:rFonts w:ascii="宋体" w:hAnsi="宋体"/>
          <w:kern w:val="44"/>
        </w:rPr>
      </w:pPr>
      <w:r>
        <w:rPr>
          <w:rFonts w:hint="eastAsia" w:ascii="宋体" w:hAnsi="宋体"/>
          <w:kern w:val="44"/>
        </w:rPr>
        <w:t>有关单位和个人向审计机关提供重要情况和相关信息，对审计机关获取审计证据作出重大贡献的，由审计机关给予奖励。</w:t>
      </w:r>
    </w:p>
    <w:p w14:paraId="168F6169">
      <w:pPr>
        <w:ind w:firstLine="422"/>
        <w:jc w:val="left"/>
        <w:rPr>
          <w:rFonts w:ascii="宋体" w:hAnsi="宋体"/>
          <w:kern w:val="44"/>
        </w:rPr>
      </w:pPr>
      <w:r>
        <w:rPr>
          <w:rFonts w:hint="eastAsia" w:ascii="宋体" w:hAnsi="宋体"/>
          <w:b/>
          <w:kern w:val="44"/>
        </w:rPr>
        <w:t>第三十八条</w:t>
      </w:r>
      <w:r>
        <w:rPr>
          <w:rFonts w:hint="eastAsia" w:ascii="宋体" w:hAnsi="宋体"/>
          <w:kern w:val="44"/>
        </w:rPr>
        <w:t>　审计人员依法执行职务，受法律保护。任何组织和个人不得拒绝、阻碍审计人员依法执行职务，不得威胁、打击报复审计人员。</w:t>
      </w:r>
    </w:p>
    <w:p w14:paraId="0EBC4AA5">
      <w:pPr>
        <w:jc w:val="left"/>
        <w:rPr>
          <w:rFonts w:ascii="宋体" w:hAnsi="宋体"/>
          <w:kern w:val="44"/>
        </w:rPr>
      </w:pPr>
    </w:p>
    <w:p w14:paraId="1F3823C9">
      <w:pPr>
        <w:ind w:firstLine="0" w:firstLineChars="0"/>
        <w:jc w:val="center"/>
        <w:rPr>
          <w:rFonts w:ascii="宋体" w:hAnsi="宋体"/>
          <w:b/>
          <w:kern w:val="44"/>
          <w:sz w:val="28"/>
        </w:rPr>
      </w:pPr>
      <w:r>
        <w:rPr>
          <w:rFonts w:hint="eastAsia" w:ascii="宋体" w:hAnsi="宋体"/>
          <w:b/>
          <w:kern w:val="44"/>
          <w:sz w:val="28"/>
        </w:rPr>
        <w:t>第五章　法律责任</w:t>
      </w:r>
    </w:p>
    <w:p w14:paraId="2691A26F">
      <w:pPr>
        <w:jc w:val="left"/>
        <w:rPr>
          <w:rFonts w:ascii="宋体" w:hAnsi="宋体"/>
          <w:kern w:val="44"/>
        </w:rPr>
      </w:pPr>
    </w:p>
    <w:p w14:paraId="58C252AB">
      <w:pPr>
        <w:ind w:firstLine="422"/>
        <w:jc w:val="left"/>
        <w:rPr>
          <w:rFonts w:ascii="宋体" w:hAnsi="宋体"/>
          <w:kern w:val="44"/>
        </w:rPr>
      </w:pPr>
      <w:r>
        <w:rPr>
          <w:rFonts w:hint="eastAsia" w:ascii="宋体" w:hAnsi="宋体"/>
          <w:b/>
          <w:kern w:val="44"/>
        </w:rPr>
        <w:t>第三十九条</w:t>
      </w:r>
      <w:r>
        <w:rPr>
          <w:rFonts w:hint="eastAsia" w:ascii="宋体" w:hAnsi="宋体"/>
          <w:kern w:val="44"/>
        </w:rPr>
        <w:t>　审计人员有违反本条例第三十三条规定的行为的，按照国家和本市有关规定给予行政问责和行政处分；构成犯罪的，依法追究刑事责任。</w:t>
      </w:r>
    </w:p>
    <w:p w14:paraId="725D78F9">
      <w:pPr>
        <w:ind w:firstLine="422"/>
        <w:jc w:val="left"/>
        <w:rPr>
          <w:rFonts w:ascii="宋体" w:hAnsi="宋体"/>
          <w:kern w:val="44"/>
        </w:rPr>
      </w:pPr>
      <w:r>
        <w:rPr>
          <w:rFonts w:hint="eastAsia" w:ascii="宋体" w:hAnsi="宋体"/>
          <w:b/>
          <w:kern w:val="44"/>
        </w:rPr>
        <w:t>第四十条</w:t>
      </w:r>
      <w:r>
        <w:rPr>
          <w:rFonts w:hint="eastAsia" w:ascii="宋体" w:hAnsi="宋体"/>
          <w:kern w:val="44"/>
        </w:rPr>
        <w:t>　社会中介机构或者其他专业机构的专业人员违反本条例第三十四条第二款规定的，审计机关有权与该机构解除协议，将有关情况通知相关主管部门。</w:t>
      </w:r>
    </w:p>
    <w:p w14:paraId="4EBB929E">
      <w:pPr>
        <w:ind w:firstLine="422"/>
        <w:jc w:val="left"/>
        <w:rPr>
          <w:rFonts w:ascii="宋体" w:hAnsi="宋体"/>
          <w:kern w:val="44"/>
        </w:rPr>
      </w:pPr>
      <w:r>
        <w:rPr>
          <w:rFonts w:hint="eastAsia" w:ascii="宋体" w:hAnsi="宋体"/>
          <w:b/>
          <w:kern w:val="44"/>
        </w:rPr>
        <w:t>第四十一条</w:t>
      </w:r>
      <w:r>
        <w:rPr>
          <w:rFonts w:hint="eastAsia" w:ascii="宋体" w:hAnsi="宋体"/>
          <w:kern w:val="44"/>
        </w:rPr>
        <w:t>　有关单位或者个人违反本条例第三十七条第二款规定的，由审计机关责令改正，可以通报批评、给予警告。</w:t>
      </w:r>
    </w:p>
    <w:p w14:paraId="3ACF49A9">
      <w:pPr>
        <w:ind w:firstLine="422"/>
        <w:jc w:val="left"/>
        <w:rPr>
          <w:rFonts w:ascii="宋体" w:hAnsi="宋体"/>
          <w:kern w:val="44"/>
        </w:rPr>
      </w:pPr>
      <w:r>
        <w:rPr>
          <w:rFonts w:hint="eastAsia" w:ascii="宋体" w:hAnsi="宋体"/>
          <w:b/>
          <w:kern w:val="44"/>
        </w:rPr>
        <w:t>第四十二条</w:t>
      </w:r>
      <w:r>
        <w:rPr>
          <w:rFonts w:hint="eastAsia" w:ascii="宋体" w:hAnsi="宋体"/>
          <w:kern w:val="44"/>
        </w:rPr>
        <w:t>　威胁、打击报复审计人员的，依法给予行政处分；违反治安管理规定的，由公安机关依法给予治安管理处罚；构成犯罪的，依法追究刑事责任。</w:t>
      </w:r>
    </w:p>
    <w:p w14:paraId="499E8F7F">
      <w:pPr>
        <w:ind w:firstLine="422"/>
        <w:jc w:val="left"/>
        <w:rPr>
          <w:rFonts w:ascii="宋体" w:hAnsi="宋体"/>
          <w:kern w:val="44"/>
        </w:rPr>
      </w:pPr>
      <w:r>
        <w:rPr>
          <w:rFonts w:hint="eastAsia" w:ascii="宋体" w:hAnsi="宋体"/>
          <w:b/>
          <w:kern w:val="44"/>
        </w:rPr>
        <w:t>第四十三条</w:t>
      </w:r>
      <w:r>
        <w:rPr>
          <w:rFonts w:hint="eastAsia" w:ascii="宋体" w:hAnsi="宋体"/>
          <w:kern w:val="44"/>
        </w:rPr>
        <w:t>　对违反本条例规定的行为，国家审计法律、法规已经作出处罚规定的，依照其规定执行。</w:t>
      </w:r>
    </w:p>
    <w:p w14:paraId="10E87CBC">
      <w:pPr>
        <w:jc w:val="left"/>
        <w:rPr>
          <w:rFonts w:ascii="宋体" w:hAnsi="宋体"/>
          <w:kern w:val="44"/>
        </w:rPr>
      </w:pPr>
    </w:p>
    <w:p w14:paraId="4CBD2074">
      <w:pPr>
        <w:ind w:firstLine="0" w:firstLineChars="0"/>
        <w:jc w:val="center"/>
        <w:rPr>
          <w:rFonts w:ascii="宋体" w:hAnsi="宋体"/>
          <w:b/>
          <w:kern w:val="44"/>
          <w:sz w:val="28"/>
        </w:rPr>
      </w:pPr>
      <w:r>
        <w:rPr>
          <w:rFonts w:hint="eastAsia" w:ascii="宋体" w:hAnsi="宋体"/>
          <w:b/>
          <w:kern w:val="44"/>
          <w:sz w:val="28"/>
        </w:rPr>
        <w:t>第六章　附　则</w:t>
      </w:r>
    </w:p>
    <w:p w14:paraId="75E97E12">
      <w:pPr>
        <w:jc w:val="left"/>
        <w:rPr>
          <w:rFonts w:ascii="宋体" w:hAnsi="宋体"/>
          <w:kern w:val="44"/>
        </w:rPr>
      </w:pPr>
    </w:p>
    <w:p w14:paraId="533A5AAE">
      <w:pPr>
        <w:ind w:firstLine="422"/>
        <w:jc w:val="left"/>
        <w:rPr>
          <w:rFonts w:ascii="宋体" w:hAnsi="宋体"/>
          <w:kern w:val="44"/>
        </w:rPr>
      </w:pPr>
      <w:r>
        <w:rPr>
          <w:rFonts w:hint="eastAsia" w:ascii="宋体" w:hAnsi="宋体"/>
          <w:b/>
          <w:kern w:val="44"/>
        </w:rPr>
        <w:t>第四十四条</w:t>
      </w:r>
      <w:r>
        <w:rPr>
          <w:rFonts w:hint="eastAsia" w:ascii="宋体" w:hAnsi="宋体"/>
          <w:kern w:val="44"/>
        </w:rPr>
        <w:t>　本条例自2012年10月1日起施行。</w:t>
      </w:r>
    </w:p>
    <w:p w14:paraId="12CFD98A">
      <w:pPr>
        <w:pStyle w:val="4"/>
        <w:pageBreakBefore/>
        <w:rPr>
          <w:kern w:val="44"/>
        </w:rPr>
      </w:pPr>
      <w:bookmarkStart w:id="1145" w:name="_Toc422471305"/>
      <w:bookmarkStart w:id="1146" w:name="_Toc427651584"/>
      <w:bookmarkStart w:id="1147" w:name="_Toc428780150"/>
      <w:bookmarkStart w:id="1148" w:name="_Toc428781632"/>
      <w:bookmarkStart w:id="1149" w:name="_Toc427651926"/>
      <w:r>
        <w:rPr>
          <w:rFonts w:hint="eastAsia"/>
          <w:kern w:val="44"/>
        </w:rPr>
        <w:t>北京市预算执行情况审计</w:t>
      </w:r>
      <w:bookmarkEnd w:id="1145"/>
      <w:bookmarkStart w:id="1150" w:name="_Toc422471306"/>
      <w:r>
        <w:rPr>
          <w:rFonts w:hint="eastAsia"/>
          <w:kern w:val="44"/>
        </w:rPr>
        <w:t>监督暂行办法</w:t>
      </w:r>
      <w:bookmarkEnd w:id="1146"/>
      <w:bookmarkEnd w:id="1147"/>
      <w:bookmarkEnd w:id="1148"/>
      <w:bookmarkEnd w:id="1149"/>
      <w:bookmarkEnd w:id="1150"/>
    </w:p>
    <w:p w14:paraId="09110266">
      <w:pPr>
        <w:jc w:val="left"/>
        <w:rPr>
          <w:rFonts w:ascii="宋体" w:hAnsi="宋体"/>
          <w:kern w:val="44"/>
        </w:rPr>
      </w:pPr>
    </w:p>
    <w:p w14:paraId="335AB465">
      <w:pPr>
        <w:ind w:left="630" w:leftChars="300" w:right="630" w:rightChars="300"/>
        <w:jc w:val="center"/>
        <w:rPr>
          <w:rFonts w:ascii="楷体" w:hAnsi="楷体" w:eastAsia="楷体"/>
          <w:kern w:val="44"/>
        </w:rPr>
      </w:pPr>
      <w:r>
        <w:rPr>
          <w:rFonts w:hint="eastAsia" w:ascii="楷体" w:hAnsi="楷体" w:eastAsia="楷体"/>
          <w:kern w:val="44"/>
        </w:rPr>
        <w:t>（1995年11月3日北京市人民政府第29号令发布）</w:t>
      </w:r>
    </w:p>
    <w:p w14:paraId="57ABA2B1">
      <w:pPr>
        <w:jc w:val="left"/>
        <w:rPr>
          <w:rFonts w:ascii="宋体" w:hAnsi="宋体"/>
          <w:kern w:val="44"/>
        </w:rPr>
      </w:pPr>
    </w:p>
    <w:p w14:paraId="016C45C3">
      <w:pPr>
        <w:ind w:firstLine="422"/>
        <w:jc w:val="left"/>
        <w:rPr>
          <w:rFonts w:ascii="宋体" w:hAnsi="宋体"/>
          <w:kern w:val="44"/>
        </w:rPr>
      </w:pPr>
      <w:r>
        <w:rPr>
          <w:rFonts w:hint="eastAsia" w:ascii="宋体" w:hAnsi="宋体"/>
          <w:b/>
          <w:kern w:val="44"/>
        </w:rPr>
        <w:t>第一条</w:t>
      </w:r>
      <w:r>
        <w:rPr>
          <w:rFonts w:hint="eastAsia" w:ascii="宋体" w:hAnsi="宋体"/>
          <w:kern w:val="44"/>
        </w:rPr>
        <w:t>　为了做好对本市预算执行和其他财政收支的审计监督工作，根据《中华人民共和国审计法》（以下简称《审计法》）及国家有关规定，制定本办法。</w:t>
      </w:r>
    </w:p>
    <w:p w14:paraId="5F693112">
      <w:pPr>
        <w:ind w:firstLine="422"/>
        <w:jc w:val="left"/>
        <w:rPr>
          <w:rFonts w:ascii="宋体" w:hAnsi="宋体"/>
          <w:kern w:val="44"/>
        </w:rPr>
      </w:pPr>
      <w:r>
        <w:rPr>
          <w:rFonts w:hint="eastAsia" w:ascii="宋体" w:hAnsi="宋体"/>
          <w:b/>
          <w:kern w:val="44"/>
        </w:rPr>
        <w:t>第二条</w:t>
      </w:r>
      <w:r>
        <w:rPr>
          <w:rFonts w:hint="eastAsia" w:ascii="宋体" w:hAnsi="宋体"/>
          <w:kern w:val="44"/>
        </w:rPr>
        <w:t>　本市各级审计机关在本级人民政府的市长、区长、县长和上级审计机关的领导下，对本级预算执行情况进行审计监督，维护预算的法律严肃性，促进本市各部门、各单位严格执行预算法，发挥预算在经济建设中的调控作用，保障本市经济和社会的健康发展。</w:t>
      </w:r>
    </w:p>
    <w:p w14:paraId="49829917">
      <w:pPr>
        <w:ind w:firstLine="422"/>
        <w:jc w:val="left"/>
        <w:rPr>
          <w:rFonts w:ascii="宋体" w:hAnsi="宋体"/>
          <w:kern w:val="44"/>
        </w:rPr>
      </w:pPr>
      <w:r>
        <w:rPr>
          <w:rFonts w:hint="eastAsia" w:ascii="宋体" w:hAnsi="宋体"/>
          <w:b/>
          <w:kern w:val="44"/>
        </w:rPr>
        <w:t>第三条</w:t>
      </w:r>
      <w:r>
        <w:rPr>
          <w:rFonts w:hint="eastAsia" w:ascii="宋体" w:hAnsi="宋体"/>
          <w:kern w:val="44"/>
        </w:rPr>
        <w:t>　本市各级审计机关对预算执行情况进行审计，应当有利于本级人民政府对财政收支的管理和接受本级人民代表大会常务委员会对预算执行和其他财政收支的监督；有利于促进财税部门和其他部门依法有效行使预算管理职权；有利于实现预算执行和其他财政收支审计监督工作的法制化。</w:t>
      </w:r>
    </w:p>
    <w:p w14:paraId="7078E89D">
      <w:pPr>
        <w:ind w:firstLine="422"/>
        <w:jc w:val="left"/>
        <w:rPr>
          <w:rFonts w:ascii="宋体" w:hAnsi="宋体"/>
          <w:kern w:val="44"/>
        </w:rPr>
      </w:pPr>
      <w:r>
        <w:rPr>
          <w:rFonts w:hint="eastAsia" w:ascii="宋体" w:hAnsi="宋体"/>
          <w:b/>
          <w:kern w:val="44"/>
        </w:rPr>
        <w:t>第四条</w:t>
      </w:r>
      <w:r>
        <w:rPr>
          <w:rFonts w:hint="eastAsia" w:ascii="宋体" w:hAnsi="宋体"/>
          <w:kern w:val="44"/>
        </w:rPr>
        <w:t>　本市各级审计机关依法对本级预算执行情况、下级预算执行情况和决算，以及本级其他财政收支的真实、合法和效益，进行审计监督。</w:t>
      </w:r>
    </w:p>
    <w:p w14:paraId="3A41F7C4">
      <w:pPr>
        <w:ind w:firstLine="422"/>
        <w:jc w:val="left"/>
        <w:rPr>
          <w:rFonts w:ascii="宋体" w:hAnsi="宋体"/>
          <w:kern w:val="44"/>
        </w:rPr>
      </w:pPr>
      <w:r>
        <w:rPr>
          <w:rFonts w:hint="eastAsia" w:ascii="宋体" w:hAnsi="宋体"/>
          <w:b/>
          <w:kern w:val="44"/>
        </w:rPr>
        <w:t>第五条</w:t>
      </w:r>
      <w:r>
        <w:rPr>
          <w:rFonts w:hint="eastAsia" w:ascii="宋体" w:hAnsi="宋体"/>
          <w:kern w:val="44"/>
        </w:rPr>
        <w:t>　本市各级审计机关对本级预算执行情况进行审计监督的主要内容：</w:t>
      </w:r>
    </w:p>
    <w:p w14:paraId="438B6AE8">
      <w:pPr>
        <w:jc w:val="left"/>
        <w:rPr>
          <w:rFonts w:ascii="宋体" w:hAnsi="宋体"/>
          <w:kern w:val="44"/>
        </w:rPr>
      </w:pPr>
      <w:r>
        <w:rPr>
          <w:rFonts w:hint="eastAsia" w:ascii="宋体" w:hAnsi="宋体"/>
          <w:kern w:val="44"/>
        </w:rPr>
        <w:t>（一）财政机关按照本级人民代表大会批准的预算向本级各部门、各单位批复预算的情况、预算执行中调整情况和预算收支变化情况；</w:t>
      </w:r>
    </w:p>
    <w:p w14:paraId="65CC56C6">
      <w:pPr>
        <w:jc w:val="left"/>
        <w:rPr>
          <w:rFonts w:ascii="宋体" w:hAnsi="宋体"/>
          <w:kern w:val="44"/>
        </w:rPr>
      </w:pPr>
      <w:r>
        <w:rPr>
          <w:rFonts w:hint="eastAsia" w:ascii="宋体" w:hAnsi="宋体"/>
          <w:kern w:val="44"/>
        </w:rPr>
        <w:t>（二）财政机关、地方税务机关等征收部门，依照法律、行政法规和国家有关规定，及时、足额征收应征的各项税收收入、企业上缴利润、专项收入和退库拨补企业计划亏损补贴的情况；</w:t>
      </w:r>
    </w:p>
    <w:p w14:paraId="6BF6982B">
      <w:pPr>
        <w:jc w:val="left"/>
        <w:rPr>
          <w:rFonts w:ascii="宋体" w:hAnsi="宋体"/>
          <w:kern w:val="44"/>
        </w:rPr>
      </w:pPr>
      <w:r>
        <w:rPr>
          <w:rFonts w:hint="eastAsia" w:ascii="宋体" w:hAnsi="宋体"/>
          <w:kern w:val="44"/>
        </w:rPr>
        <w:t>（三）有预算收入上缴任务的部门和单位预算收入上缴情况；</w:t>
      </w:r>
    </w:p>
    <w:p w14:paraId="176B5965">
      <w:pPr>
        <w:jc w:val="left"/>
        <w:rPr>
          <w:rFonts w:ascii="宋体" w:hAnsi="宋体"/>
          <w:kern w:val="44"/>
        </w:rPr>
      </w:pPr>
      <w:r>
        <w:rPr>
          <w:rFonts w:hint="eastAsia" w:ascii="宋体" w:hAnsi="宋体"/>
          <w:kern w:val="44"/>
        </w:rPr>
        <w:t>（四）财政机关按照批准的年度预算和用款计划，预算级次和程序、用款单位的实际用款进度，拨付本级预算支出资金情况；</w:t>
      </w:r>
    </w:p>
    <w:p w14:paraId="4D616660">
      <w:pPr>
        <w:jc w:val="left"/>
        <w:rPr>
          <w:rFonts w:ascii="宋体" w:hAnsi="宋体"/>
          <w:kern w:val="44"/>
        </w:rPr>
      </w:pPr>
      <w:r>
        <w:rPr>
          <w:rFonts w:hint="eastAsia" w:ascii="宋体" w:hAnsi="宋体"/>
          <w:kern w:val="44"/>
        </w:rPr>
        <w:t>（五）财政机关依照有关法律、行政法规和财政管理体制规定，拨付补助下级财政支出资金和办理结算情况；</w:t>
      </w:r>
    </w:p>
    <w:p w14:paraId="11616166">
      <w:pPr>
        <w:jc w:val="left"/>
        <w:rPr>
          <w:rFonts w:ascii="宋体" w:hAnsi="宋体"/>
          <w:kern w:val="44"/>
        </w:rPr>
      </w:pPr>
      <w:r>
        <w:rPr>
          <w:rFonts w:hint="eastAsia" w:ascii="宋体" w:hAnsi="宋体"/>
          <w:kern w:val="44"/>
        </w:rPr>
        <w:t>（六）财政机关依照有关法律、行政法规和国家有关规定，管理本级财政债务还本付息情况；</w:t>
      </w:r>
    </w:p>
    <w:p w14:paraId="74B1B910">
      <w:pPr>
        <w:jc w:val="left"/>
        <w:rPr>
          <w:rFonts w:ascii="宋体" w:hAnsi="宋体"/>
          <w:kern w:val="44"/>
        </w:rPr>
      </w:pPr>
      <w:r>
        <w:rPr>
          <w:rFonts w:hint="eastAsia" w:ascii="宋体" w:hAnsi="宋体"/>
          <w:kern w:val="44"/>
        </w:rPr>
        <w:t>（七）本级各部门、各单位执行年度支出预算和财政、财务制度，以及相关的经济建设和事业发展情况；</w:t>
      </w:r>
    </w:p>
    <w:p w14:paraId="6B0E16B0">
      <w:pPr>
        <w:jc w:val="left"/>
        <w:rPr>
          <w:rFonts w:ascii="宋体" w:hAnsi="宋体"/>
          <w:kern w:val="44"/>
        </w:rPr>
      </w:pPr>
      <w:r>
        <w:rPr>
          <w:rFonts w:hint="eastAsia" w:ascii="宋体" w:hAnsi="宋体"/>
          <w:kern w:val="44"/>
        </w:rPr>
        <w:t>（八）地方国库按照国家有关规定，办理预算收入的收纳和预算支出的拨付情况；</w:t>
      </w:r>
    </w:p>
    <w:p w14:paraId="7CBACFF6">
      <w:pPr>
        <w:jc w:val="left"/>
        <w:rPr>
          <w:rFonts w:ascii="宋体" w:hAnsi="宋体"/>
          <w:kern w:val="44"/>
        </w:rPr>
      </w:pPr>
      <w:r>
        <w:rPr>
          <w:rFonts w:hint="eastAsia" w:ascii="宋体" w:hAnsi="宋体"/>
          <w:kern w:val="44"/>
        </w:rPr>
        <w:t>（九）本级人民政府或者上级审计机关交办的其他审计事项。</w:t>
      </w:r>
    </w:p>
    <w:p w14:paraId="0C97C9F2">
      <w:pPr>
        <w:ind w:firstLine="422"/>
        <w:jc w:val="left"/>
        <w:rPr>
          <w:rFonts w:ascii="宋体" w:hAnsi="宋体"/>
          <w:kern w:val="44"/>
        </w:rPr>
      </w:pPr>
      <w:r>
        <w:rPr>
          <w:rFonts w:hint="eastAsia" w:ascii="宋体" w:hAnsi="宋体"/>
          <w:b/>
          <w:kern w:val="44"/>
        </w:rPr>
        <w:t>第六条</w:t>
      </w:r>
      <w:r>
        <w:rPr>
          <w:rFonts w:hint="eastAsia" w:ascii="宋体" w:hAnsi="宋体"/>
          <w:kern w:val="44"/>
        </w:rPr>
        <w:t>　本市各级审计机关对本级其他财政收支进行审计监督的主要内容：</w:t>
      </w:r>
    </w:p>
    <w:p w14:paraId="33D7604B">
      <w:pPr>
        <w:jc w:val="left"/>
        <w:rPr>
          <w:rFonts w:ascii="宋体" w:hAnsi="宋体"/>
          <w:kern w:val="44"/>
        </w:rPr>
      </w:pPr>
      <w:r>
        <w:rPr>
          <w:rFonts w:hint="eastAsia" w:ascii="宋体" w:hAnsi="宋体"/>
          <w:kern w:val="44"/>
        </w:rPr>
        <w:t>（一）财政机关依照法律、行政法规和国家有关规定，管理和使用预算外资金和财政有偿使用资金的情况；</w:t>
      </w:r>
    </w:p>
    <w:p w14:paraId="246565DC">
      <w:pPr>
        <w:jc w:val="left"/>
        <w:rPr>
          <w:rFonts w:ascii="宋体" w:hAnsi="宋体"/>
          <w:kern w:val="44"/>
        </w:rPr>
      </w:pPr>
      <w:r>
        <w:rPr>
          <w:rFonts w:hint="eastAsia" w:ascii="宋体" w:hAnsi="宋体"/>
          <w:kern w:val="44"/>
        </w:rPr>
        <w:t>（二）本级各部门、各单位依照法律、行政法规和国家有关规定，管理和使用预算外资金等其他财政收支的情况。</w:t>
      </w:r>
    </w:p>
    <w:p w14:paraId="39ED4EAE">
      <w:pPr>
        <w:ind w:firstLine="422"/>
        <w:jc w:val="left"/>
        <w:rPr>
          <w:rFonts w:ascii="宋体" w:hAnsi="宋体"/>
          <w:kern w:val="44"/>
        </w:rPr>
      </w:pPr>
      <w:r>
        <w:rPr>
          <w:rFonts w:hint="eastAsia" w:ascii="宋体" w:hAnsi="宋体"/>
          <w:b/>
          <w:kern w:val="44"/>
        </w:rPr>
        <w:t>第七条</w:t>
      </w:r>
      <w:r>
        <w:rPr>
          <w:rFonts w:hint="eastAsia" w:ascii="宋体" w:hAnsi="宋体"/>
          <w:kern w:val="44"/>
        </w:rPr>
        <w:t>　本市各级审计机关为做好本级预算执行和其他财政收支审计监督工作，应当对下级人民政府预算执行和决算中，执行预算和税收法律、行政法规，使用上级财政补助资金，以及预算外资金管理使用情况等关系财政工作全局的问题，进行审计或者审计调查。</w:t>
      </w:r>
    </w:p>
    <w:p w14:paraId="0101E794">
      <w:pPr>
        <w:jc w:val="left"/>
        <w:rPr>
          <w:rFonts w:ascii="宋体" w:hAnsi="宋体"/>
          <w:kern w:val="44"/>
        </w:rPr>
      </w:pPr>
      <w:r>
        <w:rPr>
          <w:rFonts w:hint="eastAsia" w:ascii="宋体" w:hAnsi="宋体"/>
          <w:kern w:val="44"/>
        </w:rPr>
        <w:t>本市各级人民政府及其财政、税收机关应当按规定向上一级审计机关报送有关预算执行和决算情况的报表、报告。</w:t>
      </w:r>
    </w:p>
    <w:p w14:paraId="0D7EE865">
      <w:pPr>
        <w:ind w:firstLine="422"/>
        <w:jc w:val="left"/>
        <w:rPr>
          <w:rFonts w:ascii="宋体" w:hAnsi="宋体"/>
          <w:kern w:val="44"/>
        </w:rPr>
      </w:pPr>
      <w:r>
        <w:rPr>
          <w:rFonts w:hint="eastAsia" w:ascii="宋体" w:hAnsi="宋体"/>
          <w:b/>
          <w:kern w:val="44"/>
        </w:rPr>
        <w:t>第八条</w:t>
      </w:r>
      <w:r>
        <w:rPr>
          <w:rFonts w:hint="eastAsia" w:ascii="宋体" w:hAnsi="宋体"/>
          <w:kern w:val="44"/>
        </w:rPr>
        <w:t>　本市各级审计机关应当根据本级人民政府财政经济工作的要求和年度预算安排，结合审计工作实际情况，编制本级预算执行和其他财政收支审计项目计划，并报送本级人民政府批准。</w:t>
      </w:r>
    </w:p>
    <w:p w14:paraId="070C67D1">
      <w:pPr>
        <w:ind w:firstLine="422"/>
        <w:jc w:val="left"/>
        <w:rPr>
          <w:rFonts w:ascii="宋体" w:hAnsi="宋体"/>
          <w:kern w:val="44"/>
        </w:rPr>
      </w:pPr>
      <w:r>
        <w:rPr>
          <w:rFonts w:hint="eastAsia" w:ascii="宋体" w:hAnsi="宋体"/>
          <w:b/>
          <w:kern w:val="44"/>
        </w:rPr>
        <w:t>第九条</w:t>
      </w:r>
      <w:r>
        <w:rPr>
          <w:rFonts w:hint="eastAsia" w:ascii="宋体" w:hAnsi="宋体"/>
          <w:kern w:val="44"/>
        </w:rPr>
        <w:t>　本市各级审计机关应当按照本级人民政府批准的预算执行和其他财政收支审计项目计划，在每年第一季度对上一年度本级各部门、各单位执行预算和决算，以及其他财政收支，进行审计；在财政机关提交本级预算执行结果后，及时进行审计；可以在预算年度内对预算执行和其他财政收支进行审计。对重要事项或者人民政府交办的审计事项，应当及时组织专项审计或者审计调查。</w:t>
      </w:r>
    </w:p>
    <w:p w14:paraId="5CFC486B">
      <w:pPr>
        <w:ind w:firstLine="422"/>
        <w:jc w:val="left"/>
        <w:rPr>
          <w:rFonts w:ascii="宋体" w:hAnsi="宋体"/>
          <w:kern w:val="44"/>
        </w:rPr>
      </w:pPr>
      <w:r>
        <w:rPr>
          <w:rFonts w:hint="eastAsia" w:ascii="宋体" w:hAnsi="宋体"/>
          <w:b/>
          <w:kern w:val="44"/>
        </w:rPr>
        <w:t>第十条</w:t>
      </w:r>
      <w:r>
        <w:rPr>
          <w:rFonts w:hint="eastAsia" w:ascii="宋体" w:hAnsi="宋体"/>
          <w:kern w:val="44"/>
        </w:rPr>
        <w:t>　本市各级审计机关对本级预算执行和其他财政收支审计后，应当向本级人民政府和上级审计机关提出审计结果报告。</w:t>
      </w:r>
    </w:p>
    <w:p w14:paraId="527409DC">
      <w:pPr>
        <w:jc w:val="left"/>
        <w:rPr>
          <w:rFonts w:ascii="宋体" w:hAnsi="宋体"/>
          <w:kern w:val="44"/>
        </w:rPr>
      </w:pPr>
      <w:r>
        <w:rPr>
          <w:rFonts w:hint="eastAsia" w:ascii="宋体" w:hAnsi="宋体"/>
          <w:kern w:val="44"/>
        </w:rPr>
        <w:t>本市各级审计机关应当按照本级人民代表大会常务委员会的安排，受本级人民政府的委托，负责起草向本级人民代表大会常务委员会对预算执行和其他财政收支的审计工作报告，由本级人民政府审定并提交本级人民代表大会常务委员会。</w:t>
      </w:r>
    </w:p>
    <w:p w14:paraId="4E79BA9D">
      <w:pPr>
        <w:ind w:firstLine="422"/>
        <w:jc w:val="left"/>
        <w:rPr>
          <w:rFonts w:ascii="宋体" w:hAnsi="宋体"/>
          <w:kern w:val="44"/>
        </w:rPr>
      </w:pPr>
      <w:r>
        <w:rPr>
          <w:rFonts w:hint="eastAsia" w:ascii="宋体" w:hAnsi="宋体"/>
          <w:b/>
          <w:kern w:val="44"/>
        </w:rPr>
        <w:t>第十一条</w:t>
      </w:r>
      <w:r>
        <w:rPr>
          <w:rFonts w:hint="eastAsia" w:ascii="宋体" w:hAnsi="宋体"/>
          <w:kern w:val="44"/>
        </w:rPr>
        <w:t>　本市各级财政、地方税务机关和其他部门、单位应当向本级审计机关报送以下资料：</w:t>
      </w:r>
    </w:p>
    <w:p w14:paraId="4E3C45C6">
      <w:pPr>
        <w:jc w:val="left"/>
        <w:rPr>
          <w:rFonts w:ascii="宋体" w:hAnsi="宋体"/>
          <w:kern w:val="44"/>
        </w:rPr>
      </w:pPr>
      <w:r>
        <w:rPr>
          <w:rFonts w:hint="eastAsia" w:ascii="宋体" w:hAnsi="宋体"/>
          <w:kern w:val="44"/>
        </w:rPr>
        <w:t>（一）本级人民代表大会批准的年度预算和财政机关向本级各部门、各单位批复的预算；</w:t>
      </w:r>
    </w:p>
    <w:p w14:paraId="1CD16B3E">
      <w:pPr>
        <w:jc w:val="left"/>
        <w:rPr>
          <w:rFonts w:ascii="宋体" w:hAnsi="宋体"/>
          <w:kern w:val="44"/>
        </w:rPr>
      </w:pPr>
      <w:r>
        <w:rPr>
          <w:rFonts w:hint="eastAsia" w:ascii="宋体" w:hAnsi="宋体"/>
          <w:kern w:val="44"/>
        </w:rPr>
        <w:t>（二）财政、地方税务机关和有上缴预算收入任务的部门、单位年度收入计划和收入完成情况季报、年报和决算；</w:t>
      </w:r>
    </w:p>
    <w:p w14:paraId="5D2313AE">
      <w:pPr>
        <w:jc w:val="left"/>
        <w:rPr>
          <w:rFonts w:ascii="宋体" w:hAnsi="宋体"/>
          <w:kern w:val="44"/>
        </w:rPr>
      </w:pPr>
      <w:r>
        <w:rPr>
          <w:rFonts w:hint="eastAsia" w:ascii="宋体" w:hAnsi="宋体"/>
          <w:kern w:val="44"/>
        </w:rPr>
        <w:t>（三）本级预算收支情况和本级各部门、各单位预算收支执行情况的季报、年报和决算；</w:t>
      </w:r>
    </w:p>
    <w:p w14:paraId="386AC7E7">
      <w:pPr>
        <w:jc w:val="left"/>
        <w:rPr>
          <w:rFonts w:ascii="宋体" w:hAnsi="宋体"/>
          <w:kern w:val="44"/>
        </w:rPr>
      </w:pPr>
      <w:r>
        <w:rPr>
          <w:rFonts w:hint="eastAsia" w:ascii="宋体" w:hAnsi="宋体"/>
          <w:kern w:val="44"/>
        </w:rPr>
        <w:t>（四）财政机关和其他有关部门、单位预算外资金、专项资金（基金）、财政有偿使用资金收支的半年报、年报和决算；</w:t>
      </w:r>
    </w:p>
    <w:p w14:paraId="6A500A9E">
      <w:pPr>
        <w:jc w:val="left"/>
        <w:rPr>
          <w:rFonts w:ascii="宋体" w:hAnsi="宋体"/>
          <w:kern w:val="44"/>
        </w:rPr>
      </w:pPr>
      <w:r>
        <w:rPr>
          <w:rFonts w:hint="eastAsia" w:ascii="宋体" w:hAnsi="宋体"/>
          <w:kern w:val="44"/>
        </w:rPr>
        <w:t>（五）其他有关财政税收工作的统计年报，情况简报，财政、预算、税务、财务和会计等规章制度，以及与预算执行和财务收支有关的资料。</w:t>
      </w:r>
    </w:p>
    <w:p w14:paraId="6A9113CF">
      <w:pPr>
        <w:ind w:firstLine="422"/>
        <w:jc w:val="left"/>
        <w:rPr>
          <w:rFonts w:ascii="宋体" w:hAnsi="宋体"/>
          <w:kern w:val="44"/>
        </w:rPr>
      </w:pPr>
      <w:r>
        <w:rPr>
          <w:rFonts w:hint="eastAsia" w:ascii="宋体" w:hAnsi="宋体"/>
          <w:b/>
          <w:kern w:val="44"/>
        </w:rPr>
        <w:t>第十二条</w:t>
      </w:r>
      <w:r>
        <w:rPr>
          <w:rFonts w:hint="eastAsia" w:ascii="宋体" w:hAnsi="宋体"/>
          <w:kern w:val="44"/>
        </w:rPr>
        <w:t>　对本市各级财政、税务机关和其他部门、单位在组织预算执行和其他财政收支中，违反预算的行为或者其他违反国家规定的财政收支行为，审计机关在法定职权范围内，依照有关法律、行政法规的规定，出具审计意见书和作出审计决定，就重大问题向本级人民政府提出处理建议。</w:t>
      </w:r>
    </w:p>
    <w:p w14:paraId="4912CD58">
      <w:pPr>
        <w:ind w:firstLine="422"/>
        <w:jc w:val="left"/>
        <w:rPr>
          <w:rFonts w:ascii="宋体" w:hAnsi="宋体"/>
          <w:kern w:val="44"/>
        </w:rPr>
      </w:pPr>
      <w:r>
        <w:rPr>
          <w:rFonts w:hint="eastAsia" w:ascii="宋体" w:hAnsi="宋体"/>
          <w:b/>
          <w:kern w:val="44"/>
        </w:rPr>
        <w:t>第十三条</w:t>
      </w:r>
      <w:r>
        <w:rPr>
          <w:rFonts w:hint="eastAsia" w:ascii="宋体" w:hAnsi="宋体"/>
          <w:kern w:val="44"/>
        </w:rPr>
        <w:t>　对本市各级财政、税务机关和其他部门、单位制发的有关财政、税收、财务内容的规范性文件有同法律、行政法规相抵触或者有其他不适当之处，应当纠正或者完善的，审计机关可以提出处理建议，报本级人民政府审查决定。</w:t>
      </w:r>
    </w:p>
    <w:p w14:paraId="16B5EC6D">
      <w:pPr>
        <w:ind w:firstLine="422"/>
        <w:jc w:val="left"/>
        <w:rPr>
          <w:rFonts w:ascii="宋体" w:hAnsi="宋体"/>
          <w:kern w:val="44"/>
        </w:rPr>
      </w:pPr>
      <w:r>
        <w:rPr>
          <w:rFonts w:hint="eastAsia" w:ascii="宋体" w:hAnsi="宋体"/>
          <w:b/>
          <w:kern w:val="44"/>
        </w:rPr>
        <w:t>第十四条</w:t>
      </w:r>
      <w:r>
        <w:rPr>
          <w:rFonts w:hint="eastAsia" w:ascii="宋体" w:hAnsi="宋体"/>
          <w:kern w:val="44"/>
        </w:rPr>
        <w:t>　对本市下级人民政府违反预算执行和决算的行为或者其他违反国家规定的财政收支行为，由上级审计机关在法定职权范围内，依照法律、行政法规的规定作出处理。</w:t>
      </w:r>
    </w:p>
    <w:p w14:paraId="31AB082F">
      <w:pPr>
        <w:ind w:firstLine="422"/>
        <w:jc w:val="left"/>
        <w:rPr>
          <w:rFonts w:ascii="宋体" w:hAnsi="宋体"/>
          <w:kern w:val="44"/>
        </w:rPr>
      </w:pPr>
      <w:r>
        <w:rPr>
          <w:rFonts w:hint="eastAsia" w:ascii="宋体" w:hAnsi="宋体"/>
          <w:b/>
          <w:kern w:val="44"/>
        </w:rPr>
        <w:t>第十五条</w:t>
      </w:r>
      <w:r>
        <w:rPr>
          <w:rFonts w:hint="eastAsia" w:ascii="宋体" w:hAnsi="宋体"/>
          <w:kern w:val="44"/>
        </w:rPr>
        <w:t>　对违反《审计法》的规定，拒绝或者阻碍审计检查的，由审计机关责令改正，可以通报批评，给予警告；拒不改正的，依法追究责任。</w:t>
      </w:r>
    </w:p>
    <w:p w14:paraId="7F3AB009">
      <w:pPr>
        <w:ind w:firstLine="422"/>
        <w:jc w:val="left"/>
        <w:rPr>
          <w:rFonts w:ascii="宋体" w:hAnsi="宋体"/>
          <w:kern w:val="44"/>
        </w:rPr>
      </w:pPr>
      <w:r>
        <w:rPr>
          <w:rFonts w:hint="eastAsia" w:ascii="宋体" w:hAnsi="宋体"/>
          <w:b/>
          <w:kern w:val="44"/>
        </w:rPr>
        <w:t>第十六条</w:t>
      </w:r>
      <w:r>
        <w:rPr>
          <w:rFonts w:hint="eastAsia" w:ascii="宋体" w:hAnsi="宋体"/>
          <w:kern w:val="44"/>
        </w:rPr>
        <w:t>　本办法自发布之日起施行。</w:t>
      </w:r>
    </w:p>
    <w:p w14:paraId="5413131E">
      <w:pPr>
        <w:pStyle w:val="3"/>
        <w:pageBreakBefore/>
        <w:rPr>
          <w:kern w:val="44"/>
        </w:rPr>
      </w:pPr>
      <w:bookmarkStart w:id="1151" w:name="_Toc427651927"/>
      <w:bookmarkStart w:id="1152" w:name="_Toc427651585"/>
      <w:bookmarkStart w:id="1153" w:name="_Toc422471307"/>
      <w:bookmarkStart w:id="1154" w:name="_Toc428781633"/>
      <w:bookmarkStart w:id="1155" w:name="_Toc428780151"/>
      <w:r>
        <w:rPr>
          <w:rFonts w:hint="eastAsia"/>
          <w:kern w:val="44"/>
        </w:rPr>
        <w:t>（九）统  计</w:t>
      </w:r>
      <w:bookmarkEnd w:id="1151"/>
      <w:bookmarkEnd w:id="1152"/>
      <w:bookmarkEnd w:id="1153"/>
      <w:bookmarkEnd w:id="1154"/>
      <w:bookmarkEnd w:id="1155"/>
    </w:p>
    <w:p w14:paraId="16FBD46D"/>
    <w:p w14:paraId="262B521A">
      <w:pPr>
        <w:pStyle w:val="4"/>
        <w:rPr>
          <w:kern w:val="44"/>
        </w:rPr>
      </w:pPr>
      <w:bookmarkStart w:id="1156" w:name="_Toc422471308"/>
      <w:bookmarkStart w:id="1157" w:name="_Toc427651586"/>
      <w:bookmarkStart w:id="1158" w:name="_Toc428781634"/>
      <w:bookmarkStart w:id="1159" w:name="_Toc427651928"/>
      <w:bookmarkStart w:id="1160" w:name="_Toc428780152"/>
      <w:r>
        <w:rPr>
          <w:rFonts w:hint="eastAsia"/>
          <w:kern w:val="44"/>
        </w:rPr>
        <w:t>北京市统计管理条例</w:t>
      </w:r>
      <w:bookmarkEnd w:id="1156"/>
      <w:bookmarkEnd w:id="1157"/>
      <w:bookmarkEnd w:id="1158"/>
      <w:bookmarkEnd w:id="1159"/>
      <w:bookmarkEnd w:id="1160"/>
    </w:p>
    <w:p w14:paraId="04DD225C">
      <w:pPr>
        <w:ind w:left="630" w:leftChars="300" w:right="630" w:rightChars="300"/>
        <w:jc w:val="left"/>
        <w:rPr>
          <w:rFonts w:ascii="楷体" w:hAnsi="楷体" w:eastAsia="楷体"/>
          <w:kern w:val="44"/>
        </w:rPr>
      </w:pPr>
      <w:r>
        <w:rPr>
          <w:rFonts w:hint="eastAsia" w:ascii="楷体" w:hAnsi="楷体" w:eastAsia="楷体"/>
          <w:kern w:val="44"/>
        </w:rPr>
        <w:t>（1994年9月8日北京市第十届人民代表大会常务委员会第十二次会议通过　根据1997年9月4日北京市第十届人民代表大会常务委员会第三十九次会议《关于修改〈北京市统计管理条例〉的决定》第一次修改　根据2001年10月16日北京市第十一届人民代表大会常务委员会第三十次会议《关于修改〈北京市统计管理条例〉的决定》第二次修改）</w:t>
      </w:r>
    </w:p>
    <w:p w14:paraId="399D3394">
      <w:pPr>
        <w:jc w:val="left"/>
        <w:rPr>
          <w:rFonts w:ascii="宋体" w:hAnsi="宋体"/>
          <w:kern w:val="44"/>
        </w:rPr>
      </w:pPr>
    </w:p>
    <w:p w14:paraId="5D5A6709">
      <w:pPr>
        <w:ind w:firstLine="0" w:firstLineChars="0"/>
        <w:jc w:val="center"/>
        <w:rPr>
          <w:rFonts w:ascii="宋体" w:hAnsi="宋体"/>
          <w:b/>
          <w:kern w:val="44"/>
          <w:sz w:val="28"/>
        </w:rPr>
      </w:pPr>
      <w:r>
        <w:rPr>
          <w:rFonts w:hint="eastAsia" w:ascii="宋体" w:hAnsi="宋体"/>
          <w:b/>
          <w:kern w:val="44"/>
          <w:sz w:val="28"/>
        </w:rPr>
        <w:t>第一章　总　则</w:t>
      </w:r>
    </w:p>
    <w:p w14:paraId="30F5F500">
      <w:pPr>
        <w:jc w:val="left"/>
        <w:rPr>
          <w:rFonts w:ascii="宋体" w:hAnsi="宋体"/>
          <w:kern w:val="44"/>
        </w:rPr>
      </w:pPr>
    </w:p>
    <w:p w14:paraId="3547F5AF">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为加强统计管理，保障统计资料的真实性、准确性和及时性，根据《中华人民共和国统计法》及其实施细则，结合本市实际情况，制定本条例。</w:t>
      </w:r>
    </w:p>
    <w:p w14:paraId="5EB3E24E">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本条例适用于本市行政区域内的国家机关、社会团体、企业事业单位、其他组织和个体工商户。</w:t>
      </w:r>
    </w:p>
    <w:p w14:paraId="762BA77C">
      <w:pPr>
        <w:jc w:val="left"/>
        <w:rPr>
          <w:rFonts w:ascii="宋体" w:hAnsi="宋体"/>
          <w:kern w:val="44"/>
        </w:rPr>
      </w:pPr>
      <w:r>
        <w:rPr>
          <w:rFonts w:hint="eastAsia" w:ascii="宋体" w:hAnsi="宋体"/>
          <w:kern w:val="44"/>
        </w:rPr>
        <w:t>基层群众性自治组织和公民，有义务如实提供国家统计调查所需要的情况。</w:t>
      </w:r>
    </w:p>
    <w:p w14:paraId="155A033C">
      <w:pPr>
        <w:ind w:firstLine="422"/>
        <w:jc w:val="left"/>
        <w:rPr>
          <w:rFonts w:ascii="宋体" w:hAnsi="宋体"/>
          <w:kern w:val="44"/>
        </w:rPr>
      </w:pPr>
      <w:r>
        <w:rPr>
          <w:rFonts w:hint="eastAsia" w:ascii="宋体" w:hAnsi="宋体"/>
          <w:b/>
          <w:kern w:val="44"/>
        </w:rPr>
        <w:t>第三条</w:t>
      </w:r>
      <w:r>
        <w:rPr>
          <w:rFonts w:hint="eastAsia" w:ascii="宋体" w:hAnsi="宋体"/>
          <w:kern w:val="44"/>
        </w:rPr>
        <w:t>　市统计局是本市统计工作的主管部门，负责本条例的实施。</w:t>
      </w:r>
    </w:p>
    <w:p w14:paraId="1A831F46">
      <w:pPr>
        <w:ind w:firstLine="422"/>
        <w:jc w:val="left"/>
        <w:rPr>
          <w:rFonts w:ascii="宋体" w:hAnsi="宋体"/>
          <w:kern w:val="44"/>
        </w:rPr>
      </w:pPr>
      <w:r>
        <w:rPr>
          <w:rFonts w:hint="eastAsia" w:ascii="宋体" w:hAnsi="宋体"/>
          <w:b/>
          <w:kern w:val="44"/>
        </w:rPr>
        <w:t>第四条</w:t>
      </w:r>
      <w:r>
        <w:rPr>
          <w:rFonts w:hint="eastAsia" w:ascii="宋体" w:hAnsi="宋体"/>
          <w:kern w:val="44"/>
        </w:rPr>
        <w:t>　统计机构和统计人员依法独立行使统计调查、统计报告和统计监督的职权不受侵犯。</w:t>
      </w:r>
    </w:p>
    <w:p w14:paraId="3BF27F2B">
      <w:pPr>
        <w:ind w:firstLine="422"/>
        <w:jc w:val="left"/>
        <w:rPr>
          <w:rFonts w:ascii="宋体" w:hAnsi="宋体"/>
          <w:kern w:val="44"/>
        </w:rPr>
      </w:pPr>
      <w:r>
        <w:rPr>
          <w:rFonts w:hint="eastAsia" w:ascii="宋体" w:hAnsi="宋体"/>
          <w:b/>
          <w:kern w:val="44"/>
        </w:rPr>
        <w:t>第五条</w:t>
      </w:r>
      <w:r>
        <w:rPr>
          <w:rFonts w:hint="eastAsia" w:ascii="宋体" w:hAnsi="宋体"/>
          <w:kern w:val="44"/>
        </w:rPr>
        <w:t>　各级人民政府、各部门和各单位的领导人对统计机构和统计人员依法提供的统计资料，不得自行修改；如果发现数据计算或者来源有错误，应当提出，由统计机构、统计人员和有关人员核实订正。</w:t>
      </w:r>
    </w:p>
    <w:p w14:paraId="62F20E03">
      <w:pPr>
        <w:jc w:val="left"/>
        <w:rPr>
          <w:rFonts w:ascii="宋体" w:hAnsi="宋体"/>
          <w:kern w:val="44"/>
        </w:rPr>
      </w:pPr>
      <w:r>
        <w:rPr>
          <w:rFonts w:hint="eastAsia" w:ascii="宋体" w:hAnsi="宋体"/>
          <w:kern w:val="44"/>
        </w:rPr>
        <w:t>各级人民政府、各部门和各单位的领导人不得强令或者授意统计机构、统计人员篡改统计资料或者编造虚假数据。统计机构、统计人员对领导人强令或者授意篡改统计资料或者编造虚假数据的行为，应当拒绝、抵制，依照统计法律、法规和统计制度如实报送统计资料，并对所报送的统计资料的真实性负责。</w:t>
      </w:r>
    </w:p>
    <w:p w14:paraId="75135988">
      <w:pPr>
        <w:jc w:val="left"/>
        <w:rPr>
          <w:rFonts w:ascii="宋体" w:hAnsi="宋体"/>
          <w:kern w:val="44"/>
        </w:rPr>
      </w:pPr>
      <w:r>
        <w:rPr>
          <w:rFonts w:hint="eastAsia" w:ascii="宋体" w:hAnsi="宋体"/>
          <w:kern w:val="44"/>
        </w:rPr>
        <w:t>统计机构、统计人员依法履行职责受法律保护。各级人民政府、各部门和各单位的领导人不得对拒绝、抵制篡改统计资料或者对拒绝、抵制编造虚假数据行为的统计人员进行打击报复。</w:t>
      </w:r>
    </w:p>
    <w:p w14:paraId="21CEAD15">
      <w:pPr>
        <w:ind w:firstLine="422"/>
        <w:jc w:val="left"/>
        <w:rPr>
          <w:rFonts w:ascii="宋体" w:hAnsi="宋体"/>
          <w:kern w:val="44"/>
        </w:rPr>
      </w:pPr>
      <w:r>
        <w:rPr>
          <w:rFonts w:hint="eastAsia" w:ascii="宋体" w:hAnsi="宋体"/>
          <w:b/>
          <w:kern w:val="44"/>
        </w:rPr>
        <w:t>第六条</w:t>
      </w:r>
      <w:r>
        <w:rPr>
          <w:rFonts w:hint="eastAsia" w:ascii="宋体" w:hAnsi="宋体"/>
          <w:kern w:val="44"/>
        </w:rPr>
        <w:t>　各级人民政府、各部门和各企业事业单位，对统计工作应当加强领导，为统计工作提供必要的条件。</w:t>
      </w:r>
    </w:p>
    <w:p w14:paraId="0F52721C">
      <w:pPr>
        <w:jc w:val="left"/>
        <w:rPr>
          <w:rFonts w:ascii="宋体" w:hAnsi="宋体"/>
          <w:kern w:val="44"/>
        </w:rPr>
      </w:pPr>
      <w:r>
        <w:rPr>
          <w:rFonts w:hint="eastAsia" w:ascii="宋体" w:hAnsi="宋体"/>
          <w:kern w:val="44"/>
        </w:rPr>
        <w:t>各级人民政府、各部门和各企业事业单位应当加强统计信息自动化系统建设，根据统计任务的需要配备数据处理和数据传输设备，建立健全现代化统计信息管理系统。</w:t>
      </w:r>
    </w:p>
    <w:p w14:paraId="5990AC13">
      <w:pPr>
        <w:ind w:firstLine="422"/>
        <w:jc w:val="left"/>
        <w:rPr>
          <w:rFonts w:ascii="宋体" w:hAnsi="宋体"/>
          <w:kern w:val="44"/>
        </w:rPr>
      </w:pPr>
      <w:r>
        <w:rPr>
          <w:rFonts w:hint="eastAsia" w:ascii="宋体" w:hAnsi="宋体"/>
          <w:b/>
          <w:kern w:val="44"/>
        </w:rPr>
        <w:t>第七条</w:t>
      </w:r>
      <w:r>
        <w:rPr>
          <w:rFonts w:hint="eastAsia" w:ascii="宋体" w:hAnsi="宋体"/>
          <w:kern w:val="44"/>
        </w:rPr>
        <w:t>　各级人民政府、各部门和各企业事业单位对统计工作成绩显著，执行统计法律、法规表现突出的单位和个人，应当给予表彰和奖励。</w:t>
      </w:r>
    </w:p>
    <w:p w14:paraId="4188042F">
      <w:pPr>
        <w:ind w:firstLine="0" w:firstLineChars="0"/>
        <w:jc w:val="center"/>
        <w:rPr>
          <w:rFonts w:ascii="宋体" w:hAnsi="宋体"/>
          <w:b/>
          <w:kern w:val="44"/>
          <w:sz w:val="28"/>
        </w:rPr>
      </w:pPr>
      <w:r>
        <w:rPr>
          <w:rFonts w:hint="eastAsia" w:ascii="宋体" w:hAnsi="宋体"/>
          <w:b/>
          <w:kern w:val="44"/>
          <w:sz w:val="28"/>
        </w:rPr>
        <w:t>第二章　统计机构和统计人员</w:t>
      </w:r>
    </w:p>
    <w:p w14:paraId="099FEC97">
      <w:pPr>
        <w:jc w:val="left"/>
        <w:rPr>
          <w:rFonts w:ascii="宋体" w:hAnsi="宋体"/>
          <w:kern w:val="44"/>
        </w:rPr>
      </w:pPr>
    </w:p>
    <w:p w14:paraId="3A3E0164">
      <w:pPr>
        <w:ind w:firstLine="422"/>
        <w:jc w:val="left"/>
        <w:rPr>
          <w:rFonts w:ascii="宋体" w:hAnsi="宋体"/>
          <w:kern w:val="44"/>
        </w:rPr>
      </w:pPr>
      <w:r>
        <w:rPr>
          <w:rFonts w:hint="eastAsia" w:ascii="宋体" w:hAnsi="宋体"/>
          <w:b/>
          <w:kern w:val="44"/>
        </w:rPr>
        <w:t>第八条</w:t>
      </w:r>
      <w:r>
        <w:rPr>
          <w:rFonts w:hint="eastAsia" w:ascii="宋体" w:hAnsi="宋体"/>
          <w:kern w:val="44"/>
        </w:rPr>
        <w:t>　市和区、县统计局，乡、镇人民政府和街道办事处的统计机构，对本行政区域内的统计工作负有组织领导、管理协调和监督检查的职责。</w:t>
      </w:r>
    </w:p>
    <w:p w14:paraId="401CA92A">
      <w:pPr>
        <w:jc w:val="left"/>
        <w:rPr>
          <w:rFonts w:ascii="宋体" w:hAnsi="宋体"/>
          <w:kern w:val="44"/>
        </w:rPr>
      </w:pPr>
      <w:r>
        <w:rPr>
          <w:rFonts w:hint="eastAsia" w:ascii="宋体" w:hAnsi="宋体"/>
          <w:kern w:val="44"/>
        </w:rPr>
        <w:t>各级人民政府统计机构，受同级人民政府和上级人民政府统计机构的双重领导，统计业务以上级人民政府统计机构领导为主。</w:t>
      </w:r>
    </w:p>
    <w:p w14:paraId="6A31A781">
      <w:pPr>
        <w:jc w:val="left"/>
        <w:rPr>
          <w:rFonts w:ascii="宋体" w:hAnsi="宋体"/>
          <w:kern w:val="44"/>
        </w:rPr>
      </w:pPr>
      <w:r>
        <w:rPr>
          <w:rFonts w:hint="eastAsia" w:ascii="宋体" w:hAnsi="宋体"/>
          <w:kern w:val="44"/>
        </w:rPr>
        <w:t>居民委员会和村民委员会等基层群众性自治组织的统计机构或者统计人员，负责本居住地区的综合统计工作，统计业务受街道或者乡、镇统计机构的指导。</w:t>
      </w:r>
    </w:p>
    <w:p w14:paraId="1F07AD1B">
      <w:pPr>
        <w:ind w:firstLine="422"/>
        <w:jc w:val="left"/>
        <w:rPr>
          <w:rFonts w:ascii="宋体" w:hAnsi="宋体"/>
          <w:kern w:val="44"/>
        </w:rPr>
      </w:pPr>
      <w:r>
        <w:rPr>
          <w:rFonts w:hint="eastAsia" w:ascii="宋体" w:hAnsi="宋体"/>
          <w:b/>
          <w:kern w:val="44"/>
        </w:rPr>
        <w:t>第九条</w:t>
      </w:r>
      <w:r>
        <w:rPr>
          <w:rFonts w:hint="eastAsia" w:ascii="宋体" w:hAnsi="宋体"/>
          <w:kern w:val="44"/>
        </w:rPr>
        <w:t>　市和区、县人民政府各部门的统计机构或者指定的统计负责人，对本部门的统计工作负有管理、协调、监督和检查的职责，统计业务受同级统计局的指导。</w:t>
      </w:r>
    </w:p>
    <w:p w14:paraId="78BCDBD1">
      <w:pPr>
        <w:ind w:firstLine="422"/>
        <w:jc w:val="left"/>
        <w:rPr>
          <w:rFonts w:ascii="宋体" w:hAnsi="宋体"/>
          <w:kern w:val="44"/>
        </w:rPr>
      </w:pPr>
      <w:r>
        <w:rPr>
          <w:rFonts w:hint="eastAsia" w:ascii="宋体" w:hAnsi="宋体"/>
          <w:b/>
          <w:kern w:val="44"/>
        </w:rPr>
        <w:t>第十条</w:t>
      </w:r>
      <w:r>
        <w:rPr>
          <w:rFonts w:hint="eastAsia" w:ascii="宋体" w:hAnsi="宋体"/>
          <w:kern w:val="44"/>
        </w:rPr>
        <w:t>　企业事业单位、其他组织的统计机构或者指定的统计负责人，对本单位的统计工作负有管理、协调、监督和检查的职责，统计业务受上级主管部门统计机构和所在地政府统计机构的指导。</w:t>
      </w:r>
    </w:p>
    <w:p w14:paraId="04CEA048">
      <w:pPr>
        <w:ind w:firstLine="422"/>
        <w:jc w:val="left"/>
        <w:rPr>
          <w:rFonts w:ascii="宋体" w:hAnsi="宋体"/>
          <w:kern w:val="44"/>
        </w:rPr>
      </w:pPr>
      <w:r>
        <w:rPr>
          <w:rFonts w:hint="eastAsia" w:ascii="宋体" w:hAnsi="宋体"/>
          <w:b/>
          <w:kern w:val="44"/>
        </w:rPr>
        <w:t>第十一条</w:t>
      </w:r>
      <w:r>
        <w:rPr>
          <w:rFonts w:hint="eastAsia" w:ascii="宋体" w:hAnsi="宋体"/>
          <w:kern w:val="44"/>
        </w:rPr>
        <w:t>　市和区、县统计局应当有计划地对统计人员进行法律、法规和职业道德教育，加强专业培训，提高统计人员的综合素质。</w:t>
      </w:r>
    </w:p>
    <w:p w14:paraId="2298E0E1">
      <w:pPr>
        <w:jc w:val="left"/>
        <w:rPr>
          <w:rFonts w:ascii="宋体" w:hAnsi="宋体"/>
          <w:kern w:val="44"/>
        </w:rPr>
      </w:pPr>
      <w:r>
        <w:rPr>
          <w:rFonts w:hint="eastAsia" w:ascii="宋体" w:hAnsi="宋体"/>
          <w:kern w:val="44"/>
        </w:rPr>
        <w:t>统计人员必须取得市统计局统一制发的《统计证》方可从事统计工作。对统计人员的培训、考核、发证和验证工作，按照分级负责的原则，由市统计局制定具体办法。</w:t>
      </w:r>
    </w:p>
    <w:p w14:paraId="0452FAEA">
      <w:pPr>
        <w:ind w:firstLine="422"/>
        <w:jc w:val="left"/>
        <w:rPr>
          <w:rFonts w:ascii="宋体" w:hAnsi="宋体"/>
          <w:kern w:val="44"/>
        </w:rPr>
      </w:pPr>
      <w:r>
        <w:rPr>
          <w:rFonts w:hint="eastAsia" w:ascii="宋体" w:hAnsi="宋体"/>
          <w:b/>
          <w:kern w:val="44"/>
        </w:rPr>
        <w:t>第十二条</w:t>
      </w:r>
      <w:r>
        <w:rPr>
          <w:rFonts w:hint="eastAsia" w:ascii="宋体" w:hAnsi="宋体"/>
          <w:kern w:val="44"/>
        </w:rPr>
        <w:t>　统计人员应当保持相对稳定。各级统计机构主要负责人和具有中级以上统计专业技术职务人员的调动，应当按照法律、法规的有关规定办理；调换统计人员时，必须先补后调。</w:t>
      </w:r>
    </w:p>
    <w:p w14:paraId="6CC2BF22">
      <w:pPr>
        <w:jc w:val="left"/>
        <w:rPr>
          <w:rFonts w:ascii="宋体" w:hAnsi="宋体"/>
          <w:kern w:val="44"/>
        </w:rPr>
      </w:pPr>
    </w:p>
    <w:p w14:paraId="37998385">
      <w:pPr>
        <w:ind w:firstLine="0" w:firstLineChars="0"/>
        <w:jc w:val="center"/>
        <w:rPr>
          <w:rFonts w:ascii="宋体" w:hAnsi="宋体"/>
          <w:b/>
          <w:kern w:val="44"/>
          <w:sz w:val="28"/>
        </w:rPr>
      </w:pPr>
      <w:r>
        <w:rPr>
          <w:rFonts w:hint="eastAsia" w:ascii="宋体" w:hAnsi="宋体"/>
          <w:b/>
          <w:kern w:val="44"/>
          <w:sz w:val="28"/>
        </w:rPr>
        <w:t>第三章　统计调查表管理</w:t>
      </w:r>
    </w:p>
    <w:p w14:paraId="2001780D">
      <w:pPr>
        <w:jc w:val="left"/>
        <w:rPr>
          <w:rFonts w:ascii="宋体" w:hAnsi="宋体"/>
          <w:kern w:val="44"/>
        </w:rPr>
      </w:pPr>
    </w:p>
    <w:p w14:paraId="116AE2AD">
      <w:pPr>
        <w:ind w:firstLine="422"/>
        <w:jc w:val="left"/>
        <w:rPr>
          <w:rFonts w:ascii="宋体" w:hAnsi="宋体"/>
          <w:kern w:val="44"/>
        </w:rPr>
      </w:pPr>
      <w:r>
        <w:rPr>
          <w:rFonts w:hint="eastAsia" w:ascii="宋体" w:hAnsi="宋体"/>
          <w:b/>
          <w:kern w:val="44"/>
        </w:rPr>
        <w:t>第十三条</w:t>
      </w:r>
      <w:r>
        <w:rPr>
          <w:rFonts w:hint="eastAsia" w:ascii="宋体" w:hAnsi="宋体"/>
          <w:kern w:val="44"/>
        </w:rPr>
        <w:t>　市和区、县统计局应当加强对统计调查的管理，政府统计调查、部门统计调查应当互相衔接，不得重复。</w:t>
      </w:r>
    </w:p>
    <w:p w14:paraId="794D1D91">
      <w:pPr>
        <w:jc w:val="left"/>
        <w:rPr>
          <w:rFonts w:ascii="宋体" w:hAnsi="宋体"/>
          <w:kern w:val="44"/>
        </w:rPr>
      </w:pPr>
      <w:r>
        <w:rPr>
          <w:rFonts w:hint="eastAsia" w:ascii="宋体" w:hAnsi="宋体"/>
          <w:kern w:val="44"/>
        </w:rPr>
        <w:t>全市性的地方统计调查表，由市统计局制定，或者由市统计局会同有关部门制定。</w:t>
      </w:r>
    </w:p>
    <w:p w14:paraId="36A32F77">
      <w:pPr>
        <w:jc w:val="left"/>
        <w:rPr>
          <w:rFonts w:ascii="宋体" w:hAnsi="宋体"/>
          <w:kern w:val="44"/>
        </w:rPr>
      </w:pPr>
      <w:r>
        <w:rPr>
          <w:rFonts w:hint="eastAsia" w:ascii="宋体" w:hAnsi="宋体"/>
          <w:kern w:val="44"/>
        </w:rPr>
        <w:t>区、县的地方统计调查表，由区、县统计局制定，或者由区、县统计局会同有关部门制定，报市统计局备案，并将统计资料报市局。</w:t>
      </w:r>
    </w:p>
    <w:p w14:paraId="5FCEAEAD">
      <w:pPr>
        <w:jc w:val="left"/>
        <w:rPr>
          <w:rFonts w:ascii="宋体" w:hAnsi="宋体"/>
          <w:kern w:val="44"/>
        </w:rPr>
      </w:pPr>
      <w:r>
        <w:rPr>
          <w:rFonts w:hint="eastAsia" w:ascii="宋体" w:hAnsi="宋体"/>
          <w:kern w:val="44"/>
        </w:rPr>
        <w:t>市和区、县人民政府各部门制发到本部门管辖系统内单位的统计调查表，由本部门负责人批准后，报同级统计局备案，并将统计资料报同级统计局；市和区、县人民政府各部门制发到本部门管辖系统外单位的统计调查表，由本部门负责人签署，报同级统计局审批，并将统计资料报同级统计局。</w:t>
      </w:r>
    </w:p>
    <w:p w14:paraId="5A22C540">
      <w:pPr>
        <w:jc w:val="left"/>
        <w:rPr>
          <w:rFonts w:ascii="宋体" w:hAnsi="宋体"/>
          <w:kern w:val="44"/>
        </w:rPr>
      </w:pPr>
      <w:r>
        <w:rPr>
          <w:rFonts w:hint="eastAsia" w:ascii="宋体" w:hAnsi="宋体"/>
          <w:kern w:val="44"/>
        </w:rPr>
        <w:t>市人民政府各有关部门为完成市人民政府部署的紧急调查事项，市统计局又无此项资料的，可以制发一次性专项统计调查表，报市统计局备案，并将统计资料报市统计局。</w:t>
      </w:r>
    </w:p>
    <w:p w14:paraId="37B79E7F">
      <w:pPr>
        <w:jc w:val="left"/>
        <w:rPr>
          <w:rFonts w:ascii="宋体" w:hAnsi="宋体"/>
          <w:kern w:val="44"/>
        </w:rPr>
      </w:pPr>
      <w:r>
        <w:rPr>
          <w:rFonts w:hint="eastAsia" w:ascii="宋体" w:hAnsi="宋体"/>
          <w:kern w:val="44"/>
        </w:rPr>
        <w:t>上述第三款、第四款、第五款中的统计调查表，未经审批或者备案，不得擅自制发。市和区、县人民政府的非常设机构，不得制发统计调查表。</w:t>
      </w:r>
    </w:p>
    <w:p w14:paraId="494A9207">
      <w:pPr>
        <w:ind w:firstLine="422"/>
        <w:jc w:val="left"/>
        <w:rPr>
          <w:rFonts w:ascii="宋体" w:hAnsi="宋体"/>
          <w:kern w:val="44"/>
        </w:rPr>
      </w:pPr>
      <w:r>
        <w:rPr>
          <w:rFonts w:hint="eastAsia" w:ascii="宋体" w:hAnsi="宋体"/>
          <w:b/>
          <w:kern w:val="44"/>
        </w:rPr>
        <w:t>第十四条</w:t>
      </w:r>
      <w:r>
        <w:rPr>
          <w:rFonts w:hint="eastAsia" w:ascii="宋体" w:hAnsi="宋体"/>
          <w:kern w:val="44"/>
        </w:rPr>
        <w:t>　制发统计调查表必须附有说明书，说明调查目的、调查内容、调查对象、调查时间、指标涵义、计算方法、分类目录和统计编码等。分类目录和统计编码必须执行国家标准，没有国家标准的执行本市标准。</w:t>
      </w:r>
    </w:p>
    <w:p w14:paraId="42EB9A66">
      <w:pPr>
        <w:ind w:firstLine="422"/>
        <w:jc w:val="left"/>
        <w:rPr>
          <w:rFonts w:ascii="宋体" w:hAnsi="宋体"/>
          <w:kern w:val="44"/>
        </w:rPr>
      </w:pPr>
      <w:r>
        <w:rPr>
          <w:rFonts w:hint="eastAsia" w:ascii="宋体" w:hAnsi="宋体"/>
          <w:b/>
          <w:kern w:val="44"/>
        </w:rPr>
        <w:t>第十五条</w:t>
      </w:r>
      <w:r>
        <w:rPr>
          <w:rFonts w:hint="eastAsia" w:ascii="宋体" w:hAnsi="宋体"/>
          <w:kern w:val="44"/>
        </w:rPr>
        <w:t>　制发各类统计调查表，必须在调查表的右上角标明制表机关名称、表号和执行期限。应当审批、备案的，必须标明批准、备案机关名称及批准、备案文号。</w:t>
      </w:r>
    </w:p>
    <w:p w14:paraId="0664DA01">
      <w:pPr>
        <w:jc w:val="left"/>
        <w:rPr>
          <w:rFonts w:ascii="宋体" w:hAnsi="宋体"/>
          <w:kern w:val="44"/>
        </w:rPr>
      </w:pPr>
      <w:r>
        <w:rPr>
          <w:rFonts w:hint="eastAsia" w:ascii="宋体" w:hAnsi="宋体"/>
          <w:kern w:val="44"/>
        </w:rPr>
        <w:t>不符合前款规定或者超过执行期限的统计调查表是非法报表，任何单位或者个人均有权拒绝填报，并向市和区、县统计局举报。</w:t>
      </w:r>
    </w:p>
    <w:p w14:paraId="3D64AEB2">
      <w:pPr>
        <w:ind w:firstLine="422"/>
        <w:jc w:val="left"/>
        <w:rPr>
          <w:rFonts w:ascii="宋体" w:hAnsi="宋体"/>
          <w:kern w:val="44"/>
        </w:rPr>
      </w:pPr>
      <w:r>
        <w:rPr>
          <w:rFonts w:hint="eastAsia" w:ascii="宋体" w:hAnsi="宋体"/>
          <w:b/>
          <w:kern w:val="44"/>
        </w:rPr>
        <w:t>第十六条</w:t>
      </w:r>
      <w:r>
        <w:rPr>
          <w:rFonts w:hint="eastAsia" w:ascii="宋体" w:hAnsi="宋体"/>
          <w:kern w:val="44"/>
        </w:rPr>
        <w:t>　本市行政区域内的国家机关、社会团体、企业事业单位、其他组织和个体工商户，在批准成立或者领取营业执照之日起30日内，建设单位在固定资产投资新开工项目开工前，必须到市或者区、县统计局办理统计登记，并按照规定报送统计调查表。</w:t>
      </w:r>
    </w:p>
    <w:p w14:paraId="541A5075">
      <w:pPr>
        <w:jc w:val="left"/>
        <w:rPr>
          <w:rFonts w:ascii="宋体" w:hAnsi="宋体"/>
          <w:kern w:val="44"/>
        </w:rPr>
      </w:pPr>
      <w:r>
        <w:rPr>
          <w:rFonts w:hint="eastAsia" w:ascii="宋体" w:hAnsi="宋体"/>
          <w:kern w:val="44"/>
        </w:rPr>
        <w:t>已办理统计登记的，隶属关系、经营范围和地址等发生变化，应当自变更之日起30日内，到原登记的统计局办理变更或者注销登记。</w:t>
      </w:r>
    </w:p>
    <w:p w14:paraId="6D82EB0F">
      <w:pPr>
        <w:jc w:val="left"/>
        <w:rPr>
          <w:rFonts w:ascii="宋体" w:hAnsi="宋体"/>
          <w:kern w:val="44"/>
        </w:rPr>
      </w:pPr>
      <w:r>
        <w:rPr>
          <w:rFonts w:hint="eastAsia" w:ascii="宋体" w:hAnsi="宋体"/>
          <w:kern w:val="44"/>
        </w:rPr>
        <w:t>市和区、县人民政府工商行政、编办、民政、人事和其他有关部门，在其职能范围内所记录的国家机关、社会团体、企业事业单位、其他组织和个体工商户等统计调查对象的设立、变更、注销等资料，应当及时提供给同级统计局。</w:t>
      </w:r>
    </w:p>
    <w:p w14:paraId="5B96F65E">
      <w:pPr>
        <w:jc w:val="left"/>
        <w:rPr>
          <w:rFonts w:ascii="宋体" w:hAnsi="宋体"/>
          <w:kern w:val="44"/>
        </w:rPr>
      </w:pPr>
    </w:p>
    <w:p w14:paraId="0A348B27">
      <w:pPr>
        <w:ind w:firstLine="0" w:firstLineChars="0"/>
        <w:jc w:val="center"/>
        <w:rPr>
          <w:rFonts w:ascii="宋体" w:hAnsi="宋体"/>
          <w:b/>
          <w:kern w:val="44"/>
          <w:sz w:val="28"/>
        </w:rPr>
      </w:pPr>
      <w:r>
        <w:rPr>
          <w:rFonts w:hint="eastAsia" w:ascii="宋体" w:hAnsi="宋体"/>
          <w:b/>
          <w:kern w:val="44"/>
          <w:sz w:val="28"/>
        </w:rPr>
        <w:t>第四章　统计资料管理</w:t>
      </w:r>
    </w:p>
    <w:p w14:paraId="691A3148">
      <w:pPr>
        <w:jc w:val="left"/>
        <w:rPr>
          <w:rFonts w:ascii="宋体" w:hAnsi="宋体"/>
          <w:kern w:val="44"/>
        </w:rPr>
      </w:pPr>
    </w:p>
    <w:p w14:paraId="17DC7E15">
      <w:pPr>
        <w:ind w:firstLine="422"/>
        <w:jc w:val="left"/>
        <w:rPr>
          <w:rFonts w:ascii="宋体" w:hAnsi="宋体"/>
          <w:kern w:val="44"/>
        </w:rPr>
      </w:pPr>
      <w:r>
        <w:rPr>
          <w:rFonts w:hint="eastAsia" w:ascii="宋体" w:hAnsi="宋体"/>
          <w:b/>
          <w:kern w:val="44"/>
        </w:rPr>
        <w:t>第十七条</w:t>
      </w:r>
      <w:r>
        <w:rPr>
          <w:rFonts w:hint="eastAsia" w:ascii="宋体" w:hAnsi="宋体"/>
          <w:kern w:val="44"/>
        </w:rPr>
        <w:t>　本市建立健全统计数据质量监控和评估制度，加强对市和区、县国内生产总值等重要统计数据的监控和评估。</w:t>
      </w:r>
    </w:p>
    <w:p w14:paraId="1EF0262C">
      <w:pPr>
        <w:ind w:firstLine="422"/>
        <w:jc w:val="left"/>
        <w:rPr>
          <w:rFonts w:ascii="宋体" w:hAnsi="宋体"/>
          <w:kern w:val="44"/>
        </w:rPr>
      </w:pPr>
      <w:r>
        <w:rPr>
          <w:rFonts w:hint="eastAsia" w:ascii="宋体" w:hAnsi="宋体"/>
          <w:b/>
          <w:kern w:val="44"/>
        </w:rPr>
        <w:t>第十八条</w:t>
      </w:r>
      <w:r>
        <w:rPr>
          <w:rFonts w:hint="eastAsia" w:ascii="宋体" w:hAnsi="宋体"/>
          <w:kern w:val="44"/>
        </w:rPr>
        <w:t>　各部门和各单位必须依法建立和健全原始统计记录、统计台账以及统计资料的审核、交接、档案和保密等项管理制度。</w:t>
      </w:r>
    </w:p>
    <w:p w14:paraId="43AEC310">
      <w:pPr>
        <w:ind w:firstLine="422"/>
        <w:jc w:val="left"/>
        <w:rPr>
          <w:rFonts w:ascii="宋体" w:hAnsi="宋体"/>
          <w:kern w:val="44"/>
        </w:rPr>
      </w:pPr>
      <w:r>
        <w:rPr>
          <w:rFonts w:hint="eastAsia" w:ascii="宋体" w:hAnsi="宋体"/>
          <w:b/>
          <w:kern w:val="44"/>
        </w:rPr>
        <w:t>第十九条</w:t>
      </w:r>
      <w:r>
        <w:rPr>
          <w:rFonts w:hint="eastAsia" w:ascii="宋体" w:hAnsi="宋体"/>
          <w:kern w:val="44"/>
        </w:rPr>
        <w:t>　各部门、各单位必须按时提供真实的统计资料，不得迟报、拒报或者提供不真实统计资料。上报的统计资料必须经本部门或者本单位领导人审核、签署。</w:t>
      </w:r>
    </w:p>
    <w:p w14:paraId="3C3CF0D2">
      <w:pPr>
        <w:ind w:firstLine="422"/>
        <w:jc w:val="left"/>
        <w:rPr>
          <w:rFonts w:ascii="宋体" w:hAnsi="宋体"/>
          <w:kern w:val="44"/>
        </w:rPr>
      </w:pPr>
      <w:r>
        <w:rPr>
          <w:rFonts w:hint="eastAsia" w:ascii="宋体" w:hAnsi="宋体"/>
          <w:b/>
          <w:kern w:val="44"/>
        </w:rPr>
        <w:t>第二十条</w:t>
      </w:r>
      <w:r>
        <w:rPr>
          <w:rFonts w:hint="eastAsia" w:ascii="宋体" w:hAnsi="宋体"/>
          <w:kern w:val="44"/>
        </w:rPr>
        <w:t>　全市性统计数据以市统计局公布的数据为准。</w:t>
      </w:r>
    </w:p>
    <w:p w14:paraId="654F7583">
      <w:pPr>
        <w:jc w:val="left"/>
        <w:rPr>
          <w:rFonts w:ascii="宋体" w:hAnsi="宋体"/>
          <w:kern w:val="44"/>
        </w:rPr>
      </w:pPr>
      <w:r>
        <w:rPr>
          <w:rFonts w:hint="eastAsia" w:ascii="宋体" w:hAnsi="宋体"/>
          <w:kern w:val="44"/>
        </w:rPr>
        <w:t>市和区、县人民政府及其各部门，制定政策、计划，检查政策、计划执行情况，考核经济效益、社会效益和工作成绩，进行评比、表彰和奖励时所使用的统计资料，应当以市和区、县统计局提供或者核定的统计资料为准。</w:t>
      </w:r>
    </w:p>
    <w:p w14:paraId="490549C4">
      <w:pPr>
        <w:ind w:firstLine="422"/>
        <w:jc w:val="left"/>
        <w:rPr>
          <w:rFonts w:ascii="宋体" w:hAnsi="宋体"/>
          <w:kern w:val="44"/>
        </w:rPr>
      </w:pPr>
      <w:r>
        <w:rPr>
          <w:rFonts w:hint="eastAsia" w:ascii="宋体" w:hAnsi="宋体"/>
          <w:b/>
          <w:kern w:val="44"/>
        </w:rPr>
        <w:t>第二十一条</w:t>
      </w:r>
      <w:r>
        <w:rPr>
          <w:rFonts w:hint="eastAsia" w:ascii="宋体" w:hAnsi="宋体"/>
          <w:kern w:val="44"/>
        </w:rPr>
        <w:t>　市和区、县统计局负责审定、公布和出版本市或者本地区的基本统计资料，并及时发布统计公报及其他各类统计资料。</w:t>
      </w:r>
    </w:p>
    <w:p w14:paraId="63B107D1">
      <w:pPr>
        <w:jc w:val="left"/>
        <w:rPr>
          <w:rFonts w:ascii="宋体" w:hAnsi="宋体"/>
          <w:kern w:val="44"/>
        </w:rPr>
      </w:pPr>
      <w:r>
        <w:rPr>
          <w:rFonts w:hint="eastAsia" w:ascii="宋体" w:hAnsi="宋体"/>
          <w:kern w:val="44"/>
        </w:rPr>
        <w:t>市和区、县人民政府各部门公开发布本系统的统计资料，应当与同级统计局有关统计资料核对一致，并自公布之日起10日内报同级统计局备案。</w:t>
      </w:r>
    </w:p>
    <w:p w14:paraId="68D61875">
      <w:pPr>
        <w:jc w:val="left"/>
        <w:rPr>
          <w:rFonts w:ascii="宋体" w:hAnsi="宋体"/>
          <w:kern w:val="44"/>
        </w:rPr>
      </w:pPr>
      <w:r>
        <w:rPr>
          <w:rFonts w:hint="eastAsia" w:ascii="宋体" w:hAnsi="宋体"/>
          <w:kern w:val="44"/>
        </w:rPr>
        <w:t>宣传、新闻和出版单位需要发表尚未公布的国民经济和社会发展统计资料，全市性的，必须经市统计局核准；地区性的，必须经有关区、县统计局核准。所发表的统计资料应当注明提供单位。</w:t>
      </w:r>
    </w:p>
    <w:p w14:paraId="2D9FD4D2">
      <w:pPr>
        <w:ind w:firstLine="422"/>
        <w:jc w:val="left"/>
        <w:rPr>
          <w:rFonts w:ascii="宋体" w:hAnsi="宋体"/>
          <w:kern w:val="44"/>
        </w:rPr>
      </w:pPr>
      <w:r>
        <w:rPr>
          <w:rFonts w:hint="eastAsia" w:ascii="宋体" w:hAnsi="宋体"/>
          <w:b/>
          <w:kern w:val="44"/>
        </w:rPr>
        <w:t>第二十二条</w:t>
      </w:r>
      <w:r>
        <w:rPr>
          <w:rFonts w:hint="eastAsia" w:ascii="宋体" w:hAnsi="宋体"/>
          <w:kern w:val="44"/>
        </w:rPr>
        <w:t>　财政、税务、工商行政、海关以及其他负责专业性统计的部门和银行、保险、证券等单位，应当向市或者区、县统计局无偿提供开展政府统计调查需要的各项资料。</w:t>
      </w:r>
    </w:p>
    <w:p w14:paraId="7FBB04CE">
      <w:pPr>
        <w:ind w:firstLine="422"/>
        <w:jc w:val="left"/>
        <w:rPr>
          <w:rFonts w:ascii="宋体" w:hAnsi="宋体"/>
          <w:kern w:val="44"/>
        </w:rPr>
      </w:pPr>
      <w:r>
        <w:rPr>
          <w:rFonts w:hint="eastAsia" w:ascii="宋体" w:hAnsi="宋体"/>
          <w:b/>
          <w:kern w:val="44"/>
        </w:rPr>
        <w:t>第二十三条</w:t>
      </w:r>
      <w:r>
        <w:rPr>
          <w:rFonts w:hint="eastAsia" w:ascii="宋体" w:hAnsi="宋体"/>
          <w:kern w:val="44"/>
        </w:rPr>
        <w:t>　各级统计机构应当利用统计信息资源为国民经济和社会发展以及社会公众服务，实现统计信息资源社会共享。</w:t>
      </w:r>
    </w:p>
    <w:p w14:paraId="64DF5EEF">
      <w:pPr>
        <w:ind w:firstLine="422"/>
        <w:jc w:val="left"/>
        <w:rPr>
          <w:rFonts w:ascii="宋体" w:hAnsi="宋体"/>
          <w:kern w:val="44"/>
        </w:rPr>
      </w:pPr>
      <w:r>
        <w:rPr>
          <w:rFonts w:hint="eastAsia" w:ascii="宋体" w:hAnsi="宋体"/>
          <w:b/>
          <w:kern w:val="44"/>
        </w:rPr>
        <w:t>第二十四条</w:t>
      </w:r>
      <w:r>
        <w:rPr>
          <w:rFonts w:hint="eastAsia" w:ascii="宋体" w:hAnsi="宋体"/>
          <w:kern w:val="44"/>
        </w:rPr>
        <w:t>　属于国家秘密的统计资料，必须保密。属于私人、家庭的单项调查资料，非经本人同意，不得泄露。</w:t>
      </w:r>
    </w:p>
    <w:p w14:paraId="1ADB3991">
      <w:pPr>
        <w:jc w:val="left"/>
        <w:rPr>
          <w:rFonts w:ascii="宋体" w:hAnsi="宋体"/>
          <w:kern w:val="44"/>
        </w:rPr>
      </w:pPr>
      <w:r>
        <w:rPr>
          <w:rFonts w:hint="eastAsia" w:ascii="宋体" w:hAnsi="宋体"/>
          <w:kern w:val="44"/>
        </w:rPr>
        <w:t>统计机构、统计人员对在统计调查中知悉的统计调查对象的商业秘密，负有保密义务。</w:t>
      </w:r>
    </w:p>
    <w:p w14:paraId="26EA69A7">
      <w:pPr>
        <w:jc w:val="left"/>
        <w:rPr>
          <w:rFonts w:ascii="宋体" w:hAnsi="宋体"/>
          <w:kern w:val="44"/>
        </w:rPr>
      </w:pPr>
    </w:p>
    <w:p w14:paraId="462C1775">
      <w:pPr>
        <w:ind w:firstLine="0" w:firstLineChars="0"/>
        <w:jc w:val="center"/>
        <w:rPr>
          <w:rFonts w:ascii="宋体" w:hAnsi="宋体"/>
          <w:b/>
          <w:kern w:val="44"/>
          <w:sz w:val="28"/>
        </w:rPr>
      </w:pPr>
      <w:r>
        <w:rPr>
          <w:rFonts w:hint="eastAsia" w:ascii="宋体" w:hAnsi="宋体"/>
          <w:b/>
          <w:kern w:val="44"/>
          <w:sz w:val="28"/>
        </w:rPr>
        <w:t>第五章　统计检查和监督</w:t>
      </w:r>
    </w:p>
    <w:p w14:paraId="5EEBDEF6">
      <w:pPr>
        <w:jc w:val="left"/>
        <w:rPr>
          <w:rFonts w:ascii="宋体" w:hAnsi="宋体"/>
          <w:kern w:val="44"/>
        </w:rPr>
      </w:pPr>
    </w:p>
    <w:p w14:paraId="72573CA9">
      <w:pPr>
        <w:ind w:firstLine="422"/>
        <w:jc w:val="left"/>
        <w:rPr>
          <w:rFonts w:ascii="宋体" w:hAnsi="宋体"/>
          <w:kern w:val="44"/>
        </w:rPr>
      </w:pPr>
      <w:r>
        <w:rPr>
          <w:rFonts w:hint="eastAsia" w:ascii="宋体" w:hAnsi="宋体"/>
          <w:b/>
          <w:kern w:val="44"/>
        </w:rPr>
        <w:t>第二十五条</w:t>
      </w:r>
      <w:r>
        <w:rPr>
          <w:rFonts w:hint="eastAsia" w:ascii="宋体" w:hAnsi="宋体"/>
          <w:kern w:val="44"/>
        </w:rPr>
        <w:t>　市和区、县统计局的统计检查机构，在本行政区域内依法行使统计检查监督的职权，负责组织本行政区域内的统计检查和查处统计违法行为。</w:t>
      </w:r>
    </w:p>
    <w:p w14:paraId="0DCB195F">
      <w:pPr>
        <w:jc w:val="left"/>
        <w:rPr>
          <w:rFonts w:ascii="宋体" w:hAnsi="宋体"/>
          <w:kern w:val="44"/>
        </w:rPr>
      </w:pPr>
      <w:r>
        <w:rPr>
          <w:rFonts w:hint="eastAsia" w:ascii="宋体" w:hAnsi="宋体"/>
          <w:kern w:val="44"/>
        </w:rPr>
        <w:t>市和区、县人民政府各部门统计机构的兼职统计检查员，在同级统计局的指导下，负责组织本部门或者本系统的统计检查工作。</w:t>
      </w:r>
    </w:p>
    <w:p w14:paraId="6545DB9E">
      <w:pPr>
        <w:ind w:firstLine="422"/>
        <w:jc w:val="left"/>
        <w:rPr>
          <w:rFonts w:ascii="宋体" w:hAnsi="宋体"/>
          <w:kern w:val="44"/>
        </w:rPr>
      </w:pPr>
      <w:r>
        <w:rPr>
          <w:rFonts w:hint="eastAsia" w:ascii="宋体" w:hAnsi="宋体"/>
          <w:b/>
          <w:kern w:val="44"/>
        </w:rPr>
        <w:t>第二十六条</w:t>
      </w:r>
      <w:r>
        <w:rPr>
          <w:rFonts w:hint="eastAsia" w:ascii="宋体" w:hAnsi="宋体"/>
          <w:kern w:val="44"/>
        </w:rPr>
        <w:t>　统计检查员由市统计局统一组织培训，经考核合格后发给《统计检查证》。</w:t>
      </w:r>
    </w:p>
    <w:p w14:paraId="430322C6">
      <w:pPr>
        <w:jc w:val="left"/>
        <w:rPr>
          <w:rFonts w:ascii="宋体" w:hAnsi="宋体"/>
          <w:kern w:val="44"/>
        </w:rPr>
      </w:pPr>
      <w:r>
        <w:rPr>
          <w:rFonts w:hint="eastAsia" w:ascii="宋体" w:hAnsi="宋体"/>
          <w:kern w:val="44"/>
        </w:rPr>
        <w:t>统计检查员在执行统计检查监督任务时，应当出示《统计检查证》，不出示证件的，被检查单位有权拒绝接受检查。</w:t>
      </w:r>
    </w:p>
    <w:p w14:paraId="63C60057">
      <w:pPr>
        <w:ind w:firstLine="422"/>
        <w:jc w:val="left"/>
        <w:rPr>
          <w:rFonts w:ascii="宋体" w:hAnsi="宋体"/>
          <w:kern w:val="44"/>
        </w:rPr>
      </w:pPr>
      <w:r>
        <w:rPr>
          <w:rFonts w:hint="eastAsia" w:ascii="宋体" w:hAnsi="宋体"/>
          <w:b/>
          <w:kern w:val="44"/>
        </w:rPr>
        <w:t>第二十七条</w:t>
      </w:r>
      <w:r>
        <w:rPr>
          <w:rFonts w:hint="eastAsia" w:ascii="宋体" w:hAnsi="宋体"/>
          <w:kern w:val="44"/>
        </w:rPr>
        <w:t>　统计检查机构或者统计检查员在执行公务时，被检查单位和个人应当协助检查，如实提供原始统计记录、统计台账、统计调查表以及与统计有关的其他资料。</w:t>
      </w:r>
    </w:p>
    <w:p w14:paraId="3F482B18">
      <w:pPr>
        <w:ind w:firstLine="422"/>
        <w:jc w:val="left"/>
        <w:rPr>
          <w:rFonts w:ascii="宋体" w:hAnsi="宋体"/>
          <w:kern w:val="44"/>
        </w:rPr>
      </w:pPr>
      <w:r>
        <w:rPr>
          <w:rFonts w:hint="eastAsia" w:ascii="宋体" w:hAnsi="宋体"/>
          <w:b/>
          <w:kern w:val="44"/>
        </w:rPr>
        <w:t>第二十八条</w:t>
      </w:r>
      <w:r>
        <w:rPr>
          <w:rFonts w:hint="eastAsia" w:ascii="宋体" w:hAnsi="宋体"/>
          <w:kern w:val="44"/>
        </w:rPr>
        <w:t>　任何单位和个人，有权对违反统计法律、法规的行为检举、揭发和控告，并受法律保护，任何人不得打击报复。</w:t>
      </w:r>
    </w:p>
    <w:p w14:paraId="434548E2">
      <w:pPr>
        <w:jc w:val="left"/>
        <w:rPr>
          <w:rFonts w:ascii="宋体" w:hAnsi="宋体"/>
          <w:kern w:val="44"/>
        </w:rPr>
      </w:pPr>
    </w:p>
    <w:p w14:paraId="6D3B74BD">
      <w:pPr>
        <w:ind w:firstLine="0" w:firstLineChars="0"/>
        <w:jc w:val="center"/>
        <w:rPr>
          <w:rFonts w:ascii="宋体" w:hAnsi="宋体"/>
          <w:b/>
          <w:kern w:val="44"/>
          <w:sz w:val="28"/>
        </w:rPr>
      </w:pPr>
      <w:r>
        <w:rPr>
          <w:rFonts w:hint="eastAsia" w:ascii="宋体" w:hAnsi="宋体"/>
          <w:b/>
          <w:kern w:val="44"/>
          <w:sz w:val="28"/>
        </w:rPr>
        <w:t>第六章　法律责任</w:t>
      </w:r>
    </w:p>
    <w:p w14:paraId="0368B8F1">
      <w:pPr>
        <w:jc w:val="left"/>
        <w:rPr>
          <w:rFonts w:ascii="宋体" w:hAnsi="宋体"/>
          <w:kern w:val="44"/>
        </w:rPr>
      </w:pPr>
    </w:p>
    <w:p w14:paraId="4F8B6AD6">
      <w:pPr>
        <w:ind w:firstLine="422"/>
        <w:jc w:val="left"/>
        <w:rPr>
          <w:rFonts w:ascii="宋体" w:hAnsi="宋体"/>
          <w:kern w:val="44"/>
        </w:rPr>
      </w:pPr>
      <w:r>
        <w:rPr>
          <w:rFonts w:hint="eastAsia" w:ascii="宋体" w:hAnsi="宋体"/>
          <w:b/>
          <w:kern w:val="44"/>
        </w:rPr>
        <w:t>第二十九条</w:t>
      </w:r>
      <w:r>
        <w:rPr>
          <w:rFonts w:hint="eastAsia" w:ascii="宋体" w:hAnsi="宋体"/>
          <w:kern w:val="44"/>
        </w:rPr>
        <w:t>　各级人民政府、各部门和各单位的领导人自行修改统计资料、编造虚假数据或者强令、授意统计机构、统计人员篡改统计资料或者编造虚假数据的，依法给予行政处分，市或者区、县统计局予以通报批评。</w:t>
      </w:r>
    </w:p>
    <w:p w14:paraId="7C599777">
      <w:pPr>
        <w:jc w:val="left"/>
        <w:rPr>
          <w:rFonts w:ascii="宋体" w:hAnsi="宋体"/>
          <w:kern w:val="44"/>
        </w:rPr>
      </w:pPr>
      <w:r>
        <w:rPr>
          <w:rFonts w:hint="eastAsia" w:ascii="宋体" w:hAnsi="宋体"/>
          <w:kern w:val="44"/>
        </w:rPr>
        <w:t>各级人民政府、各部门和各单位的领导人对拒绝、抵制篡改统计资料或者对拒绝、抵制编造虚假数据行为的统计人员进行打击报复的，依法给予行政处分；构成犯罪的，依法追究刑事责任。</w:t>
      </w:r>
    </w:p>
    <w:p w14:paraId="040A6B4A">
      <w:pPr>
        <w:ind w:firstLine="422"/>
        <w:jc w:val="left"/>
        <w:rPr>
          <w:rFonts w:ascii="宋体" w:hAnsi="宋体"/>
          <w:kern w:val="44"/>
        </w:rPr>
      </w:pPr>
      <w:r>
        <w:rPr>
          <w:rFonts w:hint="eastAsia" w:ascii="宋体" w:hAnsi="宋体"/>
          <w:b/>
          <w:kern w:val="44"/>
        </w:rPr>
        <w:t>第三十条</w:t>
      </w:r>
      <w:r>
        <w:rPr>
          <w:rFonts w:hint="eastAsia" w:ascii="宋体" w:hAnsi="宋体"/>
          <w:kern w:val="44"/>
        </w:rPr>
        <w:t>　企业事业单位和其他组织违反本条例规定有下列行为之一的，由市或者区、县统计局予以警告，可以并处罚款：</w:t>
      </w:r>
    </w:p>
    <w:p w14:paraId="1A99AD1C">
      <w:pPr>
        <w:jc w:val="left"/>
        <w:rPr>
          <w:rFonts w:ascii="宋体" w:hAnsi="宋体"/>
          <w:kern w:val="44"/>
        </w:rPr>
      </w:pPr>
      <w:r>
        <w:rPr>
          <w:rFonts w:hint="eastAsia" w:ascii="宋体" w:hAnsi="宋体"/>
          <w:kern w:val="44"/>
        </w:rPr>
        <w:t>（一）提供不真实统计资料的，可以处2万元以下罚款；情节严重的，可以处2万元以上5万元以下罚款。</w:t>
      </w:r>
    </w:p>
    <w:p w14:paraId="265480AB">
      <w:pPr>
        <w:jc w:val="left"/>
        <w:rPr>
          <w:rFonts w:ascii="宋体" w:hAnsi="宋体"/>
          <w:kern w:val="44"/>
        </w:rPr>
      </w:pPr>
      <w:r>
        <w:rPr>
          <w:rFonts w:hint="eastAsia" w:ascii="宋体" w:hAnsi="宋体"/>
          <w:kern w:val="44"/>
        </w:rPr>
        <w:t>（二）拒报或者屡次迟报统计资料的，可以处2万元以下罚款。</w:t>
      </w:r>
    </w:p>
    <w:p w14:paraId="3B1DFD1A">
      <w:pPr>
        <w:jc w:val="left"/>
        <w:rPr>
          <w:rFonts w:ascii="宋体" w:hAnsi="宋体"/>
          <w:kern w:val="44"/>
        </w:rPr>
      </w:pPr>
      <w:r>
        <w:rPr>
          <w:rFonts w:hint="eastAsia" w:ascii="宋体" w:hAnsi="宋体"/>
          <w:kern w:val="44"/>
        </w:rPr>
        <w:t>个体工商户有前款违法行为之一的，由市或者区、县统计局予以警告，可以并处1万元以下罚款。</w:t>
      </w:r>
    </w:p>
    <w:p w14:paraId="7D9E2C74">
      <w:pPr>
        <w:ind w:firstLine="422"/>
        <w:jc w:val="left"/>
        <w:rPr>
          <w:rFonts w:ascii="宋体" w:hAnsi="宋体"/>
          <w:kern w:val="44"/>
        </w:rPr>
      </w:pPr>
      <w:r>
        <w:rPr>
          <w:rFonts w:hint="eastAsia" w:ascii="宋体" w:hAnsi="宋体"/>
          <w:b/>
          <w:kern w:val="44"/>
        </w:rPr>
        <w:t>第三十一条</w:t>
      </w:r>
      <w:r>
        <w:rPr>
          <w:rFonts w:hint="eastAsia" w:ascii="宋体" w:hAnsi="宋体"/>
          <w:kern w:val="44"/>
        </w:rPr>
        <w:t>　利用统计调查损害社会公共利益或者进行欺诈活动的，由市或者区、县统计局责令改正，没收违法所得，可以并处违法所得1倍以上3倍以下罚款；没有违法所得的，可以处3万元以下罚款。</w:t>
      </w:r>
    </w:p>
    <w:p w14:paraId="1C7284DC">
      <w:pPr>
        <w:ind w:firstLine="422"/>
        <w:jc w:val="left"/>
        <w:rPr>
          <w:rFonts w:ascii="宋体" w:hAnsi="宋体"/>
          <w:kern w:val="44"/>
        </w:rPr>
      </w:pPr>
      <w:r>
        <w:rPr>
          <w:rFonts w:hint="eastAsia" w:ascii="宋体" w:hAnsi="宋体"/>
          <w:b/>
          <w:kern w:val="44"/>
        </w:rPr>
        <w:t>第三十二条</w:t>
      </w:r>
      <w:r>
        <w:rPr>
          <w:rFonts w:hint="eastAsia" w:ascii="宋体" w:hAnsi="宋体"/>
          <w:kern w:val="44"/>
        </w:rPr>
        <w:t>　对提供不真实统计资料骗取荣誉称号、物质奖励或者晋升职务的，由有关部门取消其荣誉称号、追缴物质奖励和撤销晋升的职务。</w:t>
      </w:r>
    </w:p>
    <w:p w14:paraId="215E00D5">
      <w:pPr>
        <w:ind w:firstLine="422"/>
        <w:jc w:val="left"/>
        <w:rPr>
          <w:rFonts w:ascii="宋体" w:hAnsi="宋体"/>
          <w:kern w:val="44"/>
        </w:rPr>
      </w:pPr>
      <w:r>
        <w:rPr>
          <w:rFonts w:hint="eastAsia" w:ascii="宋体" w:hAnsi="宋体"/>
          <w:b/>
          <w:kern w:val="44"/>
        </w:rPr>
        <w:t>第三十三条</w:t>
      </w:r>
      <w:r>
        <w:rPr>
          <w:rFonts w:hint="eastAsia" w:ascii="宋体" w:hAnsi="宋体"/>
          <w:kern w:val="44"/>
        </w:rPr>
        <w:t>　统计调查对象中的国家工作人员，有《中华人民共和国统计法实施细则》第三十二条所列行为之一的，市或者区、县统计局可以提出建议，由其所在单位或者其主管机关、监察机关给予行政处分。</w:t>
      </w:r>
    </w:p>
    <w:p w14:paraId="4F9A45A1">
      <w:pPr>
        <w:ind w:firstLine="422"/>
        <w:jc w:val="left"/>
        <w:rPr>
          <w:rFonts w:ascii="宋体" w:hAnsi="宋体"/>
          <w:kern w:val="44"/>
        </w:rPr>
      </w:pPr>
      <w:r>
        <w:rPr>
          <w:rFonts w:hint="eastAsia" w:ascii="宋体" w:hAnsi="宋体"/>
          <w:b/>
          <w:kern w:val="44"/>
        </w:rPr>
        <w:t>第三十四条</w:t>
      </w:r>
      <w:r>
        <w:rPr>
          <w:rFonts w:hint="eastAsia" w:ascii="宋体" w:hAnsi="宋体"/>
          <w:kern w:val="44"/>
        </w:rPr>
        <w:t>　各级人民政府统计机构的统计人员和统计检查人员，玩忽职守、徇私舞弊和滥用职权尚未构成犯罪的，其所在部门或者上级主管机关应当给予行政处分。</w:t>
      </w:r>
    </w:p>
    <w:p w14:paraId="52AFE5EF">
      <w:pPr>
        <w:ind w:firstLine="422"/>
        <w:jc w:val="left"/>
        <w:rPr>
          <w:rFonts w:ascii="宋体" w:hAnsi="宋体"/>
          <w:kern w:val="44"/>
        </w:rPr>
      </w:pPr>
      <w:r>
        <w:rPr>
          <w:rFonts w:hint="eastAsia" w:ascii="宋体" w:hAnsi="宋体"/>
          <w:b/>
          <w:kern w:val="44"/>
        </w:rPr>
        <w:t>第三十五条</w:t>
      </w:r>
      <w:r>
        <w:rPr>
          <w:rFonts w:hint="eastAsia" w:ascii="宋体" w:hAnsi="宋体"/>
          <w:kern w:val="44"/>
        </w:rPr>
        <w:t>　违反统计法律构成犯罪的，依法追究刑事责任。</w:t>
      </w:r>
    </w:p>
    <w:p w14:paraId="442D455B">
      <w:pPr>
        <w:jc w:val="left"/>
        <w:rPr>
          <w:rFonts w:ascii="宋体" w:hAnsi="宋体"/>
          <w:kern w:val="44"/>
        </w:rPr>
      </w:pPr>
    </w:p>
    <w:p w14:paraId="5140746E">
      <w:pPr>
        <w:ind w:firstLine="0" w:firstLineChars="0"/>
        <w:jc w:val="center"/>
        <w:rPr>
          <w:rFonts w:ascii="宋体" w:hAnsi="宋体"/>
          <w:b/>
          <w:kern w:val="44"/>
          <w:sz w:val="28"/>
        </w:rPr>
      </w:pPr>
      <w:r>
        <w:rPr>
          <w:rFonts w:hint="eastAsia" w:ascii="宋体" w:hAnsi="宋体"/>
          <w:b/>
          <w:kern w:val="44"/>
          <w:sz w:val="28"/>
        </w:rPr>
        <w:t>第七章　附　则</w:t>
      </w:r>
    </w:p>
    <w:p w14:paraId="2D6B20E0">
      <w:pPr>
        <w:jc w:val="left"/>
        <w:rPr>
          <w:rFonts w:ascii="宋体" w:hAnsi="宋体"/>
          <w:kern w:val="44"/>
        </w:rPr>
      </w:pPr>
    </w:p>
    <w:p w14:paraId="25147CDC">
      <w:pPr>
        <w:ind w:firstLine="422"/>
        <w:jc w:val="left"/>
        <w:rPr>
          <w:rFonts w:ascii="宋体" w:hAnsi="宋体"/>
          <w:kern w:val="44"/>
        </w:rPr>
      </w:pPr>
      <w:r>
        <w:rPr>
          <w:rFonts w:hint="eastAsia" w:ascii="宋体" w:hAnsi="宋体"/>
          <w:b/>
          <w:kern w:val="44"/>
        </w:rPr>
        <w:t>第三十六条</w:t>
      </w:r>
      <w:r>
        <w:rPr>
          <w:rFonts w:hint="eastAsia" w:ascii="宋体" w:hAnsi="宋体"/>
          <w:kern w:val="44"/>
        </w:rPr>
        <w:t>　在本市行政区域内开展涉外社会调查活动，按照国家有关规定执行。</w:t>
      </w:r>
    </w:p>
    <w:p w14:paraId="2C2A1DC4">
      <w:pPr>
        <w:ind w:firstLine="422"/>
        <w:jc w:val="left"/>
        <w:rPr>
          <w:rFonts w:ascii="宋体" w:hAnsi="宋体"/>
          <w:kern w:val="44"/>
        </w:rPr>
      </w:pPr>
      <w:r>
        <w:rPr>
          <w:rFonts w:hint="eastAsia" w:ascii="宋体" w:hAnsi="宋体"/>
          <w:b/>
          <w:kern w:val="44"/>
        </w:rPr>
        <w:t>第三十七条</w:t>
      </w:r>
      <w:r>
        <w:rPr>
          <w:rFonts w:hint="eastAsia" w:ascii="宋体" w:hAnsi="宋体"/>
          <w:kern w:val="44"/>
        </w:rPr>
        <w:t>　本条例自1994年12月1日起施行。</w:t>
      </w:r>
    </w:p>
    <w:p w14:paraId="35A406FE">
      <w:pPr>
        <w:pStyle w:val="3"/>
        <w:pageBreakBefore/>
        <w:rPr>
          <w:kern w:val="44"/>
        </w:rPr>
      </w:pPr>
      <w:bookmarkStart w:id="1161" w:name="_Toc427651929"/>
      <w:bookmarkStart w:id="1162" w:name="_Toc428781635"/>
      <w:bookmarkStart w:id="1163" w:name="_Toc427651587"/>
      <w:bookmarkStart w:id="1164" w:name="_Toc422471309"/>
      <w:bookmarkStart w:id="1165" w:name="_Toc428780153"/>
      <w:r>
        <w:rPr>
          <w:rFonts w:hint="eastAsia"/>
          <w:kern w:val="44"/>
        </w:rPr>
        <w:t>（十）价格管理</w:t>
      </w:r>
      <w:bookmarkEnd w:id="1161"/>
      <w:bookmarkEnd w:id="1162"/>
      <w:bookmarkEnd w:id="1163"/>
      <w:bookmarkEnd w:id="1164"/>
      <w:bookmarkEnd w:id="1165"/>
    </w:p>
    <w:p w14:paraId="1DD092EF"/>
    <w:p w14:paraId="4572E062">
      <w:pPr>
        <w:pStyle w:val="4"/>
        <w:rPr>
          <w:kern w:val="44"/>
        </w:rPr>
      </w:pPr>
      <w:bookmarkStart w:id="1166" w:name="_Toc422471310"/>
      <w:bookmarkStart w:id="1167" w:name="_Toc428781636"/>
      <w:bookmarkStart w:id="1168" w:name="_Toc427651588"/>
      <w:bookmarkStart w:id="1169" w:name="_Toc428780154"/>
      <w:bookmarkStart w:id="1170" w:name="_Toc427651930"/>
      <w:r>
        <w:rPr>
          <w:rFonts w:hint="eastAsia"/>
          <w:kern w:val="44"/>
        </w:rPr>
        <w:t>北京市涉案财产价格</w:t>
      </w:r>
      <w:bookmarkEnd w:id="1166"/>
      <w:bookmarkStart w:id="1171" w:name="_Toc422471311"/>
      <w:r>
        <w:rPr>
          <w:rFonts w:hint="eastAsia"/>
          <w:kern w:val="44"/>
        </w:rPr>
        <w:t>鉴定管理办法</w:t>
      </w:r>
      <w:bookmarkEnd w:id="1167"/>
      <w:bookmarkEnd w:id="1168"/>
      <w:bookmarkEnd w:id="1169"/>
      <w:bookmarkEnd w:id="1170"/>
      <w:bookmarkEnd w:id="1171"/>
    </w:p>
    <w:p w14:paraId="77570405">
      <w:pPr>
        <w:ind w:left="630" w:leftChars="300" w:right="630" w:rightChars="300"/>
        <w:jc w:val="left"/>
        <w:rPr>
          <w:rFonts w:ascii="楷体" w:hAnsi="楷体" w:eastAsia="楷体"/>
          <w:kern w:val="44"/>
        </w:rPr>
      </w:pPr>
      <w:r>
        <w:rPr>
          <w:rFonts w:hint="eastAsia" w:ascii="楷体" w:hAnsi="楷体" w:eastAsia="楷体"/>
          <w:kern w:val="44"/>
        </w:rPr>
        <w:t>（1999年11月11日北京市人民政府第46号令发布　根据2007年11月23日北京市人民政府第200号令修改）</w:t>
      </w:r>
    </w:p>
    <w:p w14:paraId="7287E711">
      <w:pPr>
        <w:jc w:val="left"/>
        <w:rPr>
          <w:rFonts w:ascii="宋体" w:hAnsi="宋体"/>
          <w:kern w:val="44"/>
        </w:rPr>
      </w:pPr>
    </w:p>
    <w:p w14:paraId="3A3B57A9">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为了加强对本市涉案财产价格鉴定工作的管理，保护公民、法人和其他组织的合法权益，维护国家利益，保证司法和行政执法活动的正常进行，根据国家有关规定，结合本市实际情况，制定本办法。</w:t>
      </w:r>
    </w:p>
    <w:p w14:paraId="686DEACF">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在本市行政区域内进行涉案财产价格鉴定，应当遵守本办法。</w:t>
      </w:r>
    </w:p>
    <w:p w14:paraId="7AB02D2C">
      <w:pPr>
        <w:jc w:val="left"/>
        <w:rPr>
          <w:rFonts w:ascii="宋体" w:hAnsi="宋体"/>
          <w:kern w:val="44"/>
        </w:rPr>
      </w:pPr>
      <w:r>
        <w:rPr>
          <w:rFonts w:hint="eastAsia" w:ascii="宋体" w:hAnsi="宋体"/>
          <w:kern w:val="44"/>
        </w:rPr>
        <w:t>本办法所称涉案财产价格鉴定是指审判机关、检察机关、公安机关、仲裁机构等委托方（以下简称委托方），对办理、执行案件中涉及的财产价格委托价格鉴定机构进行鉴定和确认。其他行政执法机关对办理、执行案件中涉及的财产价格需要委托价格鉴定机构进行鉴定和确认的，依照本办法办理。</w:t>
      </w:r>
    </w:p>
    <w:p w14:paraId="0A7A47C3">
      <w:pPr>
        <w:jc w:val="left"/>
        <w:rPr>
          <w:rFonts w:ascii="宋体" w:hAnsi="宋体"/>
          <w:kern w:val="44"/>
        </w:rPr>
      </w:pPr>
      <w:r>
        <w:rPr>
          <w:rFonts w:hint="eastAsia" w:ascii="宋体" w:hAnsi="宋体"/>
          <w:kern w:val="44"/>
        </w:rPr>
        <w:t>法律、法规对涉案财产价格鉴定另有规定的，依照其规定。</w:t>
      </w:r>
    </w:p>
    <w:p w14:paraId="2C1FA7DE">
      <w:pPr>
        <w:ind w:firstLine="422"/>
        <w:jc w:val="left"/>
        <w:rPr>
          <w:rFonts w:ascii="宋体" w:hAnsi="宋体"/>
          <w:kern w:val="44"/>
        </w:rPr>
      </w:pPr>
      <w:r>
        <w:rPr>
          <w:rFonts w:hint="eastAsia" w:ascii="宋体" w:hAnsi="宋体"/>
          <w:b/>
          <w:kern w:val="44"/>
        </w:rPr>
        <w:t>第三条</w:t>
      </w:r>
      <w:r>
        <w:rPr>
          <w:rFonts w:hint="eastAsia" w:ascii="宋体" w:hAnsi="宋体"/>
          <w:kern w:val="44"/>
        </w:rPr>
        <w:t>　市人民政府价格主管部门负责本市涉案财产价格鉴定的管理、监督工作。</w:t>
      </w:r>
    </w:p>
    <w:p w14:paraId="32B7C9C0">
      <w:pPr>
        <w:ind w:firstLine="422"/>
        <w:jc w:val="left"/>
        <w:rPr>
          <w:rFonts w:ascii="宋体" w:hAnsi="宋体"/>
          <w:kern w:val="44"/>
        </w:rPr>
      </w:pPr>
      <w:r>
        <w:rPr>
          <w:rFonts w:hint="eastAsia" w:ascii="宋体" w:hAnsi="宋体"/>
          <w:b/>
          <w:kern w:val="44"/>
        </w:rPr>
        <w:t>第四条</w:t>
      </w:r>
      <w:r>
        <w:rPr>
          <w:rFonts w:hint="eastAsia" w:ascii="宋体" w:hAnsi="宋体"/>
          <w:kern w:val="44"/>
        </w:rPr>
        <w:t>　涉案财产价格鉴定机构和人员的资质、资格及执业范围，按照国家有关规定执行。</w:t>
      </w:r>
    </w:p>
    <w:p w14:paraId="40E8ACAC">
      <w:pPr>
        <w:jc w:val="left"/>
        <w:rPr>
          <w:rFonts w:ascii="宋体" w:hAnsi="宋体"/>
          <w:kern w:val="44"/>
        </w:rPr>
      </w:pPr>
      <w:r>
        <w:rPr>
          <w:rFonts w:hint="eastAsia" w:ascii="宋体" w:hAnsi="宋体"/>
          <w:kern w:val="44"/>
        </w:rPr>
        <w:t>市和区、县人民政府价格主管部门设立的价格认证机构承担涉及国家利益和公益性服务的涉案财产价格鉴定工作。</w:t>
      </w:r>
    </w:p>
    <w:p w14:paraId="4BA5E044">
      <w:pPr>
        <w:ind w:firstLine="422"/>
        <w:jc w:val="left"/>
        <w:rPr>
          <w:rFonts w:ascii="宋体" w:hAnsi="宋体"/>
          <w:kern w:val="44"/>
        </w:rPr>
      </w:pPr>
      <w:r>
        <w:rPr>
          <w:rFonts w:hint="eastAsia" w:ascii="宋体" w:hAnsi="宋体"/>
          <w:b/>
          <w:kern w:val="44"/>
        </w:rPr>
        <w:t>第五条</w:t>
      </w:r>
      <w:r>
        <w:rPr>
          <w:rFonts w:hint="eastAsia" w:ascii="宋体" w:hAnsi="宋体"/>
          <w:kern w:val="44"/>
        </w:rPr>
        <w:t>　涉案财产价格鉴定应当遵循客观、公正、及时、科学的原则。</w:t>
      </w:r>
    </w:p>
    <w:p w14:paraId="3AAA3B48">
      <w:pPr>
        <w:ind w:firstLine="422"/>
        <w:jc w:val="left"/>
        <w:rPr>
          <w:rFonts w:ascii="宋体" w:hAnsi="宋体"/>
          <w:kern w:val="44"/>
        </w:rPr>
      </w:pPr>
      <w:r>
        <w:rPr>
          <w:rFonts w:hint="eastAsia" w:ascii="宋体" w:hAnsi="宋体"/>
          <w:b/>
          <w:kern w:val="44"/>
        </w:rPr>
        <w:t>第六条</w:t>
      </w:r>
      <w:r>
        <w:rPr>
          <w:rFonts w:hint="eastAsia" w:ascii="宋体" w:hAnsi="宋体"/>
          <w:kern w:val="44"/>
        </w:rPr>
        <w:t>　涉案财产价格鉴定机构及其执业人员，必须遵守法律、法规和规章，执行国家和本市有关涉案财产价格鉴定的规定，严格执业，恪守信用，诚实服务，对涉案财产价格鉴定业务中涉及的情况和资料保密。</w:t>
      </w:r>
    </w:p>
    <w:p w14:paraId="7FF18D82">
      <w:pPr>
        <w:ind w:firstLine="422"/>
        <w:jc w:val="left"/>
        <w:rPr>
          <w:rFonts w:ascii="宋体" w:hAnsi="宋体"/>
          <w:kern w:val="44"/>
        </w:rPr>
      </w:pPr>
      <w:r>
        <w:rPr>
          <w:rFonts w:hint="eastAsia" w:ascii="宋体" w:hAnsi="宋体"/>
          <w:b/>
          <w:kern w:val="44"/>
        </w:rPr>
        <w:t>第七条</w:t>
      </w:r>
      <w:r>
        <w:rPr>
          <w:rFonts w:hint="eastAsia" w:ascii="宋体" w:hAnsi="宋体"/>
          <w:kern w:val="44"/>
        </w:rPr>
        <w:t>　委托方委托涉案财产价格鉴定机构进行涉案财产价格鉴定的，应当在案件处理、审理、裁决过程中或者涉案财产强制执行前进行。</w:t>
      </w:r>
    </w:p>
    <w:p w14:paraId="780026A8">
      <w:pPr>
        <w:jc w:val="left"/>
        <w:rPr>
          <w:rFonts w:ascii="宋体" w:hAnsi="宋体"/>
          <w:kern w:val="44"/>
        </w:rPr>
      </w:pPr>
      <w:r>
        <w:rPr>
          <w:rFonts w:hint="eastAsia" w:ascii="宋体" w:hAnsi="宋体"/>
          <w:kern w:val="44"/>
        </w:rPr>
        <w:t>委托方在委托时应当出具《北京市涉案财产价格鉴定委托书》，并提供鉴定机构指定的鉴定样品、资料及相应文件。</w:t>
      </w:r>
    </w:p>
    <w:p w14:paraId="36945083">
      <w:pPr>
        <w:ind w:firstLine="422"/>
        <w:jc w:val="left"/>
        <w:rPr>
          <w:rFonts w:ascii="宋体" w:hAnsi="宋体"/>
          <w:kern w:val="44"/>
        </w:rPr>
      </w:pPr>
      <w:r>
        <w:rPr>
          <w:rFonts w:hint="eastAsia" w:ascii="宋体" w:hAnsi="宋体"/>
          <w:b/>
          <w:kern w:val="44"/>
        </w:rPr>
        <w:t>第八条</w:t>
      </w:r>
      <w:r>
        <w:rPr>
          <w:rFonts w:hint="eastAsia" w:ascii="宋体" w:hAnsi="宋体"/>
          <w:kern w:val="44"/>
        </w:rPr>
        <w:t>　涉案财产价格鉴定机构接受委托后，应当指定2名以上涉案财产价格鉴定人员依法进行涉案财产价格鉴定。</w:t>
      </w:r>
    </w:p>
    <w:p w14:paraId="00948B60">
      <w:pPr>
        <w:ind w:firstLine="422"/>
        <w:jc w:val="left"/>
        <w:rPr>
          <w:rFonts w:ascii="宋体" w:hAnsi="宋体"/>
          <w:kern w:val="44"/>
        </w:rPr>
      </w:pPr>
      <w:r>
        <w:rPr>
          <w:rFonts w:hint="eastAsia" w:ascii="宋体" w:hAnsi="宋体"/>
          <w:b/>
          <w:kern w:val="44"/>
        </w:rPr>
        <w:t>第九条</w:t>
      </w:r>
      <w:r>
        <w:rPr>
          <w:rFonts w:hint="eastAsia" w:ascii="宋体" w:hAnsi="宋体"/>
          <w:kern w:val="44"/>
        </w:rPr>
        <w:t>　涉案财产价格鉴定机构应当在接到委托书之日起7日内作出鉴定结论，出具《北京市涉案财产价格鉴定结论书》，并送交委托方；委托时对涉案财产价格鉴定期限另有约定的，从其约定。</w:t>
      </w:r>
    </w:p>
    <w:p w14:paraId="77B6CCC9">
      <w:pPr>
        <w:jc w:val="left"/>
        <w:rPr>
          <w:rFonts w:ascii="宋体" w:hAnsi="宋体"/>
          <w:kern w:val="44"/>
        </w:rPr>
      </w:pPr>
      <w:r>
        <w:rPr>
          <w:rFonts w:hint="eastAsia" w:ascii="宋体" w:hAnsi="宋体"/>
          <w:kern w:val="44"/>
        </w:rPr>
        <w:t>《北京市涉案财产价格鉴定结论书》必须有涉案财产价格鉴定专职人员、涉案财产价格鉴定机构负责人的签名和机构印章。涉案财产价格鉴定机构依据本办法出具的《北京市涉案财产价格鉴定结论书》应当作为委托方处理、审理、裁决案件中确定涉案财产价格的依据。</w:t>
      </w:r>
    </w:p>
    <w:p w14:paraId="45211A8E">
      <w:pPr>
        <w:ind w:firstLine="422"/>
        <w:jc w:val="left"/>
        <w:rPr>
          <w:rFonts w:ascii="宋体" w:hAnsi="宋体"/>
          <w:kern w:val="44"/>
        </w:rPr>
      </w:pPr>
      <w:r>
        <w:rPr>
          <w:rFonts w:hint="eastAsia" w:ascii="宋体" w:hAnsi="宋体"/>
          <w:b/>
          <w:kern w:val="44"/>
        </w:rPr>
        <w:t>第十条</w:t>
      </w:r>
      <w:r>
        <w:rPr>
          <w:rFonts w:hint="eastAsia" w:ascii="宋体" w:hAnsi="宋体"/>
          <w:kern w:val="44"/>
        </w:rPr>
        <w:t>　涉案财产价格鉴定机构应当根据基准日当时、当地同类财产价格、质量、成新率、完工率等，对涉案财产价格进行鉴定。</w:t>
      </w:r>
    </w:p>
    <w:p w14:paraId="5AC35B0A">
      <w:pPr>
        <w:jc w:val="left"/>
        <w:rPr>
          <w:rFonts w:ascii="宋体" w:hAnsi="宋体"/>
          <w:kern w:val="44"/>
        </w:rPr>
      </w:pPr>
      <w:r>
        <w:rPr>
          <w:rFonts w:hint="eastAsia" w:ascii="宋体" w:hAnsi="宋体"/>
          <w:kern w:val="44"/>
        </w:rPr>
        <w:t>涉案财产价格鉴定的基准日，应当由委托方根据案件发生时的实际情况确定。但法律、法规另有规定的，依照其规定。</w:t>
      </w:r>
    </w:p>
    <w:p w14:paraId="49FC7925">
      <w:pPr>
        <w:ind w:firstLine="422"/>
        <w:jc w:val="left"/>
        <w:rPr>
          <w:rFonts w:ascii="宋体" w:hAnsi="宋体"/>
          <w:kern w:val="44"/>
        </w:rPr>
      </w:pPr>
      <w:r>
        <w:rPr>
          <w:rFonts w:hint="eastAsia" w:ascii="宋体" w:hAnsi="宋体"/>
          <w:b/>
          <w:kern w:val="44"/>
        </w:rPr>
        <w:t>第十一条</w:t>
      </w:r>
      <w:r>
        <w:rPr>
          <w:rFonts w:hint="eastAsia" w:ascii="宋体" w:hAnsi="宋体"/>
          <w:kern w:val="44"/>
        </w:rPr>
        <w:t>　对涉案财产的价格鉴定按下列规定办理：</w:t>
      </w:r>
    </w:p>
    <w:p w14:paraId="3AE1C5E4">
      <w:pPr>
        <w:jc w:val="left"/>
        <w:rPr>
          <w:rFonts w:ascii="宋体" w:hAnsi="宋体"/>
          <w:kern w:val="44"/>
        </w:rPr>
      </w:pPr>
      <w:r>
        <w:rPr>
          <w:rFonts w:hint="eastAsia" w:ascii="宋体" w:hAnsi="宋体"/>
          <w:kern w:val="44"/>
        </w:rPr>
        <w:t>（一）对流通领域的涉案财产，属于政府定价的，按政府定价计算；属于政府指导价的，按政府指导价的基准价计算；属于市场调节价的，按市场平均价格计算。</w:t>
      </w:r>
    </w:p>
    <w:p w14:paraId="1076495B">
      <w:pPr>
        <w:jc w:val="left"/>
        <w:rPr>
          <w:rFonts w:ascii="宋体" w:hAnsi="宋体"/>
          <w:kern w:val="44"/>
        </w:rPr>
      </w:pPr>
      <w:r>
        <w:rPr>
          <w:rFonts w:hint="eastAsia" w:ascii="宋体" w:hAnsi="宋体"/>
          <w:kern w:val="44"/>
        </w:rPr>
        <w:t>（二）对生产领域的涉案财产，按原材料、完工程度和进货成本折合计算。</w:t>
      </w:r>
    </w:p>
    <w:p w14:paraId="77051DD2">
      <w:pPr>
        <w:jc w:val="left"/>
        <w:rPr>
          <w:rFonts w:ascii="宋体" w:hAnsi="宋体"/>
          <w:kern w:val="44"/>
        </w:rPr>
      </w:pPr>
      <w:r>
        <w:rPr>
          <w:rFonts w:hint="eastAsia" w:ascii="宋体" w:hAnsi="宋体"/>
          <w:kern w:val="44"/>
        </w:rPr>
        <w:t>（三）对有使用价值的伪劣物品，按成新率、实际使用价值或者残值折合计算。</w:t>
      </w:r>
    </w:p>
    <w:p w14:paraId="30A86D5D">
      <w:pPr>
        <w:jc w:val="left"/>
        <w:rPr>
          <w:rFonts w:ascii="宋体" w:hAnsi="宋体"/>
          <w:kern w:val="44"/>
        </w:rPr>
      </w:pPr>
      <w:r>
        <w:rPr>
          <w:rFonts w:hint="eastAsia" w:ascii="宋体" w:hAnsi="宋体"/>
          <w:kern w:val="44"/>
        </w:rPr>
        <w:t>（四）对文物、艺术品、入境物品等特殊涉案财产，按国家和本市有关规定计算。</w:t>
      </w:r>
    </w:p>
    <w:p w14:paraId="45D98C30">
      <w:pPr>
        <w:jc w:val="left"/>
        <w:rPr>
          <w:rFonts w:ascii="宋体" w:hAnsi="宋体"/>
          <w:kern w:val="44"/>
        </w:rPr>
      </w:pPr>
      <w:r>
        <w:rPr>
          <w:rFonts w:hint="eastAsia" w:ascii="宋体" w:hAnsi="宋体"/>
          <w:kern w:val="44"/>
        </w:rPr>
        <w:t>（五）涉案财产价格鉴定机构根据委托方的要求，可以采用其他价格鉴定方法进行涉案财产价格鉴定，但法律、法规另有规定的，依照其规定。</w:t>
      </w:r>
    </w:p>
    <w:p w14:paraId="1992AB35">
      <w:pPr>
        <w:ind w:firstLine="422"/>
        <w:jc w:val="left"/>
        <w:rPr>
          <w:rFonts w:ascii="宋体" w:hAnsi="宋体"/>
          <w:kern w:val="44"/>
        </w:rPr>
      </w:pPr>
      <w:r>
        <w:rPr>
          <w:rFonts w:hint="eastAsia" w:ascii="宋体" w:hAnsi="宋体"/>
          <w:b/>
          <w:kern w:val="44"/>
        </w:rPr>
        <w:t>第十二条</w:t>
      </w:r>
      <w:r>
        <w:rPr>
          <w:rFonts w:hint="eastAsia" w:ascii="宋体" w:hAnsi="宋体"/>
          <w:kern w:val="44"/>
        </w:rPr>
        <w:t>　涉案财产价格鉴定机构需要对涉案财产进行质量检验和技术鉴定的，应当委托相应的法定专门机构办理，并将其检验鉴定的结论作为附件提供给委托方。</w:t>
      </w:r>
    </w:p>
    <w:p w14:paraId="686A0E10">
      <w:pPr>
        <w:ind w:firstLine="422"/>
        <w:jc w:val="left"/>
        <w:rPr>
          <w:rFonts w:ascii="宋体" w:hAnsi="宋体"/>
          <w:kern w:val="44"/>
        </w:rPr>
      </w:pPr>
      <w:r>
        <w:rPr>
          <w:rFonts w:hint="eastAsia" w:ascii="宋体" w:hAnsi="宋体"/>
          <w:b/>
          <w:kern w:val="44"/>
        </w:rPr>
        <w:t>第十三条</w:t>
      </w:r>
      <w:r>
        <w:rPr>
          <w:rFonts w:hint="eastAsia" w:ascii="宋体" w:hAnsi="宋体"/>
          <w:kern w:val="44"/>
        </w:rPr>
        <w:t>　市人民政府价格主管部门指定涉案财产价格鉴定复核裁定机构，根据国家涉案财产价格鉴定复核裁定的规定进行复核裁定。</w:t>
      </w:r>
    </w:p>
    <w:p w14:paraId="19C72C78">
      <w:pPr>
        <w:ind w:firstLine="422"/>
        <w:jc w:val="left"/>
        <w:rPr>
          <w:rFonts w:ascii="宋体" w:hAnsi="宋体"/>
          <w:kern w:val="44"/>
        </w:rPr>
      </w:pPr>
      <w:r>
        <w:rPr>
          <w:rFonts w:hint="eastAsia" w:ascii="宋体" w:hAnsi="宋体"/>
          <w:b/>
          <w:kern w:val="44"/>
        </w:rPr>
        <w:t>第十四条</w:t>
      </w:r>
      <w:r>
        <w:rPr>
          <w:rFonts w:hint="eastAsia" w:ascii="宋体" w:hAnsi="宋体"/>
          <w:kern w:val="44"/>
        </w:rPr>
        <w:t>　委托方对《北京市涉案财产价格鉴定结论书》有异议的，应当在接到《北京市涉案财产价格鉴定结论书》之日起15日内向原价格鉴定机构提出重新鉴定，或者向涉案财产价格鉴定复核裁定机构提出复核裁定。</w:t>
      </w:r>
    </w:p>
    <w:p w14:paraId="3FE0D22C">
      <w:pPr>
        <w:jc w:val="left"/>
        <w:rPr>
          <w:rFonts w:ascii="宋体" w:hAnsi="宋体"/>
          <w:kern w:val="44"/>
        </w:rPr>
      </w:pPr>
      <w:r>
        <w:rPr>
          <w:rFonts w:hint="eastAsia" w:ascii="宋体" w:hAnsi="宋体"/>
          <w:kern w:val="44"/>
        </w:rPr>
        <w:t>重新鉴定或者复核裁定应当在接到重新鉴定或者复核裁定要求之日起15日内完成，并送交委托方。</w:t>
      </w:r>
    </w:p>
    <w:p w14:paraId="76090C51">
      <w:pPr>
        <w:jc w:val="left"/>
        <w:rPr>
          <w:rFonts w:ascii="宋体" w:hAnsi="宋体"/>
          <w:kern w:val="44"/>
        </w:rPr>
      </w:pPr>
      <w:r>
        <w:rPr>
          <w:rFonts w:hint="eastAsia" w:ascii="宋体" w:hAnsi="宋体"/>
          <w:kern w:val="44"/>
        </w:rPr>
        <w:t>委托方对复核裁定结论仍有异议的，可以向国家发展和改革委员会设立的涉案财产价格鉴定机构提出最终复核裁定。</w:t>
      </w:r>
    </w:p>
    <w:p w14:paraId="5181F320">
      <w:pPr>
        <w:ind w:firstLine="422"/>
        <w:jc w:val="left"/>
        <w:rPr>
          <w:rFonts w:ascii="宋体" w:hAnsi="宋体"/>
          <w:kern w:val="44"/>
        </w:rPr>
      </w:pPr>
      <w:r>
        <w:rPr>
          <w:rFonts w:hint="eastAsia" w:ascii="宋体" w:hAnsi="宋体"/>
          <w:b/>
          <w:kern w:val="44"/>
        </w:rPr>
        <w:t>第十五条</w:t>
      </w:r>
      <w:r>
        <w:rPr>
          <w:rFonts w:hint="eastAsia" w:ascii="宋体" w:hAnsi="宋体"/>
          <w:kern w:val="44"/>
        </w:rPr>
        <w:t>　涉案财产价格鉴定人员对涉案财产价格进行鉴定时，有下列情形之一的，应当自行回避，委托方也有权要求其回避：</w:t>
      </w:r>
    </w:p>
    <w:p w14:paraId="571C8B51">
      <w:pPr>
        <w:jc w:val="left"/>
        <w:rPr>
          <w:rFonts w:ascii="宋体" w:hAnsi="宋体"/>
          <w:kern w:val="44"/>
        </w:rPr>
      </w:pPr>
      <w:r>
        <w:rPr>
          <w:rFonts w:hint="eastAsia" w:ascii="宋体" w:hAnsi="宋体"/>
          <w:kern w:val="44"/>
        </w:rPr>
        <w:t>（一）本案当事人或者当事人的近亲属；</w:t>
      </w:r>
    </w:p>
    <w:p w14:paraId="199458C4">
      <w:pPr>
        <w:jc w:val="left"/>
        <w:rPr>
          <w:rFonts w:ascii="宋体" w:hAnsi="宋体"/>
          <w:kern w:val="44"/>
        </w:rPr>
      </w:pPr>
      <w:r>
        <w:rPr>
          <w:rFonts w:hint="eastAsia" w:ascii="宋体" w:hAnsi="宋体"/>
          <w:kern w:val="44"/>
        </w:rPr>
        <w:t>（二）本人或者其近亲属与本案有关系的；</w:t>
      </w:r>
    </w:p>
    <w:p w14:paraId="678AF7CF">
      <w:pPr>
        <w:jc w:val="left"/>
        <w:rPr>
          <w:rFonts w:ascii="宋体" w:hAnsi="宋体"/>
          <w:kern w:val="44"/>
        </w:rPr>
      </w:pPr>
      <w:r>
        <w:rPr>
          <w:rFonts w:hint="eastAsia" w:ascii="宋体" w:hAnsi="宋体"/>
          <w:kern w:val="44"/>
        </w:rPr>
        <w:t>（三）与本案当事人有其他利害关系，可能影响对涉案财产公正价格鉴定的。</w:t>
      </w:r>
    </w:p>
    <w:p w14:paraId="3E746860">
      <w:pPr>
        <w:jc w:val="left"/>
        <w:rPr>
          <w:rFonts w:ascii="宋体" w:hAnsi="宋体"/>
          <w:kern w:val="44"/>
        </w:rPr>
      </w:pPr>
      <w:r>
        <w:rPr>
          <w:rFonts w:hint="eastAsia" w:ascii="宋体" w:hAnsi="宋体"/>
          <w:kern w:val="44"/>
        </w:rPr>
        <w:t>委托方要求涉案财产价格鉴定人员回避的，由市或者区、县人民政府价格主管部门决定。</w:t>
      </w:r>
    </w:p>
    <w:p w14:paraId="45871C29">
      <w:pPr>
        <w:ind w:firstLine="422"/>
        <w:jc w:val="left"/>
        <w:rPr>
          <w:rFonts w:ascii="宋体" w:hAnsi="宋体"/>
          <w:kern w:val="44"/>
        </w:rPr>
      </w:pPr>
      <w:r>
        <w:rPr>
          <w:rFonts w:hint="eastAsia" w:ascii="宋体" w:hAnsi="宋体"/>
          <w:b/>
          <w:kern w:val="44"/>
        </w:rPr>
        <w:t>第十六条</w:t>
      </w:r>
      <w:r>
        <w:rPr>
          <w:rFonts w:hint="eastAsia" w:ascii="宋体" w:hAnsi="宋体"/>
          <w:kern w:val="44"/>
        </w:rPr>
        <w:t>　《北京市涉案财产价格鉴定委托书》、《北京市涉案财产价格鉴定结论书》、《北京市涉案财产价格鉴定复核结论书》等规范性涉案财产价格鉴定文书，由市人民政府价格主管部门统一印制。</w:t>
      </w:r>
    </w:p>
    <w:p w14:paraId="1D2B7405">
      <w:pPr>
        <w:ind w:firstLine="422"/>
        <w:jc w:val="left"/>
        <w:rPr>
          <w:rFonts w:ascii="宋体" w:hAnsi="宋体"/>
          <w:kern w:val="44"/>
        </w:rPr>
      </w:pPr>
      <w:r>
        <w:rPr>
          <w:rFonts w:hint="eastAsia" w:ascii="宋体" w:hAnsi="宋体"/>
          <w:b/>
          <w:kern w:val="44"/>
        </w:rPr>
        <w:t>第十七条</w:t>
      </w:r>
      <w:r>
        <w:rPr>
          <w:rFonts w:hint="eastAsia" w:ascii="宋体" w:hAnsi="宋体"/>
          <w:kern w:val="44"/>
        </w:rPr>
        <w:t>　涉案财产价格鉴定收费按国家和本市有关规定执行。</w:t>
      </w:r>
    </w:p>
    <w:p w14:paraId="2DA2E665">
      <w:pPr>
        <w:ind w:firstLine="422"/>
        <w:jc w:val="left"/>
        <w:rPr>
          <w:rFonts w:ascii="宋体" w:hAnsi="宋体"/>
          <w:kern w:val="44"/>
        </w:rPr>
      </w:pPr>
      <w:r>
        <w:rPr>
          <w:rFonts w:hint="eastAsia" w:ascii="宋体" w:hAnsi="宋体"/>
          <w:b/>
          <w:kern w:val="44"/>
        </w:rPr>
        <w:t>第十八条</w:t>
      </w:r>
      <w:r>
        <w:rPr>
          <w:rFonts w:hint="eastAsia" w:ascii="宋体" w:hAnsi="宋体"/>
          <w:kern w:val="44"/>
        </w:rPr>
        <w:t>　因提供虚假情况和资料，致使涉案财产价格鉴定结论失实，造成当事人人身伤害和财产损失的，由提供方承担法律责任。</w:t>
      </w:r>
    </w:p>
    <w:p w14:paraId="60C2B130">
      <w:pPr>
        <w:ind w:firstLine="422"/>
        <w:jc w:val="left"/>
        <w:rPr>
          <w:rFonts w:ascii="宋体" w:hAnsi="宋体"/>
          <w:kern w:val="44"/>
        </w:rPr>
      </w:pPr>
      <w:r>
        <w:rPr>
          <w:rFonts w:hint="eastAsia" w:ascii="宋体" w:hAnsi="宋体"/>
          <w:b/>
          <w:kern w:val="44"/>
        </w:rPr>
        <w:t>第十九条</w:t>
      </w:r>
      <w:r>
        <w:rPr>
          <w:rFonts w:hint="eastAsia" w:ascii="宋体" w:hAnsi="宋体"/>
          <w:kern w:val="44"/>
        </w:rPr>
        <w:t>　未经市人民政府价格主管部门指定，擅自从事涉案财产价格鉴定业务的，其所出具的涉案财产价格鉴定结论无效，并由市人民政府价格主管部门对单位处以1万元以下的罚款，对个人处以1000元以下的罚款。</w:t>
      </w:r>
    </w:p>
    <w:p w14:paraId="597FD9BD">
      <w:pPr>
        <w:ind w:firstLine="422"/>
        <w:jc w:val="left"/>
        <w:rPr>
          <w:rFonts w:ascii="宋体" w:hAnsi="宋体"/>
          <w:kern w:val="44"/>
        </w:rPr>
      </w:pPr>
      <w:r>
        <w:rPr>
          <w:rFonts w:hint="eastAsia" w:ascii="宋体" w:hAnsi="宋体"/>
          <w:b/>
          <w:kern w:val="44"/>
        </w:rPr>
        <w:t>第二十条</w:t>
      </w:r>
      <w:r>
        <w:rPr>
          <w:rFonts w:hint="eastAsia" w:ascii="宋体" w:hAnsi="宋体"/>
          <w:kern w:val="44"/>
        </w:rPr>
        <w:t>　涉案财产价格鉴定机构、人员违反本办法规定，致使涉案财产价格鉴定结论失实，由市人民政府价格主管部门裁定结论无效，处以警告，并可对机构处以3万元以下罚款，对人员处以1000元以下罚款。</w:t>
      </w:r>
    </w:p>
    <w:p w14:paraId="4E24C58B">
      <w:pPr>
        <w:ind w:firstLine="422"/>
        <w:jc w:val="left"/>
        <w:rPr>
          <w:rFonts w:ascii="宋体" w:hAnsi="宋体"/>
          <w:kern w:val="44"/>
        </w:rPr>
      </w:pPr>
      <w:r>
        <w:rPr>
          <w:rFonts w:hint="eastAsia" w:ascii="宋体" w:hAnsi="宋体"/>
          <w:b/>
          <w:kern w:val="44"/>
        </w:rPr>
        <w:t>第二十一条</w:t>
      </w:r>
      <w:r>
        <w:rPr>
          <w:rFonts w:hint="eastAsia" w:ascii="宋体" w:hAnsi="宋体"/>
          <w:kern w:val="44"/>
        </w:rPr>
        <w:t>　涉案财产价格鉴定人员在鉴定过程中滥用职权、玩忽职守、徇私舞弊构成犯罪的，依法追究刑事责任。尚未构成犯罪的，由市和区、县人民政府价格主管部门或者行政监察部门给予行政处分。</w:t>
      </w:r>
    </w:p>
    <w:p w14:paraId="27CD1218">
      <w:pPr>
        <w:ind w:firstLine="422"/>
        <w:jc w:val="left"/>
        <w:rPr>
          <w:rFonts w:ascii="宋体" w:hAnsi="宋体"/>
          <w:kern w:val="44"/>
        </w:rPr>
      </w:pPr>
      <w:r>
        <w:rPr>
          <w:rFonts w:hint="eastAsia" w:ascii="宋体" w:hAnsi="宋体"/>
          <w:b/>
          <w:kern w:val="44"/>
        </w:rPr>
        <w:t>第二十二条</w:t>
      </w:r>
      <w:r>
        <w:rPr>
          <w:rFonts w:hint="eastAsia" w:ascii="宋体" w:hAnsi="宋体"/>
          <w:kern w:val="44"/>
        </w:rPr>
        <w:t>　对于不以价格作为处理、审理案件依据的财产，不需进行涉案财产价格鉴定。</w:t>
      </w:r>
    </w:p>
    <w:p w14:paraId="021B19E0">
      <w:pPr>
        <w:ind w:firstLine="422"/>
        <w:jc w:val="left"/>
        <w:rPr>
          <w:rFonts w:ascii="宋体" w:hAnsi="宋体"/>
          <w:kern w:val="44"/>
        </w:rPr>
      </w:pPr>
      <w:r>
        <w:rPr>
          <w:rFonts w:hint="eastAsia" w:ascii="宋体" w:hAnsi="宋体"/>
          <w:b/>
          <w:kern w:val="44"/>
        </w:rPr>
        <w:t>第二十三条</w:t>
      </w:r>
      <w:r>
        <w:rPr>
          <w:rFonts w:hint="eastAsia" w:ascii="宋体" w:hAnsi="宋体"/>
          <w:kern w:val="44"/>
        </w:rPr>
        <w:t>　非涉案财产需要进行价格鉴定的，可以参照本办法执行。</w:t>
      </w:r>
    </w:p>
    <w:p w14:paraId="662BDC0B">
      <w:pPr>
        <w:ind w:firstLine="422"/>
        <w:jc w:val="left"/>
        <w:rPr>
          <w:rFonts w:ascii="宋体" w:hAnsi="宋体"/>
          <w:kern w:val="44"/>
        </w:rPr>
      </w:pPr>
      <w:r>
        <w:rPr>
          <w:rFonts w:hint="eastAsia" w:ascii="宋体" w:hAnsi="宋体"/>
          <w:b/>
          <w:kern w:val="44"/>
        </w:rPr>
        <w:t>第二十四条</w:t>
      </w:r>
      <w:r>
        <w:rPr>
          <w:rFonts w:hint="eastAsia" w:ascii="宋体" w:hAnsi="宋体"/>
          <w:kern w:val="44"/>
        </w:rPr>
        <w:t>　本办法自1999年12月1日起施行。</w:t>
      </w:r>
    </w:p>
    <w:p w14:paraId="303E8882">
      <w:pPr>
        <w:pStyle w:val="4"/>
        <w:pageBreakBefore/>
        <w:rPr>
          <w:kern w:val="44"/>
        </w:rPr>
      </w:pPr>
      <w:bookmarkStart w:id="1172" w:name="_Toc422471312"/>
      <w:bookmarkStart w:id="1173" w:name="_Toc428781637"/>
      <w:bookmarkStart w:id="1174" w:name="_Toc427651931"/>
      <w:bookmarkStart w:id="1175" w:name="_Toc428780155"/>
      <w:bookmarkStart w:id="1176" w:name="_Toc427651589"/>
      <w:r>
        <w:rPr>
          <w:rFonts w:hint="eastAsia"/>
          <w:kern w:val="44"/>
        </w:rPr>
        <w:t>北京市价格监测办法</w:t>
      </w:r>
      <w:bookmarkEnd w:id="1172"/>
      <w:bookmarkEnd w:id="1173"/>
      <w:bookmarkEnd w:id="1174"/>
      <w:bookmarkEnd w:id="1175"/>
      <w:bookmarkEnd w:id="1176"/>
    </w:p>
    <w:p w14:paraId="234052F5">
      <w:pPr>
        <w:ind w:left="630" w:leftChars="300" w:right="630" w:rightChars="300"/>
        <w:jc w:val="left"/>
        <w:rPr>
          <w:rFonts w:ascii="楷体" w:hAnsi="楷体" w:eastAsia="楷体"/>
          <w:kern w:val="44"/>
        </w:rPr>
      </w:pPr>
      <w:r>
        <w:rPr>
          <w:rFonts w:hint="eastAsia" w:ascii="楷体" w:hAnsi="楷体" w:eastAsia="楷体"/>
          <w:kern w:val="44"/>
        </w:rPr>
        <w:t>（2011年10月11日市人民政府第105次常务会议审议通过  2011年10月19日北京市人民政府第240号令公布）</w:t>
      </w:r>
    </w:p>
    <w:p w14:paraId="78B11DC8">
      <w:pPr>
        <w:jc w:val="left"/>
        <w:rPr>
          <w:rFonts w:ascii="宋体" w:hAnsi="宋体"/>
          <w:kern w:val="44"/>
        </w:rPr>
      </w:pPr>
    </w:p>
    <w:p w14:paraId="115FAF1A">
      <w:pPr>
        <w:ind w:firstLine="422"/>
        <w:jc w:val="left"/>
        <w:rPr>
          <w:rFonts w:ascii="宋体" w:hAnsi="宋体"/>
          <w:kern w:val="44"/>
        </w:rPr>
      </w:pPr>
      <w:r>
        <w:rPr>
          <w:rFonts w:hint="eastAsia" w:ascii="宋体" w:hAnsi="宋体"/>
          <w:b/>
          <w:kern w:val="44"/>
        </w:rPr>
        <w:t>第一条</w:t>
      </w:r>
      <w:r>
        <w:rPr>
          <w:rFonts w:hint="eastAsia" w:ascii="宋体" w:hAnsi="宋体"/>
          <w:kern w:val="44"/>
        </w:rPr>
        <w:t>　为规范价格监测工作，保障价格监测信息的准确性和及时性，发挥价格监测在宏观经济调控中的作用，根据《中华人民共和国价格法》，结合本市实际情况，制定本办法。</w:t>
      </w:r>
    </w:p>
    <w:p w14:paraId="704455DB">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本办法适用于本市行政区域内的价格监测工作。</w:t>
      </w:r>
    </w:p>
    <w:p w14:paraId="5CF14336">
      <w:pPr>
        <w:jc w:val="left"/>
        <w:rPr>
          <w:rFonts w:ascii="宋体" w:hAnsi="宋体"/>
          <w:kern w:val="44"/>
        </w:rPr>
      </w:pPr>
      <w:r>
        <w:rPr>
          <w:rFonts w:hint="eastAsia" w:ascii="宋体" w:hAnsi="宋体"/>
          <w:kern w:val="44"/>
        </w:rPr>
        <w:t>本办法所称价格监测是指价格主管部门对重要商品和服务价格的相关信息进行跟踪、采集、分析、预警、报告的活动。</w:t>
      </w:r>
    </w:p>
    <w:p w14:paraId="521F5C7C">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价格主管部门负责本行政区域内的价格监测工作，组织实施价格监测报告制度；监测分析重要商品和服务价格及市场供求的变动情况；跟踪反馈价格政策和措施的执行效果；实施价格预测、预警，及时提出建议。</w:t>
      </w:r>
    </w:p>
    <w:p w14:paraId="1138A129">
      <w:pPr>
        <w:jc w:val="left"/>
        <w:rPr>
          <w:rFonts w:ascii="宋体" w:hAnsi="宋体"/>
          <w:kern w:val="44"/>
        </w:rPr>
      </w:pPr>
      <w:r>
        <w:rPr>
          <w:rFonts w:hint="eastAsia" w:ascii="宋体" w:hAnsi="宋体"/>
          <w:kern w:val="44"/>
        </w:rPr>
        <w:t>价格主管部门设立的价格监测机构具体承担价格监测工作。</w:t>
      </w:r>
    </w:p>
    <w:p w14:paraId="7E4CF88A">
      <w:pPr>
        <w:ind w:firstLine="422"/>
        <w:jc w:val="left"/>
        <w:rPr>
          <w:rFonts w:ascii="宋体" w:hAnsi="宋体"/>
          <w:kern w:val="44"/>
        </w:rPr>
      </w:pPr>
      <w:r>
        <w:rPr>
          <w:rFonts w:hint="eastAsia" w:ascii="宋体" w:hAnsi="宋体"/>
          <w:b/>
          <w:kern w:val="44"/>
        </w:rPr>
        <w:t>第四条</w:t>
      </w:r>
      <w:r>
        <w:rPr>
          <w:rFonts w:hint="eastAsia" w:ascii="宋体" w:hAnsi="宋体"/>
          <w:kern w:val="44"/>
        </w:rPr>
        <w:t>　本市对下列重要商品和服务实施价格监测：</w:t>
      </w:r>
    </w:p>
    <w:p w14:paraId="6587AA9F">
      <w:pPr>
        <w:jc w:val="left"/>
        <w:rPr>
          <w:rFonts w:ascii="宋体" w:hAnsi="宋体"/>
          <w:kern w:val="44"/>
        </w:rPr>
      </w:pPr>
      <w:r>
        <w:rPr>
          <w:rFonts w:hint="eastAsia" w:ascii="宋体" w:hAnsi="宋体"/>
          <w:kern w:val="44"/>
        </w:rPr>
        <w:t>（一）粮、油、肉、蛋、菜等农副产品；</w:t>
      </w:r>
    </w:p>
    <w:p w14:paraId="11709AEB">
      <w:pPr>
        <w:jc w:val="left"/>
        <w:rPr>
          <w:rFonts w:ascii="宋体" w:hAnsi="宋体"/>
          <w:kern w:val="44"/>
        </w:rPr>
      </w:pPr>
      <w:r>
        <w:rPr>
          <w:rFonts w:hint="eastAsia" w:ascii="宋体" w:hAnsi="宋体"/>
          <w:kern w:val="44"/>
        </w:rPr>
        <w:t>（二）钢材、水泥、有色金属等工业生产资料；</w:t>
      </w:r>
    </w:p>
    <w:p w14:paraId="31647BD1">
      <w:pPr>
        <w:jc w:val="left"/>
        <w:rPr>
          <w:rFonts w:ascii="宋体" w:hAnsi="宋体"/>
          <w:kern w:val="44"/>
        </w:rPr>
      </w:pPr>
      <w:r>
        <w:rPr>
          <w:rFonts w:hint="eastAsia" w:ascii="宋体" w:hAnsi="宋体"/>
          <w:kern w:val="44"/>
        </w:rPr>
        <w:t>（三）化肥、农膜、农药等农业生产资料；</w:t>
      </w:r>
    </w:p>
    <w:p w14:paraId="384FE748">
      <w:pPr>
        <w:jc w:val="left"/>
        <w:rPr>
          <w:rFonts w:ascii="宋体" w:hAnsi="宋体"/>
          <w:kern w:val="44"/>
        </w:rPr>
      </w:pPr>
      <w:r>
        <w:rPr>
          <w:rFonts w:hint="eastAsia" w:ascii="宋体" w:hAnsi="宋体"/>
          <w:kern w:val="44"/>
        </w:rPr>
        <w:t>（四）成品油、燃气、煤炭等能源产品；</w:t>
      </w:r>
    </w:p>
    <w:p w14:paraId="614A768E">
      <w:pPr>
        <w:jc w:val="left"/>
        <w:rPr>
          <w:rFonts w:ascii="宋体" w:hAnsi="宋体"/>
          <w:kern w:val="44"/>
        </w:rPr>
      </w:pPr>
      <w:r>
        <w:rPr>
          <w:rFonts w:hint="eastAsia" w:ascii="宋体" w:hAnsi="宋体"/>
          <w:kern w:val="44"/>
        </w:rPr>
        <w:t>（五）汽车、通讯设备、家用电器等机电产品；</w:t>
      </w:r>
    </w:p>
    <w:p w14:paraId="4DA22B26">
      <w:pPr>
        <w:jc w:val="left"/>
        <w:rPr>
          <w:rFonts w:ascii="宋体" w:hAnsi="宋体"/>
          <w:kern w:val="44"/>
        </w:rPr>
      </w:pPr>
      <w:r>
        <w:rPr>
          <w:rFonts w:hint="eastAsia" w:ascii="宋体" w:hAnsi="宋体"/>
          <w:kern w:val="44"/>
        </w:rPr>
        <w:t>（六）房屋买卖、租赁和土地出让；</w:t>
      </w:r>
    </w:p>
    <w:p w14:paraId="29D398D0">
      <w:pPr>
        <w:jc w:val="left"/>
        <w:rPr>
          <w:rFonts w:ascii="宋体" w:hAnsi="宋体"/>
          <w:kern w:val="44"/>
        </w:rPr>
      </w:pPr>
      <w:r>
        <w:rPr>
          <w:rFonts w:hint="eastAsia" w:ascii="宋体" w:hAnsi="宋体"/>
          <w:kern w:val="44"/>
        </w:rPr>
        <w:t>（七）医疗、教育、客货运输等服务；</w:t>
      </w:r>
    </w:p>
    <w:p w14:paraId="350CFEB5">
      <w:pPr>
        <w:jc w:val="left"/>
        <w:rPr>
          <w:rFonts w:ascii="宋体" w:hAnsi="宋体"/>
          <w:kern w:val="44"/>
        </w:rPr>
      </w:pPr>
      <w:r>
        <w:rPr>
          <w:rFonts w:hint="eastAsia" w:ascii="宋体" w:hAnsi="宋体"/>
          <w:kern w:val="44"/>
        </w:rPr>
        <w:t>（八）国家和本市确定的其他重要商品和服务。</w:t>
      </w:r>
    </w:p>
    <w:p w14:paraId="4E57F4A2">
      <w:pPr>
        <w:ind w:firstLine="422"/>
        <w:jc w:val="left"/>
        <w:rPr>
          <w:rFonts w:ascii="宋体" w:hAnsi="宋体"/>
          <w:kern w:val="44"/>
        </w:rPr>
      </w:pPr>
      <w:r>
        <w:rPr>
          <w:rFonts w:hint="eastAsia" w:ascii="宋体" w:hAnsi="宋体"/>
          <w:b/>
          <w:kern w:val="44"/>
        </w:rPr>
        <w:t>第五条</w:t>
      </w:r>
      <w:r>
        <w:rPr>
          <w:rFonts w:hint="eastAsia" w:ascii="宋体" w:hAnsi="宋体"/>
          <w:kern w:val="44"/>
        </w:rPr>
        <w:t>　市价格主管部门根据国家价格监测报告制度，结合实际情况，制定本市价格监测报告制度，确定重要商品和服务价格的具体监测项目，明确价格信息的采集、汇总、分析和报告办法。</w:t>
      </w:r>
    </w:p>
    <w:p w14:paraId="37091328">
      <w:pPr>
        <w:ind w:firstLine="422"/>
        <w:jc w:val="left"/>
        <w:rPr>
          <w:rFonts w:ascii="宋体" w:hAnsi="宋体"/>
          <w:kern w:val="44"/>
        </w:rPr>
      </w:pPr>
      <w:r>
        <w:rPr>
          <w:rFonts w:hint="eastAsia" w:ascii="宋体" w:hAnsi="宋体"/>
          <w:b/>
          <w:kern w:val="44"/>
        </w:rPr>
        <w:t>第六条</w:t>
      </w:r>
      <w:r>
        <w:rPr>
          <w:rFonts w:hint="eastAsia" w:ascii="宋体" w:hAnsi="宋体"/>
          <w:kern w:val="44"/>
        </w:rPr>
        <w:t>　价格监测涉及的单位和个人应当配合价格主管部门做好价格监测工作，如实提供价格相关信息。</w:t>
      </w:r>
    </w:p>
    <w:p w14:paraId="52ACBAD1">
      <w:pPr>
        <w:ind w:firstLine="422"/>
        <w:jc w:val="left"/>
        <w:rPr>
          <w:rFonts w:ascii="宋体" w:hAnsi="宋体"/>
          <w:kern w:val="44"/>
        </w:rPr>
      </w:pPr>
      <w:r>
        <w:rPr>
          <w:rFonts w:hint="eastAsia" w:ascii="宋体" w:hAnsi="宋体"/>
          <w:b/>
          <w:kern w:val="44"/>
        </w:rPr>
        <w:t>第七条</w:t>
      </w:r>
      <w:r>
        <w:rPr>
          <w:rFonts w:hint="eastAsia" w:ascii="宋体" w:hAnsi="宋体"/>
          <w:kern w:val="44"/>
        </w:rPr>
        <w:t>　价格监测包括常规监测、专项调查和应急监测等方式。</w:t>
      </w:r>
    </w:p>
    <w:p w14:paraId="1AD0821F">
      <w:pPr>
        <w:ind w:firstLine="422"/>
        <w:jc w:val="left"/>
        <w:rPr>
          <w:rFonts w:ascii="宋体" w:hAnsi="宋体"/>
          <w:kern w:val="44"/>
        </w:rPr>
      </w:pPr>
      <w:r>
        <w:rPr>
          <w:rFonts w:hint="eastAsia" w:ascii="宋体" w:hAnsi="宋体"/>
          <w:b/>
          <w:kern w:val="44"/>
        </w:rPr>
        <w:t>第八条</w:t>
      </w:r>
      <w:r>
        <w:rPr>
          <w:rFonts w:hint="eastAsia" w:ascii="宋体" w:hAnsi="宋体"/>
          <w:kern w:val="44"/>
        </w:rPr>
        <w:t>　价格主管部门根据本市价格监测报告制度，确定合法经营、信誉良好、具有行业代表性的经营者作为定点单位，开展常规监测。价格主管部门与定点单位可以签订协议。</w:t>
      </w:r>
    </w:p>
    <w:p w14:paraId="65221877">
      <w:pPr>
        <w:jc w:val="left"/>
        <w:rPr>
          <w:rFonts w:ascii="宋体" w:hAnsi="宋体"/>
          <w:kern w:val="44"/>
        </w:rPr>
      </w:pPr>
      <w:r>
        <w:rPr>
          <w:rFonts w:hint="eastAsia" w:ascii="宋体" w:hAnsi="宋体"/>
          <w:kern w:val="44"/>
        </w:rPr>
        <w:t>价格主管部门应当向定点单位颁发证书和标牌，并向社会公告。</w:t>
      </w:r>
    </w:p>
    <w:p w14:paraId="344AD1CF">
      <w:pPr>
        <w:ind w:firstLine="422"/>
        <w:jc w:val="left"/>
        <w:rPr>
          <w:rFonts w:ascii="宋体" w:hAnsi="宋体"/>
          <w:kern w:val="44"/>
        </w:rPr>
      </w:pPr>
      <w:r>
        <w:rPr>
          <w:rFonts w:hint="eastAsia" w:ascii="宋体" w:hAnsi="宋体"/>
          <w:b/>
          <w:kern w:val="44"/>
        </w:rPr>
        <w:t>第九条</w:t>
      </w:r>
      <w:r>
        <w:rPr>
          <w:rFonts w:hint="eastAsia" w:ascii="宋体" w:hAnsi="宋体"/>
          <w:kern w:val="44"/>
        </w:rPr>
        <w:t>　定点单位有权了解所提供商品和服务的本地区价格平均水平。</w:t>
      </w:r>
    </w:p>
    <w:p w14:paraId="30BC160C">
      <w:pPr>
        <w:jc w:val="left"/>
        <w:rPr>
          <w:rFonts w:ascii="宋体" w:hAnsi="宋体"/>
          <w:kern w:val="44"/>
        </w:rPr>
      </w:pPr>
      <w:r>
        <w:rPr>
          <w:rFonts w:hint="eastAsia" w:ascii="宋体" w:hAnsi="宋体"/>
          <w:kern w:val="44"/>
        </w:rPr>
        <w:t>定点单位应当建立价格监测台账，安排专职或者兼职人员，按照价格监测报告制度的要求，准确、及时、完整报送价格相关信息。</w:t>
      </w:r>
    </w:p>
    <w:p w14:paraId="3FCE9013">
      <w:pPr>
        <w:ind w:firstLine="422"/>
        <w:jc w:val="left"/>
        <w:rPr>
          <w:rFonts w:ascii="宋体" w:hAnsi="宋体"/>
          <w:kern w:val="44"/>
        </w:rPr>
      </w:pPr>
      <w:r>
        <w:rPr>
          <w:rFonts w:hint="eastAsia" w:ascii="宋体" w:hAnsi="宋体"/>
          <w:b/>
          <w:kern w:val="44"/>
        </w:rPr>
        <w:t>第十条</w:t>
      </w:r>
      <w:r>
        <w:rPr>
          <w:rFonts w:hint="eastAsia" w:ascii="宋体" w:hAnsi="宋体"/>
          <w:kern w:val="44"/>
        </w:rPr>
        <w:t>　定点单位因生产、经营调整，不能满足价格监测工作需要的，价格主管部门应当及时收回证书和标牌，并向社会公告。</w:t>
      </w:r>
    </w:p>
    <w:p w14:paraId="5EC34AD7">
      <w:pPr>
        <w:ind w:firstLine="422"/>
        <w:jc w:val="left"/>
        <w:rPr>
          <w:rFonts w:ascii="宋体" w:hAnsi="宋体"/>
          <w:kern w:val="44"/>
        </w:rPr>
      </w:pPr>
      <w:r>
        <w:rPr>
          <w:rFonts w:hint="eastAsia" w:ascii="宋体" w:hAnsi="宋体"/>
          <w:b/>
          <w:kern w:val="44"/>
        </w:rPr>
        <w:t>第十一条</w:t>
      </w:r>
      <w:r>
        <w:rPr>
          <w:rFonts w:hint="eastAsia" w:ascii="宋体" w:hAnsi="宋体"/>
          <w:kern w:val="44"/>
        </w:rPr>
        <w:t>　有下列情况之一的，价格主管部门可以开展专项调查：</w:t>
      </w:r>
    </w:p>
    <w:p w14:paraId="53C21319">
      <w:pPr>
        <w:jc w:val="left"/>
        <w:rPr>
          <w:rFonts w:ascii="宋体" w:hAnsi="宋体"/>
          <w:kern w:val="44"/>
        </w:rPr>
      </w:pPr>
      <w:r>
        <w:rPr>
          <w:rFonts w:hint="eastAsia" w:ascii="宋体" w:hAnsi="宋体"/>
          <w:kern w:val="44"/>
        </w:rPr>
        <w:t>（一）经济运行中的热点和难点问题；</w:t>
      </w:r>
    </w:p>
    <w:p w14:paraId="326BC0D3">
      <w:pPr>
        <w:jc w:val="left"/>
        <w:rPr>
          <w:rFonts w:ascii="宋体" w:hAnsi="宋体"/>
          <w:kern w:val="44"/>
        </w:rPr>
      </w:pPr>
      <w:r>
        <w:rPr>
          <w:rFonts w:hint="eastAsia" w:ascii="宋体" w:hAnsi="宋体"/>
          <w:kern w:val="44"/>
        </w:rPr>
        <w:t>（二）社会关注度较高的价格问题；</w:t>
      </w:r>
    </w:p>
    <w:p w14:paraId="763FB71A">
      <w:pPr>
        <w:jc w:val="left"/>
        <w:rPr>
          <w:rFonts w:ascii="宋体" w:hAnsi="宋体"/>
          <w:kern w:val="44"/>
        </w:rPr>
      </w:pPr>
      <w:r>
        <w:rPr>
          <w:rFonts w:hint="eastAsia" w:ascii="宋体" w:hAnsi="宋体"/>
          <w:kern w:val="44"/>
        </w:rPr>
        <w:t>（三）价格政策和措施的执行情况。</w:t>
      </w:r>
    </w:p>
    <w:p w14:paraId="08E5A9A7">
      <w:pPr>
        <w:ind w:firstLine="422"/>
        <w:jc w:val="left"/>
        <w:rPr>
          <w:rFonts w:ascii="宋体" w:hAnsi="宋体"/>
          <w:kern w:val="44"/>
        </w:rPr>
      </w:pPr>
      <w:r>
        <w:rPr>
          <w:rFonts w:hint="eastAsia" w:ascii="宋体" w:hAnsi="宋体"/>
          <w:b/>
          <w:kern w:val="44"/>
        </w:rPr>
        <w:t>第十二条</w:t>
      </w:r>
      <w:r>
        <w:rPr>
          <w:rFonts w:hint="eastAsia" w:ascii="宋体" w:hAnsi="宋体"/>
          <w:kern w:val="44"/>
        </w:rPr>
        <w:t>　专项调查应当明确调查对象，制定调查方案，获取特定商品和服务的价格相关信息，提供及时准确的情况和分析，为宏观经济调控提供参考。</w:t>
      </w:r>
    </w:p>
    <w:p w14:paraId="534E2576">
      <w:pPr>
        <w:ind w:firstLine="422"/>
        <w:jc w:val="left"/>
        <w:rPr>
          <w:rFonts w:ascii="宋体" w:hAnsi="宋体"/>
          <w:kern w:val="44"/>
        </w:rPr>
      </w:pPr>
      <w:r>
        <w:rPr>
          <w:rFonts w:hint="eastAsia" w:ascii="宋体" w:hAnsi="宋体"/>
          <w:b/>
          <w:kern w:val="44"/>
        </w:rPr>
        <w:t>第十三条</w:t>
      </w:r>
      <w:r>
        <w:rPr>
          <w:rFonts w:hint="eastAsia" w:ascii="宋体" w:hAnsi="宋体"/>
          <w:kern w:val="44"/>
        </w:rPr>
        <w:t>　有下列情况之一的，价格主管部门应当开展应急监测：</w:t>
      </w:r>
    </w:p>
    <w:p w14:paraId="2C33627E">
      <w:pPr>
        <w:jc w:val="left"/>
        <w:rPr>
          <w:rFonts w:ascii="宋体" w:hAnsi="宋体"/>
          <w:kern w:val="44"/>
        </w:rPr>
      </w:pPr>
      <w:r>
        <w:rPr>
          <w:rFonts w:hint="eastAsia" w:ascii="宋体" w:hAnsi="宋体"/>
          <w:kern w:val="44"/>
        </w:rPr>
        <w:t>（一）社会公众集中购买某类商品；</w:t>
      </w:r>
    </w:p>
    <w:p w14:paraId="39DA85B5">
      <w:pPr>
        <w:jc w:val="left"/>
        <w:rPr>
          <w:rFonts w:ascii="宋体" w:hAnsi="宋体"/>
          <w:kern w:val="44"/>
        </w:rPr>
      </w:pPr>
      <w:r>
        <w:rPr>
          <w:rFonts w:hint="eastAsia" w:ascii="宋体" w:hAnsi="宋体"/>
          <w:kern w:val="44"/>
        </w:rPr>
        <w:t>（二）某类商品价格波动明显；</w:t>
      </w:r>
    </w:p>
    <w:p w14:paraId="10B3F88D">
      <w:pPr>
        <w:jc w:val="left"/>
        <w:rPr>
          <w:rFonts w:ascii="宋体" w:hAnsi="宋体"/>
          <w:kern w:val="44"/>
        </w:rPr>
      </w:pPr>
      <w:r>
        <w:rPr>
          <w:rFonts w:hint="eastAsia" w:ascii="宋体" w:hAnsi="宋体"/>
          <w:kern w:val="44"/>
        </w:rPr>
        <w:t>（三）其他应当开展应急监测的情况。</w:t>
      </w:r>
    </w:p>
    <w:p w14:paraId="214363EA">
      <w:pPr>
        <w:ind w:firstLine="422"/>
        <w:jc w:val="left"/>
        <w:rPr>
          <w:rFonts w:ascii="宋体" w:hAnsi="宋体"/>
          <w:kern w:val="44"/>
        </w:rPr>
      </w:pPr>
      <w:r>
        <w:rPr>
          <w:rFonts w:hint="eastAsia" w:ascii="宋体" w:hAnsi="宋体"/>
          <w:b/>
          <w:kern w:val="44"/>
        </w:rPr>
        <w:t>第十四条</w:t>
      </w:r>
      <w:r>
        <w:rPr>
          <w:rFonts w:hint="eastAsia" w:ascii="宋体" w:hAnsi="宋体"/>
          <w:kern w:val="44"/>
        </w:rPr>
        <w:t>　价格主管部门应当建立健全价格监测预警网络，制定应急监测预案，明确预案启动和解除条件、工作程序、保障措施等内容，及时向本级人民政府和上一级价格主管部门报告应急监测期间市场价格波动情况、原因和建议。</w:t>
      </w:r>
    </w:p>
    <w:p w14:paraId="0BDA4B9D">
      <w:pPr>
        <w:ind w:firstLine="422"/>
        <w:jc w:val="left"/>
        <w:rPr>
          <w:rFonts w:ascii="宋体" w:hAnsi="宋体"/>
          <w:kern w:val="44"/>
        </w:rPr>
      </w:pPr>
      <w:r>
        <w:rPr>
          <w:rFonts w:hint="eastAsia" w:ascii="宋体" w:hAnsi="宋体"/>
          <w:b/>
          <w:kern w:val="44"/>
        </w:rPr>
        <w:t>第十五条</w:t>
      </w:r>
      <w:r>
        <w:rPr>
          <w:rFonts w:hint="eastAsia" w:ascii="宋体" w:hAnsi="宋体"/>
          <w:kern w:val="44"/>
        </w:rPr>
        <w:t>　价格主管部门应当对定点单位给予政策咨询、业务指导和免费培训，并提供必要的工作条件。</w:t>
      </w:r>
    </w:p>
    <w:p w14:paraId="63B99CBD">
      <w:pPr>
        <w:jc w:val="left"/>
        <w:rPr>
          <w:rFonts w:ascii="宋体" w:hAnsi="宋体"/>
          <w:kern w:val="44"/>
        </w:rPr>
      </w:pPr>
      <w:r>
        <w:rPr>
          <w:rFonts w:hint="eastAsia" w:ascii="宋体" w:hAnsi="宋体"/>
          <w:kern w:val="44"/>
        </w:rPr>
        <w:t>价格监测信息不得用于宏观经济调控和价格管理工作以外的其他目的。</w:t>
      </w:r>
    </w:p>
    <w:p w14:paraId="2549E42C">
      <w:pPr>
        <w:ind w:firstLine="422"/>
        <w:jc w:val="left"/>
        <w:rPr>
          <w:rFonts w:ascii="宋体" w:hAnsi="宋体"/>
          <w:kern w:val="44"/>
        </w:rPr>
      </w:pPr>
      <w:r>
        <w:rPr>
          <w:rFonts w:hint="eastAsia" w:ascii="宋体" w:hAnsi="宋体"/>
          <w:b/>
          <w:kern w:val="44"/>
        </w:rPr>
        <w:t>第十六条</w:t>
      </w:r>
      <w:r>
        <w:rPr>
          <w:rFonts w:hint="eastAsia" w:ascii="宋体" w:hAnsi="宋体"/>
          <w:kern w:val="44"/>
        </w:rPr>
        <w:t>　价格监测工作人员应当具备从事价格监测工作所需的专业知识，按照价格监测报告制度规定的内容、标准、方法、时间和程序，持证开展价格监测工作。</w:t>
      </w:r>
    </w:p>
    <w:p w14:paraId="651E5EEA">
      <w:pPr>
        <w:jc w:val="left"/>
        <w:rPr>
          <w:rFonts w:ascii="宋体" w:hAnsi="宋体"/>
          <w:kern w:val="44"/>
        </w:rPr>
      </w:pPr>
      <w:r>
        <w:rPr>
          <w:rFonts w:hint="eastAsia" w:ascii="宋体" w:hAnsi="宋体"/>
          <w:kern w:val="44"/>
        </w:rPr>
        <w:t>对属于国家机密或者商业秘密的价格监测信息，价格主管部门及其工作人员应当予以保密。</w:t>
      </w:r>
    </w:p>
    <w:p w14:paraId="7C738270">
      <w:pPr>
        <w:ind w:firstLine="422"/>
        <w:jc w:val="left"/>
        <w:rPr>
          <w:rFonts w:ascii="宋体" w:hAnsi="宋体"/>
          <w:kern w:val="44"/>
        </w:rPr>
      </w:pPr>
      <w:r>
        <w:rPr>
          <w:rFonts w:hint="eastAsia" w:ascii="宋体" w:hAnsi="宋体"/>
          <w:b/>
          <w:kern w:val="44"/>
        </w:rPr>
        <w:t>第十七条</w:t>
      </w:r>
      <w:r>
        <w:rPr>
          <w:rFonts w:hint="eastAsia" w:ascii="宋体" w:hAnsi="宋体"/>
          <w:kern w:val="44"/>
        </w:rPr>
        <w:t>　价格主管部门建立价格监测专家会商制度，根据工作需要，会同有关专家及时分析市场变化情况、预测价格走势。</w:t>
      </w:r>
    </w:p>
    <w:p w14:paraId="11A8D10E">
      <w:pPr>
        <w:ind w:firstLine="422"/>
        <w:jc w:val="left"/>
        <w:rPr>
          <w:rFonts w:ascii="宋体" w:hAnsi="宋体"/>
          <w:kern w:val="44"/>
        </w:rPr>
      </w:pPr>
      <w:r>
        <w:rPr>
          <w:rFonts w:hint="eastAsia" w:ascii="宋体" w:hAnsi="宋体"/>
          <w:b/>
          <w:kern w:val="44"/>
        </w:rPr>
        <w:t>第十八条</w:t>
      </w:r>
      <w:r>
        <w:rPr>
          <w:rFonts w:hint="eastAsia" w:ascii="宋体" w:hAnsi="宋体"/>
          <w:kern w:val="44"/>
        </w:rPr>
        <w:t>　价格主管部门应当及时向本级人民政府和上一级价格主管部门报送价格监测报告。</w:t>
      </w:r>
    </w:p>
    <w:p w14:paraId="77E6CBB1">
      <w:pPr>
        <w:jc w:val="left"/>
        <w:rPr>
          <w:rFonts w:ascii="宋体" w:hAnsi="宋体"/>
          <w:kern w:val="44"/>
        </w:rPr>
      </w:pPr>
      <w:r>
        <w:rPr>
          <w:rFonts w:hint="eastAsia" w:ascii="宋体" w:hAnsi="宋体"/>
          <w:kern w:val="44"/>
        </w:rPr>
        <w:t>价格监测报告主要包括下列内容：</w:t>
      </w:r>
    </w:p>
    <w:p w14:paraId="6C0A70FF">
      <w:pPr>
        <w:jc w:val="left"/>
        <w:rPr>
          <w:rFonts w:ascii="宋体" w:hAnsi="宋体"/>
          <w:kern w:val="44"/>
        </w:rPr>
      </w:pPr>
      <w:r>
        <w:rPr>
          <w:rFonts w:hint="eastAsia" w:ascii="宋体" w:hAnsi="宋体"/>
          <w:kern w:val="44"/>
        </w:rPr>
        <w:t>（一）监测商品和服务价格的运行情况及社会反应；</w:t>
      </w:r>
    </w:p>
    <w:p w14:paraId="53699628">
      <w:pPr>
        <w:jc w:val="left"/>
        <w:rPr>
          <w:rFonts w:ascii="宋体" w:hAnsi="宋体"/>
          <w:kern w:val="44"/>
        </w:rPr>
      </w:pPr>
      <w:r>
        <w:rPr>
          <w:rFonts w:hint="eastAsia" w:ascii="宋体" w:hAnsi="宋体"/>
          <w:kern w:val="44"/>
        </w:rPr>
        <w:t>（二）监测商品和服务价格的变动原因分析及趋势预测、预警；</w:t>
      </w:r>
    </w:p>
    <w:p w14:paraId="2C6F729A">
      <w:pPr>
        <w:jc w:val="left"/>
        <w:rPr>
          <w:rFonts w:ascii="宋体" w:hAnsi="宋体"/>
          <w:kern w:val="44"/>
        </w:rPr>
      </w:pPr>
      <w:r>
        <w:rPr>
          <w:rFonts w:hint="eastAsia" w:ascii="宋体" w:hAnsi="宋体"/>
          <w:kern w:val="44"/>
        </w:rPr>
        <w:t>（三）价格政策和措施的执行效果；</w:t>
      </w:r>
    </w:p>
    <w:p w14:paraId="77A567DE">
      <w:pPr>
        <w:jc w:val="left"/>
        <w:rPr>
          <w:rFonts w:ascii="宋体" w:hAnsi="宋体"/>
          <w:kern w:val="44"/>
        </w:rPr>
      </w:pPr>
      <w:r>
        <w:rPr>
          <w:rFonts w:hint="eastAsia" w:ascii="宋体" w:hAnsi="宋体"/>
          <w:kern w:val="44"/>
        </w:rPr>
        <w:t>（四）应对的政策和措施建议；</w:t>
      </w:r>
    </w:p>
    <w:p w14:paraId="58DE0131">
      <w:pPr>
        <w:jc w:val="left"/>
        <w:rPr>
          <w:rFonts w:ascii="宋体" w:hAnsi="宋体"/>
          <w:kern w:val="44"/>
        </w:rPr>
      </w:pPr>
      <w:r>
        <w:rPr>
          <w:rFonts w:hint="eastAsia" w:ascii="宋体" w:hAnsi="宋体"/>
          <w:kern w:val="44"/>
        </w:rPr>
        <w:t>（五）与监测商品和服务价格有关的其他情况。</w:t>
      </w:r>
    </w:p>
    <w:p w14:paraId="41531331">
      <w:pPr>
        <w:ind w:firstLine="422"/>
        <w:jc w:val="left"/>
        <w:rPr>
          <w:rFonts w:ascii="宋体" w:hAnsi="宋体"/>
          <w:kern w:val="44"/>
        </w:rPr>
      </w:pPr>
      <w:r>
        <w:rPr>
          <w:rFonts w:hint="eastAsia" w:ascii="宋体" w:hAnsi="宋体"/>
          <w:b/>
          <w:kern w:val="44"/>
        </w:rPr>
        <w:t>第十九条</w:t>
      </w:r>
      <w:r>
        <w:rPr>
          <w:rFonts w:hint="eastAsia" w:ascii="宋体" w:hAnsi="宋体"/>
          <w:kern w:val="44"/>
        </w:rPr>
        <w:t>　价格主管部门应当加强信息化建设，完善信息采集、处理、传输系统，畅通信息报送渠道，实现政府相关部门信息共享。</w:t>
      </w:r>
    </w:p>
    <w:p w14:paraId="2263213E">
      <w:pPr>
        <w:jc w:val="left"/>
        <w:rPr>
          <w:rFonts w:ascii="宋体" w:hAnsi="宋体"/>
          <w:kern w:val="44"/>
        </w:rPr>
      </w:pPr>
      <w:r>
        <w:rPr>
          <w:rFonts w:hint="eastAsia" w:ascii="宋体" w:hAnsi="宋体"/>
          <w:kern w:val="44"/>
        </w:rPr>
        <w:t>价格监测工作所需经费列入预算。</w:t>
      </w:r>
    </w:p>
    <w:p w14:paraId="65BC7668">
      <w:pPr>
        <w:ind w:firstLine="422"/>
        <w:jc w:val="left"/>
        <w:rPr>
          <w:rFonts w:ascii="宋体" w:hAnsi="宋体"/>
          <w:kern w:val="44"/>
        </w:rPr>
      </w:pPr>
      <w:r>
        <w:rPr>
          <w:rFonts w:hint="eastAsia" w:ascii="宋体" w:hAnsi="宋体"/>
          <w:b/>
          <w:kern w:val="44"/>
        </w:rPr>
        <w:t>第二十条</w:t>
      </w:r>
      <w:r>
        <w:rPr>
          <w:rFonts w:hint="eastAsia" w:ascii="宋体" w:hAnsi="宋体"/>
          <w:kern w:val="44"/>
        </w:rPr>
        <w:t>　价格监测工作人员有下列行为之一的，由有关部门依法给予行政处分；构成犯罪的，依法追究刑事责任：</w:t>
      </w:r>
    </w:p>
    <w:p w14:paraId="16F7D878">
      <w:pPr>
        <w:jc w:val="left"/>
        <w:rPr>
          <w:rFonts w:ascii="宋体" w:hAnsi="宋体"/>
          <w:kern w:val="44"/>
        </w:rPr>
      </w:pPr>
      <w:r>
        <w:rPr>
          <w:rFonts w:hint="eastAsia" w:ascii="宋体" w:hAnsi="宋体"/>
          <w:kern w:val="44"/>
        </w:rPr>
        <w:t>（一）未按照价格监测报告制度规定的内容、标准、方法、时间和程序，开展价格监测工作的；</w:t>
      </w:r>
    </w:p>
    <w:p w14:paraId="7936A86C">
      <w:pPr>
        <w:jc w:val="left"/>
        <w:rPr>
          <w:rFonts w:ascii="宋体" w:hAnsi="宋体"/>
          <w:kern w:val="44"/>
        </w:rPr>
      </w:pPr>
      <w:r>
        <w:rPr>
          <w:rFonts w:hint="eastAsia" w:ascii="宋体" w:hAnsi="宋体"/>
          <w:kern w:val="44"/>
        </w:rPr>
        <w:t>（二）瞒报、虚报或者篡改价格监测信息的；</w:t>
      </w:r>
    </w:p>
    <w:p w14:paraId="0AEDB495">
      <w:pPr>
        <w:jc w:val="left"/>
        <w:rPr>
          <w:rFonts w:ascii="宋体" w:hAnsi="宋体"/>
          <w:kern w:val="44"/>
        </w:rPr>
      </w:pPr>
      <w:r>
        <w:rPr>
          <w:rFonts w:hint="eastAsia" w:ascii="宋体" w:hAnsi="宋体"/>
          <w:kern w:val="44"/>
        </w:rPr>
        <w:t>（三）泄露属于国家机密或者商业秘密的价格监测信息的；</w:t>
      </w:r>
    </w:p>
    <w:p w14:paraId="0292C8F9">
      <w:pPr>
        <w:jc w:val="left"/>
        <w:rPr>
          <w:rFonts w:ascii="宋体" w:hAnsi="宋体"/>
          <w:kern w:val="44"/>
        </w:rPr>
      </w:pPr>
      <w:r>
        <w:rPr>
          <w:rFonts w:hint="eastAsia" w:ascii="宋体" w:hAnsi="宋体"/>
          <w:kern w:val="44"/>
        </w:rPr>
        <w:t>（四）将价格监测信息用于宏观经济调控和价格管理工作以外的其他目的的。</w:t>
      </w:r>
    </w:p>
    <w:p w14:paraId="00D968E5">
      <w:pPr>
        <w:ind w:firstLine="422"/>
        <w:jc w:val="left"/>
        <w:rPr>
          <w:rFonts w:ascii="宋体" w:hAnsi="宋体"/>
          <w:kern w:val="44"/>
        </w:rPr>
      </w:pPr>
      <w:r>
        <w:rPr>
          <w:rFonts w:hint="eastAsia" w:ascii="宋体" w:hAnsi="宋体"/>
          <w:b/>
          <w:kern w:val="44"/>
        </w:rPr>
        <w:t>第二十一条</w:t>
      </w:r>
      <w:r>
        <w:rPr>
          <w:rFonts w:hint="eastAsia" w:ascii="宋体" w:hAnsi="宋体"/>
          <w:kern w:val="44"/>
        </w:rPr>
        <w:t>　违反本办法第六条规定，价格监测涉及的单位和个人拒绝配合或者拒绝提供信息，影响价格监测工作的，由价格主管部门责令限期改正；逾期不改的，处3万元以下罚款。</w:t>
      </w:r>
    </w:p>
    <w:p w14:paraId="6C3716B3">
      <w:pPr>
        <w:ind w:firstLine="422"/>
        <w:jc w:val="left"/>
        <w:rPr>
          <w:rFonts w:ascii="宋体" w:hAnsi="宋体"/>
          <w:kern w:val="44"/>
        </w:rPr>
      </w:pPr>
      <w:r>
        <w:rPr>
          <w:rFonts w:hint="eastAsia" w:ascii="宋体" w:hAnsi="宋体"/>
          <w:b/>
          <w:kern w:val="44"/>
        </w:rPr>
        <w:t>第二十二条</w:t>
      </w:r>
      <w:r>
        <w:rPr>
          <w:rFonts w:hint="eastAsia" w:ascii="宋体" w:hAnsi="宋体"/>
          <w:kern w:val="44"/>
        </w:rPr>
        <w:t>　违反本办法第九条第二款规定，定点单位未准确、及时、完整报送价格相关信息的，由价格主管部门责令改正，可处1万元以下罚款。</w:t>
      </w:r>
    </w:p>
    <w:p w14:paraId="6FAD2B00">
      <w:pPr>
        <w:ind w:firstLine="422"/>
        <w:jc w:val="left"/>
        <w:rPr>
          <w:rFonts w:ascii="宋体" w:hAnsi="宋体"/>
          <w:kern w:val="44"/>
        </w:rPr>
      </w:pPr>
      <w:r>
        <w:rPr>
          <w:rFonts w:hint="eastAsia" w:ascii="宋体" w:hAnsi="宋体"/>
          <w:b/>
          <w:kern w:val="44"/>
        </w:rPr>
        <w:t>第二十三条</w:t>
      </w:r>
      <w:r>
        <w:rPr>
          <w:rFonts w:hint="eastAsia" w:ascii="宋体" w:hAnsi="宋体"/>
          <w:kern w:val="44"/>
        </w:rPr>
        <w:t xml:space="preserve">  本办法自2011年12月1日起施行。</w:t>
      </w:r>
    </w:p>
    <w:p w14:paraId="772906C2">
      <w:pPr>
        <w:pStyle w:val="3"/>
        <w:pageBreakBefore/>
        <w:rPr>
          <w:kern w:val="44"/>
        </w:rPr>
      </w:pPr>
      <w:bookmarkStart w:id="1177" w:name="_Toc427651590"/>
      <w:bookmarkStart w:id="1178" w:name="_Toc422471313"/>
      <w:bookmarkStart w:id="1179" w:name="_Toc428781638"/>
      <w:bookmarkStart w:id="1180" w:name="_Toc427651932"/>
      <w:bookmarkStart w:id="1181" w:name="_Toc428780156"/>
      <w:r>
        <w:rPr>
          <w:rFonts w:hint="eastAsia"/>
          <w:kern w:val="44"/>
        </w:rPr>
        <w:t>（十一）质量监督</w:t>
      </w:r>
      <w:bookmarkEnd w:id="1177"/>
      <w:bookmarkEnd w:id="1178"/>
      <w:bookmarkEnd w:id="1179"/>
      <w:bookmarkEnd w:id="1180"/>
      <w:bookmarkEnd w:id="1181"/>
    </w:p>
    <w:p w14:paraId="4CB559CB"/>
    <w:p w14:paraId="552A2C77">
      <w:pPr>
        <w:pStyle w:val="4"/>
        <w:rPr>
          <w:kern w:val="44"/>
        </w:rPr>
      </w:pPr>
      <w:bookmarkStart w:id="1182" w:name="_Toc427651933"/>
      <w:bookmarkStart w:id="1183" w:name="_Toc428780157"/>
      <w:bookmarkStart w:id="1184" w:name="_Toc428781639"/>
      <w:bookmarkStart w:id="1185" w:name="_Toc427651591"/>
      <w:bookmarkStart w:id="1186" w:name="_Toc422471314"/>
      <w:r>
        <w:rPr>
          <w:rFonts w:hint="eastAsia"/>
          <w:kern w:val="44"/>
        </w:rPr>
        <w:t>北京市产品质量监督管理条例</w:t>
      </w:r>
      <w:bookmarkEnd w:id="1182"/>
      <w:bookmarkEnd w:id="1183"/>
      <w:bookmarkEnd w:id="1184"/>
      <w:bookmarkEnd w:id="1185"/>
      <w:bookmarkEnd w:id="1186"/>
    </w:p>
    <w:p w14:paraId="07CC7FE4">
      <w:pPr>
        <w:ind w:left="630" w:leftChars="300" w:right="630" w:rightChars="300"/>
        <w:jc w:val="left"/>
        <w:rPr>
          <w:rFonts w:ascii="楷体" w:hAnsi="楷体" w:eastAsia="楷体"/>
          <w:kern w:val="44"/>
        </w:rPr>
      </w:pPr>
      <w:r>
        <w:rPr>
          <w:rFonts w:hint="eastAsia" w:ascii="楷体" w:hAnsi="楷体" w:eastAsia="楷体"/>
          <w:kern w:val="44"/>
        </w:rPr>
        <w:t>（1994年7月22日北京市第十届人民代表大会常务委员会第十一次会议通过　根据1997年9月4日北京市第十届人民代表大会常务委员会第三十九次会议《关于修改〈北京市产品质量监督管理条例〉的决定》第一次修正　根据2010年12月23日北京市第十三届人民代表大会常务委员会第二十二次会议《关于修改部分地方性法规的决定》第二次修正 ）</w:t>
      </w:r>
    </w:p>
    <w:p w14:paraId="1CA55ED4">
      <w:pPr>
        <w:jc w:val="left"/>
        <w:rPr>
          <w:rFonts w:ascii="宋体" w:hAnsi="宋体"/>
          <w:kern w:val="44"/>
        </w:rPr>
      </w:pPr>
    </w:p>
    <w:p w14:paraId="08E7587D">
      <w:pPr>
        <w:ind w:firstLine="0" w:firstLineChars="0"/>
        <w:jc w:val="center"/>
        <w:rPr>
          <w:rFonts w:ascii="宋体" w:hAnsi="宋体"/>
          <w:b/>
          <w:kern w:val="44"/>
          <w:sz w:val="28"/>
        </w:rPr>
      </w:pPr>
      <w:r>
        <w:rPr>
          <w:rFonts w:hint="eastAsia" w:ascii="宋体" w:hAnsi="宋体"/>
          <w:b/>
          <w:kern w:val="44"/>
          <w:sz w:val="28"/>
        </w:rPr>
        <w:t>第一章　总　则</w:t>
      </w:r>
    </w:p>
    <w:p w14:paraId="769B2653">
      <w:pPr>
        <w:jc w:val="left"/>
        <w:rPr>
          <w:rFonts w:ascii="宋体" w:hAnsi="宋体"/>
          <w:kern w:val="44"/>
        </w:rPr>
      </w:pPr>
    </w:p>
    <w:p w14:paraId="2C6FB4D9">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对产品质量的监督管理，明确产品质量责任，保护用户、消费者的合法权益，维护社会经济秩序，根据《中华人民共和国产品质量法》（以下简称《产品质量法》）和有关法律、法规，结合本市实际，制定本条例。</w:t>
      </w:r>
    </w:p>
    <w:p w14:paraId="467F931E">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在本市行政区域内从事产品生产、销售活动，必须遵守本条例。</w:t>
      </w:r>
    </w:p>
    <w:p w14:paraId="472872F4">
      <w:pPr>
        <w:jc w:val="left"/>
        <w:rPr>
          <w:rFonts w:ascii="宋体" w:hAnsi="宋体"/>
          <w:kern w:val="44"/>
        </w:rPr>
      </w:pPr>
      <w:r>
        <w:rPr>
          <w:rFonts w:hint="eastAsia" w:ascii="宋体" w:hAnsi="宋体"/>
          <w:kern w:val="44"/>
        </w:rPr>
        <w:t>本条例所称产品，是指经过加工、制作，用于销售的产品。</w:t>
      </w:r>
    </w:p>
    <w:p w14:paraId="63F18303">
      <w:pPr>
        <w:jc w:val="left"/>
        <w:rPr>
          <w:rFonts w:ascii="宋体" w:hAnsi="宋体"/>
          <w:kern w:val="44"/>
        </w:rPr>
      </w:pPr>
      <w:r>
        <w:rPr>
          <w:rFonts w:hint="eastAsia" w:ascii="宋体" w:hAnsi="宋体"/>
          <w:kern w:val="44"/>
        </w:rPr>
        <w:t>建设工程不适用本条例。</w:t>
      </w:r>
    </w:p>
    <w:p w14:paraId="6016A5A3">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市和区、县人民政府产品质量监督管理部门负责本行政区域内的产品质量监督管理工作。</w:t>
      </w:r>
    </w:p>
    <w:p w14:paraId="341C747B">
      <w:pPr>
        <w:jc w:val="left"/>
        <w:rPr>
          <w:rFonts w:ascii="宋体" w:hAnsi="宋体"/>
          <w:kern w:val="44"/>
        </w:rPr>
      </w:pPr>
      <w:r>
        <w:rPr>
          <w:rFonts w:hint="eastAsia" w:ascii="宋体" w:hAnsi="宋体"/>
          <w:kern w:val="44"/>
        </w:rPr>
        <w:t>市和区、县人民政府有关部门在各自的职责范围内负责产品质量监督管理工作。</w:t>
      </w:r>
    </w:p>
    <w:p w14:paraId="35FB819F">
      <w:pPr>
        <w:ind w:firstLine="422"/>
        <w:jc w:val="left"/>
        <w:rPr>
          <w:rFonts w:ascii="宋体" w:hAnsi="宋体"/>
          <w:kern w:val="44"/>
        </w:rPr>
      </w:pPr>
      <w:r>
        <w:rPr>
          <w:rFonts w:hint="eastAsia" w:ascii="宋体" w:hAnsi="宋体"/>
          <w:b/>
          <w:kern w:val="44"/>
        </w:rPr>
        <w:t>第四条</w:t>
      </w:r>
      <w:r>
        <w:rPr>
          <w:rFonts w:hint="eastAsia" w:ascii="宋体" w:hAnsi="宋体"/>
          <w:kern w:val="44"/>
        </w:rPr>
        <w:t>　各级人民政府应当加强对产品质量监督管理工作的领导，协调产品质量监督管理工作。</w:t>
      </w:r>
    </w:p>
    <w:p w14:paraId="382067D0">
      <w:pPr>
        <w:ind w:firstLine="422"/>
        <w:jc w:val="left"/>
        <w:rPr>
          <w:rFonts w:ascii="宋体" w:hAnsi="宋体"/>
          <w:kern w:val="44"/>
        </w:rPr>
      </w:pPr>
      <w:r>
        <w:rPr>
          <w:rFonts w:hint="eastAsia" w:ascii="宋体" w:hAnsi="宋体"/>
          <w:b/>
          <w:kern w:val="44"/>
        </w:rPr>
        <w:t>第五条</w:t>
      </w:r>
      <w:r>
        <w:rPr>
          <w:rFonts w:hint="eastAsia" w:ascii="宋体" w:hAnsi="宋体"/>
          <w:kern w:val="44"/>
        </w:rPr>
        <w:t>　本市鼓励、支持和保护一切组织和个人对产品质量进行社会监督和舆论监督。</w:t>
      </w:r>
    </w:p>
    <w:p w14:paraId="5EB55A79">
      <w:pPr>
        <w:jc w:val="left"/>
        <w:rPr>
          <w:rFonts w:ascii="宋体" w:hAnsi="宋体"/>
          <w:kern w:val="44"/>
        </w:rPr>
      </w:pPr>
      <w:r>
        <w:rPr>
          <w:rFonts w:hint="eastAsia" w:ascii="宋体" w:hAnsi="宋体"/>
          <w:kern w:val="44"/>
        </w:rPr>
        <w:t>对举报属实和协助查处违反产品质量法律、法规行为有功的，给予奖励并为其保密。</w:t>
      </w:r>
    </w:p>
    <w:p w14:paraId="246A9526">
      <w:pPr>
        <w:jc w:val="left"/>
        <w:rPr>
          <w:rFonts w:ascii="宋体" w:hAnsi="宋体"/>
          <w:kern w:val="44"/>
        </w:rPr>
      </w:pPr>
    </w:p>
    <w:p w14:paraId="4393B49F">
      <w:pPr>
        <w:ind w:firstLine="0" w:firstLineChars="0"/>
        <w:jc w:val="center"/>
        <w:rPr>
          <w:rFonts w:ascii="宋体" w:hAnsi="宋体"/>
          <w:b/>
          <w:kern w:val="44"/>
          <w:sz w:val="28"/>
        </w:rPr>
      </w:pPr>
      <w:r>
        <w:rPr>
          <w:rFonts w:hint="eastAsia" w:ascii="宋体" w:hAnsi="宋体"/>
          <w:b/>
          <w:kern w:val="44"/>
          <w:sz w:val="28"/>
        </w:rPr>
        <w:t>第二章　产品质量监督检查</w:t>
      </w:r>
    </w:p>
    <w:p w14:paraId="683384A3">
      <w:pPr>
        <w:jc w:val="left"/>
        <w:rPr>
          <w:rFonts w:ascii="宋体" w:hAnsi="宋体"/>
          <w:kern w:val="44"/>
        </w:rPr>
      </w:pPr>
    </w:p>
    <w:p w14:paraId="28BF2A10">
      <w:pPr>
        <w:ind w:firstLine="422"/>
        <w:jc w:val="left"/>
        <w:rPr>
          <w:rFonts w:ascii="宋体" w:hAnsi="宋体"/>
          <w:kern w:val="44"/>
        </w:rPr>
      </w:pPr>
      <w:r>
        <w:rPr>
          <w:rFonts w:hint="eastAsia" w:ascii="宋体" w:hAnsi="宋体"/>
          <w:b/>
          <w:kern w:val="44"/>
        </w:rPr>
        <w:t>第六条</w:t>
      </w:r>
      <w:r>
        <w:rPr>
          <w:rFonts w:hint="eastAsia" w:ascii="宋体" w:hAnsi="宋体"/>
          <w:kern w:val="44"/>
        </w:rPr>
        <w:t>　本市产品质量监督检查的重点是：可能危及人体健康和人身、财产安全的产品，影响国计民生的重要工业产品以及用户、消费者、有关组织反映有质量问题的产品。</w:t>
      </w:r>
    </w:p>
    <w:p w14:paraId="089107CB">
      <w:pPr>
        <w:ind w:firstLine="422"/>
        <w:jc w:val="left"/>
        <w:rPr>
          <w:rFonts w:ascii="宋体" w:hAnsi="宋体"/>
          <w:kern w:val="44"/>
        </w:rPr>
      </w:pPr>
      <w:r>
        <w:rPr>
          <w:rFonts w:hint="eastAsia" w:ascii="宋体" w:hAnsi="宋体"/>
          <w:b/>
          <w:kern w:val="44"/>
        </w:rPr>
        <w:t>第七条</w:t>
      </w:r>
      <w:r>
        <w:rPr>
          <w:rFonts w:hint="eastAsia" w:ascii="宋体" w:hAnsi="宋体"/>
          <w:kern w:val="44"/>
        </w:rPr>
        <w:t>　本市实行产品质量监督检查制度，包括监督抽查、统一监督检查、定期监督检查和日常监督检查等方式。</w:t>
      </w:r>
    </w:p>
    <w:p w14:paraId="1D595974">
      <w:pPr>
        <w:jc w:val="left"/>
        <w:rPr>
          <w:rFonts w:ascii="宋体" w:hAnsi="宋体"/>
          <w:kern w:val="44"/>
        </w:rPr>
      </w:pPr>
      <w:r>
        <w:rPr>
          <w:rFonts w:hint="eastAsia" w:ascii="宋体" w:hAnsi="宋体"/>
          <w:kern w:val="44"/>
        </w:rPr>
        <w:t>（一）监督抽查是产品质量监督检查的主要方式，包括国家和地方的监督抽查，是有规划、有组织对重点产品质量进行的较大规模的检查。</w:t>
      </w:r>
    </w:p>
    <w:p w14:paraId="58790CD7">
      <w:pPr>
        <w:jc w:val="left"/>
        <w:rPr>
          <w:rFonts w:ascii="宋体" w:hAnsi="宋体"/>
          <w:kern w:val="44"/>
        </w:rPr>
      </w:pPr>
      <w:r>
        <w:rPr>
          <w:rFonts w:hint="eastAsia" w:ascii="宋体" w:hAnsi="宋体"/>
          <w:kern w:val="44"/>
        </w:rPr>
        <w:t>（二）统一监督检查是根据国家的需要和要求，对某类产品质量进行全市范围的检查。</w:t>
      </w:r>
    </w:p>
    <w:p w14:paraId="6F68A8E7">
      <w:pPr>
        <w:jc w:val="left"/>
        <w:rPr>
          <w:rFonts w:ascii="宋体" w:hAnsi="宋体"/>
          <w:kern w:val="44"/>
        </w:rPr>
      </w:pPr>
      <w:r>
        <w:rPr>
          <w:rFonts w:hint="eastAsia" w:ascii="宋体" w:hAnsi="宋体"/>
          <w:kern w:val="44"/>
        </w:rPr>
        <w:t>（三）定期监督检查是根据本市的实际和需要，按照确定的产品检验目录和检验周期进行的检查。</w:t>
      </w:r>
    </w:p>
    <w:p w14:paraId="15E83290">
      <w:pPr>
        <w:jc w:val="left"/>
        <w:rPr>
          <w:rFonts w:ascii="宋体" w:hAnsi="宋体"/>
          <w:kern w:val="44"/>
        </w:rPr>
      </w:pPr>
      <w:r>
        <w:rPr>
          <w:rFonts w:hint="eastAsia" w:ascii="宋体" w:hAnsi="宋体"/>
          <w:kern w:val="44"/>
        </w:rPr>
        <w:t>（四）日常监督检查是对日常监督中发现的以及用户、消费者和有关组织举报、反映质量问题较多的产品进行的检查。</w:t>
      </w:r>
    </w:p>
    <w:p w14:paraId="226F0EB3">
      <w:pPr>
        <w:jc w:val="left"/>
        <w:rPr>
          <w:rFonts w:ascii="宋体" w:hAnsi="宋体"/>
          <w:kern w:val="44"/>
        </w:rPr>
      </w:pPr>
      <w:r>
        <w:rPr>
          <w:rFonts w:hint="eastAsia" w:ascii="宋体" w:hAnsi="宋体"/>
          <w:kern w:val="44"/>
        </w:rPr>
        <w:t>法律、法规对产品质量监督检查另有规定的，依照其规定。</w:t>
      </w:r>
    </w:p>
    <w:p w14:paraId="792954A7">
      <w:pPr>
        <w:ind w:firstLine="422"/>
        <w:jc w:val="left"/>
        <w:rPr>
          <w:rFonts w:ascii="宋体" w:hAnsi="宋体"/>
          <w:kern w:val="44"/>
        </w:rPr>
      </w:pPr>
      <w:r>
        <w:rPr>
          <w:rFonts w:hint="eastAsia" w:ascii="宋体" w:hAnsi="宋体"/>
          <w:b/>
          <w:kern w:val="44"/>
        </w:rPr>
        <w:t>第八条</w:t>
      </w:r>
      <w:r>
        <w:rPr>
          <w:rFonts w:hint="eastAsia" w:ascii="宋体" w:hAnsi="宋体"/>
          <w:kern w:val="44"/>
        </w:rPr>
        <w:t>　产品质量监督检查应当防止重复。</w:t>
      </w:r>
    </w:p>
    <w:p w14:paraId="0E5983BF">
      <w:pPr>
        <w:jc w:val="left"/>
        <w:rPr>
          <w:rFonts w:ascii="宋体" w:hAnsi="宋体"/>
          <w:kern w:val="44"/>
        </w:rPr>
      </w:pPr>
      <w:r>
        <w:rPr>
          <w:rFonts w:hint="eastAsia" w:ascii="宋体" w:hAnsi="宋体"/>
          <w:kern w:val="44"/>
        </w:rPr>
        <w:t>监督抽查、统一监督检查和定期监督检查由市人民政府产品质量监督管理部门统一规划、组织，法律、法规另有规定的除外。</w:t>
      </w:r>
    </w:p>
    <w:p w14:paraId="4044D943">
      <w:pPr>
        <w:jc w:val="left"/>
        <w:rPr>
          <w:rFonts w:ascii="宋体" w:hAnsi="宋体"/>
          <w:kern w:val="44"/>
        </w:rPr>
      </w:pPr>
      <w:r>
        <w:rPr>
          <w:rFonts w:hint="eastAsia" w:ascii="宋体" w:hAnsi="宋体"/>
          <w:kern w:val="44"/>
        </w:rPr>
        <w:t>产品质量监督检验数据在同一检查周期内应当作为有关部门监督检查的共同依据。监督检查结果应当公布或者告知被检查者。</w:t>
      </w:r>
    </w:p>
    <w:p w14:paraId="4EDACEF2">
      <w:pPr>
        <w:ind w:firstLine="422"/>
        <w:jc w:val="left"/>
        <w:rPr>
          <w:rFonts w:ascii="宋体" w:hAnsi="宋体"/>
          <w:kern w:val="44"/>
        </w:rPr>
      </w:pPr>
      <w:r>
        <w:rPr>
          <w:rFonts w:hint="eastAsia" w:ascii="宋体" w:hAnsi="宋体"/>
          <w:b/>
          <w:kern w:val="44"/>
        </w:rPr>
        <w:t>第九条</w:t>
      </w:r>
      <w:r>
        <w:rPr>
          <w:rFonts w:hint="eastAsia" w:ascii="宋体" w:hAnsi="宋体"/>
          <w:kern w:val="44"/>
        </w:rPr>
        <w:t>　监督检查及检验产品质量的依据：</w:t>
      </w:r>
    </w:p>
    <w:p w14:paraId="55DE17AC">
      <w:pPr>
        <w:jc w:val="left"/>
        <w:rPr>
          <w:rFonts w:ascii="宋体" w:hAnsi="宋体"/>
          <w:kern w:val="44"/>
        </w:rPr>
      </w:pPr>
      <w:r>
        <w:rPr>
          <w:rFonts w:hint="eastAsia" w:ascii="宋体" w:hAnsi="宋体"/>
          <w:kern w:val="44"/>
        </w:rPr>
        <w:t>（一）法律、法规和规章的规定；</w:t>
      </w:r>
    </w:p>
    <w:p w14:paraId="220FCF24">
      <w:pPr>
        <w:jc w:val="left"/>
        <w:rPr>
          <w:rFonts w:ascii="宋体" w:hAnsi="宋体"/>
          <w:kern w:val="44"/>
        </w:rPr>
      </w:pPr>
      <w:r>
        <w:rPr>
          <w:rFonts w:hint="eastAsia" w:ascii="宋体" w:hAnsi="宋体"/>
          <w:kern w:val="44"/>
        </w:rPr>
        <w:t>（二）国家标准、行业标准、地方标准、备案的企业标准；</w:t>
      </w:r>
    </w:p>
    <w:p w14:paraId="19B94479">
      <w:pPr>
        <w:jc w:val="left"/>
        <w:rPr>
          <w:rFonts w:ascii="宋体" w:hAnsi="宋体"/>
          <w:kern w:val="44"/>
        </w:rPr>
      </w:pPr>
      <w:r>
        <w:rPr>
          <w:rFonts w:hint="eastAsia" w:ascii="宋体" w:hAnsi="宋体"/>
          <w:kern w:val="44"/>
        </w:rPr>
        <w:t>（三）产品标识中明示的内容、实物样品、产品说明和经济合同中的质量约定等；</w:t>
      </w:r>
    </w:p>
    <w:p w14:paraId="3A81A953">
      <w:pPr>
        <w:jc w:val="left"/>
        <w:rPr>
          <w:rFonts w:ascii="宋体" w:hAnsi="宋体"/>
          <w:kern w:val="44"/>
        </w:rPr>
      </w:pPr>
      <w:r>
        <w:rPr>
          <w:rFonts w:hint="eastAsia" w:ascii="宋体" w:hAnsi="宋体"/>
          <w:kern w:val="44"/>
        </w:rPr>
        <w:t>（四）国家和省级以上产品质量监督管理部门批准的产品质量检验方法或者质量评价规则。</w:t>
      </w:r>
    </w:p>
    <w:p w14:paraId="5A3DE9FC">
      <w:pPr>
        <w:ind w:firstLine="422"/>
        <w:jc w:val="left"/>
        <w:rPr>
          <w:rFonts w:ascii="宋体" w:hAnsi="宋体"/>
          <w:kern w:val="44"/>
        </w:rPr>
      </w:pPr>
      <w:r>
        <w:rPr>
          <w:rFonts w:hint="eastAsia" w:ascii="宋体" w:hAnsi="宋体"/>
          <w:b/>
          <w:kern w:val="44"/>
        </w:rPr>
        <w:t>第十条</w:t>
      </w:r>
      <w:r>
        <w:rPr>
          <w:rFonts w:hint="eastAsia" w:ascii="宋体" w:hAnsi="宋体"/>
          <w:kern w:val="44"/>
        </w:rPr>
        <w:t>　产品质量监督管理部门及其行政执法人员在查处产品质量违法行为时，可以行使下列职权：</w:t>
      </w:r>
    </w:p>
    <w:p w14:paraId="6AC80AE3">
      <w:pPr>
        <w:jc w:val="left"/>
        <w:rPr>
          <w:rFonts w:ascii="宋体" w:hAnsi="宋体"/>
          <w:kern w:val="44"/>
        </w:rPr>
      </w:pPr>
      <w:r>
        <w:rPr>
          <w:rFonts w:hint="eastAsia" w:ascii="宋体" w:hAnsi="宋体"/>
          <w:kern w:val="44"/>
        </w:rPr>
        <w:t>（一）查阅、复制有关的协议、账册、单据、文件、记录、业务函电和其他资料；</w:t>
      </w:r>
    </w:p>
    <w:p w14:paraId="1C08762F">
      <w:pPr>
        <w:jc w:val="left"/>
        <w:rPr>
          <w:rFonts w:ascii="宋体" w:hAnsi="宋体"/>
          <w:kern w:val="44"/>
        </w:rPr>
      </w:pPr>
      <w:r>
        <w:rPr>
          <w:rFonts w:hint="eastAsia" w:ascii="宋体" w:hAnsi="宋体"/>
          <w:kern w:val="44"/>
        </w:rPr>
        <w:t>（二）进入产品存放地和仓库检查产品质量；</w:t>
      </w:r>
    </w:p>
    <w:p w14:paraId="13E635DA">
      <w:pPr>
        <w:jc w:val="left"/>
        <w:rPr>
          <w:rFonts w:ascii="宋体" w:hAnsi="宋体"/>
          <w:kern w:val="44"/>
        </w:rPr>
      </w:pPr>
      <w:r>
        <w:rPr>
          <w:rFonts w:hint="eastAsia" w:ascii="宋体" w:hAnsi="宋体"/>
          <w:kern w:val="44"/>
        </w:rPr>
        <w:t>（三）违法事实确凿，有法定依据，对公民处以50元以下，对法人或者其他组织处以1000元以下罚款或者警告的行政处罚的，可以当场作出行政处罚决定；</w:t>
      </w:r>
    </w:p>
    <w:p w14:paraId="2C7AD325">
      <w:pPr>
        <w:jc w:val="left"/>
        <w:rPr>
          <w:rFonts w:ascii="宋体" w:hAnsi="宋体"/>
          <w:kern w:val="44"/>
        </w:rPr>
      </w:pPr>
      <w:r>
        <w:rPr>
          <w:rFonts w:hint="eastAsia" w:ascii="宋体" w:hAnsi="宋体"/>
          <w:kern w:val="44"/>
        </w:rPr>
        <w:t>（四）对生产、销售有严重质量问题产品的，责令暂停销售，听候检查处理；发现生产者、销售者有明显携带财物逃匿意图或者转移、销毁证据的，必要时可以予以封存、扣押，并且在规定的时限内作出处理。</w:t>
      </w:r>
    </w:p>
    <w:p w14:paraId="726D9608">
      <w:pPr>
        <w:jc w:val="left"/>
        <w:rPr>
          <w:rFonts w:ascii="宋体" w:hAnsi="宋体"/>
          <w:kern w:val="44"/>
        </w:rPr>
      </w:pPr>
      <w:r>
        <w:rPr>
          <w:rFonts w:hint="eastAsia" w:ascii="宋体" w:hAnsi="宋体"/>
          <w:kern w:val="44"/>
        </w:rPr>
        <w:t>实施前款第（四）项规定的行政强制措施，应当经市和区、县产品质量监督管理部门负责人批准。</w:t>
      </w:r>
    </w:p>
    <w:p w14:paraId="57E28A99">
      <w:pPr>
        <w:jc w:val="left"/>
        <w:rPr>
          <w:rFonts w:ascii="宋体" w:hAnsi="宋体"/>
          <w:kern w:val="44"/>
        </w:rPr>
      </w:pPr>
      <w:r>
        <w:rPr>
          <w:rFonts w:hint="eastAsia" w:ascii="宋体" w:hAnsi="宋体"/>
          <w:kern w:val="44"/>
        </w:rPr>
        <w:t>行政执法人员对生产者、销售者的商业秘密应当保密。</w:t>
      </w:r>
    </w:p>
    <w:p w14:paraId="5AB168B2">
      <w:pPr>
        <w:ind w:firstLine="422"/>
        <w:jc w:val="left"/>
        <w:rPr>
          <w:rFonts w:ascii="宋体" w:hAnsi="宋体"/>
          <w:kern w:val="44"/>
        </w:rPr>
      </w:pPr>
      <w:r>
        <w:rPr>
          <w:rFonts w:hint="eastAsia" w:ascii="宋体" w:hAnsi="宋体"/>
          <w:b/>
          <w:kern w:val="44"/>
        </w:rPr>
        <w:t>第十一条</w:t>
      </w:r>
      <w:r>
        <w:rPr>
          <w:rFonts w:hint="eastAsia" w:ascii="宋体" w:hAnsi="宋体"/>
          <w:kern w:val="44"/>
        </w:rPr>
        <w:t>　从事产品质量监督管理的行政执法人员必须经过培训考核合格，取得行政执法资格。</w:t>
      </w:r>
    </w:p>
    <w:p w14:paraId="6AACDE03">
      <w:pPr>
        <w:jc w:val="left"/>
        <w:rPr>
          <w:rFonts w:ascii="宋体" w:hAnsi="宋体"/>
          <w:kern w:val="44"/>
        </w:rPr>
      </w:pPr>
      <w:r>
        <w:rPr>
          <w:rFonts w:hint="eastAsia" w:ascii="宋体" w:hAnsi="宋体"/>
          <w:kern w:val="44"/>
        </w:rPr>
        <w:t>对产品质量进行监督检查时，应当有两名以上的行政执法人员参加，并出示统一制发的执法证件，使用规定的执法文书、罚没收据，按照规定的程序执法。</w:t>
      </w:r>
    </w:p>
    <w:p w14:paraId="0E0B2F60">
      <w:pPr>
        <w:ind w:firstLine="422"/>
        <w:jc w:val="left"/>
        <w:rPr>
          <w:rFonts w:ascii="宋体" w:hAnsi="宋体"/>
          <w:kern w:val="44"/>
        </w:rPr>
      </w:pPr>
      <w:r>
        <w:rPr>
          <w:rFonts w:hint="eastAsia" w:ascii="宋体" w:hAnsi="宋体"/>
          <w:b/>
          <w:kern w:val="44"/>
        </w:rPr>
        <w:t>第十二条</w:t>
      </w:r>
      <w:r>
        <w:rPr>
          <w:rFonts w:hint="eastAsia" w:ascii="宋体" w:hAnsi="宋体"/>
          <w:kern w:val="44"/>
        </w:rPr>
        <w:t>　产品质量检验机构必须具备相应的检测条件和能力，经市产品质量监督管理部门或者其授权的部门考核合格后方可承担产品质量检验工作。法律、行政法规对药品、食品卫生、锅炉压力容器、进出口商品等质量检验机构另有规定的，依照有关的法律、行政法规的规定执行。</w:t>
      </w:r>
    </w:p>
    <w:p w14:paraId="0088D267">
      <w:pPr>
        <w:ind w:firstLine="422"/>
        <w:jc w:val="left"/>
        <w:rPr>
          <w:rFonts w:ascii="宋体" w:hAnsi="宋体"/>
          <w:kern w:val="44"/>
        </w:rPr>
      </w:pPr>
      <w:r>
        <w:rPr>
          <w:rFonts w:hint="eastAsia" w:ascii="宋体" w:hAnsi="宋体"/>
          <w:b/>
          <w:kern w:val="44"/>
        </w:rPr>
        <w:t>第十三条</w:t>
      </w:r>
      <w:r>
        <w:rPr>
          <w:rFonts w:hint="eastAsia" w:ascii="宋体" w:hAnsi="宋体"/>
          <w:kern w:val="44"/>
        </w:rPr>
        <w:t>　产品质量监督检查所需样品，由产品质量监督检查人员持产品质量监督检查有关凭证，按照规定的数量向受检单位采用随机方法抽取。检查工作完结留样期满后，除损耗和国家另有规定的以外，样品均需退还受检单位。</w:t>
      </w:r>
    </w:p>
    <w:p w14:paraId="0D95DE58">
      <w:pPr>
        <w:ind w:firstLine="422"/>
        <w:jc w:val="left"/>
        <w:rPr>
          <w:rFonts w:ascii="宋体" w:hAnsi="宋体"/>
          <w:kern w:val="44"/>
        </w:rPr>
      </w:pPr>
      <w:r>
        <w:rPr>
          <w:rFonts w:hint="eastAsia" w:ascii="宋体" w:hAnsi="宋体"/>
          <w:b/>
          <w:kern w:val="44"/>
        </w:rPr>
        <w:t>第十四条</w:t>
      </w:r>
      <w:r>
        <w:rPr>
          <w:rFonts w:hint="eastAsia" w:ascii="宋体" w:hAnsi="宋体"/>
          <w:kern w:val="44"/>
        </w:rPr>
        <w:t>　产品质量检验机构应当按照规定的程序、检验方法和期限检验产品，出具真实、准确、公正的检验数据和检验结论。</w:t>
      </w:r>
    </w:p>
    <w:p w14:paraId="7774041A">
      <w:pPr>
        <w:ind w:firstLine="422"/>
        <w:jc w:val="left"/>
        <w:rPr>
          <w:rFonts w:ascii="宋体" w:hAnsi="宋体"/>
          <w:kern w:val="44"/>
        </w:rPr>
      </w:pPr>
      <w:r>
        <w:rPr>
          <w:rFonts w:hint="eastAsia" w:ascii="宋体" w:hAnsi="宋体"/>
          <w:b/>
          <w:kern w:val="44"/>
        </w:rPr>
        <w:t>第十五条</w:t>
      </w:r>
      <w:r>
        <w:rPr>
          <w:rFonts w:hint="eastAsia" w:ascii="宋体" w:hAnsi="宋体"/>
          <w:kern w:val="44"/>
        </w:rPr>
        <w:t>　受检者对检验数据和检验结论有异议的，可以在接到检验报告之日起15日内向市级产品质量监督管理部门申请复验。</w:t>
      </w:r>
    </w:p>
    <w:p w14:paraId="51A38EA9">
      <w:pPr>
        <w:ind w:firstLine="422"/>
        <w:jc w:val="left"/>
        <w:rPr>
          <w:rFonts w:ascii="宋体" w:hAnsi="宋体"/>
          <w:kern w:val="44"/>
        </w:rPr>
      </w:pPr>
      <w:r>
        <w:rPr>
          <w:rFonts w:hint="eastAsia" w:ascii="宋体" w:hAnsi="宋体"/>
          <w:b/>
          <w:kern w:val="44"/>
        </w:rPr>
        <w:t>第十六条</w:t>
      </w:r>
      <w:r>
        <w:rPr>
          <w:rFonts w:hint="eastAsia" w:ascii="宋体" w:hAnsi="宋体"/>
          <w:kern w:val="44"/>
        </w:rPr>
        <w:t>　产品质量监督管理部门、工商行政管理部门及有关部门对用户、消费者提出的产品质量问题的申诉，应当负责处理。</w:t>
      </w:r>
    </w:p>
    <w:p w14:paraId="410B9A47">
      <w:pPr>
        <w:jc w:val="left"/>
        <w:rPr>
          <w:rFonts w:ascii="宋体" w:hAnsi="宋体"/>
          <w:kern w:val="44"/>
        </w:rPr>
      </w:pPr>
    </w:p>
    <w:p w14:paraId="5656E67E">
      <w:pPr>
        <w:ind w:firstLine="0" w:firstLineChars="0"/>
        <w:jc w:val="center"/>
        <w:rPr>
          <w:rFonts w:ascii="宋体" w:hAnsi="宋体"/>
          <w:b/>
          <w:kern w:val="44"/>
          <w:sz w:val="28"/>
        </w:rPr>
      </w:pPr>
      <w:r>
        <w:rPr>
          <w:rFonts w:hint="eastAsia" w:ascii="宋体" w:hAnsi="宋体"/>
          <w:b/>
          <w:kern w:val="44"/>
          <w:sz w:val="28"/>
        </w:rPr>
        <w:t>第三章　生产者、销售者的产品</w:t>
      </w:r>
    </w:p>
    <w:p w14:paraId="050FE6A5">
      <w:pPr>
        <w:ind w:firstLine="0" w:firstLineChars="0"/>
        <w:jc w:val="center"/>
        <w:rPr>
          <w:rFonts w:ascii="宋体" w:hAnsi="宋体"/>
          <w:b/>
          <w:kern w:val="44"/>
          <w:sz w:val="28"/>
        </w:rPr>
      </w:pPr>
      <w:r>
        <w:rPr>
          <w:rFonts w:hint="eastAsia" w:ascii="宋体" w:hAnsi="宋体"/>
          <w:b/>
          <w:kern w:val="44"/>
          <w:sz w:val="28"/>
        </w:rPr>
        <w:t xml:space="preserve">  质量责任和义务</w:t>
      </w:r>
    </w:p>
    <w:p w14:paraId="35B2D818">
      <w:pPr>
        <w:jc w:val="left"/>
        <w:rPr>
          <w:rFonts w:ascii="宋体" w:hAnsi="宋体"/>
          <w:kern w:val="44"/>
        </w:rPr>
      </w:pPr>
    </w:p>
    <w:p w14:paraId="7EDB75F3">
      <w:pPr>
        <w:ind w:firstLine="422"/>
        <w:jc w:val="left"/>
        <w:rPr>
          <w:rFonts w:ascii="宋体" w:hAnsi="宋体"/>
          <w:kern w:val="44"/>
        </w:rPr>
      </w:pPr>
      <w:r>
        <w:rPr>
          <w:rFonts w:hint="eastAsia" w:ascii="宋体" w:hAnsi="宋体"/>
          <w:b/>
          <w:kern w:val="44"/>
        </w:rPr>
        <w:t>第十七条</w:t>
      </w:r>
      <w:r>
        <w:rPr>
          <w:rFonts w:hint="eastAsia" w:ascii="宋体" w:hAnsi="宋体"/>
          <w:kern w:val="44"/>
        </w:rPr>
        <w:t>　生产者、销售者应当对其生产、销售的产品质量负责。生产、销售的产品质量、标识、包装应当符合《产品质量法》及有关法律、法规的规定。不得生产、销售伪劣产品。</w:t>
      </w:r>
    </w:p>
    <w:p w14:paraId="0CD5B5C5">
      <w:pPr>
        <w:ind w:firstLine="422"/>
        <w:jc w:val="left"/>
        <w:rPr>
          <w:rFonts w:ascii="宋体" w:hAnsi="宋体"/>
          <w:kern w:val="44"/>
        </w:rPr>
      </w:pPr>
      <w:r>
        <w:rPr>
          <w:rFonts w:hint="eastAsia" w:ascii="宋体" w:hAnsi="宋体"/>
          <w:b/>
          <w:kern w:val="44"/>
        </w:rPr>
        <w:t>第十八条</w:t>
      </w:r>
      <w:r>
        <w:rPr>
          <w:rFonts w:hint="eastAsia" w:ascii="宋体" w:hAnsi="宋体"/>
          <w:kern w:val="44"/>
        </w:rPr>
        <w:t>　生产者生产的产品应当具有并符合产品标准。生产食品、药品、饮料、电器、医疗器械等涉及保障人体健康和人身、财产安全的产品，应当符合有关强制性标准。</w:t>
      </w:r>
    </w:p>
    <w:p w14:paraId="075DB502">
      <w:pPr>
        <w:jc w:val="left"/>
        <w:rPr>
          <w:rFonts w:ascii="宋体" w:hAnsi="宋体"/>
          <w:kern w:val="44"/>
        </w:rPr>
      </w:pPr>
      <w:r>
        <w:rPr>
          <w:rFonts w:hint="eastAsia" w:ascii="宋体" w:hAnsi="宋体"/>
          <w:kern w:val="44"/>
        </w:rPr>
        <w:t>企业生产的产品没有国家标准、行业标准和地方标准的，应当制定相应的企业标准，作为组织生产的依据。企业制定和执行的产品标准，应当按照规定向产品质量监督管理部门和有关行政主管部门备案、登记。</w:t>
      </w:r>
    </w:p>
    <w:p w14:paraId="0C39F44F">
      <w:pPr>
        <w:ind w:firstLine="422"/>
        <w:jc w:val="left"/>
        <w:rPr>
          <w:rFonts w:ascii="宋体" w:hAnsi="宋体"/>
          <w:kern w:val="44"/>
        </w:rPr>
      </w:pPr>
      <w:r>
        <w:rPr>
          <w:rFonts w:hint="eastAsia" w:ascii="宋体" w:hAnsi="宋体"/>
          <w:b/>
          <w:kern w:val="44"/>
        </w:rPr>
        <w:t>第十九条</w:t>
      </w:r>
      <w:r>
        <w:rPr>
          <w:rFonts w:hint="eastAsia" w:ascii="宋体" w:hAnsi="宋体"/>
          <w:kern w:val="44"/>
        </w:rPr>
        <w:t>　生产者应当加强产品质量管理，建立、健全质量检验制度，严格实行质量责任制，保证生产的产品质量合格，不合格的产品不得出厂。</w:t>
      </w:r>
    </w:p>
    <w:p w14:paraId="36D635A7">
      <w:pPr>
        <w:ind w:firstLine="422"/>
        <w:jc w:val="left"/>
        <w:rPr>
          <w:rFonts w:ascii="宋体" w:hAnsi="宋体"/>
          <w:kern w:val="44"/>
        </w:rPr>
      </w:pPr>
      <w:r>
        <w:rPr>
          <w:rFonts w:hint="eastAsia" w:ascii="宋体" w:hAnsi="宋体"/>
          <w:b/>
          <w:kern w:val="44"/>
        </w:rPr>
        <w:t>第二十条</w:t>
      </w:r>
      <w:r>
        <w:rPr>
          <w:rFonts w:hint="eastAsia" w:ascii="宋体" w:hAnsi="宋体"/>
          <w:kern w:val="44"/>
        </w:rPr>
        <w:t>　产品质量达不到规定的标准，但仍具备使用性能并且符合安全、卫生要求的，应当在产品或者其包装上标明“处理品”、“残次品”、“等外品”等字样，方可出厂或者销售。法律、法规另有规定的除外。</w:t>
      </w:r>
    </w:p>
    <w:p w14:paraId="4AA5A683">
      <w:pPr>
        <w:ind w:firstLine="422"/>
        <w:jc w:val="left"/>
        <w:rPr>
          <w:rFonts w:ascii="宋体" w:hAnsi="宋体"/>
          <w:kern w:val="44"/>
        </w:rPr>
      </w:pPr>
      <w:r>
        <w:rPr>
          <w:rFonts w:hint="eastAsia" w:ascii="宋体" w:hAnsi="宋体"/>
          <w:b/>
          <w:kern w:val="44"/>
        </w:rPr>
        <w:t>第二十一条</w:t>
      </w:r>
      <w:r>
        <w:rPr>
          <w:rFonts w:hint="eastAsia" w:ascii="宋体" w:hAnsi="宋体"/>
          <w:kern w:val="44"/>
        </w:rPr>
        <w:t>　国家规定实施安全认证的产品，未经安全认证或者安全认证不合格的，不得出厂、销售、进口和使用。</w:t>
      </w:r>
    </w:p>
    <w:p w14:paraId="284F981E">
      <w:pPr>
        <w:jc w:val="left"/>
        <w:rPr>
          <w:rFonts w:ascii="宋体" w:hAnsi="宋体"/>
          <w:kern w:val="44"/>
        </w:rPr>
      </w:pPr>
      <w:r>
        <w:rPr>
          <w:rFonts w:hint="eastAsia" w:ascii="宋体" w:hAnsi="宋体"/>
          <w:kern w:val="44"/>
        </w:rPr>
        <w:t>国家规定实行生产许可证的产品应当在产品或者其包装和说明书上标明生产许可证标记和编号。</w:t>
      </w:r>
    </w:p>
    <w:p w14:paraId="0C87EF9A">
      <w:pPr>
        <w:ind w:firstLine="422"/>
        <w:jc w:val="left"/>
        <w:rPr>
          <w:rFonts w:ascii="宋体" w:hAnsi="宋体"/>
          <w:kern w:val="44"/>
        </w:rPr>
      </w:pPr>
      <w:r>
        <w:rPr>
          <w:rFonts w:hint="eastAsia" w:ascii="宋体" w:hAnsi="宋体"/>
          <w:b/>
          <w:kern w:val="44"/>
        </w:rPr>
        <w:t>第二十二条</w:t>
      </w:r>
      <w:r>
        <w:rPr>
          <w:rFonts w:hint="eastAsia" w:ascii="宋体" w:hAnsi="宋体"/>
          <w:kern w:val="44"/>
        </w:rPr>
        <w:t>　食品、药品、化妆品、农药、化肥等限期使用的产品，应当在产品或者包装上标明生产日期、安全使用期或者失效日期。</w:t>
      </w:r>
    </w:p>
    <w:p w14:paraId="5E4C0A60">
      <w:pPr>
        <w:ind w:firstLine="422"/>
        <w:jc w:val="left"/>
        <w:rPr>
          <w:rFonts w:ascii="宋体" w:hAnsi="宋体"/>
          <w:kern w:val="44"/>
        </w:rPr>
      </w:pPr>
      <w:r>
        <w:rPr>
          <w:rFonts w:hint="eastAsia" w:ascii="宋体" w:hAnsi="宋体"/>
          <w:b/>
          <w:kern w:val="44"/>
        </w:rPr>
        <w:t>第二十三条</w:t>
      </w:r>
      <w:r>
        <w:rPr>
          <w:rFonts w:hint="eastAsia" w:ascii="宋体" w:hAnsi="宋体"/>
          <w:kern w:val="44"/>
        </w:rPr>
        <w:t>　印制者不得非法承接印制产品标识、名优标志、认证标志、防伪标志和条码等或者含以上所列标识、标志的包装物和铭牌。</w:t>
      </w:r>
    </w:p>
    <w:p w14:paraId="74D6454F">
      <w:pPr>
        <w:ind w:firstLine="422"/>
        <w:jc w:val="left"/>
        <w:rPr>
          <w:rFonts w:ascii="宋体" w:hAnsi="宋体"/>
          <w:kern w:val="44"/>
        </w:rPr>
      </w:pPr>
      <w:r>
        <w:rPr>
          <w:rFonts w:hint="eastAsia" w:ascii="宋体" w:hAnsi="宋体"/>
          <w:b/>
          <w:kern w:val="44"/>
        </w:rPr>
        <w:t>第二十四条</w:t>
      </w:r>
      <w:r>
        <w:rPr>
          <w:rFonts w:hint="eastAsia" w:ascii="宋体" w:hAnsi="宋体"/>
          <w:kern w:val="44"/>
        </w:rPr>
        <w:t>　销售者应当加强质量管理，建立、健全质量责任制，执行进货检查验收制度。</w:t>
      </w:r>
    </w:p>
    <w:p w14:paraId="4B8D0B93">
      <w:pPr>
        <w:ind w:firstLine="422"/>
        <w:jc w:val="left"/>
        <w:rPr>
          <w:rFonts w:ascii="宋体" w:hAnsi="宋体"/>
          <w:kern w:val="44"/>
        </w:rPr>
      </w:pPr>
      <w:r>
        <w:rPr>
          <w:rFonts w:hint="eastAsia" w:ascii="宋体" w:hAnsi="宋体"/>
          <w:b/>
          <w:kern w:val="44"/>
        </w:rPr>
        <w:t>第二十五条</w:t>
      </w:r>
      <w:r>
        <w:rPr>
          <w:rFonts w:hint="eastAsia" w:ascii="宋体" w:hAnsi="宋体"/>
          <w:kern w:val="44"/>
        </w:rPr>
        <w:t>　生产者、销售者在产品中不得掺杂、掺假，不得以假充真，以次充好，以旧充新，不得以不合格产品冒充合格产品；不得生产、销售国家明令淘汰的产品。</w:t>
      </w:r>
    </w:p>
    <w:p w14:paraId="7734B2B4">
      <w:pPr>
        <w:ind w:firstLine="422"/>
        <w:jc w:val="left"/>
        <w:rPr>
          <w:rFonts w:ascii="宋体" w:hAnsi="宋体"/>
          <w:kern w:val="44"/>
        </w:rPr>
      </w:pPr>
      <w:r>
        <w:rPr>
          <w:rFonts w:hint="eastAsia" w:ascii="宋体" w:hAnsi="宋体"/>
          <w:b/>
          <w:kern w:val="44"/>
        </w:rPr>
        <w:t>第二十六条</w:t>
      </w:r>
      <w:r>
        <w:rPr>
          <w:rFonts w:hint="eastAsia" w:ascii="宋体" w:hAnsi="宋体"/>
          <w:kern w:val="44"/>
        </w:rPr>
        <w:t>　任何单位和个人不得为生产、销售伪劣产品提供场所等便利条件。</w:t>
      </w:r>
    </w:p>
    <w:p w14:paraId="290B3582">
      <w:pPr>
        <w:ind w:firstLine="422"/>
        <w:jc w:val="left"/>
        <w:rPr>
          <w:rFonts w:ascii="宋体" w:hAnsi="宋体"/>
          <w:kern w:val="44"/>
        </w:rPr>
      </w:pPr>
      <w:r>
        <w:rPr>
          <w:rFonts w:hint="eastAsia" w:ascii="宋体" w:hAnsi="宋体"/>
          <w:b/>
          <w:kern w:val="44"/>
        </w:rPr>
        <w:t>第二十七条</w:t>
      </w:r>
      <w:r>
        <w:rPr>
          <w:rFonts w:hint="eastAsia" w:ascii="宋体" w:hAnsi="宋体"/>
          <w:kern w:val="44"/>
        </w:rPr>
        <w:t>　展销会和专业市场的举办者、柜台出租者对销售的产品质量承担连带责任。</w:t>
      </w:r>
    </w:p>
    <w:p w14:paraId="5AC76F45">
      <w:pPr>
        <w:ind w:firstLine="422"/>
        <w:jc w:val="left"/>
        <w:rPr>
          <w:rFonts w:ascii="宋体" w:hAnsi="宋体"/>
          <w:kern w:val="44"/>
        </w:rPr>
      </w:pPr>
      <w:r>
        <w:rPr>
          <w:rFonts w:hint="eastAsia" w:ascii="宋体" w:hAnsi="宋体"/>
          <w:b/>
          <w:kern w:val="44"/>
        </w:rPr>
        <w:t>第二十八条</w:t>
      </w:r>
      <w:r>
        <w:rPr>
          <w:rFonts w:hint="eastAsia" w:ascii="宋体" w:hAnsi="宋体"/>
          <w:kern w:val="44"/>
        </w:rPr>
        <w:t>　因产品质量不合格或者产品缺陷造成人身伤害、财产损失的，由销售者按照《产品质量法》有关损害赔偿的规定，给予赔偿；需要追偿的，由销售者向生产者追偿。</w:t>
      </w:r>
    </w:p>
    <w:p w14:paraId="4C43E43D">
      <w:pPr>
        <w:ind w:firstLine="422"/>
        <w:jc w:val="left"/>
        <w:rPr>
          <w:rFonts w:ascii="宋体" w:hAnsi="宋体"/>
          <w:kern w:val="44"/>
        </w:rPr>
      </w:pPr>
      <w:r>
        <w:rPr>
          <w:rFonts w:hint="eastAsia" w:ascii="宋体" w:hAnsi="宋体"/>
          <w:b/>
          <w:kern w:val="44"/>
        </w:rPr>
        <w:t>第二十九条</w:t>
      </w:r>
      <w:r>
        <w:rPr>
          <w:rFonts w:hint="eastAsia" w:ascii="宋体" w:hAnsi="宋体"/>
          <w:kern w:val="44"/>
        </w:rPr>
        <w:t>　生产者、销售者因产品质量问题依法承担修理、更换、退货责任时，对大件产品的修理、更换、退货给用户、消费者造成运输费、交通费、误工收入等经济损失的，按照本条例第三十一条的规定处理。</w:t>
      </w:r>
    </w:p>
    <w:p w14:paraId="42F04CDF">
      <w:pPr>
        <w:jc w:val="left"/>
        <w:rPr>
          <w:rFonts w:ascii="宋体" w:hAnsi="宋体"/>
          <w:kern w:val="44"/>
        </w:rPr>
      </w:pPr>
    </w:p>
    <w:p w14:paraId="61AED0DA">
      <w:pPr>
        <w:ind w:firstLine="0" w:firstLineChars="0"/>
        <w:jc w:val="center"/>
        <w:rPr>
          <w:rFonts w:ascii="宋体" w:hAnsi="宋体"/>
          <w:b/>
          <w:kern w:val="44"/>
          <w:sz w:val="28"/>
        </w:rPr>
      </w:pPr>
      <w:r>
        <w:rPr>
          <w:rFonts w:hint="eastAsia" w:ascii="宋体" w:hAnsi="宋体"/>
          <w:b/>
          <w:kern w:val="44"/>
          <w:sz w:val="28"/>
        </w:rPr>
        <w:t>第四章　法律责任</w:t>
      </w:r>
    </w:p>
    <w:p w14:paraId="65A5A3DD">
      <w:pPr>
        <w:jc w:val="left"/>
        <w:rPr>
          <w:rFonts w:ascii="宋体" w:hAnsi="宋体"/>
          <w:kern w:val="44"/>
        </w:rPr>
      </w:pPr>
    </w:p>
    <w:p w14:paraId="11DFE4DD">
      <w:pPr>
        <w:ind w:firstLine="422"/>
        <w:jc w:val="left"/>
        <w:rPr>
          <w:rFonts w:ascii="宋体" w:hAnsi="宋体"/>
          <w:kern w:val="44"/>
        </w:rPr>
      </w:pPr>
      <w:r>
        <w:rPr>
          <w:rFonts w:hint="eastAsia" w:ascii="宋体" w:hAnsi="宋体"/>
          <w:b/>
          <w:kern w:val="44"/>
        </w:rPr>
        <w:t>第三十条</w:t>
      </w:r>
      <w:r>
        <w:rPr>
          <w:rFonts w:hint="eastAsia" w:ascii="宋体" w:hAnsi="宋体"/>
          <w:kern w:val="44"/>
        </w:rPr>
        <w:t>　违反本条例第十七条、第二十条、第二十一条第一款、第二十五条、第二十八条规定的，依据《产品质量法》及有关法律、法规的规定处罚；构成犯罪的，依法追究刑事责任。</w:t>
      </w:r>
    </w:p>
    <w:p w14:paraId="4F9E0EFF">
      <w:pPr>
        <w:ind w:firstLine="422"/>
        <w:jc w:val="left"/>
        <w:rPr>
          <w:rFonts w:ascii="宋体" w:hAnsi="宋体"/>
          <w:b/>
          <w:kern w:val="44"/>
        </w:rPr>
      </w:pPr>
      <w:r>
        <w:rPr>
          <w:rFonts w:hint="eastAsia" w:ascii="宋体" w:hAnsi="宋体"/>
          <w:b/>
          <w:kern w:val="44"/>
        </w:rPr>
        <w:t xml:space="preserve">第三十一条  </w:t>
      </w:r>
      <w:r>
        <w:rPr>
          <w:rFonts w:hint="eastAsia" w:ascii="宋体" w:hAnsi="宋体"/>
          <w:kern w:val="44"/>
        </w:rPr>
        <w:t>违反本条例第二十一条第二款规定的，责令限期改进，并可通报批评或者给予责任者行政处分。</w:t>
      </w:r>
    </w:p>
    <w:p w14:paraId="0E48896F">
      <w:pPr>
        <w:ind w:firstLine="422"/>
        <w:jc w:val="left"/>
        <w:rPr>
          <w:rFonts w:ascii="宋体" w:hAnsi="宋体"/>
          <w:kern w:val="44"/>
        </w:rPr>
      </w:pPr>
      <w:r>
        <w:rPr>
          <w:rFonts w:hint="eastAsia" w:ascii="宋体" w:hAnsi="宋体"/>
          <w:b/>
          <w:kern w:val="44"/>
        </w:rPr>
        <w:t>第三十二条</w:t>
      </w:r>
      <w:r>
        <w:rPr>
          <w:rFonts w:hint="eastAsia" w:ascii="宋体" w:hAnsi="宋体"/>
          <w:kern w:val="44"/>
        </w:rPr>
        <w:t>　违反本条例第二十四条第一款规定的，责令停止销售，处以违法所得3倍以下的罚款，并可以对该违法单位负责人处以5000元以下的罚款。</w:t>
      </w:r>
    </w:p>
    <w:p w14:paraId="4EA54E2B">
      <w:pPr>
        <w:ind w:firstLine="422"/>
        <w:jc w:val="left"/>
        <w:rPr>
          <w:rFonts w:ascii="宋体" w:hAnsi="宋体"/>
          <w:kern w:val="44"/>
        </w:rPr>
      </w:pPr>
      <w:r>
        <w:rPr>
          <w:rFonts w:hint="eastAsia" w:ascii="宋体" w:hAnsi="宋体"/>
          <w:b/>
          <w:kern w:val="44"/>
        </w:rPr>
        <w:t>第三十三条</w:t>
      </w:r>
      <w:r>
        <w:rPr>
          <w:rFonts w:hint="eastAsia" w:ascii="宋体" w:hAnsi="宋体"/>
          <w:kern w:val="44"/>
        </w:rPr>
        <w:t>　违反本条例第二十六条规定的，责令改正，并可按有关法律、法规的规定处罚。</w:t>
      </w:r>
    </w:p>
    <w:p w14:paraId="130FBE39">
      <w:pPr>
        <w:ind w:firstLine="422"/>
        <w:jc w:val="left"/>
        <w:rPr>
          <w:rFonts w:ascii="宋体" w:hAnsi="宋体"/>
          <w:kern w:val="44"/>
        </w:rPr>
      </w:pPr>
      <w:r>
        <w:rPr>
          <w:rFonts w:hint="eastAsia" w:ascii="宋体" w:hAnsi="宋体"/>
          <w:b/>
          <w:kern w:val="44"/>
        </w:rPr>
        <w:t>第三十四条</w:t>
      </w:r>
      <w:r>
        <w:rPr>
          <w:rFonts w:hint="eastAsia" w:ascii="宋体" w:hAnsi="宋体"/>
          <w:kern w:val="44"/>
        </w:rPr>
        <w:t>　违反本条例第二十三条规定的，责令停止生产、销售，没收违法所得，并处以违法所得1倍以上5倍以下的罚款，可以吊销营业执照；构成犯罪的，依法追究刑事责任。</w:t>
      </w:r>
    </w:p>
    <w:p w14:paraId="56FC9DF4">
      <w:pPr>
        <w:ind w:firstLine="422"/>
        <w:jc w:val="left"/>
        <w:rPr>
          <w:rFonts w:ascii="宋体" w:hAnsi="宋体"/>
          <w:kern w:val="44"/>
        </w:rPr>
      </w:pPr>
      <w:r>
        <w:rPr>
          <w:rFonts w:hint="eastAsia" w:ascii="宋体" w:hAnsi="宋体"/>
          <w:b/>
          <w:kern w:val="44"/>
        </w:rPr>
        <w:t>第三十五条</w:t>
      </w:r>
      <w:r>
        <w:rPr>
          <w:rFonts w:hint="eastAsia" w:ascii="宋体" w:hAnsi="宋体"/>
          <w:kern w:val="44"/>
        </w:rPr>
        <w:t>　违反本条例第二十九条规定，为生产、销售伪劣产品提供场所等便利条件的，责令改正；拒不改正的，没收违法所得，并处以违法所得1倍以上5倍以下的罚款。</w:t>
      </w:r>
    </w:p>
    <w:p w14:paraId="318FB1B1">
      <w:pPr>
        <w:ind w:firstLine="422"/>
        <w:jc w:val="left"/>
        <w:rPr>
          <w:rFonts w:ascii="宋体" w:hAnsi="宋体"/>
          <w:kern w:val="44"/>
        </w:rPr>
      </w:pPr>
      <w:r>
        <w:rPr>
          <w:rFonts w:hint="eastAsia" w:ascii="宋体" w:hAnsi="宋体"/>
          <w:b/>
          <w:kern w:val="44"/>
        </w:rPr>
        <w:t>第三十六条</w:t>
      </w:r>
      <w:r>
        <w:rPr>
          <w:rFonts w:hint="eastAsia" w:ascii="宋体" w:hAnsi="宋体"/>
          <w:kern w:val="44"/>
        </w:rPr>
        <w:t>　违反本条例第三十二条、第三十三条规定的，依照保护消费者合法权益的法律、法规的有关规定处理。</w:t>
      </w:r>
    </w:p>
    <w:p w14:paraId="2BF39536">
      <w:pPr>
        <w:ind w:firstLine="422"/>
        <w:jc w:val="left"/>
        <w:rPr>
          <w:rFonts w:ascii="宋体" w:hAnsi="宋体"/>
          <w:kern w:val="44"/>
        </w:rPr>
      </w:pPr>
      <w:r>
        <w:rPr>
          <w:rFonts w:hint="eastAsia" w:ascii="宋体" w:hAnsi="宋体"/>
          <w:b/>
          <w:kern w:val="44"/>
        </w:rPr>
        <w:t>第三十七条</w:t>
      </w:r>
      <w:r>
        <w:rPr>
          <w:rFonts w:hint="eastAsia" w:ascii="宋体" w:hAnsi="宋体"/>
          <w:kern w:val="44"/>
        </w:rPr>
        <w:t>　在产品质量监督检查中，被检查的生产者、销售者，拒不提供协议、账册、单据、文件、记录、业务函电等有关证据资料的，责令改正。</w:t>
      </w:r>
    </w:p>
    <w:p w14:paraId="63654F0C">
      <w:pPr>
        <w:jc w:val="left"/>
        <w:rPr>
          <w:rFonts w:ascii="宋体" w:hAnsi="宋体"/>
          <w:kern w:val="44"/>
        </w:rPr>
      </w:pPr>
      <w:r>
        <w:rPr>
          <w:rFonts w:hint="eastAsia" w:ascii="宋体" w:hAnsi="宋体"/>
          <w:kern w:val="44"/>
        </w:rPr>
        <w:t>生产者、销售者有违反被责令暂停销售，不得转移、隐匿、销毁与严重质量违法行为有关财物的行为的，根据情节，处以被销售、转移、隐匿、销毁财物价款的1倍以上3倍以下的罚款。</w:t>
      </w:r>
    </w:p>
    <w:p w14:paraId="6DAF15AB">
      <w:pPr>
        <w:ind w:firstLine="422"/>
        <w:jc w:val="left"/>
        <w:rPr>
          <w:rFonts w:ascii="宋体" w:hAnsi="宋体"/>
          <w:kern w:val="44"/>
        </w:rPr>
      </w:pPr>
      <w:r>
        <w:rPr>
          <w:rFonts w:hint="eastAsia" w:ascii="宋体" w:hAnsi="宋体"/>
          <w:b/>
          <w:kern w:val="44"/>
        </w:rPr>
        <w:t>第三十八条</w:t>
      </w:r>
      <w:r>
        <w:rPr>
          <w:rFonts w:hint="eastAsia" w:ascii="宋体" w:hAnsi="宋体"/>
          <w:kern w:val="44"/>
        </w:rPr>
        <w:t>　本条例规定的吊销营业执照的行政处罚，由工商行政管理部门决定，其他行政处罚由产品质量监督管理部门或者工商行政管理部门按照各自的职责权限决定。对日常监督检查中发现的销售伪劣产品的行为，按照谁先立案谁查处的原则处理。</w:t>
      </w:r>
    </w:p>
    <w:p w14:paraId="790E0E5D">
      <w:pPr>
        <w:jc w:val="left"/>
        <w:rPr>
          <w:rFonts w:ascii="宋体" w:hAnsi="宋体"/>
          <w:kern w:val="44"/>
        </w:rPr>
      </w:pPr>
      <w:r>
        <w:rPr>
          <w:rFonts w:hint="eastAsia" w:ascii="宋体" w:hAnsi="宋体"/>
          <w:kern w:val="44"/>
        </w:rPr>
        <w:t>法律、法规对行使行政处罚权的机关另有规定的，从其规定。</w:t>
      </w:r>
    </w:p>
    <w:p w14:paraId="5390A177">
      <w:pPr>
        <w:ind w:firstLine="422"/>
        <w:jc w:val="left"/>
        <w:rPr>
          <w:rFonts w:ascii="宋体" w:hAnsi="宋体"/>
          <w:kern w:val="44"/>
        </w:rPr>
      </w:pPr>
      <w:r>
        <w:rPr>
          <w:rFonts w:hint="eastAsia" w:ascii="宋体" w:hAnsi="宋体"/>
          <w:b/>
          <w:kern w:val="44"/>
        </w:rPr>
        <w:t>第三十九条</w:t>
      </w:r>
      <w:r>
        <w:rPr>
          <w:rFonts w:hint="eastAsia" w:ascii="宋体" w:hAnsi="宋体"/>
          <w:kern w:val="44"/>
        </w:rPr>
        <w:t>　产品质量监督管理部门及其行政执法人员在行使行政职权时，给生产者、销售者合法财产造成损害的，依法承担行政赔偿责任。行政执法人员滥用职权、玩忽职守、徇私舞弊，构成犯罪的，依法追究刑事责任；不构成犯罪的，给予行政处分。</w:t>
      </w:r>
    </w:p>
    <w:p w14:paraId="76F66AFD">
      <w:pPr>
        <w:jc w:val="left"/>
        <w:rPr>
          <w:rFonts w:ascii="宋体" w:hAnsi="宋体"/>
          <w:kern w:val="44"/>
        </w:rPr>
      </w:pPr>
    </w:p>
    <w:p w14:paraId="48CDA26B">
      <w:pPr>
        <w:ind w:firstLine="0" w:firstLineChars="0"/>
        <w:jc w:val="center"/>
        <w:rPr>
          <w:rFonts w:hint="eastAsia" w:ascii="宋体" w:hAnsi="宋体"/>
          <w:b/>
          <w:kern w:val="44"/>
          <w:sz w:val="28"/>
        </w:rPr>
      </w:pPr>
    </w:p>
    <w:p w14:paraId="27FDBE58">
      <w:pPr>
        <w:ind w:firstLine="0" w:firstLineChars="0"/>
        <w:jc w:val="center"/>
        <w:rPr>
          <w:rFonts w:hint="eastAsia" w:ascii="宋体" w:hAnsi="宋体"/>
          <w:b/>
          <w:kern w:val="44"/>
          <w:sz w:val="28"/>
        </w:rPr>
      </w:pPr>
    </w:p>
    <w:p w14:paraId="69B31F7E">
      <w:pPr>
        <w:ind w:firstLine="0" w:firstLineChars="0"/>
        <w:jc w:val="center"/>
        <w:rPr>
          <w:rFonts w:ascii="宋体" w:hAnsi="宋体"/>
          <w:b/>
          <w:kern w:val="44"/>
          <w:sz w:val="28"/>
        </w:rPr>
      </w:pPr>
      <w:r>
        <w:rPr>
          <w:rFonts w:hint="eastAsia" w:ascii="宋体" w:hAnsi="宋体"/>
          <w:b/>
          <w:kern w:val="44"/>
          <w:sz w:val="28"/>
        </w:rPr>
        <w:t>第五章　附　则</w:t>
      </w:r>
    </w:p>
    <w:p w14:paraId="3333F104">
      <w:pPr>
        <w:ind w:left="0" w:leftChars="0" w:firstLine="0" w:firstLineChars="0"/>
        <w:jc w:val="left"/>
        <w:rPr>
          <w:rFonts w:ascii="宋体" w:hAnsi="宋体"/>
          <w:kern w:val="44"/>
        </w:rPr>
      </w:pPr>
    </w:p>
    <w:p w14:paraId="3B85ACE0">
      <w:pPr>
        <w:ind w:firstLine="422"/>
        <w:jc w:val="left"/>
        <w:rPr>
          <w:rFonts w:ascii="宋体" w:hAnsi="宋体"/>
          <w:kern w:val="44"/>
        </w:rPr>
      </w:pPr>
      <w:r>
        <w:rPr>
          <w:rFonts w:hint="eastAsia" w:ascii="宋体" w:hAnsi="宋体"/>
          <w:b/>
          <w:kern w:val="44"/>
        </w:rPr>
        <w:t>第四十条</w:t>
      </w:r>
      <w:r>
        <w:rPr>
          <w:rFonts w:hint="eastAsia" w:ascii="宋体" w:hAnsi="宋体"/>
          <w:kern w:val="44"/>
        </w:rPr>
        <w:t>　本条例具体应用中的问题由市人民政府解释。</w:t>
      </w:r>
    </w:p>
    <w:p w14:paraId="36C6E9DD">
      <w:pPr>
        <w:ind w:firstLine="422"/>
        <w:jc w:val="left"/>
        <w:rPr>
          <w:rFonts w:ascii="宋体" w:hAnsi="宋体"/>
          <w:kern w:val="44"/>
        </w:rPr>
      </w:pPr>
      <w:r>
        <w:rPr>
          <w:rFonts w:hint="eastAsia" w:ascii="宋体" w:hAnsi="宋体"/>
          <w:b/>
          <w:kern w:val="44"/>
        </w:rPr>
        <w:t>第四十一条</w:t>
      </w:r>
      <w:r>
        <w:rPr>
          <w:rFonts w:hint="eastAsia" w:ascii="宋体" w:hAnsi="宋体"/>
          <w:kern w:val="44"/>
        </w:rPr>
        <w:t>　本条例自1994年9月1日起施行。1986年9月10日北京市第八届人民代表大会常务委员会第三十次会议通过的《北京市工业产品质量监督条例》同时废止。</w:t>
      </w:r>
    </w:p>
    <w:p w14:paraId="56274CBD">
      <w:pPr>
        <w:pStyle w:val="4"/>
        <w:pageBreakBefore/>
        <w:rPr>
          <w:kern w:val="44"/>
        </w:rPr>
      </w:pPr>
      <w:bookmarkStart w:id="1187" w:name="_Toc422471315"/>
      <w:bookmarkStart w:id="1188" w:name="_Toc428781640"/>
      <w:bookmarkStart w:id="1189" w:name="_Toc428780158"/>
      <w:bookmarkStart w:id="1190" w:name="_Toc427651592"/>
      <w:bookmarkStart w:id="1191" w:name="_Toc427651934"/>
      <w:r>
        <w:rPr>
          <w:rFonts w:hint="eastAsia"/>
          <w:kern w:val="44"/>
        </w:rPr>
        <w:t>北京市实施《中华人民共和国</w:t>
      </w:r>
      <w:bookmarkEnd w:id="1187"/>
      <w:bookmarkStart w:id="1192" w:name="_Toc422471316"/>
      <w:r>
        <w:rPr>
          <w:rFonts w:hint="eastAsia"/>
          <w:kern w:val="44"/>
        </w:rPr>
        <w:t>强制检定的</w:t>
      </w:r>
      <w:bookmarkEnd w:id="1188"/>
      <w:bookmarkEnd w:id="1189"/>
      <w:bookmarkEnd w:id="1190"/>
      <w:bookmarkEnd w:id="1191"/>
    </w:p>
    <w:p w14:paraId="15D8DD90">
      <w:pPr>
        <w:pStyle w:val="4"/>
        <w:rPr>
          <w:kern w:val="44"/>
        </w:rPr>
      </w:pPr>
      <w:bookmarkStart w:id="1193" w:name="_Toc428780159"/>
      <w:bookmarkStart w:id="1194" w:name="_Toc427651593"/>
      <w:bookmarkStart w:id="1195" w:name="_Toc428781641"/>
      <w:bookmarkStart w:id="1196" w:name="_Toc427651935"/>
      <w:r>
        <w:rPr>
          <w:rFonts w:hint="eastAsia"/>
          <w:kern w:val="44"/>
        </w:rPr>
        <w:t>工作计量器具检定</w:t>
      </w:r>
      <w:bookmarkEnd w:id="1192"/>
      <w:bookmarkStart w:id="1197" w:name="_Toc422471317"/>
      <w:r>
        <w:rPr>
          <w:rFonts w:hint="eastAsia"/>
          <w:kern w:val="44"/>
        </w:rPr>
        <w:t>管理办法》的若干规定</w:t>
      </w:r>
      <w:bookmarkEnd w:id="1193"/>
      <w:bookmarkEnd w:id="1194"/>
      <w:bookmarkEnd w:id="1195"/>
      <w:bookmarkEnd w:id="1196"/>
      <w:bookmarkEnd w:id="1197"/>
    </w:p>
    <w:p w14:paraId="62DBC100">
      <w:pPr>
        <w:ind w:left="630" w:leftChars="300" w:right="630" w:rightChars="300"/>
        <w:jc w:val="left"/>
        <w:rPr>
          <w:rFonts w:ascii="楷体" w:hAnsi="楷体" w:eastAsia="楷体"/>
          <w:kern w:val="44"/>
        </w:rPr>
      </w:pPr>
      <w:r>
        <w:rPr>
          <w:rFonts w:hint="eastAsia" w:ascii="楷体" w:hAnsi="楷体" w:eastAsia="楷体"/>
          <w:kern w:val="44"/>
        </w:rPr>
        <w:t>（1987年11月7日北京市人民政府京政发140号文件发布）</w:t>
      </w:r>
    </w:p>
    <w:p w14:paraId="5ECAC67F">
      <w:pPr>
        <w:jc w:val="left"/>
        <w:rPr>
          <w:rFonts w:ascii="宋体" w:hAnsi="宋体"/>
          <w:kern w:val="44"/>
        </w:rPr>
      </w:pPr>
    </w:p>
    <w:p w14:paraId="63B31A05">
      <w:pPr>
        <w:jc w:val="left"/>
        <w:rPr>
          <w:rFonts w:ascii="宋体" w:hAnsi="宋体"/>
          <w:kern w:val="44"/>
        </w:rPr>
      </w:pPr>
      <w:r>
        <w:rPr>
          <w:rFonts w:hint="eastAsia" w:ascii="宋体" w:hAnsi="宋体"/>
          <w:kern w:val="44"/>
        </w:rPr>
        <w:t>为实施《中华人民共和国强制检定的工作计量器具检定管理办法》，特作以下规定：</w:t>
      </w:r>
    </w:p>
    <w:p w14:paraId="4C87482E">
      <w:pPr>
        <w:ind w:firstLine="422"/>
        <w:jc w:val="left"/>
        <w:rPr>
          <w:rFonts w:ascii="宋体" w:hAnsi="宋体"/>
          <w:kern w:val="44"/>
        </w:rPr>
      </w:pPr>
      <w:r>
        <w:rPr>
          <w:rFonts w:hint="eastAsia" w:ascii="宋体" w:hAnsi="宋体"/>
          <w:b/>
          <w:kern w:val="44"/>
        </w:rPr>
        <w:t>一、</w:t>
      </w:r>
      <w:r>
        <w:rPr>
          <w:rFonts w:hint="eastAsia" w:ascii="宋体" w:hAnsi="宋体"/>
          <w:kern w:val="44"/>
        </w:rPr>
        <w:t>本市行政区域内凡用于贸易结算、医疗卫生、环境监测、安全防护方面，并列入《北京市强制检定的工作计量器具管理目录》的工作计量器具（以下简称计量器具）的检定工作，均按本规定管理。</w:t>
      </w:r>
    </w:p>
    <w:p w14:paraId="0B0BEFC5">
      <w:pPr>
        <w:jc w:val="left"/>
        <w:rPr>
          <w:rFonts w:ascii="宋体" w:hAnsi="宋体"/>
          <w:kern w:val="44"/>
        </w:rPr>
      </w:pPr>
      <w:r>
        <w:rPr>
          <w:rFonts w:hint="eastAsia" w:ascii="宋体" w:hAnsi="宋体"/>
          <w:kern w:val="44"/>
        </w:rPr>
        <w:t>《北京市强制检定的工作计量器具管理目录》由市技术监督局公布。</w:t>
      </w:r>
    </w:p>
    <w:p w14:paraId="4BD7A605">
      <w:pPr>
        <w:ind w:firstLine="422"/>
        <w:jc w:val="left"/>
        <w:rPr>
          <w:rFonts w:ascii="宋体" w:hAnsi="宋体"/>
          <w:kern w:val="44"/>
        </w:rPr>
      </w:pPr>
      <w:r>
        <w:rPr>
          <w:rFonts w:hint="eastAsia" w:ascii="宋体" w:hAnsi="宋体"/>
          <w:b/>
          <w:kern w:val="44"/>
        </w:rPr>
        <w:t>二、</w:t>
      </w:r>
      <w:r>
        <w:rPr>
          <w:rFonts w:hint="eastAsia" w:ascii="宋体" w:hAnsi="宋体"/>
          <w:kern w:val="44"/>
        </w:rPr>
        <w:t>市技术监督局对全市的强制检定工作统一实施监督管理；指定所属或授权的计量检定机构执行强制检定任务。</w:t>
      </w:r>
    </w:p>
    <w:p w14:paraId="1FFFC92A">
      <w:pPr>
        <w:jc w:val="left"/>
        <w:rPr>
          <w:rFonts w:ascii="宋体" w:hAnsi="宋体"/>
          <w:kern w:val="44"/>
        </w:rPr>
      </w:pPr>
      <w:r>
        <w:rPr>
          <w:rFonts w:hint="eastAsia" w:ascii="宋体" w:hAnsi="宋体"/>
          <w:kern w:val="44"/>
        </w:rPr>
        <w:t>区、县政府计量管理部门对本区、县的强制检定工作统一实施监督管理；指定所属或授权的计量检定机构执行强制检定任务。</w:t>
      </w:r>
    </w:p>
    <w:p w14:paraId="2E5260C1">
      <w:pPr>
        <w:ind w:firstLine="422"/>
        <w:jc w:val="left"/>
        <w:rPr>
          <w:rFonts w:ascii="宋体" w:hAnsi="宋体"/>
          <w:kern w:val="44"/>
        </w:rPr>
      </w:pPr>
      <w:r>
        <w:rPr>
          <w:rFonts w:hint="eastAsia" w:ascii="宋体" w:hAnsi="宋体"/>
          <w:b/>
          <w:kern w:val="44"/>
        </w:rPr>
        <w:t>三、</w:t>
      </w:r>
      <w:r>
        <w:rPr>
          <w:rFonts w:hint="eastAsia" w:ascii="宋体" w:hAnsi="宋体"/>
          <w:kern w:val="44"/>
        </w:rPr>
        <w:t>被授权执行强制检定任务的计量检定机构（以下简称强制检定机构）必须具备下列条件：</w:t>
      </w:r>
    </w:p>
    <w:p w14:paraId="43B47384">
      <w:pPr>
        <w:jc w:val="left"/>
        <w:rPr>
          <w:rFonts w:ascii="宋体" w:hAnsi="宋体"/>
          <w:kern w:val="44"/>
        </w:rPr>
      </w:pPr>
      <w:r>
        <w:rPr>
          <w:rFonts w:hint="eastAsia" w:ascii="宋体" w:hAnsi="宋体"/>
          <w:kern w:val="44"/>
        </w:rPr>
        <w:t>（一）具有经计量管理部门考核合格并获得《北京市计量检定员证》的计量检定人员。</w:t>
      </w:r>
    </w:p>
    <w:p w14:paraId="5172AE50">
      <w:pPr>
        <w:jc w:val="left"/>
        <w:rPr>
          <w:rFonts w:ascii="宋体" w:hAnsi="宋体"/>
          <w:kern w:val="44"/>
        </w:rPr>
      </w:pPr>
      <w:r>
        <w:rPr>
          <w:rFonts w:hint="eastAsia" w:ascii="宋体" w:hAnsi="宋体"/>
          <w:kern w:val="44"/>
        </w:rPr>
        <w:t>（二）具有经计量管理部门检定合格，并发给合格证书的计量标准器具。</w:t>
      </w:r>
    </w:p>
    <w:p w14:paraId="287AA21A">
      <w:pPr>
        <w:jc w:val="left"/>
        <w:rPr>
          <w:rFonts w:ascii="宋体" w:hAnsi="宋体"/>
          <w:kern w:val="44"/>
        </w:rPr>
      </w:pPr>
      <w:r>
        <w:rPr>
          <w:rFonts w:hint="eastAsia" w:ascii="宋体" w:hAnsi="宋体"/>
          <w:kern w:val="44"/>
        </w:rPr>
        <w:t>（三）具有与其承担的强制检定任务相适应的环境条件、检定设备和技术力量。</w:t>
      </w:r>
    </w:p>
    <w:p w14:paraId="0EEC5C60">
      <w:pPr>
        <w:jc w:val="left"/>
        <w:rPr>
          <w:rFonts w:ascii="宋体" w:hAnsi="宋体"/>
          <w:kern w:val="44"/>
        </w:rPr>
      </w:pPr>
      <w:r>
        <w:rPr>
          <w:rFonts w:hint="eastAsia" w:ascii="宋体" w:hAnsi="宋体"/>
          <w:kern w:val="44"/>
        </w:rPr>
        <w:t>（四）具有完善的管理制度。</w:t>
      </w:r>
    </w:p>
    <w:p w14:paraId="29E43679">
      <w:pPr>
        <w:ind w:firstLine="422"/>
        <w:jc w:val="left"/>
        <w:rPr>
          <w:rFonts w:ascii="宋体" w:hAnsi="宋体"/>
          <w:kern w:val="44"/>
        </w:rPr>
      </w:pPr>
      <w:r>
        <w:rPr>
          <w:rFonts w:hint="eastAsia" w:ascii="宋体" w:hAnsi="宋体"/>
          <w:b/>
          <w:kern w:val="44"/>
        </w:rPr>
        <w:t>四、</w:t>
      </w:r>
      <w:r>
        <w:rPr>
          <w:rFonts w:hint="eastAsia" w:ascii="宋体" w:hAnsi="宋体"/>
          <w:kern w:val="44"/>
        </w:rPr>
        <w:t>执行跨区、县以及全市专业性强制检定任务的计量检定机构，由市技术监督局考核和授权。</w:t>
      </w:r>
    </w:p>
    <w:p w14:paraId="69F5DC21">
      <w:pPr>
        <w:jc w:val="left"/>
        <w:rPr>
          <w:rFonts w:ascii="宋体" w:hAnsi="宋体"/>
          <w:kern w:val="44"/>
        </w:rPr>
      </w:pPr>
      <w:r>
        <w:rPr>
          <w:rFonts w:hint="eastAsia" w:ascii="宋体" w:hAnsi="宋体"/>
          <w:kern w:val="44"/>
        </w:rPr>
        <w:t>执行区、县或部门、单位内部强制检定的任务的计量检定机构，由区、县政府计量管理部门考核和援权。区、县政府计量管理部门考核有困难的项目，由市技术监督局考核。</w:t>
      </w:r>
    </w:p>
    <w:p w14:paraId="6C66D756">
      <w:pPr>
        <w:ind w:firstLine="422"/>
        <w:jc w:val="left"/>
        <w:rPr>
          <w:rFonts w:ascii="宋体" w:hAnsi="宋体"/>
          <w:kern w:val="44"/>
        </w:rPr>
      </w:pPr>
      <w:r>
        <w:rPr>
          <w:rFonts w:hint="eastAsia" w:ascii="宋体" w:hAnsi="宋体"/>
          <w:b/>
          <w:kern w:val="44"/>
        </w:rPr>
        <w:t>五、</w:t>
      </w:r>
      <w:r>
        <w:rPr>
          <w:rFonts w:hint="eastAsia" w:ascii="宋体" w:hAnsi="宋体"/>
          <w:kern w:val="44"/>
        </w:rPr>
        <w:t>计量管理部门授权强制检定机构，应给予授权证书，无授权证书的，不得执行强制检定任务。</w:t>
      </w:r>
    </w:p>
    <w:p w14:paraId="0A54A13B">
      <w:pPr>
        <w:ind w:firstLine="422"/>
        <w:jc w:val="left"/>
        <w:rPr>
          <w:rFonts w:ascii="宋体" w:hAnsi="宋体"/>
          <w:kern w:val="44"/>
        </w:rPr>
      </w:pPr>
      <w:r>
        <w:rPr>
          <w:rFonts w:hint="eastAsia" w:ascii="宋体" w:hAnsi="宋体"/>
          <w:b/>
          <w:kern w:val="44"/>
        </w:rPr>
        <w:t>六、</w:t>
      </w:r>
      <w:r>
        <w:rPr>
          <w:rFonts w:hint="eastAsia" w:ascii="宋体" w:hAnsi="宋体"/>
          <w:kern w:val="44"/>
        </w:rPr>
        <w:t>使用计量器具的单位和个人，应按照规定对计量器具进行登记造册，报所在区、县政府计量管理部门备案，并向授权的强制检定机构申请周期检定。区、县不能检定的，向市技术监督局授权的强制检定机构申请周期检定。</w:t>
      </w:r>
    </w:p>
    <w:p w14:paraId="6C55BAF6">
      <w:pPr>
        <w:ind w:firstLine="422"/>
        <w:jc w:val="left"/>
        <w:rPr>
          <w:rFonts w:ascii="宋体" w:hAnsi="宋体"/>
          <w:kern w:val="44"/>
        </w:rPr>
      </w:pPr>
      <w:r>
        <w:rPr>
          <w:rFonts w:hint="eastAsia" w:ascii="宋体" w:hAnsi="宋体"/>
          <w:b/>
          <w:kern w:val="44"/>
        </w:rPr>
        <w:t>七、</w:t>
      </w:r>
      <w:r>
        <w:rPr>
          <w:rFonts w:hint="eastAsia" w:ascii="宋体" w:hAnsi="宋体"/>
          <w:kern w:val="44"/>
        </w:rPr>
        <w:t>申请计量器具周期检定的单位和个人，应填报《北京市强制检定的工作计量器具周期检定申请表》。计量器具的检定周期，由强制检定机构根据规程和计量器具的使用情况确定。检定周期确定后即具有法定效力，必须认真执行，不得随意更改和违反。</w:t>
      </w:r>
    </w:p>
    <w:p w14:paraId="40BCFFB9">
      <w:pPr>
        <w:ind w:firstLine="422"/>
        <w:jc w:val="left"/>
        <w:rPr>
          <w:rFonts w:ascii="宋体" w:hAnsi="宋体"/>
          <w:kern w:val="44"/>
        </w:rPr>
      </w:pPr>
      <w:r>
        <w:rPr>
          <w:rFonts w:hint="eastAsia" w:ascii="宋体" w:hAnsi="宋体"/>
          <w:b/>
          <w:kern w:val="44"/>
        </w:rPr>
        <w:t>八、</w:t>
      </w:r>
      <w:r>
        <w:rPr>
          <w:rFonts w:hint="eastAsia" w:ascii="宋体" w:hAnsi="宋体"/>
          <w:kern w:val="44"/>
        </w:rPr>
        <w:t>强制检定机构对检定合格的计量器具，发给检定合格证或加盖检定合格印；对检定不合格的，发给检定结果通知书或吊销原检定合格证、合格印。</w:t>
      </w:r>
    </w:p>
    <w:p w14:paraId="5DF4A018">
      <w:pPr>
        <w:ind w:firstLine="422"/>
        <w:jc w:val="left"/>
        <w:rPr>
          <w:rFonts w:ascii="宋体" w:hAnsi="宋体"/>
          <w:kern w:val="44"/>
        </w:rPr>
      </w:pPr>
      <w:r>
        <w:rPr>
          <w:rFonts w:hint="eastAsia" w:ascii="宋体" w:hAnsi="宋体"/>
          <w:b/>
          <w:kern w:val="44"/>
        </w:rPr>
        <w:t>九、</w:t>
      </w:r>
      <w:r>
        <w:rPr>
          <w:rFonts w:hint="eastAsia" w:ascii="宋体" w:hAnsi="宋体"/>
          <w:kern w:val="44"/>
        </w:rPr>
        <w:t>新购置、修复、安装、调试的计量器具，必须经强制检定机构检定合格后，方准使用。</w:t>
      </w:r>
    </w:p>
    <w:p w14:paraId="74153FB4">
      <w:pPr>
        <w:ind w:firstLine="422"/>
        <w:jc w:val="left"/>
        <w:rPr>
          <w:rFonts w:ascii="宋体" w:hAnsi="宋体"/>
          <w:kern w:val="44"/>
        </w:rPr>
      </w:pPr>
      <w:r>
        <w:rPr>
          <w:rFonts w:hint="eastAsia" w:ascii="宋体" w:hAnsi="宋体"/>
          <w:b/>
          <w:kern w:val="44"/>
        </w:rPr>
        <w:t>十、</w:t>
      </w:r>
      <w:r>
        <w:rPr>
          <w:rFonts w:hint="eastAsia" w:ascii="宋体" w:hAnsi="宋体"/>
          <w:kern w:val="44"/>
        </w:rPr>
        <w:t>禁止使用下列计量器具：</w:t>
      </w:r>
    </w:p>
    <w:p w14:paraId="2073D6CB">
      <w:pPr>
        <w:jc w:val="left"/>
        <w:rPr>
          <w:rFonts w:ascii="宋体" w:hAnsi="宋体"/>
          <w:kern w:val="44"/>
        </w:rPr>
      </w:pPr>
      <w:r>
        <w:rPr>
          <w:rFonts w:hint="eastAsia" w:ascii="宋体" w:hAnsi="宋体"/>
          <w:kern w:val="44"/>
        </w:rPr>
        <w:t>（一）未按规定的检定周期检定的；</w:t>
      </w:r>
    </w:p>
    <w:p w14:paraId="5E100FFF">
      <w:pPr>
        <w:jc w:val="left"/>
        <w:rPr>
          <w:rFonts w:ascii="宋体" w:hAnsi="宋体"/>
          <w:kern w:val="44"/>
        </w:rPr>
      </w:pPr>
      <w:r>
        <w:rPr>
          <w:rFonts w:hint="eastAsia" w:ascii="宋体" w:hAnsi="宋体"/>
          <w:kern w:val="44"/>
        </w:rPr>
        <w:t>（二）检定不合格的；</w:t>
      </w:r>
    </w:p>
    <w:p w14:paraId="78A8C83E">
      <w:pPr>
        <w:jc w:val="left"/>
        <w:rPr>
          <w:rFonts w:ascii="宋体" w:hAnsi="宋体"/>
          <w:kern w:val="44"/>
        </w:rPr>
      </w:pPr>
      <w:r>
        <w:rPr>
          <w:rFonts w:hint="eastAsia" w:ascii="宋体" w:hAnsi="宋体"/>
          <w:kern w:val="44"/>
        </w:rPr>
        <w:t>（三）无合格印、合格证的；</w:t>
      </w:r>
    </w:p>
    <w:p w14:paraId="6352C3F3">
      <w:pPr>
        <w:jc w:val="left"/>
        <w:rPr>
          <w:rFonts w:ascii="宋体" w:hAnsi="宋体"/>
          <w:kern w:val="44"/>
        </w:rPr>
      </w:pPr>
      <w:r>
        <w:rPr>
          <w:rFonts w:hint="eastAsia" w:ascii="宋体" w:hAnsi="宋体"/>
          <w:kern w:val="44"/>
        </w:rPr>
        <w:t>（四）合格印、合格证超过有效期的。</w:t>
      </w:r>
    </w:p>
    <w:p w14:paraId="213BDE1A">
      <w:pPr>
        <w:ind w:firstLine="422"/>
        <w:jc w:val="left"/>
        <w:rPr>
          <w:rFonts w:ascii="宋体" w:hAnsi="宋体"/>
          <w:kern w:val="44"/>
        </w:rPr>
      </w:pPr>
      <w:r>
        <w:rPr>
          <w:rFonts w:hint="eastAsia" w:ascii="宋体" w:hAnsi="宋体"/>
          <w:b/>
          <w:kern w:val="44"/>
        </w:rPr>
        <w:t>十一、</w:t>
      </w:r>
      <w:r>
        <w:rPr>
          <w:rFonts w:hint="eastAsia" w:ascii="宋体" w:hAnsi="宋体"/>
          <w:kern w:val="44"/>
        </w:rPr>
        <w:t>强制检定机构应当遵守下列规定：</w:t>
      </w:r>
    </w:p>
    <w:p w14:paraId="13F283A5">
      <w:pPr>
        <w:jc w:val="left"/>
        <w:rPr>
          <w:rFonts w:ascii="宋体" w:hAnsi="宋体"/>
          <w:kern w:val="44"/>
        </w:rPr>
      </w:pPr>
      <w:r>
        <w:rPr>
          <w:rFonts w:hint="eastAsia" w:ascii="宋体" w:hAnsi="宋体"/>
          <w:kern w:val="44"/>
        </w:rPr>
        <w:t>（一）对使用的计量标准器具，按规定进行计量基准或社会公用计量标准器具周期检定；</w:t>
      </w:r>
    </w:p>
    <w:p w14:paraId="60445769">
      <w:pPr>
        <w:jc w:val="left"/>
        <w:rPr>
          <w:rFonts w:ascii="宋体" w:hAnsi="宋体"/>
          <w:kern w:val="44"/>
        </w:rPr>
      </w:pPr>
      <w:r>
        <w:rPr>
          <w:rFonts w:hint="eastAsia" w:ascii="宋体" w:hAnsi="宋体"/>
          <w:kern w:val="44"/>
        </w:rPr>
        <w:t>（二）认真执行计量检定规程，保证检定质量；</w:t>
      </w:r>
    </w:p>
    <w:p w14:paraId="3ACF1832">
      <w:pPr>
        <w:jc w:val="left"/>
        <w:rPr>
          <w:rFonts w:ascii="宋体" w:hAnsi="宋体"/>
          <w:kern w:val="44"/>
        </w:rPr>
      </w:pPr>
      <w:r>
        <w:rPr>
          <w:rFonts w:hint="eastAsia" w:ascii="宋体" w:hAnsi="宋体"/>
          <w:kern w:val="44"/>
        </w:rPr>
        <w:t>（三）对送检的计量器具，必须按规定期限检定完毕，不得拒绝和拖延；</w:t>
      </w:r>
    </w:p>
    <w:p w14:paraId="1C93CCFB">
      <w:pPr>
        <w:jc w:val="left"/>
        <w:rPr>
          <w:rFonts w:ascii="宋体" w:hAnsi="宋体"/>
          <w:kern w:val="44"/>
        </w:rPr>
      </w:pPr>
      <w:r>
        <w:rPr>
          <w:rFonts w:hint="eastAsia" w:ascii="宋体" w:hAnsi="宋体"/>
          <w:kern w:val="44"/>
        </w:rPr>
        <w:t>（四）督促计量器具使用单位或个人按规定执行周期检定；</w:t>
      </w:r>
    </w:p>
    <w:p w14:paraId="36E15B44">
      <w:pPr>
        <w:jc w:val="left"/>
        <w:rPr>
          <w:rFonts w:ascii="宋体" w:hAnsi="宋体"/>
          <w:kern w:val="44"/>
        </w:rPr>
      </w:pPr>
      <w:r>
        <w:rPr>
          <w:rFonts w:hint="eastAsia" w:ascii="宋体" w:hAnsi="宋体"/>
          <w:kern w:val="44"/>
        </w:rPr>
        <w:t>（五）接受计量管理部门的监督检查，并定期汇报强制检定工作情况。</w:t>
      </w:r>
    </w:p>
    <w:p w14:paraId="49385346">
      <w:pPr>
        <w:ind w:firstLine="422"/>
        <w:jc w:val="left"/>
        <w:rPr>
          <w:rFonts w:ascii="宋体" w:hAnsi="宋体"/>
          <w:kern w:val="44"/>
        </w:rPr>
      </w:pPr>
      <w:r>
        <w:rPr>
          <w:rFonts w:hint="eastAsia" w:ascii="宋体" w:hAnsi="宋体"/>
          <w:b/>
          <w:kern w:val="44"/>
        </w:rPr>
        <w:t>十二、</w:t>
      </w:r>
      <w:r>
        <w:rPr>
          <w:rFonts w:hint="eastAsia" w:ascii="宋体" w:hAnsi="宋体"/>
          <w:kern w:val="44"/>
        </w:rPr>
        <w:t>强制检定机构对各种计量器具进行检定的期限，不得超过1个月。</w:t>
      </w:r>
    </w:p>
    <w:p w14:paraId="5738013B">
      <w:pPr>
        <w:ind w:firstLine="422"/>
        <w:jc w:val="left"/>
        <w:rPr>
          <w:rFonts w:ascii="宋体" w:hAnsi="宋体"/>
          <w:kern w:val="44"/>
        </w:rPr>
      </w:pPr>
      <w:r>
        <w:rPr>
          <w:rFonts w:hint="eastAsia" w:ascii="宋体" w:hAnsi="宋体"/>
          <w:b/>
          <w:kern w:val="44"/>
        </w:rPr>
        <w:t>十三、</w:t>
      </w:r>
      <w:r>
        <w:rPr>
          <w:rFonts w:hint="eastAsia" w:ascii="宋体" w:hAnsi="宋体"/>
          <w:kern w:val="44"/>
        </w:rPr>
        <w:t>强制检定机构对计量器具进行周期检定，可按国家和本市的有关规定收取检定费。</w:t>
      </w:r>
    </w:p>
    <w:p w14:paraId="6A44E022">
      <w:pPr>
        <w:ind w:firstLine="422"/>
        <w:jc w:val="left"/>
        <w:rPr>
          <w:rFonts w:ascii="宋体" w:hAnsi="宋体"/>
          <w:kern w:val="44"/>
        </w:rPr>
      </w:pPr>
      <w:r>
        <w:rPr>
          <w:rFonts w:hint="eastAsia" w:ascii="宋体" w:hAnsi="宋体"/>
          <w:b/>
          <w:kern w:val="44"/>
        </w:rPr>
        <w:t>十四、</w:t>
      </w:r>
      <w:r>
        <w:rPr>
          <w:rFonts w:hint="eastAsia" w:ascii="宋体" w:hAnsi="宋体"/>
          <w:kern w:val="44"/>
        </w:rPr>
        <w:t>对违反本规定，使用禁止使用的计量器具的单位和个人，由计量管理部门责令其停止使用，并处以100元以下的罚款；情节严重的，可处100元以上1000元以下的罚款。</w:t>
      </w:r>
    </w:p>
    <w:p w14:paraId="014C10D1">
      <w:pPr>
        <w:ind w:firstLine="422"/>
        <w:jc w:val="left"/>
        <w:rPr>
          <w:rFonts w:ascii="宋体" w:hAnsi="宋体"/>
          <w:kern w:val="44"/>
        </w:rPr>
      </w:pPr>
      <w:r>
        <w:rPr>
          <w:rFonts w:hint="eastAsia" w:ascii="宋体" w:hAnsi="宋体"/>
          <w:b/>
          <w:kern w:val="44"/>
        </w:rPr>
        <w:t>十五、</w:t>
      </w:r>
      <w:r>
        <w:rPr>
          <w:rFonts w:hint="eastAsia" w:ascii="宋体" w:hAnsi="宋体"/>
          <w:kern w:val="44"/>
        </w:rPr>
        <w:t>强制检定机构违反本规定的，由计量管理部门批评教育，令其改正，情节严重的，由计量管理部门撤销其授权证书。</w:t>
      </w:r>
    </w:p>
    <w:p w14:paraId="06C4C6CC">
      <w:pPr>
        <w:ind w:firstLine="422"/>
        <w:jc w:val="left"/>
        <w:rPr>
          <w:rFonts w:ascii="宋体" w:hAnsi="宋体"/>
          <w:kern w:val="44"/>
        </w:rPr>
      </w:pPr>
      <w:r>
        <w:rPr>
          <w:rFonts w:hint="eastAsia" w:ascii="宋体" w:hAnsi="宋体"/>
          <w:b/>
          <w:kern w:val="44"/>
        </w:rPr>
        <w:t>十六、</w:t>
      </w:r>
      <w:r>
        <w:rPr>
          <w:rFonts w:hint="eastAsia" w:ascii="宋体" w:hAnsi="宋体"/>
          <w:kern w:val="44"/>
        </w:rPr>
        <w:t>计量监督管理人员、执行强制检定任务人员，玩忽职守、徇私舞弊的，依照《中华人民共和国计量法实施细则》第五十七条、第五十九条的规定，给予行政处分；构成犯罪的，依法追究刑事责任。</w:t>
      </w:r>
    </w:p>
    <w:p w14:paraId="321BDC25">
      <w:pPr>
        <w:ind w:firstLine="422"/>
        <w:jc w:val="left"/>
        <w:rPr>
          <w:rFonts w:ascii="宋体" w:hAnsi="宋体"/>
          <w:kern w:val="44"/>
        </w:rPr>
      </w:pPr>
      <w:r>
        <w:rPr>
          <w:rFonts w:hint="eastAsia" w:ascii="宋体" w:hAnsi="宋体"/>
          <w:b/>
          <w:kern w:val="44"/>
        </w:rPr>
        <w:t>十七、</w:t>
      </w:r>
      <w:r>
        <w:rPr>
          <w:rFonts w:hint="eastAsia" w:ascii="宋体" w:hAnsi="宋体"/>
          <w:kern w:val="44"/>
        </w:rPr>
        <w:t>本规定执行中的具体问题，由市技术监督局负责解释。</w:t>
      </w:r>
    </w:p>
    <w:p w14:paraId="3F7234CC">
      <w:pPr>
        <w:ind w:firstLine="422"/>
        <w:jc w:val="left"/>
        <w:rPr>
          <w:rFonts w:ascii="宋体" w:hAnsi="宋体"/>
          <w:kern w:val="44"/>
        </w:rPr>
      </w:pPr>
      <w:r>
        <w:rPr>
          <w:rFonts w:hint="eastAsia" w:ascii="宋体" w:hAnsi="宋体"/>
          <w:b/>
          <w:kern w:val="44"/>
        </w:rPr>
        <w:t>十八、</w:t>
      </w:r>
      <w:r>
        <w:rPr>
          <w:rFonts w:hint="eastAsia" w:ascii="宋体" w:hAnsi="宋体"/>
          <w:kern w:val="44"/>
        </w:rPr>
        <w:t>本规定经市人民政府批准，自1987年12月1日起施行。</w:t>
      </w:r>
    </w:p>
    <w:p w14:paraId="01BA8508">
      <w:pPr>
        <w:pStyle w:val="4"/>
        <w:pageBreakBefore/>
        <w:rPr>
          <w:kern w:val="44"/>
        </w:rPr>
      </w:pPr>
      <w:bookmarkStart w:id="1198" w:name="_Toc422471318"/>
      <w:bookmarkStart w:id="1199" w:name="_Toc428781642"/>
      <w:bookmarkStart w:id="1200" w:name="_Toc428780160"/>
      <w:bookmarkStart w:id="1201" w:name="_Toc427651594"/>
      <w:bookmarkStart w:id="1202" w:name="_Toc427651936"/>
      <w:r>
        <w:rPr>
          <w:rFonts w:hint="eastAsia"/>
          <w:kern w:val="44"/>
        </w:rPr>
        <w:t>北京市工业产品企业标准</w:t>
      </w:r>
      <w:bookmarkEnd w:id="1198"/>
      <w:bookmarkStart w:id="1203" w:name="_Toc422471319"/>
      <w:r>
        <w:rPr>
          <w:rFonts w:hint="eastAsia"/>
          <w:kern w:val="44"/>
        </w:rPr>
        <w:t>备案规定</w:t>
      </w:r>
      <w:bookmarkEnd w:id="1199"/>
      <w:bookmarkEnd w:id="1200"/>
      <w:bookmarkEnd w:id="1201"/>
      <w:bookmarkEnd w:id="1202"/>
      <w:bookmarkEnd w:id="1203"/>
    </w:p>
    <w:p w14:paraId="6F655A7B">
      <w:pPr>
        <w:ind w:left="630" w:leftChars="300" w:right="630" w:rightChars="300"/>
        <w:jc w:val="left"/>
        <w:rPr>
          <w:rFonts w:ascii="楷体" w:hAnsi="楷体" w:eastAsia="楷体"/>
          <w:kern w:val="44"/>
        </w:rPr>
      </w:pPr>
      <w:r>
        <w:rPr>
          <w:rFonts w:hint="eastAsia" w:ascii="楷体" w:hAnsi="楷体" w:eastAsia="楷体"/>
          <w:kern w:val="44"/>
        </w:rPr>
        <w:t>（1991年8月19日北京市人民政府批准　1991年10月1日北京市技术监督局发布　根据2007年11月23日北京市人民政府第200号令修改）</w:t>
      </w:r>
    </w:p>
    <w:p w14:paraId="12C60195">
      <w:pPr>
        <w:jc w:val="left"/>
        <w:rPr>
          <w:rFonts w:ascii="宋体" w:hAnsi="宋体"/>
          <w:kern w:val="44"/>
        </w:rPr>
      </w:pPr>
    </w:p>
    <w:p w14:paraId="0AFC6365">
      <w:pPr>
        <w:ind w:firstLine="422"/>
        <w:jc w:val="left"/>
        <w:rPr>
          <w:rFonts w:ascii="宋体" w:hAnsi="宋体"/>
          <w:kern w:val="44"/>
        </w:rPr>
      </w:pPr>
      <w:r>
        <w:rPr>
          <w:rFonts w:hint="eastAsia" w:ascii="宋体" w:hAnsi="宋体"/>
          <w:b/>
          <w:kern w:val="44"/>
        </w:rPr>
        <w:t>第一条</w:t>
      </w:r>
      <w:r>
        <w:rPr>
          <w:rFonts w:hint="eastAsia" w:ascii="宋体" w:hAnsi="宋体"/>
          <w:kern w:val="44"/>
        </w:rPr>
        <w:t>　根据《中华人民共和国标准化法实施条例》的规定，结合本市具体情况，制定本规定。</w:t>
      </w:r>
    </w:p>
    <w:p w14:paraId="53B4A2DB">
      <w:pPr>
        <w:ind w:firstLine="422"/>
        <w:jc w:val="left"/>
        <w:rPr>
          <w:rFonts w:ascii="宋体" w:hAnsi="宋体"/>
          <w:kern w:val="44"/>
        </w:rPr>
      </w:pPr>
      <w:r>
        <w:rPr>
          <w:rFonts w:hint="eastAsia" w:ascii="宋体" w:hAnsi="宋体"/>
          <w:b/>
          <w:kern w:val="44"/>
        </w:rPr>
        <w:t>第二条</w:t>
      </w:r>
      <w:r>
        <w:rPr>
          <w:rFonts w:hint="eastAsia" w:ascii="宋体" w:hAnsi="宋体"/>
          <w:kern w:val="44"/>
        </w:rPr>
        <w:t>　本规定适用于本市行政区域内的工业企业和生产工业产品的事业单位。</w:t>
      </w:r>
    </w:p>
    <w:p w14:paraId="79E3C895">
      <w:pPr>
        <w:ind w:firstLine="422"/>
        <w:jc w:val="left"/>
        <w:rPr>
          <w:rFonts w:ascii="宋体" w:hAnsi="宋体"/>
          <w:kern w:val="44"/>
        </w:rPr>
      </w:pPr>
      <w:r>
        <w:rPr>
          <w:rFonts w:hint="eastAsia" w:ascii="宋体" w:hAnsi="宋体"/>
          <w:b/>
          <w:kern w:val="44"/>
        </w:rPr>
        <w:t>第三条</w:t>
      </w:r>
      <w:r>
        <w:rPr>
          <w:rFonts w:hint="eastAsia" w:ascii="宋体" w:hAnsi="宋体"/>
          <w:kern w:val="44"/>
        </w:rPr>
        <w:t>　企业生产的产品，应当按照国家规定，实现标准化。企业生产的产品没有国家标准、行业标准和地方标准的，由生产企业制定相应的企业标准。企业标准应在产品批量生产之前30日内，向企业登记地的区、县质量技术监督局备案。</w:t>
      </w:r>
    </w:p>
    <w:p w14:paraId="701FE579">
      <w:pPr>
        <w:ind w:firstLine="422"/>
        <w:jc w:val="left"/>
        <w:rPr>
          <w:rFonts w:ascii="宋体" w:hAnsi="宋体"/>
          <w:kern w:val="44"/>
        </w:rPr>
      </w:pPr>
      <w:r>
        <w:rPr>
          <w:rFonts w:hint="eastAsia" w:ascii="宋体" w:hAnsi="宋体"/>
          <w:b/>
          <w:kern w:val="44"/>
        </w:rPr>
        <w:t>第四条</w:t>
      </w:r>
      <w:r>
        <w:rPr>
          <w:rFonts w:hint="eastAsia" w:ascii="宋体" w:hAnsi="宋体"/>
          <w:kern w:val="44"/>
        </w:rPr>
        <w:t>　企业标准代号编号方法：</w:t>
      </w:r>
    </w:p>
    <w:p w14:paraId="2AF1F018">
      <w:pPr>
        <w:jc w:val="left"/>
        <w:rPr>
          <w:rFonts w:ascii="宋体" w:hAnsi="宋体"/>
          <w:kern w:val="44"/>
        </w:rPr>
      </w:pPr>
      <w:r>
        <w:rPr>
          <w:rFonts w:hint="eastAsia" w:ascii="宋体" w:hAnsi="宋体"/>
          <w:kern w:val="44"/>
        </w:rPr>
        <w:t>（一）企业标准代号的排列顺序，执行国家质量技术监督局《企业标准化管理办法》的有关规定。</w:t>
      </w:r>
    </w:p>
    <w:p w14:paraId="430C0453">
      <w:pPr>
        <w:jc w:val="left"/>
        <w:rPr>
          <w:rFonts w:ascii="宋体" w:hAnsi="宋体"/>
          <w:kern w:val="44"/>
        </w:rPr>
      </w:pPr>
      <w:r>
        <w:rPr>
          <w:rFonts w:hint="eastAsia" w:ascii="宋体" w:hAnsi="宋体"/>
          <w:kern w:val="44"/>
        </w:rPr>
        <w:t>（二）由区、县质量技术监督局受理备案的企业标准，在其企业标准代号（Q）的右下角增加本区、县汉字字头，企业标准代号的其余部分按前款规定办理。</w:t>
      </w:r>
    </w:p>
    <w:p w14:paraId="0C031A7F">
      <w:pPr>
        <w:ind w:firstLine="422"/>
        <w:jc w:val="left"/>
        <w:rPr>
          <w:rFonts w:ascii="宋体" w:hAnsi="宋体"/>
          <w:kern w:val="44"/>
        </w:rPr>
      </w:pPr>
      <w:r>
        <w:rPr>
          <w:rFonts w:hint="eastAsia" w:ascii="宋体" w:hAnsi="宋体"/>
          <w:b/>
          <w:kern w:val="44"/>
        </w:rPr>
        <w:t>第五条</w:t>
      </w:r>
      <w:r>
        <w:rPr>
          <w:rFonts w:hint="eastAsia" w:ascii="宋体" w:hAnsi="宋体"/>
          <w:kern w:val="44"/>
        </w:rPr>
        <w:t>　企业标准正式文本，应采用铅印、描晒等印刷方式，不得手书。其封面、首页、续页、格式，按市质量技术监督局制定的统一格式办理。</w:t>
      </w:r>
    </w:p>
    <w:p w14:paraId="3EE6AF2E">
      <w:pPr>
        <w:ind w:firstLine="422"/>
        <w:jc w:val="left"/>
        <w:rPr>
          <w:rFonts w:ascii="宋体" w:hAnsi="宋体"/>
          <w:kern w:val="44"/>
        </w:rPr>
      </w:pPr>
      <w:r>
        <w:rPr>
          <w:rFonts w:hint="eastAsia" w:ascii="宋体" w:hAnsi="宋体"/>
          <w:b/>
          <w:kern w:val="44"/>
        </w:rPr>
        <w:t>第六条</w:t>
      </w:r>
      <w:r>
        <w:rPr>
          <w:rFonts w:hint="eastAsia" w:ascii="宋体" w:hAnsi="宋体"/>
          <w:kern w:val="44"/>
        </w:rPr>
        <w:t>　企业标准备案时，须报送备案表、正式文本、编制说明、审查纪要和审查人员名单。</w:t>
      </w:r>
    </w:p>
    <w:p w14:paraId="074D152B">
      <w:pPr>
        <w:jc w:val="left"/>
        <w:rPr>
          <w:rFonts w:ascii="宋体" w:hAnsi="宋体"/>
          <w:kern w:val="44"/>
        </w:rPr>
      </w:pPr>
      <w:r>
        <w:rPr>
          <w:rFonts w:hint="eastAsia" w:ascii="宋体" w:hAnsi="宋体"/>
          <w:kern w:val="44"/>
        </w:rPr>
        <w:t>企业标准采用国际标准或国外先进标准时，须同时报送国际标准或国外先进标准的原文及其中文译本，或所剖析的国外样品、样机的说明书以及测试数据报告。</w:t>
      </w:r>
    </w:p>
    <w:p w14:paraId="2B9AC5EE">
      <w:pPr>
        <w:jc w:val="left"/>
        <w:rPr>
          <w:rFonts w:ascii="宋体" w:hAnsi="宋体"/>
          <w:kern w:val="44"/>
        </w:rPr>
      </w:pPr>
      <w:r>
        <w:rPr>
          <w:rFonts w:hint="eastAsia" w:ascii="宋体" w:hAnsi="宋体"/>
          <w:kern w:val="44"/>
        </w:rPr>
        <w:t>上述文件一式3份，一份附送质量技术监督局，一份附送企业行政主管部门，一份企业自留。</w:t>
      </w:r>
    </w:p>
    <w:p w14:paraId="31B37C75">
      <w:pPr>
        <w:ind w:firstLine="422"/>
        <w:jc w:val="left"/>
        <w:rPr>
          <w:rFonts w:ascii="宋体" w:hAnsi="宋体"/>
          <w:kern w:val="44"/>
        </w:rPr>
      </w:pPr>
      <w:r>
        <w:rPr>
          <w:rFonts w:hint="eastAsia" w:ascii="宋体" w:hAnsi="宋体"/>
          <w:b/>
          <w:kern w:val="44"/>
        </w:rPr>
        <w:t>第七条</w:t>
      </w:r>
      <w:r>
        <w:rPr>
          <w:rFonts w:hint="eastAsia" w:ascii="宋体" w:hAnsi="宋体"/>
          <w:kern w:val="44"/>
        </w:rPr>
        <w:t>　企业标准经备案审查符合本规定的，由质量技术监督局和企业行政主管部门予以登记编号，并在企业标准备案表及标准正式文本上加盖备案标志。</w:t>
      </w:r>
    </w:p>
    <w:p w14:paraId="5202D791">
      <w:pPr>
        <w:ind w:firstLine="422"/>
        <w:jc w:val="left"/>
        <w:rPr>
          <w:rFonts w:ascii="宋体" w:hAnsi="宋体"/>
          <w:kern w:val="44"/>
        </w:rPr>
      </w:pPr>
      <w:r>
        <w:rPr>
          <w:rFonts w:hint="eastAsia" w:ascii="宋体" w:hAnsi="宋体"/>
          <w:b/>
          <w:kern w:val="44"/>
        </w:rPr>
        <w:t>第八条</w:t>
      </w:r>
      <w:r>
        <w:rPr>
          <w:rFonts w:hint="eastAsia" w:ascii="宋体" w:hAnsi="宋体"/>
          <w:kern w:val="44"/>
        </w:rPr>
        <w:t>　企业标准需作修改和补充的，由企业填写《产品企业标准修改报告单》，报原受理备案部门备案。已采用国际标准和国外先进标准的企业标准，修改时不得降低其技术水平。</w:t>
      </w:r>
    </w:p>
    <w:p w14:paraId="67A0EAB4">
      <w:pPr>
        <w:ind w:firstLine="422"/>
        <w:jc w:val="left"/>
        <w:rPr>
          <w:rFonts w:ascii="宋体" w:hAnsi="宋体"/>
          <w:kern w:val="44"/>
        </w:rPr>
      </w:pPr>
      <w:r>
        <w:rPr>
          <w:rFonts w:hint="eastAsia" w:ascii="宋体" w:hAnsi="宋体"/>
          <w:b/>
          <w:kern w:val="44"/>
        </w:rPr>
        <w:t>第九条</w:t>
      </w:r>
      <w:r>
        <w:rPr>
          <w:rFonts w:hint="eastAsia" w:ascii="宋体" w:hAnsi="宋体"/>
          <w:kern w:val="44"/>
        </w:rPr>
        <w:t>　企业标准应定期复审，复审周期不得超过3年。当与企业标准相关的新的国家标准、行业标准或地方标准发布时，企业标准必须及时复审。经复审被确认继续有效或废止的企业标准，由企业填写《企业产品标准复审通知单》报告原受理备案部门；被确认需要修订的企业标准，修订后重新办理备案。</w:t>
      </w:r>
    </w:p>
    <w:p w14:paraId="74A661DF">
      <w:pPr>
        <w:ind w:firstLine="422"/>
        <w:jc w:val="left"/>
        <w:rPr>
          <w:rFonts w:ascii="宋体" w:hAnsi="宋体"/>
          <w:kern w:val="44"/>
        </w:rPr>
      </w:pPr>
      <w:r>
        <w:rPr>
          <w:rFonts w:hint="eastAsia" w:ascii="宋体" w:hAnsi="宋体"/>
          <w:b/>
          <w:kern w:val="44"/>
        </w:rPr>
        <w:t>第十条</w:t>
      </w:r>
      <w:r>
        <w:rPr>
          <w:rFonts w:hint="eastAsia" w:ascii="宋体" w:hAnsi="宋体"/>
          <w:kern w:val="44"/>
        </w:rPr>
        <w:t>　经备案的企业标准，企业应严格执行，受理备案部门应监督实施。</w:t>
      </w:r>
    </w:p>
    <w:p w14:paraId="27FDAC1A">
      <w:pPr>
        <w:jc w:val="left"/>
        <w:rPr>
          <w:rFonts w:ascii="宋体" w:hAnsi="宋体"/>
          <w:kern w:val="44"/>
        </w:rPr>
      </w:pPr>
      <w:r>
        <w:rPr>
          <w:rFonts w:hint="eastAsia" w:ascii="宋体" w:hAnsi="宋体"/>
          <w:kern w:val="44"/>
        </w:rPr>
        <w:t>对不按本规定办理备案的企业、事业单位，由市和区、县质量技术监督局或企业行政主管部门在各自的职权范围内责令其限期改进，并可通报批评或给予责任者行政处分。</w:t>
      </w:r>
    </w:p>
    <w:p w14:paraId="3A031C4D">
      <w:pPr>
        <w:ind w:firstLine="422"/>
        <w:jc w:val="left"/>
        <w:rPr>
          <w:rFonts w:ascii="宋体" w:hAnsi="宋体"/>
          <w:kern w:val="44"/>
        </w:rPr>
      </w:pPr>
      <w:r>
        <w:rPr>
          <w:rFonts w:hint="eastAsia" w:ascii="宋体" w:hAnsi="宋体"/>
          <w:b/>
          <w:kern w:val="44"/>
        </w:rPr>
        <w:t>第十一条</w:t>
      </w:r>
      <w:r>
        <w:rPr>
          <w:rFonts w:hint="eastAsia" w:ascii="宋体" w:hAnsi="宋体"/>
          <w:kern w:val="44"/>
        </w:rPr>
        <w:t>　本规定经市人民政府批准，自市质量技术监督局发布之日起施行。</w:t>
      </w:r>
    </w:p>
    <w:p w14:paraId="283EF443">
      <w:pPr>
        <w:pStyle w:val="4"/>
        <w:pageBreakBefore/>
        <w:rPr>
          <w:kern w:val="44"/>
        </w:rPr>
      </w:pPr>
      <w:bookmarkStart w:id="1204" w:name="_Toc422471320"/>
      <w:bookmarkStart w:id="1205" w:name="_Toc428781643"/>
      <w:bookmarkStart w:id="1206" w:name="_Toc427651595"/>
      <w:bookmarkStart w:id="1207" w:name="_Toc427651937"/>
      <w:bookmarkStart w:id="1208" w:name="_Toc428780161"/>
      <w:r>
        <w:rPr>
          <w:rFonts w:hint="eastAsia"/>
          <w:kern w:val="44"/>
        </w:rPr>
        <w:t>北京市关于在公众交易中禁止</w:t>
      </w:r>
      <w:bookmarkEnd w:id="1204"/>
      <w:bookmarkStart w:id="1209" w:name="_Toc422471321"/>
      <w:r>
        <w:rPr>
          <w:rFonts w:hint="eastAsia"/>
          <w:kern w:val="44"/>
        </w:rPr>
        <w:t>使用杆秤的规定</w:t>
      </w:r>
      <w:bookmarkEnd w:id="1205"/>
      <w:bookmarkEnd w:id="1206"/>
      <w:bookmarkEnd w:id="1207"/>
      <w:bookmarkEnd w:id="1208"/>
      <w:bookmarkEnd w:id="1209"/>
    </w:p>
    <w:p w14:paraId="5448B29F">
      <w:pPr>
        <w:ind w:left="630" w:leftChars="300" w:right="630" w:rightChars="300"/>
        <w:jc w:val="left"/>
        <w:rPr>
          <w:rFonts w:ascii="楷体" w:hAnsi="楷体" w:eastAsia="楷体"/>
          <w:kern w:val="44"/>
        </w:rPr>
      </w:pPr>
      <w:r>
        <w:rPr>
          <w:rFonts w:hint="eastAsia" w:ascii="楷体" w:hAnsi="楷体" w:eastAsia="楷体"/>
          <w:kern w:val="44"/>
        </w:rPr>
        <w:t>（1995年6月8日北京市人民政府第58次常务会议通过  1995年7月5日北京市人民政府第20号令发布）</w:t>
      </w:r>
    </w:p>
    <w:p w14:paraId="0A8C4B2A">
      <w:pPr>
        <w:jc w:val="left"/>
        <w:rPr>
          <w:rFonts w:ascii="宋体" w:hAnsi="宋体"/>
          <w:kern w:val="44"/>
        </w:rPr>
      </w:pPr>
    </w:p>
    <w:p w14:paraId="3172F708">
      <w:pPr>
        <w:ind w:firstLine="422"/>
        <w:jc w:val="left"/>
        <w:rPr>
          <w:rFonts w:ascii="宋体" w:hAnsi="宋体"/>
          <w:kern w:val="44"/>
        </w:rPr>
      </w:pPr>
      <w:r>
        <w:rPr>
          <w:rFonts w:hint="eastAsia" w:ascii="宋体" w:hAnsi="宋体"/>
          <w:b/>
          <w:kern w:val="44"/>
        </w:rPr>
        <w:t>第一条</w:t>
      </w:r>
      <w:r>
        <w:rPr>
          <w:rFonts w:hint="eastAsia" w:ascii="宋体" w:hAnsi="宋体"/>
          <w:kern w:val="44"/>
        </w:rPr>
        <w:t>　为了保证计量准确，维护公平交易，保护消费者和经营者的合法权益，制定本规定。</w:t>
      </w:r>
    </w:p>
    <w:p w14:paraId="634653A8">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在本市公众交易中使用衡器的企业、其他经济组织和个体工商户（以下统称经营者），必须遵守本规定。</w:t>
      </w:r>
    </w:p>
    <w:p w14:paraId="68479AAB">
      <w:pPr>
        <w:ind w:firstLine="422"/>
        <w:jc w:val="left"/>
        <w:rPr>
          <w:rFonts w:ascii="宋体" w:hAnsi="宋体"/>
          <w:kern w:val="44"/>
        </w:rPr>
      </w:pPr>
      <w:r>
        <w:rPr>
          <w:rFonts w:hint="eastAsia" w:ascii="宋体" w:hAnsi="宋体"/>
          <w:b/>
          <w:kern w:val="44"/>
        </w:rPr>
        <w:t>第三条</w:t>
      </w:r>
      <w:r>
        <w:rPr>
          <w:rFonts w:hint="eastAsia" w:ascii="宋体" w:hAnsi="宋体"/>
          <w:kern w:val="44"/>
        </w:rPr>
        <w:t>　本市在公众交易中禁止使用杆秤。</w:t>
      </w:r>
    </w:p>
    <w:p w14:paraId="0010404E">
      <w:pPr>
        <w:jc w:val="left"/>
        <w:rPr>
          <w:rFonts w:ascii="宋体" w:hAnsi="宋体"/>
          <w:kern w:val="44"/>
        </w:rPr>
      </w:pPr>
      <w:r>
        <w:rPr>
          <w:rFonts w:hint="eastAsia" w:ascii="宋体" w:hAnsi="宋体"/>
          <w:kern w:val="44"/>
        </w:rPr>
        <w:t>本市城区、近郊区自1995年12月1日起，禁止在公众交易中使用杆秤；本市远郊区、县禁止使用杆秤的具体范围、时间，由区、县人民政府决定，报市技术监督局备案。</w:t>
      </w:r>
    </w:p>
    <w:p w14:paraId="1558E9B0">
      <w:pPr>
        <w:ind w:firstLine="422"/>
        <w:jc w:val="left"/>
        <w:rPr>
          <w:rFonts w:ascii="宋体" w:hAnsi="宋体"/>
          <w:kern w:val="44"/>
        </w:rPr>
      </w:pPr>
      <w:r>
        <w:rPr>
          <w:rFonts w:hint="eastAsia" w:ascii="宋体" w:hAnsi="宋体"/>
          <w:b/>
          <w:kern w:val="44"/>
        </w:rPr>
        <w:t>第四条</w:t>
      </w:r>
      <w:r>
        <w:rPr>
          <w:rFonts w:hint="eastAsia" w:ascii="宋体" w:hAnsi="宋体"/>
          <w:kern w:val="44"/>
        </w:rPr>
        <w:t>　在公众交易中使用的衡器，应当符合国家和本市有关规定，并经市和区、县技术监督局检定合格。</w:t>
      </w:r>
    </w:p>
    <w:p w14:paraId="29229EE2">
      <w:pPr>
        <w:jc w:val="left"/>
        <w:rPr>
          <w:rFonts w:ascii="宋体" w:hAnsi="宋体"/>
          <w:kern w:val="44"/>
        </w:rPr>
      </w:pPr>
      <w:r>
        <w:rPr>
          <w:rFonts w:hint="eastAsia" w:ascii="宋体" w:hAnsi="宋体"/>
          <w:kern w:val="44"/>
        </w:rPr>
        <w:t>在公众交易中使用衡器的经营者，应当在本交易场所设置“公平秤”；举办集贸市场、展销会和出租柜台、摊位的单位（以下简称举办者和出租者），负责在本交易场所设置“公平秤”。</w:t>
      </w:r>
    </w:p>
    <w:p w14:paraId="217DAF61">
      <w:pPr>
        <w:jc w:val="left"/>
        <w:rPr>
          <w:rFonts w:ascii="宋体" w:hAnsi="宋体"/>
          <w:kern w:val="44"/>
        </w:rPr>
      </w:pPr>
      <w:r>
        <w:rPr>
          <w:rFonts w:hint="eastAsia" w:ascii="宋体" w:hAnsi="宋体"/>
          <w:kern w:val="44"/>
        </w:rPr>
        <w:t>鼓励将电子秤作为“公平秤”。</w:t>
      </w:r>
    </w:p>
    <w:p w14:paraId="0AB9A93E">
      <w:pPr>
        <w:ind w:firstLine="422"/>
        <w:jc w:val="left"/>
        <w:rPr>
          <w:rFonts w:ascii="宋体" w:hAnsi="宋体"/>
          <w:kern w:val="44"/>
        </w:rPr>
      </w:pPr>
      <w:r>
        <w:rPr>
          <w:rFonts w:hint="eastAsia" w:ascii="宋体" w:hAnsi="宋体"/>
          <w:b/>
          <w:kern w:val="44"/>
        </w:rPr>
        <w:t>第五条</w:t>
      </w:r>
      <w:r>
        <w:rPr>
          <w:rFonts w:hint="eastAsia" w:ascii="宋体" w:hAnsi="宋体"/>
          <w:kern w:val="44"/>
        </w:rPr>
        <w:t>　举办者和出租者应当督促使用衡器的经营者使用由市技术监督局确认的双面显示的电子秤或者机械秤。</w:t>
      </w:r>
    </w:p>
    <w:p w14:paraId="09E6D205">
      <w:pPr>
        <w:jc w:val="left"/>
        <w:rPr>
          <w:rFonts w:ascii="宋体" w:hAnsi="宋体"/>
          <w:kern w:val="44"/>
        </w:rPr>
      </w:pPr>
      <w:r>
        <w:rPr>
          <w:rFonts w:hint="eastAsia" w:ascii="宋体" w:hAnsi="宋体"/>
          <w:kern w:val="44"/>
        </w:rPr>
        <w:t>经营者自带衡器有困难的，由举办者和出租者负责提供。</w:t>
      </w:r>
    </w:p>
    <w:p w14:paraId="194B749D">
      <w:pPr>
        <w:ind w:firstLine="422"/>
        <w:jc w:val="left"/>
        <w:rPr>
          <w:rFonts w:ascii="宋体" w:hAnsi="宋体"/>
          <w:kern w:val="44"/>
        </w:rPr>
      </w:pPr>
      <w:r>
        <w:rPr>
          <w:rFonts w:hint="eastAsia" w:ascii="宋体" w:hAnsi="宋体"/>
          <w:b/>
          <w:kern w:val="44"/>
        </w:rPr>
        <w:t>第六条</w:t>
      </w:r>
      <w:r>
        <w:rPr>
          <w:rFonts w:hint="eastAsia" w:ascii="宋体" w:hAnsi="宋体"/>
          <w:kern w:val="44"/>
        </w:rPr>
        <w:t>　违反本规定的行为，按照下列规定处罚：</w:t>
      </w:r>
    </w:p>
    <w:p w14:paraId="446D03B3">
      <w:pPr>
        <w:jc w:val="left"/>
        <w:rPr>
          <w:rFonts w:ascii="宋体" w:hAnsi="宋体"/>
          <w:kern w:val="44"/>
        </w:rPr>
      </w:pPr>
      <w:r>
        <w:rPr>
          <w:rFonts w:hint="eastAsia" w:ascii="宋体" w:hAnsi="宋体"/>
          <w:kern w:val="44"/>
        </w:rPr>
        <w:t>（一）违反本规定第三条的规定，在公众交易中继续使用杆秤的，没收杆秤，并处以100元以上500元以下罚款；</w:t>
      </w:r>
    </w:p>
    <w:p w14:paraId="5A9D98B5">
      <w:pPr>
        <w:jc w:val="left"/>
        <w:rPr>
          <w:rFonts w:ascii="宋体" w:hAnsi="宋体"/>
          <w:kern w:val="44"/>
        </w:rPr>
      </w:pPr>
      <w:r>
        <w:rPr>
          <w:rFonts w:hint="eastAsia" w:ascii="宋体" w:hAnsi="宋体"/>
          <w:kern w:val="44"/>
        </w:rPr>
        <w:t>（二）违反本规定第四条第一款规定，使用衡器不符合要求的，依照国家有关法律、法规的规定处罚；</w:t>
      </w:r>
    </w:p>
    <w:p w14:paraId="44F7A9AA">
      <w:pPr>
        <w:jc w:val="left"/>
        <w:rPr>
          <w:rFonts w:ascii="宋体" w:hAnsi="宋体"/>
          <w:kern w:val="44"/>
        </w:rPr>
      </w:pPr>
      <w:r>
        <w:rPr>
          <w:rFonts w:hint="eastAsia" w:ascii="宋体" w:hAnsi="宋体"/>
          <w:kern w:val="44"/>
        </w:rPr>
        <w:t>（三）违反本规定第四条第二款规定，不设置“公平秤”的，责令其限期设置；逾期仍不设置的，处以1000元以上5000元以下罚款；</w:t>
      </w:r>
    </w:p>
    <w:p w14:paraId="69F2A074">
      <w:pPr>
        <w:jc w:val="left"/>
        <w:rPr>
          <w:rFonts w:ascii="宋体" w:hAnsi="宋体"/>
          <w:kern w:val="44"/>
        </w:rPr>
      </w:pPr>
      <w:r>
        <w:rPr>
          <w:rFonts w:hint="eastAsia" w:ascii="宋体" w:hAnsi="宋体"/>
          <w:kern w:val="44"/>
        </w:rPr>
        <w:t>（四）举办者和出租者不履行本规定第五条第一款的督促责任或者不按照第二款规定提供衡器，致使在公众交易中继续使用不符合规定的衡器的，对举办者和出租者处以5000元以上1万元以下罚款。</w:t>
      </w:r>
    </w:p>
    <w:p w14:paraId="4F4465D3">
      <w:pPr>
        <w:ind w:firstLine="422"/>
        <w:jc w:val="left"/>
        <w:rPr>
          <w:rFonts w:ascii="宋体" w:hAnsi="宋体"/>
          <w:kern w:val="44"/>
        </w:rPr>
      </w:pPr>
      <w:r>
        <w:rPr>
          <w:rFonts w:hint="eastAsia" w:ascii="宋体" w:hAnsi="宋体"/>
          <w:b/>
          <w:kern w:val="44"/>
        </w:rPr>
        <w:t>第七条</w:t>
      </w:r>
      <w:r>
        <w:rPr>
          <w:rFonts w:hint="eastAsia" w:ascii="宋体" w:hAnsi="宋体"/>
          <w:kern w:val="44"/>
        </w:rPr>
        <w:t>　本规定第六条规定的行政处罚，由技术监督部门和工商行政管理部门执行。但对同一违法行为的行政处罚，不得重复进行。</w:t>
      </w:r>
    </w:p>
    <w:p w14:paraId="1F2412B7">
      <w:pPr>
        <w:ind w:firstLine="422"/>
        <w:jc w:val="left"/>
        <w:rPr>
          <w:rFonts w:ascii="宋体" w:hAnsi="宋体"/>
          <w:kern w:val="44"/>
        </w:rPr>
      </w:pPr>
      <w:r>
        <w:rPr>
          <w:rFonts w:hint="eastAsia" w:ascii="宋体" w:hAnsi="宋体"/>
          <w:b/>
          <w:kern w:val="44"/>
        </w:rPr>
        <w:t>第八条</w:t>
      </w:r>
      <w:r>
        <w:rPr>
          <w:rFonts w:hint="eastAsia" w:ascii="宋体" w:hAnsi="宋体"/>
          <w:kern w:val="44"/>
        </w:rPr>
        <w:t>　本规定自1995年12月1日起施行。</w:t>
      </w:r>
    </w:p>
    <w:p w14:paraId="4DC20553">
      <w:pPr>
        <w:pStyle w:val="4"/>
        <w:pageBreakBefore/>
        <w:rPr>
          <w:kern w:val="44"/>
        </w:rPr>
      </w:pPr>
      <w:bookmarkStart w:id="1210" w:name="_Toc428780162"/>
      <w:bookmarkStart w:id="1211" w:name="_Toc428781644"/>
      <w:bookmarkStart w:id="1212" w:name="_Toc427651596"/>
      <w:bookmarkStart w:id="1213" w:name="_Toc422471322"/>
      <w:bookmarkStart w:id="1214" w:name="_Toc427651938"/>
      <w:r>
        <w:rPr>
          <w:rFonts w:hint="eastAsia"/>
          <w:kern w:val="44"/>
        </w:rPr>
        <w:t>北京市计量监督管理规定</w:t>
      </w:r>
      <w:bookmarkEnd w:id="1210"/>
      <w:bookmarkEnd w:id="1211"/>
      <w:bookmarkEnd w:id="1212"/>
      <w:bookmarkEnd w:id="1213"/>
      <w:bookmarkEnd w:id="1214"/>
    </w:p>
    <w:p w14:paraId="5A5F9420">
      <w:pPr>
        <w:ind w:left="630" w:leftChars="300" w:right="630" w:rightChars="300"/>
        <w:jc w:val="left"/>
        <w:rPr>
          <w:rFonts w:ascii="楷体" w:hAnsi="楷体" w:eastAsia="楷体"/>
          <w:kern w:val="44"/>
        </w:rPr>
      </w:pPr>
      <w:r>
        <w:rPr>
          <w:rFonts w:hint="eastAsia" w:ascii="楷体" w:hAnsi="楷体" w:eastAsia="楷体"/>
          <w:kern w:val="44"/>
        </w:rPr>
        <w:t>（2001年5月22日北京市人民政府第35次常务会议通过  2001年6月18日北京市人民政府第79号令发布）</w:t>
      </w:r>
    </w:p>
    <w:p w14:paraId="22871A77">
      <w:pPr>
        <w:jc w:val="left"/>
        <w:rPr>
          <w:rFonts w:ascii="宋体" w:hAnsi="宋体"/>
          <w:kern w:val="44"/>
        </w:rPr>
      </w:pPr>
    </w:p>
    <w:p w14:paraId="00B24422">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为了加强计量监督管理，保障计量单位制的统一和量值的准确可靠，保护生产者、经营者、消费者的合法权益，根据《中华人民共和国计量法》和有关法律、法规，结合本市实际情况，制定本规定。</w:t>
      </w:r>
    </w:p>
    <w:p w14:paraId="134CC35C">
      <w:pPr>
        <w:ind w:firstLine="422"/>
        <w:jc w:val="left"/>
        <w:rPr>
          <w:rFonts w:ascii="宋体" w:hAnsi="宋体"/>
          <w:kern w:val="44"/>
        </w:rPr>
      </w:pPr>
      <w:r>
        <w:rPr>
          <w:rFonts w:hint="eastAsia" w:ascii="宋体" w:hAnsi="宋体"/>
          <w:b/>
          <w:kern w:val="44"/>
        </w:rPr>
        <w:t>第二条</w:t>
      </w:r>
      <w:r>
        <w:rPr>
          <w:rFonts w:hint="eastAsia" w:ascii="宋体" w:hAnsi="宋体"/>
          <w:kern w:val="44"/>
        </w:rPr>
        <w:t>　本规定适用于在本市行政区域内从事计量活动的单位和个人。</w:t>
      </w:r>
    </w:p>
    <w:p w14:paraId="38E06BE7">
      <w:pPr>
        <w:jc w:val="left"/>
        <w:rPr>
          <w:rFonts w:ascii="宋体" w:hAnsi="宋体"/>
          <w:kern w:val="44"/>
        </w:rPr>
      </w:pPr>
      <w:r>
        <w:rPr>
          <w:rFonts w:hint="eastAsia" w:ascii="宋体" w:hAnsi="宋体"/>
          <w:kern w:val="44"/>
        </w:rPr>
        <w:t>本规定所称的计量活动是指与计量有关的全部过程和结果。</w:t>
      </w:r>
    </w:p>
    <w:p w14:paraId="71983B55">
      <w:pPr>
        <w:ind w:firstLine="422"/>
        <w:jc w:val="left"/>
        <w:rPr>
          <w:rFonts w:ascii="宋体" w:hAnsi="宋体"/>
          <w:kern w:val="44"/>
        </w:rPr>
      </w:pPr>
      <w:r>
        <w:rPr>
          <w:rFonts w:hint="eastAsia" w:ascii="宋体" w:hAnsi="宋体"/>
          <w:b/>
          <w:kern w:val="44"/>
        </w:rPr>
        <w:t>第三条</w:t>
      </w:r>
      <w:r>
        <w:rPr>
          <w:rFonts w:hint="eastAsia" w:ascii="宋体" w:hAnsi="宋体"/>
          <w:kern w:val="44"/>
        </w:rPr>
        <w:t>　市质量技术监督局对全市的计量活动实施统一的监督和管理；区、县质量技术监督局对本行政区域内的计量活动进行监督和管理。</w:t>
      </w:r>
    </w:p>
    <w:p w14:paraId="3E956C91">
      <w:pPr>
        <w:ind w:firstLine="422"/>
        <w:jc w:val="left"/>
        <w:rPr>
          <w:rFonts w:ascii="宋体" w:hAnsi="宋体"/>
          <w:kern w:val="44"/>
        </w:rPr>
      </w:pPr>
      <w:r>
        <w:rPr>
          <w:rFonts w:hint="eastAsia" w:ascii="宋体" w:hAnsi="宋体"/>
          <w:b/>
          <w:kern w:val="44"/>
        </w:rPr>
        <w:t>第四条</w:t>
      </w:r>
      <w:r>
        <w:rPr>
          <w:rFonts w:hint="eastAsia" w:ascii="宋体" w:hAnsi="宋体"/>
          <w:kern w:val="44"/>
        </w:rPr>
        <w:t>　本市对涉及国家和社会公众利益的计量器具实施重点管理。</w:t>
      </w:r>
    </w:p>
    <w:p w14:paraId="353ABAEE">
      <w:pPr>
        <w:jc w:val="left"/>
        <w:rPr>
          <w:rFonts w:ascii="宋体" w:hAnsi="宋体"/>
          <w:kern w:val="44"/>
        </w:rPr>
      </w:pPr>
      <w:r>
        <w:rPr>
          <w:rFonts w:hint="eastAsia" w:ascii="宋体" w:hAnsi="宋体"/>
          <w:kern w:val="44"/>
        </w:rPr>
        <w:t>实施重点管理的计量器具目录由市质量技术监督局按照国家有关部门的规定确定并公布。</w:t>
      </w:r>
    </w:p>
    <w:p w14:paraId="1916ECD3">
      <w:pPr>
        <w:ind w:firstLine="422"/>
        <w:jc w:val="left"/>
        <w:rPr>
          <w:rFonts w:ascii="宋体" w:hAnsi="宋体"/>
          <w:kern w:val="44"/>
        </w:rPr>
      </w:pPr>
      <w:r>
        <w:rPr>
          <w:rFonts w:hint="eastAsia" w:ascii="宋体" w:hAnsi="宋体"/>
          <w:b/>
          <w:kern w:val="44"/>
        </w:rPr>
        <w:t>第五条</w:t>
      </w:r>
      <w:r>
        <w:rPr>
          <w:rFonts w:hint="eastAsia" w:ascii="宋体" w:hAnsi="宋体"/>
          <w:kern w:val="44"/>
        </w:rPr>
        <w:t>　制造、修理计量器具的企业、事业单位必须具备与所制造、修理的计量器具相适应的设施、人员和检定仪器设备，经市或者区、县质量技术监督局考核合格，取得《制造计量器具许可证》或者《修理计量器具许可证》。</w:t>
      </w:r>
    </w:p>
    <w:p w14:paraId="31F4D0D3">
      <w:pPr>
        <w:jc w:val="left"/>
        <w:rPr>
          <w:rFonts w:ascii="宋体" w:hAnsi="宋体"/>
          <w:kern w:val="44"/>
        </w:rPr>
      </w:pPr>
      <w:r>
        <w:rPr>
          <w:rFonts w:hint="eastAsia" w:ascii="宋体" w:hAnsi="宋体"/>
          <w:kern w:val="44"/>
        </w:rPr>
        <w:t>从事大型、技术复杂的计量器具安装业务、实施重点管理的计量器具改装业务的单位和个人必须持有《制造计量器具许可证》或者《修理计量器具许可证》。但国家另有规定的除外。</w:t>
      </w:r>
    </w:p>
    <w:p w14:paraId="0FDF0074">
      <w:pPr>
        <w:jc w:val="left"/>
        <w:rPr>
          <w:rFonts w:ascii="宋体" w:hAnsi="宋体"/>
          <w:kern w:val="44"/>
        </w:rPr>
      </w:pPr>
      <w:r>
        <w:rPr>
          <w:rFonts w:hint="eastAsia" w:ascii="宋体" w:hAnsi="宋体"/>
          <w:kern w:val="44"/>
        </w:rPr>
        <w:t>计量器具安装、改装完成后，必须经计量检定合格，方可投入使用。</w:t>
      </w:r>
    </w:p>
    <w:p w14:paraId="6C809B78">
      <w:pPr>
        <w:jc w:val="left"/>
        <w:rPr>
          <w:rFonts w:ascii="宋体" w:hAnsi="宋体"/>
          <w:kern w:val="44"/>
        </w:rPr>
      </w:pPr>
      <w:r>
        <w:rPr>
          <w:rFonts w:hint="eastAsia" w:ascii="宋体" w:hAnsi="宋体"/>
          <w:kern w:val="44"/>
        </w:rPr>
        <w:t>大型、技术复杂的计量器具目录由市质量技术监督局确定并公布。国家另有规定的从其规定。</w:t>
      </w:r>
    </w:p>
    <w:p w14:paraId="59A48825">
      <w:pPr>
        <w:ind w:firstLine="422"/>
        <w:jc w:val="left"/>
        <w:rPr>
          <w:rFonts w:ascii="宋体" w:hAnsi="宋体"/>
          <w:kern w:val="44"/>
        </w:rPr>
      </w:pPr>
      <w:r>
        <w:rPr>
          <w:rFonts w:hint="eastAsia" w:ascii="宋体" w:hAnsi="宋体"/>
          <w:b/>
          <w:kern w:val="44"/>
        </w:rPr>
        <w:t>第六条</w:t>
      </w:r>
      <w:r>
        <w:rPr>
          <w:rFonts w:hint="eastAsia" w:ascii="宋体" w:hAnsi="宋体"/>
          <w:kern w:val="44"/>
        </w:rPr>
        <w:t>　下列计量器具禁止销售：</w:t>
      </w:r>
    </w:p>
    <w:p w14:paraId="30B32FE4">
      <w:pPr>
        <w:jc w:val="left"/>
        <w:rPr>
          <w:rFonts w:ascii="宋体" w:hAnsi="宋体"/>
          <w:kern w:val="44"/>
        </w:rPr>
      </w:pPr>
      <w:r>
        <w:rPr>
          <w:rFonts w:hint="eastAsia" w:ascii="宋体" w:hAnsi="宋体"/>
          <w:kern w:val="44"/>
        </w:rPr>
        <w:t>（一）国家和本市明令淘汰或者禁止使用的；</w:t>
      </w:r>
    </w:p>
    <w:p w14:paraId="4546AC02">
      <w:pPr>
        <w:jc w:val="left"/>
        <w:rPr>
          <w:rFonts w:ascii="宋体" w:hAnsi="宋体"/>
          <w:kern w:val="44"/>
        </w:rPr>
      </w:pPr>
      <w:r>
        <w:rPr>
          <w:rFonts w:hint="eastAsia" w:ascii="宋体" w:hAnsi="宋体"/>
          <w:kern w:val="44"/>
        </w:rPr>
        <w:t>（二）无产品合格印、证，无《制造计量器具许可证》标志、编号以及制造厂厂名、厂址的；</w:t>
      </w:r>
    </w:p>
    <w:p w14:paraId="7A96C3E7">
      <w:pPr>
        <w:jc w:val="left"/>
        <w:rPr>
          <w:rFonts w:ascii="宋体" w:hAnsi="宋体"/>
          <w:kern w:val="44"/>
        </w:rPr>
      </w:pPr>
      <w:r>
        <w:rPr>
          <w:rFonts w:hint="eastAsia" w:ascii="宋体" w:hAnsi="宋体"/>
          <w:kern w:val="44"/>
        </w:rPr>
        <w:t>（三）伪造或者冒用《制造计量器具许可证》标志、编号、产品合格印、证以及他人厂名、厂址的；</w:t>
      </w:r>
    </w:p>
    <w:p w14:paraId="28711827">
      <w:pPr>
        <w:jc w:val="left"/>
        <w:rPr>
          <w:rFonts w:ascii="宋体" w:hAnsi="宋体"/>
          <w:kern w:val="44"/>
        </w:rPr>
      </w:pPr>
      <w:r>
        <w:rPr>
          <w:rFonts w:hint="eastAsia" w:ascii="宋体" w:hAnsi="宋体"/>
          <w:kern w:val="44"/>
        </w:rPr>
        <w:t>（四）未经检定或者经检定不合格的；</w:t>
      </w:r>
    </w:p>
    <w:p w14:paraId="2D28949D">
      <w:pPr>
        <w:jc w:val="left"/>
        <w:rPr>
          <w:rFonts w:ascii="宋体" w:hAnsi="宋体"/>
          <w:kern w:val="44"/>
        </w:rPr>
      </w:pPr>
      <w:r>
        <w:rPr>
          <w:rFonts w:hint="eastAsia" w:ascii="宋体" w:hAnsi="宋体"/>
          <w:kern w:val="44"/>
        </w:rPr>
        <w:t>（五）用残次零配件组装的。</w:t>
      </w:r>
    </w:p>
    <w:p w14:paraId="09B9C8EA">
      <w:pPr>
        <w:ind w:firstLine="422"/>
        <w:jc w:val="left"/>
        <w:rPr>
          <w:rFonts w:ascii="宋体" w:hAnsi="宋体"/>
          <w:kern w:val="44"/>
        </w:rPr>
      </w:pPr>
      <w:r>
        <w:rPr>
          <w:rFonts w:hint="eastAsia" w:ascii="宋体" w:hAnsi="宋体"/>
          <w:b/>
          <w:kern w:val="44"/>
        </w:rPr>
        <w:t>第七条</w:t>
      </w:r>
      <w:r>
        <w:rPr>
          <w:rFonts w:hint="eastAsia" w:ascii="宋体" w:hAnsi="宋体"/>
          <w:kern w:val="44"/>
        </w:rPr>
        <w:t>　用于计量检定的计量标准必须经考核合格。</w:t>
      </w:r>
    </w:p>
    <w:p w14:paraId="64A8C3DD">
      <w:pPr>
        <w:jc w:val="left"/>
        <w:rPr>
          <w:rFonts w:ascii="宋体" w:hAnsi="宋体"/>
          <w:kern w:val="44"/>
        </w:rPr>
      </w:pPr>
      <w:r>
        <w:rPr>
          <w:rFonts w:hint="eastAsia" w:ascii="宋体" w:hAnsi="宋体"/>
          <w:kern w:val="44"/>
        </w:rPr>
        <w:t>法定的计量检定机构和授权的计量检定机构应当在规定的范围内进行计量检定。</w:t>
      </w:r>
    </w:p>
    <w:p w14:paraId="6DACBDF4">
      <w:pPr>
        <w:ind w:firstLine="422"/>
        <w:jc w:val="left"/>
        <w:rPr>
          <w:rFonts w:ascii="宋体" w:hAnsi="宋体"/>
          <w:kern w:val="44"/>
        </w:rPr>
      </w:pPr>
      <w:r>
        <w:rPr>
          <w:rFonts w:hint="eastAsia" w:ascii="宋体" w:hAnsi="宋体"/>
          <w:b/>
          <w:kern w:val="44"/>
        </w:rPr>
        <w:t>第八条</w:t>
      </w:r>
      <w:r>
        <w:rPr>
          <w:rFonts w:hint="eastAsia" w:ascii="宋体" w:hAnsi="宋体"/>
          <w:kern w:val="44"/>
        </w:rPr>
        <w:t>　为社会提供公证数据的检验、测试机构和计量公正服务机构必须经计量认证合格；新增检验、测试、计量公正服务项目，应当申请单项计量认证。</w:t>
      </w:r>
    </w:p>
    <w:p w14:paraId="1128EAB6">
      <w:pPr>
        <w:jc w:val="left"/>
        <w:rPr>
          <w:rFonts w:ascii="宋体" w:hAnsi="宋体"/>
          <w:kern w:val="44"/>
        </w:rPr>
      </w:pPr>
      <w:r>
        <w:rPr>
          <w:rFonts w:hint="eastAsia" w:ascii="宋体" w:hAnsi="宋体"/>
          <w:kern w:val="44"/>
        </w:rPr>
        <w:t>产品质量检验机构的计量认证按照《中华人民共和国计量法实施细则》执行。</w:t>
      </w:r>
    </w:p>
    <w:p w14:paraId="2E86EAA4">
      <w:pPr>
        <w:ind w:firstLine="422"/>
        <w:jc w:val="left"/>
        <w:rPr>
          <w:rFonts w:ascii="宋体" w:hAnsi="宋体"/>
          <w:kern w:val="44"/>
        </w:rPr>
      </w:pPr>
      <w:r>
        <w:rPr>
          <w:rFonts w:hint="eastAsia" w:ascii="宋体" w:hAnsi="宋体"/>
          <w:b/>
          <w:kern w:val="44"/>
        </w:rPr>
        <w:t>第九条</w:t>
      </w:r>
      <w:r>
        <w:rPr>
          <w:rFonts w:hint="eastAsia" w:ascii="宋体" w:hAnsi="宋体"/>
          <w:kern w:val="44"/>
        </w:rPr>
        <w:t>　大宗物料交易的结算数据交易双方有约定的，以约定为准；无约定的，以计量公正服务机构提供的计量公证数据为准。</w:t>
      </w:r>
    </w:p>
    <w:p w14:paraId="27C9F80F">
      <w:pPr>
        <w:ind w:firstLine="422"/>
        <w:jc w:val="left"/>
        <w:rPr>
          <w:rFonts w:ascii="宋体" w:hAnsi="宋体"/>
          <w:kern w:val="44"/>
        </w:rPr>
      </w:pPr>
      <w:r>
        <w:rPr>
          <w:rFonts w:hint="eastAsia" w:ascii="宋体" w:hAnsi="宋体"/>
          <w:b/>
          <w:kern w:val="44"/>
        </w:rPr>
        <w:t>第十条</w:t>
      </w:r>
      <w:r>
        <w:rPr>
          <w:rFonts w:hint="eastAsia" w:ascii="宋体" w:hAnsi="宋体"/>
          <w:kern w:val="44"/>
        </w:rPr>
        <w:t>　在贸易结算、安全防护、医疗卫生、环境监测、执法检查等领域从事计量活动的单位应当按照国家和本市的有关规定，对保证量值准确可靠的必备条件进行确认。</w:t>
      </w:r>
    </w:p>
    <w:p w14:paraId="31BA6719">
      <w:pPr>
        <w:ind w:firstLine="422"/>
        <w:jc w:val="left"/>
        <w:rPr>
          <w:rFonts w:ascii="宋体" w:hAnsi="宋体"/>
          <w:kern w:val="44"/>
        </w:rPr>
      </w:pPr>
      <w:r>
        <w:rPr>
          <w:rFonts w:hint="eastAsia" w:ascii="宋体" w:hAnsi="宋体"/>
          <w:b/>
          <w:kern w:val="44"/>
        </w:rPr>
        <w:t>第十一条</w:t>
      </w:r>
      <w:r>
        <w:rPr>
          <w:rFonts w:hint="eastAsia" w:ascii="宋体" w:hAnsi="宋体"/>
          <w:kern w:val="44"/>
        </w:rPr>
        <w:t>　在商贸计量活动中，应当使用符合规定的计量器具。</w:t>
      </w:r>
    </w:p>
    <w:p w14:paraId="01F980CC">
      <w:pPr>
        <w:jc w:val="left"/>
        <w:rPr>
          <w:rFonts w:ascii="宋体" w:hAnsi="宋体"/>
          <w:kern w:val="44"/>
        </w:rPr>
      </w:pPr>
      <w:r>
        <w:rPr>
          <w:rFonts w:hint="eastAsia" w:ascii="宋体" w:hAnsi="宋体"/>
          <w:kern w:val="44"/>
        </w:rPr>
        <w:t>商品交易场所的举办者应当要求经营者使用符合规定的计量器具，并在商品交易场所的显著位置放置计量性能准确可靠的供消费者复核使用的计量器具。</w:t>
      </w:r>
    </w:p>
    <w:p w14:paraId="715238B5">
      <w:pPr>
        <w:ind w:firstLine="422"/>
        <w:jc w:val="left"/>
        <w:rPr>
          <w:rFonts w:ascii="宋体" w:hAnsi="宋体"/>
          <w:kern w:val="44"/>
        </w:rPr>
      </w:pPr>
      <w:r>
        <w:rPr>
          <w:rFonts w:hint="eastAsia" w:ascii="宋体" w:hAnsi="宋体"/>
          <w:b/>
          <w:kern w:val="44"/>
        </w:rPr>
        <w:t>第十二条</w:t>
      </w:r>
      <w:r>
        <w:rPr>
          <w:rFonts w:hint="eastAsia" w:ascii="宋体" w:hAnsi="宋体"/>
          <w:kern w:val="44"/>
        </w:rPr>
        <w:t>　以量值为结算依据的商品、服务交易的结算量应当与实际量相符，计量偏差应当符合国家和本市有关规定。</w:t>
      </w:r>
    </w:p>
    <w:p w14:paraId="3C5ABCD0">
      <w:pPr>
        <w:jc w:val="left"/>
        <w:rPr>
          <w:rFonts w:ascii="宋体" w:hAnsi="宋体"/>
          <w:kern w:val="44"/>
        </w:rPr>
      </w:pPr>
      <w:r>
        <w:rPr>
          <w:rFonts w:hint="eastAsia" w:ascii="宋体" w:hAnsi="宋体"/>
          <w:kern w:val="44"/>
        </w:rPr>
        <w:t>不得以掺杂异物等方法改变商品量值。</w:t>
      </w:r>
    </w:p>
    <w:p w14:paraId="041562CE">
      <w:pPr>
        <w:ind w:firstLine="422"/>
        <w:jc w:val="left"/>
        <w:rPr>
          <w:rFonts w:ascii="宋体" w:hAnsi="宋体"/>
          <w:kern w:val="44"/>
        </w:rPr>
      </w:pPr>
      <w:r>
        <w:rPr>
          <w:rFonts w:hint="eastAsia" w:ascii="宋体" w:hAnsi="宋体"/>
          <w:b/>
          <w:kern w:val="44"/>
        </w:rPr>
        <w:t>第十三条</w:t>
      </w:r>
      <w:r>
        <w:rPr>
          <w:rFonts w:hint="eastAsia" w:ascii="宋体" w:hAnsi="宋体"/>
          <w:kern w:val="44"/>
        </w:rPr>
        <w:t>　生产者或者经营者应当在定量包装商品包装物的显著位置标明内装商品的净含量。</w:t>
      </w:r>
    </w:p>
    <w:p w14:paraId="71E4A738">
      <w:pPr>
        <w:jc w:val="left"/>
        <w:rPr>
          <w:rFonts w:ascii="宋体" w:hAnsi="宋体"/>
          <w:kern w:val="44"/>
        </w:rPr>
      </w:pPr>
      <w:r>
        <w:rPr>
          <w:rFonts w:hint="eastAsia" w:ascii="宋体" w:hAnsi="宋体"/>
          <w:kern w:val="44"/>
        </w:rPr>
        <w:t>不得销售未标明净含量的定量包装商品。</w:t>
      </w:r>
    </w:p>
    <w:p w14:paraId="0D602AC0">
      <w:pPr>
        <w:ind w:firstLine="422"/>
        <w:jc w:val="left"/>
        <w:rPr>
          <w:rFonts w:ascii="宋体" w:hAnsi="宋体"/>
          <w:kern w:val="44"/>
        </w:rPr>
      </w:pPr>
      <w:r>
        <w:rPr>
          <w:rFonts w:hint="eastAsia" w:ascii="宋体" w:hAnsi="宋体"/>
          <w:b/>
          <w:kern w:val="44"/>
        </w:rPr>
        <w:t>第十四条</w:t>
      </w:r>
      <w:r>
        <w:rPr>
          <w:rFonts w:hint="eastAsia" w:ascii="宋体" w:hAnsi="宋体"/>
          <w:kern w:val="44"/>
        </w:rPr>
        <w:t>　对商品量进行计量监督检查所需的样品由计量监督检查人员持计量监督检查凭证，按照规定向受检单位随机抽取。监督检查结束后，除正常损耗和国家另有规定的外，应当将样品退还受检单位。</w:t>
      </w:r>
    </w:p>
    <w:p w14:paraId="19E25EA8">
      <w:pPr>
        <w:ind w:firstLine="422"/>
        <w:jc w:val="left"/>
        <w:rPr>
          <w:rFonts w:ascii="宋体" w:hAnsi="宋体"/>
          <w:kern w:val="44"/>
        </w:rPr>
      </w:pPr>
      <w:r>
        <w:rPr>
          <w:rFonts w:hint="eastAsia" w:ascii="宋体" w:hAnsi="宋体"/>
          <w:b/>
          <w:kern w:val="44"/>
        </w:rPr>
        <w:t>第十五条</w:t>
      </w:r>
      <w:r>
        <w:rPr>
          <w:rFonts w:hint="eastAsia" w:ascii="宋体" w:hAnsi="宋体"/>
          <w:kern w:val="44"/>
        </w:rPr>
        <w:t>　计量监督检查人员在进行监督检查时，可以查阅、复制有关</w:t>
      </w:r>
      <w:r>
        <w:rPr>
          <w:rFonts w:hint="eastAsia" w:ascii="宋体" w:hAnsi="宋体"/>
          <w:kern w:val="44"/>
          <w:lang w:eastAsia="zh-CN"/>
        </w:rPr>
        <w:t>账册</w:t>
      </w:r>
      <w:r>
        <w:rPr>
          <w:rFonts w:hint="eastAsia" w:ascii="宋体" w:hAnsi="宋体"/>
          <w:kern w:val="44"/>
        </w:rPr>
        <w:t>、单据、文件、记录、业务函电和其他资料；可以进入产品存放地和仓库。</w:t>
      </w:r>
    </w:p>
    <w:p w14:paraId="6B3DEB80">
      <w:pPr>
        <w:jc w:val="left"/>
        <w:rPr>
          <w:rFonts w:ascii="宋体" w:hAnsi="宋体"/>
          <w:kern w:val="44"/>
        </w:rPr>
      </w:pPr>
      <w:r>
        <w:rPr>
          <w:rFonts w:hint="eastAsia" w:ascii="宋体" w:hAnsi="宋体"/>
          <w:kern w:val="44"/>
        </w:rPr>
        <w:t>计量监督检查人员进行检查时，应当表明身份、出示证件，并为被检查者保守商业秘密和技术秘密。</w:t>
      </w:r>
    </w:p>
    <w:p w14:paraId="44F7413B">
      <w:pPr>
        <w:ind w:firstLine="422"/>
        <w:jc w:val="left"/>
        <w:rPr>
          <w:rFonts w:ascii="宋体" w:hAnsi="宋体"/>
          <w:kern w:val="44"/>
        </w:rPr>
      </w:pPr>
      <w:r>
        <w:rPr>
          <w:rFonts w:hint="eastAsia" w:ascii="宋体" w:hAnsi="宋体"/>
          <w:b/>
          <w:kern w:val="44"/>
        </w:rPr>
        <w:t>第十六条</w:t>
      </w:r>
      <w:r>
        <w:rPr>
          <w:rFonts w:hint="eastAsia" w:ascii="宋体" w:hAnsi="宋体"/>
          <w:kern w:val="44"/>
        </w:rPr>
        <w:t>　违反本规定第五条规定，未取得《制造计量器具许可证》或者《修理计量器具许可证》制造、修理计量器具的，按照《中华人民共和国计量法实施细则》第四十七条规定处罚。</w:t>
      </w:r>
    </w:p>
    <w:p w14:paraId="6710809B">
      <w:pPr>
        <w:ind w:firstLine="422"/>
        <w:jc w:val="left"/>
        <w:rPr>
          <w:rFonts w:ascii="宋体" w:hAnsi="宋体"/>
          <w:kern w:val="44"/>
        </w:rPr>
      </w:pPr>
      <w:r>
        <w:rPr>
          <w:rFonts w:hint="eastAsia" w:ascii="宋体" w:hAnsi="宋体"/>
          <w:b/>
          <w:kern w:val="44"/>
        </w:rPr>
        <w:t>第十七条</w:t>
      </w:r>
      <w:r>
        <w:rPr>
          <w:rFonts w:hint="eastAsia" w:ascii="宋体" w:hAnsi="宋体"/>
          <w:kern w:val="44"/>
        </w:rPr>
        <w:t>　违反本规定第五条规定，没有《制造计量器具许可证》或者《修理计量器具许可证》，从事大型、技术复杂的计量器具安装业务的，责令停止安装，可以处3万元以下罚款；没有《制造计量器具许可证》或者《修理计量器具许可证》，从事实施重点管理的计量器具改装业务的，责令停止改装，对经营性的改装行为，可以处1万元以下罚款，情节严重的，可以处3万元以下罚款；对非经营性的改装行为，可以处1000元以下罚款。</w:t>
      </w:r>
    </w:p>
    <w:p w14:paraId="548A9910">
      <w:pPr>
        <w:ind w:firstLine="422"/>
        <w:jc w:val="left"/>
        <w:rPr>
          <w:rFonts w:ascii="宋体" w:hAnsi="宋体"/>
          <w:kern w:val="44"/>
        </w:rPr>
      </w:pPr>
      <w:r>
        <w:rPr>
          <w:rFonts w:hint="eastAsia" w:ascii="宋体" w:hAnsi="宋体"/>
          <w:b/>
          <w:kern w:val="44"/>
        </w:rPr>
        <w:t>第十八条</w:t>
      </w:r>
      <w:r>
        <w:rPr>
          <w:rFonts w:hint="eastAsia" w:ascii="宋体" w:hAnsi="宋体"/>
          <w:kern w:val="44"/>
        </w:rPr>
        <w:t>　违反本规定第六条规定，销售禁止销售的计量器具的，责令停止销售，可以处3万元以下罚款。</w:t>
      </w:r>
    </w:p>
    <w:p w14:paraId="560F9BC0">
      <w:pPr>
        <w:ind w:firstLine="422"/>
        <w:jc w:val="left"/>
        <w:rPr>
          <w:rFonts w:ascii="宋体" w:hAnsi="宋体"/>
          <w:kern w:val="44"/>
        </w:rPr>
      </w:pPr>
      <w:r>
        <w:rPr>
          <w:rFonts w:hint="eastAsia" w:ascii="宋体" w:hAnsi="宋体"/>
          <w:b/>
          <w:kern w:val="44"/>
        </w:rPr>
        <w:t>第十九条</w:t>
      </w:r>
      <w:r>
        <w:rPr>
          <w:rFonts w:hint="eastAsia" w:ascii="宋体" w:hAnsi="宋体"/>
          <w:kern w:val="44"/>
        </w:rPr>
        <w:t>　违反本规定第七条规定，使用未经考核或者经考核不合格的计量标准进行计量检定的、法定和授权的计量检定机构超过规定范围进行计量检定的，责令停止检定，可以处1万元以下罚款。</w:t>
      </w:r>
    </w:p>
    <w:p w14:paraId="390B6F2B">
      <w:pPr>
        <w:ind w:firstLine="422"/>
        <w:jc w:val="left"/>
        <w:rPr>
          <w:rFonts w:ascii="宋体" w:hAnsi="宋体"/>
          <w:kern w:val="44"/>
        </w:rPr>
      </w:pPr>
      <w:r>
        <w:rPr>
          <w:rFonts w:hint="eastAsia" w:ascii="宋体" w:hAnsi="宋体"/>
          <w:b/>
          <w:kern w:val="44"/>
        </w:rPr>
        <w:t>第二十条</w:t>
      </w:r>
      <w:r>
        <w:rPr>
          <w:rFonts w:hint="eastAsia" w:ascii="宋体" w:hAnsi="宋体"/>
          <w:kern w:val="44"/>
        </w:rPr>
        <w:t>　违反本规定第八条规定，检验、测试机构和计量公正服务机构未经计量认证或者经计量认证不合格的，责令限期改正，逾期不改的，可以处2万元以下罚款。</w:t>
      </w:r>
    </w:p>
    <w:p w14:paraId="5923C9B5">
      <w:pPr>
        <w:ind w:firstLine="422"/>
        <w:jc w:val="left"/>
        <w:rPr>
          <w:rFonts w:ascii="宋体" w:hAnsi="宋体"/>
          <w:kern w:val="44"/>
        </w:rPr>
      </w:pPr>
      <w:r>
        <w:rPr>
          <w:rFonts w:hint="eastAsia" w:ascii="宋体" w:hAnsi="宋体"/>
          <w:b/>
          <w:kern w:val="44"/>
        </w:rPr>
        <w:t>第二十一条</w:t>
      </w:r>
      <w:r>
        <w:rPr>
          <w:rFonts w:hint="eastAsia" w:ascii="宋体" w:hAnsi="宋体"/>
          <w:kern w:val="44"/>
        </w:rPr>
        <w:t>　违反本规定第十一条规定，使用不符合规定的计量器具的，责令改正，可以处5000元以下罚款；商品交易场所的举办者未设置复核用计量器具的，责令改正，可以处5000元以下罚款；设置的复核用计量器具经检定不合格的，责令改正，可以处5000元以下罚款。</w:t>
      </w:r>
    </w:p>
    <w:p w14:paraId="51F14F4E">
      <w:pPr>
        <w:ind w:firstLine="422"/>
        <w:jc w:val="left"/>
        <w:rPr>
          <w:rFonts w:ascii="宋体" w:hAnsi="宋体"/>
          <w:kern w:val="44"/>
        </w:rPr>
      </w:pPr>
      <w:r>
        <w:rPr>
          <w:rFonts w:hint="eastAsia" w:ascii="宋体" w:hAnsi="宋体"/>
          <w:b/>
          <w:kern w:val="44"/>
        </w:rPr>
        <w:t>第二十二条</w:t>
      </w:r>
      <w:r>
        <w:rPr>
          <w:rFonts w:hint="eastAsia" w:ascii="宋体" w:hAnsi="宋体"/>
          <w:kern w:val="44"/>
        </w:rPr>
        <w:t>　违反第十二条规定，结算量与实际量不符，且偏差超过国家和本市有关规定的，责令限期改正，可以处3万元以下罚款；以掺杂异物等方法改变商品量值的，责令改正，可以处5000元以下罚款。</w:t>
      </w:r>
    </w:p>
    <w:p w14:paraId="22FDD28C">
      <w:pPr>
        <w:ind w:firstLine="422"/>
        <w:jc w:val="left"/>
        <w:rPr>
          <w:rFonts w:ascii="宋体" w:hAnsi="宋体"/>
          <w:kern w:val="44"/>
        </w:rPr>
      </w:pPr>
      <w:r>
        <w:rPr>
          <w:rFonts w:hint="eastAsia" w:ascii="宋体" w:hAnsi="宋体"/>
          <w:b/>
          <w:kern w:val="44"/>
        </w:rPr>
        <w:t>第二十三条</w:t>
      </w:r>
      <w:r>
        <w:rPr>
          <w:rFonts w:hint="eastAsia" w:ascii="宋体" w:hAnsi="宋体"/>
          <w:kern w:val="44"/>
        </w:rPr>
        <w:t>　违反本规定第十三条规定，销售未标明净含量的定量包装商品的，责令停止销售，可以处5000元以下罚款。</w:t>
      </w:r>
    </w:p>
    <w:p w14:paraId="52059C48">
      <w:pPr>
        <w:ind w:firstLine="422"/>
        <w:jc w:val="left"/>
        <w:rPr>
          <w:rFonts w:ascii="宋体" w:hAnsi="宋体"/>
          <w:kern w:val="44"/>
        </w:rPr>
      </w:pPr>
      <w:r>
        <w:rPr>
          <w:rFonts w:hint="eastAsia" w:ascii="宋体" w:hAnsi="宋体"/>
          <w:b/>
          <w:kern w:val="44"/>
        </w:rPr>
        <w:t>第二十四条</w:t>
      </w:r>
      <w:r>
        <w:rPr>
          <w:rFonts w:hint="eastAsia" w:ascii="宋体" w:hAnsi="宋体"/>
          <w:kern w:val="44"/>
        </w:rPr>
        <w:t>　计量监督检查人员玩忽职守、滥用职权、徇私舞弊的，由所在单位或者上级主管部门给予行政处分；构成犯罪的，依法追究其刑事责任。</w:t>
      </w:r>
    </w:p>
    <w:p w14:paraId="34B20C50">
      <w:pPr>
        <w:ind w:firstLine="422"/>
        <w:jc w:val="left"/>
        <w:rPr>
          <w:rFonts w:ascii="宋体" w:hAnsi="宋体"/>
          <w:kern w:val="44"/>
        </w:rPr>
      </w:pPr>
      <w:r>
        <w:rPr>
          <w:rFonts w:hint="eastAsia" w:ascii="宋体" w:hAnsi="宋体"/>
          <w:b/>
          <w:kern w:val="44"/>
        </w:rPr>
        <w:t>第二十五条</w:t>
      </w:r>
      <w:r>
        <w:rPr>
          <w:rFonts w:hint="eastAsia" w:ascii="宋体" w:hAnsi="宋体"/>
          <w:kern w:val="44"/>
        </w:rPr>
        <w:t>　本规定规定的行政处罚由市或者区、县质量技术监督局决定。法律、行政法规对行使行政处罚权的机关另有规定的，依照有关法律、行政法规执行。</w:t>
      </w:r>
    </w:p>
    <w:p w14:paraId="358B11C4">
      <w:pPr>
        <w:ind w:firstLine="422"/>
        <w:jc w:val="left"/>
        <w:rPr>
          <w:rFonts w:ascii="宋体" w:hAnsi="宋体"/>
          <w:kern w:val="44"/>
        </w:rPr>
      </w:pPr>
      <w:r>
        <w:rPr>
          <w:rFonts w:hint="eastAsia" w:ascii="宋体" w:hAnsi="宋体"/>
          <w:b/>
          <w:kern w:val="44"/>
        </w:rPr>
        <w:t>第二十六条</w:t>
      </w:r>
      <w:r>
        <w:rPr>
          <w:rFonts w:hint="eastAsia" w:ascii="宋体" w:hAnsi="宋体"/>
          <w:kern w:val="44"/>
        </w:rPr>
        <w:t>　本规定自2001年7月1日起施行。北京市人民政府1987年12月16日发布的《北京市实施〈中华人民共和国计量法〉的若干规定》同时废止。</w:t>
      </w:r>
    </w:p>
    <w:p w14:paraId="7C0884A9">
      <w:pPr>
        <w:pStyle w:val="3"/>
        <w:pageBreakBefore/>
        <w:rPr>
          <w:kern w:val="44"/>
        </w:rPr>
      </w:pPr>
      <w:bookmarkStart w:id="1215" w:name="_Toc427651597"/>
      <w:bookmarkStart w:id="1216" w:name="_Toc422471323"/>
      <w:bookmarkStart w:id="1217" w:name="_Toc427651939"/>
      <w:bookmarkStart w:id="1218" w:name="_Toc428780163"/>
      <w:bookmarkStart w:id="1219" w:name="_Toc428781645"/>
      <w:r>
        <w:rPr>
          <w:rFonts w:hint="eastAsia"/>
          <w:kern w:val="44"/>
        </w:rPr>
        <w:t>（十二）检验检疫</w:t>
      </w:r>
      <w:bookmarkEnd w:id="1215"/>
      <w:bookmarkEnd w:id="1216"/>
      <w:bookmarkEnd w:id="1217"/>
      <w:bookmarkEnd w:id="1218"/>
      <w:bookmarkEnd w:id="1219"/>
    </w:p>
    <w:p w14:paraId="778E737A"/>
    <w:p w14:paraId="67E0E267">
      <w:pPr>
        <w:pStyle w:val="4"/>
        <w:rPr>
          <w:kern w:val="44"/>
        </w:rPr>
      </w:pPr>
      <w:bookmarkStart w:id="1220" w:name="_Toc427651940"/>
      <w:bookmarkStart w:id="1221" w:name="_Toc422471324"/>
      <w:bookmarkStart w:id="1222" w:name="_Toc428780164"/>
      <w:bookmarkStart w:id="1223" w:name="_Toc427651598"/>
      <w:bookmarkStart w:id="1224" w:name="_Toc428781646"/>
      <w:r>
        <w:rPr>
          <w:rFonts w:hint="eastAsia"/>
          <w:kern w:val="44"/>
        </w:rPr>
        <w:t>北京市动物防疫条例</w:t>
      </w:r>
      <w:bookmarkEnd w:id="1220"/>
      <w:bookmarkEnd w:id="1221"/>
      <w:bookmarkEnd w:id="1222"/>
      <w:bookmarkEnd w:id="1223"/>
      <w:bookmarkEnd w:id="1224"/>
    </w:p>
    <w:p w14:paraId="4AA460F5">
      <w:pPr>
        <w:ind w:left="630" w:leftChars="300" w:right="630" w:rightChars="300"/>
        <w:jc w:val="left"/>
        <w:rPr>
          <w:rFonts w:ascii="楷体" w:hAnsi="楷体" w:eastAsia="楷体"/>
          <w:kern w:val="44"/>
        </w:rPr>
      </w:pPr>
      <w:r>
        <w:rPr>
          <w:rFonts w:hint="eastAsia" w:ascii="楷体" w:hAnsi="楷体" w:eastAsia="楷体"/>
          <w:kern w:val="44"/>
        </w:rPr>
        <w:t>（2014年5月23日北京市第十四届人民代表大会常务委员会第十一次会议通过北京市人民代表大会常务委员会公告第6号公布 ）</w:t>
      </w:r>
    </w:p>
    <w:p w14:paraId="26E1ACC0">
      <w:pPr>
        <w:jc w:val="left"/>
        <w:rPr>
          <w:rFonts w:ascii="宋体" w:hAnsi="宋体"/>
          <w:kern w:val="44"/>
        </w:rPr>
      </w:pPr>
    </w:p>
    <w:p w14:paraId="2730581F">
      <w:pPr>
        <w:ind w:firstLine="0" w:firstLineChars="0"/>
        <w:jc w:val="center"/>
        <w:rPr>
          <w:rFonts w:ascii="宋体" w:hAnsi="宋体"/>
          <w:b/>
          <w:kern w:val="44"/>
          <w:sz w:val="28"/>
        </w:rPr>
      </w:pPr>
      <w:r>
        <w:rPr>
          <w:rFonts w:hint="eastAsia" w:ascii="宋体" w:hAnsi="宋体"/>
          <w:b/>
          <w:kern w:val="44"/>
          <w:sz w:val="28"/>
        </w:rPr>
        <w:t>第一章　总　则</w:t>
      </w:r>
    </w:p>
    <w:p w14:paraId="756FDF87">
      <w:pPr>
        <w:jc w:val="left"/>
        <w:rPr>
          <w:rFonts w:ascii="宋体" w:hAnsi="宋体"/>
          <w:kern w:val="44"/>
        </w:rPr>
      </w:pPr>
    </w:p>
    <w:p w14:paraId="6175F1EA">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为了加强对动物防疫活动的管理，预防、控制和扑灭动物疫病，促进养殖业发展，保护人体健康，维护公共卫生安全，根据《中华人民共和国动物防疫法》等有关法律、法规的规定，结合本市实际，制定本条例。</w:t>
      </w:r>
    </w:p>
    <w:p w14:paraId="3367CBC0">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本条例适用于本市行政区域内的动物防疫及其监督管理活动。</w:t>
      </w:r>
    </w:p>
    <w:p w14:paraId="6AB4F045">
      <w:pPr>
        <w:jc w:val="left"/>
        <w:rPr>
          <w:rFonts w:ascii="宋体" w:hAnsi="宋体"/>
          <w:kern w:val="44"/>
        </w:rPr>
      </w:pPr>
      <w:r>
        <w:rPr>
          <w:rFonts w:hint="eastAsia" w:ascii="宋体" w:hAnsi="宋体"/>
          <w:kern w:val="44"/>
        </w:rPr>
        <w:t>进出境动物、动物产品的检疫以及实验动物的预防免疫，适用其他有关法律、法规的规定。</w:t>
      </w:r>
    </w:p>
    <w:p w14:paraId="3B28A29D">
      <w:pPr>
        <w:ind w:firstLine="422"/>
        <w:jc w:val="left"/>
        <w:rPr>
          <w:rFonts w:ascii="宋体" w:hAnsi="宋体"/>
          <w:kern w:val="44"/>
        </w:rPr>
      </w:pPr>
      <w:r>
        <w:rPr>
          <w:rFonts w:hint="eastAsia" w:ascii="宋体" w:hAnsi="宋体"/>
          <w:b/>
          <w:kern w:val="44"/>
        </w:rPr>
        <w:t>第三条</w:t>
      </w:r>
      <w:r>
        <w:rPr>
          <w:rFonts w:hint="eastAsia" w:ascii="宋体" w:hAnsi="宋体"/>
          <w:kern w:val="44"/>
        </w:rPr>
        <w:t>　本市动物防疫工作坚持预防为主、综合防治、全程监管、重点控制的原则，建立政府监管与服务、企业主责、行业自律和社会参与的共同治理工作机制。</w:t>
      </w:r>
    </w:p>
    <w:p w14:paraId="31978ADF">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政府应当加强对动物防疫工作的统一领导，将动物防疫工作纳入国民经济和社会发展规划和计划，建立健全动物防疫体系，按照职责将动物疫病的预防、监测、控制、检疫、监督管理以及动物疫情应急处理所需经费纳入本级财政预算。</w:t>
      </w:r>
    </w:p>
    <w:p w14:paraId="2D8C4639">
      <w:pPr>
        <w:jc w:val="left"/>
        <w:rPr>
          <w:rFonts w:ascii="宋体" w:hAnsi="宋体"/>
          <w:kern w:val="44"/>
        </w:rPr>
      </w:pPr>
      <w:r>
        <w:rPr>
          <w:rFonts w:hint="eastAsia" w:ascii="宋体" w:hAnsi="宋体"/>
          <w:kern w:val="44"/>
        </w:rPr>
        <w:t>乡镇人民政府、街道办事处应当建立动物防疫责任制度，明确专门人员，协助做好本辖区内的动物防疫知识宣传、动物饲养情况调查、动物疫病监测、重大动物疫情控制和扑灭等工作。</w:t>
      </w:r>
    </w:p>
    <w:p w14:paraId="1DC5CB82">
      <w:pPr>
        <w:jc w:val="left"/>
        <w:rPr>
          <w:rFonts w:ascii="宋体" w:hAnsi="宋体"/>
          <w:kern w:val="44"/>
        </w:rPr>
      </w:pPr>
      <w:r>
        <w:rPr>
          <w:rFonts w:hint="eastAsia" w:ascii="宋体" w:hAnsi="宋体"/>
          <w:kern w:val="44"/>
        </w:rPr>
        <w:t>村民委员会、居民委员会应当配合做好本辖区内的动物防疫工作，督促和引导村民、居民依法履行动物防疫义务。</w:t>
      </w:r>
    </w:p>
    <w:p w14:paraId="5AD739A8">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市和区、县兽医行政主管部门主管本行政区域内的动物防疫工作。</w:t>
      </w:r>
    </w:p>
    <w:p w14:paraId="3CB7598E">
      <w:pPr>
        <w:jc w:val="left"/>
        <w:rPr>
          <w:rFonts w:ascii="宋体" w:hAnsi="宋体"/>
          <w:kern w:val="44"/>
        </w:rPr>
      </w:pPr>
      <w:r>
        <w:rPr>
          <w:rFonts w:hint="eastAsia" w:ascii="宋体" w:hAnsi="宋体"/>
          <w:kern w:val="44"/>
        </w:rPr>
        <w:t>区、县兽医行政主管部门根据动物防疫工作需要，在乡镇或者特定区域派驻基层兽医机构，在村、社区可以设置村级动物防疫员、社区动物防疫协管员。村级动物防疫员、社区动物防疫协管员应当协助做好动物防疫知识宣传、强制免疫接种、动物饲养情况调查、疫情观察报告和调查处置、违法行为报告和制止等动物防疫工作。</w:t>
      </w:r>
    </w:p>
    <w:p w14:paraId="797BB685">
      <w:pPr>
        <w:jc w:val="left"/>
        <w:rPr>
          <w:rFonts w:ascii="宋体" w:hAnsi="宋体"/>
          <w:kern w:val="44"/>
        </w:rPr>
      </w:pPr>
      <w:r>
        <w:rPr>
          <w:rFonts w:hint="eastAsia" w:ascii="宋体" w:hAnsi="宋体"/>
          <w:kern w:val="44"/>
        </w:rPr>
        <w:t>卫生、园林绿化、水务、环境保护、市政市容、食品药品监督、工商行政管理、公安等行政部门和出入境检验检疫机构，按照各自职责做好动物防疫相关工作。与动物防疫相关、一时难以定性且涉及多部门的事项，由兽医行政主管部门先行处理并负责协调。</w:t>
      </w:r>
    </w:p>
    <w:p w14:paraId="51213848">
      <w:pPr>
        <w:ind w:firstLine="422"/>
        <w:jc w:val="left"/>
        <w:rPr>
          <w:rFonts w:ascii="宋体" w:hAnsi="宋体"/>
          <w:kern w:val="44"/>
        </w:rPr>
      </w:pPr>
      <w:r>
        <w:rPr>
          <w:rFonts w:hint="eastAsia" w:ascii="宋体" w:hAnsi="宋体"/>
          <w:b/>
          <w:kern w:val="44"/>
        </w:rPr>
        <w:t>第六条</w:t>
      </w:r>
      <w:r>
        <w:rPr>
          <w:rFonts w:hint="eastAsia" w:ascii="宋体" w:hAnsi="宋体"/>
          <w:kern w:val="44"/>
        </w:rPr>
        <w:t>　市和区、县人民政府设立的动物卫生监督机构负责动物、动物产品的检疫工作和其他有关动物防疫的监督管理执法工作。</w:t>
      </w:r>
    </w:p>
    <w:p w14:paraId="4F1EACB6">
      <w:pPr>
        <w:ind w:firstLine="422"/>
        <w:jc w:val="left"/>
        <w:rPr>
          <w:rFonts w:ascii="宋体" w:hAnsi="宋体"/>
          <w:kern w:val="44"/>
        </w:rPr>
      </w:pPr>
      <w:r>
        <w:rPr>
          <w:rFonts w:hint="eastAsia" w:ascii="宋体" w:hAnsi="宋体"/>
          <w:b/>
          <w:kern w:val="44"/>
        </w:rPr>
        <w:t>第七条</w:t>
      </w:r>
      <w:r>
        <w:rPr>
          <w:rFonts w:hint="eastAsia" w:ascii="宋体" w:hAnsi="宋体"/>
          <w:kern w:val="44"/>
        </w:rPr>
        <w:t>　市和区、县人民政府设立的动物疫病预防控制机构，承担动物疫病的监测、检测、诊断、流行病学调查、疫情报告、动物防疫知识宣传以及其他预防、控制等技术工作。未设立动物疫病预防控制机构的区、县，区、县兽医行政主管部门可以委托其他专业机构承担动物疫病预防、控制等技术工作。</w:t>
      </w:r>
    </w:p>
    <w:p w14:paraId="6EECA9FB">
      <w:pPr>
        <w:ind w:firstLine="422"/>
        <w:jc w:val="left"/>
        <w:rPr>
          <w:rFonts w:ascii="宋体" w:hAnsi="宋体"/>
          <w:kern w:val="44"/>
        </w:rPr>
      </w:pPr>
      <w:r>
        <w:rPr>
          <w:rFonts w:hint="eastAsia" w:ascii="宋体" w:hAnsi="宋体"/>
          <w:b/>
          <w:kern w:val="44"/>
        </w:rPr>
        <w:t>第八条</w:t>
      </w:r>
      <w:r>
        <w:rPr>
          <w:rFonts w:hint="eastAsia" w:ascii="宋体" w:hAnsi="宋体"/>
          <w:kern w:val="44"/>
        </w:rPr>
        <w:t>　从事动物饲养、屠宰、经营、隔离、运输、诊疗以及动物产品生产、经营、加工、贮藏等活动的单位和个人，应当遵守动物防疫法律、法规、规章和标准的规定，做好动物疫病的预防、报告、控制等工作，降低动物疫病发生风险，防止疫情扩散。</w:t>
      </w:r>
    </w:p>
    <w:p w14:paraId="486DB97F">
      <w:pPr>
        <w:ind w:firstLine="422"/>
        <w:jc w:val="left"/>
        <w:rPr>
          <w:rFonts w:ascii="宋体" w:hAnsi="宋体"/>
          <w:kern w:val="44"/>
        </w:rPr>
      </w:pPr>
      <w:r>
        <w:rPr>
          <w:rFonts w:hint="eastAsia" w:ascii="宋体" w:hAnsi="宋体"/>
          <w:b/>
          <w:kern w:val="44"/>
        </w:rPr>
        <w:t>第九条</w:t>
      </w:r>
      <w:r>
        <w:rPr>
          <w:rFonts w:hint="eastAsia" w:ascii="宋体" w:hAnsi="宋体"/>
          <w:kern w:val="44"/>
        </w:rPr>
        <w:t xml:space="preserve">  市和区、县人民政府有关部门应当加强对动物防疫相关行业协会的支持、指导和服务，并可以委托符合条件的行业协会承担部分动物防疫相关事项。</w:t>
      </w:r>
    </w:p>
    <w:p w14:paraId="3BAB67B9">
      <w:pPr>
        <w:jc w:val="left"/>
        <w:rPr>
          <w:rFonts w:ascii="宋体" w:hAnsi="宋体"/>
          <w:kern w:val="44"/>
        </w:rPr>
      </w:pPr>
      <w:r>
        <w:rPr>
          <w:rFonts w:hint="eastAsia" w:ascii="宋体" w:hAnsi="宋体"/>
          <w:kern w:val="44"/>
        </w:rPr>
        <w:t>动物防疫相关行业协会应当承担行业自律责任，根据章程指导、规范和监督会员依法从事动物、动物产品生产经营等活动，推进行业诚信建设；为会员提供信息、技术、营销、培训等服务，参与制定、修订生产和服务标准，向兽医行政主管部门提出改进工作的意见和建议，维护会员合法权益；开展动物防疫知识宣传。</w:t>
      </w:r>
    </w:p>
    <w:p w14:paraId="5E16C78A">
      <w:pPr>
        <w:ind w:firstLine="422"/>
        <w:jc w:val="left"/>
        <w:rPr>
          <w:rFonts w:ascii="宋体" w:hAnsi="宋体"/>
          <w:kern w:val="44"/>
        </w:rPr>
      </w:pPr>
      <w:r>
        <w:rPr>
          <w:rFonts w:hint="eastAsia" w:ascii="宋体" w:hAnsi="宋体"/>
          <w:b/>
          <w:kern w:val="44"/>
        </w:rPr>
        <w:t>第十条</w:t>
      </w:r>
      <w:r>
        <w:rPr>
          <w:rFonts w:hint="eastAsia" w:ascii="宋体" w:hAnsi="宋体"/>
          <w:kern w:val="44"/>
        </w:rPr>
        <w:t>　市和区、县人民政府应当采取措施支持保险机构开发动物疫病保险产品，逐步扩大承保的动物疫病种类和范围，鼓励动物养殖者参加动物疫病保险。</w:t>
      </w:r>
    </w:p>
    <w:p w14:paraId="5A3691F7">
      <w:pPr>
        <w:ind w:firstLine="422"/>
        <w:jc w:val="left"/>
        <w:rPr>
          <w:rFonts w:ascii="宋体" w:hAnsi="宋体"/>
          <w:kern w:val="44"/>
        </w:rPr>
      </w:pPr>
      <w:r>
        <w:rPr>
          <w:rFonts w:hint="eastAsia" w:ascii="宋体" w:hAnsi="宋体"/>
          <w:b/>
          <w:kern w:val="44"/>
        </w:rPr>
        <w:t>第十一条</w:t>
      </w:r>
      <w:r>
        <w:rPr>
          <w:rFonts w:hint="eastAsia" w:ascii="宋体" w:hAnsi="宋体"/>
          <w:kern w:val="44"/>
        </w:rPr>
        <w:t xml:space="preserve">  市和区、县人民政府对在动物防疫工作、动物防疫科学研究中做出突出成绩和贡献的单位和个人按照规定给予表彰和奖励。</w:t>
      </w:r>
    </w:p>
    <w:p w14:paraId="37679FEE">
      <w:pPr>
        <w:jc w:val="left"/>
        <w:rPr>
          <w:rFonts w:ascii="宋体" w:hAnsi="宋体"/>
          <w:kern w:val="44"/>
        </w:rPr>
      </w:pPr>
    </w:p>
    <w:p w14:paraId="10395B56">
      <w:pPr>
        <w:ind w:firstLine="0" w:firstLineChars="0"/>
        <w:jc w:val="center"/>
        <w:rPr>
          <w:rFonts w:ascii="宋体" w:hAnsi="宋体"/>
          <w:b/>
          <w:kern w:val="44"/>
        </w:rPr>
      </w:pPr>
      <w:r>
        <w:rPr>
          <w:rFonts w:hint="eastAsia" w:ascii="宋体" w:hAnsi="宋体"/>
          <w:b/>
          <w:kern w:val="44"/>
          <w:sz w:val="28"/>
        </w:rPr>
        <w:t>第二章  动物疫病的预防和控制</w:t>
      </w:r>
    </w:p>
    <w:p w14:paraId="6A7E73F2">
      <w:pPr>
        <w:jc w:val="left"/>
        <w:rPr>
          <w:rFonts w:ascii="宋体" w:hAnsi="宋体"/>
          <w:kern w:val="44"/>
        </w:rPr>
      </w:pPr>
    </w:p>
    <w:p w14:paraId="136BED29">
      <w:pPr>
        <w:ind w:firstLine="422"/>
        <w:jc w:val="left"/>
        <w:rPr>
          <w:rFonts w:ascii="宋体" w:hAnsi="宋体"/>
          <w:kern w:val="44"/>
        </w:rPr>
      </w:pPr>
      <w:r>
        <w:rPr>
          <w:rFonts w:hint="eastAsia" w:ascii="宋体" w:hAnsi="宋体"/>
          <w:b/>
          <w:kern w:val="44"/>
        </w:rPr>
        <w:t>第十二条</w:t>
      </w:r>
      <w:r>
        <w:rPr>
          <w:rFonts w:hint="eastAsia" w:ascii="宋体" w:hAnsi="宋体"/>
          <w:kern w:val="44"/>
        </w:rPr>
        <w:t xml:space="preserve">  市和区、县人民政府应当组织兽医、卫生、园林绿化、水务等行政部门和出入境检验检疫机构建立健全统一的动物疫情监测网络，加强动物疫情监测，及时互相通报信息。</w:t>
      </w:r>
    </w:p>
    <w:p w14:paraId="080585AA">
      <w:pPr>
        <w:jc w:val="left"/>
        <w:rPr>
          <w:rFonts w:ascii="宋体" w:hAnsi="宋体"/>
          <w:kern w:val="44"/>
        </w:rPr>
      </w:pPr>
      <w:r>
        <w:rPr>
          <w:rFonts w:hint="eastAsia" w:ascii="宋体" w:hAnsi="宋体"/>
          <w:kern w:val="44"/>
        </w:rPr>
        <w:t>市和区、县兽医行政主管部门应当会同卫生、园林绿化等行政部门和出入境检验检疫机构建立健全协调机制，加强人畜共患传染病防治、野生动物疫源疫病监测、外来动物疫病防范等方面的合作。</w:t>
      </w:r>
    </w:p>
    <w:p w14:paraId="6843AE0C">
      <w:pPr>
        <w:ind w:firstLine="422"/>
        <w:jc w:val="left"/>
        <w:rPr>
          <w:rFonts w:ascii="宋体" w:hAnsi="宋体"/>
          <w:kern w:val="44"/>
        </w:rPr>
      </w:pPr>
      <w:r>
        <w:rPr>
          <w:rFonts w:hint="eastAsia" w:ascii="宋体" w:hAnsi="宋体"/>
          <w:b/>
          <w:kern w:val="44"/>
        </w:rPr>
        <w:t>第十三条</w:t>
      </w:r>
      <w:r>
        <w:rPr>
          <w:rFonts w:hint="eastAsia" w:ascii="宋体" w:hAnsi="宋体"/>
          <w:kern w:val="44"/>
        </w:rPr>
        <w:t>　市兽医行政主管部门应当制定动物疫病监测计划，组织动物疫病预防控制机构开展动物疫病监测和流行病学调查。</w:t>
      </w:r>
    </w:p>
    <w:p w14:paraId="5407D9F0">
      <w:pPr>
        <w:jc w:val="left"/>
        <w:rPr>
          <w:rFonts w:ascii="宋体" w:hAnsi="宋体"/>
          <w:kern w:val="44"/>
        </w:rPr>
      </w:pPr>
      <w:r>
        <w:rPr>
          <w:rFonts w:hint="eastAsia" w:ascii="宋体" w:hAnsi="宋体"/>
          <w:kern w:val="44"/>
        </w:rPr>
        <w:t>因开展动物疫病监测和流行病学调查需要采集样品的，应当按照规定标准给予动物养殖者动物应激损失补偿。</w:t>
      </w:r>
    </w:p>
    <w:p w14:paraId="3A850D1E">
      <w:pPr>
        <w:ind w:firstLine="422"/>
        <w:jc w:val="left"/>
        <w:rPr>
          <w:rFonts w:ascii="宋体" w:hAnsi="宋体"/>
          <w:kern w:val="44"/>
        </w:rPr>
      </w:pPr>
      <w:r>
        <w:rPr>
          <w:rFonts w:hint="eastAsia" w:ascii="宋体" w:hAnsi="宋体"/>
          <w:b/>
          <w:kern w:val="44"/>
        </w:rPr>
        <w:t>第十四条</w:t>
      </w:r>
      <w:r>
        <w:rPr>
          <w:rFonts w:hint="eastAsia" w:ascii="宋体" w:hAnsi="宋体"/>
          <w:kern w:val="44"/>
        </w:rPr>
        <w:t xml:space="preserve">  本市建立动物疫病状况风险评估制度。</w:t>
      </w:r>
    </w:p>
    <w:p w14:paraId="2C8094F2">
      <w:pPr>
        <w:jc w:val="left"/>
        <w:rPr>
          <w:rFonts w:ascii="宋体" w:hAnsi="宋体"/>
          <w:kern w:val="44"/>
        </w:rPr>
      </w:pPr>
      <w:r>
        <w:rPr>
          <w:rFonts w:hint="eastAsia" w:ascii="宋体" w:hAnsi="宋体"/>
          <w:kern w:val="44"/>
        </w:rPr>
        <w:t>市和区、县兽医行政主管部门应当组织有关部门和专家，根据国内外动物疫病发生规律、流行趋势和动物疫病监测结果，开展动物疫病状况风险评估。评估结果应当及时向有关部门通报。</w:t>
      </w:r>
    </w:p>
    <w:p w14:paraId="6F05DC0D">
      <w:pPr>
        <w:ind w:firstLine="422"/>
        <w:jc w:val="left"/>
        <w:rPr>
          <w:rFonts w:ascii="宋体" w:hAnsi="宋体"/>
          <w:kern w:val="44"/>
        </w:rPr>
      </w:pPr>
      <w:r>
        <w:rPr>
          <w:rFonts w:hint="eastAsia" w:ascii="宋体" w:hAnsi="宋体"/>
          <w:b/>
          <w:kern w:val="44"/>
        </w:rPr>
        <w:t>第十五条</w:t>
      </w:r>
      <w:r>
        <w:rPr>
          <w:rFonts w:hint="eastAsia" w:ascii="宋体" w:hAnsi="宋体"/>
          <w:kern w:val="44"/>
        </w:rPr>
        <w:t xml:space="preserve">  动物疫病状况风险评估结果表明具有较高程度动物疫病发生风险的，市兽医行政主管部门应当及时发出动物疫病风险警示，制定相应的预防、控制措施，并及时向社会公布。</w:t>
      </w:r>
    </w:p>
    <w:p w14:paraId="08F1971B">
      <w:pPr>
        <w:jc w:val="left"/>
        <w:rPr>
          <w:rFonts w:ascii="宋体" w:hAnsi="宋体"/>
          <w:kern w:val="44"/>
        </w:rPr>
      </w:pPr>
      <w:r>
        <w:rPr>
          <w:rFonts w:hint="eastAsia" w:ascii="宋体" w:hAnsi="宋体"/>
          <w:kern w:val="44"/>
        </w:rPr>
        <w:t>动物疫病状况风险评估结果表明情况紧急、可能引发重大动物疫情的，市兽医行政主管部门应当根据需要实施隔离、紧急免疫接种等临时控制措施。必要时，经市人民政府批准，可以实施责令暂停销售和购进相关动物及动物产品、限制相关动物及动物产品移动等临时控制措施。重大动物疫情风险消除后，应当及时解除临时控制措施。</w:t>
      </w:r>
    </w:p>
    <w:p w14:paraId="582B9B56">
      <w:pPr>
        <w:ind w:firstLine="422"/>
        <w:jc w:val="left"/>
        <w:rPr>
          <w:rFonts w:ascii="宋体" w:hAnsi="宋体"/>
          <w:kern w:val="44"/>
        </w:rPr>
      </w:pPr>
      <w:r>
        <w:rPr>
          <w:rFonts w:hint="eastAsia" w:ascii="宋体" w:hAnsi="宋体"/>
          <w:b/>
          <w:kern w:val="44"/>
        </w:rPr>
        <w:t>第十六条</w:t>
      </w:r>
      <w:r>
        <w:rPr>
          <w:rFonts w:hint="eastAsia" w:ascii="宋体" w:hAnsi="宋体"/>
          <w:kern w:val="44"/>
        </w:rPr>
        <w:t xml:space="preserve">  市和区、县人民政府应当制定本行政区域的重大动物疫情应急预案，按照规定分别报国务院兽医行政主管部门和市兽医行政主管部门备案。</w:t>
      </w:r>
    </w:p>
    <w:p w14:paraId="33B719FF">
      <w:pPr>
        <w:jc w:val="left"/>
        <w:rPr>
          <w:rFonts w:ascii="宋体" w:hAnsi="宋体"/>
          <w:kern w:val="44"/>
        </w:rPr>
      </w:pPr>
      <w:r>
        <w:rPr>
          <w:rFonts w:hint="eastAsia" w:ascii="宋体" w:hAnsi="宋体"/>
          <w:kern w:val="44"/>
        </w:rPr>
        <w:t>市和区、县兽医行政主管部门应当按照不同动物疫病病种及其流行特点和危害程度，分别制定重大动物疫情应急预案的实施方案。</w:t>
      </w:r>
    </w:p>
    <w:p w14:paraId="2BE25E32">
      <w:pPr>
        <w:jc w:val="left"/>
        <w:rPr>
          <w:rFonts w:ascii="宋体" w:hAnsi="宋体"/>
          <w:kern w:val="44"/>
        </w:rPr>
      </w:pPr>
      <w:r>
        <w:rPr>
          <w:rFonts w:hint="eastAsia" w:ascii="宋体" w:hAnsi="宋体"/>
          <w:kern w:val="44"/>
        </w:rPr>
        <w:t>市和区、县人民政府应当根据重大动物疫情防控需要，适时启动重大动物疫情应急预案。</w:t>
      </w:r>
    </w:p>
    <w:p w14:paraId="3D5D8F5D">
      <w:pPr>
        <w:ind w:firstLine="422"/>
        <w:jc w:val="left"/>
        <w:rPr>
          <w:rFonts w:ascii="宋体" w:hAnsi="宋体"/>
          <w:kern w:val="44"/>
        </w:rPr>
      </w:pPr>
      <w:r>
        <w:rPr>
          <w:rFonts w:hint="eastAsia" w:ascii="宋体" w:hAnsi="宋体"/>
          <w:b/>
          <w:kern w:val="44"/>
        </w:rPr>
        <w:t>第十七条</w:t>
      </w:r>
      <w:r>
        <w:rPr>
          <w:rFonts w:hint="eastAsia" w:ascii="宋体" w:hAnsi="宋体"/>
          <w:kern w:val="44"/>
        </w:rPr>
        <w:t>　 市和区、县人民政府应当制定并组织实施动物疫病防治规划，分级分类、有计划地控制和净化严重危害养殖业生产和人体健康的重点动物疫病和人畜共患传染病。</w:t>
      </w:r>
    </w:p>
    <w:p w14:paraId="14A73E1B">
      <w:pPr>
        <w:jc w:val="left"/>
        <w:rPr>
          <w:rFonts w:ascii="宋体" w:hAnsi="宋体"/>
          <w:kern w:val="44"/>
        </w:rPr>
      </w:pPr>
      <w:r>
        <w:rPr>
          <w:rFonts w:hint="eastAsia" w:ascii="宋体" w:hAnsi="宋体"/>
          <w:kern w:val="44"/>
        </w:rPr>
        <w:t>市兽医行政主管部门根据动物疫病防治规划制定本市动物疫病净化计划，建立动物免疫退出和动物疫病传播阻断制度，支持企业通过开展生物安全隔离区、无特定动物病原场群建设，实施对动物疫病的区域化管理，控制和净化重点动物疫病和人畜共患传染病。</w:t>
      </w:r>
    </w:p>
    <w:p w14:paraId="0B0F54F7">
      <w:pPr>
        <w:jc w:val="left"/>
        <w:rPr>
          <w:rFonts w:ascii="宋体" w:hAnsi="宋体"/>
          <w:kern w:val="44"/>
        </w:rPr>
      </w:pPr>
      <w:r>
        <w:rPr>
          <w:rFonts w:hint="eastAsia" w:ascii="宋体" w:hAnsi="宋体"/>
          <w:kern w:val="44"/>
        </w:rPr>
        <w:t>动物饲养者应当遵守本市动物免疫退出和动物疫病传播阻断制度的有关规定。</w:t>
      </w:r>
    </w:p>
    <w:p w14:paraId="1F1D1435">
      <w:pPr>
        <w:ind w:firstLine="422"/>
        <w:jc w:val="left"/>
        <w:rPr>
          <w:rFonts w:ascii="宋体" w:hAnsi="宋体"/>
          <w:kern w:val="44"/>
        </w:rPr>
      </w:pPr>
      <w:r>
        <w:rPr>
          <w:rFonts w:hint="eastAsia" w:ascii="宋体" w:hAnsi="宋体"/>
          <w:b/>
          <w:kern w:val="44"/>
        </w:rPr>
        <w:t>第十八条</w:t>
      </w:r>
      <w:r>
        <w:rPr>
          <w:rFonts w:hint="eastAsia" w:ascii="宋体" w:hAnsi="宋体"/>
          <w:kern w:val="44"/>
        </w:rPr>
        <w:t>　 市和区、县兽医行政主管部门应当加强对动物养殖场、养殖小区以外的养殖场所动物防疫的指导服务和监督管理。动物养殖场、养殖小区以外的养殖场所应当在基层兽医机构指导下做好动物防疫相关工作。</w:t>
      </w:r>
    </w:p>
    <w:p w14:paraId="6ED51276">
      <w:pPr>
        <w:ind w:firstLine="422"/>
        <w:jc w:val="left"/>
        <w:rPr>
          <w:rFonts w:ascii="宋体" w:hAnsi="宋体"/>
          <w:kern w:val="44"/>
        </w:rPr>
      </w:pPr>
      <w:r>
        <w:rPr>
          <w:rFonts w:hint="eastAsia" w:ascii="宋体" w:hAnsi="宋体"/>
          <w:b/>
          <w:kern w:val="44"/>
        </w:rPr>
        <w:t>第十九条</w:t>
      </w:r>
      <w:r>
        <w:rPr>
          <w:rFonts w:hint="eastAsia" w:ascii="宋体" w:hAnsi="宋体"/>
          <w:kern w:val="44"/>
        </w:rPr>
        <w:t xml:space="preserve">  市兽医行政主管部门制定本市动物疫病强制免疫计划，区、县兽医行政主管部门根据本市动物疫病强制免疫计划，制定并组织实施本行政区域的动物疫病强制免疫实施方案。</w:t>
      </w:r>
    </w:p>
    <w:p w14:paraId="0ECEA867">
      <w:pPr>
        <w:jc w:val="left"/>
        <w:rPr>
          <w:rFonts w:ascii="宋体" w:hAnsi="宋体"/>
          <w:kern w:val="44"/>
        </w:rPr>
      </w:pPr>
      <w:r>
        <w:rPr>
          <w:rFonts w:hint="eastAsia" w:ascii="宋体" w:hAnsi="宋体"/>
          <w:kern w:val="44"/>
        </w:rPr>
        <w:t>乡镇人民政府、街道办事处应当组织本辖区内的动物饲养者做好动物疫病强制免疫工作。</w:t>
      </w:r>
    </w:p>
    <w:p w14:paraId="1094D27E">
      <w:pPr>
        <w:ind w:firstLine="422"/>
        <w:jc w:val="left"/>
        <w:rPr>
          <w:rFonts w:ascii="宋体" w:hAnsi="宋体"/>
          <w:kern w:val="44"/>
        </w:rPr>
      </w:pPr>
      <w:r>
        <w:rPr>
          <w:rFonts w:hint="eastAsia" w:ascii="宋体" w:hAnsi="宋体"/>
          <w:b/>
          <w:kern w:val="44"/>
        </w:rPr>
        <w:t>第二十条</w:t>
      </w:r>
      <w:r>
        <w:rPr>
          <w:rFonts w:hint="eastAsia" w:ascii="宋体" w:hAnsi="宋体"/>
          <w:kern w:val="44"/>
        </w:rPr>
        <w:t>　 动物饲养者应当依法履行动物疫病强制免疫义务。</w:t>
      </w:r>
    </w:p>
    <w:p w14:paraId="2CC70563">
      <w:pPr>
        <w:jc w:val="left"/>
        <w:rPr>
          <w:rFonts w:ascii="宋体" w:hAnsi="宋体"/>
          <w:kern w:val="44"/>
        </w:rPr>
      </w:pPr>
      <w:r>
        <w:rPr>
          <w:rFonts w:hint="eastAsia" w:ascii="宋体" w:hAnsi="宋体"/>
          <w:kern w:val="44"/>
        </w:rPr>
        <w:t>动物养殖场、养殖小区应当配备动物防疫技术人员，实施免疫接种，做好免疫记录，建立免疫档案；不具备自行实施免疫接种条件的单位和个人，应当向区、县兽医行政主管部门设立的基层兽医机构申请强制免疫接种服务。</w:t>
      </w:r>
    </w:p>
    <w:p w14:paraId="60431052">
      <w:pPr>
        <w:ind w:firstLine="422"/>
        <w:jc w:val="left"/>
        <w:rPr>
          <w:rFonts w:ascii="宋体" w:hAnsi="宋体"/>
          <w:kern w:val="44"/>
        </w:rPr>
      </w:pPr>
      <w:r>
        <w:rPr>
          <w:rFonts w:hint="eastAsia" w:ascii="宋体" w:hAnsi="宋体"/>
          <w:b/>
          <w:kern w:val="44"/>
        </w:rPr>
        <w:t>第二十一条</w:t>
      </w:r>
      <w:r>
        <w:rPr>
          <w:rFonts w:hint="eastAsia" w:ascii="宋体" w:hAnsi="宋体"/>
          <w:kern w:val="44"/>
        </w:rPr>
        <w:t>　 市和区、县兽医行政主管部门应当加强对强制免疫和动物疫病净化相关疫苗采购、储存、分发和使用的监督管理，开展免疫效果监测和免疫质量评估。</w:t>
      </w:r>
    </w:p>
    <w:p w14:paraId="7CA4F5CB">
      <w:pPr>
        <w:ind w:firstLine="422"/>
        <w:jc w:val="left"/>
        <w:rPr>
          <w:rFonts w:ascii="宋体" w:hAnsi="宋体"/>
          <w:kern w:val="44"/>
        </w:rPr>
      </w:pPr>
      <w:r>
        <w:rPr>
          <w:rFonts w:hint="eastAsia" w:ascii="宋体" w:hAnsi="宋体"/>
          <w:b/>
          <w:kern w:val="44"/>
        </w:rPr>
        <w:t>第二十二条</w:t>
      </w:r>
      <w:r>
        <w:rPr>
          <w:rFonts w:hint="eastAsia" w:ascii="宋体" w:hAnsi="宋体"/>
          <w:kern w:val="44"/>
        </w:rPr>
        <w:t xml:space="preserve">  本市对犬只实施狂犬病强制免疫。</w:t>
      </w:r>
    </w:p>
    <w:p w14:paraId="63C379E1">
      <w:pPr>
        <w:jc w:val="left"/>
        <w:rPr>
          <w:rFonts w:ascii="宋体" w:hAnsi="宋体"/>
          <w:kern w:val="44"/>
        </w:rPr>
      </w:pPr>
      <w:r>
        <w:rPr>
          <w:rFonts w:hint="eastAsia" w:ascii="宋体" w:hAnsi="宋体"/>
          <w:kern w:val="44"/>
        </w:rPr>
        <w:t>犬只养殖场配备的动物防疫技术人员应当为饲养的犬只实施免疫接种。其他犬只饲养者应当到区、县兽医行政主管部门认定的狂犬病免疫点对犬只进行免疫接种，并支付免疫费用，本市地方性法规另有规定的除外。</w:t>
      </w:r>
    </w:p>
    <w:p w14:paraId="4B1B8058">
      <w:pPr>
        <w:jc w:val="left"/>
        <w:rPr>
          <w:rFonts w:ascii="宋体" w:hAnsi="宋体"/>
          <w:kern w:val="44"/>
        </w:rPr>
      </w:pPr>
      <w:r>
        <w:rPr>
          <w:rFonts w:hint="eastAsia" w:ascii="宋体" w:hAnsi="宋体"/>
          <w:kern w:val="44"/>
        </w:rPr>
        <w:t>犬只接受狂犬病强制免疫接种的，取得狂犬病免疫证明、标识。狂犬病免疫标识由市兽医行政主管部门监制。</w:t>
      </w:r>
    </w:p>
    <w:p w14:paraId="6C25DB5D">
      <w:pPr>
        <w:jc w:val="left"/>
        <w:rPr>
          <w:rFonts w:ascii="宋体" w:hAnsi="宋体"/>
          <w:kern w:val="44"/>
        </w:rPr>
      </w:pPr>
      <w:r>
        <w:rPr>
          <w:rFonts w:hint="eastAsia" w:ascii="宋体" w:hAnsi="宋体"/>
          <w:kern w:val="44"/>
        </w:rPr>
        <w:t>犬只饲养者携带犬只在户外活动，应当为犬只佩戴狂犬病免疫标识；犬只饲养者不得携带未佩戴狂犬病免疫标识的犬只在户外活动。</w:t>
      </w:r>
    </w:p>
    <w:p w14:paraId="6AB8F375">
      <w:pPr>
        <w:ind w:firstLine="422"/>
        <w:jc w:val="left"/>
        <w:rPr>
          <w:rFonts w:ascii="宋体" w:hAnsi="宋体"/>
          <w:kern w:val="44"/>
        </w:rPr>
      </w:pPr>
      <w:r>
        <w:rPr>
          <w:rFonts w:hint="eastAsia" w:ascii="宋体" w:hAnsi="宋体"/>
          <w:b/>
          <w:kern w:val="44"/>
        </w:rPr>
        <w:t>第二十三条</w:t>
      </w:r>
      <w:r>
        <w:rPr>
          <w:rFonts w:hint="eastAsia" w:ascii="宋体" w:hAnsi="宋体"/>
          <w:kern w:val="44"/>
        </w:rPr>
        <w:t xml:space="preserve">  禁止在有形市场现场销售活畜禽。</w:t>
      </w:r>
    </w:p>
    <w:p w14:paraId="100E6765">
      <w:pPr>
        <w:jc w:val="left"/>
        <w:rPr>
          <w:rFonts w:ascii="宋体" w:hAnsi="宋体"/>
          <w:kern w:val="44"/>
        </w:rPr>
      </w:pPr>
      <w:r>
        <w:rPr>
          <w:rFonts w:hint="eastAsia" w:ascii="宋体" w:hAnsi="宋体"/>
          <w:kern w:val="44"/>
        </w:rPr>
        <w:t>禁止携带活畜禽乘坐公共电汽车、轨道交通车辆、道路客运车辆等公共交通工具，法律、法规另有规定的除外。</w:t>
      </w:r>
    </w:p>
    <w:p w14:paraId="35F9FB6A">
      <w:pPr>
        <w:jc w:val="left"/>
        <w:rPr>
          <w:rFonts w:ascii="宋体" w:hAnsi="宋体"/>
          <w:kern w:val="44"/>
        </w:rPr>
      </w:pPr>
      <w:r>
        <w:rPr>
          <w:rFonts w:hint="eastAsia" w:ascii="宋体" w:hAnsi="宋体"/>
          <w:kern w:val="44"/>
        </w:rPr>
        <w:t>携带训练合格的导盲犬等工作犬乘坐公共交通工具不受本条第二款规定的限制。</w:t>
      </w:r>
    </w:p>
    <w:p w14:paraId="62E20A92">
      <w:pPr>
        <w:ind w:firstLine="422"/>
        <w:jc w:val="left"/>
        <w:rPr>
          <w:rFonts w:ascii="宋体" w:hAnsi="宋体"/>
          <w:kern w:val="44"/>
        </w:rPr>
      </w:pPr>
      <w:r>
        <w:rPr>
          <w:rFonts w:hint="eastAsia" w:ascii="宋体" w:hAnsi="宋体"/>
          <w:b/>
          <w:kern w:val="44"/>
        </w:rPr>
        <w:t>第二十四条</w:t>
      </w:r>
      <w:r>
        <w:rPr>
          <w:rFonts w:hint="eastAsia" w:ascii="宋体" w:hAnsi="宋体"/>
          <w:kern w:val="44"/>
        </w:rPr>
        <w:t xml:space="preserve">  下列动物、动物产品应当按照规定进行无害化处理，任何单位和个人不得随意处置：</w:t>
      </w:r>
    </w:p>
    <w:p w14:paraId="4D6745DA">
      <w:pPr>
        <w:jc w:val="left"/>
        <w:rPr>
          <w:rFonts w:ascii="宋体" w:hAnsi="宋体"/>
          <w:kern w:val="44"/>
        </w:rPr>
      </w:pPr>
      <w:r>
        <w:rPr>
          <w:rFonts w:hint="eastAsia" w:ascii="宋体" w:hAnsi="宋体"/>
          <w:kern w:val="44"/>
        </w:rPr>
        <w:t>（一）动物饲养活动中死亡的动物；</w:t>
      </w:r>
    </w:p>
    <w:p w14:paraId="7EADC970">
      <w:pPr>
        <w:jc w:val="left"/>
        <w:rPr>
          <w:rFonts w:ascii="宋体" w:hAnsi="宋体"/>
          <w:kern w:val="44"/>
        </w:rPr>
      </w:pPr>
      <w:r>
        <w:rPr>
          <w:rFonts w:hint="eastAsia" w:ascii="宋体" w:hAnsi="宋体"/>
          <w:kern w:val="44"/>
        </w:rPr>
        <w:t>（二）动物诊疗、教学科研活动中死亡的动物和产生的病理组织；</w:t>
      </w:r>
    </w:p>
    <w:p w14:paraId="5EB4C5E1">
      <w:pPr>
        <w:jc w:val="left"/>
        <w:rPr>
          <w:rFonts w:ascii="宋体" w:hAnsi="宋体"/>
          <w:kern w:val="44"/>
        </w:rPr>
      </w:pPr>
      <w:r>
        <w:rPr>
          <w:rFonts w:hint="eastAsia" w:ascii="宋体" w:hAnsi="宋体"/>
          <w:kern w:val="44"/>
        </w:rPr>
        <w:t>（三）染疫的动物和动物产品；</w:t>
      </w:r>
    </w:p>
    <w:p w14:paraId="1F7231DA">
      <w:pPr>
        <w:jc w:val="left"/>
        <w:rPr>
          <w:rFonts w:ascii="宋体" w:hAnsi="宋体"/>
          <w:kern w:val="44"/>
        </w:rPr>
      </w:pPr>
      <w:r>
        <w:rPr>
          <w:rFonts w:hint="eastAsia" w:ascii="宋体" w:hAnsi="宋体"/>
          <w:kern w:val="44"/>
        </w:rPr>
        <w:t>（四）经检验对人体健康有危害的动物和动物产品；</w:t>
      </w:r>
    </w:p>
    <w:p w14:paraId="64E51782">
      <w:pPr>
        <w:jc w:val="left"/>
        <w:rPr>
          <w:rFonts w:ascii="宋体" w:hAnsi="宋体"/>
          <w:kern w:val="44"/>
        </w:rPr>
      </w:pPr>
      <w:r>
        <w:rPr>
          <w:rFonts w:hint="eastAsia" w:ascii="宋体" w:hAnsi="宋体"/>
          <w:kern w:val="44"/>
        </w:rPr>
        <w:t>（五）其他可能造成动物疫病传播的动物和动物产品。</w:t>
      </w:r>
    </w:p>
    <w:p w14:paraId="684EEA58">
      <w:pPr>
        <w:ind w:firstLine="422"/>
        <w:jc w:val="left"/>
        <w:rPr>
          <w:rFonts w:ascii="宋体" w:hAnsi="宋体"/>
          <w:kern w:val="44"/>
        </w:rPr>
      </w:pPr>
      <w:r>
        <w:rPr>
          <w:rFonts w:hint="eastAsia" w:ascii="宋体" w:hAnsi="宋体"/>
          <w:b/>
          <w:kern w:val="44"/>
        </w:rPr>
        <w:t>第二十五条</w:t>
      </w:r>
      <w:r>
        <w:rPr>
          <w:rFonts w:hint="eastAsia" w:ascii="宋体" w:hAnsi="宋体"/>
          <w:kern w:val="44"/>
        </w:rPr>
        <w:t xml:space="preserve">  动物、动物产品无害化处理公共设施是公益性城市基础设施。</w:t>
      </w:r>
    </w:p>
    <w:p w14:paraId="10252917">
      <w:pPr>
        <w:jc w:val="left"/>
        <w:rPr>
          <w:rFonts w:ascii="宋体" w:hAnsi="宋体"/>
          <w:kern w:val="44"/>
        </w:rPr>
      </w:pPr>
      <w:r>
        <w:rPr>
          <w:rFonts w:hint="eastAsia" w:ascii="宋体" w:hAnsi="宋体"/>
          <w:kern w:val="44"/>
        </w:rPr>
        <w:t>市兽医行政主管部门会同发展改革、财政、规划、环境保护等行政部门编制动物、动物产品无害化处理公共设施建设实施方案，报市人民政府同意后组织实施。区、县人民政府应当按照实施方案的要求建设动物、动物产品无害化处理公共设施。</w:t>
      </w:r>
    </w:p>
    <w:p w14:paraId="10FDAE05">
      <w:pPr>
        <w:jc w:val="left"/>
        <w:rPr>
          <w:rFonts w:ascii="宋体" w:hAnsi="宋体"/>
          <w:kern w:val="44"/>
        </w:rPr>
      </w:pPr>
      <w:r>
        <w:rPr>
          <w:rFonts w:hint="eastAsia" w:ascii="宋体" w:hAnsi="宋体"/>
          <w:kern w:val="44"/>
        </w:rPr>
        <w:t>本市鼓励和支持单位和个人投资建设动物、动物产品无害化处理设施，向社会提供无害化处理服务。</w:t>
      </w:r>
    </w:p>
    <w:p w14:paraId="4F05AC71">
      <w:pPr>
        <w:ind w:firstLine="422"/>
        <w:jc w:val="left"/>
        <w:rPr>
          <w:rFonts w:ascii="宋体" w:hAnsi="宋体"/>
          <w:kern w:val="44"/>
        </w:rPr>
      </w:pPr>
      <w:r>
        <w:rPr>
          <w:rFonts w:hint="eastAsia" w:ascii="宋体" w:hAnsi="宋体"/>
          <w:b/>
          <w:kern w:val="44"/>
        </w:rPr>
        <w:t>第二十六条</w:t>
      </w:r>
      <w:r>
        <w:rPr>
          <w:rFonts w:hint="eastAsia" w:ascii="宋体" w:hAnsi="宋体"/>
          <w:kern w:val="44"/>
        </w:rPr>
        <w:t xml:space="preserve">  对本条例第二十四条所列举的动物、动物产品的收集、运输、处理以及无害化处理公共设施的运行维护、财政支持等办法，由市兽医行政主管部门会同财政、市政市容、环境保护、水务、园林绿化等行政部门制定，并向社会公布。</w:t>
      </w:r>
    </w:p>
    <w:p w14:paraId="3E043F73">
      <w:pPr>
        <w:ind w:firstLine="422"/>
        <w:jc w:val="left"/>
        <w:rPr>
          <w:rFonts w:ascii="宋体" w:hAnsi="宋体"/>
          <w:kern w:val="44"/>
        </w:rPr>
      </w:pPr>
      <w:r>
        <w:rPr>
          <w:rFonts w:hint="eastAsia" w:ascii="宋体" w:hAnsi="宋体"/>
          <w:b/>
          <w:kern w:val="44"/>
        </w:rPr>
        <w:t>第二十七条</w:t>
      </w:r>
      <w:r>
        <w:rPr>
          <w:rFonts w:hint="eastAsia" w:ascii="宋体" w:hAnsi="宋体"/>
          <w:kern w:val="44"/>
        </w:rPr>
        <w:t xml:space="preserve">  动物屠宰加工场所、动物养殖场、养殖小区、动物隔离场所应当具备符合规定的无害化处理设施设备，并保证无害化处理设施设备正常运转。已经委托他人进行无害化处理的，可以不自行建设无害化处理设施设备。</w:t>
      </w:r>
    </w:p>
    <w:p w14:paraId="077F83A5">
      <w:pPr>
        <w:jc w:val="left"/>
        <w:rPr>
          <w:rFonts w:ascii="宋体" w:hAnsi="宋体"/>
          <w:kern w:val="44"/>
        </w:rPr>
      </w:pPr>
      <w:r>
        <w:rPr>
          <w:rFonts w:hint="eastAsia" w:ascii="宋体" w:hAnsi="宋体"/>
          <w:kern w:val="44"/>
        </w:rPr>
        <w:t>本条第一款规定以外的动物饲养者不能实施无害化处理的，应当将需要进行无害化处理的动物、动物产品及时送交无害化处理设施运营单位实施无害化处理，或者及时告知兽医行政主管部门指定的收集单位，由收集单位送交无害化处理设施运营单位实施无害化处理。</w:t>
      </w:r>
    </w:p>
    <w:p w14:paraId="64DD814A">
      <w:pPr>
        <w:jc w:val="left"/>
        <w:rPr>
          <w:rFonts w:ascii="宋体" w:hAnsi="宋体"/>
          <w:kern w:val="44"/>
        </w:rPr>
      </w:pPr>
      <w:r>
        <w:rPr>
          <w:rFonts w:hint="eastAsia" w:ascii="宋体" w:hAnsi="宋体"/>
          <w:kern w:val="44"/>
        </w:rPr>
        <w:t>区、县兽医行政主管部门应当会同有关部门根据需要在交通不便的农村地区设置小型无害化处理设施设备。</w:t>
      </w:r>
    </w:p>
    <w:p w14:paraId="3C573070">
      <w:pPr>
        <w:ind w:firstLine="422"/>
        <w:jc w:val="left"/>
        <w:rPr>
          <w:rFonts w:ascii="宋体" w:hAnsi="宋体"/>
          <w:kern w:val="44"/>
        </w:rPr>
      </w:pPr>
      <w:r>
        <w:rPr>
          <w:rFonts w:hint="eastAsia" w:ascii="宋体" w:hAnsi="宋体"/>
          <w:b/>
          <w:kern w:val="44"/>
        </w:rPr>
        <w:t>第二十八条</w:t>
      </w:r>
      <w:r>
        <w:rPr>
          <w:rFonts w:hint="eastAsia" w:ascii="宋体" w:hAnsi="宋体"/>
          <w:kern w:val="44"/>
        </w:rPr>
        <w:t xml:space="preserve">  动物、动物产品无害化处理设施的选址，应当避让饮用水水源保护地、风景名胜区、居住区等区域。</w:t>
      </w:r>
    </w:p>
    <w:p w14:paraId="30B2FA0A">
      <w:pPr>
        <w:ind w:firstLine="422"/>
        <w:jc w:val="left"/>
        <w:rPr>
          <w:rFonts w:ascii="宋体" w:hAnsi="宋体"/>
          <w:kern w:val="44"/>
        </w:rPr>
      </w:pPr>
      <w:r>
        <w:rPr>
          <w:rFonts w:hint="eastAsia" w:ascii="宋体" w:hAnsi="宋体"/>
          <w:b/>
          <w:kern w:val="44"/>
        </w:rPr>
        <w:t>第二十九条</w:t>
      </w:r>
      <w:r>
        <w:rPr>
          <w:rFonts w:hint="eastAsia" w:ascii="宋体" w:hAnsi="宋体"/>
          <w:kern w:val="44"/>
        </w:rPr>
        <w:t xml:space="preserve">  市和区、县兽医行政主管部门应当会同科技、环保部门制定政策措施，支持和鼓励无害化处理先进技术、设施设备的研究开发和成果示范推广。</w:t>
      </w:r>
    </w:p>
    <w:p w14:paraId="5E35892E">
      <w:pPr>
        <w:jc w:val="left"/>
        <w:rPr>
          <w:rFonts w:ascii="宋体" w:hAnsi="宋体"/>
          <w:kern w:val="44"/>
        </w:rPr>
      </w:pPr>
      <w:r>
        <w:rPr>
          <w:rFonts w:hint="eastAsia" w:ascii="宋体" w:hAnsi="宋体"/>
          <w:kern w:val="44"/>
        </w:rPr>
        <w:t>市兽医行政主管部门应当组织制定动物、动物产品无害化处理技术通则，为动物、动物产品的无害化处理提供技术指导。</w:t>
      </w:r>
    </w:p>
    <w:p w14:paraId="1E045373">
      <w:pPr>
        <w:ind w:firstLine="422"/>
        <w:jc w:val="left"/>
        <w:rPr>
          <w:rFonts w:ascii="宋体" w:hAnsi="宋体"/>
          <w:kern w:val="44"/>
        </w:rPr>
      </w:pPr>
      <w:r>
        <w:rPr>
          <w:rFonts w:hint="eastAsia" w:ascii="宋体" w:hAnsi="宋体"/>
          <w:b/>
          <w:kern w:val="44"/>
        </w:rPr>
        <w:t>第三十条</w:t>
      </w:r>
      <w:r>
        <w:rPr>
          <w:rFonts w:hint="eastAsia" w:ascii="宋体" w:hAnsi="宋体"/>
          <w:kern w:val="44"/>
        </w:rPr>
        <w:t xml:space="preserve">  动物饲养者应当遵守下列规定：</w:t>
      </w:r>
    </w:p>
    <w:p w14:paraId="1729FDEB">
      <w:pPr>
        <w:jc w:val="left"/>
        <w:rPr>
          <w:rFonts w:ascii="宋体" w:hAnsi="宋体"/>
          <w:kern w:val="44"/>
        </w:rPr>
      </w:pPr>
      <w:r>
        <w:rPr>
          <w:rFonts w:hint="eastAsia" w:ascii="宋体" w:hAnsi="宋体"/>
          <w:kern w:val="44"/>
        </w:rPr>
        <w:t>（一）为动物提供适宜的环境；</w:t>
      </w:r>
    </w:p>
    <w:p w14:paraId="7375FCD8">
      <w:pPr>
        <w:jc w:val="left"/>
        <w:rPr>
          <w:rFonts w:ascii="宋体" w:hAnsi="宋体"/>
          <w:kern w:val="44"/>
        </w:rPr>
      </w:pPr>
      <w:r>
        <w:rPr>
          <w:rFonts w:hint="eastAsia" w:ascii="宋体" w:hAnsi="宋体"/>
          <w:kern w:val="44"/>
        </w:rPr>
        <w:t>（二）保证动物达到国家规定的健康标准；</w:t>
      </w:r>
    </w:p>
    <w:p w14:paraId="68C4E545">
      <w:pPr>
        <w:jc w:val="left"/>
        <w:rPr>
          <w:rFonts w:ascii="宋体" w:hAnsi="宋体"/>
          <w:kern w:val="44"/>
        </w:rPr>
      </w:pPr>
      <w:r>
        <w:rPr>
          <w:rFonts w:hint="eastAsia" w:ascii="宋体" w:hAnsi="宋体"/>
          <w:kern w:val="44"/>
        </w:rPr>
        <w:t>（三）对患病动物进行必要的治疗；</w:t>
      </w:r>
    </w:p>
    <w:p w14:paraId="23C14FA9">
      <w:pPr>
        <w:jc w:val="left"/>
        <w:rPr>
          <w:rFonts w:ascii="宋体" w:hAnsi="宋体"/>
          <w:kern w:val="44"/>
        </w:rPr>
      </w:pPr>
      <w:r>
        <w:rPr>
          <w:rFonts w:hint="eastAsia" w:ascii="宋体" w:hAnsi="宋体"/>
          <w:kern w:val="44"/>
        </w:rPr>
        <w:t>（四）不遗弃、虐待饲养的动物。</w:t>
      </w:r>
    </w:p>
    <w:p w14:paraId="4FEEBA5F">
      <w:pPr>
        <w:jc w:val="left"/>
        <w:rPr>
          <w:rFonts w:ascii="宋体" w:hAnsi="宋体"/>
          <w:kern w:val="44"/>
        </w:rPr>
      </w:pPr>
      <w:r>
        <w:rPr>
          <w:rFonts w:hint="eastAsia" w:ascii="宋体" w:hAnsi="宋体"/>
          <w:kern w:val="44"/>
        </w:rPr>
        <w:t>市公安机关依法设立犬类留检所，负责收容处理犬只饲养者放弃饲养的犬只、被没收的犬只和无主犬只。动物卫生监督机构根据需要自行设立或者委托有条件的社会组织设立犬只以外的动物收容场所或者暂存场所，实施犬只以外动物的收容。</w:t>
      </w:r>
    </w:p>
    <w:p w14:paraId="6B3C0A41">
      <w:pPr>
        <w:ind w:firstLine="422"/>
        <w:jc w:val="left"/>
        <w:rPr>
          <w:rFonts w:ascii="宋体" w:hAnsi="宋体"/>
          <w:kern w:val="44"/>
        </w:rPr>
      </w:pPr>
      <w:r>
        <w:rPr>
          <w:rFonts w:hint="eastAsia" w:ascii="宋体" w:hAnsi="宋体"/>
          <w:b/>
          <w:kern w:val="44"/>
        </w:rPr>
        <w:t>第三十一条</w:t>
      </w:r>
      <w:r>
        <w:rPr>
          <w:rFonts w:hint="eastAsia" w:ascii="宋体" w:hAnsi="宋体"/>
          <w:kern w:val="44"/>
        </w:rPr>
        <w:t xml:space="preserve">  因依法实施强制免疫造成动物应激死亡，以及在动物疫病预防和控制、扑灭过程中强制扑杀的动物、销毁的动物产品和相关物品，市和区、县人民政府应当依据国家规定给予补偿。</w:t>
      </w:r>
    </w:p>
    <w:p w14:paraId="3BE2ACD4">
      <w:pPr>
        <w:jc w:val="left"/>
        <w:rPr>
          <w:rFonts w:ascii="宋体" w:hAnsi="宋体"/>
          <w:kern w:val="44"/>
        </w:rPr>
      </w:pPr>
    </w:p>
    <w:p w14:paraId="10E9A467">
      <w:pPr>
        <w:ind w:firstLine="0" w:firstLineChars="0"/>
        <w:jc w:val="center"/>
        <w:rPr>
          <w:rFonts w:ascii="宋体" w:hAnsi="宋体"/>
          <w:b/>
          <w:kern w:val="44"/>
          <w:sz w:val="28"/>
        </w:rPr>
      </w:pPr>
      <w:r>
        <w:rPr>
          <w:rFonts w:hint="eastAsia" w:ascii="宋体" w:hAnsi="宋体"/>
          <w:b/>
          <w:kern w:val="44"/>
          <w:sz w:val="28"/>
        </w:rPr>
        <w:t>第三章  动物和动物产品的检疫</w:t>
      </w:r>
    </w:p>
    <w:p w14:paraId="513B83D2">
      <w:pPr>
        <w:jc w:val="left"/>
        <w:rPr>
          <w:rFonts w:ascii="宋体" w:hAnsi="宋体"/>
          <w:kern w:val="44"/>
        </w:rPr>
      </w:pPr>
    </w:p>
    <w:p w14:paraId="207F8977">
      <w:pPr>
        <w:ind w:firstLine="422"/>
        <w:jc w:val="left"/>
        <w:rPr>
          <w:rFonts w:ascii="宋体" w:hAnsi="宋体"/>
          <w:kern w:val="44"/>
        </w:rPr>
      </w:pPr>
      <w:r>
        <w:rPr>
          <w:rFonts w:hint="eastAsia" w:ascii="宋体" w:hAnsi="宋体"/>
          <w:b/>
          <w:kern w:val="44"/>
        </w:rPr>
        <w:t>第三十二条</w:t>
      </w:r>
      <w:r>
        <w:rPr>
          <w:rFonts w:hint="eastAsia" w:ascii="宋体" w:hAnsi="宋体"/>
          <w:kern w:val="44"/>
        </w:rPr>
        <w:t>　 动物卫生监督机构可以根据工作需要，在特定区域或者场所设立官方兽医室，派驻官方兽医。</w:t>
      </w:r>
    </w:p>
    <w:p w14:paraId="659196E4">
      <w:pPr>
        <w:jc w:val="left"/>
        <w:rPr>
          <w:rFonts w:ascii="宋体" w:hAnsi="宋体"/>
          <w:kern w:val="44"/>
        </w:rPr>
      </w:pPr>
      <w:r>
        <w:rPr>
          <w:rFonts w:hint="eastAsia" w:ascii="宋体" w:hAnsi="宋体"/>
          <w:kern w:val="44"/>
        </w:rPr>
        <w:t>动物卫生监督机构可以根据工作需要，指定兽医专业人员，或者聘用兽医专业人员作为签约兽医，协助官方兽医实施动物检疫技术工作。</w:t>
      </w:r>
    </w:p>
    <w:p w14:paraId="4DBE1FC5">
      <w:pPr>
        <w:jc w:val="left"/>
        <w:rPr>
          <w:rFonts w:ascii="宋体" w:hAnsi="宋体"/>
          <w:kern w:val="44"/>
        </w:rPr>
      </w:pPr>
      <w:r>
        <w:rPr>
          <w:rFonts w:hint="eastAsia" w:ascii="宋体" w:hAnsi="宋体"/>
          <w:kern w:val="44"/>
        </w:rPr>
        <w:t>官方兽医出具检疫证明，并对检疫结论负责。</w:t>
      </w:r>
    </w:p>
    <w:p w14:paraId="01303717">
      <w:pPr>
        <w:ind w:firstLine="422"/>
        <w:jc w:val="left"/>
        <w:rPr>
          <w:rFonts w:ascii="宋体" w:hAnsi="宋体"/>
          <w:kern w:val="44"/>
        </w:rPr>
      </w:pPr>
      <w:r>
        <w:rPr>
          <w:rFonts w:hint="eastAsia" w:ascii="宋体" w:hAnsi="宋体"/>
          <w:b/>
          <w:kern w:val="44"/>
        </w:rPr>
        <w:t>第三十三条</w:t>
      </w:r>
      <w:r>
        <w:rPr>
          <w:rFonts w:hint="eastAsia" w:ascii="宋体" w:hAnsi="宋体"/>
          <w:kern w:val="44"/>
        </w:rPr>
        <w:t xml:space="preserve">  本市对猪、牛、羊、鸡、鸭实行定点屠宰，集中检疫，农村地区自宰自食的除外。</w:t>
      </w:r>
    </w:p>
    <w:p w14:paraId="2839E0A7">
      <w:pPr>
        <w:jc w:val="left"/>
        <w:rPr>
          <w:rFonts w:ascii="宋体" w:hAnsi="宋体"/>
          <w:kern w:val="44"/>
        </w:rPr>
      </w:pPr>
      <w:r>
        <w:rPr>
          <w:rFonts w:hint="eastAsia" w:ascii="宋体" w:hAnsi="宋体"/>
          <w:kern w:val="44"/>
        </w:rPr>
        <w:t>猪、牛、羊、鸡、鸭定点屠宰加工场所应当符合行业发展规划和动物防疫条件；牛、羊、鸡、鸭的定点屠宰场所应当取得市兽医行政主管部门核发的定点屠宰证，生猪定点屠宰证的核发按照生猪屠宰管理条例执行。</w:t>
      </w:r>
    </w:p>
    <w:p w14:paraId="77035DF8">
      <w:pPr>
        <w:jc w:val="left"/>
        <w:rPr>
          <w:rFonts w:ascii="宋体" w:hAnsi="宋体"/>
          <w:kern w:val="44"/>
        </w:rPr>
      </w:pPr>
      <w:r>
        <w:rPr>
          <w:rFonts w:hint="eastAsia" w:ascii="宋体" w:hAnsi="宋体"/>
          <w:kern w:val="44"/>
        </w:rPr>
        <w:t>本条第一款规定以外的动物的屠宰加工场所，应当符合动物防疫条件，并在屠宰前向区、县动物卫生监督机构申报检疫。</w:t>
      </w:r>
    </w:p>
    <w:p w14:paraId="05F6933D">
      <w:pPr>
        <w:jc w:val="left"/>
        <w:rPr>
          <w:rFonts w:ascii="宋体" w:hAnsi="宋体"/>
          <w:kern w:val="44"/>
        </w:rPr>
      </w:pPr>
      <w:r>
        <w:rPr>
          <w:rFonts w:hint="eastAsia" w:ascii="宋体" w:hAnsi="宋体"/>
          <w:kern w:val="44"/>
        </w:rPr>
        <w:t>屠宰加工场所的经营管理者应当如实记录动物来源、动物产品流向、检疫证明编号等可追溯信息，记录应当至少保存2年。</w:t>
      </w:r>
    </w:p>
    <w:p w14:paraId="0549C39E">
      <w:pPr>
        <w:ind w:firstLine="422"/>
        <w:jc w:val="left"/>
        <w:rPr>
          <w:rFonts w:ascii="宋体" w:hAnsi="宋体"/>
          <w:kern w:val="44"/>
        </w:rPr>
      </w:pPr>
      <w:r>
        <w:rPr>
          <w:rFonts w:hint="eastAsia" w:ascii="宋体" w:hAnsi="宋体"/>
          <w:b/>
          <w:kern w:val="44"/>
        </w:rPr>
        <w:t>第三十四条</w:t>
      </w:r>
      <w:r>
        <w:rPr>
          <w:rFonts w:hint="eastAsia" w:ascii="宋体" w:hAnsi="宋体"/>
          <w:kern w:val="44"/>
        </w:rPr>
        <w:t xml:space="preserve">  动物屠宰加工场所应当按照规定进行致病性微生物、兽药残留、违禁药物和非法添加物检测，并如实记录检测结果。检测结果记录应当至少保存2年。</w:t>
      </w:r>
    </w:p>
    <w:p w14:paraId="339CD8E1">
      <w:pPr>
        <w:ind w:firstLine="422"/>
        <w:jc w:val="left"/>
        <w:rPr>
          <w:rFonts w:ascii="宋体" w:hAnsi="宋体"/>
          <w:kern w:val="44"/>
        </w:rPr>
      </w:pPr>
      <w:r>
        <w:rPr>
          <w:rFonts w:hint="eastAsia" w:ascii="宋体" w:hAnsi="宋体"/>
          <w:b/>
          <w:kern w:val="44"/>
        </w:rPr>
        <w:t>第三十五条</w:t>
      </w:r>
      <w:r>
        <w:rPr>
          <w:rFonts w:hint="eastAsia" w:ascii="宋体" w:hAnsi="宋体"/>
          <w:kern w:val="44"/>
        </w:rPr>
        <w:t xml:space="preserve">  从事动物收购、销售、运输的单位和个人，应当向所在区、县动物卫生监督机构备案。</w:t>
      </w:r>
    </w:p>
    <w:p w14:paraId="0187AAE0">
      <w:pPr>
        <w:jc w:val="left"/>
        <w:rPr>
          <w:rFonts w:ascii="宋体" w:hAnsi="宋体"/>
          <w:kern w:val="44"/>
        </w:rPr>
      </w:pPr>
      <w:r>
        <w:rPr>
          <w:rFonts w:hint="eastAsia" w:ascii="宋体" w:hAnsi="宋体"/>
          <w:kern w:val="44"/>
        </w:rPr>
        <w:t>从事动物产品经营的单位和个人，应当记录动物产品的产地、生产者、检疫证明编号、购入日期和数量等事项。记录应当至少保存2年。</w:t>
      </w:r>
    </w:p>
    <w:p w14:paraId="78E1583D">
      <w:pPr>
        <w:ind w:firstLine="422"/>
        <w:jc w:val="left"/>
        <w:rPr>
          <w:rFonts w:ascii="宋体" w:hAnsi="宋体"/>
          <w:kern w:val="44"/>
        </w:rPr>
      </w:pPr>
      <w:r>
        <w:rPr>
          <w:rFonts w:hint="eastAsia" w:ascii="宋体" w:hAnsi="宋体"/>
          <w:b/>
          <w:kern w:val="44"/>
        </w:rPr>
        <w:t>第三十六条</w:t>
      </w:r>
      <w:r>
        <w:rPr>
          <w:rFonts w:hint="eastAsia" w:ascii="宋体" w:hAnsi="宋体"/>
          <w:kern w:val="44"/>
        </w:rPr>
        <w:t xml:space="preserve">  集中交易市场或者庙会、游园会、展销会等场所内有动物、动物产品经营的，或者提供出租柜台供经营者从事动物、动物产品经营的，市场开办者、活动主办者或者柜台出租者应当遵守下列规定：</w:t>
      </w:r>
    </w:p>
    <w:p w14:paraId="798B408B">
      <w:pPr>
        <w:jc w:val="left"/>
        <w:rPr>
          <w:rFonts w:ascii="宋体" w:hAnsi="宋体"/>
          <w:kern w:val="44"/>
        </w:rPr>
      </w:pPr>
      <w:r>
        <w:rPr>
          <w:rFonts w:hint="eastAsia" w:ascii="宋体" w:hAnsi="宋体"/>
          <w:kern w:val="44"/>
        </w:rPr>
        <w:t>（一）配备专职人员，指导并督促入场经营者落实动物防疫责任；</w:t>
      </w:r>
    </w:p>
    <w:p w14:paraId="688C95C9">
      <w:pPr>
        <w:jc w:val="left"/>
        <w:rPr>
          <w:rFonts w:ascii="宋体" w:hAnsi="宋体"/>
          <w:kern w:val="44"/>
        </w:rPr>
      </w:pPr>
      <w:r>
        <w:rPr>
          <w:rFonts w:hint="eastAsia" w:ascii="宋体" w:hAnsi="宋体"/>
          <w:kern w:val="44"/>
        </w:rPr>
        <w:t>（二）建立场内动物、动物产品经营者档案，记录经营者的基本情况、主要进货渠道、经营品种、品牌和供货商等信息；</w:t>
      </w:r>
    </w:p>
    <w:p w14:paraId="5480AC89">
      <w:pPr>
        <w:jc w:val="left"/>
        <w:rPr>
          <w:rFonts w:ascii="宋体" w:hAnsi="宋体"/>
          <w:kern w:val="44"/>
        </w:rPr>
      </w:pPr>
      <w:r>
        <w:rPr>
          <w:rFonts w:hint="eastAsia" w:ascii="宋体" w:hAnsi="宋体"/>
          <w:kern w:val="44"/>
        </w:rPr>
        <w:t>（三）对入场销售的动物、动物产品实施查证、验章、验物；</w:t>
      </w:r>
    </w:p>
    <w:p w14:paraId="058D7E64">
      <w:pPr>
        <w:jc w:val="left"/>
        <w:rPr>
          <w:rFonts w:ascii="宋体" w:hAnsi="宋体"/>
          <w:kern w:val="44"/>
        </w:rPr>
      </w:pPr>
      <w:r>
        <w:rPr>
          <w:rFonts w:hint="eastAsia" w:ascii="宋体" w:hAnsi="宋体"/>
          <w:kern w:val="44"/>
        </w:rPr>
        <w:t>（四）根据需要配备动物产品检验、冷藏冷冻等设施设备。</w:t>
      </w:r>
    </w:p>
    <w:p w14:paraId="073DF098">
      <w:pPr>
        <w:jc w:val="left"/>
        <w:rPr>
          <w:rFonts w:ascii="宋体" w:hAnsi="宋体"/>
          <w:kern w:val="44"/>
        </w:rPr>
      </w:pPr>
      <w:r>
        <w:rPr>
          <w:rFonts w:hint="eastAsia" w:ascii="宋体" w:hAnsi="宋体"/>
          <w:kern w:val="44"/>
        </w:rPr>
        <w:t>动物、动物产品经营者应当公示动物、动物产品的检疫信息、产地信息。</w:t>
      </w:r>
    </w:p>
    <w:p w14:paraId="6B62292E">
      <w:pPr>
        <w:ind w:firstLine="422"/>
        <w:jc w:val="left"/>
        <w:rPr>
          <w:rFonts w:ascii="宋体" w:hAnsi="宋体"/>
          <w:kern w:val="44"/>
        </w:rPr>
      </w:pPr>
      <w:r>
        <w:rPr>
          <w:rFonts w:hint="eastAsia" w:ascii="宋体" w:hAnsi="宋体"/>
          <w:b/>
          <w:kern w:val="44"/>
        </w:rPr>
        <w:t>第三十七条</w:t>
      </w:r>
      <w:r>
        <w:rPr>
          <w:rFonts w:hint="eastAsia" w:ascii="宋体" w:hAnsi="宋体"/>
          <w:kern w:val="44"/>
        </w:rPr>
        <w:t xml:space="preserve">  冷库经营者在动物产品入库时应当查验、留存检疫证明，记录动物产品的产地、生产者、检疫证明编号、入库日期和数量等信息。</w:t>
      </w:r>
    </w:p>
    <w:p w14:paraId="727320C0">
      <w:pPr>
        <w:jc w:val="left"/>
        <w:rPr>
          <w:rFonts w:ascii="宋体" w:hAnsi="宋体"/>
          <w:kern w:val="44"/>
        </w:rPr>
      </w:pPr>
      <w:r>
        <w:rPr>
          <w:rFonts w:hint="eastAsia" w:ascii="宋体" w:hAnsi="宋体"/>
          <w:kern w:val="44"/>
        </w:rPr>
        <w:t>动物产品出库时，动物产品经营者应当向动物卫生监督机构申请换发检疫证明；动物产品出库后，冷库经营者应当保存原检疫证明和相关记录至少2年。</w:t>
      </w:r>
    </w:p>
    <w:p w14:paraId="63C91CF8">
      <w:pPr>
        <w:ind w:firstLine="422"/>
        <w:jc w:val="left"/>
        <w:rPr>
          <w:rFonts w:ascii="宋体" w:hAnsi="宋体"/>
          <w:kern w:val="44"/>
        </w:rPr>
      </w:pPr>
      <w:r>
        <w:rPr>
          <w:rFonts w:hint="eastAsia" w:ascii="宋体" w:hAnsi="宋体"/>
          <w:b/>
          <w:kern w:val="44"/>
        </w:rPr>
        <w:t>第三十八条</w:t>
      </w:r>
      <w:r>
        <w:rPr>
          <w:rFonts w:hint="eastAsia" w:ascii="宋体" w:hAnsi="宋体"/>
          <w:kern w:val="44"/>
        </w:rPr>
        <w:t xml:space="preserve">  动物产品销售者应当为消费者提供动物产品可追溯信息凭据。</w:t>
      </w:r>
    </w:p>
    <w:p w14:paraId="3CFA19C3">
      <w:pPr>
        <w:jc w:val="left"/>
        <w:rPr>
          <w:rFonts w:ascii="宋体" w:hAnsi="宋体"/>
          <w:kern w:val="44"/>
        </w:rPr>
      </w:pPr>
      <w:r>
        <w:rPr>
          <w:rFonts w:hint="eastAsia" w:ascii="宋体" w:hAnsi="宋体"/>
          <w:kern w:val="44"/>
        </w:rPr>
        <w:t>餐饮经营者和单位食堂购买动物产品，应当保存检疫证明或者可追溯信息凭据，并至少保存2年。</w:t>
      </w:r>
    </w:p>
    <w:p w14:paraId="6D036B81">
      <w:pPr>
        <w:ind w:firstLine="422"/>
        <w:jc w:val="left"/>
        <w:rPr>
          <w:rFonts w:ascii="宋体" w:hAnsi="宋体"/>
          <w:kern w:val="44"/>
        </w:rPr>
      </w:pPr>
      <w:r>
        <w:rPr>
          <w:rFonts w:hint="eastAsia" w:ascii="宋体" w:hAnsi="宋体"/>
          <w:b/>
          <w:kern w:val="44"/>
        </w:rPr>
        <w:t>第三十九条</w:t>
      </w:r>
      <w:r>
        <w:rPr>
          <w:rFonts w:hint="eastAsia" w:ascii="宋体" w:hAnsi="宋体"/>
          <w:kern w:val="44"/>
        </w:rPr>
        <w:t xml:space="preserve">  动物展览、演出和比赛等活动的主办者，应当在活动举办60日前向活动举办地的区、县动物卫生监督机构报告。区、县动物卫生监督机构给予防疫指导，实施监督检查。</w:t>
      </w:r>
    </w:p>
    <w:p w14:paraId="0154556A">
      <w:pPr>
        <w:jc w:val="left"/>
        <w:rPr>
          <w:rFonts w:ascii="宋体" w:hAnsi="宋体"/>
          <w:kern w:val="44"/>
        </w:rPr>
      </w:pPr>
    </w:p>
    <w:p w14:paraId="6AC26B51">
      <w:pPr>
        <w:ind w:firstLine="562"/>
        <w:jc w:val="center"/>
        <w:rPr>
          <w:rFonts w:ascii="宋体" w:hAnsi="宋体"/>
          <w:b/>
          <w:kern w:val="44"/>
          <w:sz w:val="28"/>
        </w:rPr>
      </w:pPr>
      <w:r>
        <w:rPr>
          <w:rFonts w:hint="eastAsia" w:ascii="宋体" w:hAnsi="宋体"/>
          <w:b/>
          <w:kern w:val="44"/>
          <w:sz w:val="28"/>
        </w:rPr>
        <w:t>第四章  动物诊疗</w:t>
      </w:r>
    </w:p>
    <w:p w14:paraId="30F02C6D">
      <w:pPr>
        <w:jc w:val="left"/>
        <w:rPr>
          <w:rFonts w:ascii="宋体" w:hAnsi="宋体"/>
          <w:kern w:val="44"/>
        </w:rPr>
      </w:pPr>
    </w:p>
    <w:p w14:paraId="3D8FF628">
      <w:pPr>
        <w:ind w:firstLine="422"/>
        <w:jc w:val="left"/>
        <w:rPr>
          <w:rFonts w:ascii="宋体" w:hAnsi="宋体"/>
          <w:kern w:val="44"/>
        </w:rPr>
      </w:pPr>
      <w:r>
        <w:rPr>
          <w:rFonts w:hint="eastAsia" w:ascii="宋体" w:hAnsi="宋体"/>
          <w:b/>
          <w:kern w:val="44"/>
        </w:rPr>
        <w:t>第四十条</w:t>
      </w:r>
      <w:r>
        <w:rPr>
          <w:rFonts w:hint="eastAsia" w:ascii="宋体" w:hAnsi="宋体"/>
          <w:kern w:val="44"/>
        </w:rPr>
        <w:t xml:space="preserve">  动物诊疗机构应当遵守下列规定：</w:t>
      </w:r>
    </w:p>
    <w:p w14:paraId="105C6D7D">
      <w:pPr>
        <w:jc w:val="left"/>
        <w:rPr>
          <w:rFonts w:ascii="宋体" w:hAnsi="宋体"/>
          <w:kern w:val="44"/>
        </w:rPr>
      </w:pPr>
      <w:r>
        <w:rPr>
          <w:rFonts w:hint="eastAsia" w:ascii="宋体" w:hAnsi="宋体"/>
          <w:kern w:val="44"/>
        </w:rPr>
        <w:t>（一）公示动物诊疗许可证和执业兽医资格证书、监督电话；</w:t>
      </w:r>
    </w:p>
    <w:p w14:paraId="44D56820">
      <w:pPr>
        <w:jc w:val="left"/>
        <w:rPr>
          <w:rFonts w:ascii="宋体" w:hAnsi="宋体"/>
          <w:kern w:val="44"/>
        </w:rPr>
      </w:pPr>
      <w:r>
        <w:rPr>
          <w:rFonts w:hint="eastAsia" w:ascii="宋体" w:hAnsi="宋体"/>
          <w:kern w:val="44"/>
        </w:rPr>
        <w:t>（二）建立符合规定的病历、处方、药品、手术、住院等诊疗管理制度；</w:t>
      </w:r>
    </w:p>
    <w:p w14:paraId="5949BA02">
      <w:pPr>
        <w:jc w:val="left"/>
        <w:rPr>
          <w:rFonts w:ascii="宋体" w:hAnsi="宋体"/>
          <w:kern w:val="44"/>
        </w:rPr>
      </w:pPr>
      <w:r>
        <w:rPr>
          <w:rFonts w:hint="eastAsia" w:ascii="宋体" w:hAnsi="宋体"/>
          <w:kern w:val="44"/>
        </w:rPr>
        <w:t>（三）保存动物诊疗病历、处方、检验报告、手术及麻醉记录等资料至少3年；</w:t>
      </w:r>
    </w:p>
    <w:p w14:paraId="61BB66DA">
      <w:pPr>
        <w:jc w:val="left"/>
        <w:rPr>
          <w:rFonts w:ascii="宋体" w:hAnsi="宋体"/>
          <w:kern w:val="44"/>
        </w:rPr>
      </w:pPr>
      <w:r>
        <w:rPr>
          <w:rFonts w:hint="eastAsia" w:ascii="宋体" w:hAnsi="宋体"/>
          <w:kern w:val="44"/>
        </w:rPr>
        <w:t>（四）执行有关防止动物疫病医源性感染或者扩散的技术规范和操作规程；</w:t>
      </w:r>
    </w:p>
    <w:p w14:paraId="695A7D2D">
      <w:pPr>
        <w:jc w:val="left"/>
        <w:rPr>
          <w:rFonts w:ascii="宋体" w:hAnsi="宋体"/>
          <w:kern w:val="44"/>
        </w:rPr>
      </w:pPr>
      <w:r>
        <w:rPr>
          <w:rFonts w:hint="eastAsia" w:ascii="宋体" w:hAnsi="宋体"/>
          <w:kern w:val="44"/>
        </w:rPr>
        <w:t>（五）按照规定对动物诊疗活动中产生的医疗废物进行处理；</w:t>
      </w:r>
    </w:p>
    <w:p w14:paraId="7EC96F13">
      <w:pPr>
        <w:jc w:val="left"/>
        <w:rPr>
          <w:rFonts w:ascii="宋体" w:hAnsi="宋体"/>
          <w:kern w:val="44"/>
        </w:rPr>
      </w:pPr>
      <w:r>
        <w:rPr>
          <w:rFonts w:hint="eastAsia" w:ascii="宋体" w:hAnsi="宋体"/>
          <w:kern w:val="44"/>
        </w:rPr>
        <w:t>（六）聘用注册或者备案的执业兽医从事动物诊疗活动。</w:t>
      </w:r>
    </w:p>
    <w:p w14:paraId="3323610E">
      <w:pPr>
        <w:jc w:val="left"/>
        <w:rPr>
          <w:rFonts w:ascii="宋体" w:hAnsi="宋体"/>
          <w:kern w:val="44"/>
        </w:rPr>
      </w:pPr>
      <w:r>
        <w:rPr>
          <w:rFonts w:hint="eastAsia" w:ascii="宋体" w:hAnsi="宋体"/>
          <w:kern w:val="44"/>
        </w:rPr>
        <w:t>动物诊疗机构兼营动物用品、动物美容等项目的区域与诊疗区域应当经过物理分隔、独立设置。</w:t>
      </w:r>
    </w:p>
    <w:p w14:paraId="60D2586A">
      <w:pPr>
        <w:ind w:firstLine="422"/>
        <w:jc w:val="left"/>
        <w:rPr>
          <w:rFonts w:ascii="宋体" w:hAnsi="宋体"/>
          <w:kern w:val="44"/>
        </w:rPr>
      </w:pPr>
      <w:r>
        <w:rPr>
          <w:rFonts w:hint="eastAsia" w:ascii="宋体" w:hAnsi="宋体"/>
          <w:b/>
          <w:kern w:val="44"/>
        </w:rPr>
        <w:t>第四十一条</w:t>
      </w:r>
      <w:r>
        <w:rPr>
          <w:rFonts w:hint="eastAsia" w:ascii="宋体" w:hAnsi="宋体"/>
          <w:kern w:val="44"/>
        </w:rPr>
        <w:t xml:space="preserve">  动物诊疗机构应当确定专门部门或者人员承担诊疗活动中与动物疫病医源性感染有关的危险因素的监测、安全防护、消毒、隔离、动物疫情报告和医疗废物处置等工作。</w:t>
      </w:r>
    </w:p>
    <w:p w14:paraId="58DE5110">
      <w:pPr>
        <w:ind w:firstLine="422"/>
        <w:jc w:val="left"/>
        <w:rPr>
          <w:rFonts w:ascii="宋体" w:hAnsi="宋体"/>
          <w:kern w:val="44"/>
        </w:rPr>
      </w:pPr>
      <w:r>
        <w:rPr>
          <w:rFonts w:hint="eastAsia" w:ascii="宋体" w:hAnsi="宋体"/>
          <w:b/>
          <w:kern w:val="44"/>
        </w:rPr>
        <w:t>第四十二条</w:t>
      </w:r>
      <w:r>
        <w:rPr>
          <w:rFonts w:hint="eastAsia" w:ascii="宋体" w:hAnsi="宋体"/>
          <w:kern w:val="44"/>
        </w:rPr>
        <w:t xml:space="preserve">  动物诊疗机构不得在动物诊疗场所从事动物交易、寄养活动。</w:t>
      </w:r>
    </w:p>
    <w:p w14:paraId="574E271F">
      <w:pPr>
        <w:ind w:firstLine="422"/>
        <w:jc w:val="left"/>
        <w:rPr>
          <w:rFonts w:ascii="宋体" w:hAnsi="宋体"/>
          <w:kern w:val="44"/>
        </w:rPr>
      </w:pPr>
      <w:r>
        <w:rPr>
          <w:rFonts w:hint="eastAsia" w:ascii="宋体" w:hAnsi="宋体"/>
          <w:b/>
          <w:kern w:val="44"/>
        </w:rPr>
        <w:t>第四十三条</w:t>
      </w:r>
      <w:r>
        <w:rPr>
          <w:rFonts w:hint="eastAsia" w:ascii="宋体" w:hAnsi="宋体"/>
          <w:kern w:val="44"/>
        </w:rPr>
        <w:t xml:space="preserve">  从事动物寄养活动应当符合下列条件：</w:t>
      </w:r>
    </w:p>
    <w:p w14:paraId="7155BC8F">
      <w:pPr>
        <w:jc w:val="left"/>
        <w:rPr>
          <w:rFonts w:ascii="宋体" w:hAnsi="宋体"/>
          <w:kern w:val="44"/>
        </w:rPr>
      </w:pPr>
      <w:r>
        <w:rPr>
          <w:rFonts w:hint="eastAsia" w:ascii="宋体" w:hAnsi="宋体"/>
          <w:kern w:val="44"/>
        </w:rPr>
        <w:t>（一）有兽医专业技术人员；</w:t>
      </w:r>
    </w:p>
    <w:p w14:paraId="1EE551E8">
      <w:pPr>
        <w:jc w:val="left"/>
        <w:rPr>
          <w:rFonts w:ascii="宋体" w:hAnsi="宋体"/>
          <w:kern w:val="44"/>
        </w:rPr>
      </w:pPr>
      <w:r>
        <w:rPr>
          <w:rFonts w:hint="eastAsia" w:ascii="宋体" w:hAnsi="宋体"/>
          <w:kern w:val="44"/>
        </w:rPr>
        <w:t>（二）有相应的消毒、废物处理或者暂存设施设备；</w:t>
      </w:r>
    </w:p>
    <w:p w14:paraId="1BC4C186">
      <w:pPr>
        <w:jc w:val="left"/>
        <w:rPr>
          <w:rFonts w:ascii="宋体" w:hAnsi="宋体"/>
          <w:kern w:val="44"/>
        </w:rPr>
      </w:pPr>
      <w:r>
        <w:rPr>
          <w:rFonts w:hint="eastAsia" w:ascii="宋体" w:hAnsi="宋体"/>
          <w:kern w:val="44"/>
        </w:rPr>
        <w:t>（三）有与其服务规模相适应的隔离饲养器具和动物活动空间；</w:t>
      </w:r>
    </w:p>
    <w:p w14:paraId="0EE4F050">
      <w:pPr>
        <w:jc w:val="left"/>
        <w:rPr>
          <w:rFonts w:ascii="宋体" w:hAnsi="宋体"/>
          <w:kern w:val="44"/>
        </w:rPr>
      </w:pPr>
      <w:r>
        <w:rPr>
          <w:rFonts w:hint="eastAsia" w:ascii="宋体" w:hAnsi="宋体"/>
          <w:kern w:val="44"/>
        </w:rPr>
        <w:t>（四）有完善的动物防疫管理制度。</w:t>
      </w:r>
    </w:p>
    <w:p w14:paraId="50540E7B">
      <w:pPr>
        <w:ind w:firstLine="422"/>
        <w:jc w:val="left"/>
        <w:rPr>
          <w:rFonts w:ascii="宋体" w:hAnsi="宋体"/>
          <w:kern w:val="44"/>
        </w:rPr>
      </w:pPr>
      <w:r>
        <w:rPr>
          <w:rFonts w:hint="eastAsia" w:ascii="宋体" w:hAnsi="宋体"/>
          <w:b/>
          <w:kern w:val="44"/>
        </w:rPr>
        <w:t>第四十四条</w:t>
      </w:r>
      <w:r>
        <w:rPr>
          <w:rFonts w:hint="eastAsia" w:ascii="宋体" w:hAnsi="宋体"/>
          <w:kern w:val="44"/>
        </w:rPr>
        <w:t xml:space="preserve">  执业兽医从事动物诊疗活动，应当佩戴载有本人姓名、照片、执业地点、执业等级等内容的标牌。</w:t>
      </w:r>
    </w:p>
    <w:p w14:paraId="3CF493B5">
      <w:pPr>
        <w:ind w:firstLine="422"/>
        <w:jc w:val="left"/>
        <w:rPr>
          <w:rFonts w:ascii="宋体" w:hAnsi="宋体"/>
          <w:kern w:val="44"/>
        </w:rPr>
      </w:pPr>
      <w:r>
        <w:rPr>
          <w:rFonts w:hint="eastAsia" w:ascii="宋体" w:hAnsi="宋体"/>
          <w:b/>
          <w:kern w:val="44"/>
        </w:rPr>
        <w:t>第四十五条</w:t>
      </w:r>
      <w:r>
        <w:rPr>
          <w:rFonts w:hint="eastAsia" w:ascii="宋体" w:hAnsi="宋体"/>
          <w:kern w:val="44"/>
        </w:rPr>
        <w:t xml:space="preserve">  市兽医行政主管部门应当制定执业兽医考核和培训计划，对执业兽医的业务水平、工作成绩和职业道德状况进行定期考核，为执业兽医接受继续教育提供条件。</w:t>
      </w:r>
    </w:p>
    <w:p w14:paraId="5B46ECF2">
      <w:pPr>
        <w:jc w:val="left"/>
        <w:rPr>
          <w:rFonts w:ascii="宋体" w:hAnsi="宋体"/>
          <w:kern w:val="44"/>
        </w:rPr>
      </w:pPr>
      <w:r>
        <w:rPr>
          <w:rFonts w:hint="eastAsia" w:ascii="宋体" w:hAnsi="宋体"/>
          <w:kern w:val="44"/>
        </w:rPr>
        <w:t>市兽医行政主管部门可以委托相关机构或者组织承担执业兽医考核、培训和继续教育等工作。</w:t>
      </w:r>
    </w:p>
    <w:p w14:paraId="6586931A">
      <w:pPr>
        <w:jc w:val="left"/>
        <w:rPr>
          <w:rFonts w:ascii="宋体" w:hAnsi="宋体"/>
          <w:kern w:val="44"/>
        </w:rPr>
      </w:pPr>
      <w:r>
        <w:rPr>
          <w:rFonts w:hint="eastAsia" w:ascii="宋体" w:hAnsi="宋体"/>
          <w:kern w:val="44"/>
        </w:rPr>
        <w:t>聘用执业兽医的单位和个人应当保证所聘用的执业兽医接受培训和继续教育的时间。</w:t>
      </w:r>
    </w:p>
    <w:p w14:paraId="47A1DC41">
      <w:pPr>
        <w:ind w:left="0" w:leftChars="0" w:firstLine="0" w:firstLineChars="0"/>
        <w:jc w:val="left"/>
        <w:rPr>
          <w:rFonts w:ascii="宋体" w:hAnsi="宋体"/>
          <w:kern w:val="44"/>
        </w:rPr>
      </w:pPr>
    </w:p>
    <w:p w14:paraId="5AAB611C">
      <w:pPr>
        <w:ind w:firstLine="0" w:firstLineChars="0"/>
        <w:jc w:val="center"/>
        <w:rPr>
          <w:rFonts w:hint="eastAsia" w:ascii="宋体" w:hAnsi="宋体"/>
          <w:b/>
          <w:kern w:val="44"/>
          <w:sz w:val="28"/>
        </w:rPr>
      </w:pPr>
    </w:p>
    <w:p w14:paraId="51602C35">
      <w:pPr>
        <w:ind w:firstLine="0" w:firstLineChars="0"/>
        <w:jc w:val="center"/>
        <w:rPr>
          <w:rFonts w:hint="eastAsia" w:ascii="宋体" w:hAnsi="宋体"/>
          <w:b/>
          <w:kern w:val="44"/>
          <w:sz w:val="28"/>
        </w:rPr>
      </w:pPr>
    </w:p>
    <w:p w14:paraId="1997983B">
      <w:pPr>
        <w:ind w:firstLine="0" w:firstLineChars="0"/>
        <w:jc w:val="center"/>
        <w:rPr>
          <w:rFonts w:ascii="宋体" w:hAnsi="宋体"/>
          <w:b/>
          <w:kern w:val="44"/>
          <w:sz w:val="28"/>
        </w:rPr>
      </w:pPr>
      <w:r>
        <w:rPr>
          <w:rFonts w:hint="eastAsia" w:ascii="宋体" w:hAnsi="宋体"/>
          <w:b/>
          <w:kern w:val="44"/>
          <w:sz w:val="28"/>
        </w:rPr>
        <w:t>第五章  监督管理</w:t>
      </w:r>
    </w:p>
    <w:p w14:paraId="69C3380A">
      <w:pPr>
        <w:jc w:val="left"/>
        <w:rPr>
          <w:rFonts w:ascii="宋体" w:hAnsi="宋体"/>
          <w:kern w:val="44"/>
        </w:rPr>
      </w:pPr>
    </w:p>
    <w:p w14:paraId="067011BF">
      <w:pPr>
        <w:ind w:firstLine="422"/>
        <w:jc w:val="left"/>
        <w:rPr>
          <w:rFonts w:ascii="宋体" w:hAnsi="宋体"/>
          <w:kern w:val="44"/>
        </w:rPr>
      </w:pPr>
      <w:r>
        <w:rPr>
          <w:rFonts w:hint="eastAsia" w:ascii="宋体" w:hAnsi="宋体"/>
          <w:b/>
          <w:kern w:val="44"/>
        </w:rPr>
        <w:t>第四十六条</w:t>
      </w:r>
      <w:r>
        <w:rPr>
          <w:rFonts w:hint="eastAsia" w:ascii="宋体" w:hAnsi="宋体"/>
          <w:kern w:val="44"/>
        </w:rPr>
        <w:t xml:space="preserve">  市和区、县人民政府应当采取有效措施，建立健全动物防疫队伍，加强动物防疫基础设施建设，提高动物防疫和监督管理水平。</w:t>
      </w:r>
    </w:p>
    <w:p w14:paraId="4B27A68D">
      <w:pPr>
        <w:ind w:firstLine="422"/>
        <w:jc w:val="left"/>
        <w:rPr>
          <w:rFonts w:ascii="宋体" w:hAnsi="宋体"/>
          <w:kern w:val="44"/>
        </w:rPr>
      </w:pPr>
      <w:r>
        <w:rPr>
          <w:rFonts w:hint="eastAsia" w:ascii="宋体" w:hAnsi="宋体"/>
          <w:b/>
          <w:kern w:val="44"/>
        </w:rPr>
        <w:t>第四十七条</w:t>
      </w:r>
      <w:r>
        <w:rPr>
          <w:rFonts w:hint="eastAsia" w:ascii="宋体" w:hAnsi="宋体"/>
          <w:kern w:val="44"/>
        </w:rPr>
        <w:t xml:space="preserve">  动物卫生监督机构的官方兽医开展动物防疫监督执法，应当统一着装、佩戴统一标志，出示行政执法证件。</w:t>
      </w:r>
    </w:p>
    <w:p w14:paraId="24440198">
      <w:pPr>
        <w:ind w:firstLine="422"/>
        <w:jc w:val="left"/>
        <w:rPr>
          <w:rFonts w:ascii="宋体" w:hAnsi="宋体"/>
          <w:kern w:val="44"/>
        </w:rPr>
      </w:pPr>
      <w:r>
        <w:rPr>
          <w:rFonts w:hint="eastAsia" w:ascii="宋体" w:hAnsi="宋体"/>
          <w:b/>
          <w:kern w:val="44"/>
        </w:rPr>
        <w:t>第四十八条</w:t>
      </w:r>
      <w:r>
        <w:rPr>
          <w:rFonts w:hint="eastAsia" w:ascii="宋体" w:hAnsi="宋体"/>
          <w:kern w:val="44"/>
        </w:rPr>
        <w:t xml:space="preserve">  市兽医行政主管部门应当与其他省、自治区、直辖市的兽医行政主管部门建立协作机制，开展信息共享、全程追溯、技术协作等合作，并根据需要对进京动物、动物产品的外埠供应基地提供动物防疫方面的技术支持和服务。</w:t>
      </w:r>
    </w:p>
    <w:p w14:paraId="0249FB05">
      <w:pPr>
        <w:ind w:firstLine="422"/>
        <w:jc w:val="left"/>
        <w:rPr>
          <w:rFonts w:ascii="宋体" w:hAnsi="宋体"/>
          <w:kern w:val="44"/>
        </w:rPr>
      </w:pPr>
      <w:r>
        <w:rPr>
          <w:rFonts w:hint="eastAsia" w:ascii="宋体" w:hAnsi="宋体"/>
          <w:b/>
          <w:kern w:val="44"/>
        </w:rPr>
        <w:t>第四十九条</w:t>
      </w:r>
      <w:r>
        <w:rPr>
          <w:rFonts w:hint="eastAsia" w:ascii="宋体" w:hAnsi="宋体"/>
          <w:kern w:val="44"/>
        </w:rPr>
        <w:t xml:space="preserve">  市和区、县人民政府鼓励和支持本市食品和食用农产品批发市场、超市等企业在外埠建立稳定的动物、动物产品供应基地，保障输入本市的动物、动物产品安全。</w:t>
      </w:r>
    </w:p>
    <w:p w14:paraId="7EB93E08">
      <w:pPr>
        <w:ind w:firstLine="422"/>
        <w:jc w:val="left"/>
        <w:rPr>
          <w:rFonts w:ascii="宋体" w:hAnsi="宋体"/>
          <w:kern w:val="44"/>
        </w:rPr>
      </w:pPr>
      <w:r>
        <w:rPr>
          <w:rFonts w:hint="eastAsia" w:ascii="宋体" w:hAnsi="宋体"/>
          <w:b/>
          <w:kern w:val="44"/>
        </w:rPr>
        <w:t>第五十条</w:t>
      </w:r>
      <w:r>
        <w:rPr>
          <w:rFonts w:hint="eastAsia" w:ascii="宋体" w:hAnsi="宋体"/>
          <w:kern w:val="44"/>
        </w:rPr>
        <w:t xml:space="preserve">  经公路运输动物、动物产品进入本市的，承运人应当在市人民政府确定并公布的检疫通道向动物卫生监督机构报验；经铁路、航空运输动物、动物产品进入本市的，承运人应当提前向动物卫生监督机构报告。</w:t>
      </w:r>
    </w:p>
    <w:p w14:paraId="470CFB91">
      <w:pPr>
        <w:jc w:val="left"/>
        <w:rPr>
          <w:rFonts w:ascii="宋体" w:hAnsi="宋体"/>
          <w:kern w:val="44"/>
        </w:rPr>
      </w:pPr>
      <w:r>
        <w:rPr>
          <w:rFonts w:hint="eastAsia" w:ascii="宋体" w:hAnsi="宋体"/>
          <w:kern w:val="44"/>
        </w:rPr>
        <w:t>动物卫生监督机构按照规定实施查证、验物和车辆消毒，在动物检疫合格证明上加盖监督检查专用章。任何单位、个人不得接收未取得动物卫生监督机构监督检查专用章的动物、动物产品。</w:t>
      </w:r>
    </w:p>
    <w:p w14:paraId="2C239D5D">
      <w:pPr>
        <w:jc w:val="left"/>
        <w:rPr>
          <w:rFonts w:ascii="宋体" w:hAnsi="宋体"/>
          <w:kern w:val="44"/>
        </w:rPr>
      </w:pPr>
      <w:r>
        <w:rPr>
          <w:rFonts w:hint="eastAsia" w:ascii="宋体" w:hAnsi="宋体"/>
          <w:kern w:val="44"/>
        </w:rPr>
        <w:t>市兽医行政主管部门在本市检疫通道以外的乡级以上公路的市界道口设立动物、动物产品运输禁行标志的，按照本市公路管理有关规定执行。</w:t>
      </w:r>
    </w:p>
    <w:p w14:paraId="2BE3C354">
      <w:pPr>
        <w:ind w:firstLine="422"/>
        <w:jc w:val="left"/>
        <w:rPr>
          <w:rFonts w:ascii="宋体" w:hAnsi="宋体"/>
          <w:kern w:val="44"/>
        </w:rPr>
      </w:pPr>
      <w:r>
        <w:rPr>
          <w:rFonts w:hint="eastAsia" w:ascii="宋体" w:hAnsi="宋体"/>
          <w:b/>
          <w:kern w:val="44"/>
        </w:rPr>
        <w:t>第五十一条</w:t>
      </w:r>
      <w:r>
        <w:rPr>
          <w:rFonts w:hint="eastAsia" w:ascii="宋体" w:hAnsi="宋体"/>
          <w:kern w:val="44"/>
        </w:rPr>
        <w:t xml:space="preserve">  有下列情形之一的，动物卫生监督机构应当监督货主对动物、动物产品进行无害化处理：</w:t>
      </w:r>
    </w:p>
    <w:p w14:paraId="709C9CAD">
      <w:pPr>
        <w:jc w:val="left"/>
        <w:rPr>
          <w:rFonts w:ascii="宋体" w:hAnsi="宋体"/>
          <w:kern w:val="44"/>
        </w:rPr>
      </w:pPr>
      <w:r>
        <w:rPr>
          <w:rFonts w:hint="eastAsia" w:ascii="宋体" w:hAnsi="宋体"/>
          <w:kern w:val="44"/>
        </w:rPr>
        <w:t>（一）发现检疫不合格的动物、动物产品；</w:t>
      </w:r>
    </w:p>
    <w:p w14:paraId="25A3370D">
      <w:pPr>
        <w:jc w:val="left"/>
        <w:rPr>
          <w:rFonts w:ascii="宋体" w:hAnsi="宋体"/>
          <w:kern w:val="44"/>
        </w:rPr>
      </w:pPr>
      <w:r>
        <w:rPr>
          <w:rFonts w:hint="eastAsia" w:ascii="宋体" w:hAnsi="宋体"/>
          <w:kern w:val="44"/>
        </w:rPr>
        <w:t>（二）发现运输过程中病死或者死因不明的动物。</w:t>
      </w:r>
    </w:p>
    <w:p w14:paraId="0FC32DF4">
      <w:pPr>
        <w:jc w:val="left"/>
        <w:rPr>
          <w:rFonts w:ascii="宋体" w:hAnsi="宋体"/>
          <w:kern w:val="44"/>
        </w:rPr>
      </w:pPr>
      <w:r>
        <w:rPr>
          <w:rFonts w:hint="eastAsia" w:ascii="宋体" w:hAnsi="宋体"/>
          <w:kern w:val="44"/>
        </w:rPr>
        <w:t>情况紧急，需要对前款规定的动物、动物产品立即处理的，由动物卫生监督机构组织进行无害化处理，所需费用由货主承担。</w:t>
      </w:r>
    </w:p>
    <w:p w14:paraId="486303BD">
      <w:pPr>
        <w:ind w:firstLine="422"/>
        <w:jc w:val="left"/>
        <w:rPr>
          <w:rFonts w:ascii="宋体" w:hAnsi="宋体"/>
          <w:kern w:val="44"/>
        </w:rPr>
      </w:pPr>
      <w:r>
        <w:rPr>
          <w:rFonts w:hint="eastAsia" w:ascii="宋体" w:hAnsi="宋体"/>
          <w:b/>
          <w:kern w:val="44"/>
        </w:rPr>
        <w:t>第五十二条</w:t>
      </w:r>
      <w:r>
        <w:rPr>
          <w:rFonts w:hint="eastAsia" w:ascii="宋体" w:hAnsi="宋体"/>
          <w:kern w:val="44"/>
        </w:rPr>
        <w:t xml:space="preserve">  本市建立动物防疫信息平台，统一归集、公布从事动物饲养、屠宰、经营、隔离、运输、诊疗，以及动物产品生产、经营、加工、运输、贮藏等活动的单位和个人的信用信息；涉及食品安全的，纳入本市统一的食品安全追溯信息系统。</w:t>
      </w:r>
    </w:p>
    <w:p w14:paraId="0004D3F9">
      <w:pPr>
        <w:ind w:firstLine="422"/>
        <w:jc w:val="left"/>
        <w:rPr>
          <w:rFonts w:ascii="宋体" w:hAnsi="宋体"/>
          <w:kern w:val="44"/>
        </w:rPr>
      </w:pPr>
      <w:r>
        <w:rPr>
          <w:rFonts w:hint="eastAsia" w:ascii="宋体" w:hAnsi="宋体"/>
          <w:b/>
          <w:kern w:val="44"/>
        </w:rPr>
        <w:t>第五十三条</w:t>
      </w:r>
      <w:r>
        <w:rPr>
          <w:rFonts w:hint="eastAsia" w:ascii="宋体" w:hAnsi="宋体"/>
          <w:kern w:val="44"/>
        </w:rPr>
        <w:t>　 禁止转让、伪造或者变造检疫证、章、标志或者畜禽标识。</w:t>
      </w:r>
    </w:p>
    <w:p w14:paraId="37D20D7F">
      <w:pPr>
        <w:jc w:val="left"/>
        <w:rPr>
          <w:rFonts w:ascii="宋体" w:hAnsi="宋体"/>
          <w:kern w:val="44"/>
        </w:rPr>
      </w:pPr>
      <w:r>
        <w:rPr>
          <w:rFonts w:hint="eastAsia" w:ascii="宋体" w:hAnsi="宋体"/>
          <w:kern w:val="44"/>
        </w:rPr>
        <w:t>禁止持有、使用伪造或者变造的检疫证、章、标志或者畜禽标识；使用伪造或者变造的检疫证、章、标志或者畜禽标识的，视同未经检疫。</w:t>
      </w:r>
    </w:p>
    <w:p w14:paraId="372ED8FA">
      <w:pPr>
        <w:ind w:firstLine="422"/>
        <w:jc w:val="left"/>
        <w:rPr>
          <w:rFonts w:ascii="宋体" w:hAnsi="宋体"/>
          <w:kern w:val="44"/>
        </w:rPr>
      </w:pPr>
      <w:r>
        <w:rPr>
          <w:rFonts w:hint="eastAsia" w:ascii="宋体" w:hAnsi="宋体"/>
          <w:b/>
          <w:kern w:val="44"/>
        </w:rPr>
        <w:t>第五十四条</w:t>
      </w:r>
      <w:r>
        <w:rPr>
          <w:rFonts w:hint="eastAsia" w:ascii="宋体" w:hAnsi="宋体"/>
          <w:kern w:val="44"/>
        </w:rPr>
        <w:t xml:space="preserve">  本市鼓励组织或者个人举报动物防疫违法行为；市和区、县人民政府对为查处动物防疫重大违法案件提供关键线索或者证据的举报人给予奖励。</w:t>
      </w:r>
    </w:p>
    <w:p w14:paraId="23640CB1">
      <w:pPr>
        <w:jc w:val="left"/>
        <w:rPr>
          <w:rFonts w:ascii="宋体" w:hAnsi="宋体"/>
          <w:kern w:val="44"/>
        </w:rPr>
      </w:pPr>
      <w:r>
        <w:rPr>
          <w:rFonts w:hint="eastAsia" w:ascii="宋体" w:hAnsi="宋体"/>
          <w:kern w:val="44"/>
        </w:rPr>
        <w:t>动物卫生监督机构应当将举报方式向社会公布，对接到的举报应当及时处理。</w:t>
      </w:r>
    </w:p>
    <w:p w14:paraId="75CA0434">
      <w:pPr>
        <w:jc w:val="left"/>
        <w:rPr>
          <w:rFonts w:ascii="宋体" w:hAnsi="宋体"/>
          <w:kern w:val="44"/>
        </w:rPr>
      </w:pPr>
    </w:p>
    <w:p w14:paraId="3C1CE2A6">
      <w:pPr>
        <w:ind w:firstLine="0" w:firstLineChars="0"/>
        <w:jc w:val="center"/>
        <w:rPr>
          <w:rFonts w:hint="eastAsia" w:ascii="宋体" w:hAnsi="宋体"/>
          <w:b/>
          <w:kern w:val="44"/>
          <w:sz w:val="28"/>
        </w:rPr>
      </w:pPr>
    </w:p>
    <w:p w14:paraId="29C76329">
      <w:pPr>
        <w:ind w:firstLine="0" w:firstLineChars="0"/>
        <w:jc w:val="center"/>
        <w:rPr>
          <w:rFonts w:hint="eastAsia" w:ascii="宋体" w:hAnsi="宋体"/>
          <w:b/>
          <w:kern w:val="44"/>
          <w:sz w:val="28"/>
        </w:rPr>
      </w:pPr>
    </w:p>
    <w:p w14:paraId="5F4355FA">
      <w:pPr>
        <w:ind w:firstLine="0" w:firstLineChars="0"/>
        <w:jc w:val="center"/>
        <w:rPr>
          <w:rFonts w:ascii="宋体" w:hAnsi="宋体"/>
          <w:b/>
          <w:kern w:val="44"/>
          <w:sz w:val="28"/>
        </w:rPr>
      </w:pPr>
      <w:r>
        <w:rPr>
          <w:rFonts w:hint="eastAsia" w:ascii="宋体" w:hAnsi="宋体"/>
          <w:b/>
          <w:kern w:val="44"/>
          <w:sz w:val="28"/>
        </w:rPr>
        <w:t>第六章  法律责任</w:t>
      </w:r>
    </w:p>
    <w:p w14:paraId="07E82289">
      <w:pPr>
        <w:jc w:val="left"/>
        <w:rPr>
          <w:rFonts w:ascii="宋体" w:hAnsi="宋体"/>
          <w:kern w:val="44"/>
        </w:rPr>
      </w:pPr>
    </w:p>
    <w:p w14:paraId="2A84E253">
      <w:pPr>
        <w:ind w:firstLine="422"/>
        <w:jc w:val="left"/>
        <w:rPr>
          <w:rFonts w:ascii="宋体" w:hAnsi="宋体"/>
          <w:kern w:val="44"/>
        </w:rPr>
      </w:pPr>
      <w:r>
        <w:rPr>
          <w:rFonts w:hint="eastAsia" w:ascii="宋体" w:hAnsi="宋体"/>
          <w:b/>
          <w:kern w:val="44"/>
        </w:rPr>
        <w:t>第五十五条</w:t>
      </w:r>
      <w:r>
        <w:rPr>
          <w:rFonts w:hint="eastAsia" w:ascii="宋体" w:hAnsi="宋体"/>
          <w:kern w:val="44"/>
        </w:rPr>
        <w:t xml:space="preserve">  市和区、县人民政府及其有关部门、动物卫生监督机构、动物疫病预防控制机构和工作人员违反本条例规定，违法履行、不履行或者不当履行行政职责的，按照国家和本市有关规定对直接负责的主管人员和其他直接负责人员给予行政问责和行政处分；构成犯罪的，依法追究刑事责任。</w:t>
      </w:r>
    </w:p>
    <w:p w14:paraId="493F5E03">
      <w:pPr>
        <w:ind w:firstLine="422"/>
        <w:jc w:val="left"/>
        <w:rPr>
          <w:rFonts w:ascii="宋体" w:hAnsi="宋体"/>
          <w:kern w:val="44"/>
        </w:rPr>
      </w:pPr>
      <w:r>
        <w:rPr>
          <w:rFonts w:hint="eastAsia" w:ascii="宋体" w:hAnsi="宋体"/>
          <w:b/>
          <w:kern w:val="44"/>
        </w:rPr>
        <w:t>第五十六条</w:t>
      </w:r>
      <w:r>
        <w:rPr>
          <w:rFonts w:hint="eastAsia" w:ascii="宋体" w:hAnsi="宋体"/>
          <w:kern w:val="44"/>
        </w:rPr>
        <w:t xml:space="preserve">  违反本条例第十五条第二款规定，不执行隔离、紧急免疫接种、暂停销售和购进相关动物及动物产品、限制相关动物及动物产品移动等临时控制措施的，由动物卫生监督机构责令限期改正，给予警告；逾期不改的，由动物卫生监督机构代作处理，所需处理费用由违法行为人承担，并处1000元以上1万元以下罚款。</w:t>
      </w:r>
    </w:p>
    <w:p w14:paraId="6A5CEA85">
      <w:pPr>
        <w:ind w:firstLine="422"/>
        <w:jc w:val="left"/>
        <w:rPr>
          <w:rFonts w:ascii="宋体" w:hAnsi="宋体"/>
          <w:kern w:val="44"/>
        </w:rPr>
      </w:pPr>
      <w:r>
        <w:rPr>
          <w:rFonts w:hint="eastAsia" w:ascii="宋体" w:hAnsi="宋体"/>
          <w:b/>
          <w:kern w:val="44"/>
        </w:rPr>
        <w:t>第五十七条</w:t>
      </w:r>
      <w:r>
        <w:rPr>
          <w:rFonts w:hint="eastAsia" w:ascii="宋体" w:hAnsi="宋体"/>
          <w:kern w:val="44"/>
        </w:rPr>
        <w:t xml:space="preserve">  违反本条例第十七条第三款规定，不遵守动物免疫退出和动物疫病传播阻断制度的，由动物卫生监督机构给予警告，对单位处5000元以上5万元以下罚款，对个人处1000元以上1万元以下罚款。</w:t>
      </w:r>
    </w:p>
    <w:p w14:paraId="05E0E764">
      <w:pPr>
        <w:ind w:firstLine="422"/>
        <w:jc w:val="left"/>
        <w:rPr>
          <w:rFonts w:ascii="宋体" w:hAnsi="宋体"/>
          <w:kern w:val="44"/>
        </w:rPr>
      </w:pPr>
      <w:r>
        <w:rPr>
          <w:rFonts w:hint="eastAsia" w:ascii="宋体" w:hAnsi="宋体"/>
          <w:b/>
          <w:kern w:val="44"/>
        </w:rPr>
        <w:t>第五十八条</w:t>
      </w:r>
      <w:r>
        <w:rPr>
          <w:rFonts w:hint="eastAsia" w:ascii="宋体" w:hAnsi="宋体"/>
          <w:kern w:val="44"/>
        </w:rPr>
        <w:t xml:space="preserve">  违反本条例第二十二条第二款规定，未对犬只进行免疫接种的，由动物卫生监督机构责令限期改正，给予警告；逾期不改的，由动物卫生监督机构代作处理，所需费用由违法行为人承担，并处1000元以下罚款；犬只给他人造成人身伤害、财产损失的，饲养者依法承担相应的民事责任。</w:t>
      </w:r>
    </w:p>
    <w:p w14:paraId="2961B24A">
      <w:pPr>
        <w:ind w:firstLine="422"/>
        <w:jc w:val="left"/>
        <w:rPr>
          <w:rFonts w:ascii="宋体" w:hAnsi="宋体"/>
          <w:kern w:val="44"/>
        </w:rPr>
      </w:pPr>
      <w:r>
        <w:rPr>
          <w:rFonts w:hint="eastAsia" w:ascii="宋体" w:hAnsi="宋体"/>
          <w:b/>
          <w:kern w:val="44"/>
        </w:rPr>
        <w:t>第五十九条</w:t>
      </w:r>
      <w:r>
        <w:rPr>
          <w:rFonts w:hint="eastAsia" w:ascii="宋体" w:hAnsi="宋体"/>
          <w:kern w:val="44"/>
        </w:rPr>
        <w:t xml:space="preserve">  违反本条例第二十三条第一款规定，在有形市场现场销售活畜禽的，由食品药品监督管理部门责令改正，没收经营的活畜禽和器具，对销售者可以处1000元以上1万元以下罚款，对市场开办者处5000元以上5万元以下罚款。</w:t>
      </w:r>
    </w:p>
    <w:p w14:paraId="3A24AE2D">
      <w:pPr>
        <w:ind w:firstLine="422"/>
        <w:jc w:val="left"/>
        <w:rPr>
          <w:rFonts w:ascii="宋体" w:hAnsi="宋体"/>
          <w:kern w:val="44"/>
        </w:rPr>
      </w:pPr>
      <w:r>
        <w:rPr>
          <w:rFonts w:hint="eastAsia" w:ascii="宋体" w:hAnsi="宋体"/>
          <w:b/>
          <w:kern w:val="44"/>
        </w:rPr>
        <w:t>第六十条</w:t>
      </w:r>
      <w:r>
        <w:rPr>
          <w:rFonts w:hint="eastAsia" w:ascii="宋体" w:hAnsi="宋体"/>
          <w:kern w:val="44"/>
        </w:rPr>
        <w:t>　 违反本条例第二十四条规定，未对动物、动物产品进行无害化处理的，由动物卫生监督机构责令限期改正，给予警告；逾期不改的，由动物卫生监督机构代作处理，所需处理费用由违法行为人承担，并处3000元以下罚款。</w:t>
      </w:r>
    </w:p>
    <w:p w14:paraId="281AFC4C">
      <w:pPr>
        <w:ind w:firstLine="422"/>
        <w:jc w:val="left"/>
        <w:rPr>
          <w:rFonts w:ascii="宋体" w:hAnsi="宋体"/>
          <w:kern w:val="44"/>
        </w:rPr>
      </w:pPr>
      <w:r>
        <w:rPr>
          <w:rFonts w:hint="eastAsia" w:ascii="宋体" w:hAnsi="宋体"/>
          <w:b/>
          <w:kern w:val="44"/>
        </w:rPr>
        <w:t>第六十一条</w:t>
      </w:r>
      <w:r>
        <w:rPr>
          <w:rFonts w:hint="eastAsia" w:ascii="宋体" w:hAnsi="宋体"/>
          <w:kern w:val="44"/>
        </w:rPr>
        <w:t>　 违反本条例第二十七条第一款规定，未按规定建设无害化处理设施设备或者自行建设的设施设备不符合规定，也未委托他人进行无害化处理的，由动物卫生监督机构或者环境保护主管部门责令停止生产、使用，可以处1万元以上10万元以下罚款。</w:t>
      </w:r>
    </w:p>
    <w:p w14:paraId="080D918F">
      <w:pPr>
        <w:ind w:firstLine="422"/>
        <w:jc w:val="left"/>
        <w:rPr>
          <w:rFonts w:ascii="宋体" w:hAnsi="宋体"/>
          <w:kern w:val="44"/>
        </w:rPr>
      </w:pPr>
      <w:r>
        <w:rPr>
          <w:rFonts w:hint="eastAsia" w:ascii="宋体" w:hAnsi="宋体"/>
          <w:b/>
          <w:kern w:val="44"/>
        </w:rPr>
        <w:t>第六十二条</w:t>
      </w:r>
      <w:r>
        <w:rPr>
          <w:rFonts w:hint="eastAsia" w:ascii="宋体" w:hAnsi="宋体"/>
          <w:kern w:val="44"/>
        </w:rPr>
        <w:t xml:space="preserve">  违反本条例第三十三条第二款规定，未取得定点屠宰证擅自屠宰猪、牛、羊、鸡、鸭的，由动物卫生监督机构予以取缔，没收动物、动物产品、屠宰工具和设备以及违法所得，并处货值金额3倍以上5倍以下罚款；货值金额难以确定的，对单位处10万元以上20万元以下罚款，对个人处5000元以上1万元以下罚款。</w:t>
      </w:r>
    </w:p>
    <w:p w14:paraId="2702393B">
      <w:pPr>
        <w:jc w:val="left"/>
        <w:rPr>
          <w:rFonts w:ascii="宋体" w:hAnsi="宋体"/>
          <w:kern w:val="44"/>
        </w:rPr>
      </w:pPr>
      <w:r>
        <w:rPr>
          <w:rFonts w:hint="eastAsia" w:ascii="宋体" w:hAnsi="宋体"/>
          <w:kern w:val="44"/>
        </w:rPr>
        <w:t>违反本条例第三十三条第三款规定，未在屠宰前申报检疫的，由动物卫生监督机构给予警告，处3000元以上3万元以下罚款。</w:t>
      </w:r>
    </w:p>
    <w:p w14:paraId="5B7ECF4D">
      <w:pPr>
        <w:ind w:firstLine="422"/>
        <w:jc w:val="left"/>
        <w:rPr>
          <w:rFonts w:ascii="宋体" w:hAnsi="宋体"/>
          <w:kern w:val="44"/>
        </w:rPr>
      </w:pPr>
      <w:r>
        <w:rPr>
          <w:rFonts w:hint="eastAsia" w:ascii="宋体" w:hAnsi="宋体"/>
          <w:b/>
          <w:kern w:val="44"/>
        </w:rPr>
        <w:t>第六十三条</w:t>
      </w:r>
      <w:r>
        <w:rPr>
          <w:rFonts w:hint="eastAsia" w:ascii="宋体" w:hAnsi="宋体"/>
          <w:kern w:val="44"/>
        </w:rPr>
        <w:t xml:space="preserve">  有下列情形之一的，由动物卫生监督机构责令限期改正，给予警告；逾期不改的，可以处1000元以上1万元以下罚款；造成严重后果的，责令停产停业：</w:t>
      </w:r>
    </w:p>
    <w:p w14:paraId="1F1F2A88">
      <w:pPr>
        <w:jc w:val="left"/>
        <w:rPr>
          <w:rFonts w:ascii="宋体" w:hAnsi="宋体"/>
          <w:kern w:val="44"/>
        </w:rPr>
      </w:pPr>
      <w:r>
        <w:rPr>
          <w:rFonts w:hint="eastAsia" w:ascii="宋体" w:hAnsi="宋体"/>
          <w:kern w:val="44"/>
        </w:rPr>
        <w:t>（一）动物屠宰加工场所未按照本条例第三十四条规定进行致病性微生物、兽药残留、违禁药物和非法添加物检测的；</w:t>
      </w:r>
    </w:p>
    <w:p w14:paraId="17A74393">
      <w:pPr>
        <w:jc w:val="left"/>
        <w:rPr>
          <w:rFonts w:ascii="宋体" w:hAnsi="宋体"/>
          <w:kern w:val="44"/>
        </w:rPr>
      </w:pPr>
      <w:r>
        <w:rPr>
          <w:rFonts w:hint="eastAsia" w:ascii="宋体" w:hAnsi="宋体"/>
          <w:kern w:val="44"/>
        </w:rPr>
        <w:t>（二）不具备本条例第四十三条规定的条件，从事动物寄养活动的。</w:t>
      </w:r>
    </w:p>
    <w:p w14:paraId="725B697F">
      <w:pPr>
        <w:ind w:firstLine="422"/>
        <w:jc w:val="left"/>
        <w:rPr>
          <w:rFonts w:ascii="宋体" w:hAnsi="宋体"/>
          <w:kern w:val="44"/>
        </w:rPr>
      </w:pPr>
      <w:r>
        <w:rPr>
          <w:rFonts w:hint="eastAsia" w:ascii="宋体" w:hAnsi="宋体"/>
          <w:b/>
          <w:kern w:val="44"/>
        </w:rPr>
        <w:t>第六十四条</w:t>
      </w:r>
      <w:r>
        <w:rPr>
          <w:rFonts w:hint="eastAsia" w:ascii="宋体" w:hAnsi="宋体"/>
          <w:kern w:val="44"/>
        </w:rPr>
        <w:t xml:space="preserve">  违反本条例第三十五条第一款规定，从事动物收购、销售、运输的单位和个人未备案的，由动物卫生监督机构责令限期改正，给予警告，可以处1000元以上1万元以下罚款。</w:t>
      </w:r>
    </w:p>
    <w:p w14:paraId="7CA5BF4F">
      <w:pPr>
        <w:ind w:firstLine="422"/>
        <w:jc w:val="left"/>
        <w:rPr>
          <w:rFonts w:ascii="宋体" w:hAnsi="宋体"/>
          <w:kern w:val="44"/>
        </w:rPr>
      </w:pPr>
      <w:r>
        <w:rPr>
          <w:rFonts w:hint="eastAsia" w:ascii="宋体" w:hAnsi="宋体"/>
          <w:b/>
          <w:kern w:val="44"/>
        </w:rPr>
        <w:t>第六十五条</w:t>
      </w:r>
      <w:r>
        <w:rPr>
          <w:rFonts w:hint="eastAsia" w:ascii="宋体" w:hAnsi="宋体"/>
          <w:kern w:val="44"/>
        </w:rPr>
        <w:t xml:space="preserve">  有下列情形之一的，由动物卫生监督机构责令限期改正，给予警告；逾期不改的，处3000元以上3万元以下罚款；涉及食品安全监督管理的，由食品药品监督管理部门依法处理：</w:t>
      </w:r>
    </w:p>
    <w:p w14:paraId="33CC21BC">
      <w:pPr>
        <w:jc w:val="left"/>
        <w:rPr>
          <w:rFonts w:ascii="宋体" w:hAnsi="宋体"/>
          <w:kern w:val="44"/>
        </w:rPr>
      </w:pPr>
      <w:r>
        <w:rPr>
          <w:rFonts w:hint="eastAsia" w:ascii="宋体" w:hAnsi="宋体"/>
          <w:kern w:val="44"/>
        </w:rPr>
        <w:t>（一）违反本条例第三十三条第四款规定，屠宰加工场所的经营管理者未记录、保存相关可追溯信息的；</w:t>
      </w:r>
    </w:p>
    <w:p w14:paraId="5C963DD4">
      <w:pPr>
        <w:jc w:val="left"/>
        <w:rPr>
          <w:rFonts w:ascii="宋体" w:hAnsi="宋体"/>
          <w:kern w:val="44"/>
        </w:rPr>
      </w:pPr>
      <w:r>
        <w:rPr>
          <w:rFonts w:hint="eastAsia" w:ascii="宋体" w:hAnsi="宋体"/>
          <w:kern w:val="44"/>
        </w:rPr>
        <w:t>（二）违反本条例第三十五条第二款规定，从事动物产品经营的单位和个人未记录、保存相关事项的；</w:t>
      </w:r>
    </w:p>
    <w:p w14:paraId="3F35070F">
      <w:pPr>
        <w:jc w:val="left"/>
        <w:rPr>
          <w:rFonts w:ascii="宋体" w:hAnsi="宋体"/>
          <w:kern w:val="44"/>
        </w:rPr>
      </w:pPr>
      <w:r>
        <w:rPr>
          <w:rFonts w:hint="eastAsia" w:ascii="宋体" w:hAnsi="宋体"/>
          <w:kern w:val="44"/>
        </w:rPr>
        <w:t>（三）违反本条例第三十七条规定，冷库经营者未查验、留存、保存相关证明和记录的；</w:t>
      </w:r>
    </w:p>
    <w:p w14:paraId="625BB1B5">
      <w:pPr>
        <w:jc w:val="left"/>
        <w:rPr>
          <w:rFonts w:ascii="宋体" w:hAnsi="宋体"/>
          <w:kern w:val="44"/>
        </w:rPr>
      </w:pPr>
      <w:r>
        <w:rPr>
          <w:rFonts w:hint="eastAsia" w:ascii="宋体" w:hAnsi="宋体"/>
          <w:kern w:val="44"/>
        </w:rPr>
        <w:t>（四）违反本条例第三十八条第一款规定，动物产品销售者未提供动物产品可追溯信息凭据的；</w:t>
      </w:r>
    </w:p>
    <w:p w14:paraId="725993D5">
      <w:pPr>
        <w:jc w:val="left"/>
        <w:rPr>
          <w:rFonts w:ascii="宋体" w:hAnsi="宋体"/>
          <w:kern w:val="44"/>
        </w:rPr>
      </w:pPr>
      <w:r>
        <w:rPr>
          <w:rFonts w:hint="eastAsia" w:ascii="宋体" w:hAnsi="宋体"/>
          <w:kern w:val="44"/>
        </w:rPr>
        <w:t>（五）违反本条例第三十八条第二款规定，餐饮经营者和单位食堂未保存动物检疫证明或者可追溯信息凭据的。</w:t>
      </w:r>
    </w:p>
    <w:p w14:paraId="0E4780D8">
      <w:pPr>
        <w:ind w:firstLine="422"/>
        <w:jc w:val="left"/>
        <w:rPr>
          <w:rFonts w:ascii="宋体" w:hAnsi="宋体"/>
          <w:kern w:val="44"/>
        </w:rPr>
      </w:pPr>
      <w:r>
        <w:rPr>
          <w:rFonts w:hint="eastAsia" w:ascii="宋体" w:hAnsi="宋体"/>
          <w:b/>
          <w:kern w:val="44"/>
        </w:rPr>
        <w:t>第六十六条</w:t>
      </w:r>
      <w:r>
        <w:rPr>
          <w:rFonts w:hint="eastAsia" w:ascii="宋体" w:hAnsi="宋体"/>
          <w:kern w:val="44"/>
        </w:rPr>
        <w:t xml:space="preserve">  市场开办者、活动主办者或者柜台出租者违反本条例第三十六条规定的，由动物卫生监督机构责令限期改正，给予警告；逾期不改的，处5000元以上5万元以下罚款；涉及食品安全监督管理的，由食品药品监督管理部门依法处理。</w:t>
      </w:r>
    </w:p>
    <w:p w14:paraId="16E89FFE">
      <w:pPr>
        <w:ind w:firstLine="422"/>
        <w:jc w:val="left"/>
        <w:rPr>
          <w:rFonts w:ascii="宋体" w:hAnsi="宋体"/>
          <w:kern w:val="44"/>
        </w:rPr>
      </w:pPr>
      <w:r>
        <w:rPr>
          <w:rFonts w:hint="eastAsia" w:ascii="宋体" w:hAnsi="宋体"/>
          <w:b/>
          <w:kern w:val="44"/>
        </w:rPr>
        <w:t>第六十七条</w:t>
      </w:r>
      <w:r>
        <w:rPr>
          <w:rFonts w:hint="eastAsia" w:ascii="宋体" w:hAnsi="宋体"/>
          <w:kern w:val="44"/>
        </w:rPr>
        <w:t xml:space="preserve">  违反本条例第三十九条规定，举办动物展览、演出和比赛等活动的主办者，未按规定报告并接受防疫指导和监督检查的，由动物卫生监督机构责令限期改正，给予警告；逾期不改的，责令停止举办活动；活动已经结束的，处1000元以上1万元以下罚款。</w:t>
      </w:r>
    </w:p>
    <w:p w14:paraId="6E7967A7">
      <w:pPr>
        <w:ind w:firstLine="422"/>
        <w:jc w:val="left"/>
        <w:rPr>
          <w:rFonts w:ascii="宋体" w:hAnsi="宋体"/>
          <w:kern w:val="44"/>
        </w:rPr>
      </w:pPr>
      <w:r>
        <w:rPr>
          <w:rFonts w:hint="eastAsia" w:ascii="宋体" w:hAnsi="宋体"/>
          <w:b/>
          <w:kern w:val="44"/>
        </w:rPr>
        <w:t>第六十八条</w:t>
      </w:r>
      <w:r>
        <w:rPr>
          <w:rFonts w:hint="eastAsia" w:ascii="宋体" w:hAnsi="宋体"/>
          <w:kern w:val="44"/>
        </w:rPr>
        <w:t xml:space="preserve">  违反本条例第四十条规定的，由动物卫生监督机构责令限期改正，给予警告；逾期不改的，责令停业，处5000元以上5万元以下罚款；情节严重的，由发证机关吊销动物诊疗许可证；给当事人造成损失的，由该动物诊疗机构承担赔偿责任。</w:t>
      </w:r>
    </w:p>
    <w:p w14:paraId="432D8C76">
      <w:pPr>
        <w:ind w:firstLine="422"/>
        <w:jc w:val="left"/>
        <w:rPr>
          <w:rFonts w:ascii="宋体" w:hAnsi="宋体"/>
          <w:kern w:val="44"/>
        </w:rPr>
      </w:pPr>
      <w:r>
        <w:rPr>
          <w:rFonts w:hint="eastAsia" w:ascii="宋体" w:hAnsi="宋体"/>
          <w:b/>
          <w:kern w:val="44"/>
        </w:rPr>
        <w:t>第六十九条</w:t>
      </w:r>
      <w:r>
        <w:rPr>
          <w:rFonts w:hint="eastAsia" w:ascii="宋体" w:hAnsi="宋体"/>
          <w:kern w:val="44"/>
        </w:rPr>
        <w:t>　 违反本条例第四十二条规定，动物诊疗机构在动物诊疗场所从事动物交易、寄养活动的，由动物卫生监督机构责令限期改正，给予警告，没收违法所得，并处5000元以上5万元以下罚款；逾期不改的，责令停业；情节严重的，由发证机关吊销动物诊疗许可证。</w:t>
      </w:r>
    </w:p>
    <w:p w14:paraId="56DE419F">
      <w:pPr>
        <w:ind w:firstLine="422"/>
        <w:jc w:val="left"/>
        <w:rPr>
          <w:rFonts w:ascii="宋体" w:hAnsi="宋体"/>
          <w:kern w:val="44"/>
        </w:rPr>
      </w:pPr>
      <w:r>
        <w:rPr>
          <w:rFonts w:hint="eastAsia" w:ascii="宋体" w:hAnsi="宋体"/>
          <w:b/>
          <w:kern w:val="44"/>
        </w:rPr>
        <w:t>第七十条</w:t>
      </w:r>
      <w:r>
        <w:rPr>
          <w:rFonts w:hint="eastAsia" w:ascii="宋体" w:hAnsi="宋体"/>
          <w:kern w:val="44"/>
        </w:rPr>
        <w:t>　 违反本条例第四十四条规定，执业兽医从事动物诊疗活动未佩戴标牌的，由动物卫生监督机构责令改正，给予警告；拒不改正的，处1000元以下罚款。</w:t>
      </w:r>
    </w:p>
    <w:p w14:paraId="17F8AFC6">
      <w:pPr>
        <w:ind w:firstLine="422"/>
        <w:jc w:val="left"/>
        <w:rPr>
          <w:rFonts w:ascii="宋体" w:hAnsi="宋体"/>
          <w:kern w:val="44"/>
        </w:rPr>
      </w:pPr>
      <w:r>
        <w:rPr>
          <w:rFonts w:hint="eastAsia" w:ascii="宋体" w:hAnsi="宋体"/>
          <w:b/>
          <w:kern w:val="44"/>
        </w:rPr>
        <w:t>第七十一条</w:t>
      </w:r>
      <w:r>
        <w:rPr>
          <w:rFonts w:hint="eastAsia" w:ascii="宋体" w:hAnsi="宋体"/>
          <w:kern w:val="44"/>
        </w:rPr>
        <w:t>　 违反本条例第五十条第一款、第二款规定，未经检疫通道运输动物、动物产品进入本市，或者接收未取得动物卫生监督机构监督检查专用章的动物、动物产品的，由动物卫生监督机构对承运人、接收人处1000元以上1万元以下罚款。</w:t>
      </w:r>
    </w:p>
    <w:p w14:paraId="17FA5F24">
      <w:pPr>
        <w:ind w:firstLine="422"/>
        <w:jc w:val="left"/>
        <w:rPr>
          <w:rFonts w:ascii="宋体" w:hAnsi="宋体"/>
          <w:kern w:val="44"/>
        </w:rPr>
      </w:pPr>
      <w:r>
        <w:rPr>
          <w:rFonts w:hint="eastAsia" w:ascii="宋体" w:hAnsi="宋体"/>
          <w:b/>
          <w:kern w:val="44"/>
        </w:rPr>
        <w:t>第七十二条</w:t>
      </w:r>
      <w:r>
        <w:rPr>
          <w:rFonts w:hint="eastAsia" w:ascii="宋体" w:hAnsi="宋体"/>
          <w:kern w:val="44"/>
        </w:rPr>
        <w:t>　 违反本条例第五十三条第一款规定，转让、伪造或者变造检疫证、章、标志或者畜禽标识的，由动物卫生监督机构没收违法所得，收缴检疫证、章、标志或者畜禽标识，处3000元以上3万元以下罚款。</w:t>
      </w:r>
    </w:p>
    <w:p w14:paraId="26995F51">
      <w:pPr>
        <w:ind w:firstLine="422"/>
        <w:jc w:val="left"/>
        <w:rPr>
          <w:rFonts w:ascii="宋体" w:hAnsi="宋体"/>
          <w:kern w:val="44"/>
        </w:rPr>
      </w:pPr>
      <w:r>
        <w:rPr>
          <w:rFonts w:hint="eastAsia" w:ascii="宋体" w:hAnsi="宋体"/>
          <w:b/>
          <w:kern w:val="44"/>
        </w:rPr>
        <w:t>第七十三条</w:t>
      </w:r>
      <w:r>
        <w:rPr>
          <w:rFonts w:hint="eastAsia" w:ascii="宋体" w:hAnsi="宋体"/>
          <w:kern w:val="44"/>
        </w:rPr>
        <w:t xml:space="preserve">  违反本条例规定，其他法律、法规规定有法律责任的，按照其他法律、法规规定执行。</w:t>
      </w:r>
    </w:p>
    <w:p w14:paraId="2EE0E25F">
      <w:pPr>
        <w:jc w:val="left"/>
        <w:rPr>
          <w:rFonts w:ascii="宋体" w:hAnsi="宋体"/>
          <w:kern w:val="44"/>
        </w:rPr>
      </w:pPr>
    </w:p>
    <w:p w14:paraId="698D468C">
      <w:pPr>
        <w:ind w:firstLine="0" w:firstLineChars="0"/>
        <w:jc w:val="center"/>
        <w:rPr>
          <w:rFonts w:ascii="宋体" w:hAnsi="宋体"/>
          <w:b/>
          <w:kern w:val="44"/>
          <w:sz w:val="28"/>
        </w:rPr>
      </w:pPr>
      <w:r>
        <w:rPr>
          <w:rFonts w:hint="eastAsia" w:ascii="宋体" w:hAnsi="宋体"/>
          <w:b/>
          <w:kern w:val="44"/>
          <w:sz w:val="28"/>
        </w:rPr>
        <w:t>第七章  附　则</w:t>
      </w:r>
    </w:p>
    <w:p w14:paraId="69897F58">
      <w:pPr>
        <w:jc w:val="left"/>
        <w:rPr>
          <w:rFonts w:ascii="宋体" w:hAnsi="宋体"/>
          <w:kern w:val="44"/>
        </w:rPr>
      </w:pPr>
    </w:p>
    <w:p w14:paraId="67BAE2FE">
      <w:pPr>
        <w:ind w:firstLine="422"/>
        <w:jc w:val="left"/>
        <w:rPr>
          <w:rFonts w:ascii="宋体" w:hAnsi="宋体"/>
          <w:kern w:val="44"/>
        </w:rPr>
      </w:pPr>
      <w:r>
        <w:rPr>
          <w:rFonts w:hint="eastAsia" w:ascii="宋体" w:hAnsi="宋体"/>
          <w:b/>
          <w:kern w:val="44"/>
        </w:rPr>
        <w:t>第七十四条</w:t>
      </w:r>
      <w:r>
        <w:rPr>
          <w:rFonts w:hint="eastAsia" w:ascii="宋体" w:hAnsi="宋体"/>
          <w:kern w:val="44"/>
        </w:rPr>
        <w:t xml:space="preserve">  本条例自2014年10月1日起施行。2004年10月22日北京市第十二届人民代表大会常务委员会第十五次会议通过的《北京市实施〈中华人民共和国动物防疫法〉办法》同时废止。</w:t>
      </w:r>
    </w:p>
    <w:p w14:paraId="27C566CE">
      <w:pPr>
        <w:pStyle w:val="4"/>
        <w:pageBreakBefore/>
        <w:rPr>
          <w:kern w:val="44"/>
        </w:rPr>
      </w:pPr>
      <w:bookmarkStart w:id="1225" w:name="_Toc427651941"/>
      <w:bookmarkStart w:id="1226" w:name="_Toc428780165"/>
      <w:bookmarkStart w:id="1227" w:name="_Toc428781647"/>
      <w:bookmarkStart w:id="1228" w:name="_Toc422471325"/>
      <w:bookmarkStart w:id="1229" w:name="_Toc427651599"/>
      <w:r>
        <w:rPr>
          <w:rFonts w:hint="eastAsia"/>
          <w:kern w:val="44"/>
        </w:rPr>
        <w:t>北京市林业植物检疫办法</w:t>
      </w:r>
      <w:bookmarkEnd w:id="1225"/>
      <w:bookmarkEnd w:id="1226"/>
      <w:bookmarkEnd w:id="1227"/>
      <w:bookmarkEnd w:id="1228"/>
      <w:bookmarkEnd w:id="1229"/>
    </w:p>
    <w:p w14:paraId="04E3E9D0">
      <w:pPr>
        <w:ind w:left="630" w:leftChars="300" w:right="630" w:rightChars="300"/>
        <w:jc w:val="left"/>
        <w:rPr>
          <w:rFonts w:ascii="楷体" w:hAnsi="楷体" w:eastAsia="楷体"/>
          <w:kern w:val="44"/>
        </w:rPr>
      </w:pPr>
      <w:r>
        <w:rPr>
          <w:rFonts w:hint="eastAsia" w:ascii="楷体" w:hAnsi="楷体" w:eastAsia="楷体"/>
          <w:kern w:val="44"/>
        </w:rPr>
        <w:t>（2008年4月8日北京市人民政府第3次常务会议审议通过  2008年4月22日北京市人民政府第206号令公布）</w:t>
      </w:r>
    </w:p>
    <w:p w14:paraId="5201D36D">
      <w:pPr>
        <w:jc w:val="left"/>
        <w:rPr>
          <w:rFonts w:ascii="宋体" w:hAnsi="宋体"/>
          <w:kern w:val="44"/>
        </w:rPr>
      </w:pPr>
    </w:p>
    <w:p w14:paraId="5C3C3078">
      <w:pPr>
        <w:ind w:firstLine="422"/>
        <w:jc w:val="left"/>
        <w:rPr>
          <w:rFonts w:ascii="宋体" w:hAnsi="宋体"/>
          <w:kern w:val="44"/>
        </w:rPr>
      </w:pPr>
      <w:r>
        <w:rPr>
          <w:rFonts w:hint="eastAsia" w:ascii="宋体" w:hAnsi="宋体"/>
          <w:b/>
          <w:kern w:val="44"/>
        </w:rPr>
        <w:t>第一条</w:t>
      </w:r>
      <w:r>
        <w:rPr>
          <w:rFonts w:hint="eastAsia" w:ascii="宋体" w:hAnsi="宋体"/>
          <w:kern w:val="44"/>
        </w:rPr>
        <w:t>　为防止检疫性、危险性林业有害生物的入侵和传播蔓延，保护首都生态环境，根据《中华人民共和国森林法》和国务院《植物检疫条例》等法律、法规的规定，结合本市实际情况，制定本办法。</w:t>
      </w:r>
    </w:p>
    <w:p w14:paraId="595CED07">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本市行政区域内林业植物及其产品的检疫活动，应当遵守本办法。</w:t>
      </w:r>
    </w:p>
    <w:p w14:paraId="28CBEC13">
      <w:pPr>
        <w:ind w:firstLine="422"/>
        <w:jc w:val="left"/>
        <w:rPr>
          <w:rFonts w:ascii="宋体" w:hAnsi="宋体"/>
          <w:kern w:val="44"/>
        </w:rPr>
      </w:pPr>
      <w:r>
        <w:rPr>
          <w:rFonts w:hint="eastAsia" w:ascii="宋体" w:hAnsi="宋体"/>
          <w:b/>
          <w:kern w:val="44"/>
        </w:rPr>
        <w:t>第三条</w:t>
      </w:r>
      <w:r>
        <w:rPr>
          <w:rFonts w:hint="eastAsia" w:ascii="宋体" w:hAnsi="宋体"/>
          <w:kern w:val="44"/>
        </w:rPr>
        <w:t>　市园林绿化行政主管部门（以下简称市园林绿化部门）负责全市林业植物检疫工作；各区（县）林业行政部门负责本行政区域内的林业植物检疫工作。市和区（县）林业植物检疫机构（以下简称林检机构），负责执行林业植物检疫任务。</w:t>
      </w:r>
    </w:p>
    <w:p w14:paraId="59DDB489">
      <w:pPr>
        <w:jc w:val="left"/>
        <w:rPr>
          <w:rFonts w:ascii="宋体" w:hAnsi="宋体"/>
          <w:kern w:val="44"/>
        </w:rPr>
      </w:pPr>
      <w:r>
        <w:rPr>
          <w:rFonts w:hint="eastAsia" w:ascii="宋体" w:hAnsi="宋体"/>
          <w:kern w:val="44"/>
        </w:rPr>
        <w:t>本市农业、工商行政管理、交通运输、邮政等有关部门和出入境检验检疫机构根据职责分工，做好林业植物检疫的相关工作。</w:t>
      </w:r>
    </w:p>
    <w:p w14:paraId="50C38B1B">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市和区（县）林检机构应当配备林业植物检疫员（以下简称检疫员），根据需要建立检疫检验实验室，配备相应的检疫工作设备和除害处理设施。</w:t>
      </w:r>
    </w:p>
    <w:p w14:paraId="6F392288">
      <w:pPr>
        <w:jc w:val="left"/>
        <w:rPr>
          <w:rFonts w:ascii="宋体" w:hAnsi="宋体"/>
          <w:kern w:val="44"/>
        </w:rPr>
      </w:pPr>
      <w:r>
        <w:rPr>
          <w:rFonts w:hint="eastAsia" w:ascii="宋体" w:hAnsi="宋体"/>
          <w:kern w:val="44"/>
        </w:rPr>
        <w:t>市园林绿化部门和区（县）林业行政部门可以依法聘请兼职检疫员协助林检机构开展林业植物检疫工作。</w:t>
      </w:r>
    </w:p>
    <w:p w14:paraId="20101504">
      <w:pPr>
        <w:ind w:firstLine="422"/>
        <w:jc w:val="left"/>
        <w:rPr>
          <w:rFonts w:ascii="宋体" w:hAnsi="宋体"/>
          <w:kern w:val="44"/>
        </w:rPr>
      </w:pPr>
      <w:r>
        <w:rPr>
          <w:rFonts w:hint="eastAsia" w:ascii="宋体" w:hAnsi="宋体"/>
          <w:b/>
          <w:kern w:val="44"/>
        </w:rPr>
        <w:t>第五条</w:t>
      </w:r>
      <w:r>
        <w:rPr>
          <w:rFonts w:hint="eastAsia" w:ascii="宋体" w:hAnsi="宋体"/>
          <w:kern w:val="44"/>
        </w:rPr>
        <w:t>　检疫员执行检疫任务时，可以进入林业植物及其产品的生产、经营、存放等场所进行现场检查、调查和检疫工作，可以采集相关样品，查阅、复制和拍摄与检疫有关的资料，收集与检疫有关的证据，调查了解相关情况。</w:t>
      </w:r>
    </w:p>
    <w:p w14:paraId="1E868502">
      <w:pPr>
        <w:jc w:val="left"/>
        <w:rPr>
          <w:rFonts w:ascii="宋体" w:hAnsi="宋体"/>
          <w:kern w:val="44"/>
        </w:rPr>
      </w:pPr>
      <w:r>
        <w:rPr>
          <w:rFonts w:hint="eastAsia" w:ascii="宋体" w:hAnsi="宋体"/>
          <w:kern w:val="44"/>
        </w:rPr>
        <w:t>检疫员在执行检疫任务时，应当穿着检疫制服，佩戴检疫标志，出示执法证件。有关单位和个人应当予以配合，不得阻碍检疫员开展检疫工作。</w:t>
      </w:r>
    </w:p>
    <w:p w14:paraId="5BD342BB">
      <w:pPr>
        <w:ind w:firstLine="422"/>
        <w:jc w:val="left"/>
        <w:rPr>
          <w:rFonts w:ascii="宋体" w:hAnsi="宋体"/>
          <w:kern w:val="44"/>
        </w:rPr>
      </w:pPr>
      <w:r>
        <w:rPr>
          <w:rFonts w:hint="eastAsia" w:ascii="宋体" w:hAnsi="宋体"/>
          <w:b/>
          <w:kern w:val="44"/>
        </w:rPr>
        <w:t>第六条</w:t>
      </w:r>
      <w:r>
        <w:rPr>
          <w:rFonts w:hint="eastAsia" w:ascii="宋体" w:hAnsi="宋体"/>
          <w:kern w:val="44"/>
        </w:rPr>
        <w:t>　检疫机构应当对下列林业植物及其产品和可能被检疫性、危险性林业有害生物污染的运载工具、存放场所实施检疫：</w:t>
      </w:r>
    </w:p>
    <w:p w14:paraId="03D7014D">
      <w:pPr>
        <w:jc w:val="left"/>
        <w:rPr>
          <w:rFonts w:ascii="宋体" w:hAnsi="宋体"/>
          <w:kern w:val="44"/>
        </w:rPr>
      </w:pPr>
      <w:r>
        <w:rPr>
          <w:rFonts w:hint="eastAsia" w:ascii="宋体" w:hAnsi="宋体"/>
          <w:kern w:val="44"/>
        </w:rPr>
        <w:t>（一）乔木、灌木、竹类、花卉等林业植物，及其种子、苗木和其他繁殖材料；</w:t>
      </w:r>
    </w:p>
    <w:p w14:paraId="1B2DF0B1">
      <w:pPr>
        <w:jc w:val="left"/>
        <w:rPr>
          <w:rFonts w:ascii="宋体" w:hAnsi="宋体"/>
          <w:kern w:val="44"/>
        </w:rPr>
      </w:pPr>
      <w:r>
        <w:rPr>
          <w:rFonts w:hint="eastAsia" w:ascii="宋体" w:hAnsi="宋体"/>
          <w:kern w:val="44"/>
        </w:rPr>
        <w:t>（二）木材、竹材、藤条、中药材、果品、盆景和标本等木质成品或者半成品；</w:t>
      </w:r>
    </w:p>
    <w:p w14:paraId="051EFEBD">
      <w:pPr>
        <w:jc w:val="left"/>
        <w:rPr>
          <w:rFonts w:ascii="宋体" w:hAnsi="宋体"/>
          <w:kern w:val="44"/>
        </w:rPr>
      </w:pPr>
      <w:r>
        <w:rPr>
          <w:rFonts w:hint="eastAsia" w:ascii="宋体" w:hAnsi="宋体"/>
          <w:kern w:val="44"/>
        </w:rPr>
        <w:t>（三）用于承载、包装、铺垫、支撑、加固货物的木质材料；</w:t>
      </w:r>
    </w:p>
    <w:p w14:paraId="528E8931">
      <w:pPr>
        <w:jc w:val="left"/>
        <w:rPr>
          <w:rFonts w:ascii="宋体" w:hAnsi="宋体"/>
          <w:kern w:val="44"/>
        </w:rPr>
      </w:pPr>
      <w:r>
        <w:rPr>
          <w:rFonts w:hint="eastAsia" w:ascii="宋体" w:hAnsi="宋体"/>
          <w:kern w:val="44"/>
        </w:rPr>
        <w:t>（四）国家和本市确定的其他应施检疫的林业植物及其产品。</w:t>
      </w:r>
    </w:p>
    <w:p w14:paraId="0EBF1259">
      <w:pPr>
        <w:jc w:val="left"/>
        <w:rPr>
          <w:rFonts w:ascii="宋体" w:hAnsi="宋体"/>
          <w:kern w:val="44"/>
        </w:rPr>
      </w:pPr>
      <w:r>
        <w:rPr>
          <w:rFonts w:hint="eastAsia" w:ascii="宋体" w:hAnsi="宋体"/>
          <w:kern w:val="44"/>
        </w:rPr>
        <w:t>检疫机构应当加强对调入本市的林业植物及其产品的复检工作。</w:t>
      </w:r>
    </w:p>
    <w:p w14:paraId="768997F0">
      <w:pPr>
        <w:ind w:firstLine="422"/>
        <w:jc w:val="left"/>
        <w:rPr>
          <w:rFonts w:ascii="宋体" w:hAnsi="宋体"/>
          <w:kern w:val="44"/>
        </w:rPr>
      </w:pPr>
      <w:r>
        <w:rPr>
          <w:rFonts w:hint="eastAsia" w:ascii="宋体" w:hAnsi="宋体"/>
          <w:b/>
          <w:kern w:val="44"/>
        </w:rPr>
        <w:t>第七条</w:t>
      </w:r>
      <w:r>
        <w:rPr>
          <w:rFonts w:hint="eastAsia" w:ascii="宋体" w:hAnsi="宋体"/>
          <w:kern w:val="44"/>
        </w:rPr>
        <w:t>　林检机构应当依据国务院有关部门公布的检疫性、危险性林业有害生物名单和市园林绿化部门公布的补充检疫性、危险性林业有害生物名单开展林业植物检疫工作，检查林业植物及其产品是否带有林业有害生物。</w:t>
      </w:r>
    </w:p>
    <w:p w14:paraId="5ECFE9D7">
      <w:pPr>
        <w:ind w:firstLine="422"/>
        <w:jc w:val="left"/>
        <w:rPr>
          <w:rFonts w:ascii="宋体" w:hAnsi="宋体"/>
          <w:kern w:val="44"/>
        </w:rPr>
      </w:pPr>
      <w:r>
        <w:rPr>
          <w:rFonts w:hint="eastAsia" w:ascii="宋体" w:hAnsi="宋体"/>
          <w:b/>
          <w:kern w:val="44"/>
        </w:rPr>
        <w:t>第八条</w:t>
      </w:r>
      <w:r>
        <w:rPr>
          <w:rFonts w:hint="eastAsia" w:ascii="宋体" w:hAnsi="宋体"/>
          <w:kern w:val="44"/>
        </w:rPr>
        <w:t>　单位和个人发现林业有害生物的，应当立即向所在地林检机构报告。接到报告的林检机构应当迅速组织专业技术人员进行检验鉴定，确定是否属于疫情。</w:t>
      </w:r>
    </w:p>
    <w:p w14:paraId="1C3A6010">
      <w:pPr>
        <w:jc w:val="left"/>
        <w:rPr>
          <w:rFonts w:ascii="宋体" w:hAnsi="宋体"/>
          <w:kern w:val="44"/>
        </w:rPr>
      </w:pPr>
      <w:r>
        <w:rPr>
          <w:rFonts w:hint="eastAsia" w:ascii="宋体" w:hAnsi="宋体"/>
          <w:kern w:val="44"/>
        </w:rPr>
        <w:t>属于本市新发现的检疫性、危险性林业有害生物的，林检机构应当按规定向市园林绿化部门报告，并采取封锁、扑灭或者控制措施。</w:t>
      </w:r>
    </w:p>
    <w:p w14:paraId="09F0C472">
      <w:pPr>
        <w:ind w:firstLine="422"/>
        <w:jc w:val="left"/>
        <w:rPr>
          <w:rFonts w:ascii="宋体" w:hAnsi="宋体"/>
          <w:kern w:val="44"/>
        </w:rPr>
      </w:pPr>
      <w:r>
        <w:rPr>
          <w:rFonts w:hint="eastAsia" w:ascii="宋体" w:hAnsi="宋体"/>
          <w:b/>
          <w:kern w:val="44"/>
        </w:rPr>
        <w:t>第九条</w:t>
      </w:r>
      <w:r>
        <w:rPr>
          <w:rFonts w:hint="eastAsia" w:ascii="宋体" w:hAnsi="宋体"/>
          <w:kern w:val="44"/>
        </w:rPr>
        <w:t>　本市局部地区发生林业检疫性有害生物的，应当按规定划定疫区和保护区。疫区、保护区的划定、变更和撤销，由市园林绿化部门提出，报市人民政府批准，并报国务院林业主管部门备案。</w:t>
      </w:r>
    </w:p>
    <w:p w14:paraId="394F130A">
      <w:pPr>
        <w:jc w:val="left"/>
        <w:rPr>
          <w:rFonts w:ascii="宋体" w:hAnsi="宋体"/>
          <w:kern w:val="44"/>
        </w:rPr>
      </w:pPr>
      <w:r>
        <w:rPr>
          <w:rFonts w:hint="eastAsia" w:ascii="宋体" w:hAnsi="宋体"/>
          <w:kern w:val="44"/>
        </w:rPr>
        <w:t>市园林绿化部门和区（县）林业行政部门应当制定并落实突发林业有害生物应急预案。</w:t>
      </w:r>
    </w:p>
    <w:p w14:paraId="5B4D8FA4">
      <w:pPr>
        <w:ind w:firstLine="422"/>
        <w:jc w:val="left"/>
        <w:rPr>
          <w:rFonts w:ascii="宋体" w:hAnsi="宋体"/>
          <w:kern w:val="44"/>
        </w:rPr>
      </w:pPr>
      <w:r>
        <w:rPr>
          <w:rFonts w:hint="eastAsia" w:ascii="宋体" w:hAnsi="宋体"/>
          <w:b/>
          <w:kern w:val="44"/>
        </w:rPr>
        <w:t>第十条</w:t>
      </w:r>
      <w:r>
        <w:rPr>
          <w:rFonts w:hint="eastAsia" w:ascii="宋体" w:hAnsi="宋体"/>
          <w:kern w:val="44"/>
        </w:rPr>
        <w:t>　市园林绿化部门应当加强林业有害生物调查工作，每年组织开展重点林业有害生物调查，按照国家规定组织开展普查。</w:t>
      </w:r>
    </w:p>
    <w:p w14:paraId="4209AE4B">
      <w:pPr>
        <w:jc w:val="left"/>
        <w:rPr>
          <w:rFonts w:ascii="宋体" w:hAnsi="宋体"/>
          <w:kern w:val="44"/>
        </w:rPr>
      </w:pPr>
      <w:r>
        <w:rPr>
          <w:rFonts w:hint="eastAsia" w:ascii="宋体" w:hAnsi="宋体"/>
          <w:kern w:val="44"/>
        </w:rPr>
        <w:t>市和区（县）林检机构应当建立林业植物检疫档案，编制检疫性、危险性林业有害生物分布资料和封锁、除治方案，并报上一级林检机构备案。</w:t>
      </w:r>
    </w:p>
    <w:p w14:paraId="26B4CC1F">
      <w:pPr>
        <w:ind w:firstLine="422"/>
        <w:jc w:val="left"/>
        <w:rPr>
          <w:rFonts w:ascii="宋体" w:hAnsi="宋体"/>
          <w:kern w:val="44"/>
        </w:rPr>
      </w:pPr>
      <w:r>
        <w:rPr>
          <w:rFonts w:hint="eastAsia" w:ascii="宋体" w:hAnsi="宋体"/>
          <w:b/>
          <w:kern w:val="44"/>
        </w:rPr>
        <w:t>第十一条</w:t>
      </w:r>
      <w:r>
        <w:rPr>
          <w:rFonts w:hint="eastAsia" w:ascii="宋体" w:hAnsi="宋体"/>
          <w:kern w:val="44"/>
        </w:rPr>
        <w:t>　林业植物种苗繁育基地、母树林、花圃、果园的生产经营者，应当在生产期间或者调运之前向当地林检机构申请产地检疫。</w:t>
      </w:r>
    </w:p>
    <w:p w14:paraId="0C441F11">
      <w:pPr>
        <w:jc w:val="left"/>
        <w:rPr>
          <w:rFonts w:ascii="宋体" w:hAnsi="宋体"/>
          <w:kern w:val="44"/>
        </w:rPr>
      </w:pPr>
      <w:r>
        <w:rPr>
          <w:rFonts w:hint="eastAsia" w:ascii="宋体" w:hAnsi="宋体"/>
          <w:kern w:val="44"/>
        </w:rPr>
        <w:t>林检机构应当加强对下列场所的植物检疫工作：</w:t>
      </w:r>
    </w:p>
    <w:p w14:paraId="0F683DA4">
      <w:pPr>
        <w:jc w:val="left"/>
        <w:rPr>
          <w:rFonts w:ascii="宋体" w:hAnsi="宋体"/>
          <w:kern w:val="44"/>
        </w:rPr>
      </w:pPr>
      <w:r>
        <w:rPr>
          <w:rFonts w:hint="eastAsia" w:ascii="宋体" w:hAnsi="宋体"/>
          <w:kern w:val="44"/>
        </w:rPr>
        <w:t>（一）木材加工、贮存或者转运场所；</w:t>
      </w:r>
    </w:p>
    <w:p w14:paraId="609BD930">
      <w:pPr>
        <w:jc w:val="left"/>
        <w:rPr>
          <w:rFonts w:ascii="宋体" w:hAnsi="宋体"/>
          <w:kern w:val="44"/>
        </w:rPr>
      </w:pPr>
      <w:r>
        <w:rPr>
          <w:rFonts w:hint="eastAsia" w:ascii="宋体" w:hAnsi="宋体"/>
          <w:kern w:val="44"/>
        </w:rPr>
        <w:t>（二）果品贮存、转运场所；</w:t>
      </w:r>
    </w:p>
    <w:p w14:paraId="5E43A0CD">
      <w:pPr>
        <w:jc w:val="left"/>
        <w:rPr>
          <w:rFonts w:ascii="宋体" w:hAnsi="宋体"/>
          <w:kern w:val="44"/>
        </w:rPr>
      </w:pPr>
      <w:r>
        <w:rPr>
          <w:rFonts w:hint="eastAsia" w:ascii="宋体" w:hAnsi="宋体"/>
          <w:kern w:val="44"/>
        </w:rPr>
        <w:t>（三）苗木、花卉集散地。</w:t>
      </w:r>
    </w:p>
    <w:p w14:paraId="4C47EFE3">
      <w:pPr>
        <w:jc w:val="left"/>
        <w:rPr>
          <w:rFonts w:ascii="宋体" w:hAnsi="宋体"/>
          <w:kern w:val="44"/>
        </w:rPr>
      </w:pPr>
      <w:r>
        <w:rPr>
          <w:rFonts w:hint="eastAsia" w:ascii="宋体" w:hAnsi="宋体"/>
          <w:kern w:val="44"/>
        </w:rPr>
        <w:t>对检疫合格的，由检疫员签发《产地检疫合格证》；对检疫不合格的，签发《检疫处理通知单》。</w:t>
      </w:r>
    </w:p>
    <w:p w14:paraId="25B89B5F">
      <w:pPr>
        <w:ind w:firstLine="422"/>
        <w:jc w:val="left"/>
        <w:rPr>
          <w:rFonts w:ascii="宋体" w:hAnsi="宋体"/>
          <w:kern w:val="44"/>
        </w:rPr>
      </w:pPr>
      <w:r>
        <w:rPr>
          <w:rFonts w:hint="eastAsia" w:ascii="宋体" w:hAnsi="宋体"/>
          <w:b/>
          <w:kern w:val="44"/>
        </w:rPr>
        <w:t>第十二条</w:t>
      </w:r>
      <w:r>
        <w:rPr>
          <w:rFonts w:hint="eastAsia" w:ascii="宋体" w:hAnsi="宋体"/>
          <w:kern w:val="44"/>
        </w:rPr>
        <w:t>　调运林业植物种子、苗木和其他繁殖材料或者从发生疫情的地区调运应施检疫的林业植物及其产品的，调运人应当按照下列规定办理检疫手续：</w:t>
      </w:r>
    </w:p>
    <w:p w14:paraId="05A46008">
      <w:pPr>
        <w:jc w:val="left"/>
        <w:rPr>
          <w:rFonts w:ascii="宋体" w:hAnsi="宋体"/>
          <w:kern w:val="44"/>
        </w:rPr>
      </w:pPr>
      <w:r>
        <w:rPr>
          <w:rFonts w:hint="eastAsia" w:ascii="宋体" w:hAnsi="宋体"/>
          <w:kern w:val="44"/>
        </w:rPr>
        <w:t>（一）拟调入本市的，应当事先向市林检机构或者其委托的区（县）林检机构提出申请，由其向调出地林检机构开具《森林植物检疫要求书》；调运人取得调出地林检机构签发的《植物检疫证书（出省）》后，方准调入。</w:t>
      </w:r>
    </w:p>
    <w:p w14:paraId="49F3C260">
      <w:pPr>
        <w:jc w:val="left"/>
        <w:rPr>
          <w:rFonts w:ascii="宋体" w:hAnsi="宋体"/>
          <w:kern w:val="44"/>
        </w:rPr>
      </w:pPr>
      <w:r>
        <w:rPr>
          <w:rFonts w:hint="eastAsia" w:ascii="宋体" w:hAnsi="宋体"/>
          <w:kern w:val="44"/>
        </w:rPr>
        <w:t>（二）拟调出本市的，应当持调入地林检机构出具的《森林植物检疫要求书》向市林检机构或者其委托的区（县）林检机构报检；经检疫合格，取得《植物检疫证书（出省）》后，方准调出。</w:t>
      </w:r>
    </w:p>
    <w:p w14:paraId="0C613BCC">
      <w:pPr>
        <w:jc w:val="left"/>
        <w:rPr>
          <w:rFonts w:ascii="宋体" w:hAnsi="宋体"/>
          <w:kern w:val="44"/>
        </w:rPr>
      </w:pPr>
      <w:r>
        <w:rPr>
          <w:rFonts w:hint="eastAsia" w:ascii="宋体" w:hAnsi="宋体"/>
          <w:kern w:val="44"/>
        </w:rPr>
        <w:t>在本市跨区（县）调运林业植物种子、苗木和其他繁殖材料的，应当凭《产地检疫合格证》调运。</w:t>
      </w:r>
    </w:p>
    <w:p w14:paraId="0B0E37B1">
      <w:pPr>
        <w:ind w:firstLine="422"/>
        <w:jc w:val="left"/>
        <w:rPr>
          <w:rFonts w:ascii="宋体" w:hAnsi="宋体"/>
          <w:kern w:val="44"/>
        </w:rPr>
      </w:pPr>
      <w:r>
        <w:rPr>
          <w:rFonts w:hint="eastAsia" w:ascii="宋体" w:hAnsi="宋体"/>
          <w:b/>
          <w:kern w:val="44"/>
        </w:rPr>
        <w:t>第十三条</w:t>
      </w:r>
      <w:r>
        <w:rPr>
          <w:rFonts w:hint="eastAsia" w:ascii="宋体" w:hAnsi="宋体"/>
          <w:kern w:val="44"/>
        </w:rPr>
        <w:t>　运输、邮寄应施检疫的林业植物及其产品时，应当凭《植物检疫证书》办理托运手续；其中，在本市跨区（县）运输、邮寄林业植物种子、苗木和其他繁殖材料的，应当凭《产地检疫合格证》办理托运手续。</w:t>
      </w:r>
    </w:p>
    <w:p w14:paraId="59787324">
      <w:pPr>
        <w:jc w:val="left"/>
        <w:rPr>
          <w:rFonts w:ascii="宋体" w:hAnsi="宋体"/>
          <w:kern w:val="44"/>
        </w:rPr>
      </w:pPr>
      <w:r>
        <w:rPr>
          <w:rFonts w:hint="eastAsia" w:ascii="宋体" w:hAnsi="宋体"/>
          <w:kern w:val="44"/>
        </w:rPr>
        <w:t>托运物品有下列情形之一的，承运人不得办理托运；发现相关物品的，应当及时通知当地林检机构，不得擅自承运：</w:t>
      </w:r>
    </w:p>
    <w:p w14:paraId="45CEFD9E">
      <w:pPr>
        <w:jc w:val="left"/>
        <w:rPr>
          <w:rFonts w:ascii="宋体" w:hAnsi="宋体"/>
          <w:kern w:val="44"/>
        </w:rPr>
      </w:pPr>
      <w:r>
        <w:rPr>
          <w:rFonts w:hint="eastAsia" w:ascii="宋体" w:hAnsi="宋体"/>
          <w:kern w:val="44"/>
        </w:rPr>
        <w:t>（一）未按规定取得《植物检疫证书》或者《产地检疫合格证》的，或者所持证书超过有效期的；</w:t>
      </w:r>
    </w:p>
    <w:p w14:paraId="72C821A2">
      <w:pPr>
        <w:jc w:val="left"/>
        <w:rPr>
          <w:rFonts w:ascii="宋体" w:hAnsi="宋体"/>
          <w:kern w:val="44"/>
        </w:rPr>
      </w:pPr>
      <w:r>
        <w:rPr>
          <w:rFonts w:hint="eastAsia" w:ascii="宋体" w:hAnsi="宋体"/>
          <w:kern w:val="44"/>
        </w:rPr>
        <w:t>（二）相关林业植物及其产品的种类、名称或者数量与证书记载内容不符的。</w:t>
      </w:r>
    </w:p>
    <w:p w14:paraId="29AB5632">
      <w:pPr>
        <w:ind w:firstLine="422"/>
        <w:jc w:val="left"/>
        <w:rPr>
          <w:rFonts w:ascii="宋体" w:hAnsi="宋体"/>
          <w:kern w:val="44"/>
        </w:rPr>
      </w:pPr>
      <w:r>
        <w:rPr>
          <w:rFonts w:hint="eastAsia" w:ascii="宋体" w:hAnsi="宋体"/>
          <w:b/>
          <w:kern w:val="44"/>
        </w:rPr>
        <w:t>第十四条</w:t>
      </w:r>
      <w:r>
        <w:rPr>
          <w:rFonts w:hint="eastAsia" w:ascii="宋体" w:hAnsi="宋体"/>
          <w:kern w:val="44"/>
        </w:rPr>
        <w:t>　使用单位应当对用于承载、包装、铺垫、支撑、加固货物的木质材料进行妥善保管，发现可能带有林业有害生物的，应当及时向当地林检机构报告，并采取控制措施，防止其扩散蔓延。</w:t>
      </w:r>
    </w:p>
    <w:p w14:paraId="3D000579">
      <w:pPr>
        <w:ind w:firstLine="422"/>
        <w:jc w:val="left"/>
        <w:rPr>
          <w:rFonts w:ascii="宋体" w:hAnsi="宋体"/>
          <w:kern w:val="44"/>
        </w:rPr>
      </w:pPr>
      <w:r>
        <w:rPr>
          <w:rFonts w:hint="eastAsia" w:ascii="宋体" w:hAnsi="宋体"/>
          <w:b/>
          <w:kern w:val="44"/>
        </w:rPr>
        <w:t>第十五条</w:t>
      </w:r>
      <w:r>
        <w:rPr>
          <w:rFonts w:hint="eastAsia" w:ascii="宋体" w:hAnsi="宋体"/>
          <w:kern w:val="44"/>
        </w:rPr>
        <w:t>　经批准从境外引进林业植物种子、苗木和其他繁殖材料在本市种植的，引进单位或者个人应当取得出入境检验检疫机构发放的准予入境证明，并按照市林检机构的要求在指定时间、地点进行隔离试种。</w:t>
      </w:r>
    </w:p>
    <w:p w14:paraId="6AFA6A7C">
      <w:pPr>
        <w:jc w:val="left"/>
        <w:rPr>
          <w:rFonts w:ascii="宋体" w:hAnsi="宋体"/>
          <w:kern w:val="44"/>
        </w:rPr>
      </w:pPr>
      <w:r>
        <w:rPr>
          <w:rFonts w:hint="eastAsia" w:ascii="宋体" w:hAnsi="宋体"/>
          <w:kern w:val="44"/>
        </w:rPr>
        <w:t>引进单位或者个人应当自引进的林业植物种子、苗木和其他繁殖材料进入本市之日起7日内，告知市林检机构。</w:t>
      </w:r>
    </w:p>
    <w:p w14:paraId="491A9A6F">
      <w:pPr>
        <w:jc w:val="left"/>
        <w:rPr>
          <w:rFonts w:ascii="宋体" w:hAnsi="宋体"/>
          <w:kern w:val="44"/>
        </w:rPr>
      </w:pPr>
      <w:r>
        <w:rPr>
          <w:rFonts w:hint="eastAsia" w:ascii="宋体" w:hAnsi="宋体"/>
          <w:kern w:val="44"/>
        </w:rPr>
        <w:t>市林检机构应当与出入境检验检疫机构加强联系，及时互相通报经批准从境外引进林业植物种子、苗木和其他繁殖材料在本市种植的情况和林业植物检疫工作动态情况，共同做好引种后的监督管理。</w:t>
      </w:r>
    </w:p>
    <w:p w14:paraId="2EB833B3">
      <w:pPr>
        <w:ind w:firstLine="422"/>
        <w:jc w:val="left"/>
        <w:rPr>
          <w:rFonts w:ascii="宋体" w:hAnsi="宋体"/>
          <w:kern w:val="44"/>
        </w:rPr>
      </w:pPr>
      <w:r>
        <w:rPr>
          <w:rFonts w:hint="eastAsia" w:ascii="宋体" w:hAnsi="宋体"/>
          <w:b/>
          <w:kern w:val="44"/>
        </w:rPr>
        <w:t>第十六条</w:t>
      </w:r>
      <w:r>
        <w:rPr>
          <w:rFonts w:hint="eastAsia" w:ascii="宋体" w:hAnsi="宋体"/>
          <w:kern w:val="44"/>
        </w:rPr>
        <w:t>　禁止在非疫情发生区使用或者饲养活体检疫性、危险性林业有害生物。因教学、科研确需使用或者饲养活体检疫性、危险性林业有害生物的单位，应当在使用或者饲养前，报市园林绿化部门，由其进行审批或者按照规定报国务院林业主管部门审批；经批准后，方可开展教学、科研活动。</w:t>
      </w:r>
    </w:p>
    <w:p w14:paraId="442CF371">
      <w:pPr>
        <w:jc w:val="left"/>
        <w:rPr>
          <w:rFonts w:ascii="宋体" w:hAnsi="宋体"/>
          <w:kern w:val="44"/>
        </w:rPr>
      </w:pPr>
      <w:r>
        <w:rPr>
          <w:rFonts w:hint="eastAsia" w:ascii="宋体" w:hAnsi="宋体"/>
          <w:kern w:val="44"/>
        </w:rPr>
        <w:t>在非疫情发生区使用或者饲养活体检疫性、危险性林业有害生物的，相关教学、科研单位应当制定并落实防治预案，防止检疫性、危险性林业有害生物逃逸、扩散蔓延，并严格按照批准的试验时间、试验场所、试验种类和数量开展教学、科研活动。</w:t>
      </w:r>
    </w:p>
    <w:p w14:paraId="73899CA2">
      <w:pPr>
        <w:ind w:firstLine="422"/>
        <w:jc w:val="left"/>
        <w:rPr>
          <w:rFonts w:ascii="宋体" w:hAnsi="宋体"/>
          <w:kern w:val="44"/>
        </w:rPr>
      </w:pPr>
      <w:r>
        <w:rPr>
          <w:rFonts w:hint="eastAsia" w:ascii="宋体" w:hAnsi="宋体"/>
          <w:b/>
          <w:kern w:val="44"/>
        </w:rPr>
        <w:t>第十七条</w:t>
      </w:r>
      <w:r>
        <w:rPr>
          <w:rFonts w:hint="eastAsia" w:ascii="宋体" w:hAnsi="宋体"/>
          <w:kern w:val="44"/>
        </w:rPr>
        <w:t>　林检机构检查过程中发现林业植物或其产品、相关运载工具以及存放场所被检疫性、危险性林业有害生物污染的，应当签发《检疫处理通知单》，责令并监督当事人进行处理。</w:t>
      </w:r>
    </w:p>
    <w:p w14:paraId="62843603">
      <w:pPr>
        <w:jc w:val="left"/>
        <w:rPr>
          <w:rFonts w:ascii="宋体" w:hAnsi="宋体"/>
          <w:kern w:val="44"/>
        </w:rPr>
      </w:pPr>
      <w:r>
        <w:rPr>
          <w:rFonts w:hint="eastAsia" w:ascii="宋体" w:hAnsi="宋体"/>
          <w:kern w:val="44"/>
        </w:rPr>
        <w:t>当事人应当按照《检疫处理通知单》的要求在指定时间、指定地点进行除害处理；难以除害处理的，应当按照规定停止调运、改变用途或者就地销毁。</w:t>
      </w:r>
    </w:p>
    <w:p w14:paraId="3C378988">
      <w:pPr>
        <w:ind w:firstLine="422"/>
        <w:jc w:val="left"/>
        <w:rPr>
          <w:rFonts w:ascii="宋体" w:hAnsi="宋体"/>
          <w:kern w:val="44"/>
        </w:rPr>
      </w:pPr>
      <w:r>
        <w:rPr>
          <w:rFonts w:hint="eastAsia" w:ascii="宋体" w:hAnsi="宋体"/>
          <w:b/>
          <w:kern w:val="44"/>
        </w:rPr>
        <w:t>第十八条</w:t>
      </w:r>
      <w:r>
        <w:rPr>
          <w:rFonts w:hint="eastAsia" w:ascii="宋体" w:hAnsi="宋体"/>
          <w:kern w:val="44"/>
        </w:rPr>
        <w:t>　本市实施林业植物检疫行政许可不收费。开展林业植物检疫方面的行政许可、检疫执法、疫情监测调查、林业有害生物普查和疫情紧急除治等活动所需费用，纳入同级财政预算。</w:t>
      </w:r>
    </w:p>
    <w:p w14:paraId="5D1D2F4E">
      <w:pPr>
        <w:ind w:firstLine="422"/>
        <w:jc w:val="left"/>
        <w:rPr>
          <w:rFonts w:ascii="宋体" w:hAnsi="宋体"/>
          <w:kern w:val="44"/>
        </w:rPr>
      </w:pPr>
      <w:r>
        <w:rPr>
          <w:rFonts w:hint="eastAsia" w:ascii="宋体" w:hAnsi="宋体"/>
          <w:b/>
          <w:kern w:val="44"/>
        </w:rPr>
        <w:t>第十九条</w:t>
      </w:r>
      <w:r>
        <w:rPr>
          <w:rFonts w:hint="eastAsia" w:ascii="宋体" w:hAnsi="宋体"/>
          <w:kern w:val="44"/>
        </w:rPr>
        <w:t>　市园林绿化部门应当将本市林业植物检疫行政许可的申请条件和办理情况、国家公布的林业植物检疫疫情以及疫区划定等情况及时向社会公开，便于公众查询和知晓。</w:t>
      </w:r>
    </w:p>
    <w:p w14:paraId="21A4E255">
      <w:pPr>
        <w:ind w:firstLine="422"/>
        <w:jc w:val="left"/>
        <w:rPr>
          <w:rFonts w:ascii="宋体" w:hAnsi="宋体"/>
          <w:kern w:val="44"/>
        </w:rPr>
      </w:pPr>
      <w:r>
        <w:rPr>
          <w:rFonts w:hint="eastAsia" w:ascii="宋体" w:hAnsi="宋体"/>
          <w:b/>
          <w:kern w:val="44"/>
        </w:rPr>
        <w:t>第二十条</w:t>
      </w:r>
      <w:r>
        <w:rPr>
          <w:rFonts w:hint="eastAsia" w:ascii="宋体" w:hAnsi="宋体"/>
          <w:kern w:val="44"/>
        </w:rPr>
        <w:t>　市园林绿化部门和区（县）林业行政部门及其林检机构应当加强林业植物检疫的宣传工作，普及检疫知识，提高全社会的生态环境保护意识。</w:t>
      </w:r>
    </w:p>
    <w:p w14:paraId="6ECFC65A">
      <w:pPr>
        <w:ind w:firstLine="422"/>
        <w:jc w:val="left"/>
        <w:rPr>
          <w:rFonts w:ascii="宋体" w:hAnsi="宋体"/>
          <w:kern w:val="44"/>
        </w:rPr>
      </w:pPr>
      <w:r>
        <w:rPr>
          <w:rFonts w:hint="eastAsia" w:ascii="宋体" w:hAnsi="宋体"/>
          <w:b/>
          <w:kern w:val="44"/>
        </w:rPr>
        <w:t>第二十一条</w:t>
      </w:r>
      <w:r>
        <w:rPr>
          <w:rFonts w:hint="eastAsia" w:ascii="宋体" w:hAnsi="宋体"/>
          <w:kern w:val="44"/>
        </w:rPr>
        <w:t>　市园林绿化部门和区（县）林业行政部门应当开展法律知识和专业技术培训，提高检疫人员的执法能力和专业技术水平。</w:t>
      </w:r>
    </w:p>
    <w:p w14:paraId="37ACB527">
      <w:pPr>
        <w:ind w:firstLine="422"/>
        <w:jc w:val="left"/>
        <w:rPr>
          <w:rFonts w:ascii="宋体" w:hAnsi="宋体"/>
          <w:kern w:val="44"/>
        </w:rPr>
      </w:pPr>
      <w:r>
        <w:rPr>
          <w:rFonts w:hint="eastAsia" w:ascii="宋体" w:hAnsi="宋体"/>
          <w:b/>
          <w:kern w:val="44"/>
        </w:rPr>
        <w:t>第二十二条</w:t>
      </w:r>
      <w:r>
        <w:rPr>
          <w:rFonts w:hint="eastAsia" w:ascii="宋体" w:hAnsi="宋体"/>
          <w:kern w:val="44"/>
        </w:rPr>
        <w:t>　违反本办法第十一条第一款、第十二条、第十三条第一款规定，调运人有下列行为之一的，由林检机构责令改正，可以并处500元以上2000元以下罚款：</w:t>
      </w:r>
    </w:p>
    <w:p w14:paraId="694801F8">
      <w:pPr>
        <w:jc w:val="left"/>
        <w:rPr>
          <w:rFonts w:ascii="宋体" w:hAnsi="宋体"/>
          <w:kern w:val="44"/>
        </w:rPr>
      </w:pPr>
      <w:r>
        <w:rPr>
          <w:rFonts w:hint="eastAsia" w:ascii="宋体" w:hAnsi="宋体"/>
          <w:kern w:val="44"/>
        </w:rPr>
        <w:t>（一）应施检疫的林业植物及其产品未办理《产地检疫合格证》或者《植物检疫证书》的；</w:t>
      </w:r>
    </w:p>
    <w:p w14:paraId="057F5B99">
      <w:pPr>
        <w:jc w:val="left"/>
        <w:rPr>
          <w:rFonts w:ascii="宋体" w:hAnsi="宋体"/>
          <w:kern w:val="44"/>
        </w:rPr>
      </w:pPr>
      <w:r>
        <w:rPr>
          <w:rFonts w:hint="eastAsia" w:ascii="宋体" w:hAnsi="宋体"/>
          <w:kern w:val="44"/>
        </w:rPr>
        <w:t>（二）在报检过程中不如实报检，谎报或者瞒报林业植物及其产品种类、名称、数量的；</w:t>
      </w:r>
    </w:p>
    <w:p w14:paraId="49EABCA7">
      <w:pPr>
        <w:jc w:val="left"/>
        <w:rPr>
          <w:rFonts w:ascii="宋体" w:hAnsi="宋体"/>
          <w:kern w:val="44"/>
        </w:rPr>
      </w:pPr>
      <w:r>
        <w:rPr>
          <w:rFonts w:hint="eastAsia" w:ascii="宋体" w:hAnsi="宋体"/>
          <w:kern w:val="44"/>
        </w:rPr>
        <w:t>（三）擅自开拆检讫的林业植物及其产品封识、包装，调换植物或其产品，或者擅自改变植物或其产品规定用途的；</w:t>
      </w:r>
    </w:p>
    <w:p w14:paraId="0D186A35">
      <w:pPr>
        <w:jc w:val="left"/>
        <w:rPr>
          <w:rFonts w:ascii="宋体" w:hAnsi="宋体"/>
          <w:kern w:val="44"/>
        </w:rPr>
      </w:pPr>
      <w:r>
        <w:rPr>
          <w:rFonts w:hint="eastAsia" w:ascii="宋体" w:hAnsi="宋体"/>
          <w:kern w:val="44"/>
        </w:rPr>
        <w:t>（四）伪造、变造、买卖、转让、骗取林业植物检疫单证、印章、标志、封识的。</w:t>
      </w:r>
    </w:p>
    <w:p w14:paraId="040F5829">
      <w:pPr>
        <w:jc w:val="left"/>
        <w:rPr>
          <w:rFonts w:ascii="宋体" w:hAnsi="宋体"/>
          <w:kern w:val="44"/>
        </w:rPr>
      </w:pPr>
      <w:r>
        <w:rPr>
          <w:rFonts w:hint="eastAsia" w:ascii="宋体" w:hAnsi="宋体"/>
          <w:kern w:val="44"/>
        </w:rPr>
        <w:t>承运人违反本办法第十三条第二款规定，擅自承运不具有《植物检疫证书》或者《产地检疫合格证》的应施检疫林业植物及其产品的、所持证件与承运货物不相符或者所持证件超过有效期的，由林检机构责令补检，可以对相关承运人并处200元以上500元以下罚款。</w:t>
      </w:r>
    </w:p>
    <w:p w14:paraId="2F016478">
      <w:pPr>
        <w:ind w:firstLine="422"/>
        <w:jc w:val="left"/>
        <w:rPr>
          <w:rFonts w:ascii="宋体" w:hAnsi="宋体"/>
          <w:kern w:val="44"/>
        </w:rPr>
      </w:pPr>
      <w:r>
        <w:rPr>
          <w:rFonts w:hint="eastAsia" w:ascii="宋体" w:hAnsi="宋体"/>
          <w:b/>
          <w:kern w:val="44"/>
        </w:rPr>
        <w:t>第二十三条</w:t>
      </w:r>
      <w:r>
        <w:rPr>
          <w:rFonts w:hint="eastAsia" w:ascii="宋体" w:hAnsi="宋体"/>
          <w:kern w:val="44"/>
        </w:rPr>
        <w:t>　违反本办法第十五条第一款规定，擅自从境外引种或者未按照检疫要求隔离试种的，由市林检机构责令改正，并处2000元罚款。</w:t>
      </w:r>
    </w:p>
    <w:p w14:paraId="466A27A3">
      <w:pPr>
        <w:jc w:val="left"/>
        <w:rPr>
          <w:rFonts w:ascii="宋体" w:hAnsi="宋体"/>
          <w:kern w:val="44"/>
        </w:rPr>
      </w:pPr>
      <w:r>
        <w:rPr>
          <w:rFonts w:hint="eastAsia" w:ascii="宋体" w:hAnsi="宋体"/>
          <w:kern w:val="44"/>
        </w:rPr>
        <w:t>违反本办法第十五条第二款规定，引进林业植物种子、苗木和其他繁殖材料后未及时告知的，由市林检机构给予警告，可以并处1000元罚款。</w:t>
      </w:r>
    </w:p>
    <w:p w14:paraId="2C59C0EE">
      <w:pPr>
        <w:ind w:firstLine="422"/>
        <w:jc w:val="left"/>
        <w:rPr>
          <w:rFonts w:ascii="宋体" w:hAnsi="宋体"/>
          <w:kern w:val="44"/>
        </w:rPr>
      </w:pPr>
      <w:r>
        <w:rPr>
          <w:rFonts w:hint="eastAsia" w:ascii="宋体" w:hAnsi="宋体"/>
          <w:b/>
          <w:kern w:val="44"/>
        </w:rPr>
        <w:t>第二十四条</w:t>
      </w:r>
      <w:r>
        <w:rPr>
          <w:rFonts w:hint="eastAsia" w:ascii="宋体" w:hAnsi="宋体"/>
          <w:kern w:val="44"/>
        </w:rPr>
        <w:t>　违反本办法第十六条第一款规定，擅自在非疫情发生区进行活体检疫性、危险性林业有害生物教学、科研的，由市林检机构责令改正，并处1万元罚款。</w:t>
      </w:r>
    </w:p>
    <w:p w14:paraId="7DC8165F">
      <w:pPr>
        <w:jc w:val="left"/>
        <w:rPr>
          <w:rFonts w:ascii="宋体" w:hAnsi="宋体"/>
          <w:kern w:val="44"/>
        </w:rPr>
      </w:pPr>
      <w:r>
        <w:rPr>
          <w:rFonts w:hint="eastAsia" w:ascii="宋体" w:hAnsi="宋体"/>
          <w:kern w:val="44"/>
        </w:rPr>
        <w:t>违反本办法第十六条第二款规定，开展教学、科研活动时，未制定防治预案或者未按照批准的试验时间、试验场所、试验种类和数量开展教学、科研活动的，由市林检机构责令改正，可以并处5000元以上3万元以下罚款；造成检疫性、危险性林业有害生物逃逸、扩散蔓延的，处3万元以上5万元以下罚款。</w:t>
      </w:r>
    </w:p>
    <w:p w14:paraId="748747F7">
      <w:pPr>
        <w:ind w:firstLine="422"/>
        <w:jc w:val="left"/>
        <w:rPr>
          <w:rFonts w:ascii="宋体" w:hAnsi="宋体"/>
          <w:kern w:val="44"/>
        </w:rPr>
      </w:pPr>
      <w:r>
        <w:rPr>
          <w:rFonts w:hint="eastAsia" w:ascii="宋体" w:hAnsi="宋体"/>
          <w:b/>
          <w:kern w:val="44"/>
        </w:rPr>
        <w:t>第二十五条</w:t>
      </w:r>
      <w:r>
        <w:rPr>
          <w:rFonts w:hint="eastAsia" w:ascii="宋体" w:hAnsi="宋体"/>
          <w:kern w:val="44"/>
        </w:rPr>
        <w:t>　违反本办法第十七条第二款规定，当事人未按照《检疫处理通知单》的要求对受污染的林业植物或其产品、相关运载工具或者存放场所进行处理的，由林检机构责令改正，可以并处500元以上5000元以下罚款。</w:t>
      </w:r>
    </w:p>
    <w:p w14:paraId="5F8909F7">
      <w:pPr>
        <w:ind w:firstLine="422"/>
        <w:jc w:val="left"/>
        <w:rPr>
          <w:rFonts w:ascii="宋体" w:hAnsi="宋体"/>
          <w:kern w:val="44"/>
        </w:rPr>
      </w:pPr>
      <w:r>
        <w:rPr>
          <w:rFonts w:hint="eastAsia" w:ascii="宋体" w:hAnsi="宋体"/>
          <w:b/>
          <w:kern w:val="44"/>
        </w:rPr>
        <w:t>第二十六条</w:t>
      </w:r>
      <w:r>
        <w:rPr>
          <w:rFonts w:hint="eastAsia" w:ascii="宋体" w:hAnsi="宋体"/>
          <w:kern w:val="44"/>
        </w:rPr>
        <w:t>　违反有关法律、法规和本办法的规定，造成重大林业植物疫情或者导致疫情扩散蔓延的，由市林检机构对相关当事人处5万元以上10万元以下罚款；造成经济损失的，依法负责赔偿；构成犯罪的，依法追究刑事责任。</w:t>
      </w:r>
    </w:p>
    <w:p w14:paraId="2CB24E52">
      <w:pPr>
        <w:ind w:firstLine="422"/>
        <w:jc w:val="left"/>
        <w:rPr>
          <w:rFonts w:ascii="宋体" w:hAnsi="宋体"/>
          <w:kern w:val="44"/>
        </w:rPr>
      </w:pPr>
      <w:r>
        <w:rPr>
          <w:rFonts w:hint="eastAsia" w:ascii="宋体" w:hAnsi="宋体"/>
          <w:b/>
          <w:kern w:val="44"/>
        </w:rPr>
        <w:t>第二十七条</w:t>
      </w:r>
      <w:r>
        <w:rPr>
          <w:rFonts w:hint="eastAsia" w:ascii="宋体" w:hAnsi="宋体"/>
          <w:kern w:val="44"/>
        </w:rPr>
        <w:t>　本办法自2008年6月1日起施行。1986年6月5日发布的《北京市林业植物检疫试行办法》同时废止。</w:t>
      </w:r>
    </w:p>
    <w:p w14:paraId="09B8392D">
      <w:pPr>
        <w:pStyle w:val="4"/>
        <w:pageBreakBefore/>
        <w:rPr>
          <w:kern w:val="44"/>
        </w:rPr>
      </w:pPr>
      <w:bookmarkStart w:id="1230" w:name="_Toc422471326"/>
      <w:bookmarkStart w:id="1231" w:name="_Toc427651600"/>
      <w:bookmarkStart w:id="1232" w:name="_Toc428780166"/>
      <w:bookmarkStart w:id="1233" w:name="_Toc427651942"/>
      <w:bookmarkStart w:id="1234" w:name="_Toc428781648"/>
      <w:r>
        <w:rPr>
          <w:rFonts w:hint="eastAsia"/>
          <w:kern w:val="44"/>
        </w:rPr>
        <w:t>北京市农业植物检疫办法</w:t>
      </w:r>
      <w:bookmarkEnd w:id="1230"/>
      <w:bookmarkEnd w:id="1231"/>
      <w:bookmarkEnd w:id="1232"/>
      <w:bookmarkEnd w:id="1233"/>
      <w:bookmarkEnd w:id="1234"/>
    </w:p>
    <w:p w14:paraId="44EF75BD">
      <w:pPr>
        <w:ind w:left="630" w:leftChars="300" w:right="630" w:rightChars="300"/>
        <w:jc w:val="left"/>
        <w:rPr>
          <w:rFonts w:ascii="楷体" w:hAnsi="楷体" w:eastAsia="楷体"/>
          <w:kern w:val="44"/>
        </w:rPr>
      </w:pPr>
      <w:r>
        <w:rPr>
          <w:rFonts w:hint="eastAsia" w:ascii="楷体" w:hAnsi="楷体" w:eastAsia="楷体"/>
          <w:kern w:val="44"/>
        </w:rPr>
        <w:t>（2013年4月11日北京市人民政府第6次常务会议审议通过  2013年4月26日北京市人民政府令第246号公布）</w:t>
      </w:r>
    </w:p>
    <w:p w14:paraId="14DB4031">
      <w:pPr>
        <w:jc w:val="left"/>
        <w:rPr>
          <w:rFonts w:ascii="宋体" w:hAnsi="宋体"/>
          <w:kern w:val="44"/>
        </w:rPr>
      </w:pPr>
    </w:p>
    <w:p w14:paraId="21E361BC">
      <w:pPr>
        <w:ind w:firstLine="422"/>
        <w:jc w:val="left"/>
        <w:rPr>
          <w:rFonts w:ascii="宋体" w:hAnsi="宋体"/>
          <w:kern w:val="44"/>
        </w:rPr>
      </w:pPr>
      <w:r>
        <w:rPr>
          <w:rFonts w:hint="eastAsia" w:ascii="宋体" w:hAnsi="宋体"/>
          <w:b/>
          <w:kern w:val="44"/>
        </w:rPr>
        <w:t>第一条</w:t>
      </w:r>
      <w:r>
        <w:rPr>
          <w:rFonts w:hint="eastAsia" w:ascii="宋体" w:hAnsi="宋体"/>
          <w:kern w:val="44"/>
        </w:rPr>
        <w:t>　为防止危害农业植物的危险性病、虫、杂草的传播蔓延，保障农业生产安全、生态安全和人民身体健康，根据《植物检疫条例》，结合本市实际情况，制定本办法。</w:t>
      </w:r>
    </w:p>
    <w:p w14:paraId="483429F0">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本市行政区域内农业植物检疫及其监督管理活动适用《植物检疫条例》和本办法。</w:t>
      </w:r>
    </w:p>
    <w:p w14:paraId="55DE0CFE">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市和区、县人民政府应当加强对农业植物检疫工作的领导，建立健全农业植物检疫队伍，加强农业植物检疫基础设施建设，将农业植物疫情监测、调查、控制、扑灭及其监督管理所需经费纳入同级财政预算。</w:t>
      </w:r>
    </w:p>
    <w:p w14:paraId="64D72A97">
      <w:pPr>
        <w:jc w:val="left"/>
        <w:rPr>
          <w:rFonts w:ascii="宋体" w:hAnsi="宋体"/>
          <w:kern w:val="44"/>
        </w:rPr>
      </w:pPr>
      <w:r>
        <w:rPr>
          <w:rFonts w:hint="eastAsia" w:ascii="宋体" w:hAnsi="宋体"/>
          <w:kern w:val="44"/>
        </w:rPr>
        <w:t>乡镇人民政府、街道办事处应当协助做好本辖区内农业植物疫情的控制和扑灭工作。</w:t>
      </w:r>
    </w:p>
    <w:p w14:paraId="671CE76E">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市和区、县农业行政部门主管本行政区域内农业植物检疫工作；市和区、县农业行政部门所属的农业植物检疫机构具体承担农业植物检疫工作。</w:t>
      </w:r>
    </w:p>
    <w:p w14:paraId="1C22CD83">
      <w:pPr>
        <w:jc w:val="left"/>
        <w:rPr>
          <w:rFonts w:ascii="宋体" w:hAnsi="宋体"/>
          <w:kern w:val="44"/>
        </w:rPr>
      </w:pPr>
      <w:r>
        <w:rPr>
          <w:rFonts w:hint="eastAsia" w:ascii="宋体" w:hAnsi="宋体"/>
          <w:kern w:val="44"/>
        </w:rPr>
        <w:t>园林绿化、工商行政管理、交通运输、邮政等有关部门和出入境检验检疫机构在各自职责范围内做好农业植物检疫的相关工作。</w:t>
      </w:r>
    </w:p>
    <w:p w14:paraId="4472034E">
      <w:pPr>
        <w:jc w:val="left"/>
        <w:rPr>
          <w:rFonts w:ascii="宋体" w:hAnsi="宋体"/>
          <w:kern w:val="44"/>
        </w:rPr>
      </w:pPr>
      <w:r>
        <w:rPr>
          <w:rFonts w:hint="eastAsia" w:ascii="宋体" w:hAnsi="宋体"/>
          <w:kern w:val="44"/>
        </w:rPr>
        <w:t>农业行政部门应当与园林绿化行政部门和出入境检验检疫机构建立健全工作沟通会商机制，定期交流工作情况，通报植物疫情信息，加强植物检疫工作方面的协作与配合。</w:t>
      </w:r>
    </w:p>
    <w:p w14:paraId="540FC442">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市和区、县农业行政部门及其农业植物检疫机构应当加强农业植物检疫知识的宣传和普及，提高全社会农业植物疫情风险防范意识和能力。</w:t>
      </w:r>
    </w:p>
    <w:p w14:paraId="533407EB">
      <w:pPr>
        <w:ind w:firstLine="422"/>
        <w:jc w:val="left"/>
        <w:rPr>
          <w:rFonts w:ascii="宋体" w:hAnsi="宋体"/>
          <w:kern w:val="44"/>
        </w:rPr>
      </w:pPr>
      <w:r>
        <w:rPr>
          <w:rFonts w:hint="eastAsia" w:ascii="宋体" w:hAnsi="宋体"/>
          <w:b/>
          <w:kern w:val="44"/>
        </w:rPr>
        <w:t>第六条</w:t>
      </w:r>
      <w:r>
        <w:rPr>
          <w:rFonts w:hint="eastAsia" w:ascii="宋体" w:hAnsi="宋体"/>
          <w:kern w:val="44"/>
        </w:rPr>
        <w:t>　农业植物检疫机构应当配备一定数量的专职农业植物检疫员，设立检疫检验实验室和必要的隔离种植场所，配备相应的农业植物检疫工作设备和除害处理设施，组织开展先进适用的农业植物检疫技术的研究和推广。</w:t>
      </w:r>
    </w:p>
    <w:p w14:paraId="2370BF77">
      <w:pPr>
        <w:jc w:val="left"/>
        <w:rPr>
          <w:rFonts w:ascii="宋体" w:hAnsi="宋体"/>
          <w:kern w:val="44"/>
        </w:rPr>
      </w:pPr>
      <w:r>
        <w:rPr>
          <w:rFonts w:hint="eastAsia" w:ascii="宋体" w:hAnsi="宋体"/>
          <w:kern w:val="44"/>
        </w:rPr>
        <w:t>根据工作需要，农业植物检疫机构可以按照规定聘请兼职检疫员协助开展农业植物检疫工作。</w:t>
      </w:r>
    </w:p>
    <w:p w14:paraId="217CE630">
      <w:pPr>
        <w:ind w:firstLine="422"/>
        <w:jc w:val="left"/>
        <w:rPr>
          <w:rFonts w:ascii="宋体" w:hAnsi="宋体"/>
          <w:kern w:val="44"/>
        </w:rPr>
      </w:pPr>
      <w:r>
        <w:rPr>
          <w:rFonts w:hint="eastAsia" w:ascii="宋体" w:hAnsi="宋体"/>
          <w:b/>
          <w:kern w:val="44"/>
        </w:rPr>
        <w:t>第七条</w:t>
      </w:r>
      <w:r>
        <w:rPr>
          <w:rFonts w:hint="eastAsia" w:ascii="宋体" w:hAnsi="宋体"/>
          <w:kern w:val="44"/>
        </w:rPr>
        <w:t>　农业植物检疫机构应当按照国务院农业行政部门公布的农业植物检疫性有害生物名单和应施检疫的植物及植物产品名单以及本市公布的补充名单实施检疫。</w:t>
      </w:r>
    </w:p>
    <w:p w14:paraId="63076A06">
      <w:pPr>
        <w:jc w:val="left"/>
        <w:rPr>
          <w:rFonts w:ascii="宋体" w:hAnsi="宋体"/>
          <w:kern w:val="44"/>
        </w:rPr>
      </w:pPr>
      <w:r>
        <w:rPr>
          <w:rFonts w:hint="eastAsia" w:ascii="宋体" w:hAnsi="宋体"/>
          <w:kern w:val="44"/>
        </w:rPr>
        <w:t>本市补充名单由市农业行政部门制定，报国务院农业行政部门备案。</w:t>
      </w:r>
    </w:p>
    <w:p w14:paraId="4D05CC06">
      <w:pPr>
        <w:ind w:firstLine="422"/>
        <w:jc w:val="left"/>
        <w:rPr>
          <w:rFonts w:ascii="宋体" w:hAnsi="宋体"/>
          <w:kern w:val="44"/>
        </w:rPr>
      </w:pPr>
      <w:r>
        <w:rPr>
          <w:rFonts w:hint="eastAsia" w:ascii="宋体" w:hAnsi="宋体"/>
          <w:b/>
          <w:kern w:val="44"/>
        </w:rPr>
        <w:t>第八条</w:t>
      </w:r>
      <w:r>
        <w:rPr>
          <w:rFonts w:hint="eastAsia" w:ascii="宋体" w:hAnsi="宋体"/>
          <w:kern w:val="44"/>
        </w:rPr>
        <w:t>　对于在本市繁育的，用于试验、示范或者推广的农作物种子、苗木和其他繁殖材料，繁育单位或者个人应当到繁育基地所在区、县农业植物检疫机构申请产地检疫；检疫合格的，核发产地检疫证明。</w:t>
      </w:r>
    </w:p>
    <w:p w14:paraId="1D5802BD">
      <w:pPr>
        <w:jc w:val="left"/>
        <w:rPr>
          <w:rFonts w:ascii="宋体" w:hAnsi="宋体"/>
          <w:kern w:val="44"/>
        </w:rPr>
      </w:pPr>
      <w:r>
        <w:rPr>
          <w:rFonts w:hint="eastAsia" w:ascii="宋体" w:hAnsi="宋体"/>
          <w:kern w:val="44"/>
        </w:rPr>
        <w:t>凭产地检疫证明，农作物种子、苗木和其他繁殖材料可以在本市行政区域内调运。</w:t>
      </w:r>
    </w:p>
    <w:p w14:paraId="3FC4FB96">
      <w:pPr>
        <w:ind w:firstLine="422"/>
        <w:jc w:val="left"/>
        <w:rPr>
          <w:rFonts w:ascii="宋体" w:hAnsi="宋体"/>
          <w:kern w:val="44"/>
        </w:rPr>
      </w:pPr>
      <w:r>
        <w:rPr>
          <w:rFonts w:hint="eastAsia" w:ascii="宋体" w:hAnsi="宋体"/>
          <w:b/>
          <w:kern w:val="44"/>
        </w:rPr>
        <w:t>第九条</w:t>
      </w:r>
      <w:r>
        <w:rPr>
          <w:rFonts w:hint="eastAsia" w:ascii="宋体" w:hAnsi="宋体"/>
          <w:kern w:val="44"/>
        </w:rPr>
        <w:t>　有下列情形之一的，调入单位或者个人调入的农业植物、植物产品应当经过检疫，并附具调运检疫证明：</w:t>
      </w:r>
    </w:p>
    <w:p w14:paraId="3826D4D6">
      <w:pPr>
        <w:jc w:val="left"/>
        <w:rPr>
          <w:rFonts w:ascii="宋体" w:hAnsi="宋体"/>
          <w:kern w:val="44"/>
        </w:rPr>
      </w:pPr>
      <w:r>
        <w:rPr>
          <w:rFonts w:hint="eastAsia" w:ascii="宋体" w:hAnsi="宋体"/>
          <w:kern w:val="44"/>
        </w:rPr>
        <w:t>（一）本办法第七条规定的应施检疫的农业植物、植物产品从疫情发生地调入本市的；</w:t>
      </w:r>
    </w:p>
    <w:p w14:paraId="157D9B68">
      <w:pPr>
        <w:jc w:val="left"/>
        <w:rPr>
          <w:rFonts w:ascii="宋体" w:hAnsi="宋体"/>
          <w:kern w:val="44"/>
        </w:rPr>
      </w:pPr>
      <w:r>
        <w:rPr>
          <w:rFonts w:hint="eastAsia" w:ascii="宋体" w:hAnsi="宋体"/>
          <w:kern w:val="44"/>
        </w:rPr>
        <w:t>（二）农作物种子、苗木和其他繁殖材料调入本市的。</w:t>
      </w:r>
    </w:p>
    <w:p w14:paraId="4EF04184">
      <w:pPr>
        <w:jc w:val="left"/>
        <w:rPr>
          <w:rFonts w:ascii="宋体" w:hAnsi="宋体"/>
          <w:kern w:val="44"/>
        </w:rPr>
      </w:pPr>
      <w:r>
        <w:rPr>
          <w:rFonts w:hint="eastAsia" w:ascii="宋体" w:hAnsi="宋体"/>
          <w:kern w:val="44"/>
        </w:rPr>
        <w:t>凭调运检疫证明，农业植物、植物产品可以在本市行政区域内调运。</w:t>
      </w:r>
    </w:p>
    <w:p w14:paraId="6345D008">
      <w:pPr>
        <w:ind w:firstLine="422"/>
        <w:jc w:val="left"/>
        <w:rPr>
          <w:rFonts w:ascii="宋体" w:hAnsi="宋体"/>
          <w:kern w:val="44"/>
        </w:rPr>
      </w:pPr>
      <w:r>
        <w:rPr>
          <w:rFonts w:hint="eastAsia" w:ascii="宋体" w:hAnsi="宋体"/>
          <w:b/>
          <w:kern w:val="44"/>
        </w:rPr>
        <w:t>第十条</w:t>
      </w:r>
      <w:r>
        <w:rPr>
          <w:rFonts w:hint="eastAsia" w:ascii="宋体" w:hAnsi="宋体"/>
          <w:kern w:val="44"/>
        </w:rPr>
        <w:t>　对调入的农业植物、植物产品，农业植物检疫机构应当查验其调运检疫证明；对来自疫情发生地的应施检疫的农业植物、植物产品，或者其他可能带有检疫性有害生物的应施检疫的农业植物、植物产品，可以进行复检。</w:t>
      </w:r>
    </w:p>
    <w:p w14:paraId="05802574">
      <w:pPr>
        <w:jc w:val="left"/>
        <w:rPr>
          <w:rFonts w:ascii="宋体" w:hAnsi="宋体"/>
          <w:kern w:val="44"/>
        </w:rPr>
      </w:pPr>
      <w:r>
        <w:rPr>
          <w:rFonts w:hint="eastAsia" w:ascii="宋体" w:hAnsi="宋体"/>
          <w:kern w:val="44"/>
        </w:rPr>
        <w:t>调入的农业植物、植物产品经复检不合格的，农业植物检疫机构应当监督调入单位或者个人在指定地点对其进行除害处理，并通知核发该调运检疫证明的农业植物检疫机构。</w:t>
      </w:r>
    </w:p>
    <w:p w14:paraId="181CAF36">
      <w:pPr>
        <w:ind w:firstLine="422"/>
        <w:jc w:val="left"/>
        <w:rPr>
          <w:rFonts w:ascii="宋体" w:hAnsi="宋体"/>
          <w:kern w:val="44"/>
        </w:rPr>
      </w:pPr>
      <w:r>
        <w:rPr>
          <w:rFonts w:hint="eastAsia" w:ascii="宋体" w:hAnsi="宋体"/>
          <w:b/>
          <w:kern w:val="44"/>
        </w:rPr>
        <w:t>第十一条</w:t>
      </w:r>
      <w:r>
        <w:rPr>
          <w:rFonts w:hint="eastAsia" w:ascii="宋体" w:hAnsi="宋体"/>
          <w:kern w:val="44"/>
        </w:rPr>
        <w:t>　有下列情形之一的，调出单位或者个人应当在调出前向农业植物、植物产品存放地所在区、县农业植物检疫机构申请调运检疫；存放地所在区、县未设立农业植物检疫机构的，向市农业植物检疫机构申请调运检疫：</w:t>
      </w:r>
    </w:p>
    <w:p w14:paraId="1AB86127">
      <w:pPr>
        <w:jc w:val="left"/>
        <w:rPr>
          <w:rFonts w:ascii="宋体" w:hAnsi="宋体"/>
          <w:kern w:val="44"/>
        </w:rPr>
      </w:pPr>
      <w:r>
        <w:rPr>
          <w:rFonts w:hint="eastAsia" w:ascii="宋体" w:hAnsi="宋体"/>
          <w:kern w:val="44"/>
        </w:rPr>
        <w:t>（一）国家规定的应施检疫的农业植物、植物产品从疫情发生地调出本市的；</w:t>
      </w:r>
    </w:p>
    <w:p w14:paraId="6F0E7B00">
      <w:pPr>
        <w:jc w:val="left"/>
        <w:rPr>
          <w:rFonts w:ascii="宋体" w:hAnsi="宋体"/>
          <w:kern w:val="44"/>
        </w:rPr>
      </w:pPr>
      <w:r>
        <w:rPr>
          <w:rFonts w:hint="eastAsia" w:ascii="宋体" w:hAnsi="宋体"/>
          <w:kern w:val="44"/>
        </w:rPr>
        <w:t>（二）调入地规定的应施检疫的农业植物、植物产品调出本市的；</w:t>
      </w:r>
    </w:p>
    <w:p w14:paraId="2319BA4F">
      <w:pPr>
        <w:jc w:val="left"/>
        <w:rPr>
          <w:rFonts w:ascii="宋体" w:hAnsi="宋体"/>
          <w:kern w:val="44"/>
        </w:rPr>
      </w:pPr>
      <w:r>
        <w:rPr>
          <w:rFonts w:hint="eastAsia" w:ascii="宋体" w:hAnsi="宋体"/>
          <w:kern w:val="44"/>
        </w:rPr>
        <w:t>（三）农作物种子、苗木和其他繁殖材料调出本市的。</w:t>
      </w:r>
    </w:p>
    <w:p w14:paraId="7443C6D5">
      <w:pPr>
        <w:jc w:val="left"/>
        <w:rPr>
          <w:rFonts w:ascii="宋体" w:hAnsi="宋体"/>
          <w:kern w:val="44"/>
        </w:rPr>
      </w:pPr>
      <w:r>
        <w:rPr>
          <w:rFonts w:hint="eastAsia" w:ascii="宋体" w:hAnsi="宋体"/>
          <w:kern w:val="44"/>
        </w:rPr>
        <w:t>农业植物、植物产品经检疫合格的，核发调运检疫证明；检疫不合格，但能进行除害处理的，调出单位或者个人应当按照农业植物检疫机构的要求，在指定地点对其进行除害处理，除害处理后合格的，核发调运检疫证明；无法进行除害处理的，应当停止调运。</w:t>
      </w:r>
    </w:p>
    <w:p w14:paraId="43CC764C">
      <w:pPr>
        <w:jc w:val="left"/>
        <w:rPr>
          <w:rFonts w:ascii="宋体" w:hAnsi="宋体"/>
          <w:kern w:val="44"/>
        </w:rPr>
      </w:pPr>
      <w:r>
        <w:rPr>
          <w:rFonts w:hint="eastAsia" w:ascii="宋体" w:hAnsi="宋体"/>
          <w:kern w:val="44"/>
        </w:rPr>
        <w:t>承运单位承运本条第一款规定的农业植物、植物产品，应当查验调运检疫证明。</w:t>
      </w:r>
    </w:p>
    <w:p w14:paraId="3111716F">
      <w:pPr>
        <w:ind w:firstLine="422"/>
        <w:jc w:val="left"/>
        <w:rPr>
          <w:rFonts w:ascii="宋体" w:hAnsi="宋体"/>
          <w:kern w:val="44"/>
        </w:rPr>
      </w:pPr>
      <w:r>
        <w:rPr>
          <w:rFonts w:hint="eastAsia" w:ascii="宋体" w:hAnsi="宋体"/>
          <w:b/>
          <w:kern w:val="44"/>
        </w:rPr>
        <w:t>第十二条</w:t>
      </w:r>
      <w:r>
        <w:rPr>
          <w:rFonts w:hint="eastAsia" w:ascii="宋体" w:hAnsi="宋体"/>
          <w:kern w:val="44"/>
        </w:rPr>
        <w:t>　农业植物检疫机构应当按照检疫规程实施检疫；有关农业植物检疫的程序、办理时限等内容应当公示，接受社会监督。</w:t>
      </w:r>
    </w:p>
    <w:p w14:paraId="18334431">
      <w:pPr>
        <w:ind w:firstLine="422"/>
        <w:jc w:val="left"/>
        <w:rPr>
          <w:rFonts w:ascii="宋体" w:hAnsi="宋体"/>
          <w:kern w:val="44"/>
        </w:rPr>
      </w:pPr>
      <w:r>
        <w:rPr>
          <w:rFonts w:hint="eastAsia" w:ascii="宋体" w:hAnsi="宋体"/>
          <w:b/>
          <w:kern w:val="44"/>
        </w:rPr>
        <w:t>第十三条</w:t>
      </w:r>
      <w:r>
        <w:rPr>
          <w:rFonts w:hint="eastAsia" w:ascii="宋体" w:hAnsi="宋体"/>
          <w:kern w:val="44"/>
        </w:rPr>
        <w:t>　产地检疫和调运检疫证明的原件或者复印件应当至少保存2年。</w:t>
      </w:r>
    </w:p>
    <w:p w14:paraId="49BA400F">
      <w:pPr>
        <w:ind w:firstLine="422"/>
        <w:jc w:val="left"/>
        <w:rPr>
          <w:rFonts w:ascii="宋体" w:hAnsi="宋体"/>
          <w:kern w:val="44"/>
        </w:rPr>
      </w:pPr>
      <w:r>
        <w:rPr>
          <w:rFonts w:hint="eastAsia" w:ascii="宋体" w:hAnsi="宋体"/>
          <w:b/>
          <w:kern w:val="44"/>
        </w:rPr>
        <w:t>第十四条</w:t>
      </w:r>
      <w:r>
        <w:rPr>
          <w:rFonts w:hint="eastAsia" w:ascii="宋体" w:hAnsi="宋体"/>
          <w:kern w:val="44"/>
        </w:rPr>
        <w:t>　销售农作物种子、苗木和其他繁殖材料的单位或者个人，应当依法建立经营档案。经营档案至少应当包括下列内容：</w:t>
      </w:r>
    </w:p>
    <w:p w14:paraId="0646DB9B">
      <w:pPr>
        <w:jc w:val="left"/>
        <w:rPr>
          <w:rFonts w:ascii="宋体" w:hAnsi="宋体"/>
          <w:kern w:val="44"/>
        </w:rPr>
      </w:pPr>
      <w:r>
        <w:rPr>
          <w:rFonts w:hint="eastAsia" w:ascii="宋体" w:hAnsi="宋体"/>
          <w:kern w:val="44"/>
        </w:rPr>
        <w:t>（一）产地检疫或者调运检疫证明的原件或者复印件；</w:t>
      </w:r>
    </w:p>
    <w:p w14:paraId="51E3983D">
      <w:pPr>
        <w:jc w:val="left"/>
        <w:rPr>
          <w:rFonts w:ascii="宋体" w:hAnsi="宋体"/>
          <w:kern w:val="44"/>
        </w:rPr>
      </w:pPr>
      <w:r>
        <w:rPr>
          <w:rFonts w:hint="eastAsia" w:ascii="宋体" w:hAnsi="宋体"/>
          <w:kern w:val="44"/>
        </w:rPr>
        <w:t>（二）农作物种子、苗木和其他繁殖材料的来源、销售去向、销售数量。</w:t>
      </w:r>
    </w:p>
    <w:p w14:paraId="00525A19">
      <w:pPr>
        <w:ind w:firstLine="422"/>
        <w:jc w:val="left"/>
        <w:rPr>
          <w:rFonts w:ascii="宋体" w:hAnsi="宋体"/>
          <w:kern w:val="44"/>
        </w:rPr>
      </w:pPr>
      <w:r>
        <w:rPr>
          <w:rFonts w:hint="eastAsia" w:ascii="宋体" w:hAnsi="宋体"/>
          <w:b/>
          <w:kern w:val="44"/>
        </w:rPr>
        <w:t>第十五条</w:t>
      </w:r>
      <w:r>
        <w:rPr>
          <w:rFonts w:hint="eastAsia" w:ascii="宋体" w:hAnsi="宋体"/>
          <w:kern w:val="44"/>
        </w:rPr>
        <w:t>　农业植物检疫机构可以在农作物种子、苗木和其他繁殖材料交易市场或者会展现场派驻检疫人员，加强现场检查，办理检疫手续。</w:t>
      </w:r>
    </w:p>
    <w:p w14:paraId="7495C721">
      <w:pPr>
        <w:ind w:firstLine="422"/>
        <w:jc w:val="left"/>
        <w:rPr>
          <w:rFonts w:ascii="宋体" w:hAnsi="宋体"/>
          <w:kern w:val="44"/>
        </w:rPr>
      </w:pPr>
      <w:r>
        <w:rPr>
          <w:rFonts w:hint="eastAsia" w:ascii="宋体" w:hAnsi="宋体"/>
          <w:b/>
          <w:kern w:val="44"/>
        </w:rPr>
        <w:t>第十六条</w:t>
      </w:r>
      <w:r>
        <w:rPr>
          <w:rFonts w:hint="eastAsia" w:ascii="宋体" w:hAnsi="宋体"/>
          <w:kern w:val="44"/>
        </w:rPr>
        <w:t>　农业植物检疫机构应当建立健全监测网络，设置疫情监测点；根据农业植物检疫性有害生物发生规律，开展对农业植物检疫性有害生物的日常监测和定期调查。</w:t>
      </w:r>
    </w:p>
    <w:p w14:paraId="19018F20">
      <w:pPr>
        <w:jc w:val="left"/>
        <w:rPr>
          <w:rFonts w:ascii="宋体" w:hAnsi="宋体"/>
          <w:kern w:val="44"/>
        </w:rPr>
      </w:pPr>
      <w:r>
        <w:rPr>
          <w:rFonts w:hint="eastAsia" w:ascii="宋体" w:hAnsi="宋体"/>
          <w:kern w:val="44"/>
        </w:rPr>
        <w:t>农业植物检疫性有害生物日常监测和定期调查方案由市农业植物检疫机构统一制定，报市农业行政部门备案。</w:t>
      </w:r>
    </w:p>
    <w:p w14:paraId="36743FAC">
      <w:pPr>
        <w:ind w:firstLine="422"/>
        <w:jc w:val="left"/>
        <w:rPr>
          <w:rFonts w:ascii="宋体" w:hAnsi="宋体"/>
          <w:kern w:val="44"/>
        </w:rPr>
      </w:pPr>
      <w:r>
        <w:rPr>
          <w:rFonts w:hint="eastAsia" w:ascii="宋体" w:hAnsi="宋体"/>
          <w:b/>
          <w:kern w:val="44"/>
        </w:rPr>
        <w:t>第十七条</w:t>
      </w:r>
      <w:r>
        <w:rPr>
          <w:rFonts w:hint="eastAsia" w:ascii="宋体" w:hAnsi="宋体"/>
          <w:kern w:val="44"/>
        </w:rPr>
        <w:t>　区、县农业植物检疫机构发现农业植物疫情的，应当立即向本级农业行政部门和市农业植物检疫机构报告，区、县农业行政部门接到报告后，应当及时采取必要的控制和扑灭措施；市农业植物检疫机构接到报告后，应当及时向市农业行政部门报告。</w:t>
      </w:r>
    </w:p>
    <w:p w14:paraId="1FBD74D6">
      <w:pPr>
        <w:jc w:val="left"/>
        <w:rPr>
          <w:rFonts w:ascii="宋体" w:hAnsi="宋体"/>
          <w:kern w:val="44"/>
        </w:rPr>
      </w:pPr>
      <w:r>
        <w:rPr>
          <w:rFonts w:hint="eastAsia" w:ascii="宋体" w:hAnsi="宋体"/>
          <w:kern w:val="44"/>
        </w:rPr>
        <w:t>市农业植物检疫机构发现农业植物疫情的，应当立即向市农业行政部门报告；市农业行政部门应当立即通知相关区、县农业行政部门，区、县农业行政部门应当及时采取必要的控制和扑灭措施。</w:t>
      </w:r>
    </w:p>
    <w:p w14:paraId="61DF2346">
      <w:pPr>
        <w:jc w:val="left"/>
        <w:rPr>
          <w:rFonts w:ascii="宋体" w:hAnsi="宋体"/>
          <w:kern w:val="44"/>
        </w:rPr>
      </w:pPr>
      <w:r>
        <w:rPr>
          <w:rFonts w:hint="eastAsia" w:ascii="宋体" w:hAnsi="宋体"/>
          <w:kern w:val="44"/>
        </w:rPr>
        <w:t>农业行政部门、农业植物检疫机构及其工作人员对农业植物疫情不得瞒报、谎报、迟报，不得授意他人瞒报、谎报、迟报，不得阻碍他人报告。</w:t>
      </w:r>
    </w:p>
    <w:p w14:paraId="466A5BB9">
      <w:pPr>
        <w:jc w:val="left"/>
        <w:rPr>
          <w:rFonts w:ascii="宋体" w:hAnsi="宋体"/>
          <w:kern w:val="44"/>
        </w:rPr>
      </w:pPr>
      <w:r>
        <w:rPr>
          <w:rFonts w:hint="eastAsia" w:ascii="宋体" w:hAnsi="宋体"/>
          <w:kern w:val="44"/>
        </w:rPr>
        <w:t>其他单位和个人发现农业植物染疫或者疑似染疫的，应当及时向农业植物检疫机构报告。</w:t>
      </w:r>
    </w:p>
    <w:p w14:paraId="3BBC0F18">
      <w:pPr>
        <w:ind w:firstLine="422"/>
        <w:jc w:val="left"/>
        <w:rPr>
          <w:rFonts w:ascii="宋体" w:hAnsi="宋体"/>
          <w:kern w:val="44"/>
        </w:rPr>
      </w:pPr>
      <w:r>
        <w:rPr>
          <w:rFonts w:hint="eastAsia" w:ascii="宋体" w:hAnsi="宋体"/>
          <w:b/>
          <w:kern w:val="44"/>
        </w:rPr>
        <w:t>第十八条</w:t>
      </w:r>
      <w:r>
        <w:rPr>
          <w:rFonts w:hint="eastAsia" w:ascii="宋体" w:hAnsi="宋体"/>
          <w:kern w:val="44"/>
        </w:rPr>
        <w:t>　农业行政部门对染疫的农业植物、植物产品以及相关物品，可以采取高温消毒、药剂处理、填埋、焚烧等措施；对被污染的场地，可以进行高温消毒或者药剂处理。</w:t>
      </w:r>
    </w:p>
    <w:p w14:paraId="0FE61D7C">
      <w:pPr>
        <w:jc w:val="left"/>
        <w:rPr>
          <w:rFonts w:ascii="宋体" w:hAnsi="宋体"/>
          <w:kern w:val="44"/>
        </w:rPr>
      </w:pPr>
      <w:r>
        <w:rPr>
          <w:rFonts w:hint="eastAsia" w:ascii="宋体" w:hAnsi="宋体"/>
          <w:kern w:val="44"/>
        </w:rPr>
        <w:t>农业行政部门实施前款规定的措施，应当尽可能减少对土壤、大气、水体、植被等造成污染和破坏。</w:t>
      </w:r>
    </w:p>
    <w:p w14:paraId="30C36F07">
      <w:pPr>
        <w:jc w:val="left"/>
        <w:rPr>
          <w:rFonts w:ascii="宋体" w:hAnsi="宋体"/>
          <w:kern w:val="44"/>
        </w:rPr>
      </w:pPr>
      <w:r>
        <w:rPr>
          <w:rFonts w:hint="eastAsia" w:ascii="宋体" w:hAnsi="宋体"/>
          <w:kern w:val="44"/>
        </w:rPr>
        <w:t>农业行政部门实施本条第一款规定措施，发生疫情的单位或者个人应当服从和配合。</w:t>
      </w:r>
    </w:p>
    <w:p w14:paraId="33D7E315">
      <w:pPr>
        <w:ind w:firstLine="422"/>
        <w:jc w:val="left"/>
        <w:rPr>
          <w:rFonts w:ascii="宋体" w:hAnsi="宋体"/>
          <w:kern w:val="44"/>
        </w:rPr>
      </w:pPr>
      <w:r>
        <w:rPr>
          <w:rFonts w:hint="eastAsia" w:ascii="宋体" w:hAnsi="宋体"/>
          <w:b/>
          <w:kern w:val="44"/>
        </w:rPr>
        <w:t>第十九条</w:t>
      </w:r>
      <w:r>
        <w:rPr>
          <w:rFonts w:hint="eastAsia" w:ascii="宋体" w:hAnsi="宋体"/>
          <w:kern w:val="44"/>
        </w:rPr>
        <w:t>　市农业行政部门应当对区、县农业植物疫情控制和扑灭工作进行协调、指导和监督；市农业植物检疫机构应当对疫情控制和扑灭工作提供技术指导和服务。</w:t>
      </w:r>
    </w:p>
    <w:p w14:paraId="657C43CB">
      <w:pPr>
        <w:ind w:firstLine="422"/>
        <w:jc w:val="left"/>
        <w:rPr>
          <w:rFonts w:ascii="宋体" w:hAnsi="宋体"/>
          <w:kern w:val="44"/>
        </w:rPr>
      </w:pPr>
      <w:r>
        <w:rPr>
          <w:rFonts w:hint="eastAsia" w:ascii="宋体" w:hAnsi="宋体"/>
          <w:b/>
          <w:kern w:val="44"/>
        </w:rPr>
        <w:t>第二十条</w:t>
      </w:r>
      <w:r>
        <w:rPr>
          <w:rFonts w:hint="eastAsia" w:ascii="宋体" w:hAnsi="宋体"/>
          <w:kern w:val="44"/>
        </w:rPr>
        <w:t>　发生重大农业植物疫情的，按照本市重大农业植物疫情应急预案的规定进行处置。</w:t>
      </w:r>
    </w:p>
    <w:p w14:paraId="1FEC786F">
      <w:pPr>
        <w:ind w:firstLine="422"/>
        <w:jc w:val="left"/>
        <w:rPr>
          <w:rFonts w:ascii="宋体" w:hAnsi="宋体"/>
          <w:kern w:val="44"/>
        </w:rPr>
      </w:pPr>
      <w:r>
        <w:rPr>
          <w:rFonts w:hint="eastAsia" w:ascii="宋体" w:hAnsi="宋体"/>
          <w:b/>
          <w:kern w:val="44"/>
        </w:rPr>
        <w:t>第二十一条</w:t>
      </w:r>
      <w:r>
        <w:rPr>
          <w:rFonts w:hint="eastAsia" w:ascii="宋体" w:hAnsi="宋体"/>
          <w:kern w:val="44"/>
        </w:rPr>
        <w:t>　因控制和扑灭农业植物疫情给相关单位或者个人合法权益造成损失的，依法给予补偿。具体补偿办法和标准由市农业行政部门会同财政部门制定。</w:t>
      </w:r>
    </w:p>
    <w:p w14:paraId="325FB475">
      <w:pPr>
        <w:ind w:firstLine="422"/>
        <w:jc w:val="left"/>
        <w:rPr>
          <w:rFonts w:ascii="宋体" w:hAnsi="宋体"/>
          <w:kern w:val="44"/>
        </w:rPr>
      </w:pPr>
      <w:r>
        <w:rPr>
          <w:rFonts w:hint="eastAsia" w:ascii="宋体" w:hAnsi="宋体"/>
          <w:b/>
          <w:kern w:val="44"/>
        </w:rPr>
        <w:t>第二十二条</w:t>
      </w:r>
      <w:r>
        <w:rPr>
          <w:rFonts w:hint="eastAsia" w:ascii="宋体" w:hAnsi="宋体"/>
          <w:kern w:val="44"/>
        </w:rPr>
        <w:t>　农业植物疫情处置后，疫情发生所在区、县农业植物检疫机构应当加强监测；疫情发生地3年内未再次发现同种疫情的，由区、县农业行政部门提请市农业行政部门确认该疫情完全扑灭。</w:t>
      </w:r>
    </w:p>
    <w:p w14:paraId="3B4814F1">
      <w:pPr>
        <w:jc w:val="left"/>
        <w:rPr>
          <w:rFonts w:ascii="宋体" w:hAnsi="宋体"/>
          <w:kern w:val="44"/>
        </w:rPr>
      </w:pPr>
      <w:r>
        <w:rPr>
          <w:rFonts w:hint="eastAsia" w:ascii="宋体" w:hAnsi="宋体"/>
          <w:kern w:val="44"/>
        </w:rPr>
        <w:t>在疫情被确认完全扑灭前，疫情发生地不得种植引发该疫情的有害生物的寄主植物；违反规定种植的，由区、县农业植物检疫机构责令改正。</w:t>
      </w:r>
    </w:p>
    <w:p w14:paraId="2FBE3E42">
      <w:pPr>
        <w:ind w:firstLine="422"/>
        <w:jc w:val="left"/>
        <w:rPr>
          <w:rFonts w:ascii="宋体" w:hAnsi="宋体"/>
          <w:kern w:val="44"/>
        </w:rPr>
      </w:pPr>
      <w:r>
        <w:rPr>
          <w:rFonts w:hint="eastAsia" w:ascii="宋体" w:hAnsi="宋体"/>
          <w:b/>
          <w:kern w:val="44"/>
        </w:rPr>
        <w:t>第二十三条</w:t>
      </w:r>
      <w:r>
        <w:rPr>
          <w:rFonts w:hint="eastAsia" w:ascii="宋体" w:hAnsi="宋体"/>
          <w:kern w:val="44"/>
        </w:rPr>
        <w:t>　市农业植物检疫机构应当建立健全农业植物检疫信息通报制度，加强农业植物检疫信息平台建设，及时汇总、通报农业植物检疫信息。</w:t>
      </w:r>
    </w:p>
    <w:p w14:paraId="08F59300">
      <w:pPr>
        <w:ind w:firstLine="422"/>
        <w:jc w:val="left"/>
        <w:rPr>
          <w:rFonts w:ascii="宋体" w:hAnsi="宋体"/>
          <w:kern w:val="44"/>
        </w:rPr>
      </w:pPr>
      <w:r>
        <w:rPr>
          <w:rFonts w:hint="eastAsia" w:ascii="宋体" w:hAnsi="宋体"/>
          <w:b/>
          <w:kern w:val="44"/>
        </w:rPr>
        <w:t>第二十四条</w:t>
      </w:r>
      <w:r>
        <w:rPr>
          <w:rFonts w:hint="eastAsia" w:ascii="宋体" w:hAnsi="宋体"/>
          <w:kern w:val="44"/>
        </w:rPr>
        <w:t>　农业植物检疫人员在实施农业植物检疫等相关执法活动时，应当穿着检疫制服，佩戴检疫标志，出示执法证件，并有权采取下列措施：</w:t>
      </w:r>
    </w:p>
    <w:p w14:paraId="651EA5A2">
      <w:pPr>
        <w:jc w:val="left"/>
        <w:rPr>
          <w:rFonts w:ascii="宋体" w:hAnsi="宋体"/>
          <w:kern w:val="44"/>
        </w:rPr>
      </w:pPr>
      <w:r>
        <w:rPr>
          <w:rFonts w:hint="eastAsia" w:ascii="宋体" w:hAnsi="宋体"/>
          <w:kern w:val="44"/>
        </w:rPr>
        <w:t>（一）进入农业植物、植物产品的生产、经营、贮存以及其他可能发生检疫性有害生物的场所，进行现场检查和疫情调查；</w:t>
      </w:r>
    </w:p>
    <w:p w14:paraId="1045A714">
      <w:pPr>
        <w:jc w:val="left"/>
        <w:rPr>
          <w:rFonts w:ascii="宋体" w:hAnsi="宋体"/>
          <w:kern w:val="44"/>
        </w:rPr>
      </w:pPr>
      <w:r>
        <w:rPr>
          <w:rFonts w:hint="eastAsia" w:ascii="宋体" w:hAnsi="宋体"/>
          <w:kern w:val="44"/>
        </w:rPr>
        <w:t>（二）采集相关样品，查阅、复制与检疫有关的资料，收集与检疫有关的证据；</w:t>
      </w:r>
    </w:p>
    <w:p w14:paraId="01FD94F9">
      <w:pPr>
        <w:jc w:val="left"/>
        <w:rPr>
          <w:rFonts w:ascii="宋体" w:hAnsi="宋体"/>
          <w:kern w:val="44"/>
        </w:rPr>
      </w:pPr>
      <w:r>
        <w:rPr>
          <w:rFonts w:hint="eastAsia" w:ascii="宋体" w:hAnsi="宋体"/>
          <w:kern w:val="44"/>
        </w:rPr>
        <w:t>（三）依法封存、没收、销毁违反规定调运的农业植物、植物产品，或者责令改变用途；</w:t>
      </w:r>
    </w:p>
    <w:p w14:paraId="5C6AC0A4">
      <w:pPr>
        <w:jc w:val="left"/>
        <w:rPr>
          <w:rFonts w:ascii="宋体" w:hAnsi="宋体"/>
          <w:kern w:val="44"/>
        </w:rPr>
      </w:pPr>
      <w:r>
        <w:rPr>
          <w:rFonts w:hint="eastAsia" w:ascii="宋体" w:hAnsi="宋体"/>
          <w:kern w:val="44"/>
        </w:rPr>
        <w:t>（四）监督有关单位或者个人落实除害处理等措施。</w:t>
      </w:r>
    </w:p>
    <w:p w14:paraId="30783246">
      <w:pPr>
        <w:jc w:val="left"/>
        <w:rPr>
          <w:rFonts w:ascii="宋体" w:hAnsi="宋体"/>
          <w:kern w:val="44"/>
        </w:rPr>
      </w:pPr>
      <w:r>
        <w:rPr>
          <w:rFonts w:hint="eastAsia" w:ascii="宋体" w:hAnsi="宋体"/>
          <w:kern w:val="44"/>
        </w:rPr>
        <w:t>农业植物检疫人员实施农业植物检疫等相关执法活动，不得干扰当事人的正常生产经营活动；有关单位和个人应当予以配合，不得拒绝、干扰和阻挠。</w:t>
      </w:r>
    </w:p>
    <w:p w14:paraId="0112283F">
      <w:pPr>
        <w:ind w:firstLine="422"/>
        <w:jc w:val="left"/>
        <w:rPr>
          <w:rFonts w:ascii="宋体" w:hAnsi="宋体"/>
          <w:kern w:val="44"/>
        </w:rPr>
      </w:pPr>
      <w:r>
        <w:rPr>
          <w:rFonts w:hint="eastAsia" w:ascii="宋体" w:hAnsi="宋体"/>
          <w:b/>
          <w:kern w:val="44"/>
        </w:rPr>
        <w:t>第二十五条</w:t>
      </w:r>
      <w:r>
        <w:rPr>
          <w:rFonts w:hint="eastAsia" w:ascii="宋体" w:hAnsi="宋体"/>
          <w:kern w:val="44"/>
        </w:rPr>
        <w:t>　对在农业植物疫情控制和扑灭工作中做出突出贡献的单位和个人，应当给予表彰。</w:t>
      </w:r>
    </w:p>
    <w:p w14:paraId="36ACFADC">
      <w:pPr>
        <w:ind w:firstLine="422"/>
        <w:jc w:val="left"/>
        <w:rPr>
          <w:rFonts w:ascii="宋体" w:hAnsi="宋体"/>
          <w:kern w:val="44"/>
        </w:rPr>
      </w:pPr>
      <w:r>
        <w:rPr>
          <w:rFonts w:hint="eastAsia" w:ascii="宋体" w:hAnsi="宋体"/>
          <w:b/>
          <w:kern w:val="44"/>
        </w:rPr>
        <w:t>第二十六条</w:t>
      </w:r>
      <w:r>
        <w:rPr>
          <w:rFonts w:hint="eastAsia" w:ascii="宋体" w:hAnsi="宋体"/>
          <w:kern w:val="44"/>
        </w:rPr>
        <w:t>　市和区、县农业行政部门及其农业植物检疫机构工作人员违反本办法规定，不履行、违法履行、不当履行农业植物检疫职责的，按照国家和本市有关规定给予行政问责和行政处分；构成犯罪的，依法追究刑事责任。</w:t>
      </w:r>
    </w:p>
    <w:p w14:paraId="6F4A78EE">
      <w:pPr>
        <w:ind w:firstLine="422"/>
        <w:jc w:val="left"/>
        <w:rPr>
          <w:rFonts w:ascii="宋体" w:hAnsi="宋体"/>
          <w:kern w:val="44"/>
        </w:rPr>
      </w:pPr>
      <w:r>
        <w:rPr>
          <w:rFonts w:hint="eastAsia" w:ascii="宋体" w:hAnsi="宋体"/>
          <w:b/>
          <w:kern w:val="44"/>
        </w:rPr>
        <w:t>第二十七条</w:t>
      </w:r>
      <w:r>
        <w:rPr>
          <w:rFonts w:hint="eastAsia" w:ascii="宋体" w:hAnsi="宋体"/>
          <w:kern w:val="44"/>
        </w:rPr>
        <w:t>　有下列违法行为之一，尚未构成犯罪的，由农业植物检疫机构给予处罚：</w:t>
      </w:r>
    </w:p>
    <w:p w14:paraId="466DC249">
      <w:pPr>
        <w:jc w:val="left"/>
        <w:rPr>
          <w:rFonts w:ascii="宋体" w:hAnsi="宋体"/>
          <w:kern w:val="44"/>
        </w:rPr>
      </w:pPr>
      <w:r>
        <w:rPr>
          <w:rFonts w:hint="eastAsia" w:ascii="宋体" w:hAnsi="宋体"/>
          <w:kern w:val="44"/>
        </w:rPr>
        <w:t>（一）违反本办法第八条第一款规定，繁育单位或者个人未取得产地检疫证明试验、示范或者推广种子、苗木或者其他繁殖材料的；</w:t>
      </w:r>
    </w:p>
    <w:p w14:paraId="1AA311A7">
      <w:pPr>
        <w:jc w:val="left"/>
        <w:rPr>
          <w:rFonts w:ascii="宋体" w:hAnsi="宋体"/>
          <w:kern w:val="44"/>
        </w:rPr>
      </w:pPr>
      <w:r>
        <w:rPr>
          <w:rFonts w:hint="eastAsia" w:ascii="宋体" w:hAnsi="宋体"/>
          <w:kern w:val="44"/>
        </w:rPr>
        <w:t>（二）违反本办法第八条第二款规定，在本市调运农作物种子、苗木或者其他繁殖材料的；</w:t>
      </w:r>
    </w:p>
    <w:p w14:paraId="31E2FBC7">
      <w:pPr>
        <w:jc w:val="left"/>
        <w:rPr>
          <w:rFonts w:ascii="宋体" w:hAnsi="宋体"/>
          <w:kern w:val="44"/>
        </w:rPr>
      </w:pPr>
      <w:r>
        <w:rPr>
          <w:rFonts w:hint="eastAsia" w:ascii="宋体" w:hAnsi="宋体"/>
          <w:kern w:val="44"/>
        </w:rPr>
        <w:t>（三）违反本办法第九条第一款规定，调入单位或者个人调入未经检疫合格的农业植物、植物产品的；</w:t>
      </w:r>
    </w:p>
    <w:p w14:paraId="5C260D93">
      <w:pPr>
        <w:jc w:val="left"/>
        <w:rPr>
          <w:rFonts w:ascii="宋体" w:hAnsi="宋体"/>
          <w:kern w:val="44"/>
        </w:rPr>
      </w:pPr>
      <w:r>
        <w:rPr>
          <w:rFonts w:hint="eastAsia" w:ascii="宋体" w:hAnsi="宋体"/>
          <w:kern w:val="44"/>
        </w:rPr>
        <w:t>（四）违反本办法第十一条第一、二款规定，调出单位或者个人未取得调运检疫证明擅自调运的。</w:t>
      </w:r>
    </w:p>
    <w:p w14:paraId="4A59234E">
      <w:pPr>
        <w:jc w:val="left"/>
        <w:rPr>
          <w:rFonts w:ascii="宋体" w:hAnsi="宋体"/>
          <w:kern w:val="44"/>
        </w:rPr>
      </w:pPr>
      <w:r>
        <w:rPr>
          <w:rFonts w:hint="eastAsia" w:ascii="宋体" w:hAnsi="宋体"/>
          <w:kern w:val="44"/>
        </w:rPr>
        <w:t>对前款规定的非经营活动中的违法行为，处以1000元以下罚款；对前款规定的经营活动中的违法行为，有违法所得的，没收违法所得，处以违法所得3倍以下罚款，最高不得超过3万元，没有违法所得的，处以1万元以下罚款。</w:t>
      </w:r>
    </w:p>
    <w:p w14:paraId="621E6434">
      <w:pPr>
        <w:ind w:firstLine="422"/>
        <w:jc w:val="left"/>
        <w:rPr>
          <w:rFonts w:ascii="宋体" w:hAnsi="宋体"/>
          <w:kern w:val="44"/>
        </w:rPr>
      </w:pPr>
      <w:r>
        <w:rPr>
          <w:rFonts w:hint="eastAsia" w:ascii="宋体" w:hAnsi="宋体"/>
          <w:b/>
          <w:kern w:val="44"/>
        </w:rPr>
        <w:t>第二十八条</w:t>
      </w:r>
      <w:r>
        <w:rPr>
          <w:rFonts w:hint="eastAsia" w:ascii="宋体" w:hAnsi="宋体"/>
          <w:kern w:val="44"/>
        </w:rPr>
        <w:t>　违反本办法第十一条第三款规定，承运单位承运未办理调运检疫证明的农业植物、植物产品，或者承运的数量、种类与调运检疫证明不符的，由农业植物检疫机构给予警告，可处1000元以上1万元以下罚款。</w:t>
      </w:r>
    </w:p>
    <w:p w14:paraId="7CAB5EC3">
      <w:pPr>
        <w:ind w:firstLine="422"/>
        <w:jc w:val="left"/>
        <w:rPr>
          <w:rFonts w:ascii="宋体" w:hAnsi="宋体"/>
          <w:kern w:val="44"/>
        </w:rPr>
      </w:pPr>
      <w:r>
        <w:rPr>
          <w:rFonts w:hint="eastAsia" w:ascii="宋体" w:hAnsi="宋体"/>
          <w:b/>
          <w:kern w:val="44"/>
        </w:rPr>
        <w:t>第二十九条</w:t>
      </w:r>
      <w:r>
        <w:rPr>
          <w:rFonts w:hint="eastAsia" w:ascii="宋体" w:hAnsi="宋体"/>
          <w:kern w:val="44"/>
        </w:rPr>
        <w:t>　违反本办法第十三条规定，未按照要求保存产地检疫或者调运检疫证明原件或者复印件的，由农业植物检疫机构责令改正，对单位可处2000元以下罚款，对个人可处200元以下罚款。</w:t>
      </w:r>
    </w:p>
    <w:p w14:paraId="3D20EA15">
      <w:pPr>
        <w:ind w:firstLine="422"/>
        <w:jc w:val="left"/>
        <w:rPr>
          <w:rFonts w:ascii="宋体" w:hAnsi="宋体"/>
          <w:kern w:val="44"/>
        </w:rPr>
      </w:pPr>
      <w:r>
        <w:rPr>
          <w:rFonts w:hint="eastAsia" w:ascii="宋体" w:hAnsi="宋体"/>
          <w:b/>
          <w:kern w:val="44"/>
        </w:rPr>
        <w:t>第三十条</w:t>
      </w:r>
      <w:r>
        <w:rPr>
          <w:rFonts w:hint="eastAsia" w:ascii="宋体" w:hAnsi="宋体"/>
          <w:kern w:val="44"/>
        </w:rPr>
        <w:t>　违反本办法第十四条规定，销售农作物种子、苗木或者其他繁殖材料的单位或者个人未按照要求建立经营档案的，由农业植物检疫机构责令改正，对单位可处2000元以下罚款，对个人可处200元以下罚款。</w:t>
      </w:r>
    </w:p>
    <w:p w14:paraId="031D851E">
      <w:pPr>
        <w:ind w:firstLine="422"/>
        <w:jc w:val="left"/>
        <w:rPr>
          <w:rFonts w:ascii="宋体" w:hAnsi="宋体"/>
          <w:kern w:val="44"/>
        </w:rPr>
      </w:pPr>
      <w:r>
        <w:rPr>
          <w:rFonts w:hint="eastAsia" w:ascii="宋体" w:hAnsi="宋体"/>
          <w:b/>
          <w:kern w:val="44"/>
        </w:rPr>
        <w:t>第三十一条</w:t>
      </w:r>
      <w:r>
        <w:rPr>
          <w:rFonts w:hint="eastAsia" w:ascii="宋体" w:hAnsi="宋体"/>
          <w:kern w:val="44"/>
        </w:rPr>
        <w:t>　违反本办法第十八条第三款规定，发生疫情的单位或者个人拒绝服从、配合疫情处理的，由农业行政部门责令改正；拒不改正，构成违反治安管理行为的，由公安机关依法给予处罚；构成犯罪的，依法追究刑事责任。</w:t>
      </w:r>
    </w:p>
    <w:p w14:paraId="32CB4208">
      <w:pPr>
        <w:ind w:firstLine="422"/>
        <w:jc w:val="left"/>
        <w:rPr>
          <w:rFonts w:ascii="宋体" w:hAnsi="宋体"/>
          <w:kern w:val="44"/>
        </w:rPr>
      </w:pPr>
      <w:r>
        <w:rPr>
          <w:rFonts w:hint="eastAsia" w:ascii="宋体" w:hAnsi="宋体"/>
          <w:b/>
          <w:kern w:val="44"/>
        </w:rPr>
        <w:t>第三十二条</w:t>
      </w:r>
      <w:r>
        <w:rPr>
          <w:rFonts w:hint="eastAsia" w:ascii="宋体" w:hAnsi="宋体"/>
          <w:kern w:val="44"/>
        </w:rPr>
        <w:t>　单位或者个人违反本办法规定，导致农业植物疫情发生或者危害扩大，给他人人身、财产造成损害的，应当依法承担民事责任。</w:t>
      </w:r>
    </w:p>
    <w:p w14:paraId="5B6D9FDF">
      <w:pPr>
        <w:ind w:firstLine="422"/>
        <w:jc w:val="left"/>
        <w:rPr>
          <w:rFonts w:ascii="宋体" w:hAnsi="宋体"/>
          <w:kern w:val="44"/>
        </w:rPr>
      </w:pPr>
      <w:r>
        <w:rPr>
          <w:rFonts w:hint="eastAsia" w:ascii="宋体" w:hAnsi="宋体"/>
          <w:b/>
          <w:kern w:val="44"/>
        </w:rPr>
        <w:t>第三十三条</w:t>
      </w:r>
      <w:r>
        <w:rPr>
          <w:rFonts w:hint="eastAsia" w:ascii="宋体" w:hAnsi="宋体"/>
          <w:kern w:val="44"/>
        </w:rPr>
        <w:t>　对违反本办法规定的行为，有关法律、法规已经规定相应法律责任的，依照其规定执行。</w:t>
      </w:r>
    </w:p>
    <w:p w14:paraId="35E55E88">
      <w:pPr>
        <w:ind w:firstLine="422"/>
        <w:jc w:val="left"/>
        <w:rPr>
          <w:rFonts w:ascii="宋体" w:hAnsi="宋体"/>
          <w:kern w:val="44"/>
        </w:rPr>
      </w:pPr>
      <w:r>
        <w:rPr>
          <w:rFonts w:hint="eastAsia" w:ascii="宋体" w:hAnsi="宋体"/>
          <w:b/>
          <w:kern w:val="44"/>
        </w:rPr>
        <w:t>第三十四条</w:t>
      </w:r>
      <w:r>
        <w:rPr>
          <w:rFonts w:hint="eastAsia" w:ascii="宋体" w:hAnsi="宋体"/>
          <w:kern w:val="44"/>
        </w:rPr>
        <w:t>　本办法自2013年7月1日起施行。1987年8月20日北京市人民政府京政发106号文件发布，根据2007年11月23日北京市人民政府第200号令修改的《北京市农业植物检疫实施办法》同时废止。</w:t>
      </w:r>
    </w:p>
    <w:p w14:paraId="5B563D1A">
      <w:pPr>
        <w:pStyle w:val="3"/>
        <w:pageBreakBefore/>
        <w:rPr>
          <w:kern w:val="44"/>
        </w:rPr>
      </w:pPr>
      <w:bookmarkStart w:id="1235" w:name="_Toc428781649"/>
      <w:bookmarkStart w:id="1236" w:name="_Toc427651601"/>
      <w:bookmarkStart w:id="1237" w:name="_Toc428780167"/>
      <w:bookmarkStart w:id="1238" w:name="_Toc427651943"/>
      <w:bookmarkStart w:id="1239" w:name="_Toc422471327"/>
      <w:r>
        <w:rPr>
          <w:rFonts w:hint="eastAsia"/>
          <w:kern w:val="44"/>
        </w:rPr>
        <w:t>（十三）知识产权</w:t>
      </w:r>
      <w:bookmarkEnd w:id="1235"/>
      <w:bookmarkEnd w:id="1236"/>
      <w:bookmarkEnd w:id="1237"/>
      <w:bookmarkEnd w:id="1238"/>
      <w:bookmarkEnd w:id="1239"/>
    </w:p>
    <w:p w14:paraId="28407318"/>
    <w:p w14:paraId="59F963D4">
      <w:pPr>
        <w:pStyle w:val="4"/>
        <w:rPr>
          <w:kern w:val="44"/>
        </w:rPr>
      </w:pPr>
      <w:bookmarkStart w:id="1240" w:name="_Toc422471328"/>
      <w:bookmarkStart w:id="1241" w:name="_Toc427651944"/>
      <w:bookmarkStart w:id="1242" w:name="_Toc428781650"/>
      <w:bookmarkStart w:id="1243" w:name="_Toc427651602"/>
      <w:bookmarkStart w:id="1244" w:name="_Toc428780168"/>
      <w:r>
        <w:rPr>
          <w:rFonts w:hint="eastAsia"/>
          <w:kern w:val="44"/>
        </w:rPr>
        <w:t>北京市专利保护和促进条例</w:t>
      </w:r>
      <w:bookmarkEnd w:id="1240"/>
      <w:bookmarkEnd w:id="1241"/>
      <w:bookmarkEnd w:id="1242"/>
      <w:bookmarkEnd w:id="1243"/>
      <w:bookmarkEnd w:id="1244"/>
    </w:p>
    <w:p w14:paraId="2614CC3B">
      <w:pPr>
        <w:ind w:left="630" w:leftChars="300" w:right="630" w:rightChars="300"/>
        <w:jc w:val="left"/>
        <w:rPr>
          <w:rFonts w:ascii="楷体" w:hAnsi="楷体" w:eastAsia="楷体"/>
          <w:kern w:val="44"/>
        </w:rPr>
      </w:pPr>
      <w:r>
        <w:rPr>
          <w:rFonts w:hint="eastAsia" w:ascii="楷体" w:hAnsi="楷体" w:eastAsia="楷体"/>
          <w:kern w:val="44"/>
        </w:rPr>
        <w:t>（2005年5月20日北京市第十二届人民代表大会常务委员会第二十次会议通过　2013年9月27日北京市第十四届人民代表大会常务委员会第六次会议修订）</w:t>
      </w:r>
    </w:p>
    <w:p w14:paraId="23972784">
      <w:pPr>
        <w:jc w:val="left"/>
        <w:rPr>
          <w:rFonts w:ascii="宋体" w:hAnsi="宋体"/>
          <w:kern w:val="44"/>
        </w:rPr>
      </w:pPr>
    </w:p>
    <w:p w14:paraId="633F31B8">
      <w:pPr>
        <w:ind w:firstLine="0" w:firstLineChars="0"/>
        <w:jc w:val="center"/>
        <w:rPr>
          <w:rFonts w:ascii="宋体" w:hAnsi="宋体"/>
          <w:b/>
          <w:kern w:val="44"/>
          <w:sz w:val="28"/>
        </w:rPr>
      </w:pPr>
      <w:r>
        <w:rPr>
          <w:rFonts w:hint="eastAsia" w:ascii="宋体" w:hAnsi="宋体"/>
          <w:b/>
          <w:kern w:val="44"/>
          <w:sz w:val="28"/>
        </w:rPr>
        <w:t>第一章　总　则</w:t>
      </w:r>
    </w:p>
    <w:p w14:paraId="1CC5E007">
      <w:pPr>
        <w:jc w:val="left"/>
        <w:rPr>
          <w:rFonts w:ascii="宋体" w:hAnsi="宋体"/>
          <w:kern w:val="44"/>
        </w:rPr>
      </w:pPr>
    </w:p>
    <w:p w14:paraId="79AD7D49">
      <w:pPr>
        <w:ind w:firstLine="422"/>
        <w:jc w:val="left"/>
        <w:rPr>
          <w:rFonts w:ascii="宋体" w:hAnsi="宋体"/>
          <w:kern w:val="44"/>
        </w:rPr>
      </w:pPr>
      <w:r>
        <w:rPr>
          <w:rFonts w:hint="eastAsia" w:ascii="宋体" w:hAnsi="宋体"/>
          <w:b/>
          <w:kern w:val="44"/>
        </w:rPr>
        <w:t>第一条</w:t>
      </w:r>
      <w:r>
        <w:rPr>
          <w:rFonts w:hint="eastAsia" w:ascii="宋体" w:hAnsi="宋体"/>
          <w:kern w:val="44"/>
        </w:rPr>
        <w:t>　为了鼓励发明创造，保护专利权人的合法权益，推动发明创造的应用，促进科学技术进步和经济社会发展，提高创新能力，根据《中华人民共和国专利法》、《中华人民共和国专利法实施细则》和其他有关法律、行政法规，结合本市实际情况，制定本条例。</w:t>
      </w:r>
    </w:p>
    <w:p w14:paraId="78144598">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本市行政区域内专利的保护、促进及相关活动，适用本条例。</w:t>
      </w:r>
    </w:p>
    <w:p w14:paraId="0030511B">
      <w:pPr>
        <w:ind w:firstLine="422"/>
        <w:jc w:val="left"/>
        <w:rPr>
          <w:rFonts w:ascii="宋体" w:hAnsi="宋体"/>
          <w:kern w:val="44"/>
        </w:rPr>
      </w:pPr>
      <w:r>
        <w:rPr>
          <w:rFonts w:hint="eastAsia" w:ascii="宋体" w:hAnsi="宋体"/>
          <w:b/>
          <w:kern w:val="44"/>
        </w:rPr>
        <w:t>第三条</w:t>
      </w:r>
      <w:r>
        <w:rPr>
          <w:rFonts w:hint="eastAsia" w:ascii="宋体" w:hAnsi="宋体"/>
          <w:kern w:val="44"/>
        </w:rPr>
        <w:t>　本市专利工作应当遵循激励创新、合理运用、依法保护、科学管理、完善服务的原则。</w:t>
      </w:r>
    </w:p>
    <w:p w14:paraId="4264472A">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政府应当按照首都知识产权战略制定专利保护和促进规划，将专利工作纳入国民经济和社会发展规划并组织实施，保障专利事业发展需要的经费和投入，加强体制机制创新和政策环境建设，建立和完善专利发展评价指标，提升社会的专利创造、运用、保护和管理能力。</w:t>
      </w:r>
    </w:p>
    <w:p w14:paraId="5A768951">
      <w:pPr>
        <w:jc w:val="left"/>
        <w:rPr>
          <w:rFonts w:ascii="宋体" w:hAnsi="宋体"/>
          <w:kern w:val="44"/>
        </w:rPr>
      </w:pPr>
      <w:r>
        <w:rPr>
          <w:rFonts w:hint="eastAsia" w:ascii="宋体" w:hAnsi="宋体"/>
          <w:kern w:val="44"/>
        </w:rPr>
        <w:t>市和区、县人民政府应当加强服务，完善有利于专利保护和促进的市场环境，健全政府与市场、社会的统筹协调机制。</w:t>
      </w:r>
    </w:p>
    <w:p w14:paraId="61F10595">
      <w:pPr>
        <w:ind w:firstLine="422"/>
        <w:jc w:val="left"/>
        <w:rPr>
          <w:rFonts w:ascii="宋体" w:hAnsi="宋体"/>
          <w:kern w:val="44"/>
        </w:rPr>
      </w:pPr>
      <w:r>
        <w:rPr>
          <w:rFonts w:hint="eastAsia" w:ascii="宋体" w:hAnsi="宋体"/>
          <w:b/>
          <w:kern w:val="44"/>
        </w:rPr>
        <w:t>第五条</w:t>
      </w:r>
      <w:r>
        <w:rPr>
          <w:rFonts w:hint="eastAsia" w:ascii="宋体" w:hAnsi="宋体"/>
          <w:kern w:val="44"/>
        </w:rPr>
        <w:t>　市专利管理部门负责本行政区域内的专利工作。</w:t>
      </w:r>
    </w:p>
    <w:p w14:paraId="1A12EEB0">
      <w:pPr>
        <w:jc w:val="left"/>
        <w:rPr>
          <w:rFonts w:ascii="宋体" w:hAnsi="宋体"/>
          <w:kern w:val="44"/>
        </w:rPr>
      </w:pPr>
      <w:r>
        <w:rPr>
          <w:rFonts w:hint="eastAsia" w:ascii="宋体" w:hAnsi="宋体"/>
          <w:kern w:val="44"/>
        </w:rPr>
        <w:t>区、县专利管理部门在市专利管理部门的指导下，开展有关专利保护和促进工作。</w:t>
      </w:r>
    </w:p>
    <w:p w14:paraId="53D444B1">
      <w:pPr>
        <w:jc w:val="left"/>
        <w:rPr>
          <w:rFonts w:ascii="宋体" w:hAnsi="宋体"/>
          <w:kern w:val="44"/>
        </w:rPr>
      </w:pPr>
      <w:r>
        <w:rPr>
          <w:rFonts w:hint="eastAsia" w:ascii="宋体" w:hAnsi="宋体"/>
          <w:kern w:val="44"/>
        </w:rPr>
        <w:t>发展改革、科学技术、经济和信息化、人力资源和社会保障、教育、农业、工商、商务以及国有资产管理等有关部门，应当按照各自的职责做好相关工作。</w:t>
      </w:r>
    </w:p>
    <w:p w14:paraId="7846671E">
      <w:pPr>
        <w:ind w:firstLine="422"/>
        <w:jc w:val="left"/>
        <w:rPr>
          <w:rFonts w:ascii="宋体" w:hAnsi="宋体"/>
          <w:kern w:val="44"/>
        </w:rPr>
      </w:pPr>
      <w:r>
        <w:rPr>
          <w:rFonts w:hint="eastAsia" w:ascii="宋体" w:hAnsi="宋体"/>
          <w:b/>
          <w:kern w:val="44"/>
        </w:rPr>
        <w:t>第六条</w:t>
      </w:r>
      <w:r>
        <w:rPr>
          <w:rFonts w:hint="eastAsia" w:ascii="宋体" w:hAnsi="宋体"/>
          <w:kern w:val="44"/>
        </w:rPr>
        <w:t>　市和区、县人民政府有关部门应当指导企业、事业单位开展专利工作，引导企业、事业单位建立健全专利管理体系和管理制度。</w:t>
      </w:r>
    </w:p>
    <w:p w14:paraId="2FAEA529">
      <w:pPr>
        <w:ind w:firstLine="422"/>
        <w:jc w:val="left"/>
        <w:rPr>
          <w:rFonts w:ascii="宋体" w:hAnsi="宋体"/>
          <w:kern w:val="44"/>
        </w:rPr>
      </w:pPr>
      <w:r>
        <w:rPr>
          <w:rFonts w:hint="eastAsia" w:ascii="宋体" w:hAnsi="宋体"/>
          <w:b/>
          <w:kern w:val="44"/>
        </w:rPr>
        <w:t>第七条</w:t>
      </w:r>
      <w:r>
        <w:rPr>
          <w:rFonts w:hint="eastAsia" w:ascii="宋体" w:hAnsi="宋体"/>
          <w:kern w:val="44"/>
        </w:rPr>
        <w:t>　市和区、县人民政府有关部门及有关单位应当加强专利宣传教育，在法制宣传教育计划和公务员培训体系中纳入专利知识的内容，加强对企业、事业单位人员的培训，鼓励高等院校开设专利课程，提高全社会的专利意识，营造专利保护和促进的良好环境。</w:t>
      </w:r>
    </w:p>
    <w:p w14:paraId="6C2F43C8">
      <w:pPr>
        <w:ind w:firstLine="422"/>
        <w:jc w:val="left"/>
        <w:rPr>
          <w:rFonts w:ascii="宋体" w:hAnsi="宋体"/>
          <w:kern w:val="44"/>
        </w:rPr>
      </w:pPr>
      <w:r>
        <w:rPr>
          <w:rFonts w:hint="eastAsia" w:ascii="宋体" w:hAnsi="宋体"/>
          <w:b/>
          <w:kern w:val="44"/>
        </w:rPr>
        <w:t>第八条</w:t>
      </w:r>
      <w:r>
        <w:rPr>
          <w:rFonts w:hint="eastAsia" w:ascii="宋体" w:hAnsi="宋体"/>
          <w:kern w:val="44"/>
        </w:rPr>
        <w:t>　市和区、县人民政府有关部门应当加强对专利信息发布、新闻报道工作的组织、协调，对重大专利事件新闻报道和舆情进行收集、分析、通报。</w:t>
      </w:r>
    </w:p>
    <w:p w14:paraId="1088053C">
      <w:pPr>
        <w:spacing w:line="300" w:lineRule="exact"/>
        <w:jc w:val="left"/>
        <w:rPr>
          <w:rFonts w:ascii="宋体" w:hAnsi="宋体"/>
          <w:kern w:val="44"/>
        </w:rPr>
      </w:pPr>
    </w:p>
    <w:p w14:paraId="182F89FF">
      <w:pPr>
        <w:ind w:firstLine="0" w:firstLineChars="0"/>
        <w:jc w:val="center"/>
        <w:rPr>
          <w:rFonts w:ascii="宋体" w:hAnsi="宋体"/>
          <w:b/>
          <w:kern w:val="44"/>
          <w:sz w:val="28"/>
        </w:rPr>
      </w:pPr>
      <w:r>
        <w:rPr>
          <w:rFonts w:hint="eastAsia" w:ascii="宋体" w:hAnsi="宋体"/>
          <w:b/>
          <w:kern w:val="44"/>
          <w:sz w:val="28"/>
        </w:rPr>
        <w:t>第二章　专利保护</w:t>
      </w:r>
    </w:p>
    <w:p w14:paraId="4F898804">
      <w:pPr>
        <w:spacing w:line="300" w:lineRule="exact"/>
        <w:jc w:val="left"/>
        <w:rPr>
          <w:rFonts w:ascii="宋体" w:hAnsi="宋体"/>
          <w:kern w:val="44"/>
        </w:rPr>
      </w:pPr>
    </w:p>
    <w:p w14:paraId="36FF4660">
      <w:pPr>
        <w:ind w:firstLine="422"/>
        <w:jc w:val="left"/>
        <w:rPr>
          <w:rFonts w:ascii="宋体" w:hAnsi="宋体"/>
          <w:kern w:val="44"/>
        </w:rPr>
      </w:pPr>
      <w:r>
        <w:rPr>
          <w:rFonts w:hint="eastAsia" w:ascii="宋体" w:hAnsi="宋体"/>
          <w:b/>
          <w:kern w:val="44"/>
        </w:rPr>
        <w:t>第九条</w:t>
      </w:r>
      <w:r>
        <w:rPr>
          <w:rFonts w:hint="eastAsia" w:ascii="宋体" w:hAnsi="宋体"/>
          <w:kern w:val="44"/>
        </w:rPr>
        <w:t>　市专利管理、工商、商务等有关部门应当建立专利保护的预防、查处、处理工作机制，重点预防假冒专利行为和群体性专利侵权行为，依法查处假冒专利行为、处理专利侵权纠纷。</w:t>
      </w:r>
    </w:p>
    <w:p w14:paraId="4803B0E8">
      <w:pPr>
        <w:ind w:firstLine="422"/>
        <w:jc w:val="left"/>
        <w:rPr>
          <w:rFonts w:ascii="宋体" w:hAnsi="宋体"/>
          <w:kern w:val="44"/>
        </w:rPr>
      </w:pPr>
      <w:r>
        <w:rPr>
          <w:rFonts w:hint="eastAsia" w:ascii="宋体" w:hAnsi="宋体"/>
          <w:b/>
          <w:kern w:val="44"/>
        </w:rPr>
        <w:t>第十条</w:t>
      </w:r>
      <w:r>
        <w:rPr>
          <w:rFonts w:hint="eastAsia" w:ascii="宋体" w:hAnsi="宋体"/>
          <w:kern w:val="44"/>
        </w:rPr>
        <w:t>　市专利管理部门查处假冒专利行为、处理专利侵权纠纷时，应当依法调查取证，相关单位和个人应当协助配合，如实反映情况，不得拒绝、阻挠。</w:t>
      </w:r>
    </w:p>
    <w:p w14:paraId="1A7585E5">
      <w:pPr>
        <w:jc w:val="left"/>
        <w:rPr>
          <w:rFonts w:ascii="宋体" w:hAnsi="宋体"/>
          <w:kern w:val="44"/>
        </w:rPr>
      </w:pPr>
      <w:r>
        <w:rPr>
          <w:rFonts w:hint="eastAsia" w:ascii="宋体" w:hAnsi="宋体"/>
          <w:kern w:val="44"/>
        </w:rPr>
        <w:t>市专利管理部门查处假冒专利行为时，对有证据证明是假冒专利的产品，依法查封或者扣押。</w:t>
      </w:r>
    </w:p>
    <w:p w14:paraId="167F387F">
      <w:pPr>
        <w:ind w:firstLine="422"/>
        <w:jc w:val="left"/>
        <w:rPr>
          <w:rFonts w:ascii="宋体" w:hAnsi="宋体"/>
          <w:kern w:val="44"/>
        </w:rPr>
      </w:pPr>
      <w:r>
        <w:rPr>
          <w:rFonts w:hint="eastAsia" w:ascii="宋体" w:hAnsi="宋体"/>
          <w:b/>
          <w:kern w:val="44"/>
        </w:rPr>
        <w:t>第十一条</w:t>
      </w:r>
      <w:r>
        <w:rPr>
          <w:rFonts w:hint="eastAsia" w:ascii="宋体" w:hAnsi="宋体"/>
          <w:kern w:val="44"/>
        </w:rPr>
        <w:t>　市专利管理部门处理专利侵权纠纷，认定专利侵权行为成立并作出处理决定的，应当按照下列规定采取措施制止侵权行为：</w:t>
      </w:r>
    </w:p>
    <w:p w14:paraId="60A4B168">
      <w:pPr>
        <w:jc w:val="left"/>
        <w:rPr>
          <w:rFonts w:ascii="宋体" w:hAnsi="宋体"/>
          <w:kern w:val="44"/>
        </w:rPr>
      </w:pPr>
      <w:r>
        <w:rPr>
          <w:rFonts w:hint="eastAsia" w:ascii="宋体" w:hAnsi="宋体"/>
          <w:kern w:val="44"/>
        </w:rPr>
        <w:t>（一）侵权人制造专利侵权产品的，责令其立即停止制造行为、销毁制造侵权产品的专用设备、模具等生产工具，并不得销售、使用尚未售出的侵权产品或者以其他形式将其投放市场；</w:t>
      </w:r>
    </w:p>
    <w:p w14:paraId="14A2B293">
      <w:pPr>
        <w:jc w:val="left"/>
        <w:rPr>
          <w:rFonts w:ascii="宋体" w:hAnsi="宋体"/>
          <w:kern w:val="44"/>
        </w:rPr>
      </w:pPr>
      <w:r>
        <w:rPr>
          <w:rFonts w:hint="eastAsia" w:ascii="宋体" w:hAnsi="宋体"/>
          <w:kern w:val="44"/>
        </w:rPr>
        <w:t>（二）侵权人未经专利权人许可使用专利方法的，责令其立即停止使用行为、销毁实施专利方法的专用设备、模具等生产工具，并不得销售、使用尚未售出的依照专利方法所直接获得的侵权产品或者以其他形式将其投放市场；</w:t>
      </w:r>
    </w:p>
    <w:p w14:paraId="134D0A59">
      <w:pPr>
        <w:jc w:val="left"/>
        <w:rPr>
          <w:rFonts w:ascii="宋体" w:hAnsi="宋体"/>
          <w:kern w:val="44"/>
        </w:rPr>
      </w:pPr>
      <w:r>
        <w:rPr>
          <w:rFonts w:hint="eastAsia" w:ascii="宋体" w:hAnsi="宋体"/>
          <w:kern w:val="44"/>
        </w:rPr>
        <w:t>（三）侵权人销售专利侵权产品或者依照专利方法直接获得的侵权产品的，责令其立即停止销售行为，并不得使用尚未售出的侵权产品或者以其他形式将其投放市场；</w:t>
      </w:r>
    </w:p>
    <w:p w14:paraId="64235CFD">
      <w:pPr>
        <w:jc w:val="left"/>
        <w:rPr>
          <w:rFonts w:ascii="宋体" w:hAnsi="宋体"/>
          <w:kern w:val="44"/>
        </w:rPr>
      </w:pPr>
      <w:r>
        <w:rPr>
          <w:rFonts w:hint="eastAsia" w:ascii="宋体" w:hAnsi="宋体"/>
          <w:kern w:val="44"/>
        </w:rPr>
        <w:t>（四）侵权人许诺销售专利侵权产品或者依照专利方法直接获得的侵权产品的，责令其立即停止许诺销售侵权产品的行为、消除影响，并不得进行任何实际销售行为；</w:t>
      </w:r>
    </w:p>
    <w:p w14:paraId="0AAE9609">
      <w:pPr>
        <w:jc w:val="left"/>
        <w:rPr>
          <w:rFonts w:ascii="宋体" w:hAnsi="宋体"/>
          <w:kern w:val="44"/>
        </w:rPr>
      </w:pPr>
      <w:r>
        <w:rPr>
          <w:rFonts w:hint="eastAsia" w:ascii="宋体" w:hAnsi="宋体"/>
          <w:kern w:val="44"/>
        </w:rPr>
        <w:t>（五）侵权人进口专利侵权产品或者依照专利方法直接获得的侵权产品，已经进入本市的，责令其不得销售、使用该侵权产品或者以其他形式将其投放市场；</w:t>
      </w:r>
    </w:p>
    <w:p w14:paraId="6EF2789E">
      <w:pPr>
        <w:jc w:val="left"/>
        <w:rPr>
          <w:rFonts w:ascii="宋体" w:hAnsi="宋体"/>
          <w:kern w:val="44"/>
        </w:rPr>
      </w:pPr>
      <w:r>
        <w:rPr>
          <w:rFonts w:hint="eastAsia" w:ascii="宋体" w:hAnsi="宋体"/>
          <w:kern w:val="44"/>
        </w:rPr>
        <w:t>（六）侵权人以生产经营为目的使用专利侵权产品的，责令其立即停止使用行为；</w:t>
      </w:r>
    </w:p>
    <w:p w14:paraId="34FFF0A7">
      <w:pPr>
        <w:jc w:val="left"/>
        <w:rPr>
          <w:rFonts w:ascii="宋体" w:hAnsi="宋体"/>
          <w:kern w:val="44"/>
        </w:rPr>
      </w:pPr>
      <w:r>
        <w:rPr>
          <w:rFonts w:hint="eastAsia" w:ascii="宋体" w:hAnsi="宋体"/>
          <w:kern w:val="44"/>
        </w:rPr>
        <w:t>（七）制止侵权行为的其他必要措施。</w:t>
      </w:r>
    </w:p>
    <w:p w14:paraId="4FDD867F">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本市建立专利保护工作协调机制，完善执法协作工作平台，健全专利案件行政执法和司法衔接机制，完善行政机关之间以及行政机关与司法机关之间的案件移送和线索通报制度。</w:t>
      </w:r>
    </w:p>
    <w:p w14:paraId="776893C6">
      <w:pPr>
        <w:ind w:firstLine="422"/>
        <w:jc w:val="left"/>
        <w:rPr>
          <w:rFonts w:ascii="宋体" w:hAnsi="宋体"/>
          <w:kern w:val="44"/>
        </w:rPr>
      </w:pPr>
      <w:r>
        <w:rPr>
          <w:rFonts w:hint="eastAsia" w:ascii="宋体" w:hAnsi="宋体"/>
          <w:b/>
          <w:kern w:val="44"/>
        </w:rPr>
        <w:t>第十三条</w:t>
      </w:r>
      <w:r>
        <w:rPr>
          <w:rFonts w:hint="eastAsia" w:ascii="宋体" w:hAnsi="宋体"/>
          <w:kern w:val="44"/>
        </w:rPr>
        <w:t>　发生专利纠纷的，当事人可以自行协商解决，也可以在行政处理时向市专利管理部门申请行政调解，或者向人民法院提起诉讼。行业协会及其他中介组织可以接受行政机关或者人民法院委托进行调解的相关工作。</w:t>
      </w:r>
    </w:p>
    <w:p w14:paraId="41212564">
      <w:pPr>
        <w:ind w:firstLine="422"/>
        <w:jc w:val="left"/>
        <w:rPr>
          <w:rFonts w:ascii="宋体" w:hAnsi="宋体"/>
          <w:kern w:val="44"/>
        </w:rPr>
      </w:pPr>
      <w:r>
        <w:rPr>
          <w:rFonts w:hint="eastAsia" w:ascii="宋体" w:hAnsi="宋体"/>
          <w:b/>
          <w:kern w:val="44"/>
        </w:rPr>
        <w:t>第十四条</w:t>
      </w:r>
      <w:r>
        <w:rPr>
          <w:rFonts w:hint="eastAsia" w:ascii="宋体" w:hAnsi="宋体"/>
          <w:kern w:val="44"/>
        </w:rPr>
        <w:t>　市专利管理部门处理专利纠纷时，在当事人自愿的基础上优先采用调解的方式解决纠纷。专利纠纷当事人可以就下列专利纠纷请求市专利管理部门调解：</w:t>
      </w:r>
    </w:p>
    <w:p w14:paraId="02A463DE">
      <w:pPr>
        <w:jc w:val="left"/>
        <w:rPr>
          <w:rFonts w:ascii="宋体" w:hAnsi="宋体"/>
          <w:kern w:val="44"/>
        </w:rPr>
      </w:pPr>
      <w:r>
        <w:rPr>
          <w:rFonts w:hint="eastAsia" w:ascii="宋体" w:hAnsi="宋体"/>
          <w:kern w:val="44"/>
        </w:rPr>
        <w:t>（一）侵犯专利权的赔偿数额纠纷；</w:t>
      </w:r>
    </w:p>
    <w:p w14:paraId="27F91520">
      <w:pPr>
        <w:jc w:val="left"/>
        <w:rPr>
          <w:rFonts w:ascii="宋体" w:hAnsi="宋体"/>
          <w:kern w:val="44"/>
        </w:rPr>
      </w:pPr>
      <w:r>
        <w:rPr>
          <w:rFonts w:hint="eastAsia" w:ascii="宋体" w:hAnsi="宋体"/>
          <w:kern w:val="44"/>
        </w:rPr>
        <w:t>（二）专利申请权和专利权归属纠纷；</w:t>
      </w:r>
    </w:p>
    <w:p w14:paraId="2918F616">
      <w:pPr>
        <w:jc w:val="left"/>
        <w:rPr>
          <w:rFonts w:ascii="宋体" w:hAnsi="宋体"/>
          <w:kern w:val="44"/>
        </w:rPr>
      </w:pPr>
      <w:r>
        <w:rPr>
          <w:rFonts w:hint="eastAsia" w:ascii="宋体" w:hAnsi="宋体"/>
          <w:kern w:val="44"/>
        </w:rPr>
        <w:t>（三）发明人、设计人资格纠纷；</w:t>
      </w:r>
    </w:p>
    <w:p w14:paraId="3EF7E361">
      <w:pPr>
        <w:jc w:val="left"/>
        <w:rPr>
          <w:rFonts w:ascii="宋体" w:hAnsi="宋体"/>
          <w:kern w:val="44"/>
        </w:rPr>
      </w:pPr>
      <w:r>
        <w:rPr>
          <w:rFonts w:hint="eastAsia" w:ascii="宋体" w:hAnsi="宋体"/>
          <w:kern w:val="44"/>
        </w:rPr>
        <w:t>（四）职务发明创造的发明人、设计人的奖励和报酬纠纷；</w:t>
      </w:r>
    </w:p>
    <w:p w14:paraId="7228FE69">
      <w:pPr>
        <w:jc w:val="left"/>
        <w:rPr>
          <w:rFonts w:ascii="宋体" w:hAnsi="宋体"/>
          <w:kern w:val="44"/>
        </w:rPr>
      </w:pPr>
      <w:r>
        <w:rPr>
          <w:rFonts w:hint="eastAsia" w:ascii="宋体" w:hAnsi="宋体"/>
          <w:kern w:val="44"/>
        </w:rPr>
        <w:t>（五）专利权被授予之后提出，该发明专利申请公布后，专利权授予前使用发明而未支付适当费用的纠纷；</w:t>
      </w:r>
    </w:p>
    <w:p w14:paraId="1BC2FE58">
      <w:pPr>
        <w:jc w:val="left"/>
        <w:rPr>
          <w:rFonts w:ascii="宋体" w:hAnsi="宋体"/>
          <w:kern w:val="44"/>
        </w:rPr>
      </w:pPr>
      <w:r>
        <w:rPr>
          <w:rFonts w:hint="eastAsia" w:ascii="宋体" w:hAnsi="宋体"/>
          <w:kern w:val="44"/>
        </w:rPr>
        <w:t>（六）其他专利纠纷。</w:t>
      </w:r>
    </w:p>
    <w:p w14:paraId="6863F5F8">
      <w:pPr>
        <w:ind w:firstLine="422"/>
        <w:jc w:val="left"/>
        <w:rPr>
          <w:rFonts w:ascii="宋体" w:hAnsi="宋体"/>
          <w:kern w:val="44"/>
        </w:rPr>
      </w:pPr>
      <w:r>
        <w:rPr>
          <w:rFonts w:hint="eastAsia" w:ascii="宋体" w:hAnsi="宋体"/>
          <w:b/>
          <w:kern w:val="44"/>
        </w:rPr>
        <w:t>第十五条</w:t>
      </w:r>
      <w:r>
        <w:rPr>
          <w:rFonts w:hint="eastAsia" w:ascii="宋体" w:hAnsi="宋体"/>
          <w:kern w:val="44"/>
        </w:rPr>
        <w:t>　市专利管理部门进行调解时应当坚持自愿、合法原则，在查明事实、分清是非的基础上，促使当事人相互谅解，协商解决纠纷。双方当事人经调解达成协议的，市专利管理部门应当制作调解协议书，并告知双方当事人可以向人民法院申请司法确认；未能达成协议的，市专利管理部门应当依法处理。</w:t>
      </w:r>
    </w:p>
    <w:p w14:paraId="6294248A">
      <w:pPr>
        <w:ind w:firstLine="422"/>
        <w:jc w:val="left"/>
        <w:rPr>
          <w:rFonts w:ascii="宋体" w:hAnsi="宋体"/>
          <w:kern w:val="44"/>
        </w:rPr>
      </w:pPr>
      <w:r>
        <w:rPr>
          <w:rFonts w:hint="eastAsia" w:ascii="宋体" w:hAnsi="宋体"/>
          <w:b/>
          <w:kern w:val="44"/>
        </w:rPr>
        <w:t>第十六条</w:t>
      </w:r>
      <w:r>
        <w:rPr>
          <w:rFonts w:hint="eastAsia" w:ascii="宋体" w:hAnsi="宋体"/>
          <w:kern w:val="44"/>
        </w:rPr>
        <w:t>　专利权人或者利害关系人应当合理运用专利制度，不得滥用专利权限制技术竞争和技术发展，维护公平竞争的市场秩序、公共利益以及他人合法权益。</w:t>
      </w:r>
    </w:p>
    <w:p w14:paraId="5C7D5DC1">
      <w:pPr>
        <w:ind w:firstLine="422"/>
        <w:jc w:val="left"/>
        <w:rPr>
          <w:rFonts w:ascii="宋体" w:hAnsi="宋体"/>
          <w:kern w:val="44"/>
        </w:rPr>
      </w:pPr>
      <w:r>
        <w:rPr>
          <w:rFonts w:hint="eastAsia" w:ascii="宋体" w:hAnsi="宋体"/>
          <w:b/>
          <w:kern w:val="44"/>
        </w:rPr>
        <w:t>第十七条</w:t>
      </w:r>
      <w:r>
        <w:rPr>
          <w:rFonts w:hint="eastAsia" w:ascii="宋体" w:hAnsi="宋体"/>
          <w:kern w:val="44"/>
        </w:rPr>
        <w:t>　大型零售企业应当与供货企业就专利保护事项进行约定，明确双方的专利保护责任，预防假冒专利产品和专利侵权产品进入流通市场；专利产品的供货企业应当提供专利证书或者专利实施许可合同等相关证明材料。</w:t>
      </w:r>
    </w:p>
    <w:p w14:paraId="4418CA93">
      <w:pPr>
        <w:ind w:firstLine="422"/>
        <w:jc w:val="left"/>
        <w:rPr>
          <w:rFonts w:ascii="宋体" w:hAnsi="宋体"/>
          <w:kern w:val="44"/>
        </w:rPr>
      </w:pPr>
      <w:r>
        <w:rPr>
          <w:rFonts w:hint="eastAsia" w:ascii="宋体" w:hAnsi="宋体"/>
          <w:b/>
          <w:kern w:val="44"/>
        </w:rPr>
        <w:t>第十八条</w:t>
      </w:r>
      <w:r>
        <w:rPr>
          <w:rFonts w:hint="eastAsia" w:ascii="宋体" w:hAnsi="宋体"/>
          <w:kern w:val="44"/>
        </w:rPr>
        <w:t>　展览会、展示会、博览会、交易会等活动的主办方应当与参展方就专利保护事项进行约定，按照相关规定做好专利保护工作；参展方以专利产品或者专利技术的名义进场参展的，应当提供专利证书或者专利实施许可合同等相关证明材料；依法需要向海关部门申报的，应当提交相关材料。</w:t>
      </w:r>
    </w:p>
    <w:p w14:paraId="77A87703">
      <w:pPr>
        <w:jc w:val="left"/>
        <w:rPr>
          <w:rFonts w:ascii="宋体" w:hAnsi="宋体"/>
          <w:kern w:val="44"/>
        </w:rPr>
      </w:pPr>
      <w:r>
        <w:rPr>
          <w:rFonts w:hint="eastAsia" w:ascii="宋体" w:hAnsi="宋体"/>
          <w:kern w:val="44"/>
        </w:rPr>
        <w:t>在展会期间，展会的主办方、承办方、参展方应当对专利管理等部门的工作予以配合。</w:t>
      </w:r>
    </w:p>
    <w:p w14:paraId="6EC161A9">
      <w:pPr>
        <w:ind w:firstLine="422"/>
        <w:jc w:val="left"/>
        <w:rPr>
          <w:rFonts w:ascii="宋体" w:hAnsi="宋体"/>
          <w:kern w:val="44"/>
        </w:rPr>
      </w:pPr>
      <w:r>
        <w:rPr>
          <w:rFonts w:hint="eastAsia" w:ascii="宋体" w:hAnsi="宋体"/>
          <w:b/>
          <w:kern w:val="44"/>
        </w:rPr>
        <w:t>第十九条</w:t>
      </w:r>
      <w:r>
        <w:rPr>
          <w:rFonts w:hint="eastAsia" w:ascii="宋体" w:hAnsi="宋体"/>
          <w:kern w:val="44"/>
        </w:rPr>
        <w:t>　市专利管理部门应当建立企业实施假冒专利、专利侵权违法行为的档案，纳入本市企业信用信息系统，对于依法给予行政处罚或者追究刑事责任的情形，应当及时向社会公布。</w:t>
      </w:r>
    </w:p>
    <w:p w14:paraId="5B3183E7">
      <w:pPr>
        <w:ind w:firstLine="422"/>
        <w:jc w:val="left"/>
        <w:rPr>
          <w:rFonts w:ascii="宋体" w:hAnsi="宋体"/>
          <w:kern w:val="44"/>
        </w:rPr>
      </w:pPr>
      <w:r>
        <w:rPr>
          <w:rFonts w:hint="eastAsia" w:ascii="宋体" w:hAnsi="宋体"/>
          <w:b/>
          <w:kern w:val="44"/>
        </w:rPr>
        <w:t>第二十条</w:t>
      </w:r>
      <w:r>
        <w:rPr>
          <w:rFonts w:hint="eastAsia" w:ascii="宋体" w:hAnsi="宋体"/>
          <w:kern w:val="44"/>
        </w:rPr>
        <w:t>　本市设立专利举报投诉工作平台，公布举报投诉方式，并为举报人保密。</w:t>
      </w:r>
    </w:p>
    <w:p w14:paraId="1C61F7E6">
      <w:pPr>
        <w:jc w:val="left"/>
        <w:rPr>
          <w:rFonts w:ascii="宋体" w:hAnsi="宋体"/>
          <w:kern w:val="44"/>
        </w:rPr>
      </w:pPr>
      <w:r>
        <w:rPr>
          <w:rFonts w:hint="eastAsia" w:ascii="宋体" w:hAnsi="宋体"/>
          <w:kern w:val="44"/>
        </w:rPr>
        <w:t>任何单位和个人有权向市和区、县专利管理部门举报投诉假冒专利行为，提供违法行为线索。对于举报查实的，应当予以奖励。</w:t>
      </w:r>
    </w:p>
    <w:p w14:paraId="54D17A02">
      <w:pPr>
        <w:ind w:firstLine="422"/>
        <w:jc w:val="left"/>
        <w:rPr>
          <w:rFonts w:ascii="宋体" w:hAnsi="宋体"/>
          <w:kern w:val="44"/>
        </w:rPr>
      </w:pPr>
      <w:r>
        <w:rPr>
          <w:rFonts w:hint="eastAsia" w:ascii="宋体" w:hAnsi="宋体"/>
          <w:b/>
          <w:kern w:val="44"/>
        </w:rPr>
        <w:t>第二十一条</w:t>
      </w:r>
      <w:r>
        <w:rPr>
          <w:rFonts w:hint="eastAsia" w:ascii="宋体" w:hAnsi="宋体"/>
          <w:kern w:val="44"/>
        </w:rPr>
        <w:t>　本市知识产权维权援助机构应当积极开展专利维权援助工作，重点援助、扶持困难人员和中小企业，实现维权援助的公益化、专业化、规范化。</w:t>
      </w:r>
    </w:p>
    <w:p w14:paraId="6F1F866B">
      <w:pPr>
        <w:ind w:firstLine="422"/>
        <w:jc w:val="left"/>
        <w:rPr>
          <w:rFonts w:ascii="宋体" w:hAnsi="宋体"/>
          <w:kern w:val="44"/>
        </w:rPr>
      </w:pPr>
      <w:r>
        <w:rPr>
          <w:rFonts w:hint="eastAsia" w:ascii="宋体" w:hAnsi="宋体"/>
          <w:b/>
          <w:kern w:val="44"/>
        </w:rPr>
        <w:t>第二十二条</w:t>
      </w:r>
      <w:r>
        <w:rPr>
          <w:rFonts w:hint="eastAsia" w:ascii="宋体" w:hAnsi="宋体"/>
          <w:kern w:val="44"/>
        </w:rPr>
        <w:t>　市专利管理及相关部门应当指导企业、行业协会建立专利海外援助机制，鼓励行业协会、服务机构为企业提供应对海外专利纠纷、争端和突发事件的服务。行业协会应当制定本行业专利海外应急预案，指导会员建立海外专利保护制度。</w:t>
      </w:r>
    </w:p>
    <w:p w14:paraId="7F532F00">
      <w:pPr>
        <w:jc w:val="left"/>
        <w:rPr>
          <w:rFonts w:ascii="宋体" w:hAnsi="宋体"/>
          <w:kern w:val="44"/>
        </w:rPr>
      </w:pPr>
    </w:p>
    <w:p w14:paraId="62EF06E9">
      <w:pPr>
        <w:ind w:firstLine="0" w:firstLineChars="0"/>
        <w:jc w:val="center"/>
        <w:rPr>
          <w:rFonts w:ascii="宋体" w:hAnsi="宋体"/>
          <w:b/>
          <w:kern w:val="44"/>
          <w:sz w:val="28"/>
        </w:rPr>
      </w:pPr>
      <w:r>
        <w:rPr>
          <w:rFonts w:hint="eastAsia" w:ascii="宋体" w:hAnsi="宋体"/>
          <w:b/>
          <w:kern w:val="44"/>
          <w:sz w:val="28"/>
        </w:rPr>
        <w:t>第三章　专利促进</w:t>
      </w:r>
    </w:p>
    <w:p w14:paraId="3CF6D70C">
      <w:pPr>
        <w:jc w:val="left"/>
        <w:rPr>
          <w:rFonts w:ascii="宋体" w:hAnsi="宋体"/>
          <w:kern w:val="44"/>
        </w:rPr>
      </w:pPr>
    </w:p>
    <w:p w14:paraId="73D78835">
      <w:pPr>
        <w:ind w:firstLine="422"/>
        <w:jc w:val="left"/>
        <w:rPr>
          <w:rFonts w:ascii="宋体" w:hAnsi="宋体"/>
          <w:kern w:val="44"/>
        </w:rPr>
      </w:pPr>
      <w:r>
        <w:rPr>
          <w:rFonts w:hint="eastAsia" w:ascii="宋体" w:hAnsi="宋体"/>
          <w:b/>
          <w:kern w:val="44"/>
        </w:rPr>
        <w:t>第二十三条</w:t>
      </w:r>
      <w:r>
        <w:rPr>
          <w:rFonts w:hint="eastAsia" w:ascii="宋体" w:hAnsi="宋体"/>
          <w:kern w:val="44"/>
        </w:rPr>
        <w:t>　本市鼓励企业、科研院所、高等院校制定专利战略，加强科学技术的研究开发和专利创造、运用、保护、管理工作；鼓励个人发明创造，申请专利。</w:t>
      </w:r>
    </w:p>
    <w:p w14:paraId="34CDDC3A">
      <w:pPr>
        <w:ind w:firstLine="422"/>
        <w:jc w:val="left"/>
        <w:rPr>
          <w:rFonts w:ascii="宋体" w:hAnsi="宋体"/>
          <w:kern w:val="44"/>
        </w:rPr>
      </w:pPr>
      <w:r>
        <w:rPr>
          <w:rFonts w:hint="eastAsia" w:ascii="宋体" w:hAnsi="宋体"/>
          <w:b/>
          <w:kern w:val="44"/>
        </w:rPr>
        <w:t>第二十四条</w:t>
      </w:r>
      <w:r>
        <w:rPr>
          <w:rFonts w:hint="eastAsia" w:ascii="宋体" w:hAnsi="宋体"/>
          <w:kern w:val="44"/>
        </w:rPr>
        <w:t>　本市应当以提高自主创新能力为核心，创新组织模式，构建、完善以项目为载体、企业为主体、市场为导向、产学研用相结合的技术创新体系。</w:t>
      </w:r>
    </w:p>
    <w:p w14:paraId="03673E0D">
      <w:pPr>
        <w:ind w:firstLine="422"/>
        <w:jc w:val="left"/>
        <w:rPr>
          <w:rFonts w:ascii="宋体" w:hAnsi="宋体"/>
          <w:kern w:val="44"/>
        </w:rPr>
      </w:pPr>
      <w:r>
        <w:rPr>
          <w:rFonts w:hint="eastAsia" w:ascii="宋体" w:hAnsi="宋体"/>
          <w:b/>
          <w:kern w:val="44"/>
        </w:rPr>
        <w:t>第二十五条</w:t>
      </w:r>
      <w:r>
        <w:rPr>
          <w:rFonts w:hint="eastAsia" w:ascii="宋体" w:hAnsi="宋体"/>
          <w:kern w:val="44"/>
        </w:rPr>
        <w:t>　本市鼓励高等院校和科研院所依法申请专利，实施专利；支持企业、高等院校、科研院所开展多渠道、多形式的合作，共同研究开发和实施专利。</w:t>
      </w:r>
    </w:p>
    <w:p w14:paraId="5D62BF52">
      <w:pPr>
        <w:ind w:firstLine="422"/>
        <w:jc w:val="left"/>
        <w:rPr>
          <w:rFonts w:ascii="宋体" w:hAnsi="宋体"/>
          <w:kern w:val="44"/>
        </w:rPr>
      </w:pPr>
      <w:r>
        <w:rPr>
          <w:rFonts w:hint="eastAsia" w:ascii="宋体" w:hAnsi="宋体"/>
          <w:b/>
          <w:kern w:val="44"/>
        </w:rPr>
        <w:t>第二十六条</w:t>
      </w:r>
      <w:r>
        <w:rPr>
          <w:rFonts w:hint="eastAsia" w:ascii="宋体" w:hAnsi="宋体"/>
          <w:kern w:val="44"/>
        </w:rPr>
        <w:t>　本市建立重大经济活动专利评议制度，对使用大额政府财政资金、涉及国有资产数额较大或者对经济社会发展有重大影响的经济活动进行专利评估和审议，防范专利纠纷隐患和市场风险，避免低水平重复研究，为政府科学决策提供依据。具体评议办法由市人民政府规定。</w:t>
      </w:r>
    </w:p>
    <w:p w14:paraId="63C6360F">
      <w:pPr>
        <w:ind w:firstLine="422"/>
        <w:jc w:val="left"/>
        <w:rPr>
          <w:rFonts w:ascii="宋体" w:hAnsi="宋体"/>
          <w:kern w:val="44"/>
        </w:rPr>
      </w:pPr>
      <w:r>
        <w:rPr>
          <w:rFonts w:hint="eastAsia" w:ascii="宋体" w:hAnsi="宋体"/>
          <w:b/>
          <w:kern w:val="44"/>
        </w:rPr>
        <w:t>第二十七条</w:t>
      </w:r>
      <w:r>
        <w:rPr>
          <w:rFonts w:hint="eastAsia" w:ascii="宋体" w:hAnsi="宋体"/>
          <w:kern w:val="44"/>
        </w:rPr>
        <w:t>　本市建立专利预警制度，对重点区域、行业的国内外专利状况、发展趋势、竞争态势等信息进行收集、分析、发布、反馈。市和区、县人民政府应当鼓励、引导企业开展专利预警工作，支持行业协会、专利中介服务机构在专利预警方面为政府决策和企业发展提供服务，维护产业安全，提高企业应对专利纠纷的能力。</w:t>
      </w:r>
    </w:p>
    <w:p w14:paraId="602042A1">
      <w:pPr>
        <w:ind w:firstLine="422"/>
        <w:jc w:val="left"/>
        <w:rPr>
          <w:rFonts w:ascii="宋体" w:hAnsi="宋体"/>
          <w:kern w:val="44"/>
        </w:rPr>
      </w:pPr>
      <w:r>
        <w:rPr>
          <w:rFonts w:hint="eastAsia" w:ascii="宋体" w:hAnsi="宋体"/>
          <w:b/>
          <w:kern w:val="44"/>
        </w:rPr>
        <w:t>第二十八条</w:t>
      </w:r>
      <w:r>
        <w:rPr>
          <w:rFonts w:hint="eastAsia" w:ascii="宋体" w:hAnsi="宋体"/>
          <w:kern w:val="44"/>
        </w:rPr>
        <w:t>　本市建立专利研究开发、实施和交易的服务体系，建设专利公共信息服务基础设施、各类专业专题专利数据库，开展专利信息数据检索、加工和分析，促进专利信息的传播和利用，推动专利交易和专利运用。</w:t>
      </w:r>
    </w:p>
    <w:p w14:paraId="172270D9">
      <w:pPr>
        <w:ind w:firstLine="422"/>
        <w:jc w:val="left"/>
        <w:rPr>
          <w:rFonts w:ascii="宋体" w:hAnsi="宋体"/>
          <w:kern w:val="44"/>
        </w:rPr>
      </w:pPr>
      <w:r>
        <w:rPr>
          <w:rFonts w:hint="eastAsia" w:ascii="宋体" w:hAnsi="宋体"/>
          <w:b/>
          <w:kern w:val="44"/>
        </w:rPr>
        <w:t>第二十九条</w:t>
      </w:r>
      <w:r>
        <w:rPr>
          <w:rFonts w:hint="eastAsia" w:ascii="宋体" w:hAnsi="宋体"/>
          <w:kern w:val="44"/>
        </w:rPr>
        <w:t>　本市设立专利奖，对在本市进行发明创造并实施，为促进本市经济社会发展做出突出贡献的专利权人予以表彰奖励。</w:t>
      </w:r>
    </w:p>
    <w:p w14:paraId="3113B2B4">
      <w:pPr>
        <w:jc w:val="left"/>
        <w:rPr>
          <w:rFonts w:ascii="宋体" w:hAnsi="宋体"/>
          <w:kern w:val="44"/>
        </w:rPr>
      </w:pPr>
      <w:r>
        <w:rPr>
          <w:rFonts w:hint="eastAsia" w:ascii="宋体" w:hAnsi="宋体"/>
          <w:kern w:val="44"/>
        </w:rPr>
        <w:t>专利奖资金应当用于奖励发明人、设计人以及对专利的实施、转让、许可做出实质贡献的专利管理、技术转移人员。</w:t>
      </w:r>
    </w:p>
    <w:p w14:paraId="36585290">
      <w:pPr>
        <w:ind w:firstLine="422"/>
        <w:jc w:val="left"/>
        <w:rPr>
          <w:rFonts w:ascii="宋体" w:hAnsi="宋体"/>
          <w:kern w:val="44"/>
        </w:rPr>
      </w:pPr>
      <w:r>
        <w:rPr>
          <w:rFonts w:hint="eastAsia" w:ascii="宋体" w:hAnsi="宋体"/>
          <w:b/>
          <w:kern w:val="44"/>
        </w:rPr>
        <w:t>第三十条</w:t>
      </w:r>
      <w:r>
        <w:rPr>
          <w:rFonts w:hint="eastAsia" w:ascii="宋体" w:hAnsi="宋体"/>
          <w:kern w:val="44"/>
        </w:rPr>
        <w:t>　本市对在进行发明创造、专利申请、专利实施、专利保护、专利预警等方面确需获得帮助的单位和个人，可以予以资金支持。具体办法由市专利管理部门、市财政部门会同市科学技术、发展改革、经济和信息化等有关部门制定。</w:t>
      </w:r>
    </w:p>
    <w:p w14:paraId="1DB44286">
      <w:pPr>
        <w:ind w:firstLine="422"/>
        <w:jc w:val="left"/>
        <w:rPr>
          <w:rFonts w:ascii="宋体" w:hAnsi="宋体"/>
          <w:kern w:val="44"/>
        </w:rPr>
      </w:pPr>
      <w:r>
        <w:rPr>
          <w:rFonts w:hint="eastAsia" w:ascii="宋体" w:hAnsi="宋体"/>
          <w:b/>
          <w:kern w:val="44"/>
        </w:rPr>
        <w:t>第三十一条</w:t>
      </w:r>
      <w:r>
        <w:rPr>
          <w:rFonts w:hint="eastAsia" w:ascii="宋体" w:hAnsi="宋体"/>
          <w:kern w:val="44"/>
        </w:rPr>
        <w:t>　本市通过各种优惠政策鼓励企业及其他组织增加专利研究开发的投入，其专利研究开发费用，在计算应纳税所得额时，可以在实际成本基础上按照规定比例加计扣除或者摊销。</w:t>
      </w:r>
    </w:p>
    <w:p w14:paraId="2A014FBF">
      <w:pPr>
        <w:jc w:val="left"/>
        <w:rPr>
          <w:rFonts w:ascii="宋体" w:hAnsi="宋体"/>
          <w:kern w:val="44"/>
        </w:rPr>
      </w:pPr>
      <w:r>
        <w:rPr>
          <w:rFonts w:hint="eastAsia" w:ascii="宋体" w:hAnsi="宋体"/>
          <w:kern w:val="44"/>
        </w:rPr>
        <w:t>企业购买专利所发生的费用，可以按照规定列入成本。</w:t>
      </w:r>
    </w:p>
    <w:p w14:paraId="30F5F009">
      <w:pPr>
        <w:ind w:firstLine="422"/>
        <w:jc w:val="left"/>
        <w:rPr>
          <w:rFonts w:ascii="宋体" w:hAnsi="宋体"/>
          <w:kern w:val="44"/>
        </w:rPr>
      </w:pPr>
      <w:r>
        <w:rPr>
          <w:rFonts w:hint="eastAsia" w:ascii="宋体" w:hAnsi="宋体"/>
          <w:b/>
          <w:kern w:val="44"/>
        </w:rPr>
        <w:t>第三十二条</w:t>
      </w:r>
      <w:r>
        <w:rPr>
          <w:rFonts w:hint="eastAsia" w:ascii="宋体" w:hAnsi="宋体"/>
          <w:kern w:val="44"/>
        </w:rPr>
        <w:t>　专利权转让合同、专利申请权转让合同、专利实施许可合同经依法认定登记的，当事人享受国家和本市有关技术交易的税收优惠政策。</w:t>
      </w:r>
    </w:p>
    <w:p w14:paraId="48933EBA">
      <w:pPr>
        <w:ind w:firstLine="422"/>
        <w:jc w:val="left"/>
        <w:rPr>
          <w:rFonts w:ascii="宋体" w:hAnsi="宋体"/>
          <w:kern w:val="44"/>
        </w:rPr>
      </w:pPr>
      <w:r>
        <w:rPr>
          <w:rFonts w:hint="eastAsia" w:ascii="宋体" w:hAnsi="宋体"/>
          <w:b/>
          <w:kern w:val="44"/>
        </w:rPr>
        <w:t>第三十三条</w:t>
      </w:r>
      <w:r>
        <w:rPr>
          <w:rFonts w:hint="eastAsia" w:ascii="宋体" w:hAnsi="宋体"/>
          <w:kern w:val="44"/>
        </w:rPr>
        <w:t>　市专利管理工作部门会同市科学技术、发展改革、经济和信息化、教育、农业等相关部门建立企业、高等院校、科研院所、社会组织等各类创新主体认定的专利考核指标体系，并将认定考核结果作为相关部门支持、奖励创新主体的依据之一。</w:t>
      </w:r>
    </w:p>
    <w:p w14:paraId="3E2B2A8B">
      <w:pPr>
        <w:ind w:firstLine="422"/>
        <w:jc w:val="left"/>
        <w:rPr>
          <w:rFonts w:ascii="宋体" w:hAnsi="宋体"/>
          <w:kern w:val="44"/>
        </w:rPr>
      </w:pPr>
      <w:r>
        <w:rPr>
          <w:rFonts w:hint="eastAsia" w:ascii="宋体" w:hAnsi="宋体"/>
          <w:b/>
          <w:kern w:val="44"/>
        </w:rPr>
        <w:t>第三十四条</w:t>
      </w:r>
      <w:r>
        <w:rPr>
          <w:rFonts w:hint="eastAsia" w:ascii="宋体" w:hAnsi="宋体"/>
          <w:kern w:val="44"/>
        </w:rPr>
        <w:t>　本市鼓励企业将自主研究开发的专利产品、技术参与政府采购活动。</w:t>
      </w:r>
    </w:p>
    <w:p w14:paraId="54B8A6AD">
      <w:pPr>
        <w:ind w:firstLine="422"/>
        <w:jc w:val="left"/>
        <w:rPr>
          <w:rFonts w:ascii="宋体" w:hAnsi="宋体"/>
          <w:kern w:val="44"/>
        </w:rPr>
      </w:pPr>
      <w:r>
        <w:rPr>
          <w:rFonts w:hint="eastAsia" w:ascii="宋体" w:hAnsi="宋体"/>
          <w:b/>
          <w:kern w:val="44"/>
        </w:rPr>
        <w:t>第三十五条</w:t>
      </w:r>
      <w:r>
        <w:rPr>
          <w:rFonts w:hint="eastAsia" w:ascii="宋体" w:hAnsi="宋体"/>
          <w:kern w:val="44"/>
        </w:rPr>
        <w:t>　申请本市政府财政资金支持的研究开发、技术改造、技术引进等项目，涉及发明、实用新型专利的，应当根据项目的具体情况，按照有关规定和项目主管部门的要求提交专利文献检索报告或者专利分析报告。</w:t>
      </w:r>
    </w:p>
    <w:p w14:paraId="5EE9FA4E">
      <w:pPr>
        <w:jc w:val="left"/>
        <w:rPr>
          <w:rFonts w:ascii="宋体" w:hAnsi="宋体"/>
          <w:kern w:val="44"/>
        </w:rPr>
      </w:pPr>
      <w:r>
        <w:rPr>
          <w:rFonts w:hint="eastAsia" w:ascii="宋体" w:hAnsi="宋体"/>
          <w:kern w:val="44"/>
        </w:rPr>
        <w:t>市专利管理部门应当会同市科学技术、发展改革等有关部门，公布可以出具专利文献检索报告或者专利分析报告机构的推荐目录。</w:t>
      </w:r>
    </w:p>
    <w:p w14:paraId="1937F96E">
      <w:pPr>
        <w:ind w:firstLine="422"/>
        <w:jc w:val="left"/>
        <w:rPr>
          <w:rFonts w:ascii="宋体" w:hAnsi="宋体"/>
          <w:kern w:val="44"/>
        </w:rPr>
      </w:pPr>
      <w:r>
        <w:rPr>
          <w:rFonts w:hint="eastAsia" w:ascii="宋体" w:hAnsi="宋体"/>
          <w:b/>
          <w:kern w:val="44"/>
        </w:rPr>
        <w:t>第三十六条</w:t>
      </w:r>
      <w:r>
        <w:rPr>
          <w:rFonts w:hint="eastAsia" w:ascii="宋体" w:hAnsi="宋体"/>
          <w:kern w:val="44"/>
        </w:rPr>
        <w:t>　本市政府财政资金支持项目可能产生专利的，项目承担单位应当全面、准确、真实地报告专利成果。项目主管部门应当与项目承担单位就以下事项进行约定：</w:t>
      </w:r>
    </w:p>
    <w:p w14:paraId="5F788382">
      <w:pPr>
        <w:jc w:val="left"/>
        <w:rPr>
          <w:rFonts w:ascii="宋体" w:hAnsi="宋体"/>
          <w:kern w:val="44"/>
        </w:rPr>
      </w:pPr>
      <w:r>
        <w:rPr>
          <w:rFonts w:hint="eastAsia" w:ascii="宋体" w:hAnsi="宋体"/>
          <w:kern w:val="44"/>
        </w:rPr>
        <w:t>（一）涉及专利成果的研发目标和验收标准。</w:t>
      </w:r>
    </w:p>
    <w:p w14:paraId="49CC3EB9">
      <w:pPr>
        <w:jc w:val="left"/>
        <w:rPr>
          <w:rFonts w:ascii="宋体" w:hAnsi="宋体"/>
          <w:kern w:val="44"/>
        </w:rPr>
      </w:pPr>
      <w:r>
        <w:rPr>
          <w:rFonts w:hint="eastAsia" w:ascii="宋体" w:hAnsi="宋体"/>
          <w:kern w:val="44"/>
        </w:rPr>
        <w:t>（二）资金使用计划。属于科技计划项目的，按照计划和规定所发生的费用，在项目验收后，可以按照相关规定在科技计划项目经费中列支。</w:t>
      </w:r>
    </w:p>
    <w:p w14:paraId="621D29F4">
      <w:pPr>
        <w:jc w:val="left"/>
        <w:rPr>
          <w:rFonts w:ascii="宋体" w:hAnsi="宋体"/>
          <w:kern w:val="44"/>
        </w:rPr>
      </w:pPr>
      <w:r>
        <w:rPr>
          <w:rFonts w:hint="eastAsia" w:ascii="宋体" w:hAnsi="宋体"/>
          <w:kern w:val="44"/>
        </w:rPr>
        <w:t>（三）专利权的权属及相关权益。未约定的，专利权归项目承担单位所有，由项目承担单位自主决定专利的实施、许可、转让、作价入股等，并取得相应的收益。法律、法规另有规定的除外。</w:t>
      </w:r>
    </w:p>
    <w:p w14:paraId="34CE44D5">
      <w:pPr>
        <w:jc w:val="left"/>
        <w:rPr>
          <w:rFonts w:ascii="宋体" w:hAnsi="宋体"/>
          <w:kern w:val="44"/>
        </w:rPr>
      </w:pPr>
      <w:r>
        <w:rPr>
          <w:rFonts w:hint="eastAsia" w:ascii="宋体" w:hAnsi="宋体"/>
          <w:kern w:val="44"/>
        </w:rPr>
        <w:t>（四）专利申请权及申请的合理期限。项目承担单位在合理期限内不提出专利申请的，发明人、设计人可以申请专利，专利权被授予后，项目承担单位享有专利免费实施权。</w:t>
      </w:r>
    </w:p>
    <w:p w14:paraId="6E2A1E4D">
      <w:pPr>
        <w:jc w:val="left"/>
        <w:rPr>
          <w:rFonts w:ascii="宋体" w:hAnsi="宋体"/>
          <w:kern w:val="44"/>
        </w:rPr>
      </w:pPr>
      <w:r>
        <w:rPr>
          <w:rFonts w:hint="eastAsia" w:ascii="宋体" w:hAnsi="宋体"/>
          <w:kern w:val="44"/>
        </w:rPr>
        <w:t>（五）专利的实施运用计划及其期限。项目承担单位未依照约定实施的，项目主管部门可以许可他人实施，所收取的费用，应当给予项目承担单位。</w:t>
      </w:r>
    </w:p>
    <w:p w14:paraId="606F3718">
      <w:pPr>
        <w:jc w:val="left"/>
        <w:rPr>
          <w:rFonts w:ascii="宋体" w:hAnsi="宋体"/>
          <w:kern w:val="44"/>
        </w:rPr>
      </w:pPr>
      <w:r>
        <w:rPr>
          <w:rFonts w:hint="eastAsia" w:ascii="宋体" w:hAnsi="宋体"/>
          <w:kern w:val="44"/>
        </w:rPr>
        <w:t>（六）专利维持的合理期限。</w:t>
      </w:r>
    </w:p>
    <w:p w14:paraId="05F665A6">
      <w:pPr>
        <w:ind w:firstLine="422"/>
        <w:jc w:val="left"/>
        <w:rPr>
          <w:rFonts w:ascii="宋体" w:hAnsi="宋体"/>
          <w:kern w:val="44"/>
        </w:rPr>
      </w:pPr>
      <w:r>
        <w:rPr>
          <w:rFonts w:hint="eastAsia" w:ascii="宋体" w:hAnsi="宋体"/>
          <w:b/>
          <w:kern w:val="44"/>
        </w:rPr>
        <w:t>第三十七条</w:t>
      </w:r>
      <w:r>
        <w:rPr>
          <w:rFonts w:hint="eastAsia" w:ascii="宋体" w:hAnsi="宋体"/>
          <w:kern w:val="44"/>
        </w:rPr>
        <w:t>　以专利出资方式设立企业的，专利出资占企业注册资本的比例，依法由出资各方约定。以专利作价出资的，应当出具评估机构的评估报告和验资机构的验资证明。涉及国有企事业单位的，应当符合有关国有资产的管理规定。</w:t>
      </w:r>
    </w:p>
    <w:p w14:paraId="7D35D54A">
      <w:pPr>
        <w:ind w:firstLine="422"/>
        <w:jc w:val="left"/>
        <w:rPr>
          <w:rFonts w:ascii="宋体" w:hAnsi="宋体"/>
          <w:kern w:val="44"/>
        </w:rPr>
      </w:pPr>
      <w:r>
        <w:rPr>
          <w:rFonts w:hint="eastAsia" w:ascii="宋体" w:hAnsi="宋体"/>
          <w:b/>
          <w:kern w:val="44"/>
        </w:rPr>
        <w:t>第三十八条</w:t>
      </w:r>
      <w:r>
        <w:rPr>
          <w:rFonts w:hint="eastAsia" w:ascii="宋体" w:hAnsi="宋体"/>
          <w:kern w:val="44"/>
        </w:rPr>
        <w:t>　本市国有企事业单位应当按照规定建立专利管理制度，健全专利管理体系。有下列情形之一的，应当按照有关规定进行专利评估：</w:t>
      </w:r>
    </w:p>
    <w:p w14:paraId="2FB950B8">
      <w:pPr>
        <w:jc w:val="left"/>
        <w:rPr>
          <w:rFonts w:ascii="宋体" w:hAnsi="宋体"/>
          <w:kern w:val="44"/>
        </w:rPr>
      </w:pPr>
      <w:r>
        <w:rPr>
          <w:rFonts w:hint="eastAsia" w:ascii="宋体" w:hAnsi="宋体"/>
          <w:kern w:val="44"/>
        </w:rPr>
        <w:t>（一）以专利作价出资设立企业的；</w:t>
      </w:r>
    </w:p>
    <w:p w14:paraId="55211F24">
      <w:pPr>
        <w:jc w:val="left"/>
        <w:rPr>
          <w:rFonts w:ascii="宋体" w:hAnsi="宋体"/>
          <w:kern w:val="44"/>
        </w:rPr>
      </w:pPr>
      <w:r>
        <w:rPr>
          <w:rFonts w:hint="eastAsia" w:ascii="宋体" w:hAnsi="宋体"/>
          <w:kern w:val="44"/>
        </w:rPr>
        <w:t>（二）许可境外企业、其他组织或者个人使用专利权的；</w:t>
      </w:r>
    </w:p>
    <w:p w14:paraId="63F9D932">
      <w:pPr>
        <w:jc w:val="left"/>
        <w:rPr>
          <w:rFonts w:ascii="宋体" w:hAnsi="宋体"/>
          <w:kern w:val="44"/>
        </w:rPr>
      </w:pPr>
      <w:r>
        <w:rPr>
          <w:rFonts w:hint="eastAsia" w:ascii="宋体" w:hAnsi="宋体"/>
          <w:kern w:val="44"/>
        </w:rPr>
        <w:t>（三）改制、上市、投资、转让、置换、拍卖、偿还债务等涉及专利的；</w:t>
      </w:r>
    </w:p>
    <w:p w14:paraId="04602BC4">
      <w:pPr>
        <w:jc w:val="left"/>
        <w:rPr>
          <w:rFonts w:ascii="宋体" w:hAnsi="宋体"/>
          <w:kern w:val="44"/>
        </w:rPr>
      </w:pPr>
      <w:r>
        <w:rPr>
          <w:rFonts w:hint="eastAsia" w:ascii="宋体" w:hAnsi="宋体"/>
          <w:kern w:val="44"/>
        </w:rPr>
        <w:t>（四）合并、分立、解散、清算等涉及专利的；</w:t>
      </w:r>
    </w:p>
    <w:p w14:paraId="41828D80">
      <w:pPr>
        <w:jc w:val="left"/>
        <w:rPr>
          <w:rFonts w:ascii="宋体" w:hAnsi="宋体"/>
          <w:kern w:val="44"/>
        </w:rPr>
      </w:pPr>
      <w:r>
        <w:rPr>
          <w:rFonts w:hint="eastAsia" w:ascii="宋体" w:hAnsi="宋体"/>
          <w:kern w:val="44"/>
        </w:rPr>
        <w:t>（五）其他需要进行专利评估的。</w:t>
      </w:r>
    </w:p>
    <w:p w14:paraId="166C8047">
      <w:pPr>
        <w:ind w:firstLine="422"/>
        <w:jc w:val="left"/>
        <w:rPr>
          <w:rFonts w:ascii="宋体" w:hAnsi="宋体"/>
          <w:kern w:val="44"/>
        </w:rPr>
      </w:pPr>
      <w:r>
        <w:rPr>
          <w:rFonts w:hint="eastAsia" w:ascii="宋体" w:hAnsi="宋体"/>
          <w:b/>
          <w:kern w:val="44"/>
        </w:rPr>
        <w:t>第三十九条</w:t>
      </w:r>
      <w:r>
        <w:rPr>
          <w:rFonts w:hint="eastAsia" w:ascii="宋体" w:hAnsi="宋体"/>
          <w:kern w:val="44"/>
        </w:rPr>
        <w:t>　被授予专利权的单位应当按照规定和约定给予职务发明创造的发明人、设计人以及对专利的实施、转让、许可做出实质贡献的专利管理、技术转移人员奖金和报酬。</w:t>
      </w:r>
    </w:p>
    <w:p w14:paraId="2EBB1EE4">
      <w:pPr>
        <w:jc w:val="left"/>
        <w:rPr>
          <w:rFonts w:ascii="宋体" w:hAnsi="宋体"/>
          <w:kern w:val="44"/>
        </w:rPr>
      </w:pPr>
      <w:r>
        <w:rPr>
          <w:rFonts w:hint="eastAsia" w:ascii="宋体" w:hAnsi="宋体"/>
          <w:kern w:val="44"/>
        </w:rPr>
        <w:t>奖金和报酬可以现金、股权收益或者当事人约定的其他形式给付。给付的数额、时间和方式等，由当事人依法约定。没有约定数额的，可以按照下列比例确定：</w:t>
      </w:r>
    </w:p>
    <w:p w14:paraId="34346B9C">
      <w:pPr>
        <w:jc w:val="left"/>
        <w:rPr>
          <w:rFonts w:ascii="宋体" w:hAnsi="宋体"/>
          <w:kern w:val="44"/>
        </w:rPr>
      </w:pPr>
      <w:r>
        <w:rPr>
          <w:rFonts w:hint="eastAsia" w:ascii="宋体" w:hAnsi="宋体"/>
          <w:kern w:val="44"/>
        </w:rPr>
        <w:t>（一）单位转让、许可他人实施的，不低于转让费、许可使用费净收入的20％；</w:t>
      </w:r>
    </w:p>
    <w:p w14:paraId="2DB0C55B">
      <w:pPr>
        <w:jc w:val="left"/>
        <w:rPr>
          <w:rFonts w:ascii="宋体" w:hAnsi="宋体"/>
          <w:kern w:val="44"/>
        </w:rPr>
      </w:pPr>
      <w:r>
        <w:rPr>
          <w:rFonts w:hint="eastAsia" w:ascii="宋体" w:hAnsi="宋体"/>
          <w:kern w:val="44"/>
        </w:rPr>
        <w:t>（二）以专利权入股的，不低于股份或者股权收益的20％。</w:t>
      </w:r>
    </w:p>
    <w:p w14:paraId="7654EE7C">
      <w:pPr>
        <w:ind w:firstLine="422"/>
        <w:jc w:val="left"/>
        <w:rPr>
          <w:rFonts w:ascii="宋体" w:hAnsi="宋体"/>
          <w:kern w:val="44"/>
        </w:rPr>
      </w:pPr>
      <w:r>
        <w:rPr>
          <w:rFonts w:hint="eastAsia" w:ascii="宋体" w:hAnsi="宋体"/>
          <w:b/>
          <w:kern w:val="44"/>
        </w:rPr>
        <w:t>第四十条</w:t>
      </w:r>
      <w:r>
        <w:rPr>
          <w:rFonts w:hint="eastAsia" w:ascii="宋体" w:hAnsi="宋体"/>
          <w:kern w:val="44"/>
        </w:rPr>
        <w:t>　本市进行专业技术职称评审时，应当将发明人、设计人已经实施并取得经济或者社会效益的相关专利作为评价考核的重要因素；对技术进步能够产生重大作用、取得显著经济或者社会效益的专利，可以作为发明人、设计人以及对专利的实施、转让、许可做出实质贡献的专利管理、技术转移人员破格申报相关专业技术职称评价考核的重要因素。</w:t>
      </w:r>
    </w:p>
    <w:p w14:paraId="5EDF0AC6">
      <w:pPr>
        <w:ind w:firstLine="422"/>
        <w:jc w:val="left"/>
        <w:rPr>
          <w:rFonts w:ascii="宋体" w:hAnsi="宋体"/>
          <w:kern w:val="44"/>
        </w:rPr>
      </w:pPr>
      <w:r>
        <w:rPr>
          <w:rFonts w:hint="eastAsia" w:ascii="宋体" w:hAnsi="宋体"/>
          <w:b/>
          <w:kern w:val="44"/>
        </w:rPr>
        <w:t>第四十一条</w:t>
      </w:r>
      <w:r>
        <w:rPr>
          <w:rFonts w:hint="eastAsia" w:ascii="宋体" w:hAnsi="宋体"/>
          <w:kern w:val="44"/>
        </w:rPr>
        <w:t>　对于具备实施条件、未能适时实施的单位拥有的专利，本市鼓励职务发明的发明人、设计人或者其他单位和个人，与拥有专利权的单位以签订合同的方式予以实施。</w:t>
      </w:r>
    </w:p>
    <w:p w14:paraId="4E837E3C">
      <w:pPr>
        <w:ind w:firstLine="422"/>
        <w:jc w:val="left"/>
        <w:rPr>
          <w:rFonts w:ascii="宋体" w:hAnsi="宋体"/>
          <w:kern w:val="44"/>
        </w:rPr>
      </w:pPr>
      <w:r>
        <w:rPr>
          <w:rFonts w:hint="eastAsia" w:ascii="宋体" w:hAnsi="宋体"/>
          <w:b/>
          <w:kern w:val="44"/>
        </w:rPr>
        <w:t>第四十二条</w:t>
      </w:r>
      <w:r>
        <w:rPr>
          <w:rFonts w:hint="eastAsia" w:ascii="宋体" w:hAnsi="宋体"/>
          <w:kern w:val="44"/>
        </w:rPr>
        <w:t>　本市鼓励开展专利领域的金融创新，支持金融机构开展专利质押业务，创新专利质权处置机制，建立质押贷款和风险补偿机制，鼓励拥有专利的企业利用资本市场融资，支持境内外个人和机构开展以专利运用为目的的投资。</w:t>
      </w:r>
    </w:p>
    <w:p w14:paraId="6B428793">
      <w:pPr>
        <w:jc w:val="left"/>
        <w:rPr>
          <w:rFonts w:ascii="宋体" w:hAnsi="宋体"/>
          <w:kern w:val="44"/>
        </w:rPr>
      </w:pPr>
      <w:r>
        <w:rPr>
          <w:rFonts w:hint="eastAsia" w:ascii="宋体" w:hAnsi="宋体"/>
          <w:kern w:val="44"/>
        </w:rPr>
        <w:t>市和区、县人民政府及有关部门依法设立的创业投资引导资金和基金，应当采取阶段参股、跟进投资、风险补助等多种方式，支持专利产业化和商用化。</w:t>
      </w:r>
    </w:p>
    <w:p w14:paraId="5A4816A3">
      <w:pPr>
        <w:ind w:firstLine="422"/>
        <w:jc w:val="left"/>
        <w:rPr>
          <w:rFonts w:ascii="宋体" w:hAnsi="宋体"/>
          <w:kern w:val="44"/>
        </w:rPr>
      </w:pPr>
      <w:r>
        <w:rPr>
          <w:rFonts w:hint="eastAsia" w:ascii="宋体" w:hAnsi="宋体"/>
          <w:b/>
          <w:kern w:val="44"/>
        </w:rPr>
        <w:t>第四十三条</w:t>
      </w:r>
      <w:r>
        <w:rPr>
          <w:rFonts w:hint="eastAsia" w:ascii="宋体" w:hAnsi="宋体"/>
          <w:kern w:val="44"/>
        </w:rPr>
        <w:t>　本市鼓励发展专利服务业，支持专利中介服务机构发展，加强专利中介服务业人才队伍建设，培育专利中介服务市场，完善专利中介服务体系。</w:t>
      </w:r>
    </w:p>
    <w:p w14:paraId="740B2604">
      <w:pPr>
        <w:ind w:firstLine="422"/>
        <w:jc w:val="left"/>
        <w:rPr>
          <w:rFonts w:ascii="宋体" w:hAnsi="宋体"/>
          <w:kern w:val="44"/>
        </w:rPr>
      </w:pPr>
      <w:r>
        <w:rPr>
          <w:rFonts w:hint="eastAsia" w:ascii="宋体" w:hAnsi="宋体"/>
          <w:b/>
          <w:kern w:val="44"/>
        </w:rPr>
        <w:t>第四十四条</w:t>
      </w:r>
      <w:r>
        <w:rPr>
          <w:rFonts w:hint="eastAsia" w:ascii="宋体" w:hAnsi="宋体"/>
          <w:kern w:val="44"/>
        </w:rPr>
        <w:t>　专利中介服务机构及其执业人员应当依法提供服务，不得利用商业贿赂手段招揽业务、不得泄露委托人的商业秘密。</w:t>
      </w:r>
    </w:p>
    <w:p w14:paraId="157806C0">
      <w:pPr>
        <w:ind w:firstLine="422"/>
        <w:jc w:val="left"/>
        <w:rPr>
          <w:rFonts w:ascii="宋体" w:hAnsi="宋体"/>
          <w:kern w:val="44"/>
        </w:rPr>
      </w:pPr>
      <w:r>
        <w:rPr>
          <w:rFonts w:hint="eastAsia" w:ascii="宋体" w:hAnsi="宋体"/>
          <w:b/>
          <w:kern w:val="44"/>
        </w:rPr>
        <w:t>第四十五条</w:t>
      </w:r>
      <w:r>
        <w:rPr>
          <w:rFonts w:hint="eastAsia" w:ascii="宋体" w:hAnsi="宋体"/>
          <w:kern w:val="44"/>
        </w:rPr>
        <w:t>　市专利管理部门依法对专利中介服务机构及执业人员进行监督和管理。依法设立并在本市从事专利代理业务的专利中介服务机构应当按照规定将机构及其执业人员的情况向市专利管理部门备案，并由市专利管理部门公示。</w:t>
      </w:r>
    </w:p>
    <w:p w14:paraId="378A755A">
      <w:pPr>
        <w:jc w:val="left"/>
        <w:rPr>
          <w:rFonts w:ascii="宋体" w:hAnsi="宋体"/>
          <w:kern w:val="44"/>
        </w:rPr>
      </w:pPr>
      <w:r>
        <w:rPr>
          <w:rFonts w:hint="eastAsia" w:ascii="宋体" w:hAnsi="宋体"/>
          <w:kern w:val="44"/>
        </w:rPr>
        <w:t>市专利管理部门建立专利中介服务机构及执业人员的违法行为信息管理系统，及时披露违法行为信息。</w:t>
      </w:r>
    </w:p>
    <w:p w14:paraId="2505F4B7">
      <w:pPr>
        <w:ind w:firstLine="422"/>
        <w:jc w:val="left"/>
        <w:rPr>
          <w:rFonts w:ascii="宋体" w:hAnsi="宋体"/>
          <w:kern w:val="44"/>
        </w:rPr>
      </w:pPr>
      <w:r>
        <w:rPr>
          <w:rFonts w:hint="eastAsia" w:ascii="宋体" w:hAnsi="宋体"/>
          <w:b/>
          <w:kern w:val="44"/>
        </w:rPr>
        <w:t>第四十六条</w:t>
      </w:r>
      <w:r>
        <w:rPr>
          <w:rFonts w:hint="eastAsia" w:ascii="宋体" w:hAnsi="宋体"/>
          <w:kern w:val="44"/>
        </w:rPr>
        <w:t>　本市有关行业协会应当开展专利知识的宣传和培训，增强会员专利意识，规范会员行为，指导支持会员建立专利联盟和专利池，为会员提供专利信息咨询、预警、维权援助等服务。</w:t>
      </w:r>
    </w:p>
    <w:p w14:paraId="5B154B13">
      <w:pPr>
        <w:jc w:val="left"/>
        <w:rPr>
          <w:rFonts w:ascii="宋体" w:hAnsi="宋体"/>
          <w:kern w:val="44"/>
        </w:rPr>
      </w:pPr>
      <w:r>
        <w:rPr>
          <w:rFonts w:hint="eastAsia" w:ascii="宋体" w:hAnsi="宋体"/>
          <w:kern w:val="44"/>
        </w:rPr>
        <w:t>行业协会应当加强与高校、科研院所的合作，充分利用高校、科研院所的优势，促进产学研合作。</w:t>
      </w:r>
    </w:p>
    <w:p w14:paraId="1ECEAF56">
      <w:pPr>
        <w:jc w:val="left"/>
        <w:rPr>
          <w:rFonts w:ascii="宋体" w:hAnsi="宋体"/>
          <w:kern w:val="44"/>
        </w:rPr>
      </w:pPr>
    </w:p>
    <w:p w14:paraId="6F829C0A">
      <w:pPr>
        <w:ind w:firstLine="0" w:firstLineChars="0"/>
        <w:jc w:val="center"/>
        <w:rPr>
          <w:rFonts w:ascii="宋体" w:hAnsi="宋体"/>
          <w:b/>
          <w:kern w:val="44"/>
          <w:sz w:val="28"/>
        </w:rPr>
      </w:pPr>
      <w:r>
        <w:rPr>
          <w:rFonts w:hint="eastAsia" w:ascii="宋体" w:hAnsi="宋体"/>
          <w:b/>
          <w:kern w:val="44"/>
          <w:sz w:val="28"/>
        </w:rPr>
        <w:t>第四章　法律责任</w:t>
      </w:r>
    </w:p>
    <w:p w14:paraId="5B312CAE">
      <w:pPr>
        <w:jc w:val="left"/>
        <w:rPr>
          <w:rFonts w:ascii="宋体" w:hAnsi="宋体"/>
          <w:kern w:val="44"/>
        </w:rPr>
      </w:pPr>
    </w:p>
    <w:p w14:paraId="622B8421">
      <w:pPr>
        <w:ind w:firstLine="422"/>
        <w:jc w:val="left"/>
        <w:rPr>
          <w:rFonts w:ascii="宋体" w:hAnsi="宋体"/>
          <w:kern w:val="44"/>
        </w:rPr>
      </w:pPr>
      <w:r>
        <w:rPr>
          <w:rFonts w:hint="eastAsia" w:ascii="宋体" w:hAnsi="宋体"/>
          <w:b/>
          <w:kern w:val="44"/>
        </w:rPr>
        <w:t>第四十七条</w:t>
      </w:r>
      <w:r>
        <w:rPr>
          <w:rFonts w:hint="eastAsia" w:ascii="宋体" w:hAnsi="宋体"/>
          <w:kern w:val="44"/>
        </w:rPr>
        <w:t>　专利侵权纠纷的行政处理决定或者法院判决生效后，同一侵权人再次侵犯同一专利权的，可以由市专利管理部门责令改正，没收违法所得，并处二万元以上二十万元以下的罚款。</w:t>
      </w:r>
    </w:p>
    <w:p w14:paraId="65EA80D8">
      <w:pPr>
        <w:ind w:firstLine="422"/>
        <w:jc w:val="left"/>
        <w:rPr>
          <w:rFonts w:ascii="宋体" w:hAnsi="宋体"/>
          <w:kern w:val="44"/>
        </w:rPr>
      </w:pPr>
      <w:r>
        <w:rPr>
          <w:rFonts w:hint="eastAsia" w:ascii="宋体" w:hAnsi="宋体"/>
          <w:b/>
          <w:kern w:val="44"/>
        </w:rPr>
        <w:t>第四十八条</w:t>
      </w:r>
      <w:r>
        <w:rPr>
          <w:rFonts w:hint="eastAsia" w:ascii="宋体" w:hAnsi="宋体"/>
          <w:kern w:val="44"/>
        </w:rPr>
        <w:t>　市专利管理部门根据本条例第十一条采取措施制止侵权行为，侵权人拒不履行行政处理决定，市专利管理部门可以对涉及的产品以及设备、模具等生产工具予以没收。</w:t>
      </w:r>
    </w:p>
    <w:p w14:paraId="51C09025">
      <w:pPr>
        <w:ind w:firstLine="422"/>
        <w:jc w:val="left"/>
        <w:rPr>
          <w:rFonts w:ascii="宋体" w:hAnsi="宋体"/>
          <w:kern w:val="44"/>
        </w:rPr>
      </w:pPr>
      <w:r>
        <w:rPr>
          <w:rFonts w:hint="eastAsia" w:ascii="宋体" w:hAnsi="宋体"/>
          <w:b/>
          <w:kern w:val="44"/>
        </w:rPr>
        <w:t>第四十九条</w:t>
      </w:r>
      <w:r>
        <w:rPr>
          <w:rFonts w:hint="eastAsia" w:ascii="宋体" w:hAnsi="宋体"/>
          <w:kern w:val="44"/>
        </w:rPr>
        <w:t>　专利中介服务机构及其执业人员违反本条例第四十四条规定的，由市工商行政管理部门依法予以查处。</w:t>
      </w:r>
    </w:p>
    <w:p w14:paraId="369ED4C7">
      <w:pPr>
        <w:ind w:firstLine="422"/>
        <w:jc w:val="left"/>
        <w:rPr>
          <w:rFonts w:ascii="宋体" w:hAnsi="宋体"/>
          <w:kern w:val="44"/>
        </w:rPr>
      </w:pPr>
      <w:r>
        <w:rPr>
          <w:rFonts w:hint="eastAsia" w:ascii="宋体" w:hAnsi="宋体"/>
          <w:b/>
          <w:kern w:val="44"/>
        </w:rPr>
        <w:t>第五十条</w:t>
      </w:r>
      <w:r>
        <w:rPr>
          <w:rFonts w:hint="eastAsia" w:ascii="宋体" w:hAnsi="宋体"/>
          <w:kern w:val="44"/>
        </w:rPr>
        <w:t>　负有专利保护和促进责任的相关部门及其工作人员，违反本条例规定，不履行、违法履行或者不当履行保护和审查职责的，依法追究行政责任；相关人员的行为构成犯罪的，依法追究刑事责任。</w:t>
      </w:r>
    </w:p>
    <w:p w14:paraId="188FAEFC">
      <w:pPr>
        <w:jc w:val="left"/>
        <w:rPr>
          <w:rFonts w:ascii="宋体" w:hAnsi="宋体"/>
          <w:kern w:val="44"/>
        </w:rPr>
      </w:pPr>
    </w:p>
    <w:p w14:paraId="03FA0E37">
      <w:pPr>
        <w:ind w:firstLine="0" w:firstLineChars="0"/>
        <w:jc w:val="center"/>
        <w:rPr>
          <w:rFonts w:ascii="宋体" w:hAnsi="宋体"/>
          <w:b/>
          <w:kern w:val="44"/>
          <w:sz w:val="28"/>
        </w:rPr>
      </w:pPr>
      <w:r>
        <w:rPr>
          <w:rFonts w:hint="eastAsia" w:ascii="宋体" w:hAnsi="宋体"/>
          <w:b/>
          <w:kern w:val="44"/>
          <w:sz w:val="28"/>
        </w:rPr>
        <w:t>第五章　附　则</w:t>
      </w:r>
    </w:p>
    <w:p w14:paraId="11A1C4C1">
      <w:pPr>
        <w:jc w:val="left"/>
        <w:rPr>
          <w:rFonts w:ascii="宋体" w:hAnsi="宋体"/>
          <w:kern w:val="44"/>
        </w:rPr>
      </w:pPr>
    </w:p>
    <w:p w14:paraId="3DB73C0F">
      <w:pPr>
        <w:ind w:firstLine="422"/>
        <w:jc w:val="left"/>
        <w:rPr>
          <w:rFonts w:ascii="宋体" w:hAnsi="宋体"/>
          <w:kern w:val="44"/>
        </w:rPr>
      </w:pPr>
      <w:r>
        <w:rPr>
          <w:rFonts w:hint="eastAsia" w:ascii="宋体" w:hAnsi="宋体"/>
          <w:b/>
          <w:kern w:val="44"/>
        </w:rPr>
        <w:t>第五十一条</w:t>
      </w:r>
      <w:r>
        <w:rPr>
          <w:rFonts w:hint="eastAsia" w:ascii="宋体" w:hAnsi="宋体"/>
          <w:kern w:val="44"/>
        </w:rPr>
        <w:t>　本条例自2014年3月1日起施行。</w:t>
      </w:r>
    </w:p>
    <w:p w14:paraId="70327912">
      <w:pPr>
        <w:pStyle w:val="4"/>
        <w:pageBreakBefore/>
        <w:rPr>
          <w:kern w:val="44"/>
        </w:rPr>
      </w:pPr>
      <w:bookmarkStart w:id="1245" w:name="_Toc422471329"/>
      <w:bookmarkStart w:id="1246" w:name="_Toc427651945"/>
      <w:bookmarkStart w:id="1247" w:name="_Toc428780169"/>
      <w:bookmarkStart w:id="1248" w:name="_Toc428781651"/>
      <w:bookmarkStart w:id="1249" w:name="_Toc427651603"/>
      <w:r>
        <w:rPr>
          <w:rFonts w:hint="eastAsia"/>
          <w:kern w:val="44"/>
        </w:rPr>
        <w:t>北京市奥林匹克知识</w:t>
      </w:r>
      <w:bookmarkEnd w:id="1245"/>
      <w:bookmarkStart w:id="1250" w:name="_Toc422471330"/>
      <w:r>
        <w:rPr>
          <w:rFonts w:hint="eastAsia"/>
          <w:kern w:val="44"/>
        </w:rPr>
        <w:t>产权保护规定</w:t>
      </w:r>
      <w:bookmarkEnd w:id="1246"/>
      <w:bookmarkEnd w:id="1247"/>
      <w:bookmarkEnd w:id="1248"/>
      <w:bookmarkEnd w:id="1249"/>
      <w:bookmarkEnd w:id="1250"/>
    </w:p>
    <w:p w14:paraId="5DBBB24E">
      <w:pPr>
        <w:ind w:left="630" w:leftChars="300" w:right="630" w:rightChars="300"/>
        <w:jc w:val="left"/>
        <w:rPr>
          <w:rFonts w:ascii="楷体" w:hAnsi="楷体" w:eastAsia="楷体"/>
          <w:kern w:val="44"/>
        </w:rPr>
      </w:pPr>
      <w:r>
        <w:rPr>
          <w:rFonts w:hint="eastAsia" w:ascii="楷体" w:hAnsi="楷体" w:eastAsia="楷体"/>
          <w:kern w:val="44"/>
        </w:rPr>
        <w:t>（2001年10月9日市人民政府第38次常务会议通过　2001年10月11日北京市人民政府第85号令发布）</w:t>
      </w:r>
    </w:p>
    <w:p w14:paraId="608BEDA3">
      <w:pPr>
        <w:jc w:val="left"/>
        <w:rPr>
          <w:rFonts w:ascii="宋体" w:hAnsi="宋体"/>
          <w:kern w:val="44"/>
        </w:rPr>
      </w:pPr>
    </w:p>
    <w:p w14:paraId="21AF5C6E">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为加强对奥林匹克知识产权的保护，维护奥林匹克知识产权人和相关权利人的合法权益，保障和促进奥林匹克运动的持续、健康发展，制定本规定。</w:t>
      </w:r>
    </w:p>
    <w:p w14:paraId="56A79F51">
      <w:pPr>
        <w:ind w:firstLine="422"/>
        <w:jc w:val="left"/>
        <w:rPr>
          <w:rFonts w:ascii="宋体" w:hAnsi="宋体"/>
          <w:kern w:val="44"/>
        </w:rPr>
      </w:pPr>
      <w:r>
        <w:rPr>
          <w:rFonts w:hint="eastAsia" w:ascii="宋体" w:hAnsi="宋体"/>
          <w:b/>
          <w:kern w:val="44"/>
        </w:rPr>
        <w:t>第二条</w:t>
      </w:r>
      <w:r>
        <w:rPr>
          <w:rFonts w:hint="eastAsia" w:ascii="宋体" w:hAnsi="宋体"/>
          <w:kern w:val="44"/>
        </w:rPr>
        <w:t>　本规定所称奥林匹克知识产权是指奥林匹克知识产权人对奥林匹克宪章以及北京市人民政府和中国奥林匹克委员会（以下简称中国奥委会）同国际奥林匹克委员会（以下简称国际奥委会）达成的协议中规定的与奥林匹克有关的商标、特殊标志、专利、作品和其他创作成果所享有的专有权利。</w:t>
      </w:r>
    </w:p>
    <w:p w14:paraId="317EECF2">
      <w:pPr>
        <w:jc w:val="left"/>
        <w:rPr>
          <w:rFonts w:ascii="宋体" w:hAnsi="宋体"/>
          <w:kern w:val="44"/>
        </w:rPr>
      </w:pPr>
      <w:r>
        <w:rPr>
          <w:rFonts w:hint="eastAsia" w:ascii="宋体" w:hAnsi="宋体"/>
          <w:kern w:val="44"/>
        </w:rPr>
        <w:t>奥林匹克知识产权人和相关权利人是指国际奥委会、中国奥委会、第29届奥林匹克运动会组织委员会（以下简称组委会）和经合法授权的被许可人。</w:t>
      </w:r>
    </w:p>
    <w:p w14:paraId="3A2E0AF1">
      <w:pPr>
        <w:ind w:firstLine="422"/>
        <w:jc w:val="left"/>
        <w:rPr>
          <w:rFonts w:ascii="宋体" w:hAnsi="宋体"/>
          <w:kern w:val="44"/>
        </w:rPr>
      </w:pPr>
      <w:r>
        <w:rPr>
          <w:rFonts w:hint="eastAsia" w:ascii="宋体" w:hAnsi="宋体"/>
          <w:b/>
          <w:kern w:val="44"/>
        </w:rPr>
        <w:t>第三条</w:t>
      </w:r>
      <w:r>
        <w:rPr>
          <w:rFonts w:hint="eastAsia" w:ascii="宋体" w:hAnsi="宋体"/>
          <w:kern w:val="44"/>
        </w:rPr>
        <w:t>　本规定所称与奥林匹克有关的商标、特殊标志、专利、作品和其他创作成果是指 :</w:t>
      </w:r>
    </w:p>
    <w:p w14:paraId="3E23AE30">
      <w:pPr>
        <w:jc w:val="left"/>
        <w:rPr>
          <w:rFonts w:ascii="宋体" w:hAnsi="宋体"/>
          <w:kern w:val="44"/>
        </w:rPr>
      </w:pPr>
      <w:r>
        <w:rPr>
          <w:rFonts w:hint="eastAsia" w:ascii="宋体" w:hAnsi="宋体"/>
          <w:kern w:val="44"/>
        </w:rPr>
        <w:t>（一）奥林匹克标志（即五环图案）、旗、会歌、格言，“奥林匹克（OLYMPIC、OLYMPICS）”、“奥林匹克周期（OLYMPIAD）”、“奥林匹亚”、“奥林匹克运动会（OLYMPIC GAMES）”、“奥运会”、“奥运”等名称、图形或者其组合；</w:t>
      </w:r>
    </w:p>
    <w:p w14:paraId="5DB90F52">
      <w:pPr>
        <w:jc w:val="left"/>
        <w:rPr>
          <w:rFonts w:ascii="宋体" w:hAnsi="宋体"/>
          <w:kern w:val="44"/>
        </w:rPr>
      </w:pPr>
      <w:r>
        <w:rPr>
          <w:rFonts w:hint="eastAsia" w:ascii="宋体" w:hAnsi="宋体"/>
          <w:kern w:val="44"/>
        </w:rPr>
        <w:t>（二）中国奥委会的徽记和名称；</w:t>
      </w:r>
    </w:p>
    <w:p w14:paraId="3EF1E84D">
      <w:pPr>
        <w:jc w:val="left"/>
        <w:rPr>
          <w:rFonts w:ascii="宋体" w:hAnsi="宋体"/>
          <w:kern w:val="44"/>
        </w:rPr>
      </w:pPr>
      <w:r>
        <w:rPr>
          <w:rFonts w:hint="eastAsia" w:ascii="宋体" w:hAnsi="宋体"/>
          <w:kern w:val="44"/>
        </w:rPr>
        <w:t>（三）北京申办、承办第29届奥运会期间北京2008年奥林匹克运动会申办委员会、组委会自行或者委托他人为其使用而开发的徽记、吉祥物、名称、标识（含“北京2008”）、会歌、口号；</w:t>
      </w:r>
    </w:p>
    <w:p w14:paraId="6AEE0440">
      <w:pPr>
        <w:jc w:val="left"/>
        <w:rPr>
          <w:rFonts w:ascii="宋体" w:hAnsi="宋体"/>
          <w:kern w:val="44"/>
        </w:rPr>
      </w:pPr>
      <w:r>
        <w:rPr>
          <w:rFonts w:hint="eastAsia" w:ascii="宋体" w:hAnsi="宋体"/>
          <w:kern w:val="44"/>
        </w:rPr>
        <w:t>（四）其他与奥林匹克有关的知识产权客体。</w:t>
      </w:r>
    </w:p>
    <w:p w14:paraId="11566815">
      <w:pPr>
        <w:ind w:firstLine="422"/>
        <w:jc w:val="left"/>
        <w:rPr>
          <w:rFonts w:ascii="宋体" w:hAnsi="宋体"/>
          <w:kern w:val="44"/>
        </w:rPr>
      </w:pPr>
      <w:r>
        <w:rPr>
          <w:rFonts w:hint="eastAsia" w:ascii="宋体" w:hAnsi="宋体"/>
          <w:b/>
          <w:kern w:val="44"/>
        </w:rPr>
        <w:t>第四条</w:t>
      </w:r>
      <w:r>
        <w:rPr>
          <w:rFonts w:hint="eastAsia" w:ascii="宋体" w:hAnsi="宋体"/>
          <w:kern w:val="44"/>
        </w:rPr>
        <w:t>　在本市行政区域内发生的与奥林匹克知识产权相关的一切行为，均适用本规定。</w:t>
      </w:r>
    </w:p>
    <w:p w14:paraId="25496534">
      <w:pPr>
        <w:ind w:firstLine="422"/>
        <w:jc w:val="left"/>
        <w:rPr>
          <w:rFonts w:ascii="宋体" w:hAnsi="宋体"/>
          <w:kern w:val="44"/>
        </w:rPr>
      </w:pPr>
      <w:r>
        <w:rPr>
          <w:rFonts w:hint="eastAsia" w:ascii="宋体" w:hAnsi="宋体"/>
          <w:b/>
          <w:kern w:val="44"/>
        </w:rPr>
        <w:t>第五条</w:t>
      </w:r>
      <w:r>
        <w:rPr>
          <w:rFonts w:hint="eastAsia" w:ascii="宋体" w:hAnsi="宋体"/>
          <w:kern w:val="44"/>
        </w:rPr>
        <w:t>　奥林匹克知识产权保护应当遵循维护奥林匹克运动尊严，专有权利不可侵犯，依法保护，合法使用的原则。</w:t>
      </w:r>
    </w:p>
    <w:p w14:paraId="2691B8FB">
      <w:pPr>
        <w:jc w:val="left"/>
        <w:rPr>
          <w:rFonts w:ascii="宋体" w:hAnsi="宋体"/>
          <w:kern w:val="44"/>
        </w:rPr>
      </w:pPr>
      <w:r>
        <w:rPr>
          <w:rFonts w:hint="eastAsia" w:ascii="宋体" w:hAnsi="宋体"/>
          <w:kern w:val="44"/>
        </w:rPr>
        <w:t>任何组织和个人应当维护奥林匹克知识产权。</w:t>
      </w:r>
    </w:p>
    <w:p w14:paraId="3558A6D2">
      <w:pPr>
        <w:ind w:firstLine="422"/>
        <w:jc w:val="left"/>
        <w:rPr>
          <w:rFonts w:ascii="宋体" w:hAnsi="宋体"/>
          <w:kern w:val="44"/>
        </w:rPr>
      </w:pPr>
      <w:r>
        <w:rPr>
          <w:rFonts w:hint="eastAsia" w:ascii="宋体" w:hAnsi="宋体"/>
          <w:b/>
          <w:kern w:val="44"/>
        </w:rPr>
        <w:t>第六条</w:t>
      </w:r>
      <w:r>
        <w:rPr>
          <w:rFonts w:hint="eastAsia" w:ascii="宋体" w:hAnsi="宋体"/>
          <w:kern w:val="44"/>
        </w:rPr>
        <w:t>　对奥林匹克知识产权的使用应当有助于奥林匹克运动的发展。</w:t>
      </w:r>
    </w:p>
    <w:p w14:paraId="1F3FA7A8">
      <w:pPr>
        <w:jc w:val="left"/>
        <w:rPr>
          <w:rFonts w:ascii="宋体" w:hAnsi="宋体"/>
          <w:kern w:val="44"/>
        </w:rPr>
      </w:pPr>
      <w:r>
        <w:rPr>
          <w:rFonts w:hint="eastAsia" w:ascii="宋体" w:hAnsi="宋体"/>
          <w:kern w:val="44"/>
        </w:rPr>
        <w:t>使用本规定第三条第（一）、（三）、（四）项奥林匹克知识产权的，应当经组委会或者国际奥委会授权的机构批准、授权后方可使用；使用本规定第三条第（二）项奥林匹克知识产权的，应当经中国奥委会批准、授权后方可使用。</w:t>
      </w:r>
    </w:p>
    <w:p w14:paraId="7BE6B76C">
      <w:pPr>
        <w:ind w:firstLine="422"/>
        <w:jc w:val="left"/>
        <w:rPr>
          <w:rFonts w:ascii="宋体" w:hAnsi="宋体"/>
          <w:kern w:val="44"/>
        </w:rPr>
      </w:pPr>
      <w:r>
        <w:rPr>
          <w:rFonts w:hint="eastAsia" w:ascii="宋体" w:hAnsi="宋体"/>
          <w:b/>
          <w:kern w:val="44"/>
        </w:rPr>
        <w:t>第七条</w:t>
      </w:r>
      <w:r>
        <w:rPr>
          <w:rFonts w:hint="eastAsia" w:ascii="宋体" w:hAnsi="宋体"/>
          <w:kern w:val="44"/>
        </w:rPr>
        <w:t>　任何组织和个人不得冒用国际奥委会、中国奥委会和组委会的名义，从事募捐、征集赞助、制作发布广告、组织宣传等活动。</w:t>
      </w:r>
    </w:p>
    <w:p w14:paraId="31FC5785">
      <w:pPr>
        <w:ind w:firstLine="422"/>
        <w:jc w:val="left"/>
        <w:rPr>
          <w:rFonts w:ascii="宋体" w:hAnsi="宋体"/>
          <w:kern w:val="44"/>
        </w:rPr>
      </w:pPr>
      <w:r>
        <w:rPr>
          <w:rFonts w:hint="eastAsia" w:ascii="宋体" w:hAnsi="宋体"/>
          <w:b/>
          <w:kern w:val="44"/>
        </w:rPr>
        <w:t>第八条</w:t>
      </w:r>
      <w:r>
        <w:rPr>
          <w:rFonts w:hint="eastAsia" w:ascii="宋体" w:hAnsi="宋体"/>
          <w:kern w:val="44"/>
        </w:rPr>
        <w:t>　禁止下列侵犯奥林匹克知识产权的行为：</w:t>
      </w:r>
    </w:p>
    <w:p w14:paraId="34E96F06">
      <w:pPr>
        <w:jc w:val="left"/>
        <w:rPr>
          <w:rFonts w:ascii="宋体" w:hAnsi="宋体"/>
          <w:kern w:val="44"/>
        </w:rPr>
      </w:pPr>
      <w:r>
        <w:rPr>
          <w:rFonts w:hint="eastAsia" w:ascii="宋体" w:hAnsi="宋体"/>
          <w:kern w:val="44"/>
        </w:rPr>
        <w:t>（一）未经授权，在生产、经营、广告、宣传、表演和其他活动中使用相同或者近似的商标、特殊标志、专利、作品和其他创作成果；</w:t>
      </w:r>
    </w:p>
    <w:p w14:paraId="6C3A2F25">
      <w:pPr>
        <w:jc w:val="left"/>
        <w:rPr>
          <w:rFonts w:ascii="宋体" w:hAnsi="宋体"/>
          <w:kern w:val="44"/>
        </w:rPr>
      </w:pPr>
      <w:r>
        <w:rPr>
          <w:rFonts w:hint="eastAsia" w:ascii="宋体" w:hAnsi="宋体"/>
          <w:kern w:val="44"/>
        </w:rPr>
        <w:t>（二）伪造、擅自制造相同或者近似的商标标识、特殊标志或者销售伪造、擅自制造的商标标识、特殊标志；</w:t>
      </w:r>
    </w:p>
    <w:p w14:paraId="19DC66E1">
      <w:pPr>
        <w:jc w:val="left"/>
        <w:rPr>
          <w:rFonts w:ascii="宋体" w:hAnsi="宋体"/>
          <w:kern w:val="44"/>
        </w:rPr>
      </w:pPr>
      <w:r>
        <w:rPr>
          <w:rFonts w:hint="eastAsia" w:ascii="宋体" w:hAnsi="宋体"/>
          <w:kern w:val="44"/>
        </w:rPr>
        <w:t>（三）变相利用相同或者近似的商标、特殊标志、专利、作品和其他创作成果；</w:t>
      </w:r>
    </w:p>
    <w:p w14:paraId="4C29E803">
      <w:pPr>
        <w:jc w:val="left"/>
        <w:rPr>
          <w:rFonts w:ascii="宋体" w:hAnsi="宋体"/>
          <w:kern w:val="44"/>
        </w:rPr>
      </w:pPr>
      <w:r>
        <w:rPr>
          <w:rFonts w:hint="eastAsia" w:ascii="宋体" w:hAnsi="宋体"/>
          <w:kern w:val="44"/>
        </w:rPr>
        <w:t>（四）未经授权，在企业、社会团体、事业单位、民办非企业单位登记注册和网站、域名、地名、建筑物、构筑物、场所等名称中使用相同或者近似的商标、特殊标志、专利、作品和其他创作成果；</w:t>
      </w:r>
    </w:p>
    <w:p w14:paraId="57C57976">
      <w:pPr>
        <w:jc w:val="left"/>
        <w:rPr>
          <w:rFonts w:ascii="宋体" w:hAnsi="宋体"/>
          <w:kern w:val="44"/>
        </w:rPr>
      </w:pPr>
      <w:r>
        <w:rPr>
          <w:rFonts w:hint="eastAsia" w:ascii="宋体" w:hAnsi="宋体"/>
          <w:kern w:val="44"/>
        </w:rPr>
        <w:t>（五）为侵权行为提供场所、仓储、运输、邮寄、隐匿等便利条件；</w:t>
      </w:r>
    </w:p>
    <w:p w14:paraId="50B7C5FF">
      <w:pPr>
        <w:jc w:val="left"/>
        <w:rPr>
          <w:rFonts w:ascii="宋体" w:hAnsi="宋体"/>
          <w:kern w:val="44"/>
        </w:rPr>
      </w:pPr>
      <w:r>
        <w:rPr>
          <w:rFonts w:hint="eastAsia" w:ascii="宋体" w:hAnsi="宋体"/>
          <w:kern w:val="44"/>
        </w:rPr>
        <w:t>（六）违反国家有关法律、法规规定的其他侵权行为。</w:t>
      </w:r>
    </w:p>
    <w:p w14:paraId="52B2E686">
      <w:pPr>
        <w:ind w:firstLine="422"/>
        <w:jc w:val="left"/>
        <w:rPr>
          <w:rFonts w:ascii="宋体" w:hAnsi="宋体"/>
          <w:kern w:val="44"/>
        </w:rPr>
      </w:pPr>
      <w:r>
        <w:rPr>
          <w:rFonts w:hint="eastAsia" w:ascii="宋体" w:hAnsi="宋体"/>
          <w:b/>
          <w:kern w:val="44"/>
        </w:rPr>
        <w:t>第九条</w:t>
      </w:r>
      <w:r>
        <w:rPr>
          <w:rFonts w:hint="eastAsia" w:ascii="宋体" w:hAnsi="宋体"/>
          <w:kern w:val="44"/>
        </w:rPr>
        <w:t>　广告主、广告经营者、广告发布者在广告设计、制作、代理、发布活动中不得侵犯奥林匹克知识产权；广告经营者、广告发布者在广告（包括公益广告）活动中应当加强审查，严格查验证明文件。</w:t>
      </w:r>
    </w:p>
    <w:p w14:paraId="24FD8985">
      <w:pPr>
        <w:ind w:firstLine="422"/>
        <w:jc w:val="left"/>
        <w:rPr>
          <w:rFonts w:ascii="宋体" w:hAnsi="宋体"/>
          <w:kern w:val="44"/>
        </w:rPr>
      </w:pPr>
      <w:r>
        <w:rPr>
          <w:rFonts w:hint="eastAsia" w:ascii="宋体" w:hAnsi="宋体"/>
          <w:b/>
          <w:kern w:val="44"/>
        </w:rPr>
        <w:t>第十条</w:t>
      </w:r>
      <w:r>
        <w:rPr>
          <w:rFonts w:hint="eastAsia" w:ascii="宋体" w:hAnsi="宋体"/>
          <w:kern w:val="44"/>
        </w:rPr>
        <w:t>　市人民政府授权市知识产权局负责奥林匹克知识产权保护的调查研究、统筹规划和综合协调等工作。</w:t>
      </w:r>
    </w:p>
    <w:p w14:paraId="6B10F913">
      <w:pPr>
        <w:jc w:val="left"/>
        <w:rPr>
          <w:rFonts w:ascii="宋体" w:hAnsi="宋体"/>
          <w:kern w:val="44"/>
        </w:rPr>
      </w:pPr>
      <w:r>
        <w:rPr>
          <w:rFonts w:hint="eastAsia" w:ascii="宋体" w:hAnsi="宋体"/>
          <w:kern w:val="44"/>
        </w:rPr>
        <w:t>本市工商、知识产权、版权等行政管理部门应当加强保护奥林匹克知识产权的执法检查工作。新闻出版、文化、海关、公安、城管监察等行政管理部门，应当按照各自的职责做好对奥林匹克知识产权的保护工作。</w:t>
      </w:r>
    </w:p>
    <w:p w14:paraId="190D996A">
      <w:pPr>
        <w:ind w:firstLine="422"/>
        <w:jc w:val="left"/>
        <w:rPr>
          <w:rFonts w:ascii="宋体" w:hAnsi="宋体"/>
          <w:kern w:val="44"/>
        </w:rPr>
      </w:pPr>
      <w:r>
        <w:rPr>
          <w:rFonts w:hint="eastAsia" w:ascii="宋体" w:hAnsi="宋体"/>
          <w:b/>
          <w:kern w:val="44"/>
        </w:rPr>
        <w:t>第十一条</w:t>
      </w:r>
      <w:r>
        <w:rPr>
          <w:rFonts w:hint="eastAsia" w:ascii="宋体" w:hAnsi="宋体"/>
          <w:kern w:val="44"/>
        </w:rPr>
        <w:t>　任何组织和个人对侵犯奥林匹克知识产权的行为均可向工商、知识产权、版权等行政管理部门举报；对举报查证属实的，应当给予奖励。</w:t>
      </w:r>
    </w:p>
    <w:p w14:paraId="3EA4AD75">
      <w:pPr>
        <w:ind w:firstLine="422"/>
        <w:jc w:val="left"/>
        <w:rPr>
          <w:rFonts w:ascii="宋体" w:hAnsi="宋体"/>
          <w:kern w:val="44"/>
        </w:rPr>
      </w:pPr>
      <w:r>
        <w:rPr>
          <w:rFonts w:hint="eastAsia" w:ascii="宋体" w:hAnsi="宋体"/>
          <w:b/>
          <w:kern w:val="44"/>
        </w:rPr>
        <w:t>第十二条</w:t>
      </w:r>
      <w:r>
        <w:rPr>
          <w:rFonts w:hint="eastAsia" w:ascii="宋体" w:hAnsi="宋体"/>
          <w:kern w:val="44"/>
        </w:rPr>
        <w:t>　对违反本规定侵犯奥林匹克知识产权的，工商、知识产权、版权等行政管理部门可以采取下列措施：</w:t>
      </w:r>
    </w:p>
    <w:p w14:paraId="186BAA06">
      <w:pPr>
        <w:jc w:val="left"/>
        <w:rPr>
          <w:rFonts w:ascii="宋体" w:hAnsi="宋体"/>
          <w:kern w:val="44"/>
        </w:rPr>
      </w:pPr>
      <w:r>
        <w:rPr>
          <w:rFonts w:hint="eastAsia" w:ascii="宋体" w:hAnsi="宋体"/>
          <w:kern w:val="44"/>
        </w:rPr>
        <w:t>（一）责令停止侵权行为，消除影响；</w:t>
      </w:r>
    </w:p>
    <w:p w14:paraId="65EAE422">
      <w:pPr>
        <w:jc w:val="left"/>
        <w:rPr>
          <w:rFonts w:ascii="宋体" w:hAnsi="宋体"/>
          <w:kern w:val="44"/>
        </w:rPr>
      </w:pPr>
      <w:r>
        <w:rPr>
          <w:rFonts w:hint="eastAsia" w:ascii="宋体" w:hAnsi="宋体"/>
          <w:kern w:val="44"/>
        </w:rPr>
        <w:t>（二）依法封存有可能转移、隐匿、销毁的有关财物、资料；</w:t>
      </w:r>
    </w:p>
    <w:p w14:paraId="29725DCB">
      <w:pPr>
        <w:jc w:val="left"/>
        <w:rPr>
          <w:rFonts w:ascii="宋体" w:hAnsi="宋体"/>
          <w:kern w:val="44"/>
        </w:rPr>
      </w:pPr>
      <w:r>
        <w:rPr>
          <w:rFonts w:hint="eastAsia" w:ascii="宋体" w:hAnsi="宋体"/>
          <w:kern w:val="44"/>
        </w:rPr>
        <w:t>（三）消除现存物品上侵权的商标标识、特殊标志、专利标记、作品和其他创作成果；</w:t>
      </w:r>
    </w:p>
    <w:p w14:paraId="5CFE08BD">
      <w:pPr>
        <w:jc w:val="left"/>
        <w:rPr>
          <w:rFonts w:ascii="宋体" w:hAnsi="宋体"/>
          <w:kern w:val="44"/>
        </w:rPr>
      </w:pPr>
      <w:r>
        <w:rPr>
          <w:rFonts w:hint="eastAsia" w:ascii="宋体" w:hAnsi="宋体"/>
          <w:kern w:val="44"/>
        </w:rPr>
        <w:t>（四）收缴并销毁侵权商标标识、专利标记、特殊标志；</w:t>
      </w:r>
    </w:p>
    <w:p w14:paraId="057F8688">
      <w:pPr>
        <w:jc w:val="left"/>
        <w:rPr>
          <w:rFonts w:ascii="宋体" w:hAnsi="宋体"/>
          <w:kern w:val="44"/>
        </w:rPr>
      </w:pPr>
      <w:r>
        <w:rPr>
          <w:rFonts w:hint="eastAsia" w:ascii="宋体" w:hAnsi="宋体"/>
          <w:kern w:val="44"/>
        </w:rPr>
        <w:t>（五）收缴直接用于侵权的模具、印版和其他工具；</w:t>
      </w:r>
    </w:p>
    <w:p w14:paraId="7DBB263B">
      <w:pPr>
        <w:jc w:val="left"/>
        <w:rPr>
          <w:rFonts w:ascii="宋体" w:hAnsi="宋体"/>
          <w:kern w:val="44"/>
        </w:rPr>
      </w:pPr>
      <w:r>
        <w:rPr>
          <w:rFonts w:hint="eastAsia" w:ascii="宋体" w:hAnsi="宋体"/>
          <w:kern w:val="44"/>
        </w:rPr>
        <w:t>（六）侵权商标、特殊标志、专利、作品和其他创作成果与物品难以分离的，责令并监督销毁。</w:t>
      </w:r>
    </w:p>
    <w:p w14:paraId="367B6730">
      <w:pPr>
        <w:ind w:firstLine="422"/>
        <w:jc w:val="left"/>
        <w:rPr>
          <w:rFonts w:ascii="宋体" w:hAnsi="宋体"/>
          <w:kern w:val="44"/>
        </w:rPr>
      </w:pPr>
      <w:r>
        <w:rPr>
          <w:rFonts w:hint="eastAsia" w:ascii="宋体" w:hAnsi="宋体"/>
          <w:b/>
          <w:kern w:val="44"/>
        </w:rPr>
        <w:t>第十三条</w:t>
      </w:r>
      <w:r>
        <w:rPr>
          <w:rFonts w:hint="eastAsia" w:ascii="宋体" w:hAnsi="宋体"/>
          <w:kern w:val="44"/>
        </w:rPr>
        <w:t>　侵犯奥林匹克知识产权的行为人，应当依法承担相应的民事责任。</w:t>
      </w:r>
    </w:p>
    <w:p w14:paraId="1C7B3BE1">
      <w:pPr>
        <w:ind w:firstLine="422"/>
        <w:jc w:val="left"/>
        <w:rPr>
          <w:rFonts w:ascii="宋体" w:hAnsi="宋体"/>
          <w:kern w:val="44"/>
        </w:rPr>
      </w:pPr>
      <w:r>
        <w:rPr>
          <w:rFonts w:hint="eastAsia" w:ascii="宋体" w:hAnsi="宋体"/>
          <w:b/>
          <w:kern w:val="44"/>
        </w:rPr>
        <w:t>第十四条</w:t>
      </w:r>
      <w:r>
        <w:rPr>
          <w:rFonts w:hint="eastAsia" w:ascii="宋体" w:hAnsi="宋体"/>
          <w:kern w:val="44"/>
        </w:rPr>
        <w:t>　违反本规定，侵犯奥林匹克知识产权，属违反有关法律、法规、规章的，依法处理；有关法律、法规、规章没有规定的，处1千元以上3万元以下的罚款；构成犯罪的，依法追究刑事责任。</w:t>
      </w:r>
    </w:p>
    <w:p w14:paraId="75E98107">
      <w:pPr>
        <w:jc w:val="left"/>
        <w:rPr>
          <w:rFonts w:ascii="宋体" w:hAnsi="宋体"/>
          <w:kern w:val="44"/>
        </w:rPr>
      </w:pPr>
      <w:r>
        <w:rPr>
          <w:rFonts w:hint="eastAsia" w:ascii="宋体" w:hAnsi="宋体"/>
          <w:kern w:val="44"/>
        </w:rPr>
        <w:t>前款规定的行政处罚，对涉及商标、特殊标志、广告、企业注册、网站名称的侵权行为，由工商行政管理部门查处；对专利侵权行为，由知识产权行政管理部门查处；对版权侵权行为，由版权行政管理部门查处；对在其他领域的侵权行为，由知识产权行政管理部门会同有关行业行政主管部门查处。</w:t>
      </w:r>
    </w:p>
    <w:p w14:paraId="6BDB37B2">
      <w:pPr>
        <w:ind w:firstLine="422"/>
        <w:jc w:val="left"/>
        <w:rPr>
          <w:rFonts w:ascii="宋体" w:hAnsi="宋体"/>
          <w:kern w:val="44"/>
        </w:rPr>
      </w:pPr>
      <w:r>
        <w:rPr>
          <w:rFonts w:hint="eastAsia" w:ascii="宋体" w:hAnsi="宋体"/>
          <w:b/>
          <w:kern w:val="44"/>
        </w:rPr>
        <w:t>第十五条</w:t>
      </w:r>
      <w:r>
        <w:rPr>
          <w:rFonts w:hint="eastAsia" w:ascii="宋体" w:hAnsi="宋体"/>
          <w:kern w:val="44"/>
        </w:rPr>
        <w:t>　奥林匹克知识产权人和相关权利人发现其权利被侵犯时，可以向侵权行为地有关行政管理部门投诉，也可以依法直接向人民法院起诉。</w:t>
      </w:r>
    </w:p>
    <w:p w14:paraId="4773C3BD">
      <w:pPr>
        <w:jc w:val="left"/>
        <w:rPr>
          <w:rFonts w:ascii="宋体" w:hAnsi="宋体"/>
          <w:kern w:val="44"/>
        </w:rPr>
      </w:pPr>
      <w:r>
        <w:rPr>
          <w:rFonts w:hint="eastAsia" w:ascii="宋体" w:hAnsi="宋体"/>
          <w:kern w:val="44"/>
        </w:rPr>
        <w:t>有关行政管理部门在依法处理侵权案件时，可以依法进行调解；调解不成的，权利人可以依法向人民法院起诉。</w:t>
      </w:r>
    </w:p>
    <w:p w14:paraId="35F260DC">
      <w:pPr>
        <w:ind w:firstLine="422"/>
        <w:jc w:val="left"/>
        <w:rPr>
          <w:rFonts w:ascii="宋体" w:hAnsi="宋体"/>
          <w:kern w:val="44"/>
        </w:rPr>
      </w:pPr>
      <w:r>
        <w:rPr>
          <w:rFonts w:hint="eastAsia" w:ascii="宋体" w:hAnsi="宋体"/>
          <w:b/>
          <w:kern w:val="44"/>
        </w:rPr>
        <w:t>第十六条</w:t>
      </w:r>
      <w:r>
        <w:rPr>
          <w:rFonts w:hint="eastAsia" w:ascii="宋体" w:hAnsi="宋体"/>
          <w:kern w:val="44"/>
        </w:rPr>
        <w:t>　对本规定施行前发生的侵犯奥林匹克知识产权的行为，行为人应当立即停止并消除影响；对经过登记注册或者授权的，有关行政管理部门应当予以纠正。</w:t>
      </w:r>
    </w:p>
    <w:p w14:paraId="6268CA16">
      <w:pPr>
        <w:ind w:firstLine="422"/>
        <w:jc w:val="left"/>
        <w:rPr>
          <w:rFonts w:ascii="宋体" w:hAnsi="宋体"/>
          <w:kern w:val="44"/>
        </w:rPr>
      </w:pPr>
      <w:r>
        <w:rPr>
          <w:rFonts w:hint="eastAsia" w:ascii="宋体" w:hAnsi="宋体"/>
          <w:b/>
          <w:kern w:val="44"/>
        </w:rPr>
        <w:t>第十七条</w:t>
      </w:r>
      <w:r>
        <w:rPr>
          <w:rFonts w:hint="eastAsia" w:ascii="宋体" w:hAnsi="宋体"/>
          <w:kern w:val="44"/>
        </w:rPr>
        <w:t>　本规定自2001年11月1日起施行。</w:t>
      </w:r>
    </w:p>
    <w:p w14:paraId="7F0765CE">
      <w:pPr>
        <w:pStyle w:val="4"/>
        <w:pageBreakBefore/>
        <w:rPr>
          <w:kern w:val="44"/>
        </w:rPr>
      </w:pPr>
      <w:bookmarkStart w:id="1251" w:name="_Toc428780170"/>
      <w:bookmarkStart w:id="1252" w:name="_Toc427651946"/>
      <w:bookmarkStart w:id="1253" w:name="_Toc422471331"/>
      <w:bookmarkStart w:id="1254" w:name="_Toc427651604"/>
      <w:bookmarkStart w:id="1255" w:name="_Toc428781652"/>
      <w:r>
        <w:rPr>
          <w:rFonts w:hint="eastAsia"/>
          <w:kern w:val="44"/>
        </w:rPr>
        <w:t>北京市展会知识产权</w:t>
      </w:r>
      <w:bookmarkEnd w:id="1251"/>
      <w:bookmarkEnd w:id="1252"/>
      <w:bookmarkEnd w:id="1253"/>
      <w:bookmarkEnd w:id="1254"/>
      <w:bookmarkEnd w:id="1255"/>
      <w:bookmarkStart w:id="1256" w:name="_Toc422471332"/>
      <w:bookmarkStart w:id="1257" w:name="_Toc427651605"/>
      <w:bookmarkStart w:id="1258" w:name="_Toc428780171"/>
      <w:bookmarkStart w:id="1259" w:name="_Toc428781653"/>
      <w:bookmarkStart w:id="1260" w:name="_Toc427651947"/>
      <w:r>
        <w:rPr>
          <w:rFonts w:hint="eastAsia"/>
          <w:kern w:val="44"/>
        </w:rPr>
        <w:t>保护办法</w:t>
      </w:r>
      <w:bookmarkEnd w:id="1256"/>
      <w:bookmarkEnd w:id="1257"/>
      <w:bookmarkEnd w:id="1258"/>
      <w:bookmarkEnd w:id="1259"/>
      <w:bookmarkEnd w:id="1260"/>
    </w:p>
    <w:p w14:paraId="4F49ABAE">
      <w:pPr>
        <w:ind w:left="630" w:leftChars="300" w:right="630" w:rightChars="300"/>
        <w:jc w:val="left"/>
        <w:rPr>
          <w:rFonts w:ascii="楷体" w:hAnsi="楷体" w:eastAsia="楷体"/>
          <w:kern w:val="44"/>
        </w:rPr>
      </w:pPr>
      <w:r>
        <w:rPr>
          <w:rFonts w:hint="eastAsia" w:ascii="楷体" w:hAnsi="楷体" w:eastAsia="楷体"/>
          <w:kern w:val="44"/>
        </w:rPr>
        <w:t>（2007年11月19日市人民政府第76次常务会议审议通过　2007年11月24日北京市人民政府第201号令公布）</w:t>
      </w:r>
    </w:p>
    <w:p w14:paraId="6D8C6325">
      <w:pPr>
        <w:jc w:val="left"/>
        <w:rPr>
          <w:rFonts w:ascii="宋体" w:hAnsi="宋体"/>
          <w:kern w:val="44"/>
        </w:rPr>
      </w:pPr>
    </w:p>
    <w:p w14:paraId="487EF1E9">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为了加强展会知识产权保护，维护展会秩序，促进会展业健康发展，根据有关法律、法规，结合本市实际情况，制定本办法。</w:t>
      </w:r>
    </w:p>
    <w:p w14:paraId="3EC46E15">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本办法适用于本市行政区域内举办的展览会、展销会、博览会、交易会、展示会等活动中有关专利权、商标权、版权等知识产权的保护。</w:t>
      </w:r>
    </w:p>
    <w:p w14:paraId="3793E62D">
      <w:pPr>
        <w:ind w:firstLine="422"/>
        <w:jc w:val="left"/>
        <w:rPr>
          <w:rFonts w:ascii="宋体" w:hAnsi="宋体"/>
          <w:kern w:val="44"/>
        </w:rPr>
      </w:pPr>
      <w:r>
        <w:rPr>
          <w:rFonts w:hint="eastAsia" w:ascii="宋体" w:hAnsi="宋体"/>
          <w:b/>
          <w:kern w:val="44"/>
        </w:rPr>
        <w:t>第三条</w:t>
      </w:r>
      <w:r>
        <w:rPr>
          <w:rFonts w:hint="eastAsia" w:ascii="宋体" w:hAnsi="宋体"/>
          <w:kern w:val="44"/>
        </w:rPr>
        <w:t>　展会知识产权保护工作坚持政府指导、主办方负责、参展方自律、社会公众监督的原则。</w:t>
      </w:r>
    </w:p>
    <w:p w14:paraId="622C14C5">
      <w:pPr>
        <w:ind w:firstLine="422"/>
        <w:jc w:val="left"/>
        <w:rPr>
          <w:rFonts w:ascii="宋体" w:hAnsi="宋体"/>
          <w:kern w:val="44"/>
        </w:rPr>
      </w:pPr>
      <w:r>
        <w:rPr>
          <w:rFonts w:hint="eastAsia" w:ascii="宋体" w:hAnsi="宋体"/>
          <w:b/>
          <w:kern w:val="44"/>
        </w:rPr>
        <w:t>第四条</w:t>
      </w:r>
      <w:r>
        <w:rPr>
          <w:rFonts w:hint="eastAsia" w:ascii="宋体" w:hAnsi="宋体"/>
          <w:kern w:val="44"/>
        </w:rPr>
        <w:t>　市知识产权局负责本市展会知识产权保护工作的统筹协调。区、县人民政府负责本行政区域内展会知识产权保护工作的领导和协调。</w:t>
      </w:r>
    </w:p>
    <w:p w14:paraId="28CDC7D7">
      <w:pPr>
        <w:jc w:val="left"/>
        <w:rPr>
          <w:rFonts w:ascii="宋体" w:hAnsi="宋体"/>
          <w:kern w:val="44"/>
        </w:rPr>
      </w:pPr>
      <w:r>
        <w:rPr>
          <w:rFonts w:hint="eastAsia" w:ascii="宋体" w:hAnsi="宋体"/>
          <w:kern w:val="44"/>
        </w:rPr>
        <w:t>知识产权、工商行政管理、版权等知识产权行政管理部门（以下统称知识产权行政管理部门）应当依照各自职责做好对展会知识产权保护工作的指导和监督，帮助主办方建立健全展会知识产权保护制度。</w:t>
      </w:r>
    </w:p>
    <w:p w14:paraId="5B6E04D5">
      <w:pPr>
        <w:ind w:firstLine="422"/>
        <w:jc w:val="left"/>
        <w:rPr>
          <w:rFonts w:ascii="宋体" w:hAnsi="宋体"/>
          <w:kern w:val="44"/>
        </w:rPr>
      </w:pPr>
      <w:r>
        <w:rPr>
          <w:rFonts w:hint="eastAsia" w:ascii="宋体" w:hAnsi="宋体"/>
          <w:b/>
          <w:kern w:val="44"/>
        </w:rPr>
        <w:t>第五条</w:t>
      </w:r>
      <w:r>
        <w:rPr>
          <w:rFonts w:hint="eastAsia" w:ascii="宋体" w:hAnsi="宋体"/>
          <w:kern w:val="44"/>
        </w:rPr>
        <w:t>　展会管理部门应当加强对展会知识产权保护工作的协调、监督、检查，维护展会的正常秩序。</w:t>
      </w:r>
    </w:p>
    <w:p w14:paraId="05F63F72">
      <w:pPr>
        <w:ind w:firstLine="422"/>
        <w:jc w:val="left"/>
        <w:rPr>
          <w:rFonts w:ascii="宋体" w:hAnsi="宋体"/>
          <w:kern w:val="44"/>
        </w:rPr>
      </w:pPr>
      <w:r>
        <w:rPr>
          <w:rFonts w:hint="eastAsia" w:ascii="宋体" w:hAnsi="宋体"/>
          <w:b/>
          <w:kern w:val="44"/>
        </w:rPr>
        <w:t>第六条</w:t>
      </w:r>
      <w:r>
        <w:rPr>
          <w:rFonts w:hint="eastAsia" w:ascii="宋体" w:hAnsi="宋体"/>
          <w:kern w:val="44"/>
        </w:rPr>
        <w:t>　有关行业协会应当通过制定行业自律规范、开展宣传培训等方式，增强会员的知识产权保护意识，协助知识产权行政管理部门开展展会知识产权保护工作。</w:t>
      </w:r>
    </w:p>
    <w:p w14:paraId="3B21887D">
      <w:pPr>
        <w:ind w:firstLine="422"/>
        <w:jc w:val="left"/>
        <w:rPr>
          <w:rFonts w:ascii="宋体" w:hAnsi="宋体"/>
          <w:kern w:val="44"/>
        </w:rPr>
      </w:pPr>
      <w:r>
        <w:rPr>
          <w:rFonts w:hint="eastAsia" w:ascii="宋体" w:hAnsi="宋体"/>
          <w:b/>
          <w:kern w:val="44"/>
        </w:rPr>
        <w:t>第七条</w:t>
      </w:r>
      <w:r>
        <w:rPr>
          <w:rFonts w:hint="eastAsia" w:ascii="宋体" w:hAnsi="宋体"/>
          <w:kern w:val="44"/>
        </w:rPr>
        <w:t>　主办方应当依法做好展会知识产权保护工作，建立健全展前审查参展项目（包括展品、展板、展台及相关宣传资料等）知识产权状况的制度，督促参展方对可能引发知识产权纠纷的参展项目进行检索。</w:t>
      </w:r>
    </w:p>
    <w:p w14:paraId="707C783D">
      <w:pPr>
        <w:ind w:firstLine="422"/>
        <w:jc w:val="left"/>
        <w:rPr>
          <w:rFonts w:ascii="宋体" w:hAnsi="宋体"/>
          <w:kern w:val="44"/>
        </w:rPr>
      </w:pPr>
      <w:r>
        <w:rPr>
          <w:rFonts w:hint="eastAsia" w:ascii="宋体" w:hAnsi="宋体"/>
          <w:b/>
          <w:kern w:val="44"/>
        </w:rPr>
        <w:t>第八条</w:t>
      </w:r>
      <w:r>
        <w:rPr>
          <w:rFonts w:hint="eastAsia" w:ascii="宋体" w:hAnsi="宋体"/>
          <w:kern w:val="44"/>
        </w:rPr>
        <w:t>　参展方应当合法参展，配合主办方在展前对参展项目知识产权状况进行的审查工作，不得侵犯他人的知识产权。</w:t>
      </w:r>
    </w:p>
    <w:p w14:paraId="47C65139">
      <w:pPr>
        <w:jc w:val="left"/>
        <w:rPr>
          <w:rFonts w:ascii="宋体" w:hAnsi="宋体"/>
          <w:kern w:val="44"/>
        </w:rPr>
      </w:pPr>
      <w:r>
        <w:rPr>
          <w:rFonts w:hint="eastAsia" w:ascii="宋体" w:hAnsi="宋体"/>
          <w:kern w:val="44"/>
        </w:rPr>
        <w:t>参展项目依法应当具有相关权利证明的，参展方应当携带相关的权利证明参展；对参展项目标注知识产权标记、标识的，应当按照有关规定标注。</w:t>
      </w:r>
    </w:p>
    <w:p w14:paraId="02E538A3">
      <w:pPr>
        <w:ind w:firstLine="422"/>
        <w:jc w:val="left"/>
        <w:rPr>
          <w:rFonts w:ascii="宋体" w:hAnsi="宋体"/>
          <w:kern w:val="44"/>
        </w:rPr>
      </w:pPr>
      <w:r>
        <w:rPr>
          <w:rFonts w:hint="eastAsia" w:ascii="宋体" w:hAnsi="宋体"/>
          <w:b/>
          <w:kern w:val="44"/>
        </w:rPr>
        <w:t>第九条</w:t>
      </w:r>
      <w:r>
        <w:rPr>
          <w:rFonts w:hint="eastAsia" w:ascii="宋体" w:hAnsi="宋体"/>
          <w:kern w:val="44"/>
        </w:rPr>
        <w:t>　主办方与参展方应当在参展合同中约定双方知识产权保护的权利、义务和相关内容。知识产权保护的内容应当包括：</w:t>
      </w:r>
    </w:p>
    <w:p w14:paraId="4BBBD28A">
      <w:pPr>
        <w:jc w:val="left"/>
        <w:rPr>
          <w:rFonts w:ascii="宋体" w:hAnsi="宋体"/>
          <w:kern w:val="44"/>
        </w:rPr>
      </w:pPr>
      <w:r>
        <w:rPr>
          <w:rFonts w:hint="eastAsia" w:ascii="宋体" w:hAnsi="宋体"/>
          <w:kern w:val="44"/>
        </w:rPr>
        <w:t>（一）参展方对参展项目不侵犯他人知识产权的承诺；</w:t>
      </w:r>
    </w:p>
    <w:p w14:paraId="0833FA0B">
      <w:pPr>
        <w:jc w:val="left"/>
        <w:rPr>
          <w:rFonts w:ascii="宋体" w:hAnsi="宋体"/>
          <w:kern w:val="44"/>
        </w:rPr>
      </w:pPr>
      <w:r>
        <w:rPr>
          <w:rFonts w:hint="eastAsia" w:ascii="宋体" w:hAnsi="宋体"/>
          <w:kern w:val="44"/>
        </w:rPr>
        <w:t>（二）知识产权投诉处理程序和解决方式；</w:t>
      </w:r>
    </w:p>
    <w:p w14:paraId="4FF0BB94">
      <w:pPr>
        <w:jc w:val="left"/>
        <w:rPr>
          <w:rFonts w:ascii="宋体" w:hAnsi="宋体"/>
          <w:kern w:val="44"/>
        </w:rPr>
      </w:pPr>
      <w:r>
        <w:rPr>
          <w:rFonts w:hint="eastAsia" w:ascii="宋体" w:hAnsi="宋体"/>
          <w:kern w:val="44"/>
        </w:rPr>
        <w:t>（三）参展项目涉嫌侵权的，应当采取遮盖、撤展等处理措施。</w:t>
      </w:r>
    </w:p>
    <w:p w14:paraId="3243F553">
      <w:pPr>
        <w:jc w:val="left"/>
        <w:rPr>
          <w:rFonts w:ascii="宋体" w:hAnsi="宋体"/>
          <w:kern w:val="44"/>
        </w:rPr>
      </w:pPr>
      <w:r>
        <w:rPr>
          <w:rFonts w:hint="eastAsia" w:ascii="宋体" w:hAnsi="宋体"/>
          <w:kern w:val="44"/>
        </w:rPr>
        <w:t>市知识产权局应当会同市工商行政管理、市版权等行政管理部门制定展会知识产权保护的合同示范文本，并向社会公布。</w:t>
      </w:r>
    </w:p>
    <w:p w14:paraId="52793E40">
      <w:pPr>
        <w:ind w:firstLine="422"/>
        <w:jc w:val="left"/>
        <w:rPr>
          <w:rFonts w:ascii="宋体" w:hAnsi="宋体"/>
          <w:kern w:val="44"/>
        </w:rPr>
      </w:pPr>
      <w:r>
        <w:rPr>
          <w:rFonts w:hint="eastAsia" w:ascii="宋体" w:hAnsi="宋体"/>
          <w:b/>
          <w:kern w:val="44"/>
        </w:rPr>
        <w:t>第十条</w:t>
      </w:r>
      <w:r>
        <w:rPr>
          <w:rFonts w:hint="eastAsia" w:ascii="宋体" w:hAnsi="宋体"/>
          <w:kern w:val="44"/>
        </w:rPr>
        <w:t>　举办时间在三天以上，且具有下列情形之一的展会，知识产权行政管理部门应当进驻：</w:t>
      </w:r>
    </w:p>
    <w:p w14:paraId="2F42BB2A">
      <w:pPr>
        <w:jc w:val="left"/>
        <w:rPr>
          <w:rFonts w:ascii="宋体" w:hAnsi="宋体"/>
          <w:kern w:val="44"/>
        </w:rPr>
      </w:pPr>
      <w:r>
        <w:rPr>
          <w:rFonts w:hint="eastAsia" w:ascii="宋体" w:hAnsi="宋体"/>
          <w:kern w:val="44"/>
        </w:rPr>
        <w:t>（一）政府和政府部门主办的展会；</w:t>
      </w:r>
    </w:p>
    <w:p w14:paraId="44E98FCD">
      <w:pPr>
        <w:jc w:val="left"/>
        <w:rPr>
          <w:rFonts w:ascii="宋体" w:hAnsi="宋体"/>
          <w:kern w:val="44"/>
        </w:rPr>
      </w:pPr>
      <w:r>
        <w:rPr>
          <w:rFonts w:hint="eastAsia" w:ascii="宋体" w:hAnsi="宋体"/>
          <w:kern w:val="44"/>
        </w:rPr>
        <w:t>（二）展出面积二万平方米以上的展会；</w:t>
      </w:r>
    </w:p>
    <w:p w14:paraId="17F4B36B">
      <w:pPr>
        <w:jc w:val="left"/>
        <w:rPr>
          <w:rFonts w:ascii="宋体" w:hAnsi="宋体"/>
          <w:kern w:val="44"/>
        </w:rPr>
      </w:pPr>
      <w:r>
        <w:rPr>
          <w:rFonts w:hint="eastAsia" w:ascii="宋体" w:hAnsi="宋体"/>
          <w:kern w:val="44"/>
        </w:rPr>
        <w:t>（三）在国际或者国内具有重大影响的展会。</w:t>
      </w:r>
    </w:p>
    <w:p w14:paraId="50F08227">
      <w:pPr>
        <w:jc w:val="left"/>
        <w:rPr>
          <w:rFonts w:ascii="宋体" w:hAnsi="宋体"/>
          <w:kern w:val="44"/>
        </w:rPr>
      </w:pPr>
      <w:r>
        <w:rPr>
          <w:rFonts w:hint="eastAsia" w:ascii="宋体" w:hAnsi="宋体"/>
          <w:kern w:val="44"/>
        </w:rPr>
        <w:t>主办方应当为知识产权行政管理部门进驻展会开展工作提供必要的便利条件。</w:t>
      </w:r>
    </w:p>
    <w:p w14:paraId="1E780D62">
      <w:pPr>
        <w:ind w:firstLine="422"/>
        <w:jc w:val="left"/>
        <w:rPr>
          <w:rFonts w:ascii="宋体" w:hAnsi="宋体"/>
          <w:kern w:val="44"/>
        </w:rPr>
      </w:pPr>
      <w:r>
        <w:rPr>
          <w:rFonts w:hint="eastAsia" w:ascii="宋体" w:hAnsi="宋体"/>
          <w:b/>
          <w:kern w:val="44"/>
        </w:rPr>
        <w:t>第十一条</w:t>
      </w:r>
      <w:r>
        <w:rPr>
          <w:rFonts w:hint="eastAsia" w:ascii="宋体" w:hAnsi="宋体"/>
          <w:kern w:val="44"/>
        </w:rPr>
        <w:t>　举办第十条第一款规定的展会，由本市展会管理部门审批或者登记的，展会管理部门应当自批准或者登记之日起10日内，将展会的名称、时间、地点、展出面积、主办方的基本情况告知市知识产权局；由非本市展会管理部门审批或者登记的，展会的承办方应当按照前述规定将举办展会的有关情况告知市知识产权局。</w:t>
      </w:r>
    </w:p>
    <w:p w14:paraId="7AB91332">
      <w:pPr>
        <w:ind w:firstLine="422"/>
        <w:jc w:val="left"/>
        <w:rPr>
          <w:rFonts w:ascii="宋体" w:hAnsi="宋体"/>
          <w:kern w:val="44"/>
        </w:rPr>
      </w:pPr>
      <w:r>
        <w:rPr>
          <w:rFonts w:hint="eastAsia" w:ascii="宋体" w:hAnsi="宋体"/>
          <w:b/>
          <w:kern w:val="44"/>
        </w:rPr>
        <w:t>第十二条</w:t>
      </w:r>
      <w:r>
        <w:rPr>
          <w:rFonts w:hint="eastAsia" w:ascii="宋体" w:hAnsi="宋体"/>
          <w:kern w:val="44"/>
        </w:rPr>
        <w:t>　主办方应当根据国家有关规定和实际工作需要设立展会知识产权投诉机构。</w:t>
      </w:r>
    </w:p>
    <w:p w14:paraId="5A0CDA2A">
      <w:pPr>
        <w:jc w:val="left"/>
        <w:rPr>
          <w:rFonts w:ascii="宋体" w:hAnsi="宋体"/>
          <w:kern w:val="44"/>
        </w:rPr>
      </w:pPr>
      <w:r>
        <w:rPr>
          <w:rFonts w:hint="eastAsia" w:ascii="宋体" w:hAnsi="宋体"/>
          <w:kern w:val="44"/>
        </w:rPr>
        <w:t>投诉机构可以由主办方人员、相关领域的专业技术人员和法律专业人员等组成。必要时，主办方可以邀请知识产权行政管理部门派人指导。</w:t>
      </w:r>
    </w:p>
    <w:p w14:paraId="3AE77AEF">
      <w:pPr>
        <w:ind w:firstLine="422"/>
        <w:jc w:val="left"/>
        <w:rPr>
          <w:rFonts w:ascii="宋体" w:hAnsi="宋体"/>
          <w:kern w:val="44"/>
        </w:rPr>
      </w:pPr>
      <w:r>
        <w:rPr>
          <w:rFonts w:hint="eastAsia" w:ascii="宋体" w:hAnsi="宋体"/>
          <w:b/>
          <w:kern w:val="44"/>
        </w:rPr>
        <w:t>第十三条</w:t>
      </w:r>
      <w:r>
        <w:rPr>
          <w:rFonts w:hint="eastAsia" w:ascii="宋体" w:hAnsi="宋体"/>
          <w:kern w:val="44"/>
        </w:rPr>
        <w:t>　知识产权权利人或者利害关系人认为参展项目侵犯其知识产权的，可以依照有关规定向主办方或者主办方设立的投诉机构投诉。主办方或者投诉机构接到投诉后应当及时指派工作人员进行调查处理。</w:t>
      </w:r>
    </w:p>
    <w:p w14:paraId="5CC96A01">
      <w:pPr>
        <w:ind w:firstLine="422"/>
        <w:jc w:val="left"/>
        <w:rPr>
          <w:rFonts w:ascii="宋体" w:hAnsi="宋体"/>
          <w:kern w:val="44"/>
        </w:rPr>
      </w:pPr>
      <w:r>
        <w:rPr>
          <w:rFonts w:hint="eastAsia" w:ascii="宋体" w:hAnsi="宋体"/>
          <w:b/>
          <w:kern w:val="44"/>
        </w:rPr>
        <w:t>第十四条</w:t>
      </w:r>
      <w:r>
        <w:rPr>
          <w:rFonts w:hint="eastAsia" w:ascii="宋体" w:hAnsi="宋体"/>
          <w:kern w:val="44"/>
        </w:rPr>
        <w:t>　知识产权权利人或者利害关系人向主办方或者主办方设立的投诉机构投诉的，应当提供下列材料：</w:t>
      </w:r>
    </w:p>
    <w:p w14:paraId="677C5642">
      <w:pPr>
        <w:jc w:val="left"/>
        <w:rPr>
          <w:rFonts w:ascii="宋体" w:hAnsi="宋体"/>
          <w:kern w:val="44"/>
        </w:rPr>
      </w:pPr>
      <w:r>
        <w:rPr>
          <w:rFonts w:hint="eastAsia" w:ascii="宋体" w:hAnsi="宋体"/>
          <w:kern w:val="44"/>
        </w:rPr>
        <w:t>（一）投诉人与被投诉人基本情况资料，包括投诉人名称、住所、被投诉人名称及展位号码。投诉人委托代理人投诉的，应当提交授权委托书。</w:t>
      </w:r>
    </w:p>
    <w:p w14:paraId="6AD7CB63">
      <w:pPr>
        <w:jc w:val="left"/>
        <w:rPr>
          <w:rFonts w:ascii="宋体" w:hAnsi="宋体"/>
          <w:kern w:val="44"/>
        </w:rPr>
      </w:pPr>
      <w:r>
        <w:rPr>
          <w:rFonts w:hint="eastAsia" w:ascii="宋体" w:hAnsi="宋体"/>
          <w:kern w:val="44"/>
        </w:rPr>
        <w:t>（二）涉嫌侵权参展项目的名称、涉嫌侵权的证据和必要说明。</w:t>
      </w:r>
    </w:p>
    <w:p w14:paraId="77B0B427">
      <w:pPr>
        <w:jc w:val="left"/>
        <w:rPr>
          <w:rFonts w:ascii="宋体" w:hAnsi="宋体"/>
          <w:kern w:val="44"/>
        </w:rPr>
      </w:pPr>
      <w:r>
        <w:rPr>
          <w:rFonts w:hint="eastAsia" w:ascii="宋体" w:hAnsi="宋体"/>
          <w:kern w:val="44"/>
        </w:rPr>
        <w:t>（三）知识产权权利证明，包括知识产权权属证明、知识产权内容证明和其他必要的知识产权法律状况证明。</w:t>
      </w:r>
    </w:p>
    <w:p w14:paraId="524D70A3">
      <w:pPr>
        <w:ind w:firstLine="422"/>
        <w:jc w:val="left"/>
        <w:rPr>
          <w:rFonts w:ascii="宋体" w:hAnsi="宋体"/>
          <w:kern w:val="44"/>
        </w:rPr>
      </w:pPr>
      <w:r>
        <w:rPr>
          <w:rFonts w:hint="eastAsia" w:ascii="宋体" w:hAnsi="宋体"/>
          <w:b/>
          <w:kern w:val="44"/>
        </w:rPr>
        <w:t>第十五条</w:t>
      </w:r>
      <w:r>
        <w:rPr>
          <w:rFonts w:hint="eastAsia" w:ascii="宋体" w:hAnsi="宋体"/>
          <w:kern w:val="44"/>
        </w:rPr>
        <w:t>　被投诉人在被告知其参展项目涉嫌侵权后，应当及时出示权利证书或者其他证据，证明其拥有对被投诉内容的合法权属，作出不侵权的举证，并协助主办方或者主办方设立的投诉机构工作人员对涉嫌侵权物品进行查验。</w:t>
      </w:r>
    </w:p>
    <w:p w14:paraId="1B0B0DB4">
      <w:pPr>
        <w:jc w:val="left"/>
        <w:rPr>
          <w:rFonts w:ascii="宋体" w:hAnsi="宋体"/>
          <w:kern w:val="44"/>
        </w:rPr>
      </w:pPr>
      <w:r>
        <w:rPr>
          <w:rFonts w:hint="eastAsia" w:ascii="宋体" w:hAnsi="宋体"/>
          <w:kern w:val="44"/>
        </w:rPr>
        <w:t>被投诉人不能作出有效举证的，应当按照与主办方的合同约定将涉嫌侵权的物品自行撤展；被投诉人不自行撤展的，主办方或者主办方设立的投诉机构可以作出撤展的决定。</w:t>
      </w:r>
    </w:p>
    <w:p w14:paraId="02DF7BFF">
      <w:pPr>
        <w:ind w:firstLine="422"/>
        <w:jc w:val="left"/>
        <w:rPr>
          <w:rFonts w:ascii="宋体" w:hAnsi="宋体"/>
          <w:kern w:val="44"/>
        </w:rPr>
      </w:pPr>
      <w:r>
        <w:rPr>
          <w:rFonts w:hint="eastAsia" w:ascii="宋体" w:hAnsi="宋体"/>
          <w:b/>
          <w:kern w:val="44"/>
        </w:rPr>
        <w:t>第十六条</w:t>
      </w:r>
      <w:r>
        <w:rPr>
          <w:rFonts w:hint="eastAsia" w:ascii="宋体" w:hAnsi="宋体"/>
          <w:kern w:val="44"/>
        </w:rPr>
        <w:t>　因投诉人恶意投诉而给被投诉人造成损失的，投诉人应当依法承担相应的赔偿责任。</w:t>
      </w:r>
    </w:p>
    <w:p w14:paraId="5505F546">
      <w:pPr>
        <w:ind w:firstLine="422"/>
        <w:jc w:val="left"/>
        <w:rPr>
          <w:rFonts w:ascii="宋体" w:hAnsi="宋体"/>
          <w:kern w:val="44"/>
        </w:rPr>
      </w:pPr>
      <w:r>
        <w:rPr>
          <w:rFonts w:hint="eastAsia" w:ascii="宋体" w:hAnsi="宋体"/>
          <w:b/>
          <w:kern w:val="44"/>
        </w:rPr>
        <w:t>第十七条</w:t>
      </w:r>
      <w:r>
        <w:rPr>
          <w:rFonts w:hint="eastAsia" w:ascii="宋体" w:hAnsi="宋体"/>
          <w:kern w:val="44"/>
        </w:rPr>
        <w:t>　参展方应当遵守与主办方签订的有关知识产权保护的合同条款，履行知识产权保护义务，配合主办方解决纠纷。</w:t>
      </w:r>
    </w:p>
    <w:p w14:paraId="0047F5D8">
      <w:pPr>
        <w:ind w:firstLine="422"/>
        <w:jc w:val="left"/>
        <w:rPr>
          <w:rFonts w:ascii="宋体" w:hAnsi="宋体"/>
          <w:kern w:val="44"/>
        </w:rPr>
      </w:pPr>
      <w:r>
        <w:rPr>
          <w:rFonts w:hint="eastAsia" w:ascii="宋体" w:hAnsi="宋体"/>
          <w:b/>
          <w:kern w:val="44"/>
        </w:rPr>
        <w:t>第十八条</w:t>
      </w:r>
      <w:r>
        <w:rPr>
          <w:rFonts w:hint="eastAsia" w:ascii="宋体" w:hAnsi="宋体"/>
          <w:kern w:val="44"/>
        </w:rPr>
        <w:t>　主办方在展会举办期间应当履行下列职责：</w:t>
      </w:r>
    </w:p>
    <w:p w14:paraId="307F5EEE">
      <w:pPr>
        <w:jc w:val="left"/>
        <w:rPr>
          <w:rFonts w:ascii="宋体" w:hAnsi="宋体"/>
          <w:kern w:val="44"/>
        </w:rPr>
      </w:pPr>
      <w:r>
        <w:rPr>
          <w:rFonts w:hint="eastAsia" w:ascii="宋体" w:hAnsi="宋体"/>
          <w:kern w:val="44"/>
        </w:rPr>
        <w:t>（一）接受知识产权侵权投诉，协调解决侵权纠纷；</w:t>
      </w:r>
    </w:p>
    <w:p w14:paraId="43D07C88">
      <w:pPr>
        <w:jc w:val="left"/>
        <w:rPr>
          <w:rFonts w:ascii="宋体" w:hAnsi="宋体"/>
          <w:kern w:val="44"/>
        </w:rPr>
      </w:pPr>
      <w:r>
        <w:rPr>
          <w:rFonts w:hint="eastAsia" w:ascii="宋体" w:hAnsi="宋体"/>
          <w:kern w:val="44"/>
        </w:rPr>
        <w:t>（二）提供知识产权保护法律和相关专业技术方面的宣传咨询服务；</w:t>
      </w:r>
    </w:p>
    <w:p w14:paraId="3E80B49B">
      <w:pPr>
        <w:jc w:val="left"/>
        <w:rPr>
          <w:rFonts w:ascii="宋体" w:hAnsi="宋体"/>
          <w:kern w:val="44"/>
        </w:rPr>
      </w:pPr>
      <w:r>
        <w:rPr>
          <w:rFonts w:hint="eastAsia" w:ascii="宋体" w:hAnsi="宋体"/>
          <w:kern w:val="44"/>
        </w:rPr>
        <w:t>（三）在显著位置公示知识产权行政管理部门的受案范围和联系方式，并公布主办方或者投诉机构的服务事项、投诉地点和联系方式；</w:t>
      </w:r>
    </w:p>
    <w:p w14:paraId="2FF62407">
      <w:pPr>
        <w:jc w:val="left"/>
        <w:rPr>
          <w:rFonts w:ascii="宋体" w:hAnsi="宋体"/>
          <w:kern w:val="44"/>
        </w:rPr>
      </w:pPr>
      <w:r>
        <w:rPr>
          <w:rFonts w:hint="eastAsia" w:ascii="宋体" w:hAnsi="宋体"/>
          <w:kern w:val="44"/>
        </w:rPr>
        <w:t>（四）应知识产权权利人或者利害关系人的合理要求，出具相关事实证明；</w:t>
      </w:r>
    </w:p>
    <w:p w14:paraId="56392294">
      <w:pPr>
        <w:jc w:val="left"/>
        <w:rPr>
          <w:rFonts w:ascii="宋体" w:hAnsi="宋体"/>
          <w:kern w:val="44"/>
        </w:rPr>
      </w:pPr>
      <w:r>
        <w:rPr>
          <w:rFonts w:hint="eastAsia" w:ascii="宋体" w:hAnsi="宋体"/>
          <w:kern w:val="44"/>
        </w:rPr>
        <w:t>（五）主办方应当履行的其他职责。</w:t>
      </w:r>
    </w:p>
    <w:p w14:paraId="1ADFF645">
      <w:pPr>
        <w:ind w:firstLine="422"/>
        <w:jc w:val="left"/>
        <w:rPr>
          <w:rFonts w:ascii="宋体" w:hAnsi="宋体"/>
          <w:kern w:val="44"/>
        </w:rPr>
      </w:pPr>
      <w:r>
        <w:rPr>
          <w:rFonts w:hint="eastAsia" w:ascii="宋体" w:hAnsi="宋体"/>
          <w:b/>
          <w:kern w:val="44"/>
        </w:rPr>
        <w:t>第十九条</w:t>
      </w:r>
      <w:r>
        <w:rPr>
          <w:rFonts w:hint="eastAsia" w:ascii="宋体" w:hAnsi="宋体"/>
          <w:kern w:val="44"/>
        </w:rPr>
        <w:t>　展会期间发生知识产权纠纷的，主办方或者主办方设立的投诉机构应当按照事先的约定，在当事人各方自愿的基础上进行调解。经调解达成一致的，有关各方应当执行；不能达成一致的，知识产权权利人或者利害关系人可以向知识产权行政管理部门投诉，也可以直接向人民法院起诉。</w:t>
      </w:r>
    </w:p>
    <w:p w14:paraId="4C95E760">
      <w:pPr>
        <w:ind w:firstLine="422"/>
        <w:jc w:val="left"/>
        <w:rPr>
          <w:rFonts w:ascii="宋体" w:hAnsi="宋体"/>
          <w:kern w:val="44"/>
        </w:rPr>
      </w:pPr>
      <w:r>
        <w:rPr>
          <w:rFonts w:hint="eastAsia" w:ascii="宋体" w:hAnsi="宋体"/>
          <w:b/>
          <w:kern w:val="44"/>
        </w:rPr>
        <w:t>第二十条</w:t>
      </w:r>
      <w:r>
        <w:rPr>
          <w:rFonts w:hint="eastAsia" w:ascii="宋体" w:hAnsi="宋体"/>
          <w:kern w:val="44"/>
        </w:rPr>
        <w:t>　主办方和参展方应当接受知识产权行政管理部门的指导、监督和检查，配合知识产权行政管理部门和司法机关的调查取证等执法活动。</w:t>
      </w:r>
    </w:p>
    <w:p w14:paraId="47DA6EEA">
      <w:pPr>
        <w:ind w:firstLine="422"/>
        <w:jc w:val="left"/>
        <w:rPr>
          <w:rFonts w:ascii="宋体" w:hAnsi="宋体"/>
          <w:kern w:val="44"/>
        </w:rPr>
      </w:pPr>
      <w:r>
        <w:rPr>
          <w:rFonts w:hint="eastAsia" w:ascii="宋体" w:hAnsi="宋体"/>
          <w:b/>
          <w:kern w:val="44"/>
        </w:rPr>
        <w:t>第二十一条</w:t>
      </w:r>
      <w:r>
        <w:rPr>
          <w:rFonts w:hint="eastAsia" w:ascii="宋体" w:hAnsi="宋体"/>
          <w:kern w:val="44"/>
        </w:rPr>
        <w:t>　主办方应当妥善保存展会期间的知识产权保护信息与资料，并在展会结束后报送市知识产权局。</w:t>
      </w:r>
    </w:p>
    <w:p w14:paraId="00A26F1F">
      <w:pPr>
        <w:ind w:firstLine="422"/>
        <w:jc w:val="left"/>
        <w:rPr>
          <w:rFonts w:ascii="宋体" w:hAnsi="宋体"/>
          <w:kern w:val="44"/>
        </w:rPr>
      </w:pPr>
      <w:r>
        <w:rPr>
          <w:rFonts w:hint="eastAsia" w:ascii="宋体" w:hAnsi="宋体"/>
          <w:b/>
          <w:kern w:val="44"/>
        </w:rPr>
        <w:t>第二十二条</w:t>
      </w:r>
      <w:r>
        <w:rPr>
          <w:rFonts w:hint="eastAsia" w:ascii="宋体" w:hAnsi="宋体"/>
          <w:kern w:val="44"/>
        </w:rPr>
        <w:t>　知识产权行政管理部门应当履行下列展会知识产权保护职责：</w:t>
      </w:r>
    </w:p>
    <w:p w14:paraId="5C0C884F">
      <w:pPr>
        <w:jc w:val="left"/>
        <w:rPr>
          <w:rFonts w:ascii="宋体" w:hAnsi="宋体"/>
          <w:kern w:val="44"/>
        </w:rPr>
      </w:pPr>
      <w:r>
        <w:rPr>
          <w:rFonts w:hint="eastAsia" w:ascii="宋体" w:hAnsi="宋体"/>
          <w:kern w:val="44"/>
        </w:rPr>
        <w:t>（一）依法受理知识产权权利人或者利害关系人的投诉，处理展会知识产权侵权纠纷；</w:t>
      </w:r>
    </w:p>
    <w:p w14:paraId="4D4FEB4A">
      <w:pPr>
        <w:jc w:val="left"/>
        <w:rPr>
          <w:rFonts w:ascii="宋体" w:hAnsi="宋体"/>
          <w:kern w:val="44"/>
        </w:rPr>
      </w:pPr>
      <w:r>
        <w:rPr>
          <w:rFonts w:hint="eastAsia" w:ascii="宋体" w:hAnsi="宋体"/>
          <w:kern w:val="44"/>
        </w:rPr>
        <w:t>（二）组织开展知识产权保护相关法律、政策的宣传，以巡视、督导等方式监督主办方履行知识产权保护义务；</w:t>
      </w:r>
    </w:p>
    <w:p w14:paraId="0EF0571F">
      <w:pPr>
        <w:jc w:val="left"/>
        <w:rPr>
          <w:rFonts w:ascii="宋体" w:hAnsi="宋体"/>
          <w:kern w:val="44"/>
        </w:rPr>
      </w:pPr>
      <w:r>
        <w:rPr>
          <w:rFonts w:hint="eastAsia" w:ascii="宋体" w:hAnsi="宋体"/>
          <w:kern w:val="44"/>
        </w:rPr>
        <w:t>（三）依法查处展会期间发生的知识产权违法行为；</w:t>
      </w:r>
    </w:p>
    <w:p w14:paraId="0F66FD2B">
      <w:pPr>
        <w:jc w:val="left"/>
        <w:rPr>
          <w:rFonts w:ascii="宋体" w:hAnsi="宋体"/>
          <w:kern w:val="44"/>
        </w:rPr>
      </w:pPr>
      <w:r>
        <w:rPr>
          <w:rFonts w:hint="eastAsia" w:ascii="宋体" w:hAnsi="宋体"/>
          <w:kern w:val="44"/>
        </w:rPr>
        <w:t>（四）建立展会知识产权保护情况的信息披露制度，提供有关知识产权保护的信息查询服务。</w:t>
      </w:r>
    </w:p>
    <w:p w14:paraId="0FC3E3DE">
      <w:pPr>
        <w:jc w:val="left"/>
        <w:rPr>
          <w:rFonts w:ascii="宋体" w:hAnsi="宋体"/>
          <w:kern w:val="44"/>
        </w:rPr>
      </w:pPr>
      <w:r>
        <w:rPr>
          <w:rFonts w:hint="eastAsia" w:ascii="宋体" w:hAnsi="宋体"/>
          <w:kern w:val="44"/>
        </w:rPr>
        <w:t>知识产权行政管理部门应当严格依法履行职责，不得干扰正常的展会秩序。</w:t>
      </w:r>
    </w:p>
    <w:p w14:paraId="7DAA0DB2">
      <w:pPr>
        <w:ind w:firstLine="422"/>
        <w:jc w:val="left"/>
        <w:rPr>
          <w:rFonts w:ascii="宋体" w:hAnsi="宋体"/>
          <w:kern w:val="44"/>
        </w:rPr>
      </w:pPr>
      <w:r>
        <w:rPr>
          <w:rFonts w:hint="eastAsia" w:ascii="宋体" w:hAnsi="宋体"/>
          <w:b/>
          <w:kern w:val="44"/>
        </w:rPr>
        <w:t>第二十三条</w:t>
      </w:r>
      <w:r>
        <w:rPr>
          <w:rFonts w:hint="eastAsia" w:ascii="宋体" w:hAnsi="宋体"/>
          <w:kern w:val="44"/>
        </w:rPr>
        <w:t>　知识产权行政管理部门可以将主办方履行展会知识产权保护职责的有关情况通报展会管理部门。</w:t>
      </w:r>
    </w:p>
    <w:p w14:paraId="09C79FE8">
      <w:pPr>
        <w:ind w:firstLine="422"/>
        <w:jc w:val="left"/>
        <w:rPr>
          <w:rFonts w:ascii="宋体" w:hAnsi="宋体"/>
          <w:kern w:val="44"/>
        </w:rPr>
      </w:pPr>
      <w:r>
        <w:rPr>
          <w:rFonts w:hint="eastAsia" w:ascii="宋体" w:hAnsi="宋体"/>
          <w:b/>
          <w:kern w:val="44"/>
        </w:rPr>
        <w:t>第二十四条</w:t>
      </w:r>
      <w:r>
        <w:rPr>
          <w:rFonts w:hint="eastAsia" w:ascii="宋体" w:hAnsi="宋体"/>
          <w:kern w:val="44"/>
        </w:rPr>
        <w:t>　主办方违反本办法第十八条第（一）项、第（二）项、第（三）项和第二十一条规定的，由知识产权行政管理部门依照各自的管理职责责令改正；拒不改正的，可处1000元以上3万元以下罚款。</w:t>
      </w:r>
    </w:p>
    <w:p w14:paraId="76AA9DFE">
      <w:pPr>
        <w:jc w:val="left"/>
        <w:rPr>
          <w:rFonts w:ascii="宋体" w:hAnsi="宋体"/>
          <w:kern w:val="44"/>
        </w:rPr>
      </w:pPr>
      <w:r>
        <w:rPr>
          <w:rFonts w:hint="eastAsia" w:ascii="宋体" w:hAnsi="宋体"/>
          <w:kern w:val="44"/>
        </w:rPr>
        <w:t>主办方违反本办法规定，不履行展会知识产权保护职责，其他法律、法规已规定法律责任的，依照其规定执行。</w:t>
      </w:r>
    </w:p>
    <w:p w14:paraId="452EB2C3">
      <w:pPr>
        <w:ind w:firstLine="422"/>
        <w:jc w:val="left"/>
        <w:rPr>
          <w:rFonts w:ascii="宋体" w:hAnsi="宋体"/>
          <w:kern w:val="44"/>
        </w:rPr>
      </w:pPr>
      <w:r>
        <w:rPr>
          <w:rFonts w:hint="eastAsia" w:ascii="宋体" w:hAnsi="宋体"/>
          <w:b/>
          <w:kern w:val="44"/>
        </w:rPr>
        <w:t>第二十五条</w:t>
      </w:r>
      <w:r>
        <w:rPr>
          <w:rFonts w:hint="eastAsia" w:ascii="宋体" w:hAnsi="宋体"/>
          <w:kern w:val="44"/>
        </w:rPr>
        <w:t>　知识产权行政管理部门及其工作人员玩忽职守、滥用职权、徇私舞弊的，由有关部门依法给予行政处分；构成犯罪的，依法追究刑事责任。</w:t>
      </w:r>
    </w:p>
    <w:p w14:paraId="487FE532">
      <w:pPr>
        <w:ind w:firstLine="422"/>
        <w:jc w:val="left"/>
        <w:rPr>
          <w:rFonts w:ascii="宋体" w:hAnsi="宋体"/>
          <w:kern w:val="44"/>
        </w:rPr>
      </w:pPr>
      <w:r>
        <w:rPr>
          <w:rFonts w:hint="eastAsia" w:ascii="宋体" w:hAnsi="宋体"/>
          <w:b/>
          <w:kern w:val="44"/>
        </w:rPr>
        <w:t>第二十六条</w:t>
      </w:r>
      <w:r>
        <w:rPr>
          <w:rFonts w:hint="eastAsia" w:ascii="宋体" w:hAnsi="宋体"/>
          <w:kern w:val="44"/>
        </w:rPr>
        <w:t>　本办法自2008年3月1日起施行。</w:t>
      </w:r>
    </w:p>
    <w:p w14:paraId="019D803B">
      <w:pPr>
        <w:pStyle w:val="3"/>
        <w:pageBreakBefore/>
        <w:rPr>
          <w:kern w:val="44"/>
        </w:rPr>
      </w:pPr>
      <w:bookmarkStart w:id="1261" w:name="_Toc428781654"/>
      <w:bookmarkStart w:id="1262" w:name="_Toc422471333"/>
      <w:bookmarkStart w:id="1263" w:name="_Toc427651948"/>
      <w:bookmarkStart w:id="1264" w:name="_Toc427651606"/>
      <w:bookmarkStart w:id="1265" w:name="_Toc428780172"/>
      <w:r>
        <w:rPr>
          <w:rFonts w:hint="eastAsia"/>
          <w:kern w:val="44"/>
        </w:rPr>
        <w:t>（十四）商</w:t>
      </w:r>
      <w:r>
        <w:rPr>
          <w:rFonts w:hint="eastAsia"/>
          <w:kern w:val="44"/>
          <w:lang w:val="en-US" w:eastAsia="zh-CN"/>
        </w:rPr>
        <w:t xml:space="preserve">  </w:t>
      </w:r>
      <w:r>
        <w:rPr>
          <w:rFonts w:hint="eastAsia"/>
          <w:kern w:val="44"/>
        </w:rPr>
        <w:t>业</w:t>
      </w:r>
      <w:bookmarkEnd w:id="1261"/>
      <w:bookmarkEnd w:id="1262"/>
      <w:bookmarkEnd w:id="1263"/>
      <w:bookmarkEnd w:id="1264"/>
      <w:bookmarkEnd w:id="1265"/>
    </w:p>
    <w:p w14:paraId="23C36211"/>
    <w:p w14:paraId="20201CA7">
      <w:pPr>
        <w:pStyle w:val="4"/>
        <w:rPr>
          <w:kern w:val="44"/>
        </w:rPr>
      </w:pPr>
      <w:bookmarkStart w:id="1266" w:name="_Toc427651949"/>
      <w:bookmarkStart w:id="1267" w:name="_Toc428780173"/>
      <w:bookmarkStart w:id="1268" w:name="_Toc422471334"/>
      <w:bookmarkStart w:id="1269" w:name="_Toc427651607"/>
      <w:bookmarkStart w:id="1270" w:name="_Toc428781655"/>
      <w:r>
        <w:rPr>
          <w:rFonts w:hint="eastAsia"/>
          <w:kern w:val="44"/>
        </w:rPr>
        <w:t>北京市盐业管理若干规定</w:t>
      </w:r>
      <w:bookmarkEnd w:id="1266"/>
      <w:bookmarkEnd w:id="1267"/>
      <w:bookmarkEnd w:id="1268"/>
      <w:bookmarkEnd w:id="1269"/>
      <w:bookmarkEnd w:id="1270"/>
    </w:p>
    <w:p w14:paraId="7A66D97D">
      <w:pPr>
        <w:ind w:left="630" w:leftChars="300" w:right="630" w:rightChars="300"/>
        <w:jc w:val="left"/>
        <w:rPr>
          <w:rFonts w:ascii="楷体" w:hAnsi="楷体" w:eastAsia="楷体"/>
          <w:kern w:val="44"/>
        </w:rPr>
      </w:pPr>
      <w:r>
        <w:rPr>
          <w:rFonts w:hint="eastAsia" w:ascii="楷体" w:hAnsi="楷体" w:eastAsia="楷体"/>
          <w:kern w:val="44"/>
        </w:rPr>
        <w:t>（1995年11月24日北京市人民政府第31号令发布　根据1997年12月31日北京市人民政府第12号令第一次修改　根据2002年2月11日北京市人民政府第92号令第二次修改　根据2014年7月9日北京市人民政府第259号令第三次修改 ）</w:t>
      </w:r>
    </w:p>
    <w:p w14:paraId="1AC5FF0A">
      <w:pPr>
        <w:jc w:val="left"/>
        <w:rPr>
          <w:rFonts w:ascii="宋体" w:hAnsi="宋体"/>
          <w:kern w:val="44"/>
        </w:rPr>
      </w:pPr>
    </w:p>
    <w:p w14:paraId="0AE09A9C">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为加强本市盐业管理，维护盐业市场秩序，保证经济建设和人民生活需要，保障人民生命安全和身体健康，根据国务院颁布的《盐业管理条例》（ 以下简称《条例》）和国家有关规定，结合本市实际情况，制定本规定。</w:t>
      </w:r>
    </w:p>
    <w:p w14:paraId="5F4C0C6A">
      <w:pPr>
        <w:ind w:firstLine="422"/>
        <w:jc w:val="left"/>
        <w:rPr>
          <w:rFonts w:ascii="宋体" w:hAnsi="宋体"/>
          <w:kern w:val="44"/>
        </w:rPr>
      </w:pPr>
      <w:r>
        <w:rPr>
          <w:rFonts w:hint="eastAsia" w:ascii="宋体" w:hAnsi="宋体"/>
          <w:b/>
          <w:kern w:val="44"/>
        </w:rPr>
        <w:t>第二条</w:t>
      </w:r>
      <w:r>
        <w:rPr>
          <w:rFonts w:hint="eastAsia" w:ascii="宋体" w:hAnsi="宋体"/>
          <w:kern w:val="44"/>
        </w:rPr>
        <w:t>　凡在本市行政区域内从事盐的生产加工、经营、储备及使用，均须遵守《条例》和本规定。</w:t>
      </w:r>
    </w:p>
    <w:p w14:paraId="5D528DA7">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市和区、县商务行政部门负责本行政区域内的盐业管理工作。</w:t>
      </w:r>
    </w:p>
    <w:p w14:paraId="63B6250E">
      <w:pPr>
        <w:jc w:val="left"/>
        <w:rPr>
          <w:rFonts w:ascii="宋体" w:hAnsi="宋体"/>
          <w:kern w:val="44"/>
        </w:rPr>
      </w:pPr>
      <w:r>
        <w:rPr>
          <w:rFonts w:hint="eastAsia" w:ascii="宋体" w:hAnsi="宋体"/>
          <w:kern w:val="44"/>
        </w:rPr>
        <w:t>工商行政管理、卫生、技术监督、公安、价格等部门按照各自的职责，依法加强对盐业的监督管理。</w:t>
      </w:r>
    </w:p>
    <w:p w14:paraId="4F40C31C">
      <w:pPr>
        <w:ind w:firstLine="422"/>
        <w:jc w:val="left"/>
        <w:rPr>
          <w:rFonts w:ascii="宋体" w:hAnsi="宋体"/>
          <w:kern w:val="44"/>
        </w:rPr>
      </w:pPr>
      <w:r>
        <w:rPr>
          <w:rFonts w:hint="eastAsia" w:ascii="宋体" w:hAnsi="宋体"/>
          <w:b/>
          <w:kern w:val="44"/>
        </w:rPr>
        <w:t>第四条</w:t>
      </w:r>
      <w:r>
        <w:rPr>
          <w:rFonts w:hint="eastAsia" w:ascii="宋体" w:hAnsi="宋体"/>
          <w:kern w:val="44"/>
        </w:rPr>
        <w:t>　本市对工业用盐实行计划管理，对食用盐实行专营。</w:t>
      </w:r>
    </w:p>
    <w:p w14:paraId="689B7A5A">
      <w:pPr>
        <w:ind w:firstLine="422"/>
        <w:jc w:val="left"/>
        <w:rPr>
          <w:rFonts w:ascii="宋体" w:hAnsi="宋体"/>
          <w:kern w:val="44"/>
        </w:rPr>
      </w:pPr>
      <w:r>
        <w:rPr>
          <w:rFonts w:hint="eastAsia" w:ascii="宋体" w:hAnsi="宋体"/>
          <w:b/>
          <w:kern w:val="44"/>
        </w:rPr>
        <w:t>第五条</w:t>
      </w:r>
      <w:r>
        <w:rPr>
          <w:rFonts w:hint="eastAsia" w:ascii="宋体" w:hAnsi="宋体"/>
          <w:kern w:val="44"/>
        </w:rPr>
        <w:t>　凡在本市行政区域内从事盐的生产加工、批发经营，必须经市商务行政部门批准，领取许可证并到工商行政管理部门登记注册。</w:t>
      </w:r>
    </w:p>
    <w:p w14:paraId="12E1BD9F">
      <w:pPr>
        <w:ind w:firstLine="422"/>
        <w:jc w:val="left"/>
        <w:rPr>
          <w:rFonts w:ascii="宋体" w:hAnsi="宋体"/>
          <w:kern w:val="44"/>
        </w:rPr>
      </w:pPr>
      <w:r>
        <w:rPr>
          <w:rFonts w:hint="eastAsia" w:ascii="宋体" w:hAnsi="宋体"/>
          <w:b/>
          <w:kern w:val="44"/>
        </w:rPr>
        <w:t>第六条</w:t>
      </w:r>
      <w:r>
        <w:rPr>
          <w:rFonts w:hint="eastAsia" w:ascii="宋体" w:hAnsi="宋体"/>
          <w:kern w:val="44"/>
        </w:rPr>
        <w:t>　北京市盐业公司依照国家计划，负责本市盐的统一购进、调运和批发业务，并按照国家有关规定负责储备盐的日常管理。</w:t>
      </w:r>
    </w:p>
    <w:p w14:paraId="0CB7637C">
      <w:pPr>
        <w:ind w:firstLine="422"/>
        <w:jc w:val="left"/>
        <w:rPr>
          <w:rFonts w:ascii="宋体" w:hAnsi="宋体"/>
          <w:kern w:val="44"/>
        </w:rPr>
      </w:pPr>
      <w:r>
        <w:rPr>
          <w:rFonts w:hint="eastAsia" w:ascii="宋体" w:hAnsi="宋体"/>
          <w:b/>
          <w:kern w:val="44"/>
        </w:rPr>
        <w:t>第七条</w:t>
      </w:r>
      <w:r>
        <w:rPr>
          <w:rFonts w:hint="eastAsia" w:ascii="宋体" w:hAnsi="宋体"/>
          <w:kern w:val="44"/>
        </w:rPr>
        <w:t>　工业用盐和其他各类非食用盐由市商务行政部门指定的批发单位负责供应。市商务行政部门指定的批发单位必须按照规定组织进货；用盐单位必须根据实际需要从市商务行政部门指定的批发单位进货。</w:t>
      </w:r>
    </w:p>
    <w:p w14:paraId="76330486">
      <w:pPr>
        <w:ind w:firstLine="422"/>
        <w:jc w:val="left"/>
        <w:rPr>
          <w:rFonts w:ascii="宋体" w:hAnsi="宋体"/>
          <w:kern w:val="44"/>
        </w:rPr>
      </w:pPr>
      <w:r>
        <w:rPr>
          <w:rFonts w:hint="eastAsia" w:ascii="宋体" w:hAnsi="宋体"/>
          <w:b/>
          <w:kern w:val="44"/>
        </w:rPr>
        <w:t>第八条</w:t>
      </w:r>
      <w:r>
        <w:rPr>
          <w:rFonts w:hint="eastAsia" w:ascii="宋体" w:hAnsi="宋体"/>
          <w:kern w:val="44"/>
        </w:rPr>
        <w:t>　食盐由市商务行政部门指定的取得食盐批发许可证的批发单位负责供应。市商务行政部门指定的批发单位必须按照规定购进食盐，并按照规定的销售范围销售食盐。</w:t>
      </w:r>
    </w:p>
    <w:p w14:paraId="58D7803C">
      <w:pPr>
        <w:jc w:val="left"/>
        <w:rPr>
          <w:rFonts w:ascii="宋体" w:hAnsi="宋体"/>
          <w:kern w:val="44"/>
        </w:rPr>
      </w:pPr>
      <w:r>
        <w:rPr>
          <w:rFonts w:hint="eastAsia" w:ascii="宋体" w:hAnsi="宋体"/>
          <w:kern w:val="44"/>
        </w:rPr>
        <w:t>食盐零售单位、食品加工用盐单位和个人，必须根据需要从市商务行政部门指定的取得食盐批发许可证的单位购进食盐。</w:t>
      </w:r>
    </w:p>
    <w:p w14:paraId="527E1944">
      <w:pPr>
        <w:ind w:firstLine="422"/>
        <w:jc w:val="left"/>
        <w:rPr>
          <w:rFonts w:ascii="宋体" w:hAnsi="宋体"/>
          <w:kern w:val="44"/>
        </w:rPr>
      </w:pPr>
      <w:r>
        <w:rPr>
          <w:rFonts w:hint="eastAsia" w:ascii="宋体" w:hAnsi="宋体"/>
          <w:b/>
          <w:kern w:val="44"/>
        </w:rPr>
        <w:t>第九条</w:t>
      </w:r>
      <w:r>
        <w:rPr>
          <w:rFonts w:hint="eastAsia" w:ascii="宋体" w:hAnsi="宋体"/>
          <w:kern w:val="44"/>
        </w:rPr>
        <w:t>　生产加工食用盐及其制品必须符合国家卫生标准，加碘食用盐应当有小包装，碘含量必须符合国家规定标准。</w:t>
      </w:r>
    </w:p>
    <w:p w14:paraId="07E77E7A">
      <w:pPr>
        <w:jc w:val="left"/>
        <w:rPr>
          <w:rFonts w:ascii="宋体" w:hAnsi="宋体"/>
          <w:kern w:val="44"/>
        </w:rPr>
      </w:pPr>
      <w:r>
        <w:rPr>
          <w:rFonts w:hint="eastAsia" w:ascii="宋体" w:hAnsi="宋体"/>
          <w:kern w:val="44"/>
        </w:rPr>
        <w:t>在食用盐中添加任何营养强化剂或药物，必须经市卫生行政部门和市商务行政部门批准。</w:t>
      </w:r>
    </w:p>
    <w:p w14:paraId="080E5997">
      <w:pPr>
        <w:ind w:firstLine="422"/>
        <w:jc w:val="left"/>
        <w:rPr>
          <w:rFonts w:ascii="宋体" w:hAnsi="宋体"/>
          <w:kern w:val="44"/>
        </w:rPr>
      </w:pPr>
      <w:r>
        <w:rPr>
          <w:rFonts w:hint="eastAsia" w:ascii="宋体" w:hAnsi="宋体"/>
          <w:b/>
          <w:kern w:val="44"/>
        </w:rPr>
        <w:t>第十条</w:t>
      </w:r>
      <w:r>
        <w:rPr>
          <w:rFonts w:hint="eastAsia" w:ascii="宋体" w:hAnsi="宋体"/>
          <w:kern w:val="44"/>
        </w:rPr>
        <w:t>　本市禁止下列行为：</w:t>
      </w:r>
    </w:p>
    <w:p w14:paraId="19568AA4">
      <w:pPr>
        <w:jc w:val="left"/>
        <w:rPr>
          <w:rFonts w:ascii="宋体" w:hAnsi="宋体"/>
          <w:kern w:val="44"/>
        </w:rPr>
      </w:pPr>
      <w:r>
        <w:rPr>
          <w:rFonts w:hint="eastAsia" w:ascii="宋体" w:hAnsi="宋体"/>
          <w:kern w:val="44"/>
        </w:rPr>
        <w:t>（一）生产加工或者在食用盐市场上销售土盐、硝盐和工业废渣、废液制盐；</w:t>
      </w:r>
    </w:p>
    <w:p w14:paraId="1E1C1AC7">
      <w:pPr>
        <w:jc w:val="left"/>
        <w:rPr>
          <w:rFonts w:ascii="宋体" w:hAnsi="宋体"/>
          <w:kern w:val="44"/>
        </w:rPr>
      </w:pPr>
      <w:r>
        <w:rPr>
          <w:rFonts w:hint="eastAsia" w:ascii="宋体" w:hAnsi="宋体"/>
          <w:kern w:val="44"/>
        </w:rPr>
        <w:t>（二）生产加工或者销售不符合国家卫生标准的食用盐；</w:t>
      </w:r>
    </w:p>
    <w:p w14:paraId="01D7C117">
      <w:pPr>
        <w:jc w:val="left"/>
        <w:rPr>
          <w:rFonts w:ascii="宋体" w:hAnsi="宋体"/>
          <w:kern w:val="44"/>
        </w:rPr>
      </w:pPr>
      <w:r>
        <w:rPr>
          <w:rFonts w:hint="eastAsia" w:ascii="宋体" w:hAnsi="宋体"/>
          <w:kern w:val="44"/>
        </w:rPr>
        <w:t>（三）以工业用盐充当食用盐。</w:t>
      </w:r>
    </w:p>
    <w:p w14:paraId="6E87BF70">
      <w:pPr>
        <w:ind w:firstLine="422"/>
        <w:jc w:val="left"/>
        <w:rPr>
          <w:rFonts w:ascii="宋体" w:hAnsi="宋体"/>
          <w:kern w:val="44"/>
        </w:rPr>
      </w:pPr>
      <w:r>
        <w:rPr>
          <w:rFonts w:hint="eastAsia" w:ascii="宋体" w:hAnsi="宋体"/>
          <w:b/>
          <w:kern w:val="44"/>
        </w:rPr>
        <w:t>第十一条</w:t>
      </w:r>
      <w:r>
        <w:rPr>
          <w:rFonts w:hint="eastAsia" w:ascii="宋体" w:hAnsi="宋体"/>
          <w:kern w:val="44"/>
        </w:rPr>
        <w:t>　违反本规定第五条规定的，由市商务行政部门责令其停止违法行为，没收其非法所得，并可处以不超过非法所得额5倍的罚款。</w:t>
      </w:r>
    </w:p>
    <w:p w14:paraId="23578FC0">
      <w:pPr>
        <w:jc w:val="left"/>
        <w:rPr>
          <w:rFonts w:ascii="宋体" w:hAnsi="宋体"/>
          <w:kern w:val="44"/>
        </w:rPr>
      </w:pPr>
      <w:r>
        <w:rPr>
          <w:rFonts w:hint="eastAsia" w:ascii="宋体" w:hAnsi="宋体"/>
          <w:kern w:val="44"/>
        </w:rPr>
        <w:t>违反本规定第八条第二款的，由市商务行政部门责令改正，没收违法购进的食盐，并可处以违法购进食盐价值3倍以下的罚款。</w:t>
      </w:r>
    </w:p>
    <w:p w14:paraId="6504E0F7">
      <w:pPr>
        <w:ind w:firstLine="422"/>
        <w:jc w:val="left"/>
        <w:rPr>
          <w:rFonts w:ascii="宋体" w:hAnsi="宋体"/>
          <w:kern w:val="44"/>
        </w:rPr>
      </w:pPr>
      <w:r>
        <w:rPr>
          <w:rFonts w:hint="eastAsia" w:ascii="宋体" w:hAnsi="宋体"/>
          <w:b/>
          <w:kern w:val="44"/>
        </w:rPr>
        <w:t>第十二条</w:t>
      </w:r>
      <w:r>
        <w:rPr>
          <w:rFonts w:hint="eastAsia" w:ascii="宋体" w:hAnsi="宋体"/>
          <w:kern w:val="44"/>
        </w:rPr>
        <w:t>　违反本规定第九条第二款和第十条第（一）项规定的，市商务行政部门和卫生行政部门按照职责分工责令其停止违法行为，没收其非法所得，并可处以不超过非法所得额5倍的罚款。</w:t>
      </w:r>
    </w:p>
    <w:p w14:paraId="7883E261">
      <w:pPr>
        <w:ind w:firstLine="422"/>
        <w:jc w:val="left"/>
        <w:rPr>
          <w:rFonts w:ascii="宋体" w:hAnsi="宋体"/>
          <w:kern w:val="44"/>
        </w:rPr>
      </w:pPr>
      <w:r>
        <w:rPr>
          <w:rFonts w:hint="eastAsia" w:ascii="宋体" w:hAnsi="宋体"/>
          <w:b/>
          <w:kern w:val="44"/>
        </w:rPr>
        <w:t>第十三条</w:t>
      </w:r>
      <w:r>
        <w:rPr>
          <w:rFonts w:hint="eastAsia" w:ascii="宋体" w:hAnsi="宋体"/>
          <w:kern w:val="44"/>
        </w:rPr>
        <w:t>　违反本规定第九条第一款和第十条第（二）、（三）项规定的，市商务行政部门和卫生行政部门按照职责分工责令其停止违法行为，没收其盐产品和非法所得，可以并处该盐产品价值3倍以下的罚款。</w:t>
      </w:r>
    </w:p>
    <w:p w14:paraId="7CF20A3C">
      <w:pPr>
        <w:ind w:firstLine="422"/>
        <w:jc w:val="left"/>
        <w:rPr>
          <w:rFonts w:ascii="宋体" w:hAnsi="宋体"/>
          <w:kern w:val="44"/>
        </w:rPr>
      </w:pPr>
      <w:r>
        <w:rPr>
          <w:rFonts w:hint="eastAsia" w:ascii="宋体" w:hAnsi="宋体"/>
          <w:b/>
          <w:kern w:val="44"/>
        </w:rPr>
        <w:t>第十四条</w:t>
      </w:r>
      <w:r>
        <w:rPr>
          <w:rFonts w:hint="eastAsia" w:ascii="宋体" w:hAnsi="宋体"/>
          <w:kern w:val="44"/>
        </w:rPr>
        <w:t>　本规定自发布之日起施行。</w:t>
      </w:r>
    </w:p>
    <w:p w14:paraId="34920B11">
      <w:pPr>
        <w:pStyle w:val="4"/>
        <w:pageBreakBefore/>
        <w:rPr>
          <w:kern w:val="44"/>
        </w:rPr>
      </w:pPr>
      <w:bookmarkStart w:id="1271" w:name="_Toc428780174"/>
      <w:bookmarkStart w:id="1272" w:name="_Toc428781656"/>
      <w:bookmarkStart w:id="1273" w:name="_Toc427651608"/>
      <w:bookmarkStart w:id="1274" w:name="_Toc427651950"/>
      <w:bookmarkStart w:id="1275" w:name="_Toc422471335"/>
      <w:r>
        <w:rPr>
          <w:rFonts w:hint="eastAsia"/>
          <w:kern w:val="44"/>
        </w:rPr>
        <w:t>北京市洗浴和美容美发经营</w:t>
      </w:r>
      <w:bookmarkEnd w:id="1271"/>
      <w:bookmarkEnd w:id="1272"/>
      <w:bookmarkEnd w:id="1273"/>
      <w:bookmarkEnd w:id="1274"/>
      <w:bookmarkEnd w:id="1275"/>
    </w:p>
    <w:p w14:paraId="05F1B130">
      <w:pPr>
        <w:pStyle w:val="4"/>
        <w:rPr>
          <w:kern w:val="44"/>
        </w:rPr>
      </w:pPr>
      <w:bookmarkStart w:id="1276" w:name="_Toc422471336"/>
      <w:bookmarkStart w:id="1277" w:name="_Toc428781657"/>
      <w:bookmarkStart w:id="1278" w:name="_Toc427651609"/>
      <w:bookmarkStart w:id="1279" w:name="_Toc427651951"/>
      <w:bookmarkStart w:id="1280" w:name="_Toc428780175"/>
      <w:r>
        <w:rPr>
          <w:rFonts w:hint="eastAsia"/>
          <w:kern w:val="44"/>
        </w:rPr>
        <w:t>场所管理若干规定</w:t>
      </w:r>
      <w:bookmarkEnd w:id="1276"/>
      <w:bookmarkEnd w:id="1277"/>
      <w:bookmarkEnd w:id="1278"/>
      <w:bookmarkEnd w:id="1279"/>
      <w:bookmarkEnd w:id="1280"/>
    </w:p>
    <w:p w14:paraId="265D877F">
      <w:pPr>
        <w:ind w:left="630" w:leftChars="300" w:right="630" w:rightChars="300"/>
        <w:jc w:val="left"/>
        <w:rPr>
          <w:rFonts w:ascii="楷体" w:hAnsi="楷体" w:eastAsia="楷体"/>
          <w:kern w:val="44"/>
        </w:rPr>
      </w:pPr>
      <w:r>
        <w:rPr>
          <w:rFonts w:hint="eastAsia" w:ascii="楷体" w:hAnsi="楷体" w:eastAsia="楷体"/>
          <w:kern w:val="44"/>
        </w:rPr>
        <w:t>（2000年11月14日北京市人民政府第30次常务会议通过  2000年11月24日北京市人民政府第65号令发布）</w:t>
      </w:r>
    </w:p>
    <w:p w14:paraId="1D0964A5">
      <w:pPr>
        <w:jc w:val="left"/>
        <w:rPr>
          <w:rFonts w:ascii="宋体" w:hAnsi="宋体"/>
          <w:kern w:val="44"/>
        </w:rPr>
      </w:pPr>
    </w:p>
    <w:p w14:paraId="70FD7A9D">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为加强对本市洗浴和美容美发经营场所的管理，促进洗浴和美容美发业的健康有序发展，根据有关法律、法规，结合本市实际情况，制定本规定。</w:t>
      </w:r>
    </w:p>
    <w:p w14:paraId="4EEE1DFB">
      <w:pPr>
        <w:ind w:firstLine="422"/>
        <w:jc w:val="left"/>
        <w:rPr>
          <w:rFonts w:ascii="宋体" w:hAnsi="宋体"/>
          <w:kern w:val="44"/>
        </w:rPr>
      </w:pPr>
      <w:r>
        <w:rPr>
          <w:rFonts w:hint="eastAsia" w:ascii="宋体" w:hAnsi="宋体"/>
          <w:b/>
          <w:kern w:val="44"/>
        </w:rPr>
        <w:t>第二条</w:t>
      </w:r>
      <w:r>
        <w:rPr>
          <w:rFonts w:hint="eastAsia" w:ascii="宋体" w:hAnsi="宋体"/>
          <w:kern w:val="44"/>
        </w:rPr>
        <w:t>　凡在本市行政区域内从事洗浴或者美容美发经营活动的，均须遵守本规定。</w:t>
      </w:r>
    </w:p>
    <w:p w14:paraId="3A248E44">
      <w:pPr>
        <w:ind w:firstLine="422"/>
        <w:jc w:val="left"/>
        <w:rPr>
          <w:rFonts w:ascii="宋体" w:hAnsi="宋体"/>
          <w:kern w:val="44"/>
        </w:rPr>
      </w:pPr>
      <w:r>
        <w:rPr>
          <w:rFonts w:hint="eastAsia" w:ascii="宋体" w:hAnsi="宋体"/>
          <w:b/>
          <w:kern w:val="44"/>
        </w:rPr>
        <w:t>第三条</w:t>
      </w:r>
      <w:r>
        <w:rPr>
          <w:rFonts w:hint="eastAsia" w:ascii="宋体" w:hAnsi="宋体"/>
          <w:kern w:val="44"/>
        </w:rPr>
        <w:t>　除宾馆、饭店、写字楼、体育运动场所等附属的洗浴设施和社区便民服务设施外，洗浴经营场所的营业面积不得小于500平方米。</w:t>
      </w:r>
    </w:p>
    <w:p w14:paraId="455698B0">
      <w:pPr>
        <w:ind w:firstLine="422"/>
        <w:jc w:val="left"/>
        <w:rPr>
          <w:rFonts w:ascii="宋体" w:hAnsi="宋体"/>
          <w:kern w:val="44"/>
        </w:rPr>
      </w:pPr>
      <w:r>
        <w:rPr>
          <w:rFonts w:hint="eastAsia" w:ascii="宋体" w:hAnsi="宋体"/>
          <w:b/>
          <w:kern w:val="44"/>
        </w:rPr>
        <w:t>第四条</w:t>
      </w:r>
      <w:r>
        <w:rPr>
          <w:rFonts w:hint="eastAsia" w:ascii="宋体" w:hAnsi="宋体"/>
          <w:kern w:val="44"/>
        </w:rPr>
        <w:t>　在洗浴和美容美发经营场所工作的外地务工人员，必须具有合法有效的身份证明、暂住证明和务工证明。</w:t>
      </w:r>
    </w:p>
    <w:p w14:paraId="5D0B38FC">
      <w:pPr>
        <w:jc w:val="left"/>
        <w:rPr>
          <w:rFonts w:ascii="宋体" w:hAnsi="宋体"/>
          <w:kern w:val="44"/>
        </w:rPr>
      </w:pPr>
      <w:r>
        <w:rPr>
          <w:rFonts w:hint="eastAsia" w:ascii="宋体" w:hAnsi="宋体"/>
          <w:kern w:val="44"/>
        </w:rPr>
        <w:t>洗浴和美容美发经营场所的经营者使用外地务工人员的，应当持相关证明到区、县劳动和社会保障部门办理用工申请。</w:t>
      </w:r>
    </w:p>
    <w:p w14:paraId="471E578A">
      <w:pPr>
        <w:jc w:val="left"/>
        <w:rPr>
          <w:rFonts w:ascii="宋体" w:hAnsi="宋体"/>
          <w:kern w:val="44"/>
        </w:rPr>
      </w:pPr>
      <w:r>
        <w:rPr>
          <w:rFonts w:hint="eastAsia" w:ascii="宋体" w:hAnsi="宋体"/>
          <w:kern w:val="44"/>
        </w:rPr>
        <w:t>美容师、美发师、按摩师等专业人员应当取得《职业资格证书》，并持证上岗。</w:t>
      </w:r>
    </w:p>
    <w:p w14:paraId="1C17B2A2">
      <w:pPr>
        <w:ind w:firstLine="422"/>
        <w:jc w:val="left"/>
        <w:rPr>
          <w:rFonts w:ascii="宋体" w:hAnsi="宋体"/>
          <w:kern w:val="44"/>
        </w:rPr>
      </w:pPr>
      <w:r>
        <w:rPr>
          <w:rFonts w:hint="eastAsia" w:ascii="宋体" w:hAnsi="宋体"/>
          <w:b/>
          <w:kern w:val="44"/>
        </w:rPr>
        <w:t>第五条</w:t>
      </w:r>
      <w:r>
        <w:rPr>
          <w:rFonts w:hint="eastAsia" w:ascii="宋体" w:hAnsi="宋体"/>
          <w:kern w:val="44"/>
        </w:rPr>
        <w:t>　严禁洗浴和美容美发经营场所的经营者及其从业人员组织、强迫、引诱、容留、介绍他人卖淫；严禁提供色情服务；严禁开设赌场、赌局；严禁吸毒、贩毒和传播淫秽书刊、录音录像制品、图片等物品。</w:t>
      </w:r>
    </w:p>
    <w:p w14:paraId="6273651F">
      <w:pPr>
        <w:jc w:val="left"/>
        <w:rPr>
          <w:rFonts w:ascii="宋体" w:hAnsi="宋体"/>
          <w:kern w:val="44"/>
        </w:rPr>
      </w:pPr>
      <w:r>
        <w:rPr>
          <w:rFonts w:hint="eastAsia" w:ascii="宋体" w:hAnsi="宋体"/>
          <w:kern w:val="44"/>
        </w:rPr>
        <w:t>洗浴和美容美发经营场所的经营者及其从业人员发现在洗浴和美容美发经营场所内从事卖淫、嫖娼、赌博、吸毒、贩毒和其他犯罪或者违反治安管理行为的，应当予以制止，并立即向公安机关报告。</w:t>
      </w:r>
    </w:p>
    <w:p w14:paraId="56DD640E">
      <w:pPr>
        <w:ind w:firstLine="422"/>
        <w:jc w:val="left"/>
        <w:rPr>
          <w:rFonts w:ascii="宋体" w:hAnsi="宋体"/>
          <w:kern w:val="44"/>
        </w:rPr>
      </w:pPr>
      <w:r>
        <w:rPr>
          <w:rFonts w:hint="eastAsia" w:ascii="宋体" w:hAnsi="宋体"/>
          <w:b/>
          <w:kern w:val="44"/>
        </w:rPr>
        <w:t>第六条</w:t>
      </w:r>
      <w:r>
        <w:rPr>
          <w:rFonts w:hint="eastAsia" w:ascii="宋体" w:hAnsi="宋体"/>
          <w:kern w:val="44"/>
        </w:rPr>
        <w:t>　洗浴和美容美发经营场所的经营者必须遵守下列规定：</w:t>
      </w:r>
    </w:p>
    <w:p w14:paraId="7571161B">
      <w:pPr>
        <w:jc w:val="left"/>
        <w:rPr>
          <w:rFonts w:ascii="宋体" w:hAnsi="宋体"/>
          <w:kern w:val="44"/>
        </w:rPr>
      </w:pPr>
      <w:r>
        <w:rPr>
          <w:rFonts w:hint="eastAsia" w:ascii="宋体" w:hAnsi="宋体"/>
          <w:kern w:val="44"/>
        </w:rPr>
        <w:t>（一）不得提供有偿陪侍、异性按摩（头部、足底按摩以及市残联批准的盲人按摩除外）。</w:t>
      </w:r>
    </w:p>
    <w:p w14:paraId="50C83EF2">
      <w:pPr>
        <w:jc w:val="left"/>
        <w:rPr>
          <w:rFonts w:ascii="宋体" w:hAnsi="宋体"/>
          <w:kern w:val="44"/>
        </w:rPr>
      </w:pPr>
      <w:r>
        <w:rPr>
          <w:rFonts w:hint="eastAsia" w:ascii="宋体" w:hAnsi="宋体"/>
          <w:kern w:val="44"/>
        </w:rPr>
        <w:t>（二）不得张贴、悬挂或者设置格调低下、有悖社会主义道德的图片或者装饰物。</w:t>
      </w:r>
    </w:p>
    <w:p w14:paraId="302D082A">
      <w:pPr>
        <w:jc w:val="left"/>
        <w:rPr>
          <w:rFonts w:ascii="宋体" w:hAnsi="宋体"/>
          <w:kern w:val="44"/>
        </w:rPr>
      </w:pPr>
      <w:r>
        <w:rPr>
          <w:rFonts w:hint="eastAsia" w:ascii="宋体" w:hAnsi="宋体"/>
          <w:kern w:val="44"/>
        </w:rPr>
        <w:t>（三）沐浴、按摩场所不得设置完全封闭的包间；美容美发场所只能设置开放式隔断。</w:t>
      </w:r>
    </w:p>
    <w:p w14:paraId="2DD179CF">
      <w:pPr>
        <w:jc w:val="left"/>
        <w:rPr>
          <w:rFonts w:ascii="宋体" w:hAnsi="宋体"/>
          <w:kern w:val="44"/>
        </w:rPr>
      </w:pPr>
      <w:r>
        <w:rPr>
          <w:rFonts w:hint="eastAsia" w:ascii="宋体" w:hAnsi="宋体"/>
          <w:kern w:val="44"/>
        </w:rPr>
        <w:t>（四）从业人员统一着装或者佩戴统一的服务标志。</w:t>
      </w:r>
    </w:p>
    <w:p w14:paraId="4105BC17">
      <w:pPr>
        <w:jc w:val="left"/>
        <w:rPr>
          <w:rFonts w:ascii="宋体" w:hAnsi="宋体"/>
          <w:kern w:val="44"/>
        </w:rPr>
      </w:pPr>
      <w:r>
        <w:rPr>
          <w:rFonts w:hint="eastAsia" w:ascii="宋体" w:hAnsi="宋体"/>
          <w:kern w:val="44"/>
        </w:rPr>
        <w:t>（五）专营或者主营洗浴的，其营业时间不得超过凌晨2时；除依法办理旅店业登记手续的外，不得为顾客提供留宿服务。</w:t>
      </w:r>
    </w:p>
    <w:p w14:paraId="67828722">
      <w:pPr>
        <w:jc w:val="left"/>
        <w:rPr>
          <w:rFonts w:ascii="宋体" w:hAnsi="宋体"/>
          <w:kern w:val="44"/>
        </w:rPr>
      </w:pPr>
      <w:r>
        <w:rPr>
          <w:rFonts w:hint="eastAsia" w:ascii="宋体" w:hAnsi="宋体"/>
          <w:kern w:val="44"/>
        </w:rPr>
        <w:t>（六）其他工商、消防、卫生、环保、旅游、劳动和社会保障等有关管理规定，以及国家和本市制定的行业规范和行业标准。</w:t>
      </w:r>
    </w:p>
    <w:p w14:paraId="11E83283">
      <w:pPr>
        <w:ind w:firstLine="422"/>
        <w:jc w:val="left"/>
        <w:rPr>
          <w:rFonts w:ascii="宋体" w:hAnsi="宋体"/>
          <w:kern w:val="44"/>
        </w:rPr>
      </w:pPr>
      <w:r>
        <w:rPr>
          <w:rFonts w:hint="eastAsia" w:ascii="宋体" w:hAnsi="宋体"/>
          <w:b/>
          <w:kern w:val="44"/>
        </w:rPr>
        <w:t>第七条</w:t>
      </w:r>
      <w:r>
        <w:rPr>
          <w:rFonts w:hint="eastAsia" w:ascii="宋体" w:hAnsi="宋体"/>
          <w:kern w:val="44"/>
        </w:rPr>
        <w:t>　向洗浴和美容美发经营场所的经营者出租场地的单位和个人必须遵守下列规定：</w:t>
      </w:r>
    </w:p>
    <w:p w14:paraId="3A4C6880">
      <w:pPr>
        <w:jc w:val="left"/>
        <w:rPr>
          <w:rFonts w:ascii="宋体" w:hAnsi="宋体"/>
          <w:kern w:val="44"/>
        </w:rPr>
      </w:pPr>
      <w:r>
        <w:rPr>
          <w:rFonts w:hint="eastAsia" w:ascii="宋体" w:hAnsi="宋体"/>
          <w:kern w:val="44"/>
        </w:rPr>
        <w:t>（一）向承租人进行遵纪守法的宣传教育，积极协助公安机关做好防火、防盗和防止发生治安案件的工作。</w:t>
      </w:r>
    </w:p>
    <w:p w14:paraId="59C9CB72">
      <w:pPr>
        <w:jc w:val="left"/>
        <w:rPr>
          <w:rFonts w:ascii="宋体" w:hAnsi="宋体"/>
          <w:kern w:val="44"/>
        </w:rPr>
      </w:pPr>
      <w:r>
        <w:rPr>
          <w:rFonts w:hint="eastAsia" w:ascii="宋体" w:hAnsi="宋体"/>
          <w:kern w:val="44"/>
        </w:rPr>
        <w:t>（二）发现承租人有违法犯罪活动或者嫌疑的，予以制止，并及时报告公安机关，不得包庇、纵容。</w:t>
      </w:r>
    </w:p>
    <w:p w14:paraId="48220620">
      <w:pPr>
        <w:ind w:firstLine="422"/>
        <w:jc w:val="left"/>
        <w:rPr>
          <w:rFonts w:ascii="宋体" w:hAnsi="宋体"/>
          <w:kern w:val="44"/>
        </w:rPr>
      </w:pPr>
      <w:r>
        <w:rPr>
          <w:rFonts w:hint="eastAsia" w:ascii="宋体" w:hAnsi="宋体"/>
          <w:b/>
          <w:kern w:val="44"/>
        </w:rPr>
        <w:t>第八条</w:t>
      </w:r>
      <w:r>
        <w:rPr>
          <w:rFonts w:hint="eastAsia" w:ascii="宋体" w:hAnsi="宋体"/>
          <w:kern w:val="44"/>
        </w:rPr>
        <w:t>　洗浴和美容美发经营场所的经营者及其从业人员违反本规定的，按照下列规定给予处罚：</w:t>
      </w:r>
    </w:p>
    <w:p w14:paraId="0DFCDA80">
      <w:pPr>
        <w:jc w:val="left"/>
        <w:rPr>
          <w:rFonts w:ascii="宋体" w:hAnsi="宋体"/>
          <w:kern w:val="44"/>
        </w:rPr>
      </w:pPr>
      <w:r>
        <w:rPr>
          <w:rFonts w:hint="eastAsia" w:ascii="宋体" w:hAnsi="宋体"/>
          <w:kern w:val="44"/>
        </w:rPr>
        <w:t>（一）违反本规定第六条第（一）、（二）项规定的，由公安机关责令限期改正，对违反第（一）项规定的可处以4000元以上2万元以下罚款；对单位直接负责的主管人员和其他直接责任人员处以1000元以下罚款。</w:t>
      </w:r>
    </w:p>
    <w:p w14:paraId="7211EB39">
      <w:pPr>
        <w:jc w:val="left"/>
        <w:rPr>
          <w:rFonts w:ascii="宋体" w:hAnsi="宋体"/>
          <w:kern w:val="44"/>
        </w:rPr>
      </w:pPr>
      <w:r>
        <w:rPr>
          <w:rFonts w:hint="eastAsia" w:ascii="宋体" w:hAnsi="宋体"/>
          <w:kern w:val="44"/>
        </w:rPr>
        <w:t>（二）违反本规定第六条第（三）、（四）、（五）项规定的，由商品流通部门责令限期改正，并可处以1000元以上1万元以下罚款。</w:t>
      </w:r>
    </w:p>
    <w:p w14:paraId="004BDD30">
      <w:pPr>
        <w:jc w:val="left"/>
        <w:rPr>
          <w:rFonts w:ascii="宋体" w:hAnsi="宋体"/>
          <w:kern w:val="44"/>
        </w:rPr>
      </w:pPr>
      <w:r>
        <w:rPr>
          <w:rFonts w:hint="eastAsia" w:ascii="宋体" w:hAnsi="宋体"/>
          <w:kern w:val="44"/>
        </w:rPr>
        <w:t>（三）违反本规定第三条、第四条、第五条、第六条第（六）项规定的，分别由公安、工商行政管理、卫生、商品流通、环保、劳动和社会保障等部门依法处理。</w:t>
      </w:r>
    </w:p>
    <w:p w14:paraId="71EB2909">
      <w:pPr>
        <w:ind w:firstLine="422"/>
        <w:jc w:val="left"/>
        <w:rPr>
          <w:rFonts w:ascii="宋体" w:hAnsi="宋体"/>
          <w:kern w:val="44"/>
        </w:rPr>
      </w:pPr>
      <w:r>
        <w:rPr>
          <w:rFonts w:hint="eastAsia" w:ascii="宋体" w:hAnsi="宋体"/>
          <w:b/>
          <w:kern w:val="44"/>
        </w:rPr>
        <w:t>第九条</w:t>
      </w:r>
      <w:r>
        <w:rPr>
          <w:rFonts w:hint="eastAsia" w:ascii="宋体" w:hAnsi="宋体"/>
          <w:kern w:val="44"/>
        </w:rPr>
        <w:t>　向洗浴和美容美发经营场所的经营者出租场地的单位和个人违反本规定第七条规定的，由公安机关责令限期改正，并可处以1000元以上1万元以下罚款。</w:t>
      </w:r>
    </w:p>
    <w:p w14:paraId="068102B6">
      <w:pPr>
        <w:ind w:firstLine="422"/>
        <w:jc w:val="left"/>
        <w:rPr>
          <w:rFonts w:ascii="宋体" w:hAnsi="宋体"/>
          <w:kern w:val="44"/>
        </w:rPr>
      </w:pPr>
      <w:r>
        <w:rPr>
          <w:rFonts w:hint="eastAsia" w:ascii="宋体" w:hAnsi="宋体"/>
          <w:b/>
          <w:kern w:val="44"/>
        </w:rPr>
        <w:t>第十条</w:t>
      </w:r>
      <w:r>
        <w:rPr>
          <w:rFonts w:hint="eastAsia" w:ascii="宋体" w:hAnsi="宋体"/>
          <w:kern w:val="44"/>
        </w:rPr>
        <w:t>　各级行政主管部门及其工作人员参与洗浴或者美容美发经营活动，或者为违法行为者通风报信、提供保护、包庇违法行为的，由有关部门依法追究其行政责任；属违反治安管理规定行为的，由公安机关依法给予治安管理处罚；构成犯罪的，由司法机关依法追究刑事责任。</w:t>
      </w:r>
    </w:p>
    <w:p w14:paraId="1E5F5119">
      <w:pPr>
        <w:ind w:firstLine="422"/>
        <w:jc w:val="left"/>
        <w:rPr>
          <w:rFonts w:ascii="宋体" w:hAnsi="宋体"/>
          <w:kern w:val="44"/>
        </w:rPr>
      </w:pPr>
      <w:r>
        <w:rPr>
          <w:rFonts w:hint="eastAsia" w:ascii="宋体" w:hAnsi="宋体"/>
          <w:b/>
          <w:kern w:val="44"/>
        </w:rPr>
        <w:t>第十一条</w:t>
      </w:r>
      <w:r>
        <w:rPr>
          <w:rFonts w:hint="eastAsia" w:ascii="宋体" w:hAnsi="宋体"/>
          <w:kern w:val="44"/>
        </w:rPr>
        <w:t>　本规定自2001年1月1日起施行。</w:t>
      </w:r>
    </w:p>
    <w:p w14:paraId="05A5A0E2">
      <w:pPr>
        <w:pStyle w:val="4"/>
        <w:pageBreakBefore/>
        <w:rPr>
          <w:kern w:val="44"/>
        </w:rPr>
      </w:pPr>
      <w:bookmarkStart w:id="1281" w:name="_Toc427651610"/>
      <w:bookmarkStart w:id="1282" w:name="_Toc427651952"/>
      <w:bookmarkStart w:id="1283" w:name="_Toc422471337"/>
      <w:bookmarkStart w:id="1284" w:name="_Toc428780176"/>
      <w:bookmarkStart w:id="1285" w:name="_Toc428781658"/>
      <w:r>
        <w:rPr>
          <w:rFonts w:hint="eastAsia"/>
          <w:kern w:val="44"/>
        </w:rPr>
        <w:t>北京市摩托车报废管理办法</w:t>
      </w:r>
      <w:bookmarkEnd w:id="1281"/>
      <w:bookmarkEnd w:id="1282"/>
      <w:bookmarkEnd w:id="1283"/>
      <w:bookmarkEnd w:id="1284"/>
      <w:bookmarkEnd w:id="1285"/>
    </w:p>
    <w:p w14:paraId="38D03598">
      <w:pPr>
        <w:ind w:left="630" w:leftChars="300" w:right="630" w:rightChars="300"/>
        <w:jc w:val="left"/>
        <w:rPr>
          <w:rFonts w:ascii="楷体" w:hAnsi="楷体" w:eastAsia="楷体"/>
          <w:kern w:val="44"/>
        </w:rPr>
      </w:pPr>
      <w:r>
        <w:rPr>
          <w:rFonts w:hint="eastAsia" w:ascii="楷体" w:hAnsi="楷体" w:eastAsia="楷体"/>
          <w:kern w:val="44"/>
        </w:rPr>
        <w:t>（2002年9月3日北京市人民政府第52次常务会议审议通过  2002年9月11日北京市人民政府第107号令发布）</w:t>
      </w:r>
    </w:p>
    <w:p w14:paraId="7D036D2B">
      <w:pPr>
        <w:jc w:val="left"/>
        <w:rPr>
          <w:rFonts w:ascii="宋体" w:hAnsi="宋体"/>
          <w:kern w:val="44"/>
        </w:rPr>
      </w:pPr>
    </w:p>
    <w:p w14:paraId="5F20691E">
      <w:pPr>
        <w:ind w:firstLine="422"/>
        <w:jc w:val="left"/>
        <w:rPr>
          <w:rFonts w:ascii="宋体" w:hAnsi="宋体"/>
          <w:kern w:val="44"/>
        </w:rPr>
      </w:pPr>
      <w:r>
        <w:rPr>
          <w:rFonts w:hint="eastAsia" w:ascii="宋体" w:hAnsi="宋体"/>
          <w:b/>
          <w:kern w:val="44"/>
        </w:rPr>
        <w:t>第一条</w:t>
      </w:r>
      <w:r>
        <w:rPr>
          <w:rFonts w:hint="eastAsia" w:ascii="宋体" w:hAnsi="宋体"/>
          <w:kern w:val="44"/>
        </w:rPr>
        <w:t>　为改善本市大气环境质量，保障道路交通秩序和人民生命财产安全，根据国务院《报废汽车回收管理办法》和有关规定，结合本市实际情况，制定本办法。</w:t>
      </w:r>
    </w:p>
    <w:p w14:paraId="6DE783C2">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在本市注册登记的三轮摩托车、二轮摩托车和轻便摩托车（以下统称摩托车）的报废，适用本办法。</w:t>
      </w:r>
    </w:p>
    <w:p w14:paraId="7DC92EAF">
      <w:pPr>
        <w:ind w:firstLine="422"/>
        <w:jc w:val="left"/>
        <w:rPr>
          <w:rFonts w:ascii="宋体" w:hAnsi="宋体"/>
          <w:kern w:val="44"/>
        </w:rPr>
      </w:pPr>
      <w:r>
        <w:rPr>
          <w:rFonts w:hint="eastAsia" w:ascii="宋体" w:hAnsi="宋体"/>
          <w:b/>
          <w:kern w:val="44"/>
        </w:rPr>
        <w:t>第三条</w:t>
      </w:r>
      <w:r>
        <w:rPr>
          <w:rFonts w:hint="eastAsia" w:ascii="宋体" w:hAnsi="宋体"/>
          <w:kern w:val="44"/>
        </w:rPr>
        <w:t>　本办法由公安交通、环境保护部门负责组织实施。经济、工商行政管理等行政主管部门应当根据各自职责，做好摩托车报废管理工作。</w:t>
      </w:r>
    </w:p>
    <w:p w14:paraId="064CEA9C">
      <w:pPr>
        <w:ind w:firstLine="422"/>
        <w:jc w:val="left"/>
        <w:rPr>
          <w:rFonts w:ascii="宋体" w:hAnsi="宋体"/>
          <w:kern w:val="44"/>
        </w:rPr>
      </w:pPr>
      <w:r>
        <w:rPr>
          <w:rFonts w:hint="eastAsia" w:ascii="宋体" w:hAnsi="宋体"/>
          <w:b/>
          <w:kern w:val="44"/>
        </w:rPr>
        <w:t>第四条</w:t>
      </w:r>
      <w:r>
        <w:rPr>
          <w:rFonts w:hint="eastAsia" w:ascii="宋体" w:hAnsi="宋体"/>
          <w:kern w:val="44"/>
        </w:rPr>
        <w:t>　摩托车有下列情形之一的，应当报废：</w:t>
      </w:r>
    </w:p>
    <w:p w14:paraId="57B38F0A">
      <w:pPr>
        <w:jc w:val="left"/>
        <w:rPr>
          <w:rFonts w:ascii="宋体" w:hAnsi="宋体"/>
          <w:kern w:val="44"/>
        </w:rPr>
      </w:pPr>
      <w:r>
        <w:rPr>
          <w:rFonts w:hint="eastAsia" w:ascii="宋体" w:hAnsi="宋体"/>
          <w:kern w:val="44"/>
        </w:rPr>
        <w:t>（一）自初次登记之日起满8年的；</w:t>
      </w:r>
    </w:p>
    <w:p w14:paraId="7CA80C8D">
      <w:pPr>
        <w:jc w:val="left"/>
        <w:rPr>
          <w:rFonts w:ascii="宋体" w:hAnsi="宋体"/>
          <w:kern w:val="44"/>
        </w:rPr>
      </w:pPr>
      <w:r>
        <w:rPr>
          <w:rFonts w:hint="eastAsia" w:ascii="宋体" w:hAnsi="宋体"/>
          <w:kern w:val="44"/>
        </w:rPr>
        <w:t>（二）登记未满8年，但达不到国家对摩托车运行安全技术条件要求的；</w:t>
      </w:r>
    </w:p>
    <w:p w14:paraId="3E1ADA1E">
      <w:pPr>
        <w:jc w:val="left"/>
        <w:rPr>
          <w:rFonts w:ascii="宋体" w:hAnsi="宋体"/>
          <w:kern w:val="44"/>
        </w:rPr>
      </w:pPr>
      <w:r>
        <w:rPr>
          <w:rFonts w:hint="eastAsia" w:ascii="宋体" w:hAnsi="宋体"/>
          <w:kern w:val="44"/>
        </w:rPr>
        <w:t>（三）登记未满8年，但排放污染物超过本市规定的排放标准的；</w:t>
      </w:r>
    </w:p>
    <w:p w14:paraId="04759B6E">
      <w:pPr>
        <w:jc w:val="left"/>
        <w:rPr>
          <w:rFonts w:ascii="宋体" w:hAnsi="宋体"/>
          <w:kern w:val="44"/>
        </w:rPr>
      </w:pPr>
      <w:r>
        <w:rPr>
          <w:rFonts w:hint="eastAsia" w:ascii="宋体" w:hAnsi="宋体"/>
          <w:kern w:val="44"/>
        </w:rPr>
        <w:t>（四）符合国家规定的其他报废标准的。</w:t>
      </w:r>
    </w:p>
    <w:p w14:paraId="5D1145E8">
      <w:pPr>
        <w:ind w:firstLine="422"/>
        <w:jc w:val="left"/>
        <w:rPr>
          <w:rFonts w:ascii="宋体" w:hAnsi="宋体"/>
          <w:kern w:val="44"/>
        </w:rPr>
      </w:pPr>
      <w:r>
        <w:rPr>
          <w:rFonts w:hint="eastAsia" w:ascii="宋体" w:hAnsi="宋体"/>
          <w:b/>
          <w:kern w:val="44"/>
        </w:rPr>
        <w:t>第五条</w:t>
      </w:r>
      <w:r>
        <w:rPr>
          <w:rFonts w:hint="eastAsia" w:ascii="宋体" w:hAnsi="宋体"/>
          <w:kern w:val="44"/>
        </w:rPr>
        <w:t>　达到本办法第四条第（一）项规定报废年限的摩托车，经检验符合运行安全技术条件和污染物排放标准的，可以延长使用年限，但最长不得超过3年。</w:t>
      </w:r>
    </w:p>
    <w:p w14:paraId="0F96DB01">
      <w:pPr>
        <w:jc w:val="left"/>
        <w:rPr>
          <w:rFonts w:ascii="宋体" w:hAnsi="宋体"/>
          <w:kern w:val="44"/>
        </w:rPr>
      </w:pPr>
      <w:r>
        <w:rPr>
          <w:rFonts w:hint="eastAsia" w:ascii="宋体" w:hAnsi="宋体"/>
          <w:kern w:val="44"/>
        </w:rPr>
        <w:t>延长使用年限的摩托车，每四个月检验一次。延长使用年限届满或者在一个检验周期内连续三次检验不合格的，应当报废。</w:t>
      </w:r>
    </w:p>
    <w:p w14:paraId="09F687DB">
      <w:pPr>
        <w:ind w:firstLine="422"/>
        <w:jc w:val="left"/>
        <w:rPr>
          <w:rFonts w:ascii="宋体" w:hAnsi="宋体"/>
          <w:kern w:val="44"/>
        </w:rPr>
      </w:pPr>
      <w:r>
        <w:rPr>
          <w:rFonts w:hint="eastAsia" w:ascii="宋体" w:hAnsi="宋体"/>
          <w:b/>
          <w:kern w:val="44"/>
        </w:rPr>
        <w:t>第六条</w:t>
      </w:r>
      <w:r>
        <w:rPr>
          <w:rFonts w:hint="eastAsia" w:ascii="宋体" w:hAnsi="宋体"/>
          <w:kern w:val="44"/>
        </w:rPr>
        <w:t>　公安交通、环境保护部门要加强对摩托车检验的监督管理工作，逐步严格摩托车污染物排放标准。摩托车安全技术状况和污染物排放情况，由依法设立的机动车辆检测机构检验。</w:t>
      </w:r>
    </w:p>
    <w:p w14:paraId="1242BCBC">
      <w:pPr>
        <w:ind w:firstLine="422"/>
        <w:jc w:val="left"/>
        <w:rPr>
          <w:rFonts w:ascii="宋体" w:hAnsi="宋体"/>
          <w:kern w:val="44"/>
        </w:rPr>
      </w:pPr>
      <w:r>
        <w:rPr>
          <w:rFonts w:hint="eastAsia" w:ascii="宋体" w:hAnsi="宋体"/>
          <w:b/>
          <w:kern w:val="44"/>
        </w:rPr>
        <w:t>第七条</w:t>
      </w:r>
      <w:r>
        <w:rPr>
          <w:rFonts w:hint="eastAsia" w:ascii="宋体" w:hAnsi="宋体"/>
          <w:kern w:val="44"/>
        </w:rPr>
        <w:t>　符合报废条件的摩托车，其所有者应当及时到本市公安交通管理部门办理摩托车报废登记。公安交通管理部门应当于受理当日，向报废摩托车所有者出具《机动车报废证明》，并告知其在7日内将报废的摩托车交售报废摩托车回收企业。</w:t>
      </w:r>
    </w:p>
    <w:p w14:paraId="4D7DAFE9">
      <w:pPr>
        <w:jc w:val="left"/>
        <w:rPr>
          <w:rFonts w:ascii="宋体" w:hAnsi="宋体"/>
          <w:kern w:val="44"/>
        </w:rPr>
      </w:pPr>
      <w:r>
        <w:rPr>
          <w:rFonts w:hint="eastAsia" w:ascii="宋体" w:hAnsi="宋体"/>
          <w:kern w:val="44"/>
        </w:rPr>
        <w:t>公交交通管理部门应当向社会公示报废摩托车回收企业名录。</w:t>
      </w:r>
    </w:p>
    <w:p w14:paraId="3DFBD6EA">
      <w:pPr>
        <w:ind w:firstLine="422"/>
        <w:jc w:val="left"/>
        <w:rPr>
          <w:rFonts w:ascii="宋体" w:hAnsi="宋体"/>
          <w:kern w:val="44"/>
        </w:rPr>
      </w:pPr>
      <w:r>
        <w:rPr>
          <w:rFonts w:hint="eastAsia" w:ascii="宋体" w:hAnsi="宋体"/>
          <w:b/>
          <w:kern w:val="44"/>
        </w:rPr>
        <w:t>第八条</w:t>
      </w:r>
      <w:r>
        <w:rPr>
          <w:rFonts w:hint="eastAsia" w:ascii="宋体" w:hAnsi="宋体"/>
          <w:kern w:val="44"/>
        </w:rPr>
        <w:t>　报废摩托车回收企业应当凭《机动车报废证明》收购报废摩托车，并在回收报废摩托车当日向摩托车所有者出具《机动车报废回收证明》。报废摩托车回收企业应当在30日内拆解车辆，并将报废记录报告公安交通管理部门。</w:t>
      </w:r>
    </w:p>
    <w:p w14:paraId="520CAF83">
      <w:pPr>
        <w:ind w:firstLine="422"/>
        <w:jc w:val="left"/>
        <w:rPr>
          <w:rFonts w:ascii="宋体" w:hAnsi="宋体"/>
          <w:kern w:val="44"/>
        </w:rPr>
      </w:pPr>
      <w:r>
        <w:rPr>
          <w:rFonts w:hint="eastAsia" w:ascii="宋体" w:hAnsi="宋体"/>
          <w:b/>
          <w:kern w:val="44"/>
        </w:rPr>
        <w:t>第九条</w:t>
      </w:r>
      <w:r>
        <w:rPr>
          <w:rFonts w:hint="eastAsia" w:ascii="宋体" w:hAnsi="宋体"/>
          <w:kern w:val="44"/>
        </w:rPr>
        <w:t>　报废摩托车所有者应当在交售报废摩托车后7日内，持下列证明到公安交通管理部门办理摩托车注销登记。</w:t>
      </w:r>
    </w:p>
    <w:p w14:paraId="19C2A85C">
      <w:pPr>
        <w:jc w:val="left"/>
        <w:rPr>
          <w:rFonts w:ascii="宋体" w:hAnsi="宋体"/>
          <w:kern w:val="44"/>
        </w:rPr>
      </w:pPr>
      <w:r>
        <w:rPr>
          <w:rFonts w:hint="eastAsia" w:ascii="宋体" w:hAnsi="宋体"/>
          <w:kern w:val="44"/>
        </w:rPr>
        <w:t>（一）《机动车报废回收证明》；</w:t>
      </w:r>
    </w:p>
    <w:p w14:paraId="605B79A4">
      <w:pPr>
        <w:jc w:val="left"/>
        <w:rPr>
          <w:rFonts w:ascii="宋体" w:hAnsi="宋体"/>
          <w:kern w:val="44"/>
        </w:rPr>
      </w:pPr>
      <w:r>
        <w:rPr>
          <w:rFonts w:hint="eastAsia" w:ascii="宋体" w:hAnsi="宋体"/>
          <w:kern w:val="44"/>
        </w:rPr>
        <w:t>（二）身份证明；</w:t>
      </w:r>
    </w:p>
    <w:p w14:paraId="17E46EFE">
      <w:pPr>
        <w:jc w:val="left"/>
        <w:rPr>
          <w:rFonts w:ascii="宋体" w:hAnsi="宋体"/>
          <w:kern w:val="44"/>
        </w:rPr>
      </w:pPr>
      <w:r>
        <w:rPr>
          <w:rFonts w:hint="eastAsia" w:ascii="宋体" w:hAnsi="宋体"/>
          <w:kern w:val="44"/>
        </w:rPr>
        <w:t>（三）《机动车登记证书》、《机动车行驶证》、机动车号牌；</w:t>
      </w:r>
    </w:p>
    <w:p w14:paraId="780303FB">
      <w:pPr>
        <w:jc w:val="left"/>
        <w:rPr>
          <w:rFonts w:ascii="宋体" w:hAnsi="宋体"/>
          <w:kern w:val="44"/>
        </w:rPr>
      </w:pPr>
      <w:r>
        <w:rPr>
          <w:rFonts w:hint="eastAsia" w:ascii="宋体" w:hAnsi="宋体"/>
          <w:kern w:val="44"/>
        </w:rPr>
        <w:t>（四）属海关监管的摩托车，还应当提交《中华人民共和国海关监管车辆进（出）境领（销）牌照通知书》。</w:t>
      </w:r>
    </w:p>
    <w:p w14:paraId="2334252A">
      <w:pPr>
        <w:jc w:val="left"/>
        <w:rPr>
          <w:rFonts w:ascii="宋体" w:hAnsi="宋体"/>
          <w:kern w:val="44"/>
        </w:rPr>
      </w:pPr>
      <w:r>
        <w:rPr>
          <w:rFonts w:hint="eastAsia" w:ascii="宋体" w:hAnsi="宋体"/>
          <w:kern w:val="44"/>
        </w:rPr>
        <w:t>公安交通管理部门办理摩托车注销登记后，收回《机动车登记证书》、《机动车行驶证》和机动车号牌。</w:t>
      </w:r>
    </w:p>
    <w:p w14:paraId="7B054FBB">
      <w:pPr>
        <w:ind w:firstLine="422"/>
        <w:jc w:val="left"/>
        <w:rPr>
          <w:rFonts w:ascii="宋体" w:hAnsi="宋体"/>
          <w:kern w:val="44"/>
        </w:rPr>
      </w:pPr>
      <w:r>
        <w:rPr>
          <w:rFonts w:hint="eastAsia" w:ascii="宋体" w:hAnsi="宋体"/>
          <w:b/>
          <w:kern w:val="44"/>
        </w:rPr>
        <w:t>第十条</w:t>
      </w:r>
      <w:r>
        <w:rPr>
          <w:rFonts w:hint="eastAsia" w:ascii="宋体" w:hAnsi="宋体"/>
          <w:kern w:val="44"/>
        </w:rPr>
        <w:t>　公安交通、环境保护等行政主管部门应当本着服务、便民的原则，在摩托车检测、报废方面，为当事人提供便利条件。</w:t>
      </w:r>
    </w:p>
    <w:p w14:paraId="2C20A9FC">
      <w:pPr>
        <w:ind w:firstLine="422"/>
        <w:jc w:val="left"/>
        <w:rPr>
          <w:rFonts w:ascii="宋体" w:hAnsi="宋体"/>
          <w:kern w:val="44"/>
        </w:rPr>
      </w:pPr>
      <w:r>
        <w:rPr>
          <w:rFonts w:hint="eastAsia" w:ascii="宋体" w:hAnsi="宋体"/>
          <w:b/>
          <w:kern w:val="44"/>
        </w:rPr>
        <w:t>第十一条</w:t>
      </w:r>
      <w:r>
        <w:rPr>
          <w:rFonts w:hint="eastAsia" w:ascii="宋体" w:hAnsi="宋体"/>
          <w:kern w:val="44"/>
        </w:rPr>
        <w:t>　符合报废条件的摩托车，其所有者不按本办法办理摩托车报废手续的，公安交通管理部门应当予以公告，限期办理报废手续；对逾期不办理报废手续的摩托车所有者，注销其车辆档案，并按车辆管理的有关规定处理；对无牌证又符合报废条件的摩托车，一律强制报废。</w:t>
      </w:r>
    </w:p>
    <w:p w14:paraId="13919305">
      <w:pPr>
        <w:jc w:val="left"/>
        <w:rPr>
          <w:rFonts w:ascii="宋体" w:hAnsi="宋体"/>
          <w:kern w:val="44"/>
        </w:rPr>
      </w:pPr>
      <w:r>
        <w:rPr>
          <w:rFonts w:hint="eastAsia" w:ascii="宋体" w:hAnsi="宋体"/>
          <w:kern w:val="44"/>
        </w:rPr>
        <w:t>公安交通管理部门对不依法办理报废手续的摩托车所有者，不予注册新的摩托车。</w:t>
      </w:r>
    </w:p>
    <w:p w14:paraId="6786F5DA">
      <w:pPr>
        <w:ind w:firstLine="422"/>
        <w:jc w:val="left"/>
        <w:rPr>
          <w:rFonts w:ascii="宋体" w:hAnsi="宋体"/>
          <w:kern w:val="44"/>
        </w:rPr>
      </w:pPr>
      <w:r>
        <w:rPr>
          <w:rFonts w:hint="eastAsia" w:ascii="宋体" w:hAnsi="宋体"/>
          <w:b/>
          <w:kern w:val="44"/>
        </w:rPr>
        <w:t>第十二条</w:t>
      </w:r>
      <w:r>
        <w:rPr>
          <w:rFonts w:hint="eastAsia" w:ascii="宋体" w:hAnsi="宋体"/>
          <w:kern w:val="44"/>
        </w:rPr>
        <w:t>　禁止下列行为：</w:t>
      </w:r>
    </w:p>
    <w:p w14:paraId="336C502B">
      <w:pPr>
        <w:jc w:val="left"/>
        <w:rPr>
          <w:rFonts w:ascii="宋体" w:hAnsi="宋体"/>
          <w:kern w:val="44"/>
        </w:rPr>
      </w:pPr>
      <w:r>
        <w:rPr>
          <w:rFonts w:hint="eastAsia" w:ascii="宋体" w:hAnsi="宋体"/>
          <w:kern w:val="44"/>
        </w:rPr>
        <w:t>（一）驾驶报废的摩托车上道路行驶；</w:t>
      </w:r>
    </w:p>
    <w:p w14:paraId="7D9AB1A9">
      <w:pPr>
        <w:jc w:val="left"/>
        <w:rPr>
          <w:rFonts w:ascii="宋体" w:hAnsi="宋体"/>
          <w:kern w:val="44"/>
        </w:rPr>
      </w:pPr>
      <w:r>
        <w:rPr>
          <w:rFonts w:hint="eastAsia" w:ascii="宋体" w:hAnsi="宋体"/>
          <w:kern w:val="44"/>
        </w:rPr>
        <w:t>（二）将报废摩托车出售、赠予或者以其他方式转让；</w:t>
      </w:r>
    </w:p>
    <w:p w14:paraId="758B4D64">
      <w:pPr>
        <w:jc w:val="left"/>
        <w:rPr>
          <w:rFonts w:ascii="宋体" w:hAnsi="宋体"/>
          <w:kern w:val="44"/>
        </w:rPr>
      </w:pPr>
      <w:r>
        <w:rPr>
          <w:rFonts w:hint="eastAsia" w:ascii="宋体" w:hAnsi="宋体"/>
          <w:kern w:val="44"/>
        </w:rPr>
        <w:t>（三）挪用、转借报废摩托车号牌。</w:t>
      </w:r>
    </w:p>
    <w:p w14:paraId="225E583A">
      <w:pPr>
        <w:ind w:firstLine="422"/>
        <w:jc w:val="left"/>
        <w:rPr>
          <w:rFonts w:ascii="宋体" w:hAnsi="宋体"/>
          <w:kern w:val="44"/>
        </w:rPr>
      </w:pPr>
      <w:r>
        <w:rPr>
          <w:rFonts w:hint="eastAsia" w:ascii="宋体" w:hAnsi="宋体"/>
          <w:b/>
          <w:kern w:val="44"/>
        </w:rPr>
        <w:t>第十三条</w:t>
      </w:r>
      <w:r>
        <w:rPr>
          <w:rFonts w:hint="eastAsia" w:ascii="宋体" w:hAnsi="宋体"/>
          <w:kern w:val="44"/>
        </w:rPr>
        <w:t>　公安交通管理部门在工作中发现报废摩托车回收企业出售报废摩托车的，应当及时提请经济、工商行政管理部门依法查处。</w:t>
      </w:r>
    </w:p>
    <w:p w14:paraId="2F89AE12">
      <w:pPr>
        <w:ind w:firstLine="422"/>
        <w:jc w:val="left"/>
        <w:rPr>
          <w:rFonts w:ascii="宋体" w:hAnsi="宋体"/>
          <w:kern w:val="44"/>
        </w:rPr>
      </w:pPr>
      <w:r>
        <w:rPr>
          <w:rFonts w:hint="eastAsia" w:ascii="宋体" w:hAnsi="宋体"/>
          <w:b/>
          <w:kern w:val="44"/>
        </w:rPr>
        <w:t>第十四条</w:t>
      </w:r>
      <w:r>
        <w:rPr>
          <w:rFonts w:hint="eastAsia" w:ascii="宋体" w:hAnsi="宋体"/>
          <w:kern w:val="44"/>
        </w:rPr>
        <w:t>　违反本办法第十二条第（一）项规定，驾驶报废摩托车上道路行驶的，由公安交通管理部门收回机动车号牌和《机动车行驶证》，责令报废摩托车所有者依照本办法的规定办理报废手续，并可以处2000元以下的罚款。</w:t>
      </w:r>
    </w:p>
    <w:p w14:paraId="6F760C0B">
      <w:pPr>
        <w:ind w:firstLine="422"/>
        <w:jc w:val="left"/>
        <w:rPr>
          <w:rFonts w:ascii="宋体" w:hAnsi="宋体"/>
          <w:kern w:val="44"/>
        </w:rPr>
      </w:pPr>
      <w:r>
        <w:rPr>
          <w:rFonts w:hint="eastAsia" w:ascii="宋体" w:hAnsi="宋体"/>
          <w:b/>
          <w:kern w:val="44"/>
        </w:rPr>
        <w:t>第十五条</w:t>
      </w:r>
      <w:r>
        <w:rPr>
          <w:rFonts w:hint="eastAsia" w:ascii="宋体" w:hAnsi="宋体"/>
          <w:kern w:val="44"/>
        </w:rPr>
        <w:t>　违反本办法第十二条第（二）项规定，将报废摩托车出售、赠予或者以其他方式转让的，由公安交通管理部门没收违法所得，并处2000元以上2万元以下的罚款。</w:t>
      </w:r>
    </w:p>
    <w:p w14:paraId="2E98C87D">
      <w:pPr>
        <w:ind w:firstLine="422"/>
        <w:jc w:val="left"/>
        <w:rPr>
          <w:rFonts w:ascii="宋体" w:hAnsi="宋体"/>
          <w:kern w:val="44"/>
        </w:rPr>
      </w:pPr>
      <w:r>
        <w:rPr>
          <w:rFonts w:hint="eastAsia" w:ascii="宋体" w:hAnsi="宋体"/>
          <w:b/>
          <w:kern w:val="44"/>
        </w:rPr>
        <w:t>第十六条</w:t>
      </w:r>
      <w:r>
        <w:rPr>
          <w:rFonts w:hint="eastAsia" w:ascii="宋体" w:hAnsi="宋体"/>
          <w:kern w:val="44"/>
        </w:rPr>
        <w:t>　违反本办法第十二条第（三）项规定，挪用、转借报废摩托车号牌的，由公安交通管理部门依照《中华人民共和国治安管理处罚条例》和《中华人民共和国道路交通管理条例》的有关规定处罚。</w:t>
      </w:r>
    </w:p>
    <w:p w14:paraId="1558902E">
      <w:pPr>
        <w:ind w:firstLine="422"/>
        <w:jc w:val="left"/>
        <w:rPr>
          <w:rFonts w:ascii="宋体" w:hAnsi="宋体"/>
          <w:kern w:val="44"/>
        </w:rPr>
      </w:pPr>
      <w:r>
        <w:rPr>
          <w:rFonts w:hint="eastAsia" w:ascii="宋体" w:hAnsi="宋体"/>
          <w:b/>
          <w:kern w:val="44"/>
        </w:rPr>
        <w:t>第十七条</w:t>
      </w:r>
      <w:r>
        <w:rPr>
          <w:rFonts w:hint="eastAsia" w:ascii="宋体" w:hAnsi="宋体"/>
          <w:kern w:val="44"/>
        </w:rPr>
        <w:t>　本办法自2002年11月1日起施行。</w:t>
      </w:r>
    </w:p>
    <w:p w14:paraId="7D1020D7">
      <w:pPr>
        <w:jc w:val="left"/>
        <w:rPr>
          <w:rFonts w:ascii="宋体" w:hAnsi="宋体"/>
          <w:kern w:val="44"/>
        </w:rPr>
      </w:pPr>
      <w:r>
        <w:rPr>
          <w:rFonts w:hint="eastAsia" w:ascii="宋体" w:hAnsi="宋体"/>
          <w:kern w:val="44"/>
        </w:rPr>
        <w:t>本办法实施前已达到报废年限摩托车的所有者，应当在本办法实施之日起3个月内办理报废手续。</w:t>
      </w:r>
    </w:p>
    <w:p w14:paraId="18A6FAE2">
      <w:pPr>
        <w:pStyle w:val="4"/>
        <w:pageBreakBefore/>
        <w:rPr>
          <w:kern w:val="44"/>
        </w:rPr>
      </w:pPr>
      <w:bookmarkStart w:id="1286" w:name="_Toc428780177"/>
      <w:bookmarkStart w:id="1287" w:name="_Toc428781659"/>
      <w:bookmarkStart w:id="1288" w:name="_Toc427651953"/>
      <w:bookmarkStart w:id="1289" w:name="_Toc427651611"/>
      <w:bookmarkStart w:id="1290" w:name="_Toc422471338"/>
      <w:r>
        <w:rPr>
          <w:rFonts w:hint="eastAsia"/>
          <w:kern w:val="44"/>
        </w:rPr>
        <w:t>北京市商业零售经营单位</w:t>
      </w:r>
      <w:bookmarkEnd w:id="1286"/>
      <w:bookmarkEnd w:id="1287"/>
      <w:bookmarkEnd w:id="1288"/>
      <w:bookmarkEnd w:id="1289"/>
      <w:bookmarkEnd w:id="1290"/>
    </w:p>
    <w:p w14:paraId="4D0ABA0F">
      <w:pPr>
        <w:pStyle w:val="4"/>
        <w:rPr>
          <w:kern w:val="44"/>
        </w:rPr>
      </w:pPr>
      <w:bookmarkStart w:id="1291" w:name="_Toc422471339"/>
      <w:bookmarkStart w:id="1292" w:name="_Toc427651612"/>
      <w:bookmarkStart w:id="1293" w:name="_Toc428780178"/>
      <w:bookmarkStart w:id="1294" w:name="_Toc428781660"/>
      <w:bookmarkStart w:id="1295" w:name="_Toc427651954"/>
      <w:r>
        <w:rPr>
          <w:rFonts w:hint="eastAsia"/>
          <w:kern w:val="44"/>
        </w:rPr>
        <w:t>促销活动管理规定</w:t>
      </w:r>
      <w:bookmarkEnd w:id="1291"/>
      <w:bookmarkEnd w:id="1292"/>
      <w:bookmarkEnd w:id="1293"/>
      <w:bookmarkEnd w:id="1294"/>
      <w:bookmarkEnd w:id="1295"/>
    </w:p>
    <w:p w14:paraId="72789695">
      <w:pPr>
        <w:ind w:left="630" w:leftChars="300" w:right="630" w:rightChars="300"/>
        <w:jc w:val="left"/>
        <w:rPr>
          <w:rFonts w:ascii="楷体" w:hAnsi="楷体" w:eastAsia="楷体"/>
          <w:kern w:val="44"/>
        </w:rPr>
      </w:pPr>
      <w:r>
        <w:rPr>
          <w:rFonts w:hint="eastAsia" w:ascii="楷体" w:hAnsi="楷体" w:eastAsia="楷体"/>
          <w:kern w:val="44"/>
        </w:rPr>
        <w:t>（2008年4月8日北京市人民政府第3次常务会议审议通过  2008年4月28日北京市人民政府第207号令公布）</w:t>
      </w:r>
    </w:p>
    <w:p w14:paraId="38B154E4">
      <w:pPr>
        <w:jc w:val="left"/>
        <w:rPr>
          <w:rFonts w:ascii="宋体" w:hAnsi="宋体"/>
          <w:kern w:val="44"/>
        </w:rPr>
      </w:pPr>
    </w:p>
    <w:p w14:paraId="5F78CDA3">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为加强促销活动的安全管理，保障消费者合法权益和生命财产安全，根据有关法律、法规的规定，结合本市实际情况，制定本规定。</w:t>
      </w:r>
    </w:p>
    <w:p w14:paraId="64D48DA7">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本市行政区域内建筑面积在1000平方米以上或者地下建筑面积在500平方米以上的商业零售经营单位在经营场所举办的促销活动，应当遵守本规定。</w:t>
      </w:r>
    </w:p>
    <w:p w14:paraId="199173BF">
      <w:pPr>
        <w:jc w:val="left"/>
        <w:rPr>
          <w:rFonts w:ascii="宋体" w:hAnsi="宋体"/>
          <w:kern w:val="44"/>
        </w:rPr>
      </w:pPr>
      <w:r>
        <w:rPr>
          <w:rFonts w:hint="eastAsia" w:ascii="宋体" w:hAnsi="宋体"/>
          <w:kern w:val="44"/>
        </w:rPr>
        <w:t>本规定所称的商业零售经营单位包括百货店、购物中心、超市、仓储式会员店、家居建材店、专业店、专卖店、折扣店等零售店铺。</w:t>
      </w:r>
    </w:p>
    <w:p w14:paraId="2DF86D13">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市和区（县）商务主管部门负责对商业零售经营单位举办的促销活动实施监督管理。</w:t>
      </w:r>
    </w:p>
    <w:p w14:paraId="68E4C578">
      <w:pPr>
        <w:jc w:val="left"/>
        <w:rPr>
          <w:rFonts w:ascii="宋体" w:hAnsi="宋体"/>
          <w:kern w:val="44"/>
        </w:rPr>
      </w:pPr>
      <w:r>
        <w:rPr>
          <w:rFonts w:hint="eastAsia" w:ascii="宋体" w:hAnsi="宋体"/>
          <w:kern w:val="44"/>
        </w:rPr>
        <w:t>安全生产、工商行政和公安等有关部门按照职责分工，做好与促销活动有关的监督管理工作。</w:t>
      </w:r>
    </w:p>
    <w:p w14:paraId="1C304909">
      <w:pPr>
        <w:ind w:firstLine="422"/>
        <w:jc w:val="left"/>
        <w:rPr>
          <w:rFonts w:ascii="宋体" w:hAnsi="宋体"/>
          <w:kern w:val="44"/>
        </w:rPr>
      </w:pPr>
      <w:r>
        <w:rPr>
          <w:rFonts w:hint="eastAsia" w:ascii="宋体" w:hAnsi="宋体"/>
          <w:b/>
          <w:kern w:val="44"/>
        </w:rPr>
        <w:t>第四条</w:t>
      </w:r>
      <w:r>
        <w:rPr>
          <w:rFonts w:hint="eastAsia" w:ascii="宋体" w:hAnsi="宋体"/>
          <w:kern w:val="44"/>
        </w:rPr>
        <w:t>　商业零售经营单位的主要负责人对促销活动安全全面负责。</w:t>
      </w:r>
    </w:p>
    <w:p w14:paraId="57A58BEB">
      <w:pPr>
        <w:jc w:val="left"/>
        <w:rPr>
          <w:rFonts w:ascii="宋体" w:hAnsi="宋体"/>
          <w:kern w:val="44"/>
        </w:rPr>
      </w:pPr>
      <w:r>
        <w:rPr>
          <w:rFonts w:hint="eastAsia" w:ascii="宋体" w:hAnsi="宋体"/>
          <w:kern w:val="44"/>
        </w:rPr>
        <w:t>经营场所应当具备法律、法规、规章和国家标准、行业标准、地方标准规定的安全条件。</w:t>
      </w:r>
    </w:p>
    <w:p w14:paraId="0E1D9AB7">
      <w:pPr>
        <w:ind w:firstLine="422"/>
        <w:jc w:val="left"/>
        <w:rPr>
          <w:rFonts w:ascii="宋体" w:hAnsi="宋体"/>
          <w:kern w:val="44"/>
        </w:rPr>
      </w:pPr>
      <w:r>
        <w:rPr>
          <w:rFonts w:hint="eastAsia" w:ascii="宋体" w:hAnsi="宋体"/>
          <w:b/>
          <w:kern w:val="44"/>
        </w:rPr>
        <w:t>第五条</w:t>
      </w:r>
      <w:r>
        <w:rPr>
          <w:rFonts w:hint="eastAsia" w:ascii="宋体" w:hAnsi="宋体"/>
          <w:kern w:val="44"/>
        </w:rPr>
        <w:t>　商业零售经营单位举办促销活动，应当向消费者提供真实的信息，明示促销的期限、方式和规则、促销商品的范围等内容。</w:t>
      </w:r>
    </w:p>
    <w:p w14:paraId="0222BB58">
      <w:pPr>
        <w:jc w:val="left"/>
        <w:rPr>
          <w:rFonts w:ascii="宋体" w:hAnsi="宋体"/>
          <w:kern w:val="44"/>
        </w:rPr>
      </w:pPr>
      <w:r>
        <w:rPr>
          <w:rFonts w:hint="eastAsia" w:ascii="宋体" w:hAnsi="宋体"/>
          <w:kern w:val="44"/>
        </w:rPr>
        <w:t>商业零售经营单位不得举办购物返券的促销活动；不得以保留最终解释权为由，损害消费者合法权益。</w:t>
      </w:r>
    </w:p>
    <w:p w14:paraId="6523CADD">
      <w:pPr>
        <w:ind w:firstLine="422"/>
        <w:jc w:val="left"/>
        <w:rPr>
          <w:rFonts w:ascii="宋体" w:hAnsi="宋体"/>
          <w:kern w:val="44"/>
        </w:rPr>
      </w:pPr>
      <w:r>
        <w:rPr>
          <w:rFonts w:hint="eastAsia" w:ascii="宋体" w:hAnsi="宋体"/>
          <w:b/>
          <w:kern w:val="44"/>
        </w:rPr>
        <w:t>第六条</w:t>
      </w:r>
      <w:r>
        <w:rPr>
          <w:rFonts w:hint="eastAsia" w:ascii="宋体" w:hAnsi="宋体"/>
          <w:kern w:val="44"/>
        </w:rPr>
        <w:t>　商业零售经营单位举办促销活动，应当制定突发事件应急预案、现场秩序维护和人员疏导措施、车辆的停放和疏导措施。</w:t>
      </w:r>
    </w:p>
    <w:p w14:paraId="122BE125">
      <w:pPr>
        <w:ind w:firstLine="422"/>
        <w:jc w:val="left"/>
        <w:rPr>
          <w:rFonts w:ascii="宋体" w:hAnsi="宋体"/>
          <w:kern w:val="44"/>
        </w:rPr>
      </w:pPr>
      <w:r>
        <w:rPr>
          <w:rFonts w:hint="eastAsia" w:ascii="宋体" w:hAnsi="宋体"/>
          <w:b/>
          <w:kern w:val="44"/>
        </w:rPr>
        <w:t>第七条</w:t>
      </w:r>
      <w:r>
        <w:rPr>
          <w:rFonts w:hint="eastAsia" w:ascii="宋体" w:hAnsi="宋体"/>
          <w:kern w:val="44"/>
        </w:rPr>
        <w:t>　促销活动举办期间，商业零售经营单位应当落实各项安全措施，按照有关规定做好安全检查和巡查工作，配备足够的专职安全工作人员维护现场秩序。</w:t>
      </w:r>
    </w:p>
    <w:p w14:paraId="29D45A15">
      <w:pPr>
        <w:jc w:val="left"/>
        <w:rPr>
          <w:rFonts w:ascii="宋体" w:hAnsi="宋体"/>
          <w:kern w:val="44"/>
        </w:rPr>
      </w:pPr>
      <w:r>
        <w:rPr>
          <w:rFonts w:hint="eastAsia" w:ascii="宋体" w:hAnsi="宋体"/>
          <w:kern w:val="44"/>
        </w:rPr>
        <w:t>当消费者相对聚集时，商业零售经营单位应当采取有效的控制和疏散措施，确保安全。</w:t>
      </w:r>
    </w:p>
    <w:p w14:paraId="4E989757">
      <w:pPr>
        <w:ind w:firstLine="422"/>
        <w:jc w:val="left"/>
        <w:rPr>
          <w:rFonts w:ascii="宋体" w:hAnsi="宋体"/>
          <w:kern w:val="44"/>
        </w:rPr>
      </w:pPr>
      <w:r>
        <w:rPr>
          <w:rFonts w:hint="eastAsia" w:ascii="宋体" w:hAnsi="宋体"/>
          <w:b/>
          <w:kern w:val="44"/>
        </w:rPr>
        <w:t>第八条</w:t>
      </w:r>
      <w:r>
        <w:rPr>
          <w:rFonts w:hint="eastAsia" w:ascii="宋体" w:hAnsi="宋体"/>
          <w:kern w:val="44"/>
        </w:rPr>
        <w:t>　商业零售经营单位以国家法定年节、开张、开张纪念等名义举办的促销活动，或者举办连续营业时间超过16小时的促销活动，应当在促销活动开始7日前，将促销活动的期限、方式和规则、促销商品的范围等情况，按照下列规定书面报告：</w:t>
      </w:r>
    </w:p>
    <w:p w14:paraId="2CDB12EF">
      <w:pPr>
        <w:jc w:val="left"/>
        <w:rPr>
          <w:rFonts w:ascii="宋体" w:hAnsi="宋体"/>
          <w:kern w:val="44"/>
        </w:rPr>
      </w:pPr>
      <w:r>
        <w:rPr>
          <w:rFonts w:hint="eastAsia" w:ascii="宋体" w:hAnsi="宋体"/>
          <w:kern w:val="44"/>
        </w:rPr>
        <w:t>（一）建筑面积在1万平方米以上的，向所在地的区（县）商务主管部门报告；</w:t>
      </w:r>
    </w:p>
    <w:p w14:paraId="49D3C24C">
      <w:pPr>
        <w:jc w:val="left"/>
        <w:rPr>
          <w:rFonts w:ascii="宋体" w:hAnsi="宋体"/>
          <w:kern w:val="44"/>
        </w:rPr>
      </w:pPr>
      <w:r>
        <w:rPr>
          <w:rFonts w:hint="eastAsia" w:ascii="宋体" w:hAnsi="宋体"/>
          <w:kern w:val="44"/>
        </w:rPr>
        <w:t>（二）连锁企业在全市或者部分区（县）范围内统一举办促销活动的，向市商务主管部门报告。</w:t>
      </w:r>
    </w:p>
    <w:p w14:paraId="5FC885D3">
      <w:pPr>
        <w:ind w:firstLine="422"/>
        <w:jc w:val="left"/>
        <w:rPr>
          <w:rFonts w:ascii="宋体" w:hAnsi="宋体"/>
          <w:kern w:val="44"/>
        </w:rPr>
      </w:pPr>
      <w:r>
        <w:rPr>
          <w:rFonts w:hint="eastAsia" w:ascii="宋体" w:hAnsi="宋体"/>
          <w:b/>
          <w:kern w:val="44"/>
        </w:rPr>
        <w:t>第九条</w:t>
      </w:r>
      <w:r>
        <w:rPr>
          <w:rFonts w:hint="eastAsia" w:ascii="宋体" w:hAnsi="宋体"/>
          <w:kern w:val="44"/>
        </w:rPr>
        <w:t>　市和区（县）商务主管部门接到报告后，应当了解促销活动的有关情况，对促销活动现场进行检查。必要时，向安全生产、工商行政、公安等部门通报。</w:t>
      </w:r>
    </w:p>
    <w:p w14:paraId="1583CD82">
      <w:pPr>
        <w:ind w:firstLine="422"/>
        <w:jc w:val="left"/>
        <w:rPr>
          <w:rFonts w:ascii="宋体" w:hAnsi="宋体"/>
          <w:kern w:val="44"/>
        </w:rPr>
      </w:pPr>
      <w:r>
        <w:rPr>
          <w:rFonts w:hint="eastAsia" w:ascii="宋体" w:hAnsi="宋体"/>
          <w:b/>
          <w:kern w:val="44"/>
        </w:rPr>
        <w:t>第十条</w:t>
      </w:r>
      <w:r>
        <w:rPr>
          <w:rFonts w:hint="eastAsia" w:ascii="宋体" w:hAnsi="宋体"/>
          <w:kern w:val="44"/>
        </w:rPr>
        <w:t>　本市对粮食、食用油、肉、蛋等生活必需品的促销活动，实行重点监管。</w:t>
      </w:r>
    </w:p>
    <w:p w14:paraId="16B6225A">
      <w:pPr>
        <w:jc w:val="left"/>
        <w:rPr>
          <w:rFonts w:ascii="宋体" w:hAnsi="宋体"/>
          <w:kern w:val="44"/>
        </w:rPr>
      </w:pPr>
      <w:r>
        <w:rPr>
          <w:rFonts w:hint="eastAsia" w:ascii="宋体" w:hAnsi="宋体"/>
          <w:kern w:val="44"/>
        </w:rPr>
        <w:t>商业零售经营单位举办重点监管的生活必需品的促销活动，促销时间不得少于连续3个营业日，应当保证促销商品充足供应，不得限制消费者购物的数量和时段，并且应当保留促销商品销售资料。</w:t>
      </w:r>
    </w:p>
    <w:p w14:paraId="207A11AD">
      <w:pPr>
        <w:ind w:firstLine="422"/>
        <w:jc w:val="left"/>
        <w:rPr>
          <w:rFonts w:ascii="宋体" w:hAnsi="宋体"/>
          <w:kern w:val="44"/>
        </w:rPr>
      </w:pPr>
      <w:r>
        <w:rPr>
          <w:rFonts w:hint="eastAsia" w:ascii="宋体" w:hAnsi="宋体"/>
          <w:b/>
          <w:kern w:val="44"/>
        </w:rPr>
        <w:t>第十一条</w:t>
      </w:r>
      <w:r>
        <w:rPr>
          <w:rFonts w:hint="eastAsia" w:ascii="宋体" w:hAnsi="宋体"/>
          <w:kern w:val="44"/>
        </w:rPr>
        <w:t>　商业零售经营单位举办重点监管的生活必需品以外商品的限量促销活动，应当明示促销商品的名称、品牌、规格和数量。连锁企业应当明示各门店促销商品的数量。</w:t>
      </w:r>
    </w:p>
    <w:p w14:paraId="35CC66DD">
      <w:pPr>
        <w:jc w:val="left"/>
        <w:rPr>
          <w:rFonts w:ascii="宋体" w:hAnsi="宋体"/>
          <w:kern w:val="44"/>
        </w:rPr>
      </w:pPr>
      <w:r>
        <w:rPr>
          <w:rFonts w:hint="eastAsia" w:ascii="宋体" w:hAnsi="宋体"/>
          <w:kern w:val="44"/>
        </w:rPr>
        <w:t>促销商品售完后，应当及时明示或者告知消费者，并且保留限量促销商品的销售凭证。销售凭证至少保留30日。</w:t>
      </w:r>
    </w:p>
    <w:p w14:paraId="3DFE290F">
      <w:pPr>
        <w:ind w:firstLine="422"/>
        <w:jc w:val="left"/>
        <w:rPr>
          <w:rFonts w:ascii="宋体" w:hAnsi="宋体"/>
          <w:kern w:val="44"/>
        </w:rPr>
      </w:pPr>
      <w:r>
        <w:rPr>
          <w:rFonts w:hint="eastAsia" w:ascii="宋体" w:hAnsi="宋体"/>
          <w:b/>
          <w:kern w:val="44"/>
        </w:rPr>
        <w:t>第十二条</w:t>
      </w:r>
      <w:r>
        <w:rPr>
          <w:rFonts w:hint="eastAsia" w:ascii="宋体" w:hAnsi="宋体"/>
          <w:kern w:val="44"/>
        </w:rPr>
        <w:t>　商业零售经营单位违反本规定的，任何单位和个人均可以向所在地的区（县）商务主管部门或者市商务主管部门举报。市或者区（县）商务主管部门应当自接到举报之日起10个工作日内作出处理；对不属于本部门职责范围内的举报事项，应当自接到举报之日起3个工作日内向有关部门移送，并通知举报人。</w:t>
      </w:r>
    </w:p>
    <w:p w14:paraId="5DE0D6D5">
      <w:pPr>
        <w:jc w:val="left"/>
        <w:rPr>
          <w:rFonts w:ascii="宋体" w:hAnsi="宋体"/>
          <w:kern w:val="44"/>
        </w:rPr>
      </w:pPr>
      <w:r>
        <w:rPr>
          <w:rFonts w:hint="eastAsia" w:ascii="宋体" w:hAnsi="宋体"/>
          <w:kern w:val="44"/>
        </w:rPr>
        <w:t>市和区（县）商务主管部门应当向社会公布举报电话。</w:t>
      </w:r>
    </w:p>
    <w:p w14:paraId="6A71DC33">
      <w:pPr>
        <w:ind w:firstLine="422"/>
        <w:jc w:val="left"/>
        <w:rPr>
          <w:rFonts w:ascii="宋体" w:hAnsi="宋体"/>
          <w:kern w:val="44"/>
        </w:rPr>
      </w:pPr>
      <w:r>
        <w:rPr>
          <w:rFonts w:hint="eastAsia" w:ascii="宋体" w:hAnsi="宋体"/>
          <w:b/>
          <w:kern w:val="44"/>
        </w:rPr>
        <w:t>第十三条</w:t>
      </w:r>
      <w:r>
        <w:rPr>
          <w:rFonts w:hint="eastAsia" w:ascii="宋体" w:hAnsi="宋体"/>
          <w:kern w:val="44"/>
        </w:rPr>
        <w:t>　商业零售经营单位有下列情形之一的，由市或者区（县）商务主管部门按照下列规定给予行政处罚：</w:t>
      </w:r>
    </w:p>
    <w:p w14:paraId="7CC9424B">
      <w:pPr>
        <w:jc w:val="left"/>
        <w:rPr>
          <w:rFonts w:ascii="宋体" w:hAnsi="宋体"/>
          <w:kern w:val="44"/>
        </w:rPr>
      </w:pPr>
      <w:r>
        <w:rPr>
          <w:rFonts w:hint="eastAsia" w:ascii="宋体" w:hAnsi="宋体"/>
          <w:kern w:val="44"/>
        </w:rPr>
        <w:t>（一）违反本规定第五条第二款规定，举办购物返券促销活动的，责令停止促销活动；影响经营场所秩序或者拒不停止促销活动的，处5000元以上1万元以下罚款；</w:t>
      </w:r>
    </w:p>
    <w:p w14:paraId="2215EE98">
      <w:pPr>
        <w:jc w:val="left"/>
        <w:rPr>
          <w:rFonts w:ascii="宋体" w:hAnsi="宋体"/>
          <w:kern w:val="44"/>
        </w:rPr>
      </w:pPr>
      <w:r>
        <w:rPr>
          <w:rFonts w:hint="eastAsia" w:ascii="宋体" w:hAnsi="宋体"/>
          <w:kern w:val="44"/>
        </w:rPr>
        <w:t>（二）违反本规定第八条规定，未报告促销活动有关情况的，处1000元以上1万元以下罚款；</w:t>
      </w:r>
    </w:p>
    <w:p w14:paraId="647F6F1D">
      <w:pPr>
        <w:jc w:val="left"/>
        <w:rPr>
          <w:rFonts w:ascii="宋体" w:hAnsi="宋体"/>
          <w:kern w:val="44"/>
        </w:rPr>
      </w:pPr>
      <w:r>
        <w:rPr>
          <w:rFonts w:hint="eastAsia" w:ascii="宋体" w:hAnsi="宋体"/>
          <w:kern w:val="44"/>
        </w:rPr>
        <w:t>（三）违反本规定第十条第二款规定，重点监管的生活必需品促销时间少于连续3个营业日或者限制数量、时段的，处1万元以上3万元以下罚款；情节严重的，处3万元以上10万元以下罚款；</w:t>
      </w:r>
    </w:p>
    <w:p w14:paraId="635ADEB1">
      <w:pPr>
        <w:jc w:val="left"/>
        <w:rPr>
          <w:rFonts w:ascii="宋体" w:hAnsi="宋体"/>
          <w:kern w:val="44"/>
        </w:rPr>
      </w:pPr>
      <w:r>
        <w:rPr>
          <w:rFonts w:hint="eastAsia" w:ascii="宋体" w:hAnsi="宋体"/>
          <w:kern w:val="44"/>
        </w:rPr>
        <w:t>（四）违反本规定第十一条规定，未保留限量促销商品销售凭证的，处1000元以上1万元以下罚款。</w:t>
      </w:r>
    </w:p>
    <w:p w14:paraId="49199061">
      <w:pPr>
        <w:ind w:firstLine="422"/>
        <w:jc w:val="left"/>
        <w:rPr>
          <w:rFonts w:ascii="宋体" w:hAnsi="宋体"/>
          <w:kern w:val="44"/>
        </w:rPr>
      </w:pPr>
      <w:r>
        <w:rPr>
          <w:rFonts w:hint="eastAsia" w:ascii="宋体" w:hAnsi="宋体"/>
          <w:b/>
          <w:kern w:val="44"/>
        </w:rPr>
        <w:t>第十四条</w:t>
      </w:r>
      <w:r>
        <w:rPr>
          <w:rFonts w:hint="eastAsia" w:ascii="宋体" w:hAnsi="宋体"/>
          <w:kern w:val="44"/>
        </w:rPr>
        <w:t>　商业零售经营单位举办促销活动存在事故隐患的，由商务主管部门责令全部或者部分停止促销活动。</w:t>
      </w:r>
    </w:p>
    <w:p w14:paraId="19F46E0D">
      <w:pPr>
        <w:ind w:firstLine="422"/>
        <w:jc w:val="left"/>
        <w:rPr>
          <w:rFonts w:ascii="宋体" w:hAnsi="宋体"/>
          <w:kern w:val="44"/>
        </w:rPr>
      </w:pPr>
      <w:r>
        <w:rPr>
          <w:rFonts w:hint="eastAsia" w:ascii="宋体" w:hAnsi="宋体"/>
          <w:b/>
          <w:kern w:val="44"/>
        </w:rPr>
        <w:t>第十五条</w:t>
      </w:r>
      <w:r>
        <w:rPr>
          <w:rFonts w:hint="eastAsia" w:ascii="宋体" w:hAnsi="宋体"/>
          <w:kern w:val="44"/>
        </w:rPr>
        <w:t>　本规定自2008年6月1日起施行。</w:t>
      </w:r>
    </w:p>
    <w:p w14:paraId="4792BCD4">
      <w:pPr>
        <w:pStyle w:val="4"/>
        <w:pageBreakBefore/>
        <w:rPr>
          <w:kern w:val="44"/>
        </w:rPr>
      </w:pPr>
      <w:bookmarkStart w:id="1296" w:name="_Toc428780179"/>
      <w:bookmarkStart w:id="1297" w:name="_Toc427651955"/>
      <w:bookmarkStart w:id="1298" w:name="_Toc422471340"/>
      <w:bookmarkStart w:id="1299" w:name="_Toc427651613"/>
      <w:bookmarkStart w:id="1300" w:name="_Toc428781661"/>
      <w:r>
        <w:rPr>
          <w:rFonts w:hint="eastAsia"/>
          <w:kern w:val="44"/>
        </w:rPr>
        <w:t>北京市储备粮管理办法</w:t>
      </w:r>
      <w:bookmarkEnd w:id="1296"/>
      <w:bookmarkEnd w:id="1297"/>
      <w:bookmarkEnd w:id="1298"/>
      <w:bookmarkEnd w:id="1299"/>
      <w:bookmarkEnd w:id="1300"/>
    </w:p>
    <w:p w14:paraId="726373ED">
      <w:pPr>
        <w:jc w:val="left"/>
        <w:rPr>
          <w:rFonts w:ascii="楷体" w:hAnsi="楷体" w:eastAsia="楷体" w:cs="楷体"/>
          <w:kern w:val="44"/>
        </w:rPr>
      </w:pPr>
      <w:r>
        <w:rPr>
          <w:rFonts w:hint="eastAsia" w:ascii="楷体" w:hAnsi="楷体" w:eastAsia="楷体" w:cs="楷体"/>
          <w:kern w:val="44"/>
        </w:rPr>
        <w:t>（2010年5月25日北京市人民政府第67次常务会议审议通过　2010年6月13日北京市人民政府第221号令公布）</w:t>
      </w:r>
    </w:p>
    <w:p w14:paraId="7E9C8BF3">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为了加强对市储备粮的管理，保证市储备粮安全，保护农民利益，维护粮食市场稳定，有效发挥市储备粮在政府宏观调控中的作用，根据国家有关规定，结合本市实际情况，制定本办法。</w:t>
      </w:r>
    </w:p>
    <w:p w14:paraId="4AA86BF6">
      <w:pPr>
        <w:ind w:firstLine="422"/>
        <w:jc w:val="left"/>
        <w:rPr>
          <w:rFonts w:ascii="宋体" w:hAnsi="宋体"/>
          <w:kern w:val="44"/>
        </w:rPr>
      </w:pPr>
      <w:r>
        <w:rPr>
          <w:rFonts w:hint="eastAsia" w:ascii="宋体" w:hAnsi="宋体"/>
          <w:b/>
          <w:kern w:val="44"/>
        </w:rPr>
        <w:t>第二条</w:t>
      </w:r>
      <w:r>
        <w:rPr>
          <w:rFonts w:hint="eastAsia" w:ascii="宋体" w:hAnsi="宋体"/>
          <w:kern w:val="44"/>
        </w:rPr>
        <w:t>　从事和参与市储备粮储存、轮换、动用以及相关管理活动的单位和个人，应当遵守本办法。</w:t>
      </w:r>
    </w:p>
    <w:p w14:paraId="0082F060">
      <w:pPr>
        <w:jc w:val="left"/>
        <w:rPr>
          <w:rFonts w:ascii="宋体" w:hAnsi="宋体"/>
          <w:kern w:val="44"/>
        </w:rPr>
      </w:pPr>
      <w:r>
        <w:rPr>
          <w:rFonts w:hint="eastAsia" w:ascii="宋体" w:hAnsi="宋体"/>
          <w:kern w:val="44"/>
        </w:rPr>
        <w:t>本办法所称市储备粮，是指市政府储备的用于调节本市粮食供求总量，稳定粮食市场，以及应对重大自然灾害或者其他突发事件等情况的粮食和食用油（含成品粮油）。</w:t>
      </w:r>
    </w:p>
    <w:p w14:paraId="166FBC7C">
      <w:pPr>
        <w:ind w:firstLine="422"/>
        <w:jc w:val="left"/>
        <w:rPr>
          <w:rFonts w:ascii="宋体" w:hAnsi="宋体"/>
          <w:kern w:val="44"/>
        </w:rPr>
      </w:pPr>
      <w:r>
        <w:rPr>
          <w:rFonts w:hint="eastAsia" w:ascii="宋体" w:hAnsi="宋体"/>
          <w:b/>
          <w:kern w:val="44"/>
        </w:rPr>
        <w:t>第三条</w:t>
      </w:r>
      <w:r>
        <w:rPr>
          <w:rFonts w:hint="eastAsia" w:ascii="宋体" w:hAnsi="宋体"/>
          <w:kern w:val="44"/>
        </w:rPr>
        <w:t>　市储备粮的管理，应当严格制度、严格管理和严格责任，确保市储备粮数量真实、质量良好和储存安全，确保市储备粮储得实、管得好、调得动、用得上。</w:t>
      </w:r>
    </w:p>
    <w:p w14:paraId="66864674">
      <w:pPr>
        <w:jc w:val="left"/>
        <w:rPr>
          <w:rFonts w:ascii="宋体" w:hAnsi="宋体"/>
          <w:kern w:val="44"/>
        </w:rPr>
      </w:pPr>
      <w:r>
        <w:rPr>
          <w:rFonts w:hint="eastAsia" w:ascii="宋体" w:hAnsi="宋体"/>
          <w:kern w:val="44"/>
        </w:rPr>
        <w:t>有关区、县人民政府应当支持本行政区域内的承储企业做好市储备粮的安全管理工作。</w:t>
      </w:r>
    </w:p>
    <w:p w14:paraId="13D2BBF5">
      <w:pPr>
        <w:ind w:firstLine="422"/>
        <w:jc w:val="left"/>
        <w:rPr>
          <w:rFonts w:ascii="宋体" w:hAnsi="宋体"/>
          <w:kern w:val="44"/>
        </w:rPr>
      </w:pPr>
      <w:r>
        <w:rPr>
          <w:rFonts w:hint="eastAsia" w:ascii="宋体" w:hAnsi="宋体"/>
          <w:b/>
          <w:kern w:val="44"/>
        </w:rPr>
        <w:t>第四条</w:t>
      </w:r>
      <w:r>
        <w:rPr>
          <w:rFonts w:hint="eastAsia" w:ascii="宋体" w:hAnsi="宋体"/>
          <w:kern w:val="44"/>
        </w:rPr>
        <w:t>　市粮食行政管理部门负责市储备粮的日常管理工作，负责拟订规模总量、品种结构、储存布局、购销及轮换计划和动用方案并组织实施；参与市储备粮相关财政资金的使用和管理；按照标准向承储企业拨付市储备粮补贴，对市储备粮的数量、质量、储存安全、补贴使用等情况实施监督检查。</w:t>
      </w:r>
    </w:p>
    <w:p w14:paraId="3FEB6EE3">
      <w:pPr>
        <w:ind w:firstLine="422"/>
        <w:jc w:val="left"/>
        <w:rPr>
          <w:rFonts w:ascii="宋体" w:hAnsi="宋体"/>
          <w:kern w:val="44"/>
        </w:rPr>
      </w:pPr>
      <w:r>
        <w:rPr>
          <w:rFonts w:hint="eastAsia" w:ascii="宋体" w:hAnsi="宋体"/>
          <w:b/>
          <w:kern w:val="44"/>
        </w:rPr>
        <w:t>第五条</w:t>
      </w:r>
      <w:r>
        <w:rPr>
          <w:rFonts w:hint="eastAsia" w:ascii="宋体" w:hAnsi="宋体"/>
          <w:kern w:val="44"/>
        </w:rPr>
        <w:t>　市财政部门按照市储备粮总规模，负责将市储备粮所需补贴纳入地方财政预算；及时、足额向市粮食行政管理部门拨付市储备粮补贴；对市储备粮的有关财政资金拨付和使用情况实施监督检查。补贴的标准应当根据实际费用水平确定，并适时进行调整。</w:t>
      </w:r>
    </w:p>
    <w:p w14:paraId="789684BA">
      <w:pPr>
        <w:jc w:val="left"/>
        <w:rPr>
          <w:rFonts w:ascii="宋体" w:hAnsi="宋体"/>
          <w:kern w:val="44"/>
        </w:rPr>
      </w:pPr>
      <w:r>
        <w:rPr>
          <w:rFonts w:hint="eastAsia" w:ascii="宋体" w:hAnsi="宋体"/>
          <w:kern w:val="44"/>
        </w:rPr>
        <w:t>市储备粮所需贷款由中国农业发展银行北京市分行负责安排。</w:t>
      </w:r>
    </w:p>
    <w:p w14:paraId="40F65132">
      <w:pPr>
        <w:ind w:firstLine="422"/>
        <w:jc w:val="left"/>
        <w:rPr>
          <w:rFonts w:ascii="宋体" w:hAnsi="宋体"/>
          <w:kern w:val="44"/>
        </w:rPr>
      </w:pPr>
      <w:r>
        <w:rPr>
          <w:rFonts w:hint="eastAsia" w:ascii="宋体" w:hAnsi="宋体"/>
          <w:b/>
          <w:kern w:val="44"/>
        </w:rPr>
        <w:t>第六条</w:t>
      </w:r>
      <w:r>
        <w:rPr>
          <w:rFonts w:hint="eastAsia" w:ascii="宋体" w:hAnsi="宋体"/>
          <w:kern w:val="44"/>
        </w:rPr>
        <w:t>　市储备粮的储存，应当遵循布局合理、规模存放、结构优化、安全规范的原则。市粮食行政管理部门应当选择符合条件的企业承储市储备粮。具体办法由市粮食行政管理部门制定。</w:t>
      </w:r>
    </w:p>
    <w:p w14:paraId="7FC4E554">
      <w:pPr>
        <w:jc w:val="left"/>
        <w:rPr>
          <w:rFonts w:ascii="宋体" w:hAnsi="宋体"/>
          <w:kern w:val="44"/>
        </w:rPr>
      </w:pPr>
      <w:r>
        <w:rPr>
          <w:rFonts w:hint="eastAsia" w:ascii="宋体" w:hAnsi="宋体"/>
          <w:kern w:val="44"/>
        </w:rPr>
        <w:t>经市粮食行政管理部门同意，承储企业可以在外埠储存市储备粮。</w:t>
      </w:r>
    </w:p>
    <w:p w14:paraId="2F3458EC">
      <w:pPr>
        <w:ind w:firstLine="422"/>
        <w:jc w:val="left"/>
        <w:rPr>
          <w:rFonts w:ascii="宋体" w:hAnsi="宋体"/>
          <w:kern w:val="44"/>
        </w:rPr>
      </w:pPr>
      <w:r>
        <w:rPr>
          <w:rFonts w:hint="eastAsia" w:ascii="宋体" w:hAnsi="宋体"/>
          <w:b/>
          <w:kern w:val="44"/>
        </w:rPr>
        <w:t>第七条</w:t>
      </w:r>
      <w:r>
        <w:rPr>
          <w:rFonts w:hint="eastAsia" w:ascii="宋体" w:hAnsi="宋体"/>
          <w:kern w:val="44"/>
        </w:rPr>
        <w:t>　市粮食行政管理部门应当与承储企业签订合同，明确承储企业的储存责任、储存要求以及违约责任等事项。</w:t>
      </w:r>
    </w:p>
    <w:p w14:paraId="65529A11">
      <w:pPr>
        <w:ind w:firstLine="422"/>
        <w:jc w:val="left"/>
        <w:rPr>
          <w:rFonts w:ascii="宋体" w:hAnsi="宋体"/>
          <w:kern w:val="44"/>
        </w:rPr>
      </w:pPr>
      <w:r>
        <w:rPr>
          <w:rFonts w:hint="eastAsia" w:ascii="宋体" w:hAnsi="宋体"/>
          <w:b/>
          <w:kern w:val="44"/>
        </w:rPr>
        <w:t>第八条</w:t>
      </w:r>
      <w:r>
        <w:rPr>
          <w:rFonts w:hint="eastAsia" w:ascii="宋体" w:hAnsi="宋体"/>
          <w:kern w:val="44"/>
        </w:rPr>
        <w:t>　承储企业应当遵守下列规定：</w:t>
      </w:r>
    </w:p>
    <w:p w14:paraId="22115F59">
      <w:pPr>
        <w:jc w:val="left"/>
        <w:rPr>
          <w:rFonts w:ascii="宋体" w:hAnsi="宋体"/>
          <w:kern w:val="44"/>
        </w:rPr>
      </w:pPr>
      <w:r>
        <w:rPr>
          <w:rFonts w:hint="eastAsia" w:ascii="宋体" w:hAnsi="宋体"/>
          <w:kern w:val="44"/>
        </w:rPr>
        <w:t>（一）执行有关储备粮的法规、规章、标准和技术规范以及本市储备粮管理的相关制度；</w:t>
      </w:r>
    </w:p>
    <w:p w14:paraId="11677D17">
      <w:pPr>
        <w:jc w:val="left"/>
        <w:rPr>
          <w:rFonts w:ascii="宋体" w:hAnsi="宋体"/>
          <w:kern w:val="44"/>
        </w:rPr>
      </w:pPr>
      <w:r>
        <w:rPr>
          <w:rFonts w:hint="eastAsia" w:ascii="宋体" w:hAnsi="宋体"/>
          <w:kern w:val="44"/>
        </w:rPr>
        <w:t>（二）对市储备粮实行分品种、分年限、分地点、分货位储存和管理。未经市粮食行政管理部门同意，不得擅自变更市储备粮储存地点或者货位；</w:t>
      </w:r>
    </w:p>
    <w:p w14:paraId="2B20C8E8">
      <w:pPr>
        <w:jc w:val="left"/>
        <w:rPr>
          <w:rFonts w:ascii="宋体" w:hAnsi="宋体"/>
          <w:kern w:val="44"/>
        </w:rPr>
      </w:pPr>
      <w:r>
        <w:rPr>
          <w:rFonts w:hint="eastAsia" w:ascii="宋体" w:hAnsi="宋体"/>
          <w:kern w:val="44"/>
        </w:rPr>
        <w:t>（三）确保承储的市储备粮库存账实相符、储存安全、管理规范；</w:t>
      </w:r>
    </w:p>
    <w:p w14:paraId="420797DE">
      <w:pPr>
        <w:jc w:val="left"/>
        <w:rPr>
          <w:rFonts w:ascii="宋体" w:hAnsi="宋体"/>
          <w:kern w:val="44"/>
        </w:rPr>
      </w:pPr>
      <w:r>
        <w:rPr>
          <w:rFonts w:hint="eastAsia" w:ascii="宋体" w:hAnsi="宋体"/>
          <w:kern w:val="44"/>
        </w:rPr>
        <w:t>（四）执行市粮食行政管理部门的出入库要求；</w:t>
      </w:r>
    </w:p>
    <w:p w14:paraId="7E51ABD9">
      <w:pPr>
        <w:jc w:val="left"/>
        <w:rPr>
          <w:rFonts w:ascii="宋体" w:hAnsi="宋体"/>
          <w:kern w:val="44"/>
        </w:rPr>
      </w:pPr>
      <w:r>
        <w:rPr>
          <w:rFonts w:hint="eastAsia" w:ascii="宋体" w:hAnsi="宋体"/>
          <w:kern w:val="44"/>
        </w:rPr>
        <w:t>（五）建立健全市储备粮的安全生产、防火、防盗、防汛等管理制度，并配备必要的安全防护设施。</w:t>
      </w:r>
    </w:p>
    <w:p w14:paraId="5A3A10A0">
      <w:pPr>
        <w:jc w:val="left"/>
        <w:rPr>
          <w:rFonts w:ascii="宋体" w:hAnsi="宋体"/>
          <w:kern w:val="44"/>
        </w:rPr>
      </w:pPr>
      <w:r>
        <w:rPr>
          <w:rFonts w:hint="eastAsia" w:ascii="宋体" w:hAnsi="宋体"/>
          <w:kern w:val="44"/>
        </w:rPr>
        <w:t>承储企业违反前款规定情节严重的，市粮食行政管理部门有权解除承储合同。</w:t>
      </w:r>
    </w:p>
    <w:p w14:paraId="0E5893F0">
      <w:pPr>
        <w:ind w:firstLine="422"/>
        <w:jc w:val="left"/>
        <w:rPr>
          <w:rFonts w:ascii="宋体" w:hAnsi="宋体"/>
          <w:kern w:val="44"/>
        </w:rPr>
      </w:pPr>
      <w:r>
        <w:rPr>
          <w:rFonts w:hint="eastAsia" w:ascii="宋体" w:hAnsi="宋体"/>
          <w:b/>
          <w:kern w:val="44"/>
        </w:rPr>
        <w:t>第九条</w:t>
      </w:r>
      <w:r>
        <w:rPr>
          <w:rFonts w:hint="eastAsia" w:ascii="宋体" w:hAnsi="宋体"/>
          <w:kern w:val="44"/>
        </w:rPr>
        <w:t>　本市建立市储备粮损失、损耗处理制度，及时处理所发生的损失、损耗。具体办法由市财政部门会同市粮食行政管理部门制定。</w:t>
      </w:r>
    </w:p>
    <w:p w14:paraId="00B95DBB">
      <w:pPr>
        <w:ind w:firstLine="422"/>
        <w:jc w:val="left"/>
        <w:rPr>
          <w:rFonts w:ascii="宋体" w:hAnsi="宋体"/>
          <w:kern w:val="44"/>
        </w:rPr>
      </w:pPr>
      <w:r>
        <w:rPr>
          <w:rFonts w:hint="eastAsia" w:ascii="宋体" w:hAnsi="宋体"/>
          <w:b/>
          <w:kern w:val="44"/>
        </w:rPr>
        <w:t>第十条</w:t>
      </w:r>
      <w:r>
        <w:rPr>
          <w:rFonts w:hint="eastAsia" w:ascii="宋体" w:hAnsi="宋体"/>
          <w:kern w:val="44"/>
        </w:rPr>
        <w:t>　本市加强市储备粮基础设施建设。政府投资建设的粮油仓库、质量检验设施和设备等市储备粮相关设施，任何单位和个人不得擅自变更使用权和使用性质；确需变更的，按照本市有关规定执行。</w:t>
      </w:r>
    </w:p>
    <w:p w14:paraId="17CBA8F1">
      <w:pPr>
        <w:ind w:firstLine="422"/>
        <w:jc w:val="left"/>
        <w:rPr>
          <w:rFonts w:ascii="宋体" w:hAnsi="宋体"/>
          <w:kern w:val="44"/>
        </w:rPr>
      </w:pPr>
      <w:r>
        <w:rPr>
          <w:rFonts w:hint="eastAsia" w:ascii="宋体" w:hAnsi="宋体"/>
          <w:b/>
          <w:kern w:val="44"/>
        </w:rPr>
        <w:t>第十一条</w:t>
      </w:r>
      <w:r>
        <w:rPr>
          <w:rFonts w:hint="eastAsia" w:ascii="宋体" w:hAnsi="宋体"/>
          <w:kern w:val="44"/>
        </w:rPr>
        <w:t>　市粮食行政管理部门负责会同有关部门制定市储备粮年度轮换计划，按照市储备粮实际库存数量的20％至30％的比例安排分批轮换。轮换期间，市储备粮的实际库存数量不得低于总规模的80％。</w:t>
      </w:r>
    </w:p>
    <w:p w14:paraId="69BA9D00">
      <w:pPr>
        <w:ind w:firstLine="422"/>
        <w:jc w:val="left"/>
        <w:rPr>
          <w:rFonts w:ascii="宋体" w:hAnsi="宋体"/>
          <w:kern w:val="44"/>
        </w:rPr>
      </w:pPr>
      <w:r>
        <w:rPr>
          <w:rFonts w:hint="eastAsia" w:ascii="宋体" w:hAnsi="宋体"/>
          <w:b/>
          <w:kern w:val="44"/>
        </w:rPr>
        <w:t>第十二条</w:t>
      </w:r>
      <w:r>
        <w:rPr>
          <w:rFonts w:hint="eastAsia" w:ascii="宋体" w:hAnsi="宋体"/>
          <w:kern w:val="44"/>
        </w:rPr>
        <w:t>　市储备粮的轮换，应当按照入库的时间实行先进先出或者根据粮食的质量状况进行。</w:t>
      </w:r>
    </w:p>
    <w:p w14:paraId="1FB03C4D">
      <w:pPr>
        <w:ind w:firstLine="422"/>
        <w:jc w:val="left"/>
        <w:rPr>
          <w:rFonts w:ascii="宋体" w:hAnsi="宋体"/>
          <w:kern w:val="44"/>
        </w:rPr>
      </w:pPr>
      <w:r>
        <w:rPr>
          <w:rFonts w:hint="eastAsia" w:ascii="宋体" w:hAnsi="宋体"/>
          <w:b/>
          <w:kern w:val="44"/>
        </w:rPr>
        <w:t>第十三条</w:t>
      </w:r>
      <w:r>
        <w:rPr>
          <w:rFonts w:hint="eastAsia" w:ascii="宋体" w:hAnsi="宋体"/>
          <w:kern w:val="44"/>
        </w:rPr>
        <w:t>　市储备粮的轮换采购，可以通过竞价交易、国内（外）定向采购或者市政府批准的其他方式进行。</w:t>
      </w:r>
    </w:p>
    <w:p w14:paraId="2C02C48A">
      <w:pPr>
        <w:jc w:val="left"/>
        <w:rPr>
          <w:rFonts w:ascii="宋体" w:hAnsi="宋体"/>
          <w:kern w:val="44"/>
        </w:rPr>
      </w:pPr>
      <w:r>
        <w:rPr>
          <w:rFonts w:hint="eastAsia" w:ascii="宋体" w:hAnsi="宋体"/>
          <w:kern w:val="44"/>
        </w:rPr>
        <w:t>市储备粮的轮换销售，可以通过竞价交易、国内定向销售或者市政府批准的其他方式进行。</w:t>
      </w:r>
    </w:p>
    <w:p w14:paraId="3DB40840">
      <w:pPr>
        <w:ind w:firstLine="422"/>
        <w:jc w:val="left"/>
        <w:rPr>
          <w:rFonts w:ascii="宋体" w:hAnsi="宋体"/>
          <w:kern w:val="44"/>
        </w:rPr>
      </w:pPr>
      <w:r>
        <w:rPr>
          <w:rFonts w:hint="eastAsia" w:ascii="宋体" w:hAnsi="宋体"/>
          <w:b/>
          <w:kern w:val="44"/>
        </w:rPr>
        <w:t>第十四条</w:t>
      </w:r>
      <w:r>
        <w:rPr>
          <w:rFonts w:hint="eastAsia" w:ascii="宋体" w:hAnsi="宋体"/>
          <w:kern w:val="44"/>
        </w:rPr>
        <w:t>　市粮食行政管理部门应当建立粮油市场信息监测预警机制，制定动用市储备粮的工作流程，适时提出动用市储备粮的建议。</w:t>
      </w:r>
    </w:p>
    <w:p w14:paraId="291EE09C">
      <w:pPr>
        <w:ind w:firstLine="422"/>
        <w:jc w:val="left"/>
        <w:rPr>
          <w:rFonts w:ascii="宋体" w:hAnsi="宋体"/>
          <w:kern w:val="44"/>
        </w:rPr>
      </w:pPr>
      <w:r>
        <w:rPr>
          <w:rFonts w:hint="eastAsia" w:ascii="宋体" w:hAnsi="宋体"/>
          <w:b/>
          <w:kern w:val="44"/>
        </w:rPr>
        <w:t>第十五条</w:t>
      </w:r>
      <w:r>
        <w:rPr>
          <w:rFonts w:hint="eastAsia" w:ascii="宋体" w:hAnsi="宋体"/>
          <w:kern w:val="44"/>
        </w:rPr>
        <w:t>　出现下列情形之一的，可以动用市储备粮：</w:t>
      </w:r>
    </w:p>
    <w:p w14:paraId="27021FE9">
      <w:pPr>
        <w:jc w:val="left"/>
        <w:rPr>
          <w:rFonts w:ascii="宋体" w:hAnsi="宋体"/>
          <w:kern w:val="44"/>
        </w:rPr>
      </w:pPr>
      <w:r>
        <w:rPr>
          <w:rFonts w:hint="eastAsia" w:ascii="宋体" w:hAnsi="宋体"/>
          <w:kern w:val="44"/>
        </w:rPr>
        <w:t>（一）全市或者部分地区粮食明显供不应求或者市场价格异常波动；</w:t>
      </w:r>
    </w:p>
    <w:p w14:paraId="698717B8">
      <w:pPr>
        <w:jc w:val="left"/>
        <w:rPr>
          <w:rFonts w:ascii="宋体" w:hAnsi="宋体"/>
          <w:kern w:val="44"/>
        </w:rPr>
      </w:pPr>
      <w:r>
        <w:rPr>
          <w:rFonts w:hint="eastAsia" w:ascii="宋体" w:hAnsi="宋体"/>
          <w:kern w:val="44"/>
        </w:rPr>
        <w:t>（二）发生重大自然灾害或者其他突发事件需要动用市储备粮；</w:t>
      </w:r>
    </w:p>
    <w:p w14:paraId="44A2385D">
      <w:pPr>
        <w:jc w:val="left"/>
        <w:rPr>
          <w:rFonts w:ascii="宋体" w:hAnsi="宋体"/>
          <w:kern w:val="44"/>
        </w:rPr>
      </w:pPr>
      <w:r>
        <w:rPr>
          <w:rFonts w:hint="eastAsia" w:ascii="宋体" w:hAnsi="宋体"/>
          <w:kern w:val="44"/>
        </w:rPr>
        <w:t>（三）其他需要动用市储备粮的情形。</w:t>
      </w:r>
    </w:p>
    <w:p w14:paraId="5EAC469F">
      <w:pPr>
        <w:ind w:firstLine="422"/>
        <w:jc w:val="left"/>
        <w:rPr>
          <w:rFonts w:ascii="宋体" w:hAnsi="宋体"/>
          <w:kern w:val="44"/>
        </w:rPr>
      </w:pPr>
      <w:r>
        <w:rPr>
          <w:rFonts w:hint="eastAsia" w:ascii="宋体" w:hAnsi="宋体"/>
          <w:b/>
          <w:kern w:val="44"/>
        </w:rPr>
        <w:t>第十六条</w:t>
      </w:r>
      <w:r>
        <w:rPr>
          <w:rFonts w:hint="eastAsia" w:ascii="宋体" w:hAnsi="宋体"/>
          <w:kern w:val="44"/>
        </w:rPr>
        <w:t>　动用市储备粮，由市粮食行政管理部门提出动用方案，报市政府批准。动用方案应当包括动用市储备粮的品种、数量、价格、使用安排、运输保障等内容。</w:t>
      </w:r>
    </w:p>
    <w:p w14:paraId="79AFF822">
      <w:pPr>
        <w:jc w:val="left"/>
        <w:rPr>
          <w:rFonts w:ascii="宋体" w:hAnsi="宋体"/>
          <w:kern w:val="44"/>
        </w:rPr>
      </w:pPr>
      <w:r>
        <w:rPr>
          <w:rFonts w:hint="eastAsia" w:ascii="宋体" w:hAnsi="宋体"/>
          <w:kern w:val="44"/>
        </w:rPr>
        <w:t>未经市政府批准，任何单位和个人不得擅自动用市储备粮。</w:t>
      </w:r>
    </w:p>
    <w:p w14:paraId="1F788038">
      <w:pPr>
        <w:ind w:firstLine="422"/>
        <w:jc w:val="left"/>
        <w:rPr>
          <w:rFonts w:ascii="宋体" w:hAnsi="宋体"/>
          <w:kern w:val="44"/>
        </w:rPr>
      </w:pPr>
      <w:r>
        <w:rPr>
          <w:rFonts w:hint="eastAsia" w:ascii="宋体" w:hAnsi="宋体"/>
          <w:b/>
          <w:kern w:val="44"/>
        </w:rPr>
        <w:t>第十七条</w:t>
      </w:r>
      <w:r>
        <w:rPr>
          <w:rFonts w:hint="eastAsia" w:ascii="宋体" w:hAnsi="宋体"/>
          <w:kern w:val="44"/>
        </w:rPr>
        <w:t>　市粮食行政管理部门依法对承储企业进行监督检查，可以行使下列职权：</w:t>
      </w:r>
    </w:p>
    <w:p w14:paraId="117797B4">
      <w:pPr>
        <w:jc w:val="left"/>
        <w:rPr>
          <w:rFonts w:ascii="宋体" w:hAnsi="宋体"/>
          <w:kern w:val="44"/>
        </w:rPr>
      </w:pPr>
      <w:r>
        <w:rPr>
          <w:rFonts w:hint="eastAsia" w:ascii="宋体" w:hAnsi="宋体"/>
          <w:kern w:val="44"/>
        </w:rPr>
        <w:t>（一）进入承储企业或者储粮地点检查市储备粮的数量、质量和储存情况；</w:t>
      </w:r>
    </w:p>
    <w:p w14:paraId="10ABD0BB">
      <w:pPr>
        <w:jc w:val="left"/>
        <w:rPr>
          <w:rFonts w:ascii="宋体" w:hAnsi="宋体"/>
          <w:kern w:val="44"/>
        </w:rPr>
      </w:pPr>
      <w:r>
        <w:rPr>
          <w:rFonts w:hint="eastAsia" w:ascii="宋体" w:hAnsi="宋体"/>
          <w:kern w:val="44"/>
        </w:rPr>
        <w:t>（二）向有关单位和人员了解市储备粮采购、销售、轮换计划及动用命令的执行情况；</w:t>
      </w:r>
    </w:p>
    <w:p w14:paraId="689E0136">
      <w:pPr>
        <w:jc w:val="left"/>
        <w:rPr>
          <w:rFonts w:ascii="宋体" w:hAnsi="宋体"/>
          <w:kern w:val="44"/>
        </w:rPr>
      </w:pPr>
      <w:r>
        <w:rPr>
          <w:rFonts w:hint="eastAsia" w:ascii="宋体" w:hAnsi="宋体"/>
          <w:kern w:val="44"/>
        </w:rPr>
        <w:t>（三）调阅市储备粮的有关资料、凭证；</w:t>
      </w:r>
    </w:p>
    <w:p w14:paraId="2A7FA7CF">
      <w:pPr>
        <w:jc w:val="left"/>
        <w:rPr>
          <w:rFonts w:ascii="宋体" w:hAnsi="宋体"/>
          <w:kern w:val="44"/>
        </w:rPr>
      </w:pPr>
      <w:r>
        <w:rPr>
          <w:rFonts w:hint="eastAsia" w:ascii="宋体" w:hAnsi="宋体"/>
          <w:kern w:val="44"/>
        </w:rPr>
        <w:t>（四）对发现市储备粮存在的数量、质量、储存安全等方面的问题，责令承储企业限期改正。</w:t>
      </w:r>
    </w:p>
    <w:p w14:paraId="798AA851">
      <w:pPr>
        <w:ind w:firstLine="422"/>
        <w:jc w:val="left"/>
        <w:rPr>
          <w:rFonts w:ascii="宋体" w:hAnsi="宋体"/>
          <w:kern w:val="44"/>
        </w:rPr>
      </w:pPr>
      <w:r>
        <w:rPr>
          <w:rFonts w:hint="eastAsia" w:ascii="宋体" w:hAnsi="宋体"/>
          <w:b/>
          <w:kern w:val="44"/>
        </w:rPr>
        <w:t>第十八条</w:t>
      </w:r>
      <w:r>
        <w:rPr>
          <w:rFonts w:hint="eastAsia" w:ascii="宋体" w:hAnsi="宋体"/>
          <w:kern w:val="44"/>
        </w:rPr>
        <w:t>　市粮食行政管理部门监督检查人员应当将监督检查情况做出书面记录，并由监督检查人员和被检查单位的负责人签字。被检查单位的负责人拒绝签字的，监督检查人员应当记录有关情况。</w:t>
      </w:r>
    </w:p>
    <w:p w14:paraId="61CE658D">
      <w:pPr>
        <w:ind w:firstLine="422"/>
        <w:jc w:val="left"/>
        <w:rPr>
          <w:rFonts w:ascii="宋体" w:hAnsi="宋体"/>
          <w:kern w:val="44"/>
        </w:rPr>
      </w:pPr>
      <w:r>
        <w:rPr>
          <w:rFonts w:hint="eastAsia" w:ascii="宋体" w:hAnsi="宋体"/>
          <w:b/>
          <w:kern w:val="44"/>
        </w:rPr>
        <w:t>第十九条</w:t>
      </w:r>
      <w:r>
        <w:rPr>
          <w:rFonts w:hint="eastAsia" w:ascii="宋体" w:hAnsi="宋体"/>
          <w:kern w:val="44"/>
        </w:rPr>
        <w:t>　承储企业对市粮食行政管理部门的监督检查人员依法履行职责应当予以配合，如实反映情况，提供必要的资料，不得拒绝、阻挠或者干涉。</w:t>
      </w:r>
    </w:p>
    <w:p w14:paraId="54C846A7">
      <w:pPr>
        <w:ind w:firstLine="422"/>
        <w:jc w:val="left"/>
        <w:rPr>
          <w:rFonts w:ascii="宋体" w:hAnsi="宋体"/>
          <w:kern w:val="44"/>
        </w:rPr>
      </w:pPr>
      <w:r>
        <w:rPr>
          <w:rFonts w:hint="eastAsia" w:ascii="宋体" w:hAnsi="宋体"/>
          <w:b/>
          <w:kern w:val="44"/>
        </w:rPr>
        <w:t>第二十条</w:t>
      </w:r>
      <w:r>
        <w:rPr>
          <w:rFonts w:hint="eastAsia" w:ascii="宋体" w:hAnsi="宋体"/>
          <w:kern w:val="44"/>
        </w:rPr>
        <w:t>　违反本办法第八条第一款第四项规定，不执行市粮食行政管理部门出入库要求的，由市粮食行政管理部门处3万元以下罚款。</w:t>
      </w:r>
    </w:p>
    <w:p w14:paraId="4FAEFC30">
      <w:pPr>
        <w:ind w:firstLine="422"/>
        <w:jc w:val="left"/>
        <w:rPr>
          <w:rFonts w:ascii="宋体" w:hAnsi="宋体"/>
          <w:kern w:val="44"/>
        </w:rPr>
      </w:pPr>
      <w:r>
        <w:rPr>
          <w:rFonts w:hint="eastAsia" w:ascii="宋体" w:hAnsi="宋体"/>
          <w:b/>
          <w:kern w:val="44"/>
        </w:rPr>
        <w:t>第二十一条</w:t>
      </w:r>
      <w:r>
        <w:rPr>
          <w:rFonts w:hint="eastAsia" w:ascii="宋体" w:hAnsi="宋体"/>
          <w:kern w:val="44"/>
        </w:rPr>
        <w:t>　违反本办法第十六条第二款规定，擅自动用市储备粮的，由市粮食行政管理部门责令限期改正，并可以处10万元以下罚款；造成损失的，由市粮食行政管理部门责令赔偿；构成犯罪的，依法追究刑事责任。</w:t>
      </w:r>
    </w:p>
    <w:p w14:paraId="5CBEBBC4">
      <w:pPr>
        <w:ind w:firstLine="422"/>
        <w:jc w:val="left"/>
        <w:rPr>
          <w:rFonts w:ascii="宋体" w:hAnsi="宋体"/>
          <w:kern w:val="44"/>
        </w:rPr>
      </w:pPr>
      <w:r>
        <w:rPr>
          <w:rFonts w:hint="eastAsia" w:ascii="宋体" w:hAnsi="宋体"/>
          <w:b/>
          <w:kern w:val="44"/>
        </w:rPr>
        <w:t>第二十二条</w:t>
      </w:r>
      <w:r>
        <w:rPr>
          <w:rFonts w:hint="eastAsia" w:ascii="宋体" w:hAnsi="宋体"/>
          <w:kern w:val="44"/>
        </w:rPr>
        <w:t>　违反本办法第十九条规定，承储企业拒绝、阻挠或者干涉监督检查人员依法履行监督检查职责的，由市粮食行政管理部门处3万元以下罚款。</w:t>
      </w:r>
    </w:p>
    <w:p w14:paraId="17B59824">
      <w:pPr>
        <w:ind w:firstLine="422"/>
        <w:jc w:val="left"/>
        <w:rPr>
          <w:rFonts w:ascii="宋体" w:hAnsi="宋体"/>
          <w:kern w:val="44"/>
        </w:rPr>
      </w:pPr>
      <w:r>
        <w:rPr>
          <w:rFonts w:hint="eastAsia" w:ascii="宋体" w:hAnsi="宋体"/>
          <w:b/>
          <w:kern w:val="44"/>
        </w:rPr>
        <w:t>第二十三条</w:t>
      </w:r>
      <w:r>
        <w:rPr>
          <w:rFonts w:hint="eastAsia" w:ascii="宋体" w:hAnsi="宋体"/>
          <w:kern w:val="44"/>
        </w:rPr>
        <w:t>　在市储备粮管理工作中，市粮食行政管理部门及其他行政机关工作人员滥用职权、玩忽职守、徇私舞弊的，由其所在单位给予行政处分；构成犯罪的，依法追究刑事责任。</w:t>
      </w:r>
    </w:p>
    <w:p w14:paraId="787E3315">
      <w:pPr>
        <w:ind w:firstLine="422"/>
        <w:jc w:val="left"/>
        <w:rPr>
          <w:rFonts w:ascii="宋体" w:hAnsi="宋体"/>
          <w:kern w:val="44"/>
        </w:rPr>
      </w:pPr>
      <w:r>
        <w:rPr>
          <w:rFonts w:hint="eastAsia" w:ascii="宋体" w:hAnsi="宋体"/>
          <w:b/>
          <w:kern w:val="44"/>
        </w:rPr>
        <w:t>第二十四条</w:t>
      </w:r>
      <w:r>
        <w:rPr>
          <w:rFonts w:hint="eastAsia" w:ascii="宋体" w:hAnsi="宋体"/>
          <w:kern w:val="44"/>
        </w:rPr>
        <w:t>　设立储备粮的区、县人民政府，可以参照本办法管理本区、县的储备粮。</w:t>
      </w:r>
    </w:p>
    <w:p w14:paraId="34551A86">
      <w:pPr>
        <w:ind w:firstLine="422"/>
        <w:jc w:val="left"/>
        <w:rPr>
          <w:rFonts w:ascii="宋体" w:hAnsi="宋体"/>
          <w:kern w:val="44"/>
        </w:rPr>
      </w:pPr>
      <w:r>
        <w:rPr>
          <w:rFonts w:hint="eastAsia" w:ascii="宋体" w:hAnsi="宋体"/>
          <w:b/>
          <w:kern w:val="44"/>
        </w:rPr>
        <w:t>第二十五条</w:t>
      </w:r>
      <w:r>
        <w:rPr>
          <w:rFonts w:hint="eastAsia" w:ascii="宋体" w:hAnsi="宋体"/>
          <w:kern w:val="44"/>
        </w:rPr>
        <w:t>　本办法自2010年8月1日起施行。2002年6月20日北京市人民政府第98号令发布的《北京市储备粮管理办法》同时废止。</w:t>
      </w:r>
    </w:p>
    <w:p w14:paraId="736E0173">
      <w:pPr>
        <w:pStyle w:val="4"/>
        <w:pageBreakBefore/>
        <w:rPr>
          <w:kern w:val="44"/>
        </w:rPr>
      </w:pPr>
      <w:bookmarkStart w:id="1301" w:name="_Toc422471341"/>
      <w:bookmarkStart w:id="1302" w:name="_Toc428781662"/>
      <w:bookmarkStart w:id="1303" w:name="_Toc427651614"/>
      <w:bookmarkStart w:id="1304" w:name="_Toc428780180"/>
      <w:bookmarkStart w:id="1305" w:name="_Toc427651956"/>
      <w:r>
        <w:rPr>
          <w:rFonts w:hint="eastAsia"/>
          <w:kern w:val="44"/>
        </w:rPr>
        <w:t>北京市蔬菜零售网点建设</w:t>
      </w:r>
      <w:bookmarkEnd w:id="1301"/>
      <w:bookmarkStart w:id="1306" w:name="_Toc422471342"/>
      <w:r>
        <w:rPr>
          <w:rFonts w:hint="eastAsia"/>
          <w:kern w:val="44"/>
        </w:rPr>
        <w:t>管理办法</w:t>
      </w:r>
      <w:bookmarkEnd w:id="1302"/>
      <w:bookmarkEnd w:id="1303"/>
      <w:bookmarkEnd w:id="1304"/>
      <w:bookmarkEnd w:id="1305"/>
      <w:bookmarkEnd w:id="1306"/>
    </w:p>
    <w:p w14:paraId="7EB7E88A">
      <w:pPr>
        <w:ind w:left="630" w:leftChars="300" w:right="630" w:rightChars="300"/>
        <w:jc w:val="left"/>
        <w:rPr>
          <w:rFonts w:ascii="楷体" w:hAnsi="楷体" w:eastAsia="楷体"/>
          <w:kern w:val="44"/>
        </w:rPr>
      </w:pPr>
      <w:r>
        <w:rPr>
          <w:rFonts w:hint="eastAsia" w:ascii="楷体" w:hAnsi="楷体" w:eastAsia="楷体"/>
          <w:kern w:val="44"/>
        </w:rPr>
        <w:t>（2013年9月24日北京市人民政府第19次常务会议审议通过  2013年10月8日北京市人民政府令第249号公布）</w:t>
      </w:r>
    </w:p>
    <w:p w14:paraId="0D8BD666">
      <w:pPr>
        <w:jc w:val="left"/>
        <w:rPr>
          <w:rFonts w:ascii="宋体" w:hAnsi="宋体"/>
          <w:kern w:val="44"/>
        </w:rPr>
      </w:pPr>
    </w:p>
    <w:p w14:paraId="54CC63A1">
      <w:pPr>
        <w:ind w:firstLine="422"/>
        <w:jc w:val="left"/>
        <w:rPr>
          <w:rFonts w:ascii="宋体" w:hAnsi="宋体"/>
          <w:kern w:val="44"/>
        </w:rPr>
      </w:pPr>
      <w:r>
        <w:rPr>
          <w:rFonts w:hint="eastAsia" w:ascii="宋体" w:hAnsi="宋体"/>
          <w:b/>
          <w:kern w:val="44"/>
        </w:rPr>
        <w:t>第一条</w:t>
      </w:r>
      <w:r>
        <w:rPr>
          <w:rFonts w:hint="eastAsia" w:ascii="宋体" w:hAnsi="宋体"/>
          <w:kern w:val="44"/>
        </w:rPr>
        <w:t>　为了进一步加强本市“菜篮子”工程建设，方便市民生活，根据有关法律、法规和国家有关规定，结合本市实际情况，制定本办法。</w:t>
      </w:r>
    </w:p>
    <w:p w14:paraId="272E8F79">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本办法适用于本市行政区域内城镇地区蔬菜零售网点的规划、建设及其相关管理活动。其他地区蔬菜零售网点的规划、建设及其相关管理活动，参照本办法执行。</w:t>
      </w:r>
    </w:p>
    <w:p w14:paraId="6BC0CE4C">
      <w:pPr>
        <w:jc w:val="left"/>
        <w:rPr>
          <w:rFonts w:ascii="宋体" w:hAnsi="宋体"/>
          <w:kern w:val="44"/>
        </w:rPr>
      </w:pPr>
      <w:r>
        <w:rPr>
          <w:rFonts w:hint="eastAsia" w:ascii="宋体" w:hAnsi="宋体"/>
          <w:kern w:val="44"/>
        </w:rPr>
        <w:t>本办法所称蔬菜零售网点，是指以摊位、专间等零售形式销售蔬菜、水果、肉禽蛋等农副产品的经营场所，包括社区菜市场、社区菜店、农贸市场、超市等。</w:t>
      </w:r>
    </w:p>
    <w:p w14:paraId="74CBBEE1">
      <w:pPr>
        <w:ind w:firstLine="422"/>
        <w:jc w:val="left"/>
        <w:rPr>
          <w:rFonts w:ascii="宋体" w:hAnsi="宋体"/>
          <w:kern w:val="44"/>
        </w:rPr>
      </w:pPr>
      <w:r>
        <w:rPr>
          <w:rFonts w:hint="eastAsia" w:ascii="宋体" w:hAnsi="宋体"/>
          <w:b/>
          <w:kern w:val="44"/>
        </w:rPr>
        <w:t>第三条</w:t>
      </w:r>
      <w:r>
        <w:rPr>
          <w:rFonts w:hint="eastAsia" w:ascii="宋体" w:hAnsi="宋体"/>
          <w:kern w:val="44"/>
        </w:rPr>
        <w:t>　市人民政府统筹蔬菜零售网点规划和建设，监督、指导区、县人民政府组织实施蔬菜零售网点的规划、建设及其相关管理，并对区、县人民政府的任务落实情况进行考核；区、县人民政府具体负责本行政区域内蔬菜零售网点规划、建设及其相关管理的组织实施。</w:t>
      </w:r>
    </w:p>
    <w:p w14:paraId="6632557E">
      <w:pPr>
        <w:jc w:val="left"/>
        <w:rPr>
          <w:rFonts w:ascii="宋体" w:hAnsi="宋体"/>
          <w:kern w:val="44"/>
        </w:rPr>
      </w:pPr>
      <w:r>
        <w:rPr>
          <w:rFonts w:hint="eastAsia" w:ascii="宋体" w:hAnsi="宋体"/>
          <w:kern w:val="44"/>
        </w:rPr>
        <w:t>市和区、县人民政府按照各自职责做好本条前款规定工作所需经费的保障。</w:t>
      </w:r>
    </w:p>
    <w:p w14:paraId="5CF77995">
      <w:pPr>
        <w:jc w:val="left"/>
        <w:rPr>
          <w:rFonts w:ascii="宋体" w:hAnsi="宋体"/>
          <w:kern w:val="44"/>
        </w:rPr>
      </w:pPr>
      <w:r>
        <w:rPr>
          <w:rFonts w:hint="eastAsia" w:ascii="宋体" w:hAnsi="宋体"/>
          <w:kern w:val="44"/>
        </w:rPr>
        <w:t>街道办事处、乡镇人民政府协助做好辖区内蔬菜零售网点管理工作；发现违反本办法规定行为的，应当及时向区、县商务行政主管部门通报。</w:t>
      </w:r>
    </w:p>
    <w:p w14:paraId="7CD5CA25">
      <w:pPr>
        <w:ind w:firstLine="422"/>
        <w:jc w:val="left"/>
        <w:rPr>
          <w:rFonts w:ascii="宋体" w:hAnsi="宋体"/>
          <w:kern w:val="44"/>
        </w:rPr>
      </w:pPr>
      <w:r>
        <w:rPr>
          <w:rFonts w:hint="eastAsia" w:ascii="宋体" w:hAnsi="宋体"/>
          <w:b/>
          <w:kern w:val="44"/>
        </w:rPr>
        <w:t>第四条</w:t>
      </w:r>
      <w:r>
        <w:rPr>
          <w:rFonts w:hint="eastAsia" w:ascii="宋体" w:hAnsi="宋体"/>
          <w:kern w:val="44"/>
        </w:rPr>
        <w:t>　市商务行政主管部门负责全市蔬菜零售网点规划和建设的组织推动、协调指导和督促检查。区、县商务行政主管部门按照本办法规定，负责本辖区内蔬菜零售网点的管理工作。</w:t>
      </w:r>
    </w:p>
    <w:p w14:paraId="1034E8D2">
      <w:pPr>
        <w:jc w:val="left"/>
        <w:rPr>
          <w:rFonts w:ascii="宋体" w:hAnsi="宋体"/>
          <w:kern w:val="44"/>
        </w:rPr>
      </w:pPr>
      <w:r>
        <w:rPr>
          <w:rFonts w:hint="eastAsia" w:ascii="宋体" w:hAnsi="宋体"/>
          <w:kern w:val="44"/>
        </w:rPr>
        <w:t>规划、国土资源、建设、发展改革、财政等政府有关部门按照各自职责做好蔬菜零售网点规划、建设及其相关管理工作。</w:t>
      </w:r>
    </w:p>
    <w:p w14:paraId="3C32D4FD">
      <w:pPr>
        <w:ind w:firstLine="422"/>
        <w:jc w:val="left"/>
        <w:rPr>
          <w:rFonts w:ascii="宋体" w:hAnsi="宋体"/>
          <w:kern w:val="44"/>
        </w:rPr>
      </w:pPr>
      <w:r>
        <w:rPr>
          <w:rFonts w:hint="eastAsia" w:ascii="宋体" w:hAnsi="宋体"/>
          <w:b/>
          <w:kern w:val="44"/>
        </w:rPr>
        <w:t>第五条</w:t>
      </w:r>
      <w:r>
        <w:rPr>
          <w:rFonts w:hint="eastAsia" w:ascii="宋体" w:hAnsi="宋体"/>
          <w:kern w:val="44"/>
        </w:rPr>
        <w:t>　蔬菜零售网点的设置，应当遵循总量合理、布局科学和方便市民的原则。</w:t>
      </w:r>
    </w:p>
    <w:p w14:paraId="197BDFE7">
      <w:pPr>
        <w:ind w:firstLine="422"/>
        <w:jc w:val="left"/>
        <w:rPr>
          <w:rFonts w:ascii="宋体" w:hAnsi="宋体"/>
          <w:kern w:val="44"/>
        </w:rPr>
      </w:pPr>
      <w:r>
        <w:rPr>
          <w:rFonts w:hint="eastAsia" w:ascii="宋体" w:hAnsi="宋体"/>
          <w:b/>
          <w:kern w:val="44"/>
        </w:rPr>
        <w:t>第六条</w:t>
      </w:r>
      <w:r>
        <w:rPr>
          <w:rFonts w:hint="eastAsia" w:ascii="宋体" w:hAnsi="宋体"/>
          <w:kern w:val="44"/>
        </w:rPr>
        <w:t>　新建居民区应当配建社区菜市场或者社区菜店。</w:t>
      </w:r>
    </w:p>
    <w:p w14:paraId="62CCDBE9">
      <w:pPr>
        <w:jc w:val="left"/>
        <w:rPr>
          <w:rFonts w:ascii="宋体" w:hAnsi="宋体"/>
          <w:kern w:val="44"/>
        </w:rPr>
      </w:pPr>
      <w:r>
        <w:rPr>
          <w:rFonts w:hint="eastAsia" w:ascii="宋体" w:hAnsi="宋体"/>
          <w:kern w:val="44"/>
        </w:rPr>
        <w:t>新建居民区配建社区菜市场或者社区菜店的建筑规模，按照本市居住公共服务设施规划设计指标确定。</w:t>
      </w:r>
    </w:p>
    <w:p w14:paraId="081B26E9">
      <w:pPr>
        <w:jc w:val="left"/>
        <w:rPr>
          <w:rFonts w:ascii="宋体" w:hAnsi="宋体"/>
          <w:kern w:val="44"/>
        </w:rPr>
      </w:pPr>
      <w:r>
        <w:rPr>
          <w:rFonts w:hint="eastAsia" w:ascii="宋体" w:hAnsi="宋体"/>
          <w:kern w:val="44"/>
        </w:rPr>
        <w:t>社区菜市场或者社区菜店用于经营蔬菜的面积不得少于总经营面积的1/3。</w:t>
      </w:r>
    </w:p>
    <w:p w14:paraId="78349D72">
      <w:pPr>
        <w:ind w:firstLine="422"/>
        <w:jc w:val="left"/>
        <w:rPr>
          <w:rFonts w:ascii="宋体" w:hAnsi="宋体"/>
          <w:kern w:val="44"/>
        </w:rPr>
      </w:pPr>
      <w:r>
        <w:rPr>
          <w:rFonts w:hint="eastAsia" w:ascii="宋体" w:hAnsi="宋体"/>
          <w:b/>
          <w:kern w:val="44"/>
        </w:rPr>
        <w:t>第七条</w:t>
      </w:r>
      <w:r>
        <w:rPr>
          <w:rFonts w:hint="eastAsia" w:ascii="宋体" w:hAnsi="宋体"/>
          <w:kern w:val="44"/>
        </w:rPr>
        <w:t>　社区菜市场或者社区菜店可以与居民区其他配套公共服务设施集中、统筹建设。</w:t>
      </w:r>
    </w:p>
    <w:p w14:paraId="26E416F6">
      <w:pPr>
        <w:jc w:val="left"/>
        <w:rPr>
          <w:rFonts w:ascii="宋体" w:hAnsi="宋体"/>
          <w:kern w:val="44"/>
        </w:rPr>
      </w:pPr>
      <w:r>
        <w:rPr>
          <w:rFonts w:hint="eastAsia" w:ascii="宋体" w:hAnsi="宋体"/>
          <w:kern w:val="44"/>
        </w:rPr>
        <w:t>社区菜市场或者社区菜店是居民区配套公共服务设施，任何单位和个人不得擅自拆除、迁移、改建，或者挪作他用；配建的社区菜市场或者社区菜店被挪作他用的，工商行政管理部门不予注册登记。</w:t>
      </w:r>
    </w:p>
    <w:p w14:paraId="3610025A">
      <w:pPr>
        <w:jc w:val="left"/>
        <w:rPr>
          <w:rFonts w:ascii="宋体" w:hAnsi="宋体"/>
          <w:kern w:val="44"/>
        </w:rPr>
      </w:pPr>
      <w:r>
        <w:rPr>
          <w:rFonts w:hint="eastAsia" w:ascii="宋体" w:hAnsi="宋体"/>
          <w:kern w:val="44"/>
        </w:rPr>
        <w:t>社区菜市场或者社区菜店的所有权人在转让社区菜市场或者社区菜店的所有权时，应当书面告知受让人社区菜市场或者社区菜店属于居民区配套公共服务设施，不得改变其功能用途；改变社区菜市场或者社区菜店功能的，区、县商务行政主管部门报经区、县人民政府同意后有权回购社区菜市场或者社区菜店。</w:t>
      </w:r>
    </w:p>
    <w:p w14:paraId="56F6AD51">
      <w:pPr>
        <w:ind w:firstLine="422"/>
        <w:jc w:val="left"/>
        <w:rPr>
          <w:rFonts w:ascii="宋体" w:hAnsi="宋体"/>
          <w:kern w:val="44"/>
        </w:rPr>
      </w:pPr>
      <w:r>
        <w:rPr>
          <w:rFonts w:hint="eastAsia" w:ascii="宋体" w:hAnsi="宋体"/>
          <w:b/>
          <w:kern w:val="44"/>
        </w:rPr>
        <w:t>第八条</w:t>
      </w:r>
      <w:r>
        <w:rPr>
          <w:rFonts w:hint="eastAsia" w:ascii="宋体" w:hAnsi="宋体"/>
          <w:kern w:val="44"/>
        </w:rPr>
        <w:t>　新建居民区配建社区菜市场或者社区菜店，应当按照本市有关住宅与公共服务设施同步交付使用管理规定执行，并遵守下列规定：</w:t>
      </w:r>
    </w:p>
    <w:p w14:paraId="24E8F4D6">
      <w:pPr>
        <w:jc w:val="left"/>
        <w:rPr>
          <w:rFonts w:ascii="宋体" w:hAnsi="宋体"/>
          <w:kern w:val="44"/>
        </w:rPr>
      </w:pPr>
      <w:r>
        <w:rPr>
          <w:rFonts w:hint="eastAsia" w:ascii="宋体" w:hAnsi="宋体"/>
          <w:kern w:val="44"/>
        </w:rPr>
        <w:t>（一）开发建设单位在项目建设方案中明确配建的社区菜市场或者社区菜店的位置、建筑规模等内容；</w:t>
      </w:r>
    </w:p>
    <w:p w14:paraId="2436EFA5">
      <w:pPr>
        <w:jc w:val="left"/>
        <w:rPr>
          <w:rFonts w:ascii="宋体" w:hAnsi="宋体"/>
          <w:kern w:val="44"/>
        </w:rPr>
      </w:pPr>
      <w:r>
        <w:rPr>
          <w:rFonts w:hint="eastAsia" w:ascii="宋体" w:hAnsi="宋体"/>
          <w:kern w:val="44"/>
        </w:rPr>
        <w:t>（二）规划行政主管部门在建设工程规划许可证附图上注明配建的社区菜市场或者社区菜店及其位置、建筑规模和用途；</w:t>
      </w:r>
    </w:p>
    <w:p w14:paraId="5CA05464">
      <w:pPr>
        <w:jc w:val="left"/>
        <w:rPr>
          <w:rFonts w:ascii="宋体" w:hAnsi="宋体"/>
          <w:kern w:val="44"/>
        </w:rPr>
      </w:pPr>
      <w:r>
        <w:rPr>
          <w:rFonts w:hint="eastAsia" w:ascii="宋体" w:hAnsi="宋体"/>
          <w:kern w:val="44"/>
        </w:rPr>
        <w:t>（三）开发建设单位在预（销）售住宅时，在住宅买卖合同中约定配建的社区菜市场或者社区菜店的交付条件；</w:t>
      </w:r>
    </w:p>
    <w:p w14:paraId="1D52A926">
      <w:pPr>
        <w:jc w:val="left"/>
        <w:rPr>
          <w:rFonts w:ascii="宋体" w:hAnsi="宋体"/>
          <w:kern w:val="44"/>
        </w:rPr>
      </w:pPr>
      <w:r>
        <w:rPr>
          <w:rFonts w:hint="eastAsia" w:ascii="宋体" w:hAnsi="宋体"/>
          <w:kern w:val="44"/>
        </w:rPr>
        <w:t>（四）房屋权属登记部门在配建的社区菜市场或者社区菜店的产权证上注明位置、建筑规模和用途。</w:t>
      </w:r>
    </w:p>
    <w:p w14:paraId="01C09630">
      <w:pPr>
        <w:ind w:firstLine="422"/>
        <w:jc w:val="left"/>
        <w:rPr>
          <w:rFonts w:ascii="宋体" w:hAnsi="宋体"/>
          <w:kern w:val="44"/>
        </w:rPr>
      </w:pPr>
      <w:r>
        <w:rPr>
          <w:rFonts w:hint="eastAsia" w:ascii="宋体" w:hAnsi="宋体"/>
          <w:b/>
          <w:kern w:val="44"/>
        </w:rPr>
        <w:t>第九条</w:t>
      </w:r>
      <w:r>
        <w:rPr>
          <w:rFonts w:hint="eastAsia" w:ascii="宋体" w:hAnsi="宋体"/>
          <w:kern w:val="44"/>
        </w:rPr>
        <w:t>　建设工程竣工备案后，开发建设单位应当将配建社区菜市场或者社区菜店的位置及建筑规模书面告知区、县商务行政主管部门；区、县商务行政主管部门应当为开发建设单位投入运营社区菜市场或者社区菜店提供帮助、指导和服务。</w:t>
      </w:r>
    </w:p>
    <w:p w14:paraId="6B1CB58A">
      <w:pPr>
        <w:ind w:firstLine="422"/>
        <w:jc w:val="left"/>
        <w:rPr>
          <w:rFonts w:ascii="宋体" w:hAnsi="宋体"/>
          <w:kern w:val="44"/>
        </w:rPr>
      </w:pPr>
      <w:r>
        <w:rPr>
          <w:rFonts w:hint="eastAsia" w:ascii="宋体" w:hAnsi="宋体"/>
          <w:b/>
          <w:kern w:val="44"/>
        </w:rPr>
        <w:t>第十条</w:t>
      </w:r>
      <w:r>
        <w:rPr>
          <w:rFonts w:hint="eastAsia" w:ascii="宋体" w:hAnsi="宋体"/>
          <w:kern w:val="44"/>
        </w:rPr>
        <w:t>　在居民区物业管理区域内已交付业主的专有部分达到建筑物总面积50％以上时，开发建设单位或者社区菜市场、社区菜店的其他产权人应当将社区菜市场或者社区菜店投入运营；有特殊原因的，应当向区、县商务行政主管部门报告并说明情况，最迟应当在1年内投入运营。</w:t>
      </w:r>
    </w:p>
    <w:p w14:paraId="66FFA3EA">
      <w:pPr>
        <w:jc w:val="left"/>
        <w:rPr>
          <w:rFonts w:ascii="宋体" w:hAnsi="宋体"/>
          <w:kern w:val="44"/>
        </w:rPr>
      </w:pPr>
      <w:r>
        <w:rPr>
          <w:rFonts w:hint="eastAsia" w:ascii="宋体" w:hAnsi="宋体"/>
          <w:kern w:val="44"/>
        </w:rPr>
        <w:t>居民区所在地街道办事处、乡镇人民政府应当将其掌握的有关居民区物业管理区域内已交付业主的专有部分达到建筑物总面积50％的情况通报所在地区、县商务行政主管部门。</w:t>
      </w:r>
    </w:p>
    <w:p w14:paraId="1185B802">
      <w:pPr>
        <w:ind w:firstLine="422"/>
        <w:jc w:val="left"/>
        <w:rPr>
          <w:rFonts w:ascii="宋体" w:hAnsi="宋体"/>
          <w:kern w:val="44"/>
        </w:rPr>
      </w:pPr>
      <w:r>
        <w:rPr>
          <w:rFonts w:hint="eastAsia" w:ascii="宋体" w:hAnsi="宋体"/>
          <w:b/>
          <w:kern w:val="44"/>
        </w:rPr>
        <w:t>第十一条</w:t>
      </w:r>
      <w:r>
        <w:rPr>
          <w:rFonts w:hint="eastAsia" w:ascii="宋体" w:hAnsi="宋体"/>
          <w:kern w:val="44"/>
        </w:rPr>
        <w:t>　已建成居民区蔬菜零售网点不足的，区、县人民政府根据需要，可以采取下列措施：</w:t>
      </w:r>
    </w:p>
    <w:p w14:paraId="09BFB650">
      <w:pPr>
        <w:jc w:val="left"/>
        <w:rPr>
          <w:rFonts w:ascii="宋体" w:hAnsi="宋体"/>
          <w:kern w:val="44"/>
        </w:rPr>
      </w:pPr>
      <w:r>
        <w:rPr>
          <w:rFonts w:hint="eastAsia" w:ascii="宋体" w:hAnsi="宋体"/>
          <w:kern w:val="44"/>
        </w:rPr>
        <w:t>（一）调整其他商业设施功能；</w:t>
      </w:r>
    </w:p>
    <w:p w14:paraId="2933F946">
      <w:pPr>
        <w:jc w:val="left"/>
        <w:rPr>
          <w:rFonts w:ascii="宋体" w:hAnsi="宋体"/>
          <w:kern w:val="44"/>
        </w:rPr>
      </w:pPr>
      <w:r>
        <w:rPr>
          <w:rFonts w:hint="eastAsia" w:ascii="宋体" w:hAnsi="宋体"/>
          <w:kern w:val="44"/>
        </w:rPr>
        <w:t>（二）恢复挪作他用的原配套社区菜市场或者社区菜店；</w:t>
      </w:r>
    </w:p>
    <w:p w14:paraId="7FD7F468">
      <w:pPr>
        <w:jc w:val="left"/>
        <w:rPr>
          <w:rFonts w:ascii="宋体" w:hAnsi="宋体"/>
          <w:kern w:val="44"/>
        </w:rPr>
      </w:pPr>
      <w:r>
        <w:rPr>
          <w:rFonts w:hint="eastAsia" w:ascii="宋体" w:hAnsi="宋体"/>
          <w:kern w:val="44"/>
        </w:rPr>
        <w:t>（三）改造废弃的原配套设施；</w:t>
      </w:r>
    </w:p>
    <w:p w14:paraId="2A001658">
      <w:pPr>
        <w:jc w:val="left"/>
        <w:rPr>
          <w:rFonts w:ascii="宋体" w:hAnsi="宋体"/>
          <w:kern w:val="44"/>
        </w:rPr>
      </w:pPr>
      <w:r>
        <w:rPr>
          <w:rFonts w:hint="eastAsia" w:ascii="宋体" w:hAnsi="宋体"/>
          <w:kern w:val="44"/>
        </w:rPr>
        <w:t>（四）购买、租赁有关设施。</w:t>
      </w:r>
    </w:p>
    <w:p w14:paraId="7454127D">
      <w:pPr>
        <w:jc w:val="left"/>
        <w:rPr>
          <w:rFonts w:ascii="宋体" w:hAnsi="宋体"/>
          <w:kern w:val="44"/>
        </w:rPr>
      </w:pPr>
      <w:r>
        <w:rPr>
          <w:rFonts w:hint="eastAsia" w:ascii="宋体" w:hAnsi="宋体"/>
          <w:kern w:val="44"/>
        </w:rPr>
        <w:t>因客观条件无法采取本条前款规定措施的，可以采取在特定区域设立周末菜市或者早晚市、设置流动售菜车等方式弥补蔬菜零售网点的不足。</w:t>
      </w:r>
    </w:p>
    <w:p w14:paraId="12F45D68">
      <w:pPr>
        <w:ind w:firstLine="422"/>
        <w:jc w:val="left"/>
        <w:rPr>
          <w:rFonts w:ascii="宋体" w:hAnsi="宋体"/>
          <w:kern w:val="44"/>
        </w:rPr>
      </w:pPr>
      <w:r>
        <w:rPr>
          <w:rFonts w:hint="eastAsia" w:ascii="宋体" w:hAnsi="宋体"/>
          <w:b/>
          <w:kern w:val="44"/>
        </w:rPr>
        <w:t>第十二条</w:t>
      </w:r>
      <w:r>
        <w:rPr>
          <w:rFonts w:hint="eastAsia" w:ascii="宋体" w:hAnsi="宋体"/>
          <w:kern w:val="44"/>
        </w:rPr>
        <w:t>　鼓励和支持公民、法人和其他组织投资建设、经营蔬菜零售网点；鼓励和支持有条件的蔬菜生产经营企业或者农民专业合作经济组织参与蔬菜零售网点经营，实行统一采购、统一配送和统一标准，实现规模化、连锁化、品牌化发展。</w:t>
      </w:r>
    </w:p>
    <w:p w14:paraId="2AE98EB6">
      <w:pPr>
        <w:ind w:firstLine="422"/>
        <w:jc w:val="left"/>
        <w:rPr>
          <w:rFonts w:ascii="宋体" w:hAnsi="宋体"/>
          <w:kern w:val="44"/>
        </w:rPr>
      </w:pPr>
      <w:r>
        <w:rPr>
          <w:rFonts w:hint="eastAsia" w:ascii="宋体" w:hAnsi="宋体"/>
          <w:b/>
          <w:kern w:val="44"/>
        </w:rPr>
        <w:t>第十三条</w:t>
      </w:r>
      <w:r>
        <w:rPr>
          <w:rFonts w:hint="eastAsia" w:ascii="宋体" w:hAnsi="宋体"/>
          <w:kern w:val="44"/>
        </w:rPr>
        <w:t>　鼓励社区菜市场、社区菜店、超市等蔬菜零售经营业态多元化发展，不断扩大蔬菜经营面积；鼓励发展蔬菜直营直供、网络销售等蔬菜零售新模式。</w:t>
      </w:r>
    </w:p>
    <w:p w14:paraId="3B96FC52">
      <w:pPr>
        <w:ind w:firstLine="422"/>
        <w:jc w:val="left"/>
        <w:rPr>
          <w:rFonts w:ascii="宋体" w:hAnsi="宋体"/>
          <w:kern w:val="44"/>
        </w:rPr>
      </w:pPr>
      <w:r>
        <w:rPr>
          <w:rFonts w:hint="eastAsia" w:ascii="宋体" w:hAnsi="宋体"/>
          <w:b/>
          <w:kern w:val="44"/>
        </w:rPr>
        <w:t>第十四条</w:t>
      </w:r>
      <w:r>
        <w:rPr>
          <w:rFonts w:hint="eastAsia" w:ascii="宋体" w:hAnsi="宋体"/>
          <w:kern w:val="44"/>
        </w:rPr>
        <w:t>　鼓励和支持现有蔬菜零售网点改造营业设施，改善服务条件，符合条件的，区、县人民政府按照规定给予一定资金支持。</w:t>
      </w:r>
    </w:p>
    <w:p w14:paraId="76B526BC">
      <w:pPr>
        <w:ind w:firstLine="422"/>
        <w:jc w:val="left"/>
        <w:rPr>
          <w:rFonts w:ascii="宋体" w:hAnsi="宋体"/>
          <w:kern w:val="44"/>
        </w:rPr>
      </w:pPr>
      <w:r>
        <w:rPr>
          <w:rFonts w:hint="eastAsia" w:ascii="宋体" w:hAnsi="宋体"/>
          <w:b/>
          <w:kern w:val="44"/>
        </w:rPr>
        <w:t>第十五条</w:t>
      </w:r>
      <w:r>
        <w:rPr>
          <w:rFonts w:hint="eastAsia" w:ascii="宋体" w:hAnsi="宋体"/>
          <w:kern w:val="44"/>
        </w:rPr>
        <w:t>　对于区、县人民政府或者政府部门享有产权的蔬菜零售网点，区、县人民政府或者政府部门应当通过招标等公平竞争的方式确定经营者。</w:t>
      </w:r>
    </w:p>
    <w:p w14:paraId="5DBA02D8">
      <w:pPr>
        <w:ind w:firstLine="422"/>
        <w:jc w:val="left"/>
        <w:rPr>
          <w:rFonts w:ascii="宋体" w:hAnsi="宋体"/>
          <w:kern w:val="44"/>
        </w:rPr>
      </w:pPr>
      <w:r>
        <w:rPr>
          <w:rFonts w:hint="eastAsia" w:ascii="宋体" w:hAnsi="宋体"/>
          <w:b/>
          <w:kern w:val="44"/>
        </w:rPr>
        <w:t>第十六条</w:t>
      </w:r>
      <w:r>
        <w:rPr>
          <w:rFonts w:hint="eastAsia" w:ascii="宋体" w:hAnsi="宋体"/>
          <w:kern w:val="44"/>
        </w:rPr>
        <w:t>　区、县人民政府应当综合运用补贴、奖励、减免费用等多种措施，降低蔬菜经营成本，稳定蔬菜零售价格。</w:t>
      </w:r>
    </w:p>
    <w:p w14:paraId="1DAB91FE">
      <w:pPr>
        <w:ind w:firstLine="422"/>
        <w:jc w:val="left"/>
        <w:rPr>
          <w:rFonts w:ascii="宋体" w:hAnsi="宋体"/>
          <w:kern w:val="44"/>
        </w:rPr>
      </w:pPr>
      <w:r>
        <w:rPr>
          <w:rFonts w:hint="eastAsia" w:ascii="宋体" w:hAnsi="宋体"/>
          <w:b/>
          <w:kern w:val="44"/>
        </w:rPr>
        <w:t>第十七条</w:t>
      </w:r>
      <w:r>
        <w:rPr>
          <w:rFonts w:hint="eastAsia" w:ascii="宋体" w:hAnsi="宋体"/>
          <w:kern w:val="44"/>
        </w:rPr>
        <w:t>　蔬菜经营面积不少于总经营面积1/3的蔬菜零售网点的水、电、气价格，按照一般工业标准执行。</w:t>
      </w:r>
    </w:p>
    <w:p w14:paraId="4E7F0ABB">
      <w:pPr>
        <w:ind w:firstLine="422"/>
        <w:jc w:val="left"/>
        <w:rPr>
          <w:rFonts w:ascii="宋体" w:hAnsi="宋体"/>
          <w:kern w:val="44"/>
        </w:rPr>
      </w:pPr>
      <w:r>
        <w:rPr>
          <w:rFonts w:hint="eastAsia" w:ascii="宋体" w:hAnsi="宋体"/>
          <w:b/>
          <w:kern w:val="44"/>
        </w:rPr>
        <w:t>第十八条</w:t>
      </w:r>
      <w:r>
        <w:rPr>
          <w:rFonts w:hint="eastAsia" w:ascii="宋体" w:hAnsi="宋体"/>
          <w:kern w:val="44"/>
        </w:rPr>
        <w:t>　商务行政主管部门应当会同交通、公安交管、发展改革、农业等部门建立联席会议制度，定期研究蔬菜等鲜活农产品运输通行相关政策。</w:t>
      </w:r>
    </w:p>
    <w:p w14:paraId="2E170757">
      <w:pPr>
        <w:jc w:val="left"/>
        <w:rPr>
          <w:rFonts w:ascii="宋体" w:hAnsi="宋体"/>
          <w:kern w:val="44"/>
        </w:rPr>
      </w:pPr>
      <w:r>
        <w:rPr>
          <w:rFonts w:hint="eastAsia" w:ascii="宋体" w:hAnsi="宋体"/>
          <w:kern w:val="44"/>
        </w:rPr>
        <w:t>交通部门对在国家规定的绿色通道上运输鲜活农产品的车辆，应当依法给予通行费优惠和优先通行保障。公安交管部门应当为进入城区的蔬菜等鲜活农产品运输车辆依法核发通行证件，提供通行便利。</w:t>
      </w:r>
    </w:p>
    <w:p w14:paraId="34E0BF72">
      <w:pPr>
        <w:ind w:firstLine="422"/>
        <w:jc w:val="left"/>
        <w:rPr>
          <w:rFonts w:ascii="宋体" w:hAnsi="宋体"/>
          <w:kern w:val="44"/>
        </w:rPr>
      </w:pPr>
      <w:r>
        <w:rPr>
          <w:rFonts w:hint="eastAsia" w:ascii="宋体" w:hAnsi="宋体"/>
          <w:b/>
          <w:kern w:val="44"/>
        </w:rPr>
        <w:t>第十九条</w:t>
      </w:r>
      <w:r>
        <w:rPr>
          <w:rFonts w:hint="eastAsia" w:ascii="宋体" w:hAnsi="宋体"/>
          <w:kern w:val="44"/>
        </w:rPr>
        <w:t>　任何单位和个人发现违反本办法规定行为的，都有权向区、县商务行政主管部门举报；区、县商务行政主管部门应当公布举报电话，及时处理举报并公布处理结果。</w:t>
      </w:r>
    </w:p>
    <w:p w14:paraId="36DD200E">
      <w:pPr>
        <w:ind w:firstLine="422"/>
        <w:jc w:val="left"/>
        <w:rPr>
          <w:rFonts w:ascii="宋体" w:hAnsi="宋体"/>
          <w:kern w:val="44"/>
        </w:rPr>
      </w:pPr>
      <w:r>
        <w:rPr>
          <w:rFonts w:hint="eastAsia" w:ascii="宋体" w:hAnsi="宋体"/>
          <w:b/>
          <w:kern w:val="44"/>
        </w:rPr>
        <w:t>第二十条</w:t>
      </w:r>
      <w:r>
        <w:rPr>
          <w:rFonts w:hint="eastAsia" w:ascii="宋体" w:hAnsi="宋体"/>
          <w:kern w:val="44"/>
        </w:rPr>
        <w:t>　开发建设单位或者社区菜市场、社区菜店的其他产权人有下列情形之一的，区、县商务行政主管部门责令限期改正，可处3000元以上30，000元以下罚款；享受政府给予的价格等优惠政策的，责令补缴减免的价款：</w:t>
      </w:r>
    </w:p>
    <w:p w14:paraId="441D6CAC">
      <w:pPr>
        <w:jc w:val="left"/>
        <w:rPr>
          <w:rFonts w:ascii="宋体" w:hAnsi="宋体"/>
          <w:kern w:val="44"/>
        </w:rPr>
      </w:pPr>
      <w:r>
        <w:rPr>
          <w:rFonts w:hint="eastAsia" w:ascii="宋体" w:hAnsi="宋体"/>
          <w:kern w:val="44"/>
        </w:rPr>
        <w:t>（一）未在本办法规定的时限内将社区菜市场或者社区菜店投入运营的；</w:t>
      </w:r>
    </w:p>
    <w:p w14:paraId="38B95D06">
      <w:pPr>
        <w:jc w:val="left"/>
        <w:rPr>
          <w:rFonts w:ascii="宋体" w:hAnsi="宋体"/>
          <w:kern w:val="44"/>
        </w:rPr>
      </w:pPr>
      <w:r>
        <w:rPr>
          <w:rFonts w:hint="eastAsia" w:ascii="宋体" w:hAnsi="宋体"/>
          <w:kern w:val="44"/>
        </w:rPr>
        <w:t>（二）社区菜市场或者社区菜店经营蔬菜面积少于总经营面积1/3的；</w:t>
      </w:r>
    </w:p>
    <w:p w14:paraId="5BCFD4B7">
      <w:pPr>
        <w:jc w:val="left"/>
        <w:rPr>
          <w:rFonts w:ascii="宋体" w:hAnsi="宋体"/>
          <w:kern w:val="44"/>
        </w:rPr>
      </w:pPr>
      <w:r>
        <w:rPr>
          <w:rFonts w:hint="eastAsia" w:ascii="宋体" w:hAnsi="宋体"/>
          <w:kern w:val="44"/>
        </w:rPr>
        <w:t>（三）擅自改变社区菜市场或者社区菜店功能的；</w:t>
      </w:r>
    </w:p>
    <w:p w14:paraId="5087DA03">
      <w:pPr>
        <w:jc w:val="left"/>
        <w:rPr>
          <w:rFonts w:ascii="宋体" w:hAnsi="宋体"/>
          <w:kern w:val="44"/>
        </w:rPr>
      </w:pPr>
      <w:r>
        <w:rPr>
          <w:rFonts w:hint="eastAsia" w:ascii="宋体" w:hAnsi="宋体"/>
          <w:kern w:val="44"/>
        </w:rPr>
        <w:t>（四）无正当理由擅自停止社区菜市场或者社区菜店经营2个月以上，严重影响居民生活的。</w:t>
      </w:r>
    </w:p>
    <w:p w14:paraId="3B75D4B0">
      <w:pPr>
        <w:ind w:firstLine="422"/>
        <w:jc w:val="left"/>
        <w:rPr>
          <w:rFonts w:ascii="宋体" w:hAnsi="宋体"/>
          <w:kern w:val="44"/>
        </w:rPr>
      </w:pPr>
      <w:r>
        <w:rPr>
          <w:rFonts w:hint="eastAsia" w:ascii="宋体" w:hAnsi="宋体"/>
          <w:b/>
          <w:kern w:val="44"/>
        </w:rPr>
        <w:t>第二十一条</w:t>
      </w:r>
      <w:r>
        <w:rPr>
          <w:rFonts w:hint="eastAsia" w:ascii="宋体" w:hAnsi="宋体"/>
          <w:kern w:val="44"/>
        </w:rPr>
        <w:t>　开发建设单位或者社区菜市场、社区菜店的其他产权人有本办法第二十条规定情形之一，经责令限期改正、整改期满仍不能达到要求的，区、县商务行政主管部门报经区、县人民政府同意后，应当以成本价为基础回购社区菜市场或者社区菜店的产权。</w:t>
      </w:r>
    </w:p>
    <w:p w14:paraId="2F0FCF93">
      <w:pPr>
        <w:jc w:val="left"/>
        <w:rPr>
          <w:rFonts w:ascii="宋体" w:hAnsi="宋体"/>
          <w:kern w:val="44"/>
        </w:rPr>
      </w:pPr>
      <w:r>
        <w:rPr>
          <w:rFonts w:hint="eastAsia" w:ascii="宋体" w:hAnsi="宋体"/>
          <w:kern w:val="44"/>
        </w:rPr>
        <w:t>在本办法第二十条规定的第（一）种情形下，回购谈判期间，区、县商务行政主管部门有权采取措施将社区菜市场或者社区菜店投入运营。</w:t>
      </w:r>
    </w:p>
    <w:p w14:paraId="2511CBA9">
      <w:pPr>
        <w:jc w:val="left"/>
        <w:rPr>
          <w:rFonts w:ascii="宋体" w:hAnsi="宋体"/>
          <w:kern w:val="44"/>
        </w:rPr>
      </w:pPr>
      <w:r>
        <w:rPr>
          <w:rFonts w:hint="eastAsia" w:ascii="宋体" w:hAnsi="宋体"/>
          <w:kern w:val="44"/>
        </w:rPr>
        <w:t>在本办法第二十条规定的第（二）、（三）、（四）种情形下，回购谈判期间，开发建设单位或者社区菜市场、社区菜店的其他产权人应当恢复社区菜市场或者社区菜店的功能或者经营；无力恢复的，区、县商务行政主管部门有权采取措施恢复社区菜市场或者社区菜店的功能或者经营。</w:t>
      </w:r>
    </w:p>
    <w:p w14:paraId="681B25BD">
      <w:pPr>
        <w:jc w:val="left"/>
        <w:rPr>
          <w:rFonts w:ascii="宋体" w:hAnsi="宋体"/>
          <w:kern w:val="44"/>
        </w:rPr>
      </w:pPr>
      <w:r>
        <w:rPr>
          <w:rFonts w:hint="eastAsia" w:ascii="宋体" w:hAnsi="宋体"/>
          <w:kern w:val="44"/>
        </w:rPr>
        <w:t>回购谈判原则上在6个月内完成。</w:t>
      </w:r>
    </w:p>
    <w:p w14:paraId="32C2C786">
      <w:pPr>
        <w:ind w:firstLine="422"/>
        <w:jc w:val="left"/>
        <w:rPr>
          <w:rFonts w:ascii="宋体" w:hAnsi="宋体"/>
          <w:kern w:val="44"/>
        </w:rPr>
      </w:pPr>
      <w:r>
        <w:rPr>
          <w:rFonts w:hint="eastAsia" w:ascii="宋体" w:hAnsi="宋体"/>
          <w:b/>
          <w:kern w:val="44"/>
        </w:rPr>
        <w:t>第二十二条</w:t>
      </w:r>
      <w:r>
        <w:rPr>
          <w:rFonts w:hint="eastAsia" w:ascii="宋体" w:hAnsi="宋体"/>
          <w:kern w:val="44"/>
        </w:rPr>
        <w:t>　本办法自2014年1月1日起施行。</w:t>
      </w:r>
    </w:p>
    <w:p w14:paraId="632D1539">
      <w:pPr>
        <w:pStyle w:val="3"/>
        <w:pageBreakBefore/>
        <w:rPr>
          <w:kern w:val="44"/>
        </w:rPr>
      </w:pPr>
      <w:bookmarkStart w:id="1307" w:name="_Toc422471343"/>
      <w:bookmarkStart w:id="1308" w:name="_Toc427651615"/>
      <w:bookmarkStart w:id="1309" w:name="_Toc428781663"/>
      <w:bookmarkStart w:id="1310" w:name="_Toc427651957"/>
      <w:bookmarkStart w:id="1311" w:name="_Toc428780181"/>
      <w:r>
        <w:rPr>
          <w:rFonts w:hint="eastAsia"/>
          <w:kern w:val="44"/>
        </w:rPr>
        <w:t>（十五）工商管理</w:t>
      </w:r>
      <w:bookmarkEnd w:id="1307"/>
      <w:bookmarkEnd w:id="1308"/>
      <w:bookmarkEnd w:id="1309"/>
      <w:bookmarkEnd w:id="1310"/>
      <w:bookmarkEnd w:id="1311"/>
    </w:p>
    <w:p w14:paraId="293AEA0B"/>
    <w:p w14:paraId="6DC02CA3">
      <w:pPr>
        <w:pStyle w:val="4"/>
        <w:rPr>
          <w:kern w:val="44"/>
        </w:rPr>
      </w:pPr>
      <w:bookmarkStart w:id="1312" w:name="_Toc427651958"/>
      <w:bookmarkStart w:id="1313" w:name="_Toc428781664"/>
      <w:bookmarkStart w:id="1314" w:name="_Toc427651616"/>
      <w:bookmarkStart w:id="1315" w:name="_Toc422471344"/>
      <w:bookmarkStart w:id="1316" w:name="_Toc428780182"/>
      <w:r>
        <w:rPr>
          <w:rFonts w:hint="eastAsia"/>
          <w:kern w:val="44"/>
        </w:rPr>
        <w:t>北京市反不正当竞争条例</w:t>
      </w:r>
      <w:bookmarkEnd w:id="1312"/>
      <w:bookmarkEnd w:id="1313"/>
      <w:bookmarkEnd w:id="1314"/>
      <w:bookmarkEnd w:id="1315"/>
      <w:bookmarkEnd w:id="1316"/>
    </w:p>
    <w:p w14:paraId="428EEC17">
      <w:pPr>
        <w:ind w:left="630" w:leftChars="300" w:right="630" w:rightChars="300"/>
        <w:jc w:val="left"/>
        <w:rPr>
          <w:rFonts w:ascii="楷体" w:hAnsi="楷体" w:eastAsia="楷体"/>
          <w:kern w:val="44"/>
        </w:rPr>
      </w:pPr>
      <w:r>
        <w:rPr>
          <w:rFonts w:hint="eastAsia" w:ascii="楷体" w:hAnsi="楷体" w:eastAsia="楷体"/>
          <w:kern w:val="44"/>
        </w:rPr>
        <w:t>（1994年7月22日北京市第十届人民代表大会常务委员会第十一次会议通过　根据1997年9月4日北京市第十届人民代表大会常务委员会第三十九次会议《关于修改〈北京市反不正当竞争条例〉的决定》修正）</w:t>
      </w:r>
    </w:p>
    <w:p w14:paraId="3C64D98C">
      <w:pPr>
        <w:jc w:val="left"/>
        <w:rPr>
          <w:rFonts w:ascii="宋体" w:hAnsi="宋体"/>
          <w:kern w:val="44"/>
        </w:rPr>
      </w:pPr>
    </w:p>
    <w:p w14:paraId="6661D7BB">
      <w:pPr>
        <w:ind w:firstLine="0" w:firstLineChars="0"/>
        <w:jc w:val="center"/>
        <w:rPr>
          <w:rFonts w:ascii="宋体" w:hAnsi="宋体"/>
          <w:b/>
          <w:kern w:val="44"/>
          <w:sz w:val="28"/>
        </w:rPr>
      </w:pPr>
      <w:r>
        <w:rPr>
          <w:rFonts w:hint="eastAsia" w:ascii="宋体" w:hAnsi="宋体"/>
          <w:b/>
          <w:kern w:val="44"/>
          <w:sz w:val="28"/>
        </w:rPr>
        <w:t>第一章　总　则</w:t>
      </w:r>
    </w:p>
    <w:p w14:paraId="0859D0BA">
      <w:pPr>
        <w:jc w:val="left"/>
        <w:rPr>
          <w:rFonts w:ascii="宋体" w:hAnsi="宋体"/>
          <w:kern w:val="44"/>
        </w:rPr>
      </w:pPr>
    </w:p>
    <w:p w14:paraId="2C7860E0">
      <w:pPr>
        <w:ind w:firstLine="422"/>
        <w:jc w:val="left"/>
        <w:rPr>
          <w:rFonts w:ascii="宋体" w:hAnsi="宋体"/>
          <w:kern w:val="44"/>
        </w:rPr>
      </w:pPr>
      <w:r>
        <w:rPr>
          <w:rFonts w:hint="eastAsia" w:ascii="宋体" w:hAnsi="宋体"/>
          <w:b/>
          <w:kern w:val="44"/>
        </w:rPr>
        <w:t>第一条</w:t>
      </w:r>
      <w:r>
        <w:rPr>
          <w:rFonts w:hint="eastAsia" w:ascii="宋体" w:hAnsi="宋体"/>
          <w:kern w:val="44"/>
        </w:rPr>
        <w:t>　为保障社会主义市场经济健康发展，维护市场秩序，鼓励和保护公平竞争，制止不正当竞争行为，保护经营者和消费者的合法权益，依据《中华人民共和国反不正当竞争法》和有关法律、法规的规定，结合本市实际情况，制定本条例。</w:t>
      </w:r>
    </w:p>
    <w:p w14:paraId="0C2014DE">
      <w:pPr>
        <w:ind w:firstLine="422"/>
        <w:jc w:val="left"/>
        <w:rPr>
          <w:rFonts w:ascii="宋体" w:hAnsi="宋体"/>
          <w:kern w:val="44"/>
        </w:rPr>
      </w:pPr>
      <w:r>
        <w:rPr>
          <w:rFonts w:hint="eastAsia" w:ascii="宋体" w:hAnsi="宋体"/>
          <w:b/>
          <w:kern w:val="44"/>
        </w:rPr>
        <w:t>第二条</w:t>
      </w:r>
      <w:r>
        <w:rPr>
          <w:rFonts w:hint="eastAsia" w:ascii="宋体" w:hAnsi="宋体"/>
          <w:kern w:val="44"/>
        </w:rPr>
        <w:t>　凡在本市行政区域内从事商品经营或者营利性服务（以下所称商品包括服务）的经营者，必须遵守本条例。</w:t>
      </w:r>
    </w:p>
    <w:p w14:paraId="38DC327D">
      <w:pPr>
        <w:ind w:firstLine="422"/>
        <w:jc w:val="left"/>
        <w:rPr>
          <w:rFonts w:ascii="宋体" w:hAnsi="宋体"/>
          <w:kern w:val="44"/>
        </w:rPr>
      </w:pPr>
      <w:r>
        <w:rPr>
          <w:rFonts w:hint="eastAsia" w:ascii="宋体" w:hAnsi="宋体"/>
          <w:b/>
          <w:kern w:val="44"/>
        </w:rPr>
        <w:t>第三条</w:t>
      </w:r>
      <w:r>
        <w:rPr>
          <w:rFonts w:hint="eastAsia" w:ascii="宋体" w:hAnsi="宋体"/>
          <w:kern w:val="44"/>
        </w:rPr>
        <w:t>　经营者在市场交易中，应当遵循自愿、平等、公平、诚实信用的原则，遵守公认的商业道德。</w:t>
      </w:r>
    </w:p>
    <w:p w14:paraId="64D5BE70">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市和区、县工商行政管理部门是不正当竞争行为的监督检查部门；法律、行政法规规定由其他部门监督检查的，依照其规定。</w:t>
      </w:r>
    </w:p>
    <w:p w14:paraId="4FA66189">
      <w:pPr>
        <w:ind w:firstLine="422"/>
        <w:jc w:val="left"/>
        <w:rPr>
          <w:rFonts w:ascii="宋体" w:hAnsi="宋体"/>
          <w:kern w:val="44"/>
        </w:rPr>
      </w:pPr>
      <w:r>
        <w:rPr>
          <w:rFonts w:hint="eastAsia" w:ascii="宋体" w:hAnsi="宋体"/>
          <w:b/>
          <w:kern w:val="44"/>
        </w:rPr>
        <w:t>第五条</w:t>
      </w:r>
      <w:r>
        <w:rPr>
          <w:rFonts w:hint="eastAsia" w:ascii="宋体" w:hAnsi="宋体"/>
          <w:kern w:val="44"/>
        </w:rPr>
        <w:t>　各级人民政府应当加强市场管理，采取措施，制止不正当竞争行为，为公平竞争创造良好的环境和条件。</w:t>
      </w:r>
    </w:p>
    <w:p w14:paraId="0CE0DC82">
      <w:pPr>
        <w:jc w:val="left"/>
        <w:rPr>
          <w:rFonts w:ascii="宋体" w:hAnsi="宋体"/>
          <w:kern w:val="44"/>
        </w:rPr>
      </w:pPr>
      <w:r>
        <w:rPr>
          <w:rFonts w:hint="eastAsia" w:ascii="宋体" w:hAnsi="宋体"/>
          <w:kern w:val="44"/>
        </w:rPr>
        <w:t>公安机关、检察机关、人民法院在各自职权范围内，支持、配合、保障监督检查部门依法履行监督检查职责。</w:t>
      </w:r>
    </w:p>
    <w:p w14:paraId="5576C68A">
      <w:pPr>
        <w:ind w:firstLine="422"/>
        <w:jc w:val="left"/>
        <w:rPr>
          <w:rFonts w:ascii="宋体" w:hAnsi="宋体"/>
          <w:kern w:val="44"/>
        </w:rPr>
      </w:pPr>
      <w:r>
        <w:rPr>
          <w:rFonts w:hint="eastAsia" w:ascii="宋体" w:hAnsi="宋体"/>
          <w:b/>
          <w:kern w:val="44"/>
        </w:rPr>
        <w:t>第六条</w:t>
      </w:r>
      <w:r>
        <w:rPr>
          <w:rFonts w:hint="eastAsia" w:ascii="宋体" w:hAnsi="宋体"/>
          <w:kern w:val="44"/>
        </w:rPr>
        <w:t>　本市鼓励、支持和保护一切组织和个人对不正当竞争行为进行社会监督和舆论监督。</w:t>
      </w:r>
    </w:p>
    <w:p w14:paraId="5419A713">
      <w:pPr>
        <w:jc w:val="left"/>
        <w:rPr>
          <w:rFonts w:ascii="宋体" w:hAnsi="宋体"/>
          <w:kern w:val="44"/>
        </w:rPr>
      </w:pPr>
      <w:r>
        <w:rPr>
          <w:rFonts w:hint="eastAsia" w:ascii="宋体" w:hAnsi="宋体"/>
          <w:kern w:val="44"/>
        </w:rPr>
        <w:t>一切组织和个人都有权检举、揭发不正当竞争行为。对检举、揭发属实和协助查处不正当竞争行为有功的，给予适当奖励并为其保密。</w:t>
      </w:r>
    </w:p>
    <w:p w14:paraId="14398E03">
      <w:pPr>
        <w:jc w:val="left"/>
        <w:rPr>
          <w:rFonts w:ascii="宋体" w:hAnsi="宋体"/>
          <w:kern w:val="44"/>
        </w:rPr>
      </w:pPr>
      <w:r>
        <w:rPr>
          <w:rFonts w:hint="eastAsia" w:ascii="宋体" w:hAnsi="宋体"/>
          <w:kern w:val="44"/>
        </w:rPr>
        <w:t>各行业协会应当制定本行业公平交易公约，协助监督检查部门依法对不正当竞争行为进行查处。</w:t>
      </w:r>
    </w:p>
    <w:p w14:paraId="1912F483">
      <w:pPr>
        <w:ind w:firstLine="422"/>
        <w:jc w:val="left"/>
        <w:rPr>
          <w:rFonts w:ascii="宋体" w:hAnsi="宋体"/>
          <w:kern w:val="44"/>
        </w:rPr>
      </w:pPr>
      <w:r>
        <w:rPr>
          <w:rFonts w:hint="eastAsia" w:ascii="宋体" w:hAnsi="宋体"/>
          <w:b/>
          <w:kern w:val="44"/>
        </w:rPr>
        <w:t>第七条</w:t>
      </w:r>
      <w:r>
        <w:rPr>
          <w:rFonts w:hint="eastAsia" w:ascii="宋体" w:hAnsi="宋体"/>
          <w:kern w:val="44"/>
        </w:rPr>
        <w:t>　国家机关工作人员不得支持、包庇不正当竞争行为。</w:t>
      </w:r>
    </w:p>
    <w:p w14:paraId="7CBD0BF8">
      <w:pPr>
        <w:jc w:val="left"/>
        <w:rPr>
          <w:rFonts w:ascii="宋体" w:hAnsi="宋体"/>
          <w:kern w:val="44"/>
        </w:rPr>
      </w:pPr>
    </w:p>
    <w:p w14:paraId="3FF9E5D9">
      <w:pPr>
        <w:ind w:firstLine="0" w:firstLineChars="0"/>
        <w:jc w:val="center"/>
        <w:rPr>
          <w:rFonts w:ascii="宋体" w:hAnsi="宋体"/>
          <w:b/>
          <w:kern w:val="44"/>
        </w:rPr>
      </w:pPr>
      <w:r>
        <w:rPr>
          <w:rFonts w:hint="eastAsia" w:ascii="宋体" w:hAnsi="宋体"/>
          <w:b/>
          <w:kern w:val="44"/>
          <w:sz w:val="28"/>
        </w:rPr>
        <w:t>第二章　不正当竞争行为</w:t>
      </w:r>
    </w:p>
    <w:p w14:paraId="25BFDB41">
      <w:pPr>
        <w:jc w:val="left"/>
        <w:rPr>
          <w:rFonts w:ascii="宋体" w:hAnsi="宋体"/>
          <w:kern w:val="44"/>
        </w:rPr>
      </w:pPr>
    </w:p>
    <w:p w14:paraId="7BB71D60">
      <w:pPr>
        <w:ind w:firstLine="422"/>
        <w:jc w:val="left"/>
        <w:rPr>
          <w:rFonts w:ascii="宋体" w:hAnsi="宋体"/>
          <w:kern w:val="44"/>
        </w:rPr>
      </w:pPr>
      <w:r>
        <w:rPr>
          <w:rFonts w:hint="eastAsia" w:ascii="宋体" w:hAnsi="宋体"/>
          <w:b/>
          <w:kern w:val="44"/>
        </w:rPr>
        <w:t>第八条</w:t>
      </w:r>
      <w:r>
        <w:rPr>
          <w:rFonts w:hint="eastAsia" w:ascii="宋体" w:hAnsi="宋体"/>
          <w:kern w:val="44"/>
        </w:rPr>
        <w:t>　经营者不得假冒他人的注册商标：</w:t>
      </w:r>
    </w:p>
    <w:p w14:paraId="3C84E758">
      <w:pPr>
        <w:jc w:val="left"/>
        <w:rPr>
          <w:rFonts w:ascii="宋体" w:hAnsi="宋体"/>
          <w:kern w:val="44"/>
        </w:rPr>
      </w:pPr>
      <w:r>
        <w:rPr>
          <w:rFonts w:hint="eastAsia" w:ascii="宋体" w:hAnsi="宋体"/>
          <w:kern w:val="44"/>
        </w:rPr>
        <w:t>（一）未经注册商标所有人的许可，在同一种商品或者类似商品上使用与其注册商标相同的商标；</w:t>
      </w:r>
    </w:p>
    <w:p w14:paraId="3E805F5B">
      <w:pPr>
        <w:jc w:val="left"/>
        <w:rPr>
          <w:rFonts w:ascii="宋体" w:hAnsi="宋体"/>
          <w:kern w:val="44"/>
        </w:rPr>
      </w:pPr>
      <w:r>
        <w:rPr>
          <w:rFonts w:hint="eastAsia" w:ascii="宋体" w:hAnsi="宋体"/>
          <w:kern w:val="44"/>
        </w:rPr>
        <w:t>（二）销售明知是假冒他人注册商标的商品；</w:t>
      </w:r>
    </w:p>
    <w:p w14:paraId="3791BEF3">
      <w:pPr>
        <w:jc w:val="left"/>
        <w:rPr>
          <w:rFonts w:ascii="宋体" w:hAnsi="宋体"/>
          <w:kern w:val="44"/>
        </w:rPr>
      </w:pPr>
      <w:r>
        <w:rPr>
          <w:rFonts w:hint="eastAsia" w:ascii="宋体" w:hAnsi="宋体"/>
          <w:kern w:val="44"/>
        </w:rPr>
        <w:t>（三）伪造、擅自制造他人注册商标标识或者销售伪造、擅自制造的注册商标标识。</w:t>
      </w:r>
    </w:p>
    <w:p w14:paraId="1360A40A">
      <w:pPr>
        <w:ind w:firstLine="422"/>
        <w:jc w:val="left"/>
        <w:rPr>
          <w:rFonts w:ascii="宋体" w:hAnsi="宋体"/>
          <w:kern w:val="44"/>
        </w:rPr>
      </w:pPr>
      <w:r>
        <w:rPr>
          <w:rFonts w:hint="eastAsia" w:ascii="宋体" w:hAnsi="宋体"/>
          <w:b/>
          <w:kern w:val="44"/>
        </w:rPr>
        <w:t>第九条</w:t>
      </w:r>
      <w:r>
        <w:rPr>
          <w:rFonts w:hint="eastAsia" w:ascii="宋体" w:hAnsi="宋体"/>
          <w:kern w:val="44"/>
        </w:rPr>
        <w:t>　经营者不得擅自使用知名商品特有的名称、包装、装潢，或者使用与知名商品近似的名称、包装、装潢，造成和他人的知名商品相混淆，使购买者误认为是该知名商品。</w:t>
      </w:r>
    </w:p>
    <w:p w14:paraId="7F82C7E5">
      <w:pPr>
        <w:jc w:val="left"/>
        <w:rPr>
          <w:rFonts w:ascii="宋体" w:hAnsi="宋体"/>
          <w:kern w:val="44"/>
        </w:rPr>
      </w:pPr>
      <w:r>
        <w:rPr>
          <w:rFonts w:hint="eastAsia" w:ascii="宋体" w:hAnsi="宋体"/>
          <w:kern w:val="44"/>
        </w:rPr>
        <w:t>本条所称的知名商品，是指下列商品：</w:t>
      </w:r>
    </w:p>
    <w:p w14:paraId="7C241929">
      <w:pPr>
        <w:jc w:val="left"/>
        <w:rPr>
          <w:rFonts w:ascii="宋体" w:hAnsi="宋体"/>
          <w:kern w:val="44"/>
        </w:rPr>
      </w:pPr>
      <w:r>
        <w:rPr>
          <w:rFonts w:hint="eastAsia" w:ascii="宋体" w:hAnsi="宋体"/>
          <w:kern w:val="44"/>
        </w:rPr>
        <w:t>（一）在我国有关部门认可的国际评奖活动中获奖的商品；</w:t>
      </w:r>
    </w:p>
    <w:p w14:paraId="053F2553">
      <w:pPr>
        <w:jc w:val="left"/>
        <w:rPr>
          <w:rFonts w:ascii="宋体" w:hAnsi="宋体"/>
          <w:kern w:val="44"/>
        </w:rPr>
      </w:pPr>
      <w:r>
        <w:rPr>
          <w:rFonts w:hint="eastAsia" w:ascii="宋体" w:hAnsi="宋体"/>
          <w:kern w:val="44"/>
        </w:rPr>
        <w:t>（二）被省、部级以上政府部门、行业组织或者消费者协会认定为名优的商品；</w:t>
      </w:r>
    </w:p>
    <w:p w14:paraId="611FC547">
      <w:pPr>
        <w:jc w:val="left"/>
        <w:rPr>
          <w:rFonts w:ascii="宋体" w:hAnsi="宋体"/>
          <w:kern w:val="44"/>
        </w:rPr>
      </w:pPr>
      <w:r>
        <w:rPr>
          <w:rFonts w:hint="eastAsia" w:ascii="宋体" w:hAnsi="宋体"/>
          <w:kern w:val="44"/>
        </w:rPr>
        <w:t>（三）为消费者所公认，在相关市场内久负盛名的商品；</w:t>
      </w:r>
    </w:p>
    <w:p w14:paraId="2B0014DF">
      <w:pPr>
        <w:jc w:val="left"/>
        <w:rPr>
          <w:rFonts w:ascii="宋体" w:hAnsi="宋体"/>
          <w:kern w:val="44"/>
        </w:rPr>
      </w:pPr>
      <w:r>
        <w:rPr>
          <w:rFonts w:hint="eastAsia" w:ascii="宋体" w:hAnsi="宋体"/>
          <w:kern w:val="44"/>
        </w:rPr>
        <w:t>（四）其他经广泛宣传，在相关市场内有较高知名度的商品。</w:t>
      </w:r>
    </w:p>
    <w:p w14:paraId="096603C5">
      <w:pPr>
        <w:ind w:firstLine="422"/>
        <w:jc w:val="left"/>
        <w:rPr>
          <w:rFonts w:ascii="宋体" w:hAnsi="宋体"/>
          <w:kern w:val="44"/>
        </w:rPr>
      </w:pPr>
      <w:r>
        <w:rPr>
          <w:rFonts w:hint="eastAsia" w:ascii="宋体" w:hAnsi="宋体"/>
          <w:b/>
          <w:kern w:val="44"/>
        </w:rPr>
        <w:t>第十条</w:t>
      </w:r>
      <w:r>
        <w:rPr>
          <w:rFonts w:hint="eastAsia" w:ascii="宋体" w:hAnsi="宋体"/>
          <w:kern w:val="44"/>
        </w:rPr>
        <w:t>　经营者不得擅自使用他人的企业名称或者姓名，引人误认为是他人的商品。</w:t>
      </w:r>
    </w:p>
    <w:p w14:paraId="3F40AC55">
      <w:pPr>
        <w:ind w:firstLine="422"/>
        <w:jc w:val="left"/>
        <w:rPr>
          <w:rFonts w:ascii="宋体" w:hAnsi="宋体"/>
          <w:kern w:val="44"/>
        </w:rPr>
      </w:pPr>
      <w:r>
        <w:rPr>
          <w:rFonts w:hint="eastAsia" w:ascii="宋体" w:hAnsi="宋体"/>
          <w:b/>
          <w:kern w:val="44"/>
        </w:rPr>
        <w:t>第十一条</w:t>
      </w:r>
      <w:r>
        <w:rPr>
          <w:rFonts w:hint="eastAsia" w:ascii="宋体" w:hAnsi="宋体"/>
          <w:kern w:val="44"/>
        </w:rPr>
        <w:t>　经营者不得采用伪造或者冒用的手段，对商品质量作引人误解的虚假的表示：</w:t>
      </w:r>
    </w:p>
    <w:p w14:paraId="0E3D6B68">
      <w:pPr>
        <w:jc w:val="left"/>
        <w:rPr>
          <w:rFonts w:ascii="宋体" w:hAnsi="宋体"/>
          <w:kern w:val="44"/>
        </w:rPr>
      </w:pPr>
      <w:r>
        <w:rPr>
          <w:rFonts w:hint="eastAsia" w:ascii="宋体" w:hAnsi="宋体"/>
          <w:kern w:val="44"/>
        </w:rPr>
        <w:t>（一）在商品上伪造或者冒用认证标志、名优标志等质量标志；</w:t>
      </w:r>
    </w:p>
    <w:p w14:paraId="41AF77B3">
      <w:pPr>
        <w:jc w:val="left"/>
        <w:rPr>
          <w:rFonts w:ascii="宋体" w:hAnsi="宋体"/>
          <w:kern w:val="44"/>
        </w:rPr>
      </w:pPr>
      <w:r>
        <w:rPr>
          <w:rFonts w:hint="eastAsia" w:ascii="宋体" w:hAnsi="宋体"/>
          <w:kern w:val="44"/>
        </w:rPr>
        <w:t>（二）被取消认证标志或者名优标志后继续使用；</w:t>
      </w:r>
    </w:p>
    <w:p w14:paraId="610E6555">
      <w:pPr>
        <w:jc w:val="left"/>
        <w:rPr>
          <w:rFonts w:ascii="宋体" w:hAnsi="宋体"/>
          <w:kern w:val="44"/>
        </w:rPr>
      </w:pPr>
      <w:r>
        <w:rPr>
          <w:rFonts w:hint="eastAsia" w:ascii="宋体" w:hAnsi="宋体"/>
          <w:kern w:val="44"/>
        </w:rPr>
        <w:t>（三）使用的认证标志或者名优标志与实际所获认证标志或者名优标志不符；</w:t>
      </w:r>
    </w:p>
    <w:p w14:paraId="70E5BFCA">
      <w:pPr>
        <w:jc w:val="left"/>
        <w:rPr>
          <w:rFonts w:ascii="宋体" w:hAnsi="宋体"/>
          <w:kern w:val="44"/>
        </w:rPr>
      </w:pPr>
      <w:r>
        <w:rPr>
          <w:rFonts w:hint="eastAsia" w:ascii="宋体" w:hAnsi="宋体"/>
          <w:kern w:val="44"/>
        </w:rPr>
        <w:t>（四）伪造或者冒用质量检验合格证明、许可证号或者监制单位；</w:t>
      </w:r>
    </w:p>
    <w:p w14:paraId="2309CFCF">
      <w:pPr>
        <w:jc w:val="left"/>
        <w:rPr>
          <w:rFonts w:ascii="宋体" w:hAnsi="宋体"/>
          <w:kern w:val="44"/>
        </w:rPr>
      </w:pPr>
      <w:r>
        <w:rPr>
          <w:rFonts w:hint="eastAsia" w:ascii="宋体" w:hAnsi="宋体"/>
          <w:kern w:val="44"/>
        </w:rPr>
        <w:t>（五）伪造或者冒用他人厂名、厂址、商品加工地、制造地、生产地（包括农副产品的生长地或者养殖地）；</w:t>
      </w:r>
    </w:p>
    <w:p w14:paraId="20871959">
      <w:pPr>
        <w:jc w:val="left"/>
        <w:rPr>
          <w:rFonts w:ascii="宋体" w:hAnsi="宋体"/>
          <w:kern w:val="44"/>
        </w:rPr>
      </w:pPr>
      <w:r>
        <w:rPr>
          <w:rFonts w:hint="eastAsia" w:ascii="宋体" w:hAnsi="宋体"/>
          <w:kern w:val="44"/>
        </w:rPr>
        <w:t>（六）伪造商品规格、等级、制作成份及其名称和含量；</w:t>
      </w:r>
    </w:p>
    <w:p w14:paraId="1A275FCD">
      <w:pPr>
        <w:jc w:val="left"/>
        <w:rPr>
          <w:rFonts w:ascii="宋体" w:hAnsi="宋体"/>
          <w:kern w:val="44"/>
        </w:rPr>
      </w:pPr>
      <w:r>
        <w:rPr>
          <w:rFonts w:hint="eastAsia" w:ascii="宋体" w:hAnsi="宋体"/>
          <w:kern w:val="44"/>
        </w:rPr>
        <w:t>（七）伪造生产日期和安全使用期或者失效日期等。</w:t>
      </w:r>
    </w:p>
    <w:p w14:paraId="557B4FEB">
      <w:pPr>
        <w:ind w:firstLine="422"/>
        <w:jc w:val="left"/>
        <w:rPr>
          <w:rFonts w:ascii="宋体" w:hAnsi="宋体"/>
          <w:kern w:val="44"/>
        </w:rPr>
      </w:pPr>
      <w:r>
        <w:rPr>
          <w:rFonts w:hint="eastAsia" w:ascii="宋体" w:hAnsi="宋体"/>
          <w:b/>
          <w:kern w:val="44"/>
        </w:rPr>
        <w:t>第十二条</w:t>
      </w:r>
      <w:r>
        <w:rPr>
          <w:rFonts w:hint="eastAsia" w:ascii="宋体" w:hAnsi="宋体"/>
          <w:kern w:val="44"/>
        </w:rPr>
        <w:t>　公用企业或者其他依法具有独占地位的经营者，不得采取下列限制竞争的行为：</w:t>
      </w:r>
    </w:p>
    <w:p w14:paraId="6D9E027A">
      <w:pPr>
        <w:jc w:val="left"/>
        <w:rPr>
          <w:rFonts w:ascii="宋体" w:hAnsi="宋体"/>
          <w:kern w:val="44"/>
        </w:rPr>
      </w:pPr>
      <w:r>
        <w:rPr>
          <w:rFonts w:hint="eastAsia" w:ascii="宋体" w:hAnsi="宋体"/>
          <w:kern w:val="44"/>
        </w:rPr>
        <w:t>（一）限定用户、消费者只能购买和使用其附带提供的或者其指定的经营者提供的相关商品，而不得购买和使用其他经营者提供的符合技术标准要求的同类商品；</w:t>
      </w:r>
    </w:p>
    <w:p w14:paraId="498A57B3">
      <w:pPr>
        <w:jc w:val="left"/>
        <w:rPr>
          <w:rFonts w:ascii="宋体" w:hAnsi="宋体"/>
          <w:kern w:val="44"/>
        </w:rPr>
      </w:pPr>
      <w:r>
        <w:rPr>
          <w:rFonts w:hint="eastAsia" w:ascii="宋体" w:hAnsi="宋体"/>
          <w:kern w:val="44"/>
        </w:rPr>
        <w:t>（二）强制用户、消费者购买其提供的或者其指定的经营者提供的不必要的商品及配件；</w:t>
      </w:r>
    </w:p>
    <w:p w14:paraId="5E3478E9">
      <w:pPr>
        <w:jc w:val="left"/>
        <w:rPr>
          <w:rFonts w:ascii="宋体" w:hAnsi="宋体"/>
          <w:kern w:val="44"/>
        </w:rPr>
      </w:pPr>
      <w:r>
        <w:rPr>
          <w:rFonts w:hint="eastAsia" w:ascii="宋体" w:hAnsi="宋体"/>
          <w:kern w:val="44"/>
        </w:rPr>
        <w:t>（三）对抵制其限制竞争行为的用户、消费者采取拒绝、中断、削减供应相关商品或者滥收费用等手段进行刁难；</w:t>
      </w:r>
    </w:p>
    <w:p w14:paraId="12B0A616">
      <w:pPr>
        <w:jc w:val="left"/>
        <w:rPr>
          <w:rFonts w:ascii="宋体" w:hAnsi="宋体"/>
          <w:kern w:val="44"/>
        </w:rPr>
      </w:pPr>
      <w:r>
        <w:rPr>
          <w:rFonts w:hint="eastAsia" w:ascii="宋体" w:hAnsi="宋体"/>
          <w:kern w:val="44"/>
        </w:rPr>
        <w:t>（四）其他法律、法规定为限制竞争的行为。</w:t>
      </w:r>
    </w:p>
    <w:p w14:paraId="24381AB9">
      <w:pPr>
        <w:ind w:firstLine="422"/>
        <w:jc w:val="left"/>
        <w:rPr>
          <w:rFonts w:ascii="宋体" w:hAnsi="宋体"/>
          <w:kern w:val="44"/>
        </w:rPr>
      </w:pPr>
      <w:r>
        <w:rPr>
          <w:rFonts w:hint="eastAsia" w:ascii="宋体" w:hAnsi="宋体"/>
          <w:b/>
          <w:kern w:val="44"/>
        </w:rPr>
        <w:t>第十三条</w:t>
      </w:r>
      <w:r>
        <w:rPr>
          <w:rFonts w:hint="eastAsia" w:ascii="宋体" w:hAnsi="宋体"/>
          <w:kern w:val="44"/>
        </w:rPr>
        <w:t>　各级政府及其所属部门不得滥用行政权力，限定经营者销售商品的范围、方式、对象、数量、价格等；限定他人购买其指定的经营者的商品，限制其他经营者正当的经营活动。</w:t>
      </w:r>
    </w:p>
    <w:p w14:paraId="49221A67">
      <w:pPr>
        <w:jc w:val="left"/>
        <w:rPr>
          <w:rFonts w:ascii="宋体" w:hAnsi="宋体"/>
          <w:kern w:val="44"/>
        </w:rPr>
      </w:pPr>
      <w:r>
        <w:rPr>
          <w:rFonts w:hint="eastAsia" w:ascii="宋体" w:hAnsi="宋体"/>
          <w:kern w:val="44"/>
        </w:rPr>
        <w:t>各级政府及其所属部门不得滥用行政权力，采用建关设卡、提高检验标准、增加审批手续等手段，限制外地商品进入本地市场，或者本地商品流向外地市场。</w:t>
      </w:r>
    </w:p>
    <w:p w14:paraId="76E88752">
      <w:pPr>
        <w:ind w:firstLine="422"/>
        <w:jc w:val="left"/>
        <w:rPr>
          <w:rFonts w:ascii="宋体" w:hAnsi="宋体"/>
          <w:kern w:val="44"/>
        </w:rPr>
      </w:pPr>
      <w:r>
        <w:rPr>
          <w:rFonts w:hint="eastAsia" w:ascii="宋体" w:hAnsi="宋体"/>
          <w:b/>
          <w:kern w:val="44"/>
        </w:rPr>
        <w:t>第十四条</w:t>
      </w:r>
      <w:r>
        <w:rPr>
          <w:rFonts w:hint="eastAsia" w:ascii="宋体" w:hAnsi="宋体"/>
          <w:kern w:val="44"/>
        </w:rPr>
        <w:t>　经营者不得采用给予财物、提供公用住房、免费旅游度假及其他使对方直接或者间接受益的手段进行贿赂以销售或者购买商品。在帐外暗中给予对方单位或者个人回扣的，以行贿论处；对方单位或者个人在帐外暗中收受回扣的，以受贿论处。</w:t>
      </w:r>
    </w:p>
    <w:p w14:paraId="2F34705C">
      <w:pPr>
        <w:jc w:val="left"/>
        <w:rPr>
          <w:rFonts w:ascii="宋体" w:hAnsi="宋体"/>
          <w:kern w:val="44"/>
        </w:rPr>
      </w:pPr>
      <w:r>
        <w:rPr>
          <w:rFonts w:hint="eastAsia" w:ascii="宋体" w:hAnsi="宋体"/>
          <w:kern w:val="44"/>
        </w:rPr>
        <w:t>经营者销售或者购买商品，可以以明示方式给对方折扣，可以给中间人佣金。经营者给对方折扣、给中间人佣金，必须如实入帐。接受折扣、佣金的经营者必须如实入帐。</w:t>
      </w:r>
    </w:p>
    <w:p w14:paraId="55276B58">
      <w:pPr>
        <w:ind w:firstLine="422"/>
        <w:jc w:val="left"/>
        <w:rPr>
          <w:rFonts w:ascii="宋体" w:hAnsi="宋体"/>
          <w:kern w:val="44"/>
        </w:rPr>
      </w:pPr>
      <w:r>
        <w:rPr>
          <w:rFonts w:hint="eastAsia" w:ascii="宋体" w:hAnsi="宋体"/>
          <w:b/>
          <w:kern w:val="44"/>
        </w:rPr>
        <w:t>第十五条</w:t>
      </w:r>
      <w:r>
        <w:rPr>
          <w:rFonts w:hint="eastAsia" w:ascii="宋体" w:hAnsi="宋体"/>
          <w:kern w:val="44"/>
        </w:rPr>
        <w:t>　经营者不得利用广告或者其他方法，对商品的价格、质量、性能、用途、数量、规格、等级、制作成份及其含量和名称、制造方法、制造日期、有效期限、使用方法、产地、制造者、制造地、加工者、加工地等作引人误解的虚假的宣传。</w:t>
      </w:r>
    </w:p>
    <w:p w14:paraId="0D7483CF">
      <w:pPr>
        <w:jc w:val="left"/>
        <w:rPr>
          <w:rFonts w:ascii="宋体" w:hAnsi="宋体"/>
          <w:kern w:val="44"/>
        </w:rPr>
      </w:pPr>
      <w:r>
        <w:rPr>
          <w:rFonts w:hint="eastAsia" w:ascii="宋体" w:hAnsi="宋体"/>
          <w:kern w:val="44"/>
        </w:rPr>
        <w:t>本条所称的其他方法，是指下列行为：</w:t>
      </w:r>
    </w:p>
    <w:p w14:paraId="0EFBB6D0">
      <w:pPr>
        <w:jc w:val="left"/>
        <w:rPr>
          <w:rFonts w:ascii="宋体" w:hAnsi="宋体"/>
          <w:kern w:val="44"/>
        </w:rPr>
      </w:pPr>
      <w:r>
        <w:rPr>
          <w:rFonts w:hint="eastAsia" w:ascii="宋体" w:hAnsi="宋体"/>
          <w:kern w:val="44"/>
        </w:rPr>
        <w:t>（一）雇佣他人进行欺骗性的销售诱导；</w:t>
      </w:r>
    </w:p>
    <w:p w14:paraId="3DBA4371">
      <w:pPr>
        <w:jc w:val="left"/>
        <w:rPr>
          <w:rFonts w:ascii="宋体" w:hAnsi="宋体"/>
          <w:kern w:val="44"/>
        </w:rPr>
      </w:pPr>
      <w:r>
        <w:rPr>
          <w:rFonts w:hint="eastAsia" w:ascii="宋体" w:hAnsi="宋体"/>
          <w:kern w:val="44"/>
        </w:rPr>
        <w:t>（二）作引人误解的虚假的现场演示和说明；</w:t>
      </w:r>
    </w:p>
    <w:p w14:paraId="51187F0C">
      <w:pPr>
        <w:jc w:val="left"/>
        <w:rPr>
          <w:rFonts w:ascii="宋体" w:hAnsi="宋体"/>
          <w:kern w:val="44"/>
        </w:rPr>
      </w:pPr>
      <w:r>
        <w:rPr>
          <w:rFonts w:hint="eastAsia" w:ascii="宋体" w:hAnsi="宋体"/>
          <w:kern w:val="44"/>
        </w:rPr>
        <w:t>（三）张贴、散发、邮寄引人误解的虚假的产品说明书和其他宣传材料；</w:t>
      </w:r>
    </w:p>
    <w:p w14:paraId="6B1241C1">
      <w:pPr>
        <w:jc w:val="left"/>
        <w:rPr>
          <w:rFonts w:ascii="宋体" w:hAnsi="宋体"/>
          <w:kern w:val="44"/>
        </w:rPr>
      </w:pPr>
      <w:r>
        <w:rPr>
          <w:rFonts w:hint="eastAsia" w:ascii="宋体" w:hAnsi="宋体"/>
          <w:kern w:val="44"/>
        </w:rPr>
        <w:t>（四）在经营场所内对商品作引人误解的虚假的文字标注、说明或者解释；</w:t>
      </w:r>
    </w:p>
    <w:p w14:paraId="39660427">
      <w:pPr>
        <w:jc w:val="left"/>
        <w:rPr>
          <w:rFonts w:ascii="宋体" w:hAnsi="宋体"/>
          <w:kern w:val="44"/>
        </w:rPr>
      </w:pPr>
      <w:r>
        <w:rPr>
          <w:rFonts w:hint="eastAsia" w:ascii="宋体" w:hAnsi="宋体"/>
          <w:kern w:val="44"/>
        </w:rPr>
        <w:t>（五）利用新闻媒介作引人误解的虚假的宣传报道。</w:t>
      </w:r>
    </w:p>
    <w:p w14:paraId="02F968B1">
      <w:pPr>
        <w:jc w:val="left"/>
        <w:rPr>
          <w:rFonts w:ascii="宋体" w:hAnsi="宋体"/>
          <w:kern w:val="44"/>
        </w:rPr>
      </w:pPr>
      <w:r>
        <w:rPr>
          <w:rFonts w:hint="eastAsia" w:ascii="宋体" w:hAnsi="宋体"/>
          <w:kern w:val="44"/>
        </w:rPr>
        <w:t>广告的经营者不得在明知或者应知的情况下，代理、设计、制作、发布虚假广告或者违法有奖销售广告。</w:t>
      </w:r>
    </w:p>
    <w:p w14:paraId="09621B22">
      <w:pPr>
        <w:ind w:firstLine="422"/>
        <w:jc w:val="left"/>
        <w:rPr>
          <w:rFonts w:ascii="宋体" w:hAnsi="宋体"/>
          <w:kern w:val="44"/>
        </w:rPr>
      </w:pPr>
      <w:r>
        <w:rPr>
          <w:rFonts w:hint="eastAsia" w:ascii="宋体" w:hAnsi="宋体"/>
          <w:b/>
          <w:kern w:val="44"/>
        </w:rPr>
        <w:t>第十六条</w:t>
      </w:r>
      <w:r>
        <w:rPr>
          <w:rFonts w:hint="eastAsia" w:ascii="宋体" w:hAnsi="宋体"/>
          <w:kern w:val="44"/>
        </w:rPr>
        <w:t>　经营者不得采用下列手段侵犯商业秘密：</w:t>
      </w:r>
    </w:p>
    <w:p w14:paraId="3C576D68">
      <w:pPr>
        <w:jc w:val="left"/>
        <w:rPr>
          <w:rFonts w:ascii="宋体" w:hAnsi="宋体"/>
          <w:kern w:val="44"/>
        </w:rPr>
      </w:pPr>
      <w:r>
        <w:rPr>
          <w:rFonts w:hint="eastAsia" w:ascii="宋体" w:hAnsi="宋体"/>
          <w:kern w:val="44"/>
        </w:rPr>
        <w:t>（一）以盗窃、利诱、胁迫或者其他不正当手段获取权利人的商业秘密；</w:t>
      </w:r>
    </w:p>
    <w:p w14:paraId="3471D423">
      <w:pPr>
        <w:jc w:val="left"/>
        <w:rPr>
          <w:rFonts w:ascii="宋体" w:hAnsi="宋体"/>
          <w:kern w:val="44"/>
        </w:rPr>
      </w:pPr>
      <w:r>
        <w:rPr>
          <w:rFonts w:hint="eastAsia" w:ascii="宋体" w:hAnsi="宋体"/>
          <w:kern w:val="44"/>
        </w:rPr>
        <w:t>（二）披露、使用或者允许他人使用以前项手段获取的权利人的商业秘密；</w:t>
      </w:r>
    </w:p>
    <w:p w14:paraId="124627D5">
      <w:pPr>
        <w:jc w:val="left"/>
        <w:rPr>
          <w:rFonts w:ascii="宋体" w:hAnsi="宋体"/>
          <w:kern w:val="44"/>
        </w:rPr>
      </w:pPr>
      <w:r>
        <w:rPr>
          <w:rFonts w:hint="eastAsia" w:ascii="宋体" w:hAnsi="宋体"/>
          <w:kern w:val="44"/>
        </w:rPr>
        <w:t>（三）违反约定或者违反权利人有关保守商业秘密的要求，披露、使用或者允许他人使用其所掌握的商业秘密；</w:t>
      </w:r>
    </w:p>
    <w:p w14:paraId="38F51DE7">
      <w:pPr>
        <w:jc w:val="left"/>
        <w:rPr>
          <w:rFonts w:ascii="宋体" w:hAnsi="宋体"/>
          <w:kern w:val="44"/>
        </w:rPr>
      </w:pPr>
      <w:r>
        <w:rPr>
          <w:rFonts w:hint="eastAsia" w:ascii="宋体" w:hAnsi="宋体"/>
          <w:kern w:val="44"/>
        </w:rPr>
        <w:t>（四）以高薪或者其他优厚条件聘用掌握或者了解权利人商业秘密的人员，以获取、使用、披露权利人的商业秘密。</w:t>
      </w:r>
    </w:p>
    <w:p w14:paraId="077DCE82">
      <w:pPr>
        <w:jc w:val="left"/>
        <w:rPr>
          <w:rFonts w:ascii="宋体" w:hAnsi="宋体"/>
          <w:kern w:val="44"/>
        </w:rPr>
      </w:pPr>
      <w:r>
        <w:rPr>
          <w:rFonts w:hint="eastAsia" w:ascii="宋体" w:hAnsi="宋体"/>
          <w:kern w:val="44"/>
        </w:rPr>
        <w:t>第三人明知或者应知前款所列违法行为，获取、使用或者披露他人的商业秘密，视为侵犯商业秘密。</w:t>
      </w:r>
    </w:p>
    <w:p w14:paraId="6921B987">
      <w:pPr>
        <w:jc w:val="left"/>
        <w:rPr>
          <w:rFonts w:ascii="宋体" w:hAnsi="宋体"/>
          <w:kern w:val="44"/>
        </w:rPr>
      </w:pPr>
      <w:r>
        <w:rPr>
          <w:rFonts w:hint="eastAsia" w:ascii="宋体" w:hAnsi="宋体"/>
          <w:kern w:val="44"/>
        </w:rPr>
        <w:t>本条所称的商业秘密，是指不为公众所知悉，能为权利人带来经济利益、具有实用性并经权利人采取保密措施的技术秘密、技术信息和经营信息。</w:t>
      </w:r>
    </w:p>
    <w:p w14:paraId="74219D23">
      <w:pPr>
        <w:ind w:firstLine="422"/>
        <w:jc w:val="left"/>
        <w:rPr>
          <w:rFonts w:ascii="宋体" w:hAnsi="宋体"/>
          <w:kern w:val="44"/>
        </w:rPr>
      </w:pPr>
      <w:r>
        <w:rPr>
          <w:rFonts w:hint="eastAsia" w:ascii="宋体" w:hAnsi="宋体"/>
          <w:b/>
          <w:kern w:val="44"/>
        </w:rPr>
        <w:t>第十七条</w:t>
      </w:r>
      <w:r>
        <w:rPr>
          <w:rFonts w:hint="eastAsia" w:ascii="宋体" w:hAnsi="宋体"/>
          <w:kern w:val="44"/>
        </w:rPr>
        <w:t>　经营者不得以排挤竞争对手为目的，以低于成本的价格销售商品，进行不正当竞争。</w:t>
      </w:r>
    </w:p>
    <w:p w14:paraId="2532C78F">
      <w:pPr>
        <w:jc w:val="left"/>
        <w:rPr>
          <w:rFonts w:ascii="宋体" w:hAnsi="宋体"/>
          <w:kern w:val="44"/>
        </w:rPr>
      </w:pPr>
      <w:r>
        <w:rPr>
          <w:rFonts w:hint="eastAsia" w:ascii="宋体" w:hAnsi="宋体"/>
          <w:kern w:val="44"/>
        </w:rPr>
        <w:t>有下列情形之一的，不属于不正当竞争行为：</w:t>
      </w:r>
    </w:p>
    <w:p w14:paraId="16270DA2">
      <w:pPr>
        <w:jc w:val="left"/>
        <w:rPr>
          <w:rFonts w:ascii="宋体" w:hAnsi="宋体"/>
          <w:kern w:val="44"/>
        </w:rPr>
      </w:pPr>
      <w:r>
        <w:rPr>
          <w:rFonts w:hint="eastAsia" w:ascii="宋体" w:hAnsi="宋体"/>
          <w:kern w:val="44"/>
        </w:rPr>
        <w:t>（一）销售鲜活商品；</w:t>
      </w:r>
    </w:p>
    <w:p w14:paraId="58624A1C">
      <w:pPr>
        <w:jc w:val="left"/>
        <w:rPr>
          <w:rFonts w:ascii="宋体" w:hAnsi="宋体"/>
          <w:kern w:val="44"/>
        </w:rPr>
      </w:pPr>
      <w:r>
        <w:rPr>
          <w:rFonts w:hint="eastAsia" w:ascii="宋体" w:hAnsi="宋体"/>
          <w:kern w:val="44"/>
        </w:rPr>
        <w:t>（二）处理有效期限即将到期的商品或者其他积压的商品；</w:t>
      </w:r>
    </w:p>
    <w:p w14:paraId="07186BAC">
      <w:pPr>
        <w:jc w:val="left"/>
        <w:rPr>
          <w:rFonts w:ascii="宋体" w:hAnsi="宋体"/>
          <w:kern w:val="44"/>
        </w:rPr>
      </w:pPr>
      <w:r>
        <w:rPr>
          <w:rFonts w:hint="eastAsia" w:ascii="宋体" w:hAnsi="宋体"/>
          <w:kern w:val="44"/>
        </w:rPr>
        <w:t>（三）季节性降价；</w:t>
      </w:r>
    </w:p>
    <w:p w14:paraId="10DD2A59">
      <w:pPr>
        <w:jc w:val="left"/>
        <w:rPr>
          <w:rFonts w:ascii="宋体" w:hAnsi="宋体"/>
          <w:kern w:val="44"/>
        </w:rPr>
      </w:pPr>
      <w:r>
        <w:rPr>
          <w:rFonts w:hint="eastAsia" w:ascii="宋体" w:hAnsi="宋体"/>
          <w:kern w:val="44"/>
        </w:rPr>
        <w:t>（四）因清偿债务、转产、歇业降价销售商品。</w:t>
      </w:r>
    </w:p>
    <w:p w14:paraId="39FCEC34">
      <w:pPr>
        <w:ind w:firstLine="422"/>
        <w:jc w:val="left"/>
        <w:rPr>
          <w:rFonts w:ascii="宋体" w:hAnsi="宋体"/>
          <w:kern w:val="44"/>
        </w:rPr>
      </w:pPr>
      <w:r>
        <w:rPr>
          <w:rFonts w:hint="eastAsia" w:ascii="宋体" w:hAnsi="宋体"/>
          <w:b/>
          <w:kern w:val="44"/>
        </w:rPr>
        <w:t>第十八条</w:t>
      </w:r>
      <w:r>
        <w:rPr>
          <w:rFonts w:hint="eastAsia" w:ascii="宋体" w:hAnsi="宋体"/>
          <w:kern w:val="44"/>
        </w:rPr>
        <w:t>　经营者销售商品，不得违背购买者的意愿搭售商品或者附加其他不合理的条件。</w:t>
      </w:r>
    </w:p>
    <w:p w14:paraId="1EABFE43">
      <w:pPr>
        <w:ind w:firstLine="422"/>
        <w:jc w:val="left"/>
        <w:rPr>
          <w:rFonts w:ascii="宋体" w:hAnsi="宋体"/>
          <w:kern w:val="44"/>
        </w:rPr>
      </w:pPr>
      <w:r>
        <w:rPr>
          <w:rFonts w:hint="eastAsia" w:ascii="宋体" w:hAnsi="宋体"/>
          <w:b/>
          <w:kern w:val="44"/>
        </w:rPr>
        <w:t>第十九条</w:t>
      </w:r>
      <w:r>
        <w:rPr>
          <w:rFonts w:hint="eastAsia" w:ascii="宋体" w:hAnsi="宋体"/>
          <w:kern w:val="44"/>
        </w:rPr>
        <w:t>　经营者不得从事下列欺骗性有奖销售：</w:t>
      </w:r>
    </w:p>
    <w:p w14:paraId="1652F662">
      <w:pPr>
        <w:jc w:val="left"/>
        <w:rPr>
          <w:rFonts w:ascii="宋体" w:hAnsi="宋体"/>
          <w:kern w:val="44"/>
        </w:rPr>
      </w:pPr>
      <w:r>
        <w:rPr>
          <w:rFonts w:hint="eastAsia" w:ascii="宋体" w:hAnsi="宋体"/>
          <w:kern w:val="44"/>
        </w:rPr>
        <w:t>（一）谎称有奖或者故意让内定人员中奖；</w:t>
      </w:r>
    </w:p>
    <w:p w14:paraId="0A39E22A">
      <w:pPr>
        <w:jc w:val="left"/>
        <w:rPr>
          <w:rFonts w:ascii="宋体" w:hAnsi="宋体"/>
          <w:kern w:val="44"/>
        </w:rPr>
      </w:pPr>
      <w:r>
        <w:rPr>
          <w:rFonts w:hint="eastAsia" w:ascii="宋体" w:hAnsi="宋体"/>
          <w:kern w:val="44"/>
        </w:rPr>
        <w:t>（二）对所设奖的种类、中奖概率、最高奖金额、总金额和奖品种类、数量、质量、提供方法等作虚假的表示；</w:t>
      </w:r>
    </w:p>
    <w:p w14:paraId="7152AF34">
      <w:pPr>
        <w:jc w:val="left"/>
        <w:rPr>
          <w:rFonts w:ascii="宋体" w:hAnsi="宋体"/>
          <w:kern w:val="44"/>
        </w:rPr>
      </w:pPr>
      <w:r>
        <w:rPr>
          <w:rFonts w:hint="eastAsia" w:ascii="宋体" w:hAnsi="宋体"/>
          <w:kern w:val="44"/>
        </w:rPr>
        <w:t>（三）故意将设有中奖标志的商品、奖券不投放市场或者不同时投放市场； 故意将带有不同奖金金额或者奖品标志的商品、奖券按不同时间投放市场；</w:t>
      </w:r>
    </w:p>
    <w:p w14:paraId="7BCB4DF0">
      <w:pPr>
        <w:spacing w:line="356" w:lineRule="exact"/>
        <w:jc w:val="left"/>
        <w:rPr>
          <w:rFonts w:ascii="宋体" w:hAnsi="宋体"/>
          <w:kern w:val="44"/>
        </w:rPr>
      </w:pPr>
      <w:r>
        <w:rPr>
          <w:rFonts w:hint="eastAsia" w:ascii="宋体" w:hAnsi="宋体"/>
          <w:kern w:val="44"/>
        </w:rPr>
        <w:t>（四）其他法律、法规规定为欺骗性有奖销售的行为。</w:t>
      </w:r>
    </w:p>
    <w:p w14:paraId="5B753B6C">
      <w:pPr>
        <w:spacing w:line="356" w:lineRule="exact"/>
        <w:ind w:firstLine="422"/>
        <w:jc w:val="left"/>
        <w:rPr>
          <w:rFonts w:ascii="宋体" w:hAnsi="宋体"/>
          <w:kern w:val="44"/>
        </w:rPr>
      </w:pPr>
      <w:r>
        <w:rPr>
          <w:rFonts w:hint="eastAsia" w:ascii="宋体" w:hAnsi="宋体"/>
          <w:b/>
          <w:kern w:val="44"/>
        </w:rPr>
        <w:t>第二十条</w:t>
      </w:r>
      <w:r>
        <w:rPr>
          <w:rFonts w:hint="eastAsia" w:ascii="宋体" w:hAnsi="宋体"/>
          <w:kern w:val="44"/>
        </w:rPr>
        <w:t>　抽奖式的有奖销售，最高奖的金额不得超过5000元。以物品或者其他方式作为奖励的，按照同期市场同类商品的价格折算，其金额不得超过5000元。</w:t>
      </w:r>
    </w:p>
    <w:p w14:paraId="2AB52A3B">
      <w:pPr>
        <w:spacing w:line="356" w:lineRule="exact"/>
        <w:ind w:firstLine="422"/>
        <w:jc w:val="left"/>
        <w:rPr>
          <w:rFonts w:ascii="宋体" w:hAnsi="宋体"/>
          <w:kern w:val="44"/>
        </w:rPr>
      </w:pPr>
      <w:r>
        <w:rPr>
          <w:rFonts w:hint="eastAsia" w:ascii="宋体" w:hAnsi="宋体"/>
          <w:b/>
          <w:kern w:val="44"/>
        </w:rPr>
        <w:t>第二十一条</w:t>
      </w:r>
      <w:r>
        <w:rPr>
          <w:rFonts w:hint="eastAsia" w:ascii="宋体" w:hAnsi="宋体"/>
          <w:kern w:val="44"/>
        </w:rPr>
        <w:t>　经营者不得利用有奖销售手段推销质次价高的商品。</w:t>
      </w:r>
    </w:p>
    <w:p w14:paraId="0D02D128">
      <w:pPr>
        <w:spacing w:line="356" w:lineRule="exact"/>
        <w:ind w:firstLine="422"/>
        <w:jc w:val="left"/>
        <w:rPr>
          <w:rFonts w:ascii="宋体" w:hAnsi="宋体"/>
          <w:kern w:val="44"/>
        </w:rPr>
      </w:pPr>
      <w:r>
        <w:rPr>
          <w:rFonts w:hint="eastAsia" w:ascii="宋体" w:hAnsi="宋体"/>
          <w:b/>
          <w:kern w:val="44"/>
        </w:rPr>
        <w:t>第二十二条</w:t>
      </w:r>
      <w:r>
        <w:rPr>
          <w:rFonts w:hint="eastAsia" w:ascii="宋体" w:hAnsi="宋体"/>
          <w:kern w:val="44"/>
        </w:rPr>
        <w:t>　经营者不得捏造、散布虚伪事实，损害竞争对手的商业信誉、商品声誉。</w:t>
      </w:r>
    </w:p>
    <w:p w14:paraId="606659F1">
      <w:pPr>
        <w:spacing w:line="356" w:lineRule="exact"/>
        <w:ind w:firstLine="422"/>
        <w:jc w:val="left"/>
        <w:rPr>
          <w:rFonts w:ascii="宋体" w:hAnsi="宋体"/>
          <w:kern w:val="44"/>
        </w:rPr>
      </w:pPr>
      <w:r>
        <w:rPr>
          <w:rFonts w:hint="eastAsia" w:ascii="宋体" w:hAnsi="宋体"/>
          <w:b/>
          <w:kern w:val="44"/>
        </w:rPr>
        <w:t>第二十三条</w:t>
      </w:r>
      <w:r>
        <w:rPr>
          <w:rFonts w:hint="eastAsia" w:ascii="宋体" w:hAnsi="宋体"/>
          <w:kern w:val="44"/>
        </w:rPr>
        <w:t>　投标者不得采取下列串通投标的行为：</w:t>
      </w:r>
    </w:p>
    <w:p w14:paraId="15B4F333">
      <w:pPr>
        <w:spacing w:line="356" w:lineRule="exact"/>
        <w:jc w:val="left"/>
        <w:rPr>
          <w:rFonts w:ascii="宋体" w:hAnsi="宋体"/>
          <w:kern w:val="44"/>
        </w:rPr>
      </w:pPr>
      <w:r>
        <w:rPr>
          <w:rFonts w:hint="eastAsia" w:ascii="宋体" w:hAnsi="宋体"/>
          <w:kern w:val="44"/>
        </w:rPr>
        <w:t>（一）投标者之间相互约定，一致抬高或者压低投标报价的；</w:t>
      </w:r>
    </w:p>
    <w:p w14:paraId="2259CBB3">
      <w:pPr>
        <w:spacing w:line="356" w:lineRule="exact"/>
        <w:jc w:val="left"/>
        <w:rPr>
          <w:rFonts w:ascii="宋体" w:hAnsi="宋体"/>
          <w:kern w:val="44"/>
        </w:rPr>
      </w:pPr>
      <w:r>
        <w:rPr>
          <w:rFonts w:hint="eastAsia" w:ascii="宋体" w:hAnsi="宋体"/>
          <w:kern w:val="44"/>
        </w:rPr>
        <w:t>（二）投标者之间相互约定，在类似招标项目中轮流以高价位或者低价位中标的；</w:t>
      </w:r>
    </w:p>
    <w:p w14:paraId="715733C4">
      <w:pPr>
        <w:spacing w:line="356" w:lineRule="exact"/>
        <w:jc w:val="left"/>
        <w:rPr>
          <w:rFonts w:ascii="宋体" w:hAnsi="宋体"/>
          <w:kern w:val="44"/>
        </w:rPr>
      </w:pPr>
      <w:r>
        <w:rPr>
          <w:rFonts w:hint="eastAsia" w:ascii="宋体" w:hAnsi="宋体"/>
          <w:kern w:val="44"/>
        </w:rPr>
        <w:t>（三）投标者之间就标价之外其他事项进行串通，以排挤其他竞争对手的。</w:t>
      </w:r>
    </w:p>
    <w:p w14:paraId="1B736A05">
      <w:pPr>
        <w:spacing w:line="356" w:lineRule="exact"/>
        <w:ind w:firstLine="422"/>
        <w:jc w:val="left"/>
        <w:rPr>
          <w:rFonts w:ascii="宋体" w:hAnsi="宋体"/>
          <w:kern w:val="44"/>
        </w:rPr>
      </w:pPr>
      <w:r>
        <w:rPr>
          <w:rFonts w:hint="eastAsia" w:ascii="宋体" w:hAnsi="宋体"/>
          <w:b/>
          <w:kern w:val="44"/>
        </w:rPr>
        <w:t>第二十四条</w:t>
      </w:r>
      <w:r>
        <w:rPr>
          <w:rFonts w:hint="eastAsia" w:ascii="宋体" w:hAnsi="宋体"/>
          <w:kern w:val="44"/>
        </w:rPr>
        <w:t>　投标者和招标者不得相互勾结，以排挤其他竞争对手的公平竞争：</w:t>
      </w:r>
    </w:p>
    <w:p w14:paraId="52268401">
      <w:pPr>
        <w:spacing w:line="356" w:lineRule="exact"/>
        <w:jc w:val="left"/>
        <w:rPr>
          <w:rFonts w:ascii="宋体" w:hAnsi="宋体"/>
          <w:kern w:val="44"/>
        </w:rPr>
      </w:pPr>
      <w:r>
        <w:rPr>
          <w:rFonts w:hint="eastAsia" w:ascii="宋体" w:hAnsi="宋体"/>
          <w:kern w:val="44"/>
        </w:rPr>
        <w:t>（一）招标者在公开开标之前，私下开启标书，并告知尚未报送标书的其他投标者的；</w:t>
      </w:r>
    </w:p>
    <w:p w14:paraId="0BB3E30E">
      <w:pPr>
        <w:spacing w:line="356" w:lineRule="exact"/>
        <w:jc w:val="left"/>
        <w:rPr>
          <w:rFonts w:ascii="宋体" w:hAnsi="宋体"/>
          <w:kern w:val="44"/>
        </w:rPr>
      </w:pPr>
      <w:r>
        <w:rPr>
          <w:rFonts w:hint="eastAsia" w:ascii="宋体" w:hAnsi="宋体"/>
          <w:kern w:val="44"/>
        </w:rPr>
        <w:t>（二）招标者在要求投标者就其标书澄清事项时，故意作引导性提问，以促成该投标者中标的；</w:t>
      </w:r>
    </w:p>
    <w:p w14:paraId="444B82E1">
      <w:pPr>
        <w:spacing w:line="356" w:lineRule="exact"/>
        <w:jc w:val="left"/>
        <w:rPr>
          <w:rFonts w:ascii="宋体" w:hAnsi="宋体"/>
          <w:kern w:val="44"/>
        </w:rPr>
      </w:pPr>
      <w:r>
        <w:rPr>
          <w:rFonts w:hint="eastAsia" w:ascii="宋体" w:hAnsi="宋体"/>
          <w:kern w:val="44"/>
        </w:rPr>
        <w:t>（三）投标者与招标者商定，在公开投标时压低标价，中标后再给招标者部分额外补偿的；</w:t>
      </w:r>
    </w:p>
    <w:p w14:paraId="3C50D940">
      <w:pPr>
        <w:spacing w:line="356" w:lineRule="exact"/>
        <w:jc w:val="left"/>
        <w:rPr>
          <w:rFonts w:ascii="宋体" w:hAnsi="宋体"/>
          <w:kern w:val="44"/>
        </w:rPr>
      </w:pPr>
      <w:r>
        <w:rPr>
          <w:rFonts w:hint="eastAsia" w:ascii="宋体" w:hAnsi="宋体"/>
          <w:kern w:val="44"/>
        </w:rPr>
        <w:t>（四）招标者向投标者泄露招标底价的；</w:t>
      </w:r>
    </w:p>
    <w:p w14:paraId="6B371C5C">
      <w:pPr>
        <w:spacing w:line="356" w:lineRule="exact"/>
        <w:jc w:val="left"/>
        <w:rPr>
          <w:rFonts w:ascii="宋体" w:hAnsi="宋体"/>
          <w:kern w:val="44"/>
        </w:rPr>
      </w:pPr>
      <w:r>
        <w:rPr>
          <w:rFonts w:hint="eastAsia" w:ascii="宋体" w:hAnsi="宋体"/>
          <w:kern w:val="44"/>
        </w:rPr>
        <w:t>（五）其他法律、法规规定为招标过程中的营私舞弊行为。</w:t>
      </w:r>
    </w:p>
    <w:p w14:paraId="55640D2B">
      <w:pPr>
        <w:spacing w:line="356" w:lineRule="exact"/>
        <w:jc w:val="left"/>
        <w:rPr>
          <w:rFonts w:ascii="宋体" w:hAnsi="宋体"/>
          <w:kern w:val="44"/>
        </w:rPr>
      </w:pPr>
    </w:p>
    <w:p w14:paraId="73A0B704">
      <w:pPr>
        <w:spacing w:line="356" w:lineRule="exact"/>
        <w:ind w:firstLine="0" w:firstLineChars="0"/>
        <w:jc w:val="center"/>
        <w:rPr>
          <w:rFonts w:ascii="宋体" w:hAnsi="宋体"/>
          <w:b/>
          <w:kern w:val="44"/>
          <w:sz w:val="28"/>
        </w:rPr>
      </w:pPr>
      <w:r>
        <w:rPr>
          <w:rFonts w:hint="eastAsia" w:ascii="宋体" w:hAnsi="宋体"/>
          <w:b/>
          <w:kern w:val="44"/>
          <w:sz w:val="28"/>
        </w:rPr>
        <w:t>第三章　监督检查</w:t>
      </w:r>
    </w:p>
    <w:p w14:paraId="48913DC3">
      <w:pPr>
        <w:spacing w:line="356" w:lineRule="exact"/>
        <w:jc w:val="left"/>
        <w:rPr>
          <w:rFonts w:ascii="宋体" w:hAnsi="宋体"/>
          <w:kern w:val="44"/>
        </w:rPr>
      </w:pPr>
    </w:p>
    <w:p w14:paraId="56207DBB">
      <w:pPr>
        <w:spacing w:line="356" w:lineRule="exact"/>
        <w:ind w:firstLine="422"/>
        <w:jc w:val="left"/>
        <w:rPr>
          <w:rFonts w:ascii="宋体" w:hAnsi="宋体"/>
          <w:kern w:val="44"/>
        </w:rPr>
      </w:pPr>
      <w:r>
        <w:rPr>
          <w:rFonts w:hint="eastAsia" w:ascii="宋体" w:hAnsi="宋体"/>
          <w:b/>
          <w:kern w:val="44"/>
        </w:rPr>
        <w:t>第二十五条</w:t>
      </w:r>
      <w:r>
        <w:rPr>
          <w:rFonts w:hint="eastAsia" w:ascii="宋体" w:hAnsi="宋体"/>
          <w:kern w:val="44"/>
        </w:rPr>
        <w:t>　对不正当竞争行为的查处，由违法行为发生地的监督检查部门管辖。</w:t>
      </w:r>
    </w:p>
    <w:p w14:paraId="4EF4B99F">
      <w:pPr>
        <w:spacing w:line="356" w:lineRule="exact"/>
        <w:jc w:val="left"/>
        <w:rPr>
          <w:rFonts w:ascii="宋体" w:hAnsi="宋体"/>
          <w:kern w:val="44"/>
        </w:rPr>
      </w:pPr>
      <w:r>
        <w:rPr>
          <w:rFonts w:hint="eastAsia" w:ascii="宋体" w:hAnsi="宋体"/>
          <w:kern w:val="44"/>
        </w:rPr>
        <w:t>市级监督检查部门可以直接查处区、县监督检查部门管辖的案件。重大、疑难案件，区、县监督检查部门可以报请市级监督检查部门查处。</w:t>
      </w:r>
    </w:p>
    <w:p w14:paraId="5C55F4BB">
      <w:pPr>
        <w:spacing w:line="356" w:lineRule="exact"/>
        <w:jc w:val="left"/>
        <w:rPr>
          <w:rFonts w:ascii="宋体" w:hAnsi="宋体"/>
          <w:kern w:val="44"/>
        </w:rPr>
      </w:pPr>
      <w:r>
        <w:rPr>
          <w:rFonts w:hint="eastAsia" w:ascii="宋体" w:hAnsi="宋体"/>
          <w:kern w:val="44"/>
        </w:rPr>
        <w:t>公用企业或者其他依法具有独占地位的经营者的不正当竞争行为，由市级监督检查部门查处。市级监督检查部门可以委托区、县监督检查部门调查案情。</w:t>
      </w:r>
    </w:p>
    <w:p w14:paraId="71B1974F">
      <w:pPr>
        <w:spacing w:line="356" w:lineRule="exact"/>
        <w:ind w:firstLine="422"/>
        <w:jc w:val="left"/>
        <w:rPr>
          <w:rFonts w:ascii="宋体" w:hAnsi="宋体"/>
          <w:kern w:val="44"/>
        </w:rPr>
      </w:pPr>
      <w:r>
        <w:rPr>
          <w:rFonts w:hint="eastAsia" w:ascii="宋体" w:hAnsi="宋体"/>
          <w:b/>
          <w:kern w:val="44"/>
        </w:rPr>
        <w:t>第二十六条</w:t>
      </w:r>
      <w:r>
        <w:rPr>
          <w:rFonts w:hint="eastAsia" w:ascii="宋体" w:hAnsi="宋体"/>
          <w:kern w:val="44"/>
        </w:rPr>
        <w:t>　监督检查部门在监督检查不正当竞争行为时，有权行使下列职权：</w:t>
      </w:r>
    </w:p>
    <w:p w14:paraId="0309861B">
      <w:pPr>
        <w:spacing w:line="356" w:lineRule="exact"/>
        <w:jc w:val="left"/>
        <w:rPr>
          <w:rFonts w:ascii="宋体" w:hAnsi="宋体"/>
          <w:kern w:val="44"/>
        </w:rPr>
      </w:pPr>
      <w:r>
        <w:rPr>
          <w:rFonts w:hint="eastAsia" w:ascii="宋体" w:hAnsi="宋体"/>
          <w:kern w:val="44"/>
        </w:rPr>
        <w:t>（一）按照规定程序询问被检查的经营者、利害关系人、证明人，并要求提供证明材料或者与不正当竞争行为有关的其他资料；</w:t>
      </w:r>
    </w:p>
    <w:p w14:paraId="3A306C90">
      <w:pPr>
        <w:spacing w:line="356" w:lineRule="exact"/>
        <w:jc w:val="left"/>
        <w:rPr>
          <w:rFonts w:ascii="宋体" w:hAnsi="宋体"/>
          <w:kern w:val="44"/>
        </w:rPr>
      </w:pPr>
      <w:r>
        <w:rPr>
          <w:rFonts w:hint="eastAsia" w:ascii="宋体" w:hAnsi="宋体"/>
          <w:kern w:val="44"/>
        </w:rPr>
        <w:t>（二）查询、复制与不正当竞争行为有关的协议、</w:t>
      </w:r>
      <w:r>
        <w:rPr>
          <w:rFonts w:hint="eastAsia" w:ascii="宋体" w:hAnsi="宋体"/>
          <w:kern w:val="44"/>
          <w:lang w:eastAsia="zh-CN"/>
        </w:rPr>
        <w:t>账册</w:t>
      </w:r>
      <w:r>
        <w:rPr>
          <w:rFonts w:hint="eastAsia" w:ascii="宋体" w:hAnsi="宋体"/>
          <w:kern w:val="44"/>
        </w:rPr>
        <w:t>、单据、文件、记录、业务函电和其他资料；</w:t>
      </w:r>
    </w:p>
    <w:p w14:paraId="5D711AB5">
      <w:pPr>
        <w:spacing w:line="356" w:lineRule="exact"/>
        <w:jc w:val="left"/>
        <w:rPr>
          <w:rFonts w:ascii="宋体" w:hAnsi="宋体"/>
          <w:kern w:val="44"/>
        </w:rPr>
      </w:pPr>
      <w:r>
        <w:rPr>
          <w:rFonts w:hint="eastAsia" w:ascii="宋体" w:hAnsi="宋体"/>
          <w:kern w:val="44"/>
        </w:rPr>
        <w:t>（三）检查与本条例第八条至第十一条规定的不正当竞争行为有关的财物，必要时可以责令被检查的经营者说明该商品的来源和数量，并可以以书面形式责令其暂停销售，听候检查，不得转移、隐匿、销毁该财物；发现被检查的经营者有明显转移、隐匿、销毁该财物意图的，区、县级以上监督检查部门可以对该财物予以封存、暂扣，并在规定的时限内作出处理。</w:t>
      </w:r>
    </w:p>
    <w:p w14:paraId="591A10C7">
      <w:pPr>
        <w:spacing w:line="356" w:lineRule="exact"/>
        <w:jc w:val="left"/>
        <w:rPr>
          <w:rFonts w:ascii="宋体" w:hAnsi="宋体"/>
          <w:kern w:val="44"/>
        </w:rPr>
      </w:pPr>
      <w:r>
        <w:rPr>
          <w:rFonts w:hint="eastAsia" w:ascii="宋体" w:hAnsi="宋体"/>
          <w:kern w:val="44"/>
        </w:rPr>
        <w:t>实施前款第（三）项行政强制措施，应当经区、县级以上监督检查部门负责人批准。</w:t>
      </w:r>
    </w:p>
    <w:p w14:paraId="509596CE">
      <w:pPr>
        <w:spacing w:line="356" w:lineRule="exact"/>
        <w:ind w:firstLine="422"/>
        <w:jc w:val="left"/>
        <w:rPr>
          <w:rFonts w:ascii="宋体" w:hAnsi="宋体"/>
          <w:kern w:val="44"/>
        </w:rPr>
      </w:pPr>
      <w:r>
        <w:rPr>
          <w:rFonts w:hint="eastAsia" w:ascii="宋体" w:hAnsi="宋体"/>
          <w:b/>
          <w:kern w:val="44"/>
        </w:rPr>
        <w:t>第二十七条</w:t>
      </w:r>
      <w:r>
        <w:rPr>
          <w:rFonts w:hint="eastAsia" w:ascii="宋体" w:hAnsi="宋体"/>
          <w:kern w:val="44"/>
        </w:rPr>
        <w:t>　监督检查部门工作人员监督检查不正当竞争行为时，应当出示检查证件。对不出示检查证件的，被检查的经营者有权拒绝检查。</w:t>
      </w:r>
    </w:p>
    <w:p w14:paraId="124B3ADB">
      <w:pPr>
        <w:spacing w:line="356" w:lineRule="exact"/>
        <w:ind w:firstLine="422"/>
        <w:jc w:val="left"/>
        <w:rPr>
          <w:rFonts w:ascii="宋体" w:hAnsi="宋体"/>
          <w:kern w:val="44"/>
        </w:rPr>
      </w:pPr>
      <w:r>
        <w:rPr>
          <w:rFonts w:hint="eastAsia" w:ascii="宋体" w:hAnsi="宋体"/>
          <w:b/>
          <w:kern w:val="44"/>
        </w:rPr>
        <w:t>第二十八条</w:t>
      </w:r>
      <w:r>
        <w:rPr>
          <w:rFonts w:hint="eastAsia" w:ascii="宋体" w:hAnsi="宋体"/>
          <w:kern w:val="44"/>
        </w:rPr>
        <w:t>　监督检查部门在监督检查不正当竞争行为时，被检查的经营者、利害关系人和证明人应当在规定的时限内，如实提供有关资料或者情况，不得拒绝、拖延或者谎报。</w:t>
      </w:r>
    </w:p>
    <w:p w14:paraId="4E8CBFF4">
      <w:pPr>
        <w:spacing w:line="356" w:lineRule="exact"/>
        <w:ind w:firstLine="422"/>
        <w:jc w:val="left"/>
        <w:rPr>
          <w:rFonts w:ascii="宋体" w:hAnsi="宋体"/>
          <w:kern w:val="44"/>
        </w:rPr>
      </w:pPr>
      <w:r>
        <w:rPr>
          <w:rFonts w:hint="eastAsia" w:ascii="宋体" w:hAnsi="宋体"/>
          <w:b/>
          <w:kern w:val="44"/>
        </w:rPr>
        <w:t>第二十九条</w:t>
      </w:r>
      <w:r>
        <w:rPr>
          <w:rFonts w:hint="eastAsia" w:ascii="宋体" w:hAnsi="宋体"/>
          <w:kern w:val="44"/>
        </w:rPr>
        <w:t>　监督检查部门在监督检查不正当竞争行为时，可以请公安机关予以协助；经初步调查被检查的经营者有经济犯罪行为的，可以依照法定程序提请检察机关介入检察。公安、检察机关应当予以配合。</w:t>
      </w:r>
    </w:p>
    <w:p w14:paraId="0C9B71D9">
      <w:pPr>
        <w:spacing w:line="356" w:lineRule="exact"/>
        <w:ind w:firstLine="422"/>
        <w:jc w:val="left"/>
        <w:rPr>
          <w:rFonts w:ascii="宋体" w:hAnsi="宋体"/>
          <w:kern w:val="44"/>
        </w:rPr>
      </w:pPr>
      <w:r>
        <w:rPr>
          <w:rFonts w:hint="eastAsia" w:ascii="宋体" w:hAnsi="宋体"/>
          <w:b/>
          <w:kern w:val="44"/>
        </w:rPr>
        <w:t>第三十条</w:t>
      </w:r>
      <w:r>
        <w:rPr>
          <w:rFonts w:hint="eastAsia" w:ascii="宋体" w:hAnsi="宋体"/>
          <w:kern w:val="44"/>
        </w:rPr>
        <w:t>　本市设立公平竞争专家咨询委员会，其职责是按照监督检查部门的要求，对难以认定是否为不正当竞争的行为，提出咨询意见。</w:t>
      </w:r>
    </w:p>
    <w:p w14:paraId="5DBEBDFF">
      <w:pPr>
        <w:spacing w:line="356" w:lineRule="exact"/>
        <w:jc w:val="left"/>
        <w:rPr>
          <w:rFonts w:ascii="宋体" w:hAnsi="宋体"/>
          <w:kern w:val="44"/>
        </w:rPr>
      </w:pPr>
      <w:r>
        <w:rPr>
          <w:rFonts w:hint="eastAsia" w:ascii="宋体" w:hAnsi="宋体"/>
          <w:kern w:val="44"/>
        </w:rPr>
        <w:t>专家咨询委员会的组成和议事规则由市人民政府另行规定。</w:t>
      </w:r>
    </w:p>
    <w:p w14:paraId="461F7DC0">
      <w:pPr>
        <w:spacing w:line="300" w:lineRule="exact"/>
        <w:jc w:val="left"/>
        <w:rPr>
          <w:rFonts w:ascii="宋体" w:hAnsi="宋体"/>
          <w:kern w:val="44"/>
        </w:rPr>
      </w:pPr>
    </w:p>
    <w:p w14:paraId="3F7F6D06">
      <w:pPr>
        <w:ind w:firstLine="0" w:firstLineChars="0"/>
        <w:jc w:val="center"/>
        <w:rPr>
          <w:rFonts w:ascii="宋体" w:hAnsi="宋体"/>
          <w:b/>
          <w:kern w:val="44"/>
          <w:sz w:val="28"/>
        </w:rPr>
      </w:pPr>
      <w:r>
        <w:rPr>
          <w:rFonts w:hint="eastAsia" w:ascii="宋体" w:hAnsi="宋体"/>
          <w:b/>
          <w:kern w:val="44"/>
          <w:sz w:val="28"/>
        </w:rPr>
        <w:t>第四章　法律责任</w:t>
      </w:r>
    </w:p>
    <w:p w14:paraId="0E75C819">
      <w:pPr>
        <w:spacing w:line="300" w:lineRule="exact"/>
        <w:jc w:val="left"/>
        <w:rPr>
          <w:rFonts w:ascii="宋体" w:hAnsi="宋体"/>
          <w:kern w:val="44"/>
        </w:rPr>
      </w:pPr>
    </w:p>
    <w:p w14:paraId="79D457C4">
      <w:pPr>
        <w:spacing w:line="356" w:lineRule="exact"/>
        <w:ind w:firstLine="422"/>
        <w:jc w:val="left"/>
        <w:rPr>
          <w:rFonts w:ascii="宋体" w:hAnsi="宋体"/>
          <w:kern w:val="44"/>
        </w:rPr>
      </w:pPr>
      <w:r>
        <w:rPr>
          <w:rFonts w:hint="eastAsia" w:ascii="宋体" w:hAnsi="宋体"/>
          <w:b/>
          <w:kern w:val="44"/>
        </w:rPr>
        <w:t>第三十一条</w:t>
      </w:r>
      <w:r>
        <w:rPr>
          <w:rFonts w:hint="eastAsia" w:ascii="宋体" w:hAnsi="宋体"/>
          <w:kern w:val="44"/>
        </w:rPr>
        <w:t>　经营者违反本条例规定，给被侵害的经营者造成损害的，应当承担损害赔偿责任，被侵害的经营者的损失难以计算的，赔偿额为侵权人在侵权期间因侵权所获得的利润；并应当承担被侵害的经营者因调查该经营者侵害其合法权益的不正当竞争行为所支付的合理费用。</w:t>
      </w:r>
    </w:p>
    <w:p w14:paraId="6EE40DF4">
      <w:pPr>
        <w:spacing w:line="356" w:lineRule="exact"/>
        <w:jc w:val="left"/>
        <w:rPr>
          <w:rFonts w:ascii="宋体" w:hAnsi="宋体"/>
          <w:kern w:val="44"/>
        </w:rPr>
      </w:pPr>
      <w:r>
        <w:rPr>
          <w:rFonts w:hint="eastAsia" w:ascii="宋体" w:hAnsi="宋体"/>
          <w:kern w:val="44"/>
        </w:rPr>
        <w:t>被侵害的经营者要求侵权人赔偿经济损失的，经双方当事人协议，可以请求监督检查部门予以调解，调解不成的，可以向人民法院提起诉讼；被侵害的经营者也可以直接向人民法院提起诉讼。</w:t>
      </w:r>
    </w:p>
    <w:p w14:paraId="06FC2717">
      <w:pPr>
        <w:spacing w:line="356" w:lineRule="exact"/>
        <w:ind w:firstLine="422"/>
        <w:jc w:val="left"/>
        <w:rPr>
          <w:rFonts w:ascii="宋体" w:hAnsi="宋体"/>
          <w:kern w:val="44"/>
        </w:rPr>
      </w:pPr>
      <w:r>
        <w:rPr>
          <w:rFonts w:hint="eastAsia" w:ascii="宋体" w:hAnsi="宋体"/>
          <w:b/>
          <w:kern w:val="44"/>
        </w:rPr>
        <w:t>第三十二条</w:t>
      </w:r>
      <w:r>
        <w:rPr>
          <w:rFonts w:hint="eastAsia" w:ascii="宋体" w:hAnsi="宋体"/>
          <w:kern w:val="44"/>
        </w:rPr>
        <w:t>　经营者违反本条例第八条的规定，假冒他人注册商标的，依照《中华人民共和国商标法》处罚；构成犯罪的，依法追究刑事责任。</w:t>
      </w:r>
    </w:p>
    <w:p w14:paraId="273EBC50">
      <w:pPr>
        <w:spacing w:line="356" w:lineRule="exact"/>
        <w:ind w:firstLine="422"/>
        <w:jc w:val="left"/>
        <w:rPr>
          <w:rFonts w:ascii="宋体" w:hAnsi="宋体"/>
          <w:kern w:val="44"/>
        </w:rPr>
      </w:pPr>
      <w:r>
        <w:rPr>
          <w:rFonts w:hint="eastAsia" w:ascii="宋体" w:hAnsi="宋体"/>
          <w:b/>
          <w:kern w:val="44"/>
        </w:rPr>
        <w:t>第三十三条</w:t>
      </w:r>
      <w:r>
        <w:rPr>
          <w:rFonts w:hint="eastAsia" w:ascii="宋体" w:hAnsi="宋体"/>
          <w:kern w:val="44"/>
        </w:rPr>
        <w:t>　经营者违反本条例第九条规定的，监督检查部门应当责令停止违法行为，没收违法所得，并监督销毁其擅自使用的知名商品特有的包装、装潢，可以根据情节处以违法所得1倍以上3倍以下的罚款；情节严重的，可以吊销营业执照；销售伪劣商品，构成犯罪的，依法追究刑事责任。</w:t>
      </w:r>
    </w:p>
    <w:p w14:paraId="018B00AF">
      <w:pPr>
        <w:spacing w:line="356" w:lineRule="exact"/>
        <w:ind w:firstLine="422"/>
        <w:jc w:val="left"/>
        <w:rPr>
          <w:rFonts w:ascii="宋体" w:hAnsi="宋体"/>
          <w:kern w:val="44"/>
        </w:rPr>
      </w:pPr>
      <w:r>
        <w:rPr>
          <w:rFonts w:hint="eastAsia" w:ascii="宋体" w:hAnsi="宋体"/>
          <w:b/>
          <w:kern w:val="44"/>
        </w:rPr>
        <w:t>第三十四条</w:t>
      </w:r>
      <w:r>
        <w:rPr>
          <w:rFonts w:hint="eastAsia" w:ascii="宋体" w:hAnsi="宋体"/>
          <w:kern w:val="44"/>
        </w:rPr>
        <w:t>　经营者违反本条例第十条和第十一条规定的，由监督检查部门依照《中华人民共和国产品质量法》处罚。有违法所得的，没收违法所得，可以并处违法所得1倍以上3倍以下的罚款。</w:t>
      </w:r>
    </w:p>
    <w:p w14:paraId="429D12CE">
      <w:pPr>
        <w:spacing w:line="356" w:lineRule="exact"/>
        <w:ind w:firstLine="422"/>
        <w:jc w:val="left"/>
        <w:rPr>
          <w:rFonts w:ascii="宋体" w:hAnsi="宋体"/>
          <w:kern w:val="44"/>
        </w:rPr>
      </w:pPr>
      <w:r>
        <w:rPr>
          <w:rFonts w:hint="eastAsia" w:ascii="宋体" w:hAnsi="宋体"/>
          <w:b/>
          <w:kern w:val="44"/>
        </w:rPr>
        <w:t>第三十五条</w:t>
      </w:r>
      <w:r>
        <w:rPr>
          <w:rFonts w:hint="eastAsia" w:ascii="宋体" w:hAnsi="宋体"/>
          <w:kern w:val="44"/>
        </w:rPr>
        <w:t>　公用企业或者其他依法具有独占地位的经营者违反本条例第十二条规定的，市级监督检查部门应当责令停止违法行为，可以根据情节处以5万元以上20万元以下的罚款。被指定的经营者借此销售质次价高商品或者滥收费用的，监督检查部门应当没收违法所得，可以根据情节处以违法所得1倍以上3倍以下的罚款。</w:t>
      </w:r>
    </w:p>
    <w:p w14:paraId="56F3EA39">
      <w:pPr>
        <w:spacing w:line="356" w:lineRule="exact"/>
        <w:ind w:firstLine="422"/>
        <w:jc w:val="left"/>
        <w:rPr>
          <w:rFonts w:ascii="宋体" w:hAnsi="宋体"/>
          <w:kern w:val="44"/>
        </w:rPr>
      </w:pPr>
      <w:r>
        <w:rPr>
          <w:rFonts w:hint="eastAsia" w:ascii="宋体" w:hAnsi="宋体"/>
          <w:b/>
          <w:kern w:val="44"/>
        </w:rPr>
        <w:t>第三十六条</w:t>
      </w:r>
      <w:r>
        <w:rPr>
          <w:rFonts w:hint="eastAsia" w:ascii="宋体" w:hAnsi="宋体"/>
          <w:kern w:val="44"/>
        </w:rPr>
        <w:t>　政府及其所属部门违反本条例第十三条规定的，由上级机关责令其改正；情节严重的，由同级或者上级机关对直接责任人员给予行政处分。被指定的经营者借此销售质次价高商品或者滥收费用的，监督检查部门应当没收违法所得，可以根据情节处以违法所得1倍以上3倍以下的罚款。</w:t>
      </w:r>
    </w:p>
    <w:p w14:paraId="6666F91B">
      <w:pPr>
        <w:spacing w:line="356" w:lineRule="exact"/>
        <w:ind w:firstLine="422"/>
        <w:jc w:val="left"/>
        <w:rPr>
          <w:rFonts w:ascii="宋体" w:hAnsi="宋体"/>
          <w:kern w:val="44"/>
        </w:rPr>
      </w:pPr>
      <w:r>
        <w:rPr>
          <w:rFonts w:hint="eastAsia" w:ascii="宋体" w:hAnsi="宋体"/>
          <w:b/>
          <w:kern w:val="44"/>
        </w:rPr>
        <w:t>第三十七条</w:t>
      </w:r>
      <w:r>
        <w:rPr>
          <w:rFonts w:hint="eastAsia" w:ascii="宋体" w:hAnsi="宋体"/>
          <w:kern w:val="44"/>
        </w:rPr>
        <w:t>　经营者违反本条例第十四条的规定，采用财物或者其他手段进行贿赂以销售或者购买商品，构成犯罪的，依法追究刑事责任；不构成犯罪的，监督检查部门可以根据情节处以1万元以上20万元以下的罚款，有违法所得的，予以没收。</w:t>
      </w:r>
    </w:p>
    <w:p w14:paraId="59072630">
      <w:pPr>
        <w:spacing w:line="356" w:lineRule="exact"/>
        <w:ind w:firstLine="422"/>
        <w:jc w:val="left"/>
        <w:rPr>
          <w:rFonts w:ascii="宋体" w:hAnsi="宋体"/>
          <w:kern w:val="44"/>
        </w:rPr>
      </w:pPr>
      <w:r>
        <w:rPr>
          <w:rFonts w:hint="eastAsia" w:ascii="宋体" w:hAnsi="宋体"/>
          <w:b/>
          <w:kern w:val="44"/>
        </w:rPr>
        <w:t>第三十八条</w:t>
      </w:r>
      <w:r>
        <w:rPr>
          <w:rFonts w:hint="eastAsia" w:ascii="宋体" w:hAnsi="宋体"/>
          <w:kern w:val="44"/>
        </w:rPr>
        <w:t>　经营者违反本条例第十五条的规定，利用广告或者其他方法，对商品作引人误解的虚假宣传的，监督检查部门应当责令停止违法行为，消除影响，可以根据情节处以1万元以上20万元以下的罚款。其中，利用广告及新闻报道对商品作引人误解的虚假的宣传，造成影响的，处以1万元以上5万元以下的罚款；造成重大影响的，处以5万元以上10万元以下的罚款；造成严重后果，影响特别恶劣的，处以10万元以上20万元以下的罚款。</w:t>
      </w:r>
    </w:p>
    <w:p w14:paraId="77E3852B">
      <w:pPr>
        <w:spacing w:line="356" w:lineRule="exact"/>
        <w:jc w:val="left"/>
        <w:rPr>
          <w:rFonts w:ascii="宋体" w:hAnsi="宋体"/>
          <w:kern w:val="44"/>
        </w:rPr>
      </w:pPr>
      <w:r>
        <w:rPr>
          <w:rFonts w:hint="eastAsia" w:ascii="宋体" w:hAnsi="宋体"/>
          <w:kern w:val="44"/>
        </w:rPr>
        <w:t>广告的经营者，在明知或者应知的情况下，代理、设计、制作、发布虚假广告和违法有奖销售广告的，监督检查部门应当责令停止违法行为，没收广告费用，并根据情节处以广告费用1倍以上5倍以下的罚款。情节严重的，依法停止其广告业务。构成犯罪的，依法追究刑事责任。</w:t>
      </w:r>
    </w:p>
    <w:p w14:paraId="54AB1F4B">
      <w:pPr>
        <w:spacing w:line="356" w:lineRule="exact"/>
        <w:ind w:firstLine="422"/>
        <w:jc w:val="left"/>
        <w:rPr>
          <w:rFonts w:ascii="宋体" w:hAnsi="宋体"/>
          <w:kern w:val="44"/>
        </w:rPr>
      </w:pPr>
      <w:r>
        <w:rPr>
          <w:rFonts w:hint="eastAsia" w:ascii="宋体" w:hAnsi="宋体"/>
          <w:b/>
          <w:kern w:val="44"/>
        </w:rPr>
        <w:t>第三十九条</w:t>
      </w:r>
      <w:r>
        <w:rPr>
          <w:rFonts w:hint="eastAsia" w:ascii="宋体" w:hAnsi="宋体"/>
          <w:kern w:val="44"/>
        </w:rPr>
        <w:t>　经营者违反本条例第十六条的规定侵犯商业秘密的，监督检查部门应当责令停止违法行为，可以根据情节处以1万元以上20万元以下的罚款。</w:t>
      </w:r>
    </w:p>
    <w:p w14:paraId="2C1EF6F2">
      <w:pPr>
        <w:spacing w:line="356" w:lineRule="exact"/>
        <w:ind w:firstLine="422"/>
        <w:jc w:val="left"/>
        <w:rPr>
          <w:rFonts w:ascii="宋体" w:hAnsi="宋体"/>
          <w:kern w:val="44"/>
        </w:rPr>
      </w:pPr>
      <w:r>
        <w:rPr>
          <w:rFonts w:hint="eastAsia" w:ascii="宋体" w:hAnsi="宋体"/>
          <w:b/>
          <w:kern w:val="44"/>
        </w:rPr>
        <w:t>第四十条</w:t>
      </w:r>
      <w:r>
        <w:rPr>
          <w:rFonts w:hint="eastAsia" w:ascii="宋体" w:hAnsi="宋体"/>
          <w:kern w:val="44"/>
        </w:rPr>
        <w:t>　经营者违反本条例第十九条、第二十条、第二十一条的规定，进行有奖销售的，监督检查部门应当责令停止违法行为，可以根据情节处以1万元以上10万元以下的罚款。</w:t>
      </w:r>
    </w:p>
    <w:p w14:paraId="4A8BB04E">
      <w:pPr>
        <w:spacing w:line="356" w:lineRule="exact"/>
        <w:ind w:firstLine="422"/>
        <w:jc w:val="left"/>
        <w:rPr>
          <w:rFonts w:ascii="宋体" w:hAnsi="宋体"/>
          <w:kern w:val="44"/>
        </w:rPr>
      </w:pPr>
      <w:r>
        <w:rPr>
          <w:rFonts w:hint="eastAsia" w:ascii="宋体" w:hAnsi="宋体"/>
          <w:b/>
          <w:kern w:val="44"/>
        </w:rPr>
        <w:t>第四十一条</w:t>
      </w:r>
      <w:r>
        <w:rPr>
          <w:rFonts w:hint="eastAsia" w:ascii="宋体" w:hAnsi="宋体"/>
          <w:kern w:val="44"/>
        </w:rPr>
        <w:t>　投标者和招标者违反本条例第二十三条、第二十四条规定的，其中标无效。监督检查部门可以根据情节处以1万元以上20万元以下的罚款。</w:t>
      </w:r>
    </w:p>
    <w:p w14:paraId="140650F3">
      <w:pPr>
        <w:spacing w:line="356" w:lineRule="exact"/>
        <w:ind w:firstLine="422"/>
        <w:jc w:val="left"/>
        <w:rPr>
          <w:rFonts w:ascii="宋体" w:hAnsi="宋体"/>
          <w:kern w:val="44"/>
        </w:rPr>
      </w:pPr>
      <w:r>
        <w:rPr>
          <w:rFonts w:hint="eastAsia" w:ascii="宋体" w:hAnsi="宋体"/>
          <w:b/>
          <w:kern w:val="44"/>
        </w:rPr>
        <w:t>第四十二条</w:t>
      </w:r>
      <w:r>
        <w:rPr>
          <w:rFonts w:hint="eastAsia" w:ascii="宋体" w:hAnsi="宋体"/>
          <w:kern w:val="44"/>
        </w:rPr>
        <w:t>　监督检查部门在监督检查不正当竞争行为时，被检查的经营者故意拖延或者不如实提供有关资料和情况的，责令改正。</w:t>
      </w:r>
    </w:p>
    <w:p w14:paraId="26CDEBFB">
      <w:pPr>
        <w:spacing w:line="356" w:lineRule="exact"/>
        <w:ind w:firstLine="422"/>
        <w:jc w:val="left"/>
        <w:rPr>
          <w:rFonts w:ascii="宋体" w:hAnsi="宋体"/>
          <w:kern w:val="44"/>
        </w:rPr>
      </w:pPr>
      <w:r>
        <w:rPr>
          <w:rFonts w:hint="eastAsia" w:ascii="宋体" w:hAnsi="宋体"/>
          <w:b/>
          <w:kern w:val="44"/>
        </w:rPr>
        <w:t>第四十三条</w:t>
      </w:r>
      <w:r>
        <w:rPr>
          <w:rFonts w:hint="eastAsia" w:ascii="宋体" w:hAnsi="宋体"/>
          <w:kern w:val="44"/>
        </w:rPr>
        <w:t>　经营者有违反被责令暂停销售，不得转移、隐匿、销毁与不正当竞争行为有关的财物的行为的，监督检查部门可以根据情节处以被销售、转移、隐匿、销毁财物价款的1倍以上3倍以下的罚款。</w:t>
      </w:r>
    </w:p>
    <w:p w14:paraId="56ABE8A6">
      <w:pPr>
        <w:spacing w:line="356" w:lineRule="exact"/>
        <w:ind w:firstLine="422"/>
        <w:jc w:val="left"/>
        <w:rPr>
          <w:rFonts w:ascii="宋体" w:hAnsi="宋体"/>
          <w:kern w:val="44"/>
        </w:rPr>
      </w:pPr>
      <w:r>
        <w:rPr>
          <w:rFonts w:hint="eastAsia" w:ascii="宋体" w:hAnsi="宋体"/>
          <w:b/>
          <w:kern w:val="44"/>
        </w:rPr>
        <w:t>第四十四条</w:t>
      </w:r>
      <w:r>
        <w:rPr>
          <w:rFonts w:hint="eastAsia" w:ascii="宋体" w:hAnsi="宋体"/>
          <w:kern w:val="44"/>
        </w:rPr>
        <w:t>　经营者使用非暴力手段拒绝、阻碍监督检查部门依法监督检查不正当竞争行为的，由公安机关依照《中华人民共和国治安管理处罚条例》的规定处罚；经营者以暴力、威胁等方法阻碍监督检查构成犯罪的，依法追究刑事责任。</w:t>
      </w:r>
    </w:p>
    <w:p w14:paraId="2C5A6DA2">
      <w:pPr>
        <w:spacing w:line="356" w:lineRule="exact"/>
        <w:ind w:firstLine="422"/>
        <w:jc w:val="left"/>
        <w:rPr>
          <w:rFonts w:ascii="宋体" w:hAnsi="宋体"/>
          <w:kern w:val="44"/>
        </w:rPr>
      </w:pPr>
      <w:r>
        <w:rPr>
          <w:rFonts w:hint="eastAsia" w:ascii="宋体" w:hAnsi="宋体"/>
          <w:b/>
          <w:kern w:val="44"/>
        </w:rPr>
        <w:t>第四十五条</w:t>
      </w:r>
      <w:r>
        <w:rPr>
          <w:rFonts w:hint="eastAsia" w:ascii="宋体" w:hAnsi="宋体"/>
          <w:kern w:val="44"/>
        </w:rPr>
        <w:t>　当事人对监督检查部门作出的处罚决定不服的，可以自收到处罚决定之日起15日内向上一级主管机关申请复议；对复议决定不服的，可以自收到复议决定书之日起15日内向人民法院提起诉讼；也可以直接向人民法院提起诉讼。</w:t>
      </w:r>
    </w:p>
    <w:p w14:paraId="5D6125B0">
      <w:pPr>
        <w:spacing w:line="356" w:lineRule="exact"/>
        <w:jc w:val="left"/>
        <w:rPr>
          <w:rFonts w:ascii="宋体" w:hAnsi="宋体"/>
          <w:kern w:val="44"/>
        </w:rPr>
      </w:pPr>
      <w:r>
        <w:rPr>
          <w:rFonts w:hint="eastAsia" w:ascii="宋体" w:hAnsi="宋体"/>
          <w:kern w:val="44"/>
        </w:rPr>
        <w:t>当事人逾期不申请行政复议，也不向人民法院起诉，又不执行处罚决定的，监督检查部门可以申请人民法院强制执行。</w:t>
      </w:r>
    </w:p>
    <w:p w14:paraId="53200231">
      <w:pPr>
        <w:spacing w:line="356" w:lineRule="exact"/>
        <w:ind w:firstLine="422"/>
        <w:jc w:val="left"/>
        <w:rPr>
          <w:rFonts w:ascii="宋体" w:hAnsi="宋体"/>
          <w:kern w:val="44"/>
        </w:rPr>
      </w:pPr>
      <w:r>
        <w:rPr>
          <w:rFonts w:hint="eastAsia" w:ascii="宋体" w:hAnsi="宋体"/>
          <w:b/>
          <w:kern w:val="44"/>
        </w:rPr>
        <w:t>第四十六条</w:t>
      </w:r>
      <w:r>
        <w:rPr>
          <w:rFonts w:hint="eastAsia" w:ascii="宋体" w:hAnsi="宋体"/>
          <w:kern w:val="44"/>
        </w:rPr>
        <w:t>　监督检查部门在行使行政职权时，给经营者合法财产造成损害的，依法承担行政赔偿责任。</w:t>
      </w:r>
    </w:p>
    <w:p w14:paraId="2E5F9790">
      <w:pPr>
        <w:spacing w:line="356" w:lineRule="exact"/>
        <w:jc w:val="left"/>
        <w:rPr>
          <w:rFonts w:ascii="宋体" w:hAnsi="宋体"/>
          <w:kern w:val="44"/>
        </w:rPr>
      </w:pPr>
      <w:r>
        <w:rPr>
          <w:rFonts w:hint="eastAsia" w:ascii="宋体" w:hAnsi="宋体"/>
          <w:kern w:val="44"/>
        </w:rPr>
        <w:t>监督检查不正当竞争行为的国家机关工作人员滥用职权、玩忽职守，构成犯罪的，依法追究刑事责任；不构成犯罪的，给予行政处分。</w:t>
      </w:r>
    </w:p>
    <w:p w14:paraId="73845B6B">
      <w:pPr>
        <w:spacing w:line="356" w:lineRule="exact"/>
        <w:ind w:firstLine="422"/>
        <w:jc w:val="left"/>
        <w:rPr>
          <w:rFonts w:ascii="宋体" w:hAnsi="宋体"/>
          <w:kern w:val="44"/>
        </w:rPr>
      </w:pPr>
      <w:r>
        <w:rPr>
          <w:rFonts w:hint="eastAsia" w:ascii="宋体" w:hAnsi="宋体"/>
          <w:b/>
          <w:kern w:val="44"/>
        </w:rPr>
        <w:t>第四十七条</w:t>
      </w:r>
      <w:r>
        <w:rPr>
          <w:rFonts w:hint="eastAsia" w:ascii="宋体" w:hAnsi="宋体"/>
          <w:kern w:val="44"/>
        </w:rPr>
        <w:t>　监督检查不正当竞争行为的国家机关工作人员徇私舞弊，对明知有违反本条例规定构成犯罪的经营者故意包庇不使他受追诉的，依法追究刑事责任。</w:t>
      </w:r>
    </w:p>
    <w:p w14:paraId="4AB79FEB">
      <w:pPr>
        <w:spacing w:line="356" w:lineRule="exact"/>
        <w:jc w:val="left"/>
        <w:rPr>
          <w:rFonts w:ascii="宋体" w:hAnsi="宋体"/>
          <w:kern w:val="44"/>
        </w:rPr>
      </w:pPr>
    </w:p>
    <w:p w14:paraId="3298B700">
      <w:pPr>
        <w:spacing w:line="356" w:lineRule="exact"/>
        <w:ind w:firstLine="0" w:firstLineChars="0"/>
        <w:jc w:val="center"/>
        <w:rPr>
          <w:rFonts w:ascii="宋体" w:hAnsi="宋体"/>
          <w:b/>
          <w:kern w:val="44"/>
          <w:sz w:val="28"/>
        </w:rPr>
      </w:pPr>
      <w:r>
        <w:rPr>
          <w:rFonts w:hint="eastAsia" w:ascii="宋体" w:hAnsi="宋体"/>
          <w:b/>
          <w:kern w:val="44"/>
          <w:sz w:val="28"/>
        </w:rPr>
        <w:t>第五章　附　则</w:t>
      </w:r>
    </w:p>
    <w:p w14:paraId="6778BE3D">
      <w:pPr>
        <w:spacing w:line="356" w:lineRule="exact"/>
        <w:jc w:val="left"/>
        <w:rPr>
          <w:rFonts w:ascii="宋体" w:hAnsi="宋体"/>
          <w:kern w:val="44"/>
        </w:rPr>
      </w:pPr>
    </w:p>
    <w:p w14:paraId="0EF7B188">
      <w:pPr>
        <w:spacing w:line="356" w:lineRule="exact"/>
        <w:ind w:firstLine="422"/>
        <w:jc w:val="left"/>
        <w:rPr>
          <w:rFonts w:ascii="宋体" w:hAnsi="宋体"/>
          <w:kern w:val="44"/>
        </w:rPr>
      </w:pPr>
      <w:r>
        <w:rPr>
          <w:rFonts w:hint="eastAsia" w:ascii="宋体" w:hAnsi="宋体"/>
          <w:b/>
          <w:kern w:val="44"/>
        </w:rPr>
        <w:t>第四十八条</w:t>
      </w:r>
      <w:r>
        <w:rPr>
          <w:rFonts w:hint="eastAsia" w:ascii="宋体" w:hAnsi="宋体"/>
          <w:kern w:val="44"/>
        </w:rPr>
        <w:t>　本条例具体应用中的问题由市人民政府解释。</w:t>
      </w:r>
    </w:p>
    <w:p w14:paraId="49AEDAD0">
      <w:pPr>
        <w:spacing w:line="356" w:lineRule="exact"/>
        <w:ind w:firstLine="422"/>
        <w:jc w:val="left"/>
        <w:rPr>
          <w:rFonts w:ascii="宋体" w:hAnsi="宋体"/>
          <w:kern w:val="44"/>
        </w:rPr>
      </w:pPr>
      <w:r>
        <w:rPr>
          <w:rFonts w:hint="eastAsia" w:ascii="宋体" w:hAnsi="宋体"/>
          <w:b/>
          <w:kern w:val="44"/>
        </w:rPr>
        <w:t>第四十九条</w:t>
      </w:r>
      <w:r>
        <w:rPr>
          <w:rFonts w:hint="eastAsia" w:ascii="宋体" w:hAnsi="宋体"/>
          <w:kern w:val="44"/>
        </w:rPr>
        <w:t>　本条例自1994年9月1日起施行。</w:t>
      </w:r>
    </w:p>
    <w:p w14:paraId="7B1EF0CB">
      <w:pPr>
        <w:pStyle w:val="4"/>
        <w:pageBreakBefore/>
        <w:rPr>
          <w:kern w:val="44"/>
        </w:rPr>
      </w:pPr>
      <w:bookmarkStart w:id="1317" w:name="_Toc422471345"/>
      <w:bookmarkStart w:id="1318" w:name="_Toc427651959"/>
      <w:bookmarkStart w:id="1319" w:name="_Toc428780183"/>
      <w:bookmarkStart w:id="1320" w:name="_Toc427651617"/>
      <w:bookmarkStart w:id="1321" w:name="_Toc428781665"/>
      <w:r>
        <w:rPr>
          <w:rFonts w:hint="eastAsia"/>
          <w:kern w:val="44"/>
        </w:rPr>
        <w:t>北京市生活消费品、生产资料</w:t>
      </w:r>
      <w:bookmarkEnd w:id="1317"/>
      <w:bookmarkStart w:id="1322" w:name="_Toc422471346"/>
      <w:r>
        <w:rPr>
          <w:rFonts w:hint="eastAsia"/>
          <w:kern w:val="44"/>
        </w:rPr>
        <w:t>市场管理条例</w:t>
      </w:r>
      <w:bookmarkEnd w:id="1318"/>
      <w:bookmarkEnd w:id="1319"/>
      <w:bookmarkEnd w:id="1320"/>
      <w:bookmarkEnd w:id="1321"/>
      <w:bookmarkEnd w:id="1322"/>
    </w:p>
    <w:p w14:paraId="6C002722">
      <w:pPr>
        <w:ind w:left="630" w:leftChars="300" w:right="630" w:rightChars="300"/>
        <w:jc w:val="left"/>
        <w:rPr>
          <w:rFonts w:ascii="楷体" w:hAnsi="楷体" w:eastAsia="楷体"/>
          <w:kern w:val="44"/>
        </w:rPr>
      </w:pPr>
      <w:r>
        <w:rPr>
          <w:rFonts w:hint="eastAsia" w:ascii="楷体" w:hAnsi="楷体" w:eastAsia="楷体"/>
          <w:kern w:val="44"/>
        </w:rPr>
        <w:t>（1997年7月18日北京市第十届人民代表大会常务委员会第三十八次会议通过  1997年7月18日北京市人民代表大会常务委员会公告第82号公布  1997年9月1日起施行）</w:t>
      </w:r>
    </w:p>
    <w:p w14:paraId="744CAD76">
      <w:pPr>
        <w:jc w:val="left"/>
        <w:rPr>
          <w:rFonts w:ascii="宋体" w:hAnsi="宋体"/>
          <w:kern w:val="44"/>
        </w:rPr>
      </w:pPr>
    </w:p>
    <w:p w14:paraId="2AE75F1B">
      <w:pPr>
        <w:ind w:firstLine="0" w:firstLineChars="0"/>
        <w:jc w:val="center"/>
        <w:rPr>
          <w:rFonts w:ascii="宋体" w:hAnsi="宋体"/>
          <w:b/>
          <w:kern w:val="44"/>
          <w:sz w:val="28"/>
        </w:rPr>
      </w:pPr>
      <w:r>
        <w:rPr>
          <w:rFonts w:hint="eastAsia" w:ascii="宋体" w:hAnsi="宋体"/>
          <w:b/>
          <w:kern w:val="44"/>
          <w:sz w:val="28"/>
        </w:rPr>
        <w:t>第一章　总　则</w:t>
      </w:r>
    </w:p>
    <w:p w14:paraId="3CB05EB1">
      <w:pPr>
        <w:jc w:val="left"/>
        <w:rPr>
          <w:rFonts w:ascii="宋体" w:hAnsi="宋体"/>
          <w:kern w:val="44"/>
        </w:rPr>
      </w:pPr>
    </w:p>
    <w:p w14:paraId="1E9D6E81">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为了加强对生活消费品、生产资料市场的管理和监督，维护市场秩序，促进市场发展，制定本条例。</w:t>
      </w:r>
    </w:p>
    <w:p w14:paraId="0B2349BE">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本条例所称生活消费品、生产资料市场是指经市场登记注册，若干经营者集中、独立进行生活消费品、生产资料现货交易的固定场所（以下简称市场）。</w:t>
      </w:r>
    </w:p>
    <w:p w14:paraId="133BFEF9">
      <w:pPr>
        <w:ind w:firstLine="422"/>
        <w:jc w:val="left"/>
        <w:rPr>
          <w:rFonts w:ascii="宋体" w:hAnsi="宋体"/>
          <w:kern w:val="44"/>
        </w:rPr>
      </w:pPr>
      <w:r>
        <w:rPr>
          <w:rFonts w:hint="eastAsia" w:ascii="宋体" w:hAnsi="宋体"/>
          <w:b/>
          <w:kern w:val="44"/>
        </w:rPr>
        <w:t>第三条</w:t>
      </w:r>
      <w:r>
        <w:rPr>
          <w:rFonts w:hint="eastAsia" w:ascii="宋体" w:hAnsi="宋体"/>
          <w:kern w:val="44"/>
        </w:rPr>
        <w:t>　凡在本市行政区域内规划、兴建、管理市场以及进入市场从事商品经营和服务的，应当遵守本条例。</w:t>
      </w:r>
    </w:p>
    <w:p w14:paraId="3DD3999F">
      <w:pPr>
        <w:ind w:firstLine="422"/>
        <w:jc w:val="left"/>
        <w:rPr>
          <w:rFonts w:ascii="宋体" w:hAnsi="宋体"/>
          <w:kern w:val="44"/>
        </w:rPr>
      </w:pPr>
      <w:r>
        <w:rPr>
          <w:rFonts w:hint="eastAsia" w:ascii="宋体" w:hAnsi="宋体"/>
          <w:b/>
          <w:kern w:val="44"/>
        </w:rPr>
        <w:t>第四条</w:t>
      </w:r>
      <w:r>
        <w:rPr>
          <w:rFonts w:hint="eastAsia" w:ascii="宋体" w:hAnsi="宋体"/>
          <w:kern w:val="44"/>
        </w:rPr>
        <w:t>　市场的监督管理应当遵循依法、公开、公正、廉洁、高效的原则，保证公平交易和平等竞争，保护经营者和消费者的合法权益。</w:t>
      </w:r>
    </w:p>
    <w:p w14:paraId="23DFFCC8">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市和区、县人民政府应当领导、组织、协调和督促各有关部门做好市场的规划、建设和监督管理。</w:t>
      </w:r>
    </w:p>
    <w:p w14:paraId="6778731E">
      <w:pPr>
        <w:jc w:val="left"/>
        <w:rPr>
          <w:rFonts w:ascii="宋体" w:hAnsi="宋体"/>
          <w:kern w:val="44"/>
        </w:rPr>
      </w:pPr>
      <w:r>
        <w:rPr>
          <w:rFonts w:hint="eastAsia" w:ascii="宋体" w:hAnsi="宋体"/>
          <w:kern w:val="44"/>
        </w:rPr>
        <w:t>市和区、县人民政府对农副产品批发市场和以经营粮、油、肉、蛋、菜等人民生活必需品为主的零售市场，应当在政策上给予必要的扶持。</w:t>
      </w:r>
    </w:p>
    <w:p w14:paraId="6A950A49">
      <w:pPr>
        <w:ind w:firstLine="422"/>
        <w:jc w:val="left"/>
        <w:rPr>
          <w:rFonts w:ascii="宋体" w:hAnsi="宋体"/>
          <w:kern w:val="44"/>
        </w:rPr>
      </w:pPr>
      <w:r>
        <w:rPr>
          <w:rFonts w:hint="eastAsia" w:ascii="宋体" w:hAnsi="宋体"/>
          <w:b/>
          <w:kern w:val="44"/>
        </w:rPr>
        <w:t>第六条</w:t>
      </w:r>
      <w:r>
        <w:rPr>
          <w:rFonts w:hint="eastAsia" w:ascii="宋体" w:hAnsi="宋体"/>
          <w:kern w:val="44"/>
        </w:rPr>
        <w:t>　本市工商行政管理部门主管市场登记注册和监督管理；其他有关行政管理部门按照各自的职责和权限，依法对市场实施监督管理。</w:t>
      </w:r>
    </w:p>
    <w:p w14:paraId="465E5674">
      <w:pPr>
        <w:ind w:firstLine="422"/>
        <w:jc w:val="left"/>
        <w:rPr>
          <w:rFonts w:ascii="宋体" w:hAnsi="宋体"/>
          <w:kern w:val="44"/>
        </w:rPr>
      </w:pPr>
      <w:r>
        <w:rPr>
          <w:rFonts w:hint="eastAsia" w:ascii="宋体" w:hAnsi="宋体"/>
          <w:b/>
          <w:kern w:val="44"/>
        </w:rPr>
        <w:t>第七条</w:t>
      </w:r>
      <w:r>
        <w:rPr>
          <w:rFonts w:hint="eastAsia" w:ascii="宋体" w:hAnsi="宋体"/>
          <w:kern w:val="44"/>
        </w:rPr>
        <w:t>　市和区、县工商行政管理部门应当加强对个体劳动者协会、私营企业协会和各有关行业协会的指导。</w:t>
      </w:r>
    </w:p>
    <w:p w14:paraId="2EFB7CD1">
      <w:pPr>
        <w:jc w:val="left"/>
        <w:rPr>
          <w:rFonts w:ascii="宋体" w:hAnsi="宋体"/>
          <w:kern w:val="44"/>
        </w:rPr>
      </w:pPr>
      <w:r>
        <w:rPr>
          <w:rFonts w:hint="eastAsia" w:ascii="宋体" w:hAnsi="宋体"/>
          <w:kern w:val="44"/>
        </w:rPr>
        <w:t>个体劳动者协会、私营企业协会和各有关行业协会应当对市场内经营者进行遵纪守法教育，制定行业自律制度，配合市场监督管理部门维护市场秩序。</w:t>
      </w:r>
    </w:p>
    <w:p w14:paraId="1877F674">
      <w:pPr>
        <w:jc w:val="left"/>
        <w:rPr>
          <w:rFonts w:ascii="宋体" w:hAnsi="宋体"/>
          <w:kern w:val="44"/>
        </w:rPr>
      </w:pPr>
    </w:p>
    <w:p w14:paraId="2DB28A6A">
      <w:pPr>
        <w:ind w:firstLine="0" w:firstLineChars="0"/>
        <w:jc w:val="center"/>
        <w:rPr>
          <w:rFonts w:ascii="宋体" w:hAnsi="宋体"/>
          <w:b/>
          <w:kern w:val="44"/>
          <w:sz w:val="28"/>
        </w:rPr>
      </w:pPr>
      <w:r>
        <w:rPr>
          <w:rFonts w:hint="eastAsia" w:ascii="宋体" w:hAnsi="宋体"/>
          <w:b/>
          <w:kern w:val="44"/>
          <w:sz w:val="28"/>
        </w:rPr>
        <w:t>第二章　市场的规划和建设</w:t>
      </w:r>
    </w:p>
    <w:p w14:paraId="1D8C2D4B">
      <w:pPr>
        <w:jc w:val="left"/>
        <w:rPr>
          <w:rFonts w:ascii="宋体" w:hAnsi="宋体"/>
          <w:kern w:val="44"/>
        </w:rPr>
      </w:pPr>
    </w:p>
    <w:p w14:paraId="1C392354">
      <w:pPr>
        <w:ind w:firstLine="422"/>
        <w:jc w:val="left"/>
        <w:rPr>
          <w:rFonts w:ascii="宋体" w:hAnsi="宋体"/>
          <w:kern w:val="44"/>
        </w:rPr>
      </w:pPr>
      <w:r>
        <w:rPr>
          <w:rFonts w:hint="eastAsia" w:ascii="宋体" w:hAnsi="宋体"/>
          <w:b/>
          <w:kern w:val="44"/>
        </w:rPr>
        <w:t>第八条</w:t>
      </w:r>
      <w:r>
        <w:rPr>
          <w:rFonts w:hint="eastAsia" w:ascii="宋体" w:hAnsi="宋体"/>
          <w:kern w:val="44"/>
        </w:rPr>
        <w:t>　市场的规划和建设应当符合北京城市总体规划，并纳入商业布局建设规划，由市和区、县人民政府统一组织实施。</w:t>
      </w:r>
    </w:p>
    <w:p w14:paraId="1F0FFB0F">
      <w:pPr>
        <w:ind w:firstLine="422"/>
        <w:jc w:val="left"/>
        <w:rPr>
          <w:rFonts w:ascii="宋体" w:hAnsi="宋体"/>
          <w:kern w:val="44"/>
        </w:rPr>
      </w:pPr>
      <w:r>
        <w:rPr>
          <w:rFonts w:hint="eastAsia" w:ascii="宋体" w:hAnsi="宋体"/>
          <w:b/>
          <w:kern w:val="44"/>
        </w:rPr>
        <w:t>第九条</w:t>
      </w:r>
      <w:r>
        <w:rPr>
          <w:rFonts w:hint="eastAsia" w:ascii="宋体" w:hAnsi="宋体"/>
          <w:kern w:val="44"/>
        </w:rPr>
        <w:t>　市场的建设和发展应当坚持统筹规划，合理布局，功能配套，活跃流通，促进生产，方便生活的原则。</w:t>
      </w:r>
    </w:p>
    <w:p w14:paraId="4941AF59">
      <w:pPr>
        <w:ind w:firstLine="422"/>
        <w:jc w:val="left"/>
        <w:rPr>
          <w:rFonts w:ascii="宋体" w:hAnsi="宋体"/>
          <w:kern w:val="44"/>
        </w:rPr>
      </w:pPr>
      <w:r>
        <w:rPr>
          <w:rFonts w:hint="eastAsia" w:ascii="宋体" w:hAnsi="宋体"/>
          <w:b/>
          <w:kern w:val="44"/>
        </w:rPr>
        <w:t>第十条</w:t>
      </w:r>
      <w:r>
        <w:rPr>
          <w:rFonts w:hint="eastAsia" w:ascii="宋体" w:hAnsi="宋体"/>
          <w:kern w:val="44"/>
        </w:rPr>
        <w:t>　经营农副产品的零售市场的建设，应当纳入城镇住宅小区建设规划，做到同时建设，及时投入使用。</w:t>
      </w:r>
    </w:p>
    <w:p w14:paraId="4E639304">
      <w:pPr>
        <w:ind w:firstLine="422"/>
        <w:jc w:val="left"/>
        <w:rPr>
          <w:rFonts w:ascii="宋体" w:hAnsi="宋体"/>
          <w:kern w:val="44"/>
        </w:rPr>
      </w:pPr>
      <w:r>
        <w:rPr>
          <w:rFonts w:hint="eastAsia" w:ascii="宋体" w:hAnsi="宋体"/>
          <w:b/>
          <w:kern w:val="44"/>
        </w:rPr>
        <w:t>第十一条</w:t>
      </w:r>
      <w:r>
        <w:rPr>
          <w:rFonts w:hint="eastAsia" w:ascii="宋体" w:hAnsi="宋体"/>
          <w:kern w:val="44"/>
        </w:rPr>
        <w:t>　任何单位和个人不得擅自将纳入规划的市场用地、建筑、设施等挪作他用。</w:t>
      </w:r>
    </w:p>
    <w:p w14:paraId="1178A596">
      <w:pPr>
        <w:ind w:firstLine="422"/>
        <w:jc w:val="left"/>
        <w:rPr>
          <w:rFonts w:ascii="宋体" w:hAnsi="宋体"/>
          <w:kern w:val="44"/>
        </w:rPr>
      </w:pPr>
      <w:r>
        <w:rPr>
          <w:rFonts w:hint="eastAsia" w:ascii="宋体" w:hAnsi="宋体"/>
          <w:b/>
          <w:kern w:val="44"/>
        </w:rPr>
        <w:t>第十二条</w:t>
      </w:r>
      <w:r>
        <w:rPr>
          <w:rFonts w:hint="eastAsia" w:ascii="宋体" w:hAnsi="宋体"/>
          <w:kern w:val="44"/>
        </w:rPr>
        <w:t>　设立市场不得阻碍交通，不得破坏市容环境，不得侵占、损坏公用设施。</w:t>
      </w:r>
    </w:p>
    <w:p w14:paraId="30666772">
      <w:pPr>
        <w:ind w:firstLine="422"/>
        <w:jc w:val="left"/>
        <w:rPr>
          <w:rFonts w:ascii="宋体" w:hAnsi="宋体"/>
          <w:kern w:val="44"/>
        </w:rPr>
      </w:pPr>
      <w:r>
        <w:rPr>
          <w:rFonts w:hint="eastAsia" w:ascii="宋体" w:hAnsi="宋体"/>
          <w:b/>
          <w:kern w:val="44"/>
        </w:rPr>
        <w:t>第十三条</w:t>
      </w:r>
      <w:r>
        <w:rPr>
          <w:rFonts w:hint="eastAsia" w:ascii="宋体" w:hAnsi="宋体"/>
          <w:kern w:val="44"/>
        </w:rPr>
        <w:t>　未经市人民政府划定，在主要交通干道两侧和国家机关、部队、学校等单位的周边地区，不得建设市场。</w:t>
      </w:r>
    </w:p>
    <w:p w14:paraId="311DFA27">
      <w:pPr>
        <w:ind w:firstLine="0" w:firstLineChars="0"/>
        <w:jc w:val="center"/>
        <w:rPr>
          <w:rFonts w:ascii="宋体" w:hAnsi="宋体"/>
          <w:b/>
          <w:kern w:val="44"/>
          <w:sz w:val="28"/>
        </w:rPr>
      </w:pPr>
      <w:r>
        <w:rPr>
          <w:rFonts w:hint="eastAsia" w:ascii="宋体" w:hAnsi="宋体"/>
          <w:b/>
          <w:kern w:val="44"/>
          <w:sz w:val="28"/>
        </w:rPr>
        <w:t>第三章　市场的登记注册</w:t>
      </w:r>
    </w:p>
    <w:p w14:paraId="5F1C896D">
      <w:pPr>
        <w:jc w:val="left"/>
        <w:rPr>
          <w:rFonts w:ascii="宋体" w:hAnsi="宋体"/>
          <w:kern w:val="44"/>
        </w:rPr>
      </w:pPr>
    </w:p>
    <w:p w14:paraId="0C91144B">
      <w:pPr>
        <w:ind w:firstLine="422"/>
        <w:jc w:val="left"/>
        <w:rPr>
          <w:rFonts w:ascii="宋体" w:hAnsi="宋体"/>
          <w:kern w:val="44"/>
        </w:rPr>
      </w:pPr>
      <w:r>
        <w:rPr>
          <w:rFonts w:hint="eastAsia" w:ascii="宋体" w:hAnsi="宋体"/>
          <w:b/>
          <w:kern w:val="44"/>
        </w:rPr>
        <w:t>第十四条</w:t>
      </w:r>
      <w:r>
        <w:rPr>
          <w:rFonts w:hint="eastAsia" w:ascii="宋体" w:hAnsi="宋体"/>
          <w:kern w:val="44"/>
        </w:rPr>
        <w:t>　法人和其他组织，可以依法兴建市场。</w:t>
      </w:r>
    </w:p>
    <w:p w14:paraId="44D705F7">
      <w:pPr>
        <w:ind w:firstLine="422"/>
        <w:jc w:val="left"/>
        <w:rPr>
          <w:rFonts w:ascii="宋体" w:hAnsi="宋体"/>
          <w:kern w:val="44"/>
        </w:rPr>
      </w:pPr>
      <w:r>
        <w:rPr>
          <w:rFonts w:hint="eastAsia" w:ascii="宋体" w:hAnsi="宋体"/>
          <w:b/>
          <w:kern w:val="44"/>
        </w:rPr>
        <w:t>第十五条</w:t>
      </w:r>
      <w:r>
        <w:rPr>
          <w:rFonts w:hint="eastAsia" w:ascii="宋体" w:hAnsi="宋体"/>
          <w:kern w:val="44"/>
        </w:rPr>
        <w:t>　兴建市场必须向登记管理机关申请市场登记注册；联合兴建市场的，应当签订书面合同，由联建各方共同申请或者委托其中一方申请市场登记注册。</w:t>
      </w:r>
    </w:p>
    <w:p w14:paraId="15510F76">
      <w:pPr>
        <w:jc w:val="left"/>
        <w:rPr>
          <w:rFonts w:ascii="宋体" w:hAnsi="宋体"/>
          <w:kern w:val="44"/>
        </w:rPr>
      </w:pPr>
      <w:r>
        <w:rPr>
          <w:rFonts w:hint="eastAsia" w:ascii="宋体" w:hAnsi="宋体"/>
          <w:kern w:val="44"/>
        </w:rPr>
        <w:t>未经登记管理机关登记注册，不得兴建市场或者组织摊群交易。</w:t>
      </w:r>
    </w:p>
    <w:p w14:paraId="4A3EF4B7">
      <w:pPr>
        <w:ind w:firstLine="422"/>
        <w:jc w:val="left"/>
        <w:rPr>
          <w:rFonts w:ascii="宋体" w:hAnsi="宋体"/>
          <w:kern w:val="44"/>
        </w:rPr>
      </w:pPr>
      <w:r>
        <w:rPr>
          <w:rFonts w:hint="eastAsia" w:ascii="宋体" w:hAnsi="宋体"/>
          <w:b/>
          <w:kern w:val="44"/>
        </w:rPr>
        <w:t>第十六条</w:t>
      </w:r>
      <w:r>
        <w:rPr>
          <w:rFonts w:hint="eastAsia" w:ascii="宋体" w:hAnsi="宋体"/>
          <w:kern w:val="44"/>
        </w:rPr>
        <w:t>　市场应当具备下列条件：</w:t>
      </w:r>
    </w:p>
    <w:p w14:paraId="050D970D">
      <w:pPr>
        <w:jc w:val="left"/>
        <w:rPr>
          <w:rFonts w:ascii="宋体" w:hAnsi="宋体"/>
          <w:kern w:val="44"/>
        </w:rPr>
      </w:pPr>
      <w:r>
        <w:rPr>
          <w:rFonts w:hint="eastAsia" w:ascii="宋体" w:hAnsi="宋体"/>
          <w:kern w:val="44"/>
        </w:rPr>
        <w:t>（一）符合商业布局建设规划；</w:t>
      </w:r>
    </w:p>
    <w:p w14:paraId="0BA39F41">
      <w:pPr>
        <w:jc w:val="left"/>
        <w:rPr>
          <w:rFonts w:ascii="宋体" w:hAnsi="宋体"/>
          <w:kern w:val="44"/>
        </w:rPr>
      </w:pPr>
      <w:r>
        <w:rPr>
          <w:rFonts w:hint="eastAsia" w:ascii="宋体" w:hAnsi="宋体"/>
          <w:kern w:val="44"/>
        </w:rPr>
        <w:t>（二）符合规定的市场名称和章程；</w:t>
      </w:r>
    </w:p>
    <w:p w14:paraId="6C83AA2B">
      <w:pPr>
        <w:jc w:val="left"/>
        <w:rPr>
          <w:rFonts w:ascii="宋体" w:hAnsi="宋体"/>
          <w:kern w:val="44"/>
        </w:rPr>
      </w:pPr>
      <w:r>
        <w:rPr>
          <w:rFonts w:hint="eastAsia" w:ascii="宋体" w:hAnsi="宋体"/>
          <w:kern w:val="44"/>
        </w:rPr>
        <w:t>（三）有相应的经营场地和设施；</w:t>
      </w:r>
    </w:p>
    <w:p w14:paraId="5BA952FC">
      <w:pPr>
        <w:jc w:val="left"/>
        <w:rPr>
          <w:rFonts w:ascii="宋体" w:hAnsi="宋体"/>
          <w:kern w:val="44"/>
        </w:rPr>
      </w:pPr>
      <w:r>
        <w:rPr>
          <w:rFonts w:hint="eastAsia" w:ascii="宋体" w:hAnsi="宋体"/>
          <w:kern w:val="44"/>
        </w:rPr>
        <w:t>（四）符合治安、交通、消防、环境卫生等要求；</w:t>
      </w:r>
    </w:p>
    <w:p w14:paraId="6B750FB0">
      <w:pPr>
        <w:jc w:val="left"/>
        <w:rPr>
          <w:rFonts w:ascii="宋体" w:hAnsi="宋体"/>
          <w:kern w:val="44"/>
        </w:rPr>
      </w:pPr>
      <w:r>
        <w:rPr>
          <w:rFonts w:hint="eastAsia" w:ascii="宋体" w:hAnsi="宋体"/>
          <w:kern w:val="44"/>
        </w:rPr>
        <w:t>（五）符合国家规定的商品经营范围；</w:t>
      </w:r>
    </w:p>
    <w:p w14:paraId="7B45DCF1">
      <w:pPr>
        <w:jc w:val="left"/>
        <w:rPr>
          <w:rFonts w:ascii="宋体" w:hAnsi="宋体"/>
          <w:kern w:val="44"/>
        </w:rPr>
      </w:pPr>
      <w:r>
        <w:rPr>
          <w:rFonts w:hint="eastAsia" w:ascii="宋体" w:hAnsi="宋体"/>
          <w:kern w:val="44"/>
        </w:rPr>
        <w:t>（六）符合有关法律、法规、规章规定的其他条件。</w:t>
      </w:r>
    </w:p>
    <w:p w14:paraId="17EC786E">
      <w:pPr>
        <w:ind w:firstLine="422"/>
        <w:jc w:val="left"/>
        <w:rPr>
          <w:rFonts w:ascii="宋体" w:hAnsi="宋体"/>
          <w:kern w:val="44"/>
        </w:rPr>
      </w:pPr>
      <w:r>
        <w:rPr>
          <w:rFonts w:hint="eastAsia" w:ascii="宋体" w:hAnsi="宋体"/>
          <w:b/>
          <w:kern w:val="44"/>
        </w:rPr>
        <w:t>第十七条</w:t>
      </w:r>
      <w:r>
        <w:rPr>
          <w:rFonts w:hint="eastAsia" w:ascii="宋体" w:hAnsi="宋体"/>
          <w:kern w:val="44"/>
        </w:rPr>
        <w:t>　申请市场登记注册，应当提交下列文件和证明材料：</w:t>
      </w:r>
    </w:p>
    <w:p w14:paraId="2D85EFD3">
      <w:pPr>
        <w:jc w:val="left"/>
        <w:rPr>
          <w:rFonts w:ascii="宋体" w:hAnsi="宋体"/>
          <w:kern w:val="44"/>
        </w:rPr>
      </w:pPr>
      <w:r>
        <w:rPr>
          <w:rFonts w:hint="eastAsia" w:ascii="宋体" w:hAnsi="宋体"/>
          <w:kern w:val="44"/>
        </w:rPr>
        <w:t>（一）兴建市场的申请书和可行性报告；</w:t>
      </w:r>
    </w:p>
    <w:p w14:paraId="703AAC40">
      <w:pPr>
        <w:jc w:val="left"/>
        <w:rPr>
          <w:rFonts w:ascii="宋体" w:hAnsi="宋体"/>
          <w:kern w:val="44"/>
        </w:rPr>
      </w:pPr>
      <w:r>
        <w:rPr>
          <w:rFonts w:hint="eastAsia" w:ascii="宋体" w:hAnsi="宋体"/>
          <w:kern w:val="44"/>
        </w:rPr>
        <w:t>（二）房屋、土地权属证明或者使用证明，占地审批文件或者场地使用证明；</w:t>
      </w:r>
    </w:p>
    <w:p w14:paraId="2F0D3D2F">
      <w:pPr>
        <w:jc w:val="left"/>
        <w:rPr>
          <w:rFonts w:ascii="宋体" w:hAnsi="宋体"/>
          <w:kern w:val="44"/>
        </w:rPr>
      </w:pPr>
      <w:r>
        <w:rPr>
          <w:rFonts w:hint="eastAsia" w:ascii="宋体" w:hAnsi="宋体"/>
          <w:kern w:val="44"/>
        </w:rPr>
        <w:t>（三）标明市场方位和设施分布的平面图；</w:t>
      </w:r>
    </w:p>
    <w:p w14:paraId="5EEF7085">
      <w:pPr>
        <w:jc w:val="left"/>
        <w:rPr>
          <w:rFonts w:ascii="宋体" w:hAnsi="宋体"/>
          <w:kern w:val="44"/>
        </w:rPr>
      </w:pPr>
      <w:r>
        <w:rPr>
          <w:rFonts w:hint="eastAsia" w:ascii="宋体" w:hAnsi="宋体"/>
          <w:kern w:val="44"/>
        </w:rPr>
        <w:t>（四）市场负责人的任用证明和身份证明；</w:t>
      </w:r>
    </w:p>
    <w:p w14:paraId="6E18D3A8">
      <w:pPr>
        <w:jc w:val="left"/>
        <w:rPr>
          <w:rFonts w:ascii="宋体" w:hAnsi="宋体"/>
          <w:kern w:val="44"/>
        </w:rPr>
      </w:pPr>
      <w:r>
        <w:rPr>
          <w:rFonts w:hint="eastAsia" w:ascii="宋体" w:hAnsi="宋体"/>
          <w:kern w:val="44"/>
        </w:rPr>
        <w:t>（五）联合兴建市场的联建各方共同签署的书面合同；</w:t>
      </w:r>
    </w:p>
    <w:p w14:paraId="0FC7FB90">
      <w:pPr>
        <w:jc w:val="left"/>
        <w:rPr>
          <w:rFonts w:ascii="宋体" w:hAnsi="宋体"/>
          <w:kern w:val="44"/>
        </w:rPr>
      </w:pPr>
      <w:r>
        <w:rPr>
          <w:rFonts w:hint="eastAsia" w:ascii="宋体" w:hAnsi="宋体"/>
          <w:kern w:val="44"/>
        </w:rPr>
        <w:t>（六）有关法律、法规、规章规定应当提交的其他文件和证明材料。</w:t>
      </w:r>
    </w:p>
    <w:p w14:paraId="29302BE9">
      <w:pPr>
        <w:ind w:firstLine="422"/>
        <w:jc w:val="left"/>
        <w:rPr>
          <w:rFonts w:ascii="宋体" w:hAnsi="宋体"/>
          <w:kern w:val="44"/>
        </w:rPr>
      </w:pPr>
      <w:r>
        <w:rPr>
          <w:rFonts w:hint="eastAsia" w:ascii="宋体" w:hAnsi="宋体"/>
          <w:b/>
          <w:kern w:val="44"/>
        </w:rPr>
        <w:t>第十八条</w:t>
      </w:r>
      <w:r>
        <w:rPr>
          <w:rFonts w:hint="eastAsia" w:ascii="宋体" w:hAnsi="宋体"/>
          <w:kern w:val="44"/>
        </w:rPr>
        <w:t>　市场登记管理机关对市场登记注册申请文件和证明材料进行审查，并在受理之日起30日内做出准予登记注册或者不予登记注册的决定。</w:t>
      </w:r>
    </w:p>
    <w:p w14:paraId="401FC8F6">
      <w:pPr>
        <w:jc w:val="left"/>
        <w:rPr>
          <w:rFonts w:ascii="宋体" w:hAnsi="宋体"/>
          <w:kern w:val="44"/>
        </w:rPr>
      </w:pPr>
      <w:r>
        <w:rPr>
          <w:rFonts w:hint="eastAsia" w:ascii="宋体" w:hAnsi="宋体"/>
          <w:kern w:val="44"/>
        </w:rPr>
        <w:t>准予登记注册的，核发《市场登记证》；不予登记注册的，书面通知申请人。</w:t>
      </w:r>
    </w:p>
    <w:p w14:paraId="3BBB0325">
      <w:pPr>
        <w:ind w:firstLine="422"/>
        <w:jc w:val="left"/>
        <w:rPr>
          <w:rFonts w:ascii="宋体" w:hAnsi="宋体"/>
          <w:kern w:val="44"/>
        </w:rPr>
      </w:pPr>
      <w:r>
        <w:rPr>
          <w:rFonts w:hint="eastAsia" w:ascii="宋体" w:hAnsi="宋体"/>
          <w:b/>
          <w:kern w:val="44"/>
        </w:rPr>
        <w:t>第十九条</w:t>
      </w:r>
      <w:r>
        <w:rPr>
          <w:rFonts w:hint="eastAsia" w:ascii="宋体" w:hAnsi="宋体"/>
          <w:kern w:val="44"/>
        </w:rPr>
        <w:t>　市场迁移、合并、扩建、缩小、撤销及其他登记事项发生变更的，应当到原登记管理机关办理变更或者注销手续。办理变更或者注销手续应当提交有关行政机关的批准文件。</w:t>
      </w:r>
    </w:p>
    <w:p w14:paraId="77581E61">
      <w:pPr>
        <w:jc w:val="left"/>
        <w:rPr>
          <w:rFonts w:ascii="宋体" w:hAnsi="宋体"/>
          <w:kern w:val="44"/>
        </w:rPr>
      </w:pPr>
    </w:p>
    <w:p w14:paraId="4B1E53C6">
      <w:pPr>
        <w:ind w:firstLine="0" w:firstLineChars="0"/>
        <w:jc w:val="center"/>
        <w:rPr>
          <w:rFonts w:ascii="宋体" w:hAnsi="宋体"/>
          <w:b/>
          <w:kern w:val="44"/>
          <w:sz w:val="28"/>
        </w:rPr>
      </w:pPr>
      <w:r>
        <w:rPr>
          <w:rFonts w:hint="eastAsia" w:ascii="宋体" w:hAnsi="宋体"/>
          <w:b/>
          <w:kern w:val="44"/>
          <w:sz w:val="28"/>
        </w:rPr>
        <w:t>第四章　市场的服务管理</w:t>
      </w:r>
    </w:p>
    <w:p w14:paraId="26F5AC31">
      <w:pPr>
        <w:jc w:val="left"/>
        <w:rPr>
          <w:rFonts w:ascii="宋体" w:hAnsi="宋体"/>
          <w:kern w:val="44"/>
        </w:rPr>
      </w:pPr>
    </w:p>
    <w:p w14:paraId="69FE1952">
      <w:pPr>
        <w:ind w:firstLine="422"/>
        <w:jc w:val="left"/>
        <w:rPr>
          <w:rFonts w:ascii="宋体" w:hAnsi="宋体"/>
          <w:kern w:val="44"/>
        </w:rPr>
      </w:pPr>
      <w:r>
        <w:rPr>
          <w:rFonts w:hint="eastAsia" w:ascii="宋体" w:hAnsi="宋体"/>
          <w:b/>
          <w:kern w:val="44"/>
        </w:rPr>
        <w:t>第二十条</w:t>
      </w:r>
      <w:r>
        <w:rPr>
          <w:rFonts w:hint="eastAsia" w:ascii="宋体" w:hAnsi="宋体"/>
          <w:kern w:val="44"/>
        </w:rPr>
        <w:t>　市场兴建者在市场开业前应当设立具备企业法人资格或者事业法人资格的市场服务管理机构，但企业法人单独兴建市场的，可以设立不具备法人资格的市场服务管理机构。</w:t>
      </w:r>
    </w:p>
    <w:p w14:paraId="490A5E52">
      <w:pPr>
        <w:jc w:val="left"/>
        <w:rPr>
          <w:rFonts w:ascii="宋体" w:hAnsi="宋体"/>
          <w:kern w:val="44"/>
        </w:rPr>
      </w:pPr>
      <w:r>
        <w:rPr>
          <w:rFonts w:hint="eastAsia" w:ascii="宋体" w:hAnsi="宋体"/>
          <w:kern w:val="44"/>
        </w:rPr>
        <w:t>不具备企业法人资格的市场服务管理机构应当领取营业执照。</w:t>
      </w:r>
    </w:p>
    <w:p w14:paraId="05EC9EAA">
      <w:pPr>
        <w:ind w:firstLine="422"/>
        <w:jc w:val="left"/>
        <w:rPr>
          <w:rFonts w:ascii="宋体" w:hAnsi="宋体"/>
          <w:kern w:val="44"/>
        </w:rPr>
      </w:pPr>
      <w:r>
        <w:rPr>
          <w:rFonts w:hint="eastAsia" w:ascii="宋体" w:hAnsi="宋体"/>
          <w:b/>
          <w:kern w:val="44"/>
        </w:rPr>
        <w:t>第二十一条</w:t>
      </w:r>
      <w:r>
        <w:rPr>
          <w:rFonts w:hint="eastAsia" w:ascii="宋体" w:hAnsi="宋体"/>
          <w:kern w:val="44"/>
        </w:rPr>
        <w:t>　前条所称市场服务管理机构是指从事市场的物业经营，出租市场场地和设施，收取租金，负责市场内部的服务和管理，依法承担法律责任的组织。</w:t>
      </w:r>
    </w:p>
    <w:p w14:paraId="6B0ABA83">
      <w:pPr>
        <w:jc w:val="left"/>
        <w:rPr>
          <w:rFonts w:ascii="宋体" w:hAnsi="宋体"/>
          <w:kern w:val="44"/>
        </w:rPr>
      </w:pPr>
      <w:r>
        <w:rPr>
          <w:rFonts w:hint="eastAsia" w:ascii="宋体" w:hAnsi="宋体"/>
          <w:kern w:val="44"/>
        </w:rPr>
        <w:t>市场服务管理机构应当具有与其管理的市场相适应的资金，并符合法律、法规规定的其他条件。</w:t>
      </w:r>
    </w:p>
    <w:p w14:paraId="39CD9AC4">
      <w:pPr>
        <w:ind w:firstLine="422"/>
        <w:jc w:val="left"/>
        <w:rPr>
          <w:rFonts w:ascii="宋体" w:hAnsi="宋体"/>
          <w:kern w:val="44"/>
        </w:rPr>
      </w:pPr>
      <w:r>
        <w:rPr>
          <w:rFonts w:hint="eastAsia" w:ascii="宋体" w:hAnsi="宋体"/>
          <w:b/>
          <w:kern w:val="44"/>
        </w:rPr>
        <w:t>第二十二条</w:t>
      </w:r>
      <w:r>
        <w:rPr>
          <w:rFonts w:hint="eastAsia" w:ascii="宋体" w:hAnsi="宋体"/>
          <w:kern w:val="44"/>
        </w:rPr>
        <w:t>　市场服务管理机构应当核验经营者的合法经营凭证，与入场经营者签订书面合同，约定合同双方的权利义务和违约责任，办理入场登记手续。</w:t>
      </w:r>
    </w:p>
    <w:p w14:paraId="456CC89E">
      <w:pPr>
        <w:jc w:val="left"/>
        <w:rPr>
          <w:rFonts w:ascii="宋体" w:hAnsi="宋体"/>
          <w:kern w:val="44"/>
        </w:rPr>
      </w:pPr>
      <w:r>
        <w:rPr>
          <w:rFonts w:hint="eastAsia" w:ascii="宋体" w:hAnsi="宋体"/>
          <w:kern w:val="44"/>
        </w:rPr>
        <w:t>市场服务管理机构和入场经营者可以在合同中对财产保险事项进行约定。</w:t>
      </w:r>
    </w:p>
    <w:p w14:paraId="35F7FBBE">
      <w:pPr>
        <w:ind w:firstLine="422"/>
        <w:jc w:val="left"/>
        <w:rPr>
          <w:rFonts w:ascii="宋体" w:hAnsi="宋体"/>
          <w:kern w:val="44"/>
        </w:rPr>
      </w:pPr>
      <w:r>
        <w:rPr>
          <w:rFonts w:hint="eastAsia" w:ascii="宋体" w:hAnsi="宋体"/>
          <w:b/>
          <w:kern w:val="44"/>
        </w:rPr>
        <w:t>第二十三条</w:t>
      </w:r>
      <w:r>
        <w:rPr>
          <w:rFonts w:hint="eastAsia" w:ascii="宋体" w:hAnsi="宋体"/>
          <w:kern w:val="44"/>
        </w:rPr>
        <w:t>　市场服务管理机构应当接受工商行政管理部门和其他有关行政管理部门的监督管理，履行下列义务：</w:t>
      </w:r>
    </w:p>
    <w:p w14:paraId="79875065">
      <w:pPr>
        <w:jc w:val="left"/>
        <w:rPr>
          <w:rFonts w:ascii="宋体" w:hAnsi="宋体"/>
          <w:kern w:val="44"/>
        </w:rPr>
      </w:pPr>
      <w:r>
        <w:rPr>
          <w:rFonts w:hint="eastAsia" w:ascii="宋体" w:hAnsi="宋体"/>
          <w:kern w:val="44"/>
        </w:rPr>
        <w:t>（一）负责市场经营设施和安全防范设施的建设和维护，按照规定设立市场标志牌和场界牌；</w:t>
      </w:r>
    </w:p>
    <w:p w14:paraId="3008C1BF">
      <w:pPr>
        <w:jc w:val="left"/>
        <w:rPr>
          <w:rFonts w:ascii="宋体" w:hAnsi="宋体"/>
          <w:kern w:val="44"/>
        </w:rPr>
      </w:pPr>
      <w:r>
        <w:rPr>
          <w:rFonts w:hint="eastAsia" w:ascii="宋体" w:hAnsi="宋体"/>
          <w:kern w:val="44"/>
        </w:rPr>
        <w:t>（二）提供经营设施和服务；</w:t>
      </w:r>
    </w:p>
    <w:p w14:paraId="253193F5">
      <w:pPr>
        <w:jc w:val="left"/>
        <w:rPr>
          <w:rFonts w:ascii="宋体" w:hAnsi="宋体"/>
          <w:kern w:val="44"/>
        </w:rPr>
      </w:pPr>
      <w:r>
        <w:rPr>
          <w:rFonts w:hint="eastAsia" w:ascii="宋体" w:hAnsi="宋体"/>
          <w:kern w:val="44"/>
        </w:rPr>
        <w:t>（三）建立和落实治安、消防、环境保护、环境卫生、消费者权益保护等各项制度；</w:t>
      </w:r>
    </w:p>
    <w:p w14:paraId="7C8A8E55">
      <w:pPr>
        <w:jc w:val="left"/>
        <w:rPr>
          <w:rFonts w:ascii="宋体" w:hAnsi="宋体"/>
          <w:kern w:val="44"/>
        </w:rPr>
      </w:pPr>
      <w:r>
        <w:rPr>
          <w:rFonts w:hint="eastAsia" w:ascii="宋体" w:hAnsi="宋体"/>
          <w:kern w:val="44"/>
        </w:rPr>
        <w:t>（四）维护市场秩序，发现违法行为应当及时制止，并向有关行政管理部门报告；</w:t>
      </w:r>
    </w:p>
    <w:p w14:paraId="68CAC23A">
      <w:pPr>
        <w:jc w:val="left"/>
        <w:rPr>
          <w:rFonts w:ascii="宋体" w:hAnsi="宋体"/>
          <w:kern w:val="44"/>
        </w:rPr>
      </w:pPr>
      <w:r>
        <w:rPr>
          <w:rFonts w:hint="eastAsia" w:ascii="宋体" w:hAnsi="宋体"/>
          <w:kern w:val="44"/>
        </w:rPr>
        <w:t>（五）依法向有关行政管理部门报送各类统计报表；</w:t>
      </w:r>
    </w:p>
    <w:p w14:paraId="1A813061">
      <w:pPr>
        <w:jc w:val="left"/>
        <w:rPr>
          <w:rFonts w:ascii="宋体" w:hAnsi="宋体"/>
          <w:kern w:val="44"/>
        </w:rPr>
      </w:pPr>
      <w:r>
        <w:rPr>
          <w:rFonts w:hint="eastAsia" w:ascii="宋体" w:hAnsi="宋体"/>
          <w:kern w:val="44"/>
        </w:rPr>
        <w:t>（六）按规定参加市场年度检验；</w:t>
      </w:r>
    </w:p>
    <w:p w14:paraId="0D10D2FD">
      <w:pPr>
        <w:jc w:val="left"/>
        <w:rPr>
          <w:rFonts w:ascii="宋体" w:hAnsi="宋体"/>
          <w:kern w:val="44"/>
        </w:rPr>
      </w:pPr>
      <w:r>
        <w:rPr>
          <w:rFonts w:hint="eastAsia" w:ascii="宋体" w:hAnsi="宋体"/>
          <w:kern w:val="44"/>
        </w:rPr>
        <w:t>（七）依法缴纳税费；</w:t>
      </w:r>
    </w:p>
    <w:p w14:paraId="38B05AA7">
      <w:pPr>
        <w:jc w:val="left"/>
        <w:rPr>
          <w:rFonts w:ascii="宋体" w:hAnsi="宋体"/>
          <w:kern w:val="44"/>
        </w:rPr>
      </w:pPr>
      <w:r>
        <w:rPr>
          <w:rFonts w:hint="eastAsia" w:ascii="宋体" w:hAnsi="宋体"/>
          <w:kern w:val="44"/>
        </w:rPr>
        <w:t>（八）协助政府有关部门做好物价、计量等管理工作；</w:t>
      </w:r>
    </w:p>
    <w:p w14:paraId="7D06DF9D">
      <w:pPr>
        <w:jc w:val="left"/>
        <w:rPr>
          <w:rFonts w:ascii="宋体" w:hAnsi="宋体"/>
          <w:kern w:val="44"/>
        </w:rPr>
      </w:pPr>
      <w:r>
        <w:rPr>
          <w:rFonts w:hint="eastAsia" w:ascii="宋体" w:hAnsi="宋体"/>
          <w:kern w:val="44"/>
        </w:rPr>
        <w:t>（九）法律、法规规定的其他义务。</w:t>
      </w:r>
    </w:p>
    <w:p w14:paraId="365CAE26">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市场服务管理机构应当实行公开办事制度：</w:t>
      </w:r>
    </w:p>
    <w:p w14:paraId="74D04F49">
      <w:pPr>
        <w:jc w:val="left"/>
        <w:rPr>
          <w:rFonts w:ascii="宋体" w:hAnsi="宋体"/>
          <w:kern w:val="44"/>
        </w:rPr>
      </w:pPr>
      <w:r>
        <w:rPr>
          <w:rFonts w:hint="eastAsia" w:ascii="宋体" w:hAnsi="宋体"/>
          <w:kern w:val="44"/>
        </w:rPr>
        <w:t>（一）服务管理机构名称和注册地点公开；</w:t>
      </w:r>
    </w:p>
    <w:p w14:paraId="6487A97B">
      <w:pPr>
        <w:jc w:val="left"/>
        <w:rPr>
          <w:rFonts w:ascii="宋体" w:hAnsi="宋体"/>
          <w:kern w:val="44"/>
        </w:rPr>
      </w:pPr>
      <w:r>
        <w:rPr>
          <w:rFonts w:hint="eastAsia" w:ascii="宋体" w:hAnsi="宋体"/>
          <w:kern w:val="44"/>
        </w:rPr>
        <w:t>（二）服务管理机构主要负责人的姓名、职务公开；</w:t>
      </w:r>
    </w:p>
    <w:p w14:paraId="4F4A2CC1">
      <w:pPr>
        <w:jc w:val="left"/>
        <w:rPr>
          <w:rFonts w:ascii="宋体" w:hAnsi="宋体"/>
          <w:kern w:val="44"/>
        </w:rPr>
      </w:pPr>
      <w:r>
        <w:rPr>
          <w:rFonts w:hint="eastAsia" w:ascii="宋体" w:hAnsi="宋体"/>
          <w:kern w:val="44"/>
        </w:rPr>
        <w:t>（三）市场管理制度公开；</w:t>
      </w:r>
    </w:p>
    <w:p w14:paraId="150285E2">
      <w:pPr>
        <w:jc w:val="left"/>
        <w:rPr>
          <w:rFonts w:ascii="宋体" w:hAnsi="宋体"/>
          <w:kern w:val="44"/>
        </w:rPr>
      </w:pPr>
      <w:r>
        <w:rPr>
          <w:rFonts w:hint="eastAsia" w:ascii="宋体" w:hAnsi="宋体"/>
          <w:kern w:val="44"/>
        </w:rPr>
        <w:t>（四）收费项目和收费标准公开；</w:t>
      </w:r>
    </w:p>
    <w:p w14:paraId="1BF1F01A">
      <w:pPr>
        <w:jc w:val="left"/>
        <w:rPr>
          <w:rFonts w:ascii="宋体" w:hAnsi="宋体"/>
          <w:kern w:val="44"/>
        </w:rPr>
      </w:pPr>
      <w:r>
        <w:rPr>
          <w:rFonts w:hint="eastAsia" w:ascii="宋体" w:hAnsi="宋体"/>
          <w:kern w:val="44"/>
        </w:rPr>
        <w:t>（五）市场监督管理部门、消费者投诉机构的地址和举报电话公开。</w:t>
      </w:r>
    </w:p>
    <w:p w14:paraId="1995EBA0">
      <w:pPr>
        <w:ind w:firstLine="422"/>
        <w:jc w:val="left"/>
        <w:rPr>
          <w:rFonts w:ascii="宋体" w:hAnsi="宋体"/>
          <w:kern w:val="44"/>
        </w:rPr>
      </w:pPr>
      <w:r>
        <w:rPr>
          <w:rFonts w:hint="eastAsia" w:ascii="宋体" w:hAnsi="宋体"/>
          <w:b/>
          <w:kern w:val="44"/>
        </w:rPr>
        <w:t>第二十五条</w:t>
      </w:r>
      <w:r>
        <w:rPr>
          <w:rFonts w:hint="eastAsia" w:ascii="宋体" w:hAnsi="宋体"/>
          <w:kern w:val="44"/>
        </w:rPr>
        <w:t>　市场服务管理机构的工作人员应当佩戴统一标志，文明管理，礼貌服务。</w:t>
      </w:r>
    </w:p>
    <w:p w14:paraId="4DD3D6FC">
      <w:pPr>
        <w:ind w:firstLine="422"/>
        <w:jc w:val="left"/>
        <w:rPr>
          <w:rFonts w:ascii="宋体" w:hAnsi="宋体"/>
          <w:kern w:val="44"/>
        </w:rPr>
      </w:pPr>
      <w:r>
        <w:rPr>
          <w:rFonts w:hint="eastAsia" w:ascii="宋体" w:hAnsi="宋体"/>
          <w:b/>
          <w:kern w:val="44"/>
        </w:rPr>
        <w:t>第二十六条</w:t>
      </w:r>
      <w:r>
        <w:rPr>
          <w:rFonts w:hint="eastAsia" w:ascii="宋体" w:hAnsi="宋体"/>
          <w:kern w:val="44"/>
        </w:rPr>
        <w:t>　市场服务管理机构及其工作人员不得在其管理的市场内从事商品经营活动。</w:t>
      </w:r>
    </w:p>
    <w:p w14:paraId="4EE0A09E">
      <w:pPr>
        <w:ind w:firstLine="422"/>
        <w:jc w:val="left"/>
        <w:rPr>
          <w:rFonts w:ascii="宋体" w:hAnsi="宋体"/>
          <w:kern w:val="44"/>
        </w:rPr>
      </w:pPr>
      <w:r>
        <w:rPr>
          <w:rFonts w:hint="eastAsia" w:ascii="宋体" w:hAnsi="宋体"/>
          <w:b/>
          <w:kern w:val="44"/>
        </w:rPr>
        <w:t>第二十七条</w:t>
      </w:r>
      <w:r>
        <w:rPr>
          <w:rFonts w:hint="eastAsia" w:ascii="宋体" w:hAnsi="宋体"/>
          <w:kern w:val="44"/>
        </w:rPr>
        <w:t>　市场服务管理机构不得违反法律、法规的规定，擅自设定收费项目和收费标准。</w:t>
      </w:r>
    </w:p>
    <w:p w14:paraId="6663E430">
      <w:pPr>
        <w:jc w:val="left"/>
        <w:rPr>
          <w:rFonts w:ascii="宋体" w:hAnsi="宋体"/>
          <w:kern w:val="44"/>
        </w:rPr>
      </w:pPr>
      <w:r>
        <w:rPr>
          <w:rFonts w:hint="eastAsia" w:ascii="宋体" w:hAnsi="宋体"/>
          <w:kern w:val="44"/>
        </w:rPr>
        <w:t>市场服务管理机构不得对在市场外随意摆摊设点的经营者收取费用，变相扩大市场场界。</w:t>
      </w:r>
    </w:p>
    <w:p w14:paraId="3F1EE9FD">
      <w:pPr>
        <w:ind w:firstLine="422"/>
        <w:jc w:val="left"/>
        <w:rPr>
          <w:rFonts w:ascii="宋体" w:hAnsi="宋体"/>
          <w:kern w:val="44"/>
        </w:rPr>
      </w:pPr>
      <w:r>
        <w:rPr>
          <w:rFonts w:hint="eastAsia" w:ascii="宋体" w:hAnsi="宋体"/>
          <w:b/>
          <w:kern w:val="44"/>
        </w:rPr>
        <w:t>第二十八条</w:t>
      </w:r>
      <w:r>
        <w:rPr>
          <w:rFonts w:hint="eastAsia" w:ascii="宋体" w:hAnsi="宋体"/>
          <w:kern w:val="44"/>
        </w:rPr>
        <w:t>　市场服务管理机构应当从市场收益中提取一定比例的资金，专项用于市场设施的更新改造和维修。</w:t>
      </w:r>
    </w:p>
    <w:p w14:paraId="0476FABE">
      <w:pPr>
        <w:ind w:firstLine="422"/>
        <w:jc w:val="left"/>
        <w:rPr>
          <w:rFonts w:ascii="宋体" w:hAnsi="宋体"/>
          <w:kern w:val="44"/>
        </w:rPr>
      </w:pPr>
      <w:r>
        <w:rPr>
          <w:rFonts w:hint="eastAsia" w:ascii="宋体" w:hAnsi="宋体"/>
          <w:b/>
          <w:kern w:val="44"/>
        </w:rPr>
        <w:t>第二十九条</w:t>
      </w:r>
      <w:r>
        <w:rPr>
          <w:rFonts w:hint="eastAsia" w:ascii="宋体" w:hAnsi="宋体"/>
          <w:kern w:val="44"/>
        </w:rPr>
        <w:t>　市场服务管理机构应当在市场内积极开展法制宣传，组织经营者创建文明市场。</w:t>
      </w:r>
    </w:p>
    <w:p w14:paraId="52909496">
      <w:pPr>
        <w:jc w:val="left"/>
        <w:rPr>
          <w:rFonts w:ascii="宋体" w:hAnsi="宋体"/>
          <w:kern w:val="44"/>
        </w:rPr>
      </w:pPr>
    </w:p>
    <w:p w14:paraId="3EE9778B">
      <w:pPr>
        <w:ind w:firstLine="0" w:firstLineChars="0"/>
        <w:jc w:val="center"/>
        <w:rPr>
          <w:rFonts w:ascii="宋体" w:hAnsi="宋体"/>
          <w:b/>
          <w:kern w:val="44"/>
          <w:sz w:val="28"/>
        </w:rPr>
      </w:pPr>
      <w:r>
        <w:rPr>
          <w:rFonts w:hint="eastAsia" w:ascii="宋体" w:hAnsi="宋体"/>
          <w:b/>
          <w:kern w:val="44"/>
          <w:sz w:val="28"/>
        </w:rPr>
        <w:t>第五章　市场的进入和交易</w:t>
      </w:r>
    </w:p>
    <w:p w14:paraId="7FA5BD3C">
      <w:pPr>
        <w:jc w:val="left"/>
        <w:rPr>
          <w:rFonts w:ascii="宋体" w:hAnsi="宋体"/>
          <w:kern w:val="44"/>
        </w:rPr>
      </w:pPr>
    </w:p>
    <w:p w14:paraId="2FF6853C">
      <w:pPr>
        <w:ind w:firstLine="422"/>
        <w:jc w:val="left"/>
        <w:rPr>
          <w:rFonts w:ascii="宋体" w:hAnsi="宋体"/>
          <w:kern w:val="44"/>
        </w:rPr>
      </w:pPr>
      <w:r>
        <w:rPr>
          <w:rFonts w:hint="eastAsia" w:ascii="宋体" w:hAnsi="宋体"/>
          <w:b/>
          <w:kern w:val="44"/>
        </w:rPr>
        <w:t>第三十条</w:t>
      </w:r>
      <w:r>
        <w:rPr>
          <w:rFonts w:hint="eastAsia" w:ascii="宋体" w:hAnsi="宋体"/>
          <w:kern w:val="44"/>
        </w:rPr>
        <w:t>　经营者进入市场应当持有营业执照或者其他合法凭证。</w:t>
      </w:r>
    </w:p>
    <w:p w14:paraId="6D58A4E4">
      <w:pPr>
        <w:jc w:val="left"/>
        <w:rPr>
          <w:rFonts w:ascii="宋体" w:hAnsi="宋体"/>
          <w:kern w:val="44"/>
        </w:rPr>
      </w:pPr>
      <w:r>
        <w:rPr>
          <w:rFonts w:hint="eastAsia" w:ascii="宋体" w:hAnsi="宋体"/>
          <w:kern w:val="44"/>
        </w:rPr>
        <w:t>经纪人进入市场从事经纪活动，应当具有经纪资格并持有营业执照。</w:t>
      </w:r>
    </w:p>
    <w:p w14:paraId="3BB8359A">
      <w:pPr>
        <w:jc w:val="left"/>
        <w:rPr>
          <w:rFonts w:ascii="宋体" w:hAnsi="宋体"/>
          <w:kern w:val="44"/>
        </w:rPr>
      </w:pPr>
      <w:r>
        <w:rPr>
          <w:rFonts w:hint="eastAsia" w:ascii="宋体" w:hAnsi="宋体"/>
          <w:kern w:val="44"/>
        </w:rPr>
        <w:t>销售国家实行专营、专卖的商品和实行许可证制度管理的商品的，必须持有相应的证件。</w:t>
      </w:r>
    </w:p>
    <w:p w14:paraId="1709D873">
      <w:pPr>
        <w:ind w:firstLine="422"/>
        <w:jc w:val="left"/>
        <w:rPr>
          <w:rFonts w:ascii="宋体" w:hAnsi="宋体"/>
          <w:kern w:val="44"/>
        </w:rPr>
      </w:pPr>
      <w:r>
        <w:rPr>
          <w:rFonts w:hint="eastAsia" w:ascii="宋体" w:hAnsi="宋体"/>
          <w:b/>
          <w:kern w:val="44"/>
        </w:rPr>
        <w:t>第三十一条</w:t>
      </w:r>
      <w:r>
        <w:rPr>
          <w:rFonts w:hint="eastAsia" w:ascii="宋体" w:hAnsi="宋体"/>
          <w:kern w:val="44"/>
        </w:rPr>
        <w:t>　进入市场的经营者必须遵守有关市场交易的法律、法规，遵循自愿、平等、公平、诚实信用的原则，遵守公认的商业道德，不得损害国家利益以及其他经营者和消费者的合法权益。</w:t>
      </w:r>
    </w:p>
    <w:p w14:paraId="0AA1C34E">
      <w:pPr>
        <w:jc w:val="left"/>
        <w:rPr>
          <w:rFonts w:hint="eastAsia" w:ascii="宋体" w:hAnsi="宋体"/>
          <w:kern w:val="44"/>
        </w:rPr>
      </w:pPr>
      <w:r>
        <w:rPr>
          <w:rFonts w:hint="eastAsia" w:ascii="宋体" w:hAnsi="宋体"/>
          <w:b/>
          <w:kern w:val="44"/>
        </w:rPr>
        <w:t>第三十二条</w:t>
      </w:r>
      <w:r>
        <w:rPr>
          <w:rFonts w:hint="eastAsia" w:ascii="宋体" w:hAnsi="宋体"/>
          <w:kern w:val="44"/>
        </w:rPr>
        <w:t>　进入市场的经营者应当接受有关行政管理部门的监督管理，不得拒绝和阻碍行政执法人员依</w:t>
      </w:r>
    </w:p>
    <w:p w14:paraId="6FBCDDF8">
      <w:pPr>
        <w:jc w:val="left"/>
        <w:rPr>
          <w:rFonts w:ascii="宋体" w:hAnsi="宋体"/>
          <w:kern w:val="44"/>
        </w:rPr>
      </w:pPr>
      <w:r>
        <w:rPr>
          <w:rFonts w:hint="eastAsia" w:ascii="宋体" w:hAnsi="宋体"/>
          <w:kern w:val="44"/>
        </w:rPr>
        <w:t>强卖；</w:t>
      </w:r>
    </w:p>
    <w:p w14:paraId="7E8DCC1B">
      <w:pPr>
        <w:jc w:val="left"/>
        <w:rPr>
          <w:rFonts w:ascii="宋体" w:hAnsi="宋体"/>
          <w:kern w:val="44"/>
        </w:rPr>
      </w:pPr>
      <w:r>
        <w:rPr>
          <w:rFonts w:hint="eastAsia" w:ascii="宋体" w:hAnsi="宋体"/>
          <w:kern w:val="44"/>
        </w:rPr>
        <w:t>（二）联合定价或者串通哄抬物价；</w:t>
      </w:r>
    </w:p>
    <w:p w14:paraId="37D6F7C0">
      <w:pPr>
        <w:jc w:val="left"/>
        <w:rPr>
          <w:rFonts w:ascii="宋体" w:hAnsi="宋体"/>
          <w:kern w:val="44"/>
        </w:rPr>
      </w:pPr>
      <w:r>
        <w:rPr>
          <w:rFonts w:hint="eastAsia" w:ascii="宋体" w:hAnsi="宋体"/>
          <w:kern w:val="44"/>
        </w:rPr>
        <w:t>（三）销售商品掺杂掺假、以假充真、以次充好、短尺少秤；</w:t>
      </w:r>
    </w:p>
    <w:p w14:paraId="4003F534">
      <w:pPr>
        <w:jc w:val="left"/>
        <w:rPr>
          <w:rFonts w:ascii="宋体" w:hAnsi="宋体"/>
          <w:kern w:val="44"/>
        </w:rPr>
      </w:pPr>
      <w:r>
        <w:rPr>
          <w:rFonts w:hint="eastAsia" w:ascii="宋体" w:hAnsi="宋体"/>
          <w:kern w:val="44"/>
        </w:rPr>
        <w:t>（四）经营法律、法规禁止上市交易的物品；</w:t>
      </w:r>
    </w:p>
    <w:p w14:paraId="75369257">
      <w:pPr>
        <w:jc w:val="left"/>
        <w:rPr>
          <w:rFonts w:ascii="宋体" w:hAnsi="宋体"/>
          <w:kern w:val="44"/>
        </w:rPr>
      </w:pPr>
      <w:r>
        <w:rPr>
          <w:rFonts w:hint="eastAsia" w:ascii="宋体" w:hAnsi="宋体"/>
          <w:kern w:val="44"/>
        </w:rPr>
        <w:t>（五）法律、法规禁止的其他行为。</w:t>
      </w:r>
    </w:p>
    <w:p w14:paraId="6697C58A">
      <w:pPr>
        <w:jc w:val="left"/>
        <w:rPr>
          <w:rFonts w:ascii="宋体" w:hAnsi="宋体"/>
          <w:kern w:val="44"/>
        </w:rPr>
      </w:pPr>
    </w:p>
    <w:p w14:paraId="3A9B134A">
      <w:pPr>
        <w:ind w:firstLine="0" w:firstLineChars="0"/>
        <w:jc w:val="center"/>
        <w:rPr>
          <w:rFonts w:ascii="宋体" w:hAnsi="宋体"/>
          <w:b/>
          <w:kern w:val="44"/>
          <w:sz w:val="28"/>
        </w:rPr>
      </w:pPr>
      <w:r>
        <w:rPr>
          <w:rFonts w:hint="eastAsia" w:ascii="宋体" w:hAnsi="宋体"/>
          <w:b/>
          <w:kern w:val="44"/>
          <w:sz w:val="28"/>
        </w:rPr>
        <w:t>第六章　市场的监督管理</w:t>
      </w:r>
    </w:p>
    <w:p w14:paraId="7F5C630D">
      <w:pPr>
        <w:jc w:val="left"/>
        <w:rPr>
          <w:rFonts w:ascii="宋体" w:hAnsi="宋体"/>
          <w:kern w:val="44"/>
        </w:rPr>
      </w:pPr>
    </w:p>
    <w:p w14:paraId="0CEE2F34">
      <w:pPr>
        <w:ind w:firstLine="422"/>
        <w:jc w:val="left"/>
        <w:rPr>
          <w:rFonts w:ascii="宋体" w:hAnsi="宋体"/>
          <w:kern w:val="44"/>
        </w:rPr>
      </w:pPr>
      <w:r>
        <w:rPr>
          <w:rFonts w:hint="eastAsia" w:ascii="宋体" w:hAnsi="宋体"/>
          <w:b/>
          <w:kern w:val="44"/>
        </w:rPr>
        <w:t>第三十六条</w:t>
      </w:r>
      <w:r>
        <w:rPr>
          <w:rFonts w:hint="eastAsia" w:ascii="宋体" w:hAnsi="宋体"/>
          <w:kern w:val="44"/>
        </w:rPr>
        <w:t>　工商行政管理部门和有关行政执法部门应当建立执法责任制，认真履行法定职责，提高执法水平，加强廉政勤政建设，相互配合，共同做好市场的监督管理。</w:t>
      </w:r>
    </w:p>
    <w:p w14:paraId="77BECF74">
      <w:pPr>
        <w:ind w:firstLine="422"/>
        <w:jc w:val="left"/>
        <w:rPr>
          <w:rFonts w:ascii="宋体" w:hAnsi="宋体"/>
          <w:kern w:val="44"/>
        </w:rPr>
      </w:pPr>
      <w:r>
        <w:rPr>
          <w:rFonts w:hint="eastAsia" w:ascii="宋体" w:hAnsi="宋体"/>
          <w:b/>
          <w:kern w:val="44"/>
        </w:rPr>
        <w:t>第三十七条</w:t>
      </w:r>
      <w:r>
        <w:rPr>
          <w:rFonts w:hint="eastAsia" w:ascii="宋体" w:hAnsi="宋体"/>
          <w:kern w:val="44"/>
        </w:rPr>
        <w:t>　工商行政管理部门在市场监督管理中依法履行下列职责：</w:t>
      </w:r>
    </w:p>
    <w:p w14:paraId="187BDF0D">
      <w:pPr>
        <w:jc w:val="left"/>
        <w:rPr>
          <w:rFonts w:ascii="宋体" w:hAnsi="宋体"/>
          <w:kern w:val="44"/>
        </w:rPr>
      </w:pPr>
      <w:r>
        <w:rPr>
          <w:rFonts w:hint="eastAsia" w:ascii="宋体" w:hAnsi="宋体"/>
          <w:kern w:val="44"/>
        </w:rPr>
        <w:t>（一）贯彻实施有关市场管理的法律、法规，制定相应管理措施和制度；</w:t>
      </w:r>
    </w:p>
    <w:p w14:paraId="38D41827">
      <w:pPr>
        <w:jc w:val="left"/>
        <w:rPr>
          <w:rFonts w:ascii="宋体" w:hAnsi="宋体"/>
          <w:kern w:val="44"/>
        </w:rPr>
      </w:pPr>
      <w:r>
        <w:rPr>
          <w:rFonts w:hint="eastAsia" w:ascii="宋体" w:hAnsi="宋体"/>
          <w:kern w:val="44"/>
        </w:rPr>
        <w:t>（二）进行市场登记注册和年度检验；</w:t>
      </w:r>
    </w:p>
    <w:p w14:paraId="50CD5441">
      <w:pPr>
        <w:jc w:val="left"/>
        <w:rPr>
          <w:rFonts w:ascii="宋体" w:hAnsi="宋体"/>
          <w:kern w:val="44"/>
        </w:rPr>
      </w:pPr>
      <w:r>
        <w:rPr>
          <w:rFonts w:hint="eastAsia" w:ascii="宋体" w:hAnsi="宋体"/>
          <w:kern w:val="44"/>
        </w:rPr>
        <w:t>（三）对市场服务管理机构实施监督管理；</w:t>
      </w:r>
    </w:p>
    <w:p w14:paraId="3505D1CE">
      <w:pPr>
        <w:jc w:val="left"/>
        <w:rPr>
          <w:rFonts w:ascii="宋体" w:hAnsi="宋体"/>
          <w:kern w:val="44"/>
        </w:rPr>
      </w:pPr>
      <w:r>
        <w:rPr>
          <w:rFonts w:hint="eastAsia" w:ascii="宋体" w:hAnsi="宋体"/>
          <w:kern w:val="44"/>
        </w:rPr>
        <w:t>（四）检查入场经营者的主体资格；</w:t>
      </w:r>
    </w:p>
    <w:p w14:paraId="70E13E8B">
      <w:pPr>
        <w:jc w:val="left"/>
        <w:rPr>
          <w:rFonts w:ascii="宋体" w:hAnsi="宋体"/>
          <w:kern w:val="44"/>
        </w:rPr>
      </w:pPr>
      <w:r>
        <w:rPr>
          <w:rFonts w:hint="eastAsia" w:ascii="宋体" w:hAnsi="宋体"/>
          <w:kern w:val="44"/>
        </w:rPr>
        <w:t>（五）保护合法经营，查处违法行为，调解经济纠纷，受理消费者投诉；</w:t>
      </w:r>
    </w:p>
    <w:p w14:paraId="2763D40E">
      <w:pPr>
        <w:jc w:val="left"/>
        <w:rPr>
          <w:rFonts w:ascii="宋体" w:hAnsi="宋体"/>
          <w:kern w:val="44"/>
        </w:rPr>
      </w:pPr>
      <w:r>
        <w:rPr>
          <w:rFonts w:hint="eastAsia" w:ascii="宋体" w:hAnsi="宋体"/>
          <w:kern w:val="44"/>
        </w:rPr>
        <w:t>（六）法律、法规规定的其他职责。</w:t>
      </w:r>
    </w:p>
    <w:p w14:paraId="026B5B46">
      <w:pPr>
        <w:ind w:firstLine="422"/>
        <w:jc w:val="left"/>
        <w:rPr>
          <w:rFonts w:ascii="宋体" w:hAnsi="宋体"/>
          <w:kern w:val="44"/>
        </w:rPr>
      </w:pPr>
      <w:r>
        <w:rPr>
          <w:rFonts w:hint="eastAsia" w:ascii="宋体" w:hAnsi="宋体"/>
          <w:b/>
          <w:kern w:val="44"/>
        </w:rPr>
        <w:t>第三十八条</w:t>
      </w:r>
      <w:r>
        <w:rPr>
          <w:rFonts w:hint="eastAsia" w:ascii="宋体" w:hAnsi="宋体"/>
          <w:kern w:val="44"/>
        </w:rPr>
        <w:t>　市和区、县人民政府可以根据需要责成工商行政管理、公安等行政执法部门在市场内设立管理机构或者配备人员。</w:t>
      </w:r>
    </w:p>
    <w:p w14:paraId="11723F61">
      <w:pPr>
        <w:ind w:firstLine="422"/>
        <w:jc w:val="left"/>
        <w:rPr>
          <w:rFonts w:ascii="宋体" w:hAnsi="宋体"/>
          <w:kern w:val="44"/>
        </w:rPr>
      </w:pPr>
      <w:r>
        <w:rPr>
          <w:rFonts w:hint="eastAsia" w:ascii="宋体" w:hAnsi="宋体"/>
          <w:b/>
          <w:kern w:val="44"/>
        </w:rPr>
        <w:t>第三十九条</w:t>
      </w:r>
      <w:r>
        <w:rPr>
          <w:rFonts w:hint="eastAsia" w:ascii="宋体" w:hAnsi="宋体"/>
          <w:kern w:val="44"/>
        </w:rPr>
        <w:t>　市场监督管理人员应当依法行使职权，秉公执法，文明管理。在执行职务时，应当出示有关证件。</w:t>
      </w:r>
    </w:p>
    <w:p w14:paraId="1FD88A22">
      <w:pPr>
        <w:ind w:firstLine="422"/>
        <w:jc w:val="left"/>
        <w:rPr>
          <w:rFonts w:ascii="宋体" w:hAnsi="宋体"/>
          <w:kern w:val="44"/>
        </w:rPr>
      </w:pPr>
      <w:r>
        <w:rPr>
          <w:rFonts w:hint="eastAsia" w:ascii="宋体" w:hAnsi="宋体"/>
          <w:b/>
          <w:kern w:val="44"/>
        </w:rPr>
        <w:t>第四十条</w:t>
      </w:r>
      <w:r>
        <w:rPr>
          <w:rFonts w:hint="eastAsia" w:ascii="宋体" w:hAnsi="宋体"/>
          <w:kern w:val="44"/>
        </w:rPr>
        <w:t>　市场监督管理人员在市场内不得从事商品经营活动，不得利用职权徇私舞弊、索贿受贿，不得侵害公民、法人和其他组织的合法权益。</w:t>
      </w:r>
    </w:p>
    <w:p w14:paraId="1B700ACE">
      <w:pPr>
        <w:ind w:firstLine="422"/>
        <w:jc w:val="left"/>
        <w:rPr>
          <w:rFonts w:ascii="宋体" w:hAnsi="宋体"/>
          <w:kern w:val="44"/>
        </w:rPr>
      </w:pPr>
      <w:r>
        <w:rPr>
          <w:rFonts w:hint="eastAsia" w:ascii="宋体" w:hAnsi="宋体"/>
          <w:b/>
          <w:kern w:val="44"/>
        </w:rPr>
        <w:t>第四十一条</w:t>
      </w:r>
      <w:r>
        <w:rPr>
          <w:rFonts w:hint="eastAsia" w:ascii="宋体" w:hAnsi="宋体"/>
          <w:kern w:val="44"/>
        </w:rPr>
        <w:t>　除法律、法规规定的行政性、事业性收费外，任何单位和个人不得在市场内擅自收费。市场服务管理机构、经营者和消费者对违法收费或者摊派的有权拒付和检举控告。</w:t>
      </w:r>
    </w:p>
    <w:p w14:paraId="50CF931D">
      <w:pPr>
        <w:spacing w:line="300" w:lineRule="exact"/>
        <w:jc w:val="left"/>
        <w:rPr>
          <w:rFonts w:ascii="宋体" w:hAnsi="宋体"/>
          <w:kern w:val="44"/>
        </w:rPr>
      </w:pPr>
    </w:p>
    <w:p w14:paraId="211330F1">
      <w:pPr>
        <w:ind w:firstLine="0" w:firstLineChars="0"/>
        <w:jc w:val="center"/>
        <w:rPr>
          <w:rFonts w:ascii="宋体" w:hAnsi="宋体"/>
          <w:b/>
          <w:kern w:val="44"/>
          <w:sz w:val="28"/>
        </w:rPr>
      </w:pPr>
      <w:r>
        <w:rPr>
          <w:rFonts w:hint="eastAsia" w:ascii="宋体" w:hAnsi="宋体"/>
          <w:b/>
          <w:kern w:val="44"/>
          <w:sz w:val="28"/>
        </w:rPr>
        <w:t>第七章　法律责任</w:t>
      </w:r>
    </w:p>
    <w:p w14:paraId="7BB01D5A">
      <w:pPr>
        <w:spacing w:line="300" w:lineRule="exact"/>
        <w:jc w:val="left"/>
        <w:rPr>
          <w:rFonts w:ascii="宋体" w:hAnsi="宋体"/>
          <w:kern w:val="44"/>
        </w:rPr>
      </w:pPr>
    </w:p>
    <w:p w14:paraId="69D95DC3">
      <w:pPr>
        <w:ind w:firstLine="422"/>
        <w:jc w:val="left"/>
        <w:rPr>
          <w:rFonts w:ascii="宋体" w:hAnsi="宋体"/>
          <w:kern w:val="44"/>
        </w:rPr>
      </w:pPr>
      <w:r>
        <w:rPr>
          <w:rFonts w:hint="eastAsia" w:ascii="宋体" w:hAnsi="宋体"/>
          <w:b/>
          <w:kern w:val="44"/>
        </w:rPr>
        <w:t>第四十二条</w:t>
      </w:r>
      <w:r>
        <w:rPr>
          <w:rFonts w:hint="eastAsia" w:ascii="宋体" w:hAnsi="宋体"/>
          <w:kern w:val="44"/>
        </w:rPr>
        <w:t>　对违反本条例的行为，有关法律、法规对处罚机关和处罚种类、幅度有规定的，依照有关法律、法规的规定执行；没有法律、法规规定的，依照本条例的规定执行。</w:t>
      </w:r>
    </w:p>
    <w:p w14:paraId="35814400">
      <w:pPr>
        <w:ind w:firstLine="422"/>
        <w:jc w:val="left"/>
        <w:rPr>
          <w:rFonts w:ascii="宋体" w:hAnsi="宋体"/>
          <w:kern w:val="44"/>
        </w:rPr>
      </w:pPr>
      <w:r>
        <w:rPr>
          <w:rFonts w:hint="eastAsia" w:ascii="宋体" w:hAnsi="宋体"/>
          <w:b/>
          <w:kern w:val="44"/>
        </w:rPr>
        <w:t>第四十三条</w:t>
      </w:r>
      <w:r>
        <w:rPr>
          <w:rFonts w:hint="eastAsia" w:ascii="宋体" w:hAnsi="宋体"/>
          <w:kern w:val="44"/>
        </w:rPr>
        <w:t>　兴建市场违反本条例规定，有下列行为之一的，由工商行政管理部门予以处罚：</w:t>
      </w:r>
    </w:p>
    <w:p w14:paraId="205B5CAB">
      <w:pPr>
        <w:jc w:val="left"/>
        <w:rPr>
          <w:rFonts w:ascii="宋体" w:hAnsi="宋体"/>
          <w:kern w:val="44"/>
        </w:rPr>
      </w:pPr>
      <w:r>
        <w:rPr>
          <w:rFonts w:hint="eastAsia" w:ascii="宋体" w:hAnsi="宋体"/>
          <w:kern w:val="44"/>
        </w:rPr>
        <w:t>（一）未经市场登记注册，擅自兴建市场或者组织摊群交易的，责令停止营业，没收违法所得，并可以处以1000元以上2万元以下的罚款。</w:t>
      </w:r>
    </w:p>
    <w:p w14:paraId="6510D26A">
      <w:pPr>
        <w:jc w:val="left"/>
        <w:rPr>
          <w:rFonts w:ascii="宋体" w:hAnsi="宋体"/>
          <w:kern w:val="44"/>
        </w:rPr>
      </w:pPr>
      <w:r>
        <w:rPr>
          <w:rFonts w:hint="eastAsia" w:ascii="宋体" w:hAnsi="宋体"/>
          <w:kern w:val="44"/>
        </w:rPr>
        <w:t>（二）在市场登记注册中隐瞒真实情况、提供虚假文件骗取市场登记的，责令停止营业，收缴《市场登记证》，没收违法所得，并可以处以1000元以上2万元以下的罚款；未按本条例规定办理市场变更登记的，责令其在30日内补办手续，并可以处以1000元以上2万元以下的罚款； 未按本条例规定办理市场注销登记的，吊销《市场登记证》。</w:t>
      </w:r>
    </w:p>
    <w:p w14:paraId="434360C8">
      <w:pPr>
        <w:jc w:val="left"/>
        <w:rPr>
          <w:rFonts w:ascii="宋体" w:hAnsi="宋体"/>
          <w:kern w:val="44"/>
        </w:rPr>
      </w:pPr>
      <w:r>
        <w:rPr>
          <w:rFonts w:hint="eastAsia" w:ascii="宋体" w:hAnsi="宋体"/>
          <w:kern w:val="44"/>
        </w:rPr>
        <w:t>（三）未设立市场服务管理机构擅自开业的，责令改正，并处以500元以上1万元以下的罚款；拒不改正的，吊销《市场登记证》。</w:t>
      </w:r>
    </w:p>
    <w:p w14:paraId="615985E6">
      <w:pPr>
        <w:jc w:val="left"/>
        <w:rPr>
          <w:rFonts w:ascii="宋体" w:hAnsi="宋体"/>
          <w:kern w:val="44"/>
        </w:rPr>
      </w:pPr>
      <w:r>
        <w:rPr>
          <w:rFonts w:hint="eastAsia" w:ascii="宋体" w:hAnsi="宋体"/>
          <w:kern w:val="44"/>
        </w:rPr>
        <w:t>由于前款原因给入场经营者和消费者造成经济损失的，市场兴建者应当承担相应的赔偿责任。</w:t>
      </w:r>
    </w:p>
    <w:p w14:paraId="0C732E72">
      <w:pPr>
        <w:ind w:firstLine="422"/>
        <w:jc w:val="left"/>
        <w:rPr>
          <w:rFonts w:ascii="宋体" w:hAnsi="宋体"/>
          <w:kern w:val="44"/>
        </w:rPr>
      </w:pPr>
      <w:r>
        <w:rPr>
          <w:rFonts w:hint="eastAsia" w:ascii="宋体" w:hAnsi="宋体"/>
          <w:b/>
          <w:kern w:val="44"/>
        </w:rPr>
        <w:t>第四十四条</w:t>
      </w:r>
      <w:r>
        <w:rPr>
          <w:rFonts w:hint="eastAsia" w:ascii="宋体" w:hAnsi="宋体"/>
          <w:kern w:val="44"/>
        </w:rPr>
        <w:t>　违反本条例第十一条规定的，由规划行政管理部门责令改正，并按违法建设行为予以处罚。</w:t>
      </w:r>
    </w:p>
    <w:p w14:paraId="71292843">
      <w:pPr>
        <w:ind w:firstLine="422"/>
        <w:jc w:val="left"/>
        <w:rPr>
          <w:rFonts w:ascii="宋体" w:hAnsi="宋体"/>
          <w:kern w:val="44"/>
        </w:rPr>
      </w:pPr>
      <w:r>
        <w:rPr>
          <w:rFonts w:hint="eastAsia" w:ascii="宋体" w:hAnsi="宋体"/>
          <w:b/>
          <w:kern w:val="44"/>
        </w:rPr>
        <w:t>第四十五条</w:t>
      </w:r>
      <w:r>
        <w:rPr>
          <w:rFonts w:hint="eastAsia" w:ascii="宋体" w:hAnsi="宋体"/>
          <w:kern w:val="44"/>
        </w:rPr>
        <w:t>　市场服务管理机构违反本条例规定，有下列行为之一的，由工商行政管理部门予以处罚：</w:t>
      </w:r>
    </w:p>
    <w:p w14:paraId="0F5EB611">
      <w:pPr>
        <w:jc w:val="left"/>
        <w:rPr>
          <w:rFonts w:ascii="宋体" w:hAnsi="宋体"/>
          <w:kern w:val="44"/>
        </w:rPr>
      </w:pPr>
      <w:r>
        <w:rPr>
          <w:rFonts w:hint="eastAsia" w:ascii="宋体" w:hAnsi="宋体"/>
          <w:kern w:val="44"/>
        </w:rPr>
        <w:t>（一）未履行本条例规定义务，造成市场秩序混乱的，责令改正，并可以处以1000元以上2万元以下的罚款；情节严重的，责令停业整顿。</w:t>
      </w:r>
    </w:p>
    <w:p w14:paraId="028F540D">
      <w:pPr>
        <w:jc w:val="left"/>
        <w:rPr>
          <w:rFonts w:ascii="宋体" w:hAnsi="宋体"/>
          <w:kern w:val="44"/>
        </w:rPr>
      </w:pPr>
      <w:r>
        <w:rPr>
          <w:rFonts w:hint="eastAsia" w:ascii="宋体" w:hAnsi="宋体"/>
          <w:kern w:val="44"/>
        </w:rPr>
        <w:t>（二）允许无营业执照、无合法凭证人员进入市场经营的，责令改正，对有关责任人员处以200元以下的罚款，对市场服务管理机构处以2000元以上1万元以下的罚款；情节严重的，责令停业整顿。</w:t>
      </w:r>
    </w:p>
    <w:p w14:paraId="33760C69">
      <w:pPr>
        <w:jc w:val="left"/>
        <w:rPr>
          <w:rFonts w:ascii="宋体" w:hAnsi="宋体"/>
          <w:kern w:val="44"/>
        </w:rPr>
      </w:pPr>
      <w:r>
        <w:rPr>
          <w:rFonts w:hint="eastAsia" w:ascii="宋体" w:hAnsi="宋体"/>
          <w:kern w:val="44"/>
        </w:rPr>
        <w:t>（三）对在市场外随意摆摊设点的经营者收取费用，变相扩大市场场界的，责令改正，对有关责任人员处以200元以下的罚款，对市场服务管理机构处以2000元以上1万元以下的罚款。</w:t>
      </w:r>
    </w:p>
    <w:p w14:paraId="620F31E6">
      <w:pPr>
        <w:jc w:val="left"/>
        <w:rPr>
          <w:rFonts w:ascii="宋体" w:hAnsi="宋体"/>
          <w:kern w:val="44"/>
        </w:rPr>
      </w:pPr>
      <w:r>
        <w:rPr>
          <w:rFonts w:hint="eastAsia" w:ascii="宋体" w:hAnsi="宋体"/>
          <w:kern w:val="44"/>
        </w:rPr>
        <w:t>（四）未按本条例规定参加市场年度检验的，责令补办年检手续，并可以处以1000元以上1万元以下的罚款。</w:t>
      </w:r>
    </w:p>
    <w:p w14:paraId="12749BF5">
      <w:pPr>
        <w:jc w:val="left"/>
        <w:rPr>
          <w:rFonts w:ascii="宋体" w:hAnsi="宋体"/>
          <w:kern w:val="44"/>
        </w:rPr>
      </w:pPr>
      <w:r>
        <w:rPr>
          <w:rFonts w:hint="eastAsia" w:ascii="宋体" w:hAnsi="宋体"/>
          <w:kern w:val="44"/>
        </w:rPr>
        <w:t>（五）市场服务管理机构及其工作人员在市场内从事商品经营活动的，责令改正，没收违法所得，并可以处以2000元以下的罚款。</w:t>
      </w:r>
    </w:p>
    <w:p w14:paraId="53B07C22">
      <w:pPr>
        <w:jc w:val="left"/>
        <w:rPr>
          <w:rFonts w:ascii="宋体" w:hAnsi="宋体"/>
          <w:kern w:val="44"/>
        </w:rPr>
      </w:pPr>
      <w:r>
        <w:rPr>
          <w:rFonts w:hint="eastAsia" w:ascii="宋体" w:hAnsi="宋体"/>
          <w:kern w:val="44"/>
        </w:rPr>
        <w:t>由于前款第（一）项、第（二）项原因给入场经营者造成经济损失的，市场服务管理机构应当承担相应的赔偿责任。</w:t>
      </w:r>
    </w:p>
    <w:p w14:paraId="61A13F38">
      <w:pPr>
        <w:ind w:firstLine="422"/>
        <w:jc w:val="left"/>
        <w:rPr>
          <w:rFonts w:ascii="宋体" w:hAnsi="宋体"/>
          <w:kern w:val="44"/>
        </w:rPr>
      </w:pPr>
      <w:r>
        <w:rPr>
          <w:rFonts w:hint="eastAsia" w:ascii="宋体" w:hAnsi="宋体"/>
          <w:b/>
          <w:kern w:val="44"/>
        </w:rPr>
        <w:t>第四十六条</w:t>
      </w:r>
      <w:r>
        <w:rPr>
          <w:rFonts w:hint="eastAsia" w:ascii="宋体" w:hAnsi="宋体"/>
          <w:kern w:val="44"/>
        </w:rPr>
        <w:t>　经营者在市场外随意摆摊设点的，由工商行政管理部门或者其他有关行政管理部门责令停止营业，没收违法所得，并可没收其非法经营的商品、工具，对违法个人处以500元以下的罚款，对违法单位处以1000元以上1万元以下的罚款。</w:t>
      </w:r>
    </w:p>
    <w:p w14:paraId="7D11FE36">
      <w:pPr>
        <w:ind w:firstLine="422"/>
        <w:jc w:val="left"/>
        <w:rPr>
          <w:rFonts w:ascii="宋体" w:hAnsi="宋体"/>
          <w:kern w:val="44"/>
        </w:rPr>
      </w:pPr>
      <w:r>
        <w:rPr>
          <w:rFonts w:hint="eastAsia" w:ascii="宋体" w:hAnsi="宋体"/>
          <w:b/>
          <w:kern w:val="44"/>
        </w:rPr>
        <w:t>第四十七条</w:t>
      </w:r>
      <w:r>
        <w:rPr>
          <w:rFonts w:hint="eastAsia" w:ascii="宋体" w:hAnsi="宋体"/>
          <w:kern w:val="44"/>
        </w:rPr>
        <w:t>　消费者在市场购买商品或者接受服务，其合法权益受到损害的，由经营者承担赔偿责任；经营者已不在市场经营的，由市场服务管理机构承担赔偿责任。市场服务管理机构赔偿后，有权向经营者追偿。</w:t>
      </w:r>
    </w:p>
    <w:p w14:paraId="03B9AB23">
      <w:pPr>
        <w:ind w:firstLine="422"/>
        <w:jc w:val="left"/>
        <w:rPr>
          <w:rFonts w:ascii="宋体" w:hAnsi="宋体"/>
          <w:kern w:val="44"/>
        </w:rPr>
      </w:pPr>
      <w:r>
        <w:rPr>
          <w:rFonts w:hint="eastAsia" w:ascii="宋体" w:hAnsi="宋体"/>
          <w:b/>
          <w:kern w:val="44"/>
        </w:rPr>
        <w:t>第四十八条</w:t>
      </w:r>
      <w:r>
        <w:rPr>
          <w:rFonts w:hint="eastAsia" w:ascii="宋体" w:hAnsi="宋体"/>
          <w:kern w:val="44"/>
        </w:rPr>
        <w:t>　拒绝、阻碍行政执法人员依法执行职务的，由公安机关依法处理；构成犯罪的，依法追究刑事责任。</w:t>
      </w:r>
    </w:p>
    <w:p w14:paraId="7E5352E7">
      <w:pPr>
        <w:ind w:firstLine="422"/>
        <w:jc w:val="left"/>
        <w:rPr>
          <w:rFonts w:ascii="宋体" w:hAnsi="宋体"/>
          <w:kern w:val="44"/>
        </w:rPr>
      </w:pPr>
      <w:r>
        <w:rPr>
          <w:rFonts w:hint="eastAsia" w:ascii="宋体" w:hAnsi="宋体"/>
          <w:b/>
          <w:kern w:val="44"/>
        </w:rPr>
        <w:t>第四十九条</w:t>
      </w:r>
      <w:r>
        <w:rPr>
          <w:rFonts w:hint="eastAsia" w:ascii="宋体" w:hAnsi="宋体"/>
          <w:kern w:val="44"/>
        </w:rPr>
        <w:t>　行政执法人员在市场监督管理中滥用职权、玩忽职守、徇私舞弊、索贿受贿，构成犯罪的，依法追究刑事责任；不构成犯罪的，给予行政处分。</w:t>
      </w:r>
    </w:p>
    <w:p w14:paraId="4EECF1EB">
      <w:pPr>
        <w:jc w:val="left"/>
        <w:rPr>
          <w:rFonts w:ascii="宋体" w:hAnsi="宋体"/>
          <w:kern w:val="44"/>
        </w:rPr>
      </w:pPr>
    </w:p>
    <w:p w14:paraId="08EDC2E4">
      <w:pPr>
        <w:ind w:firstLine="0" w:firstLineChars="0"/>
        <w:jc w:val="center"/>
        <w:rPr>
          <w:rFonts w:hint="eastAsia" w:ascii="宋体" w:hAnsi="宋体"/>
          <w:b/>
          <w:kern w:val="44"/>
          <w:sz w:val="28"/>
        </w:rPr>
      </w:pPr>
    </w:p>
    <w:p w14:paraId="5117FE8A">
      <w:pPr>
        <w:ind w:firstLine="0" w:firstLineChars="0"/>
        <w:jc w:val="center"/>
        <w:rPr>
          <w:rFonts w:hint="eastAsia" w:ascii="宋体" w:hAnsi="宋体"/>
          <w:b/>
          <w:kern w:val="44"/>
          <w:sz w:val="28"/>
        </w:rPr>
      </w:pPr>
    </w:p>
    <w:p w14:paraId="23A390BC">
      <w:pPr>
        <w:ind w:firstLine="0" w:firstLineChars="0"/>
        <w:jc w:val="center"/>
        <w:rPr>
          <w:rFonts w:ascii="宋体" w:hAnsi="宋体"/>
          <w:b/>
          <w:kern w:val="44"/>
          <w:sz w:val="28"/>
        </w:rPr>
      </w:pPr>
      <w:r>
        <w:rPr>
          <w:rFonts w:hint="eastAsia" w:ascii="宋体" w:hAnsi="宋体"/>
          <w:b/>
          <w:kern w:val="44"/>
          <w:sz w:val="28"/>
        </w:rPr>
        <w:t>第八章　附　则</w:t>
      </w:r>
    </w:p>
    <w:p w14:paraId="56EFD449">
      <w:pPr>
        <w:jc w:val="left"/>
        <w:rPr>
          <w:rFonts w:ascii="宋体" w:hAnsi="宋体"/>
          <w:kern w:val="44"/>
        </w:rPr>
      </w:pPr>
    </w:p>
    <w:p w14:paraId="2005E6EC">
      <w:pPr>
        <w:ind w:firstLine="422"/>
        <w:jc w:val="left"/>
        <w:rPr>
          <w:rFonts w:ascii="宋体" w:hAnsi="宋体"/>
          <w:kern w:val="44"/>
        </w:rPr>
      </w:pPr>
      <w:r>
        <w:rPr>
          <w:rFonts w:hint="eastAsia" w:ascii="宋体" w:hAnsi="宋体"/>
          <w:b/>
          <w:kern w:val="44"/>
        </w:rPr>
        <w:t>第五十条</w:t>
      </w:r>
      <w:r>
        <w:rPr>
          <w:rFonts w:hint="eastAsia" w:ascii="宋体" w:hAnsi="宋体"/>
          <w:kern w:val="44"/>
        </w:rPr>
        <w:t>　本条例施行前依法设立的市场，应当自本条例施行之日起六个月内设立市场服务管理机构。</w:t>
      </w:r>
    </w:p>
    <w:p w14:paraId="056D8D29">
      <w:pPr>
        <w:ind w:firstLine="422"/>
        <w:jc w:val="left"/>
        <w:rPr>
          <w:rFonts w:ascii="宋体" w:hAnsi="宋体"/>
          <w:kern w:val="44"/>
        </w:rPr>
      </w:pPr>
      <w:r>
        <w:rPr>
          <w:rFonts w:hint="eastAsia" w:ascii="宋体" w:hAnsi="宋体"/>
          <w:b/>
          <w:kern w:val="44"/>
        </w:rPr>
        <w:t>第五十一条</w:t>
      </w:r>
      <w:r>
        <w:rPr>
          <w:rFonts w:hint="eastAsia" w:ascii="宋体" w:hAnsi="宋体"/>
          <w:kern w:val="44"/>
        </w:rPr>
        <w:t xml:space="preserve">  早市、夜市和展销会等，参照本条例管理。</w:t>
      </w:r>
    </w:p>
    <w:p w14:paraId="41944F84">
      <w:pPr>
        <w:ind w:firstLine="422"/>
        <w:jc w:val="left"/>
        <w:rPr>
          <w:rFonts w:ascii="宋体" w:hAnsi="宋体"/>
          <w:kern w:val="44"/>
        </w:rPr>
      </w:pPr>
      <w:r>
        <w:rPr>
          <w:rFonts w:hint="eastAsia" w:ascii="宋体" w:hAnsi="宋体"/>
          <w:b/>
          <w:kern w:val="44"/>
        </w:rPr>
        <w:t>第五十二条</w:t>
      </w:r>
      <w:r>
        <w:rPr>
          <w:rFonts w:hint="eastAsia" w:ascii="宋体" w:hAnsi="宋体"/>
          <w:kern w:val="44"/>
        </w:rPr>
        <w:t>　本条例具体应用中的问题，由市人民政府负责解释。</w:t>
      </w:r>
    </w:p>
    <w:p w14:paraId="33408C42">
      <w:pPr>
        <w:ind w:firstLine="422"/>
        <w:jc w:val="left"/>
        <w:rPr>
          <w:rFonts w:ascii="宋体" w:hAnsi="宋体"/>
          <w:kern w:val="44"/>
        </w:rPr>
      </w:pPr>
      <w:r>
        <w:rPr>
          <w:rFonts w:hint="eastAsia" w:ascii="宋体" w:hAnsi="宋体"/>
          <w:b/>
          <w:kern w:val="44"/>
        </w:rPr>
        <w:t>第五十三条</w:t>
      </w:r>
      <w:r>
        <w:rPr>
          <w:rFonts w:hint="eastAsia" w:ascii="宋体" w:hAnsi="宋体"/>
          <w:kern w:val="44"/>
        </w:rPr>
        <w:t>　本条例自1997年9月1日起施行。</w:t>
      </w:r>
    </w:p>
    <w:p w14:paraId="1AB77A6C">
      <w:pPr>
        <w:pStyle w:val="4"/>
        <w:pageBreakBefore/>
        <w:rPr>
          <w:kern w:val="44"/>
        </w:rPr>
      </w:pPr>
      <w:bookmarkStart w:id="1323" w:name="_Toc422471347"/>
      <w:bookmarkStart w:id="1324" w:name="_Toc428781666"/>
      <w:bookmarkStart w:id="1325" w:name="_Toc427651960"/>
      <w:bookmarkStart w:id="1326" w:name="_Toc428780184"/>
      <w:bookmarkStart w:id="1327" w:name="_Toc427651618"/>
      <w:r>
        <w:rPr>
          <w:rFonts w:hint="eastAsia"/>
          <w:kern w:val="44"/>
        </w:rPr>
        <w:t>北京市机动车市场管理暂行规定</w:t>
      </w:r>
      <w:bookmarkEnd w:id="1323"/>
      <w:bookmarkEnd w:id="1324"/>
      <w:bookmarkEnd w:id="1325"/>
      <w:bookmarkEnd w:id="1326"/>
      <w:bookmarkEnd w:id="1327"/>
    </w:p>
    <w:p w14:paraId="128C45CF">
      <w:pPr>
        <w:ind w:left="630" w:leftChars="300" w:right="630" w:rightChars="300"/>
        <w:jc w:val="left"/>
        <w:rPr>
          <w:rFonts w:ascii="楷体" w:hAnsi="楷体" w:eastAsia="楷体"/>
          <w:kern w:val="44"/>
        </w:rPr>
      </w:pPr>
      <w:r>
        <w:rPr>
          <w:rFonts w:hint="eastAsia" w:ascii="楷体" w:hAnsi="楷体" w:eastAsia="楷体"/>
          <w:kern w:val="44"/>
        </w:rPr>
        <w:t>（1990年5月28日北京市人民政府第9号令发布  根据1997年12月31日北京市人民政府第12号令第一次修改　根据2007年11月23日北京市人民政府第200号令第二次修改　根据2014年7月9日北京市人民政府第259号令第三次修改 ）</w:t>
      </w:r>
    </w:p>
    <w:p w14:paraId="41E2538F">
      <w:pPr>
        <w:jc w:val="left"/>
        <w:rPr>
          <w:rFonts w:ascii="宋体" w:hAnsi="宋体"/>
          <w:kern w:val="44"/>
        </w:rPr>
      </w:pPr>
    </w:p>
    <w:p w14:paraId="69580C6A">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为加强对本市机动车市场的监督管理，保护合法经营，制裁非法活动，根据国家对机动车交易和工商行政管理的有关规定，结合本市具体情况，制定本规定。</w:t>
      </w:r>
    </w:p>
    <w:p w14:paraId="150D230D">
      <w:pPr>
        <w:ind w:firstLine="422"/>
        <w:jc w:val="left"/>
        <w:rPr>
          <w:rFonts w:ascii="宋体" w:hAnsi="宋体"/>
          <w:kern w:val="44"/>
        </w:rPr>
      </w:pPr>
      <w:r>
        <w:rPr>
          <w:rFonts w:hint="eastAsia" w:ascii="宋体" w:hAnsi="宋体"/>
          <w:b/>
          <w:kern w:val="44"/>
        </w:rPr>
        <w:t>第二条</w:t>
      </w:r>
      <w:r>
        <w:rPr>
          <w:rFonts w:hint="eastAsia" w:ascii="宋体" w:hAnsi="宋体"/>
          <w:kern w:val="44"/>
        </w:rPr>
        <w:t>　凡在本市行政区域内进行机动车交易，均依照本规定管理。</w:t>
      </w:r>
    </w:p>
    <w:p w14:paraId="248A1A44">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市和区、县工商行政管理机关负责对本市机动车市场进行监督检查，依照工商行政管理法规的有关规定，保护合法经营，查处违法活动。</w:t>
      </w:r>
    </w:p>
    <w:p w14:paraId="34317AD3">
      <w:pPr>
        <w:jc w:val="left"/>
        <w:rPr>
          <w:rFonts w:ascii="宋体" w:hAnsi="宋体"/>
          <w:kern w:val="44"/>
        </w:rPr>
      </w:pPr>
      <w:r>
        <w:rPr>
          <w:rFonts w:hint="eastAsia" w:ascii="宋体" w:hAnsi="宋体"/>
          <w:kern w:val="44"/>
        </w:rPr>
        <w:t>公安交通、价格、税务等行政管理机关，按照各自职责，依法对机动车市场进行监督管理。</w:t>
      </w:r>
    </w:p>
    <w:p w14:paraId="47EF61C0">
      <w:pPr>
        <w:ind w:firstLine="422"/>
        <w:jc w:val="left"/>
        <w:rPr>
          <w:rFonts w:ascii="宋体" w:hAnsi="宋体"/>
          <w:kern w:val="44"/>
        </w:rPr>
      </w:pPr>
      <w:r>
        <w:rPr>
          <w:rFonts w:hint="eastAsia" w:ascii="宋体" w:hAnsi="宋体"/>
          <w:b/>
          <w:kern w:val="44"/>
        </w:rPr>
        <w:t>第四条</w:t>
      </w:r>
      <w:r>
        <w:rPr>
          <w:rFonts w:hint="eastAsia" w:ascii="宋体" w:hAnsi="宋体"/>
          <w:kern w:val="44"/>
        </w:rPr>
        <w:t>　从事机动车经营业务，应当向经营场所所在地的工商行政管理机关申请登记，经核准领取营业执照后，方可经营。</w:t>
      </w:r>
    </w:p>
    <w:p w14:paraId="6C2D7255">
      <w:pPr>
        <w:jc w:val="left"/>
        <w:rPr>
          <w:rFonts w:ascii="宋体" w:hAnsi="宋体"/>
          <w:kern w:val="44"/>
        </w:rPr>
      </w:pPr>
      <w:r>
        <w:rPr>
          <w:rFonts w:hint="eastAsia" w:ascii="宋体" w:hAnsi="宋体"/>
          <w:kern w:val="44"/>
        </w:rPr>
        <w:t>国家对经营机动车业务另有规定的，依照规定执行。</w:t>
      </w:r>
    </w:p>
    <w:p w14:paraId="7F6159D2">
      <w:pPr>
        <w:ind w:firstLine="422"/>
        <w:jc w:val="left"/>
        <w:rPr>
          <w:rFonts w:ascii="宋体" w:hAnsi="宋体"/>
          <w:kern w:val="44"/>
        </w:rPr>
      </w:pPr>
      <w:r>
        <w:rPr>
          <w:rFonts w:hint="eastAsia" w:ascii="宋体" w:hAnsi="宋体"/>
          <w:b/>
          <w:kern w:val="44"/>
        </w:rPr>
        <w:t>第五条</w:t>
      </w:r>
      <w:r>
        <w:rPr>
          <w:rFonts w:hint="eastAsia" w:ascii="宋体" w:hAnsi="宋体"/>
          <w:kern w:val="44"/>
        </w:rPr>
        <w:t>　机动车经营单位必须按照工商行政管理机关核准的经营范围经营。</w:t>
      </w:r>
    </w:p>
    <w:p w14:paraId="53BCEEF8">
      <w:pPr>
        <w:ind w:firstLine="422"/>
        <w:jc w:val="left"/>
        <w:rPr>
          <w:rFonts w:ascii="宋体" w:hAnsi="宋体"/>
          <w:kern w:val="44"/>
        </w:rPr>
      </w:pPr>
      <w:r>
        <w:rPr>
          <w:rFonts w:hint="eastAsia" w:ascii="宋体" w:hAnsi="宋体"/>
          <w:b/>
          <w:kern w:val="44"/>
        </w:rPr>
        <w:t>第六条</w:t>
      </w:r>
      <w:r>
        <w:rPr>
          <w:rFonts w:hint="eastAsia" w:ascii="宋体" w:hAnsi="宋体"/>
          <w:kern w:val="44"/>
        </w:rPr>
        <w:t>　旧机动车交易应当签订书面合同，成交后，应当按照国家规定办理转移登记手续。</w:t>
      </w:r>
    </w:p>
    <w:p w14:paraId="153C6029">
      <w:pPr>
        <w:jc w:val="left"/>
        <w:rPr>
          <w:rFonts w:ascii="宋体" w:hAnsi="宋体"/>
          <w:kern w:val="44"/>
        </w:rPr>
      </w:pPr>
      <w:r>
        <w:rPr>
          <w:rFonts w:hint="eastAsia" w:ascii="宋体" w:hAnsi="宋体"/>
          <w:kern w:val="44"/>
        </w:rPr>
        <w:t>交易的旧机动车应当在安全检验合格有效期内。</w:t>
      </w:r>
    </w:p>
    <w:p w14:paraId="2D7716C6">
      <w:pPr>
        <w:ind w:firstLine="422"/>
        <w:jc w:val="left"/>
        <w:rPr>
          <w:rFonts w:ascii="宋体" w:hAnsi="宋体"/>
          <w:kern w:val="44"/>
        </w:rPr>
      </w:pPr>
      <w:r>
        <w:rPr>
          <w:rFonts w:hint="eastAsia" w:ascii="宋体" w:hAnsi="宋体"/>
          <w:b/>
          <w:kern w:val="44"/>
        </w:rPr>
        <w:t>第七条</w:t>
      </w:r>
      <w:r>
        <w:rPr>
          <w:rFonts w:hint="eastAsia" w:ascii="宋体" w:hAnsi="宋体"/>
          <w:kern w:val="44"/>
        </w:rPr>
        <w:t>　报废的机动车，由本市汽车解体厂收购解体，不得作为旧机动车出售。</w:t>
      </w:r>
    </w:p>
    <w:p w14:paraId="08FD0FDD">
      <w:pPr>
        <w:ind w:firstLine="422"/>
        <w:jc w:val="left"/>
        <w:rPr>
          <w:rFonts w:ascii="宋体" w:hAnsi="宋体"/>
          <w:kern w:val="44"/>
        </w:rPr>
      </w:pPr>
      <w:r>
        <w:rPr>
          <w:rFonts w:hint="eastAsia" w:ascii="宋体" w:hAnsi="宋体"/>
          <w:b/>
          <w:kern w:val="44"/>
        </w:rPr>
        <w:t>第八条</w:t>
      </w:r>
      <w:r>
        <w:rPr>
          <w:rFonts w:hint="eastAsia" w:ascii="宋体" w:hAnsi="宋体"/>
          <w:kern w:val="44"/>
        </w:rPr>
        <w:t>　购买或出售机动车者，必须出具凭证。单位购买或出售，凭单位介绍信；个人购买或出售，凭本人身份证件；购买属于国家专项控制的机动车，凭省、自治区、直辖市控制社会集团购买力办公室出具的购车批件。</w:t>
      </w:r>
    </w:p>
    <w:p w14:paraId="5550DA61">
      <w:pPr>
        <w:ind w:firstLine="422"/>
        <w:jc w:val="left"/>
        <w:rPr>
          <w:rFonts w:ascii="宋体" w:hAnsi="宋体"/>
          <w:kern w:val="44"/>
        </w:rPr>
      </w:pPr>
      <w:r>
        <w:rPr>
          <w:rFonts w:hint="eastAsia" w:ascii="宋体" w:hAnsi="宋体"/>
          <w:b/>
          <w:kern w:val="44"/>
        </w:rPr>
        <w:t>第九条</w:t>
      </w:r>
      <w:r>
        <w:rPr>
          <w:rFonts w:hint="eastAsia" w:ascii="宋体" w:hAnsi="宋体"/>
          <w:kern w:val="44"/>
        </w:rPr>
        <w:t>　机动车销售发票（新拖拉机和新旧两轮摩托车发票除外）须经工商行政管理机关验证盖章。</w:t>
      </w:r>
    </w:p>
    <w:p w14:paraId="12B1CAF0">
      <w:pPr>
        <w:ind w:firstLine="422"/>
        <w:jc w:val="left"/>
        <w:rPr>
          <w:rFonts w:ascii="宋体" w:hAnsi="宋体"/>
          <w:kern w:val="44"/>
        </w:rPr>
      </w:pPr>
      <w:r>
        <w:rPr>
          <w:rFonts w:hint="eastAsia" w:ascii="宋体" w:hAnsi="宋体"/>
          <w:b/>
          <w:kern w:val="44"/>
        </w:rPr>
        <w:t>第十条</w:t>
      </w:r>
      <w:r>
        <w:rPr>
          <w:rFonts w:hint="eastAsia" w:ascii="宋体" w:hAnsi="宋体"/>
          <w:kern w:val="44"/>
        </w:rPr>
        <w:t>　禁止交易下列机动车：</w:t>
      </w:r>
    </w:p>
    <w:p w14:paraId="3945EE76">
      <w:pPr>
        <w:jc w:val="left"/>
        <w:rPr>
          <w:rFonts w:ascii="宋体" w:hAnsi="宋体"/>
          <w:kern w:val="44"/>
        </w:rPr>
      </w:pPr>
      <w:r>
        <w:rPr>
          <w:rFonts w:hint="eastAsia" w:ascii="宋体" w:hAnsi="宋体"/>
          <w:kern w:val="44"/>
        </w:rPr>
        <w:t>（一）无产品检验合格证的；</w:t>
      </w:r>
    </w:p>
    <w:p w14:paraId="498C2C1B">
      <w:pPr>
        <w:jc w:val="left"/>
        <w:rPr>
          <w:rFonts w:ascii="宋体" w:hAnsi="宋体"/>
          <w:kern w:val="44"/>
        </w:rPr>
      </w:pPr>
      <w:r>
        <w:rPr>
          <w:rFonts w:hint="eastAsia" w:ascii="宋体" w:hAnsi="宋体"/>
          <w:kern w:val="44"/>
        </w:rPr>
        <w:t>（二）私自拼装的；</w:t>
      </w:r>
    </w:p>
    <w:p w14:paraId="7E148725">
      <w:pPr>
        <w:jc w:val="left"/>
        <w:rPr>
          <w:rFonts w:ascii="宋体" w:hAnsi="宋体"/>
          <w:kern w:val="44"/>
        </w:rPr>
      </w:pPr>
      <w:r>
        <w:rPr>
          <w:rFonts w:hint="eastAsia" w:ascii="宋体" w:hAnsi="宋体"/>
          <w:kern w:val="44"/>
        </w:rPr>
        <w:t>（三）已经报废的；</w:t>
      </w:r>
    </w:p>
    <w:p w14:paraId="1B79E93A">
      <w:pPr>
        <w:jc w:val="left"/>
        <w:rPr>
          <w:rFonts w:ascii="宋体" w:hAnsi="宋体"/>
          <w:kern w:val="44"/>
        </w:rPr>
      </w:pPr>
      <w:r>
        <w:rPr>
          <w:rFonts w:hint="eastAsia" w:ascii="宋体" w:hAnsi="宋体"/>
          <w:kern w:val="44"/>
        </w:rPr>
        <w:t>（四）走私进口的；</w:t>
      </w:r>
    </w:p>
    <w:p w14:paraId="660E7960">
      <w:pPr>
        <w:jc w:val="left"/>
        <w:rPr>
          <w:rFonts w:ascii="宋体" w:hAnsi="宋体"/>
          <w:kern w:val="44"/>
        </w:rPr>
      </w:pPr>
      <w:r>
        <w:rPr>
          <w:rFonts w:hint="eastAsia" w:ascii="宋体" w:hAnsi="宋体"/>
          <w:kern w:val="44"/>
        </w:rPr>
        <w:t>（五）本市规定禁止在道路上行使的其他车辆。</w:t>
      </w:r>
    </w:p>
    <w:p w14:paraId="6424E2D6">
      <w:pPr>
        <w:ind w:firstLine="422"/>
        <w:jc w:val="left"/>
        <w:rPr>
          <w:rFonts w:ascii="宋体" w:hAnsi="宋体"/>
          <w:kern w:val="44"/>
        </w:rPr>
      </w:pPr>
      <w:r>
        <w:rPr>
          <w:rFonts w:hint="eastAsia" w:ascii="宋体" w:hAnsi="宋体"/>
          <w:b/>
          <w:kern w:val="44"/>
        </w:rPr>
        <w:t>第十一条</w:t>
      </w:r>
      <w:r>
        <w:rPr>
          <w:rFonts w:hint="eastAsia" w:ascii="宋体" w:hAnsi="宋体"/>
          <w:kern w:val="44"/>
        </w:rPr>
        <w:t>　机动车经营单位不得倒卖机动车购销合同、票证和提货凭证；不得为违法买卖机动车提供货源、销售发票、支票、现金、银行账号、营业执照及其他从事违法经营活动的便利条件。</w:t>
      </w:r>
    </w:p>
    <w:p w14:paraId="27FBC5A7">
      <w:pPr>
        <w:ind w:firstLine="422"/>
        <w:jc w:val="left"/>
        <w:rPr>
          <w:rFonts w:ascii="宋体" w:hAnsi="宋体"/>
          <w:kern w:val="44"/>
        </w:rPr>
      </w:pPr>
      <w:r>
        <w:rPr>
          <w:rFonts w:hint="eastAsia" w:ascii="宋体" w:hAnsi="宋体"/>
          <w:b/>
          <w:kern w:val="44"/>
        </w:rPr>
        <w:t>第十二条</w:t>
      </w:r>
      <w:r>
        <w:rPr>
          <w:rFonts w:hint="eastAsia" w:ascii="宋体" w:hAnsi="宋体"/>
          <w:kern w:val="44"/>
        </w:rPr>
        <w:t>　对违反本规定的下列行为，由工商行政管理机关依法予以处罚：</w:t>
      </w:r>
    </w:p>
    <w:p w14:paraId="3A0D09A0">
      <w:pPr>
        <w:jc w:val="left"/>
        <w:rPr>
          <w:rFonts w:ascii="宋体" w:hAnsi="宋体"/>
          <w:kern w:val="44"/>
        </w:rPr>
      </w:pPr>
      <w:r>
        <w:rPr>
          <w:rFonts w:hint="eastAsia" w:ascii="宋体" w:hAnsi="宋体"/>
          <w:kern w:val="44"/>
        </w:rPr>
        <w:t>（一）无营业执照经营机动车的，依照工商行政管理的有关规定予以处罚。</w:t>
      </w:r>
    </w:p>
    <w:p w14:paraId="7711F772">
      <w:pPr>
        <w:jc w:val="left"/>
        <w:rPr>
          <w:rFonts w:ascii="宋体" w:hAnsi="宋体"/>
          <w:kern w:val="44"/>
        </w:rPr>
      </w:pPr>
      <w:r>
        <w:rPr>
          <w:rFonts w:hint="eastAsia" w:ascii="宋体" w:hAnsi="宋体"/>
          <w:kern w:val="44"/>
        </w:rPr>
        <w:t>（二）机动车交易成交后，销售发票未到工商行政管理机关验证盖章的，视情况可以对交易双方分别处以500元以下罚款。</w:t>
      </w:r>
    </w:p>
    <w:p w14:paraId="18029E68">
      <w:pPr>
        <w:jc w:val="left"/>
        <w:rPr>
          <w:rFonts w:ascii="宋体" w:hAnsi="宋体"/>
          <w:kern w:val="44"/>
        </w:rPr>
      </w:pPr>
      <w:r>
        <w:rPr>
          <w:rFonts w:hint="eastAsia" w:ascii="宋体" w:hAnsi="宋体"/>
          <w:kern w:val="44"/>
        </w:rPr>
        <w:t>（三）买卖报废机动车的，责令将报废的机动车交由本市汽车解体厂收购，并视情节轻重，对买卖双方分别处以3万元以下罚款。</w:t>
      </w:r>
    </w:p>
    <w:p w14:paraId="44A10D94">
      <w:pPr>
        <w:jc w:val="left"/>
        <w:rPr>
          <w:rFonts w:ascii="宋体" w:hAnsi="宋体"/>
          <w:kern w:val="44"/>
        </w:rPr>
      </w:pPr>
      <w:r>
        <w:rPr>
          <w:rFonts w:hint="eastAsia" w:ascii="宋体" w:hAnsi="宋体"/>
          <w:kern w:val="44"/>
        </w:rPr>
        <w:t>（四）违反本规定第十条第（一）、（二）、（五）项规定的，予以警告，并视情节轻重，对交易双方分别处以3万元以下罚款。</w:t>
      </w:r>
    </w:p>
    <w:p w14:paraId="32D21E74">
      <w:pPr>
        <w:ind w:firstLine="422"/>
        <w:jc w:val="left"/>
        <w:rPr>
          <w:rFonts w:ascii="宋体" w:hAnsi="宋体"/>
          <w:kern w:val="44"/>
        </w:rPr>
      </w:pPr>
      <w:r>
        <w:rPr>
          <w:rFonts w:hint="eastAsia" w:ascii="宋体" w:hAnsi="宋体"/>
          <w:b/>
          <w:kern w:val="44"/>
        </w:rPr>
        <w:t>第十三条</w:t>
      </w:r>
      <w:r>
        <w:rPr>
          <w:rFonts w:hint="eastAsia" w:ascii="宋体" w:hAnsi="宋体"/>
          <w:kern w:val="44"/>
        </w:rPr>
        <w:t xml:space="preserve">  从事机动车交易的单位和个人的其他违法行为，属于违反工商、公安交通、价格、税务、海关等管理方面法律、法规和规章的，由有关行政管理机关依法处理。</w:t>
      </w:r>
    </w:p>
    <w:p w14:paraId="1044433A">
      <w:pPr>
        <w:ind w:firstLine="422"/>
        <w:jc w:val="left"/>
        <w:rPr>
          <w:rFonts w:ascii="宋体" w:hAnsi="宋体"/>
          <w:kern w:val="44"/>
        </w:rPr>
      </w:pPr>
      <w:r>
        <w:rPr>
          <w:rFonts w:hint="eastAsia" w:ascii="宋体" w:hAnsi="宋体"/>
          <w:b/>
          <w:kern w:val="44"/>
        </w:rPr>
        <w:t>第十四条</w:t>
      </w:r>
      <w:r>
        <w:rPr>
          <w:rFonts w:hint="eastAsia" w:ascii="宋体" w:hAnsi="宋体"/>
          <w:kern w:val="44"/>
        </w:rPr>
        <w:t xml:space="preserve">  本规定自1990年7月1日起施行。</w:t>
      </w:r>
    </w:p>
    <w:p w14:paraId="461E5306">
      <w:pPr>
        <w:pStyle w:val="4"/>
        <w:pageBreakBefore/>
        <w:rPr>
          <w:kern w:val="44"/>
        </w:rPr>
      </w:pPr>
      <w:bookmarkStart w:id="1328" w:name="_Toc427651961"/>
      <w:bookmarkStart w:id="1329" w:name="_Toc427651619"/>
      <w:bookmarkStart w:id="1330" w:name="_Toc428781667"/>
      <w:bookmarkStart w:id="1331" w:name="_Toc422471348"/>
      <w:bookmarkStart w:id="1332" w:name="_Toc428780185"/>
      <w:r>
        <w:rPr>
          <w:rFonts w:hint="eastAsia"/>
          <w:kern w:val="44"/>
        </w:rPr>
        <w:t>北京市行政机关归集和公布</w:t>
      </w:r>
      <w:bookmarkEnd w:id="1328"/>
      <w:bookmarkEnd w:id="1329"/>
      <w:bookmarkEnd w:id="1330"/>
      <w:bookmarkEnd w:id="1331"/>
      <w:bookmarkEnd w:id="1332"/>
    </w:p>
    <w:p w14:paraId="3527ABDB">
      <w:pPr>
        <w:pStyle w:val="4"/>
        <w:rPr>
          <w:kern w:val="44"/>
        </w:rPr>
      </w:pPr>
      <w:bookmarkStart w:id="1333" w:name="_Toc428781668"/>
      <w:bookmarkStart w:id="1334" w:name="_Toc427651620"/>
      <w:bookmarkStart w:id="1335" w:name="_Toc428780186"/>
      <w:bookmarkStart w:id="1336" w:name="_Toc427651962"/>
      <w:bookmarkStart w:id="1337" w:name="_Toc422471349"/>
      <w:r>
        <w:rPr>
          <w:rFonts w:hint="eastAsia"/>
          <w:kern w:val="44"/>
        </w:rPr>
        <w:t>企业信用信息管理办法</w:t>
      </w:r>
      <w:bookmarkEnd w:id="1333"/>
      <w:bookmarkEnd w:id="1334"/>
      <w:bookmarkEnd w:id="1335"/>
      <w:bookmarkEnd w:id="1336"/>
      <w:bookmarkEnd w:id="1337"/>
    </w:p>
    <w:p w14:paraId="602F90AB">
      <w:pPr>
        <w:ind w:left="630" w:leftChars="300" w:right="630" w:rightChars="300"/>
        <w:jc w:val="left"/>
        <w:rPr>
          <w:rFonts w:ascii="楷体" w:hAnsi="楷体" w:eastAsia="楷体"/>
          <w:kern w:val="44"/>
        </w:rPr>
      </w:pPr>
      <w:r>
        <w:rPr>
          <w:rFonts w:hint="eastAsia" w:ascii="楷体" w:hAnsi="楷体" w:eastAsia="楷体"/>
          <w:kern w:val="44"/>
        </w:rPr>
        <w:t>（2002年8月13日市人民政府第51次常务会议审议通过  2002年8月31日北京市人民政府第106号令发布）</w:t>
      </w:r>
    </w:p>
    <w:p w14:paraId="7902159A">
      <w:pPr>
        <w:jc w:val="left"/>
        <w:rPr>
          <w:rFonts w:ascii="宋体" w:hAnsi="宋体"/>
          <w:kern w:val="44"/>
        </w:rPr>
      </w:pPr>
    </w:p>
    <w:p w14:paraId="437A537D">
      <w:pPr>
        <w:ind w:firstLine="422"/>
        <w:jc w:val="left"/>
        <w:rPr>
          <w:rFonts w:ascii="宋体" w:hAnsi="宋体"/>
          <w:kern w:val="44"/>
        </w:rPr>
      </w:pPr>
      <w:r>
        <w:rPr>
          <w:rFonts w:hint="eastAsia" w:ascii="宋体" w:hAnsi="宋体"/>
          <w:b/>
          <w:kern w:val="44"/>
        </w:rPr>
        <w:t>第一条</w:t>
      </w:r>
      <w:r>
        <w:rPr>
          <w:rFonts w:hint="eastAsia" w:ascii="宋体" w:hAnsi="宋体"/>
          <w:kern w:val="44"/>
        </w:rPr>
        <w:t xml:space="preserve">  为加强社会信用建设，促使企业增强信用观念，促进本市行政机关信息公开与共享，为社会提供信息服务，根据有关法律、法规，制定本办法。</w:t>
      </w:r>
    </w:p>
    <w:p w14:paraId="48387C85">
      <w:pPr>
        <w:ind w:firstLine="422"/>
        <w:jc w:val="left"/>
        <w:rPr>
          <w:rFonts w:ascii="宋体" w:hAnsi="宋体"/>
          <w:kern w:val="44"/>
        </w:rPr>
      </w:pPr>
      <w:r>
        <w:rPr>
          <w:rFonts w:hint="eastAsia" w:ascii="宋体" w:hAnsi="宋体"/>
          <w:b/>
          <w:kern w:val="44"/>
        </w:rPr>
        <w:t>第二条</w:t>
      </w:r>
      <w:r>
        <w:rPr>
          <w:rFonts w:hint="eastAsia" w:ascii="宋体" w:hAnsi="宋体"/>
          <w:kern w:val="44"/>
        </w:rPr>
        <w:t xml:space="preserve">  本市行政机关对企业经营活动中有关信用的信息进行归集、公布、使用等活动，适用本办法。</w:t>
      </w:r>
    </w:p>
    <w:p w14:paraId="379FC0DA">
      <w:pPr>
        <w:ind w:firstLine="422"/>
        <w:jc w:val="left"/>
        <w:rPr>
          <w:rFonts w:ascii="宋体" w:hAnsi="宋体"/>
          <w:kern w:val="44"/>
        </w:rPr>
      </w:pPr>
      <w:r>
        <w:rPr>
          <w:rFonts w:hint="eastAsia" w:ascii="宋体" w:hAnsi="宋体"/>
          <w:b/>
          <w:kern w:val="44"/>
        </w:rPr>
        <w:t>第三条</w:t>
      </w:r>
      <w:r>
        <w:rPr>
          <w:rFonts w:hint="eastAsia" w:ascii="宋体" w:hAnsi="宋体"/>
          <w:kern w:val="44"/>
        </w:rPr>
        <w:t xml:space="preserve">  本办法所称企业信用信息，是指在行政机关依法履行职责过程中产生的关于各类企业及其经营活动中与信用有关行为的记录。</w:t>
      </w:r>
    </w:p>
    <w:p w14:paraId="023EDA82">
      <w:pPr>
        <w:jc w:val="left"/>
        <w:rPr>
          <w:rFonts w:ascii="宋体" w:hAnsi="宋体"/>
          <w:kern w:val="44"/>
        </w:rPr>
      </w:pPr>
      <w:r>
        <w:rPr>
          <w:rFonts w:hint="eastAsia" w:ascii="宋体" w:hAnsi="宋体"/>
          <w:kern w:val="44"/>
        </w:rPr>
        <w:t>前款所称各类企业包括在本市行政区域内从事经营活动的企业法人、其他经济组织和个体工商户，以下统称企业。</w:t>
      </w:r>
    </w:p>
    <w:p w14:paraId="5729A3A7">
      <w:pPr>
        <w:jc w:val="left"/>
        <w:rPr>
          <w:rFonts w:ascii="宋体" w:hAnsi="宋体"/>
          <w:kern w:val="44"/>
        </w:rPr>
      </w:pPr>
      <w:r>
        <w:rPr>
          <w:rFonts w:hint="eastAsia" w:ascii="宋体" w:hAnsi="宋体"/>
          <w:kern w:val="44"/>
        </w:rPr>
        <w:t>本办法所称行政机关包括本市各级行政机关以及依法授权或者委托承担行政管理职能的组织。</w:t>
      </w:r>
    </w:p>
    <w:p w14:paraId="1B639087">
      <w:pPr>
        <w:ind w:firstLine="422"/>
        <w:jc w:val="left"/>
        <w:rPr>
          <w:rFonts w:ascii="宋体" w:hAnsi="宋体"/>
          <w:kern w:val="44"/>
        </w:rPr>
      </w:pPr>
      <w:r>
        <w:rPr>
          <w:rFonts w:hint="eastAsia" w:ascii="宋体" w:hAnsi="宋体"/>
          <w:b/>
          <w:kern w:val="44"/>
        </w:rPr>
        <w:t>第四条</w:t>
      </w:r>
      <w:r>
        <w:rPr>
          <w:rFonts w:hint="eastAsia" w:ascii="宋体" w:hAnsi="宋体"/>
          <w:kern w:val="44"/>
        </w:rPr>
        <w:t xml:space="preserve">  市人民政府建立北京市企业信用信息系统（以下简称企业信用信息系统），通过计算机网络归集和公布企业信用信息，实现行政机关信息互联和共享，为行政管理提供基础信息服务，并为社会提供信息查询服务。</w:t>
      </w:r>
    </w:p>
    <w:p w14:paraId="1EC33C2B">
      <w:pPr>
        <w:jc w:val="left"/>
        <w:rPr>
          <w:rFonts w:ascii="宋体" w:hAnsi="宋体"/>
          <w:kern w:val="44"/>
        </w:rPr>
      </w:pPr>
      <w:r>
        <w:rPr>
          <w:rFonts w:hint="eastAsia" w:ascii="宋体" w:hAnsi="宋体"/>
          <w:kern w:val="44"/>
        </w:rPr>
        <w:t>企业信用信息系统由身份信息系统、提示信息系统、警示信息系统和良好信息系统构成。</w:t>
      </w:r>
    </w:p>
    <w:p w14:paraId="62D07EDF">
      <w:pPr>
        <w:ind w:firstLine="422"/>
        <w:jc w:val="left"/>
        <w:rPr>
          <w:rFonts w:ascii="宋体" w:hAnsi="宋体"/>
          <w:kern w:val="44"/>
        </w:rPr>
      </w:pPr>
      <w:r>
        <w:rPr>
          <w:rFonts w:hint="eastAsia" w:ascii="宋体" w:hAnsi="宋体"/>
          <w:b/>
          <w:kern w:val="44"/>
        </w:rPr>
        <w:t>第五条</w:t>
      </w:r>
      <w:r>
        <w:rPr>
          <w:rFonts w:hint="eastAsia" w:ascii="宋体" w:hAnsi="宋体"/>
          <w:kern w:val="44"/>
        </w:rPr>
        <w:t xml:space="preserve">  下列信息记入身份信息系统：</w:t>
      </w:r>
    </w:p>
    <w:p w14:paraId="28E9E2D1">
      <w:pPr>
        <w:jc w:val="left"/>
        <w:rPr>
          <w:rFonts w:ascii="宋体" w:hAnsi="宋体"/>
          <w:kern w:val="44"/>
        </w:rPr>
      </w:pPr>
      <w:r>
        <w:rPr>
          <w:rFonts w:hint="eastAsia" w:ascii="宋体" w:hAnsi="宋体"/>
          <w:kern w:val="44"/>
        </w:rPr>
        <w:t>（一）企业登记注册的基本情况。</w:t>
      </w:r>
    </w:p>
    <w:p w14:paraId="4F7840B9">
      <w:pPr>
        <w:jc w:val="left"/>
        <w:rPr>
          <w:rFonts w:ascii="宋体" w:hAnsi="宋体"/>
          <w:kern w:val="44"/>
        </w:rPr>
      </w:pPr>
      <w:r>
        <w:rPr>
          <w:rFonts w:hint="eastAsia" w:ascii="宋体" w:hAnsi="宋体"/>
          <w:kern w:val="44"/>
        </w:rPr>
        <w:t>（二）企业取得的专项行政许可。</w:t>
      </w:r>
    </w:p>
    <w:p w14:paraId="69DCCA95">
      <w:pPr>
        <w:jc w:val="left"/>
        <w:rPr>
          <w:rFonts w:ascii="宋体" w:hAnsi="宋体"/>
          <w:kern w:val="44"/>
        </w:rPr>
      </w:pPr>
      <w:r>
        <w:rPr>
          <w:rFonts w:hint="eastAsia" w:ascii="宋体" w:hAnsi="宋体"/>
          <w:kern w:val="44"/>
        </w:rPr>
        <w:t>（三）企业的资质等级。</w:t>
      </w:r>
    </w:p>
    <w:p w14:paraId="1EDB4608">
      <w:pPr>
        <w:jc w:val="left"/>
        <w:rPr>
          <w:rFonts w:ascii="宋体" w:hAnsi="宋体"/>
          <w:kern w:val="44"/>
        </w:rPr>
      </w:pPr>
      <w:r>
        <w:rPr>
          <w:rFonts w:hint="eastAsia" w:ascii="宋体" w:hAnsi="宋体"/>
          <w:kern w:val="44"/>
        </w:rPr>
        <w:t>（四）行政机关依法对企业进行专项或者周期性检验的结果。</w:t>
      </w:r>
    </w:p>
    <w:p w14:paraId="502373DF">
      <w:pPr>
        <w:jc w:val="left"/>
        <w:rPr>
          <w:rFonts w:ascii="宋体" w:hAnsi="宋体"/>
          <w:kern w:val="44"/>
        </w:rPr>
      </w:pPr>
      <w:r>
        <w:rPr>
          <w:rFonts w:hint="eastAsia" w:ascii="宋体" w:hAnsi="宋体"/>
          <w:kern w:val="44"/>
        </w:rPr>
        <w:t>（五）行政机关依法登记的其他有关企业身份的情况。</w:t>
      </w:r>
    </w:p>
    <w:p w14:paraId="53DA3078">
      <w:pPr>
        <w:jc w:val="left"/>
        <w:rPr>
          <w:rFonts w:ascii="宋体" w:hAnsi="宋体"/>
          <w:kern w:val="44"/>
        </w:rPr>
      </w:pPr>
      <w:r>
        <w:rPr>
          <w:rFonts w:hint="eastAsia" w:ascii="宋体" w:hAnsi="宋体"/>
          <w:kern w:val="44"/>
        </w:rPr>
        <w:t>前款规定的信息包括登记、变更、注销或者撤销的内容。</w:t>
      </w:r>
    </w:p>
    <w:p w14:paraId="4D0EFCD3">
      <w:pPr>
        <w:ind w:firstLine="422"/>
        <w:jc w:val="left"/>
        <w:rPr>
          <w:rFonts w:ascii="宋体" w:hAnsi="宋体"/>
          <w:kern w:val="44"/>
        </w:rPr>
      </w:pPr>
      <w:r>
        <w:rPr>
          <w:rFonts w:hint="eastAsia" w:ascii="宋体" w:hAnsi="宋体"/>
          <w:b/>
          <w:kern w:val="44"/>
        </w:rPr>
        <w:t>第六条</w:t>
      </w:r>
      <w:r>
        <w:rPr>
          <w:rFonts w:hint="eastAsia" w:ascii="宋体" w:hAnsi="宋体"/>
          <w:kern w:val="44"/>
        </w:rPr>
        <w:t xml:space="preserve">  下列信息记入提示信息系统：</w:t>
      </w:r>
    </w:p>
    <w:p w14:paraId="0D23C853">
      <w:pPr>
        <w:jc w:val="left"/>
        <w:rPr>
          <w:rFonts w:ascii="宋体" w:hAnsi="宋体"/>
          <w:kern w:val="44"/>
        </w:rPr>
      </w:pPr>
      <w:r>
        <w:rPr>
          <w:rFonts w:hint="eastAsia" w:ascii="宋体" w:hAnsi="宋体"/>
          <w:kern w:val="44"/>
        </w:rPr>
        <w:t>（一）企业因违法行为受到罚款、没收和责令停产停业行政处罚的。</w:t>
      </w:r>
    </w:p>
    <w:p w14:paraId="0C132B2B">
      <w:pPr>
        <w:jc w:val="left"/>
        <w:rPr>
          <w:rFonts w:ascii="宋体" w:hAnsi="宋体"/>
          <w:kern w:val="44"/>
        </w:rPr>
      </w:pPr>
      <w:r>
        <w:rPr>
          <w:rFonts w:hint="eastAsia" w:ascii="宋体" w:hAnsi="宋体"/>
          <w:kern w:val="44"/>
        </w:rPr>
        <w:t>（二）企业未通过各类专项或者周期性检验的。</w:t>
      </w:r>
    </w:p>
    <w:p w14:paraId="396BA193">
      <w:pPr>
        <w:jc w:val="left"/>
        <w:rPr>
          <w:rFonts w:ascii="宋体" w:hAnsi="宋体"/>
          <w:kern w:val="44"/>
        </w:rPr>
      </w:pPr>
      <w:r>
        <w:rPr>
          <w:rFonts w:hint="eastAsia" w:ascii="宋体" w:hAnsi="宋体"/>
          <w:kern w:val="44"/>
        </w:rPr>
        <w:t>（三）行政机关认为应当通报的企业其他违法行为。</w:t>
      </w:r>
    </w:p>
    <w:p w14:paraId="33ED1AE2">
      <w:pPr>
        <w:ind w:firstLine="422"/>
        <w:jc w:val="left"/>
        <w:rPr>
          <w:rFonts w:ascii="宋体" w:hAnsi="宋体"/>
          <w:kern w:val="44"/>
        </w:rPr>
      </w:pPr>
      <w:r>
        <w:rPr>
          <w:rFonts w:hint="eastAsia" w:ascii="宋体" w:hAnsi="宋体"/>
          <w:b/>
          <w:kern w:val="44"/>
        </w:rPr>
        <w:t>第七条</w:t>
      </w:r>
      <w:r>
        <w:rPr>
          <w:rFonts w:hint="eastAsia" w:ascii="宋体" w:hAnsi="宋体"/>
          <w:kern w:val="44"/>
        </w:rPr>
        <w:t xml:space="preserve">  下列信息记入警示信息系统：</w:t>
      </w:r>
    </w:p>
    <w:p w14:paraId="0C2B2101">
      <w:pPr>
        <w:jc w:val="left"/>
        <w:rPr>
          <w:rFonts w:ascii="宋体" w:hAnsi="宋体"/>
          <w:kern w:val="44"/>
        </w:rPr>
      </w:pPr>
      <w:r>
        <w:rPr>
          <w:rFonts w:hint="eastAsia" w:ascii="宋体" w:hAnsi="宋体"/>
          <w:kern w:val="44"/>
        </w:rPr>
        <w:t>（一）企业因违法行为被行政机关给予撤销或者吊销许可证、营业执照处罚的。</w:t>
      </w:r>
    </w:p>
    <w:p w14:paraId="2CBFFED6">
      <w:pPr>
        <w:jc w:val="left"/>
        <w:rPr>
          <w:rFonts w:ascii="宋体" w:hAnsi="宋体"/>
          <w:kern w:val="44"/>
        </w:rPr>
      </w:pPr>
      <w:r>
        <w:rPr>
          <w:rFonts w:hint="eastAsia" w:ascii="宋体" w:hAnsi="宋体"/>
          <w:kern w:val="44"/>
        </w:rPr>
        <w:t>（二）企业因严重违法行为未通过专项或者周期性检验以及经检验被定为未合格等级的。</w:t>
      </w:r>
    </w:p>
    <w:p w14:paraId="048EAD41">
      <w:pPr>
        <w:jc w:val="left"/>
        <w:rPr>
          <w:rFonts w:ascii="宋体" w:hAnsi="宋体"/>
          <w:kern w:val="44"/>
        </w:rPr>
      </w:pPr>
      <w:r>
        <w:rPr>
          <w:rFonts w:hint="eastAsia" w:ascii="宋体" w:hAnsi="宋体"/>
          <w:kern w:val="44"/>
        </w:rPr>
        <w:t>（三）企业因同一类违法行为受到罚款、没收和责令停产停业行政处罚两次以上的。</w:t>
      </w:r>
    </w:p>
    <w:p w14:paraId="79DE20B2">
      <w:pPr>
        <w:jc w:val="left"/>
        <w:rPr>
          <w:rFonts w:ascii="宋体" w:hAnsi="宋体"/>
          <w:kern w:val="44"/>
        </w:rPr>
      </w:pPr>
      <w:r>
        <w:rPr>
          <w:rFonts w:hint="eastAsia" w:ascii="宋体" w:hAnsi="宋体"/>
          <w:kern w:val="44"/>
        </w:rPr>
        <w:t>（四）企业因违法构成犯罪，被追究刑事责任的。</w:t>
      </w:r>
    </w:p>
    <w:p w14:paraId="1414FFDB">
      <w:pPr>
        <w:jc w:val="left"/>
        <w:rPr>
          <w:rFonts w:ascii="宋体" w:hAnsi="宋体"/>
          <w:kern w:val="44"/>
        </w:rPr>
      </w:pPr>
      <w:r>
        <w:rPr>
          <w:rFonts w:hint="eastAsia" w:ascii="宋体" w:hAnsi="宋体"/>
          <w:kern w:val="44"/>
        </w:rPr>
        <w:t>（五）企业其他扰乱市场经济秩序、危害交易安全的严重违法行为。</w:t>
      </w:r>
    </w:p>
    <w:p w14:paraId="200F8FD7">
      <w:pPr>
        <w:ind w:firstLine="422"/>
        <w:jc w:val="left"/>
        <w:rPr>
          <w:rFonts w:ascii="宋体" w:hAnsi="宋体"/>
          <w:kern w:val="44"/>
        </w:rPr>
      </w:pPr>
      <w:r>
        <w:rPr>
          <w:rFonts w:hint="eastAsia" w:ascii="宋体" w:hAnsi="宋体"/>
          <w:b/>
          <w:kern w:val="44"/>
        </w:rPr>
        <w:t>第八条</w:t>
      </w:r>
      <w:r>
        <w:rPr>
          <w:rFonts w:hint="eastAsia" w:ascii="宋体" w:hAnsi="宋体"/>
          <w:kern w:val="44"/>
        </w:rPr>
        <w:t xml:space="preserve">  企业法定代表人、主要负责人的下列信息，记入警示信息系统：</w:t>
      </w:r>
    </w:p>
    <w:p w14:paraId="0B0D3A57">
      <w:pPr>
        <w:jc w:val="left"/>
        <w:rPr>
          <w:rFonts w:ascii="宋体" w:hAnsi="宋体"/>
          <w:kern w:val="44"/>
        </w:rPr>
      </w:pPr>
      <w:r>
        <w:rPr>
          <w:rFonts w:hint="eastAsia" w:ascii="宋体" w:hAnsi="宋体"/>
          <w:kern w:val="44"/>
        </w:rPr>
        <w:t>（一）对本企业严重违法行为负有直接责任的。</w:t>
      </w:r>
    </w:p>
    <w:p w14:paraId="34611D99">
      <w:pPr>
        <w:jc w:val="left"/>
        <w:rPr>
          <w:rFonts w:ascii="宋体" w:hAnsi="宋体"/>
          <w:kern w:val="44"/>
        </w:rPr>
      </w:pPr>
      <w:r>
        <w:rPr>
          <w:rFonts w:hint="eastAsia" w:ascii="宋体" w:hAnsi="宋体"/>
          <w:kern w:val="44"/>
        </w:rPr>
        <w:t>（二）正在被执行刑罚的。</w:t>
      </w:r>
    </w:p>
    <w:p w14:paraId="1564AAF5">
      <w:pPr>
        <w:jc w:val="left"/>
        <w:rPr>
          <w:rFonts w:ascii="宋体" w:hAnsi="宋体"/>
          <w:kern w:val="44"/>
        </w:rPr>
      </w:pPr>
      <w:r>
        <w:rPr>
          <w:rFonts w:hint="eastAsia" w:ascii="宋体" w:hAnsi="宋体"/>
          <w:kern w:val="44"/>
        </w:rPr>
        <w:t>（三）因犯有贪污贿赂罪、侵犯财产罪或者破坏社会主义市场经济秩序罪，被判处刑罚，执行期满未逾5年或者因犯其他罪被判处刑罚，执行期满未逾3年以及因犯罪被判处剥夺政治权利，执行期满未逾5年的。</w:t>
      </w:r>
    </w:p>
    <w:p w14:paraId="236DE1AB">
      <w:pPr>
        <w:jc w:val="left"/>
        <w:rPr>
          <w:rFonts w:ascii="宋体" w:hAnsi="宋体"/>
          <w:kern w:val="44"/>
        </w:rPr>
      </w:pPr>
      <w:r>
        <w:rPr>
          <w:rFonts w:hint="eastAsia" w:ascii="宋体" w:hAnsi="宋体"/>
          <w:kern w:val="44"/>
        </w:rPr>
        <w:t>（四）担任因经营不善破产清算的企业的法定代表人或者董事、经理，并对该企业的破产负有个人责任，自该企业破产清算完结之日起未逾3年的。</w:t>
      </w:r>
    </w:p>
    <w:p w14:paraId="4D5CAFD5">
      <w:pPr>
        <w:jc w:val="left"/>
        <w:rPr>
          <w:rFonts w:ascii="宋体" w:hAnsi="宋体"/>
          <w:kern w:val="44"/>
        </w:rPr>
      </w:pPr>
      <w:r>
        <w:rPr>
          <w:rFonts w:hint="eastAsia" w:ascii="宋体" w:hAnsi="宋体"/>
          <w:kern w:val="44"/>
        </w:rPr>
        <w:t>（五）个人负债数额较大，到期未清偿的。</w:t>
      </w:r>
    </w:p>
    <w:p w14:paraId="4C0FF24C">
      <w:pPr>
        <w:jc w:val="left"/>
        <w:rPr>
          <w:rFonts w:ascii="宋体" w:hAnsi="宋体"/>
          <w:kern w:val="44"/>
        </w:rPr>
      </w:pPr>
      <w:r>
        <w:rPr>
          <w:rFonts w:hint="eastAsia" w:ascii="宋体" w:hAnsi="宋体"/>
          <w:kern w:val="44"/>
        </w:rPr>
        <w:t>（六）法律、法规、规章规定不能担任企业法定代表人、主要负责人的其他情形。</w:t>
      </w:r>
    </w:p>
    <w:p w14:paraId="66CD2E6E">
      <w:pPr>
        <w:ind w:firstLine="422"/>
        <w:jc w:val="left"/>
        <w:rPr>
          <w:rFonts w:ascii="宋体" w:hAnsi="宋体"/>
          <w:kern w:val="44"/>
        </w:rPr>
      </w:pPr>
      <w:r>
        <w:rPr>
          <w:rFonts w:hint="eastAsia" w:ascii="宋体" w:hAnsi="宋体"/>
          <w:b/>
          <w:kern w:val="44"/>
        </w:rPr>
        <w:t>第九条</w:t>
      </w:r>
      <w:r>
        <w:rPr>
          <w:rFonts w:hint="eastAsia" w:ascii="宋体" w:hAnsi="宋体"/>
          <w:kern w:val="44"/>
        </w:rPr>
        <w:t xml:space="preserve">  下列信息记入良好信息系统：</w:t>
      </w:r>
    </w:p>
    <w:p w14:paraId="0B443BA5">
      <w:pPr>
        <w:jc w:val="left"/>
        <w:rPr>
          <w:rFonts w:ascii="宋体" w:hAnsi="宋体"/>
          <w:kern w:val="44"/>
        </w:rPr>
      </w:pPr>
      <w:r>
        <w:rPr>
          <w:rFonts w:hint="eastAsia" w:ascii="宋体" w:hAnsi="宋体"/>
          <w:kern w:val="44"/>
        </w:rPr>
        <w:t>（一）企业及其法定代表人、主要负责人受到市级以上行政机关有关表彰的情况。</w:t>
      </w:r>
    </w:p>
    <w:p w14:paraId="14826EF0">
      <w:pPr>
        <w:jc w:val="left"/>
        <w:rPr>
          <w:rFonts w:ascii="宋体" w:hAnsi="宋体"/>
          <w:kern w:val="44"/>
        </w:rPr>
      </w:pPr>
      <w:r>
        <w:rPr>
          <w:rFonts w:hint="eastAsia" w:ascii="宋体" w:hAnsi="宋体"/>
          <w:kern w:val="44"/>
        </w:rPr>
        <w:t>（二）被评为“北京市重合同、守信用企业”的。</w:t>
      </w:r>
    </w:p>
    <w:p w14:paraId="63CF5294">
      <w:pPr>
        <w:jc w:val="left"/>
        <w:rPr>
          <w:rFonts w:ascii="宋体" w:hAnsi="宋体"/>
          <w:kern w:val="44"/>
        </w:rPr>
      </w:pPr>
      <w:r>
        <w:rPr>
          <w:rFonts w:hint="eastAsia" w:ascii="宋体" w:hAnsi="宋体"/>
          <w:kern w:val="44"/>
        </w:rPr>
        <w:t>（三）被认定为“中国驰名商标”的。</w:t>
      </w:r>
    </w:p>
    <w:p w14:paraId="625BD9A8">
      <w:pPr>
        <w:jc w:val="left"/>
        <w:rPr>
          <w:rFonts w:ascii="宋体" w:hAnsi="宋体"/>
          <w:kern w:val="44"/>
        </w:rPr>
      </w:pPr>
      <w:r>
        <w:rPr>
          <w:rFonts w:hint="eastAsia" w:ascii="宋体" w:hAnsi="宋体"/>
          <w:kern w:val="44"/>
        </w:rPr>
        <w:t>（四）被金融机构评定为“AAA”信用等级的。</w:t>
      </w:r>
    </w:p>
    <w:p w14:paraId="468ADA4B">
      <w:pPr>
        <w:jc w:val="left"/>
        <w:rPr>
          <w:rFonts w:ascii="宋体" w:hAnsi="宋体"/>
          <w:kern w:val="44"/>
        </w:rPr>
      </w:pPr>
      <w:r>
        <w:rPr>
          <w:rFonts w:hint="eastAsia" w:ascii="宋体" w:hAnsi="宋体"/>
          <w:kern w:val="44"/>
        </w:rPr>
        <w:t>（五）通过国际质量标准认证以及产品被列入国家免检范围的。</w:t>
      </w:r>
    </w:p>
    <w:p w14:paraId="409C5784">
      <w:pPr>
        <w:jc w:val="left"/>
        <w:rPr>
          <w:rFonts w:ascii="宋体" w:hAnsi="宋体"/>
          <w:kern w:val="44"/>
        </w:rPr>
      </w:pPr>
      <w:r>
        <w:rPr>
          <w:rFonts w:hint="eastAsia" w:ascii="宋体" w:hAnsi="宋体"/>
          <w:kern w:val="44"/>
        </w:rPr>
        <w:t>（六）市级行政机关认为可以记入的有关企业信用的其他良好信息。</w:t>
      </w:r>
    </w:p>
    <w:p w14:paraId="4AF29362">
      <w:pPr>
        <w:ind w:firstLine="422"/>
        <w:jc w:val="left"/>
        <w:rPr>
          <w:rFonts w:ascii="宋体" w:hAnsi="宋体"/>
          <w:kern w:val="44"/>
        </w:rPr>
      </w:pPr>
      <w:r>
        <w:rPr>
          <w:rFonts w:hint="eastAsia" w:ascii="宋体" w:hAnsi="宋体"/>
          <w:b/>
          <w:kern w:val="44"/>
        </w:rPr>
        <w:t>第十条</w:t>
      </w:r>
      <w:r>
        <w:rPr>
          <w:rFonts w:hint="eastAsia" w:ascii="宋体" w:hAnsi="宋体"/>
          <w:kern w:val="44"/>
        </w:rPr>
        <w:t xml:space="preserve">  行政机关通过政府专网，按照统一规定和标准，及时、准确地向企业信用信息系统提供真实、合法、完整的企业信用信息，并承担相应的法律责任。</w:t>
      </w:r>
    </w:p>
    <w:p w14:paraId="27CC071A">
      <w:pPr>
        <w:jc w:val="left"/>
        <w:rPr>
          <w:rFonts w:ascii="宋体" w:hAnsi="宋体"/>
          <w:kern w:val="44"/>
        </w:rPr>
      </w:pPr>
      <w:r>
        <w:rPr>
          <w:rFonts w:hint="eastAsia" w:ascii="宋体" w:hAnsi="宋体"/>
          <w:kern w:val="44"/>
        </w:rPr>
        <w:t>市级各行政机关负责确定和公布本系统有关企业信用信息的具体项目、范围和标准，收集、整理本系统的信息，并统一负责信息的提交、维护、更新和管理。</w:t>
      </w:r>
    </w:p>
    <w:p w14:paraId="7202231C">
      <w:pPr>
        <w:ind w:firstLine="422"/>
        <w:jc w:val="left"/>
        <w:rPr>
          <w:rFonts w:ascii="宋体" w:hAnsi="宋体"/>
          <w:kern w:val="44"/>
        </w:rPr>
      </w:pPr>
      <w:r>
        <w:rPr>
          <w:rFonts w:hint="eastAsia" w:ascii="宋体" w:hAnsi="宋体"/>
          <w:b/>
          <w:kern w:val="44"/>
        </w:rPr>
        <w:t>第十一条</w:t>
      </w:r>
      <w:r>
        <w:rPr>
          <w:rFonts w:hint="eastAsia" w:ascii="宋体" w:hAnsi="宋体"/>
          <w:kern w:val="44"/>
        </w:rPr>
        <w:t xml:space="preserve">  行政机关提交的信息应当包括下列内容：</w:t>
      </w:r>
    </w:p>
    <w:p w14:paraId="76941B3C">
      <w:pPr>
        <w:jc w:val="left"/>
        <w:rPr>
          <w:rFonts w:ascii="宋体" w:hAnsi="宋体"/>
          <w:kern w:val="44"/>
        </w:rPr>
      </w:pPr>
      <w:r>
        <w:rPr>
          <w:rFonts w:hint="eastAsia" w:ascii="宋体" w:hAnsi="宋体"/>
          <w:kern w:val="44"/>
        </w:rPr>
        <w:t>（一）提交信息的行政机关名称；</w:t>
      </w:r>
    </w:p>
    <w:p w14:paraId="7BBB2ABD">
      <w:pPr>
        <w:jc w:val="left"/>
        <w:rPr>
          <w:rFonts w:ascii="宋体" w:hAnsi="宋体"/>
          <w:kern w:val="44"/>
        </w:rPr>
      </w:pPr>
      <w:r>
        <w:rPr>
          <w:rFonts w:hint="eastAsia" w:ascii="宋体" w:hAnsi="宋体"/>
          <w:kern w:val="44"/>
        </w:rPr>
        <w:t>（二）企业的基本情况；</w:t>
      </w:r>
    </w:p>
    <w:p w14:paraId="7F89378E">
      <w:pPr>
        <w:jc w:val="left"/>
        <w:rPr>
          <w:rFonts w:ascii="宋体" w:hAnsi="宋体"/>
          <w:kern w:val="44"/>
        </w:rPr>
      </w:pPr>
      <w:r>
        <w:rPr>
          <w:rFonts w:hint="eastAsia" w:ascii="宋体" w:hAnsi="宋体"/>
          <w:kern w:val="44"/>
        </w:rPr>
        <w:t>（三）需记录的信息内容；</w:t>
      </w:r>
    </w:p>
    <w:p w14:paraId="0CBB4AB3">
      <w:pPr>
        <w:jc w:val="left"/>
        <w:rPr>
          <w:rFonts w:ascii="宋体" w:hAnsi="宋体"/>
          <w:kern w:val="44"/>
        </w:rPr>
      </w:pPr>
      <w:r>
        <w:rPr>
          <w:rFonts w:hint="eastAsia" w:ascii="宋体" w:hAnsi="宋体"/>
          <w:kern w:val="44"/>
        </w:rPr>
        <w:t>（四）行政机关的结论意见或者决定；</w:t>
      </w:r>
    </w:p>
    <w:p w14:paraId="304CFE08">
      <w:pPr>
        <w:jc w:val="left"/>
        <w:rPr>
          <w:rFonts w:ascii="宋体" w:hAnsi="宋体"/>
          <w:kern w:val="44"/>
        </w:rPr>
      </w:pPr>
      <w:r>
        <w:rPr>
          <w:rFonts w:hint="eastAsia" w:ascii="宋体" w:hAnsi="宋体"/>
          <w:kern w:val="44"/>
        </w:rPr>
        <w:t>（五）作出结论意见或者决定的行政机关名称；</w:t>
      </w:r>
    </w:p>
    <w:p w14:paraId="1EA2DC90">
      <w:pPr>
        <w:jc w:val="left"/>
        <w:rPr>
          <w:rFonts w:ascii="宋体" w:hAnsi="宋体"/>
          <w:kern w:val="44"/>
        </w:rPr>
      </w:pPr>
      <w:r>
        <w:rPr>
          <w:rFonts w:hint="eastAsia" w:ascii="宋体" w:hAnsi="宋体"/>
          <w:kern w:val="44"/>
        </w:rPr>
        <w:t>（六）需要限制的行为及其期限。</w:t>
      </w:r>
    </w:p>
    <w:p w14:paraId="7B8EB585">
      <w:pPr>
        <w:jc w:val="left"/>
        <w:rPr>
          <w:rFonts w:ascii="宋体" w:hAnsi="宋体"/>
          <w:kern w:val="44"/>
        </w:rPr>
      </w:pPr>
      <w:r>
        <w:rPr>
          <w:rFonts w:hint="eastAsia" w:ascii="宋体" w:hAnsi="宋体"/>
          <w:kern w:val="44"/>
        </w:rPr>
        <w:t>除前款规定外，提交记入警示信息系统的信息，还应当同时提交下列书面材料或者电子文档；</w:t>
      </w:r>
    </w:p>
    <w:p w14:paraId="4770BA65">
      <w:pPr>
        <w:jc w:val="left"/>
        <w:rPr>
          <w:rFonts w:ascii="宋体" w:hAnsi="宋体"/>
          <w:kern w:val="44"/>
        </w:rPr>
      </w:pPr>
      <w:r>
        <w:rPr>
          <w:rFonts w:hint="eastAsia" w:ascii="宋体" w:hAnsi="宋体"/>
          <w:kern w:val="44"/>
        </w:rPr>
        <w:t>（一）本部门提交信息的审批表；</w:t>
      </w:r>
    </w:p>
    <w:p w14:paraId="383C46B7">
      <w:pPr>
        <w:jc w:val="left"/>
        <w:rPr>
          <w:rFonts w:ascii="宋体" w:hAnsi="宋体"/>
          <w:kern w:val="44"/>
        </w:rPr>
      </w:pPr>
      <w:r>
        <w:rPr>
          <w:rFonts w:hint="eastAsia" w:ascii="宋体" w:hAnsi="宋体"/>
          <w:kern w:val="44"/>
        </w:rPr>
        <w:t>（二）移送信息的通知书和登记表；</w:t>
      </w:r>
    </w:p>
    <w:p w14:paraId="1CB1FEB8">
      <w:pPr>
        <w:jc w:val="left"/>
        <w:rPr>
          <w:rFonts w:ascii="宋体" w:hAnsi="宋体"/>
          <w:kern w:val="44"/>
        </w:rPr>
      </w:pPr>
      <w:r>
        <w:rPr>
          <w:rFonts w:hint="eastAsia" w:ascii="宋体" w:hAnsi="宋体"/>
          <w:kern w:val="44"/>
        </w:rPr>
        <w:t>（三）行政处罚决定；</w:t>
      </w:r>
    </w:p>
    <w:p w14:paraId="7DDEAF4B">
      <w:pPr>
        <w:jc w:val="left"/>
        <w:rPr>
          <w:rFonts w:ascii="宋体" w:hAnsi="宋体"/>
          <w:kern w:val="44"/>
        </w:rPr>
      </w:pPr>
      <w:r>
        <w:rPr>
          <w:rFonts w:hint="eastAsia" w:ascii="宋体" w:hAnsi="宋体"/>
          <w:kern w:val="44"/>
        </w:rPr>
        <w:t>（四）人民法院的判决、裁定；</w:t>
      </w:r>
    </w:p>
    <w:p w14:paraId="0251C495">
      <w:pPr>
        <w:jc w:val="left"/>
        <w:rPr>
          <w:rFonts w:ascii="宋体" w:hAnsi="宋体"/>
          <w:kern w:val="44"/>
        </w:rPr>
      </w:pPr>
      <w:r>
        <w:rPr>
          <w:rFonts w:hint="eastAsia" w:ascii="宋体" w:hAnsi="宋体"/>
          <w:kern w:val="44"/>
        </w:rPr>
        <w:t>（五）需要提交的其他材料。</w:t>
      </w:r>
    </w:p>
    <w:p w14:paraId="4CA9E070">
      <w:pPr>
        <w:ind w:firstLine="422"/>
        <w:jc w:val="left"/>
        <w:rPr>
          <w:rFonts w:ascii="宋体" w:hAnsi="宋体"/>
          <w:kern w:val="44"/>
        </w:rPr>
      </w:pPr>
      <w:r>
        <w:rPr>
          <w:rFonts w:hint="eastAsia" w:ascii="宋体" w:hAnsi="宋体"/>
          <w:b/>
          <w:kern w:val="44"/>
        </w:rPr>
        <w:t>第十二条</w:t>
      </w:r>
      <w:r>
        <w:rPr>
          <w:rFonts w:hint="eastAsia" w:ascii="宋体" w:hAnsi="宋体"/>
          <w:kern w:val="44"/>
        </w:rPr>
        <w:t xml:space="preserve">  行政机关依照授权对提交的信息数据进行追加、修改、更新和维护，对信息数据实行动态管理。</w:t>
      </w:r>
    </w:p>
    <w:p w14:paraId="0BB6E067">
      <w:pPr>
        <w:jc w:val="left"/>
        <w:rPr>
          <w:rFonts w:ascii="宋体" w:hAnsi="宋体"/>
          <w:kern w:val="44"/>
        </w:rPr>
      </w:pPr>
      <w:r>
        <w:rPr>
          <w:rFonts w:hint="eastAsia" w:ascii="宋体" w:hAnsi="宋体"/>
          <w:kern w:val="44"/>
        </w:rPr>
        <w:t>具备条件的行政机关应当实时更新和维护信息数据，条件尚不具备的，应当至少于每季度第一个月的前10日内追加和更新一次；属于特殊情况急需记入或者更新的，不受上述时间限制，可以即时提交。</w:t>
      </w:r>
    </w:p>
    <w:p w14:paraId="35A3376F">
      <w:pPr>
        <w:ind w:firstLine="422"/>
        <w:jc w:val="left"/>
        <w:rPr>
          <w:rFonts w:ascii="宋体" w:hAnsi="宋体"/>
          <w:kern w:val="44"/>
        </w:rPr>
      </w:pPr>
      <w:r>
        <w:rPr>
          <w:rFonts w:hint="eastAsia" w:ascii="宋体" w:hAnsi="宋体"/>
          <w:b/>
          <w:kern w:val="44"/>
        </w:rPr>
        <w:t>第十三条</w:t>
      </w:r>
      <w:r>
        <w:rPr>
          <w:rFonts w:hint="eastAsia" w:ascii="宋体" w:hAnsi="宋体"/>
          <w:kern w:val="44"/>
        </w:rPr>
        <w:t xml:space="preserve">  企业信用信息记录期限按照下列规定设定：</w:t>
      </w:r>
    </w:p>
    <w:p w14:paraId="05006EBA">
      <w:pPr>
        <w:jc w:val="left"/>
        <w:rPr>
          <w:rFonts w:ascii="宋体" w:hAnsi="宋体"/>
          <w:kern w:val="44"/>
        </w:rPr>
      </w:pPr>
      <w:r>
        <w:rPr>
          <w:rFonts w:hint="eastAsia" w:ascii="宋体" w:hAnsi="宋体"/>
          <w:kern w:val="44"/>
        </w:rPr>
        <w:t>（一）身份信息系统中的信息，记录期限至企业终止为止；</w:t>
      </w:r>
    </w:p>
    <w:p w14:paraId="29123FFA">
      <w:pPr>
        <w:jc w:val="left"/>
        <w:rPr>
          <w:rFonts w:ascii="宋体" w:hAnsi="宋体"/>
          <w:kern w:val="44"/>
        </w:rPr>
      </w:pPr>
      <w:r>
        <w:rPr>
          <w:rFonts w:hint="eastAsia" w:ascii="宋体" w:hAnsi="宋体"/>
          <w:kern w:val="44"/>
        </w:rPr>
        <w:t>（二）提示信息系统中的信息，记录期限为3年；</w:t>
      </w:r>
    </w:p>
    <w:p w14:paraId="13C98E48">
      <w:pPr>
        <w:jc w:val="left"/>
        <w:rPr>
          <w:rFonts w:ascii="宋体" w:hAnsi="宋体"/>
          <w:kern w:val="44"/>
        </w:rPr>
      </w:pPr>
      <w:r>
        <w:rPr>
          <w:rFonts w:hint="eastAsia" w:ascii="宋体" w:hAnsi="宋体"/>
          <w:kern w:val="44"/>
        </w:rPr>
        <w:t>（三）警示信息系统中的信息，记录期限为3年，但法律、法规或者规章规定对企业的限制期限超过3年的，依照该法律、法规或者规章规定的期限记录。</w:t>
      </w:r>
    </w:p>
    <w:p w14:paraId="138A48FF">
      <w:pPr>
        <w:jc w:val="left"/>
        <w:rPr>
          <w:rFonts w:ascii="宋体" w:hAnsi="宋体"/>
          <w:kern w:val="44"/>
        </w:rPr>
      </w:pPr>
      <w:r>
        <w:rPr>
          <w:rFonts w:hint="eastAsia" w:ascii="宋体" w:hAnsi="宋体"/>
          <w:kern w:val="44"/>
        </w:rPr>
        <w:t>（四）良好信息系统中的信息，记录期限为企业受到表彰、获取称号的有效期限。</w:t>
      </w:r>
    </w:p>
    <w:p w14:paraId="0704A4E6">
      <w:pPr>
        <w:jc w:val="left"/>
        <w:rPr>
          <w:rFonts w:ascii="宋体" w:hAnsi="宋体"/>
          <w:kern w:val="44"/>
        </w:rPr>
      </w:pPr>
      <w:r>
        <w:rPr>
          <w:rFonts w:hint="eastAsia" w:ascii="宋体" w:hAnsi="宋体"/>
          <w:kern w:val="44"/>
        </w:rPr>
        <w:t>前款规定的记录期限届满后，系统自动解除记录并转为永久保存信息。</w:t>
      </w:r>
    </w:p>
    <w:p w14:paraId="414F7BBC">
      <w:pPr>
        <w:ind w:firstLine="422"/>
        <w:jc w:val="left"/>
        <w:rPr>
          <w:rFonts w:ascii="宋体" w:hAnsi="宋体"/>
          <w:kern w:val="44"/>
        </w:rPr>
      </w:pPr>
      <w:r>
        <w:rPr>
          <w:rFonts w:hint="eastAsia" w:ascii="宋体" w:hAnsi="宋体"/>
          <w:b/>
          <w:kern w:val="44"/>
        </w:rPr>
        <w:t>第十四条</w:t>
      </w:r>
      <w:r>
        <w:rPr>
          <w:rFonts w:hint="eastAsia" w:ascii="宋体" w:hAnsi="宋体"/>
          <w:kern w:val="44"/>
        </w:rPr>
        <w:t xml:space="preserve">  行政机关通过政务专网可以登录企业信用信息系统，提交或者查询信息，实现各行政机关之间信息互通与共享。</w:t>
      </w:r>
    </w:p>
    <w:p w14:paraId="7EA6C836">
      <w:pPr>
        <w:jc w:val="left"/>
        <w:rPr>
          <w:rFonts w:ascii="宋体" w:hAnsi="宋体"/>
          <w:kern w:val="44"/>
        </w:rPr>
      </w:pPr>
      <w:r>
        <w:rPr>
          <w:rFonts w:hint="eastAsia" w:ascii="宋体" w:hAnsi="宋体"/>
          <w:kern w:val="44"/>
        </w:rPr>
        <w:t>行政机关在日常监督管理、行政审批、企业资质等级评定以及周期性检验和表彰评优等工作中，应当按照授权查阅企业信用信息的记录，作为依法管理的依据或者参考。</w:t>
      </w:r>
    </w:p>
    <w:p w14:paraId="346424CD">
      <w:pPr>
        <w:ind w:firstLine="422"/>
        <w:jc w:val="left"/>
        <w:rPr>
          <w:rFonts w:ascii="宋体" w:hAnsi="宋体"/>
          <w:kern w:val="44"/>
        </w:rPr>
      </w:pPr>
      <w:r>
        <w:rPr>
          <w:rFonts w:hint="eastAsia" w:ascii="宋体" w:hAnsi="宋体"/>
          <w:b/>
          <w:kern w:val="44"/>
        </w:rPr>
        <w:t>第十五条</w:t>
      </w:r>
      <w:r>
        <w:rPr>
          <w:rFonts w:hint="eastAsia" w:ascii="宋体" w:hAnsi="宋体"/>
          <w:kern w:val="44"/>
        </w:rPr>
        <w:t xml:space="preserve">  行政机关对于没有任何违法行为记录或者有多项良好信息记录的企业，给予鼓励：</w:t>
      </w:r>
    </w:p>
    <w:p w14:paraId="0155F2CA">
      <w:pPr>
        <w:jc w:val="left"/>
        <w:rPr>
          <w:rFonts w:ascii="宋体" w:hAnsi="宋体"/>
          <w:kern w:val="44"/>
        </w:rPr>
      </w:pPr>
      <w:r>
        <w:rPr>
          <w:rFonts w:hint="eastAsia" w:ascii="宋体" w:hAnsi="宋体"/>
          <w:kern w:val="44"/>
        </w:rPr>
        <w:t>（一）减少对其经营活动的日常监督检查和专项检查、抽查；</w:t>
      </w:r>
    </w:p>
    <w:p w14:paraId="68C997B1">
      <w:pPr>
        <w:jc w:val="left"/>
        <w:rPr>
          <w:rFonts w:ascii="宋体" w:hAnsi="宋体"/>
          <w:kern w:val="44"/>
        </w:rPr>
      </w:pPr>
      <w:r>
        <w:rPr>
          <w:rFonts w:hint="eastAsia" w:ascii="宋体" w:hAnsi="宋体"/>
          <w:kern w:val="44"/>
        </w:rPr>
        <w:t>（二）在周期性检验、审验中，当年度可以免审；</w:t>
      </w:r>
    </w:p>
    <w:p w14:paraId="1C2883F0">
      <w:pPr>
        <w:jc w:val="left"/>
        <w:rPr>
          <w:rFonts w:ascii="宋体" w:hAnsi="宋体"/>
          <w:kern w:val="44"/>
        </w:rPr>
      </w:pPr>
      <w:r>
        <w:rPr>
          <w:rFonts w:hint="eastAsia" w:ascii="宋体" w:hAnsi="宋体"/>
          <w:kern w:val="44"/>
        </w:rPr>
        <w:t>（三）在政府采购时，同等条件下给予优先考虑；</w:t>
      </w:r>
    </w:p>
    <w:p w14:paraId="2F752994">
      <w:pPr>
        <w:jc w:val="left"/>
        <w:rPr>
          <w:rFonts w:ascii="宋体" w:hAnsi="宋体"/>
          <w:kern w:val="44"/>
        </w:rPr>
      </w:pPr>
      <w:r>
        <w:rPr>
          <w:rFonts w:hint="eastAsia" w:ascii="宋体" w:hAnsi="宋体"/>
          <w:kern w:val="44"/>
        </w:rPr>
        <w:t>（四）法律、法规、规章规定的其他鼓励。</w:t>
      </w:r>
    </w:p>
    <w:p w14:paraId="2D016540">
      <w:pPr>
        <w:ind w:firstLine="422"/>
        <w:jc w:val="left"/>
        <w:rPr>
          <w:rFonts w:ascii="宋体" w:hAnsi="宋体"/>
          <w:kern w:val="44"/>
        </w:rPr>
      </w:pPr>
      <w:r>
        <w:rPr>
          <w:rFonts w:hint="eastAsia" w:ascii="宋体" w:hAnsi="宋体"/>
          <w:b/>
          <w:kern w:val="44"/>
        </w:rPr>
        <w:t>第十六条</w:t>
      </w:r>
      <w:r>
        <w:rPr>
          <w:rFonts w:hint="eastAsia" w:ascii="宋体" w:hAnsi="宋体"/>
          <w:kern w:val="44"/>
        </w:rPr>
        <w:t xml:space="preserve">  行政机关对纳入提示信息和警示信息系统记录的企业应当加强监督管理：</w:t>
      </w:r>
    </w:p>
    <w:p w14:paraId="7987D448">
      <w:pPr>
        <w:jc w:val="left"/>
        <w:rPr>
          <w:rFonts w:ascii="宋体" w:hAnsi="宋体"/>
          <w:kern w:val="44"/>
        </w:rPr>
      </w:pPr>
      <w:r>
        <w:rPr>
          <w:rFonts w:hint="eastAsia" w:ascii="宋体" w:hAnsi="宋体"/>
          <w:kern w:val="44"/>
        </w:rPr>
        <w:t>（一）加强日常监督检查，作为重点进行检查或者抽查；</w:t>
      </w:r>
    </w:p>
    <w:p w14:paraId="234C38D7">
      <w:pPr>
        <w:jc w:val="left"/>
        <w:rPr>
          <w:rFonts w:ascii="宋体" w:hAnsi="宋体"/>
          <w:kern w:val="44"/>
        </w:rPr>
      </w:pPr>
      <w:r>
        <w:rPr>
          <w:rFonts w:hint="eastAsia" w:ascii="宋体" w:hAnsi="宋体"/>
          <w:kern w:val="44"/>
        </w:rPr>
        <w:t>（二）不将该企业列入各类免检、免审范围；</w:t>
      </w:r>
    </w:p>
    <w:p w14:paraId="564AE065">
      <w:pPr>
        <w:jc w:val="left"/>
        <w:rPr>
          <w:rFonts w:ascii="宋体" w:hAnsi="宋体"/>
          <w:kern w:val="44"/>
        </w:rPr>
      </w:pPr>
      <w:r>
        <w:rPr>
          <w:rFonts w:hint="eastAsia" w:ascii="宋体" w:hAnsi="宋体"/>
          <w:kern w:val="44"/>
        </w:rPr>
        <w:t>（三）不授予该企业及其法定代表人、主要负责人有关荣誉或者称号；</w:t>
      </w:r>
    </w:p>
    <w:p w14:paraId="5F5E9AEA">
      <w:pPr>
        <w:jc w:val="left"/>
        <w:rPr>
          <w:rFonts w:ascii="宋体" w:hAnsi="宋体"/>
          <w:kern w:val="44"/>
        </w:rPr>
      </w:pPr>
      <w:r>
        <w:rPr>
          <w:rFonts w:hint="eastAsia" w:ascii="宋体" w:hAnsi="宋体"/>
          <w:kern w:val="44"/>
        </w:rPr>
        <w:t>（四）不予出具股份有限公司上市所需的合法经营证明；</w:t>
      </w:r>
    </w:p>
    <w:p w14:paraId="6EB498F2">
      <w:pPr>
        <w:jc w:val="left"/>
        <w:rPr>
          <w:rFonts w:ascii="宋体" w:hAnsi="宋体"/>
          <w:kern w:val="44"/>
        </w:rPr>
      </w:pPr>
      <w:r>
        <w:rPr>
          <w:rFonts w:hint="eastAsia" w:ascii="宋体" w:hAnsi="宋体"/>
          <w:kern w:val="44"/>
        </w:rPr>
        <w:t>（五）在政府采购时，不予纳入或者取消其资格。</w:t>
      </w:r>
    </w:p>
    <w:p w14:paraId="4C5791C7">
      <w:pPr>
        <w:jc w:val="left"/>
        <w:rPr>
          <w:rFonts w:ascii="宋体" w:hAnsi="宋体"/>
          <w:kern w:val="44"/>
        </w:rPr>
      </w:pPr>
      <w:r>
        <w:rPr>
          <w:rFonts w:hint="eastAsia" w:ascii="宋体" w:hAnsi="宋体"/>
          <w:kern w:val="44"/>
        </w:rPr>
        <w:t>除前款规定外，法律、法规、规章对企业及其法定代表人、主要负责人有限制登记注册、对外投资、行政许可、资质等级评定等规定的，从其规定。</w:t>
      </w:r>
    </w:p>
    <w:p w14:paraId="2BA2EF43">
      <w:pPr>
        <w:ind w:firstLine="422"/>
        <w:jc w:val="left"/>
        <w:rPr>
          <w:rFonts w:ascii="宋体" w:hAnsi="宋体"/>
          <w:kern w:val="44"/>
        </w:rPr>
      </w:pPr>
      <w:r>
        <w:rPr>
          <w:rFonts w:hint="eastAsia" w:ascii="宋体" w:hAnsi="宋体"/>
          <w:b/>
          <w:kern w:val="44"/>
        </w:rPr>
        <w:t>第十七条</w:t>
      </w:r>
      <w:r>
        <w:rPr>
          <w:rFonts w:hint="eastAsia" w:ascii="宋体" w:hAnsi="宋体"/>
          <w:kern w:val="44"/>
        </w:rPr>
        <w:t xml:space="preserve">  属于依法限制企业有关注册登记、对外投资、行政许可以及资质等级评定等方面的事项，法律、法规、规章明确规定限制期限的，从其规定；没有明确规定期限的，限制期限为2年，限制期限届满时，系统自动解除其限制。</w:t>
      </w:r>
    </w:p>
    <w:p w14:paraId="7B306AC3">
      <w:pPr>
        <w:ind w:firstLine="422"/>
        <w:jc w:val="left"/>
        <w:rPr>
          <w:rFonts w:ascii="宋体" w:hAnsi="宋体"/>
          <w:kern w:val="44"/>
        </w:rPr>
      </w:pPr>
      <w:r>
        <w:rPr>
          <w:rFonts w:hint="eastAsia" w:ascii="宋体" w:hAnsi="宋体"/>
          <w:b/>
          <w:kern w:val="44"/>
        </w:rPr>
        <w:t>第十八条</w:t>
      </w:r>
      <w:r>
        <w:rPr>
          <w:rFonts w:hint="eastAsia" w:ascii="宋体" w:hAnsi="宋体"/>
          <w:kern w:val="44"/>
        </w:rPr>
        <w:t xml:space="preserve">  行政机关利用企业信用信息，应当按照法律、法规、规章规定的目的运用，不得滥用，不得违法限制企业经营活动。</w:t>
      </w:r>
    </w:p>
    <w:p w14:paraId="4ABB47E7">
      <w:pPr>
        <w:ind w:firstLine="422"/>
        <w:jc w:val="left"/>
        <w:rPr>
          <w:rFonts w:ascii="宋体" w:hAnsi="宋体"/>
          <w:kern w:val="44"/>
        </w:rPr>
      </w:pPr>
      <w:r>
        <w:rPr>
          <w:rFonts w:hint="eastAsia" w:ascii="宋体" w:hAnsi="宋体"/>
          <w:b/>
          <w:kern w:val="44"/>
        </w:rPr>
        <w:t>第十九条</w:t>
      </w:r>
      <w:r>
        <w:rPr>
          <w:rFonts w:hint="eastAsia" w:ascii="宋体" w:hAnsi="宋体"/>
          <w:kern w:val="44"/>
        </w:rPr>
        <w:t xml:space="preserve">  企业信用信息系统中的警示信息系统和良好信息系统的信息，通过政府网站依法向社会公布。</w:t>
      </w:r>
    </w:p>
    <w:p w14:paraId="6141002A">
      <w:pPr>
        <w:jc w:val="left"/>
        <w:rPr>
          <w:rFonts w:ascii="宋体" w:hAnsi="宋体"/>
          <w:kern w:val="44"/>
        </w:rPr>
      </w:pPr>
      <w:r>
        <w:rPr>
          <w:rFonts w:hint="eastAsia" w:ascii="宋体" w:hAnsi="宋体"/>
          <w:kern w:val="44"/>
        </w:rPr>
        <w:t>行政机关对于企业严重违法受到行政处罚的信息，在提交企业信用信息系统的同时，可以通过本部门的政务网站或者新闻媒体向社会公布。</w:t>
      </w:r>
    </w:p>
    <w:p w14:paraId="3594BD25">
      <w:pPr>
        <w:ind w:firstLine="422"/>
        <w:jc w:val="left"/>
        <w:rPr>
          <w:rFonts w:ascii="宋体" w:hAnsi="宋体"/>
          <w:kern w:val="44"/>
        </w:rPr>
      </w:pPr>
      <w:r>
        <w:rPr>
          <w:rFonts w:hint="eastAsia" w:ascii="宋体" w:hAnsi="宋体"/>
          <w:b/>
          <w:kern w:val="44"/>
        </w:rPr>
        <w:t>第二十条</w:t>
      </w:r>
      <w:r>
        <w:rPr>
          <w:rFonts w:hint="eastAsia" w:ascii="宋体" w:hAnsi="宋体"/>
          <w:kern w:val="44"/>
        </w:rPr>
        <w:t xml:space="preserve">  行政机关公布企业信用信息应当符合法律、法规、规章的规定，对属于个人隐私、涉及企业商业秘密以及法律、法规、规章明确规定不得公开的其他内容，提交信息的行政机关应当采取保密措施，不得公布和披露。</w:t>
      </w:r>
    </w:p>
    <w:p w14:paraId="795220F5">
      <w:pPr>
        <w:ind w:firstLine="422"/>
        <w:jc w:val="left"/>
        <w:rPr>
          <w:rFonts w:ascii="宋体" w:hAnsi="宋体"/>
          <w:kern w:val="44"/>
        </w:rPr>
      </w:pPr>
      <w:r>
        <w:rPr>
          <w:rFonts w:hint="eastAsia" w:ascii="宋体" w:hAnsi="宋体"/>
          <w:b/>
          <w:kern w:val="44"/>
        </w:rPr>
        <w:t>第二十一条</w:t>
      </w:r>
      <w:r>
        <w:rPr>
          <w:rFonts w:hint="eastAsia" w:ascii="宋体" w:hAnsi="宋体"/>
          <w:kern w:val="44"/>
        </w:rPr>
        <w:t xml:space="preserve">  任何组织和个人可以通过政府网站登录企业信用信息系统，查询公布的相关信息，并可以通过企业身份电子认证系统查询企业身份信息。</w:t>
      </w:r>
    </w:p>
    <w:p w14:paraId="30FDC6CA">
      <w:pPr>
        <w:ind w:firstLine="422"/>
        <w:jc w:val="left"/>
        <w:rPr>
          <w:rFonts w:ascii="宋体" w:hAnsi="宋体"/>
          <w:kern w:val="44"/>
        </w:rPr>
      </w:pPr>
      <w:r>
        <w:rPr>
          <w:rFonts w:hint="eastAsia" w:ascii="宋体" w:hAnsi="宋体"/>
          <w:b/>
          <w:kern w:val="44"/>
        </w:rPr>
        <w:t>第二十二条</w:t>
      </w:r>
      <w:r>
        <w:rPr>
          <w:rFonts w:hint="eastAsia" w:ascii="宋体" w:hAnsi="宋体"/>
          <w:kern w:val="44"/>
        </w:rPr>
        <w:t xml:space="preserve">  企业认为本企业信息与事实不符的，可以向提交信息记录的行政机关提出变更或者撤销记录的申请，行政机关应当在接到申请后的15个工作日内做出处理，并告知申请人；企业也可以依法申请行政复议或者提起诉讼；对信息确有错误以及被决定或者裁决撤销记录的，行政机关应当及时变更或者解除该记录；因信息错误给当事人造成损害的，行政机关应当依法承担责任。</w:t>
      </w:r>
    </w:p>
    <w:p w14:paraId="4899C272">
      <w:pPr>
        <w:ind w:firstLine="422"/>
        <w:jc w:val="left"/>
        <w:rPr>
          <w:rFonts w:ascii="宋体" w:hAnsi="宋体"/>
          <w:kern w:val="44"/>
        </w:rPr>
      </w:pPr>
      <w:r>
        <w:rPr>
          <w:rFonts w:hint="eastAsia" w:ascii="宋体" w:hAnsi="宋体"/>
          <w:b/>
          <w:kern w:val="44"/>
        </w:rPr>
        <w:t>第二十三条</w:t>
      </w:r>
      <w:r>
        <w:rPr>
          <w:rFonts w:hint="eastAsia" w:ascii="宋体" w:hAnsi="宋体"/>
          <w:kern w:val="44"/>
        </w:rPr>
        <w:t xml:space="preserve">  行政机关应当根据本办法的要求，制定关于提交、维护、管理、利用企业信用信息的内部工作程序和管理制度以及相应的行政责任追究制度。</w:t>
      </w:r>
    </w:p>
    <w:p w14:paraId="5F956D2D">
      <w:pPr>
        <w:ind w:firstLine="422"/>
        <w:jc w:val="left"/>
        <w:rPr>
          <w:rFonts w:ascii="宋体" w:hAnsi="宋体"/>
          <w:kern w:val="44"/>
        </w:rPr>
      </w:pPr>
      <w:r>
        <w:rPr>
          <w:rFonts w:hint="eastAsia" w:ascii="宋体" w:hAnsi="宋体"/>
          <w:b/>
          <w:kern w:val="44"/>
        </w:rPr>
        <w:t>第二十四条</w:t>
      </w:r>
      <w:r>
        <w:rPr>
          <w:rFonts w:hint="eastAsia" w:ascii="宋体" w:hAnsi="宋体"/>
          <w:kern w:val="44"/>
        </w:rPr>
        <w:t xml:space="preserve">  行政机关执行本办法的情况，作为对该部门落实政务公开以及依法行政工作考核的内容。</w:t>
      </w:r>
    </w:p>
    <w:p w14:paraId="1DD9F7EA">
      <w:pPr>
        <w:jc w:val="left"/>
        <w:rPr>
          <w:rFonts w:ascii="宋体" w:hAnsi="宋体"/>
          <w:kern w:val="44"/>
        </w:rPr>
      </w:pPr>
      <w:r>
        <w:rPr>
          <w:rFonts w:hint="eastAsia" w:ascii="宋体" w:hAnsi="宋体"/>
          <w:kern w:val="44"/>
        </w:rPr>
        <w:t>行政监察机关负责对行政机关执行本办法的情况进行检查和监督。</w:t>
      </w:r>
    </w:p>
    <w:p w14:paraId="2043E96C">
      <w:pPr>
        <w:ind w:firstLine="422"/>
        <w:jc w:val="left"/>
        <w:rPr>
          <w:rFonts w:ascii="宋体" w:hAnsi="宋体"/>
          <w:kern w:val="44"/>
        </w:rPr>
      </w:pPr>
      <w:r>
        <w:rPr>
          <w:rFonts w:hint="eastAsia" w:ascii="宋体" w:hAnsi="宋体"/>
          <w:b/>
          <w:kern w:val="44"/>
        </w:rPr>
        <w:t>第二十五条</w:t>
      </w:r>
      <w:r>
        <w:rPr>
          <w:rFonts w:hint="eastAsia" w:ascii="宋体" w:hAnsi="宋体"/>
          <w:kern w:val="44"/>
        </w:rPr>
        <w:t xml:space="preserve">  行政机关及其工作人员玩忽职守以及利用职务之便，违法公布、利用企业信用信息，侵犯企业合法权益，损害企业信誉的，依法追究行政责任；构成犯罪的，依法追究刑事责任。</w:t>
      </w:r>
    </w:p>
    <w:p w14:paraId="152A0DE1">
      <w:pPr>
        <w:jc w:val="left"/>
        <w:rPr>
          <w:rFonts w:ascii="宋体" w:hAnsi="宋体"/>
          <w:kern w:val="44"/>
        </w:rPr>
      </w:pPr>
      <w:r>
        <w:rPr>
          <w:rFonts w:hint="eastAsia" w:ascii="宋体" w:hAnsi="宋体"/>
          <w:kern w:val="44"/>
        </w:rPr>
        <w:t>行政监察机关以及有关行政机关对于违反本办法不按规定提交、维护信息以及违法记录、公布和利用企业信用信息的责任人员，依法追究行政责任。</w:t>
      </w:r>
    </w:p>
    <w:p w14:paraId="206C023B">
      <w:pPr>
        <w:ind w:firstLine="422"/>
        <w:jc w:val="left"/>
        <w:rPr>
          <w:rFonts w:ascii="宋体" w:hAnsi="宋体"/>
          <w:kern w:val="44"/>
        </w:rPr>
      </w:pPr>
      <w:r>
        <w:rPr>
          <w:rFonts w:hint="eastAsia" w:ascii="宋体" w:hAnsi="宋体"/>
          <w:b/>
          <w:kern w:val="44"/>
        </w:rPr>
        <w:t>第二十六条</w:t>
      </w:r>
      <w:r>
        <w:rPr>
          <w:rFonts w:hint="eastAsia" w:ascii="宋体" w:hAnsi="宋体"/>
          <w:kern w:val="44"/>
        </w:rPr>
        <w:t xml:space="preserve">  行政机关对外国企业常驻代表机构、外商投资企业驻京办事处以及广告媒介等单位有关信用信息的归集、公布、利用等活动，适用本办法。</w:t>
      </w:r>
    </w:p>
    <w:p w14:paraId="4F812622">
      <w:pPr>
        <w:ind w:firstLine="422"/>
        <w:jc w:val="left"/>
        <w:rPr>
          <w:rFonts w:ascii="宋体" w:hAnsi="宋体"/>
          <w:kern w:val="44"/>
        </w:rPr>
      </w:pPr>
      <w:r>
        <w:rPr>
          <w:rFonts w:hint="eastAsia" w:ascii="宋体" w:hAnsi="宋体"/>
          <w:b/>
          <w:kern w:val="44"/>
        </w:rPr>
        <w:t>第二十七条</w:t>
      </w:r>
      <w:r>
        <w:rPr>
          <w:rFonts w:hint="eastAsia" w:ascii="宋体" w:hAnsi="宋体"/>
          <w:kern w:val="44"/>
        </w:rPr>
        <w:t xml:space="preserve">  本办法自2002年10月1日起施行。</w:t>
      </w:r>
    </w:p>
    <w:p w14:paraId="6A7EFFB1">
      <w:pPr>
        <w:pStyle w:val="4"/>
        <w:pageBreakBefore/>
        <w:rPr>
          <w:kern w:val="44"/>
        </w:rPr>
      </w:pPr>
      <w:bookmarkStart w:id="1338" w:name="_Toc427651963"/>
      <w:bookmarkStart w:id="1339" w:name="_Toc422471350"/>
      <w:bookmarkStart w:id="1340" w:name="_Toc428780187"/>
      <w:bookmarkStart w:id="1341" w:name="_Toc428781669"/>
      <w:bookmarkStart w:id="1342" w:name="_Toc427651621"/>
      <w:r>
        <w:rPr>
          <w:rFonts w:hint="eastAsia"/>
          <w:kern w:val="44"/>
        </w:rPr>
        <w:t>北京市户外广告设置管理办法</w:t>
      </w:r>
      <w:bookmarkEnd w:id="1338"/>
      <w:bookmarkEnd w:id="1339"/>
      <w:bookmarkEnd w:id="1340"/>
      <w:bookmarkEnd w:id="1341"/>
      <w:bookmarkEnd w:id="1342"/>
    </w:p>
    <w:p w14:paraId="1F6753BA">
      <w:pPr>
        <w:ind w:left="630" w:leftChars="300" w:right="630" w:rightChars="300"/>
        <w:jc w:val="left"/>
        <w:rPr>
          <w:rFonts w:ascii="楷体" w:hAnsi="楷体" w:eastAsia="楷体"/>
          <w:kern w:val="44"/>
        </w:rPr>
      </w:pPr>
      <w:r>
        <w:rPr>
          <w:rFonts w:hint="eastAsia" w:ascii="楷体" w:hAnsi="楷体" w:eastAsia="楷体"/>
          <w:kern w:val="44"/>
        </w:rPr>
        <w:t>（2004年6月22日北京市人民政府第27次常务会议通过  2004年8月5日北京市人民政府第151号令发布  根据2007年11月23日北京市人民政府第200号令修改）</w:t>
      </w:r>
    </w:p>
    <w:p w14:paraId="7ACC049D">
      <w:pPr>
        <w:jc w:val="left"/>
        <w:rPr>
          <w:rFonts w:ascii="宋体" w:hAnsi="宋体"/>
          <w:kern w:val="44"/>
        </w:rPr>
      </w:pPr>
    </w:p>
    <w:p w14:paraId="1B82AE92">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为了加强本市户外广告的设置规划和管理，创造整洁、优美的市容环境，根据《北京市市容环境卫生条例》和有关法律、法规的规定，结合本市实际情况，制定本办法。</w:t>
      </w:r>
    </w:p>
    <w:p w14:paraId="416EF6B0">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本办法适用于本市行政区域内户外广告的设置和管理活动。</w:t>
      </w:r>
    </w:p>
    <w:p w14:paraId="5543F00D">
      <w:pPr>
        <w:jc w:val="left"/>
        <w:rPr>
          <w:rFonts w:ascii="宋体" w:hAnsi="宋体"/>
          <w:kern w:val="44"/>
        </w:rPr>
      </w:pPr>
      <w:r>
        <w:rPr>
          <w:rFonts w:hint="eastAsia" w:ascii="宋体" w:hAnsi="宋体"/>
          <w:kern w:val="44"/>
        </w:rPr>
        <w:t>本办法所称户外广告，是指在城市道路、公路、铁路两侧、城市轨道交通线路的地面部分、河湖管理范围和广场、建筑物、构筑物上，以灯箱、霓虹灯、电子显示装置、展示牌等为载体形式和在交通工具上设置的商业广告。</w:t>
      </w:r>
    </w:p>
    <w:p w14:paraId="02ECEBB7">
      <w:pPr>
        <w:ind w:firstLine="422"/>
        <w:jc w:val="left"/>
        <w:rPr>
          <w:rFonts w:ascii="宋体" w:hAnsi="宋体"/>
          <w:kern w:val="44"/>
        </w:rPr>
      </w:pPr>
      <w:r>
        <w:rPr>
          <w:rFonts w:hint="eastAsia" w:ascii="宋体" w:hAnsi="宋体"/>
          <w:b/>
          <w:kern w:val="44"/>
        </w:rPr>
        <w:t>第三条</w:t>
      </w:r>
      <w:r>
        <w:rPr>
          <w:rFonts w:hint="eastAsia" w:ascii="宋体" w:hAnsi="宋体"/>
          <w:kern w:val="44"/>
        </w:rPr>
        <w:t>　市市政管理行政主管部门负责本市户外广告的设置规划和监督管理工作。</w:t>
      </w:r>
    </w:p>
    <w:p w14:paraId="0C68410D">
      <w:pPr>
        <w:jc w:val="left"/>
        <w:rPr>
          <w:rFonts w:ascii="宋体" w:hAnsi="宋体"/>
          <w:kern w:val="44"/>
        </w:rPr>
      </w:pPr>
      <w:r>
        <w:rPr>
          <w:rFonts w:hint="eastAsia" w:ascii="宋体" w:hAnsi="宋体"/>
          <w:kern w:val="44"/>
        </w:rPr>
        <w:t>区、县市政管理行政主管部门负责本行政区域内户外广告的设置规划和监督管理工作。</w:t>
      </w:r>
    </w:p>
    <w:p w14:paraId="66760A2B">
      <w:pPr>
        <w:ind w:firstLine="422"/>
        <w:jc w:val="left"/>
        <w:rPr>
          <w:rFonts w:ascii="宋体" w:hAnsi="宋体"/>
          <w:kern w:val="44"/>
        </w:rPr>
      </w:pPr>
      <w:r>
        <w:rPr>
          <w:rFonts w:hint="eastAsia" w:ascii="宋体" w:hAnsi="宋体"/>
          <w:b/>
          <w:kern w:val="44"/>
        </w:rPr>
        <w:t>第四条</w:t>
      </w:r>
      <w:r>
        <w:rPr>
          <w:rFonts w:hint="eastAsia" w:ascii="宋体" w:hAnsi="宋体"/>
          <w:kern w:val="44"/>
        </w:rPr>
        <w:t>　本市户外广告的登记、内容审查和监督管理，依照《中华人民共和国广告法》和有关法规、规章的规定执行。</w:t>
      </w:r>
    </w:p>
    <w:p w14:paraId="2E85690C">
      <w:pPr>
        <w:jc w:val="left"/>
        <w:rPr>
          <w:rFonts w:ascii="宋体" w:hAnsi="宋体"/>
          <w:kern w:val="44"/>
        </w:rPr>
      </w:pPr>
      <w:r>
        <w:rPr>
          <w:rFonts w:hint="eastAsia" w:ascii="宋体" w:hAnsi="宋体"/>
          <w:kern w:val="44"/>
        </w:rPr>
        <w:t>规划、交通、园林、公安交通、建设、环保、质量技术监督、安全生产等有关行政主管部门按照各自的职责，依法对户外广告进行监督管理。</w:t>
      </w:r>
    </w:p>
    <w:p w14:paraId="3B968089">
      <w:pPr>
        <w:ind w:firstLine="422"/>
        <w:jc w:val="left"/>
        <w:rPr>
          <w:rFonts w:ascii="宋体" w:hAnsi="宋体"/>
          <w:kern w:val="44"/>
        </w:rPr>
      </w:pPr>
      <w:r>
        <w:rPr>
          <w:rFonts w:hint="eastAsia" w:ascii="宋体" w:hAnsi="宋体"/>
          <w:b/>
          <w:kern w:val="44"/>
        </w:rPr>
        <w:t>第五条</w:t>
      </w:r>
      <w:r>
        <w:rPr>
          <w:rFonts w:hint="eastAsia" w:ascii="宋体" w:hAnsi="宋体"/>
          <w:kern w:val="44"/>
        </w:rPr>
        <w:t>　设置户外广告设施，应当根据城市的风貌、格局和区域功能、道路特点等统一规划，整体设计，分区控制，合理布局，保证城市容貌的整体美观。</w:t>
      </w:r>
    </w:p>
    <w:p w14:paraId="0D7FBA16">
      <w:pPr>
        <w:jc w:val="left"/>
        <w:rPr>
          <w:rFonts w:ascii="宋体" w:hAnsi="宋体"/>
          <w:kern w:val="44"/>
        </w:rPr>
      </w:pPr>
      <w:r>
        <w:rPr>
          <w:rFonts w:hint="eastAsia" w:ascii="宋体" w:hAnsi="宋体"/>
          <w:kern w:val="44"/>
        </w:rPr>
        <w:t>户外广告设施的设计风格、造型、色调、数量、体量、形式、位置、朝向、高度、材质应当与周围环境相协调。</w:t>
      </w:r>
    </w:p>
    <w:p w14:paraId="0CBF36EE">
      <w:pPr>
        <w:ind w:firstLine="422"/>
        <w:jc w:val="left"/>
        <w:rPr>
          <w:rFonts w:ascii="宋体" w:hAnsi="宋体"/>
          <w:kern w:val="44"/>
        </w:rPr>
      </w:pPr>
      <w:r>
        <w:rPr>
          <w:rFonts w:hint="eastAsia" w:ascii="宋体" w:hAnsi="宋体"/>
          <w:b/>
          <w:kern w:val="44"/>
        </w:rPr>
        <w:t>第六条</w:t>
      </w:r>
      <w:r>
        <w:rPr>
          <w:rFonts w:hint="eastAsia" w:ascii="宋体" w:hAnsi="宋体"/>
          <w:kern w:val="44"/>
        </w:rPr>
        <w:t>　市市政管理行政主管部门应当会同市规划行政主管部门组织编制本市户外广告设置专业规划；区、县市政管理行政主管部门应当会同同级规划行政主管部门根据本市户外广告设置专业规划组织编制本行政区域的户外广告设置规划。</w:t>
      </w:r>
    </w:p>
    <w:p w14:paraId="6D7589D9">
      <w:pPr>
        <w:jc w:val="left"/>
        <w:rPr>
          <w:rFonts w:ascii="宋体" w:hAnsi="宋体"/>
          <w:kern w:val="44"/>
        </w:rPr>
      </w:pPr>
      <w:r>
        <w:rPr>
          <w:rFonts w:hint="eastAsia" w:ascii="宋体" w:hAnsi="宋体"/>
          <w:kern w:val="44"/>
        </w:rPr>
        <w:t>市市政管理行政管理行政主管部门可以根据市人民政府的决定，组织编制本市主要大街和重点区域的户外广告设置规划。</w:t>
      </w:r>
    </w:p>
    <w:p w14:paraId="48A2E445">
      <w:pPr>
        <w:ind w:firstLine="422"/>
        <w:jc w:val="left"/>
        <w:rPr>
          <w:rFonts w:ascii="宋体" w:hAnsi="宋体"/>
          <w:kern w:val="44"/>
        </w:rPr>
      </w:pPr>
      <w:r>
        <w:rPr>
          <w:rFonts w:hint="eastAsia" w:ascii="宋体" w:hAnsi="宋体"/>
          <w:b/>
          <w:kern w:val="44"/>
        </w:rPr>
        <w:t>第七条</w:t>
      </w:r>
      <w:r>
        <w:rPr>
          <w:rFonts w:hint="eastAsia" w:ascii="宋体" w:hAnsi="宋体"/>
          <w:kern w:val="44"/>
        </w:rPr>
        <w:t>　编制本市户外广告设置专业规划和区、县户外广告设置规划应当符合《北京城市总体规划》和本办法第五条规定的要求。</w:t>
      </w:r>
    </w:p>
    <w:p w14:paraId="19070012">
      <w:pPr>
        <w:ind w:firstLine="422"/>
        <w:jc w:val="left"/>
        <w:rPr>
          <w:rFonts w:ascii="宋体" w:hAnsi="宋体"/>
          <w:kern w:val="44"/>
        </w:rPr>
      </w:pPr>
      <w:r>
        <w:rPr>
          <w:rFonts w:hint="eastAsia" w:ascii="宋体" w:hAnsi="宋体"/>
          <w:b/>
          <w:kern w:val="44"/>
        </w:rPr>
        <w:t>第八条</w:t>
      </w:r>
      <w:r>
        <w:rPr>
          <w:rFonts w:hint="eastAsia" w:ascii="宋体" w:hAnsi="宋体"/>
          <w:kern w:val="44"/>
        </w:rPr>
        <w:t>　编制本市户外广告设置专业规划和区、县户外广告设置规划应当征求有关部门和专家的意见。本市户外广告设置专业规划报市人民政府批准后公布实施；区、县户外广告设置规划报市市政管理行政主管部门按总体规划综合协调同意后，再报同级人民政府批准公布实施。</w:t>
      </w:r>
    </w:p>
    <w:p w14:paraId="2A163945">
      <w:pPr>
        <w:jc w:val="left"/>
        <w:rPr>
          <w:rFonts w:ascii="宋体" w:hAnsi="宋体"/>
          <w:kern w:val="44"/>
        </w:rPr>
      </w:pPr>
      <w:r>
        <w:rPr>
          <w:rFonts w:hint="eastAsia" w:ascii="宋体" w:hAnsi="宋体"/>
          <w:kern w:val="44"/>
        </w:rPr>
        <w:t>经市和区、县人民政府批准公布实施的户外广告设置规划，不得随意更改；确需调整的，必须按照规定的程序重新批准。对区、县户外广告设置规划违反本市户外广告设置专业规划的，市人民政府有权予以纠正或者撤销。</w:t>
      </w:r>
    </w:p>
    <w:p w14:paraId="6877FD7D">
      <w:pPr>
        <w:ind w:firstLine="422"/>
        <w:jc w:val="left"/>
        <w:rPr>
          <w:rFonts w:ascii="宋体" w:hAnsi="宋体"/>
          <w:kern w:val="44"/>
        </w:rPr>
      </w:pPr>
      <w:r>
        <w:rPr>
          <w:rFonts w:hint="eastAsia" w:ascii="宋体" w:hAnsi="宋体"/>
          <w:b/>
          <w:kern w:val="44"/>
        </w:rPr>
        <w:t>第九条</w:t>
      </w:r>
      <w:r>
        <w:rPr>
          <w:rFonts w:hint="eastAsia" w:ascii="宋体" w:hAnsi="宋体"/>
          <w:kern w:val="44"/>
        </w:rPr>
        <w:t>　禁止在下列道路和区域设置户外广告设施：</w:t>
      </w:r>
    </w:p>
    <w:p w14:paraId="655C36AC">
      <w:pPr>
        <w:jc w:val="left"/>
        <w:rPr>
          <w:rFonts w:ascii="宋体" w:hAnsi="宋体"/>
          <w:kern w:val="44"/>
        </w:rPr>
      </w:pPr>
      <w:r>
        <w:rPr>
          <w:rFonts w:hint="eastAsia" w:ascii="宋体" w:hAnsi="宋体"/>
          <w:kern w:val="44"/>
        </w:rPr>
        <w:t>（一）长安街（即东起建国门西至复兴门路段，下同）道路两侧100米范围内；</w:t>
      </w:r>
    </w:p>
    <w:p w14:paraId="4E7D19E0">
      <w:pPr>
        <w:jc w:val="left"/>
        <w:rPr>
          <w:rFonts w:ascii="宋体" w:hAnsi="宋体"/>
          <w:kern w:val="44"/>
        </w:rPr>
      </w:pPr>
      <w:r>
        <w:rPr>
          <w:rFonts w:hint="eastAsia" w:ascii="宋体" w:hAnsi="宋体"/>
          <w:kern w:val="44"/>
        </w:rPr>
        <w:t>（二）天安门广场地区及广场东侧、西侧各100米范围内；</w:t>
      </w:r>
    </w:p>
    <w:p w14:paraId="53CCDAE2">
      <w:pPr>
        <w:jc w:val="left"/>
        <w:rPr>
          <w:rFonts w:ascii="宋体" w:hAnsi="宋体"/>
          <w:kern w:val="44"/>
        </w:rPr>
      </w:pPr>
      <w:r>
        <w:rPr>
          <w:rFonts w:hint="eastAsia" w:ascii="宋体" w:hAnsi="宋体"/>
          <w:kern w:val="44"/>
        </w:rPr>
        <w:t>（三）中南海办公区周边北起文津街府右街路口，南至府右街长安街路段的沿街地区，西起文津街府右街路口，东至文津街北长街的沿街地区，北起文津街北长街路口，南至南长街长安街路段的沿街地区；</w:t>
      </w:r>
    </w:p>
    <w:p w14:paraId="0D396C19">
      <w:pPr>
        <w:jc w:val="left"/>
        <w:rPr>
          <w:rFonts w:ascii="宋体" w:hAnsi="宋体"/>
          <w:kern w:val="44"/>
        </w:rPr>
      </w:pPr>
      <w:r>
        <w:rPr>
          <w:rFonts w:hint="eastAsia" w:ascii="宋体" w:hAnsi="宋体"/>
          <w:kern w:val="44"/>
        </w:rPr>
        <w:t>（四）钓鱼台国宾馆北起三里河路阜成路路口，南至钓鱼台国宾馆南侧院墙的沿街地区，东起三里河路阜成路路口，西至阜成路南一街路段南侧的沿街地区；</w:t>
      </w:r>
    </w:p>
    <w:p w14:paraId="565EC708">
      <w:pPr>
        <w:jc w:val="left"/>
        <w:rPr>
          <w:rFonts w:ascii="宋体" w:hAnsi="宋体"/>
          <w:kern w:val="44"/>
        </w:rPr>
      </w:pPr>
      <w:r>
        <w:rPr>
          <w:rFonts w:hint="eastAsia" w:ascii="宋体" w:hAnsi="宋体"/>
          <w:kern w:val="44"/>
        </w:rPr>
        <w:t>（五）国家机关、学校、风景名胜区和文物保护单位的建筑控制地带。</w:t>
      </w:r>
    </w:p>
    <w:p w14:paraId="5582BE72">
      <w:pPr>
        <w:jc w:val="left"/>
        <w:rPr>
          <w:rFonts w:ascii="宋体" w:hAnsi="宋体"/>
          <w:kern w:val="44"/>
        </w:rPr>
      </w:pPr>
      <w:r>
        <w:rPr>
          <w:rFonts w:hint="eastAsia" w:ascii="宋体" w:hAnsi="宋体"/>
          <w:kern w:val="44"/>
        </w:rPr>
        <w:t>对其他不适合设置户外广告的道路和区域，由户外广告设置规划控制设置户外广告。</w:t>
      </w:r>
    </w:p>
    <w:p w14:paraId="1F600212">
      <w:pPr>
        <w:ind w:firstLine="422"/>
        <w:jc w:val="left"/>
        <w:rPr>
          <w:rFonts w:ascii="宋体" w:hAnsi="宋体"/>
          <w:kern w:val="44"/>
        </w:rPr>
      </w:pPr>
      <w:r>
        <w:rPr>
          <w:rFonts w:hint="eastAsia" w:ascii="宋体" w:hAnsi="宋体"/>
          <w:b/>
          <w:kern w:val="44"/>
        </w:rPr>
        <w:t>第十条</w:t>
      </w:r>
      <w:r>
        <w:rPr>
          <w:rFonts w:hint="eastAsia" w:ascii="宋体" w:hAnsi="宋体"/>
          <w:kern w:val="44"/>
        </w:rPr>
        <w:t>　长安街从王府井路口以西（不含王府井路口）至西单路口以东（不含西单路口）的路段和天安门广场地区禁止有车身广告的车辆通行。但是，因举行大型活动临时调用的车辆除外。</w:t>
      </w:r>
    </w:p>
    <w:p w14:paraId="69DC03B9">
      <w:pPr>
        <w:ind w:firstLine="422"/>
        <w:jc w:val="left"/>
        <w:rPr>
          <w:rFonts w:ascii="宋体" w:hAnsi="宋体"/>
          <w:kern w:val="44"/>
        </w:rPr>
      </w:pPr>
      <w:r>
        <w:rPr>
          <w:rFonts w:hint="eastAsia" w:ascii="宋体" w:hAnsi="宋体"/>
          <w:b/>
          <w:kern w:val="44"/>
        </w:rPr>
        <w:t>第十一条</w:t>
      </w:r>
      <w:r>
        <w:rPr>
          <w:rFonts w:hint="eastAsia" w:ascii="宋体" w:hAnsi="宋体"/>
          <w:kern w:val="44"/>
        </w:rPr>
        <w:t>　在道路两侧和道路路口设置户外广告设施，不得妨碍安全视距、影响通行，并不得有下列情形：</w:t>
      </w:r>
    </w:p>
    <w:p w14:paraId="30B92A51">
      <w:pPr>
        <w:jc w:val="left"/>
        <w:rPr>
          <w:rFonts w:ascii="宋体" w:hAnsi="宋体"/>
          <w:kern w:val="44"/>
        </w:rPr>
      </w:pPr>
      <w:r>
        <w:rPr>
          <w:rFonts w:hint="eastAsia" w:ascii="宋体" w:hAnsi="宋体"/>
          <w:kern w:val="44"/>
        </w:rPr>
        <w:t>（一）遮挡路灯、交通标志、交通信号；</w:t>
      </w:r>
    </w:p>
    <w:p w14:paraId="098BE43A">
      <w:pPr>
        <w:jc w:val="left"/>
        <w:rPr>
          <w:rFonts w:ascii="宋体" w:hAnsi="宋体"/>
          <w:kern w:val="44"/>
        </w:rPr>
      </w:pPr>
      <w:r>
        <w:rPr>
          <w:rFonts w:hint="eastAsia" w:ascii="宋体" w:hAnsi="宋体"/>
          <w:kern w:val="44"/>
        </w:rPr>
        <w:t>（二）延伸扩展至道路上方或者跨越道路；</w:t>
      </w:r>
    </w:p>
    <w:p w14:paraId="031582B9">
      <w:pPr>
        <w:jc w:val="left"/>
        <w:rPr>
          <w:rFonts w:ascii="宋体" w:hAnsi="宋体"/>
          <w:kern w:val="44"/>
        </w:rPr>
      </w:pPr>
      <w:r>
        <w:rPr>
          <w:rFonts w:hint="eastAsia" w:ascii="宋体" w:hAnsi="宋体"/>
          <w:kern w:val="44"/>
        </w:rPr>
        <w:t>（三）设置在立交桥、人行过街桥、铁路桥等桥梁上；</w:t>
      </w:r>
    </w:p>
    <w:p w14:paraId="0BBD4D19">
      <w:pPr>
        <w:jc w:val="left"/>
        <w:rPr>
          <w:rFonts w:ascii="宋体" w:hAnsi="宋体"/>
          <w:kern w:val="44"/>
        </w:rPr>
      </w:pPr>
      <w:r>
        <w:rPr>
          <w:rFonts w:hint="eastAsia" w:ascii="宋体" w:hAnsi="宋体"/>
          <w:kern w:val="44"/>
        </w:rPr>
        <w:t>（四）妨碍无障碍设施使用；</w:t>
      </w:r>
    </w:p>
    <w:p w14:paraId="0E2A7698">
      <w:pPr>
        <w:jc w:val="left"/>
        <w:rPr>
          <w:rFonts w:ascii="宋体" w:hAnsi="宋体"/>
          <w:kern w:val="44"/>
        </w:rPr>
      </w:pPr>
      <w:r>
        <w:rPr>
          <w:rFonts w:hint="eastAsia" w:ascii="宋体" w:hAnsi="宋体"/>
          <w:kern w:val="44"/>
        </w:rPr>
        <w:t>（五）法律、法规禁止的其他情形。</w:t>
      </w:r>
    </w:p>
    <w:p w14:paraId="68A52DA2">
      <w:pPr>
        <w:jc w:val="left"/>
        <w:rPr>
          <w:rFonts w:ascii="宋体" w:hAnsi="宋体"/>
          <w:kern w:val="44"/>
        </w:rPr>
      </w:pPr>
      <w:r>
        <w:rPr>
          <w:rFonts w:hint="eastAsia" w:ascii="宋体" w:hAnsi="宋体"/>
          <w:kern w:val="44"/>
        </w:rPr>
        <w:t>在城市道路两侧以及三环路以内的其他地区，设置单柱式和落地式户外广告设施，不得超过规定的限制高度。</w:t>
      </w:r>
    </w:p>
    <w:p w14:paraId="5B10ACFB">
      <w:pPr>
        <w:ind w:firstLine="422"/>
        <w:jc w:val="left"/>
        <w:rPr>
          <w:rFonts w:ascii="宋体" w:hAnsi="宋体"/>
          <w:kern w:val="44"/>
        </w:rPr>
      </w:pPr>
      <w:r>
        <w:rPr>
          <w:rFonts w:hint="eastAsia" w:ascii="宋体" w:hAnsi="宋体"/>
          <w:b/>
          <w:kern w:val="44"/>
        </w:rPr>
        <w:t>第十二条</w:t>
      </w:r>
      <w:r>
        <w:rPr>
          <w:rFonts w:hint="eastAsia" w:ascii="宋体" w:hAnsi="宋体"/>
          <w:kern w:val="44"/>
        </w:rPr>
        <w:t>　在建筑物、构筑物上设置户外广告设施，不得破坏城市风貌、景观和影响市容环境，并不得有下列情形：</w:t>
      </w:r>
    </w:p>
    <w:p w14:paraId="34286CB4">
      <w:pPr>
        <w:jc w:val="left"/>
        <w:rPr>
          <w:rFonts w:ascii="宋体" w:hAnsi="宋体"/>
          <w:kern w:val="44"/>
        </w:rPr>
      </w:pPr>
      <w:r>
        <w:rPr>
          <w:rFonts w:hint="eastAsia" w:ascii="宋体" w:hAnsi="宋体"/>
          <w:kern w:val="44"/>
        </w:rPr>
        <w:t>（一）影响原建筑物、构筑物容貌；</w:t>
      </w:r>
    </w:p>
    <w:p w14:paraId="5303A0FA">
      <w:pPr>
        <w:jc w:val="left"/>
        <w:rPr>
          <w:rFonts w:ascii="宋体" w:hAnsi="宋体"/>
          <w:kern w:val="44"/>
        </w:rPr>
      </w:pPr>
      <w:r>
        <w:rPr>
          <w:rFonts w:hint="eastAsia" w:ascii="宋体" w:hAnsi="宋体"/>
          <w:kern w:val="44"/>
        </w:rPr>
        <w:t>（二）超过城市规划中限定的建筑物、构筑物高度；</w:t>
      </w:r>
    </w:p>
    <w:p w14:paraId="15D79AF9">
      <w:pPr>
        <w:jc w:val="left"/>
        <w:rPr>
          <w:rFonts w:ascii="宋体" w:hAnsi="宋体"/>
          <w:kern w:val="44"/>
        </w:rPr>
      </w:pPr>
      <w:r>
        <w:rPr>
          <w:rFonts w:hint="eastAsia" w:ascii="宋体" w:hAnsi="宋体"/>
          <w:kern w:val="44"/>
        </w:rPr>
        <w:t>（三）超过户外广告设施设置规定的限制高度；</w:t>
      </w:r>
    </w:p>
    <w:p w14:paraId="5566E1B7">
      <w:pPr>
        <w:jc w:val="left"/>
        <w:rPr>
          <w:rFonts w:ascii="宋体" w:hAnsi="宋体"/>
          <w:kern w:val="44"/>
        </w:rPr>
      </w:pPr>
      <w:r>
        <w:rPr>
          <w:rFonts w:hint="eastAsia" w:ascii="宋体" w:hAnsi="宋体"/>
          <w:kern w:val="44"/>
        </w:rPr>
        <w:t>（四）法律、法规禁止的其他情形。</w:t>
      </w:r>
    </w:p>
    <w:p w14:paraId="6AC45B90">
      <w:pPr>
        <w:jc w:val="left"/>
        <w:rPr>
          <w:rFonts w:ascii="宋体" w:hAnsi="宋体"/>
          <w:kern w:val="44"/>
        </w:rPr>
      </w:pPr>
      <w:r>
        <w:rPr>
          <w:rFonts w:hint="eastAsia" w:ascii="宋体" w:hAnsi="宋体"/>
          <w:kern w:val="44"/>
        </w:rPr>
        <w:t>在居住建筑上设置户外广告设施，必须符合户外广告设置规划，并征得该建筑内居民的同意。</w:t>
      </w:r>
    </w:p>
    <w:p w14:paraId="0A4DBC47">
      <w:pPr>
        <w:jc w:val="left"/>
        <w:rPr>
          <w:rFonts w:ascii="宋体" w:hAnsi="宋体"/>
          <w:kern w:val="44"/>
        </w:rPr>
      </w:pPr>
      <w:r>
        <w:rPr>
          <w:rFonts w:hint="eastAsia" w:ascii="宋体" w:hAnsi="宋体"/>
          <w:kern w:val="44"/>
        </w:rPr>
        <w:t>禁止在危险建筑物、构筑物上设置户外广告设施。</w:t>
      </w:r>
    </w:p>
    <w:p w14:paraId="4B963C2D">
      <w:pPr>
        <w:ind w:firstLine="422"/>
        <w:jc w:val="left"/>
        <w:rPr>
          <w:rFonts w:ascii="宋体" w:hAnsi="宋体"/>
          <w:kern w:val="44"/>
        </w:rPr>
      </w:pPr>
      <w:r>
        <w:rPr>
          <w:rFonts w:hint="eastAsia" w:ascii="宋体" w:hAnsi="宋体"/>
          <w:b/>
          <w:kern w:val="44"/>
        </w:rPr>
        <w:t>第十三条</w:t>
      </w:r>
      <w:r>
        <w:rPr>
          <w:rFonts w:hint="eastAsia" w:ascii="宋体" w:hAnsi="宋体"/>
          <w:kern w:val="44"/>
        </w:rPr>
        <w:t>　禁止在城市绿地上设置户外广告设施。禁止在河湖、水库水面上设置户外广告设施。禁止在空中设置悬浮的户外广告设施。禁止在飞行的飞行器上悬挂户外广告。</w:t>
      </w:r>
    </w:p>
    <w:p w14:paraId="61ACC16C">
      <w:pPr>
        <w:ind w:firstLine="422"/>
        <w:jc w:val="left"/>
        <w:rPr>
          <w:rFonts w:ascii="宋体" w:hAnsi="宋体"/>
          <w:kern w:val="44"/>
        </w:rPr>
      </w:pPr>
      <w:r>
        <w:rPr>
          <w:rFonts w:hint="eastAsia" w:ascii="宋体" w:hAnsi="宋体"/>
          <w:b/>
          <w:kern w:val="44"/>
        </w:rPr>
        <w:t>第十四条</w:t>
      </w:r>
      <w:r>
        <w:rPr>
          <w:rFonts w:hint="eastAsia" w:ascii="宋体" w:hAnsi="宋体"/>
          <w:kern w:val="44"/>
        </w:rPr>
        <w:t>　设置户外广告设施应当符合户外广告设施的安全技术标准、管理标准和规范，保证户外广告设施设置的安全和牢固。建设和维护户外广告设施，应当遵守国家和本市有关安全生产的规定。</w:t>
      </w:r>
    </w:p>
    <w:p w14:paraId="16C3A86A">
      <w:pPr>
        <w:jc w:val="left"/>
        <w:rPr>
          <w:rFonts w:ascii="宋体" w:hAnsi="宋体"/>
          <w:kern w:val="44"/>
        </w:rPr>
      </w:pPr>
      <w:r>
        <w:rPr>
          <w:rFonts w:hint="eastAsia" w:ascii="宋体" w:hAnsi="宋体"/>
          <w:kern w:val="44"/>
        </w:rPr>
        <w:t>配置户外广告夜间照明设施的，应当保持照明设施功能完好；设置霓虹灯、电子显示装置、灯箱等设施的，应当保持画面显示完整。出现断亮、残损的，应当及时维护、更换，并在修复前停止使用。</w:t>
      </w:r>
    </w:p>
    <w:p w14:paraId="205BF5C0">
      <w:pPr>
        <w:ind w:firstLine="422"/>
        <w:jc w:val="left"/>
        <w:rPr>
          <w:rFonts w:ascii="宋体" w:hAnsi="宋体"/>
          <w:kern w:val="44"/>
        </w:rPr>
      </w:pPr>
      <w:r>
        <w:rPr>
          <w:rFonts w:hint="eastAsia" w:ascii="宋体" w:hAnsi="宋体"/>
          <w:b/>
          <w:kern w:val="44"/>
        </w:rPr>
        <w:t>第十五条</w:t>
      </w:r>
      <w:r>
        <w:rPr>
          <w:rFonts w:hint="eastAsia" w:ascii="宋体" w:hAnsi="宋体"/>
          <w:kern w:val="44"/>
        </w:rPr>
        <w:t>　户外广告设施的经营者是户外广告设施维护、管理的责任人（以下简称管理责任人），应当定期巡视、维护，保持户外广告设施的安全、整洁、美观。户外广告设施存在安全隐患或者出现破损、污迹和严重褪色的，应当及时维修、更新。户外广告设施的版面不得出现空置。</w:t>
      </w:r>
    </w:p>
    <w:p w14:paraId="5FC418B6">
      <w:pPr>
        <w:jc w:val="left"/>
        <w:rPr>
          <w:rFonts w:ascii="宋体" w:hAnsi="宋体"/>
          <w:kern w:val="44"/>
        </w:rPr>
      </w:pPr>
      <w:r>
        <w:rPr>
          <w:rFonts w:hint="eastAsia" w:ascii="宋体" w:hAnsi="宋体"/>
          <w:kern w:val="44"/>
        </w:rPr>
        <w:t>对户外广告设施存在安全隐患可能危及人身、财产安全的，市政管理行政主管部门应当责令管理责任人立即排除安全隐患，不能立即排除隐患的，应当责令限期排除，并督促、落实安全隐患的排除工作。在限期排除期间，管理责任人应当在安全隐患现场的明显位置设置警示标志，必要时还应当派人值守，防止发生事故。</w:t>
      </w:r>
    </w:p>
    <w:p w14:paraId="1EF12A38">
      <w:pPr>
        <w:ind w:firstLine="422"/>
        <w:jc w:val="left"/>
        <w:rPr>
          <w:rFonts w:ascii="宋体" w:hAnsi="宋体"/>
          <w:kern w:val="44"/>
        </w:rPr>
      </w:pPr>
      <w:r>
        <w:rPr>
          <w:rFonts w:hint="eastAsia" w:ascii="宋体" w:hAnsi="宋体"/>
          <w:b/>
          <w:kern w:val="44"/>
        </w:rPr>
        <w:t>第十六条</w:t>
      </w:r>
      <w:r>
        <w:rPr>
          <w:rFonts w:hint="eastAsia" w:ascii="宋体" w:hAnsi="宋体"/>
          <w:kern w:val="44"/>
        </w:rPr>
        <w:t>　在居住区及其周边设置户外广告设施，应当避免噪声污染、光污染和遮挡日照等对居民生活造成的不利影响。</w:t>
      </w:r>
    </w:p>
    <w:p w14:paraId="07338E08">
      <w:pPr>
        <w:ind w:firstLine="422"/>
        <w:jc w:val="left"/>
        <w:rPr>
          <w:rFonts w:ascii="宋体" w:hAnsi="宋体"/>
          <w:kern w:val="44"/>
        </w:rPr>
      </w:pPr>
      <w:r>
        <w:rPr>
          <w:rFonts w:hint="eastAsia" w:ascii="宋体" w:hAnsi="宋体"/>
          <w:b/>
          <w:kern w:val="44"/>
        </w:rPr>
        <w:t>第十七条</w:t>
      </w:r>
      <w:r>
        <w:rPr>
          <w:rFonts w:hint="eastAsia" w:ascii="宋体" w:hAnsi="宋体"/>
          <w:kern w:val="44"/>
        </w:rPr>
        <w:t>　设置户外广告不得有下列情形：</w:t>
      </w:r>
    </w:p>
    <w:p w14:paraId="1B872363">
      <w:pPr>
        <w:jc w:val="left"/>
        <w:rPr>
          <w:rFonts w:ascii="宋体" w:hAnsi="宋体"/>
          <w:kern w:val="44"/>
        </w:rPr>
      </w:pPr>
      <w:r>
        <w:rPr>
          <w:rFonts w:hint="eastAsia" w:ascii="宋体" w:hAnsi="宋体"/>
          <w:kern w:val="44"/>
        </w:rPr>
        <w:t>（一）利用交通安全设施、交通标志的；</w:t>
      </w:r>
    </w:p>
    <w:p w14:paraId="28CF30BB">
      <w:pPr>
        <w:jc w:val="left"/>
        <w:rPr>
          <w:rFonts w:ascii="宋体" w:hAnsi="宋体"/>
          <w:kern w:val="44"/>
        </w:rPr>
      </w:pPr>
      <w:r>
        <w:rPr>
          <w:rFonts w:hint="eastAsia" w:ascii="宋体" w:hAnsi="宋体"/>
          <w:kern w:val="44"/>
        </w:rPr>
        <w:t>（二）影响市政公共设施、交通安全设施、交通标志使用的；</w:t>
      </w:r>
    </w:p>
    <w:p w14:paraId="7BB7387E">
      <w:pPr>
        <w:jc w:val="left"/>
        <w:rPr>
          <w:rFonts w:ascii="宋体" w:hAnsi="宋体"/>
          <w:kern w:val="44"/>
        </w:rPr>
      </w:pPr>
      <w:r>
        <w:rPr>
          <w:rFonts w:hint="eastAsia" w:ascii="宋体" w:hAnsi="宋体"/>
          <w:kern w:val="44"/>
        </w:rPr>
        <w:t>（三）利用道路照明、电力、通信、邮政等设施的；</w:t>
      </w:r>
    </w:p>
    <w:p w14:paraId="7F778EF9">
      <w:pPr>
        <w:jc w:val="left"/>
        <w:rPr>
          <w:rFonts w:ascii="宋体" w:hAnsi="宋体"/>
          <w:kern w:val="44"/>
        </w:rPr>
      </w:pPr>
      <w:r>
        <w:rPr>
          <w:rFonts w:hint="eastAsia" w:ascii="宋体" w:hAnsi="宋体"/>
          <w:kern w:val="44"/>
        </w:rPr>
        <w:t>（四）其他损害城市容貌和环境的。</w:t>
      </w:r>
    </w:p>
    <w:p w14:paraId="61A2CFF2">
      <w:pPr>
        <w:jc w:val="left"/>
        <w:rPr>
          <w:rFonts w:ascii="宋体" w:hAnsi="宋体"/>
          <w:kern w:val="44"/>
        </w:rPr>
      </w:pPr>
      <w:r>
        <w:rPr>
          <w:rFonts w:hint="eastAsia" w:ascii="宋体" w:hAnsi="宋体"/>
          <w:kern w:val="44"/>
        </w:rPr>
        <w:t>利用公共交通的候车亭、停靠站牌、车站出入站口等公共交通设施设置广告的，应当符合户外广告设置规划要求，并不得影响识别和妨碍通行。</w:t>
      </w:r>
    </w:p>
    <w:p w14:paraId="1B94A280">
      <w:pPr>
        <w:ind w:firstLine="422"/>
        <w:jc w:val="left"/>
        <w:rPr>
          <w:rFonts w:ascii="宋体" w:hAnsi="宋体"/>
          <w:kern w:val="44"/>
        </w:rPr>
      </w:pPr>
      <w:r>
        <w:rPr>
          <w:rFonts w:hint="eastAsia" w:ascii="宋体" w:hAnsi="宋体"/>
          <w:b/>
          <w:kern w:val="44"/>
        </w:rPr>
        <w:t>第十八条</w:t>
      </w:r>
      <w:r>
        <w:rPr>
          <w:rFonts w:hint="eastAsia" w:ascii="宋体" w:hAnsi="宋体"/>
          <w:kern w:val="44"/>
        </w:rPr>
        <w:t>　在公共交通固定运营线路上设置的公共电、汽车车身广告，不得在车辆正面、前后风挡玻璃及两侧车窗上设置。设置车身广告不得对原车身颜色全部遮盖。设置的车身广告不得影响识别和乘坐。</w:t>
      </w:r>
    </w:p>
    <w:p w14:paraId="5210F41B">
      <w:pPr>
        <w:jc w:val="left"/>
        <w:rPr>
          <w:rFonts w:ascii="宋体" w:hAnsi="宋体"/>
          <w:kern w:val="44"/>
        </w:rPr>
      </w:pPr>
      <w:r>
        <w:rPr>
          <w:rFonts w:hint="eastAsia" w:ascii="宋体" w:hAnsi="宋体"/>
          <w:kern w:val="44"/>
        </w:rPr>
        <w:t>其他车辆（包括小公共汽车）禁止在车身设置广告。</w:t>
      </w:r>
    </w:p>
    <w:p w14:paraId="5468023D">
      <w:pPr>
        <w:jc w:val="left"/>
        <w:rPr>
          <w:rFonts w:ascii="宋体" w:hAnsi="宋体"/>
          <w:kern w:val="44"/>
        </w:rPr>
      </w:pPr>
      <w:r>
        <w:rPr>
          <w:rFonts w:hint="eastAsia" w:ascii="宋体" w:hAnsi="宋体"/>
          <w:kern w:val="44"/>
        </w:rPr>
        <w:t>市市政管理行政主管部门应当会同市有关行政主管部门制定公共电、汽车车身广告的设置标准和规范。允许设置车身广告的公共电、汽车运营线路和车辆，由市市政管理行政主管部门按照户外广告设置规划公布。</w:t>
      </w:r>
    </w:p>
    <w:p w14:paraId="70602693">
      <w:pPr>
        <w:ind w:firstLine="422"/>
        <w:jc w:val="left"/>
        <w:rPr>
          <w:rFonts w:ascii="宋体" w:hAnsi="宋体"/>
          <w:kern w:val="44"/>
        </w:rPr>
      </w:pPr>
      <w:r>
        <w:rPr>
          <w:rFonts w:hint="eastAsia" w:ascii="宋体" w:hAnsi="宋体"/>
          <w:b/>
          <w:kern w:val="44"/>
        </w:rPr>
        <w:t>第十九条</w:t>
      </w:r>
      <w:r>
        <w:rPr>
          <w:rFonts w:hint="eastAsia" w:ascii="宋体" w:hAnsi="宋体"/>
          <w:kern w:val="44"/>
        </w:rPr>
        <w:t>　本市鼓励建设单位或者施工单位粉饰建设施工工地围挡，美化市容环境，但是禁止利用施工工地围挡设置户外广告。</w:t>
      </w:r>
    </w:p>
    <w:p w14:paraId="4135078F">
      <w:pPr>
        <w:jc w:val="left"/>
        <w:rPr>
          <w:rFonts w:ascii="宋体" w:hAnsi="宋体"/>
          <w:kern w:val="44"/>
        </w:rPr>
      </w:pPr>
      <w:r>
        <w:rPr>
          <w:rFonts w:hint="eastAsia" w:ascii="宋体" w:hAnsi="宋体"/>
          <w:kern w:val="44"/>
        </w:rPr>
        <w:t>在本市举办大型商业性活动，不得在举办活动地的场所外或者举办活动的区域范围外设置户外广告设施。</w:t>
      </w:r>
    </w:p>
    <w:p w14:paraId="619A6ECA">
      <w:pPr>
        <w:ind w:firstLine="422"/>
        <w:jc w:val="left"/>
        <w:rPr>
          <w:rFonts w:ascii="宋体" w:hAnsi="宋体"/>
          <w:kern w:val="44"/>
        </w:rPr>
      </w:pPr>
      <w:r>
        <w:rPr>
          <w:rFonts w:hint="eastAsia" w:ascii="宋体" w:hAnsi="宋体"/>
          <w:b/>
          <w:kern w:val="44"/>
        </w:rPr>
        <w:t>第二十条</w:t>
      </w:r>
      <w:r>
        <w:rPr>
          <w:rFonts w:hint="eastAsia" w:ascii="宋体" w:hAnsi="宋体"/>
          <w:kern w:val="44"/>
        </w:rPr>
        <w:t>　按照户外广告设施设置规划，可以在建筑物、构筑物及其使用范围内的土地上设置户外广告设施的，设置人应当与该建筑物、构筑物的所有权人签订协议，并在签订协议前到市政管理行政主管部门查阅在该建筑物、构筑物及其使用范围内的土地上设置户外广告的规划条件和设计要求。设置人设置的户外广告设施，必须符合规划条件和设计要求，并依法接受市政管理行政主管部门的监督检查。</w:t>
      </w:r>
    </w:p>
    <w:p w14:paraId="1DC1799F">
      <w:pPr>
        <w:ind w:firstLine="422"/>
        <w:jc w:val="left"/>
        <w:rPr>
          <w:rFonts w:ascii="宋体" w:hAnsi="宋体"/>
          <w:kern w:val="44"/>
        </w:rPr>
      </w:pPr>
      <w:r>
        <w:rPr>
          <w:rFonts w:hint="eastAsia" w:ascii="宋体" w:hAnsi="宋体"/>
          <w:b/>
          <w:kern w:val="44"/>
        </w:rPr>
        <w:t>第二十一条</w:t>
      </w:r>
      <w:r>
        <w:rPr>
          <w:rFonts w:hint="eastAsia" w:ascii="宋体" w:hAnsi="宋体"/>
          <w:kern w:val="44"/>
        </w:rPr>
        <w:t>　本市对设置在城市道路两侧、公路两侧、广场等公共场所（以下简称公共场所）户外广告设施的使用权出让，实行特许经营制度。选择和确定户外广告设施特许经营者，可以依照本市有关特许经营的规定采取招标方式，也可以采取拍卖方式。</w:t>
      </w:r>
    </w:p>
    <w:p w14:paraId="45007166">
      <w:pPr>
        <w:jc w:val="left"/>
        <w:rPr>
          <w:rFonts w:ascii="宋体" w:hAnsi="宋体"/>
          <w:kern w:val="44"/>
        </w:rPr>
      </w:pPr>
      <w:r>
        <w:rPr>
          <w:rFonts w:hint="eastAsia" w:ascii="宋体" w:hAnsi="宋体"/>
          <w:kern w:val="44"/>
        </w:rPr>
        <w:t>对公共场所户外广告设施的使用权采取招标方式出让的，应当按照《中华人民共和国招标投标法》的有关规定执行；采取拍卖方式出让的，应当按照《中华人民共和国拍卖法》的有关规定执行。</w:t>
      </w:r>
    </w:p>
    <w:p w14:paraId="724E4D18">
      <w:pPr>
        <w:jc w:val="left"/>
        <w:rPr>
          <w:rFonts w:ascii="宋体" w:hAnsi="宋体"/>
          <w:kern w:val="44"/>
        </w:rPr>
      </w:pPr>
      <w:r>
        <w:rPr>
          <w:rFonts w:hint="eastAsia" w:ascii="宋体" w:hAnsi="宋体"/>
          <w:kern w:val="44"/>
        </w:rPr>
        <w:t>对高（快）速公路、长安街延长线（东起复兴门西至首钢总公司东门路段，西起建国门东至通州镇东关大桥路段）、二环路、三环路、四环路、五环路、六环路两侧和首都机场、市区内火车站周边地区、经济技术开发区的公共场所户外广告设施特许经营招标、拍卖工作，由市市政管理行政主管部门负责组织实施；其他公共场所的户外广告设施特许经营的招标、拍卖工作由其所在地区、县市政管理行政主管部门负责组织实施。</w:t>
      </w:r>
    </w:p>
    <w:p w14:paraId="3D1CF959">
      <w:pPr>
        <w:ind w:firstLine="422"/>
        <w:jc w:val="left"/>
        <w:rPr>
          <w:rFonts w:ascii="宋体" w:hAnsi="宋体"/>
          <w:kern w:val="44"/>
        </w:rPr>
      </w:pPr>
      <w:r>
        <w:rPr>
          <w:rFonts w:hint="eastAsia" w:ascii="宋体" w:hAnsi="宋体"/>
          <w:b/>
          <w:kern w:val="44"/>
        </w:rPr>
        <w:t>第二十二条</w:t>
      </w:r>
      <w:r>
        <w:rPr>
          <w:rFonts w:hint="eastAsia" w:ascii="宋体" w:hAnsi="宋体"/>
          <w:kern w:val="44"/>
        </w:rPr>
        <w:t>　户外广告设施使用权出让期限一般不超过2年；新建电子显示装置等户外广告设施造价较高的，可以适当延长，但是最长不超过4年。</w:t>
      </w:r>
    </w:p>
    <w:p w14:paraId="65F12012">
      <w:pPr>
        <w:ind w:firstLine="422"/>
        <w:jc w:val="left"/>
        <w:rPr>
          <w:rFonts w:ascii="宋体" w:hAnsi="宋体"/>
          <w:kern w:val="44"/>
        </w:rPr>
      </w:pPr>
      <w:r>
        <w:rPr>
          <w:rFonts w:hint="eastAsia" w:ascii="宋体" w:hAnsi="宋体"/>
          <w:b/>
          <w:kern w:val="44"/>
        </w:rPr>
        <w:t>第二十三条</w:t>
      </w:r>
      <w:r>
        <w:rPr>
          <w:rFonts w:hint="eastAsia" w:ascii="宋体" w:hAnsi="宋体"/>
          <w:kern w:val="44"/>
        </w:rPr>
        <w:t>　公共场所户外广告设施使用权采取招标方式出让的，确定的中标人为特许经营者。特许经营者在规定的时间内签订特许协议、交纳特许权使用费用的，即获得户外广告设施经营的特许权。</w:t>
      </w:r>
    </w:p>
    <w:p w14:paraId="76FC0239">
      <w:pPr>
        <w:jc w:val="left"/>
        <w:rPr>
          <w:rFonts w:ascii="宋体" w:hAnsi="宋体"/>
          <w:kern w:val="44"/>
        </w:rPr>
      </w:pPr>
      <w:r>
        <w:rPr>
          <w:rFonts w:hint="eastAsia" w:ascii="宋体" w:hAnsi="宋体"/>
          <w:kern w:val="44"/>
        </w:rPr>
        <w:t>公共场所户外广告设施使用权采取拍卖方式出让的，通过拍卖确定的买受人为特许经营者，在规定的时间内签订特许协议，即获得户外广告设施经营的特许权。</w:t>
      </w:r>
    </w:p>
    <w:p w14:paraId="5C6404CD">
      <w:pPr>
        <w:jc w:val="left"/>
        <w:rPr>
          <w:rFonts w:ascii="宋体" w:hAnsi="宋体"/>
          <w:kern w:val="44"/>
        </w:rPr>
      </w:pPr>
      <w:r>
        <w:rPr>
          <w:rFonts w:hint="eastAsia" w:ascii="宋体" w:hAnsi="宋体"/>
          <w:kern w:val="44"/>
        </w:rPr>
        <w:t>公共场所户外广告设施的特许权使用费纳入财政预算，专项用于城市管理工作。</w:t>
      </w:r>
    </w:p>
    <w:p w14:paraId="06398D54">
      <w:pPr>
        <w:ind w:firstLine="422"/>
        <w:jc w:val="left"/>
        <w:rPr>
          <w:rFonts w:ascii="宋体" w:hAnsi="宋体"/>
          <w:kern w:val="44"/>
        </w:rPr>
      </w:pPr>
      <w:r>
        <w:rPr>
          <w:rFonts w:hint="eastAsia" w:ascii="宋体" w:hAnsi="宋体"/>
          <w:b/>
          <w:kern w:val="44"/>
        </w:rPr>
        <w:t>第二十四条</w:t>
      </w:r>
      <w:r>
        <w:rPr>
          <w:rFonts w:hint="eastAsia" w:ascii="宋体" w:hAnsi="宋体"/>
          <w:kern w:val="44"/>
        </w:rPr>
        <w:t>　获得公共场所户外广告设施使用权的特许经营者不得转让特许经营权。</w:t>
      </w:r>
    </w:p>
    <w:p w14:paraId="550F2176">
      <w:pPr>
        <w:jc w:val="left"/>
        <w:rPr>
          <w:rFonts w:ascii="宋体" w:hAnsi="宋体"/>
          <w:kern w:val="44"/>
        </w:rPr>
      </w:pPr>
      <w:r>
        <w:rPr>
          <w:rFonts w:hint="eastAsia" w:ascii="宋体" w:hAnsi="宋体"/>
          <w:kern w:val="44"/>
        </w:rPr>
        <w:t>因企业合并、分立，与他人合资、合作经营，或者因企业资产出售以及有其他变更企业资产产权的情形而需要变更特许经营主体的，经原授予特许经营权的市政管理行政主管部门批准，特许权可以转让。</w:t>
      </w:r>
    </w:p>
    <w:p w14:paraId="4356B981">
      <w:pPr>
        <w:ind w:firstLine="422"/>
        <w:jc w:val="left"/>
        <w:rPr>
          <w:rFonts w:ascii="宋体" w:hAnsi="宋体"/>
          <w:kern w:val="44"/>
        </w:rPr>
      </w:pPr>
      <w:r>
        <w:rPr>
          <w:rFonts w:hint="eastAsia" w:ascii="宋体" w:hAnsi="宋体"/>
          <w:b/>
          <w:kern w:val="44"/>
        </w:rPr>
        <w:t>第二十五条</w:t>
      </w:r>
      <w:r>
        <w:rPr>
          <w:rFonts w:hint="eastAsia" w:ascii="宋体" w:hAnsi="宋体"/>
          <w:kern w:val="44"/>
        </w:rPr>
        <w:t>　户外广告设施特许经营期限届满，需要再次招标、拍卖的，原特许经营者在履行该户外广告设施特许协议期间，没有发现违法、违约行为的，在同等竞标条件下可以享有优先获得权。</w:t>
      </w:r>
    </w:p>
    <w:p w14:paraId="77247A03">
      <w:pPr>
        <w:ind w:firstLine="422"/>
        <w:jc w:val="left"/>
        <w:rPr>
          <w:rFonts w:ascii="宋体" w:hAnsi="宋体"/>
          <w:kern w:val="44"/>
        </w:rPr>
      </w:pPr>
      <w:r>
        <w:rPr>
          <w:rFonts w:hint="eastAsia" w:ascii="宋体" w:hAnsi="宋体"/>
          <w:b/>
          <w:kern w:val="44"/>
        </w:rPr>
        <w:t>第二十六条</w:t>
      </w:r>
      <w:r>
        <w:rPr>
          <w:rFonts w:hint="eastAsia" w:ascii="宋体" w:hAnsi="宋体"/>
          <w:kern w:val="44"/>
        </w:rPr>
        <w:t>　违反本办法，属于市人民政府已经授权城市管理综合执法部门实施行政处罚的，城市管理综合执法部门应当依法实施行政处罚。</w:t>
      </w:r>
    </w:p>
    <w:p w14:paraId="5769B38A">
      <w:pPr>
        <w:jc w:val="left"/>
        <w:rPr>
          <w:rFonts w:ascii="宋体" w:hAnsi="宋体"/>
          <w:kern w:val="44"/>
        </w:rPr>
      </w:pPr>
      <w:r>
        <w:rPr>
          <w:rFonts w:hint="eastAsia" w:ascii="宋体" w:hAnsi="宋体"/>
          <w:kern w:val="44"/>
        </w:rPr>
        <w:t>违反本办法，属于违反规划、交通、园林、公安交通、建设、环保、质量技术监督、工商行政管理、安全生产等法律、法规规定的，由规划、交通、园林、公安交通、建设、环保、质量技术监督、工商行政管理、安全生产等有关行政主管部门依法处罚。</w:t>
      </w:r>
    </w:p>
    <w:p w14:paraId="7028C6D9">
      <w:pPr>
        <w:ind w:firstLine="422"/>
        <w:jc w:val="left"/>
        <w:rPr>
          <w:rFonts w:ascii="宋体" w:hAnsi="宋体"/>
          <w:kern w:val="44"/>
        </w:rPr>
      </w:pPr>
      <w:r>
        <w:rPr>
          <w:rFonts w:hint="eastAsia" w:ascii="宋体" w:hAnsi="宋体"/>
          <w:b/>
          <w:kern w:val="44"/>
        </w:rPr>
        <w:t>第二十七条</w:t>
      </w:r>
      <w:r>
        <w:rPr>
          <w:rFonts w:hint="eastAsia" w:ascii="宋体" w:hAnsi="宋体"/>
          <w:kern w:val="44"/>
        </w:rPr>
        <w:t>　违反本办法擅自设置户外广告设施，或者设置户外广告设施违反规划的，由城市管理综合执法部门责令限期拆除；逾期未拆除的，强制拆除，并可以处1万元以上10万元以下罚款。</w:t>
      </w:r>
    </w:p>
    <w:p w14:paraId="200C8653">
      <w:pPr>
        <w:jc w:val="left"/>
        <w:rPr>
          <w:rFonts w:ascii="宋体" w:hAnsi="宋体"/>
          <w:kern w:val="44"/>
        </w:rPr>
      </w:pPr>
      <w:r>
        <w:rPr>
          <w:rFonts w:hint="eastAsia" w:ascii="宋体" w:hAnsi="宋体"/>
          <w:kern w:val="44"/>
        </w:rPr>
        <w:t>无法确定其所有人和管理人的，城市管理综合执法部门应当在公共媒体以及户外广告的所在地发布公告，督促所有权人或者管理人改正违法行为。公告期间不得少于15日。公告期间届满，未改正违法行为的，由城市管理综合执法部门予以强制拆除。</w:t>
      </w:r>
    </w:p>
    <w:p w14:paraId="58C7B99D">
      <w:pPr>
        <w:jc w:val="left"/>
        <w:rPr>
          <w:rFonts w:ascii="宋体" w:hAnsi="宋体"/>
          <w:kern w:val="44"/>
        </w:rPr>
      </w:pPr>
      <w:r>
        <w:rPr>
          <w:rFonts w:hint="eastAsia" w:ascii="宋体" w:hAnsi="宋体"/>
          <w:kern w:val="44"/>
        </w:rPr>
        <w:t>对依法应当拆除的户外广告设施，责任人应当在城市管理综合执法部门规定的期限内自行拆除；逾期不拆除的，城市管理综合执法部门可以依法申请人民法院执行，或者依法委托专业企业代为拆除，拆除费用由责任人承担。</w:t>
      </w:r>
    </w:p>
    <w:p w14:paraId="0752AA20">
      <w:pPr>
        <w:ind w:firstLine="422"/>
        <w:jc w:val="left"/>
        <w:rPr>
          <w:rFonts w:ascii="宋体" w:hAnsi="宋体"/>
          <w:kern w:val="44"/>
        </w:rPr>
      </w:pPr>
      <w:r>
        <w:rPr>
          <w:rFonts w:hint="eastAsia" w:ascii="宋体" w:hAnsi="宋体"/>
          <w:b/>
          <w:kern w:val="44"/>
        </w:rPr>
        <w:t>第二十八条</w:t>
      </w:r>
      <w:r>
        <w:rPr>
          <w:rFonts w:hint="eastAsia" w:ascii="宋体" w:hAnsi="宋体"/>
          <w:kern w:val="44"/>
        </w:rPr>
        <w:t>　设置户外广告影响交通安全设施和交通标志使用以及妨碍安全视距、影响通行的，由公安交通行政主管部门依照《中华人民共和国道路交通安全法》的规定予以处罚。</w:t>
      </w:r>
    </w:p>
    <w:p w14:paraId="05C87C4C">
      <w:pPr>
        <w:jc w:val="left"/>
        <w:rPr>
          <w:rFonts w:ascii="宋体" w:hAnsi="宋体"/>
          <w:kern w:val="44"/>
        </w:rPr>
      </w:pPr>
      <w:r>
        <w:rPr>
          <w:rFonts w:hint="eastAsia" w:ascii="宋体" w:hAnsi="宋体"/>
          <w:kern w:val="44"/>
        </w:rPr>
        <w:t>设置户外广告不符合国家和本市安全技术标准的，出现空置、破损、污迹和严重褪色的，霓虹灯、电子显示装置、灯箱等出现断亮、残损的，由城市管理综合执法部门责令限期改正，并可处500元以上5000元以下罚款；霓虹灯、电子显示装置、灯箱等出现断亮、残损的，责令在修复前停止使用。</w:t>
      </w:r>
    </w:p>
    <w:p w14:paraId="26370252">
      <w:pPr>
        <w:ind w:firstLine="422"/>
        <w:jc w:val="left"/>
        <w:rPr>
          <w:rFonts w:ascii="宋体" w:hAnsi="宋体"/>
          <w:kern w:val="44"/>
        </w:rPr>
      </w:pPr>
      <w:r>
        <w:rPr>
          <w:rFonts w:hint="eastAsia" w:ascii="宋体" w:hAnsi="宋体"/>
          <w:b/>
          <w:kern w:val="44"/>
        </w:rPr>
        <w:t>第二十九条</w:t>
      </w:r>
      <w:r>
        <w:rPr>
          <w:rFonts w:hint="eastAsia" w:ascii="宋体" w:hAnsi="宋体"/>
          <w:kern w:val="44"/>
        </w:rPr>
        <w:t>　本办法施行前，已建成的户外广告设施不符合规划设置要求的，应当在批准的设置期限届满拆除。</w:t>
      </w:r>
    </w:p>
    <w:p w14:paraId="4E42DFD3">
      <w:pPr>
        <w:ind w:firstLine="422"/>
        <w:jc w:val="left"/>
        <w:rPr>
          <w:rFonts w:ascii="宋体" w:hAnsi="宋体"/>
          <w:kern w:val="44"/>
        </w:rPr>
      </w:pPr>
      <w:r>
        <w:rPr>
          <w:rFonts w:hint="eastAsia" w:ascii="宋体" w:hAnsi="宋体"/>
          <w:b/>
          <w:kern w:val="44"/>
        </w:rPr>
        <w:t>第三十条</w:t>
      </w:r>
      <w:r>
        <w:rPr>
          <w:rFonts w:hint="eastAsia" w:ascii="宋体" w:hAnsi="宋体"/>
          <w:kern w:val="44"/>
        </w:rPr>
        <w:t>　户外广告设施的经营者违反本办法规定，未履行维护管理责任，造成安全责任事故的，应当依法承担法律责任。</w:t>
      </w:r>
    </w:p>
    <w:p w14:paraId="6A6FE4AE">
      <w:pPr>
        <w:ind w:firstLine="422"/>
        <w:jc w:val="left"/>
        <w:rPr>
          <w:rFonts w:ascii="宋体" w:hAnsi="宋体"/>
          <w:kern w:val="44"/>
        </w:rPr>
      </w:pPr>
      <w:r>
        <w:rPr>
          <w:rFonts w:hint="eastAsia" w:ascii="宋体" w:hAnsi="宋体"/>
          <w:b/>
          <w:kern w:val="44"/>
        </w:rPr>
        <w:t>第三十一条</w:t>
      </w:r>
      <w:r>
        <w:rPr>
          <w:rFonts w:hint="eastAsia" w:ascii="宋体" w:hAnsi="宋体"/>
          <w:kern w:val="44"/>
        </w:rPr>
        <w:t>　设置户外广告设施违反本办法规定，由市市政管理行政主管部门予以纠正或者撤销，使户外广告设施经营者受到损失，且损失是由有关行政机关过错造成的，该行政机关应当承担赔偿责任。</w:t>
      </w:r>
    </w:p>
    <w:p w14:paraId="1DCE8472">
      <w:pPr>
        <w:ind w:firstLine="422"/>
        <w:jc w:val="left"/>
        <w:rPr>
          <w:rFonts w:ascii="宋体" w:hAnsi="宋体"/>
          <w:kern w:val="44"/>
        </w:rPr>
      </w:pPr>
      <w:r>
        <w:rPr>
          <w:rFonts w:hint="eastAsia" w:ascii="宋体" w:hAnsi="宋体"/>
          <w:b/>
          <w:kern w:val="44"/>
        </w:rPr>
        <w:t>第三十二条</w:t>
      </w:r>
      <w:r>
        <w:rPr>
          <w:rFonts w:hint="eastAsia" w:ascii="宋体" w:hAnsi="宋体"/>
          <w:kern w:val="44"/>
        </w:rPr>
        <w:t>　本市行政机关及其工作人员违反本办法规定，不履行法定职责或者玩忽职守、滥用职权、徇私舞弊的，由上级行政机关或者有关部门责令改正，对直接负责的主管人员和其他责任人员依法予以行政处分。</w:t>
      </w:r>
    </w:p>
    <w:p w14:paraId="106EE089">
      <w:pPr>
        <w:ind w:firstLine="422"/>
        <w:jc w:val="left"/>
        <w:rPr>
          <w:rFonts w:ascii="宋体" w:hAnsi="宋体"/>
          <w:kern w:val="44"/>
        </w:rPr>
      </w:pPr>
      <w:r>
        <w:rPr>
          <w:rFonts w:hint="eastAsia" w:ascii="宋体" w:hAnsi="宋体"/>
          <w:b/>
          <w:kern w:val="44"/>
        </w:rPr>
        <w:t>第三十三条</w:t>
      </w:r>
      <w:r>
        <w:rPr>
          <w:rFonts w:hint="eastAsia" w:ascii="宋体" w:hAnsi="宋体"/>
          <w:kern w:val="44"/>
        </w:rPr>
        <w:t>　本办法自2004年10月1日起施行。1998年11月15日市人民政府发布的《北京市户外广告管理规定》同时废止。</w:t>
      </w:r>
    </w:p>
    <w:p w14:paraId="2375321E">
      <w:pPr>
        <w:pStyle w:val="4"/>
        <w:pageBreakBefore/>
        <w:rPr>
          <w:kern w:val="44"/>
        </w:rPr>
      </w:pPr>
      <w:bookmarkStart w:id="1343" w:name="_Toc422471351"/>
      <w:bookmarkStart w:id="1344" w:name="_Toc428780188"/>
      <w:bookmarkStart w:id="1345" w:name="_Toc427651964"/>
      <w:bookmarkStart w:id="1346" w:name="_Toc427651622"/>
      <w:bookmarkStart w:id="1347" w:name="_Toc428781670"/>
      <w:r>
        <w:rPr>
          <w:rFonts w:hint="eastAsia"/>
          <w:kern w:val="44"/>
        </w:rPr>
        <w:t>中关村国家自主创新</w:t>
      </w:r>
      <w:bookmarkEnd w:id="1343"/>
      <w:bookmarkStart w:id="1348" w:name="_Toc422471352"/>
      <w:r>
        <w:rPr>
          <w:rFonts w:hint="eastAsia"/>
          <w:kern w:val="44"/>
        </w:rPr>
        <w:t>示范区企业登记办法</w:t>
      </w:r>
      <w:bookmarkEnd w:id="1344"/>
      <w:bookmarkEnd w:id="1345"/>
      <w:bookmarkEnd w:id="1346"/>
      <w:bookmarkEnd w:id="1347"/>
      <w:bookmarkEnd w:id="1348"/>
    </w:p>
    <w:p w14:paraId="5E76D03E">
      <w:pPr>
        <w:ind w:left="630" w:leftChars="300" w:right="630" w:rightChars="300"/>
        <w:jc w:val="left"/>
        <w:rPr>
          <w:rFonts w:ascii="楷体" w:hAnsi="楷体" w:eastAsia="楷体"/>
          <w:kern w:val="44"/>
        </w:rPr>
      </w:pPr>
      <w:r>
        <w:rPr>
          <w:rFonts w:hint="eastAsia" w:ascii="楷体" w:hAnsi="楷体" w:eastAsia="楷体"/>
          <w:kern w:val="44"/>
        </w:rPr>
        <w:t>（2011年6月21日北京市人民政府第95次常务会议审议通过  2011年6月24日北京市人民政府第234号令公布）</w:t>
      </w:r>
    </w:p>
    <w:p w14:paraId="04B92F21">
      <w:pPr>
        <w:jc w:val="left"/>
        <w:rPr>
          <w:rFonts w:ascii="宋体" w:hAnsi="宋体"/>
          <w:kern w:val="44"/>
        </w:rPr>
      </w:pPr>
    </w:p>
    <w:p w14:paraId="5BC1CC46">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中关村国家自主创新示范区内的企业登记行为，根据《国务院关于同意支持中关村科技园区建设国家自主创新示范区的批复》和《中关村国家自主创新示范区条例》（以下简称《条例》）和国家有关企业登记的规定，制定本办法。</w:t>
      </w:r>
    </w:p>
    <w:p w14:paraId="6303CE93">
      <w:pPr>
        <w:ind w:firstLine="422"/>
        <w:jc w:val="left"/>
        <w:rPr>
          <w:rFonts w:ascii="宋体" w:hAnsi="宋体"/>
          <w:kern w:val="44"/>
        </w:rPr>
      </w:pPr>
      <w:r>
        <w:rPr>
          <w:rFonts w:hint="eastAsia" w:ascii="宋体" w:hAnsi="宋体"/>
          <w:b/>
          <w:kern w:val="44"/>
        </w:rPr>
        <w:t>第二条</w:t>
      </w:r>
      <w:r>
        <w:rPr>
          <w:rFonts w:hint="eastAsia" w:ascii="宋体" w:hAnsi="宋体"/>
          <w:kern w:val="44"/>
        </w:rPr>
        <w:t>　中关村国家自主创新示范区（以下简称示范区）内的企业登记适用《条例》和本办法；《条例》和本办法没有规定的，适用国家有关法律、法规、规章的规定。</w:t>
      </w:r>
    </w:p>
    <w:p w14:paraId="73A2FA21">
      <w:pPr>
        <w:ind w:firstLine="422"/>
        <w:jc w:val="left"/>
        <w:rPr>
          <w:rFonts w:ascii="宋体" w:hAnsi="宋体"/>
          <w:kern w:val="44"/>
        </w:rPr>
      </w:pPr>
      <w:r>
        <w:rPr>
          <w:rFonts w:hint="eastAsia" w:ascii="宋体" w:hAnsi="宋体"/>
          <w:b/>
          <w:kern w:val="44"/>
        </w:rPr>
        <w:t>第三条</w:t>
      </w:r>
      <w:r>
        <w:rPr>
          <w:rFonts w:hint="eastAsia" w:ascii="宋体" w:hAnsi="宋体"/>
          <w:kern w:val="44"/>
        </w:rPr>
        <w:t>　在示范区内设立企业，应当符合《条例》和示范区发展规划确定的产业发展方向。</w:t>
      </w:r>
    </w:p>
    <w:p w14:paraId="7DC628FE">
      <w:pPr>
        <w:ind w:firstLine="422"/>
        <w:jc w:val="left"/>
        <w:rPr>
          <w:rFonts w:ascii="宋体" w:hAnsi="宋体"/>
          <w:kern w:val="44"/>
        </w:rPr>
      </w:pPr>
      <w:r>
        <w:rPr>
          <w:rFonts w:hint="eastAsia" w:ascii="宋体" w:hAnsi="宋体"/>
          <w:b/>
          <w:kern w:val="44"/>
        </w:rPr>
        <w:t>第四条</w:t>
      </w:r>
      <w:r>
        <w:rPr>
          <w:rFonts w:hint="eastAsia" w:ascii="宋体" w:hAnsi="宋体"/>
          <w:kern w:val="44"/>
        </w:rPr>
        <w:t>　市工商行政管理局设立的示范区工商分局（以下简称登记机关），负责示范区内企业登记工作。登记机关根据需要，可以委托示范区各园区所在地的区县工商分局具体办理各园区内的企业登记。</w:t>
      </w:r>
    </w:p>
    <w:p w14:paraId="5128E18B">
      <w:pPr>
        <w:ind w:firstLine="422"/>
        <w:jc w:val="left"/>
        <w:rPr>
          <w:rFonts w:ascii="宋体" w:hAnsi="宋体"/>
          <w:kern w:val="44"/>
        </w:rPr>
      </w:pPr>
      <w:r>
        <w:rPr>
          <w:rFonts w:hint="eastAsia" w:ascii="宋体" w:hAnsi="宋体"/>
          <w:b/>
          <w:kern w:val="44"/>
        </w:rPr>
        <w:t>第五条</w:t>
      </w:r>
      <w:r>
        <w:rPr>
          <w:rFonts w:hint="eastAsia" w:ascii="宋体" w:hAnsi="宋体"/>
          <w:kern w:val="44"/>
        </w:rPr>
        <w:t>　示范区内企业获得国家驰名商标或者本市著名商标的，可以向登记机关申请在企业名称中予以保护；经登记机关批准获得保护的，未经商标所有人同意，其他企业在名称中不得使用该商标。</w:t>
      </w:r>
    </w:p>
    <w:p w14:paraId="44DF8866">
      <w:pPr>
        <w:ind w:firstLine="422"/>
        <w:jc w:val="left"/>
        <w:rPr>
          <w:rFonts w:ascii="宋体" w:hAnsi="宋体"/>
          <w:kern w:val="44"/>
        </w:rPr>
      </w:pPr>
      <w:r>
        <w:rPr>
          <w:rFonts w:hint="eastAsia" w:ascii="宋体" w:hAnsi="宋体"/>
          <w:b/>
          <w:kern w:val="44"/>
        </w:rPr>
        <w:t>第六条</w:t>
      </w:r>
      <w:r>
        <w:rPr>
          <w:rFonts w:hint="eastAsia" w:ascii="宋体" w:hAnsi="宋体"/>
          <w:kern w:val="44"/>
        </w:rPr>
        <w:t>　政府投资或者政府批准在示范区内设立的直接服务于示范区建设和发展的企业，可以在名称中使用“中关村”字样。</w:t>
      </w:r>
    </w:p>
    <w:p w14:paraId="559B30DE">
      <w:pPr>
        <w:ind w:firstLine="422"/>
        <w:jc w:val="left"/>
        <w:rPr>
          <w:rFonts w:ascii="宋体" w:hAnsi="宋体"/>
          <w:kern w:val="44"/>
        </w:rPr>
      </w:pPr>
      <w:r>
        <w:rPr>
          <w:rFonts w:hint="eastAsia" w:ascii="宋体" w:hAnsi="宋体"/>
          <w:b/>
          <w:kern w:val="44"/>
        </w:rPr>
        <w:t>第七条</w:t>
      </w:r>
      <w:r>
        <w:rPr>
          <w:rFonts w:hint="eastAsia" w:ascii="宋体" w:hAnsi="宋体"/>
          <w:kern w:val="44"/>
        </w:rPr>
        <w:t>　注册资本5000万元人民币以上、经济活动性质跨国民经济行业3个以上大类的示范区内企业，可以申请在企业名称中不使用国民经济行业类别用语标明企业所属行业或者经营特点。</w:t>
      </w:r>
    </w:p>
    <w:p w14:paraId="7D728110">
      <w:pPr>
        <w:ind w:firstLine="422"/>
        <w:jc w:val="left"/>
        <w:rPr>
          <w:rFonts w:ascii="宋体" w:hAnsi="宋体"/>
          <w:kern w:val="44"/>
        </w:rPr>
      </w:pPr>
      <w:r>
        <w:rPr>
          <w:rFonts w:hint="eastAsia" w:ascii="宋体" w:hAnsi="宋体"/>
          <w:b/>
          <w:kern w:val="44"/>
        </w:rPr>
        <w:t>第八条</w:t>
      </w:r>
      <w:r>
        <w:rPr>
          <w:rFonts w:hint="eastAsia" w:ascii="宋体" w:hAnsi="宋体"/>
          <w:kern w:val="44"/>
        </w:rPr>
        <w:t>　申请在示范区内设立企业的，登记机关对企业章程或者合伙协议中的名称、住所或者主要经营场所、出资人的姓名或者名称、注册资本或者出资数额、出资时间等内容进行审核。</w:t>
      </w:r>
    </w:p>
    <w:p w14:paraId="7B60CD99">
      <w:pPr>
        <w:ind w:firstLine="422"/>
        <w:jc w:val="left"/>
        <w:rPr>
          <w:rFonts w:ascii="宋体" w:hAnsi="宋体"/>
          <w:kern w:val="44"/>
        </w:rPr>
      </w:pPr>
      <w:r>
        <w:rPr>
          <w:rFonts w:hint="eastAsia" w:ascii="宋体" w:hAnsi="宋体"/>
          <w:b/>
          <w:kern w:val="44"/>
        </w:rPr>
        <w:t>第九条</w:t>
      </w:r>
      <w:r>
        <w:rPr>
          <w:rFonts w:hint="eastAsia" w:ascii="宋体" w:hAnsi="宋体"/>
          <w:kern w:val="44"/>
        </w:rPr>
        <w:t>　申请在示范区内设立企业的，除经营范围中有属于法律、行政法规、国务院决定规定在登记前须经批准的项目（以下统称专项许可经营项目）外，可以申请以集中办公区中经过物理分割的独立区域作为住所，登记机关在营业执照中予以注明。</w:t>
      </w:r>
    </w:p>
    <w:p w14:paraId="0EE1A612">
      <w:pPr>
        <w:jc w:val="left"/>
        <w:rPr>
          <w:rFonts w:ascii="宋体" w:hAnsi="宋体"/>
          <w:kern w:val="44"/>
        </w:rPr>
      </w:pPr>
      <w:r>
        <w:rPr>
          <w:rFonts w:hint="eastAsia" w:ascii="宋体" w:hAnsi="宋体"/>
          <w:kern w:val="44"/>
        </w:rPr>
        <w:t>集中办公区由示范区管理机构会同有关区、县人民政府确定，并向社会公布。大学科技园、创业园、创业服务中心、企业孵化器等各类创业孵化服务机构可以成为集中办公区。</w:t>
      </w:r>
    </w:p>
    <w:p w14:paraId="4B1E3118">
      <w:pPr>
        <w:jc w:val="left"/>
        <w:rPr>
          <w:rFonts w:ascii="宋体" w:hAnsi="宋体"/>
          <w:kern w:val="44"/>
        </w:rPr>
      </w:pPr>
      <w:r>
        <w:rPr>
          <w:rFonts w:hint="eastAsia" w:ascii="宋体" w:hAnsi="宋体"/>
          <w:kern w:val="44"/>
        </w:rPr>
        <w:t>集中办公区的管理单位应当建立健全规章制度，加强对入驻企业的管理和服务，并可以对入驻企业所从事的行业提出要求。</w:t>
      </w:r>
    </w:p>
    <w:p w14:paraId="2352848C">
      <w:pPr>
        <w:ind w:firstLine="422"/>
        <w:jc w:val="left"/>
        <w:rPr>
          <w:rFonts w:ascii="宋体" w:hAnsi="宋体"/>
          <w:kern w:val="44"/>
        </w:rPr>
      </w:pPr>
      <w:r>
        <w:rPr>
          <w:rFonts w:hint="eastAsia" w:ascii="宋体" w:hAnsi="宋体"/>
          <w:b/>
          <w:kern w:val="44"/>
        </w:rPr>
        <w:t>第十条</w:t>
      </w:r>
      <w:r>
        <w:rPr>
          <w:rFonts w:hint="eastAsia" w:ascii="宋体" w:hAnsi="宋体"/>
          <w:kern w:val="44"/>
        </w:rPr>
        <w:t>　在示范区内设立企业或者增加注册资本，投资人以知识产权和其他可以用货币估价并可以依法转让的科技成果作价出资的，出资比例由投资方自行约定，其中，以国有资产出资的，应当符合国有资产管理的有关规定。</w:t>
      </w:r>
    </w:p>
    <w:p w14:paraId="780B2C0F">
      <w:pPr>
        <w:jc w:val="left"/>
        <w:rPr>
          <w:rFonts w:ascii="宋体" w:hAnsi="宋体"/>
          <w:kern w:val="44"/>
        </w:rPr>
      </w:pPr>
      <w:r>
        <w:rPr>
          <w:rFonts w:hint="eastAsia" w:ascii="宋体" w:hAnsi="宋体"/>
          <w:kern w:val="44"/>
        </w:rPr>
        <w:t>投资人以可以用货币估价并可以依法转让的债权出资的，登记机关依照有关规定予以登记。</w:t>
      </w:r>
    </w:p>
    <w:p w14:paraId="0EF95E87">
      <w:pPr>
        <w:ind w:firstLine="422"/>
        <w:jc w:val="left"/>
        <w:rPr>
          <w:rFonts w:ascii="宋体" w:hAnsi="宋体"/>
          <w:kern w:val="44"/>
        </w:rPr>
      </w:pPr>
      <w:r>
        <w:rPr>
          <w:rFonts w:hint="eastAsia" w:ascii="宋体" w:hAnsi="宋体"/>
          <w:b/>
          <w:kern w:val="44"/>
        </w:rPr>
        <w:t>第十一条</w:t>
      </w:r>
      <w:r>
        <w:rPr>
          <w:rFonts w:hint="eastAsia" w:ascii="宋体" w:hAnsi="宋体"/>
          <w:kern w:val="44"/>
        </w:rPr>
        <w:t>　在示范区内设立创业投资机构，注册资本可以按照投资人的书面约定分期到位。</w:t>
      </w:r>
    </w:p>
    <w:p w14:paraId="2B6B3324">
      <w:pPr>
        <w:ind w:firstLine="422"/>
        <w:jc w:val="left"/>
        <w:rPr>
          <w:rFonts w:ascii="宋体" w:hAnsi="宋体"/>
          <w:kern w:val="44"/>
        </w:rPr>
      </w:pPr>
      <w:r>
        <w:rPr>
          <w:rFonts w:hint="eastAsia" w:ascii="宋体" w:hAnsi="宋体"/>
          <w:b/>
          <w:kern w:val="44"/>
        </w:rPr>
        <w:t>第十二条</w:t>
      </w:r>
      <w:r>
        <w:rPr>
          <w:rFonts w:hint="eastAsia" w:ascii="宋体" w:hAnsi="宋体"/>
          <w:kern w:val="44"/>
        </w:rPr>
        <w:t>　在示范区内设立内资企业或者内资企业增加注册资本，投资人以货币出资的，可以以商业银行出具的《交存入资资金凭证》作为验资证明；以非货币财产出资的，可以以依法设立的评估机构出具的评估报告作为验资证明。</w:t>
      </w:r>
    </w:p>
    <w:p w14:paraId="40AF90F4">
      <w:pPr>
        <w:ind w:firstLine="422"/>
        <w:jc w:val="left"/>
        <w:rPr>
          <w:rFonts w:ascii="宋体" w:hAnsi="宋体"/>
          <w:kern w:val="44"/>
        </w:rPr>
      </w:pPr>
      <w:r>
        <w:rPr>
          <w:rFonts w:hint="eastAsia" w:ascii="宋体" w:hAnsi="宋体"/>
          <w:b/>
          <w:kern w:val="44"/>
        </w:rPr>
        <w:t>第十三条</w:t>
      </w:r>
      <w:r>
        <w:rPr>
          <w:rFonts w:hint="eastAsia" w:ascii="宋体" w:hAnsi="宋体"/>
          <w:kern w:val="44"/>
        </w:rPr>
        <w:t>　依法经商务部门批准，中国公民以自然人身份与外国企业、其他经济组织或者自然人在示范区内投资设立中外合资、合作企业的，登记机关应当予以登记。</w:t>
      </w:r>
    </w:p>
    <w:p w14:paraId="3A408EC4">
      <w:pPr>
        <w:ind w:firstLine="422"/>
        <w:jc w:val="left"/>
        <w:rPr>
          <w:rFonts w:ascii="宋体" w:hAnsi="宋体"/>
          <w:kern w:val="44"/>
        </w:rPr>
      </w:pPr>
      <w:r>
        <w:rPr>
          <w:rFonts w:hint="eastAsia" w:ascii="宋体" w:hAnsi="宋体"/>
          <w:b/>
          <w:kern w:val="44"/>
        </w:rPr>
        <w:t>第十四条</w:t>
      </w:r>
      <w:r>
        <w:rPr>
          <w:rFonts w:hint="eastAsia" w:ascii="宋体" w:hAnsi="宋体"/>
          <w:kern w:val="44"/>
        </w:rPr>
        <w:t>　对在示范区内设立的科技型企业，除经营范围中有专项许可经营项目外，登记机关按照国民经济行业大类核定企业经营范围；企业申请登记具体经营范围的，登记机关应当依法予以核定。</w:t>
      </w:r>
    </w:p>
    <w:p w14:paraId="374F2F53">
      <w:pPr>
        <w:ind w:firstLine="422"/>
        <w:jc w:val="left"/>
        <w:rPr>
          <w:rFonts w:ascii="宋体" w:hAnsi="宋体"/>
          <w:kern w:val="44"/>
        </w:rPr>
      </w:pPr>
      <w:r>
        <w:rPr>
          <w:rFonts w:hint="eastAsia" w:ascii="宋体" w:hAnsi="宋体"/>
          <w:b/>
          <w:kern w:val="44"/>
        </w:rPr>
        <w:t>第十五条</w:t>
      </w:r>
      <w:r>
        <w:rPr>
          <w:rFonts w:hint="eastAsia" w:ascii="宋体" w:hAnsi="宋体"/>
          <w:kern w:val="44"/>
        </w:rPr>
        <w:t>　对申请在示范区内从事国民经济行业分类以外、法律和行政法规未禁止的新兴行业和经营项目、符合法律法规规定的其他条件的，登记机关应当予以登记。</w:t>
      </w:r>
    </w:p>
    <w:p w14:paraId="332C6BDA">
      <w:pPr>
        <w:ind w:firstLine="422"/>
        <w:jc w:val="left"/>
        <w:rPr>
          <w:rFonts w:ascii="宋体" w:hAnsi="宋体"/>
          <w:kern w:val="44"/>
        </w:rPr>
      </w:pPr>
      <w:r>
        <w:rPr>
          <w:rFonts w:hint="eastAsia" w:ascii="宋体" w:hAnsi="宋体"/>
          <w:b/>
          <w:kern w:val="44"/>
        </w:rPr>
        <w:t>第十六条</w:t>
      </w:r>
      <w:r>
        <w:rPr>
          <w:rFonts w:hint="eastAsia" w:ascii="宋体" w:hAnsi="宋体"/>
          <w:kern w:val="44"/>
        </w:rPr>
        <w:t>　申请在示范区内设立企业，经营范围中有专项许可经营项目的，可以申请筹建登记。符合设立条件的，登记机关应当直接办理筹建登记，核发营业执照，并在营业执照中注明筹建项目。</w:t>
      </w:r>
    </w:p>
    <w:p w14:paraId="31BCFCC4">
      <w:pPr>
        <w:jc w:val="left"/>
        <w:rPr>
          <w:rFonts w:ascii="宋体" w:hAnsi="宋体"/>
          <w:kern w:val="44"/>
        </w:rPr>
      </w:pPr>
      <w:r>
        <w:rPr>
          <w:rFonts w:hint="eastAsia" w:ascii="宋体" w:hAnsi="宋体"/>
          <w:kern w:val="44"/>
        </w:rPr>
        <w:t>筹建期限为一年，特殊情况下，经登记机关批准可以适当延长。筹建期内企业不得开展与筹建无关的生产经营活动。筹建申请人对企业筹建活动承担法律责任。</w:t>
      </w:r>
    </w:p>
    <w:p w14:paraId="734CD5F2">
      <w:pPr>
        <w:jc w:val="left"/>
        <w:rPr>
          <w:rFonts w:ascii="宋体" w:hAnsi="宋体"/>
          <w:kern w:val="44"/>
        </w:rPr>
      </w:pPr>
      <w:r>
        <w:rPr>
          <w:rFonts w:hint="eastAsia" w:ascii="宋体" w:hAnsi="宋体"/>
          <w:kern w:val="44"/>
        </w:rPr>
        <w:t>法律、法规对筹建登记另有规定的，从其规定。</w:t>
      </w:r>
    </w:p>
    <w:p w14:paraId="53B9D9A6">
      <w:pPr>
        <w:ind w:firstLine="422"/>
        <w:jc w:val="left"/>
        <w:rPr>
          <w:rFonts w:ascii="宋体" w:hAnsi="宋体"/>
          <w:kern w:val="44"/>
        </w:rPr>
      </w:pPr>
      <w:r>
        <w:rPr>
          <w:rFonts w:hint="eastAsia" w:ascii="宋体" w:hAnsi="宋体"/>
          <w:b/>
          <w:kern w:val="44"/>
        </w:rPr>
        <w:t>第十七条</w:t>
      </w:r>
      <w:r>
        <w:rPr>
          <w:rFonts w:hint="eastAsia" w:ascii="宋体" w:hAnsi="宋体"/>
          <w:kern w:val="44"/>
        </w:rPr>
        <w:t>　筹建期内，专项许可经营项目获得批准的，企业应当及时申请变更登记；筹建期内未获得批准或者筹建期满的，企业应当申请注销或者变更登记，未申请的，登记机关可以注销其筹建登记。</w:t>
      </w:r>
    </w:p>
    <w:p w14:paraId="2FD2FB6E">
      <w:pPr>
        <w:ind w:firstLine="422"/>
        <w:jc w:val="left"/>
        <w:rPr>
          <w:rFonts w:ascii="宋体" w:hAnsi="宋体"/>
          <w:kern w:val="44"/>
        </w:rPr>
      </w:pPr>
      <w:r>
        <w:rPr>
          <w:rFonts w:hint="eastAsia" w:ascii="宋体" w:hAnsi="宋体"/>
          <w:b/>
          <w:kern w:val="44"/>
        </w:rPr>
        <w:t>第十八条</w:t>
      </w:r>
      <w:r>
        <w:rPr>
          <w:rFonts w:hint="eastAsia" w:ascii="宋体" w:hAnsi="宋体"/>
          <w:kern w:val="44"/>
        </w:rPr>
        <w:t>　产业技术联盟申请登记为企业法人，符合条件的，登记机关应当依法予以登记。</w:t>
      </w:r>
    </w:p>
    <w:p w14:paraId="3DD63C58">
      <w:pPr>
        <w:ind w:firstLine="422"/>
        <w:jc w:val="left"/>
        <w:rPr>
          <w:rFonts w:ascii="宋体" w:hAnsi="宋体"/>
          <w:kern w:val="44"/>
        </w:rPr>
      </w:pPr>
      <w:r>
        <w:rPr>
          <w:rFonts w:hint="eastAsia" w:ascii="宋体" w:hAnsi="宋体"/>
          <w:b/>
          <w:kern w:val="44"/>
        </w:rPr>
        <w:t>第十九条</w:t>
      </w:r>
      <w:r>
        <w:rPr>
          <w:rFonts w:hint="eastAsia" w:ascii="宋体" w:hAnsi="宋体"/>
          <w:kern w:val="44"/>
        </w:rPr>
        <w:t>　实施股权激励申请股权变动登记的，登记机关依照有关规定予以登记。</w:t>
      </w:r>
    </w:p>
    <w:p w14:paraId="7C901B4C">
      <w:pPr>
        <w:ind w:firstLine="422"/>
        <w:jc w:val="left"/>
        <w:rPr>
          <w:rFonts w:ascii="宋体" w:hAnsi="宋体"/>
          <w:kern w:val="44"/>
        </w:rPr>
      </w:pPr>
      <w:r>
        <w:rPr>
          <w:rFonts w:hint="eastAsia" w:ascii="宋体" w:hAnsi="宋体"/>
          <w:b/>
          <w:kern w:val="44"/>
        </w:rPr>
        <w:t>第二十条</w:t>
      </w:r>
      <w:r>
        <w:rPr>
          <w:rFonts w:hint="eastAsia" w:ascii="宋体" w:hAnsi="宋体"/>
          <w:kern w:val="44"/>
        </w:rPr>
        <w:t>　企业根据发展需要可以向登记机关申请转换企业组织形式，登记机关依照有关规定予以登记。</w:t>
      </w:r>
    </w:p>
    <w:p w14:paraId="576590C9">
      <w:pPr>
        <w:ind w:firstLine="422"/>
        <w:jc w:val="left"/>
        <w:rPr>
          <w:rFonts w:ascii="宋体" w:hAnsi="宋体"/>
          <w:kern w:val="44"/>
        </w:rPr>
      </w:pPr>
      <w:r>
        <w:rPr>
          <w:rFonts w:hint="eastAsia" w:ascii="宋体" w:hAnsi="宋体"/>
          <w:b/>
          <w:kern w:val="44"/>
        </w:rPr>
        <w:t>第二十一条</w:t>
      </w:r>
      <w:r>
        <w:rPr>
          <w:rFonts w:hint="eastAsia" w:ascii="宋体" w:hAnsi="宋体"/>
          <w:kern w:val="44"/>
        </w:rPr>
        <w:t>　分支机构隶属关系发生变更的，变更后该分支机构名称中除原所属企业名称以外的其他部分可以保留；经营范围不得超出变更后所属企业的经营范围。</w:t>
      </w:r>
    </w:p>
    <w:p w14:paraId="3FA2BB3F">
      <w:pPr>
        <w:jc w:val="left"/>
        <w:rPr>
          <w:rFonts w:ascii="宋体" w:hAnsi="宋体"/>
          <w:kern w:val="44"/>
        </w:rPr>
      </w:pPr>
      <w:r>
        <w:rPr>
          <w:rFonts w:hint="eastAsia" w:ascii="宋体" w:hAnsi="宋体"/>
          <w:kern w:val="44"/>
        </w:rPr>
        <w:t>申请变更分支机构隶属关系的，应当提交变更前后所属企业同意变更的协议。</w:t>
      </w:r>
    </w:p>
    <w:p w14:paraId="0F8B0324">
      <w:pPr>
        <w:ind w:firstLine="422"/>
        <w:jc w:val="left"/>
        <w:rPr>
          <w:rFonts w:ascii="宋体" w:hAnsi="宋体"/>
          <w:kern w:val="44"/>
        </w:rPr>
      </w:pPr>
      <w:r>
        <w:rPr>
          <w:rFonts w:hint="eastAsia" w:ascii="宋体" w:hAnsi="宋体"/>
          <w:b/>
          <w:kern w:val="44"/>
        </w:rPr>
        <w:t>第二十二条</w:t>
      </w:r>
      <w:r>
        <w:rPr>
          <w:rFonts w:hint="eastAsia" w:ascii="宋体" w:hAnsi="宋体"/>
          <w:kern w:val="44"/>
        </w:rPr>
        <w:t>　母公司注册资本3000万元人民币以上、母子公司注册资本总额5000万元人民币以上，申请登记为企业集团的，登记机关应当予以登记。</w:t>
      </w:r>
    </w:p>
    <w:p w14:paraId="7D5985A9">
      <w:pPr>
        <w:ind w:firstLine="422"/>
        <w:jc w:val="left"/>
        <w:rPr>
          <w:rFonts w:ascii="宋体" w:hAnsi="宋体"/>
          <w:kern w:val="44"/>
        </w:rPr>
      </w:pPr>
      <w:r>
        <w:rPr>
          <w:rFonts w:hint="eastAsia" w:ascii="宋体" w:hAnsi="宋体"/>
          <w:b/>
          <w:kern w:val="44"/>
        </w:rPr>
        <w:t>第二十三条</w:t>
      </w:r>
      <w:r>
        <w:rPr>
          <w:rFonts w:hint="eastAsia" w:ascii="宋体" w:hAnsi="宋体"/>
          <w:kern w:val="44"/>
        </w:rPr>
        <w:t>　登记机关根据《条例》的规定，加强企业信用信息管理，逐步对企业实行分级分类监管，促进企业提升信用意识。</w:t>
      </w:r>
    </w:p>
    <w:p w14:paraId="6FF1D5B7">
      <w:pPr>
        <w:ind w:firstLine="422"/>
        <w:jc w:val="left"/>
        <w:rPr>
          <w:rFonts w:ascii="宋体" w:hAnsi="宋体"/>
          <w:kern w:val="44"/>
        </w:rPr>
      </w:pPr>
      <w:r>
        <w:rPr>
          <w:rFonts w:hint="eastAsia" w:ascii="宋体" w:hAnsi="宋体"/>
          <w:b/>
          <w:kern w:val="44"/>
        </w:rPr>
        <w:t>第二十四条</w:t>
      </w:r>
      <w:r>
        <w:rPr>
          <w:rFonts w:hint="eastAsia" w:ascii="宋体" w:hAnsi="宋体"/>
          <w:kern w:val="44"/>
        </w:rPr>
        <w:t>　示范区内无不良信用记录企业的年检实行报备式。企业可以通过登记机关电子年检系统或者邮寄送达、直接送达等便捷方式提交年检材料。</w:t>
      </w:r>
    </w:p>
    <w:p w14:paraId="5C77C4D8">
      <w:pPr>
        <w:jc w:val="left"/>
        <w:rPr>
          <w:rFonts w:ascii="宋体" w:hAnsi="宋体"/>
          <w:kern w:val="44"/>
        </w:rPr>
      </w:pPr>
      <w:r>
        <w:rPr>
          <w:rFonts w:hint="eastAsia" w:ascii="宋体" w:hAnsi="宋体"/>
          <w:kern w:val="44"/>
        </w:rPr>
        <w:t>企业对年检材料的真实性、准确性负责。</w:t>
      </w:r>
    </w:p>
    <w:p w14:paraId="19188461">
      <w:pPr>
        <w:ind w:firstLine="422"/>
        <w:jc w:val="left"/>
        <w:rPr>
          <w:rFonts w:ascii="宋体" w:hAnsi="宋体"/>
          <w:kern w:val="44"/>
        </w:rPr>
      </w:pPr>
      <w:r>
        <w:rPr>
          <w:rFonts w:hint="eastAsia" w:ascii="宋体" w:hAnsi="宋体"/>
          <w:b/>
          <w:kern w:val="44"/>
        </w:rPr>
        <w:t>第二十五条</w:t>
      </w:r>
      <w:r>
        <w:rPr>
          <w:rFonts w:hint="eastAsia" w:ascii="宋体" w:hAnsi="宋体"/>
          <w:kern w:val="44"/>
        </w:rPr>
        <w:t>　登记机关应当依法履行职责，建立健全对企业的监督管理制度，采取巡查、回访、指导和服务等多种方式促进企业规范经营。企业违反有关工商行政管理法律、法规的，由登记机关依照有关规定予以处理。</w:t>
      </w:r>
    </w:p>
    <w:p w14:paraId="427C4441">
      <w:pPr>
        <w:ind w:firstLine="422"/>
        <w:jc w:val="left"/>
        <w:rPr>
          <w:rFonts w:ascii="宋体" w:hAnsi="宋体"/>
          <w:kern w:val="44"/>
        </w:rPr>
      </w:pPr>
      <w:r>
        <w:rPr>
          <w:rFonts w:hint="eastAsia" w:ascii="宋体" w:hAnsi="宋体"/>
          <w:b/>
          <w:kern w:val="44"/>
        </w:rPr>
        <w:t>第二十六条</w:t>
      </w:r>
      <w:r>
        <w:rPr>
          <w:rFonts w:hint="eastAsia" w:ascii="宋体" w:hAnsi="宋体"/>
          <w:kern w:val="44"/>
        </w:rPr>
        <w:t>　本办法自公布之日起施行。</w:t>
      </w:r>
    </w:p>
    <w:p w14:paraId="527CE0AF">
      <w:pPr>
        <w:pStyle w:val="3"/>
        <w:pageBreakBefore/>
        <w:rPr>
          <w:kern w:val="44"/>
        </w:rPr>
      </w:pPr>
      <w:bookmarkStart w:id="1349" w:name="_Toc422471353"/>
      <w:bookmarkStart w:id="1350" w:name="_Toc428780189"/>
      <w:bookmarkStart w:id="1351" w:name="_Toc428781671"/>
      <w:bookmarkStart w:id="1352" w:name="_Toc427651623"/>
      <w:bookmarkStart w:id="1353" w:name="_Toc427651965"/>
      <w:r>
        <w:rPr>
          <w:rFonts w:hint="eastAsia"/>
          <w:kern w:val="44"/>
        </w:rPr>
        <w:t>（十六）企业发展</w:t>
      </w:r>
      <w:bookmarkEnd w:id="1349"/>
      <w:bookmarkEnd w:id="1350"/>
      <w:bookmarkEnd w:id="1351"/>
      <w:bookmarkEnd w:id="1352"/>
      <w:bookmarkEnd w:id="1353"/>
    </w:p>
    <w:p w14:paraId="44A94407">
      <w:pPr>
        <w:pStyle w:val="4"/>
        <w:rPr>
          <w:kern w:val="44"/>
        </w:rPr>
      </w:pPr>
      <w:bookmarkStart w:id="1354" w:name="_Toc422471354"/>
      <w:bookmarkStart w:id="1355" w:name="_Toc428780190"/>
      <w:bookmarkStart w:id="1356" w:name="_Toc428781672"/>
      <w:bookmarkStart w:id="1357" w:name="_Toc427651966"/>
      <w:bookmarkStart w:id="1358" w:name="_Toc427651624"/>
      <w:r>
        <w:rPr>
          <w:rFonts w:hint="eastAsia"/>
          <w:kern w:val="44"/>
        </w:rPr>
        <w:t>北京市乡村集体企业</w:t>
      </w:r>
      <w:bookmarkEnd w:id="1354"/>
      <w:bookmarkStart w:id="1359" w:name="_Toc422471355"/>
      <w:r>
        <w:rPr>
          <w:rFonts w:hint="eastAsia"/>
          <w:kern w:val="44"/>
        </w:rPr>
        <w:t>承包经营条例</w:t>
      </w:r>
      <w:bookmarkEnd w:id="1355"/>
      <w:bookmarkEnd w:id="1356"/>
      <w:bookmarkEnd w:id="1357"/>
      <w:bookmarkEnd w:id="1358"/>
      <w:bookmarkEnd w:id="1359"/>
    </w:p>
    <w:p w14:paraId="6DF92C80">
      <w:pPr>
        <w:ind w:left="630" w:leftChars="300" w:right="630" w:rightChars="300"/>
        <w:jc w:val="left"/>
        <w:rPr>
          <w:rFonts w:ascii="楷体" w:hAnsi="楷体" w:eastAsia="楷体"/>
          <w:kern w:val="44"/>
        </w:rPr>
      </w:pPr>
      <w:r>
        <w:rPr>
          <w:rFonts w:hint="eastAsia" w:ascii="楷体" w:hAnsi="楷体" w:eastAsia="楷体"/>
          <w:kern w:val="44"/>
        </w:rPr>
        <w:t>（1994年1月14日北京市第十届人民代表大会常务委员会第八次会议通过　1994年1月14日北京市人民代表大会常务委员会公告第13号公布施行）</w:t>
      </w:r>
    </w:p>
    <w:p w14:paraId="69C8F585">
      <w:pPr>
        <w:jc w:val="left"/>
        <w:rPr>
          <w:rFonts w:ascii="宋体" w:hAnsi="宋体"/>
          <w:kern w:val="44"/>
        </w:rPr>
      </w:pPr>
    </w:p>
    <w:p w14:paraId="771B2F9A">
      <w:pPr>
        <w:ind w:firstLine="0" w:firstLineChars="0"/>
        <w:jc w:val="center"/>
        <w:rPr>
          <w:rFonts w:ascii="宋体" w:hAnsi="宋体"/>
          <w:b/>
          <w:kern w:val="44"/>
          <w:sz w:val="28"/>
        </w:rPr>
      </w:pPr>
      <w:r>
        <w:rPr>
          <w:rFonts w:hint="eastAsia" w:ascii="宋体" w:hAnsi="宋体"/>
          <w:b/>
          <w:kern w:val="44"/>
          <w:sz w:val="28"/>
        </w:rPr>
        <w:t>第一章　总　则</w:t>
      </w:r>
    </w:p>
    <w:p w14:paraId="5D7CD812">
      <w:pPr>
        <w:jc w:val="left"/>
        <w:rPr>
          <w:rFonts w:ascii="宋体" w:hAnsi="宋体"/>
          <w:kern w:val="44"/>
        </w:rPr>
      </w:pPr>
    </w:p>
    <w:p w14:paraId="2B20EA93">
      <w:pPr>
        <w:ind w:firstLine="422"/>
        <w:jc w:val="left"/>
        <w:rPr>
          <w:rFonts w:ascii="宋体" w:hAnsi="宋体"/>
          <w:kern w:val="44"/>
        </w:rPr>
      </w:pPr>
      <w:r>
        <w:rPr>
          <w:rFonts w:hint="eastAsia" w:ascii="宋体" w:hAnsi="宋体"/>
          <w:b/>
          <w:kern w:val="44"/>
        </w:rPr>
        <w:t>第一条</w:t>
      </w:r>
      <w:r>
        <w:rPr>
          <w:rFonts w:hint="eastAsia" w:ascii="宋体" w:hAnsi="宋体"/>
          <w:kern w:val="44"/>
        </w:rPr>
        <w:t>　为保护乡村集体企业（以下简称企业）所有者和经营者的合法权益，完善承包经营，增强企业活力，提高经济效益，根据国家有关法律、法规的规定，结合本市实际情况，制定本条例。</w:t>
      </w:r>
    </w:p>
    <w:p w14:paraId="66A9B6CE">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本条例适用于本市行政区域内乡（镇）村兴办的工业、建筑业、运输业、商业、饮食服务业等在集体经济组织内部实行承包经营的集体企业。</w:t>
      </w:r>
    </w:p>
    <w:p w14:paraId="3CC11CD1">
      <w:pPr>
        <w:ind w:firstLine="422"/>
        <w:jc w:val="left"/>
        <w:rPr>
          <w:rFonts w:ascii="宋体" w:hAnsi="宋体"/>
          <w:kern w:val="44"/>
        </w:rPr>
      </w:pPr>
      <w:r>
        <w:rPr>
          <w:rFonts w:hint="eastAsia" w:ascii="宋体" w:hAnsi="宋体"/>
          <w:b/>
          <w:kern w:val="44"/>
        </w:rPr>
        <w:t>第三条</w:t>
      </w:r>
      <w:r>
        <w:rPr>
          <w:rFonts w:hint="eastAsia" w:ascii="宋体" w:hAnsi="宋体"/>
          <w:kern w:val="44"/>
        </w:rPr>
        <w:t>　承包经营，是在不改变企业资产所有权的前提下，实行所有权与经营权分离，以承包经营合同的形式，确定所有者和经营者权利义务关系的经营方式。</w:t>
      </w:r>
    </w:p>
    <w:p w14:paraId="61623F8D">
      <w:pPr>
        <w:ind w:firstLine="422"/>
        <w:jc w:val="left"/>
        <w:rPr>
          <w:rFonts w:ascii="宋体" w:hAnsi="宋体"/>
          <w:kern w:val="44"/>
        </w:rPr>
      </w:pPr>
      <w:r>
        <w:rPr>
          <w:rFonts w:hint="eastAsia" w:ascii="宋体" w:hAnsi="宋体"/>
          <w:b/>
          <w:kern w:val="44"/>
        </w:rPr>
        <w:t>第四条</w:t>
      </w:r>
      <w:r>
        <w:rPr>
          <w:rFonts w:hint="eastAsia" w:ascii="宋体" w:hAnsi="宋体"/>
          <w:kern w:val="44"/>
        </w:rPr>
        <w:t>　企业实行承包经营，必须兼顾国家、集体、个人利益，确保国家税收，保障所有者、经营者和企业职工的合法权益。</w:t>
      </w:r>
    </w:p>
    <w:p w14:paraId="05A4D457">
      <w:pPr>
        <w:ind w:firstLine="422"/>
        <w:jc w:val="left"/>
        <w:rPr>
          <w:rFonts w:ascii="宋体" w:hAnsi="宋体"/>
          <w:kern w:val="44"/>
        </w:rPr>
      </w:pPr>
      <w:r>
        <w:rPr>
          <w:rFonts w:hint="eastAsia" w:ascii="宋体" w:hAnsi="宋体"/>
          <w:b/>
          <w:kern w:val="44"/>
        </w:rPr>
        <w:t>第五条</w:t>
      </w:r>
      <w:r>
        <w:rPr>
          <w:rFonts w:hint="eastAsia" w:ascii="宋体" w:hAnsi="宋体"/>
          <w:kern w:val="44"/>
        </w:rPr>
        <w:t>　企业实行承包经营，必须遵守国家法律、法规和政策，接受政府有关部门的监督。</w:t>
      </w:r>
    </w:p>
    <w:p w14:paraId="65553254">
      <w:pPr>
        <w:ind w:firstLine="422"/>
        <w:jc w:val="left"/>
        <w:rPr>
          <w:rFonts w:ascii="宋体" w:hAnsi="宋体"/>
          <w:kern w:val="44"/>
        </w:rPr>
      </w:pPr>
      <w:r>
        <w:rPr>
          <w:rFonts w:hint="eastAsia" w:ascii="宋体" w:hAnsi="宋体"/>
          <w:b/>
          <w:kern w:val="44"/>
        </w:rPr>
        <w:t>第六条</w:t>
      </w:r>
      <w:r>
        <w:rPr>
          <w:rFonts w:hint="eastAsia" w:ascii="宋体" w:hAnsi="宋体"/>
          <w:kern w:val="44"/>
        </w:rPr>
        <w:t>　市、区、县乡镇企业行政主管部门和乡（镇）人民政府负责本条例的组织实施和监督。</w:t>
      </w:r>
    </w:p>
    <w:p w14:paraId="7756B986">
      <w:pPr>
        <w:jc w:val="left"/>
        <w:rPr>
          <w:rFonts w:ascii="宋体" w:hAnsi="宋体"/>
          <w:kern w:val="44"/>
        </w:rPr>
      </w:pPr>
    </w:p>
    <w:p w14:paraId="0162ABB6">
      <w:pPr>
        <w:ind w:firstLine="0" w:firstLineChars="0"/>
        <w:jc w:val="center"/>
        <w:rPr>
          <w:rFonts w:ascii="宋体" w:hAnsi="宋体"/>
          <w:b/>
          <w:kern w:val="44"/>
          <w:sz w:val="28"/>
        </w:rPr>
      </w:pPr>
      <w:r>
        <w:rPr>
          <w:rFonts w:hint="eastAsia" w:ascii="宋体" w:hAnsi="宋体"/>
          <w:b/>
          <w:kern w:val="44"/>
          <w:sz w:val="28"/>
        </w:rPr>
        <w:t>第二章  发包与承包</w:t>
      </w:r>
    </w:p>
    <w:p w14:paraId="44C1BCEC">
      <w:pPr>
        <w:jc w:val="left"/>
        <w:rPr>
          <w:rFonts w:ascii="宋体" w:hAnsi="宋体"/>
          <w:kern w:val="44"/>
        </w:rPr>
      </w:pPr>
    </w:p>
    <w:p w14:paraId="3C45BE55">
      <w:pPr>
        <w:ind w:firstLine="422"/>
        <w:jc w:val="left"/>
        <w:rPr>
          <w:rFonts w:ascii="宋体" w:hAnsi="宋体"/>
          <w:kern w:val="44"/>
        </w:rPr>
      </w:pPr>
      <w:r>
        <w:rPr>
          <w:rFonts w:hint="eastAsia" w:ascii="宋体" w:hAnsi="宋体"/>
          <w:b/>
          <w:kern w:val="44"/>
        </w:rPr>
        <w:t>第七条</w:t>
      </w:r>
      <w:r>
        <w:rPr>
          <w:rFonts w:hint="eastAsia" w:ascii="宋体" w:hAnsi="宋体"/>
          <w:kern w:val="44"/>
        </w:rPr>
        <w:t>　承包经营的发包方是企业所有者，即乡（镇）村合作经济组织，其负责人应当根据社员代表大会或者管委会决定的方案组织发包。</w:t>
      </w:r>
    </w:p>
    <w:p w14:paraId="46C136CE">
      <w:pPr>
        <w:jc w:val="left"/>
        <w:rPr>
          <w:rFonts w:ascii="宋体" w:hAnsi="宋体"/>
          <w:kern w:val="44"/>
        </w:rPr>
      </w:pPr>
      <w:r>
        <w:rPr>
          <w:rFonts w:hint="eastAsia" w:ascii="宋体" w:hAnsi="宋体"/>
          <w:kern w:val="44"/>
        </w:rPr>
        <w:t>承包方是企业的经营者，即承包企业的集体或者单位、个人。</w:t>
      </w:r>
    </w:p>
    <w:p w14:paraId="53E5FC75">
      <w:pPr>
        <w:ind w:firstLine="422"/>
        <w:jc w:val="left"/>
        <w:rPr>
          <w:rFonts w:ascii="宋体" w:hAnsi="宋体"/>
          <w:kern w:val="44"/>
        </w:rPr>
      </w:pPr>
      <w:r>
        <w:rPr>
          <w:rFonts w:hint="eastAsia" w:ascii="宋体" w:hAnsi="宋体"/>
          <w:b/>
          <w:kern w:val="44"/>
        </w:rPr>
        <w:t>第八条</w:t>
      </w:r>
      <w:r>
        <w:rPr>
          <w:rFonts w:hint="eastAsia" w:ascii="宋体" w:hAnsi="宋体"/>
          <w:kern w:val="44"/>
        </w:rPr>
        <w:t>　承包经营的形式：</w:t>
      </w:r>
    </w:p>
    <w:p w14:paraId="368B2523">
      <w:pPr>
        <w:jc w:val="left"/>
        <w:rPr>
          <w:rFonts w:ascii="宋体" w:hAnsi="宋体"/>
          <w:kern w:val="44"/>
        </w:rPr>
      </w:pPr>
      <w:r>
        <w:rPr>
          <w:rFonts w:hint="eastAsia" w:ascii="宋体" w:hAnsi="宋体"/>
          <w:kern w:val="44"/>
        </w:rPr>
        <w:t>（一）厂长（经理）负责的集体承包经营（以下简称集体承包）；</w:t>
      </w:r>
    </w:p>
    <w:p w14:paraId="0ED6B00D">
      <w:pPr>
        <w:jc w:val="left"/>
        <w:rPr>
          <w:rFonts w:ascii="宋体" w:hAnsi="宋体"/>
          <w:kern w:val="44"/>
        </w:rPr>
      </w:pPr>
      <w:r>
        <w:rPr>
          <w:rFonts w:hint="eastAsia" w:ascii="宋体" w:hAnsi="宋体"/>
          <w:kern w:val="44"/>
        </w:rPr>
        <w:t>（二）二人以上承包经营（以下简称合伙承包）；</w:t>
      </w:r>
    </w:p>
    <w:p w14:paraId="79D44D5F">
      <w:pPr>
        <w:jc w:val="left"/>
        <w:rPr>
          <w:rFonts w:ascii="宋体" w:hAnsi="宋体"/>
          <w:kern w:val="44"/>
        </w:rPr>
      </w:pPr>
      <w:r>
        <w:rPr>
          <w:rFonts w:hint="eastAsia" w:ascii="宋体" w:hAnsi="宋体"/>
          <w:kern w:val="44"/>
        </w:rPr>
        <w:t>（三）一人承包经营（以下简称个人承包）；</w:t>
      </w:r>
    </w:p>
    <w:p w14:paraId="72DFCE21">
      <w:pPr>
        <w:jc w:val="left"/>
        <w:rPr>
          <w:rFonts w:ascii="宋体" w:hAnsi="宋体"/>
          <w:kern w:val="44"/>
        </w:rPr>
      </w:pPr>
      <w:r>
        <w:rPr>
          <w:rFonts w:hint="eastAsia" w:ascii="宋体" w:hAnsi="宋体"/>
          <w:kern w:val="44"/>
        </w:rPr>
        <w:t>（四）企事业单位承包经营（以下简称法人承包）；</w:t>
      </w:r>
    </w:p>
    <w:p w14:paraId="0B0DF50B">
      <w:pPr>
        <w:jc w:val="left"/>
        <w:rPr>
          <w:rFonts w:ascii="宋体" w:hAnsi="宋体"/>
          <w:kern w:val="44"/>
        </w:rPr>
      </w:pPr>
      <w:r>
        <w:rPr>
          <w:rFonts w:hint="eastAsia" w:ascii="宋体" w:hAnsi="宋体"/>
          <w:kern w:val="44"/>
        </w:rPr>
        <w:t>（五）其他形式的承包经营。</w:t>
      </w:r>
    </w:p>
    <w:p w14:paraId="5463E93C">
      <w:pPr>
        <w:ind w:firstLine="422"/>
        <w:jc w:val="left"/>
        <w:rPr>
          <w:rFonts w:ascii="宋体" w:hAnsi="宋体"/>
          <w:kern w:val="44"/>
        </w:rPr>
      </w:pPr>
      <w:r>
        <w:rPr>
          <w:rFonts w:hint="eastAsia" w:ascii="宋体" w:hAnsi="宋体"/>
          <w:b/>
          <w:kern w:val="44"/>
        </w:rPr>
        <w:t>第九条</w:t>
      </w:r>
      <w:r>
        <w:rPr>
          <w:rFonts w:hint="eastAsia" w:ascii="宋体" w:hAnsi="宋体"/>
          <w:kern w:val="44"/>
        </w:rPr>
        <w:t>　承包方必须提供下列担保：</w:t>
      </w:r>
    </w:p>
    <w:p w14:paraId="0A835D11">
      <w:pPr>
        <w:jc w:val="left"/>
        <w:rPr>
          <w:rFonts w:ascii="宋体" w:hAnsi="宋体"/>
          <w:kern w:val="44"/>
        </w:rPr>
      </w:pPr>
      <w:r>
        <w:rPr>
          <w:rFonts w:hint="eastAsia" w:ascii="宋体" w:hAnsi="宋体"/>
          <w:kern w:val="44"/>
        </w:rPr>
        <w:t>（一）集体承包的，厂长（经理）或者全体职工必须交纳一定数额的风险抵押金；</w:t>
      </w:r>
    </w:p>
    <w:p w14:paraId="54604563">
      <w:pPr>
        <w:jc w:val="left"/>
        <w:rPr>
          <w:rFonts w:ascii="宋体" w:hAnsi="宋体"/>
          <w:kern w:val="44"/>
        </w:rPr>
      </w:pPr>
      <w:r>
        <w:rPr>
          <w:rFonts w:hint="eastAsia" w:ascii="宋体" w:hAnsi="宋体"/>
          <w:kern w:val="44"/>
        </w:rPr>
        <w:t>（二）个人承包或者合伙承包的，必须按照承包合同的约定，以与所承包企业资产成一定比例的个人财产作为担保，并有相应资产可供担保的保证人。其中必须有部分现金，由发包方专款存入银行。</w:t>
      </w:r>
    </w:p>
    <w:p w14:paraId="0D195C68">
      <w:pPr>
        <w:jc w:val="left"/>
        <w:rPr>
          <w:rFonts w:ascii="宋体" w:hAnsi="宋体"/>
          <w:kern w:val="44"/>
        </w:rPr>
      </w:pPr>
      <w:r>
        <w:rPr>
          <w:rFonts w:hint="eastAsia" w:ascii="宋体" w:hAnsi="宋体"/>
          <w:kern w:val="44"/>
        </w:rPr>
        <w:t>（三）法人承包的，必须按照承包合同的约定，以与所承包企业资产成一定比例的资产作为担保。</w:t>
      </w:r>
    </w:p>
    <w:p w14:paraId="420AF834">
      <w:pPr>
        <w:ind w:firstLine="422"/>
        <w:jc w:val="left"/>
        <w:rPr>
          <w:rFonts w:ascii="宋体" w:hAnsi="宋体"/>
          <w:kern w:val="44"/>
        </w:rPr>
      </w:pPr>
      <w:r>
        <w:rPr>
          <w:rFonts w:hint="eastAsia" w:ascii="宋体" w:hAnsi="宋体"/>
          <w:b/>
          <w:kern w:val="44"/>
        </w:rPr>
        <w:t>第十条</w:t>
      </w:r>
      <w:r>
        <w:rPr>
          <w:rFonts w:hint="eastAsia" w:ascii="宋体" w:hAnsi="宋体"/>
          <w:kern w:val="44"/>
        </w:rPr>
        <w:t>　厂长（经理）是承包方的代表，也是企业的法定代表人，对企业经营全面负责。</w:t>
      </w:r>
    </w:p>
    <w:p w14:paraId="155E461E">
      <w:pPr>
        <w:jc w:val="left"/>
        <w:rPr>
          <w:rFonts w:ascii="宋体" w:hAnsi="宋体"/>
          <w:kern w:val="44"/>
        </w:rPr>
      </w:pPr>
      <w:r>
        <w:rPr>
          <w:rFonts w:hint="eastAsia" w:ascii="宋体" w:hAnsi="宋体"/>
          <w:kern w:val="44"/>
        </w:rPr>
        <w:t>厂长（经理）应当具备下列条件：</w:t>
      </w:r>
    </w:p>
    <w:p w14:paraId="2D4C14E6">
      <w:pPr>
        <w:jc w:val="left"/>
        <w:rPr>
          <w:rFonts w:ascii="宋体" w:hAnsi="宋体"/>
          <w:kern w:val="44"/>
        </w:rPr>
      </w:pPr>
      <w:r>
        <w:rPr>
          <w:rFonts w:hint="eastAsia" w:ascii="宋体" w:hAnsi="宋体"/>
          <w:kern w:val="44"/>
        </w:rPr>
        <w:t>（一）坚持党的基本路线；</w:t>
      </w:r>
    </w:p>
    <w:p w14:paraId="0AA64A15">
      <w:pPr>
        <w:jc w:val="left"/>
        <w:rPr>
          <w:rFonts w:ascii="宋体" w:hAnsi="宋体"/>
          <w:kern w:val="44"/>
        </w:rPr>
      </w:pPr>
      <w:r>
        <w:rPr>
          <w:rFonts w:hint="eastAsia" w:ascii="宋体" w:hAnsi="宋体"/>
          <w:kern w:val="44"/>
        </w:rPr>
        <w:t>（二）遵纪守法；</w:t>
      </w:r>
    </w:p>
    <w:p w14:paraId="44A14A18">
      <w:pPr>
        <w:jc w:val="left"/>
        <w:rPr>
          <w:rFonts w:ascii="宋体" w:hAnsi="宋体"/>
          <w:kern w:val="44"/>
        </w:rPr>
      </w:pPr>
      <w:r>
        <w:rPr>
          <w:rFonts w:hint="eastAsia" w:ascii="宋体" w:hAnsi="宋体"/>
          <w:kern w:val="44"/>
        </w:rPr>
        <w:t>（三）相应的文化知识、专业技术知识；</w:t>
      </w:r>
    </w:p>
    <w:p w14:paraId="51035230">
      <w:pPr>
        <w:jc w:val="left"/>
        <w:rPr>
          <w:rFonts w:ascii="宋体" w:hAnsi="宋体"/>
          <w:kern w:val="44"/>
        </w:rPr>
      </w:pPr>
      <w:r>
        <w:rPr>
          <w:rFonts w:hint="eastAsia" w:ascii="宋体" w:hAnsi="宋体"/>
          <w:kern w:val="44"/>
        </w:rPr>
        <w:t>（四）必要的企业经营管理能力；</w:t>
      </w:r>
    </w:p>
    <w:p w14:paraId="1A3816A4">
      <w:pPr>
        <w:jc w:val="left"/>
        <w:rPr>
          <w:rFonts w:ascii="宋体" w:hAnsi="宋体"/>
          <w:kern w:val="44"/>
        </w:rPr>
      </w:pPr>
      <w:r>
        <w:rPr>
          <w:rFonts w:hint="eastAsia" w:ascii="宋体" w:hAnsi="宋体"/>
          <w:kern w:val="44"/>
        </w:rPr>
        <w:t>（五）发包方提出的其他合法条件。</w:t>
      </w:r>
    </w:p>
    <w:p w14:paraId="2AD1317C">
      <w:pPr>
        <w:ind w:firstLine="422"/>
        <w:jc w:val="left"/>
        <w:rPr>
          <w:rFonts w:ascii="宋体" w:hAnsi="宋体"/>
          <w:kern w:val="44"/>
        </w:rPr>
      </w:pPr>
      <w:r>
        <w:rPr>
          <w:rFonts w:hint="eastAsia" w:ascii="宋体" w:hAnsi="宋体"/>
          <w:b/>
          <w:kern w:val="44"/>
        </w:rPr>
        <w:t>第十一条</w:t>
      </w:r>
      <w:r>
        <w:rPr>
          <w:rFonts w:hint="eastAsia" w:ascii="宋体" w:hAnsi="宋体"/>
          <w:kern w:val="44"/>
        </w:rPr>
        <w:t>　承包经营的主要内容是企业利润、企业资产的保值增值、企业技术改造任务和根据实际情况确定的其他承包内容。</w:t>
      </w:r>
    </w:p>
    <w:p w14:paraId="0A4FFC7A">
      <w:pPr>
        <w:ind w:firstLine="422"/>
        <w:jc w:val="left"/>
        <w:rPr>
          <w:rFonts w:ascii="宋体" w:hAnsi="宋体"/>
          <w:kern w:val="44"/>
        </w:rPr>
      </w:pPr>
      <w:r>
        <w:rPr>
          <w:rFonts w:hint="eastAsia" w:ascii="宋体" w:hAnsi="宋体"/>
          <w:b/>
          <w:kern w:val="44"/>
        </w:rPr>
        <w:t>第十二条</w:t>
      </w:r>
      <w:r>
        <w:rPr>
          <w:rFonts w:hint="eastAsia" w:ascii="宋体" w:hAnsi="宋体"/>
          <w:kern w:val="44"/>
        </w:rPr>
        <w:t>　承包利润应当按照投入产出比、同行业平均水平、企业生产能力以及发展潜力、市场前景、资金条件科学预测确定。</w:t>
      </w:r>
    </w:p>
    <w:p w14:paraId="67930E0C">
      <w:pPr>
        <w:ind w:firstLine="422"/>
        <w:jc w:val="left"/>
        <w:rPr>
          <w:rFonts w:ascii="宋体" w:hAnsi="宋体"/>
          <w:kern w:val="44"/>
        </w:rPr>
      </w:pPr>
      <w:r>
        <w:rPr>
          <w:rFonts w:hint="eastAsia" w:ascii="宋体" w:hAnsi="宋体"/>
          <w:b/>
          <w:kern w:val="44"/>
        </w:rPr>
        <w:t>第十三条</w:t>
      </w:r>
      <w:r>
        <w:rPr>
          <w:rFonts w:hint="eastAsia" w:ascii="宋体" w:hAnsi="宋体"/>
          <w:kern w:val="44"/>
        </w:rPr>
        <w:t>　承包利润是依法缴纳国家税费后的利润净额。</w:t>
      </w:r>
    </w:p>
    <w:p w14:paraId="5BEE1770">
      <w:pPr>
        <w:jc w:val="left"/>
        <w:rPr>
          <w:rFonts w:ascii="宋体" w:hAnsi="宋体"/>
          <w:kern w:val="44"/>
        </w:rPr>
      </w:pPr>
      <w:r>
        <w:rPr>
          <w:rFonts w:hint="eastAsia" w:ascii="宋体" w:hAnsi="宋体"/>
          <w:kern w:val="44"/>
        </w:rPr>
        <w:t>罚没款项和弥补以前年度亏损的责任承担方由承包经营合同约定。</w:t>
      </w:r>
    </w:p>
    <w:p w14:paraId="359127EB">
      <w:pPr>
        <w:ind w:firstLine="422"/>
        <w:jc w:val="left"/>
        <w:rPr>
          <w:rFonts w:ascii="宋体" w:hAnsi="宋体"/>
          <w:kern w:val="44"/>
        </w:rPr>
      </w:pPr>
      <w:r>
        <w:rPr>
          <w:rFonts w:hint="eastAsia" w:ascii="宋体" w:hAnsi="宋体"/>
          <w:b/>
          <w:kern w:val="44"/>
        </w:rPr>
        <w:t>第十四条</w:t>
      </w:r>
      <w:r>
        <w:rPr>
          <w:rFonts w:hint="eastAsia" w:ascii="宋体" w:hAnsi="宋体"/>
          <w:kern w:val="44"/>
        </w:rPr>
        <w:t>　发包方与承包方承包利润的分配方式：</w:t>
      </w:r>
    </w:p>
    <w:p w14:paraId="5535A5F4">
      <w:pPr>
        <w:jc w:val="left"/>
        <w:rPr>
          <w:rFonts w:ascii="宋体" w:hAnsi="宋体"/>
          <w:kern w:val="44"/>
        </w:rPr>
      </w:pPr>
      <w:r>
        <w:rPr>
          <w:rFonts w:hint="eastAsia" w:ascii="宋体" w:hAnsi="宋体"/>
          <w:kern w:val="44"/>
        </w:rPr>
        <w:t>（一）全额分成；</w:t>
      </w:r>
    </w:p>
    <w:p w14:paraId="16607D7E">
      <w:pPr>
        <w:jc w:val="left"/>
        <w:rPr>
          <w:rFonts w:ascii="宋体" w:hAnsi="宋体"/>
          <w:kern w:val="44"/>
        </w:rPr>
      </w:pPr>
      <w:r>
        <w:rPr>
          <w:rFonts w:hint="eastAsia" w:ascii="宋体" w:hAnsi="宋体"/>
          <w:kern w:val="44"/>
        </w:rPr>
        <w:t>（二）基数包干，超利分成；</w:t>
      </w:r>
    </w:p>
    <w:p w14:paraId="5576372E">
      <w:pPr>
        <w:jc w:val="left"/>
        <w:rPr>
          <w:rFonts w:ascii="宋体" w:hAnsi="宋体"/>
          <w:kern w:val="44"/>
        </w:rPr>
      </w:pPr>
      <w:r>
        <w:rPr>
          <w:rFonts w:hint="eastAsia" w:ascii="宋体" w:hAnsi="宋体"/>
          <w:kern w:val="44"/>
        </w:rPr>
        <w:t>（三）基数递增包干；</w:t>
      </w:r>
    </w:p>
    <w:p w14:paraId="36862E9B">
      <w:pPr>
        <w:jc w:val="left"/>
        <w:rPr>
          <w:rFonts w:ascii="宋体" w:hAnsi="宋体"/>
          <w:kern w:val="44"/>
        </w:rPr>
      </w:pPr>
      <w:r>
        <w:rPr>
          <w:rFonts w:hint="eastAsia" w:ascii="宋体" w:hAnsi="宋体"/>
          <w:kern w:val="44"/>
        </w:rPr>
        <w:t>（四）定额包干；</w:t>
      </w:r>
    </w:p>
    <w:p w14:paraId="4D28C30F">
      <w:pPr>
        <w:jc w:val="left"/>
        <w:rPr>
          <w:rFonts w:ascii="宋体" w:hAnsi="宋体"/>
          <w:kern w:val="44"/>
        </w:rPr>
      </w:pPr>
      <w:r>
        <w:rPr>
          <w:rFonts w:hint="eastAsia" w:ascii="宋体" w:hAnsi="宋体"/>
          <w:kern w:val="44"/>
        </w:rPr>
        <w:t>（五）减亏包干；</w:t>
      </w:r>
    </w:p>
    <w:p w14:paraId="1E55D853">
      <w:pPr>
        <w:jc w:val="left"/>
        <w:rPr>
          <w:rFonts w:ascii="宋体" w:hAnsi="宋体"/>
          <w:kern w:val="44"/>
        </w:rPr>
      </w:pPr>
      <w:r>
        <w:rPr>
          <w:rFonts w:hint="eastAsia" w:ascii="宋体" w:hAnsi="宋体"/>
          <w:kern w:val="44"/>
        </w:rPr>
        <w:t>（六）双方约定的其他方式。</w:t>
      </w:r>
    </w:p>
    <w:p w14:paraId="3D1713A5">
      <w:pPr>
        <w:jc w:val="left"/>
        <w:rPr>
          <w:rFonts w:ascii="宋体" w:hAnsi="宋体"/>
          <w:kern w:val="44"/>
        </w:rPr>
      </w:pPr>
      <w:r>
        <w:rPr>
          <w:rFonts w:hint="eastAsia" w:ascii="宋体" w:hAnsi="宋体"/>
          <w:kern w:val="44"/>
        </w:rPr>
        <w:t>承包利润分配前应当进行审计。</w:t>
      </w:r>
    </w:p>
    <w:p w14:paraId="3650A738">
      <w:pPr>
        <w:ind w:firstLine="422"/>
        <w:jc w:val="left"/>
        <w:rPr>
          <w:rFonts w:ascii="宋体" w:hAnsi="宋体"/>
          <w:kern w:val="44"/>
        </w:rPr>
      </w:pPr>
      <w:r>
        <w:rPr>
          <w:rFonts w:hint="eastAsia" w:ascii="宋体" w:hAnsi="宋体"/>
          <w:b/>
          <w:kern w:val="44"/>
        </w:rPr>
        <w:t>第十五条</w:t>
      </w:r>
      <w:r>
        <w:rPr>
          <w:rFonts w:hint="eastAsia" w:ascii="宋体" w:hAnsi="宋体"/>
          <w:kern w:val="44"/>
        </w:rPr>
        <w:t>　发包方的分利归企业所有者所有，其中留给该企业用于扩大再生产的比例不得低于40％（含法定公积金）；承包方的分利归承包企业的集体或者单位、个人所有。</w:t>
      </w:r>
    </w:p>
    <w:p w14:paraId="51B7EA05">
      <w:pPr>
        <w:ind w:firstLine="422"/>
        <w:jc w:val="left"/>
        <w:rPr>
          <w:rFonts w:ascii="宋体" w:hAnsi="宋体"/>
          <w:kern w:val="44"/>
        </w:rPr>
      </w:pPr>
      <w:r>
        <w:rPr>
          <w:rFonts w:hint="eastAsia" w:ascii="宋体" w:hAnsi="宋体"/>
          <w:b/>
          <w:kern w:val="44"/>
        </w:rPr>
        <w:t>第十六条</w:t>
      </w:r>
      <w:r>
        <w:rPr>
          <w:rFonts w:hint="eastAsia" w:ascii="宋体" w:hAnsi="宋体"/>
          <w:kern w:val="44"/>
        </w:rPr>
        <w:t>　企业职工劳动报酬总额同企业经济效益挂钩，增长幅度应当低于企业利润增长幅度和劳动生产率增长幅度。承包方不得克扣合同约定的职工劳动报酬总额。</w:t>
      </w:r>
    </w:p>
    <w:p w14:paraId="30C5C52A">
      <w:pPr>
        <w:jc w:val="left"/>
        <w:rPr>
          <w:rFonts w:ascii="宋体" w:hAnsi="宋体"/>
          <w:kern w:val="44"/>
        </w:rPr>
      </w:pPr>
      <w:r>
        <w:rPr>
          <w:rFonts w:hint="eastAsia" w:ascii="宋体" w:hAnsi="宋体"/>
          <w:kern w:val="44"/>
        </w:rPr>
        <w:t>厂长（经理）的劳动报酬根据企业规模大小和经济效益高低由合同约定。对有突出贡献的厂长（经理），发包方可以给予奖励，奖金由发包方拨付。</w:t>
      </w:r>
    </w:p>
    <w:p w14:paraId="7161D500">
      <w:pPr>
        <w:ind w:firstLine="422"/>
        <w:jc w:val="left"/>
        <w:rPr>
          <w:rFonts w:ascii="宋体" w:hAnsi="宋体"/>
          <w:kern w:val="44"/>
        </w:rPr>
      </w:pPr>
      <w:r>
        <w:rPr>
          <w:rFonts w:hint="eastAsia" w:ascii="宋体" w:hAnsi="宋体"/>
          <w:b/>
          <w:kern w:val="44"/>
        </w:rPr>
        <w:t>第十七条</w:t>
      </w:r>
      <w:r>
        <w:rPr>
          <w:rFonts w:hint="eastAsia" w:ascii="宋体" w:hAnsi="宋体"/>
          <w:kern w:val="44"/>
        </w:rPr>
        <w:t>　承包期限一般为3至5年。承包期满，双方协商一致，可以连续承包。</w:t>
      </w:r>
    </w:p>
    <w:p w14:paraId="0E469C8B">
      <w:pPr>
        <w:ind w:firstLine="422"/>
        <w:jc w:val="left"/>
        <w:rPr>
          <w:rFonts w:ascii="宋体" w:hAnsi="宋体"/>
          <w:kern w:val="44"/>
        </w:rPr>
      </w:pPr>
      <w:r>
        <w:rPr>
          <w:rFonts w:hint="eastAsia" w:ascii="宋体" w:hAnsi="宋体"/>
          <w:b/>
          <w:kern w:val="44"/>
        </w:rPr>
        <w:t>第十八条</w:t>
      </w:r>
      <w:r>
        <w:rPr>
          <w:rFonts w:hint="eastAsia" w:ascii="宋体" w:hAnsi="宋体"/>
          <w:kern w:val="44"/>
        </w:rPr>
        <w:t>　实行承包经营的企业应当按照责、权、利相结合的原则，建立健全企业内部经营管理责任制。</w:t>
      </w:r>
    </w:p>
    <w:p w14:paraId="4CA6AEED">
      <w:pPr>
        <w:ind w:firstLine="422"/>
        <w:jc w:val="left"/>
        <w:rPr>
          <w:rFonts w:ascii="宋体" w:hAnsi="宋体"/>
          <w:kern w:val="44"/>
        </w:rPr>
      </w:pPr>
      <w:r>
        <w:rPr>
          <w:rFonts w:hint="eastAsia" w:ascii="宋体" w:hAnsi="宋体"/>
          <w:b/>
          <w:kern w:val="44"/>
        </w:rPr>
        <w:t>第十九条</w:t>
      </w:r>
      <w:r>
        <w:rPr>
          <w:rFonts w:hint="eastAsia" w:ascii="宋体" w:hAnsi="宋体"/>
          <w:kern w:val="44"/>
        </w:rPr>
        <w:t>　实行承包经营的企业应当加强民主管理，健全职工大会或者职工代表大会制度，切实保障职工的民主权利。</w:t>
      </w:r>
    </w:p>
    <w:p w14:paraId="33FB62F4">
      <w:pPr>
        <w:jc w:val="left"/>
        <w:rPr>
          <w:rFonts w:ascii="宋体" w:hAnsi="宋体"/>
          <w:kern w:val="44"/>
        </w:rPr>
      </w:pPr>
      <w:r>
        <w:rPr>
          <w:rFonts w:hint="eastAsia" w:ascii="宋体" w:hAnsi="宋体"/>
          <w:kern w:val="44"/>
        </w:rPr>
        <w:t>厂长（经理）应当定期向职工大会或者职工代表大会报告工作。</w:t>
      </w:r>
    </w:p>
    <w:p w14:paraId="6EC737B9">
      <w:pPr>
        <w:jc w:val="left"/>
        <w:rPr>
          <w:rFonts w:ascii="宋体" w:hAnsi="宋体"/>
          <w:kern w:val="44"/>
        </w:rPr>
      </w:pPr>
    </w:p>
    <w:p w14:paraId="0C5898D6">
      <w:pPr>
        <w:ind w:firstLine="0" w:firstLineChars="0"/>
        <w:jc w:val="center"/>
        <w:rPr>
          <w:rFonts w:ascii="宋体" w:hAnsi="宋体"/>
          <w:b/>
          <w:kern w:val="44"/>
          <w:sz w:val="28"/>
        </w:rPr>
      </w:pPr>
      <w:r>
        <w:rPr>
          <w:rFonts w:hint="eastAsia" w:ascii="宋体" w:hAnsi="宋体"/>
          <w:b/>
          <w:kern w:val="44"/>
          <w:sz w:val="28"/>
        </w:rPr>
        <w:t>第三章  发包方、承包方</w:t>
      </w:r>
    </w:p>
    <w:p w14:paraId="5520BEF1">
      <w:pPr>
        <w:ind w:firstLine="914" w:firstLineChars="325"/>
        <w:jc w:val="center"/>
        <w:rPr>
          <w:rFonts w:ascii="宋体" w:hAnsi="宋体"/>
          <w:b/>
          <w:kern w:val="44"/>
          <w:sz w:val="28"/>
        </w:rPr>
      </w:pPr>
      <w:r>
        <w:rPr>
          <w:rFonts w:hint="eastAsia" w:ascii="宋体" w:hAnsi="宋体"/>
          <w:b/>
          <w:kern w:val="44"/>
          <w:sz w:val="28"/>
        </w:rPr>
        <w:t>的权利和义务</w:t>
      </w:r>
    </w:p>
    <w:p w14:paraId="2BCFD7B0">
      <w:pPr>
        <w:jc w:val="left"/>
        <w:rPr>
          <w:rFonts w:ascii="宋体" w:hAnsi="宋体"/>
          <w:kern w:val="44"/>
        </w:rPr>
      </w:pPr>
    </w:p>
    <w:p w14:paraId="0925B4E7">
      <w:pPr>
        <w:ind w:firstLine="422"/>
        <w:jc w:val="left"/>
        <w:rPr>
          <w:rFonts w:ascii="宋体" w:hAnsi="宋体"/>
          <w:kern w:val="44"/>
        </w:rPr>
      </w:pPr>
      <w:r>
        <w:rPr>
          <w:rFonts w:hint="eastAsia" w:ascii="宋体" w:hAnsi="宋体"/>
          <w:b/>
          <w:kern w:val="44"/>
        </w:rPr>
        <w:t>第二十条</w:t>
      </w:r>
      <w:r>
        <w:rPr>
          <w:rFonts w:hint="eastAsia" w:ascii="宋体" w:hAnsi="宋体"/>
          <w:kern w:val="44"/>
        </w:rPr>
        <w:t>　发包方享有以下权利：</w:t>
      </w:r>
    </w:p>
    <w:p w14:paraId="5934E15E">
      <w:pPr>
        <w:jc w:val="left"/>
        <w:rPr>
          <w:rFonts w:ascii="宋体" w:hAnsi="宋体"/>
          <w:kern w:val="44"/>
        </w:rPr>
      </w:pPr>
      <w:r>
        <w:rPr>
          <w:rFonts w:hint="eastAsia" w:ascii="宋体" w:hAnsi="宋体"/>
          <w:kern w:val="44"/>
        </w:rPr>
        <w:t>（一）对企业资产拥有所有权；</w:t>
      </w:r>
    </w:p>
    <w:p w14:paraId="492542D2">
      <w:pPr>
        <w:jc w:val="left"/>
        <w:rPr>
          <w:rFonts w:ascii="宋体" w:hAnsi="宋体"/>
          <w:kern w:val="44"/>
        </w:rPr>
      </w:pPr>
      <w:r>
        <w:rPr>
          <w:rFonts w:hint="eastAsia" w:ascii="宋体" w:hAnsi="宋体"/>
          <w:kern w:val="44"/>
        </w:rPr>
        <w:t>（二）考核企业资产保值、增值、损耗，对企业生产经营活动进行监督，并提出改善经营的建议；</w:t>
      </w:r>
    </w:p>
    <w:p w14:paraId="6483BE25">
      <w:pPr>
        <w:jc w:val="left"/>
        <w:rPr>
          <w:rFonts w:ascii="宋体" w:hAnsi="宋体"/>
          <w:kern w:val="44"/>
        </w:rPr>
      </w:pPr>
      <w:r>
        <w:rPr>
          <w:rFonts w:hint="eastAsia" w:ascii="宋体" w:hAnsi="宋体"/>
          <w:kern w:val="44"/>
        </w:rPr>
        <w:t>（三）对承包方履行承包合同情况进行定期审计；</w:t>
      </w:r>
    </w:p>
    <w:p w14:paraId="2D9C09B2">
      <w:pPr>
        <w:jc w:val="left"/>
        <w:rPr>
          <w:rFonts w:ascii="宋体" w:hAnsi="宋体"/>
          <w:kern w:val="44"/>
        </w:rPr>
      </w:pPr>
      <w:r>
        <w:rPr>
          <w:rFonts w:hint="eastAsia" w:ascii="宋体" w:hAnsi="宋体"/>
          <w:kern w:val="44"/>
        </w:rPr>
        <w:t>（四）决定企业厂长（经理）人选；</w:t>
      </w:r>
    </w:p>
    <w:p w14:paraId="4D3BCADE">
      <w:pPr>
        <w:jc w:val="left"/>
        <w:rPr>
          <w:rFonts w:ascii="宋体" w:hAnsi="宋体"/>
          <w:kern w:val="44"/>
        </w:rPr>
      </w:pPr>
      <w:r>
        <w:rPr>
          <w:rFonts w:hint="eastAsia" w:ascii="宋体" w:hAnsi="宋体"/>
          <w:kern w:val="44"/>
        </w:rPr>
        <w:t>（五）决定承包方提出的企业分立或者合并；</w:t>
      </w:r>
    </w:p>
    <w:p w14:paraId="043C05DA">
      <w:pPr>
        <w:jc w:val="left"/>
        <w:rPr>
          <w:rFonts w:ascii="宋体" w:hAnsi="宋体"/>
          <w:kern w:val="44"/>
        </w:rPr>
      </w:pPr>
      <w:r>
        <w:rPr>
          <w:rFonts w:hint="eastAsia" w:ascii="宋体" w:hAnsi="宋体"/>
          <w:kern w:val="44"/>
        </w:rPr>
        <w:t>（六）按照合同规定的权限，批准投资项目和非生产性开支；</w:t>
      </w:r>
    </w:p>
    <w:p w14:paraId="32D47132">
      <w:pPr>
        <w:jc w:val="left"/>
        <w:rPr>
          <w:rFonts w:ascii="宋体" w:hAnsi="宋体"/>
          <w:kern w:val="44"/>
        </w:rPr>
      </w:pPr>
      <w:r>
        <w:rPr>
          <w:rFonts w:hint="eastAsia" w:ascii="宋体" w:hAnsi="宋体"/>
          <w:kern w:val="44"/>
        </w:rPr>
        <w:t>（七）审批企业资产的报损、冲减、核销，以及按照合同规定权限批准资产的出租、抵押或者出售；</w:t>
      </w:r>
    </w:p>
    <w:p w14:paraId="0B5559AF">
      <w:pPr>
        <w:jc w:val="left"/>
        <w:rPr>
          <w:rFonts w:ascii="宋体" w:hAnsi="宋体"/>
          <w:kern w:val="44"/>
        </w:rPr>
      </w:pPr>
      <w:r>
        <w:rPr>
          <w:rFonts w:hint="eastAsia" w:ascii="宋体" w:hAnsi="宋体"/>
          <w:kern w:val="44"/>
        </w:rPr>
        <w:t>（八）合同约定的其他权利。</w:t>
      </w:r>
    </w:p>
    <w:p w14:paraId="380809E1">
      <w:pPr>
        <w:ind w:firstLine="422"/>
        <w:jc w:val="left"/>
        <w:rPr>
          <w:rFonts w:ascii="宋体" w:hAnsi="宋体"/>
          <w:kern w:val="44"/>
        </w:rPr>
      </w:pPr>
      <w:r>
        <w:rPr>
          <w:rFonts w:hint="eastAsia" w:ascii="宋体" w:hAnsi="宋体"/>
          <w:b/>
          <w:kern w:val="44"/>
        </w:rPr>
        <w:t>第二十一条</w:t>
      </w:r>
      <w:r>
        <w:rPr>
          <w:rFonts w:hint="eastAsia" w:ascii="宋体" w:hAnsi="宋体"/>
          <w:kern w:val="44"/>
        </w:rPr>
        <w:t>　发包方应当履行下列义务：</w:t>
      </w:r>
    </w:p>
    <w:p w14:paraId="150200DA">
      <w:pPr>
        <w:jc w:val="left"/>
        <w:rPr>
          <w:rFonts w:ascii="宋体" w:hAnsi="宋体"/>
          <w:kern w:val="44"/>
        </w:rPr>
      </w:pPr>
      <w:r>
        <w:rPr>
          <w:rFonts w:hint="eastAsia" w:ascii="宋体" w:hAnsi="宋体"/>
          <w:kern w:val="44"/>
        </w:rPr>
        <w:t>（一）发包前对企业的资产进行清理，登记造册；</w:t>
      </w:r>
    </w:p>
    <w:p w14:paraId="263A7B14">
      <w:pPr>
        <w:jc w:val="left"/>
        <w:rPr>
          <w:rFonts w:ascii="宋体" w:hAnsi="宋体"/>
          <w:kern w:val="44"/>
        </w:rPr>
      </w:pPr>
      <w:r>
        <w:rPr>
          <w:rFonts w:hint="eastAsia" w:ascii="宋体" w:hAnsi="宋体"/>
          <w:kern w:val="44"/>
        </w:rPr>
        <w:t>（二）保障承包方依法行使经营权，不干预企业合法的生产经营活动；</w:t>
      </w:r>
    </w:p>
    <w:p w14:paraId="4B1ACD53">
      <w:pPr>
        <w:jc w:val="left"/>
        <w:rPr>
          <w:rFonts w:ascii="宋体" w:hAnsi="宋体"/>
          <w:kern w:val="44"/>
        </w:rPr>
      </w:pPr>
      <w:r>
        <w:rPr>
          <w:rFonts w:hint="eastAsia" w:ascii="宋体" w:hAnsi="宋体"/>
          <w:kern w:val="44"/>
        </w:rPr>
        <w:t>（三）协助承包方解决生产经营中的困难；</w:t>
      </w:r>
    </w:p>
    <w:p w14:paraId="025DA760">
      <w:pPr>
        <w:jc w:val="left"/>
        <w:rPr>
          <w:rFonts w:ascii="宋体" w:hAnsi="宋体"/>
          <w:kern w:val="44"/>
        </w:rPr>
      </w:pPr>
      <w:r>
        <w:rPr>
          <w:rFonts w:hint="eastAsia" w:ascii="宋体" w:hAnsi="宋体"/>
          <w:kern w:val="44"/>
        </w:rPr>
        <w:t>（四）维护承包方和企业的合法权益，如期兑现承包经营合同；</w:t>
      </w:r>
    </w:p>
    <w:p w14:paraId="32A61847">
      <w:pPr>
        <w:jc w:val="left"/>
        <w:rPr>
          <w:rFonts w:ascii="宋体" w:hAnsi="宋体"/>
          <w:kern w:val="44"/>
        </w:rPr>
      </w:pPr>
      <w:r>
        <w:rPr>
          <w:rFonts w:hint="eastAsia" w:ascii="宋体" w:hAnsi="宋体"/>
          <w:kern w:val="44"/>
        </w:rPr>
        <w:t>（五）合同约定的其他义务。</w:t>
      </w:r>
    </w:p>
    <w:p w14:paraId="462C7E2A">
      <w:pPr>
        <w:ind w:firstLine="422"/>
        <w:jc w:val="left"/>
        <w:rPr>
          <w:rFonts w:ascii="宋体" w:hAnsi="宋体"/>
          <w:kern w:val="44"/>
        </w:rPr>
      </w:pPr>
      <w:r>
        <w:rPr>
          <w:rFonts w:hint="eastAsia" w:ascii="宋体" w:hAnsi="宋体"/>
          <w:b/>
          <w:kern w:val="44"/>
        </w:rPr>
        <w:t>第二十二条</w:t>
      </w:r>
      <w:r>
        <w:rPr>
          <w:rFonts w:hint="eastAsia" w:ascii="宋体" w:hAnsi="宋体"/>
          <w:kern w:val="44"/>
        </w:rPr>
        <w:t>　承包方享有以下权利：</w:t>
      </w:r>
    </w:p>
    <w:p w14:paraId="39BCF642">
      <w:pPr>
        <w:jc w:val="left"/>
        <w:rPr>
          <w:rFonts w:ascii="宋体" w:hAnsi="宋体"/>
          <w:kern w:val="44"/>
        </w:rPr>
      </w:pPr>
      <w:r>
        <w:rPr>
          <w:rFonts w:hint="eastAsia" w:ascii="宋体" w:hAnsi="宋体"/>
          <w:kern w:val="44"/>
        </w:rPr>
        <w:t>（一）生产经营决策权。根据市场需求和国家宏观政策指导，自主作出生产经营决策。</w:t>
      </w:r>
    </w:p>
    <w:p w14:paraId="247B1C30">
      <w:pPr>
        <w:jc w:val="left"/>
        <w:rPr>
          <w:rFonts w:ascii="宋体" w:hAnsi="宋体"/>
          <w:kern w:val="44"/>
        </w:rPr>
      </w:pPr>
      <w:r>
        <w:rPr>
          <w:rFonts w:hint="eastAsia" w:ascii="宋体" w:hAnsi="宋体"/>
          <w:kern w:val="44"/>
        </w:rPr>
        <w:t>（二）资金支配权。依照国家财政、金融的有关规定，自主确定企业资金的运用。非生产性开支在承包合同约定的限额内可以自主支配。</w:t>
      </w:r>
    </w:p>
    <w:p w14:paraId="4A3D4954">
      <w:pPr>
        <w:jc w:val="left"/>
        <w:rPr>
          <w:rFonts w:ascii="宋体" w:hAnsi="宋体"/>
          <w:kern w:val="44"/>
        </w:rPr>
      </w:pPr>
      <w:r>
        <w:rPr>
          <w:rFonts w:hint="eastAsia" w:ascii="宋体" w:hAnsi="宋体"/>
          <w:kern w:val="44"/>
        </w:rPr>
        <w:t>（三）投资决策权。依照承包合同约定的限额，有权决定增加企业生产性投资，有权决定以企业的货币资金、实物、工业产权和非专利技术等向其他企业、事业单位投资。</w:t>
      </w:r>
    </w:p>
    <w:p w14:paraId="44E2B929">
      <w:pPr>
        <w:jc w:val="left"/>
        <w:rPr>
          <w:rFonts w:ascii="宋体" w:hAnsi="宋体"/>
          <w:kern w:val="44"/>
        </w:rPr>
      </w:pPr>
      <w:r>
        <w:rPr>
          <w:rFonts w:hint="eastAsia" w:ascii="宋体" w:hAnsi="宋体"/>
          <w:kern w:val="44"/>
        </w:rPr>
        <w:t>（四）资产处置权。按照承包合同约定的限额，可以决定对企业资产的出租、抵押或者出售。</w:t>
      </w:r>
    </w:p>
    <w:p w14:paraId="739BB852">
      <w:pPr>
        <w:jc w:val="left"/>
        <w:rPr>
          <w:rFonts w:ascii="宋体" w:hAnsi="宋体"/>
          <w:kern w:val="44"/>
        </w:rPr>
      </w:pPr>
      <w:r>
        <w:rPr>
          <w:rFonts w:hint="eastAsia" w:ascii="宋体" w:hAnsi="宋体"/>
          <w:kern w:val="44"/>
        </w:rPr>
        <w:t>处置企业资产，必须经有关部门进行资产评估。出售所得，属发包方所有，不得列入承包利润。</w:t>
      </w:r>
    </w:p>
    <w:p w14:paraId="7F8C0E3B">
      <w:pPr>
        <w:jc w:val="left"/>
        <w:rPr>
          <w:rFonts w:ascii="宋体" w:hAnsi="宋体"/>
          <w:kern w:val="44"/>
        </w:rPr>
      </w:pPr>
      <w:r>
        <w:rPr>
          <w:rFonts w:hint="eastAsia" w:ascii="宋体" w:hAnsi="宋体"/>
          <w:kern w:val="44"/>
        </w:rPr>
        <w:t>（五）劳动用工权。按照企业章程规定的用工条件，自主决定录用职工，有权按照用工合同和企业章程终止、解除劳动合同，辞退、除名、开除职工。</w:t>
      </w:r>
    </w:p>
    <w:p w14:paraId="356118EF">
      <w:pPr>
        <w:jc w:val="left"/>
        <w:rPr>
          <w:rFonts w:ascii="宋体" w:hAnsi="宋体"/>
          <w:kern w:val="44"/>
        </w:rPr>
      </w:pPr>
      <w:r>
        <w:rPr>
          <w:rFonts w:hint="eastAsia" w:ascii="宋体" w:hAnsi="宋体"/>
          <w:kern w:val="44"/>
        </w:rPr>
        <w:t>（六）人事管理权。副厂长（副经理）及其以下管理人员由厂长（经理）决定，报发包方备案；主管会计任免必须经发包方同意。</w:t>
      </w:r>
    </w:p>
    <w:p w14:paraId="6706367C">
      <w:pPr>
        <w:jc w:val="left"/>
        <w:rPr>
          <w:rFonts w:ascii="宋体" w:hAnsi="宋体"/>
          <w:kern w:val="44"/>
        </w:rPr>
      </w:pPr>
      <w:r>
        <w:rPr>
          <w:rFonts w:hint="eastAsia" w:ascii="宋体" w:hAnsi="宋体"/>
          <w:kern w:val="44"/>
        </w:rPr>
        <w:t>（七）劳动报酬分配权。在承包合同约定提取的报酬总额和承包分利数额内，有权按照贡献确定分配形式和数额。</w:t>
      </w:r>
    </w:p>
    <w:p w14:paraId="79FE0D10">
      <w:pPr>
        <w:jc w:val="left"/>
        <w:rPr>
          <w:rFonts w:ascii="宋体" w:hAnsi="宋体"/>
          <w:kern w:val="44"/>
        </w:rPr>
      </w:pPr>
      <w:r>
        <w:rPr>
          <w:rFonts w:hint="eastAsia" w:ascii="宋体" w:hAnsi="宋体"/>
          <w:kern w:val="44"/>
        </w:rPr>
        <w:t>（八）内部机构设置权。自主确定内部机构的设置及其人员编制，有权拒绝任何部门和单位对企业设置机构和编制的要求。</w:t>
      </w:r>
    </w:p>
    <w:p w14:paraId="2004FE0F">
      <w:pPr>
        <w:jc w:val="left"/>
        <w:rPr>
          <w:rFonts w:ascii="宋体" w:hAnsi="宋体"/>
          <w:kern w:val="44"/>
        </w:rPr>
      </w:pPr>
      <w:r>
        <w:rPr>
          <w:rFonts w:hint="eastAsia" w:ascii="宋体" w:hAnsi="宋体"/>
          <w:kern w:val="44"/>
        </w:rPr>
        <w:t>（九）合法收益权。按照承包合同约定，有权获得合法承包分利，任何单位和个人不得截留。</w:t>
      </w:r>
    </w:p>
    <w:p w14:paraId="1F3027A0">
      <w:pPr>
        <w:jc w:val="left"/>
        <w:rPr>
          <w:rFonts w:ascii="宋体" w:hAnsi="宋体"/>
          <w:kern w:val="44"/>
        </w:rPr>
      </w:pPr>
      <w:r>
        <w:rPr>
          <w:rFonts w:hint="eastAsia" w:ascii="宋体" w:hAnsi="宋体"/>
          <w:kern w:val="44"/>
        </w:rPr>
        <w:t>（十）承包合同约定的其他权利。</w:t>
      </w:r>
    </w:p>
    <w:p w14:paraId="3F8A4441">
      <w:pPr>
        <w:ind w:firstLine="422"/>
        <w:jc w:val="left"/>
        <w:rPr>
          <w:rFonts w:ascii="宋体" w:hAnsi="宋体"/>
          <w:kern w:val="44"/>
        </w:rPr>
      </w:pPr>
      <w:r>
        <w:rPr>
          <w:rFonts w:hint="eastAsia" w:ascii="宋体" w:hAnsi="宋体"/>
          <w:b/>
          <w:kern w:val="44"/>
        </w:rPr>
        <w:t>第二十三条</w:t>
      </w:r>
      <w:r>
        <w:rPr>
          <w:rFonts w:hint="eastAsia" w:ascii="宋体" w:hAnsi="宋体"/>
          <w:kern w:val="44"/>
        </w:rPr>
        <w:t>　承包方应当履行下列义务：</w:t>
      </w:r>
    </w:p>
    <w:p w14:paraId="4D157D83">
      <w:pPr>
        <w:jc w:val="left"/>
        <w:rPr>
          <w:rFonts w:ascii="宋体" w:hAnsi="宋体"/>
          <w:kern w:val="44"/>
        </w:rPr>
      </w:pPr>
      <w:r>
        <w:rPr>
          <w:rFonts w:hint="eastAsia" w:ascii="宋体" w:hAnsi="宋体"/>
          <w:kern w:val="44"/>
        </w:rPr>
        <w:t>（一）贯彻执行有关法律、法规和政策；</w:t>
      </w:r>
    </w:p>
    <w:p w14:paraId="18D9040C">
      <w:pPr>
        <w:jc w:val="left"/>
        <w:rPr>
          <w:rFonts w:ascii="宋体" w:hAnsi="宋体"/>
          <w:kern w:val="44"/>
        </w:rPr>
      </w:pPr>
      <w:r>
        <w:rPr>
          <w:rFonts w:hint="eastAsia" w:ascii="宋体" w:hAnsi="宋体"/>
          <w:kern w:val="44"/>
        </w:rPr>
        <w:t>（二）全面履行承包经营合同规定的各项任务；</w:t>
      </w:r>
    </w:p>
    <w:p w14:paraId="13740A6F">
      <w:pPr>
        <w:jc w:val="left"/>
        <w:rPr>
          <w:rFonts w:ascii="宋体" w:hAnsi="宋体"/>
          <w:kern w:val="44"/>
        </w:rPr>
      </w:pPr>
      <w:r>
        <w:rPr>
          <w:rFonts w:hint="eastAsia" w:ascii="宋体" w:hAnsi="宋体"/>
          <w:kern w:val="44"/>
        </w:rPr>
        <w:t>（三）未经双方协商，不得擅自转包；</w:t>
      </w:r>
    </w:p>
    <w:p w14:paraId="042E79E3">
      <w:pPr>
        <w:jc w:val="left"/>
        <w:rPr>
          <w:rFonts w:ascii="宋体" w:hAnsi="宋体"/>
          <w:kern w:val="44"/>
        </w:rPr>
      </w:pPr>
      <w:r>
        <w:rPr>
          <w:rFonts w:hint="eastAsia" w:ascii="宋体" w:hAnsi="宋体"/>
          <w:kern w:val="44"/>
        </w:rPr>
        <w:t>（四）按照合同约定上缴发包方应得利润；</w:t>
      </w:r>
    </w:p>
    <w:p w14:paraId="32FEDBFB">
      <w:pPr>
        <w:jc w:val="left"/>
        <w:rPr>
          <w:rFonts w:ascii="宋体" w:hAnsi="宋体"/>
          <w:kern w:val="44"/>
        </w:rPr>
      </w:pPr>
      <w:r>
        <w:rPr>
          <w:rFonts w:hint="eastAsia" w:ascii="宋体" w:hAnsi="宋体"/>
          <w:kern w:val="44"/>
        </w:rPr>
        <w:t>（五）管好用好企业资产，保障企业资产不受侵占、损坏、损害，确保企业资产保值增值；</w:t>
      </w:r>
    </w:p>
    <w:p w14:paraId="4AC35F2B">
      <w:pPr>
        <w:jc w:val="left"/>
        <w:rPr>
          <w:rFonts w:ascii="宋体" w:hAnsi="宋体"/>
          <w:kern w:val="44"/>
        </w:rPr>
      </w:pPr>
      <w:r>
        <w:rPr>
          <w:rFonts w:hint="eastAsia" w:ascii="宋体" w:hAnsi="宋体"/>
          <w:kern w:val="44"/>
        </w:rPr>
        <w:t>（六）加强企业管理，保证产品质量；</w:t>
      </w:r>
    </w:p>
    <w:p w14:paraId="326D1855">
      <w:pPr>
        <w:jc w:val="left"/>
        <w:rPr>
          <w:rFonts w:ascii="宋体" w:hAnsi="宋体"/>
          <w:kern w:val="44"/>
        </w:rPr>
      </w:pPr>
      <w:r>
        <w:rPr>
          <w:rFonts w:hint="eastAsia" w:ascii="宋体" w:hAnsi="宋体"/>
          <w:kern w:val="44"/>
        </w:rPr>
        <w:t>（七）做好劳动保护，确保安全生产和职工健康，防止和治理污染，保护环境；</w:t>
      </w:r>
    </w:p>
    <w:p w14:paraId="10867234">
      <w:pPr>
        <w:jc w:val="left"/>
        <w:rPr>
          <w:rFonts w:ascii="宋体" w:hAnsi="宋体"/>
          <w:kern w:val="44"/>
        </w:rPr>
      </w:pPr>
      <w:r>
        <w:rPr>
          <w:rFonts w:hint="eastAsia" w:ascii="宋体" w:hAnsi="宋体"/>
          <w:kern w:val="44"/>
        </w:rPr>
        <w:t>（八）保护职工合法权益，关心职工生活，接受职工监督；</w:t>
      </w:r>
    </w:p>
    <w:p w14:paraId="45D0CC6C">
      <w:pPr>
        <w:jc w:val="left"/>
        <w:rPr>
          <w:rFonts w:ascii="宋体" w:hAnsi="宋体"/>
          <w:kern w:val="44"/>
        </w:rPr>
      </w:pPr>
      <w:r>
        <w:rPr>
          <w:rFonts w:hint="eastAsia" w:ascii="宋体" w:hAnsi="宋体"/>
          <w:kern w:val="44"/>
        </w:rPr>
        <w:t>（九）如实向发包方提供企业生产经营情况，按规定编报统计、财务报表；</w:t>
      </w:r>
    </w:p>
    <w:p w14:paraId="08B7C7B0">
      <w:pPr>
        <w:jc w:val="left"/>
        <w:rPr>
          <w:rFonts w:ascii="宋体" w:hAnsi="宋体"/>
          <w:kern w:val="44"/>
        </w:rPr>
      </w:pPr>
      <w:r>
        <w:rPr>
          <w:rFonts w:hint="eastAsia" w:ascii="宋体" w:hAnsi="宋体"/>
          <w:kern w:val="44"/>
        </w:rPr>
        <w:t>（十）开展专业技术培训，提高职工素质；</w:t>
      </w:r>
    </w:p>
    <w:p w14:paraId="3341B095">
      <w:pPr>
        <w:jc w:val="left"/>
        <w:rPr>
          <w:rFonts w:ascii="宋体" w:hAnsi="宋体"/>
          <w:kern w:val="44"/>
        </w:rPr>
      </w:pPr>
      <w:r>
        <w:rPr>
          <w:rFonts w:hint="eastAsia" w:ascii="宋体" w:hAnsi="宋体"/>
          <w:kern w:val="44"/>
        </w:rPr>
        <w:t>（十一）合同约定的其他义务。</w:t>
      </w:r>
    </w:p>
    <w:p w14:paraId="7AD76FB0">
      <w:pPr>
        <w:ind w:firstLine="422"/>
        <w:jc w:val="left"/>
        <w:rPr>
          <w:rFonts w:ascii="宋体" w:hAnsi="宋体"/>
          <w:kern w:val="44"/>
        </w:rPr>
      </w:pPr>
      <w:r>
        <w:rPr>
          <w:rFonts w:hint="eastAsia" w:ascii="宋体" w:hAnsi="宋体"/>
          <w:b/>
          <w:kern w:val="44"/>
        </w:rPr>
        <w:t>第二十四条</w:t>
      </w:r>
      <w:r>
        <w:rPr>
          <w:rFonts w:hint="eastAsia" w:ascii="宋体" w:hAnsi="宋体"/>
          <w:kern w:val="44"/>
        </w:rPr>
        <w:t>　企业有权拒绝任何单位和个人违法向企业摊派人力、物力、财力或者违法无偿调拨企业资金。</w:t>
      </w:r>
    </w:p>
    <w:p w14:paraId="4A7D84E7">
      <w:pPr>
        <w:jc w:val="left"/>
        <w:rPr>
          <w:rFonts w:ascii="宋体" w:hAnsi="宋体"/>
          <w:kern w:val="44"/>
        </w:rPr>
      </w:pPr>
    </w:p>
    <w:p w14:paraId="13F2B551">
      <w:pPr>
        <w:ind w:firstLine="0" w:firstLineChars="0"/>
        <w:jc w:val="center"/>
        <w:rPr>
          <w:rFonts w:ascii="宋体" w:hAnsi="宋体"/>
          <w:b/>
          <w:kern w:val="44"/>
          <w:sz w:val="28"/>
        </w:rPr>
      </w:pPr>
      <w:r>
        <w:rPr>
          <w:rFonts w:hint="eastAsia" w:ascii="宋体" w:hAnsi="宋体"/>
          <w:b/>
          <w:kern w:val="44"/>
          <w:sz w:val="28"/>
        </w:rPr>
        <w:t>第四章  承包经营合同</w:t>
      </w:r>
    </w:p>
    <w:p w14:paraId="2EF61A7C">
      <w:pPr>
        <w:jc w:val="left"/>
        <w:rPr>
          <w:rFonts w:ascii="宋体" w:hAnsi="宋体"/>
          <w:kern w:val="44"/>
        </w:rPr>
      </w:pPr>
    </w:p>
    <w:p w14:paraId="72B8D6A1">
      <w:pPr>
        <w:ind w:firstLine="422"/>
        <w:jc w:val="left"/>
        <w:rPr>
          <w:rFonts w:ascii="宋体" w:hAnsi="宋体"/>
          <w:kern w:val="44"/>
        </w:rPr>
      </w:pPr>
      <w:r>
        <w:rPr>
          <w:rFonts w:hint="eastAsia" w:ascii="宋体" w:hAnsi="宋体"/>
          <w:b/>
          <w:kern w:val="44"/>
        </w:rPr>
        <w:t>第二十五条</w:t>
      </w:r>
      <w:r>
        <w:rPr>
          <w:rFonts w:hint="eastAsia" w:ascii="宋体" w:hAnsi="宋体"/>
          <w:kern w:val="44"/>
        </w:rPr>
        <w:t>　实行承包经营，必须由发包方与承包方订立书面承包经营合同。</w:t>
      </w:r>
    </w:p>
    <w:p w14:paraId="24528777">
      <w:pPr>
        <w:ind w:firstLine="422"/>
        <w:jc w:val="left"/>
        <w:rPr>
          <w:rFonts w:ascii="宋体" w:hAnsi="宋体"/>
          <w:kern w:val="44"/>
        </w:rPr>
      </w:pPr>
      <w:r>
        <w:rPr>
          <w:rFonts w:hint="eastAsia" w:ascii="宋体" w:hAnsi="宋体"/>
          <w:b/>
          <w:kern w:val="44"/>
        </w:rPr>
        <w:t>第二十六条</w:t>
      </w:r>
      <w:r>
        <w:rPr>
          <w:rFonts w:hint="eastAsia" w:ascii="宋体" w:hAnsi="宋体"/>
          <w:kern w:val="44"/>
        </w:rPr>
        <w:t>　订立承包合同，合同双方必须坚持平等、自愿和协商的原则。</w:t>
      </w:r>
    </w:p>
    <w:p w14:paraId="13C17B80">
      <w:pPr>
        <w:ind w:firstLine="422"/>
        <w:jc w:val="left"/>
        <w:rPr>
          <w:rFonts w:ascii="宋体" w:hAnsi="宋体"/>
          <w:kern w:val="44"/>
        </w:rPr>
      </w:pPr>
      <w:r>
        <w:rPr>
          <w:rFonts w:hint="eastAsia" w:ascii="宋体" w:hAnsi="宋体"/>
          <w:b/>
          <w:kern w:val="44"/>
        </w:rPr>
        <w:t>第二十七条</w:t>
      </w:r>
      <w:r>
        <w:rPr>
          <w:rFonts w:hint="eastAsia" w:ascii="宋体" w:hAnsi="宋体"/>
          <w:kern w:val="44"/>
        </w:rPr>
        <w:t>　承包经营合同应当具备以下条款：</w:t>
      </w:r>
    </w:p>
    <w:p w14:paraId="1982B5CF">
      <w:pPr>
        <w:jc w:val="left"/>
        <w:rPr>
          <w:rFonts w:ascii="宋体" w:hAnsi="宋体"/>
          <w:kern w:val="44"/>
        </w:rPr>
      </w:pPr>
      <w:r>
        <w:rPr>
          <w:rFonts w:hint="eastAsia" w:ascii="宋体" w:hAnsi="宋体"/>
          <w:kern w:val="44"/>
        </w:rPr>
        <w:t>（一）发包方和承包方；</w:t>
      </w:r>
    </w:p>
    <w:p w14:paraId="69E4D030">
      <w:pPr>
        <w:jc w:val="left"/>
        <w:rPr>
          <w:rFonts w:ascii="宋体" w:hAnsi="宋体"/>
          <w:kern w:val="44"/>
        </w:rPr>
      </w:pPr>
      <w:r>
        <w:rPr>
          <w:rFonts w:hint="eastAsia" w:ascii="宋体" w:hAnsi="宋体"/>
          <w:kern w:val="44"/>
        </w:rPr>
        <w:t>（二）承包期限；</w:t>
      </w:r>
    </w:p>
    <w:p w14:paraId="121BC431">
      <w:pPr>
        <w:jc w:val="left"/>
        <w:rPr>
          <w:rFonts w:ascii="宋体" w:hAnsi="宋体"/>
          <w:kern w:val="44"/>
        </w:rPr>
      </w:pPr>
      <w:r>
        <w:rPr>
          <w:rFonts w:hint="eastAsia" w:ascii="宋体" w:hAnsi="宋体"/>
          <w:kern w:val="44"/>
        </w:rPr>
        <w:t>（三）企业资产金额；</w:t>
      </w:r>
    </w:p>
    <w:p w14:paraId="12A9689C">
      <w:pPr>
        <w:jc w:val="left"/>
        <w:rPr>
          <w:rFonts w:ascii="宋体" w:hAnsi="宋体"/>
          <w:kern w:val="44"/>
        </w:rPr>
      </w:pPr>
      <w:r>
        <w:rPr>
          <w:rFonts w:hint="eastAsia" w:ascii="宋体" w:hAnsi="宋体"/>
          <w:kern w:val="44"/>
        </w:rPr>
        <w:t>（四）各项承包指标；</w:t>
      </w:r>
    </w:p>
    <w:p w14:paraId="4C042A66">
      <w:pPr>
        <w:jc w:val="left"/>
        <w:rPr>
          <w:rFonts w:ascii="宋体" w:hAnsi="宋体"/>
          <w:kern w:val="44"/>
        </w:rPr>
      </w:pPr>
      <w:r>
        <w:rPr>
          <w:rFonts w:hint="eastAsia" w:ascii="宋体" w:hAnsi="宋体"/>
          <w:kern w:val="44"/>
        </w:rPr>
        <w:t>（五）承包利润分配的比例和方式；</w:t>
      </w:r>
    </w:p>
    <w:p w14:paraId="3FA0F298">
      <w:pPr>
        <w:jc w:val="left"/>
        <w:rPr>
          <w:rFonts w:ascii="宋体" w:hAnsi="宋体"/>
          <w:kern w:val="44"/>
        </w:rPr>
      </w:pPr>
      <w:r>
        <w:rPr>
          <w:rFonts w:hint="eastAsia" w:ascii="宋体" w:hAnsi="宋体"/>
          <w:kern w:val="44"/>
        </w:rPr>
        <w:t>（六）债权、债务及亏损的处理；</w:t>
      </w:r>
    </w:p>
    <w:p w14:paraId="691617FF">
      <w:pPr>
        <w:jc w:val="left"/>
        <w:rPr>
          <w:rFonts w:ascii="宋体" w:hAnsi="宋体"/>
          <w:kern w:val="44"/>
        </w:rPr>
      </w:pPr>
      <w:r>
        <w:rPr>
          <w:rFonts w:hint="eastAsia" w:ascii="宋体" w:hAnsi="宋体"/>
          <w:kern w:val="44"/>
        </w:rPr>
        <w:t>（七）资产保值、增值及资产折旧；</w:t>
      </w:r>
    </w:p>
    <w:p w14:paraId="78EBAB8E">
      <w:pPr>
        <w:jc w:val="left"/>
        <w:rPr>
          <w:rFonts w:ascii="宋体" w:hAnsi="宋体"/>
          <w:kern w:val="44"/>
        </w:rPr>
      </w:pPr>
      <w:r>
        <w:rPr>
          <w:rFonts w:hint="eastAsia" w:ascii="宋体" w:hAnsi="宋体"/>
          <w:kern w:val="44"/>
        </w:rPr>
        <w:t>（八）双方的权利和义务；</w:t>
      </w:r>
    </w:p>
    <w:p w14:paraId="76514365">
      <w:pPr>
        <w:jc w:val="left"/>
        <w:rPr>
          <w:rFonts w:ascii="宋体" w:hAnsi="宋体"/>
          <w:kern w:val="44"/>
        </w:rPr>
      </w:pPr>
      <w:r>
        <w:rPr>
          <w:rFonts w:hint="eastAsia" w:ascii="宋体" w:hAnsi="宋体"/>
          <w:kern w:val="44"/>
        </w:rPr>
        <w:t>（九）保护环境，治理污染；</w:t>
      </w:r>
    </w:p>
    <w:p w14:paraId="6A18BCB5">
      <w:pPr>
        <w:jc w:val="left"/>
        <w:rPr>
          <w:rFonts w:ascii="宋体" w:hAnsi="宋体"/>
          <w:kern w:val="44"/>
        </w:rPr>
      </w:pPr>
      <w:r>
        <w:rPr>
          <w:rFonts w:hint="eastAsia" w:ascii="宋体" w:hAnsi="宋体"/>
          <w:kern w:val="44"/>
        </w:rPr>
        <w:t>（十）本条例规定由合同约定的事项；</w:t>
      </w:r>
    </w:p>
    <w:p w14:paraId="45C165DC">
      <w:pPr>
        <w:jc w:val="left"/>
        <w:rPr>
          <w:rFonts w:ascii="宋体" w:hAnsi="宋体"/>
          <w:kern w:val="44"/>
        </w:rPr>
      </w:pPr>
      <w:r>
        <w:rPr>
          <w:rFonts w:hint="eastAsia" w:ascii="宋体" w:hAnsi="宋体"/>
          <w:kern w:val="44"/>
        </w:rPr>
        <w:t>（十一）双方约定的其他事项；</w:t>
      </w:r>
    </w:p>
    <w:p w14:paraId="2E211637">
      <w:pPr>
        <w:jc w:val="left"/>
        <w:rPr>
          <w:rFonts w:ascii="宋体" w:hAnsi="宋体"/>
          <w:kern w:val="44"/>
        </w:rPr>
      </w:pPr>
      <w:r>
        <w:rPr>
          <w:rFonts w:hint="eastAsia" w:ascii="宋体" w:hAnsi="宋体"/>
          <w:kern w:val="44"/>
        </w:rPr>
        <w:t>（十二）违约责任。</w:t>
      </w:r>
    </w:p>
    <w:p w14:paraId="3DB8A7FF">
      <w:pPr>
        <w:ind w:firstLine="422"/>
        <w:jc w:val="left"/>
        <w:rPr>
          <w:rFonts w:ascii="宋体" w:hAnsi="宋体"/>
          <w:kern w:val="44"/>
        </w:rPr>
      </w:pPr>
      <w:r>
        <w:rPr>
          <w:rFonts w:hint="eastAsia" w:ascii="宋体" w:hAnsi="宋体"/>
          <w:b/>
          <w:kern w:val="44"/>
        </w:rPr>
        <w:t>第二十八条</w:t>
      </w:r>
      <w:r>
        <w:rPr>
          <w:rFonts w:hint="eastAsia" w:ascii="宋体" w:hAnsi="宋体"/>
          <w:kern w:val="44"/>
        </w:rPr>
        <w:t>　承包合同依法成立，即具有法律效力，任何一方不得擅自变更或者解除。</w:t>
      </w:r>
    </w:p>
    <w:p w14:paraId="32546FEB">
      <w:pPr>
        <w:ind w:firstLine="422"/>
        <w:jc w:val="left"/>
        <w:rPr>
          <w:rFonts w:ascii="宋体" w:hAnsi="宋体"/>
          <w:kern w:val="44"/>
        </w:rPr>
      </w:pPr>
      <w:r>
        <w:rPr>
          <w:rFonts w:hint="eastAsia" w:ascii="宋体" w:hAnsi="宋体"/>
          <w:b/>
          <w:kern w:val="44"/>
        </w:rPr>
        <w:t>第二十九条</w:t>
      </w:r>
      <w:r>
        <w:rPr>
          <w:rFonts w:hint="eastAsia" w:ascii="宋体" w:hAnsi="宋体"/>
          <w:kern w:val="44"/>
        </w:rPr>
        <w:t>　有下列情况之一的，为无效承包经营合同：</w:t>
      </w:r>
    </w:p>
    <w:p w14:paraId="1AE3E994">
      <w:pPr>
        <w:jc w:val="left"/>
        <w:rPr>
          <w:rFonts w:ascii="宋体" w:hAnsi="宋体"/>
          <w:kern w:val="44"/>
        </w:rPr>
      </w:pPr>
      <w:r>
        <w:rPr>
          <w:rFonts w:hint="eastAsia" w:ascii="宋体" w:hAnsi="宋体"/>
          <w:kern w:val="44"/>
        </w:rPr>
        <w:t>（一）违反法律、法规和政策的；</w:t>
      </w:r>
    </w:p>
    <w:p w14:paraId="52770439">
      <w:pPr>
        <w:jc w:val="left"/>
        <w:rPr>
          <w:rFonts w:ascii="宋体" w:hAnsi="宋体"/>
          <w:kern w:val="44"/>
        </w:rPr>
      </w:pPr>
      <w:r>
        <w:rPr>
          <w:rFonts w:hint="eastAsia" w:ascii="宋体" w:hAnsi="宋体"/>
          <w:kern w:val="44"/>
        </w:rPr>
        <w:t>（二）损害国家、集体利益和社会公共利益的；</w:t>
      </w:r>
    </w:p>
    <w:p w14:paraId="73E9709C">
      <w:pPr>
        <w:jc w:val="left"/>
        <w:rPr>
          <w:rFonts w:ascii="宋体" w:hAnsi="宋体"/>
          <w:kern w:val="44"/>
        </w:rPr>
      </w:pPr>
      <w:r>
        <w:rPr>
          <w:rFonts w:hint="eastAsia" w:ascii="宋体" w:hAnsi="宋体"/>
          <w:kern w:val="44"/>
        </w:rPr>
        <w:t>（三）采取欺诈、胁迫和其他不正当手段签约的；</w:t>
      </w:r>
    </w:p>
    <w:p w14:paraId="281AAAE4">
      <w:pPr>
        <w:jc w:val="left"/>
        <w:rPr>
          <w:rFonts w:ascii="宋体" w:hAnsi="宋体"/>
          <w:kern w:val="44"/>
        </w:rPr>
      </w:pPr>
      <w:r>
        <w:rPr>
          <w:rFonts w:hint="eastAsia" w:ascii="宋体" w:hAnsi="宋体"/>
          <w:kern w:val="44"/>
        </w:rPr>
        <w:t>（四）未经双方协商而擅自转包的。</w:t>
      </w:r>
    </w:p>
    <w:p w14:paraId="7723712F">
      <w:pPr>
        <w:jc w:val="left"/>
        <w:rPr>
          <w:rFonts w:ascii="宋体" w:hAnsi="宋体"/>
          <w:kern w:val="44"/>
        </w:rPr>
      </w:pPr>
      <w:r>
        <w:rPr>
          <w:rFonts w:hint="eastAsia" w:ascii="宋体" w:hAnsi="宋体"/>
          <w:kern w:val="44"/>
        </w:rPr>
        <w:t>前款无效承包经营合同从订立之时起，就不具有法律约束力，经承包合同仲裁委员会或者人民法院确认后，予以废除。</w:t>
      </w:r>
    </w:p>
    <w:p w14:paraId="769F79D1">
      <w:pPr>
        <w:ind w:firstLine="422"/>
        <w:jc w:val="left"/>
        <w:rPr>
          <w:rFonts w:ascii="宋体" w:hAnsi="宋体"/>
          <w:kern w:val="44"/>
        </w:rPr>
      </w:pPr>
      <w:r>
        <w:rPr>
          <w:rFonts w:hint="eastAsia" w:ascii="宋体" w:hAnsi="宋体"/>
          <w:b/>
          <w:kern w:val="44"/>
        </w:rPr>
        <w:t>第三十条</w:t>
      </w:r>
      <w:r>
        <w:rPr>
          <w:rFonts w:hint="eastAsia" w:ascii="宋体" w:hAnsi="宋体"/>
          <w:kern w:val="44"/>
        </w:rPr>
        <w:t>　发生下列情况之一的，可以变更或者解除合同：</w:t>
      </w:r>
    </w:p>
    <w:p w14:paraId="41F8885D">
      <w:pPr>
        <w:jc w:val="left"/>
        <w:rPr>
          <w:rFonts w:ascii="宋体" w:hAnsi="宋体"/>
          <w:kern w:val="44"/>
        </w:rPr>
      </w:pPr>
      <w:r>
        <w:rPr>
          <w:rFonts w:hint="eastAsia" w:ascii="宋体" w:hAnsi="宋体"/>
          <w:kern w:val="44"/>
        </w:rPr>
        <w:t>（一）当事人双方协商一致，并且不因变更或者解除合同而损害国家或者集体利益的；</w:t>
      </w:r>
    </w:p>
    <w:p w14:paraId="1EC189C2">
      <w:pPr>
        <w:jc w:val="left"/>
        <w:rPr>
          <w:rFonts w:ascii="宋体" w:hAnsi="宋体"/>
          <w:kern w:val="44"/>
        </w:rPr>
      </w:pPr>
      <w:r>
        <w:rPr>
          <w:rFonts w:hint="eastAsia" w:ascii="宋体" w:hAnsi="宋体"/>
          <w:kern w:val="44"/>
        </w:rPr>
        <w:t>（二）由于不可抗力或者由于一方当事人虽无过失但无法防止的外因造成合同部分或者全部不能履行的；</w:t>
      </w:r>
    </w:p>
    <w:p w14:paraId="440FE323">
      <w:pPr>
        <w:jc w:val="left"/>
        <w:rPr>
          <w:rFonts w:ascii="宋体" w:hAnsi="宋体"/>
          <w:kern w:val="44"/>
        </w:rPr>
      </w:pPr>
      <w:r>
        <w:rPr>
          <w:rFonts w:hint="eastAsia" w:ascii="宋体" w:hAnsi="宋体"/>
          <w:kern w:val="44"/>
        </w:rPr>
        <w:t>（三）国家对税种、税率和价格等政策进行重大调整，致使当事人一方收益遭到较大影响的；</w:t>
      </w:r>
    </w:p>
    <w:p w14:paraId="379BF12E">
      <w:pPr>
        <w:jc w:val="left"/>
        <w:rPr>
          <w:rFonts w:ascii="宋体" w:hAnsi="宋体"/>
          <w:kern w:val="44"/>
        </w:rPr>
      </w:pPr>
      <w:r>
        <w:rPr>
          <w:rFonts w:hint="eastAsia" w:ascii="宋体" w:hAnsi="宋体"/>
          <w:kern w:val="44"/>
        </w:rPr>
        <w:t>（四）承包方违约或者经营管理不善，使承包经营合同无法履行的；</w:t>
      </w:r>
    </w:p>
    <w:p w14:paraId="60954E26">
      <w:pPr>
        <w:jc w:val="left"/>
        <w:rPr>
          <w:rFonts w:ascii="宋体" w:hAnsi="宋体"/>
          <w:kern w:val="44"/>
        </w:rPr>
      </w:pPr>
      <w:r>
        <w:rPr>
          <w:rFonts w:hint="eastAsia" w:ascii="宋体" w:hAnsi="宋体"/>
          <w:kern w:val="44"/>
        </w:rPr>
        <w:t>（五）承包方进行破坏性、掠夺式经营，经劝阻无效的；</w:t>
      </w:r>
    </w:p>
    <w:p w14:paraId="7E75C6A5">
      <w:pPr>
        <w:jc w:val="left"/>
        <w:rPr>
          <w:rFonts w:ascii="宋体" w:hAnsi="宋体"/>
          <w:kern w:val="44"/>
        </w:rPr>
      </w:pPr>
      <w:r>
        <w:rPr>
          <w:rFonts w:hint="eastAsia" w:ascii="宋体" w:hAnsi="宋体"/>
          <w:kern w:val="44"/>
        </w:rPr>
        <w:t>（六）发包方违约使承包经营合同无法履行的；</w:t>
      </w:r>
    </w:p>
    <w:p w14:paraId="580955B5">
      <w:pPr>
        <w:jc w:val="left"/>
        <w:rPr>
          <w:rFonts w:ascii="宋体" w:hAnsi="宋体"/>
          <w:kern w:val="44"/>
        </w:rPr>
      </w:pPr>
      <w:r>
        <w:rPr>
          <w:rFonts w:hint="eastAsia" w:ascii="宋体" w:hAnsi="宋体"/>
          <w:kern w:val="44"/>
        </w:rPr>
        <w:t>（七）企业产权制度发生变化，使承包经营合同无法履行的。</w:t>
      </w:r>
    </w:p>
    <w:p w14:paraId="3C0C71D9">
      <w:pPr>
        <w:ind w:firstLine="422"/>
        <w:jc w:val="left"/>
        <w:rPr>
          <w:rFonts w:ascii="宋体" w:hAnsi="宋体"/>
          <w:kern w:val="44"/>
        </w:rPr>
      </w:pPr>
      <w:r>
        <w:rPr>
          <w:rFonts w:hint="eastAsia" w:ascii="宋体" w:hAnsi="宋体"/>
          <w:b/>
          <w:kern w:val="44"/>
        </w:rPr>
        <w:t>第三十一条</w:t>
      </w:r>
      <w:r>
        <w:rPr>
          <w:rFonts w:hint="eastAsia" w:ascii="宋体" w:hAnsi="宋体"/>
          <w:kern w:val="44"/>
        </w:rPr>
        <w:t>　承包合同当事人一方要求变更或者解除合同时，应当及时通知对方，一方当事人接到另一方的书面通知后，应当自接到通知之日起15日内作出书面答复。双方未达成书面协议，原合同仍然有效。</w:t>
      </w:r>
    </w:p>
    <w:p w14:paraId="7E7FFA38">
      <w:pPr>
        <w:jc w:val="left"/>
        <w:rPr>
          <w:rFonts w:ascii="宋体" w:hAnsi="宋体"/>
          <w:kern w:val="44"/>
        </w:rPr>
      </w:pPr>
      <w:r>
        <w:rPr>
          <w:rFonts w:hint="eastAsia" w:ascii="宋体" w:hAnsi="宋体"/>
          <w:kern w:val="44"/>
        </w:rPr>
        <w:t>变更或者解除合同，致使一方遭受损失的，除依法可以免除责任的以外，应当由责任方负责赔偿。</w:t>
      </w:r>
    </w:p>
    <w:p w14:paraId="59B8AD2D">
      <w:pPr>
        <w:jc w:val="left"/>
        <w:rPr>
          <w:rFonts w:ascii="宋体" w:hAnsi="宋体"/>
          <w:kern w:val="44"/>
        </w:rPr>
      </w:pPr>
    </w:p>
    <w:p w14:paraId="16A2703C">
      <w:pPr>
        <w:ind w:firstLine="0" w:firstLineChars="0"/>
        <w:jc w:val="center"/>
        <w:rPr>
          <w:rFonts w:ascii="宋体" w:hAnsi="宋体"/>
          <w:b/>
          <w:kern w:val="44"/>
          <w:sz w:val="28"/>
        </w:rPr>
      </w:pPr>
      <w:r>
        <w:rPr>
          <w:rFonts w:hint="eastAsia" w:ascii="宋体" w:hAnsi="宋体"/>
          <w:b/>
          <w:kern w:val="44"/>
          <w:sz w:val="28"/>
        </w:rPr>
        <w:t>第五章  法律责任</w:t>
      </w:r>
    </w:p>
    <w:p w14:paraId="3A2FF819">
      <w:pPr>
        <w:jc w:val="left"/>
        <w:rPr>
          <w:rFonts w:ascii="宋体" w:hAnsi="宋体"/>
          <w:kern w:val="44"/>
        </w:rPr>
      </w:pPr>
    </w:p>
    <w:p w14:paraId="0140BA4A">
      <w:pPr>
        <w:ind w:firstLine="422"/>
        <w:jc w:val="left"/>
        <w:rPr>
          <w:rFonts w:ascii="宋体" w:hAnsi="宋体"/>
          <w:kern w:val="44"/>
        </w:rPr>
      </w:pPr>
      <w:r>
        <w:rPr>
          <w:rFonts w:hint="eastAsia" w:ascii="宋体" w:hAnsi="宋体"/>
          <w:b/>
          <w:kern w:val="44"/>
        </w:rPr>
        <w:t>第三十二条</w:t>
      </w:r>
      <w:r>
        <w:rPr>
          <w:rFonts w:hint="eastAsia" w:ascii="宋体" w:hAnsi="宋体"/>
          <w:kern w:val="44"/>
        </w:rPr>
        <w:t>　承包方违反本条例规定，有下列行为之一的，由发包方责令改正，追回不当得利，并由承包方赔偿损失和承担其他民事责任：</w:t>
      </w:r>
    </w:p>
    <w:p w14:paraId="2D9B85C3">
      <w:pPr>
        <w:jc w:val="left"/>
        <w:rPr>
          <w:rFonts w:ascii="宋体" w:hAnsi="宋体"/>
          <w:kern w:val="44"/>
        </w:rPr>
      </w:pPr>
      <w:r>
        <w:rPr>
          <w:rFonts w:hint="eastAsia" w:ascii="宋体" w:hAnsi="宋体"/>
          <w:kern w:val="44"/>
        </w:rPr>
        <w:t>（一）违反合同约定，擅自进行固定资产投资，致使企业财产遭受损失的；</w:t>
      </w:r>
    </w:p>
    <w:p w14:paraId="21AC3F1B">
      <w:pPr>
        <w:jc w:val="left"/>
        <w:rPr>
          <w:rFonts w:ascii="宋体" w:hAnsi="宋体"/>
          <w:kern w:val="44"/>
        </w:rPr>
      </w:pPr>
      <w:r>
        <w:rPr>
          <w:rFonts w:hint="eastAsia" w:ascii="宋体" w:hAnsi="宋体"/>
          <w:kern w:val="44"/>
        </w:rPr>
        <w:t>（二）不具备偿还能力，盲目借贷，致使企业财产遭受损失的；</w:t>
      </w:r>
    </w:p>
    <w:p w14:paraId="050027E0">
      <w:pPr>
        <w:jc w:val="left"/>
        <w:rPr>
          <w:rFonts w:ascii="宋体" w:hAnsi="宋体"/>
          <w:kern w:val="44"/>
        </w:rPr>
      </w:pPr>
      <w:r>
        <w:rPr>
          <w:rFonts w:hint="eastAsia" w:ascii="宋体" w:hAnsi="宋体"/>
          <w:kern w:val="44"/>
        </w:rPr>
        <w:t>（三）违反合同规定，擅自处置企业资产造成损失的；</w:t>
      </w:r>
    </w:p>
    <w:p w14:paraId="47589DB0">
      <w:pPr>
        <w:jc w:val="left"/>
        <w:rPr>
          <w:rFonts w:ascii="宋体" w:hAnsi="宋体"/>
          <w:kern w:val="44"/>
        </w:rPr>
      </w:pPr>
      <w:r>
        <w:rPr>
          <w:rFonts w:hint="eastAsia" w:ascii="宋体" w:hAnsi="宋体"/>
          <w:kern w:val="44"/>
        </w:rPr>
        <w:t>（四）违反财务制度，造成企业利润虚增或者虚盈实亏的。</w:t>
      </w:r>
    </w:p>
    <w:p w14:paraId="0D33FADE">
      <w:pPr>
        <w:ind w:firstLine="422"/>
        <w:jc w:val="left"/>
        <w:rPr>
          <w:rFonts w:ascii="宋体" w:hAnsi="宋体"/>
          <w:kern w:val="44"/>
        </w:rPr>
      </w:pPr>
      <w:r>
        <w:rPr>
          <w:rFonts w:hint="eastAsia" w:ascii="宋体" w:hAnsi="宋体"/>
          <w:b/>
          <w:kern w:val="44"/>
        </w:rPr>
        <w:t>第三十三条</w:t>
      </w:r>
      <w:r>
        <w:rPr>
          <w:rFonts w:hint="eastAsia" w:ascii="宋体" w:hAnsi="宋体"/>
          <w:kern w:val="44"/>
        </w:rPr>
        <w:t>　承包方未完成承包合同的，应当依照合同约定承担违约责任：</w:t>
      </w:r>
    </w:p>
    <w:p w14:paraId="21C46EC5">
      <w:pPr>
        <w:jc w:val="left"/>
        <w:rPr>
          <w:rFonts w:ascii="宋体" w:hAnsi="宋体"/>
          <w:kern w:val="44"/>
        </w:rPr>
      </w:pPr>
      <w:r>
        <w:rPr>
          <w:rFonts w:hint="eastAsia" w:ascii="宋体" w:hAnsi="宋体"/>
          <w:kern w:val="44"/>
        </w:rPr>
        <w:t>（一）未完成承包利润的，扣减厂长（经理）工资。实行集体承包的，还应当以全部或者部分风险抵押金补偿承包利润；实行法人承包的，还应当以承包法人资产补偿全部或者部分承包利润；实行合伙承包或者个人承包的，还应当由承包人以其个人资产补偿全部或者部分承包利润。</w:t>
      </w:r>
    </w:p>
    <w:p w14:paraId="7408C102">
      <w:pPr>
        <w:jc w:val="left"/>
        <w:rPr>
          <w:rFonts w:ascii="宋体" w:hAnsi="宋体"/>
          <w:kern w:val="44"/>
        </w:rPr>
      </w:pPr>
      <w:r>
        <w:rPr>
          <w:rFonts w:hint="eastAsia" w:ascii="宋体" w:hAnsi="宋体"/>
          <w:kern w:val="44"/>
        </w:rPr>
        <w:t>（二）完成承包利润，但未完成其他承包任务指标的，应当扣减承包方承包分利。</w:t>
      </w:r>
    </w:p>
    <w:p w14:paraId="507969FF">
      <w:pPr>
        <w:ind w:firstLine="422"/>
        <w:jc w:val="left"/>
        <w:rPr>
          <w:rFonts w:ascii="宋体" w:hAnsi="宋体"/>
          <w:kern w:val="44"/>
        </w:rPr>
      </w:pPr>
      <w:r>
        <w:rPr>
          <w:rFonts w:hint="eastAsia" w:ascii="宋体" w:hAnsi="宋体"/>
          <w:b/>
          <w:kern w:val="44"/>
        </w:rPr>
        <w:t>第三十四条</w:t>
      </w:r>
      <w:r>
        <w:rPr>
          <w:rFonts w:hint="eastAsia" w:ascii="宋体" w:hAnsi="宋体"/>
          <w:kern w:val="44"/>
        </w:rPr>
        <w:t>　在承包经营期间，企业资产被侵占、损坏、损害的，承包方应当依法赔偿或者承担其他民事责任；构成犯罪的，依法追究刑事责任。</w:t>
      </w:r>
    </w:p>
    <w:p w14:paraId="5192B538">
      <w:pPr>
        <w:ind w:firstLine="422"/>
        <w:jc w:val="left"/>
        <w:rPr>
          <w:rFonts w:ascii="宋体" w:hAnsi="宋体"/>
          <w:kern w:val="44"/>
        </w:rPr>
      </w:pPr>
      <w:r>
        <w:rPr>
          <w:rFonts w:hint="eastAsia" w:ascii="宋体" w:hAnsi="宋体"/>
          <w:b/>
          <w:kern w:val="44"/>
        </w:rPr>
        <w:t>第三十五条</w:t>
      </w:r>
      <w:r>
        <w:rPr>
          <w:rFonts w:hint="eastAsia" w:ascii="宋体" w:hAnsi="宋体"/>
          <w:kern w:val="44"/>
        </w:rPr>
        <w:t>　发包方违反合同规定，干预承包方合法经营权或者抽调企业设备、资金，影响企业生产经营，造成承包方利益损失的，发包方应当承担违约责任，赔偿损失或者承担其他民事责任。</w:t>
      </w:r>
    </w:p>
    <w:p w14:paraId="26A44D9B">
      <w:pPr>
        <w:ind w:firstLine="422"/>
        <w:jc w:val="left"/>
        <w:rPr>
          <w:rFonts w:ascii="宋体" w:hAnsi="宋体"/>
          <w:kern w:val="44"/>
        </w:rPr>
      </w:pPr>
      <w:r>
        <w:rPr>
          <w:rFonts w:hint="eastAsia" w:ascii="宋体" w:hAnsi="宋体"/>
          <w:b/>
          <w:kern w:val="44"/>
        </w:rPr>
        <w:t>第三十六条</w:t>
      </w:r>
      <w:r>
        <w:rPr>
          <w:rFonts w:hint="eastAsia" w:ascii="宋体" w:hAnsi="宋体"/>
          <w:kern w:val="44"/>
        </w:rPr>
        <w:t>　对违法向企业摊派的单位和个人，企业可以向农民负担监督管理部门或者有关主管部门举报。农民负担监督管理部门和有关主管部门接到举报后必须及时查处或者提请同级人民政府依法处理；对直接责任人员，由其所在单位或上级主管部门根据情节轻重，给予行政处分。</w:t>
      </w:r>
    </w:p>
    <w:p w14:paraId="769C067A">
      <w:pPr>
        <w:jc w:val="left"/>
        <w:rPr>
          <w:rFonts w:ascii="宋体" w:hAnsi="宋体"/>
          <w:kern w:val="44"/>
        </w:rPr>
      </w:pPr>
      <w:r>
        <w:rPr>
          <w:rFonts w:hint="eastAsia" w:ascii="宋体" w:hAnsi="宋体"/>
          <w:kern w:val="44"/>
        </w:rPr>
        <w:t>对拒绝摊派的企业进行打击报复的，由上级主管机关依法处理。构成犯罪的，依法追究刑事责任。</w:t>
      </w:r>
    </w:p>
    <w:p w14:paraId="65B6109E">
      <w:pPr>
        <w:ind w:firstLine="422"/>
        <w:jc w:val="left"/>
        <w:rPr>
          <w:rFonts w:ascii="宋体" w:hAnsi="宋体"/>
          <w:kern w:val="44"/>
        </w:rPr>
      </w:pPr>
      <w:r>
        <w:rPr>
          <w:rFonts w:hint="eastAsia" w:ascii="宋体" w:hAnsi="宋体"/>
          <w:b/>
          <w:kern w:val="44"/>
        </w:rPr>
        <w:t>第三十七条</w:t>
      </w:r>
      <w:r>
        <w:rPr>
          <w:rFonts w:hint="eastAsia" w:ascii="宋体" w:hAnsi="宋体"/>
          <w:kern w:val="44"/>
        </w:rPr>
        <w:t>　承包经营合同双方当事人发生纠纷时，应当协商解决；协商不成的，由乡、镇人民政府进行调解；调解不成，任何一方当事人均可以向区、县承包合同仲裁委员会申请仲裁。仲裁委员会在接到申请书二个月内作出裁决。当事人对裁决不服的，可以在收到仲裁决定书30日内向人民法院起诉。当事人也可以直接向人民法院起诉。</w:t>
      </w:r>
    </w:p>
    <w:p w14:paraId="348E6906">
      <w:pPr>
        <w:ind w:firstLine="422"/>
        <w:jc w:val="left"/>
        <w:rPr>
          <w:rFonts w:ascii="宋体" w:hAnsi="宋体"/>
          <w:kern w:val="44"/>
        </w:rPr>
      </w:pPr>
      <w:r>
        <w:rPr>
          <w:rFonts w:hint="eastAsia" w:ascii="宋体" w:hAnsi="宋体"/>
          <w:b/>
          <w:kern w:val="44"/>
        </w:rPr>
        <w:t>第三十八条</w:t>
      </w:r>
      <w:r>
        <w:rPr>
          <w:rFonts w:hint="eastAsia" w:ascii="宋体" w:hAnsi="宋体"/>
          <w:kern w:val="44"/>
        </w:rPr>
        <w:t>　当事人对仲裁机关的仲裁决定逾期不向人民法院起诉，仲裁决定即发生法律效力，一方当事人拒不履行的，他方当事人可以向人民法院申请执行。</w:t>
      </w:r>
    </w:p>
    <w:p w14:paraId="055CAEE9">
      <w:pPr>
        <w:jc w:val="left"/>
        <w:rPr>
          <w:rFonts w:ascii="宋体" w:hAnsi="宋体"/>
          <w:kern w:val="44"/>
        </w:rPr>
      </w:pPr>
    </w:p>
    <w:p w14:paraId="2360B5A4">
      <w:pPr>
        <w:ind w:firstLine="0" w:firstLineChars="0"/>
        <w:jc w:val="center"/>
        <w:rPr>
          <w:rFonts w:ascii="宋体" w:hAnsi="宋体"/>
          <w:b/>
          <w:kern w:val="44"/>
          <w:sz w:val="28"/>
        </w:rPr>
      </w:pPr>
      <w:r>
        <w:rPr>
          <w:rFonts w:hint="eastAsia" w:ascii="宋体" w:hAnsi="宋体"/>
          <w:b/>
          <w:kern w:val="44"/>
          <w:sz w:val="28"/>
        </w:rPr>
        <w:t>第六章  附  则</w:t>
      </w:r>
    </w:p>
    <w:p w14:paraId="4C618B7D">
      <w:pPr>
        <w:jc w:val="left"/>
        <w:rPr>
          <w:rFonts w:ascii="宋体" w:hAnsi="宋体"/>
          <w:kern w:val="44"/>
        </w:rPr>
      </w:pPr>
    </w:p>
    <w:p w14:paraId="1B4D580B">
      <w:pPr>
        <w:ind w:firstLine="422"/>
        <w:jc w:val="left"/>
        <w:rPr>
          <w:rFonts w:ascii="宋体" w:hAnsi="宋体"/>
          <w:kern w:val="44"/>
        </w:rPr>
      </w:pPr>
      <w:r>
        <w:rPr>
          <w:rFonts w:hint="eastAsia" w:ascii="宋体" w:hAnsi="宋体"/>
          <w:b/>
          <w:kern w:val="44"/>
        </w:rPr>
        <w:t>第三十九条</w:t>
      </w:r>
      <w:r>
        <w:rPr>
          <w:rFonts w:hint="eastAsia" w:ascii="宋体" w:hAnsi="宋体"/>
          <w:kern w:val="44"/>
        </w:rPr>
        <w:t>　乡村股份合作制企业实行承包经营的，参照本条例执行。</w:t>
      </w:r>
    </w:p>
    <w:p w14:paraId="688E3154">
      <w:pPr>
        <w:ind w:firstLine="422"/>
        <w:jc w:val="left"/>
        <w:rPr>
          <w:rFonts w:ascii="宋体" w:hAnsi="宋体"/>
          <w:kern w:val="44"/>
        </w:rPr>
      </w:pPr>
      <w:r>
        <w:rPr>
          <w:rFonts w:hint="eastAsia" w:ascii="宋体" w:hAnsi="宋体"/>
          <w:b/>
          <w:kern w:val="44"/>
        </w:rPr>
        <w:t>第四十条</w:t>
      </w:r>
      <w:r>
        <w:rPr>
          <w:rFonts w:hint="eastAsia" w:ascii="宋体" w:hAnsi="宋体"/>
          <w:kern w:val="44"/>
        </w:rPr>
        <w:t>　本条例具体应用中的问题，由市乡镇企业行政主管部门负责解释。</w:t>
      </w:r>
    </w:p>
    <w:p w14:paraId="152557CE">
      <w:pPr>
        <w:ind w:firstLine="422"/>
        <w:jc w:val="left"/>
        <w:rPr>
          <w:rFonts w:ascii="宋体" w:hAnsi="宋体"/>
          <w:kern w:val="44"/>
        </w:rPr>
      </w:pPr>
      <w:r>
        <w:rPr>
          <w:rFonts w:hint="eastAsia" w:ascii="宋体" w:hAnsi="宋体"/>
          <w:b/>
          <w:kern w:val="44"/>
        </w:rPr>
        <w:t>第四十一条</w:t>
      </w:r>
      <w:r>
        <w:rPr>
          <w:rFonts w:hint="eastAsia" w:ascii="宋体" w:hAnsi="宋体"/>
          <w:kern w:val="44"/>
        </w:rPr>
        <w:t>　本条例自公布之日起施行。</w:t>
      </w:r>
    </w:p>
    <w:p w14:paraId="212A691D">
      <w:pPr>
        <w:pStyle w:val="4"/>
        <w:pageBreakBefore/>
        <w:rPr>
          <w:kern w:val="44"/>
        </w:rPr>
      </w:pPr>
      <w:bookmarkStart w:id="1360" w:name="_Toc422471356"/>
      <w:bookmarkStart w:id="1361" w:name="_Toc427651625"/>
      <w:bookmarkStart w:id="1362" w:name="_Toc427651967"/>
      <w:bookmarkStart w:id="1363" w:name="_Toc428780191"/>
      <w:bookmarkStart w:id="1364" w:name="_Toc428781673"/>
      <w:r>
        <w:rPr>
          <w:rFonts w:hint="eastAsia"/>
          <w:kern w:val="44"/>
        </w:rPr>
        <w:t>北京市农村股份合作企业</w:t>
      </w:r>
      <w:bookmarkEnd w:id="1360"/>
      <w:bookmarkStart w:id="1365" w:name="_Toc422471357"/>
      <w:r>
        <w:rPr>
          <w:rFonts w:hint="eastAsia"/>
          <w:kern w:val="44"/>
        </w:rPr>
        <w:t>暂行条例</w:t>
      </w:r>
      <w:bookmarkEnd w:id="1361"/>
      <w:bookmarkEnd w:id="1362"/>
      <w:bookmarkEnd w:id="1363"/>
      <w:bookmarkEnd w:id="1364"/>
      <w:bookmarkEnd w:id="1365"/>
    </w:p>
    <w:p w14:paraId="27EC76BF">
      <w:pPr>
        <w:ind w:left="630" w:leftChars="300" w:right="630" w:rightChars="300"/>
        <w:jc w:val="left"/>
        <w:rPr>
          <w:rFonts w:ascii="楷体" w:hAnsi="楷体" w:eastAsia="楷体"/>
          <w:kern w:val="44"/>
        </w:rPr>
      </w:pPr>
      <w:r>
        <w:rPr>
          <w:rFonts w:hint="eastAsia" w:ascii="楷体" w:hAnsi="楷体" w:eastAsia="楷体"/>
          <w:kern w:val="44"/>
        </w:rPr>
        <w:t>（1996年9月6日北京市第十届人民代表大会常务委员会第三十次会议通过  1996年9月6日北京市人民代表大会常务委员会公告第59号公布  1997年1月1日起施行）</w:t>
      </w:r>
    </w:p>
    <w:p w14:paraId="3C6DA89B">
      <w:pPr>
        <w:jc w:val="left"/>
        <w:rPr>
          <w:rFonts w:ascii="宋体" w:hAnsi="宋体"/>
          <w:kern w:val="44"/>
        </w:rPr>
      </w:pPr>
    </w:p>
    <w:p w14:paraId="6D4696AD">
      <w:pPr>
        <w:ind w:firstLine="0" w:firstLineChars="0"/>
        <w:jc w:val="center"/>
        <w:rPr>
          <w:rFonts w:ascii="宋体" w:hAnsi="宋体"/>
          <w:b/>
          <w:kern w:val="44"/>
          <w:sz w:val="28"/>
        </w:rPr>
      </w:pPr>
      <w:r>
        <w:rPr>
          <w:rFonts w:hint="eastAsia" w:ascii="宋体" w:hAnsi="宋体"/>
          <w:b/>
          <w:kern w:val="44"/>
          <w:sz w:val="28"/>
        </w:rPr>
        <w:t>第一章　总　则</w:t>
      </w:r>
    </w:p>
    <w:p w14:paraId="07024AA7">
      <w:pPr>
        <w:jc w:val="left"/>
        <w:rPr>
          <w:rFonts w:ascii="宋体" w:hAnsi="宋体"/>
          <w:kern w:val="44"/>
        </w:rPr>
      </w:pPr>
    </w:p>
    <w:p w14:paraId="5623D85C">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为了规范农村股份合作企业的组织和行为，保护企业、合作股东和债权人的合法权益，促进农村经济发展，根据国家有关法律、法规的规定，结合本市实际情况，制定本条例。</w:t>
      </w:r>
    </w:p>
    <w:p w14:paraId="3F26DC83">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本条例适用于本市行政区域内乡、镇合作经济联合社或者村经济合作社及其社员共同投资，并可依法吸纳其他投资，按照本条例设立的农村股份合作企业。</w:t>
      </w:r>
    </w:p>
    <w:p w14:paraId="6156251D">
      <w:pPr>
        <w:ind w:firstLine="422"/>
        <w:jc w:val="left"/>
        <w:rPr>
          <w:rFonts w:ascii="宋体" w:hAnsi="宋体"/>
          <w:kern w:val="44"/>
        </w:rPr>
      </w:pPr>
      <w:r>
        <w:rPr>
          <w:rFonts w:hint="eastAsia" w:ascii="宋体" w:hAnsi="宋体"/>
          <w:b/>
          <w:kern w:val="44"/>
        </w:rPr>
        <w:t>第三条</w:t>
      </w:r>
      <w:r>
        <w:rPr>
          <w:rFonts w:hint="eastAsia" w:ascii="宋体" w:hAnsi="宋体"/>
          <w:kern w:val="44"/>
        </w:rPr>
        <w:t>　农村股份合作企业是以合作制为基础，实行农民群众劳动合作和资金联合相结合的企业组织形式。</w:t>
      </w:r>
    </w:p>
    <w:p w14:paraId="3BFAF6B6">
      <w:pPr>
        <w:jc w:val="left"/>
        <w:rPr>
          <w:rFonts w:ascii="宋体" w:hAnsi="宋体"/>
          <w:kern w:val="44"/>
        </w:rPr>
      </w:pPr>
      <w:r>
        <w:rPr>
          <w:rFonts w:hint="eastAsia" w:ascii="宋体" w:hAnsi="宋体"/>
          <w:kern w:val="44"/>
        </w:rPr>
        <w:t>农村股份合作企业的投资者称合作股东。</w:t>
      </w:r>
    </w:p>
    <w:p w14:paraId="5F87C6C7">
      <w:pPr>
        <w:ind w:firstLine="422"/>
        <w:jc w:val="left"/>
        <w:rPr>
          <w:rFonts w:ascii="宋体" w:hAnsi="宋体"/>
          <w:kern w:val="44"/>
        </w:rPr>
      </w:pPr>
      <w:r>
        <w:rPr>
          <w:rFonts w:hint="eastAsia" w:ascii="宋体" w:hAnsi="宋体"/>
          <w:b/>
          <w:kern w:val="44"/>
        </w:rPr>
        <w:t>第四条</w:t>
      </w:r>
      <w:r>
        <w:rPr>
          <w:rFonts w:hint="eastAsia" w:ascii="宋体" w:hAnsi="宋体"/>
          <w:kern w:val="44"/>
        </w:rPr>
        <w:t>　农村股份合作企业实行以下原则：</w:t>
      </w:r>
    </w:p>
    <w:p w14:paraId="70887A1A">
      <w:pPr>
        <w:jc w:val="left"/>
        <w:rPr>
          <w:rFonts w:ascii="宋体" w:hAnsi="宋体"/>
          <w:kern w:val="44"/>
        </w:rPr>
      </w:pPr>
      <w:r>
        <w:rPr>
          <w:rFonts w:hint="eastAsia" w:ascii="宋体" w:hAnsi="宋体"/>
          <w:kern w:val="44"/>
        </w:rPr>
        <w:t>（一）劳动合作与资金联合相结合，按劳分配与按股分红相结合；</w:t>
      </w:r>
    </w:p>
    <w:p w14:paraId="78C3EE7A">
      <w:pPr>
        <w:jc w:val="left"/>
        <w:rPr>
          <w:rFonts w:ascii="宋体" w:hAnsi="宋体"/>
          <w:kern w:val="44"/>
        </w:rPr>
      </w:pPr>
      <w:r>
        <w:rPr>
          <w:rFonts w:hint="eastAsia" w:ascii="宋体" w:hAnsi="宋体"/>
          <w:kern w:val="44"/>
        </w:rPr>
        <w:t>（二）资金共筹、积累共有、利益共享、风险共担、同股同利；</w:t>
      </w:r>
    </w:p>
    <w:p w14:paraId="0BFCE116">
      <w:pPr>
        <w:jc w:val="left"/>
        <w:rPr>
          <w:rFonts w:ascii="宋体" w:hAnsi="宋体"/>
          <w:kern w:val="44"/>
        </w:rPr>
      </w:pPr>
      <w:r>
        <w:rPr>
          <w:rFonts w:hint="eastAsia" w:ascii="宋体" w:hAnsi="宋体"/>
          <w:kern w:val="44"/>
        </w:rPr>
        <w:t>（三）自主经营、独立核算、自负盈亏、民主管理。</w:t>
      </w:r>
    </w:p>
    <w:p w14:paraId="694285E5">
      <w:pPr>
        <w:ind w:firstLine="422"/>
        <w:jc w:val="left"/>
        <w:rPr>
          <w:rFonts w:ascii="宋体" w:hAnsi="宋体"/>
          <w:kern w:val="44"/>
        </w:rPr>
      </w:pPr>
      <w:r>
        <w:rPr>
          <w:rFonts w:hint="eastAsia" w:ascii="宋体" w:hAnsi="宋体"/>
          <w:b/>
          <w:kern w:val="44"/>
        </w:rPr>
        <w:t>第五条</w:t>
      </w:r>
      <w:r>
        <w:rPr>
          <w:rFonts w:hint="eastAsia" w:ascii="宋体" w:hAnsi="宋体"/>
          <w:kern w:val="44"/>
        </w:rPr>
        <w:t>　农村股份合作企业是依法享有民事权利，以其全部资产独立承担民事责任的企业法人。合作股东以其所持股份为限为企业债务承担责任。</w:t>
      </w:r>
    </w:p>
    <w:p w14:paraId="3E1EF282">
      <w:pPr>
        <w:ind w:firstLine="422"/>
        <w:jc w:val="left"/>
        <w:rPr>
          <w:rFonts w:ascii="宋体" w:hAnsi="宋体"/>
          <w:kern w:val="44"/>
        </w:rPr>
      </w:pPr>
      <w:r>
        <w:rPr>
          <w:rFonts w:hint="eastAsia" w:ascii="宋体" w:hAnsi="宋体"/>
          <w:b/>
          <w:kern w:val="44"/>
        </w:rPr>
        <w:t>第六条</w:t>
      </w:r>
      <w:r>
        <w:rPr>
          <w:rFonts w:hint="eastAsia" w:ascii="宋体" w:hAnsi="宋体"/>
          <w:kern w:val="44"/>
        </w:rPr>
        <w:t>　农村股份合作企业享有合作股东投资形成的全部法人财产权，其合法权益受法律保护。政府和任何组织及个人不得干预农村股份合作企业的合法经营活动，不得平调、侵占企业财产，不得要求企业承担法律、法规规定以外的义务。</w:t>
      </w:r>
    </w:p>
    <w:p w14:paraId="1A959CA8">
      <w:pPr>
        <w:ind w:firstLine="422"/>
        <w:jc w:val="left"/>
        <w:rPr>
          <w:rFonts w:ascii="宋体" w:hAnsi="宋体"/>
          <w:kern w:val="44"/>
        </w:rPr>
      </w:pPr>
      <w:r>
        <w:rPr>
          <w:rFonts w:hint="eastAsia" w:ascii="宋体" w:hAnsi="宋体"/>
          <w:b/>
          <w:kern w:val="44"/>
        </w:rPr>
        <w:t>第七条</w:t>
      </w:r>
      <w:r>
        <w:rPr>
          <w:rFonts w:hint="eastAsia" w:ascii="宋体" w:hAnsi="宋体"/>
          <w:kern w:val="44"/>
        </w:rPr>
        <w:t>　农村股份合作企业不得向负无限责任的经济组织投资。向其他经济组织投资的，其投资总额不得超过本企业净资产的百分之五十；在投资后，接受被投资经济组织以利润转增的资本，其增加额不包括在内。</w:t>
      </w:r>
    </w:p>
    <w:p w14:paraId="25320771">
      <w:pPr>
        <w:jc w:val="left"/>
        <w:rPr>
          <w:rFonts w:ascii="宋体" w:hAnsi="宋体"/>
          <w:kern w:val="44"/>
        </w:rPr>
      </w:pPr>
      <w:r>
        <w:rPr>
          <w:rFonts w:hint="eastAsia" w:ascii="宋体" w:hAnsi="宋体"/>
          <w:kern w:val="44"/>
        </w:rPr>
        <w:t>农村股份合作企业向其他经济组织投资、为合作股东或者他人提供经济担保，必须由理事会决定。</w:t>
      </w:r>
    </w:p>
    <w:p w14:paraId="6FAE1223">
      <w:pPr>
        <w:ind w:firstLine="422"/>
        <w:jc w:val="left"/>
        <w:rPr>
          <w:rFonts w:ascii="宋体" w:hAnsi="宋体"/>
          <w:kern w:val="44"/>
        </w:rPr>
      </w:pPr>
      <w:r>
        <w:rPr>
          <w:rFonts w:hint="eastAsia" w:ascii="宋体" w:hAnsi="宋体"/>
          <w:b/>
          <w:kern w:val="44"/>
        </w:rPr>
        <w:t>第八条</w:t>
      </w:r>
      <w:r>
        <w:rPr>
          <w:rFonts w:hint="eastAsia" w:ascii="宋体" w:hAnsi="宋体"/>
          <w:kern w:val="44"/>
        </w:rPr>
        <w:t>　农村股份合作企业享有和承担法律、法规对乡镇集体企业规定的权利和义务， 享受国家对乡镇集体企业规定的待遇和优惠政策。</w:t>
      </w:r>
    </w:p>
    <w:p w14:paraId="08067079">
      <w:pPr>
        <w:ind w:firstLine="422"/>
        <w:jc w:val="left"/>
        <w:rPr>
          <w:rFonts w:ascii="宋体" w:hAnsi="宋体"/>
          <w:kern w:val="44"/>
        </w:rPr>
      </w:pPr>
      <w:r>
        <w:rPr>
          <w:rFonts w:hint="eastAsia" w:ascii="宋体" w:hAnsi="宋体"/>
          <w:b/>
          <w:kern w:val="44"/>
        </w:rPr>
        <w:t>第九条</w:t>
      </w:r>
      <w:r>
        <w:rPr>
          <w:rFonts w:hint="eastAsia" w:ascii="宋体" w:hAnsi="宋体"/>
          <w:kern w:val="44"/>
        </w:rPr>
        <w:t>　农村股份合作企业必须遵守国家法律、法规，接受政府依法进行的管理和监督。</w:t>
      </w:r>
    </w:p>
    <w:p w14:paraId="23706207">
      <w:pPr>
        <w:ind w:firstLine="422"/>
        <w:jc w:val="left"/>
        <w:rPr>
          <w:rFonts w:ascii="宋体" w:hAnsi="宋体"/>
          <w:kern w:val="44"/>
        </w:rPr>
      </w:pPr>
      <w:r>
        <w:rPr>
          <w:rFonts w:hint="eastAsia" w:ascii="宋体" w:hAnsi="宋体"/>
          <w:b/>
          <w:kern w:val="44"/>
        </w:rPr>
        <w:t>第十条</w:t>
      </w:r>
      <w:r>
        <w:rPr>
          <w:rFonts w:hint="eastAsia" w:ascii="宋体" w:hAnsi="宋体"/>
          <w:kern w:val="44"/>
        </w:rPr>
        <w:t>　农村股份合作企业经工商行政管理部门依法核准登记成立。</w:t>
      </w:r>
    </w:p>
    <w:p w14:paraId="76A54A09">
      <w:pPr>
        <w:spacing w:line="280" w:lineRule="exact"/>
        <w:jc w:val="left"/>
        <w:rPr>
          <w:rFonts w:ascii="宋体" w:hAnsi="宋体"/>
          <w:kern w:val="44"/>
        </w:rPr>
      </w:pPr>
    </w:p>
    <w:p w14:paraId="1CA03FE8">
      <w:pPr>
        <w:ind w:firstLine="0" w:firstLineChars="0"/>
        <w:jc w:val="center"/>
        <w:rPr>
          <w:rFonts w:ascii="宋体" w:hAnsi="宋体"/>
          <w:b/>
          <w:kern w:val="44"/>
          <w:sz w:val="28"/>
        </w:rPr>
      </w:pPr>
      <w:r>
        <w:rPr>
          <w:rFonts w:hint="eastAsia" w:ascii="宋体" w:hAnsi="宋体"/>
          <w:b/>
          <w:kern w:val="44"/>
          <w:sz w:val="28"/>
        </w:rPr>
        <w:t>第二章　设　立</w:t>
      </w:r>
    </w:p>
    <w:p w14:paraId="78DCBCC9">
      <w:pPr>
        <w:spacing w:line="280" w:lineRule="exact"/>
        <w:jc w:val="left"/>
        <w:rPr>
          <w:rFonts w:ascii="宋体" w:hAnsi="宋体"/>
          <w:kern w:val="44"/>
        </w:rPr>
      </w:pPr>
    </w:p>
    <w:p w14:paraId="1BDC1AB0">
      <w:pPr>
        <w:ind w:firstLine="422"/>
        <w:jc w:val="left"/>
        <w:rPr>
          <w:rFonts w:ascii="宋体" w:hAnsi="宋体"/>
          <w:kern w:val="44"/>
        </w:rPr>
      </w:pPr>
      <w:r>
        <w:rPr>
          <w:rFonts w:hint="eastAsia" w:ascii="宋体" w:hAnsi="宋体"/>
          <w:b/>
          <w:kern w:val="44"/>
        </w:rPr>
        <w:t>第十一条</w:t>
      </w:r>
      <w:r>
        <w:rPr>
          <w:rFonts w:hint="eastAsia" w:ascii="宋体" w:hAnsi="宋体"/>
          <w:kern w:val="44"/>
        </w:rPr>
        <w:t>　设立农村股份合作企业必须坚持自愿原则。</w:t>
      </w:r>
    </w:p>
    <w:p w14:paraId="4291365A">
      <w:pPr>
        <w:ind w:firstLine="422"/>
        <w:jc w:val="left"/>
        <w:rPr>
          <w:rFonts w:ascii="宋体" w:hAnsi="宋体"/>
          <w:kern w:val="44"/>
        </w:rPr>
      </w:pPr>
      <w:r>
        <w:rPr>
          <w:rFonts w:hint="eastAsia" w:ascii="宋体" w:hAnsi="宋体"/>
          <w:b/>
          <w:kern w:val="44"/>
        </w:rPr>
        <w:t>第十二条</w:t>
      </w:r>
      <w:r>
        <w:rPr>
          <w:rFonts w:hint="eastAsia" w:ascii="宋体" w:hAnsi="宋体"/>
          <w:kern w:val="44"/>
        </w:rPr>
        <w:t>　设立农村股份合作企业可以采取改建或者新建的方式：</w:t>
      </w:r>
    </w:p>
    <w:p w14:paraId="4BDD3197">
      <w:pPr>
        <w:jc w:val="left"/>
        <w:rPr>
          <w:rFonts w:ascii="宋体" w:hAnsi="宋体"/>
          <w:kern w:val="44"/>
        </w:rPr>
      </w:pPr>
      <w:r>
        <w:rPr>
          <w:rFonts w:hint="eastAsia" w:ascii="宋体" w:hAnsi="宋体"/>
          <w:kern w:val="44"/>
        </w:rPr>
        <w:t>（一）改建方式是指：</w:t>
      </w:r>
    </w:p>
    <w:p w14:paraId="3043A19C">
      <w:pPr>
        <w:jc w:val="left"/>
        <w:rPr>
          <w:rFonts w:ascii="宋体" w:hAnsi="宋体"/>
          <w:kern w:val="44"/>
        </w:rPr>
      </w:pPr>
      <w:r>
        <w:rPr>
          <w:rFonts w:hint="eastAsia" w:ascii="宋体" w:hAnsi="宋体"/>
          <w:kern w:val="44"/>
        </w:rPr>
        <w:t>1．将乡、镇合作经济联合社或者村经济合作社（以下简称合作社）原有集体企业资产折成股份，并吸纳新的投资设立的股份合作企业；</w:t>
      </w:r>
    </w:p>
    <w:p w14:paraId="118170F8">
      <w:pPr>
        <w:jc w:val="left"/>
        <w:rPr>
          <w:rFonts w:ascii="宋体" w:hAnsi="宋体"/>
          <w:kern w:val="44"/>
        </w:rPr>
      </w:pPr>
      <w:r>
        <w:rPr>
          <w:rFonts w:hint="eastAsia" w:ascii="宋体" w:hAnsi="宋体"/>
          <w:kern w:val="44"/>
        </w:rPr>
        <w:t>2．将合作社原有集体企业资产部分出售，按产权折成股份，并吸纳新的投资设立的股份合作企业；</w:t>
      </w:r>
    </w:p>
    <w:p w14:paraId="52F77F4D">
      <w:pPr>
        <w:jc w:val="left"/>
        <w:rPr>
          <w:rFonts w:ascii="宋体" w:hAnsi="宋体"/>
          <w:kern w:val="44"/>
        </w:rPr>
      </w:pPr>
      <w:r>
        <w:rPr>
          <w:rFonts w:hint="eastAsia" w:ascii="宋体" w:hAnsi="宋体"/>
          <w:kern w:val="44"/>
        </w:rPr>
        <w:t>3．按照本条例规定的原则，采取其他方式将合作社原有集体企业改组设立的股份合作企业。</w:t>
      </w:r>
    </w:p>
    <w:p w14:paraId="7BCE49EF">
      <w:pPr>
        <w:jc w:val="left"/>
        <w:rPr>
          <w:rFonts w:ascii="宋体" w:hAnsi="宋体"/>
          <w:kern w:val="44"/>
        </w:rPr>
      </w:pPr>
      <w:r>
        <w:rPr>
          <w:rFonts w:hint="eastAsia" w:ascii="宋体" w:hAnsi="宋体"/>
          <w:kern w:val="44"/>
        </w:rPr>
        <w:t>（二）新建方式是指合作社及其社员共同投资，并可吸纳其他投资设立的股份合作企业。</w:t>
      </w:r>
    </w:p>
    <w:p w14:paraId="0FD463AD">
      <w:pPr>
        <w:ind w:firstLine="422"/>
        <w:jc w:val="left"/>
        <w:rPr>
          <w:rFonts w:ascii="宋体" w:hAnsi="宋体"/>
          <w:kern w:val="44"/>
        </w:rPr>
      </w:pPr>
      <w:r>
        <w:rPr>
          <w:rFonts w:hint="eastAsia" w:ascii="宋体" w:hAnsi="宋体"/>
          <w:b/>
          <w:kern w:val="44"/>
        </w:rPr>
        <w:t>第十三条</w:t>
      </w:r>
      <w:r>
        <w:rPr>
          <w:rFonts w:hint="eastAsia" w:ascii="宋体" w:hAnsi="宋体"/>
          <w:kern w:val="44"/>
        </w:rPr>
        <w:t>　设立农村股份合作企业（以下简称企业），应当由合作社作为发起人。设立企业的方案，必须经合作社社员大会或者社员代表会议批准。</w:t>
      </w:r>
    </w:p>
    <w:p w14:paraId="10E2FEE7">
      <w:pPr>
        <w:jc w:val="left"/>
        <w:rPr>
          <w:rFonts w:ascii="宋体" w:hAnsi="宋体"/>
          <w:kern w:val="44"/>
        </w:rPr>
      </w:pPr>
      <w:r>
        <w:rPr>
          <w:rFonts w:hint="eastAsia" w:ascii="宋体" w:hAnsi="宋体"/>
          <w:kern w:val="44"/>
        </w:rPr>
        <w:t>改建设立的，应当事先经企业职工大会或者职工代表大会讨论通过；有外部投资的，应当事先征得投资方同意；出售部分原有集体企业资产的，应当经合作社社员大会或者社员代表会议批准。</w:t>
      </w:r>
    </w:p>
    <w:p w14:paraId="31F3FFC5">
      <w:pPr>
        <w:ind w:firstLine="422"/>
        <w:jc w:val="left"/>
        <w:rPr>
          <w:rFonts w:ascii="宋体" w:hAnsi="宋体"/>
          <w:kern w:val="44"/>
        </w:rPr>
      </w:pPr>
      <w:r>
        <w:rPr>
          <w:rFonts w:hint="eastAsia" w:ascii="宋体" w:hAnsi="宋体"/>
          <w:b/>
          <w:kern w:val="44"/>
        </w:rPr>
        <w:t>第十四条</w:t>
      </w:r>
      <w:r>
        <w:rPr>
          <w:rFonts w:hint="eastAsia" w:ascii="宋体" w:hAnsi="宋体"/>
          <w:kern w:val="44"/>
        </w:rPr>
        <w:t>　合作股东可以用货币入股，也可以用实物、工业产权、非专利技术和土地使用权作价入股。在农业企业工作的合作社社员，可以用其劳动积累作价入股。</w:t>
      </w:r>
    </w:p>
    <w:p w14:paraId="090DD7EC">
      <w:pPr>
        <w:jc w:val="left"/>
        <w:rPr>
          <w:rFonts w:ascii="宋体" w:hAnsi="宋体"/>
          <w:kern w:val="44"/>
        </w:rPr>
      </w:pPr>
      <w:r>
        <w:rPr>
          <w:rFonts w:hint="eastAsia" w:ascii="宋体" w:hAnsi="宋体"/>
          <w:kern w:val="44"/>
        </w:rPr>
        <w:t>以工业产权、非专利技术作价入股的金额不得超过企业注册资本总额的百分之二十，国家另有规定的从其规定。以土地使用权作价入股的，必须是经依法批准的建设用地。</w:t>
      </w:r>
    </w:p>
    <w:p w14:paraId="7979C405">
      <w:pPr>
        <w:jc w:val="left"/>
        <w:rPr>
          <w:rFonts w:ascii="宋体" w:hAnsi="宋体"/>
          <w:kern w:val="44"/>
        </w:rPr>
      </w:pPr>
      <w:r>
        <w:rPr>
          <w:rFonts w:hint="eastAsia" w:ascii="宋体" w:hAnsi="宋体"/>
          <w:kern w:val="44"/>
        </w:rPr>
        <w:t>除货币外，以其他资产入股的，必须出具产权证明，并办理产权转移手续。</w:t>
      </w:r>
    </w:p>
    <w:p w14:paraId="09BD1925">
      <w:pPr>
        <w:ind w:firstLine="422"/>
        <w:jc w:val="left"/>
        <w:rPr>
          <w:rFonts w:ascii="宋体" w:hAnsi="宋体"/>
          <w:kern w:val="44"/>
        </w:rPr>
      </w:pPr>
      <w:r>
        <w:rPr>
          <w:rFonts w:hint="eastAsia" w:ascii="宋体" w:hAnsi="宋体"/>
          <w:b/>
          <w:kern w:val="44"/>
        </w:rPr>
        <w:t>第十五条</w:t>
      </w:r>
      <w:r>
        <w:rPr>
          <w:rFonts w:hint="eastAsia" w:ascii="宋体" w:hAnsi="宋体"/>
          <w:kern w:val="44"/>
        </w:rPr>
        <w:t>　集体资产的产权界定依照《北京市农村集体资产管理条例》的规定执行。</w:t>
      </w:r>
    </w:p>
    <w:p w14:paraId="29E6B93F">
      <w:pPr>
        <w:ind w:firstLine="422"/>
        <w:jc w:val="left"/>
        <w:rPr>
          <w:rFonts w:ascii="宋体" w:hAnsi="宋体"/>
          <w:kern w:val="44"/>
        </w:rPr>
      </w:pPr>
      <w:r>
        <w:rPr>
          <w:rFonts w:hint="eastAsia" w:ascii="宋体" w:hAnsi="宋体"/>
          <w:b/>
          <w:kern w:val="44"/>
        </w:rPr>
        <w:t>第十六条</w:t>
      </w:r>
      <w:r>
        <w:rPr>
          <w:rFonts w:hint="eastAsia" w:ascii="宋体" w:hAnsi="宋体"/>
          <w:kern w:val="44"/>
        </w:rPr>
        <w:t>　以实物、工业产权、非专利技术和土地使用权作价入股的，必须由具有资产评估资格的机构进行资产评估。集体资产评估结果应当经社员大会或者社员代表会议确认。</w:t>
      </w:r>
    </w:p>
    <w:p w14:paraId="69D76967">
      <w:pPr>
        <w:jc w:val="left"/>
        <w:rPr>
          <w:rFonts w:ascii="宋体" w:hAnsi="宋体"/>
          <w:kern w:val="44"/>
        </w:rPr>
      </w:pPr>
      <w:r>
        <w:rPr>
          <w:rFonts w:hint="eastAsia" w:ascii="宋体" w:hAnsi="宋体"/>
          <w:kern w:val="44"/>
        </w:rPr>
        <w:t>禁止将集体资产低价折股、低价出售。</w:t>
      </w:r>
    </w:p>
    <w:p w14:paraId="12849380">
      <w:pPr>
        <w:jc w:val="left"/>
        <w:rPr>
          <w:rFonts w:ascii="宋体" w:hAnsi="宋体"/>
          <w:kern w:val="44"/>
        </w:rPr>
      </w:pPr>
      <w:r>
        <w:rPr>
          <w:rFonts w:hint="eastAsia" w:ascii="宋体" w:hAnsi="宋体"/>
          <w:kern w:val="44"/>
        </w:rPr>
        <w:t>农村合作经济管理部门要加强对集体资产评估工作的指导和监督。</w:t>
      </w:r>
    </w:p>
    <w:p w14:paraId="0BA6F3B9">
      <w:pPr>
        <w:ind w:firstLine="422"/>
        <w:jc w:val="left"/>
        <w:rPr>
          <w:rFonts w:ascii="宋体" w:hAnsi="宋体"/>
          <w:kern w:val="44"/>
        </w:rPr>
      </w:pPr>
      <w:r>
        <w:rPr>
          <w:rFonts w:hint="eastAsia" w:ascii="宋体" w:hAnsi="宋体"/>
          <w:b/>
          <w:kern w:val="44"/>
        </w:rPr>
        <w:t>第十七条</w:t>
      </w:r>
      <w:r>
        <w:rPr>
          <w:rFonts w:hint="eastAsia" w:ascii="宋体" w:hAnsi="宋体"/>
          <w:kern w:val="44"/>
        </w:rPr>
        <w:t>　企业的注册资本为合作股东实际缴纳的股本总额。</w:t>
      </w:r>
    </w:p>
    <w:p w14:paraId="13118A75">
      <w:pPr>
        <w:jc w:val="left"/>
        <w:rPr>
          <w:rFonts w:ascii="宋体" w:hAnsi="宋体"/>
          <w:kern w:val="44"/>
        </w:rPr>
      </w:pPr>
      <w:r>
        <w:rPr>
          <w:rFonts w:hint="eastAsia" w:ascii="宋体" w:hAnsi="宋体"/>
          <w:kern w:val="44"/>
        </w:rPr>
        <w:t>企业的注册资本不得少于3万元人民币。</w:t>
      </w:r>
    </w:p>
    <w:p w14:paraId="36D91D75">
      <w:pPr>
        <w:ind w:firstLine="422"/>
        <w:jc w:val="left"/>
        <w:rPr>
          <w:rFonts w:ascii="宋体" w:hAnsi="宋体"/>
          <w:kern w:val="44"/>
        </w:rPr>
      </w:pPr>
      <w:r>
        <w:rPr>
          <w:rFonts w:hint="eastAsia" w:ascii="宋体" w:hAnsi="宋体"/>
          <w:b/>
          <w:kern w:val="44"/>
        </w:rPr>
        <w:t>第十八条</w:t>
      </w:r>
      <w:r>
        <w:rPr>
          <w:rFonts w:hint="eastAsia" w:ascii="宋体" w:hAnsi="宋体"/>
          <w:kern w:val="44"/>
        </w:rPr>
        <w:t>　企业应当制定章程。企业章程由合作股东大会讨论通过。</w:t>
      </w:r>
    </w:p>
    <w:p w14:paraId="4EEE549C">
      <w:pPr>
        <w:jc w:val="left"/>
        <w:rPr>
          <w:rFonts w:ascii="宋体" w:hAnsi="宋体"/>
          <w:kern w:val="44"/>
        </w:rPr>
      </w:pPr>
      <w:r>
        <w:rPr>
          <w:rFonts w:hint="eastAsia" w:ascii="宋体" w:hAnsi="宋体"/>
          <w:kern w:val="44"/>
        </w:rPr>
        <w:t>企业章程应当载明下列事项：</w:t>
      </w:r>
    </w:p>
    <w:p w14:paraId="616E227F">
      <w:pPr>
        <w:jc w:val="left"/>
        <w:rPr>
          <w:rFonts w:ascii="宋体" w:hAnsi="宋体"/>
          <w:kern w:val="44"/>
        </w:rPr>
      </w:pPr>
      <w:r>
        <w:rPr>
          <w:rFonts w:hint="eastAsia" w:ascii="宋体" w:hAnsi="宋体"/>
          <w:kern w:val="44"/>
        </w:rPr>
        <w:t>（一）企业的名称和住所；</w:t>
      </w:r>
    </w:p>
    <w:p w14:paraId="2F2A6DD2">
      <w:pPr>
        <w:jc w:val="left"/>
        <w:rPr>
          <w:rFonts w:ascii="宋体" w:hAnsi="宋体"/>
          <w:kern w:val="44"/>
        </w:rPr>
      </w:pPr>
      <w:r>
        <w:rPr>
          <w:rFonts w:hint="eastAsia" w:ascii="宋体" w:hAnsi="宋体"/>
          <w:kern w:val="44"/>
        </w:rPr>
        <w:t>（二）企业的宗旨和经营范围；</w:t>
      </w:r>
    </w:p>
    <w:p w14:paraId="4580F9DE">
      <w:pPr>
        <w:jc w:val="left"/>
        <w:rPr>
          <w:rFonts w:ascii="宋体" w:hAnsi="宋体"/>
          <w:kern w:val="44"/>
        </w:rPr>
      </w:pPr>
      <w:r>
        <w:rPr>
          <w:rFonts w:hint="eastAsia" w:ascii="宋体" w:hAnsi="宋体"/>
          <w:kern w:val="44"/>
        </w:rPr>
        <w:t>（三）企业的设立方式；</w:t>
      </w:r>
    </w:p>
    <w:p w14:paraId="791BF1ED">
      <w:pPr>
        <w:jc w:val="left"/>
        <w:rPr>
          <w:rFonts w:ascii="宋体" w:hAnsi="宋体"/>
          <w:kern w:val="44"/>
        </w:rPr>
      </w:pPr>
      <w:r>
        <w:rPr>
          <w:rFonts w:hint="eastAsia" w:ascii="宋体" w:hAnsi="宋体"/>
          <w:kern w:val="44"/>
        </w:rPr>
        <w:t>（四）合作股东的权利和义务；</w:t>
      </w:r>
    </w:p>
    <w:p w14:paraId="4ABDEEBE">
      <w:pPr>
        <w:jc w:val="left"/>
        <w:rPr>
          <w:rFonts w:ascii="宋体" w:hAnsi="宋体"/>
          <w:kern w:val="44"/>
        </w:rPr>
      </w:pPr>
      <w:r>
        <w:rPr>
          <w:rFonts w:hint="eastAsia" w:ascii="宋体" w:hAnsi="宋体"/>
          <w:kern w:val="44"/>
        </w:rPr>
        <w:t>（五）企业注册资本、股份种类、各类股金总额、每股金额；</w:t>
      </w:r>
    </w:p>
    <w:p w14:paraId="60D801E4">
      <w:pPr>
        <w:jc w:val="left"/>
        <w:rPr>
          <w:rFonts w:ascii="宋体" w:hAnsi="宋体"/>
          <w:kern w:val="44"/>
        </w:rPr>
      </w:pPr>
      <w:r>
        <w:rPr>
          <w:rFonts w:hint="eastAsia" w:ascii="宋体" w:hAnsi="宋体"/>
          <w:kern w:val="44"/>
        </w:rPr>
        <w:t>（六）收益分配及亏损分担办法；</w:t>
      </w:r>
    </w:p>
    <w:p w14:paraId="6422C143">
      <w:pPr>
        <w:jc w:val="left"/>
        <w:rPr>
          <w:rFonts w:ascii="宋体" w:hAnsi="宋体"/>
          <w:kern w:val="44"/>
        </w:rPr>
      </w:pPr>
      <w:r>
        <w:rPr>
          <w:rFonts w:hint="eastAsia" w:ascii="宋体" w:hAnsi="宋体"/>
          <w:kern w:val="44"/>
        </w:rPr>
        <w:t>（七）企业组织机构及其产生办法、职权、议事规则；</w:t>
      </w:r>
    </w:p>
    <w:p w14:paraId="46C6F0BB">
      <w:pPr>
        <w:jc w:val="left"/>
        <w:rPr>
          <w:rFonts w:ascii="宋体" w:hAnsi="宋体"/>
          <w:kern w:val="44"/>
        </w:rPr>
      </w:pPr>
      <w:r>
        <w:rPr>
          <w:rFonts w:hint="eastAsia" w:ascii="宋体" w:hAnsi="宋体"/>
          <w:kern w:val="44"/>
        </w:rPr>
        <w:t>（八）企业法定代表人；</w:t>
      </w:r>
    </w:p>
    <w:p w14:paraId="36A66368">
      <w:pPr>
        <w:jc w:val="left"/>
        <w:rPr>
          <w:rFonts w:ascii="宋体" w:hAnsi="宋体"/>
          <w:kern w:val="44"/>
        </w:rPr>
      </w:pPr>
      <w:r>
        <w:rPr>
          <w:rFonts w:hint="eastAsia" w:ascii="宋体" w:hAnsi="宋体"/>
          <w:kern w:val="44"/>
        </w:rPr>
        <w:t>（九）企业终止的条件和程序；</w:t>
      </w:r>
    </w:p>
    <w:p w14:paraId="1013BA1D">
      <w:pPr>
        <w:jc w:val="left"/>
        <w:rPr>
          <w:rFonts w:ascii="宋体" w:hAnsi="宋体"/>
          <w:kern w:val="44"/>
        </w:rPr>
      </w:pPr>
      <w:r>
        <w:rPr>
          <w:rFonts w:hint="eastAsia" w:ascii="宋体" w:hAnsi="宋体"/>
          <w:kern w:val="44"/>
        </w:rPr>
        <w:t>（十）企业章程修订程序；</w:t>
      </w:r>
    </w:p>
    <w:p w14:paraId="2B7BB8D5">
      <w:pPr>
        <w:jc w:val="left"/>
        <w:rPr>
          <w:rFonts w:ascii="宋体" w:hAnsi="宋体"/>
          <w:kern w:val="44"/>
        </w:rPr>
      </w:pPr>
      <w:r>
        <w:rPr>
          <w:rFonts w:hint="eastAsia" w:ascii="宋体" w:hAnsi="宋体"/>
          <w:kern w:val="44"/>
        </w:rPr>
        <w:t>（十一）企业章程设立日期；</w:t>
      </w:r>
    </w:p>
    <w:p w14:paraId="44047698">
      <w:pPr>
        <w:jc w:val="left"/>
        <w:rPr>
          <w:rFonts w:ascii="宋体" w:hAnsi="宋体"/>
          <w:kern w:val="44"/>
        </w:rPr>
      </w:pPr>
      <w:r>
        <w:rPr>
          <w:rFonts w:hint="eastAsia" w:ascii="宋体" w:hAnsi="宋体"/>
          <w:kern w:val="44"/>
        </w:rPr>
        <w:t>（十二）法律、法规规定的其他事项。</w:t>
      </w:r>
    </w:p>
    <w:p w14:paraId="4B3DBA60">
      <w:pPr>
        <w:ind w:firstLine="422"/>
        <w:jc w:val="left"/>
        <w:rPr>
          <w:rFonts w:ascii="宋体" w:hAnsi="宋体"/>
          <w:kern w:val="44"/>
        </w:rPr>
      </w:pPr>
      <w:r>
        <w:rPr>
          <w:rFonts w:hint="eastAsia" w:ascii="宋体" w:hAnsi="宋体"/>
          <w:b/>
          <w:kern w:val="44"/>
        </w:rPr>
        <w:t>第十九条</w:t>
      </w:r>
      <w:r>
        <w:rPr>
          <w:rFonts w:hint="eastAsia" w:ascii="宋体" w:hAnsi="宋体"/>
          <w:kern w:val="44"/>
        </w:rPr>
        <w:t>　设立企业的筹备工作结束后，由合作股东大会指定的代表或者共同委托的代理人向当地工商行政管理部门申请注册登记，领取营业执照，并报乡镇企业主管机关备案。改建设立的，应当在筹备工作结束后，报区、县人民政府的经济体制改革部门或者政府授权部门批准，再向工商行政管理部门申请注册登记。</w:t>
      </w:r>
    </w:p>
    <w:p w14:paraId="6901DFF6">
      <w:pPr>
        <w:jc w:val="left"/>
        <w:rPr>
          <w:rFonts w:ascii="宋体" w:hAnsi="宋体"/>
          <w:kern w:val="44"/>
        </w:rPr>
      </w:pPr>
    </w:p>
    <w:p w14:paraId="584ABFAF">
      <w:pPr>
        <w:ind w:firstLine="0" w:firstLineChars="0"/>
        <w:jc w:val="center"/>
        <w:rPr>
          <w:rFonts w:ascii="宋体" w:hAnsi="宋体"/>
          <w:b/>
          <w:kern w:val="44"/>
          <w:sz w:val="28"/>
        </w:rPr>
      </w:pPr>
      <w:r>
        <w:rPr>
          <w:rFonts w:hint="eastAsia" w:ascii="宋体" w:hAnsi="宋体"/>
          <w:b/>
          <w:kern w:val="44"/>
          <w:sz w:val="28"/>
        </w:rPr>
        <w:t>第三章　股　份</w:t>
      </w:r>
    </w:p>
    <w:p w14:paraId="1F838CD5">
      <w:pPr>
        <w:jc w:val="left"/>
        <w:rPr>
          <w:rFonts w:ascii="宋体" w:hAnsi="宋体"/>
          <w:kern w:val="44"/>
        </w:rPr>
      </w:pPr>
    </w:p>
    <w:p w14:paraId="4B4FF47E">
      <w:pPr>
        <w:ind w:firstLine="422"/>
        <w:jc w:val="left"/>
        <w:rPr>
          <w:rFonts w:ascii="宋体" w:hAnsi="宋体"/>
          <w:kern w:val="44"/>
        </w:rPr>
      </w:pPr>
      <w:r>
        <w:rPr>
          <w:rFonts w:hint="eastAsia" w:ascii="宋体" w:hAnsi="宋体"/>
          <w:b/>
          <w:kern w:val="44"/>
        </w:rPr>
        <w:t>第二十条</w:t>
      </w:r>
      <w:r>
        <w:rPr>
          <w:rFonts w:hint="eastAsia" w:ascii="宋体" w:hAnsi="宋体"/>
          <w:kern w:val="44"/>
        </w:rPr>
        <w:t>　企业应当设置集体股、职工个人股。社员个人股、社会法人股和其他种类股份的设置由企业章程规定，但不得违反国家法律、法规的有关规定。</w:t>
      </w:r>
    </w:p>
    <w:p w14:paraId="2AEF40A9">
      <w:pPr>
        <w:ind w:firstLine="422"/>
        <w:jc w:val="left"/>
        <w:rPr>
          <w:rFonts w:ascii="宋体" w:hAnsi="宋体"/>
          <w:kern w:val="44"/>
        </w:rPr>
      </w:pPr>
      <w:r>
        <w:rPr>
          <w:rFonts w:hint="eastAsia" w:ascii="宋体" w:hAnsi="宋体"/>
          <w:b/>
          <w:kern w:val="44"/>
        </w:rPr>
        <w:t>第二十一条</w:t>
      </w:r>
      <w:r>
        <w:rPr>
          <w:rFonts w:hint="eastAsia" w:ascii="宋体" w:hAnsi="宋体"/>
          <w:kern w:val="44"/>
        </w:rPr>
        <w:t>　集体股是指合作社投资或者将集体资产折股后形成的由该合作社社员集体所有的股份，经社员大会或者社员代表会议同意，可以在本合作社内部转让，也可以向法人转让，但不得因转让股份而改变企业股份合作的性质。</w:t>
      </w:r>
    </w:p>
    <w:p w14:paraId="27102AFF">
      <w:pPr>
        <w:ind w:firstLine="422"/>
        <w:jc w:val="left"/>
        <w:rPr>
          <w:rFonts w:ascii="宋体" w:hAnsi="宋体"/>
          <w:kern w:val="44"/>
        </w:rPr>
      </w:pPr>
      <w:r>
        <w:rPr>
          <w:rFonts w:hint="eastAsia" w:ascii="宋体" w:hAnsi="宋体"/>
          <w:b/>
          <w:kern w:val="44"/>
        </w:rPr>
        <w:t>第二十二条</w:t>
      </w:r>
      <w:r>
        <w:rPr>
          <w:rFonts w:hint="eastAsia" w:ascii="宋体" w:hAnsi="宋体"/>
          <w:kern w:val="44"/>
        </w:rPr>
        <w:t>　职工个人股是指本企业职工投资购买或者投劳形成的股份，可以继承，可以在本合作社内部转让。</w:t>
      </w:r>
    </w:p>
    <w:p w14:paraId="6A87BFDA">
      <w:pPr>
        <w:ind w:firstLine="422"/>
        <w:jc w:val="left"/>
        <w:rPr>
          <w:rFonts w:ascii="宋体" w:hAnsi="宋体"/>
          <w:kern w:val="44"/>
        </w:rPr>
      </w:pPr>
      <w:r>
        <w:rPr>
          <w:rFonts w:hint="eastAsia" w:ascii="宋体" w:hAnsi="宋体"/>
          <w:b/>
          <w:kern w:val="44"/>
        </w:rPr>
        <w:t>第二十三条</w:t>
      </w:r>
      <w:r>
        <w:rPr>
          <w:rFonts w:hint="eastAsia" w:ascii="宋体" w:hAnsi="宋体"/>
          <w:kern w:val="44"/>
        </w:rPr>
        <w:t>　社员个人股是指在合作社内部募集的非本企业职工购买的股份，可以继承，可以在本合作社内部转让。</w:t>
      </w:r>
    </w:p>
    <w:p w14:paraId="7D721F1D">
      <w:pPr>
        <w:ind w:firstLine="422"/>
        <w:jc w:val="left"/>
        <w:rPr>
          <w:rFonts w:ascii="宋体" w:hAnsi="宋体"/>
          <w:kern w:val="44"/>
        </w:rPr>
      </w:pPr>
      <w:r>
        <w:rPr>
          <w:rFonts w:hint="eastAsia" w:ascii="宋体" w:hAnsi="宋体"/>
          <w:b/>
          <w:kern w:val="44"/>
        </w:rPr>
        <w:t>第二十四条</w:t>
      </w:r>
      <w:r>
        <w:rPr>
          <w:rFonts w:hint="eastAsia" w:ascii="宋体" w:hAnsi="宋体"/>
          <w:kern w:val="44"/>
        </w:rPr>
        <w:t>　社会法人股是指法人向企业投资形成的股份，可以向其他法人或者合作股东转让。</w:t>
      </w:r>
    </w:p>
    <w:p w14:paraId="3C7A34AE">
      <w:pPr>
        <w:ind w:firstLine="422"/>
        <w:jc w:val="left"/>
        <w:rPr>
          <w:rFonts w:ascii="宋体" w:hAnsi="宋体"/>
          <w:kern w:val="44"/>
        </w:rPr>
      </w:pPr>
      <w:r>
        <w:rPr>
          <w:rFonts w:hint="eastAsia" w:ascii="宋体" w:hAnsi="宋体"/>
          <w:b/>
          <w:kern w:val="44"/>
        </w:rPr>
        <w:t>第二十五条</w:t>
      </w:r>
      <w:r>
        <w:rPr>
          <w:rFonts w:hint="eastAsia" w:ascii="宋体" w:hAnsi="宋体"/>
          <w:kern w:val="44"/>
        </w:rPr>
        <w:t xml:space="preserve">　企业办理工商登记手续后，所有合作股东都不得抽回出资，不得退股。 </w:t>
      </w:r>
    </w:p>
    <w:p w14:paraId="47E29171">
      <w:pPr>
        <w:jc w:val="left"/>
        <w:rPr>
          <w:rFonts w:ascii="宋体" w:hAnsi="宋体"/>
          <w:kern w:val="44"/>
        </w:rPr>
      </w:pPr>
      <w:r>
        <w:rPr>
          <w:rFonts w:hint="eastAsia" w:ascii="宋体" w:hAnsi="宋体"/>
          <w:kern w:val="44"/>
        </w:rPr>
        <w:t>合作股东依法转让股份，须经理事会批准。</w:t>
      </w:r>
    </w:p>
    <w:p w14:paraId="37BBE2BD">
      <w:pPr>
        <w:ind w:firstLine="422"/>
        <w:jc w:val="left"/>
        <w:rPr>
          <w:rFonts w:ascii="宋体" w:hAnsi="宋体"/>
          <w:kern w:val="44"/>
        </w:rPr>
      </w:pPr>
      <w:r>
        <w:rPr>
          <w:rFonts w:hint="eastAsia" w:ascii="宋体" w:hAnsi="宋体"/>
          <w:b/>
          <w:kern w:val="44"/>
        </w:rPr>
        <w:t>第二十六条</w:t>
      </w:r>
      <w:r>
        <w:rPr>
          <w:rFonts w:hint="eastAsia" w:ascii="宋体" w:hAnsi="宋体"/>
          <w:kern w:val="44"/>
        </w:rPr>
        <w:t>　企业应当在登记注册后签发股权证书，作为合作股东享受权利和承担义务的书面凭证。</w:t>
      </w:r>
    </w:p>
    <w:p w14:paraId="2CFC934A">
      <w:pPr>
        <w:jc w:val="left"/>
        <w:rPr>
          <w:rFonts w:ascii="宋体" w:hAnsi="宋体"/>
          <w:kern w:val="44"/>
        </w:rPr>
      </w:pPr>
      <w:r>
        <w:rPr>
          <w:rFonts w:hint="eastAsia" w:ascii="宋体" w:hAnsi="宋体"/>
          <w:kern w:val="44"/>
        </w:rPr>
        <w:t>股权证书应当载明以下事项：</w:t>
      </w:r>
    </w:p>
    <w:p w14:paraId="29826097">
      <w:pPr>
        <w:jc w:val="left"/>
        <w:rPr>
          <w:rFonts w:ascii="宋体" w:hAnsi="宋体"/>
          <w:kern w:val="44"/>
        </w:rPr>
      </w:pPr>
      <w:r>
        <w:rPr>
          <w:rFonts w:hint="eastAsia" w:ascii="宋体" w:hAnsi="宋体"/>
          <w:kern w:val="44"/>
        </w:rPr>
        <w:t>（一）企业的名称、住所；</w:t>
      </w:r>
    </w:p>
    <w:p w14:paraId="658D87A6">
      <w:pPr>
        <w:jc w:val="left"/>
        <w:rPr>
          <w:rFonts w:ascii="宋体" w:hAnsi="宋体"/>
          <w:kern w:val="44"/>
        </w:rPr>
      </w:pPr>
      <w:r>
        <w:rPr>
          <w:rFonts w:hint="eastAsia" w:ascii="宋体" w:hAnsi="宋体"/>
          <w:kern w:val="44"/>
        </w:rPr>
        <w:t>（二）企业登记日期；</w:t>
      </w:r>
    </w:p>
    <w:p w14:paraId="78A61C57">
      <w:pPr>
        <w:jc w:val="left"/>
        <w:rPr>
          <w:rFonts w:ascii="宋体" w:hAnsi="宋体"/>
          <w:kern w:val="44"/>
        </w:rPr>
      </w:pPr>
      <w:r>
        <w:rPr>
          <w:rFonts w:hint="eastAsia" w:ascii="宋体" w:hAnsi="宋体"/>
          <w:kern w:val="44"/>
        </w:rPr>
        <w:t>（三）编号；</w:t>
      </w:r>
    </w:p>
    <w:p w14:paraId="78B42AA2">
      <w:pPr>
        <w:jc w:val="left"/>
        <w:rPr>
          <w:rFonts w:ascii="宋体" w:hAnsi="宋体"/>
          <w:kern w:val="44"/>
        </w:rPr>
      </w:pPr>
      <w:r>
        <w:rPr>
          <w:rFonts w:hint="eastAsia" w:ascii="宋体" w:hAnsi="宋体"/>
          <w:kern w:val="44"/>
        </w:rPr>
        <w:t>（四）合作股东名称或者姓名、住所及其股份种类、数额；</w:t>
      </w:r>
    </w:p>
    <w:p w14:paraId="4A2DC681">
      <w:pPr>
        <w:jc w:val="left"/>
        <w:rPr>
          <w:rFonts w:ascii="宋体" w:hAnsi="宋体"/>
          <w:kern w:val="44"/>
        </w:rPr>
      </w:pPr>
      <w:r>
        <w:rPr>
          <w:rFonts w:hint="eastAsia" w:ascii="宋体" w:hAnsi="宋体"/>
          <w:kern w:val="44"/>
        </w:rPr>
        <w:t>（五）合作股东缴纳的出资额和出资日期；</w:t>
      </w:r>
    </w:p>
    <w:p w14:paraId="1CF8C102">
      <w:pPr>
        <w:jc w:val="left"/>
        <w:rPr>
          <w:rFonts w:ascii="宋体" w:hAnsi="宋体"/>
          <w:kern w:val="44"/>
        </w:rPr>
      </w:pPr>
      <w:r>
        <w:rPr>
          <w:rFonts w:hint="eastAsia" w:ascii="宋体" w:hAnsi="宋体"/>
          <w:kern w:val="44"/>
        </w:rPr>
        <w:t>（六）核发日期；</w:t>
      </w:r>
    </w:p>
    <w:p w14:paraId="36A8AC10">
      <w:pPr>
        <w:jc w:val="left"/>
        <w:rPr>
          <w:rFonts w:ascii="宋体" w:hAnsi="宋体"/>
          <w:kern w:val="44"/>
        </w:rPr>
      </w:pPr>
      <w:r>
        <w:rPr>
          <w:rFonts w:hint="eastAsia" w:ascii="宋体" w:hAnsi="宋体"/>
          <w:kern w:val="44"/>
        </w:rPr>
        <w:t>（七）企业签章、理事长签名；</w:t>
      </w:r>
    </w:p>
    <w:p w14:paraId="2F2852B0">
      <w:pPr>
        <w:jc w:val="left"/>
        <w:rPr>
          <w:rFonts w:ascii="宋体" w:hAnsi="宋体"/>
          <w:kern w:val="44"/>
        </w:rPr>
      </w:pPr>
      <w:r>
        <w:rPr>
          <w:rFonts w:hint="eastAsia" w:ascii="宋体" w:hAnsi="宋体"/>
          <w:kern w:val="44"/>
        </w:rPr>
        <w:t>（八）其他需要载明的事项。</w:t>
      </w:r>
    </w:p>
    <w:p w14:paraId="2A25D101">
      <w:pPr>
        <w:ind w:firstLine="422"/>
        <w:jc w:val="left"/>
        <w:rPr>
          <w:rFonts w:ascii="宋体" w:hAnsi="宋体"/>
          <w:kern w:val="44"/>
        </w:rPr>
      </w:pPr>
      <w:r>
        <w:rPr>
          <w:rFonts w:hint="eastAsia" w:ascii="宋体" w:hAnsi="宋体"/>
          <w:b/>
          <w:kern w:val="44"/>
        </w:rPr>
        <w:t>第二十七条</w:t>
      </w:r>
      <w:r>
        <w:rPr>
          <w:rFonts w:hint="eastAsia" w:ascii="宋体" w:hAnsi="宋体"/>
          <w:kern w:val="44"/>
        </w:rPr>
        <w:t>　企业应当置备合作股东名册。</w:t>
      </w:r>
    </w:p>
    <w:p w14:paraId="2447AAED">
      <w:pPr>
        <w:jc w:val="left"/>
        <w:rPr>
          <w:rFonts w:ascii="宋体" w:hAnsi="宋体"/>
          <w:kern w:val="44"/>
        </w:rPr>
      </w:pPr>
      <w:r>
        <w:rPr>
          <w:rFonts w:hint="eastAsia" w:ascii="宋体" w:hAnsi="宋体"/>
          <w:kern w:val="44"/>
        </w:rPr>
        <w:t>合作股东名册应当载明以下事项：</w:t>
      </w:r>
    </w:p>
    <w:p w14:paraId="0EB62E39">
      <w:pPr>
        <w:jc w:val="left"/>
        <w:rPr>
          <w:rFonts w:ascii="宋体" w:hAnsi="宋体"/>
          <w:kern w:val="44"/>
        </w:rPr>
      </w:pPr>
      <w:r>
        <w:rPr>
          <w:rFonts w:hint="eastAsia" w:ascii="宋体" w:hAnsi="宋体"/>
          <w:kern w:val="44"/>
        </w:rPr>
        <w:t>（一）合作股东姓名或者名称和住所；</w:t>
      </w:r>
    </w:p>
    <w:p w14:paraId="085AB2B7">
      <w:pPr>
        <w:jc w:val="left"/>
        <w:rPr>
          <w:rFonts w:ascii="宋体" w:hAnsi="宋体"/>
          <w:kern w:val="44"/>
        </w:rPr>
      </w:pPr>
      <w:r>
        <w:rPr>
          <w:rFonts w:hint="eastAsia" w:ascii="宋体" w:hAnsi="宋体"/>
          <w:kern w:val="44"/>
        </w:rPr>
        <w:t>（二）合作股东的出资额、股份种类和股份数额；</w:t>
      </w:r>
    </w:p>
    <w:p w14:paraId="5166B794">
      <w:pPr>
        <w:jc w:val="left"/>
        <w:rPr>
          <w:rFonts w:ascii="宋体" w:hAnsi="宋体"/>
          <w:kern w:val="44"/>
        </w:rPr>
      </w:pPr>
      <w:r>
        <w:rPr>
          <w:rFonts w:hint="eastAsia" w:ascii="宋体" w:hAnsi="宋体"/>
          <w:kern w:val="44"/>
        </w:rPr>
        <w:t>（三）股权证书编号；</w:t>
      </w:r>
    </w:p>
    <w:p w14:paraId="1ECAB0E3">
      <w:pPr>
        <w:jc w:val="left"/>
        <w:rPr>
          <w:rFonts w:ascii="宋体" w:hAnsi="宋体"/>
          <w:kern w:val="44"/>
        </w:rPr>
      </w:pPr>
      <w:r>
        <w:rPr>
          <w:rFonts w:hint="eastAsia" w:ascii="宋体" w:hAnsi="宋体"/>
          <w:kern w:val="44"/>
        </w:rPr>
        <w:t>（四）取得股份的日期。</w:t>
      </w:r>
    </w:p>
    <w:p w14:paraId="62FCDD5F">
      <w:pPr>
        <w:ind w:firstLine="422"/>
        <w:jc w:val="left"/>
        <w:rPr>
          <w:rFonts w:ascii="宋体" w:hAnsi="宋体"/>
          <w:kern w:val="44"/>
        </w:rPr>
      </w:pPr>
      <w:r>
        <w:rPr>
          <w:rFonts w:hint="eastAsia" w:ascii="宋体" w:hAnsi="宋体"/>
          <w:b/>
          <w:kern w:val="44"/>
        </w:rPr>
        <w:t>第二十八条</w:t>
      </w:r>
      <w:r>
        <w:rPr>
          <w:rFonts w:hint="eastAsia" w:ascii="宋体" w:hAnsi="宋体"/>
          <w:kern w:val="44"/>
        </w:rPr>
        <w:t>　合作股东转让股份应当变更股权证书和合作股东名册。</w:t>
      </w:r>
    </w:p>
    <w:p w14:paraId="7F72E98D">
      <w:pPr>
        <w:jc w:val="left"/>
        <w:rPr>
          <w:rFonts w:ascii="宋体" w:hAnsi="宋体"/>
          <w:kern w:val="44"/>
        </w:rPr>
      </w:pPr>
    </w:p>
    <w:p w14:paraId="77B05254">
      <w:pPr>
        <w:ind w:firstLine="0" w:firstLineChars="0"/>
        <w:jc w:val="center"/>
        <w:rPr>
          <w:rFonts w:ascii="宋体" w:hAnsi="宋体"/>
          <w:b/>
          <w:kern w:val="44"/>
          <w:sz w:val="28"/>
        </w:rPr>
      </w:pPr>
      <w:r>
        <w:rPr>
          <w:rFonts w:hint="eastAsia" w:ascii="宋体" w:hAnsi="宋体"/>
          <w:b/>
          <w:kern w:val="44"/>
          <w:sz w:val="28"/>
        </w:rPr>
        <w:t>第四章　组织机构</w:t>
      </w:r>
    </w:p>
    <w:p w14:paraId="2A260377">
      <w:pPr>
        <w:jc w:val="left"/>
        <w:rPr>
          <w:rFonts w:ascii="宋体" w:hAnsi="宋体"/>
          <w:kern w:val="44"/>
        </w:rPr>
      </w:pPr>
    </w:p>
    <w:p w14:paraId="039E8073">
      <w:pPr>
        <w:ind w:firstLine="422"/>
        <w:jc w:val="left"/>
        <w:rPr>
          <w:rFonts w:ascii="宋体" w:hAnsi="宋体"/>
          <w:kern w:val="44"/>
        </w:rPr>
      </w:pPr>
      <w:r>
        <w:rPr>
          <w:rFonts w:hint="eastAsia" w:ascii="宋体" w:hAnsi="宋体"/>
          <w:b/>
          <w:kern w:val="44"/>
        </w:rPr>
        <w:t>第二十九条</w:t>
      </w:r>
      <w:r>
        <w:rPr>
          <w:rFonts w:hint="eastAsia" w:ascii="宋体" w:hAnsi="宋体"/>
          <w:kern w:val="44"/>
        </w:rPr>
        <w:t>　企业设立合作股东大会、理事会、经理和监事会。</w:t>
      </w:r>
    </w:p>
    <w:p w14:paraId="5C766B35">
      <w:pPr>
        <w:ind w:firstLine="422"/>
        <w:jc w:val="left"/>
        <w:rPr>
          <w:rFonts w:ascii="宋体" w:hAnsi="宋体"/>
          <w:kern w:val="44"/>
        </w:rPr>
      </w:pPr>
      <w:r>
        <w:rPr>
          <w:rFonts w:hint="eastAsia" w:ascii="宋体" w:hAnsi="宋体"/>
          <w:b/>
          <w:kern w:val="44"/>
        </w:rPr>
        <w:t>第三十条</w:t>
      </w:r>
      <w:r>
        <w:rPr>
          <w:rFonts w:hint="eastAsia" w:ascii="宋体" w:hAnsi="宋体"/>
          <w:kern w:val="44"/>
        </w:rPr>
        <w:t>　合作股东大会是企业权力机构，行使下列职权：</w:t>
      </w:r>
    </w:p>
    <w:p w14:paraId="08F4135D">
      <w:pPr>
        <w:jc w:val="left"/>
        <w:rPr>
          <w:rFonts w:ascii="宋体" w:hAnsi="宋体"/>
          <w:kern w:val="44"/>
        </w:rPr>
      </w:pPr>
      <w:r>
        <w:rPr>
          <w:rFonts w:hint="eastAsia" w:ascii="宋体" w:hAnsi="宋体"/>
          <w:kern w:val="44"/>
        </w:rPr>
        <w:t>（一）决定或者罢免理事会、监事会成员；</w:t>
      </w:r>
    </w:p>
    <w:p w14:paraId="44C933E3">
      <w:pPr>
        <w:jc w:val="left"/>
        <w:rPr>
          <w:rFonts w:ascii="宋体" w:hAnsi="宋体"/>
          <w:kern w:val="44"/>
        </w:rPr>
      </w:pPr>
      <w:r>
        <w:rPr>
          <w:rFonts w:hint="eastAsia" w:ascii="宋体" w:hAnsi="宋体"/>
          <w:kern w:val="44"/>
        </w:rPr>
        <w:t>（二）审议批准企业年度财务预算、决算方案；</w:t>
      </w:r>
    </w:p>
    <w:p w14:paraId="446691A6">
      <w:pPr>
        <w:jc w:val="left"/>
        <w:rPr>
          <w:rFonts w:ascii="宋体" w:hAnsi="宋体"/>
          <w:kern w:val="44"/>
        </w:rPr>
      </w:pPr>
      <w:r>
        <w:rPr>
          <w:rFonts w:hint="eastAsia" w:ascii="宋体" w:hAnsi="宋体"/>
          <w:kern w:val="44"/>
        </w:rPr>
        <w:t>（三）审议批准企业利润分配和亏损弥补方案；</w:t>
      </w:r>
    </w:p>
    <w:p w14:paraId="2D476C48">
      <w:pPr>
        <w:jc w:val="left"/>
        <w:rPr>
          <w:rFonts w:ascii="宋体" w:hAnsi="宋体"/>
          <w:kern w:val="44"/>
        </w:rPr>
      </w:pPr>
      <w:r>
        <w:rPr>
          <w:rFonts w:hint="eastAsia" w:ascii="宋体" w:hAnsi="宋体"/>
          <w:kern w:val="44"/>
        </w:rPr>
        <w:t>（四）审议批准企业股份调整方案；</w:t>
      </w:r>
    </w:p>
    <w:p w14:paraId="1306E5C1">
      <w:pPr>
        <w:jc w:val="left"/>
        <w:rPr>
          <w:rFonts w:ascii="宋体" w:hAnsi="宋体"/>
          <w:kern w:val="44"/>
        </w:rPr>
      </w:pPr>
      <w:r>
        <w:rPr>
          <w:rFonts w:hint="eastAsia" w:ascii="宋体" w:hAnsi="宋体"/>
          <w:kern w:val="44"/>
        </w:rPr>
        <w:t>（五）审议批准企业增减注册资本方案；</w:t>
      </w:r>
    </w:p>
    <w:p w14:paraId="30F30CEA">
      <w:pPr>
        <w:jc w:val="left"/>
        <w:rPr>
          <w:rFonts w:ascii="宋体" w:hAnsi="宋体"/>
          <w:kern w:val="44"/>
        </w:rPr>
      </w:pPr>
      <w:r>
        <w:rPr>
          <w:rFonts w:hint="eastAsia" w:ascii="宋体" w:hAnsi="宋体"/>
          <w:kern w:val="44"/>
        </w:rPr>
        <w:t>（六）审议批准企业合并、分立、变更组织形式、解散和清算方案；</w:t>
      </w:r>
    </w:p>
    <w:p w14:paraId="48E10DBA">
      <w:pPr>
        <w:jc w:val="left"/>
        <w:rPr>
          <w:rFonts w:ascii="宋体" w:hAnsi="宋体"/>
          <w:kern w:val="44"/>
        </w:rPr>
      </w:pPr>
      <w:r>
        <w:rPr>
          <w:rFonts w:hint="eastAsia" w:ascii="宋体" w:hAnsi="宋体"/>
          <w:kern w:val="44"/>
        </w:rPr>
        <w:t>（七）决定修改企业章程；</w:t>
      </w:r>
    </w:p>
    <w:p w14:paraId="533E5A41">
      <w:pPr>
        <w:jc w:val="left"/>
        <w:rPr>
          <w:rFonts w:ascii="宋体" w:hAnsi="宋体"/>
          <w:kern w:val="44"/>
        </w:rPr>
      </w:pPr>
      <w:r>
        <w:rPr>
          <w:rFonts w:hint="eastAsia" w:ascii="宋体" w:hAnsi="宋体"/>
          <w:kern w:val="44"/>
        </w:rPr>
        <w:t>（八）企业章程规定的其他职权。</w:t>
      </w:r>
    </w:p>
    <w:p w14:paraId="6EF7114C">
      <w:pPr>
        <w:ind w:firstLine="422"/>
        <w:jc w:val="left"/>
        <w:rPr>
          <w:rFonts w:ascii="宋体" w:hAnsi="宋体"/>
          <w:kern w:val="44"/>
        </w:rPr>
      </w:pPr>
      <w:r>
        <w:rPr>
          <w:rFonts w:hint="eastAsia" w:ascii="宋体" w:hAnsi="宋体"/>
          <w:b/>
          <w:kern w:val="44"/>
        </w:rPr>
        <w:t>第三十一条</w:t>
      </w:r>
      <w:r>
        <w:rPr>
          <w:rFonts w:hint="eastAsia" w:ascii="宋体" w:hAnsi="宋体"/>
          <w:kern w:val="44"/>
        </w:rPr>
        <w:t>　合作股东大会实行一人一票制。</w:t>
      </w:r>
    </w:p>
    <w:p w14:paraId="0C868F68">
      <w:pPr>
        <w:jc w:val="left"/>
        <w:rPr>
          <w:rFonts w:ascii="宋体" w:hAnsi="宋体"/>
          <w:kern w:val="44"/>
        </w:rPr>
      </w:pPr>
      <w:r>
        <w:rPr>
          <w:rFonts w:hint="eastAsia" w:ascii="宋体" w:hAnsi="宋体"/>
          <w:kern w:val="44"/>
        </w:rPr>
        <w:t>合作股东大会作出决议必须经全体合作股东半数以上通过。</w:t>
      </w:r>
    </w:p>
    <w:p w14:paraId="65EA52A8">
      <w:pPr>
        <w:ind w:firstLine="422"/>
        <w:jc w:val="left"/>
        <w:rPr>
          <w:rFonts w:ascii="宋体" w:hAnsi="宋体"/>
          <w:kern w:val="44"/>
        </w:rPr>
      </w:pPr>
      <w:r>
        <w:rPr>
          <w:rFonts w:hint="eastAsia" w:ascii="宋体" w:hAnsi="宋体"/>
          <w:b/>
          <w:kern w:val="44"/>
        </w:rPr>
        <w:t>第三十二条</w:t>
      </w:r>
      <w:r>
        <w:rPr>
          <w:rFonts w:hint="eastAsia" w:ascii="宋体" w:hAnsi="宋体"/>
          <w:kern w:val="44"/>
        </w:rPr>
        <w:t>　企业成立理事会，组成人员一般不少于五人。理事会成员由各类合作股东代表理事组成，各类代表理事名额参照各自股份比例确定，代表理事人选分别由各类合作股东推荐。</w:t>
      </w:r>
    </w:p>
    <w:p w14:paraId="26DBE4DA">
      <w:pPr>
        <w:jc w:val="left"/>
        <w:rPr>
          <w:rFonts w:ascii="宋体" w:hAnsi="宋体"/>
          <w:kern w:val="44"/>
        </w:rPr>
      </w:pPr>
      <w:r>
        <w:rPr>
          <w:rFonts w:hint="eastAsia" w:ascii="宋体" w:hAnsi="宋体"/>
          <w:kern w:val="44"/>
        </w:rPr>
        <w:t>理事任期由企业章程规定，任期届满可以连选连任。</w:t>
      </w:r>
    </w:p>
    <w:p w14:paraId="3554C01F">
      <w:pPr>
        <w:ind w:firstLine="422"/>
        <w:jc w:val="left"/>
        <w:rPr>
          <w:rFonts w:ascii="宋体" w:hAnsi="宋体"/>
          <w:kern w:val="44"/>
        </w:rPr>
      </w:pPr>
      <w:r>
        <w:rPr>
          <w:rFonts w:hint="eastAsia" w:ascii="宋体" w:hAnsi="宋体"/>
          <w:b/>
          <w:kern w:val="44"/>
        </w:rPr>
        <w:t>第三十三条</w:t>
      </w:r>
      <w:r>
        <w:rPr>
          <w:rFonts w:hint="eastAsia" w:ascii="宋体" w:hAnsi="宋体"/>
          <w:kern w:val="44"/>
        </w:rPr>
        <w:t>　理事会对合作股东大会负责，行使下列职权：</w:t>
      </w:r>
    </w:p>
    <w:p w14:paraId="1B48B851">
      <w:pPr>
        <w:jc w:val="left"/>
        <w:rPr>
          <w:rFonts w:ascii="宋体" w:hAnsi="宋体"/>
          <w:kern w:val="44"/>
        </w:rPr>
      </w:pPr>
      <w:r>
        <w:rPr>
          <w:rFonts w:hint="eastAsia" w:ascii="宋体" w:hAnsi="宋体"/>
          <w:kern w:val="44"/>
        </w:rPr>
        <w:t>（一）审定企业的发展规划、年度生产经营计划；</w:t>
      </w:r>
    </w:p>
    <w:p w14:paraId="4BFBE998">
      <w:pPr>
        <w:jc w:val="left"/>
        <w:rPr>
          <w:rFonts w:ascii="宋体" w:hAnsi="宋体"/>
          <w:kern w:val="44"/>
        </w:rPr>
      </w:pPr>
      <w:r>
        <w:rPr>
          <w:rFonts w:hint="eastAsia" w:ascii="宋体" w:hAnsi="宋体"/>
          <w:kern w:val="44"/>
        </w:rPr>
        <w:t>（二）确定企业的经营方针和管理机构的设置；</w:t>
      </w:r>
    </w:p>
    <w:p w14:paraId="739E855E">
      <w:pPr>
        <w:jc w:val="left"/>
        <w:rPr>
          <w:rFonts w:ascii="宋体" w:hAnsi="宋体"/>
          <w:kern w:val="44"/>
        </w:rPr>
      </w:pPr>
      <w:r>
        <w:rPr>
          <w:rFonts w:hint="eastAsia" w:ascii="宋体" w:hAnsi="宋体"/>
          <w:kern w:val="44"/>
        </w:rPr>
        <w:t>（三）批准企业的规章制度；</w:t>
      </w:r>
    </w:p>
    <w:p w14:paraId="4D2DFB2C">
      <w:pPr>
        <w:jc w:val="left"/>
        <w:rPr>
          <w:rFonts w:ascii="宋体" w:hAnsi="宋体"/>
          <w:kern w:val="44"/>
        </w:rPr>
      </w:pPr>
      <w:r>
        <w:rPr>
          <w:rFonts w:hint="eastAsia" w:ascii="宋体" w:hAnsi="宋体"/>
          <w:kern w:val="44"/>
        </w:rPr>
        <w:t>（四）听取并审查经理的工作报告；</w:t>
      </w:r>
    </w:p>
    <w:p w14:paraId="6B11C45E">
      <w:pPr>
        <w:jc w:val="left"/>
        <w:rPr>
          <w:rFonts w:ascii="宋体" w:hAnsi="宋体"/>
          <w:kern w:val="44"/>
        </w:rPr>
      </w:pPr>
      <w:r>
        <w:rPr>
          <w:rFonts w:hint="eastAsia" w:ascii="宋体" w:hAnsi="宋体"/>
          <w:kern w:val="44"/>
        </w:rPr>
        <w:t>（五）审查企业年度财务预算、决算方案和利润分配方案；</w:t>
      </w:r>
    </w:p>
    <w:p w14:paraId="397AB451">
      <w:pPr>
        <w:jc w:val="left"/>
        <w:rPr>
          <w:rFonts w:ascii="宋体" w:hAnsi="宋体"/>
          <w:kern w:val="44"/>
        </w:rPr>
      </w:pPr>
      <w:r>
        <w:rPr>
          <w:rFonts w:hint="eastAsia" w:ascii="宋体" w:hAnsi="宋体"/>
          <w:kern w:val="44"/>
        </w:rPr>
        <w:t>（六）对企业增加或者减少注册资本，分立、合并或者清算等重大事项提出方案；</w:t>
      </w:r>
    </w:p>
    <w:p w14:paraId="5BDE51C2">
      <w:pPr>
        <w:jc w:val="left"/>
        <w:rPr>
          <w:rFonts w:ascii="宋体" w:hAnsi="宋体"/>
          <w:kern w:val="44"/>
        </w:rPr>
      </w:pPr>
      <w:r>
        <w:rPr>
          <w:rFonts w:hint="eastAsia" w:ascii="宋体" w:hAnsi="宋体"/>
          <w:kern w:val="44"/>
        </w:rPr>
        <w:t>（七）聘任或者解聘企业经理，根据经理提名，聘任或者解聘副经理和财务主管；</w:t>
      </w:r>
    </w:p>
    <w:p w14:paraId="22821893">
      <w:pPr>
        <w:jc w:val="left"/>
        <w:rPr>
          <w:rFonts w:ascii="宋体" w:hAnsi="宋体"/>
          <w:kern w:val="44"/>
        </w:rPr>
      </w:pPr>
      <w:r>
        <w:rPr>
          <w:rFonts w:hint="eastAsia" w:ascii="宋体" w:hAnsi="宋体"/>
          <w:kern w:val="44"/>
        </w:rPr>
        <w:t>（八）决定对企业经理、副经理和财务主管的奖惩；</w:t>
      </w:r>
    </w:p>
    <w:p w14:paraId="0106A5F1">
      <w:pPr>
        <w:jc w:val="left"/>
        <w:rPr>
          <w:rFonts w:ascii="宋体" w:hAnsi="宋体"/>
          <w:kern w:val="44"/>
        </w:rPr>
      </w:pPr>
      <w:r>
        <w:rPr>
          <w:rFonts w:hint="eastAsia" w:ascii="宋体" w:hAnsi="宋体"/>
          <w:kern w:val="44"/>
        </w:rPr>
        <w:t>（九）本条例和企业章程规定的其他职权。</w:t>
      </w:r>
    </w:p>
    <w:p w14:paraId="68B0F248">
      <w:pPr>
        <w:jc w:val="left"/>
        <w:rPr>
          <w:rFonts w:ascii="宋体" w:hAnsi="宋体"/>
          <w:kern w:val="44"/>
        </w:rPr>
      </w:pPr>
      <w:r>
        <w:rPr>
          <w:rFonts w:hint="eastAsia" w:ascii="宋体" w:hAnsi="宋体"/>
          <w:kern w:val="44"/>
        </w:rPr>
        <w:t>理事会的决议须经全体理事半数以上同意方可通过。</w:t>
      </w:r>
    </w:p>
    <w:p w14:paraId="7EA1C33C">
      <w:pPr>
        <w:ind w:firstLine="422"/>
        <w:jc w:val="left"/>
        <w:rPr>
          <w:rFonts w:ascii="宋体" w:hAnsi="宋体"/>
          <w:kern w:val="44"/>
        </w:rPr>
      </w:pPr>
      <w:r>
        <w:rPr>
          <w:rFonts w:hint="eastAsia" w:ascii="宋体" w:hAnsi="宋体"/>
          <w:b/>
          <w:kern w:val="44"/>
        </w:rPr>
        <w:t>第三十四条</w:t>
      </w:r>
      <w:r>
        <w:rPr>
          <w:rFonts w:hint="eastAsia" w:ascii="宋体" w:hAnsi="宋体"/>
          <w:kern w:val="44"/>
        </w:rPr>
        <w:t>　理事长是企业的法定代表人，由理事会选举或者罢免。</w:t>
      </w:r>
    </w:p>
    <w:p w14:paraId="49AEB24D">
      <w:pPr>
        <w:jc w:val="left"/>
        <w:rPr>
          <w:rFonts w:ascii="宋体" w:hAnsi="宋体"/>
          <w:kern w:val="44"/>
        </w:rPr>
      </w:pPr>
      <w:r>
        <w:rPr>
          <w:rFonts w:hint="eastAsia" w:ascii="宋体" w:hAnsi="宋体"/>
          <w:kern w:val="44"/>
        </w:rPr>
        <w:t>理事长行使下列职权：</w:t>
      </w:r>
    </w:p>
    <w:p w14:paraId="1D7A5A06">
      <w:pPr>
        <w:jc w:val="left"/>
        <w:rPr>
          <w:rFonts w:ascii="宋体" w:hAnsi="宋体"/>
          <w:kern w:val="44"/>
        </w:rPr>
      </w:pPr>
      <w:r>
        <w:rPr>
          <w:rFonts w:hint="eastAsia" w:ascii="宋体" w:hAnsi="宋体"/>
          <w:kern w:val="44"/>
        </w:rPr>
        <w:t>（一）召集和主持合作股东大会和理事会会议；</w:t>
      </w:r>
    </w:p>
    <w:p w14:paraId="37E5F36C">
      <w:pPr>
        <w:jc w:val="left"/>
        <w:rPr>
          <w:rFonts w:ascii="宋体" w:hAnsi="宋体"/>
          <w:kern w:val="44"/>
        </w:rPr>
      </w:pPr>
      <w:r>
        <w:rPr>
          <w:rFonts w:hint="eastAsia" w:ascii="宋体" w:hAnsi="宋体"/>
          <w:kern w:val="44"/>
        </w:rPr>
        <w:t>（二）检查合作股东大会决议和理事会决议的实施情况；</w:t>
      </w:r>
    </w:p>
    <w:p w14:paraId="4A350A36">
      <w:pPr>
        <w:jc w:val="left"/>
        <w:rPr>
          <w:rFonts w:ascii="宋体" w:hAnsi="宋体"/>
          <w:kern w:val="44"/>
        </w:rPr>
      </w:pPr>
      <w:r>
        <w:rPr>
          <w:rFonts w:hint="eastAsia" w:ascii="宋体" w:hAnsi="宋体"/>
          <w:kern w:val="44"/>
        </w:rPr>
        <w:t>（三）企业章程规定的其他职权。</w:t>
      </w:r>
    </w:p>
    <w:p w14:paraId="5FFAE339">
      <w:pPr>
        <w:ind w:firstLine="422"/>
        <w:jc w:val="left"/>
        <w:rPr>
          <w:rFonts w:ascii="宋体" w:hAnsi="宋体"/>
          <w:kern w:val="44"/>
        </w:rPr>
      </w:pPr>
      <w:r>
        <w:rPr>
          <w:rFonts w:hint="eastAsia" w:ascii="宋体" w:hAnsi="宋体"/>
          <w:b/>
          <w:kern w:val="44"/>
        </w:rPr>
        <w:t>第三十五条</w:t>
      </w:r>
      <w:r>
        <w:rPr>
          <w:rFonts w:hint="eastAsia" w:ascii="宋体" w:hAnsi="宋体"/>
          <w:kern w:val="44"/>
        </w:rPr>
        <w:t>　企业经理对理事会负责，行使下列职权：</w:t>
      </w:r>
    </w:p>
    <w:p w14:paraId="40206C90">
      <w:pPr>
        <w:jc w:val="left"/>
        <w:rPr>
          <w:rFonts w:ascii="宋体" w:hAnsi="宋体"/>
          <w:kern w:val="44"/>
        </w:rPr>
      </w:pPr>
      <w:r>
        <w:rPr>
          <w:rFonts w:hint="eastAsia" w:ascii="宋体" w:hAnsi="宋体"/>
          <w:kern w:val="44"/>
        </w:rPr>
        <w:t>（一）根据企业章程和理事会授权负责企业的日常经营管理；</w:t>
      </w:r>
    </w:p>
    <w:p w14:paraId="69519703">
      <w:pPr>
        <w:jc w:val="left"/>
        <w:rPr>
          <w:rFonts w:ascii="宋体" w:hAnsi="宋体"/>
          <w:kern w:val="44"/>
        </w:rPr>
      </w:pPr>
      <w:r>
        <w:rPr>
          <w:rFonts w:hint="eastAsia" w:ascii="宋体" w:hAnsi="宋体"/>
          <w:kern w:val="44"/>
        </w:rPr>
        <w:t>（二）组织实施合作股东大会和理事会的决议；</w:t>
      </w:r>
    </w:p>
    <w:p w14:paraId="6228C067">
      <w:pPr>
        <w:jc w:val="left"/>
        <w:rPr>
          <w:rFonts w:ascii="宋体" w:hAnsi="宋体"/>
          <w:kern w:val="44"/>
        </w:rPr>
      </w:pPr>
      <w:r>
        <w:rPr>
          <w:rFonts w:hint="eastAsia" w:ascii="宋体" w:hAnsi="宋体"/>
          <w:kern w:val="44"/>
        </w:rPr>
        <w:t>（三）拟定企业的发展规划和年度生产经营计划草案；</w:t>
      </w:r>
    </w:p>
    <w:p w14:paraId="416D0C84">
      <w:pPr>
        <w:jc w:val="left"/>
        <w:rPr>
          <w:rFonts w:ascii="宋体" w:hAnsi="宋体"/>
          <w:kern w:val="44"/>
        </w:rPr>
      </w:pPr>
      <w:r>
        <w:rPr>
          <w:rFonts w:hint="eastAsia" w:ascii="宋体" w:hAnsi="宋体"/>
          <w:kern w:val="44"/>
        </w:rPr>
        <w:t>（四）提出企业经营方针和管理机构设置及规章制度草案；</w:t>
      </w:r>
    </w:p>
    <w:p w14:paraId="23FCDB8D">
      <w:pPr>
        <w:jc w:val="left"/>
        <w:rPr>
          <w:rFonts w:ascii="宋体" w:hAnsi="宋体"/>
          <w:kern w:val="44"/>
        </w:rPr>
      </w:pPr>
      <w:r>
        <w:rPr>
          <w:rFonts w:hint="eastAsia" w:ascii="宋体" w:hAnsi="宋体"/>
          <w:kern w:val="44"/>
        </w:rPr>
        <w:t>（五）提出企业年度财务预算、决算方案和利润分配方案；</w:t>
      </w:r>
    </w:p>
    <w:p w14:paraId="68F04FBF">
      <w:pPr>
        <w:jc w:val="left"/>
        <w:rPr>
          <w:rFonts w:ascii="宋体" w:hAnsi="宋体"/>
          <w:kern w:val="44"/>
        </w:rPr>
      </w:pPr>
      <w:r>
        <w:rPr>
          <w:rFonts w:hint="eastAsia" w:ascii="宋体" w:hAnsi="宋体"/>
          <w:kern w:val="44"/>
        </w:rPr>
        <w:t>（六）提请聘任或者解聘企业副经理及财务主管，任免企业其他管理人员；</w:t>
      </w:r>
    </w:p>
    <w:p w14:paraId="7A6F2700">
      <w:pPr>
        <w:jc w:val="left"/>
        <w:rPr>
          <w:rFonts w:ascii="宋体" w:hAnsi="宋体"/>
          <w:kern w:val="44"/>
        </w:rPr>
      </w:pPr>
      <w:r>
        <w:rPr>
          <w:rFonts w:hint="eastAsia" w:ascii="宋体" w:hAnsi="宋体"/>
          <w:kern w:val="44"/>
        </w:rPr>
        <w:t>（七）决定对企业副经理（不含副经理和财务主管）以下员工的录用、辞退和奖惩；</w:t>
      </w:r>
    </w:p>
    <w:p w14:paraId="1B9302E5">
      <w:pPr>
        <w:jc w:val="left"/>
        <w:rPr>
          <w:rFonts w:ascii="宋体" w:hAnsi="宋体"/>
          <w:kern w:val="44"/>
        </w:rPr>
      </w:pPr>
      <w:r>
        <w:rPr>
          <w:rFonts w:hint="eastAsia" w:ascii="宋体" w:hAnsi="宋体"/>
          <w:kern w:val="44"/>
        </w:rPr>
        <w:t>（八）列席理事会会议；</w:t>
      </w:r>
    </w:p>
    <w:p w14:paraId="06B1AF38">
      <w:pPr>
        <w:jc w:val="left"/>
        <w:rPr>
          <w:rFonts w:ascii="宋体" w:hAnsi="宋体"/>
          <w:kern w:val="44"/>
        </w:rPr>
      </w:pPr>
      <w:r>
        <w:rPr>
          <w:rFonts w:hint="eastAsia" w:ascii="宋体" w:hAnsi="宋体"/>
          <w:kern w:val="44"/>
        </w:rPr>
        <w:t>（九）企业章程或者理事会授予的其他职权。</w:t>
      </w:r>
    </w:p>
    <w:p w14:paraId="5EB1000F">
      <w:pPr>
        <w:ind w:firstLine="422"/>
        <w:jc w:val="left"/>
        <w:rPr>
          <w:rFonts w:ascii="宋体" w:hAnsi="宋体"/>
          <w:kern w:val="44"/>
        </w:rPr>
      </w:pPr>
      <w:r>
        <w:rPr>
          <w:rFonts w:hint="eastAsia" w:ascii="宋体" w:hAnsi="宋体"/>
          <w:b/>
          <w:kern w:val="44"/>
        </w:rPr>
        <w:t>第三十六条</w:t>
      </w:r>
      <w:r>
        <w:rPr>
          <w:rFonts w:hint="eastAsia" w:ascii="宋体" w:hAnsi="宋体"/>
          <w:kern w:val="44"/>
        </w:rPr>
        <w:t>　企业设立监事会，组成人员不得少于三人。其中，半数以上成员应当由职工股东出任。</w:t>
      </w:r>
    </w:p>
    <w:p w14:paraId="126ACB96">
      <w:pPr>
        <w:jc w:val="left"/>
        <w:rPr>
          <w:rFonts w:ascii="宋体" w:hAnsi="宋体"/>
          <w:kern w:val="44"/>
        </w:rPr>
      </w:pPr>
      <w:r>
        <w:rPr>
          <w:rFonts w:hint="eastAsia" w:ascii="宋体" w:hAnsi="宋体"/>
          <w:kern w:val="44"/>
        </w:rPr>
        <w:t>企业的理事、经理及财务主管等高级管理人员不得兼任监事。</w:t>
      </w:r>
    </w:p>
    <w:p w14:paraId="17BBA1FC">
      <w:pPr>
        <w:ind w:firstLine="422"/>
        <w:jc w:val="left"/>
        <w:rPr>
          <w:rFonts w:ascii="宋体" w:hAnsi="宋体"/>
          <w:kern w:val="44"/>
        </w:rPr>
      </w:pPr>
      <w:r>
        <w:rPr>
          <w:rFonts w:hint="eastAsia" w:ascii="宋体" w:hAnsi="宋体"/>
          <w:b/>
          <w:kern w:val="44"/>
        </w:rPr>
        <w:t>第三十七条</w:t>
      </w:r>
      <w:r>
        <w:rPr>
          <w:rFonts w:hint="eastAsia" w:ascii="宋体" w:hAnsi="宋体"/>
          <w:kern w:val="44"/>
        </w:rPr>
        <w:t>　监事会行使下列职权：</w:t>
      </w:r>
    </w:p>
    <w:p w14:paraId="0187EE56">
      <w:pPr>
        <w:jc w:val="left"/>
        <w:rPr>
          <w:rFonts w:ascii="宋体" w:hAnsi="宋体"/>
          <w:kern w:val="44"/>
        </w:rPr>
      </w:pPr>
      <w:r>
        <w:rPr>
          <w:rFonts w:hint="eastAsia" w:ascii="宋体" w:hAnsi="宋体"/>
          <w:kern w:val="44"/>
        </w:rPr>
        <w:t>（一）列席理事会会议；</w:t>
      </w:r>
    </w:p>
    <w:p w14:paraId="5F88D5FE">
      <w:pPr>
        <w:jc w:val="left"/>
        <w:rPr>
          <w:rFonts w:ascii="宋体" w:hAnsi="宋体"/>
          <w:kern w:val="44"/>
        </w:rPr>
      </w:pPr>
      <w:r>
        <w:rPr>
          <w:rFonts w:hint="eastAsia" w:ascii="宋体" w:hAnsi="宋体"/>
          <w:kern w:val="44"/>
        </w:rPr>
        <w:t>（二）监督理事、经理的工作；</w:t>
      </w:r>
    </w:p>
    <w:p w14:paraId="28771555">
      <w:pPr>
        <w:jc w:val="left"/>
        <w:rPr>
          <w:rFonts w:ascii="宋体" w:hAnsi="宋体"/>
          <w:kern w:val="44"/>
        </w:rPr>
      </w:pPr>
      <w:r>
        <w:rPr>
          <w:rFonts w:hint="eastAsia" w:ascii="宋体" w:hAnsi="宋体"/>
          <w:kern w:val="44"/>
        </w:rPr>
        <w:t>（三）检查企业经营和财务状况；</w:t>
      </w:r>
    </w:p>
    <w:p w14:paraId="07F98F44">
      <w:pPr>
        <w:jc w:val="left"/>
        <w:rPr>
          <w:rFonts w:ascii="宋体" w:hAnsi="宋体"/>
          <w:kern w:val="44"/>
        </w:rPr>
      </w:pPr>
      <w:r>
        <w:rPr>
          <w:rFonts w:hint="eastAsia" w:ascii="宋体" w:hAnsi="宋体"/>
          <w:kern w:val="44"/>
        </w:rPr>
        <w:t>（四）必要时，建议召开临时合作股东大会；</w:t>
      </w:r>
    </w:p>
    <w:p w14:paraId="5451171B">
      <w:pPr>
        <w:jc w:val="left"/>
        <w:rPr>
          <w:rFonts w:ascii="宋体" w:hAnsi="宋体"/>
          <w:kern w:val="44"/>
        </w:rPr>
      </w:pPr>
      <w:r>
        <w:rPr>
          <w:rFonts w:hint="eastAsia" w:ascii="宋体" w:hAnsi="宋体"/>
          <w:kern w:val="44"/>
        </w:rPr>
        <w:t>（五）企业章程规定的其他职权。</w:t>
      </w:r>
    </w:p>
    <w:p w14:paraId="7E444D30">
      <w:pPr>
        <w:jc w:val="left"/>
        <w:rPr>
          <w:rFonts w:ascii="宋体" w:hAnsi="宋体"/>
          <w:kern w:val="44"/>
        </w:rPr>
      </w:pPr>
      <w:r>
        <w:rPr>
          <w:rFonts w:hint="eastAsia" w:ascii="宋体" w:hAnsi="宋体"/>
          <w:kern w:val="44"/>
        </w:rPr>
        <w:t>监事会的决议必须经全体监事半数以上同意方可通过。</w:t>
      </w:r>
    </w:p>
    <w:p w14:paraId="61791945">
      <w:pPr>
        <w:ind w:firstLine="422"/>
        <w:jc w:val="left"/>
        <w:rPr>
          <w:rFonts w:ascii="宋体" w:hAnsi="宋体"/>
          <w:kern w:val="44"/>
        </w:rPr>
      </w:pPr>
      <w:r>
        <w:rPr>
          <w:rFonts w:hint="eastAsia" w:ascii="宋体" w:hAnsi="宋体"/>
          <w:b/>
          <w:kern w:val="44"/>
        </w:rPr>
        <w:t>第三十八条</w:t>
      </w:r>
      <w:r>
        <w:rPr>
          <w:rFonts w:hint="eastAsia" w:ascii="宋体" w:hAnsi="宋体"/>
          <w:kern w:val="44"/>
        </w:rPr>
        <w:t>　企业的合作股东和理事、经理、监事等高级管理人员，不得从事与本企业竞争或者损害本企业利益的活动。</w:t>
      </w:r>
    </w:p>
    <w:p w14:paraId="759B23FF">
      <w:pPr>
        <w:ind w:firstLine="422"/>
        <w:jc w:val="left"/>
        <w:rPr>
          <w:rFonts w:ascii="宋体" w:hAnsi="宋体"/>
          <w:kern w:val="44"/>
        </w:rPr>
      </w:pPr>
      <w:r>
        <w:rPr>
          <w:rFonts w:hint="eastAsia" w:ascii="宋体" w:hAnsi="宋体"/>
          <w:b/>
          <w:kern w:val="44"/>
        </w:rPr>
        <w:t>第三十九条</w:t>
      </w:r>
      <w:r>
        <w:rPr>
          <w:rFonts w:hint="eastAsia" w:ascii="宋体" w:hAnsi="宋体"/>
          <w:kern w:val="44"/>
        </w:rPr>
        <w:t>　有下列情形之一的，不得担任企业的理事长、理事、监事、经理：</w:t>
      </w:r>
    </w:p>
    <w:p w14:paraId="6E04054A">
      <w:pPr>
        <w:jc w:val="left"/>
        <w:rPr>
          <w:rFonts w:ascii="宋体" w:hAnsi="宋体"/>
          <w:kern w:val="44"/>
        </w:rPr>
      </w:pPr>
      <w:r>
        <w:rPr>
          <w:rFonts w:hint="eastAsia" w:ascii="宋体" w:hAnsi="宋体"/>
          <w:kern w:val="44"/>
        </w:rPr>
        <w:t>（一）无民事行为能力或者限制民事行为能力；</w:t>
      </w:r>
    </w:p>
    <w:p w14:paraId="2CA5346F">
      <w:pPr>
        <w:jc w:val="left"/>
        <w:rPr>
          <w:rFonts w:ascii="宋体" w:hAnsi="宋体"/>
          <w:kern w:val="44"/>
        </w:rPr>
      </w:pPr>
      <w:r>
        <w:rPr>
          <w:rFonts w:hint="eastAsia" w:ascii="宋体" w:hAnsi="宋体"/>
          <w:kern w:val="44"/>
        </w:rPr>
        <w:t>（二）因犯有贪污、贿赂、侵占财产、挪用财产罪或者破坏社会经济秩序罪，被判处刑罚，执行期满未逾五年，或者因犯罪被剥夺政治权利，执行期满未逾五年；</w:t>
      </w:r>
    </w:p>
    <w:p w14:paraId="42DB35F4">
      <w:pPr>
        <w:jc w:val="left"/>
        <w:rPr>
          <w:rFonts w:ascii="宋体" w:hAnsi="宋体"/>
          <w:kern w:val="44"/>
        </w:rPr>
      </w:pPr>
      <w:r>
        <w:rPr>
          <w:rFonts w:hint="eastAsia" w:ascii="宋体" w:hAnsi="宋体"/>
          <w:kern w:val="44"/>
        </w:rPr>
        <w:t>（三）担任因经营不善破产清算的公司、企业的董事或者厂长、经理，并对该公司、企业的破产负有个人责任的，自该公司、企业破产清算完结之日起未逾三年；</w:t>
      </w:r>
    </w:p>
    <w:p w14:paraId="6A2780D0">
      <w:pPr>
        <w:jc w:val="left"/>
        <w:rPr>
          <w:rFonts w:ascii="宋体" w:hAnsi="宋体"/>
          <w:kern w:val="44"/>
        </w:rPr>
      </w:pPr>
      <w:r>
        <w:rPr>
          <w:rFonts w:hint="eastAsia" w:ascii="宋体" w:hAnsi="宋体"/>
          <w:kern w:val="44"/>
        </w:rPr>
        <w:t>（四）担任因违法被吊销营业执照的公司、企业的法定代表人，并负有个人责任的，自该公司、企业被吊销营业执照之日起未逾三年；</w:t>
      </w:r>
    </w:p>
    <w:p w14:paraId="3736A522">
      <w:pPr>
        <w:jc w:val="left"/>
        <w:rPr>
          <w:rFonts w:ascii="宋体" w:hAnsi="宋体"/>
          <w:kern w:val="44"/>
        </w:rPr>
      </w:pPr>
      <w:r>
        <w:rPr>
          <w:rFonts w:hint="eastAsia" w:ascii="宋体" w:hAnsi="宋体"/>
          <w:kern w:val="44"/>
        </w:rPr>
        <w:t>（五）个人所负数额较大的债务到期尚未清偿。</w:t>
      </w:r>
    </w:p>
    <w:p w14:paraId="5BCAFDE3">
      <w:pPr>
        <w:jc w:val="left"/>
        <w:rPr>
          <w:rFonts w:ascii="宋体" w:hAnsi="宋体"/>
          <w:kern w:val="44"/>
        </w:rPr>
      </w:pPr>
      <w:r>
        <w:rPr>
          <w:rFonts w:hint="eastAsia" w:ascii="宋体" w:hAnsi="宋体"/>
          <w:kern w:val="44"/>
        </w:rPr>
        <w:t>企业违反前款规定选举、委派理事长、理事、监事或者聘任经理的，该选举、委派或者聘任无效。</w:t>
      </w:r>
    </w:p>
    <w:p w14:paraId="379A9966">
      <w:pPr>
        <w:spacing w:line="300" w:lineRule="exact"/>
        <w:jc w:val="left"/>
        <w:rPr>
          <w:rFonts w:ascii="宋体" w:hAnsi="宋体"/>
          <w:kern w:val="44"/>
        </w:rPr>
      </w:pPr>
    </w:p>
    <w:p w14:paraId="0D35AF29">
      <w:pPr>
        <w:ind w:firstLine="0" w:firstLineChars="0"/>
        <w:jc w:val="center"/>
        <w:rPr>
          <w:rFonts w:ascii="宋体" w:hAnsi="宋体"/>
          <w:b/>
          <w:kern w:val="44"/>
          <w:sz w:val="28"/>
        </w:rPr>
      </w:pPr>
      <w:r>
        <w:rPr>
          <w:rFonts w:hint="eastAsia" w:ascii="宋体" w:hAnsi="宋体"/>
          <w:b/>
          <w:kern w:val="44"/>
          <w:sz w:val="28"/>
        </w:rPr>
        <w:t>第五章　财务会计与收益分配</w:t>
      </w:r>
    </w:p>
    <w:p w14:paraId="76455428">
      <w:pPr>
        <w:spacing w:line="300" w:lineRule="exact"/>
        <w:jc w:val="left"/>
        <w:rPr>
          <w:rFonts w:ascii="宋体" w:hAnsi="宋体"/>
          <w:kern w:val="44"/>
        </w:rPr>
      </w:pPr>
    </w:p>
    <w:p w14:paraId="328763CE">
      <w:pPr>
        <w:ind w:firstLine="422"/>
        <w:jc w:val="left"/>
        <w:rPr>
          <w:rFonts w:ascii="宋体" w:hAnsi="宋体"/>
          <w:kern w:val="44"/>
        </w:rPr>
      </w:pPr>
      <w:r>
        <w:rPr>
          <w:rFonts w:hint="eastAsia" w:ascii="宋体" w:hAnsi="宋体"/>
          <w:b/>
          <w:kern w:val="44"/>
        </w:rPr>
        <w:t>第四十条</w:t>
      </w:r>
      <w:r>
        <w:rPr>
          <w:rFonts w:hint="eastAsia" w:ascii="宋体" w:hAnsi="宋体"/>
          <w:kern w:val="44"/>
        </w:rPr>
        <w:t>　企业应当依照法律、法规和国家有关部门的规定，建立财务、会计制度，定期向合作股东公布</w:t>
      </w:r>
      <w:r>
        <w:rPr>
          <w:rFonts w:hint="eastAsia" w:ascii="宋体" w:hAnsi="宋体"/>
          <w:kern w:val="44"/>
          <w:lang w:eastAsia="zh-CN"/>
        </w:rPr>
        <w:t>账目</w:t>
      </w:r>
      <w:r>
        <w:rPr>
          <w:rFonts w:hint="eastAsia" w:ascii="宋体" w:hAnsi="宋体"/>
          <w:kern w:val="44"/>
        </w:rPr>
        <w:t>。</w:t>
      </w:r>
    </w:p>
    <w:p w14:paraId="4278A939">
      <w:pPr>
        <w:ind w:firstLine="422"/>
        <w:jc w:val="left"/>
        <w:rPr>
          <w:rFonts w:ascii="宋体" w:hAnsi="宋体"/>
          <w:kern w:val="44"/>
        </w:rPr>
      </w:pPr>
      <w:r>
        <w:rPr>
          <w:rFonts w:hint="eastAsia" w:ascii="宋体" w:hAnsi="宋体"/>
          <w:b/>
          <w:kern w:val="44"/>
        </w:rPr>
        <w:t>第四十一条</w:t>
      </w:r>
      <w:r>
        <w:rPr>
          <w:rFonts w:hint="eastAsia" w:ascii="宋体" w:hAnsi="宋体"/>
          <w:kern w:val="44"/>
        </w:rPr>
        <w:t>　企业的税后利润，应当按照下列顺序分配：</w:t>
      </w:r>
    </w:p>
    <w:p w14:paraId="6E39FA43">
      <w:pPr>
        <w:jc w:val="left"/>
        <w:rPr>
          <w:rFonts w:ascii="宋体" w:hAnsi="宋体"/>
          <w:kern w:val="44"/>
        </w:rPr>
      </w:pPr>
      <w:r>
        <w:rPr>
          <w:rFonts w:hint="eastAsia" w:ascii="宋体" w:hAnsi="宋体"/>
          <w:kern w:val="44"/>
        </w:rPr>
        <w:t>（一）弥补被依法没收财物损失，支付各项税收的滞纳金和罚款；</w:t>
      </w:r>
    </w:p>
    <w:p w14:paraId="15E8AA0C">
      <w:pPr>
        <w:jc w:val="left"/>
        <w:rPr>
          <w:rFonts w:ascii="宋体" w:hAnsi="宋体"/>
          <w:kern w:val="44"/>
        </w:rPr>
      </w:pPr>
      <w:r>
        <w:rPr>
          <w:rFonts w:hint="eastAsia" w:ascii="宋体" w:hAnsi="宋体"/>
          <w:kern w:val="44"/>
        </w:rPr>
        <w:t>（二）弥补亏损；</w:t>
      </w:r>
    </w:p>
    <w:p w14:paraId="7E801F10">
      <w:pPr>
        <w:jc w:val="left"/>
        <w:rPr>
          <w:rFonts w:ascii="宋体" w:hAnsi="宋体"/>
          <w:kern w:val="44"/>
        </w:rPr>
      </w:pPr>
      <w:r>
        <w:rPr>
          <w:rFonts w:hint="eastAsia" w:ascii="宋体" w:hAnsi="宋体"/>
          <w:kern w:val="44"/>
        </w:rPr>
        <w:t>（三）提取公积金；</w:t>
      </w:r>
    </w:p>
    <w:p w14:paraId="33F29D3F">
      <w:pPr>
        <w:jc w:val="left"/>
        <w:rPr>
          <w:rFonts w:ascii="宋体" w:hAnsi="宋体"/>
          <w:kern w:val="44"/>
        </w:rPr>
      </w:pPr>
      <w:r>
        <w:rPr>
          <w:rFonts w:hint="eastAsia" w:ascii="宋体" w:hAnsi="宋体"/>
          <w:kern w:val="44"/>
        </w:rPr>
        <w:t>（四）提取公益金；</w:t>
      </w:r>
    </w:p>
    <w:p w14:paraId="105E887F">
      <w:pPr>
        <w:jc w:val="left"/>
        <w:rPr>
          <w:rFonts w:ascii="宋体" w:hAnsi="宋体"/>
          <w:kern w:val="44"/>
        </w:rPr>
      </w:pPr>
      <w:r>
        <w:rPr>
          <w:rFonts w:hint="eastAsia" w:ascii="宋体" w:hAnsi="宋体"/>
          <w:kern w:val="44"/>
        </w:rPr>
        <w:t>（五）按照企业章程规定的比例，提取职工积累基金；</w:t>
      </w:r>
    </w:p>
    <w:p w14:paraId="6BACC7AF">
      <w:pPr>
        <w:jc w:val="left"/>
        <w:rPr>
          <w:rFonts w:ascii="宋体" w:hAnsi="宋体"/>
          <w:kern w:val="44"/>
        </w:rPr>
      </w:pPr>
      <w:r>
        <w:rPr>
          <w:rFonts w:hint="eastAsia" w:ascii="宋体" w:hAnsi="宋体"/>
          <w:kern w:val="44"/>
        </w:rPr>
        <w:t>（六）向合作股东分配股利。</w:t>
      </w:r>
    </w:p>
    <w:p w14:paraId="044226B1">
      <w:pPr>
        <w:ind w:firstLine="422"/>
        <w:jc w:val="left"/>
        <w:rPr>
          <w:rFonts w:ascii="宋体" w:hAnsi="宋体"/>
          <w:kern w:val="44"/>
        </w:rPr>
      </w:pPr>
      <w:r>
        <w:rPr>
          <w:rFonts w:hint="eastAsia" w:ascii="宋体" w:hAnsi="宋体"/>
          <w:b/>
          <w:kern w:val="44"/>
        </w:rPr>
        <w:t>第四十二条</w:t>
      </w:r>
      <w:r>
        <w:rPr>
          <w:rFonts w:hint="eastAsia" w:ascii="宋体" w:hAnsi="宋体"/>
          <w:kern w:val="44"/>
        </w:rPr>
        <w:t>　企业当年没有利润时不得分配股利和提取职工积累基金。</w:t>
      </w:r>
    </w:p>
    <w:p w14:paraId="0E228F77">
      <w:pPr>
        <w:ind w:firstLine="422"/>
        <w:jc w:val="left"/>
        <w:rPr>
          <w:rFonts w:ascii="宋体" w:hAnsi="宋体"/>
          <w:kern w:val="44"/>
        </w:rPr>
      </w:pPr>
      <w:r>
        <w:rPr>
          <w:rFonts w:hint="eastAsia" w:ascii="宋体" w:hAnsi="宋体"/>
          <w:b/>
          <w:kern w:val="44"/>
        </w:rPr>
        <w:t>第四十三条</w:t>
      </w:r>
      <w:r>
        <w:rPr>
          <w:rFonts w:hint="eastAsia" w:ascii="宋体" w:hAnsi="宋体"/>
          <w:kern w:val="44"/>
        </w:rPr>
        <w:t>　公积金用于弥补亏损、增加股本、扩大生产经营和企业章程规定的其他用途。</w:t>
      </w:r>
    </w:p>
    <w:p w14:paraId="478823D7">
      <w:pPr>
        <w:ind w:firstLine="422"/>
        <w:jc w:val="left"/>
        <w:rPr>
          <w:rFonts w:ascii="宋体" w:hAnsi="宋体"/>
          <w:kern w:val="44"/>
        </w:rPr>
      </w:pPr>
      <w:r>
        <w:rPr>
          <w:rFonts w:hint="eastAsia" w:ascii="宋体" w:hAnsi="宋体"/>
          <w:b/>
          <w:kern w:val="44"/>
        </w:rPr>
        <w:t>第四十四条</w:t>
      </w:r>
      <w:r>
        <w:rPr>
          <w:rFonts w:hint="eastAsia" w:ascii="宋体" w:hAnsi="宋体"/>
          <w:kern w:val="44"/>
        </w:rPr>
        <w:t>　公益金用于本企业职工的集体福利。</w:t>
      </w:r>
    </w:p>
    <w:p w14:paraId="53931043">
      <w:pPr>
        <w:ind w:firstLine="422"/>
        <w:jc w:val="left"/>
        <w:rPr>
          <w:rFonts w:ascii="宋体" w:hAnsi="宋体"/>
          <w:kern w:val="44"/>
        </w:rPr>
      </w:pPr>
      <w:r>
        <w:rPr>
          <w:rFonts w:hint="eastAsia" w:ascii="宋体" w:hAnsi="宋体"/>
          <w:b/>
          <w:kern w:val="44"/>
        </w:rPr>
        <w:t>第四十五条</w:t>
      </w:r>
      <w:r>
        <w:rPr>
          <w:rFonts w:hint="eastAsia" w:ascii="宋体" w:hAnsi="宋体"/>
          <w:kern w:val="44"/>
        </w:rPr>
        <w:t>　职工积累基金按照按劳分配原则，划归职工个人名下。</w:t>
      </w:r>
    </w:p>
    <w:p w14:paraId="5A3CE94C">
      <w:pPr>
        <w:ind w:firstLine="422"/>
        <w:jc w:val="left"/>
        <w:rPr>
          <w:rFonts w:ascii="宋体" w:hAnsi="宋体"/>
          <w:kern w:val="44"/>
        </w:rPr>
      </w:pPr>
      <w:r>
        <w:rPr>
          <w:rFonts w:hint="eastAsia" w:ascii="宋体" w:hAnsi="宋体"/>
          <w:b/>
          <w:kern w:val="44"/>
        </w:rPr>
        <w:t>第四十六条</w:t>
      </w:r>
      <w:r>
        <w:rPr>
          <w:rFonts w:hint="eastAsia" w:ascii="宋体" w:hAnsi="宋体"/>
          <w:kern w:val="44"/>
        </w:rPr>
        <w:t>　企业应当建立内部审计制度，加强对企业财务及其他经济活动的审计监督。</w:t>
      </w:r>
    </w:p>
    <w:p w14:paraId="685996FC">
      <w:pPr>
        <w:jc w:val="left"/>
        <w:rPr>
          <w:rFonts w:ascii="宋体" w:hAnsi="宋体"/>
          <w:kern w:val="44"/>
        </w:rPr>
      </w:pPr>
    </w:p>
    <w:p w14:paraId="7D0B10AF">
      <w:pPr>
        <w:ind w:firstLine="0" w:firstLineChars="0"/>
        <w:jc w:val="center"/>
        <w:rPr>
          <w:rFonts w:ascii="宋体" w:hAnsi="宋体"/>
          <w:b/>
          <w:kern w:val="44"/>
          <w:sz w:val="28"/>
        </w:rPr>
      </w:pPr>
      <w:r>
        <w:rPr>
          <w:rFonts w:hint="eastAsia" w:ascii="宋体" w:hAnsi="宋体"/>
          <w:b/>
          <w:kern w:val="44"/>
          <w:sz w:val="28"/>
        </w:rPr>
        <w:t>第六章　合并、分立与解散清算</w:t>
      </w:r>
    </w:p>
    <w:p w14:paraId="6904FCEE">
      <w:pPr>
        <w:jc w:val="left"/>
        <w:rPr>
          <w:rFonts w:ascii="宋体" w:hAnsi="宋体"/>
          <w:kern w:val="44"/>
        </w:rPr>
      </w:pPr>
    </w:p>
    <w:p w14:paraId="23B70FA0">
      <w:pPr>
        <w:ind w:firstLine="422"/>
        <w:jc w:val="left"/>
        <w:rPr>
          <w:rFonts w:ascii="宋体" w:hAnsi="宋体"/>
          <w:kern w:val="44"/>
        </w:rPr>
      </w:pPr>
      <w:r>
        <w:rPr>
          <w:rFonts w:hint="eastAsia" w:ascii="宋体" w:hAnsi="宋体"/>
          <w:b/>
          <w:kern w:val="44"/>
        </w:rPr>
        <w:t>第四十七条</w:t>
      </w:r>
      <w:r>
        <w:rPr>
          <w:rFonts w:hint="eastAsia" w:ascii="宋体" w:hAnsi="宋体"/>
          <w:kern w:val="44"/>
        </w:rPr>
        <w:t>　企业合并或者分立，应当由理事会提出方案并编制资产负债表和财产清单。</w:t>
      </w:r>
    </w:p>
    <w:p w14:paraId="5EB6FB2F">
      <w:pPr>
        <w:jc w:val="left"/>
        <w:rPr>
          <w:rFonts w:ascii="宋体" w:hAnsi="宋体"/>
          <w:kern w:val="44"/>
        </w:rPr>
      </w:pPr>
      <w:r>
        <w:rPr>
          <w:rFonts w:hint="eastAsia" w:ascii="宋体" w:hAnsi="宋体"/>
          <w:kern w:val="44"/>
        </w:rPr>
        <w:t>企业合并或者分立的方案，应当由合作股东大会作出决议。</w:t>
      </w:r>
    </w:p>
    <w:p w14:paraId="309126B7">
      <w:pPr>
        <w:jc w:val="left"/>
        <w:rPr>
          <w:rFonts w:ascii="宋体" w:hAnsi="宋体"/>
          <w:kern w:val="44"/>
        </w:rPr>
      </w:pPr>
      <w:r>
        <w:rPr>
          <w:rFonts w:hint="eastAsia" w:ascii="宋体" w:hAnsi="宋体"/>
          <w:kern w:val="44"/>
        </w:rPr>
        <w:t>企业作出合并或者分立的决议后，应当通知债权人，签订清偿债务协议，达不成协议的，企业不得合并或者分立。</w:t>
      </w:r>
    </w:p>
    <w:p w14:paraId="13DC77A0">
      <w:pPr>
        <w:ind w:firstLine="422"/>
        <w:jc w:val="left"/>
        <w:rPr>
          <w:rFonts w:ascii="宋体" w:hAnsi="宋体"/>
          <w:kern w:val="44"/>
        </w:rPr>
      </w:pPr>
      <w:r>
        <w:rPr>
          <w:rFonts w:hint="eastAsia" w:ascii="宋体" w:hAnsi="宋体"/>
          <w:b/>
          <w:kern w:val="44"/>
        </w:rPr>
        <w:t>第四十八条</w:t>
      </w:r>
      <w:r>
        <w:rPr>
          <w:rFonts w:hint="eastAsia" w:ascii="宋体" w:hAnsi="宋体"/>
          <w:kern w:val="44"/>
        </w:rPr>
        <w:t>　企业合并，应当由合并各方签订合并协议。企业合并时，合并各方的债权债务，应当由合并后的企业承继。</w:t>
      </w:r>
    </w:p>
    <w:p w14:paraId="383BC001">
      <w:pPr>
        <w:ind w:firstLine="422"/>
        <w:jc w:val="left"/>
        <w:rPr>
          <w:rFonts w:ascii="宋体" w:hAnsi="宋体"/>
          <w:kern w:val="44"/>
        </w:rPr>
      </w:pPr>
      <w:r>
        <w:rPr>
          <w:rFonts w:hint="eastAsia" w:ascii="宋体" w:hAnsi="宋体"/>
          <w:b/>
          <w:kern w:val="44"/>
        </w:rPr>
        <w:t>第四十九条</w:t>
      </w:r>
      <w:r>
        <w:rPr>
          <w:rFonts w:hint="eastAsia" w:ascii="宋体" w:hAnsi="宋体"/>
          <w:kern w:val="44"/>
        </w:rPr>
        <w:t>　企业分立时，应当由分立各方签订分立协议，明确划分分立各方的财产、经营范围、债权债务。</w:t>
      </w:r>
    </w:p>
    <w:p w14:paraId="1347F0E7">
      <w:pPr>
        <w:ind w:firstLine="422"/>
        <w:jc w:val="left"/>
        <w:rPr>
          <w:rFonts w:ascii="宋体" w:hAnsi="宋体"/>
          <w:kern w:val="44"/>
        </w:rPr>
      </w:pPr>
      <w:r>
        <w:rPr>
          <w:rFonts w:hint="eastAsia" w:ascii="宋体" w:hAnsi="宋体"/>
          <w:b/>
          <w:kern w:val="44"/>
        </w:rPr>
        <w:t>第五十条</w:t>
      </w:r>
      <w:r>
        <w:rPr>
          <w:rFonts w:hint="eastAsia" w:ascii="宋体" w:hAnsi="宋体"/>
          <w:kern w:val="44"/>
        </w:rPr>
        <w:t>　企业的合并或者分立，应当由工商行政管理部门办理注册登记。</w:t>
      </w:r>
    </w:p>
    <w:p w14:paraId="14FEDC12">
      <w:pPr>
        <w:ind w:firstLine="422"/>
        <w:jc w:val="left"/>
        <w:rPr>
          <w:rFonts w:ascii="宋体" w:hAnsi="宋体"/>
          <w:kern w:val="44"/>
        </w:rPr>
      </w:pPr>
      <w:r>
        <w:rPr>
          <w:rFonts w:hint="eastAsia" w:ascii="宋体" w:hAnsi="宋体"/>
          <w:b/>
          <w:kern w:val="44"/>
        </w:rPr>
        <w:t>第五十一条</w:t>
      </w:r>
      <w:r>
        <w:rPr>
          <w:rFonts w:hint="eastAsia" w:ascii="宋体" w:hAnsi="宋体"/>
          <w:kern w:val="44"/>
        </w:rPr>
        <w:t>　企业被依法撤销或者因其他原因解散的，应当成立清算组织，进行清算。清算时，应当由具有资产评估资格的机构对企业资产进行评估。</w:t>
      </w:r>
    </w:p>
    <w:p w14:paraId="277375A2">
      <w:pPr>
        <w:ind w:firstLine="422"/>
        <w:jc w:val="left"/>
        <w:rPr>
          <w:rFonts w:ascii="宋体" w:hAnsi="宋体"/>
          <w:kern w:val="44"/>
        </w:rPr>
      </w:pPr>
      <w:r>
        <w:rPr>
          <w:rFonts w:hint="eastAsia" w:ascii="宋体" w:hAnsi="宋体"/>
          <w:b/>
          <w:kern w:val="44"/>
        </w:rPr>
        <w:t>第五十二条</w:t>
      </w:r>
      <w:r>
        <w:rPr>
          <w:rFonts w:hint="eastAsia" w:ascii="宋体" w:hAnsi="宋体"/>
          <w:kern w:val="44"/>
        </w:rPr>
        <w:t>　清算组织在清理企业财产、编制资产负债表和财产清单后，应当制定清算方案，并报合作股东大会确认。用土地使用权抵偿债务，必须符合土地管理法律、法规的规定。</w:t>
      </w:r>
    </w:p>
    <w:p w14:paraId="35ABF340">
      <w:pPr>
        <w:ind w:firstLine="422"/>
        <w:jc w:val="left"/>
        <w:rPr>
          <w:rFonts w:ascii="宋体" w:hAnsi="宋体"/>
          <w:kern w:val="44"/>
        </w:rPr>
      </w:pPr>
      <w:r>
        <w:rPr>
          <w:rFonts w:hint="eastAsia" w:ascii="宋体" w:hAnsi="宋体"/>
          <w:b/>
          <w:kern w:val="44"/>
        </w:rPr>
        <w:t>第五十三条</w:t>
      </w:r>
      <w:r>
        <w:rPr>
          <w:rFonts w:hint="eastAsia" w:ascii="宋体" w:hAnsi="宋体"/>
          <w:kern w:val="44"/>
        </w:rPr>
        <w:t>　清算组织在支付清算费用后，按照下列顺序清偿债务：</w:t>
      </w:r>
    </w:p>
    <w:p w14:paraId="1E61B24D">
      <w:pPr>
        <w:jc w:val="left"/>
        <w:rPr>
          <w:rFonts w:ascii="宋体" w:hAnsi="宋体"/>
          <w:kern w:val="44"/>
        </w:rPr>
      </w:pPr>
      <w:r>
        <w:rPr>
          <w:rFonts w:hint="eastAsia" w:ascii="宋体" w:hAnsi="宋体"/>
          <w:kern w:val="44"/>
        </w:rPr>
        <w:t>（一）欠付职工的工资和劳动保险费用；</w:t>
      </w:r>
    </w:p>
    <w:p w14:paraId="41E080A9">
      <w:pPr>
        <w:jc w:val="left"/>
        <w:rPr>
          <w:rFonts w:ascii="宋体" w:hAnsi="宋体"/>
          <w:kern w:val="44"/>
        </w:rPr>
      </w:pPr>
      <w:r>
        <w:rPr>
          <w:rFonts w:hint="eastAsia" w:ascii="宋体" w:hAnsi="宋体"/>
          <w:kern w:val="44"/>
        </w:rPr>
        <w:t>（二）欠缴国家的各项税款；</w:t>
      </w:r>
    </w:p>
    <w:p w14:paraId="49EB2598">
      <w:pPr>
        <w:jc w:val="left"/>
        <w:rPr>
          <w:rFonts w:ascii="宋体" w:hAnsi="宋体"/>
          <w:kern w:val="44"/>
        </w:rPr>
      </w:pPr>
      <w:r>
        <w:rPr>
          <w:rFonts w:hint="eastAsia" w:ascii="宋体" w:hAnsi="宋体"/>
          <w:kern w:val="44"/>
        </w:rPr>
        <w:t>（三）企业其他债务。</w:t>
      </w:r>
    </w:p>
    <w:p w14:paraId="393FA118">
      <w:pPr>
        <w:jc w:val="left"/>
        <w:rPr>
          <w:rFonts w:ascii="宋体" w:hAnsi="宋体"/>
          <w:kern w:val="44"/>
        </w:rPr>
      </w:pPr>
      <w:r>
        <w:rPr>
          <w:rFonts w:hint="eastAsia" w:ascii="宋体" w:hAnsi="宋体"/>
          <w:kern w:val="44"/>
        </w:rPr>
        <w:t>企业清偿后的剩余财产，按照合作股东的股份分配。</w:t>
      </w:r>
    </w:p>
    <w:p w14:paraId="6C626306">
      <w:pPr>
        <w:jc w:val="left"/>
        <w:rPr>
          <w:rFonts w:ascii="宋体" w:hAnsi="宋体"/>
          <w:kern w:val="44"/>
        </w:rPr>
      </w:pPr>
      <w:r>
        <w:rPr>
          <w:rFonts w:hint="eastAsia" w:ascii="宋体" w:hAnsi="宋体"/>
          <w:kern w:val="44"/>
        </w:rPr>
        <w:t>企业财产不足以清偿债务的，经债权人协商一致，由清算组织按照债权数额比例分割企业财产。企业财产不足以清偿同一顺序债务的，按照同一顺序偿还率清偿。债权人达不成协议的，由债权人或者企业向人民法院申请破产还债，人民法院裁定企业破产后，原清算程序终止。</w:t>
      </w:r>
    </w:p>
    <w:p w14:paraId="276B0BA7">
      <w:pPr>
        <w:ind w:firstLine="422"/>
        <w:jc w:val="left"/>
        <w:rPr>
          <w:rFonts w:ascii="宋体" w:hAnsi="宋体"/>
          <w:kern w:val="44"/>
        </w:rPr>
      </w:pPr>
      <w:r>
        <w:rPr>
          <w:rFonts w:hint="eastAsia" w:ascii="宋体" w:hAnsi="宋体"/>
          <w:b/>
          <w:kern w:val="44"/>
        </w:rPr>
        <w:t>第五十四条</w:t>
      </w:r>
      <w:r>
        <w:rPr>
          <w:rFonts w:hint="eastAsia" w:ascii="宋体" w:hAnsi="宋体"/>
          <w:kern w:val="44"/>
        </w:rPr>
        <w:t>　清算结束，清算组织应当提出清算报告，经合作股东大会确认后，报送工商行政管理部门申请注销登记，公告企业终止。</w:t>
      </w:r>
    </w:p>
    <w:p w14:paraId="13F9D1C8">
      <w:pPr>
        <w:jc w:val="left"/>
        <w:rPr>
          <w:rFonts w:ascii="宋体" w:hAnsi="宋体"/>
          <w:kern w:val="44"/>
        </w:rPr>
      </w:pPr>
    </w:p>
    <w:p w14:paraId="68C037B8">
      <w:pPr>
        <w:ind w:firstLine="0" w:firstLineChars="0"/>
        <w:jc w:val="center"/>
        <w:rPr>
          <w:rFonts w:ascii="宋体" w:hAnsi="宋体"/>
          <w:b/>
          <w:kern w:val="44"/>
          <w:sz w:val="28"/>
        </w:rPr>
      </w:pPr>
      <w:r>
        <w:rPr>
          <w:rFonts w:hint="eastAsia" w:ascii="宋体" w:hAnsi="宋体"/>
          <w:b/>
          <w:kern w:val="44"/>
          <w:sz w:val="28"/>
        </w:rPr>
        <w:t>第七章　法律责任</w:t>
      </w:r>
    </w:p>
    <w:p w14:paraId="068EEDEA">
      <w:pPr>
        <w:jc w:val="left"/>
        <w:rPr>
          <w:rFonts w:ascii="宋体" w:hAnsi="宋体"/>
          <w:kern w:val="44"/>
        </w:rPr>
      </w:pPr>
    </w:p>
    <w:p w14:paraId="5015F405">
      <w:pPr>
        <w:ind w:firstLine="422"/>
        <w:jc w:val="left"/>
        <w:rPr>
          <w:rFonts w:ascii="宋体" w:hAnsi="宋体"/>
          <w:kern w:val="44"/>
        </w:rPr>
      </w:pPr>
      <w:r>
        <w:rPr>
          <w:rFonts w:hint="eastAsia" w:ascii="宋体" w:hAnsi="宋体"/>
          <w:b/>
          <w:kern w:val="44"/>
        </w:rPr>
        <w:t>第五十五条</w:t>
      </w:r>
      <w:r>
        <w:rPr>
          <w:rFonts w:hint="eastAsia" w:ascii="宋体" w:hAnsi="宋体"/>
          <w:kern w:val="44"/>
        </w:rPr>
        <w:t>　违反本条例第六条规定的，由企业所在地乡、镇或者区、县人民政府责令改正和赔偿经济损失；企业也可以直接向人民法院起诉，要求侵权者承担法律责任；构成犯罪的，依法追究其刑事责任。</w:t>
      </w:r>
    </w:p>
    <w:p w14:paraId="23C50702">
      <w:pPr>
        <w:ind w:firstLine="422"/>
        <w:jc w:val="left"/>
        <w:rPr>
          <w:rFonts w:ascii="宋体" w:hAnsi="宋体"/>
          <w:kern w:val="44"/>
        </w:rPr>
      </w:pPr>
      <w:r>
        <w:rPr>
          <w:rFonts w:hint="eastAsia" w:ascii="宋体" w:hAnsi="宋体"/>
          <w:b/>
          <w:kern w:val="44"/>
        </w:rPr>
        <w:t>第五十六条</w:t>
      </w:r>
      <w:r>
        <w:rPr>
          <w:rFonts w:hint="eastAsia" w:ascii="宋体" w:hAnsi="宋体"/>
          <w:kern w:val="44"/>
        </w:rPr>
        <w:t>　违反本条例第七条规定的，由企业所在地乡、镇或者区、县农村合作经济管理部门责令改正；给企业造成损失的，由法定代表人或者直接责任人承担赔偿责任。</w:t>
      </w:r>
    </w:p>
    <w:p w14:paraId="168F75DA">
      <w:pPr>
        <w:ind w:firstLine="422"/>
        <w:jc w:val="left"/>
        <w:rPr>
          <w:rFonts w:ascii="宋体" w:hAnsi="宋体"/>
          <w:kern w:val="44"/>
        </w:rPr>
      </w:pPr>
      <w:r>
        <w:rPr>
          <w:rFonts w:hint="eastAsia" w:ascii="宋体" w:hAnsi="宋体"/>
          <w:b/>
          <w:kern w:val="44"/>
        </w:rPr>
        <w:t>第五十七条</w:t>
      </w:r>
      <w:r>
        <w:rPr>
          <w:rFonts w:hint="eastAsia" w:ascii="宋体" w:hAnsi="宋体"/>
          <w:kern w:val="44"/>
        </w:rPr>
        <w:t>　违反本条例第十四条规定，合作股东未交付货币、实物或者未转移财产权、虚假出资，或者在企业成立后又抽逃出资的，由企业所在地乡、镇或者区、县农村合作经济管理部门责令改正；对拒不改正的，可以向人民法院起诉。</w:t>
      </w:r>
    </w:p>
    <w:p w14:paraId="329F16F3">
      <w:pPr>
        <w:ind w:firstLine="422"/>
        <w:jc w:val="left"/>
        <w:rPr>
          <w:rFonts w:ascii="宋体" w:hAnsi="宋体"/>
          <w:kern w:val="44"/>
        </w:rPr>
      </w:pPr>
      <w:r>
        <w:rPr>
          <w:rFonts w:hint="eastAsia" w:ascii="宋体" w:hAnsi="宋体"/>
          <w:b/>
          <w:kern w:val="44"/>
        </w:rPr>
        <w:t>第五十八条</w:t>
      </w:r>
      <w:r>
        <w:rPr>
          <w:rFonts w:hint="eastAsia" w:ascii="宋体" w:hAnsi="宋体"/>
          <w:kern w:val="44"/>
        </w:rPr>
        <w:t>　违反本条例第十六条规定，将集体财产低价折股、低价出售的，由企业所在地乡、镇或者区、县农村合作经济管理部门责令改正。</w:t>
      </w:r>
    </w:p>
    <w:p w14:paraId="2A53815A">
      <w:pPr>
        <w:ind w:firstLine="422"/>
        <w:jc w:val="left"/>
        <w:rPr>
          <w:rFonts w:ascii="宋体" w:hAnsi="宋体"/>
          <w:kern w:val="44"/>
        </w:rPr>
      </w:pPr>
      <w:r>
        <w:rPr>
          <w:rFonts w:hint="eastAsia" w:ascii="宋体" w:hAnsi="宋体"/>
          <w:b/>
          <w:kern w:val="44"/>
        </w:rPr>
        <w:t>第五十九条</w:t>
      </w:r>
      <w:r>
        <w:rPr>
          <w:rFonts w:hint="eastAsia" w:ascii="宋体" w:hAnsi="宋体"/>
          <w:kern w:val="44"/>
        </w:rPr>
        <w:t>　违反本条例第三十八条规定的，由企业所在地乡、镇或者区、县农村合作经济管理部门责令其将获得的非法利益交归企业所有，给企业造成损失的，应当承担赔偿责任。对拒不承担责任的，企业可以向人民法院起诉。</w:t>
      </w:r>
    </w:p>
    <w:p w14:paraId="0B3E543F">
      <w:pPr>
        <w:ind w:firstLine="422"/>
        <w:jc w:val="left"/>
        <w:rPr>
          <w:rFonts w:ascii="宋体" w:hAnsi="宋体"/>
          <w:kern w:val="44"/>
        </w:rPr>
      </w:pPr>
      <w:r>
        <w:rPr>
          <w:rFonts w:hint="eastAsia" w:ascii="宋体" w:hAnsi="宋体"/>
          <w:b/>
          <w:kern w:val="44"/>
        </w:rPr>
        <w:t>第六十条</w:t>
      </w:r>
      <w:r>
        <w:rPr>
          <w:rFonts w:hint="eastAsia" w:ascii="宋体" w:hAnsi="宋体"/>
          <w:kern w:val="44"/>
        </w:rPr>
        <w:t>　违反本条例第四十一条、第四十二条规定的，由企业所在地乡、镇或者区、县人民政府予以纠正。</w:t>
      </w:r>
    </w:p>
    <w:p w14:paraId="1C63F8B6">
      <w:pPr>
        <w:ind w:firstLine="422"/>
        <w:jc w:val="left"/>
        <w:rPr>
          <w:rFonts w:ascii="宋体" w:hAnsi="宋体"/>
          <w:kern w:val="44"/>
        </w:rPr>
      </w:pPr>
      <w:r>
        <w:rPr>
          <w:rFonts w:hint="eastAsia" w:ascii="宋体" w:hAnsi="宋体"/>
          <w:b/>
          <w:kern w:val="44"/>
        </w:rPr>
        <w:t>第六十一条</w:t>
      </w:r>
      <w:r>
        <w:rPr>
          <w:rFonts w:hint="eastAsia" w:ascii="宋体" w:hAnsi="宋体"/>
          <w:kern w:val="44"/>
        </w:rPr>
        <w:t>　利用分立、合并和解散、清算抽逃资产、隐匿财产、逃避债务的，由工商行政管理部门依法处理。</w:t>
      </w:r>
    </w:p>
    <w:p w14:paraId="37C11EAB">
      <w:pPr>
        <w:jc w:val="left"/>
        <w:rPr>
          <w:rFonts w:ascii="宋体" w:hAnsi="宋体"/>
          <w:kern w:val="44"/>
        </w:rPr>
      </w:pPr>
    </w:p>
    <w:p w14:paraId="7670C0A5">
      <w:pPr>
        <w:ind w:firstLine="0" w:firstLineChars="0"/>
        <w:jc w:val="center"/>
        <w:rPr>
          <w:rFonts w:ascii="宋体" w:hAnsi="宋体"/>
          <w:b/>
          <w:kern w:val="44"/>
          <w:sz w:val="28"/>
        </w:rPr>
      </w:pPr>
      <w:r>
        <w:rPr>
          <w:rFonts w:hint="eastAsia" w:ascii="宋体" w:hAnsi="宋体"/>
          <w:b/>
          <w:kern w:val="44"/>
          <w:sz w:val="28"/>
        </w:rPr>
        <w:t>第八章　附　则</w:t>
      </w:r>
    </w:p>
    <w:p w14:paraId="3D7FED67">
      <w:pPr>
        <w:jc w:val="left"/>
        <w:rPr>
          <w:rFonts w:ascii="宋体" w:hAnsi="宋体"/>
          <w:kern w:val="44"/>
        </w:rPr>
      </w:pPr>
    </w:p>
    <w:p w14:paraId="38DFA8CC">
      <w:pPr>
        <w:ind w:firstLine="422"/>
        <w:jc w:val="left"/>
        <w:rPr>
          <w:rFonts w:ascii="宋体" w:hAnsi="宋体"/>
          <w:kern w:val="44"/>
        </w:rPr>
      </w:pPr>
      <w:r>
        <w:rPr>
          <w:rFonts w:hint="eastAsia" w:ascii="宋体" w:hAnsi="宋体"/>
          <w:b/>
          <w:kern w:val="44"/>
        </w:rPr>
        <w:t>第六十二条</w:t>
      </w:r>
      <w:r>
        <w:rPr>
          <w:rFonts w:hint="eastAsia" w:ascii="宋体" w:hAnsi="宋体"/>
          <w:kern w:val="44"/>
        </w:rPr>
        <w:t>　本条例具体应用中的问题，由市人民政府农林办公室负责解释。</w:t>
      </w:r>
    </w:p>
    <w:p w14:paraId="7BB33493">
      <w:pPr>
        <w:ind w:firstLine="422"/>
        <w:jc w:val="left"/>
        <w:rPr>
          <w:rFonts w:ascii="宋体" w:hAnsi="宋体"/>
          <w:kern w:val="44"/>
        </w:rPr>
      </w:pPr>
      <w:r>
        <w:rPr>
          <w:rFonts w:hint="eastAsia" w:ascii="宋体" w:hAnsi="宋体"/>
          <w:b/>
          <w:kern w:val="44"/>
        </w:rPr>
        <w:t>第六十三条</w:t>
      </w:r>
      <w:r>
        <w:rPr>
          <w:rFonts w:hint="eastAsia" w:ascii="宋体" w:hAnsi="宋体"/>
          <w:kern w:val="44"/>
        </w:rPr>
        <w:t>　本条例自1997年1月1日起施行。</w:t>
      </w:r>
    </w:p>
    <w:p w14:paraId="5802EBB9">
      <w:pPr>
        <w:pStyle w:val="4"/>
        <w:pageBreakBefore/>
        <w:rPr>
          <w:kern w:val="44"/>
        </w:rPr>
      </w:pPr>
      <w:bookmarkStart w:id="1366" w:name="_Toc422471358"/>
      <w:bookmarkStart w:id="1367" w:name="_Toc428780192"/>
      <w:bookmarkStart w:id="1368" w:name="_Toc428781674"/>
      <w:bookmarkStart w:id="1369" w:name="_Toc427651626"/>
      <w:bookmarkStart w:id="1370" w:name="_Toc427651968"/>
      <w:r>
        <w:rPr>
          <w:rFonts w:hint="eastAsia"/>
          <w:kern w:val="44"/>
        </w:rPr>
        <w:t>北京市促进私营个体经济</w:t>
      </w:r>
      <w:bookmarkEnd w:id="1366"/>
      <w:bookmarkStart w:id="1371" w:name="_Toc422471359"/>
      <w:r>
        <w:rPr>
          <w:rFonts w:hint="eastAsia"/>
          <w:kern w:val="44"/>
        </w:rPr>
        <w:t>发展条例</w:t>
      </w:r>
      <w:bookmarkEnd w:id="1367"/>
      <w:bookmarkEnd w:id="1368"/>
      <w:bookmarkEnd w:id="1369"/>
      <w:bookmarkEnd w:id="1370"/>
      <w:bookmarkEnd w:id="1371"/>
    </w:p>
    <w:p w14:paraId="47785D62">
      <w:pPr>
        <w:ind w:left="630" w:leftChars="300" w:right="630" w:rightChars="300"/>
        <w:jc w:val="left"/>
        <w:rPr>
          <w:rFonts w:ascii="楷体" w:hAnsi="楷体" w:eastAsia="楷体"/>
          <w:kern w:val="44"/>
        </w:rPr>
      </w:pPr>
      <w:r>
        <w:rPr>
          <w:rFonts w:hint="eastAsia" w:ascii="楷体" w:hAnsi="楷体" w:eastAsia="楷体"/>
          <w:kern w:val="44"/>
        </w:rPr>
        <w:t>（2001年8月3日北京市第十一届人民代表大会常务委员会第二十八次会议通过）</w:t>
      </w:r>
    </w:p>
    <w:p w14:paraId="7F395B14">
      <w:pPr>
        <w:jc w:val="left"/>
        <w:rPr>
          <w:rFonts w:ascii="宋体" w:hAnsi="宋体"/>
          <w:kern w:val="44"/>
        </w:rPr>
      </w:pPr>
    </w:p>
    <w:p w14:paraId="655D0FE4">
      <w:pPr>
        <w:ind w:firstLine="0" w:firstLineChars="0"/>
        <w:jc w:val="center"/>
        <w:rPr>
          <w:rFonts w:ascii="宋体" w:hAnsi="宋体"/>
          <w:b/>
          <w:kern w:val="44"/>
        </w:rPr>
      </w:pPr>
      <w:r>
        <w:rPr>
          <w:rFonts w:hint="eastAsia" w:ascii="宋体" w:hAnsi="宋体"/>
          <w:b/>
          <w:kern w:val="44"/>
          <w:sz w:val="28"/>
        </w:rPr>
        <w:t>第一章　总　则</w:t>
      </w:r>
    </w:p>
    <w:p w14:paraId="3B1F6412">
      <w:pPr>
        <w:jc w:val="left"/>
        <w:rPr>
          <w:rFonts w:ascii="宋体" w:hAnsi="宋体"/>
          <w:kern w:val="44"/>
        </w:rPr>
      </w:pPr>
    </w:p>
    <w:p w14:paraId="6C8A19F6">
      <w:pPr>
        <w:ind w:firstLine="422"/>
        <w:jc w:val="left"/>
        <w:rPr>
          <w:rFonts w:ascii="宋体" w:hAnsi="宋体"/>
          <w:kern w:val="44"/>
        </w:rPr>
      </w:pPr>
      <w:r>
        <w:rPr>
          <w:rFonts w:hint="eastAsia" w:ascii="宋体" w:hAnsi="宋体"/>
          <w:b/>
          <w:kern w:val="44"/>
        </w:rPr>
        <w:t>第一条</w:t>
      </w:r>
      <w:r>
        <w:rPr>
          <w:rFonts w:hint="eastAsia" w:ascii="宋体" w:hAnsi="宋体"/>
          <w:kern w:val="44"/>
        </w:rPr>
        <w:t>　为了促进本市私营个体经济在社会主义市场经济体制下健康发展，保障私营企业和个体工商户的合法权益，根据有关法律、法规，结合本市实际情况，制定本条例。</w:t>
      </w:r>
    </w:p>
    <w:p w14:paraId="1C93E686">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在本市行政区域内依法登记注册的私营企业和个体工商户适用本条例。</w:t>
      </w:r>
    </w:p>
    <w:p w14:paraId="21B557E2">
      <w:pPr>
        <w:jc w:val="left"/>
        <w:rPr>
          <w:rFonts w:ascii="宋体" w:hAnsi="宋体"/>
          <w:kern w:val="44"/>
        </w:rPr>
      </w:pPr>
      <w:r>
        <w:rPr>
          <w:rFonts w:hint="eastAsia" w:ascii="宋体" w:hAnsi="宋体"/>
          <w:kern w:val="44"/>
        </w:rPr>
        <w:t>本条例所称私营企业包括个人独资企业、合伙企业、公司制的私营企业以及其他组织形式的私营企业。</w:t>
      </w:r>
    </w:p>
    <w:p w14:paraId="0A888D85">
      <w:pPr>
        <w:ind w:firstLine="422"/>
        <w:jc w:val="left"/>
        <w:rPr>
          <w:rFonts w:ascii="宋体" w:hAnsi="宋体"/>
          <w:kern w:val="44"/>
        </w:rPr>
      </w:pPr>
      <w:r>
        <w:rPr>
          <w:rFonts w:hint="eastAsia" w:ascii="宋体" w:hAnsi="宋体"/>
          <w:b/>
          <w:kern w:val="44"/>
        </w:rPr>
        <w:t>第三条</w:t>
      </w:r>
      <w:r>
        <w:rPr>
          <w:rFonts w:hint="eastAsia" w:ascii="宋体" w:hAnsi="宋体"/>
          <w:kern w:val="44"/>
        </w:rPr>
        <w:t>　私营个体经济是社会主义市场经济的重要组成部分。本市的私营企业和个体工商户是发展首都经济的重要力量，与其他市场主体平等参与市场竞争，其合法权益受法律保护，任何组织和个人不得侵犯。</w:t>
      </w:r>
    </w:p>
    <w:p w14:paraId="5D3F205C">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市和区、县人民政府应当把促进私营个体经济发展纳入本地区国民经济和社会发展计划，加强产业引导，创造平等的市场准入条件和公平的市场竞争环境。</w:t>
      </w:r>
    </w:p>
    <w:p w14:paraId="2096800D">
      <w:pPr>
        <w:ind w:firstLine="422"/>
        <w:jc w:val="left"/>
        <w:rPr>
          <w:rFonts w:ascii="宋体" w:hAnsi="宋体"/>
          <w:kern w:val="44"/>
        </w:rPr>
      </w:pPr>
      <w:r>
        <w:rPr>
          <w:rFonts w:hint="eastAsia" w:ascii="宋体" w:hAnsi="宋体"/>
          <w:b/>
          <w:kern w:val="44"/>
        </w:rPr>
        <w:t>第五条</w:t>
      </w:r>
      <w:r>
        <w:rPr>
          <w:rFonts w:hint="eastAsia" w:ascii="宋体" w:hAnsi="宋体"/>
          <w:kern w:val="44"/>
        </w:rPr>
        <w:t>　私营企业和个体工商户应当遵守诚实守信的商业道德，守法经营、依法纳税、公平竞争，接受行政机关依法进行的监督管理。</w:t>
      </w:r>
    </w:p>
    <w:p w14:paraId="15CEC85B">
      <w:pPr>
        <w:ind w:firstLine="422"/>
        <w:jc w:val="left"/>
        <w:rPr>
          <w:rFonts w:ascii="宋体" w:hAnsi="宋体"/>
          <w:kern w:val="44"/>
        </w:rPr>
      </w:pPr>
      <w:r>
        <w:rPr>
          <w:rFonts w:hint="eastAsia" w:ascii="宋体" w:hAnsi="宋体"/>
          <w:b/>
          <w:kern w:val="44"/>
        </w:rPr>
        <w:t>第六条</w:t>
      </w:r>
      <w:r>
        <w:rPr>
          <w:rFonts w:hint="eastAsia" w:ascii="宋体" w:hAnsi="宋体"/>
          <w:kern w:val="44"/>
        </w:rPr>
        <w:t>　各级人民政府和新闻媒体应当加强对私营个体经济的宣传，努力创造有利于私营个体经济发展的良好的社会舆论环境。</w:t>
      </w:r>
    </w:p>
    <w:p w14:paraId="75654176">
      <w:pPr>
        <w:jc w:val="left"/>
        <w:rPr>
          <w:rFonts w:ascii="宋体" w:hAnsi="宋体"/>
          <w:kern w:val="44"/>
        </w:rPr>
      </w:pPr>
      <w:r>
        <w:rPr>
          <w:rFonts w:hint="eastAsia" w:ascii="宋体" w:hAnsi="宋体"/>
          <w:kern w:val="44"/>
        </w:rPr>
        <w:t>各级人民政府对在首都精神文明和物质文明建设中做出突出贡献的私营企业和个体工商户给予表彰和奖励。</w:t>
      </w:r>
    </w:p>
    <w:p w14:paraId="0BF6EC28">
      <w:pPr>
        <w:jc w:val="left"/>
        <w:rPr>
          <w:rFonts w:ascii="宋体" w:hAnsi="宋体"/>
          <w:kern w:val="44"/>
        </w:rPr>
      </w:pPr>
    </w:p>
    <w:p w14:paraId="05BBF28C">
      <w:pPr>
        <w:ind w:firstLine="0" w:firstLineChars="0"/>
        <w:jc w:val="center"/>
        <w:rPr>
          <w:rFonts w:ascii="宋体" w:hAnsi="宋体"/>
          <w:b/>
          <w:kern w:val="44"/>
          <w:sz w:val="28"/>
        </w:rPr>
      </w:pPr>
      <w:r>
        <w:rPr>
          <w:rFonts w:hint="eastAsia" w:ascii="宋体" w:hAnsi="宋体"/>
          <w:b/>
          <w:kern w:val="44"/>
          <w:sz w:val="28"/>
        </w:rPr>
        <w:t>第二章  支持与鼓励</w:t>
      </w:r>
    </w:p>
    <w:p w14:paraId="7DC9E553">
      <w:pPr>
        <w:jc w:val="left"/>
        <w:rPr>
          <w:rFonts w:ascii="宋体" w:hAnsi="宋体"/>
          <w:kern w:val="44"/>
        </w:rPr>
      </w:pPr>
    </w:p>
    <w:p w14:paraId="0E2FB2BF">
      <w:pPr>
        <w:ind w:firstLine="422"/>
        <w:jc w:val="left"/>
        <w:rPr>
          <w:rFonts w:ascii="宋体" w:hAnsi="宋体"/>
          <w:kern w:val="44"/>
        </w:rPr>
      </w:pPr>
      <w:r>
        <w:rPr>
          <w:rFonts w:hint="eastAsia" w:ascii="宋体" w:hAnsi="宋体"/>
          <w:b/>
          <w:kern w:val="44"/>
        </w:rPr>
        <w:t>第七条</w:t>
      </w:r>
      <w:r>
        <w:rPr>
          <w:rFonts w:hint="eastAsia" w:ascii="宋体" w:hAnsi="宋体"/>
          <w:kern w:val="44"/>
        </w:rPr>
        <w:t>　市和区、县人民政府应当建立由有关部门参加的私营个体经济工作联席会议制度，统筹研究、协调解决私营个体经济发展中的重要问题。</w:t>
      </w:r>
    </w:p>
    <w:p w14:paraId="12E70B3B">
      <w:pPr>
        <w:ind w:firstLine="422"/>
        <w:jc w:val="left"/>
        <w:rPr>
          <w:rFonts w:ascii="宋体" w:hAnsi="宋体"/>
          <w:kern w:val="44"/>
        </w:rPr>
      </w:pPr>
      <w:r>
        <w:rPr>
          <w:rFonts w:hint="eastAsia" w:ascii="宋体" w:hAnsi="宋体"/>
          <w:b/>
          <w:kern w:val="44"/>
        </w:rPr>
        <w:t>第八条</w:t>
      </w:r>
      <w:r>
        <w:rPr>
          <w:rFonts w:hint="eastAsia" w:ascii="宋体" w:hAnsi="宋体"/>
          <w:kern w:val="44"/>
        </w:rPr>
        <w:t>　鼓励私营企业和个体工商户投资发展高新技术产业、环保产业、现代农业和服务业以及其他符合首都经济发展规划的产业。</w:t>
      </w:r>
    </w:p>
    <w:p w14:paraId="19F9420E">
      <w:pPr>
        <w:jc w:val="left"/>
        <w:rPr>
          <w:rFonts w:ascii="宋体" w:hAnsi="宋体"/>
          <w:kern w:val="44"/>
        </w:rPr>
      </w:pPr>
      <w:r>
        <w:rPr>
          <w:rFonts w:hint="eastAsia" w:ascii="宋体" w:hAnsi="宋体"/>
          <w:kern w:val="44"/>
        </w:rPr>
        <w:t>私营企业和个体工商户投资国家、本市鼓励发展的产业和技术项目的，享受相关优惠政策待遇。</w:t>
      </w:r>
    </w:p>
    <w:p w14:paraId="5EAFE1C1">
      <w:pPr>
        <w:ind w:firstLine="422"/>
        <w:jc w:val="left"/>
        <w:rPr>
          <w:rFonts w:ascii="宋体" w:hAnsi="宋体"/>
          <w:kern w:val="44"/>
        </w:rPr>
      </w:pPr>
      <w:r>
        <w:rPr>
          <w:rFonts w:hint="eastAsia" w:ascii="宋体" w:hAnsi="宋体"/>
          <w:b/>
          <w:kern w:val="44"/>
        </w:rPr>
        <w:t>第九条</w:t>
      </w:r>
      <w:r>
        <w:rPr>
          <w:rFonts w:hint="eastAsia" w:ascii="宋体" w:hAnsi="宋体"/>
          <w:kern w:val="44"/>
        </w:rPr>
        <w:t>　各级人民政府及其有关部门应当公开办事制度，简化办事程序，提高办事效率，并为私营企业和个体工商户获取法律、法规、政策、城乡建设规划和行政事业性收费等信息提供方便。</w:t>
      </w:r>
    </w:p>
    <w:p w14:paraId="20C030B6">
      <w:pPr>
        <w:ind w:firstLine="422"/>
        <w:jc w:val="left"/>
        <w:rPr>
          <w:rFonts w:ascii="宋体" w:hAnsi="宋体"/>
          <w:kern w:val="44"/>
        </w:rPr>
      </w:pPr>
      <w:r>
        <w:rPr>
          <w:rFonts w:hint="eastAsia" w:ascii="宋体" w:hAnsi="宋体"/>
          <w:b/>
          <w:kern w:val="44"/>
        </w:rPr>
        <w:t>第十条</w:t>
      </w:r>
      <w:r>
        <w:rPr>
          <w:rFonts w:hint="eastAsia" w:ascii="宋体" w:hAnsi="宋体"/>
          <w:kern w:val="44"/>
        </w:rPr>
        <w:t>　各级人民政府及其有关部门不得在法律、法规规定之外设置针对私营企业和个体工商户登记注册的前置审批事项。</w:t>
      </w:r>
    </w:p>
    <w:p w14:paraId="5183633B">
      <w:pPr>
        <w:ind w:firstLine="422"/>
        <w:jc w:val="left"/>
        <w:rPr>
          <w:rFonts w:ascii="宋体" w:hAnsi="宋体"/>
          <w:kern w:val="44"/>
        </w:rPr>
      </w:pPr>
      <w:r>
        <w:rPr>
          <w:rFonts w:hint="eastAsia" w:ascii="宋体" w:hAnsi="宋体"/>
          <w:b/>
          <w:kern w:val="44"/>
        </w:rPr>
        <w:t>第十一条</w:t>
      </w:r>
      <w:r>
        <w:rPr>
          <w:rFonts w:hint="eastAsia" w:ascii="宋体" w:hAnsi="宋体"/>
          <w:kern w:val="44"/>
        </w:rPr>
        <w:t>　各级人民政府在规划建设市场、商贸街和经济开发区时，应当统筹安排私营企业和个体工商户的生产经营场所。</w:t>
      </w:r>
    </w:p>
    <w:p w14:paraId="7B383C89">
      <w:pPr>
        <w:ind w:firstLine="422"/>
        <w:jc w:val="left"/>
        <w:rPr>
          <w:rFonts w:ascii="宋体" w:hAnsi="宋体"/>
          <w:kern w:val="44"/>
        </w:rPr>
      </w:pPr>
      <w:r>
        <w:rPr>
          <w:rFonts w:hint="eastAsia" w:ascii="宋体" w:hAnsi="宋体"/>
          <w:b/>
          <w:kern w:val="44"/>
        </w:rPr>
        <w:t>第十二条</w:t>
      </w:r>
      <w:r>
        <w:rPr>
          <w:rFonts w:hint="eastAsia" w:ascii="宋体" w:hAnsi="宋体"/>
          <w:kern w:val="44"/>
        </w:rPr>
        <w:t>　市人民政府应当协调有关部门，建立社会信用服务体系，为私营企业和个体工商户融资提供信用信息。</w:t>
      </w:r>
    </w:p>
    <w:p w14:paraId="25D8625B">
      <w:pPr>
        <w:ind w:firstLine="422"/>
        <w:jc w:val="left"/>
        <w:rPr>
          <w:rFonts w:ascii="宋体" w:hAnsi="宋体"/>
          <w:kern w:val="44"/>
        </w:rPr>
      </w:pPr>
      <w:r>
        <w:rPr>
          <w:rFonts w:hint="eastAsia" w:ascii="宋体" w:hAnsi="宋体"/>
          <w:b/>
          <w:kern w:val="44"/>
        </w:rPr>
        <w:t>第十三条</w:t>
      </w:r>
      <w:r>
        <w:rPr>
          <w:rFonts w:hint="eastAsia" w:ascii="宋体" w:hAnsi="宋体"/>
          <w:kern w:val="44"/>
        </w:rPr>
        <w:t>　鼓励金融机构支持私营个体经济的发展，提供相应的服务。</w:t>
      </w:r>
    </w:p>
    <w:p w14:paraId="0480642F">
      <w:pPr>
        <w:ind w:firstLine="422"/>
        <w:jc w:val="left"/>
        <w:rPr>
          <w:rFonts w:ascii="宋体" w:hAnsi="宋体"/>
          <w:kern w:val="44"/>
        </w:rPr>
      </w:pPr>
      <w:r>
        <w:rPr>
          <w:rFonts w:hint="eastAsia" w:ascii="宋体" w:hAnsi="宋体"/>
          <w:b/>
          <w:kern w:val="44"/>
        </w:rPr>
        <w:t>第十四条</w:t>
      </w:r>
      <w:r>
        <w:rPr>
          <w:rFonts w:hint="eastAsia" w:ascii="宋体" w:hAnsi="宋体"/>
          <w:kern w:val="44"/>
        </w:rPr>
        <w:t>　以本级财政预算编列的资金为主要担保资金来源的担保机构，应当为符合条件的私营企业提供担保服务。</w:t>
      </w:r>
    </w:p>
    <w:p w14:paraId="27DBE59F">
      <w:pPr>
        <w:jc w:val="left"/>
        <w:rPr>
          <w:rFonts w:ascii="宋体" w:hAnsi="宋体"/>
          <w:kern w:val="44"/>
        </w:rPr>
      </w:pPr>
      <w:r>
        <w:rPr>
          <w:rFonts w:hint="eastAsia" w:ascii="宋体" w:hAnsi="宋体"/>
          <w:kern w:val="44"/>
        </w:rPr>
        <w:t>私营个体经济协会可以组织设立向私营企业和个体工商户提供融资担保的服务机构，政府给予扶持。</w:t>
      </w:r>
    </w:p>
    <w:p w14:paraId="64570ED6">
      <w:pPr>
        <w:jc w:val="left"/>
        <w:rPr>
          <w:rFonts w:ascii="宋体" w:hAnsi="宋体"/>
          <w:kern w:val="44"/>
        </w:rPr>
      </w:pPr>
      <w:r>
        <w:rPr>
          <w:rFonts w:hint="eastAsia" w:ascii="宋体" w:hAnsi="宋体"/>
          <w:kern w:val="44"/>
        </w:rPr>
        <w:t>私营企业、个体工商户和其他企业或者组织可以共同出资设立担保机构，对符合条件的私营企业和个体工商户提供担保服务。</w:t>
      </w:r>
    </w:p>
    <w:p w14:paraId="115AAA9C">
      <w:pPr>
        <w:ind w:firstLine="422"/>
        <w:jc w:val="left"/>
        <w:rPr>
          <w:rFonts w:ascii="宋体" w:hAnsi="宋体"/>
          <w:kern w:val="44"/>
        </w:rPr>
      </w:pPr>
      <w:r>
        <w:rPr>
          <w:rFonts w:hint="eastAsia" w:ascii="宋体" w:hAnsi="宋体"/>
          <w:b/>
          <w:kern w:val="44"/>
        </w:rPr>
        <w:t>第十五条</w:t>
      </w:r>
      <w:r>
        <w:rPr>
          <w:rFonts w:hint="eastAsia" w:ascii="宋体" w:hAnsi="宋体"/>
          <w:kern w:val="44"/>
        </w:rPr>
        <w:t>　政府有关部门应当支持私营企业和个体工商户引进科技和管理人才，为其提供人才服务。</w:t>
      </w:r>
    </w:p>
    <w:p w14:paraId="734276B1">
      <w:pPr>
        <w:jc w:val="left"/>
        <w:rPr>
          <w:rFonts w:ascii="宋体" w:hAnsi="宋体"/>
          <w:kern w:val="44"/>
        </w:rPr>
      </w:pPr>
      <w:r>
        <w:rPr>
          <w:rFonts w:hint="eastAsia" w:ascii="宋体" w:hAnsi="宋体"/>
          <w:kern w:val="44"/>
        </w:rPr>
        <w:t>人事、劳动等行政部门应当按照国家有关规定，为在私营企业和个体工商户工作的专业技术人员进行专业技术职务资格认定和职业技能鉴定。</w:t>
      </w:r>
    </w:p>
    <w:p w14:paraId="3DF3B89B">
      <w:pPr>
        <w:ind w:firstLine="422"/>
        <w:jc w:val="left"/>
        <w:rPr>
          <w:rFonts w:ascii="宋体" w:hAnsi="宋体"/>
          <w:kern w:val="44"/>
        </w:rPr>
      </w:pPr>
      <w:r>
        <w:rPr>
          <w:rFonts w:hint="eastAsia" w:ascii="宋体" w:hAnsi="宋体"/>
          <w:b/>
          <w:kern w:val="44"/>
        </w:rPr>
        <w:t>第十六条</w:t>
      </w:r>
      <w:r>
        <w:rPr>
          <w:rFonts w:hint="eastAsia" w:ascii="宋体" w:hAnsi="宋体"/>
          <w:kern w:val="44"/>
        </w:rPr>
        <w:t>　鼓励国家机关、事业单位分流人员、军队转业干部、退伍军人和失业人员开办私营企业或者从事个体经营。经核准开办的，可以享受国家和本市规定的优惠政策。</w:t>
      </w:r>
    </w:p>
    <w:p w14:paraId="64E8AC33">
      <w:pPr>
        <w:ind w:firstLine="422"/>
        <w:jc w:val="left"/>
        <w:rPr>
          <w:rFonts w:ascii="宋体" w:hAnsi="宋体"/>
          <w:kern w:val="44"/>
        </w:rPr>
      </w:pPr>
      <w:r>
        <w:rPr>
          <w:rFonts w:hint="eastAsia" w:ascii="宋体" w:hAnsi="宋体"/>
          <w:b/>
          <w:kern w:val="44"/>
        </w:rPr>
        <w:t>第十七条</w:t>
      </w:r>
      <w:r>
        <w:rPr>
          <w:rFonts w:hint="eastAsia" w:ascii="宋体" w:hAnsi="宋体"/>
          <w:kern w:val="44"/>
        </w:rPr>
        <w:t>　鼓励兴办劳动密集型私营企业，鼓励私营企业和个体工商户从事社区服务。</w:t>
      </w:r>
    </w:p>
    <w:p w14:paraId="275B60AA">
      <w:pPr>
        <w:jc w:val="left"/>
        <w:rPr>
          <w:rFonts w:ascii="宋体" w:hAnsi="宋体"/>
          <w:kern w:val="44"/>
        </w:rPr>
      </w:pPr>
      <w:r>
        <w:rPr>
          <w:rFonts w:hint="eastAsia" w:ascii="宋体" w:hAnsi="宋体"/>
          <w:kern w:val="44"/>
        </w:rPr>
        <w:t>私营企业安置本市城镇失业人员达到国家规定比例的，享受劳动就业服务企业的优惠政策；安置残疾人达到规定比例的，享受福利企业优惠政策。</w:t>
      </w:r>
    </w:p>
    <w:p w14:paraId="5B6AFD82">
      <w:pPr>
        <w:ind w:firstLine="422"/>
        <w:jc w:val="left"/>
        <w:rPr>
          <w:rFonts w:ascii="宋体" w:hAnsi="宋体"/>
          <w:kern w:val="44"/>
        </w:rPr>
      </w:pPr>
      <w:r>
        <w:rPr>
          <w:rFonts w:hint="eastAsia" w:ascii="宋体" w:hAnsi="宋体"/>
          <w:b/>
          <w:kern w:val="44"/>
        </w:rPr>
        <w:t>第十八条</w:t>
      </w:r>
      <w:r>
        <w:rPr>
          <w:rFonts w:hint="eastAsia" w:ascii="宋体" w:hAnsi="宋体"/>
          <w:kern w:val="44"/>
        </w:rPr>
        <w:t>　鼓励私营企业生产出口创汇产品，从境外引进资金、先进技术和先进管理方法，开展国际交流与合作，或者到境外开办企业，参与国际竞争。</w:t>
      </w:r>
    </w:p>
    <w:p w14:paraId="78138075">
      <w:pPr>
        <w:jc w:val="left"/>
        <w:rPr>
          <w:rFonts w:ascii="宋体" w:hAnsi="宋体"/>
          <w:kern w:val="44"/>
        </w:rPr>
      </w:pPr>
      <w:r>
        <w:rPr>
          <w:rFonts w:hint="eastAsia" w:ascii="宋体" w:hAnsi="宋体"/>
          <w:kern w:val="44"/>
        </w:rPr>
        <w:t>对符合国家规定条件的私营企业，对外经济贸易行政主管部门应当支持其申办自营进出口权。</w:t>
      </w:r>
    </w:p>
    <w:p w14:paraId="04BDC38A">
      <w:pPr>
        <w:ind w:firstLine="422"/>
        <w:jc w:val="left"/>
        <w:rPr>
          <w:rFonts w:ascii="宋体" w:hAnsi="宋体"/>
          <w:kern w:val="44"/>
        </w:rPr>
      </w:pPr>
      <w:r>
        <w:rPr>
          <w:rFonts w:hint="eastAsia" w:ascii="宋体" w:hAnsi="宋体"/>
          <w:b/>
          <w:kern w:val="44"/>
        </w:rPr>
        <w:t>第十九条</w:t>
      </w:r>
      <w:r>
        <w:rPr>
          <w:rFonts w:hint="eastAsia" w:ascii="宋体" w:hAnsi="宋体"/>
          <w:kern w:val="44"/>
        </w:rPr>
        <w:t>　鼓励私营企业建立现代企业制度，有条件的私营企业可以实行股份制改造。</w:t>
      </w:r>
    </w:p>
    <w:p w14:paraId="4D35AA97">
      <w:pPr>
        <w:jc w:val="left"/>
        <w:rPr>
          <w:rFonts w:ascii="宋体" w:hAnsi="宋体"/>
          <w:kern w:val="44"/>
        </w:rPr>
      </w:pPr>
      <w:r>
        <w:rPr>
          <w:rFonts w:hint="eastAsia" w:ascii="宋体" w:hAnsi="宋体"/>
          <w:kern w:val="44"/>
        </w:rPr>
        <w:t>政府主管部门应当支持私营企业和个体工商户采用参股、控股、兼并、收购等多种形式参与国有、集体企业改制。</w:t>
      </w:r>
    </w:p>
    <w:p w14:paraId="42FECCFC">
      <w:pPr>
        <w:jc w:val="left"/>
        <w:rPr>
          <w:rFonts w:ascii="宋体" w:hAnsi="宋体"/>
          <w:kern w:val="44"/>
        </w:rPr>
      </w:pPr>
      <w:r>
        <w:rPr>
          <w:rFonts w:hint="eastAsia" w:ascii="宋体" w:hAnsi="宋体"/>
          <w:kern w:val="44"/>
        </w:rPr>
        <w:t>私营企业和个体工商户参与国有、集体企业改制，享受本市相关优惠待遇，原国有、集体企业改制前已办理的各项专项审批手续和生产经营许可证不因所有制变更而取消。</w:t>
      </w:r>
    </w:p>
    <w:p w14:paraId="6D861BAD">
      <w:pPr>
        <w:ind w:firstLine="422"/>
        <w:jc w:val="left"/>
        <w:rPr>
          <w:rFonts w:ascii="宋体" w:hAnsi="宋体"/>
          <w:kern w:val="44"/>
        </w:rPr>
      </w:pPr>
      <w:r>
        <w:rPr>
          <w:rFonts w:hint="eastAsia" w:ascii="宋体" w:hAnsi="宋体"/>
          <w:b/>
          <w:kern w:val="44"/>
        </w:rPr>
        <w:t>第二十条</w:t>
      </w:r>
      <w:r>
        <w:rPr>
          <w:rFonts w:hint="eastAsia" w:ascii="宋体" w:hAnsi="宋体"/>
          <w:kern w:val="44"/>
        </w:rPr>
        <w:t>　鼓励和扶持私营企业、个体工商户继承和发展具有北京特色的传统产品和服务，开发、培育名牌产品，争创驰名商标。</w:t>
      </w:r>
    </w:p>
    <w:p w14:paraId="57E5564B">
      <w:pPr>
        <w:ind w:firstLine="422"/>
        <w:jc w:val="left"/>
        <w:rPr>
          <w:rFonts w:ascii="宋体" w:hAnsi="宋体"/>
          <w:kern w:val="44"/>
        </w:rPr>
      </w:pPr>
      <w:r>
        <w:rPr>
          <w:rFonts w:hint="eastAsia" w:ascii="宋体" w:hAnsi="宋体"/>
          <w:b/>
          <w:kern w:val="44"/>
        </w:rPr>
        <w:t>第二十一条</w:t>
      </w:r>
      <w:r>
        <w:rPr>
          <w:rFonts w:hint="eastAsia" w:ascii="宋体" w:hAnsi="宋体"/>
          <w:kern w:val="44"/>
        </w:rPr>
        <w:t>　鼓励外地私营企业和公民在本市投资开办私营企业。长期在本市经营并有较大贡献的私营企业的负责人、执行合伙企业事务的合伙人或者法定代表人及其配偶和一名未成年子女可以办理本市常住户口，不受进京指标的限制。具体办法由市人民政府制定。</w:t>
      </w:r>
    </w:p>
    <w:p w14:paraId="281F1398">
      <w:pPr>
        <w:ind w:firstLine="422"/>
        <w:jc w:val="left"/>
        <w:rPr>
          <w:rFonts w:ascii="宋体" w:hAnsi="宋体"/>
          <w:kern w:val="44"/>
        </w:rPr>
      </w:pPr>
      <w:r>
        <w:rPr>
          <w:rFonts w:hint="eastAsia" w:ascii="宋体" w:hAnsi="宋体"/>
          <w:b/>
          <w:kern w:val="44"/>
        </w:rPr>
        <w:t>第二十二条</w:t>
      </w:r>
      <w:r>
        <w:rPr>
          <w:rFonts w:hint="eastAsia" w:ascii="宋体" w:hAnsi="宋体"/>
          <w:kern w:val="44"/>
        </w:rPr>
        <w:t>　市和区、县统计行政主管部门应当建立和完善私营个体经济统计制度，及时、准确反映私营个体经济的发展状况。</w:t>
      </w:r>
    </w:p>
    <w:p w14:paraId="1A24AB9B">
      <w:pPr>
        <w:ind w:firstLine="422"/>
        <w:jc w:val="left"/>
        <w:rPr>
          <w:rFonts w:ascii="宋体" w:hAnsi="宋体"/>
          <w:kern w:val="44"/>
        </w:rPr>
      </w:pPr>
      <w:r>
        <w:rPr>
          <w:rFonts w:hint="eastAsia" w:ascii="宋体" w:hAnsi="宋体"/>
          <w:b/>
          <w:kern w:val="44"/>
        </w:rPr>
        <w:t>第二十三条</w:t>
      </w:r>
      <w:r>
        <w:rPr>
          <w:rFonts w:hint="eastAsia" w:ascii="宋体" w:hAnsi="宋体"/>
          <w:kern w:val="44"/>
        </w:rPr>
        <w:t>　各级人民政府及其有关部门应当依法行政，加强服务和监督管理，保护守法经营者，维护市场经济秩序，打击违法行为，支持私营个体经济健康发展。</w:t>
      </w:r>
    </w:p>
    <w:p w14:paraId="36B8EA46">
      <w:pPr>
        <w:jc w:val="left"/>
        <w:rPr>
          <w:rFonts w:ascii="宋体" w:hAnsi="宋体"/>
          <w:kern w:val="44"/>
        </w:rPr>
      </w:pPr>
      <w:r>
        <w:rPr>
          <w:rFonts w:hint="eastAsia" w:ascii="宋体" w:hAnsi="宋体"/>
          <w:kern w:val="44"/>
        </w:rPr>
        <w:t>政府有关部门及其执法人员在行政执法过程中，不得干扰私营企业和个体工商户正常的生产经营活动。</w:t>
      </w:r>
    </w:p>
    <w:p w14:paraId="11734004">
      <w:pPr>
        <w:ind w:firstLine="0" w:firstLineChars="0"/>
        <w:jc w:val="center"/>
        <w:rPr>
          <w:rFonts w:ascii="宋体" w:hAnsi="宋体"/>
          <w:b/>
          <w:kern w:val="44"/>
          <w:sz w:val="28"/>
        </w:rPr>
      </w:pPr>
      <w:r>
        <w:rPr>
          <w:rFonts w:hint="eastAsia" w:ascii="宋体" w:hAnsi="宋体"/>
          <w:b/>
          <w:kern w:val="44"/>
          <w:sz w:val="28"/>
        </w:rPr>
        <w:t>第三章  权利与义务</w:t>
      </w:r>
    </w:p>
    <w:p w14:paraId="70F4AFAD">
      <w:pPr>
        <w:jc w:val="left"/>
        <w:rPr>
          <w:rFonts w:ascii="宋体" w:hAnsi="宋体"/>
          <w:kern w:val="44"/>
        </w:rPr>
      </w:pPr>
    </w:p>
    <w:p w14:paraId="4C357BC8">
      <w:pPr>
        <w:ind w:firstLine="422"/>
        <w:jc w:val="left"/>
        <w:rPr>
          <w:rFonts w:ascii="宋体" w:hAnsi="宋体"/>
          <w:kern w:val="44"/>
        </w:rPr>
      </w:pPr>
      <w:r>
        <w:rPr>
          <w:rFonts w:hint="eastAsia" w:ascii="宋体" w:hAnsi="宋体"/>
          <w:b/>
          <w:kern w:val="44"/>
        </w:rPr>
        <w:t>第二十四条</w:t>
      </w:r>
      <w:r>
        <w:rPr>
          <w:rFonts w:hint="eastAsia" w:ascii="宋体" w:hAnsi="宋体"/>
          <w:kern w:val="44"/>
        </w:rPr>
        <w:t>　私营企业和个体工商户的合法财产，依法享有的名称专用权、专利、注册商标等知识产权和商业秘密，受法律保护。</w:t>
      </w:r>
    </w:p>
    <w:p w14:paraId="2BFC9BA8">
      <w:pPr>
        <w:ind w:firstLine="422"/>
        <w:jc w:val="left"/>
        <w:rPr>
          <w:rFonts w:ascii="宋体" w:hAnsi="宋体"/>
          <w:kern w:val="44"/>
        </w:rPr>
      </w:pPr>
      <w:r>
        <w:rPr>
          <w:rFonts w:hint="eastAsia" w:ascii="宋体" w:hAnsi="宋体"/>
          <w:b/>
          <w:kern w:val="44"/>
        </w:rPr>
        <w:t>第二十五条</w:t>
      </w:r>
      <w:r>
        <w:rPr>
          <w:rFonts w:hint="eastAsia" w:ascii="宋体" w:hAnsi="宋体"/>
          <w:kern w:val="44"/>
        </w:rPr>
        <w:t>　私营企业在市场准入、土地使用、信贷、税收、上市融资、进出口、使用外汇、参与政府采购和招标投标、高新技术企业认定、申报政府计划项目、科技奖励、取得许可证和资质等级证书以及引进人才等方面，享受与国有、集体企业同等的待遇。</w:t>
      </w:r>
    </w:p>
    <w:p w14:paraId="47696E6B">
      <w:pPr>
        <w:jc w:val="left"/>
        <w:rPr>
          <w:rFonts w:ascii="宋体" w:hAnsi="宋体"/>
          <w:kern w:val="44"/>
        </w:rPr>
      </w:pPr>
      <w:r>
        <w:rPr>
          <w:rFonts w:hint="eastAsia" w:ascii="宋体" w:hAnsi="宋体"/>
          <w:kern w:val="44"/>
        </w:rPr>
        <w:t>个体工商户在前款规定的范围内可以享受与私营企业同等的待遇，但法律、法规另有规定的，从其规定。</w:t>
      </w:r>
    </w:p>
    <w:p w14:paraId="0F34CF76">
      <w:pPr>
        <w:ind w:firstLine="422"/>
        <w:jc w:val="left"/>
        <w:rPr>
          <w:rFonts w:ascii="宋体" w:hAnsi="宋体"/>
          <w:kern w:val="44"/>
        </w:rPr>
      </w:pPr>
      <w:r>
        <w:rPr>
          <w:rFonts w:hint="eastAsia" w:ascii="宋体" w:hAnsi="宋体"/>
          <w:b/>
          <w:kern w:val="44"/>
        </w:rPr>
        <w:t>第二十六条</w:t>
      </w:r>
      <w:r>
        <w:rPr>
          <w:rFonts w:hint="eastAsia" w:ascii="宋体" w:hAnsi="宋体"/>
          <w:kern w:val="44"/>
        </w:rPr>
        <w:t>　私营企业和个体工商户依法取得的生产经营场所受法律保护。</w:t>
      </w:r>
    </w:p>
    <w:p w14:paraId="0C375A0D">
      <w:pPr>
        <w:jc w:val="left"/>
        <w:rPr>
          <w:rFonts w:ascii="宋体" w:hAnsi="宋体"/>
          <w:kern w:val="44"/>
        </w:rPr>
      </w:pPr>
      <w:r>
        <w:rPr>
          <w:rFonts w:hint="eastAsia" w:ascii="宋体" w:hAnsi="宋体"/>
          <w:kern w:val="44"/>
        </w:rPr>
        <w:t>私营企业和个体工商户用于生产经营活动的房屋，因城市建设需要拆迁的，拆迁人应当按照国家和本市的有关规定给予补偿与安置。</w:t>
      </w:r>
    </w:p>
    <w:p w14:paraId="421995AA">
      <w:pPr>
        <w:ind w:firstLine="422"/>
        <w:jc w:val="left"/>
        <w:rPr>
          <w:rFonts w:ascii="宋体" w:hAnsi="宋体"/>
          <w:kern w:val="44"/>
        </w:rPr>
      </w:pPr>
      <w:r>
        <w:rPr>
          <w:rFonts w:hint="eastAsia" w:ascii="宋体" w:hAnsi="宋体"/>
          <w:b/>
          <w:kern w:val="44"/>
        </w:rPr>
        <w:t>第二十七条</w:t>
      </w:r>
      <w:r>
        <w:rPr>
          <w:rFonts w:hint="eastAsia" w:ascii="宋体" w:hAnsi="宋体"/>
          <w:kern w:val="44"/>
        </w:rPr>
        <w:t>　任何组织和个人不得违反法律、法规规定，向私营企业和个体工商户收费、罚款、摊派。</w:t>
      </w:r>
    </w:p>
    <w:p w14:paraId="7A996ED2">
      <w:pPr>
        <w:jc w:val="left"/>
        <w:rPr>
          <w:rFonts w:ascii="宋体" w:hAnsi="宋体"/>
          <w:kern w:val="44"/>
        </w:rPr>
      </w:pPr>
      <w:r>
        <w:rPr>
          <w:rFonts w:hint="eastAsia" w:ascii="宋体" w:hAnsi="宋体"/>
          <w:kern w:val="44"/>
        </w:rPr>
        <w:t>私营企业和个体工商户有权拒绝不合法的收费、罚款；有权拒绝任何单位和个人违法向其摊派人力、物力、财力；有权拒绝强行要求赞助、捐款、集资；有权拒绝非法有偿服务或者搭售商品、订购书籍报刊等侵权行为。</w:t>
      </w:r>
    </w:p>
    <w:p w14:paraId="0B3AC950">
      <w:pPr>
        <w:ind w:firstLine="422"/>
        <w:jc w:val="left"/>
        <w:rPr>
          <w:rFonts w:ascii="宋体" w:hAnsi="宋体"/>
          <w:kern w:val="44"/>
        </w:rPr>
      </w:pPr>
      <w:r>
        <w:rPr>
          <w:rFonts w:hint="eastAsia" w:ascii="宋体" w:hAnsi="宋体"/>
          <w:b/>
          <w:kern w:val="44"/>
        </w:rPr>
        <w:t>第二十八条</w:t>
      </w:r>
      <w:r>
        <w:rPr>
          <w:rFonts w:hint="eastAsia" w:ascii="宋体" w:hAnsi="宋体"/>
          <w:kern w:val="44"/>
        </w:rPr>
        <w:t>　私营企业和个体工商户的合法权益受到行政机关侵害时，可以通过以下途径解决：</w:t>
      </w:r>
    </w:p>
    <w:p w14:paraId="5CC6445C">
      <w:pPr>
        <w:jc w:val="left"/>
        <w:rPr>
          <w:rFonts w:ascii="宋体" w:hAnsi="宋体"/>
          <w:kern w:val="44"/>
        </w:rPr>
      </w:pPr>
      <w:r>
        <w:rPr>
          <w:rFonts w:hint="eastAsia" w:ascii="宋体" w:hAnsi="宋体"/>
          <w:kern w:val="44"/>
        </w:rPr>
        <w:t>（一）向私营个体经济协会反映；</w:t>
      </w:r>
    </w:p>
    <w:p w14:paraId="0C21E9AC">
      <w:pPr>
        <w:jc w:val="left"/>
        <w:rPr>
          <w:rFonts w:ascii="宋体" w:hAnsi="宋体"/>
          <w:kern w:val="44"/>
        </w:rPr>
      </w:pPr>
      <w:r>
        <w:rPr>
          <w:rFonts w:hint="eastAsia" w:ascii="宋体" w:hAnsi="宋体"/>
          <w:kern w:val="44"/>
        </w:rPr>
        <w:t>（二）向监察机关或者上级行政机关投诉；</w:t>
      </w:r>
    </w:p>
    <w:p w14:paraId="010004CB">
      <w:pPr>
        <w:jc w:val="left"/>
        <w:rPr>
          <w:rFonts w:ascii="宋体" w:hAnsi="宋体"/>
          <w:kern w:val="44"/>
        </w:rPr>
      </w:pPr>
      <w:r>
        <w:rPr>
          <w:rFonts w:hint="eastAsia" w:ascii="宋体" w:hAnsi="宋体"/>
          <w:kern w:val="44"/>
        </w:rPr>
        <w:t>（三）依法申请行政复议；</w:t>
      </w:r>
    </w:p>
    <w:p w14:paraId="47A456A6">
      <w:pPr>
        <w:jc w:val="left"/>
        <w:rPr>
          <w:rFonts w:ascii="宋体" w:hAnsi="宋体"/>
          <w:kern w:val="44"/>
        </w:rPr>
      </w:pPr>
      <w:r>
        <w:rPr>
          <w:rFonts w:hint="eastAsia" w:ascii="宋体" w:hAnsi="宋体"/>
          <w:kern w:val="44"/>
        </w:rPr>
        <w:t>（四）依法提起行政诉讼。</w:t>
      </w:r>
    </w:p>
    <w:p w14:paraId="318A0869">
      <w:pPr>
        <w:ind w:firstLine="422"/>
        <w:jc w:val="left"/>
        <w:rPr>
          <w:rFonts w:ascii="宋体" w:hAnsi="宋体"/>
          <w:kern w:val="44"/>
        </w:rPr>
      </w:pPr>
      <w:r>
        <w:rPr>
          <w:rFonts w:hint="eastAsia" w:ascii="宋体" w:hAnsi="宋体"/>
          <w:b/>
          <w:kern w:val="44"/>
        </w:rPr>
        <w:t>第二十九条</w:t>
      </w:r>
      <w:r>
        <w:rPr>
          <w:rFonts w:hint="eastAsia" w:ascii="宋体" w:hAnsi="宋体"/>
          <w:kern w:val="44"/>
        </w:rPr>
        <w:t>　政府有关部门对于私营企业、个体工商户提出的投诉事项，应当自接到投诉之日起10个工作日内作出处理。对不属于本部门职权范围内的投诉事项，应当自接到投诉之日起5个工作日内向负有责任的部门移送，并通知投诉人。政府有关部门对于私营个体经济协会反映的问题，应当在10个工作日内给予答复。</w:t>
      </w:r>
    </w:p>
    <w:p w14:paraId="03F8483B">
      <w:pPr>
        <w:ind w:firstLine="422"/>
        <w:jc w:val="left"/>
        <w:rPr>
          <w:rFonts w:ascii="宋体" w:hAnsi="宋体"/>
          <w:kern w:val="44"/>
        </w:rPr>
      </w:pPr>
      <w:r>
        <w:rPr>
          <w:rFonts w:hint="eastAsia" w:ascii="宋体" w:hAnsi="宋体"/>
          <w:b/>
          <w:kern w:val="44"/>
        </w:rPr>
        <w:t>第三十条</w:t>
      </w:r>
      <w:r>
        <w:rPr>
          <w:rFonts w:hint="eastAsia" w:ascii="宋体" w:hAnsi="宋体"/>
          <w:kern w:val="44"/>
        </w:rPr>
        <w:t>　私营企业应当尊重职工依法组建和参加工会组织、开展工会活动的权利，依法为本企业工会提供必要的工作条件。</w:t>
      </w:r>
    </w:p>
    <w:p w14:paraId="41C2536A">
      <w:pPr>
        <w:ind w:firstLine="422"/>
        <w:jc w:val="left"/>
        <w:rPr>
          <w:rFonts w:ascii="宋体" w:hAnsi="宋体"/>
          <w:kern w:val="44"/>
        </w:rPr>
      </w:pPr>
      <w:r>
        <w:rPr>
          <w:rFonts w:hint="eastAsia" w:ascii="宋体" w:hAnsi="宋体"/>
          <w:b/>
          <w:kern w:val="44"/>
        </w:rPr>
        <w:t>第三十一条</w:t>
      </w:r>
      <w:r>
        <w:rPr>
          <w:rFonts w:hint="eastAsia" w:ascii="宋体" w:hAnsi="宋体"/>
          <w:kern w:val="44"/>
        </w:rPr>
        <w:t>　私营企业和个体工商户应当遵守税收、质量、环境保护、安全生产等法律、法规，建立健全内部管理制度。</w:t>
      </w:r>
    </w:p>
    <w:p w14:paraId="73CFFE76">
      <w:pPr>
        <w:ind w:firstLine="422"/>
        <w:jc w:val="left"/>
        <w:rPr>
          <w:rFonts w:ascii="宋体" w:hAnsi="宋体"/>
          <w:kern w:val="44"/>
        </w:rPr>
      </w:pPr>
      <w:r>
        <w:rPr>
          <w:rFonts w:hint="eastAsia" w:ascii="宋体" w:hAnsi="宋体"/>
          <w:b/>
          <w:kern w:val="44"/>
        </w:rPr>
        <w:t>第三十二条</w:t>
      </w:r>
      <w:r>
        <w:rPr>
          <w:rFonts w:hint="eastAsia" w:ascii="宋体" w:hAnsi="宋体"/>
          <w:kern w:val="44"/>
        </w:rPr>
        <w:t>　私营企业和个体工商户应当依法与职工签订劳动合同，保障职工法定的休息、休假权利，保障女工、未成年工受特殊保护的法定权利。不得雇佣童工。</w:t>
      </w:r>
    </w:p>
    <w:p w14:paraId="6504E93C">
      <w:pPr>
        <w:jc w:val="left"/>
        <w:rPr>
          <w:rFonts w:ascii="宋体" w:hAnsi="宋体"/>
          <w:kern w:val="44"/>
        </w:rPr>
      </w:pPr>
      <w:r>
        <w:rPr>
          <w:rFonts w:hint="eastAsia" w:ascii="宋体" w:hAnsi="宋体"/>
          <w:kern w:val="44"/>
        </w:rPr>
        <w:t>私营企业和个体工商户应当加强劳动保护，保障生产安全。对从事特种作业的职工，必须按照国家规定进行培训，合格后方能上岗作业。</w:t>
      </w:r>
    </w:p>
    <w:p w14:paraId="3A2CF373">
      <w:pPr>
        <w:jc w:val="left"/>
        <w:rPr>
          <w:rFonts w:ascii="宋体" w:hAnsi="宋体"/>
          <w:kern w:val="44"/>
        </w:rPr>
      </w:pPr>
      <w:r>
        <w:rPr>
          <w:rFonts w:hint="eastAsia" w:ascii="宋体" w:hAnsi="宋体"/>
          <w:kern w:val="44"/>
        </w:rPr>
        <w:t>私营企业和个体工商户支付职工工资不得低于本市最低工资标准。</w:t>
      </w:r>
    </w:p>
    <w:p w14:paraId="4718A9C3">
      <w:pPr>
        <w:ind w:firstLine="422"/>
        <w:jc w:val="left"/>
        <w:rPr>
          <w:rFonts w:ascii="宋体" w:hAnsi="宋体"/>
          <w:kern w:val="44"/>
        </w:rPr>
      </w:pPr>
      <w:r>
        <w:rPr>
          <w:rFonts w:hint="eastAsia" w:ascii="宋体" w:hAnsi="宋体"/>
          <w:b/>
          <w:kern w:val="44"/>
        </w:rPr>
        <w:t>第三十三条</w:t>
      </w:r>
      <w:r>
        <w:rPr>
          <w:rFonts w:hint="eastAsia" w:ascii="宋体" w:hAnsi="宋体"/>
          <w:kern w:val="44"/>
        </w:rPr>
        <w:t>　私营企业应当按照国家和本市规定为职工办理养老、失业、医疗、工伤、生育等各项社会保险。</w:t>
      </w:r>
    </w:p>
    <w:p w14:paraId="2A1432AF">
      <w:pPr>
        <w:ind w:firstLine="0" w:firstLineChars="0"/>
        <w:jc w:val="center"/>
        <w:rPr>
          <w:rFonts w:ascii="宋体" w:hAnsi="宋体"/>
          <w:b/>
          <w:kern w:val="44"/>
          <w:sz w:val="28"/>
        </w:rPr>
      </w:pPr>
      <w:r>
        <w:rPr>
          <w:rFonts w:hint="eastAsia" w:ascii="宋体" w:hAnsi="宋体"/>
          <w:b/>
          <w:kern w:val="44"/>
          <w:sz w:val="28"/>
        </w:rPr>
        <w:t>第四章  私营个体经济协会</w:t>
      </w:r>
    </w:p>
    <w:p w14:paraId="7FF950E5">
      <w:pPr>
        <w:jc w:val="left"/>
        <w:rPr>
          <w:rFonts w:ascii="宋体" w:hAnsi="宋体"/>
          <w:kern w:val="44"/>
        </w:rPr>
      </w:pPr>
    </w:p>
    <w:p w14:paraId="59ECE671">
      <w:pPr>
        <w:ind w:firstLine="422"/>
        <w:jc w:val="left"/>
        <w:rPr>
          <w:rFonts w:ascii="宋体" w:hAnsi="宋体"/>
          <w:kern w:val="44"/>
        </w:rPr>
      </w:pPr>
      <w:r>
        <w:rPr>
          <w:rFonts w:hint="eastAsia" w:ascii="宋体" w:hAnsi="宋体"/>
          <w:b/>
          <w:kern w:val="44"/>
        </w:rPr>
        <w:t>第三十四条</w:t>
      </w:r>
      <w:r>
        <w:rPr>
          <w:rFonts w:hint="eastAsia" w:ascii="宋体" w:hAnsi="宋体"/>
          <w:kern w:val="44"/>
        </w:rPr>
        <w:t>　私营个体经济协会是依法登记的社会团体，应当依照章程开展活动，组织私营企业和个体工商户会员自我服务、自我教育、自我管理，引导、培育私营个体经济健康发展。</w:t>
      </w:r>
    </w:p>
    <w:p w14:paraId="10AFC172">
      <w:pPr>
        <w:ind w:firstLine="422"/>
        <w:jc w:val="left"/>
        <w:rPr>
          <w:rFonts w:ascii="宋体" w:hAnsi="宋体"/>
          <w:kern w:val="44"/>
        </w:rPr>
      </w:pPr>
      <w:r>
        <w:rPr>
          <w:rFonts w:hint="eastAsia" w:ascii="宋体" w:hAnsi="宋体"/>
          <w:b/>
          <w:kern w:val="44"/>
        </w:rPr>
        <w:t>第三十五条</w:t>
      </w:r>
      <w:r>
        <w:rPr>
          <w:rFonts w:hint="eastAsia" w:ascii="宋体" w:hAnsi="宋体"/>
          <w:kern w:val="44"/>
        </w:rPr>
        <w:t>　私营个体经济协会应当向私营企业和个体工商户会员宣传国家法律、法规，做好私营企业、个体工商户会员与人民政府的联系沟通工作，向政府和有关部门反映私营个体经济发展中存在的问题，提出建议，对政府及其有关部门的工作进行社会监督。</w:t>
      </w:r>
    </w:p>
    <w:p w14:paraId="050A2895">
      <w:pPr>
        <w:ind w:firstLine="422"/>
        <w:jc w:val="left"/>
        <w:rPr>
          <w:rFonts w:ascii="宋体" w:hAnsi="宋体"/>
          <w:kern w:val="44"/>
        </w:rPr>
      </w:pPr>
      <w:r>
        <w:rPr>
          <w:rFonts w:hint="eastAsia" w:ascii="宋体" w:hAnsi="宋体"/>
          <w:b/>
          <w:kern w:val="44"/>
        </w:rPr>
        <w:t>第三十六条</w:t>
      </w:r>
      <w:r>
        <w:rPr>
          <w:rFonts w:hint="eastAsia" w:ascii="宋体" w:hAnsi="宋体"/>
          <w:kern w:val="44"/>
        </w:rPr>
        <w:t>　私营个体经济协会应当为私营企业和个体工商户会员的生产经营活动提供服务，维护其合法权益。私营企业和个体工商户在生产经营活动中，须由上级主管部门审批的事项，私营个体经济协会可以帮助办理有关手续。</w:t>
      </w:r>
    </w:p>
    <w:p w14:paraId="0324644D">
      <w:pPr>
        <w:jc w:val="left"/>
        <w:rPr>
          <w:rFonts w:ascii="宋体" w:hAnsi="宋体"/>
          <w:kern w:val="44"/>
        </w:rPr>
      </w:pPr>
    </w:p>
    <w:p w14:paraId="18A95AF1">
      <w:pPr>
        <w:ind w:firstLine="0" w:firstLineChars="0"/>
        <w:jc w:val="center"/>
        <w:rPr>
          <w:rFonts w:ascii="宋体" w:hAnsi="宋体"/>
          <w:b/>
          <w:kern w:val="44"/>
          <w:sz w:val="28"/>
        </w:rPr>
      </w:pPr>
      <w:r>
        <w:rPr>
          <w:rFonts w:hint="eastAsia" w:ascii="宋体" w:hAnsi="宋体"/>
          <w:b/>
          <w:kern w:val="44"/>
          <w:sz w:val="28"/>
        </w:rPr>
        <w:t>第五章  法律责任</w:t>
      </w:r>
    </w:p>
    <w:p w14:paraId="718596BC">
      <w:pPr>
        <w:jc w:val="left"/>
        <w:rPr>
          <w:rFonts w:ascii="宋体" w:hAnsi="宋体"/>
          <w:kern w:val="44"/>
        </w:rPr>
      </w:pPr>
    </w:p>
    <w:p w14:paraId="5C159139">
      <w:pPr>
        <w:ind w:firstLine="422"/>
        <w:jc w:val="left"/>
        <w:rPr>
          <w:rFonts w:ascii="宋体" w:hAnsi="宋体"/>
          <w:kern w:val="44"/>
        </w:rPr>
      </w:pPr>
      <w:r>
        <w:rPr>
          <w:rFonts w:hint="eastAsia" w:ascii="宋体" w:hAnsi="宋体"/>
          <w:b/>
          <w:kern w:val="44"/>
        </w:rPr>
        <w:t>第三十七条</w:t>
      </w:r>
      <w:r>
        <w:rPr>
          <w:rFonts w:hint="eastAsia" w:ascii="宋体" w:hAnsi="宋体"/>
          <w:kern w:val="44"/>
        </w:rPr>
        <w:t>　违反本条例应当追究法律责任的，法律、法规已有规定的，从其规定；法律、法规没有规定的，依照本条例的规定执行。</w:t>
      </w:r>
    </w:p>
    <w:p w14:paraId="7984ECF3">
      <w:pPr>
        <w:ind w:firstLine="422"/>
        <w:jc w:val="left"/>
        <w:rPr>
          <w:rFonts w:ascii="宋体" w:hAnsi="宋体"/>
          <w:kern w:val="44"/>
        </w:rPr>
      </w:pPr>
      <w:r>
        <w:rPr>
          <w:rFonts w:hint="eastAsia" w:ascii="宋体" w:hAnsi="宋体"/>
          <w:b/>
          <w:kern w:val="44"/>
        </w:rPr>
        <w:t>第三十八条</w:t>
      </w:r>
      <w:r>
        <w:rPr>
          <w:rFonts w:hint="eastAsia" w:ascii="宋体" w:hAnsi="宋体"/>
          <w:kern w:val="44"/>
        </w:rPr>
        <w:t>　行政机关及其工作人员违反本条例第十条规定，在法律、法规之外设置针对私营企业和个体工商户登记注册前置审批事项的，其行政行为无效，由上级机关责令改正；情节严重的，由监察机关或者上级机关追究直接责任人和行政机关主要负责人的行政责任。</w:t>
      </w:r>
    </w:p>
    <w:p w14:paraId="2C897E89">
      <w:pPr>
        <w:ind w:firstLine="422"/>
        <w:jc w:val="left"/>
        <w:rPr>
          <w:rFonts w:ascii="宋体" w:hAnsi="宋体"/>
          <w:kern w:val="44"/>
        </w:rPr>
      </w:pPr>
      <w:r>
        <w:rPr>
          <w:rFonts w:hint="eastAsia" w:ascii="宋体" w:hAnsi="宋体"/>
          <w:b/>
          <w:kern w:val="44"/>
        </w:rPr>
        <w:t>第三十九条</w:t>
      </w:r>
      <w:r>
        <w:rPr>
          <w:rFonts w:hint="eastAsia" w:ascii="宋体" w:hAnsi="宋体"/>
          <w:kern w:val="44"/>
        </w:rPr>
        <w:t>　行政机关违反本条例第二十七条第一款规定，违法向私营企业和个体工商户收费、罚款、摊派的，由上级行政机关责令改正，退还已收取的款物；情节严重的，对行政机关的直接责任人和主要负责人给予行政处分。</w:t>
      </w:r>
    </w:p>
    <w:p w14:paraId="37A354EC">
      <w:pPr>
        <w:ind w:firstLine="422"/>
        <w:jc w:val="left"/>
        <w:rPr>
          <w:rFonts w:ascii="宋体" w:hAnsi="宋体"/>
          <w:kern w:val="44"/>
        </w:rPr>
      </w:pPr>
      <w:r>
        <w:rPr>
          <w:rFonts w:hint="eastAsia" w:ascii="宋体" w:hAnsi="宋体"/>
          <w:b/>
          <w:kern w:val="44"/>
        </w:rPr>
        <w:t>第四十条</w:t>
      </w:r>
      <w:r>
        <w:rPr>
          <w:rFonts w:hint="eastAsia" w:ascii="宋体" w:hAnsi="宋体"/>
          <w:kern w:val="44"/>
        </w:rPr>
        <w:t>　行政机关及其工作人员违反本条例有关规定，不履行法定职责，使私营企业和个体工商户及其投资者、经营者、从业人员合法权益受到损害，或者应当享有的权益未能享有的，由上级机关责令改正；情节严重的，由监察机关或者上级机关追究直接责任人和行政机关主要负责人的行政责任。</w:t>
      </w:r>
    </w:p>
    <w:p w14:paraId="57B6BD37">
      <w:pPr>
        <w:ind w:firstLine="422"/>
        <w:jc w:val="left"/>
        <w:rPr>
          <w:rFonts w:ascii="宋体" w:hAnsi="宋体"/>
          <w:kern w:val="44"/>
        </w:rPr>
      </w:pPr>
      <w:r>
        <w:rPr>
          <w:rFonts w:hint="eastAsia" w:ascii="宋体" w:hAnsi="宋体"/>
          <w:b/>
          <w:kern w:val="44"/>
        </w:rPr>
        <w:t>第四十一条</w:t>
      </w:r>
      <w:r>
        <w:rPr>
          <w:rFonts w:hint="eastAsia" w:ascii="宋体" w:hAnsi="宋体"/>
          <w:kern w:val="44"/>
        </w:rPr>
        <w:t>　行政机关及其工作人员违法行使行政职权，侵害私营企业和个体工商户的合法权益，造成损害的，依照《中华人民共和国国家赔偿法》的规定承担赔偿责任。</w:t>
      </w:r>
    </w:p>
    <w:p w14:paraId="607C9DA8">
      <w:pPr>
        <w:ind w:firstLine="422"/>
        <w:jc w:val="left"/>
        <w:rPr>
          <w:rFonts w:ascii="宋体" w:hAnsi="宋体"/>
          <w:kern w:val="44"/>
        </w:rPr>
      </w:pPr>
      <w:r>
        <w:rPr>
          <w:rFonts w:hint="eastAsia" w:ascii="宋体" w:hAnsi="宋体"/>
          <w:b/>
          <w:kern w:val="44"/>
        </w:rPr>
        <w:t>第四十二条</w:t>
      </w:r>
      <w:r>
        <w:rPr>
          <w:rFonts w:hint="eastAsia" w:ascii="宋体" w:hAnsi="宋体"/>
          <w:kern w:val="44"/>
        </w:rPr>
        <w:t>　公民、法人或者其他组织侵犯私营企业和个体工商户合法权益的，依法承担民事责任；构成犯罪的，依法追究其刑事责任。</w:t>
      </w:r>
    </w:p>
    <w:p w14:paraId="74447445">
      <w:pPr>
        <w:jc w:val="left"/>
        <w:rPr>
          <w:rFonts w:ascii="宋体" w:hAnsi="宋体"/>
          <w:kern w:val="44"/>
        </w:rPr>
      </w:pPr>
    </w:p>
    <w:p w14:paraId="30FEE65B">
      <w:pPr>
        <w:ind w:firstLine="0" w:firstLineChars="0"/>
        <w:jc w:val="center"/>
        <w:rPr>
          <w:rFonts w:ascii="宋体" w:hAnsi="宋体"/>
          <w:b/>
          <w:kern w:val="44"/>
          <w:sz w:val="28"/>
        </w:rPr>
      </w:pPr>
      <w:r>
        <w:rPr>
          <w:rFonts w:hint="eastAsia" w:ascii="宋体" w:hAnsi="宋体"/>
          <w:b/>
          <w:kern w:val="44"/>
          <w:sz w:val="28"/>
        </w:rPr>
        <w:t>第六章  附  则</w:t>
      </w:r>
    </w:p>
    <w:p w14:paraId="35BE938C">
      <w:pPr>
        <w:jc w:val="left"/>
        <w:rPr>
          <w:rFonts w:ascii="宋体" w:hAnsi="宋体"/>
          <w:kern w:val="44"/>
        </w:rPr>
      </w:pPr>
    </w:p>
    <w:p w14:paraId="6DC4930C">
      <w:pPr>
        <w:ind w:firstLine="422"/>
        <w:jc w:val="left"/>
        <w:rPr>
          <w:rFonts w:ascii="宋体" w:hAnsi="宋体"/>
          <w:kern w:val="44"/>
        </w:rPr>
      </w:pPr>
      <w:r>
        <w:rPr>
          <w:rFonts w:hint="eastAsia" w:ascii="宋体" w:hAnsi="宋体"/>
          <w:b/>
          <w:kern w:val="44"/>
        </w:rPr>
        <w:t>第四十三条</w:t>
      </w:r>
      <w:r>
        <w:rPr>
          <w:rFonts w:hint="eastAsia" w:ascii="宋体" w:hAnsi="宋体"/>
          <w:kern w:val="44"/>
        </w:rPr>
        <w:t>　实施本条例需要制定规章或者具体办法的，市人民政府或者主管部门应当及时制定。</w:t>
      </w:r>
    </w:p>
    <w:p w14:paraId="4347EBB5">
      <w:pPr>
        <w:ind w:firstLine="422"/>
        <w:jc w:val="left"/>
        <w:rPr>
          <w:rFonts w:ascii="宋体" w:hAnsi="宋体"/>
          <w:kern w:val="44"/>
        </w:rPr>
      </w:pPr>
      <w:r>
        <w:rPr>
          <w:rFonts w:hint="eastAsia" w:ascii="宋体" w:hAnsi="宋体"/>
          <w:b/>
          <w:kern w:val="44"/>
        </w:rPr>
        <w:t>第四十四条</w:t>
      </w:r>
      <w:r>
        <w:rPr>
          <w:rFonts w:hint="eastAsia" w:ascii="宋体" w:hAnsi="宋体"/>
          <w:kern w:val="44"/>
        </w:rPr>
        <w:t>　本条例自2001年10月1日起施行。</w:t>
      </w:r>
    </w:p>
    <w:p w14:paraId="435B01C9">
      <w:pPr>
        <w:pStyle w:val="4"/>
        <w:pageBreakBefore/>
        <w:rPr>
          <w:kern w:val="44"/>
        </w:rPr>
      </w:pPr>
      <w:bookmarkStart w:id="1372" w:name="_Toc427651627"/>
      <w:bookmarkStart w:id="1373" w:name="_Toc427651969"/>
      <w:bookmarkStart w:id="1374" w:name="_Toc422471360"/>
      <w:bookmarkStart w:id="1375" w:name="_Toc428780193"/>
      <w:bookmarkStart w:id="1376" w:name="_Toc428781675"/>
      <w:r>
        <w:rPr>
          <w:rFonts w:hint="eastAsia"/>
          <w:kern w:val="44"/>
        </w:rPr>
        <w:t>北京市促进中小企业发展条例</w:t>
      </w:r>
      <w:bookmarkEnd w:id="1372"/>
      <w:bookmarkEnd w:id="1373"/>
      <w:bookmarkEnd w:id="1374"/>
      <w:bookmarkEnd w:id="1375"/>
      <w:bookmarkEnd w:id="1376"/>
    </w:p>
    <w:p w14:paraId="5A285AB2">
      <w:pPr>
        <w:jc w:val="left"/>
        <w:rPr>
          <w:rFonts w:ascii="宋体" w:hAnsi="宋体"/>
          <w:kern w:val="44"/>
        </w:rPr>
      </w:pPr>
    </w:p>
    <w:p w14:paraId="61B947F6">
      <w:pPr>
        <w:ind w:left="630" w:leftChars="300" w:right="630" w:rightChars="300"/>
        <w:jc w:val="left"/>
        <w:rPr>
          <w:rFonts w:ascii="楷体" w:hAnsi="楷体" w:eastAsia="楷体"/>
          <w:kern w:val="44"/>
        </w:rPr>
      </w:pPr>
      <w:r>
        <w:rPr>
          <w:rFonts w:hint="eastAsia" w:ascii="楷体" w:hAnsi="楷体" w:eastAsia="楷体"/>
          <w:kern w:val="44"/>
        </w:rPr>
        <w:t>（2013年12月27日北京市第十四届人民代表大会常务委员会第八次会议通过）</w:t>
      </w:r>
    </w:p>
    <w:p w14:paraId="4BEC9ED0">
      <w:pPr>
        <w:jc w:val="left"/>
        <w:rPr>
          <w:rFonts w:ascii="宋体" w:hAnsi="宋体"/>
          <w:kern w:val="44"/>
        </w:rPr>
      </w:pPr>
    </w:p>
    <w:p w14:paraId="02F7FFF9">
      <w:pPr>
        <w:ind w:firstLine="0" w:firstLineChars="0"/>
        <w:jc w:val="center"/>
        <w:rPr>
          <w:rFonts w:ascii="宋体" w:hAnsi="宋体"/>
          <w:b/>
          <w:kern w:val="44"/>
          <w:sz w:val="28"/>
        </w:rPr>
      </w:pPr>
      <w:r>
        <w:rPr>
          <w:rFonts w:hint="eastAsia" w:ascii="宋体" w:hAnsi="宋体"/>
          <w:b/>
          <w:kern w:val="44"/>
          <w:sz w:val="28"/>
        </w:rPr>
        <w:t>第一章　总　则</w:t>
      </w:r>
    </w:p>
    <w:p w14:paraId="12A98F26">
      <w:pPr>
        <w:jc w:val="left"/>
        <w:rPr>
          <w:rFonts w:ascii="宋体" w:hAnsi="宋体"/>
          <w:kern w:val="44"/>
        </w:rPr>
      </w:pPr>
    </w:p>
    <w:p w14:paraId="692E793F">
      <w:pPr>
        <w:ind w:firstLine="422"/>
        <w:jc w:val="left"/>
        <w:rPr>
          <w:rFonts w:ascii="宋体" w:hAnsi="宋体"/>
          <w:kern w:val="44"/>
        </w:rPr>
      </w:pPr>
      <w:r>
        <w:rPr>
          <w:rFonts w:hint="eastAsia" w:ascii="宋体" w:hAnsi="宋体"/>
          <w:b/>
          <w:kern w:val="44"/>
        </w:rPr>
        <w:t>第一条</w:t>
      </w:r>
      <w:r>
        <w:rPr>
          <w:rFonts w:hint="eastAsia" w:ascii="宋体" w:hAnsi="宋体"/>
          <w:kern w:val="44"/>
        </w:rPr>
        <w:t>　为了改善中小企业发展环境，维护中小企业合法权益，支持、引导和促进中小企业健康发展，根据《中华人民共和国中小企业促进法》等法律、法规，结合本市实际，制定本条例。</w:t>
      </w:r>
    </w:p>
    <w:p w14:paraId="2AA5EC96">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本条例所称中小企业，是指依法在本市行政区域内设立，并符合国家划型标准的中型企业、小型企业和微型企业。</w:t>
      </w:r>
    </w:p>
    <w:p w14:paraId="4975B21F">
      <w:pPr>
        <w:ind w:firstLine="422"/>
        <w:jc w:val="left"/>
        <w:rPr>
          <w:rFonts w:ascii="宋体" w:hAnsi="宋体"/>
          <w:kern w:val="44"/>
        </w:rPr>
      </w:pPr>
      <w:r>
        <w:rPr>
          <w:rFonts w:hint="eastAsia" w:ascii="宋体" w:hAnsi="宋体"/>
          <w:b/>
          <w:kern w:val="44"/>
        </w:rPr>
        <w:t>第三条</w:t>
      </w:r>
      <w:r>
        <w:rPr>
          <w:rFonts w:hint="eastAsia" w:ascii="宋体" w:hAnsi="宋体"/>
          <w:kern w:val="44"/>
        </w:rPr>
        <w:t>　本市根据经济社会发展的实际需要，对中小企业实行积极扶持、加强引导、完善服务、依法规范、保障权益的方针，为中小企业平等使用生产要素、公平参与市场竞争、同等受到法律保护创造条件。</w:t>
      </w:r>
    </w:p>
    <w:p w14:paraId="3457D65E">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政府应当将促进中小企业发展纳入国民经济和社会发展规划及计划，制定扶持中小企业发展的政策，负责统筹规划、协调推进本行政区域内中小企业发展各项工作，监督有关部门落实促进中小企业发展的措施。</w:t>
      </w:r>
    </w:p>
    <w:p w14:paraId="4136587E">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中小企业工作主管部门负责组织实施本行政区域内促进中小企业发展的政策规划，对中小企业工作进行综合协调、督促、指导和服务，建立健全中小企业公共服务体系，指导行业协会、商会等社会组织参与促进中小企业发展工作。</w:t>
      </w:r>
    </w:p>
    <w:p w14:paraId="443D7735">
      <w:pPr>
        <w:jc w:val="left"/>
        <w:rPr>
          <w:rFonts w:ascii="宋体" w:hAnsi="宋体"/>
          <w:kern w:val="44"/>
        </w:rPr>
      </w:pPr>
      <w:r>
        <w:rPr>
          <w:rFonts w:hint="eastAsia" w:ascii="宋体" w:hAnsi="宋体"/>
          <w:kern w:val="44"/>
        </w:rPr>
        <w:t>发展改革、商务、财政、金融、科技、工商、人力资源和社会保障、税务、统计、规划、国土资源、知识产权等有关行政部门应当在各自职责范围内，制定并落实促进中小企业发展的措施，对中小企业工作进行指导和服务。</w:t>
      </w:r>
    </w:p>
    <w:p w14:paraId="6BC57C86">
      <w:pPr>
        <w:ind w:firstLine="422"/>
        <w:jc w:val="left"/>
        <w:rPr>
          <w:rFonts w:ascii="宋体" w:hAnsi="宋体"/>
          <w:kern w:val="44"/>
        </w:rPr>
      </w:pPr>
      <w:r>
        <w:rPr>
          <w:rFonts w:hint="eastAsia" w:ascii="宋体" w:hAnsi="宋体"/>
          <w:b/>
          <w:kern w:val="44"/>
        </w:rPr>
        <w:t>第六条</w:t>
      </w:r>
      <w:r>
        <w:rPr>
          <w:rFonts w:hint="eastAsia" w:ascii="宋体" w:hAnsi="宋体"/>
          <w:kern w:val="44"/>
        </w:rPr>
        <w:t>　本市对中小企业发展实行分类指导，引导中小企业转型升级、调整结构，从事科技、文化创意以及战略性新兴产业等符合首都城市功能定位和资源禀赋条件的产业，严格限制中小企业从事高耗能、高耗水、高污染的行业，逐步淘汰落后产能。</w:t>
      </w:r>
    </w:p>
    <w:p w14:paraId="280B112F">
      <w:pPr>
        <w:jc w:val="left"/>
        <w:rPr>
          <w:rFonts w:ascii="宋体" w:hAnsi="宋体"/>
          <w:kern w:val="44"/>
        </w:rPr>
      </w:pPr>
      <w:r>
        <w:rPr>
          <w:rFonts w:hint="eastAsia" w:ascii="宋体" w:hAnsi="宋体"/>
          <w:kern w:val="44"/>
        </w:rPr>
        <w:t>市中小企业工作主管部门会同市发展改革等行政部门，根据本市实际情况，制定和发布中小企业产业分类发展指导目录，明确鼓励、限制和禁止中小企业从事的产业，引导中小企业健康发展。</w:t>
      </w:r>
    </w:p>
    <w:p w14:paraId="45194E36">
      <w:pPr>
        <w:jc w:val="left"/>
        <w:rPr>
          <w:rFonts w:ascii="宋体" w:hAnsi="宋体"/>
          <w:kern w:val="44"/>
        </w:rPr>
      </w:pPr>
      <w:r>
        <w:rPr>
          <w:rFonts w:hint="eastAsia" w:ascii="宋体" w:hAnsi="宋体"/>
          <w:kern w:val="44"/>
        </w:rPr>
        <w:t>中小企业从事符合本条第一款规定的产业的，按照相关规定享受政策扶持和资金支持。</w:t>
      </w:r>
    </w:p>
    <w:p w14:paraId="55B0D983">
      <w:pPr>
        <w:ind w:firstLine="422"/>
        <w:jc w:val="left"/>
        <w:rPr>
          <w:rFonts w:ascii="宋体" w:hAnsi="宋体"/>
          <w:kern w:val="44"/>
        </w:rPr>
      </w:pPr>
      <w:r>
        <w:rPr>
          <w:rFonts w:hint="eastAsia" w:ascii="宋体" w:hAnsi="宋体"/>
          <w:b/>
          <w:kern w:val="44"/>
        </w:rPr>
        <w:t>第七条</w:t>
      </w:r>
      <w:r>
        <w:rPr>
          <w:rFonts w:hint="eastAsia" w:ascii="宋体" w:hAnsi="宋体"/>
          <w:kern w:val="44"/>
        </w:rPr>
        <w:t>　中小企业的合法权益受法律保护，任何单位和个人不得侵犯。</w:t>
      </w:r>
    </w:p>
    <w:p w14:paraId="466992DD">
      <w:pPr>
        <w:jc w:val="left"/>
        <w:rPr>
          <w:rFonts w:ascii="宋体" w:hAnsi="宋体"/>
          <w:kern w:val="44"/>
        </w:rPr>
      </w:pPr>
      <w:r>
        <w:rPr>
          <w:rFonts w:hint="eastAsia" w:ascii="宋体" w:hAnsi="宋体"/>
          <w:kern w:val="44"/>
        </w:rPr>
        <w:t>中小企业应当依法经营，遵守社会公德和行业规范，恪守诚实信用原则，不得侵害职工合法权益，不得损害社会公共利益。</w:t>
      </w:r>
    </w:p>
    <w:p w14:paraId="22FD9B05">
      <w:pPr>
        <w:ind w:firstLine="422"/>
        <w:jc w:val="left"/>
        <w:rPr>
          <w:rFonts w:ascii="宋体" w:hAnsi="宋体"/>
          <w:kern w:val="44"/>
        </w:rPr>
      </w:pPr>
      <w:r>
        <w:rPr>
          <w:rFonts w:hint="eastAsia" w:ascii="宋体" w:hAnsi="宋体"/>
          <w:b/>
          <w:kern w:val="44"/>
        </w:rPr>
        <w:t>第八条</w:t>
      </w:r>
      <w:r>
        <w:rPr>
          <w:rFonts w:hint="eastAsia" w:ascii="宋体" w:hAnsi="宋体"/>
          <w:kern w:val="44"/>
        </w:rPr>
        <w:t>　中小企业可以在自愿的基础上，依法发起、设立中小企业协会或者其他中小企业行业组织，加强自我管理，促进行业发展。</w:t>
      </w:r>
    </w:p>
    <w:p w14:paraId="702FD823">
      <w:pPr>
        <w:jc w:val="left"/>
        <w:rPr>
          <w:rFonts w:ascii="宋体" w:hAnsi="宋体"/>
          <w:kern w:val="44"/>
        </w:rPr>
      </w:pPr>
      <w:r>
        <w:rPr>
          <w:rFonts w:hint="eastAsia" w:ascii="宋体" w:hAnsi="宋体"/>
          <w:kern w:val="44"/>
        </w:rPr>
        <w:t>中小企业协会和其他中小企业行业组织根据章程承担为中小企业提供行业信息、宣传培训、合作交流等服务，维护中小企业合法权益，向政府及有关部门反映中小企业的诉求和建议，参与中小企业服务体系建设，协助政府公平、有效地实施相关扶持政策和措施。</w:t>
      </w:r>
    </w:p>
    <w:p w14:paraId="0DFB7A70">
      <w:pPr>
        <w:jc w:val="left"/>
        <w:rPr>
          <w:rFonts w:ascii="宋体" w:hAnsi="宋体"/>
          <w:kern w:val="44"/>
        </w:rPr>
      </w:pPr>
      <w:r>
        <w:rPr>
          <w:rFonts w:hint="eastAsia" w:ascii="宋体" w:hAnsi="宋体"/>
          <w:kern w:val="44"/>
        </w:rPr>
        <w:t>政府对中小企业的扶持政策和措施可以依托中小企业协会和其他中小企业行业组织予以落实。</w:t>
      </w:r>
    </w:p>
    <w:p w14:paraId="451A75B3">
      <w:pPr>
        <w:ind w:firstLine="422"/>
        <w:jc w:val="left"/>
        <w:rPr>
          <w:rFonts w:ascii="宋体" w:hAnsi="宋体"/>
          <w:kern w:val="44"/>
        </w:rPr>
      </w:pPr>
      <w:r>
        <w:rPr>
          <w:rFonts w:hint="eastAsia" w:ascii="宋体" w:hAnsi="宋体"/>
          <w:b/>
          <w:kern w:val="44"/>
        </w:rPr>
        <w:t>第九条</w:t>
      </w:r>
      <w:r>
        <w:rPr>
          <w:rFonts w:hint="eastAsia" w:ascii="宋体" w:hAnsi="宋体"/>
          <w:kern w:val="44"/>
        </w:rPr>
        <w:t>　本市建立中小企业统计监测制度。统计部门应当会同中小企业工作主管部门和政府其他有关部门加强对中小企业的运行监测、分析，定期发布中小企业发展数据和年度发展报告。</w:t>
      </w:r>
    </w:p>
    <w:p w14:paraId="32B8E04B">
      <w:pPr>
        <w:jc w:val="left"/>
        <w:rPr>
          <w:rFonts w:ascii="宋体" w:hAnsi="宋体"/>
          <w:kern w:val="44"/>
        </w:rPr>
      </w:pPr>
    </w:p>
    <w:p w14:paraId="3A9D9E98">
      <w:pPr>
        <w:ind w:firstLine="0" w:firstLineChars="0"/>
        <w:jc w:val="center"/>
        <w:rPr>
          <w:rFonts w:ascii="宋体" w:hAnsi="宋体"/>
          <w:b/>
          <w:kern w:val="44"/>
          <w:sz w:val="28"/>
        </w:rPr>
      </w:pPr>
      <w:r>
        <w:rPr>
          <w:rFonts w:hint="eastAsia" w:ascii="宋体" w:hAnsi="宋体"/>
          <w:b/>
          <w:kern w:val="44"/>
          <w:sz w:val="28"/>
        </w:rPr>
        <w:t>第二章  创业扶持</w:t>
      </w:r>
    </w:p>
    <w:p w14:paraId="7E39261A">
      <w:pPr>
        <w:jc w:val="left"/>
        <w:rPr>
          <w:rFonts w:ascii="宋体" w:hAnsi="宋体"/>
          <w:kern w:val="44"/>
        </w:rPr>
      </w:pPr>
    </w:p>
    <w:p w14:paraId="4C45A726">
      <w:pPr>
        <w:ind w:firstLine="422"/>
        <w:jc w:val="left"/>
        <w:rPr>
          <w:rFonts w:ascii="宋体" w:hAnsi="宋体"/>
          <w:kern w:val="44"/>
        </w:rPr>
      </w:pPr>
      <w:r>
        <w:rPr>
          <w:rFonts w:hint="eastAsia" w:ascii="宋体" w:hAnsi="宋体"/>
          <w:b/>
          <w:kern w:val="44"/>
        </w:rPr>
        <w:t>第十条</w:t>
      </w:r>
      <w:r>
        <w:rPr>
          <w:rFonts w:hint="eastAsia" w:ascii="宋体" w:hAnsi="宋体"/>
          <w:kern w:val="44"/>
        </w:rPr>
        <w:t>　市和区、县人民政府及有关行政部门应当支持公民、法人或者其他组织依法投资创办中小企业，为中小企业创造公平的市场竞争环境和平等的市场准入条件。</w:t>
      </w:r>
    </w:p>
    <w:p w14:paraId="1E6770B0">
      <w:pPr>
        <w:ind w:firstLine="422"/>
        <w:jc w:val="left"/>
        <w:rPr>
          <w:rFonts w:ascii="宋体" w:hAnsi="宋体"/>
          <w:kern w:val="44"/>
        </w:rPr>
      </w:pPr>
      <w:r>
        <w:rPr>
          <w:rFonts w:hint="eastAsia" w:ascii="宋体" w:hAnsi="宋体"/>
          <w:b/>
          <w:kern w:val="44"/>
        </w:rPr>
        <w:t>第十一条</w:t>
      </w:r>
      <w:r>
        <w:rPr>
          <w:rFonts w:hint="eastAsia" w:ascii="宋体" w:hAnsi="宋体"/>
          <w:kern w:val="44"/>
        </w:rPr>
        <w:t>　本市逐步完善市、区县、乡镇创业服务体系。市和区、县人力资源和社会保障行政部门应当会同中小企业工作主管部门定期发布创业信息，为创业者提供创业咨询、辅导、培训等服务。</w:t>
      </w:r>
    </w:p>
    <w:p w14:paraId="7108A68D">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将中小企业发展空间纳入全市产业发展空间布局。市和区县规划、建设、国土资源等行政部门在制定和实施土地利用年度计划和城乡建设规划时，应当统筹考虑小企业创业基地建设用地需求，优先安排小企业创业基地用地指标，为小型微型企业预留发展空间。</w:t>
      </w:r>
    </w:p>
    <w:p w14:paraId="66A93E1E">
      <w:pPr>
        <w:jc w:val="left"/>
        <w:rPr>
          <w:rFonts w:ascii="宋体" w:hAnsi="宋体"/>
          <w:kern w:val="44"/>
        </w:rPr>
      </w:pPr>
      <w:r>
        <w:rPr>
          <w:rFonts w:hint="eastAsia" w:ascii="宋体" w:hAnsi="宋体"/>
          <w:kern w:val="44"/>
        </w:rPr>
        <w:t>重点产业集聚区和功能区配套建设小企业创业基地，以及利用存量国有建设用地、闲置商务楼宇和产业用房等建设小企业创业基地的，市中小企业工作主管部门按照有关规定给予政策和资金支持。</w:t>
      </w:r>
    </w:p>
    <w:p w14:paraId="104B8B83">
      <w:pPr>
        <w:ind w:firstLine="422"/>
        <w:jc w:val="left"/>
        <w:rPr>
          <w:rFonts w:ascii="宋体" w:hAnsi="宋体"/>
          <w:kern w:val="44"/>
        </w:rPr>
      </w:pPr>
      <w:r>
        <w:rPr>
          <w:rFonts w:hint="eastAsia" w:ascii="宋体" w:hAnsi="宋体"/>
          <w:b/>
          <w:kern w:val="44"/>
        </w:rPr>
        <w:t>第十三条</w:t>
      </w:r>
      <w:r>
        <w:rPr>
          <w:rFonts w:hint="eastAsia" w:ascii="宋体" w:hAnsi="宋体"/>
          <w:kern w:val="44"/>
        </w:rPr>
        <w:t>　本市小企业创业基地由市中小企业工作主管部门负责认定。经认定的小企业创业基地可以依据相关规定享受资金支持，并可以作为集中办公区登记为企业住所。</w:t>
      </w:r>
    </w:p>
    <w:p w14:paraId="5A7BD6CE">
      <w:pPr>
        <w:ind w:firstLine="422"/>
        <w:jc w:val="left"/>
        <w:rPr>
          <w:rFonts w:ascii="宋体" w:hAnsi="宋体"/>
          <w:kern w:val="44"/>
        </w:rPr>
      </w:pPr>
      <w:r>
        <w:rPr>
          <w:rFonts w:hint="eastAsia" w:ascii="宋体" w:hAnsi="宋体"/>
          <w:b/>
          <w:kern w:val="44"/>
        </w:rPr>
        <w:t>第十四条</w:t>
      </w:r>
      <w:r>
        <w:rPr>
          <w:rFonts w:hint="eastAsia" w:ascii="宋体" w:hAnsi="宋体"/>
          <w:kern w:val="44"/>
        </w:rPr>
        <w:t>　农村集体经济组织在符合规划和用途管制的前提下，可以利用农村集体经营性建设用地建设产业用房，出租给中小企业使用；也可以依法将集体经营性建设用地使用权入股，投资设立中小企业或者创建小企业创业基地。</w:t>
      </w:r>
    </w:p>
    <w:p w14:paraId="64AF6477">
      <w:pPr>
        <w:jc w:val="left"/>
        <w:rPr>
          <w:rFonts w:ascii="宋体" w:hAnsi="宋体"/>
          <w:kern w:val="44"/>
        </w:rPr>
      </w:pPr>
    </w:p>
    <w:p w14:paraId="7267259C">
      <w:pPr>
        <w:ind w:firstLine="0" w:firstLineChars="0"/>
        <w:jc w:val="center"/>
        <w:rPr>
          <w:rFonts w:ascii="宋体" w:hAnsi="宋体"/>
          <w:b/>
          <w:kern w:val="44"/>
          <w:sz w:val="28"/>
        </w:rPr>
      </w:pPr>
      <w:r>
        <w:rPr>
          <w:rFonts w:hint="eastAsia" w:ascii="宋体" w:hAnsi="宋体"/>
          <w:b/>
          <w:kern w:val="44"/>
          <w:sz w:val="28"/>
        </w:rPr>
        <w:t>第三章  技术创新</w:t>
      </w:r>
    </w:p>
    <w:p w14:paraId="2D09E2C6">
      <w:pPr>
        <w:jc w:val="left"/>
        <w:rPr>
          <w:rFonts w:ascii="宋体" w:hAnsi="宋体"/>
          <w:kern w:val="44"/>
        </w:rPr>
      </w:pPr>
    </w:p>
    <w:p w14:paraId="55123971">
      <w:pPr>
        <w:ind w:firstLine="422"/>
        <w:jc w:val="left"/>
        <w:rPr>
          <w:rFonts w:ascii="宋体" w:hAnsi="宋体"/>
          <w:kern w:val="44"/>
        </w:rPr>
      </w:pPr>
      <w:r>
        <w:rPr>
          <w:rFonts w:hint="eastAsia" w:ascii="宋体" w:hAnsi="宋体"/>
          <w:b/>
          <w:kern w:val="44"/>
        </w:rPr>
        <w:t>第十五条</w:t>
      </w:r>
      <w:r>
        <w:rPr>
          <w:rFonts w:hint="eastAsia" w:ascii="宋体" w:hAnsi="宋体"/>
          <w:kern w:val="44"/>
        </w:rPr>
        <w:t>　鼓励中小企业加大技术创新投入，建设研发中心，提高技术研发、产品创新和科技成果转化的能力。科技行政部门、中小企业工作主管部门等有关行政部门对符合条件的中小企业，给予政策和资金支持。</w:t>
      </w:r>
    </w:p>
    <w:p w14:paraId="50DA84FD">
      <w:pPr>
        <w:ind w:firstLine="422"/>
        <w:jc w:val="left"/>
        <w:rPr>
          <w:rFonts w:ascii="宋体" w:hAnsi="宋体"/>
          <w:kern w:val="44"/>
        </w:rPr>
      </w:pPr>
      <w:r>
        <w:rPr>
          <w:rFonts w:hint="eastAsia" w:ascii="宋体" w:hAnsi="宋体"/>
          <w:b/>
          <w:kern w:val="44"/>
        </w:rPr>
        <w:t>第十六条</w:t>
      </w:r>
      <w:r>
        <w:rPr>
          <w:rFonts w:hint="eastAsia" w:ascii="宋体" w:hAnsi="宋体"/>
          <w:kern w:val="44"/>
        </w:rPr>
        <w:t>　中小企业申报国家或者地方科技型中小企业技术创新基金或者资金项目，承担科技重大专项、科技基础设施建设、各类科技计划项目和高新技术产业化项目，科技行政部门、中小企业工作主管部门等有关行政部门对符合条件的给予政策和资金支持。</w:t>
      </w:r>
    </w:p>
    <w:p w14:paraId="2895B2A3">
      <w:pPr>
        <w:jc w:val="left"/>
        <w:rPr>
          <w:rFonts w:ascii="宋体" w:hAnsi="宋体"/>
          <w:kern w:val="44"/>
        </w:rPr>
      </w:pPr>
      <w:r>
        <w:rPr>
          <w:rFonts w:hint="eastAsia" w:ascii="宋体" w:hAnsi="宋体"/>
          <w:kern w:val="44"/>
        </w:rPr>
        <w:t>支持大企业联合中小企业承担科技重大专项、科技基础设施建设、各类科技计划项目和高新技术产业化项目。科技行政部门、中小企业工作主管部门等有关行政部门应当提供有针对性的指导和服务。</w:t>
      </w:r>
    </w:p>
    <w:p w14:paraId="422CDEEB">
      <w:pPr>
        <w:ind w:firstLine="422"/>
        <w:jc w:val="left"/>
        <w:rPr>
          <w:rFonts w:ascii="宋体" w:hAnsi="宋体"/>
          <w:kern w:val="44"/>
        </w:rPr>
      </w:pPr>
      <w:r>
        <w:rPr>
          <w:rFonts w:hint="eastAsia" w:ascii="宋体" w:hAnsi="宋体"/>
          <w:b/>
          <w:kern w:val="44"/>
        </w:rPr>
        <w:t>第十七条</w:t>
      </w:r>
      <w:r>
        <w:rPr>
          <w:rFonts w:hint="eastAsia" w:ascii="宋体" w:hAnsi="宋体"/>
          <w:kern w:val="44"/>
        </w:rPr>
        <w:t>　市中小企业工作主管部门应当会同有关行政部门定期组织中小企业创新推荐会，向创业投资机构、金融机构推荐中小企业自主知识产权项目、产学研合作项目、科技成果转化项目等。</w:t>
      </w:r>
    </w:p>
    <w:p w14:paraId="593CB9D4">
      <w:pPr>
        <w:ind w:firstLine="422"/>
        <w:jc w:val="left"/>
        <w:rPr>
          <w:rFonts w:ascii="宋体" w:hAnsi="宋体"/>
          <w:kern w:val="44"/>
        </w:rPr>
      </w:pPr>
      <w:r>
        <w:rPr>
          <w:rFonts w:hint="eastAsia" w:ascii="宋体" w:hAnsi="宋体"/>
          <w:b/>
          <w:kern w:val="44"/>
        </w:rPr>
        <w:t>第十八条</w:t>
      </w:r>
      <w:r>
        <w:rPr>
          <w:rFonts w:hint="eastAsia" w:ascii="宋体" w:hAnsi="宋体"/>
          <w:kern w:val="44"/>
        </w:rPr>
        <w:t>　市和区、县科技行政部门应当统筹规划面向中小企业的公共科技服务平台建设，为中小企业创新发展提供产品研制、技术开发、设计、咨询、检测等服务。</w:t>
      </w:r>
    </w:p>
    <w:p w14:paraId="11B40375">
      <w:pPr>
        <w:jc w:val="left"/>
        <w:rPr>
          <w:rFonts w:ascii="宋体" w:hAnsi="宋体"/>
          <w:kern w:val="44"/>
        </w:rPr>
      </w:pPr>
      <w:r>
        <w:rPr>
          <w:rFonts w:hint="eastAsia" w:ascii="宋体" w:hAnsi="宋体"/>
          <w:kern w:val="44"/>
        </w:rPr>
        <w:t>中小企业开发新技术、新产品、新工艺发生的研究开发费用，可以依法在计算应纳税所得额时加计扣除。</w:t>
      </w:r>
    </w:p>
    <w:p w14:paraId="75FEFABA">
      <w:pPr>
        <w:ind w:firstLine="422"/>
        <w:jc w:val="left"/>
        <w:rPr>
          <w:rFonts w:ascii="宋体" w:hAnsi="宋体"/>
          <w:kern w:val="44"/>
        </w:rPr>
      </w:pPr>
      <w:r>
        <w:rPr>
          <w:rFonts w:hint="eastAsia" w:ascii="宋体" w:hAnsi="宋体"/>
          <w:b/>
          <w:kern w:val="44"/>
        </w:rPr>
        <w:t>第十九条</w:t>
      </w:r>
      <w:r>
        <w:rPr>
          <w:rFonts w:hint="eastAsia" w:ascii="宋体" w:hAnsi="宋体"/>
          <w:kern w:val="44"/>
        </w:rPr>
        <w:t>　高等院校、科研院所与中小企业开展产学研用合作，市和区、县中小企业工作主管部门会同同级科技、教育等行政部门按照规定对其给予资金支持。</w:t>
      </w:r>
    </w:p>
    <w:p w14:paraId="27D80A93">
      <w:pPr>
        <w:ind w:firstLine="422"/>
        <w:jc w:val="left"/>
        <w:rPr>
          <w:rFonts w:ascii="宋体" w:hAnsi="宋体"/>
          <w:kern w:val="44"/>
        </w:rPr>
      </w:pPr>
      <w:r>
        <w:rPr>
          <w:rFonts w:hint="eastAsia" w:ascii="宋体" w:hAnsi="宋体"/>
          <w:b/>
          <w:kern w:val="44"/>
        </w:rPr>
        <w:t>第二十条</w:t>
      </w:r>
      <w:r>
        <w:rPr>
          <w:rFonts w:hint="eastAsia" w:ascii="宋体" w:hAnsi="宋体"/>
          <w:kern w:val="44"/>
        </w:rPr>
        <w:t>　市和区、县知识产权行政部门应当为中小企业提供知识产权咨询辅导和服务，提高中小企业知识产权创造、运用、保护和管理水平，并通过补贴、托管、奖励等措施，支持中小企业获得相应的知识产权。</w:t>
      </w:r>
    </w:p>
    <w:p w14:paraId="49B08C8D">
      <w:pPr>
        <w:jc w:val="left"/>
        <w:rPr>
          <w:rFonts w:ascii="宋体" w:hAnsi="宋体"/>
          <w:kern w:val="44"/>
        </w:rPr>
      </w:pPr>
    </w:p>
    <w:p w14:paraId="29DEF880">
      <w:pPr>
        <w:ind w:firstLine="0" w:firstLineChars="0"/>
        <w:jc w:val="center"/>
        <w:rPr>
          <w:rFonts w:ascii="宋体" w:hAnsi="宋体"/>
          <w:b/>
          <w:kern w:val="44"/>
          <w:sz w:val="28"/>
        </w:rPr>
      </w:pPr>
      <w:r>
        <w:rPr>
          <w:rFonts w:hint="eastAsia" w:ascii="宋体" w:hAnsi="宋体"/>
          <w:b/>
          <w:kern w:val="44"/>
          <w:sz w:val="28"/>
        </w:rPr>
        <w:t>第四章  资金支持</w:t>
      </w:r>
    </w:p>
    <w:p w14:paraId="58A6A202">
      <w:pPr>
        <w:jc w:val="left"/>
        <w:rPr>
          <w:rFonts w:ascii="宋体" w:hAnsi="宋体"/>
          <w:kern w:val="44"/>
        </w:rPr>
      </w:pPr>
    </w:p>
    <w:p w14:paraId="09DEF723">
      <w:pPr>
        <w:ind w:firstLine="422"/>
        <w:jc w:val="left"/>
        <w:rPr>
          <w:rFonts w:ascii="宋体" w:hAnsi="宋体"/>
          <w:kern w:val="44"/>
        </w:rPr>
      </w:pPr>
      <w:r>
        <w:rPr>
          <w:rFonts w:hint="eastAsia" w:ascii="宋体" w:hAnsi="宋体"/>
          <w:b/>
          <w:kern w:val="44"/>
        </w:rPr>
        <w:t>第二十一条</w:t>
      </w:r>
      <w:r>
        <w:rPr>
          <w:rFonts w:hint="eastAsia" w:ascii="宋体" w:hAnsi="宋体"/>
          <w:kern w:val="44"/>
        </w:rPr>
        <w:t>　本市支持中小企业发展的财政资金的使用应当加强统筹，重点用于中小企业公共服务体系、设立和补充中小企业发展基金、中小企业融资和小企业创业基地建设。</w:t>
      </w:r>
    </w:p>
    <w:p w14:paraId="5391DA98">
      <w:pPr>
        <w:ind w:firstLine="422"/>
        <w:jc w:val="left"/>
        <w:rPr>
          <w:rFonts w:ascii="宋体" w:hAnsi="宋体"/>
          <w:kern w:val="44"/>
        </w:rPr>
      </w:pPr>
      <w:r>
        <w:rPr>
          <w:rFonts w:hint="eastAsia" w:ascii="宋体" w:hAnsi="宋体"/>
          <w:b/>
          <w:kern w:val="44"/>
        </w:rPr>
        <w:t>第二十二条</w:t>
      </w:r>
      <w:r>
        <w:rPr>
          <w:rFonts w:hint="eastAsia" w:ascii="宋体" w:hAnsi="宋体"/>
          <w:kern w:val="44"/>
        </w:rPr>
        <w:t>　本市设立中小企业发展基金，并引导社会资本投资中小企业。基金运作方式遵循政策性导向和市场化原则。</w:t>
      </w:r>
    </w:p>
    <w:p w14:paraId="0B857598">
      <w:pPr>
        <w:jc w:val="left"/>
        <w:rPr>
          <w:rFonts w:ascii="宋体" w:hAnsi="宋体"/>
          <w:kern w:val="44"/>
        </w:rPr>
      </w:pPr>
      <w:r>
        <w:rPr>
          <w:rFonts w:hint="eastAsia" w:ascii="宋体" w:hAnsi="宋体"/>
          <w:kern w:val="44"/>
        </w:rPr>
        <w:t>中小企业发展基金由下列资金组成：</w:t>
      </w:r>
    </w:p>
    <w:p w14:paraId="14D1C121">
      <w:pPr>
        <w:jc w:val="left"/>
        <w:rPr>
          <w:rFonts w:ascii="宋体" w:hAnsi="宋体"/>
          <w:kern w:val="44"/>
        </w:rPr>
      </w:pPr>
      <w:r>
        <w:rPr>
          <w:rFonts w:hint="eastAsia" w:ascii="宋体" w:hAnsi="宋体"/>
          <w:kern w:val="44"/>
        </w:rPr>
        <w:t>（一）市级财政预算安排的资金；</w:t>
      </w:r>
    </w:p>
    <w:p w14:paraId="2F8D04EB">
      <w:pPr>
        <w:jc w:val="left"/>
        <w:rPr>
          <w:rFonts w:ascii="宋体" w:hAnsi="宋体"/>
          <w:kern w:val="44"/>
        </w:rPr>
      </w:pPr>
      <w:r>
        <w:rPr>
          <w:rFonts w:hint="eastAsia" w:ascii="宋体" w:hAnsi="宋体"/>
          <w:kern w:val="44"/>
        </w:rPr>
        <w:t>（二）基金收益；</w:t>
      </w:r>
    </w:p>
    <w:p w14:paraId="23D90C12">
      <w:pPr>
        <w:jc w:val="left"/>
        <w:rPr>
          <w:rFonts w:ascii="宋体" w:hAnsi="宋体"/>
          <w:kern w:val="44"/>
        </w:rPr>
      </w:pPr>
      <w:r>
        <w:rPr>
          <w:rFonts w:hint="eastAsia" w:ascii="宋体" w:hAnsi="宋体"/>
          <w:kern w:val="44"/>
        </w:rPr>
        <w:t>（三）捐赠；</w:t>
      </w:r>
    </w:p>
    <w:p w14:paraId="305D357F">
      <w:pPr>
        <w:jc w:val="left"/>
        <w:rPr>
          <w:rFonts w:ascii="宋体" w:hAnsi="宋体"/>
          <w:kern w:val="44"/>
        </w:rPr>
      </w:pPr>
      <w:r>
        <w:rPr>
          <w:rFonts w:hint="eastAsia" w:ascii="宋体" w:hAnsi="宋体"/>
          <w:kern w:val="44"/>
        </w:rPr>
        <w:t>（四）其他社会资金。</w:t>
      </w:r>
    </w:p>
    <w:p w14:paraId="5130E4EF">
      <w:pPr>
        <w:ind w:firstLine="422"/>
        <w:jc w:val="left"/>
        <w:rPr>
          <w:rFonts w:ascii="宋体" w:hAnsi="宋体"/>
          <w:kern w:val="44"/>
        </w:rPr>
      </w:pPr>
      <w:r>
        <w:rPr>
          <w:rFonts w:hint="eastAsia" w:ascii="宋体" w:hAnsi="宋体"/>
          <w:b/>
          <w:kern w:val="44"/>
        </w:rPr>
        <w:t>第二十三条</w:t>
      </w:r>
      <w:r>
        <w:rPr>
          <w:rFonts w:hint="eastAsia" w:ascii="宋体" w:hAnsi="宋体"/>
          <w:kern w:val="44"/>
        </w:rPr>
        <w:t>　中小企业发展基金用于下列扶持中小企业的事项：</w:t>
      </w:r>
    </w:p>
    <w:p w14:paraId="1FD349A9">
      <w:pPr>
        <w:jc w:val="left"/>
        <w:rPr>
          <w:rFonts w:ascii="宋体" w:hAnsi="宋体"/>
          <w:kern w:val="44"/>
        </w:rPr>
      </w:pPr>
      <w:r>
        <w:rPr>
          <w:rFonts w:hint="eastAsia" w:ascii="宋体" w:hAnsi="宋体"/>
          <w:kern w:val="44"/>
        </w:rPr>
        <w:t>（一）初创期、成长期小型微型企业的股权投资；</w:t>
      </w:r>
    </w:p>
    <w:p w14:paraId="60CA7965">
      <w:pPr>
        <w:jc w:val="left"/>
        <w:rPr>
          <w:rFonts w:ascii="宋体" w:hAnsi="宋体"/>
          <w:kern w:val="44"/>
        </w:rPr>
      </w:pPr>
      <w:r>
        <w:rPr>
          <w:rFonts w:hint="eastAsia" w:ascii="宋体" w:hAnsi="宋体"/>
          <w:kern w:val="44"/>
        </w:rPr>
        <w:t>（二）中小企业短期债权融资；</w:t>
      </w:r>
    </w:p>
    <w:p w14:paraId="3D5AF572">
      <w:pPr>
        <w:jc w:val="left"/>
        <w:rPr>
          <w:rFonts w:ascii="宋体" w:hAnsi="宋体"/>
          <w:kern w:val="44"/>
        </w:rPr>
      </w:pPr>
      <w:r>
        <w:rPr>
          <w:rFonts w:hint="eastAsia" w:ascii="宋体" w:hAnsi="宋体"/>
          <w:kern w:val="44"/>
        </w:rPr>
        <w:t>（三）建立中小企业信用担保体系；</w:t>
      </w:r>
    </w:p>
    <w:p w14:paraId="6C743281">
      <w:pPr>
        <w:jc w:val="left"/>
        <w:rPr>
          <w:rFonts w:ascii="宋体" w:hAnsi="宋体"/>
          <w:kern w:val="44"/>
        </w:rPr>
      </w:pPr>
      <w:r>
        <w:rPr>
          <w:rFonts w:hint="eastAsia" w:ascii="宋体" w:hAnsi="宋体"/>
          <w:kern w:val="44"/>
        </w:rPr>
        <w:t>（四）中小企业融资风险补偿；</w:t>
      </w:r>
    </w:p>
    <w:p w14:paraId="40D2B7B9">
      <w:pPr>
        <w:jc w:val="left"/>
        <w:rPr>
          <w:rFonts w:ascii="宋体" w:hAnsi="宋体"/>
          <w:kern w:val="44"/>
        </w:rPr>
      </w:pPr>
      <w:r>
        <w:rPr>
          <w:rFonts w:hint="eastAsia" w:ascii="宋体" w:hAnsi="宋体"/>
          <w:kern w:val="44"/>
        </w:rPr>
        <w:t>（五）基金管理办法确定的其他事项。</w:t>
      </w:r>
    </w:p>
    <w:p w14:paraId="6C4B6A9B">
      <w:pPr>
        <w:jc w:val="left"/>
        <w:rPr>
          <w:rFonts w:ascii="宋体" w:hAnsi="宋体"/>
          <w:kern w:val="44"/>
        </w:rPr>
      </w:pPr>
      <w:r>
        <w:rPr>
          <w:rFonts w:hint="eastAsia" w:ascii="宋体" w:hAnsi="宋体"/>
          <w:kern w:val="44"/>
        </w:rPr>
        <w:t>中小企业发展基金管理办法由市中小企业工作主管部门会同市财政部门制定，报市人民政府批准后公布实施。</w:t>
      </w:r>
    </w:p>
    <w:p w14:paraId="32CEDF86">
      <w:pPr>
        <w:ind w:firstLine="422"/>
        <w:jc w:val="left"/>
        <w:rPr>
          <w:rFonts w:ascii="宋体" w:hAnsi="宋体"/>
          <w:kern w:val="44"/>
        </w:rPr>
      </w:pPr>
      <w:r>
        <w:rPr>
          <w:rFonts w:hint="eastAsia" w:ascii="宋体" w:hAnsi="宋体"/>
          <w:b/>
          <w:kern w:val="44"/>
        </w:rPr>
        <w:t>第二十四条</w:t>
      </w:r>
      <w:r>
        <w:rPr>
          <w:rFonts w:hint="eastAsia" w:ascii="宋体" w:hAnsi="宋体"/>
          <w:kern w:val="44"/>
        </w:rPr>
        <w:t>　具备条件的中小企业可以在境内外上市或者运用集合债券、集合票据、集合信托、融资租赁、私募债券等方式筹集资金，市中小企业工作主管部门和金融等行政部门应当给予相应指导和服务。</w:t>
      </w:r>
    </w:p>
    <w:p w14:paraId="2EBF78CD">
      <w:pPr>
        <w:ind w:firstLine="422"/>
        <w:jc w:val="left"/>
        <w:rPr>
          <w:rFonts w:ascii="宋体" w:hAnsi="宋体"/>
          <w:kern w:val="44"/>
        </w:rPr>
      </w:pPr>
      <w:r>
        <w:rPr>
          <w:rFonts w:hint="eastAsia" w:ascii="宋体" w:hAnsi="宋体"/>
          <w:b/>
          <w:kern w:val="44"/>
        </w:rPr>
        <w:t>第二十五条</w:t>
      </w:r>
      <w:r>
        <w:rPr>
          <w:rFonts w:hint="eastAsia" w:ascii="宋体" w:hAnsi="宋体"/>
          <w:kern w:val="44"/>
        </w:rPr>
        <w:t>　市中小企业工作主管部门会同有关行政部门建立健全小型微型企业贷款风险补偿机制，支持金融企业扩大对小型微型企业信贷规模和比重。</w:t>
      </w:r>
    </w:p>
    <w:p w14:paraId="176956BF">
      <w:pPr>
        <w:jc w:val="left"/>
        <w:rPr>
          <w:rFonts w:ascii="宋体" w:hAnsi="宋体"/>
          <w:kern w:val="44"/>
        </w:rPr>
      </w:pPr>
      <w:r>
        <w:rPr>
          <w:rFonts w:hint="eastAsia" w:ascii="宋体" w:hAnsi="宋体"/>
          <w:kern w:val="44"/>
        </w:rPr>
        <w:t>鼓励社会资本投资村镇银行、小额贷款公司等金融企业，为小型微型企业提供服务。</w:t>
      </w:r>
    </w:p>
    <w:p w14:paraId="3320AE3B">
      <w:pPr>
        <w:ind w:firstLine="422"/>
        <w:jc w:val="left"/>
        <w:rPr>
          <w:rFonts w:ascii="宋体" w:hAnsi="宋体"/>
          <w:kern w:val="44"/>
        </w:rPr>
      </w:pPr>
      <w:r>
        <w:rPr>
          <w:rFonts w:hint="eastAsia" w:ascii="宋体" w:hAnsi="宋体"/>
          <w:b/>
          <w:kern w:val="44"/>
        </w:rPr>
        <w:t>第二十六条</w:t>
      </w:r>
      <w:r>
        <w:rPr>
          <w:rFonts w:hint="eastAsia" w:ascii="宋体" w:hAnsi="宋体"/>
          <w:kern w:val="44"/>
        </w:rPr>
        <w:t>　本市建立健全中小企业融资担保体系，引导社会资本设立为中小企业服务的担保公司。</w:t>
      </w:r>
    </w:p>
    <w:p w14:paraId="6FD170E0">
      <w:pPr>
        <w:jc w:val="left"/>
        <w:rPr>
          <w:rFonts w:ascii="宋体" w:hAnsi="宋体"/>
          <w:kern w:val="44"/>
        </w:rPr>
      </w:pPr>
      <w:r>
        <w:rPr>
          <w:rFonts w:hint="eastAsia" w:ascii="宋体" w:hAnsi="宋体"/>
          <w:kern w:val="44"/>
        </w:rPr>
        <w:t>本市综合运用风险补偿和奖励等多种方式，支持符合条件的融资性担保机构为小型微型企业提供服务。</w:t>
      </w:r>
    </w:p>
    <w:p w14:paraId="3447761A">
      <w:pPr>
        <w:ind w:firstLine="422"/>
        <w:jc w:val="left"/>
        <w:rPr>
          <w:rFonts w:ascii="宋体" w:hAnsi="宋体"/>
          <w:kern w:val="44"/>
        </w:rPr>
      </w:pPr>
      <w:r>
        <w:rPr>
          <w:rFonts w:hint="eastAsia" w:ascii="宋体" w:hAnsi="宋体"/>
          <w:b/>
          <w:kern w:val="44"/>
        </w:rPr>
        <w:t>第二十七条</w:t>
      </w:r>
      <w:r>
        <w:rPr>
          <w:rFonts w:hint="eastAsia" w:ascii="宋体" w:hAnsi="宋体"/>
          <w:kern w:val="44"/>
        </w:rPr>
        <w:t>　鼓励金融机构开发面向中小企业的知识产权质押融资、股权出质融资、信用融资等金融创新产品和服务。</w:t>
      </w:r>
    </w:p>
    <w:p w14:paraId="28A7B315">
      <w:pPr>
        <w:jc w:val="left"/>
        <w:rPr>
          <w:rFonts w:ascii="宋体" w:hAnsi="宋体"/>
          <w:kern w:val="44"/>
        </w:rPr>
      </w:pPr>
    </w:p>
    <w:p w14:paraId="1919CA7F">
      <w:pPr>
        <w:ind w:firstLine="0" w:firstLineChars="0"/>
        <w:jc w:val="center"/>
        <w:rPr>
          <w:rFonts w:ascii="宋体" w:hAnsi="宋体"/>
          <w:b/>
          <w:kern w:val="44"/>
          <w:sz w:val="28"/>
        </w:rPr>
      </w:pPr>
      <w:r>
        <w:rPr>
          <w:rFonts w:hint="eastAsia" w:ascii="宋体" w:hAnsi="宋体"/>
          <w:b/>
          <w:kern w:val="44"/>
          <w:sz w:val="28"/>
        </w:rPr>
        <w:t>第五章  市场开拓</w:t>
      </w:r>
    </w:p>
    <w:p w14:paraId="52058976">
      <w:pPr>
        <w:jc w:val="left"/>
        <w:rPr>
          <w:rFonts w:ascii="宋体" w:hAnsi="宋体"/>
          <w:kern w:val="44"/>
        </w:rPr>
      </w:pPr>
    </w:p>
    <w:p w14:paraId="69E2466A">
      <w:pPr>
        <w:ind w:firstLine="422"/>
        <w:jc w:val="left"/>
        <w:rPr>
          <w:rFonts w:ascii="宋体" w:hAnsi="宋体"/>
          <w:kern w:val="44"/>
        </w:rPr>
      </w:pPr>
      <w:r>
        <w:rPr>
          <w:rFonts w:hint="eastAsia" w:ascii="宋体" w:hAnsi="宋体"/>
          <w:b/>
          <w:kern w:val="44"/>
        </w:rPr>
        <w:t>第二十八条</w:t>
      </w:r>
      <w:r>
        <w:rPr>
          <w:rFonts w:hint="eastAsia" w:ascii="宋体" w:hAnsi="宋体"/>
          <w:kern w:val="44"/>
        </w:rPr>
        <w:t>　市和区、县人民政府及其部门应当健全政府采购支持中小企业发展的相关制度，不得在政府采购中设置不利于中小企业的歧视性条件。</w:t>
      </w:r>
    </w:p>
    <w:p w14:paraId="7597A9BC">
      <w:pPr>
        <w:ind w:firstLine="422"/>
        <w:jc w:val="left"/>
        <w:rPr>
          <w:rFonts w:ascii="宋体" w:hAnsi="宋体"/>
          <w:kern w:val="44"/>
        </w:rPr>
      </w:pPr>
      <w:r>
        <w:rPr>
          <w:rFonts w:hint="eastAsia" w:ascii="宋体" w:hAnsi="宋体"/>
          <w:b/>
          <w:kern w:val="44"/>
        </w:rPr>
        <w:t>第二十九条</w:t>
      </w:r>
      <w:r>
        <w:rPr>
          <w:rFonts w:hint="eastAsia" w:ascii="宋体" w:hAnsi="宋体"/>
          <w:kern w:val="44"/>
        </w:rPr>
        <w:t>　负有编制部门预算职责的行政部门应当按照市人民政府规定，在年度政府采购项目预算总额中安排一定的比例，面向中小企业采购。</w:t>
      </w:r>
    </w:p>
    <w:p w14:paraId="2641DEAF">
      <w:pPr>
        <w:ind w:firstLine="422"/>
        <w:jc w:val="left"/>
        <w:rPr>
          <w:rFonts w:ascii="宋体" w:hAnsi="宋体"/>
          <w:kern w:val="44"/>
        </w:rPr>
      </w:pPr>
      <w:r>
        <w:rPr>
          <w:rFonts w:hint="eastAsia" w:ascii="宋体" w:hAnsi="宋体"/>
          <w:b/>
          <w:kern w:val="44"/>
        </w:rPr>
        <w:t>第三十条</w:t>
      </w:r>
      <w:r>
        <w:rPr>
          <w:rFonts w:hint="eastAsia" w:ascii="宋体" w:hAnsi="宋体"/>
          <w:kern w:val="44"/>
        </w:rPr>
        <w:t>　本市支持、引导中小企业与国内外大企业建立经济技术协作关系，促进中小企业产品进入国内外大企业的产业链或者采购系统。</w:t>
      </w:r>
    </w:p>
    <w:p w14:paraId="32DD2CF1">
      <w:pPr>
        <w:ind w:firstLine="422"/>
        <w:jc w:val="left"/>
        <w:rPr>
          <w:rFonts w:ascii="宋体" w:hAnsi="宋体"/>
          <w:kern w:val="44"/>
        </w:rPr>
      </w:pPr>
      <w:r>
        <w:rPr>
          <w:rFonts w:hint="eastAsia" w:ascii="宋体" w:hAnsi="宋体"/>
          <w:b/>
          <w:kern w:val="44"/>
        </w:rPr>
        <w:t>第三十一条</w:t>
      </w:r>
      <w:r>
        <w:rPr>
          <w:rFonts w:hint="eastAsia" w:ascii="宋体" w:hAnsi="宋体"/>
          <w:kern w:val="44"/>
        </w:rPr>
        <w:t>　中小企业服务机构、行业协会和其他中小企业行业组织可以有计划地组织中小企业参加国内外展览展销活动。拥有自主知识产权、自主品牌的中小企业参加国内外相关展销会以及新产品和新技术推介活动的，市中小企业工作主管部门、商务、科技、文化等相关部门应当给予支持。</w:t>
      </w:r>
    </w:p>
    <w:p w14:paraId="1165A65D">
      <w:pPr>
        <w:ind w:firstLine="422"/>
        <w:jc w:val="left"/>
        <w:rPr>
          <w:rFonts w:ascii="宋体" w:hAnsi="宋体"/>
          <w:kern w:val="44"/>
        </w:rPr>
      </w:pPr>
      <w:r>
        <w:rPr>
          <w:rFonts w:hint="eastAsia" w:ascii="宋体" w:hAnsi="宋体"/>
          <w:b/>
          <w:kern w:val="44"/>
        </w:rPr>
        <w:t>第三十二条</w:t>
      </w:r>
      <w:r>
        <w:rPr>
          <w:rFonts w:hint="eastAsia" w:ascii="宋体" w:hAnsi="宋体"/>
          <w:kern w:val="44"/>
        </w:rPr>
        <w:t>　中小企业运用电子商务、连锁或者特许经营等方式创新经营模式，商务行政部门会同中小企业工作主管部门为中小企业提供有关信息咨询、技术指导等服务。</w:t>
      </w:r>
    </w:p>
    <w:p w14:paraId="285D2B88">
      <w:pPr>
        <w:ind w:firstLine="422"/>
        <w:jc w:val="left"/>
        <w:rPr>
          <w:rFonts w:ascii="宋体" w:hAnsi="宋体"/>
          <w:kern w:val="44"/>
        </w:rPr>
      </w:pPr>
      <w:r>
        <w:rPr>
          <w:rFonts w:hint="eastAsia" w:ascii="宋体" w:hAnsi="宋体"/>
          <w:b/>
          <w:kern w:val="44"/>
        </w:rPr>
        <w:t>第三十三条</w:t>
      </w:r>
      <w:r>
        <w:rPr>
          <w:rFonts w:hint="eastAsia" w:ascii="宋体" w:hAnsi="宋体"/>
          <w:kern w:val="44"/>
        </w:rPr>
        <w:t>　鼓励中小企业参与制定地方标准、行业标准、国家标准和国际标准，提高产品质量，增强应对技术性贸易壁垒的能力。</w:t>
      </w:r>
    </w:p>
    <w:p w14:paraId="1CEE9457">
      <w:pPr>
        <w:jc w:val="left"/>
        <w:rPr>
          <w:rFonts w:ascii="宋体" w:hAnsi="宋体"/>
          <w:kern w:val="44"/>
        </w:rPr>
      </w:pPr>
      <w:r>
        <w:rPr>
          <w:rFonts w:hint="eastAsia" w:ascii="宋体" w:hAnsi="宋体"/>
          <w:kern w:val="44"/>
        </w:rPr>
        <w:t>质量技术监督部门及其他有关行政部门应当跟踪研究国际标准、国家标准和行业标准以及国外有关技术性贸易措施，为中小企业参与标准制定、通过质量管理体系、环境管理体系等认证以及开拓市场提供支持、指导和服务。</w:t>
      </w:r>
    </w:p>
    <w:p w14:paraId="2F2F1289">
      <w:pPr>
        <w:jc w:val="left"/>
        <w:rPr>
          <w:rFonts w:ascii="宋体" w:hAnsi="宋体"/>
          <w:kern w:val="44"/>
        </w:rPr>
      </w:pPr>
    </w:p>
    <w:p w14:paraId="1D8C83BF">
      <w:pPr>
        <w:ind w:firstLine="0" w:firstLineChars="0"/>
        <w:jc w:val="center"/>
        <w:rPr>
          <w:rFonts w:ascii="宋体" w:hAnsi="宋体"/>
          <w:b/>
          <w:kern w:val="44"/>
          <w:sz w:val="28"/>
        </w:rPr>
      </w:pPr>
      <w:r>
        <w:rPr>
          <w:rFonts w:hint="eastAsia" w:ascii="宋体" w:hAnsi="宋体"/>
          <w:b/>
          <w:kern w:val="44"/>
          <w:sz w:val="28"/>
        </w:rPr>
        <w:t>第六章  服务保障</w:t>
      </w:r>
    </w:p>
    <w:p w14:paraId="43845E8B">
      <w:pPr>
        <w:jc w:val="left"/>
        <w:rPr>
          <w:rFonts w:ascii="宋体" w:hAnsi="宋体"/>
          <w:kern w:val="44"/>
        </w:rPr>
      </w:pPr>
    </w:p>
    <w:p w14:paraId="279B7A05">
      <w:pPr>
        <w:ind w:firstLine="422"/>
        <w:jc w:val="left"/>
        <w:rPr>
          <w:rFonts w:ascii="宋体" w:hAnsi="宋体"/>
          <w:kern w:val="44"/>
        </w:rPr>
      </w:pPr>
      <w:r>
        <w:rPr>
          <w:rFonts w:hint="eastAsia" w:ascii="宋体" w:hAnsi="宋体"/>
          <w:b/>
          <w:kern w:val="44"/>
        </w:rPr>
        <w:t>第三十四条</w:t>
      </w:r>
      <w:r>
        <w:rPr>
          <w:rFonts w:hint="eastAsia" w:ascii="宋体" w:hAnsi="宋体"/>
          <w:kern w:val="44"/>
        </w:rPr>
        <w:t>　本市按照行政审批制度改革的原则减少对中小企业生产经营活动的行政许可和非行政许可审批事项。</w:t>
      </w:r>
    </w:p>
    <w:p w14:paraId="66CF275E">
      <w:pPr>
        <w:jc w:val="left"/>
        <w:rPr>
          <w:rFonts w:ascii="宋体" w:hAnsi="宋体"/>
          <w:kern w:val="44"/>
        </w:rPr>
      </w:pPr>
      <w:r>
        <w:rPr>
          <w:rFonts w:hint="eastAsia" w:ascii="宋体" w:hAnsi="宋体"/>
          <w:kern w:val="44"/>
        </w:rPr>
        <w:t>市和区、县人民政府及有关部门对中小企业办理行政许可、审批、年检和其他服务、管理事项，应当简化程序、缩短期限、减少层级、优化流程，提高行政管理效率和服务水平。</w:t>
      </w:r>
    </w:p>
    <w:p w14:paraId="780E1DED">
      <w:pPr>
        <w:ind w:firstLine="422"/>
        <w:jc w:val="left"/>
        <w:rPr>
          <w:rFonts w:ascii="宋体" w:hAnsi="宋体"/>
          <w:kern w:val="44"/>
        </w:rPr>
      </w:pPr>
      <w:r>
        <w:rPr>
          <w:rFonts w:hint="eastAsia" w:ascii="宋体" w:hAnsi="宋体"/>
          <w:b/>
          <w:kern w:val="44"/>
        </w:rPr>
        <w:t>第三十五条</w:t>
      </w:r>
      <w:r>
        <w:rPr>
          <w:rFonts w:hint="eastAsia" w:ascii="宋体" w:hAnsi="宋体"/>
          <w:kern w:val="44"/>
        </w:rPr>
        <w:t>　市和区、县人民政府及有关部门应当通过多种方式，主动公开有关支持中小企业发展的政策措施及其适用范围、标准和条件、申请程序等信息，方便中小企业查询。</w:t>
      </w:r>
    </w:p>
    <w:p w14:paraId="414A4F7C">
      <w:pPr>
        <w:jc w:val="left"/>
        <w:rPr>
          <w:rFonts w:ascii="宋体" w:hAnsi="宋体"/>
          <w:kern w:val="44"/>
        </w:rPr>
      </w:pPr>
      <w:r>
        <w:rPr>
          <w:rFonts w:hint="eastAsia" w:ascii="宋体" w:hAnsi="宋体"/>
          <w:kern w:val="44"/>
        </w:rPr>
        <w:t>中小企业工作主管部门应当组织有关部门就国家和本市支持中小企业发展的政策措施及适用为中小企业提供咨询、说明及相关服务。</w:t>
      </w:r>
    </w:p>
    <w:p w14:paraId="4B397E0E">
      <w:pPr>
        <w:ind w:firstLine="422"/>
        <w:jc w:val="left"/>
        <w:rPr>
          <w:rFonts w:ascii="宋体" w:hAnsi="宋体"/>
          <w:kern w:val="44"/>
        </w:rPr>
      </w:pPr>
      <w:r>
        <w:rPr>
          <w:rFonts w:hint="eastAsia" w:ascii="宋体" w:hAnsi="宋体"/>
          <w:b/>
          <w:kern w:val="44"/>
        </w:rPr>
        <w:t>第三十六条</w:t>
      </w:r>
      <w:r>
        <w:rPr>
          <w:rFonts w:hint="eastAsia" w:ascii="宋体" w:hAnsi="宋体"/>
          <w:kern w:val="44"/>
        </w:rPr>
        <w:t>　中小企业工作主管部门会同其他部门实施信息化技术应用推广，引导中小企业利用信息技术提高研发、管理、制造和服务水平。</w:t>
      </w:r>
    </w:p>
    <w:p w14:paraId="78CF9F6E">
      <w:pPr>
        <w:ind w:firstLine="422"/>
        <w:jc w:val="left"/>
        <w:rPr>
          <w:rFonts w:ascii="宋体" w:hAnsi="宋体"/>
          <w:kern w:val="44"/>
        </w:rPr>
      </w:pPr>
      <w:r>
        <w:rPr>
          <w:rFonts w:hint="eastAsia" w:ascii="宋体" w:hAnsi="宋体"/>
          <w:b/>
          <w:kern w:val="44"/>
        </w:rPr>
        <w:t>第三十七条</w:t>
      </w:r>
      <w:r>
        <w:rPr>
          <w:rFonts w:hint="eastAsia" w:ascii="宋体" w:hAnsi="宋体"/>
          <w:kern w:val="44"/>
        </w:rPr>
        <w:t>　本市设立市和区、县中小企业公共服务平台，为中小企业提供政策咨询、创业辅导、信息传递等公共服务；引导各类社会中介机构为中小企业提供市场营销、产权交易、技术支持、人才引进、财务指导、法律咨询等社会化专业服务。</w:t>
      </w:r>
    </w:p>
    <w:p w14:paraId="1954FB06">
      <w:pPr>
        <w:ind w:firstLine="422"/>
        <w:jc w:val="left"/>
        <w:rPr>
          <w:rFonts w:ascii="宋体" w:hAnsi="宋体"/>
          <w:kern w:val="44"/>
        </w:rPr>
      </w:pPr>
      <w:r>
        <w:rPr>
          <w:rFonts w:hint="eastAsia" w:ascii="宋体" w:hAnsi="宋体"/>
          <w:b/>
          <w:kern w:val="44"/>
        </w:rPr>
        <w:t>第三十八条</w:t>
      </w:r>
      <w:r>
        <w:rPr>
          <w:rFonts w:hint="eastAsia" w:ascii="宋体" w:hAnsi="宋体"/>
          <w:kern w:val="44"/>
        </w:rPr>
        <w:t>　本市建立政府资助引导、社会智力支持和企业自主需求相结合的培训机制，引导社会培训机构创新培训方式、完善培训内容，支持中小企业提升人员素质。</w:t>
      </w:r>
    </w:p>
    <w:p w14:paraId="230E391C">
      <w:pPr>
        <w:jc w:val="left"/>
        <w:rPr>
          <w:rFonts w:ascii="宋体" w:hAnsi="宋体"/>
          <w:kern w:val="44"/>
        </w:rPr>
      </w:pPr>
      <w:r>
        <w:rPr>
          <w:rFonts w:hint="eastAsia" w:ascii="宋体" w:hAnsi="宋体"/>
          <w:kern w:val="44"/>
        </w:rPr>
        <w:t>鼓励高等院校和中小企业共建实习实践基地，创新中小企业人才培养模式。</w:t>
      </w:r>
    </w:p>
    <w:p w14:paraId="3402C795">
      <w:pPr>
        <w:ind w:firstLine="422"/>
        <w:jc w:val="left"/>
        <w:rPr>
          <w:rFonts w:ascii="宋体" w:hAnsi="宋体"/>
          <w:kern w:val="44"/>
        </w:rPr>
      </w:pPr>
      <w:r>
        <w:rPr>
          <w:rFonts w:hint="eastAsia" w:ascii="宋体" w:hAnsi="宋体"/>
          <w:b/>
          <w:kern w:val="44"/>
        </w:rPr>
        <w:t>第三十九条</w:t>
      </w:r>
      <w:r>
        <w:rPr>
          <w:rFonts w:hint="eastAsia" w:ascii="宋体" w:hAnsi="宋体"/>
          <w:kern w:val="44"/>
        </w:rPr>
        <w:t>　市和区、县人民政府及有关部门应当推动中小企业诚信建设，建立健全中小企业守信激励和失信惩戒机制，引导中小企业守法、诚信经营。</w:t>
      </w:r>
    </w:p>
    <w:p w14:paraId="68E6306C">
      <w:pPr>
        <w:jc w:val="left"/>
        <w:rPr>
          <w:rFonts w:ascii="宋体" w:hAnsi="宋体"/>
          <w:kern w:val="44"/>
        </w:rPr>
      </w:pPr>
      <w:r>
        <w:rPr>
          <w:rFonts w:hint="eastAsia" w:ascii="宋体" w:hAnsi="宋体"/>
          <w:kern w:val="44"/>
        </w:rPr>
        <w:t>本市建立健全中小企业信用信息归集、共享和公开机制，为中小企业信用信息查询提供服务。</w:t>
      </w:r>
    </w:p>
    <w:p w14:paraId="71E0F4CA">
      <w:pPr>
        <w:ind w:firstLine="422"/>
        <w:jc w:val="left"/>
        <w:rPr>
          <w:rFonts w:ascii="宋体" w:hAnsi="宋体"/>
          <w:kern w:val="44"/>
        </w:rPr>
      </w:pPr>
      <w:r>
        <w:rPr>
          <w:rFonts w:hint="eastAsia" w:ascii="宋体" w:hAnsi="宋体"/>
          <w:b/>
          <w:kern w:val="44"/>
        </w:rPr>
        <w:t>第四十条</w:t>
      </w:r>
      <w:r>
        <w:rPr>
          <w:rFonts w:hint="eastAsia" w:ascii="宋体" w:hAnsi="宋体"/>
          <w:kern w:val="44"/>
        </w:rPr>
        <w:t>　律师事务所等各类法律服务机构和法学教育研究机构可以通过法律服务热线、法律咨询、志愿服务等方式，为小型微型企业提供法律服务。</w:t>
      </w:r>
    </w:p>
    <w:p w14:paraId="76B6A10F">
      <w:pPr>
        <w:ind w:firstLine="422"/>
        <w:jc w:val="left"/>
        <w:rPr>
          <w:rFonts w:ascii="宋体" w:hAnsi="宋体"/>
          <w:kern w:val="44"/>
        </w:rPr>
      </w:pPr>
      <w:r>
        <w:rPr>
          <w:rFonts w:hint="eastAsia" w:ascii="宋体" w:hAnsi="宋体"/>
          <w:b/>
          <w:kern w:val="44"/>
        </w:rPr>
        <w:t>第四十一条</w:t>
      </w:r>
      <w:r>
        <w:rPr>
          <w:rFonts w:hint="eastAsia" w:ascii="宋体" w:hAnsi="宋体"/>
          <w:kern w:val="44"/>
        </w:rPr>
        <w:t>　行政机关及其工作人员有下列行为之一，情节轻微的，由上级机关或者监察机关责令改正；情节严重的，按照国家及本市有关规定给予行政处分和行政问责；构成犯罪的，依法追究刑事责任：</w:t>
      </w:r>
    </w:p>
    <w:p w14:paraId="4EAA89C5">
      <w:pPr>
        <w:jc w:val="left"/>
        <w:rPr>
          <w:rFonts w:ascii="宋体" w:hAnsi="宋体"/>
          <w:kern w:val="44"/>
        </w:rPr>
      </w:pPr>
      <w:r>
        <w:rPr>
          <w:rFonts w:hint="eastAsia" w:ascii="宋体" w:hAnsi="宋体"/>
          <w:kern w:val="44"/>
        </w:rPr>
        <w:t>（一）不履行本条例规定的职责；</w:t>
      </w:r>
    </w:p>
    <w:p w14:paraId="7A68FFB0">
      <w:pPr>
        <w:jc w:val="left"/>
        <w:rPr>
          <w:rFonts w:ascii="宋体" w:hAnsi="宋体"/>
          <w:kern w:val="44"/>
        </w:rPr>
      </w:pPr>
      <w:r>
        <w:rPr>
          <w:rFonts w:hint="eastAsia" w:ascii="宋体" w:hAnsi="宋体"/>
          <w:kern w:val="44"/>
        </w:rPr>
        <w:t>（二）违法向中小企业收取费用、摊派财物；</w:t>
      </w:r>
    </w:p>
    <w:p w14:paraId="312D7F5E">
      <w:pPr>
        <w:jc w:val="left"/>
        <w:rPr>
          <w:rFonts w:ascii="宋体" w:hAnsi="宋体"/>
          <w:kern w:val="44"/>
        </w:rPr>
      </w:pPr>
      <w:r>
        <w:rPr>
          <w:rFonts w:hint="eastAsia" w:ascii="宋体" w:hAnsi="宋体"/>
          <w:kern w:val="44"/>
        </w:rPr>
        <w:t>（三）强制或者变相强制中小企业提供赞助或者捐赠；</w:t>
      </w:r>
    </w:p>
    <w:p w14:paraId="412EE22F">
      <w:pPr>
        <w:jc w:val="left"/>
        <w:rPr>
          <w:rFonts w:ascii="宋体" w:hAnsi="宋体"/>
          <w:kern w:val="44"/>
        </w:rPr>
      </w:pPr>
      <w:r>
        <w:rPr>
          <w:rFonts w:hint="eastAsia" w:ascii="宋体" w:hAnsi="宋体"/>
          <w:kern w:val="44"/>
        </w:rPr>
        <w:t>（四）强制或者变相强制中小企业参加社会团体、考核、评比、达标、培训等；</w:t>
      </w:r>
    </w:p>
    <w:p w14:paraId="4CE90E7E">
      <w:pPr>
        <w:jc w:val="left"/>
        <w:rPr>
          <w:rFonts w:ascii="宋体" w:hAnsi="宋体"/>
          <w:kern w:val="44"/>
        </w:rPr>
      </w:pPr>
      <w:r>
        <w:rPr>
          <w:rFonts w:hint="eastAsia" w:ascii="宋体" w:hAnsi="宋体"/>
          <w:kern w:val="44"/>
        </w:rPr>
        <w:t>（五）违法对中小企业实施监督检查；</w:t>
      </w:r>
    </w:p>
    <w:p w14:paraId="101A3CAC">
      <w:pPr>
        <w:jc w:val="left"/>
        <w:rPr>
          <w:rFonts w:ascii="宋体" w:hAnsi="宋体"/>
          <w:kern w:val="44"/>
        </w:rPr>
      </w:pPr>
      <w:r>
        <w:rPr>
          <w:rFonts w:hint="eastAsia" w:ascii="宋体" w:hAnsi="宋体"/>
          <w:kern w:val="44"/>
        </w:rPr>
        <w:t>（六）违法使用支持中小企业发展的资金和基金；</w:t>
      </w:r>
    </w:p>
    <w:p w14:paraId="3F4581F7">
      <w:pPr>
        <w:jc w:val="left"/>
        <w:rPr>
          <w:rFonts w:ascii="宋体" w:hAnsi="宋体"/>
          <w:kern w:val="44"/>
        </w:rPr>
      </w:pPr>
      <w:r>
        <w:rPr>
          <w:rFonts w:hint="eastAsia" w:ascii="宋体" w:hAnsi="宋体"/>
          <w:kern w:val="44"/>
        </w:rPr>
        <w:t>（七）其他侵害中小企业合法权益的行为。</w:t>
      </w:r>
    </w:p>
    <w:p w14:paraId="3BDF5B17">
      <w:pPr>
        <w:ind w:firstLine="422"/>
        <w:jc w:val="left"/>
        <w:rPr>
          <w:rFonts w:ascii="宋体" w:hAnsi="宋体"/>
          <w:kern w:val="44"/>
        </w:rPr>
      </w:pPr>
      <w:r>
        <w:rPr>
          <w:rFonts w:hint="eastAsia" w:ascii="宋体" w:hAnsi="宋体"/>
          <w:b/>
          <w:kern w:val="44"/>
        </w:rPr>
        <w:t>第四十二条</w:t>
      </w:r>
      <w:r>
        <w:rPr>
          <w:rFonts w:hint="eastAsia" w:ascii="宋体" w:hAnsi="宋体"/>
          <w:kern w:val="44"/>
        </w:rPr>
        <w:t>　中小企业对行政机关侵犯其合法权益的行为，有权向市和区、县中小企业工作主管部门投诉、举报。</w:t>
      </w:r>
    </w:p>
    <w:p w14:paraId="70CB05B1">
      <w:pPr>
        <w:jc w:val="left"/>
        <w:rPr>
          <w:rFonts w:ascii="宋体" w:hAnsi="宋体"/>
          <w:kern w:val="44"/>
        </w:rPr>
      </w:pPr>
      <w:r>
        <w:rPr>
          <w:rFonts w:hint="eastAsia" w:ascii="宋体" w:hAnsi="宋体"/>
          <w:kern w:val="44"/>
        </w:rPr>
        <w:t>中小企业工作主管部门应当建立健全投诉举报制度，公布投诉、举报电话和信箱；对属于职责范围内的投诉、举报事项，应当及时调查处理；对属于其他部门职责范围内的投诉、举报事项，应当移送有关部门及时处理。处理情况应当记录在案，供投诉举报人查询。</w:t>
      </w:r>
    </w:p>
    <w:p w14:paraId="10FD7170">
      <w:pPr>
        <w:jc w:val="left"/>
        <w:rPr>
          <w:rFonts w:ascii="宋体" w:hAnsi="宋体"/>
          <w:kern w:val="44"/>
        </w:rPr>
      </w:pPr>
    </w:p>
    <w:p w14:paraId="2DBC2019">
      <w:pPr>
        <w:ind w:firstLine="0" w:firstLineChars="0"/>
        <w:jc w:val="center"/>
        <w:rPr>
          <w:rFonts w:ascii="宋体" w:hAnsi="宋体"/>
          <w:b/>
          <w:kern w:val="44"/>
          <w:sz w:val="28"/>
        </w:rPr>
      </w:pPr>
      <w:r>
        <w:rPr>
          <w:rFonts w:hint="eastAsia" w:ascii="宋体" w:hAnsi="宋体"/>
          <w:b/>
          <w:kern w:val="44"/>
          <w:sz w:val="28"/>
        </w:rPr>
        <w:t>第七章  附  则</w:t>
      </w:r>
    </w:p>
    <w:p w14:paraId="68EAADF2">
      <w:pPr>
        <w:jc w:val="left"/>
        <w:rPr>
          <w:rFonts w:ascii="宋体" w:hAnsi="宋体"/>
          <w:kern w:val="44"/>
        </w:rPr>
      </w:pPr>
    </w:p>
    <w:p w14:paraId="3E6CC22D">
      <w:pPr>
        <w:ind w:firstLine="422"/>
        <w:jc w:val="left"/>
        <w:rPr>
          <w:rFonts w:ascii="宋体" w:hAnsi="宋体"/>
          <w:kern w:val="44"/>
        </w:rPr>
      </w:pPr>
      <w:r>
        <w:rPr>
          <w:rFonts w:hint="eastAsia" w:ascii="宋体" w:hAnsi="宋体"/>
          <w:b/>
          <w:kern w:val="44"/>
        </w:rPr>
        <w:t>第四十三条</w:t>
      </w:r>
      <w:r>
        <w:rPr>
          <w:rFonts w:hint="eastAsia" w:ascii="宋体" w:hAnsi="宋体"/>
          <w:kern w:val="44"/>
        </w:rPr>
        <w:t>　本条例自2014年3月1日起施行。</w:t>
      </w:r>
    </w:p>
    <w:p w14:paraId="4D4D1AF1">
      <w:pPr>
        <w:pStyle w:val="4"/>
        <w:pageBreakBefore/>
        <w:rPr>
          <w:kern w:val="44"/>
        </w:rPr>
      </w:pPr>
      <w:bookmarkStart w:id="1377" w:name="_Toc428781676"/>
      <w:bookmarkStart w:id="1378" w:name="_Toc428780194"/>
      <w:bookmarkStart w:id="1379" w:name="_Toc427651628"/>
      <w:bookmarkStart w:id="1380" w:name="_Toc427651970"/>
      <w:bookmarkStart w:id="1381" w:name="_Toc422471361"/>
      <w:r>
        <w:rPr>
          <w:rFonts w:hint="eastAsia"/>
          <w:kern w:val="44"/>
        </w:rPr>
        <w:t>北京市全民所有制工业企业</w:t>
      </w:r>
      <w:bookmarkEnd w:id="1377"/>
      <w:bookmarkEnd w:id="1378"/>
      <w:bookmarkEnd w:id="1379"/>
      <w:bookmarkEnd w:id="1380"/>
      <w:bookmarkEnd w:id="1381"/>
    </w:p>
    <w:p w14:paraId="6924D295">
      <w:pPr>
        <w:pStyle w:val="4"/>
        <w:rPr>
          <w:kern w:val="44"/>
        </w:rPr>
      </w:pPr>
      <w:bookmarkStart w:id="1382" w:name="_Toc428781677"/>
      <w:bookmarkStart w:id="1383" w:name="_Toc422471362"/>
      <w:bookmarkStart w:id="1384" w:name="_Toc428780195"/>
      <w:bookmarkStart w:id="1385" w:name="_Toc427651629"/>
      <w:bookmarkStart w:id="1386" w:name="_Toc427651971"/>
      <w:r>
        <w:rPr>
          <w:rFonts w:hint="eastAsia"/>
          <w:kern w:val="44"/>
        </w:rPr>
        <w:t>转换经营机制实施办法</w:t>
      </w:r>
      <w:bookmarkEnd w:id="1382"/>
      <w:bookmarkEnd w:id="1383"/>
      <w:bookmarkEnd w:id="1384"/>
      <w:bookmarkEnd w:id="1385"/>
      <w:bookmarkEnd w:id="1386"/>
    </w:p>
    <w:p w14:paraId="45C6E487">
      <w:pPr>
        <w:ind w:left="630" w:leftChars="300" w:right="630" w:rightChars="300"/>
        <w:jc w:val="center"/>
        <w:rPr>
          <w:rFonts w:ascii="楷体" w:hAnsi="楷体" w:eastAsia="楷体"/>
          <w:kern w:val="44"/>
        </w:rPr>
      </w:pPr>
      <w:r>
        <w:rPr>
          <w:rFonts w:hint="eastAsia" w:ascii="楷体" w:hAnsi="楷体" w:eastAsia="楷体"/>
          <w:kern w:val="44"/>
        </w:rPr>
        <w:t>（1993年2月19日北京市人民政府第1号令发布）</w:t>
      </w:r>
    </w:p>
    <w:p w14:paraId="6EBCCC36">
      <w:pPr>
        <w:jc w:val="left"/>
        <w:rPr>
          <w:rFonts w:ascii="宋体" w:hAnsi="宋体"/>
          <w:kern w:val="44"/>
        </w:rPr>
      </w:pPr>
    </w:p>
    <w:p w14:paraId="18D94802">
      <w:pPr>
        <w:ind w:firstLine="422"/>
        <w:jc w:val="left"/>
        <w:rPr>
          <w:rFonts w:ascii="宋体" w:hAnsi="宋体"/>
          <w:kern w:val="44"/>
        </w:rPr>
      </w:pPr>
      <w:r>
        <w:rPr>
          <w:rFonts w:hint="eastAsia" w:ascii="宋体" w:hAnsi="宋体"/>
          <w:b/>
          <w:kern w:val="44"/>
        </w:rPr>
        <w:t>第一条</w:t>
      </w:r>
      <w:r>
        <w:rPr>
          <w:rFonts w:hint="eastAsia" w:ascii="宋体" w:hAnsi="宋体"/>
          <w:kern w:val="44"/>
        </w:rPr>
        <w:t>　为了推动全民所有制工业企业（以下简称企业）进入市场，增强企业活力，提高企业经济效益，根据中共中央、国务院《关于认真贯彻执行〈全民所有制工业企业转换经营机制条例〉的通知》、国务院颁布的《全民所有制工业企业转换经营机制条例》和国家法律、法规、政策的有关规定，结合本市具体情况，制定本实施办法。</w:t>
      </w:r>
    </w:p>
    <w:p w14:paraId="498315BE">
      <w:pPr>
        <w:ind w:firstLine="422"/>
        <w:jc w:val="left"/>
        <w:rPr>
          <w:rFonts w:ascii="宋体" w:hAnsi="宋体"/>
          <w:kern w:val="44"/>
        </w:rPr>
      </w:pPr>
      <w:r>
        <w:rPr>
          <w:rFonts w:hint="eastAsia" w:ascii="宋体" w:hAnsi="宋体"/>
          <w:b/>
          <w:kern w:val="44"/>
        </w:rPr>
        <w:t>第二条</w:t>
      </w:r>
      <w:r>
        <w:rPr>
          <w:rFonts w:hint="eastAsia" w:ascii="宋体" w:hAnsi="宋体"/>
          <w:kern w:val="44"/>
        </w:rPr>
        <w:t>　企业资产经营形式</w:t>
      </w:r>
    </w:p>
    <w:p w14:paraId="77A295C8">
      <w:pPr>
        <w:jc w:val="left"/>
        <w:rPr>
          <w:rFonts w:ascii="宋体" w:hAnsi="宋体"/>
          <w:kern w:val="44"/>
        </w:rPr>
      </w:pPr>
      <w:r>
        <w:rPr>
          <w:rFonts w:hint="eastAsia" w:ascii="宋体" w:hAnsi="宋体"/>
          <w:kern w:val="44"/>
        </w:rPr>
        <w:t>企业资产经营形式按市人民政府已经批准的八种形式继续试点。</w:t>
      </w:r>
    </w:p>
    <w:p w14:paraId="4D3EE538">
      <w:pPr>
        <w:jc w:val="left"/>
        <w:rPr>
          <w:rFonts w:ascii="宋体" w:hAnsi="宋体"/>
          <w:kern w:val="44"/>
        </w:rPr>
      </w:pPr>
      <w:r>
        <w:rPr>
          <w:rFonts w:hint="eastAsia" w:ascii="宋体" w:hAnsi="宋体"/>
          <w:kern w:val="44"/>
        </w:rPr>
        <w:t>凡未确定资产经营形式的企业，可向市主管委办提出申请，由市主管委办会同市人民政府有关部门审核批准后签订协议并组织实施；企业已和政府签订资产经营协议需要变更的，应向市主管委办提出申请，在确定新的资产经营形式后，重新签订协议。</w:t>
      </w:r>
    </w:p>
    <w:p w14:paraId="4F73C682">
      <w:pPr>
        <w:ind w:firstLine="422"/>
        <w:jc w:val="left"/>
        <w:rPr>
          <w:rFonts w:ascii="宋体" w:hAnsi="宋体"/>
          <w:kern w:val="44"/>
        </w:rPr>
      </w:pPr>
      <w:r>
        <w:rPr>
          <w:rFonts w:hint="eastAsia" w:ascii="宋体" w:hAnsi="宋体"/>
          <w:b/>
          <w:kern w:val="44"/>
        </w:rPr>
        <w:t>第三条</w:t>
      </w:r>
      <w:r>
        <w:rPr>
          <w:rFonts w:hint="eastAsia" w:ascii="宋体" w:hAnsi="宋体"/>
          <w:kern w:val="44"/>
        </w:rPr>
        <w:t>　企业享有生产经营决策权</w:t>
      </w:r>
    </w:p>
    <w:p w14:paraId="6F720473">
      <w:pPr>
        <w:jc w:val="left"/>
        <w:rPr>
          <w:rFonts w:ascii="宋体" w:hAnsi="宋体"/>
          <w:kern w:val="44"/>
        </w:rPr>
      </w:pPr>
      <w:r>
        <w:rPr>
          <w:rFonts w:hint="eastAsia" w:ascii="宋体" w:hAnsi="宋体"/>
          <w:kern w:val="44"/>
        </w:rPr>
        <w:t>企业根据市场需求和国家宏观政策指导，自主确定经营范围和为社会提供服务。符合国家产业政策导向和首都发展规划的，不经主管部门或审批机关审批，企业可以开展多种经营，一业为主，兼营其他，自主决定在本行业内或跨行业开展经营活动，设立分支机构，并直接到工商行政管理部门办理变更或开业登记。国家法律另有规定的除外。</w:t>
      </w:r>
    </w:p>
    <w:p w14:paraId="7AA1C456">
      <w:pPr>
        <w:jc w:val="left"/>
        <w:rPr>
          <w:rFonts w:ascii="宋体" w:hAnsi="宋体"/>
          <w:kern w:val="44"/>
        </w:rPr>
      </w:pPr>
      <w:r>
        <w:rPr>
          <w:rFonts w:hint="eastAsia" w:ascii="宋体" w:hAnsi="宋体"/>
          <w:kern w:val="44"/>
        </w:rPr>
        <w:t>对国务院计划部门下达的指令性计划，企业有权要求在政府有关部门的组织下，与需方企业签订合同或与政府指定单位签订国家订货合同。确因执行指令性计划给企业造成损失的，由国家给予补贴。除国务院计划部门下达的指令性计划外，市计划主管部门原则上不下达指令性计划。</w:t>
      </w:r>
    </w:p>
    <w:p w14:paraId="0FA7F4EB">
      <w:pPr>
        <w:jc w:val="left"/>
        <w:rPr>
          <w:rFonts w:ascii="宋体" w:hAnsi="宋体"/>
          <w:kern w:val="44"/>
        </w:rPr>
      </w:pPr>
      <w:r>
        <w:rPr>
          <w:rFonts w:hint="eastAsia" w:ascii="宋体" w:hAnsi="宋体"/>
          <w:kern w:val="44"/>
        </w:rPr>
        <w:t>企业生产需由地方订货的重要物资，由市有关部门组织购销双方议定价格。</w:t>
      </w:r>
    </w:p>
    <w:p w14:paraId="63792AB3">
      <w:pPr>
        <w:ind w:firstLine="422"/>
        <w:jc w:val="left"/>
        <w:rPr>
          <w:rFonts w:ascii="宋体" w:hAnsi="宋体"/>
          <w:kern w:val="44"/>
        </w:rPr>
      </w:pPr>
      <w:r>
        <w:rPr>
          <w:rFonts w:hint="eastAsia" w:ascii="宋体" w:hAnsi="宋体"/>
          <w:b/>
          <w:kern w:val="44"/>
        </w:rPr>
        <w:t>第四条</w:t>
      </w:r>
      <w:r>
        <w:rPr>
          <w:rFonts w:hint="eastAsia" w:ascii="宋体" w:hAnsi="宋体"/>
          <w:kern w:val="44"/>
        </w:rPr>
        <w:t>　企业享有产品、劳务定价权</w:t>
      </w:r>
    </w:p>
    <w:p w14:paraId="23C909A8">
      <w:pPr>
        <w:jc w:val="left"/>
        <w:rPr>
          <w:rFonts w:ascii="宋体" w:hAnsi="宋体"/>
          <w:kern w:val="44"/>
        </w:rPr>
      </w:pPr>
      <w:r>
        <w:rPr>
          <w:rFonts w:hint="eastAsia" w:ascii="宋体" w:hAnsi="宋体"/>
          <w:kern w:val="44"/>
        </w:rPr>
        <w:t>企业生产经营的商品和劳务价格，除国家和市人民政府物价部门颁布的价格分管目录所列的少数品种外，一律由企业自主定价。企业定价的商品不受经营差率（另有规定的从其规定）、经营环节和销售渠道限制。属于国家管理价格的新产品，试销期内由企业自主定价。允许企业自主定价的，不必向市物价部门和政府主管委办请示或备案。</w:t>
      </w:r>
    </w:p>
    <w:p w14:paraId="6C66168A">
      <w:pPr>
        <w:jc w:val="left"/>
        <w:rPr>
          <w:rFonts w:ascii="宋体" w:hAnsi="宋体"/>
          <w:kern w:val="44"/>
        </w:rPr>
      </w:pPr>
      <w:r>
        <w:rPr>
          <w:rFonts w:hint="eastAsia" w:ascii="宋体" w:hAnsi="宋体"/>
          <w:kern w:val="44"/>
        </w:rPr>
        <w:t>除国务院物价部门和市物价部门外，任何单位和部门均不得截留、干预企业定价权，无权另行规定企业的产品和劳务价格。</w:t>
      </w:r>
    </w:p>
    <w:p w14:paraId="2E56671F">
      <w:pPr>
        <w:jc w:val="left"/>
        <w:rPr>
          <w:rFonts w:ascii="宋体" w:hAnsi="宋体"/>
          <w:kern w:val="44"/>
        </w:rPr>
      </w:pPr>
      <w:r>
        <w:rPr>
          <w:rFonts w:hint="eastAsia" w:ascii="宋体" w:hAnsi="宋体"/>
          <w:kern w:val="44"/>
        </w:rPr>
        <w:t>物价部门执行物价检查时，按照目录内的商品价格执行检查。</w:t>
      </w:r>
    </w:p>
    <w:p w14:paraId="63C3C9E4">
      <w:pPr>
        <w:ind w:firstLine="422"/>
        <w:jc w:val="left"/>
        <w:rPr>
          <w:rFonts w:ascii="宋体" w:hAnsi="宋体"/>
          <w:kern w:val="44"/>
        </w:rPr>
      </w:pPr>
      <w:r>
        <w:rPr>
          <w:rFonts w:hint="eastAsia" w:ascii="宋体" w:hAnsi="宋体"/>
          <w:b/>
          <w:kern w:val="44"/>
        </w:rPr>
        <w:t>第五条</w:t>
      </w:r>
      <w:r>
        <w:rPr>
          <w:rFonts w:hint="eastAsia" w:ascii="宋体" w:hAnsi="宋体"/>
          <w:kern w:val="44"/>
        </w:rPr>
        <w:t>　企业享有产品销售权</w:t>
      </w:r>
    </w:p>
    <w:p w14:paraId="623704EB">
      <w:pPr>
        <w:jc w:val="left"/>
        <w:rPr>
          <w:rFonts w:ascii="宋体" w:hAnsi="宋体"/>
          <w:kern w:val="44"/>
        </w:rPr>
      </w:pPr>
      <w:r>
        <w:rPr>
          <w:rFonts w:hint="eastAsia" w:ascii="宋体" w:hAnsi="宋体"/>
          <w:kern w:val="44"/>
        </w:rPr>
        <w:t>企业销售本企业生产的指令性计划和地方定货任务以外的产品及指令性计划超产的产品，由企业自主确定销售范围、数量、渠道、对象和方式。任何部门不得强行干预企业的销售渠道，不准对其销售设置障碍。企业生产的指令性计划产品，需方企业或政府指定的收购单位必须按合同收购。</w:t>
      </w:r>
    </w:p>
    <w:p w14:paraId="4867FB3D">
      <w:pPr>
        <w:jc w:val="left"/>
        <w:rPr>
          <w:rFonts w:ascii="宋体" w:hAnsi="宋体"/>
          <w:kern w:val="44"/>
        </w:rPr>
      </w:pPr>
      <w:r>
        <w:rPr>
          <w:rFonts w:hint="eastAsia" w:ascii="宋体" w:hAnsi="宋体"/>
          <w:kern w:val="44"/>
        </w:rPr>
        <w:t>企业经工商行政管理机关登记，可以开办多种形式的市场或组织一次性的销售活动。</w:t>
      </w:r>
    </w:p>
    <w:p w14:paraId="561BEBA7">
      <w:pPr>
        <w:jc w:val="left"/>
        <w:rPr>
          <w:rFonts w:ascii="宋体" w:hAnsi="宋体"/>
          <w:kern w:val="44"/>
        </w:rPr>
      </w:pPr>
      <w:r>
        <w:rPr>
          <w:rFonts w:hint="eastAsia" w:ascii="宋体" w:hAnsi="宋体"/>
          <w:kern w:val="44"/>
        </w:rPr>
        <w:t>企业根据需要可以在社会上聘请中介经纪人、推销员。</w:t>
      </w:r>
    </w:p>
    <w:p w14:paraId="21159EBB">
      <w:pPr>
        <w:ind w:firstLine="422"/>
        <w:jc w:val="left"/>
        <w:rPr>
          <w:rFonts w:ascii="宋体" w:hAnsi="宋体"/>
          <w:kern w:val="44"/>
        </w:rPr>
      </w:pPr>
      <w:r>
        <w:rPr>
          <w:rFonts w:hint="eastAsia" w:ascii="宋体" w:hAnsi="宋体"/>
          <w:b/>
          <w:kern w:val="44"/>
        </w:rPr>
        <w:t>第六条</w:t>
      </w:r>
      <w:r>
        <w:rPr>
          <w:rFonts w:hint="eastAsia" w:ascii="宋体" w:hAnsi="宋体"/>
          <w:kern w:val="44"/>
        </w:rPr>
        <w:t>　企业享有物资采购权</w:t>
      </w:r>
    </w:p>
    <w:p w14:paraId="0475715E">
      <w:pPr>
        <w:jc w:val="left"/>
        <w:rPr>
          <w:rFonts w:ascii="宋体" w:hAnsi="宋体"/>
          <w:kern w:val="44"/>
        </w:rPr>
      </w:pPr>
      <w:r>
        <w:rPr>
          <w:rFonts w:hint="eastAsia" w:ascii="宋体" w:hAnsi="宋体"/>
          <w:kern w:val="44"/>
        </w:rPr>
        <w:t>企业生产所需物资可以在市场自由选购，自主调剂和串换，物资主管部门和企业主管部门不得干预，不得为企业指定供货单位和供货渠道。</w:t>
      </w:r>
    </w:p>
    <w:p w14:paraId="0FC9A737">
      <w:pPr>
        <w:jc w:val="left"/>
        <w:rPr>
          <w:rFonts w:ascii="宋体" w:hAnsi="宋体"/>
          <w:kern w:val="44"/>
        </w:rPr>
      </w:pPr>
      <w:r>
        <w:rPr>
          <w:rFonts w:hint="eastAsia" w:ascii="宋体" w:hAnsi="宋体"/>
          <w:kern w:val="44"/>
        </w:rPr>
        <w:t>任何部门不得规定企业只许使用本部门或与本部门有关单位的配套产品。</w:t>
      </w:r>
    </w:p>
    <w:p w14:paraId="78EE4EC3">
      <w:pPr>
        <w:ind w:firstLine="422"/>
        <w:jc w:val="left"/>
        <w:rPr>
          <w:rFonts w:ascii="宋体" w:hAnsi="宋体"/>
          <w:kern w:val="44"/>
        </w:rPr>
      </w:pPr>
      <w:r>
        <w:rPr>
          <w:rFonts w:hint="eastAsia" w:ascii="宋体" w:hAnsi="宋体"/>
          <w:b/>
          <w:kern w:val="44"/>
        </w:rPr>
        <w:t>第七条</w:t>
      </w:r>
      <w:r>
        <w:rPr>
          <w:rFonts w:hint="eastAsia" w:ascii="宋体" w:hAnsi="宋体"/>
          <w:kern w:val="44"/>
        </w:rPr>
        <w:t>　企业享有进出口权</w:t>
      </w:r>
    </w:p>
    <w:p w14:paraId="1ECA374B">
      <w:pPr>
        <w:jc w:val="left"/>
        <w:rPr>
          <w:rFonts w:ascii="宋体" w:hAnsi="宋体"/>
          <w:kern w:val="44"/>
        </w:rPr>
      </w:pPr>
      <w:r>
        <w:rPr>
          <w:rFonts w:hint="eastAsia" w:ascii="宋体" w:hAnsi="宋体"/>
          <w:kern w:val="44"/>
        </w:rPr>
        <w:t>企业可在全国范围内自行选择外贸企业委托代理从事进出口业务。并有权参与同外商的谈判和对国外市场的考察。为有利于实行收购制企业了解国际市场，增加花色品种，提高产品质量，外贸企业要主动吸收生产企业参与同外商的进出口产品价格的商定。</w:t>
      </w:r>
    </w:p>
    <w:p w14:paraId="02ED5F74">
      <w:pPr>
        <w:jc w:val="left"/>
        <w:rPr>
          <w:rFonts w:ascii="宋体" w:hAnsi="宋体"/>
          <w:kern w:val="44"/>
        </w:rPr>
      </w:pPr>
      <w:r>
        <w:rPr>
          <w:rFonts w:hint="eastAsia" w:ascii="宋体" w:hAnsi="宋体"/>
          <w:kern w:val="44"/>
        </w:rPr>
        <w:t>有贸易和非贸易外汇留成的企业，可以直接到外汇管理局申请开立外汇</w:t>
      </w:r>
      <w:r>
        <w:rPr>
          <w:rFonts w:hint="eastAsia" w:ascii="宋体" w:hAnsi="宋体"/>
          <w:kern w:val="44"/>
          <w:lang w:eastAsia="zh-CN"/>
        </w:rPr>
        <w:t>账户</w:t>
      </w:r>
      <w:r>
        <w:rPr>
          <w:rFonts w:hint="eastAsia" w:ascii="宋体" w:hAnsi="宋体"/>
          <w:kern w:val="44"/>
        </w:rPr>
        <w:t>。外汇留成要直接分配到企业，进入企业外汇</w:t>
      </w:r>
      <w:r>
        <w:rPr>
          <w:rFonts w:hint="eastAsia" w:ascii="宋体" w:hAnsi="宋体"/>
          <w:kern w:val="44"/>
          <w:lang w:eastAsia="zh-CN"/>
        </w:rPr>
        <w:t>账户</w:t>
      </w:r>
      <w:r>
        <w:rPr>
          <w:rFonts w:hint="eastAsia" w:ascii="宋体" w:hAnsi="宋体"/>
          <w:kern w:val="44"/>
        </w:rPr>
        <w:t>；任何部门和单位不得平调和截留企业外汇留成；不得截留企业有偿上交外汇后应当返还的人民币。</w:t>
      </w:r>
    </w:p>
    <w:p w14:paraId="19FF6463">
      <w:pPr>
        <w:jc w:val="left"/>
        <w:rPr>
          <w:rFonts w:ascii="宋体" w:hAnsi="宋体"/>
          <w:kern w:val="44"/>
        </w:rPr>
      </w:pPr>
      <w:r>
        <w:rPr>
          <w:rFonts w:hint="eastAsia" w:ascii="宋体" w:hAnsi="宋体"/>
          <w:kern w:val="44"/>
        </w:rPr>
        <w:t>无进出口经营权的各类生产、贸易型企业，可以在全国范围内选择并通过有对外经济合作权的企业在境外承揽工程，进行技术合作或者提供其他劳务。也可与有对外承包工程、劳务、技术出口经营权的企业达成协议，以联营、挂靠等多种形式开展对外经营活动。</w:t>
      </w:r>
    </w:p>
    <w:p w14:paraId="6680ACF5">
      <w:pPr>
        <w:jc w:val="left"/>
        <w:rPr>
          <w:rFonts w:ascii="宋体" w:hAnsi="宋体"/>
          <w:kern w:val="44"/>
        </w:rPr>
      </w:pPr>
      <w:r>
        <w:rPr>
          <w:rFonts w:hint="eastAsia" w:ascii="宋体" w:hAnsi="宋体"/>
          <w:kern w:val="44"/>
        </w:rPr>
        <w:t>企业用留成外汇、调剂外汇、国内现汇贷款进口不属国家限制进口的商品，可直接到外汇管理局拨付外汇，办理有关手续。</w:t>
      </w:r>
    </w:p>
    <w:p w14:paraId="15183F57">
      <w:pPr>
        <w:jc w:val="left"/>
        <w:rPr>
          <w:rFonts w:ascii="宋体" w:hAnsi="宋体"/>
          <w:kern w:val="44"/>
        </w:rPr>
      </w:pPr>
      <w:r>
        <w:rPr>
          <w:rFonts w:hint="eastAsia" w:ascii="宋体" w:hAnsi="宋体"/>
          <w:kern w:val="44"/>
        </w:rPr>
        <w:t>支持和鼓励外贸企业、自营进出口企业与其他企业联营、合作、参股、兼并、组建企业集团，带动其他企业扩大进出口业务。</w:t>
      </w:r>
    </w:p>
    <w:p w14:paraId="74906063">
      <w:pPr>
        <w:jc w:val="left"/>
        <w:rPr>
          <w:rFonts w:ascii="宋体" w:hAnsi="宋体"/>
          <w:kern w:val="44"/>
        </w:rPr>
      </w:pPr>
      <w:r>
        <w:rPr>
          <w:rFonts w:hint="eastAsia" w:ascii="宋体" w:hAnsi="宋体"/>
          <w:kern w:val="44"/>
        </w:rPr>
        <w:t>国家分配给地方涉及工业的出口计划、配额、许可证，由市对外贸易主管部门会同市工业主管部门，根据企业产品净创汇以及换汇成本等指标，按“公开、平等竞争、择优与讲求效益相结合”的原则统一协调，合理分配。国家分配给地方涉及工业的进口配额和许可证，也按上述原则办理。</w:t>
      </w:r>
    </w:p>
    <w:p w14:paraId="10AFFE52">
      <w:pPr>
        <w:jc w:val="left"/>
        <w:rPr>
          <w:rFonts w:ascii="宋体" w:hAnsi="宋体"/>
          <w:kern w:val="44"/>
        </w:rPr>
      </w:pPr>
      <w:r>
        <w:rPr>
          <w:rFonts w:hint="eastAsia" w:ascii="宋体" w:hAnsi="宋体"/>
          <w:kern w:val="44"/>
        </w:rPr>
        <w:t>已获得经营进出口权的工业企业，其进出口机构的对外名称不变。新确定的，经工商行政管理部门登记核准，并报海关备案，可对外开展业务。</w:t>
      </w:r>
    </w:p>
    <w:p w14:paraId="698EF4E6">
      <w:pPr>
        <w:jc w:val="left"/>
        <w:rPr>
          <w:rFonts w:ascii="宋体" w:hAnsi="宋体"/>
          <w:kern w:val="44"/>
        </w:rPr>
      </w:pPr>
      <w:r>
        <w:rPr>
          <w:rFonts w:hint="eastAsia" w:ascii="宋体" w:hAnsi="宋体"/>
          <w:kern w:val="44"/>
        </w:rPr>
        <w:t>进出口公司应在结汇后及时拨付应当返还企业的人民币，过期不付的，按合同规定追究违约责任。</w:t>
      </w:r>
    </w:p>
    <w:p w14:paraId="73E6074D">
      <w:pPr>
        <w:jc w:val="left"/>
        <w:rPr>
          <w:rFonts w:ascii="宋体" w:hAnsi="宋体"/>
          <w:kern w:val="44"/>
        </w:rPr>
      </w:pPr>
      <w:r>
        <w:rPr>
          <w:rFonts w:hint="eastAsia" w:ascii="宋体" w:hAnsi="宋体"/>
          <w:kern w:val="44"/>
        </w:rPr>
        <w:t>企业经批准可以在境外设立企业或者投资购股、参股从事生产经营活动。中方投资额在1000万美元以上项目报国家计委审批；1000万美元以下项目由市经贸委会同市计委审批。以实物投资办企业，可以不再审批，只报市经贸委备案。有关外汇事宜，依照国务院颁发的《境外投资外汇管理办法》执行。有关产权登记，按照国家国有资产管理局、财政部、国家外汇管理局颁发的《境外国有资产产权登记管理暂行办法》办理。</w:t>
      </w:r>
    </w:p>
    <w:p w14:paraId="7568523B">
      <w:pPr>
        <w:jc w:val="left"/>
        <w:rPr>
          <w:rFonts w:ascii="宋体" w:hAnsi="宋体"/>
          <w:kern w:val="44"/>
        </w:rPr>
      </w:pPr>
      <w:r>
        <w:rPr>
          <w:rFonts w:hint="eastAsia" w:ascii="宋体" w:hAnsi="宋体"/>
          <w:kern w:val="44"/>
        </w:rPr>
        <w:t>有进出口经营权的企业，高新技术企业和年供货额在100万美元以上的企业，可根据业务需要，确定本企业经常出入境的业务人员名额，报主管委办和经贸委审批。对企业经常出入境人员的出入境，实行一次性审批、一年内多次有效的办法。</w:t>
      </w:r>
    </w:p>
    <w:p w14:paraId="3036A8FD">
      <w:pPr>
        <w:ind w:firstLine="422"/>
        <w:jc w:val="left"/>
        <w:rPr>
          <w:rFonts w:ascii="宋体" w:hAnsi="宋体"/>
          <w:kern w:val="44"/>
        </w:rPr>
      </w:pPr>
      <w:r>
        <w:rPr>
          <w:rFonts w:hint="eastAsia" w:ascii="宋体" w:hAnsi="宋体"/>
          <w:b/>
          <w:kern w:val="44"/>
        </w:rPr>
        <w:t>第八条</w:t>
      </w:r>
      <w:r>
        <w:rPr>
          <w:rFonts w:hint="eastAsia" w:ascii="宋体" w:hAnsi="宋体"/>
          <w:kern w:val="44"/>
        </w:rPr>
        <w:t>　企业享有投资决策权</w:t>
      </w:r>
    </w:p>
    <w:p w14:paraId="433EBBA7">
      <w:pPr>
        <w:jc w:val="left"/>
        <w:rPr>
          <w:rFonts w:ascii="宋体" w:hAnsi="宋体"/>
          <w:kern w:val="44"/>
        </w:rPr>
      </w:pPr>
      <w:r>
        <w:rPr>
          <w:rFonts w:hint="eastAsia" w:ascii="宋体" w:hAnsi="宋体"/>
          <w:kern w:val="44"/>
        </w:rPr>
        <w:t>企业依照法律和国务院有关决定，有权以留用资金、实物、土地使用权、工业产权和非专利技术等向国内各地区、各行业的企业、事业单位投资，购买和持有其他企业的股份。企业在投资兴办企业，申报登记注册手续时，除提交国有资产管理部门的有关证明外，不再办理其他手续（中外合资、合作企业除外）。</w:t>
      </w:r>
    </w:p>
    <w:p w14:paraId="08FCAFD8">
      <w:pPr>
        <w:jc w:val="left"/>
        <w:rPr>
          <w:rFonts w:ascii="宋体" w:hAnsi="宋体"/>
          <w:kern w:val="44"/>
        </w:rPr>
      </w:pPr>
      <w:r>
        <w:rPr>
          <w:rFonts w:hint="eastAsia" w:ascii="宋体" w:hAnsi="宋体"/>
          <w:kern w:val="44"/>
        </w:rPr>
        <w:t>企业以留用资金和自行筹措的资金从事固定资产投资，由企业自主决定，报市计委及主管委办备案并接受监督。涉及土地管理、城市规划、城市建设、环境保护等方面的项目，上述管理部门应在7日内予以答复，并依法尽快办理有关手续。</w:t>
      </w:r>
    </w:p>
    <w:p w14:paraId="07C75FAA">
      <w:pPr>
        <w:jc w:val="left"/>
        <w:rPr>
          <w:rFonts w:ascii="宋体" w:hAnsi="宋体"/>
          <w:kern w:val="44"/>
        </w:rPr>
      </w:pPr>
      <w:r>
        <w:rPr>
          <w:rFonts w:hint="eastAsia" w:ascii="宋体" w:hAnsi="宋体"/>
          <w:kern w:val="44"/>
        </w:rPr>
        <w:t>企业从事固定资产建设需要政府或其他部门投资、银行贷款和向社会发行债券的，其基本建设项目应报市计委审批或备案；工业技术改造项目报市经委审批或备案；贷款报银行审批；发行债券报市计委和人民银行审批；需要使用境外贷款的，报政府有关部门审批。</w:t>
      </w:r>
    </w:p>
    <w:p w14:paraId="0FD779DD">
      <w:pPr>
        <w:jc w:val="left"/>
        <w:rPr>
          <w:rFonts w:ascii="宋体" w:hAnsi="宋体"/>
          <w:kern w:val="44"/>
        </w:rPr>
      </w:pPr>
      <w:r>
        <w:rPr>
          <w:rFonts w:hint="eastAsia" w:ascii="宋体" w:hAnsi="宋体"/>
          <w:kern w:val="44"/>
        </w:rPr>
        <w:t>企业依照法律和国务院规定，以留用资金向国内各地区、各行业和企业、事业单位投资、购买和持有其他企业的股份，因留用资金不足，发生先用后提的资金需要，企业可以多方融资，包括向银行申请贷款，经银行批准，在当年提留的资金额度内，银行可发放贷款。</w:t>
      </w:r>
    </w:p>
    <w:p w14:paraId="64A18E7D">
      <w:pPr>
        <w:jc w:val="left"/>
        <w:rPr>
          <w:rFonts w:ascii="宋体" w:hAnsi="宋体"/>
          <w:kern w:val="44"/>
        </w:rPr>
      </w:pPr>
      <w:r>
        <w:rPr>
          <w:rFonts w:hint="eastAsia" w:ascii="宋体" w:hAnsi="宋体"/>
          <w:kern w:val="44"/>
        </w:rPr>
        <w:t>企业根据其经济效益和承受能力，可以增提新产品开发基金，报市财政部门备案。新产品开发基金免征“两金”。列入市级新产品试制计划的产品投产后，按北京市颁发的《关于进一步搞好国营大中型工业企业的若干政策》执行。按照国家规定，企业有权选择具体的折旧办法，确定加速折旧的幅度。提取的折旧免征“两金”。</w:t>
      </w:r>
    </w:p>
    <w:p w14:paraId="52208BB2">
      <w:pPr>
        <w:ind w:firstLine="422"/>
        <w:jc w:val="left"/>
        <w:rPr>
          <w:rFonts w:ascii="宋体" w:hAnsi="宋体"/>
          <w:kern w:val="44"/>
        </w:rPr>
      </w:pPr>
      <w:r>
        <w:rPr>
          <w:rFonts w:hint="eastAsia" w:ascii="宋体" w:hAnsi="宋体"/>
          <w:b/>
          <w:kern w:val="44"/>
        </w:rPr>
        <w:t>第九条</w:t>
      </w:r>
      <w:r>
        <w:rPr>
          <w:rFonts w:hint="eastAsia" w:ascii="宋体" w:hAnsi="宋体"/>
          <w:kern w:val="44"/>
        </w:rPr>
        <w:t>　企业享有留用资金支配权</w:t>
      </w:r>
    </w:p>
    <w:p w14:paraId="37ECD703">
      <w:pPr>
        <w:jc w:val="left"/>
        <w:rPr>
          <w:rFonts w:ascii="宋体" w:hAnsi="宋体"/>
          <w:kern w:val="44"/>
        </w:rPr>
      </w:pPr>
      <w:r>
        <w:rPr>
          <w:rFonts w:hint="eastAsia" w:ascii="宋体" w:hAnsi="宋体"/>
          <w:kern w:val="44"/>
        </w:rPr>
        <w:t>企业在保证实现企业财产保值、增殖的前提下，有权自主确定税后利润中各项基金的比例和用途，报市财政部门备案。</w:t>
      </w:r>
    </w:p>
    <w:p w14:paraId="0FA3A959">
      <w:pPr>
        <w:ind w:firstLine="422"/>
        <w:jc w:val="left"/>
        <w:rPr>
          <w:rFonts w:ascii="宋体" w:hAnsi="宋体"/>
          <w:kern w:val="44"/>
        </w:rPr>
      </w:pPr>
      <w:r>
        <w:rPr>
          <w:rFonts w:hint="eastAsia" w:ascii="宋体" w:hAnsi="宋体"/>
          <w:b/>
          <w:kern w:val="44"/>
        </w:rPr>
        <w:t>第十条</w:t>
      </w:r>
      <w:r>
        <w:rPr>
          <w:rFonts w:hint="eastAsia" w:ascii="宋体" w:hAnsi="宋体"/>
          <w:kern w:val="44"/>
        </w:rPr>
        <w:t>　企业享有资产处置权</w:t>
      </w:r>
    </w:p>
    <w:p w14:paraId="2BB83855">
      <w:pPr>
        <w:jc w:val="left"/>
        <w:rPr>
          <w:rFonts w:ascii="宋体" w:hAnsi="宋体"/>
          <w:kern w:val="44"/>
        </w:rPr>
      </w:pPr>
      <w:r>
        <w:rPr>
          <w:rFonts w:hint="eastAsia" w:ascii="宋体" w:hAnsi="宋体"/>
          <w:kern w:val="44"/>
        </w:rPr>
        <w:t>企业根据生产经营的需要，对一般固定资产，可以自主决定出租、抵押或者有偿转让；对关键设备、成套设备或者重要建筑物可以出租，经企业主管部门批准也可以抵押、有偿转让。法律和法规另有规定的除外。企业处置固定资产，应当按照《国有资产评估管理办法》进行资产评估。</w:t>
      </w:r>
    </w:p>
    <w:p w14:paraId="1B46DE81">
      <w:pPr>
        <w:ind w:firstLine="422"/>
        <w:jc w:val="left"/>
        <w:rPr>
          <w:rFonts w:ascii="宋体" w:hAnsi="宋体"/>
          <w:kern w:val="44"/>
        </w:rPr>
      </w:pPr>
      <w:r>
        <w:rPr>
          <w:rFonts w:hint="eastAsia" w:ascii="宋体" w:hAnsi="宋体"/>
          <w:b/>
          <w:kern w:val="44"/>
        </w:rPr>
        <w:t>第十一条</w:t>
      </w:r>
      <w:r>
        <w:rPr>
          <w:rFonts w:hint="eastAsia" w:ascii="宋体" w:hAnsi="宋体"/>
          <w:kern w:val="44"/>
        </w:rPr>
        <w:t>　企业享有联营、兼并权</w:t>
      </w:r>
    </w:p>
    <w:p w14:paraId="0E2168C1">
      <w:pPr>
        <w:jc w:val="left"/>
        <w:rPr>
          <w:rFonts w:ascii="宋体" w:hAnsi="宋体"/>
          <w:kern w:val="44"/>
        </w:rPr>
      </w:pPr>
      <w:r>
        <w:rPr>
          <w:rFonts w:hint="eastAsia" w:ascii="宋体" w:hAnsi="宋体"/>
          <w:kern w:val="44"/>
        </w:rPr>
        <w:t>企业有权按照规定方式与其他企业、事业单位联营，不需报上级政府主管委办审批，经工商行政管理部门核准登记后，取得法人资格。</w:t>
      </w:r>
    </w:p>
    <w:p w14:paraId="7A97D447">
      <w:pPr>
        <w:jc w:val="left"/>
        <w:rPr>
          <w:rFonts w:ascii="宋体" w:hAnsi="宋体"/>
          <w:kern w:val="44"/>
        </w:rPr>
      </w:pPr>
      <w:r>
        <w:rPr>
          <w:rFonts w:hint="eastAsia" w:ascii="宋体" w:hAnsi="宋体"/>
          <w:kern w:val="44"/>
        </w:rPr>
        <w:t>企业可以根据生产经营需要，与外商投资企业再联合设立经济实体，不受行业限制。</w:t>
      </w:r>
    </w:p>
    <w:p w14:paraId="416B21FE">
      <w:pPr>
        <w:jc w:val="left"/>
        <w:rPr>
          <w:rFonts w:ascii="宋体" w:hAnsi="宋体"/>
          <w:kern w:val="44"/>
        </w:rPr>
      </w:pPr>
      <w:r>
        <w:rPr>
          <w:rFonts w:hint="eastAsia" w:ascii="宋体" w:hAnsi="宋体"/>
          <w:kern w:val="44"/>
        </w:rPr>
        <w:t>鼓励企业与大专院校、科研军工单位联办技术开发机构，以技术入股方式与企业合办经济实体和承包本市亏损企业，经市科委、经委认定，凡联办技术开发机构的，可享受独立科研院所的优惠政策；合办高新技术经济实体的，可享受高新技术企业的优惠政策；承包亏损企业的，可按协议确定双方的收益。</w:t>
      </w:r>
    </w:p>
    <w:p w14:paraId="56789643">
      <w:pPr>
        <w:ind w:firstLine="422"/>
        <w:jc w:val="left"/>
        <w:rPr>
          <w:rFonts w:ascii="宋体" w:hAnsi="宋体"/>
          <w:kern w:val="44"/>
        </w:rPr>
      </w:pPr>
      <w:r>
        <w:rPr>
          <w:rFonts w:hint="eastAsia" w:ascii="宋体" w:hAnsi="宋体"/>
          <w:b/>
          <w:kern w:val="44"/>
        </w:rPr>
        <w:t>第十二条</w:t>
      </w:r>
      <w:r>
        <w:rPr>
          <w:rFonts w:hint="eastAsia" w:ascii="宋体" w:hAnsi="宋体"/>
          <w:kern w:val="44"/>
        </w:rPr>
        <w:t>　企业享有劳动用工权</w:t>
      </w:r>
    </w:p>
    <w:p w14:paraId="6124AAAA">
      <w:pPr>
        <w:jc w:val="left"/>
        <w:rPr>
          <w:rFonts w:ascii="宋体" w:hAnsi="宋体"/>
          <w:kern w:val="44"/>
        </w:rPr>
      </w:pPr>
      <w:r>
        <w:rPr>
          <w:rFonts w:hint="eastAsia" w:ascii="宋体" w:hAnsi="宋体"/>
          <w:kern w:val="44"/>
        </w:rPr>
        <w:t>企业招工，由于城镇劳动力不能满足需要时，经市劳动局批准，允许企业从农村招用农民合同制工人。</w:t>
      </w:r>
    </w:p>
    <w:p w14:paraId="1E07BCB0">
      <w:pPr>
        <w:jc w:val="left"/>
        <w:rPr>
          <w:rFonts w:ascii="宋体" w:hAnsi="宋体"/>
          <w:kern w:val="44"/>
        </w:rPr>
      </w:pPr>
      <w:r>
        <w:rPr>
          <w:rFonts w:hint="eastAsia" w:ascii="宋体" w:hAnsi="宋体"/>
          <w:kern w:val="44"/>
        </w:rPr>
        <w:t>在部分劳动力短缺的行业、工种范围内，招用的农民合同制工人，经市劳动局批准，可在生产技术骨干中选择少数优秀人员转为城镇合同制工人。</w:t>
      </w:r>
    </w:p>
    <w:p w14:paraId="7F3961DA">
      <w:pPr>
        <w:jc w:val="left"/>
        <w:rPr>
          <w:rFonts w:ascii="宋体" w:hAnsi="宋体"/>
          <w:kern w:val="44"/>
        </w:rPr>
      </w:pPr>
      <w:r>
        <w:rPr>
          <w:rFonts w:hint="eastAsia" w:ascii="宋体" w:hAnsi="宋体"/>
          <w:kern w:val="44"/>
        </w:rPr>
        <w:t>工业技校可自行确定从本市郊区县农村招生的计划。在校期间和毕业参加工作后，不转城镇户口。</w:t>
      </w:r>
    </w:p>
    <w:p w14:paraId="25B76CE9">
      <w:pPr>
        <w:jc w:val="left"/>
        <w:rPr>
          <w:rFonts w:ascii="宋体" w:hAnsi="宋体"/>
          <w:kern w:val="44"/>
        </w:rPr>
      </w:pPr>
      <w:r>
        <w:rPr>
          <w:rFonts w:hint="eastAsia" w:ascii="宋体" w:hAnsi="宋体"/>
          <w:kern w:val="44"/>
        </w:rPr>
        <w:t>企业有权依照法律、法规、劳动合同和企业规章终止、解除劳动合同、辞退、除名、开除职工，不再经市、区、县劳动部门审查。对被终止解除劳动合同、辞退、除名和开除的职工，失业保险机构依法提供失业保险金，各级劳动部门应当提供再就业的机会，负责失业职工的就业指导，组织失业职工的转业训练，扶持、指导生产自救和自谋职业。对其中属于集体户口的人员，其居住地的公安、粮食部门应当准予办理户口和粮食供应关系迁移手续，城镇街道办事处应当予以接收。</w:t>
      </w:r>
    </w:p>
    <w:p w14:paraId="05C4AD44">
      <w:pPr>
        <w:jc w:val="left"/>
        <w:rPr>
          <w:rFonts w:ascii="宋体" w:hAnsi="宋体"/>
          <w:kern w:val="44"/>
        </w:rPr>
      </w:pPr>
      <w:r>
        <w:rPr>
          <w:rFonts w:hint="eastAsia" w:ascii="宋体" w:hAnsi="宋体"/>
          <w:kern w:val="44"/>
        </w:rPr>
        <w:t>按有关规定，对老弱病残职工应允许厂内离岗退养，对为安置富余人员开办的三产实行贷款贴息和减免税。</w:t>
      </w:r>
    </w:p>
    <w:p w14:paraId="69845FA7">
      <w:pPr>
        <w:jc w:val="left"/>
        <w:rPr>
          <w:rFonts w:ascii="宋体" w:hAnsi="宋体"/>
          <w:kern w:val="44"/>
        </w:rPr>
      </w:pPr>
      <w:r>
        <w:rPr>
          <w:rFonts w:hint="eastAsia" w:ascii="宋体" w:hAnsi="宋体"/>
          <w:kern w:val="44"/>
        </w:rPr>
        <w:t>对企业确定的富余人员，允许离开企业自行调动工作或进入劳务市场交流。</w:t>
      </w:r>
    </w:p>
    <w:p w14:paraId="706712D6">
      <w:pPr>
        <w:ind w:firstLine="422"/>
        <w:jc w:val="left"/>
        <w:rPr>
          <w:rFonts w:ascii="宋体" w:hAnsi="宋体"/>
          <w:kern w:val="44"/>
        </w:rPr>
      </w:pPr>
      <w:r>
        <w:rPr>
          <w:rFonts w:hint="eastAsia" w:ascii="宋体" w:hAnsi="宋体"/>
          <w:b/>
          <w:kern w:val="44"/>
        </w:rPr>
        <w:t>第十三条</w:t>
      </w:r>
      <w:r>
        <w:rPr>
          <w:rFonts w:hint="eastAsia" w:ascii="宋体" w:hAnsi="宋体"/>
          <w:kern w:val="44"/>
        </w:rPr>
        <w:t>　企业享有人事管理权</w:t>
      </w:r>
    </w:p>
    <w:p w14:paraId="65D35EFF">
      <w:pPr>
        <w:jc w:val="left"/>
        <w:rPr>
          <w:rFonts w:ascii="宋体" w:hAnsi="宋体"/>
          <w:kern w:val="44"/>
        </w:rPr>
      </w:pPr>
      <w:r>
        <w:rPr>
          <w:rFonts w:hint="eastAsia" w:ascii="宋体" w:hAnsi="宋体"/>
          <w:kern w:val="44"/>
        </w:rPr>
        <w:t>经主管委办批准，企业可以招聘境外技术、管理人员。并依照《中华人民共和国外国人入境、出境管理办法》办理有关手续。</w:t>
      </w:r>
    </w:p>
    <w:p w14:paraId="32770865">
      <w:pPr>
        <w:jc w:val="left"/>
        <w:rPr>
          <w:rFonts w:ascii="宋体" w:hAnsi="宋体"/>
          <w:kern w:val="44"/>
        </w:rPr>
      </w:pPr>
      <w:r>
        <w:rPr>
          <w:rFonts w:hint="eastAsia" w:ascii="宋体" w:hAnsi="宋体"/>
          <w:kern w:val="44"/>
        </w:rPr>
        <w:t>改变企业及管理人员套用行政级别的做法，企业一律不定级。</w:t>
      </w:r>
    </w:p>
    <w:p w14:paraId="04B6C556">
      <w:pPr>
        <w:jc w:val="left"/>
        <w:rPr>
          <w:rFonts w:ascii="宋体" w:hAnsi="宋体"/>
          <w:kern w:val="44"/>
        </w:rPr>
      </w:pPr>
      <w:r>
        <w:rPr>
          <w:rFonts w:hint="eastAsia" w:ascii="宋体" w:hAnsi="宋体"/>
          <w:kern w:val="44"/>
        </w:rPr>
        <w:t>企业应打破干部、工人身份界限。对管理人员和技术人员实行聘任制和考核制，做到公平竞争，择优选拔，有上有下。</w:t>
      </w:r>
    </w:p>
    <w:p w14:paraId="106188F5">
      <w:pPr>
        <w:jc w:val="left"/>
        <w:rPr>
          <w:rFonts w:ascii="宋体" w:hAnsi="宋体"/>
          <w:kern w:val="44"/>
        </w:rPr>
      </w:pPr>
      <w:r>
        <w:rPr>
          <w:rFonts w:hint="eastAsia" w:ascii="宋体" w:hAnsi="宋体"/>
          <w:kern w:val="44"/>
        </w:rPr>
        <w:t>企业中层行政管理人员由厂长按照规定程序任免（聘任、解聘）。副厂级行政管理人员，经上级主管部门授权，由厂长按规定程序任免（聘任、解聘），报上级主管部门备案；或由厂长按照国家规定提请上级主管部门任免（聘任、解聘）。</w:t>
      </w:r>
    </w:p>
    <w:p w14:paraId="3CA4E6FF">
      <w:pPr>
        <w:jc w:val="left"/>
        <w:rPr>
          <w:rFonts w:ascii="宋体" w:hAnsi="宋体"/>
          <w:kern w:val="44"/>
        </w:rPr>
      </w:pPr>
      <w:r>
        <w:rPr>
          <w:rFonts w:hint="eastAsia" w:ascii="宋体" w:hAnsi="宋体"/>
          <w:kern w:val="44"/>
        </w:rPr>
        <w:t>企业党政主要领导可以一人兼或交叉兼职。</w:t>
      </w:r>
    </w:p>
    <w:p w14:paraId="5934B94D">
      <w:pPr>
        <w:ind w:firstLine="422"/>
        <w:jc w:val="left"/>
        <w:rPr>
          <w:rFonts w:ascii="宋体" w:hAnsi="宋体"/>
          <w:kern w:val="44"/>
        </w:rPr>
      </w:pPr>
      <w:r>
        <w:rPr>
          <w:rFonts w:hint="eastAsia" w:ascii="宋体" w:hAnsi="宋体"/>
          <w:b/>
          <w:kern w:val="44"/>
        </w:rPr>
        <w:t>第十四条</w:t>
      </w:r>
      <w:r>
        <w:rPr>
          <w:rFonts w:hint="eastAsia" w:ascii="宋体" w:hAnsi="宋体"/>
          <w:kern w:val="44"/>
        </w:rPr>
        <w:t>　企业享有工资、奖金分配权</w:t>
      </w:r>
    </w:p>
    <w:p w14:paraId="56A563A4">
      <w:pPr>
        <w:jc w:val="left"/>
        <w:rPr>
          <w:rFonts w:ascii="宋体" w:hAnsi="宋体"/>
          <w:kern w:val="44"/>
        </w:rPr>
      </w:pPr>
      <w:r>
        <w:rPr>
          <w:rFonts w:hint="eastAsia" w:ascii="宋体" w:hAnsi="宋体"/>
          <w:kern w:val="44"/>
        </w:rPr>
        <w:t>企业的工资总额依照市人民政府有关部门规定的工资总额与经济效益挂钩办法确定。在按规定提取的工资总额内，企业有权确定工资、奖金的分配形式，自主确定职工晋级、增薪或降级、减薪的条件、时间和发放办法。对贡献突出的科技人员、管理人员和其他人员，企业有权予以重奖。</w:t>
      </w:r>
    </w:p>
    <w:p w14:paraId="01D93E19">
      <w:pPr>
        <w:ind w:firstLine="422"/>
        <w:jc w:val="left"/>
        <w:rPr>
          <w:rFonts w:ascii="宋体" w:hAnsi="宋体"/>
          <w:kern w:val="44"/>
        </w:rPr>
      </w:pPr>
      <w:r>
        <w:rPr>
          <w:rFonts w:hint="eastAsia" w:ascii="宋体" w:hAnsi="宋体"/>
          <w:b/>
          <w:kern w:val="44"/>
        </w:rPr>
        <w:t>第十五条</w:t>
      </w:r>
      <w:r>
        <w:rPr>
          <w:rFonts w:hint="eastAsia" w:ascii="宋体" w:hAnsi="宋体"/>
          <w:kern w:val="44"/>
        </w:rPr>
        <w:t>　企业享有内部机构设置权</w:t>
      </w:r>
    </w:p>
    <w:p w14:paraId="41855A37">
      <w:pPr>
        <w:jc w:val="left"/>
        <w:rPr>
          <w:rFonts w:ascii="宋体" w:hAnsi="宋体"/>
          <w:kern w:val="44"/>
        </w:rPr>
      </w:pPr>
      <w:r>
        <w:rPr>
          <w:rFonts w:hint="eastAsia" w:ascii="宋体" w:hAnsi="宋体"/>
          <w:kern w:val="44"/>
        </w:rPr>
        <w:t>企业自主确定内部机构的设立及其人员编制，任何部门和单位无权要求企业设置对口机构，规定人员编制和级别待遇。</w:t>
      </w:r>
    </w:p>
    <w:p w14:paraId="7851E44C">
      <w:pPr>
        <w:jc w:val="left"/>
        <w:rPr>
          <w:rFonts w:ascii="宋体" w:hAnsi="宋体"/>
          <w:kern w:val="44"/>
        </w:rPr>
      </w:pPr>
      <w:r>
        <w:rPr>
          <w:rFonts w:hint="eastAsia" w:ascii="宋体" w:hAnsi="宋体"/>
          <w:kern w:val="44"/>
        </w:rPr>
        <w:t>法律和国务院有特殊规定的，企业配置专人负责。</w:t>
      </w:r>
    </w:p>
    <w:p w14:paraId="66569759">
      <w:pPr>
        <w:ind w:firstLine="422"/>
        <w:jc w:val="left"/>
        <w:rPr>
          <w:rFonts w:ascii="宋体" w:hAnsi="宋体"/>
          <w:kern w:val="44"/>
        </w:rPr>
      </w:pPr>
      <w:r>
        <w:rPr>
          <w:rFonts w:hint="eastAsia" w:ascii="宋体" w:hAnsi="宋体"/>
          <w:b/>
          <w:kern w:val="44"/>
        </w:rPr>
        <w:t>第十六条</w:t>
      </w:r>
      <w:r>
        <w:rPr>
          <w:rFonts w:hint="eastAsia" w:ascii="宋体" w:hAnsi="宋体"/>
          <w:kern w:val="44"/>
        </w:rPr>
        <w:t>　企业享有拒绝摊派权</w:t>
      </w:r>
    </w:p>
    <w:p w14:paraId="11614F9B">
      <w:pPr>
        <w:jc w:val="left"/>
        <w:rPr>
          <w:rFonts w:ascii="宋体" w:hAnsi="宋体"/>
          <w:kern w:val="44"/>
        </w:rPr>
      </w:pPr>
      <w:r>
        <w:rPr>
          <w:rFonts w:hint="eastAsia" w:ascii="宋体" w:hAnsi="宋体"/>
          <w:kern w:val="44"/>
        </w:rPr>
        <w:t>企业有权拒绝任何部门和单位向企业摊派人力、物力、财力。企业可以向摊派单位所在地审计部门或者监察部门、政府行政复议机构控告、检举、揭发摊派行为，要求作出处理。上述机关通常在受理后10日内作出答复。</w:t>
      </w:r>
    </w:p>
    <w:p w14:paraId="19575D59">
      <w:pPr>
        <w:jc w:val="left"/>
        <w:rPr>
          <w:rFonts w:ascii="宋体" w:hAnsi="宋体"/>
          <w:kern w:val="44"/>
        </w:rPr>
      </w:pPr>
      <w:r>
        <w:rPr>
          <w:rFonts w:hint="eastAsia" w:ascii="宋体" w:hAnsi="宋体"/>
          <w:kern w:val="44"/>
        </w:rPr>
        <w:t>除法律和国务院另有规定，企业有权抵制任何部门和单位对企业进行检查、评比、评优、达标、升级、鉴定、考试、考核。严格限制社会组织到企业进行参观等活动。对企业进行安全、治安、卫生、环保、技术、工商、文化等检查，实行检查人员持证检查制度。</w:t>
      </w:r>
    </w:p>
    <w:p w14:paraId="01DF3554">
      <w:pPr>
        <w:jc w:val="left"/>
        <w:rPr>
          <w:rFonts w:ascii="宋体" w:hAnsi="宋体"/>
          <w:kern w:val="44"/>
        </w:rPr>
      </w:pPr>
      <w:r>
        <w:rPr>
          <w:rFonts w:hint="eastAsia" w:ascii="宋体" w:hAnsi="宋体"/>
          <w:kern w:val="44"/>
        </w:rPr>
        <w:t>对于摊派不成，以各种借口对企业进行挟嫌报复，设置障碍的，一经查实，依法加重处罚。</w:t>
      </w:r>
    </w:p>
    <w:p w14:paraId="456B04CF">
      <w:pPr>
        <w:ind w:firstLine="422"/>
        <w:jc w:val="left"/>
        <w:rPr>
          <w:rFonts w:ascii="宋体" w:hAnsi="宋体"/>
          <w:kern w:val="44"/>
        </w:rPr>
      </w:pPr>
      <w:r>
        <w:rPr>
          <w:rFonts w:hint="eastAsia" w:ascii="宋体" w:hAnsi="宋体"/>
          <w:b/>
          <w:kern w:val="44"/>
        </w:rPr>
        <w:t>第十七条</w:t>
      </w:r>
      <w:r>
        <w:rPr>
          <w:rFonts w:hint="eastAsia" w:ascii="宋体" w:hAnsi="宋体"/>
          <w:kern w:val="44"/>
        </w:rPr>
        <w:t>　明确企业盈亏责任</w:t>
      </w:r>
    </w:p>
    <w:p w14:paraId="6AB1D1BD">
      <w:pPr>
        <w:jc w:val="left"/>
        <w:rPr>
          <w:rFonts w:ascii="宋体" w:hAnsi="宋体"/>
          <w:kern w:val="44"/>
        </w:rPr>
      </w:pPr>
      <w:r>
        <w:rPr>
          <w:rFonts w:hint="eastAsia" w:ascii="宋体" w:hAnsi="宋体"/>
          <w:kern w:val="44"/>
        </w:rPr>
        <w:t>企业是承担自负盈亏责任的主体，以国家授予其经营管理的财产，承担民事责任。</w:t>
      </w:r>
    </w:p>
    <w:p w14:paraId="144D8F4A">
      <w:pPr>
        <w:jc w:val="left"/>
        <w:rPr>
          <w:rFonts w:ascii="宋体" w:hAnsi="宋体"/>
          <w:kern w:val="44"/>
        </w:rPr>
      </w:pPr>
      <w:r>
        <w:rPr>
          <w:rFonts w:hint="eastAsia" w:ascii="宋体" w:hAnsi="宋体"/>
          <w:kern w:val="44"/>
        </w:rPr>
        <w:t>厂长作为企业的法定代表人，对企业盈亏负有直接经营责任。职工按企业内部经济责任制对企业盈亏负有相应的责任。</w:t>
      </w:r>
    </w:p>
    <w:p w14:paraId="589AC50E">
      <w:pPr>
        <w:ind w:firstLine="422"/>
        <w:jc w:val="left"/>
        <w:rPr>
          <w:rFonts w:ascii="宋体" w:hAnsi="宋体"/>
          <w:kern w:val="44"/>
        </w:rPr>
      </w:pPr>
      <w:r>
        <w:rPr>
          <w:rFonts w:hint="eastAsia" w:ascii="宋体" w:hAnsi="宋体"/>
          <w:b/>
          <w:kern w:val="44"/>
        </w:rPr>
        <w:t>第十八条</w:t>
      </w:r>
      <w:r>
        <w:rPr>
          <w:rFonts w:hint="eastAsia" w:ascii="宋体" w:hAnsi="宋体"/>
          <w:kern w:val="44"/>
        </w:rPr>
        <w:t>　完善工资分配的约束和监督机制</w:t>
      </w:r>
    </w:p>
    <w:p w14:paraId="7B92A818">
      <w:pPr>
        <w:jc w:val="left"/>
        <w:rPr>
          <w:rFonts w:ascii="宋体" w:hAnsi="宋体"/>
          <w:kern w:val="44"/>
        </w:rPr>
      </w:pPr>
      <w:r>
        <w:rPr>
          <w:rFonts w:hint="eastAsia" w:ascii="宋体" w:hAnsi="宋体"/>
          <w:kern w:val="44"/>
        </w:rPr>
        <w:t>实行“两率控制”（即：工资总额增长幅度低于本企业以实现利税计算的经济效益增长幅度，职工实际平均工资增长幅度低于本企业依据净产值计算的劳动生产率增长幅度）和“工效挂钩”的企业，1992年工资基数和经济效益基数，由市、区、县劳动部门、财政部门一次核定后，今后每年由企业自行清算确定工资总额的增减幅度。对生产经营不正常的微利企业和亏损企业的工资总额基数，仍由市、区、县劳动、财政部门按年清算核定。</w:t>
      </w:r>
    </w:p>
    <w:p w14:paraId="3535BAE3">
      <w:pPr>
        <w:jc w:val="left"/>
        <w:rPr>
          <w:rFonts w:ascii="宋体" w:hAnsi="宋体"/>
          <w:kern w:val="44"/>
        </w:rPr>
      </w:pPr>
      <w:r>
        <w:rPr>
          <w:rFonts w:hint="eastAsia" w:ascii="宋体" w:hAnsi="宋体"/>
          <w:kern w:val="44"/>
        </w:rPr>
        <w:t>企业的工资分配，应接受劳动、财政、审计等部门的监督。也可以由市劳动、财政、审计部门委托由政府有关部门特别认可的会计师事务所、审计事务所等单位对企业工资分配进行审核。</w:t>
      </w:r>
    </w:p>
    <w:p w14:paraId="6B0F0C1B">
      <w:pPr>
        <w:jc w:val="left"/>
        <w:rPr>
          <w:rFonts w:ascii="宋体" w:hAnsi="宋体"/>
          <w:kern w:val="44"/>
        </w:rPr>
      </w:pPr>
      <w:r>
        <w:rPr>
          <w:rFonts w:hint="eastAsia" w:ascii="宋体" w:hAnsi="宋体"/>
          <w:kern w:val="44"/>
        </w:rPr>
        <w:t>企业多提的工资总额、企业职工多得的收入和企业用其他应用于生产性支出的资金发放的工资或增加的集体福利，一经发现，由劳动部门限期从企业工资总额中扣回。</w:t>
      </w:r>
    </w:p>
    <w:p w14:paraId="57D366C5">
      <w:pPr>
        <w:jc w:val="left"/>
        <w:rPr>
          <w:rFonts w:ascii="宋体" w:hAnsi="宋体"/>
          <w:kern w:val="44"/>
        </w:rPr>
      </w:pPr>
      <w:r>
        <w:rPr>
          <w:rFonts w:hint="eastAsia" w:ascii="宋体" w:hAnsi="宋体"/>
          <w:kern w:val="44"/>
        </w:rPr>
        <w:t>企业制定的工资改革方案和分配办法，要经企业职工代表大会或职工大会讨论审议。</w:t>
      </w:r>
    </w:p>
    <w:p w14:paraId="1F89906A">
      <w:pPr>
        <w:jc w:val="left"/>
        <w:rPr>
          <w:rFonts w:ascii="宋体" w:hAnsi="宋体"/>
          <w:kern w:val="44"/>
        </w:rPr>
      </w:pPr>
      <w:r>
        <w:rPr>
          <w:rFonts w:hint="eastAsia" w:ascii="宋体" w:hAnsi="宋体"/>
          <w:kern w:val="44"/>
        </w:rPr>
        <w:t>厂长的工资性收入，按照有关规定和干部管理权限，报企业主管部门审批。</w:t>
      </w:r>
    </w:p>
    <w:p w14:paraId="49102176">
      <w:pPr>
        <w:ind w:firstLine="422"/>
        <w:jc w:val="left"/>
        <w:rPr>
          <w:rFonts w:ascii="宋体" w:hAnsi="宋体"/>
          <w:kern w:val="44"/>
        </w:rPr>
      </w:pPr>
      <w:r>
        <w:rPr>
          <w:rFonts w:hint="eastAsia" w:ascii="宋体" w:hAnsi="宋体"/>
          <w:b/>
          <w:kern w:val="44"/>
        </w:rPr>
        <w:t>第十九条</w:t>
      </w:r>
      <w:r>
        <w:rPr>
          <w:rFonts w:hint="eastAsia" w:ascii="宋体" w:hAnsi="宋体"/>
          <w:kern w:val="44"/>
        </w:rPr>
        <w:t>　建立企业盈亏奖惩办法</w:t>
      </w:r>
    </w:p>
    <w:p w14:paraId="26F12203">
      <w:pPr>
        <w:jc w:val="left"/>
        <w:rPr>
          <w:rFonts w:ascii="宋体" w:hAnsi="宋体"/>
          <w:kern w:val="44"/>
        </w:rPr>
      </w:pPr>
      <w:r>
        <w:rPr>
          <w:rFonts w:hint="eastAsia" w:ascii="宋体" w:hAnsi="宋体"/>
          <w:kern w:val="44"/>
        </w:rPr>
        <w:t>企业连续三年全面完成上交任务，并实现企业财产增殖的，或亏损企业的新任厂长在规定期限内实现扭亏增盈目标的，企业主管部门应对厂长给予相应奖励。奖金由决定奖励的部门拨付。</w:t>
      </w:r>
    </w:p>
    <w:p w14:paraId="51187F1D">
      <w:pPr>
        <w:jc w:val="left"/>
        <w:rPr>
          <w:rFonts w:ascii="宋体" w:hAnsi="宋体"/>
          <w:kern w:val="44"/>
        </w:rPr>
      </w:pPr>
      <w:r>
        <w:rPr>
          <w:rFonts w:hint="eastAsia" w:ascii="宋体" w:hAnsi="宋体"/>
          <w:kern w:val="44"/>
        </w:rPr>
        <w:t>企业由于经营管理不善造成经营性亏损的，应由劳动部门核减企业工资总额。政府主管部门根据责任大小，减发厂长的工资收入并视情况给予其行政处分。</w:t>
      </w:r>
    </w:p>
    <w:p w14:paraId="03EC0EE3">
      <w:pPr>
        <w:ind w:firstLine="422"/>
        <w:jc w:val="left"/>
        <w:rPr>
          <w:rFonts w:ascii="宋体" w:hAnsi="宋体"/>
          <w:kern w:val="44"/>
        </w:rPr>
      </w:pPr>
      <w:r>
        <w:rPr>
          <w:rFonts w:hint="eastAsia" w:ascii="宋体" w:hAnsi="宋体"/>
          <w:b/>
          <w:kern w:val="44"/>
        </w:rPr>
        <w:t>第二十条</w:t>
      </w:r>
      <w:r>
        <w:rPr>
          <w:rFonts w:hint="eastAsia" w:ascii="宋体" w:hAnsi="宋体"/>
          <w:kern w:val="44"/>
        </w:rPr>
        <w:t>　确保企业财产保值增值</w:t>
      </w:r>
    </w:p>
    <w:p w14:paraId="10D8529D">
      <w:pPr>
        <w:jc w:val="left"/>
        <w:rPr>
          <w:rFonts w:ascii="宋体" w:hAnsi="宋体"/>
          <w:kern w:val="44"/>
        </w:rPr>
      </w:pPr>
      <w:r>
        <w:rPr>
          <w:rFonts w:hint="eastAsia" w:ascii="宋体" w:hAnsi="宋体"/>
          <w:kern w:val="44"/>
        </w:rPr>
        <w:t>企业必须严格执行国家财政、税收和国有资产管理的法律、法规，定期对企业财产进行盘点，做到帐实相符。正确核算成本，如实反映企业经营成果，不得造成利润虚盈或者虚盈实亏，也不得乱挤乱摊成本费用，截留应上交国家的财政收入。</w:t>
      </w:r>
    </w:p>
    <w:p w14:paraId="113A094E">
      <w:pPr>
        <w:jc w:val="left"/>
        <w:rPr>
          <w:rFonts w:ascii="宋体" w:hAnsi="宋体"/>
          <w:kern w:val="44"/>
        </w:rPr>
      </w:pPr>
      <w:r>
        <w:rPr>
          <w:rFonts w:hint="eastAsia" w:ascii="宋体" w:hAnsi="宋体"/>
          <w:kern w:val="44"/>
        </w:rPr>
        <w:t>企业应建立内部审计制度，对企业财务计划、与财务收支有关的经济活动和经济效益进行内部审计。</w:t>
      </w:r>
    </w:p>
    <w:p w14:paraId="345FF343">
      <w:pPr>
        <w:jc w:val="left"/>
        <w:rPr>
          <w:rFonts w:ascii="宋体" w:hAnsi="宋体"/>
          <w:kern w:val="44"/>
        </w:rPr>
      </w:pPr>
      <w:r>
        <w:rPr>
          <w:rFonts w:hint="eastAsia" w:ascii="宋体" w:hAnsi="宋体"/>
          <w:kern w:val="44"/>
        </w:rPr>
        <w:t>企业应依据《企业财务通则》、《企业会计准则》和行业会计制度建立企业资产负债和损益考核制度，编制年度财务会计报表，如实反映企业资产负债和损益情况。</w:t>
      </w:r>
    </w:p>
    <w:p w14:paraId="4066B10F">
      <w:pPr>
        <w:jc w:val="left"/>
        <w:rPr>
          <w:rFonts w:ascii="宋体" w:hAnsi="宋体"/>
          <w:kern w:val="44"/>
        </w:rPr>
      </w:pPr>
      <w:r>
        <w:rPr>
          <w:rFonts w:hint="eastAsia" w:ascii="宋体" w:hAnsi="宋体"/>
          <w:kern w:val="44"/>
        </w:rPr>
        <w:t>企业以不提或少提折旧费或大修理费，少计成本或挂帐不摊，造成利润虚盈或虚盈实亏的，应由企业留利补足。</w:t>
      </w:r>
    </w:p>
    <w:p w14:paraId="4065C2F3">
      <w:pPr>
        <w:ind w:firstLine="422"/>
        <w:jc w:val="left"/>
        <w:rPr>
          <w:rFonts w:ascii="宋体" w:hAnsi="宋体"/>
          <w:kern w:val="44"/>
        </w:rPr>
      </w:pPr>
      <w:r>
        <w:rPr>
          <w:rFonts w:hint="eastAsia" w:ascii="宋体" w:hAnsi="宋体"/>
          <w:b/>
          <w:kern w:val="44"/>
        </w:rPr>
        <w:t>第二十一条</w:t>
      </w:r>
      <w:r>
        <w:rPr>
          <w:rFonts w:hint="eastAsia" w:ascii="宋体" w:hAnsi="宋体"/>
          <w:kern w:val="44"/>
        </w:rPr>
        <w:t>　企业变更终止的方式</w:t>
      </w:r>
    </w:p>
    <w:p w14:paraId="333EEA2E">
      <w:pPr>
        <w:jc w:val="left"/>
        <w:rPr>
          <w:rFonts w:ascii="宋体" w:hAnsi="宋体"/>
          <w:kern w:val="44"/>
        </w:rPr>
      </w:pPr>
      <w:r>
        <w:rPr>
          <w:rFonts w:hint="eastAsia" w:ascii="宋体" w:hAnsi="宋体"/>
          <w:kern w:val="44"/>
        </w:rPr>
        <w:t>企业可以通过转产、停产整顿、承包、租赁、拍卖、合并、分立、解散、破产等方式，进行产品结构和组织结构调整，实现资源合理配置和企业的优胜劣汰。</w:t>
      </w:r>
    </w:p>
    <w:p w14:paraId="5F2C09CE">
      <w:pPr>
        <w:jc w:val="left"/>
        <w:rPr>
          <w:rFonts w:ascii="宋体" w:hAnsi="宋体"/>
          <w:kern w:val="44"/>
        </w:rPr>
      </w:pPr>
      <w:r>
        <w:rPr>
          <w:rFonts w:hint="eastAsia" w:ascii="宋体" w:hAnsi="宋体"/>
          <w:kern w:val="44"/>
        </w:rPr>
        <w:t>涉及产权调整、转让经营权以及采取有偿转让方式进行组织结构调整的企业，按国务院《国有资产评估管理办法》、《土地使用权出让和转让暂行条例》的规定办理；企业组织结构发生变化时，应及时与原签订合同的部门办理承包协议的中止和变更手续；并按规定到工商行政管理部门依法办理注销、变更、开业、登记手续，到税务部门办理税务注销、变更、登记手续，到国有资产管理局办理国有资产注销、产权变更登记。</w:t>
      </w:r>
    </w:p>
    <w:p w14:paraId="3F6B7F1E">
      <w:pPr>
        <w:ind w:firstLine="422"/>
        <w:jc w:val="left"/>
        <w:rPr>
          <w:rFonts w:ascii="宋体" w:hAnsi="宋体"/>
          <w:kern w:val="44"/>
        </w:rPr>
      </w:pPr>
      <w:r>
        <w:rPr>
          <w:rFonts w:hint="eastAsia" w:ascii="宋体" w:hAnsi="宋体"/>
          <w:b/>
          <w:kern w:val="44"/>
        </w:rPr>
        <w:t>第二十二条</w:t>
      </w:r>
      <w:r>
        <w:rPr>
          <w:rFonts w:hint="eastAsia" w:ascii="宋体" w:hAnsi="宋体"/>
          <w:kern w:val="44"/>
        </w:rPr>
        <w:t>　企业转产</w:t>
      </w:r>
    </w:p>
    <w:p w14:paraId="56356D5D">
      <w:pPr>
        <w:jc w:val="left"/>
        <w:rPr>
          <w:rFonts w:ascii="宋体" w:hAnsi="宋体"/>
          <w:kern w:val="44"/>
        </w:rPr>
      </w:pPr>
      <w:r>
        <w:rPr>
          <w:rFonts w:hint="eastAsia" w:ascii="宋体" w:hAnsi="宋体"/>
          <w:kern w:val="44"/>
        </w:rPr>
        <w:t>转产由企业自主决定，政府积极支持企业实行转产。企业转产方向要符合国家产业政策和首都发展规划的要求，不得转产国家明令禁止生产和淘汰的产品。</w:t>
      </w:r>
    </w:p>
    <w:p w14:paraId="76C0883B">
      <w:pPr>
        <w:ind w:firstLine="422"/>
        <w:jc w:val="left"/>
        <w:rPr>
          <w:rFonts w:ascii="宋体" w:hAnsi="宋体"/>
          <w:kern w:val="44"/>
        </w:rPr>
      </w:pPr>
      <w:r>
        <w:rPr>
          <w:rFonts w:hint="eastAsia" w:ascii="宋体" w:hAnsi="宋体"/>
          <w:b/>
          <w:kern w:val="44"/>
        </w:rPr>
        <w:t>第二十三条</w:t>
      </w:r>
      <w:r>
        <w:rPr>
          <w:rFonts w:hint="eastAsia" w:ascii="宋体" w:hAnsi="宋体"/>
          <w:kern w:val="44"/>
        </w:rPr>
        <w:t>　企业停产整顿</w:t>
      </w:r>
    </w:p>
    <w:p w14:paraId="759D25E7">
      <w:pPr>
        <w:jc w:val="left"/>
        <w:rPr>
          <w:rFonts w:ascii="宋体" w:hAnsi="宋体"/>
          <w:kern w:val="44"/>
        </w:rPr>
      </w:pPr>
      <w:r>
        <w:rPr>
          <w:rFonts w:hint="eastAsia" w:ascii="宋体" w:hAnsi="宋体"/>
          <w:kern w:val="44"/>
        </w:rPr>
        <w:t>企业经营性亏损严重的，可以自行申请停产整顿；政府主管部门也可以责令其停产整顿。停产整顿的企业应报工商行政管理局备案，停产整顿期限一般不超过1年。</w:t>
      </w:r>
    </w:p>
    <w:p w14:paraId="0C04F2AA">
      <w:pPr>
        <w:jc w:val="left"/>
        <w:rPr>
          <w:rFonts w:ascii="宋体" w:hAnsi="宋体"/>
          <w:kern w:val="44"/>
        </w:rPr>
      </w:pPr>
      <w:r>
        <w:rPr>
          <w:rFonts w:hint="eastAsia" w:ascii="宋体" w:hAnsi="宋体"/>
          <w:kern w:val="44"/>
        </w:rPr>
        <w:t>停产整顿期间，根据企业申请，市有关部门暂停其上交承包利润；企业可向银行申请延期支付贷款利息，经银行审批，可对其贷款利息实行挂帐，不计复利；政府主管部门要协助企业实施整顿方案；企业自停产整顿之日起停发奖金。</w:t>
      </w:r>
    </w:p>
    <w:p w14:paraId="309E951C">
      <w:pPr>
        <w:ind w:firstLine="422"/>
        <w:jc w:val="left"/>
        <w:rPr>
          <w:rFonts w:ascii="宋体" w:hAnsi="宋体"/>
          <w:kern w:val="44"/>
        </w:rPr>
      </w:pPr>
      <w:r>
        <w:rPr>
          <w:rFonts w:hint="eastAsia" w:ascii="宋体" w:hAnsi="宋体"/>
          <w:b/>
          <w:kern w:val="44"/>
        </w:rPr>
        <w:t>第二十四条</w:t>
      </w:r>
      <w:r>
        <w:rPr>
          <w:rFonts w:hint="eastAsia" w:ascii="宋体" w:hAnsi="宋体"/>
          <w:kern w:val="44"/>
        </w:rPr>
        <w:t>　企业间承包</w:t>
      </w:r>
    </w:p>
    <w:p w14:paraId="3F55DC94">
      <w:pPr>
        <w:jc w:val="left"/>
        <w:rPr>
          <w:rFonts w:ascii="宋体" w:hAnsi="宋体"/>
          <w:kern w:val="44"/>
        </w:rPr>
      </w:pPr>
      <w:r>
        <w:rPr>
          <w:rFonts w:hint="eastAsia" w:ascii="宋体" w:hAnsi="宋体"/>
          <w:kern w:val="44"/>
        </w:rPr>
        <w:t>企业法人可以通过承包获得其他企业的经营权。被承包企业需改变资产经营形式的，按本办法第二条第二款办理。承包企业与被承包企业间应根据平等、自愿和协商的原则，订立承包协议书，明确双方的权利、义务关系。</w:t>
      </w:r>
    </w:p>
    <w:p w14:paraId="60E0EAAD">
      <w:pPr>
        <w:ind w:firstLine="422"/>
        <w:jc w:val="left"/>
        <w:rPr>
          <w:rFonts w:ascii="宋体" w:hAnsi="宋体"/>
          <w:kern w:val="44"/>
        </w:rPr>
      </w:pPr>
      <w:r>
        <w:rPr>
          <w:rFonts w:hint="eastAsia" w:ascii="宋体" w:hAnsi="宋体"/>
          <w:b/>
          <w:kern w:val="44"/>
        </w:rPr>
        <w:t>第二十五条</w:t>
      </w:r>
      <w:r>
        <w:rPr>
          <w:rFonts w:hint="eastAsia" w:ascii="宋体" w:hAnsi="宋体"/>
          <w:kern w:val="44"/>
        </w:rPr>
        <w:t>　租赁经营</w:t>
      </w:r>
    </w:p>
    <w:p w14:paraId="0FD1BAA1">
      <w:pPr>
        <w:jc w:val="left"/>
        <w:rPr>
          <w:rFonts w:ascii="宋体" w:hAnsi="宋体"/>
          <w:kern w:val="44"/>
        </w:rPr>
      </w:pPr>
      <w:r>
        <w:rPr>
          <w:rFonts w:hint="eastAsia" w:ascii="宋体" w:hAnsi="宋体"/>
          <w:kern w:val="44"/>
        </w:rPr>
        <w:t>全民所有制小型工业企业可以实行租赁经营。实行租赁经营，需按国务院《全民所有制小型工业企业租赁经营暂行条例》的规定办理。</w:t>
      </w:r>
    </w:p>
    <w:p w14:paraId="15CBB51C">
      <w:pPr>
        <w:ind w:firstLine="422"/>
        <w:jc w:val="left"/>
        <w:rPr>
          <w:rFonts w:ascii="宋体" w:hAnsi="宋体"/>
          <w:kern w:val="44"/>
        </w:rPr>
      </w:pPr>
      <w:r>
        <w:rPr>
          <w:rFonts w:hint="eastAsia" w:ascii="宋体" w:hAnsi="宋体"/>
          <w:b/>
          <w:kern w:val="44"/>
        </w:rPr>
        <w:t>第二十六条</w:t>
      </w:r>
      <w:r>
        <w:rPr>
          <w:rFonts w:hint="eastAsia" w:ascii="宋体" w:hAnsi="宋体"/>
          <w:kern w:val="44"/>
        </w:rPr>
        <w:t>　企业拍卖</w:t>
      </w:r>
    </w:p>
    <w:p w14:paraId="08F505E1">
      <w:pPr>
        <w:jc w:val="left"/>
        <w:rPr>
          <w:rFonts w:ascii="宋体" w:hAnsi="宋体"/>
          <w:kern w:val="44"/>
        </w:rPr>
      </w:pPr>
      <w:r>
        <w:rPr>
          <w:rFonts w:hint="eastAsia" w:ascii="宋体" w:hAnsi="宋体"/>
          <w:kern w:val="44"/>
        </w:rPr>
        <w:t>国有资产管理局会同主管委办可以决定或者批准出售国有小型工业企业产权。政府主管委办出售国有小型企业产权可以委托市拍卖机构进行。企业拍卖需执行国家体改委、财政部、国有资产管理局《关于出售国有小型企业产权的暂行办法》。出售小型国有企业所得净收入（包括利息收入），上交市国有资产管理局，经市人民政府批准，可以部分或全部拨给政府主管委办，列入专项，用于企业再投入。</w:t>
      </w:r>
    </w:p>
    <w:p w14:paraId="1F2875D5">
      <w:pPr>
        <w:ind w:firstLine="422"/>
        <w:jc w:val="left"/>
        <w:rPr>
          <w:rFonts w:ascii="宋体" w:hAnsi="宋体"/>
          <w:kern w:val="44"/>
        </w:rPr>
      </w:pPr>
      <w:r>
        <w:rPr>
          <w:rFonts w:hint="eastAsia" w:ascii="宋体" w:hAnsi="宋体"/>
          <w:b/>
          <w:kern w:val="44"/>
        </w:rPr>
        <w:t>第二十七条</w:t>
      </w:r>
      <w:r>
        <w:rPr>
          <w:rFonts w:hint="eastAsia" w:ascii="宋体" w:hAnsi="宋体"/>
          <w:kern w:val="44"/>
        </w:rPr>
        <w:t>　企业合并、兼并</w:t>
      </w:r>
    </w:p>
    <w:p w14:paraId="6482696B">
      <w:pPr>
        <w:jc w:val="left"/>
        <w:rPr>
          <w:rFonts w:ascii="宋体" w:hAnsi="宋体"/>
          <w:kern w:val="44"/>
        </w:rPr>
      </w:pPr>
      <w:r>
        <w:rPr>
          <w:rFonts w:hint="eastAsia" w:ascii="宋体" w:hAnsi="宋体"/>
          <w:kern w:val="44"/>
        </w:rPr>
        <w:t>市人民政府主管委办可以决定或者批准企业的合并。全民所有制范围内的企业合并，可以采取资产无偿划转方式进行；涉及不同所有制间的合并，采取资产有偿划转的方式进行。</w:t>
      </w:r>
    </w:p>
    <w:p w14:paraId="42A03EB0">
      <w:pPr>
        <w:jc w:val="left"/>
        <w:rPr>
          <w:rFonts w:ascii="宋体" w:hAnsi="宋体"/>
          <w:kern w:val="44"/>
        </w:rPr>
      </w:pPr>
      <w:r>
        <w:rPr>
          <w:rFonts w:hint="eastAsia" w:ascii="宋体" w:hAnsi="宋体"/>
          <w:kern w:val="44"/>
        </w:rPr>
        <w:t>政府决定的合并，合并方案由政府主管委办提出，跨行业、跨部门的合并，由政府主管委办主持进行。对以承担一定债务或负担形式进行的企业合并，经政府主管委办会同财政或银行批准，可按本条第四、五款办理。</w:t>
      </w:r>
    </w:p>
    <w:p w14:paraId="3FD5ED9B">
      <w:pPr>
        <w:jc w:val="left"/>
        <w:rPr>
          <w:rFonts w:ascii="宋体" w:hAnsi="宋体"/>
          <w:kern w:val="44"/>
        </w:rPr>
      </w:pPr>
      <w:r>
        <w:rPr>
          <w:rFonts w:hint="eastAsia" w:ascii="宋体" w:hAnsi="宋体"/>
          <w:kern w:val="44"/>
        </w:rPr>
        <w:t>企业可以自主决定兼并其他企业。企业兼并是一种有偿的合并形式。企业可以实行跨行业、跨地区、跨部门的兼并和联营，任何部门和单位不得干涉和阻挠。</w:t>
      </w:r>
    </w:p>
    <w:p w14:paraId="3B6A3028">
      <w:pPr>
        <w:jc w:val="left"/>
        <w:rPr>
          <w:rFonts w:ascii="宋体" w:hAnsi="宋体"/>
          <w:kern w:val="44"/>
        </w:rPr>
      </w:pPr>
      <w:r>
        <w:rPr>
          <w:rFonts w:hint="eastAsia" w:ascii="宋体" w:hAnsi="宋体"/>
          <w:kern w:val="44"/>
        </w:rPr>
        <w:t>被兼并企业应向政府主管委办递交资产负债清册和近期会计报表。被兼并企业产权转让的收入，按本办法第二十六条中关于出售国有小型企业所得净收入的规定办理。</w:t>
      </w:r>
    </w:p>
    <w:p w14:paraId="3EBF2DB9">
      <w:pPr>
        <w:jc w:val="left"/>
        <w:rPr>
          <w:rFonts w:ascii="宋体" w:hAnsi="宋体"/>
          <w:kern w:val="44"/>
        </w:rPr>
      </w:pPr>
      <w:r>
        <w:rPr>
          <w:rFonts w:hint="eastAsia" w:ascii="宋体" w:hAnsi="宋体"/>
          <w:kern w:val="44"/>
        </w:rPr>
        <w:t>被兼并企业的债权债务由兼并企业承担；兼并企业与债权人经充分协商，可以订立分期偿还或者减免债务的协议；政府主管委办会同市财税部门可以酌情定期核减兼并企业的上交利润指标；经企业申请，银行审批，可酌情对被兼并企业原欠其的债务实行停减利息或利息挂帐，不计复利；市劳动部门对兼并企业的工资总额予以重新核定。</w:t>
      </w:r>
    </w:p>
    <w:p w14:paraId="55520424">
      <w:pPr>
        <w:jc w:val="left"/>
        <w:rPr>
          <w:rFonts w:ascii="宋体" w:hAnsi="宋体"/>
          <w:kern w:val="44"/>
        </w:rPr>
      </w:pPr>
      <w:r>
        <w:rPr>
          <w:rFonts w:hint="eastAsia" w:ascii="宋体" w:hAnsi="宋体"/>
          <w:kern w:val="44"/>
        </w:rPr>
        <w:t>被兼并企业转入第三产业的，经银行批准，自开业之日起，对被兼并企业原有银行贷款实行两年停息、三年减半收息。但在享受减利停息期间所盈余的资金，必须转为企业自有流动资金用于周转，不得作为企业利润参与任何形式的分配和上缴。违者银行按有关规定追收利息。</w:t>
      </w:r>
    </w:p>
    <w:p w14:paraId="274D1039">
      <w:pPr>
        <w:ind w:firstLine="422"/>
        <w:jc w:val="left"/>
        <w:rPr>
          <w:rFonts w:ascii="宋体" w:hAnsi="宋体"/>
          <w:kern w:val="44"/>
        </w:rPr>
      </w:pPr>
      <w:r>
        <w:rPr>
          <w:rFonts w:hint="eastAsia" w:ascii="宋体" w:hAnsi="宋体"/>
          <w:b/>
          <w:kern w:val="44"/>
        </w:rPr>
        <w:t>第二十八条</w:t>
      </w:r>
      <w:r>
        <w:rPr>
          <w:rFonts w:hint="eastAsia" w:ascii="宋体" w:hAnsi="宋体"/>
          <w:kern w:val="44"/>
        </w:rPr>
        <w:t>　企业分立</w:t>
      </w:r>
    </w:p>
    <w:p w14:paraId="6EB22102">
      <w:pPr>
        <w:jc w:val="left"/>
        <w:rPr>
          <w:rFonts w:ascii="宋体" w:hAnsi="宋体"/>
          <w:kern w:val="44"/>
        </w:rPr>
      </w:pPr>
      <w:r>
        <w:rPr>
          <w:rFonts w:hint="eastAsia" w:ascii="宋体" w:hAnsi="宋体"/>
          <w:kern w:val="44"/>
        </w:rPr>
        <w:t>市人民政府主管委办可以批准企业分立。企业分立时，应当由分立各方签订分立协议，明确划分和落实分立各方的财产和债权债务等。企业分立可由企业自行提出申请，也可由政府主管委办做出企业分立决定。</w:t>
      </w:r>
    </w:p>
    <w:p w14:paraId="752BC4F5">
      <w:pPr>
        <w:jc w:val="left"/>
        <w:rPr>
          <w:rFonts w:ascii="宋体" w:hAnsi="宋体"/>
          <w:kern w:val="44"/>
        </w:rPr>
      </w:pPr>
      <w:r>
        <w:rPr>
          <w:rFonts w:hint="eastAsia" w:ascii="宋体" w:hAnsi="宋体"/>
          <w:kern w:val="44"/>
        </w:rPr>
        <w:t>为了支持兴办第三产业，各单位可用一部分国有资产，开办集体企业或经营单位。对这部分国有资产，应实行有偿转让或有偿使用，并由国有资产管理部门核定转让价值或资金占用费。企业开办初期，如确有困难，可经过批准，在一定时期内减免资金占用费。</w:t>
      </w:r>
    </w:p>
    <w:p w14:paraId="67F3ACAA">
      <w:pPr>
        <w:ind w:firstLine="422"/>
        <w:jc w:val="left"/>
        <w:rPr>
          <w:rFonts w:ascii="宋体" w:hAnsi="宋体"/>
          <w:kern w:val="44"/>
        </w:rPr>
      </w:pPr>
      <w:r>
        <w:rPr>
          <w:rFonts w:hint="eastAsia" w:ascii="宋体" w:hAnsi="宋体"/>
          <w:b/>
          <w:kern w:val="44"/>
        </w:rPr>
        <w:t>第二十九条</w:t>
      </w:r>
      <w:r>
        <w:rPr>
          <w:rFonts w:hint="eastAsia" w:ascii="宋体" w:hAnsi="宋体"/>
          <w:kern w:val="44"/>
        </w:rPr>
        <w:t>　企业解散</w:t>
      </w:r>
    </w:p>
    <w:p w14:paraId="65871A5D">
      <w:pPr>
        <w:jc w:val="left"/>
        <w:rPr>
          <w:rFonts w:ascii="宋体" w:hAnsi="宋体"/>
          <w:kern w:val="44"/>
        </w:rPr>
      </w:pPr>
      <w:r>
        <w:rPr>
          <w:rFonts w:hint="eastAsia" w:ascii="宋体" w:hAnsi="宋体"/>
          <w:kern w:val="44"/>
        </w:rPr>
        <w:t>在保证清偿债务的前提下，由政府主管委办提出，经市人民政府批准后，企业可以依法予以解散。企业解散，由政府主管委办指定成立的清算组进行清算。企业的设备可进入产权市场出售；原材料及产品可委托市场拍卖；土地使用和地面建筑物应办理有关转让手续。</w:t>
      </w:r>
    </w:p>
    <w:p w14:paraId="50519C1B">
      <w:pPr>
        <w:ind w:firstLine="422"/>
        <w:jc w:val="left"/>
        <w:rPr>
          <w:rFonts w:ascii="宋体" w:hAnsi="宋体"/>
          <w:kern w:val="44"/>
        </w:rPr>
      </w:pPr>
      <w:r>
        <w:rPr>
          <w:rFonts w:hint="eastAsia" w:ascii="宋体" w:hAnsi="宋体"/>
          <w:b/>
          <w:kern w:val="44"/>
        </w:rPr>
        <w:t>第三十条</w:t>
      </w:r>
      <w:r>
        <w:rPr>
          <w:rFonts w:hint="eastAsia" w:ascii="宋体" w:hAnsi="宋体"/>
          <w:kern w:val="44"/>
        </w:rPr>
        <w:t>　企业破产</w:t>
      </w:r>
    </w:p>
    <w:p w14:paraId="5900DB2C">
      <w:pPr>
        <w:jc w:val="left"/>
        <w:rPr>
          <w:rFonts w:ascii="宋体" w:hAnsi="宋体"/>
          <w:kern w:val="44"/>
        </w:rPr>
      </w:pPr>
      <w:r>
        <w:rPr>
          <w:rFonts w:hint="eastAsia" w:ascii="宋体" w:hAnsi="宋体"/>
          <w:kern w:val="44"/>
        </w:rPr>
        <w:t>企业不能清偿到期债务，达到法定破产条件的，应当依法破产。政府认为不宜破产的，应当给予资助或者采取其他措施，帮助企业清偿债务。</w:t>
      </w:r>
    </w:p>
    <w:p w14:paraId="2CCABA40">
      <w:pPr>
        <w:jc w:val="left"/>
        <w:rPr>
          <w:rFonts w:ascii="宋体" w:hAnsi="宋体"/>
          <w:kern w:val="44"/>
        </w:rPr>
      </w:pPr>
      <w:r>
        <w:rPr>
          <w:rFonts w:hint="eastAsia" w:ascii="宋体" w:hAnsi="宋体"/>
          <w:kern w:val="44"/>
        </w:rPr>
        <w:t>企业宣告破产后，其他企业可以与破产企业清算组订立接收破产企业的协议，按照协议承担法院裁定的债务，接受破产企业财产，安排破产企业职工，并可以享受《条例》第三十四条第二款规定的兼并企业的待遇。</w:t>
      </w:r>
    </w:p>
    <w:p w14:paraId="6BC93B80">
      <w:pPr>
        <w:ind w:firstLine="422"/>
        <w:jc w:val="left"/>
        <w:rPr>
          <w:rFonts w:ascii="宋体" w:hAnsi="宋体"/>
          <w:kern w:val="44"/>
        </w:rPr>
      </w:pPr>
      <w:r>
        <w:rPr>
          <w:rFonts w:hint="eastAsia" w:ascii="宋体" w:hAnsi="宋体"/>
          <w:b/>
          <w:kern w:val="44"/>
        </w:rPr>
        <w:t>第三十一条</w:t>
      </w:r>
      <w:r>
        <w:rPr>
          <w:rFonts w:hint="eastAsia" w:ascii="宋体" w:hAnsi="宋体"/>
          <w:kern w:val="44"/>
        </w:rPr>
        <w:t>　企业组织结构调整后的职工安置</w:t>
      </w:r>
    </w:p>
    <w:p w14:paraId="0DF70DDA">
      <w:pPr>
        <w:jc w:val="left"/>
        <w:rPr>
          <w:rFonts w:ascii="宋体" w:hAnsi="宋体"/>
          <w:kern w:val="44"/>
        </w:rPr>
      </w:pPr>
      <w:r>
        <w:rPr>
          <w:rFonts w:hint="eastAsia" w:ascii="宋体" w:hAnsi="宋体"/>
          <w:kern w:val="44"/>
        </w:rPr>
        <w:t>政府决定解散的企业，职工由市劳动部门会同企业主管部门负责采取多种办法妥善安置。</w:t>
      </w:r>
    </w:p>
    <w:p w14:paraId="1BA91794">
      <w:pPr>
        <w:jc w:val="left"/>
        <w:rPr>
          <w:rFonts w:ascii="宋体" w:hAnsi="宋体"/>
          <w:kern w:val="44"/>
        </w:rPr>
      </w:pPr>
      <w:r>
        <w:rPr>
          <w:rFonts w:hint="eastAsia" w:ascii="宋体" w:hAnsi="宋体"/>
          <w:kern w:val="44"/>
        </w:rPr>
        <w:t>具有法人资格实行独立经济核算、自负盈亏的原第三产业企业和劳动就业服务企业，当年安置主办企业富余职工达本企业从业人员总数60％（含60％）以上的，从达到月份起两年免征、三年减半征收所得税；当年安置主办企业富余职工达本企业从业人员总数30％（含30％）以上不足60％的，从达到月份起，免征两年所得税。</w:t>
      </w:r>
    </w:p>
    <w:p w14:paraId="3468BF68">
      <w:pPr>
        <w:ind w:firstLine="422"/>
        <w:jc w:val="left"/>
        <w:rPr>
          <w:rFonts w:ascii="宋体" w:hAnsi="宋体"/>
          <w:kern w:val="44"/>
        </w:rPr>
      </w:pPr>
      <w:r>
        <w:rPr>
          <w:rFonts w:hint="eastAsia" w:ascii="宋体" w:hAnsi="宋体"/>
          <w:b/>
          <w:kern w:val="44"/>
        </w:rPr>
        <w:t>第三十二条</w:t>
      </w:r>
      <w:r>
        <w:rPr>
          <w:rFonts w:hint="eastAsia" w:ascii="宋体" w:hAnsi="宋体"/>
          <w:kern w:val="44"/>
        </w:rPr>
        <w:t>　转变政府职能</w:t>
      </w:r>
    </w:p>
    <w:p w14:paraId="545CB6E4">
      <w:pPr>
        <w:jc w:val="left"/>
        <w:rPr>
          <w:rFonts w:ascii="宋体" w:hAnsi="宋体"/>
          <w:kern w:val="44"/>
        </w:rPr>
      </w:pPr>
      <w:r>
        <w:rPr>
          <w:rFonts w:hint="eastAsia" w:ascii="宋体" w:hAnsi="宋体"/>
          <w:kern w:val="44"/>
        </w:rPr>
        <w:t>各级政府和部门要围绕建立社会主义市场经济体制的目标，积极进行职能转变。按照政企职责分开的原则，依法对企业进行协调、监督和管理，为企业提供服务。</w:t>
      </w:r>
    </w:p>
    <w:p w14:paraId="673137D4">
      <w:pPr>
        <w:ind w:firstLine="422"/>
        <w:jc w:val="left"/>
        <w:rPr>
          <w:rFonts w:ascii="宋体" w:hAnsi="宋体"/>
          <w:kern w:val="44"/>
        </w:rPr>
      </w:pPr>
      <w:r>
        <w:rPr>
          <w:rFonts w:hint="eastAsia" w:ascii="宋体" w:hAnsi="宋体"/>
          <w:b/>
          <w:kern w:val="44"/>
        </w:rPr>
        <w:t>第三十三条</w:t>
      </w:r>
      <w:r>
        <w:rPr>
          <w:rFonts w:hint="eastAsia" w:ascii="宋体" w:hAnsi="宋体"/>
          <w:kern w:val="44"/>
        </w:rPr>
        <w:t>　政府行使企业财产所有权职责国务院代表国家行使企业财产的所有权。</w:t>
      </w:r>
    </w:p>
    <w:p w14:paraId="45FEA481">
      <w:pPr>
        <w:jc w:val="left"/>
        <w:rPr>
          <w:rFonts w:ascii="宋体" w:hAnsi="宋体"/>
          <w:kern w:val="44"/>
        </w:rPr>
      </w:pPr>
      <w:r>
        <w:rPr>
          <w:rFonts w:hint="eastAsia" w:ascii="宋体" w:hAnsi="宋体"/>
          <w:kern w:val="44"/>
        </w:rPr>
        <w:t>为确保企业财产所有权，政府及其有关部门分别行使下列职责：</w:t>
      </w:r>
    </w:p>
    <w:p w14:paraId="4B181499">
      <w:pPr>
        <w:jc w:val="left"/>
        <w:rPr>
          <w:rFonts w:ascii="宋体" w:hAnsi="宋体"/>
          <w:kern w:val="44"/>
        </w:rPr>
      </w:pPr>
      <w:r>
        <w:rPr>
          <w:rFonts w:hint="eastAsia" w:ascii="宋体" w:hAnsi="宋体"/>
          <w:kern w:val="44"/>
        </w:rPr>
        <w:t>（一）考核企业财产保值、增值指标，对企业资产负债和损益情况进行审查和审计监督；</w:t>
      </w:r>
    </w:p>
    <w:p w14:paraId="7921F968">
      <w:pPr>
        <w:jc w:val="left"/>
        <w:rPr>
          <w:rFonts w:ascii="宋体" w:hAnsi="宋体"/>
          <w:kern w:val="44"/>
        </w:rPr>
      </w:pPr>
      <w:r>
        <w:rPr>
          <w:rFonts w:hint="eastAsia" w:ascii="宋体" w:hAnsi="宋体"/>
          <w:kern w:val="44"/>
        </w:rPr>
        <w:t>（二）根据国务院的有关规定，决定国家与企业之间财产收益的分配方式、比例或者定额；</w:t>
      </w:r>
    </w:p>
    <w:p w14:paraId="40EC3939">
      <w:pPr>
        <w:jc w:val="left"/>
        <w:rPr>
          <w:rFonts w:ascii="宋体" w:hAnsi="宋体"/>
          <w:kern w:val="44"/>
        </w:rPr>
      </w:pPr>
      <w:r>
        <w:rPr>
          <w:rFonts w:hint="eastAsia" w:ascii="宋体" w:hAnsi="宋体"/>
          <w:kern w:val="44"/>
        </w:rPr>
        <w:t>（三）根据国务院的有关规定，决定、批准企业固定资产投资项目，本办法第八条规定由企业自主决定的投资项目除外；</w:t>
      </w:r>
    </w:p>
    <w:p w14:paraId="69F93560">
      <w:pPr>
        <w:jc w:val="left"/>
        <w:rPr>
          <w:rFonts w:ascii="宋体" w:hAnsi="宋体"/>
          <w:kern w:val="44"/>
        </w:rPr>
      </w:pPr>
      <w:r>
        <w:rPr>
          <w:rFonts w:hint="eastAsia" w:ascii="宋体" w:hAnsi="宋体"/>
          <w:kern w:val="44"/>
        </w:rPr>
        <w:t>（四）决定或者批准企业的资产经营形式和企业的设立、合并（不含兼并）、分立、承包、租赁、终止、拍卖，批准企业提出的被兼并申请和破产申请；</w:t>
      </w:r>
    </w:p>
    <w:p w14:paraId="5B41EAE3">
      <w:pPr>
        <w:jc w:val="left"/>
        <w:rPr>
          <w:rFonts w:ascii="宋体" w:hAnsi="宋体"/>
          <w:kern w:val="44"/>
        </w:rPr>
      </w:pPr>
      <w:r>
        <w:rPr>
          <w:rFonts w:hint="eastAsia" w:ascii="宋体" w:hAnsi="宋体"/>
          <w:kern w:val="44"/>
        </w:rPr>
        <w:t>（五）根据国务院的有关规定，审批企业财产的报损、冲减、核销及关键设备、成套设备或者重要建筑物的抵押、有偿转让，组织清算和收缴被撤销、解散企业的财产；</w:t>
      </w:r>
    </w:p>
    <w:p w14:paraId="6720FAF7">
      <w:pPr>
        <w:jc w:val="left"/>
        <w:rPr>
          <w:rFonts w:ascii="宋体" w:hAnsi="宋体"/>
          <w:kern w:val="44"/>
        </w:rPr>
      </w:pPr>
      <w:r>
        <w:rPr>
          <w:rFonts w:hint="eastAsia" w:ascii="宋体" w:hAnsi="宋体"/>
          <w:kern w:val="44"/>
        </w:rPr>
        <w:t>（六）依照法定条件和程序，决定或者批准企业厂长的任免（聘任、解聘）和奖惩；</w:t>
      </w:r>
    </w:p>
    <w:p w14:paraId="1AFE88CC">
      <w:pPr>
        <w:jc w:val="left"/>
        <w:rPr>
          <w:rFonts w:ascii="宋体" w:hAnsi="宋体"/>
          <w:kern w:val="44"/>
        </w:rPr>
      </w:pPr>
      <w:r>
        <w:rPr>
          <w:rFonts w:hint="eastAsia" w:ascii="宋体" w:hAnsi="宋体"/>
          <w:kern w:val="44"/>
        </w:rPr>
        <w:t>（七）拟定企业财产管理法规、规章，并对执行情况进行监督、检查；</w:t>
      </w:r>
    </w:p>
    <w:p w14:paraId="13599A52">
      <w:pPr>
        <w:jc w:val="left"/>
        <w:rPr>
          <w:rFonts w:ascii="宋体" w:hAnsi="宋体"/>
          <w:kern w:val="44"/>
        </w:rPr>
      </w:pPr>
      <w:r>
        <w:rPr>
          <w:rFonts w:hint="eastAsia" w:ascii="宋体" w:hAnsi="宋体"/>
          <w:kern w:val="44"/>
        </w:rPr>
        <w:t>（八）维护企业依法行使经营权，保障企业的生产经营活动不受干预，协助企业解决实际困难；</w:t>
      </w:r>
    </w:p>
    <w:p w14:paraId="08EE956E">
      <w:pPr>
        <w:jc w:val="left"/>
        <w:rPr>
          <w:rFonts w:ascii="宋体" w:hAnsi="宋体"/>
          <w:kern w:val="44"/>
        </w:rPr>
      </w:pPr>
      <w:r>
        <w:rPr>
          <w:rFonts w:hint="eastAsia" w:ascii="宋体" w:hAnsi="宋体"/>
          <w:kern w:val="44"/>
        </w:rPr>
        <w:t>（九）加强企业保卫工作，维护生产秩序，保护国家财产不受侵犯，保护企业经营者依法行使职权。</w:t>
      </w:r>
    </w:p>
    <w:p w14:paraId="595D31A4">
      <w:pPr>
        <w:ind w:firstLine="422"/>
        <w:jc w:val="left"/>
        <w:rPr>
          <w:rFonts w:ascii="宋体" w:hAnsi="宋体"/>
          <w:kern w:val="44"/>
        </w:rPr>
      </w:pPr>
      <w:r>
        <w:rPr>
          <w:rFonts w:hint="eastAsia" w:ascii="宋体" w:hAnsi="宋体"/>
          <w:b/>
          <w:kern w:val="44"/>
        </w:rPr>
        <w:t>第三十四条</w:t>
      </w:r>
      <w:r>
        <w:rPr>
          <w:rFonts w:hint="eastAsia" w:ascii="宋体" w:hAnsi="宋体"/>
          <w:kern w:val="44"/>
        </w:rPr>
        <w:t>　建立完善宏观调控体系</w:t>
      </w:r>
    </w:p>
    <w:p w14:paraId="1205E31D">
      <w:pPr>
        <w:jc w:val="left"/>
        <w:rPr>
          <w:rFonts w:ascii="宋体" w:hAnsi="宋体"/>
          <w:kern w:val="44"/>
        </w:rPr>
      </w:pPr>
      <w:r>
        <w:rPr>
          <w:rFonts w:hint="eastAsia" w:ascii="宋体" w:hAnsi="宋体"/>
          <w:kern w:val="44"/>
        </w:rPr>
        <w:t>（一）根据国家发展战略规划、方针和产业政策，制定本市发展战略，提出落实国家产业政策的实施办法，定期公布本市鼓励、允许、限制、禁止的行业、项目和产品目录，对企业进行宏观调控的导向；利用税率、利率和价格等经济杠杆，引导企业行为。</w:t>
      </w:r>
    </w:p>
    <w:p w14:paraId="1F7D1F02">
      <w:pPr>
        <w:jc w:val="left"/>
        <w:rPr>
          <w:rFonts w:ascii="宋体" w:hAnsi="宋体"/>
          <w:kern w:val="44"/>
        </w:rPr>
      </w:pPr>
      <w:r>
        <w:rPr>
          <w:rFonts w:hint="eastAsia" w:ascii="宋体" w:hAnsi="宋体"/>
          <w:kern w:val="44"/>
        </w:rPr>
        <w:t>（二）加强行业管理，破除行政隶属关系的限制，发挥行业协会在行业发展中的作用。行业协会通过发布国内外行业发展动态的信息，引导企业的发展方向，减少企业生产和市场竞争的盲目性，也可根据政府的委托，提出行业发展方面的建议和咨询意见。</w:t>
      </w:r>
    </w:p>
    <w:p w14:paraId="3586FBC1">
      <w:pPr>
        <w:jc w:val="left"/>
        <w:rPr>
          <w:rFonts w:ascii="宋体" w:hAnsi="宋体"/>
          <w:kern w:val="44"/>
        </w:rPr>
      </w:pPr>
      <w:r>
        <w:rPr>
          <w:rFonts w:hint="eastAsia" w:ascii="宋体" w:hAnsi="宋体"/>
          <w:kern w:val="44"/>
        </w:rPr>
        <w:t>（三）引导企业进行组织结构的调整，鼓励企业形成跨行业、跨地区的企业集团，促进资源的合理配置，提高经济效益。根据生产力发展的需要，引导企业划小核算单位，提高企业市场竞争能力。</w:t>
      </w:r>
    </w:p>
    <w:p w14:paraId="268A5C8D">
      <w:pPr>
        <w:ind w:firstLine="422"/>
        <w:jc w:val="left"/>
        <w:rPr>
          <w:rFonts w:ascii="宋体" w:hAnsi="宋体"/>
          <w:kern w:val="44"/>
        </w:rPr>
      </w:pPr>
      <w:r>
        <w:rPr>
          <w:rFonts w:hint="eastAsia" w:ascii="宋体" w:hAnsi="宋体"/>
          <w:b/>
          <w:kern w:val="44"/>
        </w:rPr>
        <w:t>第三十五条</w:t>
      </w:r>
      <w:r>
        <w:rPr>
          <w:rFonts w:hint="eastAsia" w:ascii="宋体" w:hAnsi="宋体"/>
          <w:kern w:val="44"/>
        </w:rPr>
        <w:t>　培育和完善市场体系</w:t>
      </w:r>
    </w:p>
    <w:p w14:paraId="0472F339">
      <w:pPr>
        <w:jc w:val="left"/>
        <w:rPr>
          <w:rFonts w:ascii="宋体" w:hAnsi="宋体"/>
          <w:kern w:val="44"/>
        </w:rPr>
      </w:pPr>
      <w:r>
        <w:rPr>
          <w:rFonts w:hint="eastAsia" w:ascii="宋体" w:hAnsi="宋体"/>
          <w:kern w:val="44"/>
        </w:rPr>
        <w:t>（一）培育和完善市场体系的基本目标是打破地区、部门分割和封锁，建立和完善平等竞争、规划健全的全国统一市场。</w:t>
      </w:r>
    </w:p>
    <w:p w14:paraId="3A7AE72B">
      <w:pPr>
        <w:jc w:val="left"/>
        <w:rPr>
          <w:rFonts w:ascii="宋体" w:hAnsi="宋体"/>
          <w:kern w:val="44"/>
        </w:rPr>
      </w:pPr>
      <w:r>
        <w:rPr>
          <w:rFonts w:hint="eastAsia" w:ascii="宋体" w:hAnsi="宋体"/>
          <w:kern w:val="44"/>
        </w:rPr>
        <w:t>（二）政府有关部门要研究和提出本市建立生产资料市场、劳务市场、金融市场、技术市场、信息市场、企业产权转让市场的规划性意见，逐步形成市场体系。对生产资料市场、劳务市场，要尽快发展和完善。积极发展工业劳务市场，开展富余职工余缺调剂，组织跨系统、跨行业、跨地区的劳务输出，组织富余人员从事劳务承包。按照企业的委托，代办招工，代存档案，招聘有关事宜，使之成为解决企业供需的主要场所和方式。</w:t>
      </w:r>
    </w:p>
    <w:p w14:paraId="3A54B449">
      <w:pPr>
        <w:jc w:val="left"/>
        <w:rPr>
          <w:rFonts w:ascii="宋体" w:hAnsi="宋体"/>
          <w:kern w:val="44"/>
        </w:rPr>
      </w:pPr>
      <w:r>
        <w:rPr>
          <w:rFonts w:hint="eastAsia" w:ascii="宋体" w:hAnsi="宋体"/>
          <w:kern w:val="44"/>
        </w:rPr>
        <w:t>（三）发布市场信息，制定市场管理的法规、规章、政策，加强市场管理，制止违法经营和不正当的竞争行为，保护企业进行平等竞争。</w:t>
      </w:r>
    </w:p>
    <w:p w14:paraId="608782A5">
      <w:pPr>
        <w:ind w:firstLine="422"/>
        <w:jc w:val="left"/>
        <w:rPr>
          <w:rFonts w:ascii="宋体" w:hAnsi="宋体"/>
          <w:kern w:val="44"/>
        </w:rPr>
      </w:pPr>
      <w:r>
        <w:rPr>
          <w:rFonts w:hint="eastAsia" w:ascii="宋体" w:hAnsi="宋体"/>
          <w:b/>
          <w:kern w:val="44"/>
        </w:rPr>
        <w:t>第三十六条</w:t>
      </w:r>
      <w:r>
        <w:rPr>
          <w:rFonts w:hint="eastAsia" w:ascii="宋体" w:hAnsi="宋体"/>
          <w:kern w:val="44"/>
        </w:rPr>
        <w:t>　建立健全和完善社会保障体系</w:t>
      </w:r>
    </w:p>
    <w:p w14:paraId="6A377E93">
      <w:pPr>
        <w:jc w:val="left"/>
        <w:rPr>
          <w:rFonts w:ascii="宋体" w:hAnsi="宋体"/>
          <w:kern w:val="44"/>
        </w:rPr>
      </w:pPr>
      <w:r>
        <w:rPr>
          <w:rFonts w:hint="eastAsia" w:ascii="宋体" w:hAnsi="宋体"/>
          <w:kern w:val="44"/>
        </w:rPr>
        <w:t>（一）建立健全和完善养老保险制度。基本养老保险费用由国家、企业、职工个人三者共同合理负担。</w:t>
      </w:r>
    </w:p>
    <w:p w14:paraId="4438BD68">
      <w:pPr>
        <w:jc w:val="left"/>
        <w:rPr>
          <w:rFonts w:ascii="宋体" w:hAnsi="宋体"/>
          <w:kern w:val="44"/>
        </w:rPr>
      </w:pPr>
      <w:r>
        <w:rPr>
          <w:rFonts w:hint="eastAsia" w:ascii="宋体" w:hAnsi="宋体"/>
          <w:kern w:val="44"/>
        </w:rPr>
        <w:t>要改变现行的通过企业所属区、县、局、总公司向企业缴、拨养老保险基金的管理体制，逐步过渡到由区、县社会保险统筹机构直接向辖区内的企业缴、拨养老保险基金的管理体制。企业退休人员从企业管理为主逐步向社会管理为主过渡。</w:t>
      </w:r>
    </w:p>
    <w:p w14:paraId="63324E94">
      <w:pPr>
        <w:jc w:val="left"/>
        <w:rPr>
          <w:rFonts w:ascii="宋体" w:hAnsi="宋体"/>
          <w:kern w:val="44"/>
        </w:rPr>
      </w:pPr>
      <w:r>
        <w:rPr>
          <w:rFonts w:hint="eastAsia" w:ascii="宋体" w:hAnsi="宋体"/>
          <w:kern w:val="44"/>
        </w:rPr>
        <w:t>（二）建立和完善职工失业保险制度，使职工在失业期间能够得到一定数量和一定期限的待业保险金，保证其基本生活。</w:t>
      </w:r>
    </w:p>
    <w:p w14:paraId="245A1F6E">
      <w:pPr>
        <w:jc w:val="left"/>
        <w:rPr>
          <w:rFonts w:ascii="宋体" w:hAnsi="宋体"/>
          <w:kern w:val="44"/>
        </w:rPr>
      </w:pPr>
      <w:r>
        <w:rPr>
          <w:rFonts w:hint="eastAsia" w:ascii="宋体" w:hAnsi="宋体"/>
          <w:kern w:val="44"/>
        </w:rPr>
        <w:t>（三）建立和完善医疗保险、工伤保险和生育保险等制度。</w:t>
      </w:r>
    </w:p>
    <w:p w14:paraId="2F0EF0EB">
      <w:pPr>
        <w:ind w:firstLine="422"/>
        <w:jc w:val="left"/>
        <w:rPr>
          <w:rFonts w:ascii="宋体" w:hAnsi="宋体"/>
          <w:kern w:val="44"/>
        </w:rPr>
      </w:pPr>
      <w:r>
        <w:rPr>
          <w:rFonts w:hint="eastAsia" w:ascii="宋体" w:hAnsi="宋体"/>
          <w:b/>
          <w:kern w:val="44"/>
        </w:rPr>
        <w:t>第三十七条</w:t>
      </w:r>
      <w:r>
        <w:rPr>
          <w:rFonts w:hint="eastAsia" w:ascii="宋体" w:hAnsi="宋体"/>
          <w:kern w:val="44"/>
        </w:rPr>
        <w:t>　完善社会服务体系</w:t>
      </w:r>
    </w:p>
    <w:p w14:paraId="78CEDA83">
      <w:pPr>
        <w:jc w:val="left"/>
        <w:rPr>
          <w:rFonts w:ascii="宋体" w:hAnsi="宋体"/>
          <w:kern w:val="44"/>
        </w:rPr>
      </w:pPr>
      <w:r>
        <w:rPr>
          <w:rFonts w:hint="eastAsia" w:ascii="宋体" w:hAnsi="宋体"/>
          <w:kern w:val="44"/>
        </w:rPr>
        <w:t>（一）建立和发展会计师事务所、审计事务所、税务事务所、职业介绍所、律师事务所、资产评估机构投资招商和劳动就业指导等多种信息、管理、咨询等服务机构，发挥其仲裁、公证、咨询等多方面作用，提倡多方位、全过程的服务，逐步形成社会服务网络。</w:t>
      </w:r>
    </w:p>
    <w:p w14:paraId="4BD88333">
      <w:pPr>
        <w:jc w:val="left"/>
        <w:rPr>
          <w:rFonts w:ascii="宋体" w:hAnsi="宋体"/>
          <w:kern w:val="44"/>
        </w:rPr>
      </w:pPr>
      <w:r>
        <w:rPr>
          <w:rFonts w:hint="eastAsia" w:ascii="宋体" w:hAnsi="宋体"/>
          <w:kern w:val="44"/>
        </w:rPr>
        <w:t>（二）政府各部门要加强社会服务体系的指导、管理和监督，提高服务水平和服务质量。</w:t>
      </w:r>
    </w:p>
    <w:p w14:paraId="16FF63E1">
      <w:pPr>
        <w:ind w:firstLine="422"/>
        <w:jc w:val="left"/>
        <w:rPr>
          <w:rFonts w:ascii="宋体" w:hAnsi="宋体"/>
          <w:kern w:val="44"/>
        </w:rPr>
      </w:pPr>
      <w:r>
        <w:rPr>
          <w:rFonts w:hint="eastAsia" w:ascii="宋体" w:hAnsi="宋体"/>
          <w:b/>
          <w:kern w:val="44"/>
        </w:rPr>
        <w:t>第三十八条</w:t>
      </w:r>
      <w:r>
        <w:rPr>
          <w:rFonts w:hint="eastAsia" w:ascii="宋体" w:hAnsi="宋体"/>
          <w:kern w:val="44"/>
        </w:rPr>
        <w:t>　政府部门应负的法律责任政府有关部门和企业主管部门违反《条例》和本办法的规定，企业可以向其上级机关或市人民政府投诉，由上级机关责令其改正；情节严重的，由同级机关或者有关上级机关对主管人员或直接责任人员给予行政处分，构成犯罪的，由司法机关依法追究刑事责任。</w:t>
      </w:r>
    </w:p>
    <w:p w14:paraId="7B72F3ED">
      <w:pPr>
        <w:jc w:val="left"/>
        <w:rPr>
          <w:rFonts w:ascii="宋体" w:hAnsi="宋体"/>
          <w:kern w:val="44"/>
        </w:rPr>
      </w:pPr>
      <w:r>
        <w:rPr>
          <w:rFonts w:hint="eastAsia" w:ascii="宋体" w:hAnsi="宋体"/>
          <w:kern w:val="44"/>
        </w:rPr>
        <w:t>政府主管部门在接到企业投诉后，必须在7日内作出是否受理的决定；在30日内作出处理决定，并将处理结果告知投诉企业。</w:t>
      </w:r>
    </w:p>
    <w:p w14:paraId="30D02A10">
      <w:pPr>
        <w:ind w:firstLine="422"/>
        <w:jc w:val="left"/>
        <w:rPr>
          <w:rFonts w:ascii="宋体" w:hAnsi="宋体"/>
          <w:kern w:val="44"/>
        </w:rPr>
      </w:pPr>
      <w:r>
        <w:rPr>
          <w:rFonts w:hint="eastAsia" w:ascii="宋体" w:hAnsi="宋体"/>
          <w:b/>
          <w:kern w:val="44"/>
        </w:rPr>
        <w:t>第三十九条</w:t>
      </w:r>
      <w:r>
        <w:rPr>
          <w:rFonts w:hint="eastAsia" w:ascii="宋体" w:hAnsi="宋体"/>
          <w:kern w:val="44"/>
        </w:rPr>
        <w:t>　企业应负的法律责任</w:t>
      </w:r>
    </w:p>
    <w:p w14:paraId="77E3DBC2">
      <w:pPr>
        <w:jc w:val="left"/>
        <w:rPr>
          <w:rFonts w:ascii="宋体" w:hAnsi="宋体"/>
          <w:kern w:val="44"/>
        </w:rPr>
      </w:pPr>
      <w:r>
        <w:rPr>
          <w:rFonts w:hint="eastAsia" w:ascii="宋体" w:hAnsi="宋体"/>
          <w:kern w:val="44"/>
        </w:rPr>
        <w:t>企业违反《条例》和本办法的规定，政府或者政府有关部门应当责令其改正；情节严重的，对厂长、其他厂级领导和直接责任人员，分别追究行政责任、给予经济处罚，并依照有关法律、法规，对企业给予相应的行政处罚；构成犯罪的，由司法机关依法追究刑事责任。</w:t>
      </w:r>
    </w:p>
    <w:p w14:paraId="242C6B64">
      <w:pPr>
        <w:ind w:firstLine="422"/>
        <w:jc w:val="left"/>
        <w:rPr>
          <w:rFonts w:ascii="宋体" w:hAnsi="宋体"/>
          <w:kern w:val="44"/>
        </w:rPr>
      </w:pPr>
      <w:r>
        <w:rPr>
          <w:rFonts w:hint="eastAsia" w:ascii="宋体" w:hAnsi="宋体"/>
          <w:b/>
          <w:kern w:val="44"/>
        </w:rPr>
        <w:t>第四十条</w:t>
      </w:r>
      <w:r>
        <w:rPr>
          <w:rFonts w:hint="eastAsia" w:ascii="宋体" w:hAnsi="宋体"/>
          <w:kern w:val="44"/>
        </w:rPr>
        <w:t>　保护企业行使职权</w:t>
      </w:r>
    </w:p>
    <w:p w14:paraId="460E8E7D">
      <w:pPr>
        <w:jc w:val="left"/>
        <w:rPr>
          <w:rFonts w:ascii="宋体" w:hAnsi="宋体"/>
          <w:kern w:val="44"/>
        </w:rPr>
      </w:pPr>
      <w:r>
        <w:rPr>
          <w:rFonts w:hint="eastAsia" w:ascii="宋体" w:hAnsi="宋体"/>
          <w:kern w:val="44"/>
        </w:rPr>
        <w:t>阻碍厂长和各级管理人员依法行使职权的，或者扰乱企业秩序，致使生产、营业、工作不能正常进行的行为，由企业所在地的公安机关依照《中华人民共和国治安管理处罚条例》予以处罚。</w:t>
      </w:r>
    </w:p>
    <w:p w14:paraId="0B3AD806">
      <w:pPr>
        <w:ind w:firstLine="422"/>
        <w:jc w:val="left"/>
        <w:rPr>
          <w:rFonts w:ascii="宋体" w:hAnsi="宋体"/>
          <w:kern w:val="44"/>
        </w:rPr>
      </w:pPr>
      <w:r>
        <w:rPr>
          <w:rFonts w:hint="eastAsia" w:ascii="宋体" w:hAnsi="宋体"/>
          <w:b/>
          <w:kern w:val="44"/>
        </w:rPr>
        <w:t>第四十一条</w:t>
      </w:r>
      <w:r>
        <w:rPr>
          <w:rFonts w:hint="eastAsia" w:ascii="宋体" w:hAnsi="宋体"/>
          <w:kern w:val="44"/>
        </w:rPr>
        <w:t>　企业申请行政复议与提起行政诉讼</w:t>
      </w:r>
    </w:p>
    <w:p w14:paraId="06547944">
      <w:pPr>
        <w:jc w:val="left"/>
        <w:rPr>
          <w:rFonts w:ascii="宋体" w:hAnsi="宋体"/>
          <w:kern w:val="44"/>
        </w:rPr>
      </w:pPr>
      <w:r>
        <w:rPr>
          <w:rFonts w:hint="eastAsia" w:ascii="宋体" w:hAnsi="宋体"/>
          <w:kern w:val="44"/>
        </w:rPr>
        <w:t>政府有关部门有下列行为之一的，企业可以依法申请复议，也可以直接向人民法院提起行政诉讼。</w:t>
      </w:r>
    </w:p>
    <w:p w14:paraId="66591E5D">
      <w:pPr>
        <w:jc w:val="left"/>
        <w:rPr>
          <w:rFonts w:ascii="宋体" w:hAnsi="宋体"/>
          <w:kern w:val="44"/>
        </w:rPr>
      </w:pPr>
      <w:r>
        <w:rPr>
          <w:rFonts w:hint="eastAsia" w:ascii="宋体" w:hAnsi="宋体"/>
          <w:kern w:val="44"/>
        </w:rPr>
        <w:t>（一）侵犯法律、法规、规章规定的经营自主权的；</w:t>
      </w:r>
    </w:p>
    <w:p w14:paraId="12190744">
      <w:pPr>
        <w:jc w:val="left"/>
        <w:rPr>
          <w:rFonts w:ascii="宋体" w:hAnsi="宋体"/>
          <w:kern w:val="44"/>
        </w:rPr>
      </w:pPr>
      <w:r>
        <w:rPr>
          <w:rFonts w:hint="eastAsia" w:ascii="宋体" w:hAnsi="宋体"/>
          <w:kern w:val="44"/>
        </w:rPr>
        <w:t>（二）拒绝或者逾期不予答复企业申请颁发许可证和执照的；</w:t>
      </w:r>
    </w:p>
    <w:p w14:paraId="3F3118D9">
      <w:pPr>
        <w:jc w:val="left"/>
        <w:rPr>
          <w:rFonts w:ascii="宋体" w:hAnsi="宋体"/>
          <w:kern w:val="44"/>
        </w:rPr>
      </w:pPr>
      <w:r>
        <w:rPr>
          <w:rFonts w:hint="eastAsia" w:ascii="宋体" w:hAnsi="宋体"/>
          <w:kern w:val="44"/>
        </w:rPr>
        <w:t>（三）违法要求企业履行义务的；</w:t>
      </w:r>
    </w:p>
    <w:p w14:paraId="2298E23C">
      <w:pPr>
        <w:jc w:val="left"/>
        <w:rPr>
          <w:rFonts w:ascii="宋体" w:hAnsi="宋体"/>
          <w:kern w:val="44"/>
        </w:rPr>
      </w:pPr>
      <w:r>
        <w:rPr>
          <w:rFonts w:hint="eastAsia" w:ascii="宋体" w:hAnsi="宋体"/>
          <w:kern w:val="44"/>
        </w:rPr>
        <w:t>（四）对企业依法提出的申请或者投诉不予受理或逾期不予答复的。</w:t>
      </w:r>
    </w:p>
    <w:p w14:paraId="5F6841B9">
      <w:pPr>
        <w:ind w:firstLine="422"/>
        <w:jc w:val="left"/>
        <w:rPr>
          <w:rFonts w:ascii="宋体" w:hAnsi="宋体"/>
          <w:kern w:val="44"/>
        </w:rPr>
      </w:pPr>
      <w:r>
        <w:rPr>
          <w:rFonts w:hint="eastAsia" w:ascii="宋体" w:hAnsi="宋体"/>
          <w:b/>
          <w:kern w:val="44"/>
        </w:rPr>
        <w:t>第四十二条</w:t>
      </w:r>
      <w:r>
        <w:rPr>
          <w:rFonts w:hint="eastAsia" w:ascii="宋体" w:hAnsi="宋体"/>
          <w:kern w:val="44"/>
        </w:rPr>
        <w:t>　《条例》与本办法一并执行本办法是《条例》的补充和具体化。《条例》有明确规定，本办法中未列入的，按照《条例》规定执行。</w:t>
      </w:r>
    </w:p>
    <w:p w14:paraId="03936FEA">
      <w:pPr>
        <w:ind w:firstLine="422"/>
        <w:jc w:val="left"/>
        <w:rPr>
          <w:rFonts w:ascii="宋体" w:hAnsi="宋体"/>
          <w:kern w:val="44"/>
        </w:rPr>
      </w:pPr>
      <w:r>
        <w:rPr>
          <w:rFonts w:hint="eastAsia" w:ascii="宋体" w:hAnsi="宋体"/>
          <w:b/>
          <w:kern w:val="44"/>
        </w:rPr>
        <w:t>第四十三条</w:t>
      </w:r>
      <w:r>
        <w:rPr>
          <w:rFonts w:hint="eastAsia" w:ascii="宋体" w:hAnsi="宋体"/>
          <w:kern w:val="44"/>
        </w:rPr>
        <w:t>　办法适用范围</w:t>
      </w:r>
    </w:p>
    <w:p w14:paraId="76C7204B">
      <w:pPr>
        <w:jc w:val="left"/>
        <w:rPr>
          <w:rFonts w:ascii="宋体" w:hAnsi="宋体"/>
          <w:kern w:val="44"/>
        </w:rPr>
      </w:pPr>
      <w:r>
        <w:rPr>
          <w:rFonts w:hint="eastAsia" w:ascii="宋体" w:hAnsi="宋体"/>
          <w:kern w:val="44"/>
        </w:rPr>
        <w:t>本办法适用本市行政区或内市、区、县所属全民所有制工业企业，其原则适用于全民所有制交通运输、邮电、地质勘探、建筑安装、商业、外贸、物资、农林、水利、科技等企业。</w:t>
      </w:r>
    </w:p>
    <w:p w14:paraId="28F6EC1E">
      <w:pPr>
        <w:ind w:firstLine="422"/>
        <w:jc w:val="left"/>
        <w:rPr>
          <w:rFonts w:ascii="宋体" w:hAnsi="宋体"/>
          <w:kern w:val="44"/>
        </w:rPr>
      </w:pPr>
      <w:r>
        <w:rPr>
          <w:rFonts w:hint="eastAsia" w:ascii="宋体" w:hAnsi="宋体"/>
          <w:b/>
          <w:kern w:val="44"/>
        </w:rPr>
        <w:t>第四十四条</w:t>
      </w:r>
      <w:r>
        <w:rPr>
          <w:rFonts w:hint="eastAsia" w:ascii="宋体" w:hAnsi="宋体"/>
          <w:kern w:val="44"/>
        </w:rPr>
        <w:t>　清理法规、文件</w:t>
      </w:r>
    </w:p>
    <w:p w14:paraId="51C83F9F">
      <w:pPr>
        <w:jc w:val="left"/>
        <w:rPr>
          <w:rFonts w:ascii="宋体" w:hAnsi="宋体"/>
          <w:kern w:val="44"/>
        </w:rPr>
      </w:pPr>
      <w:r>
        <w:rPr>
          <w:rFonts w:hint="eastAsia" w:ascii="宋体" w:hAnsi="宋体"/>
          <w:kern w:val="44"/>
        </w:rPr>
        <w:t>本办法发布前的北京市规章和其他行政性文件的内容，与本办法相抵触的，以本办法为准。</w:t>
      </w:r>
    </w:p>
    <w:p w14:paraId="2E13F394">
      <w:pPr>
        <w:ind w:firstLine="422"/>
        <w:jc w:val="left"/>
        <w:rPr>
          <w:rFonts w:ascii="宋体" w:hAnsi="宋体"/>
          <w:kern w:val="44"/>
        </w:rPr>
      </w:pPr>
      <w:r>
        <w:rPr>
          <w:rFonts w:hint="eastAsia" w:ascii="宋体" w:hAnsi="宋体"/>
          <w:b/>
          <w:kern w:val="44"/>
        </w:rPr>
        <w:t>第四十五条</w:t>
      </w:r>
      <w:r>
        <w:rPr>
          <w:rFonts w:hint="eastAsia" w:ascii="宋体" w:hAnsi="宋体"/>
          <w:kern w:val="44"/>
        </w:rPr>
        <w:t>　组织实施</w:t>
      </w:r>
    </w:p>
    <w:p w14:paraId="6369A7E3">
      <w:pPr>
        <w:jc w:val="left"/>
        <w:rPr>
          <w:rFonts w:ascii="宋体" w:hAnsi="宋体"/>
          <w:kern w:val="44"/>
        </w:rPr>
      </w:pPr>
      <w:r>
        <w:rPr>
          <w:rFonts w:hint="eastAsia" w:ascii="宋体" w:hAnsi="宋体"/>
          <w:kern w:val="44"/>
        </w:rPr>
        <w:t>本办法执行中的具体问题，由市经济体制改革委员会负责解释。市经济委员会会同市人民政府有关部门组织实施。市人民政府法制办公室对本办法的实施负责监督检查。</w:t>
      </w:r>
    </w:p>
    <w:p w14:paraId="3A48BD12">
      <w:pPr>
        <w:ind w:firstLine="422"/>
        <w:jc w:val="left"/>
        <w:rPr>
          <w:rFonts w:ascii="宋体" w:hAnsi="宋体"/>
          <w:kern w:val="44"/>
        </w:rPr>
      </w:pPr>
      <w:r>
        <w:rPr>
          <w:rFonts w:hint="eastAsia" w:ascii="宋体" w:hAnsi="宋体"/>
          <w:b/>
          <w:kern w:val="44"/>
        </w:rPr>
        <w:t>第四十六条</w:t>
      </w:r>
      <w:r>
        <w:rPr>
          <w:rFonts w:hint="eastAsia" w:ascii="宋体" w:hAnsi="宋体"/>
          <w:kern w:val="44"/>
        </w:rPr>
        <w:t>　本办法自发布之日起施行。</w:t>
      </w:r>
    </w:p>
    <w:p w14:paraId="754AF3DD">
      <w:pPr>
        <w:pStyle w:val="4"/>
        <w:pageBreakBefore/>
        <w:rPr>
          <w:kern w:val="44"/>
        </w:rPr>
      </w:pPr>
      <w:bookmarkStart w:id="1387" w:name="_Toc422471363"/>
      <w:bookmarkStart w:id="1388" w:name="_Toc428780196"/>
      <w:bookmarkStart w:id="1389" w:name="_Toc428781678"/>
      <w:bookmarkStart w:id="1390" w:name="_Toc427651630"/>
      <w:bookmarkStart w:id="1391" w:name="_Toc427651972"/>
      <w:r>
        <w:rPr>
          <w:rFonts w:hint="eastAsia"/>
          <w:kern w:val="44"/>
        </w:rPr>
        <w:t>北京市劳动就业服务企业</w:t>
      </w:r>
      <w:bookmarkEnd w:id="1387"/>
      <w:bookmarkStart w:id="1392" w:name="_Toc422471364"/>
      <w:r>
        <w:rPr>
          <w:rFonts w:hint="eastAsia"/>
          <w:kern w:val="44"/>
        </w:rPr>
        <w:t>管理实施办法</w:t>
      </w:r>
      <w:bookmarkEnd w:id="1388"/>
      <w:bookmarkEnd w:id="1389"/>
      <w:bookmarkEnd w:id="1390"/>
      <w:bookmarkEnd w:id="1391"/>
      <w:bookmarkEnd w:id="1392"/>
    </w:p>
    <w:p w14:paraId="7ABBC6A7">
      <w:pPr>
        <w:ind w:left="630" w:leftChars="300" w:right="630" w:rightChars="300"/>
        <w:jc w:val="left"/>
        <w:rPr>
          <w:rFonts w:ascii="楷体" w:hAnsi="楷体" w:eastAsia="楷体"/>
          <w:kern w:val="44"/>
        </w:rPr>
      </w:pPr>
      <w:r>
        <w:rPr>
          <w:rFonts w:hint="eastAsia" w:ascii="楷体" w:hAnsi="楷体" w:eastAsia="楷体"/>
          <w:kern w:val="44"/>
        </w:rPr>
        <w:t>（1993年8月25日北京市人民政府第11号令发布　根据2007年11月23日北京市人民政府第200号令第一次修改　根据2014年7月9日北京市人民政府第259号令第二次修改 ）</w:t>
      </w:r>
    </w:p>
    <w:p w14:paraId="6E23BFFD">
      <w:pPr>
        <w:jc w:val="left"/>
        <w:rPr>
          <w:rFonts w:ascii="宋体" w:hAnsi="宋体"/>
          <w:kern w:val="44"/>
        </w:rPr>
      </w:pPr>
    </w:p>
    <w:p w14:paraId="37D6F759">
      <w:pPr>
        <w:ind w:firstLine="422"/>
        <w:jc w:val="left"/>
        <w:rPr>
          <w:rFonts w:ascii="宋体" w:hAnsi="宋体"/>
          <w:kern w:val="44"/>
        </w:rPr>
      </w:pPr>
      <w:r>
        <w:rPr>
          <w:rFonts w:hint="eastAsia" w:ascii="宋体" w:hAnsi="宋体"/>
          <w:b/>
          <w:kern w:val="44"/>
        </w:rPr>
        <w:t>第一条</w:t>
      </w:r>
      <w:r>
        <w:rPr>
          <w:rFonts w:hint="eastAsia" w:ascii="宋体" w:hAnsi="宋体"/>
          <w:kern w:val="44"/>
        </w:rPr>
        <w:t>　根据国务院《劳动就业服务企业管理规定》（以下简称《规定》），结合本市实际情况，制定本办法。</w:t>
      </w:r>
    </w:p>
    <w:p w14:paraId="55032B8D">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本市行政区域内劳动就业服务企业的管理，全面执行《规定》和本办法。</w:t>
      </w:r>
    </w:p>
    <w:p w14:paraId="62A46420">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市和区、县劳动行政部门和各行业主管部门依照《规定》规定的职责，负责对本地区、本部门的劳动就业服务企业进行规划、组织、指导、协调和监督管理。</w:t>
      </w:r>
    </w:p>
    <w:p w14:paraId="78EE80CE">
      <w:pPr>
        <w:ind w:firstLine="422"/>
        <w:jc w:val="left"/>
        <w:rPr>
          <w:rFonts w:ascii="宋体" w:hAnsi="宋体"/>
          <w:kern w:val="44"/>
        </w:rPr>
      </w:pPr>
      <w:r>
        <w:rPr>
          <w:rFonts w:hint="eastAsia" w:ascii="宋体" w:hAnsi="宋体"/>
          <w:b/>
          <w:kern w:val="44"/>
        </w:rPr>
        <w:t>第四条</w:t>
      </w:r>
      <w:r>
        <w:rPr>
          <w:rFonts w:hint="eastAsia" w:ascii="宋体" w:hAnsi="宋体"/>
          <w:kern w:val="44"/>
        </w:rPr>
        <w:t>　劳动就业服务企业必须符合下列条件：</w:t>
      </w:r>
    </w:p>
    <w:p w14:paraId="535DCB60">
      <w:pPr>
        <w:jc w:val="left"/>
        <w:rPr>
          <w:rFonts w:ascii="宋体" w:hAnsi="宋体"/>
          <w:kern w:val="44"/>
        </w:rPr>
      </w:pPr>
      <w:r>
        <w:rPr>
          <w:rFonts w:hint="eastAsia" w:ascii="宋体" w:hAnsi="宋体"/>
          <w:kern w:val="44"/>
        </w:rPr>
        <w:t>（一）企业开办时，城镇待业人员占从业人员的60％以上（含60％）；</w:t>
      </w:r>
    </w:p>
    <w:p w14:paraId="562A3E4F">
      <w:pPr>
        <w:jc w:val="left"/>
        <w:rPr>
          <w:rFonts w:ascii="宋体" w:hAnsi="宋体"/>
          <w:kern w:val="44"/>
        </w:rPr>
      </w:pPr>
      <w:r>
        <w:rPr>
          <w:rFonts w:hint="eastAsia" w:ascii="宋体" w:hAnsi="宋体"/>
          <w:kern w:val="44"/>
        </w:rPr>
        <w:t>（二）企业存续期间留存的城镇待业人员的比例不低于从业人员的10％（含10％）。</w:t>
      </w:r>
    </w:p>
    <w:p w14:paraId="54DD6C5C">
      <w:pPr>
        <w:jc w:val="left"/>
        <w:rPr>
          <w:rFonts w:ascii="宋体" w:hAnsi="宋体"/>
          <w:kern w:val="44"/>
        </w:rPr>
      </w:pPr>
      <w:r>
        <w:rPr>
          <w:rFonts w:hint="eastAsia" w:ascii="宋体" w:hAnsi="宋体"/>
          <w:kern w:val="44"/>
        </w:rPr>
        <w:t>本条前款所称城镇待业人员，是指本市城镇居民中持有劳动行政部门核发的《求职证》的人员。</w:t>
      </w:r>
    </w:p>
    <w:p w14:paraId="6220E47C">
      <w:pPr>
        <w:ind w:firstLine="422"/>
        <w:jc w:val="left"/>
        <w:rPr>
          <w:rFonts w:ascii="宋体" w:hAnsi="宋体"/>
          <w:kern w:val="44"/>
        </w:rPr>
      </w:pPr>
      <w:r>
        <w:rPr>
          <w:rFonts w:hint="eastAsia" w:ascii="宋体" w:hAnsi="宋体"/>
          <w:b/>
          <w:kern w:val="44"/>
        </w:rPr>
        <w:t>第五条</w:t>
      </w:r>
      <w:r>
        <w:rPr>
          <w:rFonts w:hint="eastAsia" w:ascii="宋体" w:hAnsi="宋体"/>
          <w:kern w:val="44"/>
        </w:rPr>
        <w:t>　劳动就业服务企业的合并、分立，必须坚持自愿、平等的原则，由有关各方签订协议，处理好债权债务和其他财产关系，妥善安置企业人员。</w:t>
      </w:r>
    </w:p>
    <w:p w14:paraId="5A5E2C93">
      <w:pPr>
        <w:ind w:firstLine="422"/>
        <w:jc w:val="left"/>
        <w:rPr>
          <w:rFonts w:ascii="宋体" w:hAnsi="宋体"/>
          <w:kern w:val="44"/>
        </w:rPr>
      </w:pPr>
      <w:r>
        <w:rPr>
          <w:rFonts w:hint="eastAsia" w:ascii="宋体" w:hAnsi="宋体"/>
          <w:b/>
          <w:kern w:val="44"/>
        </w:rPr>
        <w:t>第六条</w:t>
      </w:r>
      <w:r>
        <w:rPr>
          <w:rFonts w:hint="eastAsia" w:ascii="宋体" w:hAnsi="宋体"/>
          <w:kern w:val="44"/>
        </w:rPr>
        <w:t>　劳动就业服务企业终止，应当依照国家有关规定清算企业财产，清偿各种债务和费用，并依法向工商行政管理部门办理注销登记，向同级劳动行政部门缴销《劳动就业服务企业证书》。</w:t>
      </w:r>
    </w:p>
    <w:p w14:paraId="2DBAECC9">
      <w:pPr>
        <w:ind w:firstLine="422"/>
        <w:jc w:val="left"/>
        <w:rPr>
          <w:rFonts w:ascii="宋体" w:hAnsi="宋体"/>
          <w:kern w:val="44"/>
        </w:rPr>
      </w:pPr>
      <w:r>
        <w:rPr>
          <w:rFonts w:hint="eastAsia" w:ascii="宋体" w:hAnsi="宋体"/>
          <w:b/>
          <w:kern w:val="44"/>
        </w:rPr>
        <w:t>第七条</w:t>
      </w:r>
      <w:r>
        <w:rPr>
          <w:rFonts w:hint="eastAsia" w:ascii="宋体" w:hAnsi="宋体"/>
          <w:kern w:val="44"/>
        </w:rPr>
        <w:t>　本市保护劳动就业服务企业的合法权益，任何部门、单位和个人不得以任何方式或借口平调、挪用、侵吞劳动就业服务企业的财产，不得非法改变劳动就业服务企业的性质和隶属关系，不得向劳动就业服务企业收取国家和市政府规定以外的各种行政性收费，不得无偿调用劳动就业服务企业的劳动力，不得干预劳动就业服务企业的经营自主权。</w:t>
      </w:r>
    </w:p>
    <w:p w14:paraId="2E7345D7">
      <w:pPr>
        <w:jc w:val="left"/>
        <w:rPr>
          <w:rFonts w:ascii="宋体" w:hAnsi="宋体"/>
          <w:kern w:val="44"/>
        </w:rPr>
      </w:pPr>
      <w:r>
        <w:rPr>
          <w:rFonts w:hint="eastAsia" w:ascii="宋体" w:hAnsi="宋体"/>
          <w:kern w:val="44"/>
        </w:rPr>
        <w:t>劳动就业服务企业管理机构向劳动就业服务企业收取的管理服务费不得超过该企业经营收入总额的3％。</w:t>
      </w:r>
    </w:p>
    <w:p w14:paraId="78928961">
      <w:pPr>
        <w:ind w:firstLine="422"/>
        <w:jc w:val="left"/>
        <w:rPr>
          <w:rFonts w:ascii="宋体" w:hAnsi="宋体"/>
          <w:kern w:val="44"/>
        </w:rPr>
      </w:pPr>
      <w:r>
        <w:rPr>
          <w:rFonts w:hint="eastAsia" w:ascii="宋体" w:hAnsi="宋体"/>
          <w:b/>
          <w:kern w:val="44"/>
        </w:rPr>
        <w:t>第八条</w:t>
      </w:r>
      <w:r>
        <w:rPr>
          <w:rFonts w:hint="eastAsia" w:ascii="宋体" w:hAnsi="宋体"/>
          <w:kern w:val="44"/>
        </w:rPr>
        <w:t>　劳动就业服务企业依法享受国家给予的各项税收优惠，具体办法按照国家和市税务主管机关的有关规定执行。</w:t>
      </w:r>
    </w:p>
    <w:p w14:paraId="48E41939">
      <w:pPr>
        <w:ind w:firstLine="422"/>
        <w:jc w:val="left"/>
        <w:rPr>
          <w:rFonts w:ascii="宋体" w:hAnsi="宋体"/>
          <w:kern w:val="44"/>
        </w:rPr>
      </w:pPr>
      <w:r>
        <w:rPr>
          <w:rFonts w:hint="eastAsia" w:ascii="宋体" w:hAnsi="宋体"/>
          <w:b/>
          <w:kern w:val="44"/>
        </w:rPr>
        <w:t>第九条</w:t>
      </w:r>
      <w:r>
        <w:rPr>
          <w:rFonts w:hint="eastAsia" w:ascii="宋体" w:hAnsi="宋体"/>
          <w:kern w:val="44"/>
        </w:rPr>
        <w:t>　劳动就业服务企业安置主办单位优化劳动组合精减的富余人员，达到市政府规定比例的，经税务部门批准，按照市政府有关规定享受税收优惠。</w:t>
      </w:r>
    </w:p>
    <w:p w14:paraId="11405C25">
      <w:pPr>
        <w:ind w:firstLine="422"/>
        <w:jc w:val="left"/>
        <w:rPr>
          <w:rFonts w:ascii="宋体" w:hAnsi="宋体"/>
          <w:kern w:val="44"/>
        </w:rPr>
      </w:pPr>
      <w:r>
        <w:rPr>
          <w:rFonts w:hint="eastAsia" w:ascii="宋体" w:hAnsi="宋体"/>
          <w:b/>
          <w:kern w:val="44"/>
        </w:rPr>
        <w:t>第十条</w:t>
      </w:r>
      <w:r>
        <w:rPr>
          <w:rFonts w:hint="eastAsia" w:ascii="宋体" w:hAnsi="宋体"/>
          <w:kern w:val="44"/>
        </w:rPr>
        <w:t>　金融机构对劳动就业服务企业正常生产经营所需的固定资产和流动资金贷款，在安排年度信贷计划时予以统筹安排。劳动就业服务企业贷款执行国家规定的利率。</w:t>
      </w:r>
    </w:p>
    <w:p w14:paraId="7DA6E692">
      <w:pPr>
        <w:ind w:firstLine="422"/>
        <w:jc w:val="left"/>
        <w:rPr>
          <w:rFonts w:ascii="宋体" w:hAnsi="宋体"/>
          <w:kern w:val="44"/>
        </w:rPr>
      </w:pPr>
      <w:r>
        <w:rPr>
          <w:rFonts w:hint="eastAsia" w:ascii="宋体" w:hAnsi="宋体"/>
          <w:b/>
          <w:kern w:val="44"/>
        </w:rPr>
        <w:t>第十一条</w:t>
      </w:r>
      <w:r>
        <w:rPr>
          <w:rFonts w:hint="eastAsia" w:ascii="宋体" w:hAnsi="宋体"/>
          <w:kern w:val="44"/>
        </w:rPr>
        <w:t>　劳动就业服务企业的主办单位应当严格履行《规定》第十一条规定的各项职责，并负责办理劳动就业服务企业的生产经营用房和职工住房的基建指标以及劳动就业服务企业购买专控商品的控购指标。</w:t>
      </w:r>
    </w:p>
    <w:p w14:paraId="688675A8">
      <w:pPr>
        <w:ind w:firstLine="422"/>
        <w:jc w:val="left"/>
        <w:rPr>
          <w:rFonts w:ascii="宋体" w:hAnsi="宋体"/>
          <w:kern w:val="44"/>
        </w:rPr>
      </w:pPr>
      <w:r>
        <w:rPr>
          <w:rFonts w:hint="eastAsia" w:ascii="宋体" w:hAnsi="宋体"/>
          <w:b/>
          <w:kern w:val="44"/>
        </w:rPr>
        <w:t>第十二条</w:t>
      </w:r>
      <w:r>
        <w:rPr>
          <w:rFonts w:hint="eastAsia" w:ascii="宋体" w:hAnsi="宋体"/>
          <w:kern w:val="44"/>
        </w:rPr>
        <w:t>　主办单位扶持劳动就业服务企业的资金，可以有偿使用收取资金占用费，每年还可以从劳动就业服务企业提取不超过15％的税后留利；采取投资形式的，可以参与劳动就业服务企业的利润分配，并承担亏损责任，但不得再从劳动就业服务企业提取税后留利。</w:t>
      </w:r>
    </w:p>
    <w:p w14:paraId="0A8B2863">
      <w:pPr>
        <w:jc w:val="left"/>
        <w:rPr>
          <w:rFonts w:ascii="宋体" w:hAnsi="宋体"/>
          <w:kern w:val="44"/>
        </w:rPr>
      </w:pPr>
      <w:r>
        <w:rPr>
          <w:rFonts w:hint="eastAsia" w:ascii="宋体" w:hAnsi="宋体"/>
          <w:kern w:val="44"/>
        </w:rPr>
        <w:t>主办单位支持劳动就业服务企业的设备、工具和厂房等生产资料，采取租赁形式的，可以收取相当于折旧率的租金，每年还可以从劳动就业服务企业提取不超过15％的税后留利；采取折价投资形式的，可以参与劳动就业服务企业的利润分配，并承担亏损责任，但不得再从劳动就业服务企业提取税后留利；采取折价转让形式的，不得参与劳动就业服务企业利润分配，也不得从劳动就业服务企业提取税后留利。</w:t>
      </w:r>
    </w:p>
    <w:p w14:paraId="7FA66811">
      <w:pPr>
        <w:ind w:firstLine="422"/>
        <w:jc w:val="left"/>
        <w:rPr>
          <w:rFonts w:ascii="宋体" w:hAnsi="宋体"/>
          <w:kern w:val="44"/>
        </w:rPr>
      </w:pPr>
      <w:r>
        <w:rPr>
          <w:rFonts w:hint="eastAsia" w:ascii="宋体" w:hAnsi="宋体"/>
          <w:b/>
          <w:kern w:val="44"/>
        </w:rPr>
        <w:t>第十三条</w:t>
      </w:r>
      <w:r>
        <w:rPr>
          <w:rFonts w:hint="eastAsia" w:ascii="宋体" w:hAnsi="宋体"/>
          <w:kern w:val="44"/>
        </w:rPr>
        <w:t>　劳动就业服务企业的厂长（经理）实行任期制。在厂长（经理）任期内，无法定理由，主办单位和劳动就业服务企业均不得擅自对厂长（经理）予以罢免或调动。劳动就业服务企业的厂长（经理）离任时，应当进行离任审计。</w:t>
      </w:r>
    </w:p>
    <w:p w14:paraId="5C948116">
      <w:pPr>
        <w:ind w:firstLine="422"/>
        <w:jc w:val="left"/>
        <w:rPr>
          <w:rFonts w:ascii="宋体" w:hAnsi="宋体"/>
          <w:kern w:val="44"/>
        </w:rPr>
      </w:pPr>
      <w:r>
        <w:rPr>
          <w:rFonts w:hint="eastAsia" w:ascii="宋体" w:hAnsi="宋体"/>
          <w:b/>
          <w:kern w:val="44"/>
        </w:rPr>
        <w:t>第十四条</w:t>
      </w:r>
      <w:r>
        <w:rPr>
          <w:rFonts w:hint="eastAsia" w:ascii="宋体" w:hAnsi="宋体"/>
          <w:kern w:val="44"/>
        </w:rPr>
        <w:t>　劳动就业服务企业实行民主监督和民主管理。劳动就业服务企业应当建立健全职工（代表）大会制度。</w:t>
      </w:r>
    </w:p>
    <w:p w14:paraId="05BB8858">
      <w:pPr>
        <w:ind w:firstLine="422"/>
        <w:jc w:val="left"/>
        <w:rPr>
          <w:rFonts w:ascii="宋体" w:hAnsi="宋体"/>
          <w:kern w:val="44"/>
        </w:rPr>
      </w:pPr>
      <w:r>
        <w:rPr>
          <w:rFonts w:hint="eastAsia" w:ascii="宋体" w:hAnsi="宋体"/>
          <w:b/>
          <w:kern w:val="44"/>
        </w:rPr>
        <w:t>第十五条</w:t>
      </w:r>
      <w:r>
        <w:rPr>
          <w:rFonts w:hint="eastAsia" w:ascii="宋体" w:hAnsi="宋体"/>
          <w:kern w:val="44"/>
        </w:rPr>
        <w:t>　劳动就业服务企业享有用工自主权，用工形式由企业自主确定。</w:t>
      </w:r>
    </w:p>
    <w:p w14:paraId="4CC9D243">
      <w:pPr>
        <w:jc w:val="left"/>
        <w:rPr>
          <w:rFonts w:ascii="宋体" w:hAnsi="宋体"/>
          <w:kern w:val="44"/>
        </w:rPr>
      </w:pPr>
      <w:r>
        <w:rPr>
          <w:rFonts w:hint="eastAsia" w:ascii="宋体" w:hAnsi="宋体"/>
          <w:kern w:val="44"/>
        </w:rPr>
        <w:t>劳动就业服务企业享有工资、奖金分配自主权。劳动就业服务企业应当根据本企业经济效益和生产经营特点，按照按劳分配的原则，自行确定分配形式。劳动就业服务企业经济效益好的，职工工资水平可以高于主办单位职工工资水平。</w:t>
      </w:r>
    </w:p>
    <w:p w14:paraId="0080FB15">
      <w:pPr>
        <w:jc w:val="left"/>
        <w:rPr>
          <w:rFonts w:ascii="宋体" w:hAnsi="宋体"/>
          <w:kern w:val="44"/>
        </w:rPr>
      </w:pPr>
      <w:r>
        <w:rPr>
          <w:rFonts w:hint="eastAsia" w:ascii="宋体" w:hAnsi="宋体"/>
          <w:kern w:val="44"/>
        </w:rPr>
        <w:t>劳动就业服务企业职工的养老保险，按照国家和本市的有关规定执行。</w:t>
      </w:r>
    </w:p>
    <w:p w14:paraId="35B11FAD">
      <w:pPr>
        <w:ind w:firstLine="422"/>
        <w:jc w:val="left"/>
        <w:rPr>
          <w:rFonts w:ascii="宋体" w:hAnsi="宋体"/>
          <w:kern w:val="44"/>
        </w:rPr>
      </w:pPr>
      <w:r>
        <w:rPr>
          <w:rFonts w:hint="eastAsia" w:ascii="宋体" w:hAnsi="宋体"/>
          <w:b/>
          <w:kern w:val="44"/>
        </w:rPr>
        <w:t>第十六条</w:t>
      </w:r>
      <w:r>
        <w:rPr>
          <w:rFonts w:hint="eastAsia" w:ascii="宋体" w:hAnsi="宋体"/>
          <w:kern w:val="44"/>
        </w:rPr>
        <w:t>　劳动就业服务企业应当积极开展职工岗位培训工作，不断提高职工的业务、文化素质和岗位技能水平。</w:t>
      </w:r>
    </w:p>
    <w:p w14:paraId="6E44AD86">
      <w:pPr>
        <w:ind w:firstLine="422"/>
        <w:jc w:val="left"/>
        <w:rPr>
          <w:rFonts w:ascii="宋体" w:hAnsi="宋体"/>
          <w:kern w:val="44"/>
        </w:rPr>
      </w:pPr>
      <w:r>
        <w:rPr>
          <w:rFonts w:hint="eastAsia" w:ascii="宋体" w:hAnsi="宋体"/>
          <w:b/>
          <w:kern w:val="44"/>
        </w:rPr>
        <w:t>第十七条</w:t>
      </w:r>
      <w:r>
        <w:rPr>
          <w:rFonts w:hint="eastAsia" w:ascii="宋体" w:hAnsi="宋体"/>
          <w:kern w:val="44"/>
        </w:rPr>
        <w:t>　劳动就业服务企业应当认真贯彻国家和本市有关规定，加强财务管理，严肃财经纪律，完善会计、审计、统计制度，接受政府有关部门的指导和监督。</w:t>
      </w:r>
    </w:p>
    <w:p w14:paraId="7D7DB16D">
      <w:pPr>
        <w:ind w:firstLine="422"/>
        <w:jc w:val="left"/>
        <w:rPr>
          <w:rFonts w:ascii="宋体" w:hAnsi="宋体"/>
          <w:kern w:val="44"/>
        </w:rPr>
      </w:pPr>
      <w:r>
        <w:rPr>
          <w:rFonts w:hint="eastAsia" w:ascii="宋体" w:hAnsi="宋体"/>
          <w:b/>
          <w:kern w:val="44"/>
        </w:rPr>
        <w:t>第十八条</w:t>
      </w:r>
      <w:r>
        <w:rPr>
          <w:rFonts w:hint="eastAsia" w:ascii="宋体" w:hAnsi="宋体"/>
          <w:kern w:val="44"/>
        </w:rPr>
        <w:t>　对违反本办法的，依照《规定》的有关规定处理。</w:t>
      </w:r>
    </w:p>
    <w:p w14:paraId="63D778AD">
      <w:pPr>
        <w:ind w:firstLine="422"/>
        <w:jc w:val="left"/>
        <w:rPr>
          <w:rFonts w:ascii="宋体" w:hAnsi="宋体"/>
          <w:kern w:val="44"/>
        </w:rPr>
      </w:pPr>
      <w:r>
        <w:rPr>
          <w:rFonts w:hint="eastAsia" w:ascii="宋体" w:hAnsi="宋体"/>
          <w:b/>
          <w:kern w:val="44"/>
        </w:rPr>
        <w:t>第十九条</w:t>
      </w:r>
      <w:r>
        <w:rPr>
          <w:rFonts w:hint="eastAsia" w:ascii="宋体" w:hAnsi="宋体"/>
          <w:kern w:val="44"/>
        </w:rPr>
        <w:t>　本办法自发布之日起施行。</w:t>
      </w:r>
    </w:p>
    <w:p w14:paraId="077114BE">
      <w:pPr>
        <w:pStyle w:val="4"/>
        <w:pageBreakBefore/>
        <w:rPr>
          <w:kern w:val="44"/>
        </w:rPr>
      </w:pPr>
      <w:bookmarkStart w:id="1393" w:name="_Toc422471365"/>
      <w:bookmarkStart w:id="1394" w:name="_Toc428781679"/>
      <w:bookmarkStart w:id="1395" w:name="_Toc427651973"/>
      <w:bookmarkStart w:id="1396" w:name="_Toc428780197"/>
      <w:bookmarkStart w:id="1397" w:name="_Toc427651631"/>
      <w:r>
        <w:rPr>
          <w:rFonts w:hint="eastAsia"/>
          <w:kern w:val="44"/>
        </w:rPr>
        <w:t>北京市城镇集体所有制企业民主选举</w:t>
      </w:r>
      <w:bookmarkEnd w:id="1393"/>
      <w:bookmarkEnd w:id="1394"/>
      <w:bookmarkEnd w:id="1395"/>
      <w:bookmarkEnd w:id="1396"/>
      <w:bookmarkEnd w:id="1397"/>
    </w:p>
    <w:p w14:paraId="3B5AAE35">
      <w:pPr>
        <w:pStyle w:val="4"/>
        <w:rPr>
          <w:kern w:val="44"/>
        </w:rPr>
      </w:pPr>
      <w:bookmarkStart w:id="1398" w:name="_Toc428780198"/>
      <w:bookmarkStart w:id="1399" w:name="_Toc427651974"/>
      <w:bookmarkStart w:id="1400" w:name="_Toc427651632"/>
      <w:bookmarkStart w:id="1401" w:name="_Toc422471366"/>
      <w:bookmarkStart w:id="1402" w:name="_Toc428781680"/>
      <w:r>
        <w:rPr>
          <w:rFonts w:hint="eastAsia"/>
          <w:kern w:val="44"/>
        </w:rPr>
        <w:t>厂长（经理）暂行办法</w:t>
      </w:r>
      <w:bookmarkEnd w:id="1398"/>
      <w:bookmarkEnd w:id="1399"/>
      <w:bookmarkEnd w:id="1400"/>
      <w:bookmarkEnd w:id="1401"/>
      <w:bookmarkEnd w:id="1402"/>
    </w:p>
    <w:p w14:paraId="3EFE1EF7">
      <w:pPr>
        <w:ind w:left="630" w:leftChars="300" w:right="630" w:rightChars="300"/>
        <w:jc w:val="center"/>
        <w:rPr>
          <w:rFonts w:ascii="楷体" w:hAnsi="楷体" w:eastAsia="楷体"/>
          <w:kern w:val="44"/>
        </w:rPr>
      </w:pPr>
      <w:r>
        <w:rPr>
          <w:rFonts w:hint="eastAsia" w:ascii="楷体" w:hAnsi="楷体" w:eastAsia="楷体"/>
          <w:kern w:val="44"/>
        </w:rPr>
        <w:t>（1994年12月2日北京市人民政府第27号令发布）</w:t>
      </w:r>
    </w:p>
    <w:p w14:paraId="361DD223">
      <w:pPr>
        <w:ind w:left="630" w:leftChars="300" w:right="630" w:rightChars="300"/>
        <w:jc w:val="left"/>
        <w:rPr>
          <w:rFonts w:ascii="楷体" w:hAnsi="楷体" w:eastAsia="楷体"/>
          <w:kern w:val="44"/>
        </w:rPr>
      </w:pPr>
    </w:p>
    <w:p w14:paraId="34CC88CF">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为加强本市城镇集体所有制企业的民主管理，保障城镇集体企业职工的合法权益，根据《中华人民共和国城镇集体所有制企业条例》（以下简称《条例》），结合本市具体情况，制定本办法。</w:t>
      </w:r>
    </w:p>
    <w:p w14:paraId="06E36237">
      <w:pPr>
        <w:ind w:firstLine="422"/>
        <w:jc w:val="left"/>
        <w:rPr>
          <w:rFonts w:ascii="宋体" w:hAnsi="宋体"/>
          <w:kern w:val="44"/>
        </w:rPr>
      </w:pPr>
      <w:r>
        <w:rPr>
          <w:rFonts w:hint="eastAsia" w:ascii="宋体" w:hAnsi="宋体"/>
          <w:b/>
          <w:kern w:val="44"/>
        </w:rPr>
        <w:t>第二条</w:t>
      </w:r>
      <w:r>
        <w:rPr>
          <w:rFonts w:hint="eastAsia" w:ascii="宋体" w:hAnsi="宋体"/>
          <w:kern w:val="44"/>
        </w:rPr>
        <w:t>　凡本市行政区域内城镇集体所有制企业（以下简称集体企业）民主选举厂长（经理），均须遵守《条例》和本办法。</w:t>
      </w:r>
    </w:p>
    <w:p w14:paraId="242022FE">
      <w:pPr>
        <w:jc w:val="left"/>
        <w:rPr>
          <w:rFonts w:ascii="宋体" w:hAnsi="宋体"/>
          <w:kern w:val="44"/>
        </w:rPr>
      </w:pPr>
      <w:r>
        <w:rPr>
          <w:rFonts w:hint="eastAsia" w:ascii="宋体" w:hAnsi="宋体"/>
          <w:kern w:val="44"/>
        </w:rPr>
        <w:t>依照《条例》规定，集体企业的厂长（经理）实行任免的，不适用本办法。</w:t>
      </w:r>
    </w:p>
    <w:p w14:paraId="52737528">
      <w:pPr>
        <w:ind w:firstLine="422"/>
        <w:jc w:val="left"/>
        <w:rPr>
          <w:rFonts w:ascii="宋体" w:hAnsi="宋体"/>
          <w:kern w:val="44"/>
        </w:rPr>
      </w:pPr>
      <w:r>
        <w:rPr>
          <w:rFonts w:hint="eastAsia" w:ascii="宋体" w:hAnsi="宋体"/>
          <w:b/>
          <w:kern w:val="44"/>
        </w:rPr>
        <w:t>第三条</w:t>
      </w:r>
      <w:r>
        <w:rPr>
          <w:rFonts w:hint="eastAsia" w:ascii="宋体" w:hAnsi="宋体"/>
          <w:kern w:val="44"/>
        </w:rPr>
        <w:t>　集体企业民主选举厂长（经理），应当遵守下列规定：</w:t>
      </w:r>
    </w:p>
    <w:p w14:paraId="7A6C692E">
      <w:pPr>
        <w:jc w:val="left"/>
        <w:rPr>
          <w:rFonts w:ascii="宋体" w:hAnsi="宋体"/>
          <w:kern w:val="44"/>
        </w:rPr>
      </w:pPr>
      <w:r>
        <w:rPr>
          <w:rFonts w:hint="eastAsia" w:ascii="宋体" w:hAnsi="宋体"/>
          <w:kern w:val="44"/>
        </w:rPr>
        <w:t>（一）按照《条例》的规定，建立健全职工（代表）大会制度。</w:t>
      </w:r>
    </w:p>
    <w:p w14:paraId="6A0E376F">
      <w:pPr>
        <w:jc w:val="left"/>
        <w:rPr>
          <w:rFonts w:ascii="宋体" w:hAnsi="宋体"/>
          <w:kern w:val="44"/>
        </w:rPr>
      </w:pPr>
      <w:r>
        <w:rPr>
          <w:rFonts w:hint="eastAsia" w:ascii="宋体" w:hAnsi="宋体"/>
          <w:kern w:val="44"/>
        </w:rPr>
        <w:t>（二）成立选举领导小组，具体组织和领导选举工作。选举领导小组成员5至7人，可以由党组织、工会、有关主管部门和集体企业职工代表组成。选举领导小组成员名单必须经职工（代表）大会审议通过。</w:t>
      </w:r>
    </w:p>
    <w:p w14:paraId="52E4877A">
      <w:pPr>
        <w:jc w:val="left"/>
        <w:rPr>
          <w:rFonts w:ascii="宋体" w:hAnsi="宋体"/>
          <w:kern w:val="44"/>
        </w:rPr>
      </w:pPr>
      <w:r>
        <w:rPr>
          <w:rFonts w:hint="eastAsia" w:ascii="宋体" w:hAnsi="宋体"/>
          <w:kern w:val="44"/>
        </w:rPr>
        <w:t>（三）选举领导小组主持制定民主选举实施方案。实施方案中应当包括：民主选举的具体方法、步骤、要求，厂长（经理）的条件等。实施方案必须经职工（代表）大会审议通过。</w:t>
      </w:r>
    </w:p>
    <w:p w14:paraId="56ED4F96">
      <w:pPr>
        <w:jc w:val="left"/>
        <w:rPr>
          <w:rFonts w:ascii="宋体" w:hAnsi="宋体"/>
          <w:kern w:val="44"/>
        </w:rPr>
      </w:pPr>
      <w:r>
        <w:rPr>
          <w:rFonts w:hint="eastAsia" w:ascii="宋体" w:hAnsi="宋体"/>
          <w:kern w:val="44"/>
        </w:rPr>
        <w:t>（四）依照厂长（经理）应当具备的条件，提出厂长（经理）候选人。厂长（经理）候选人采取职工民主推荐和有关主管部门推荐相结合的方法，由选举领导小组在充分征求意见的基础上，正式确定厂长（经理）候选人1至3人。</w:t>
      </w:r>
    </w:p>
    <w:p w14:paraId="5B3F770D">
      <w:pPr>
        <w:jc w:val="left"/>
        <w:rPr>
          <w:rFonts w:ascii="宋体" w:hAnsi="宋体"/>
          <w:kern w:val="44"/>
        </w:rPr>
      </w:pPr>
      <w:r>
        <w:rPr>
          <w:rFonts w:hint="eastAsia" w:ascii="宋体" w:hAnsi="宋体"/>
          <w:kern w:val="44"/>
        </w:rPr>
        <w:t>（五）召开职工（代表）大会选举厂长（经理）。选举采取无记名投票方式，实行差额选举。出席职工（代表）大会的职工（代表）人数应为全体职工（代表）人数的三分之二以上，候选人得票超过应到职工（代表）人数半数以上方可当选。</w:t>
      </w:r>
    </w:p>
    <w:p w14:paraId="3BEC7F47">
      <w:pPr>
        <w:jc w:val="left"/>
        <w:rPr>
          <w:rFonts w:ascii="宋体" w:hAnsi="宋体"/>
          <w:kern w:val="44"/>
        </w:rPr>
      </w:pPr>
      <w:r>
        <w:rPr>
          <w:rFonts w:hint="eastAsia" w:ascii="宋体" w:hAnsi="宋体"/>
          <w:kern w:val="44"/>
        </w:rPr>
        <w:t>（六）选举结果报上级主管部门备案。</w:t>
      </w:r>
    </w:p>
    <w:p w14:paraId="77486793">
      <w:pPr>
        <w:ind w:firstLine="422"/>
        <w:jc w:val="left"/>
        <w:rPr>
          <w:rFonts w:ascii="宋体" w:hAnsi="宋体"/>
          <w:kern w:val="44"/>
        </w:rPr>
      </w:pPr>
      <w:r>
        <w:rPr>
          <w:rFonts w:hint="eastAsia" w:ascii="宋体" w:hAnsi="宋体"/>
          <w:b/>
          <w:kern w:val="44"/>
        </w:rPr>
        <w:t>第四条</w:t>
      </w:r>
      <w:r>
        <w:rPr>
          <w:rFonts w:hint="eastAsia" w:ascii="宋体" w:hAnsi="宋体"/>
          <w:kern w:val="44"/>
        </w:rPr>
        <w:t>　厂长（经理）选举产生后，新任厂长（经理）应当与职工（代表）大会订立任期目标责任书。</w:t>
      </w:r>
    </w:p>
    <w:p w14:paraId="4EAA35D4">
      <w:pPr>
        <w:ind w:firstLine="422"/>
        <w:jc w:val="left"/>
        <w:rPr>
          <w:rFonts w:ascii="宋体" w:hAnsi="宋体"/>
          <w:kern w:val="44"/>
        </w:rPr>
      </w:pPr>
      <w:r>
        <w:rPr>
          <w:rFonts w:hint="eastAsia" w:ascii="宋体" w:hAnsi="宋体"/>
          <w:b/>
          <w:kern w:val="44"/>
        </w:rPr>
        <w:t>第五条</w:t>
      </w:r>
      <w:r>
        <w:rPr>
          <w:rFonts w:hint="eastAsia" w:ascii="宋体" w:hAnsi="宋体"/>
          <w:kern w:val="44"/>
        </w:rPr>
        <w:t>　厂长（经理）在规定的任期内，应当按照《条例》的规定，保障职工合法权益，接受职工民主监督，履行任期目标责任书中的各项规定。职工（代表）大会每年对厂长（经理）工作进行一次评议和考核，厂长（经理）未完成任期目标责任书规定的主要考核指标或者由于其他原因不能履行职责的，职工（代表）大会有权依法罢免厂长（经理）。</w:t>
      </w:r>
    </w:p>
    <w:p w14:paraId="646E529F">
      <w:pPr>
        <w:ind w:firstLine="422"/>
        <w:jc w:val="left"/>
        <w:rPr>
          <w:rFonts w:ascii="宋体" w:hAnsi="宋体"/>
          <w:kern w:val="44"/>
        </w:rPr>
      </w:pPr>
      <w:r>
        <w:rPr>
          <w:rFonts w:hint="eastAsia" w:ascii="宋体" w:hAnsi="宋体"/>
          <w:b/>
          <w:kern w:val="44"/>
        </w:rPr>
        <w:t>第六条</w:t>
      </w:r>
      <w:r>
        <w:rPr>
          <w:rFonts w:hint="eastAsia" w:ascii="宋体" w:hAnsi="宋体"/>
          <w:kern w:val="44"/>
        </w:rPr>
        <w:t>　厂长（经理）在任期内需要调动或者免职的，必须经职工（代表）大会同意，任何部门或者个人不能擅自决定。</w:t>
      </w:r>
    </w:p>
    <w:p w14:paraId="74F010FA">
      <w:pPr>
        <w:ind w:firstLine="422"/>
        <w:jc w:val="left"/>
        <w:rPr>
          <w:rFonts w:ascii="宋体" w:hAnsi="宋体"/>
          <w:kern w:val="44"/>
        </w:rPr>
      </w:pPr>
      <w:r>
        <w:rPr>
          <w:rFonts w:hint="eastAsia" w:ascii="宋体" w:hAnsi="宋体"/>
          <w:b/>
          <w:kern w:val="44"/>
        </w:rPr>
        <w:t>第七条</w:t>
      </w:r>
      <w:r>
        <w:rPr>
          <w:rFonts w:hint="eastAsia" w:ascii="宋体" w:hAnsi="宋体"/>
          <w:kern w:val="44"/>
        </w:rPr>
        <w:t>　本办法执行中的具体问题，由市经济体制改革委员会负责解释。</w:t>
      </w:r>
    </w:p>
    <w:p w14:paraId="28DA2C99">
      <w:pPr>
        <w:ind w:firstLine="422"/>
        <w:jc w:val="left"/>
        <w:rPr>
          <w:rFonts w:ascii="宋体" w:hAnsi="宋体"/>
          <w:kern w:val="44"/>
        </w:rPr>
      </w:pPr>
      <w:r>
        <w:rPr>
          <w:rFonts w:hint="eastAsia" w:ascii="宋体" w:hAnsi="宋体"/>
          <w:b/>
          <w:kern w:val="44"/>
        </w:rPr>
        <w:t>第八条</w:t>
      </w:r>
      <w:r>
        <w:rPr>
          <w:rFonts w:hint="eastAsia" w:ascii="宋体" w:hAnsi="宋体"/>
          <w:kern w:val="44"/>
        </w:rPr>
        <w:t>　本办法自1995年1月1日起施行。</w:t>
      </w:r>
    </w:p>
    <w:p w14:paraId="2BF4621B">
      <w:pPr>
        <w:pStyle w:val="4"/>
        <w:pageBreakBefore/>
        <w:rPr>
          <w:kern w:val="44"/>
        </w:rPr>
      </w:pPr>
      <w:bookmarkStart w:id="1403" w:name="_Toc422471367"/>
      <w:bookmarkStart w:id="1404" w:name="_Toc427651633"/>
      <w:bookmarkStart w:id="1405" w:name="_Toc428781681"/>
      <w:bookmarkStart w:id="1406" w:name="_Toc428780199"/>
      <w:bookmarkStart w:id="1407" w:name="_Toc427651975"/>
      <w:r>
        <w:rPr>
          <w:rFonts w:hint="eastAsia"/>
          <w:kern w:val="44"/>
        </w:rPr>
        <w:t>北京市城镇企业实行</w:t>
      </w:r>
      <w:bookmarkEnd w:id="1403"/>
      <w:bookmarkStart w:id="1408" w:name="_Toc422471368"/>
      <w:r>
        <w:rPr>
          <w:rFonts w:hint="eastAsia"/>
          <w:kern w:val="44"/>
        </w:rPr>
        <w:t>股份合作制办法</w:t>
      </w:r>
      <w:bookmarkEnd w:id="1404"/>
      <w:bookmarkEnd w:id="1405"/>
      <w:bookmarkEnd w:id="1406"/>
      <w:bookmarkEnd w:id="1407"/>
      <w:bookmarkEnd w:id="1408"/>
    </w:p>
    <w:p w14:paraId="7468802A">
      <w:pPr>
        <w:ind w:left="630" w:leftChars="300" w:right="630" w:rightChars="300"/>
        <w:jc w:val="left"/>
        <w:rPr>
          <w:rFonts w:ascii="楷体" w:hAnsi="楷体" w:eastAsia="楷体"/>
          <w:kern w:val="44"/>
        </w:rPr>
      </w:pPr>
      <w:r>
        <w:rPr>
          <w:rFonts w:hint="eastAsia" w:ascii="楷体" w:hAnsi="楷体" w:eastAsia="楷体"/>
          <w:kern w:val="44"/>
        </w:rPr>
        <w:t>（1999年10月20日北京市人民政府第41号令发布  根据2001年8月27日北京市人民政府第82号令修改）</w:t>
      </w:r>
    </w:p>
    <w:p w14:paraId="1CEFF2A4">
      <w:pPr>
        <w:jc w:val="left"/>
        <w:rPr>
          <w:rFonts w:ascii="宋体" w:hAnsi="宋体"/>
          <w:kern w:val="44"/>
        </w:rPr>
      </w:pPr>
    </w:p>
    <w:p w14:paraId="391B1D91">
      <w:pPr>
        <w:ind w:firstLine="0" w:firstLineChars="0"/>
        <w:jc w:val="center"/>
        <w:rPr>
          <w:rFonts w:ascii="宋体" w:hAnsi="宋体"/>
          <w:b/>
          <w:kern w:val="44"/>
          <w:sz w:val="28"/>
        </w:rPr>
      </w:pPr>
      <w:r>
        <w:rPr>
          <w:rFonts w:hint="eastAsia" w:ascii="宋体" w:hAnsi="宋体"/>
          <w:b/>
          <w:kern w:val="44"/>
          <w:sz w:val="28"/>
        </w:rPr>
        <w:t>第一章　总　则</w:t>
      </w:r>
    </w:p>
    <w:p w14:paraId="1426F8CD">
      <w:pPr>
        <w:jc w:val="left"/>
        <w:rPr>
          <w:rFonts w:ascii="宋体" w:hAnsi="宋体"/>
          <w:kern w:val="44"/>
        </w:rPr>
      </w:pPr>
    </w:p>
    <w:p w14:paraId="2F99A7B8">
      <w:pPr>
        <w:ind w:firstLine="422"/>
        <w:jc w:val="left"/>
        <w:rPr>
          <w:rFonts w:ascii="宋体" w:hAnsi="宋体"/>
          <w:kern w:val="44"/>
        </w:rPr>
      </w:pPr>
      <w:r>
        <w:rPr>
          <w:rFonts w:hint="eastAsia" w:ascii="宋体" w:hAnsi="宋体"/>
          <w:b/>
          <w:kern w:val="44"/>
        </w:rPr>
        <w:t>第一条</w:t>
      </w:r>
      <w:r>
        <w:rPr>
          <w:rFonts w:hint="eastAsia" w:ascii="宋体" w:hAnsi="宋体"/>
          <w:kern w:val="44"/>
        </w:rPr>
        <w:t>　为规范实行股份合作制企业的组织和行为，促进城镇股份合作企业的发展，结合本市实际情况，制定本办法。</w:t>
      </w:r>
    </w:p>
    <w:p w14:paraId="737EA591">
      <w:pPr>
        <w:ind w:firstLine="422"/>
        <w:jc w:val="left"/>
        <w:rPr>
          <w:rFonts w:ascii="宋体" w:hAnsi="宋体"/>
          <w:kern w:val="44"/>
        </w:rPr>
      </w:pPr>
      <w:r>
        <w:rPr>
          <w:rFonts w:hint="eastAsia" w:ascii="宋体" w:hAnsi="宋体"/>
          <w:b/>
          <w:kern w:val="44"/>
        </w:rPr>
        <w:t>第二条</w:t>
      </w:r>
      <w:r>
        <w:rPr>
          <w:rFonts w:hint="eastAsia" w:ascii="宋体" w:hAnsi="宋体"/>
          <w:kern w:val="44"/>
        </w:rPr>
        <w:t>　本市城镇集体企业、中小国有企业实行股份合作制，均适用本办法。</w:t>
      </w:r>
    </w:p>
    <w:p w14:paraId="121E90D1">
      <w:pPr>
        <w:ind w:firstLine="422"/>
        <w:jc w:val="left"/>
        <w:rPr>
          <w:rFonts w:ascii="宋体" w:hAnsi="宋体"/>
          <w:kern w:val="44"/>
        </w:rPr>
      </w:pPr>
      <w:r>
        <w:rPr>
          <w:rFonts w:hint="eastAsia" w:ascii="宋体" w:hAnsi="宋体"/>
          <w:b/>
          <w:kern w:val="44"/>
        </w:rPr>
        <w:t>第三条</w:t>
      </w:r>
      <w:r>
        <w:rPr>
          <w:rFonts w:hint="eastAsia" w:ascii="宋体" w:hAnsi="宋体"/>
          <w:kern w:val="44"/>
        </w:rPr>
        <w:t>　本办法所称股份合作制，是指以合作制为基础，实行以企业职工的劳动联合与资本联合为主的企业组织形式。</w:t>
      </w:r>
    </w:p>
    <w:p w14:paraId="625B78CD">
      <w:pPr>
        <w:jc w:val="left"/>
        <w:rPr>
          <w:rFonts w:ascii="宋体" w:hAnsi="宋体"/>
          <w:kern w:val="44"/>
        </w:rPr>
      </w:pPr>
      <w:r>
        <w:rPr>
          <w:rFonts w:hint="eastAsia" w:ascii="宋体" w:hAnsi="宋体"/>
          <w:kern w:val="44"/>
        </w:rPr>
        <w:t>城镇企业依照本办法实行股份合作制而成立的企业，称为城镇股份合作企业。</w:t>
      </w:r>
    </w:p>
    <w:p w14:paraId="43B6DB32">
      <w:pPr>
        <w:ind w:firstLine="422"/>
        <w:jc w:val="left"/>
        <w:rPr>
          <w:rFonts w:ascii="宋体" w:hAnsi="宋体"/>
          <w:kern w:val="44"/>
        </w:rPr>
      </w:pPr>
      <w:r>
        <w:rPr>
          <w:rFonts w:hint="eastAsia" w:ascii="宋体" w:hAnsi="宋体"/>
          <w:b/>
          <w:kern w:val="44"/>
        </w:rPr>
        <w:t>第四条</w:t>
      </w:r>
      <w:r>
        <w:rPr>
          <w:rFonts w:hint="eastAsia" w:ascii="宋体" w:hAnsi="宋体"/>
          <w:kern w:val="44"/>
        </w:rPr>
        <w:t>　城镇企业实行股份合作制应当遵循下列原则：</w:t>
      </w:r>
    </w:p>
    <w:p w14:paraId="714F277B">
      <w:pPr>
        <w:jc w:val="left"/>
        <w:rPr>
          <w:rFonts w:ascii="宋体" w:hAnsi="宋体"/>
          <w:kern w:val="44"/>
        </w:rPr>
      </w:pPr>
      <w:r>
        <w:rPr>
          <w:rFonts w:hint="eastAsia" w:ascii="宋体" w:hAnsi="宋体"/>
          <w:kern w:val="44"/>
        </w:rPr>
        <w:t>（一）自愿入股，同股同利；</w:t>
      </w:r>
    </w:p>
    <w:p w14:paraId="407B2467">
      <w:pPr>
        <w:jc w:val="left"/>
        <w:rPr>
          <w:rFonts w:ascii="宋体" w:hAnsi="宋体"/>
          <w:kern w:val="44"/>
        </w:rPr>
      </w:pPr>
      <w:r>
        <w:rPr>
          <w:rFonts w:hint="eastAsia" w:ascii="宋体" w:hAnsi="宋体"/>
          <w:kern w:val="44"/>
        </w:rPr>
        <w:t>（二）企业财产实行共同共有和按份共有，利益共享，风险共担；</w:t>
      </w:r>
    </w:p>
    <w:p w14:paraId="67EFFCF0">
      <w:pPr>
        <w:jc w:val="left"/>
        <w:rPr>
          <w:rFonts w:ascii="宋体" w:hAnsi="宋体"/>
          <w:kern w:val="44"/>
        </w:rPr>
      </w:pPr>
      <w:r>
        <w:rPr>
          <w:rFonts w:hint="eastAsia" w:ascii="宋体" w:hAnsi="宋体"/>
          <w:kern w:val="44"/>
        </w:rPr>
        <w:t>（三）按劳分配与按股分红相结合；</w:t>
      </w:r>
    </w:p>
    <w:p w14:paraId="51A3E79E">
      <w:pPr>
        <w:jc w:val="left"/>
        <w:rPr>
          <w:rFonts w:ascii="宋体" w:hAnsi="宋体"/>
          <w:kern w:val="44"/>
        </w:rPr>
      </w:pPr>
      <w:r>
        <w:rPr>
          <w:rFonts w:hint="eastAsia" w:ascii="宋体" w:hAnsi="宋体"/>
          <w:kern w:val="44"/>
        </w:rPr>
        <w:t>（四）实行民主管理。</w:t>
      </w:r>
    </w:p>
    <w:p w14:paraId="48A6A9EE">
      <w:pPr>
        <w:ind w:firstLine="422"/>
        <w:jc w:val="left"/>
        <w:rPr>
          <w:rFonts w:ascii="宋体" w:hAnsi="宋体"/>
          <w:kern w:val="44"/>
        </w:rPr>
      </w:pPr>
      <w:r>
        <w:rPr>
          <w:rFonts w:hint="eastAsia" w:ascii="宋体" w:hAnsi="宋体"/>
          <w:b/>
          <w:kern w:val="44"/>
        </w:rPr>
        <w:t>第五条</w:t>
      </w:r>
      <w:r>
        <w:rPr>
          <w:rFonts w:hint="eastAsia" w:ascii="宋体" w:hAnsi="宋体"/>
          <w:kern w:val="44"/>
        </w:rPr>
        <w:t>　城镇股份合作企业依法取得法人资格，享有由股东出资形成的全部法人财产权，依法享有民事权利，独立承担民事责任。</w:t>
      </w:r>
    </w:p>
    <w:p w14:paraId="41E44266">
      <w:pPr>
        <w:jc w:val="left"/>
        <w:rPr>
          <w:rFonts w:ascii="宋体" w:hAnsi="宋体"/>
          <w:kern w:val="44"/>
        </w:rPr>
      </w:pPr>
      <w:r>
        <w:rPr>
          <w:rFonts w:hint="eastAsia" w:ascii="宋体" w:hAnsi="宋体"/>
          <w:kern w:val="44"/>
        </w:rPr>
        <w:t>城镇股份合作企业实行独立核算，自主经营，自负盈亏，并以其全部法人财产对企业的债务承担责任；股东以其出资额为限对企业承担责任。</w:t>
      </w:r>
    </w:p>
    <w:p w14:paraId="556172B9">
      <w:pPr>
        <w:ind w:firstLine="422"/>
        <w:jc w:val="left"/>
        <w:rPr>
          <w:rFonts w:ascii="宋体" w:hAnsi="宋体"/>
          <w:kern w:val="44"/>
        </w:rPr>
      </w:pPr>
      <w:r>
        <w:rPr>
          <w:rFonts w:hint="eastAsia" w:ascii="宋体" w:hAnsi="宋体"/>
          <w:b/>
          <w:kern w:val="44"/>
        </w:rPr>
        <w:t>第六条</w:t>
      </w:r>
      <w:r>
        <w:rPr>
          <w:rFonts w:hint="eastAsia" w:ascii="宋体" w:hAnsi="宋体"/>
          <w:kern w:val="44"/>
        </w:rPr>
        <w:t>　城镇股份合作企业的财产、合法经营活动和合法权益受法律保护，任何单位和个人不得侵犯和干涉。</w:t>
      </w:r>
    </w:p>
    <w:p w14:paraId="3061ADBE">
      <w:pPr>
        <w:jc w:val="left"/>
        <w:rPr>
          <w:rFonts w:ascii="宋体" w:hAnsi="宋体"/>
          <w:kern w:val="44"/>
        </w:rPr>
      </w:pPr>
    </w:p>
    <w:p w14:paraId="500F69AD">
      <w:pPr>
        <w:ind w:firstLine="0" w:firstLineChars="0"/>
        <w:jc w:val="center"/>
        <w:rPr>
          <w:rFonts w:ascii="宋体" w:hAnsi="宋体"/>
          <w:b/>
          <w:kern w:val="44"/>
          <w:sz w:val="28"/>
        </w:rPr>
      </w:pPr>
      <w:r>
        <w:rPr>
          <w:rFonts w:hint="eastAsia" w:ascii="宋体" w:hAnsi="宋体"/>
          <w:b/>
          <w:kern w:val="44"/>
          <w:sz w:val="28"/>
        </w:rPr>
        <w:t>第二章　企业的设立</w:t>
      </w:r>
    </w:p>
    <w:p w14:paraId="21BD5D41">
      <w:pPr>
        <w:jc w:val="left"/>
        <w:rPr>
          <w:rFonts w:ascii="宋体" w:hAnsi="宋体"/>
          <w:kern w:val="44"/>
        </w:rPr>
      </w:pPr>
    </w:p>
    <w:p w14:paraId="101ED8BA">
      <w:pPr>
        <w:ind w:firstLine="422"/>
        <w:jc w:val="left"/>
        <w:rPr>
          <w:rFonts w:ascii="宋体" w:hAnsi="宋体"/>
          <w:kern w:val="44"/>
        </w:rPr>
      </w:pPr>
      <w:r>
        <w:rPr>
          <w:rFonts w:hint="eastAsia" w:ascii="宋体" w:hAnsi="宋体"/>
          <w:b/>
          <w:kern w:val="44"/>
        </w:rPr>
        <w:t>第七条</w:t>
      </w:r>
      <w:r>
        <w:rPr>
          <w:rFonts w:hint="eastAsia" w:ascii="宋体" w:hAnsi="宋体"/>
          <w:kern w:val="44"/>
        </w:rPr>
        <w:t>　城镇企业实行股份合作制，应当经企业出资主体同意，集体企业还应当经职工（代表）大会同意并作出决议。</w:t>
      </w:r>
    </w:p>
    <w:p w14:paraId="0440AD80">
      <w:pPr>
        <w:jc w:val="left"/>
        <w:rPr>
          <w:rFonts w:ascii="宋体" w:hAnsi="宋体"/>
          <w:kern w:val="44"/>
        </w:rPr>
      </w:pPr>
      <w:r>
        <w:rPr>
          <w:rFonts w:hint="eastAsia" w:ascii="宋体" w:hAnsi="宋体"/>
          <w:kern w:val="44"/>
        </w:rPr>
        <w:t>实行股份合作制的城镇企业，必须对企业现有资产进行清产核资，并进行资产评估和产权界定。</w:t>
      </w:r>
    </w:p>
    <w:p w14:paraId="3DD9D003">
      <w:pPr>
        <w:ind w:firstLine="422"/>
        <w:jc w:val="left"/>
        <w:rPr>
          <w:rFonts w:ascii="宋体" w:hAnsi="宋体"/>
          <w:kern w:val="44"/>
        </w:rPr>
      </w:pPr>
      <w:r>
        <w:rPr>
          <w:rFonts w:hint="eastAsia" w:ascii="宋体" w:hAnsi="宋体"/>
          <w:b/>
          <w:kern w:val="44"/>
        </w:rPr>
        <w:t>第八条</w:t>
      </w:r>
      <w:r>
        <w:rPr>
          <w:rFonts w:hint="eastAsia" w:ascii="宋体" w:hAnsi="宋体"/>
          <w:kern w:val="44"/>
        </w:rPr>
        <w:t>　产权界定应当由企业、出资主体、主管部门会同有关部门委托律师事务所依照国家规定进行。企业应当将产权界定结果，报同级人民政府国有资产管理部门或者授权部门确认，并按规定办理产权登记手续。</w:t>
      </w:r>
    </w:p>
    <w:p w14:paraId="6F2A368E">
      <w:pPr>
        <w:ind w:firstLine="422"/>
        <w:jc w:val="left"/>
        <w:rPr>
          <w:rFonts w:ascii="宋体" w:hAnsi="宋体"/>
          <w:kern w:val="44"/>
        </w:rPr>
      </w:pPr>
      <w:r>
        <w:rPr>
          <w:rFonts w:hint="eastAsia" w:ascii="宋体" w:hAnsi="宋体"/>
          <w:b/>
          <w:kern w:val="44"/>
        </w:rPr>
        <w:t>第九条</w:t>
      </w:r>
      <w:r>
        <w:rPr>
          <w:rFonts w:hint="eastAsia" w:ascii="宋体" w:hAnsi="宋体"/>
          <w:kern w:val="44"/>
        </w:rPr>
        <w:t>　资产评估应当由具有资产评估资格的机构出具资产评估报告；企业应当将国有资产的评估结果，按照管理权限报国有资产管理部门确认。</w:t>
      </w:r>
    </w:p>
    <w:p w14:paraId="1C145C76">
      <w:pPr>
        <w:jc w:val="left"/>
        <w:rPr>
          <w:rFonts w:ascii="宋体" w:hAnsi="宋体"/>
          <w:kern w:val="44"/>
        </w:rPr>
      </w:pPr>
      <w:r>
        <w:rPr>
          <w:rFonts w:hint="eastAsia" w:ascii="宋体" w:hAnsi="宋体"/>
          <w:kern w:val="44"/>
        </w:rPr>
        <w:t>对具有资格的资产评估机构出具的企业资产评估结果，任何单位和个人不得以不正当理由不予承认，法律另有规定的除外。</w:t>
      </w:r>
    </w:p>
    <w:p w14:paraId="776B8925">
      <w:pPr>
        <w:ind w:firstLine="422"/>
        <w:jc w:val="left"/>
        <w:rPr>
          <w:rFonts w:ascii="宋体" w:hAnsi="宋体"/>
          <w:kern w:val="44"/>
        </w:rPr>
      </w:pPr>
      <w:r>
        <w:rPr>
          <w:rFonts w:hint="eastAsia" w:ascii="宋体" w:hAnsi="宋体"/>
          <w:b/>
          <w:kern w:val="44"/>
        </w:rPr>
        <w:t>第十条</w:t>
      </w:r>
      <w:r>
        <w:rPr>
          <w:rFonts w:hint="eastAsia" w:ascii="宋体" w:hAnsi="宋体"/>
          <w:kern w:val="44"/>
        </w:rPr>
        <w:t>　城镇企业实行股份合作制，原有国有资产可以作为借入资金，也可以由企业职工出资购买或者实行融资租赁。作为借入资金的，由企业按照规定向资产所有者缴纳资金占用费；实行融资租赁的，由企业按照租赁合同在规定年限内向出租方缴纳租金。企业根据实际情况，对集体资产的处置可以参照上述规定执行。</w:t>
      </w:r>
    </w:p>
    <w:p w14:paraId="31DEE00C">
      <w:pPr>
        <w:jc w:val="left"/>
        <w:rPr>
          <w:rFonts w:ascii="宋体" w:hAnsi="宋体"/>
          <w:kern w:val="44"/>
        </w:rPr>
      </w:pPr>
      <w:r>
        <w:rPr>
          <w:rFonts w:hint="eastAsia" w:ascii="宋体" w:hAnsi="宋体"/>
          <w:kern w:val="44"/>
        </w:rPr>
        <w:t>城镇企业实行股份合作制，原属于职工个人的奖金节余、工资储备基金，可以转入成立后的股份合作企业，继续用作支付职工奖金和工资，或者折成职工个人股份。</w:t>
      </w:r>
    </w:p>
    <w:p w14:paraId="4CE3AB64">
      <w:pPr>
        <w:ind w:firstLine="422"/>
        <w:jc w:val="left"/>
        <w:rPr>
          <w:rFonts w:ascii="宋体" w:hAnsi="宋体"/>
          <w:kern w:val="44"/>
        </w:rPr>
      </w:pPr>
      <w:r>
        <w:rPr>
          <w:rFonts w:hint="eastAsia" w:ascii="宋体" w:hAnsi="宋体"/>
          <w:b/>
          <w:kern w:val="44"/>
        </w:rPr>
        <w:t>第十一条</w:t>
      </w:r>
      <w:r>
        <w:rPr>
          <w:rFonts w:hint="eastAsia" w:ascii="宋体" w:hAnsi="宋体"/>
          <w:kern w:val="44"/>
        </w:rPr>
        <w:t>　城镇企业实行股份合作制，应当按照本办法的规定制定企业章程，并应当经股东和职工（代表）大会通过。</w:t>
      </w:r>
    </w:p>
    <w:p w14:paraId="1F27B13B">
      <w:pPr>
        <w:jc w:val="left"/>
        <w:rPr>
          <w:rFonts w:ascii="宋体" w:hAnsi="宋体"/>
          <w:kern w:val="44"/>
        </w:rPr>
      </w:pPr>
      <w:r>
        <w:rPr>
          <w:rFonts w:hint="eastAsia" w:ascii="宋体" w:hAnsi="宋体"/>
          <w:kern w:val="44"/>
        </w:rPr>
        <w:t>企业章程应当载明下列事项：</w:t>
      </w:r>
    </w:p>
    <w:p w14:paraId="42AA8197">
      <w:pPr>
        <w:jc w:val="left"/>
        <w:rPr>
          <w:rFonts w:ascii="宋体" w:hAnsi="宋体"/>
          <w:kern w:val="44"/>
        </w:rPr>
      </w:pPr>
      <w:r>
        <w:rPr>
          <w:rFonts w:hint="eastAsia" w:ascii="宋体" w:hAnsi="宋体"/>
          <w:kern w:val="44"/>
        </w:rPr>
        <w:t>（一）企业名称和住所；</w:t>
      </w:r>
    </w:p>
    <w:p w14:paraId="120951CF">
      <w:pPr>
        <w:jc w:val="left"/>
        <w:rPr>
          <w:rFonts w:ascii="宋体" w:hAnsi="宋体"/>
          <w:kern w:val="44"/>
        </w:rPr>
      </w:pPr>
      <w:r>
        <w:rPr>
          <w:rFonts w:hint="eastAsia" w:ascii="宋体" w:hAnsi="宋体"/>
          <w:kern w:val="44"/>
        </w:rPr>
        <w:t>（二）企业的经济性质；</w:t>
      </w:r>
    </w:p>
    <w:p w14:paraId="0B81EA0D">
      <w:pPr>
        <w:jc w:val="left"/>
        <w:rPr>
          <w:rFonts w:ascii="宋体" w:hAnsi="宋体"/>
          <w:kern w:val="44"/>
        </w:rPr>
      </w:pPr>
      <w:r>
        <w:rPr>
          <w:rFonts w:hint="eastAsia" w:ascii="宋体" w:hAnsi="宋体"/>
          <w:kern w:val="44"/>
        </w:rPr>
        <w:t>（三）企业的宗旨和经营范围；</w:t>
      </w:r>
    </w:p>
    <w:p w14:paraId="4CB86874">
      <w:pPr>
        <w:jc w:val="left"/>
        <w:rPr>
          <w:rFonts w:ascii="宋体" w:hAnsi="宋体"/>
          <w:kern w:val="44"/>
        </w:rPr>
      </w:pPr>
      <w:r>
        <w:rPr>
          <w:rFonts w:hint="eastAsia" w:ascii="宋体" w:hAnsi="宋体"/>
          <w:kern w:val="44"/>
        </w:rPr>
        <w:t>（四）企业注册资本；</w:t>
      </w:r>
    </w:p>
    <w:p w14:paraId="01B0D193">
      <w:pPr>
        <w:jc w:val="left"/>
        <w:rPr>
          <w:rFonts w:ascii="宋体" w:hAnsi="宋体"/>
          <w:kern w:val="44"/>
        </w:rPr>
      </w:pPr>
      <w:r>
        <w:rPr>
          <w:rFonts w:hint="eastAsia" w:ascii="宋体" w:hAnsi="宋体"/>
          <w:kern w:val="44"/>
        </w:rPr>
        <w:t>（五）股东的出资方式和出资限额；</w:t>
      </w:r>
    </w:p>
    <w:p w14:paraId="37DE1347">
      <w:pPr>
        <w:jc w:val="left"/>
        <w:rPr>
          <w:rFonts w:ascii="宋体" w:hAnsi="宋体"/>
          <w:kern w:val="44"/>
        </w:rPr>
      </w:pPr>
      <w:r>
        <w:rPr>
          <w:rFonts w:hint="eastAsia" w:ascii="宋体" w:hAnsi="宋体"/>
          <w:kern w:val="44"/>
        </w:rPr>
        <w:t>（六）股东的姓名或者名称；</w:t>
      </w:r>
    </w:p>
    <w:p w14:paraId="385A9C3E">
      <w:pPr>
        <w:jc w:val="left"/>
        <w:rPr>
          <w:rFonts w:ascii="宋体" w:hAnsi="宋体"/>
          <w:kern w:val="44"/>
        </w:rPr>
      </w:pPr>
      <w:r>
        <w:rPr>
          <w:rFonts w:hint="eastAsia" w:ascii="宋体" w:hAnsi="宋体"/>
          <w:kern w:val="44"/>
        </w:rPr>
        <w:t>（七）股东和非股东在职职工的权利和义务；</w:t>
      </w:r>
    </w:p>
    <w:p w14:paraId="3410AF11">
      <w:pPr>
        <w:jc w:val="left"/>
        <w:rPr>
          <w:rFonts w:ascii="宋体" w:hAnsi="宋体"/>
          <w:kern w:val="44"/>
        </w:rPr>
      </w:pPr>
      <w:r>
        <w:rPr>
          <w:rFonts w:hint="eastAsia" w:ascii="宋体" w:hAnsi="宋体"/>
          <w:kern w:val="44"/>
        </w:rPr>
        <w:t>（八）股份取得、转让的条件和程序；</w:t>
      </w:r>
    </w:p>
    <w:p w14:paraId="17CBDA8B">
      <w:pPr>
        <w:jc w:val="left"/>
        <w:rPr>
          <w:rFonts w:ascii="宋体" w:hAnsi="宋体"/>
          <w:kern w:val="44"/>
        </w:rPr>
      </w:pPr>
      <w:r>
        <w:rPr>
          <w:rFonts w:hint="eastAsia" w:ascii="宋体" w:hAnsi="宋体"/>
          <w:kern w:val="44"/>
        </w:rPr>
        <w:t>（九）企业的组织机构及其产生的办法、职权、议事规则；</w:t>
      </w:r>
    </w:p>
    <w:p w14:paraId="7E984C44">
      <w:pPr>
        <w:jc w:val="left"/>
        <w:rPr>
          <w:rFonts w:ascii="宋体" w:hAnsi="宋体"/>
          <w:kern w:val="44"/>
        </w:rPr>
      </w:pPr>
      <w:r>
        <w:rPr>
          <w:rFonts w:hint="eastAsia" w:ascii="宋体" w:hAnsi="宋体"/>
          <w:kern w:val="44"/>
        </w:rPr>
        <w:t>（十）企业法定代表人及其产生程序、任职期限和职权；</w:t>
      </w:r>
    </w:p>
    <w:p w14:paraId="0FFDA9C8">
      <w:pPr>
        <w:jc w:val="left"/>
        <w:rPr>
          <w:rFonts w:ascii="宋体" w:hAnsi="宋体"/>
          <w:kern w:val="44"/>
        </w:rPr>
      </w:pPr>
      <w:r>
        <w:rPr>
          <w:rFonts w:hint="eastAsia" w:ascii="宋体" w:hAnsi="宋体"/>
          <w:kern w:val="44"/>
        </w:rPr>
        <w:t>（十一）财务管理制度，利益分配和亏损分担办法；</w:t>
      </w:r>
    </w:p>
    <w:p w14:paraId="170EE622">
      <w:pPr>
        <w:jc w:val="left"/>
        <w:rPr>
          <w:rFonts w:ascii="宋体" w:hAnsi="宋体"/>
          <w:kern w:val="44"/>
        </w:rPr>
      </w:pPr>
      <w:r>
        <w:rPr>
          <w:rFonts w:hint="eastAsia" w:ascii="宋体" w:hAnsi="宋体"/>
          <w:kern w:val="44"/>
        </w:rPr>
        <w:t>（十二）劳动管理、工资福利、社会保险等规定；</w:t>
      </w:r>
    </w:p>
    <w:p w14:paraId="535DB55D">
      <w:pPr>
        <w:jc w:val="left"/>
        <w:rPr>
          <w:rFonts w:ascii="宋体" w:hAnsi="宋体"/>
          <w:kern w:val="44"/>
        </w:rPr>
      </w:pPr>
      <w:r>
        <w:rPr>
          <w:rFonts w:hint="eastAsia" w:ascii="宋体" w:hAnsi="宋体"/>
          <w:kern w:val="44"/>
        </w:rPr>
        <w:t>（十三）企业的解散事由和清算办法；</w:t>
      </w:r>
    </w:p>
    <w:p w14:paraId="3BBA94C9">
      <w:pPr>
        <w:jc w:val="left"/>
        <w:rPr>
          <w:rFonts w:ascii="宋体" w:hAnsi="宋体"/>
          <w:kern w:val="44"/>
        </w:rPr>
      </w:pPr>
      <w:r>
        <w:rPr>
          <w:rFonts w:hint="eastAsia" w:ascii="宋体" w:hAnsi="宋体"/>
          <w:kern w:val="44"/>
        </w:rPr>
        <w:t>（十四）企业章程修订程序；</w:t>
      </w:r>
    </w:p>
    <w:p w14:paraId="437C02FB">
      <w:pPr>
        <w:jc w:val="left"/>
        <w:rPr>
          <w:rFonts w:ascii="宋体" w:hAnsi="宋体"/>
          <w:kern w:val="44"/>
        </w:rPr>
      </w:pPr>
      <w:r>
        <w:rPr>
          <w:rFonts w:hint="eastAsia" w:ascii="宋体" w:hAnsi="宋体"/>
          <w:kern w:val="44"/>
        </w:rPr>
        <w:t>（十五）需要明确的其他事项。</w:t>
      </w:r>
    </w:p>
    <w:p w14:paraId="66D9E1F2">
      <w:pPr>
        <w:ind w:firstLine="422"/>
        <w:jc w:val="left"/>
        <w:rPr>
          <w:rFonts w:ascii="宋体" w:hAnsi="宋体"/>
          <w:kern w:val="44"/>
        </w:rPr>
      </w:pPr>
      <w:r>
        <w:rPr>
          <w:rFonts w:hint="eastAsia" w:ascii="宋体" w:hAnsi="宋体"/>
          <w:b/>
          <w:kern w:val="44"/>
        </w:rPr>
        <w:t>第十二条</w:t>
      </w:r>
      <w:r>
        <w:rPr>
          <w:rFonts w:hint="eastAsia" w:ascii="宋体" w:hAnsi="宋体"/>
          <w:kern w:val="44"/>
        </w:rPr>
        <w:t>　实行股份合作制的城镇企业，在筹备工作结束后，应当依法向工商行政管理机关申请办理变更登记或者注册登记，并到有关部门办理其他相应变更手续。</w:t>
      </w:r>
    </w:p>
    <w:p w14:paraId="732F585D">
      <w:pPr>
        <w:ind w:firstLine="422"/>
        <w:jc w:val="left"/>
        <w:rPr>
          <w:rFonts w:ascii="宋体" w:hAnsi="宋体"/>
          <w:kern w:val="44"/>
        </w:rPr>
      </w:pPr>
      <w:r>
        <w:rPr>
          <w:rFonts w:hint="eastAsia" w:ascii="宋体" w:hAnsi="宋体"/>
          <w:b/>
          <w:kern w:val="44"/>
        </w:rPr>
        <w:t>第十三条</w:t>
      </w:r>
      <w:r>
        <w:rPr>
          <w:rFonts w:hint="eastAsia" w:ascii="宋体" w:hAnsi="宋体"/>
          <w:kern w:val="44"/>
        </w:rPr>
        <w:t>　实行城镇股份合作制的企业，其生产经营活动未发生重大变化的，在实行股份合作制以前已经取得的生产许可证、经营许可证和行业资质、等级证继续有效；企业成立后，应当及时到有关主管部门办理备案手续。</w:t>
      </w:r>
    </w:p>
    <w:p w14:paraId="60956DB6">
      <w:pPr>
        <w:ind w:firstLine="422"/>
        <w:jc w:val="left"/>
        <w:rPr>
          <w:rFonts w:ascii="宋体" w:hAnsi="宋体"/>
          <w:kern w:val="44"/>
        </w:rPr>
      </w:pPr>
      <w:r>
        <w:rPr>
          <w:rFonts w:hint="eastAsia" w:ascii="宋体" w:hAnsi="宋体"/>
          <w:b/>
          <w:kern w:val="44"/>
        </w:rPr>
        <w:t>第十四条</w:t>
      </w:r>
      <w:r>
        <w:rPr>
          <w:rFonts w:hint="eastAsia" w:ascii="宋体" w:hAnsi="宋体"/>
          <w:kern w:val="44"/>
        </w:rPr>
        <w:t>　城镇股份合作企业可以根据企业发展的规模和需要设立分支机构，或者对外投资成立其他经济组织。</w:t>
      </w:r>
    </w:p>
    <w:p w14:paraId="5FCC7E82">
      <w:pPr>
        <w:jc w:val="left"/>
        <w:rPr>
          <w:rFonts w:ascii="宋体" w:hAnsi="宋体"/>
          <w:kern w:val="44"/>
        </w:rPr>
      </w:pPr>
    </w:p>
    <w:p w14:paraId="1AC9E700">
      <w:pPr>
        <w:ind w:firstLine="0" w:firstLineChars="0"/>
        <w:jc w:val="center"/>
        <w:rPr>
          <w:rFonts w:ascii="宋体" w:hAnsi="宋体"/>
          <w:b/>
          <w:kern w:val="44"/>
          <w:sz w:val="28"/>
        </w:rPr>
      </w:pPr>
      <w:r>
        <w:rPr>
          <w:rFonts w:hint="eastAsia" w:ascii="宋体" w:hAnsi="宋体"/>
          <w:b/>
          <w:kern w:val="44"/>
          <w:sz w:val="28"/>
        </w:rPr>
        <w:t>第三章　股权设置</w:t>
      </w:r>
    </w:p>
    <w:p w14:paraId="50E2A35A">
      <w:pPr>
        <w:jc w:val="left"/>
        <w:rPr>
          <w:rFonts w:ascii="宋体" w:hAnsi="宋体"/>
          <w:kern w:val="44"/>
        </w:rPr>
      </w:pPr>
    </w:p>
    <w:p w14:paraId="69D18789">
      <w:pPr>
        <w:ind w:firstLine="422"/>
        <w:jc w:val="left"/>
        <w:rPr>
          <w:rFonts w:ascii="宋体" w:hAnsi="宋体"/>
          <w:kern w:val="44"/>
        </w:rPr>
      </w:pPr>
      <w:r>
        <w:rPr>
          <w:rFonts w:hint="eastAsia" w:ascii="宋体" w:hAnsi="宋体"/>
          <w:b/>
          <w:kern w:val="44"/>
        </w:rPr>
        <w:t>第十五条</w:t>
      </w:r>
      <w:r>
        <w:rPr>
          <w:rFonts w:hint="eastAsia" w:ascii="宋体" w:hAnsi="宋体"/>
          <w:kern w:val="44"/>
        </w:rPr>
        <w:t>　城镇股份合作企业（以下简称企业）的股东可以用货币出资，也可以用实物、工业产权、非专利技术和土地使用权作价出资。</w:t>
      </w:r>
    </w:p>
    <w:p w14:paraId="56AED176">
      <w:pPr>
        <w:jc w:val="left"/>
        <w:rPr>
          <w:rFonts w:ascii="宋体" w:hAnsi="宋体"/>
          <w:kern w:val="44"/>
        </w:rPr>
      </w:pPr>
      <w:r>
        <w:rPr>
          <w:rFonts w:hint="eastAsia" w:ascii="宋体" w:hAnsi="宋体"/>
          <w:kern w:val="44"/>
        </w:rPr>
        <w:t>鼓励企业、事业单位、其他经济组织和个人以高新技术成果作为投资入股。</w:t>
      </w:r>
    </w:p>
    <w:p w14:paraId="51D8179B">
      <w:pPr>
        <w:ind w:firstLine="422"/>
        <w:jc w:val="left"/>
        <w:rPr>
          <w:rFonts w:ascii="宋体" w:hAnsi="宋体"/>
          <w:kern w:val="44"/>
        </w:rPr>
      </w:pPr>
      <w:r>
        <w:rPr>
          <w:rFonts w:hint="eastAsia" w:ascii="宋体" w:hAnsi="宋体"/>
          <w:b/>
          <w:kern w:val="44"/>
        </w:rPr>
        <w:t>第十六条</w:t>
      </w:r>
      <w:r>
        <w:rPr>
          <w:rFonts w:hint="eastAsia" w:ascii="宋体" w:hAnsi="宋体"/>
          <w:kern w:val="44"/>
        </w:rPr>
        <w:t>　企业可以设置职工个人股、集体共有股以及社会法人股和社会个人股，但不得违反国家法律、法规的规定。</w:t>
      </w:r>
    </w:p>
    <w:p w14:paraId="1D54B820">
      <w:pPr>
        <w:jc w:val="left"/>
        <w:rPr>
          <w:rFonts w:ascii="宋体" w:hAnsi="宋体"/>
          <w:kern w:val="44"/>
        </w:rPr>
      </w:pPr>
      <w:r>
        <w:rPr>
          <w:rFonts w:hint="eastAsia" w:ascii="宋体" w:hAnsi="宋体"/>
          <w:kern w:val="44"/>
        </w:rPr>
        <w:t>企业应当根据实际情况设置股权，并在企业章程中明确规定。</w:t>
      </w:r>
    </w:p>
    <w:p w14:paraId="3F572FF9">
      <w:pPr>
        <w:jc w:val="left"/>
        <w:rPr>
          <w:rFonts w:ascii="宋体" w:hAnsi="宋体"/>
          <w:kern w:val="44"/>
        </w:rPr>
      </w:pPr>
      <w:r>
        <w:rPr>
          <w:rFonts w:hint="eastAsia" w:ascii="宋体" w:hAnsi="宋体"/>
          <w:kern w:val="44"/>
        </w:rPr>
        <w:t>（一）职工个人股，是指本企业职工以其合法财产或者专有技术等无形资产折价投入形成的股份。职工个人股股权归职工个人所有。职工个人股股东称职工股东。</w:t>
      </w:r>
    </w:p>
    <w:p w14:paraId="562922F9">
      <w:pPr>
        <w:jc w:val="left"/>
        <w:rPr>
          <w:rFonts w:ascii="宋体" w:hAnsi="宋体"/>
          <w:kern w:val="44"/>
        </w:rPr>
      </w:pPr>
      <w:r>
        <w:rPr>
          <w:rFonts w:hint="eastAsia" w:ascii="宋体" w:hAnsi="宋体"/>
          <w:kern w:val="44"/>
        </w:rPr>
        <w:t>（二）集体共有股，是指城镇集体企业实行股份合作制时，划归企业劳动群众集体共同共有的资产折股形成的股份，其股权由股东和职工（代表）大会授权的机构持有。</w:t>
      </w:r>
    </w:p>
    <w:p w14:paraId="6B09181F">
      <w:pPr>
        <w:jc w:val="left"/>
        <w:rPr>
          <w:rFonts w:ascii="宋体" w:hAnsi="宋体"/>
          <w:kern w:val="44"/>
        </w:rPr>
      </w:pPr>
      <w:r>
        <w:rPr>
          <w:rFonts w:hint="eastAsia" w:ascii="宋体" w:hAnsi="宋体"/>
          <w:kern w:val="44"/>
        </w:rPr>
        <w:t>（三）社会个人股，是指非本企业职工的个人以其合法财产或者专有技术等无形资产折价投入形成的股份，其股权归该个人所有。</w:t>
      </w:r>
    </w:p>
    <w:p w14:paraId="3AE6B153">
      <w:pPr>
        <w:jc w:val="left"/>
        <w:rPr>
          <w:rFonts w:ascii="宋体" w:hAnsi="宋体"/>
          <w:kern w:val="44"/>
        </w:rPr>
      </w:pPr>
      <w:r>
        <w:rPr>
          <w:rFonts w:hint="eastAsia" w:ascii="宋体" w:hAnsi="宋体"/>
          <w:kern w:val="44"/>
        </w:rPr>
        <w:t>（四）社会法人股，是指本企业以外的具有法人资格的企业、事业单位、社会团体以及其他经济组织，以其合法可支配的资产向企业投资形成的股份，其股权由该法人持有。</w:t>
      </w:r>
    </w:p>
    <w:p w14:paraId="470792C9">
      <w:pPr>
        <w:ind w:firstLine="422"/>
        <w:jc w:val="left"/>
        <w:rPr>
          <w:rFonts w:ascii="宋体" w:hAnsi="宋体"/>
          <w:kern w:val="44"/>
        </w:rPr>
      </w:pPr>
      <w:r>
        <w:rPr>
          <w:rFonts w:hint="eastAsia" w:ascii="宋体" w:hAnsi="宋体"/>
          <w:b/>
          <w:kern w:val="44"/>
        </w:rPr>
        <w:t>第十七条</w:t>
      </w:r>
      <w:r>
        <w:rPr>
          <w:rFonts w:hint="eastAsia" w:ascii="宋体" w:hAnsi="宋体"/>
          <w:kern w:val="44"/>
        </w:rPr>
        <w:t>　企业职工有权按照企业章程的规定认购股份。企业应当在章程中规定每个职工认购股份数额的上限和下限，规定企业经营者和生产经营骨干认购的股份数额。</w:t>
      </w:r>
    </w:p>
    <w:p w14:paraId="2F532CCA">
      <w:pPr>
        <w:jc w:val="left"/>
        <w:rPr>
          <w:rFonts w:ascii="宋体" w:hAnsi="宋体"/>
          <w:kern w:val="44"/>
        </w:rPr>
      </w:pPr>
      <w:r>
        <w:rPr>
          <w:rFonts w:hint="eastAsia" w:ascii="宋体" w:hAnsi="宋体"/>
          <w:kern w:val="44"/>
        </w:rPr>
        <w:t>职工个人股和集体共有股的股本总额应当在企业总股本中占主体，所占比例不得低于企业总股本的51％。特殊情况，经股东和职工（代表）大会三分之二以上股东同意，可以适当降低。</w:t>
      </w:r>
    </w:p>
    <w:p w14:paraId="5223898F">
      <w:pPr>
        <w:ind w:firstLine="422"/>
        <w:jc w:val="left"/>
        <w:rPr>
          <w:rFonts w:ascii="宋体" w:hAnsi="宋体"/>
          <w:kern w:val="44"/>
        </w:rPr>
      </w:pPr>
      <w:r>
        <w:rPr>
          <w:rFonts w:hint="eastAsia" w:ascii="宋体" w:hAnsi="宋体"/>
          <w:b/>
          <w:kern w:val="44"/>
        </w:rPr>
        <w:t>第十八条</w:t>
      </w:r>
      <w:r>
        <w:rPr>
          <w:rFonts w:hint="eastAsia" w:ascii="宋体" w:hAnsi="宋体"/>
          <w:kern w:val="44"/>
        </w:rPr>
        <w:t>　企业不印制股票，由企业向股东出具股权证书，作为出资凭证和分红依据。</w:t>
      </w:r>
    </w:p>
    <w:p w14:paraId="09ECA4C6">
      <w:pPr>
        <w:jc w:val="left"/>
        <w:rPr>
          <w:rFonts w:ascii="宋体" w:hAnsi="宋体"/>
          <w:kern w:val="44"/>
        </w:rPr>
      </w:pPr>
      <w:r>
        <w:rPr>
          <w:rFonts w:hint="eastAsia" w:ascii="宋体" w:hAnsi="宋体"/>
          <w:kern w:val="44"/>
        </w:rPr>
        <w:t>股权证书应当载明下列事项：</w:t>
      </w:r>
    </w:p>
    <w:p w14:paraId="79C5A310">
      <w:pPr>
        <w:jc w:val="left"/>
        <w:rPr>
          <w:rFonts w:ascii="宋体" w:hAnsi="宋体"/>
          <w:kern w:val="44"/>
        </w:rPr>
      </w:pPr>
      <w:r>
        <w:rPr>
          <w:rFonts w:hint="eastAsia" w:ascii="宋体" w:hAnsi="宋体"/>
          <w:kern w:val="44"/>
        </w:rPr>
        <w:t>（一）企业名称；</w:t>
      </w:r>
    </w:p>
    <w:p w14:paraId="1A628645">
      <w:pPr>
        <w:jc w:val="left"/>
        <w:rPr>
          <w:rFonts w:ascii="宋体" w:hAnsi="宋体"/>
          <w:kern w:val="44"/>
        </w:rPr>
      </w:pPr>
      <w:r>
        <w:rPr>
          <w:rFonts w:hint="eastAsia" w:ascii="宋体" w:hAnsi="宋体"/>
          <w:kern w:val="44"/>
        </w:rPr>
        <w:t>（二）企业登记日期；</w:t>
      </w:r>
    </w:p>
    <w:p w14:paraId="448EE2EF">
      <w:pPr>
        <w:jc w:val="left"/>
        <w:rPr>
          <w:rFonts w:ascii="宋体" w:hAnsi="宋体"/>
          <w:kern w:val="44"/>
        </w:rPr>
      </w:pPr>
      <w:r>
        <w:rPr>
          <w:rFonts w:hint="eastAsia" w:ascii="宋体" w:hAnsi="宋体"/>
          <w:kern w:val="44"/>
        </w:rPr>
        <w:t>（三）企业注册资本；</w:t>
      </w:r>
    </w:p>
    <w:p w14:paraId="71C58E5D">
      <w:pPr>
        <w:jc w:val="left"/>
        <w:rPr>
          <w:rFonts w:ascii="宋体" w:hAnsi="宋体"/>
          <w:kern w:val="44"/>
        </w:rPr>
      </w:pPr>
      <w:r>
        <w:rPr>
          <w:rFonts w:hint="eastAsia" w:ascii="宋体" w:hAnsi="宋体"/>
          <w:kern w:val="44"/>
        </w:rPr>
        <w:t>（四）股东的姓名或者名称、缴纳的出资额和出资日期；</w:t>
      </w:r>
    </w:p>
    <w:p w14:paraId="70693913">
      <w:pPr>
        <w:jc w:val="left"/>
        <w:rPr>
          <w:rFonts w:ascii="宋体" w:hAnsi="宋体"/>
          <w:kern w:val="44"/>
        </w:rPr>
      </w:pPr>
      <w:r>
        <w:rPr>
          <w:rFonts w:hint="eastAsia" w:ascii="宋体" w:hAnsi="宋体"/>
          <w:kern w:val="44"/>
        </w:rPr>
        <w:t>（五）股权证书的编号和核发日期。</w:t>
      </w:r>
    </w:p>
    <w:p w14:paraId="57DDFEB7">
      <w:pPr>
        <w:jc w:val="left"/>
        <w:rPr>
          <w:rFonts w:ascii="宋体" w:hAnsi="宋体"/>
          <w:kern w:val="44"/>
        </w:rPr>
      </w:pPr>
      <w:r>
        <w:rPr>
          <w:rFonts w:hint="eastAsia" w:ascii="宋体" w:hAnsi="宋体"/>
          <w:kern w:val="44"/>
        </w:rPr>
        <w:t>股权证书由企业加盖印章。</w:t>
      </w:r>
    </w:p>
    <w:p w14:paraId="6FEA04C0">
      <w:pPr>
        <w:ind w:firstLine="422"/>
        <w:jc w:val="left"/>
        <w:rPr>
          <w:rFonts w:ascii="宋体" w:hAnsi="宋体"/>
          <w:kern w:val="44"/>
        </w:rPr>
      </w:pPr>
      <w:r>
        <w:rPr>
          <w:rFonts w:hint="eastAsia" w:ascii="宋体" w:hAnsi="宋体"/>
          <w:b/>
          <w:kern w:val="44"/>
        </w:rPr>
        <w:t>第十九条</w:t>
      </w:r>
      <w:r>
        <w:rPr>
          <w:rFonts w:hint="eastAsia" w:ascii="宋体" w:hAnsi="宋体"/>
          <w:kern w:val="44"/>
        </w:rPr>
        <w:t>　社会法人股和社会个人股股东应当与职工股东同股同利，其具体权利和义务，由企业在章程中作出明确规定。</w:t>
      </w:r>
    </w:p>
    <w:p w14:paraId="1EC0FA68">
      <w:pPr>
        <w:ind w:firstLine="422"/>
        <w:jc w:val="left"/>
        <w:rPr>
          <w:rFonts w:ascii="宋体" w:hAnsi="宋体"/>
          <w:kern w:val="44"/>
        </w:rPr>
      </w:pPr>
      <w:r>
        <w:rPr>
          <w:rFonts w:hint="eastAsia" w:ascii="宋体" w:hAnsi="宋体"/>
          <w:b/>
          <w:kern w:val="44"/>
        </w:rPr>
        <w:t>第二十条</w:t>
      </w:r>
      <w:r>
        <w:rPr>
          <w:rFonts w:hint="eastAsia" w:ascii="宋体" w:hAnsi="宋体"/>
          <w:kern w:val="44"/>
        </w:rPr>
        <w:t>　企业中暂不入股的非股东职工，待企业增资扩股时可以再出资入股。</w:t>
      </w:r>
    </w:p>
    <w:p w14:paraId="5AEE390A">
      <w:pPr>
        <w:jc w:val="left"/>
        <w:rPr>
          <w:rFonts w:ascii="宋体" w:hAnsi="宋体"/>
          <w:kern w:val="44"/>
        </w:rPr>
      </w:pPr>
      <w:r>
        <w:rPr>
          <w:rFonts w:hint="eastAsia" w:ascii="宋体" w:hAnsi="宋体"/>
          <w:kern w:val="44"/>
        </w:rPr>
        <w:t>企业应当在章程中明确规定非股东职工的权利和义务。企业不得以职工未入股为由与其解除劳动合同。</w:t>
      </w:r>
    </w:p>
    <w:p w14:paraId="1310227A">
      <w:pPr>
        <w:ind w:firstLine="422"/>
        <w:jc w:val="left"/>
        <w:rPr>
          <w:rFonts w:ascii="宋体" w:hAnsi="宋体"/>
          <w:kern w:val="44"/>
        </w:rPr>
      </w:pPr>
      <w:r>
        <w:rPr>
          <w:rFonts w:hint="eastAsia" w:ascii="宋体" w:hAnsi="宋体"/>
          <w:b/>
          <w:kern w:val="44"/>
        </w:rPr>
        <w:t>第二十一条</w:t>
      </w:r>
      <w:r>
        <w:rPr>
          <w:rFonts w:hint="eastAsia" w:ascii="宋体" w:hAnsi="宋体"/>
          <w:kern w:val="44"/>
        </w:rPr>
        <w:t>　企业登记成立后，股东不得抽回出资或者退股。</w:t>
      </w:r>
    </w:p>
    <w:p w14:paraId="515EB20F">
      <w:pPr>
        <w:ind w:firstLine="422"/>
        <w:jc w:val="left"/>
        <w:rPr>
          <w:rFonts w:ascii="宋体" w:hAnsi="宋体"/>
          <w:kern w:val="44"/>
        </w:rPr>
      </w:pPr>
      <w:r>
        <w:rPr>
          <w:rFonts w:hint="eastAsia" w:ascii="宋体" w:hAnsi="宋体"/>
          <w:b/>
          <w:kern w:val="44"/>
        </w:rPr>
        <w:t>第二十二条</w:t>
      </w:r>
      <w:r>
        <w:rPr>
          <w:rFonts w:hint="eastAsia" w:ascii="宋体" w:hAnsi="宋体"/>
          <w:kern w:val="44"/>
        </w:rPr>
        <w:t>　职工个人股只得在本企业职工之间转让。</w:t>
      </w:r>
    </w:p>
    <w:p w14:paraId="6412733F">
      <w:pPr>
        <w:jc w:val="left"/>
        <w:rPr>
          <w:rFonts w:ascii="宋体" w:hAnsi="宋体"/>
          <w:kern w:val="44"/>
        </w:rPr>
      </w:pPr>
      <w:r>
        <w:rPr>
          <w:rFonts w:hint="eastAsia" w:ascii="宋体" w:hAnsi="宋体"/>
          <w:kern w:val="44"/>
        </w:rPr>
        <w:t>社会法人股和社会个人股转让，必须经股东和职工（代表）大会半数以上的股东和职工同意，并办理过户手续；在同等条件下，企业职工有优先购买权。职工购买的经转让的社会法人股和社会个人股，转为职工个人股。</w:t>
      </w:r>
    </w:p>
    <w:p w14:paraId="7ABBC1B1">
      <w:pPr>
        <w:jc w:val="left"/>
        <w:rPr>
          <w:rFonts w:ascii="宋体" w:hAnsi="宋体"/>
          <w:kern w:val="44"/>
        </w:rPr>
      </w:pPr>
      <w:r>
        <w:rPr>
          <w:rFonts w:hint="eastAsia" w:ascii="宋体" w:hAnsi="宋体"/>
          <w:kern w:val="44"/>
        </w:rPr>
        <w:t>各类股份的转让一律以股权证书为依据。</w:t>
      </w:r>
    </w:p>
    <w:p w14:paraId="5B2BF01A">
      <w:pPr>
        <w:ind w:firstLine="422"/>
        <w:jc w:val="left"/>
        <w:rPr>
          <w:rFonts w:ascii="宋体" w:hAnsi="宋体"/>
          <w:kern w:val="44"/>
        </w:rPr>
      </w:pPr>
      <w:r>
        <w:rPr>
          <w:rFonts w:hint="eastAsia" w:ascii="宋体" w:hAnsi="宋体"/>
          <w:b/>
          <w:kern w:val="44"/>
        </w:rPr>
        <w:t>第二十三条</w:t>
      </w:r>
      <w:r>
        <w:rPr>
          <w:rFonts w:hint="eastAsia" w:ascii="宋体" w:hAnsi="宋体"/>
          <w:kern w:val="44"/>
        </w:rPr>
        <w:t>　企业职工股东退休、调出、辞职或者被辞退、除名以及死亡的，其所持股份可以转让给其他职工，企业也可以按照章程规定，用法定公积金或者未分配利润收购，并依照股权比例分配给其他股东。股份转让和收购的价格由双方协商确定。</w:t>
      </w:r>
    </w:p>
    <w:p w14:paraId="554DD4D1">
      <w:pPr>
        <w:jc w:val="left"/>
        <w:rPr>
          <w:rFonts w:ascii="宋体" w:hAnsi="宋体"/>
          <w:kern w:val="44"/>
        </w:rPr>
      </w:pPr>
      <w:r>
        <w:rPr>
          <w:rFonts w:hint="eastAsia" w:ascii="宋体" w:hAnsi="宋体"/>
          <w:kern w:val="44"/>
        </w:rPr>
        <w:t>企业的法定代表人在任职期间和离开本企业后的第一个会计年度内，其所持有的股份不得转让，期间的收益分配方案由企业章程规定。</w:t>
      </w:r>
    </w:p>
    <w:p w14:paraId="79465BBE">
      <w:pPr>
        <w:ind w:firstLine="0" w:firstLineChars="0"/>
        <w:jc w:val="center"/>
        <w:rPr>
          <w:rFonts w:ascii="宋体" w:hAnsi="宋体"/>
          <w:b/>
          <w:kern w:val="44"/>
          <w:sz w:val="28"/>
        </w:rPr>
      </w:pPr>
      <w:r>
        <w:rPr>
          <w:rFonts w:hint="eastAsia" w:ascii="宋体" w:hAnsi="宋体"/>
          <w:b/>
          <w:kern w:val="44"/>
          <w:sz w:val="28"/>
        </w:rPr>
        <w:t>第四章　组织机构</w:t>
      </w:r>
    </w:p>
    <w:p w14:paraId="2C5815A1">
      <w:pPr>
        <w:jc w:val="left"/>
        <w:rPr>
          <w:rFonts w:ascii="宋体" w:hAnsi="宋体"/>
          <w:kern w:val="44"/>
        </w:rPr>
      </w:pPr>
    </w:p>
    <w:p w14:paraId="2C2BBE30">
      <w:pPr>
        <w:ind w:firstLine="422"/>
        <w:jc w:val="left"/>
        <w:rPr>
          <w:rFonts w:ascii="宋体" w:hAnsi="宋体"/>
          <w:kern w:val="44"/>
        </w:rPr>
      </w:pPr>
      <w:r>
        <w:rPr>
          <w:rFonts w:hint="eastAsia" w:ascii="宋体" w:hAnsi="宋体"/>
          <w:b/>
          <w:kern w:val="44"/>
        </w:rPr>
        <w:t>第二十四条</w:t>
      </w:r>
      <w:r>
        <w:rPr>
          <w:rFonts w:hint="eastAsia" w:ascii="宋体" w:hAnsi="宋体"/>
          <w:kern w:val="44"/>
        </w:rPr>
        <w:t>　企业实行股东大会和职工（代表）大会合一的制度，股东和职工（代表）大会是企业的权力机构。</w:t>
      </w:r>
    </w:p>
    <w:p w14:paraId="6754C1EE">
      <w:pPr>
        <w:jc w:val="left"/>
        <w:rPr>
          <w:rFonts w:ascii="宋体" w:hAnsi="宋体"/>
          <w:kern w:val="44"/>
        </w:rPr>
      </w:pPr>
      <w:r>
        <w:rPr>
          <w:rFonts w:hint="eastAsia" w:ascii="宋体" w:hAnsi="宋体"/>
          <w:kern w:val="44"/>
        </w:rPr>
        <w:t>股东和职工（代表）大会行使下列职权：</w:t>
      </w:r>
    </w:p>
    <w:p w14:paraId="7EFBFEEE">
      <w:pPr>
        <w:jc w:val="left"/>
        <w:rPr>
          <w:rFonts w:ascii="宋体" w:hAnsi="宋体"/>
          <w:kern w:val="44"/>
        </w:rPr>
      </w:pPr>
      <w:r>
        <w:rPr>
          <w:rFonts w:hint="eastAsia" w:ascii="宋体" w:hAnsi="宋体"/>
          <w:kern w:val="44"/>
        </w:rPr>
        <w:t>（一）决定企业经营方针和投资计划；</w:t>
      </w:r>
    </w:p>
    <w:p w14:paraId="0E9D1E5C">
      <w:pPr>
        <w:jc w:val="left"/>
        <w:rPr>
          <w:rFonts w:ascii="宋体" w:hAnsi="宋体"/>
          <w:kern w:val="44"/>
        </w:rPr>
      </w:pPr>
      <w:r>
        <w:rPr>
          <w:rFonts w:hint="eastAsia" w:ascii="宋体" w:hAnsi="宋体"/>
          <w:kern w:val="44"/>
        </w:rPr>
        <w:t>（二）选举和更换董事，并决定其报酬事项；</w:t>
      </w:r>
    </w:p>
    <w:p w14:paraId="37BA3D0E">
      <w:pPr>
        <w:jc w:val="left"/>
        <w:rPr>
          <w:rFonts w:ascii="宋体" w:hAnsi="宋体"/>
          <w:kern w:val="44"/>
        </w:rPr>
      </w:pPr>
      <w:r>
        <w:rPr>
          <w:rFonts w:hint="eastAsia" w:ascii="宋体" w:hAnsi="宋体"/>
          <w:kern w:val="44"/>
        </w:rPr>
        <w:t>（三）选举和更换监事，并决定其报酬事项；</w:t>
      </w:r>
    </w:p>
    <w:p w14:paraId="12667EAA">
      <w:pPr>
        <w:jc w:val="left"/>
        <w:rPr>
          <w:rFonts w:ascii="宋体" w:hAnsi="宋体"/>
          <w:kern w:val="44"/>
        </w:rPr>
      </w:pPr>
      <w:r>
        <w:rPr>
          <w:rFonts w:hint="eastAsia" w:ascii="宋体" w:hAnsi="宋体"/>
          <w:kern w:val="44"/>
        </w:rPr>
        <w:t>（四）审议批准董事会报告；</w:t>
      </w:r>
    </w:p>
    <w:p w14:paraId="6F2D81F7">
      <w:pPr>
        <w:jc w:val="left"/>
        <w:rPr>
          <w:rFonts w:ascii="宋体" w:hAnsi="宋体"/>
          <w:kern w:val="44"/>
        </w:rPr>
      </w:pPr>
      <w:r>
        <w:rPr>
          <w:rFonts w:hint="eastAsia" w:ascii="宋体" w:hAnsi="宋体"/>
          <w:kern w:val="44"/>
        </w:rPr>
        <w:t>（五）审议批准监事会的报告；</w:t>
      </w:r>
    </w:p>
    <w:p w14:paraId="7AF7B1E9">
      <w:pPr>
        <w:jc w:val="left"/>
        <w:rPr>
          <w:rFonts w:ascii="宋体" w:hAnsi="宋体"/>
          <w:kern w:val="44"/>
        </w:rPr>
      </w:pPr>
      <w:r>
        <w:rPr>
          <w:rFonts w:hint="eastAsia" w:ascii="宋体" w:hAnsi="宋体"/>
          <w:kern w:val="44"/>
        </w:rPr>
        <w:t>（六）审议批准企业的年度财务预算方案、决算方案；</w:t>
      </w:r>
    </w:p>
    <w:p w14:paraId="0E97E3E4">
      <w:pPr>
        <w:jc w:val="left"/>
        <w:rPr>
          <w:rFonts w:ascii="宋体" w:hAnsi="宋体"/>
          <w:kern w:val="44"/>
        </w:rPr>
      </w:pPr>
      <w:r>
        <w:rPr>
          <w:rFonts w:hint="eastAsia" w:ascii="宋体" w:hAnsi="宋体"/>
          <w:kern w:val="44"/>
        </w:rPr>
        <w:t>（七）审议批准企业的利润分配方案和弥补亏损方案；</w:t>
      </w:r>
    </w:p>
    <w:p w14:paraId="30B0B9EA">
      <w:pPr>
        <w:jc w:val="left"/>
        <w:rPr>
          <w:rFonts w:ascii="宋体" w:hAnsi="宋体"/>
          <w:kern w:val="44"/>
        </w:rPr>
      </w:pPr>
      <w:r>
        <w:rPr>
          <w:rFonts w:hint="eastAsia" w:ascii="宋体" w:hAnsi="宋体"/>
          <w:kern w:val="44"/>
        </w:rPr>
        <w:t>（八）对企业增加、减少注册资本，以及合并、分立、破产、解散和清算等事项作出决议；</w:t>
      </w:r>
    </w:p>
    <w:p w14:paraId="144CFD3C">
      <w:pPr>
        <w:jc w:val="left"/>
        <w:rPr>
          <w:rFonts w:ascii="宋体" w:hAnsi="宋体"/>
          <w:kern w:val="44"/>
        </w:rPr>
      </w:pPr>
      <w:r>
        <w:rPr>
          <w:rFonts w:hint="eastAsia" w:ascii="宋体" w:hAnsi="宋体"/>
          <w:kern w:val="44"/>
        </w:rPr>
        <w:t>（九）修改企业章程；</w:t>
      </w:r>
    </w:p>
    <w:p w14:paraId="6ECACB81">
      <w:pPr>
        <w:jc w:val="left"/>
        <w:rPr>
          <w:rFonts w:ascii="宋体" w:hAnsi="宋体"/>
          <w:kern w:val="44"/>
        </w:rPr>
      </w:pPr>
      <w:r>
        <w:rPr>
          <w:rFonts w:hint="eastAsia" w:ascii="宋体" w:hAnsi="宋体"/>
          <w:kern w:val="44"/>
        </w:rPr>
        <w:t>（十）企业章程规定的其他职权。</w:t>
      </w:r>
    </w:p>
    <w:p w14:paraId="34BE7DD0">
      <w:pPr>
        <w:ind w:firstLine="422"/>
        <w:jc w:val="left"/>
        <w:rPr>
          <w:rFonts w:ascii="宋体" w:hAnsi="宋体"/>
          <w:kern w:val="44"/>
        </w:rPr>
      </w:pPr>
      <w:r>
        <w:rPr>
          <w:rFonts w:hint="eastAsia" w:ascii="宋体" w:hAnsi="宋体"/>
          <w:b/>
          <w:kern w:val="44"/>
        </w:rPr>
        <w:t>第二十五条</w:t>
      </w:r>
      <w:r>
        <w:rPr>
          <w:rFonts w:hint="eastAsia" w:ascii="宋体" w:hAnsi="宋体"/>
          <w:kern w:val="44"/>
        </w:rPr>
        <w:t>　股东和职工（代表）大会由企业的法定代表人召集。股东和职工（代表）大会分为定期会议和临时会议。定期会议应当按照企业章程的规定按时召开。有下列情形之一的，应当召开临时会议：</w:t>
      </w:r>
    </w:p>
    <w:p w14:paraId="02F863B8">
      <w:pPr>
        <w:jc w:val="left"/>
        <w:rPr>
          <w:rFonts w:ascii="宋体" w:hAnsi="宋体"/>
          <w:kern w:val="44"/>
        </w:rPr>
      </w:pPr>
      <w:r>
        <w:rPr>
          <w:rFonts w:hint="eastAsia" w:ascii="宋体" w:hAnsi="宋体"/>
          <w:kern w:val="44"/>
        </w:rPr>
        <w:t>（一）25％以上的股东和职工请求时；</w:t>
      </w:r>
    </w:p>
    <w:p w14:paraId="53BB971E">
      <w:pPr>
        <w:jc w:val="left"/>
        <w:rPr>
          <w:rFonts w:ascii="宋体" w:hAnsi="宋体"/>
          <w:kern w:val="44"/>
        </w:rPr>
      </w:pPr>
      <w:r>
        <w:rPr>
          <w:rFonts w:hint="eastAsia" w:ascii="宋体" w:hAnsi="宋体"/>
          <w:kern w:val="44"/>
        </w:rPr>
        <w:t>（二）持有30％以上股份的股东请求时；</w:t>
      </w:r>
    </w:p>
    <w:p w14:paraId="2E0A4C5D">
      <w:pPr>
        <w:jc w:val="left"/>
        <w:rPr>
          <w:rFonts w:ascii="宋体" w:hAnsi="宋体"/>
          <w:kern w:val="44"/>
        </w:rPr>
      </w:pPr>
      <w:r>
        <w:rPr>
          <w:rFonts w:hint="eastAsia" w:ascii="宋体" w:hAnsi="宋体"/>
          <w:kern w:val="44"/>
        </w:rPr>
        <w:t>（三）三分之一以上的董事或者监事提议时。</w:t>
      </w:r>
    </w:p>
    <w:p w14:paraId="5619D7A8">
      <w:pPr>
        <w:ind w:firstLine="422"/>
        <w:jc w:val="left"/>
        <w:rPr>
          <w:rFonts w:ascii="宋体" w:hAnsi="宋体"/>
          <w:kern w:val="44"/>
        </w:rPr>
      </w:pPr>
      <w:r>
        <w:rPr>
          <w:rFonts w:hint="eastAsia" w:ascii="宋体" w:hAnsi="宋体"/>
          <w:b/>
          <w:kern w:val="44"/>
        </w:rPr>
        <w:t>第二十六条</w:t>
      </w:r>
      <w:r>
        <w:rPr>
          <w:rFonts w:hint="eastAsia" w:ascii="宋体" w:hAnsi="宋体"/>
          <w:kern w:val="44"/>
        </w:rPr>
        <w:t>　股东和职工（代表）大会采取一人一票与一股一票相结合的表决方式。</w:t>
      </w:r>
    </w:p>
    <w:p w14:paraId="142B6774">
      <w:pPr>
        <w:jc w:val="left"/>
        <w:rPr>
          <w:rFonts w:ascii="宋体" w:hAnsi="宋体"/>
          <w:kern w:val="44"/>
        </w:rPr>
      </w:pPr>
      <w:r>
        <w:rPr>
          <w:rFonts w:hint="eastAsia" w:ascii="宋体" w:hAnsi="宋体"/>
          <w:kern w:val="44"/>
        </w:rPr>
        <w:t>对本办法第二十四条第（二）项、第（三）项中除选举和更换董事、监事外，以及第（四）项、第（五）项、第（七）项和第（十）项进行表决的，应当采用一人一票方式；作出的决议，必须经半数以上股东和职工通过。</w:t>
      </w:r>
    </w:p>
    <w:p w14:paraId="745B308F">
      <w:pPr>
        <w:jc w:val="left"/>
        <w:rPr>
          <w:rFonts w:ascii="宋体" w:hAnsi="宋体"/>
          <w:kern w:val="44"/>
        </w:rPr>
      </w:pPr>
      <w:r>
        <w:rPr>
          <w:rFonts w:hint="eastAsia" w:ascii="宋体" w:hAnsi="宋体"/>
          <w:kern w:val="44"/>
        </w:rPr>
        <w:t>对本办法第二十四条第（九）项进行表决的，应当采用一人一票方式；作出的决议，必须经三分之二以上的股东和职工通过。</w:t>
      </w:r>
    </w:p>
    <w:p w14:paraId="37BD9656">
      <w:pPr>
        <w:jc w:val="left"/>
        <w:rPr>
          <w:rFonts w:ascii="宋体" w:hAnsi="宋体"/>
          <w:kern w:val="44"/>
        </w:rPr>
      </w:pPr>
      <w:r>
        <w:rPr>
          <w:rFonts w:hint="eastAsia" w:ascii="宋体" w:hAnsi="宋体"/>
          <w:kern w:val="44"/>
        </w:rPr>
        <w:t>对本办法第二十四条第（一）项、第（二）项和第（三）项中的选举和更换董事、监事以及第（六）项、第（八）项进行表决时，应当采用一股一票方式；作出的决议，必须经持有三分之二以上股份的股东通过。</w:t>
      </w:r>
    </w:p>
    <w:p w14:paraId="7F878B48">
      <w:pPr>
        <w:jc w:val="left"/>
        <w:rPr>
          <w:rFonts w:ascii="宋体" w:hAnsi="宋体"/>
          <w:kern w:val="44"/>
        </w:rPr>
      </w:pPr>
      <w:r>
        <w:rPr>
          <w:rFonts w:hint="eastAsia" w:ascii="宋体" w:hAnsi="宋体"/>
          <w:kern w:val="44"/>
        </w:rPr>
        <w:t>股东和职工（代表）大会可以根据企业实际，对本办法第二十四条所列事项的表决方式作适当修改，并在企业章程中明确规定。</w:t>
      </w:r>
    </w:p>
    <w:p w14:paraId="344698DE">
      <w:pPr>
        <w:ind w:firstLine="422"/>
        <w:jc w:val="left"/>
        <w:rPr>
          <w:rFonts w:ascii="宋体" w:hAnsi="宋体"/>
          <w:kern w:val="44"/>
        </w:rPr>
      </w:pPr>
      <w:r>
        <w:rPr>
          <w:rFonts w:hint="eastAsia" w:ascii="宋体" w:hAnsi="宋体"/>
          <w:b/>
          <w:kern w:val="44"/>
        </w:rPr>
        <w:t>第二十七条</w:t>
      </w:r>
      <w:r>
        <w:rPr>
          <w:rFonts w:hint="eastAsia" w:ascii="宋体" w:hAnsi="宋体"/>
          <w:kern w:val="44"/>
        </w:rPr>
        <w:t>　规模较大的企业应当设立董事会。董事会的人员组成、产生方式和职责范围等由股东和职工（代表）大会确定。董事会负责股东和职工（代表）大会闭会期间的工作，直接向股东和职工（代表）大会负责。</w:t>
      </w:r>
    </w:p>
    <w:p w14:paraId="79D6C2EB">
      <w:pPr>
        <w:jc w:val="left"/>
        <w:rPr>
          <w:rFonts w:ascii="宋体" w:hAnsi="宋体"/>
          <w:kern w:val="44"/>
        </w:rPr>
      </w:pPr>
      <w:r>
        <w:rPr>
          <w:rFonts w:hint="eastAsia" w:ascii="宋体" w:hAnsi="宋体"/>
          <w:kern w:val="44"/>
        </w:rPr>
        <w:t>董事会行使下列职权：</w:t>
      </w:r>
    </w:p>
    <w:p w14:paraId="083ECFD2">
      <w:pPr>
        <w:jc w:val="left"/>
        <w:rPr>
          <w:rFonts w:ascii="宋体" w:hAnsi="宋体"/>
          <w:kern w:val="44"/>
        </w:rPr>
      </w:pPr>
      <w:r>
        <w:rPr>
          <w:rFonts w:hint="eastAsia" w:ascii="宋体" w:hAnsi="宋体"/>
          <w:kern w:val="44"/>
        </w:rPr>
        <w:t>（一）决定召开股东和职工（代表）大会并向大会报告工作；</w:t>
      </w:r>
    </w:p>
    <w:p w14:paraId="5037A2BD">
      <w:pPr>
        <w:jc w:val="left"/>
        <w:rPr>
          <w:rFonts w:ascii="宋体" w:hAnsi="宋体"/>
          <w:kern w:val="44"/>
        </w:rPr>
      </w:pPr>
      <w:r>
        <w:rPr>
          <w:rFonts w:hint="eastAsia" w:ascii="宋体" w:hAnsi="宋体"/>
          <w:kern w:val="44"/>
        </w:rPr>
        <w:t>（二）执行股东和职工（代表）大会的决议；</w:t>
      </w:r>
    </w:p>
    <w:p w14:paraId="46CA42AF">
      <w:pPr>
        <w:jc w:val="left"/>
        <w:rPr>
          <w:rFonts w:ascii="宋体" w:hAnsi="宋体"/>
          <w:kern w:val="44"/>
        </w:rPr>
      </w:pPr>
      <w:r>
        <w:rPr>
          <w:rFonts w:hint="eastAsia" w:ascii="宋体" w:hAnsi="宋体"/>
          <w:kern w:val="44"/>
        </w:rPr>
        <w:t>（三）审定企业发展规划、年度生产经营计划；</w:t>
      </w:r>
    </w:p>
    <w:p w14:paraId="00E768E1">
      <w:pPr>
        <w:jc w:val="left"/>
        <w:rPr>
          <w:rFonts w:ascii="宋体" w:hAnsi="宋体"/>
          <w:kern w:val="44"/>
        </w:rPr>
      </w:pPr>
      <w:r>
        <w:rPr>
          <w:rFonts w:hint="eastAsia" w:ascii="宋体" w:hAnsi="宋体"/>
          <w:kern w:val="44"/>
        </w:rPr>
        <w:t>（四）审议企业的年度财务预、决算方案，利润分配方案和弥补亏损的方案；</w:t>
      </w:r>
    </w:p>
    <w:p w14:paraId="7E01903D">
      <w:pPr>
        <w:jc w:val="left"/>
        <w:rPr>
          <w:rFonts w:ascii="宋体" w:hAnsi="宋体"/>
          <w:kern w:val="44"/>
        </w:rPr>
      </w:pPr>
      <w:r>
        <w:rPr>
          <w:rFonts w:hint="eastAsia" w:ascii="宋体" w:hAnsi="宋体"/>
          <w:kern w:val="44"/>
        </w:rPr>
        <w:t>（五）制定企业增、减注册资本方案；</w:t>
      </w:r>
    </w:p>
    <w:p w14:paraId="35FB75A9">
      <w:pPr>
        <w:jc w:val="left"/>
        <w:rPr>
          <w:rFonts w:ascii="宋体" w:hAnsi="宋体"/>
          <w:kern w:val="44"/>
        </w:rPr>
      </w:pPr>
      <w:r>
        <w:rPr>
          <w:rFonts w:hint="eastAsia" w:ascii="宋体" w:hAnsi="宋体"/>
          <w:kern w:val="44"/>
        </w:rPr>
        <w:t>（六）制定企业分立、合并、终止的方案；</w:t>
      </w:r>
    </w:p>
    <w:p w14:paraId="23F30058">
      <w:pPr>
        <w:jc w:val="left"/>
        <w:rPr>
          <w:rFonts w:ascii="宋体" w:hAnsi="宋体"/>
          <w:kern w:val="44"/>
        </w:rPr>
      </w:pPr>
      <w:r>
        <w:rPr>
          <w:rFonts w:hint="eastAsia" w:ascii="宋体" w:hAnsi="宋体"/>
          <w:kern w:val="44"/>
        </w:rPr>
        <w:t>（七）聘任和解聘包括经理、会计主管人员等管理人员，决定其报酬及支付办法；</w:t>
      </w:r>
    </w:p>
    <w:p w14:paraId="5345A0E0">
      <w:pPr>
        <w:jc w:val="left"/>
        <w:rPr>
          <w:rFonts w:ascii="宋体" w:hAnsi="宋体"/>
          <w:kern w:val="44"/>
        </w:rPr>
      </w:pPr>
      <w:r>
        <w:rPr>
          <w:rFonts w:hint="eastAsia" w:ascii="宋体" w:hAnsi="宋体"/>
          <w:kern w:val="44"/>
        </w:rPr>
        <w:t>（八）企业章程规定的其他职权。</w:t>
      </w:r>
    </w:p>
    <w:p w14:paraId="38F05B74">
      <w:pPr>
        <w:jc w:val="left"/>
        <w:rPr>
          <w:rFonts w:ascii="宋体" w:hAnsi="宋体"/>
          <w:kern w:val="44"/>
        </w:rPr>
      </w:pPr>
      <w:r>
        <w:rPr>
          <w:rFonts w:hint="eastAsia" w:ascii="宋体" w:hAnsi="宋体"/>
          <w:kern w:val="44"/>
        </w:rPr>
        <w:t>前款第（七）项规定的职权，在未设董事会的企业，由股东和职工（代表）大会行使。</w:t>
      </w:r>
    </w:p>
    <w:p w14:paraId="6D80301C">
      <w:pPr>
        <w:ind w:firstLine="422"/>
        <w:jc w:val="left"/>
        <w:rPr>
          <w:rFonts w:ascii="宋体" w:hAnsi="宋体"/>
          <w:kern w:val="44"/>
        </w:rPr>
      </w:pPr>
      <w:r>
        <w:rPr>
          <w:rFonts w:hint="eastAsia" w:ascii="宋体" w:hAnsi="宋体"/>
          <w:b/>
          <w:kern w:val="44"/>
        </w:rPr>
        <w:t>第二十八条</w:t>
      </w:r>
      <w:r>
        <w:rPr>
          <w:rFonts w:hint="eastAsia" w:ascii="宋体" w:hAnsi="宋体"/>
          <w:kern w:val="44"/>
        </w:rPr>
        <w:t>　企业应当设立监事会或者监事，直接向股东和职工（代表）大会负责，对董事会及其成员以及企业经理等管理人员行使监督职责，并向股东和职工（代表）大会报告工作。</w:t>
      </w:r>
    </w:p>
    <w:p w14:paraId="4CB57DF5">
      <w:pPr>
        <w:jc w:val="left"/>
        <w:rPr>
          <w:rFonts w:ascii="宋体" w:hAnsi="宋体"/>
          <w:kern w:val="44"/>
        </w:rPr>
      </w:pPr>
      <w:r>
        <w:rPr>
          <w:rFonts w:hint="eastAsia" w:ascii="宋体" w:hAnsi="宋体"/>
          <w:kern w:val="44"/>
        </w:rPr>
        <w:t>董事、经理和财务负责人不得兼任监事。</w:t>
      </w:r>
    </w:p>
    <w:p w14:paraId="319F8713">
      <w:pPr>
        <w:jc w:val="left"/>
        <w:rPr>
          <w:rFonts w:ascii="宋体" w:hAnsi="宋体"/>
          <w:kern w:val="44"/>
        </w:rPr>
      </w:pPr>
      <w:r>
        <w:rPr>
          <w:rFonts w:hint="eastAsia" w:ascii="宋体" w:hAnsi="宋体"/>
          <w:kern w:val="44"/>
        </w:rPr>
        <w:t>监事会或者监事行使下列职权：</w:t>
      </w:r>
    </w:p>
    <w:p w14:paraId="0EC8F190">
      <w:pPr>
        <w:jc w:val="left"/>
        <w:rPr>
          <w:rFonts w:ascii="宋体" w:hAnsi="宋体"/>
          <w:kern w:val="44"/>
        </w:rPr>
      </w:pPr>
      <w:r>
        <w:rPr>
          <w:rFonts w:hint="eastAsia" w:ascii="宋体" w:hAnsi="宋体"/>
          <w:kern w:val="44"/>
        </w:rPr>
        <w:t>（一）检查企业财务；</w:t>
      </w:r>
    </w:p>
    <w:p w14:paraId="02F51D57">
      <w:pPr>
        <w:jc w:val="left"/>
        <w:rPr>
          <w:rFonts w:ascii="宋体" w:hAnsi="宋体"/>
          <w:kern w:val="44"/>
        </w:rPr>
      </w:pPr>
      <w:r>
        <w:rPr>
          <w:rFonts w:hint="eastAsia" w:ascii="宋体" w:hAnsi="宋体"/>
          <w:kern w:val="44"/>
        </w:rPr>
        <w:t>（二）对董事、经理执行职务时违反法律、法规或者企业章程的行为进行监督；</w:t>
      </w:r>
    </w:p>
    <w:p w14:paraId="2F00A984">
      <w:pPr>
        <w:jc w:val="left"/>
        <w:rPr>
          <w:rFonts w:ascii="宋体" w:hAnsi="宋体"/>
          <w:kern w:val="44"/>
        </w:rPr>
      </w:pPr>
      <w:r>
        <w:rPr>
          <w:rFonts w:hint="eastAsia" w:ascii="宋体" w:hAnsi="宋体"/>
          <w:kern w:val="44"/>
        </w:rPr>
        <w:t>（三）要求董事、经理纠正其损害企业利益的行为；</w:t>
      </w:r>
    </w:p>
    <w:p w14:paraId="732DD844">
      <w:pPr>
        <w:jc w:val="left"/>
        <w:rPr>
          <w:rFonts w:ascii="宋体" w:hAnsi="宋体"/>
          <w:kern w:val="44"/>
        </w:rPr>
      </w:pPr>
      <w:r>
        <w:rPr>
          <w:rFonts w:hint="eastAsia" w:ascii="宋体" w:hAnsi="宋体"/>
          <w:kern w:val="44"/>
        </w:rPr>
        <w:t>（四）提议召开临时股东和职工（代表）大会；</w:t>
      </w:r>
    </w:p>
    <w:p w14:paraId="7B3E3A5D">
      <w:pPr>
        <w:jc w:val="left"/>
        <w:rPr>
          <w:rFonts w:ascii="宋体" w:hAnsi="宋体"/>
          <w:kern w:val="44"/>
        </w:rPr>
      </w:pPr>
      <w:r>
        <w:rPr>
          <w:rFonts w:hint="eastAsia" w:ascii="宋体" w:hAnsi="宋体"/>
          <w:kern w:val="44"/>
        </w:rPr>
        <w:t>（五）列席董事会会议；</w:t>
      </w:r>
    </w:p>
    <w:p w14:paraId="099C4710">
      <w:pPr>
        <w:jc w:val="left"/>
        <w:rPr>
          <w:rFonts w:ascii="宋体" w:hAnsi="宋体"/>
          <w:kern w:val="44"/>
        </w:rPr>
      </w:pPr>
      <w:r>
        <w:rPr>
          <w:rFonts w:hint="eastAsia" w:ascii="宋体" w:hAnsi="宋体"/>
          <w:kern w:val="44"/>
        </w:rPr>
        <w:t>（六）企业章程规定的其他职权。</w:t>
      </w:r>
    </w:p>
    <w:p w14:paraId="7FADDDB0">
      <w:pPr>
        <w:ind w:firstLine="422"/>
        <w:jc w:val="left"/>
        <w:rPr>
          <w:rFonts w:ascii="宋体" w:hAnsi="宋体"/>
          <w:kern w:val="44"/>
        </w:rPr>
      </w:pPr>
      <w:r>
        <w:rPr>
          <w:rFonts w:hint="eastAsia" w:ascii="宋体" w:hAnsi="宋体"/>
          <w:b/>
          <w:kern w:val="44"/>
        </w:rPr>
        <w:t>第二十九条</w:t>
      </w:r>
      <w:r>
        <w:rPr>
          <w:rFonts w:hint="eastAsia" w:ascii="宋体" w:hAnsi="宋体"/>
          <w:kern w:val="44"/>
        </w:rPr>
        <w:t>　企业设董事会的，董事长为企业的法定代表人；未设董事会的企业，可以设一名执行董事，执行董事为企业的法定代表人。执行董事可以兼任企业经理。</w:t>
      </w:r>
    </w:p>
    <w:p w14:paraId="6AD55B7D">
      <w:pPr>
        <w:jc w:val="left"/>
        <w:rPr>
          <w:rFonts w:ascii="宋体" w:hAnsi="宋体"/>
          <w:kern w:val="44"/>
        </w:rPr>
      </w:pPr>
      <w:r>
        <w:rPr>
          <w:rFonts w:hint="eastAsia" w:ascii="宋体" w:hAnsi="宋体"/>
          <w:kern w:val="44"/>
        </w:rPr>
        <w:t>执行董事的职权，应当参照本办法第二十七条由企业在章程中规定。</w:t>
      </w:r>
    </w:p>
    <w:p w14:paraId="3CA80215">
      <w:pPr>
        <w:ind w:firstLine="422"/>
        <w:jc w:val="left"/>
        <w:rPr>
          <w:rFonts w:ascii="宋体" w:hAnsi="宋体"/>
          <w:kern w:val="44"/>
        </w:rPr>
      </w:pPr>
      <w:r>
        <w:rPr>
          <w:rFonts w:hint="eastAsia" w:ascii="宋体" w:hAnsi="宋体"/>
          <w:b/>
          <w:kern w:val="44"/>
        </w:rPr>
        <w:t>第三十条</w:t>
      </w:r>
      <w:r>
        <w:rPr>
          <w:rFonts w:hint="eastAsia" w:ascii="宋体" w:hAnsi="宋体"/>
          <w:kern w:val="44"/>
        </w:rPr>
        <w:t>　企业的经理（厂长）负责企业日常的经营管理工作，行使下列职权：</w:t>
      </w:r>
    </w:p>
    <w:p w14:paraId="5E1A7722">
      <w:pPr>
        <w:jc w:val="left"/>
        <w:rPr>
          <w:rFonts w:ascii="宋体" w:hAnsi="宋体"/>
          <w:kern w:val="44"/>
        </w:rPr>
      </w:pPr>
      <w:r>
        <w:rPr>
          <w:rFonts w:hint="eastAsia" w:ascii="宋体" w:hAnsi="宋体"/>
          <w:kern w:val="44"/>
        </w:rPr>
        <w:t>（一）主持企业的生产经营管理工作，组织实施董事会决议；</w:t>
      </w:r>
    </w:p>
    <w:p w14:paraId="5415A2AD">
      <w:pPr>
        <w:jc w:val="left"/>
        <w:rPr>
          <w:rFonts w:ascii="宋体" w:hAnsi="宋体"/>
          <w:kern w:val="44"/>
        </w:rPr>
      </w:pPr>
      <w:r>
        <w:rPr>
          <w:rFonts w:hint="eastAsia" w:ascii="宋体" w:hAnsi="宋体"/>
          <w:kern w:val="44"/>
        </w:rPr>
        <w:t>（二）组织实施企业年度经营计划和投资方案；</w:t>
      </w:r>
    </w:p>
    <w:p w14:paraId="15279CF4">
      <w:pPr>
        <w:jc w:val="left"/>
        <w:rPr>
          <w:rFonts w:ascii="宋体" w:hAnsi="宋体"/>
          <w:kern w:val="44"/>
        </w:rPr>
      </w:pPr>
      <w:r>
        <w:rPr>
          <w:rFonts w:hint="eastAsia" w:ascii="宋体" w:hAnsi="宋体"/>
          <w:kern w:val="44"/>
        </w:rPr>
        <w:t>（三）拟定企业内部管理机构设置方案；</w:t>
      </w:r>
    </w:p>
    <w:p w14:paraId="4115348B">
      <w:pPr>
        <w:jc w:val="left"/>
        <w:rPr>
          <w:rFonts w:ascii="宋体" w:hAnsi="宋体"/>
          <w:kern w:val="44"/>
        </w:rPr>
      </w:pPr>
      <w:r>
        <w:rPr>
          <w:rFonts w:hint="eastAsia" w:ascii="宋体" w:hAnsi="宋体"/>
          <w:kern w:val="44"/>
        </w:rPr>
        <w:t>（四）拟定企业的基本管理制度；</w:t>
      </w:r>
    </w:p>
    <w:p w14:paraId="2C688395">
      <w:pPr>
        <w:jc w:val="left"/>
        <w:rPr>
          <w:rFonts w:ascii="宋体" w:hAnsi="宋体"/>
          <w:kern w:val="44"/>
        </w:rPr>
      </w:pPr>
      <w:r>
        <w:rPr>
          <w:rFonts w:hint="eastAsia" w:ascii="宋体" w:hAnsi="宋体"/>
          <w:kern w:val="44"/>
        </w:rPr>
        <w:t>（五）除应由董事会聘任或者解聘的人员以外，提请聘任或者解聘企业副经理等管理人员；</w:t>
      </w:r>
    </w:p>
    <w:p w14:paraId="74E2B059">
      <w:pPr>
        <w:jc w:val="left"/>
        <w:rPr>
          <w:rFonts w:ascii="宋体" w:hAnsi="宋体"/>
          <w:kern w:val="44"/>
        </w:rPr>
      </w:pPr>
      <w:r>
        <w:rPr>
          <w:rFonts w:hint="eastAsia" w:ascii="宋体" w:hAnsi="宋体"/>
          <w:kern w:val="44"/>
        </w:rPr>
        <w:t>（六）企业章程和董事会赋予的其他职权。</w:t>
      </w:r>
    </w:p>
    <w:p w14:paraId="1385D4CB">
      <w:pPr>
        <w:jc w:val="left"/>
        <w:rPr>
          <w:rFonts w:ascii="宋体" w:hAnsi="宋体"/>
          <w:kern w:val="44"/>
        </w:rPr>
      </w:pPr>
      <w:r>
        <w:rPr>
          <w:rFonts w:hint="eastAsia" w:ascii="宋体" w:hAnsi="宋体"/>
          <w:kern w:val="44"/>
        </w:rPr>
        <w:t>经理（厂长）应当定期向董事会以及股东和职工（代表）大会报告工作，听取意见，接受监督。</w:t>
      </w:r>
    </w:p>
    <w:p w14:paraId="08726B36">
      <w:pPr>
        <w:ind w:firstLine="422"/>
        <w:jc w:val="left"/>
        <w:rPr>
          <w:rFonts w:ascii="宋体" w:hAnsi="宋体"/>
          <w:kern w:val="44"/>
        </w:rPr>
      </w:pPr>
      <w:r>
        <w:rPr>
          <w:rFonts w:hint="eastAsia" w:ascii="宋体" w:hAnsi="宋体"/>
          <w:b/>
          <w:kern w:val="44"/>
        </w:rPr>
        <w:t>第三十一条</w:t>
      </w:r>
      <w:r>
        <w:rPr>
          <w:rFonts w:hint="eastAsia" w:ascii="宋体" w:hAnsi="宋体"/>
          <w:kern w:val="44"/>
        </w:rPr>
        <w:t>　董事、经理（厂长）、监事违反法律、法规、规章或者企业章程规定，应当承担相应的法律责任；给本企业或者股东造成损害的，应当承担赔偿责任。</w:t>
      </w:r>
    </w:p>
    <w:p w14:paraId="7128650B">
      <w:pPr>
        <w:jc w:val="left"/>
        <w:rPr>
          <w:rFonts w:ascii="宋体" w:hAnsi="宋体"/>
          <w:kern w:val="44"/>
        </w:rPr>
      </w:pPr>
    </w:p>
    <w:p w14:paraId="36E20077">
      <w:pPr>
        <w:ind w:firstLine="0" w:firstLineChars="0"/>
        <w:jc w:val="center"/>
        <w:rPr>
          <w:rFonts w:ascii="宋体" w:hAnsi="宋体"/>
          <w:b/>
          <w:kern w:val="44"/>
          <w:sz w:val="28"/>
        </w:rPr>
      </w:pPr>
      <w:r>
        <w:rPr>
          <w:rFonts w:hint="eastAsia" w:ascii="宋体" w:hAnsi="宋体"/>
          <w:b/>
          <w:kern w:val="44"/>
          <w:sz w:val="28"/>
        </w:rPr>
        <w:t>第五章　收益分配</w:t>
      </w:r>
    </w:p>
    <w:p w14:paraId="38E0BE21">
      <w:pPr>
        <w:jc w:val="left"/>
        <w:rPr>
          <w:rFonts w:ascii="宋体" w:hAnsi="宋体"/>
          <w:kern w:val="44"/>
        </w:rPr>
      </w:pPr>
    </w:p>
    <w:p w14:paraId="4F37816C">
      <w:pPr>
        <w:ind w:firstLine="422"/>
        <w:jc w:val="left"/>
        <w:rPr>
          <w:rFonts w:ascii="宋体" w:hAnsi="宋体"/>
          <w:kern w:val="44"/>
        </w:rPr>
      </w:pPr>
      <w:r>
        <w:rPr>
          <w:rFonts w:hint="eastAsia" w:ascii="宋体" w:hAnsi="宋体"/>
          <w:b/>
          <w:kern w:val="44"/>
        </w:rPr>
        <w:t>第三十二条</w:t>
      </w:r>
      <w:r>
        <w:rPr>
          <w:rFonts w:hint="eastAsia" w:ascii="宋体" w:hAnsi="宋体"/>
          <w:kern w:val="44"/>
        </w:rPr>
        <w:t>　企业应当依法建立健全财务、会计、统计制度，按期报送财务会计报表，并定期向股东报告财务收支状况，接受监督。</w:t>
      </w:r>
    </w:p>
    <w:p w14:paraId="5125F551">
      <w:pPr>
        <w:jc w:val="left"/>
        <w:rPr>
          <w:rFonts w:ascii="宋体" w:hAnsi="宋体"/>
          <w:kern w:val="44"/>
        </w:rPr>
      </w:pPr>
      <w:r>
        <w:rPr>
          <w:rFonts w:hint="eastAsia" w:ascii="宋体" w:hAnsi="宋体"/>
          <w:kern w:val="44"/>
        </w:rPr>
        <w:t>依据企业会计准则，实行两则两制的企业，年度财务决算的报表，原则上应经中介机构审核，并附有注册会计师的审计报告。</w:t>
      </w:r>
    </w:p>
    <w:p w14:paraId="029294DE">
      <w:pPr>
        <w:jc w:val="left"/>
        <w:rPr>
          <w:rFonts w:ascii="宋体" w:hAnsi="宋体"/>
          <w:kern w:val="44"/>
        </w:rPr>
      </w:pPr>
      <w:r>
        <w:rPr>
          <w:rFonts w:hint="eastAsia" w:ascii="宋体" w:hAnsi="宋体"/>
          <w:kern w:val="44"/>
        </w:rPr>
        <w:t>企业应当在每一会计年度终了时制作财务会计报告，并于召开股东和职工（代表）大会的20日以前置备于企业，供股东查阅。</w:t>
      </w:r>
    </w:p>
    <w:p w14:paraId="40DED33C">
      <w:pPr>
        <w:ind w:firstLine="422"/>
        <w:jc w:val="left"/>
        <w:rPr>
          <w:rFonts w:ascii="宋体" w:hAnsi="宋体"/>
          <w:kern w:val="44"/>
        </w:rPr>
      </w:pPr>
      <w:r>
        <w:rPr>
          <w:rFonts w:hint="eastAsia" w:ascii="宋体" w:hAnsi="宋体"/>
          <w:b/>
          <w:kern w:val="44"/>
        </w:rPr>
        <w:t>第三十三条</w:t>
      </w:r>
      <w:r>
        <w:rPr>
          <w:rFonts w:hint="eastAsia" w:ascii="宋体" w:hAnsi="宋体"/>
          <w:kern w:val="44"/>
        </w:rPr>
        <w:t>　企业依法缴纳所得税后的利润，除国家另有规定外，按照下列程序分配：</w:t>
      </w:r>
    </w:p>
    <w:p w14:paraId="5D66C979">
      <w:pPr>
        <w:jc w:val="left"/>
        <w:rPr>
          <w:rFonts w:ascii="宋体" w:hAnsi="宋体"/>
          <w:kern w:val="44"/>
        </w:rPr>
      </w:pPr>
      <w:r>
        <w:rPr>
          <w:rFonts w:hint="eastAsia" w:ascii="宋体" w:hAnsi="宋体"/>
          <w:kern w:val="44"/>
        </w:rPr>
        <w:t>（一）被没收的财物损失，支付各项税收的滞纳金和罚款。</w:t>
      </w:r>
    </w:p>
    <w:p w14:paraId="68CCC490">
      <w:pPr>
        <w:jc w:val="left"/>
        <w:rPr>
          <w:rFonts w:ascii="宋体" w:hAnsi="宋体"/>
          <w:kern w:val="44"/>
        </w:rPr>
      </w:pPr>
      <w:r>
        <w:rPr>
          <w:rFonts w:hint="eastAsia" w:ascii="宋体" w:hAnsi="宋体"/>
          <w:kern w:val="44"/>
        </w:rPr>
        <w:t>（二）弥补企业以前年度亏损。</w:t>
      </w:r>
    </w:p>
    <w:p w14:paraId="1A6DE50D">
      <w:pPr>
        <w:jc w:val="left"/>
        <w:rPr>
          <w:rFonts w:ascii="宋体" w:hAnsi="宋体"/>
          <w:kern w:val="44"/>
        </w:rPr>
      </w:pPr>
      <w:r>
        <w:rPr>
          <w:rFonts w:hint="eastAsia" w:ascii="宋体" w:hAnsi="宋体"/>
          <w:kern w:val="44"/>
        </w:rPr>
        <w:t>（三）按税后利润的10％提取法定公积金；当法定公积金达到注册资本50％时可不再提取。</w:t>
      </w:r>
    </w:p>
    <w:p w14:paraId="7A53898F">
      <w:pPr>
        <w:jc w:val="left"/>
        <w:rPr>
          <w:rFonts w:ascii="宋体" w:hAnsi="宋体"/>
          <w:kern w:val="44"/>
        </w:rPr>
      </w:pPr>
      <w:r>
        <w:rPr>
          <w:rFonts w:hint="eastAsia" w:ascii="宋体" w:hAnsi="宋体"/>
          <w:kern w:val="44"/>
        </w:rPr>
        <w:t>（四）按税后利润的5％至10％提取法定公益金。</w:t>
      </w:r>
    </w:p>
    <w:p w14:paraId="7363F822">
      <w:pPr>
        <w:jc w:val="left"/>
        <w:rPr>
          <w:rFonts w:ascii="宋体" w:hAnsi="宋体"/>
          <w:kern w:val="44"/>
        </w:rPr>
      </w:pPr>
      <w:r>
        <w:rPr>
          <w:rFonts w:hint="eastAsia" w:ascii="宋体" w:hAnsi="宋体"/>
          <w:kern w:val="44"/>
        </w:rPr>
        <w:t>（五）按照企业章程规定或者股东和职工（代表）大会决议，提取股东积累公积金。</w:t>
      </w:r>
    </w:p>
    <w:p w14:paraId="7BBFF44E">
      <w:pPr>
        <w:jc w:val="left"/>
        <w:rPr>
          <w:rFonts w:ascii="宋体" w:hAnsi="宋体"/>
          <w:kern w:val="44"/>
        </w:rPr>
      </w:pPr>
      <w:r>
        <w:rPr>
          <w:rFonts w:hint="eastAsia" w:ascii="宋体" w:hAnsi="宋体"/>
          <w:kern w:val="44"/>
        </w:rPr>
        <w:t>（六）提取劳动分红基金。</w:t>
      </w:r>
    </w:p>
    <w:p w14:paraId="287671B0">
      <w:pPr>
        <w:jc w:val="left"/>
        <w:rPr>
          <w:rFonts w:ascii="宋体" w:hAnsi="宋体"/>
          <w:kern w:val="44"/>
        </w:rPr>
      </w:pPr>
      <w:r>
        <w:rPr>
          <w:rFonts w:hint="eastAsia" w:ascii="宋体" w:hAnsi="宋体"/>
          <w:kern w:val="44"/>
        </w:rPr>
        <w:t>（七）向股东支付股利或者配（送）股。</w:t>
      </w:r>
    </w:p>
    <w:p w14:paraId="43C19612">
      <w:pPr>
        <w:jc w:val="left"/>
        <w:rPr>
          <w:rFonts w:ascii="宋体" w:hAnsi="宋体"/>
          <w:kern w:val="44"/>
        </w:rPr>
      </w:pPr>
      <w:r>
        <w:rPr>
          <w:rFonts w:hint="eastAsia" w:ascii="宋体" w:hAnsi="宋体"/>
          <w:kern w:val="44"/>
        </w:rPr>
        <w:t>企业前一年度未分配的利润，可以并入下一年度分配。</w:t>
      </w:r>
    </w:p>
    <w:p w14:paraId="10F41B38">
      <w:pPr>
        <w:ind w:firstLine="422"/>
        <w:jc w:val="left"/>
        <w:rPr>
          <w:rFonts w:ascii="宋体" w:hAnsi="宋体"/>
          <w:kern w:val="44"/>
        </w:rPr>
      </w:pPr>
      <w:r>
        <w:rPr>
          <w:rFonts w:hint="eastAsia" w:ascii="宋体" w:hAnsi="宋体"/>
          <w:b/>
          <w:kern w:val="44"/>
        </w:rPr>
        <w:t>第三十四条</w:t>
      </w:r>
      <w:r>
        <w:rPr>
          <w:rFonts w:hint="eastAsia" w:ascii="宋体" w:hAnsi="宋体"/>
          <w:kern w:val="44"/>
        </w:rPr>
        <w:t>　集体共有股分得的股利，一般按照下列方式进行分配：</w:t>
      </w:r>
    </w:p>
    <w:p w14:paraId="45608614">
      <w:pPr>
        <w:jc w:val="left"/>
        <w:rPr>
          <w:rFonts w:ascii="宋体" w:hAnsi="宋体"/>
          <w:kern w:val="44"/>
        </w:rPr>
      </w:pPr>
      <w:r>
        <w:rPr>
          <w:rFonts w:hint="eastAsia" w:ascii="宋体" w:hAnsi="宋体"/>
          <w:kern w:val="44"/>
        </w:rPr>
        <w:t>（一）一部分分配给在职职工；</w:t>
      </w:r>
    </w:p>
    <w:p w14:paraId="51D88588">
      <w:pPr>
        <w:jc w:val="left"/>
        <w:rPr>
          <w:rFonts w:ascii="宋体" w:hAnsi="宋体"/>
          <w:kern w:val="44"/>
        </w:rPr>
      </w:pPr>
      <w:r>
        <w:rPr>
          <w:rFonts w:hint="eastAsia" w:ascii="宋体" w:hAnsi="宋体"/>
          <w:kern w:val="44"/>
        </w:rPr>
        <w:t>（二）一部分用作原企业离退休人员费用；</w:t>
      </w:r>
    </w:p>
    <w:p w14:paraId="23729EFB">
      <w:pPr>
        <w:jc w:val="left"/>
        <w:rPr>
          <w:rFonts w:ascii="宋体" w:hAnsi="宋体"/>
          <w:kern w:val="44"/>
        </w:rPr>
      </w:pPr>
      <w:r>
        <w:rPr>
          <w:rFonts w:hint="eastAsia" w:ascii="宋体" w:hAnsi="宋体"/>
          <w:kern w:val="44"/>
        </w:rPr>
        <w:t>（三）一部分作为企业劳动分红。</w:t>
      </w:r>
    </w:p>
    <w:p w14:paraId="7ECBEF34">
      <w:pPr>
        <w:jc w:val="left"/>
        <w:rPr>
          <w:rFonts w:ascii="宋体" w:hAnsi="宋体"/>
          <w:kern w:val="44"/>
        </w:rPr>
      </w:pPr>
      <w:r>
        <w:rPr>
          <w:rFonts w:hint="eastAsia" w:ascii="宋体" w:hAnsi="宋体"/>
          <w:kern w:val="44"/>
        </w:rPr>
        <w:t>具体分配办法由股东和职工（代表）大会决定。</w:t>
      </w:r>
    </w:p>
    <w:p w14:paraId="15FA2871">
      <w:pPr>
        <w:ind w:firstLine="422"/>
        <w:jc w:val="left"/>
        <w:rPr>
          <w:rFonts w:ascii="宋体" w:hAnsi="宋体"/>
          <w:kern w:val="44"/>
        </w:rPr>
      </w:pPr>
      <w:r>
        <w:rPr>
          <w:rFonts w:hint="eastAsia" w:ascii="宋体" w:hAnsi="宋体"/>
          <w:b/>
          <w:kern w:val="44"/>
        </w:rPr>
        <w:t>第三十五条</w:t>
      </w:r>
      <w:r>
        <w:rPr>
          <w:rFonts w:hint="eastAsia" w:ascii="宋体" w:hAnsi="宋体"/>
          <w:kern w:val="44"/>
        </w:rPr>
        <w:t>　企业当年无利润时，一般不得分配股利。企业无利润或者税后利润不足以支付股利时，不足部分由以后年度的税后利润弥补。经股东和职工（代表）大会通过，可以用往年结转的未分配利润或者法定公积金分配股利。</w:t>
      </w:r>
    </w:p>
    <w:p w14:paraId="64433AD7">
      <w:pPr>
        <w:ind w:firstLine="422"/>
        <w:jc w:val="left"/>
        <w:rPr>
          <w:rFonts w:ascii="宋体" w:hAnsi="宋体"/>
          <w:kern w:val="44"/>
        </w:rPr>
      </w:pPr>
      <w:r>
        <w:rPr>
          <w:rFonts w:hint="eastAsia" w:ascii="宋体" w:hAnsi="宋体"/>
          <w:b/>
          <w:kern w:val="44"/>
        </w:rPr>
        <w:t>第三十六条</w:t>
      </w:r>
      <w:r>
        <w:rPr>
          <w:rFonts w:hint="eastAsia" w:ascii="宋体" w:hAnsi="宋体"/>
          <w:kern w:val="44"/>
        </w:rPr>
        <w:t>　获得股金红利的个人应当依法缴纳个人收入所得税，并由企业代扣代缴。</w:t>
      </w:r>
    </w:p>
    <w:p w14:paraId="424DBD48">
      <w:pPr>
        <w:ind w:firstLine="422"/>
        <w:jc w:val="left"/>
        <w:rPr>
          <w:rFonts w:ascii="宋体" w:hAnsi="宋体"/>
          <w:kern w:val="44"/>
        </w:rPr>
      </w:pPr>
      <w:r>
        <w:rPr>
          <w:rFonts w:hint="eastAsia" w:ascii="宋体" w:hAnsi="宋体"/>
          <w:b/>
          <w:kern w:val="44"/>
        </w:rPr>
        <w:t>第三十七条</w:t>
      </w:r>
      <w:r>
        <w:rPr>
          <w:rFonts w:hint="eastAsia" w:ascii="宋体" w:hAnsi="宋体"/>
          <w:kern w:val="44"/>
        </w:rPr>
        <w:t>　企业的公积金主要用于弥补亏损、转增股本、发展生产等。</w:t>
      </w:r>
    </w:p>
    <w:p w14:paraId="3D3B1651">
      <w:pPr>
        <w:jc w:val="left"/>
        <w:rPr>
          <w:rFonts w:ascii="宋体" w:hAnsi="宋体"/>
          <w:kern w:val="44"/>
        </w:rPr>
      </w:pPr>
      <w:r>
        <w:rPr>
          <w:rFonts w:hint="eastAsia" w:ascii="宋体" w:hAnsi="宋体"/>
          <w:kern w:val="44"/>
        </w:rPr>
        <w:t>法定公积金转为企业资本时，所留存的该项公积金不得少于注册资本的25％。</w:t>
      </w:r>
    </w:p>
    <w:p w14:paraId="26B3C449">
      <w:pPr>
        <w:ind w:firstLine="422"/>
        <w:jc w:val="left"/>
        <w:rPr>
          <w:rFonts w:ascii="宋体" w:hAnsi="宋体"/>
          <w:kern w:val="44"/>
        </w:rPr>
      </w:pPr>
      <w:r>
        <w:rPr>
          <w:rFonts w:hint="eastAsia" w:ascii="宋体" w:hAnsi="宋体"/>
          <w:b/>
          <w:kern w:val="44"/>
        </w:rPr>
        <w:t>第三十八条</w:t>
      </w:r>
      <w:r>
        <w:rPr>
          <w:rFonts w:hint="eastAsia" w:ascii="宋体" w:hAnsi="宋体"/>
          <w:kern w:val="44"/>
        </w:rPr>
        <w:t>　企业公益金用于本企业职工的集体福利。</w:t>
      </w:r>
    </w:p>
    <w:p w14:paraId="16A40D31">
      <w:pPr>
        <w:ind w:firstLine="422"/>
        <w:jc w:val="left"/>
        <w:rPr>
          <w:rFonts w:ascii="宋体" w:hAnsi="宋体"/>
          <w:kern w:val="44"/>
        </w:rPr>
      </w:pPr>
      <w:r>
        <w:rPr>
          <w:rFonts w:hint="eastAsia" w:ascii="宋体" w:hAnsi="宋体"/>
          <w:b/>
          <w:kern w:val="44"/>
        </w:rPr>
        <w:t>第三十九条</w:t>
      </w:r>
      <w:r>
        <w:rPr>
          <w:rFonts w:hint="eastAsia" w:ascii="宋体" w:hAnsi="宋体"/>
          <w:kern w:val="44"/>
        </w:rPr>
        <w:t>　企业发生年度亏损时，应当按照国家规定用以后年度利润弥补，不足的部分，依次以公积金、集体共有股金、职工个人股金、社会个人股金和法人股金进行补偿。</w:t>
      </w:r>
    </w:p>
    <w:p w14:paraId="4B423255">
      <w:pPr>
        <w:ind w:firstLine="422"/>
        <w:jc w:val="left"/>
        <w:rPr>
          <w:rFonts w:ascii="宋体" w:hAnsi="宋体"/>
          <w:kern w:val="44"/>
        </w:rPr>
      </w:pPr>
      <w:r>
        <w:rPr>
          <w:rFonts w:hint="eastAsia" w:ascii="宋体" w:hAnsi="宋体"/>
          <w:b/>
          <w:kern w:val="44"/>
        </w:rPr>
        <w:t>第四十条</w:t>
      </w:r>
      <w:r>
        <w:rPr>
          <w:rFonts w:hint="eastAsia" w:ascii="宋体" w:hAnsi="宋体"/>
          <w:kern w:val="44"/>
        </w:rPr>
        <w:t>　企业应当按照规定参加职工失业、医疗、养老保险和住房公积金等社会保险，逐步扩大集体福利。</w:t>
      </w:r>
    </w:p>
    <w:p w14:paraId="6C1D1E0B">
      <w:pPr>
        <w:jc w:val="left"/>
        <w:rPr>
          <w:rFonts w:ascii="宋体" w:hAnsi="宋体"/>
          <w:kern w:val="44"/>
        </w:rPr>
      </w:pPr>
    </w:p>
    <w:p w14:paraId="500E2D1D">
      <w:pPr>
        <w:ind w:firstLine="0" w:firstLineChars="0"/>
        <w:jc w:val="center"/>
        <w:rPr>
          <w:rFonts w:ascii="宋体" w:hAnsi="宋体"/>
          <w:b/>
          <w:kern w:val="44"/>
          <w:sz w:val="28"/>
        </w:rPr>
      </w:pPr>
      <w:r>
        <w:rPr>
          <w:rFonts w:hint="eastAsia" w:ascii="宋体" w:hAnsi="宋体"/>
          <w:b/>
          <w:kern w:val="44"/>
          <w:sz w:val="28"/>
        </w:rPr>
        <w:t>第六章　变更与清算</w:t>
      </w:r>
    </w:p>
    <w:p w14:paraId="0309FC60">
      <w:pPr>
        <w:jc w:val="left"/>
        <w:rPr>
          <w:rFonts w:ascii="宋体" w:hAnsi="宋体"/>
          <w:kern w:val="44"/>
        </w:rPr>
      </w:pPr>
    </w:p>
    <w:p w14:paraId="014FF296">
      <w:pPr>
        <w:ind w:firstLine="422"/>
        <w:jc w:val="left"/>
        <w:rPr>
          <w:rFonts w:ascii="宋体" w:hAnsi="宋体"/>
          <w:kern w:val="44"/>
        </w:rPr>
      </w:pPr>
      <w:r>
        <w:rPr>
          <w:rFonts w:hint="eastAsia" w:ascii="宋体" w:hAnsi="宋体"/>
          <w:b/>
          <w:kern w:val="44"/>
        </w:rPr>
        <w:t>第四十一条</w:t>
      </w:r>
      <w:r>
        <w:rPr>
          <w:rFonts w:hint="eastAsia" w:ascii="宋体" w:hAnsi="宋体"/>
          <w:kern w:val="44"/>
        </w:rPr>
        <w:t>　企业的合并与分立必须由股东和职工（代表）大会作出决议，并通知债权人。</w:t>
      </w:r>
    </w:p>
    <w:p w14:paraId="575A0ADE">
      <w:pPr>
        <w:ind w:firstLine="422"/>
        <w:jc w:val="left"/>
        <w:rPr>
          <w:rFonts w:ascii="宋体" w:hAnsi="宋体"/>
          <w:kern w:val="44"/>
        </w:rPr>
      </w:pPr>
      <w:r>
        <w:rPr>
          <w:rFonts w:hint="eastAsia" w:ascii="宋体" w:hAnsi="宋体"/>
          <w:b/>
          <w:kern w:val="44"/>
        </w:rPr>
        <w:t>第四十二条</w:t>
      </w:r>
      <w:r>
        <w:rPr>
          <w:rFonts w:hint="eastAsia" w:ascii="宋体" w:hAnsi="宋体"/>
          <w:kern w:val="44"/>
        </w:rPr>
        <w:t>　企业合并与分立，应当按照有关规定由合并或者分立各方签订协议，明确划分资产，清理债权、债务。原企业的债权债务由合并或者分立后的企业承担。</w:t>
      </w:r>
    </w:p>
    <w:p w14:paraId="2855485C">
      <w:pPr>
        <w:ind w:firstLine="422"/>
        <w:jc w:val="left"/>
        <w:rPr>
          <w:rFonts w:ascii="宋体" w:hAnsi="宋体"/>
          <w:kern w:val="44"/>
        </w:rPr>
      </w:pPr>
      <w:r>
        <w:rPr>
          <w:rFonts w:hint="eastAsia" w:ascii="宋体" w:hAnsi="宋体"/>
          <w:b/>
          <w:kern w:val="44"/>
        </w:rPr>
        <w:t>第四十三条</w:t>
      </w:r>
      <w:r>
        <w:rPr>
          <w:rFonts w:hint="eastAsia" w:ascii="宋体" w:hAnsi="宋体"/>
          <w:kern w:val="44"/>
        </w:rPr>
        <w:t>　企业发生合并与分立时，应当到工商行政管理部门办理设立、变更或者注销登记；涉及国有法人股发生变动的，应当先到国有资产管理部门办理国有资产产权登记或者变更手续。</w:t>
      </w:r>
    </w:p>
    <w:p w14:paraId="6BB8A92A">
      <w:pPr>
        <w:ind w:firstLine="422"/>
        <w:jc w:val="left"/>
        <w:rPr>
          <w:rFonts w:ascii="宋体" w:hAnsi="宋体"/>
          <w:kern w:val="44"/>
        </w:rPr>
      </w:pPr>
      <w:r>
        <w:rPr>
          <w:rFonts w:hint="eastAsia" w:ascii="宋体" w:hAnsi="宋体"/>
          <w:b/>
          <w:kern w:val="44"/>
        </w:rPr>
        <w:t>第四十四条</w:t>
      </w:r>
      <w:r>
        <w:rPr>
          <w:rFonts w:hint="eastAsia" w:ascii="宋体" w:hAnsi="宋体"/>
          <w:kern w:val="44"/>
        </w:rPr>
        <w:t>　企业因解散、被依法撤销、宣告破产或者其他原因而终止的，应当按照国家有关规定成立清算组织，进行清算和债权债务的清偿工作。</w:t>
      </w:r>
    </w:p>
    <w:p w14:paraId="1F534319">
      <w:pPr>
        <w:jc w:val="left"/>
        <w:rPr>
          <w:rFonts w:ascii="宋体" w:hAnsi="宋体"/>
          <w:kern w:val="44"/>
        </w:rPr>
      </w:pPr>
      <w:r>
        <w:rPr>
          <w:rFonts w:hint="eastAsia" w:ascii="宋体" w:hAnsi="宋体"/>
          <w:kern w:val="44"/>
        </w:rPr>
        <w:t>清算结束后的剩余财产，按照股东所占股份的比例进行分配；其中集体共有股分得的财产，应当由政府授权的专门机构负责，用于原企业职工的失业、养老保险等事项，专款专用。</w:t>
      </w:r>
    </w:p>
    <w:p w14:paraId="26141ECC">
      <w:pPr>
        <w:ind w:firstLine="422"/>
        <w:jc w:val="left"/>
        <w:rPr>
          <w:rFonts w:ascii="宋体" w:hAnsi="宋体"/>
          <w:kern w:val="44"/>
        </w:rPr>
      </w:pPr>
      <w:r>
        <w:rPr>
          <w:rFonts w:hint="eastAsia" w:ascii="宋体" w:hAnsi="宋体"/>
          <w:b/>
          <w:kern w:val="44"/>
        </w:rPr>
        <w:t>第四十五条</w:t>
      </w:r>
      <w:r>
        <w:rPr>
          <w:rFonts w:hint="eastAsia" w:ascii="宋体" w:hAnsi="宋体"/>
          <w:kern w:val="44"/>
        </w:rPr>
        <w:t>　企业终止清算结束后，清算组织应当提出清算报告，经批准登记注册的会计师事务所、审计事务所或者资产评估机构验证后，到原产权登记和注册登记机关办理注销登记手续，并予以公告。</w:t>
      </w:r>
    </w:p>
    <w:p w14:paraId="503864C1">
      <w:pPr>
        <w:jc w:val="left"/>
        <w:rPr>
          <w:rFonts w:ascii="宋体" w:hAnsi="宋体"/>
          <w:kern w:val="44"/>
        </w:rPr>
      </w:pPr>
    </w:p>
    <w:p w14:paraId="310AE3F8">
      <w:pPr>
        <w:ind w:firstLine="0" w:firstLineChars="0"/>
        <w:jc w:val="center"/>
        <w:rPr>
          <w:rFonts w:ascii="宋体" w:hAnsi="宋体"/>
          <w:b/>
          <w:kern w:val="44"/>
          <w:sz w:val="28"/>
        </w:rPr>
      </w:pPr>
      <w:r>
        <w:rPr>
          <w:rFonts w:hint="eastAsia" w:ascii="宋体" w:hAnsi="宋体"/>
          <w:b/>
          <w:kern w:val="44"/>
          <w:sz w:val="28"/>
        </w:rPr>
        <w:t>第七章　附　则</w:t>
      </w:r>
    </w:p>
    <w:p w14:paraId="6F8CC483">
      <w:pPr>
        <w:jc w:val="left"/>
        <w:rPr>
          <w:rFonts w:ascii="宋体" w:hAnsi="宋体"/>
          <w:kern w:val="44"/>
        </w:rPr>
      </w:pPr>
    </w:p>
    <w:p w14:paraId="26C2B379">
      <w:pPr>
        <w:ind w:firstLine="422"/>
        <w:jc w:val="left"/>
        <w:rPr>
          <w:rFonts w:ascii="宋体" w:hAnsi="宋体"/>
          <w:kern w:val="44"/>
        </w:rPr>
      </w:pPr>
      <w:r>
        <w:rPr>
          <w:rFonts w:hint="eastAsia" w:ascii="宋体" w:hAnsi="宋体"/>
          <w:b/>
          <w:kern w:val="44"/>
        </w:rPr>
        <w:t>第四十六条</w:t>
      </w:r>
      <w:r>
        <w:rPr>
          <w:rFonts w:hint="eastAsia" w:ascii="宋体" w:hAnsi="宋体"/>
          <w:kern w:val="44"/>
        </w:rPr>
        <w:t>　事业单位实行股份合作制的，参照本办法执行。</w:t>
      </w:r>
    </w:p>
    <w:p w14:paraId="1390A6C8">
      <w:pPr>
        <w:ind w:firstLine="422"/>
        <w:jc w:val="left"/>
        <w:rPr>
          <w:rFonts w:ascii="宋体" w:hAnsi="宋体"/>
          <w:kern w:val="44"/>
        </w:rPr>
      </w:pPr>
      <w:r>
        <w:rPr>
          <w:rFonts w:hint="eastAsia" w:ascii="宋体" w:hAnsi="宋体"/>
          <w:b/>
          <w:kern w:val="44"/>
        </w:rPr>
        <w:t>第四十七条</w:t>
      </w:r>
      <w:r>
        <w:rPr>
          <w:rFonts w:hint="eastAsia" w:ascii="宋体" w:hAnsi="宋体"/>
          <w:kern w:val="44"/>
        </w:rPr>
        <w:t>　本办法执行中的具体问题，由市经济体制改革委员会负责解释。</w:t>
      </w:r>
    </w:p>
    <w:p w14:paraId="0ED56AE6">
      <w:pPr>
        <w:ind w:firstLine="422"/>
        <w:jc w:val="left"/>
        <w:rPr>
          <w:rFonts w:ascii="宋体" w:hAnsi="宋体"/>
          <w:kern w:val="44"/>
        </w:rPr>
      </w:pPr>
      <w:r>
        <w:rPr>
          <w:rFonts w:hint="eastAsia" w:ascii="宋体" w:hAnsi="宋体"/>
          <w:b/>
          <w:kern w:val="44"/>
        </w:rPr>
        <w:t>第四十八条</w:t>
      </w:r>
      <w:r>
        <w:rPr>
          <w:rFonts w:hint="eastAsia" w:ascii="宋体" w:hAnsi="宋体"/>
          <w:kern w:val="44"/>
        </w:rPr>
        <w:t>　本办法自发布之日起施行。1994年7月25日市人民政府发布的《北京市股份合作制暂行办法》（1994年第14号令）同时废止。</w:t>
      </w:r>
    </w:p>
    <w:p w14:paraId="2326C87C">
      <w:pPr>
        <w:pStyle w:val="4"/>
        <w:pageBreakBefore/>
        <w:rPr>
          <w:kern w:val="44"/>
        </w:rPr>
      </w:pPr>
      <w:bookmarkStart w:id="1409" w:name="_Toc422471369"/>
      <w:bookmarkStart w:id="1410" w:name="_Toc428780200"/>
      <w:bookmarkStart w:id="1411" w:name="_Toc427651634"/>
      <w:bookmarkStart w:id="1412" w:name="_Toc427651976"/>
      <w:bookmarkStart w:id="1413" w:name="_Toc428781682"/>
      <w:r>
        <w:rPr>
          <w:rFonts w:hint="eastAsia"/>
          <w:kern w:val="44"/>
        </w:rPr>
        <w:t>北京市产权交易管理规定</w:t>
      </w:r>
      <w:bookmarkEnd w:id="1409"/>
      <w:bookmarkEnd w:id="1410"/>
      <w:bookmarkEnd w:id="1411"/>
      <w:bookmarkEnd w:id="1412"/>
      <w:bookmarkEnd w:id="1413"/>
    </w:p>
    <w:p w14:paraId="76AD4923">
      <w:pPr>
        <w:ind w:left="630" w:leftChars="300" w:right="630" w:rightChars="300"/>
        <w:jc w:val="left"/>
        <w:rPr>
          <w:rFonts w:ascii="楷体" w:hAnsi="楷体" w:eastAsia="楷体"/>
          <w:kern w:val="44"/>
        </w:rPr>
      </w:pPr>
      <w:r>
        <w:rPr>
          <w:rFonts w:hint="eastAsia" w:ascii="楷体" w:hAnsi="楷体" w:eastAsia="楷体"/>
          <w:kern w:val="44"/>
        </w:rPr>
        <w:t>（2001年12月7日北京市人民政府第90号令公布　根据2005年6月15日北京市人民政府第159号令第一次修改  根据2010年11月27日北京市人民政府第226号令第二次修改）</w:t>
      </w:r>
    </w:p>
    <w:p w14:paraId="4D1DD597">
      <w:pPr>
        <w:jc w:val="left"/>
        <w:rPr>
          <w:rFonts w:ascii="宋体" w:hAnsi="宋体"/>
          <w:kern w:val="44"/>
        </w:rPr>
      </w:pPr>
    </w:p>
    <w:p w14:paraId="5DFC43BC">
      <w:pPr>
        <w:ind w:firstLine="0" w:firstLineChars="0"/>
        <w:jc w:val="center"/>
        <w:rPr>
          <w:rFonts w:ascii="宋体" w:hAnsi="宋体"/>
          <w:b/>
          <w:kern w:val="44"/>
          <w:sz w:val="28"/>
        </w:rPr>
      </w:pPr>
      <w:r>
        <w:rPr>
          <w:rFonts w:hint="eastAsia" w:ascii="宋体" w:hAnsi="宋体"/>
          <w:b/>
          <w:kern w:val="44"/>
          <w:sz w:val="28"/>
        </w:rPr>
        <w:t>第一章　总　则</w:t>
      </w:r>
    </w:p>
    <w:p w14:paraId="1F1A5971">
      <w:pPr>
        <w:jc w:val="left"/>
        <w:rPr>
          <w:rFonts w:ascii="宋体" w:hAnsi="宋体"/>
          <w:kern w:val="44"/>
        </w:rPr>
      </w:pPr>
    </w:p>
    <w:p w14:paraId="3DBDE604">
      <w:pPr>
        <w:ind w:firstLine="422"/>
        <w:jc w:val="left"/>
        <w:rPr>
          <w:rFonts w:ascii="宋体" w:hAnsi="宋体"/>
          <w:kern w:val="44"/>
        </w:rPr>
      </w:pPr>
      <w:r>
        <w:rPr>
          <w:rFonts w:hint="eastAsia" w:ascii="宋体" w:hAnsi="宋体"/>
          <w:b/>
          <w:kern w:val="44"/>
        </w:rPr>
        <w:t>第一条</w:t>
      </w:r>
      <w:r>
        <w:rPr>
          <w:rFonts w:hint="eastAsia" w:ascii="宋体" w:hAnsi="宋体"/>
          <w:kern w:val="44"/>
        </w:rPr>
        <w:t>　为培育和发展本市产权交易市场，规范产权交易行为，促进资源的优化配置，根据本市实际情况，制定本规定。</w:t>
      </w:r>
    </w:p>
    <w:p w14:paraId="440AD9AC">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在本市产权交易机构从事产权交易活动，应当遵守本规定。法律、法规另有规定的，从其规定。</w:t>
      </w:r>
    </w:p>
    <w:p w14:paraId="79466422">
      <w:pPr>
        <w:jc w:val="left"/>
        <w:rPr>
          <w:rFonts w:ascii="宋体" w:hAnsi="宋体"/>
          <w:kern w:val="44"/>
        </w:rPr>
      </w:pPr>
      <w:r>
        <w:rPr>
          <w:rFonts w:hint="eastAsia" w:ascii="宋体" w:hAnsi="宋体"/>
          <w:kern w:val="44"/>
        </w:rPr>
        <w:t>本规定所称产权交易是指企业财产所有权及相关财产权益的有偿转让行为。</w:t>
      </w:r>
    </w:p>
    <w:p w14:paraId="7C1FBF8F">
      <w:pPr>
        <w:ind w:firstLine="422"/>
        <w:jc w:val="left"/>
        <w:rPr>
          <w:rFonts w:ascii="宋体" w:hAnsi="宋体"/>
          <w:kern w:val="44"/>
        </w:rPr>
      </w:pPr>
      <w:r>
        <w:rPr>
          <w:rFonts w:hint="eastAsia" w:ascii="宋体" w:hAnsi="宋体"/>
          <w:b/>
          <w:kern w:val="44"/>
        </w:rPr>
        <w:t>第三条</w:t>
      </w:r>
      <w:r>
        <w:rPr>
          <w:rFonts w:hint="eastAsia" w:ascii="宋体" w:hAnsi="宋体"/>
          <w:kern w:val="44"/>
        </w:rPr>
        <w:t>　从事产权交易应当遵守法律、法规，遵循自愿平等、诚实信用和公开、公平、公正的原则，不得侵犯他人的合法权益和损害社会公共利益。</w:t>
      </w:r>
    </w:p>
    <w:p w14:paraId="25AA2F0E">
      <w:pPr>
        <w:jc w:val="left"/>
        <w:rPr>
          <w:rFonts w:ascii="宋体" w:hAnsi="宋体"/>
          <w:kern w:val="44"/>
        </w:rPr>
      </w:pPr>
      <w:r>
        <w:rPr>
          <w:rFonts w:hint="eastAsia" w:ascii="宋体" w:hAnsi="宋体"/>
          <w:kern w:val="44"/>
        </w:rPr>
        <w:t>产权交易当事人的合法权益受法律保护。</w:t>
      </w:r>
    </w:p>
    <w:p w14:paraId="7B732766">
      <w:pPr>
        <w:ind w:firstLine="422"/>
        <w:jc w:val="left"/>
        <w:rPr>
          <w:rFonts w:ascii="宋体" w:hAnsi="宋体"/>
          <w:kern w:val="44"/>
        </w:rPr>
      </w:pPr>
      <w:r>
        <w:rPr>
          <w:rFonts w:hint="eastAsia" w:ascii="宋体" w:hAnsi="宋体"/>
          <w:b/>
          <w:kern w:val="44"/>
        </w:rPr>
        <w:t>第四条</w:t>
      </w:r>
      <w:r>
        <w:rPr>
          <w:rFonts w:hint="eastAsia" w:ascii="宋体" w:hAnsi="宋体"/>
          <w:kern w:val="44"/>
        </w:rPr>
        <w:t>　产权交易不受地区、行业、隶属关系、经济性质的限制。</w:t>
      </w:r>
    </w:p>
    <w:p w14:paraId="7FFE5804">
      <w:pPr>
        <w:jc w:val="left"/>
        <w:rPr>
          <w:rFonts w:ascii="宋体" w:hAnsi="宋体"/>
          <w:kern w:val="44"/>
        </w:rPr>
      </w:pPr>
      <w:r>
        <w:rPr>
          <w:rFonts w:hint="eastAsia" w:ascii="宋体" w:hAnsi="宋体"/>
          <w:kern w:val="44"/>
        </w:rPr>
        <w:t>涉及国家安全、国家秘密的产权交易应当按照国家有关规定办理。</w:t>
      </w:r>
    </w:p>
    <w:p w14:paraId="3C3AB877">
      <w:pPr>
        <w:ind w:firstLine="422"/>
        <w:jc w:val="left"/>
        <w:rPr>
          <w:rFonts w:ascii="宋体" w:hAnsi="宋体"/>
          <w:kern w:val="44"/>
        </w:rPr>
      </w:pPr>
      <w:r>
        <w:rPr>
          <w:rFonts w:hint="eastAsia" w:ascii="宋体" w:hAnsi="宋体"/>
          <w:b/>
          <w:kern w:val="44"/>
        </w:rPr>
        <w:t>第五条</w:t>
      </w:r>
      <w:r>
        <w:rPr>
          <w:rFonts w:hint="eastAsia" w:ascii="宋体" w:hAnsi="宋体"/>
          <w:kern w:val="44"/>
        </w:rPr>
        <w:t>　本市所属企业国有产权的交易，应当在市国有资产监督管理机构选择确定的产权交易机构公开进行。</w:t>
      </w:r>
    </w:p>
    <w:p w14:paraId="5BE607E2">
      <w:pPr>
        <w:jc w:val="left"/>
        <w:rPr>
          <w:rFonts w:ascii="宋体" w:hAnsi="宋体"/>
          <w:kern w:val="44"/>
        </w:rPr>
      </w:pPr>
      <w:r>
        <w:rPr>
          <w:rFonts w:hint="eastAsia" w:ascii="宋体" w:hAnsi="宋体"/>
          <w:kern w:val="44"/>
        </w:rPr>
        <w:t>金融类企业国有产权转让和上市公司的国有股权转让，依照国家有关规定执行。</w:t>
      </w:r>
    </w:p>
    <w:p w14:paraId="6ECFF427">
      <w:pPr>
        <w:jc w:val="left"/>
        <w:rPr>
          <w:rFonts w:ascii="宋体" w:hAnsi="宋体"/>
          <w:kern w:val="44"/>
        </w:rPr>
      </w:pPr>
      <w:r>
        <w:rPr>
          <w:rFonts w:hint="eastAsia" w:ascii="宋体" w:hAnsi="宋体"/>
          <w:kern w:val="44"/>
        </w:rPr>
        <w:t>城镇集体企业产权以及其他产权的交易，可以在产权交易机构进行。</w:t>
      </w:r>
    </w:p>
    <w:p w14:paraId="2292F218">
      <w:pPr>
        <w:ind w:firstLine="422"/>
        <w:jc w:val="left"/>
        <w:rPr>
          <w:rFonts w:ascii="宋体" w:hAnsi="宋体"/>
          <w:kern w:val="44"/>
        </w:rPr>
      </w:pPr>
      <w:r>
        <w:rPr>
          <w:rFonts w:hint="eastAsia" w:ascii="宋体" w:hAnsi="宋体"/>
          <w:b/>
          <w:kern w:val="44"/>
        </w:rPr>
        <w:t>第六条</w:t>
      </w:r>
      <w:r>
        <w:rPr>
          <w:rFonts w:hint="eastAsia" w:ascii="宋体" w:hAnsi="宋体"/>
          <w:kern w:val="44"/>
        </w:rPr>
        <w:t>　市金融工作部门负责指导和协调本市产权交易的监督管理工作。市国有资产监督管理机构负责企业国有产权转让的监督管理工作。</w:t>
      </w:r>
    </w:p>
    <w:p w14:paraId="68220F7E">
      <w:pPr>
        <w:jc w:val="left"/>
        <w:rPr>
          <w:rFonts w:ascii="宋体" w:hAnsi="宋体"/>
          <w:kern w:val="44"/>
        </w:rPr>
      </w:pPr>
      <w:r>
        <w:rPr>
          <w:rFonts w:hint="eastAsia" w:ascii="宋体" w:hAnsi="宋体"/>
          <w:kern w:val="44"/>
        </w:rPr>
        <w:t>本市其他各有关部门按照各自的职责，做好有关产权交易的监督管理工作。</w:t>
      </w:r>
    </w:p>
    <w:p w14:paraId="2DDF576C">
      <w:pPr>
        <w:jc w:val="left"/>
        <w:rPr>
          <w:rFonts w:ascii="宋体" w:hAnsi="宋体"/>
          <w:kern w:val="44"/>
        </w:rPr>
      </w:pPr>
    </w:p>
    <w:p w14:paraId="1A9C36EF">
      <w:pPr>
        <w:ind w:firstLine="0" w:firstLineChars="0"/>
        <w:jc w:val="center"/>
        <w:rPr>
          <w:rFonts w:ascii="宋体" w:hAnsi="宋体"/>
          <w:b/>
          <w:kern w:val="44"/>
          <w:sz w:val="28"/>
        </w:rPr>
      </w:pPr>
      <w:r>
        <w:rPr>
          <w:rFonts w:hint="eastAsia" w:ascii="宋体" w:hAnsi="宋体"/>
          <w:b/>
          <w:kern w:val="44"/>
          <w:sz w:val="28"/>
        </w:rPr>
        <w:t>第二章  产权交易机构</w:t>
      </w:r>
    </w:p>
    <w:p w14:paraId="23657AA4">
      <w:pPr>
        <w:jc w:val="left"/>
        <w:rPr>
          <w:rFonts w:ascii="宋体" w:hAnsi="宋体"/>
          <w:kern w:val="44"/>
        </w:rPr>
      </w:pPr>
    </w:p>
    <w:p w14:paraId="73340513">
      <w:pPr>
        <w:ind w:firstLine="422"/>
        <w:jc w:val="left"/>
        <w:rPr>
          <w:rFonts w:ascii="宋体" w:hAnsi="宋体"/>
          <w:kern w:val="44"/>
        </w:rPr>
      </w:pPr>
      <w:r>
        <w:rPr>
          <w:rFonts w:hint="eastAsia" w:ascii="宋体" w:hAnsi="宋体"/>
          <w:b/>
          <w:kern w:val="44"/>
        </w:rPr>
        <w:t>第七条</w:t>
      </w:r>
      <w:r>
        <w:rPr>
          <w:rFonts w:hint="eastAsia" w:ascii="宋体" w:hAnsi="宋体"/>
          <w:kern w:val="44"/>
        </w:rPr>
        <w:t>　产权交易机构是依法设立的，为产权交易提供场所、设施、信息等服务，并履行相关职责的法人。</w:t>
      </w:r>
    </w:p>
    <w:p w14:paraId="2F8443E2">
      <w:pPr>
        <w:ind w:firstLine="422"/>
        <w:jc w:val="left"/>
        <w:rPr>
          <w:rFonts w:ascii="宋体" w:hAnsi="宋体"/>
          <w:kern w:val="44"/>
        </w:rPr>
      </w:pPr>
      <w:r>
        <w:rPr>
          <w:rFonts w:hint="eastAsia" w:ascii="宋体" w:hAnsi="宋体"/>
          <w:b/>
          <w:kern w:val="44"/>
        </w:rPr>
        <w:t>第八条</w:t>
      </w:r>
      <w:r>
        <w:rPr>
          <w:rFonts w:hint="eastAsia" w:ascii="宋体" w:hAnsi="宋体"/>
          <w:kern w:val="44"/>
        </w:rPr>
        <w:t>　产权交易机构可以实行会员制管理。</w:t>
      </w:r>
    </w:p>
    <w:p w14:paraId="6937FBF1">
      <w:pPr>
        <w:jc w:val="left"/>
        <w:rPr>
          <w:rFonts w:ascii="宋体" w:hAnsi="宋体"/>
          <w:kern w:val="44"/>
        </w:rPr>
      </w:pPr>
      <w:r>
        <w:rPr>
          <w:rFonts w:hint="eastAsia" w:ascii="宋体" w:hAnsi="宋体"/>
          <w:kern w:val="44"/>
        </w:rPr>
        <w:t>产权交易机构应当根据法律、法规和本规定的要求，制定本机构章程、产权交易规则和会员管理办法，报市金融工作部门备案。</w:t>
      </w:r>
    </w:p>
    <w:p w14:paraId="1C137F16">
      <w:pPr>
        <w:jc w:val="left"/>
        <w:rPr>
          <w:rFonts w:ascii="宋体" w:hAnsi="宋体"/>
          <w:kern w:val="44"/>
        </w:rPr>
      </w:pPr>
    </w:p>
    <w:p w14:paraId="2D532151">
      <w:pPr>
        <w:ind w:firstLine="0" w:firstLineChars="0"/>
        <w:jc w:val="center"/>
        <w:rPr>
          <w:rFonts w:ascii="宋体" w:hAnsi="宋体"/>
          <w:b/>
          <w:kern w:val="44"/>
          <w:sz w:val="28"/>
          <w:szCs w:val="28"/>
        </w:rPr>
      </w:pPr>
      <w:r>
        <w:rPr>
          <w:rFonts w:hint="eastAsia" w:ascii="宋体" w:hAnsi="宋体"/>
          <w:b/>
          <w:kern w:val="44"/>
          <w:sz w:val="28"/>
          <w:szCs w:val="28"/>
        </w:rPr>
        <w:t>第三章　产权交易行为规范</w:t>
      </w:r>
    </w:p>
    <w:p w14:paraId="7157238C">
      <w:pPr>
        <w:jc w:val="left"/>
        <w:rPr>
          <w:rFonts w:ascii="宋体" w:hAnsi="宋体"/>
          <w:kern w:val="44"/>
        </w:rPr>
      </w:pPr>
    </w:p>
    <w:p w14:paraId="1D7678D1">
      <w:pPr>
        <w:ind w:firstLine="422"/>
        <w:jc w:val="left"/>
        <w:rPr>
          <w:rFonts w:ascii="宋体" w:hAnsi="宋体"/>
          <w:kern w:val="44"/>
        </w:rPr>
      </w:pPr>
      <w:r>
        <w:rPr>
          <w:rFonts w:hint="eastAsia" w:ascii="宋体" w:hAnsi="宋体"/>
          <w:b/>
          <w:kern w:val="44"/>
        </w:rPr>
        <w:t>第九条</w:t>
      </w:r>
      <w:r>
        <w:rPr>
          <w:rFonts w:hint="eastAsia" w:ascii="宋体" w:hAnsi="宋体"/>
          <w:kern w:val="44"/>
        </w:rPr>
        <w:t>　转让企业产权，应当履行下列手续：</w:t>
      </w:r>
    </w:p>
    <w:p w14:paraId="20260329">
      <w:pPr>
        <w:jc w:val="left"/>
        <w:rPr>
          <w:rFonts w:ascii="宋体" w:hAnsi="宋体"/>
          <w:kern w:val="44"/>
        </w:rPr>
      </w:pPr>
      <w:r>
        <w:rPr>
          <w:rFonts w:hint="eastAsia" w:ascii="宋体" w:hAnsi="宋体"/>
          <w:kern w:val="44"/>
        </w:rPr>
        <w:t>（一）企业国有产权转让的，应当按照《企业国有产权转让管理暂行办法》规定的批准程序办理。</w:t>
      </w:r>
    </w:p>
    <w:p w14:paraId="675B0BDD">
      <w:pPr>
        <w:jc w:val="left"/>
        <w:rPr>
          <w:rFonts w:ascii="宋体" w:hAnsi="宋体"/>
          <w:kern w:val="44"/>
        </w:rPr>
      </w:pPr>
      <w:r>
        <w:rPr>
          <w:rFonts w:hint="eastAsia" w:ascii="宋体" w:hAnsi="宋体"/>
          <w:kern w:val="44"/>
        </w:rPr>
        <w:t>（二）城镇集体企业，应当经出资人同意并经职工（代表）大会讨论通过。</w:t>
      </w:r>
    </w:p>
    <w:p w14:paraId="0F265E53">
      <w:pPr>
        <w:ind w:firstLine="422"/>
        <w:jc w:val="left"/>
        <w:rPr>
          <w:rFonts w:ascii="宋体" w:hAnsi="宋体"/>
          <w:kern w:val="44"/>
        </w:rPr>
      </w:pPr>
      <w:r>
        <w:rPr>
          <w:rFonts w:hint="eastAsia" w:ascii="宋体" w:hAnsi="宋体"/>
          <w:b/>
          <w:kern w:val="44"/>
        </w:rPr>
        <w:t>第十条</w:t>
      </w:r>
      <w:r>
        <w:rPr>
          <w:rFonts w:hint="eastAsia" w:ascii="宋体" w:hAnsi="宋体"/>
          <w:kern w:val="44"/>
        </w:rPr>
        <w:t>　已经实行承包、租赁、托管等形式经营的企业，其产权交易，应当在承包、租赁或者托管合同期满后进行。</w:t>
      </w:r>
    </w:p>
    <w:p w14:paraId="7082B6D9">
      <w:pPr>
        <w:jc w:val="left"/>
        <w:rPr>
          <w:rFonts w:ascii="宋体" w:hAnsi="宋体"/>
          <w:kern w:val="44"/>
        </w:rPr>
      </w:pPr>
      <w:r>
        <w:rPr>
          <w:rFonts w:hint="eastAsia" w:ascii="宋体" w:hAnsi="宋体"/>
          <w:kern w:val="44"/>
        </w:rPr>
        <w:t>确需提前转让的，应当按照法律、法规的规定先行办理承包、租赁或者托管合同的终止手续，并处理未了事项后，再进行产权交易。</w:t>
      </w:r>
    </w:p>
    <w:p w14:paraId="668ADB16">
      <w:pPr>
        <w:ind w:firstLine="422"/>
        <w:jc w:val="left"/>
        <w:rPr>
          <w:rFonts w:ascii="宋体" w:hAnsi="宋体"/>
          <w:kern w:val="44"/>
        </w:rPr>
      </w:pPr>
      <w:r>
        <w:rPr>
          <w:rFonts w:hint="eastAsia" w:ascii="宋体" w:hAnsi="宋体"/>
          <w:b/>
          <w:kern w:val="44"/>
        </w:rPr>
        <w:t>第十一条</w:t>
      </w:r>
      <w:r>
        <w:rPr>
          <w:rFonts w:hint="eastAsia" w:ascii="宋体" w:hAnsi="宋体"/>
          <w:kern w:val="44"/>
        </w:rPr>
        <w:t>　产权交易的转让方应当委托具有合格资质的中介机构进行审计和资产评估。涉及国有资产评估的，应当按照有关法律、法规执行。</w:t>
      </w:r>
    </w:p>
    <w:p w14:paraId="41127F2A">
      <w:pPr>
        <w:ind w:firstLine="422"/>
        <w:jc w:val="left"/>
        <w:rPr>
          <w:rFonts w:ascii="宋体" w:hAnsi="宋体"/>
          <w:kern w:val="44"/>
        </w:rPr>
      </w:pPr>
      <w:r>
        <w:rPr>
          <w:rFonts w:hint="eastAsia" w:ascii="宋体" w:hAnsi="宋体"/>
          <w:b/>
          <w:kern w:val="44"/>
        </w:rPr>
        <w:t>第十二条</w:t>
      </w:r>
      <w:r>
        <w:rPr>
          <w:rFonts w:hint="eastAsia" w:ascii="宋体" w:hAnsi="宋体"/>
          <w:kern w:val="44"/>
        </w:rPr>
        <w:t>　产权交易机构应当建立产权交易信息披露制度，及时发布产权交易相关信息。</w:t>
      </w:r>
    </w:p>
    <w:p w14:paraId="2E301C3E">
      <w:pPr>
        <w:ind w:firstLine="422"/>
        <w:jc w:val="left"/>
        <w:rPr>
          <w:rFonts w:ascii="宋体" w:hAnsi="宋体"/>
          <w:kern w:val="44"/>
        </w:rPr>
      </w:pPr>
      <w:r>
        <w:rPr>
          <w:rFonts w:hint="eastAsia" w:ascii="宋体" w:hAnsi="宋体"/>
          <w:b/>
          <w:kern w:val="44"/>
        </w:rPr>
        <w:t>第十三条</w:t>
      </w:r>
      <w:r>
        <w:rPr>
          <w:rFonts w:hint="eastAsia" w:ascii="宋体" w:hAnsi="宋体"/>
          <w:kern w:val="44"/>
        </w:rPr>
        <w:t>　出现下列情形之一的，转让方、受让方或者第三方可以申请中止交易：</w:t>
      </w:r>
    </w:p>
    <w:p w14:paraId="6B8BC303">
      <w:pPr>
        <w:jc w:val="left"/>
        <w:rPr>
          <w:rFonts w:ascii="宋体" w:hAnsi="宋体"/>
          <w:kern w:val="44"/>
        </w:rPr>
      </w:pPr>
      <w:r>
        <w:rPr>
          <w:rFonts w:hint="eastAsia" w:ascii="宋体" w:hAnsi="宋体"/>
          <w:kern w:val="44"/>
        </w:rPr>
        <w:t>（一）第三方与转让方对转让的产权有争议且尚未解决的；</w:t>
      </w:r>
    </w:p>
    <w:p w14:paraId="76951401">
      <w:pPr>
        <w:jc w:val="left"/>
        <w:rPr>
          <w:rFonts w:ascii="宋体" w:hAnsi="宋体"/>
          <w:kern w:val="44"/>
        </w:rPr>
      </w:pPr>
      <w:r>
        <w:rPr>
          <w:rFonts w:hint="eastAsia" w:ascii="宋体" w:hAnsi="宋体"/>
          <w:kern w:val="44"/>
        </w:rPr>
        <w:t>（二）依法应当中止产权交易的其他情形。</w:t>
      </w:r>
    </w:p>
    <w:p w14:paraId="264D5AFD">
      <w:pPr>
        <w:jc w:val="left"/>
        <w:rPr>
          <w:rFonts w:ascii="宋体" w:hAnsi="宋体"/>
          <w:kern w:val="44"/>
        </w:rPr>
      </w:pPr>
      <w:r>
        <w:rPr>
          <w:rFonts w:hint="eastAsia" w:ascii="宋体" w:hAnsi="宋体"/>
          <w:kern w:val="44"/>
        </w:rPr>
        <w:t>中止交易的申请，应当向产权交易机构提出。</w:t>
      </w:r>
    </w:p>
    <w:p w14:paraId="099B275B">
      <w:pPr>
        <w:ind w:firstLine="422"/>
        <w:jc w:val="left"/>
        <w:rPr>
          <w:rFonts w:ascii="宋体" w:hAnsi="宋体"/>
          <w:kern w:val="44"/>
        </w:rPr>
      </w:pPr>
      <w:r>
        <w:rPr>
          <w:rFonts w:hint="eastAsia" w:ascii="宋体" w:hAnsi="宋体"/>
          <w:b/>
          <w:kern w:val="44"/>
        </w:rPr>
        <w:t>第十四条</w:t>
      </w:r>
      <w:r>
        <w:rPr>
          <w:rFonts w:hint="eastAsia" w:ascii="宋体" w:hAnsi="宋体"/>
          <w:kern w:val="44"/>
        </w:rPr>
        <w:t>　出现下列情形之一的，应当终止交易：</w:t>
      </w:r>
    </w:p>
    <w:p w14:paraId="4B8632F8">
      <w:pPr>
        <w:jc w:val="left"/>
        <w:rPr>
          <w:rFonts w:ascii="宋体" w:hAnsi="宋体"/>
          <w:kern w:val="44"/>
        </w:rPr>
      </w:pPr>
      <w:r>
        <w:rPr>
          <w:rFonts w:hint="eastAsia" w:ascii="宋体" w:hAnsi="宋体"/>
          <w:kern w:val="44"/>
        </w:rPr>
        <w:t>（一）转让方或者受让方在转让合同生效前提出终止交易的；</w:t>
      </w:r>
    </w:p>
    <w:p w14:paraId="7B1D9875">
      <w:pPr>
        <w:jc w:val="left"/>
        <w:rPr>
          <w:rFonts w:ascii="宋体" w:hAnsi="宋体"/>
          <w:kern w:val="44"/>
        </w:rPr>
      </w:pPr>
      <w:r>
        <w:rPr>
          <w:rFonts w:hint="eastAsia" w:ascii="宋体" w:hAnsi="宋体"/>
          <w:kern w:val="44"/>
        </w:rPr>
        <w:t>（二）人民法院依法发出终止交易书面通知的；</w:t>
      </w:r>
    </w:p>
    <w:p w14:paraId="4AA890B3">
      <w:pPr>
        <w:jc w:val="left"/>
        <w:rPr>
          <w:rFonts w:ascii="宋体" w:hAnsi="宋体"/>
          <w:kern w:val="44"/>
        </w:rPr>
      </w:pPr>
      <w:r>
        <w:rPr>
          <w:rFonts w:hint="eastAsia" w:ascii="宋体" w:hAnsi="宋体"/>
          <w:kern w:val="44"/>
        </w:rPr>
        <w:t>（三）依法应当终止产权交易的其他情形。</w:t>
      </w:r>
    </w:p>
    <w:p w14:paraId="4D07F5BA">
      <w:pPr>
        <w:ind w:firstLine="422"/>
        <w:jc w:val="left"/>
        <w:rPr>
          <w:rFonts w:ascii="宋体" w:hAnsi="宋体"/>
          <w:kern w:val="44"/>
        </w:rPr>
      </w:pPr>
      <w:r>
        <w:rPr>
          <w:rFonts w:hint="eastAsia" w:ascii="宋体" w:hAnsi="宋体"/>
          <w:b/>
          <w:kern w:val="44"/>
        </w:rPr>
        <w:t>第十五条</w:t>
      </w:r>
      <w:r>
        <w:rPr>
          <w:rFonts w:hint="eastAsia" w:ascii="宋体" w:hAnsi="宋体"/>
          <w:kern w:val="44"/>
        </w:rPr>
        <w:t>　在产权交易活动中禁止下列行为：</w:t>
      </w:r>
    </w:p>
    <w:p w14:paraId="18A03F2B">
      <w:pPr>
        <w:jc w:val="left"/>
        <w:rPr>
          <w:rFonts w:ascii="宋体" w:hAnsi="宋体"/>
          <w:kern w:val="44"/>
        </w:rPr>
      </w:pPr>
      <w:r>
        <w:rPr>
          <w:rFonts w:hint="eastAsia" w:ascii="宋体" w:hAnsi="宋体"/>
          <w:kern w:val="44"/>
        </w:rPr>
        <w:t>（一）在市国有资产监督管理机构选择确定的产权交易机构之外进行本市所属企业国有产权的交易；</w:t>
      </w:r>
    </w:p>
    <w:p w14:paraId="66D926A1">
      <w:pPr>
        <w:jc w:val="left"/>
        <w:rPr>
          <w:rFonts w:ascii="宋体" w:hAnsi="宋体"/>
          <w:kern w:val="44"/>
        </w:rPr>
      </w:pPr>
      <w:r>
        <w:rPr>
          <w:rFonts w:hint="eastAsia" w:ascii="宋体" w:hAnsi="宋体"/>
          <w:kern w:val="44"/>
        </w:rPr>
        <w:t>（二）操纵产权交易市场或者扰乱产权交易秩序；</w:t>
      </w:r>
    </w:p>
    <w:p w14:paraId="5E13CEE1">
      <w:pPr>
        <w:jc w:val="left"/>
        <w:rPr>
          <w:rFonts w:ascii="宋体" w:hAnsi="宋体"/>
          <w:kern w:val="44"/>
        </w:rPr>
      </w:pPr>
      <w:r>
        <w:rPr>
          <w:rFonts w:hint="eastAsia" w:ascii="宋体" w:hAnsi="宋体"/>
          <w:kern w:val="44"/>
        </w:rPr>
        <w:t>（三）产权交易机构及其工作人员作为转让方、受让方或者第三方参与产权交易的；</w:t>
      </w:r>
    </w:p>
    <w:p w14:paraId="15794858">
      <w:pPr>
        <w:jc w:val="left"/>
        <w:rPr>
          <w:rFonts w:ascii="宋体" w:hAnsi="宋体"/>
          <w:kern w:val="44"/>
        </w:rPr>
      </w:pPr>
      <w:r>
        <w:rPr>
          <w:rFonts w:hint="eastAsia" w:ascii="宋体" w:hAnsi="宋体"/>
          <w:kern w:val="44"/>
        </w:rPr>
        <w:t>（四）法律、法规、规章禁止的其他行为。</w:t>
      </w:r>
    </w:p>
    <w:p w14:paraId="739A0346">
      <w:pPr>
        <w:ind w:firstLine="422"/>
        <w:jc w:val="left"/>
        <w:rPr>
          <w:rFonts w:ascii="宋体" w:hAnsi="宋体"/>
          <w:kern w:val="44"/>
        </w:rPr>
      </w:pPr>
      <w:r>
        <w:rPr>
          <w:rFonts w:hint="eastAsia" w:ascii="宋体" w:hAnsi="宋体"/>
          <w:b/>
          <w:kern w:val="44"/>
        </w:rPr>
        <w:t>第十六条</w:t>
      </w:r>
      <w:r>
        <w:rPr>
          <w:rFonts w:hint="eastAsia" w:ascii="宋体" w:hAnsi="宋体"/>
          <w:kern w:val="44"/>
        </w:rPr>
        <w:t>　产权交易机构收费的标准按照国家有关规定确定。</w:t>
      </w:r>
    </w:p>
    <w:p w14:paraId="14724557">
      <w:pPr>
        <w:jc w:val="left"/>
        <w:rPr>
          <w:rFonts w:ascii="宋体" w:hAnsi="宋体"/>
          <w:kern w:val="44"/>
        </w:rPr>
      </w:pPr>
    </w:p>
    <w:p w14:paraId="540BC086">
      <w:pPr>
        <w:ind w:firstLine="0" w:firstLineChars="0"/>
        <w:jc w:val="center"/>
        <w:rPr>
          <w:rFonts w:ascii="宋体" w:hAnsi="宋体"/>
          <w:b/>
          <w:kern w:val="44"/>
          <w:sz w:val="28"/>
          <w:szCs w:val="28"/>
        </w:rPr>
      </w:pPr>
      <w:r>
        <w:rPr>
          <w:rFonts w:hint="eastAsia" w:ascii="宋体" w:hAnsi="宋体"/>
          <w:b/>
          <w:kern w:val="44"/>
          <w:sz w:val="28"/>
          <w:szCs w:val="28"/>
        </w:rPr>
        <w:t>第四章  产权交易方式和程序</w:t>
      </w:r>
    </w:p>
    <w:p w14:paraId="58FABC6C">
      <w:pPr>
        <w:jc w:val="left"/>
        <w:rPr>
          <w:rFonts w:ascii="宋体" w:hAnsi="宋体"/>
          <w:kern w:val="44"/>
        </w:rPr>
      </w:pPr>
    </w:p>
    <w:p w14:paraId="7C5FA285">
      <w:pPr>
        <w:ind w:firstLine="422"/>
        <w:jc w:val="left"/>
        <w:rPr>
          <w:rFonts w:ascii="宋体" w:hAnsi="宋体"/>
          <w:kern w:val="44"/>
        </w:rPr>
      </w:pPr>
      <w:r>
        <w:rPr>
          <w:rFonts w:hint="eastAsia" w:ascii="宋体" w:hAnsi="宋体"/>
          <w:b/>
          <w:kern w:val="44"/>
        </w:rPr>
        <w:t>第十七条</w:t>
      </w:r>
      <w:r>
        <w:rPr>
          <w:rFonts w:hint="eastAsia" w:ascii="宋体" w:hAnsi="宋体"/>
          <w:kern w:val="44"/>
        </w:rPr>
        <w:t>　产权交易可以采取拍卖、招标、协议转让等方式，也可以采取法律、法规、规章规定的其他方式。</w:t>
      </w:r>
    </w:p>
    <w:p w14:paraId="1D97CC42">
      <w:pPr>
        <w:ind w:firstLine="422"/>
        <w:jc w:val="left"/>
        <w:rPr>
          <w:rFonts w:ascii="宋体" w:hAnsi="宋体"/>
          <w:kern w:val="44"/>
        </w:rPr>
      </w:pPr>
      <w:r>
        <w:rPr>
          <w:rFonts w:hint="eastAsia" w:ascii="宋体" w:hAnsi="宋体"/>
          <w:b/>
          <w:kern w:val="44"/>
        </w:rPr>
        <w:t>第十八条</w:t>
      </w:r>
      <w:r>
        <w:rPr>
          <w:rFonts w:hint="eastAsia" w:ascii="宋体" w:hAnsi="宋体"/>
          <w:kern w:val="44"/>
        </w:rPr>
        <w:t>　从事产权交易的转让方或者受让方，可以委托具有会员资格的经纪机构代理进行产权交易。</w:t>
      </w:r>
    </w:p>
    <w:p w14:paraId="2D00EF31">
      <w:pPr>
        <w:jc w:val="left"/>
        <w:rPr>
          <w:rFonts w:ascii="宋体" w:hAnsi="宋体"/>
          <w:kern w:val="44"/>
        </w:rPr>
      </w:pPr>
      <w:r>
        <w:rPr>
          <w:rFonts w:hint="eastAsia" w:ascii="宋体" w:hAnsi="宋体"/>
          <w:kern w:val="44"/>
        </w:rPr>
        <w:t>委托经纪机构代理进行产权交易的，委托方应当与受托的经纪机构签订产权交易委托代理合同。</w:t>
      </w:r>
    </w:p>
    <w:p w14:paraId="23A99562">
      <w:pPr>
        <w:jc w:val="left"/>
        <w:rPr>
          <w:rFonts w:ascii="宋体" w:hAnsi="宋体"/>
          <w:kern w:val="44"/>
        </w:rPr>
      </w:pPr>
      <w:r>
        <w:rPr>
          <w:rFonts w:hint="eastAsia" w:ascii="宋体" w:hAnsi="宋体"/>
          <w:kern w:val="44"/>
        </w:rPr>
        <w:t>在同一产权交易中，经纪机构不得同时接受转让方和受让方的代理委托。</w:t>
      </w:r>
    </w:p>
    <w:p w14:paraId="77074C34">
      <w:pPr>
        <w:ind w:firstLine="422"/>
        <w:jc w:val="left"/>
        <w:rPr>
          <w:rFonts w:ascii="宋体" w:hAnsi="宋体"/>
          <w:kern w:val="44"/>
        </w:rPr>
      </w:pPr>
      <w:r>
        <w:rPr>
          <w:rFonts w:hint="eastAsia" w:ascii="宋体" w:hAnsi="宋体"/>
          <w:b/>
          <w:kern w:val="44"/>
        </w:rPr>
        <w:t>第十九条</w:t>
      </w:r>
      <w:r>
        <w:rPr>
          <w:rFonts w:hint="eastAsia" w:ascii="宋体" w:hAnsi="宋体"/>
          <w:kern w:val="44"/>
        </w:rPr>
        <w:t>　转让方申请产权交易，应当向受委托的经纪机构或者产权交易机构提交下列文件，并保证其真实、完整。</w:t>
      </w:r>
    </w:p>
    <w:p w14:paraId="7B78FE42">
      <w:pPr>
        <w:jc w:val="left"/>
        <w:rPr>
          <w:rFonts w:ascii="宋体" w:hAnsi="宋体"/>
          <w:kern w:val="44"/>
        </w:rPr>
      </w:pPr>
      <w:r>
        <w:rPr>
          <w:rFonts w:hint="eastAsia" w:ascii="宋体" w:hAnsi="宋体"/>
          <w:kern w:val="44"/>
        </w:rPr>
        <w:t>（一）企业产权转让的申请书；</w:t>
      </w:r>
    </w:p>
    <w:p w14:paraId="13D26A97">
      <w:pPr>
        <w:jc w:val="left"/>
        <w:rPr>
          <w:rFonts w:ascii="宋体" w:hAnsi="宋体"/>
          <w:kern w:val="44"/>
        </w:rPr>
      </w:pPr>
      <w:r>
        <w:rPr>
          <w:rFonts w:hint="eastAsia" w:ascii="宋体" w:hAnsi="宋体"/>
          <w:kern w:val="44"/>
        </w:rPr>
        <w:t>（二）转让方的资格证明或者其他有效证明；</w:t>
      </w:r>
    </w:p>
    <w:p w14:paraId="061F4787">
      <w:pPr>
        <w:jc w:val="left"/>
        <w:rPr>
          <w:rFonts w:ascii="宋体" w:hAnsi="宋体"/>
          <w:kern w:val="44"/>
        </w:rPr>
      </w:pPr>
      <w:r>
        <w:rPr>
          <w:rFonts w:hint="eastAsia" w:ascii="宋体" w:hAnsi="宋体"/>
          <w:kern w:val="44"/>
        </w:rPr>
        <w:t>（三）企业产权权属的证明文件；</w:t>
      </w:r>
    </w:p>
    <w:p w14:paraId="0490BB21">
      <w:pPr>
        <w:jc w:val="left"/>
        <w:rPr>
          <w:rFonts w:ascii="宋体" w:hAnsi="宋体"/>
          <w:kern w:val="44"/>
        </w:rPr>
      </w:pPr>
      <w:r>
        <w:rPr>
          <w:rFonts w:hint="eastAsia" w:ascii="宋体" w:hAnsi="宋体"/>
          <w:kern w:val="44"/>
        </w:rPr>
        <w:t>（四）出资人准予转让企业产权的证明；</w:t>
      </w:r>
    </w:p>
    <w:p w14:paraId="3BE228C4">
      <w:pPr>
        <w:jc w:val="left"/>
        <w:rPr>
          <w:rFonts w:ascii="宋体" w:hAnsi="宋体"/>
          <w:kern w:val="44"/>
        </w:rPr>
      </w:pPr>
      <w:r>
        <w:rPr>
          <w:rFonts w:hint="eastAsia" w:ascii="宋体" w:hAnsi="宋体"/>
          <w:kern w:val="44"/>
        </w:rPr>
        <w:t>（五）转让标的情况的说明；</w:t>
      </w:r>
    </w:p>
    <w:p w14:paraId="1B858B4B">
      <w:pPr>
        <w:jc w:val="left"/>
        <w:rPr>
          <w:rFonts w:ascii="宋体" w:hAnsi="宋体"/>
          <w:kern w:val="44"/>
        </w:rPr>
      </w:pPr>
      <w:r>
        <w:rPr>
          <w:rFonts w:hint="eastAsia" w:ascii="宋体" w:hAnsi="宋体"/>
          <w:kern w:val="44"/>
        </w:rPr>
        <w:t>（六）法律、法规、规章规定的其他文件。</w:t>
      </w:r>
    </w:p>
    <w:p w14:paraId="497D96F6">
      <w:pPr>
        <w:ind w:firstLine="422"/>
        <w:jc w:val="left"/>
        <w:rPr>
          <w:rFonts w:ascii="宋体" w:hAnsi="宋体"/>
          <w:kern w:val="44"/>
        </w:rPr>
      </w:pPr>
      <w:r>
        <w:rPr>
          <w:rFonts w:hint="eastAsia" w:ascii="宋体" w:hAnsi="宋体"/>
          <w:b/>
          <w:kern w:val="44"/>
        </w:rPr>
        <w:t>第二十条</w:t>
      </w:r>
      <w:r>
        <w:rPr>
          <w:rFonts w:hint="eastAsia" w:ascii="宋体" w:hAnsi="宋体"/>
          <w:kern w:val="44"/>
        </w:rPr>
        <w:t>　受让方申请产权交易，应当提交下列文件：</w:t>
      </w:r>
    </w:p>
    <w:p w14:paraId="4304C3AC">
      <w:pPr>
        <w:jc w:val="left"/>
        <w:rPr>
          <w:rFonts w:ascii="宋体" w:hAnsi="宋体"/>
          <w:kern w:val="44"/>
        </w:rPr>
      </w:pPr>
      <w:r>
        <w:rPr>
          <w:rFonts w:hint="eastAsia" w:ascii="宋体" w:hAnsi="宋体"/>
          <w:kern w:val="44"/>
        </w:rPr>
        <w:t>（一）购买企业产权的申请书；</w:t>
      </w:r>
    </w:p>
    <w:p w14:paraId="68ECDC67">
      <w:pPr>
        <w:jc w:val="left"/>
        <w:rPr>
          <w:rFonts w:ascii="宋体" w:hAnsi="宋体"/>
          <w:kern w:val="44"/>
        </w:rPr>
      </w:pPr>
      <w:r>
        <w:rPr>
          <w:rFonts w:hint="eastAsia" w:ascii="宋体" w:hAnsi="宋体"/>
          <w:kern w:val="44"/>
        </w:rPr>
        <w:t>（二）受让方的主体资格证明；</w:t>
      </w:r>
    </w:p>
    <w:p w14:paraId="75A228A7">
      <w:pPr>
        <w:jc w:val="left"/>
        <w:rPr>
          <w:rFonts w:ascii="宋体" w:hAnsi="宋体"/>
          <w:kern w:val="44"/>
        </w:rPr>
      </w:pPr>
      <w:r>
        <w:rPr>
          <w:rFonts w:hint="eastAsia" w:ascii="宋体" w:hAnsi="宋体"/>
          <w:kern w:val="44"/>
        </w:rPr>
        <w:t>（三）受让方的资信证明；</w:t>
      </w:r>
    </w:p>
    <w:p w14:paraId="0E4EEE55">
      <w:pPr>
        <w:jc w:val="left"/>
        <w:rPr>
          <w:rFonts w:ascii="宋体" w:hAnsi="宋体"/>
          <w:kern w:val="44"/>
        </w:rPr>
      </w:pPr>
      <w:r>
        <w:rPr>
          <w:rFonts w:hint="eastAsia" w:ascii="宋体" w:hAnsi="宋体"/>
          <w:kern w:val="44"/>
        </w:rPr>
        <w:t>（四）法律、法规、规章规定的其他材料。</w:t>
      </w:r>
    </w:p>
    <w:p w14:paraId="1448C2BB">
      <w:pPr>
        <w:ind w:firstLine="422"/>
        <w:jc w:val="left"/>
        <w:rPr>
          <w:rFonts w:ascii="宋体" w:hAnsi="宋体"/>
          <w:kern w:val="44"/>
        </w:rPr>
      </w:pPr>
      <w:r>
        <w:rPr>
          <w:rFonts w:hint="eastAsia" w:ascii="宋体" w:hAnsi="宋体"/>
          <w:b/>
          <w:kern w:val="44"/>
        </w:rPr>
        <w:t>第二十一条</w:t>
      </w:r>
      <w:r>
        <w:rPr>
          <w:rFonts w:hint="eastAsia" w:ascii="宋体" w:hAnsi="宋体"/>
          <w:kern w:val="44"/>
        </w:rPr>
        <w:t>　产权交易价格可以采取拍卖、招标方式确定，也可以由转让方和受让方协议确定。</w:t>
      </w:r>
    </w:p>
    <w:p w14:paraId="562FDCE9">
      <w:pPr>
        <w:jc w:val="left"/>
        <w:rPr>
          <w:rFonts w:ascii="宋体" w:hAnsi="宋体"/>
          <w:kern w:val="44"/>
        </w:rPr>
      </w:pPr>
      <w:r>
        <w:rPr>
          <w:rFonts w:hint="eastAsia" w:ascii="宋体" w:hAnsi="宋体"/>
          <w:kern w:val="44"/>
        </w:rPr>
        <w:t>企业国有产权转让价格的确定依照《企业国有产权转让管理暂行办法》的规定执行。</w:t>
      </w:r>
    </w:p>
    <w:p w14:paraId="6B227361">
      <w:pPr>
        <w:jc w:val="left"/>
        <w:rPr>
          <w:rFonts w:ascii="宋体" w:hAnsi="宋体"/>
          <w:kern w:val="44"/>
        </w:rPr>
      </w:pPr>
      <w:r>
        <w:rPr>
          <w:rFonts w:hint="eastAsia" w:ascii="宋体" w:hAnsi="宋体"/>
          <w:kern w:val="44"/>
        </w:rPr>
        <w:t>集体企业产权的转让价格，以具有合格资质的资产评估机构的评估值作为参考依据；转让价格低于评估结果90％的，应当经集体企业产权所有者同意。</w:t>
      </w:r>
    </w:p>
    <w:p w14:paraId="1FFCC6EF">
      <w:pPr>
        <w:ind w:firstLine="422"/>
        <w:jc w:val="left"/>
        <w:rPr>
          <w:rFonts w:ascii="宋体" w:hAnsi="宋体"/>
          <w:kern w:val="44"/>
        </w:rPr>
      </w:pPr>
      <w:r>
        <w:rPr>
          <w:rFonts w:hint="eastAsia" w:ascii="宋体" w:hAnsi="宋体"/>
          <w:b/>
          <w:kern w:val="44"/>
        </w:rPr>
        <w:t>第二十二条</w:t>
      </w:r>
      <w:r>
        <w:rPr>
          <w:rFonts w:hint="eastAsia" w:ascii="宋体" w:hAnsi="宋体"/>
          <w:kern w:val="44"/>
        </w:rPr>
        <w:t>　转让方与受让方达成转让意向后，应当签订产权交易合同。 产权交易合同主要包括下列内容：</w:t>
      </w:r>
    </w:p>
    <w:p w14:paraId="0FA3A4F1">
      <w:pPr>
        <w:jc w:val="left"/>
        <w:rPr>
          <w:rFonts w:ascii="宋体" w:hAnsi="宋体"/>
          <w:kern w:val="44"/>
        </w:rPr>
      </w:pPr>
      <w:r>
        <w:rPr>
          <w:rFonts w:hint="eastAsia" w:ascii="宋体" w:hAnsi="宋体"/>
          <w:kern w:val="44"/>
        </w:rPr>
        <w:t>（一）转让标的；</w:t>
      </w:r>
    </w:p>
    <w:p w14:paraId="33965FF6">
      <w:pPr>
        <w:jc w:val="left"/>
        <w:rPr>
          <w:rFonts w:ascii="宋体" w:hAnsi="宋体"/>
          <w:kern w:val="44"/>
        </w:rPr>
      </w:pPr>
      <w:r>
        <w:rPr>
          <w:rFonts w:hint="eastAsia" w:ascii="宋体" w:hAnsi="宋体"/>
          <w:kern w:val="44"/>
        </w:rPr>
        <w:t>（二）转让方和受让方的名称、住所、法定代表人；</w:t>
      </w:r>
    </w:p>
    <w:p w14:paraId="1A6EB699">
      <w:pPr>
        <w:jc w:val="left"/>
        <w:rPr>
          <w:rFonts w:ascii="宋体" w:hAnsi="宋体"/>
          <w:kern w:val="44"/>
        </w:rPr>
      </w:pPr>
      <w:r>
        <w:rPr>
          <w:rFonts w:hint="eastAsia" w:ascii="宋体" w:hAnsi="宋体"/>
          <w:kern w:val="44"/>
        </w:rPr>
        <w:t>（三）转让价格、支付方式和支付期限；</w:t>
      </w:r>
    </w:p>
    <w:p w14:paraId="1AAB0609">
      <w:pPr>
        <w:jc w:val="left"/>
        <w:rPr>
          <w:rFonts w:ascii="宋体" w:hAnsi="宋体"/>
          <w:kern w:val="44"/>
        </w:rPr>
      </w:pPr>
      <w:r>
        <w:rPr>
          <w:rFonts w:hint="eastAsia" w:ascii="宋体" w:hAnsi="宋体"/>
          <w:kern w:val="44"/>
        </w:rPr>
        <w:t>（四）有关债权、债务的处理事项；</w:t>
      </w:r>
    </w:p>
    <w:p w14:paraId="0D753363">
      <w:pPr>
        <w:jc w:val="left"/>
        <w:rPr>
          <w:rFonts w:ascii="宋体" w:hAnsi="宋体"/>
          <w:kern w:val="44"/>
        </w:rPr>
      </w:pPr>
      <w:r>
        <w:rPr>
          <w:rFonts w:hint="eastAsia" w:ascii="宋体" w:hAnsi="宋体"/>
          <w:kern w:val="44"/>
        </w:rPr>
        <w:t>（五）产权交割事项；</w:t>
      </w:r>
    </w:p>
    <w:p w14:paraId="7DE29E53">
      <w:pPr>
        <w:jc w:val="left"/>
        <w:rPr>
          <w:rFonts w:ascii="宋体" w:hAnsi="宋体"/>
          <w:kern w:val="44"/>
        </w:rPr>
      </w:pPr>
      <w:r>
        <w:rPr>
          <w:rFonts w:hint="eastAsia" w:ascii="宋体" w:hAnsi="宋体"/>
          <w:kern w:val="44"/>
        </w:rPr>
        <w:t>（六）有关职工安置的事项；</w:t>
      </w:r>
    </w:p>
    <w:p w14:paraId="7CC3ADCE">
      <w:pPr>
        <w:jc w:val="left"/>
        <w:rPr>
          <w:rFonts w:ascii="宋体" w:hAnsi="宋体"/>
          <w:kern w:val="44"/>
        </w:rPr>
      </w:pPr>
      <w:r>
        <w:rPr>
          <w:rFonts w:hint="eastAsia" w:ascii="宋体" w:hAnsi="宋体"/>
          <w:kern w:val="44"/>
        </w:rPr>
        <w:t>（七）违约责任；</w:t>
      </w:r>
    </w:p>
    <w:p w14:paraId="5AF665FA">
      <w:pPr>
        <w:jc w:val="left"/>
        <w:rPr>
          <w:rFonts w:ascii="宋体" w:hAnsi="宋体"/>
          <w:kern w:val="44"/>
        </w:rPr>
      </w:pPr>
      <w:r>
        <w:rPr>
          <w:rFonts w:hint="eastAsia" w:ascii="宋体" w:hAnsi="宋体"/>
          <w:kern w:val="44"/>
        </w:rPr>
        <w:t>（八）合同争议解决方式；</w:t>
      </w:r>
    </w:p>
    <w:p w14:paraId="0A89BF43">
      <w:pPr>
        <w:jc w:val="left"/>
        <w:rPr>
          <w:rFonts w:ascii="宋体" w:hAnsi="宋体"/>
          <w:kern w:val="44"/>
        </w:rPr>
      </w:pPr>
      <w:r>
        <w:rPr>
          <w:rFonts w:hint="eastAsia" w:ascii="宋体" w:hAnsi="宋体"/>
          <w:kern w:val="44"/>
        </w:rPr>
        <w:t>（九）签约日期；</w:t>
      </w:r>
    </w:p>
    <w:p w14:paraId="028BEE35">
      <w:pPr>
        <w:jc w:val="left"/>
        <w:rPr>
          <w:rFonts w:ascii="宋体" w:hAnsi="宋体"/>
          <w:kern w:val="44"/>
        </w:rPr>
      </w:pPr>
      <w:r>
        <w:rPr>
          <w:rFonts w:hint="eastAsia" w:ascii="宋体" w:hAnsi="宋体"/>
          <w:kern w:val="44"/>
        </w:rPr>
        <w:t>（十）需要约定的其他事项。</w:t>
      </w:r>
    </w:p>
    <w:p w14:paraId="44AD6BB7">
      <w:pPr>
        <w:jc w:val="left"/>
        <w:rPr>
          <w:rFonts w:ascii="宋体" w:hAnsi="宋体"/>
          <w:kern w:val="44"/>
        </w:rPr>
      </w:pPr>
      <w:r>
        <w:rPr>
          <w:rFonts w:hint="eastAsia" w:ascii="宋体" w:hAnsi="宋体"/>
          <w:kern w:val="44"/>
        </w:rPr>
        <w:t>涉及企业国有产权转让内容的产权交易合同，应当符合《企业国有产权转让管理暂行办法》的规定。</w:t>
      </w:r>
    </w:p>
    <w:p w14:paraId="24D981E2">
      <w:pPr>
        <w:ind w:firstLine="422"/>
        <w:jc w:val="left"/>
        <w:rPr>
          <w:rFonts w:ascii="宋体" w:hAnsi="宋体"/>
          <w:kern w:val="44"/>
        </w:rPr>
      </w:pPr>
      <w:r>
        <w:rPr>
          <w:rFonts w:hint="eastAsia" w:ascii="宋体" w:hAnsi="宋体"/>
          <w:b/>
          <w:kern w:val="44"/>
        </w:rPr>
        <w:t>第二十三条</w:t>
      </w:r>
      <w:r>
        <w:rPr>
          <w:rFonts w:hint="eastAsia" w:ascii="宋体" w:hAnsi="宋体"/>
          <w:kern w:val="44"/>
        </w:rPr>
        <w:t>　产权交易合同经转让方和受让方签字、盖章后，由产权交易机构审核并出具产权交易凭证。</w:t>
      </w:r>
    </w:p>
    <w:p w14:paraId="41D02EA5">
      <w:pPr>
        <w:ind w:firstLine="422"/>
        <w:jc w:val="left"/>
        <w:rPr>
          <w:rFonts w:ascii="宋体" w:hAnsi="宋体"/>
          <w:kern w:val="44"/>
        </w:rPr>
      </w:pPr>
      <w:r>
        <w:rPr>
          <w:rFonts w:hint="eastAsia" w:ascii="宋体" w:hAnsi="宋体"/>
          <w:b/>
          <w:kern w:val="44"/>
        </w:rPr>
        <w:t>第二十四条</w:t>
      </w:r>
      <w:r>
        <w:rPr>
          <w:rFonts w:hint="eastAsia" w:ascii="宋体" w:hAnsi="宋体"/>
          <w:kern w:val="44"/>
        </w:rPr>
        <w:t>　产权交易完成后，交易双方应依法办理产权变更登记手续。涉及企业国有产权变更的，市和区、县各有关部门依据产权交易机构出具的产权交易凭证并依照相关规定，为交易双方办理有关变更手续。</w:t>
      </w:r>
    </w:p>
    <w:p w14:paraId="505118FF">
      <w:pPr>
        <w:spacing w:line="300" w:lineRule="exact"/>
        <w:jc w:val="left"/>
        <w:rPr>
          <w:rFonts w:ascii="宋体" w:hAnsi="宋体"/>
          <w:kern w:val="44"/>
        </w:rPr>
      </w:pPr>
    </w:p>
    <w:p w14:paraId="6D604B61">
      <w:pPr>
        <w:ind w:firstLine="0" w:firstLineChars="0"/>
        <w:jc w:val="center"/>
        <w:rPr>
          <w:rFonts w:ascii="宋体" w:hAnsi="宋体"/>
          <w:b/>
          <w:kern w:val="44"/>
          <w:sz w:val="28"/>
        </w:rPr>
      </w:pPr>
      <w:r>
        <w:rPr>
          <w:rFonts w:hint="eastAsia" w:ascii="宋体" w:hAnsi="宋体"/>
          <w:b/>
          <w:kern w:val="44"/>
          <w:sz w:val="28"/>
        </w:rPr>
        <w:t>第五章  产权交易监督和管理</w:t>
      </w:r>
    </w:p>
    <w:p w14:paraId="3D392C23">
      <w:pPr>
        <w:spacing w:line="300" w:lineRule="exact"/>
        <w:jc w:val="left"/>
        <w:rPr>
          <w:rFonts w:ascii="宋体" w:hAnsi="宋体"/>
          <w:kern w:val="44"/>
        </w:rPr>
      </w:pPr>
    </w:p>
    <w:p w14:paraId="4A697628">
      <w:pPr>
        <w:ind w:firstLine="422"/>
        <w:jc w:val="left"/>
        <w:rPr>
          <w:rFonts w:ascii="宋体" w:hAnsi="宋体"/>
          <w:kern w:val="44"/>
        </w:rPr>
      </w:pPr>
      <w:r>
        <w:rPr>
          <w:rFonts w:hint="eastAsia" w:ascii="宋体" w:hAnsi="宋体"/>
          <w:b/>
          <w:kern w:val="44"/>
        </w:rPr>
        <w:t>第二十五条</w:t>
      </w:r>
      <w:r>
        <w:rPr>
          <w:rFonts w:hint="eastAsia" w:ascii="宋体" w:hAnsi="宋体"/>
          <w:kern w:val="44"/>
        </w:rPr>
        <w:t>　产权交易过程中转让方、受让方、中介机构及有关人员的违法、违规行为由有关部门依法查处；对违反国家和本市企业国有产权转让有关规定的，依法承担相应责任；构成犯罪的，依法追究刑事责任。</w:t>
      </w:r>
    </w:p>
    <w:p w14:paraId="2E889122">
      <w:pPr>
        <w:ind w:firstLine="422"/>
        <w:jc w:val="left"/>
        <w:rPr>
          <w:rFonts w:ascii="宋体" w:hAnsi="宋体"/>
          <w:kern w:val="44"/>
        </w:rPr>
      </w:pPr>
      <w:r>
        <w:rPr>
          <w:rFonts w:hint="eastAsia" w:ascii="宋体" w:hAnsi="宋体"/>
          <w:b/>
          <w:kern w:val="44"/>
        </w:rPr>
        <w:t>第二十六条</w:t>
      </w:r>
      <w:r>
        <w:rPr>
          <w:rFonts w:hint="eastAsia" w:ascii="宋体" w:hAnsi="宋体"/>
          <w:kern w:val="44"/>
        </w:rPr>
        <w:t>　本市建立产权交易活动违法行为记录系统，记载转让方、受让方、中介机构等产权交易活动当事人的违法行为及处理结果。</w:t>
      </w:r>
    </w:p>
    <w:p w14:paraId="746BD709">
      <w:pPr>
        <w:jc w:val="left"/>
        <w:rPr>
          <w:rFonts w:ascii="宋体" w:hAnsi="宋体"/>
          <w:kern w:val="44"/>
        </w:rPr>
      </w:pPr>
      <w:r>
        <w:rPr>
          <w:rFonts w:hint="eastAsia" w:ascii="宋体" w:hAnsi="宋体"/>
          <w:kern w:val="44"/>
        </w:rPr>
        <w:t>单位和个人有权查询违法行为处理结果记录。</w:t>
      </w:r>
    </w:p>
    <w:p w14:paraId="60A9BE2E">
      <w:pPr>
        <w:ind w:firstLine="422"/>
        <w:jc w:val="left"/>
        <w:rPr>
          <w:rFonts w:ascii="宋体" w:hAnsi="宋体"/>
          <w:kern w:val="44"/>
        </w:rPr>
      </w:pPr>
      <w:r>
        <w:rPr>
          <w:rFonts w:hint="eastAsia" w:ascii="宋体" w:hAnsi="宋体"/>
          <w:b/>
          <w:kern w:val="44"/>
        </w:rPr>
        <w:t>第二十七条</w:t>
      </w:r>
      <w:r>
        <w:rPr>
          <w:rFonts w:hint="eastAsia" w:ascii="宋体" w:hAnsi="宋体"/>
          <w:kern w:val="44"/>
        </w:rPr>
        <w:t>　产权交易过程中发生产权交易纠纷的，当事人可以依据合同的约定申请仲裁；没有约定仲裁的，可以依法向人民法院提起诉讼。</w:t>
      </w:r>
    </w:p>
    <w:p w14:paraId="39CC09AB">
      <w:pPr>
        <w:jc w:val="left"/>
        <w:rPr>
          <w:rFonts w:ascii="宋体" w:hAnsi="宋体"/>
          <w:kern w:val="44"/>
        </w:rPr>
      </w:pPr>
    </w:p>
    <w:p w14:paraId="18CCB524">
      <w:pPr>
        <w:ind w:firstLine="0" w:firstLineChars="0"/>
        <w:jc w:val="center"/>
        <w:rPr>
          <w:rFonts w:ascii="宋体" w:hAnsi="宋体"/>
          <w:b/>
          <w:kern w:val="44"/>
          <w:sz w:val="28"/>
        </w:rPr>
      </w:pPr>
      <w:r>
        <w:rPr>
          <w:rFonts w:hint="eastAsia" w:ascii="宋体" w:hAnsi="宋体"/>
          <w:b/>
          <w:kern w:val="44"/>
          <w:sz w:val="28"/>
        </w:rPr>
        <w:t>第六章  附  则</w:t>
      </w:r>
    </w:p>
    <w:p w14:paraId="71C11961">
      <w:pPr>
        <w:jc w:val="left"/>
        <w:rPr>
          <w:rFonts w:ascii="宋体" w:hAnsi="宋体"/>
          <w:kern w:val="44"/>
        </w:rPr>
      </w:pPr>
    </w:p>
    <w:p w14:paraId="7E0B3BA2">
      <w:pPr>
        <w:ind w:firstLine="422"/>
        <w:jc w:val="left"/>
        <w:rPr>
          <w:rFonts w:ascii="宋体" w:hAnsi="宋体"/>
          <w:kern w:val="44"/>
        </w:rPr>
      </w:pPr>
      <w:r>
        <w:rPr>
          <w:rFonts w:hint="eastAsia" w:ascii="宋体" w:hAnsi="宋体"/>
          <w:b/>
          <w:kern w:val="44"/>
        </w:rPr>
        <w:t>第二十八条</w:t>
      </w:r>
      <w:r>
        <w:rPr>
          <w:rFonts w:hint="eastAsia" w:ascii="宋体" w:hAnsi="宋体"/>
          <w:kern w:val="44"/>
        </w:rPr>
        <w:t>　行政事业单位的产权交易参照本规定执行。</w:t>
      </w:r>
    </w:p>
    <w:p w14:paraId="20E96B0A">
      <w:pPr>
        <w:ind w:firstLine="422"/>
        <w:jc w:val="left"/>
        <w:rPr>
          <w:rFonts w:ascii="宋体" w:hAnsi="宋体"/>
          <w:kern w:val="44"/>
        </w:rPr>
      </w:pPr>
      <w:r>
        <w:rPr>
          <w:rFonts w:hint="eastAsia" w:ascii="宋体" w:hAnsi="宋体"/>
          <w:b/>
          <w:kern w:val="44"/>
        </w:rPr>
        <w:t>第二十九条</w:t>
      </w:r>
      <w:r>
        <w:rPr>
          <w:rFonts w:hint="eastAsia" w:ascii="宋体" w:hAnsi="宋体"/>
          <w:kern w:val="44"/>
        </w:rPr>
        <w:t>　本规定自2002年1月1日起施行。</w:t>
      </w:r>
    </w:p>
    <w:p w14:paraId="2FD50701">
      <w:pPr>
        <w:pStyle w:val="3"/>
        <w:pageBreakBefore/>
        <w:rPr>
          <w:kern w:val="44"/>
        </w:rPr>
      </w:pPr>
      <w:bookmarkStart w:id="1414" w:name="_Toc427651977"/>
      <w:bookmarkStart w:id="1415" w:name="_Toc428780201"/>
      <w:bookmarkStart w:id="1416" w:name="_Toc422471370"/>
      <w:bookmarkStart w:id="1417" w:name="_Toc427651635"/>
      <w:bookmarkStart w:id="1418" w:name="_Toc428781683"/>
      <w:r>
        <w:rPr>
          <w:rFonts w:hint="eastAsia"/>
          <w:kern w:val="44"/>
        </w:rPr>
        <w:t>（十七）其  他</w:t>
      </w:r>
      <w:bookmarkEnd w:id="1414"/>
      <w:bookmarkEnd w:id="1415"/>
      <w:bookmarkEnd w:id="1416"/>
      <w:bookmarkEnd w:id="1417"/>
      <w:bookmarkEnd w:id="1418"/>
    </w:p>
    <w:p w14:paraId="36C177CA"/>
    <w:p w14:paraId="1F50380E">
      <w:pPr>
        <w:pStyle w:val="4"/>
        <w:rPr>
          <w:kern w:val="44"/>
        </w:rPr>
      </w:pPr>
      <w:bookmarkStart w:id="1419" w:name="_Toc422471371"/>
      <w:bookmarkStart w:id="1420" w:name="_Toc427651978"/>
      <w:bookmarkStart w:id="1421" w:name="_Toc428781684"/>
      <w:bookmarkStart w:id="1422" w:name="_Toc428780202"/>
      <w:bookmarkStart w:id="1423" w:name="_Toc427651636"/>
      <w:r>
        <w:rPr>
          <w:rFonts w:hint="eastAsia"/>
          <w:kern w:val="44"/>
        </w:rPr>
        <w:t>北京经济技术开发区条例</w:t>
      </w:r>
      <w:bookmarkEnd w:id="1419"/>
      <w:bookmarkEnd w:id="1420"/>
      <w:bookmarkEnd w:id="1421"/>
      <w:bookmarkEnd w:id="1422"/>
      <w:bookmarkEnd w:id="1423"/>
    </w:p>
    <w:p w14:paraId="640CD02B">
      <w:pPr>
        <w:ind w:left="630" w:leftChars="300" w:right="630" w:rightChars="300"/>
        <w:rPr>
          <w:rFonts w:ascii="楷体" w:hAnsi="楷体" w:eastAsia="楷体"/>
          <w:kern w:val="44"/>
        </w:rPr>
      </w:pPr>
      <w:r>
        <w:rPr>
          <w:rFonts w:hint="eastAsia" w:ascii="楷体" w:hAnsi="楷体" w:eastAsia="楷体"/>
          <w:kern w:val="44"/>
        </w:rPr>
        <w:t>（1995年4月14日北京市第十届人民代表大会常务委员会第十六次会议通过  1995年4月14日北京市人民代表大会常务委员会公告第38号公布   1995年6月1日起施行）</w:t>
      </w:r>
    </w:p>
    <w:p w14:paraId="22C5D899">
      <w:pPr>
        <w:ind w:left="630" w:leftChars="300" w:right="630" w:rightChars="300"/>
        <w:jc w:val="left"/>
        <w:rPr>
          <w:rFonts w:ascii="楷体" w:hAnsi="楷体" w:eastAsia="楷体"/>
          <w:kern w:val="44"/>
        </w:rPr>
      </w:pPr>
    </w:p>
    <w:p w14:paraId="4F38058F">
      <w:pPr>
        <w:ind w:firstLine="0" w:firstLineChars="0"/>
        <w:jc w:val="center"/>
        <w:rPr>
          <w:rFonts w:ascii="宋体" w:hAnsi="宋体"/>
          <w:b/>
          <w:kern w:val="44"/>
          <w:sz w:val="28"/>
        </w:rPr>
      </w:pPr>
      <w:r>
        <w:rPr>
          <w:rFonts w:hint="eastAsia" w:ascii="宋体" w:hAnsi="宋体"/>
          <w:b/>
          <w:kern w:val="44"/>
          <w:sz w:val="28"/>
        </w:rPr>
        <w:t>第一章　总　则</w:t>
      </w:r>
    </w:p>
    <w:p w14:paraId="6E1DD97E">
      <w:pPr>
        <w:jc w:val="left"/>
        <w:rPr>
          <w:rFonts w:ascii="宋体" w:hAnsi="宋体"/>
          <w:kern w:val="44"/>
        </w:rPr>
      </w:pPr>
    </w:p>
    <w:p w14:paraId="6950DD53">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为了加快北京经济技术开发区的建设，促进本市对外开放，发展国内外经济技术合作与贸易，根据国家法律、法规的有关规定，结合本市实际情况，制定本条例。</w:t>
      </w:r>
    </w:p>
    <w:p w14:paraId="7FC5B2D7">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本条例适用于经国务院批准设立的北京经济技术开发区（以下简称开发区）。</w:t>
      </w:r>
    </w:p>
    <w:p w14:paraId="41DB2318">
      <w:pPr>
        <w:ind w:firstLine="422"/>
        <w:jc w:val="left"/>
        <w:rPr>
          <w:rFonts w:ascii="宋体" w:hAnsi="宋体"/>
          <w:kern w:val="44"/>
        </w:rPr>
      </w:pPr>
      <w:r>
        <w:rPr>
          <w:rFonts w:hint="eastAsia" w:ascii="宋体" w:hAnsi="宋体"/>
          <w:b/>
          <w:kern w:val="44"/>
        </w:rPr>
        <w:t>第三条</w:t>
      </w:r>
      <w:r>
        <w:rPr>
          <w:rFonts w:hint="eastAsia" w:ascii="宋体" w:hAnsi="宋体"/>
          <w:kern w:val="44"/>
        </w:rPr>
        <w:t>　本市鼓励国内外企业事业单位、其他经济组织和个人（以下统称投资者）在开发区投资兴办高新技术企业、先进技术企业和产品出口企业。</w:t>
      </w:r>
    </w:p>
    <w:p w14:paraId="7A1F7D23">
      <w:pPr>
        <w:jc w:val="left"/>
        <w:rPr>
          <w:rFonts w:ascii="宋体" w:hAnsi="宋体"/>
          <w:kern w:val="44"/>
        </w:rPr>
      </w:pPr>
      <w:r>
        <w:rPr>
          <w:rFonts w:hint="eastAsia" w:ascii="宋体" w:hAnsi="宋体"/>
          <w:kern w:val="44"/>
        </w:rPr>
        <w:t>鼓励投资者在开发区投资建设有利于产业结构调整、扩大出口贸易和国有大中型企业技术改造的工业项目及科技型项目。</w:t>
      </w:r>
    </w:p>
    <w:p w14:paraId="1F193A47">
      <w:pPr>
        <w:jc w:val="left"/>
        <w:rPr>
          <w:rFonts w:ascii="宋体" w:hAnsi="宋体"/>
          <w:kern w:val="44"/>
        </w:rPr>
      </w:pPr>
      <w:r>
        <w:rPr>
          <w:rFonts w:hint="eastAsia" w:ascii="宋体" w:hAnsi="宋体"/>
          <w:kern w:val="44"/>
        </w:rPr>
        <w:t>鼓励投资者在开发区投资兴办基础设施项目。</w:t>
      </w:r>
    </w:p>
    <w:p w14:paraId="073CDD72">
      <w:pPr>
        <w:ind w:firstLine="422"/>
        <w:jc w:val="left"/>
        <w:rPr>
          <w:rFonts w:ascii="宋体" w:hAnsi="宋体"/>
          <w:kern w:val="44"/>
        </w:rPr>
      </w:pPr>
      <w:r>
        <w:rPr>
          <w:rFonts w:hint="eastAsia" w:ascii="宋体" w:hAnsi="宋体"/>
          <w:b/>
          <w:kern w:val="44"/>
        </w:rPr>
        <w:t>第四条</w:t>
      </w:r>
      <w:r>
        <w:rPr>
          <w:rFonts w:hint="eastAsia" w:ascii="宋体" w:hAnsi="宋体"/>
          <w:kern w:val="44"/>
        </w:rPr>
        <w:t>　在开发区不得兴办技术落后、设备陈旧、未达到国家和本市有关环境保护标准的项目以及国家和本市禁止的其他项目。</w:t>
      </w:r>
    </w:p>
    <w:p w14:paraId="2ACE6616">
      <w:pPr>
        <w:ind w:firstLine="422"/>
        <w:jc w:val="left"/>
        <w:rPr>
          <w:rFonts w:ascii="宋体" w:hAnsi="宋体"/>
          <w:kern w:val="44"/>
        </w:rPr>
      </w:pPr>
      <w:r>
        <w:rPr>
          <w:rFonts w:hint="eastAsia" w:ascii="宋体" w:hAnsi="宋体"/>
          <w:b/>
          <w:kern w:val="44"/>
        </w:rPr>
        <w:t>第五条</w:t>
      </w:r>
      <w:r>
        <w:rPr>
          <w:rFonts w:hint="eastAsia" w:ascii="宋体" w:hAnsi="宋体"/>
          <w:kern w:val="44"/>
        </w:rPr>
        <w:t>　开发区应当建设完善的基础设施，建立符合社会主义市场经济体制要求的高效率的运行管理机制，创造良好的投资环境。</w:t>
      </w:r>
    </w:p>
    <w:p w14:paraId="7711340A">
      <w:pPr>
        <w:ind w:firstLine="422"/>
        <w:jc w:val="left"/>
        <w:rPr>
          <w:rFonts w:ascii="宋体" w:hAnsi="宋体"/>
          <w:kern w:val="44"/>
        </w:rPr>
      </w:pPr>
      <w:r>
        <w:rPr>
          <w:rFonts w:hint="eastAsia" w:ascii="宋体" w:hAnsi="宋体"/>
          <w:b/>
          <w:kern w:val="44"/>
        </w:rPr>
        <w:t>第六条</w:t>
      </w:r>
      <w:r>
        <w:rPr>
          <w:rFonts w:hint="eastAsia" w:ascii="宋体" w:hAnsi="宋体"/>
          <w:kern w:val="44"/>
        </w:rPr>
        <w:t>　开发区的土地经征用后，实行有偿使用。土地使用权可以依法出让、转让。</w:t>
      </w:r>
    </w:p>
    <w:p w14:paraId="5A27553F">
      <w:pPr>
        <w:jc w:val="left"/>
        <w:rPr>
          <w:rFonts w:ascii="宋体" w:hAnsi="宋体"/>
          <w:kern w:val="44"/>
        </w:rPr>
      </w:pPr>
      <w:r>
        <w:rPr>
          <w:rFonts w:hint="eastAsia" w:ascii="宋体" w:hAnsi="宋体"/>
          <w:kern w:val="44"/>
        </w:rPr>
        <w:t>投资者可以按照开发区的规划，依法投资开发成片土地。</w:t>
      </w:r>
    </w:p>
    <w:p w14:paraId="104F7F5F">
      <w:pPr>
        <w:ind w:firstLine="422"/>
        <w:jc w:val="left"/>
        <w:rPr>
          <w:rFonts w:ascii="宋体" w:hAnsi="宋体"/>
          <w:kern w:val="44"/>
        </w:rPr>
      </w:pPr>
      <w:r>
        <w:rPr>
          <w:rFonts w:hint="eastAsia" w:ascii="宋体" w:hAnsi="宋体"/>
          <w:b/>
          <w:kern w:val="44"/>
        </w:rPr>
        <w:t>第七条</w:t>
      </w:r>
      <w:r>
        <w:rPr>
          <w:rFonts w:hint="eastAsia" w:ascii="宋体" w:hAnsi="宋体"/>
          <w:kern w:val="44"/>
        </w:rPr>
        <w:t>　投资者在开发区的投资、收益和其他合法权益，受中华人民共和国的法律、法规保护。</w:t>
      </w:r>
    </w:p>
    <w:p w14:paraId="7138F832">
      <w:pPr>
        <w:jc w:val="left"/>
        <w:rPr>
          <w:rFonts w:ascii="宋体" w:hAnsi="宋体"/>
          <w:kern w:val="44"/>
        </w:rPr>
      </w:pPr>
      <w:r>
        <w:rPr>
          <w:rFonts w:hint="eastAsia" w:ascii="宋体" w:hAnsi="宋体"/>
          <w:kern w:val="44"/>
        </w:rPr>
        <w:t>开发区的任何单位和个人，必须遵守中华人民共和国的法律、法规和其他有关规定。</w:t>
      </w:r>
    </w:p>
    <w:p w14:paraId="60680DA7">
      <w:pPr>
        <w:jc w:val="left"/>
        <w:rPr>
          <w:rFonts w:ascii="宋体" w:hAnsi="宋体"/>
          <w:kern w:val="44"/>
        </w:rPr>
      </w:pPr>
    </w:p>
    <w:p w14:paraId="7535FD75">
      <w:pPr>
        <w:ind w:firstLine="0" w:firstLineChars="0"/>
        <w:jc w:val="center"/>
        <w:rPr>
          <w:rFonts w:ascii="宋体" w:hAnsi="宋体"/>
          <w:b/>
          <w:kern w:val="44"/>
          <w:sz w:val="28"/>
        </w:rPr>
      </w:pPr>
      <w:r>
        <w:rPr>
          <w:rFonts w:hint="eastAsia" w:ascii="宋体" w:hAnsi="宋体"/>
          <w:b/>
          <w:kern w:val="44"/>
          <w:sz w:val="28"/>
        </w:rPr>
        <w:t>第二章　管理机构</w:t>
      </w:r>
    </w:p>
    <w:p w14:paraId="4D9532E3">
      <w:pPr>
        <w:jc w:val="left"/>
        <w:rPr>
          <w:rFonts w:ascii="宋体" w:hAnsi="宋体"/>
          <w:kern w:val="44"/>
        </w:rPr>
      </w:pPr>
    </w:p>
    <w:p w14:paraId="28BC84DE">
      <w:pPr>
        <w:ind w:firstLine="422"/>
        <w:jc w:val="left"/>
        <w:rPr>
          <w:rFonts w:ascii="宋体" w:hAnsi="宋体"/>
          <w:kern w:val="44"/>
        </w:rPr>
      </w:pPr>
      <w:r>
        <w:rPr>
          <w:rFonts w:hint="eastAsia" w:ascii="宋体" w:hAnsi="宋体"/>
          <w:b/>
          <w:kern w:val="44"/>
        </w:rPr>
        <w:t>第八条</w:t>
      </w:r>
      <w:r>
        <w:rPr>
          <w:rFonts w:hint="eastAsia" w:ascii="宋体" w:hAnsi="宋体"/>
          <w:kern w:val="44"/>
        </w:rPr>
        <w:t>　市人民政府设立北京经济技术开发区管理委员会（以下简称开发区管委会），代表市人民政府对开发区实行统一领导和管理。</w:t>
      </w:r>
    </w:p>
    <w:p w14:paraId="002B0B54">
      <w:pPr>
        <w:ind w:firstLine="422"/>
        <w:jc w:val="left"/>
        <w:rPr>
          <w:rFonts w:ascii="宋体" w:hAnsi="宋体"/>
          <w:kern w:val="44"/>
        </w:rPr>
      </w:pPr>
      <w:r>
        <w:rPr>
          <w:rFonts w:hint="eastAsia" w:ascii="宋体" w:hAnsi="宋体"/>
          <w:b/>
          <w:kern w:val="44"/>
        </w:rPr>
        <w:t>第九条</w:t>
      </w:r>
      <w:r>
        <w:rPr>
          <w:rFonts w:hint="eastAsia" w:ascii="宋体" w:hAnsi="宋体"/>
          <w:kern w:val="44"/>
        </w:rPr>
        <w:t>　开发区管委会行使下列职权：</w:t>
      </w:r>
    </w:p>
    <w:p w14:paraId="46407CFA">
      <w:pPr>
        <w:jc w:val="left"/>
        <w:rPr>
          <w:rFonts w:ascii="宋体" w:hAnsi="宋体"/>
          <w:kern w:val="44"/>
        </w:rPr>
      </w:pPr>
      <w:r>
        <w:rPr>
          <w:rFonts w:hint="eastAsia" w:ascii="宋体" w:hAnsi="宋体"/>
          <w:kern w:val="44"/>
        </w:rPr>
        <w:t>（一）保证国家法律、法规和产业政策在开发区贯彻实施；</w:t>
      </w:r>
    </w:p>
    <w:p w14:paraId="7211E055">
      <w:pPr>
        <w:jc w:val="left"/>
        <w:rPr>
          <w:rFonts w:ascii="宋体" w:hAnsi="宋体"/>
          <w:kern w:val="44"/>
        </w:rPr>
      </w:pPr>
      <w:r>
        <w:rPr>
          <w:rFonts w:hint="eastAsia" w:ascii="宋体" w:hAnsi="宋体"/>
          <w:kern w:val="44"/>
        </w:rPr>
        <w:t>（二）编制开发区总体规划和经济、社会发展计划，经市人民政府批准后组织实施；</w:t>
      </w:r>
    </w:p>
    <w:p w14:paraId="79D9AD28">
      <w:pPr>
        <w:jc w:val="left"/>
        <w:rPr>
          <w:rFonts w:ascii="宋体" w:hAnsi="宋体"/>
          <w:kern w:val="44"/>
        </w:rPr>
      </w:pPr>
      <w:r>
        <w:rPr>
          <w:rFonts w:hint="eastAsia" w:ascii="宋体" w:hAnsi="宋体"/>
          <w:kern w:val="44"/>
        </w:rPr>
        <w:t>（三）制定并组织实施开发区的行政管理规定；</w:t>
      </w:r>
    </w:p>
    <w:p w14:paraId="7339CAD9">
      <w:pPr>
        <w:jc w:val="left"/>
        <w:rPr>
          <w:rFonts w:ascii="宋体" w:hAnsi="宋体"/>
          <w:kern w:val="44"/>
        </w:rPr>
      </w:pPr>
      <w:r>
        <w:rPr>
          <w:rFonts w:hint="eastAsia" w:ascii="宋体" w:hAnsi="宋体"/>
          <w:kern w:val="44"/>
        </w:rPr>
        <w:t>（四）按照规定权限审核、批准开发区各类投资项目；</w:t>
      </w:r>
    </w:p>
    <w:p w14:paraId="62B6C74A">
      <w:pPr>
        <w:jc w:val="left"/>
        <w:rPr>
          <w:rFonts w:ascii="宋体" w:hAnsi="宋体"/>
          <w:kern w:val="44"/>
        </w:rPr>
      </w:pPr>
      <w:r>
        <w:rPr>
          <w:rFonts w:hint="eastAsia" w:ascii="宋体" w:hAnsi="宋体"/>
          <w:kern w:val="44"/>
        </w:rPr>
        <w:t>（五）按照开发区的总体规划，对开发区的土地实行统一管理；</w:t>
      </w:r>
    </w:p>
    <w:p w14:paraId="780755BE">
      <w:pPr>
        <w:jc w:val="left"/>
        <w:rPr>
          <w:rFonts w:ascii="宋体" w:hAnsi="宋体"/>
          <w:kern w:val="44"/>
        </w:rPr>
      </w:pPr>
      <w:r>
        <w:rPr>
          <w:rFonts w:hint="eastAsia" w:ascii="宋体" w:hAnsi="宋体"/>
          <w:kern w:val="44"/>
        </w:rPr>
        <w:t>（六）统一规划、管理开发区的各项基础设施和公共设施；</w:t>
      </w:r>
    </w:p>
    <w:p w14:paraId="7AAFFE87">
      <w:pPr>
        <w:jc w:val="left"/>
        <w:rPr>
          <w:rFonts w:ascii="宋体" w:hAnsi="宋体"/>
          <w:kern w:val="44"/>
        </w:rPr>
      </w:pPr>
      <w:r>
        <w:rPr>
          <w:rFonts w:hint="eastAsia" w:ascii="宋体" w:hAnsi="宋体"/>
          <w:kern w:val="44"/>
        </w:rPr>
        <w:t>（七）管理开发区的财政收支；</w:t>
      </w:r>
    </w:p>
    <w:p w14:paraId="46ECFBBC">
      <w:pPr>
        <w:jc w:val="left"/>
        <w:rPr>
          <w:rFonts w:ascii="宋体" w:hAnsi="宋体"/>
          <w:kern w:val="44"/>
        </w:rPr>
      </w:pPr>
      <w:r>
        <w:rPr>
          <w:rFonts w:hint="eastAsia" w:ascii="宋体" w:hAnsi="宋体"/>
          <w:kern w:val="44"/>
        </w:rPr>
        <w:t>（八）管理开发区的进出口事务；</w:t>
      </w:r>
    </w:p>
    <w:p w14:paraId="0EA377CE">
      <w:pPr>
        <w:jc w:val="left"/>
        <w:rPr>
          <w:rFonts w:ascii="宋体" w:hAnsi="宋体"/>
          <w:kern w:val="44"/>
        </w:rPr>
      </w:pPr>
      <w:r>
        <w:rPr>
          <w:rFonts w:hint="eastAsia" w:ascii="宋体" w:hAnsi="宋体"/>
          <w:kern w:val="44"/>
        </w:rPr>
        <w:t>（九）管理开发区的涉外事务；</w:t>
      </w:r>
    </w:p>
    <w:p w14:paraId="3E9A6F2A">
      <w:pPr>
        <w:jc w:val="left"/>
        <w:rPr>
          <w:rFonts w:ascii="宋体" w:hAnsi="宋体"/>
          <w:kern w:val="44"/>
        </w:rPr>
      </w:pPr>
      <w:r>
        <w:rPr>
          <w:rFonts w:hint="eastAsia" w:ascii="宋体" w:hAnsi="宋体"/>
          <w:kern w:val="44"/>
        </w:rPr>
        <w:t>（十）管理开发区的工商行政、劳动、人事、统计、物价、技术监督、城市建设、房地产、环境保护、环境卫生、公安、司法行政和计划生育等行政工作；</w:t>
      </w:r>
    </w:p>
    <w:p w14:paraId="74122FC6">
      <w:pPr>
        <w:jc w:val="left"/>
        <w:rPr>
          <w:rFonts w:ascii="宋体" w:hAnsi="宋体"/>
          <w:kern w:val="44"/>
        </w:rPr>
      </w:pPr>
      <w:r>
        <w:rPr>
          <w:rFonts w:hint="eastAsia" w:ascii="宋体" w:hAnsi="宋体"/>
          <w:kern w:val="44"/>
        </w:rPr>
        <w:t>（十一）兴办、管理开发区的教育、文化、卫生、体育等社会公益事业；</w:t>
      </w:r>
    </w:p>
    <w:p w14:paraId="2E4B67AF">
      <w:pPr>
        <w:jc w:val="left"/>
        <w:rPr>
          <w:rFonts w:ascii="宋体" w:hAnsi="宋体"/>
          <w:kern w:val="44"/>
        </w:rPr>
      </w:pPr>
      <w:r>
        <w:rPr>
          <w:rFonts w:hint="eastAsia" w:ascii="宋体" w:hAnsi="宋体"/>
          <w:kern w:val="44"/>
        </w:rPr>
        <w:t>（十二）监督、检查、协调有关部门设在开发区的分支机构的工作；</w:t>
      </w:r>
    </w:p>
    <w:p w14:paraId="62C8C652">
      <w:pPr>
        <w:jc w:val="left"/>
        <w:rPr>
          <w:rFonts w:ascii="宋体" w:hAnsi="宋体"/>
          <w:kern w:val="44"/>
        </w:rPr>
      </w:pPr>
      <w:r>
        <w:rPr>
          <w:rFonts w:hint="eastAsia" w:ascii="宋体" w:hAnsi="宋体"/>
          <w:kern w:val="44"/>
        </w:rPr>
        <w:t>（十三）市人民政府授予的其他职权。</w:t>
      </w:r>
    </w:p>
    <w:p w14:paraId="4C7C1254">
      <w:pPr>
        <w:ind w:firstLine="422"/>
        <w:jc w:val="left"/>
        <w:rPr>
          <w:rFonts w:ascii="宋体" w:hAnsi="宋体"/>
          <w:kern w:val="44"/>
        </w:rPr>
      </w:pPr>
      <w:r>
        <w:rPr>
          <w:rFonts w:hint="eastAsia" w:ascii="宋体" w:hAnsi="宋体"/>
          <w:b/>
          <w:kern w:val="44"/>
        </w:rPr>
        <w:t>第十条</w:t>
      </w:r>
      <w:r>
        <w:rPr>
          <w:rFonts w:hint="eastAsia" w:ascii="宋体" w:hAnsi="宋体"/>
          <w:kern w:val="44"/>
        </w:rPr>
        <w:t>　开发区管委会可以设立必要的职能机构，对开发区的事务实行管理，为投资者提供服务。</w:t>
      </w:r>
    </w:p>
    <w:p w14:paraId="58032E4E">
      <w:pPr>
        <w:jc w:val="left"/>
        <w:rPr>
          <w:rFonts w:ascii="宋体" w:hAnsi="宋体"/>
          <w:kern w:val="44"/>
        </w:rPr>
      </w:pPr>
      <w:r>
        <w:rPr>
          <w:rFonts w:hint="eastAsia" w:ascii="宋体" w:hAnsi="宋体"/>
          <w:kern w:val="44"/>
        </w:rPr>
        <w:t>市人民政府有关部门应当支持和配合开发区管委会的工作，加强对开发区管委会职能机构的业务指导。</w:t>
      </w:r>
    </w:p>
    <w:p w14:paraId="6CDE5A52">
      <w:pPr>
        <w:ind w:firstLine="422"/>
        <w:jc w:val="left"/>
        <w:rPr>
          <w:rFonts w:ascii="宋体" w:hAnsi="宋体"/>
          <w:kern w:val="44"/>
        </w:rPr>
      </w:pPr>
      <w:r>
        <w:rPr>
          <w:rFonts w:hint="eastAsia" w:ascii="宋体" w:hAnsi="宋体"/>
          <w:b/>
          <w:kern w:val="44"/>
        </w:rPr>
        <w:t>第十一条</w:t>
      </w:r>
      <w:r>
        <w:rPr>
          <w:rFonts w:hint="eastAsia" w:ascii="宋体" w:hAnsi="宋体"/>
          <w:kern w:val="44"/>
        </w:rPr>
        <w:t>　本市有关部门在开发区设立分支机构，必须经开发区管委会同意，并报市人民政府批准。</w:t>
      </w:r>
    </w:p>
    <w:p w14:paraId="7C8A08F1">
      <w:pPr>
        <w:jc w:val="left"/>
        <w:rPr>
          <w:rFonts w:ascii="宋体" w:hAnsi="宋体"/>
          <w:kern w:val="44"/>
        </w:rPr>
      </w:pPr>
    </w:p>
    <w:p w14:paraId="6CB850F2">
      <w:pPr>
        <w:ind w:firstLine="0" w:firstLineChars="0"/>
        <w:jc w:val="center"/>
        <w:rPr>
          <w:rFonts w:ascii="宋体" w:hAnsi="宋体"/>
          <w:b/>
          <w:kern w:val="44"/>
          <w:sz w:val="28"/>
        </w:rPr>
      </w:pPr>
      <w:r>
        <w:rPr>
          <w:rFonts w:hint="eastAsia" w:ascii="宋体" w:hAnsi="宋体"/>
          <w:b/>
          <w:kern w:val="44"/>
          <w:sz w:val="28"/>
        </w:rPr>
        <w:t>第三章　投资和经营</w:t>
      </w:r>
    </w:p>
    <w:p w14:paraId="258B62D8">
      <w:pPr>
        <w:jc w:val="left"/>
        <w:rPr>
          <w:rFonts w:ascii="宋体" w:hAnsi="宋体"/>
          <w:kern w:val="44"/>
        </w:rPr>
      </w:pPr>
    </w:p>
    <w:p w14:paraId="7BA2B9C5">
      <w:pPr>
        <w:ind w:firstLine="422"/>
        <w:jc w:val="left"/>
        <w:rPr>
          <w:rFonts w:ascii="宋体" w:hAnsi="宋体"/>
          <w:kern w:val="44"/>
        </w:rPr>
      </w:pPr>
      <w:r>
        <w:rPr>
          <w:rFonts w:hint="eastAsia" w:ascii="宋体" w:hAnsi="宋体"/>
          <w:b/>
          <w:kern w:val="44"/>
        </w:rPr>
        <w:t>第十二条</w:t>
      </w:r>
      <w:r>
        <w:rPr>
          <w:rFonts w:hint="eastAsia" w:ascii="宋体" w:hAnsi="宋体"/>
          <w:kern w:val="44"/>
        </w:rPr>
        <w:t>　在开发区投资兴办企业事业项目，应当向开发区管委会提出申请，经审核批准后，依法办理土地使用、工商登记和税务登记等手续。</w:t>
      </w:r>
    </w:p>
    <w:p w14:paraId="7644C0D9">
      <w:pPr>
        <w:ind w:firstLine="422"/>
        <w:jc w:val="left"/>
        <w:rPr>
          <w:rFonts w:ascii="宋体" w:hAnsi="宋体"/>
          <w:kern w:val="44"/>
        </w:rPr>
      </w:pPr>
      <w:r>
        <w:rPr>
          <w:rFonts w:hint="eastAsia" w:ascii="宋体" w:hAnsi="宋体"/>
          <w:b/>
          <w:kern w:val="44"/>
        </w:rPr>
        <w:t>第十三条</w:t>
      </w:r>
      <w:r>
        <w:rPr>
          <w:rFonts w:hint="eastAsia" w:ascii="宋体" w:hAnsi="宋体"/>
          <w:kern w:val="44"/>
        </w:rPr>
        <w:t>　在开发区兴办企业，应当按规定的期限投入资本和动工建设。不能按期投入资本或者动工建设的，应当提前申请批准延期；未经批准延期的，依法注销土地使用证和吊销营业执照。</w:t>
      </w:r>
    </w:p>
    <w:p w14:paraId="5F4446D9">
      <w:pPr>
        <w:ind w:firstLine="422"/>
        <w:jc w:val="left"/>
        <w:rPr>
          <w:rFonts w:ascii="宋体" w:hAnsi="宋体"/>
          <w:kern w:val="44"/>
        </w:rPr>
      </w:pPr>
      <w:r>
        <w:rPr>
          <w:rFonts w:hint="eastAsia" w:ascii="宋体" w:hAnsi="宋体"/>
          <w:b/>
          <w:kern w:val="44"/>
        </w:rPr>
        <w:t>第十四条</w:t>
      </w:r>
      <w:r>
        <w:rPr>
          <w:rFonts w:hint="eastAsia" w:ascii="宋体" w:hAnsi="宋体"/>
          <w:kern w:val="44"/>
        </w:rPr>
        <w:t>　开发区的企业依法享有经营决策、产品销售、机构设置、劳动用工和工资分配等经营自主权。</w:t>
      </w:r>
    </w:p>
    <w:p w14:paraId="2324FEF6">
      <w:pPr>
        <w:ind w:firstLine="422"/>
        <w:jc w:val="left"/>
        <w:rPr>
          <w:rFonts w:ascii="宋体" w:hAnsi="宋体"/>
          <w:kern w:val="44"/>
        </w:rPr>
      </w:pPr>
      <w:r>
        <w:rPr>
          <w:rFonts w:hint="eastAsia" w:ascii="宋体" w:hAnsi="宋体"/>
          <w:b/>
          <w:kern w:val="44"/>
        </w:rPr>
        <w:t>第十五条</w:t>
      </w:r>
      <w:r>
        <w:rPr>
          <w:rFonts w:hint="eastAsia" w:ascii="宋体" w:hAnsi="宋体"/>
          <w:kern w:val="44"/>
        </w:rPr>
        <w:t>　开发区的企业应当设立完整的会计</w:t>
      </w:r>
      <w:r>
        <w:rPr>
          <w:rFonts w:hint="eastAsia" w:ascii="宋体" w:hAnsi="宋体"/>
          <w:kern w:val="44"/>
          <w:lang w:eastAsia="zh-CN"/>
        </w:rPr>
        <w:t>账簿</w:t>
      </w:r>
      <w:r>
        <w:rPr>
          <w:rFonts w:hint="eastAsia" w:ascii="宋体" w:hAnsi="宋体"/>
          <w:kern w:val="44"/>
        </w:rPr>
        <w:t>，并依照规定向开发区有关部门报送会计报表和企业年检报告，接受财政、税务和工商行政管理等部门的监督。</w:t>
      </w:r>
    </w:p>
    <w:p w14:paraId="494882D5">
      <w:pPr>
        <w:jc w:val="left"/>
        <w:rPr>
          <w:rFonts w:ascii="宋体" w:hAnsi="宋体"/>
          <w:kern w:val="44"/>
        </w:rPr>
      </w:pPr>
      <w:r>
        <w:rPr>
          <w:rFonts w:hint="eastAsia" w:ascii="宋体" w:hAnsi="宋体"/>
          <w:kern w:val="44"/>
        </w:rPr>
        <w:t>开发区企业的年度会计报表，应当经在中国注册的会计师或者审计师验证并出具证明。</w:t>
      </w:r>
    </w:p>
    <w:p w14:paraId="4D8F4596">
      <w:pPr>
        <w:ind w:firstLine="422"/>
        <w:jc w:val="left"/>
        <w:rPr>
          <w:rFonts w:ascii="宋体" w:hAnsi="宋体"/>
          <w:kern w:val="44"/>
        </w:rPr>
      </w:pPr>
      <w:r>
        <w:rPr>
          <w:rFonts w:hint="eastAsia" w:ascii="宋体" w:hAnsi="宋体"/>
          <w:b/>
          <w:kern w:val="44"/>
        </w:rPr>
        <w:t>第十六条</w:t>
      </w:r>
      <w:r>
        <w:rPr>
          <w:rFonts w:hint="eastAsia" w:ascii="宋体" w:hAnsi="宋体"/>
          <w:kern w:val="44"/>
        </w:rPr>
        <w:t>　开发区的企业应当依照国家和本市环境保护和劳动保护的规定，采取切实有效措施，防止环境污染，改善劳动条件，保证劳动者在安全、卫生的条件下工作。</w:t>
      </w:r>
    </w:p>
    <w:p w14:paraId="223BC213">
      <w:pPr>
        <w:ind w:firstLine="422"/>
        <w:jc w:val="left"/>
        <w:rPr>
          <w:rFonts w:ascii="宋体" w:hAnsi="宋体"/>
          <w:kern w:val="44"/>
        </w:rPr>
      </w:pPr>
      <w:r>
        <w:rPr>
          <w:rFonts w:hint="eastAsia" w:ascii="宋体" w:hAnsi="宋体"/>
          <w:b/>
          <w:kern w:val="44"/>
        </w:rPr>
        <w:t>第十七条</w:t>
      </w:r>
      <w:r>
        <w:rPr>
          <w:rFonts w:hint="eastAsia" w:ascii="宋体" w:hAnsi="宋体"/>
          <w:kern w:val="44"/>
        </w:rPr>
        <w:t>　开发区的用人单位和劳动者应当依照法律、法规和本市的有关规定参加社会保险。</w:t>
      </w:r>
    </w:p>
    <w:p w14:paraId="49E955A4">
      <w:pPr>
        <w:ind w:firstLine="422"/>
        <w:jc w:val="left"/>
        <w:rPr>
          <w:rFonts w:ascii="宋体" w:hAnsi="宋体"/>
          <w:kern w:val="44"/>
        </w:rPr>
      </w:pPr>
      <w:r>
        <w:rPr>
          <w:rFonts w:hint="eastAsia" w:ascii="宋体" w:hAnsi="宋体"/>
          <w:b/>
          <w:kern w:val="44"/>
        </w:rPr>
        <w:t>第十八条</w:t>
      </w:r>
      <w:r>
        <w:rPr>
          <w:rFonts w:hint="eastAsia" w:ascii="宋体" w:hAnsi="宋体"/>
          <w:kern w:val="44"/>
        </w:rPr>
        <w:t>　开发区的企业解散或者破产，依照法律、法规的有关规定办理。</w:t>
      </w:r>
    </w:p>
    <w:p w14:paraId="10243FDC">
      <w:pPr>
        <w:spacing w:line="300" w:lineRule="exact"/>
        <w:jc w:val="left"/>
        <w:rPr>
          <w:rFonts w:ascii="宋体" w:hAnsi="宋体"/>
          <w:kern w:val="44"/>
        </w:rPr>
      </w:pPr>
    </w:p>
    <w:p w14:paraId="75460ECE">
      <w:pPr>
        <w:ind w:firstLine="0" w:firstLineChars="0"/>
        <w:jc w:val="center"/>
        <w:rPr>
          <w:rFonts w:ascii="宋体" w:hAnsi="宋体"/>
          <w:b/>
          <w:kern w:val="44"/>
          <w:sz w:val="28"/>
        </w:rPr>
      </w:pPr>
      <w:r>
        <w:rPr>
          <w:rFonts w:hint="eastAsia" w:ascii="宋体" w:hAnsi="宋体"/>
          <w:b/>
          <w:kern w:val="44"/>
          <w:sz w:val="28"/>
        </w:rPr>
        <w:t>第四章　优惠待遇</w:t>
      </w:r>
    </w:p>
    <w:p w14:paraId="26ED4A8C">
      <w:pPr>
        <w:spacing w:line="300" w:lineRule="exact"/>
        <w:jc w:val="left"/>
        <w:rPr>
          <w:rFonts w:ascii="宋体" w:hAnsi="宋体"/>
          <w:kern w:val="44"/>
        </w:rPr>
      </w:pPr>
    </w:p>
    <w:p w14:paraId="3B57764B">
      <w:pPr>
        <w:ind w:firstLine="422"/>
        <w:jc w:val="left"/>
        <w:rPr>
          <w:rFonts w:ascii="宋体" w:hAnsi="宋体"/>
          <w:kern w:val="44"/>
        </w:rPr>
      </w:pPr>
      <w:r>
        <w:rPr>
          <w:rFonts w:hint="eastAsia" w:ascii="宋体" w:hAnsi="宋体"/>
          <w:b/>
          <w:kern w:val="44"/>
        </w:rPr>
        <w:t>第十九条</w:t>
      </w:r>
      <w:r>
        <w:rPr>
          <w:rFonts w:hint="eastAsia" w:ascii="宋体" w:hAnsi="宋体"/>
          <w:kern w:val="44"/>
        </w:rPr>
        <w:t>　开发区的企业，分别享受下列优惠待遇：</w:t>
      </w:r>
    </w:p>
    <w:p w14:paraId="7A87C462">
      <w:pPr>
        <w:jc w:val="left"/>
        <w:rPr>
          <w:rFonts w:ascii="宋体" w:hAnsi="宋体"/>
          <w:kern w:val="44"/>
        </w:rPr>
      </w:pPr>
      <w:r>
        <w:rPr>
          <w:rFonts w:hint="eastAsia" w:ascii="宋体" w:hAnsi="宋体"/>
          <w:kern w:val="44"/>
        </w:rPr>
        <w:t>（一）外商投资企业享受国家规定的沿海开放城市经济技术开发区和本市规定的有关外商投资企业的优惠待遇；</w:t>
      </w:r>
    </w:p>
    <w:p w14:paraId="0DE5FFD9">
      <w:pPr>
        <w:jc w:val="left"/>
        <w:rPr>
          <w:rFonts w:ascii="宋体" w:hAnsi="宋体"/>
          <w:kern w:val="44"/>
        </w:rPr>
      </w:pPr>
      <w:r>
        <w:rPr>
          <w:rFonts w:hint="eastAsia" w:ascii="宋体" w:hAnsi="宋体"/>
          <w:kern w:val="44"/>
        </w:rPr>
        <w:t>（二）高新技术企业享受国家和本市规定的鼓励高新技术发展的优惠待遇；</w:t>
      </w:r>
    </w:p>
    <w:p w14:paraId="170B16B5">
      <w:pPr>
        <w:jc w:val="left"/>
        <w:rPr>
          <w:rFonts w:ascii="宋体" w:hAnsi="宋体"/>
          <w:kern w:val="44"/>
        </w:rPr>
      </w:pPr>
      <w:r>
        <w:rPr>
          <w:rFonts w:hint="eastAsia" w:ascii="宋体" w:hAnsi="宋体"/>
          <w:kern w:val="44"/>
        </w:rPr>
        <w:t>（三）国家和本市给予开发区企业的其他优惠待遇。</w:t>
      </w:r>
    </w:p>
    <w:p w14:paraId="1B51949D">
      <w:pPr>
        <w:ind w:firstLine="422"/>
        <w:jc w:val="left"/>
        <w:rPr>
          <w:rFonts w:ascii="宋体" w:hAnsi="宋体"/>
          <w:kern w:val="44"/>
        </w:rPr>
      </w:pPr>
      <w:r>
        <w:rPr>
          <w:rFonts w:hint="eastAsia" w:ascii="宋体" w:hAnsi="宋体"/>
          <w:b/>
          <w:kern w:val="44"/>
        </w:rPr>
        <w:t>第二十条</w:t>
      </w:r>
      <w:r>
        <w:rPr>
          <w:rFonts w:hint="eastAsia" w:ascii="宋体" w:hAnsi="宋体"/>
          <w:kern w:val="44"/>
        </w:rPr>
        <w:t>　开发区的生产、经营和生活所需水、电、燃气、热力，纳入本市计划，保证供应。</w:t>
      </w:r>
    </w:p>
    <w:p w14:paraId="3CD6CBCF">
      <w:pPr>
        <w:ind w:firstLine="422"/>
        <w:jc w:val="left"/>
        <w:rPr>
          <w:rFonts w:ascii="宋体" w:hAnsi="宋体"/>
          <w:kern w:val="44"/>
        </w:rPr>
      </w:pPr>
      <w:r>
        <w:rPr>
          <w:rFonts w:hint="eastAsia" w:ascii="宋体" w:hAnsi="宋体"/>
          <w:b/>
          <w:kern w:val="44"/>
        </w:rPr>
        <w:t>第二十一条</w:t>
      </w:r>
      <w:r>
        <w:rPr>
          <w:rFonts w:hint="eastAsia" w:ascii="宋体" w:hAnsi="宋体"/>
          <w:kern w:val="44"/>
        </w:rPr>
        <w:t>　经海关批准，开发区可以设立保税仓库、保税工厂和保税生产资料市场。</w:t>
      </w:r>
    </w:p>
    <w:p w14:paraId="575C5B89">
      <w:pPr>
        <w:ind w:firstLine="422"/>
        <w:jc w:val="left"/>
        <w:rPr>
          <w:rFonts w:ascii="宋体" w:hAnsi="宋体"/>
          <w:kern w:val="44"/>
        </w:rPr>
      </w:pPr>
      <w:r>
        <w:rPr>
          <w:rFonts w:hint="eastAsia" w:ascii="宋体" w:hAnsi="宋体"/>
          <w:b/>
          <w:kern w:val="44"/>
        </w:rPr>
        <w:t>第二十二条</w:t>
      </w:r>
      <w:r>
        <w:rPr>
          <w:rFonts w:hint="eastAsia" w:ascii="宋体" w:hAnsi="宋体"/>
          <w:kern w:val="44"/>
        </w:rPr>
        <w:t>　开发区的新增财政收入，自1995年起，五年内全部返还开发区，专项用于开发区建设。</w:t>
      </w:r>
    </w:p>
    <w:p w14:paraId="3D11835C">
      <w:pPr>
        <w:jc w:val="left"/>
        <w:rPr>
          <w:rFonts w:ascii="宋体" w:hAnsi="宋体"/>
          <w:kern w:val="44"/>
        </w:rPr>
      </w:pPr>
    </w:p>
    <w:p w14:paraId="6D353F97">
      <w:pPr>
        <w:ind w:firstLine="0" w:firstLineChars="0"/>
        <w:jc w:val="center"/>
        <w:rPr>
          <w:rFonts w:ascii="宋体" w:hAnsi="宋体"/>
          <w:b/>
          <w:kern w:val="44"/>
          <w:sz w:val="28"/>
        </w:rPr>
      </w:pPr>
      <w:r>
        <w:rPr>
          <w:rFonts w:hint="eastAsia" w:ascii="宋体" w:hAnsi="宋体"/>
          <w:b/>
          <w:kern w:val="44"/>
          <w:sz w:val="28"/>
        </w:rPr>
        <w:t>第五章　附　则</w:t>
      </w:r>
    </w:p>
    <w:p w14:paraId="66ACDC51">
      <w:pPr>
        <w:jc w:val="left"/>
        <w:rPr>
          <w:rFonts w:ascii="宋体" w:hAnsi="宋体"/>
          <w:kern w:val="44"/>
        </w:rPr>
      </w:pPr>
    </w:p>
    <w:p w14:paraId="168A3D51">
      <w:pPr>
        <w:ind w:firstLine="422"/>
        <w:jc w:val="left"/>
        <w:rPr>
          <w:rFonts w:ascii="宋体" w:hAnsi="宋体"/>
          <w:kern w:val="44"/>
        </w:rPr>
      </w:pPr>
      <w:r>
        <w:rPr>
          <w:rFonts w:hint="eastAsia" w:ascii="宋体" w:hAnsi="宋体"/>
          <w:b/>
          <w:kern w:val="44"/>
        </w:rPr>
        <w:t>第二十三条</w:t>
      </w:r>
      <w:r>
        <w:rPr>
          <w:rFonts w:hint="eastAsia" w:ascii="宋体" w:hAnsi="宋体"/>
          <w:kern w:val="44"/>
        </w:rPr>
        <w:t>　华侨和香港、澳门、台湾同胞在开发区投资兴办企业，除国家另有规定外，享受本条例给予外商投资企业的优惠待遇。</w:t>
      </w:r>
    </w:p>
    <w:p w14:paraId="0F1F6113">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市人民政府可以在开发区周边设立配套协作区。</w:t>
      </w:r>
    </w:p>
    <w:p w14:paraId="58E076A7">
      <w:pPr>
        <w:ind w:firstLine="422"/>
        <w:jc w:val="left"/>
        <w:rPr>
          <w:rFonts w:ascii="宋体" w:hAnsi="宋体"/>
          <w:kern w:val="44"/>
        </w:rPr>
      </w:pPr>
      <w:r>
        <w:rPr>
          <w:rFonts w:hint="eastAsia" w:ascii="宋体" w:hAnsi="宋体"/>
          <w:b/>
          <w:kern w:val="44"/>
        </w:rPr>
        <w:t>第二十五条</w:t>
      </w:r>
      <w:r>
        <w:rPr>
          <w:rFonts w:hint="eastAsia" w:ascii="宋体" w:hAnsi="宋体"/>
          <w:kern w:val="44"/>
        </w:rPr>
        <w:t>　本条例具体应用中的问题，由市人民政府负责解释。</w:t>
      </w:r>
    </w:p>
    <w:p w14:paraId="752D2820">
      <w:pPr>
        <w:ind w:firstLine="422"/>
        <w:jc w:val="left"/>
        <w:rPr>
          <w:rFonts w:ascii="宋体" w:hAnsi="宋体"/>
          <w:kern w:val="44"/>
        </w:rPr>
      </w:pPr>
      <w:r>
        <w:rPr>
          <w:rFonts w:hint="eastAsia" w:ascii="宋体" w:hAnsi="宋体"/>
          <w:b/>
          <w:kern w:val="44"/>
        </w:rPr>
        <w:t>第二十六条</w:t>
      </w:r>
      <w:r>
        <w:rPr>
          <w:rFonts w:hint="eastAsia" w:ascii="宋体" w:hAnsi="宋体"/>
          <w:kern w:val="44"/>
        </w:rPr>
        <w:t>　本条例自1995年6月1日起施行。</w:t>
      </w:r>
    </w:p>
    <w:p w14:paraId="6E6948A1">
      <w:pPr>
        <w:pStyle w:val="4"/>
        <w:pageBreakBefore/>
        <w:rPr>
          <w:kern w:val="44"/>
          <w:sz w:val="36"/>
          <w:szCs w:val="36"/>
        </w:rPr>
      </w:pPr>
      <w:bookmarkStart w:id="1424" w:name="_Toc427651637"/>
      <w:bookmarkStart w:id="1425" w:name="_Toc427651979"/>
      <w:bookmarkStart w:id="1426" w:name="_Toc428780203"/>
      <w:bookmarkStart w:id="1427" w:name="_Toc428781685"/>
      <w:bookmarkStart w:id="1428" w:name="_Toc422471372"/>
      <w:r>
        <w:rPr>
          <w:rFonts w:hint="eastAsia"/>
          <w:kern w:val="44"/>
          <w:sz w:val="36"/>
          <w:szCs w:val="36"/>
        </w:rPr>
        <w:t>北京市人民政府关于实施</w:t>
      </w:r>
      <w:bookmarkEnd w:id="1424"/>
      <w:bookmarkEnd w:id="1425"/>
      <w:bookmarkEnd w:id="1426"/>
      <w:bookmarkEnd w:id="1427"/>
      <w:bookmarkEnd w:id="1428"/>
    </w:p>
    <w:p w14:paraId="0A2587DB">
      <w:pPr>
        <w:pStyle w:val="4"/>
        <w:rPr>
          <w:kern w:val="44"/>
        </w:rPr>
      </w:pPr>
      <w:bookmarkStart w:id="1429" w:name="_Toc428781686"/>
      <w:bookmarkStart w:id="1430" w:name="_Toc427651980"/>
      <w:bookmarkStart w:id="1431" w:name="_Toc422471373"/>
      <w:bookmarkStart w:id="1432" w:name="_Toc427651638"/>
      <w:bookmarkStart w:id="1433" w:name="_Toc428780204"/>
      <w:r>
        <w:rPr>
          <w:rFonts w:hint="eastAsia"/>
          <w:kern w:val="44"/>
          <w:sz w:val="36"/>
          <w:szCs w:val="36"/>
        </w:rPr>
        <w:t>《北京经济技术开发区条例》办法</w:t>
      </w:r>
      <w:bookmarkEnd w:id="1429"/>
      <w:bookmarkEnd w:id="1430"/>
      <w:bookmarkEnd w:id="1431"/>
      <w:bookmarkEnd w:id="1432"/>
      <w:bookmarkEnd w:id="1433"/>
    </w:p>
    <w:p w14:paraId="76C45FA6">
      <w:pPr>
        <w:ind w:left="630" w:leftChars="300" w:right="630" w:rightChars="300"/>
        <w:jc w:val="left"/>
        <w:rPr>
          <w:rFonts w:ascii="楷体" w:hAnsi="楷体" w:eastAsia="楷体"/>
          <w:kern w:val="44"/>
        </w:rPr>
      </w:pPr>
      <w:r>
        <w:rPr>
          <w:rFonts w:hint="eastAsia" w:ascii="楷体" w:hAnsi="楷体" w:eastAsia="楷体"/>
          <w:kern w:val="44"/>
        </w:rPr>
        <w:t>（1998年4月29日北京市人民政府第3号令发布　根据2006年12月5日北京市人民政府第182号令修改）</w:t>
      </w:r>
    </w:p>
    <w:p w14:paraId="319106CF">
      <w:pPr>
        <w:jc w:val="left"/>
        <w:rPr>
          <w:rFonts w:ascii="宋体" w:hAnsi="宋体"/>
          <w:kern w:val="44"/>
        </w:rPr>
      </w:pPr>
    </w:p>
    <w:p w14:paraId="3E6389B4">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为了实施《北京经济技术开发区条例》（以下简称《条例》），加快北京经济技术开发区的建设和发展，制定本办法。</w:t>
      </w:r>
    </w:p>
    <w:p w14:paraId="0F82C033">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本办法适用于国务院批准的北京经济技术开发区（以下简称开发区）规划范围内的开发、建设和管理。</w:t>
      </w:r>
    </w:p>
    <w:p w14:paraId="37605A48">
      <w:pPr>
        <w:jc w:val="left"/>
        <w:rPr>
          <w:rFonts w:ascii="宋体" w:hAnsi="宋体"/>
          <w:kern w:val="44"/>
        </w:rPr>
      </w:pPr>
      <w:r>
        <w:rPr>
          <w:rFonts w:hint="eastAsia" w:ascii="宋体" w:hAnsi="宋体"/>
          <w:kern w:val="44"/>
        </w:rPr>
        <w:t>北京经济技术开发区管理委员会（以下简称开发区管委会）代表市人民政府对开发区实行统一领导和管理。</w:t>
      </w:r>
    </w:p>
    <w:p w14:paraId="4D46D9AC">
      <w:pPr>
        <w:ind w:firstLine="422"/>
        <w:jc w:val="left"/>
        <w:rPr>
          <w:rFonts w:ascii="宋体" w:hAnsi="宋体"/>
          <w:kern w:val="44"/>
        </w:rPr>
      </w:pPr>
      <w:r>
        <w:rPr>
          <w:rFonts w:hint="eastAsia" w:ascii="宋体" w:hAnsi="宋体"/>
          <w:b/>
          <w:kern w:val="44"/>
        </w:rPr>
        <w:t>第三条</w:t>
      </w:r>
      <w:r>
        <w:rPr>
          <w:rFonts w:hint="eastAsia" w:ascii="宋体" w:hAnsi="宋体"/>
          <w:kern w:val="44"/>
        </w:rPr>
        <w:t>　开发区管委会对开发区内各项建设活动依法实施统一的规划管理。开发区规划管理部门在业务上受市规划管理部门领导，主要负责以下事项：</w:t>
      </w:r>
    </w:p>
    <w:p w14:paraId="0A477AAC">
      <w:pPr>
        <w:jc w:val="left"/>
        <w:rPr>
          <w:rFonts w:ascii="宋体" w:hAnsi="宋体"/>
          <w:kern w:val="44"/>
        </w:rPr>
      </w:pPr>
      <w:r>
        <w:rPr>
          <w:rFonts w:hint="eastAsia" w:ascii="宋体" w:hAnsi="宋体"/>
          <w:kern w:val="44"/>
        </w:rPr>
        <w:t>（一）按照《北京城市总体规划》和《亦庄新城规划》，会同有关部门组织编制和修订开发区总体规划，经市规划管理部门审核并报市人民政府批准后实施；</w:t>
      </w:r>
    </w:p>
    <w:p w14:paraId="34333D45">
      <w:pPr>
        <w:jc w:val="left"/>
        <w:rPr>
          <w:rFonts w:ascii="宋体" w:hAnsi="宋体"/>
          <w:kern w:val="44"/>
        </w:rPr>
      </w:pPr>
      <w:r>
        <w:rPr>
          <w:rFonts w:hint="eastAsia" w:ascii="宋体" w:hAnsi="宋体"/>
          <w:kern w:val="44"/>
        </w:rPr>
        <w:t>（二）组织编制开发区详细规划和各专业规划，报开发区管委会审定后，按国家和本市有关规定报送市规划管理部门备案，其中控制性详细规划方案报市规划管理部门审批；</w:t>
      </w:r>
    </w:p>
    <w:p w14:paraId="1F5EE6A0">
      <w:pPr>
        <w:jc w:val="left"/>
        <w:rPr>
          <w:rFonts w:ascii="宋体" w:hAnsi="宋体"/>
          <w:kern w:val="44"/>
        </w:rPr>
      </w:pPr>
      <w:r>
        <w:rPr>
          <w:rFonts w:hint="eastAsia" w:ascii="宋体" w:hAnsi="宋体"/>
          <w:kern w:val="44"/>
        </w:rPr>
        <w:t>（三）承办开发区建设用地的规划申报，涉及征收开发区范围内集体所有土地的，根据本市土地利用年度计划和开发区管委会开发建设计划确定集中征地范围，在依法办理农用地转用审批手续前，报市规划管理部门审核同意，经市人民政府批准，由市规划管理部门核发建设用地规划许可证；</w:t>
      </w:r>
    </w:p>
    <w:p w14:paraId="4FC5BC87">
      <w:pPr>
        <w:jc w:val="left"/>
        <w:rPr>
          <w:rFonts w:ascii="宋体" w:hAnsi="宋体"/>
          <w:kern w:val="44"/>
        </w:rPr>
      </w:pPr>
      <w:r>
        <w:rPr>
          <w:rFonts w:hint="eastAsia" w:ascii="宋体" w:hAnsi="宋体"/>
          <w:kern w:val="44"/>
        </w:rPr>
        <w:t>（四）受理在市人民政府批准的用地范围内具体项目的建设用地的规划审批申请，按照规定程序核发建设用地规划许可证，并报送市规划管理部门备案；</w:t>
      </w:r>
    </w:p>
    <w:p w14:paraId="49255894">
      <w:pPr>
        <w:jc w:val="left"/>
        <w:rPr>
          <w:rFonts w:ascii="宋体" w:hAnsi="宋体"/>
          <w:kern w:val="44"/>
        </w:rPr>
      </w:pPr>
      <w:r>
        <w:rPr>
          <w:rFonts w:hint="eastAsia" w:ascii="宋体" w:hAnsi="宋体"/>
          <w:kern w:val="44"/>
        </w:rPr>
        <w:t>（五）承担开发区内建设工程的规划管理工作，经开发区管委会依据《北京城市总体规划》、《亦庄新城规划》、控制性详细规划以及各类专项规划批准，核发建设工程规划许可证，并报送市规划管理部门备案；</w:t>
      </w:r>
    </w:p>
    <w:p w14:paraId="6B36150C">
      <w:pPr>
        <w:jc w:val="left"/>
        <w:rPr>
          <w:rFonts w:ascii="宋体" w:hAnsi="宋体"/>
          <w:kern w:val="44"/>
        </w:rPr>
      </w:pPr>
      <w:r>
        <w:rPr>
          <w:rFonts w:hint="eastAsia" w:ascii="宋体" w:hAnsi="宋体"/>
          <w:kern w:val="44"/>
        </w:rPr>
        <w:t>（六）参加开发区内建设工程竣工验收，并按国家和本市有关规定管理建设工程竣工档案。</w:t>
      </w:r>
    </w:p>
    <w:p w14:paraId="7763788C">
      <w:pPr>
        <w:ind w:firstLine="422"/>
        <w:jc w:val="left"/>
        <w:rPr>
          <w:rFonts w:ascii="宋体" w:hAnsi="宋体"/>
          <w:kern w:val="44"/>
        </w:rPr>
      </w:pPr>
      <w:r>
        <w:rPr>
          <w:rFonts w:hint="eastAsia" w:ascii="宋体" w:hAnsi="宋体"/>
          <w:b/>
          <w:kern w:val="44"/>
        </w:rPr>
        <w:t>第四条</w:t>
      </w:r>
      <w:r>
        <w:rPr>
          <w:rFonts w:hint="eastAsia" w:ascii="宋体" w:hAnsi="宋体"/>
          <w:kern w:val="44"/>
        </w:rPr>
        <w:t>　开发区管委会按照开发区的总体规划，对开发区的土地、房屋依法实施统一管理。开发区国土资源管理部门、房屋管理部门在业务上接受市国土资源管理部门、建设管理部门的指导和监督，主要负责以下事项：</w:t>
      </w:r>
    </w:p>
    <w:p w14:paraId="397DC4B4">
      <w:pPr>
        <w:jc w:val="left"/>
        <w:rPr>
          <w:rFonts w:ascii="宋体" w:hAnsi="宋体"/>
          <w:kern w:val="44"/>
        </w:rPr>
      </w:pPr>
      <w:r>
        <w:rPr>
          <w:rFonts w:hint="eastAsia" w:ascii="宋体" w:hAnsi="宋体"/>
          <w:kern w:val="44"/>
        </w:rPr>
        <w:t>（一）依据本市土地利用年度计划中的农用地转用计划指标办理开发区规划范围内农用地转用和征收集体土地手续，经被征收土地所在地的区人民政府审核同意后，按规定程序报市人民政府批准；</w:t>
      </w:r>
    </w:p>
    <w:p w14:paraId="0E09A6DD">
      <w:pPr>
        <w:jc w:val="left"/>
        <w:rPr>
          <w:rFonts w:ascii="宋体" w:hAnsi="宋体"/>
          <w:kern w:val="44"/>
        </w:rPr>
      </w:pPr>
      <w:r>
        <w:rPr>
          <w:rFonts w:hint="eastAsia" w:ascii="宋体" w:hAnsi="宋体"/>
          <w:kern w:val="44"/>
        </w:rPr>
        <w:t>（二）依据国家和本市有关规定办理开发区内国有土地使用权出让手续；</w:t>
      </w:r>
    </w:p>
    <w:p w14:paraId="34131B0A">
      <w:pPr>
        <w:jc w:val="left"/>
        <w:rPr>
          <w:rFonts w:ascii="宋体" w:hAnsi="宋体"/>
          <w:kern w:val="44"/>
        </w:rPr>
      </w:pPr>
      <w:r>
        <w:rPr>
          <w:rFonts w:hint="eastAsia" w:ascii="宋体" w:hAnsi="宋体"/>
          <w:kern w:val="44"/>
        </w:rPr>
        <w:t>（三）受理开发区内国有土地使用权登记申请，按规定报市人民政府批准后，代发国有土地使用证；</w:t>
      </w:r>
    </w:p>
    <w:p w14:paraId="0A703668">
      <w:pPr>
        <w:jc w:val="left"/>
        <w:rPr>
          <w:rFonts w:ascii="宋体" w:hAnsi="宋体"/>
          <w:kern w:val="44"/>
        </w:rPr>
      </w:pPr>
      <w:r>
        <w:rPr>
          <w:rFonts w:hint="eastAsia" w:ascii="宋体" w:hAnsi="宋体"/>
          <w:kern w:val="44"/>
        </w:rPr>
        <w:t>（四）承担开发区内房屋产权登记发证和房屋买卖、租赁、抵押、商品房预（销）售等房地产市场的管理工作；</w:t>
      </w:r>
    </w:p>
    <w:p w14:paraId="6D2209F0">
      <w:pPr>
        <w:jc w:val="left"/>
        <w:rPr>
          <w:rFonts w:ascii="宋体" w:hAnsi="宋体"/>
          <w:kern w:val="44"/>
        </w:rPr>
      </w:pPr>
      <w:r>
        <w:rPr>
          <w:rFonts w:hint="eastAsia" w:ascii="宋体" w:hAnsi="宋体"/>
          <w:kern w:val="44"/>
        </w:rPr>
        <w:t>（五）审核开发区内房地产中介机构和物业管理单位的资质；</w:t>
      </w:r>
    </w:p>
    <w:p w14:paraId="62E12ECA">
      <w:pPr>
        <w:jc w:val="left"/>
        <w:rPr>
          <w:rFonts w:ascii="宋体" w:hAnsi="宋体"/>
          <w:kern w:val="44"/>
        </w:rPr>
      </w:pPr>
      <w:r>
        <w:rPr>
          <w:rFonts w:hint="eastAsia" w:ascii="宋体" w:hAnsi="宋体"/>
          <w:kern w:val="44"/>
        </w:rPr>
        <w:t>（六）会同房屋所在地的区建设管理部门协调处理开发区内房屋拆迁工作。</w:t>
      </w:r>
    </w:p>
    <w:p w14:paraId="4E153D65">
      <w:pPr>
        <w:ind w:firstLine="422"/>
        <w:jc w:val="left"/>
        <w:rPr>
          <w:rFonts w:ascii="宋体" w:hAnsi="宋体"/>
          <w:kern w:val="44"/>
        </w:rPr>
      </w:pPr>
      <w:r>
        <w:rPr>
          <w:rFonts w:hint="eastAsia" w:ascii="宋体" w:hAnsi="宋体"/>
          <w:b/>
          <w:kern w:val="44"/>
        </w:rPr>
        <w:t>第五条</w:t>
      </w:r>
      <w:r>
        <w:rPr>
          <w:rFonts w:hint="eastAsia" w:ascii="宋体" w:hAnsi="宋体"/>
          <w:kern w:val="44"/>
        </w:rPr>
        <w:t>　开发区管委会按照规定权限审批、核准开发区各类投资项目。开发区发展改革部门在业务上接受市发展改革部门的指导和监督，主要负责以下事项：</w:t>
      </w:r>
    </w:p>
    <w:p w14:paraId="6546816B">
      <w:pPr>
        <w:jc w:val="left"/>
        <w:rPr>
          <w:rFonts w:ascii="宋体" w:hAnsi="宋体"/>
          <w:kern w:val="44"/>
        </w:rPr>
      </w:pPr>
      <w:r>
        <w:rPr>
          <w:rFonts w:hint="eastAsia" w:ascii="宋体" w:hAnsi="宋体"/>
          <w:kern w:val="44"/>
        </w:rPr>
        <w:t>（一）受理《外商投资企业项目指导目录》中总投资（含增资额）1亿美元以下的鼓励类、允许类外商投资的项目和《政府核准的投资项目目录》中规定由地方政府投资主管部门核准的项目申请，报开发区管委会核准。但涉及全市能源总量平衡的项目，水资源开发、利用和配置的项目，日产2万立方米以上的城市供水、排水项目，跨开发区规划范围的项目以及本市规定由市发展改革部门核准的其他项目除外；</w:t>
      </w:r>
    </w:p>
    <w:p w14:paraId="0F56D9BB">
      <w:pPr>
        <w:jc w:val="left"/>
        <w:rPr>
          <w:rFonts w:ascii="宋体" w:hAnsi="宋体"/>
          <w:kern w:val="44"/>
        </w:rPr>
      </w:pPr>
      <w:r>
        <w:rPr>
          <w:rFonts w:hint="eastAsia" w:ascii="宋体" w:hAnsi="宋体"/>
          <w:kern w:val="44"/>
        </w:rPr>
        <w:t>（二）受理不使用政府投资，在《北京市政府核准的投资项目目录细则》以外的国内企业投资建设项目立项备案申请，报开发区管委会决定；</w:t>
      </w:r>
    </w:p>
    <w:p w14:paraId="7A964384">
      <w:pPr>
        <w:jc w:val="left"/>
        <w:rPr>
          <w:rFonts w:ascii="宋体" w:hAnsi="宋体"/>
          <w:kern w:val="44"/>
        </w:rPr>
      </w:pPr>
      <w:r>
        <w:rPr>
          <w:rFonts w:hint="eastAsia" w:ascii="宋体" w:hAnsi="宋体"/>
          <w:kern w:val="44"/>
        </w:rPr>
        <w:t>（三）协助企业做好由市发展改革部门或者国务院发展改革部门审批或者核准权限内项目的申报工作。</w:t>
      </w:r>
    </w:p>
    <w:p w14:paraId="53785A73">
      <w:pPr>
        <w:ind w:firstLine="422"/>
        <w:jc w:val="left"/>
        <w:rPr>
          <w:rFonts w:ascii="宋体" w:hAnsi="宋体"/>
          <w:kern w:val="44"/>
        </w:rPr>
      </w:pPr>
      <w:r>
        <w:rPr>
          <w:rFonts w:hint="eastAsia" w:ascii="宋体" w:hAnsi="宋体"/>
          <w:b/>
          <w:kern w:val="44"/>
        </w:rPr>
        <w:t>第六条</w:t>
      </w:r>
      <w:r>
        <w:rPr>
          <w:rFonts w:hint="eastAsia" w:ascii="宋体" w:hAnsi="宋体"/>
          <w:kern w:val="44"/>
        </w:rPr>
        <w:t>　开发区管委会按照规定权限审核、批准在开发区申请设立的外商投资企业。开发区商务部门在业务上接受市商务部门的指导和监督，主要负责以下事项：</w:t>
      </w:r>
    </w:p>
    <w:p w14:paraId="04F0FEAE">
      <w:pPr>
        <w:jc w:val="left"/>
        <w:rPr>
          <w:rFonts w:ascii="宋体" w:hAnsi="宋体"/>
          <w:kern w:val="44"/>
        </w:rPr>
      </w:pPr>
      <w:r>
        <w:rPr>
          <w:rFonts w:hint="eastAsia" w:ascii="宋体" w:hAnsi="宋体"/>
          <w:kern w:val="44"/>
        </w:rPr>
        <w:t>（一）受理投资总额在1亿美元以下的非限制类中外合资、合作企业章程、合同和外商独资企业章程审查的申请，报开发区管委会批准；</w:t>
      </w:r>
    </w:p>
    <w:p w14:paraId="24E27225">
      <w:pPr>
        <w:jc w:val="left"/>
        <w:rPr>
          <w:rFonts w:ascii="宋体" w:hAnsi="宋体"/>
          <w:kern w:val="44"/>
        </w:rPr>
      </w:pPr>
      <w:r>
        <w:rPr>
          <w:rFonts w:hint="eastAsia" w:ascii="宋体" w:hAnsi="宋体"/>
          <w:kern w:val="44"/>
        </w:rPr>
        <w:t>（二）核发市商务部门委托开发区管委会代发的外商投资企业批准证书；</w:t>
      </w:r>
    </w:p>
    <w:p w14:paraId="5D8E2B61">
      <w:pPr>
        <w:jc w:val="left"/>
        <w:rPr>
          <w:rFonts w:ascii="宋体" w:hAnsi="宋体"/>
          <w:kern w:val="44"/>
        </w:rPr>
      </w:pPr>
      <w:r>
        <w:rPr>
          <w:rFonts w:hint="eastAsia" w:ascii="宋体" w:hAnsi="宋体"/>
          <w:kern w:val="44"/>
        </w:rPr>
        <w:t>（三）受理开发区内外商投资先进技术企业认定的申请，按规定报市商务部门认定；</w:t>
      </w:r>
    </w:p>
    <w:p w14:paraId="04462431">
      <w:pPr>
        <w:jc w:val="left"/>
        <w:rPr>
          <w:rFonts w:ascii="宋体" w:hAnsi="宋体"/>
          <w:kern w:val="44"/>
        </w:rPr>
      </w:pPr>
      <w:r>
        <w:rPr>
          <w:rFonts w:hint="eastAsia" w:ascii="宋体" w:hAnsi="宋体"/>
          <w:kern w:val="44"/>
        </w:rPr>
        <w:t>（四）受理开发区内外商投资企业投资项下的非许可证、非配额管理的进出口设备、物料、机电产品及加工贸易合同的审核申请，报开发区管委会批准或者转报市商务部门。</w:t>
      </w:r>
    </w:p>
    <w:p w14:paraId="4B15B762">
      <w:pPr>
        <w:ind w:firstLine="422"/>
        <w:jc w:val="left"/>
        <w:rPr>
          <w:rFonts w:ascii="宋体" w:hAnsi="宋体"/>
          <w:kern w:val="44"/>
        </w:rPr>
      </w:pPr>
      <w:r>
        <w:rPr>
          <w:rFonts w:hint="eastAsia" w:ascii="宋体" w:hAnsi="宋体"/>
          <w:b/>
          <w:kern w:val="44"/>
        </w:rPr>
        <w:t>第七条</w:t>
      </w:r>
      <w:r>
        <w:rPr>
          <w:rFonts w:hint="eastAsia" w:ascii="宋体" w:hAnsi="宋体"/>
          <w:kern w:val="44"/>
        </w:rPr>
        <w:t>　开发区管委会统一管理开发区内的城市建设。开发区建设管理部门在业务上接受市建设管理部门的指导和监督，主要负责以下事项：</w:t>
      </w:r>
    </w:p>
    <w:p w14:paraId="4C8AA47C">
      <w:pPr>
        <w:jc w:val="left"/>
        <w:rPr>
          <w:rFonts w:ascii="宋体" w:hAnsi="宋体"/>
          <w:kern w:val="44"/>
        </w:rPr>
      </w:pPr>
      <w:r>
        <w:rPr>
          <w:rFonts w:hint="eastAsia" w:ascii="宋体" w:hAnsi="宋体"/>
          <w:kern w:val="44"/>
        </w:rPr>
        <w:t>（一）依据有关法律、法规和规章，管理开发区内建筑市场和建筑行业；</w:t>
      </w:r>
    </w:p>
    <w:p w14:paraId="10B54A75">
      <w:pPr>
        <w:jc w:val="left"/>
        <w:rPr>
          <w:rFonts w:ascii="宋体" w:hAnsi="宋体"/>
          <w:kern w:val="44"/>
        </w:rPr>
      </w:pPr>
      <w:r>
        <w:rPr>
          <w:rFonts w:hint="eastAsia" w:ascii="宋体" w:hAnsi="宋体"/>
          <w:kern w:val="44"/>
        </w:rPr>
        <w:t>（二）管理由开发区管委会批准的建设项目的招标投标、建筑质量和建筑施工；</w:t>
      </w:r>
    </w:p>
    <w:p w14:paraId="1789BEBB">
      <w:pPr>
        <w:jc w:val="left"/>
        <w:rPr>
          <w:rFonts w:ascii="宋体" w:hAnsi="宋体"/>
          <w:kern w:val="44"/>
        </w:rPr>
      </w:pPr>
      <w:r>
        <w:rPr>
          <w:rFonts w:hint="eastAsia" w:ascii="宋体" w:hAnsi="宋体"/>
          <w:kern w:val="44"/>
        </w:rPr>
        <w:t>（三）审批开发区内建设工程开工，核发建筑工程施工许可证。</w:t>
      </w:r>
    </w:p>
    <w:p w14:paraId="7C29FAB7">
      <w:pPr>
        <w:ind w:firstLine="422"/>
        <w:jc w:val="left"/>
        <w:rPr>
          <w:rFonts w:ascii="宋体" w:hAnsi="宋体"/>
          <w:kern w:val="44"/>
        </w:rPr>
      </w:pPr>
      <w:r>
        <w:rPr>
          <w:rFonts w:hint="eastAsia" w:ascii="宋体" w:hAnsi="宋体"/>
          <w:b/>
          <w:kern w:val="44"/>
        </w:rPr>
        <w:t>第八条</w:t>
      </w:r>
      <w:r>
        <w:rPr>
          <w:rFonts w:hint="eastAsia" w:ascii="宋体" w:hAnsi="宋体"/>
          <w:kern w:val="44"/>
        </w:rPr>
        <w:t>　开发区管委会统一规划、建设和管理开发区各项基础设施和公共设施。开发区市政管理部门在业务上接受市市政管理、园林绿化、交通、水务等管理部门的指导和监督，主要负责以下事项：</w:t>
      </w:r>
    </w:p>
    <w:p w14:paraId="08C83538">
      <w:pPr>
        <w:jc w:val="left"/>
        <w:rPr>
          <w:rFonts w:ascii="宋体" w:hAnsi="宋体"/>
          <w:kern w:val="44"/>
        </w:rPr>
      </w:pPr>
      <w:r>
        <w:rPr>
          <w:rFonts w:hint="eastAsia" w:ascii="宋体" w:hAnsi="宋体"/>
          <w:kern w:val="44"/>
        </w:rPr>
        <w:t>（一）建设和管理开发区内道路、公共交通、供热等市政工程设施；</w:t>
      </w:r>
    </w:p>
    <w:p w14:paraId="404B28D9">
      <w:pPr>
        <w:jc w:val="left"/>
        <w:rPr>
          <w:rFonts w:ascii="宋体" w:hAnsi="宋体"/>
          <w:kern w:val="44"/>
        </w:rPr>
      </w:pPr>
      <w:r>
        <w:rPr>
          <w:rFonts w:hint="eastAsia" w:ascii="宋体" w:hAnsi="宋体"/>
          <w:kern w:val="44"/>
        </w:rPr>
        <w:t>（二）管理开发区内园林绿化和市容环境卫生工作；</w:t>
      </w:r>
    </w:p>
    <w:p w14:paraId="6A679F12">
      <w:pPr>
        <w:jc w:val="left"/>
        <w:rPr>
          <w:rFonts w:ascii="宋体" w:hAnsi="宋体"/>
          <w:kern w:val="44"/>
        </w:rPr>
      </w:pPr>
      <w:r>
        <w:rPr>
          <w:rFonts w:hint="eastAsia" w:ascii="宋体" w:hAnsi="宋体"/>
          <w:kern w:val="44"/>
        </w:rPr>
        <w:t>（三）管理开发区供水、排水、污水处理等水务工作；</w:t>
      </w:r>
    </w:p>
    <w:p w14:paraId="40BC1051">
      <w:pPr>
        <w:jc w:val="left"/>
        <w:rPr>
          <w:rFonts w:ascii="宋体" w:hAnsi="宋体"/>
          <w:kern w:val="44"/>
        </w:rPr>
      </w:pPr>
      <w:r>
        <w:rPr>
          <w:rFonts w:hint="eastAsia" w:ascii="宋体" w:hAnsi="宋体"/>
          <w:kern w:val="44"/>
        </w:rPr>
        <w:t>（四）依法征收绿化补偿费。</w:t>
      </w:r>
    </w:p>
    <w:p w14:paraId="07A4F513">
      <w:pPr>
        <w:ind w:firstLine="422"/>
        <w:jc w:val="left"/>
        <w:rPr>
          <w:rFonts w:ascii="宋体" w:hAnsi="宋体"/>
          <w:kern w:val="44"/>
        </w:rPr>
      </w:pPr>
      <w:r>
        <w:rPr>
          <w:rFonts w:hint="eastAsia" w:ascii="宋体" w:hAnsi="宋体"/>
          <w:b/>
          <w:kern w:val="44"/>
        </w:rPr>
        <w:t>第九条</w:t>
      </w:r>
      <w:r>
        <w:rPr>
          <w:rFonts w:hint="eastAsia" w:ascii="宋体" w:hAnsi="宋体"/>
          <w:kern w:val="44"/>
        </w:rPr>
        <w:t>　开发区管委会统一管理开发区环境保护工作。开发区环境保护管理部门在业务上接受市环境保护管理部门的指导和监督，主要负责以下事项：</w:t>
      </w:r>
    </w:p>
    <w:p w14:paraId="1F8F2227">
      <w:pPr>
        <w:jc w:val="left"/>
        <w:rPr>
          <w:rFonts w:ascii="宋体" w:hAnsi="宋体"/>
          <w:kern w:val="44"/>
        </w:rPr>
      </w:pPr>
      <w:r>
        <w:rPr>
          <w:rFonts w:hint="eastAsia" w:ascii="宋体" w:hAnsi="宋体"/>
          <w:kern w:val="44"/>
        </w:rPr>
        <w:t>（一）组织编制开发区内的环境保护规划和年度计划，报开发区管委会批准后组织实施；</w:t>
      </w:r>
    </w:p>
    <w:p w14:paraId="392A0709">
      <w:pPr>
        <w:jc w:val="left"/>
        <w:rPr>
          <w:rFonts w:ascii="宋体" w:hAnsi="宋体"/>
          <w:kern w:val="44"/>
        </w:rPr>
      </w:pPr>
      <w:r>
        <w:rPr>
          <w:rFonts w:hint="eastAsia" w:ascii="宋体" w:hAnsi="宋体"/>
          <w:kern w:val="44"/>
        </w:rPr>
        <w:t>（二）监测开发区内的环境质量；</w:t>
      </w:r>
    </w:p>
    <w:p w14:paraId="506ABAD2">
      <w:pPr>
        <w:jc w:val="left"/>
        <w:rPr>
          <w:rFonts w:ascii="宋体" w:hAnsi="宋体"/>
          <w:kern w:val="44"/>
        </w:rPr>
      </w:pPr>
      <w:r>
        <w:rPr>
          <w:rFonts w:hint="eastAsia" w:ascii="宋体" w:hAnsi="宋体"/>
          <w:kern w:val="44"/>
        </w:rPr>
        <w:t>（三）审批开发区内新建、扩建、改建工程项目环境影响评价文件，参加环境保护设施的竣工验收；</w:t>
      </w:r>
    </w:p>
    <w:p w14:paraId="38CB13B7">
      <w:pPr>
        <w:jc w:val="left"/>
        <w:rPr>
          <w:rFonts w:ascii="宋体" w:hAnsi="宋体"/>
          <w:kern w:val="44"/>
        </w:rPr>
      </w:pPr>
      <w:r>
        <w:rPr>
          <w:rFonts w:hint="eastAsia" w:ascii="宋体" w:hAnsi="宋体"/>
          <w:kern w:val="44"/>
        </w:rPr>
        <w:t>（四）承办开发区内污染物排放申报登记，依据市环境保护管理部门核定的污染物排放总量指标，实施污染物排放总量控制，核发污染物排放许可证，对超标排放污染物的单位责令限期治理；</w:t>
      </w:r>
    </w:p>
    <w:p w14:paraId="07D63FA8">
      <w:pPr>
        <w:jc w:val="left"/>
        <w:rPr>
          <w:rFonts w:ascii="宋体" w:hAnsi="宋体"/>
          <w:kern w:val="44"/>
        </w:rPr>
      </w:pPr>
      <w:r>
        <w:rPr>
          <w:rFonts w:hint="eastAsia" w:ascii="宋体" w:hAnsi="宋体"/>
          <w:kern w:val="44"/>
        </w:rPr>
        <w:t>（五）处理环境污染纠纷及污染事故，并按规定及时上报；</w:t>
      </w:r>
    </w:p>
    <w:p w14:paraId="3EB8A53E">
      <w:pPr>
        <w:jc w:val="left"/>
        <w:rPr>
          <w:rFonts w:ascii="宋体" w:hAnsi="宋体"/>
          <w:kern w:val="44"/>
        </w:rPr>
      </w:pPr>
      <w:r>
        <w:rPr>
          <w:rFonts w:hint="eastAsia" w:ascii="宋体" w:hAnsi="宋体"/>
          <w:kern w:val="44"/>
        </w:rPr>
        <w:t>（六）依法征收开发区内的污染物排污费和超标排污费。</w:t>
      </w:r>
    </w:p>
    <w:p w14:paraId="0411F69E">
      <w:pPr>
        <w:ind w:firstLine="422"/>
        <w:jc w:val="left"/>
        <w:rPr>
          <w:rFonts w:ascii="宋体" w:hAnsi="宋体"/>
          <w:kern w:val="44"/>
        </w:rPr>
      </w:pPr>
      <w:r>
        <w:rPr>
          <w:rFonts w:hint="eastAsia" w:ascii="宋体" w:hAnsi="宋体"/>
          <w:b/>
          <w:kern w:val="44"/>
        </w:rPr>
        <w:t>第十条</w:t>
      </w:r>
      <w:r>
        <w:rPr>
          <w:rFonts w:hint="eastAsia" w:ascii="宋体" w:hAnsi="宋体"/>
          <w:kern w:val="44"/>
        </w:rPr>
        <w:t>　开发区管委会统一管理开发区的人事、劳动和社会保障工作。开发区人事、劳动和社会保障管理部门在业务上接受市人事、劳动和社会保障管理部门的指导和监督，主要负责以下事项：</w:t>
      </w:r>
    </w:p>
    <w:p w14:paraId="56DDA262">
      <w:pPr>
        <w:jc w:val="left"/>
        <w:rPr>
          <w:rFonts w:ascii="宋体" w:hAnsi="宋体"/>
          <w:kern w:val="44"/>
        </w:rPr>
      </w:pPr>
      <w:r>
        <w:rPr>
          <w:rFonts w:hint="eastAsia" w:ascii="宋体" w:hAnsi="宋体"/>
          <w:kern w:val="44"/>
        </w:rPr>
        <w:t>（一）组织实施开发区内促进就业和人才市场、劳动力市场管理服务工作；</w:t>
      </w:r>
    </w:p>
    <w:p w14:paraId="13B32F63">
      <w:pPr>
        <w:jc w:val="left"/>
        <w:rPr>
          <w:rFonts w:ascii="宋体" w:hAnsi="宋体"/>
          <w:kern w:val="44"/>
        </w:rPr>
      </w:pPr>
      <w:r>
        <w:rPr>
          <w:rFonts w:hint="eastAsia" w:ascii="宋体" w:hAnsi="宋体"/>
          <w:kern w:val="44"/>
        </w:rPr>
        <w:t>（二）管理开发区内的劳动合同和集体合同，核定工时，实施职业技能开发，依法开展劳动保障监察，处理劳动争议案件；</w:t>
      </w:r>
    </w:p>
    <w:p w14:paraId="67D85051">
      <w:pPr>
        <w:jc w:val="left"/>
        <w:rPr>
          <w:rFonts w:ascii="宋体" w:hAnsi="宋体"/>
          <w:kern w:val="44"/>
        </w:rPr>
      </w:pPr>
      <w:r>
        <w:rPr>
          <w:rFonts w:hint="eastAsia" w:ascii="宋体" w:hAnsi="宋体"/>
          <w:kern w:val="44"/>
        </w:rPr>
        <w:t>（三）管理社会保险基金、开展工伤认定及劳动能力鉴定等各项社会保障工作。</w:t>
      </w:r>
    </w:p>
    <w:p w14:paraId="06A2C267">
      <w:pPr>
        <w:ind w:firstLine="422"/>
        <w:jc w:val="left"/>
        <w:rPr>
          <w:rFonts w:ascii="宋体" w:hAnsi="宋体"/>
          <w:kern w:val="44"/>
        </w:rPr>
      </w:pPr>
      <w:r>
        <w:rPr>
          <w:rFonts w:hint="eastAsia" w:ascii="宋体" w:hAnsi="宋体"/>
          <w:b/>
          <w:kern w:val="44"/>
        </w:rPr>
        <w:t>第十一条</w:t>
      </w:r>
      <w:r>
        <w:rPr>
          <w:rFonts w:hint="eastAsia" w:ascii="宋体" w:hAnsi="宋体"/>
          <w:kern w:val="44"/>
        </w:rPr>
        <w:t>　开发区管委会统一管理开发区的统计工作。开发区统计部门在业务上接受市统计部门的指导和监督，主要负责以下事项：</w:t>
      </w:r>
    </w:p>
    <w:p w14:paraId="374F2A84">
      <w:pPr>
        <w:jc w:val="left"/>
        <w:rPr>
          <w:rFonts w:ascii="宋体" w:hAnsi="宋体"/>
          <w:kern w:val="44"/>
        </w:rPr>
      </w:pPr>
      <w:r>
        <w:rPr>
          <w:rFonts w:hint="eastAsia" w:ascii="宋体" w:hAnsi="宋体"/>
          <w:kern w:val="44"/>
        </w:rPr>
        <w:t>（一）负责开发区内各单位统计管理工作；</w:t>
      </w:r>
    </w:p>
    <w:p w14:paraId="2200D928">
      <w:pPr>
        <w:jc w:val="left"/>
        <w:rPr>
          <w:rFonts w:ascii="宋体" w:hAnsi="宋体"/>
          <w:kern w:val="44"/>
        </w:rPr>
      </w:pPr>
      <w:r>
        <w:rPr>
          <w:rFonts w:hint="eastAsia" w:ascii="宋体" w:hAnsi="宋体"/>
          <w:kern w:val="44"/>
        </w:rPr>
        <w:t>（二）执行国家和本市统计部门的统计报表制度，完成各项统计调查任务；</w:t>
      </w:r>
    </w:p>
    <w:p w14:paraId="72184FD3">
      <w:pPr>
        <w:jc w:val="left"/>
        <w:rPr>
          <w:rFonts w:ascii="宋体" w:hAnsi="宋体"/>
          <w:kern w:val="44"/>
        </w:rPr>
      </w:pPr>
      <w:r>
        <w:rPr>
          <w:rFonts w:hint="eastAsia" w:ascii="宋体" w:hAnsi="宋体"/>
          <w:kern w:val="44"/>
        </w:rPr>
        <w:t>（三）负责开发区内统计报表和统计资料的管理。</w:t>
      </w:r>
    </w:p>
    <w:p w14:paraId="6286A0E4">
      <w:pPr>
        <w:ind w:firstLine="422"/>
        <w:jc w:val="left"/>
        <w:rPr>
          <w:rFonts w:ascii="宋体" w:hAnsi="宋体"/>
          <w:kern w:val="44"/>
        </w:rPr>
      </w:pPr>
      <w:r>
        <w:rPr>
          <w:rFonts w:hint="eastAsia" w:ascii="宋体" w:hAnsi="宋体"/>
          <w:b/>
          <w:kern w:val="44"/>
        </w:rPr>
        <w:t>第十二条</w:t>
      </w:r>
      <w:r>
        <w:rPr>
          <w:rFonts w:hint="eastAsia" w:ascii="宋体" w:hAnsi="宋体"/>
          <w:kern w:val="44"/>
        </w:rPr>
        <w:t>　开发区管委会负责开发区内的科技管理和知识产权保护工作，协助开发区内企业做好高新技术企业的认定和专利费用减、免等事务。</w:t>
      </w:r>
    </w:p>
    <w:p w14:paraId="0A13C44F">
      <w:pPr>
        <w:ind w:firstLine="422"/>
        <w:jc w:val="left"/>
        <w:rPr>
          <w:rFonts w:ascii="宋体" w:hAnsi="宋体"/>
          <w:kern w:val="44"/>
        </w:rPr>
      </w:pPr>
      <w:r>
        <w:rPr>
          <w:rFonts w:hint="eastAsia" w:ascii="宋体" w:hAnsi="宋体"/>
          <w:b/>
          <w:kern w:val="44"/>
        </w:rPr>
        <w:t>第十三条</w:t>
      </w:r>
      <w:r>
        <w:rPr>
          <w:rFonts w:hint="eastAsia" w:ascii="宋体" w:hAnsi="宋体"/>
          <w:kern w:val="44"/>
        </w:rPr>
        <w:t>　开发区管委会统一领导开发区内安全生产工作，协调解决安全生产监督管理中存在的问题。开发区安全生产监督管理部门业务上受市安全生产监督管理部门的指导和监督，主要负责以下事项：</w:t>
      </w:r>
    </w:p>
    <w:p w14:paraId="3C346FFA">
      <w:pPr>
        <w:jc w:val="left"/>
        <w:rPr>
          <w:rFonts w:ascii="宋体" w:hAnsi="宋体"/>
          <w:kern w:val="44"/>
        </w:rPr>
      </w:pPr>
      <w:r>
        <w:rPr>
          <w:rFonts w:hint="eastAsia" w:ascii="宋体" w:hAnsi="宋体"/>
          <w:kern w:val="44"/>
        </w:rPr>
        <w:t>（一）依据有关法律、法规和规章，对生产经营单位的安全生产工作实施监督检查；</w:t>
      </w:r>
    </w:p>
    <w:p w14:paraId="00DA2FEB">
      <w:pPr>
        <w:jc w:val="left"/>
        <w:rPr>
          <w:rFonts w:ascii="宋体" w:hAnsi="宋体"/>
          <w:kern w:val="44"/>
        </w:rPr>
      </w:pPr>
      <w:r>
        <w:rPr>
          <w:rFonts w:hint="eastAsia" w:ascii="宋体" w:hAnsi="宋体"/>
          <w:kern w:val="44"/>
        </w:rPr>
        <w:t>（二）承担开发区内安全生产的综合监督管理工作，指导、协调和监督开发区有关部门履行安全生产监督和管理职责；</w:t>
      </w:r>
    </w:p>
    <w:p w14:paraId="022D897C">
      <w:pPr>
        <w:jc w:val="left"/>
        <w:rPr>
          <w:rFonts w:ascii="宋体" w:hAnsi="宋体"/>
          <w:kern w:val="44"/>
        </w:rPr>
      </w:pPr>
      <w:r>
        <w:rPr>
          <w:rFonts w:hint="eastAsia" w:ascii="宋体" w:hAnsi="宋体"/>
          <w:kern w:val="44"/>
        </w:rPr>
        <w:t>（三）承担安全生产的宣传教育、培训考核工作，按照职责分工组织查处生产安全事故。</w:t>
      </w:r>
    </w:p>
    <w:p w14:paraId="3C16398E">
      <w:pPr>
        <w:ind w:firstLine="422"/>
        <w:jc w:val="left"/>
        <w:rPr>
          <w:rFonts w:ascii="宋体" w:hAnsi="宋体"/>
          <w:kern w:val="44"/>
        </w:rPr>
      </w:pPr>
      <w:r>
        <w:rPr>
          <w:rFonts w:hint="eastAsia" w:ascii="宋体" w:hAnsi="宋体"/>
          <w:b/>
          <w:kern w:val="44"/>
        </w:rPr>
        <w:t>第十四条</w:t>
      </w:r>
      <w:r>
        <w:rPr>
          <w:rFonts w:hint="eastAsia" w:ascii="宋体" w:hAnsi="宋体"/>
          <w:kern w:val="44"/>
        </w:rPr>
        <w:t>　开发区管委会统一管理开发区的信息化工作，统筹规划开发区信息基础设施，组织落实信息安全保障体系建设工作。</w:t>
      </w:r>
    </w:p>
    <w:p w14:paraId="71EE050F">
      <w:pPr>
        <w:ind w:firstLine="422"/>
        <w:jc w:val="left"/>
        <w:rPr>
          <w:rFonts w:ascii="宋体" w:hAnsi="宋体"/>
          <w:kern w:val="44"/>
        </w:rPr>
      </w:pPr>
      <w:r>
        <w:rPr>
          <w:rFonts w:hint="eastAsia" w:ascii="宋体" w:hAnsi="宋体"/>
          <w:b/>
          <w:kern w:val="44"/>
        </w:rPr>
        <w:t>第十五条</w:t>
      </w:r>
      <w:r>
        <w:rPr>
          <w:rFonts w:hint="eastAsia" w:ascii="宋体" w:hAnsi="宋体"/>
          <w:kern w:val="44"/>
        </w:rPr>
        <w:t>　开发区管委会应当认真履行《条例》规定的各项职责，除《条例》和本办法已明确规定的各项职责外，对开发区内的其他管理事项可以行使区、县级人民政府行使的职权。具体职责范围由开发区管委会会同市级有关行政管理部门协商确定，报市人民政府备案。</w:t>
      </w:r>
    </w:p>
    <w:p w14:paraId="01B8B8ED">
      <w:pPr>
        <w:ind w:firstLine="422"/>
        <w:jc w:val="left"/>
        <w:rPr>
          <w:rFonts w:ascii="宋体" w:hAnsi="宋体"/>
          <w:kern w:val="44"/>
        </w:rPr>
      </w:pPr>
      <w:r>
        <w:rPr>
          <w:rFonts w:hint="eastAsia" w:ascii="宋体" w:hAnsi="宋体"/>
          <w:b/>
          <w:kern w:val="44"/>
        </w:rPr>
        <w:t>第十六条</w:t>
      </w:r>
      <w:r>
        <w:rPr>
          <w:rFonts w:hint="eastAsia" w:ascii="宋体" w:hAnsi="宋体"/>
          <w:kern w:val="44"/>
        </w:rPr>
        <w:t>　本办法自1998年6月1日起施行。</w:t>
      </w:r>
    </w:p>
    <w:p w14:paraId="0CC69A23">
      <w:pPr>
        <w:pStyle w:val="4"/>
        <w:pageBreakBefore/>
        <w:rPr>
          <w:kern w:val="44"/>
        </w:rPr>
      </w:pPr>
      <w:bookmarkStart w:id="1434" w:name="_Toc427651639"/>
      <w:bookmarkStart w:id="1435" w:name="_Toc427651981"/>
      <w:bookmarkStart w:id="1436" w:name="_Toc428780205"/>
      <w:bookmarkStart w:id="1437" w:name="_Toc422471374"/>
      <w:bookmarkStart w:id="1438" w:name="_Toc428781687"/>
      <w:r>
        <w:rPr>
          <w:rFonts w:hint="eastAsia"/>
          <w:kern w:val="44"/>
        </w:rPr>
        <w:t>北京天竺综合保税区管理办法</w:t>
      </w:r>
      <w:bookmarkEnd w:id="1434"/>
      <w:bookmarkEnd w:id="1435"/>
      <w:bookmarkEnd w:id="1436"/>
      <w:bookmarkEnd w:id="1437"/>
      <w:bookmarkEnd w:id="1438"/>
    </w:p>
    <w:p w14:paraId="2F0FD647">
      <w:pPr>
        <w:ind w:left="630" w:leftChars="300" w:right="630" w:rightChars="300"/>
        <w:jc w:val="left"/>
        <w:rPr>
          <w:rFonts w:ascii="楷体" w:hAnsi="楷体" w:eastAsia="楷体"/>
          <w:kern w:val="44"/>
        </w:rPr>
      </w:pPr>
      <w:r>
        <w:rPr>
          <w:rFonts w:hint="eastAsia" w:ascii="楷体" w:hAnsi="楷体" w:eastAsia="楷体"/>
          <w:kern w:val="44"/>
        </w:rPr>
        <w:t>（2010年1月12日北京市人民政府第58次常务会议审议通过  2010年2月1日北京市人民政府第218号令公布）</w:t>
      </w:r>
    </w:p>
    <w:p w14:paraId="25483D31">
      <w:pPr>
        <w:jc w:val="left"/>
        <w:rPr>
          <w:rFonts w:ascii="宋体" w:hAnsi="宋体"/>
          <w:kern w:val="44"/>
        </w:rPr>
      </w:pPr>
    </w:p>
    <w:p w14:paraId="66ABC07F">
      <w:pPr>
        <w:ind w:firstLine="422"/>
        <w:jc w:val="left"/>
        <w:rPr>
          <w:rFonts w:ascii="宋体" w:hAnsi="宋体"/>
          <w:kern w:val="44"/>
        </w:rPr>
      </w:pPr>
      <w:r>
        <w:rPr>
          <w:rFonts w:hint="eastAsia" w:ascii="宋体" w:hAnsi="宋体"/>
          <w:b/>
          <w:kern w:val="44"/>
        </w:rPr>
        <w:t>第一条</w:t>
      </w:r>
      <w:r>
        <w:rPr>
          <w:rFonts w:hint="eastAsia" w:ascii="宋体" w:hAnsi="宋体"/>
          <w:kern w:val="44"/>
        </w:rPr>
        <w:t>　为促进北京天竺综合保税区（以下简称天竺综保区）建设与发展，根据有关法律、法规和《国务院关于同意设立北京天竺综合保税区的批复》，制定本办法。</w:t>
      </w:r>
    </w:p>
    <w:p w14:paraId="0B202B57">
      <w:pPr>
        <w:ind w:firstLine="422"/>
        <w:jc w:val="left"/>
        <w:rPr>
          <w:rFonts w:ascii="宋体" w:hAnsi="宋体"/>
          <w:kern w:val="44"/>
        </w:rPr>
      </w:pPr>
      <w:r>
        <w:rPr>
          <w:rFonts w:hint="eastAsia" w:ascii="宋体" w:hAnsi="宋体"/>
          <w:b/>
          <w:kern w:val="44"/>
        </w:rPr>
        <w:t>第二条</w:t>
      </w:r>
      <w:r>
        <w:rPr>
          <w:rFonts w:hint="eastAsia" w:ascii="宋体" w:hAnsi="宋体"/>
          <w:kern w:val="44"/>
        </w:rPr>
        <w:t xml:space="preserve">  本办法适用于天竺综保区。</w:t>
      </w:r>
    </w:p>
    <w:p w14:paraId="74BD7226">
      <w:pPr>
        <w:jc w:val="left"/>
        <w:rPr>
          <w:rFonts w:ascii="宋体" w:hAnsi="宋体"/>
          <w:kern w:val="44"/>
        </w:rPr>
      </w:pPr>
      <w:r>
        <w:rPr>
          <w:rFonts w:hint="eastAsia" w:ascii="宋体" w:hAnsi="宋体"/>
          <w:kern w:val="44"/>
        </w:rPr>
        <w:t>本办法所称的天竺综保区是指国务院批准的设立在北京首都国际机场航空港区，具有口岸、物流、加工等功能的海关特殊监管区域。</w:t>
      </w:r>
    </w:p>
    <w:p w14:paraId="7338961F">
      <w:pPr>
        <w:ind w:firstLine="422"/>
        <w:jc w:val="left"/>
        <w:rPr>
          <w:rFonts w:ascii="宋体" w:hAnsi="宋体"/>
          <w:kern w:val="44"/>
        </w:rPr>
      </w:pPr>
      <w:r>
        <w:rPr>
          <w:rFonts w:hint="eastAsia" w:ascii="宋体" w:hAnsi="宋体"/>
          <w:b/>
          <w:kern w:val="44"/>
        </w:rPr>
        <w:t>第三条</w:t>
      </w:r>
      <w:r>
        <w:rPr>
          <w:rFonts w:hint="eastAsia" w:ascii="宋体" w:hAnsi="宋体"/>
          <w:kern w:val="44"/>
        </w:rPr>
        <w:t>　天竺综保区内企业应当遵守中华人民共和国法律，遵守社会公德、商业道德，诚实守信。</w:t>
      </w:r>
    </w:p>
    <w:p w14:paraId="69AC7099">
      <w:pPr>
        <w:jc w:val="left"/>
        <w:rPr>
          <w:rFonts w:ascii="宋体" w:hAnsi="宋体"/>
          <w:kern w:val="44"/>
        </w:rPr>
      </w:pPr>
      <w:r>
        <w:rPr>
          <w:rFonts w:hint="eastAsia" w:ascii="宋体" w:hAnsi="宋体"/>
          <w:kern w:val="44"/>
        </w:rPr>
        <w:t>天竺综保区内企业的合法权益受法律保护，依法享受国家和本市有关优惠政策。</w:t>
      </w:r>
    </w:p>
    <w:p w14:paraId="7585AE6D">
      <w:pPr>
        <w:ind w:firstLine="422"/>
        <w:jc w:val="left"/>
        <w:rPr>
          <w:rFonts w:ascii="宋体" w:hAnsi="宋体"/>
          <w:kern w:val="44"/>
        </w:rPr>
      </w:pPr>
      <w:r>
        <w:rPr>
          <w:rFonts w:hint="eastAsia" w:ascii="宋体" w:hAnsi="宋体"/>
          <w:b/>
          <w:kern w:val="44"/>
        </w:rPr>
        <w:t>第四条</w:t>
      </w:r>
      <w:r>
        <w:rPr>
          <w:rFonts w:hint="eastAsia" w:ascii="宋体" w:hAnsi="宋体"/>
          <w:kern w:val="44"/>
        </w:rPr>
        <w:t>　市人民政府设立北京天竺综合保税区管理委员会（以下简称管委会），统筹协调天竺综保区规划建设和产业发展，统一管理天竺综保区的日常事务。</w:t>
      </w:r>
    </w:p>
    <w:p w14:paraId="023C728B">
      <w:pPr>
        <w:ind w:firstLine="422"/>
        <w:jc w:val="left"/>
        <w:rPr>
          <w:rFonts w:ascii="宋体" w:hAnsi="宋体"/>
          <w:kern w:val="44"/>
        </w:rPr>
      </w:pPr>
      <w:r>
        <w:rPr>
          <w:rFonts w:hint="eastAsia" w:ascii="宋体" w:hAnsi="宋体"/>
          <w:b/>
          <w:kern w:val="44"/>
        </w:rPr>
        <w:t>第五条</w:t>
      </w:r>
      <w:r>
        <w:rPr>
          <w:rFonts w:hint="eastAsia" w:ascii="宋体" w:hAnsi="宋体"/>
          <w:kern w:val="44"/>
        </w:rPr>
        <w:t>　管委会根据国家和本市的产业发展规划和区域规划，会同发展改革、规划、商务等有关部门组织编制天竺综保区产业发展规划和区域建设规划，经市人民政府批准后组织实施。天竺综保区的开发建设，应当符合天竺综保区区域建设规划。</w:t>
      </w:r>
    </w:p>
    <w:p w14:paraId="3B3308BB">
      <w:pPr>
        <w:ind w:firstLine="422"/>
        <w:jc w:val="left"/>
        <w:rPr>
          <w:rFonts w:ascii="宋体" w:hAnsi="宋体"/>
          <w:kern w:val="44"/>
        </w:rPr>
      </w:pPr>
      <w:r>
        <w:rPr>
          <w:rFonts w:hint="eastAsia" w:ascii="宋体" w:hAnsi="宋体"/>
          <w:b/>
          <w:kern w:val="44"/>
        </w:rPr>
        <w:t>第六条</w:t>
      </w:r>
      <w:r>
        <w:rPr>
          <w:rFonts w:hint="eastAsia" w:ascii="宋体" w:hAnsi="宋体"/>
          <w:kern w:val="44"/>
        </w:rPr>
        <w:t>　管委会应当为区内企业提供高效、便捷服务，区内企业设立、登记和投资等活动所涉及的各项行政许可事项，应当在天竺综保区内集中办理。</w:t>
      </w:r>
    </w:p>
    <w:p w14:paraId="6DB6830B">
      <w:pPr>
        <w:ind w:firstLine="422"/>
        <w:jc w:val="left"/>
        <w:rPr>
          <w:rFonts w:ascii="宋体" w:hAnsi="宋体"/>
          <w:kern w:val="44"/>
        </w:rPr>
      </w:pPr>
      <w:r>
        <w:rPr>
          <w:rFonts w:hint="eastAsia" w:ascii="宋体" w:hAnsi="宋体"/>
          <w:b/>
          <w:kern w:val="44"/>
        </w:rPr>
        <w:t>第七条</w:t>
      </w:r>
      <w:r>
        <w:rPr>
          <w:rFonts w:hint="eastAsia" w:ascii="宋体" w:hAnsi="宋体"/>
          <w:kern w:val="44"/>
        </w:rPr>
        <w:t>　管委会在天竺综保区内设立集中办理行政许可事项的场所，实行一个窗口受理、集中办理、限时办结、跟踪服务等制度。</w:t>
      </w:r>
    </w:p>
    <w:p w14:paraId="49F48FC4">
      <w:pPr>
        <w:jc w:val="left"/>
        <w:rPr>
          <w:rFonts w:ascii="宋体" w:hAnsi="宋体"/>
          <w:kern w:val="44"/>
        </w:rPr>
      </w:pPr>
      <w:r>
        <w:rPr>
          <w:rFonts w:hint="eastAsia" w:ascii="宋体" w:hAnsi="宋体"/>
          <w:kern w:val="44"/>
        </w:rPr>
        <w:t>管委会应当在集中办理行政许可事项的场所公布行政许可事项的依据、内容、条件、全部流程、期限，以及需要提交的全部材料目录、申请书示范文本等。</w:t>
      </w:r>
    </w:p>
    <w:p w14:paraId="491E579B">
      <w:pPr>
        <w:jc w:val="left"/>
        <w:rPr>
          <w:rFonts w:ascii="宋体" w:hAnsi="宋体"/>
          <w:kern w:val="44"/>
        </w:rPr>
      </w:pPr>
      <w:r>
        <w:rPr>
          <w:rFonts w:hint="eastAsia" w:ascii="宋体" w:hAnsi="宋体"/>
          <w:kern w:val="44"/>
        </w:rPr>
        <w:t>申请人要求对公示内容予以说明、解释的，有关工作人员应当说明、解释。</w:t>
      </w:r>
    </w:p>
    <w:p w14:paraId="1FB5BCF5">
      <w:pPr>
        <w:ind w:firstLine="422"/>
        <w:jc w:val="left"/>
        <w:rPr>
          <w:rFonts w:ascii="宋体" w:hAnsi="宋体"/>
          <w:kern w:val="44"/>
        </w:rPr>
      </w:pPr>
      <w:r>
        <w:rPr>
          <w:rFonts w:hint="eastAsia" w:ascii="宋体" w:hAnsi="宋体"/>
          <w:b/>
          <w:kern w:val="44"/>
        </w:rPr>
        <w:t>第八条</w:t>
      </w:r>
      <w:r>
        <w:rPr>
          <w:rFonts w:hint="eastAsia" w:ascii="宋体" w:hAnsi="宋体"/>
          <w:kern w:val="44"/>
        </w:rPr>
        <w:t>　相关行政机关需要对天竺综保区进行执法检查的，由管委会统一组织协调。</w:t>
      </w:r>
    </w:p>
    <w:p w14:paraId="16FD263F">
      <w:pPr>
        <w:jc w:val="left"/>
        <w:rPr>
          <w:rFonts w:ascii="宋体" w:hAnsi="宋体"/>
          <w:kern w:val="44"/>
        </w:rPr>
      </w:pPr>
      <w:r>
        <w:rPr>
          <w:rFonts w:hint="eastAsia" w:ascii="宋体" w:hAnsi="宋体"/>
          <w:kern w:val="44"/>
        </w:rPr>
        <w:t>管委会根据市人民政府的决定，在天竺综保区内集中行使有关行政机关的行政处罚权。</w:t>
      </w:r>
    </w:p>
    <w:p w14:paraId="064713E5">
      <w:pPr>
        <w:ind w:firstLine="422"/>
        <w:jc w:val="left"/>
        <w:rPr>
          <w:rFonts w:ascii="宋体" w:hAnsi="宋体"/>
          <w:kern w:val="44"/>
        </w:rPr>
      </w:pPr>
      <w:r>
        <w:rPr>
          <w:rFonts w:hint="eastAsia" w:ascii="宋体" w:hAnsi="宋体"/>
          <w:b/>
          <w:kern w:val="44"/>
        </w:rPr>
        <w:t>第九条</w:t>
      </w:r>
      <w:r>
        <w:rPr>
          <w:rFonts w:hint="eastAsia" w:ascii="宋体" w:hAnsi="宋体"/>
          <w:kern w:val="44"/>
        </w:rPr>
        <w:t>　建立口岸联合办公机制，为企业提供高效、优质通关服务。管委会组织海关、检验检疫、税务、外汇、商务、口岸、交通运输、民航、首都机场等单位建立联席会议制度，创新口岸监管制度，提高通关效率。</w:t>
      </w:r>
    </w:p>
    <w:p w14:paraId="21362E21">
      <w:pPr>
        <w:ind w:firstLine="422"/>
        <w:jc w:val="left"/>
        <w:rPr>
          <w:rFonts w:ascii="宋体" w:hAnsi="宋体"/>
          <w:kern w:val="44"/>
        </w:rPr>
      </w:pPr>
      <w:r>
        <w:rPr>
          <w:rFonts w:hint="eastAsia" w:ascii="宋体" w:hAnsi="宋体"/>
          <w:b/>
          <w:kern w:val="44"/>
        </w:rPr>
        <w:t>第十条</w:t>
      </w:r>
      <w:r>
        <w:rPr>
          <w:rFonts w:hint="eastAsia" w:ascii="宋体" w:hAnsi="宋体"/>
          <w:kern w:val="44"/>
        </w:rPr>
        <w:t>　管委会设立联合查验中心，对需要查验的进出货物，由口岸监管部门根据需要进行联合查验。</w:t>
      </w:r>
    </w:p>
    <w:p w14:paraId="345B3530">
      <w:pPr>
        <w:ind w:firstLine="422"/>
        <w:jc w:val="left"/>
        <w:rPr>
          <w:rFonts w:ascii="宋体" w:hAnsi="宋体"/>
          <w:kern w:val="44"/>
        </w:rPr>
      </w:pPr>
      <w:r>
        <w:rPr>
          <w:rFonts w:hint="eastAsia" w:ascii="宋体" w:hAnsi="宋体"/>
          <w:b/>
          <w:kern w:val="44"/>
        </w:rPr>
        <w:t>第十一条</w:t>
      </w:r>
      <w:r>
        <w:rPr>
          <w:rFonts w:hint="eastAsia" w:ascii="宋体" w:hAnsi="宋体"/>
          <w:kern w:val="44"/>
        </w:rPr>
        <w:t>　进出天竺综保区的人员和运输工具，应当凭专用证件在指定通道通行，并接受海关监管和检查。</w:t>
      </w:r>
    </w:p>
    <w:p w14:paraId="35CFE920">
      <w:pPr>
        <w:jc w:val="left"/>
        <w:rPr>
          <w:rFonts w:ascii="宋体" w:hAnsi="宋体"/>
          <w:kern w:val="44"/>
        </w:rPr>
      </w:pPr>
      <w:r>
        <w:rPr>
          <w:rFonts w:hint="eastAsia" w:ascii="宋体" w:hAnsi="宋体"/>
          <w:kern w:val="44"/>
        </w:rPr>
        <w:t>管委会负责协调海关等有关单位，落实必要的监管措施，保证进出天竺综保区的人员和运输工具正常、有序通行。</w:t>
      </w:r>
    </w:p>
    <w:p w14:paraId="3047EFC4">
      <w:pPr>
        <w:ind w:firstLine="422"/>
        <w:jc w:val="left"/>
        <w:rPr>
          <w:rFonts w:ascii="宋体" w:hAnsi="宋体"/>
          <w:kern w:val="44"/>
        </w:rPr>
      </w:pPr>
      <w:r>
        <w:rPr>
          <w:rFonts w:hint="eastAsia" w:ascii="宋体" w:hAnsi="宋体"/>
          <w:b/>
          <w:kern w:val="44"/>
        </w:rPr>
        <w:t>第十二条</w:t>
      </w:r>
      <w:r>
        <w:rPr>
          <w:rFonts w:hint="eastAsia" w:ascii="宋体" w:hAnsi="宋体"/>
          <w:kern w:val="44"/>
        </w:rPr>
        <w:t>　天竺综保区内企业聘用的专业技术和管理人才，符合本市有关规定，需要办理《北京市工作居住证》或者北京市常住户口的，管委会应当给予支持，协助办理相关手续。</w:t>
      </w:r>
    </w:p>
    <w:p w14:paraId="64C40449">
      <w:pPr>
        <w:ind w:firstLine="422"/>
        <w:jc w:val="left"/>
        <w:rPr>
          <w:rFonts w:ascii="宋体" w:hAnsi="宋体"/>
          <w:kern w:val="44"/>
        </w:rPr>
      </w:pPr>
      <w:r>
        <w:rPr>
          <w:rFonts w:hint="eastAsia" w:ascii="宋体" w:hAnsi="宋体"/>
          <w:b/>
          <w:kern w:val="44"/>
        </w:rPr>
        <w:t>第十三条</w:t>
      </w:r>
      <w:r>
        <w:rPr>
          <w:rFonts w:hint="eastAsia" w:ascii="宋体" w:hAnsi="宋体"/>
          <w:kern w:val="44"/>
        </w:rPr>
        <w:t>　管委会应当及时受理企业的投诉，自接到投诉之日起10个工作日内提出处理意见；属于其他部门处理的应当及时移送，并书面告知投诉人。有关部门应当自接到移送投诉之日起10个工作日内提出处理意见，并书面告知投诉人和管委会。</w:t>
      </w:r>
    </w:p>
    <w:p w14:paraId="72930CCD">
      <w:pPr>
        <w:ind w:firstLine="422"/>
        <w:jc w:val="left"/>
        <w:rPr>
          <w:rFonts w:ascii="宋体" w:hAnsi="宋体"/>
          <w:kern w:val="44"/>
        </w:rPr>
        <w:sectPr>
          <w:footerReference r:id="rId21" w:type="default"/>
          <w:type w:val="continuous"/>
          <w:pgSz w:w="11906" w:h="16838"/>
          <w:pgMar w:top="1440" w:right="1797" w:bottom="1440" w:left="1797" w:header="851" w:footer="992" w:gutter="0"/>
          <w:cols w:space="720" w:num="1"/>
          <w:titlePg/>
          <w:docGrid w:type="lines" w:linePitch="312" w:charSpace="0"/>
        </w:sectPr>
      </w:pPr>
      <w:r>
        <w:rPr>
          <w:rFonts w:hint="eastAsia" w:ascii="宋体" w:hAnsi="宋体"/>
          <w:b/>
          <w:kern w:val="44"/>
        </w:rPr>
        <w:t>第十四条</w:t>
      </w:r>
      <w:r>
        <w:rPr>
          <w:rFonts w:hint="eastAsia" w:ascii="宋体" w:hAnsi="宋体"/>
          <w:kern w:val="44"/>
        </w:rPr>
        <w:t>　本办法自2010年3月1日起施行。</w:t>
      </w:r>
    </w:p>
    <w:p w14:paraId="1534394F">
      <w:pPr>
        <w:jc w:val="left"/>
        <w:rPr>
          <w:rFonts w:ascii="宋体" w:hAnsi="宋体"/>
          <w:kern w:val="44"/>
        </w:rPr>
      </w:pPr>
    </w:p>
    <w:p w14:paraId="4BBF86A6">
      <w:pPr>
        <w:jc w:val="left"/>
        <w:rPr>
          <w:rFonts w:ascii="宋体" w:hAnsi="宋体"/>
          <w:kern w:val="44"/>
        </w:rPr>
      </w:pPr>
    </w:p>
    <w:p w14:paraId="5BFDCA26">
      <w:pPr>
        <w:jc w:val="left"/>
        <w:rPr>
          <w:rFonts w:ascii="宋体" w:hAnsi="宋体"/>
          <w:kern w:val="44"/>
        </w:rPr>
      </w:pPr>
    </w:p>
    <w:p w14:paraId="7AB7023A">
      <w:pPr>
        <w:jc w:val="left"/>
        <w:rPr>
          <w:rFonts w:ascii="宋体" w:hAnsi="宋体"/>
          <w:kern w:val="44"/>
        </w:rPr>
      </w:pPr>
    </w:p>
    <w:p w14:paraId="00A48152">
      <w:pPr>
        <w:jc w:val="left"/>
        <w:rPr>
          <w:rFonts w:ascii="宋体" w:hAnsi="宋体"/>
          <w:kern w:val="44"/>
        </w:rPr>
      </w:pPr>
    </w:p>
    <w:p w14:paraId="5191F38B">
      <w:pPr>
        <w:jc w:val="left"/>
        <w:rPr>
          <w:rFonts w:ascii="宋体" w:hAnsi="宋体"/>
          <w:kern w:val="44"/>
        </w:rPr>
      </w:pPr>
    </w:p>
    <w:p w14:paraId="6FF743E6">
      <w:pPr>
        <w:jc w:val="left"/>
        <w:rPr>
          <w:rFonts w:ascii="宋体" w:hAnsi="宋体"/>
          <w:kern w:val="44"/>
        </w:rPr>
      </w:pPr>
    </w:p>
    <w:p w14:paraId="608A0B23">
      <w:pPr>
        <w:jc w:val="left"/>
        <w:rPr>
          <w:rFonts w:ascii="宋体" w:hAnsi="宋体"/>
          <w:kern w:val="44"/>
        </w:rPr>
      </w:pPr>
    </w:p>
    <w:p w14:paraId="45D74FF7">
      <w:pPr>
        <w:jc w:val="left"/>
        <w:rPr>
          <w:rFonts w:ascii="宋体" w:hAnsi="宋体"/>
          <w:kern w:val="44"/>
        </w:rPr>
      </w:pPr>
    </w:p>
    <w:p w14:paraId="08DD20A8">
      <w:pPr>
        <w:jc w:val="left"/>
        <w:rPr>
          <w:rFonts w:ascii="宋体" w:hAnsi="宋体"/>
          <w:kern w:val="44"/>
        </w:rPr>
      </w:pPr>
    </w:p>
    <w:p w14:paraId="7BE73693">
      <w:pPr>
        <w:jc w:val="left"/>
        <w:rPr>
          <w:rFonts w:ascii="宋体" w:hAnsi="宋体"/>
          <w:kern w:val="44"/>
        </w:rPr>
      </w:pPr>
    </w:p>
    <w:p w14:paraId="2EAF9BE7">
      <w:pPr>
        <w:jc w:val="left"/>
        <w:rPr>
          <w:rFonts w:ascii="宋体" w:hAnsi="宋体"/>
          <w:kern w:val="44"/>
        </w:rPr>
      </w:pPr>
    </w:p>
    <w:p w14:paraId="7647344E">
      <w:pPr>
        <w:jc w:val="left"/>
        <w:rPr>
          <w:rFonts w:ascii="宋体" w:hAnsi="宋体"/>
          <w:kern w:val="44"/>
        </w:rPr>
      </w:pPr>
    </w:p>
    <w:p w14:paraId="21C7EA6B">
      <w:pPr>
        <w:jc w:val="left"/>
        <w:rPr>
          <w:rFonts w:ascii="宋体" w:hAnsi="宋体"/>
          <w:kern w:val="44"/>
        </w:rPr>
      </w:pPr>
    </w:p>
    <w:p w14:paraId="77546E54">
      <w:pPr>
        <w:jc w:val="left"/>
        <w:rPr>
          <w:rFonts w:ascii="宋体" w:hAnsi="宋体"/>
          <w:kern w:val="44"/>
        </w:rPr>
      </w:pPr>
    </w:p>
    <w:p w14:paraId="640FC7C3">
      <w:pPr>
        <w:jc w:val="left"/>
        <w:rPr>
          <w:rFonts w:ascii="宋体" w:hAnsi="宋体"/>
          <w:kern w:val="44"/>
        </w:rPr>
      </w:pPr>
    </w:p>
    <w:p w14:paraId="1650148A">
      <w:pPr>
        <w:jc w:val="left"/>
        <w:rPr>
          <w:rFonts w:ascii="宋体" w:hAnsi="宋体"/>
          <w:kern w:val="44"/>
        </w:rPr>
      </w:pPr>
    </w:p>
    <w:p w14:paraId="72F672D8">
      <w:pPr>
        <w:jc w:val="left"/>
        <w:rPr>
          <w:rFonts w:ascii="宋体" w:hAnsi="宋体"/>
          <w:kern w:val="44"/>
        </w:rPr>
      </w:pPr>
    </w:p>
    <w:p w14:paraId="5ADED169">
      <w:pPr>
        <w:jc w:val="left"/>
        <w:rPr>
          <w:rFonts w:ascii="宋体" w:hAnsi="宋体"/>
          <w:kern w:val="44"/>
        </w:rPr>
      </w:pPr>
    </w:p>
    <w:p w14:paraId="46903FF9">
      <w:pPr>
        <w:jc w:val="left"/>
        <w:rPr>
          <w:rFonts w:ascii="宋体" w:hAnsi="宋体"/>
          <w:kern w:val="44"/>
        </w:rPr>
      </w:pPr>
    </w:p>
    <w:p w14:paraId="7D4131F5">
      <w:pPr>
        <w:jc w:val="left"/>
        <w:rPr>
          <w:rFonts w:ascii="宋体" w:hAnsi="宋体"/>
          <w:kern w:val="44"/>
        </w:rPr>
      </w:pPr>
    </w:p>
    <w:p w14:paraId="6640DBAE">
      <w:pPr>
        <w:jc w:val="left"/>
        <w:rPr>
          <w:rFonts w:ascii="宋体" w:hAnsi="宋体"/>
          <w:kern w:val="44"/>
        </w:rPr>
      </w:pPr>
    </w:p>
    <w:p w14:paraId="33B8B717">
      <w:pPr>
        <w:jc w:val="left"/>
        <w:rPr>
          <w:rFonts w:ascii="宋体" w:hAnsi="宋体"/>
          <w:kern w:val="44"/>
        </w:rPr>
      </w:pPr>
    </w:p>
    <w:p w14:paraId="2D0018B4">
      <w:pPr>
        <w:jc w:val="left"/>
        <w:rPr>
          <w:rFonts w:ascii="宋体" w:hAnsi="宋体"/>
          <w:kern w:val="44"/>
        </w:rPr>
      </w:pPr>
    </w:p>
    <w:p w14:paraId="6EAF2B2D">
      <w:pPr>
        <w:jc w:val="left"/>
        <w:rPr>
          <w:rFonts w:ascii="宋体" w:hAnsi="宋体"/>
          <w:kern w:val="44"/>
        </w:rPr>
      </w:pPr>
    </w:p>
    <w:p w14:paraId="2BD5D7DA">
      <w:pPr>
        <w:jc w:val="left"/>
        <w:rPr>
          <w:rFonts w:ascii="宋体" w:hAnsi="宋体"/>
          <w:kern w:val="44"/>
        </w:rPr>
      </w:pPr>
    </w:p>
    <w:p w14:paraId="1160CE0B">
      <w:pPr>
        <w:jc w:val="left"/>
        <w:rPr>
          <w:rFonts w:ascii="宋体" w:hAnsi="宋体"/>
          <w:kern w:val="44"/>
        </w:rPr>
      </w:pPr>
    </w:p>
    <w:p w14:paraId="422A88A5">
      <w:pPr>
        <w:jc w:val="left"/>
        <w:rPr>
          <w:rFonts w:ascii="宋体" w:hAnsi="宋体"/>
          <w:kern w:val="44"/>
        </w:rPr>
      </w:pPr>
    </w:p>
    <w:p w14:paraId="52CB6803">
      <w:pPr>
        <w:jc w:val="left"/>
        <w:rPr>
          <w:rFonts w:ascii="宋体" w:hAnsi="宋体"/>
          <w:kern w:val="44"/>
        </w:rPr>
      </w:pPr>
    </w:p>
    <w:p w14:paraId="4115E512">
      <w:pPr>
        <w:jc w:val="left"/>
        <w:rPr>
          <w:rFonts w:ascii="宋体" w:hAnsi="宋体"/>
          <w:kern w:val="44"/>
        </w:rPr>
      </w:pPr>
    </w:p>
    <w:p w14:paraId="755FAAA1">
      <w:pPr>
        <w:jc w:val="left"/>
        <w:rPr>
          <w:rFonts w:ascii="宋体" w:hAnsi="宋体"/>
          <w:kern w:val="44"/>
        </w:rPr>
      </w:pPr>
    </w:p>
    <w:p w14:paraId="6124738C">
      <w:pPr>
        <w:jc w:val="left"/>
        <w:rPr>
          <w:rFonts w:ascii="宋体" w:hAnsi="宋体"/>
          <w:kern w:val="44"/>
        </w:rPr>
      </w:pPr>
    </w:p>
    <w:p w14:paraId="1CEE00E5">
      <w:pPr>
        <w:jc w:val="left"/>
        <w:rPr>
          <w:rFonts w:ascii="宋体" w:hAnsi="宋体"/>
          <w:kern w:val="44"/>
        </w:rPr>
      </w:pPr>
    </w:p>
    <w:p w14:paraId="7CC65E83">
      <w:pPr>
        <w:jc w:val="left"/>
        <w:rPr>
          <w:rFonts w:ascii="宋体" w:hAnsi="宋体"/>
          <w:kern w:val="44"/>
        </w:rPr>
      </w:pPr>
    </w:p>
    <w:p w14:paraId="0E2317BA">
      <w:pPr>
        <w:jc w:val="left"/>
        <w:rPr>
          <w:rFonts w:ascii="宋体" w:hAnsi="宋体"/>
          <w:kern w:val="44"/>
        </w:rPr>
      </w:pPr>
    </w:p>
    <w:p w14:paraId="67B8AA51">
      <w:bookmarkStart w:id="1439" w:name="_Toc427651640"/>
      <w:bookmarkStart w:id="1440" w:name="_Toc427651982"/>
      <w:bookmarkStart w:id="1441" w:name="_Toc422471375"/>
      <w:bookmarkStart w:id="1442" w:name="_Toc428780206"/>
      <w:bookmarkStart w:id="1443" w:name="_Toc428781688"/>
    </w:p>
    <w:p w14:paraId="3726B398"/>
    <w:p w14:paraId="304C7190"/>
    <w:p w14:paraId="254F0C07"/>
    <w:p w14:paraId="204033AC"/>
    <w:p w14:paraId="0EACEF37"/>
    <w:p w14:paraId="1F09C787"/>
    <w:p w14:paraId="22174A21"/>
    <w:p w14:paraId="28080BF8"/>
    <w:p w14:paraId="3EA0BE35"/>
    <w:p w14:paraId="43F43592"/>
    <w:p w14:paraId="7AAE4A99">
      <w:pPr>
        <w:pStyle w:val="2"/>
      </w:pPr>
      <w:r>
        <w:rPr>
          <w:rFonts w:hint="eastAsia"/>
        </w:rPr>
        <w:t>三、文 化 建 设</w:t>
      </w:r>
      <w:bookmarkEnd w:id="1439"/>
      <w:bookmarkEnd w:id="1440"/>
      <w:bookmarkEnd w:id="1441"/>
      <w:bookmarkEnd w:id="1442"/>
      <w:bookmarkEnd w:id="1443"/>
    </w:p>
    <w:p w14:paraId="44F74318">
      <w:pPr>
        <w:spacing w:line="240" w:lineRule="auto"/>
        <w:ind w:firstLine="640"/>
        <w:rPr>
          <w:rFonts w:ascii="楷体" w:hAnsi="楷体" w:eastAsia="楷体"/>
          <w:sz w:val="32"/>
        </w:rPr>
      </w:pPr>
      <w:r>
        <w:rPr>
          <w:rFonts w:hint="eastAsia" w:ascii="楷体_GB2312" w:hAnsi="楷体_GB2312" w:eastAsia="楷体_GB2312" w:cs="楷体_GB2312"/>
          <w:sz w:val="32"/>
        </w:rPr>
        <w:t>本部分包含教育，科技，出版传播，文化管理，文物保护，体育，旅游等7个方面，共42部法规规章。</w:t>
      </w:r>
    </w:p>
    <w:p w14:paraId="092B6BE7">
      <w:pPr>
        <w:spacing w:line="240" w:lineRule="auto"/>
        <w:ind w:firstLine="640"/>
        <w:rPr>
          <w:rFonts w:ascii="楷体" w:hAnsi="楷体" w:eastAsia="楷体"/>
          <w:sz w:val="32"/>
        </w:rPr>
      </w:pPr>
    </w:p>
    <w:p w14:paraId="68447218">
      <w:pPr>
        <w:spacing w:line="240" w:lineRule="auto"/>
        <w:ind w:firstLine="640"/>
        <w:rPr>
          <w:rFonts w:ascii="楷体" w:hAnsi="楷体" w:eastAsia="楷体"/>
          <w:sz w:val="32"/>
        </w:rPr>
      </w:pPr>
    </w:p>
    <w:p w14:paraId="2748C030">
      <w:pPr>
        <w:spacing w:line="240" w:lineRule="auto"/>
        <w:ind w:firstLine="640"/>
        <w:rPr>
          <w:rFonts w:ascii="楷体" w:hAnsi="楷体" w:eastAsia="楷体"/>
          <w:sz w:val="32"/>
        </w:rPr>
      </w:pPr>
    </w:p>
    <w:p w14:paraId="1262F723">
      <w:pPr>
        <w:spacing w:line="240" w:lineRule="auto"/>
        <w:ind w:firstLine="640"/>
        <w:rPr>
          <w:rFonts w:ascii="楷体" w:hAnsi="楷体" w:eastAsia="楷体"/>
          <w:sz w:val="32"/>
        </w:rPr>
      </w:pPr>
    </w:p>
    <w:p w14:paraId="2954FA28">
      <w:pPr>
        <w:spacing w:line="240" w:lineRule="auto"/>
        <w:ind w:firstLine="640"/>
        <w:rPr>
          <w:rFonts w:ascii="楷体" w:hAnsi="楷体" w:eastAsia="楷体"/>
          <w:sz w:val="32"/>
        </w:rPr>
      </w:pPr>
    </w:p>
    <w:p w14:paraId="34896F13">
      <w:pPr>
        <w:spacing w:line="240" w:lineRule="auto"/>
        <w:ind w:firstLine="640"/>
        <w:rPr>
          <w:rFonts w:ascii="楷体" w:hAnsi="楷体" w:eastAsia="楷体"/>
          <w:sz w:val="32"/>
        </w:rPr>
      </w:pPr>
    </w:p>
    <w:p w14:paraId="4FDF5A99">
      <w:pPr>
        <w:spacing w:line="240" w:lineRule="auto"/>
        <w:ind w:firstLine="640"/>
        <w:rPr>
          <w:rFonts w:ascii="楷体" w:hAnsi="楷体" w:eastAsia="楷体"/>
          <w:sz w:val="32"/>
        </w:rPr>
      </w:pPr>
    </w:p>
    <w:p w14:paraId="6544F809">
      <w:pPr>
        <w:spacing w:line="240" w:lineRule="auto"/>
        <w:ind w:firstLine="640"/>
        <w:rPr>
          <w:rFonts w:ascii="楷体" w:hAnsi="楷体" w:eastAsia="楷体"/>
          <w:sz w:val="32"/>
        </w:rPr>
      </w:pPr>
    </w:p>
    <w:p w14:paraId="3D5674B1">
      <w:pPr>
        <w:spacing w:line="240" w:lineRule="auto"/>
        <w:ind w:firstLine="640"/>
        <w:rPr>
          <w:rFonts w:ascii="楷体" w:hAnsi="楷体" w:eastAsia="楷体"/>
          <w:sz w:val="32"/>
        </w:rPr>
      </w:pPr>
    </w:p>
    <w:p w14:paraId="708B267E">
      <w:pPr>
        <w:spacing w:line="240" w:lineRule="auto"/>
        <w:ind w:firstLine="0" w:firstLineChars="0"/>
        <w:rPr>
          <w:rFonts w:ascii="楷体" w:hAnsi="楷体" w:eastAsia="楷体"/>
          <w:sz w:val="32"/>
        </w:rPr>
      </w:pPr>
    </w:p>
    <w:p w14:paraId="11328EE1">
      <w:pPr>
        <w:spacing w:line="240" w:lineRule="auto"/>
        <w:ind w:firstLine="0" w:firstLineChars="0"/>
        <w:rPr>
          <w:rFonts w:ascii="楷体" w:hAnsi="楷体" w:eastAsia="楷体"/>
          <w:sz w:val="32"/>
        </w:rPr>
      </w:pPr>
    </w:p>
    <w:p w14:paraId="1B038768">
      <w:pPr>
        <w:spacing w:line="240" w:lineRule="auto"/>
        <w:ind w:firstLine="0" w:firstLineChars="0"/>
        <w:rPr>
          <w:rFonts w:ascii="楷体" w:hAnsi="楷体" w:eastAsia="楷体"/>
          <w:sz w:val="32"/>
        </w:rPr>
      </w:pPr>
    </w:p>
    <w:p w14:paraId="0BAD25E0">
      <w:pPr>
        <w:spacing w:line="240" w:lineRule="auto"/>
        <w:ind w:firstLine="0" w:firstLineChars="0"/>
        <w:rPr>
          <w:rFonts w:ascii="楷体" w:hAnsi="楷体" w:eastAsia="楷体"/>
          <w:sz w:val="32"/>
        </w:rPr>
      </w:pPr>
    </w:p>
    <w:p w14:paraId="65911064">
      <w:pPr>
        <w:spacing w:line="240" w:lineRule="auto"/>
        <w:ind w:firstLine="0" w:firstLineChars="0"/>
        <w:rPr>
          <w:rFonts w:ascii="楷体" w:hAnsi="楷体" w:eastAsia="楷体"/>
          <w:sz w:val="32"/>
        </w:rPr>
      </w:pPr>
    </w:p>
    <w:p w14:paraId="56C23451">
      <w:pPr>
        <w:spacing w:line="240" w:lineRule="auto"/>
        <w:ind w:firstLine="0" w:firstLineChars="0"/>
        <w:rPr>
          <w:rFonts w:ascii="楷体" w:hAnsi="楷体" w:eastAsia="楷体"/>
          <w:sz w:val="32"/>
        </w:rPr>
      </w:pPr>
    </w:p>
    <w:p w14:paraId="71892838">
      <w:pPr>
        <w:spacing w:line="240" w:lineRule="auto"/>
        <w:ind w:firstLine="0" w:firstLineChars="0"/>
        <w:rPr>
          <w:rFonts w:ascii="楷体" w:hAnsi="楷体" w:eastAsia="楷体"/>
          <w:sz w:val="32"/>
        </w:rPr>
        <w:sectPr>
          <w:footerReference r:id="rId22" w:type="default"/>
          <w:footerReference r:id="rId23" w:type="even"/>
          <w:type w:val="continuous"/>
          <w:pgSz w:w="11906" w:h="16838"/>
          <w:pgMar w:top="1440" w:right="1797" w:bottom="1440" w:left="1797" w:header="851" w:footer="992" w:gutter="0"/>
          <w:cols w:space="720" w:num="1"/>
          <w:docGrid w:type="lines" w:linePitch="312" w:charSpace="0"/>
        </w:sectPr>
      </w:pPr>
    </w:p>
    <w:p w14:paraId="05B872E2">
      <w:pPr>
        <w:ind w:firstLine="0" w:firstLineChars="0"/>
      </w:pPr>
    </w:p>
    <w:p w14:paraId="7A5AB55F">
      <w:pPr>
        <w:pStyle w:val="3"/>
        <w:pageBreakBefore/>
        <w:rPr>
          <w:kern w:val="44"/>
        </w:rPr>
      </w:pPr>
      <w:bookmarkStart w:id="1444" w:name="_Toc428780207"/>
      <w:bookmarkStart w:id="1445" w:name="_Toc428781689"/>
      <w:bookmarkStart w:id="1446" w:name="_Toc427651641"/>
      <w:bookmarkStart w:id="1447" w:name="_Toc422471376"/>
      <w:bookmarkStart w:id="1448" w:name="_Toc427651983"/>
      <w:r>
        <w:rPr>
          <w:rFonts w:hint="eastAsia"/>
          <w:kern w:val="44"/>
        </w:rPr>
        <w:t>（一）教  育</w:t>
      </w:r>
      <w:bookmarkEnd w:id="1444"/>
      <w:bookmarkEnd w:id="1445"/>
      <w:bookmarkEnd w:id="1446"/>
      <w:bookmarkEnd w:id="1447"/>
      <w:bookmarkEnd w:id="1448"/>
    </w:p>
    <w:p w14:paraId="2272C19C"/>
    <w:p w14:paraId="1DE97F4D">
      <w:pPr>
        <w:pStyle w:val="4"/>
        <w:rPr>
          <w:kern w:val="44"/>
        </w:rPr>
      </w:pPr>
      <w:bookmarkStart w:id="1449" w:name="_Toc422471377"/>
      <w:bookmarkStart w:id="1450" w:name="_Toc427651984"/>
      <w:bookmarkStart w:id="1451" w:name="_Toc427651642"/>
      <w:bookmarkStart w:id="1452" w:name="_Toc428781690"/>
      <w:bookmarkStart w:id="1453" w:name="_Toc428780208"/>
      <w:r>
        <w:rPr>
          <w:rFonts w:hint="eastAsia"/>
          <w:kern w:val="44"/>
        </w:rPr>
        <w:t>北京市实施《中华人民共和国</w:t>
      </w:r>
      <w:bookmarkEnd w:id="1449"/>
      <w:bookmarkStart w:id="1454" w:name="_Toc422471378"/>
      <w:r>
        <w:rPr>
          <w:rFonts w:hint="eastAsia"/>
          <w:kern w:val="44"/>
        </w:rPr>
        <w:t>义务教育法》办法</w:t>
      </w:r>
      <w:bookmarkEnd w:id="1450"/>
      <w:bookmarkEnd w:id="1451"/>
      <w:bookmarkEnd w:id="1452"/>
      <w:bookmarkEnd w:id="1453"/>
      <w:bookmarkEnd w:id="1454"/>
    </w:p>
    <w:p w14:paraId="07F840F2">
      <w:pPr>
        <w:ind w:left="630" w:leftChars="300" w:right="630" w:rightChars="300"/>
        <w:jc w:val="left"/>
        <w:rPr>
          <w:rFonts w:ascii="楷体" w:hAnsi="楷体" w:eastAsia="楷体"/>
          <w:kern w:val="44"/>
        </w:rPr>
      </w:pPr>
      <w:r>
        <w:rPr>
          <w:rFonts w:hint="eastAsia" w:ascii="楷体" w:hAnsi="楷体" w:eastAsia="楷体"/>
          <w:kern w:val="44"/>
        </w:rPr>
        <w:t>（1986年7月8日北京市第八届人民代表大会常务委员会第二十九次会议通过　根据1993年11月26日北京市第十届人民代表大会常务委员会第七次会议《关于修改〈北京市实施中华人民共和国义务教育法办法〉的决定》修正　2008年11月21日北京市第十三届人民代表大会常务委员会第七次会议修订 ）</w:t>
      </w:r>
    </w:p>
    <w:p w14:paraId="667E855D">
      <w:pPr>
        <w:ind w:left="630" w:leftChars="300" w:right="630" w:rightChars="300"/>
        <w:jc w:val="left"/>
        <w:rPr>
          <w:rFonts w:ascii="楷体" w:hAnsi="楷体" w:eastAsia="楷体"/>
          <w:kern w:val="44"/>
        </w:rPr>
      </w:pPr>
    </w:p>
    <w:p w14:paraId="7E91DCE7">
      <w:pPr>
        <w:ind w:firstLine="0" w:firstLineChars="0"/>
        <w:jc w:val="center"/>
        <w:rPr>
          <w:rFonts w:ascii="宋体" w:hAnsi="宋体"/>
          <w:b/>
          <w:kern w:val="44"/>
          <w:sz w:val="28"/>
        </w:rPr>
      </w:pPr>
      <w:r>
        <w:rPr>
          <w:rFonts w:hint="eastAsia" w:ascii="宋体" w:hAnsi="宋体"/>
          <w:b/>
          <w:kern w:val="44"/>
          <w:sz w:val="28"/>
        </w:rPr>
        <w:t>第一章　总　则</w:t>
      </w:r>
    </w:p>
    <w:p w14:paraId="72770BBE">
      <w:pPr>
        <w:jc w:val="left"/>
        <w:rPr>
          <w:rFonts w:ascii="宋体" w:hAnsi="宋体"/>
          <w:kern w:val="44"/>
        </w:rPr>
      </w:pPr>
    </w:p>
    <w:p w14:paraId="71672832">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为了实施《中华人民共和国义务教育法》，结合本市实际情况，制定本办法。</w:t>
      </w:r>
    </w:p>
    <w:p w14:paraId="5165AF22">
      <w:pPr>
        <w:ind w:firstLine="422"/>
        <w:jc w:val="left"/>
        <w:rPr>
          <w:rFonts w:ascii="宋体" w:hAnsi="宋体"/>
          <w:kern w:val="44"/>
        </w:rPr>
      </w:pPr>
      <w:r>
        <w:rPr>
          <w:rFonts w:hint="eastAsia" w:ascii="宋体" w:hAnsi="宋体"/>
          <w:b/>
          <w:kern w:val="44"/>
        </w:rPr>
        <w:t>第二条</w:t>
      </w:r>
      <w:r>
        <w:rPr>
          <w:rFonts w:hint="eastAsia" w:ascii="宋体" w:hAnsi="宋体"/>
          <w:kern w:val="44"/>
        </w:rPr>
        <w:t>　本市实行九年义务教育制度。</w:t>
      </w:r>
    </w:p>
    <w:p w14:paraId="7E5CD279">
      <w:pPr>
        <w:jc w:val="left"/>
        <w:rPr>
          <w:rFonts w:ascii="宋体" w:hAnsi="宋体"/>
          <w:kern w:val="44"/>
        </w:rPr>
      </w:pPr>
      <w:r>
        <w:rPr>
          <w:rFonts w:hint="eastAsia" w:ascii="宋体" w:hAnsi="宋体"/>
          <w:kern w:val="44"/>
        </w:rPr>
        <w:t>义务教育是国家必须予以保障的公益性事业。本市建立义务教育经费保障机制，保证义务教育制度的实施，对接受义务教育的学生不收学费、杂费，逐步实行免费提供教科书制度。</w:t>
      </w:r>
    </w:p>
    <w:p w14:paraId="66174751">
      <w:pPr>
        <w:ind w:firstLine="422"/>
        <w:jc w:val="left"/>
        <w:rPr>
          <w:rFonts w:ascii="宋体" w:hAnsi="宋体"/>
          <w:kern w:val="44"/>
        </w:rPr>
      </w:pPr>
      <w:r>
        <w:rPr>
          <w:rFonts w:hint="eastAsia" w:ascii="宋体" w:hAnsi="宋体"/>
          <w:b/>
          <w:kern w:val="44"/>
        </w:rPr>
        <w:t>第三条</w:t>
      </w:r>
      <w:r>
        <w:rPr>
          <w:rFonts w:hint="eastAsia" w:ascii="宋体" w:hAnsi="宋体"/>
          <w:kern w:val="44"/>
        </w:rPr>
        <w:t>　本市依法保障适龄儿童、少年享有平等接受义务教育的权利。</w:t>
      </w:r>
    </w:p>
    <w:p w14:paraId="49EB5C87">
      <w:pPr>
        <w:ind w:firstLine="422"/>
        <w:jc w:val="left"/>
        <w:rPr>
          <w:rFonts w:ascii="宋体" w:hAnsi="宋体"/>
          <w:kern w:val="44"/>
        </w:rPr>
      </w:pPr>
      <w:r>
        <w:rPr>
          <w:rFonts w:hint="eastAsia" w:ascii="宋体" w:hAnsi="宋体"/>
          <w:b/>
          <w:kern w:val="44"/>
        </w:rPr>
        <w:t>第四条</w:t>
      </w:r>
      <w:r>
        <w:rPr>
          <w:rFonts w:hint="eastAsia" w:ascii="宋体" w:hAnsi="宋体"/>
          <w:kern w:val="44"/>
        </w:rPr>
        <w:t>　义务教育必须贯彻国家的教育方针，实施素质教育，提高教育质量，使适龄儿童、少年在品德、智力、体质等方面全面发展，为培养有理想、有道德、有文化、有纪律的社会主义建设者和接班人奠定基础。</w:t>
      </w:r>
    </w:p>
    <w:p w14:paraId="1F421E54">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市和区、县人民政府应当合理配置教育资源，重点加强农村学校、城镇地区薄弱学校建设，缩小学校之间的办学条件差距，促进义务教育均衡发展，全面提高义务教育的教育质量和办学水平。</w:t>
      </w:r>
    </w:p>
    <w:p w14:paraId="1A1FA65D">
      <w:pPr>
        <w:ind w:firstLine="422"/>
        <w:jc w:val="left"/>
        <w:rPr>
          <w:rFonts w:ascii="宋体" w:hAnsi="宋体"/>
          <w:kern w:val="44"/>
        </w:rPr>
      </w:pPr>
      <w:r>
        <w:rPr>
          <w:rFonts w:hint="eastAsia" w:ascii="宋体" w:hAnsi="宋体"/>
          <w:b/>
          <w:kern w:val="44"/>
        </w:rPr>
        <w:t>第六条</w:t>
      </w:r>
      <w:r>
        <w:rPr>
          <w:rFonts w:hint="eastAsia" w:ascii="宋体" w:hAnsi="宋体"/>
          <w:kern w:val="44"/>
        </w:rPr>
        <w:t>　本市义务教育实行市人民政府统筹规划实施，区、县人民政府为主管理的体制。</w:t>
      </w:r>
    </w:p>
    <w:p w14:paraId="7C6E7579">
      <w:pPr>
        <w:jc w:val="left"/>
        <w:rPr>
          <w:rFonts w:ascii="宋体" w:hAnsi="宋体"/>
          <w:kern w:val="44"/>
        </w:rPr>
      </w:pPr>
      <w:r>
        <w:rPr>
          <w:rFonts w:hint="eastAsia" w:ascii="宋体" w:hAnsi="宋体"/>
          <w:kern w:val="44"/>
        </w:rPr>
        <w:t>市人民政府统筹规划本市义务教育实施工作，应当将义务教育事业纳入国民经济和社会发展规划。</w:t>
      </w:r>
    </w:p>
    <w:p w14:paraId="5905FED6">
      <w:pPr>
        <w:jc w:val="left"/>
        <w:rPr>
          <w:rFonts w:ascii="宋体" w:hAnsi="宋体"/>
          <w:kern w:val="44"/>
        </w:rPr>
      </w:pPr>
      <w:r>
        <w:rPr>
          <w:rFonts w:hint="eastAsia" w:ascii="宋体" w:hAnsi="宋体"/>
          <w:kern w:val="44"/>
        </w:rPr>
        <w:t>区、县人民政府负责义务教育实施管理工作，制定本行政区域义务教育事业发展规划，合理调整学校布局，加强教师队伍建设，保障教育经费。</w:t>
      </w:r>
    </w:p>
    <w:p w14:paraId="188C0C82">
      <w:pPr>
        <w:jc w:val="left"/>
        <w:rPr>
          <w:rFonts w:ascii="宋体" w:hAnsi="宋体"/>
          <w:kern w:val="44"/>
        </w:rPr>
      </w:pPr>
      <w:r>
        <w:rPr>
          <w:rFonts w:hint="eastAsia" w:ascii="宋体" w:hAnsi="宋体"/>
          <w:kern w:val="44"/>
        </w:rPr>
        <w:t>教育行政部门具体负责义务教育实施工作。发展改革、财政、人事、国土资源、规划、建设、卫生、公安、工商、文化等行政部门在各自的职责范围内负责义务教育实施工作。</w:t>
      </w:r>
    </w:p>
    <w:p w14:paraId="0501FBB4">
      <w:pPr>
        <w:jc w:val="left"/>
        <w:rPr>
          <w:rFonts w:ascii="宋体" w:hAnsi="宋体"/>
          <w:kern w:val="44"/>
        </w:rPr>
      </w:pPr>
      <w:r>
        <w:rPr>
          <w:rFonts w:hint="eastAsia" w:ascii="宋体" w:hAnsi="宋体"/>
          <w:kern w:val="44"/>
        </w:rPr>
        <w:t>乡、镇人民政府和街道办事处应当按照职责配合教育行政部门做好义务教育实施工作。</w:t>
      </w:r>
    </w:p>
    <w:p w14:paraId="49655A16">
      <w:pPr>
        <w:ind w:firstLine="422"/>
        <w:jc w:val="left"/>
        <w:rPr>
          <w:rFonts w:ascii="宋体" w:hAnsi="宋体"/>
          <w:kern w:val="44"/>
        </w:rPr>
      </w:pPr>
      <w:r>
        <w:rPr>
          <w:rFonts w:hint="eastAsia" w:ascii="宋体" w:hAnsi="宋体"/>
          <w:b/>
          <w:kern w:val="44"/>
        </w:rPr>
        <w:t>第七条</w:t>
      </w:r>
      <w:r>
        <w:rPr>
          <w:rFonts w:hint="eastAsia" w:ascii="宋体" w:hAnsi="宋体"/>
          <w:kern w:val="44"/>
        </w:rPr>
        <w:t>　社会组织和个人应当为适龄儿童、少年接受义务教育创造良好环境。</w:t>
      </w:r>
    </w:p>
    <w:p w14:paraId="7F1E964B">
      <w:pPr>
        <w:spacing w:line="240" w:lineRule="exact"/>
        <w:ind w:firstLine="0" w:firstLineChars="0"/>
        <w:jc w:val="center"/>
        <w:rPr>
          <w:rFonts w:ascii="宋体" w:hAnsi="宋体"/>
          <w:b/>
          <w:kern w:val="44"/>
          <w:sz w:val="28"/>
        </w:rPr>
      </w:pPr>
    </w:p>
    <w:p w14:paraId="3DEF53D9">
      <w:pPr>
        <w:ind w:firstLine="0" w:firstLineChars="0"/>
        <w:jc w:val="center"/>
        <w:rPr>
          <w:rFonts w:ascii="宋体" w:hAnsi="宋体"/>
          <w:b/>
          <w:kern w:val="44"/>
          <w:sz w:val="28"/>
        </w:rPr>
      </w:pPr>
      <w:r>
        <w:rPr>
          <w:rFonts w:hint="eastAsia" w:ascii="宋体" w:hAnsi="宋体"/>
          <w:b/>
          <w:kern w:val="44"/>
          <w:sz w:val="28"/>
        </w:rPr>
        <w:t>第二章　学　生</w:t>
      </w:r>
    </w:p>
    <w:p w14:paraId="5DCD33C1">
      <w:pPr>
        <w:spacing w:line="240" w:lineRule="exact"/>
        <w:jc w:val="left"/>
        <w:rPr>
          <w:rFonts w:ascii="宋体" w:hAnsi="宋体"/>
          <w:kern w:val="44"/>
        </w:rPr>
      </w:pPr>
    </w:p>
    <w:p w14:paraId="625FBA8B">
      <w:pPr>
        <w:ind w:firstLine="422"/>
        <w:jc w:val="left"/>
        <w:rPr>
          <w:rFonts w:ascii="宋体" w:hAnsi="宋体"/>
          <w:kern w:val="44"/>
        </w:rPr>
      </w:pPr>
      <w:r>
        <w:rPr>
          <w:rFonts w:hint="eastAsia" w:ascii="宋体" w:hAnsi="宋体"/>
          <w:b/>
          <w:kern w:val="44"/>
        </w:rPr>
        <w:t>第八条</w:t>
      </w:r>
      <w:r>
        <w:rPr>
          <w:rFonts w:hint="eastAsia" w:ascii="宋体" w:hAnsi="宋体"/>
          <w:kern w:val="44"/>
        </w:rPr>
        <w:t>　凡年满六周岁的儿童，其父母或者其他法定监护人应当送其入学接受并完成义务教育。</w:t>
      </w:r>
    </w:p>
    <w:p w14:paraId="42B387FA">
      <w:pPr>
        <w:jc w:val="left"/>
        <w:rPr>
          <w:rFonts w:ascii="宋体" w:hAnsi="宋体"/>
          <w:kern w:val="44"/>
        </w:rPr>
      </w:pPr>
      <w:r>
        <w:rPr>
          <w:rFonts w:hint="eastAsia" w:ascii="宋体" w:hAnsi="宋体"/>
          <w:kern w:val="44"/>
        </w:rPr>
        <w:t>适龄儿童、少年因身体状况需要延缓入学或者休学的，其父母或者其他法定监护人应当依法办理相关手续。</w:t>
      </w:r>
    </w:p>
    <w:p w14:paraId="5751E220">
      <w:pPr>
        <w:jc w:val="left"/>
        <w:rPr>
          <w:rFonts w:ascii="宋体" w:hAnsi="宋体"/>
          <w:kern w:val="44"/>
        </w:rPr>
      </w:pPr>
      <w:r>
        <w:rPr>
          <w:rFonts w:hint="eastAsia" w:ascii="宋体" w:hAnsi="宋体"/>
          <w:kern w:val="44"/>
        </w:rPr>
        <w:t>区、县教育行政部门和乡、镇人民政府、街道办事处应当采取措施防止适龄儿童、少年辍学。</w:t>
      </w:r>
    </w:p>
    <w:p w14:paraId="3C762497">
      <w:pPr>
        <w:ind w:firstLine="422"/>
        <w:jc w:val="left"/>
        <w:rPr>
          <w:rFonts w:ascii="宋体" w:hAnsi="宋体"/>
          <w:kern w:val="44"/>
        </w:rPr>
      </w:pPr>
      <w:r>
        <w:rPr>
          <w:rFonts w:hint="eastAsia" w:ascii="宋体" w:hAnsi="宋体"/>
          <w:b/>
          <w:kern w:val="44"/>
        </w:rPr>
        <w:t>第九条</w:t>
      </w:r>
      <w:r>
        <w:rPr>
          <w:rFonts w:hint="eastAsia" w:ascii="宋体" w:hAnsi="宋体"/>
          <w:kern w:val="44"/>
        </w:rPr>
        <w:t>　市和区、县人民政府应当制定和完善对困难群体适龄儿童、少年的就学补助政策，保障农村、家庭经济困难和残疾适龄儿童、少年等接受义务教育。</w:t>
      </w:r>
    </w:p>
    <w:p w14:paraId="6D2C7424">
      <w:pPr>
        <w:ind w:firstLine="422"/>
        <w:jc w:val="left"/>
        <w:rPr>
          <w:rFonts w:ascii="宋体" w:hAnsi="宋体"/>
          <w:kern w:val="44"/>
        </w:rPr>
      </w:pPr>
      <w:r>
        <w:rPr>
          <w:rFonts w:hint="eastAsia" w:ascii="宋体" w:hAnsi="宋体"/>
          <w:b/>
          <w:kern w:val="44"/>
        </w:rPr>
        <w:t>第十条</w:t>
      </w:r>
      <w:r>
        <w:rPr>
          <w:rFonts w:hint="eastAsia" w:ascii="宋体" w:hAnsi="宋体"/>
          <w:kern w:val="44"/>
        </w:rPr>
        <w:t>　适龄儿童、少年免试入学。学校不得采取或者变相采取考试、测试、面试等形式选拔学生，不得将各种竞赛成绩、奖励、证书作为入学的依据。</w:t>
      </w:r>
    </w:p>
    <w:p w14:paraId="5E42F00E">
      <w:pPr>
        <w:jc w:val="left"/>
        <w:rPr>
          <w:rFonts w:ascii="宋体" w:hAnsi="宋体"/>
          <w:kern w:val="44"/>
        </w:rPr>
      </w:pPr>
      <w:r>
        <w:rPr>
          <w:rFonts w:hint="eastAsia" w:ascii="宋体" w:hAnsi="宋体"/>
          <w:kern w:val="44"/>
        </w:rPr>
        <w:t>区、县人民政府应当保障适龄儿童、少年在户籍所在地就近入学。区、县教育行政部门应当根据适龄儿童、少年的数量和分布状况，合理确定本行政区域内每所公办学校的就近接收学生范围和人数，并向社会公布。学校应当按照教育行政部门的规定接收学生，并将接收学生结果向社会公布。</w:t>
      </w:r>
    </w:p>
    <w:p w14:paraId="3FF99CC1">
      <w:pPr>
        <w:jc w:val="left"/>
        <w:rPr>
          <w:rFonts w:ascii="宋体" w:hAnsi="宋体"/>
          <w:kern w:val="44"/>
        </w:rPr>
      </w:pPr>
      <w:r>
        <w:rPr>
          <w:rFonts w:hint="eastAsia" w:ascii="宋体" w:hAnsi="宋体"/>
          <w:kern w:val="44"/>
        </w:rPr>
        <w:t>区、县教育行政部门应当对本行政区域内的军人子女接受义务教育予以保障。</w:t>
      </w:r>
    </w:p>
    <w:p w14:paraId="3F835E5F">
      <w:pPr>
        <w:ind w:firstLine="422"/>
        <w:jc w:val="left"/>
        <w:rPr>
          <w:rFonts w:ascii="宋体" w:hAnsi="宋体"/>
          <w:kern w:val="44"/>
        </w:rPr>
      </w:pPr>
      <w:r>
        <w:rPr>
          <w:rFonts w:hint="eastAsia" w:ascii="宋体" w:hAnsi="宋体"/>
          <w:b/>
          <w:kern w:val="44"/>
        </w:rPr>
        <w:t>第十一条</w:t>
      </w:r>
      <w:r>
        <w:rPr>
          <w:rFonts w:hint="eastAsia" w:ascii="宋体" w:hAnsi="宋体"/>
          <w:kern w:val="44"/>
        </w:rPr>
        <w:t>　具有本市户籍的适龄儿童、少年，由父母或者其他法定监护人持本人及儿童、少年的身份证明，到户籍所在区、县的教育行政部门确定的学校办理入学手续。</w:t>
      </w:r>
    </w:p>
    <w:p w14:paraId="1CA43963">
      <w:pPr>
        <w:jc w:val="left"/>
        <w:rPr>
          <w:rFonts w:ascii="宋体" w:hAnsi="宋体"/>
          <w:kern w:val="44"/>
        </w:rPr>
      </w:pPr>
      <w:r>
        <w:rPr>
          <w:rFonts w:hint="eastAsia" w:ascii="宋体" w:hAnsi="宋体"/>
          <w:kern w:val="44"/>
        </w:rPr>
        <w:t>具有本市户籍的适龄儿童、少年，随父母或者其他法定监护人在非户籍所在区、县长期居住需要接受义务教育的，由父母或者其他法定监护人持本人及儿童、少年的身份证明、居住证明等材料，到居住地所在区、县的教育行政部门确定的学校联系就读；学校接收有困难的，可申请居住地所在区、县的教育行政部门协调解决。</w:t>
      </w:r>
    </w:p>
    <w:p w14:paraId="07E60162">
      <w:pPr>
        <w:ind w:firstLine="422"/>
        <w:jc w:val="left"/>
        <w:rPr>
          <w:rFonts w:ascii="宋体" w:hAnsi="宋体"/>
          <w:kern w:val="44"/>
        </w:rPr>
      </w:pPr>
      <w:r>
        <w:rPr>
          <w:rFonts w:hint="eastAsia" w:ascii="宋体" w:hAnsi="宋体"/>
          <w:b/>
          <w:kern w:val="44"/>
        </w:rPr>
        <w:t>第十二条</w:t>
      </w:r>
      <w:r>
        <w:rPr>
          <w:rFonts w:hint="eastAsia" w:ascii="宋体" w:hAnsi="宋体"/>
          <w:kern w:val="44"/>
        </w:rPr>
        <w:t>　非本市户籍的适龄儿童、少年，因父母或者其他法定监护人在本市工作或者居住需要在本市接受义务教育的，由父母或者其他法定监护人持本人及儿童、少年的身份证明、居住证明、工作证明等材料，经居住地所在街道办事处或者乡、镇人民政府审核确认后，到居住地所在区、县的教育行政部门确定的学校联系就读；学校接收有困难的，可申请居住地所在区、县的教育行政部门协调解决。</w:t>
      </w:r>
    </w:p>
    <w:p w14:paraId="1F477A80">
      <w:pPr>
        <w:ind w:firstLine="422"/>
        <w:jc w:val="left"/>
        <w:rPr>
          <w:rFonts w:ascii="宋体" w:hAnsi="宋体"/>
          <w:kern w:val="44"/>
        </w:rPr>
      </w:pPr>
      <w:r>
        <w:rPr>
          <w:rFonts w:hint="eastAsia" w:ascii="宋体" w:hAnsi="宋体"/>
          <w:b/>
          <w:kern w:val="44"/>
        </w:rPr>
        <w:t>第十三条</w:t>
      </w:r>
      <w:r>
        <w:rPr>
          <w:rFonts w:hint="eastAsia" w:ascii="宋体" w:hAnsi="宋体"/>
          <w:kern w:val="44"/>
        </w:rPr>
        <w:t>　市和区、县人民政府应当依法保障外地来京务工农民子女中的适龄儿童、少年接受义务教育，具体办法由市人民政府制定。</w:t>
      </w:r>
    </w:p>
    <w:p w14:paraId="1BCFB097">
      <w:pPr>
        <w:ind w:firstLine="422"/>
        <w:jc w:val="left"/>
        <w:rPr>
          <w:rFonts w:ascii="宋体" w:hAnsi="宋体"/>
          <w:kern w:val="44"/>
        </w:rPr>
      </w:pPr>
      <w:r>
        <w:rPr>
          <w:rFonts w:hint="eastAsia" w:ascii="宋体" w:hAnsi="宋体"/>
          <w:b/>
          <w:kern w:val="44"/>
        </w:rPr>
        <w:t>第十四条</w:t>
      </w:r>
      <w:r>
        <w:rPr>
          <w:rFonts w:hint="eastAsia" w:ascii="宋体" w:hAnsi="宋体"/>
          <w:kern w:val="44"/>
        </w:rPr>
        <w:t>　禁止用人单位招用应当接受义务教育的适龄儿童、少年。</w:t>
      </w:r>
    </w:p>
    <w:p w14:paraId="08AE83EC">
      <w:pPr>
        <w:jc w:val="left"/>
        <w:rPr>
          <w:rFonts w:ascii="宋体" w:hAnsi="宋体"/>
          <w:kern w:val="44"/>
        </w:rPr>
      </w:pPr>
      <w:r>
        <w:rPr>
          <w:rFonts w:hint="eastAsia" w:ascii="宋体" w:hAnsi="宋体"/>
          <w:kern w:val="44"/>
        </w:rPr>
        <w:t>根据有关规定经批准招收适龄儿童、少年进行文艺、体育等专业训练的社会组织，应当保证所招收的适龄儿童、少年接受义务教育；自行实施义务教育的，应当按照规定将招生情况、办学条件、师资和经费保障、课程设置和教学计划等，报所在地区、县教育行政部门批准后，方可实施。</w:t>
      </w:r>
    </w:p>
    <w:p w14:paraId="6A9A1D0B">
      <w:pPr>
        <w:ind w:firstLine="422"/>
        <w:jc w:val="left"/>
        <w:rPr>
          <w:rFonts w:ascii="宋体" w:hAnsi="宋体"/>
          <w:kern w:val="44"/>
        </w:rPr>
      </w:pPr>
      <w:r>
        <w:rPr>
          <w:rFonts w:hint="eastAsia" w:ascii="宋体" w:hAnsi="宋体"/>
          <w:b/>
          <w:kern w:val="44"/>
        </w:rPr>
        <w:t>第十五条</w:t>
      </w:r>
      <w:r>
        <w:rPr>
          <w:rFonts w:hint="eastAsia" w:ascii="宋体" w:hAnsi="宋体"/>
          <w:kern w:val="44"/>
        </w:rPr>
        <w:t>　学校不得组织学生参加商业性活动。</w:t>
      </w:r>
    </w:p>
    <w:p w14:paraId="0800CB3C">
      <w:pPr>
        <w:jc w:val="left"/>
        <w:rPr>
          <w:rFonts w:ascii="宋体" w:hAnsi="宋体"/>
          <w:kern w:val="44"/>
        </w:rPr>
      </w:pPr>
    </w:p>
    <w:p w14:paraId="7624E9EC">
      <w:pPr>
        <w:ind w:firstLine="0" w:firstLineChars="0"/>
        <w:jc w:val="center"/>
        <w:rPr>
          <w:rFonts w:ascii="宋体" w:hAnsi="宋体"/>
          <w:b/>
          <w:kern w:val="44"/>
          <w:sz w:val="28"/>
        </w:rPr>
      </w:pPr>
      <w:r>
        <w:rPr>
          <w:rFonts w:hint="eastAsia" w:ascii="宋体" w:hAnsi="宋体"/>
          <w:b/>
          <w:kern w:val="44"/>
          <w:sz w:val="28"/>
        </w:rPr>
        <w:t>第三章　学　校</w:t>
      </w:r>
    </w:p>
    <w:p w14:paraId="17FB9E5C">
      <w:pPr>
        <w:jc w:val="left"/>
        <w:rPr>
          <w:rFonts w:ascii="宋体" w:hAnsi="宋体"/>
          <w:kern w:val="44"/>
        </w:rPr>
      </w:pPr>
    </w:p>
    <w:p w14:paraId="79B944A4">
      <w:pPr>
        <w:ind w:firstLine="422"/>
        <w:jc w:val="left"/>
        <w:rPr>
          <w:rFonts w:ascii="宋体" w:hAnsi="宋体"/>
          <w:kern w:val="44"/>
        </w:rPr>
      </w:pPr>
      <w:r>
        <w:rPr>
          <w:rFonts w:hint="eastAsia" w:ascii="宋体" w:hAnsi="宋体"/>
          <w:b/>
          <w:kern w:val="44"/>
        </w:rPr>
        <w:t>第十六条</w:t>
      </w:r>
      <w:r>
        <w:rPr>
          <w:rFonts w:hint="eastAsia" w:ascii="宋体" w:hAnsi="宋体"/>
          <w:kern w:val="44"/>
        </w:rPr>
        <w:t>　市教育行政部门应当会同市人民政府有关部门及区、县人民政府根据城市总体规划、土地利用总体规划，组织编制教育设施专项规划，保障义务教育设施建设用地，并报市人民政府批准。</w:t>
      </w:r>
    </w:p>
    <w:p w14:paraId="53D8F1DC">
      <w:pPr>
        <w:jc w:val="left"/>
        <w:rPr>
          <w:rFonts w:ascii="宋体" w:hAnsi="宋体"/>
          <w:kern w:val="44"/>
        </w:rPr>
      </w:pPr>
      <w:r>
        <w:rPr>
          <w:rFonts w:hint="eastAsia" w:ascii="宋体" w:hAnsi="宋体"/>
          <w:kern w:val="44"/>
        </w:rPr>
        <w:t>区、县人民政府应当根据教育设施专项规划，制定本行政区域内义务教育学校的设置和调整方案，并组织实施。根据需要为山区、边远地区适龄儿童、少年设置寄宿制学校，并为住宿生提供生活补助。</w:t>
      </w:r>
    </w:p>
    <w:p w14:paraId="604F688A">
      <w:pPr>
        <w:ind w:firstLine="422"/>
        <w:jc w:val="left"/>
        <w:rPr>
          <w:rFonts w:ascii="宋体" w:hAnsi="宋体"/>
          <w:kern w:val="44"/>
        </w:rPr>
      </w:pPr>
      <w:r>
        <w:rPr>
          <w:rFonts w:hint="eastAsia" w:ascii="宋体" w:hAnsi="宋体"/>
          <w:b/>
          <w:kern w:val="44"/>
        </w:rPr>
        <w:t>第十七条</w:t>
      </w:r>
      <w:r>
        <w:rPr>
          <w:rFonts w:hint="eastAsia" w:ascii="宋体" w:hAnsi="宋体"/>
          <w:kern w:val="44"/>
        </w:rPr>
        <w:t>　市教育行政部门应当会同有关行政部门根据国家有关规定和教育教学的需要，制定学校的办学条件标准。</w:t>
      </w:r>
    </w:p>
    <w:p w14:paraId="3D125544">
      <w:pPr>
        <w:jc w:val="left"/>
        <w:rPr>
          <w:rFonts w:ascii="宋体" w:hAnsi="宋体"/>
          <w:kern w:val="44"/>
        </w:rPr>
      </w:pPr>
      <w:r>
        <w:rPr>
          <w:rFonts w:hint="eastAsia" w:ascii="宋体" w:hAnsi="宋体"/>
          <w:kern w:val="44"/>
        </w:rPr>
        <w:t>市和区、县人民政府应当保障学校达到办学条件标准。</w:t>
      </w:r>
    </w:p>
    <w:p w14:paraId="7D3B989A">
      <w:pPr>
        <w:ind w:firstLine="422"/>
        <w:jc w:val="left"/>
        <w:rPr>
          <w:rFonts w:ascii="宋体" w:hAnsi="宋体"/>
          <w:kern w:val="44"/>
        </w:rPr>
      </w:pPr>
      <w:r>
        <w:rPr>
          <w:rFonts w:hint="eastAsia" w:ascii="宋体" w:hAnsi="宋体"/>
          <w:b/>
          <w:kern w:val="44"/>
        </w:rPr>
        <w:t>第十八条</w:t>
      </w:r>
      <w:r>
        <w:rPr>
          <w:rFonts w:hint="eastAsia" w:ascii="宋体" w:hAnsi="宋体"/>
          <w:kern w:val="44"/>
        </w:rPr>
        <w:t>　新建、改建、扩建学校应当符合国家有关学校建设标准的要求，保障学生和教职工的人身安全。</w:t>
      </w:r>
    </w:p>
    <w:p w14:paraId="5B85771F">
      <w:pPr>
        <w:jc w:val="left"/>
        <w:rPr>
          <w:rFonts w:ascii="宋体" w:hAnsi="宋体"/>
          <w:kern w:val="44"/>
        </w:rPr>
      </w:pPr>
      <w:r>
        <w:rPr>
          <w:rFonts w:hint="eastAsia" w:ascii="宋体" w:hAnsi="宋体"/>
          <w:kern w:val="44"/>
        </w:rPr>
        <w:t>区、县人民政府应当定期组织对学校校舍的安全检查；对需要维修、改造的，及时予以维修、改造。</w:t>
      </w:r>
    </w:p>
    <w:p w14:paraId="7B44B0EE">
      <w:pPr>
        <w:ind w:firstLine="422"/>
        <w:jc w:val="left"/>
        <w:rPr>
          <w:rFonts w:ascii="宋体" w:hAnsi="宋体"/>
          <w:kern w:val="44"/>
        </w:rPr>
      </w:pPr>
      <w:r>
        <w:rPr>
          <w:rFonts w:hint="eastAsia" w:ascii="宋体" w:hAnsi="宋体"/>
          <w:b/>
          <w:kern w:val="44"/>
        </w:rPr>
        <w:t>第十九条</w:t>
      </w:r>
      <w:r>
        <w:rPr>
          <w:rFonts w:hint="eastAsia" w:ascii="宋体" w:hAnsi="宋体"/>
          <w:kern w:val="44"/>
        </w:rPr>
        <w:t>　新建、改建居民区需要设置学校的，应当纳入教育设施专项规划，学校建设应当符合办学条件标准，并与居民区的建设同步进行。市和区、县人民政府应当对所需建设用地依法划拨，对所需资金予以保障，学校建设由区、县人民政府负责组织实施。具体办法由市人民政府制定。</w:t>
      </w:r>
    </w:p>
    <w:p w14:paraId="48FD8534">
      <w:pPr>
        <w:ind w:firstLine="422"/>
        <w:jc w:val="left"/>
        <w:rPr>
          <w:rFonts w:ascii="宋体" w:hAnsi="宋体"/>
          <w:kern w:val="44"/>
        </w:rPr>
      </w:pPr>
      <w:r>
        <w:rPr>
          <w:rFonts w:hint="eastAsia" w:ascii="宋体" w:hAnsi="宋体"/>
          <w:b/>
          <w:kern w:val="44"/>
        </w:rPr>
        <w:t>第二十条</w:t>
      </w:r>
      <w:r>
        <w:rPr>
          <w:rFonts w:hint="eastAsia" w:ascii="宋体" w:hAnsi="宋体"/>
          <w:kern w:val="44"/>
        </w:rPr>
        <w:t>　区、县人民政府及其教育行政部门应当按照土地使用权划拨批准文件的规定使用土地，不得转让或者变相转让学校的土地，不得改变土地使用性质。确需改变土地使用性质的，应当经依法批准。学校不得违反规定出租校舍和场地。</w:t>
      </w:r>
    </w:p>
    <w:p w14:paraId="7BEC8B00">
      <w:pPr>
        <w:jc w:val="left"/>
        <w:rPr>
          <w:rFonts w:ascii="宋体" w:hAnsi="宋体"/>
          <w:kern w:val="44"/>
        </w:rPr>
      </w:pPr>
      <w:r>
        <w:rPr>
          <w:rFonts w:hint="eastAsia" w:ascii="宋体" w:hAnsi="宋体"/>
          <w:kern w:val="44"/>
        </w:rPr>
        <w:t>因建设需要拆迁学校的，拆迁部门应当与区、县教育行政部门协商，按照学校布局调整方案予以重建或者给予补偿。</w:t>
      </w:r>
    </w:p>
    <w:p w14:paraId="2157D24E">
      <w:pPr>
        <w:ind w:firstLine="422"/>
        <w:jc w:val="left"/>
        <w:rPr>
          <w:rFonts w:ascii="宋体" w:hAnsi="宋体"/>
          <w:kern w:val="44"/>
        </w:rPr>
      </w:pPr>
      <w:r>
        <w:rPr>
          <w:rFonts w:hint="eastAsia" w:ascii="宋体" w:hAnsi="宋体"/>
          <w:b/>
          <w:kern w:val="44"/>
        </w:rPr>
        <w:t>第二十一条</w:t>
      </w:r>
      <w:r>
        <w:rPr>
          <w:rFonts w:hint="eastAsia" w:ascii="宋体" w:hAnsi="宋体"/>
          <w:kern w:val="44"/>
        </w:rPr>
        <w:t>　市和区、县人民政府根据需要，按照国家有关建设标准设置特殊教育学校（班），改善特殊教育学校（班）办学条件，提高办学水平，保障残疾的适龄儿童、少年接受义务教育。</w:t>
      </w:r>
    </w:p>
    <w:p w14:paraId="7174D77C">
      <w:pPr>
        <w:jc w:val="left"/>
        <w:rPr>
          <w:rFonts w:ascii="宋体" w:hAnsi="宋体"/>
          <w:kern w:val="44"/>
        </w:rPr>
      </w:pPr>
      <w:r>
        <w:rPr>
          <w:rFonts w:hint="eastAsia" w:ascii="宋体" w:hAnsi="宋体"/>
          <w:kern w:val="44"/>
        </w:rPr>
        <w:t>学校应当接收具有接受普通教育能力的残疾适龄儿童、少年随班就读，并为其学习、康复提供帮助。</w:t>
      </w:r>
    </w:p>
    <w:p w14:paraId="347D7470">
      <w:pPr>
        <w:ind w:firstLine="422"/>
        <w:jc w:val="left"/>
        <w:rPr>
          <w:rFonts w:ascii="宋体" w:hAnsi="宋体"/>
          <w:kern w:val="44"/>
        </w:rPr>
      </w:pPr>
      <w:r>
        <w:rPr>
          <w:rFonts w:hint="eastAsia" w:ascii="宋体" w:hAnsi="宋体"/>
          <w:b/>
          <w:kern w:val="44"/>
        </w:rPr>
        <w:t>第二十二条</w:t>
      </w:r>
      <w:r>
        <w:rPr>
          <w:rFonts w:hint="eastAsia" w:ascii="宋体" w:hAnsi="宋体"/>
          <w:kern w:val="44"/>
        </w:rPr>
        <w:t>　对未完成义务教育的未成年犯和被采取强制性教育措施的未成年人，执行机关应当保证其继续接受义务教育，义务教育的教学工作由教育行政部门负责组织实施，所需经费由市人民政府予以保障。</w:t>
      </w:r>
    </w:p>
    <w:p w14:paraId="56F44DF0">
      <w:pPr>
        <w:ind w:firstLine="422"/>
        <w:jc w:val="left"/>
        <w:rPr>
          <w:rFonts w:ascii="宋体" w:hAnsi="宋体"/>
          <w:kern w:val="44"/>
        </w:rPr>
      </w:pPr>
      <w:r>
        <w:rPr>
          <w:rFonts w:hint="eastAsia" w:ascii="宋体" w:hAnsi="宋体"/>
          <w:b/>
          <w:kern w:val="44"/>
        </w:rPr>
        <w:t>第二十三条</w:t>
      </w:r>
      <w:r>
        <w:rPr>
          <w:rFonts w:hint="eastAsia" w:ascii="宋体" w:hAnsi="宋体"/>
          <w:kern w:val="44"/>
        </w:rPr>
        <w:t>　市和区、县人民政府及其教育行政部门不得将学校分为重点学校和非重点学校，不得利用财政性教育经费重点建设办学条件超标准学校。</w:t>
      </w:r>
    </w:p>
    <w:p w14:paraId="5920F99D">
      <w:pPr>
        <w:jc w:val="left"/>
        <w:rPr>
          <w:rFonts w:ascii="宋体" w:hAnsi="宋体"/>
          <w:kern w:val="44"/>
        </w:rPr>
      </w:pPr>
      <w:r>
        <w:rPr>
          <w:rFonts w:hint="eastAsia" w:ascii="宋体" w:hAnsi="宋体"/>
          <w:kern w:val="44"/>
        </w:rPr>
        <w:t>学校不得以各种名义在校内分设重点班和非重点班。</w:t>
      </w:r>
    </w:p>
    <w:p w14:paraId="3428114F">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市和区、县人民政府及其教育行政部门不得以任何名义改变或者变相改变公办学校的性质。公办学校不得违反法律、法规规定举办民办学校。</w:t>
      </w:r>
    </w:p>
    <w:p w14:paraId="794AFBB8">
      <w:pPr>
        <w:ind w:firstLine="422"/>
        <w:jc w:val="left"/>
        <w:rPr>
          <w:rFonts w:ascii="宋体" w:hAnsi="宋体"/>
          <w:kern w:val="44"/>
        </w:rPr>
      </w:pPr>
      <w:r>
        <w:rPr>
          <w:rFonts w:hint="eastAsia" w:ascii="宋体" w:hAnsi="宋体"/>
          <w:b/>
          <w:kern w:val="44"/>
        </w:rPr>
        <w:t>第二十五条</w:t>
      </w:r>
      <w:r>
        <w:rPr>
          <w:rFonts w:hint="eastAsia" w:ascii="宋体" w:hAnsi="宋体"/>
          <w:kern w:val="44"/>
        </w:rPr>
        <w:t>　学校不得违反国家规定收取费用，不得以向学生推销或者变相推销商品、服务等方式谋取利益。</w:t>
      </w:r>
    </w:p>
    <w:p w14:paraId="589C877B">
      <w:pPr>
        <w:ind w:firstLine="422"/>
        <w:jc w:val="left"/>
        <w:rPr>
          <w:rFonts w:ascii="宋体" w:hAnsi="宋体"/>
          <w:kern w:val="44"/>
        </w:rPr>
      </w:pPr>
      <w:r>
        <w:rPr>
          <w:rFonts w:hint="eastAsia" w:ascii="宋体" w:hAnsi="宋体"/>
          <w:b/>
          <w:kern w:val="44"/>
        </w:rPr>
        <w:t>第二十六条</w:t>
      </w:r>
      <w:r>
        <w:rPr>
          <w:rFonts w:hint="eastAsia" w:ascii="宋体" w:hAnsi="宋体"/>
          <w:kern w:val="44"/>
        </w:rPr>
        <w:t>　学校应当建立健全校舍、消防、卫生等安全制度和应急机制，加强管理，及时消除隐患，预防发生事故。</w:t>
      </w:r>
    </w:p>
    <w:p w14:paraId="2210DAB3">
      <w:pPr>
        <w:jc w:val="left"/>
        <w:rPr>
          <w:rFonts w:ascii="宋体" w:hAnsi="宋体"/>
          <w:kern w:val="44"/>
        </w:rPr>
      </w:pPr>
      <w:r>
        <w:rPr>
          <w:rFonts w:hint="eastAsia" w:ascii="宋体" w:hAnsi="宋体"/>
          <w:kern w:val="44"/>
        </w:rPr>
        <w:t>学校应当将应急知识教育纳入教学内容，根据学生的年龄和认知能力，采取多种形式对学生进行应急知识教育，培养学生的安全意识和自救能力。</w:t>
      </w:r>
    </w:p>
    <w:p w14:paraId="30798DC7">
      <w:pPr>
        <w:ind w:firstLine="422"/>
        <w:jc w:val="left"/>
        <w:rPr>
          <w:rFonts w:ascii="宋体" w:hAnsi="宋体"/>
          <w:kern w:val="44"/>
        </w:rPr>
      </w:pPr>
      <w:r>
        <w:rPr>
          <w:rFonts w:hint="eastAsia" w:ascii="宋体" w:hAnsi="宋体"/>
          <w:b/>
          <w:kern w:val="44"/>
        </w:rPr>
        <w:t>第二十七条</w:t>
      </w:r>
      <w:r>
        <w:rPr>
          <w:rFonts w:hint="eastAsia" w:ascii="宋体" w:hAnsi="宋体"/>
          <w:kern w:val="44"/>
        </w:rPr>
        <w:t>　区、县人民政府应当组织相关部门定期对学校的安全管理工作进行监督和指导。</w:t>
      </w:r>
    </w:p>
    <w:p w14:paraId="2F9C9F38">
      <w:pPr>
        <w:ind w:firstLine="422"/>
        <w:jc w:val="left"/>
        <w:rPr>
          <w:rFonts w:ascii="宋体" w:hAnsi="宋体"/>
          <w:kern w:val="44"/>
        </w:rPr>
      </w:pPr>
      <w:r>
        <w:rPr>
          <w:rFonts w:hint="eastAsia" w:ascii="宋体" w:hAnsi="宋体"/>
          <w:b/>
          <w:kern w:val="44"/>
        </w:rPr>
        <w:t>第二十八条</w:t>
      </w:r>
      <w:r>
        <w:rPr>
          <w:rFonts w:hint="eastAsia" w:ascii="宋体" w:hAnsi="宋体"/>
          <w:kern w:val="44"/>
        </w:rPr>
        <w:t>　本市各级人民政府及其有关部门依法维护学校周边秩序，为学校提供安全保障，保护学生、教师和学校的合法权益。</w:t>
      </w:r>
    </w:p>
    <w:p w14:paraId="0FDE2F86">
      <w:pPr>
        <w:ind w:firstLine="422"/>
        <w:jc w:val="left"/>
        <w:rPr>
          <w:rFonts w:ascii="宋体" w:hAnsi="宋体"/>
          <w:kern w:val="44"/>
        </w:rPr>
      </w:pPr>
      <w:r>
        <w:rPr>
          <w:rFonts w:hint="eastAsia" w:ascii="宋体" w:hAnsi="宋体"/>
          <w:b/>
          <w:kern w:val="44"/>
        </w:rPr>
        <w:t>第二十九条</w:t>
      </w:r>
      <w:r>
        <w:rPr>
          <w:rFonts w:hint="eastAsia" w:ascii="宋体" w:hAnsi="宋体"/>
          <w:kern w:val="44"/>
        </w:rPr>
        <w:t>　学校实行校长负责制。</w:t>
      </w:r>
    </w:p>
    <w:p w14:paraId="226E912F">
      <w:pPr>
        <w:jc w:val="left"/>
        <w:rPr>
          <w:rFonts w:ascii="宋体" w:hAnsi="宋体"/>
          <w:kern w:val="44"/>
        </w:rPr>
      </w:pPr>
      <w:r>
        <w:rPr>
          <w:rFonts w:hint="eastAsia" w:ascii="宋体" w:hAnsi="宋体"/>
          <w:kern w:val="44"/>
        </w:rPr>
        <w:t>教育行政部门按照国家规定完善校长任职资格标准体系和校长持证上岗制度，加强对校长的培训，建设培训信息资源库和培训质量监控与评估体系，提高校长依法办学、民主治校、科学管理和组织实施素质教育的能力。</w:t>
      </w:r>
    </w:p>
    <w:p w14:paraId="2E3EA588">
      <w:pPr>
        <w:ind w:firstLine="422"/>
        <w:jc w:val="left"/>
        <w:rPr>
          <w:rFonts w:ascii="宋体" w:hAnsi="宋体"/>
          <w:kern w:val="44"/>
        </w:rPr>
      </w:pPr>
      <w:r>
        <w:rPr>
          <w:rFonts w:hint="eastAsia" w:ascii="宋体" w:hAnsi="宋体"/>
          <w:b/>
          <w:kern w:val="44"/>
        </w:rPr>
        <w:t>第三十条</w:t>
      </w:r>
      <w:r>
        <w:rPr>
          <w:rFonts w:hint="eastAsia" w:ascii="宋体" w:hAnsi="宋体"/>
          <w:kern w:val="44"/>
        </w:rPr>
        <w:t>　学校应当按照有关法律、法规、规章的规定，建立学生管理制度，制定学生行为规范。学生违反管理制度的，学校应当予以批评教育，但不得责令学生转学、退学或者开除学生。对有严重不良行为的学生，其父母或者其他法定监护人和学校应当相互配合，严加管教，也可以依法送专门学校进行矫治和接受教育。</w:t>
      </w:r>
    </w:p>
    <w:p w14:paraId="3D9C9D05">
      <w:pPr>
        <w:ind w:firstLine="422"/>
        <w:jc w:val="left"/>
        <w:rPr>
          <w:rFonts w:ascii="宋体" w:hAnsi="宋体"/>
          <w:kern w:val="44"/>
        </w:rPr>
      </w:pPr>
      <w:r>
        <w:rPr>
          <w:rFonts w:hint="eastAsia" w:ascii="宋体" w:hAnsi="宋体"/>
          <w:b/>
          <w:kern w:val="44"/>
        </w:rPr>
        <w:t>第三十一条</w:t>
      </w:r>
      <w:r>
        <w:rPr>
          <w:rFonts w:hint="eastAsia" w:ascii="宋体" w:hAnsi="宋体"/>
          <w:kern w:val="44"/>
        </w:rPr>
        <w:t>　教育行政部门应当推动城乡之间和区域内教育设施和设备、课程、人才等资源共享，提高资源使用效益。</w:t>
      </w:r>
    </w:p>
    <w:p w14:paraId="73EFD44F">
      <w:pPr>
        <w:jc w:val="left"/>
        <w:rPr>
          <w:rFonts w:ascii="宋体" w:hAnsi="宋体"/>
          <w:kern w:val="44"/>
        </w:rPr>
      </w:pPr>
    </w:p>
    <w:p w14:paraId="32C5A68B">
      <w:pPr>
        <w:ind w:firstLine="0" w:firstLineChars="0"/>
        <w:jc w:val="center"/>
        <w:rPr>
          <w:rFonts w:ascii="宋体" w:hAnsi="宋体"/>
          <w:b/>
          <w:kern w:val="44"/>
          <w:sz w:val="28"/>
        </w:rPr>
      </w:pPr>
      <w:r>
        <w:rPr>
          <w:rFonts w:hint="eastAsia" w:ascii="宋体" w:hAnsi="宋体"/>
          <w:b/>
          <w:kern w:val="44"/>
          <w:sz w:val="28"/>
        </w:rPr>
        <w:t>第四章　教　师</w:t>
      </w:r>
    </w:p>
    <w:p w14:paraId="39E49740">
      <w:pPr>
        <w:jc w:val="left"/>
        <w:rPr>
          <w:rFonts w:ascii="宋体" w:hAnsi="宋体"/>
          <w:kern w:val="44"/>
        </w:rPr>
      </w:pPr>
    </w:p>
    <w:p w14:paraId="359D5D16">
      <w:pPr>
        <w:ind w:firstLine="422"/>
        <w:jc w:val="left"/>
        <w:rPr>
          <w:rFonts w:ascii="宋体" w:hAnsi="宋体"/>
          <w:kern w:val="44"/>
        </w:rPr>
      </w:pPr>
      <w:r>
        <w:rPr>
          <w:rFonts w:hint="eastAsia" w:ascii="宋体" w:hAnsi="宋体"/>
          <w:b/>
          <w:kern w:val="44"/>
        </w:rPr>
        <w:t>第三十二条</w:t>
      </w:r>
      <w:r>
        <w:rPr>
          <w:rFonts w:hint="eastAsia" w:ascii="宋体" w:hAnsi="宋体"/>
          <w:kern w:val="44"/>
        </w:rPr>
        <w:t>　教师应当取得国家规定的教师资格，并符合本市规定的教师岗位聘任条件。</w:t>
      </w:r>
    </w:p>
    <w:p w14:paraId="11EF6A92">
      <w:pPr>
        <w:jc w:val="left"/>
        <w:rPr>
          <w:rFonts w:ascii="宋体" w:hAnsi="宋体"/>
          <w:kern w:val="44"/>
        </w:rPr>
      </w:pPr>
      <w:r>
        <w:rPr>
          <w:rFonts w:hint="eastAsia" w:ascii="宋体" w:hAnsi="宋体"/>
          <w:kern w:val="44"/>
        </w:rPr>
        <w:t>本市执行国家统一的义务教育教师职务制度。</w:t>
      </w:r>
    </w:p>
    <w:p w14:paraId="135599CC">
      <w:pPr>
        <w:ind w:firstLine="422"/>
        <w:jc w:val="left"/>
        <w:rPr>
          <w:rFonts w:ascii="宋体" w:hAnsi="宋体"/>
          <w:kern w:val="44"/>
        </w:rPr>
      </w:pPr>
      <w:r>
        <w:rPr>
          <w:rFonts w:hint="eastAsia" w:ascii="宋体" w:hAnsi="宋体"/>
          <w:b/>
          <w:kern w:val="44"/>
        </w:rPr>
        <w:t>第三十三条</w:t>
      </w:r>
      <w:r>
        <w:rPr>
          <w:rFonts w:hint="eastAsia" w:ascii="宋体" w:hAnsi="宋体"/>
          <w:kern w:val="44"/>
        </w:rPr>
        <w:t>　本市各级人民政府保障教师工资福利和社会保险待遇，为教师提供医疗保障，改善教师工作和生活条件。</w:t>
      </w:r>
    </w:p>
    <w:p w14:paraId="374B6573">
      <w:pPr>
        <w:jc w:val="left"/>
        <w:rPr>
          <w:rFonts w:ascii="宋体" w:hAnsi="宋体"/>
          <w:kern w:val="44"/>
        </w:rPr>
      </w:pPr>
      <w:r>
        <w:rPr>
          <w:rFonts w:hint="eastAsia" w:ascii="宋体" w:hAnsi="宋体"/>
          <w:kern w:val="44"/>
        </w:rPr>
        <w:t>本市完善教师工资制度，建立科学、规范的收入分配机制。</w:t>
      </w:r>
    </w:p>
    <w:p w14:paraId="06D6A8AE">
      <w:pPr>
        <w:jc w:val="left"/>
        <w:rPr>
          <w:rFonts w:ascii="宋体" w:hAnsi="宋体"/>
          <w:kern w:val="44"/>
        </w:rPr>
      </w:pPr>
      <w:r>
        <w:rPr>
          <w:rFonts w:hint="eastAsia" w:ascii="宋体" w:hAnsi="宋体"/>
          <w:kern w:val="44"/>
        </w:rPr>
        <w:t>市和区、县人民政府应当缩小区县之间、学校之间教师收入差距，保障教师的平均工资水平不低于当地公务员平均工资水平。</w:t>
      </w:r>
    </w:p>
    <w:p w14:paraId="0F006EDA">
      <w:pPr>
        <w:jc w:val="left"/>
        <w:rPr>
          <w:rFonts w:ascii="宋体" w:hAnsi="宋体"/>
          <w:kern w:val="44"/>
        </w:rPr>
      </w:pPr>
      <w:r>
        <w:rPr>
          <w:rFonts w:hint="eastAsia" w:ascii="宋体" w:hAnsi="宋体"/>
          <w:kern w:val="44"/>
        </w:rPr>
        <w:t>特殊教育教师享有特殊岗位补助津贴。在山区和边远地区工作的教师享有山区和边远地区补助津贴。</w:t>
      </w:r>
    </w:p>
    <w:p w14:paraId="046CF0C2">
      <w:pPr>
        <w:ind w:firstLine="422"/>
        <w:jc w:val="left"/>
        <w:rPr>
          <w:rFonts w:ascii="宋体" w:hAnsi="宋体"/>
          <w:kern w:val="44"/>
        </w:rPr>
      </w:pPr>
      <w:r>
        <w:rPr>
          <w:rFonts w:hint="eastAsia" w:ascii="宋体" w:hAnsi="宋体"/>
          <w:b/>
          <w:kern w:val="44"/>
        </w:rPr>
        <w:t>第三十四条</w:t>
      </w:r>
      <w:r>
        <w:rPr>
          <w:rFonts w:hint="eastAsia" w:ascii="宋体" w:hAnsi="宋体"/>
          <w:kern w:val="44"/>
        </w:rPr>
        <w:t>　教育、人事等行政部门应当统筹规划教师队伍建设，深化人事制度改革，优化教师队伍结构，按照面向全体、整体提升的原则，采取措施加强对教师的管理和培养、培训，提高教师职业道德水平和教育教学能力，关心教师身心健康，在教师队伍中大力弘扬为人师表、教书育人、敬业爱岗的良好风尚。</w:t>
      </w:r>
    </w:p>
    <w:p w14:paraId="6115D6EC">
      <w:pPr>
        <w:ind w:firstLine="422"/>
        <w:jc w:val="left"/>
        <w:rPr>
          <w:rFonts w:ascii="宋体" w:hAnsi="宋体"/>
          <w:kern w:val="44"/>
        </w:rPr>
      </w:pPr>
      <w:r>
        <w:rPr>
          <w:rFonts w:hint="eastAsia" w:ascii="宋体" w:hAnsi="宋体"/>
          <w:b/>
          <w:kern w:val="44"/>
        </w:rPr>
        <w:t>第三十五条</w:t>
      </w:r>
      <w:r>
        <w:rPr>
          <w:rFonts w:hint="eastAsia" w:ascii="宋体" w:hAnsi="宋体"/>
          <w:kern w:val="44"/>
        </w:rPr>
        <w:t>　教师应当按照规定履行教育教学职责。</w:t>
      </w:r>
    </w:p>
    <w:p w14:paraId="52E6621F">
      <w:pPr>
        <w:jc w:val="left"/>
        <w:rPr>
          <w:rFonts w:ascii="宋体" w:hAnsi="宋体"/>
          <w:kern w:val="44"/>
        </w:rPr>
      </w:pPr>
      <w:r>
        <w:rPr>
          <w:rFonts w:hint="eastAsia" w:ascii="宋体" w:hAnsi="宋体"/>
          <w:kern w:val="44"/>
        </w:rPr>
        <w:t>公办学校教师在工作日期间不得到校外社会办学机构兼职兼课；不得组织学生接受有偿家教。</w:t>
      </w:r>
    </w:p>
    <w:p w14:paraId="30D3F74C">
      <w:pPr>
        <w:ind w:firstLine="422"/>
        <w:jc w:val="left"/>
        <w:rPr>
          <w:rFonts w:ascii="宋体" w:hAnsi="宋体"/>
          <w:kern w:val="44"/>
        </w:rPr>
      </w:pPr>
      <w:r>
        <w:rPr>
          <w:rFonts w:hint="eastAsia" w:ascii="宋体" w:hAnsi="宋体"/>
          <w:b/>
          <w:kern w:val="44"/>
        </w:rPr>
        <w:t>第三十六条</w:t>
      </w:r>
      <w:r>
        <w:rPr>
          <w:rFonts w:hint="eastAsia" w:ascii="宋体" w:hAnsi="宋体"/>
          <w:kern w:val="44"/>
        </w:rPr>
        <w:t>　区、县教育行政部门应当均衡配置学校的师资力量，在教师培训、岗位设置、骨干教师配备、学科带头人培养等方面向农村学校和城镇地区薄弱学校倾斜，并组织学校校长、教师流动。</w:t>
      </w:r>
    </w:p>
    <w:p w14:paraId="78916073">
      <w:pPr>
        <w:ind w:firstLine="422"/>
        <w:jc w:val="left"/>
        <w:rPr>
          <w:rFonts w:ascii="宋体" w:hAnsi="宋体"/>
          <w:kern w:val="44"/>
        </w:rPr>
      </w:pPr>
      <w:r>
        <w:rPr>
          <w:rFonts w:hint="eastAsia" w:ascii="宋体" w:hAnsi="宋体"/>
          <w:b/>
          <w:kern w:val="44"/>
        </w:rPr>
        <w:t>第三十七条</w:t>
      </w:r>
      <w:r>
        <w:rPr>
          <w:rFonts w:hint="eastAsia" w:ascii="宋体" w:hAnsi="宋体"/>
          <w:kern w:val="44"/>
        </w:rPr>
        <w:t>　市和区、县人民政府组织城市地区教师到农村地区支援义务教育工作，鼓励和支持高等学校毕业生到农村学校和城镇地区薄弱学校从事义务教育工作。</w:t>
      </w:r>
    </w:p>
    <w:p w14:paraId="23B7B95B">
      <w:pPr>
        <w:jc w:val="left"/>
        <w:rPr>
          <w:rFonts w:ascii="宋体" w:hAnsi="宋体"/>
          <w:kern w:val="44"/>
        </w:rPr>
      </w:pPr>
    </w:p>
    <w:p w14:paraId="655C447B">
      <w:pPr>
        <w:ind w:firstLine="0" w:firstLineChars="0"/>
        <w:jc w:val="center"/>
        <w:rPr>
          <w:rFonts w:ascii="宋体" w:hAnsi="宋体"/>
          <w:b/>
          <w:kern w:val="44"/>
          <w:sz w:val="28"/>
        </w:rPr>
      </w:pPr>
      <w:r>
        <w:rPr>
          <w:rFonts w:hint="eastAsia" w:ascii="宋体" w:hAnsi="宋体"/>
          <w:b/>
          <w:kern w:val="44"/>
          <w:sz w:val="28"/>
        </w:rPr>
        <w:t>第五章　教育教学</w:t>
      </w:r>
    </w:p>
    <w:p w14:paraId="20299513">
      <w:pPr>
        <w:jc w:val="left"/>
        <w:rPr>
          <w:rFonts w:ascii="宋体" w:hAnsi="宋体"/>
          <w:kern w:val="44"/>
        </w:rPr>
      </w:pPr>
    </w:p>
    <w:p w14:paraId="2DCA8423">
      <w:pPr>
        <w:ind w:firstLine="422"/>
        <w:jc w:val="left"/>
        <w:rPr>
          <w:rFonts w:ascii="宋体" w:hAnsi="宋体"/>
          <w:kern w:val="44"/>
        </w:rPr>
      </w:pPr>
      <w:r>
        <w:rPr>
          <w:rFonts w:hint="eastAsia" w:ascii="宋体" w:hAnsi="宋体"/>
          <w:b/>
          <w:kern w:val="44"/>
        </w:rPr>
        <w:t>第三十八条</w:t>
      </w:r>
      <w:r>
        <w:rPr>
          <w:rFonts w:hint="eastAsia" w:ascii="宋体" w:hAnsi="宋体"/>
          <w:kern w:val="44"/>
        </w:rPr>
        <w:t>　教育教学工作应当符合教育规律和学生身心发展特点，面向全体学生，因材施教，将德育、智育、体育、美育等有机统一在教育教学活动中，注重增强学生体质和精神健康，培养学生独立思考能力、创新能力和实践能力，促进学生全面发展。</w:t>
      </w:r>
    </w:p>
    <w:p w14:paraId="26BE4AA2">
      <w:pPr>
        <w:ind w:firstLine="422"/>
        <w:jc w:val="left"/>
        <w:rPr>
          <w:rFonts w:ascii="宋体" w:hAnsi="宋体"/>
          <w:kern w:val="44"/>
        </w:rPr>
      </w:pPr>
      <w:r>
        <w:rPr>
          <w:rFonts w:hint="eastAsia" w:ascii="宋体" w:hAnsi="宋体"/>
          <w:b/>
          <w:kern w:val="44"/>
        </w:rPr>
        <w:t>第三十九条</w:t>
      </w:r>
      <w:r>
        <w:rPr>
          <w:rFonts w:hint="eastAsia" w:ascii="宋体" w:hAnsi="宋体"/>
          <w:kern w:val="44"/>
        </w:rPr>
        <w:t>　教育行政部门和学校应当加强教学研究和教育科研工作，推进教育创新。</w:t>
      </w:r>
    </w:p>
    <w:p w14:paraId="2C8FBC27">
      <w:pPr>
        <w:ind w:firstLine="422"/>
        <w:jc w:val="left"/>
        <w:rPr>
          <w:rFonts w:ascii="宋体" w:hAnsi="宋体"/>
          <w:kern w:val="44"/>
        </w:rPr>
      </w:pPr>
      <w:r>
        <w:rPr>
          <w:rFonts w:hint="eastAsia" w:ascii="宋体" w:hAnsi="宋体"/>
          <w:b/>
          <w:kern w:val="44"/>
        </w:rPr>
        <w:t>第四十条</w:t>
      </w:r>
      <w:r>
        <w:rPr>
          <w:rFonts w:hint="eastAsia" w:ascii="宋体" w:hAnsi="宋体"/>
          <w:kern w:val="44"/>
        </w:rPr>
        <w:t>　教育行政部门应当按照国家要求推进教学内容与方式、考试、招生和质量评价制度等改革，建立健全义务教育质量监控体系和教学指导体系。</w:t>
      </w:r>
    </w:p>
    <w:p w14:paraId="6E1B3474">
      <w:pPr>
        <w:ind w:firstLine="422"/>
        <w:jc w:val="left"/>
        <w:rPr>
          <w:rFonts w:ascii="宋体" w:hAnsi="宋体"/>
          <w:kern w:val="44"/>
        </w:rPr>
      </w:pPr>
      <w:r>
        <w:rPr>
          <w:rFonts w:hint="eastAsia" w:ascii="宋体" w:hAnsi="宋体"/>
          <w:b/>
          <w:kern w:val="44"/>
        </w:rPr>
        <w:t>第四十一条</w:t>
      </w:r>
      <w:r>
        <w:rPr>
          <w:rFonts w:hint="eastAsia" w:ascii="宋体" w:hAnsi="宋体"/>
          <w:kern w:val="44"/>
        </w:rPr>
        <w:t>　学校和教师应当按照国家确定的教育教学内容和课程设置、课时安排开展教育教学活动，保证达到国家规定的基本质量要求；不得违反规定增加学生课业负担，增加考试科目的课时或者减少非考试科目的课时；不得按照考试成绩对学生进行排名；不得利用假期、公休日、课余时间组织学生进行强制补课；不得动员、组织本校学生参加社会力量举办的文化课补习班。</w:t>
      </w:r>
    </w:p>
    <w:p w14:paraId="1AEBC301">
      <w:pPr>
        <w:jc w:val="left"/>
        <w:rPr>
          <w:rFonts w:ascii="宋体" w:hAnsi="宋体"/>
          <w:kern w:val="44"/>
        </w:rPr>
      </w:pPr>
      <w:r>
        <w:rPr>
          <w:rFonts w:hint="eastAsia" w:ascii="宋体" w:hAnsi="宋体"/>
          <w:kern w:val="44"/>
        </w:rPr>
        <w:t>教育行政部门应当执行国家教学制度、教育教学内容和课程设置，推进实施素质教育，并对学校教育教学活动进行指导和检查。</w:t>
      </w:r>
    </w:p>
    <w:p w14:paraId="5EA1B618">
      <w:pPr>
        <w:ind w:firstLine="422"/>
        <w:jc w:val="left"/>
        <w:rPr>
          <w:rFonts w:ascii="宋体" w:hAnsi="宋体"/>
          <w:kern w:val="44"/>
        </w:rPr>
      </w:pPr>
      <w:r>
        <w:rPr>
          <w:rFonts w:hint="eastAsia" w:ascii="宋体" w:hAnsi="宋体"/>
          <w:b/>
          <w:kern w:val="44"/>
        </w:rPr>
        <w:t>第四十二条</w:t>
      </w:r>
      <w:r>
        <w:rPr>
          <w:rFonts w:hint="eastAsia" w:ascii="宋体" w:hAnsi="宋体"/>
          <w:kern w:val="44"/>
        </w:rPr>
        <w:t>　学校应当把德育放在首位，寓德育于教育教学之中，加强对学生的法制教育，促进学生养成良好的思想品德和行为习惯。</w:t>
      </w:r>
    </w:p>
    <w:p w14:paraId="55D116A6">
      <w:pPr>
        <w:ind w:firstLine="422"/>
        <w:jc w:val="left"/>
        <w:rPr>
          <w:rFonts w:ascii="宋体" w:hAnsi="宋体"/>
          <w:kern w:val="44"/>
        </w:rPr>
      </w:pPr>
      <w:r>
        <w:rPr>
          <w:rFonts w:hint="eastAsia" w:ascii="宋体" w:hAnsi="宋体"/>
          <w:b/>
          <w:kern w:val="44"/>
        </w:rPr>
        <w:t>第四十三条</w:t>
      </w:r>
      <w:r>
        <w:rPr>
          <w:rFonts w:hint="eastAsia" w:ascii="宋体" w:hAnsi="宋体"/>
          <w:kern w:val="44"/>
        </w:rPr>
        <w:t>　学校应当按照素质教育的要求，组织学生开展体育、文艺、科技和社会实践活动，有计划地组织学生参观博物馆、科技馆、纪念馆和爱国主义教育基地等场馆。</w:t>
      </w:r>
    </w:p>
    <w:p w14:paraId="3163408B">
      <w:pPr>
        <w:jc w:val="left"/>
        <w:rPr>
          <w:rFonts w:ascii="宋体" w:hAnsi="宋体"/>
          <w:kern w:val="44"/>
        </w:rPr>
      </w:pPr>
      <w:r>
        <w:rPr>
          <w:rFonts w:hint="eastAsia" w:ascii="宋体" w:hAnsi="宋体"/>
          <w:kern w:val="44"/>
        </w:rPr>
        <w:t>学校应当保证学生每天体育锻炼的时间不少于1小时；小学生和初中学生每学年参加社会实践活动的时间分别不少于10天和20天。</w:t>
      </w:r>
    </w:p>
    <w:p w14:paraId="58303088">
      <w:pPr>
        <w:jc w:val="left"/>
        <w:rPr>
          <w:rFonts w:ascii="宋体" w:hAnsi="宋体"/>
          <w:kern w:val="44"/>
        </w:rPr>
      </w:pPr>
      <w:r>
        <w:rPr>
          <w:rFonts w:hint="eastAsia" w:ascii="宋体" w:hAnsi="宋体"/>
          <w:kern w:val="44"/>
        </w:rPr>
        <w:t>社会公共文化体育设施应当为学校开展教育教学活动提供条件和便利。</w:t>
      </w:r>
    </w:p>
    <w:p w14:paraId="1595C498">
      <w:pPr>
        <w:ind w:firstLine="422"/>
        <w:jc w:val="left"/>
        <w:rPr>
          <w:rFonts w:ascii="宋体" w:hAnsi="宋体"/>
          <w:kern w:val="44"/>
        </w:rPr>
      </w:pPr>
      <w:r>
        <w:rPr>
          <w:rFonts w:hint="eastAsia" w:ascii="宋体" w:hAnsi="宋体"/>
          <w:b/>
          <w:kern w:val="44"/>
        </w:rPr>
        <w:t>第四十四条</w:t>
      </w:r>
      <w:r>
        <w:rPr>
          <w:rFonts w:hint="eastAsia" w:ascii="宋体" w:hAnsi="宋体"/>
          <w:kern w:val="44"/>
        </w:rPr>
        <w:t>　教育、卫生行政部门应当对教师进行精神卫生知识培训，提高其促进学生精神健康的能力。学校应当将精神健康教育纳入教学计划，针对学生特点，开展精神健康教育、咨询、辅导，创造有利于学生精神健康的学习环境，促进学生身心健康。有条件的中小学校应当配备专业人员，为学生提供心理咨询服务。</w:t>
      </w:r>
    </w:p>
    <w:p w14:paraId="795C8CD2">
      <w:pPr>
        <w:ind w:firstLine="422"/>
        <w:jc w:val="left"/>
        <w:rPr>
          <w:rFonts w:ascii="宋体" w:hAnsi="宋体"/>
          <w:kern w:val="44"/>
        </w:rPr>
      </w:pPr>
      <w:r>
        <w:rPr>
          <w:rFonts w:hint="eastAsia" w:ascii="宋体" w:hAnsi="宋体"/>
          <w:b/>
          <w:kern w:val="44"/>
        </w:rPr>
        <w:t>第四十五条</w:t>
      </w:r>
      <w:r>
        <w:rPr>
          <w:rFonts w:hint="eastAsia" w:ascii="宋体" w:hAnsi="宋体"/>
          <w:kern w:val="44"/>
        </w:rPr>
        <w:t>　教育行政部门应当按照国家规定，加强对教科书选用的监督和管理。</w:t>
      </w:r>
    </w:p>
    <w:p w14:paraId="3DEC0027">
      <w:pPr>
        <w:jc w:val="left"/>
        <w:rPr>
          <w:rFonts w:ascii="宋体" w:hAnsi="宋体"/>
          <w:kern w:val="44"/>
        </w:rPr>
      </w:pPr>
      <w:r>
        <w:rPr>
          <w:rFonts w:hint="eastAsia" w:ascii="宋体" w:hAnsi="宋体"/>
          <w:kern w:val="44"/>
        </w:rPr>
        <w:t>任何单位和个人不得以任何形式强迫学校、学生订购教学辅导材料和报刊杂志。</w:t>
      </w:r>
    </w:p>
    <w:p w14:paraId="21F162B4">
      <w:pPr>
        <w:jc w:val="left"/>
        <w:rPr>
          <w:rFonts w:ascii="宋体" w:hAnsi="宋体"/>
          <w:kern w:val="44"/>
        </w:rPr>
      </w:pPr>
      <w:r>
        <w:rPr>
          <w:rFonts w:hint="eastAsia" w:ascii="宋体" w:hAnsi="宋体"/>
          <w:kern w:val="44"/>
        </w:rPr>
        <w:t>本市鼓励学校开展教科书循环使用工作。</w:t>
      </w:r>
    </w:p>
    <w:p w14:paraId="1DBB6243">
      <w:pPr>
        <w:jc w:val="left"/>
        <w:rPr>
          <w:rFonts w:ascii="宋体" w:hAnsi="宋体"/>
          <w:kern w:val="44"/>
        </w:rPr>
      </w:pPr>
    </w:p>
    <w:p w14:paraId="652C5E51">
      <w:pPr>
        <w:ind w:firstLine="0" w:firstLineChars="0"/>
        <w:jc w:val="center"/>
        <w:rPr>
          <w:rFonts w:ascii="宋体" w:hAnsi="宋体"/>
          <w:b/>
          <w:kern w:val="44"/>
          <w:sz w:val="28"/>
        </w:rPr>
      </w:pPr>
      <w:r>
        <w:rPr>
          <w:rFonts w:hint="eastAsia" w:ascii="宋体" w:hAnsi="宋体"/>
          <w:b/>
          <w:kern w:val="44"/>
          <w:sz w:val="28"/>
        </w:rPr>
        <w:t>第六章　经费保障</w:t>
      </w:r>
    </w:p>
    <w:p w14:paraId="57D4AA6D">
      <w:pPr>
        <w:jc w:val="left"/>
        <w:rPr>
          <w:rFonts w:ascii="宋体" w:hAnsi="宋体"/>
          <w:kern w:val="44"/>
        </w:rPr>
      </w:pPr>
    </w:p>
    <w:p w14:paraId="461899D6">
      <w:pPr>
        <w:ind w:firstLine="422"/>
        <w:jc w:val="left"/>
        <w:rPr>
          <w:rFonts w:ascii="宋体" w:hAnsi="宋体"/>
          <w:kern w:val="44"/>
        </w:rPr>
      </w:pPr>
      <w:r>
        <w:rPr>
          <w:rFonts w:hint="eastAsia" w:ascii="宋体" w:hAnsi="宋体"/>
          <w:b/>
          <w:kern w:val="44"/>
        </w:rPr>
        <w:t>第四十六条</w:t>
      </w:r>
      <w:r>
        <w:rPr>
          <w:rFonts w:hint="eastAsia" w:ascii="宋体" w:hAnsi="宋体"/>
          <w:kern w:val="44"/>
        </w:rPr>
        <w:t>　市和区、县人民政府应当将义务教育全面纳入财政保障范围，在财政预算中将义务教育经费单列，保证用于实施义务教育财政拨款的增长比例高于财政经常性收入的增长比例，保证按照在校生人数平均的义务教育费用逐步增长，保证教职工工资和学生人均公用经费逐步增长，并将新增教育经费主要用于农村学校和城镇地区薄弱学校。教育费附加主要用于实施义务教育。</w:t>
      </w:r>
    </w:p>
    <w:p w14:paraId="02631A5D">
      <w:pPr>
        <w:jc w:val="left"/>
        <w:rPr>
          <w:rFonts w:ascii="宋体" w:hAnsi="宋体"/>
          <w:kern w:val="44"/>
        </w:rPr>
      </w:pPr>
      <w:r>
        <w:rPr>
          <w:rFonts w:hint="eastAsia" w:ascii="宋体" w:hAnsi="宋体"/>
          <w:kern w:val="44"/>
        </w:rPr>
        <w:t>市人民政府编制预算，应当对农村地区和财力薄弱区、县实施义务教育的经费予以倾斜，加大义务教育转移支付规模，支持和引导区、县人民政府增加对义务教育的投入。</w:t>
      </w:r>
    </w:p>
    <w:p w14:paraId="0B7075E2">
      <w:pPr>
        <w:ind w:firstLine="422"/>
        <w:jc w:val="left"/>
        <w:rPr>
          <w:rFonts w:ascii="宋体" w:hAnsi="宋体"/>
          <w:kern w:val="44"/>
        </w:rPr>
      </w:pPr>
      <w:r>
        <w:rPr>
          <w:rFonts w:hint="eastAsia" w:ascii="宋体" w:hAnsi="宋体"/>
          <w:b/>
          <w:kern w:val="44"/>
        </w:rPr>
        <w:t>第四十七条</w:t>
      </w:r>
      <w:r>
        <w:rPr>
          <w:rFonts w:hint="eastAsia" w:ascii="宋体" w:hAnsi="宋体"/>
          <w:kern w:val="44"/>
        </w:rPr>
        <w:t>　市财政行政部门应当会同市教育行政部门制定高于国家标准的学生人均公用经费标准，并按照本市实现教育现代化的要求，根据经济和社会发展状况适时调整。制定、调整学生人均公用经费标准，应当满足教育教学的正常需要。</w:t>
      </w:r>
    </w:p>
    <w:p w14:paraId="3D18FFA4">
      <w:pPr>
        <w:jc w:val="left"/>
        <w:rPr>
          <w:rFonts w:ascii="宋体" w:hAnsi="宋体"/>
          <w:kern w:val="44"/>
        </w:rPr>
      </w:pPr>
      <w:r>
        <w:rPr>
          <w:rFonts w:hint="eastAsia" w:ascii="宋体" w:hAnsi="宋体"/>
          <w:kern w:val="44"/>
        </w:rPr>
        <w:t>特殊教育学校（班）、随班就读学生人均公用经费标准应当高于普通学校学生人均公用经费标准。</w:t>
      </w:r>
    </w:p>
    <w:p w14:paraId="2A1F775A">
      <w:pPr>
        <w:ind w:firstLine="422"/>
        <w:jc w:val="left"/>
        <w:rPr>
          <w:rFonts w:ascii="宋体" w:hAnsi="宋体"/>
          <w:kern w:val="44"/>
        </w:rPr>
      </w:pPr>
      <w:r>
        <w:rPr>
          <w:rFonts w:hint="eastAsia" w:ascii="宋体" w:hAnsi="宋体"/>
          <w:b/>
          <w:kern w:val="44"/>
        </w:rPr>
        <w:t>第四十八条</w:t>
      </w:r>
      <w:r>
        <w:rPr>
          <w:rFonts w:hint="eastAsia" w:ascii="宋体" w:hAnsi="宋体"/>
          <w:kern w:val="44"/>
        </w:rPr>
        <w:t>　本市义务教育经费投入实行市人民政府统筹落实、本市各级人民政府根据职责共同负担的体制。</w:t>
      </w:r>
    </w:p>
    <w:p w14:paraId="0D3BAEB2">
      <w:pPr>
        <w:jc w:val="left"/>
        <w:rPr>
          <w:rFonts w:ascii="宋体" w:hAnsi="宋体"/>
          <w:kern w:val="44"/>
        </w:rPr>
      </w:pPr>
      <w:r>
        <w:rPr>
          <w:rFonts w:hint="eastAsia" w:ascii="宋体" w:hAnsi="宋体"/>
          <w:kern w:val="44"/>
        </w:rPr>
        <w:t>区、县人民政府应当按照职责依法保障义务教育经费投入，市人民政府应当按照规定分项目、按比例分担义务教育经费并对财力薄弱的区、县予以补助和支持。</w:t>
      </w:r>
    </w:p>
    <w:p w14:paraId="1E7505F5">
      <w:pPr>
        <w:jc w:val="left"/>
        <w:rPr>
          <w:rFonts w:ascii="宋体" w:hAnsi="宋体"/>
          <w:kern w:val="44"/>
        </w:rPr>
      </w:pPr>
      <w:r>
        <w:rPr>
          <w:rFonts w:hint="eastAsia" w:ascii="宋体" w:hAnsi="宋体"/>
          <w:kern w:val="44"/>
        </w:rPr>
        <w:t>义务教育经费保障的具体办法由市人民政府制定。</w:t>
      </w:r>
    </w:p>
    <w:p w14:paraId="18C28B8B">
      <w:pPr>
        <w:jc w:val="left"/>
        <w:rPr>
          <w:rFonts w:ascii="宋体" w:hAnsi="宋体"/>
          <w:kern w:val="44"/>
        </w:rPr>
      </w:pPr>
      <w:r>
        <w:rPr>
          <w:rFonts w:hint="eastAsia" w:ascii="宋体" w:hAnsi="宋体"/>
          <w:kern w:val="44"/>
        </w:rPr>
        <w:t>乡、镇人民政府根据实际情况，对本行政区域的义务教育事业给予支持。</w:t>
      </w:r>
    </w:p>
    <w:p w14:paraId="13BF5789">
      <w:pPr>
        <w:ind w:firstLine="422"/>
        <w:jc w:val="left"/>
        <w:rPr>
          <w:rFonts w:ascii="宋体" w:hAnsi="宋体"/>
          <w:kern w:val="44"/>
        </w:rPr>
      </w:pPr>
      <w:r>
        <w:rPr>
          <w:rFonts w:hint="eastAsia" w:ascii="宋体" w:hAnsi="宋体"/>
          <w:b/>
          <w:kern w:val="44"/>
        </w:rPr>
        <w:t>第四十九条</w:t>
      </w:r>
      <w:r>
        <w:rPr>
          <w:rFonts w:hint="eastAsia" w:ascii="宋体" w:hAnsi="宋体"/>
          <w:kern w:val="44"/>
        </w:rPr>
        <w:t>　义务教育经费应当按照预算规定用于义务教育，并及时足额拨付。</w:t>
      </w:r>
    </w:p>
    <w:p w14:paraId="279878D2">
      <w:pPr>
        <w:jc w:val="left"/>
        <w:rPr>
          <w:rFonts w:ascii="宋体" w:hAnsi="宋体"/>
          <w:kern w:val="44"/>
        </w:rPr>
      </w:pPr>
      <w:r>
        <w:rPr>
          <w:rFonts w:hint="eastAsia" w:ascii="宋体" w:hAnsi="宋体"/>
          <w:kern w:val="44"/>
        </w:rPr>
        <w:t>市和区、县人民政府应当建立健全义务教育经费的审计监督、统计和定期公告制度，加强管理，提高经费的使用效益。</w:t>
      </w:r>
    </w:p>
    <w:p w14:paraId="69906017">
      <w:pPr>
        <w:jc w:val="left"/>
        <w:rPr>
          <w:rFonts w:ascii="宋体" w:hAnsi="宋体"/>
          <w:kern w:val="44"/>
        </w:rPr>
      </w:pPr>
    </w:p>
    <w:p w14:paraId="1E86FD0F">
      <w:pPr>
        <w:ind w:firstLine="0" w:firstLineChars="0"/>
        <w:jc w:val="center"/>
        <w:rPr>
          <w:rFonts w:ascii="宋体" w:hAnsi="宋体"/>
          <w:b/>
          <w:kern w:val="44"/>
          <w:sz w:val="28"/>
        </w:rPr>
      </w:pPr>
      <w:r>
        <w:rPr>
          <w:rFonts w:hint="eastAsia" w:ascii="宋体" w:hAnsi="宋体"/>
          <w:b/>
          <w:kern w:val="44"/>
          <w:sz w:val="28"/>
        </w:rPr>
        <w:t>第七章　督　导</w:t>
      </w:r>
    </w:p>
    <w:p w14:paraId="0E305471">
      <w:pPr>
        <w:jc w:val="left"/>
        <w:rPr>
          <w:rFonts w:ascii="宋体" w:hAnsi="宋体"/>
          <w:kern w:val="44"/>
        </w:rPr>
      </w:pPr>
    </w:p>
    <w:p w14:paraId="210C0D90">
      <w:pPr>
        <w:ind w:firstLine="422"/>
        <w:jc w:val="left"/>
        <w:rPr>
          <w:rFonts w:ascii="宋体" w:hAnsi="宋体"/>
          <w:kern w:val="44"/>
        </w:rPr>
      </w:pPr>
      <w:r>
        <w:rPr>
          <w:rFonts w:hint="eastAsia" w:ascii="宋体" w:hAnsi="宋体"/>
          <w:b/>
          <w:kern w:val="44"/>
        </w:rPr>
        <w:t>第五十条</w:t>
      </w:r>
      <w:r>
        <w:rPr>
          <w:rFonts w:hint="eastAsia" w:ascii="宋体" w:hAnsi="宋体"/>
          <w:kern w:val="44"/>
        </w:rPr>
        <w:t>　本市对义务教育实行督导制度。</w:t>
      </w:r>
    </w:p>
    <w:p w14:paraId="4C9971BE">
      <w:pPr>
        <w:jc w:val="left"/>
        <w:rPr>
          <w:rFonts w:ascii="宋体" w:hAnsi="宋体"/>
          <w:kern w:val="44"/>
        </w:rPr>
      </w:pPr>
      <w:r>
        <w:rPr>
          <w:rFonts w:hint="eastAsia" w:ascii="宋体" w:hAnsi="宋体"/>
          <w:kern w:val="44"/>
        </w:rPr>
        <w:t>市和区、县人民政府教育督导机构在本级人民政府领导下负责组织实施本行政区域内的义务教育督导工作，并接受上级教育督导机构的指导。</w:t>
      </w:r>
    </w:p>
    <w:p w14:paraId="52E57F76">
      <w:pPr>
        <w:ind w:firstLine="422"/>
        <w:jc w:val="left"/>
        <w:rPr>
          <w:rFonts w:ascii="宋体" w:hAnsi="宋体"/>
          <w:kern w:val="44"/>
        </w:rPr>
      </w:pPr>
      <w:r>
        <w:rPr>
          <w:rFonts w:hint="eastAsia" w:ascii="宋体" w:hAnsi="宋体"/>
          <w:b/>
          <w:kern w:val="44"/>
        </w:rPr>
        <w:t>第五十一条</w:t>
      </w:r>
      <w:r>
        <w:rPr>
          <w:rFonts w:hint="eastAsia" w:ascii="宋体" w:hAnsi="宋体"/>
          <w:kern w:val="44"/>
        </w:rPr>
        <w:t>　教育督导机构应当对本级人民政府的有关部门和下级人民政府履行义务教育工作职责情况进行督导，并对实施义务教育的学校和其他教育机构进行督导。</w:t>
      </w:r>
    </w:p>
    <w:p w14:paraId="6027ECFA">
      <w:pPr>
        <w:ind w:firstLine="422"/>
        <w:jc w:val="left"/>
        <w:rPr>
          <w:rFonts w:ascii="宋体" w:hAnsi="宋体"/>
          <w:kern w:val="44"/>
        </w:rPr>
      </w:pPr>
      <w:r>
        <w:rPr>
          <w:rFonts w:hint="eastAsia" w:ascii="宋体" w:hAnsi="宋体"/>
          <w:b/>
          <w:kern w:val="44"/>
        </w:rPr>
        <w:t>第五十二条</w:t>
      </w:r>
      <w:r>
        <w:rPr>
          <w:rFonts w:hint="eastAsia" w:ascii="宋体" w:hAnsi="宋体"/>
          <w:kern w:val="44"/>
        </w:rPr>
        <w:t>　教育督导机构对义务教育实施工作的下列情况进行督导：</w:t>
      </w:r>
    </w:p>
    <w:p w14:paraId="53F822EC">
      <w:pPr>
        <w:jc w:val="left"/>
        <w:rPr>
          <w:rFonts w:ascii="宋体" w:hAnsi="宋体"/>
          <w:kern w:val="44"/>
        </w:rPr>
      </w:pPr>
      <w:r>
        <w:rPr>
          <w:rFonts w:hint="eastAsia" w:ascii="宋体" w:hAnsi="宋体"/>
          <w:kern w:val="44"/>
        </w:rPr>
        <w:t>（一）执行有关法律、法规和规章的情况；</w:t>
      </w:r>
    </w:p>
    <w:p w14:paraId="10893CEB">
      <w:pPr>
        <w:jc w:val="left"/>
        <w:rPr>
          <w:rFonts w:ascii="宋体" w:hAnsi="宋体"/>
          <w:kern w:val="44"/>
        </w:rPr>
      </w:pPr>
      <w:r>
        <w:rPr>
          <w:rFonts w:hint="eastAsia" w:ascii="宋体" w:hAnsi="宋体"/>
          <w:kern w:val="44"/>
        </w:rPr>
        <w:t>（二）义务教育经费保障和使用情况；</w:t>
      </w:r>
    </w:p>
    <w:p w14:paraId="12164DEE">
      <w:pPr>
        <w:jc w:val="left"/>
        <w:rPr>
          <w:rFonts w:ascii="宋体" w:hAnsi="宋体"/>
          <w:kern w:val="44"/>
        </w:rPr>
      </w:pPr>
      <w:r>
        <w:rPr>
          <w:rFonts w:hint="eastAsia" w:ascii="宋体" w:hAnsi="宋体"/>
          <w:kern w:val="44"/>
        </w:rPr>
        <w:t>（三）固定资产的管理和使用效益情况；</w:t>
      </w:r>
    </w:p>
    <w:p w14:paraId="3A3D67D0">
      <w:pPr>
        <w:jc w:val="left"/>
        <w:rPr>
          <w:rFonts w:ascii="宋体" w:hAnsi="宋体"/>
          <w:kern w:val="44"/>
        </w:rPr>
      </w:pPr>
      <w:r>
        <w:rPr>
          <w:rFonts w:hint="eastAsia" w:ascii="宋体" w:hAnsi="宋体"/>
          <w:kern w:val="44"/>
        </w:rPr>
        <w:t>（四）义务教育均衡发展的状况；</w:t>
      </w:r>
    </w:p>
    <w:p w14:paraId="6BC1E573">
      <w:pPr>
        <w:jc w:val="left"/>
        <w:rPr>
          <w:rFonts w:ascii="宋体" w:hAnsi="宋体"/>
          <w:kern w:val="44"/>
        </w:rPr>
      </w:pPr>
      <w:r>
        <w:rPr>
          <w:rFonts w:hint="eastAsia" w:ascii="宋体" w:hAnsi="宋体"/>
          <w:kern w:val="44"/>
        </w:rPr>
        <w:t>（五）素质教育实施情况；</w:t>
      </w:r>
    </w:p>
    <w:p w14:paraId="7DB5DC10">
      <w:pPr>
        <w:jc w:val="left"/>
        <w:rPr>
          <w:rFonts w:ascii="宋体" w:hAnsi="宋体"/>
          <w:kern w:val="44"/>
        </w:rPr>
      </w:pPr>
      <w:r>
        <w:rPr>
          <w:rFonts w:hint="eastAsia" w:ascii="宋体" w:hAnsi="宋体"/>
          <w:kern w:val="44"/>
        </w:rPr>
        <w:t>（六）教育教学质量和学校管理水平；</w:t>
      </w:r>
    </w:p>
    <w:p w14:paraId="0B6F4BE9">
      <w:pPr>
        <w:jc w:val="left"/>
        <w:rPr>
          <w:rFonts w:ascii="宋体" w:hAnsi="宋体"/>
          <w:kern w:val="44"/>
        </w:rPr>
      </w:pPr>
      <w:r>
        <w:rPr>
          <w:rFonts w:hint="eastAsia" w:ascii="宋体" w:hAnsi="宋体"/>
          <w:kern w:val="44"/>
        </w:rPr>
        <w:t>（七）其他依法需要督导的内容。</w:t>
      </w:r>
    </w:p>
    <w:p w14:paraId="7602AC6C">
      <w:pPr>
        <w:ind w:firstLine="422"/>
        <w:jc w:val="left"/>
        <w:rPr>
          <w:rFonts w:ascii="宋体" w:hAnsi="宋体"/>
          <w:kern w:val="44"/>
        </w:rPr>
      </w:pPr>
      <w:r>
        <w:rPr>
          <w:rFonts w:hint="eastAsia" w:ascii="宋体" w:hAnsi="宋体"/>
          <w:b/>
          <w:kern w:val="44"/>
        </w:rPr>
        <w:t>第五十三条</w:t>
      </w:r>
      <w:r>
        <w:rPr>
          <w:rFonts w:hint="eastAsia" w:ascii="宋体" w:hAnsi="宋体"/>
          <w:kern w:val="44"/>
        </w:rPr>
        <w:t>　市和区、县人民政府应当加强对所属有关部门和下级人民政府实施义务教育工作的监督检查，建立以督导评价结果为主要依据的义务教育公报、通报、表彰制度，并将督导评价结果作为评价各级人民政府义务教育工作的重要指标和考核主要领导干部政绩的重要内容。</w:t>
      </w:r>
    </w:p>
    <w:p w14:paraId="1B640FDD">
      <w:pPr>
        <w:ind w:firstLine="422"/>
        <w:jc w:val="left"/>
        <w:rPr>
          <w:rFonts w:ascii="宋体" w:hAnsi="宋体"/>
          <w:kern w:val="44"/>
        </w:rPr>
      </w:pPr>
      <w:r>
        <w:rPr>
          <w:rFonts w:hint="eastAsia" w:ascii="宋体" w:hAnsi="宋体"/>
          <w:b/>
          <w:kern w:val="44"/>
        </w:rPr>
        <w:t>第五十四条</w:t>
      </w:r>
      <w:r>
        <w:rPr>
          <w:rFonts w:hint="eastAsia" w:ascii="宋体" w:hAnsi="宋体"/>
          <w:kern w:val="44"/>
        </w:rPr>
        <w:t>　教育督导机构应当向被督导单位下达督导意见书，被督导单位应当按照要求报告整改情况。</w:t>
      </w:r>
    </w:p>
    <w:p w14:paraId="7772F83E">
      <w:pPr>
        <w:ind w:firstLine="422"/>
        <w:jc w:val="left"/>
        <w:rPr>
          <w:rFonts w:ascii="宋体" w:hAnsi="宋体"/>
          <w:kern w:val="44"/>
        </w:rPr>
      </w:pPr>
      <w:r>
        <w:rPr>
          <w:rFonts w:hint="eastAsia" w:ascii="宋体" w:hAnsi="宋体"/>
          <w:b/>
          <w:kern w:val="44"/>
        </w:rPr>
        <w:t>第五十五条</w:t>
      </w:r>
      <w:r>
        <w:rPr>
          <w:rFonts w:hint="eastAsia" w:ascii="宋体" w:hAnsi="宋体"/>
          <w:kern w:val="44"/>
        </w:rPr>
        <w:t>　市和区、县人民政府应当听取义务教育督导工作的报告。有关督导报告应当向社会公布。</w:t>
      </w:r>
    </w:p>
    <w:p w14:paraId="135564B4">
      <w:pPr>
        <w:jc w:val="left"/>
        <w:rPr>
          <w:rFonts w:ascii="宋体" w:hAnsi="宋体"/>
          <w:kern w:val="44"/>
        </w:rPr>
      </w:pPr>
    </w:p>
    <w:p w14:paraId="50ACF899">
      <w:pPr>
        <w:ind w:firstLine="0" w:firstLineChars="0"/>
        <w:jc w:val="center"/>
        <w:rPr>
          <w:rFonts w:ascii="宋体" w:hAnsi="宋体"/>
          <w:b/>
          <w:kern w:val="44"/>
          <w:sz w:val="28"/>
        </w:rPr>
      </w:pPr>
      <w:r>
        <w:rPr>
          <w:rFonts w:hint="eastAsia" w:ascii="宋体" w:hAnsi="宋体"/>
          <w:b/>
          <w:kern w:val="44"/>
          <w:sz w:val="28"/>
        </w:rPr>
        <w:t>第八章　法律责任</w:t>
      </w:r>
    </w:p>
    <w:p w14:paraId="03A213C4">
      <w:pPr>
        <w:jc w:val="left"/>
        <w:rPr>
          <w:rFonts w:ascii="宋体" w:hAnsi="宋体"/>
          <w:kern w:val="44"/>
        </w:rPr>
      </w:pPr>
    </w:p>
    <w:p w14:paraId="5B0B11E0">
      <w:pPr>
        <w:ind w:firstLine="422"/>
        <w:jc w:val="left"/>
        <w:rPr>
          <w:rFonts w:ascii="宋体" w:hAnsi="宋体"/>
          <w:kern w:val="44"/>
        </w:rPr>
      </w:pPr>
      <w:r>
        <w:rPr>
          <w:rFonts w:hint="eastAsia" w:ascii="宋体" w:hAnsi="宋体"/>
          <w:b/>
          <w:kern w:val="44"/>
        </w:rPr>
        <w:t>第五十六条</w:t>
      </w:r>
      <w:r>
        <w:rPr>
          <w:rFonts w:hint="eastAsia" w:ascii="宋体" w:hAnsi="宋体"/>
          <w:kern w:val="44"/>
        </w:rPr>
        <w:t>　市人民政府有关部门、区县人民政府及其有关部门、乡镇人民政府、学校和教师在义务教育工作中违反《中华人民共和国义务教育法》及其他有关法律法规规定的，依照其规定进行处理。</w:t>
      </w:r>
    </w:p>
    <w:p w14:paraId="053E8DEC">
      <w:pPr>
        <w:ind w:firstLine="422"/>
        <w:jc w:val="left"/>
        <w:rPr>
          <w:rFonts w:ascii="宋体" w:hAnsi="宋体"/>
          <w:kern w:val="44"/>
        </w:rPr>
      </w:pPr>
      <w:r>
        <w:rPr>
          <w:rFonts w:hint="eastAsia" w:ascii="宋体" w:hAnsi="宋体"/>
          <w:b/>
          <w:kern w:val="44"/>
        </w:rPr>
        <w:t>第五十七条</w:t>
      </w:r>
      <w:r>
        <w:rPr>
          <w:rFonts w:hint="eastAsia" w:ascii="宋体" w:hAnsi="宋体"/>
          <w:kern w:val="44"/>
        </w:rPr>
        <w:t>　市人民政府有关部门和区、县人民政府及其有关部门违反本办法第十六条、第十七条、第十九条规定的，由市人民政府或者所属区、县人民政府责令限期改正；情节严重的，对直接负责的主管人员和其他直接责任人员依法给予行政处分。</w:t>
      </w:r>
    </w:p>
    <w:p w14:paraId="63ACF205">
      <w:pPr>
        <w:ind w:firstLine="422"/>
        <w:jc w:val="left"/>
        <w:rPr>
          <w:rFonts w:ascii="宋体" w:hAnsi="宋体"/>
          <w:kern w:val="44"/>
        </w:rPr>
      </w:pPr>
      <w:r>
        <w:rPr>
          <w:rFonts w:hint="eastAsia" w:ascii="宋体" w:hAnsi="宋体"/>
          <w:b/>
          <w:kern w:val="44"/>
        </w:rPr>
        <w:t>第五十八条</w:t>
      </w:r>
      <w:r>
        <w:rPr>
          <w:rFonts w:hint="eastAsia" w:ascii="宋体" w:hAnsi="宋体"/>
          <w:kern w:val="44"/>
        </w:rPr>
        <w:t>　市人民政府有关部门和区、县人民政府违反本办法第六章规定，未履行义务教育经费保障职责的，由市人民政府责令限期改正；情节严重的，对直接负责的主管人员和其他直接责任人员依法给予行政处分。</w:t>
      </w:r>
    </w:p>
    <w:p w14:paraId="75FAE08A">
      <w:pPr>
        <w:ind w:firstLine="422"/>
        <w:jc w:val="left"/>
        <w:rPr>
          <w:rFonts w:ascii="宋体" w:hAnsi="宋体"/>
          <w:kern w:val="44"/>
        </w:rPr>
      </w:pPr>
      <w:r>
        <w:rPr>
          <w:rFonts w:hint="eastAsia" w:ascii="宋体" w:hAnsi="宋体"/>
          <w:b/>
          <w:kern w:val="44"/>
        </w:rPr>
        <w:t>第五十九条</w:t>
      </w:r>
      <w:r>
        <w:rPr>
          <w:rFonts w:hint="eastAsia" w:ascii="宋体" w:hAnsi="宋体"/>
          <w:kern w:val="44"/>
        </w:rPr>
        <w:t>　学校有下列情形之一的，由区、县教育行政部门责令限期改正；情节严重的，对直接负责的主管人员和其他直接责任人员依法给予处分：</w:t>
      </w:r>
    </w:p>
    <w:p w14:paraId="7F75B2E6">
      <w:pPr>
        <w:jc w:val="left"/>
        <w:rPr>
          <w:rFonts w:ascii="宋体" w:hAnsi="宋体"/>
          <w:kern w:val="44"/>
        </w:rPr>
      </w:pPr>
      <w:r>
        <w:rPr>
          <w:rFonts w:hint="eastAsia" w:ascii="宋体" w:hAnsi="宋体"/>
          <w:kern w:val="44"/>
        </w:rPr>
        <w:t>（一）违反本办法免试入学的规定招收学生的；</w:t>
      </w:r>
    </w:p>
    <w:p w14:paraId="6478CE43">
      <w:pPr>
        <w:jc w:val="left"/>
        <w:rPr>
          <w:rFonts w:ascii="宋体" w:hAnsi="宋体"/>
          <w:kern w:val="44"/>
        </w:rPr>
      </w:pPr>
      <w:r>
        <w:rPr>
          <w:rFonts w:hint="eastAsia" w:ascii="宋体" w:hAnsi="宋体"/>
          <w:kern w:val="44"/>
        </w:rPr>
        <w:t>（二）未按照本办法规定公布接收学生结果的；</w:t>
      </w:r>
    </w:p>
    <w:p w14:paraId="0E03B575">
      <w:pPr>
        <w:jc w:val="left"/>
        <w:rPr>
          <w:rFonts w:ascii="宋体" w:hAnsi="宋体"/>
          <w:kern w:val="44"/>
        </w:rPr>
      </w:pPr>
      <w:r>
        <w:rPr>
          <w:rFonts w:hint="eastAsia" w:ascii="宋体" w:hAnsi="宋体"/>
          <w:kern w:val="44"/>
        </w:rPr>
        <w:t>（三）公办学校违反法律、法规规定举办民办学校的；</w:t>
      </w:r>
    </w:p>
    <w:p w14:paraId="0DE08E21">
      <w:pPr>
        <w:jc w:val="left"/>
        <w:rPr>
          <w:rFonts w:ascii="宋体" w:hAnsi="宋体"/>
          <w:kern w:val="44"/>
        </w:rPr>
      </w:pPr>
      <w:r>
        <w:rPr>
          <w:rFonts w:hint="eastAsia" w:ascii="宋体" w:hAnsi="宋体"/>
          <w:kern w:val="44"/>
        </w:rPr>
        <w:t>（四）以各种名义分设重点班和非重点班的；</w:t>
      </w:r>
    </w:p>
    <w:p w14:paraId="1BB5B303">
      <w:pPr>
        <w:jc w:val="left"/>
        <w:rPr>
          <w:rFonts w:ascii="宋体" w:hAnsi="宋体"/>
          <w:kern w:val="44"/>
        </w:rPr>
      </w:pPr>
      <w:r>
        <w:rPr>
          <w:rFonts w:hint="eastAsia" w:ascii="宋体" w:hAnsi="宋体"/>
          <w:kern w:val="44"/>
        </w:rPr>
        <w:t>（五）违反课程设置规定、课时安排和教育教学计划的；</w:t>
      </w:r>
    </w:p>
    <w:p w14:paraId="20D8661C">
      <w:pPr>
        <w:jc w:val="left"/>
        <w:rPr>
          <w:rFonts w:ascii="宋体" w:hAnsi="宋体"/>
          <w:kern w:val="44"/>
        </w:rPr>
      </w:pPr>
      <w:r>
        <w:rPr>
          <w:rFonts w:hint="eastAsia" w:ascii="宋体" w:hAnsi="宋体"/>
          <w:kern w:val="44"/>
        </w:rPr>
        <w:t>（六）动员、组织本校学生参加社会力量举办的文化课补习班的；</w:t>
      </w:r>
    </w:p>
    <w:p w14:paraId="7D726C62">
      <w:pPr>
        <w:jc w:val="left"/>
        <w:rPr>
          <w:rFonts w:ascii="宋体" w:hAnsi="宋体"/>
          <w:kern w:val="44"/>
        </w:rPr>
      </w:pPr>
      <w:r>
        <w:rPr>
          <w:rFonts w:hint="eastAsia" w:ascii="宋体" w:hAnsi="宋体"/>
          <w:kern w:val="44"/>
        </w:rPr>
        <w:t>（七）组织学生参加商业性活动的；</w:t>
      </w:r>
    </w:p>
    <w:p w14:paraId="1CCA1CA0">
      <w:pPr>
        <w:jc w:val="left"/>
        <w:rPr>
          <w:rFonts w:ascii="宋体" w:hAnsi="宋体"/>
          <w:kern w:val="44"/>
        </w:rPr>
      </w:pPr>
      <w:r>
        <w:rPr>
          <w:rFonts w:hint="eastAsia" w:ascii="宋体" w:hAnsi="宋体"/>
          <w:kern w:val="44"/>
        </w:rPr>
        <w:t>（八）公办学校违反规定出租校舍和场地的；</w:t>
      </w:r>
    </w:p>
    <w:p w14:paraId="2CC4D1A7">
      <w:pPr>
        <w:jc w:val="left"/>
        <w:rPr>
          <w:rFonts w:ascii="宋体" w:hAnsi="宋体"/>
          <w:kern w:val="44"/>
        </w:rPr>
      </w:pPr>
      <w:r>
        <w:rPr>
          <w:rFonts w:hint="eastAsia" w:ascii="宋体" w:hAnsi="宋体"/>
          <w:kern w:val="44"/>
        </w:rPr>
        <w:t>（九）违反国家规定收取费用，以向学生推销或者变相推销商品、服务等方式谋取利益的。</w:t>
      </w:r>
    </w:p>
    <w:p w14:paraId="2301F397">
      <w:pPr>
        <w:jc w:val="left"/>
        <w:rPr>
          <w:rFonts w:ascii="宋体" w:hAnsi="宋体"/>
          <w:kern w:val="44"/>
        </w:rPr>
      </w:pPr>
    </w:p>
    <w:p w14:paraId="4FA6F901">
      <w:pPr>
        <w:ind w:firstLine="0" w:firstLineChars="0"/>
        <w:jc w:val="center"/>
        <w:rPr>
          <w:rFonts w:ascii="宋体" w:hAnsi="宋体"/>
          <w:b/>
          <w:kern w:val="44"/>
          <w:sz w:val="28"/>
        </w:rPr>
      </w:pPr>
      <w:r>
        <w:rPr>
          <w:rFonts w:hint="eastAsia" w:ascii="宋体" w:hAnsi="宋体"/>
          <w:b/>
          <w:kern w:val="44"/>
          <w:sz w:val="28"/>
        </w:rPr>
        <w:t>第九章　附　则</w:t>
      </w:r>
    </w:p>
    <w:p w14:paraId="77F52034">
      <w:pPr>
        <w:jc w:val="left"/>
        <w:rPr>
          <w:rFonts w:ascii="宋体" w:hAnsi="宋体"/>
          <w:kern w:val="44"/>
        </w:rPr>
      </w:pPr>
    </w:p>
    <w:p w14:paraId="748C2E6A">
      <w:pPr>
        <w:ind w:firstLine="422"/>
        <w:jc w:val="left"/>
        <w:rPr>
          <w:rFonts w:ascii="宋体" w:hAnsi="宋体"/>
          <w:kern w:val="44"/>
        </w:rPr>
      </w:pPr>
      <w:r>
        <w:rPr>
          <w:rFonts w:hint="eastAsia" w:ascii="宋体" w:hAnsi="宋体"/>
          <w:b/>
          <w:kern w:val="44"/>
        </w:rPr>
        <w:t>第六十条</w:t>
      </w:r>
      <w:r>
        <w:rPr>
          <w:rFonts w:hint="eastAsia" w:ascii="宋体" w:hAnsi="宋体"/>
          <w:kern w:val="44"/>
        </w:rPr>
        <w:t>　本办法自2009年3月1日起施行。</w:t>
      </w:r>
    </w:p>
    <w:p w14:paraId="7FBD2B4D">
      <w:pPr>
        <w:pStyle w:val="4"/>
        <w:pageBreakBefore/>
        <w:rPr>
          <w:kern w:val="44"/>
        </w:rPr>
      </w:pPr>
      <w:bookmarkStart w:id="1455" w:name="_Toc422471379"/>
      <w:bookmarkStart w:id="1456" w:name="_Toc427651643"/>
      <w:bookmarkStart w:id="1457" w:name="_Toc428780209"/>
      <w:bookmarkStart w:id="1458" w:name="_Toc428781691"/>
      <w:bookmarkStart w:id="1459" w:name="_Toc427651985"/>
      <w:r>
        <w:rPr>
          <w:rFonts w:hint="eastAsia"/>
          <w:kern w:val="44"/>
        </w:rPr>
        <w:t>北京市实施《中华人民共和国</w:t>
      </w:r>
      <w:bookmarkEnd w:id="1455"/>
      <w:bookmarkStart w:id="1460" w:name="_Toc422471380"/>
      <w:r>
        <w:rPr>
          <w:rFonts w:hint="eastAsia"/>
          <w:kern w:val="44"/>
        </w:rPr>
        <w:t>教师法》办法</w:t>
      </w:r>
      <w:bookmarkEnd w:id="1456"/>
      <w:bookmarkEnd w:id="1457"/>
      <w:bookmarkEnd w:id="1458"/>
      <w:bookmarkEnd w:id="1459"/>
      <w:bookmarkEnd w:id="1460"/>
    </w:p>
    <w:p w14:paraId="02AC6A9D">
      <w:pPr>
        <w:ind w:left="630" w:leftChars="300" w:right="630" w:rightChars="300"/>
        <w:jc w:val="left"/>
        <w:rPr>
          <w:rFonts w:ascii="楷体" w:hAnsi="楷体" w:eastAsia="楷体"/>
          <w:kern w:val="44"/>
        </w:rPr>
      </w:pPr>
      <w:r>
        <w:rPr>
          <w:rFonts w:hint="eastAsia" w:ascii="楷体" w:hAnsi="楷体" w:eastAsia="楷体"/>
          <w:kern w:val="44"/>
        </w:rPr>
        <w:t>（1994年7月22日北京市第十届人民代表大会常务委员会第十一次会议通过  根据1997年4月16日北京市第十届人民代表大会常务委员会第三十六次会议《关于修改〈北京市实施中华人民共和国教师法办法〉的决定》第一次修正　根据2010年12月23日北京市第十三届人民代表大会常务委员会第二十二次会议《关于修改部分地方性法规的决定》第二次修正）</w:t>
      </w:r>
    </w:p>
    <w:p w14:paraId="23FFC421">
      <w:pPr>
        <w:ind w:left="630" w:leftChars="300" w:right="630" w:rightChars="300"/>
        <w:jc w:val="left"/>
        <w:rPr>
          <w:rFonts w:ascii="楷体" w:hAnsi="楷体" w:eastAsia="楷体"/>
          <w:kern w:val="44"/>
        </w:rPr>
      </w:pPr>
    </w:p>
    <w:p w14:paraId="2A881357">
      <w:pPr>
        <w:ind w:firstLine="422"/>
        <w:jc w:val="left"/>
        <w:rPr>
          <w:rFonts w:ascii="宋体" w:hAnsi="宋体"/>
          <w:kern w:val="44"/>
        </w:rPr>
      </w:pPr>
      <w:r>
        <w:rPr>
          <w:rFonts w:hint="eastAsia" w:ascii="宋体" w:hAnsi="宋体"/>
          <w:b/>
          <w:kern w:val="44"/>
        </w:rPr>
        <w:t>第一条</w:t>
      </w:r>
      <w:r>
        <w:rPr>
          <w:rFonts w:hint="eastAsia" w:ascii="宋体" w:hAnsi="宋体"/>
          <w:kern w:val="44"/>
        </w:rPr>
        <w:t xml:space="preserve">  为实施《中华人民共和国教师法》（以下简称《教师法》），加强教师队伍建设，保障教师的合法权益，促进本市教育事业发展，适应首都经济建设和社会发展需要，结合本市实际，制定本办法。</w:t>
      </w:r>
    </w:p>
    <w:p w14:paraId="2F3B954F">
      <w:pPr>
        <w:ind w:firstLine="422"/>
        <w:jc w:val="left"/>
        <w:rPr>
          <w:rFonts w:ascii="宋体" w:hAnsi="宋体"/>
          <w:kern w:val="44"/>
        </w:rPr>
      </w:pPr>
      <w:r>
        <w:rPr>
          <w:rFonts w:hint="eastAsia" w:ascii="宋体" w:hAnsi="宋体"/>
          <w:b/>
          <w:kern w:val="44"/>
        </w:rPr>
        <w:t>第二条</w:t>
      </w:r>
      <w:r>
        <w:rPr>
          <w:rFonts w:hint="eastAsia" w:ascii="宋体" w:hAnsi="宋体"/>
          <w:kern w:val="44"/>
        </w:rPr>
        <w:t>　适用本办法的教师是指本市行政区域内各级各类学校和其他教育机构中具有教师资格、专门从事教育教学工作的人员。法律、法规另有规定的除外。</w:t>
      </w:r>
    </w:p>
    <w:p w14:paraId="22C50652">
      <w:pPr>
        <w:ind w:firstLine="422"/>
        <w:jc w:val="left"/>
        <w:rPr>
          <w:rFonts w:ascii="宋体" w:hAnsi="宋体"/>
          <w:kern w:val="44"/>
        </w:rPr>
      </w:pPr>
      <w:r>
        <w:rPr>
          <w:rFonts w:hint="eastAsia" w:ascii="宋体" w:hAnsi="宋体"/>
          <w:b/>
          <w:kern w:val="44"/>
        </w:rPr>
        <w:t>第三条</w:t>
      </w:r>
      <w:r>
        <w:rPr>
          <w:rFonts w:hint="eastAsia" w:ascii="宋体" w:hAnsi="宋体"/>
          <w:kern w:val="44"/>
        </w:rPr>
        <w:t>　教师承担教书育人、培养社会主义事业建设者和接班人、提高民族素质的使命，应当忠诚于人民的教育事业，履行《教师法》规定的义务，遵守教师的职业道德，为人师表。</w:t>
      </w:r>
    </w:p>
    <w:p w14:paraId="08E5EEF8">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市和区、县教育行政部门按照各自权限主管教师工作。</w:t>
      </w:r>
    </w:p>
    <w:p w14:paraId="52FB3732">
      <w:pPr>
        <w:jc w:val="left"/>
        <w:rPr>
          <w:rFonts w:ascii="宋体" w:hAnsi="宋体"/>
          <w:kern w:val="44"/>
        </w:rPr>
      </w:pPr>
      <w:r>
        <w:rPr>
          <w:rFonts w:hint="eastAsia" w:ascii="宋体" w:hAnsi="宋体"/>
          <w:kern w:val="44"/>
        </w:rPr>
        <w:t>市和区、县劳动行政部门负责技工学校和劳动部门举办的职业技术学校教师的管理工作。</w:t>
      </w:r>
    </w:p>
    <w:p w14:paraId="37112BBC">
      <w:pPr>
        <w:jc w:val="left"/>
        <w:rPr>
          <w:rFonts w:ascii="宋体" w:hAnsi="宋体"/>
          <w:kern w:val="44"/>
        </w:rPr>
      </w:pPr>
      <w:r>
        <w:rPr>
          <w:rFonts w:hint="eastAsia" w:ascii="宋体" w:hAnsi="宋体"/>
          <w:kern w:val="44"/>
        </w:rPr>
        <w:t>计划、财政、人事、科技干部等政府部门应当按照《教师法》的规定，负责有关的教师工作。</w:t>
      </w:r>
    </w:p>
    <w:p w14:paraId="06720320">
      <w:pPr>
        <w:jc w:val="left"/>
        <w:rPr>
          <w:rFonts w:ascii="宋体" w:hAnsi="宋体"/>
          <w:kern w:val="44"/>
        </w:rPr>
      </w:pPr>
      <w:r>
        <w:rPr>
          <w:rFonts w:hint="eastAsia" w:ascii="宋体" w:hAnsi="宋体"/>
          <w:kern w:val="44"/>
        </w:rPr>
        <w:t>国家机关、社会团体、企业事业单位等举办的学校和教育机构，由其主管部门负责教师工作。</w:t>
      </w:r>
    </w:p>
    <w:p w14:paraId="614FDDC4">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市和区、县人民政府应当制定教师队伍建设规划，对实施规划所需经费予以保障。</w:t>
      </w:r>
    </w:p>
    <w:p w14:paraId="6F7C9F6C">
      <w:pPr>
        <w:ind w:firstLine="422"/>
        <w:jc w:val="left"/>
        <w:rPr>
          <w:rFonts w:ascii="宋体" w:hAnsi="宋体"/>
          <w:kern w:val="44"/>
        </w:rPr>
      </w:pPr>
      <w:r>
        <w:rPr>
          <w:rFonts w:hint="eastAsia" w:ascii="宋体" w:hAnsi="宋体"/>
          <w:b/>
          <w:kern w:val="44"/>
        </w:rPr>
        <w:t>第六条</w:t>
      </w:r>
      <w:r>
        <w:rPr>
          <w:rFonts w:hint="eastAsia" w:ascii="宋体" w:hAnsi="宋体"/>
          <w:kern w:val="44"/>
        </w:rPr>
        <w:t>　各级人民政府及其教育行政部门、各有关部门、学校和其他教育机构，应当保障教师依法享有的权利。</w:t>
      </w:r>
    </w:p>
    <w:p w14:paraId="606FCE3C">
      <w:pPr>
        <w:jc w:val="left"/>
        <w:rPr>
          <w:rFonts w:ascii="宋体" w:hAnsi="宋体"/>
          <w:kern w:val="44"/>
        </w:rPr>
      </w:pPr>
      <w:r>
        <w:rPr>
          <w:rFonts w:hint="eastAsia" w:ascii="宋体" w:hAnsi="宋体"/>
          <w:kern w:val="44"/>
        </w:rPr>
        <w:t>各级教育工会应当依法维护教师的合法权益。</w:t>
      </w:r>
    </w:p>
    <w:p w14:paraId="039BEED6">
      <w:pPr>
        <w:jc w:val="left"/>
        <w:rPr>
          <w:rFonts w:ascii="宋体" w:hAnsi="宋体"/>
          <w:kern w:val="44"/>
        </w:rPr>
      </w:pPr>
      <w:r>
        <w:rPr>
          <w:rFonts w:hint="eastAsia" w:ascii="宋体" w:hAnsi="宋体"/>
          <w:kern w:val="44"/>
        </w:rPr>
        <w:t>全社会都应当尊重教师。</w:t>
      </w:r>
    </w:p>
    <w:p w14:paraId="56046411">
      <w:pPr>
        <w:ind w:firstLine="422"/>
        <w:jc w:val="left"/>
        <w:rPr>
          <w:rFonts w:ascii="宋体" w:hAnsi="宋体"/>
          <w:kern w:val="44"/>
        </w:rPr>
      </w:pPr>
      <w:r>
        <w:rPr>
          <w:rFonts w:hint="eastAsia" w:ascii="宋体" w:hAnsi="宋体"/>
          <w:b/>
          <w:kern w:val="44"/>
        </w:rPr>
        <w:t>第七条</w:t>
      </w:r>
      <w:r>
        <w:rPr>
          <w:rFonts w:hint="eastAsia" w:ascii="宋体" w:hAnsi="宋体"/>
          <w:kern w:val="44"/>
        </w:rPr>
        <w:t>　在本市取得教师资格应当具备的条件，按照《教师法》第十条、第十一条的规定执行。</w:t>
      </w:r>
    </w:p>
    <w:p w14:paraId="3A0DE3F4">
      <w:pPr>
        <w:jc w:val="left"/>
        <w:rPr>
          <w:rFonts w:ascii="宋体" w:hAnsi="宋体"/>
          <w:kern w:val="44"/>
        </w:rPr>
      </w:pPr>
      <w:r>
        <w:rPr>
          <w:rFonts w:hint="eastAsia" w:ascii="宋体" w:hAnsi="宋体"/>
          <w:kern w:val="44"/>
        </w:rPr>
        <w:t>取得中等职业学校实习指导教师资格应当具备中等职业学校毕业以上文化程度或者同等学历，还应具有中级技术人员或者中级技工以上水平。</w:t>
      </w:r>
    </w:p>
    <w:p w14:paraId="260B381B">
      <w:pPr>
        <w:jc w:val="left"/>
        <w:rPr>
          <w:rFonts w:ascii="宋体" w:hAnsi="宋体"/>
          <w:kern w:val="44"/>
        </w:rPr>
      </w:pPr>
      <w:r>
        <w:rPr>
          <w:rFonts w:hint="eastAsia" w:ascii="宋体" w:hAnsi="宋体"/>
          <w:kern w:val="44"/>
        </w:rPr>
        <w:t>取得成人教育教师资格应当具备的学历，由市教育行政部门根据国家有关规定具体确定。</w:t>
      </w:r>
    </w:p>
    <w:p w14:paraId="25AB1A9B">
      <w:pPr>
        <w:jc w:val="left"/>
        <w:rPr>
          <w:rFonts w:ascii="宋体" w:hAnsi="宋体"/>
          <w:kern w:val="44"/>
        </w:rPr>
      </w:pPr>
      <w:r>
        <w:rPr>
          <w:rFonts w:hint="eastAsia" w:ascii="宋体" w:hAnsi="宋体"/>
          <w:kern w:val="44"/>
        </w:rPr>
        <w:t>非师范毕业生取得中等及中等以下学校教师资格，应当接受教育学、心理学和教学法等教育基本理论的培训。本办法实施前已经取得教师职务的除外。</w:t>
      </w:r>
    </w:p>
    <w:p w14:paraId="261153EA">
      <w:pPr>
        <w:ind w:firstLine="422"/>
        <w:jc w:val="left"/>
        <w:rPr>
          <w:rFonts w:ascii="宋体" w:hAnsi="宋体"/>
          <w:kern w:val="44"/>
        </w:rPr>
      </w:pPr>
      <w:r>
        <w:rPr>
          <w:rFonts w:hint="eastAsia" w:ascii="宋体" w:hAnsi="宋体"/>
          <w:b/>
          <w:kern w:val="44"/>
        </w:rPr>
        <w:t>第八条</w:t>
      </w:r>
      <w:r>
        <w:rPr>
          <w:rFonts w:hint="eastAsia" w:ascii="宋体" w:hAnsi="宋体"/>
          <w:kern w:val="44"/>
        </w:rPr>
        <w:t>　幼儿园、小学和初级中学教师资格由区、县教育行政部门认定；高级中学、中等职业学校教师资格和中等职业学校实习指导教师资格由市教育行政部门认定；市属高等学校教师资格由市教育行政部门或委托的高等学校认定。</w:t>
      </w:r>
    </w:p>
    <w:p w14:paraId="3D22453D">
      <w:pPr>
        <w:jc w:val="left"/>
        <w:rPr>
          <w:rFonts w:ascii="宋体" w:hAnsi="宋体"/>
          <w:kern w:val="44"/>
        </w:rPr>
      </w:pPr>
      <w:r>
        <w:rPr>
          <w:rFonts w:hint="eastAsia" w:ascii="宋体" w:hAnsi="宋体"/>
          <w:kern w:val="44"/>
        </w:rPr>
        <w:t>经认定具备教师资格的人员，由认定部门授予教师资格证书。</w:t>
      </w:r>
    </w:p>
    <w:p w14:paraId="111E6570">
      <w:pPr>
        <w:jc w:val="left"/>
        <w:rPr>
          <w:rFonts w:ascii="宋体" w:hAnsi="宋体"/>
          <w:kern w:val="44"/>
        </w:rPr>
      </w:pPr>
      <w:r>
        <w:rPr>
          <w:rFonts w:hint="eastAsia" w:ascii="宋体" w:hAnsi="宋体"/>
          <w:kern w:val="44"/>
        </w:rPr>
        <w:t>取得教师资格的人员首次任教，应当有1年的试用期。</w:t>
      </w:r>
    </w:p>
    <w:p w14:paraId="3A9F104E">
      <w:pPr>
        <w:ind w:firstLine="422"/>
        <w:jc w:val="left"/>
        <w:rPr>
          <w:rFonts w:ascii="宋体" w:hAnsi="宋体"/>
          <w:kern w:val="44"/>
        </w:rPr>
      </w:pPr>
      <w:r>
        <w:rPr>
          <w:rFonts w:hint="eastAsia" w:ascii="宋体" w:hAnsi="宋体"/>
          <w:b/>
          <w:kern w:val="44"/>
        </w:rPr>
        <w:t>第九条</w:t>
      </w:r>
      <w:r>
        <w:rPr>
          <w:rFonts w:hint="eastAsia" w:ascii="宋体" w:hAnsi="宋体"/>
          <w:kern w:val="44"/>
        </w:rPr>
        <w:t>　教师受到开除公职处分或者其教师资格是通过不正当方式取得的，由教师资格认定部门予以撤销。</w:t>
      </w:r>
    </w:p>
    <w:p w14:paraId="54281CBE">
      <w:pPr>
        <w:jc w:val="left"/>
        <w:rPr>
          <w:rFonts w:ascii="宋体" w:hAnsi="宋体"/>
          <w:kern w:val="44"/>
        </w:rPr>
      </w:pPr>
      <w:r>
        <w:rPr>
          <w:rFonts w:hint="eastAsia" w:ascii="宋体" w:hAnsi="宋体"/>
          <w:kern w:val="44"/>
        </w:rPr>
        <w:t>丧失或者撤销教师资格的，由认定的部门或者学校收回教师资格证书。</w:t>
      </w:r>
    </w:p>
    <w:p w14:paraId="5CD5F24F">
      <w:pPr>
        <w:ind w:firstLine="422"/>
        <w:jc w:val="left"/>
        <w:rPr>
          <w:rFonts w:ascii="宋体" w:hAnsi="宋体"/>
          <w:kern w:val="44"/>
        </w:rPr>
      </w:pPr>
      <w:r>
        <w:rPr>
          <w:rFonts w:hint="eastAsia" w:ascii="宋体" w:hAnsi="宋体"/>
          <w:b/>
          <w:kern w:val="44"/>
        </w:rPr>
        <w:t xml:space="preserve">第十条  </w:t>
      </w:r>
      <w:r>
        <w:rPr>
          <w:rFonts w:hint="eastAsia" w:ascii="宋体" w:hAnsi="宋体"/>
          <w:kern w:val="44"/>
        </w:rPr>
        <w:t>学校和其他教育机构不得聘任未取得教师资格的人员任教。</w:t>
      </w:r>
    </w:p>
    <w:p w14:paraId="3DD4111E">
      <w:pPr>
        <w:ind w:firstLine="422"/>
        <w:jc w:val="left"/>
        <w:rPr>
          <w:rFonts w:ascii="宋体" w:hAnsi="宋体"/>
          <w:kern w:val="44"/>
        </w:rPr>
      </w:pPr>
      <w:r>
        <w:rPr>
          <w:rFonts w:hint="eastAsia" w:ascii="宋体" w:hAnsi="宋体"/>
          <w:b/>
          <w:kern w:val="44"/>
        </w:rPr>
        <w:t>第十一条</w:t>
      </w:r>
      <w:r>
        <w:rPr>
          <w:rFonts w:hint="eastAsia" w:ascii="宋体" w:hAnsi="宋体"/>
          <w:kern w:val="44"/>
        </w:rPr>
        <w:t>　教育行政部门应当制定教师考核的原则、内容、标准、程序和方法，对考核工作进行指导、监督。</w:t>
      </w:r>
    </w:p>
    <w:p w14:paraId="2E1A9CF5">
      <w:pPr>
        <w:jc w:val="left"/>
        <w:rPr>
          <w:rFonts w:ascii="宋体" w:hAnsi="宋体"/>
          <w:kern w:val="44"/>
        </w:rPr>
      </w:pPr>
      <w:r>
        <w:rPr>
          <w:rFonts w:hint="eastAsia" w:ascii="宋体" w:hAnsi="宋体"/>
          <w:kern w:val="44"/>
        </w:rPr>
        <w:t>学校和其他教育机构应当建立健全教师年度考核制度。考核结果记入考绩档案，作为晋升工资和职务、续聘或者不予晋升工资、解聘、低聘教师职务以及实施奖惩的依据。</w:t>
      </w:r>
    </w:p>
    <w:p w14:paraId="72E80C4E">
      <w:pPr>
        <w:ind w:firstLine="422"/>
        <w:jc w:val="left"/>
        <w:rPr>
          <w:rFonts w:ascii="宋体" w:hAnsi="宋体"/>
          <w:kern w:val="44"/>
        </w:rPr>
      </w:pPr>
      <w:r>
        <w:rPr>
          <w:rFonts w:hint="eastAsia" w:ascii="宋体" w:hAnsi="宋体"/>
          <w:b/>
          <w:kern w:val="44"/>
        </w:rPr>
        <w:t>第十二条</w:t>
      </w:r>
      <w:r>
        <w:rPr>
          <w:rFonts w:hint="eastAsia" w:ascii="宋体" w:hAnsi="宋体"/>
          <w:kern w:val="44"/>
        </w:rPr>
        <w:t>　市和区、县人民政府应当根据教育事业发展需要和国家标准，规划、建设师范院校，提高师范教育质量。</w:t>
      </w:r>
    </w:p>
    <w:p w14:paraId="46375B56">
      <w:pPr>
        <w:jc w:val="left"/>
        <w:rPr>
          <w:rFonts w:ascii="宋体" w:hAnsi="宋体"/>
          <w:kern w:val="44"/>
        </w:rPr>
      </w:pPr>
      <w:r>
        <w:rPr>
          <w:rFonts w:hint="eastAsia" w:ascii="宋体" w:hAnsi="宋体"/>
          <w:kern w:val="44"/>
        </w:rPr>
        <w:t>师范院校和非师范院校中接受师范教育的学生免交学杂费，享受专业奖学金。专业奖学金应当保障学生基本生活需要，具体标准由市教育行政部门和财政部门制定，所需经费由财政部门、有关部门予以保障。</w:t>
      </w:r>
    </w:p>
    <w:p w14:paraId="56AFFA64">
      <w:pPr>
        <w:jc w:val="left"/>
        <w:rPr>
          <w:rFonts w:ascii="宋体" w:hAnsi="宋体"/>
          <w:kern w:val="44"/>
        </w:rPr>
      </w:pPr>
      <w:r>
        <w:rPr>
          <w:rFonts w:hint="eastAsia" w:ascii="宋体" w:hAnsi="宋体"/>
          <w:kern w:val="44"/>
        </w:rPr>
        <w:t>本市实行师范毕业生服务期制度，服务期为5年。鼓励师范毕业生终身从教。</w:t>
      </w:r>
    </w:p>
    <w:p w14:paraId="350919F4">
      <w:pPr>
        <w:jc w:val="left"/>
        <w:rPr>
          <w:rFonts w:ascii="宋体" w:hAnsi="宋体"/>
          <w:kern w:val="44"/>
        </w:rPr>
      </w:pPr>
      <w:r>
        <w:rPr>
          <w:rFonts w:hint="eastAsia" w:ascii="宋体" w:hAnsi="宋体"/>
          <w:kern w:val="44"/>
        </w:rPr>
        <w:t>非师范高等院校应届毕业生到中小学任教，应当履行聘任协议规定的义务，工作满5年的，由区、县人民政府参照师范生在校专业奖学金标准，发给一次性奖金。</w:t>
      </w:r>
    </w:p>
    <w:p w14:paraId="63ADA67F">
      <w:pPr>
        <w:ind w:firstLine="422"/>
        <w:jc w:val="left"/>
        <w:rPr>
          <w:rFonts w:ascii="宋体" w:hAnsi="宋体"/>
          <w:kern w:val="44"/>
        </w:rPr>
      </w:pPr>
      <w:r>
        <w:rPr>
          <w:rFonts w:hint="eastAsia" w:ascii="宋体" w:hAnsi="宋体"/>
          <w:b/>
          <w:kern w:val="44"/>
        </w:rPr>
        <w:t>第十三条</w:t>
      </w:r>
      <w:r>
        <w:rPr>
          <w:rFonts w:hint="eastAsia" w:ascii="宋体" w:hAnsi="宋体"/>
          <w:kern w:val="44"/>
        </w:rPr>
        <w:t>　市和区、县人民政府及其教育行政部门、有关部门和学校应当采取措施，提高现有教师的学历水平，并有计划、有步骤地使新补充的高等院校教师具有研究生学历，高级中等学校教师具有本科或者研究生学历，初中教师具有本科学历，小学教师具有大专以上学历。</w:t>
      </w:r>
    </w:p>
    <w:p w14:paraId="0343627C">
      <w:pPr>
        <w:ind w:firstLine="422"/>
        <w:jc w:val="left"/>
        <w:rPr>
          <w:rFonts w:ascii="宋体" w:hAnsi="宋体"/>
          <w:kern w:val="44"/>
        </w:rPr>
      </w:pPr>
      <w:r>
        <w:rPr>
          <w:rFonts w:hint="eastAsia" w:ascii="宋体" w:hAnsi="宋体"/>
          <w:b/>
          <w:kern w:val="44"/>
        </w:rPr>
        <w:t>第十四条</w:t>
      </w:r>
      <w:r>
        <w:rPr>
          <w:rFonts w:hint="eastAsia" w:ascii="宋体" w:hAnsi="宋体"/>
          <w:kern w:val="44"/>
        </w:rPr>
        <w:t>　市和区、县人民政府及其教育、劳动行政部门应当划拨专项经费，办好教师进修院校和培训基地。</w:t>
      </w:r>
    </w:p>
    <w:p w14:paraId="707869B8">
      <w:pPr>
        <w:jc w:val="left"/>
        <w:rPr>
          <w:rFonts w:ascii="宋体" w:hAnsi="宋体"/>
          <w:kern w:val="44"/>
        </w:rPr>
      </w:pPr>
      <w:r>
        <w:rPr>
          <w:rFonts w:hint="eastAsia" w:ascii="宋体" w:hAnsi="宋体"/>
          <w:kern w:val="44"/>
        </w:rPr>
        <w:t>教育行政部门、学校和其他教育机构应当有计划地安排教师参加进修、培训、接受继续教育，重点培养教育教学骨干和青年教师。教师应当按照规定完成学习任务。</w:t>
      </w:r>
    </w:p>
    <w:p w14:paraId="4363EBE8">
      <w:pPr>
        <w:ind w:firstLine="422"/>
        <w:jc w:val="left"/>
        <w:rPr>
          <w:rFonts w:ascii="宋体" w:hAnsi="宋体"/>
          <w:kern w:val="44"/>
        </w:rPr>
      </w:pPr>
      <w:r>
        <w:rPr>
          <w:rFonts w:hint="eastAsia" w:ascii="宋体" w:hAnsi="宋体"/>
          <w:b/>
          <w:kern w:val="44"/>
        </w:rPr>
        <w:t>第十五条</w:t>
      </w:r>
      <w:r>
        <w:rPr>
          <w:rFonts w:hint="eastAsia" w:ascii="宋体" w:hAnsi="宋体"/>
          <w:kern w:val="44"/>
        </w:rPr>
        <w:t>　市人民政府应当采取措施，不断提高教师的工资，使本市教师的平均工资水平高于国家公务员的平均工资水平。</w:t>
      </w:r>
    </w:p>
    <w:p w14:paraId="79DBC126">
      <w:pPr>
        <w:ind w:firstLine="422"/>
        <w:jc w:val="left"/>
        <w:rPr>
          <w:rFonts w:ascii="宋体" w:hAnsi="宋体"/>
          <w:kern w:val="44"/>
        </w:rPr>
      </w:pPr>
      <w:r>
        <w:rPr>
          <w:rFonts w:hint="eastAsia" w:ascii="宋体" w:hAnsi="宋体"/>
          <w:b/>
          <w:kern w:val="44"/>
        </w:rPr>
        <w:t>第十六条</w:t>
      </w:r>
      <w:r>
        <w:rPr>
          <w:rFonts w:hint="eastAsia" w:ascii="宋体" w:hAnsi="宋体"/>
          <w:kern w:val="44"/>
        </w:rPr>
        <w:t>　本市各级各类学校和其他教育机构的教师享受教龄津贴，教龄津贴标准按照国家和本市的规定执行。</w:t>
      </w:r>
    </w:p>
    <w:p w14:paraId="5BFCC40F">
      <w:pPr>
        <w:ind w:firstLine="422"/>
        <w:jc w:val="left"/>
        <w:rPr>
          <w:rFonts w:ascii="宋体" w:hAnsi="宋体"/>
          <w:kern w:val="44"/>
        </w:rPr>
      </w:pPr>
      <w:r>
        <w:rPr>
          <w:rFonts w:hint="eastAsia" w:ascii="宋体" w:hAnsi="宋体"/>
          <w:b/>
          <w:kern w:val="44"/>
        </w:rPr>
        <w:t>第十七条</w:t>
      </w:r>
      <w:r>
        <w:rPr>
          <w:rFonts w:hint="eastAsia" w:ascii="宋体" w:hAnsi="宋体"/>
          <w:kern w:val="44"/>
        </w:rPr>
        <w:t>　凡在本市山区工作的中小学教师，工资在原有等级工资基础上向上浮动一个档次，每满5年的予以固定，并再向上浮动一个档次。</w:t>
      </w:r>
    </w:p>
    <w:p w14:paraId="1FE79128">
      <w:pPr>
        <w:jc w:val="left"/>
        <w:rPr>
          <w:rFonts w:ascii="宋体" w:hAnsi="宋体"/>
          <w:kern w:val="44"/>
        </w:rPr>
      </w:pPr>
      <w:r>
        <w:rPr>
          <w:rFonts w:hint="eastAsia" w:ascii="宋体" w:hAnsi="宋体"/>
          <w:kern w:val="44"/>
        </w:rPr>
        <w:t>市和区、县人民政府应当对从城镇地区到山区工作的中小学教师，给予奖励性补贴。</w:t>
      </w:r>
    </w:p>
    <w:p w14:paraId="2840D86A">
      <w:pPr>
        <w:ind w:firstLine="422"/>
        <w:jc w:val="left"/>
        <w:rPr>
          <w:rFonts w:ascii="宋体" w:hAnsi="宋体"/>
          <w:kern w:val="44"/>
        </w:rPr>
      </w:pPr>
      <w:r>
        <w:rPr>
          <w:rFonts w:hint="eastAsia" w:ascii="宋体" w:hAnsi="宋体"/>
          <w:b/>
          <w:kern w:val="44"/>
        </w:rPr>
        <w:t>第十八条</w:t>
      </w:r>
      <w:r>
        <w:rPr>
          <w:rFonts w:hint="eastAsia" w:ascii="宋体" w:hAnsi="宋体"/>
          <w:kern w:val="44"/>
        </w:rPr>
        <w:t>　市和区、县人民政府、有关部门应当增加教师公费医疗经费，建立教师医疗周转金，教师医疗费应当及时予以报销，不得超过3个月，并逐步建立和发展社会保险制度，为教师提供医疗保障。</w:t>
      </w:r>
    </w:p>
    <w:p w14:paraId="1F83087C">
      <w:pPr>
        <w:jc w:val="left"/>
        <w:rPr>
          <w:rFonts w:ascii="宋体" w:hAnsi="宋体"/>
          <w:kern w:val="44"/>
        </w:rPr>
      </w:pPr>
      <w:r>
        <w:rPr>
          <w:rFonts w:hint="eastAsia" w:ascii="宋体" w:hAnsi="宋体"/>
          <w:kern w:val="44"/>
        </w:rPr>
        <w:t>各级各类学校和其他教育机构应当每两年至少组织教师进行一次健康检查，所需经费由各级人民政府或者办学部门予以保障。</w:t>
      </w:r>
    </w:p>
    <w:p w14:paraId="2389CD1E">
      <w:pPr>
        <w:jc w:val="left"/>
        <w:rPr>
          <w:rFonts w:ascii="宋体" w:hAnsi="宋体"/>
          <w:kern w:val="44"/>
        </w:rPr>
      </w:pPr>
      <w:r>
        <w:rPr>
          <w:rFonts w:hint="eastAsia" w:ascii="宋体" w:hAnsi="宋体"/>
          <w:kern w:val="44"/>
        </w:rPr>
        <w:t>市和区、县人民政府应当对中小学特级教师提供特殊医疗保健。</w:t>
      </w:r>
    </w:p>
    <w:p w14:paraId="7AFF634E">
      <w:pPr>
        <w:ind w:firstLine="422"/>
        <w:jc w:val="left"/>
        <w:rPr>
          <w:rFonts w:ascii="宋体" w:hAnsi="宋体"/>
          <w:kern w:val="44"/>
        </w:rPr>
      </w:pPr>
      <w:r>
        <w:rPr>
          <w:rFonts w:hint="eastAsia" w:ascii="宋体" w:hAnsi="宋体"/>
          <w:b/>
          <w:kern w:val="44"/>
        </w:rPr>
        <w:t>第十九条</w:t>
      </w:r>
      <w:r>
        <w:rPr>
          <w:rFonts w:hint="eastAsia" w:ascii="宋体" w:hAnsi="宋体"/>
          <w:kern w:val="44"/>
        </w:rPr>
        <w:t>　教龄满30年（女满25年）的中小学退休教师享受100％的退休金待遇；有条件的其他学校也可以对退休教师在原有退休金的基础上给予补贴。</w:t>
      </w:r>
    </w:p>
    <w:p w14:paraId="3FCBEC8A">
      <w:pPr>
        <w:ind w:firstLine="422"/>
        <w:jc w:val="left"/>
        <w:rPr>
          <w:rFonts w:ascii="宋体" w:hAnsi="宋体"/>
          <w:kern w:val="44"/>
        </w:rPr>
      </w:pPr>
      <w:r>
        <w:rPr>
          <w:rFonts w:hint="eastAsia" w:ascii="宋体" w:hAnsi="宋体"/>
          <w:b/>
          <w:kern w:val="44"/>
        </w:rPr>
        <w:t>第二十条</w:t>
      </w:r>
      <w:r>
        <w:rPr>
          <w:rFonts w:hint="eastAsia" w:ascii="宋体" w:hAnsi="宋体"/>
          <w:kern w:val="44"/>
        </w:rPr>
        <w:t>　本市行政区域内的图书馆、科技馆、体育馆、艺术馆、博物馆、纪念馆等各类公共文化设施，应当对教师实行减免费或者其他优待。</w:t>
      </w:r>
    </w:p>
    <w:p w14:paraId="22566DDF">
      <w:pPr>
        <w:ind w:firstLine="422"/>
        <w:jc w:val="left"/>
        <w:rPr>
          <w:rFonts w:ascii="宋体" w:hAnsi="宋体"/>
          <w:kern w:val="44"/>
        </w:rPr>
      </w:pPr>
      <w:r>
        <w:rPr>
          <w:rFonts w:hint="eastAsia" w:ascii="宋体" w:hAnsi="宋体"/>
          <w:b/>
          <w:kern w:val="44"/>
        </w:rPr>
        <w:t>第二十一条</w:t>
      </w:r>
      <w:r>
        <w:rPr>
          <w:rFonts w:hint="eastAsia" w:ascii="宋体" w:hAnsi="宋体"/>
          <w:kern w:val="44"/>
        </w:rPr>
        <w:t>　各级人民政府和有关部门应当对优秀教师给予表彰和奖励；在教育教学工作中做出重大贡献的教师，由市人民政府授予“人民教师”称号。</w:t>
      </w:r>
    </w:p>
    <w:p w14:paraId="41A6ECA8">
      <w:pPr>
        <w:ind w:firstLine="422"/>
        <w:jc w:val="left"/>
        <w:rPr>
          <w:rFonts w:ascii="宋体" w:hAnsi="宋体"/>
          <w:kern w:val="44"/>
        </w:rPr>
      </w:pPr>
      <w:r>
        <w:rPr>
          <w:rFonts w:hint="eastAsia" w:ascii="宋体" w:hAnsi="宋体"/>
          <w:b/>
          <w:kern w:val="44"/>
        </w:rPr>
        <w:t>第二十二条</w:t>
      </w:r>
      <w:r>
        <w:rPr>
          <w:rFonts w:hint="eastAsia" w:ascii="宋体" w:hAnsi="宋体"/>
          <w:kern w:val="44"/>
        </w:rPr>
        <w:t>　违反本办法规定，《教师法》和国家有关法律、法规已规定处理的，依照《教师法》和国家有关法律、法规的规定处理。</w:t>
      </w:r>
    </w:p>
    <w:p w14:paraId="7362F07A">
      <w:pPr>
        <w:jc w:val="left"/>
        <w:rPr>
          <w:rFonts w:ascii="宋体" w:hAnsi="宋体"/>
          <w:kern w:val="44"/>
        </w:rPr>
      </w:pPr>
      <w:r>
        <w:rPr>
          <w:rFonts w:hint="eastAsia" w:ascii="宋体" w:hAnsi="宋体"/>
          <w:kern w:val="44"/>
        </w:rPr>
        <w:t>师范毕业生违反本办法第十二条第三款规定未完成服务年限的，由教育或者劳动行政部门责令改正；拒不改正的，追缴在校期间的专业奖学金和培养费，具体办法由市人民政府制定。</w:t>
      </w:r>
    </w:p>
    <w:p w14:paraId="7120750D">
      <w:pPr>
        <w:jc w:val="left"/>
        <w:rPr>
          <w:rFonts w:ascii="宋体" w:hAnsi="宋体"/>
          <w:kern w:val="44"/>
        </w:rPr>
      </w:pPr>
      <w:r>
        <w:rPr>
          <w:rFonts w:hint="eastAsia" w:ascii="宋体" w:hAnsi="宋体"/>
          <w:kern w:val="44"/>
        </w:rPr>
        <w:t>违反本办法第十九条第一款规定拖欠教师应予报销的医疗费的，由各级人民政府责令限期改正；情节严重的，对直接责任者给予行政处分。</w:t>
      </w:r>
    </w:p>
    <w:p w14:paraId="4B73BC83">
      <w:pPr>
        <w:ind w:firstLine="422"/>
        <w:jc w:val="left"/>
        <w:rPr>
          <w:rFonts w:ascii="宋体" w:hAnsi="宋体"/>
          <w:kern w:val="44"/>
        </w:rPr>
      </w:pPr>
      <w:r>
        <w:rPr>
          <w:rFonts w:hint="eastAsia" w:ascii="宋体" w:hAnsi="宋体"/>
          <w:b/>
          <w:kern w:val="44"/>
        </w:rPr>
        <w:t>第二十三条</w:t>
      </w:r>
      <w:r>
        <w:rPr>
          <w:rFonts w:hint="eastAsia" w:ascii="宋体" w:hAnsi="宋体"/>
          <w:kern w:val="44"/>
        </w:rPr>
        <w:t>　市和区、县人民政府及其教育、劳动行政部门、有关部门，应当指定相应的职能机构按照《教师法》第三十九条的规定，接受教师申诉。申诉的具体办法由市人民政府制定。</w:t>
      </w:r>
    </w:p>
    <w:p w14:paraId="7EF4154F">
      <w:pPr>
        <w:jc w:val="left"/>
        <w:rPr>
          <w:rFonts w:ascii="宋体" w:hAnsi="宋体"/>
          <w:kern w:val="44"/>
        </w:rPr>
      </w:pPr>
      <w:r>
        <w:rPr>
          <w:rFonts w:hint="eastAsia" w:ascii="宋体" w:hAnsi="宋体"/>
          <w:kern w:val="44"/>
        </w:rPr>
        <w:t>教师对申诉处理决定不服的，属于行政复议、行政诉讼受案范围的，可以依法申请行政复议或者提起行政诉讼。</w:t>
      </w:r>
    </w:p>
    <w:p w14:paraId="565BEEEE">
      <w:pPr>
        <w:ind w:firstLine="422"/>
        <w:jc w:val="left"/>
        <w:rPr>
          <w:rFonts w:ascii="宋体" w:hAnsi="宋体"/>
          <w:kern w:val="44"/>
        </w:rPr>
      </w:pPr>
      <w:r>
        <w:rPr>
          <w:rFonts w:hint="eastAsia" w:ascii="宋体" w:hAnsi="宋体"/>
          <w:b/>
          <w:kern w:val="44"/>
        </w:rPr>
        <w:t>第二十四条</w:t>
      </w:r>
      <w:r>
        <w:rPr>
          <w:rFonts w:hint="eastAsia" w:ascii="宋体" w:hAnsi="宋体"/>
          <w:kern w:val="44"/>
        </w:rPr>
        <w:t>　教育、劳动行政部门工作人员滥用职权、徇私舞弊、玩忽职守，侵犯教师合法权益的，由其主管部门给予行政处分；构成犯罪的，依法追究刑事责任。</w:t>
      </w:r>
    </w:p>
    <w:p w14:paraId="2D23E4E4">
      <w:pPr>
        <w:ind w:firstLine="422"/>
        <w:jc w:val="left"/>
        <w:rPr>
          <w:rFonts w:ascii="宋体" w:hAnsi="宋体"/>
          <w:kern w:val="44"/>
        </w:rPr>
      </w:pPr>
      <w:r>
        <w:rPr>
          <w:rFonts w:hint="eastAsia" w:ascii="宋体" w:hAnsi="宋体"/>
          <w:b/>
          <w:kern w:val="44"/>
        </w:rPr>
        <w:t>第二十五条</w:t>
      </w:r>
      <w:r>
        <w:rPr>
          <w:rFonts w:hint="eastAsia" w:ascii="宋体" w:hAnsi="宋体"/>
          <w:kern w:val="44"/>
        </w:rPr>
        <w:t>　本办法具体应用中的问题，由市人民政府负责解释。</w:t>
      </w:r>
    </w:p>
    <w:p w14:paraId="23D52E8F">
      <w:pPr>
        <w:ind w:firstLine="422"/>
        <w:jc w:val="left"/>
        <w:rPr>
          <w:rFonts w:ascii="宋体" w:hAnsi="宋体"/>
          <w:kern w:val="44"/>
        </w:rPr>
      </w:pPr>
      <w:r>
        <w:rPr>
          <w:rFonts w:hint="eastAsia" w:ascii="宋体" w:hAnsi="宋体"/>
          <w:b/>
          <w:kern w:val="44"/>
        </w:rPr>
        <w:t>第二十六条</w:t>
      </w:r>
      <w:r>
        <w:rPr>
          <w:rFonts w:hint="eastAsia" w:ascii="宋体" w:hAnsi="宋体"/>
          <w:kern w:val="44"/>
        </w:rPr>
        <w:t>　本办法自1994年9月10日起施行。</w:t>
      </w:r>
    </w:p>
    <w:p w14:paraId="608592E8">
      <w:pPr>
        <w:pStyle w:val="4"/>
        <w:pageBreakBefore/>
        <w:rPr>
          <w:kern w:val="44"/>
        </w:rPr>
      </w:pPr>
      <w:bookmarkStart w:id="1461" w:name="_Toc422471381"/>
      <w:bookmarkStart w:id="1462" w:name="_Toc427651644"/>
      <w:bookmarkStart w:id="1463" w:name="_Toc427651986"/>
      <w:bookmarkStart w:id="1464" w:name="_Toc428781692"/>
      <w:bookmarkStart w:id="1465" w:name="_Toc428780210"/>
      <w:r>
        <w:rPr>
          <w:rFonts w:hint="eastAsia"/>
          <w:kern w:val="44"/>
        </w:rPr>
        <w:t>北京市专业技术人员</w:t>
      </w:r>
      <w:bookmarkEnd w:id="1461"/>
      <w:bookmarkStart w:id="1466" w:name="_Toc422471382"/>
      <w:r>
        <w:rPr>
          <w:rFonts w:hint="eastAsia"/>
          <w:kern w:val="44"/>
        </w:rPr>
        <w:t>继续教育规定</w:t>
      </w:r>
      <w:bookmarkEnd w:id="1462"/>
      <w:bookmarkEnd w:id="1463"/>
      <w:bookmarkEnd w:id="1464"/>
      <w:bookmarkEnd w:id="1465"/>
      <w:bookmarkEnd w:id="1466"/>
    </w:p>
    <w:p w14:paraId="3183389A">
      <w:pPr>
        <w:ind w:left="630" w:leftChars="300" w:right="630" w:rightChars="300"/>
        <w:jc w:val="left"/>
        <w:rPr>
          <w:rFonts w:ascii="楷体" w:hAnsi="楷体" w:eastAsia="楷体"/>
          <w:kern w:val="44"/>
        </w:rPr>
      </w:pPr>
      <w:r>
        <w:rPr>
          <w:rFonts w:hint="eastAsia" w:ascii="楷体" w:hAnsi="楷体" w:eastAsia="楷体"/>
          <w:kern w:val="44"/>
        </w:rPr>
        <w:t>（1995年6月8日北京市第十届人民代表大会常务委员会第十七次会议通过　根据2001年5月18日北京市第十一届人民代表大会常务委员会第二十六次会议通过的《北京市专业技术人员继续教育规定修正案》修订）</w:t>
      </w:r>
    </w:p>
    <w:p w14:paraId="2C5DE5AF">
      <w:pPr>
        <w:jc w:val="left"/>
        <w:rPr>
          <w:rFonts w:ascii="宋体" w:hAnsi="宋体"/>
          <w:kern w:val="44"/>
        </w:rPr>
      </w:pPr>
    </w:p>
    <w:p w14:paraId="3A65DD3F">
      <w:pPr>
        <w:ind w:firstLine="422"/>
        <w:jc w:val="left"/>
        <w:rPr>
          <w:rFonts w:ascii="宋体" w:hAnsi="宋体"/>
          <w:kern w:val="44"/>
        </w:rPr>
      </w:pPr>
      <w:r>
        <w:rPr>
          <w:rFonts w:hint="eastAsia" w:ascii="宋体" w:hAnsi="宋体"/>
          <w:b/>
          <w:kern w:val="44"/>
        </w:rPr>
        <w:t>第一条</w:t>
      </w:r>
      <w:r>
        <w:rPr>
          <w:rFonts w:hint="eastAsia" w:ascii="宋体" w:hAnsi="宋体"/>
          <w:kern w:val="44"/>
        </w:rPr>
        <w:t>　为促进本市继续教育发展，提高专业技术人员素质，适应社会主义现代化建设的需要，根据《中华人民共和国教育法》、《中华人民共和国科学技术进步法》和国家有关规定，结合本市实际，制定本规定。</w:t>
      </w:r>
    </w:p>
    <w:p w14:paraId="13B8DE31">
      <w:pPr>
        <w:ind w:firstLine="422"/>
        <w:jc w:val="left"/>
        <w:rPr>
          <w:rFonts w:ascii="宋体" w:hAnsi="宋体"/>
          <w:kern w:val="44"/>
        </w:rPr>
      </w:pPr>
      <w:r>
        <w:rPr>
          <w:rFonts w:hint="eastAsia" w:ascii="宋体" w:hAnsi="宋体"/>
          <w:b/>
          <w:kern w:val="44"/>
        </w:rPr>
        <w:t>第二条</w:t>
      </w:r>
      <w:r>
        <w:rPr>
          <w:rFonts w:hint="eastAsia" w:ascii="宋体" w:hAnsi="宋体"/>
          <w:kern w:val="44"/>
        </w:rPr>
        <w:t>　本规定适用于对本市专业技术人员进行知识增新、扩展、加深与能力提高的继续教育。</w:t>
      </w:r>
    </w:p>
    <w:p w14:paraId="314A4AE4">
      <w:pPr>
        <w:jc w:val="left"/>
        <w:rPr>
          <w:rFonts w:ascii="宋体" w:hAnsi="宋体"/>
          <w:kern w:val="44"/>
        </w:rPr>
      </w:pPr>
      <w:r>
        <w:rPr>
          <w:rFonts w:hint="eastAsia" w:ascii="宋体" w:hAnsi="宋体"/>
          <w:kern w:val="44"/>
        </w:rPr>
        <w:t>本规定所称专业技术人员是指企业、事业单位按照国家专业技术职务制度被聘任的在职人员。</w:t>
      </w:r>
    </w:p>
    <w:p w14:paraId="725A089B">
      <w:pPr>
        <w:ind w:firstLine="422"/>
        <w:jc w:val="left"/>
        <w:rPr>
          <w:rFonts w:ascii="宋体" w:hAnsi="宋体"/>
          <w:kern w:val="44"/>
        </w:rPr>
      </w:pPr>
      <w:r>
        <w:rPr>
          <w:rFonts w:hint="eastAsia" w:ascii="宋体" w:hAnsi="宋体"/>
          <w:b/>
          <w:kern w:val="44"/>
        </w:rPr>
        <w:t>第三条</w:t>
      </w:r>
      <w:r>
        <w:rPr>
          <w:rFonts w:hint="eastAsia" w:ascii="宋体" w:hAnsi="宋体"/>
          <w:kern w:val="44"/>
        </w:rPr>
        <w:t>　继续教育应当坚持为社会主义现代化建设服务，面向国内外科学技术发展新水平，与专业技术工作需要相结合，促进科学技术进步与经济和社会发展。</w:t>
      </w:r>
    </w:p>
    <w:p w14:paraId="2A61B4F6">
      <w:pPr>
        <w:ind w:firstLine="422"/>
        <w:jc w:val="left"/>
        <w:rPr>
          <w:rFonts w:ascii="宋体" w:hAnsi="宋体"/>
          <w:kern w:val="44"/>
        </w:rPr>
      </w:pPr>
      <w:r>
        <w:rPr>
          <w:rFonts w:hint="eastAsia" w:ascii="宋体" w:hAnsi="宋体"/>
          <w:b/>
          <w:kern w:val="44"/>
        </w:rPr>
        <w:t>第四条</w:t>
      </w:r>
      <w:r>
        <w:rPr>
          <w:rFonts w:hint="eastAsia" w:ascii="宋体" w:hAnsi="宋体"/>
          <w:kern w:val="44"/>
        </w:rPr>
        <w:t>　继续教育的主要任务是对专业技术人员进行新理论、新技术、新知识、新方法的教育；进行专业技术职务任职和晋职的培训；进行培养专业技术骨干和学科带头人的培训。</w:t>
      </w:r>
    </w:p>
    <w:p w14:paraId="572FE5D5">
      <w:pPr>
        <w:ind w:firstLine="422"/>
        <w:jc w:val="left"/>
        <w:rPr>
          <w:rFonts w:ascii="宋体" w:hAnsi="宋体"/>
          <w:kern w:val="44"/>
        </w:rPr>
      </w:pPr>
      <w:r>
        <w:rPr>
          <w:rFonts w:hint="eastAsia" w:ascii="宋体" w:hAnsi="宋体"/>
          <w:b/>
          <w:kern w:val="44"/>
        </w:rPr>
        <w:t>第五条</w:t>
      </w:r>
      <w:r>
        <w:rPr>
          <w:rFonts w:hint="eastAsia" w:ascii="宋体" w:hAnsi="宋体"/>
          <w:kern w:val="44"/>
        </w:rPr>
        <w:t>　继续教育可以采取进修班、研修班、学术讲座、学术交流、考察和有计划、有考核的自学等多种形式进行。</w:t>
      </w:r>
    </w:p>
    <w:p w14:paraId="16DC981A">
      <w:pPr>
        <w:ind w:firstLine="422"/>
        <w:jc w:val="left"/>
        <w:rPr>
          <w:rFonts w:ascii="宋体" w:hAnsi="宋体"/>
          <w:kern w:val="44"/>
        </w:rPr>
      </w:pPr>
      <w:r>
        <w:rPr>
          <w:rFonts w:hint="eastAsia" w:ascii="宋体" w:hAnsi="宋体"/>
          <w:b/>
          <w:kern w:val="44"/>
        </w:rPr>
        <w:t>第六条</w:t>
      </w:r>
      <w:r>
        <w:rPr>
          <w:rFonts w:hint="eastAsia" w:ascii="宋体" w:hAnsi="宋体"/>
          <w:kern w:val="44"/>
        </w:rPr>
        <w:t>　专业技术人员有接受继续教育的权利和义务。</w:t>
      </w:r>
    </w:p>
    <w:p w14:paraId="6FD8F604">
      <w:pPr>
        <w:jc w:val="left"/>
        <w:rPr>
          <w:rFonts w:ascii="宋体" w:hAnsi="宋体"/>
          <w:kern w:val="44"/>
        </w:rPr>
      </w:pPr>
      <w:r>
        <w:rPr>
          <w:rFonts w:hint="eastAsia" w:ascii="宋体" w:hAnsi="宋体"/>
          <w:kern w:val="44"/>
        </w:rPr>
        <w:t>专业技术人员每年参加继续教育的学习时间不少于72学时，可以在专业技术职务聘任期内累计计算。</w:t>
      </w:r>
    </w:p>
    <w:p w14:paraId="44BEF545">
      <w:pPr>
        <w:jc w:val="left"/>
        <w:rPr>
          <w:rFonts w:ascii="宋体" w:hAnsi="宋体"/>
          <w:kern w:val="44"/>
        </w:rPr>
      </w:pPr>
      <w:r>
        <w:rPr>
          <w:rFonts w:hint="eastAsia" w:ascii="宋体" w:hAnsi="宋体"/>
          <w:kern w:val="44"/>
        </w:rPr>
        <w:t>专业技术人员接受继续教育期间享受与在岗人员同等的工资福利待遇。</w:t>
      </w:r>
    </w:p>
    <w:p w14:paraId="0E2C853F">
      <w:pPr>
        <w:jc w:val="left"/>
        <w:rPr>
          <w:rFonts w:ascii="宋体" w:hAnsi="宋体"/>
          <w:kern w:val="44"/>
        </w:rPr>
      </w:pPr>
      <w:r>
        <w:rPr>
          <w:rFonts w:hint="eastAsia" w:ascii="宋体" w:hAnsi="宋体"/>
          <w:kern w:val="44"/>
        </w:rPr>
        <w:t>专业技术人员应当按照单位统一安排参加继续教育学习，在学习期间遵守有关规定和纪律，完成学习任务，接受有关部门的考核和检查。</w:t>
      </w:r>
    </w:p>
    <w:p w14:paraId="26C8889E">
      <w:pPr>
        <w:ind w:firstLine="422"/>
        <w:jc w:val="left"/>
        <w:rPr>
          <w:rFonts w:ascii="宋体" w:hAnsi="宋体"/>
          <w:kern w:val="44"/>
        </w:rPr>
      </w:pPr>
      <w:r>
        <w:rPr>
          <w:rFonts w:hint="eastAsia" w:ascii="宋体" w:hAnsi="宋体"/>
          <w:b/>
          <w:kern w:val="44"/>
        </w:rPr>
        <w:t>第七条</w:t>
      </w:r>
      <w:r>
        <w:rPr>
          <w:rFonts w:hint="eastAsia" w:ascii="宋体" w:hAnsi="宋体"/>
          <w:kern w:val="44"/>
        </w:rPr>
        <w:t>　在本市教育行政部门宏观指导和统筹下，市和区、县人事行政主管部门负责继续教育的管理工作，制定规划并组织实施，对继续教育工作进行指导、协调和检查、监督。</w:t>
      </w:r>
    </w:p>
    <w:p w14:paraId="4B1AFA6D">
      <w:pPr>
        <w:jc w:val="left"/>
        <w:rPr>
          <w:rFonts w:ascii="宋体" w:hAnsi="宋体"/>
          <w:kern w:val="44"/>
        </w:rPr>
      </w:pPr>
      <w:r>
        <w:rPr>
          <w:rFonts w:hint="eastAsia" w:ascii="宋体" w:hAnsi="宋体"/>
          <w:kern w:val="44"/>
        </w:rPr>
        <w:t>本市各系统、各行业主管部门负责本系统、本行业继续教育的管理工作，应当制定继续教育规划，并组织实施。</w:t>
      </w:r>
    </w:p>
    <w:p w14:paraId="79721003">
      <w:pPr>
        <w:ind w:firstLine="422"/>
        <w:jc w:val="left"/>
        <w:rPr>
          <w:rFonts w:ascii="宋体" w:hAnsi="宋体"/>
          <w:kern w:val="44"/>
        </w:rPr>
      </w:pPr>
      <w:r>
        <w:rPr>
          <w:rFonts w:hint="eastAsia" w:ascii="宋体" w:hAnsi="宋体"/>
          <w:b/>
          <w:kern w:val="44"/>
        </w:rPr>
        <w:t>第八条</w:t>
      </w:r>
      <w:r>
        <w:rPr>
          <w:rFonts w:hint="eastAsia" w:ascii="宋体" w:hAnsi="宋体"/>
          <w:kern w:val="44"/>
        </w:rPr>
        <w:t>　对专业技术人员进行继续教育是企业、事业单位的重要职责。</w:t>
      </w:r>
    </w:p>
    <w:p w14:paraId="441D4939">
      <w:pPr>
        <w:jc w:val="left"/>
        <w:rPr>
          <w:rFonts w:ascii="宋体" w:hAnsi="宋体"/>
          <w:kern w:val="44"/>
        </w:rPr>
      </w:pPr>
      <w:r>
        <w:rPr>
          <w:rFonts w:hint="eastAsia" w:ascii="宋体" w:hAnsi="宋体"/>
          <w:kern w:val="44"/>
        </w:rPr>
        <w:t>企业、事业单位应当根据继续教育规划、本单位发展目标和工作需要以及不同层次专业技术人员素质提高的要求，制定年度计划和管理制度，组织专业技术人员参加继续教育，保证学习时间，提供必要的学习条件。</w:t>
      </w:r>
    </w:p>
    <w:p w14:paraId="52AB7990">
      <w:pPr>
        <w:jc w:val="left"/>
        <w:rPr>
          <w:rFonts w:ascii="宋体" w:hAnsi="宋体"/>
          <w:kern w:val="44"/>
        </w:rPr>
      </w:pPr>
      <w:r>
        <w:rPr>
          <w:rFonts w:hint="eastAsia" w:ascii="宋体" w:hAnsi="宋体"/>
          <w:kern w:val="44"/>
        </w:rPr>
        <w:t>各系统、各行业主管部门应当把继续教育工作纳入企业、事业单位主要负责人的目标责任，予以考核和监督。</w:t>
      </w:r>
    </w:p>
    <w:p w14:paraId="75D166F3">
      <w:pPr>
        <w:ind w:firstLine="422"/>
        <w:jc w:val="left"/>
        <w:rPr>
          <w:rFonts w:ascii="宋体" w:hAnsi="宋体"/>
          <w:kern w:val="44"/>
        </w:rPr>
      </w:pPr>
      <w:r>
        <w:rPr>
          <w:rFonts w:hint="eastAsia" w:ascii="宋体" w:hAnsi="宋体"/>
          <w:b/>
          <w:kern w:val="44"/>
        </w:rPr>
        <w:t>第九条</w:t>
      </w:r>
      <w:r>
        <w:rPr>
          <w:rFonts w:hint="eastAsia" w:ascii="宋体" w:hAnsi="宋体"/>
          <w:kern w:val="44"/>
        </w:rPr>
        <w:t>　企业、事业单位应当把人才的培养与使用结合起来，建立专业技术人员接受继续教育登记、考核制度，将学习情况和考核结果作为专业技术人员任职与晋职的重要条件。</w:t>
      </w:r>
    </w:p>
    <w:p w14:paraId="4190F3C0">
      <w:pPr>
        <w:ind w:firstLine="422"/>
        <w:jc w:val="left"/>
        <w:rPr>
          <w:rFonts w:ascii="宋体" w:hAnsi="宋体"/>
          <w:kern w:val="44"/>
        </w:rPr>
      </w:pPr>
      <w:r>
        <w:rPr>
          <w:rFonts w:hint="eastAsia" w:ascii="宋体" w:hAnsi="宋体"/>
          <w:b/>
          <w:kern w:val="44"/>
        </w:rPr>
        <w:t>第十条</w:t>
      </w:r>
      <w:r>
        <w:rPr>
          <w:rFonts w:hint="eastAsia" w:ascii="宋体" w:hAnsi="宋体"/>
          <w:kern w:val="44"/>
        </w:rPr>
        <w:t>　接受学历教育的专业技术人员经所在单位同意，在学历教育期间可以免予参加继续教育。</w:t>
      </w:r>
    </w:p>
    <w:p w14:paraId="1C5A607B">
      <w:pPr>
        <w:ind w:firstLine="422"/>
        <w:jc w:val="left"/>
        <w:rPr>
          <w:rFonts w:ascii="宋体" w:hAnsi="宋体"/>
          <w:kern w:val="44"/>
        </w:rPr>
      </w:pPr>
      <w:r>
        <w:rPr>
          <w:rFonts w:hint="eastAsia" w:ascii="宋体" w:hAnsi="宋体"/>
          <w:b/>
          <w:kern w:val="44"/>
        </w:rPr>
        <w:t>第十一条</w:t>
      </w:r>
      <w:r>
        <w:rPr>
          <w:rFonts w:hint="eastAsia" w:ascii="宋体" w:hAnsi="宋体"/>
          <w:kern w:val="44"/>
        </w:rPr>
        <w:t>　本市继续教育的学术团体，应当在继续教育的组织、宣传和服务等方面发挥积极作用。</w:t>
      </w:r>
    </w:p>
    <w:p w14:paraId="5CB9C868">
      <w:pPr>
        <w:ind w:firstLine="422"/>
        <w:jc w:val="left"/>
        <w:rPr>
          <w:rFonts w:ascii="宋体" w:hAnsi="宋体"/>
          <w:kern w:val="44"/>
        </w:rPr>
      </w:pPr>
      <w:r>
        <w:rPr>
          <w:rFonts w:hint="eastAsia" w:ascii="宋体" w:hAnsi="宋体"/>
          <w:b/>
          <w:kern w:val="44"/>
        </w:rPr>
        <w:t>第十二条</w:t>
      </w:r>
      <w:r>
        <w:rPr>
          <w:rFonts w:hint="eastAsia" w:ascii="宋体" w:hAnsi="宋体"/>
          <w:kern w:val="44"/>
        </w:rPr>
        <w:t>　高等院校以及科研院所、社会团体和大中型企业可以发挥各自优势，按照国家和本市有关规定，面向社会举办继续教育。</w:t>
      </w:r>
    </w:p>
    <w:p w14:paraId="1DB9E4E2">
      <w:pPr>
        <w:jc w:val="left"/>
        <w:rPr>
          <w:rFonts w:ascii="宋体" w:hAnsi="宋体"/>
          <w:kern w:val="44"/>
        </w:rPr>
      </w:pPr>
      <w:r>
        <w:rPr>
          <w:rFonts w:hint="eastAsia" w:ascii="宋体" w:hAnsi="宋体"/>
          <w:kern w:val="44"/>
        </w:rPr>
        <w:t>举办继续教育，应当保证教学质量，并接受管理部门的检查和监督。</w:t>
      </w:r>
    </w:p>
    <w:p w14:paraId="200088D9">
      <w:pPr>
        <w:ind w:firstLine="422"/>
        <w:jc w:val="left"/>
        <w:rPr>
          <w:rFonts w:ascii="宋体" w:hAnsi="宋体"/>
          <w:kern w:val="44"/>
        </w:rPr>
      </w:pPr>
      <w:r>
        <w:rPr>
          <w:rFonts w:hint="eastAsia" w:ascii="宋体" w:hAnsi="宋体"/>
          <w:b/>
          <w:kern w:val="44"/>
        </w:rPr>
        <w:t>第十三条</w:t>
      </w:r>
      <w:r>
        <w:rPr>
          <w:rFonts w:hint="eastAsia" w:ascii="宋体" w:hAnsi="宋体"/>
          <w:kern w:val="44"/>
        </w:rPr>
        <w:t>　从事继续教育的教学人员应当由具有与教学内容相适应的理论水平、实践经验的高、中级专业技术人员担任。</w:t>
      </w:r>
    </w:p>
    <w:p w14:paraId="413797C6">
      <w:pPr>
        <w:ind w:firstLine="422"/>
        <w:jc w:val="left"/>
        <w:rPr>
          <w:rFonts w:ascii="宋体" w:hAnsi="宋体"/>
          <w:kern w:val="44"/>
        </w:rPr>
      </w:pPr>
      <w:r>
        <w:rPr>
          <w:rFonts w:hint="eastAsia" w:ascii="宋体" w:hAnsi="宋体"/>
          <w:b/>
          <w:kern w:val="44"/>
        </w:rPr>
        <w:t>第十四条</w:t>
      </w:r>
      <w:r>
        <w:rPr>
          <w:rFonts w:hint="eastAsia" w:ascii="宋体" w:hAnsi="宋体"/>
          <w:kern w:val="44"/>
        </w:rPr>
        <w:t>　继续教育费用由国家、单位和个人多渠道解决。</w:t>
      </w:r>
    </w:p>
    <w:p w14:paraId="187F6815">
      <w:pPr>
        <w:jc w:val="left"/>
        <w:rPr>
          <w:rFonts w:ascii="宋体" w:hAnsi="宋体"/>
          <w:kern w:val="44"/>
        </w:rPr>
      </w:pPr>
      <w:r>
        <w:rPr>
          <w:rFonts w:hint="eastAsia" w:ascii="宋体" w:hAnsi="宋体"/>
          <w:kern w:val="44"/>
        </w:rPr>
        <w:t>企业、事业单位继续教育经费从职工教育经费中列支，并可以按照国家和本市其他有关规定办理。</w:t>
      </w:r>
    </w:p>
    <w:p w14:paraId="54D415C1">
      <w:pPr>
        <w:jc w:val="left"/>
        <w:rPr>
          <w:rFonts w:ascii="宋体" w:hAnsi="宋体"/>
          <w:kern w:val="44"/>
        </w:rPr>
      </w:pPr>
      <w:r>
        <w:rPr>
          <w:rFonts w:hint="eastAsia" w:ascii="宋体" w:hAnsi="宋体"/>
          <w:kern w:val="44"/>
        </w:rPr>
        <w:t>市和区、县人民政府财政部门，应当对继续教育管理部门开展继续教育工作所需经费予以支持。</w:t>
      </w:r>
    </w:p>
    <w:p w14:paraId="52E3508B">
      <w:pPr>
        <w:jc w:val="left"/>
        <w:rPr>
          <w:rFonts w:ascii="宋体" w:hAnsi="宋体"/>
          <w:kern w:val="44"/>
        </w:rPr>
      </w:pPr>
      <w:r>
        <w:rPr>
          <w:rFonts w:hint="eastAsia" w:ascii="宋体" w:hAnsi="宋体"/>
          <w:kern w:val="44"/>
        </w:rPr>
        <w:t>鼓励社会组织和个人资助继续教育事业。</w:t>
      </w:r>
    </w:p>
    <w:p w14:paraId="4E3D8DCA">
      <w:pPr>
        <w:ind w:firstLine="422"/>
        <w:jc w:val="left"/>
        <w:rPr>
          <w:rFonts w:ascii="宋体" w:hAnsi="宋体"/>
          <w:kern w:val="44"/>
        </w:rPr>
      </w:pPr>
      <w:r>
        <w:rPr>
          <w:rFonts w:hint="eastAsia" w:ascii="宋体" w:hAnsi="宋体"/>
          <w:b/>
          <w:kern w:val="44"/>
        </w:rPr>
        <w:t>第十五条</w:t>
      </w:r>
      <w:r>
        <w:rPr>
          <w:rFonts w:hint="eastAsia" w:ascii="宋体" w:hAnsi="宋体"/>
          <w:kern w:val="44"/>
        </w:rPr>
        <w:t>　市和区、县人民政府及其所属部门，企业、事业单位，应当对在继续教育中取得成绩的单位和个人给予表彰和奖励。</w:t>
      </w:r>
    </w:p>
    <w:p w14:paraId="600932D5">
      <w:pPr>
        <w:ind w:firstLine="422"/>
        <w:jc w:val="left"/>
        <w:rPr>
          <w:rFonts w:ascii="宋体" w:hAnsi="宋体"/>
          <w:kern w:val="44"/>
        </w:rPr>
      </w:pPr>
      <w:r>
        <w:rPr>
          <w:rFonts w:hint="eastAsia" w:ascii="宋体" w:hAnsi="宋体"/>
          <w:b/>
          <w:kern w:val="44"/>
        </w:rPr>
        <w:t>第十六条</w:t>
      </w:r>
      <w:r>
        <w:rPr>
          <w:rFonts w:hint="eastAsia" w:ascii="宋体" w:hAnsi="宋体"/>
          <w:kern w:val="44"/>
        </w:rPr>
        <w:t>　专业技术人员接受继续教育的权利受到侵害时，有权向本单位或者上一级行政主管部门提出申诉。接受申诉的部门应当在接到申诉书之日起30日内作出处理决定，并答复本人。</w:t>
      </w:r>
    </w:p>
    <w:p w14:paraId="00729821">
      <w:pPr>
        <w:ind w:firstLine="422"/>
        <w:jc w:val="left"/>
        <w:rPr>
          <w:rFonts w:ascii="宋体" w:hAnsi="宋体"/>
          <w:kern w:val="44"/>
        </w:rPr>
      </w:pPr>
      <w:r>
        <w:rPr>
          <w:rFonts w:hint="eastAsia" w:ascii="宋体" w:hAnsi="宋体"/>
          <w:b/>
          <w:kern w:val="44"/>
        </w:rPr>
        <w:t>第十七条</w:t>
      </w:r>
      <w:r>
        <w:rPr>
          <w:rFonts w:hint="eastAsia" w:ascii="宋体" w:hAnsi="宋体"/>
          <w:kern w:val="44"/>
        </w:rPr>
        <w:t>　企业、事业单位违反本规定，侵犯专业技术人员接受继续教育权利的，由继续教育管理机关给予批评教育，责令改正；情节严重的，提请其上一级主管部门对单位负责人和直接责任人给予行政处分。</w:t>
      </w:r>
    </w:p>
    <w:p w14:paraId="17ABE9CA">
      <w:pPr>
        <w:ind w:firstLine="422"/>
        <w:jc w:val="left"/>
        <w:rPr>
          <w:rFonts w:ascii="宋体" w:hAnsi="宋体"/>
          <w:kern w:val="44"/>
        </w:rPr>
      </w:pPr>
      <w:r>
        <w:rPr>
          <w:rFonts w:hint="eastAsia" w:ascii="宋体" w:hAnsi="宋体"/>
          <w:b/>
          <w:kern w:val="44"/>
        </w:rPr>
        <w:t>第十八条</w:t>
      </w:r>
      <w:r>
        <w:rPr>
          <w:rFonts w:hint="eastAsia" w:ascii="宋体" w:hAnsi="宋体"/>
          <w:kern w:val="44"/>
        </w:rPr>
        <w:t>　专业技术人员违反本规定，无正当理由不参加单位统一安排的继续教育，或者在学习期间违反学习纪律和制度，由其所在单位视情节轻重予以批评教育或者追偿学习经费。</w:t>
      </w:r>
    </w:p>
    <w:p w14:paraId="6C2BB80E">
      <w:pPr>
        <w:ind w:firstLine="422"/>
        <w:jc w:val="left"/>
        <w:rPr>
          <w:rFonts w:ascii="宋体" w:hAnsi="宋体"/>
          <w:kern w:val="44"/>
        </w:rPr>
      </w:pPr>
      <w:r>
        <w:rPr>
          <w:rFonts w:hint="eastAsia" w:ascii="宋体" w:hAnsi="宋体"/>
          <w:b/>
          <w:kern w:val="44"/>
        </w:rPr>
        <w:t>第十九条</w:t>
      </w:r>
      <w:r>
        <w:rPr>
          <w:rFonts w:hint="eastAsia" w:ascii="宋体" w:hAnsi="宋体"/>
          <w:kern w:val="44"/>
        </w:rPr>
        <w:t>　本规定自1995年10月1日起施行。</w:t>
      </w:r>
    </w:p>
    <w:p w14:paraId="6485A6E8">
      <w:pPr>
        <w:pStyle w:val="4"/>
        <w:pageBreakBefore/>
        <w:rPr>
          <w:kern w:val="44"/>
        </w:rPr>
      </w:pPr>
      <w:bookmarkStart w:id="1467" w:name="_Toc422471383"/>
      <w:bookmarkStart w:id="1468" w:name="_Toc427651987"/>
      <w:bookmarkStart w:id="1469" w:name="_Toc427651645"/>
      <w:bookmarkStart w:id="1470" w:name="_Toc428780211"/>
      <w:bookmarkStart w:id="1471" w:name="_Toc428781693"/>
      <w:r>
        <w:rPr>
          <w:rFonts w:hint="eastAsia"/>
          <w:kern w:val="44"/>
        </w:rPr>
        <w:t>北京市实施《中华人民共和国</w:t>
      </w:r>
      <w:bookmarkEnd w:id="1467"/>
      <w:bookmarkStart w:id="1472" w:name="_Toc422471384"/>
      <w:r>
        <w:rPr>
          <w:rFonts w:hint="eastAsia"/>
          <w:kern w:val="44"/>
        </w:rPr>
        <w:t>职业教育法》办法</w:t>
      </w:r>
      <w:bookmarkEnd w:id="1468"/>
      <w:bookmarkEnd w:id="1469"/>
      <w:bookmarkEnd w:id="1470"/>
      <w:bookmarkEnd w:id="1471"/>
      <w:bookmarkEnd w:id="1472"/>
    </w:p>
    <w:p w14:paraId="5D1A777F">
      <w:pPr>
        <w:ind w:left="630" w:leftChars="300" w:right="630" w:rightChars="300"/>
        <w:jc w:val="left"/>
        <w:rPr>
          <w:rFonts w:ascii="楷体" w:hAnsi="楷体" w:eastAsia="楷体"/>
          <w:kern w:val="44"/>
        </w:rPr>
      </w:pPr>
      <w:r>
        <w:rPr>
          <w:rFonts w:hint="eastAsia" w:ascii="楷体" w:hAnsi="楷体" w:eastAsia="楷体"/>
          <w:kern w:val="44"/>
        </w:rPr>
        <w:t>（1997年9月5日北京市第十届人民代表大会常务委员会第三十九次会议通过  1997年9月5日北京市人民代表大会常务委员会公告第95号公布  1997年10月1日起施行）</w:t>
      </w:r>
    </w:p>
    <w:p w14:paraId="138E4666">
      <w:pPr>
        <w:jc w:val="left"/>
        <w:rPr>
          <w:rFonts w:ascii="宋体" w:hAnsi="宋体"/>
          <w:kern w:val="44"/>
        </w:rPr>
      </w:pPr>
    </w:p>
    <w:p w14:paraId="7552B336">
      <w:pPr>
        <w:ind w:firstLine="422"/>
        <w:jc w:val="left"/>
        <w:rPr>
          <w:rFonts w:ascii="宋体" w:hAnsi="宋体"/>
          <w:kern w:val="44"/>
        </w:rPr>
      </w:pPr>
      <w:r>
        <w:rPr>
          <w:rFonts w:hint="eastAsia" w:ascii="宋体" w:hAnsi="宋体"/>
          <w:b/>
          <w:kern w:val="44"/>
        </w:rPr>
        <w:t>第一条</w:t>
      </w:r>
      <w:r>
        <w:rPr>
          <w:rFonts w:hint="eastAsia" w:ascii="宋体" w:hAnsi="宋体"/>
          <w:kern w:val="44"/>
        </w:rPr>
        <w:t>　为实施《中华人民共和国职业教育法》，结合本市实际，制定本办法。</w:t>
      </w:r>
    </w:p>
    <w:p w14:paraId="5EC75072">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本办法适用于本市行政区域内各级各类职业学校教育和各种形式的职业培训。法律、法规另有规定的除外。</w:t>
      </w:r>
    </w:p>
    <w:p w14:paraId="5790F019">
      <w:pPr>
        <w:ind w:firstLine="422"/>
        <w:jc w:val="left"/>
        <w:rPr>
          <w:rFonts w:ascii="宋体" w:hAnsi="宋体"/>
          <w:kern w:val="44"/>
        </w:rPr>
      </w:pPr>
      <w:r>
        <w:rPr>
          <w:rFonts w:hint="eastAsia" w:ascii="宋体" w:hAnsi="宋体"/>
          <w:b/>
          <w:kern w:val="44"/>
        </w:rPr>
        <w:t>第三条</w:t>
      </w:r>
      <w:r>
        <w:rPr>
          <w:rFonts w:hint="eastAsia" w:ascii="宋体" w:hAnsi="宋体"/>
          <w:kern w:val="44"/>
        </w:rPr>
        <w:t>　实施职业教育必须贯彻国家教育方针，坚持为社会主义现代化建设服务。</w:t>
      </w:r>
    </w:p>
    <w:p w14:paraId="5ABEBB00">
      <w:pPr>
        <w:jc w:val="left"/>
        <w:rPr>
          <w:rFonts w:ascii="宋体" w:hAnsi="宋体"/>
          <w:kern w:val="44"/>
        </w:rPr>
      </w:pPr>
      <w:r>
        <w:rPr>
          <w:rFonts w:hint="eastAsia" w:ascii="宋体" w:hAnsi="宋体"/>
          <w:kern w:val="44"/>
        </w:rPr>
        <w:t>本市根据经济、社会发展和劳动力市场需求，发展中、高等职业学校教育和各类职业培训，建立、健全职业学校教育与职业培训并举，并与其他教育相互沟通、协调发展的职业教育体系。</w:t>
      </w:r>
    </w:p>
    <w:p w14:paraId="71441160">
      <w:pPr>
        <w:ind w:firstLine="422"/>
        <w:jc w:val="left"/>
        <w:rPr>
          <w:rFonts w:ascii="宋体" w:hAnsi="宋体"/>
          <w:kern w:val="44"/>
        </w:rPr>
      </w:pPr>
      <w:r>
        <w:rPr>
          <w:rFonts w:hint="eastAsia" w:ascii="宋体" w:hAnsi="宋体"/>
          <w:b/>
          <w:kern w:val="44"/>
        </w:rPr>
        <w:t>第四条</w:t>
      </w:r>
      <w:r>
        <w:rPr>
          <w:rFonts w:hint="eastAsia" w:ascii="宋体" w:hAnsi="宋体"/>
          <w:kern w:val="44"/>
        </w:rPr>
        <w:t>　本市推进职业教育体制改革，建立适应社会主义市场经济体制和社会进步需要的、符合职业教育特点和规律的管理体制和运行机制，提高教育质量和办学效益。</w:t>
      </w:r>
    </w:p>
    <w:p w14:paraId="6FA8EBBC">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市和区、县人民政府应当加强对本行政区域内职业教育工作的领导，把发展职业教育纳入国民经济和社会发展规划，并制定本地区改革和发展职业教育的规划、计划和措施。</w:t>
      </w:r>
    </w:p>
    <w:p w14:paraId="48760A46">
      <w:pPr>
        <w:ind w:firstLine="422"/>
        <w:jc w:val="left"/>
        <w:rPr>
          <w:rFonts w:ascii="宋体" w:hAnsi="宋体"/>
          <w:kern w:val="44"/>
        </w:rPr>
      </w:pPr>
      <w:r>
        <w:rPr>
          <w:rFonts w:hint="eastAsia" w:ascii="宋体" w:hAnsi="宋体"/>
          <w:b/>
          <w:kern w:val="44"/>
        </w:rPr>
        <w:t>第六条</w:t>
      </w:r>
      <w:r>
        <w:rPr>
          <w:rFonts w:hint="eastAsia" w:ascii="宋体" w:hAnsi="宋体"/>
          <w:kern w:val="44"/>
        </w:rPr>
        <w:t>　市教育行政部门负责本市行政区域内职业教育工作的统筹规划、综合协调、宏观管理。</w:t>
      </w:r>
    </w:p>
    <w:p w14:paraId="43067E1B">
      <w:pPr>
        <w:jc w:val="left"/>
        <w:rPr>
          <w:rFonts w:ascii="宋体" w:hAnsi="宋体"/>
          <w:kern w:val="44"/>
        </w:rPr>
      </w:pPr>
      <w:r>
        <w:rPr>
          <w:rFonts w:hint="eastAsia" w:ascii="宋体" w:hAnsi="宋体"/>
          <w:kern w:val="44"/>
        </w:rPr>
        <w:t>教育行政部门、劳动行政部门和其他有关部门在规定的职责范围内，分别负责有关的职业教育工作。</w:t>
      </w:r>
    </w:p>
    <w:p w14:paraId="21824F9F">
      <w:pPr>
        <w:ind w:firstLine="422"/>
        <w:jc w:val="left"/>
        <w:rPr>
          <w:rFonts w:ascii="宋体" w:hAnsi="宋体"/>
          <w:kern w:val="44"/>
        </w:rPr>
      </w:pPr>
      <w:r>
        <w:rPr>
          <w:rFonts w:hint="eastAsia" w:ascii="宋体" w:hAnsi="宋体"/>
          <w:b/>
          <w:kern w:val="44"/>
        </w:rPr>
        <w:t>第七条</w:t>
      </w:r>
      <w:r>
        <w:rPr>
          <w:rFonts w:hint="eastAsia" w:ascii="宋体" w:hAnsi="宋体"/>
          <w:kern w:val="44"/>
        </w:rPr>
        <w:t>　市和区、县人民政府应当建立、完善职业教育督导制度，加强教育督导机构和督导队伍建设。</w:t>
      </w:r>
    </w:p>
    <w:p w14:paraId="3DC19C6D">
      <w:pPr>
        <w:jc w:val="left"/>
        <w:rPr>
          <w:rFonts w:ascii="宋体" w:hAnsi="宋体"/>
          <w:kern w:val="44"/>
        </w:rPr>
      </w:pPr>
      <w:r>
        <w:rPr>
          <w:rFonts w:hint="eastAsia" w:ascii="宋体" w:hAnsi="宋体"/>
          <w:kern w:val="44"/>
        </w:rPr>
        <w:t>市和区、县人民政府教育督导机构应当按照有关规定，对职业教育工作进行督导评估。</w:t>
      </w:r>
    </w:p>
    <w:p w14:paraId="3F2FE279">
      <w:pPr>
        <w:ind w:firstLine="422"/>
        <w:jc w:val="left"/>
        <w:rPr>
          <w:rFonts w:ascii="宋体" w:hAnsi="宋体"/>
          <w:kern w:val="44"/>
        </w:rPr>
      </w:pPr>
      <w:r>
        <w:rPr>
          <w:rFonts w:hint="eastAsia" w:ascii="宋体" w:hAnsi="宋体"/>
          <w:b/>
          <w:kern w:val="44"/>
        </w:rPr>
        <w:t>第八条</w:t>
      </w:r>
      <w:r>
        <w:rPr>
          <w:rFonts w:hint="eastAsia" w:ascii="宋体" w:hAnsi="宋体"/>
          <w:kern w:val="44"/>
        </w:rPr>
        <w:t>　政府各主管部门、行业组织应当履行下列职责：</w:t>
      </w:r>
    </w:p>
    <w:p w14:paraId="2718DF3B">
      <w:pPr>
        <w:jc w:val="left"/>
        <w:rPr>
          <w:rFonts w:ascii="宋体" w:hAnsi="宋体"/>
          <w:kern w:val="44"/>
        </w:rPr>
      </w:pPr>
      <w:r>
        <w:rPr>
          <w:rFonts w:hint="eastAsia" w:ascii="宋体" w:hAnsi="宋体"/>
          <w:kern w:val="44"/>
        </w:rPr>
        <w:t>（一）制定本部门、本行业职业教育发展规划，并组织实施；</w:t>
      </w:r>
    </w:p>
    <w:p w14:paraId="1621FE15">
      <w:pPr>
        <w:jc w:val="left"/>
        <w:rPr>
          <w:rFonts w:ascii="宋体" w:hAnsi="宋体"/>
          <w:kern w:val="44"/>
        </w:rPr>
      </w:pPr>
      <w:r>
        <w:rPr>
          <w:rFonts w:hint="eastAsia" w:ascii="宋体" w:hAnsi="宋体"/>
          <w:kern w:val="44"/>
        </w:rPr>
        <w:t>（二）按照国家有关规定举办或者联合举办职业学校和职业培训机构；</w:t>
      </w:r>
    </w:p>
    <w:p w14:paraId="1B3959C3">
      <w:pPr>
        <w:jc w:val="left"/>
        <w:rPr>
          <w:rFonts w:ascii="宋体" w:hAnsi="宋体"/>
          <w:kern w:val="44"/>
        </w:rPr>
      </w:pPr>
      <w:r>
        <w:rPr>
          <w:rFonts w:hint="eastAsia" w:ascii="宋体" w:hAnsi="宋体"/>
          <w:kern w:val="44"/>
        </w:rPr>
        <w:t>（三）对本部门、本行业的企业、事业组织的职业教育工作进行管理、组织、协调和指导；</w:t>
      </w:r>
    </w:p>
    <w:p w14:paraId="14A2608F">
      <w:pPr>
        <w:jc w:val="left"/>
        <w:rPr>
          <w:rFonts w:ascii="宋体" w:hAnsi="宋体"/>
          <w:kern w:val="44"/>
        </w:rPr>
      </w:pPr>
      <w:r>
        <w:rPr>
          <w:rFonts w:hint="eastAsia" w:ascii="宋体" w:hAnsi="宋体"/>
          <w:kern w:val="44"/>
        </w:rPr>
        <w:t>（四）参与编订本部门、本行业专业（工种）的教学计划、教学大纲和教材；</w:t>
      </w:r>
    </w:p>
    <w:p w14:paraId="377863E4">
      <w:pPr>
        <w:jc w:val="left"/>
        <w:rPr>
          <w:rFonts w:ascii="宋体" w:hAnsi="宋体"/>
          <w:kern w:val="44"/>
        </w:rPr>
      </w:pPr>
      <w:r>
        <w:rPr>
          <w:rFonts w:hint="eastAsia" w:ascii="宋体" w:hAnsi="宋体"/>
          <w:kern w:val="44"/>
        </w:rPr>
        <w:t>（五）改善所属职业学校和职业培训机构的办学条件，对其教育质量和办学效益进行检查监督。</w:t>
      </w:r>
    </w:p>
    <w:p w14:paraId="11009CD8">
      <w:pPr>
        <w:ind w:firstLine="422"/>
        <w:jc w:val="left"/>
        <w:rPr>
          <w:rFonts w:ascii="宋体" w:hAnsi="宋体"/>
          <w:kern w:val="44"/>
        </w:rPr>
      </w:pPr>
      <w:r>
        <w:rPr>
          <w:rFonts w:hint="eastAsia" w:ascii="宋体" w:hAnsi="宋体"/>
          <w:b/>
          <w:kern w:val="44"/>
        </w:rPr>
        <w:t>第九条</w:t>
      </w:r>
      <w:r>
        <w:rPr>
          <w:rFonts w:hint="eastAsia" w:ascii="宋体" w:hAnsi="宋体"/>
          <w:kern w:val="44"/>
        </w:rPr>
        <w:t>　企业、事业组织应当履行下列职责：</w:t>
      </w:r>
    </w:p>
    <w:p w14:paraId="0BE1E0B0">
      <w:pPr>
        <w:jc w:val="left"/>
        <w:rPr>
          <w:rFonts w:ascii="宋体" w:hAnsi="宋体"/>
          <w:kern w:val="44"/>
        </w:rPr>
      </w:pPr>
      <w:r>
        <w:rPr>
          <w:rFonts w:hint="eastAsia" w:ascii="宋体" w:hAnsi="宋体"/>
          <w:kern w:val="44"/>
        </w:rPr>
        <w:t>（一）提供条件，依法保障本单位职工和准备录用人员接受职业教育的权利；</w:t>
      </w:r>
    </w:p>
    <w:p w14:paraId="250FAA47">
      <w:pPr>
        <w:jc w:val="left"/>
        <w:rPr>
          <w:rFonts w:ascii="宋体" w:hAnsi="宋体"/>
          <w:kern w:val="44"/>
        </w:rPr>
      </w:pPr>
      <w:r>
        <w:rPr>
          <w:rFonts w:hint="eastAsia" w:ascii="宋体" w:hAnsi="宋体"/>
          <w:kern w:val="44"/>
        </w:rPr>
        <w:t>（二）建立、健全本单位职业教育规章制度；</w:t>
      </w:r>
    </w:p>
    <w:p w14:paraId="23519957">
      <w:pPr>
        <w:jc w:val="left"/>
        <w:rPr>
          <w:rFonts w:ascii="宋体" w:hAnsi="宋体"/>
          <w:kern w:val="44"/>
        </w:rPr>
      </w:pPr>
      <w:r>
        <w:rPr>
          <w:rFonts w:hint="eastAsia" w:ascii="宋体" w:hAnsi="宋体"/>
          <w:kern w:val="44"/>
        </w:rPr>
        <w:t>（三）按照本单位中、长期发展规划和年度计划，制定职业教育计划，并组织实施；</w:t>
      </w:r>
    </w:p>
    <w:p w14:paraId="18B9FDF0">
      <w:pPr>
        <w:jc w:val="left"/>
        <w:rPr>
          <w:rFonts w:ascii="宋体" w:hAnsi="宋体"/>
          <w:kern w:val="44"/>
        </w:rPr>
      </w:pPr>
      <w:r>
        <w:rPr>
          <w:rFonts w:hint="eastAsia" w:ascii="宋体" w:hAnsi="宋体"/>
          <w:kern w:val="44"/>
        </w:rPr>
        <w:t>（四）把职业培训工作纳入本单位负责人的工作目标责任制，并进行考核；</w:t>
      </w:r>
    </w:p>
    <w:p w14:paraId="7C8FBBE6">
      <w:pPr>
        <w:jc w:val="left"/>
        <w:rPr>
          <w:rFonts w:ascii="宋体" w:hAnsi="宋体"/>
          <w:kern w:val="44"/>
        </w:rPr>
      </w:pPr>
      <w:r>
        <w:rPr>
          <w:rFonts w:hint="eastAsia" w:ascii="宋体" w:hAnsi="宋体"/>
          <w:kern w:val="44"/>
        </w:rPr>
        <w:t>（五）建立培训、考核、使用与待遇相结合的制度；</w:t>
      </w:r>
    </w:p>
    <w:p w14:paraId="52B3A105">
      <w:pPr>
        <w:jc w:val="left"/>
        <w:rPr>
          <w:rFonts w:ascii="宋体" w:hAnsi="宋体"/>
          <w:kern w:val="44"/>
        </w:rPr>
      </w:pPr>
      <w:r>
        <w:rPr>
          <w:rFonts w:hint="eastAsia" w:ascii="宋体" w:hAnsi="宋体"/>
          <w:kern w:val="44"/>
        </w:rPr>
        <w:t>（六）按照国家和本市的有关规定，承担对本单位职工和准备录用人员进行职业教育的费用。</w:t>
      </w:r>
    </w:p>
    <w:p w14:paraId="691C5DA4">
      <w:pPr>
        <w:ind w:firstLine="422"/>
        <w:jc w:val="left"/>
        <w:rPr>
          <w:rFonts w:ascii="宋体" w:hAnsi="宋体"/>
          <w:kern w:val="44"/>
        </w:rPr>
      </w:pPr>
      <w:r>
        <w:rPr>
          <w:rFonts w:hint="eastAsia" w:ascii="宋体" w:hAnsi="宋体"/>
          <w:b/>
          <w:kern w:val="44"/>
        </w:rPr>
        <w:t>第十条</w:t>
      </w:r>
      <w:r>
        <w:rPr>
          <w:rFonts w:hint="eastAsia" w:ascii="宋体" w:hAnsi="宋体"/>
          <w:kern w:val="44"/>
        </w:rPr>
        <w:t>　在本市行政区域内设立职业学校和职业培训机构应当具备法律规定的基本条件，并经过审批。职业学校和职业培训机构设立、变更、终止的审批办法，由市人民政府规定。</w:t>
      </w:r>
    </w:p>
    <w:p w14:paraId="01D97021">
      <w:pPr>
        <w:ind w:firstLine="422"/>
        <w:jc w:val="left"/>
        <w:rPr>
          <w:rFonts w:ascii="宋体" w:hAnsi="宋体"/>
          <w:kern w:val="44"/>
        </w:rPr>
      </w:pPr>
      <w:r>
        <w:rPr>
          <w:rFonts w:hint="eastAsia" w:ascii="宋体" w:hAnsi="宋体"/>
          <w:b/>
          <w:kern w:val="44"/>
        </w:rPr>
        <w:t>第十一条</w:t>
      </w:r>
      <w:r>
        <w:rPr>
          <w:rFonts w:hint="eastAsia" w:ascii="宋体" w:hAnsi="宋体"/>
          <w:kern w:val="44"/>
        </w:rPr>
        <w:t>　各级人民政府、办学主管部门应当在设置专业（工种）、制定教学计划、选编教材、组织实施教育教学活动、使用经费、聘用教师和招生等方面，逐步扩大职业学校和职业培训机构的自主权。</w:t>
      </w:r>
    </w:p>
    <w:p w14:paraId="49374C2E">
      <w:pPr>
        <w:ind w:firstLine="422"/>
        <w:jc w:val="left"/>
        <w:rPr>
          <w:rFonts w:ascii="宋体" w:hAnsi="宋体"/>
          <w:kern w:val="44"/>
        </w:rPr>
      </w:pPr>
      <w:r>
        <w:rPr>
          <w:rFonts w:hint="eastAsia" w:ascii="宋体" w:hAnsi="宋体"/>
          <w:b/>
          <w:kern w:val="44"/>
        </w:rPr>
        <w:t>第十二条</w:t>
      </w:r>
      <w:r>
        <w:rPr>
          <w:rFonts w:hint="eastAsia" w:ascii="宋体" w:hAnsi="宋体"/>
          <w:kern w:val="44"/>
        </w:rPr>
        <w:t>　职业学校和职业培训机构应当对受教育者加强思想政治教育、职业道德教育和职业知识、职业技能教育，保证教育质量，对学业成绩合格者颁发相应的学历证书或者培训证书。</w:t>
      </w:r>
    </w:p>
    <w:p w14:paraId="2AB8C76E">
      <w:pPr>
        <w:ind w:firstLine="422"/>
        <w:jc w:val="left"/>
        <w:rPr>
          <w:rFonts w:ascii="宋体" w:hAnsi="宋体"/>
          <w:kern w:val="44"/>
        </w:rPr>
      </w:pPr>
      <w:r>
        <w:rPr>
          <w:rFonts w:hint="eastAsia" w:ascii="宋体" w:hAnsi="宋体"/>
          <w:b/>
          <w:kern w:val="44"/>
        </w:rPr>
        <w:t>第十三条</w:t>
      </w:r>
      <w:r>
        <w:rPr>
          <w:rFonts w:hint="eastAsia" w:ascii="宋体" w:hAnsi="宋体"/>
          <w:kern w:val="44"/>
        </w:rPr>
        <w:t>　本市劳动者和外地来京务工经商人员，就业前或者上岗前应当接受相应的职业学校教育或者职业培训。</w:t>
      </w:r>
    </w:p>
    <w:p w14:paraId="6DD172EC">
      <w:pPr>
        <w:jc w:val="left"/>
        <w:rPr>
          <w:rFonts w:ascii="宋体" w:hAnsi="宋体"/>
          <w:kern w:val="44"/>
        </w:rPr>
      </w:pPr>
      <w:r>
        <w:rPr>
          <w:rFonts w:hint="eastAsia" w:ascii="宋体" w:hAnsi="宋体"/>
          <w:kern w:val="44"/>
        </w:rPr>
        <w:t>从事国家规定的技术工种、特种作业的人员，上岗前必须通过职业技能鉴定、考核，取得相应的职业资格证书；必须取得职业资格证书方能上岗的技术工种、特种作业工种，由市劳动行政部门定期向社会公布。</w:t>
      </w:r>
    </w:p>
    <w:p w14:paraId="59074E5C">
      <w:pPr>
        <w:ind w:firstLine="422"/>
        <w:jc w:val="left"/>
        <w:rPr>
          <w:rFonts w:ascii="宋体" w:hAnsi="宋体"/>
          <w:kern w:val="44"/>
        </w:rPr>
      </w:pPr>
      <w:r>
        <w:rPr>
          <w:rFonts w:hint="eastAsia" w:ascii="宋体" w:hAnsi="宋体"/>
          <w:b/>
          <w:kern w:val="44"/>
        </w:rPr>
        <w:t>第十四条</w:t>
      </w:r>
      <w:r>
        <w:rPr>
          <w:rFonts w:hint="eastAsia" w:ascii="宋体" w:hAnsi="宋体"/>
          <w:kern w:val="44"/>
        </w:rPr>
        <w:t>　本市有计划地发展高等职业学校教育和高级职业培训，培养高层次的实用型、技能型人才。</w:t>
      </w:r>
    </w:p>
    <w:p w14:paraId="014F8460">
      <w:pPr>
        <w:jc w:val="left"/>
        <w:rPr>
          <w:rFonts w:ascii="宋体" w:hAnsi="宋体"/>
          <w:kern w:val="44"/>
        </w:rPr>
      </w:pPr>
      <w:r>
        <w:rPr>
          <w:rFonts w:hint="eastAsia" w:ascii="宋体" w:hAnsi="宋体"/>
          <w:kern w:val="44"/>
        </w:rPr>
        <w:t>发展高等职业教育应当充分利用现有教育资源，并按照培养目标配备师资和教学设备。</w:t>
      </w:r>
    </w:p>
    <w:p w14:paraId="6CB29EEA">
      <w:pPr>
        <w:jc w:val="left"/>
        <w:rPr>
          <w:rFonts w:ascii="宋体" w:hAnsi="宋体"/>
          <w:kern w:val="44"/>
        </w:rPr>
      </w:pPr>
      <w:r>
        <w:rPr>
          <w:rFonts w:hint="eastAsia" w:ascii="宋体" w:hAnsi="宋体"/>
          <w:kern w:val="44"/>
        </w:rPr>
        <w:t>高等职业学校可以从普通高中毕业生、中等职业学校毕业生和具有同等学历的在职人员中招生。</w:t>
      </w:r>
    </w:p>
    <w:p w14:paraId="1E79AF69">
      <w:pPr>
        <w:ind w:firstLine="422"/>
        <w:jc w:val="left"/>
        <w:rPr>
          <w:rFonts w:ascii="宋体" w:hAnsi="宋体"/>
          <w:kern w:val="44"/>
        </w:rPr>
      </w:pPr>
      <w:r>
        <w:rPr>
          <w:rFonts w:hint="eastAsia" w:ascii="宋体" w:hAnsi="宋体"/>
          <w:b/>
          <w:kern w:val="44"/>
        </w:rPr>
        <w:t>第十五条</w:t>
      </w:r>
      <w:r>
        <w:rPr>
          <w:rFonts w:hint="eastAsia" w:ascii="宋体" w:hAnsi="宋体"/>
          <w:kern w:val="44"/>
        </w:rPr>
        <w:t>　本市发展农村职业教育应当坚持经济、科技、教育相结合，职业教育和其他教育相统筹以及面向农村、面向农业、面向农民的原则。</w:t>
      </w:r>
    </w:p>
    <w:p w14:paraId="1C9E781D">
      <w:pPr>
        <w:jc w:val="left"/>
        <w:rPr>
          <w:rFonts w:ascii="宋体" w:hAnsi="宋体"/>
          <w:kern w:val="44"/>
        </w:rPr>
      </w:pPr>
      <w:r>
        <w:rPr>
          <w:rFonts w:hint="eastAsia" w:ascii="宋体" w:hAnsi="宋体"/>
          <w:kern w:val="44"/>
        </w:rPr>
        <w:t>郊区（县）人民政府应当建立区（县）、乡（镇）、村三级职业教育网络，组织和举办多种形式的农业实用技术培训和非农产业的职业培训。</w:t>
      </w:r>
    </w:p>
    <w:p w14:paraId="32B9369F">
      <w:pPr>
        <w:jc w:val="left"/>
        <w:rPr>
          <w:rFonts w:ascii="宋体" w:hAnsi="宋体"/>
          <w:kern w:val="44"/>
        </w:rPr>
      </w:pPr>
      <w:r>
        <w:rPr>
          <w:rFonts w:hint="eastAsia" w:ascii="宋体" w:hAnsi="宋体"/>
          <w:kern w:val="44"/>
        </w:rPr>
        <w:t>各级人民政府应当对农业职业学校和职业培训机构给予扶持，对农业专业的学生可以适当放宽入学条件，减免学费，并在从业等方面给予优先优惠。</w:t>
      </w:r>
    </w:p>
    <w:p w14:paraId="1F9A902E">
      <w:pPr>
        <w:ind w:firstLine="422"/>
        <w:jc w:val="left"/>
        <w:rPr>
          <w:rFonts w:ascii="宋体" w:hAnsi="宋体"/>
          <w:kern w:val="44"/>
        </w:rPr>
      </w:pPr>
      <w:r>
        <w:rPr>
          <w:rFonts w:hint="eastAsia" w:ascii="宋体" w:hAnsi="宋体"/>
          <w:b/>
          <w:kern w:val="44"/>
        </w:rPr>
        <w:t>第十六条</w:t>
      </w:r>
      <w:r>
        <w:rPr>
          <w:rFonts w:hint="eastAsia" w:ascii="宋体" w:hAnsi="宋体"/>
          <w:kern w:val="44"/>
        </w:rPr>
        <w:t>　市和区、县人民政府应当扶持少数民族职业教育事业的发展，举办民族职业学校（班），开展适合少数民族特点的职业培训。</w:t>
      </w:r>
    </w:p>
    <w:p w14:paraId="2B9516BF">
      <w:pPr>
        <w:jc w:val="left"/>
        <w:rPr>
          <w:rFonts w:ascii="宋体" w:hAnsi="宋体"/>
          <w:kern w:val="44"/>
        </w:rPr>
      </w:pPr>
      <w:r>
        <w:rPr>
          <w:rFonts w:hint="eastAsia" w:ascii="宋体" w:hAnsi="宋体"/>
          <w:kern w:val="44"/>
        </w:rPr>
        <w:t>各级人民政府、有关部门应当扶持残疾人职业教育事业的发展。职业学校和职业培训机构应当接受符合条件的残疾人入学。特殊教育学校应当加强对残疾人的职业技能培训。</w:t>
      </w:r>
    </w:p>
    <w:p w14:paraId="427DBCB4">
      <w:pPr>
        <w:ind w:firstLine="422"/>
        <w:jc w:val="left"/>
        <w:rPr>
          <w:rFonts w:ascii="宋体" w:hAnsi="宋体"/>
          <w:kern w:val="44"/>
        </w:rPr>
      </w:pPr>
      <w:r>
        <w:rPr>
          <w:rFonts w:hint="eastAsia" w:ascii="宋体" w:hAnsi="宋体"/>
          <w:b/>
          <w:kern w:val="44"/>
        </w:rPr>
        <w:t>第十七条</w:t>
      </w:r>
      <w:r>
        <w:rPr>
          <w:rFonts w:hint="eastAsia" w:ascii="宋体" w:hAnsi="宋体"/>
          <w:kern w:val="44"/>
        </w:rPr>
        <w:t>　本市行业、企业组织应当负责安排下岗待工人员和企业富余人员的转岗、转业培训。</w:t>
      </w:r>
    </w:p>
    <w:p w14:paraId="14C92DF3">
      <w:pPr>
        <w:jc w:val="left"/>
        <w:rPr>
          <w:rFonts w:ascii="宋体" w:hAnsi="宋体"/>
          <w:kern w:val="44"/>
        </w:rPr>
      </w:pPr>
      <w:r>
        <w:rPr>
          <w:rFonts w:hint="eastAsia" w:ascii="宋体" w:hAnsi="宋体"/>
          <w:kern w:val="44"/>
        </w:rPr>
        <w:t>建立现代企业制度的企业和进行经济结构调整的行业、企业，应当把下岗待工人员和企业富余人员转岗、转业培训纳入现代企业制度方案和经济结构调整方案，把职业指导和实际技能操作作为转岗、转业培训的主要内容。</w:t>
      </w:r>
    </w:p>
    <w:p w14:paraId="51CD242F">
      <w:pPr>
        <w:ind w:firstLine="422"/>
        <w:jc w:val="left"/>
        <w:rPr>
          <w:rFonts w:ascii="宋体" w:hAnsi="宋体"/>
          <w:kern w:val="44"/>
        </w:rPr>
      </w:pPr>
      <w:r>
        <w:rPr>
          <w:rFonts w:hint="eastAsia" w:ascii="宋体" w:hAnsi="宋体"/>
          <w:b/>
          <w:kern w:val="44"/>
        </w:rPr>
        <w:t>第十八条</w:t>
      </w:r>
      <w:r>
        <w:rPr>
          <w:rFonts w:hint="eastAsia" w:ascii="宋体" w:hAnsi="宋体"/>
          <w:kern w:val="44"/>
        </w:rPr>
        <w:t>　市和区、县人民政府有关部门应当把职业教育教师的培养和培训工作，纳入教师队伍建设规划，并组织实施。</w:t>
      </w:r>
    </w:p>
    <w:p w14:paraId="2B3C6B4D">
      <w:pPr>
        <w:jc w:val="left"/>
        <w:rPr>
          <w:rFonts w:ascii="宋体" w:hAnsi="宋体"/>
          <w:kern w:val="44"/>
        </w:rPr>
      </w:pPr>
      <w:r>
        <w:rPr>
          <w:rFonts w:hint="eastAsia" w:ascii="宋体" w:hAnsi="宋体"/>
          <w:kern w:val="44"/>
        </w:rPr>
        <w:t>市人民政府和有关部门应当选定一批高等学校、具备条件的职业学校、职业培训机构和企业，作为培养和培训职业教育的专业教师和实习指导教师的基地。</w:t>
      </w:r>
    </w:p>
    <w:p w14:paraId="307B9F1C">
      <w:pPr>
        <w:ind w:firstLine="422"/>
        <w:jc w:val="left"/>
        <w:rPr>
          <w:rFonts w:ascii="宋体" w:hAnsi="宋体"/>
          <w:kern w:val="44"/>
        </w:rPr>
      </w:pPr>
      <w:r>
        <w:rPr>
          <w:rFonts w:hint="eastAsia" w:ascii="宋体" w:hAnsi="宋体"/>
          <w:b/>
          <w:kern w:val="44"/>
        </w:rPr>
        <w:t>第十九条</w:t>
      </w:r>
      <w:r>
        <w:rPr>
          <w:rFonts w:hint="eastAsia" w:ascii="宋体" w:hAnsi="宋体"/>
          <w:kern w:val="44"/>
        </w:rPr>
        <w:t>　市和区、县人民政府、有关部门应当加强职业教育科学研究和教学研究以及教材建设，提供并发布职业需求信息，开展职业咨询、职业指导和职业介绍，建立、健全职业教育服务体系。</w:t>
      </w:r>
    </w:p>
    <w:p w14:paraId="699BC113">
      <w:pPr>
        <w:ind w:firstLine="422"/>
        <w:jc w:val="left"/>
        <w:rPr>
          <w:rFonts w:ascii="宋体" w:hAnsi="宋体"/>
          <w:kern w:val="44"/>
        </w:rPr>
      </w:pPr>
      <w:r>
        <w:rPr>
          <w:rFonts w:hint="eastAsia" w:ascii="宋体" w:hAnsi="宋体"/>
          <w:b/>
          <w:kern w:val="44"/>
        </w:rPr>
        <w:t>第二十条</w:t>
      </w:r>
      <w:r>
        <w:rPr>
          <w:rFonts w:hint="eastAsia" w:ascii="宋体" w:hAnsi="宋体"/>
          <w:kern w:val="44"/>
        </w:rPr>
        <w:t>　市和区、县人民政府、有关部门用于职业教育的财政性经费应当逐步增长，并划拨专款用于发挥骨干、示范作用的职业学校和职业培训机构以及生产实习基地的建设。</w:t>
      </w:r>
    </w:p>
    <w:p w14:paraId="0738BB87">
      <w:pPr>
        <w:jc w:val="left"/>
        <w:rPr>
          <w:rFonts w:ascii="宋体" w:hAnsi="宋体"/>
          <w:kern w:val="44"/>
        </w:rPr>
      </w:pPr>
      <w:r>
        <w:rPr>
          <w:rFonts w:hint="eastAsia" w:ascii="宋体" w:hAnsi="宋体"/>
          <w:kern w:val="44"/>
        </w:rPr>
        <w:t>任何组织和个人不得挪用、克扣职业教育的经费。</w:t>
      </w:r>
    </w:p>
    <w:p w14:paraId="3F927E16">
      <w:pPr>
        <w:ind w:firstLine="422"/>
        <w:jc w:val="left"/>
        <w:rPr>
          <w:rFonts w:ascii="宋体" w:hAnsi="宋体"/>
          <w:kern w:val="44"/>
        </w:rPr>
      </w:pPr>
      <w:r>
        <w:rPr>
          <w:rFonts w:hint="eastAsia" w:ascii="宋体" w:hAnsi="宋体"/>
          <w:b/>
          <w:kern w:val="44"/>
        </w:rPr>
        <w:t>第二十一条</w:t>
      </w:r>
      <w:r>
        <w:rPr>
          <w:rFonts w:hint="eastAsia" w:ascii="宋体" w:hAnsi="宋体"/>
          <w:kern w:val="44"/>
        </w:rPr>
        <w:t>　本市依法征收的教育费附加，应当安排一定比例用于发展职业教育。</w:t>
      </w:r>
    </w:p>
    <w:p w14:paraId="763EEDD4">
      <w:pPr>
        <w:jc w:val="left"/>
        <w:rPr>
          <w:rFonts w:ascii="宋体" w:hAnsi="宋体"/>
          <w:kern w:val="44"/>
        </w:rPr>
      </w:pPr>
      <w:r>
        <w:rPr>
          <w:rFonts w:hint="eastAsia" w:ascii="宋体" w:hAnsi="宋体"/>
          <w:kern w:val="44"/>
        </w:rPr>
        <w:t>市人民政府按照教育法的有关规定决定开征的用于教育的地方附加费，可以专项或者安排一定比例用于职业教育。</w:t>
      </w:r>
    </w:p>
    <w:p w14:paraId="3BFD8D55">
      <w:pPr>
        <w:ind w:firstLine="422"/>
        <w:jc w:val="left"/>
        <w:rPr>
          <w:rFonts w:ascii="宋体" w:hAnsi="宋体"/>
          <w:kern w:val="44"/>
        </w:rPr>
      </w:pPr>
      <w:r>
        <w:rPr>
          <w:rFonts w:hint="eastAsia" w:ascii="宋体" w:hAnsi="宋体"/>
          <w:b/>
          <w:kern w:val="44"/>
        </w:rPr>
        <w:t>第二十二条</w:t>
      </w:r>
      <w:r>
        <w:rPr>
          <w:rFonts w:hint="eastAsia" w:ascii="宋体" w:hAnsi="宋体"/>
          <w:kern w:val="44"/>
        </w:rPr>
        <w:t>　企业按照不低于职工工资总额1.5％提取的职工教育经费，应当主要用于职工的职业培训。</w:t>
      </w:r>
    </w:p>
    <w:p w14:paraId="18B6D320">
      <w:pPr>
        <w:jc w:val="left"/>
        <w:rPr>
          <w:rFonts w:ascii="宋体" w:hAnsi="宋体"/>
          <w:kern w:val="44"/>
        </w:rPr>
      </w:pPr>
      <w:r>
        <w:rPr>
          <w:rFonts w:hint="eastAsia" w:ascii="宋体" w:hAnsi="宋体"/>
          <w:kern w:val="44"/>
        </w:rPr>
        <w:t>进行经济结构调整的企业，应当从盘活资金中提取一定比例用于职工转岗、转业培训；兼并企业以及转让国有企业产权的企业，应当安排专项资金，用于职工的转岗、转业培训。</w:t>
      </w:r>
    </w:p>
    <w:p w14:paraId="342FD727">
      <w:pPr>
        <w:jc w:val="left"/>
        <w:rPr>
          <w:rFonts w:ascii="宋体" w:hAnsi="宋体"/>
          <w:kern w:val="44"/>
        </w:rPr>
      </w:pPr>
      <w:r>
        <w:rPr>
          <w:rFonts w:hint="eastAsia" w:ascii="宋体" w:hAnsi="宋体"/>
          <w:kern w:val="44"/>
        </w:rPr>
        <w:t>劳动行政部门应当从失业保险基金中提取一定比例的经费，用于补助失业人员和企业下岗待工人员的转岗、转业培训。</w:t>
      </w:r>
    </w:p>
    <w:p w14:paraId="7CD2B0AC">
      <w:pPr>
        <w:ind w:firstLine="422"/>
        <w:jc w:val="left"/>
        <w:rPr>
          <w:rFonts w:ascii="宋体" w:hAnsi="宋体"/>
          <w:kern w:val="44"/>
        </w:rPr>
      </w:pPr>
      <w:r>
        <w:rPr>
          <w:rFonts w:hint="eastAsia" w:ascii="宋体" w:hAnsi="宋体"/>
          <w:b/>
          <w:kern w:val="44"/>
        </w:rPr>
        <w:t>第二十三条</w:t>
      </w:r>
      <w:r>
        <w:rPr>
          <w:rFonts w:hint="eastAsia" w:ascii="宋体" w:hAnsi="宋体"/>
          <w:kern w:val="44"/>
        </w:rPr>
        <w:t>　用人单位委托职业学校和职业培训机构培养、培训学生的费用，由双方协议商定。</w:t>
      </w:r>
    </w:p>
    <w:p w14:paraId="47D08B92">
      <w:pPr>
        <w:jc w:val="left"/>
        <w:rPr>
          <w:rFonts w:ascii="宋体" w:hAnsi="宋体"/>
          <w:kern w:val="44"/>
        </w:rPr>
      </w:pPr>
      <w:r>
        <w:rPr>
          <w:rFonts w:hint="eastAsia" w:ascii="宋体" w:hAnsi="宋体"/>
          <w:kern w:val="44"/>
        </w:rPr>
        <w:t>教育行政部门举办的职业高中，可以向录用其毕业生的单位收取培训费。培训费标准，由市教育行政部门、市物价管理部门、市财政部门制定。</w:t>
      </w:r>
    </w:p>
    <w:p w14:paraId="31B5A29A">
      <w:pPr>
        <w:ind w:firstLine="422"/>
        <w:jc w:val="left"/>
        <w:rPr>
          <w:rFonts w:ascii="宋体" w:hAnsi="宋体"/>
          <w:kern w:val="44"/>
        </w:rPr>
      </w:pPr>
      <w:r>
        <w:rPr>
          <w:rFonts w:hint="eastAsia" w:ascii="宋体" w:hAnsi="宋体"/>
          <w:b/>
          <w:kern w:val="44"/>
        </w:rPr>
        <w:t>第二十四条</w:t>
      </w:r>
      <w:r>
        <w:rPr>
          <w:rFonts w:hint="eastAsia" w:ascii="宋体" w:hAnsi="宋体"/>
          <w:kern w:val="44"/>
        </w:rPr>
        <w:t>　职业学校和职业培训机构可以对接受职业教育的学生收取学费。收费标准由市教育行政部门、市劳动行政部门、市物价管理部门、市财政部门制定。对于经济困难的学生和残疾学生以及艰苦行业的专业（工种）的学生，可以酌情减免学费。</w:t>
      </w:r>
    </w:p>
    <w:p w14:paraId="1866E008">
      <w:pPr>
        <w:ind w:firstLine="422"/>
        <w:jc w:val="left"/>
        <w:rPr>
          <w:rFonts w:ascii="宋体" w:hAnsi="宋体"/>
          <w:kern w:val="44"/>
        </w:rPr>
      </w:pPr>
      <w:r>
        <w:rPr>
          <w:rFonts w:hint="eastAsia" w:ascii="宋体" w:hAnsi="宋体"/>
          <w:b/>
          <w:kern w:val="44"/>
        </w:rPr>
        <w:t>第二十五条</w:t>
      </w:r>
      <w:r>
        <w:rPr>
          <w:rFonts w:hint="eastAsia" w:ascii="宋体" w:hAnsi="宋体"/>
          <w:kern w:val="44"/>
        </w:rPr>
        <w:t>　市和区、县人民政府、有关部门应当采取优惠政策，鼓励、支持职业学校和职业培训机构举办校办产业，开展社会服务，所得收入主要用于发展职业教育。</w:t>
      </w:r>
    </w:p>
    <w:p w14:paraId="64FE3DA5">
      <w:pPr>
        <w:ind w:firstLine="422"/>
        <w:jc w:val="left"/>
        <w:rPr>
          <w:rFonts w:ascii="宋体" w:hAnsi="宋体"/>
          <w:kern w:val="44"/>
        </w:rPr>
      </w:pPr>
      <w:r>
        <w:rPr>
          <w:rFonts w:hint="eastAsia" w:ascii="宋体" w:hAnsi="宋体"/>
          <w:b/>
          <w:kern w:val="44"/>
        </w:rPr>
        <w:t>第二十六条</w:t>
      </w:r>
      <w:r>
        <w:rPr>
          <w:rFonts w:hint="eastAsia" w:ascii="宋体" w:hAnsi="宋体"/>
          <w:kern w:val="44"/>
        </w:rPr>
        <w:t>　企业违反本办法第九条规定，未对本单位职工和准备录用人员实施职业教育的，由政府主管部门或者行业组织责令改正；拒不改正的，经市或者区、县人民政府批准，收取企业应当承担的职业教育经费，用于组织实施职业教育。</w:t>
      </w:r>
    </w:p>
    <w:p w14:paraId="7B975CCD">
      <w:pPr>
        <w:ind w:firstLine="422"/>
        <w:jc w:val="left"/>
        <w:rPr>
          <w:rFonts w:ascii="宋体" w:hAnsi="宋体"/>
          <w:kern w:val="44"/>
        </w:rPr>
      </w:pPr>
      <w:r>
        <w:rPr>
          <w:rFonts w:hint="eastAsia" w:ascii="宋体" w:hAnsi="宋体"/>
          <w:b/>
          <w:kern w:val="44"/>
        </w:rPr>
        <w:t>第二十七条</w:t>
      </w:r>
      <w:r>
        <w:rPr>
          <w:rFonts w:hint="eastAsia" w:ascii="宋体" w:hAnsi="宋体"/>
          <w:kern w:val="44"/>
        </w:rPr>
        <w:t>　违反本办法第十条规定，擅自设立职业学校和职业培训机构的，由教育行政部门或者劳动行政部门予以撤销；有违法所得的，没收违法所得；对直接负责的主管人员和其他直接责任人员，依法给予行政处分；造成受教育者损失的，依法承担民事责任。</w:t>
      </w:r>
    </w:p>
    <w:p w14:paraId="39FE32BE">
      <w:pPr>
        <w:ind w:firstLine="422"/>
        <w:jc w:val="left"/>
        <w:rPr>
          <w:rFonts w:ascii="宋体" w:hAnsi="宋体"/>
          <w:kern w:val="44"/>
        </w:rPr>
      </w:pPr>
      <w:r>
        <w:rPr>
          <w:rFonts w:hint="eastAsia" w:ascii="宋体" w:hAnsi="宋体"/>
          <w:b/>
          <w:kern w:val="44"/>
        </w:rPr>
        <w:t>第二十八条</w:t>
      </w:r>
      <w:r>
        <w:rPr>
          <w:rFonts w:hint="eastAsia" w:ascii="宋体" w:hAnsi="宋体"/>
          <w:kern w:val="44"/>
        </w:rPr>
        <w:t>　职业学校和职业培训机构违反本办法第十二条规定，给学业成绩不合格者颁发学历证书、培训证书的，由教育行政部门或者劳动行政部门宣布证书无效，责令收回或者予以没收；有违法所得的，没收违法所得；情节严重的，取消其颁发证书的资格；对直接负责的主管人员和其他直接责任人员，依法给予行政处分。</w:t>
      </w:r>
    </w:p>
    <w:p w14:paraId="7DF2BD08">
      <w:pPr>
        <w:ind w:firstLine="422"/>
        <w:jc w:val="left"/>
        <w:rPr>
          <w:rFonts w:ascii="宋体" w:hAnsi="宋体"/>
          <w:kern w:val="44"/>
        </w:rPr>
      </w:pPr>
      <w:r>
        <w:rPr>
          <w:rFonts w:hint="eastAsia" w:ascii="宋体" w:hAnsi="宋体"/>
          <w:b/>
          <w:kern w:val="44"/>
        </w:rPr>
        <w:t>第二十九条</w:t>
      </w:r>
      <w:r>
        <w:rPr>
          <w:rFonts w:hint="eastAsia" w:ascii="宋体" w:hAnsi="宋体"/>
          <w:kern w:val="44"/>
        </w:rPr>
        <w:t>　违反本办法第二十条规定，挪用、克扣职业教育经费的，由上级机关责令限期归还，对直接负责的主管人员和其他直接责任人员，依法给予行政处分；构成犯罪的，依法追究刑事责任。</w:t>
      </w:r>
    </w:p>
    <w:p w14:paraId="6671C323">
      <w:pPr>
        <w:ind w:firstLine="422"/>
        <w:jc w:val="left"/>
        <w:rPr>
          <w:rFonts w:ascii="宋体" w:hAnsi="宋体"/>
          <w:kern w:val="44"/>
        </w:rPr>
      </w:pPr>
      <w:r>
        <w:rPr>
          <w:rFonts w:hint="eastAsia" w:ascii="宋体" w:hAnsi="宋体"/>
          <w:b/>
          <w:kern w:val="44"/>
        </w:rPr>
        <w:t>第三十条</w:t>
      </w:r>
      <w:r>
        <w:rPr>
          <w:rFonts w:hint="eastAsia" w:ascii="宋体" w:hAnsi="宋体"/>
          <w:kern w:val="44"/>
        </w:rPr>
        <w:t>　职业学校和职业培训机构违反本办法第二十四条规定，超过标准向受教育者收取费用的，由教育行政部门、劳动行政部门或者物价管理部门依照《中华人民共和国教育法》和《北京市</w:t>
      </w:r>
      <w:r>
        <w:rPr>
          <w:rFonts w:hint="eastAsia" w:ascii="宋体" w:hAnsi="宋体"/>
          <w:kern w:val="44"/>
          <w:lang w:eastAsia="zh-CN"/>
        </w:rPr>
        <w:t>行政事业性收费</w:t>
      </w:r>
      <w:r>
        <w:rPr>
          <w:rFonts w:hint="eastAsia" w:ascii="宋体" w:hAnsi="宋体"/>
          <w:kern w:val="44"/>
        </w:rPr>
        <w:t>管理条例》处理。</w:t>
      </w:r>
    </w:p>
    <w:p w14:paraId="1DBC8243">
      <w:pPr>
        <w:ind w:firstLine="422"/>
        <w:jc w:val="left"/>
        <w:rPr>
          <w:rFonts w:ascii="宋体" w:hAnsi="宋体"/>
          <w:kern w:val="44"/>
        </w:rPr>
      </w:pPr>
      <w:r>
        <w:rPr>
          <w:rFonts w:hint="eastAsia" w:ascii="宋体" w:hAnsi="宋体"/>
          <w:b/>
          <w:kern w:val="44"/>
        </w:rPr>
        <w:t>第三十一条</w:t>
      </w:r>
      <w:r>
        <w:rPr>
          <w:rFonts w:hint="eastAsia" w:ascii="宋体" w:hAnsi="宋体"/>
          <w:kern w:val="44"/>
        </w:rPr>
        <w:t>　本办法具体应用中的问题，由市人民政府负责解释。</w:t>
      </w:r>
    </w:p>
    <w:p w14:paraId="42D82741">
      <w:pPr>
        <w:ind w:firstLine="422"/>
        <w:jc w:val="left"/>
        <w:rPr>
          <w:rFonts w:ascii="宋体" w:hAnsi="宋体"/>
          <w:kern w:val="44"/>
        </w:rPr>
      </w:pPr>
      <w:r>
        <w:rPr>
          <w:rFonts w:hint="eastAsia" w:ascii="宋体" w:hAnsi="宋体"/>
          <w:b/>
          <w:kern w:val="44"/>
        </w:rPr>
        <w:t>第三十二条</w:t>
      </w:r>
      <w:r>
        <w:rPr>
          <w:rFonts w:hint="eastAsia" w:ascii="宋体" w:hAnsi="宋体"/>
          <w:kern w:val="44"/>
        </w:rPr>
        <w:t>　本办法自1997年10月1日起施行。1990年1月19日北京市第九届人民代表大会常务委员会第十七次会议通过的《北京市中等职业技术教育条例》同时废止。</w:t>
      </w:r>
    </w:p>
    <w:p w14:paraId="7C6EBD4C">
      <w:pPr>
        <w:pStyle w:val="4"/>
        <w:pageBreakBefore/>
        <w:rPr>
          <w:kern w:val="44"/>
        </w:rPr>
      </w:pPr>
      <w:bookmarkStart w:id="1473" w:name="_Toc427651988"/>
      <w:bookmarkStart w:id="1474" w:name="_Toc428781694"/>
      <w:bookmarkStart w:id="1475" w:name="_Toc422471385"/>
      <w:bookmarkStart w:id="1476" w:name="_Toc427651646"/>
      <w:bookmarkStart w:id="1477" w:name="_Toc428780212"/>
      <w:r>
        <w:rPr>
          <w:rFonts w:hint="eastAsia"/>
          <w:kern w:val="44"/>
        </w:rPr>
        <w:t>北京市学前教育条例</w:t>
      </w:r>
      <w:bookmarkEnd w:id="1473"/>
      <w:bookmarkEnd w:id="1474"/>
      <w:bookmarkEnd w:id="1475"/>
      <w:bookmarkEnd w:id="1476"/>
      <w:bookmarkEnd w:id="1477"/>
    </w:p>
    <w:p w14:paraId="472A2B96">
      <w:pPr>
        <w:ind w:left="630" w:leftChars="300" w:right="630" w:rightChars="300"/>
        <w:jc w:val="left"/>
        <w:rPr>
          <w:rFonts w:ascii="楷体" w:hAnsi="楷体" w:eastAsia="楷体"/>
          <w:kern w:val="44"/>
        </w:rPr>
      </w:pPr>
      <w:r>
        <w:rPr>
          <w:rFonts w:hint="eastAsia" w:ascii="楷体" w:hAnsi="楷体" w:eastAsia="楷体"/>
          <w:kern w:val="44"/>
        </w:rPr>
        <w:t>（2001年6月22日北京市第十一届人民代表大会常务委员会第二十七次会议通过）</w:t>
      </w:r>
    </w:p>
    <w:p w14:paraId="057D75E4">
      <w:pPr>
        <w:jc w:val="left"/>
        <w:rPr>
          <w:rFonts w:ascii="宋体" w:hAnsi="宋体"/>
          <w:kern w:val="44"/>
        </w:rPr>
      </w:pPr>
    </w:p>
    <w:p w14:paraId="3B954810">
      <w:pPr>
        <w:ind w:firstLine="0" w:firstLineChars="0"/>
        <w:jc w:val="center"/>
        <w:rPr>
          <w:rFonts w:ascii="宋体" w:hAnsi="宋体"/>
          <w:b/>
          <w:kern w:val="44"/>
          <w:sz w:val="28"/>
        </w:rPr>
      </w:pPr>
      <w:r>
        <w:rPr>
          <w:rFonts w:hint="eastAsia" w:ascii="宋体" w:hAnsi="宋体"/>
          <w:b/>
          <w:kern w:val="44"/>
          <w:sz w:val="28"/>
        </w:rPr>
        <w:t>第一章　总　则</w:t>
      </w:r>
    </w:p>
    <w:p w14:paraId="196EDE52">
      <w:pPr>
        <w:jc w:val="left"/>
        <w:rPr>
          <w:rFonts w:ascii="宋体" w:hAnsi="宋体"/>
          <w:kern w:val="44"/>
        </w:rPr>
      </w:pPr>
    </w:p>
    <w:p w14:paraId="76B6F6A6">
      <w:pPr>
        <w:ind w:firstLine="422"/>
        <w:jc w:val="left"/>
        <w:rPr>
          <w:rFonts w:ascii="宋体" w:hAnsi="宋体"/>
          <w:kern w:val="44"/>
        </w:rPr>
      </w:pPr>
      <w:r>
        <w:rPr>
          <w:rFonts w:hint="eastAsia" w:ascii="宋体" w:hAnsi="宋体"/>
          <w:b/>
          <w:kern w:val="44"/>
        </w:rPr>
        <w:t>第一条</w:t>
      </w:r>
      <w:r>
        <w:rPr>
          <w:rFonts w:hint="eastAsia" w:ascii="宋体" w:hAnsi="宋体"/>
          <w:kern w:val="44"/>
        </w:rPr>
        <w:t>　为了促进和保障本市学前教育事业的发展，提高学前教育质量，根据《中华人民共和国教育法》、《中华人民共和国未成年人保护法》以及有关法律、法规，结合本市实际情况，制定本条例。</w:t>
      </w:r>
    </w:p>
    <w:p w14:paraId="33172B95">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本条例适用于本市行政区域内各种形式的学前教育。</w:t>
      </w:r>
    </w:p>
    <w:p w14:paraId="4395C6AF">
      <w:pPr>
        <w:jc w:val="left"/>
        <w:rPr>
          <w:rFonts w:ascii="宋体" w:hAnsi="宋体"/>
          <w:kern w:val="44"/>
        </w:rPr>
      </w:pPr>
      <w:r>
        <w:rPr>
          <w:rFonts w:hint="eastAsia" w:ascii="宋体" w:hAnsi="宋体"/>
          <w:kern w:val="44"/>
        </w:rPr>
        <w:t>本条例所称学前教育是指对学龄前儿童实施的教育。</w:t>
      </w:r>
    </w:p>
    <w:p w14:paraId="55112AE1">
      <w:pPr>
        <w:jc w:val="left"/>
        <w:rPr>
          <w:rFonts w:ascii="宋体" w:hAnsi="宋体"/>
          <w:kern w:val="44"/>
        </w:rPr>
      </w:pPr>
      <w:r>
        <w:rPr>
          <w:rFonts w:hint="eastAsia" w:ascii="宋体" w:hAnsi="宋体"/>
          <w:kern w:val="44"/>
        </w:rPr>
        <w:t>本条例所称学前教育机构是指幼儿园、托儿所以及其他对学龄前儿童实施教育的机构。</w:t>
      </w:r>
    </w:p>
    <w:p w14:paraId="3ACAC3FA">
      <w:pPr>
        <w:ind w:firstLine="422"/>
        <w:jc w:val="left"/>
        <w:rPr>
          <w:rFonts w:ascii="宋体" w:hAnsi="宋体"/>
          <w:kern w:val="44"/>
        </w:rPr>
      </w:pPr>
      <w:r>
        <w:rPr>
          <w:rFonts w:hint="eastAsia" w:ascii="宋体" w:hAnsi="宋体"/>
          <w:b/>
          <w:kern w:val="44"/>
        </w:rPr>
        <w:t>第三条</w:t>
      </w:r>
      <w:r>
        <w:rPr>
          <w:rFonts w:hint="eastAsia" w:ascii="宋体" w:hAnsi="宋体"/>
          <w:kern w:val="44"/>
        </w:rPr>
        <w:t>　学前教育是国家教育事业的组成部分。</w:t>
      </w:r>
    </w:p>
    <w:p w14:paraId="7F06E649">
      <w:pPr>
        <w:jc w:val="left"/>
        <w:rPr>
          <w:rFonts w:ascii="宋体" w:hAnsi="宋体"/>
          <w:kern w:val="44"/>
        </w:rPr>
      </w:pPr>
      <w:r>
        <w:rPr>
          <w:rFonts w:hint="eastAsia" w:ascii="宋体" w:hAnsi="宋体"/>
          <w:kern w:val="44"/>
        </w:rPr>
        <w:t>开展学前教育应当贯彻国家的教育方针，对儿童实施体、智、德、美诸方面全面发展的教育，促进其身心健康与和谐发展。</w:t>
      </w:r>
    </w:p>
    <w:p w14:paraId="74BA8D63">
      <w:pPr>
        <w:jc w:val="left"/>
        <w:rPr>
          <w:rFonts w:ascii="宋体" w:hAnsi="宋体"/>
          <w:kern w:val="44"/>
        </w:rPr>
      </w:pPr>
      <w:r>
        <w:rPr>
          <w:rFonts w:hint="eastAsia" w:ascii="宋体" w:hAnsi="宋体"/>
          <w:kern w:val="44"/>
        </w:rPr>
        <w:t>学前教育应当遵循学龄前儿童的年龄特点和身心发展规律，实行保育与教育相结合，以游戏为基本活动形式，寓教育于生活及各项活动之中。</w:t>
      </w:r>
    </w:p>
    <w:p w14:paraId="5A30025F">
      <w:pPr>
        <w:jc w:val="left"/>
        <w:rPr>
          <w:rFonts w:ascii="宋体" w:hAnsi="宋体"/>
          <w:kern w:val="44"/>
        </w:rPr>
      </w:pPr>
      <w:r>
        <w:rPr>
          <w:rFonts w:hint="eastAsia" w:ascii="宋体" w:hAnsi="宋体"/>
          <w:kern w:val="44"/>
        </w:rPr>
        <w:t>本市倡导和支持开展3周岁以下婴幼儿的早期教育。</w:t>
      </w:r>
    </w:p>
    <w:p w14:paraId="4AEC7997">
      <w:pPr>
        <w:ind w:firstLine="422"/>
        <w:jc w:val="left"/>
        <w:rPr>
          <w:rFonts w:ascii="宋体" w:hAnsi="宋体"/>
          <w:kern w:val="44"/>
        </w:rPr>
      </w:pPr>
      <w:r>
        <w:rPr>
          <w:rFonts w:hint="eastAsia" w:ascii="宋体" w:hAnsi="宋体"/>
          <w:b/>
          <w:kern w:val="44"/>
        </w:rPr>
        <w:t>第四条</w:t>
      </w:r>
      <w:r>
        <w:rPr>
          <w:rFonts w:hint="eastAsia" w:ascii="宋体" w:hAnsi="宋体"/>
          <w:kern w:val="44"/>
        </w:rPr>
        <w:t>　发展学前教育事业是政府、社会、家庭、学前教育机构的共同责任。</w:t>
      </w:r>
    </w:p>
    <w:p w14:paraId="68F2ED18">
      <w:pPr>
        <w:jc w:val="left"/>
        <w:rPr>
          <w:rFonts w:ascii="宋体" w:hAnsi="宋体"/>
          <w:kern w:val="44"/>
        </w:rPr>
      </w:pPr>
      <w:r>
        <w:rPr>
          <w:rFonts w:hint="eastAsia" w:ascii="宋体" w:hAnsi="宋体"/>
          <w:kern w:val="44"/>
        </w:rPr>
        <w:t>本市积极发展以社区为依托，多种形式，面向全体学龄前儿童的学前教育。</w:t>
      </w:r>
    </w:p>
    <w:p w14:paraId="3C949917">
      <w:pPr>
        <w:jc w:val="left"/>
        <w:rPr>
          <w:rFonts w:ascii="宋体" w:hAnsi="宋体"/>
          <w:kern w:val="44"/>
        </w:rPr>
      </w:pPr>
      <w:r>
        <w:rPr>
          <w:rFonts w:hint="eastAsia" w:ascii="宋体" w:hAnsi="宋体"/>
          <w:kern w:val="44"/>
        </w:rPr>
        <w:t>本市举办学前教育机构以社会力量办学为主体，发挥政府举办的学前教育机构在提高教育质量方面的示范和引导作用。</w:t>
      </w:r>
    </w:p>
    <w:p w14:paraId="3983107D">
      <w:pPr>
        <w:ind w:firstLine="422"/>
        <w:jc w:val="left"/>
        <w:rPr>
          <w:rFonts w:ascii="宋体" w:hAnsi="宋体"/>
          <w:kern w:val="44"/>
        </w:rPr>
      </w:pPr>
      <w:r>
        <w:rPr>
          <w:rFonts w:hint="eastAsia" w:ascii="宋体" w:hAnsi="宋体"/>
          <w:b/>
          <w:kern w:val="44"/>
        </w:rPr>
        <w:t>第五条</w:t>
      </w:r>
      <w:r>
        <w:rPr>
          <w:rFonts w:hint="eastAsia" w:ascii="宋体" w:hAnsi="宋体"/>
          <w:kern w:val="44"/>
        </w:rPr>
        <w:t>　本市扶持远郊经济不发达地区发展学前教育事业。</w:t>
      </w:r>
    </w:p>
    <w:p w14:paraId="351C1FE7">
      <w:pPr>
        <w:jc w:val="left"/>
        <w:rPr>
          <w:rFonts w:ascii="宋体" w:hAnsi="宋体"/>
          <w:kern w:val="44"/>
        </w:rPr>
      </w:pPr>
      <w:r>
        <w:rPr>
          <w:rFonts w:hint="eastAsia" w:ascii="宋体" w:hAnsi="宋体"/>
          <w:kern w:val="44"/>
        </w:rPr>
        <w:t>本市重视并扶持残疾儿童学前教育事业。残疾儿童的学前教育应当从婴幼儿开始，与康复、训练结合进行。</w:t>
      </w:r>
    </w:p>
    <w:p w14:paraId="28939B03">
      <w:pPr>
        <w:jc w:val="left"/>
        <w:rPr>
          <w:rFonts w:ascii="宋体" w:hAnsi="宋体"/>
          <w:kern w:val="44"/>
        </w:rPr>
      </w:pPr>
      <w:r>
        <w:rPr>
          <w:rFonts w:hint="eastAsia" w:ascii="宋体" w:hAnsi="宋体"/>
          <w:kern w:val="44"/>
        </w:rPr>
        <w:t>在少数民族聚居地区，扶持和发展适合少数民族特点和需要的学前教育事业。</w:t>
      </w:r>
    </w:p>
    <w:p w14:paraId="1DF79793">
      <w:pPr>
        <w:ind w:firstLine="422"/>
        <w:jc w:val="left"/>
        <w:rPr>
          <w:rFonts w:ascii="宋体" w:hAnsi="宋体"/>
          <w:kern w:val="44"/>
        </w:rPr>
      </w:pPr>
      <w:r>
        <w:rPr>
          <w:rFonts w:hint="eastAsia" w:ascii="宋体" w:hAnsi="宋体"/>
          <w:b/>
          <w:kern w:val="44"/>
        </w:rPr>
        <w:t>第六条</w:t>
      </w:r>
      <w:r>
        <w:rPr>
          <w:rFonts w:hint="eastAsia" w:ascii="宋体" w:hAnsi="宋体"/>
          <w:kern w:val="44"/>
        </w:rPr>
        <w:t>　本市采取措施鼓励社会组织和公民依法举办学前教育机构。</w:t>
      </w:r>
    </w:p>
    <w:p w14:paraId="49D24842">
      <w:pPr>
        <w:jc w:val="left"/>
        <w:rPr>
          <w:rFonts w:ascii="宋体" w:hAnsi="宋体"/>
          <w:kern w:val="44"/>
        </w:rPr>
      </w:pPr>
      <w:r>
        <w:rPr>
          <w:rFonts w:hint="eastAsia" w:ascii="宋体" w:hAnsi="宋体"/>
          <w:kern w:val="44"/>
        </w:rPr>
        <w:t>本市鼓励境内外组织和个人以捐资赠物等多种形式支持学前教育事业发展。</w:t>
      </w:r>
    </w:p>
    <w:p w14:paraId="776B9C4C">
      <w:pPr>
        <w:ind w:firstLine="422"/>
        <w:jc w:val="left"/>
        <w:rPr>
          <w:rFonts w:ascii="宋体" w:hAnsi="宋体"/>
          <w:kern w:val="44"/>
        </w:rPr>
      </w:pPr>
      <w:r>
        <w:rPr>
          <w:rFonts w:hint="eastAsia" w:ascii="宋体" w:hAnsi="宋体"/>
          <w:b/>
          <w:kern w:val="44"/>
        </w:rPr>
        <w:t>第七条</w:t>
      </w:r>
      <w:r>
        <w:rPr>
          <w:rFonts w:hint="eastAsia" w:ascii="宋体" w:hAnsi="宋体"/>
          <w:kern w:val="44"/>
        </w:rPr>
        <w:t>　市和区、县人民政府对在学前教育事业中做出突出贡献的单位和个人，给予表彰和奖励。</w:t>
      </w:r>
    </w:p>
    <w:p w14:paraId="3CB3387F">
      <w:pPr>
        <w:jc w:val="left"/>
        <w:rPr>
          <w:rFonts w:ascii="宋体" w:hAnsi="宋体"/>
          <w:kern w:val="44"/>
        </w:rPr>
      </w:pPr>
    </w:p>
    <w:p w14:paraId="6C2EBE8D">
      <w:pPr>
        <w:ind w:firstLine="0" w:firstLineChars="0"/>
        <w:jc w:val="center"/>
        <w:rPr>
          <w:rFonts w:ascii="宋体" w:hAnsi="宋体"/>
          <w:b/>
          <w:kern w:val="44"/>
          <w:sz w:val="28"/>
        </w:rPr>
      </w:pPr>
      <w:r>
        <w:rPr>
          <w:rFonts w:hint="eastAsia" w:ascii="宋体" w:hAnsi="宋体"/>
          <w:b/>
          <w:kern w:val="44"/>
          <w:sz w:val="28"/>
        </w:rPr>
        <w:t>第二章  学前教育责任</w:t>
      </w:r>
    </w:p>
    <w:p w14:paraId="2E021FE1">
      <w:pPr>
        <w:jc w:val="left"/>
        <w:rPr>
          <w:rFonts w:ascii="宋体" w:hAnsi="宋体"/>
          <w:kern w:val="44"/>
        </w:rPr>
      </w:pPr>
    </w:p>
    <w:p w14:paraId="3180BB06">
      <w:pPr>
        <w:ind w:firstLine="422"/>
        <w:jc w:val="left"/>
        <w:rPr>
          <w:rFonts w:ascii="宋体" w:hAnsi="宋体"/>
          <w:kern w:val="44"/>
        </w:rPr>
      </w:pPr>
      <w:r>
        <w:rPr>
          <w:rFonts w:hint="eastAsia" w:ascii="宋体" w:hAnsi="宋体"/>
          <w:b/>
          <w:kern w:val="44"/>
        </w:rPr>
        <w:t>第八条</w:t>
      </w:r>
      <w:r>
        <w:rPr>
          <w:rFonts w:hint="eastAsia" w:ascii="宋体" w:hAnsi="宋体"/>
          <w:kern w:val="44"/>
        </w:rPr>
        <w:t>　各级人民政府应当加强对学前教育的领导，综合协调学前教育事业的发展，将学前教育纳入本地区国民经济和社会发展计划。</w:t>
      </w:r>
    </w:p>
    <w:p w14:paraId="35707F79">
      <w:pPr>
        <w:jc w:val="left"/>
        <w:rPr>
          <w:rFonts w:ascii="宋体" w:hAnsi="宋体"/>
          <w:kern w:val="44"/>
        </w:rPr>
      </w:pPr>
      <w:r>
        <w:rPr>
          <w:rFonts w:hint="eastAsia" w:ascii="宋体" w:hAnsi="宋体"/>
          <w:kern w:val="44"/>
        </w:rPr>
        <w:t>区、县和乡、镇人民政府应当举办发挥示范作用的学前教育机构。</w:t>
      </w:r>
    </w:p>
    <w:p w14:paraId="7C6AA526">
      <w:pPr>
        <w:jc w:val="left"/>
        <w:rPr>
          <w:rFonts w:ascii="宋体" w:hAnsi="宋体"/>
          <w:kern w:val="44"/>
        </w:rPr>
      </w:pPr>
      <w:r>
        <w:rPr>
          <w:rFonts w:hint="eastAsia" w:ascii="宋体" w:hAnsi="宋体"/>
          <w:kern w:val="44"/>
        </w:rPr>
        <w:t>城镇街道办事处应当组织协调学前教育机构以及有关部门和社团，在社区内开展学前教育活动。</w:t>
      </w:r>
    </w:p>
    <w:p w14:paraId="51AA1579">
      <w:pPr>
        <w:jc w:val="left"/>
        <w:rPr>
          <w:rFonts w:ascii="宋体" w:hAnsi="宋体"/>
          <w:kern w:val="44"/>
        </w:rPr>
      </w:pPr>
      <w:r>
        <w:rPr>
          <w:rFonts w:hint="eastAsia" w:ascii="宋体" w:hAnsi="宋体"/>
          <w:kern w:val="44"/>
        </w:rPr>
        <w:t>农村地区乡、镇人民政府应当因地制宜发展学前教育事业，采取多种形式保证辖区内学龄前儿童接受学前教育。</w:t>
      </w:r>
    </w:p>
    <w:p w14:paraId="621EE567">
      <w:pPr>
        <w:ind w:firstLine="422"/>
        <w:jc w:val="left"/>
        <w:rPr>
          <w:rFonts w:ascii="宋体" w:hAnsi="宋体"/>
          <w:kern w:val="44"/>
        </w:rPr>
      </w:pPr>
      <w:r>
        <w:rPr>
          <w:rFonts w:hint="eastAsia" w:ascii="宋体" w:hAnsi="宋体"/>
          <w:b/>
          <w:kern w:val="44"/>
        </w:rPr>
        <w:t>第九条</w:t>
      </w:r>
      <w:r>
        <w:rPr>
          <w:rFonts w:hint="eastAsia" w:ascii="宋体" w:hAnsi="宋体"/>
          <w:kern w:val="44"/>
        </w:rPr>
        <w:t>　市教育行政部门主管本市行政区域内的学前教育工作，对学前教育进行统筹规划和管理。区、县教育行政部门负责本辖区内学前教育的管理工作，并对各类学前教育机构进行监督指导。</w:t>
      </w:r>
    </w:p>
    <w:p w14:paraId="272BAE3B">
      <w:pPr>
        <w:jc w:val="left"/>
        <w:rPr>
          <w:rFonts w:ascii="宋体" w:hAnsi="宋体"/>
          <w:kern w:val="44"/>
        </w:rPr>
      </w:pPr>
      <w:r>
        <w:rPr>
          <w:rFonts w:hint="eastAsia" w:ascii="宋体" w:hAnsi="宋体"/>
          <w:kern w:val="44"/>
        </w:rPr>
        <w:t>市和区、县人民政府其他有关部门应当在各自的职责范围内，负责有关学前教育的工作。</w:t>
      </w:r>
    </w:p>
    <w:p w14:paraId="0A99874D">
      <w:pPr>
        <w:ind w:firstLine="422"/>
        <w:jc w:val="left"/>
        <w:rPr>
          <w:rFonts w:ascii="宋体" w:hAnsi="宋体"/>
          <w:kern w:val="44"/>
        </w:rPr>
      </w:pPr>
      <w:r>
        <w:rPr>
          <w:rFonts w:hint="eastAsia" w:ascii="宋体" w:hAnsi="宋体"/>
          <w:b/>
          <w:kern w:val="44"/>
        </w:rPr>
        <w:t>第十条</w:t>
      </w:r>
      <w:r>
        <w:rPr>
          <w:rFonts w:hint="eastAsia" w:ascii="宋体" w:hAnsi="宋体"/>
          <w:kern w:val="44"/>
        </w:rPr>
        <w:t>　全社会都要关心、支持学前教育事业，为学龄前儿童的健康成长提供帮助。</w:t>
      </w:r>
    </w:p>
    <w:p w14:paraId="3FA05627">
      <w:pPr>
        <w:jc w:val="left"/>
        <w:rPr>
          <w:rFonts w:ascii="宋体" w:hAnsi="宋体"/>
          <w:kern w:val="44"/>
        </w:rPr>
      </w:pPr>
      <w:r>
        <w:rPr>
          <w:rFonts w:hint="eastAsia" w:ascii="宋体" w:hAnsi="宋体"/>
          <w:kern w:val="44"/>
        </w:rPr>
        <w:t>各级妇联组织和居民委员会、村民委员会以及社区内的其他社会组织，应当协助当地人民政府为社区内未进入学前教育机构的儿童及其父母或者其他监护人以及从事家庭看护学龄前儿童的从业人员提供学前教育的指导与服务。</w:t>
      </w:r>
    </w:p>
    <w:p w14:paraId="55127817">
      <w:pPr>
        <w:ind w:firstLine="422"/>
        <w:jc w:val="left"/>
        <w:rPr>
          <w:rFonts w:ascii="宋体" w:hAnsi="宋体"/>
          <w:kern w:val="44"/>
        </w:rPr>
      </w:pPr>
      <w:r>
        <w:rPr>
          <w:rFonts w:hint="eastAsia" w:ascii="宋体" w:hAnsi="宋体"/>
          <w:b/>
          <w:kern w:val="44"/>
        </w:rPr>
        <w:t>第十一条</w:t>
      </w:r>
      <w:r>
        <w:rPr>
          <w:rFonts w:hint="eastAsia" w:ascii="宋体" w:hAnsi="宋体"/>
          <w:kern w:val="44"/>
        </w:rPr>
        <w:t>　父母或者其他监护人对学龄前儿童的教育负有首要责任，应当为儿童身心健康成长创造良好的家庭教育环境，学习科学的教育方法，与学前教育及其相关的机构互相配合，促进儿童全面发展。</w:t>
      </w:r>
    </w:p>
    <w:p w14:paraId="255A8EC1">
      <w:pPr>
        <w:jc w:val="left"/>
        <w:rPr>
          <w:rFonts w:ascii="宋体" w:hAnsi="宋体"/>
          <w:kern w:val="44"/>
        </w:rPr>
      </w:pPr>
    </w:p>
    <w:p w14:paraId="14C6FEAB">
      <w:pPr>
        <w:ind w:firstLine="0" w:firstLineChars="0"/>
        <w:jc w:val="center"/>
        <w:rPr>
          <w:rFonts w:ascii="宋体" w:hAnsi="宋体"/>
          <w:b/>
          <w:kern w:val="44"/>
          <w:sz w:val="28"/>
        </w:rPr>
      </w:pPr>
      <w:r>
        <w:rPr>
          <w:rFonts w:hint="eastAsia" w:ascii="宋体" w:hAnsi="宋体"/>
          <w:b/>
          <w:kern w:val="44"/>
          <w:sz w:val="28"/>
        </w:rPr>
        <w:t>第三章  学前教育机构和从业人员</w:t>
      </w:r>
    </w:p>
    <w:p w14:paraId="7F076B31">
      <w:pPr>
        <w:jc w:val="left"/>
        <w:rPr>
          <w:rFonts w:ascii="宋体" w:hAnsi="宋体"/>
          <w:kern w:val="44"/>
        </w:rPr>
      </w:pPr>
    </w:p>
    <w:p w14:paraId="74C4C70B">
      <w:pPr>
        <w:ind w:firstLine="422"/>
        <w:jc w:val="left"/>
        <w:rPr>
          <w:rFonts w:ascii="宋体" w:hAnsi="宋体"/>
          <w:kern w:val="44"/>
        </w:rPr>
      </w:pPr>
      <w:r>
        <w:rPr>
          <w:rFonts w:hint="eastAsia" w:ascii="宋体" w:hAnsi="宋体"/>
          <w:b/>
          <w:kern w:val="44"/>
        </w:rPr>
        <w:t>第十二条</w:t>
      </w:r>
      <w:r>
        <w:rPr>
          <w:rFonts w:hint="eastAsia" w:ascii="宋体" w:hAnsi="宋体"/>
          <w:kern w:val="44"/>
        </w:rPr>
        <w:t>　学前教育机构应当注重促进学龄前儿童身体素质和心理素质健康发展，养成良好的生活、卫生习惯；促进儿童的智力发展，培养儿童热爱祖国的情感以及良好的品德。</w:t>
      </w:r>
    </w:p>
    <w:p w14:paraId="50471FD9">
      <w:pPr>
        <w:jc w:val="left"/>
        <w:rPr>
          <w:rFonts w:ascii="宋体" w:hAnsi="宋体"/>
          <w:kern w:val="44"/>
        </w:rPr>
      </w:pPr>
      <w:r>
        <w:rPr>
          <w:rFonts w:hint="eastAsia" w:ascii="宋体" w:hAnsi="宋体"/>
          <w:kern w:val="44"/>
        </w:rPr>
        <w:t>鼓励学前教育机构配合社区宣传保育、教育知识，支持社区开展学前教育活动。</w:t>
      </w:r>
    </w:p>
    <w:p w14:paraId="09ADCACC">
      <w:pPr>
        <w:ind w:firstLine="422"/>
        <w:jc w:val="left"/>
        <w:rPr>
          <w:rFonts w:ascii="宋体" w:hAnsi="宋体"/>
          <w:kern w:val="44"/>
        </w:rPr>
      </w:pPr>
      <w:r>
        <w:rPr>
          <w:rFonts w:hint="eastAsia" w:ascii="宋体" w:hAnsi="宋体"/>
          <w:b/>
          <w:kern w:val="44"/>
        </w:rPr>
        <w:t>第十三条</w:t>
      </w:r>
      <w:r>
        <w:rPr>
          <w:rFonts w:hint="eastAsia" w:ascii="宋体" w:hAnsi="宋体"/>
          <w:kern w:val="44"/>
        </w:rPr>
        <w:t>　举办学前教育机构必须符合下列条件：</w:t>
      </w:r>
    </w:p>
    <w:p w14:paraId="60C8C7C9">
      <w:pPr>
        <w:jc w:val="left"/>
        <w:rPr>
          <w:rFonts w:ascii="宋体" w:hAnsi="宋体"/>
          <w:kern w:val="44"/>
        </w:rPr>
      </w:pPr>
      <w:r>
        <w:rPr>
          <w:rFonts w:hint="eastAsia" w:ascii="宋体" w:hAnsi="宋体"/>
          <w:kern w:val="44"/>
        </w:rPr>
        <w:t>（一）办学地点安全，环境适宜；</w:t>
      </w:r>
    </w:p>
    <w:p w14:paraId="76609A82">
      <w:pPr>
        <w:jc w:val="left"/>
        <w:rPr>
          <w:rFonts w:ascii="宋体" w:hAnsi="宋体"/>
          <w:kern w:val="44"/>
        </w:rPr>
      </w:pPr>
      <w:r>
        <w:rPr>
          <w:rFonts w:hint="eastAsia" w:ascii="宋体" w:hAnsi="宋体"/>
          <w:kern w:val="44"/>
        </w:rPr>
        <w:t>（二）有与学前教育要求相适应并符合国家规定的安全、卫生标准的房舍、设施和设备；</w:t>
      </w:r>
    </w:p>
    <w:p w14:paraId="33842B31">
      <w:pPr>
        <w:jc w:val="left"/>
        <w:rPr>
          <w:rFonts w:ascii="宋体" w:hAnsi="宋体"/>
          <w:kern w:val="44"/>
        </w:rPr>
      </w:pPr>
      <w:r>
        <w:rPr>
          <w:rFonts w:hint="eastAsia" w:ascii="宋体" w:hAnsi="宋体"/>
          <w:kern w:val="44"/>
        </w:rPr>
        <w:t>（三）具备相应的举办资金；</w:t>
      </w:r>
    </w:p>
    <w:p w14:paraId="11E22C74">
      <w:pPr>
        <w:jc w:val="left"/>
        <w:rPr>
          <w:rFonts w:ascii="宋体" w:hAnsi="宋体"/>
          <w:kern w:val="44"/>
        </w:rPr>
      </w:pPr>
      <w:r>
        <w:rPr>
          <w:rFonts w:hint="eastAsia" w:ascii="宋体" w:hAnsi="宋体"/>
          <w:kern w:val="44"/>
        </w:rPr>
        <w:t>（四）具有符合国家规定的任职资格和健康条件的工作人员。</w:t>
      </w:r>
    </w:p>
    <w:p w14:paraId="2CFFF6A3">
      <w:pPr>
        <w:ind w:firstLine="422"/>
        <w:jc w:val="left"/>
        <w:rPr>
          <w:rFonts w:ascii="宋体" w:hAnsi="宋体"/>
          <w:kern w:val="44"/>
        </w:rPr>
      </w:pPr>
      <w:r>
        <w:rPr>
          <w:rFonts w:hint="eastAsia" w:ascii="宋体" w:hAnsi="宋体"/>
          <w:b/>
          <w:kern w:val="44"/>
        </w:rPr>
        <w:t>第十四条</w:t>
      </w:r>
      <w:r>
        <w:rPr>
          <w:rFonts w:hint="eastAsia" w:ascii="宋体" w:hAnsi="宋体"/>
          <w:kern w:val="44"/>
        </w:rPr>
        <w:t>　举办学前教育机构应当到所在区、县教育行政部门办理登记注册。农村边远地区举办学前教育机构可以到所在乡、镇人民政府办理登记注册，由乡、镇人民政府向区、县教育行政部门备案。</w:t>
      </w:r>
    </w:p>
    <w:p w14:paraId="16F076D7">
      <w:pPr>
        <w:jc w:val="left"/>
        <w:rPr>
          <w:rFonts w:ascii="宋体" w:hAnsi="宋体"/>
          <w:kern w:val="44"/>
        </w:rPr>
      </w:pPr>
      <w:r>
        <w:rPr>
          <w:rFonts w:hint="eastAsia" w:ascii="宋体" w:hAnsi="宋体"/>
          <w:kern w:val="44"/>
        </w:rPr>
        <w:t>学前教育机构变更登记事项或者停办，应当提前3个月到原登记注册机关办理变更或者撤销手续。</w:t>
      </w:r>
    </w:p>
    <w:p w14:paraId="314F45F9">
      <w:pPr>
        <w:ind w:firstLine="422"/>
        <w:jc w:val="left"/>
        <w:rPr>
          <w:rFonts w:ascii="宋体" w:hAnsi="宋体"/>
          <w:kern w:val="44"/>
        </w:rPr>
      </w:pPr>
      <w:r>
        <w:rPr>
          <w:rFonts w:hint="eastAsia" w:ascii="宋体" w:hAnsi="宋体"/>
          <w:b/>
          <w:kern w:val="44"/>
        </w:rPr>
        <w:t>第十五条</w:t>
      </w:r>
      <w:r>
        <w:rPr>
          <w:rFonts w:hint="eastAsia" w:ascii="宋体" w:hAnsi="宋体"/>
          <w:kern w:val="44"/>
        </w:rPr>
        <w:t>　学前教育机构应当建立并严格执行安全防护、卫生保健制度，保障学龄前儿童的人身安全和健康。</w:t>
      </w:r>
    </w:p>
    <w:p w14:paraId="15C9601F">
      <w:pPr>
        <w:jc w:val="left"/>
        <w:rPr>
          <w:rFonts w:ascii="宋体" w:hAnsi="宋体"/>
          <w:kern w:val="44"/>
        </w:rPr>
      </w:pPr>
      <w:r>
        <w:rPr>
          <w:rFonts w:hint="eastAsia" w:ascii="宋体" w:hAnsi="宋体"/>
          <w:kern w:val="44"/>
        </w:rPr>
        <w:t>学前教育机构的工作人员应当尊重、爱护学龄前儿童，严禁歧视、侮辱、虐待和体罚学龄前儿童。</w:t>
      </w:r>
    </w:p>
    <w:p w14:paraId="79316C28">
      <w:pPr>
        <w:ind w:firstLine="422"/>
        <w:jc w:val="left"/>
        <w:rPr>
          <w:rFonts w:ascii="宋体" w:hAnsi="宋体"/>
          <w:kern w:val="44"/>
        </w:rPr>
      </w:pPr>
      <w:r>
        <w:rPr>
          <w:rFonts w:hint="eastAsia" w:ascii="宋体" w:hAnsi="宋体"/>
          <w:b/>
          <w:kern w:val="44"/>
        </w:rPr>
        <w:t>第十六条</w:t>
      </w:r>
      <w:r>
        <w:rPr>
          <w:rFonts w:hint="eastAsia" w:ascii="宋体" w:hAnsi="宋体"/>
          <w:kern w:val="44"/>
        </w:rPr>
        <w:t>　在学前教育机构中从事教育的人员，必须具有相关专业知识，并获得教育行政部门颁发的学前教育任职资格证书。在学前教育机构工作的其他人员，必须具备国家和本市规定的从业资格。</w:t>
      </w:r>
    </w:p>
    <w:p w14:paraId="7D0D9240">
      <w:pPr>
        <w:ind w:firstLine="422"/>
        <w:jc w:val="left"/>
        <w:rPr>
          <w:rFonts w:ascii="宋体" w:hAnsi="宋体"/>
          <w:kern w:val="44"/>
        </w:rPr>
      </w:pPr>
      <w:r>
        <w:rPr>
          <w:rFonts w:hint="eastAsia" w:ascii="宋体" w:hAnsi="宋体"/>
          <w:b/>
          <w:kern w:val="44"/>
        </w:rPr>
        <w:t>第十七条</w:t>
      </w:r>
      <w:r>
        <w:rPr>
          <w:rFonts w:hint="eastAsia" w:ascii="宋体" w:hAnsi="宋体"/>
          <w:kern w:val="44"/>
        </w:rPr>
        <w:t>　从事家庭看护学龄前儿童的从业人员，应当在所在社区接受有关保育与教育的知识及方法的培训，每年定期到卫生行政部门指定的医疗保健机构进行健康检查。</w:t>
      </w:r>
    </w:p>
    <w:p w14:paraId="195629C5">
      <w:pPr>
        <w:ind w:firstLine="0" w:firstLineChars="0"/>
        <w:jc w:val="center"/>
        <w:rPr>
          <w:rFonts w:ascii="宋体" w:hAnsi="宋体"/>
          <w:b/>
          <w:kern w:val="44"/>
          <w:sz w:val="28"/>
        </w:rPr>
      </w:pPr>
      <w:r>
        <w:rPr>
          <w:rFonts w:hint="eastAsia" w:ascii="宋体" w:hAnsi="宋体"/>
          <w:b/>
          <w:kern w:val="44"/>
          <w:sz w:val="28"/>
        </w:rPr>
        <w:t>第四章  学前教育保障</w:t>
      </w:r>
    </w:p>
    <w:p w14:paraId="5CCFD69F">
      <w:pPr>
        <w:jc w:val="left"/>
        <w:rPr>
          <w:rFonts w:ascii="宋体" w:hAnsi="宋体"/>
          <w:kern w:val="44"/>
        </w:rPr>
      </w:pPr>
    </w:p>
    <w:p w14:paraId="54C855BD">
      <w:pPr>
        <w:ind w:firstLine="422"/>
        <w:jc w:val="left"/>
        <w:rPr>
          <w:rFonts w:ascii="宋体" w:hAnsi="宋体"/>
          <w:kern w:val="44"/>
        </w:rPr>
      </w:pPr>
      <w:r>
        <w:rPr>
          <w:rFonts w:hint="eastAsia" w:ascii="宋体" w:hAnsi="宋体"/>
          <w:b/>
          <w:kern w:val="44"/>
        </w:rPr>
        <w:t>第十八条</w:t>
      </w:r>
      <w:r>
        <w:rPr>
          <w:rFonts w:hint="eastAsia" w:ascii="宋体" w:hAnsi="宋体"/>
          <w:kern w:val="44"/>
        </w:rPr>
        <w:t>　各级人民政府应当安排学前教育专项经费，主要用于开展有关的教育改革、评价、表彰、培训和扶助远郊经济不发达地区发展学前教育，任何组织和个人不得挪用、克扣。</w:t>
      </w:r>
    </w:p>
    <w:p w14:paraId="08244AD4">
      <w:pPr>
        <w:ind w:firstLine="422"/>
        <w:jc w:val="left"/>
        <w:rPr>
          <w:rFonts w:ascii="宋体" w:hAnsi="宋体"/>
          <w:kern w:val="44"/>
        </w:rPr>
      </w:pPr>
      <w:r>
        <w:rPr>
          <w:rFonts w:hint="eastAsia" w:ascii="宋体" w:hAnsi="宋体"/>
          <w:b/>
          <w:kern w:val="44"/>
        </w:rPr>
        <w:t>第十九条</w:t>
      </w:r>
      <w:r>
        <w:rPr>
          <w:rFonts w:hint="eastAsia" w:ascii="宋体" w:hAnsi="宋体"/>
          <w:kern w:val="44"/>
        </w:rPr>
        <w:t>　学前教育机构的收费实行成本核算制度。学前教育机构依据成本测算收费标准，经物价部门核准后执行。</w:t>
      </w:r>
    </w:p>
    <w:p w14:paraId="1BB76D6F">
      <w:pPr>
        <w:ind w:firstLine="422"/>
        <w:jc w:val="left"/>
        <w:rPr>
          <w:rFonts w:ascii="宋体" w:hAnsi="宋体"/>
          <w:kern w:val="44"/>
        </w:rPr>
      </w:pPr>
      <w:r>
        <w:rPr>
          <w:rFonts w:hint="eastAsia" w:ascii="宋体" w:hAnsi="宋体"/>
          <w:b/>
          <w:kern w:val="44"/>
        </w:rPr>
        <w:t>第二十条</w:t>
      </w:r>
      <w:r>
        <w:rPr>
          <w:rFonts w:hint="eastAsia" w:ascii="宋体" w:hAnsi="宋体"/>
          <w:kern w:val="44"/>
        </w:rPr>
        <w:t>　城市新建、改建居住区，应当按照市人民政府的有关规定和建设标准，规划建设配套的学前教育设施。</w:t>
      </w:r>
    </w:p>
    <w:p w14:paraId="0D5D850D">
      <w:pPr>
        <w:jc w:val="left"/>
        <w:rPr>
          <w:rFonts w:ascii="宋体" w:hAnsi="宋体"/>
          <w:kern w:val="44"/>
        </w:rPr>
      </w:pPr>
      <w:r>
        <w:rPr>
          <w:rFonts w:hint="eastAsia" w:ascii="宋体" w:hAnsi="宋体"/>
          <w:kern w:val="44"/>
        </w:rPr>
        <w:t>为居住区配套建设的学前教育设施必须用于发展学前教育事业。配套的学前教育设施竣工验收后，应当在3个月内交付区、县教育行政部门管理，由区、县教育行政部门商社区管理机构举办或者向社会公开招标举办学前教育机构，任何组织和个人不得擅自将学前教育设施挪作他用。</w:t>
      </w:r>
    </w:p>
    <w:p w14:paraId="4299C174">
      <w:pPr>
        <w:jc w:val="left"/>
        <w:rPr>
          <w:rFonts w:ascii="宋体" w:hAnsi="宋体"/>
          <w:kern w:val="44"/>
        </w:rPr>
      </w:pPr>
      <w:r>
        <w:rPr>
          <w:rFonts w:hint="eastAsia" w:ascii="宋体" w:hAnsi="宋体"/>
          <w:kern w:val="44"/>
        </w:rPr>
        <w:t>利用居住区的配套设施举办的学前教育机构应当为社区居民服务。任何组织和个人不得向使用配套设施的学前教育机构收取国家和本市规定以外的费用。</w:t>
      </w:r>
    </w:p>
    <w:p w14:paraId="1E57E057">
      <w:pPr>
        <w:ind w:firstLine="422"/>
        <w:jc w:val="left"/>
        <w:rPr>
          <w:rFonts w:ascii="宋体" w:hAnsi="宋体"/>
          <w:kern w:val="44"/>
        </w:rPr>
      </w:pPr>
      <w:r>
        <w:rPr>
          <w:rFonts w:hint="eastAsia" w:ascii="宋体" w:hAnsi="宋体"/>
          <w:b/>
          <w:kern w:val="44"/>
        </w:rPr>
        <w:t>第二十一条</w:t>
      </w:r>
      <w:r>
        <w:rPr>
          <w:rFonts w:hint="eastAsia" w:ascii="宋体" w:hAnsi="宋体"/>
          <w:kern w:val="44"/>
        </w:rPr>
        <w:t>　学前教育机构用水、用电，执行中小学校用水、用电缴费标准。</w:t>
      </w:r>
    </w:p>
    <w:p w14:paraId="68F37644">
      <w:pPr>
        <w:jc w:val="left"/>
        <w:rPr>
          <w:rFonts w:ascii="宋体" w:hAnsi="宋体"/>
          <w:kern w:val="44"/>
        </w:rPr>
      </w:pPr>
      <w:r>
        <w:rPr>
          <w:rFonts w:hint="eastAsia" w:ascii="宋体" w:hAnsi="宋体"/>
          <w:kern w:val="44"/>
        </w:rPr>
        <w:t>新建、改建、扩建学前教育机构，应当按照中小学校建设减免费用的有关规定减免相关费用。</w:t>
      </w:r>
    </w:p>
    <w:p w14:paraId="69D45F21">
      <w:pPr>
        <w:ind w:firstLine="422"/>
        <w:jc w:val="left"/>
        <w:rPr>
          <w:rFonts w:ascii="宋体" w:hAnsi="宋体"/>
          <w:kern w:val="44"/>
        </w:rPr>
      </w:pPr>
      <w:r>
        <w:rPr>
          <w:rFonts w:hint="eastAsia" w:ascii="宋体" w:hAnsi="宋体"/>
          <w:b/>
          <w:kern w:val="44"/>
        </w:rPr>
        <w:t>第二十二条</w:t>
      </w:r>
      <w:r>
        <w:rPr>
          <w:rFonts w:hint="eastAsia" w:ascii="宋体" w:hAnsi="宋体"/>
          <w:kern w:val="44"/>
        </w:rPr>
        <w:t>　社会力量举办的学前教育机构在教研活动、人员培训、表彰奖励等方面，与政府举办的学前教育机构享受同等待遇。</w:t>
      </w:r>
    </w:p>
    <w:p w14:paraId="01C917B0">
      <w:pPr>
        <w:jc w:val="left"/>
        <w:rPr>
          <w:rFonts w:ascii="宋体" w:hAnsi="宋体"/>
          <w:kern w:val="44"/>
        </w:rPr>
      </w:pPr>
      <w:r>
        <w:rPr>
          <w:rFonts w:hint="eastAsia" w:ascii="宋体" w:hAnsi="宋体"/>
          <w:kern w:val="44"/>
        </w:rPr>
        <w:t>社会力量举办的学前教育机构的工作人员在资格认定、职称评定、教育科研项目的申请、评优、科研成果鉴定等方面，与政府举办的学前教育机构的工作人员享有同等权利。</w:t>
      </w:r>
    </w:p>
    <w:p w14:paraId="4495CE73">
      <w:pPr>
        <w:ind w:firstLine="422"/>
        <w:jc w:val="left"/>
        <w:rPr>
          <w:rFonts w:ascii="宋体" w:hAnsi="宋体"/>
          <w:kern w:val="44"/>
        </w:rPr>
      </w:pPr>
      <w:r>
        <w:rPr>
          <w:rFonts w:hint="eastAsia" w:ascii="宋体" w:hAnsi="宋体"/>
          <w:b/>
          <w:kern w:val="44"/>
        </w:rPr>
        <w:t>第二十三条</w:t>
      </w:r>
      <w:r>
        <w:rPr>
          <w:rFonts w:hint="eastAsia" w:ascii="宋体" w:hAnsi="宋体"/>
          <w:kern w:val="44"/>
        </w:rPr>
        <w:t>　本市支持、鼓励和组织开展学前教育科学研究，促进教育质量提高。</w:t>
      </w:r>
    </w:p>
    <w:p w14:paraId="79CE73E6">
      <w:pPr>
        <w:jc w:val="left"/>
        <w:rPr>
          <w:rFonts w:ascii="宋体" w:hAnsi="宋体"/>
          <w:kern w:val="44"/>
        </w:rPr>
      </w:pPr>
      <w:r>
        <w:rPr>
          <w:rFonts w:hint="eastAsia" w:ascii="宋体" w:hAnsi="宋体"/>
          <w:kern w:val="44"/>
        </w:rPr>
        <w:t>推广新的学前教育的训练方案、教材等科研成果，应当经专家鉴定，并报市或者区、县教育行政部门备案。</w:t>
      </w:r>
    </w:p>
    <w:p w14:paraId="26059092">
      <w:pPr>
        <w:ind w:firstLine="422"/>
        <w:jc w:val="left"/>
        <w:rPr>
          <w:rFonts w:ascii="宋体" w:hAnsi="宋体"/>
          <w:kern w:val="44"/>
        </w:rPr>
      </w:pPr>
      <w:r>
        <w:rPr>
          <w:rFonts w:hint="eastAsia" w:ascii="宋体" w:hAnsi="宋体"/>
          <w:b/>
          <w:kern w:val="44"/>
        </w:rPr>
        <w:t>第二十四条</w:t>
      </w:r>
      <w:r>
        <w:rPr>
          <w:rFonts w:hint="eastAsia" w:ascii="宋体" w:hAnsi="宋体"/>
          <w:kern w:val="44"/>
        </w:rPr>
        <w:t>　本市积极发展面向学龄前儿童的广播、电影电视节目、图书报刊、音像制品、游戏软件以及教具和玩具，但其内容或者产品质量不得危害学龄前儿童的身心健康。</w:t>
      </w:r>
    </w:p>
    <w:p w14:paraId="5C0C2D1A">
      <w:pPr>
        <w:jc w:val="left"/>
        <w:rPr>
          <w:rFonts w:ascii="宋体" w:hAnsi="宋体"/>
          <w:kern w:val="44"/>
        </w:rPr>
      </w:pPr>
    </w:p>
    <w:p w14:paraId="5AD4C737">
      <w:pPr>
        <w:ind w:firstLine="0" w:firstLineChars="0"/>
        <w:jc w:val="center"/>
        <w:rPr>
          <w:rFonts w:ascii="宋体" w:hAnsi="宋体"/>
          <w:b/>
          <w:kern w:val="44"/>
          <w:sz w:val="28"/>
        </w:rPr>
      </w:pPr>
      <w:r>
        <w:rPr>
          <w:rFonts w:hint="eastAsia" w:ascii="宋体" w:hAnsi="宋体"/>
          <w:b/>
          <w:kern w:val="44"/>
          <w:sz w:val="28"/>
        </w:rPr>
        <w:t>第五章  法律责任</w:t>
      </w:r>
    </w:p>
    <w:p w14:paraId="029FA362">
      <w:pPr>
        <w:jc w:val="left"/>
        <w:rPr>
          <w:rFonts w:ascii="宋体" w:hAnsi="宋体"/>
          <w:kern w:val="44"/>
        </w:rPr>
      </w:pPr>
    </w:p>
    <w:p w14:paraId="76AD9F8A">
      <w:pPr>
        <w:ind w:firstLine="422"/>
        <w:jc w:val="left"/>
        <w:rPr>
          <w:rFonts w:ascii="宋体" w:hAnsi="宋体"/>
          <w:kern w:val="44"/>
        </w:rPr>
      </w:pPr>
      <w:r>
        <w:rPr>
          <w:rFonts w:hint="eastAsia" w:ascii="宋体" w:hAnsi="宋体"/>
          <w:b/>
          <w:kern w:val="44"/>
        </w:rPr>
        <w:t>第二十五条</w:t>
      </w:r>
      <w:r>
        <w:rPr>
          <w:rFonts w:hint="eastAsia" w:ascii="宋体" w:hAnsi="宋体"/>
          <w:kern w:val="44"/>
        </w:rPr>
        <w:t>　对违反本条例的行为，法律、法规已有规定的，依照法律、法规的规定予以处理。</w:t>
      </w:r>
    </w:p>
    <w:p w14:paraId="784200B0">
      <w:pPr>
        <w:ind w:firstLine="422"/>
        <w:jc w:val="left"/>
        <w:rPr>
          <w:rFonts w:ascii="宋体" w:hAnsi="宋体"/>
          <w:kern w:val="44"/>
        </w:rPr>
      </w:pPr>
      <w:r>
        <w:rPr>
          <w:rFonts w:hint="eastAsia" w:ascii="宋体" w:hAnsi="宋体"/>
          <w:b/>
          <w:kern w:val="44"/>
        </w:rPr>
        <w:t>第二十六条</w:t>
      </w:r>
      <w:r>
        <w:rPr>
          <w:rFonts w:hint="eastAsia" w:ascii="宋体" w:hAnsi="宋体"/>
          <w:kern w:val="44"/>
        </w:rPr>
        <w:t>　违反本条例第二十条第一款规定，未按照规划和建设标准配套建设学前教育设施的，由规划行政主管部门和土地行政主管部门依照本市有关规定予以处理。</w:t>
      </w:r>
    </w:p>
    <w:p w14:paraId="6F3AC697">
      <w:pPr>
        <w:ind w:firstLine="422"/>
        <w:jc w:val="left"/>
        <w:rPr>
          <w:rFonts w:ascii="宋体" w:hAnsi="宋体"/>
          <w:kern w:val="44"/>
        </w:rPr>
      </w:pPr>
      <w:r>
        <w:rPr>
          <w:rFonts w:hint="eastAsia" w:ascii="宋体" w:hAnsi="宋体"/>
          <w:b/>
          <w:kern w:val="44"/>
        </w:rPr>
        <w:t>第二十七条</w:t>
      </w:r>
      <w:r>
        <w:rPr>
          <w:rFonts w:hint="eastAsia" w:ascii="宋体" w:hAnsi="宋体"/>
          <w:kern w:val="44"/>
        </w:rPr>
        <w:t>　违反本条例第二十条第二款规定，将配套学前教育设施擅自挪作他用的，由区、县教育行政部门收回被挪用的学前教育设施。</w:t>
      </w:r>
    </w:p>
    <w:p w14:paraId="349DDB0F">
      <w:pPr>
        <w:ind w:firstLine="422"/>
        <w:jc w:val="left"/>
        <w:rPr>
          <w:rFonts w:ascii="宋体" w:hAnsi="宋体"/>
          <w:kern w:val="44"/>
        </w:rPr>
      </w:pPr>
      <w:r>
        <w:rPr>
          <w:rFonts w:hint="eastAsia" w:ascii="宋体" w:hAnsi="宋体"/>
          <w:b/>
          <w:kern w:val="44"/>
        </w:rPr>
        <w:t>第二十八条</w:t>
      </w:r>
      <w:r>
        <w:rPr>
          <w:rFonts w:hint="eastAsia" w:ascii="宋体" w:hAnsi="宋体"/>
          <w:kern w:val="44"/>
        </w:rPr>
        <w:t>　违反本条例第二十条第三款规定，向使用配套设施的学前教育机构收取国家和本市规定以外费用的，由教育行政部门或者有关主管部门责令退回所收费用，并对直接负责的主管人员和责任人员给予行政处分。</w:t>
      </w:r>
    </w:p>
    <w:p w14:paraId="6B52C34E">
      <w:pPr>
        <w:jc w:val="left"/>
        <w:rPr>
          <w:rFonts w:ascii="宋体" w:hAnsi="宋体"/>
          <w:kern w:val="44"/>
        </w:rPr>
      </w:pPr>
    </w:p>
    <w:p w14:paraId="5D5A601F">
      <w:pPr>
        <w:ind w:firstLine="0" w:firstLineChars="0"/>
        <w:jc w:val="center"/>
        <w:rPr>
          <w:rFonts w:ascii="宋体" w:hAnsi="宋体"/>
          <w:b/>
          <w:kern w:val="44"/>
          <w:sz w:val="28"/>
        </w:rPr>
      </w:pPr>
      <w:r>
        <w:rPr>
          <w:rFonts w:hint="eastAsia" w:ascii="宋体" w:hAnsi="宋体"/>
          <w:b/>
          <w:kern w:val="44"/>
          <w:sz w:val="28"/>
        </w:rPr>
        <w:t>第六章  附  则</w:t>
      </w:r>
    </w:p>
    <w:p w14:paraId="1F0EAA4D">
      <w:pPr>
        <w:jc w:val="left"/>
        <w:rPr>
          <w:rFonts w:ascii="宋体" w:hAnsi="宋体"/>
          <w:kern w:val="44"/>
        </w:rPr>
      </w:pPr>
    </w:p>
    <w:p w14:paraId="0B3C1A39">
      <w:pPr>
        <w:ind w:firstLine="422"/>
        <w:jc w:val="left"/>
        <w:rPr>
          <w:rFonts w:ascii="宋体" w:hAnsi="宋体"/>
          <w:kern w:val="44"/>
        </w:rPr>
      </w:pPr>
      <w:r>
        <w:rPr>
          <w:rFonts w:hint="eastAsia" w:ascii="宋体" w:hAnsi="宋体"/>
          <w:b/>
          <w:kern w:val="44"/>
        </w:rPr>
        <w:t>第二十九条</w:t>
      </w:r>
      <w:r>
        <w:rPr>
          <w:rFonts w:hint="eastAsia" w:ascii="宋体" w:hAnsi="宋体"/>
          <w:kern w:val="44"/>
        </w:rPr>
        <w:t>　本市行政区域内中外合作举办学前教育机构或者举办招收外籍人员子女的学前教育机构，按照国家及本市的有关规定办理。</w:t>
      </w:r>
    </w:p>
    <w:p w14:paraId="6D6E9CC7">
      <w:pPr>
        <w:ind w:firstLine="422"/>
        <w:jc w:val="left"/>
        <w:rPr>
          <w:rFonts w:ascii="宋体" w:hAnsi="宋体"/>
          <w:kern w:val="44"/>
        </w:rPr>
      </w:pPr>
      <w:r>
        <w:rPr>
          <w:rFonts w:hint="eastAsia" w:ascii="宋体" w:hAnsi="宋体"/>
          <w:b/>
          <w:kern w:val="44"/>
        </w:rPr>
        <w:t>第三十条</w:t>
      </w:r>
      <w:r>
        <w:rPr>
          <w:rFonts w:hint="eastAsia" w:ascii="宋体" w:hAnsi="宋体"/>
          <w:kern w:val="44"/>
        </w:rPr>
        <w:t>　本条例自2001年9月1日起施行。</w:t>
      </w:r>
    </w:p>
    <w:p w14:paraId="45DB2600">
      <w:pPr>
        <w:pStyle w:val="4"/>
        <w:pageBreakBefore/>
        <w:rPr>
          <w:kern w:val="44"/>
        </w:rPr>
      </w:pPr>
      <w:bookmarkStart w:id="1478" w:name="_Toc427651989"/>
      <w:bookmarkStart w:id="1479" w:name="_Toc427651647"/>
      <w:bookmarkStart w:id="1480" w:name="_Toc428780213"/>
      <w:bookmarkStart w:id="1481" w:name="_Toc428781695"/>
      <w:bookmarkStart w:id="1482" w:name="_Toc422471386"/>
      <w:r>
        <w:rPr>
          <w:rFonts w:hint="eastAsia"/>
          <w:kern w:val="44"/>
        </w:rPr>
        <w:t>北京市实施《中华人民共和国</w:t>
      </w:r>
      <w:bookmarkEnd w:id="1478"/>
      <w:bookmarkEnd w:id="1479"/>
      <w:bookmarkEnd w:id="1480"/>
      <w:bookmarkEnd w:id="1481"/>
      <w:bookmarkEnd w:id="1482"/>
    </w:p>
    <w:p w14:paraId="510C5222">
      <w:pPr>
        <w:pStyle w:val="4"/>
        <w:rPr>
          <w:kern w:val="44"/>
        </w:rPr>
      </w:pPr>
      <w:bookmarkStart w:id="1483" w:name="_Toc422471387"/>
      <w:bookmarkStart w:id="1484" w:name="_Toc428780214"/>
      <w:bookmarkStart w:id="1485" w:name="_Toc428781696"/>
      <w:bookmarkStart w:id="1486" w:name="_Toc427651648"/>
      <w:bookmarkStart w:id="1487" w:name="_Toc427651990"/>
      <w:r>
        <w:rPr>
          <w:rFonts w:hint="eastAsia"/>
          <w:kern w:val="44"/>
        </w:rPr>
        <w:t>国家通用语言文字法》</w:t>
      </w:r>
      <w:bookmarkEnd w:id="1483"/>
      <w:bookmarkStart w:id="1488" w:name="_Toc422471388"/>
      <w:r>
        <w:rPr>
          <w:rFonts w:hint="eastAsia"/>
          <w:kern w:val="44"/>
        </w:rPr>
        <w:t>若干规定</w:t>
      </w:r>
      <w:bookmarkEnd w:id="1484"/>
      <w:bookmarkEnd w:id="1485"/>
      <w:bookmarkEnd w:id="1486"/>
      <w:bookmarkEnd w:id="1487"/>
      <w:bookmarkEnd w:id="1488"/>
    </w:p>
    <w:p w14:paraId="707423AF">
      <w:pPr>
        <w:ind w:left="630" w:leftChars="300" w:right="630" w:rightChars="300"/>
        <w:jc w:val="left"/>
        <w:rPr>
          <w:rFonts w:ascii="楷体" w:hAnsi="楷体" w:eastAsia="楷体"/>
          <w:kern w:val="44"/>
        </w:rPr>
      </w:pPr>
      <w:r>
        <w:rPr>
          <w:rFonts w:hint="eastAsia" w:ascii="楷体" w:hAnsi="楷体" w:eastAsia="楷体"/>
          <w:kern w:val="44"/>
        </w:rPr>
        <w:t>（2003年5月30日北京市第十二届人民代表大会常务委员会第四次会议通过）</w:t>
      </w:r>
    </w:p>
    <w:p w14:paraId="52DC6B6E">
      <w:pPr>
        <w:jc w:val="left"/>
        <w:rPr>
          <w:rFonts w:ascii="宋体" w:hAnsi="宋体"/>
          <w:kern w:val="44"/>
        </w:rPr>
      </w:pPr>
    </w:p>
    <w:p w14:paraId="20D725D7">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为了实施《中华人民共和国国家通用语言文字法》，结合本市实际情况，制定本规定。</w:t>
      </w:r>
    </w:p>
    <w:p w14:paraId="25920C80">
      <w:pPr>
        <w:ind w:firstLine="422"/>
        <w:jc w:val="left"/>
        <w:rPr>
          <w:rFonts w:ascii="宋体" w:hAnsi="宋体"/>
          <w:kern w:val="44"/>
        </w:rPr>
      </w:pPr>
      <w:r>
        <w:rPr>
          <w:rFonts w:hint="eastAsia" w:ascii="宋体" w:hAnsi="宋体"/>
          <w:b/>
          <w:kern w:val="44"/>
        </w:rPr>
        <w:t>第二条</w:t>
      </w:r>
      <w:r>
        <w:rPr>
          <w:rFonts w:hint="eastAsia" w:ascii="宋体" w:hAnsi="宋体"/>
          <w:kern w:val="44"/>
        </w:rPr>
        <w:t>　普通话和规范汉字的使用应当依据国家颁布的国家通用语言文字的规范和标准。</w:t>
      </w:r>
    </w:p>
    <w:p w14:paraId="6D779CE0">
      <w:pPr>
        <w:ind w:firstLine="422"/>
        <w:jc w:val="left"/>
        <w:rPr>
          <w:rFonts w:ascii="宋体" w:hAnsi="宋体"/>
          <w:kern w:val="44"/>
        </w:rPr>
      </w:pPr>
      <w:r>
        <w:rPr>
          <w:rFonts w:hint="eastAsia" w:ascii="宋体" w:hAnsi="宋体"/>
          <w:b/>
          <w:kern w:val="44"/>
        </w:rPr>
        <w:t>第三条</w:t>
      </w:r>
      <w:r>
        <w:rPr>
          <w:rFonts w:hint="eastAsia" w:ascii="宋体" w:hAnsi="宋体"/>
          <w:kern w:val="44"/>
        </w:rPr>
        <w:t>　本市各级人民政府应当采取措施推广普通话和推行规范汉字。</w:t>
      </w:r>
    </w:p>
    <w:p w14:paraId="3FAE4364">
      <w:pPr>
        <w:jc w:val="left"/>
        <w:rPr>
          <w:rFonts w:ascii="宋体" w:hAnsi="宋体"/>
          <w:kern w:val="44"/>
        </w:rPr>
      </w:pPr>
      <w:r>
        <w:rPr>
          <w:rFonts w:hint="eastAsia" w:ascii="宋体" w:hAnsi="宋体"/>
          <w:kern w:val="44"/>
        </w:rPr>
        <w:t>市和区、县人民政府应当对语言文字工作部门开展工作所需人员和经费予以保证。</w:t>
      </w:r>
    </w:p>
    <w:p w14:paraId="1F6285D1">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市和区、县语言文字工作部门管理和监督本行政区域内的国家通用语言文字的使用。</w:t>
      </w:r>
    </w:p>
    <w:p w14:paraId="1E8E46B7">
      <w:pPr>
        <w:jc w:val="left"/>
        <w:rPr>
          <w:rFonts w:ascii="宋体" w:hAnsi="宋体"/>
          <w:kern w:val="44"/>
        </w:rPr>
      </w:pPr>
      <w:r>
        <w:rPr>
          <w:rFonts w:hint="eastAsia" w:ascii="宋体" w:hAnsi="宋体"/>
          <w:kern w:val="44"/>
        </w:rPr>
        <w:t>本市语言文字工作规划的制定以及普通话水平测试和培训工作，由市语言文字工作部门负责。</w:t>
      </w:r>
    </w:p>
    <w:p w14:paraId="4E8152F1">
      <w:pPr>
        <w:ind w:firstLine="422"/>
        <w:jc w:val="left"/>
        <w:rPr>
          <w:rFonts w:ascii="宋体" w:hAnsi="宋体"/>
          <w:kern w:val="44"/>
        </w:rPr>
      </w:pPr>
      <w:r>
        <w:rPr>
          <w:rFonts w:hint="eastAsia" w:ascii="宋体" w:hAnsi="宋体"/>
          <w:b/>
          <w:kern w:val="44"/>
        </w:rPr>
        <w:t>第五条</w:t>
      </w:r>
      <w:r>
        <w:rPr>
          <w:rFonts w:hint="eastAsia" w:ascii="宋体" w:hAnsi="宋体"/>
          <w:kern w:val="44"/>
        </w:rPr>
        <w:t>　本市对在通用语言文字使用和管理工作中做出显著成绩的组织和个人予以表彰或者奖励。</w:t>
      </w:r>
    </w:p>
    <w:p w14:paraId="15F09DE9">
      <w:pPr>
        <w:ind w:firstLine="422"/>
        <w:jc w:val="left"/>
        <w:rPr>
          <w:rFonts w:ascii="宋体" w:hAnsi="宋体"/>
          <w:kern w:val="44"/>
        </w:rPr>
      </w:pPr>
      <w:r>
        <w:rPr>
          <w:rFonts w:hint="eastAsia" w:ascii="宋体" w:hAnsi="宋体"/>
          <w:b/>
          <w:kern w:val="44"/>
        </w:rPr>
        <w:t>第六条</w:t>
      </w:r>
      <w:r>
        <w:rPr>
          <w:rFonts w:hint="eastAsia" w:ascii="宋体" w:hAnsi="宋体"/>
          <w:kern w:val="44"/>
        </w:rPr>
        <w:t>　本市国家机关的会议用语、公共场合的讲话用语、公务活动中的交际用语、机关内部的工作语言等应当使用普通话。</w:t>
      </w:r>
    </w:p>
    <w:p w14:paraId="0D38F269">
      <w:pPr>
        <w:jc w:val="left"/>
        <w:rPr>
          <w:rFonts w:ascii="宋体" w:hAnsi="宋体"/>
          <w:kern w:val="44"/>
        </w:rPr>
      </w:pPr>
      <w:r>
        <w:rPr>
          <w:rFonts w:hint="eastAsia" w:ascii="宋体" w:hAnsi="宋体"/>
          <w:kern w:val="44"/>
        </w:rPr>
        <w:t>国家机关的名称牌、公文、印章、标牌、标志牌、指示牌、电子屏幕、标语等应当使用规范汉字。</w:t>
      </w:r>
    </w:p>
    <w:p w14:paraId="624B5355">
      <w:pPr>
        <w:ind w:firstLine="422"/>
        <w:jc w:val="left"/>
        <w:rPr>
          <w:rFonts w:ascii="宋体" w:hAnsi="宋体"/>
          <w:kern w:val="44"/>
        </w:rPr>
      </w:pPr>
      <w:r>
        <w:rPr>
          <w:rFonts w:hint="eastAsia" w:ascii="宋体" w:hAnsi="宋体"/>
          <w:b/>
          <w:kern w:val="44"/>
        </w:rPr>
        <w:t>第七条</w:t>
      </w:r>
      <w:r>
        <w:rPr>
          <w:rFonts w:hint="eastAsia" w:ascii="宋体" w:hAnsi="宋体"/>
          <w:kern w:val="44"/>
        </w:rPr>
        <w:t>　本市学校及其他教育机构在教育教学、会议、宣传和其他集体活动中应当以普通话为基本用语。</w:t>
      </w:r>
    </w:p>
    <w:p w14:paraId="24D18984">
      <w:pPr>
        <w:jc w:val="left"/>
        <w:rPr>
          <w:rFonts w:ascii="宋体" w:hAnsi="宋体"/>
          <w:kern w:val="44"/>
        </w:rPr>
      </w:pPr>
      <w:r>
        <w:rPr>
          <w:rFonts w:hint="eastAsia" w:ascii="宋体" w:hAnsi="宋体"/>
          <w:kern w:val="44"/>
        </w:rPr>
        <w:t>学校及其他教育机构的名称牌、标志牌、标语（牌）、指示牌、电子屏幕、公文、印章、校刊（报）、讲义、试卷、板报、板书等应当以规范汉字为基本用字。</w:t>
      </w:r>
    </w:p>
    <w:p w14:paraId="49B00044">
      <w:pPr>
        <w:jc w:val="left"/>
        <w:rPr>
          <w:rFonts w:ascii="宋体" w:hAnsi="宋体"/>
          <w:kern w:val="44"/>
        </w:rPr>
      </w:pPr>
      <w:r>
        <w:rPr>
          <w:rFonts w:hint="eastAsia" w:ascii="宋体" w:hAnsi="宋体"/>
          <w:kern w:val="44"/>
        </w:rPr>
        <w:t>本市教育行政部门、劳动和社会保障行政部门以及有关的主管部门，应当将用语用字规范化列入对学校及其他教育机构进行检查和评估的内容。</w:t>
      </w:r>
    </w:p>
    <w:p w14:paraId="5540AF0C">
      <w:pPr>
        <w:ind w:firstLine="422"/>
        <w:jc w:val="left"/>
        <w:rPr>
          <w:rFonts w:ascii="宋体" w:hAnsi="宋体"/>
          <w:kern w:val="44"/>
        </w:rPr>
      </w:pPr>
      <w:r>
        <w:rPr>
          <w:rFonts w:hint="eastAsia" w:ascii="宋体" w:hAnsi="宋体"/>
          <w:b/>
          <w:kern w:val="44"/>
        </w:rPr>
        <w:t>第八条</w:t>
      </w:r>
      <w:r>
        <w:rPr>
          <w:rFonts w:hint="eastAsia" w:ascii="宋体" w:hAnsi="宋体"/>
          <w:kern w:val="44"/>
        </w:rPr>
        <w:t>　本市各级广播电台、电视台应当以普通话作为播音、主持、采访基本用语。</w:t>
      </w:r>
    </w:p>
    <w:p w14:paraId="5DE0C89F">
      <w:pPr>
        <w:jc w:val="left"/>
        <w:rPr>
          <w:rFonts w:ascii="宋体" w:hAnsi="宋体"/>
          <w:kern w:val="44"/>
        </w:rPr>
      </w:pPr>
      <w:r>
        <w:rPr>
          <w:rFonts w:hint="eastAsia" w:ascii="宋体" w:hAnsi="宋体"/>
          <w:kern w:val="44"/>
        </w:rPr>
        <w:t>本市制作的影视作品的印刷体厂名、台名、制作单位名称、栏目名称、片名、字幕、演职员表、广告等应当以规范汉字为基本用字。</w:t>
      </w:r>
    </w:p>
    <w:p w14:paraId="6D2C3C61">
      <w:pPr>
        <w:ind w:firstLine="422"/>
        <w:jc w:val="left"/>
        <w:rPr>
          <w:rFonts w:ascii="宋体" w:hAnsi="宋体"/>
          <w:kern w:val="44"/>
        </w:rPr>
      </w:pPr>
      <w:r>
        <w:rPr>
          <w:rFonts w:hint="eastAsia" w:ascii="宋体" w:hAnsi="宋体"/>
          <w:b/>
          <w:kern w:val="44"/>
        </w:rPr>
        <w:t>第九条</w:t>
      </w:r>
      <w:r>
        <w:rPr>
          <w:rFonts w:hint="eastAsia" w:ascii="宋体" w:hAnsi="宋体"/>
          <w:kern w:val="44"/>
        </w:rPr>
        <w:t>　本市各有关部门新录（聘）用以普通话作为工作语言的播音员、节目主持人和影视话剧演员、教师、国家机关工作人员时，应当进行普通话水平测试，达到国家规定的等级标准。</w:t>
      </w:r>
    </w:p>
    <w:p w14:paraId="2EBB8164">
      <w:pPr>
        <w:ind w:firstLine="422"/>
        <w:jc w:val="left"/>
        <w:rPr>
          <w:rFonts w:ascii="宋体" w:hAnsi="宋体"/>
          <w:kern w:val="44"/>
        </w:rPr>
      </w:pPr>
      <w:r>
        <w:rPr>
          <w:rFonts w:hint="eastAsia" w:ascii="宋体" w:hAnsi="宋体"/>
          <w:b/>
          <w:kern w:val="44"/>
        </w:rPr>
        <w:t>第十条</w:t>
      </w:r>
      <w:r>
        <w:rPr>
          <w:rFonts w:hint="eastAsia" w:ascii="宋体" w:hAnsi="宋体"/>
          <w:kern w:val="44"/>
        </w:rPr>
        <w:t>　本市以汉语文出版的各类报纸、期刊、图书、电子和网络出版物、音像制品等出版物的报头（名）、刊名、封皮、内文、广告等应当使用普通话和规范汉字。</w:t>
      </w:r>
    </w:p>
    <w:p w14:paraId="04E4C8D6">
      <w:pPr>
        <w:jc w:val="left"/>
        <w:rPr>
          <w:rFonts w:ascii="宋体" w:hAnsi="宋体"/>
          <w:kern w:val="44"/>
        </w:rPr>
      </w:pPr>
      <w:r>
        <w:rPr>
          <w:rFonts w:hint="eastAsia" w:ascii="宋体" w:hAnsi="宋体"/>
          <w:kern w:val="44"/>
        </w:rPr>
        <w:t>经批准使用的报名、刊名中含有异体字、繁体字的报纸、期刊，在本报刊其他地方再现其名称时应当使用规范汉字。</w:t>
      </w:r>
    </w:p>
    <w:p w14:paraId="7C1B0548">
      <w:pPr>
        <w:jc w:val="left"/>
        <w:rPr>
          <w:rFonts w:ascii="宋体" w:hAnsi="宋体"/>
          <w:kern w:val="44"/>
        </w:rPr>
      </w:pPr>
      <w:r>
        <w:rPr>
          <w:rFonts w:hint="eastAsia" w:ascii="宋体" w:hAnsi="宋体"/>
          <w:kern w:val="44"/>
        </w:rPr>
        <w:t>本市新闻出版行政部门应当将国家通用语言文字的使用纳入出版物编校质量考评和年度检查的内容，作为评选优秀出版物的条件。</w:t>
      </w:r>
    </w:p>
    <w:p w14:paraId="681A8F7C">
      <w:pPr>
        <w:ind w:firstLine="422"/>
        <w:jc w:val="left"/>
        <w:rPr>
          <w:rFonts w:ascii="宋体" w:hAnsi="宋体"/>
          <w:kern w:val="44"/>
        </w:rPr>
      </w:pPr>
      <w:r>
        <w:rPr>
          <w:rFonts w:hint="eastAsia" w:ascii="宋体" w:hAnsi="宋体"/>
          <w:b/>
          <w:kern w:val="44"/>
        </w:rPr>
        <w:t>第十一条</w:t>
      </w:r>
      <w:r>
        <w:rPr>
          <w:rFonts w:hint="eastAsia" w:ascii="宋体" w:hAnsi="宋体"/>
          <w:kern w:val="44"/>
        </w:rPr>
        <w:t>　在本市从事商业、邮政、电信、网络、文化、餐饮、娱乐、铁路、交通、民航、旅游、银行、保险、医疗以及其他直接面向公众服务的行业的人员，应当以普通话为基本服务用语。</w:t>
      </w:r>
    </w:p>
    <w:p w14:paraId="4F19B644">
      <w:pPr>
        <w:jc w:val="left"/>
        <w:rPr>
          <w:rFonts w:ascii="宋体" w:hAnsi="宋体"/>
          <w:kern w:val="44"/>
        </w:rPr>
      </w:pPr>
      <w:r>
        <w:rPr>
          <w:rFonts w:hint="eastAsia" w:ascii="宋体" w:hAnsi="宋体"/>
          <w:kern w:val="44"/>
        </w:rPr>
        <w:t>公共服务行业的名称牌、指示牌、标志牌、招牌、公文、印章、票据、报表、说明书、电子屏幕、广告、宣传材料等，应当以规范汉字为基本服务用字。</w:t>
      </w:r>
    </w:p>
    <w:p w14:paraId="3ED6B39B">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本市公共场所使用的题词和招牌中的手书字，提倡使用规范汉字。</w:t>
      </w:r>
    </w:p>
    <w:p w14:paraId="5277871C">
      <w:pPr>
        <w:jc w:val="left"/>
        <w:rPr>
          <w:rFonts w:ascii="宋体" w:hAnsi="宋体"/>
          <w:kern w:val="44"/>
        </w:rPr>
      </w:pPr>
      <w:r>
        <w:rPr>
          <w:rFonts w:hint="eastAsia" w:ascii="宋体" w:hAnsi="宋体"/>
          <w:kern w:val="44"/>
        </w:rPr>
        <w:t>本市山川、河流等地名标志，行政区划名称标志，居民地名称以及路名、街名、站名、桥名、建筑物名称标志，名胜古迹、纪念地、游览地标志等公共场所的设施用字应当使用规范汉字。</w:t>
      </w:r>
    </w:p>
    <w:p w14:paraId="532BED8C">
      <w:pPr>
        <w:jc w:val="left"/>
        <w:rPr>
          <w:rFonts w:ascii="宋体" w:hAnsi="宋体"/>
          <w:kern w:val="44"/>
        </w:rPr>
      </w:pPr>
      <w:r>
        <w:rPr>
          <w:rFonts w:hint="eastAsia" w:ascii="宋体" w:hAnsi="宋体"/>
          <w:kern w:val="44"/>
        </w:rPr>
        <w:t>违反第二款规定的，由有关行政部门责令改正；拒不改正的，予以警告，并督促其限期改正。</w:t>
      </w:r>
    </w:p>
    <w:p w14:paraId="12FE42BC">
      <w:pPr>
        <w:ind w:firstLine="422"/>
        <w:jc w:val="left"/>
        <w:rPr>
          <w:rFonts w:ascii="宋体" w:hAnsi="宋体"/>
          <w:kern w:val="44"/>
        </w:rPr>
      </w:pPr>
      <w:r>
        <w:rPr>
          <w:rFonts w:hint="eastAsia" w:ascii="宋体" w:hAnsi="宋体"/>
          <w:b/>
          <w:kern w:val="44"/>
        </w:rPr>
        <w:t>第十三条</w:t>
      </w:r>
      <w:r>
        <w:rPr>
          <w:rFonts w:hint="eastAsia" w:ascii="宋体" w:hAnsi="宋体"/>
          <w:kern w:val="44"/>
        </w:rPr>
        <w:t>　企业名称、商品名称以及广告应当以国家通用语言文字为基本用语用字。违反规定的，由本市工商行政部门依据有关法律、法规进行处理。</w:t>
      </w:r>
    </w:p>
    <w:p w14:paraId="2D4C71D3">
      <w:pPr>
        <w:ind w:firstLine="422"/>
        <w:jc w:val="left"/>
        <w:rPr>
          <w:rFonts w:ascii="宋体" w:hAnsi="宋体"/>
          <w:kern w:val="44"/>
        </w:rPr>
      </w:pPr>
      <w:r>
        <w:rPr>
          <w:rFonts w:hint="eastAsia" w:ascii="宋体" w:hAnsi="宋体"/>
          <w:b/>
          <w:kern w:val="44"/>
        </w:rPr>
        <w:t>第十四条</w:t>
      </w:r>
      <w:r>
        <w:rPr>
          <w:rFonts w:hint="eastAsia" w:ascii="宋体" w:hAnsi="宋体"/>
          <w:kern w:val="44"/>
        </w:rPr>
        <w:t>　在本市销售的商品的包装、标志、说明等应当以规范汉字为基本用字；信息处理和信息技术产品中使用的国家通用语言文字应当符合国家的规范和标准。违反规定的，由本市质量技术监督行政部门依据有关法律、法规进行处理。</w:t>
      </w:r>
    </w:p>
    <w:p w14:paraId="1D189BCF">
      <w:pPr>
        <w:ind w:firstLine="422"/>
        <w:jc w:val="left"/>
        <w:rPr>
          <w:rFonts w:ascii="宋体" w:hAnsi="宋体"/>
          <w:kern w:val="44"/>
        </w:rPr>
      </w:pPr>
      <w:r>
        <w:rPr>
          <w:rFonts w:hint="eastAsia" w:ascii="宋体" w:hAnsi="宋体"/>
          <w:b/>
          <w:kern w:val="44"/>
        </w:rPr>
        <w:t>第十五条</w:t>
      </w:r>
      <w:r>
        <w:rPr>
          <w:rFonts w:hint="eastAsia" w:ascii="宋体" w:hAnsi="宋体"/>
          <w:kern w:val="44"/>
        </w:rPr>
        <w:t>　以普通话作为工作语言的岗位，其工作人员应当在工作中坚持使用普通话。违反规定的，由所在单位对其进行批评教育，责令改正。</w:t>
      </w:r>
    </w:p>
    <w:p w14:paraId="137A87EF">
      <w:pPr>
        <w:ind w:firstLine="422"/>
        <w:jc w:val="left"/>
        <w:rPr>
          <w:rFonts w:ascii="宋体" w:hAnsi="宋体"/>
          <w:kern w:val="44"/>
        </w:rPr>
      </w:pPr>
      <w:r>
        <w:rPr>
          <w:rFonts w:hint="eastAsia" w:ascii="宋体" w:hAnsi="宋体"/>
          <w:b/>
          <w:kern w:val="44"/>
        </w:rPr>
        <w:t>第十六条</w:t>
      </w:r>
      <w:r>
        <w:rPr>
          <w:rFonts w:hint="eastAsia" w:ascii="宋体" w:hAnsi="宋体"/>
          <w:kern w:val="44"/>
        </w:rPr>
        <w:t>　违反本规定第六条、第七条第一款和第二款、第八条、第九条、第十条第一款和第二款、第十一条规定的，由市和区、县语言文字工作部门或者有关单位对直接责任人员进行批评教育，责令改正。</w:t>
      </w:r>
    </w:p>
    <w:p w14:paraId="50EEE862">
      <w:pPr>
        <w:ind w:firstLine="422"/>
        <w:jc w:val="left"/>
        <w:rPr>
          <w:rFonts w:ascii="宋体" w:hAnsi="宋体"/>
          <w:kern w:val="44"/>
        </w:rPr>
      </w:pPr>
      <w:r>
        <w:rPr>
          <w:rFonts w:hint="eastAsia" w:ascii="宋体" w:hAnsi="宋体"/>
          <w:b/>
          <w:kern w:val="44"/>
        </w:rPr>
        <w:t>第十七条</w:t>
      </w:r>
      <w:r>
        <w:rPr>
          <w:rFonts w:hint="eastAsia" w:ascii="宋体" w:hAnsi="宋体"/>
          <w:kern w:val="44"/>
        </w:rPr>
        <w:t>　语言文字工作部门和其他有关部门及其工作人员应当依法履行职责；滥用职权或者不履行法定职责的，由所在单位或者上级主管部门对直接负责的主管人员和其他直接责任人员依法给予行政处分。</w:t>
      </w:r>
    </w:p>
    <w:p w14:paraId="143FF10B">
      <w:pPr>
        <w:ind w:firstLine="422"/>
        <w:jc w:val="left"/>
        <w:rPr>
          <w:rFonts w:ascii="宋体" w:hAnsi="宋体"/>
          <w:kern w:val="44"/>
        </w:rPr>
      </w:pPr>
      <w:r>
        <w:rPr>
          <w:rFonts w:hint="eastAsia" w:ascii="宋体" w:hAnsi="宋体"/>
          <w:b/>
          <w:kern w:val="44"/>
        </w:rPr>
        <w:t>第十八条</w:t>
      </w:r>
      <w:r>
        <w:rPr>
          <w:rFonts w:hint="eastAsia" w:ascii="宋体" w:hAnsi="宋体"/>
          <w:kern w:val="44"/>
        </w:rPr>
        <w:t>　本规定自2003年8月1日起施行。</w:t>
      </w:r>
    </w:p>
    <w:p w14:paraId="1A414054">
      <w:pPr>
        <w:pStyle w:val="4"/>
        <w:pageBreakBefore/>
        <w:rPr>
          <w:kern w:val="44"/>
        </w:rPr>
      </w:pPr>
      <w:bookmarkStart w:id="1489" w:name="_Toc422471389"/>
      <w:bookmarkStart w:id="1490" w:name="_Toc427651991"/>
      <w:bookmarkStart w:id="1491" w:name="_Toc428781697"/>
      <w:bookmarkStart w:id="1492" w:name="_Toc428780215"/>
      <w:bookmarkStart w:id="1493" w:name="_Toc427651649"/>
      <w:r>
        <w:rPr>
          <w:rFonts w:hint="eastAsia"/>
          <w:kern w:val="44"/>
        </w:rPr>
        <w:t>北京市实施《中华人民共和国</w:t>
      </w:r>
      <w:bookmarkEnd w:id="1489"/>
      <w:bookmarkStart w:id="1494" w:name="_Toc422471390"/>
      <w:r>
        <w:rPr>
          <w:rFonts w:hint="eastAsia"/>
          <w:kern w:val="44"/>
        </w:rPr>
        <w:t>民办教育促进法》办法</w:t>
      </w:r>
      <w:bookmarkEnd w:id="1490"/>
      <w:bookmarkEnd w:id="1491"/>
      <w:bookmarkEnd w:id="1492"/>
      <w:bookmarkEnd w:id="1493"/>
      <w:bookmarkEnd w:id="1494"/>
    </w:p>
    <w:p w14:paraId="5B934A23">
      <w:pPr>
        <w:ind w:left="630" w:leftChars="300" w:right="630" w:rightChars="300"/>
        <w:jc w:val="left"/>
        <w:rPr>
          <w:rFonts w:ascii="楷体" w:hAnsi="楷体" w:eastAsia="楷体"/>
          <w:kern w:val="44"/>
        </w:rPr>
      </w:pPr>
      <w:r>
        <w:rPr>
          <w:rFonts w:hint="eastAsia" w:ascii="楷体" w:hAnsi="楷体" w:eastAsia="楷体"/>
          <w:kern w:val="44"/>
        </w:rPr>
        <w:t>（2006年11月3日北京市第十二届人民代表大会常务委员会第三十二次会议通过 ）</w:t>
      </w:r>
    </w:p>
    <w:p w14:paraId="2CF798FF">
      <w:pPr>
        <w:jc w:val="left"/>
        <w:rPr>
          <w:rFonts w:ascii="宋体" w:hAnsi="宋体"/>
          <w:kern w:val="44"/>
        </w:rPr>
      </w:pPr>
    </w:p>
    <w:p w14:paraId="4CD42627">
      <w:pPr>
        <w:ind w:firstLine="422"/>
        <w:jc w:val="left"/>
        <w:rPr>
          <w:rFonts w:ascii="宋体" w:hAnsi="宋体"/>
          <w:kern w:val="44"/>
        </w:rPr>
      </w:pPr>
      <w:r>
        <w:rPr>
          <w:rFonts w:hint="eastAsia" w:ascii="宋体" w:hAnsi="宋体"/>
          <w:b/>
          <w:kern w:val="44"/>
        </w:rPr>
        <w:t>第一条</w:t>
      </w:r>
      <w:r>
        <w:rPr>
          <w:rFonts w:hint="eastAsia" w:ascii="宋体" w:hAnsi="宋体"/>
          <w:kern w:val="44"/>
        </w:rPr>
        <w:t>　为了促进本市民办教育事业健康和可持续发展，根据《中华人民共和国民办教育促进法》以及有关法律、法规的规定，结合本市实际情况，制定本办法。</w:t>
      </w:r>
    </w:p>
    <w:p w14:paraId="4019AA3A">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本市行政区域内国家机构以外的社会组织或者个人，利用非国家财政性经费，面向社会举办学校及其他教育机构（以下统称民办学校）的活动，适用本办法。</w:t>
      </w:r>
    </w:p>
    <w:p w14:paraId="4FCD10C5">
      <w:pPr>
        <w:ind w:firstLine="422"/>
        <w:jc w:val="left"/>
        <w:rPr>
          <w:rFonts w:ascii="宋体" w:hAnsi="宋体"/>
          <w:kern w:val="44"/>
        </w:rPr>
      </w:pPr>
      <w:r>
        <w:rPr>
          <w:rFonts w:hint="eastAsia" w:ascii="宋体" w:hAnsi="宋体"/>
          <w:b/>
          <w:kern w:val="44"/>
        </w:rPr>
        <w:t>第三条</w:t>
      </w:r>
      <w:r>
        <w:rPr>
          <w:rFonts w:hint="eastAsia" w:ascii="宋体" w:hAnsi="宋体"/>
          <w:kern w:val="44"/>
        </w:rPr>
        <w:t>　民办教育事业属于公益性事业，是首都社会主义教育事业的组成部分。市和区、县人民政府应当鼓励、支持、引导民办教育事业健康发展。</w:t>
      </w:r>
    </w:p>
    <w:p w14:paraId="294BC710">
      <w:pPr>
        <w:ind w:firstLine="422"/>
        <w:jc w:val="left"/>
        <w:rPr>
          <w:rFonts w:ascii="宋体" w:hAnsi="宋体"/>
          <w:kern w:val="44"/>
        </w:rPr>
      </w:pPr>
      <w:r>
        <w:rPr>
          <w:rFonts w:hint="eastAsia" w:ascii="宋体" w:hAnsi="宋体"/>
          <w:b/>
          <w:kern w:val="44"/>
        </w:rPr>
        <w:t>第四条</w:t>
      </w:r>
      <w:r>
        <w:rPr>
          <w:rFonts w:hint="eastAsia" w:ascii="宋体" w:hAnsi="宋体"/>
          <w:kern w:val="44"/>
        </w:rPr>
        <w:t>　本市民办教育事业应当坚持适应需求、适度规模、优化结构、提高质量的原则，增强对本市经济社会发展的服务贡献能力。</w:t>
      </w:r>
    </w:p>
    <w:p w14:paraId="3690F04B">
      <w:pPr>
        <w:jc w:val="left"/>
        <w:rPr>
          <w:rFonts w:ascii="宋体" w:hAnsi="宋体"/>
          <w:kern w:val="44"/>
        </w:rPr>
      </w:pPr>
      <w:r>
        <w:rPr>
          <w:rFonts w:hint="eastAsia" w:ascii="宋体" w:hAnsi="宋体"/>
          <w:kern w:val="44"/>
        </w:rPr>
        <w:t>本市推进办学体制改革，逐步形成以政府办学为主、公办教育与民办教育共同发展的格局。</w:t>
      </w:r>
    </w:p>
    <w:p w14:paraId="1065ED24">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市和区、县人民政府应当将民办教育事业纳入国民经济和社会发展规划，并列入教育发展专项规划。</w:t>
      </w:r>
    </w:p>
    <w:p w14:paraId="3DCFDDAB">
      <w:pPr>
        <w:ind w:firstLine="422"/>
        <w:jc w:val="left"/>
        <w:rPr>
          <w:rFonts w:ascii="宋体" w:hAnsi="宋体"/>
          <w:kern w:val="44"/>
        </w:rPr>
      </w:pPr>
      <w:r>
        <w:rPr>
          <w:rFonts w:hint="eastAsia" w:ascii="宋体" w:hAnsi="宋体"/>
          <w:b/>
          <w:kern w:val="44"/>
        </w:rPr>
        <w:t>第六条</w:t>
      </w:r>
      <w:r>
        <w:rPr>
          <w:rFonts w:hint="eastAsia" w:ascii="宋体" w:hAnsi="宋体"/>
          <w:kern w:val="44"/>
        </w:rPr>
        <w:t>　本市鼓励社会组织和个人依法以多种形式举办符合本市经济社会发展需要和人民群众日益增长的教育需求的民办教育，提供多样化的服务。</w:t>
      </w:r>
    </w:p>
    <w:p w14:paraId="1F681860">
      <w:pPr>
        <w:jc w:val="left"/>
        <w:rPr>
          <w:rFonts w:ascii="宋体" w:hAnsi="宋体"/>
          <w:kern w:val="44"/>
        </w:rPr>
      </w:pPr>
      <w:r>
        <w:rPr>
          <w:rFonts w:hint="eastAsia" w:ascii="宋体" w:hAnsi="宋体"/>
          <w:kern w:val="44"/>
        </w:rPr>
        <w:t>本市对符合经济社会发展需要、办学质量高、信誉好、有发展潜力的民办学校，给予资助或者其他政策扶持。资助和扶持的具体办法，由市教育、劳动和社会保障行政部门会同有关部门共同制定。</w:t>
      </w:r>
    </w:p>
    <w:p w14:paraId="0DF88F84">
      <w:pPr>
        <w:ind w:firstLine="422"/>
        <w:jc w:val="left"/>
        <w:rPr>
          <w:rFonts w:ascii="宋体" w:hAnsi="宋体"/>
          <w:kern w:val="44"/>
        </w:rPr>
      </w:pPr>
      <w:r>
        <w:rPr>
          <w:rFonts w:hint="eastAsia" w:ascii="宋体" w:hAnsi="宋体"/>
          <w:b/>
          <w:kern w:val="44"/>
        </w:rPr>
        <w:t>第七条</w:t>
      </w:r>
      <w:r>
        <w:rPr>
          <w:rFonts w:hint="eastAsia" w:ascii="宋体" w:hAnsi="宋体"/>
          <w:kern w:val="44"/>
        </w:rPr>
        <w:t>　市和区、县人民政府应当设立民办教育发展专项资金。资金的管理、使用办法，由市财政部门会同市教育、劳动和社会保障等行政部门共同制定。</w:t>
      </w:r>
    </w:p>
    <w:p w14:paraId="617DBDBB">
      <w:pPr>
        <w:ind w:firstLine="422"/>
        <w:jc w:val="left"/>
        <w:rPr>
          <w:rFonts w:ascii="宋体" w:hAnsi="宋体"/>
          <w:kern w:val="44"/>
        </w:rPr>
      </w:pPr>
      <w:r>
        <w:rPr>
          <w:rFonts w:hint="eastAsia" w:ascii="宋体" w:hAnsi="宋体"/>
          <w:b/>
          <w:kern w:val="44"/>
        </w:rPr>
        <w:t>第八条</w:t>
      </w:r>
      <w:r>
        <w:rPr>
          <w:rFonts w:hint="eastAsia" w:ascii="宋体" w:hAnsi="宋体"/>
          <w:kern w:val="44"/>
        </w:rPr>
        <w:t>　本市建立对民办学校的奖励制度，对捐资举办民办学校表现突出或者为发展本市民办教育事业做出其他突出贡献的组织或者个人，给予表彰和奖励。</w:t>
      </w:r>
    </w:p>
    <w:p w14:paraId="4CF8CC84">
      <w:pPr>
        <w:ind w:firstLine="422"/>
        <w:jc w:val="left"/>
        <w:rPr>
          <w:rFonts w:ascii="宋体" w:hAnsi="宋体"/>
          <w:kern w:val="44"/>
        </w:rPr>
      </w:pPr>
      <w:r>
        <w:rPr>
          <w:rFonts w:hint="eastAsia" w:ascii="宋体" w:hAnsi="宋体"/>
          <w:b/>
          <w:kern w:val="44"/>
        </w:rPr>
        <w:t>第九条</w:t>
      </w:r>
      <w:r>
        <w:rPr>
          <w:rFonts w:hint="eastAsia" w:ascii="宋体" w:hAnsi="宋体"/>
          <w:kern w:val="44"/>
        </w:rPr>
        <w:t>　民办学校应当贯彻国家的教育方针，实施素质教育，保证教育质量，培养符合本市经济社会发展需要的各类人才。</w:t>
      </w:r>
    </w:p>
    <w:p w14:paraId="2B14D231">
      <w:pPr>
        <w:ind w:firstLine="422"/>
        <w:jc w:val="left"/>
        <w:rPr>
          <w:rFonts w:ascii="宋体" w:hAnsi="宋体"/>
          <w:kern w:val="44"/>
        </w:rPr>
      </w:pPr>
      <w:r>
        <w:rPr>
          <w:rFonts w:hint="eastAsia" w:ascii="宋体" w:hAnsi="宋体"/>
          <w:b/>
          <w:kern w:val="44"/>
        </w:rPr>
        <w:t>第十条</w:t>
      </w:r>
      <w:r>
        <w:rPr>
          <w:rFonts w:hint="eastAsia" w:ascii="宋体" w:hAnsi="宋体"/>
          <w:kern w:val="44"/>
        </w:rPr>
        <w:t>　民办学校与公办学校以及民办学校的教师、受教育者与公办学校的教师、受教育者具有同等的法律地位。民办学校教职工在业务培训、职务聘任、教龄和工龄计算、表彰奖励、社会活动等方面依法享有与公办学校教职工同等权利。民办学校的受教育者在升学、就业、社会优待、参加先进评选、医疗保险等方面，享有与同级同类公办学校的受教育者同等权利。</w:t>
      </w:r>
    </w:p>
    <w:p w14:paraId="1B9FA126">
      <w:pPr>
        <w:jc w:val="left"/>
        <w:rPr>
          <w:rFonts w:ascii="宋体" w:hAnsi="宋体"/>
          <w:kern w:val="44"/>
        </w:rPr>
      </w:pPr>
      <w:r>
        <w:rPr>
          <w:rFonts w:hint="eastAsia" w:ascii="宋体" w:hAnsi="宋体"/>
          <w:kern w:val="44"/>
        </w:rPr>
        <w:t>市和区、县人民政府及其相关部门应当依法保障民办学校的办学自主权，保障民办学校举办者、校长、教职工和受教育者的合法权益。</w:t>
      </w:r>
    </w:p>
    <w:p w14:paraId="798D50E4">
      <w:pPr>
        <w:ind w:firstLine="422"/>
        <w:jc w:val="left"/>
        <w:rPr>
          <w:rFonts w:ascii="宋体" w:hAnsi="宋体"/>
          <w:kern w:val="44"/>
        </w:rPr>
      </w:pPr>
      <w:r>
        <w:rPr>
          <w:rFonts w:hint="eastAsia" w:ascii="宋体" w:hAnsi="宋体"/>
          <w:b/>
          <w:kern w:val="44"/>
        </w:rPr>
        <w:t>第十一条</w:t>
      </w:r>
      <w:r>
        <w:rPr>
          <w:rFonts w:hint="eastAsia" w:ascii="宋体" w:hAnsi="宋体"/>
          <w:kern w:val="44"/>
        </w:rPr>
        <w:t>　市教育行政部门负责全市民办教育工作的统筹规划、综合协调和宏观管理；市和区、县教育行政部门按照各自职责负责民办教育工作。</w:t>
      </w:r>
    </w:p>
    <w:p w14:paraId="3829402E">
      <w:pPr>
        <w:jc w:val="left"/>
        <w:rPr>
          <w:rFonts w:ascii="宋体" w:hAnsi="宋体"/>
          <w:kern w:val="44"/>
        </w:rPr>
      </w:pPr>
      <w:r>
        <w:rPr>
          <w:rFonts w:hint="eastAsia" w:ascii="宋体" w:hAnsi="宋体"/>
          <w:kern w:val="44"/>
        </w:rPr>
        <w:t>劳动和社会保障行政部门和其他有关部门在各自的职责范围内，分别负责有关的民办教育工作。</w:t>
      </w:r>
    </w:p>
    <w:p w14:paraId="2D45CFB1">
      <w:pPr>
        <w:ind w:firstLine="422"/>
        <w:jc w:val="left"/>
        <w:rPr>
          <w:rFonts w:ascii="宋体" w:hAnsi="宋体"/>
          <w:kern w:val="44"/>
        </w:rPr>
      </w:pPr>
      <w:r>
        <w:rPr>
          <w:rFonts w:hint="eastAsia" w:ascii="宋体" w:hAnsi="宋体"/>
          <w:b/>
          <w:kern w:val="44"/>
        </w:rPr>
        <w:t>第十二条</w:t>
      </w:r>
      <w:r>
        <w:rPr>
          <w:rFonts w:hint="eastAsia" w:ascii="宋体" w:hAnsi="宋体"/>
          <w:kern w:val="44"/>
        </w:rPr>
        <w:t>　设立民办学校应当符合市和区、县经济社会发展以及教育发展的需求。</w:t>
      </w:r>
    </w:p>
    <w:p w14:paraId="2A2D0FAE">
      <w:pPr>
        <w:jc w:val="left"/>
        <w:rPr>
          <w:rFonts w:ascii="宋体" w:hAnsi="宋体"/>
          <w:kern w:val="44"/>
        </w:rPr>
      </w:pPr>
      <w:r>
        <w:rPr>
          <w:rFonts w:hint="eastAsia" w:ascii="宋体" w:hAnsi="宋体"/>
          <w:kern w:val="44"/>
        </w:rPr>
        <w:t>民办学校的设置标准参照同级同类公办学校的设置标准执行，没有标准的，按照国家和本市的有关规定执行。</w:t>
      </w:r>
    </w:p>
    <w:p w14:paraId="292F6D93">
      <w:pPr>
        <w:ind w:firstLine="422"/>
        <w:jc w:val="left"/>
        <w:rPr>
          <w:rFonts w:ascii="宋体" w:hAnsi="宋体"/>
          <w:kern w:val="44"/>
        </w:rPr>
      </w:pPr>
      <w:r>
        <w:rPr>
          <w:rFonts w:hint="eastAsia" w:ascii="宋体" w:hAnsi="宋体"/>
          <w:b/>
          <w:kern w:val="44"/>
        </w:rPr>
        <w:t>第十三条</w:t>
      </w:r>
      <w:r>
        <w:rPr>
          <w:rFonts w:hint="eastAsia" w:ascii="宋体" w:hAnsi="宋体"/>
          <w:kern w:val="44"/>
        </w:rPr>
        <w:t>　设立民办学校按照以下权限审批：</w:t>
      </w:r>
    </w:p>
    <w:p w14:paraId="306D08EB">
      <w:pPr>
        <w:jc w:val="left"/>
        <w:rPr>
          <w:rFonts w:ascii="宋体" w:hAnsi="宋体"/>
          <w:kern w:val="44"/>
        </w:rPr>
      </w:pPr>
      <w:r>
        <w:rPr>
          <w:rFonts w:hint="eastAsia" w:ascii="宋体" w:hAnsi="宋体"/>
          <w:kern w:val="44"/>
        </w:rPr>
        <w:t>（一）设立实施本科以上高等学历教育的民办学校，按照有关规定报国务院教育行政部门审批；</w:t>
      </w:r>
    </w:p>
    <w:p w14:paraId="243F0799">
      <w:pPr>
        <w:jc w:val="left"/>
        <w:rPr>
          <w:rFonts w:ascii="宋体" w:hAnsi="宋体"/>
          <w:kern w:val="44"/>
        </w:rPr>
      </w:pPr>
      <w:r>
        <w:rPr>
          <w:rFonts w:hint="eastAsia" w:ascii="宋体" w:hAnsi="宋体"/>
          <w:kern w:val="44"/>
        </w:rPr>
        <w:t>（二）设立实施专科教育的民办高等职业学校，由市人民政府审批，报国务院教育行政部门备案；</w:t>
      </w:r>
    </w:p>
    <w:p w14:paraId="64BF16A6">
      <w:pPr>
        <w:jc w:val="left"/>
        <w:rPr>
          <w:rFonts w:ascii="宋体" w:hAnsi="宋体"/>
          <w:kern w:val="44"/>
        </w:rPr>
      </w:pPr>
      <w:r>
        <w:rPr>
          <w:rFonts w:hint="eastAsia" w:ascii="宋体" w:hAnsi="宋体"/>
          <w:kern w:val="44"/>
        </w:rPr>
        <w:t>（三）设立实施中等及中等以下学历教育、学前教育以及其他文化教育的民办学校，由区、县教育行政部门审批，报市教育行政部门备案；</w:t>
      </w:r>
    </w:p>
    <w:p w14:paraId="434036F6">
      <w:pPr>
        <w:jc w:val="left"/>
        <w:rPr>
          <w:rFonts w:ascii="宋体" w:hAnsi="宋体"/>
          <w:kern w:val="44"/>
        </w:rPr>
      </w:pPr>
      <w:r>
        <w:rPr>
          <w:rFonts w:hint="eastAsia" w:ascii="宋体" w:hAnsi="宋体"/>
          <w:kern w:val="44"/>
        </w:rPr>
        <w:t>（四）设立实施以职业技能为主的职业资格培训、职业技能培训的民办学校，由市和区、县劳动和社会保障行政部门按照各自职责审批，抄送同级教育行政部门备案；设立民办技工学校，由市劳动和社会保障行政部门审批；</w:t>
      </w:r>
    </w:p>
    <w:p w14:paraId="5FBAF600">
      <w:pPr>
        <w:jc w:val="left"/>
        <w:rPr>
          <w:rFonts w:ascii="宋体" w:hAnsi="宋体"/>
          <w:kern w:val="44"/>
        </w:rPr>
      </w:pPr>
      <w:r>
        <w:rPr>
          <w:rFonts w:hint="eastAsia" w:ascii="宋体" w:hAnsi="宋体"/>
          <w:kern w:val="44"/>
        </w:rPr>
        <w:t>（五）法律、法规另有规定的，按照相关规定执行。</w:t>
      </w:r>
    </w:p>
    <w:p w14:paraId="026AA40A">
      <w:pPr>
        <w:ind w:firstLine="422"/>
        <w:jc w:val="left"/>
        <w:rPr>
          <w:rFonts w:ascii="宋体" w:hAnsi="宋体"/>
          <w:kern w:val="44"/>
        </w:rPr>
      </w:pPr>
      <w:r>
        <w:rPr>
          <w:rFonts w:hint="eastAsia" w:ascii="宋体" w:hAnsi="宋体"/>
          <w:b/>
          <w:kern w:val="44"/>
        </w:rPr>
        <w:t>第十四条</w:t>
      </w:r>
      <w:r>
        <w:rPr>
          <w:rFonts w:hint="eastAsia" w:ascii="宋体" w:hAnsi="宋体"/>
          <w:kern w:val="44"/>
        </w:rPr>
        <w:t>　民办学校的设立包括筹备设立和正式设立。民办学校在筹备设立期内不得招生。</w:t>
      </w:r>
    </w:p>
    <w:p w14:paraId="51338FC9">
      <w:pPr>
        <w:ind w:firstLine="422"/>
        <w:jc w:val="left"/>
        <w:rPr>
          <w:rFonts w:ascii="宋体" w:hAnsi="宋体"/>
          <w:kern w:val="44"/>
        </w:rPr>
      </w:pPr>
      <w:r>
        <w:rPr>
          <w:rFonts w:hint="eastAsia" w:ascii="宋体" w:hAnsi="宋体"/>
          <w:b/>
          <w:kern w:val="44"/>
        </w:rPr>
        <w:t>第十五条</w:t>
      </w:r>
      <w:r>
        <w:rPr>
          <w:rFonts w:hint="eastAsia" w:ascii="宋体" w:hAnsi="宋体"/>
          <w:kern w:val="44"/>
        </w:rPr>
        <w:t>　民办学校的举办者可以用资金、实物、土地使用权、知识产权以及其他财产作为办学出资。</w:t>
      </w:r>
    </w:p>
    <w:p w14:paraId="6C8F6DA9">
      <w:pPr>
        <w:jc w:val="left"/>
        <w:rPr>
          <w:rFonts w:ascii="宋体" w:hAnsi="宋体"/>
          <w:kern w:val="44"/>
        </w:rPr>
      </w:pPr>
      <w:r>
        <w:rPr>
          <w:rFonts w:hint="eastAsia" w:ascii="宋体" w:hAnsi="宋体"/>
          <w:kern w:val="44"/>
        </w:rPr>
        <w:t>举办民办学校应当具备与办学类别、规模、层次相适应的办学资金。</w:t>
      </w:r>
    </w:p>
    <w:p w14:paraId="7B47DC47">
      <w:pPr>
        <w:jc w:val="left"/>
        <w:rPr>
          <w:rFonts w:ascii="宋体" w:hAnsi="宋体"/>
          <w:kern w:val="44"/>
        </w:rPr>
      </w:pPr>
      <w:r>
        <w:rPr>
          <w:rFonts w:hint="eastAsia" w:ascii="宋体" w:hAnsi="宋体"/>
          <w:kern w:val="44"/>
        </w:rPr>
        <w:t>举办者的出资应当委托具有资质的验资机构进行验资，并出具验资报告。其中以货币资金以外的方式出资的，举办者还应当委托具有评估资质的机构进行评估。</w:t>
      </w:r>
    </w:p>
    <w:p w14:paraId="2EDC1E2C">
      <w:pPr>
        <w:ind w:firstLine="422"/>
        <w:jc w:val="left"/>
        <w:rPr>
          <w:rFonts w:ascii="宋体" w:hAnsi="宋体"/>
          <w:kern w:val="44"/>
        </w:rPr>
      </w:pPr>
      <w:r>
        <w:rPr>
          <w:rFonts w:hint="eastAsia" w:ascii="宋体" w:hAnsi="宋体"/>
          <w:b/>
          <w:kern w:val="44"/>
        </w:rPr>
        <w:t>第十六条</w:t>
      </w:r>
      <w:r>
        <w:rPr>
          <w:rFonts w:hint="eastAsia" w:ascii="宋体" w:hAnsi="宋体"/>
          <w:kern w:val="44"/>
        </w:rPr>
        <w:t>　民办学校的名称应当符合有关法律、行政法规的规定，并依法进行核准、登记。在本市行政区域内不得与已登记的其他学校的名称相同或者相近，使用的外文名称应当与准登记的中文名称涵义一致。</w:t>
      </w:r>
    </w:p>
    <w:p w14:paraId="19EB39DC">
      <w:pPr>
        <w:ind w:firstLine="422"/>
        <w:jc w:val="left"/>
        <w:rPr>
          <w:rFonts w:ascii="宋体" w:hAnsi="宋体"/>
          <w:kern w:val="44"/>
        </w:rPr>
      </w:pPr>
      <w:r>
        <w:rPr>
          <w:rFonts w:hint="eastAsia" w:ascii="宋体" w:hAnsi="宋体"/>
          <w:b/>
          <w:kern w:val="44"/>
        </w:rPr>
        <w:t>第十七条</w:t>
      </w:r>
      <w:r>
        <w:rPr>
          <w:rFonts w:hint="eastAsia" w:ascii="宋体" w:hAnsi="宋体"/>
          <w:kern w:val="44"/>
        </w:rPr>
        <w:t>　民办学校发布招生简章和广告应当符合法律、法规的规定，并报审批机关备案。</w:t>
      </w:r>
    </w:p>
    <w:p w14:paraId="52C65F0B">
      <w:pPr>
        <w:jc w:val="left"/>
        <w:rPr>
          <w:rFonts w:ascii="宋体" w:hAnsi="宋体"/>
          <w:kern w:val="44"/>
        </w:rPr>
      </w:pPr>
      <w:r>
        <w:rPr>
          <w:rFonts w:hint="eastAsia" w:ascii="宋体" w:hAnsi="宋体"/>
          <w:kern w:val="44"/>
        </w:rPr>
        <w:t>招生简章和广告应当真实、准确。招生简章和广告的内容应当与向审批机关备案的材料一致。民办学校组织的教育教学活动，应当与招生简章和广告的承诺一致。民办学校发布虚假招生简章或者广告，骗取钱财的，由审批机关依照《中华人民共和国民办教育促进法》第六十二条予以处罚。</w:t>
      </w:r>
    </w:p>
    <w:p w14:paraId="04A08068">
      <w:pPr>
        <w:ind w:firstLine="422"/>
        <w:jc w:val="left"/>
        <w:rPr>
          <w:rFonts w:ascii="宋体" w:hAnsi="宋体"/>
          <w:kern w:val="44"/>
        </w:rPr>
      </w:pPr>
      <w:r>
        <w:rPr>
          <w:rFonts w:hint="eastAsia" w:ascii="宋体" w:hAnsi="宋体"/>
          <w:b/>
          <w:kern w:val="44"/>
        </w:rPr>
        <w:t>第十八条</w:t>
      </w:r>
      <w:r>
        <w:rPr>
          <w:rFonts w:hint="eastAsia" w:ascii="宋体" w:hAnsi="宋体"/>
          <w:kern w:val="44"/>
        </w:rPr>
        <w:t>　民办学校应当设立学校理事会、董事会或者其他形式的决策机构，决策机构应当依法履行职责。民办学校应当建立健全内部管理、教职工民主参与、争议调解等制度。</w:t>
      </w:r>
    </w:p>
    <w:p w14:paraId="1B9B73F3">
      <w:pPr>
        <w:ind w:firstLine="422"/>
        <w:jc w:val="left"/>
        <w:rPr>
          <w:rFonts w:ascii="宋体" w:hAnsi="宋体"/>
          <w:kern w:val="44"/>
        </w:rPr>
      </w:pPr>
      <w:r>
        <w:rPr>
          <w:rFonts w:hint="eastAsia" w:ascii="宋体" w:hAnsi="宋体"/>
          <w:b/>
          <w:kern w:val="44"/>
        </w:rPr>
        <w:t>第十九条</w:t>
      </w:r>
      <w:r>
        <w:rPr>
          <w:rFonts w:hint="eastAsia" w:ascii="宋体" w:hAnsi="宋体"/>
          <w:kern w:val="44"/>
        </w:rPr>
        <w:t>　民办学校应当建立教学培养方案、教学运行管理、教学质量监控等教学管理制度，保证教学质量。鼓励民办学校进行教育教学改革，开展课程和教材的实践探索。</w:t>
      </w:r>
    </w:p>
    <w:p w14:paraId="45749ADE">
      <w:pPr>
        <w:ind w:firstLine="422"/>
        <w:jc w:val="left"/>
        <w:rPr>
          <w:rFonts w:ascii="宋体" w:hAnsi="宋体"/>
          <w:kern w:val="44"/>
        </w:rPr>
      </w:pPr>
      <w:r>
        <w:rPr>
          <w:rFonts w:hint="eastAsia" w:ascii="宋体" w:hAnsi="宋体"/>
          <w:b/>
          <w:kern w:val="44"/>
        </w:rPr>
        <w:t>第二十条</w:t>
      </w:r>
      <w:r>
        <w:rPr>
          <w:rFonts w:hint="eastAsia" w:ascii="宋体" w:hAnsi="宋体"/>
          <w:kern w:val="44"/>
        </w:rPr>
        <w:t>　实施学历教育的民办学校应当建立学籍管理制度，并报审批机关备案；实施非学历教育的民办学校应当建立学生注册登记制度，建立学业成绩档案。</w:t>
      </w:r>
    </w:p>
    <w:p w14:paraId="3865B4F4">
      <w:pPr>
        <w:ind w:firstLine="422"/>
        <w:jc w:val="left"/>
        <w:rPr>
          <w:rFonts w:ascii="宋体" w:hAnsi="宋体"/>
          <w:kern w:val="44"/>
        </w:rPr>
      </w:pPr>
      <w:r>
        <w:rPr>
          <w:rFonts w:hint="eastAsia" w:ascii="宋体" w:hAnsi="宋体"/>
          <w:b/>
          <w:kern w:val="44"/>
        </w:rPr>
        <w:t>第二十一条</w:t>
      </w:r>
      <w:r>
        <w:rPr>
          <w:rFonts w:hint="eastAsia" w:ascii="宋体" w:hAnsi="宋体"/>
          <w:kern w:val="44"/>
        </w:rPr>
        <w:t>　民办学校应当建立安全管理制度，履行相应的安全管理责任，做好校内安全管理工作。</w:t>
      </w:r>
    </w:p>
    <w:p w14:paraId="75BA9B1E">
      <w:pPr>
        <w:ind w:firstLine="422"/>
        <w:jc w:val="left"/>
        <w:rPr>
          <w:rFonts w:ascii="宋体" w:hAnsi="宋体"/>
          <w:kern w:val="44"/>
        </w:rPr>
      </w:pPr>
      <w:r>
        <w:rPr>
          <w:rFonts w:hint="eastAsia" w:ascii="宋体" w:hAnsi="宋体"/>
          <w:b/>
          <w:kern w:val="44"/>
        </w:rPr>
        <w:t>第二十二条</w:t>
      </w:r>
      <w:r>
        <w:rPr>
          <w:rFonts w:hint="eastAsia" w:ascii="宋体" w:hAnsi="宋体"/>
          <w:kern w:val="44"/>
        </w:rPr>
        <w:t>　民办学校应当依法建立财务、会计制度和资产管理制度，并按照国家有关规定设置会计账簿，依照《中华人民共和国会计法》和国家统一的会计制度进行会计核算，编制财务会计报告，委托社会审计机构依法进行审计，公布审计结果，并报审批机关备案。</w:t>
      </w:r>
    </w:p>
    <w:p w14:paraId="7AC8F0A6">
      <w:pPr>
        <w:ind w:firstLine="422"/>
        <w:jc w:val="left"/>
        <w:rPr>
          <w:rFonts w:ascii="宋体" w:hAnsi="宋体"/>
          <w:kern w:val="44"/>
        </w:rPr>
      </w:pPr>
      <w:r>
        <w:rPr>
          <w:rFonts w:hint="eastAsia" w:ascii="宋体" w:hAnsi="宋体"/>
          <w:b/>
          <w:kern w:val="44"/>
        </w:rPr>
        <w:t>第二十三条</w:t>
      </w:r>
      <w:r>
        <w:rPr>
          <w:rFonts w:hint="eastAsia" w:ascii="宋体" w:hAnsi="宋体"/>
          <w:kern w:val="44"/>
        </w:rPr>
        <w:t>　具有民办非企业法人资格的民办学校应当与其聘任的教师、职员以及其他工作人员签订劳动合同；聘用兼职教师、职员以及其他工作人员的，签订聘用协议。</w:t>
      </w:r>
    </w:p>
    <w:p w14:paraId="1283DD52">
      <w:pPr>
        <w:jc w:val="left"/>
        <w:rPr>
          <w:rFonts w:ascii="宋体" w:hAnsi="宋体"/>
          <w:kern w:val="44"/>
        </w:rPr>
      </w:pPr>
      <w:r>
        <w:rPr>
          <w:rFonts w:hint="eastAsia" w:ascii="宋体" w:hAnsi="宋体"/>
          <w:kern w:val="44"/>
        </w:rPr>
        <w:t>争议发生后，当事人可以在校内进行调解，也可以到学校所在地的劳动仲裁机构申请动仲裁。对仲裁结果有异议的，可以到法院提起诉讼。</w:t>
      </w:r>
    </w:p>
    <w:p w14:paraId="5ED0C4CC">
      <w:pPr>
        <w:jc w:val="left"/>
        <w:rPr>
          <w:rFonts w:ascii="宋体" w:hAnsi="宋体"/>
          <w:kern w:val="44"/>
        </w:rPr>
      </w:pPr>
      <w:r>
        <w:rPr>
          <w:rFonts w:hint="eastAsia" w:ascii="宋体" w:hAnsi="宋体"/>
          <w:kern w:val="44"/>
        </w:rPr>
        <w:t>民办学校聘任外籍人员，按照国家有关规定执行。</w:t>
      </w:r>
    </w:p>
    <w:p w14:paraId="3510148A">
      <w:pPr>
        <w:ind w:firstLine="422"/>
        <w:jc w:val="left"/>
        <w:rPr>
          <w:rFonts w:ascii="宋体" w:hAnsi="宋体"/>
          <w:kern w:val="44"/>
        </w:rPr>
      </w:pPr>
      <w:r>
        <w:rPr>
          <w:rFonts w:hint="eastAsia" w:ascii="宋体" w:hAnsi="宋体"/>
          <w:b/>
          <w:kern w:val="44"/>
        </w:rPr>
        <w:t>第二十四条</w:t>
      </w:r>
      <w:r>
        <w:rPr>
          <w:rFonts w:hint="eastAsia" w:ascii="宋体" w:hAnsi="宋体"/>
          <w:kern w:val="44"/>
        </w:rPr>
        <w:t>　民办学校的教师和其他工作人员，有权依照工会法，建立工会组织，维护其合法权益。</w:t>
      </w:r>
    </w:p>
    <w:p w14:paraId="45A52300">
      <w:pPr>
        <w:ind w:firstLine="422"/>
        <w:jc w:val="left"/>
        <w:rPr>
          <w:rFonts w:ascii="宋体" w:hAnsi="宋体"/>
          <w:kern w:val="44"/>
        </w:rPr>
      </w:pPr>
      <w:r>
        <w:rPr>
          <w:rFonts w:hint="eastAsia" w:ascii="宋体" w:hAnsi="宋体"/>
          <w:b/>
          <w:kern w:val="44"/>
        </w:rPr>
        <w:t>第二十五条</w:t>
      </w:r>
      <w:r>
        <w:rPr>
          <w:rFonts w:hint="eastAsia" w:ascii="宋体" w:hAnsi="宋体"/>
          <w:kern w:val="44"/>
        </w:rPr>
        <w:t>　实施学历教育的民办学校应当建立学生申诉处理制度，受教育者对学校给予的处理有异议的，有权向学校提出申诉，学校应当予以复查。</w:t>
      </w:r>
    </w:p>
    <w:p w14:paraId="4656AFB1">
      <w:pPr>
        <w:jc w:val="left"/>
        <w:rPr>
          <w:rFonts w:ascii="宋体" w:hAnsi="宋体"/>
          <w:kern w:val="44"/>
        </w:rPr>
      </w:pPr>
      <w:r>
        <w:rPr>
          <w:rFonts w:hint="eastAsia" w:ascii="宋体" w:hAnsi="宋体"/>
          <w:kern w:val="44"/>
        </w:rPr>
        <w:t>民办学校侵犯受教育者的合法权益，受教育者及其亲属有权向教育、劳动和社会保障行政部门和其他有关部门申诉，有关部门应当及时予以处理。</w:t>
      </w:r>
    </w:p>
    <w:p w14:paraId="0109F04E">
      <w:pPr>
        <w:ind w:firstLine="422"/>
        <w:jc w:val="left"/>
        <w:rPr>
          <w:rFonts w:ascii="宋体" w:hAnsi="宋体"/>
          <w:kern w:val="44"/>
        </w:rPr>
      </w:pPr>
      <w:r>
        <w:rPr>
          <w:rFonts w:hint="eastAsia" w:ascii="宋体" w:hAnsi="宋体"/>
          <w:b/>
          <w:kern w:val="44"/>
        </w:rPr>
        <w:t>第二十六条</w:t>
      </w:r>
      <w:r>
        <w:rPr>
          <w:rFonts w:hint="eastAsia" w:ascii="宋体" w:hAnsi="宋体"/>
          <w:kern w:val="44"/>
        </w:rPr>
        <w:t>　民办学校可以根据本校实际自主设置教师和其他专业技术人员职务岗位，自主聘任。</w:t>
      </w:r>
    </w:p>
    <w:p w14:paraId="639583A7">
      <w:pPr>
        <w:jc w:val="left"/>
        <w:rPr>
          <w:rFonts w:ascii="宋体" w:hAnsi="宋体"/>
          <w:kern w:val="44"/>
        </w:rPr>
      </w:pPr>
      <w:r>
        <w:rPr>
          <w:rFonts w:hint="eastAsia" w:ascii="宋体" w:hAnsi="宋体"/>
          <w:kern w:val="44"/>
        </w:rPr>
        <w:t>教育、劳动和社会保障、人事等行政部门应当将民办学校教师和其他专业技术人员的专业技术职务评审工作纳入其组织的专业技术职务评审范围。</w:t>
      </w:r>
    </w:p>
    <w:p w14:paraId="6F7B2101">
      <w:pPr>
        <w:ind w:firstLine="422"/>
        <w:jc w:val="left"/>
        <w:rPr>
          <w:rFonts w:ascii="宋体" w:hAnsi="宋体"/>
          <w:kern w:val="44"/>
        </w:rPr>
      </w:pPr>
      <w:r>
        <w:rPr>
          <w:rFonts w:hint="eastAsia" w:ascii="宋体" w:hAnsi="宋体"/>
          <w:b/>
          <w:kern w:val="44"/>
        </w:rPr>
        <w:t>第二十七条</w:t>
      </w:r>
      <w:r>
        <w:rPr>
          <w:rFonts w:hint="eastAsia" w:ascii="宋体" w:hAnsi="宋体"/>
          <w:kern w:val="44"/>
        </w:rPr>
        <w:t>　教育、劳动和社会保障等行政部门应当将民办学校的教师培训纳入教师培训规划。</w:t>
      </w:r>
    </w:p>
    <w:p w14:paraId="173846DC">
      <w:pPr>
        <w:jc w:val="left"/>
        <w:rPr>
          <w:rFonts w:ascii="宋体" w:hAnsi="宋体"/>
          <w:kern w:val="44"/>
        </w:rPr>
      </w:pPr>
      <w:r>
        <w:rPr>
          <w:rFonts w:hint="eastAsia" w:ascii="宋体" w:hAnsi="宋体"/>
          <w:kern w:val="44"/>
        </w:rPr>
        <w:t>民办学校应当建立教师培训制度，对受聘教师进行思想政治培训和业务培训，鼓励和支持教师参加科学研究、技术创新、学术交流和社会实践。</w:t>
      </w:r>
    </w:p>
    <w:p w14:paraId="04D8230E">
      <w:pPr>
        <w:ind w:firstLine="422"/>
        <w:jc w:val="left"/>
        <w:rPr>
          <w:rFonts w:ascii="宋体" w:hAnsi="宋体"/>
          <w:kern w:val="44"/>
        </w:rPr>
      </w:pPr>
      <w:r>
        <w:rPr>
          <w:rFonts w:hint="eastAsia" w:ascii="宋体" w:hAnsi="宋体"/>
          <w:b/>
          <w:kern w:val="44"/>
        </w:rPr>
        <w:t>第二十八条</w:t>
      </w:r>
      <w:r>
        <w:rPr>
          <w:rFonts w:hint="eastAsia" w:ascii="宋体" w:hAnsi="宋体"/>
          <w:kern w:val="44"/>
        </w:rPr>
        <w:t>　民办学校变更学校地址或者在审批机关批准的区域外增设教学地点的，应当重新办理审批、登记手续。民办学校在审批机关批准的区域内增设教学地点的，应当报审批机关备案，未备案的，由审批机关责令限期改正。</w:t>
      </w:r>
    </w:p>
    <w:p w14:paraId="2D25E769">
      <w:pPr>
        <w:ind w:firstLine="422"/>
        <w:jc w:val="left"/>
        <w:rPr>
          <w:rFonts w:ascii="宋体" w:hAnsi="宋体"/>
          <w:kern w:val="44"/>
        </w:rPr>
      </w:pPr>
      <w:r>
        <w:rPr>
          <w:rFonts w:hint="eastAsia" w:ascii="宋体" w:hAnsi="宋体"/>
          <w:b/>
          <w:kern w:val="44"/>
        </w:rPr>
        <w:t>第二十九条</w:t>
      </w:r>
      <w:r>
        <w:rPr>
          <w:rFonts w:hint="eastAsia" w:ascii="宋体" w:hAnsi="宋体"/>
          <w:kern w:val="44"/>
        </w:rPr>
        <w:t>　民办学校对接受学历教育的受教育者收取费用的项目和标准，由民办学校提出书面申请，按学校类别和隶属关系报教育或者劳动和社会保障行政部门审核后，报价格主管部门批准并公示；对其他受教育者收取费用的项目和标准，由民办学校制定，报价格主管部门备案并公示。</w:t>
      </w:r>
    </w:p>
    <w:p w14:paraId="3EE42922">
      <w:pPr>
        <w:jc w:val="left"/>
        <w:rPr>
          <w:rFonts w:ascii="宋体" w:hAnsi="宋体"/>
          <w:kern w:val="44"/>
        </w:rPr>
      </w:pPr>
      <w:r>
        <w:rPr>
          <w:rFonts w:hint="eastAsia" w:ascii="宋体" w:hAnsi="宋体"/>
          <w:kern w:val="44"/>
        </w:rPr>
        <w:t>民办学校应当根据市教育、劳动和社会保障行政部门的有关规定，制定具体的学费退费办法并公示，报审批机关备案；民办学校应当按照退费办法与受教育者签订有关协议，受教育者退、转学要求退费的，按照双方签订的协议处理。</w:t>
      </w:r>
    </w:p>
    <w:p w14:paraId="5AEDE70B">
      <w:pPr>
        <w:jc w:val="left"/>
        <w:rPr>
          <w:rFonts w:ascii="宋体" w:hAnsi="宋体"/>
          <w:kern w:val="44"/>
        </w:rPr>
      </w:pPr>
      <w:r>
        <w:rPr>
          <w:rFonts w:hint="eastAsia" w:ascii="宋体" w:hAnsi="宋体"/>
          <w:kern w:val="44"/>
        </w:rPr>
        <w:t>民办学校违反本条第二款的规定，未公示学费退费办法或未向审批机关备案的，由审批机关责令限期改正。</w:t>
      </w:r>
    </w:p>
    <w:p w14:paraId="17627792">
      <w:pPr>
        <w:spacing w:line="356" w:lineRule="exact"/>
        <w:ind w:firstLine="422"/>
        <w:jc w:val="left"/>
        <w:rPr>
          <w:rFonts w:ascii="宋体" w:hAnsi="宋体"/>
          <w:kern w:val="44"/>
        </w:rPr>
      </w:pPr>
      <w:r>
        <w:rPr>
          <w:rFonts w:hint="eastAsia" w:ascii="宋体" w:hAnsi="宋体"/>
          <w:b/>
          <w:kern w:val="44"/>
        </w:rPr>
        <w:t>第三十条</w:t>
      </w:r>
      <w:r>
        <w:rPr>
          <w:rFonts w:hint="eastAsia" w:ascii="宋体" w:hAnsi="宋体"/>
          <w:kern w:val="44"/>
        </w:rPr>
        <w:t>　市和区、县人民政府教育督导机构应当依法对民办学校实行督导，促进提高办学质量。</w:t>
      </w:r>
    </w:p>
    <w:p w14:paraId="34413C26">
      <w:pPr>
        <w:spacing w:line="356" w:lineRule="exact"/>
        <w:jc w:val="left"/>
        <w:rPr>
          <w:rFonts w:ascii="宋体" w:hAnsi="宋体"/>
          <w:kern w:val="44"/>
        </w:rPr>
      </w:pPr>
      <w:r>
        <w:rPr>
          <w:rFonts w:hint="eastAsia" w:ascii="宋体" w:hAnsi="宋体"/>
          <w:kern w:val="44"/>
        </w:rPr>
        <w:t>教育、劳动和社会保障行政部门应当加强对民办学校的日常监督，定期组织或者委托社会中介组织对民办学校办学水平和教育质量进行评估，并将评估结果向社会公布。</w:t>
      </w:r>
    </w:p>
    <w:p w14:paraId="7EED4D50">
      <w:pPr>
        <w:spacing w:line="356" w:lineRule="exact"/>
        <w:ind w:firstLine="422"/>
        <w:jc w:val="left"/>
        <w:rPr>
          <w:rFonts w:ascii="宋体" w:hAnsi="宋体"/>
          <w:kern w:val="44"/>
        </w:rPr>
      </w:pPr>
      <w:r>
        <w:rPr>
          <w:rFonts w:hint="eastAsia" w:ascii="宋体" w:hAnsi="宋体"/>
          <w:b/>
          <w:kern w:val="44"/>
        </w:rPr>
        <w:t>第三十一条</w:t>
      </w:r>
      <w:r>
        <w:rPr>
          <w:rFonts w:hint="eastAsia" w:ascii="宋体" w:hAnsi="宋体"/>
          <w:kern w:val="44"/>
        </w:rPr>
        <w:t>　教育、劳动和社会保障行政部门对民办学校进行监督时，应当将监督的情况和处理结果予以记录，由监督人员签字后归档。公众有权查阅监督记录。</w:t>
      </w:r>
    </w:p>
    <w:p w14:paraId="6146FCF2">
      <w:pPr>
        <w:spacing w:line="356" w:lineRule="exact"/>
        <w:ind w:firstLine="422"/>
        <w:jc w:val="left"/>
        <w:rPr>
          <w:rFonts w:ascii="宋体" w:hAnsi="宋体"/>
          <w:kern w:val="44"/>
        </w:rPr>
      </w:pPr>
      <w:r>
        <w:rPr>
          <w:rFonts w:hint="eastAsia" w:ascii="宋体" w:hAnsi="宋体"/>
          <w:b/>
          <w:kern w:val="44"/>
        </w:rPr>
        <w:t>第三十二条</w:t>
      </w:r>
      <w:r>
        <w:rPr>
          <w:rFonts w:hint="eastAsia" w:ascii="宋体" w:hAnsi="宋体"/>
          <w:kern w:val="44"/>
        </w:rPr>
        <w:t>　教育、劳动和社会保障等行政部门应当建立民办学校办学信息公告制度，并将民办学校的基本情况、教育教学质量评估情况、财务审计情况、学校受奖惩情况等定期向社会公布。</w:t>
      </w:r>
    </w:p>
    <w:p w14:paraId="524995C8">
      <w:pPr>
        <w:spacing w:line="356" w:lineRule="exact"/>
        <w:ind w:firstLine="422"/>
        <w:jc w:val="left"/>
        <w:rPr>
          <w:rFonts w:ascii="宋体" w:hAnsi="宋体"/>
          <w:kern w:val="44"/>
        </w:rPr>
      </w:pPr>
      <w:r>
        <w:rPr>
          <w:rFonts w:hint="eastAsia" w:ascii="宋体" w:hAnsi="宋体"/>
          <w:b/>
          <w:kern w:val="44"/>
        </w:rPr>
        <w:t>第三十三条</w:t>
      </w:r>
      <w:r>
        <w:rPr>
          <w:rFonts w:hint="eastAsia" w:ascii="宋体" w:hAnsi="宋体"/>
          <w:kern w:val="44"/>
        </w:rPr>
        <w:t>　新建、扩建民办学校，政府有关部门应当按照公益事业用地及建设的有关规定给予优惠。具体办法由市教育、劳动和社会保障、国土资源管理、建设等行政部门共同制定。</w:t>
      </w:r>
    </w:p>
    <w:p w14:paraId="65FB526E">
      <w:pPr>
        <w:spacing w:line="356" w:lineRule="exact"/>
        <w:ind w:firstLine="422"/>
        <w:jc w:val="left"/>
        <w:rPr>
          <w:rFonts w:ascii="宋体" w:hAnsi="宋体"/>
          <w:kern w:val="44"/>
        </w:rPr>
      </w:pPr>
      <w:r>
        <w:rPr>
          <w:rFonts w:hint="eastAsia" w:ascii="宋体" w:hAnsi="宋体"/>
          <w:b/>
          <w:kern w:val="44"/>
        </w:rPr>
        <w:t>第三十四条</w:t>
      </w:r>
      <w:r>
        <w:rPr>
          <w:rFonts w:hint="eastAsia" w:ascii="宋体" w:hAnsi="宋体"/>
          <w:kern w:val="44"/>
        </w:rPr>
        <w:t>　政府有关部门应当保障民办学校在水、电、气等供给方面享有与公办学校同等的政策待遇。</w:t>
      </w:r>
    </w:p>
    <w:p w14:paraId="2AF6D64D">
      <w:pPr>
        <w:spacing w:line="356" w:lineRule="exact"/>
        <w:ind w:firstLine="422"/>
        <w:jc w:val="left"/>
        <w:rPr>
          <w:rFonts w:ascii="宋体" w:hAnsi="宋体"/>
          <w:kern w:val="44"/>
        </w:rPr>
      </w:pPr>
      <w:r>
        <w:rPr>
          <w:rFonts w:hint="eastAsia" w:ascii="宋体" w:hAnsi="宋体"/>
          <w:b/>
          <w:kern w:val="44"/>
        </w:rPr>
        <w:t>第三十五条</w:t>
      </w:r>
      <w:r>
        <w:rPr>
          <w:rFonts w:hint="eastAsia" w:ascii="宋体" w:hAnsi="宋体"/>
          <w:kern w:val="44"/>
        </w:rPr>
        <w:t>　捐资举办的民办学校和出资人不要求取得合理回报的民办学校，依法享受与公办学校同等的税收以及其他优惠政策。</w:t>
      </w:r>
    </w:p>
    <w:p w14:paraId="78CDC563">
      <w:pPr>
        <w:spacing w:line="356" w:lineRule="exact"/>
        <w:jc w:val="left"/>
        <w:rPr>
          <w:rFonts w:ascii="宋体" w:hAnsi="宋体"/>
          <w:kern w:val="44"/>
        </w:rPr>
      </w:pPr>
      <w:r>
        <w:rPr>
          <w:rFonts w:hint="eastAsia" w:ascii="宋体" w:hAnsi="宋体"/>
          <w:kern w:val="44"/>
        </w:rPr>
        <w:t>出资人要求取得合理回报的民办学校，按照国家有关规定享受税收优惠政策。</w:t>
      </w:r>
    </w:p>
    <w:p w14:paraId="34733E44">
      <w:pPr>
        <w:spacing w:line="356" w:lineRule="exact"/>
        <w:ind w:firstLine="422"/>
        <w:jc w:val="left"/>
        <w:rPr>
          <w:rFonts w:ascii="宋体" w:hAnsi="宋体"/>
          <w:kern w:val="44"/>
        </w:rPr>
      </w:pPr>
      <w:r>
        <w:rPr>
          <w:rFonts w:hint="eastAsia" w:ascii="宋体" w:hAnsi="宋体"/>
          <w:b/>
          <w:kern w:val="44"/>
        </w:rPr>
        <w:t>第三十六条</w:t>
      </w:r>
      <w:r>
        <w:rPr>
          <w:rFonts w:hint="eastAsia" w:ascii="宋体" w:hAnsi="宋体"/>
          <w:kern w:val="44"/>
        </w:rPr>
        <w:t>　区、县人民政府根据本行政区域实施义务教育的需要，可以与民办学校签订协议，委托其承担部分义务教育任务。区、县人民政府委托民办学校承担义务教育任务的，应当根据接受义务教育学生的数量和本地区实施义务教育的公办学校的学生人均教育经费标准，拨付相应的教育经费。</w:t>
      </w:r>
    </w:p>
    <w:p w14:paraId="4E629D15">
      <w:pPr>
        <w:spacing w:line="356" w:lineRule="exact"/>
        <w:jc w:val="left"/>
        <w:rPr>
          <w:rFonts w:ascii="宋体" w:hAnsi="宋体"/>
          <w:kern w:val="44"/>
        </w:rPr>
      </w:pPr>
      <w:r>
        <w:rPr>
          <w:rFonts w:hint="eastAsia" w:ascii="宋体" w:hAnsi="宋体"/>
          <w:kern w:val="44"/>
        </w:rPr>
        <w:t>受委托的民办学校向协议就读的学生收取的费用，不得高于本地区同级同类公办学校的收费标准。</w:t>
      </w:r>
    </w:p>
    <w:p w14:paraId="302FB119">
      <w:pPr>
        <w:spacing w:line="356" w:lineRule="exact"/>
        <w:ind w:firstLine="422"/>
        <w:jc w:val="left"/>
        <w:rPr>
          <w:rFonts w:ascii="宋体" w:hAnsi="宋体"/>
          <w:kern w:val="44"/>
        </w:rPr>
      </w:pPr>
      <w:r>
        <w:rPr>
          <w:rFonts w:hint="eastAsia" w:ascii="宋体" w:hAnsi="宋体"/>
          <w:b/>
          <w:kern w:val="44"/>
        </w:rPr>
        <w:t>第三十七条</w:t>
      </w:r>
      <w:r>
        <w:rPr>
          <w:rFonts w:hint="eastAsia" w:ascii="宋体" w:hAnsi="宋体"/>
          <w:kern w:val="44"/>
        </w:rPr>
        <w:t>　民办学校违反本办法第十四条的规定，在筹备设立期内招收学生的，由审批机关责令停止招生，退还向学生收取的费用。</w:t>
      </w:r>
    </w:p>
    <w:p w14:paraId="2D7757C1">
      <w:pPr>
        <w:spacing w:line="356" w:lineRule="exact"/>
        <w:ind w:firstLine="422"/>
        <w:jc w:val="left"/>
        <w:rPr>
          <w:rFonts w:ascii="宋体" w:hAnsi="宋体"/>
          <w:kern w:val="44"/>
        </w:rPr>
      </w:pPr>
      <w:r>
        <w:rPr>
          <w:rFonts w:hint="eastAsia" w:ascii="宋体" w:hAnsi="宋体"/>
          <w:b/>
          <w:kern w:val="44"/>
        </w:rPr>
        <w:t>第三十八条</w:t>
      </w:r>
      <w:r>
        <w:rPr>
          <w:rFonts w:hint="eastAsia" w:ascii="宋体" w:hAnsi="宋体"/>
          <w:kern w:val="44"/>
        </w:rPr>
        <w:t>　民办学校违反本办法第十八条、第十九条、第二十条的规定，未建立、健全管理机构和管理制度，导致管理混乱、教育教学质量低下，造成恶劣影响的，由审批机关责令限期改正，并予以警告；逾期不改正或者经改正仍达不到要求的，责令停止招生、吊销办学许可证。</w:t>
      </w:r>
    </w:p>
    <w:p w14:paraId="08B3AF2D">
      <w:pPr>
        <w:spacing w:line="356" w:lineRule="exact"/>
        <w:ind w:firstLine="422"/>
        <w:jc w:val="left"/>
        <w:rPr>
          <w:rFonts w:ascii="宋体" w:hAnsi="宋体"/>
          <w:kern w:val="44"/>
        </w:rPr>
      </w:pPr>
      <w:r>
        <w:rPr>
          <w:rFonts w:hint="eastAsia" w:ascii="宋体" w:hAnsi="宋体"/>
          <w:b/>
          <w:kern w:val="44"/>
        </w:rPr>
        <w:t>第三十九条</w:t>
      </w:r>
      <w:r>
        <w:rPr>
          <w:rFonts w:hint="eastAsia" w:ascii="宋体" w:hAnsi="宋体"/>
          <w:kern w:val="44"/>
        </w:rPr>
        <w:t>　违反本办法第二十八条的规定，未经批准，擅自变更学校地址或者擅自在审批机关批准的区域外增设教学地点的，由市和所在区、县的教育、劳动和社会保障行政部门按照各自权限责令限期改正，对于符合规定的民办学校条件的，可以补办审批手续；逾期仍达不到办学条件的，责令停止办学，造成经济损失的，依法承担赔偿责任。</w:t>
      </w:r>
    </w:p>
    <w:p w14:paraId="7185B9B9">
      <w:pPr>
        <w:spacing w:line="356" w:lineRule="exact"/>
        <w:ind w:firstLine="422"/>
        <w:jc w:val="left"/>
        <w:rPr>
          <w:rFonts w:ascii="宋体" w:hAnsi="宋体"/>
          <w:kern w:val="44"/>
        </w:rPr>
      </w:pPr>
      <w:r>
        <w:rPr>
          <w:rFonts w:hint="eastAsia" w:ascii="宋体" w:hAnsi="宋体"/>
          <w:b/>
          <w:kern w:val="44"/>
        </w:rPr>
        <w:t>第四十条</w:t>
      </w:r>
      <w:r>
        <w:rPr>
          <w:rFonts w:hint="eastAsia" w:ascii="宋体" w:hAnsi="宋体"/>
          <w:kern w:val="44"/>
        </w:rPr>
        <w:t>　民办学校违反本办法其他规定的，由教育、劳动和社会保障、工商、民政等行政部门按照有关法律、法规的规定处理。</w:t>
      </w:r>
    </w:p>
    <w:p w14:paraId="10DA4C61">
      <w:pPr>
        <w:spacing w:line="356" w:lineRule="exact"/>
        <w:ind w:firstLine="422"/>
        <w:jc w:val="left"/>
        <w:rPr>
          <w:rFonts w:ascii="宋体" w:hAnsi="宋体"/>
          <w:kern w:val="44"/>
        </w:rPr>
      </w:pPr>
      <w:r>
        <w:rPr>
          <w:rFonts w:hint="eastAsia" w:ascii="宋体" w:hAnsi="宋体"/>
          <w:b/>
          <w:kern w:val="44"/>
        </w:rPr>
        <w:t>第四十一条</w:t>
      </w:r>
      <w:r>
        <w:rPr>
          <w:rFonts w:hint="eastAsia" w:ascii="宋体" w:hAnsi="宋体"/>
          <w:kern w:val="44"/>
        </w:rPr>
        <w:t>　在工商行政管理部门登记注册的经营性的民办培训机构的管理，按照有关法律、法规的规定执行。</w:t>
      </w:r>
    </w:p>
    <w:p w14:paraId="133F31F7">
      <w:pPr>
        <w:spacing w:line="356" w:lineRule="exact"/>
        <w:ind w:firstLine="422"/>
        <w:jc w:val="left"/>
        <w:rPr>
          <w:rFonts w:ascii="宋体" w:hAnsi="宋体"/>
          <w:kern w:val="44"/>
        </w:rPr>
      </w:pPr>
      <w:r>
        <w:rPr>
          <w:rFonts w:hint="eastAsia" w:ascii="宋体" w:hAnsi="宋体"/>
          <w:b/>
          <w:kern w:val="44"/>
        </w:rPr>
        <w:t>第四十二条</w:t>
      </w:r>
      <w:r>
        <w:rPr>
          <w:rFonts w:hint="eastAsia" w:ascii="宋体" w:hAnsi="宋体"/>
          <w:kern w:val="44"/>
        </w:rPr>
        <w:t>　本办法自2007年3月1日起施行。2000年7月11日市人民政第59号令公布的《北京市社会力量办学若干规定》同时废止。</w:t>
      </w:r>
    </w:p>
    <w:p w14:paraId="352EEE18">
      <w:pPr>
        <w:pStyle w:val="4"/>
        <w:pageBreakBefore/>
        <w:rPr>
          <w:kern w:val="44"/>
        </w:rPr>
      </w:pPr>
      <w:bookmarkStart w:id="1495" w:name="_Toc422471391"/>
      <w:bookmarkStart w:id="1496" w:name="_Toc427651650"/>
      <w:bookmarkStart w:id="1497" w:name="_Toc427651992"/>
      <w:bookmarkStart w:id="1498" w:name="_Toc428780216"/>
      <w:bookmarkStart w:id="1499" w:name="_Toc428781698"/>
      <w:r>
        <w:rPr>
          <w:rFonts w:hint="eastAsia"/>
          <w:kern w:val="44"/>
        </w:rPr>
        <w:t>北京市实施《中华人民共和国</w:t>
      </w:r>
      <w:bookmarkEnd w:id="1495"/>
      <w:bookmarkStart w:id="1500" w:name="_Toc422471392"/>
      <w:r>
        <w:rPr>
          <w:rFonts w:hint="eastAsia"/>
          <w:kern w:val="44"/>
        </w:rPr>
        <w:t>国防教育法》办法</w:t>
      </w:r>
      <w:bookmarkEnd w:id="1496"/>
      <w:bookmarkEnd w:id="1497"/>
      <w:bookmarkEnd w:id="1498"/>
      <w:bookmarkEnd w:id="1499"/>
      <w:bookmarkEnd w:id="1500"/>
    </w:p>
    <w:p w14:paraId="7EC80AC9">
      <w:pPr>
        <w:ind w:left="630" w:leftChars="300" w:right="630" w:rightChars="300"/>
        <w:jc w:val="left"/>
        <w:rPr>
          <w:rFonts w:ascii="楷体" w:hAnsi="楷体" w:eastAsia="楷体"/>
          <w:kern w:val="44"/>
        </w:rPr>
      </w:pPr>
      <w:r>
        <w:rPr>
          <w:rFonts w:hint="eastAsia" w:ascii="楷体" w:hAnsi="楷体" w:eastAsia="楷体"/>
          <w:kern w:val="44"/>
        </w:rPr>
        <w:t>（1993年7月30日北京市第十届人民代表大会常务委员会第四次会议通过　2007年7月27日北京市第十二届人民代表大会常务委员会第三十七次会议通过）</w:t>
      </w:r>
    </w:p>
    <w:p w14:paraId="2FF9ECA8">
      <w:pPr>
        <w:jc w:val="left"/>
        <w:rPr>
          <w:rFonts w:ascii="宋体" w:hAnsi="宋体"/>
          <w:kern w:val="44"/>
        </w:rPr>
      </w:pPr>
    </w:p>
    <w:p w14:paraId="33648259">
      <w:pPr>
        <w:ind w:firstLine="0" w:firstLineChars="0"/>
        <w:jc w:val="center"/>
        <w:rPr>
          <w:rFonts w:ascii="宋体" w:hAnsi="宋体"/>
          <w:b/>
          <w:kern w:val="44"/>
          <w:sz w:val="28"/>
        </w:rPr>
      </w:pPr>
      <w:r>
        <w:rPr>
          <w:rFonts w:hint="eastAsia" w:ascii="宋体" w:hAnsi="宋体"/>
          <w:b/>
          <w:kern w:val="44"/>
          <w:sz w:val="28"/>
        </w:rPr>
        <w:t>第一章　总　则</w:t>
      </w:r>
    </w:p>
    <w:p w14:paraId="4E23FAE8">
      <w:pPr>
        <w:jc w:val="left"/>
        <w:rPr>
          <w:rFonts w:ascii="宋体" w:hAnsi="宋体"/>
          <w:kern w:val="44"/>
        </w:rPr>
      </w:pPr>
    </w:p>
    <w:p w14:paraId="631C6CDD">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为了实施《中华人民共和国国防教育法》，结合本市实际情况，制定本办法。</w:t>
      </w:r>
    </w:p>
    <w:p w14:paraId="79F86D45">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本办法适用于本市行政区域内的国防教育活动及其保障。</w:t>
      </w:r>
    </w:p>
    <w:p w14:paraId="178BD351">
      <w:pPr>
        <w:ind w:firstLine="422"/>
        <w:jc w:val="left"/>
        <w:rPr>
          <w:rFonts w:ascii="宋体" w:hAnsi="宋体"/>
          <w:kern w:val="44"/>
        </w:rPr>
      </w:pPr>
      <w:r>
        <w:rPr>
          <w:rFonts w:hint="eastAsia" w:ascii="宋体" w:hAnsi="宋体"/>
          <w:b/>
          <w:kern w:val="44"/>
        </w:rPr>
        <w:t>第三条</w:t>
      </w:r>
      <w:r>
        <w:rPr>
          <w:rFonts w:hint="eastAsia" w:ascii="宋体" w:hAnsi="宋体"/>
          <w:kern w:val="44"/>
        </w:rPr>
        <w:t>　本市通过开展国防教育，使公民增强国防观念，掌握基本的国防知识，学习必要的军事技能，激发爱国热情，自觉履行国防义务。</w:t>
      </w:r>
    </w:p>
    <w:p w14:paraId="03133693">
      <w:pPr>
        <w:ind w:firstLine="422"/>
        <w:jc w:val="left"/>
        <w:rPr>
          <w:rFonts w:ascii="宋体" w:hAnsi="宋体"/>
          <w:kern w:val="44"/>
        </w:rPr>
      </w:pPr>
      <w:r>
        <w:rPr>
          <w:rFonts w:hint="eastAsia" w:ascii="宋体" w:hAnsi="宋体"/>
          <w:b/>
          <w:kern w:val="44"/>
        </w:rPr>
        <w:t>第四条</w:t>
      </w:r>
      <w:r>
        <w:rPr>
          <w:rFonts w:hint="eastAsia" w:ascii="宋体" w:hAnsi="宋体"/>
          <w:kern w:val="44"/>
        </w:rPr>
        <w:t>　本市国防教育贯彻全民参与、长期坚持、讲求实效的方针，实行经常教育与集中教育相结合、普及教育与重点教育相结合、理论教育与行为教育相结合的原则，针对不同对象确定相应的教育内容、考核标准，分类组织实施。</w:t>
      </w:r>
    </w:p>
    <w:p w14:paraId="209CDE37">
      <w:pPr>
        <w:ind w:firstLine="422"/>
        <w:jc w:val="left"/>
        <w:rPr>
          <w:rFonts w:ascii="宋体" w:hAnsi="宋体"/>
          <w:kern w:val="44"/>
        </w:rPr>
      </w:pPr>
      <w:r>
        <w:rPr>
          <w:rFonts w:hint="eastAsia" w:ascii="宋体" w:hAnsi="宋体"/>
          <w:b/>
          <w:kern w:val="44"/>
        </w:rPr>
        <w:t>第五条</w:t>
      </w:r>
      <w:r>
        <w:rPr>
          <w:rFonts w:hint="eastAsia" w:ascii="宋体" w:hAnsi="宋体"/>
          <w:kern w:val="44"/>
        </w:rPr>
        <w:t>　接受国防教育是公民的权利和义务。</w:t>
      </w:r>
    </w:p>
    <w:p w14:paraId="01AAE437">
      <w:pPr>
        <w:jc w:val="left"/>
        <w:rPr>
          <w:rFonts w:ascii="宋体" w:hAnsi="宋体"/>
          <w:kern w:val="44"/>
        </w:rPr>
      </w:pPr>
      <w:r>
        <w:rPr>
          <w:rFonts w:hint="eastAsia" w:ascii="宋体" w:hAnsi="宋体"/>
          <w:kern w:val="44"/>
        </w:rPr>
        <w:t>普及和加强国防教育是全社会的共同责任。</w:t>
      </w:r>
    </w:p>
    <w:p w14:paraId="411947D1">
      <w:pPr>
        <w:ind w:firstLine="422"/>
        <w:jc w:val="left"/>
        <w:rPr>
          <w:rFonts w:ascii="宋体" w:hAnsi="宋体"/>
          <w:kern w:val="44"/>
        </w:rPr>
      </w:pPr>
      <w:r>
        <w:rPr>
          <w:rFonts w:hint="eastAsia" w:ascii="宋体" w:hAnsi="宋体"/>
          <w:b/>
          <w:kern w:val="44"/>
        </w:rPr>
        <w:t>第六条</w:t>
      </w:r>
      <w:r>
        <w:rPr>
          <w:rFonts w:hint="eastAsia" w:ascii="宋体" w:hAnsi="宋体"/>
          <w:kern w:val="44"/>
        </w:rPr>
        <w:t>　本市各级人民政府领导本行政区域内国防教育工作，并将国防教育纳入国民经济和社会发展规划，为单位开展国防教育和公民接受国防教育创造条件。</w:t>
      </w:r>
    </w:p>
    <w:p w14:paraId="747E5F2F">
      <w:pPr>
        <w:jc w:val="left"/>
        <w:rPr>
          <w:rFonts w:ascii="宋体" w:hAnsi="宋体"/>
          <w:kern w:val="44"/>
        </w:rPr>
      </w:pPr>
      <w:r>
        <w:rPr>
          <w:rFonts w:hint="eastAsia" w:ascii="宋体" w:hAnsi="宋体"/>
          <w:kern w:val="44"/>
        </w:rPr>
        <w:t>驻京军事机关应当协助和支持本市各级人民政府开展国防教育。</w:t>
      </w:r>
    </w:p>
    <w:p w14:paraId="574EBD07">
      <w:pPr>
        <w:ind w:firstLine="422"/>
        <w:jc w:val="left"/>
        <w:rPr>
          <w:rFonts w:ascii="宋体" w:hAnsi="宋体"/>
          <w:kern w:val="44"/>
        </w:rPr>
      </w:pPr>
      <w:r>
        <w:rPr>
          <w:rFonts w:hint="eastAsia" w:ascii="宋体" w:hAnsi="宋体"/>
          <w:b/>
          <w:kern w:val="44"/>
        </w:rPr>
        <w:t>第七条</w:t>
      </w:r>
      <w:r>
        <w:rPr>
          <w:rFonts w:hint="eastAsia" w:ascii="宋体" w:hAnsi="宋体"/>
          <w:kern w:val="44"/>
        </w:rPr>
        <w:t>　市和区、县国防教育办公室负责组织、指导、协调和检查本行政区域内的国防教育工作。</w:t>
      </w:r>
    </w:p>
    <w:p w14:paraId="138226F1">
      <w:pPr>
        <w:jc w:val="left"/>
        <w:rPr>
          <w:rFonts w:ascii="宋体" w:hAnsi="宋体"/>
          <w:kern w:val="44"/>
        </w:rPr>
      </w:pPr>
      <w:r>
        <w:rPr>
          <w:rFonts w:hint="eastAsia" w:ascii="宋体" w:hAnsi="宋体"/>
          <w:kern w:val="44"/>
        </w:rPr>
        <w:t>教育行政部门负责各级各类学校的国防教育工作，指导、监督学校开展国防教育。</w:t>
      </w:r>
    </w:p>
    <w:p w14:paraId="1A6999BE">
      <w:pPr>
        <w:jc w:val="left"/>
        <w:rPr>
          <w:rFonts w:ascii="宋体" w:hAnsi="宋体"/>
          <w:kern w:val="44"/>
        </w:rPr>
      </w:pPr>
      <w:r>
        <w:rPr>
          <w:rFonts w:hint="eastAsia" w:ascii="宋体" w:hAnsi="宋体"/>
          <w:kern w:val="44"/>
        </w:rPr>
        <w:t>人事行政部门负责本市国家机关的国防教育工作，将国防教育纳入培训计划，指导、协调各机关开展国防教育。</w:t>
      </w:r>
    </w:p>
    <w:p w14:paraId="720CDE3B">
      <w:pPr>
        <w:jc w:val="left"/>
        <w:rPr>
          <w:rFonts w:ascii="宋体" w:hAnsi="宋体"/>
          <w:kern w:val="44"/>
        </w:rPr>
      </w:pPr>
      <w:r>
        <w:rPr>
          <w:rFonts w:hint="eastAsia" w:ascii="宋体" w:hAnsi="宋体"/>
          <w:kern w:val="44"/>
        </w:rPr>
        <w:t>兵役机关负责所属民兵、预备役人员的国防教育工作和学校、本市国家机关以外的单位和人员的国防教育工作。</w:t>
      </w:r>
    </w:p>
    <w:p w14:paraId="7F285565">
      <w:pPr>
        <w:jc w:val="left"/>
        <w:rPr>
          <w:rFonts w:ascii="宋体" w:hAnsi="宋体"/>
          <w:kern w:val="44"/>
        </w:rPr>
      </w:pPr>
      <w:r>
        <w:rPr>
          <w:rFonts w:hint="eastAsia" w:ascii="宋体" w:hAnsi="宋体"/>
          <w:kern w:val="44"/>
        </w:rPr>
        <w:t>民防行政部门负责人民防空教育工作。</w:t>
      </w:r>
    </w:p>
    <w:p w14:paraId="659B085B">
      <w:pPr>
        <w:jc w:val="left"/>
        <w:rPr>
          <w:rFonts w:ascii="宋体" w:hAnsi="宋体"/>
          <w:kern w:val="44"/>
        </w:rPr>
      </w:pPr>
      <w:r>
        <w:rPr>
          <w:rFonts w:hint="eastAsia" w:ascii="宋体" w:hAnsi="宋体"/>
          <w:kern w:val="44"/>
        </w:rPr>
        <w:t>民政行政部门结合拥军优属工作，开展国防教育。</w:t>
      </w:r>
    </w:p>
    <w:p w14:paraId="408F4A9B">
      <w:pPr>
        <w:jc w:val="left"/>
        <w:rPr>
          <w:rFonts w:ascii="宋体" w:hAnsi="宋体"/>
          <w:kern w:val="44"/>
        </w:rPr>
      </w:pPr>
      <w:r>
        <w:rPr>
          <w:rFonts w:hint="eastAsia" w:ascii="宋体" w:hAnsi="宋体"/>
          <w:kern w:val="44"/>
        </w:rPr>
        <w:t>文化、新闻出版、广播电视等行政部门将国防教育纳入工作计划，根据各自职责开展面向社会公众的国防教育。</w:t>
      </w:r>
    </w:p>
    <w:p w14:paraId="4D5D170F">
      <w:pPr>
        <w:jc w:val="left"/>
        <w:rPr>
          <w:rFonts w:ascii="宋体" w:hAnsi="宋体"/>
          <w:kern w:val="44"/>
        </w:rPr>
      </w:pPr>
      <w:r>
        <w:rPr>
          <w:rFonts w:hint="eastAsia" w:ascii="宋体" w:hAnsi="宋体"/>
          <w:kern w:val="44"/>
        </w:rPr>
        <w:t>征兵、国防科研生产、国民经济动员、国防交通、军事设施保护等工作的主管部门，应当依照有关法律、法规和本办法的规定，负责国防教育工作。</w:t>
      </w:r>
    </w:p>
    <w:p w14:paraId="7986A709">
      <w:pPr>
        <w:jc w:val="left"/>
        <w:rPr>
          <w:rFonts w:ascii="宋体" w:hAnsi="宋体"/>
          <w:kern w:val="44"/>
        </w:rPr>
      </w:pPr>
      <w:r>
        <w:rPr>
          <w:rFonts w:hint="eastAsia" w:ascii="宋体" w:hAnsi="宋体"/>
          <w:kern w:val="44"/>
        </w:rPr>
        <w:t>工会、共产主义青年团、妇女联合会以及其他有关社会团体结合工作特点，协助人民政府开展国防教育。</w:t>
      </w:r>
    </w:p>
    <w:p w14:paraId="5DD14291">
      <w:pPr>
        <w:ind w:firstLine="422"/>
        <w:jc w:val="left"/>
        <w:rPr>
          <w:rFonts w:ascii="宋体" w:hAnsi="宋体"/>
          <w:kern w:val="44"/>
        </w:rPr>
      </w:pPr>
      <w:r>
        <w:rPr>
          <w:rFonts w:hint="eastAsia" w:ascii="宋体" w:hAnsi="宋体"/>
          <w:b/>
          <w:kern w:val="44"/>
        </w:rPr>
        <w:t>第八条</w:t>
      </w:r>
      <w:r>
        <w:rPr>
          <w:rFonts w:hint="eastAsia" w:ascii="宋体" w:hAnsi="宋体"/>
          <w:kern w:val="44"/>
        </w:rPr>
        <w:t>　每年九月的第三个星期六是全民国防教育日。</w:t>
      </w:r>
    </w:p>
    <w:p w14:paraId="7D95F137">
      <w:pPr>
        <w:jc w:val="left"/>
        <w:rPr>
          <w:rFonts w:ascii="宋体" w:hAnsi="宋体"/>
          <w:kern w:val="44"/>
        </w:rPr>
      </w:pPr>
      <w:r>
        <w:rPr>
          <w:rFonts w:hint="eastAsia" w:ascii="宋体" w:hAnsi="宋体"/>
          <w:kern w:val="44"/>
        </w:rPr>
        <w:t>负有国防教育职责的部门在全民国防教育日，应当采取多种形式组织开展国防教育活动。</w:t>
      </w:r>
    </w:p>
    <w:p w14:paraId="504A14D8">
      <w:pPr>
        <w:jc w:val="left"/>
        <w:rPr>
          <w:rFonts w:ascii="宋体" w:hAnsi="宋体"/>
          <w:kern w:val="44"/>
        </w:rPr>
      </w:pPr>
    </w:p>
    <w:p w14:paraId="1ED6B71D">
      <w:pPr>
        <w:ind w:firstLine="0" w:firstLineChars="0"/>
        <w:jc w:val="center"/>
        <w:rPr>
          <w:rFonts w:hint="eastAsia" w:ascii="宋体" w:hAnsi="宋体"/>
          <w:b/>
          <w:kern w:val="44"/>
          <w:sz w:val="28"/>
        </w:rPr>
      </w:pPr>
    </w:p>
    <w:p w14:paraId="594AA0C5">
      <w:pPr>
        <w:ind w:firstLine="0" w:firstLineChars="0"/>
        <w:jc w:val="center"/>
        <w:rPr>
          <w:rFonts w:ascii="宋体" w:hAnsi="宋体"/>
          <w:b/>
          <w:kern w:val="44"/>
          <w:sz w:val="28"/>
        </w:rPr>
      </w:pPr>
      <w:r>
        <w:rPr>
          <w:rFonts w:hint="eastAsia" w:ascii="宋体" w:hAnsi="宋体"/>
          <w:b/>
          <w:kern w:val="44"/>
          <w:sz w:val="28"/>
        </w:rPr>
        <w:t>第二章　学校国防教育</w:t>
      </w:r>
    </w:p>
    <w:p w14:paraId="0777B1F7">
      <w:pPr>
        <w:jc w:val="left"/>
        <w:rPr>
          <w:rFonts w:ascii="宋体" w:hAnsi="宋体"/>
          <w:kern w:val="44"/>
        </w:rPr>
      </w:pPr>
    </w:p>
    <w:p w14:paraId="1FF382C5">
      <w:pPr>
        <w:ind w:firstLine="422"/>
        <w:jc w:val="left"/>
        <w:rPr>
          <w:rFonts w:ascii="宋体" w:hAnsi="宋体"/>
          <w:kern w:val="44"/>
        </w:rPr>
      </w:pPr>
      <w:r>
        <w:rPr>
          <w:rFonts w:hint="eastAsia" w:ascii="宋体" w:hAnsi="宋体"/>
          <w:b/>
          <w:kern w:val="44"/>
        </w:rPr>
        <w:t>第九条</w:t>
      </w:r>
      <w:r>
        <w:rPr>
          <w:rFonts w:hint="eastAsia" w:ascii="宋体" w:hAnsi="宋体"/>
          <w:kern w:val="44"/>
        </w:rPr>
        <w:t>　教育行政部门应当将国防教育列入工作计划，并对学校的国防教育工作定期进行考核。</w:t>
      </w:r>
    </w:p>
    <w:p w14:paraId="7693F7BC">
      <w:pPr>
        <w:ind w:firstLine="422"/>
        <w:jc w:val="left"/>
        <w:rPr>
          <w:rFonts w:ascii="宋体" w:hAnsi="宋体"/>
          <w:kern w:val="44"/>
        </w:rPr>
      </w:pPr>
      <w:r>
        <w:rPr>
          <w:rFonts w:hint="eastAsia" w:ascii="宋体" w:hAnsi="宋体"/>
          <w:b/>
          <w:kern w:val="44"/>
        </w:rPr>
        <w:t>第十条</w:t>
      </w:r>
      <w:r>
        <w:rPr>
          <w:rFonts w:hint="eastAsia" w:ascii="宋体" w:hAnsi="宋体"/>
          <w:kern w:val="44"/>
        </w:rPr>
        <w:t>　各级各类学校应当将国防教育纳入工作和教学计划，根据全民国防教育大纲和本市有关规定，开展国防教育。</w:t>
      </w:r>
    </w:p>
    <w:p w14:paraId="10C3343C">
      <w:pPr>
        <w:ind w:firstLine="422"/>
        <w:jc w:val="left"/>
        <w:rPr>
          <w:rFonts w:ascii="宋体" w:hAnsi="宋体"/>
          <w:kern w:val="44"/>
        </w:rPr>
      </w:pPr>
      <w:r>
        <w:rPr>
          <w:rFonts w:hint="eastAsia" w:ascii="宋体" w:hAnsi="宋体"/>
          <w:b/>
          <w:kern w:val="44"/>
        </w:rPr>
        <w:t>第十一条</w:t>
      </w:r>
      <w:r>
        <w:rPr>
          <w:rFonts w:hint="eastAsia" w:ascii="宋体" w:hAnsi="宋体"/>
          <w:kern w:val="44"/>
        </w:rPr>
        <w:t>　小学和初级中学应当将国防教育的内容纳入有关课程，采取课堂教学与课外活动相结合的方式，对学生进行国防教育。</w:t>
      </w:r>
    </w:p>
    <w:p w14:paraId="14E35F92">
      <w:pPr>
        <w:jc w:val="left"/>
        <w:rPr>
          <w:rFonts w:ascii="宋体" w:hAnsi="宋体"/>
          <w:kern w:val="44"/>
        </w:rPr>
      </w:pPr>
      <w:r>
        <w:rPr>
          <w:rFonts w:hint="eastAsia" w:ascii="宋体" w:hAnsi="宋体"/>
          <w:kern w:val="44"/>
        </w:rPr>
        <w:t>小学和初级中学可以通过少年军校、组织军事夏令营和聘请校外辅导员等形式开展国防教育。</w:t>
      </w:r>
    </w:p>
    <w:p w14:paraId="6A8E74BF">
      <w:pPr>
        <w:ind w:firstLine="422"/>
        <w:jc w:val="left"/>
        <w:rPr>
          <w:rFonts w:ascii="宋体" w:hAnsi="宋体"/>
          <w:kern w:val="44"/>
        </w:rPr>
      </w:pPr>
      <w:r>
        <w:rPr>
          <w:rFonts w:hint="eastAsia" w:ascii="宋体" w:hAnsi="宋体"/>
          <w:b/>
          <w:kern w:val="44"/>
        </w:rPr>
        <w:t>第十二条</w:t>
      </w:r>
      <w:r>
        <w:rPr>
          <w:rFonts w:hint="eastAsia" w:ascii="宋体" w:hAnsi="宋体"/>
          <w:kern w:val="44"/>
        </w:rPr>
        <w:t>　高等学校、高级中学和相当于高级中学的学校对学生进行国防教育，应当将课堂教学与军事训练相结合，并将学生的国防教育课程成绩记入学生档案。</w:t>
      </w:r>
    </w:p>
    <w:p w14:paraId="4889863C">
      <w:pPr>
        <w:ind w:firstLine="422"/>
        <w:jc w:val="left"/>
        <w:rPr>
          <w:rFonts w:ascii="宋体" w:hAnsi="宋体"/>
          <w:kern w:val="44"/>
        </w:rPr>
      </w:pPr>
      <w:r>
        <w:rPr>
          <w:rFonts w:hint="eastAsia" w:ascii="宋体" w:hAnsi="宋体"/>
          <w:b/>
          <w:kern w:val="44"/>
        </w:rPr>
        <w:t>第十三条</w:t>
      </w:r>
      <w:r>
        <w:rPr>
          <w:rFonts w:hint="eastAsia" w:ascii="宋体" w:hAnsi="宋体"/>
          <w:kern w:val="44"/>
        </w:rPr>
        <w:t>　学校开展国防教育应当建立安全制度，制定安全预案。</w:t>
      </w:r>
    </w:p>
    <w:p w14:paraId="75432889">
      <w:pPr>
        <w:jc w:val="left"/>
        <w:rPr>
          <w:rFonts w:ascii="宋体" w:hAnsi="宋体"/>
          <w:kern w:val="44"/>
        </w:rPr>
      </w:pPr>
    </w:p>
    <w:p w14:paraId="175B243D">
      <w:pPr>
        <w:ind w:firstLine="0" w:firstLineChars="0"/>
        <w:jc w:val="center"/>
        <w:rPr>
          <w:rFonts w:ascii="宋体" w:hAnsi="宋体"/>
          <w:b/>
          <w:kern w:val="44"/>
          <w:sz w:val="28"/>
        </w:rPr>
      </w:pPr>
      <w:r>
        <w:rPr>
          <w:rFonts w:hint="eastAsia" w:ascii="宋体" w:hAnsi="宋体"/>
          <w:b/>
          <w:kern w:val="44"/>
          <w:sz w:val="28"/>
        </w:rPr>
        <w:t>第三章　社会国防教育</w:t>
      </w:r>
    </w:p>
    <w:p w14:paraId="18D95ECB">
      <w:pPr>
        <w:jc w:val="left"/>
        <w:rPr>
          <w:rFonts w:ascii="宋体" w:hAnsi="宋体"/>
          <w:kern w:val="44"/>
        </w:rPr>
      </w:pPr>
    </w:p>
    <w:p w14:paraId="1D32B098">
      <w:pPr>
        <w:ind w:firstLine="422"/>
        <w:jc w:val="left"/>
        <w:rPr>
          <w:rFonts w:ascii="宋体" w:hAnsi="宋体"/>
          <w:kern w:val="44"/>
        </w:rPr>
      </w:pPr>
      <w:r>
        <w:rPr>
          <w:rFonts w:hint="eastAsia" w:ascii="宋体" w:hAnsi="宋体"/>
          <w:b/>
          <w:kern w:val="44"/>
        </w:rPr>
        <w:t>第十四条</w:t>
      </w:r>
      <w:r>
        <w:rPr>
          <w:rFonts w:hint="eastAsia" w:ascii="宋体" w:hAnsi="宋体"/>
          <w:kern w:val="44"/>
        </w:rPr>
        <w:t>　国家机关应当根据工作性质和特点，采取国防知识讲座、军事日活动等形式，有计划地对工作人员进行国防教育。</w:t>
      </w:r>
    </w:p>
    <w:p w14:paraId="7406AA43">
      <w:pPr>
        <w:jc w:val="left"/>
        <w:rPr>
          <w:rFonts w:ascii="宋体" w:hAnsi="宋体"/>
          <w:kern w:val="44"/>
        </w:rPr>
      </w:pPr>
      <w:r>
        <w:rPr>
          <w:rFonts w:hint="eastAsia" w:ascii="宋体" w:hAnsi="宋体"/>
          <w:kern w:val="44"/>
        </w:rPr>
        <w:t>从事征兵、国防科研生产、国民经济动员、民防、国防交通、国防教育、军事设施保护等国防建设事业的国家工作人员，应当学习和掌握履行职责所必需的国防知识和技能。</w:t>
      </w:r>
    </w:p>
    <w:p w14:paraId="2DB93449">
      <w:pPr>
        <w:jc w:val="left"/>
        <w:rPr>
          <w:rFonts w:ascii="宋体" w:hAnsi="宋体"/>
          <w:kern w:val="44"/>
        </w:rPr>
      </w:pPr>
      <w:r>
        <w:rPr>
          <w:rFonts w:hint="eastAsia" w:ascii="宋体" w:hAnsi="宋体"/>
          <w:kern w:val="44"/>
        </w:rPr>
        <w:t>本市根据需要选送有关单位的负责人或者其他人员到军事院校接受培训，学习和掌握履行职责所必需的国防知识和技能。</w:t>
      </w:r>
    </w:p>
    <w:p w14:paraId="70F1C076">
      <w:pPr>
        <w:ind w:firstLine="422"/>
        <w:jc w:val="left"/>
        <w:rPr>
          <w:rFonts w:ascii="宋体" w:hAnsi="宋体"/>
          <w:kern w:val="44"/>
        </w:rPr>
      </w:pPr>
      <w:r>
        <w:rPr>
          <w:rFonts w:hint="eastAsia" w:ascii="宋体" w:hAnsi="宋体"/>
          <w:b/>
          <w:kern w:val="44"/>
        </w:rPr>
        <w:t>第十五条</w:t>
      </w:r>
      <w:r>
        <w:rPr>
          <w:rFonts w:hint="eastAsia" w:ascii="宋体" w:hAnsi="宋体"/>
          <w:kern w:val="44"/>
        </w:rPr>
        <w:t>　民兵、预备役人员的国防教育按照国家和军队的有关规定执行。</w:t>
      </w:r>
    </w:p>
    <w:p w14:paraId="63D55D52">
      <w:pPr>
        <w:ind w:firstLine="422"/>
        <w:jc w:val="left"/>
        <w:rPr>
          <w:rFonts w:ascii="宋体" w:hAnsi="宋体"/>
          <w:kern w:val="44"/>
        </w:rPr>
      </w:pPr>
      <w:r>
        <w:rPr>
          <w:rFonts w:hint="eastAsia" w:ascii="宋体" w:hAnsi="宋体"/>
          <w:b/>
          <w:kern w:val="44"/>
        </w:rPr>
        <w:t>第十六条</w:t>
      </w:r>
      <w:r>
        <w:rPr>
          <w:rFonts w:hint="eastAsia" w:ascii="宋体" w:hAnsi="宋体"/>
          <w:kern w:val="44"/>
        </w:rPr>
        <w:t>　企业事业组织应当将国防教育列入职工教育计划，根据负有国防教育职责部门的安排和要求，组织本单位人员开展国防教育。</w:t>
      </w:r>
    </w:p>
    <w:p w14:paraId="362D74A0">
      <w:pPr>
        <w:jc w:val="left"/>
        <w:rPr>
          <w:rFonts w:ascii="宋体" w:hAnsi="宋体"/>
          <w:kern w:val="44"/>
        </w:rPr>
      </w:pPr>
      <w:r>
        <w:rPr>
          <w:rFonts w:hint="eastAsia" w:ascii="宋体" w:hAnsi="宋体"/>
          <w:kern w:val="44"/>
        </w:rPr>
        <w:t>承担国防科研生产、国防设施建设、国防交通保障等任务的企业事业组织，应当根据所担负的任务，制定相应的国防教育制度和计划，有针对性地对职工进行国防教育。</w:t>
      </w:r>
    </w:p>
    <w:p w14:paraId="22A84AA6">
      <w:pPr>
        <w:ind w:firstLine="422"/>
        <w:jc w:val="left"/>
        <w:rPr>
          <w:rFonts w:ascii="宋体" w:hAnsi="宋体"/>
          <w:kern w:val="44"/>
        </w:rPr>
      </w:pPr>
      <w:r>
        <w:rPr>
          <w:rFonts w:hint="eastAsia" w:ascii="宋体" w:hAnsi="宋体"/>
          <w:b/>
          <w:kern w:val="44"/>
        </w:rPr>
        <w:t>第十七条</w:t>
      </w:r>
      <w:r>
        <w:rPr>
          <w:rFonts w:hint="eastAsia" w:ascii="宋体" w:hAnsi="宋体"/>
          <w:kern w:val="44"/>
        </w:rPr>
        <w:t>　北京日报、北京人民广播电台、北京电视台、首都之窗网站等媒体，应当开设栏目或者制作节目，普及国防教育知识。</w:t>
      </w:r>
    </w:p>
    <w:p w14:paraId="128ED2CF">
      <w:pPr>
        <w:ind w:firstLine="422"/>
        <w:jc w:val="left"/>
        <w:rPr>
          <w:rFonts w:ascii="宋体" w:hAnsi="宋体"/>
          <w:kern w:val="44"/>
        </w:rPr>
      </w:pPr>
      <w:r>
        <w:rPr>
          <w:rFonts w:hint="eastAsia" w:ascii="宋体" w:hAnsi="宋体"/>
          <w:b/>
          <w:kern w:val="44"/>
        </w:rPr>
        <w:t>第十八条</w:t>
      </w:r>
      <w:r>
        <w:rPr>
          <w:rFonts w:hint="eastAsia" w:ascii="宋体" w:hAnsi="宋体"/>
          <w:kern w:val="44"/>
        </w:rPr>
        <w:t>　在国庆节、中国人民解放军建军节和全民国防教育日，经批准的军营向社会开放。</w:t>
      </w:r>
    </w:p>
    <w:p w14:paraId="51028244">
      <w:pPr>
        <w:ind w:firstLine="422"/>
        <w:jc w:val="left"/>
        <w:rPr>
          <w:rFonts w:ascii="宋体" w:hAnsi="宋体"/>
          <w:kern w:val="44"/>
        </w:rPr>
      </w:pPr>
      <w:r>
        <w:rPr>
          <w:rFonts w:hint="eastAsia" w:ascii="宋体" w:hAnsi="宋体"/>
          <w:b/>
          <w:kern w:val="44"/>
        </w:rPr>
        <w:t>第十九条</w:t>
      </w:r>
      <w:r>
        <w:rPr>
          <w:rFonts w:hint="eastAsia" w:ascii="宋体" w:hAnsi="宋体"/>
          <w:kern w:val="44"/>
        </w:rPr>
        <w:t>　居民委员会、村民委员会应当配合有关部门对本地区的居民、村民开展国防教育。</w:t>
      </w:r>
    </w:p>
    <w:p w14:paraId="3BA314C8">
      <w:pPr>
        <w:spacing w:line="300" w:lineRule="exact"/>
        <w:jc w:val="left"/>
        <w:rPr>
          <w:rFonts w:ascii="宋体" w:hAnsi="宋体"/>
          <w:kern w:val="44"/>
        </w:rPr>
      </w:pPr>
    </w:p>
    <w:p w14:paraId="0D64330E">
      <w:pPr>
        <w:ind w:firstLine="0" w:firstLineChars="0"/>
        <w:jc w:val="center"/>
        <w:rPr>
          <w:rFonts w:ascii="宋体" w:hAnsi="宋体"/>
          <w:b/>
          <w:kern w:val="44"/>
          <w:sz w:val="28"/>
        </w:rPr>
      </w:pPr>
      <w:r>
        <w:rPr>
          <w:rFonts w:hint="eastAsia" w:ascii="宋体" w:hAnsi="宋体"/>
          <w:b/>
          <w:kern w:val="44"/>
          <w:sz w:val="28"/>
        </w:rPr>
        <w:t>第四章　国防教育保障</w:t>
      </w:r>
    </w:p>
    <w:p w14:paraId="5BB52DBF">
      <w:pPr>
        <w:spacing w:line="300" w:lineRule="exact"/>
        <w:jc w:val="left"/>
        <w:rPr>
          <w:rFonts w:ascii="宋体" w:hAnsi="宋体"/>
          <w:kern w:val="44"/>
        </w:rPr>
      </w:pPr>
    </w:p>
    <w:p w14:paraId="09563B21">
      <w:pPr>
        <w:ind w:firstLine="422"/>
        <w:jc w:val="left"/>
        <w:rPr>
          <w:rFonts w:ascii="宋体" w:hAnsi="宋体"/>
          <w:kern w:val="44"/>
        </w:rPr>
      </w:pPr>
      <w:r>
        <w:rPr>
          <w:rFonts w:hint="eastAsia" w:ascii="宋体" w:hAnsi="宋体"/>
          <w:b/>
          <w:kern w:val="44"/>
        </w:rPr>
        <w:t>第二十条</w:t>
      </w:r>
      <w:r>
        <w:rPr>
          <w:rFonts w:hint="eastAsia" w:ascii="宋体" w:hAnsi="宋体"/>
          <w:kern w:val="44"/>
        </w:rPr>
        <w:t>　市和区、县人民政府应当根据开展国防教育的需要，在财政预算中保障国防教育所需的经费。</w:t>
      </w:r>
    </w:p>
    <w:p w14:paraId="201E4C5F">
      <w:pPr>
        <w:jc w:val="left"/>
        <w:rPr>
          <w:rFonts w:ascii="宋体" w:hAnsi="宋体"/>
          <w:kern w:val="44"/>
        </w:rPr>
      </w:pPr>
      <w:r>
        <w:rPr>
          <w:rFonts w:hint="eastAsia" w:ascii="宋体" w:hAnsi="宋体"/>
          <w:kern w:val="44"/>
        </w:rPr>
        <w:t>负有国防教育职责的部门应当在本部门预算经费内列支国防教育所需经费。</w:t>
      </w:r>
    </w:p>
    <w:p w14:paraId="2B93BF7E">
      <w:pPr>
        <w:ind w:firstLine="422"/>
        <w:jc w:val="left"/>
        <w:rPr>
          <w:rFonts w:ascii="宋体" w:hAnsi="宋体"/>
          <w:kern w:val="44"/>
        </w:rPr>
      </w:pPr>
      <w:r>
        <w:rPr>
          <w:rFonts w:hint="eastAsia" w:ascii="宋体" w:hAnsi="宋体"/>
          <w:b/>
          <w:kern w:val="44"/>
        </w:rPr>
        <w:t>第二十一条</w:t>
      </w:r>
      <w:r>
        <w:rPr>
          <w:rFonts w:hint="eastAsia" w:ascii="宋体" w:hAnsi="宋体"/>
          <w:kern w:val="44"/>
        </w:rPr>
        <w:t>　各级各类学校应当按照有关规定，在本单位的经费中列支学生国防教育经费，落实师资、教材和课时，保障对学生进行国防教育的需要。</w:t>
      </w:r>
    </w:p>
    <w:p w14:paraId="677D9AB7">
      <w:pPr>
        <w:ind w:firstLine="422"/>
        <w:jc w:val="left"/>
        <w:rPr>
          <w:rFonts w:ascii="宋体" w:hAnsi="宋体"/>
          <w:kern w:val="44"/>
        </w:rPr>
      </w:pPr>
      <w:r>
        <w:rPr>
          <w:rFonts w:hint="eastAsia" w:ascii="宋体" w:hAnsi="宋体"/>
          <w:b/>
          <w:kern w:val="44"/>
        </w:rPr>
        <w:t>第二十二条</w:t>
      </w:r>
      <w:r>
        <w:rPr>
          <w:rFonts w:hint="eastAsia" w:ascii="宋体" w:hAnsi="宋体"/>
          <w:kern w:val="44"/>
        </w:rPr>
        <w:t>　鼓励单位和个人以捐赠、资助，开展国防教育宣传、研究等形式，参与、支持国防教育。</w:t>
      </w:r>
    </w:p>
    <w:p w14:paraId="7CC31E59">
      <w:pPr>
        <w:ind w:firstLine="422"/>
        <w:jc w:val="left"/>
        <w:rPr>
          <w:rFonts w:ascii="宋体" w:hAnsi="宋体"/>
          <w:kern w:val="44"/>
        </w:rPr>
      </w:pPr>
      <w:r>
        <w:rPr>
          <w:rFonts w:hint="eastAsia" w:ascii="宋体" w:hAnsi="宋体"/>
          <w:b/>
          <w:kern w:val="44"/>
        </w:rPr>
        <w:t>第二十三条</w:t>
      </w:r>
      <w:r>
        <w:rPr>
          <w:rFonts w:hint="eastAsia" w:ascii="宋体" w:hAnsi="宋体"/>
          <w:kern w:val="44"/>
        </w:rPr>
        <w:t>　国防教育经费和捐赠、资助国防教育的财产，应当用于国防教育事业，任何单位或者个人不得挪用、克扣。</w:t>
      </w:r>
    </w:p>
    <w:p w14:paraId="36C3E4C6">
      <w:pPr>
        <w:ind w:firstLine="422"/>
        <w:jc w:val="left"/>
        <w:rPr>
          <w:rFonts w:ascii="宋体" w:hAnsi="宋体"/>
          <w:kern w:val="44"/>
        </w:rPr>
      </w:pPr>
      <w:r>
        <w:rPr>
          <w:rFonts w:hint="eastAsia" w:ascii="宋体" w:hAnsi="宋体"/>
          <w:b/>
          <w:kern w:val="44"/>
        </w:rPr>
        <w:t>第二十四条</w:t>
      </w:r>
      <w:r>
        <w:rPr>
          <w:rFonts w:hint="eastAsia" w:ascii="宋体" w:hAnsi="宋体"/>
          <w:kern w:val="44"/>
        </w:rPr>
        <w:t>　具有国防教育功能的博物馆、纪念馆、科技馆、文化馆、青少年宫等场所，应当采取多种形式为公民接受国防教育提供服务，对有组织的国防教育活动实行优惠或者免费。</w:t>
      </w:r>
    </w:p>
    <w:p w14:paraId="1DD44185">
      <w:pPr>
        <w:ind w:firstLine="422"/>
        <w:jc w:val="left"/>
        <w:rPr>
          <w:rFonts w:ascii="宋体" w:hAnsi="宋体"/>
          <w:kern w:val="44"/>
        </w:rPr>
      </w:pPr>
      <w:r>
        <w:rPr>
          <w:rFonts w:hint="eastAsia" w:ascii="宋体" w:hAnsi="宋体"/>
          <w:b/>
          <w:kern w:val="44"/>
        </w:rPr>
        <w:t>第二十五条</w:t>
      </w:r>
      <w:r>
        <w:rPr>
          <w:rFonts w:hint="eastAsia" w:ascii="宋体" w:hAnsi="宋体"/>
          <w:kern w:val="44"/>
        </w:rPr>
        <w:t>　市和区、县人民政府应当统筹国防教育基地的规划、建设和管理。</w:t>
      </w:r>
    </w:p>
    <w:p w14:paraId="5B7D25F4">
      <w:pPr>
        <w:jc w:val="left"/>
        <w:rPr>
          <w:rFonts w:ascii="宋体" w:hAnsi="宋体"/>
          <w:kern w:val="44"/>
        </w:rPr>
      </w:pPr>
      <w:r>
        <w:rPr>
          <w:rFonts w:hint="eastAsia" w:ascii="宋体" w:hAnsi="宋体"/>
          <w:kern w:val="44"/>
        </w:rPr>
        <w:t>国防教育基地应当对有组织的中小学生免费开放，在全民国防教育日向社会免费开放。</w:t>
      </w:r>
    </w:p>
    <w:p w14:paraId="160DA6A1">
      <w:pPr>
        <w:ind w:firstLine="422"/>
        <w:jc w:val="left"/>
        <w:rPr>
          <w:rFonts w:ascii="宋体" w:hAnsi="宋体"/>
          <w:kern w:val="44"/>
        </w:rPr>
      </w:pPr>
      <w:r>
        <w:rPr>
          <w:rFonts w:hint="eastAsia" w:ascii="宋体" w:hAnsi="宋体"/>
          <w:b/>
          <w:kern w:val="44"/>
        </w:rPr>
        <w:t>第二十六条</w:t>
      </w:r>
      <w:r>
        <w:rPr>
          <w:rFonts w:hint="eastAsia" w:ascii="宋体" w:hAnsi="宋体"/>
          <w:kern w:val="44"/>
        </w:rPr>
        <w:t>　市和区、县人民政府统筹规划国防教育培训机构的建设和管理，为国家机关、企业事业组织、社会团体等开展国防教育提供保障。</w:t>
      </w:r>
    </w:p>
    <w:p w14:paraId="6153151B">
      <w:pPr>
        <w:jc w:val="left"/>
        <w:rPr>
          <w:rFonts w:ascii="宋体" w:hAnsi="宋体"/>
          <w:kern w:val="44"/>
        </w:rPr>
      </w:pPr>
      <w:r>
        <w:rPr>
          <w:rFonts w:hint="eastAsia" w:ascii="宋体" w:hAnsi="宋体"/>
          <w:kern w:val="44"/>
        </w:rPr>
        <w:t>国防教育培训机构应当依法成立并开展国防教育活动。</w:t>
      </w:r>
    </w:p>
    <w:p w14:paraId="39193333">
      <w:pPr>
        <w:ind w:firstLine="422"/>
        <w:jc w:val="left"/>
        <w:rPr>
          <w:rFonts w:ascii="宋体" w:hAnsi="宋体"/>
          <w:kern w:val="44"/>
        </w:rPr>
      </w:pPr>
      <w:r>
        <w:rPr>
          <w:rFonts w:hint="eastAsia" w:ascii="宋体" w:hAnsi="宋体"/>
          <w:b/>
          <w:kern w:val="44"/>
        </w:rPr>
        <w:t>第二十七条</w:t>
      </w:r>
      <w:r>
        <w:rPr>
          <w:rFonts w:hint="eastAsia" w:ascii="宋体" w:hAnsi="宋体"/>
          <w:kern w:val="44"/>
        </w:rPr>
        <w:t>　国防教育办公室组织、协调有关单位从热爱国防教育事业、具备国防知识和必要军事技能的人员中选拔国防教育教员，并加强对国防教育教员的培训和管理，协助国家机关、企业事业组织、社会团体等开展国防教育。</w:t>
      </w:r>
    </w:p>
    <w:p w14:paraId="7BBD6D91">
      <w:pPr>
        <w:ind w:firstLine="422"/>
        <w:jc w:val="left"/>
        <w:rPr>
          <w:rFonts w:ascii="宋体" w:hAnsi="宋体"/>
          <w:kern w:val="44"/>
        </w:rPr>
      </w:pPr>
      <w:r>
        <w:rPr>
          <w:rFonts w:hint="eastAsia" w:ascii="宋体" w:hAnsi="宋体"/>
          <w:b/>
          <w:kern w:val="44"/>
        </w:rPr>
        <w:t>第二十八条</w:t>
      </w:r>
      <w:r>
        <w:rPr>
          <w:rFonts w:hint="eastAsia" w:ascii="宋体" w:hAnsi="宋体"/>
          <w:kern w:val="44"/>
        </w:rPr>
        <w:t>　国防教育办公室应当会同教育、人事、兵役、民防、保密等部门，根据不同国防教育对象的情况和国防教育需要，依据全民国防教育大纲，组织编写国防教育基础知识教材和应用教材。</w:t>
      </w:r>
    </w:p>
    <w:p w14:paraId="6700F9E0">
      <w:pPr>
        <w:ind w:firstLine="422"/>
        <w:jc w:val="left"/>
        <w:rPr>
          <w:rFonts w:ascii="宋体" w:hAnsi="宋体"/>
          <w:kern w:val="44"/>
        </w:rPr>
      </w:pPr>
      <w:r>
        <w:rPr>
          <w:rFonts w:hint="eastAsia" w:ascii="宋体" w:hAnsi="宋体"/>
          <w:b/>
          <w:kern w:val="44"/>
        </w:rPr>
        <w:t>第二十九条</w:t>
      </w:r>
      <w:r>
        <w:rPr>
          <w:rFonts w:hint="eastAsia" w:ascii="宋体" w:hAnsi="宋体"/>
          <w:kern w:val="44"/>
        </w:rPr>
        <w:t>　国防教育办公室应当制定国防教育工作考核办法，对负有国防教育职责的部门进行考核。</w:t>
      </w:r>
    </w:p>
    <w:p w14:paraId="09B2723E">
      <w:pPr>
        <w:jc w:val="left"/>
        <w:rPr>
          <w:rFonts w:ascii="宋体" w:hAnsi="宋体"/>
          <w:kern w:val="44"/>
        </w:rPr>
      </w:pPr>
      <w:r>
        <w:rPr>
          <w:rFonts w:hint="eastAsia" w:ascii="宋体" w:hAnsi="宋体"/>
          <w:kern w:val="44"/>
        </w:rPr>
        <w:t>负有国防教育职责的部门应当建立国防教育责任制，落实国防教育工作。</w:t>
      </w:r>
    </w:p>
    <w:p w14:paraId="6636DDA7">
      <w:pPr>
        <w:ind w:firstLine="422"/>
        <w:jc w:val="left"/>
        <w:rPr>
          <w:rFonts w:ascii="宋体" w:hAnsi="宋体"/>
          <w:kern w:val="44"/>
        </w:rPr>
      </w:pPr>
      <w:r>
        <w:rPr>
          <w:rFonts w:hint="eastAsia" w:ascii="宋体" w:hAnsi="宋体"/>
          <w:b/>
          <w:kern w:val="44"/>
        </w:rPr>
        <w:t>第三十条</w:t>
      </w:r>
      <w:r>
        <w:rPr>
          <w:rFonts w:hint="eastAsia" w:ascii="宋体" w:hAnsi="宋体"/>
          <w:kern w:val="44"/>
        </w:rPr>
        <w:t>　本市对在国防教育中做出突出贡献的单位和个人，予以表彰和奖励。</w:t>
      </w:r>
    </w:p>
    <w:p w14:paraId="66E4295A">
      <w:pPr>
        <w:jc w:val="left"/>
        <w:rPr>
          <w:rFonts w:ascii="宋体" w:hAnsi="宋体"/>
          <w:kern w:val="44"/>
        </w:rPr>
      </w:pPr>
    </w:p>
    <w:p w14:paraId="0C9CEDE0">
      <w:pPr>
        <w:ind w:firstLine="562"/>
        <w:jc w:val="center"/>
        <w:rPr>
          <w:rFonts w:ascii="宋体" w:hAnsi="宋体"/>
          <w:b/>
          <w:bCs/>
          <w:kern w:val="44"/>
          <w:sz w:val="28"/>
          <w:szCs w:val="28"/>
        </w:rPr>
      </w:pPr>
      <w:r>
        <w:rPr>
          <w:rFonts w:hint="eastAsia" w:ascii="宋体" w:hAnsi="宋体"/>
          <w:b/>
          <w:bCs/>
          <w:kern w:val="44"/>
          <w:sz w:val="28"/>
          <w:szCs w:val="28"/>
        </w:rPr>
        <w:t>第五章　法律责任</w:t>
      </w:r>
    </w:p>
    <w:p w14:paraId="73620A56">
      <w:pPr>
        <w:jc w:val="left"/>
        <w:rPr>
          <w:rFonts w:ascii="宋体" w:hAnsi="宋体"/>
          <w:kern w:val="44"/>
        </w:rPr>
      </w:pPr>
    </w:p>
    <w:p w14:paraId="1BF9923A">
      <w:pPr>
        <w:ind w:firstLine="422"/>
        <w:jc w:val="left"/>
        <w:rPr>
          <w:rFonts w:ascii="宋体" w:hAnsi="宋体"/>
          <w:kern w:val="44"/>
        </w:rPr>
      </w:pPr>
      <w:r>
        <w:rPr>
          <w:rFonts w:hint="eastAsia" w:ascii="宋体" w:hAnsi="宋体"/>
          <w:b/>
          <w:kern w:val="44"/>
        </w:rPr>
        <w:t>第三十一条</w:t>
      </w:r>
      <w:r>
        <w:rPr>
          <w:rFonts w:hint="eastAsia" w:ascii="宋体" w:hAnsi="宋体"/>
          <w:kern w:val="44"/>
        </w:rPr>
        <w:t>　负责国防教育的国家工作人员玩忽职守、滥用职权、徇私舞弊的，依法给予行政处分；构成犯罪的，依法追究刑事责任。</w:t>
      </w:r>
    </w:p>
    <w:p w14:paraId="4241BA5F">
      <w:pPr>
        <w:ind w:firstLine="422"/>
        <w:jc w:val="left"/>
        <w:rPr>
          <w:rFonts w:ascii="宋体" w:hAnsi="宋体"/>
          <w:kern w:val="44"/>
        </w:rPr>
      </w:pPr>
      <w:r>
        <w:rPr>
          <w:rFonts w:hint="eastAsia" w:ascii="宋体" w:hAnsi="宋体"/>
          <w:b/>
          <w:kern w:val="44"/>
        </w:rPr>
        <w:t>第三十二条</w:t>
      </w:r>
      <w:r>
        <w:rPr>
          <w:rFonts w:hint="eastAsia" w:ascii="宋体" w:hAnsi="宋体"/>
          <w:kern w:val="44"/>
        </w:rPr>
        <w:t>　违反本办法第二十三条规定，挪用、克扣国防教育经费的，由有关主管部门责令限期归还；对负有直接责任的主管人员和其他直接责任人员依法给予行政处分；构成犯罪的，依法追究刑事责任。</w:t>
      </w:r>
    </w:p>
    <w:p w14:paraId="6EB0B990">
      <w:pPr>
        <w:jc w:val="left"/>
        <w:rPr>
          <w:rFonts w:ascii="宋体" w:hAnsi="宋体"/>
          <w:kern w:val="44"/>
        </w:rPr>
      </w:pPr>
    </w:p>
    <w:p w14:paraId="05927CD2">
      <w:pPr>
        <w:ind w:firstLine="0" w:firstLineChars="0"/>
        <w:jc w:val="center"/>
        <w:rPr>
          <w:rFonts w:ascii="宋体" w:hAnsi="宋体"/>
          <w:b/>
          <w:kern w:val="44"/>
          <w:sz w:val="28"/>
        </w:rPr>
      </w:pPr>
      <w:r>
        <w:rPr>
          <w:rFonts w:hint="eastAsia" w:ascii="宋体" w:hAnsi="宋体"/>
          <w:b/>
          <w:kern w:val="44"/>
          <w:sz w:val="28"/>
        </w:rPr>
        <w:t>第六章　附　则</w:t>
      </w:r>
    </w:p>
    <w:p w14:paraId="753D43E1">
      <w:pPr>
        <w:jc w:val="left"/>
        <w:rPr>
          <w:rFonts w:ascii="宋体" w:hAnsi="宋体"/>
          <w:kern w:val="44"/>
        </w:rPr>
      </w:pPr>
    </w:p>
    <w:p w14:paraId="03566C40">
      <w:pPr>
        <w:ind w:firstLine="422"/>
        <w:jc w:val="left"/>
        <w:rPr>
          <w:rFonts w:ascii="宋体" w:hAnsi="宋体"/>
          <w:kern w:val="44"/>
        </w:rPr>
      </w:pPr>
      <w:r>
        <w:rPr>
          <w:rFonts w:hint="eastAsia" w:ascii="宋体" w:hAnsi="宋体"/>
          <w:b/>
          <w:kern w:val="44"/>
        </w:rPr>
        <w:t>第三十三条</w:t>
      </w:r>
      <w:r>
        <w:rPr>
          <w:rFonts w:hint="eastAsia" w:ascii="宋体" w:hAnsi="宋体"/>
          <w:kern w:val="44"/>
        </w:rPr>
        <w:t>　本办法自2007年9月15日起施行。1993年7月30日北京市第十届人民代表大会常务委员会第四次会议通过的《北京市国防教育条例》同时废止。</w:t>
      </w:r>
    </w:p>
    <w:p w14:paraId="0D36C212">
      <w:pPr>
        <w:pStyle w:val="4"/>
        <w:pageBreakBefore/>
        <w:rPr>
          <w:kern w:val="44"/>
        </w:rPr>
      </w:pPr>
      <w:bookmarkStart w:id="1501" w:name="_Toc428781699"/>
      <w:bookmarkStart w:id="1502" w:name="_Toc427651993"/>
      <w:bookmarkStart w:id="1503" w:name="_Toc427651651"/>
      <w:bookmarkStart w:id="1504" w:name="_Toc428780217"/>
      <w:bookmarkStart w:id="1505" w:name="_Toc422471393"/>
      <w:r>
        <w:rPr>
          <w:rFonts w:hint="eastAsia"/>
          <w:kern w:val="44"/>
        </w:rPr>
        <w:t>北京市教师申诉办法</w:t>
      </w:r>
      <w:bookmarkEnd w:id="1501"/>
      <w:bookmarkEnd w:id="1502"/>
      <w:bookmarkEnd w:id="1503"/>
      <w:bookmarkEnd w:id="1504"/>
      <w:bookmarkEnd w:id="1505"/>
    </w:p>
    <w:p w14:paraId="2A2EB5FA">
      <w:pPr>
        <w:ind w:left="630" w:leftChars="300" w:right="630" w:rightChars="300"/>
        <w:jc w:val="left"/>
        <w:rPr>
          <w:rFonts w:ascii="楷体" w:hAnsi="楷体" w:eastAsia="楷体"/>
          <w:kern w:val="44"/>
        </w:rPr>
      </w:pPr>
      <w:r>
        <w:rPr>
          <w:rFonts w:hint="eastAsia" w:ascii="楷体" w:hAnsi="楷体" w:eastAsia="楷体"/>
          <w:kern w:val="44"/>
        </w:rPr>
        <w:t>（1996年1月25日市人民政府第77次常务会议通过　1996年3月19日北京市人民政府第2号令发布　1996年4月1日起施行　根据1998年7月8日发布的北京市人民政府令第8号《北京市人民政府关于修改〈北京市教师申诉办法〉的决定》进行修正）</w:t>
      </w:r>
    </w:p>
    <w:p w14:paraId="05BA2CD4">
      <w:pPr>
        <w:jc w:val="left"/>
        <w:rPr>
          <w:rFonts w:ascii="宋体" w:hAnsi="宋体"/>
          <w:kern w:val="44"/>
        </w:rPr>
      </w:pPr>
    </w:p>
    <w:p w14:paraId="3AE0C4DF">
      <w:pPr>
        <w:ind w:firstLine="422"/>
        <w:jc w:val="left"/>
        <w:rPr>
          <w:rFonts w:ascii="宋体" w:hAnsi="宋体"/>
          <w:kern w:val="44"/>
        </w:rPr>
      </w:pPr>
      <w:r>
        <w:rPr>
          <w:rFonts w:hint="eastAsia" w:ascii="宋体" w:hAnsi="宋体"/>
          <w:b/>
          <w:kern w:val="44"/>
        </w:rPr>
        <w:t>第一条</w:t>
      </w:r>
      <w:r>
        <w:rPr>
          <w:rFonts w:hint="eastAsia" w:ascii="宋体" w:hAnsi="宋体"/>
          <w:kern w:val="44"/>
        </w:rPr>
        <w:t>　根据《北京市实施〈中华人民共和国教师法〉办法》（以下简称《办法》）第二十四条规定，制定本办法。</w:t>
      </w:r>
    </w:p>
    <w:p w14:paraId="21506D25">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本办法适用于本市所属的各级各类</w:t>
      </w:r>
      <w:r>
        <w:rPr>
          <w:rFonts w:hint="eastAsia" w:ascii="宋体" w:hAnsi="宋体"/>
          <w:kern w:val="44"/>
          <w:lang w:val="en-US" w:eastAsia="zh-CN"/>
        </w:rPr>
        <w:t>730</w:t>
      </w:r>
      <w:r>
        <w:rPr>
          <w:rFonts w:hint="eastAsia" w:ascii="宋体" w:hAnsi="宋体"/>
          <w:kern w:val="44"/>
        </w:rPr>
        <w:t>学校和其他教育机构中的教师对下列情况提出的申诉：</w:t>
      </w:r>
    </w:p>
    <w:p w14:paraId="3545EF71">
      <w:pPr>
        <w:jc w:val="left"/>
        <w:rPr>
          <w:rFonts w:ascii="宋体" w:hAnsi="宋体"/>
          <w:kern w:val="44"/>
        </w:rPr>
      </w:pPr>
      <w:r>
        <w:rPr>
          <w:rFonts w:hint="eastAsia" w:ascii="宋体" w:hAnsi="宋体"/>
          <w:kern w:val="44"/>
        </w:rPr>
        <w:t>（一）学校或者其他教育机构侵犯《中华人民共和国教师法》（以下简称《教师法》）规定的教师合法权益的；</w:t>
      </w:r>
    </w:p>
    <w:p w14:paraId="138867D4">
      <w:pPr>
        <w:jc w:val="left"/>
        <w:rPr>
          <w:rFonts w:ascii="宋体" w:hAnsi="宋体"/>
          <w:kern w:val="44"/>
        </w:rPr>
      </w:pPr>
      <w:r>
        <w:rPr>
          <w:rFonts w:hint="eastAsia" w:ascii="宋体" w:hAnsi="宋体"/>
          <w:kern w:val="44"/>
        </w:rPr>
        <w:t>（二）不服学校或者其他教育机构作出的处理决定的；</w:t>
      </w:r>
    </w:p>
    <w:p w14:paraId="716D8C96">
      <w:pPr>
        <w:jc w:val="left"/>
        <w:rPr>
          <w:rFonts w:ascii="宋体" w:hAnsi="宋体"/>
          <w:kern w:val="44"/>
        </w:rPr>
      </w:pPr>
      <w:r>
        <w:rPr>
          <w:rFonts w:hint="eastAsia" w:ascii="宋体" w:hAnsi="宋体"/>
          <w:kern w:val="44"/>
        </w:rPr>
        <w:t>（三）当地人民政府的有关行政部门侵犯《教师法》规定的教师合法权益的。</w:t>
      </w:r>
    </w:p>
    <w:p w14:paraId="1BC4B823">
      <w:pPr>
        <w:ind w:firstLine="422"/>
        <w:jc w:val="left"/>
        <w:rPr>
          <w:rFonts w:ascii="宋体" w:hAnsi="宋体"/>
          <w:kern w:val="44"/>
        </w:rPr>
      </w:pPr>
      <w:r>
        <w:rPr>
          <w:rFonts w:hint="eastAsia" w:ascii="宋体" w:hAnsi="宋体"/>
          <w:b/>
          <w:kern w:val="44"/>
        </w:rPr>
        <w:t>第三条</w:t>
      </w:r>
      <w:r>
        <w:rPr>
          <w:rFonts w:hint="eastAsia" w:ascii="宋体" w:hAnsi="宋体"/>
          <w:kern w:val="44"/>
        </w:rPr>
        <w:t>　教师对本办法第二条第（一）、（二）项情形提出的申诉，由市或者区、县教育行政部门、劳动行政部门按照《办法》第四条的职责划分受理。教师对本办法第二条第（三）项情形提出的申诉，由有关行政部门的同级人民政府或者其上一级行政部门受理。</w:t>
      </w:r>
    </w:p>
    <w:p w14:paraId="055B1A28">
      <w:pPr>
        <w:jc w:val="left"/>
        <w:rPr>
          <w:rFonts w:ascii="宋体" w:hAnsi="宋体"/>
          <w:kern w:val="44"/>
        </w:rPr>
      </w:pPr>
      <w:r>
        <w:rPr>
          <w:rFonts w:hint="eastAsia" w:ascii="宋体" w:hAnsi="宋体"/>
          <w:kern w:val="44"/>
        </w:rPr>
        <w:t>教师对行政部门侵犯《教师法》规定的合法权益，符合行政复议或者行政诉讼受理条件的，也可以依法申请行政复议或者提起行政诉讼。</w:t>
      </w:r>
    </w:p>
    <w:p w14:paraId="44095D5C">
      <w:pPr>
        <w:ind w:firstLine="422"/>
        <w:jc w:val="left"/>
        <w:rPr>
          <w:rFonts w:ascii="宋体" w:hAnsi="宋体"/>
          <w:kern w:val="44"/>
        </w:rPr>
      </w:pPr>
      <w:r>
        <w:rPr>
          <w:rFonts w:hint="eastAsia" w:ascii="宋体" w:hAnsi="宋体"/>
          <w:b/>
          <w:kern w:val="44"/>
        </w:rPr>
        <w:t>第四条</w:t>
      </w:r>
      <w:r>
        <w:rPr>
          <w:rFonts w:hint="eastAsia" w:ascii="宋体" w:hAnsi="宋体"/>
          <w:kern w:val="44"/>
        </w:rPr>
        <w:t>　教师提出申诉，应当以书面形式向受理申诉机关交送申诉书。申诉书应当载明以下事项：</w:t>
      </w:r>
    </w:p>
    <w:p w14:paraId="21F2245E">
      <w:pPr>
        <w:jc w:val="left"/>
        <w:rPr>
          <w:rFonts w:ascii="宋体" w:hAnsi="宋体"/>
          <w:kern w:val="44"/>
        </w:rPr>
      </w:pPr>
      <w:r>
        <w:rPr>
          <w:rFonts w:hint="eastAsia" w:ascii="宋体" w:hAnsi="宋体"/>
          <w:kern w:val="44"/>
        </w:rPr>
        <w:t>（一）申诉人的基本情况；</w:t>
      </w:r>
    </w:p>
    <w:p w14:paraId="484794BD">
      <w:pPr>
        <w:jc w:val="left"/>
        <w:rPr>
          <w:rFonts w:ascii="宋体" w:hAnsi="宋体"/>
          <w:kern w:val="44"/>
        </w:rPr>
      </w:pPr>
      <w:r>
        <w:rPr>
          <w:rFonts w:hint="eastAsia" w:ascii="宋体" w:hAnsi="宋体"/>
          <w:kern w:val="44"/>
        </w:rPr>
        <w:t>（二）被申诉人的基本情况；</w:t>
      </w:r>
    </w:p>
    <w:p w14:paraId="3C9A91C8">
      <w:pPr>
        <w:jc w:val="left"/>
        <w:rPr>
          <w:rFonts w:ascii="宋体" w:hAnsi="宋体"/>
          <w:kern w:val="44"/>
        </w:rPr>
      </w:pPr>
      <w:r>
        <w:rPr>
          <w:rFonts w:hint="eastAsia" w:ascii="宋体" w:hAnsi="宋体"/>
          <w:kern w:val="44"/>
        </w:rPr>
        <w:t>（三）申诉请求；</w:t>
      </w:r>
    </w:p>
    <w:p w14:paraId="2CDD2BF4">
      <w:pPr>
        <w:jc w:val="left"/>
        <w:rPr>
          <w:rFonts w:ascii="宋体" w:hAnsi="宋体"/>
          <w:kern w:val="44"/>
        </w:rPr>
      </w:pPr>
      <w:r>
        <w:rPr>
          <w:rFonts w:hint="eastAsia" w:ascii="宋体" w:hAnsi="宋体"/>
          <w:kern w:val="44"/>
        </w:rPr>
        <w:t>（四）申诉理由；</w:t>
      </w:r>
    </w:p>
    <w:p w14:paraId="7B95EAF0">
      <w:pPr>
        <w:jc w:val="left"/>
        <w:rPr>
          <w:rFonts w:ascii="宋体" w:hAnsi="宋体"/>
          <w:kern w:val="44"/>
        </w:rPr>
      </w:pPr>
      <w:r>
        <w:rPr>
          <w:rFonts w:hint="eastAsia" w:ascii="宋体" w:hAnsi="宋体"/>
          <w:kern w:val="44"/>
        </w:rPr>
        <w:t>（五）其他有关情况。</w:t>
      </w:r>
    </w:p>
    <w:p w14:paraId="3EED36FA">
      <w:pPr>
        <w:ind w:firstLine="422"/>
        <w:jc w:val="left"/>
        <w:rPr>
          <w:rFonts w:ascii="宋体" w:hAnsi="宋体"/>
          <w:kern w:val="44"/>
        </w:rPr>
      </w:pPr>
      <w:r>
        <w:rPr>
          <w:rFonts w:hint="eastAsia" w:ascii="宋体" w:hAnsi="宋体"/>
          <w:b/>
          <w:kern w:val="44"/>
        </w:rPr>
        <w:t>第五条</w:t>
      </w:r>
      <w:r>
        <w:rPr>
          <w:rFonts w:hint="eastAsia" w:ascii="宋体" w:hAnsi="宋体"/>
          <w:kern w:val="44"/>
        </w:rPr>
        <w:t>　受理申诉的机关应当确定相应机构和专职或者兼职人员负责受理教师申诉工作。</w:t>
      </w:r>
    </w:p>
    <w:p w14:paraId="5DEBE447">
      <w:pPr>
        <w:jc w:val="left"/>
        <w:rPr>
          <w:rFonts w:ascii="宋体" w:hAnsi="宋体"/>
          <w:kern w:val="44"/>
        </w:rPr>
      </w:pPr>
      <w:r>
        <w:rPr>
          <w:rFonts w:hint="eastAsia" w:ascii="宋体" w:hAnsi="宋体"/>
          <w:kern w:val="44"/>
        </w:rPr>
        <w:t>受理申诉机关对不属于其管辖范围的申诉案件，应当移送有管辖权的机关，并及时通知申诉人。</w:t>
      </w:r>
    </w:p>
    <w:p w14:paraId="2AD2AFD4">
      <w:pPr>
        <w:ind w:firstLine="422"/>
        <w:jc w:val="left"/>
        <w:rPr>
          <w:rFonts w:ascii="宋体" w:hAnsi="宋体"/>
          <w:kern w:val="44"/>
        </w:rPr>
      </w:pPr>
      <w:r>
        <w:rPr>
          <w:rFonts w:hint="eastAsia" w:ascii="宋体" w:hAnsi="宋体"/>
          <w:b/>
          <w:kern w:val="44"/>
        </w:rPr>
        <w:t>第六条</w:t>
      </w:r>
      <w:r>
        <w:rPr>
          <w:rFonts w:hint="eastAsia" w:ascii="宋体" w:hAnsi="宋体"/>
          <w:kern w:val="44"/>
        </w:rPr>
        <w:t>　教育行政部门应当自收到申诉书的次日起30日内对申诉作出处理，受理申诉的人民政府或者有关行政机关也应当在规定的时间内作出处理。</w:t>
      </w:r>
    </w:p>
    <w:p w14:paraId="313F3D57">
      <w:pPr>
        <w:ind w:firstLine="422"/>
        <w:jc w:val="left"/>
        <w:rPr>
          <w:rFonts w:ascii="宋体" w:hAnsi="宋体"/>
          <w:kern w:val="44"/>
        </w:rPr>
      </w:pPr>
      <w:r>
        <w:rPr>
          <w:rFonts w:hint="eastAsia" w:ascii="宋体" w:hAnsi="宋体"/>
          <w:b/>
          <w:kern w:val="44"/>
        </w:rPr>
        <w:t>第七条</w:t>
      </w:r>
      <w:r>
        <w:rPr>
          <w:rFonts w:hint="eastAsia" w:ascii="宋体" w:hAnsi="宋体"/>
          <w:kern w:val="44"/>
        </w:rPr>
        <w:t>　受理申诉的机关的主办人员对教师提出的申诉不得拖延推诿。对故意拖延推诿情节严重或者造成严重后果的，由其所在单位或者上级主管部门追究责任人的行政责任。</w:t>
      </w:r>
    </w:p>
    <w:p w14:paraId="5D5C70C8">
      <w:pPr>
        <w:ind w:firstLine="422"/>
        <w:jc w:val="left"/>
        <w:rPr>
          <w:rFonts w:ascii="宋体" w:hAnsi="宋体"/>
          <w:kern w:val="44"/>
        </w:rPr>
      </w:pPr>
      <w:r>
        <w:rPr>
          <w:rFonts w:hint="eastAsia" w:ascii="宋体" w:hAnsi="宋体"/>
          <w:b/>
          <w:kern w:val="44"/>
        </w:rPr>
        <w:t>第八条</w:t>
      </w:r>
      <w:r>
        <w:rPr>
          <w:rFonts w:hint="eastAsia" w:ascii="宋体" w:hAnsi="宋体"/>
          <w:kern w:val="44"/>
        </w:rPr>
        <w:t>　教师应当在知道（或者应当知道）自己合法权益受到侵犯，或者在知道（或者应当知道）学校或者其他教育机构作出的处理决定之日起一年内，向有关行政机关提出申诉申请，逾期不提出视为自动放弃申诉权利。教师在自动撤回申诉或者接到受理申诉机关的正式处理后，不得就同一事实和理由再次提出申诉申请。</w:t>
      </w:r>
    </w:p>
    <w:p w14:paraId="56FB5468">
      <w:pPr>
        <w:ind w:firstLine="422"/>
        <w:jc w:val="left"/>
        <w:rPr>
          <w:rFonts w:ascii="宋体" w:hAnsi="宋体"/>
          <w:kern w:val="44"/>
        </w:rPr>
      </w:pPr>
      <w:r>
        <w:rPr>
          <w:rFonts w:hint="eastAsia" w:ascii="宋体" w:hAnsi="宋体"/>
          <w:b/>
          <w:kern w:val="44"/>
        </w:rPr>
        <w:t>第九条</w:t>
      </w:r>
      <w:r>
        <w:rPr>
          <w:rFonts w:hint="eastAsia" w:ascii="宋体" w:hAnsi="宋体"/>
          <w:kern w:val="44"/>
        </w:rPr>
        <w:t>　本办法执行中的具体问题，由市教育委员会负责解释。</w:t>
      </w:r>
    </w:p>
    <w:p w14:paraId="1EBEA905">
      <w:pPr>
        <w:ind w:firstLine="422"/>
        <w:jc w:val="left"/>
        <w:rPr>
          <w:rFonts w:ascii="宋体" w:hAnsi="宋体"/>
          <w:kern w:val="44"/>
        </w:rPr>
      </w:pPr>
      <w:r>
        <w:rPr>
          <w:rFonts w:hint="eastAsia" w:ascii="宋体" w:hAnsi="宋体"/>
          <w:b/>
          <w:kern w:val="44"/>
        </w:rPr>
        <w:t>第十条</w:t>
      </w:r>
      <w:r>
        <w:rPr>
          <w:rFonts w:hint="eastAsia" w:ascii="宋体" w:hAnsi="宋体"/>
          <w:kern w:val="44"/>
        </w:rPr>
        <w:t>　本办法自1996年4月1日起施行。</w:t>
      </w:r>
    </w:p>
    <w:p w14:paraId="6919700E">
      <w:pPr>
        <w:pStyle w:val="4"/>
        <w:pageBreakBefore/>
        <w:rPr>
          <w:kern w:val="44"/>
        </w:rPr>
      </w:pPr>
      <w:bookmarkStart w:id="1506" w:name="_Toc422471394"/>
      <w:bookmarkStart w:id="1507" w:name="_Toc427651994"/>
      <w:bookmarkStart w:id="1508" w:name="_Toc428780218"/>
      <w:bookmarkStart w:id="1509" w:name="_Toc427651652"/>
      <w:bookmarkStart w:id="1510" w:name="_Toc428781700"/>
      <w:r>
        <w:rPr>
          <w:rFonts w:hint="eastAsia"/>
          <w:kern w:val="44"/>
        </w:rPr>
        <w:t>北京市教育督导规定</w:t>
      </w:r>
      <w:bookmarkEnd w:id="1506"/>
      <w:bookmarkEnd w:id="1507"/>
      <w:bookmarkEnd w:id="1508"/>
      <w:bookmarkEnd w:id="1509"/>
      <w:bookmarkEnd w:id="1510"/>
    </w:p>
    <w:p w14:paraId="37A2AF0C">
      <w:pPr>
        <w:ind w:left="630" w:leftChars="300" w:right="630" w:rightChars="300"/>
        <w:jc w:val="center"/>
        <w:rPr>
          <w:rFonts w:ascii="楷体" w:hAnsi="楷体" w:eastAsia="楷体"/>
          <w:kern w:val="44"/>
        </w:rPr>
      </w:pPr>
      <w:r>
        <w:rPr>
          <w:rFonts w:hint="eastAsia" w:ascii="楷体" w:hAnsi="楷体" w:eastAsia="楷体"/>
          <w:kern w:val="44"/>
        </w:rPr>
        <w:t>（1999年1月14日北京市人民政府第21号令发布）</w:t>
      </w:r>
    </w:p>
    <w:p w14:paraId="141AD053">
      <w:pPr>
        <w:jc w:val="left"/>
        <w:rPr>
          <w:rFonts w:ascii="宋体" w:hAnsi="宋体"/>
          <w:kern w:val="44"/>
        </w:rPr>
      </w:pPr>
    </w:p>
    <w:p w14:paraId="20B2C77E">
      <w:pPr>
        <w:ind w:firstLine="0" w:firstLineChars="0"/>
        <w:jc w:val="center"/>
        <w:rPr>
          <w:rFonts w:ascii="宋体" w:hAnsi="宋体"/>
          <w:b/>
          <w:kern w:val="44"/>
          <w:sz w:val="28"/>
        </w:rPr>
      </w:pPr>
      <w:r>
        <w:rPr>
          <w:rFonts w:hint="eastAsia" w:ascii="宋体" w:hAnsi="宋体"/>
          <w:b/>
          <w:kern w:val="44"/>
          <w:sz w:val="28"/>
        </w:rPr>
        <w:t>第一章　总　则</w:t>
      </w:r>
    </w:p>
    <w:p w14:paraId="1B066FD1">
      <w:pPr>
        <w:jc w:val="left"/>
        <w:rPr>
          <w:rFonts w:ascii="宋体" w:hAnsi="宋体"/>
          <w:kern w:val="44"/>
        </w:rPr>
      </w:pPr>
    </w:p>
    <w:p w14:paraId="5E8589D3">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为加强对教育的行政监督，促进和保障教育法律、法规、方针、政策的贯彻执行和教育目标的实现，根据《中华人民共和国教育法》第二十四条的规定，结合本市实际情况，制定本规定。</w:t>
      </w:r>
    </w:p>
    <w:p w14:paraId="4A0EF7FC">
      <w:pPr>
        <w:ind w:firstLine="422"/>
        <w:jc w:val="left"/>
        <w:rPr>
          <w:rFonts w:ascii="宋体" w:hAnsi="宋体"/>
          <w:kern w:val="44"/>
        </w:rPr>
      </w:pPr>
      <w:r>
        <w:rPr>
          <w:rFonts w:hint="eastAsia" w:ascii="宋体" w:hAnsi="宋体"/>
          <w:b/>
          <w:kern w:val="44"/>
        </w:rPr>
        <w:t>第二条</w:t>
      </w:r>
      <w:r>
        <w:rPr>
          <w:rFonts w:hint="eastAsia" w:ascii="宋体" w:hAnsi="宋体"/>
          <w:kern w:val="44"/>
        </w:rPr>
        <w:t>　教育督导是政府依法对本辖区内的教育工作进行监督、检查、评估、指导。</w:t>
      </w:r>
    </w:p>
    <w:p w14:paraId="11CD556E">
      <w:pPr>
        <w:jc w:val="left"/>
        <w:rPr>
          <w:rFonts w:ascii="宋体" w:hAnsi="宋体"/>
          <w:kern w:val="44"/>
        </w:rPr>
      </w:pPr>
      <w:r>
        <w:rPr>
          <w:rFonts w:hint="eastAsia" w:ascii="宋体" w:hAnsi="宋体"/>
          <w:kern w:val="44"/>
        </w:rPr>
        <w:t>教育督导的范围是本市行政区域内的中等及中等以下各级各类教育及其有关工作。</w:t>
      </w:r>
    </w:p>
    <w:p w14:paraId="03B148A1">
      <w:pPr>
        <w:jc w:val="left"/>
        <w:rPr>
          <w:rFonts w:ascii="宋体" w:hAnsi="宋体"/>
          <w:kern w:val="44"/>
        </w:rPr>
      </w:pPr>
      <w:r>
        <w:rPr>
          <w:rFonts w:hint="eastAsia" w:ascii="宋体" w:hAnsi="宋体"/>
          <w:kern w:val="44"/>
        </w:rPr>
        <w:t>教育督导的对象包括：下级人民政府及其教育行政部门；本级人民政府的有关部门；中等及中等以下各级各类学校。</w:t>
      </w:r>
    </w:p>
    <w:p w14:paraId="5CD07AB9">
      <w:pPr>
        <w:ind w:firstLine="422"/>
        <w:jc w:val="left"/>
        <w:rPr>
          <w:rFonts w:ascii="宋体" w:hAnsi="宋体"/>
          <w:kern w:val="44"/>
        </w:rPr>
      </w:pPr>
      <w:r>
        <w:rPr>
          <w:rFonts w:hint="eastAsia" w:ascii="宋体" w:hAnsi="宋体"/>
          <w:b/>
          <w:kern w:val="44"/>
        </w:rPr>
        <w:t>第三条</w:t>
      </w:r>
      <w:r>
        <w:rPr>
          <w:rFonts w:hint="eastAsia" w:ascii="宋体" w:hAnsi="宋体"/>
          <w:kern w:val="44"/>
        </w:rPr>
        <w:t>　教育督导必须以有关教育的法律、法规、规章和方针、政策为依据，坚持实事求是、客观公正，实行督导、评估与指导工作相结合。</w:t>
      </w:r>
    </w:p>
    <w:p w14:paraId="34E78C91">
      <w:pPr>
        <w:jc w:val="left"/>
        <w:rPr>
          <w:rFonts w:ascii="宋体" w:hAnsi="宋体"/>
          <w:kern w:val="44"/>
        </w:rPr>
      </w:pPr>
    </w:p>
    <w:p w14:paraId="7E2C61C8">
      <w:pPr>
        <w:ind w:firstLine="0" w:firstLineChars="0"/>
        <w:jc w:val="center"/>
        <w:rPr>
          <w:rFonts w:ascii="宋体" w:hAnsi="宋体"/>
          <w:b/>
          <w:kern w:val="44"/>
          <w:sz w:val="28"/>
        </w:rPr>
      </w:pPr>
      <w:r>
        <w:rPr>
          <w:rFonts w:hint="eastAsia" w:ascii="宋体" w:hAnsi="宋体"/>
          <w:b/>
          <w:kern w:val="44"/>
          <w:sz w:val="28"/>
        </w:rPr>
        <w:t>第二章  教育督导机构、督学及职责</w:t>
      </w:r>
    </w:p>
    <w:p w14:paraId="4B53596E">
      <w:pPr>
        <w:jc w:val="left"/>
        <w:rPr>
          <w:rFonts w:ascii="宋体" w:hAnsi="宋体"/>
          <w:kern w:val="44"/>
        </w:rPr>
      </w:pPr>
    </w:p>
    <w:p w14:paraId="42792222">
      <w:pPr>
        <w:ind w:firstLine="422"/>
        <w:jc w:val="left"/>
        <w:rPr>
          <w:rFonts w:ascii="宋体" w:hAnsi="宋体"/>
          <w:kern w:val="44"/>
        </w:rPr>
      </w:pPr>
      <w:r>
        <w:rPr>
          <w:rFonts w:hint="eastAsia" w:ascii="宋体" w:hAnsi="宋体"/>
          <w:b/>
          <w:kern w:val="44"/>
        </w:rPr>
        <w:t>第四条</w:t>
      </w:r>
      <w:r>
        <w:rPr>
          <w:rFonts w:hint="eastAsia" w:ascii="宋体" w:hAnsi="宋体"/>
          <w:kern w:val="44"/>
        </w:rPr>
        <w:t>　教育督导室是政府行使教育督导职能的专门机构。市和区、县人民政府应当设立教育督导室，代表本级人民政府主管本行政区域内的教育督导工作，并接受上级教育督导机构的指导。</w:t>
      </w:r>
    </w:p>
    <w:p w14:paraId="0028CB85">
      <w:pPr>
        <w:jc w:val="left"/>
        <w:rPr>
          <w:rFonts w:ascii="宋体" w:hAnsi="宋体"/>
          <w:kern w:val="44"/>
        </w:rPr>
      </w:pPr>
      <w:r>
        <w:rPr>
          <w:rFonts w:hint="eastAsia" w:ascii="宋体" w:hAnsi="宋体"/>
          <w:kern w:val="44"/>
        </w:rPr>
        <w:t>教育督导室主任、副主任由本级人民政府任免。</w:t>
      </w:r>
    </w:p>
    <w:p w14:paraId="70EDD536">
      <w:pPr>
        <w:ind w:firstLine="422"/>
        <w:jc w:val="left"/>
        <w:rPr>
          <w:rFonts w:ascii="宋体" w:hAnsi="宋体"/>
          <w:kern w:val="44"/>
        </w:rPr>
      </w:pPr>
      <w:r>
        <w:rPr>
          <w:rFonts w:hint="eastAsia" w:ascii="宋体" w:hAnsi="宋体"/>
          <w:b/>
          <w:kern w:val="44"/>
        </w:rPr>
        <w:t>第五条</w:t>
      </w:r>
      <w:r>
        <w:rPr>
          <w:rFonts w:hint="eastAsia" w:ascii="宋体" w:hAnsi="宋体"/>
          <w:kern w:val="44"/>
        </w:rPr>
        <w:t>　市人民政府教育督导室履行下列职责：</w:t>
      </w:r>
    </w:p>
    <w:p w14:paraId="52437685">
      <w:pPr>
        <w:jc w:val="left"/>
        <w:rPr>
          <w:rFonts w:ascii="宋体" w:hAnsi="宋体"/>
          <w:kern w:val="44"/>
        </w:rPr>
      </w:pPr>
      <w:r>
        <w:rPr>
          <w:rFonts w:hint="eastAsia" w:ascii="宋体" w:hAnsi="宋体"/>
          <w:kern w:val="44"/>
        </w:rPr>
        <w:t>（一）统筹规划，组织实施全市的教育督导工作，指导区、县开展教育督导工作；</w:t>
      </w:r>
    </w:p>
    <w:p w14:paraId="5DA59B3F">
      <w:pPr>
        <w:jc w:val="left"/>
        <w:rPr>
          <w:rFonts w:ascii="宋体" w:hAnsi="宋体"/>
          <w:kern w:val="44"/>
        </w:rPr>
      </w:pPr>
      <w:r>
        <w:rPr>
          <w:rFonts w:hint="eastAsia" w:ascii="宋体" w:hAnsi="宋体"/>
          <w:kern w:val="44"/>
        </w:rPr>
        <w:t>（二）对本市贯彻执行有关教育的法律、法规、规章和方针、政策的情况实施督导；</w:t>
      </w:r>
    </w:p>
    <w:p w14:paraId="5039C306">
      <w:pPr>
        <w:jc w:val="left"/>
        <w:rPr>
          <w:rFonts w:ascii="宋体" w:hAnsi="宋体"/>
          <w:kern w:val="44"/>
        </w:rPr>
      </w:pPr>
      <w:r>
        <w:rPr>
          <w:rFonts w:hint="eastAsia" w:ascii="宋体" w:hAnsi="宋体"/>
          <w:kern w:val="44"/>
        </w:rPr>
        <w:t>（三）对有关的市级行政部门和区、县人民政府及其教育行政部门领导、管理教育工作的情况实施督导；</w:t>
      </w:r>
    </w:p>
    <w:p w14:paraId="604F3121">
      <w:pPr>
        <w:jc w:val="left"/>
        <w:rPr>
          <w:rFonts w:ascii="宋体" w:hAnsi="宋体"/>
          <w:kern w:val="44"/>
        </w:rPr>
      </w:pPr>
      <w:r>
        <w:rPr>
          <w:rFonts w:hint="eastAsia" w:ascii="宋体" w:hAnsi="宋体"/>
          <w:kern w:val="44"/>
        </w:rPr>
        <w:t>（四）依据分工对中等及中等以下各级各类学校的办学方向、教育质量实施督导；</w:t>
      </w:r>
    </w:p>
    <w:p w14:paraId="05921516">
      <w:pPr>
        <w:jc w:val="left"/>
        <w:rPr>
          <w:rFonts w:ascii="宋体" w:hAnsi="宋体"/>
          <w:kern w:val="44"/>
        </w:rPr>
      </w:pPr>
      <w:r>
        <w:rPr>
          <w:rFonts w:hint="eastAsia" w:ascii="宋体" w:hAnsi="宋体"/>
          <w:kern w:val="44"/>
        </w:rPr>
        <w:t>（五）对区、县教育督导室的工作进行指导；</w:t>
      </w:r>
    </w:p>
    <w:p w14:paraId="651CECC7">
      <w:pPr>
        <w:jc w:val="left"/>
        <w:rPr>
          <w:rFonts w:ascii="宋体" w:hAnsi="宋体"/>
          <w:kern w:val="44"/>
        </w:rPr>
      </w:pPr>
      <w:r>
        <w:rPr>
          <w:rFonts w:hint="eastAsia" w:ascii="宋体" w:hAnsi="宋体"/>
          <w:kern w:val="44"/>
        </w:rPr>
        <w:t>（六）会同教育行政部门组织协调全市教育评估工作；</w:t>
      </w:r>
    </w:p>
    <w:p w14:paraId="484785C9">
      <w:pPr>
        <w:jc w:val="left"/>
        <w:rPr>
          <w:rFonts w:ascii="宋体" w:hAnsi="宋体"/>
          <w:kern w:val="44"/>
        </w:rPr>
      </w:pPr>
      <w:r>
        <w:rPr>
          <w:rFonts w:hint="eastAsia" w:ascii="宋体" w:hAnsi="宋体"/>
          <w:kern w:val="44"/>
        </w:rPr>
        <w:t>（七）对教育工作中的重大问题进行调查研究，向市人民政府及其教育行政部门报告和反映情况，提出建议；</w:t>
      </w:r>
    </w:p>
    <w:p w14:paraId="01F4E0BB">
      <w:pPr>
        <w:jc w:val="left"/>
        <w:rPr>
          <w:rFonts w:ascii="宋体" w:hAnsi="宋体"/>
          <w:kern w:val="44"/>
        </w:rPr>
      </w:pPr>
      <w:r>
        <w:rPr>
          <w:rFonts w:hint="eastAsia" w:ascii="宋体" w:hAnsi="宋体"/>
          <w:kern w:val="44"/>
        </w:rPr>
        <w:t>（八）培训市和区、县督学；</w:t>
      </w:r>
    </w:p>
    <w:p w14:paraId="03665375">
      <w:pPr>
        <w:jc w:val="left"/>
        <w:rPr>
          <w:rFonts w:ascii="宋体" w:hAnsi="宋体"/>
          <w:kern w:val="44"/>
        </w:rPr>
      </w:pPr>
      <w:r>
        <w:rPr>
          <w:rFonts w:hint="eastAsia" w:ascii="宋体" w:hAnsi="宋体"/>
          <w:kern w:val="44"/>
        </w:rPr>
        <w:t>（九）组织信息交流，开展教育督导的科学研究；</w:t>
      </w:r>
    </w:p>
    <w:p w14:paraId="21B8F466">
      <w:pPr>
        <w:jc w:val="left"/>
        <w:rPr>
          <w:rFonts w:ascii="宋体" w:hAnsi="宋体"/>
          <w:kern w:val="44"/>
        </w:rPr>
      </w:pPr>
      <w:r>
        <w:rPr>
          <w:rFonts w:hint="eastAsia" w:ascii="宋体" w:hAnsi="宋体"/>
          <w:kern w:val="44"/>
        </w:rPr>
        <w:t>（十）履行市人民政府授予的其他职责。</w:t>
      </w:r>
    </w:p>
    <w:p w14:paraId="27C67945">
      <w:pPr>
        <w:ind w:firstLine="422"/>
        <w:jc w:val="left"/>
        <w:rPr>
          <w:rFonts w:ascii="宋体" w:hAnsi="宋体"/>
          <w:kern w:val="44"/>
        </w:rPr>
      </w:pPr>
      <w:r>
        <w:rPr>
          <w:rFonts w:hint="eastAsia" w:ascii="宋体" w:hAnsi="宋体"/>
          <w:b/>
          <w:kern w:val="44"/>
        </w:rPr>
        <w:t>第六条</w:t>
      </w:r>
      <w:r>
        <w:rPr>
          <w:rFonts w:hint="eastAsia" w:ascii="宋体" w:hAnsi="宋体"/>
          <w:kern w:val="44"/>
        </w:rPr>
        <w:t>　区、县人民政府教育督导室履行下列职责：</w:t>
      </w:r>
    </w:p>
    <w:p w14:paraId="197A8EBC">
      <w:pPr>
        <w:jc w:val="left"/>
        <w:rPr>
          <w:rFonts w:ascii="宋体" w:hAnsi="宋体"/>
          <w:kern w:val="44"/>
        </w:rPr>
      </w:pPr>
      <w:r>
        <w:rPr>
          <w:rFonts w:hint="eastAsia" w:ascii="宋体" w:hAnsi="宋体"/>
          <w:kern w:val="44"/>
        </w:rPr>
        <w:t>（一）组织实施本区、县的教育督导工作；</w:t>
      </w:r>
    </w:p>
    <w:p w14:paraId="1C5682E5">
      <w:pPr>
        <w:jc w:val="left"/>
        <w:rPr>
          <w:rFonts w:ascii="宋体" w:hAnsi="宋体"/>
          <w:kern w:val="44"/>
        </w:rPr>
      </w:pPr>
      <w:r>
        <w:rPr>
          <w:rFonts w:hint="eastAsia" w:ascii="宋体" w:hAnsi="宋体"/>
          <w:kern w:val="44"/>
        </w:rPr>
        <w:t>（二）对本区、县贯彻执行有关教育的法律、法规、规章和方针、政策的情况实施督导；</w:t>
      </w:r>
    </w:p>
    <w:p w14:paraId="08D41940">
      <w:pPr>
        <w:jc w:val="left"/>
        <w:rPr>
          <w:rFonts w:ascii="宋体" w:hAnsi="宋体"/>
          <w:kern w:val="44"/>
        </w:rPr>
      </w:pPr>
      <w:r>
        <w:rPr>
          <w:rFonts w:hint="eastAsia" w:ascii="宋体" w:hAnsi="宋体"/>
          <w:kern w:val="44"/>
        </w:rPr>
        <w:t>（三）对本区、县有关行政部门、乡镇人民政府领导、管理教育工作的情况实施督导；</w:t>
      </w:r>
    </w:p>
    <w:p w14:paraId="1B6CB563">
      <w:pPr>
        <w:jc w:val="left"/>
        <w:rPr>
          <w:rFonts w:ascii="宋体" w:hAnsi="宋体"/>
          <w:kern w:val="44"/>
        </w:rPr>
      </w:pPr>
      <w:r>
        <w:rPr>
          <w:rFonts w:hint="eastAsia" w:ascii="宋体" w:hAnsi="宋体"/>
          <w:kern w:val="44"/>
        </w:rPr>
        <w:t>（四）依据分工对中等及中等以下各级各类学校的办学方向、教育质量实施督导；</w:t>
      </w:r>
    </w:p>
    <w:p w14:paraId="722C5108">
      <w:pPr>
        <w:jc w:val="left"/>
        <w:rPr>
          <w:rFonts w:ascii="宋体" w:hAnsi="宋体"/>
          <w:kern w:val="44"/>
        </w:rPr>
      </w:pPr>
      <w:r>
        <w:rPr>
          <w:rFonts w:hint="eastAsia" w:ascii="宋体" w:hAnsi="宋体"/>
          <w:kern w:val="44"/>
        </w:rPr>
        <w:t>（五）会同教育行政部门组织协调本区、县教育评估工作；</w:t>
      </w:r>
    </w:p>
    <w:p w14:paraId="07E28B94">
      <w:pPr>
        <w:jc w:val="left"/>
        <w:rPr>
          <w:rFonts w:ascii="宋体" w:hAnsi="宋体"/>
          <w:kern w:val="44"/>
        </w:rPr>
      </w:pPr>
      <w:r>
        <w:rPr>
          <w:rFonts w:hint="eastAsia" w:ascii="宋体" w:hAnsi="宋体"/>
          <w:kern w:val="44"/>
        </w:rPr>
        <w:t>（六）对本区、县教育工作中的重大问题进行调查研究，向区、县人民政府及其教育行政部门报告和反映情况，提出建议；</w:t>
      </w:r>
    </w:p>
    <w:p w14:paraId="3BBBEC2E">
      <w:pPr>
        <w:jc w:val="left"/>
        <w:rPr>
          <w:rFonts w:ascii="宋体" w:hAnsi="宋体"/>
          <w:kern w:val="44"/>
        </w:rPr>
      </w:pPr>
      <w:r>
        <w:rPr>
          <w:rFonts w:hint="eastAsia" w:ascii="宋体" w:hAnsi="宋体"/>
          <w:kern w:val="44"/>
        </w:rPr>
        <w:t>（七）组织督学进修，开展教育督导的科学研究；</w:t>
      </w:r>
    </w:p>
    <w:p w14:paraId="4D487BD4">
      <w:pPr>
        <w:jc w:val="left"/>
        <w:rPr>
          <w:rFonts w:ascii="宋体" w:hAnsi="宋体"/>
          <w:kern w:val="44"/>
        </w:rPr>
      </w:pPr>
      <w:r>
        <w:rPr>
          <w:rFonts w:hint="eastAsia" w:ascii="宋体" w:hAnsi="宋体"/>
          <w:kern w:val="44"/>
        </w:rPr>
        <w:t>（八）履行区、县人民政府授予的其他职责。</w:t>
      </w:r>
    </w:p>
    <w:p w14:paraId="669BA67D">
      <w:pPr>
        <w:ind w:firstLine="422"/>
        <w:jc w:val="left"/>
        <w:rPr>
          <w:rFonts w:ascii="宋体" w:hAnsi="宋体"/>
          <w:kern w:val="44"/>
        </w:rPr>
      </w:pPr>
      <w:r>
        <w:rPr>
          <w:rFonts w:hint="eastAsia" w:ascii="宋体" w:hAnsi="宋体"/>
          <w:b/>
          <w:kern w:val="44"/>
        </w:rPr>
        <w:t>第七条</w:t>
      </w:r>
      <w:r>
        <w:rPr>
          <w:rFonts w:hint="eastAsia" w:ascii="宋体" w:hAnsi="宋体"/>
          <w:kern w:val="44"/>
        </w:rPr>
        <w:t>　督学是执行教育督导公务的人员，必须具备下列基本条件：</w:t>
      </w:r>
    </w:p>
    <w:p w14:paraId="2CF81E04">
      <w:pPr>
        <w:jc w:val="left"/>
        <w:rPr>
          <w:rFonts w:ascii="宋体" w:hAnsi="宋体"/>
          <w:kern w:val="44"/>
        </w:rPr>
      </w:pPr>
      <w:r>
        <w:rPr>
          <w:rFonts w:hint="eastAsia" w:ascii="宋体" w:hAnsi="宋体"/>
          <w:kern w:val="44"/>
        </w:rPr>
        <w:t>（一）坚持党的基本路线，热爱社会主义教育事业；</w:t>
      </w:r>
    </w:p>
    <w:p w14:paraId="0B20DD8F">
      <w:pPr>
        <w:jc w:val="left"/>
        <w:rPr>
          <w:rFonts w:ascii="宋体" w:hAnsi="宋体"/>
          <w:kern w:val="44"/>
        </w:rPr>
      </w:pPr>
      <w:r>
        <w:rPr>
          <w:rFonts w:hint="eastAsia" w:ascii="宋体" w:hAnsi="宋体"/>
          <w:kern w:val="44"/>
        </w:rPr>
        <w:t>（二）熟悉国家有关教育的法律、法规、方针、政策，有较高的政策水平；</w:t>
      </w:r>
    </w:p>
    <w:p w14:paraId="413E05B0">
      <w:pPr>
        <w:jc w:val="left"/>
        <w:rPr>
          <w:rFonts w:ascii="宋体" w:hAnsi="宋体"/>
          <w:kern w:val="44"/>
        </w:rPr>
      </w:pPr>
      <w:r>
        <w:rPr>
          <w:rFonts w:hint="eastAsia" w:ascii="宋体" w:hAnsi="宋体"/>
          <w:kern w:val="44"/>
        </w:rPr>
        <w:t>（三）具有大学本科学历或者同等学历，有七年以上从事中等或者中等以下教育工作的经历，有教育、教学和管理经验，有相应的工作能力；</w:t>
      </w:r>
    </w:p>
    <w:p w14:paraId="01D0CA68">
      <w:pPr>
        <w:jc w:val="left"/>
        <w:rPr>
          <w:rFonts w:ascii="宋体" w:hAnsi="宋体"/>
          <w:kern w:val="44"/>
        </w:rPr>
      </w:pPr>
      <w:r>
        <w:rPr>
          <w:rFonts w:hint="eastAsia" w:ascii="宋体" w:hAnsi="宋体"/>
          <w:kern w:val="44"/>
        </w:rPr>
        <w:t>（四）遵纪守法，品行端正，实事求是，坚持原则，作风正派，办事公道；</w:t>
      </w:r>
    </w:p>
    <w:p w14:paraId="4B543EB9">
      <w:pPr>
        <w:jc w:val="left"/>
        <w:rPr>
          <w:rFonts w:ascii="宋体" w:hAnsi="宋体"/>
          <w:kern w:val="44"/>
        </w:rPr>
      </w:pPr>
      <w:r>
        <w:rPr>
          <w:rFonts w:hint="eastAsia" w:ascii="宋体" w:hAnsi="宋体"/>
          <w:kern w:val="44"/>
        </w:rPr>
        <w:t>（五）身体健康。</w:t>
      </w:r>
    </w:p>
    <w:p w14:paraId="1DC290B6">
      <w:pPr>
        <w:ind w:firstLine="422"/>
        <w:jc w:val="left"/>
        <w:rPr>
          <w:rFonts w:ascii="宋体" w:hAnsi="宋体"/>
          <w:kern w:val="44"/>
        </w:rPr>
      </w:pPr>
      <w:r>
        <w:rPr>
          <w:rFonts w:hint="eastAsia" w:ascii="宋体" w:hAnsi="宋体"/>
          <w:b/>
          <w:kern w:val="44"/>
        </w:rPr>
        <w:t>第八条</w:t>
      </w:r>
      <w:r>
        <w:rPr>
          <w:rFonts w:hint="eastAsia" w:ascii="宋体" w:hAnsi="宋体"/>
          <w:kern w:val="44"/>
        </w:rPr>
        <w:t>　教育督导室设专职督学，并可根据工作需要，聘任兼职督学。</w:t>
      </w:r>
    </w:p>
    <w:p w14:paraId="1178ABC4">
      <w:pPr>
        <w:jc w:val="left"/>
        <w:rPr>
          <w:rFonts w:ascii="宋体" w:hAnsi="宋体"/>
          <w:kern w:val="44"/>
        </w:rPr>
      </w:pPr>
      <w:r>
        <w:rPr>
          <w:rFonts w:hint="eastAsia" w:ascii="宋体" w:hAnsi="宋体"/>
          <w:kern w:val="44"/>
        </w:rPr>
        <w:t>市和区、县人民政府聘任的特约教育督导员，参加市和区、县的教育督导工作。</w:t>
      </w:r>
    </w:p>
    <w:p w14:paraId="329D7215">
      <w:pPr>
        <w:jc w:val="left"/>
        <w:rPr>
          <w:rFonts w:ascii="宋体" w:hAnsi="宋体"/>
          <w:kern w:val="44"/>
        </w:rPr>
      </w:pPr>
      <w:r>
        <w:rPr>
          <w:rFonts w:hint="eastAsia" w:ascii="宋体" w:hAnsi="宋体"/>
          <w:kern w:val="44"/>
        </w:rPr>
        <w:t>兼职督学和特约教育督导员具有与专职督学同等的职权。</w:t>
      </w:r>
    </w:p>
    <w:p w14:paraId="5EF72016">
      <w:pPr>
        <w:ind w:firstLine="422"/>
        <w:jc w:val="left"/>
        <w:rPr>
          <w:rFonts w:ascii="宋体" w:hAnsi="宋体"/>
          <w:kern w:val="44"/>
        </w:rPr>
      </w:pPr>
      <w:r>
        <w:rPr>
          <w:rFonts w:hint="eastAsia" w:ascii="宋体" w:hAnsi="宋体"/>
          <w:b/>
          <w:kern w:val="44"/>
        </w:rPr>
        <w:t>第九条</w:t>
      </w:r>
      <w:r>
        <w:rPr>
          <w:rFonts w:hint="eastAsia" w:ascii="宋体" w:hAnsi="宋体"/>
          <w:kern w:val="44"/>
        </w:rPr>
        <w:t>　专职督学的任免按照有关行政机关人事管理权限和程序办理。</w:t>
      </w:r>
    </w:p>
    <w:p w14:paraId="2E22566A">
      <w:pPr>
        <w:jc w:val="left"/>
        <w:rPr>
          <w:rFonts w:ascii="宋体" w:hAnsi="宋体"/>
          <w:kern w:val="44"/>
        </w:rPr>
      </w:pPr>
      <w:r>
        <w:rPr>
          <w:rFonts w:hint="eastAsia" w:ascii="宋体" w:hAnsi="宋体"/>
          <w:kern w:val="44"/>
        </w:rPr>
        <w:t>督学由本级人民政府颁发督学证书。</w:t>
      </w:r>
    </w:p>
    <w:p w14:paraId="49B64637">
      <w:pPr>
        <w:ind w:firstLine="422"/>
        <w:jc w:val="left"/>
        <w:rPr>
          <w:rFonts w:ascii="宋体" w:hAnsi="宋体"/>
          <w:kern w:val="44"/>
        </w:rPr>
      </w:pPr>
      <w:r>
        <w:rPr>
          <w:rFonts w:hint="eastAsia" w:ascii="宋体" w:hAnsi="宋体"/>
          <w:b/>
          <w:kern w:val="44"/>
        </w:rPr>
        <w:t>第十条</w:t>
      </w:r>
      <w:r>
        <w:rPr>
          <w:rFonts w:hint="eastAsia" w:ascii="宋体" w:hAnsi="宋体"/>
          <w:kern w:val="44"/>
        </w:rPr>
        <w:t>　督学应当认真履行职责。本级人民政府及其教育行政部门应当为督学开展工作提供条件。</w:t>
      </w:r>
    </w:p>
    <w:p w14:paraId="5DD687F9">
      <w:pPr>
        <w:ind w:firstLine="422"/>
        <w:jc w:val="left"/>
        <w:rPr>
          <w:rFonts w:ascii="宋体" w:hAnsi="宋体"/>
          <w:kern w:val="44"/>
        </w:rPr>
      </w:pPr>
      <w:r>
        <w:rPr>
          <w:rFonts w:hint="eastAsia" w:ascii="宋体" w:hAnsi="宋体"/>
          <w:b/>
          <w:kern w:val="44"/>
        </w:rPr>
        <w:t>第十一条</w:t>
      </w:r>
      <w:r>
        <w:rPr>
          <w:rFonts w:hint="eastAsia" w:ascii="宋体" w:hAnsi="宋体"/>
          <w:kern w:val="44"/>
        </w:rPr>
        <w:t>　督学应当接受政治理论、教育法律、法规和教育管理、教育督导、教育评估等方面的培训。</w:t>
      </w:r>
    </w:p>
    <w:p w14:paraId="24DD353D">
      <w:pPr>
        <w:jc w:val="left"/>
        <w:rPr>
          <w:rFonts w:ascii="宋体" w:hAnsi="宋体"/>
          <w:kern w:val="44"/>
        </w:rPr>
      </w:pPr>
    </w:p>
    <w:p w14:paraId="1C6A1964">
      <w:pPr>
        <w:ind w:firstLine="0" w:firstLineChars="0"/>
        <w:jc w:val="center"/>
        <w:rPr>
          <w:rFonts w:ascii="宋体" w:hAnsi="宋体"/>
          <w:b/>
          <w:kern w:val="44"/>
          <w:sz w:val="28"/>
        </w:rPr>
      </w:pPr>
      <w:r>
        <w:rPr>
          <w:rFonts w:hint="eastAsia" w:ascii="宋体" w:hAnsi="宋体"/>
          <w:b/>
          <w:kern w:val="44"/>
          <w:sz w:val="28"/>
        </w:rPr>
        <w:t>第三章  教育督导和实施</w:t>
      </w:r>
    </w:p>
    <w:p w14:paraId="2E245EFD">
      <w:pPr>
        <w:jc w:val="left"/>
        <w:rPr>
          <w:rFonts w:ascii="宋体" w:hAnsi="宋体"/>
          <w:kern w:val="44"/>
        </w:rPr>
      </w:pPr>
    </w:p>
    <w:p w14:paraId="1FFA4BE9">
      <w:pPr>
        <w:ind w:firstLine="422"/>
        <w:jc w:val="left"/>
        <w:rPr>
          <w:rFonts w:ascii="宋体" w:hAnsi="宋体"/>
          <w:kern w:val="44"/>
        </w:rPr>
      </w:pPr>
      <w:r>
        <w:rPr>
          <w:rFonts w:hint="eastAsia" w:ascii="宋体" w:hAnsi="宋体"/>
          <w:b/>
          <w:kern w:val="44"/>
        </w:rPr>
        <w:t>第十二条</w:t>
      </w:r>
      <w:r>
        <w:rPr>
          <w:rFonts w:hint="eastAsia" w:ascii="宋体" w:hAnsi="宋体"/>
          <w:kern w:val="44"/>
        </w:rPr>
        <w:t>　教育督导的基本形式为综合督导、专项督导和经常性检查。</w:t>
      </w:r>
    </w:p>
    <w:p w14:paraId="57501A9D">
      <w:pPr>
        <w:ind w:firstLine="422"/>
        <w:jc w:val="left"/>
        <w:rPr>
          <w:rFonts w:ascii="宋体" w:hAnsi="宋体"/>
          <w:kern w:val="44"/>
        </w:rPr>
      </w:pPr>
      <w:r>
        <w:rPr>
          <w:rFonts w:hint="eastAsia" w:ascii="宋体" w:hAnsi="宋体"/>
          <w:b/>
          <w:kern w:val="44"/>
        </w:rPr>
        <w:t>第十三条</w:t>
      </w:r>
      <w:r>
        <w:rPr>
          <w:rFonts w:hint="eastAsia" w:ascii="宋体" w:hAnsi="宋体"/>
          <w:kern w:val="44"/>
        </w:rPr>
        <w:t>　综合督导和专项督导应当按照下列程序实施：</w:t>
      </w:r>
    </w:p>
    <w:p w14:paraId="487691F3">
      <w:pPr>
        <w:jc w:val="left"/>
        <w:rPr>
          <w:rFonts w:ascii="宋体" w:hAnsi="宋体"/>
          <w:kern w:val="44"/>
        </w:rPr>
      </w:pPr>
      <w:r>
        <w:rPr>
          <w:rFonts w:hint="eastAsia" w:ascii="宋体" w:hAnsi="宋体"/>
          <w:kern w:val="44"/>
        </w:rPr>
        <w:t>（一）向被督导单位下达督导方案或者督导提纲，并发出《督导通知书》；</w:t>
      </w:r>
    </w:p>
    <w:p w14:paraId="37F65FFE">
      <w:pPr>
        <w:jc w:val="left"/>
        <w:rPr>
          <w:rFonts w:ascii="宋体" w:hAnsi="宋体"/>
          <w:kern w:val="44"/>
        </w:rPr>
      </w:pPr>
      <w:r>
        <w:rPr>
          <w:rFonts w:hint="eastAsia" w:ascii="宋体" w:hAnsi="宋体"/>
          <w:kern w:val="44"/>
        </w:rPr>
        <w:t>（二）指导被督导单位进行自查自评；</w:t>
      </w:r>
    </w:p>
    <w:p w14:paraId="101F68E6">
      <w:pPr>
        <w:jc w:val="left"/>
        <w:rPr>
          <w:rFonts w:ascii="宋体" w:hAnsi="宋体"/>
          <w:kern w:val="44"/>
        </w:rPr>
      </w:pPr>
      <w:r>
        <w:rPr>
          <w:rFonts w:hint="eastAsia" w:ascii="宋体" w:hAnsi="宋体"/>
          <w:kern w:val="44"/>
        </w:rPr>
        <w:t>（三）对被督导单位进行督导检查或者督导评估；</w:t>
      </w:r>
    </w:p>
    <w:p w14:paraId="6677A36D">
      <w:pPr>
        <w:jc w:val="left"/>
        <w:rPr>
          <w:rFonts w:ascii="宋体" w:hAnsi="宋体"/>
          <w:kern w:val="44"/>
        </w:rPr>
      </w:pPr>
      <w:r>
        <w:rPr>
          <w:rFonts w:hint="eastAsia" w:ascii="宋体" w:hAnsi="宋体"/>
          <w:kern w:val="44"/>
        </w:rPr>
        <w:t>（四）向被督导单位通报督导结果，提出督导意见，并下达《督导结果通知书》。</w:t>
      </w:r>
    </w:p>
    <w:p w14:paraId="27605C82">
      <w:pPr>
        <w:ind w:firstLine="422"/>
        <w:jc w:val="left"/>
        <w:rPr>
          <w:rFonts w:ascii="宋体" w:hAnsi="宋体"/>
          <w:kern w:val="44"/>
        </w:rPr>
      </w:pPr>
      <w:r>
        <w:rPr>
          <w:rFonts w:hint="eastAsia" w:ascii="宋体" w:hAnsi="宋体"/>
          <w:b/>
          <w:kern w:val="44"/>
        </w:rPr>
        <w:t>第十四条</w:t>
      </w:r>
      <w:r>
        <w:rPr>
          <w:rFonts w:hint="eastAsia" w:ascii="宋体" w:hAnsi="宋体"/>
          <w:kern w:val="44"/>
        </w:rPr>
        <w:t>　教育督导室和督学，有权采取下列方式对被督导单位进行督导：</w:t>
      </w:r>
    </w:p>
    <w:p w14:paraId="4448ED3F">
      <w:pPr>
        <w:jc w:val="left"/>
        <w:rPr>
          <w:rFonts w:ascii="宋体" w:hAnsi="宋体"/>
          <w:kern w:val="44"/>
        </w:rPr>
      </w:pPr>
      <w:r>
        <w:rPr>
          <w:rFonts w:hint="eastAsia" w:ascii="宋体" w:hAnsi="宋体"/>
          <w:kern w:val="44"/>
        </w:rPr>
        <w:t>（一）听取情况汇报；</w:t>
      </w:r>
    </w:p>
    <w:p w14:paraId="502E5C66">
      <w:pPr>
        <w:jc w:val="left"/>
        <w:rPr>
          <w:rFonts w:ascii="宋体" w:hAnsi="宋体"/>
          <w:kern w:val="44"/>
        </w:rPr>
      </w:pPr>
      <w:r>
        <w:rPr>
          <w:rFonts w:hint="eastAsia" w:ascii="宋体" w:hAnsi="宋体"/>
          <w:kern w:val="44"/>
        </w:rPr>
        <w:t>（二）查阅有关文件、档案、资料；</w:t>
      </w:r>
    </w:p>
    <w:p w14:paraId="590CC3FE">
      <w:pPr>
        <w:jc w:val="left"/>
        <w:rPr>
          <w:rFonts w:ascii="宋体" w:hAnsi="宋体"/>
          <w:kern w:val="44"/>
        </w:rPr>
      </w:pPr>
      <w:r>
        <w:rPr>
          <w:rFonts w:hint="eastAsia" w:ascii="宋体" w:hAnsi="宋体"/>
          <w:kern w:val="44"/>
        </w:rPr>
        <w:t>（三）参加有关会议和教育、教学活动；</w:t>
      </w:r>
    </w:p>
    <w:p w14:paraId="22984061">
      <w:pPr>
        <w:jc w:val="left"/>
        <w:rPr>
          <w:rFonts w:ascii="宋体" w:hAnsi="宋体"/>
          <w:kern w:val="44"/>
        </w:rPr>
      </w:pPr>
      <w:r>
        <w:rPr>
          <w:rFonts w:hint="eastAsia" w:ascii="宋体" w:hAnsi="宋体"/>
          <w:kern w:val="44"/>
        </w:rPr>
        <w:t>（四）召开有关人员座谈会，进行个别访问、调查问卷、测试；</w:t>
      </w:r>
    </w:p>
    <w:p w14:paraId="7E086B56">
      <w:pPr>
        <w:jc w:val="left"/>
        <w:rPr>
          <w:rFonts w:ascii="宋体" w:hAnsi="宋体"/>
          <w:kern w:val="44"/>
        </w:rPr>
      </w:pPr>
      <w:r>
        <w:rPr>
          <w:rFonts w:hint="eastAsia" w:ascii="宋体" w:hAnsi="宋体"/>
          <w:kern w:val="44"/>
        </w:rPr>
        <w:t>（五）现场调查。</w:t>
      </w:r>
    </w:p>
    <w:p w14:paraId="4F49C017">
      <w:pPr>
        <w:ind w:firstLine="422"/>
        <w:jc w:val="left"/>
        <w:rPr>
          <w:rFonts w:ascii="宋体" w:hAnsi="宋体"/>
          <w:kern w:val="44"/>
        </w:rPr>
      </w:pPr>
      <w:r>
        <w:rPr>
          <w:rFonts w:hint="eastAsia" w:ascii="宋体" w:hAnsi="宋体"/>
          <w:b/>
          <w:kern w:val="44"/>
        </w:rPr>
        <w:t>第十五条</w:t>
      </w:r>
      <w:r>
        <w:rPr>
          <w:rFonts w:hint="eastAsia" w:ascii="宋体" w:hAnsi="宋体"/>
          <w:kern w:val="44"/>
        </w:rPr>
        <w:t>　教育督导室和督学在督导活动中依法行使下列职权：</w:t>
      </w:r>
    </w:p>
    <w:p w14:paraId="292B4BFD">
      <w:pPr>
        <w:jc w:val="left"/>
        <w:rPr>
          <w:rFonts w:ascii="宋体" w:hAnsi="宋体"/>
          <w:kern w:val="44"/>
        </w:rPr>
      </w:pPr>
      <w:r>
        <w:rPr>
          <w:rFonts w:hint="eastAsia" w:ascii="宋体" w:hAnsi="宋体"/>
          <w:kern w:val="44"/>
        </w:rPr>
        <w:t>（一）对被督导单位及其主要领导干部的工作提出奖惩建议；</w:t>
      </w:r>
    </w:p>
    <w:p w14:paraId="182F52FA">
      <w:pPr>
        <w:jc w:val="left"/>
        <w:rPr>
          <w:rFonts w:ascii="宋体" w:hAnsi="宋体"/>
          <w:kern w:val="44"/>
        </w:rPr>
      </w:pPr>
      <w:r>
        <w:rPr>
          <w:rFonts w:hint="eastAsia" w:ascii="宋体" w:hAnsi="宋体"/>
          <w:kern w:val="44"/>
        </w:rPr>
        <w:t>（二）对被督导单位违反国家有关教育法律、法规、方针、政策的行为提出处理建议；</w:t>
      </w:r>
    </w:p>
    <w:p w14:paraId="66508CA4">
      <w:pPr>
        <w:jc w:val="left"/>
        <w:rPr>
          <w:rFonts w:ascii="宋体" w:hAnsi="宋体"/>
          <w:kern w:val="44"/>
        </w:rPr>
      </w:pPr>
      <w:r>
        <w:rPr>
          <w:rFonts w:hint="eastAsia" w:ascii="宋体" w:hAnsi="宋体"/>
          <w:kern w:val="44"/>
        </w:rPr>
        <w:t>（三）发现危及师生人身安全，侵犯师生合法权益，扰乱正常教学秩序等紧急情况，责成主管单位予以制止，并提出处理建议；</w:t>
      </w:r>
    </w:p>
    <w:p w14:paraId="29641804">
      <w:pPr>
        <w:jc w:val="left"/>
        <w:rPr>
          <w:rFonts w:ascii="宋体" w:hAnsi="宋体"/>
          <w:kern w:val="44"/>
        </w:rPr>
      </w:pPr>
      <w:r>
        <w:rPr>
          <w:rFonts w:hint="eastAsia" w:ascii="宋体" w:hAnsi="宋体"/>
          <w:kern w:val="44"/>
        </w:rPr>
        <w:t>（四）直接向本级人民政府和上级人民政府及其教育行政部门、教育督导机构反映情况。</w:t>
      </w:r>
    </w:p>
    <w:p w14:paraId="6E8D6EF3">
      <w:pPr>
        <w:ind w:firstLine="422"/>
        <w:jc w:val="left"/>
        <w:rPr>
          <w:rFonts w:ascii="宋体" w:hAnsi="宋体"/>
          <w:kern w:val="44"/>
        </w:rPr>
      </w:pPr>
      <w:r>
        <w:rPr>
          <w:rFonts w:hint="eastAsia" w:ascii="宋体" w:hAnsi="宋体"/>
          <w:b/>
          <w:kern w:val="44"/>
        </w:rPr>
        <w:t>第十六条</w:t>
      </w:r>
      <w:r>
        <w:rPr>
          <w:rFonts w:hint="eastAsia" w:ascii="宋体" w:hAnsi="宋体"/>
          <w:kern w:val="44"/>
        </w:rPr>
        <w:t>　被督导单位应当按督导要求，进行自查自评，应当配合教育督导室和督学开展督导工作，对督导意见应当采取相应的改进措施，并按照规定将改进工作的情况书面报告教育督导室。</w:t>
      </w:r>
    </w:p>
    <w:p w14:paraId="440F66F3">
      <w:pPr>
        <w:jc w:val="left"/>
        <w:rPr>
          <w:rFonts w:ascii="宋体" w:hAnsi="宋体"/>
          <w:kern w:val="44"/>
        </w:rPr>
      </w:pPr>
      <w:r>
        <w:rPr>
          <w:rFonts w:hint="eastAsia" w:ascii="宋体" w:hAnsi="宋体"/>
          <w:kern w:val="44"/>
        </w:rPr>
        <w:t>被督导单位对督导意见有异议的，可以在收到《督导结果通知书》15日内向发出《督导结果通知书》的教育督导室申请复查。教育督导室应当在30日内作出复查结论，并下达《督导复查结果通知书》。</w:t>
      </w:r>
    </w:p>
    <w:p w14:paraId="40E27033">
      <w:pPr>
        <w:ind w:firstLine="422"/>
        <w:jc w:val="left"/>
        <w:rPr>
          <w:rFonts w:ascii="宋体" w:hAnsi="宋体"/>
          <w:kern w:val="44"/>
        </w:rPr>
      </w:pPr>
      <w:r>
        <w:rPr>
          <w:rFonts w:hint="eastAsia" w:ascii="宋体" w:hAnsi="宋体"/>
          <w:b/>
          <w:kern w:val="44"/>
        </w:rPr>
        <w:t>第十七条</w:t>
      </w:r>
      <w:r>
        <w:rPr>
          <w:rFonts w:hint="eastAsia" w:ascii="宋体" w:hAnsi="宋体"/>
          <w:kern w:val="44"/>
        </w:rPr>
        <w:t>　教育督导室应当定期向本级人民政府及其教育行政部门和上级教育督导机构报告督导情况，提出改进教育工作的意见和建议。</w:t>
      </w:r>
    </w:p>
    <w:p w14:paraId="2393FCD0">
      <w:pPr>
        <w:ind w:firstLine="422"/>
        <w:jc w:val="left"/>
        <w:rPr>
          <w:rFonts w:ascii="宋体" w:hAnsi="宋体"/>
          <w:kern w:val="44"/>
        </w:rPr>
      </w:pPr>
      <w:r>
        <w:rPr>
          <w:rFonts w:hint="eastAsia" w:ascii="宋体" w:hAnsi="宋体"/>
          <w:b/>
          <w:kern w:val="44"/>
        </w:rPr>
        <w:t>第十八条</w:t>
      </w:r>
      <w:r>
        <w:rPr>
          <w:rFonts w:hint="eastAsia" w:ascii="宋体" w:hAnsi="宋体"/>
          <w:kern w:val="44"/>
        </w:rPr>
        <w:t>　教育督导室应当建立督导结果的通报制度。经本级人民政府同意，督导结果可以向社会公布。</w:t>
      </w:r>
    </w:p>
    <w:p w14:paraId="17D4A7C2">
      <w:pPr>
        <w:ind w:firstLine="422"/>
        <w:jc w:val="left"/>
        <w:rPr>
          <w:rFonts w:ascii="宋体" w:hAnsi="宋体"/>
          <w:kern w:val="44"/>
        </w:rPr>
      </w:pPr>
      <w:r>
        <w:rPr>
          <w:rFonts w:hint="eastAsia" w:ascii="宋体" w:hAnsi="宋体"/>
          <w:b/>
          <w:kern w:val="44"/>
        </w:rPr>
        <w:t>第十九条</w:t>
      </w:r>
      <w:r>
        <w:rPr>
          <w:rFonts w:hint="eastAsia" w:ascii="宋体" w:hAnsi="宋体"/>
          <w:kern w:val="44"/>
        </w:rPr>
        <w:t>　督学与被督导单位有利害关系或者其他关系，可能影响教育督导工作正常进行的，应当回避。</w:t>
      </w:r>
    </w:p>
    <w:p w14:paraId="2F137F25">
      <w:pPr>
        <w:jc w:val="left"/>
        <w:rPr>
          <w:rFonts w:ascii="宋体" w:hAnsi="宋体"/>
          <w:kern w:val="44"/>
        </w:rPr>
      </w:pPr>
    </w:p>
    <w:p w14:paraId="6688D570">
      <w:pPr>
        <w:ind w:firstLine="0" w:firstLineChars="0"/>
        <w:jc w:val="center"/>
        <w:rPr>
          <w:rFonts w:ascii="宋体" w:hAnsi="宋体"/>
          <w:b/>
          <w:kern w:val="44"/>
          <w:sz w:val="28"/>
        </w:rPr>
      </w:pPr>
      <w:r>
        <w:rPr>
          <w:rFonts w:hint="eastAsia" w:ascii="宋体" w:hAnsi="宋体"/>
          <w:b/>
          <w:kern w:val="44"/>
          <w:sz w:val="28"/>
        </w:rPr>
        <w:t>第四章  法律责任</w:t>
      </w:r>
    </w:p>
    <w:p w14:paraId="26FDE060">
      <w:pPr>
        <w:jc w:val="left"/>
        <w:rPr>
          <w:rFonts w:ascii="宋体" w:hAnsi="宋体"/>
          <w:kern w:val="44"/>
        </w:rPr>
      </w:pPr>
    </w:p>
    <w:p w14:paraId="61FB3E05">
      <w:pPr>
        <w:ind w:firstLine="422"/>
        <w:jc w:val="left"/>
        <w:rPr>
          <w:rFonts w:ascii="宋体" w:hAnsi="宋体"/>
          <w:kern w:val="44"/>
        </w:rPr>
      </w:pPr>
      <w:r>
        <w:rPr>
          <w:rFonts w:hint="eastAsia" w:ascii="宋体" w:hAnsi="宋体"/>
          <w:b/>
          <w:kern w:val="44"/>
        </w:rPr>
        <w:t>第二十条</w:t>
      </w:r>
      <w:r>
        <w:rPr>
          <w:rFonts w:hint="eastAsia" w:ascii="宋体" w:hAnsi="宋体"/>
          <w:kern w:val="44"/>
        </w:rPr>
        <w:t>　被督导单位及有关人员有下列情形之一的，由其主管部门对该单位给予通报批评，并可对直接责任人和单位负责人给予相应的行政处分；构成犯罪的，依法追究刑事责任：</w:t>
      </w:r>
    </w:p>
    <w:p w14:paraId="2FAB22EA">
      <w:pPr>
        <w:jc w:val="left"/>
        <w:rPr>
          <w:rFonts w:ascii="宋体" w:hAnsi="宋体"/>
          <w:kern w:val="44"/>
        </w:rPr>
      </w:pPr>
      <w:r>
        <w:rPr>
          <w:rFonts w:hint="eastAsia" w:ascii="宋体" w:hAnsi="宋体"/>
          <w:kern w:val="44"/>
        </w:rPr>
        <w:t>（一）拒绝向教育督导室和督学提供有关情况和文件、资料的；</w:t>
      </w:r>
    </w:p>
    <w:p w14:paraId="19613E42">
      <w:pPr>
        <w:jc w:val="left"/>
        <w:rPr>
          <w:rFonts w:ascii="宋体" w:hAnsi="宋体"/>
          <w:kern w:val="44"/>
        </w:rPr>
      </w:pPr>
      <w:r>
        <w:rPr>
          <w:rFonts w:hint="eastAsia" w:ascii="宋体" w:hAnsi="宋体"/>
          <w:kern w:val="44"/>
        </w:rPr>
        <w:t>（二）阻挠有关人员向教育督导室和督学反映情况的；</w:t>
      </w:r>
    </w:p>
    <w:p w14:paraId="2911F9CB">
      <w:pPr>
        <w:jc w:val="left"/>
        <w:rPr>
          <w:rFonts w:ascii="宋体" w:hAnsi="宋体"/>
          <w:kern w:val="44"/>
        </w:rPr>
      </w:pPr>
      <w:r>
        <w:rPr>
          <w:rFonts w:hint="eastAsia" w:ascii="宋体" w:hAnsi="宋体"/>
          <w:kern w:val="44"/>
        </w:rPr>
        <w:t>（三）对教育督导室提出的督导意见，拒不采取改进措施的；</w:t>
      </w:r>
    </w:p>
    <w:p w14:paraId="7740E02E">
      <w:pPr>
        <w:jc w:val="left"/>
        <w:rPr>
          <w:rFonts w:ascii="宋体" w:hAnsi="宋体"/>
          <w:kern w:val="44"/>
        </w:rPr>
      </w:pPr>
      <w:r>
        <w:rPr>
          <w:rFonts w:hint="eastAsia" w:ascii="宋体" w:hAnsi="宋体"/>
          <w:kern w:val="44"/>
        </w:rPr>
        <w:t>（四）弄虚作假、蒙骗教育督导室和督学的；</w:t>
      </w:r>
    </w:p>
    <w:p w14:paraId="10FDE51C">
      <w:pPr>
        <w:jc w:val="left"/>
        <w:rPr>
          <w:rFonts w:ascii="宋体" w:hAnsi="宋体"/>
          <w:kern w:val="44"/>
        </w:rPr>
      </w:pPr>
      <w:r>
        <w:rPr>
          <w:rFonts w:hint="eastAsia" w:ascii="宋体" w:hAnsi="宋体"/>
          <w:kern w:val="44"/>
        </w:rPr>
        <w:t>（五）打击、报复督学或者向教育督导室和督学反映情况的人员的；</w:t>
      </w:r>
    </w:p>
    <w:p w14:paraId="1BFD09DD">
      <w:pPr>
        <w:jc w:val="left"/>
        <w:rPr>
          <w:rFonts w:ascii="宋体" w:hAnsi="宋体"/>
          <w:kern w:val="44"/>
        </w:rPr>
      </w:pPr>
      <w:r>
        <w:rPr>
          <w:rFonts w:hint="eastAsia" w:ascii="宋体" w:hAnsi="宋体"/>
          <w:kern w:val="44"/>
        </w:rPr>
        <w:t>（六）其他影响督导工作的。</w:t>
      </w:r>
    </w:p>
    <w:p w14:paraId="51A218A7">
      <w:pPr>
        <w:ind w:firstLine="422"/>
        <w:jc w:val="left"/>
        <w:rPr>
          <w:rFonts w:ascii="宋体" w:hAnsi="宋体"/>
          <w:kern w:val="44"/>
        </w:rPr>
      </w:pPr>
      <w:r>
        <w:rPr>
          <w:rFonts w:hint="eastAsia" w:ascii="宋体" w:hAnsi="宋体"/>
          <w:b/>
          <w:kern w:val="44"/>
        </w:rPr>
        <w:t>第二十一条</w:t>
      </w:r>
      <w:r>
        <w:rPr>
          <w:rFonts w:hint="eastAsia" w:ascii="宋体" w:hAnsi="宋体"/>
          <w:kern w:val="44"/>
        </w:rPr>
        <w:t>　督学有下列情况之一的，由其所在单位给予批评教育或者行政处分；情节严重的，由本级人民政府撤销其督学职务：</w:t>
      </w:r>
    </w:p>
    <w:p w14:paraId="3621D402">
      <w:pPr>
        <w:jc w:val="left"/>
        <w:rPr>
          <w:rFonts w:ascii="宋体" w:hAnsi="宋体"/>
          <w:kern w:val="44"/>
        </w:rPr>
      </w:pPr>
      <w:r>
        <w:rPr>
          <w:rFonts w:hint="eastAsia" w:ascii="宋体" w:hAnsi="宋体"/>
          <w:kern w:val="44"/>
        </w:rPr>
        <w:t>（一）因渎职贻误工作的；</w:t>
      </w:r>
    </w:p>
    <w:p w14:paraId="0B6A496A">
      <w:pPr>
        <w:jc w:val="left"/>
        <w:rPr>
          <w:rFonts w:ascii="宋体" w:hAnsi="宋体"/>
          <w:kern w:val="44"/>
        </w:rPr>
      </w:pPr>
      <w:r>
        <w:rPr>
          <w:rFonts w:hint="eastAsia" w:ascii="宋体" w:hAnsi="宋体"/>
          <w:kern w:val="44"/>
        </w:rPr>
        <w:t>（二）利用职权谋取私利的；</w:t>
      </w:r>
    </w:p>
    <w:p w14:paraId="1ED26C6C">
      <w:pPr>
        <w:jc w:val="left"/>
        <w:rPr>
          <w:rFonts w:ascii="宋体" w:hAnsi="宋体"/>
          <w:kern w:val="44"/>
        </w:rPr>
      </w:pPr>
      <w:r>
        <w:rPr>
          <w:rFonts w:hint="eastAsia" w:ascii="宋体" w:hAnsi="宋体"/>
          <w:kern w:val="44"/>
        </w:rPr>
        <w:t>（三）利用职权包庇或者打击报复他人，侵害他人合法权益的；</w:t>
      </w:r>
    </w:p>
    <w:p w14:paraId="124EFA53">
      <w:pPr>
        <w:jc w:val="left"/>
        <w:rPr>
          <w:rFonts w:ascii="宋体" w:hAnsi="宋体"/>
          <w:kern w:val="44"/>
        </w:rPr>
      </w:pPr>
      <w:r>
        <w:rPr>
          <w:rFonts w:hint="eastAsia" w:ascii="宋体" w:hAnsi="宋体"/>
          <w:kern w:val="44"/>
        </w:rPr>
        <w:t>（四）其他滥用职权的。</w:t>
      </w:r>
    </w:p>
    <w:p w14:paraId="6BBB1D95">
      <w:pPr>
        <w:spacing w:line="300" w:lineRule="exact"/>
        <w:jc w:val="left"/>
        <w:rPr>
          <w:rFonts w:ascii="宋体" w:hAnsi="宋体"/>
          <w:kern w:val="44"/>
        </w:rPr>
      </w:pPr>
    </w:p>
    <w:p w14:paraId="6FCCEB8C">
      <w:pPr>
        <w:ind w:firstLine="0" w:firstLineChars="0"/>
        <w:jc w:val="center"/>
        <w:rPr>
          <w:rFonts w:ascii="宋体" w:hAnsi="宋体"/>
          <w:b/>
          <w:kern w:val="44"/>
          <w:sz w:val="28"/>
        </w:rPr>
      </w:pPr>
      <w:r>
        <w:rPr>
          <w:rFonts w:hint="eastAsia" w:ascii="宋体" w:hAnsi="宋体"/>
          <w:b/>
          <w:kern w:val="44"/>
          <w:sz w:val="28"/>
        </w:rPr>
        <w:t>第五章  附  则</w:t>
      </w:r>
    </w:p>
    <w:p w14:paraId="6A9A2AB9">
      <w:pPr>
        <w:spacing w:line="300" w:lineRule="exact"/>
        <w:jc w:val="left"/>
        <w:rPr>
          <w:rFonts w:ascii="宋体" w:hAnsi="宋体"/>
          <w:kern w:val="44"/>
        </w:rPr>
      </w:pPr>
    </w:p>
    <w:p w14:paraId="5A6DBEBB">
      <w:pPr>
        <w:ind w:firstLine="422"/>
        <w:jc w:val="left"/>
        <w:rPr>
          <w:rFonts w:ascii="宋体" w:hAnsi="宋体"/>
          <w:kern w:val="44"/>
        </w:rPr>
      </w:pPr>
      <w:r>
        <w:rPr>
          <w:rFonts w:hint="eastAsia" w:ascii="宋体" w:hAnsi="宋体"/>
          <w:b/>
          <w:kern w:val="44"/>
        </w:rPr>
        <w:t>第二十二条</w:t>
      </w:r>
      <w:r>
        <w:rPr>
          <w:rFonts w:hint="eastAsia" w:ascii="宋体" w:hAnsi="宋体"/>
          <w:kern w:val="44"/>
        </w:rPr>
        <w:t>　本规定所称中等及中等以下各级各类学校，是指幼儿园、普通中小学、职业高级中学、中等专业学校、技工学校、中等及中等以下成人学校和社会力量举办的学校及其他教育机构。</w:t>
      </w:r>
    </w:p>
    <w:p w14:paraId="0978E0EC">
      <w:pPr>
        <w:ind w:firstLine="422"/>
        <w:jc w:val="left"/>
        <w:rPr>
          <w:rFonts w:ascii="宋体" w:hAnsi="宋体"/>
          <w:kern w:val="44"/>
        </w:rPr>
      </w:pPr>
      <w:r>
        <w:rPr>
          <w:rFonts w:hint="eastAsia" w:ascii="宋体" w:hAnsi="宋体"/>
          <w:b/>
          <w:kern w:val="44"/>
        </w:rPr>
        <w:t>第二十三条</w:t>
      </w:r>
      <w:r>
        <w:rPr>
          <w:rFonts w:hint="eastAsia" w:ascii="宋体" w:hAnsi="宋体"/>
          <w:kern w:val="44"/>
        </w:rPr>
        <w:t>　本规定执行中的具体问题，由市教育行政部门负责解释。</w:t>
      </w:r>
    </w:p>
    <w:p w14:paraId="6911920C">
      <w:pPr>
        <w:ind w:firstLine="422"/>
        <w:jc w:val="left"/>
        <w:rPr>
          <w:rFonts w:ascii="宋体" w:hAnsi="宋体"/>
          <w:kern w:val="44"/>
        </w:rPr>
      </w:pPr>
      <w:r>
        <w:rPr>
          <w:rFonts w:hint="eastAsia" w:ascii="宋体" w:hAnsi="宋体"/>
          <w:b/>
          <w:kern w:val="44"/>
        </w:rPr>
        <w:t>第二十四条</w:t>
      </w:r>
      <w:r>
        <w:rPr>
          <w:rFonts w:hint="eastAsia" w:ascii="宋体" w:hAnsi="宋体"/>
          <w:kern w:val="44"/>
        </w:rPr>
        <w:t xml:space="preserve">　本规定自1999年3月1日起施行。 </w:t>
      </w:r>
    </w:p>
    <w:p w14:paraId="568F6EB8">
      <w:pPr>
        <w:pStyle w:val="4"/>
        <w:pageBreakBefore/>
        <w:rPr>
          <w:kern w:val="44"/>
        </w:rPr>
      </w:pPr>
      <w:bookmarkStart w:id="1511" w:name="_Toc422471395"/>
      <w:bookmarkStart w:id="1512" w:name="_Toc427651653"/>
      <w:bookmarkStart w:id="1513" w:name="_Toc428781701"/>
      <w:bookmarkStart w:id="1514" w:name="_Toc428780219"/>
      <w:bookmarkStart w:id="1515" w:name="_Toc427651995"/>
      <w:r>
        <w:rPr>
          <w:rFonts w:hint="eastAsia"/>
          <w:kern w:val="44"/>
        </w:rPr>
        <w:t>北京市人民政府关于对违反师范毕业生</w:t>
      </w:r>
      <w:bookmarkEnd w:id="1511"/>
      <w:bookmarkEnd w:id="1512"/>
      <w:bookmarkEnd w:id="1513"/>
      <w:bookmarkEnd w:id="1514"/>
      <w:bookmarkEnd w:id="1515"/>
    </w:p>
    <w:p w14:paraId="191CA462">
      <w:pPr>
        <w:pStyle w:val="4"/>
        <w:rPr>
          <w:kern w:val="44"/>
        </w:rPr>
      </w:pPr>
      <w:bookmarkStart w:id="1516" w:name="_Toc422471396"/>
      <w:bookmarkStart w:id="1517" w:name="_Toc427651996"/>
      <w:bookmarkStart w:id="1518" w:name="_Toc427651654"/>
      <w:bookmarkStart w:id="1519" w:name="_Toc428781702"/>
      <w:bookmarkStart w:id="1520" w:name="_Toc428780220"/>
      <w:r>
        <w:rPr>
          <w:rFonts w:hint="eastAsia"/>
          <w:kern w:val="44"/>
        </w:rPr>
        <w:t>服务期制度者追缴专业奖学金</w:t>
      </w:r>
      <w:bookmarkEnd w:id="1516"/>
      <w:bookmarkStart w:id="1521" w:name="_Toc422471397"/>
      <w:r>
        <w:rPr>
          <w:rFonts w:hint="eastAsia"/>
          <w:kern w:val="44"/>
        </w:rPr>
        <w:t>和培养费的规定</w:t>
      </w:r>
      <w:bookmarkEnd w:id="1517"/>
      <w:bookmarkEnd w:id="1518"/>
      <w:bookmarkEnd w:id="1519"/>
      <w:bookmarkEnd w:id="1520"/>
      <w:bookmarkEnd w:id="1521"/>
    </w:p>
    <w:p w14:paraId="21485B5B">
      <w:pPr>
        <w:ind w:left="630" w:leftChars="300" w:right="630" w:rightChars="300"/>
        <w:jc w:val="center"/>
        <w:rPr>
          <w:rFonts w:ascii="楷体" w:hAnsi="楷体" w:eastAsia="楷体"/>
          <w:kern w:val="44"/>
        </w:rPr>
      </w:pPr>
      <w:r>
        <w:rPr>
          <w:rFonts w:hint="eastAsia" w:ascii="楷体" w:hAnsi="楷体" w:eastAsia="楷体"/>
          <w:kern w:val="44"/>
        </w:rPr>
        <w:t>（1998年7月8日北京市人民政府第9号令发布）</w:t>
      </w:r>
    </w:p>
    <w:p w14:paraId="3BB73F0E">
      <w:pPr>
        <w:jc w:val="left"/>
        <w:rPr>
          <w:rFonts w:ascii="宋体" w:hAnsi="宋体"/>
          <w:kern w:val="44"/>
        </w:rPr>
      </w:pPr>
    </w:p>
    <w:p w14:paraId="50854159">
      <w:pPr>
        <w:ind w:firstLine="422"/>
        <w:jc w:val="left"/>
        <w:rPr>
          <w:rFonts w:ascii="宋体" w:hAnsi="宋体"/>
          <w:kern w:val="44"/>
        </w:rPr>
      </w:pPr>
      <w:r>
        <w:rPr>
          <w:rFonts w:hint="eastAsia" w:ascii="宋体" w:hAnsi="宋体"/>
          <w:b/>
          <w:kern w:val="44"/>
        </w:rPr>
        <w:t>第一条</w:t>
      </w:r>
      <w:r>
        <w:rPr>
          <w:rFonts w:hint="eastAsia" w:ascii="宋体" w:hAnsi="宋体"/>
          <w:kern w:val="44"/>
        </w:rPr>
        <w:t>　根据《北京市实施〈中华人民共和国教师法〉办法》（以下简称《办法》）第二十三条第二款的规定，制定本规定。</w:t>
      </w:r>
    </w:p>
    <w:p w14:paraId="1698EB7D">
      <w:pPr>
        <w:ind w:firstLine="422"/>
        <w:jc w:val="left"/>
        <w:rPr>
          <w:rFonts w:ascii="宋体" w:hAnsi="宋体"/>
          <w:kern w:val="44"/>
        </w:rPr>
      </w:pPr>
      <w:r>
        <w:rPr>
          <w:rFonts w:hint="eastAsia" w:ascii="宋体" w:hAnsi="宋体"/>
          <w:b/>
          <w:kern w:val="44"/>
        </w:rPr>
        <w:t>第二条</w:t>
      </w:r>
      <w:r>
        <w:rPr>
          <w:rFonts w:hint="eastAsia" w:ascii="宋体" w:hAnsi="宋体"/>
          <w:kern w:val="44"/>
        </w:rPr>
        <w:t>　师范毕业生违反师范毕业生服务期制度的，由市和区、县的教育行政部门或者劳动行政部门按《办法》第四条的职责划分责令其改正；拒不改正的，追缴在校期间的专业奖学金和培养费。</w:t>
      </w:r>
    </w:p>
    <w:p w14:paraId="21E38C57">
      <w:pPr>
        <w:ind w:firstLine="422"/>
        <w:jc w:val="left"/>
        <w:rPr>
          <w:rFonts w:ascii="宋体" w:hAnsi="宋体"/>
          <w:kern w:val="44"/>
        </w:rPr>
      </w:pPr>
      <w:r>
        <w:rPr>
          <w:rFonts w:hint="eastAsia" w:ascii="宋体" w:hAnsi="宋体"/>
          <w:b/>
          <w:kern w:val="44"/>
        </w:rPr>
        <w:t>第三条</w:t>
      </w:r>
      <w:r>
        <w:rPr>
          <w:rFonts w:hint="eastAsia" w:ascii="宋体" w:hAnsi="宋体"/>
          <w:kern w:val="44"/>
        </w:rPr>
        <w:t>　追缴专业奖学金和培养费的标准，由市教育行政部门和市财政部门、市物价部门根据师范毕业生在校学习期间生均教育培养费用制定。</w:t>
      </w:r>
    </w:p>
    <w:p w14:paraId="3130AF6C">
      <w:pPr>
        <w:jc w:val="left"/>
        <w:rPr>
          <w:rFonts w:ascii="宋体" w:hAnsi="宋体"/>
          <w:kern w:val="44"/>
        </w:rPr>
      </w:pPr>
      <w:r>
        <w:rPr>
          <w:rFonts w:hint="eastAsia" w:ascii="宋体" w:hAnsi="宋体"/>
          <w:kern w:val="44"/>
        </w:rPr>
        <w:t>追缴数额按已服务年限，以每年递减20％的比例计算。</w:t>
      </w:r>
    </w:p>
    <w:p w14:paraId="5DA29B75">
      <w:pPr>
        <w:jc w:val="left"/>
        <w:rPr>
          <w:rFonts w:ascii="宋体" w:hAnsi="宋体"/>
          <w:kern w:val="44"/>
        </w:rPr>
      </w:pPr>
      <w:r>
        <w:rPr>
          <w:rFonts w:hint="eastAsia" w:ascii="宋体" w:hAnsi="宋体"/>
          <w:kern w:val="44"/>
        </w:rPr>
        <w:t>本规定中的服务年限自报到之日起开始计算。</w:t>
      </w:r>
    </w:p>
    <w:p w14:paraId="65B94DB4">
      <w:pPr>
        <w:jc w:val="left"/>
        <w:rPr>
          <w:rFonts w:ascii="宋体" w:hAnsi="宋体"/>
          <w:kern w:val="44"/>
        </w:rPr>
      </w:pPr>
      <w:r>
        <w:rPr>
          <w:rFonts w:hint="eastAsia" w:ascii="宋体" w:hAnsi="宋体"/>
          <w:kern w:val="44"/>
        </w:rPr>
        <w:t>师范毕业生不按国家规定从事教育教学工作的，全额追缴专业奖学金和培养费。</w:t>
      </w:r>
    </w:p>
    <w:p w14:paraId="73BC73A8">
      <w:pPr>
        <w:ind w:firstLine="422"/>
        <w:jc w:val="left"/>
        <w:rPr>
          <w:rFonts w:ascii="宋体" w:hAnsi="宋体"/>
          <w:kern w:val="44"/>
        </w:rPr>
      </w:pPr>
      <w:r>
        <w:rPr>
          <w:rFonts w:hint="eastAsia" w:ascii="宋体" w:hAnsi="宋体"/>
          <w:b/>
          <w:kern w:val="44"/>
        </w:rPr>
        <w:t>第四条</w:t>
      </w:r>
      <w:r>
        <w:rPr>
          <w:rFonts w:hint="eastAsia" w:ascii="宋体" w:hAnsi="宋体"/>
          <w:kern w:val="44"/>
        </w:rPr>
        <w:t>　追缴专业奖学金和培养费应使用北京市行政事业单位统一银钱收据，并作为其他收入纳入财政预算管理，专项用于补充教育经费。</w:t>
      </w:r>
    </w:p>
    <w:p w14:paraId="00C49160">
      <w:pPr>
        <w:ind w:firstLine="422"/>
        <w:jc w:val="left"/>
        <w:rPr>
          <w:rFonts w:ascii="宋体" w:hAnsi="宋体"/>
          <w:kern w:val="44"/>
        </w:rPr>
      </w:pPr>
      <w:r>
        <w:rPr>
          <w:rFonts w:hint="eastAsia" w:ascii="宋体" w:hAnsi="宋体"/>
          <w:b/>
          <w:kern w:val="44"/>
        </w:rPr>
        <w:t>第五条</w:t>
      </w:r>
      <w:r>
        <w:rPr>
          <w:rFonts w:hint="eastAsia" w:ascii="宋体" w:hAnsi="宋体"/>
          <w:kern w:val="44"/>
        </w:rPr>
        <w:t>　区、县自行举办的师资班毕业生，参照本规定办理。</w:t>
      </w:r>
    </w:p>
    <w:p w14:paraId="7DC65038">
      <w:pPr>
        <w:ind w:firstLine="422"/>
        <w:jc w:val="left"/>
        <w:rPr>
          <w:rFonts w:ascii="宋体" w:hAnsi="宋体"/>
          <w:kern w:val="44"/>
        </w:rPr>
      </w:pPr>
      <w:r>
        <w:rPr>
          <w:rFonts w:hint="eastAsia" w:ascii="宋体" w:hAnsi="宋体"/>
          <w:b/>
          <w:kern w:val="44"/>
        </w:rPr>
        <w:t>第六条</w:t>
      </w:r>
      <w:r>
        <w:rPr>
          <w:rFonts w:hint="eastAsia" w:ascii="宋体" w:hAnsi="宋体"/>
          <w:kern w:val="44"/>
        </w:rPr>
        <w:t>　本规定执行中的具体问题由市教育行政部门、市劳动行政部门按照各自职责划分负责解释。</w:t>
      </w:r>
    </w:p>
    <w:p w14:paraId="4B1D549A">
      <w:pPr>
        <w:ind w:firstLine="422"/>
        <w:jc w:val="left"/>
        <w:rPr>
          <w:rFonts w:ascii="宋体" w:hAnsi="宋体"/>
          <w:kern w:val="44"/>
        </w:rPr>
      </w:pPr>
      <w:r>
        <w:rPr>
          <w:rFonts w:hint="eastAsia" w:ascii="宋体" w:hAnsi="宋体"/>
          <w:b/>
          <w:kern w:val="44"/>
        </w:rPr>
        <w:t>第七条</w:t>
      </w:r>
      <w:r>
        <w:rPr>
          <w:rFonts w:hint="eastAsia" w:ascii="宋体" w:hAnsi="宋体"/>
          <w:kern w:val="44"/>
        </w:rPr>
        <w:t>　本规定自1998年9月1日起施行。</w:t>
      </w:r>
    </w:p>
    <w:p w14:paraId="2324269B">
      <w:pPr>
        <w:pStyle w:val="3"/>
        <w:pageBreakBefore/>
        <w:rPr>
          <w:kern w:val="44"/>
        </w:rPr>
      </w:pPr>
      <w:bookmarkStart w:id="1522" w:name="_Toc427651997"/>
      <w:bookmarkStart w:id="1523" w:name="_Toc427651655"/>
      <w:bookmarkStart w:id="1524" w:name="_Toc428780221"/>
      <w:bookmarkStart w:id="1525" w:name="_Toc428781703"/>
      <w:bookmarkStart w:id="1526" w:name="_Toc422471398"/>
      <w:r>
        <w:rPr>
          <w:rFonts w:hint="eastAsia"/>
          <w:kern w:val="44"/>
        </w:rPr>
        <w:t>（二）科  技</w:t>
      </w:r>
      <w:bookmarkEnd w:id="1522"/>
      <w:bookmarkEnd w:id="1523"/>
      <w:bookmarkEnd w:id="1524"/>
      <w:bookmarkEnd w:id="1525"/>
      <w:bookmarkEnd w:id="1526"/>
    </w:p>
    <w:p w14:paraId="54B856AB"/>
    <w:p w14:paraId="0A909D49">
      <w:pPr>
        <w:pStyle w:val="4"/>
        <w:rPr>
          <w:kern w:val="44"/>
        </w:rPr>
      </w:pPr>
      <w:bookmarkStart w:id="1527" w:name="_Toc422471399"/>
      <w:bookmarkStart w:id="1528" w:name="_Toc428780222"/>
      <w:bookmarkStart w:id="1529" w:name="_Toc427651998"/>
      <w:bookmarkStart w:id="1530" w:name="_Toc427651656"/>
      <w:bookmarkStart w:id="1531" w:name="_Toc428781704"/>
      <w:r>
        <w:rPr>
          <w:rFonts w:hint="eastAsia"/>
          <w:kern w:val="44"/>
        </w:rPr>
        <w:t>北京市实验动物管理条例</w:t>
      </w:r>
      <w:bookmarkEnd w:id="1527"/>
      <w:bookmarkEnd w:id="1528"/>
      <w:bookmarkEnd w:id="1529"/>
      <w:bookmarkEnd w:id="1530"/>
      <w:bookmarkEnd w:id="1531"/>
    </w:p>
    <w:p w14:paraId="5EEC5C9C">
      <w:pPr>
        <w:ind w:left="630" w:leftChars="300" w:right="630" w:rightChars="300"/>
        <w:jc w:val="left"/>
        <w:rPr>
          <w:rFonts w:ascii="楷体" w:hAnsi="楷体" w:eastAsia="楷体"/>
          <w:kern w:val="44"/>
        </w:rPr>
      </w:pPr>
      <w:r>
        <w:rPr>
          <w:rFonts w:hint="eastAsia" w:ascii="楷体" w:hAnsi="楷体" w:eastAsia="楷体"/>
          <w:kern w:val="44"/>
        </w:rPr>
        <w:t>（1996年10月17日北京市第十届人民代表大会常务委员会第三十一次会议通过　2004年12月2日北京市第十二届人民代表大会常务委员会第十七次会议修订）</w:t>
      </w:r>
    </w:p>
    <w:p w14:paraId="68FC2B52">
      <w:pPr>
        <w:ind w:left="630" w:leftChars="300" w:right="630" w:rightChars="300"/>
        <w:jc w:val="left"/>
        <w:rPr>
          <w:rFonts w:ascii="楷体" w:hAnsi="楷体" w:eastAsia="楷体"/>
          <w:kern w:val="44"/>
        </w:rPr>
      </w:pPr>
    </w:p>
    <w:p w14:paraId="04C9E82D">
      <w:pPr>
        <w:ind w:firstLine="0" w:firstLineChars="0"/>
        <w:jc w:val="center"/>
        <w:rPr>
          <w:rFonts w:ascii="宋体" w:hAnsi="宋体"/>
          <w:b/>
          <w:kern w:val="44"/>
          <w:sz w:val="28"/>
        </w:rPr>
      </w:pPr>
      <w:r>
        <w:rPr>
          <w:rFonts w:hint="eastAsia" w:ascii="宋体" w:hAnsi="宋体"/>
          <w:b/>
          <w:kern w:val="44"/>
          <w:sz w:val="28"/>
        </w:rPr>
        <w:t>第一章　总　则</w:t>
      </w:r>
    </w:p>
    <w:p w14:paraId="789DD69A">
      <w:pPr>
        <w:jc w:val="left"/>
        <w:rPr>
          <w:rFonts w:ascii="宋体" w:hAnsi="宋体"/>
          <w:kern w:val="44"/>
        </w:rPr>
      </w:pPr>
    </w:p>
    <w:p w14:paraId="638A0522">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为了加强实验动物的管理工作，保证实验动物和动物实验的质量，适应科学研究、经济建设与社会发展和对外开放的需要，根据国家有关法律、法规，结合本市实际情况，制定本条例。</w:t>
      </w:r>
    </w:p>
    <w:p w14:paraId="39B83FFC">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本条例所称实验动物，是指经人工饲养、繁育，对其携带的微生物及寄生虫实行控制，遗传背景明确或者来源清楚的，应用于科学研究、教学、生产和检定以及其他科学实验的动物。</w:t>
      </w:r>
    </w:p>
    <w:p w14:paraId="26C2B998">
      <w:pPr>
        <w:jc w:val="left"/>
        <w:rPr>
          <w:rFonts w:ascii="宋体" w:hAnsi="宋体"/>
          <w:kern w:val="44"/>
        </w:rPr>
      </w:pPr>
      <w:r>
        <w:rPr>
          <w:rFonts w:hint="eastAsia" w:ascii="宋体" w:hAnsi="宋体"/>
          <w:kern w:val="44"/>
        </w:rPr>
        <w:t>根据对微生物和寄生虫的控制，实验动物分为普通级、清洁级、无特定病原体级和无菌级。</w:t>
      </w:r>
    </w:p>
    <w:p w14:paraId="1D3C9C61">
      <w:pPr>
        <w:ind w:firstLine="422"/>
        <w:jc w:val="left"/>
        <w:rPr>
          <w:rFonts w:ascii="宋体" w:hAnsi="宋体"/>
          <w:kern w:val="44"/>
        </w:rPr>
      </w:pPr>
      <w:r>
        <w:rPr>
          <w:rFonts w:hint="eastAsia" w:ascii="宋体" w:hAnsi="宋体"/>
          <w:b/>
          <w:kern w:val="44"/>
        </w:rPr>
        <w:t>第三条</w:t>
      </w:r>
      <w:r>
        <w:rPr>
          <w:rFonts w:hint="eastAsia" w:ascii="宋体" w:hAnsi="宋体"/>
          <w:kern w:val="44"/>
        </w:rPr>
        <w:t>　本条例适用于在本市行政区域内从事实验动物的科学研究、生产和应用的单位和个人。国家法律、法规另有规定的，按照有关规定办理。</w:t>
      </w:r>
    </w:p>
    <w:p w14:paraId="1CEB15FF">
      <w:pPr>
        <w:ind w:firstLine="422"/>
        <w:jc w:val="left"/>
        <w:rPr>
          <w:rFonts w:ascii="宋体" w:hAnsi="宋体"/>
          <w:kern w:val="44"/>
        </w:rPr>
      </w:pPr>
      <w:r>
        <w:rPr>
          <w:rFonts w:hint="eastAsia" w:ascii="宋体" w:hAnsi="宋体"/>
          <w:b/>
          <w:kern w:val="44"/>
        </w:rPr>
        <w:t>第四条</w:t>
      </w:r>
      <w:r>
        <w:rPr>
          <w:rFonts w:hint="eastAsia" w:ascii="宋体" w:hAnsi="宋体"/>
          <w:kern w:val="44"/>
        </w:rPr>
        <w:t>　实验动物的管理工作，应当协调统一，加强规划，合理分工，资源共享，有利于市场规范，促进实验动物的科学研究、生产和应用。</w:t>
      </w:r>
    </w:p>
    <w:p w14:paraId="3CF52A60">
      <w:pPr>
        <w:ind w:firstLine="422"/>
        <w:jc w:val="left"/>
        <w:rPr>
          <w:rFonts w:ascii="宋体" w:hAnsi="宋体"/>
          <w:kern w:val="44"/>
        </w:rPr>
      </w:pPr>
      <w:r>
        <w:rPr>
          <w:rFonts w:hint="eastAsia" w:ascii="宋体" w:hAnsi="宋体"/>
          <w:b/>
          <w:kern w:val="44"/>
        </w:rPr>
        <w:t>第五条</w:t>
      </w:r>
      <w:r>
        <w:rPr>
          <w:rFonts w:hint="eastAsia" w:ascii="宋体" w:hAnsi="宋体"/>
          <w:kern w:val="44"/>
        </w:rPr>
        <w:t>　市科学技术行政部门主管本市实验动物工作，负责制定实验动物发展规划，以科技项目经费支持实验动物科学研究。</w:t>
      </w:r>
    </w:p>
    <w:p w14:paraId="52A6C7A4">
      <w:pPr>
        <w:jc w:val="left"/>
        <w:rPr>
          <w:rFonts w:ascii="宋体" w:hAnsi="宋体"/>
          <w:kern w:val="44"/>
        </w:rPr>
      </w:pPr>
      <w:r>
        <w:rPr>
          <w:rFonts w:hint="eastAsia" w:ascii="宋体" w:hAnsi="宋体"/>
          <w:kern w:val="44"/>
        </w:rPr>
        <w:t>北京市实验动物管理办公室在市科学技术行政部门的领导下，负责实验动物的日常管理与监督工作。</w:t>
      </w:r>
    </w:p>
    <w:p w14:paraId="7D553850">
      <w:pPr>
        <w:jc w:val="left"/>
        <w:rPr>
          <w:rFonts w:ascii="宋体" w:hAnsi="宋体"/>
          <w:kern w:val="44"/>
        </w:rPr>
      </w:pPr>
      <w:r>
        <w:rPr>
          <w:rFonts w:hint="eastAsia" w:ascii="宋体" w:hAnsi="宋体"/>
          <w:kern w:val="44"/>
        </w:rPr>
        <w:t>市人民政府有关部门应当按照各自的职责，做好实验动物有关管理工作。</w:t>
      </w:r>
    </w:p>
    <w:p w14:paraId="34776F32">
      <w:pPr>
        <w:ind w:firstLine="422"/>
        <w:jc w:val="left"/>
        <w:rPr>
          <w:rFonts w:ascii="宋体" w:hAnsi="宋体"/>
          <w:kern w:val="44"/>
        </w:rPr>
      </w:pPr>
      <w:r>
        <w:rPr>
          <w:rFonts w:hint="eastAsia" w:ascii="宋体" w:hAnsi="宋体"/>
          <w:b/>
          <w:kern w:val="44"/>
        </w:rPr>
        <w:t>第六条</w:t>
      </w:r>
      <w:r>
        <w:rPr>
          <w:rFonts w:hint="eastAsia" w:ascii="宋体" w:hAnsi="宋体"/>
          <w:kern w:val="44"/>
        </w:rPr>
        <w:t>　本市实行实验动物的质量监督和许可证制度。</w:t>
      </w:r>
    </w:p>
    <w:p w14:paraId="4F62A5AE">
      <w:pPr>
        <w:jc w:val="left"/>
        <w:rPr>
          <w:rFonts w:ascii="宋体" w:hAnsi="宋体"/>
          <w:kern w:val="44"/>
        </w:rPr>
      </w:pPr>
      <w:r>
        <w:rPr>
          <w:rFonts w:hint="eastAsia" w:ascii="宋体" w:hAnsi="宋体"/>
          <w:kern w:val="44"/>
        </w:rPr>
        <w:t>实验动物的质量监控，执行国家标准；国家尚未制定标准的，执行行业标准；国家、行业均未制定标准的，执行地方标准。</w:t>
      </w:r>
    </w:p>
    <w:p w14:paraId="318F26EC">
      <w:pPr>
        <w:jc w:val="left"/>
        <w:rPr>
          <w:rFonts w:ascii="宋体" w:hAnsi="宋体"/>
          <w:kern w:val="44"/>
        </w:rPr>
      </w:pPr>
      <w:r>
        <w:rPr>
          <w:rFonts w:hint="eastAsia" w:ascii="宋体" w:hAnsi="宋体"/>
          <w:kern w:val="44"/>
        </w:rPr>
        <w:t>从事实验动物工作的单位和个人，应当取得市科学技术行政部门颁发的实验动物生产许可证、实验动物使用许可证。</w:t>
      </w:r>
    </w:p>
    <w:p w14:paraId="3F275FD7">
      <w:pPr>
        <w:jc w:val="left"/>
        <w:rPr>
          <w:rFonts w:ascii="宋体" w:hAnsi="宋体"/>
          <w:kern w:val="44"/>
        </w:rPr>
      </w:pPr>
      <w:r>
        <w:rPr>
          <w:rFonts w:hint="eastAsia" w:ascii="宋体" w:hAnsi="宋体"/>
          <w:kern w:val="44"/>
        </w:rPr>
        <w:t>实验动物生产许可证、实验动物使用许可证不得转让。</w:t>
      </w:r>
    </w:p>
    <w:p w14:paraId="67389D4A">
      <w:pPr>
        <w:ind w:firstLine="422"/>
        <w:jc w:val="left"/>
        <w:rPr>
          <w:rFonts w:ascii="宋体" w:hAnsi="宋体"/>
          <w:kern w:val="44"/>
        </w:rPr>
      </w:pPr>
      <w:r>
        <w:rPr>
          <w:rFonts w:hint="eastAsia" w:ascii="宋体" w:hAnsi="宋体"/>
          <w:b/>
          <w:kern w:val="44"/>
        </w:rPr>
        <w:t>第七条</w:t>
      </w:r>
      <w:r>
        <w:rPr>
          <w:rFonts w:hint="eastAsia" w:ascii="宋体" w:hAnsi="宋体"/>
          <w:kern w:val="44"/>
        </w:rPr>
        <w:t>　从事实验动物工作的单位和个人，应当维护动物福利，保障生物安全，防止环境污染。</w:t>
      </w:r>
    </w:p>
    <w:p w14:paraId="59785E0F">
      <w:pPr>
        <w:ind w:firstLine="422"/>
        <w:jc w:val="left"/>
        <w:rPr>
          <w:rFonts w:ascii="宋体" w:hAnsi="宋体"/>
          <w:kern w:val="44"/>
        </w:rPr>
      </w:pPr>
      <w:r>
        <w:rPr>
          <w:rFonts w:hint="eastAsia" w:ascii="宋体" w:hAnsi="宋体"/>
          <w:b/>
          <w:kern w:val="44"/>
        </w:rPr>
        <w:t>第八条</w:t>
      </w:r>
      <w:r>
        <w:rPr>
          <w:rFonts w:hint="eastAsia" w:ascii="宋体" w:hAnsi="宋体"/>
          <w:kern w:val="44"/>
        </w:rPr>
        <w:t>　管理实验动物工作的部门，应当对在实验动物工作中做出突出贡献的单位和个人，给予表彰和奖励。</w:t>
      </w:r>
    </w:p>
    <w:p w14:paraId="0C1E4E68">
      <w:pPr>
        <w:jc w:val="left"/>
        <w:rPr>
          <w:rFonts w:ascii="宋体" w:hAnsi="宋体"/>
          <w:kern w:val="44"/>
        </w:rPr>
      </w:pPr>
    </w:p>
    <w:p w14:paraId="31F14172">
      <w:pPr>
        <w:ind w:firstLine="0" w:firstLineChars="0"/>
        <w:jc w:val="center"/>
        <w:rPr>
          <w:rFonts w:ascii="宋体" w:hAnsi="宋体"/>
          <w:b/>
          <w:kern w:val="44"/>
          <w:sz w:val="28"/>
        </w:rPr>
      </w:pPr>
      <w:r>
        <w:rPr>
          <w:rFonts w:hint="eastAsia" w:ascii="宋体" w:hAnsi="宋体"/>
          <w:b/>
          <w:kern w:val="44"/>
          <w:sz w:val="28"/>
        </w:rPr>
        <w:t>第二章　从事实验动物工作</w:t>
      </w:r>
    </w:p>
    <w:p w14:paraId="1D10AABA">
      <w:pPr>
        <w:ind w:firstLine="0" w:firstLineChars="0"/>
        <w:jc w:val="center"/>
        <w:rPr>
          <w:rFonts w:ascii="宋体" w:hAnsi="宋体"/>
          <w:b/>
          <w:kern w:val="44"/>
          <w:sz w:val="28"/>
        </w:rPr>
      </w:pPr>
      <w:r>
        <w:rPr>
          <w:rFonts w:hint="eastAsia" w:ascii="宋体" w:hAnsi="宋体"/>
          <w:b/>
          <w:kern w:val="44"/>
          <w:sz w:val="28"/>
        </w:rPr>
        <w:t xml:space="preserve">    的单位及人员</w:t>
      </w:r>
    </w:p>
    <w:p w14:paraId="1ACFF0C5">
      <w:pPr>
        <w:jc w:val="left"/>
        <w:rPr>
          <w:rFonts w:ascii="宋体" w:hAnsi="宋体"/>
          <w:kern w:val="44"/>
        </w:rPr>
      </w:pPr>
    </w:p>
    <w:p w14:paraId="3F325C0C">
      <w:pPr>
        <w:ind w:firstLine="422"/>
        <w:jc w:val="left"/>
        <w:rPr>
          <w:rFonts w:ascii="宋体" w:hAnsi="宋体"/>
          <w:kern w:val="44"/>
        </w:rPr>
      </w:pPr>
      <w:r>
        <w:rPr>
          <w:rFonts w:hint="eastAsia" w:ascii="宋体" w:hAnsi="宋体"/>
          <w:b/>
          <w:kern w:val="44"/>
        </w:rPr>
        <w:t>第九条</w:t>
      </w:r>
      <w:r>
        <w:rPr>
          <w:rFonts w:hint="eastAsia" w:ascii="宋体" w:hAnsi="宋体"/>
          <w:kern w:val="44"/>
        </w:rPr>
        <w:t>　从事实验动物工作的单位，应当配备科技人员，有实验动物管理机构负责实验动物工作中涉及实验动物项目的管理，并对动物实验进行伦理审查。</w:t>
      </w:r>
    </w:p>
    <w:p w14:paraId="132C611A">
      <w:pPr>
        <w:ind w:firstLine="422"/>
        <w:jc w:val="left"/>
        <w:rPr>
          <w:rFonts w:ascii="宋体" w:hAnsi="宋体"/>
          <w:kern w:val="44"/>
        </w:rPr>
      </w:pPr>
      <w:r>
        <w:rPr>
          <w:rFonts w:hint="eastAsia" w:ascii="宋体" w:hAnsi="宋体"/>
          <w:b/>
          <w:kern w:val="44"/>
        </w:rPr>
        <w:t>第十条</w:t>
      </w:r>
      <w:r>
        <w:rPr>
          <w:rFonts w:hint="eastAsia" w:ascii="宋体" w:hAnsi="宋体"/>
          <w:kern w:val="44"/>
        </w:rPr>
        <w:t>　从事实验动物工作的单位，应当组织从业人员进行专业培训。未经培训的，不得上岗。</w:t>
      </w:r>
    </w:p>
    <w:p w14:paraId="54F1F37E">
      <w:pPr>
        <w:jc w:val="left"/>
        <w:rPr>
          <w:rFonts w:ascii="宋体" w:hAnsi="宋体"/>
          <w:kern w:val="44"/>
        </w:rPr>
      </w:pPr>
      <w:r>
        <w:rPr>
          <w:rFonts w:hint="eastAsia" w:ascii="宋体" w:hAnsi="宋体"/>
          <w:kern w:val="44"/>
        </w:rPr>
        <w:t>从事实验动物工作的单位，应当组织实验动物专业技术人员参加实验动物学及相关专业的继续教育。</w:t>
      </w:r>
    </w:p>
    <w:p w14:paraId="056CDD52">
      <w:pPr>
        <w:ind w:firstLine="422"/>
        <w:jc w:val="left"/>
        <w:rPr>
          <w:rFonts w:ascii="宋体" w:hAnsi="宋体"/>
          <w:kern w:val="44"/>
        </w:rPr>
      </w:pPr>
      <w:r>
        <w:rPr>
          <w:rFonts w:hint="eastAsia" w:ascii="宋体" w:hAnsi="宋体"/>
          <w:b/>
          <w:kern w:val="44"/>
        </w:rPr>
        <w:t>第十一条</w:t>
      </w:r>
      <w:r>
        <w:rPr>
          <w:rFonts w:hint="eastAsia" w:ascii="宋体" w:hAnsi="宋体"/>
          <w:kern w:val="44"/>
        </w:rPr>
        <w:t>　从事实验动物工作的单位，应当组织技术工人参加技术等级考核；对从事实验动物工作的专业技术人员，根据其岗位特点和专业水平评定、晋升专业技术职务。</w:t>
      </w:r>
    </w:p>
    <w:p w14:paraId="37218F74">
      <w:pPr>
        <w:ind w:firstLine="422"/>
        <w:jc w:val="left"/>
        <w:rPr>
          <w:rFonts w:ascii="宋体" w:hAnsi="宋体"/>
          <w:kern w:val="44"/>
        </w:rPr>
      </w:pPr>
      <w:r>
        <w:rPr>
          <w:rFonts w:hint="eastAsia" w:ascii="宋体" w:hAnsi="宋体"/>
          <w:b/>
          <w:kern w:val="44"/>
        </w:rPr>
        <w:t>第十二条</w:t>
      </w:r>
      <w:r>
        <w:rPr>
          <w:rFonts w:hint="eastAsia" w:ascii="宋体" w:hAnsi="宋体"/>
          <w:kern w:val="44"/>
        </w:rPr>
        <w:t>　从事实验动物工作的单位，应当采取防护措施，保证从业人员的健康与安全，组织从业人员每年进行身体检查，及时调整健康状况不宜从事实验动物工作的人员。</w:t>
      </w:r>
    </w:p>
    <w:p w14:paraId="0444D028">
      <w:pPr>
        <w:ind w:firstLine="422"/>
        <w:jc w:val="left"/>
        <w:rPr>
          <w:rFonts w:ascii="宋体" w:hAnsi="宋体"/>
          <w:kern w:val="44"/>
        </w:rPr>
      </w:pPr>
      <w:r>
        <w:rPr>
          <w:rFonts w:hint="eastAsia" w:ascii="宋体" w:hAnsi="宋体"/>
          <w:b/>
          <w:kern w:val="44"/>
        </w:rPr>
        <w:t>第十三条</w:t>
      </w:r>
      <w:r>
        <w:rPr>
          <w:rFonts w:hint="eastAsia" w:ascii="宋体" w:hAnsi="宋体"/>
          <w:kern w:val="44"/>
        </w:rPr>
        <w:t>　从事实验动物工作的人员，应当遵守实验动物的各项管理规定。</w:t>
      </w:r>
    </w:p>
    <w:p w14:paraId="537AE072">
      <w:pPr>
        <w:ind w:firstLine="422"/>
        <w:jc w:val="left"/>
        <w:rPr>
          <w:rFonts w:ascii="宋体" w:hAnsi="宋体"/>
          <w:kern w:val="44"/>
        </w:rPr>
      </w:pPr>
      <w:r>
        <w:rPr>
          <w:rFonts w:hint="eastAsia" w:ascii="宋体" w:hAnsi="宋体"/>
          <w:b/>
          <w:kern w:val="44"/>
        </w:rPr>
        <w:t>第十四条</w:t>
      </w:r>
      <w:r>
        <w:rPr>
          <w:rFonts w:hint="eastAsia" w:ascii="宋体" w:hAnsi="宋体"/>
          <w:kern w:val="44"/>
        </w:rPr>
        <w:t>　取得实验动物许可证的单位和个人，生产或者应用实验用犬的，免交管理服务费。</w:t>
      </w:r>
    </w:p>
    <w:p w14:paraId="0F35B93D">
      <w:pPr>
        <w:jc w:val="left"/>
        <w:rPr>
          <w:rFonts w:ascii="宋体" w:hAnsi="宋体"/>
          <w:kern w:val="44"/>
        </w:rPr>
      </w:pPr>
    </w:p>
    <w:p w14:paraId="55E82F73">
      <w:pPr>
        <w:ind w:firstLine="0" w:firstLineChars="0"/>
        <w:jc w:val="center"/>
        <w:rPr>
          <w:rFonts w:ascii="宋体" w:hAnsi="宋体"/>
          <w:b/>
          <w:kern w:val="44"/>
          <w:sz w:val="28"/>
        </w:rPr>
      </w:pPr>
      <w:r>
        <w:rPr>
          <w:rFonts w:hint="eastAsia" w:ascii="宋体" w:hAnsi="宋体"/>
          <w:b/>
          <w:kern w:val="44"/>
          <w:sz w:val="28"/>
        </w:rPr>
        <w:t>第三章　实验动物的生产</w:t>
      </w:r>
    </w:p>
    <w:p w14:paraId="5689E105">
      <w:pPr>
        <w:jc w:val="left"/>
        <w:rPr>
          <w:rFonts w:ascii="宋体" w:hAnsi="宋体"/>
          <w:kern w:val="44"/>
        </w:rPr>
      </w:pPr>
    </w:p>
    <w:p w14:paraId="731DDE9E">
      <w:pPr>
        <w:ind w:firstLine="422"/>
        <w:jc w:val="left"/>
        <w:rPr>
          <w:rFonts w:ascii="宋体" w:hAnsi="宋体"/>
          <w:kern w:val="44"/>
        </w:rPr>
      </w:pPr>
      <w:r>
        <w:rPr>
          <w:rFonts w:hint="eastAsia" w:ascii="宋体" w:hAnsi="宋体"/>
          <w:b/>
          <w:kern w:val="44"/>
        </w:rPr>
        <w:t>第十五条</w:t>
      </w:r>
      <w:r>
        <w:rPr>
          <w:rFonts w:hint="eastAsia" w:ascii="宋体" w:hAnsi="宋体"/>
          <w:kern w:val="44"/>
        </w:rPr>
        <w:t>　从事实验动物及相关产品保种、繁育、生产、供应、运输及有关商业性经营的单位和个人，应当按照实验动物生产许可证许可范围，生产供应或者出售合格的实验动物及相关产品。</w:t>
      </w:r>
    </w:p>
    <w:p w14:paraId="2028B5BD">
      <w:pPr>
        <w:ind w:firstLine="422"/>
        <w:jc w:val="left"/>
        <w:rPr>
          <w:rFonts w:ascii="宋体" w:hAnsi="宋体"/>
          <w:kern w:val="44"/>
        </w:rPr>
      </w:pPr>
      <w:r>
        <w:rPr>
          <w:rFonts w:hint="eastAsia" w:ascii="宋体" w:hAnsi="宋体"/>
          <w:b/>
          <w:kern w:val="44"/>
        </w:rPr>
        <w:t>第十六条</w:t>
      </w:r>
      <w:r>
        <w:rPr>
          <w:rFonts w:hint="eastAsia" w:ascii="宋体" w:hAnsi="宋体"/>
          <w:kern w:val="44"/>
        </w:rPr>
        <w:t>　实验动物生产环境设施应当符合不同等级实验动物标准要求。</w:t>
      </w:r>
    </w:p>
    <w:p w14:paraId="769414F2">
      <w:pPr>
        <w:jc w:val="left"/>
        <w:rPr>
          <w:rFonts w:ascii="宋体" w:hAnsi="宋体"/>
          <w:kern w:val="44"/>
        </w:rPr>
      </w:pPr>
      <w:r>
        <w:rPr>
          <w:rFonts w:hint="eastAsia" w:ascii="宋体" w:hAnsi="宋体"/>
          <w:kern w:val="44"/>
        </w:rPr>
        <w:t>不同等级、不同品种的实验动物，应当按照相应的标准，在不同的环境设施中分别管理，使用合格的饲料、笼具、垫料等用品。</w:t>
      </w:r>
    </w:p>
    <w:p w14:paraId="4B39EA5F">
      <w:pPr>
        <w:ind w:firstLine="422"/>
        <w:jc w:val="left"/>
        <w:rPr>
          <w:rFonts w:ascii="宋体" w:hAnsi="宋体"/>
          <w:kern w:val="44"/>
        </w:rPr>
      </w:pPr>
      <w:r>
        <w:rPr>
          <w:rFonts w:hint="eastAsia" w:ascii="宋体" w:hAnsi="宋体"/>
          <w:b/>
          <w:kern w:val="44"/>
        </w:rPr>
        <w:t>第十七条</w:t>
      </w:r>
      <w:r>
        <w:rPr>
          <w:rFonts w:hint="eastAsia" w:ascii="宋体" w:hAnsi="宋体"/>
          <w:kern w:val="44"/>
        </w:rPr>
        <w:t>　从事实验动物保种、繁育的单位和个人，应当采用国内、国际公认的品种、品系和标准的繁育方法。</w:t>
      </w:r>
    </w:p>
    <w:p w14:paraId="04CF0FDD">
      <w:pPr>
        <w:jc w:val="left"/>
        <w:rPr>
          <w:rFonts w:ascii="宋体" w:hAnsi="宋体"/>
          <w:kern w:val="44"/>
        </w:rPr>
      </w:pPr>
      <w:r>
        <w:rPr>
          <w:rFonts w:hint="eastAsia" w:ascii="宋体" w:hAnsi="宋体"/>
          <w:kern w:val="44"/>
        </w:rPr>
        <w:t>为补充种源、开发实验动物新品种或者科学研究需要捕捉野生动物的，应当按照国家有关法律、法规办理。</w:t>
      </w:r>
    </w:p>
    <w:p w14:paraId="46BEAB27">
      <w:pPr>
        <w:ind w:firstLine="422"/>
        <w:jc w:val="left"/>
        <w:rPr>
          <w:rFonts w:ascii="宋体" w:hAnsi="宋体"/>
          <w:kern w:val="44"/>
        </w:rPr>
      </w:pPr>
      <w:r>
        <w:rPr>
          <w:rFonts w:hint="eastAsia" w:ascii="宋体" w:hAnsi="宋体"/>
          <w:b/>
          <w:kern w:val="44"/>
        </w:rPr>
        <w:t>第十八条</w:t>
      </w:r>
      <w:r>
        <w:rPr>
          <w:rFonts w:hint="eastAsia" w:ascii="宋体" w:hAnsi="宋体"/>
          <w:kern w:val="44"/>
        </w:rPr>
        <w:t>　从事实验动物及其相关产品生产的单位和个人，应当根据遗传学、寄生虫学、微生物学、营养学和生产环境设施方面的标准，定期进行质量检测。各项操作过程和检测数据应当有完整、准确的记录。</w:t>
      </w:r>
    </w:p>
    <w:p w14:paraId="29DA708A">
      <w:pPr>
        <w:ind w:firstLine="422"/>
        <w:jc w:val="left"/>
        <w:rPr>
          <w:rFonts w:ascii="宋体" w:hAnsi="宋体"/>
          <w:kern w:val="44"/>
        </w:rPr>
      </w:pPr>
      <w:r>
        <w:rPr>
          <w:rFonts w:hint="eastAsia" w:ascii="宋体" w:hAnsi="宋体"/>
          <w:b/>
          <w:kern w:val="44"/>
        </w:rPr>
        <w:t>第十九条</w:t>
      </w:r>
      <w:r>
        <w:rPr>
          <w:rFonts w:hint="eastAsia" w:ascii="宋体" w:hAnsi="宋体"/>
          <w:kern w:val="44"/>
        </w:rPr>
        <w:t>　从事实验动物及其相关产品生产的单位和个人，供应或者出售实验动物及相关产品时，应当提供质量合格证明。合格证明应当标明实验动物或者相关产品的确切名称、等级、数量、质量检测情况、购买单位名称、出售日期、许可证编号等内容，由出售单位负责人签字并加盖公章。</w:t>
      </w:r>
    </w:p>
    <w:p w14:paraId="25DDAD87">
      <w:pPr>
        <w:ind w:firstLine="422"/>
        <w:jc w:val="left"/>
        <w:rPr>
          <w:rFonts w:ascii="宋体" w:hAnsi="宋体"/>
          <w:kern w:val="44"/>
        </w:rPr>
      </w:pPr>
      <w:r>
        <w:rPr>
          <w:rFonts w:hint="eastAsia" w:ascii="宋体" w:hAnsi="宋体"/>
          <w:b/>
          <w:kern w:val="44"/>
        </w:rPr>
        <w:t>第二十条</w:t>
      </w:r>
      <w:r>
        <w:rPr>
          <w:rFonts w:hint="eastAsia" w:ascii="宋体" w:hAnsi="宋体"/>
          <w:kern w:val="44"/>
        </w:rPr>
        <w:t>　运输实验动物使用的转运工具和笼器具，应当符合所运实验动物的微生物和环境质量控制标准。不同品种、品系、性别和等级的实验动物，不得在同一笼盒内混合装运。</w:t>
      </w:r>
    </w:p>
    <w:p w14:paraId="61353114">
      <w:pPr>
        <w:ind w:firstLine="422"/>
        <w:jc w:val="left"/>
        <w:rPr>
          <w:rFonts w:ascii="宋体" w:hAnsi="宋体"/>
          <w:kern w:val="44"/>
        </w:rPr>
      </w:pPr>
      <w:r>
        <w:rPr>
          <w:rFonts w:hint="eastAsia" w:ascii="宋体" w:hAnsi="宋体"/>
          <w:b/>
          <w:kern w:val="44"/>
        </w:rPr>
        <w:t>第二十一条</w:t>
      </w:r>
      <w:r>
        <w:rPr>
          <w:rFonts w:hint="eastAsia" w:ascii="宋体" w:hAnsi="宋体"/>
          <w:kern w:val="44"/>
        </w:rPr>
        <w:t>　实验动物的进口与出口管理，按照国家有关规定办理。</w:t>
      </w:r>
    </w:p>
    <w:p w14:paraId="671E608C">
      <w:pPr>
        <w:jc w:val="left"/>
        <w:rPr>
          <w:rFonts w:ascii="宋体" w:hAnsi="宋体"/>
          <w:kern w:val="44"/>
        </w:rPr>
      </w:pPr>
    </w:p>
    <w:p w14:paraId="6E305F1F">
      <w:pPr>
        <w:ind w:firstLine="0" w:firstLineChars="0"/>
        <w:jc w:val="center"/>
        <w:rPr>
          <w:rFonts w:ascii="宋体" w:hAnsi="宋体"/>
          <w:b/>
          <w:kern w:val="44"/>
          <w:sz w:val="28"/>
        </w:rPr>
      </w:pPr>
      <w:r>
        <w:rPr>
          <w:rFonts w:hint="eastAsia" w:ascii="宋体" w:hAnsi="宋体"/>
          <w:b/>
          <w:kern w:val="44"/>
          <w:sz w:val="28"/>
        </w:rPr>
        <w:t>第四章　实验动物的应用</w:t>
      </w:r>
    </w:p>
    <w:p w14:paraId="5CA45719">
      <w:pPr>
        <w:jc w:val="left"/>
        <w:rPr>
          <w:rFonts w:ascii="宋体" w:hAnsi="宋体"/>
          <w:kern w:val="44"/>
        </w:rPr>
      </w:pPr>
    </w:p>
    <w:p w14:paraId="332C97F3">
      <w:pPr>
        <w:ind w:firstLine="422"/>
        <w:jc w:val="left"/>
        <w:rPr>
          <w:rFonts w:ascii="宋体" w:hAnsi="宋体"/>
          <w:kern w:val="44"/>
        </w:rPr>
      </w:pPr>
      <w:r>
        <w:rPr>
          <w:rFonts w:hint="eastAsia" w:ascii="宋体" w:hAnsi="宋体"/>
          <w:b/>
          <w:kern w:val="44"/>
        </w:rPr>
        <w:t>第二十二条</w:t>
      </w:r>
      <w:r>
        <w:rPr>
          <w:rFonts w:hint="eastAsia" w:ascii="宋体" w:hAnsi="宋体"/>
          <w:kern w:val="44"/>
        </w:rPr>
        <w:t>　利用实验动物从事科研、生产、检定、检验和其他活动的单位和个人，应当按照使用许可证许可范围，使用合格的实验动物。</w:t>
      </w:r>
    </w:p>
    <w:p w14:paraId="32E773E3">
      <w:pPr>
        <w:ind w:firstLine="422"/>
        <w:jc w:val="left"/>
        <w:rPr>
          <w:rFonts w:ascii="宋体" w:hAnsi="宋体"/>
          <w:kern w:val="44"/>
        </w:rPr>
      </w:pPr>
      <w:r>
        <w:rPr>
          <w:rFonts w:hint="eastAsia" w:ascii="宋体" w:hAnsi="宋体"/>
          <w:b/>
          <w:kern w:val="44"/>
        </w:rPr>
        <w:t>第二十三条</w:t>
      </w:r>
      <w:r>
        <w:rPr>
          <w:rFonts w:hint="eastAsia" w:ascii="宋体" w:hAnsi="宋体"/>
          <w:kern w:val="44"/>
        </w:rPr>
        <w:t>　动物实验环境设施应当符合相应实验动物等级标准的要求，使用合格的饲料、笼具、垫料等用品。涉及放射性和感染性等有特殊要求的实验室，应当按照有关规定执行。</w:t>
      </w:r>
    </w:p>
    <w:p w14:paraId="119D1D3C">
      <w:pPr>
        <w:ind w:firstLine="422"/>
        <w:jc w:val="left"/>
        <w:rPr>
          <w:rFonts w:ascii="宋体" w:hAnsi="宋体"/>
          <w:kern w:val="44"/>
        </w:rPr>
      </w:pPr>
      <w:r>
        <w:rPr>
          <w:rFonts w:hint="eastAsia" w:ascii="宋体" w:hAnsi="宋体"/>
          <w:b/>
          <w:kern w:val="44"/>
        </w:rPr>
        <w:t>第二十四条</w:t>
      </w:r>
      <w:r>
        <w:rPr>
          <w:rFonts w:hint="eastAsia" w:ascii="宋体" w:hAnsi="宋体"/>
          <w:kern w:val="44"/>
        </w:rPr>
        <w:t>　进行动物实验应当根据实验目的，使用相应等级标准的实验动物。</w:t>
      </w:r>
    </w:p>
    <w:p w14:paraId="660D8366">
      <w:pPr>
        <w:jc w:val="left"/>
        <w:rPr>
          <w:rFonts w:ascii="宋体" w:hAnsi="宋体"/>
          <w:kern w:val="44"/>
        </w:rPr>
      </w:pPr>
      <w:r>
        <w:rPr>
          <w:rFonts w:hint="eastAsia" w:ascii="宋体" w:hAnsi="宋体"/>
          <w:kern w:val="44"/>
        </w:rPr>
        <w:t>不同品种、不同等级和互有干扰的动物实验，不得在同一试验间进行。</w:t>
      </w:r>
    </w:p>
    <w:p w14:paraId="5B16DD79">
      <w:pPr>
        <w:ind w:firstLine="422"/>
        <w:jc w:val="left"/>
        <w:rPr>
          <w:rFonts w:ascii="宋体" w:hAnsi="宋体"/>
          <w:kern w:val="44"/>
        </w:rPr>
      </w:pPr>
      <w:r>
        <w:rPr>
          <w:rFonts w:hint="eastAsia" w:ascii="宋体" w:hAnsi="宋体"/>
          <w:b/>
          <w:kern w:val="44"/>
        </w:rPr>
        <w:t>第二十五条</w:t>
      </w:r>
      <w:r>
        <w:rPr>
          <w:rFonts w:hint="eastAsia" w:ascii="宋体" w:hAnsi="宋体"/>
          <w:kern w:val="44"/>
        </w:rPr>
        <w:t>　申报科研课题、鉴定科研成果、进行检定检验和以实验动物为生产材料生产制品，应当把应用合格实验动物和使用相应等级的动物实验环境设施作为基本条件。</w:t>
      </w:r>
    </w:p>
    <w:p w14:paraId="3ACAF9A1">
      <w:pPr>
        <w:jc w:val="left"/>
        <w:rPr>
          <w:rFonts w:ascii="宋体" w:hAnsi="宋体"/>
          <w:kern w:val="44"/>
        </w:rPr>
      </w:pPr>
      <w:r>
        <w:rPr>
          <w:rFonts w:hint="eastAsia" w:ascii="宋体" w:hAnsi="宋体"/>
          <w:kern w:val="44"/>
        </w:rPr>
        <w:t>应用不合格的实验动物或者在不合格的实验环境设施内取得的动物实验结果无效，生产的制品不得出售。</w:t>
      </w:r>
    </w:p>
    <w:p w14:paraId="119D32B3">
      <w:pPr>
        <w:ind w:firstLine="422"/>
        <w:jc w:val="left"/>
        <w:rPr>
          <w:rFonts w:ascii="宋体" w:hAnsi="宋体"/>
          <w:kern w:val="44"/>
        </w:rPr>
      </w:pPr>
      <w:r>
        <w:rPr>
          <w:rFonts w:hint="eastAsia" w:ascii="宋体" w:hAnsi="宋体"/>
          <w:b/>
          <w:kern w:val="44"/>
        </w:rPr>
        <w:t>第二十六条</w:t>
      </w:r>
      <w:r>
        <w:rPr>
          <w:rFonts w:hint="eastAsia" w:ascii="宋体" w:hAnsi="宋体"/>
          <w:kern w:val="44"/>
        </w:rPr>
        <w:t>　从事动物实验的人员应当遵循替代、减少和优化的原则进行实验设计， 使用正确的方法处理实验动物。</w:t>
      </w:r>
    </w:p>
    <w:p w14:paraId="6E6B799E">
      <w:pPr>
        <w:jc w:val="left"/>
        <w:rPr>
          <w:rFonts w:ascii="宋体" w:hAnsi="宋体"/>
          <w:kern w:val="44"/>
        </w:rPr>
      </w:pPr>
    </w:p>
    <w:p w14:paraId="1EA7309B">
      <w:pPr>
        <w:ind w:firstLine="0" w:firstLineChars="0"/>
        <w:jc w:val="center"/>
        <w:rPr>
          <w:rFonts w:ascii="宋体" w:hAnsi="宋体"/>
          <w:b/>
          <w:kern w:val="44"/>
          <w:sz w:val="28"/>
        </w:rPr>
      </w:pPr>
      <w:r>
        <w:rPr>
          <w:rFonts w:hint="eastAsia" w:ascii="宋体" w:hAnsi="宋体"/>
          <w:b/>
          <w:kern w:val="44"/>
          <w:sz w:val="28"/>
        </w:rPr>
        <w:t>第五章　实验动物的防疫</w:t>
      </w:r>
    </w:p>
    <w:p w14:paraId="0DAAF6F9">
      <w:pPr>
        <w:jc w:val="left"/>
        <w:rPr>
          <w:rFonts w:ascii="宋体" w:hAnsi="宋体"/>
          <w:kern w:val="44"/>
        </w:rPr>
      </w:pPr>
    </w:p>
    <w:p w14:paraId="03F073AB">
      <w:pPr>
        <w:ind w:firstLine="422"/>
        <w:jc w:val="left"/>
        <w:rPr>
          <w:rFonts w:ascii="宋体" w:hAnsi="宋体"/>
          <w:kern w:val="44"/>
        </w:rPr>
      </w:pPr>
      <w:r>
        <w:rPr>
          <w:rFonts w:hint="eastAsia" w:ascii="宋体" w:hAnsi="宋体"/>
          <w:b/>
          <w:kern w:val="44"/>
        </w:rPr>
        <w:t>第二十七条</w:t>
      </w:r>
      <w:r>
        <w:rPr>
          <w:rFonts w:hint="eastAsia" w:ascii="宋体" w:hAnsi="宋体"/>
          <w:kern w:val="44"/>
        </w:rPr>
        <w:t>　实验动物的预防免疫，应当结合实验动物的特殊要求办理。</w:t>
      </w:r>
    </w:p>
    <w:p w14:paraId="06D68D5C">
      <w:pPr>
        <w:ind w:firstLine="422"/>
        <w:jc w:val="left"/>
        <w:rPr>
          <w:rFonts w:ascii="宋体" w:hAnsi="宋体"/>
          <w:kern w:val="44"/>
        </w:rPr>
      </w:pPr>
      <w:r>
        <w:rPr>
          <w:rFonts w:hint="eastAsia" w:ascii="宋体" w:hAnsi="宋体"/>
          <w:b/>
          <w:kern w:val="44"/>
        </w:rPr>
        <w:t>第二十八条</w:t>
      </w:r>
      <w:r>
        <w:rPr>
          <w:rFonts w:hint="eastAsia" w:ascii="宋体" w:hAnsi="宋体"/>
          <w:kern w:val="44"/>
        </w:rPr>
        <w:t>　实验动物发生疫情时，应当按照国家和本市有关规定办理。</w:t>
      </w:r>
    </w:p>
    <w:p w14:paraId="13722102">
      <w:pPr>
        <w:ind w:firstLine="422"/>
        <w:jc w:val="left"/>
        <w:rPr>
          <w:rFonts w:ascii="宋体" w:hAnsi="宋体"/>
          <w:kern w:val="44"/>
        </w:rPr>
      </w:pPr>
      <w:r>
        <w:rPr>
          <w:rFonts w:hint="eastAsia" w:ascii="宋体" w:hAnsi="宋体"/>
          <w:b/>
          <w:kern w:val="44"/>
        </w:rPr>
        <w:t>第二十九条</w:t>
      </w:r>
      <w:r>
        <w:rPr>
          <w:rFonts w:hint="eastAsia" w:ascii="宋体" w:hAnsi="宋体"/>
          <w:kern w:val="44"/>
        </w:rPr>
        <w:t>　从事实验动物相关工作的单位和个人，应当对实验动物尸体和废弃物进行无害化处理。</w:t>
      </w:r>
    </w:p>
    <w:p w14:paraId="3EA1FCCC">
      <w:pPr>
        <w:jc w:val="left"/>
        <w:rPr>
          <w:rFonts w:ascii="宋体" w:hAnsi="宋体"/>
          <w:kern w:val="44"/>
        </w:rPr>
      </w:pPr>
    </w:p>
    <w:p w14:paraId="2994F5C7">
      <w:pPr>
        <w:ind w:firstLine="0" w:firstLineChars="0"/>
        <w:jc w:val="center"/>
        <w:rPr>
          <w:rFonts w:ascii="宋体" w:hAnsi="宋体"/>
          <w:b/>
          <w:kern w:val="44"/>
          <w:sz w:val="28"/>
        </w:rPr>
      </w:pPr>
      <w:r>
        <w:rPr>
          <w:rFonts w:hint="eastAsia" w:ascii="宋体" w:hAnsi="宋体"/>
          <w:b/>
          <w:kern w:val="44"/>
          <w:sz w:val="28"/>
        </w:rPr>
        <w:t>第六章　监督检查</w:t>
      </w:r>
    </w:p>
    <w:p w14:paraId="3E751D85">
      <w:pPr>
        <w:jc w:val="left"/>
        <w:rPr>
          <w:rFonts w:ascii="宋体" w:hAnsi="宋体"/>
          <w:kern w:val="44"/>
        </w:rPr>
      </w:pPr>
    </w:p>
    <w:p w14:paraId="490046EC">
      <w:pPr>
        <w:ind w:firstLine="422"/>
        <w:jc w:val="left"/>
        <w:rPr>
          <w:rFonts w:ascii="宋体" w:hAnsi="宋体"/>
          <w:kern w:val="44"/>
        </w:rPr>
      </w:pPr>
      <w:r>
        <w:rPr>
          <w:rFonts w:hint="eastAsia" w:ascii="宋体" w:hAnsi="宋体"/>
          <w:b/>
          <w:kern w:val="44"/>
        </w:rPr>
        <w:t>第三十条</w:t>
      </w:r>
      <w:r>
        <w:rPr>
          <w:rFonts w:hint="eastAsia" w:ascii="宋体" w:hAnsi="宋体"/>
          <w:kern w:val="44"/>
        </w:rPr>
        <w:t>　市科学技术行政部门对本市从事实验动物生产与应用的单位和个人进行监督检查，监督检查结果应当公示。</w:t>
      </w:r>
    </w:p>
    <w:p w14:paraId="3DAAB74D">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市科学技术行政部门聘请实验动物质量监督员，协助其对本市实验动物生产和应用活动进行监督检查。</w:t>
      </w:r>
    </w:p>
    <w:p w14:paraId="644DEF80">
      <w:pPr>
        <w:ind w:firstLine="422"/>
        <w:jc w:val="left"/>
        <w:rPr>
          <w:rFonts w:ascii="宋体" w:hAnsi="宋体"/>
          <w:kern w:val="44"/>
        </w:rPr>
      </w:pPr>
      <w:r>
        <w:rPr>
          <w:rFonts w:hint="eastAsia" w:ascii="宋体" w:hAnsi="宋体"/>
          <w:b/>
          <w:kern w:val="44"/>
        </w:rPr>
        <w:t>第三十二条</w:t>
      </w:r>
      <w:r>
        <w:rPr>
          <w:rFonts w:hint="eastAsia" w:ascii="宋体" w:hAnsi="宋体"/>
          <w:kern w:val="44"/>
        </w:rPr>
        <w:t>　本市对从事实验动物生产和应用的单位和个人建立信用管理制度。市科学技术行政部门应当公布实验动物许可单位和个人的信用信息。</w:t>
      </w:r>
    </w:p>
    <w:p w14:paraId="5A5DEE71">
      <w:pPr>
        <w:jc w:val="left"/>
        <w:rPr>
          <w:rFonts w:ascii="宋体" w:hAnsi="宋体"/>
          <w:kern w:val="44"/>
        </w:rPr>
      </w:pPr>
      <w:r>
        <w:rPr>
          <w:rFonts w:hint="eastAsia" w:ascii="宋体" w:hAnsi="宋体"/>
          <w:kern w:val="44"/>
        </w:rPr>
        <w:t>鼓励公民向市科学技术行政部门举报违法从事实验动物生产和应用的行为。</w:t>
      </w:r>
    </w:p>
    <w:p w14:paraId="410592D7">
      <w:pPr>
        <w:jc w:val="left"/>
        <w:rPr>
          <w:rFonts w:ascii="宋体" w:hAnsi="宋体"/>
          <w:kern w:val="44"/>
        </w:rPr>
      </w:pPr>
    </w:p>
    <w:p w14:paraId="5C76C82C">
      <w:pPr>
        <w:jc w:val="left"/>
        <w:rPr>
          <w:rFonts w:ascii="宋体" w:hAnsi="宋体"/>
          <w:kern w:val="44"/>
        </w:rPr>
      </w:pPr>
    </w:p>
    <w:p w14:paraId="4279033F">
      <w:pPr>
        <w:ind w:firstLine="0" w:firstLineChars="0"/>
        <w:jc w:val="center"/>
        <w:rPr>
          <w:rFonts w:ascii="宋体" w:hAnsi="宋体"/>
          <w:b/>
          <w:kern w:val="44"/>
          <w:sz w:val="28"/>
        </w:rPr>
      </w:pPr>
      <w:r>
        <w:rPr>
          <w:rFonts w:hint="eastAsia" w:ascii="宋体" w:hAnsi="宋体"/>
          <w:b/>
          <w:kern w:val="44"/>
          <w:sz w:val="28"/>
        </w:rPr>
        <w:t>第七章　法律责任</w:t>
      </w:r>
    </w:p>
    <w:p w14:paraId="7DD0D0BC">
      <w:pPr>
        <w:jc w:val="left"/>
        <w:rPr>
          <w:rFonts w:ascii="宋体" w:hAnsi="宋体"/>
          <w:kern w:val="44"/>
        </w:rPr>
      </w:pPr>
    </w:p>
    <w:p w14:paraId="228F57C4">
      <w:pPr>
        <w:ind w:firstLine="422"/>
        <w:jc w:val="left"/>
        <w:rPr>
          <w:rFonts w:ascii="宋体" w:hAnsi="宋体"/>
          <w:kern w:val="44"/>
        </w:rPr>
      </w:pPr>
      <w:r>
        <w:rPr>
          <w:rFonts w:hint="eastAsia" w:ascii="宋体" w:hAnsi="宋体"/>
          <w:b/>
          <w:kern w:val="44"/>
        </w:rPr>
        <w:t>第三十三条</w:t>
      </w:r>
      <w:r>
        <w:rPr>
          <w:rFonts w:hint="eastAsia" w:ascii="宋体" w:hAnsi="宋体"/>
          <w:kern w:val="44"/>
        </w:rPr>
        <w:t>　违反本条例的行为，法律、法规已有规定的，依照其规定追究责任。法律、法规没有规定的，依照本章以下各条相应规定追究责任。</w:t>
      </w:r>
    </w:p>
    <w:p w14:paraId="48AE03EA">
      <w:pPr>
        <w:ind w:firstLine="422"/>
        <w:jc w:val="left"/>
        <w:rPr>
          <w:rFonts w:ascii="宋体" w:hAnsi="宋体"/>
          <w:kern w:val="44"/>
        </w:rPr>
      </w:pPr>
      <w:r>
        <w:rPr>
          <w:rFonts w:hint="eastAsia" w:ascii="宋体" w:hAnsi="宋体"/>
          <w:b/>
          <w:kern w:val="44"/>
        </w:rPr>
        <w:t>第三十四条</w:t>
      </w:r>
      <w:r>
        <w:rPr>
          <w:rFonts w:hint="eastAsia" w:ascii="宋体" w:hAnsi="宋体"/>
          <w:kern w:val="44"/>
        </w:rPr>
        <w:t>　取得实验动物许可证的单位和个人，违反本条例第十条、第十二条、第十六条、第十八条、第十九条、第二十条、第二十三条、第二十四条和第二十九条规定的，由市科学技术行政部门责令限期改正，并根据情节轻重，分别予以警告、暂扣实验动物许可证。</w:t>
      </w:r>
    </w:p>
    <w:p w14:paraId="0189832D">
      <w:pPr>
        <w:ind w:firstLine="422"/>
        <w:jc w:val="left"/>
        <w:rPr>
          <w:rFonts w:ascii="宋体" w:hAnsi="宋体"/>
          <w:kern w:val="44"/>
        </w:rPr>
      </w:pPr>
      <w:r>
        <w:rPr>
          <w:rFonts w:hint="eastAsia" w:ascii="宋体" w:hAnsi="宋体"/>
          <w:b/>
          <w:kern w:val="44"/>
        </w:rPr>
        <w:t>第三十五条</w:t>
      </w:r>
      <w:r>
        <w:rPr>
          <w:rFonts w:hint="eastAsia" w:ascii="宋体" w:hAnsi="宋体"/>
          <w:kern w:val="44"/>
        </w:rPr>
        <w:t>　取得实验动物许可证的单位和个人，违反本条例第六条第四款、第十五条、第二十二条规定的，由市科学技术行政部门根据情节轻重，责令停止违法活动、吊销实验动物许可证。</w:t>
      </w:r>
    </w:p>
    <w:p w14:paraId="48D07955">
      <w:pPr>
        <w:ind w:firstLine="422"/>
        <w:jc w:val="left"/>
        <w:rPr>
          <w:rFonts w:ascii="宋体" w:hAnsi="宋体"/>
          <w:kern w:val="44"/>
        </w:rPr>
      </w:pPr>
      <w:r>
        <w:rPr>
          <w:rFonts w:hint="eastAsia" w:ascii="宋体" w:hAnsi="宋体"/>
          <w:b/>
          <w:kern w:val="44"/>
        </w:rPr>
        <w:t>第三十六条</w:t>
      </w:r>
      <w:r>
        <w:rPr>
          <w:rFonts w:hint="eastAsia" w:ascii="宋体" w:hAnsi="宋体"/>
          <w:kern w:val="44"/>
        </w:rPr>
        <w:t>　违反本条例第六条第三款规定，未取得实验动物许可证从事实验动物生产和应用的，由市科学技术行政部门责令其停止违法活动，予以通报；由工商行政管理部门依法处理；对责任人员由其所在单位或者上级主管部门给予行政处分。</w:t>
      </w:r>
    </w:p>
    <w:p w14:paraId="4038B34F">
      <w:pPr>
        <w:ind w:firstLine="422"/>
        <w:jc w:val="left"/>
        <w:rPr>
          <w:rFonts w:ascii="宋体" w:hAnsi="宋体"/>
          <w:kern w:val="44"/>
        </w:rPr>
      </w:pPr>
      <w:r>
        <w:rPr>
          <w:rFonts w:hint="eastAsia" w:ascii="宋体" w:hAnsi="宋体"/>
          <w:b/>
          <w:kern w:val="44"/>
        </w:rPr>
        <w:t>第三十七条</w:t>
      </w:r>
      <w:r>
        <w:rPr>
          <w:rFonts w:hint="eastAsia" w:ascii="宋体" w:hAnsi="宋体"/>
          <w:kern w:val="44"/>
        </w:rPr>
        <w:t>　实验动物管理工作人员玩忽职守，滥用职权，徇私舞弊的，由其所在单位或者上级主管部门给予行政处分；构成犯罪的，依法追究刑事责任。</w:t>
      </w:r>
    </w:p>
    <w:p w14:paraId="05CED282">
      <w:pPr>
        <w:jc w:val="left"/>
        <w:rPr>
          <w:rFonts w:ascii="宋体" w:hAnsi="宋体"/>
          <w:kern w:val="44"/>
        </w:rPr>
      </w:pPr>
    </w:p>
    <w:p w14:paraId="21A5510A">
      <w:pPr>
        <w:ind w:firstLine="0" w:firstLineChars="0"/>
        <w:jc w:val="center"/>
        <w:rPr>
          <w:rFonts w:ascii="宋体" w:hAnsi="宋体"/>
          <w:b/>
          <w:kern w:val="44"/>
          <w:sz w:val="28"/>
        </w:rPr>
      </w:pPr>
      <w:r>
        <w:rPr>
          <w:rFonts w:hint="eastAsia" w:ascii="宋体" w:hAnsi="宋体"/>
          <w:b/>
          <w:kern w:val="44"/>
          <w:sz w:val="28"/>
        </w:rPr>
        <w:t>第八章　附　则</w:t>
      </w:r>
    </w:p>
    <w:p w14:paraId="300B6053">
      <w:pPr>
        <w:jc w:val="left"/>
        <w:rPr>
          <w:rFonts w:ascii="宋体" w:hAnsi="宋体"/>
          <w:kern w:val="44"/>
        </w:rPr>
      </w:pPr>
    </w:p>
    <w:p w14:paraId="2D4ECF37">
      <w:pPr>
        <w:ind w:firstLine="422"/>
        <w:jc w:val="left"/>
        <w:rPr>
          <w:rFonts w:ascii="宋体" w:hAnsi="宋体"/>
          <w:kern w:val="44"/>
        </w:rPr>
      </w:pPr>
      <w:r>
        <w:rPr>
          <w:rFonts w:hint="eastAsia" w:ascii="宋体" w:hAnsi="宋体"/>
          <w:b/>
          <w:kern w:val="44"/>
        </w:rPr>
        <w:t>第三十八条</w:t>
      </w:r>
      <w:r>
        <w:rPr>
          <w:rFonts w:hint="eastAsia" w:ascii="宋体" w:hAnsi="宋体"/>
          <w:kern w:val="44"/>
        </w:rPr>
        <w:t>　本条例自2005年1月1日起施行。</w:t>
      </w:r>
    </w:p>
    <w:p w14:paraId="6C903750">
      <w:pPr>
        <w:pStyle w:val="4"/>
        <w:pageBreakBefore/>
        <w:rPr>
          <w:kern w:val="44"/>
        </w:rPr>
      </w:pPr>
      <w:bookmarkStart w:id="1532" w:name="_Toc427651999"/>
      <w:bookmarkStart w:id="1533" w:name="_Toc427651657"/>
      <w:bookmarkStart w:id="1534" w:name="_Toc422471400"/>
      <w:bookmarkStart w:id="1535" w:name="_Toc428781705"/>
      <w:bookmarkStart w:id="1536" w:name="_Toc428780223"/>
      <w:r>
        <w:rPr>
          <w:rFonts w:hint="eastAsia"/>
          <w:kern w:val="44"/>
        </w:rPr>
        <w:t>北京市科学技术普及条例</w:t>
      </w:r>
      <w:bookmarkEnd w:id="1532"/>
      <w:bookmarkEnd w:id="1533"/>
      <w:bookmarkEnd w:id="1534"/>
      <w:bookmarkEnd w:id="1535"/>
      <w:bookmarkEnd w:id="1536"/>
    </w:p>
    <w:p w14:paraId="2AF27855">
      <w:pPr>
        <w:ind w:left="630" w:leftChars="300" w:right="630" w:rightChars="300"/>
        <w:jc w:val="left"/>
        <w:rPr>
          <w:rFonts w:ascii="楷体" w:hAnsi="楷体" w:eastAsia="楷体"/>
          <w:kern w:val="44"/>
        </w:rPr>
      </w:pPr>
      <w:r>
        <w:rPr>
          <w:rFonts w:hint="eastAsia" w:ascii="楷体" w:hAnsi="楷体" w:eastAsia="楷体"/>
          <w:kern w:val="44"/>
        </w:rPr>
        <w:t>（1998年11月5日北京市第十一届人民代表大会常务委员会第六次会议通过）</w:t>
      </w:r>
    </w:p>
    <w:p w14:paraId="7627002A">
      <w:pPr>
        <w:jc w:val="left"/>
        <w:rPr>
          <w:rFonts w:ascii="宋体" w:hAnsi="宋体"/>
          <w:kern w:val="44"/>
        </w:rPr>
      </w:pPr>
    </w:p>
    <w:p w14:paraId="7AE9AFD0">
      <w:pPr>
        <w:ind w:firstLine="0" w:firstLineChars="0"/>
        <w:jc w:val="center"/>
        <w:rPr>
          <w:rFonts w:ascii="宋体" w:hAnsi="宋体"/>
          <w:b/>
          <w:kern w:val="44"/>
          <w:sz w:val="28"/>
        </w:rPr>
      </w:pPr>
      <w:r>
        <w:rPr>
          <w:rFonts w:hint="eastAsia" w:ascii="宋体" w:hAnsi="宋体"/>
          <w:b/>
          <w:kern w:val="44"/>
          <w:sz w:val="28"/>
        </w:rPr>
        <w:t>第一章　总　则</w:t>
      </w:r>
    </w:p>
    <w:p w14:paraId="1761D240">
      <w:pPr>
        <w:jc w:val="left"/>
        <w:rPr>
          <w:rFonts w:ascii="宋体" w:hAnsi="宋体"/>
          <w:kern w:val="44"/>
        </w:rPr>
      </w:pPr>
    </w:p>
    <w:p w14:paraId="11B2DC56">
      <w:pPr>
        <w:ind w:firstLine="422"/>
        <w:jc w:val="left"/>
        <w:rPr>
          <w:rFonts w:ascii="宋体" w:hAnsi="宋体"/>
          <w:kern w:val="44"/>
        </w:rPr>
      </w:pPr>
      <w:r>
        <w:rPr>
          <w:rFonts w:hint="eastAsia" w:ascii="宋体" w:hAnsi="宋体"/>
          <w:b/>
          <w:kern w:val="44"/>
        </w:rPr>
        <w:t>第一条</w:t>
      </w:r>
      <w:r>
        <w:rPr>
          <w:rFonts w:hint="eastAsia" w:ascii="宋体" w:hAnsi="宋体"/>
          <w:kern w:val="44"/>
        </w:rPr>
        <w:t>　为实施科教兴国和可持续发展战略，加强科学技术普及工作，提高公众的科学文化素质，根据本市的实际情况，制定本条例。</w:t>
      </w:r>
    </w:p>
    <w:p w14:paraId="4D56F675">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本条例所称的科学技术普及（以下简称科普），是指采用公众易于理解和接受的方式向其传播科学技术知识、科学方法和科学思想。</w:t>
      </w:r>
    </w:p>
    <w:p w14:paraId="4DBD8DBB">
      <w:pPr>
        <w:ind w:firstLine="422"/>
        <w:jc w:val="left"/>
        <w:rPr>
          <w:rFonts w:ascii="宋体" w:hAnsi="宋体"/>
          <w:kern w:val="44"/>
        </w:rPr>
      </w:pPr>
      <w:r>
        <w:rPr>
          <w:rFonts w:hint="eastAsia" w:ascii="宋体" w:hAnsi="宋体"/>
          <w:b/>
          <w:kern w:val="44"/>
        </w:rPr>
        <w:t>第三条</w:t>
      </w:r>
      <w:r>
        <w:rPr>
          <w:rFonts w:hint="eastAsia" w:ascii="宋体" w:hAnsi="宋体"/>
          <w:kern w:val="44"/>
        </w:rPr>
        <w:t>　本条例适用于本市行政区域内的国家机关、社会团体、企业、事业单位、其他组织以及公民的科普活动。</w:t>
      </w:r>
    </w:p>
    <w:p w14:paraId="223C9A04">
      <w:pPr>
        <w:ind w:firstLine="422"/>
        <w:jc w:val="left"/>
        <w:rPr>
          <w:rFonts w:ascii="宋体" w:hAnsi="宋体"/>
          <w:kern w:val="44"/>
        </w:rPr>
      </w:pPr>
      <w:r>
        <w:rPr>
          <w:rFonts w:hint="eastAsia" w:ascii="宋体" w:hAnsi="宋体"/>
          <w:b/>
          <w:kern w:val="44"/>
        </w:rPr>
        <w:t>第四条</w:t>
      </w:r>
      <w:r>
        <w:rPr>
          <w:rFonts w:hint="eastAsia" w:ascii="宋体" w:hAnsi="宋体"/>
          <w:kern w:val="44"/>
        </w:rPr>
        <w:t>　科普活动应当坚持经常性和群众性的原则，结合首都经济、社会发展的需要以及群众工作、生活的实际，充分利用各种现代化手段，通过多种渠道、多种形式、多个层次开展。</w:t>
      </w:r>
    </w:p>
    <w:p w14:paraId="0AD9ADF1">
      <w:pPr>
        <w:ind w:firstLine="422"/>
        <w:jc w:val="left"/>
        <w:rPr>
          <w:rFonts w:ascii="宋体" w:hAnsi="宋体"/>
          <w:kern w:val="44"/>
        </w:rPr>
      </w:pPr>
      <w:r>
        <w:rPr>
          <w:rFonts w:hint="eastAsia" w:ascii="宋体" w:hAnsi="宋体"/>
          <w:b/>
          <w:kern w:val="44"/>
        </w:rPr>
        <w:t>第五条</w:t>
      </w:r>
      <w:r>
        <w:rPr>
          <w:rFonts w:hint="eastAsia" w:ascii="宋体" w:hAnsi="宋体"/>
          <w:kern w:val="44"/>
        </w:rPr>
        <w:t>　科普工作应当坚持科学态度。在科普活动中不得将违背科学原则和科学精神或者尚无科学定论的主张或者意见，作为科学知识传播和推广。</w:t>
      </w:r>
    </w:p>
    <w:p w14:paraId="6EF1F2F4">
      <w:pPr>
        <w:jc w:val="left"/>
        <w:rPr>
          <w:rFonts w:ascii="宋体" w:hAnsi="宋体"/>
          <w:kern w:val="44"/>
        </w:rPr>
      </w:pPr>
      <w:r>
        <w:rPr>
          <w:rFonts w:hint="eastAsia" w:ascii="宋体" w:hAnsi="宋体"/>
          <w:kern w:val="44"/>
        </w:rPr>
        <w:t>禁止以科学为名从事封建迷信、反科学、伪科学的活动。</w:t>
      </w:r>
    </w:p>
    <w:p w14:paraId="5845756E">
      <w:pPr>
        <w:jc w:val="left"/>
        <w:rPr>
          <w:rFonts w:ascii="宋体" w:hAnsi="宋体"/>
          <w:kern w:val="44"/>
        </w:rPr>
      </w:pPr>
      <w:r>
        <w:rPr>
          <w:rFonts w:hint="eastAsia" w:ascii="宋体" w:hAnsi="宋体"/>
          <w:kern w:val="44"/>
        </w:rPr>
        <w:t>禁止以科学为名传播不健康、不文明的生活方式和有损社会公共利益的内容。</w:t>
      </w:r>
    </w:p>
    <w:p w14:paraId="24247DED">
      <w:pPr>
        <w:ind w:firstLine="422"/>
        <w:jc w:val="left"/>
        <w:rPr>
          <w:rFonts w:ascii="宋体" w:hAnsi="宋体"/>
          <w:kern w:val="44"/>
        </w:rPr>
      </w:pPr>
      <w:r>
        <w:rPr>
          <w:rFonts w:hint="eastAsia" w:ascii="宋体" w:hAnsi="宋体"/>
          <w:b/>
          <w:kern w:val="44"/>
        </w:rPr>
        <w:t>第六条</w:t>
      </w:r>
      <w:r>
        <w:rPr>
          <w:rFonts w:hint="eastAsia" w:ascii="宋体" w:hAnsi="宋体"/>
          <w:kern w:val="44"/>
        </w:rPr>
        <w:t>　市和区、县人民政府应当制定政策，鼓励和支持社会力量兴办科普事业，促进科普工作国内、国际间的合作与交流。</w:t>
      </w:r>
    </w:p>
    <w:p w14:paraId="073B3DA7">
      <w:pPr>
        <w:ind w:firstLine="422"/>
        <w:jc w:val="left"/>
        <w:rPr>
          <w:rFonts w:ascii="宋体" w:hAnsi="宋体"/>
          <w:kern w:val="44"/>
        </w:rPr>
      </w:pPr>
      <w:r>
        <w:rPr>
          <w:rFonts w:hint="eastAsia" w:ascii="宋体" w:hAnsi="宋体"/>
          <w:b/>
          <w:kern w:val="44"/>
        </w:rPr>
        <w:t>第七条</w:t>
      </w:r>
      <w:r>
        <w:rPr>
          <w:rFonts w:hint="eastAsia" w:ascii="宋体" w:hAnsi="宋体"/>
          <w:kern w:val="44"/>
        </w:rPr>
        <w:t>　各单位应当组织或者支持本单位人员接受科普教育。</w:t>
      </w:r>
    </w:p>
    <w:p w14:paraId="59E92FF9">
      <w:pPr>
        <w:ind w:firstLine="422"/>
        <w:jc w:val="left"/>
        <w:rPr>
          <w:rFonts w:ascii="宋体" w:hAnsi="宋体"/>
          <w:kern w:val="44"/>
        </w:rPr>
      </w:pPr>
      <w:r>
        <w:rPr>
          <w:rFonts w:hint="eastAsia" w:ascii="宋体" w:hAnsi="宋体"/>
          <w:b/>
          <w:kern w:val="44"/>
        </w:rPr>
        <w:t>第八条</w:t>
      </w:r>
      <w:r>
        <w:rPr>
          <w:rFonts w:hint="eastAsia" w:ascii="宋体" w:hAnsi="宋体"/>
          <w:kern w:val="44"/>
        </w:rPr>
        <w:t>　本市公民有依法接受科普教育，参加科普活动的权利。</w:t>
      </w:r>
    </w:p>
    <w:p w14:paraId="3F950629">
      <w:pPr>
        <w:jc w:val="left"/>
        <w:rPr>
          <w:rFonts w:ascii="宋体" w:hAnsi="宋体"/>
          <w:kern w:val="44"/>
        </w:rPr>
      </w:pPr>
      <w:r>
        <w:rPr>
          <w:rFonts w:hint="eastAsia" w:ascii="宋体" w:hAnsi="宋体"/>
          <w:kern w:val="44"/>
        </w:rPr>
        <w:t>未成年人的监护人有责任使未成年人接受科普教育。</w:t>
      </w:r>
    </w:p>
    <w:p w14:paraId="058B0849">
      <w:pPr>
        <w:jc w:val="left"/>
        <w:rPr>
          <w:rFonts w:ascii="宋体" w:hAnsi="宋体"/>
          <w:kern w:val="44"/>
        </w:rPr>
      </w:pPr>
    </w:p>
    <w:p w14:paraId="42348A22">
      <w:pPr>
        <w:ind w:firstLine="0" w:firstLineChars="0"/>
        <w:jc w:val="center"/>
        <w:rPr>
          <w:rFonts w:ascii="宋体" w:hAnsi="宋体"/>
          <w:b/>
          <w:kern w:val="44"/>
          <w:sz w:val="28"/>
        </w:rPr>
      </w:pPr>
      <w:r>
        <w:rPr>
          <w:rFonts w:hint="eastAsia" w:ascii="宋体" w:hAnsi="宋体"/>
          <w:b/>
          <w:kern w:val="44"/>
          <w:sz w:val="28"/>
        </w:rPr>
        <w:t>第二章　管理与组织</w:t>
      </w:r>
    </w:p>
    <w:p w14:paraId="434867D9">
      <w:pPr>
        <w:jc w:val="left"/>
        <w:rPr>
          <w:rFonts w:ascii="宋体" w:hAnsi="宋体"/>
          <w:kern w:val="44"/>
        </w:rPr>
      </w:pPr>
    </w:p>
    <w:p w14:paraId="16B7751E">
      <w:pPr>
        <w:ind w:firstLine="422"/>
        <w:jc w:val="left"/>
        <w:rPr>
          <w:rFonts w:ascii="宋体" w:hAnsi="宋体"/>
          <w:kern w:val="44"/>
        </w:rPr>
      </w:pPr>
      <w:r>
        <w:rPr>
          <w:rFonts w:hint="eastAsia" w:ascii="宋体" w:hAnsi="宋体"/>
          <w:b/>
          <w:kern w:val="44"/>
        </w:rPr>
        <w:t>第九条</w:t>
      </w:r>
      <w:r>
        <w:rPr>
          <w:rFonts w:hint="eastAsia" w:ascii="宋体" w:hAnsi="宋体"/>
          <w:kern w:val="44"/>
        </w:rPr>
        <w:t>　市和区、县人民政府应当加强对科普工作的领导，将科普工作纳入国民经济和社会发展计划。</w:t>
      </w:r>
    </w:p>
    <w:p w14:paraId="49DC7140">
      <w:pPr>
        <w:jc w:val="left"/>
        <w:rPr>
          <w:rFonts w:ascii="宋体" w:hAnsi="宋体"/>
          <w:kern w:val="44"/>
        </w:rPr>
      </w:pPr>
      <w:r>
        <w:rPr>
          <w:rFonts w:hint="eastAsia" w:ascii="宋体" w:hAnsi="宋体"/>
          <w:kern w:val="44"/>
        </w:rPr>
        <w:t>市和区、县人民政府建立科普工作联席会议制度，加强对科普工作的指导和协调。</w:t>
      </w:r>
    </w:p>
    <w:p w14:paraId="78FC1F0F">
      <w:pPr>
        <w:ind w:firstLine="422"/>
        <w:jc w:val="left"/>
        <w:rPr>
          <w:rFonts w:ascii="宋体" w:hAnsi="宋体"/>
          <w:kern w:val="44"/>
        </w:rPr>
      </w:pPr>
      <w:r>
        <w:rPr>
          <w:rFonts w:hint="eastAsia" w:ascii="宋体" w:hAnsi="宋体"/>
          <w:b/>
          <w:kern w:val="44"/>
        </w:rPr>
        <w:t>第十条</w:t>
      </w:r>
      <w:r>
        <w:rPr>
          <w:rFonts w:hint="eastAsia" w:ascii="宋体" w:hAnsi="宋体"/>
          <w:kern w:val="44"/>
        </w:rPr>
        <w:t>　乡、镇人民政府应当组织开展辖区内的科普活动。</w:t>
      </w:r>
    </w:p>
    <w:p w14:paraId="7DA7A71A">
      <w:pPr>
        <w:jc w:val="left"/>
        <w:rPr>
          <w:rFonts w:ascii="宋体" w:hAnsi="宋体"/>
          <w:kern w:val="44"/>
        </w:rPr>
      </w:pPr>
      <w:r>
        <w:rPr>
          <w:rFonts w:hint="eastAsia" w:ascii="宋体" w:hAnsi="宋体"/>
          <w:kern w:val="44"/>
        </w:rPr>
        <w:t>街道办事处应当支持和协调辖区内的社区科普活动。</w:t>
      </w:r>
    </w:p>
    <w:p w14:paraId="26CE71EA">
      <w:pPr>
        <w:ind w:firstLine="422"/>
        <w:jc w:val="left"/>
        <w:rPr>
          <w:rFonts w:ascii="宋体" w:hAnsi="宋体"/>
          <w:kern w:val="44"/>
        </w:rPr>
      </w:pPr>
      <w:r>
        <w:rPr>
          <w:rFonts w:hint="eastAsia" w:ascii="宋体" w:hAnsi="宋体"/>
          <w:b/>
          <w:kern w:val="44"/>
        </w:rPr>
        <w:t>第十一条</w:t>
      </w:r>
      <w:r>
        <w:rPr>
          <w:rFonts w:hint="eastAsia" w:ascii="宋体" w:hAnsi="宋体"/>
          <w:kern w:val="44"/>
        </w:rPr>
        <w:t>　市科学技术行政部门负责全市科普工作，其职责是制定科普工作总体规划和年度计划，并进行政策引导、组织管理和监督检查。</w:t>
      </w:r>
    </w:p>
    <w:p w14:paraId="620B5477">
      <w:pPr>
        <w:ind w:firstLine="422"/>
        <w:jc w:val="left"/>
        <w:rPr>
          <w:rFonts w:ascii="宋体" w:hAnsi="宋体"/>
          <w:kern w:val="44"/>
        </w:rPr>
      </w:pPr>
      <w:r>
        <w:rPr>
          <w:rFonts w:hint="eastAsia" w:ascii="宋体" w:hAnsi="宋体"/>
          <w:b/>
          <w:kern w:val="44"/>
        </w:rPr>
        <w:t>第十二条</w:t>
      </w:r>
      <w:r>
        <w:rPr>
          <w:rFonts w:hint="eastAsia" w:ascii="宋体" w:hAnsi="宋体"/>
          <w:kern w:val="44"/>
        </w:rPr>
        <w:t>　市人民政府有关部门应当根据各自职责，做好本市科普工作规划和计划的实施工作。</w:t>
      </w:r>
    </w:p>
    <w:p w14:paraId="51C1C346">
      <w:pPr>
        <w:ind w:firstLine="422"/>
        <w:jc w:val="left"/>
        <w:rPr>
          <w:rFonts w:ascii="宋体" w:hAnsi="宋体"/>
          <w:kern w:val="44"/>
        </w:rPr>
      </w:pPr>
      <w:r>
        <w:rPr>
          <w:rFonts w:hint="eastAsia" w:ascii="宋体" w:hAnsi="宋体"/>
          <w:b/>
          <w:kern w:val="44"/>
        </w:rPr>
        <w:t>第十三条</w:t>
      </w:r>
      <w:r>
        <w:rPr>
          <w:rFonts w:hint="eastAsia" w:ascii="宋体" w:hAnsi="宋体"/>
          <w:kern w:val="44"/>
        </w:rPr>
        <w:t>　科学技术协会是科普工作的主要社会力量。市科学技术协会应当组织所属学会、协会、研究会开展日常性、群众性科普活动，协助制定科普工作的规划、计划，对各部门、各单位的科普工作进行业务指导。</w:t>
      </w:r>
    </w:p>
    <w:p w14:paraId="5EFA8CD7">
      <w:pPr>
        <w:ind w:firstLine="422"/>
        <w:jc w:val="left"/>
        <w:rPr>
          <w:rFonts w:ascii="宋体" w:hAnsi="宋体"/>
          <w:kern w:val="44"/>
        </w:rPr>
      </w:pPr>
      <w:r>
        <w:rPr>
          <w:rFonts w:hint="eastAsia" w:ascii="宋体" w:hAnsi="宋体"/>
          <w:b/>
          <w:kern w:val="44"/>
        </w:rPr>
        <w:t>第十四条</w:t>
      </w:r>
      <w:r>
        <w:rPr>
          <w:rFonts w:hint="eastAsia" w:ascii="宋体" w:hAnsi="宋体"/>
          <w:kern w:val="44"/>
        </w:rPr>
        <w:t>　工会、共青团、妇联等群众团体应当结合职工、青少年、妇女的特点，开展多种形式的科普活动。</w:t>
      </w:r>
    </w:p>
    <w:p w14:paraId="3B0B1D58">
      <w:pPr>
        <w:jc w:val="left"/>
        <w:rPr>
          <w:rFonts w:ascii="宋体" w:hAnsi="宋体"/>
          <w:kern w:val="44"/>
        </w:rPr>
      </w:pPr>
    </w:p>
    <w:p w14:paraId="6658454B">
      <w:pPr>
        <w:ind w:firstLine="0" w:firstLineChars="0"/>
        <w:jc w:val="center"/>
        <w:rPr>
          <w:rFonts w:ascii="宋体" w:hAnsi="宋体"/>
          <w:b/>
          <w:kern w:val="44"/>
          <w:sz w:val="28"/>
        </w:rPr>
      </w:pPr>
      <w:r>
        <w:rPr>
          <w:rFonts w:hint="eastAsia" w:ascii="宋体" w:hAnsi="宋体"/>
          <w:b/>
          <w:kern w:val="44"/>
          <w:sz w:val="28"/>
        </w:rPr>
        <w:t>第三章　社会责任</w:t>
      </w:r>
    </w:p>
    <w:p w14:paraId="46845C57">
      <w:pPr>
        <w:jc w:val="left"/>
        <w:rPr>
          <w:rFonts w:ascii="宋体" w:hAnsi="宋体"/>
          <w:kern w:val="44"/>
        </w:rPr>
      </w:pPr>
    </w:p>
    <w:p w14:paraId="018E30C7">
      <w:pPr>
        <w:ind w:firstLine="422"/>
        <w:jc w:val="left"/>
        <w:rPr>
          <w:rFonts w:ascii="宋体" w:hAnsi="宋体"/>
          <w:kern w:val="44"/>
        </w:rPr>
      </w:pPr>
      <w:r>
        <w:rPr>
          <w:rFonts w:hint="eastAsia" w:ascii="宋体" w:hAnsi="宋体"/>
          <w:b/>
          <w:kern w:val="44"/>
        </w:rPr>
        <w:t>第十五条</w:t>
      </w:r>
      <w:r>
        <w:rPr>
          <w:rFonts w:hint="eastAsia" w:ascii="宋体" w:hAnsi="宋体"/>
          <w:kern w:val="44"/>
        </w:rPr>
        <w:t>　各单位应当建立领导干部学习现代科学知识、接受科普教育的制度，并把学习情况纳入对其考核的范围。</w:t>
      </w:r>
    </w:p>
    <w:p w14:paraId="621F00E0">
      <w:pPr>
        <w:ind w:firstLine="422"/>
        <w:jc w:val="left"/>
        <w:rPr>
          <w:rFonts w:ascii="宋体" w:hAnsi="宋体"/>
          <w:kern w:val="44"/>
        </w:rPr>
      </w:pPr>
      <w:r>
        <w:rPr>
          <w:rFonts w:hint="eastAsia" w:ascii="宋体" w:hAnsi="宋体"/>
          <w:b/>
          <w:kern w:val="44"/>
        </w:rPr>
        <w:t>第十六条</w:t>
      </w:r>
      <w:r>
        <w:rPr>
          <w:rFonts w:hint="eastAsia" w:ascii="宋体" w:hAnsi="宋体"/>
          <w:kern w:val="44"/>
        </w:rPr>
        <w:t>　中小学校应当开展多种形式的科普活动，把提高青少年的科学技术素质作为全面实施素质教育的重要内容。</w:t>
      </w:r>
    </w:p>
    <w:p w14:paraId="10C457AB">
      <w:pPr>
        <w:jc w:val="left"/>
        <w:rPr>
          <w:rFonts w:ascii="宋体" w:hAnsi="宋体"/>
          <w:kern w:val="44"/>
        </w:rPr>
      </w:pPr>
      <w:r>
        <w:rPr>
          <w:rFonts w:hint="eastAsia" w:ascii="宋体" w:hAnsi="宋体"/>
          <w:kern w:val="44"/>
        </w:rPr>
        <w:t>市和区、县青少年科技馆、少年宫等校外教育机构，应当组织开展青少年专题科普活动和日常校外科普教育，并做好中小学科技辅导教师的培训工作。</w:t>
      </w:r>
    </w:p>
    <w:p w14:paraId="47CEB1D9">
      <w:pPr>
        <w:ind w:firstLine="422"/>
        <w:jc w:val="left"/>
        <w:rPr>
          <w:rFonts w:ascii="宋体" w:hAnsi="宋体"/>
          <w:kern w:val="44"/>
        </w:rPr>
      </w:pPr>
      <w:r>
        <w:rPr>
          <w:rFonts w:hint="eastAsia" w:ascii="宋体" w:hAnsi="宋体"/>
          <w:b/>
          <w:kern w:val="44"/>
        </w:rPr>
        <w:t>第十七条</w:t>
      </w:r>
      <w:r>
        <w:rPr>
          <w:rFonts w:hint="eastAsia" w:ascii="宋体" w:hAnsi="宋体"/>
          <w:kern w:val="44"/>
        </w:rPr>
        <w:t>　农村地区应当根据当地经济与社会发展的需要，围绕科学生产、文明生活，面向农民开展科普工作。</w:t>
      </w:r>
    </w:p>
    <w:p w14:paraId="11127CE2">
      <w:pPr>
        <w:jc w:val="left"/>
        <w:rPr>
          <w:rFonts w:ascii="宋体" w:hAnsi="宋体"/>
          <w:kern w:val="44"/>
        </w:rPr>
      </w:pPr>
      <w:r>
        <w:rPr>
          <w:rFonts w:hint="eastAsia" w:ascii="宋体" w:hAnsi="宋体"/>
          <w:kern w:val="44"/>
        </w:rPr>
        <w:t>各类农业技术推广（培训）机构、农业技术学校和农村专业技术协会，应当结合技术推广、技术培训向农民普及科学知识。</w:t>
      </w:r>
    </w:p>
    <w:p w14:paraId="400EC839">
      <w:pPr>
        <w:jc w:val="left"/>
        <w:rPr>
          <w:rFonts w:ascii="宋体" w:hAnsi="宋体"/>
          <w:kern w:val="44"/>
        </w:rPr>
      </w:pPr>
      <w:r>
        <w:rPr>
          <w:rFonts w:hint="eastAsia" w:ascii="宋体" w:hAnsi="宋体"/>
          <w:kern w:val="44"/>
        </w:rPr>
        <w:t>乡、镇和村文化站、广播站等应当向农民宣传科学、文明的生产和生活方式。</w:t>
      </w:r>
    </w:p>
    <w:p w14:paraId="0FAF8165">
      <w:pPr>
        <w:ind w:firstLine="422"/>
        <w:jc w:val="left"/>
        <w:rPr>
          <w:rFonts w:ascii="宋体" w:hAnsi="宋体"/>
          <w:kern w:val="44"/>
        </w:rPr>
      </w:pPr>
      <w:r>
        <w:rPr>
          <w:rFonts w:hint="eastAsia" w:ascii="宋体" w:hAnsi="宋体"/>
          <w:b/>
          <w:kern w:val="44"/>
        </w:rPr>
        <w:t>第十八条</w:t>
      </w:r>
      <w:r>
        <w:rPr>
          <w:rFonts w:hint="eastAsia" w:ascii="宋体" w:hAnsi="宋体"/>
          <w:kern w:val="44"/>
        </w:rPr>
        <w:t>　综合类和自然科学类报纸、刊物应当开设专栏，刊登科普文章；电影制作、发行、放映单位应当制作、发行、放映科普电影；广播电台、电视台应当开办固定科普宣传栏目，增加科普节目的播出时间。</w:t>
      </w:r>
    </w:p>
    <w:p w14:paraId="0DA5E08F">
      <w:pPr>
        <w:ind w:firstLine="422"/>
        <w:jc w:val="left"/>
        <w:rPr>
          <w:rFonts w:ascii="宋体" w:hAnsi="宋体"/>
          <w:kern w:val="44"/>
        </w:rPr>
      </w:pPr>
      <w:r>
        <w:rPr>
          <w:rFonts w:hint="eastAsia" w:ascii="宋体" w:hAnsi="宋体"/>
          <w:b/>
          <w:kern w:val="44"/>
        </w:rPr>
        <w:t>第十九条</w:t>
      </w:r>
      <w:r>
        <w:rPr>
          <w:rFonts w:hint="eastAsia" w:ascii="宋体" w:hAnsi="宋体"/>
          <w:kern w:val="44"/>
        </w:rPr>
        <w:t>　博物馆、图书馆、文化馆等社会公益场所应当结合自身业务，增加科普宣传的内容。</w:t>
      </w:r>
    </w:p>
    <w:p w14:paraId="2D767C13">
      <w:pPr>
        <w:jc w:val="left"/>
        <w:rPr>
          <w:rFonts w:ascii="宋体" w:hAnsi="宋体"/>
          <w:kern w:val="44"/>
        </w:rPr>
      </w:pPr>
      <w:r>
        <w:rPr>
          <w:rFonts w:hint="eastAsia" w:ascii="宋体" w:hAnsi="宋体"/>
          <w:kern w:val="44"/>
        </w:rPr>
        <w:t>动物园、植物园、自然保护区等场所应当结合各自特点，开展有关环境、生态和生物多样性保护等方面的科普活动。</w:t>
      </w:r>
    </w:p>
    <w:p w14:paraId="29735B3D">
      <w:pPr>
        <w:ind w:firstLine="422"/>
        <w:jc w:val="left"/>
        <w:rPr>
          <w:rFonts w:ascii="宋体" w:hAnsi="宋体"/>
          <w:kern w:val="44"/>
        </w:rPr>
      </w:pPr>
      <w:r>
        <w:rPr>
          <w:rFonts w:hint="eastAsia" w:ascii="宋体" w:hAnsi="宋体"/>
          <w:b/>
          <w:kern w:val="44"/>
        </w:rPr>
        <w:t>第二十条</w:t>
      </w:r>
      <w:r>
        <w:rPr>
          <w:rFonts w:hint="eastAsia" w:ascii="宋体" w:hAnsi="宋体"/>
          <w:kern w:val="44"/>
        </w:rPr>
        <w:t>　本市大型医院、公园、旅游景点、影剧院、体育场馆、商场、车站、机场等公共场所的经营管理单位，应当根据各自特点，开展面向公众的科普宣传。</w:t>
      </w:r>
    </w:p>
    <w:p w14:paraId="23FA0D8A">
      <w:pPr>
        <w:ind w:firstLine="422"/>
        <w:jc w:val="left"/>
        <w:rPr>
          <w:rFonts w:ascii="宋体" w:hAnsi="宋体"/>
          <w:kern w:val="44"/>
        </w:rPr>
      </w:pPr>
      <w:r>
        <w:rPr>
          <w:rFonts w:hint="eastAsia" w:ascii="宋体" w:hAnsi="宋体"/>
          <w:b/>
          <w:kern w:val="44"/>
        </w:rPr>
        <w:t>第二十一条</w:t>
      </w:r>
      <w:r>
        <w:rPr>
          <w:rFonts w:hint="eastAsia" w:ascii="宋体" w:hAnsi="宋体"/>
          <w:kern w:val="44"/>
        </w:rPr>
        <w:t>　适宜向公众开展科普宣传的科研机构、高等院校和企业的实验室或者生产车间等应当有组织地向社会开放。</w:t>
      </w:r>
    </w:p>
    <w:p w14:paraId="4294BE5F">
      <w:pPr>
        <w:ind w:firstLine="422"/>
        <w:jc w:val="left"/>
        <w:rPr>
          <w:rFonts w:ascii="宋体" w:hAnsi="宋体"/>
          <w:kern w:val="44"/>
        </w:rPr>
      </w:pPr>
      <w:r>
        <w:rPr>
          <w:rFonts w:hint="eastAsia" w:ascii="宋体" w:hAnsi="宋体"/>
          <w:b/>
          <w:kern w:val="44"/>
        </w:rPr>
        <w:t>第二十二条</w:t>
      </w:r>
      <w:r>
        <w:rPr>
          <w:rFonts w:hint="eastAsia" w:ascii="宋体" w:hAnsi="宋体"/>
          <w:kern w:val="44"/>
        </w:rPr>
        <w:t>　本市于每年五月举办“北京科技周”活动，社会各界应当根据“北京科技周”确定的主题开展科普活动。</w:t>
      </w:r>
    </w:p>
    <w:p w14:paraId="7C52A209">
      <w:pPr>
        <w:jc w:val="left"/>
        <w:rPr>
          <w:rFonts w:ascii="宋体" w:hAnsi="宋体"/>
          <w:kern w:val="44"/>
        </w:rPr>
      </w:pPr>
    </w:p>
    <w:p w14:paraId="3295B6AF">
      <w:pPr>
        <w:ind w:firstLine="0" w:firstLineChars="0"/>
        <w:jc w:val="center"/>
        <w:rPr>
          <w:rFonts w:ascii="宋体" w:hAnsi="宋体"/>
          <w:b/>
          <w:kern w:val="44"/>
          <w:sz w:val="28"/>
        </w:rPr>
      </w:pPr>
      <w:r>
        <w:rPr>
          <w:rFonts w:hint="eastAsia" w:ascii="宋体" w:hAnsi="宋体"/>
          <w:b/>
          <w:kern w:val="44"/>
          <w:sz w:val="28"/>
        </w:rPr>
        <w:t>第四章　科普场所</w:t>
      </w:r>
    </w:p>
    <w:p w14:paraId="02E1AECA">
      <w:pPr>
        <w:jc w:val="left"/>
        <w:rPr>
          <w:rFonts w:ascii="宋体" w:hAnsi="宋体"/>
          <w:kern w:val="44"/>
        </w:rPr>
      </w:pPr>
    </w:p>
    <w:p w14:paraId="28AC6F84">
      <w:pPr>
        <w:ind w:firstLine="422"/>
        <w:jc w:val="left"/>
        <w:rPr>
          <w:rFonts w:ascii="宋体" w:hAnsi="宋体"/>
          <w:kern w:val="44"/>
        </w:rPr>
      </w:pPr>
      <w:r>
        <w:rPr>
          <w:rFonts w:hint="eastAsia" w:ascii="宋体" w:hAnsi="宋体"/>
          <w:b/>
          <w:kern w:val="44"/>
        </w:rPr>
        <w:t>第二十三条</w:t>
      </w:r>
      <w:r>
        <w:rPr>
          <w:rFonts w:hint="eastAsia" w:ascii="宋体" w:hAnsi="宋体"/>
          <w:kern w:val="44"/>
        </w:rPr>
        <w:t>　天文馆、自然科学类博物馆、科技馆、青少年科技馆（活动中心）等专业科普场所，应当充分发挥科普教育功能，面向公众开展科普活动，对中小学生给予优先和优惠。</w:t>
      </w:r>
    </w:p>
    <w:p w14:paraId="1FF2C17D">
      <w:pPr>
        <w:ind w:firstLine="422"/>
        <w:jc w:val="left"/>
        <w:rPr>
          <w:rFonts w:ascii="宋体" w:hAnsi="宋体"/>
          <w:kern w:val="44"/>
        </w:rPr>
      </w:pPr>
      <w:r>
        <w:rPr>
          <w:rFonts w:hint="eastAsia" w:ascii="宋体" w:hAnsi="宋体"/>
          <w:b/>
          <w:kern w:val="44"/>
        </w:rPr>
        <w:t>第二十四条</w:t>
      </w:r>
      <w:r>
        <w:rPr>
          <w:rFonts w:hint="eastAsia" w:ascii="宋体" w:hAnsi="宋体"/>
          <w:kern w:val="44"/>
        </w:rPr>
        <w:t>　国家投资兴建的科普场所、设施，禁止出租、出借或者以其他形式改作他用。如有特殊情况需要临时改作他用的，须经上级主管部门批准，但不得改变其科普场所的基本性质，妨碍开展科普活动。</w:t>
      </w:r>
    </w:p>
    <w:p w14:paraId="6619E71A">
      <w:pPr>
        <w:jc w:val="left"/>
        <w:rPr>
          <w:rFonts w:ascii="宋体" w:hAnsi="宋体"/>
          <w:kern w:val="44"/>
        </w:rPr>
      </w:pPr>
    </w:p>
    <w:p w14:paraId="1C640C81">
      <w:pPr>
        <w:ind w:firstLine="0" w:firstLineChars="0"/>
        <w:jc w:val="center"/>
        <w:rPr>
          <w:rFonts w:ascii="宋体" w:hAnsi="宋体"/>
          <w:b/>
          <w:kern w:val="44"/>
          <w:sz w:val="28"/>
        </w:rPr>
      </w:pPr>
      <w:r>
        <w:rPr>
          <w:rFonts w:hint="eastAsia" w:ascii="宋体" w:hAnsi="宋体"/>
          <w:b/>
          <w:kern w:val="44"/>
          <w:sz w:val="28"/>
        </w:rPr>
        <w:t>第五章　科普工作者</w:t>
      </w:r>
    </w:p>
    <w:p w14:paraId="685BD314">
      <w:pPr>
        <w:jc w:val="left"/>
        <w:rPr>
          <w:rFonts w:ascii="宋体" w:hAnsi="宋体"/>
          <w:kern w:val="44"/>
        </w:rPr>
      </w:pPr>
    </w:p>
    <w:p w14:paraId="189C0601">
      <w:pPr>
        <w:ind w:firstLine="422"/>
        <w:jc w:val="left"/>
        <w:rPr>
          <w:rFonts w:ascii="宋体" w:hAnsi="宋体"/>
          <w:kern w:val="44"/>
        </w:rPr>
      </w:pPr>
      <w:r>
        <w:rPr>
          <w:rFonts w:hint="eastAsia" w:ascii="宋体" w:hAnsi="宋体"/>
          <w:b/>
          <w:kern w:val="44"/>
        </w:rPr>
        <w:t>第二十五条</w:t>
      </w:r>
      <w:r>
        <w:rPr>
          <w:rFonts w:hint="eastAsia" w:ascii="宋体" w:hAnsi="宋体"/>
          <w:kern w:val="44"/>
        </w:rPr>
        <w:t>　本条例所称的科普工作者，包括专业和非专业科普工作者。</w:t>
      </w:r>
    </w:p>
    <w:p w14:paraId="7067CB67">
      <w:pPr>
        <w:jc w:val="left"/>
        <w:rPr>
          <w:rFonts w:ascii="宋体" w:hAnsi="宋体"/>
          <w:kern w:val="44"/>
        </w:rPr>
      </w:pPr>
      <w:r>
        <w:rPr>
          <w:rFonts w:hint="eastAsia" w:ascii="宋体" w:hAnsi="宋体"/>
          <w:kern w:val="44"/>
        </w:rPr>
        <w:t>在科普场所中从事科普工作的人员和中小学科技辅导教师为专业科普工作者，其他从事科普工作的人员为非专业科普工作者。</w:t>
      </w:r>
    </w:p>
    <w:p w14:paraId="05010235">
      <w:pPr>
        <w:ind w:firstLine="422"/>
        <w:jc w:val="left"/>
        <w:rPr>
          <w:rFonts w:ascii="宋体" w:hAnsi="宋体"/>
          <w:kern w:val="44"/>
        </w:rPr>
      </w:pPr>
      <w:r>
        <w:rPr>
          <w:rFonts w:hint="eastAsia" w:ascii="宋体" w:hAnsi="宋体"/>
          <w:b/>
          <w:kern w:val="44"/>
        </w:rPr>
        <w:t>第二十六条</w:t>
      </w:r>
      <w:r>
        <w:rPr>
          <w:rFonts w:hint="eastAsia" w:ascii="宋体" w:hAnsi="宋体"/>
          <w:kern w:val="44"/>
        </w:rPr>
        <w:t>　科普工作者享有下列权利：</w:t>
      </w:r>
    </w:p>
    <w:p w14:paraId="7626B0CA">
      <w:pPr>
        <w:jc w:val="left"/>
        <w:rPr>
          <w:rFonts w:ascii="宋体" w:hAnsi="宋体"/>
          <w:kern w:val="44"/>
        </w:rPr>
      </w:pPr>
      <w:r>
        <w:rPr>
          <w:rFonts w:hint="eastAsia" w:ascii="宋体" w:hAnsi="宋体"/>
          <w:kern w:val="44"/>
        </w:rPr>
        <w:t>（一）依法创办或者参加科普组织，自主开展科普活动；</w:t>
      </w:r>
    </w:p>
    <w:p w14:paraId="3D37A73F">
      <w:pPr>
        <w:jc w:val="left"/>
        <w:rPr>
          <w:rFonts w:ascii="宋体" w:hAnsi="宋体"/>
          <w:kern w:val="44"/>
        </w:rPr>
      </w:pPr>
      <w:r>
        <w:rPr>
          <w:rFonts w:hint="eastAsia" w:ascii="宋体" w:hAnsi="宋体"/>
          <w:kern w:val="44"/>
        </w:rPr>
        <w:t>（二）从事科普研究、创作，参加科普学术交流；</w:t>
      </w:r>
    </w:p>
    <w:p w14:paraId="3A6C4D1C">
      <w:pPr>
        <w:jc w:val="left"/>
        <w:rPr>
          <w:rFonts w:ascii="宋体" w:hAnsi="宋体"/>
          <w:kern w:val="44"/>
        </w:rPr>
      </w:pPr>
      <w:r>
        <w:rPr>
          <w:rFonts w:hint="eastAsia" w:ascii="宋体" w:hAnsi="宋体"/>
          <w:kern w:val="44"/>
        </w:rPr>
        <w:t>（三）申请科普项目经费，获得科普创作、出版资金资助；</w:t>
      </w:r>
    </w:p>
    <w:p w14:paraId="1ADEB79E">
      <w:pPr>
        <w:jc w:val="left"/>
        <w:rPr>
          <w:rFonts w:ascii="宋体" w:hAnsi="宋体"/>
          <w:kern w:val="44"/>
        </w:rPr>
      </w:pPr>
      <w:r>
        <w:rPr>
          <w:rFonts w:hint="eastAsia" w:ascii="宋体" w:hAnsi="宋体"/>
          <w:kern w:val="44"/>
        </w:rPr>
        <w:t>（四）评定专业技术职称并享受相应待遇；</w:t>
      </w:r>
    </w:p>
    <w:p w14:paraId="58E999E4">
      <w:pPr>
        <w:jc w:val="left"/>
        <w:rPr>
          <w:rFonts w:ascii="宋体" w:hAnsi="宋体"/>
          <w:kern w:val="44"/>
        </w:rPr>
      </w:pPr>
      <w:r>
        <w:rPr>
          <w:rFonts w:hint="eastAsia" w:ascii="宋体" w:hAnsi="宋体"/>
          <w:kern w:val="44"/>
        </w:rPr>
        <w:t>（五）接受专业技术培训；</w:t>
      </w:r>
    </w:p>
    <w:p w14:paraId="57EAB231">
      <w:pPr>
        <w:jc w:val="left"/>
        <w:rPr>
          <w:rFonts w:ascii="宋体" w:hAnsi="宋体"/>
          <w:kern w:val="44"/>
        </w:rPr>
      </w:pPr>
      <w:r>
        <w:rPr>
          <w:rFonts w:hint="eastAsia" w:ascii="宋体" w:hAnsi="宋体"/>
          <w:kern w:val="44"/>
        </w:rPr>
        <w:t>（六）对科普工作提出意见和建议。</w:t>
      </w:r>
    </w:p>
    <w:p w14:paraId="3D8DB762">
      <w:pPr>
        <w:ind w:firstLine="422"/>
        <w:jc w:val="left"/>
        <w:rPr>
          <w:rFonts w:ascii="宋体" w:hAnsi="宋体"/>
          <w:kern w:val="44"/>
        </w:rPr>
      </w:pPr>
      <w:r>
        <w:rPr>
          <w:rFonts w:hint="eastAsia" w:ascii="宋体" w:hAnsi="宋体"/>
          <w:b/>
          <w:kern w:val="44"/>
        </w:rPr>
        <w:t>第二十七条</w:t>
      </w:r>
      <w:r>
        <w:rPr>
          <w:rFonts w:hint="eastAsia" w:ascii="宋体" w:hAnsi="宋体"/>
          <w:kern w:val="44"/>
        </w:rPr>
        <w:t>　科普工作者应当履行下列义务：</w:t>
      </w:r>
    </w:p>
    <w:p w14:paraId="314B320B">
      <w:pPr>
        <w:jc w:val="left"/>
        <w:rPr>
          <w:rFonts w:ascii="宋体" w:hAnsi="宋体"/>
          <w:kern w:val="44"/>
        </w:rPr>
      </w:pPr>
      <w:r>
        <w:rPr>
          <w:rFonts w:hint="eastAsia" w:ascii="宋体" w:hAnsi="宋体"/>
          <w:kern w:val="44"/>
        </w:rPr>
        <w:t>（一）坚持科学精神，遵守职业道德；</w:t>
      </w:r>
    </w:p>
    <w:p w14:paraId="1CB8C071">
      <w:pPr>
        <w:jc w:val="left"/>
        <w:rPr>
          <w:rFonts w:ascii="宋体" w:hAnsi="宋体"/>
          <w:kern w:val="44"/>
        </w:rPr>
      </w:pPr>
      <w:r>
        <w:rPr>
          <w:rFonts w:hint="eastAsia" w:ascii="宋体" w:hAnsi="宋体"/>
          <w:kern w:val="44"/>
        </w:rPr>
        <w:t>（二）按照本条例的规定，面向公众开展科普工作，传播科学技术知识、科学方法和科学思想；</w:t>
      </w:r>
    </w:p>
    <w:p w14:paraId="1456CCC0">
      <w:pPr>
        <w:jc w:val="left"/>
        <w:rPr>
          <w:rFonts w:ascii="宋体" w:hAnsi="宋体"/>
          <w:kern w:val="44"/>
        </w:rPr>
      </w:pPr>
      <w:r>
        <w:rPr>
          <w:rFonts w:hint="eastAsia" w:ascii="宋体" w:hAnsi="宋体"/>
          <w:kern w:val="44"/>
        </w:rPr>
        <w:t>（三）抵制反科学、伪科学，同封建迷信、愚昧落后现象作斗争；</w:t>
      </w:r>
    </w:p>
    <w:p w14:paraId="3780B459">
      <w:pPr>
        <w:jc w:val="left"/>
        <w:rPr>
          <w:rFonts w:ascii="宋体" w:hAnsi="宋体"/>
          <w:kern w:val="44"/>
        </w:rPr>
      </w:pPr>
      <w:r>
        <w:rPr>
          <w:rFonts w:hint="eastAsia" w:ascii="宋体" w:hAnsi="宋体"/>
          <w:kern w:val="44"/>
        </w:rPr>
        <w:t>（四）加强现代科学知识的学习，提高自身业务水平。</w:t>
      </w:r>
    </w:p>
    <w:p w14:paraId="3B36654C">
      <w:pPr>
        <w:ind w:firstLine="422"/>
        <w:jc w:val="left"/>
        <w:rPr>
          <w:rFonts w:ascii="宋体" w:hAnsi="宋体"/>
          <w:kern w:val="44"/>
        </w:rPr>
      </w:pPr>
      <w:r>
        <w:rPr>
          <w:rFonts w:hint="eastAsia" w:ascii="宋体" w:hAnsi="宋体"/>
          <w:b/>
          <w:kern w:val="44"/>
        </w:rPr>
        <w:t>第二十八条</w:t>
      </w:r>
      <w:r>
        <w:rPr>
          <w:rFonts w:hint="eastAsia" w:ascii="宋体" w:hAnsi="宋体"/>
          <w:kern w:val="44"/>
        </w:rPr>
        <w:t>　科普工作者依法抵制反科学、伪科学，同封建迷信、愚昧落后现象作斗争受法律保护。</w:t>
      </w:r>
    </w:p>
    <w:p w14:paraId="01DABFCE">
      <w:pPr>
        <w:ind w:firstLine="422"/>
        <w:jc w:val="left"/>
        <w:rPr>
          <w:rFonts w:ascii="宋体" w:hAnsi="宋体"/>
          <w:kern w:val="44"/>
        </w:rPr>
      </w:pPr>
      <w:r>
        <w:rPr>
          <w:rFonts w:hint="eastAsia" w:ascii="宋体" w:hAnsi="宋体"/>
          <w:b/>
          <w:kern w:val="44"/>
        </w:rPr>
        <w:t>第二十九条</w:t>
      </w:r>
      <w:r>
        <w:rPr>
          <w:rFonts w:hint="eastAsia" w:ascii="宋体" w:hAnsi="宋体"/>
          <w:kern w:val="44"/>
        </w:rPr>
        <w:t>　申请进行市级科技成果鉴定或者申报科技进步奖的科技人员在提交科技成果的同时，应当提供介绍该成果或者与该成果相关的科普文章，在鉴定通过或者获奖以后，以多种形式向公众进行宣传。</w:t>
      </w:r>
    </w:p>
    <w:p w14:paraId="66E99454">
      <w:pPr>
        <w:ind w:firstLine="422"/>
        <w:jc w:val="left"/>
        <w:rPr>
          <w:rFonts w:ascii="宋体" w:hAnsi="宋体"/>
          <w:kern w:val="44"/>
        </w:rPr>
      </w:pPr>
      <w:r>
        <w:rPr>
          <w:rFonts w:hint="eastAsia" w:ascii="宋体" w:hAnsi="宋体"/>
          <w:b/>
          <w:kern w:val="44"/>
        </w:rPr>
        <w:t>第三十条</w:t>
      </w:r>
      <w:r>
        <w:rPr>
          <w:rFonts w:hint="eastAsia" w:ascii="宋体" w:hAnsi="宋体"/>
          <w:kern w:val="44"/>
        </w:rPr>
        <w:t>　科普工作者在参加相应系列的专业技术职称评审时，其所完成的科普方面的作品和直接参与指导的科普竞赛成绩以及获得的科普奖励，应当作为晋升专业技术职称的依据之一。</w:t>
      </w:r>
    </w:p>
    <w:p w14:paraId="064A47E0">
      <w:pPr>
        <w:jc w:val="left"/>
        <w:rPr>
          <w:rFonts w:ascii="宋体" w:hAnsi="宋体"/>
          <w:kern w:val="44"/>
        </w:rPr>
      </w:pPr>
    </w:p>
    <w:p w14:paraId="4BB6BF53">
      <w:pPr>
        <w:ind w:firstLine="0" w:firstLineChars="0"/>
        <w:jc w:val="center"/>
        <w:rPr>
          <w:rFonts w:ascii="宋体" w:hAnsi="宋体"/>
          <w:b/>
          <w:kern w:val="44"/>
          <w:sz w:val="28"/>
        </w:rPr>
      </w:pPr>
      <w:r>
        <w:rPr>
          <w:rFonts w:hint="eastAsia" w:ascii="宋体" w:hAnsi="宋体"/>
          <w:b/>
          <w:kern w:val="44"/>
          <w:sz w:val="28"/>
        </w:rPr>
        <w:t>第六章　保障措施</w:t>
      </w:r>
    </w:p>
    <w:p w14:paraId="61F82CB8">
      <w:pPr>
        <w:jc w:val="left"/>
        <w:rPr>
          <w:rFonts w:ascii="宋体" w:hAnsi="宋体"/>
          <w:kern w:val="44"/>
        </w:rPr>
      </w:pPr>
    </w:p>
    <w:p w14:paraId="28B28A0C">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市和区、县人民政府应当保证科普经费的投入，科普经费应当列入同级财政预算，专款专用。</w:t>
      </w:r>
    </w:p>
    <w:p w14:paraId="66CCF737">
      <w:pPr>
        <w:jc w:val="left"/>
        <w:rPr>
          <w:rFonts w:ascii="宋体" w:hAnsi="宋体"/>
          <w:kern w:val="44"/>
        </w:rPr>
      </w:pPr>
      <w:r>
        <w:rPr>
          <w:rFonts w:hint="eastAsia" w:ascii="宋体" w:hAnsi="宋体"/>
          <w:kern w:val="44"/>
        </w:rPr>
        <w:t>市科普活动经费应当在科学事业费中列项，逐年增长，其增长幅度应当不低于科学事业费的增长幅度。</w:t>
      </w:r>
    </w:p>
    <w:p w14:paraId="3CBE83F6">
      <w:pPr>
        <w:jc w:val="left"/>
        <w:rPr>
          <w:rFonts w:ascii="宋体" w:hAnsi="宋体"/>
          <w:kern w:val="44"/>
        </w:rPr>
      </w:pPr>
      <w:r>
        <w:rPr>
          <w:rFonts w:hint="eastAsia" w:ascii="宋体" w:hAnsi="宋体"/>
          <w:kern w:val="44"/>
        </w:rPr>
        <w:t>区、县科普活动经费应当按照本辖区常住人口每人每年0.5元的标准由区、县财政予以保证，并逐年增长。</w:t>
      </w:r>
    </w:p>
    <w:p w14:paraId="644846B6">
      <w:pPr>
        <w:ind w:firstLine="422"/>
        <w:jc w:val="left"/>
        <w:rPr>
          <w:rFonts w:ascii="宋体" w:hAnsi="宋体"/>
          <w:kern w:val="44"/>
        </w:rPr>
      </w:pPr>
      <w:r>
        <w:rPr>
          <w:rFonts w:hint="eastAsia" w:ascii="宋体" w:hAnsi="宋体"/>
          <w:b/>
          <w:kern w:val="44"/>
        </w:rPr>
        <w:t>第三十二条</w:t>
      </w:r>
      <w:r>
        <w:rPr>
          <w:rFonts w:hint="eastAsia" w:ascii="宋体" w:hAnsi="宋体"/>
          <w:kern w:val="44"/>
        </w:rPr>
        <w:t>　本市以发展科学、教育为宗旨的基金会可以设立科普发展专项资金，用于资助科普读物的创作、出版、科普影视制作、科普理论研究以及贫困地区的科普活动。</w:t>
      </w:r>
    </w:p>
    <w:p w14:paraId="4E4503D7">
      <w:pPr>
        <w:ind w:firstLine="422"/>
        <w:jc w:val="left"/>
        <w:rPr>
          <w:rFonts w:ascii="宋体" w:hAnsi="宋体"/>
          <w:kern w:val="44"/>
        </w:rPr>
      </w:pPr>
      <w:r>
        <w:rPr>
          <w:rFonts w:hint="eastAsia" w:ascii="宋体" w:hAnsi="宋体"/>
          <w:b/>
          <w:kern w:val="44"/>
        </w:rPr>
        <w:t>第三十三条</w:t>
      </w:r>
      <w:r>
        <w:rPr>
          <w:rFonts w:hint="eastAsia" w:ascii="宋体" w:hAnsi="宋体"/>
          <w:kern w:val="44"/>
        </w:rPr>
        <w:t>　出版科技类图书、期刊，依照国家有关规定，可以享受税收优惠政策。</w:t>
      </w:r>
    </w:p>
    <w:p w14:paraId="36AA8DED">
      <w:pPr>
        <w:ind w:firstLine="422"/>
        <w:jc w:val="left"/>
        <w:rPr>
          <w:rFonts w:ascii="宋体" w:hAnsi="宋体"/>
          <w:kern w:val="44"/>
        </w:rPr>
      </w:pPr>
      <w:r>
        <w:rPr>
          <w:rFonts w:hint="eastAsia" w:ascii="宋体" w:hAnsi="宋体"/>
          <w:b/>
          <w:kern w:val="44"/>
        </w:rPr>
        <w:t>第三十四条</w:t>
      </w:r>
      <w:r>
        <w:rPr>
          <w:rFonts w:hint="eastAsia" w:ascii="宋体" w:hAnsi="宋体"/>
          <w:kern w:val="44"/>
        </w:rPr>
        <w:t>　本市各级人民政府应当将科普基础设施建设纳入城市规划和基本建设计划，加快对科技馆、青少年科技馆、科普画廊等科普场所、设施的建设、改造、充实和利用。</w:t>
      </w:r>
    </w:p>
    <w:p w14:paraId="6D6AB41A">
      <w:pPr>
        <w:ind w:firstLine="422"/>
        <w:jc w:val="left"/>
        <w:rPr>
          <w:rFonts w:ascii="宋体" w:hAnsi="宋体"/>
          <w:kern w:val="44"/>
        </w:rPr>
      </w:pPr>
      <w:r>
        <w:rPr>
          <w:rFonts w:hint="eastAsia" w:ascii="宋体" w:hAnsi="宋体"/>
          <w:b/>
          <w:kern w:val="44"/>
        </w:rPr>
        <w:t>第三十五条</w:t>
      </w:r>
      <w:r>
        <w:rPr>
          <w:rFonts w:hint="eastAsia" w:ascii="宋体" w:hAnsi="宋体"/>
          <w:kern w:val="44"/>
        </w:rPr>
        <w:t>　本市各级人民政府应当采取措施，鼓励境内外组织和个人捐助或者投资建设科普设施，开展科普活动。</w:t>
      </w:r>
    </w:p>
    <w:p w14:paraId="76C558DC">
      <w:pPr>
        <w:ind w:firstLine="422"/>
        <w:jc w:val="left"/>
        <w:rPr>
          <w:rFonts w:ascii="宋体" w:hAnsi="宋体"/>
          <w:kern w:val="44"/>
        </w:rPr>
      </w:pPr>
      <w:r>
        <w:rPr>
          <w:rFonts w:hint="eastAsia" w:ascii="宋体" w:hAnsi="宋体"/>
          <w:b/>
          <w:kern w:val="44"/>
        </w:rPr>
        <w:t>第三十六条</w:t>
      </w:r>
      <w:r>
        <w:rPr>
          <w:rFonts w:hint="eastAsia" w:ascii="宋体" w:hAnsi="宋体"/>
          <w:kern w:val="44"/>
        </w:rPr>
        <w:t>　本市各级人民政府和有关部门应当采取措施，逐步提高科普工作者的待遇，改善科普工作者的工作和生活条件。</w:t>
      </w:r>
    </w:p>
    <w:p w14:paraId="5460B6D9">
      <w:pPr>
        <w:jc w:val="left"/>
        <w:rPr>
          <w:rFonts w:ascii="宋体" w:hAnsi="宋体"/>
          <w:kern w:val="44"/>
        </w:rPr>
      </w:pPr>
    </w:p>
    <w:p w14:paraId="66704FFC">
      <w:pPr>
        <w:ind w:firstLine="0" w:firstLineChars="0"/>
        <w:jc w:val="center"/>
        <w:rPr>
          <w:rFonts w:ascii="宋体" w:hAnsi="宋体"/>
          <w:b/>
          <w:kern w:val="44"/>
          <w:sz w:val="28"/>
        </w:rPr>
      </w:pPr>
      <w:r>
        <w:rPr>
          <w:rFonts w:hint="eastAsia" w:ascii="宋体" w:hAnsi="宋体"/>
          <w:b/>
          <w:kern w:val="44"/>
          <w:sz w:val="28"/>
        </w:rPr>
        <w:t>第七章　奖励与处罚</w:t>
      </w:r>
    </w:p>
    <w:p w14:paraId="62BE6B17">
      <w:pPr>
        <w:jc w:val="left"/>
        <w:rPr>
          <w:rFonts w:ascii="宋体" w:hAnsi="宋体"/>
          <w:kern w:val="44"/>
        </w:rPr>
      </w:pPr>
    </w:p>
    <w:p w14:paraId="30BD2945">
      <w:pPr>
        <w:ind w:firstLine="422"/>
        <w:jc w:val="left"/>
        <w:rPr>
          <w:rFonts w:ascii="宋体" w:hAnsi="宋体"/>
          <w:kern w:val="44"/>
        </w:rPr>
      </w:pPr>
      <w:r>
        <w:rPr>
          <w:rFonts w:hint="eastAsia" w:ascii="宋体" w:hAnsi="宋体"/>
          <w:b/>
          <w:kern w:val="44"/>
        </w:rPr>
        <w:t>第三十七条</w:t>
      </w:r>
      <w:r>
        <w:rPr>
          <w:rFonts w:hint="eastAsia" w:ascii="宋体" w:hAnsi="宋体"/>
          <w:kern w:val="44"/>
        </w:rPr>
        <w:t>　本市有关行政部门和社会团体对在科普工作中做出突出贡献的集体和个人，给予表彰和奖励。</w:t>
      </w:r>
    </w:p>
    <w:p w14:paraId="3301A08C">
      <w:pPr>
        <w:ind w:firstLine="422"/>
        <w:jc w:val="left"/>
        <w:rPr>
          <w:rFonts w:ascii="宋体" w:hAnsi="宋体"/>
          <w:kern w:val="44"/>
        </w:rPr>
      </w:pPr>
      <w:r>
        <w:rPr>
          <w:rFonts w:hint="eastAsia" w:ascii="宋体" w:hAnsi="宋体"/>
          <w:b/>
          <w:kern w:val="44"/>
        </w:rPr>
        <w:t>第三十八条</w:t>
      </w:r>
      <w:r>
        <w:rPr>
          <w:rFonts w:hint="eastAsia" w:ascii="宋体" w:hAnsi="宋体"/>
          <w:kern w:val="44"/>
        </w:rPr>
        <w:t>　违反本条例第五条第二款规定，以科学为名从事封建迷信活动，扰乱社会秩序，危害公共利益或者骗取财物尚不够刑事处罚的，由公安机关依照《中华人民共和国治安管理处罚条例》予以处罚；构成犯罪的，依法追究刑事责任。</w:t>
      </w:r>
    </w:p>
    <w:p w14:paraId="6EC4FF3E">
      <w:pPr>
        <w:ind w:firstLine="422"/>
        <w:jc w:val="left"/>
        <w:rPr>
          <w:rFonts w:ascii="宋体" w:hAnsi="宋体"/>
          <w:kern w:val="44"/>
        </w:rPr>
      </w:pPr>
      <w:r>
        <w:rPr>
          <w:rFonts w:hint="eastAsia" w:ascii="宋体" w:hAnsi="宋体"/>
          <w:b/>
          <w:kern w:val="44"/>
        </w:rPr>
        <w:t>第三十九条</w:t>
      </w:r>
      <w:r>
        <w:rPr>
          <w:rFonts w:hint="eastAsia" w:ascii="宋体" w:hAnsi="宋体"/>
          <w:kern w:val="44"/>
        </w:rPr>
        <w:t>　违反本条例第二十四条规定，出租、出借科普场所、设施的，改变科普场所、设施性质，妨碍开展科普活动的，由上级主管部门责令改正；情节严重的，对直接责任人员给予行政处分。</w:t>
      </w:r>
    </w:p>
    <w:p w14:paraId="123779CD">
      <w:pPr>
        <w:ind w:firstLine="422"/>
        <w:jc w:val="left"/>
        <w:rPr>
          <w:rFonts w:ascii="宋体" w:hAnsi="宋体"/>
          <w:kern w:val="44"/>
        </w:rPr>
      </w:pPr>
      <w:r>
        <w:rPr>
          <w:rFonts w:hint="eastAsia" w:ascii="宋体" w:hAnsi="宋体"/>
          <w:b/>
          <w:kern w:val="44"/>
        </w:rPr>
        <w:t>第四十条</w:t>
      </w:r>
      <w:r>
        <w:rPr>
          <w:rFonts w:hint="eastAsia" w:ascii="宋体" w:hAnsi="宋体"/>
          <w:kern w:val="44"/>
        </w:rPr>
        <w:t>　违反本条例第三十一条规定，挪用、克扣、截留科普经费的，由上级机关责令限期改正，并对直接责任人员给予行政处分；构成犯罪的，依法追究刑事责任。</w:t>
      </w:r>
    </w:p>
    <w:p w14:paraId="78C33E65">
      <w:pPr>
        <w:ind w:firstLine="422"/>
        <w:jc w:val="left"/>
        <w:rPr>
          <w:rFonts w:ascii="宋体" w:hAnsi="宋体"/>
          <w:kern w:val="44"/>
        </w:rPr>
      </w:pPr>
      <w:r>
        <w:rPr>
          <w:rFonts w:hint="eastAsia" w:ascii="宋体" w:hAnsi="宋体"/>
          <w:b/>
          <w:kern w:val="44"/>
        </w:rPr>
        <w:t>第四十一条</w:t>
      </w:r>
      <w:r>
        <w:rPr>
          <w:rFonts w:hint="eastAsia" w:ascii="宋体" w:hAnsi="宋体"/>
          <w:kern w:val="44"/>
        </w:rPr>
        <w:t>　违反本条例规定，侵害科普工作者和公民的合法权益并造成损失的，依法承担民事责任。</w:t>
      </w:r>
    </w:p>
    <w:p w14:paraId="66A435CC">
      <w:pPr>
        <w:jc w:val="left"/>
        <w:rPr>
          <w:rFonts w:ascii="宋体" w:hAnsi="宋体"/>
          <w:kern w:val="44"/>
        </w:rPr>
      </w:pPr>
    </w:p>
    <w:p w14:paraId="0FA2D93C">
      <w:pPr>
        <w:ind w:firstLine="0" w:firstLineChars="0"/>
        <w:jc w:val="center"/>
        <w:rPr>
          <w:rFonts w:ascii="宋体" w:hAnsi="宋体"/>
          <w:b/>
          <w:kern w:val="44"/>
          <w:sz w:val="28"/>
        </w:rPr>
      </w:pPr>
      <w:r>
        <w:rPr>
          <w:rFonts w:hint="eastAsia" w:ascii="宋体" w:hAnsi="宋体"/>
          <w:b/>
          <w:kern w:val="44"/>
          <w:sz w:val="28"/>
        </w:rPr>
        <w:t>第八章　附　则</w:t>
      </w:r>
    </w:p>
    <w:p w14:paraId="335D7AB9">
      <w:pPr>
        <w:jc w:val="left"/>
        <w:rPr>
          <w:rFonts w:ascii="宋体" w:hAnsi="宋体"/>
          <w:kern w:val="44"/>
        </w:rPr>
      </w:pPr>
    </w:p>
    <w:p w14:paraId="4A35C45C">
      <w:pPr>
        <w:ind w:firstLine="422"/>
        <w:jc w:val="left"/>
        <w:rPr>
          <w:rFonts w:ascii="宋体" w:hAnsi="宋体"/>
          <w:kern w:val="44"/>
        </w:rPr>
      </w:pPr>
      <w:r>
        <w:rPr>
          <w:rFonts w:hint="eastAsia" w:ascii="宋体" w:hAnsi="宋体"/>
          <w:b/>
          <w:kern w:val="44"/>
        </w:rPr>
        <w:t>第四十二条</w:t>
      </w:r>
      <w:r>
        <w:rPr>
          <w:rFonts w:hint="eastAsia" w:ascii="宋体" w:hAnsi="宋体"/>
          <w:kern w:val="44"/>
        </w:rPr>
        <w:t>　本条例具体应用中的问题，由市科学技术行政部门负责解释。</w:t>
      </w:r>
    </w:p>
    <w:p w14:paraId="0BFC73BF">
      <w:pPr>
        <w:ind w:firstLine="422"/>
        <w:jc w:val="left"/>
        <w:rPr>
          <w:rFonts w:ascii="宋体" w:hAnsi="宋体"/>
          <w:kern w:val="44"/>
        </w:rPr>
      </w:pPr>
      <w:r>
        <w:rPr>
          <w:rFonts w:hint="eastAsia" w:ascii="宋体" w:hAnsi="宋体"/>
          <w:b/>
          <w:kern w:val="44"/>
        </w:rPr>
        <w:t>第四十三条</w:t>
      </w:r>
      <w:r>
        <w:rPr>
          <w:rFonts w:hint="eastAsia" w:ascii="宋体" w:hAnsi="宋体"/>
          <w:kern w:val="44"/>
        </w:rPr>
        <w:t>　本条例自1999年1月1日起施行。</w:t>
      </w:r>
    </w:p>
    <w:p w14:paraId="733F1EFF">
      <w:pPr>
        <w:pStyle w:val="4"/>
        <w:pageBreakBefore/>
        <w:rPr>
          <w:kern w:val="44"/>
        </w:rPr>
      </w:pPr>
      <w:bookmarkStart w:id="1537" w:name="_Toc427652000"/>
      <w:bookmarkStart w:id="1538" w:name="_Toc422471401"/>
      <w:bookmarkStart w:id="1539" w:name="_Toc428781706"/>
      <w:bookmarkStart w:id="1540" w:name="_Toc427651658"/>
      <w:bookmarkStart w:id="1541" w:name="_Toc428780224"/>
      <w:r>
        <w:rPr>
          <w:rFonts w:hint="eastAsia"/>
          <w:kern w:val="44"/>
        </w:rPr>
        <w:t>北京市技术市场条例</w:t>
      </w:r>
      <w:bookmarkEnd w:id="1537"/>
      <w:bookmarkEnd w:id="1538"/>
      <w:bookmarkEnd w:id="1539"/>
      <w:bookmarkEnd w:id="1540"/>
      <w:bookmarkEnd w:id="1541"/>
    </w:p>
    <w:p w14:paraId="62710C03">
      <w:pPr>
        <w:ind w:left="630" w:leftChars="300" w:right="630" w:rightChars="300"/>
        <w:jc w:val="left"/>
        <w:rPr>
          <w:rFonts w:ascii="楷体" w:hAnsi="楷体" w:eastAsia="楷体"/>
          <w:kern w:val="44"/>
        </w:rPr>
      </w:pPr>
      <w:r>
        <w:rPr>
          <w:rFonts w:hint="eastAsia" w:ascii="楷体" w:hAnsi="楷体" w:eastAsia="楷体"/>
          <w:kern w:val="44"/>
        </w:rPr>
        <w:t>（2002年7月18日北京市第十一届人民代表大会常务委员会第三十五次会议通过）</w:t>
      </w:r>
    </w:p>
    <w:p w14:paraId="602AC909">
      <w:pPr>
        <w:jc w:val="left"/>
        <w:rPr>
          <w:rFonts w:ascii="宋体" w:hAnsi="宋体"/>
          <w:kern w:val="44"/>
        </w:rPr>
      </w:pPr>
    </w:p>
    <w:p w14:paraId="4DA05EEA">
      <w:pPr>
        <w:ind w:firstLine="0" w:firstLineChars="0"/>
        <w:jc w:val="center"/>
        <w:rPr>
          <w:rFonts w:ascii="宋体" w:hAnsi="宋体"/>
          <w:b/>
          <w:kern w:val="44"/>
          <w:sz w:val="28"/>
        </w:rPr>
      </w:pPr>
      <w:r>
        <w:rPr>
          <w:rFonts w:hint="eastAsia" w:ascii="宋体" w:hAnsi="宋体"/>
          <w:b/>
          <w:kern w:val="44"/>
          <w:sz w:val="28"/>
        </w:rPr>
        <w:t>第一章　总　则</w:t>
      </w:r>
    </w:p>
    <w:p w14:paraId="479C7940">
      <w:pPr>
        <w:jc w:val="left"/>
        <w:rPr>
          <w:rFonts w:ascii="宋体" w:hAnsi="宋体"/>
          <w:kern w:val="44"/>
        </w:rPr>
      </w:pPr>
    </w:p>
    <w:p w14:paraId="743D5DA4">
      <w:pPr>
        <w:ind w:firstLine="422"/>
        <w:jc w:val="left"/>
        <w:rPr>
          <w:rFonts w:ascii="宋体" w:hAnsi="宋体"/>
          <w:kern w:val="44"/>
        </w:rPr>
      </w:pPr>
      <w:r>
        <w:rPr>
          <w:rFonts w:hint="eastAsia" w:ascii="宋体" w:hAnsi="宋体"/>
          <w:b/>
          <w:kern w:val="44"/>
        </w:rPr>
        <w:t>第一条</w:t>
      </w:r>
      <w:r>
        <w:rPr>
          <w:rFonts w:hint="eastAsia" w:ascii="宋体" w:hAnsi="宋体"/>
          <w:kern w:val="44"/>
        </w:rPr>
        <w:t>　为促进技术交易，维护技术市场秩序，保障技术交易当事人的合法权益，推动技术进步和经济发展，根据国家有关法律、法规，结合本市实际情况，制定本条例。</w:t>
      </w:r>
    </w:p>
    <w:p w14:paraId="7258045A">
      <w:pPr>
        <w:ind w:firstLine="422"/>
        <w:jc w:val="left"/>
        <w:rPr>
          <w:rFonts w:ascii="宋体" w:hAnsi="宋体"/>
          <w:kern w:val="44"/>
        </w:rPr>
      </w:pPr>
      <w:r>
        <w:rPr>
          <w:rFonts w:hint="eastAsia" w:ascii="宋体" w:hAnsi="宋体"/>
          <w:b/>
          <w:kern w:val="44"/>
        </w:rPr>
        <w:t>第二条</w:t>
      </w:r>
      <w:r>
        <w:rPr>
          <w:rFonts w:hint="eastAsia" w:ascii="宋体" w:hAnsi="宋体"/>
          <w:kern w:val="44"/>
        </w:rPr>
        <w:t>　自然人、法人和其他组织在本市行政区域内从事技术开发、技术转让、技术咨询、技术服务等技术交易活动以及其他与技术市场相关的活动，适用本条例。</w:t>
      </w:r>
    </w:p>
    <w:p w14:paraId="4D490E8F">
      <w:pPr>
        <w:ind w:firstLine="422"/>
        <w:jc w:val="left"/>
        <w:rPr>
          <w:rFonts w:ascii="宋体" w:hAnsi="宋体"/>
          <w:kern w:val="44"/>
        </w:rPr>
      </w:pPr>
      <w:r>
        <w:rPr>
          <w:rFonts w:hint="eastAsia" w:ascii="宋体" w:hAnsi="宋体"/>
          <w:b/>
          <w:kern w:val="44"/>
        </w:rPr>
        <w:t>第三条</w:t>
      </w:r>
      <w:r>
        <w:rPr>
          <w:rFonts w:hint="eastAsia" w:ascii="宋体" w:hAnsi="宋体"/>
          <w:kern w:val="44"/>
        </w:rPr>
        <w:t>　一切有益于经济建设、社会发展和科技进步的技术、技术信息，均可以进行交易，但国家另有规定的除外。</w:t>
      </w:r>
    </w:p>
    <w:p w14:paraId="2B543D37">
      <w:pPr>
        <w:jc w:val="left"/>
        <w:rPr>
          <w:rFonts w:ascii="宋体" w:hAnsi="宋体"/>
          <w:kern w:val="44"/>
        </w:rPr>
      </w:pPr>
      <w:r>
        <w:rPr>
          <w:rFonts w:hint="eastAsia" w:ascii="宋体" w:hAnsi="宋体"/>
          <w:kern w:val="44"/>
        </w:rPr>
        <w:t>技术交易活动不受地区、行业、隶属关系、经济性质和专业范围的限制。</w:t>
      </w:r>
    </w:p>
    <w:p w14:paraId="5B024206">
      <w:pPr>
        <w:jc w:val="left"/>
        <w:rPr>
          <w:rFonts w:ascii="宋体" w:hAnsi="宋体"/>
          <w:kern w:val="44"/>
        </w:rPr>
      </w:pPr>
      <w:r>
        <w:rPr>
          <w:rFonts w:hint="eastAsia" w:ascii="宋体" w:hAnsi="宋体"/>
          <w:kern w:val="44"/>
        </w:rPr>
        <w:t>技术交易涉及国家安全、国家秘密的，应当按照国家有关规定办理。</w:t>
      </w:r>
    </w:p>
    <w:p w14:paraId="31975C12">
      <w:pPr>
        <w:ind w:firstLine="422"/>
        <w:jc w:val="left"/>
        <w:rPr>
          <w:rFonts w:ascii="宋体" w:hAnsi="宋体"/>
          <w:kern w:val="44"/>
        </w:rPr>
      </w:pPr>
      <w:r>
        <w:rPr>
          <w:rFonts w:hint="eastAsia" w:ascii="宋体" w:hAnsi="宋体"/>
          <w:b/>
          <w:kern w:val="44"/>
        </w:rPr>
        <w:t>第四条</w:t>
      </w:r>
      <w:r>
        <w:rPr>
          <w:rFonts w:hint="eastAsia" w:ascii="宋体" w:hAnsi="宋体"/>
          <w:kern w:val="44"/>
        </w:rPr>
        <w:t>　技术交易当事人在技术交易活动中应当遵守相关法律、法规，尊重社会公德，不得侵犯他人的知识产权，扰乱社会经济秩序，损害社会公共利益。</w:t>
      </w:r>
    </w:p>
    <w:p w14:paraId="0E399560">
      <w:pPr>
        <w:jc w:val="left"/>
        <w:rPr>
          <w:rFonts w:ascii="宋体" w:hAnsi="宋体"/>
          <w:kern w:val="44"/>
        </w:rPr>
      </w:pPr>
      <w:r>
        <w:rPr>
          <w:rFonts w:hint="eastAsia" w:ascii="宋体" w:hAnsi="宋体"/>
          <w:kern w:val="44"/>
        </w:rPr>
        <w:t>技术交易当事人的合法权益受法律保护。</w:t>
      </w:r>
    </w:p>
    <w:p w14:paraId="3387D067">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市和区、县人民政府应当建设公平竞争、规范有序的技术市场环境。</w:t>
      </w:r>
    </w:p>
    <w:p w14:paraId="33DD177C">
      <w:pPr>
        <w:ind w:firstLine="422"/>
        <w:jc w:val="left"/>
        <w:rPr>
          <w:rFonts w:ascii="宋体" w:hAnsi="宋体"/>
          <w:kern w:val="44"/>
        </w:rPr>
      </w:pPr>
      <w:r>
        <w:rPr>
          <w:rFonts w:hint="eastAsia" w:ascii="宋体" w:hAnsi="宋体"/>
          <w:b/>
          <w:kern w:val="44"/>
        </w:rPr>
        <w:t>第六条</w:t>
      </w:r>
      <w:r>
        <w:rPr>
          <w:rFonts w:hint="eastAsia" w:ascii="宋体" w:hAnsi="宋体"/>
          <w:kern w:val="44"/>
        </w:rPr>
        <w:t>　市科学技术行政部门是本市技术市场的主管部门，北京技术市场管理办公室在市科学技术行政部门的领导下，具体负责技术市场的管理、监督工作。</w:t>
      </w:r>
    </w:p>
    <w:p w14:paraId="03A042DF">
      <w:pPr>
        <w:jc w:val="left"/>
        <w:rPr>
          <w:rFonts w:ascii="宋体" w:hAnsi="宋体"/>
          <w:kern w:val="44"/>
        </w:rPr>
      </w:pPr>
      <w:r>
        <w:rPr>
          <w:rFonts w:hint="eastAsia" w:ascii="宋体" w:hAnsi="宋体"/>
          <w:kern w:val="44"/>
        </w:rPr>
        <w:t>区、县科学技术行政部门按照管理权限负责本行政区域内的技术市场管理工作。</w:t>
      </w:r>
    </w:p>
    <w:p w14:paraId="24A47FF6">
      <w:pPr>
        <w:ind w:firstLine="422"/>
        <w:jc w:val="left"/>
        <w:rPr>
          <w:rFonts w:ascii="宋体" w:hAnsi="宋体"/>
          <w:kern w:val="44"/>
        </w:rPr>
      </w:pPr>
      <w:r>
        <w:rPr>
          <w:rFonts w:hint="eastAsia" w:ascii="宋体" w:hAnsi="宋体"/>
          <w:b/>
          <w:kern w:val="44"/>
        </w:rPr>
        <w:t>第七条</w:t>
      </w:r>
      <w:r>
        <w:rPr>
          <w:rFonts w:hint="eastAsia" w:ascii="宋体" w:hAnsi="宋体"/>
          <w:kern w:val="44"/>
        </w:rPr>
        <w:t>　市工商行政管理、技术监督、外经贸、财政、税务、物价、统计、审计、知识产权等部门，应当依据国家有关法律、法规和本条例的规定，按照各自的职责协同做好技术市场管理工作，在财政、税收等方面扶持技术市场的发展。</w:t>
      </w:r>
    </w:p>
    <w:p w14:paraId="1B235729">
      <w:pPr>
        <w:jc w:val="left"/>
        <w:rPr>
          <w:rFonts w:ascii="宋体" w:hAnsi="宋体"/>
          <w:kern w:val="44"/>
        </w:rPr>
      </w:pPr>
    </w:p>
    <w:p w14:paraId="2E27DBC3">
      <w:pPr>
        <w:ind w:firstLine="0" w:firstLineChars="0"/>
        <w:jc w:val="center"/>
        <w:rPr>
          <w:rFonts w:ascii="宋体" w:hAnsi="宋体"/>
          <w:b/>
          <w:kern w:val="44"/>
          <w:sz w:val="28"/>
        </w:rPr>
      </w:pPr>
      <w:r>
        <w:rPr>
          <w:rFonts w:hint="eastAsia" w:ascii="宋体" w:hAnsi="宋体"/>
          <w:b/>
          <w:kern w:val="44"/>
          <w:sz w:val="28"/>
        </w:rPr>
        <w:t>第二章　技术市场秩序</w:t>
      </w:r>
    </w:p>
    <w:p w14:paraId="47AFA67B">
      <w:pPr>
        <w:jc w:val="left"/>
        <w:rPr>
          <w:rFonts w:ascii="宋体" w:hAnsi="宋体"/>
          <w:kern w:val="44"/>
        </w:rPr>
      </w:pPr>
    </w:p>
    <w:p w14:paraId="2F410F19">
      <w:pPr>
        <w:ind w:firstLine="422"/>
        <w:jc w:val="left"/>
        <w:rPr>
          <w:rFonts w:ascii="宋体" w:hAnsi="宋体"/>
          <w:kern w:val="44"/>
        </w:rPr>
      </w:pPr>
      <w:r>
        <w:rPr>
          <w:rFonts w:hint="eastAsia" w:ascii="宋体" w:hAnsi="宋体"/>
          <w:b/>
          <w:kern w:val="44"/>
        </w:rPr>
        <w:t>第八条</w:t>
      </w:r>
      <w:r>
        <w:rPr>
          <w:rFonts w:hint="eastAsia" w:ascii="宋体" w:hAnsi="宋体"/>
          <w:kern w:val="44"/>
        </w:rPr>
        <w:t>　技术交易当事人应当依照《中华人民共和国合同法》的规定订立技术合同。技术合同的内容由当事人约定。</w:t>
      </w:r>
    </w:p>
    <w:p w14:paraId="3913E065">
      <w:pPr>
        <w:ind w:firstLine="422"/>
        <w:jc w:val="left"/>
        <w:rPr>
          <w:rFonts w:ascii="宋体" w:hAnsi="宋体"/>
          <w:kern w:val="44"/>
        </w:rPr>
      </w:pPr>
      <w:r>
        <w:rPr>
          <w:rFonts w:hint="eastAsia" w:ascii="宋体" w:hAnsi="宋体"/>
          <w:b/>
          <w:kern w:val="44"/>
        </w:rPr>
        <w:t>第九条</w:t>
      </w:r>
      <w:r>
        <w:rPr>
          <w:rFonts w:hint="eastAsia" w:ascii="宋体" w:hAnsi="宋体"/>
          <w:kern w:val="44"/>
        </w:rPr>
        <w:t>　在技术交易活动中，卖方应当是所提供技术的合法拥有者，并保证其所提供技术的真实性；中介方应当保证自己所提供技术信息的真实性及其来源的合法性；买方应当按照合同约定使用技术，支付费用。</w:t>
      </w:r>
    </w:p>
    <w:p w14:paraId="52FF025B">
      <w:pPr>
        <w:ind w:firstLine="422"/>
        <w:jc w:val="left"/>
        <w:rPr>
          <w:rFonts w:ascii="宋体" w:hAnsi="宋体"/>
          <w:kern w:val="44"/>
        </w:rPr>
      </w:pPr>
      <w:r>
        <w:rPr>
          <w:rFonts w:hint="eastAsia" w:ascii="宋体" w:hAnsi="宋体"/>
          <w:b/>
          <w:kern w:val="44"/>
        </w:rPr>
        <w:t>第十条</w:t>
      </w:r>
      <w:r>
        <w:rPr>
          <w:rFonts w:hint="eastAsia" w:ascii="宋体" w:hAnsi="宋体"/>
          <w:kern w:val="44"/>
        </w:rPr>
        <w:t>　在技术交易活动中，禁止下列行为：</w:t>
      </w:r>
    </w:p>
    <w:p w14:paraId="7217A65D">
      <w:pPr>
        <w:jc w:val="left"/>
        <w:rPr>
          <w:rFonts w:ascii="宋体" w:hAnsi="宋体"/>
          <w:kern w:val="44"/>
        </w:rPr>
      </w:pPr>
      <w:r>
        <w:rPr>
          <w:rFonts w:hint="eastAsia" w:ascii="宋体" w:hAnsi="宋体"/>
          <w:kern w:val="44"/>
        </w:rPr>
        <w:t>（一）非法垄断技术和妨碍技术进步的；</w:t>
      </w:r>
    </w:p>
    <w:p w14:paraId="5D29BEDD">
      <w:pPr>
        <w:jc w:val="left"/>
        <w:rPr>
          <w:rFonts w:ascii="宋体" w:hAnsi="宋体"/>
          <w:kern w:val="44"/>
        </w:rPr>
      </w:pPr>
      <w:r>
        <w:rPr>
          <w:rFonts w:hint="eastAsia" w:ascii="宋体" w:hAnsi="宋体"/>
          <w:kern w:val="44"/>
        </w:rPr>
        <w:t>（二）侵犯他人专利权、技术秘密以及其他科技成果权的；</w:t>
      </w:r>
    </w:p>
    <w:p w14:paraId="2A1AF8BF">
      <w:pPr>
        <w:jc w:val="left"/>
        <w:rPr>
          <w:rFonts w:ascii="宋体" w:hAnsi="宋体"/>
          <w:kern w:val="44"/>
        </w:rPr>
      </w:pPr>
      <w:r>
        <w:rPr>
          <w:rFonts w:hint="eastAsia" w:ascii="宋体" w:hAnsi="宋体"/>
          <w:kern w:val="44"/>
        </w:rPr>
        <w:t>（三）作虚假广告、宣传的；</w:t>
      </w:r>
    </w:p>
    <w:p w14:paraId="3F50B0BB">
      <w:pPr>
        <w:jc w:val="left"/>
        <w:rPr>
          <w:rFonts w:ascii="宋体" w:hAnsi="宋体"/>
          <w:kern w:val="44"/>
        </w:rPr>
      </w:pPr>
      <w:r>
        <w:rPr>
          <w:rFonts w:hint="eastAsia" w:ascii="宋体" w:hAnsi="宋体"/>
          <w:kern w:val="44"/>
        </w:rPr>
        <w:t>（四）串通投标的；</w:t>
      </w:r>
    </w:p>
    <w:p w14:paraId="0D8E2446">
      <w:pPr>
        <w:jc w:val="left"/>
        <w:rPr>
          <w:rFonts w:ascii="宋体" w:hAnsi="宋体"/>
          <w:kern w:val="44"/>
        </w:rPr>
      </w:pPr>
      <w:r>
        <w:rPr>
          <w:rFonts w:hint="eastAsia" w:ascii="宋体" w:hAnsi="宋体"/>
          <w:kern w:val="44"/>
        </w:rPr>
        <w:t>（五）以欺诈、胁迫等手段签订技术合同的；</w:t>
      </w:r>
    </w:p>
    <w:p w14:paraId="5CC5713D">
      <w:pPr>
        <w:jc w:val="left"/>
        <w:rPr>
          <w:rFonts w:ascii="宋体" w:hAnsi="宋体"/>
          <w:kern w:val="44"/>
        </w:rPr>
      </w:pPr>
      <w:r>
        <w:rPr>
          <w:rFonts w:hint="eastAsia" w:ascii="宋体" w:hAnsi="宋体"/>
          <w:kern w:val="44"/>
        </w:rPr>
        <w:t>（六）法律、法规禁止的其他行为。</w:t>
      </w:r>
    </w:p>
    <w:p w14:paraId="5A49164A">
      <w:pPr>
        <w:ind w:firstLine="422"/>
        <w:jc w:val="left"/>
        <w:rPr>
          <w:rFonts w:ascii="宋体" w:hAnsi="宋体"/>
          <w:kern w:val="44"/>
        </w:rPr>
      </w:pPr>
      <w:r>
        <w:rPr>
          <w:rFonts w:hint="eastAsia" w:ascii="宋体" w:hAnsi="宋体"/>
          <w:b/>
          <w:kern w:val="44"/>
        </w:rPr>
        <w:t>第十一条</w:t>
      </w:r>
      <w:r>
        <w:rPr>
          <w:rFonts w:hint="eastAsia" w:ascii="宋体" w:hAnsi="宋体"/>
          <w:kern w:val="44"/>
        </w:rPr>
        <w:t>　技术交易买卖双方可以直接交易，也可以通过中介方交易。</w:t>
      </w:r>
    </w:p>
    <w:p w14:paraId="627F229B">
      <w:pPr>
        <w:jc w:val="left"/>
        <w:rPr>
          <w:rFonts w:ascii="宋体" w:hAnsi="宋体"/>
          <w:kern w:val="44"/>
        </w:rPr>
      </w:pPr>
      <w:r>
        <w:rPr>
          <w:rFonts w:hint="eastAsia" w:ascii="宋体" w:hAnsi="宋体"/>
          <w:kern w:val="44"/>
        </w:rPr>
        <w:t>技术交易可以采取招标、投标、拍卖等方式进行。政府财政投入为主的科技计划项目适宜招标的，应当招标。</w:t>
      </w:r>
    </w:p>
    <w:p w14:paraId="7240E1B8">
      <w:pPr>
        <w:jc w:val="left"/>
        <w:rPr>
          <w:rFonts w:ascii="宋体" w:hAnsi="宋体"/>
          <w:kern w:val="44"/>
        </w:rPr>
      </w:pPr>
      <w:r>
        <w:rPr>
          <w:rFonts w:hint="eastAsia" w:ascii="宋体" w:hAnsi="宋体"/>
          <w:kern w:val="44"/>
        </w:rPr>
        <w:t>技术交易可以通过互联网进行。</w:t>
      </w:r>
    </w:p>
    <w:p w14:paraId="14532928">
      <w:pPr>
        <w:ind w:firstLine="422"/>
        <w:jc w:val="left"/>
        <w:rPr>
          <w:rFonts w:ascii="宋体" w:hAnsi="宋体"/>
          <w:kern w:val="44"/>
        </w:rPr>
      </w:pPr>
      <w:r>
        <w:rPr>
          <w:rFonts w:hint="eastAsia" w:ascii="宋体" w:hAnsi="宋体"/>
          <w:b/>
          <w:kern w:val="44"/>
        </w:rPr>
        <w:t>第十二条</w:t>
      </w:r>
      <w:r>
        <w:rPr>
          <w:rFonts w:hint="eastAsia" w:ascii="宋体" w:hAnsi="宋体"/>
          <w:kern w:val="44"/>
        </w:rPr>
        <w:t>　技术交易会的举办者不得作虚假宣传，非法牟利。</w:t>
      </w:r>
    </w:p>
    <w:p w14:paraId="2B3E962C">
      <w:pPr>
        <w:ind w:firstLine="422"/>
        <w:jc w:val="left"/>
        <w:rPr>
          <w:rFonts w:ascii="宋体" w:hAnsi="宋体"/>
          <w:kern w:val="44"/>
        </w:rPr>
      </w:pPr>
      <w:r>
        <w:rPr>
          <w:rFonts w:hint="eastAsia" w:ascii="宋体" w:hAnsi="宋体"/>
          <w:b/>
          <w:kern w:val="44"/>
        </w:rPr>
        <w:t>第十三条</w:t>
      </w:r>
      <w:r>
        <w:rPr>
          <w:rFonts w:hint="eastAsia" w:ascii="宋体" w:hAnsi="宋体"/>
          <w:kern w:val="44"/>
        </w:rPr>
        <w:t>　经营、发布技术交易广告，经营者或者发布者应当查验广告内容是否与有关的技术文件、技术鉴定证书等证明材料一致，不得设计、制作、代理和发布内容不实、证明文件不全的广告。</w:t>
      </w:r>
    </w:p>
    <w:p w14:paraId="5F03E146">
      <w:pPr>
        <w:jc w:val="left"/>
        <w:rPr>
          <w:rFonts w:ascii="宋体" w:hAnsi="宋体"/>
          <w:kern w:val="44"/>
        </w:rPr>
      </w:pPr>
    </w:p>
    <w:p w14:paraId="76C914E0">
      <w:pPr>
        <w:ind w:firstLine="0" w:firstLineChars="0"/>
        <w:jc w:val="center"/>
        <w:rPr>
          <w:rFonts w:ascii="宋体" w:hAnsi="宋体"/>
          <w:b/>
          <w:kern w:val="44"/>
          <w:sz w:val="28"/>
        </w:rPr>
      </w:pPr>
      <w:r>
        <w:rPr>
          <w:rFonts w:hint="eastAsia" w:ascii="宋体" w:hAnsi="宋体"/>
          <w:b/>
          <w:kern w:val="44"/>
          <w:sz w:val="28"/>
        </w:rPr>
        <w:t>第三章　技术市场服务</w:t>
      </w:r>
    </w:p>
    <w:p w14:paraId="6F7F30D2">
      <w:pPr>
        <w:jc w:val="left"/>
        <w:rPr>
          <w:rFonts w:ascii="宋体" w:hAnsi="宋体"/>
          <w:kern w:val="44"/>
        </w:rPr>
      </w:pPr>
    </w:p>
    <w:p w14:paraId="38C939DE">
      <w:pPr>
        <w:ind w:firstLine="422"/>
        <w:jc w:val="left"/>
        <w:rPr>
          <w:rFonts w:ascii="宋体" w:hAnsi="宋体"/>
          <w:kern w:val="44"/>
        </w:rPr>
      </w:pPr>
      <w:r>
        <w:rPr>
          <w:rFonts w:hint="eastAsia" w:ascii="宋体" w:hAnsi="宋体"/>
          <w:b/>
          <w:kern w:val="44"/>
        </w:rPr>
        <w:t>第十四条</w:t>
      </w:r>
      <w:r>
        <w:rPr>
          <w:rFonts w:hint="eastAsia" w:ascii="宋体" w:hAnsi="宋体"/>
          <w:kern w:val="44"/>
        </w:rPr>
        <w:t>　本市建立和完善专业化、社会化和网络化的技术交易服务体系。</w:t>
      </w:r>
    </w:p>
    <w:p w14:paraId="4BE0ED28">
      <w:pPr>
        <w:jc w:val="left"/>
        <w:rPr>
          <w:rFonts w:ascii="宋体" w:hAnsi="宋体"/>
          <w:kern w:val="44"/>
        </w:rPr>
      </w:pPr>
      <w:r>
        <w:rPr>
          <w:rFonts w:hint="eastAsia" w:ascii="宋体" w:hAnsi="宋体"/>
          <w:kern w:val="44"/>
        </w:rPr>
        <w:t>鼓励兴办各类技术交易中介服务机构，为技术交易提供场所、技术信息、技术论证、技术评估、技术经纪、技术产权交易、技术招标代理等服务。</w:t>
      </w:r>
    </w:p>
    <w:p w14:paraId="74A97727">
      <w:pPr>
        <w:ind w:firstLine="422"/>
        <w:jc w:val="left"/>
        <w:rPr>
          <w:rFonts w:ascii="宋体" w:hAnsi="宋体"/>
          <w:kern w:val="44"/>
        </w:rPr>
      </w:pPr>
      <w:r>
        <w:rPr>
          <w:rFonts w:hint="eastAsia" w:ascii="宋体" w:hAnsi="宋体"/>
          <w:b/>
          <w:kern w:val="44"/>
        </w:rPr>
        <w:t>第十五条</w:t>
      </w:r>
      <w:r>
        <w:rPr>
          <w:rFonts w:hint="eastAsia" w:ascii="宋体" w:hAnsi="宋体"/>
          <w:kern w:val="44"/>
        </w:rPr>
        <w:t>　技术交易中介服务机构应当依法注册或者登记，国家对资质另有规定的，从其规定。</w:t>
      </w:r>
    </w:p>
    <w:p w14:paraId="3E3CF466">
      <w:pPr>
        <w:jc w:val="left"/>
        <w:rPr>
          <w:rFonts w:ascii="宋体" w:hAnsi="宋体"/>
          <w:kern w:val="44"/>
        </w:rPr>
      </w:pPr>
      <w:r>
        <w:rPr>
          <w:rFonts w:hint="eastAsia" w:ascii="宋体" w:hAnsi="宋体"/>
          <w:kern w:val="44"/>
        </w:rPr>
        <w:t>技术交易中介服务机构应当遵循诚实信用原则，依照法律、法规以及行业规范开展技术交易服务活动。</w:t>
      </w:r>
    </w:p>
    <w:p w14:paraId="2439CC18">
      <w:pPr>
        <w:ind w:firstLine="422"/>
        <w:jc w:val="left"/>
        <w:rPr>
          <w:rFonts w:ascii="宋体" w:hAnsi="宋体"/>
          <w:kern w:val="44"/>
        </w:rPr>
      </w:pPr>
      <w:r>
        <w:rPr>
          <w:rFonts w:hint="eastAsia" w:ascii="宋体" w:hAnsi="宋体"/>
          <w:b/>
          <w:kern w:val="44"/>
        </w:rPr>
        <w:t>第十六条</w:t>
      </w:r>
      <w:r>
        <w:rPr>
          <w:rFonts w:hint="eastAsia" w:ascii="宋体" w:hAnsi="宋体"/>
          <w:kern w:val="44"/>
        </w:rPr>
        <w:t>　技术经纪人在经纪活动中应当将定约机会和交易情况如实、及时地提供给当事人各方，真实反映当事人各方的履约能力、知识产权情况，按照约定为当事人保守商业秘密，协调技术合同的全面履行。</w:t>
      </w:r>
    </w:p>
    <w:p w14:paraId="4A9CE2E4">
      <w:pPr>
        <w:jc w:val="left"/>
        <w:rPr>
          <w:rFonts w:ascii="宋体" w:hAnsi="宋体"/>
          <w:kern w:val="44"/>
        </w:rPr>
      </w:pPr>
      <w:r>
        <w:rPr>
          <w:rFonts w:hint="eastAsia" w:ascii="宋体" w:hAnsi="宋体"/>
          <w:kern w:val="44"/>
        </w:rPr>
        <w:t>本条例所称的技术经纪人是指为促成他人技术交易而从事中介居间、行纪或者代理活动，并取得合理佣金的自然人、法人和其他经济组织。</w:t>
      </w:r>
    </w:p>
    <w:p w14:paraId="665C939E">
      <w:pPr>
        <w:ind w:firstLine="422"/>
        <w:jc w:val="left"/>
        <w:rPr>
          <w:rFonts w:ascii="宋体" w:hAnsi="宋体"/>
          <w:kern w:val="44"/>
        </w:rPr>
      </w:pPr>
      <w:r>
        <w:rPr>
          <w:rFonts w:hint="eastAsia" w:ascii="宋体" w:hAnsi="宋体"/>
          <w:b/>
          <w:kern w:val="44"/>
        </w:rPr>
        <w:t>第十七条</w:t>
      </w:r>
      <w:r>
        <w:rPr>
          <w:rFonts w:hint="eastAsia" w:ascii="宋体" w:hAnsi="宋体"/>
          <w:kern w:val="44"/>
        </w:rPr>
        <w:t>　从事技术经纪业务的人员应当经过培训，由市科学技术行政部门和工商行政部门考核，并取得技术经纪资格证书。</w:t>
      </w:r>
    </w:p>
    <w:p w14:paraId="07F0F577">
      <w:pPr>
        <w:jc w:val="left"/>
        <w:rPr>
          <w:rFonts w:ascii="宋体" w:hAnsi="宋体"/>
          <w:kern w:val="44"/>
        </w:rPr>
      </w:pPr>
      <w:r>
        <w:rPr>
          <w:rFonts w:hint="eastAsia" w:ascii="宋体" w:hAnsi="宋体"/>
          <w:kern w:val="44"/>
        </w:rPr>
        <w:t>从事技术经纪业务的机构，应当有符合规定数量的具有技术经纪从业资格的专职人员，并按照国家规定办理相关手续。</w:t>
      </w:r>
    </w:p>
    <w:p w14:paraId="69A5A013">
      <w:pPr>
        <w:ind w:firstLine="422"/>
        <w:jc w:val="left"/>
        <w:rPr>
          <w:rFonts w:ascii="宋体" w:hAnsi="宋体"/>
          <w:kern w:val="44"/>
        </w:rPr>
      </w:pPr>
      <w:r>
        <w:rPr>
          <w:rFonts w:hint="eastAsia" w:ascii="宋体" w:hAnsi="宋体"/>
          <w:b/>
          <w:kern w:val="44"/>
        </w:rPr>
        <w:t>第十八条</w:t>
      </w:r>
      <w:r>
        <w:rPr>
          <w:rFonts w:hint="eastAsia" w:ascii="宋体" w:hAnsi="宋体"/>
          <w:kern w:val="44"/>
        </w:rPr>
        <w:t>　本市设立技术产权交易机构，依法开展技术成果入股、高新技术企业产权转让、高新技术企业的增资扩股以及含有技术参与的并购业务，促进技术成果与资本的结合。</w:t>
      </w:r>
    </w:p>
    <w:p w14:paraId="791CE12E">
      <w:pPr>
        <w:ind w:firstLine="422"/>
        <w:jc w:val="left"/>
        <w:rPr>
          <w:rFonts w:ascii="宋体" w:hAnsi="宋体"/>
          <w:kern w:val="44"/>
        </w:rPr>
      </w:pPr>
      <w:r>
        <w:rPr>
          <w:rFonts w:hint="eastAsia" w:ascii="宋体" w:hAnsi="宋体"/>
          <w:b/>
          <w:kern w:val="44"/>
        </w:rPr>
        <w:t>第十九条</w:t>
      </w:r>
      <w:r>
        <w:rPr>
          <w:rFonts w:hint="eastAsia" w:ascii="宋体" w:hAnsi="宋体"/>
          <w:kern w:val="44"/>
        </w:rPr>
        <w:t>　技术市场各类同业协会应当依据协会章程开展活动，并对会员进行职业道德、行为规范以及执业技能等自律性管理，提供技术交易信用服务，定期公布技术交易当事人的信誉信息。</w:t>
      </w:r>
    </w:p>
    <w:p w14:paraId="0C4238A4">
      <w:pPr>
        <w:ind w:firstLine="422"/>
        <w:jc w:val="left"/>
        <w:rPr>
          <w:rFonts w:ascii="宋体" w:hAnsi="宋体"/>
          <w:kern w:val="44"/>
        </w:rPr>
      </w:pPr>
      <w:r>
        <w:rPr>
          <w:rFonts w:hint="eastAsia" w:ascii="宋体" w:hAnsi="宋体"/>
          <w:b/>
          <w:kern w:val="44"/>
        </w:rPr>
        <w:t>第二十条</w:t>
      </w:r>
      <w:r>
        <w:rPr>
          <w:rFonts w:hint="eastAsia" w:ascii="宋体" w:hAnsi="宋体"/>
          <w:kern w:val="44"/>
        </w:rPr>
        <w:t>　市科学技术行政部门应当建设技术市场信息网络平台，收集、发布技术成果供求信息，拓宽信息渠道，实现技术交易信息资源共享。</w:t>
      </w:r>
    </w:p>
    <w:p w14:paraId="73C7DB22">
      <w:pPr>
        <w:spacing w:line="300" w:lineRule="exact"/>
        <w:jc w:val="left"/>
        <w:rPr>
          <w:rFonts w:ascii="宋体" w:hAnsi="宋体"/>
          <w:kern w:val="44"/>
        </w:rPr>
      </w:pPr>
    </w:p>
    <w:p w14:paraId="61317BC5">
      <w:pPr>
        <w:ind w:firstLine="0" w:firstLineChars="0"/>
        <w:jc w:val="center"/>
        <w:rPr>
          <w:rFonts w:ascii="宋体" w:hAnsi="宋体"/>
          <w:b/>
          <w:kern w:val="44"/>
          <w:sz w:val="28"/>
        </w:rPr>
      </w:pPr>
      <w:r>
        <w:rPr>
          <w:rFonts w:hint="eastAsia" w:ascii="宋体" w:hAnsi="宋体"/>
          <w:b/>
          <w:kern w:val="44"/>
          <w:sz w:val="28"/>
        </w:rPr>
        <w:t>第四章　促进与保障</w:t>
      </w:r>
    </w:p>
    <w:p w14:paraId="2DD68C7A">
      <w:pPr>
        <w:spacing w:line="300" w:lineRule="exact"/>
        <w:jc w:val="left"/>
        <w:rPr>
          <w:rFonts w:ascii="宋体" w:hAnsi="宋体"/>
          <w:kern w:val="44"/>
        </w:rPr>
      </w:pPr>
    </w:p>
    <w:p w14:paraId="76E4A6BF">
      <w:pPr>
        <w:ind w:firstLine="422"/>
        <w:jc w:val="left"/>
        <w:rPr>
          <w:rFonts w:ascii="宋体" w:hAnsi="宋体"/>
          <w:kern w:val="44"/>
        </w:rPr>
      </w:pPr>
      <w:r>
        <w:rPr>
          <w:rFonts w:hint="eastAsia" w:ascii="宋体" w:hAnsi="宋体"/>
          <w:b/>
          <w:kern w:val="44"/>
        </w:rPr>
        <w:t>第二十一条</w:t>
      </w:r>
      <w:r>
        <w:rPr>
          <w:rFonts w:hint="eastAsia" w:ascii="宋体" w:hAnsi="宋体"/>
          <w:kern w:val="44"/>
        </w:rPr>
        <w:t>　技术合同经认定登记，当事人可以按照国家和本市的规定享受优惠政策。</w:t>
      </w:r>
    </w:p>
    <w:p w14:paraId="1533B67F">
      <w:pPr>
        <w:jc w:val="left"/>
        <w:rPr>
          <w:rFonts w:ascii="宋体" w:hAnsi="宋体"/>
          <w:kern w:val="44"/>
        </w:rPr>
      </w:pPr>
      <w:r>
        <w:rPr>
          <w:rFonts w:hint="eastAsia" w:ascii="宋体" w:hAnsi="宋体"/>
          <w:kern w:val="44"/>
        </w:rPr>
        <w:t>从境外引进技术所订立的合同，当事人凭外经贸部门出具的技术转让合同批准文件，可以按照国家的规定享受税收优惠政策。</w:t>
      </w:r>
    </w:p>
    <w:p w14:paraId="127F3FBD">
      <w:pPr>
        <w:ind w:firstLine="422"/>
        <w:jc w:val="left"/>
        <w:rPr>
          <w:rFonts w:ascii="宋体" w:hAnsi="宋体"/>
          <w:kern w:val="44"/>
        </w:rPr>
      </w:pPr>
      <w:r>
        <w:rPr>
          <w:rFonts w:hint="eastAsia" w:ascii="宋体" w:hAnsi="宋体"/>
          <w:b/>
          <w:kern w:val="44"/>
        </w:rPr>
        <w:t>第二十二条</w:t>
      </w:r>
      <w:r>
        <w:rPr>
          <w:rFonts w:hint="eastAsia" w:ascii="宋体" w:hAnsi="宋体"/>
          <w:kern w:val="44"/>
        </w:rPr>
        <w:t>　技术合同生效后，技术交易的卖方、中介方可以向技术合同登记机构申请认定登记。申请技术合同认定登记应当提供真实、完整的中文书面技术合同文本和相关附件。技术合同登记机构应当在受理认定登记申请之日起30日内，依照有关规定予以认定登记。当事人对不予认定登记有异议的，可以向北京技术市场管理办公室申请复核。</w:t>
      </w:r>
    </w:p>
    <w:p w14:paraId="7A0A933C">
      <w:pPr>
        <w:jc w:val="left"/>
        <w:rPr>
          <w:rFonts w:ascii="宋体" w:hAnsi="宋体"/>
          <w:kern w:val="44"/>
        </w:rPr>
      </w:pPr>
      <w:r>
        <w:rPr>
          <w:rFonts w:hint="eastAsia" w:ascii="宋体" w:hAnsi="宋体"/>
          <w:kern w:val="44"/>
        </w:rPr>
        <w:t>以数据电文形式订立的技术合同，当事人申请认定登记的，应当出具纸介形式的合同文本。</w:t>
      </w:r>
    </w:p>
    <w:p w14:paraId="50DFA188">
      <w:pPr>
        <w:jc w:val="left"/>
        <w:rPr>
          <w:rFonts w:ascii="宋体" w:hAnsi="宋体"/>
          <w:kern w:val="44"/>
        </w:rPr>
      </w:pPr>
      <w:r>
        <w:rPr>
          <w:rFonts w:hint="eastAsia" w:ascii="宋体" w:hAnsi="宋体"/>
          <w:kern w:val="44"/>
        </w:rPr>
        <w:t>同一项技术合同不得重复登记。</w:t>
      </w:r>
    </w:p>
    <w:p w14:paraId="6CEDE81E">
      <w:pPr>
        <w:ind w:firstLine="422"/>
        <w:jc w:val="left"/>
        <w:rPr>
          <w:rFonts w:ascii="宋体" w:hAnsi="宋体"/>
          <w:kern w:val="44"/>
        </w:rPr>
      </w:pPr>
      <w:r>
        <w:rPr>
          <w:rFonts w:hint="eastAsia" w:ascii="宋体" w:hAnsi="宋体"/>
          <w:b/>
          <w:kern w:val="44"/>
        </w:rPr>
        <w:t>第二十三条</w:t>
      </w:r>
      <w:r>
        <w:rPr>
          <w:rFonts w:hint="eastAsia" w:ascii="宋体" w:hAnsi="宋体"/>
          <w:kern w:val="44"/>
        </w:rPr>
        <w:t>　以技术入股方式订立的合同，可以按照技术转让合同认定登记。</w:t>
      </w:r>
    </w:p>
    <w:p w14:paraId="1A71AD66">
      <w:pPr>
        <w:jc w:val="left"/>
        <w:rPr>
          <w:rFonts w:ascii="宋体" w:hAnsi="宋体"/>
          <w:kern w:val="44"/>
        </w:rPr>
      </w:pPr>
      <w:r>
        <w:rPr>
          <w:rFonts w:hint="eastAsia" w:ascii="宋体" w:hAnsi="宋体"/>
          <w:kern w:val="44"/>
        </w:rPr>
        <w:t>以技术开发、技术转让、技术咨询、技术服务为内容的技术承包和技术产权交易合同，可以根据合同内容确定合同的类型，予以认定登记。</w:t>
      </w:r>
    </w:p>
    <w:p w14:paraId="7DFC987D">
      <w:pPr>
        <w:ind w:firstLine="422"/>
        <w:jc w:val="left"/>
        <w:rPr>
          <w:rFonts w:ascii="宋体" w:hAnsi="宋体"/>
          <w:kern w:val="44"/>
        </w:rPr>
      </w:pPr>
      <w:r>
        <w:rPr>
          <w:rFonts w:hint="eastAsia" w:ascii="宋体" w:hAnsi="宋体"/>
          <w:b/>
          <w:kern w:val="44"/>
        </w:rPr>
        <w:t>第二十四条</w:t>
      </w:r>
      <w:r>
        <w:rPr>
          <w:rFonts w:hint="eastAsia" w:ascii="宋体" w:hAnsi="宋体"/>
          <w:kern w:val="44"/>
        </w:rPr>
        <w:t>　以技术成果作价出资的，其作价金额可以由交易双方协商约定。但法律或者行政法规另有规定的，从其规定。</w:t>
      </w:r>
    </w:p>
    <w:p w14:paraId="20FA48AD">
      <w:pPr>
        <w:ind w:firstLine="422"/>
        <w:jc w:val="left"/>
        <w:rPr>
          <w:rFonts w:ascii="宋体" w:hAnsi="宋体"/>
          <w:kern w:val="44"/>
        </w:rPr>
      </w:pPr>
      <w:r>
        <w:rPr>
          <w:rFonts w:hint="eastAsia" w:ascii="宋体" w:hAnsi="宋体"/>
          <w:b/>
          <w:kern w:val="44"/>
        </w:rPr>
        <w:t>第二十五条</w:t>
      </w:r>
      <w:r>
        <w:rPr>
          <w:rFonts w:hint="eastAsia" w:ascii="宋体" w:hAnsi="宋体"/>
          <w:kern w:val="44"/>
        </w:rPr>
        <w:t>　技术交易当事人持技术合同登记机构的登记证明，向主管财政、税务部门提出申请，经审核批准，其技术交易的收入享受国家规定的税收优惠政策。</w:t>
      </w:r>
    </w:p>
    <w:p w14:paraId="561B2446">
      <w:pPr>
        <w:ind w:firstLine="422"/>
        <w:jc w:val="left"/>
        <w:rPr>
          <w:rFonts w:ascii="宋体" w:hAnsi="宋体"/>
          <w:kern w:val="44"/>
        </w:rPr>
      </w:pPr>
      <w:r>
        <w:rPr>
          <w:rFonts w:hint="eastAsia" w:ascii="宋体" w:hAnsi="宋体"/>
          <w:b/>
          <w:kern w:val="44"/>
        </w:rPr>
        <w:t>第二十六条</w:t>
      </w:r>
      <w:r>
        <w:rPr>
          <w:rFonts w:hint="eastAsia" w:ascii="宋体" w:hAnsi="宋体"/>
          <w:kern w:val="44"/>
        </w:rPr>
        <w:t>　从事与技术开发、技术转让相关的技术中介服务的收入，经认定，可以视同技术开发、技术转让收入对待，享受国家及本市规定的优惠政策。</w:t>
      </w:r>
    </w:p>
    <w:p w14:paraId="704FA85E">
      <w:pPr>
        <w:ind w:firstLine="422"/>
        <w:jc w:val="left"/>
        <w:rPr>
          <w:rFonts w:ascii="宋体" w:hAnsi="宋体"/>
          <w:kern w:val="44"/>
        </w:rPr>
      </w:pPr>
      <w:r>
        <w:rPr>
          <w:rFonts w:hint="eastAsia" w:ascii="宋体" w:hAnsi="宋体"/>
          <w:b/>
          <w:kern w:val="44"/>
        </w:rPr>
        <w:t>第二十七条</w:t>
      </w:r>
      <w:r>
        <w:rPr>
          <w:rFonts w:hint="eastAsia" w:ascii="宋体" w:hAnsi="宋体"/>
          <w:kern w:val="44"/>
        </w:rPr>
        <w:t>　经认定登记的技术合同，属于职务技术成果的，卖方应当从技术交易的净收入中提取不低于20％的比例，奖励直接参加技术研究、开发、咨询和服务的人员。</w:t>
      </w:r>
    </w:p>
    <w:p w14:paraId="365026CB">
      <w:pPr>
        <w:jc w:val="left"/>
        <w:rPr>
          <w:rFonts w:ascii="宋体" w:hAnsi="宋体"/>
          <w:kern w:val="44"/>
        </w:rPr>
      </w:pPr>
      <w:r>
        <w:rPr>
          <w:rFonts w:hint="eastAsia" w:ascii="宋体" w:hAnsi="宋体"/>
          <w:kern w:val="44"/>
        </w:rPr>
        <w:t>经认定登记的技术合同，买方可以在实施该项技术的新增收益中提取一定比例，奖励为实施技术做出重要贡献的人员。</w:t>
      </w:r>
    </w:p>
    <w:p w14:paraId="2ECED270">
      <w:pPr>
        <w:jc w:val="left"/>
        <w:rPr>
          <w:rFonts w:ascii="宋体" w:hAnsi="宋体"/>
          <w:kern w:val="44"/>
        </w:rPr>
      </w:pPr>
      <w:r>
        <w:rPr>
          <w:rFonts w:hint="eastAsia" w:ascii="宋体" w:hAnsi="宋体"/>
          <w:kern w:val="44"/>
        </w:rPr>
        <w:t>奖励费用按照国家和本市有关规定列支，凭技术合同登记机构的登记证明和本单位出具的证明到单位基本</w:t>
      </w:r>
      <w:r>
        <w:rPr>
          <w:rFonts w:hint="eastAsia" w:ascii="宋体" w:hAnsi="宋体"/>
          <w:kern w:val="44"/>
          <w:lang w:eastAsia="zh-CN"/>
        </w:rPr>
        <w:t>账户</w:t>
      </w:r>
      <w:r>
        <w:rPr>
          <w:rFonts w:hint="eastAsia" w:ascii="宋体" w:hAnsi="宋体"/>
          <w:kern w:val="44"/>
        </w:rPr>
        <w:t>银行提取现金。</w:t>
      </w:r>
    </w:p>
    <w:p w14:paraId="38DE3A1E">
      <w:pPr>
        <w:ind w:firstLine="422"/>
        <w:jc w:val="left"/>
        <w:rPr>
          <w:rFonts w:ascii="宋体" w:hAnsi="宋体"/>
          <w:kern w:val="44"/>
        </w:rPr>
      </w:pPr>
      <w:r>
        <w:rPr>
          <w:rFonts w:hint="eastAsia" w:ascii="宋体" w:hAnsi="宋体"/>
          <w:b/>
          <w:kern w:val="44"/>
        </w:rPr>
        <w:t>第二十八条</w:t>
      </w:r>
      <w:r>
        <w:rPr>
          <w:rFonts w:hint="eastAsia" w:ascii="宋体" w:hAnsi="宋体"/>
          <w:kern w:val="44"/>
        </w:rPr>
        <w:t>　经认定登记的技术合同，其中卖方、中介方是自然人的，其个人所得由技术合同登记机构按照劳务报酬所得或者特许权使用费所得，依法代扣、代缴个人所得税。</w:t>
      </w:r>
    </w:p>
    <w:p w14:paraId="38E16B8D">
      <w:pPr>
        <w:ind w:firstLine="422"/>
        <w:jc w:val="left"/>
        <w:rPr>
          <w:rFonts w:ascii="宋体" w:hAnsi="宋体"/>
          <w:kern w:val="44"/>
        </w:rPr>
      </w:pPr>
      <w:r>
        <w:rPr>
          <w:rFonts w:hint="eastAsia" w:ascii="宋体" w:hAnsi="宋体"/>
          <w:b/>
          <w:kern w:val="44"/>
        </w:rPr>
        <w:t>第二十九条</w:t>
      </w:r>
      <w:r>
        <w:rPr>
          <w:rFonts w:hint="eastAsia" w:ascii="宋体" w:hAnsi="宋体"/>
          <w:kern w:val="44"/>
        </w:rPr>
        <w:t>　企业单位支付的技术价款、报酬、使用费或者佣金，可以按照国家有关规定摊入成本。</w:t>
      </w:r>
    </w:p>
    <w:p w14:paraId="3784672C">
      <w:pPr>
        <w:jc w:val="left"/>
        <w:rPr>
          <w:rFonts w:ascii="宋体" w:hAnsi="宋体"/>
          <w:kern w:val="44"/>
        </w:rPr>
      </w:pPr>
      <w:r>
        <w:rPr>
          <w:rFonts w:hint="eastAsia" w:ascii="宋体" w:hAnsi="宋体"/>
          <w:kern w:val="44"/>
        </w:rPr>
        <w:t>事业单位支付的技术价款、报酬、使用费或者佣金，可以按照国家有关规定在事业费中列支。</w:t>
      </w:r>
    </w:p>
    <w:p w14:paraId="58567870">
      <w:pPr>
        <w:ind w:firstLine="422"/>
        <w:jc w:val="left"/>
        <w:rPr>
          <w:rFonts w:ascii="宋体" w:hAnsi="宋体"/>
          <w:kern w:val="44"/>
        </w:rPr>
      </w:pPr>
      <w:r>
        <w:rPr>
          <w:rFonts w:hint="eastAsia" w:ascii="宋体" w:hAnsi="宋体"/>
          <w:b/>
          <w:kern w:val="44"/>
        </w:rPr>
        <w:t>第三十条</w:t>
      </w:r>
      <w:r>
        <w:rPr>
          <w:rFonts w:hint="eastAsia" w:ascii="宋体" w:hAnsi="宋体"/>
          <w:kern w:val="44"/>
        </w:rPr>
        <w:t>　技术合同登记机构由市科学技术行政部门批准设立和撤销，并予以公布。</w:t>
      </w:r>
    </w:p>
    <w:p w14:paraId="6063C6E9">
      <w:pPr>
        <w:jc w:val="left"/>
        <w:rPr>
          <w:rFonts w:ascii="宋体" w:hAnsi="宋体"/>
          <w:kern w:val="44"/>
        </w:rPr>
      </w:pPr>
      <w:r>
        <w:rPr>
          <w:rFonts w:hint="eastAsia" w:ascii="宋体" w:hAnsi="宋体"/>
          <w:kern w:val="44"/>
        </w:rPr>
        <w:t>技术合同登记机构及其工作人员对涉及国家秘密及当事人商业秘密的技术合同，应当承担保密义务。</w:t>
      </w:r>
    </w:p>
    <w:p w14:paraId="1715F73C">
      <w:pPr>
        <w:jc w:val="left"/>
        <w:rPr>
          <w:rFonts w:ascii="宋体" w:hAnsi="宋体"/>
          <w:kern w:val="44"/>
        </w:rPr>
      </w:pPr>
      <w:r>
        <w:rPr>
          <w:rFonts w:hint="eastAsia" w:ascii="宋体" w:hAnsi="宋体"/>
          <w:kern w:val="44"/>
        </w:rPr>
        <w:t>技术合同登记机构应当按照规定上报有关统计数据。</w:t>
      </w:r>
    </w:p>
    <w:p w14:paraId="4957365A">
      <w:pPr>
        <w:jc w:val="left"/>
        <w:rPr>
          <w:rFonts w:ascii="宋体" w:hAnsi="宋体"/>
          <w:kern w:val="44"/>
        </w:rPr>
      </w:pPr>
      <w:r>
        <w:rPr>
          <w:rFonts w:hint="eastAsia" w:ascii="宋体" w:hAnsi="宋体"/>
          <w:kern w:val="44"/>
        </w:rPr>
        <w:t>技术合同登记机构不得从事经营活动。</w:t>
      </w:r>
    </w:p>
    <w:p w14:paraId="51C60DEA">
      <w:pPr>
        <w:ind w:firstLine="422"/>
        <w:jc w:val="left"/>
        <w:rPr>
          <w:rFonts w:ascii="宋体" w:hAnsi="宋体"/>
          <w:kern w:val="44"/>
        </w:rPr>
      </w:pPr>
      <w:r>
        <w:rPr>
          <w:rFonts w:hint="eastAsia" w:ascii="宋体" w:hAnsi="宋体"/>
          <w:b/>
          <w:kern w:val="44"/>
        </w:rPr>
        <w:t>第三十一条</w:t>
      </w:r>
      <w:r>
        <w:rPr>
          <w:rFonts w:hint="eastAsia" w:ascii="宋体" w:hAnsi="宋体"/>
          <w:kern w:val="44"/>
        </w:rPr>
        <w:t>　技术合同登记机构应当按照规定的项目、范围和标准收费，并予以公开。</w:t>
      </w:r>
    </w:p>
    <w:p w14:paraId="2F432C10">
      <w:pPr>
        <w:jc w:val="left"/>
        <w:rPr>
          <w:rFonts w:ascii="宋体" w:hAnsi="宋体"/>
          <w:kern w:val="44"/>
        </w:rPr>
      </w:pPr>
      <w:r>
        <w:rPr>
          <w:rFonts w:hint="eastAsia" w:ascii="宋体" w:hAnsi="宋体"/>
          <w:kern w:val="44"/>
        </w:rPr>
        <w:t>对超范围、超标准的收费，当事人有权拒绝缴纳，并可以向科学技术行政部门举报。</w:t>
      </w:r>
    </w:p>
    <w:p w14:paraId="6294FD3E">
      <w:pPr>
        <w:ind w:firstLine="422"/>
        <w:jc w:val="left"/>
        <w:rPr>
          <w:rFonts w:ascii="宋体" w:hAnsi="宋体"/>
          <w:kern w:val="44"/>
        </w:rPr>
      </w:pPr>
      <w:r>
        <w:rPr>
          <w:rFonts w:hint="eastAsia" w:ascii="宋体" w:hAnsi="宋体"/>
          <w:b/>
          <w:kern w:val="44"/>
        </w:rPr>
        <w:t>第三十二条</w:t>
      </w:r>
      <w:r>
        <w:rPr>
          <w:rFonts w:hint="eastAsia" w:ascii="宋体" w:hAnsi="宋体"/>
          <w:kern w:val="44"/>
        </w:rPr>
        <w:t>　市科学技术行政部门应当定期进行技术市场的统计和分析，为政府制定政策提供依据。</w:t>
      </w:r>
    </w:p>
    <w:p w14:paraId="5A4897A0">
      <w:pPr>
        <w:ind w:firstLine="422"/>
        <w:jc w:val="left"/>
        <w:rPr>
          <w:rFonts w:ascii="宋体" w:hAnsi="宋体"/>
          <w:kern w:val="44"/>
        </w:rPr>
      </w:pPr>
      <w:r>
        <w:rPr>
          <w:rFonts w:hint="eastAsia" w:ascii="宋体" w:hAnsi="宋体"/>
          <w:b/>
          <w:kern w:val="44"/>
        </w:rPr>
        <w:t>第三十三条</w:t>
      </w:r>
      <w:r>
        <w:rPr>
          <w:rFonts w:hint="eastAsia" w:ascii="宋体" w:hAnsi="宋体"/>
          <w:kern w:val="44"/>
        </w:rPr>
        <w:t>　市科学技术行政部门应当安排专项资金，用于组织技术交流、交易活动和技术市场的基础性建设，以及技术市场的宣传、培训、理论研究和法制建设，支持技术市场发展。</w:t>
      </w:r>
    </w:p>
    <w:p w14:paraId="13008F46">
      <w:pPr>
        <w:jc w:val="left"/>
        <w:rPr>
          <w:rFonts w:ascii="宋体" w:hAnsi="宋体"/>
          <w:kern w:val="44"/>
        </w:rPr>
      </w:pPr>
    </w:p>
    <w:p w14:paraId="682C1587">
      <w:pPr>
        <w:ind w:firstLine="0" w:firstLineChars="0"/>
        <w:jc w:val="center"/>
        <w:rPr>
          <w:rFonts w:ascii="宋体" w:hAnsi="宋体"/>
          <w:b/>
          <w:kern w:val="44"/>
          <w:sz w:val="28"/>
        </w:rPr>
      </w:pPr>
      <w:r>
        <w:rPr>
          <w:rFonts w:hint="eastAsia" w:ascii="宋体" w:hAnsi="宋体"/>
          <w:b/>
          <w:kern w:val="44"/>
          <w:sz w:val="28"/>
        </w:rPr>
        <w:t>第五章　法律责任</w:t>
      </w:r>
    </w:p>
    <w:p w14:paraId="248CC767">
      <w:pPr>
        <w:jc w:val="left"/>
        <w:rPr>
          <w:rFonts w:ascii="宋体" w:hAnsi="宋体"/>
          <w:kern w:val="44"/>
        </w:rPr>
      </w:pPr>
    </w:p>
    <w:p w14:paraId="6582D1E4">
      <w:pPr>
        <w:ind w:firstLine="422"/>
        <w:jc w:val="left"/>
        <w:rPr>
          <w:rFonts w:ascii="宋体" w:hAnsi="宋体"/>
          <w:kern w:val="44"/>
        </w:rPr>
      </w:pPr>
      <w:r>
        <w:rPr>
          <w:rFonts w:hint="eastAsia" w:ascii="宋体" w:hAnsi="宋体"/>
          <w:b/>
          <w:kern w:val="44"/>
        </w:rPr>
        <w:t>第三十四条</w:t>
      </w:r>
      <w:r>
        <w:rPr>
          <w:rFonts w:hint="eastAsia" w:ascii="宋体" w:hAnsi="宋体"/>
          <w:kern w:val="44"/>
        </w:rPr>
        <w:t>　违反本条例的行为，法律、行政法规已经规定法律责任的，依照其规定追究法律责任。</w:t>
      </w:r>
    </w:p>
    <w:p w14:paraId="291B4A5C">
      <w:pPr>
        <w:ind w:firstLine="422"/>
        <w:jc w:val="left"/>
        <w:rPr>
          <w:rFonts w:ascii="宋体" w:hAnsi="宋体"/>
          <w:kern w:val="44"/>
        </w:rPr>
      </w:pPr>
      <w:r>
        <w:rPr>
          <w:rFonts w:hint="eastAsia" w:ascii="宋体" w:hAnsi="宋体"/>
          <w:b/>
          <w:kern w:val="44"/>
        </w:rPr>
        <w:t>第三十五条</w:t>
      </w:r>
      <w:r>
        <w:rPr>
          <w:rFonts w:hint="eastAsia" w:ascii="宋体" w:hAnsi="宋体"/>
          <w:kern w:val="44"/>
        </w:rPr>
        <w:t>　违反本条例第九条规定，提供虚假技术或者技术信息的，由市或者区、县科学技术行政部门没收违法所得，可以并处违法所得一倍以上五倍以下的罚款；技术经纪人提供虚假技术信息进行技术中介情节严重的，撤销从事技术经纪业务人员的专业资格。给当事人造成损失的，依法承担民事责任。</w:t>
      </w:r>
    </w:p>
    <w:p w14:paraId="76398541">
      <w:pPr>
        <w:ind w:firstLine="422"/>
        <w:jc w:val="left"/>
        <w:rPr>
          <w:rFonts w:ascii="宋体" w:hAnsi="宋体"/>
          <w:kern w:val="44"/>
        </w:rPr>
      </w:pPr>
      <w:r>
        <w:rPr>
          <w:rFonts w:hint="eastAsia" w:ascii="宋体" w:hAnsi="宋体"/>
          <w:b/>
          <w:kern w:val="44"/>
        </w:rPr>
        <w:t>第三十六条</w:t>
      </w:r>
      <w:r>
        <w:rPr>
          <w:rFonts w:hint="eastAsia" w:ascii="宋体" w:hAnsi="宋体"/>
          <w:kern w:val="44"/>
        </w:rPr>
        <w:t>　违反本条例第十二条规定，技术交易会的举办者通过虚假宣传非法牟利的，由市科学技术行政部门没收违法所得，可以并处违法所得一倍以上三倍以下的罚款。</w:t>
      </w:r>
    </w:p>
    <w:p w14:paraId="05983BD5">
      <w:pPr>
        <w:ind w:firstLine="422"/>
        <w:jc w:val="left"/>
        <w:rPr>
          <w:rFonts w:ascii="宋体" w:hAnsi="宋体"/>
          <w:kern w:val="44"/>
        </w:rPr>
      </w:pPr>
      <w:r>
        <w:rPr>
          <w:rFonts w:hint="eastAsia" w:ascii="宋体" w:hAnsi="宋体"/>
          <w:b/>
          <w:kern w:val="44"/>
        </w:rPr>
        <w:t>第三十七条</w:t>
      </w:r>
      <w:r>
        <w:rPr>
          <w:rFonts w:hint="eastAsia" w:ascii="宋体" w:hAnsi="宋体"/>
          <w:kern w:val="44"/>
        </w:rPr>
        <w:t>　违反本条例第十七条规定，未取得技术经纪资格证书的人员、不具备国家规定的条件的机构，专门从事技术经纪活动的，由市科学技术行政部门责令改正；有违法所得的，没收违法所得，可以并处违法所得一倍以上三倍以下的罚款。</w:t>
      </w:r>
    </w:p>
    <w:p w14:paraId="4C10585F">
      <w:pPr>
        <w:ind w:firstLine="422"/>
        <w:jc w:val="left"/>
        <w:rPr>
          <w:rFonts w:ascii="宋体" w:hAnsi="宋体"/>
          <w:kern w:val="44"/>
        </w:rPr>
      </w:pPr>
      <w:r>
        <w:rPr>
          <w:rFonts w:hint="eastAsia" w:ascii="宋体" w:hAnsi="宋体"/>
          <w:b/>
          <w:kern w:val="44"/>
        </w:rPr>
        <w:t>第三十八条</w:t>
      </w:r>
      <w:r>
        <w:rPr>
          <w:rFonts w:hint="eastAsia" w:ascii="宋体" w:hAnsi="宋体"/>
          <w:kern w:val="44"/>
        </w:rPr>
        <w:t>　违反本条例第二十二条规定，以不正当手段骗取技术合同登记证明的，由市科学技术行政部门责令技术合同登记机构撤销登记证明，并可以对当事人处5000元以上1万元以下的罚款；已经享受优惠政策的，由市科学技术行政部门通知有关部门予以查处。</w:t>
      </w:r>
    </w:p>
    <w:p w14:paraId="645B4C3A">
      <w:pPr>
        <w:ind w:firstLine="422"/>
        <w:jc w:val="left"/>
        <w:rPr>
          <w:rFonts w:ascii="宋体" w:hAnsi="宋体"/>
          <w:kern w:val="44"/>
        </w:rPr>
      </w:pPr>
      <w:r>
        <w:rPr>
          <w:rFonts w:hint="eastAsia" w:ascii="宋体" w:hAnsi="宋体"/>
          <w:b/>
          <w:kern w:val="44"/>
        </w:rPr>
        <w:t>第三十九条</w:t>
      </w:r>
      <w:r>
        <w:rPr>
          <w:rFonts w:hint="eastAsia" w:ascii="宋体" w:hAnsi="宋体"/>
          <w:kern w:val="44"/>
        </w:rPr>
        <w:t>　违反本条例规定，技术合同登记机构有下列行为之一的，市科学技术行政部门应当予以警告并责令其限期改正；情节严重的，予以撤销并公告：</w:t>
      </w:r>
    </w:p>
    <w:p w14:paraId="4E179092">
      <w:pPr>
        <w:jc w:val="left"/>
        <w:rPr>
          <w:rFonts w:ascii="宋体" w:hAnsi="宋体"/>
          <w:kern w:val="44"/>
        </w:rPr>
      </w:pPr>
      <w:r>
        <w:rPr>
          <w:rFonts w:hint="eastAsia" w:ascii="宋体" w:hAnsi="宋体"/>
          <w:kern w:val="44"/>
        </w:rPr>
        <w:t>（一）不按照规定开展技术合同认定登记工作的；</w:t>
      </w:r>
    </w:p>
    <w:p w14:paraId="229486FE">
      <w:pPr>
        <w:jc w:val="left"/>
        <w:rPr>
          <w:rFonts w:ascii="宋体" w:hAnsi="宋体"/>
          <w:kern w:val="44"/>
        </w:rPr>
      </w:pPr>
      <w:r>
        <w:rPr>
          <w:rFonts w:hint="eastAsia" w:ascii="宋体" w:hAnsi="宋体"/>
          <w:kern w:val="44"/>
        </w:rPr>
        <w:t>（二）擅自扩大收费范围、提高收费标准的；</w:t>
      </w:r>
    </w:p>
    <w:p w14:paraId="5F9D7D05">
      <w:pPr>
        <w:jc w:val="left"/>
        <w:rPr>
          <w:rFonts w:ascii="宋体" w:hAnsi="宋体"/>
          <w:kern w:val="44"/>
        </w:rPr>
      </w:pPr>
      <w:r>
        <w:rPr>
          <w:rFonts w:hint="eastAsia" w:ascii="宋体" w:hAnsi="宋体"/>
          <w:kern w:val="44"/>
        </w:rPr>
        <w:t>（三）从事经营活动的；</w:t>
      </w:r>
    </w:p>
    <w:p w14:paraId="782B1D2F">
      <w:pPr>
        <w:jc w:val="left"/>
        <w:rPr>
          <w:rFonts w:ascii="宋体" w:hAnsi="宋体"/>
          <w:kern w:val="44"/>
        </w:rPr>
      </w:pPr>
      <w:r>
        <w:rPr>
          <w:rFonts w:hint="eastAsia" w:ascii="宋体" w:hAnsi="宋体"/>
          <w:kern w:val="44"/>
        </w:rPr>
        <w:t>（四）迟报、拒报或者提供不真实统计材料的；</w:t>
      </w:r>
    </w:p>
    <w:p w14:paraId="7995FE90">
      <w:pPr>
        <w:jc w:val="left"/>
        <w:rPr>
          <w:rFonts w:ascii="宋体" w:hAnsi="宋体"/>
          <w:kern w:val="44"/>
        </w:rPr>
      </w:pPr>
      <w:r>
        <w:rPr>
          <w:rFonts w:hint="eastAsia" w:ascii="宋体" w:hAnsi="宋体"/>
          <w:kern w:val="44"/>
        </w:rPr>
        <w:t>（五）泄露当事人商业秘密的。</w:t>
      </w:r>
    </w:p>
    <w:p w14:paraId="1948C583">
      <w:pPr>
        <w:ind w:firstLine="422"/>
        <w:jc w:val="left"/>
        <w:rPr>
          <w:rFonts w:ascii="宋体" w:hAnsi="宋体"/>
          <w:kern w:val="44"/>
        </w:rPr>
      </w:pPr>
      <w:r>
        <w:rPr>
          <w:rFonts w:hint="eastAsia" w:ascii="宋体" w:hAnsi="宋体"/>
          <w:b/>
          <w:kern w:val="44"/>
        </w:rPr>
        <w:t>第四十条</w:t>
      </w:r>
      <w:r>
        <w:rPr>
          <w:rFonts w:hint="eastAsia" w:ascii="宋体" w:hAnsi="宋体"/>
          <w:kern w:val="44"/>
        </w:rPr>
        <w:t>　国家工作人员在技术市场管理工作中徇私舞弊、收受贿赂、玩忽职守、滥用职权的，由所在单位或者上级主管部门给予行政处分；情节严重、构成犯罪的，依法追究刑事责任。</w:t>
      </w:r>
    </w:p>
    <w:p w14:paraId="489B3A8C">
      <w:pPr>
        <w:ind w:firstLine="422"/>
        <w:jc w:val="left"/>
        <w:rPr>
          <w:rFonts w:ascii="宋体" w:hAnsi="宋体"/>
          <w:kern w:val="44"/>
        </w:rPr>
      </w:pPr>
      <w:r>
        <w:rPr>
          <w:rFonts w:hint="eastAsia" w:ascii="宋体" w:hAnsi="宋体"/>
          <w:b/>
          <w:kern w:val="44"/>
        </w:rPr>
        <w:t>第四十一条</w:t>
      </w:r>
      <w:r>
        <w:rPr>
          <w:rFonts w:hint="eastAsia" w:ascii="宋体" w:hAnsi="宋体"/>
          <w:kern w:val="44"/>
        </w:rPr>
        <w:t>　技术交易当事人之间的经济纠纷，当事人依合同约定或者事后协议可以依法向仲裁机构申请仲裁；合同没有约定仲裁条款或者事后没有达成仲裁协议的，当事人可以向人民法院提起民事诉讼。</w:t>
      </w:r>
    </w:p>
    <w:p w14:paraId="2133F611">
      <w:pPr>
        <w:jc w:val="left"/>
        <w:rPr>
          <w:rFonts w:ascii="宋体" w:hAnsi="宋体"/>
          <w:kern w:val="44"/>
        </w:rPr>
      </w:pPr>
    </w:p>
    <w:p w14:paraId="04BDBB0E">
      <w:pPr>
        <w:ind w:firstLine="0" w:firstLineChars="0"/>
        <w:jc w:val="center"/>
        <w:rPr>
          <w:rFonts w:ascii="宋体" w:hAnsi="宋体"/>
          <w:b/>
          <w:kern w:val="44"/>
          <w:sz w:val="28"/>
        </w:rPr>
      </w:pPr>
      <w:r>
        <w:rPr>
          <w:rFonts w:hint="eastAsia" w:ascii="宋体" w:hAnsi="宋体"/>
          <w:b/>
          <w:kern w:val="44"/>
          <w:sz w:val="28"/>
        </w:rPr>
        <w:t>第六章　附　则</w:t>
      </w:r>
    </w:p>
    <w:p w14:paraId="68724AB7">
      <w:pPr>
        <w:jc w:val="left"/>
        <w:rPr>
          <w:rFonts w:ascii="宋体" w:hAnsi="宋体"/>
          <w:kern w:val="44"/>
        </w:rPr>
      </w:pPr>
    </w:p>
    <w:p w14:paraId="5A614874">
      <w:pPr>
        <w:ind w:firstLine="422"/>
        <w:jc w:val="left"/>
        <w:rPr>
          <w:rFonts w:ascii="宋体" w:hAnsi="宋体"/>
          <w:kern w:val="44"/>
        </w:rPr>
      </w:pPr>
      <w:r>
        <w:rPr>
          <w:rFonts w:hint="eastAsia" w:ascii="宋体" w:hAnsi="宋体"/>
          <w:b/>
          <w:kern w:val="44"/>
        </w:rPr>
        <w:t>第四十二条</w:t>
      </w:r>
      <w:r>
        <w:rPr>
          <w:rFonts w:hint="eastAsia" w:ascii="宋体" w:hAnsi="宋体"/>
          <w:kern w:val="44"/>
        </w:rPr>
        <w:t>　本条例自2002年11月1日起施行。1994年10月20日北京市第十届人民代表大会常务委员会第十三次会议通过的《北京市技术市场管理条例》同时废止。</w:t>
      </w:r>
    </w:p>
    <w:p w14:paraId="695C1FF4">
      <w:pPr>
        <w:pStyle w:val="4"/>
        <w:pageBreakBefore/>
        <w:rPr>
          <w:kern w:val="44"/>
        </w:rPr>
      </w:pPr>
      <w:bookmarkStart w:id="1542" w:name="_Toc422471402"/>
      <w:bookmarkStart w:id="1543" w:name="_Toc428781707"/>
      <w:bookmarkStart w:id="1544" w:name="_Toc427652001"/>
      <w:bookmarkStart w:id="1545" w:name="_Toc428780225"/>
      <w:bookmarkStart w:id="1546" w:name="_Toc427651659"/>
      <w:r>
        <w:rPr>
          <w:rFonts w:hint="eastAsia"/>
          <w:kern w:val="44"/>
        </w:rPr>
        <w:t>中关村国家自主创新</w:t>
      </w:r>
      <w:bookmarkEnd w:id="1542"/>
      <w:bookmarkStart w:id="1547" w:name="_Toc422471403"/>
      <w:r>
        <w:rPr>
          <w:rFonts w:hint="eastAsia"/>
          <w:kern w:val="44"/>
        </w:rPr>
        <w:t>示范区条例</w:t>
      </w:r>
      <w:bookmarkEnd w:id="1543"/>
      <w:bookmarkEnd w:id="1544"/>
      <w:bookmarkEnd w:id="1545"/>
      <w:bookmarkEnd w:id="1546"/>
      <w:bookmarkEnd w:id="1547"/>
    </w:p>
    <w:p w14:paraId="41C74ABC">
      <w:pPr>
        <w:ind w:left="630" w:leftChars="300" w:right="630" w:rightChars="300"/>
        <w:jc w:val="left"/>
        <w:rPr>
          <w:rFonts w:ascii="楷体" w:hAnsi="楷体" w:eastAsia="楷体"/>
          <w:kern w:val="44"/>
        </w:rPr>
      </w:pPr>
      <w:r>
        <w:rPr>
          <w:rFonts w:hint="eastAsia" w:ascii="楷体" w:hAnsi="楷体" w:eastAsia="楷体"/>
          <w:kern w:val="44"/>
        </w:rPr>
        <w:t>（2010年12月23日北京市第十三届人民代表大会常务委员会第二十二次会议通过　2010年12月23日北京市人民代表大会常务委员会公告第12号发布）</w:t>
      </w:r>
    </w:p>
    <w:p w14:paraId="6732FA09">
      <w:pPr>
        <w:jc w:val="left"/>
        <w:rPr>
          <w:rFonts w:ascii="宋体" w:hAnsi="宋体"/>
          <w:kern w:val="44"/>
        </w:rPr>
      </w:pPr>
    </w:p>
    <w:p w14:paraId="1F345E62">
      <w:pPr>
        <w:ind w:firstLine="0" w:firstLineChars="0"/>
        <w:jc w:val="center"/>
        <w:rPr>
          <w:rFonts w:ascii="宋体" w:hAnsi="宋体"/>
          <w:b/>
          <w:kern w:val="44"/>
          <w:sz w:val="28"/>
        </w:rPr>
      </w:pPr>
      <w:r>
        <w:rPr>
          <w:rFonts w:hint="eastAsia" w:ascii="宋体" w:hAnsi="宋体"/>
          <w:b/>
          <w:kern w:val="44"/>
          <w:sz w:val="28"/>
        </w:rPr>
        <w:t>第一章　总　则</w:t>
      </w:r>
    </w:p>
    <w:p w14:paraId="63CAE218">
      <w:pPr>
        <w:jc w:val="left"/>
        <w:rPr>
          <w:rFonts w:ascii="宋体" w:hAnsi="宋体"/>
          <w:kern w:val="44"/>
        </w:rPr>
      </w:pPr>
    </w:p>
    <w:p w14:paraId="4FD5A368">
      <w:pPr>
        <w:ind w:firstLine="422"/>
        <w:jc w:val="left"/>
        <w:rPr>
          <w:rFonts w:ascii="宋体" w:hAnsi="宋体"/>
          <w:kern w:val="44"/>
        </w:rPr>
      </w:pPr>
      <w:r>
        <w:rPr>
          <w:rFonts w:hint="eastAsia" w:ascii="宋体" w:hAnsi="宋体"/>
          <w:b/>
          <w:kern w:val="44"/>
        </w:rPr>
        <w:t>第一条</w:t>
      </w:r>
      <w:r>
        <w:rPr>
          <w:rFonts w:hint="eastAsia" w:ascii="宋体" w:hAnsi="宋体"/>
          <w:kern w:val="44"/>
        </w:rPr>
        <w:t>　为了促进和保障中关村国家自主创新示范区建设，制定本条例。</w:t>
      </w:r>
    </w:p>
    <w:p w14:paraId="55E159FF">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本条例适用于中关村国家自主创新示范区内的组织和个人。</w:t>
      </w:r>
    </w:p>
    <w:p w14:paraId="3C89CBD6">
      <w:pPr>
        <w:jc w:val="left"/>
        <w:rPr>
          <w:rFonts w:ascii="宋体" w:hAnsi="宋体"/>
          <w:kern w:val="44"/>
        </w:rPr>
      </w:pPr>
      <w:r>
        <w:rPr>
          <w:rFonts w:hint="eastAsia" w:ascii="宋体" w:hAnsi="宋体"/>
          <w:kern w:val="44"/>
        </w:rPr>
        <w:t>中关村国家自主创新示范区外的组织和个人从事与中关村国家自主创新示范区建设相关的活动，也适用本条例。</w:t>
      </w:r>
    </w:p>
    <w:p w14:paraId="65814007">
      <w:pPr>
        <w:ind w:firstLine="422"/>
        <w:jc w:val="left"/>
        <w:rPr>
          <w:rFonts w:ascii="宋体" w:hAnsi="宋体"/>
          <w:kern w:val="44"/>
        </w:rPr>
      </w:pPr>
      <w:r>
        <w:rPr>
          <w:rFonts w:hint="eastAsia" w:ascii="宋体" w:hAnsi="宋体"/>
          <w:b/>
          <w:kern w:val="44"/>
        </w:rPr>
        <w:t>第三条</w:t>
      </w:r>
      <w:r>
        <w:rPr>
          <w:rFonts w:hint="eastAsia" w:ascii="宋体" w:hAnsi="宋体"/>
          <w:kern w:val="44"/>
        </w:rPr>
        <w:t>　中关村国家自主创新示范区（以下简称“示范区”）由海淀园、丰台园、昌平园、电子城、亦庄园、德胜园、石景山园、雍和园、通州园、大兴生物医药产业基地以及市人民政府根据国务院批准划定的其他区域等多园构成。</w:t>
      </w:r>
    </w:p>
    <w:p w14:paraId="07396EE7">
      <w:pPr>
        <w:ind w:firstLine="422"/>
        <w:jc w:val="left"/>
        <w:rPr>
          <w:rFonts w:ascii="宋体" w:hAnsi="宋体"/>
          <w:kern w:val="44"/>
        </w:rPr>
      </w:pPr>
      <w:r>
        <w:rPr>
          <w:rFonts w:hint="eastAsia" w:ascii="宋体" w:hAnsi="宋体"/>
          <w:b/>
          <w:kern w:val="44"/>
        </w:rPr>
        <w:t>第四条</w:t>
      </w:r>
      <w:r>
        <w:rPr>
          <w:rFonts w:hint="eastAsia" w:ascii="宋体" w:hAnsi="宋体"/>
          <w:kern w:val="44"/>
        </w:rPr>
        <w:t>　示范区应当以科学发展观为指导，服务国家自主创新战略，坚持首都城市功能定位，推进体制改革与机制创新，建设成为深化改革先行区、开放创新引领区、高端要素聚合区、创新创业集聚地、战略性新兴产业策源地和具有全球影响力的科技创新中心。</w:t>
      </w:r>
    </w:p>
    <w:p w14:paraId="6D3C61E5">
      <w:pPr>
        <w:ind w:firstLine="422"/>
        <w:jc w:val="left"/>
        <w:rPr>
          <w:rFonts w:ascii="宋体" w:hAnsi="宋体"/>
          <w:kern w:val="44"/>
        </w:rPr>
      </w:pPr>
      <w:r>
        <w:rPr>
          <w:rFonts w:hint="eastAsia" w:ascii="宋体" w:hAnsi="宋体"/>
          <w:b/>
          <w:kern w:val="44"/>
        </w:rPr>
        <w:t>第五条</w:t>
      </w:r>
      <w:r>
        <w:rPr>
          <w:rFonts w:hint="eastAsia" w:ascii="宋体" w:hAnsi="宋体"/>
          <w:kern w:val="44"/>
        </w:rPr>
        <w:t>　示范区应当以提高自主创新能力为核心，营造创新创业和产业发展环境，创新组织模式，构建和完善以项目为载体、企业为主体、市场为导向、产学研用相结合的技术创新体系。</w:t>
      </w:r>
    </w:p>
    <w:p w14:paraId="64EE3F16">
      <w:pPr>
        <w:ind w:firstLine="422"/>
        <w:jc w:val="left"/>
        <w:rPr>
          <w:rFonts w:ascii="宋体" w:hAnsi="宋体"/>
          <w:kern w:val="44"/>
        </w:rPr>
      </w:pPr>
      <w:r>
        <w:rPr>
          <w:rFonts w:hint="eastAsia" w:ascii="宋体" w:hAnsi="宋体"/>
          <w:b/>
          <w:kern w:val="44"/>
        </w:rPr>
        <w:t>第六条</w:t>
      </w:r>
      <w:r>
        <w:rPr>
          <w:rFonts w:hint="eastAsia" w:ascii="宋体" w:hAnsi="宋体"/>
          <w:kern w:val="44"/>
        </w:rPr>
        <w:t>　示范区建设应当纳入本市国民经济和社会发展规划和计划，统筹示范区与行政区协调发展，统筹各种创新资源配置，统筹示范区研发、生产和生活需要。</w:t>
      </w:r>
    </w:p>
    <w:p w14:paraId="39EE0574">
      <w:pPr>
        <w:ind w:firstLine="422"/>
        <w:jc w:val="left"/>
        <w:rPr>
          <w:rFonts w:ascii="宋体" w:hAnsi="宋体"/>
          <w:kern w:val="44"/>
        </w:rPr>
      </w:pPr>
      <w:r>
        <w:rPr>
          <w:rFonts w:hint="eastAsia" w:ascii="宋体" w:hAnsi="宋体"/>
          <w:b/>
          <w:kern w:val="44"/>
        </w:rPr>
        <w:t>第七条</w:t>
      </w:r>
      <w:r>
        <w:rPr>
          <w:rFonts w:hint="eastAsia" w:ascii="宋体" w:hAnsi="宋体"/>
          <w:kern w:val="44"/>
        </w:rPr>
        <w:t>　示范区重点发展高新技术产业，加快发展战略性新兴产业，培育发展以各园区特色产业基地为基础的产业链和产业集群。</w:t>
      </w:r>
    </w:p>
    <w:p w14:paraId="73888C2F">
      <w:pPr>
        <w:jc w:val="left"/>
        <w:rPr>
          <w:rFonts w:ascii="宋体" w:hAnsi="宋体"/>
          <w:kern w:val="44"/>
        </w:rPr>
      </w:pPr>
      <w:r>
        <w:rPr>
          <w:rFonts w:hint="eastAsia" w:ascii="宋体" w:hAnsi="宋体"/>
          <w:kern w:val="44"/>
        </w:rPr>
        <w:t>示范区重点建设中关村科学城、未来科技城等海淀区和昌平区南部平原地区构成的北部研发服务和高新技术产业聚集区，北京经济技术开发区和大兴区整合后空间资源构成的南部高技术制造业和战略性新兴产业聚集区。</w:t>
      </w:r>
    </w:p>
    <w:p w14:paraId="79A65D45">
      <w:pPr>
        <w:ind w:firstLine="422"/>
        <w:jc w:val="left"/>
        <w:rPr>
          <w:rFonts w:ascii="宋体" w:hAnsi="宋体"/>
          <w:kern w:val="44"/>
        </w:rPr>
      </w:pPr>
      <w:r>
        <w:rPr>
          <w:rFonts w:hint="eastAsia" w:ascii="宋体" w:hAnsi="宋体"/>
          <w:b/>
          <w:kern w:val="44"/>
        </w:rPr>
        <w:t>第八条</w:t>
      </w:r>
      <w:r>
        <w:rPr>
          <w:rFonts w:hint="eastAsia" w:ascii="宋体" w:hAnsi="宋体"/>
          <w:kern w:val="44"/>
        </w:rPr>
        <w:t>　鼓励和支持示范区内的企业制定创新发展战略，提升创新能力和市场竞争力，形成一批具有全球影响力的创新型企业和国际知名品牌。</w:t>
      </w:r>
    </w:p>
    <w:p w14:paraId="4129D840">
      <w:pPr>
        <w:ind w:firstLine="422"/>
        <w:jc w:val="left"/>
        <w:rPr>
          <w:rFonts w:ascii="宋体" w:hAnsi="宋体"/>
          <w:kern w:val="44"/>
        </w:rPr>
      </w:pPr>
      <w:r>
        <w:rPr>
          <w:rFonts w:hint="eastAsia" w:ascii="宋体" w:hAnsi="宋体"/>
          <w:b/>
          <w:kern w:val="44"/>
        </w:rPr>
        <w:t>第九条</w:t>
      </w:r>
      <w:r>
        <w:rPr>
          <w:rFonts w:hint="eastAsia" w:ascii="宋体" w:hAnsi="宋体"/>
          <w:kern w:val="44"/>
        </w:rPr>
        <w:t>　鼓励组织和个人在示范区开展创新创业活动，支持有利于自主创新的制度、体制和机制在示范区先行先试，营造鼓励创新创业、宽容失败的文化氛围。</w:t>
      </w:r>
    </w:p>
    <w:p w14:paraId="67011E20">
      <w:pPr>
        <w:ind w:firstLine="422"/>
        <w:jc w:val="left"/>
        <w:rPr>
          <w:rFonts w:ascii="宋体" w:hAnsi="宋体"/>
          <w:kern w:val="44"/>
        </w:rPr>
      </w:pPr>
      <w:r>
        <w:rPr>
          <w:rFonts w:hint="eastAsia" w:ascii="宋体" w:hAnsi="宋体"/>
          <w:b/>
          <w:kern w:val="44"/>
        </w:rPr>
        <w:t>第十条</w:t>
      </w:r>
      <w:r>
        <w:rPr>
          <w:rFonts w:hint="eastAsia" w:ascii="宋体" w:hAnsi="宋体"/>
          <w:kern w:val="44"/>
        </w:rPr>
        <w:t>　市人民政府负责统筹、规划、组织、协调、服务示范区的建设与发展。</w:t>
      </w:r>
    </w:p>
    <w:p w14:paraId="22A925ED">
      <w:pPr>
        <w:jc w:val="left"/>
        <w:rPr>
          <w:rFonts w:ascii="宋体" w:hAnsi="宋体"/>
          <w:kern w:val="44"/>
        </w:rPr>
      </w:pPr>
      <w:r>
        <w:rPr>
          <w:rFonts w:hint="eastAsia" w:ascii="宋体" w:hAnsi="宋体"/>
          <w:kern w:val="44"/>
        </w:rPr>
        <w:t>市人民政府设立示范区管理机构负责具体工作落实。</w:t>
      </w:r>
    </w:p>
    <w:p w14:paraId="3F6ABD59">
      <w:pPr>
        <w:spacing w:line="280" w:lineRule="exact"/>
        <w:jc w:val="left"/>
        <w:rPr>
          <w:rFonts w:ascii="宋体" w:hAnsi="宋体"/>
          <w:kern w:val="44"/>
        </w:rPr>
      </w:pPr>
    </w:p>
    <w:p w14:paraId="66B3E39C">
      <w:pPr>
        <w:ind w:firstLine="0" w:firstLineChars="0"/>
        <w:jc w:val="center"/>
        <w:rPr>
          <w:rFonts w:ascii="宋体" w:hAnsi="宋体"/>
          <w:b/>
          <w:kern w:val="44"/>
          <w:sz w:val="28"/>
        </w:rPr>
      </w:pPr>
      <w:r>
        <w:rPr>
          <w:rFonts w:hint="eastAsia" w:ascii="宋体" w:hAnsi="宋体"/>
          <w:b/>
          <w:kern w:val="44"/>
          <w:sz w:val="28"/>
        </w:rPr>
        <w:t>第二章　创新创业主体</w:t>
      </w:r>
    </w:p>
    <w:p w14:paraId="5CF9AF6B">
      <w:pPr>
        <w:spacing w:line="280" w:lineRule="exact"/>
        <w:jc w:val="left"/>
        <w:rPr>
          <w:rFonts w:ascii="宋体" w:hAnsi="宋体"/>
          <w:kern w:val="44"/>
        </w:rPr>
      </w:pPr>
    </w:p>
    <w:p w14:paraId="662E2C91">
      <w:pPr>
        <w:ind w:firstLine="422"/>
        <w:jc w:val="left"/>
        <w:rPr>
          <w:rFonts w:ascii="宋体" w:hAnsi="宋体"/>
          <w:kern w:val="44"/>
        </w:rPr>
      </w:pPr>
      <w:r>
        <w:rPr>
          <w:rFonts w:hint="eastAsia" w:ascii="宋体" w:hAnsi="宋体"/>
          <w:b/>
          <w:kern w:val="44"/>
        </w:rPr>
        <w:t>第十一条</w:t>
      </w:r>
      <w:r>
        <w:rPr>
          <w:rFonts w:hint="eastAsia" w:ascii="宋体" w:hAnsi="宋体"/>
          <w:kern w:val="44"/>
        </w:rPr>
        <w:t>　任何组织和个人可以依法在示范区设立企业和其他组织，从事创新创业活动。</w:t>
      </w:r>
    </w:p>
    <w:p w14:paraId="435E7868">
      <w:pPr>
        <w:jc w:val="left"/>
        <w:rPr>
          <w:rFonts w:ascii="宋体" w:hAnsi="宋体"/>
          <w:kern w:val="44"/>
        </w:rPr>
      </w:pPr>
      <w:r>
        <w:rPr>
          <w:rFonts w:hint="eastAsia" w:ascii="宋体" w:hAnsi="宋体"/>
          <w:kern w:val="44"/>
        </w:rPr>
        <w:t>在示范区申请设立企业，经营范围中有属于法律、行政法规、国务院决定规定在登记前须经批准的项目的，可以申请筹建登记。对符合设立条件的，工商行政管理部门直接办理筹建登记，并将办理筹建登记的情况告知有关审批部门；企业获得批准后，应当申请变更登记。筹建期限为一年，筹建期内企业不得开展与筹建无关的生产经营活动。</w:t>
      </w:r>
    </w:p>
    <w:p w14:paraId="08BFCE24">
      <w:pPr>
        <w:jc w:val="left"/>
        <w:rPr>
          <w:rFonts w:ascii="宋体" w:hAnsi="宋体"/>
          <w:kern w:val="44"/>
        </w:rPr>
      </w:pPr>
      <w:r>
        <w:rPr>
          <w:rFonts w:hint="eastAsia" w:ascii="宋体" w:hAnsi="宋体"/>
          <w:kern w:val="44"/>
        </w:rPr>
        <w:t>在示范区设立企业，除申请的经营范围中有属于法律、行政法规、国务院决定规定在登记前须经批准的项目外，以指定集中办公区作为住所的，工商行政管理部门依法予以登记。</w:t>
      </w:r>
    </w:p>
    <w:p w14:paraId="1320C6D1">
      <w:pPr>
        <w:jc w:val="left"/>
        <w:rPr>
          <w:rFonts w:ascii="宋体" w:hAnsi="宋体"/>
          <w:kern w:val="44"/>
        </w:rPr>
      </w:pPr>
      <w:r>
        <w:rPr>
          <w:rFonts w:hint="eastAsia" w:ascii="宋体" w:hAnsi="宋体"/>
          <w:kern w:val="44"/>
        </w:rPr>
        <w:t>示范区内经工商行政管理部门登记的各类企业，根据发展需要可以向工商行政管理部门申请转换组织形式；企业的分支机构或者分公司可以向工商行政管理部门申请变更隶属关系。</w:t>
      </w:r>
    </w:p>
    <w:p w14:paraId="460B54FC">
      <w:pPr>
        <w:ind w:firstLine="422"/>
        <w:jc w:val="left"/>
        <w:rPr>
          <w:rFonts w:ascii="宋体" w:hAnsi="宋体"/>
          <w:kern w:val="44"/>
        </w:rPr>
      </w:pPr>
      <w:r>
        <w:rPr>
          <w:rFonts w:hint="eastAsia" w:ascii="宋体" w:hAnsi="宋体"/>
          <w:b/>
          <w:kern w:val="44"/>
        </w:rPr>
        <w:t>第十二条</w:t>
      </w:r>
      <w:r>
        <w:rPr>
          <w:rFonts w:hint="eastAsia" w:ascii="宋体" w:hAnsi="宋体"/>
          <w:kern w:val="44"/>
        </w:rPr>
        <w:t>　鼓励科技人员以知识产权、科技成果等无形资产入股的方式在示范区创办企业。</w:t>
      </w:r>
    </w:p>
    <w:p w14:paraId="11A81DCC">
      <w:pPr>
        <w:jc w:val="left"/>
        <w:rPr>
          <w:rFonts w:ascii="宋体" w:hAnsi="宋体"/>
          <w:kern w:val="44"/>
        </w:rPr>
      </w:pPr>
      <w:r>
        <w:rPr>
          <w:rFonts w:hint="eastAsia" w:ascii="宋体" w:hAnsi="宋体"/>
          <w:kern w:val="44"/>
        </w:rPr>
        <w:t>以知识产权和其他可以用货币估价并可以依法转让的科技成果作价出资占企业注册资本的比例，可以由出资各方协商约定，但是以国有资产出资的，应当符合有关国有资产的管理规定。</w:t>
      </w:r>
    </w:p>
    <w:p w14:paraId="2A9F9FB6">
      <w:pPr>
        <w:jc w:val="left"/>
        <w:rPr>
          <w:rFonts w:ascii="宋体" w:hAnsi="宋体"/>
          <w:kern w:val="44"/>
        </w:rPr>
      </w:pPr>
      <w:r>
        <w:rPr>
          <w:rFonts w:hint="eastAsia" w:ascii="宋体" w:hAnsi="宋体"/>
          <w:kern w:val="44"/>
        </w:rPr>
        <w:t>投资人可以其所有的可用货币估价并可依法转让的股权和债权作价出资，工商行政管理部门依法办理登记。</w:t>
      </w:r>
    </w:p>
    <w:p w14:paraId="3EDAFD8C">
      <w:pPr>
        <w:jc w:val="left"/>
        <w:rPr>
          <w:rFonts w:ascii="宋体" w:hAnsi="宋体"/>
          <w:kern w:val="44"/>
        </w:rPr>
      </w:pPr>
      <w:r>
        <w:rPr>
          <w:rFonts w:hint="eastAsia" w:ascii="宋体" w:hAnsi="宋体"/>
          <w:kern w:val="44"/>
        </w:rPr>
        <w:t>中国公民以自然人身份在示范区出资兴办中外合资、合作企业，经审批机关批准后，工商行政管理部门予以登记注册。</w:t>
      </w:r>
    </w:p>
    <w:p w14:paraId="168FC0DC">
      <w:pPr>
        <w:jc w:val="left"/>
        <w:rPr>
          <w:rFonts w:ascii="宋体" w:hAnsi="宋体"/>
          <w:kern w:val="44"/>
        </w:rPr>
      </w:pPr>
      <w:r>
        <w:rPr>
          <w:rFonts w:hint="eastAsia" w:ascii="宋体" w:hAnsi="宋体"/>
          <w:kern w:val="44"/>
        </w:rPr>
        <w:t>创业投资机构的注册资本可以按照出资人的约定分期到位。</w:t>
      </w:r>
    </w:p>
    <w:p w14:paraId="75B43000">
      <w:pPr>
        <w:ind w:firstLine="422"/>
        <w:jc w:val="left"/>
        <w:rPr>
          <w:rFonts w:ascii="宋体" w:hAnsi="宋体"/>
          <w:kern w:val="44"/>
        </w:rPr>
      </w:pPr>
      <w:r>
        <w:rPr>
          <w:rFonts w:hint="eastAsia" w:ascii="宋体" w:hAnsi="宋体"/>
          <w:b/>
          <w:kern w:val="44"/>
        </w:rPr>
        <w:t>第十三条</w:t>
      </w:r>
      <w:r>
        <w:rPr>
          <w:rFonts w:hint="eastAsia" w:ascii="宋体" w:hAnsi="宋体"/>
          <w:kern w:val="44"/>
        </w:rPr>
        <w:t>　在示范区设立企业，以货币作为初次出资或者增资的，可以银行出具的企业交存入资资金凭证或者以依法设立的验资机构出具的验资证明作为验资凭证；以非货币作价出资的，可以依法设立的评估机构出具的评估报告或者以依法设立的验资机构出具的验资证明作为验资凭证。</w:t>
      </w:r>
    </w:p>
    <w:p w14:paraId="59065858">
      <w:pPr>
        <w:jc w:val="left"/>
        <w:rPr>
          <w:rFonts w:ascii="宋体" w:hAnsi="宋体"/>
          <w:kern w:val="44"/>
        </w:rPr>
      </w:pPr>
      <w:r>
        <w:rPr>
          <w:rFonts w:hint="eastAsia" w:ascii="宋体" w:hAnsi="宋体"/>
          <w:kern w:val="44"/>
        </w:rPr>
        <w:t>工商行政管理部门对在示范区设立的企业的章程、合伙协议实行备案制。</w:t>
      </w:r>
    </w:p>
    <w:p w14:paraId="1F9980D0">
      <w:pPr>
        <w:ind w:firstLine="422"/>
        <w:jc w:val="left"/>
        <w:rPr>
          <w:rFonts w:ascii="宋体" w:hAnsi="宋体"/>
          <w:kern w:val="44"/>
        </w:rPr>
      </w:pPr>
      <w:r>
        <w:rPr>
          <w:rFonts w:hint="eastAsia" w:ascii="宋体" w:hAnsi="宋体"/>
          <w:b/>
          <w:kern w:val="44"/>
        </w:rPr>
        <w:t>第十四条</w:t>
      </w:r>
      <w:r>
        <w:rPr>
          <w:rFonts w:hint="eastAsia" w:ascii="宋体" w:hAnsi="宋体"/>
          <w:kern w:val="44"/>
        </w:rPr>
        <w:t>　支持企业联合高等院校、科研院所和其他组织组建产业技术联盟。符合条件的，可以申请登记为法人。</w:t>
      </w:r>
    </w:p>
    <w:p w14:paraId="26EBACA7">
      <w:pPr>
        <w:ind w:firstLine="422"/>
        <w:jc w:val="left"/>
        <w:rPr>
          <w:rFonts w:ascii="宋体" w:hAnsi="宋体"/>
          <w:kern w:val="44"/>
        </w:rPr>
      </w:pPr>
      <w:r>
        <w:rPr>
          <w:rFonts w:hint="eastAsia" w:ascii="宋体" w:hAnsi="宋体"/>
          <w:b/>
          <w:kern w:val="44"/>
        </w:rPr>
        <w:t>第十五条</w:t>
      </w:r>
      <w:r>
        <w:rPr>
          <w:rFonts w:hint="eastAsia" w:ascii="宋体" w:hAnsi="宋体"/>
          <w:kern w:val="44"/>
        </w:rPr>
        <w:t>　鼓励在示范区培育科技创新服务体系，支持信用、法律、知识产权、管理和信息咨询、人才服务、资产评估、审计等各类专业服务组织发展。</w:t>
      </w:r>
    </w:p>
    <w:p w14:paraId="1B39800C">
      <w:pPr>
        <w:jc w:val="left"/>
        <w:rPr>
          <w:rFonts w:ascii="宋体" w:hAnsi="宋体"/>
          <w:kern w:val="44"/>
        </w:rPr>
      </w:pPr>
      <w:r>
        <w:rPr>
          <w:rFonts w:hint="eastAsia" w:ascii="宋体" w:hAnsi="宋体"/>
          <w:kern w:val="44"/>
        </w:rPr>
        <w:t>鼓励企业、高等院校、科研院所以及其他组织和个人，在示范区设立大学科技园、创业园、创业服务中心等各类创业孵化服务机构以及科技中介机构，利用社会资源，提升创新创业服务能力。</w:t>
      </w:r>
    </w:p>
    <w:p w14:paraId="04E1EAEC">
      <w:pPr>
        <w:ind w:firstLine="422"/>
        <w:jc w:val="left"/>
        <w:rPr>
          <w:rFonts w:ascii="宋体" w:hAnsi="宋体"/>
          <w:kern w:val="44"/>
        </w:rPr>
      </w:pPr>
      <w:r>
        <w:rPr>
          <w:rFonts w:hint="eastAsia" w:ascii="宋体" w:hAnsi="宋体"/>
          <w:b/>
          <w:kern w:val="44"/>
        </w:rPr>
        <w:t>第十六条</w:t>
      </w:r>
      <w:r>
        <w:rPr>
          <w:rFonts w:hint="eastAsia" w:ascii="宋体" w:hAnsi="宋体"/>
          <w:kern w:val="44"/>
        </w:rPr>
        <w:t>　申请在示范区设立有利于自主创新的社会团体、民办非企业单位、基金会，除法律、行政法规、国务院决定规定登记前须经批准的以外，申请人可以直接向市民政部门申请登记。</w:t>
      </w:r>
    </w:p>
    <w:p w14:paraId="774C6E33">
      <w:pPr>
        <w:jc w:val="left"/>
        <w:rPr>
          <w:rFonts w:ascii="宋体" w:hAnsi="宋体"/>
          <w:kern w:val="44"/>
        </w:rPr>
      </w:pPr>
      <w:r>
        <w:rPr>
          <w:rFonts w:hint="eastAsia" w:ascii="宋体" w:hAnsi="宋体"/>
          <w:kern w:val="44"/>
        </w:rPr>
        <w:t>按照前款规定申请成立社会团体，可以吸收本市行政区域外的境内组织及个人作为会员，跨行政区域开展活动。</w:t>
      </w:r>
    </w:p>
    <w:p w14:paraId="0F6D6A00">
      <w:pPr>
        <w:jc w:val="left"/>
        <w:rPr>
          <w:rFonts w:ascii="宋体" w:hAnsi="宋体"/>
          <w:kern w:val="44"/>
        </w:rPr>
      </w:pPr>
      <w:r>
        <w:rPr>
          <w:rFonts w:hint="eastAsia" w:ascii="宋体" w:hAnsi="宋体"/>
          <w:kern w:val="44"/>
        </w:rPr>
        <w:t>按照本条第一款设立的社会组织，名称应当冠以行政区划名称或者“中关村”字样。</w:t>
      </w:r>
    </w:p>
    <w:p w14:paraId="46CF2885">
      <w:pPr>
        <w:ind w:firstLine="422"/>
        <w:jc w:val="left"/>
        <w:rPr>
          <w:rFonts w:ascii="宋体" w:hAnsi="宋体"/>
          <w:kern w:val="44"/>
        </w:rPr>
      </w:pPr>
      <w:r>
        <w:rPr>
          <w:rFonts w:hint="eastAsia" w:ascii="宋体" w:hAnsi="宋体"/>
          <w:b/>
          <w:kern w:val="44"/>
        </w:rPr>
        <w:t>第十七条</w:t>
      </w:r>
      <w:r>
        <w:rPr>
          <w:rFonts w:hint="eastAsia" w:ascii="宋体" w:hAnsi="宋体"/>
          <w:kern w:val="44"/>
        </w:rPr>
        <w:t>　支持社会组织参与示范区建设，开展经济技术交流与合作，制定标准，帮助企业开拓国际市场，进行品牌推广，承担法律、法规授权或者政府委托的工作。</w:t>
      </w:r>
    </w:p>
    <w:p w14:paraId="3B2568F7">
      <w:pPr>
        <w:jc w:val="left"/>
        <w:rPr>
          <w:rFonts w:ascii="宋体" w:hAnsi="宋体"/>
          <w:kern w:val="44"/>
        </w:rPr>
      </w:pPr>
      <w:r>
        <w:rPr>
          <w:rFonts w:hint="eastAsia" w:ascii="宋体" w:hAnsi="宋体"/>
          <w:kern w:val="44"/>
        </w:rPr>
        <w:t>政府及有关部门可以通过购买服务等方式，支持服务于示范区的社会组织的发展。</w:t>
      </w:r>
    </w:p>
    <w:p w14:paraId="3B345669">
      <w:pPr>
        <w:ind w:firstLine="422"/>
        <w:jc w:val="left"/>
        <w:rPr>
          <w:rFonts w:ascii="宋体" w:hAnsi="宋体"/>
          <w:kern w:val="44"/>
        </w:rPr>
      </w:pPr>
      <w:r>
        <w:rPr>
          <w:rFonts w:hint="eastAsia" w:ascii="宋体" w:hAnsi="宋体"/>
          <w:b/>
          <w:kern w:val="44"/>
        </w:rPr>
        <w:t>第十八条</w:t>
      </w:r>
      <w:r>
        <w:rPr>
          <w:rFonts w:hint="eastAsia" w:ascii="宋体" w:hAnsi="宋体"/>
          <w:kern w:val="44"/>
        </w:rPr>
        <w:t>　示范区应当推进自主创新资源配置方式改革，围绕国家自主创新战略的重大项目和首都经济社会发展的重大需求，在政府引导和支持下，以企业为主体或者采取企业化的运行模式，聚集企业、高等院校、科研院所、社会组织等各类创新创业主体，整合土地、资金、人才、技术、信息等各种创新要素，链接科技研发和科技成果产业化等各个创新环节，形成协同创新、利益共享的自主创新机制。</w:t>
      </w:r>
    </w:p>
    <w:p w14:paraId="67624F93">
      <w:pPr>
        <w:jc w:val="left"/>
        <w:rPr>
          <w:rFonts w:ascii="宋体" w:hAnsi="宋体"/>
          <w:kern w:val="44"/>
        </w:rPr>
      </w:pPr>
    </w:p>
    <w:p w14:paraId="0D059FD7">
      <w:pPr>
        <w:ind w:firstLine="0" w:firstLineChars="0"/>
        <w:jc w:val="center"/>
        <w:rPr>
          <w:rFonts w:ascii="宋体" w:hAnsi="宋体"/>
          <w:b/>
          <w:kern w:val="44"/>
          <w:sz w:val="28"/>
        </w:rPr>
      </w:pPr>
      <w:r>
        <w:rPr>
          <w:rFonts w:hint="eastAsia" w:ascii="宋体" w:hAnsi="宋体"/>
          <w:b/>
          <w:kern w:val="44"/>
          <w:sz w:val="28"/>
        </w:rPr>
        <w:t>第三章　科技研发、成果</w:t>
      </w:r>
    </w:p>
    <w:p w14:paraId="7FAF5C61">
      <w:pPr>
        <w:ind w:firstLine="1209" w:firstLineChars="430"/>
        <w:jc w:val="center"/>
        <w:rPr>
          <w:rFonts w:ascii="宋体" w:hAnsi="宋体"/>
          <w:b/>
          <w:kern w:val="44"/>
          <w:sz w:val="28"/>
        </w:rPr>
      </w:pPr>
      <w:r>
        <w:rPr>
          <w:rFonts w:hint="eastAsia" w:ascii="宋体" w:hAnsi="宋体"/>
          <w:b/>
          <w:kern w:val="44"/>
          <w:sz w:val="28"/>
        </w:rPr>
        <w:t>转化和知识产权</w:t>
      </w:r>
    </w:p>
    <w:p w14:paraId="4D3BED90">
      <w:pPr>
        <w:jc w:val="left"/>
        <w:rPr>
          <w:rFonts w:ascii="宋体" w:hAnsi="宋体"/>
          <w:kern w:val="44"/>
        </w:rPr>
      </w:pPr>
    </w:p>
    <w:p w14:paraId="47352C54">
      <w:pPr>
        <w:ind w:firstLine="422"/>
        <w:jc w:val="left"/>
        <w:rPr>
          <w:rFonts w:ascii="宋体" w:hAnsi="宋体"/>
          <w:kern w:val="44"/>
        </w:rPr>
      </w:pPr>
      <w:r>
        <w:rPr>
          <w:rFonts w:hint="eastAsia" w:ascii="宋体" w:hAnsi="宋体"/>
          <w:b/>
          <w:kern w:val="44"/>
        </w:rPr>
        <w:t>第十九条</w:t>
      </w:r>
      <w:r>
        <w:rPr>
          <w:rFonts w:hint="eastAsia" w:ascii="宋体" w:hAnsi="宋体"/>
          <w:kern w:val="44"/>
        </w:rPr>
        <w:t>　支持示范区内的企业加大研发投入，利用全球科技资源，提升原始创新、集成创新、引进消化吸收再创新的能力。</w:t>
      </w:r>
    </w:p>
    <w:p w14:paraId="049B8C79">
      <w:pPr>
        <w:jc w:val="left"/>
        <w:rPr>
          <w:rFonts w:ascii="宋体" w:hAnsi="宋体"/>
          <w:kern w:val="44"/>
        </w:rPr>
      </w:pPr>
      <w:r>
        <w:rPr>
          <w:rFonts w:hint="eastAsia" w:ascii="宋体" w:hAnsi="宋体"/>
          <w:kern w:val="44"/>
        </w:rPr>
        <w:t>鼓励示范区内的企业自行或者联合高等院校、科研院所在境内外设立研发机构和成果转化中心。</w:t>
      </w:r>
    </w:p>
    <w:p w14:paraId="48CEDBBB">
      <w:pPr>
        <w:jc w:val="left"/>
        <w:rPr>
          <w:rFonts w:ascii="宋体" w:hAnsi="宋体"/>
          <w:kern w:val="44"/>
        </w:rPr>
      </w:pPr>
      <w:r>
        <w:rPr>
          <w:rFonts w:hint="eastAsia" w:ascii="宋体" w:hAnsi="宋体"/>
          <w:kern w:val="44"/>
        </w:rPr>
        <w:t>鼓励高等院校、科研院所和示范区内的企业联合研发新技术、开发新产品。</w:t>
      </w:r>
    </w:p>
    <w:p w14:paraId="2BA5DC6A">
      <w:pPr>
        <w:jc w:val="left"/>
        <w:rPr>
          <w:rFonts w:ascii="宋体" w:hAnsi="宋体"/>
          <w:kern w:val="44"/>
        </w:rPr>
      </w:pPr>
      <w:r>
        <w:rPr>
          <w:rFonts w:hint="eastAsia" w:ascii="宋体" w:hAnsi="宋体"/>
          <w:kern w:val="44"/>
        </w:rPr>
        <w:t>鼓励高等院校、科研院所组织科技人员为示范区内的企业创新创业提供服务。</w:t>
      </w:r>
    </w:p>
    <w:p w14:paraId="07BCFD38">
      <w:pPr>
        <w:ind w:firstLine="422"/>
        <w:jc w:val="left"/>
        <w:rPr>
          <w:rFonts w:ascii="宋体" w:hAnsi="宋体"/>
          <w:kern w:val="44"/>
        </w:rPr>
      </w:pPr>
      <w:r>
        <w:rPr>
          <w:rFonts w:hint="eastAsia" w:ascii="宋体" w:hAnsi="宋体"/>
          <w:b/>
          <w:kern w:val="44"/>
        </w:rPr>
        <w:t>第二十条</w:t>
      </w:r>
      <w:r>
        <w:rPr>
          <w:rFonts w:hint="eastAsia" w:ascii="宋体" w:hAnsi="宋体"/>
          <w:kern w:val="44"/>
        </w:rPr>
        <w:t>　支持示范区内的中小企业技术创新，通过资金资助、设立孵化器、搭建公共服务平台等多种方式，引导中小企业向专、新、特、精方向发展，提高市场竞争力。</w:t>
      </w:r>
    </w:p>
    <w:p w14:paraId="72E4FBBF">
      <w:pPr>
        <w:ind w:firstLine="422"/>
        <w:jc w:val="left"/>
        <w:rPr>
          <w:rFonts w:ascii="宋体" w:hAnsi="宋体"/>
          <w:kern w:val="44"/>
        </w:rPr>
      </w:pPr>
      <w:r>
        <w:rPr>
          <w:rFonts w:hint="eastAsia" w:ascii="宋体" w:hAnsi="宋体"/>
          <w:b/>
          <w:kern w:val="44"/>
        </w:rPr>
        <w:t>第二十一条</w:t>
      </w:r>
      <w:r>
        <w:rPr>
          <w:rFonts w:hint="eastAsia" w:ascii="宋体" w:hAnsi="宋体"/>
          <w:kern w:val="44"/>
        </w:rPr>
        <w:t>　支持示范区内的企业、产业技术联盟按照规定申报国家或者地方科技型中小企业技术创新基金或者资金项目，参与承担国家和地方人民政府科技重大专项、科技基础设施建设、各类科技计划项目和重大高新技术产业化项目。</w:t>
      </w:r>
    </w:p>
    <w:p w14:paraId="0BBD4A17">
      <w:pPr>
        <w:jc w:val="left"/>
        <w:rPr>
          <w:rFonts w:ascii="宋体" w:hAnsi="宋体"/>
          <w:kern w:val="44"/>
        </w:rPr>
      </w:pPr>
      <w:r>
        <w:rPr>
          <w:rFonts w:hint="eastAsia" w:ascii="宋体" w:hAnsi="宋体"/>
          <w:kern w:val="44"/>
        </w:rPr>
        <w:t>市发展改革、科技、经济和信息化等行政管理部门在编制本市重大科技项目规划、计划和实施方案过程中，应当听取示范区内的企业、产业技术联盟的意见。</w:t>
      </w:r>
    </w:p>
    <w:p w14:paraId="6B360104">
      <w:pPr>
        <w:ind w:firstLine="422"/>
        <w:jc w:val="left"/>
        <w:rPr>
          <w:rFonts w:ascii="宋体" w:hAnsi="宋体"/>
          <w:kern w:val="44"/>
        </w:rPr>
      </w:pPr>
      <w:r>
        <w:rPr>
          <w:rFonts w:hint="eastAsia" w:ascii="宋体" w:hAnsi="宋体"/>
          <w:b/>
          <w:kern w:val="44"/>
        </w:rPr>
        <w:t>第二十二条</w:t>
      </w:r>
      <w:r>
        <w:rPr>
          <w:rFonts w:hint="eastAsia" w:ascii="宋体" w:hAnsi="宋体"/>
          <w:kern w:val="44"/>
        </w:rPr>
        <w:t>　示范区内的企业、高等院校、科研院所承担国家和本市科技重大专项项目（课题），可以按照一定比例在科技重大专项项目（课题）经费中列支间接费用，用于支付实施项目（课题）过程中发生的管理、协调、监督费用，以及其他无法在直接费用中列支的相关费用。</w:t>
      </w:r>
    </w:p>
    <w:p w14:paraId="2ED12A16">
      <w:pPr>
        <w:ind w:firstLine="422"/>
        <w:jc w:val="left"/>
        <w:rPr>
          <w:rFonts w:ascii="宋体" w:hAnsi="宋体"/>
          <w:kern w:val="44"/>
        </w:rPr>
      </w:pPr>
      <w:r>
        <w:rPr>
          <w:rFonts w:hint="eastAsia" w:ascii="宋体" w:hAnsi="宋体"/>
          <w:b/>
          <w:kern w:val="44"/>
        </w:rPr>
        <w:t>第二十三条</w:t>
      </w:r>
      <w:r>
        <w:rPr>
          <w:rFonts w:hint="eastAsia" w:ascii="宋体" w:hAnsi="宋体"/>
          <w:kern w:val="44"/>
        </w:rPr>
        <w:t>　市科技、教育、经济和信息化、发展改革、质量技术监督等行政管理部门应当整合公共科技资源，采取多种方式为示范区内的企业创新发展提供研发、工业设计、咨询、检测、测试等技术服务，帮助企业研发新产品、调整产品结构、创新管理和开拓市场。</w:t>
      </w:r>
    </w:p>
    <w:p w14:paraId="6C969DA9">
      <w:pPr>
        <w:ind w:firstLine="422"/>
        <w:jc w:val="left"/>
        <w:rPr>
          <w:rFonts w:ascii="宋体" w:hAnsi="宋体"/>
          <w:kern w:val="44"/>
        </w:rPr>
      </w:pPr>
      <w:r>
        <w:rPr>
          <w:rFonts w:hint="eastAsia" w:ascii="宋体" w:hAnsi="宋体"/>
          <w:b/>
          <w:kern w:val="44"/>
        </w:rPr>
        <w:t>第二十四条</w:t>
      </w:r>
      <w:r>
        <w:rPr>
          <w:rFonts w:hint="eastAsia" w:ascii="宋体" w:hAnsi="宋体"/>
          <w:kern w:val="44"/>
        </w:rPr>
        <w:t>　支持示范区内的企业、高等院校、科研院所、产业技术联盟利用各自优势，开放和共享科技资源，共同培养人才，共建国家和本市的工程研究中心、工程技术研究中心、重点实验室、企业技术中心等共性技术研发平台，联合承担科技项目，开展产学研用交流与合作。</w:t>
      </w:r>
    </w:p>
    <w:p w14:paraId="7FC8337D">
      <w:pPr>
        <w:jc w:val="left"/>
        <w:rPr>
          <w:rFonts w:ascii="宋体" w:hAnsi="宋体"/>
          <w:kern w:val="44"/>
        </w:rPr>
      </w:pPr>
      <w:r>
        <w:rPr>
          <w:rFonts w:hint="eastAsia" w:ascii="宋体" w:hAnsi="宋体"/>
          <w:kern w:val="44"/>
        </w:rPr>
        <w:t>支持战略科学家领衔组建新型科研机构。</w:t>
      </w:r>
    </w:p>
    <w:p w14:paraId="72F49208">
      <w:pPr>
        <w:ind w:firstLine="422"/>
        <w:jc w:val="left"/>
        <w:rPr>
          <w:rFonts w:ascii="宋体" w:hAnsi="宋体"/>
          <w:kern w:val="44"/>
        </w:rPr>
      </w:pPr>
      <w:r>
        <w:rPr>
          <w:rFonts w:hint="eastAsia" w:ascii="宋体" w:hAnsi="宋体"/>
          <w:b/>
          <w:kern w:val="44"/>
        </w:rPr>
        <w:t>第二十五条</w:t>
      </w:r>
      <w:r>
        <w:rPr>
          <w:rFonts w:hint="eastAsia" w:ascii="宋体" w:hAnsi="宋体"/>
          <w:kern w:val="44"/>
        </w:rPr>
        <w:t>　鼓励示范区内的企业、高等院校、科研院所依法转让科技成果。高等院校、科研院所按照国家和本市有关规定，可以将科技成果转化收益用于奖励和教学、科研及事业发展。</w:t>
      </w:r>
    </w:p>
    <w:p w14:paraId="236A6B06">
      <w:pPr>
        <w:jc w:val="left"/>
        <w:rPr>
          <w:rFonts w:ascii="宋体" w:hAnsi="宋体"/>
          <w:kern w:val="44"/>
        </w:rPr>
      </w:pPr>
      <w:r>
        <w:rPr>
          <w:rFonts w:hint="eastAsia" w:ascii="宋体" w:hAnsi="宋体"/>
          <w:kern w:val="44"/>
        </w:rPr>
        <w:t>鼓励高等院校、科研院所的科技人员在示范区创办企业，转化科技成果。</w:t>
      </w:r>
    </w:p>
    <w:p w14:paraId="739C7BD1">
      <w:pPr>
        <w:ind w:firstLine="422"/>
        <w:jc w:val="left"/>
        <w:rPr>
          <w:rFonts w:ascii="宋体" w:hAnsi="宋体"/>
          <w:kern w:val="44"/>
        </w:rPr>
      </w:pPr>
      <w:r>
        <w:rPr>
          <w:rFonts w:hint="eastAsia" w:ascii="宋体" w:hAnsi="宋体"/>
          <w:b/>
          <w:kern w:val="44"/>
        </w:rPr>
        <w:t>第二十六条</w:t>
      </w:r>
      <w:r>
        <w:rPr>
          <w:rFonts w:hint="eastAsia" w:ascii="宋体" w:hAnsi="宋体"/>
          <w:kern w:val="44"/>
        </w:rPr>
        <w:t>　对本市财政资金支持的科技项目，政府有关行政管理部门应当与示范区内承担项目的高等院校、科研院所、企业等组织就项目形成的科技成果约定知识产权目标和实施转化期限，在项目验收时对知识产权目标完成情况进行考核评价。</w:t>
      </w:r>
    </w:p>
    <w:p w14:paraId="5D2C68E3">
      <w:pPr>
        <w:ind w:firstLine="422"/>
        <w:jc w:val="left"/>
        <w:rPr>
          <w:rFonts w:ascii="宋体" w:hAnsi="宋体"/>
          <w:kern w:val="44"/>
        </w:rPr>
      </w:pPr>
      <w:r>
        <w:rPr>
          <w:rFonts w:hint="eastAsia" w:ascii="宋体" w:hAnsi="宋体"/>
          <w:b/>
          <w:kern w:val="44"/>
        </w:rPr>
        <w:t>第二十七条</w:t>
      </w:r>
      <w:r>
        <w:rPr>
          <w:rFonts w:hint="eastAsia" w:ascii="宋体" w:hAnsi="宋体"/>
          <w:kern w:val="44"/>
        </w:rPr>
        <w:t>　市人民政府有关部门应当根据国家自主创新战略和首都科学发展需要，定期发布一批关键核心技术研发和重大科技成果产业化与应用示范项目，按照公开、公平、公正原则，组织示范区内的企业、高等院校、科研院所和由其组成的联合体参与招标。</w:t>
      </w:r>
    </w:p>
    <w:p w14:paraId="7322D3F0">
      <w:pPr>
        <w:ind w:firstLine="422"/>
        <w:jc w:val="left"/>
        <w:rPr>
          <w:rFonts w:ascii="宋体" w:hAnsi="宋体"/>
          <w:kern w:val="44"/>
        </w:rPr>
      </w:pPr>
      <w:r>
        <w:rPr>
          <w:rFonts w:hint="eastAsia" w:ascii="宋体" w:hAnsi="宋体"/>
          <w:b/>
          <w:kern w:val="44"/>
        </w:rPr>
        <w:t>第二十八条</w:t>
      </w:r>
      <w:r>
        <w:rPr>
          <w:rFonts w:hint="eastAsia" w:ascii="宋体" w:hAnsi="宋体"/>
          <w:kern w:val="44"/>
        </w:rPr>
        <w:t>　市和区、县人民政府及有关部门运用政府采购政策，支持示范区创新创业主体的自主创新活动；通过首购、订购、首台（套）重大技术装备试验和组织实施示范项目、推广应用等方式，发挥政府采购对社会应用的示范引领作用。</w:t>
      </w:r>
    </w:p>
    <w:p w14:paraId="7A324B1C">
      <w:pPr>
        <w:ind w:firstLine="422"/>
        <w:jc w:val="left"/>
        <w:rPr>
          <w:rFonts w:ascii="宋体" w:hAnsi="宋体"/>
          <w:kern w:val="44"/>
        </w:rPr>
      </w:pPr>
      <w:r>
        <w:rPr>
          <w:rFonts w:hint="eastAsia" w:ascii="宋体" w:hAnsi="宋体"/>
          <w:b/>
          <w:kern w:val="44"/>
        </w:rPr>
        <w:t>第二十九条</w:t>
      </w:r>
      <w:r>
        <w:rPr>
          <w:rFonts w:hint="eastAsia" w:ascii="宋体" w:hAnsi="宋体"/>
          <w:kern w:val="44"/>
        </w:rPr>
        <w:t>　市科技行政管理部门应当将符合条件的示范区创新创业主体的创新产品纳入本市自主创新产品目录，推荐示范区创新创业主体的创新产品纳入国家自主创新产品目录。</w:t>
      </w:r>
    </w:p>
    <w:p w14:paraId="12BBF33D">
      <w:pPr>
        <w:jc w:val="left"/>
        <w:rPr>
          <w:rFonts w:ascii="宋体" w:hAnsi="宋体"/>
          <w:kern w:val="44"/>
        </w:rPr>
      </w:pPr>
      <w:r>
        <w:rPr>
          <w:rFonts w:hint="eastAsia" w:ascii="宋体" w:hAnsi="宋体"/>
          <w:kern w:val="44"/>
        </w:rPr>
        <w:t>市财政等行政管理部门应当建立健全使用首台（套）装备的风险补偿机制。</w:t>
      </w:r>
    </w:p>
    <w:p w14:paraId="7179D14A">
      <w:pPr>
        <w:ind w:firstLine="422"/>
        <w:jc w:val="left"/>
        <w:rPr>
          <w:rFonts w:ascii="宋体" w:hAnsi="宋体"/>
          <w:kern w:val="44"/>
        </w:rPr>
      </w:pPr>
      <w:r>
        <w:rPr>
          <w:rFonts w:hint="eastAsia" w:ascii="宋体" w:hAnsi="宋体"/>
          <w:b/>
          <w:kern w:val="44"/>
        </w:rPr>
        <w:t>第三十条</w:t>
      </w:r>
      <w:r>
        <w:rPr>
          <w:rFonts w:hint="eastAsia" w:ascii="宋体" w:hAnsi="宋体"/>
          <w:kern w:val="44"/>
        </w:rPr>
        <w:t>　使用市、区两级财政资金的采购以及市、区两级财政资金全额或者部分投资的市政设施、技术改造、医疗卫生、教育科研、节能环保等项目，应当采购、使用示范区创新创业主体的创新产品。</w:t>
      </w:r>
    </w:p>
    <w:p w14:paraId="1F58FA95">
      <w:pPr>
        <w:jc w:val="left"/>
        <w:rPr>
          <w:rFonts w:ascii="宋体" w:hAnsi="宋体"/>
          <w:kern w:val="44"/>
        </w:rPr>
      </w:pPr>
      <w:r>
        <w:rPr>
          <w:rFonts w:hint="eastAsia" w:ascii="宋体" w:hAnsi="宋体"/>
          <w:kern w:val="44"/>
        </w:rPr>
        <w:t>通过招标方式进行政府采购的，评标规则中应当对示范区创新创业主体的创新产品给予一定的价格扣除或者加分。</w:t>
      </w:r>
    </w:p>
    <w:p w14:paraId="7DB9B880">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人民政府应当不断加大科技资金的投入；建立健全资金统筹机制，统筹各类资金的使用，采取股权投资、贴息、补助等方式，重点支持示范区内的重大科技研发、成果转化项目；逐步提高科技和产业化资金的统筹比例和使用效率。</w:t>
      </w:r>
    </w:p>
    <w:p w14:paraId="68A86BCE">
      <w:pPr>
        <w:ind w:firstLine="422"/>
        <w:jc w:val="left"/>
        <w:rPr>
          <w:rFonts w:ascii="宋体" w:hAnsi="宋体"/>
          <w:kern w:val="44"/>
        </w:rPr>
      </w:pPr>
      <w:r>
        <w:rPr>
          <w:rFonts w:hint="eastAsia" w:ascii="宋体" w:hAnsi="宋体"/>
          <w:b/>
          <w:kern w:val="44"/>
        </w:rPr>
        <w:t>第三十二条</w:t>
      </w:r>
      <w:r>
        <w:rPr>
          <w:rFonts w:hint="eastAsia" w:ascii="宋体" w:hAnsi="宋体"/>
          <w:kern w:val="44"/>
        </w:rPr>
        <w:t>　市人民政府设立示范区发展专项资金，支持在示范区创新创业、建设创新环境和促进产业发展。</w:t>
      </w:r>
    </w:p>
    <w:p w14:paraId="5DC94DD4">
      <w:pPr>
        <w:jc w:val="left"/>
        <w:rPr>
          <w:rFonts w:ascii="宋体" w:hAnsi="宋体"/>
          <w:kern w:val="44"/>
        </w:rPr>
      </w:pPr>
      <w:r>
        <w:rPr>
          <w:rFonts w:hint="eastAsia" w:ascii="宋体" w:hAnsi="宋体"/>
          <w:kern w:val="44"/>
        </w:rPr>
        <w:t>市人民政府可以运用科技产业投资基金和绿色产业投资基金等产业投资基金，支持科技成果在示范区转化。</w:t>
      </w:r>
    </w:p>
    <w:p w14:paraId="365C80F7">
      <w:pPr>
        <w:ind w:firstLine="422"/>
        <w:jc w:val="left"/>
        <w:rPr>
          <w:rFonts w:ascii="宋体" w:hAnsi="宋体"/>
          <w:kern w:val="44"/>
        </w:rPr>
      </w:pPr>
      <w:r>
        <w:rPr>
          <w:rFonts w:hint="eastAsia" w:ascii="宋体" w:hAnsi="宋体"/>
          <w:b/>
          <w:kern w:val="44"/>
        </w:rPr>
        <w:t>第三十三条</w:t>
      </w:r>
      <w:r>
        <w:rPr>
          <w:rFonts w:hint="eastAsia" w:ascii="宋体" w:hAnsi="宋体"/>
          <w:kern w:val="44"/>
        </w:rPr>
        <w:t>　市和区、县人民政府及专利、商标、著作权等行政管理部门通过补贴、奖励等措施，支持示范区内的企业、高等院校、科研院所及相关人员获得专利权、商标注册和著作权登记。</w:t>
      </w:r>
    </w:p>
    <w:p w14:paraId="1DBCEDE1">
      <w:pPr>
        <w:jc w:val="left"/>
        <w:rPr>
          <w:rFonts w:ascii="宋体" w:hAnsi="宋体"/>
          <w:kern w:val="44"/>
        </w:rPr>
      </w:pPr>
      <w:r>
        <w:rPr>
          <w:rFonts w:hint="eastAsia" w:ascii="宋体" w:hAnsi="宋体"/>
          <w:kern w:val="44"/>
        </w:rPr>
        <w:t>鼓励示范区内的企业成立专利联盟，构建专利池，提高专利创造、运用、保护和管理的能力。</w:t>
      </w:r>
    </w:p>
    <w:p w14:paraId="05207B63">
      <w:pPr>
        <w:jc w:val="left"/>
        <w:rPr>
          <w:rFonts w:ascii="宋体" w:hAnsi="宋体"/>
          <w:kern w:val="44"/>
        </w:rPr>
      </w:pPr>
      <w:r>
        <w:rPr>
          <w:rFonts w:hint="eastAsia" w:ascii="宋体" w:hAnsi="宋体"/>
          <w:kern w:val="44"/>
        </w:rPr>
        <w:t>工商行政管理部门应当指导和帮助示范区内的企业制定和实施商标战略，加强商标管理，培育驰名商标、著名商标。</w:t>
      </w:r>
    </w:p>
    <w:p w14:paraId="1979A25E">
      <w:pPr>
        <w:jc w:val="left"/>
        <w:rPr>
          <w:rFonts w:ascii="宋体" w:hAnsi="宋体"/>
          <w:kern w:val="44"/>
        </w:rPr>
      </w:pPr>
      <w:r>
        <w:rPr>
          <w:rFonts w:hint="eastAsia" w:ascii="宋体" w:hAnsi="宋体"/>
          <w:kern w:val="44"/>
        </w:rPr>
        <w:t>工商行政管理部门可以依据企业申请，对企业的驰名商标、著名商标，在本市企业名称登记中予以保护。</w:t>
      </w:r>
    </w:p>
    <w:p w14:paraId="4BF12734">
      <w:pPr>
        <w:ind w:firstLine="422"/>
        <w:jc w:val="left"/>
        <w:rPr>
          <w:rFonts w:ascii="宋体" w:hAnsi="宋体"/>
          <w:kern w:val="44"/>
        </w:rPr>
      </w:pPr>
      <w:r>
        <w:rPr>
          <w:rFonts w:hint="eastAsia" w:ascii="宋体" w:hAnsi="宋体"/>
          <w:b/>
          <w:kern w:val="44"/>
        </w:rPr>
        <w:t>第三十四条</w:t>
      </w:r>
      <w:r>
        <w:rPr>
          <w:rFonts w:hint="eastAsia" w:ascii="宋体" w:hAnsi="宋体"/>
          <w:kern w:val="44"/>
        </w:rPr>
        <w:t>　支持示范区内的企业、高等院校、科研院所等创新创业主体开展标准创新，参与创制地方标准、行业标准、国家标准和国际标准，成立标准联盟，加强与国内外标准化组织的战略合作，推动技术标准的产业化应用，促进创新产品开发。</w:t>
      </w:r>
    </w:p>
    <w:p w14:paraId="7236793E">
      <w:pPr>
        <w:ind w:firstLine="422"/>
        <w:jc w:val="left"/>
        <w:rPr>
          <w:rFonts w:ascii="宋体" w:hAnsi="宋体"/>
          <w:kern w:val="44"/>
        </w:rPr>
      </w:pPr>
      <w:r>
        <w:rPr>
          <w:rFonts w:hint="eastAsia" w:ascii="宋体" w:hAnsi="宋体"/>
          <w:b/>
          <w:kern w:val="44"/>
        </w:rPr>
        <w:t>第三十五条</w:t>
      </w:r>
      <w:r>
        <w:rPr>
          <w:rFonts w:hint="eastAsia" w:ascii="宋体" w:hAnsi="宋体"/>
          <w:kern w:val="44"/>
        </w:rPr>
        <w:t>　专利、商标、著作权等行政管理部门应当建立健全示范区知识产权保护的举报、投诉、维权、援助平台以及有关案件行政处理的快速通道，完善行政机关之间以及行政机关与司法机关之间的案件移送和线索通报制度。</w:t>
      </w:r>
    </w:p>
    <w:p w14:paraId="73AF3AE1">
      <w:pPr>
        <w:jc w:val="left"/>
        <w:rPr>
          <w:rFonts w:ascii="宋体" w:hAnsi="宋体"/>
          <w:kern w:val="44"/>
        </w:rPr>
      </w:pPr>
      <w:r>
        <w:rPr>
          <w:rFonts w:hint="eastAsia" w:ascii="宋体" w:hAnsi="宋体"/>
          <w:kern w:val="44"/>
        </w:rPr>
        <w:t>专利行政管理部门应当鼓励、引导示范区内的企业建立专利预警制度，支持协会、知识产权中介机构为企业提供目标市场的知识产权预警和战略分析服务。</w:t>
      </w:r>
    </w:p>
    <w:p w14:paraId="008F9BD9">
      <w:pPr>
        <w:jc w:val="left"/>
        <w:rPr>
          <w:rFonts w:ascii="宋体" w:hAnsi="宋体"/>
          <w:kern w:val="44"/>
        </w:rPr>
      </w:pPr>
      <w:r>
        <w:rPr>
          <w:rFonts w:hint="eastAsia" w:ascii="宋体" w:hAnsi="宋体"/>
          <w:kern w:val="44"/>
        </w:rPr>
        <w:t>专利行政管理部门应当建立企业专利海外应急援助机制，指导企业、协会制定海外重大突发知识产权案件应对预案，支持协会、知识产权中介机构为企业提供海外知识产权纠纷、争端和突发事件的应急援助。</w:t>
      </w:r>
    </w:p>
    <w:p w14:paraId="4391B02F">
      <w:pPr>
        <w:jc w:val="left"/>
        <w:rPr>
          <w:rFonts w:ascii="宋体" w:hAnsi="宋体"/>
          <w:kern w:val="44"/>
        </w:rPr>
      </w:pPr>
    </w:p>
    <w:p w14:paraId="34FCB18D">
      <w:pPr>
        <w:ind w:firstLine="0" w:firstLineChars="0"/>
        <w:jc w:val="center"/>
        <w:rPr>
          <w:rFonts w:ascii="宋体" w:hAnsi="宋体"/>
          <w:b/>
          <w:kern w:val="44"/>
          <w:sz w:val="28"/>
        </w:rPr>
      </w:pPr>
      <w:r>
        <w:rPr>
          <w:rFonts w:hint="eastAsia" w:ascii="宋体" w:hAnsi="宋体"/>
          <w:b/>
          <w:kern w:val="44"/>
          <w:sz w:val="28"/>
        </w:rPr>
        <w:t>第四章　人才资源</w:t>
      </w:r>
    </w:p>
    <w:p w14:paraId="39BF443E">
      <w:pPr>
        <w:jc w:val="left"/>
        <w:rPr>
          <w:rFonts w:ascii="宋体" w:hAnsi="宋体"/>
          <w:kern w:val="44"/>
        </w:rPr>
      </w:pPr>
    </w:p>
    <w:p w14:paraId="7486DA71">
      <w:pPr>
        <w:ind w:firstLine="422"/>
        <w:jc w:val="left"/>
        <w:rPr>
          <w:rFonts w:ascii="宋体" w:hAnsi="宋体"/>
          <w:kern w:val="44"/>
        </w:rPr>
      </w:pPr>
      <w:r>
        <w:rPr>
          <w:rFonts w:hint="eastAsia" w:ascii="宋体" w:hAnsi="宋体"/>
          <w:b/>
          <w:kern w:val="44"/>
        </w:rPr>
        <w:t>第三十六条</w:t>
      </w:r>
      <w:r>
        <w:rPr>
          <w:rFonts w:hint="eastAsia" w:ascii="宋体" w:hAnsi="宋体"/>
          <w:kern w:val="44"/>
        </w:rPr>
        <w:t>　本市在示范区建设人才特区。</w:t>
      </w:r>
    </w:p>
    <w:p w14:paraId="2C620F31">
      <w:pPr>
        <w:jc w:val="left"/>
        <w:rPr>
          <w:rFonts w:ascii="宋体" w:hAnsi="宋体"/>
          <w:kern w:val="44"/>
        </w:rPr>
      </w:pPr>
      <w:r>
        <w:rPr>
          <w:rFonts w:hint="eastAsia" w:ascii="宋体" w:hAnsi="宋体"/>
          <w:kern w:val="44"/>
        </w:rPr>
        <w:t>示范区管理机构应当会同市有关部门，制定示范区创新创业型人才发展规划，建立健全人才培养、引进、使用、流动、评价等制度，为示范区内的人才发展提供服务和保障。</w:t>
      </w:r>
    </w:p>
    <w:p w14:paraId="3D9687C5">
      <w:pPr>
        <w:ind w:firstLine="422"/>
        <w:jc w:val="left"/>
        <w:rPr>
          <w:rFonts w:ascii="宋体" w:hAnsi="宋体"/>
          <w:kern w:val="44"/>
        </w:rPr>
      </w:pPr>
      <w:r>
        <w:rPr>
          <w:rFonts w:hint="eastAsia" w:ascii="宋体" w:hAnsi="宋体"/>
          <w:b/>
          <w:kern w:val="44"/>
        </w:rPr>
        <w:t>第三十七条</w:t>
      </w:r>
      <w:r>
        <w:rPr>
          <w:rFonts w:hint="eastAsia" w:ascii="宋体" w:hAnsi="宋体"/>
          <w:kern w:val="44"/>
        </w:rPr>
        <w:t>　支持示范区内的组织根据需要引进高端领军人才和高层次人才。市和区、县人民政府及有关部门应当根据国家和本市的有关规定为高端领军人才和高层次人才在企业设立、项目申报、科研条件保障、户口或者居住证办理、房屋购买和租赁等方面提供便利。</w:t>
      </w:r>
    </w:p>
    <w:p w14:paraId="1341D4D2">
      <w:pPr>
        <w:jc w:val="left"/>
        <w:rPr>
          <w:rFonts w:ascii="宋体" w:hAnsi="宋体"/>
          <w:kern w:val="44"/>
        </w:rPr>
      </w:pPr>
      <w:r>
        <w:rPr>
          <w:rFonts w:hint="eastAsia" w:ascii="宋体" w:hAnsi="宋体"/>
          <w:kern w:val="44"/>
        </w:rPr>
        <w:t>本市在示范区建立与促进科技成果转化相适应的职称评价制度，为工程技术人员提供职称评价服务；对示范区内的企业引进科技研发和成果转化方面的紧缺人才，建立侧重能力、业绩、潜力、贡献等综合素质的人才评价机制和突出贡献人才的直接引进机制。</w:t>
      </w:r>
    </w:p>
    <w:p w14:paraId="6C3381C5">
      <w:pPr>
        <w:ind w:firstLine="422"/>
        <w:jc w:val="left"/>
        <w:rPr>
          <w:rFonts w:ascii="宋体" w:hAnsi="宋体"/>
          <w:kern w:val="44"/>
        </w:rPr>
      </w:pPr>
      <w:r>
        <w:rPr>
          <w:rFonts w:hint="eastAsia" w:ascii="宋体" w:hAnsi="宋体"/>
          <w:b/>
          <w:kern w:val="44"/>
        </w:rPr>
        <w:t>第三十八条</w:t>
      </w:r>
      <w:r>
        <w:rPr>
          <w:rFonts w:hint="eastAsia" w:ascii="宋体" w:hAnsi="宋体"/>
          <w:kern w:val="44"/>
        </w:rPr>
        <w:t>　示范区内的高等院校、科研院所和企业按照国家和本市有关规定，可以采取职务科技成果入股、科技成果折股、股权奖励、股权出售、股票期权、科技成果收益分成等方式，对做出贡献的科技人员和经营管理人员进行股权和分红激励。</w:t>
      </w:r>
    </w:p>
    <w:p w14:paraId="3F3FE406">
      <w:pPr>
        <w:jc w:val="left"/>
        <w:rPr>
          <w:rFonts w:ascii="宋体" w:hAnsi="宋体"/>
          <w:kern w:val="44"/>
        </w:rPr>
      </w:pPr>
      <w:r>
        <w:rPr>
          <w:rFonts w:hint="eastAsia" w:ascii="宋体" w:hAnsi="宋体"/>
          <w:kern w:val="44"/>
        </w:rPr>
        <w:t>示范区内的高等院校、科研院所和企业可以探索符合自身特点和有利于鼓励创新的激励机制。</w:t>
      </w:r>
    </w:p>
    <w:p w14:paraId="12066151">
      <w:pPr>
        <w:ind w:firstLine="422"/>
        <w:jc w:val="left"/>
        <w:rPr>
          <w:rFonts w:ascii="宋体" w:hAnsi="宋体"/>
          <w:kern w:val="44"/>
        </w:rPr>
      </w:pPr>
      <w:r>
        <w:rPr>
          <w:rFonts w:hint="eastAsia" w:ascii="宋体" w:hAnsi="宋体"/>
          <w:b/>
          <w:kern w:val="44"/>
        </w:rPr>
        <w:t>第三十九条</w:t>
      </w:r>
      <w:r>
        <w:rPr>
          <w:rFonts w:hint="eastAsia" w:ascii="宋体" w:hAnsi="宋体"/>
          <w:kern w:val="44"/>
        </w:rPr>
        <w:t>　支持高等院校利用自身优势，结合示范区的发展需求开展新的学科建设，开设创新创业培训课程。支持示范区内的企业接收高等院校学生实习和就业，促进企业与高等院校合作培养创新型人才。</w:t>
      </w:r>
    </w:p>
    <w:p w14:paraId="3449A04B">
      <w:pPr>
        <w:jc w:val="left"/>
        <w:rPr>
          <w:rFonts w:ascii="宋体" w:hAnsi="宋体"/>
          <w:kern w:val="44"/>
        </w:rPr>
      </w:pPr>
      <w:r>
        <w:rPr>
          <w:rFonts w:hint="eastAsia" w:ascii="宋体" w:hAnsi="宋体"/>
          <w:kern w:val="44"/>
        </w:rPr>
        <w:t>支持企业、高等院校、科研院所的负责人举荐人才在示范区承担重大科技创新和产业化项目。</w:t>
      </w:r>
    </w:p>
    <w:p w14:paraId="2EA1930B">
      <w:pPr>
        <w:ind w:firstLine="422"/>
        <w:jc w:val="left"/>
        <w:rPr>
          <w:rFonts w:ascii="宋体" w:hAnsi="宋体"/>
          <w:kern w:val="44"/>
        </w:rPr>
      </w:pPr>
      <w:r>
        <w:rPr>
          <w:rFonts w:hint="eastAsia" w:ascii="宋体" w:hAnsi="宋体"/>
          <w:b/>
          <w:kern w:val="44"/>
        </w:rPr>
        <w:t>第四十条</w:t>
      </w:r>
      <w:r>
        <w:rPr>
          <w:rFonts w:hint="eastAsia" w:ascii="宋体" w:hAnsi="宋体"/>
          <w:kern w:val="44"/>
        </w:rPr>
        <w:t>　鼓励协会等社会组织在示范区开展人才信用评价和管理，建立人才信用记录，推广使用人才信用报告等信用产品。</w:t>
      </w:r>
    </w:p>
    <w:p w14:paraId="3D906532">
      <w:pPr>
        <w:ind w:firstLine="422"/>
        <w:jc w:val="left"/>
        <w:rPr>
          <w:rFonts w:ascii="宋体" w:hAnsi="宋体"/>
          <w:kern w:val="44"/>
        </w:rPr>
      </w:pPr>
      <w:r>
        <w:rPr>
          <w:rFonts w:hint="eastAsia" w:ascii="宋体" w:hAnsi="宋体"/>
          <w:b/>
          <w:kern w:val="44"/>
        </w:rPr>
        <w:t>第四十一条</w:t>
      </w:r>
      <w:r>
        <w:rPr>
          <w:rFonts w:hint="eastAsia" w:ascii="宋体" w:hAnsi="宋体"/>
          <w:kern w:val="44"/>
        </w:rPr>
        <w:t>　市人力资源和社会保障、科技、教育、经济和信息化、发展改革等行政管理部门应当建立健全示范区内的高等院校、科研院所的科技人员与企业的沟通交流机制，促进科技人员与企业的双向选择。</w:t>
      </w:r>
    </w:p>
    <w:p w14:paraId="7FA6FDA1">
      <w:pPr>
        <w:ind w:firstLine="422"/>
        <w:jc w:val="left"/>
        <w:rPr>
          <w:rFonts w:ascii="宋体" w:hAnsi="宋体"/>
          <w:kern w:val="44"/>
        </w:rPr>
      </w:pPr>
      <w:r>
        <w:rPr>
          <w:rFonts w:hint="eastAsia" w:ascii="宋体" w:hAnsi="宋体"/>
          <w:b/>
          <w:kern w:val="44"/>
        </w:rPr>
        <w:t>第四十二条</w:t>
      </w:r>
      <w:r>
        <w:rPr>
          <w:rFonts w:hint="eastAsia" w:ascii="宋体" w:hAnsi="宋体"/>
          <w:kern w:val="44"/>
        </w:rPr>
        <w:t>　市人民政府应当对在示范区创新创业、为示范区建设做出突出贡献的人员给予表彰和奖励。</w:t>
      </w:r>
    </w:p>
    <w:p w14:paraId="6FA497E6">
      <w:pPr>
        <w:ind w:firstLine="0" w:firstLineChars="0"/>
        <w:jc w:val="center"/>
        <w:rPr>
          <w:rFonts w:hint="eastAsia" w:ascii="宋体" w:hAnsi="宋体"/>
          <w:b/>
          <w:kern w:val="44"/>
          <w:sz w:val="28"/>
        </w:rPr>
      </w:pPr>
    </w:p>
    <w:p w14:paraId="6A2AD74E">
      <w:pPr>
        <w:ind w:firstLine="0" w:firstLineChars="0"/>
        <w:jc w:val="center"/>
        <w:rPr>
          <w:rFonts w:hint="eastAsia" w:ascii="宋体" w:hAnsi="宋体"/>
          <w:b/>
          <w:kern w:val="44"/>
          <w:sz w:val="28"/>
        </w:rPr>
      </w:pPr>
    </w:p>
    <w:p w14:paraId="676AB829">
      <w:pPr>
        <w:ind w:firstLine="0" w:firstLineChars="0"/>
        <w:jc w:val="center"/>
        <w:rPr>
          <w:rFonts w:ascii="宋体" w:hAnsi="宋体"/>
          <w:b/>
          <w:kern w:val="44"/>
          <w:sz w:val="28"/>
        </w:rPr>
      </w:pPr>
      <w:r>
        <w:rPr>
          <w:rFonts w:hint="eastAsia" w:ascii="宋体" w:hAnsi="宋体"/>
          <w:b/>
          <w:kern w:val="44"/>
          <w:sz w:val="28"/>
        </w:rPr>
        <w:t>第五章　科技金融</w:t>
      </w:r>
    </w:p>
    <w:p w14:paraId="0163E9AC">
      <w:pPr>
        <w:jc w:val="left"/>
        <w:rPr>
          <w:rFonts w:ascii="宋体" w:hAnsi="宋体"/>
          <w:kern w:val="44"/>
        </w:rPr>
      </w:pPr>
    </w:p>
    <w:p w14:paraId="27558979">
      <w:pPr>
        <w:ind w:firstLine="422"/>
        <w:jc w:val="left"/>
        <w:rPr>
          <w:rFonts w:ascii="宋体" w:hAnsi="宋体"/>
          <w:kern w:val="44"/>
        </w:rPr>
      </w:pPr>
      <w:r>
        <w:rPr>
          <w:rFonts w:hint="eastAsia" w:ascii="宋体" w:hAnsi="宋体"/>
          <w:b/>
          <w:kern w:val="44"/>
        </w:rPr>
        <w:t>第四十三条</w:t>
      </w:r>
      <w:r>
        <w:rPr>
          <w:rFonts w:hint="eastAsia" w:ascii="宋体" w:hAnsi="宋体"/>
          <w:kern w:val="44"/>
        </w:rPr>
        <w:t>　市和区、县人民政府及有关部门应当鼓励和支持各类金融机构在示范区开展金融创新，促进技术与资本的对接。</w:t>
      </w:r>
    </w:p>
    <w:p w14:paraId="20E3CE4E">
      <w:pPr>
        <w:jc w:val="left"/>
        <w:rPr>
          <w:rFonts w:ascii="宋体" w:hAnsi="宋体"/>
          <w:kern w:val="44"/>
        </w:rPr>
      </w:pPr>
      <w:r>
        <w:rPr>
          <w:rFonts w:hint="eastAsia" w:ascii="宋体" w:hAnsi="宋体"/>
          <w:kern w:val="44"/>
        </w:rPr>
        <w:t>市金融等行政管理部门应当健全企业上市联动机制，为企业上市提供综合协调和指导服务，支持示范区内的企业上市。支持示范区内的企业在证券公司代办股份转让系统挂牌。</w:t>
      </w:r>
    </w:p>
    <w:p w14:paraId="3D5D8DAB">
      <w:pPr>
        <w:jc w:val="left"/>
        <w:rPr>
          <w:rFonts w:ascii="宋体" w:hAnsi="宋体"/>
          <w:kern w:val="44"/>
        </w:rPr>
      </w:pPr>
      <w:r>
        <w:rPr>
          <w:rFonts w:hint="eastAsia" w:ascii="宋体" w:hAnsi="宋体"/>
          <w:kern w:val="44"/>
        </w:rPr>
        <w:t>支持示范区内的企业运用中期票据、短期融资券、公司债、信托计划等方式筹集资金，拓宽直接融资渠道。</w:t>
      </w:r>
    </w:p>
    <w:p w14:paraId="5C6B5576">
      <w:pPr>
        <w:ind w:firstLine="422"/>
        <w:jc w:val="left"/>
        <w:rPr>
          <w:rFonts w:ascii="宋体" w:hAnsi="宋体"/>
          <w:kern w:val="44"/>
        </w:rPr>
      </w:pPr>
      <w:r>
        <w:rPr>
          <w:rFonts w:hint="eastAsia" w:ascii="宋体" w:hAnsi="宋体"/>
          <w:b/>
          <w:kern w:val="44"/>
        </w:rPr>
        <w:t>第四十四条</w:t>
      </w:r>
      <w:r>
        <w:rPr>
          <w:rFonts w:hint="eastAsia" w:ascii="宋体" w:hAnsi="宋体"/>
          <w:kern w:val="44"/>
        </w:rPr>
        <w:t>　支持商业银行、担保机构、保险机构和小额贷款机构开展针对示范区内企业的知识产权质押、信用贷款等业务。</w:t>
      </w:r>
    </w:p>
    <w:p w14:paraId="5738B394">
      <w:pPr>
        <w:jc w:val="left"/>
        <w:rPr>
          <w:rFonts w:ascii="宋体" w:hAnsi="宋体"/>
          <w:kern w:val="44"/>
        </w:rPr>
      </w:pPr>
      <w:r>
        <w:rPr>
          <w:rFonts w:hint="eastAsia" w:ascii="宋体" w:hAnsi="宋体"/>
          <w:kern w:val="44"/>
        </w:rPr>
        <w:t>支持商业银行在示范区内设立专营机构，创新金融产品和服务方式，创新考核奖励、风险管理、授信、贷款审批和发放等机制，为企业融资服务。</w:t>
      </w:r>
    </w:p>
    <w:p w14:paraId="2450AA8E">
      <w:pPr>
        <w:jc w:val="left"/>
        <w:rPr>
          <w:rFonts w:ascii="宋体" w:hAnsi="宋体"/>
          <w:kern w:val="44"/>
        </w:rPr>
      </w:pPr>
      <w:r>
        <w:rPr>
          <w:rFonts w:hint="eastAsia" w:ascii="宋体" w:hAnsi="宋体"/>
          <w:kern w:val="44"/>
        </w:rPr>
        <w:t>支持企业和其他组织在示范区内设立为科技型企业服务的小额贷款机构和担保机构。</w:t>
      </w:r>
    </w:p>
    <w:p w14:paraId="11FBD806">
      <w:pPr>
        <w:jc w:val="left"/>
        <w:rPr>
          <w:rFonts w:ascii="宋体" w:hAnsi="宋体"/>
          <w:kern w:val="44"/>
        </w:rPr>
      </w:pPr>
      <w:r>
        <w:rPr>
          <w:rFonts w:hint="eastAsia" w:ascii="宋体" w:hAnsi="宋体"/>
          <w:kern w:val="44"/>
        </w:rPr>
        <w:t>本市建立贷款风险补偿机制，为商业银行、担保机构、保险机构和小额贷款机构开展针对示范区内企业的知识产权质押、信用贷款、信用保险、贸易融资、产业链融资等提供风险补偿。</w:t>
      </w:r>
    </w:p>
    <w:p w14:paraId="0BC89A64">
      <w:pPr>
        <w:ind w:firstLine="422"/>
        <w:jc w:val="left"/>
        <w:rPr>
          <w:rFonts w:ascii="宋体" w:hAnsi="宋体"/>
          <w:kern w:val="44"/>
        </w:rPr>
      </w:pPr>
      <w:r>
        <w:rPr>
          <w:rFonts w:hint="eastAsia" w:ascii="宋体" w:hAnsi="宋体"/>
          <w:b/>
          <w:kern w:val="44"/>
        </w:rPr>
        <w:t>第四十五条</w:t>
      </w:r>
      <w:r>
        <w:rPr>
          <w:rFonts w:hint="eastAsia" w:ascii="宋体" w:hAnsi="宋体"/>
          <w:kern w:val="44"/>
        </w:rPr>
        <w:t>　市和区、县人民政府及有关部门设立创业投资引导资金和基金，采取阶段参股、跟进投资、风险补助等多种方式，支持境内外创业投资机构在示范区开展不同阶段的投资业务。</w:t>
      </w:r>
    </w:p>
    <w:p w14:paraId="441EFBED">
      <w:pPr>
        <w:ind w:firstLine="422"/>
        <w:jc w:val="left"/>
        <w:rPr>
          <w:rFonts w:ascii="宋体" w:hAnsi="宋体"/>
          <w:kern w:val="44"/>
        </w:rPr>
      </w:pPr>
      <w:r>
        <w:rPr>
          <w:rFonts w:hint="eastAsia" w:ascii="宋体" w:hAnsi="宋体"/>
          <w:b/>
          <w:kern w:val="44"/>
        </w:rPr>
        <w:t>第四十六条</w:t>
      </w:r>
      <w:r>
        <w:rPr>
          <w:rFonts w:hint="eastAsia" w:ascii="宋体" w:hAnsi="宋体"/>
          <w:kern w:val="44"/>
        </w:rPr>
        <w:t>　政府有关行政管理部门应当支持商业银行、担保机构、保险机构为示范区内的中小企业投标承担国家和地方人民政府立项的重大建设工程提供优惠、便捷的金融服务，对由此产生的相关费用，给予一定比例的补贴或者其他资金支持。</w:t>
      </w:r>
    </w:p>
    <w:p w14:paraId="7DC2B987">
      <w:pPr>
        <w:ind w:firstLine="422"/>
        <w:jc w:val="left"/>
        <w:rPr>
          <w:rFonts w:ascii="宋体" w:hAnsi="宋体"/>
          <w:kern w:val="44"/>
        </w:rPr>
      </w:pPr>
      <w:r>
        <w:rPr>
          <w:rFonts w:hint="eastAsia" w:ascii="宋体" w:hAnsi="宋体"/>
          <w:b/>
          <w:kern w:val="44"/>
        </w:rPr>
        <w:t>第四十七条</w:t>
      </w:r>
      <w:r>
        <w:rPr>
          <w:rFonts w:hint="eastAsia" w:ascii="宋体" w:hAnsi="宋体"/>
          <w:kern w:val="44"/>
        </w:rPr>
        <w:t>　支持示范区内的企业购买产品研发责任保险、关键研发设备保险、营业中断保险、信用保险、高管人员和关键研发人员团体健康保险、意外保险、补充医疗保险和补充商业养老保险等保险服务。</w:t>
      </w:r>
    </w:p>
    <w:p w14:paraId="254CDD02">
      <w:pPr>
        <w:jc w:val="left"/>
        <w:rPr>
          <w:rFonts w:ascii="宋体" w:hAnsi="宋体"/>
          <w:kern w:val="44"/>
        </w:rPr>
      </w:pPr>
      <w:r>
        <w:rPr>
          <w:rFonts w:hint="eastAsia" w:ascii="宋体" w:hAnsi="宋体"/>
          <w:kern w:val="44"/>
        </w:rPr>
        <w:t>鼓励保险机构在示范区设立专营机构，创新保险产品，建立保险理赔快速通道，分散企业创业风险。</w:t>
      </w:r>
    </w:p>
    <w:p w14:paraId="64C89878">
      <w:pPr>
        <w:ind w:firstLine="422"/>
        <w:jc w:val="left"/>
        <w:rPr>
          <w:rFonts w:ascii="宋体" w:hAnsi="宋体"/>
          <w:kern w:val="44"/>
        </w:rPr>
      </w:pPr>
      <w:r>
        <w:rPr>
          <w:rFonts w:hint="eastAsia" w:ascii="宋体" w:hAnsi="宋体"/>
          <w:b/>
          <w:kern w:val="44"/>
        </w:rPr>
        <w:t>第四十八条</w:t>
      </w:r>
      <w:r>
        <w:rPr>
          <w:rFonts w:hint="eastAsia" w:ascii="宋体" w:hAnsi="宋体"/>
          <w:kern w:val="44"/>
        </w:rPr>
        <w:t>　市和区、县人民政府鼓励和支持示范区内的企业开展并购重组，对符合条件的，按照规定给予政策和资金支持。</w:t>
      </w:r>
    </w:p>
    <w:p w14:paraId="7A59CAA1">
      <w:pPr>
        <w:jc w:val="left"/>
        <w:rPr>
          <w:rFonts w:ascii="宋体" w:hAnsi="宋体"/>
          <w:kern w:val="44"/>
        </w:rPr>
      </w:pPr>
    </w:p>
    <w:p w14:paraId="2EFB442F">
      <w:pPr>
        <w:ind w:firstLine="0" w:firstLineChars="0"/>
        <w:jc w:val="center"/>
        <w:rPr>
          <w:rFonts w:ascii="宋体" w:hAnsi="宋体"/>
          <w:b/>
          <w:kern w:val="44"/>
          <w:sz w:val="28"/>
        </w:rPr>
      </w:pPr>
      <w:r>
        <w:rPr>
          <w:rFonts w:hint="eastAsia" w:ascii="宋体" w:hAnsi="宋体"/>
          <w:b/>
          <w:kern w:val="44"/>
          <w:sz w:val="28"/>
        </w:rPr>
        <w:t>第六章　土地利用</w:t>
      </w:r>
    </w:p>
    <w:p w14:paraId="2222CF3D">
      <w:pPr>
        <w:jc w:val="left"/>
        <w:rPr>
          <w:rFonts w:ascii="宋体" w:hAnsi="宋体"/>
          <w:kern w:val="44"/>
        </w:rPr>
      </w:pPr>
    </w:p>
    <w:p w14:paraId="13EC2ADE">
      <w:pPr>
        <w:ind w:firstLine="422"/>
        <w:jc w:val="left"/>
        <w:rPr>
          <w:rFonts w:ascii="宋体" w:hAnsi="宋体"/>
          <w:kern w:val="44"/>
        </w:rPr>
      </w:pPr>
      <w:r>
        <w:rPr>
          <w:rFonts w:hint="eastAsia" w:ascii="宋体" w:hAnsi="宋体"/>
          <w:b/>
          <w:kern w:val="44"/>
        </w:rPr>
        <w:t>第四十九条</w:t>
      </w:r>
      <w:r>
        <w:rPr>
          <w:rFonts w:hint="eastAsia" w:ascii="宋体" w:hAnsi="宋体"/>
          <w:kern w:val="44"/>
        </w:rPr>
        <w:t>　市和区、县人民政府应当根据示范区发展规划纲要的要求，统筹示范区与周边地区的基础设施、公共设施以及其他配套设施的开发建设与利用。</w:t>
      </w:r>
    </w:p>
    <w:p w14:paraId="0147CBE7">
      <w:pPr>
        <w:ind w:firstLine="422"/>
        <w:jc w:val="left"/>
        <w:rPr>
          <w:rFonts w:ascii="宋体" w:hAnsi="宋体"/>
          <w:kern w:val="44"/>
        </w:rPr>
      </w:pPr>
      <w:r>
        <w:rPr>
          <w:rFonts w:hint="eastAsia" w:ascii="宋体" w:hAnsi="宋体"/>
          <w:b/>
          <w:kern w:val="44"/>
        </w:rPr>
        <w:t>第五十条</w:t>
      </w:r>
      <w:r>
        <w:rPr>
          <w:rFonts w:hint="eastAsia" w:ascii="宋体" w:hAnsi="宋体"/>
          <w:kern w:val="44"/>
        </w:rPr>
        <w:t>　示范区集中新建区的建设用地应当用于高新技术产业、战略性新兴产业项目和配套设施建设。</w:t>
      </w:r>
    </w:p>
    <w:p w14:paraId="2125FA31">
      <w:pPr>
        <w:jc w:val="left"/>
        <w:rPr>
          <w:rFonts w:ascii="宋体" w:hAnsi="宋体"/>
          <w:kern w:val="44"/>
        </w:rPr>
      </w:pPr>
      <w:r>
        <w:rPr>
          <w:rFonts w:hint="eastAsia" w:ascii="宋体" w:hAnsi="宋体"/>
          <w:kern w:val="44"/>
        </w:rPr>
        <w:t>鼓励将示范区城市建成区存量土地用于发展高新技术产业、战略性新兴产业。</w:t>
      </w:r>
    </w:p>
    <w:p w14:paraId="5240CAC0">
      <w:pPr>
        <w:jc w:val="left"/>
        <w:rPr>
          <w:rFonts w:ascii="宋体" w:hAnsi="宋体"/>
          <w:kern w:val="44"/>
        </w:rPr>
      </w:pPr>
      <w:r>
        <w:rPr>
          <w:rFonts w:hint="eastAsia" w:ascii="宋体" w:hAnsi="宋体"/>
          <w:kern w:val="44"/>
        </w:rPr>
        <w:t>市国土资源等行政管理部门应当建立示范区土地节约集约利用的评价和动态监测机制，提高建设用地的利用效率。</w:t>
      </w:r>
    </w:p>
    <w:p w14:paraId="166CD9C0">
      <w:pPr>
        <w:ind w:firstLine="422"/>
        <w:jc w:val="left"/>
        <w:rPr>
          <w:rFonts w:ascii="宋体" w:hAnsi="宋体"/>
          <w:kern w:val="44"/>
        </w:rPr>
      </w:pPr>
      <w:r>
        <w:rPr>
          <w:rFonts w:hint="eastAsia" w:ascii="宋体" w:hAnsi="宋体"/>
          <w:b/>
          <w:kern w:val="44"/>
        </w:rPr>
        <w:t>第五十一条</w:t>
      </w:r>
      <w:r>
        <w:rPr>
          <w:rFonts w:hint="eastAsia" w:ascii="宋体" w:hAnsi="宋体"/>
          <w:kern w:val="44"/>
        </w:rPr>
        <w:t>　示范区管理机构应当会同市人民政府有关行政管理部门、有关区县人民政府，建立对企业使用示范区建设用地的联审机制，制定示范区的产业目录和项目入驻标准、程序，统筹企业、项目的进入、调整和迁出。</w:t>
      </w:r>
    </w:p>
    <w:p w14:paraId="10FE4293">
      <w:pPr>
        <w:ind w:firstLine="422"/>
        <w:jc w:val="left"/>
        <w:rPr>
          <w:rFonts w:ascii="宋体" w:hAnsi="宋体"/>
          <w:kern w:val="44"/>
        </w:rPr>
      </w:pPr>
      <w:r>
        <w:rPr>
          <w:rFonts w:hint="eastAsia" w:ascii="宋体" w:hAnsi="宋体"/>
          <w:b/>
          <w:kern w:val="44"/>
        </w:rPr>
        <w:t>第五十二条</w:t>
      </w:r>
      <w:r>
        <w:rPr>
          <w:rFonts w:hint="eastAsia" w:ascii="宋体" w:hAnsi="宋体"/>
          <w:kern w:val="44"/>
        </w:rPr>
        <w:t>　示范区内高新技术产业、战略性新兴产业的研发和产业化项目用地，经报请市人民政府批准后，可以采取协议出让等方式。</w:t>
      </w:r>
    </w:p>
    <w:p w14:paraId="52E6F75A">
      <w:pPr>
        <w:jc w:val="left"/>
        <w:rPr>
          <w:rFonts w:ascii="宋体" w:hAnsi="宋体"/>
          <w:kern w:val="44"/>
        </w:rPr>
      </w:pPr>
      <w:r>
        <w:rPr>
          <w:rFonts w:hint="eastAsia" w:ascii="宋体" w:hAnsi="宋体"/>
          <w:kern w:val="44"/>
        </w:rPr>
        <w:t>示范区内原以协议出让方式取得的国有土地使用权不得擅自转让、改变用途；确需转让的，须报请市人民政府批准，土地所在地的区人民政府根据国家有关规定享有优先购买权。</w:t>
      </w:r>
    </w:p>
    <w:p w14:paraId="51705146">
      <w:pPr>
        <w:jc w:val="left"/>
        <w:rPr>
          <w:rFonts w:ascii="宋体" w:hAnsi="宋体"/>
          <w:kern w:val="44"/>
        </w:rPr>
      </w:pPr>
      <w:r>
        <w:rPr>
          <w:rFonts w:hint="eastAsia" w:ascii="宋体" w:hAnsi="宋体"/>
          <w:kern w:val="44"/>
        </w:rPr>
        <w:t>示范区探索集体建设用地使用的流转机制，重大科技成果研发和产业化项目可以通过租赁、入股和联营联建等方式使用集体建设用地。</w:t>
      </w:r>
    </w:p>
    <w:p w14:paraId="1511F749">
      <w:pPr>
        <w:jc w:val="left"/>
        <w:rPr>
          <w:rFonts w:ascii="宋体" w:hAnsi="宋体"/>
          <w:kern w:val="44"/>
        </w:rPr>
      </w:pPr>
    </w:p>
    <w:p w14:paraId="143B6250">
      <w:pPr>
        <w:ind w:firstLine="0" w:firstLineChars="0"/>
        <w:jc w:val="center"/>
        <w:rPr>
          <w:rFonts w:ascii="宋体" w:hAnsi="宋体"/>
          <w:b/>
          <w:kern w:val="44"/>
          <w:sz w:val="28"/>
        </w:rPr>
      </w:pPr>
      <w:r>
        <w:rPr>
          <w:rFonts w:hint="eastAsia" w:ascii="宋体" w:hAnsi="宋体"/>
          <w:b/>
          <w:kern w:val="44"/>
          <w:sz w:val="28"/>
        </w:rPr>
        <w:t>第七章　政府服务和管理</w:t>
      </w:r>
    </w:p>
    <w:p w14:paraId="7C508A33">
      <w:pPr>
        <w:jc w:val="left"/>
        <w:rPr>
          <w:rFonts w:ascii="宋体" w:hAnsi="宋体"/>
          <w:kern w:val="44"/>
        </w:rPr>
      </w:pPr>
    </w:p>
    <w:p w14:paraId="2CCE4B44">
      <w:pPr>
        <w:ind w:firstLine="422"/>
        <w:jc w:val="left"/>
        <w:rPr>
          <w:rFonts w:ascii="宋体" w:hAnsi="宋体"/>
          <w:kern w:val="44"/>
        </w:rPr>
      </w:pPr>
      <w:r>
        <w:rPr>
          <w:rFonts w:hint="eastAsia" w:ascii="宋体" w:hAnsi="宋体"/>
          <w:b/>
          <w:kern w:val="44"/>
        </w:rPr>
        <w:t>第五十三条</w:t>
      </w:r>
      <w:r>
        <w:rPr>
          <w:rFonts w:hint="eastAsia" w:ascii="宋体" w:hAnsi="宋体"/>
          <w:kern w:val="44"/>
        </w:rPr>
        <w:t>　市人民政府会同国务院相关部门建立示范区科技创新和产业化促进中心服务平台，健全跨层级联合工作机制，统筹政府的资金投入和土地、人才、技术等创新资源配置，推进政策先行先试、重大科技成果产业化、科技金融改革、创新型人才服务、新技术应用推广和新产品政府采购等工作。</w:t>
      </w:r>
    </w:p>
    <w:p w14:paraId="766B7E9D">
      <w:pPr>
        <w:ind w:firstLine="422"/>
        <w:jc w:val="left"/>
        <w:rPr>
          <w:rFonts w:ascii="宋体" w:hAnsi="宋体"/>
          <w:kern w:val="44"/>
        </w:rPr>
      </w:pPr>
      <w:r>
        <w:rPr>
          <w:rFonts w:hint="eastAsia" w:ascii="宋体" w:hAnsi="宋体"/>
          <w:b/>
          <w:kern w:val="44"/>
        </w:rPr>
        <w:t>第五十四条</w:t>
      </w:r>
      <w:r>
        <w:rPr>
          <w:rFonts w:hint="eastAsia" w:ascii="宋体" w:hAnsi="宋体"/>
          <w:kern w:val="44"/>
        </w:rPr>
        <w:t>　市人民政府及有关部门根据示范区发展规划纲要和本市国民经济和社会发展规划、城市总体规划、土地利用总体规划，按照生态良好、节能环保、用地集约、产业聚集、设施配套的原则，编制示范区建设的各类规划。</w:t>
      </w:r>
    </w:p>
    <w:p w14:paraId="2822C64E">
      <w:pPr>
        <w:jc w:val="left"/>
        <w:rPr>
          <w:rFonts w:ascii="宋体" w:hAnsi="宋体"/>
          <w:kern w:val="44"/>
        </w:rPr>
      </w:pPr>
      <w:r>
        <w:rPr>
          <w:rFonts w:hint="eastAsia" w:ascii="宋体" w:hAnsi="宋体"/>
          <w:kern w:val="44"/>
        </w:rPr>
        <w:t>市和区、县人民政府及有关部门在各自职责范围内负责组织实施相关规划。</w:t>
      </w:r>
    </w:p>
    <w:p w14:paraId="6C7C5AD1">
      <w:pPr>
        <w:jc w:val="left"/>
        <w:rPr>
          <w:rFonts w:ascii="宋体" w:hAnsi="宋体"/>
          <w:kern w:val="44"/>
        </w:rPr>
      </w:pPr>
      <w:r>
        <w:rPr>
          <w:rFonts w:hint="eastAsia" w:ascii="宋体" w:hAnsi="宋体"/>
          <w:kern w:val="44"/>
        </w:rPr>
        <w:t>市人民政府及有关部门应当组织对示范区各类规划的实施情况进行评估，根据评估结果可以依法对规划进行调整。</w:t>
      </w:r>
    </w:p>
    <w:p w14:paraId="0D977B92">
      <w:pPr>
        <w:ind w:firstLine="422"/>
        <w:jc w:val="left"/>
        <w:rPr>
          <w:rFonts w:ascii="宋体" w:hAnsi="宋体"/>
          <w:kern w:val="44"/>
        </w:rPr>
      </w:pPr>
      <w:r>
        <w:rPr>
          <w:rFonts w:hint="eastAsia" w:ascii="宋体" w:hAnsi="宋体"/>
          <w:b/>
          <w:kern w:val="44"/>
        </w:rPr>
        <w:t>第五十五条</w:t>
      </w:r>
      <w:r>
        <w:rPr>
          <w:rFonts w:hint="eastAsia" w:ascii="宋体" w:hAnsi="宋体"/>
          <w:kern w:val="44"/>
        </w:rPr>
        <w:t>　本市各级人民政府及有关部门对示范区内的组织和个人办理行政许可、审批、年检和其他服务、管理事项，应当简化程序、缩短期限、减少层级、优化流程，提高行政管理效率和服务水平。</w:t>
      </w:r>
    </w:p>
    <w:p w14:paraId="11C660D8">
      <w:pPr>
        <w:jc w:val="left"/>
        <w:rPr>
          <w:rFonts w:ascii="宋体" w:hAnsi="宋体"/>
          <w:kern w:val="44"/>
        </w:rPr>
      </w:pPr>
      <w:r>
        <w:rPr>
          <w:rFonts w:hint="eastAsia" w:ascii="宋体" w:hAnsi="宋体"/>
          <w:kern w:val="44"/>
        </w:rPr>
        <w:t>市和区、县人民政府及有关部门应当通过多种方式，主动公开对示范区建设所采取的支持措施的适用范围、标准和条件、申请程序以及其他相关信息，方便组织和个人查询。</w:t>
      </w:r>
    </w:p>
    <w:p w14:paraId="0FD753F7">
      <w:pPr>
        <w:ind w:firstLine="422"/>
        <w:jc w:val="left"/>
        <w:rPr>
          <w:rFonts w:ascii="宋体" w:hAnsi="宋体"/>
          <w:kern w:val="44"/>
        </w:rPr>
      </w:pPr>
      <w:r>
        <w:rPr>
          <w:rFonts w:hint="eastAsia" w:ascii="宋体" w:hAnsi="宋体"/>
          <w:b/>
          <w:kern w:val="44"/>
        </w:rPr>
        <w:t>第五十六条</w:t>
      </w:r>
      <w:r>
        <w:rPr>
          <w:rFonts w:hint="eastAsia" w:ascii="宋体" w:hAnsi="宋体"/>
          <w:kern w:val="44"/>
        </w:rPr>
        <w:t>　本市实行示范区重大行政决策公开征求意见制度和科学论证制度。有关示范区建设的重大行政决策事项，决策机关应当采取座谈会、论证会、听证会、媒体公开征集意见等方式广泛听取意见，并组织专家或者研究咨询机构对重大行政决策方案进行论证。</w:t>
      </w:r>
    </w:p>
    <w:p w14:paraId="6153B7E0">
      <w:pPr>
        <w:jc w:val="left"/>
        <w:rPr>
          <w:rFonts w:ascii="宋体" w:hAnsi="宋体"/>
          <w:kern w:val="44"/>
        </w:rPr>
      </w:pPr>
      <w:r>
        <w:rPr>
          <w:rFonts w:hint="eastAsia" w:ascii="宋体" w:hAnsi="宋体"/>
          <w:kern w:val="44"/>
        </w:rPr>
        <w:t>市和区、县人民政府及有关部门应当加强与协会等社会组织的沟通协调，支持社会组织参与相关政策、规划、计划的起草和拟订，归集、反映行业动态或者成员诉求，反馈相关政策实施情况。</w:t>
      </w:r>
    </w:p>
    <w:p w14:paraId="35936D29">
      <w:pPr>
        <w:ind w:firstLine="422"/>
        <w:jc w:val="left"/>
        <w:rPr>
          <w:rFonts w:ascii="宋体" w:hAnsi="宋体"/>
          <w:kern w:val="44"/>
        </w:rPr>
      </w:pPr>
      <w:r>
        <w:rPr>
          <w:rFonts w:hint="eastAsia" w:ascii="宋体" w:hAnsi="宋体"/>
          <w:b/>
          <w:kern w:val="44"/>
        </w:rPr>
        <w:t>第五十七条</w:t>
      </w:r>
      <w:r>
        <w:rPr>
          <w:rFonts w:hint="eastAsia" w:ascii="宋体" w:hAnsi="宋体"/>
          <w:kern w:val="44"/>
        </w:rPr>
        <w:t>　市人力资源和社会保障、科技、金融、专利、商标、著作权等行政管理部门应当组织建设人才流动和技术、资本、产权交易的平台，促进创新要素的聚集和高效配置。</w:t>
      </w:r>
    </w:p>
    <w:p w14:paraId="49E52CFE">
      <w:pPr>
        <w:ind w:firstLine="422"/>
        <w:jc w:val="left"/>
        <w:rPr>
          <w:rFonts w:ascii="宋体" w:hAnsi="宋体"/>
          <w:kern w:val="44"/>
        </w:rPr>
      </w:pPr>
      <w:r>
        <w:rPr>
          <w:rFonts w:hint="eastAsia" w:ascii="宋体" w:hAnsi="宋体"/>
          <w:b/>
          <w:kern w:val="44"/>
        </w:rPr>
        <w:t>第五十八条</w:t>
      </w:r>
      <w:r>
        <w:rPr>
          <w:rFonts w:hint="eastAsia" w:ascii="宋体" w:hAnsi="宋体"/>
          <w:kern w:val="44"/>
        </w:rPr>
        <w:t>　市统计行政管理部门应当设立示范区统计机构，建立并完善符合示范区发展特点的统计指标体系，负责组织实施统计调查，对示范区建设情况进行监测、分析、预警和评价，组织编制并定期发布中关村指数。</w:t>
      </w:r>
    </w:p>
    <w:p w14:paraId="27A57249">
      <w:pPr>
        <w:ind w:firstLine="422"/>
        <w:jc w:val="left"/>
        <w:rPr>
          <w:rFonts w:ascii="宋体" w:hAnsi="宋体"/>
          <w:kern w:val="44"/>
        </w:rPr>
      </w:pPr>
      <w:r>
        <w:rPr>
          <w:rFonts w:hint="eastAsia" w:ascii="宋体" w:hAnsi="宋体"/>
          <w:b/>
          <w:kern w:val="44"/>
        </w:rPr>
        <w:t>第五十九条</w:t>
      </w:r>
      <w:r>
        <w:rPr>
          <w:rFonts w:hint="eastAsia" w:ascii="宋体" w:hAnsi="宋体"/>
          <w:kern w:val="44"/>
        </w:rPr>
        <w:t>　示范区应当完善企业信用体系，建立健全企业信用信息的数据库和公共服务平台，推广使用企业信用报告等信用产品，培育信用产品的应用市场。</w:t>
      </w:r>
    </w:p>
    <w:p w14:paraId="204426DE">
      <w:pPr>
        <w:jc w:val="left"/>
        <w:rPr>
          <w:rFonts w:ascii="宋体" w:hAnsi="宋体"/>
          <w:kern w:val="44"/>
        </w:rPr>
      </w:pPr>
      <w:r>
        <w:rPr>
          <w:rFonts w:hint="eastAsia" w:ascii="宋体" w:hAnsi="宋体"/>
          <w:kern w:val="44"/>
        </w:rPr>
        <w:t>政府有关部门应当在政府采购、财政资助、政府投资项目招标等事项办理中，将企业信用报告作为了解企业信用状况的参考。</w:t>
      </w:r>
    </w:p>
    <w:p w14:paraId="33F7BF1B">
      <w:pPr>
        <w:jc w:val="left"/>
        <w:rPr>
          <w:rFonts w:ascii="宋体" w:hAnsi="宋体"/>
          <w:kern w:val="44"/>
        </w:rPr>
      </w:pPr>
      <w:r>
        <w:rPr>
          <w:rFonts w:hint="eastAsia" w:ascii="宋体" w:hAnsi="宋体"/>
          <w:kern w:val="44"/>
        </w:rPr>
        <w:t>鼓励商业银行、担保机构、小额贷款机构在融资服务中使用企业信用报告。</w:t>
      </w:r>
    </w:p>
    <w:p w14:paraId="71B299D1">
      <w:pPr>
        <w:ind w:firstLine="422"/>
        <w:jc w:val="left"/>
        <w:rPr>
          <w:rFonts w:ascii="宋体" w:hAnsi="宋体"/>
          <w:kern w:val="44"/>
        </w:rPr>
      </w:pPr>
      <w:r>
        <w:rPr>
          <w:rFonts w:hint="eastAsia" w:ascii="宋体" w:hAnsi="宋体"/>
          <w:b/>
          <w:kern w:val="44"/>
        </w:rPr>
        <w:t>第六十条</w:t>
      </w:r>
      <w:r>
        <w:rPr>
          <w:rFonts w:hint="eastAsia" w:ascii="宋体" w:hAnsi="宋体"/>
          <w:kern w:val="44"/>
        </w:rPr>
        <w:t>　市和区、县人民政府及有关部门应当为示范区内的组织和个人开展国际经济技术交流与合作提供便利，支持企业在境外开展生产、研发、服务、投资等跨国经营活动。</w:t>
      </w:r>
    </w:p>
    <w:p w14:paraId="3BC5F179">
      <w:pPr>
        <w:jc w:val="left"/>
        <w:rPr>
          <w:rFonts w:ascii="宋体" w:hAnsi="宋体"/>
          <w:kern w:val="44"/>
        </w:rPr>
      </w:pPr>
      <w:r>
        <w:rPr>
          <w:rFonts w:hint="eastAsia" w:ascii="宋体" w:hAnsi="宋体"/>
          <w:kern w:val="44"/>
        </w:rPr>
        <w:t>示范区管理机构应当组织开展与其他国家或者地区科技园区的合作，推动人才交流、协同创新和产业合作。</w:t>
      </w:r>
    </w:p>
    <w:p w14:paraId="73F3BFF8">
      <w:pPr>
        <w:jc w:val="left"/>
        <w:rPr>
          <w:rFonts w:ascii="宋体" w:hAnsi="宋体"/>
          <w:kern w:val="44"/>
        </w:rPr>
      </w:pPr>
    </w:p>
    <w:p w14:paraId="5D918A11">
      <w:pPr>
        <w:ind w:firstLine="0" w:firstLineChars="0"/>
        <w:jc w:val="center"/>
        <w:rPr>
          <w:rFonts w:ascii="宋体" w:hAnsi="宋体"/>
          <w:b/>
          <w:kern w:val="44"/>
          <w:sz w:val="28"/>
        </w:rPr>
      </w:pPr>
      <w:r>
        <w:rPr>
          <w:rFonts w:hint="eastAsia" w:ascii="宋体" w:hAnsi="宋体"/>
          <w:b/>
          <w:kern w:val="44"/>
          <w:sz w:val="28"/>
        </w:rPr>
        <w:t>第八章　核心区建设</w:t>
      </w:r>
    </w:p>
    <w:p w14:paraId="0920BE4D">
      <w:pPr>
        <w:jc w:val="left"/>
        <w:rPr>
          <w:rFonts w:ascii="宋体" w:hAnsi="宋体"/>
          <w:kern w:val="44"/>
        </w:rPr>
      </w:pPr>
    </w:p>
    <w:p w14:paraId="56FEA2BE">
      <w:pPr>
        <w:ind w:firstLine="422"/>
        <w:jc w:val="left"/>
        <w:rPr>
          <w:rFonts w:ascii="宋体" w:hAnsi="宋体"/>
          <w:kern w:val="44"/>
        </w:rPr>
      </w:pPr>
      <w:r>
        <w:rPr>
          <w:rFonts w:hint="eastAsia" w:ascii="宋体" w:hAnsi="宋体"/>
          <w:b/>
          <w:kern w:val="44"/>
        </w:rPr>
        <w:t>第六十一条</w:t>
      </w:r>
      <w:r>
        <w:rPr>
          <w:rFonts w:hint="eastAsia" w:ascii="宋体" w:hAnsi="宋体"/>
          <w:kern w:val="44"/>
        </w:rPr>
        <w:t>　为发挥创新资源优势，推进体制机制创新，集中力量重点突破，带动示范区整体发展，根据自主创新资源分布状况，在示范区设立核心区，具体范围由市人民政府确定。</w:t>
      </w:r>
    </w:p>
    <w:p w14:paraId="34B1942A">
      <w:pPr>
        <w:ind w:firstLine="422"/>
        <w:jc w:val="left"/>
        <w:rPr>
          <w:rFonts w:ascii="宋体" w:hAnsi="宋体"/>
          <w:kern w:val="44"/>
        </w:rPr>
      </w:pPr>
      <w:r>
        <w:rPr>
          <w:rFonts w:hint="eastAsia" w:ascii="宋体" w:hAnsi="宋体"/>
          <w:b/>
          <w:kern w:val="44"/>
        </w:rPr>
        <w:t>第六十二条</w:t>
      </w:r>
      <w:r>
        <w:rPr>
          <w:rFonts w:hint="eastAsia" w:ascii="宋体" w:hAnsi="宋体"/>
          <w:kern w:val="44"/>
        </w:rPr>
        <w:t>　市人民政府支持产学研用创新体系建设、科技成果研发、转化和股权激励、科技金融改革、科技经费改革、新型产业组织参与国家重大科技项目、政府采购、工商管理、社会组织管理等体制机制创新的政策和措施在核心区先行先试。</w:t>
      </w:r>
    </w:p>
    <w:p w14:paraId="5126D9C6">
      <w:pPr>
        <w:ind w:firstLine="422"/>
        <w:jc w:val="left"/>
        <w:rPr>
          <w:rFonts w:ascii="宋体" w:hAnsi="宋体"/>
          <w:kern w:val="44"/>
        </w:rPr>
      </w:pPr>
      <w:r>
        <w:rPr>
          <w:rFonts w:hint="eastAsia" w:ascii="宋体" w:hAnsi="宋体"/>
          <w:b/>
          <w:kern w:val="44"/>
        </w:rPr>
        <w:t>第六十三条</w:t>
      </w:r>
      <w:r>
        <w:rPr>
          <w:rFonts w:hint="eastAsia" w:ascii="宋体" w:hAnsi="宋体"/>
          <w:kern w:val="44"/>
        </w:rPr>
        <w:t>　市人民政府应当通过划分管理权限、简化管理程序、直接委托等方式，推进核心区行政审批改革。核心区所在地的区人民政府应当采取统一办理、联合办理、集中办理等方式，优化审批流程，减化审批环节。</w:t>
      </w:r>
    </w:p>
    <w:p w14:paraId="43613132">
      <w:pPr>
        <w:jc w:val="left"/>
        <w:rPr>
          <w:rFonts w:ascii="宋体" w:hAnsi="宋体"/>
          <w:kern w:val="44"/>
        </w:rPr>
      </w:pPr>
      <w:r>
        <w:rPr>
          <w:rFonts w:hint="eastAsia" w:ascii="宋体" w:hAnsi="宋体"/>
          <w:kern w:val="44"/>
        </w:rPr>
        <w:t>市人民政府应当按照减少执法层次、适当下移执法重心的原则，推进核心区行政执法体制改革。核心区所在地的区人民政府承担市人民政府及其有关部门下放的行政审批项目的行政执法权。</w:t>
      </w:r>
    </w:p>
    <w:p w14:paraId="056F3DB4">
      <w:pPr>
        <w:ind w:firstLine="422"/>
        <w:jc w:val="left"/>
        <w:rPr>
          <w:rFonts w:ascii="宋体" w:hAnsi="宋体"/>
          <w:kern w:val="44"/>
        </w:rPr>
      </w:pPr>
      <w:r>
        <w:rPr>
          <w:rFonts w:hint="eastAsia" w:ascii="宋体" w:hAnsi="宋体"/>
          <w:b/>
          <w:kern w:val="44"/>
        </w:rPr>
        <w:t>第六十四条</w:t>
      </w:r>
      <w:r>
        <w:rPr>
          <w:rFonts w:hint="eastAsia" w:ascii="宋体" w:hAnsi="宋体"/>
          <w:kern w:val="44"/>
        </w:rPr>
        <w:t>　核心区所在地的区人民政府应当根据示范区发展规划纲要和核心区的实际需要，研究制定和实施有利于组织和个人在核心区创新创业的政策和措施。</w:t>
      </w:r>
    </w:p>
    <w:p w14:paraId="58E02663">
      <w:pPr>
        <w:ind w:firstLine="422"/>
        <w:jc w:val="left"/>
        <w:rPr>
          <w:rFonts w:ascii="宋体" w:hAnsi="宋体"/>
          <w:kern w:val="44"/>
        </w:rPr>
      </w:pPr>
      <w:r>
        <w:rPr>
          <w:rFonts w:hint="eastAsia" w:ascii="宋体" w:hAnsi="宋体"/>
          <w:b/>
          <w:kern w:val="44"/>
        </w:rPr>
        <w:t>第六十五条</w:t>
      </w:r>
      <w:r>
        <w:rPr>
          <w:rFonts w:hint="eastAsia" w:ascii="宋体" w:hAnsi="宋体"/>
          <w:kern w:val="44"/>
        </w:rPr>
        <w:t>　核心区所在地的区人民政府应当根据示范区发展规划纲要，通过规划实施、环境建设、业态调整等方式，推动核心区的土地、资金、人才、技术等资源的统筹配置，吸引创新要素在核心区聚集，建设高端产业集群。</w:t>
      </w:r>
    </w:p>
    <w:p w14:paraId="0FD7217D">
      <w:pPr>
        <w:spacing w:line="240" w:lineRule="exact"/>
        <w:jc w:val="left"/>
        <w:rPr>
          <w:rFonts w:ascii="宋体" w:hAnsi="宋体"/>
          <w:kern w:val="44"/>
        </w:rPr>
      </w:pPr>
    </w:p>
    <w:p w14:paraId="240F00B3">
      <w:pPr>
        <w:ind w:firstLine="0" w:firstLineChars="0"/>
        <w:jc w:val="center"/>
        <w:rPr>
          <w:rFonts w:ascii="宋体" w:hAnsi="宋体"/>
          <w:b/>
          <w:kern w:val="44"/>
          <w:sz w:val="28"/>
        </w:rPr>
      </w:pPr>
      <w:r>
        <w:rPr>
          <w:rFonts w:hint="eastAsia" w:ascii="宋体" w:hAnsi="宋体"/>
          <w:b/>
          <w:kern w:val="44"/>
          <w:sz w:val="28"/>
        </w:rPr>
        <w:t>第九章　法律责任</w:t>
      </w:r>
    </w:p>
    <w:p w14:paraId="3ED34428">
      <w:pPr>
        <w:spacing w:line="240" w:lineRule="exact"/>
        <w:jc w:val="left"/>
        <w:rPr>
          <w:rFonts w:ascii="宋体" w:hAnsi="宋体"/>
          <w:kern w:val="44"/>
        </w:rPr>
      </w:pPr>
    </w:p>
    <w:p w14:paraId="735D649F">
      <w:pPr>
        <w:ind w:firstLine="422"/>
        <w:jc w:val="left"/>
        <w:rPr>
          <w:rFonts w:ascii="宋体" w:hAnsi="宋体"/>
          <w:kern w:val="44"/>
        </w:rPr>
      </w:pPr>
      <w:r>
        <w:rPr>
          <w:rFonts w:hint="eastAsia" w:ascii="宋体" w:hAnsi="宋体"/>
          <w:b/>
          <w:kern w:val="44"/>
        </w:rPr>
        <w:t>第六十六条</w:t>
      </w:r>
      <w:r>
        <w:rPr>
          <w:rFonts w:hint="eastAsia" w:ascii="宋体" w:hAnsi="宋体"/>
          <w:kern w:val="44"/>
        </w:rPr>
        <w:t>　对违反本条例规定的行为，法律、法规已规定法律责任的，从其规定。</w:t>
      </w:r>
    </w:p>
    <w:p w14:paraId="30302DC7">
      <w:pPr>
        <w:jc w:val="left"/>
        <w:rPr>
          <w:rFonts w:ascii="宋体" w:hAnsi="宋体"/>
          <w:kern w:val="44"/>
        </w:rPr>
      </w:pPr>
      <w:r>
        <w:rPr>
          <w:rFonts w:hint="eastAsia" w:ascii="宋体" w:hAnsi="宋体"/>
          <w:kern w:val="44"/>
        </w:rPr>
        <w:t>行政机关未履行本条例规定职责的，由上级机关责令改正；情节严重的，由监察机关或者上级机关追究直接责任人和主要负责人的行政责任。</w:t>
      </w:r>
    </w:p>
    <w:p w14:paraId="28F0CB7B">
      <w:pPr>
        <w:spacing w:line="240" w:lineRule="exact"/>
        <w:jc w:val="left"/>
        <w:rPr>
          <w:rFonts w:ascii="宋体" w:hAnsi="宋体"/>
          <w:kern w:val="44"/>
        </w:rPr>
      </w:pPr>
    </w:p>
    <w:p w14:paraId="5990AFCD">
      <w:pPr>
        <w:ind w:firstLine="0" w:firstLineChars="0"/>
        <w:jc w:val="center"/>
        <w:rPr>
          <w:rFonts w:ascii="宋体" w:hAnsi="宋体"/>
          <w:b/>
          <w:kern w:val="44"/>
          <w:sz w:val="28"/>
        </w:rPr>
      </w:pPr>
      <w:r>
        <w:rPr>
          <w:rFonts w:hint="eastAsia" w:ascii="宋体" w:hAnsi="宋体"/>
          <w:b/>
          <w:kern w:val="44"/>
          <w:sz w:val="28"/>
        </w:rPr>
        <w:t>第十章　附　则</w:t>
      </w:r>
    </w:p>
    <w:p w14:paraId="12060BD3">
      <w:pPr>
        <w:spacing w:line="240" w:lineRule="exact"/>
        <w:jc w:val="left"/>
        <w:rPr>
          <w:rFonts w:ascii="宋体" w:hAnsi="宋体"/>
          <w:kern w:val="44"/>
        </w:rPr>
      </w:pPr>
    </w:p>
    <w:p w14:paraId="00662C7B">
      <w:pPr>
        <w:ind w:firstLine="422"/>
        <w:jc w:val="left"/>
        <w:rPr>
          <w:rFonts w:ascii="宋体" w:hAnsi="宋体"/>
          <w:kern w:val="44"/>
        </w:rPr>
      </w:pPr>
      <w:r>
        <w:rPr>
          <w:rFonts w:hint="eastAsia" w:ascii="宋体" w:hAnsi="宋体"/>
          <w:b/>
          <w:kern w:val="44"/>
        </w:rPr>
        <w:t>第六十七条</w:t>
      </w:r>
      <w:r>
        <w:rPr>
          <w:rFonts w:hint="eastAsia" w:ascii="宋体" w:hAnsi="宋体"/>
          <w:kern w:val="44"/>
        </w:rPr>
        <w:t>　实施本条例需要制定配套规章或者其他具体办法的，由市人民政府或者有关行政管理部门研究制定并发布实施。</w:t>
      </w:r>
    </w:p>
    <w:p w14:paraId="479DECF0">
      <w:pPr>
        <w:ind w:firstLine="422"/>
        <w:jc w:val="left"/>
        <w:rPr>
          <w:rFonts w:ascii="宋体" w:hAnsi="宋体"/>
          <w:kern w:val="44"/>
        </w:rPr>
      </w:pPr>
      <w:r>
        <w:rPr>
          <w:rFonts w:hint="eastAsia" w:ascii="宋体" w:hAnsi="宋体"/>
          <w:b/>
          <w:kern w:val="44"/>
        </w:rPr>
        <w:t>第六十八条</w:t>
      </w:r>
      <w:r>
        <w:rPr>
          <w:rFonts w:hint="eastAsia" w:ascii="宋体" w:hAnsi="宋体"/>
          <w:kern w:val="44"/>
        </w:rPr>
        <w:t>　本条例自公布之日起施行。2000年12月8日北京市第十一届人民代表大会常务委员会第二十三次会议通过的《中关村科技园区条例》同时废止。</w:t>
      </w:r>
    </w:p>
    <w:p w14:paraId="2E424BCE">
      <w:pPr>
        <w:pStyle w:val="4"/>
        <w:pageBreakBefore/>
        <w:rPr>
          <w:kern w:val="44"/>
        </w:rPr>
      </w:pPr>
      <w:bookmarkStart w:id="1548" w:name="_Toc422471404"/>
      <w:bookmarkStart w:id="1549" w:name="_Toc427652002"/>
      <w:bookmarkStart w:id="1550" w:name="_Toc427651660"/>
      <w:bookmarkStart w:id="1551" w:name="_Toc428780226"/>
      <w:bookmarkStart w:id="1552" w:name="_Toc428781708"/>
      <w:r>
        <w:rPr>
          <w:rFonts w:hint="eastAsia"/>
          <w:kern w:val="44"/>
        </w:rPr>
        <w:t>北京市科学技术奖励办法</w:t>
      </w:r>
      <w:bookmarkEnd w:id="1548"/>
      <w:bookmarkEnd w:id="1549"/>
      <w:bookmarkEnd w:id="1550"/>
      <w:bookmarkEnd w:id="1551"/>
      <w:bookmarkEnd w:id="1552"/>
    </w:p>
    <w:p w14:paraId="2D1F07F3">
      <w:pPr>
        <w:ind w:left="630" w:leftChars="300" w:right="630" w:rightChars="300"/>
        <w:jc w:val="left"/>
        <w:rPr>
          <w:rFonts w:ascii="楷体" w:hAnsi="楷体" w:eastAsia="楷体"/>
          <w:kern w:val="44"/>
        </w:rPr>
      </w:pPr>
      <w:r>
        <w:rPr>
          <w:rFonts w:hint="eastAsia" w:ascii="楷体" w:hAnsi="楷体" w:eastAsia="楷体"/>
          <w:kern w:val="44"/>
        </w:rPr>
        <w:t>（2002年4月11日北京市人民政府第93号令发布　自2002年5月8日起施行  根据2007年3月7日北京市人民政府第187号令第一次修改  根据2010年8月13日北京市人民政府第222号令《北京市人民政府关于修改〈北京市科学技术奖励办法〉的决定》第二次修改）</w:t>
      </w:r>
    </w:p>
    <w:p w14:paraId="55306603">
      <w:pPr>
        <w:jc w:val="left"/>
        <w:rPr>
          <w:rFonts w:ascii="宋体" w:hAnsi="宋体"/>
          <w:kern w:val="44"/>
        </w:rPr>
      </w:pPr>
    </w:p>
    <w:p w14:paraId="31C64B74">
      <w:pPr>
        <w:ind w:firstLine="422"/>
        <w:jc w:val="left"/>
        <w:rPr>
          <w:rFonts w:ascii="宋体" w:hAnsi="宋体"/>
          <w:kern w:val="44"/>
        </w:rPr>
      </w:pPr>
      <w:r>
        <w:rPr>
          <w:rFonts w:hint="eastAsia" w:ascii="宋体" w:hAnsi="宋体"/>
          <w:b/>
          <w:kern w:val="44"/>
        </w:rPr>
        <w:t>第一条</w:t>
      </w:r>
      <w:r>
        <w:rPr>
          <w:rFonts w:hint="eastAsia" w:ascii="宋体" w:hAnsi="宋体"/>
          <w:kern w:val="44"/>
        </w:rPr>
        <w:t>　为了奖励在本市科学技术进步活动中做出突出贡献的个人和组织，调动科学技术人员的积极性和创造性，加速本市科学技术进步，促进首都的经济建设和社会发展，根据《国家科学技术奖励条例》等有关规定，结合本市实际情况，制定本办法。</w:t>
      </w:r>
    </w:p>
    <w:p w14:paraId="2A1B8493">
      <w:pPr>
        <w:ind w:firstLine="422"/>
        <w:jc w:val="left"/>
        <w:rPr>
          <w:rFonts w:ascii="宋体" w:hAnsi="宋体"/>
          <w:kern w:val="44"/>
        </w:rPr>
      </w:pPr>
      <w:r>
        <w:rPr>
          <w:rFonts w:hint="eastAsia" w:ascii="宋体" w:hAnsi="宋体"/>
          <w:b/>
          <w:kern w:val="44"/>
        </w:rPr>
        <w:t>第二条</w:t>
      </w:r>
      <w:r>
        <w:rPr>
          <w:rFonts w:hint="eastAsia" w:ascii="宋体" w:hAnsi="宋体"/>
          <w:kern w:val="44"/>
        </w:rPr>
        <w:t>　市人民政府设立北京市科学技术奖（以下简称市科学技术奖）。</w:t>
      </w:r>
    </w:p>
    <w:p w14:paraId="5577B6C2">
      <w:pPr>
        <w:jc w:val="left"/>
        <w:rPr>
          <w:rFonts w:ascii="宋体" w:hAnsi="宋体"/>
          <w:kern w:val="44"/>
        </w:rPr>
      </w:pPr>
      <w:r>
        <w:rPr>
          <w:rFonts w:hint="eastAsia" w:ascii="宋体" w:hAnsi="宋体"/>
          <w:kern w:val="44"/>
        </w:rPr>
        <w:t>市科学技术奖用于奖励本市行政区域内对科学技术创新和发展做出突出贡献的组织和个人，重点奖励在本市国民经济和社会发展规划纲要确定的重点发展行业和科技发展重点领域中取得的技术成果、采取产学研联合创新机制研究开发并在本市实施应用的技术成果、拥有自主知识产权或者形成国家或者国际标准的技术成果等。</w:t>
      </w:r>
    </w:p>
    <w:p w14:paraId="1970B577">
      <w:pPr>
        <w:ind w:firstLine="422"/>
        <w:jc w:val="left"/>
        <w:rPr>
          <w:rFonts w:ascii="宋体" w:hAnsi="宋体"/>
          <w:kern w:val="44"/>
        </w:rPr>
      </w:pPr>
      <w:r>
        <w:rPr>
          <w:rFonts w:hint="eastAsia" w:ascii="宋体" w:hAnsi="宋体"/>
          <w:b/>
          <w:kern w:val="44"/>
        </w:rPr>
        <w:t>第三条</w:t>
      </w:r>
      <w:r>
        <w:rPr>
          <w:rFonts w:hint="eastAsia" w:ascii="宋体" w:hAnsi="宋体"/>
          <w:kern w:val="44"/>
        </w:rPr>
        <w:t>　本市科学技术奖励贯彻尊重知识、尊重人才的方针，鼓励自主创新、促进科学研究、技术开发与经济建设、社会发展密切结合，加速科教兴国和可持续发展战略的实施。</w:t>
      </w:r>
    </w:p>
    <w:p w14:paraId="19A87FF7">
      <w:pPr>
        <w:ind w:firstLine="422"/>
        <w:jc w:val="left"/>
        <w:rPr>
          <w:rFonts w:ascii="宋体" w:hAnsi="宋体"/>
          <w:kern w:val="44"/>
        </w:rPr>
      </w:pPr>
      <w:r>
        <w:rPr>
          <w:rFonts w:hint="eastAsia" w:ascii="宋体" w:hAnsi="宋体"/>
          <w:b/>
          <w:kern w:val="44"/>
        </w:rPr>
        <w:t>第四条</w:t>
      </w:r>
      <w:r>
        <w:rPr>
          <w:rFonts w:hint="eastAsia" w:ascii="宋体" w:hAnsi="宋体"/>
          <w:kern w:val="44"/>
        </w:rPr>
        <w:t>　市科学技术奖的评审、授予，实行公开、公平、公正的原则。</w:t>
      </w:r>
    </w:p>
    <w:p w14:paraId="455BD734">
      <w:pPr>
        <w:ind w:firstLine="422"/>
        <w:jc w:val="left"/>
        <w:rPr>
          <w:rFonts w:ascii="宋体" w:hAnsi="宋体"/>
          <w:kern w:val="44"/>
        </w:rPr>
      </w:pPr>
      <w:r>
        <w:rPr>
          <w:rFonts w:hint="eastAsia" w:ascii="宋体" w:hAnsi="宋体"/>
          <w:b/>
          <w:kern w:val="44"/>
        </w:rPr>
        <w:t>第五条</w:t>
      </w:r>
      <w:r>
        <w:rPr>
          <w:rFonts w:hint="eastAsia" w:ascii="宋体" w:hAnsi="宋体"/>
          <w:kern w:val="44"/>
        </w:rPr>
        <w:t>　市科学技术行政部门负责市科学技术奖评审的组织和管理工作。</w:t>
      </w:r>
    </w:p>
    <w:p w14:paraId="111CB6F2">
      <w:pPr>
        <w:ind w:firstLine="422"/>
        <w:jc w:val="left"/>
        <w:rPr>
          <w:rFonts w:ascii="宋体" w:hAnsi="宋体"/>
          <w:kern w:val="44"/>
        </w:rPr>
      </w:pPr>
      <w:r>
        <w:rPr>
          <w:rFonts w:hint="eastAsia" w:ascii="宋体" w:hAnsi="宋体"/>
          <w:b/>
          <w:kern w:val="44"/>
        </w:rPr>
        <w:t>第六条</w:t>
      </w:r>
      <w:r>
        <w:rPr>
          <w:rFonts w:hint="eastAsia" w:ascii="宋体" w:hAnsi="宋体"/>
          <w:kern w:val="44"/>
        </w:rPr>
        <w:t>　市人民政府设立北京市科学技术奖励评审委员会（以下简称评审委员会）。评审委员会下设若干专业评审委员会，依照本办法的规定，负责市科学技术奖的评审工作。</w:t>
      </w:r>
    </w:p>
    <w:p w14:paraId="791AF28E">
      <w:pPr>
        <w:jc w:val="left"/>
        <w:rPr>
          <w:rFonts w:ascii="宋体" w:hAnsi="宋体"/>
          <w:kern w:val="44"/>
        </w:rPr>
      </w:pPr>
      <w:r>
        <w:rPr>
          <w:rFonts w:hint="eastAsia" w:ascii="宋体" w:hAnsi="宋体"/>
          <w:kern w:val="44"/>
        </w:rPr>
        <w:t>评审委员会由政府相关部门主管科技工作的负责人和行业领域专家组成，其中行业领域专家比例不少于50％。评审委员会组成人员的人选，由市科学技术行政部门提出，报市人民政府批准，任期三年。</w:t>
      </w:r>
    </w:p>
    <w:p w14:paraId="7FC34802">
      <w:pPr>
        <w:jc w:val="left"/>
        <w:rPr>
          <w:rFonts w:ascii="宋体" w:hAnsi="宋体"/>
          <w:kern w:val="44"/>
        </w:rPr>
      </w:pPr>
      <w:r>
        <w:rPr>
          <w:rFonts w:hint="eastAsia" w:ascii="宋体" w:hAnsi="宋体"/>
          <w:kern w:val="44"/>
        </w:rPr>
        <w:t>各专业评审委员会由相关专业领域的专家组成，各专业评审委员会的人选由市科学技术行政部门确定。</w:t>
      </w:r>
    </w:p>
    <w:p w14:paraId="4D5AF52C">
      <w:pPr>
        <w:jc w:val="left"/>
        <w:rPr>
          <w:rFonts w:ascii="宋体" w:hAnsi="宋体"/>
          <w:kern w:val="44"/>
        </w:rPr>
      </w:pPr>
      <w:r>
        <w:rPr>
          <w:rFonts w:hint="eastAsia" w:ascii="宋体" w:hAnsi="宋体"/>
          <w:kern w:val="44"/>
        </w:rPr>
        <w:t>市科学技术奖励工作办公室承担评审委员会的日常工作。</w:t>
      </w:r>
    </w:p>
    <w:p w14:paraId="22DC9535">
      <w:pPr>
        <w:ind w:firstLine="422"/>
        <w:jc w:val="left"/>
        <w:rPr>
          <w:rFonts w:ascii="宋体" w:hAnsi="宋体"/>
          <w:kern w:val="44"/>
        </w:rPr>
      </w:pPr>
      <w:r>
        <w:rPr>
          <w:rFonts w:hint="eastAsia" w:ascii="宋体" w:hAnsi="宋体"/>
          <w:b/>
          <w:kern w:val="44"/>
        </w:rPr>
        <w:t>第七条</w:t>
      </w:r>
      <w:r>
        <w:rPr>
          <w:rFonts w:hint="eastAsia" w:ascii="宋体" w:hAnsi="宋体"/>
          <w:kern w:val="44"/>
        </w:rPr>
        <w:t xml:space="preserve">  国家机构以外的社会组织或者个人利用非财政性经费设立面向本市的地方性科学技术奖项，应当向市科学技术行政部门办理登记手续。</w:t>
      </w:r>
    </w:p>
    <w:p w14:paraId="135B68B7">
      <w:pPr>
        <w:jc w:val="left"/>
        <w:rPr>
          <w:rFonts w:ascii="宋体" w:hAnsi="宋体"/>
          <w:kern w:val="44"/>
        </w:rPr>
      </w:pPr>
      <w:r>
        <w:rPr>
          <w:rFonts w:hint="eastAsia" w:ascii="宋体" w:hAnsi="宋体"/>
          <w:kern w:val="44"/>
        </w:rPr>
        <w:t>社会组织或者个人设立的面向本市的地方性科学技术奖项，在评审、奖励活动中不得收取任何费用。</w:t>
      </w:r>
    </w:p>
    <w:p w14:paraId="0054480B">
      <w:pPr>
        <w:ind w:firstLine="422"/>
        <w:jc w:val="left"/>
        <w:rPr>
          <w:rFonts w:ascii="宋体" w:hAnsi="宋体"/>
          <w:kern w:val="44"/>
        </w:rPr>
      </w:pPr>
      <w:r>
        <w:rPr>
          <w:rFonts w:hint="eastAsia" w:ascii="宋体" w:hAnsi="宋体"/>
          <w:b/>
          <w:kern w:val="44"/>
        </w:rPr>
        <w:t>第八条</w:t>
      </w:r>
      <w:r>
        <w:rPr>
          <w:rFonts w:hint="eastAsia" w:ascii="宋体" w:hAnsi="宋体"/>
          <w:kern w:val="44"/>
        </w:rPr>
        <w:t>　市科学技术奖的奖励范围包括：</w:t>
      </w:r>
    </w:p>
    <w:p w14:paraId="704B0F03">
      <w:pPr>
        <w:jc w:val="left"/>
        <w:rPr>
          <w:rFonts w:ascii="宋体" w:hAnsi="宋体"/>
          <w:kern w:val="44"/>
        </w:rPr>
      </w:pPr>
      <w:r>
        <w:rPr>
          <w:rFonts w:hint="eastAsia" w:ascii="宋体" w:hAnsi="宋体"/>
          <w:kern w:val="44"/>
        </w:rPr>
        <w:t>（一）通过原始创新、集成创新、引进消化吸收再创新取得的技术成果，应用于经济建设和社会发展，拥有自主知识产权，并取得较大经济效益或者社会效益的；</w:t>
      </w:r>
    </w:p>
    <w:p w14:paraId="134AB498">
      <w:pPr>
        <w:jc w:val="left"/>
        <w:rPr>
          <w:rFonts w:ascii="宋体" w:hAnsi="宋体"/>
          <w:kern w:val="44"/>
        </w:rPr>
      </w:pPr>
      <w:r>
        <w:rPr>
          <w:rFonts w:hint="eastAsia" w:ascii="宋体" w:hAnsi="宋体"/>
          <w:kern w:val="44"/>
        </w:rPr>
        <w:t>（二）在产品、工艺、材料等方面研究开发共性技术和关键性技术，实施后取得较大经济效益或者社会效益的；</w:t>
      </w:r>
    </w:p>
    <w:p w14:paraId="32EF59B0">
      <w:pPr>
        <w:jc w:val="left"/>
        <w:rPr>
          <w:rFonts w:ascii="宋体" w:hAnsi="宋体"/>
          <w:kern w:val="44"/>
        </w:rPr>
      </w:pPr>
      <w:r>
        <w:rPr>
          <w:rFonts w:hint="eastAsia" w:ascii="宋体" w:hAnsi="宋体"/>
          <w:kern w:val="44"/>
        </w:rPr>
        <w:t>（三）在转化、推广科技成果并使之产业化中，取得显著经济效益或者社会效益的；</w:t>
      </w:r>
    </w:p>
    <w:p w14:paraId="2280CE30">
      <w:pPr>
        <w:jc w:val="left"/>
        <w:rPr>
          <w:rFonts w:ascii="宋体" w:hAnsi="宋体"/>
          <w:kern w:val="44"/>
        </w:rPr>
      </w:pPr>
      <w:r>
        <w:rPr>
          <w:rFonts w:hint="eastAsia" w:ascii="宋体" w:hAnsi="宋体"/>
          <w:kern w:val="44"/>
        </w:rPr>
        <w:t>（四）在科学技术基础性工作和社会公益性科学技术事业中取得较大经济效益或者社会效益的；</w:t>
      </w:r>
    </w:p>
    <w:p w14:paraId="1FD20C53">
      <w:pPr>
        <w:jc w:val="left"/>
        <w:rPr>
          <w:rFonts w:ascii="宋体" w:hAnsi="宋体"/>
          <w:kern w:val="44"/>
        </w:rPr>
      </w:pPr>
      <w:r>
        <w:rPr>
          <w:rFonts w:hint="eastAsia" w:ascii="宋体" w:hAnsi="宋体"/>
          <w:kern w:val="44"/>
        </w:rPr>
        <w:t>（五）阐明自然现象、特征、规律，在学术上有新见解，得到国内外学术界公认的基础研究成果，对科学技术发展具有重要价值的；</w:t>
      </w:r>
    </w:p>
    <w:p w14:paraId="2A1511C9">
      <w:pPr>
        <w:jc w:val="left"/>
        <w:rPr>
          <w:rFonts w:ascii="宋体" w:hAnsi="宋体"/>
          <w:kern w:val="44"/>
        </w:rPr>
      </w:pPr>
      <w:r>
        <w:rPr>
          <w:rFonts w:hint="eastAsia" w:ascii="宋体" w:hAnsi="宋体"/>
          <w:kern w:val="44"/>
        </w:rPr>
        <w:t>（六）研究成果对推动决策科学化和管理现代化，促进科技、经济与社会协调发展起重大作用的；</w:t>
      </w:r>
    </w:p>
    <w:p w14:paraId="00EA19C7">
      <w:pPr>
        <w:jc w:val="left"/>
        <w:rPr>
          <w:rFonts w:ascii="宋体" w:hAnsi="宋体"/>
          <w:kern w:val="44"/>
        </w:rPr>
      </w:pPr>
      <w:r>
        <w:rPr>
          <w:rFonts w:hint="eastAsia" w:ascii="宋体" w:hAnsi="宋体"/>
          <w:kern w:val="44"/>
        </w:rPr>
        <w:t>（七）外国组织或者个人同本市的组织或者个人合作研究、开发的重大科学技术成果；</w:t>
      </w:r>
    </w:p>
    <w:p w14:paraId="6DF504D3">
      <w:pPr>
        <w:jc w:val="left"/>
        <w:rPr>
          <w:rFonts w:ascii="宋体" w:hAnsi="宋体"/>
          <w:kern w:val="44"/>
        </w:rPr>
      </w:pPr>
      <w:r>
        <w:rPr>
          <w:rFonts w:hint="eastAsia" w:ascii="宋体" w:hAnsi="宋体"/>
          <w:kern w:val="44"/>
        </w:rPr>
        <w:t>（八）对提高公众的科学文化素养具有明显成效的科普作品。</w:t>
      </w:r>
    </w:p>
    <w:p w14:paraId="5017AEDF">
      <w:pPr>
        <w:ind w:firstLine="422"/>
        <w:jc w:val="left"/>
        <w:rPr>
          <w:rFonts w:ascii="宋体" w:hAnsi="宋体"/>
          <w:kern w:val="44"/>
        </w:rPr>
      </w:pPr>
      <w:r>
        <w:rPr>
          <w:rFonts w:hint="eastAsia" w:ascii="宋体" w:hAnsi="宋体"/>
          <w:b/>
          <w:kern w:val="44"/>
        </w:rPr>
        <w:t>第九条</w:t>
      </w:r>
      <w:r>
        <w:rPr>
          <w:rFonts w:hint="eastAsia" w:ascii="宋体" w:hAnsi="宋体"/>
          <w:kern w:val="44"/>
        </w:rPr>
        <w:t>　下列成果不属于市科学技术奖的评审范围：</w:t>
      </w:r>
    </w:p>
    <w:p w14:paraId="3EB27A2A">
      <w:pPr>
        <w:jc w:val="left"/>
        <w:rPr>
          <w:rFonts w:ascii="宋体" w:hAnsi="宋体"/>
          <w:kern w:val="44"/>
        </w:rPr>
      </w:pPr>
      <w:r>
        <w:rPr>
          <w:rFonts w:hint="eastAsia" w:ascii="宋体" w:hAnsi="宋体"/>
          <w:kern w:val="44"/>
        </w:rPr>
        <w:t>（一）涉及国防、国家安全并由于国家安全和保密原因不能公开的成果；</w:t>
      </w:r>
    </w:p>
    <w:p w14:paraId="7A2021BE">
      <w:pPr>
        <w:jc w:val="left"/>
        <w:rPr>
          <w:rFonts w:ascii="宋体" w:hAnsi="宋体"/>
          <w:kern w:val="44"/>
        </w:rPr>
      </w:pPr>
      <w:r>
        <w:rPr>
          <w:rFonts w:hint="eastAsia" w:ascii="宋体" w:hAnsi="宋体"/>
          <w:kern w:val="44"/>
        </w:rPr>
        <w:t>（二）正在研究且不能在其他领域应用的成果；</w:t>
      </w:r>
    </w:p>
    <w:p w14:paraId="2E5EE748">
      <w:pPr>
        <w:jc w:val="left"/>
        <w:rPr>
          <w:rFonts w:ascii="宋体" w:hAnsi="宋体"/>
          <w:kern w:val="44"/>
        </w:rPr>
      </w:pPr>
      <w:r>
        <w:rPr>
          <w:rFonts w:hint="eastAsia" w:ascii="宋体" w:hAnsi="宋体"/>
          <w:kern w:val="44"/>
        </w:rPr>
        <w:t>（三）存在知识产权以及有关完成单位、完成人员等方面争议的成果；</w:t>
      </w:r>
    </w:p>
    <w:p w14:paraId="3FAFFD00">
      <w:pPr>
        <w:jc w:val="left"/>
        <w:rPr>
          <w:rFonts w:ascii="宋体" w:hAnsi="宋体"/>
          <w:kern w:val="44"/>
        </w:rPr>
      </w:pPr>
      <w:r>
        <w:rPr>
          <w:rFonts w:hint="eastAsia" w:ascii="宋体" w:hAnsi="宋体"/>
          <w:kern w:val="44"/>
        </w:rPr>
        <w:t>（四）已申报其他省（部）级科技奖励的成果。</w:t>
      </w:r>
    </w:p>
    <w:p w14:paraId="1F142247">
      <w:pPr>
        <w:ind w:firstLine="422"/>
        <w:jc w:val="left"/>
        <w:rPr>
          <w:rFonts w:ascii="宋体" w:hAnsi="宋体"/>
          <w:kern w:val="44"/>
        </w:rPr>
      </w:pPr>
      <w:r>
        <w:rPr>
          <w:rFonts w:hint="eastAsia" w:ascii="宋体" w:hAnsi="宋体"/>
          <w:b/>
          <w:kern w:val="44"/>
        </w:rPr>
        <w:t>第十条</w:t>
      </w:r>
      <w:r>
        <w:rPr>
          <w:rFonts w:hint="eastAsia" w:ascii="宋体" w:hAnsi="宋体"/>
          <w:kern w:val="44"/>
        </w:rPr>
        <w:t>　市科学技术奖每年评审奖励一次，由市人民政府颁发证书和奖金。奖励经费由市财政列支。</w:t>
      </w:r>
    </w:p>
    <w:p w14:paraId="6BDB434C">
      <w:pPr>
        <w:ind w:firstLine="422"/>
        <w:jc w:val="left"/>
        <w:rPr>
          <w:rFonts w:ascii="宋体" w:hAnsi="宋体"/>
          <w:kern w:val="44"/>
        </w:rPr>
      </w:pPr>
      <w:r>
        <w:rPr>
          <w:rFonts w:hint="eastAsia" w:ascii="宋体" w:hAnsi="宋体"/>
          <w:b/>
          <w:kern w:val="44"/>
        </w:rPr>
        <w:t>第十一条</w:t>
      </w:r>
      <w:r>
        <w:rPr>
          <w:rFonts w:hint="eastAsia" w:ascii="宋体" w:hAnsi="宋体"/>
          <w:kern w:val="44"/>
        </w:rPr>
        <w:t>　市科学技术奖分设重大科技创新奖、一等奖、二等奖、三等奖。其中，每年一等奖为30项左右，二等奖为60项左右。奖金数额由市科学技术行政部门会同市财政部门规定。</w:t>
      </w:r>
    </w:p>
    <w:p w14:paraId="32F542C8">
      <w:pPr>
        <w:jc w:val="left"/>
        <w:rPr>
          <w:rFonts w:ascii="宋体" w:hAnsi="宋体"/>
          <w:kern w:val="44"/>
        </w:rPr>
      </w:pPr>
      <w:r>
        <w:rPr>
          <w:rFonts w:hint="eastAsia" w:ascii="宋体" w:hAnsi="宋体"/>
          <w:kern w:val="44"/>
        </w:rPr>
        <w:t>对于完成取得重大经济效益或者社会效益的科技创新的组织和个人，可以授予重大科技创新奖。有关重大科技创新奖的评审事项，由市科学技术行政部门报市人民政府决定。</w:t>
      </w:r>
    </w:p>
    <w:p w14:paraId="525230E4">
      <w:pPr>
        <w:ind w:firstLine="422"/>
        <w:jc w:val="left"/>
        <w:rPr>
          <w:rFonts w:ascii="宋体" w:hAnsi="宋体"/>
          <w:kern w:val="44"/>
        </w:rPr>
      </w:pPr>
      <w:r>
        <w:rPr>
          <w:rFonts w:hint="eastAsia" w:ascii="宋体" w:hAnsi="宋体"/>
          <w:b/>
          <w:kern w:val="44"/>
        </w:rPr>
        <w:t>第十二条</w:t>
      </w:r>
      <w:r>
        <w:rPr>
          <w:rFonts w:hint="eastAsia" w:ascii="宋体" w:hAnsi="宋体"/>
          <w:kern w:val="44"/>
        </w:rPr>
        <w:t>　市科学技术奖单项奖励授奖人数一等奖不超过15人，二等奖不超过10人，三等奖不超过6人。获奖人员按贡献大小排序。</w:t>
      </w:r>
    </w:p>
    <w:p w14:paraId="686FD716">
      <w:pPr>
        <w:jc w:val="left"/>
        <w:rPr>
          <w:rFonts w:ascii="宋体" w:hAnsi="宋体"/>
          <w:kern w:val="44"/>
        </w:rPr>
      </w:pPr>
      <w:r>
        <w:rPr>
          <w:rFonts w:hint="eastAsia" w:ascii="宋体" w:hAnsi="宋体"/>
          <w:kern w:val="44"/>
        </w:rPr>
        <w:t>重大工程类和重大推广类成果，依据单位申报，奖项可以仅授予组织。</w:t>
      </w:r>
    </w:p>
    <w:p w14:paraId="4D92F230">
      <w:pPr>
        <w:ind w:firstLine="422"/>
        <w:jc w:val="left"/>
        <w:rPr>
          <w:rFonts w:ascii="宋体" w:hAnsi="宋体"/>
          <w:kern w:val="44"/>
        </w:rPr>
      </w:pPr>
      <w:r>
        <w:rPr>
          <w:rFonts w:hint="eastAsia" w:ascii="宋体" w:hAnsi="宋体"/>
          <w:b/>
          <w:kern w:val="44"/>
        </w:rPr>
        <w:t>第十三条</w:t>
      </w:r>
      <w:r>
        <w:rPr>
          <w:rFonts w:hint="eastAsia" w:ascii="宋体" w:hAnsi="宋体"/>
          <w:kern w:val="44"/>
        </w:rPr>
        <w:t>　市科学技术奖的候选项目由本市行政区域内的下列组织推荐：</w:t>
      </w:r>
    </w:p>
    <w:p w14:paraId="2CC8511B">
      <w:pPr>
        <w:jc w:val="left"/>
        <w:rPr>
          <w:rFonts w:ascii="宋体" w:hAnsi="宋体"/>
          <w:kern w:val="44"/>
        </w:rPr>
      </w:pPr>
      <w:r>
        <w:rPr>
          <w:rFonts w:hint="eastAsia" w:ascii="宋体" w:hAnsi="宋体"/>
          <w:kern w:val="44"/>
        </w:rPr>
        <w:t>（一）国家及本市有关部门；</w:t>
      </w:r>
    </w:p>
    <w:p w14:paraId="5EA68A84">
      <w:pPr>
        <w:jc w:val="left"/>
        <w:rPr>
          <w:rFonts w:ascii="宋体" w:hAnsi="宋体"/>
          <w:kern w:val="44"/>
        </w:rPr>
      </w:pPr>
      <w:r>
        <w:rPr>
          <w:rFonts w:hint="eastAsia" w:ascii="宋体" w:hAnsi="宋体"/>
          <w:kern w:val="44"/>
        </w:rPr>
        <w:t>（二）所在区、县人民政府；</w:t>
      </w:r>
    </w:p>
    <w:p w14:paraId="0F9EDCA6">
      <w:pPr>
        <w:jc w:val="left"/>
        <w:rPr>
          <w:rFonts w:ascii="宋体" w:hAnsi="宋体"/>
          <w:kern w:val="44"/>
        </w:rPr>
      </w:pPr>
      <w:r>
        <w:rPr>
          <w:rFonts w:hint="eastAsia" w:ascii="宋体" w:hAnsi="宋体"/>
          <w:kern w:val="44"/>
        </w:rPr>
        <w:t>（三）市科学技术行政部门认可的其他组织和个人。</w:t>
      </w:r>
    </w:p>
    <w:p w14:paraId="13CA1A9E">
      <w:pPr>
        <w:ind w:firstLine="422"/>
        <w:jc w:val="left"/>
        <w:rPr>
          <w:rFonts w:ascii="宋体" w:hAnsi="宋体"/>
          <w:kern w:val="44"/>
        </w:rPr>
      </w:pPr>
      <w:r>
        <w:rPr>
          <w:rFonts w:hint="eastAsia" w:ascii="宋体" w:hAnsi="宋体"/>
          <w:b/>
          <w:kern w:val="44"/>
        </w:rPr>
        <w:t>第十四条</w:t>
      </w:r>
      <w:r>
        <w:rPr>
          <w:rFonts w:hint="eastAsia" w:ascii="宋体" w:hAnsi="宋体"/>
          <w:kern w:val="44"/>
        </w:rPr>
        <w:t>　各专业评审委员会负责对候选项目进行初审，根据市科学技术行政部门制定的评审标准和评价指标实行记名投票，提出奖励项目的初审结果。</w:t>
      </w:r>
    </w:p>
    <w:p w14:paraId="2989567F">
      <w:pPr>
        <w:ind w:firstLine="422"/>
        <w:jc w:val="left"/>
        <w:rPr>
          <w:rFonts w:ascii="宋体" w:hAnsi="宋体"/>
          <w:kern w:val="44"/>
        </w:rPr>
      </w:pPr>
      <w:r>
        <w:rPr>
          <w:rFonts w:hint="eastAsia" w:ascii="宋体" w:hAnsi="宋体"/>
          <w:b/>
          <w:kern w:val="44"/>
        </w:rPr>
        <w:t>第十五条</w:t>
      </w:r>
      <w:r>
        <w:rPr>
          <w:rFonts w:hint="eastAsia" w:ascii="宋体" w:hAnsi="宋体"/>
          <w:kern w:val="44"/>
        </w:rPr>
        <w:t>　市科学技术奖初审结果实行公告异议制度。初审结果在市科学技术行政部门指定的媒体上公布，公告期为30天。公告期内对初审结果有异议的，可以提请复审。</w:t>
      </w:r>
    </w:p>
    <w:p w14:paraId="32E50F2B">
      <w:pPr>
        <w:jc w:val="left"/>
        <w:rPr>
          <w:rFonts w:ascii="宋体" w:hAnsi="宋体"/>
          <w:kern w:val="44"/>
        </w:rPr>
      </w:pPr>
      <w:r>
        <w:rPr>
          <w:rFonts w:hint="eastAsia" w:ascii="宋体" w:hAnsi="宋体"/>
          <w:kern w:val="44"/>
        </w:rPr>
        <w:t>市科学技术行政部门组织有关专家对奖励项目有异议的进行复审，并记名投票表决，作出复审意见，提交评审委员会。</w:t>
      </w:r>
    </w:p>
    <w:p w14:paraId="66D60883">
      <w:pPr>
        <w:ind w:firstLine="422"/>
        <w:jc w:val="left"/>
        <w:rPr>
          <w:rFonts w:ascii="宋体" w:hAnsi="宋体"/>
          <w:kern w:val="44"/>
        </w:rPr>
      </w:pPr>
      <w:r>
        <w:rPr>
          <w:rFonts w:hint="eastAsia" w:ascii="宋体" w:hAnsi="宋体"/>
          <w:b/>
          <w:kern w:val="44"/>
        </w:rPr>
        <w:t>第十六条</w:t>
      </w:r>
      <w:r>
        <w:rPr>
          <w:rFonts w:hint="eastAsia" w:ascii="宋体" w:hAnsi="宋体"/>
          <w:kern w:val="44"/>
        </w:rPr>
        <w:t>　评审委员会根据奖励的重点，对初审结果和复审意见进行综合评议，并记名投票表决，提出项目获奖人选和奖励等级的评审意见。</w:t>
      </w:r>
    </w:p>
    <w:p w14:paraId="4B957D86">
      <w:pPr>
        <w:ind w:firstLine="422"/>
        <w:jc w:val="left"/>
        <w:rPr>
          <w:rFonts w:ascii="宋体" w:hAnsi="宋体"/>
          <w:kern w:val="44"/>
        </w:rPr>
      </w:pPr>
      <w:r>
        <w:rPr>
          <w:rFonts w:hint="eastAsia" w:ascii="宋体" w:hAnsi="宋体"/>
          <w:b/>
          <w:kern w:val="44"/>
        </w:rPr>
        <w:t>第十七条</w:t>
      </w:r>
      <w:r>
        <w:rPr>
          <w:rFonts w:hint="eastAsia" w:ascii="宋体" w:hAnsi="宋体"/>
          <w:kern w:val="44"/>
        </w:rPr>
        <w:t>　市科学技术行政部门对评审委员会提出的市科学技术奖的获奖人选和奖励等级的评审意见进行审核后，报市人民政府批准。</w:t>
      </w:r>
    </w:p>
    <w:p w14:paraId="1F88B7C4">
      <w:pPr>
        <w:ind w:firstLine="422"/>
        <w:jc w:val="left"/>
        <w:rPr>
          <w:rFonts w:ascii="宋体" w:hAnsi="宋体"/>
          <w:kern w:val="44"/>
        </w:rPr>
      </w:pPr>
      <w:r>
        <w:rPr>
          <w:rFonts w:hint="eastAsia" w:ascii="宋体" w:hAnsi="宋体"/>
          <w:b/>
          <w:kern w:val="44"/>
        </w:rPr>
        <w:t>第十八条</w:t>
      </w:r>
      <w:r>
        <w:rPr>
          <w:rFonts w:hint="eastAsia" w:ascii="宋体" w:hAnsi="宋体"/>
          <w:kern w:val="44"/>
        </w:rPr>
        <w:t>　市政府有关部门按照各自的职责协同做好市科学技术奖的评审监督工作。</w:t>
      </w:r>
    </w:p>
    <w:p w14:paraId="674B7288">
      <w:pPr>
        <w:ind w:firstLine="422"/>
        <w:jc w:val="left"/>
        <w:rPr>
          <w:rFonts w:ascii="宋体" w:hAnsi="宋体"/>
          <w:kern w:val="44"/>
        </w:rPr>
      </w:pPr>
      <w:r>
        <w:rPr>
          <w:rFonts w:hint="eastAsia" w:ascii="宋体" w:hAnsi="宋体"/>
          <w:b/>
          <w:kern w:val="44"/>
        </w:rPr>
        <w:t>第十九条</w:t>
      </w:r>
      <w:r>
        <w:rPr>
          <w:rFonts w:hint="eastAsia" w:ascii="宋体" w:hAnsi="宋体"/>
          <w:kern w:val="44"/>
        </w:rPr>
        <w:t>　获得市科学技术奖的组织，应当从实施获奖项目的收益中提取一定比例，奖励获奖项目的主要完成人员。</w:t>
      </w:r>
    </w:p>
    <w:p w14:paraId="4CA26C51">
      <w:pPr>
        <w:ind w:firstLine="422"/>
        <w:jc w:val="left"/>
        <w:rPr>
          <w:rFonts w:ascii="宋体" w:hAnsi="宋体"/>
          <w:kern w:val="44"/>
        </w:rPr>
      </w:pPr>
      <w:r>
        <w:rPr>
          <w:rFonts w:hint="eastAsia" w:ascii="宋体" w:hAnsi="宋体"/>
          <w:b/>
          <w:kern w:val="44"/>
        </w:rPr>
        <w:t>第二十条</w:t>
      </w:r>
      <w:r>
        <w:rPr>
          <w:rFonts w:hint="eastAsia" w:ascii="宋体" w:hAnsi="宋体"/>
          <w:kern w:val="44"/>
        </w:rPr>
        <w:t>　市科学技术奖的获奖人申请市科技计划项目时，在同等条件下，可以优先立项。</w:t>
      </w:r>
    </w:p>
    <w:p w14:paraId="19863780">
      <w:pPr>
        <w:ind w:firstLine="422"/>
        <w:jc w:val="left"/>
        <w:rPr>
          <w:rFonts w:ascii="宋体" w:hAnsi="宋体"/>
          <w:kern w:val="44"/>
        </w:rPr>
      </w:pPr>
      <w:r>
        <w:rPr>
          <w:rFonts w:hint="eastAsia" w:ascii="宋体" w:hAnsi="宋体"/>
          <w:b/>
          <w:kern w:val="44"/>
        </w:rPr>
        <w:t>第二十一条</w:t>
      </w:r>
      <w:r>
        <w:rPr>
          <w:rFonts w:hint="eastAsia" w:ascii="宋体" w:hAnsi="宋体"/>
          <w:kern w:val="44"/>
        </w:rPr>
        <w:t>　市科学技术奖重大科技创新奖、一等奖、二等奖的获奖项目，符合国家级科学技术奖申报条件的，由市科学技术行政部门负责推荐。</w:t>
      </w:r>
    </w:p>
    <w:p w14:paraId="4E835E9C">
      <w:pPr>
        <w:ind w:firstLine="422"/>
        <w:jc w:val="left"/>
        <w:rPr>
          <w:rFonts w:ascii="宋体" w:hAnsi="宋体"/>
          <w:kern w:val="44"/>
        </w:rPr>
      </w:pPr>
      <w:r>
        <w:rPr>
          <w:rFonts w:hint="eastAsia" w:ascii="宋体" w:hAnsi="宋体"/>
          <w:b/>
          <w:kern w:val="44"/>
        </w:rPr>
        <w:t>第二十二条</w:t>
      </w:r>
      <w:r>
        <w:rPr>
          <w:rFonts w:hint="eastAsia" w:ascii="宋体" w:hAnsi="宋体"/>
          <w:kern w:val="44"/>
        </w:rPr>
        <w:t>　评审专家及相关工作人员应当遵守评审工作规定，不得与获奖候选人单独接触，不得透露评审项目的技术内容及评审情况；涉及当年申报奖励项目或者与申报奖励项目的组织或者个人有利害关系的，应当回避。</w:t>
      </w:r>
    </w:p>
    <w:p w14:paraId="50EB8107">
      <w:pPr>
        <w:ind w:firstLine="422"/>
        <w:jc w:val="left"/>
        <w:rPr>
          <w:rFonts w:ascii="宋体" w:hAnsi="宋体"/>
          <w:kern w:val="44"/>
        </w:rPr>
      </w:pPr>
      <w:r>
        <w:rPr>
          <w:rFonts w:hint="eastAsia" w:ascii="宋体" w:hAnsi="宋体"/>
          <w:b/>
          <w:kern w:val="44"/>
        </w:rPr>
        <w:t>第二十三条</w:t>
      </w:r>
      <w:r>
        <w:rPr>
          <w:rFonts w:hint="eastAsia" w:ascii="宋体" w:hAnsi="宋体"/>
          <w:kern w:val="44"/>
        </w:rPr>
        <w:t>　对弄虚作假、剽窃他人成果等骗取奖励的，由市科学技术行政部门报经市人民政府批准，撤销其奖励，追回奖金和证书，并在相关媒体予以公布。</w:t>
      </w:r>
    </w:p>
    <w:p w14:paraId="07296504">
      <w:pPr>
        <w:ind w:firstLine="422"/>
        <w:jc w:val="left"/>
        <w:rPr>
          <w:rFonts w:ascii="宋体" w:hAnsi="宋体"/>
          <w:kern w:val="44"/>
        </w:rPr>
      </w:pPr>
      <w:r>
        <w:rPr>
          <w:rFonts w:hint="eastAsia" w:ascii="宋体" w:hAnsi="宋体"/>
          <w:b/>
          <w:kern w:val="44"/>
        </w:rPr>
        <w:t>第二十四条</w:t>
      </w:r>
      <w:r>
        <w:rPr>
          <w:rFonts w:hint="eastAsia" w:ascii="宋体" w:hAnsi="宋体"/>
          <w:kern w:val="44"/>
        </w:rPr>
        <w:t>　评审专家及工作人员在评审工作中有弄虚作假、徇私舞弊以及其他违反评审规定行为的，由其所在主管部门依法给予行政处分；由市科学技术行政部门报经市人民政府批准，取消其评审专家资格。</w:t>
      </w:r>
    </w:p>
    <w:p w14:paraId="55489A41">
      <w:pPr>
        <w:ind w:firstLine="422"/>
        <w:jc w:val="left"/>
        <w:rPr>
          <w:rFonts w:ascii="宋体" w:hAnsi="宋体"/>
          <w:kern w:val="44"/>
        </w:rPr>
      </w:pPr>
      <w:r>
        <w:rPr>
          <w:rFonts w:hint="eastAsia" w:ascii="宋体" w:hAnsi="宋体"/>
          <w:b/>
          <w:kern w:val="44"/>
        </w:rPr>
        <w:t>第二十五条</w:t>
      </w:r>
      <w:r>
        <w:rPr>
          <w:rFonts w:hint="eastAsia" w:ascii="宋体" w:hAnsi="宋体"/>
          <w:kern w:val="44"/>
        </w:rPr>
        <w:t>　推荐单位提供虚假材料，协助他人骗取市科学技术奖的，由市科学技术行政部门取消其三年内的推荐资格，并在相关媒体予以公布。</w:t>
      </w:r>
    </w:p>
    <w:p w14:paraId="6A8730B4">
      <w:pPr>
        <w:ind w:firstLine="422"/>
      </w:pPr>
      <w:r>
        <w:rPr>
          <w:rFonts w:hint="eastAsia" w:ascii="宋体" w:hAnsi="宋体"/>
          <w:b/>
          <w:kern w:val="44"/>
        </w:rPr>
        <w:t>第二十六条</w:t>
      </w:r>
      <w:r>
        <w:rPr>
          <w:rFonts w:hint="eastAsia" w:ascii="宋体" w:hAnsi="宋体"/>
          <w:kern w:val="44"/>
        </w:rPr>
        <w:t>　</w:t>
      </w:r>
      <w:r>
        <w:rPr>
          <w:rFonts w:hint="eastAsia"/>
        </w:rPr>
        <w:t>社会组织或者个人未经登记，擅自设立面向本市的地方性科学技术奖项的，由市科学技术行政部门予以取缔。</w:t>
      </w:r>
    </w:p>
    <w:p w14:paraId="66308CE7">
      <w:pPr>
        <w:rPr>
          <w:rFonts w:ascii="宋体" w:hAnsi="宋体"/>
        </w:rPr>
      </w:pPr>
      <w:r>
        <w:rPr>
          <w:rFonts w:hint="eastAsia" w:ascii="宋体" w:hAnsi="宋体"/>
        </w:rPr>
        <w:t>社会组织或者个人经登记设立的面向本市的地方性科学技术奖项，在评审、奖励活动中收取费用的，由市科学技术行政部门没收其所收取的费用，可以并处所收取费用的1倍以上3倍以下的罚款；情节严重的，撤销登记。</w:t>
      </w:r>
    </w:p>
    <w:p w14:paraId="6CE8B90D">
      <w:pPr>
        <w:ind w:firstLine="422"/>
        <w:jc w:val="left"/>
        <w:rPr>
          <w:rFonts w:ascii="宋体" w:hAnsi="宋体"/>
          <w:kern w:val="44"/>
        </w:rPr>
      </w:pPr>
      <w:r>
        <w:rPr>
          <w:rFonts w:hint="eastAsia" w:ascii="宋体" w:hAnsi="宋体"/>
          <w:b/>
          <w:kern w:val="44"/>
        </w:rPr>
        <w:t xml:space="preserve">第二十七条  </w:t>
      </w:r>
      <w:r>
        <w:rPr>
          <w:rFonts w:hint="eastAsia" w:ascii="宋体" w:hAnsi="宋体"/>
          <w:kern w:val="44"/>
        </w:rPr>
        <w:t>本办法自2002年5月8日起施行。1988年市政府发布的《北京市科学技术进步奖励办法》（京政发〔1988〕121号）同时废止。</w:t>
      </w:r>
    </w:p>
    <w:p w14:paraId="6A73E953">
      <w:pPr>
        <w:pStyle w:val="4"/>
        <w:pageBreakBefore/>
        <w:rPr>
          <w:kern w:val="44"/>
        </w:rPr>
      </w:pPr>
      <w:bookmarkStart w:id="1553" w:name="_Toc422471405"/>
      <w:bookmarkStart w:id="1554" w:name="_Toc427651661"/>
      <w:bookmarkStart w:id="1555" w:name="_Toc428781709"/>
      <w:bookmarkStart w:id="1556" w:name="_Toc427652003"/>
      <w:bookmarkStart w:id="1557" w:name="_Toc428780227"/>
      <w:r>
        <w:rPr>
          <w:rFonts w:hint="eastAsia"/>
          <w:kern w:val="44"/>
        </w:rPr>
        <w:t>北京市自然科学基金</w:t>
      </w:r>
      <w:bookmarkEnd w:id="1553"/>
      <w:bookmarkStart w:id="1558" w:name="_Toc422471406"/>
      <w:r>
        <w:rPr>
          <w:rFonts w:hint="eastAsia"/>
          <w:kern w:val="44"/>
        </w:rPr>
        <w:t>管理办法</w:t>
      </w:r>
      <w:bookmarkEnd w:id="1554"/>
      <w:bookmarkEnd w:id="1555"/>
      <w:bookmarkEnd w:id="1556"/>
      <w:bookmarkEnd w:id="1557"/>
      <w:bookmarkEnd w:id="1558"/>
    </w:p>
    <w:p w14:paraId="36D30172">
      <w:pPr>
        <w:ind w:left="630" w:leftChars="300" w:right="630" w:rightChars="300"/>
        <w:jc w:val="left"/>
        <w:rPr>
          <w:rFonts w:ascii="楷体" w:hAnsi="楷体" w:eastAsia="楷体"/>
          <w:kern w:val="44"/>
        </w:rPr>
      </w:pPr>
      <w:r>
        <w:rPr>
          <w:rFonts w:hint="eastAsia" w:ascii="楷体" w:hAnsi="楷体" w:eastAsia="楷体"/>
          <w:kern w:val="44"/>
        </w:rPr>
        <w:t>（2011年6月21日北京市人民政府第95次常务会议审议通过  2011年7月7日北京市人民政府第235号令公布）</w:t>
      </w:r>
    </w:p>
    <w:p w14:paraId="083FF95B">
      <w:pPr>
        <w:jc w:val="left"/>
        <w:rPr>
          <w:rFonts w:ascii="宋体" w:hAnsi="宋体"/>
          <w:kern w:val="44"/>
        </w:rPr>
      </w:pPr>
    </w:p>
    <w:p w14:paraId="114739D6">
      <w:pPr>
        <w:ind w:firstLine="0" w:firstLineChars="0"/>
        <w:jc w:val="center"/>
        <w:rPr>
          <w:rFonts w:ascii="宋体" w:hAnsi="宋体"/>
          <w:b/>
          <w:kern w:val="44"/>
          <w:sz w:val="28"/>
        </w:rPr>
      </w:pPr>
      <w:r>
        <w:rPr>
          <w:rFonts w:hint="eastAsia" w:ascii="宋体" w:hAnsi="宋体"/>
          <w:b/>
          <w:kern w:val="44"/>
          <w:sz w:val="28"/>
        </w:rPr>
        <w:t>第一章　总　则</w:t>
      </w:r>
    </w:p>
    <w:p w14:paraId="4D52368A">
      <w:pPr>
        <w:jc w:val="left"/>
        <w:rPr>
          <w:rFonts w:ascii="宋体" w:hAnsi="宋体"/>
          <w:kern w:val="44"/>
        </w:rPr>
      </w:pPr>
    </w:p>
    <w:p w14:paraId="4F73BBA4">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为了规范本市自然科学基金的使用与管理，提高自然科学基金使用效益，培养科学技术人才，增强自主创新能力，根据《中华人民共和国科学技术进步法》等法律、法规，结合本市实际情况，制定本办法。</w:t>
      </w:r>
    </w:p>
    <w:p w14:paraId="29D0A23F">
      <w:pPr>
        <w:ind w:firstLine="422"/>
        <w:jc w:val="left"/>
        <w:rPr>
          <w:rFonts w:ascii="宋体" w:hAnsi="宋体"/>
          <w:kern w:val="44"/>
        </w:rPr>
      </w:pPr>
      <w:r>
        <w:rPr>
          <w:rFonts w:hint="eastAsia" w:ascii="宋体" w:hAnsi="宋体"/>
          <w:b/>
          <w:kern w:val="44"/>
        </w:rPr>
        <w:t>第二条</w:t>
      </w:r>
      <w:r>
        <w:rPr>
          <w:rFonts w:hint="eastAsia" w:ascii="宋体" w:hAnsi="宋体"/>
          <w:kern w:val="44"/>
        </w:rPr>
        <w:t>　本市设立北京市自然科学基金（以下简称“自然科学基金”），资助自然科学和与自然科学相交叉的学科领域的基础研究、应用基础研究及其相关的环境条件促进活动。</w:t>
      </w:r>
    </w:p>
    <w:p w14:paraId="0AA51045">
      <w:pPr>
        <w:ind w:firstLine="422"/>
        <w:jc w:val="left"/>
        <w:rPr>
          <w:rFonts w:ascii="宋体" w:hAnsi="宋体"/>
          <w:kern w:val="44"/>
        </w:rPr>
      </w:pPr>
      <w:r>
        <w:rPr>
          <w:rFonts w:hint="eastAsia" w:ascii="宋体" w:hAnsi="宋体"/>
          <w:b/>
          <w:kern w:val="44"/>
        </w:rPr>
        <w:t>第三条</w:t>
      </w:r>
      <w:r>
        <w:rPr>
          <w:rFonts w:hint="eastAsia" w:ascii="宋体" w:hAnsi="宋体"/>
          <w:kern w:val="44"/>
        </w:rPr>
        <w:t>　市科学技术行政部门主管自然科学基金工作，负责研究制订自然科学基金管理政策，统筹协调相关工作。</w:t>
      </w:r>
    </w:p>
    <w:p w14:paraId="4EE300C5">
      <w:pPr>
        <w:jc w:val="left"/>
        <w:rPr>
          <w:rFonts w:ascii="宋体" w:hAnsi="宋体"/>
          <w:kern w:val="44"/>
        </w:rPr>
      </w:pPr>
      <w:r>
        <w:rPr>
          <w:rFonts w:hint="eastAsia" w:ascii="宋体" w:hAnsi="宋体"/>
          <w:kern w:val="44"/>
        </w:rPr>
        <w:t>市财政部门依法对自然科学基金的预算、财务进行管理和监督。审计机关依法对自然科学基金的使用与管理进行审计监督。</w:t>
      </w:r>
    </w:p>
    <w:p w14:paraId="05DB529E">
      <w:pPr>
        <w:ind w:firstLine="422"/>
        <w:jc w:val="left"/>
        <w:rPr>
          <w:rFonts w:ascii="宋体" w:hAnsi="宋体"/>
          <w:kern w:val="44"/>
        </w:rPr>
      </w:pPr>
      <w:r>
        <w:rPr>
          <w:rFonts w:hint="eastAsia" w:ascii="宋体" w:hAnsi="宋体"/>
          <w:b/>
          <w:kern w:val="44"/>
        </w:rPr>
        <w:t>第四条</w:t>
      </w:r>
      <w:r>
        <w:rPr>
          <w:rFonts w:hint="eastAsia" w:ascii="宋体" w:hAnsi="宋体"/>
          <w:kern w:val="44"/>
        </w:rPr>
        <w:t>　市人民政府设立北京市自然科学基金委员会（以下简称“基金委”），负责编制自然科学基金发展规划和项目指南，审定自然科学基金资助项目，审议自然科学基金管理的重大事项等工作。</w:t>
      </w:r>
    </w:p>
    <w:p w14:paraId="58D4A6CB">
      <w:pPr>
        <w:jc w:val="left"/>
        <w:rPr>
          <w:rFonts w:ascii="宋体" w:hAnsi="宋体"/>
          <w:kern w:val="44"/>
        </w:rPr>
      </w:pPr>
      <w:r>
        <w:rPr>
          <w:rFonts w:hint="eastAsia" w:ascii="宋体" w:hAnsi="宋体"/>
          <w:kern w:val="44"/>
        </w:rPr>
        <w:t>基金委由市人民政府相关部门主管科技工作的负责人和相关研究领域的科学家、工程技术专家、管理专家组成。基金委组成人选由市科学技术行政部门提名，并报市人民政府批准。基金委委员实行任期制，每届任期五年，连续任期一般不超过两届。</w:t>
      </w:r>
    </w:p>
    <w:p w14:paraId="7665A220">
      <w:pPr>
        <w:jc w:val="left"/>
        <w:rPr>
          <w:rFonts w:ascii="宋体" w:hAnsi="宋体"/>
          <w:kern w:val="44"/>
        </w:rPr>
      </w:pPr>
      <w:r>
        <w:rPr>
          <w:rFonts w:hint="eastAsia" w:ascii="宋体" w:hAnsi="宋体"/>
          <w:kern w:val="44"/>
        </w:rPr>
        <w:t>市自然科学基金委员会办公室（以下简称“基金办”）承担基金委的日常工作，负责自然科学基金资助工作的具体实施和管理。</w:t>
      </w:r>
    </w:p>
    <w:p w14:paraId="37BDB822">
      <w:pPr>
        <w:ind w:firstLine="422"/>
        <w:jc w:val="left"/>
        <w:rPr>
          <w:rFonts w:ascii="宋体" w:hAnsi="宋体"/>
          <w:kern w:val="44"/>
        </w:rPr>
      </w:pPr>
      <w:r>
        <w:rPr>
          <w:rFonts w:hint="eastAsia" w:ascii="宋体" w:hAnsi="宋体"/>
          <w:b/>
          <w:kern w:val="44"/>
        </w:rPr>
        <w:t>第五条</w:t>
      </w:r>
      <w:r>
        <w:rPr>
          <w:rFonts w:hint="eastAsia" w:ascii="宋体" w:hAnsi="宋体"/>
          <w:kern w:val="44"/>
        </w:rPr>
        <w:t>　基金办应当聘请相关学科领域具有较高学术水平、良好职业道德的专家作为评审专家，建立基金资助项目评审专家库。</w:t>
      </w:r>
    </w:p>
    <w:p w14:paraId="0659BCC8">
      <w:pPr>
        <w:jc w:val="left"/>
        <w:rPr>
          <w:rFonts w:ascii="宋体" w:hAnsi="宋体"/>
          <w:kern w:val="44"/>
        </w:rPr>
      </w:pPr>
      <w:r>
        <w:rPr>
          <w:rFonts w:hint="eastAsia" w:ascii="宋体" w:hAnsi="宋体"/>
          <w:kern w:val="44"/>
        </w:rPr>
        <w:t>评审专家对项目进行评审，应当从项目的科学价值、创新性，研究方案的可行性，申请人的研究能力，项目研究应用前景等方面进行独立判断和评价。</w:t>
      </w:r>
    </w:p>
    <w:p w14:paraId="7B248E2D">
      <w:pPr>
        <w:ind w:firstLine="422"/>
        <w:jc w:val="left"/>
        <w:rPr>
          <w:rFonts w:ascii="宋体" w:hAnsi="宋体"/>
          <w:kern w:val="44"/>
        </w:rPr>
      </w:pPr>
      <w:r>
        <w:rPr>
          <w:rFonts w:hint="eastAsia" w:ascii="宋体" w:hAnsi="宋体"/>
          <w:b/>
          <w:kern w:val="44"/>
        </w:rPr>
        <w:t>第六条</w:t>
      </w:r>
      <w:r>
        <w:rPr>
          <w:rFonts w:hint="eastAsia" w:ascii="宋体" w:hAnsi="宋体"/>
          <w:kern w:val="44"/>
        </w:rPr>
        <w:t>　自然科学基金主要来源于市财政拨款。</w:t>
      </w:r>
    </w:p>
    <w:p w14:paraId="3A895B56">
      <w:pPr>
        <w:jc w:val="left"/>
        <w:rPr>
          <w:rFonts w:ascii="宋体" w:hAnsi="宋体"/>
          <w:kern w:val="44"/>
        </w:rPr>
      </w:pPr>
      <w:r>
        <w:rPr>
          <w:rFonts w:hint="eastAsia" w:ascii="宋体" w:hAnsi="宋体"/>
          <w:kern w:val="44"/>
        </w:rPr>
        <w:t>市财政部门应当将自然科学基金的经费列入预算。</w:t>
      </w:r>
    </w:p>
    <w:p w14:paraId="56ABF55F">
      <w:pPr>
        <w:jc w:val="left"/>
        <w:rPr>
          <w:rFonts w:ascii="宋体" w:hAnsi="宋体"/>
          <w:kern w:val="44"/>
        </w:rPr>
      </w:pPr>
      <w:r>
        <w:rPr>
          <w:rFonts w:hint="eastAsia" w:ascii="宋体" w:hAnsi="宋体"/>
          <w:kern w:val="44"/>
        </w:rPr>
        <w:t>鼓励自然人、法人或者其他组织通过与自然科学基金联合资助、向自然科学基金捐资等方式资助基础研究与应用基础研究。向自然科学基金捐资的，按照国家和本市规定享受优惠政策。</w:t>
      </w:r>
    </w:p>
    <w:p w14:paraId="50328F06">
      <w:pPr>
        <w:ind w:firstLine="422"/>
        <w:jc w:val="left"/>
        <w:rPr>
          <w:rFonts w:ascii="宋体" w:hAnsi="宋体"/>
          <w:kern w:val="44"/>
        </w:rPr>
      </w:pPr>
      <w:r>
        <w:rPr>
          <w:rFonts w:hint="eastAsia" w:ascii="宋体" w:hAnsi="宋体"/>
          <w:b/>
          <w:kern w:val="44"/>
        </w:rPr>
        <w:t>第七条</w:t>
      </w:r>
      <w:r>
        <w:rPr>
          <w:rFonts w:hint="eastAsia" w:ascii="宋体" w:hAnsi="宋体"/>
          <w:kern w:val="44"/>
        </w:rPr>
        <w:t>　自然科学基金工作遵循公开、公平、公正的原则，坚持尊重科学、发扬民主、激励创新、促进合作、凝聚资源、服务首都的方针。</w:t>
      </w:r>
    </w:p>
    <w:p w14:paraId="5279A31F">
      <w:pPr>
        <w:ind w:firstLine="422"/>
        <w:jc w:val="left"/>
        <w:rPr>
          <w:rFonts w:ascii="宋体" w:hAnsi="宋体"/>
          <w:kern w:val="44"/>
        </w:rPr>
      </w:pPr>
      <w:r>
        <w:rPr>
          <w:rFonts w:hint="eastAsia" w:ascii="宋体" w:hAnsi="宋体"/>
          <w:b/>
          <w:kern w:val="44"/>
        </w:rPr>
        <w:t>第八条</w:t>
      </w:r>
      <w:r>
        <w:rPr>
          <w:rFonts w:hint="eastAsia" w:ascii="宋体" w:hAnsi="宋体"/>
          <w:kern w:val="44"/>
        </w:rPr>
        <w:t>　确定自然科学基金资助项目，应当充分发挥评审专家的作用，采取宏观引导、自主申请、平等竞争、同行评审、择优支持的机制。</w:t>
      </w:r>
    </w:p>
    <w:p w14:paraId="3BDAC8E8">
      <w:pPr>
        <w:jc w:val="left"/>
        <w:rPr>
          <w:rFonts w:ascii="宋体" w:hAnsi="宋体"/>
          <w:kern w:val="44"/>
        </w:rPr>
      </w:pPr>
    </w:p>
    <w:p w14:paraId="7929B059">
      <w:pPr>
        <w:jc w:val="left"/>
        <w:rPr>
          <w:rFonts w:ascii="宋体" w:hAnsi="宋体"/>
          <w:kern w:val="44"/>
        </w:rPr>
      </w:pPr>
    </w:p>
    <w:p w14:paraId="30E37681">
      <w:pPr>
        <w:ind w:firstLine="0" w:firstLineChars="0"/>
        <w:jc w:val="center"/>
        <w:rPr>
          <w:rFonts w:ascii="宋体" w:hAnsi="宋体"/>
          <w:b/>
          <w:kern w:val="44"/>
          <w:sz w:val="28"/>
        </w:rPr>
      </w:pPr>
      <w:r>
        <w:rPr>
          <w:rFonts w:hint="eastAsia" w:ascii="宋体" w:hAnsi="宋体"/>
          <w:b/>
          <w:kern w:val="44"/>
          <w:sz w:val="28"/>
        </w:rPr>
        <w:t>第二章　规划与组织</w:t>
      </w:r>
    </w:p>
    <w:p w14:paraId="6A7D82CC">
      <w:pPr>
        <w:jc w:val="left"/>
        <w:rPr>
          <w:rFonts w:ascii="宋体" w:hAnsi="宋体"/>
          <w:kern w:val="44"/>
        </w:rPr>
      </w:pPr>
    </w:p>
    <w:p w14:paraId="779D04CB">
      <w:pPr>
        <w:ind w:firstLine="422"/>
        <w:jc w:val="left"/>
        <w:rPr>
          <w:rFonts w:ascii="宋体" w:hAnsi="宋体"/>
          <w:kern w:val="44"/>
        </w:rPr>
      </w:pPr>
      <w:r>
        <w:rPr>
          <w:rFonts w:hint="eastAsia" w:ascii="宋体" w:hAnsi="宋体"/>
          <w:b/>
          <w:kern w:val="44"/>
        </w:rPr>
        <w:t>第九条</w:t>
      </w:r>
      <w:r>
        <w:rPr>
          <w:rFonts w:hint="eastAsia" w:ascii="宋体" w:hAnsi="宋体"/>
          <w:kern w:val="44"/>
        </w:rPr>
        <w:t>　基金委应当根据本市国民经济与社会发展规划、科学技术发展规划，围绕本市经济社会发展的战略需求，结合国内外科学技术发展状况，编制自然科学基金发展规划，建立基金资助体系，明确发展战略目标、研究领域和研究方向；并根据自然科学基金发展规划编制项目指南，明确自然科学基金资助的项目范围。</w:t>
      </w:r>
    </w:p>
    <w:p w14:paraId="4F8BACDA">
      <w:pPr>
        <w:jc w:val="left"/>
        <w:rPr>
          <w:rFonts w:ascii="宋体" w:hAnsi="宋体"/>
          <w:kern w:val="44"/>
        </w:rPr>
      </w:pPr>
      <w:r>
        <w:rPr>
          <w:rFonts w:hint="eastAsia" w:ascii="宋体" w:hAnsi="宋体"/>
          <w:kern w:val="44"/>
        </w:rPr>
        <w:t>自然科学基金优先资助与本市经济社会发展紧密相关的战略性、前瞻性应用基础研究，为促进本市战略性新兴产业培育、高技术产业发展，新兴学科与优势学科建设提供知识、技术和人才储备。</w:t>
      </w:r>
    </w:p>
    <w:p w14:paraId="1F7C8208">
      <w:pPr>
        <w:ind w:firstLine="422"/>
        <w:jc w:val="left"/>
        <w:rPr>
          <w:rFonts w:ascii="宋体" w:hAnsi="宋体"/>
          <w:kern w:val="44"/>
        </w:rPr>
      </w:pPr>
      <w:r>
        <w:rPr>
          <w:rFonts w:hint="eastAsia" w:ascii="宋体" w:hAnsi="宋体"/>
          <w:b/>
          <w:kern w:val="44"/>
        </w:rPr>
        <w:t>第十条</w:t>
      </w:r>
      <w:r>
        <w:rPr>
          <w:rFonts w:hint="eastAsia" w:ascii="宋体" w:hAnsi="宋体"/>
          <w:kern w:val="44"/>
        </w:rPr>
        <w:t>　基金委在编制自然科学基金发展规划和项目指南时，应当听取高等院校、科学研究机构、企业、行政部门以及其他组织等方面的意见，组织有关专家进行科学论证。</w:t>
      </w:r>
    </w:p>
    <w:p w14:paraId="0DEA6787">
      <w:pPr>
        <w:jc w:val="left"/>
        <w:rPr>
          <w:rFonts w:ascii="宋体" w:hAnsi="宋体"/>
          <w:kern w:val="44"/>
        </w:rPr>
      </w:pPr>
      <w:r>
        <w:rPr>
          <w:rFonts w:hint="eastAsia" w:ascii="宋体" w:hAnsi="宋体"/>
          <w:kern w:val="44"/>
        </w:rPr>
        <w:t>自然科学基金发展规划和项目指南应当向社会公开。</w:t>
      </w:r>
    </w:p>
    <w:p w14:paraId="402DAEE4">
      <w:pPr>
        <w:ind w:firstLine="422"/>
        <w:jc w:val="left"/>
        <w:rPr>
          <w:rFonts w:ascii="宋体" w:hAnsi="宋体"/>
          <w:kern w:val="44"/>
        </w:rPr>
      </w:pPr>
      <w:r>
        <w:rPr>
          <w:rFonts w:hint="eastAsia" w:ascii="宋体" w:hAnsi="宋体"/>
          <w:b/>
          <w:kern w:val="44"/>
        </w:rPr>
        <w:t>第十一条</w:t>
      </w:r>
      <w:r>
        <w:rPr>
          <w:rFonts w:hint="eastAsia" w:ascii="宋体" w:hAnsi="宋体"/>
          <w:kern w:val="44"/>
        </w:rPr>
        <w:t>　自然科学基金资助工作应当通过依托单位实施。依托单位在基金资助管理工作中履行下列职责：</w:t>
      </w:r>
    </w:p>
    <w:p w14:paraId="7387F192">
      <w:pPr>
        <w:jc w:val="left"/>
        <w:rPr>
          <w:rFonts w:ascii="宋体" w:hAnsi="宋体"/>
          <w:kern w:val="44"/>
        </w:rPr>
      </w:pPr>
      <w:r>
        <w:rPr>
          <w:rFonts w:hint="eastAsia" w:ascii="宋体" w:hAnsi="宋体"/>
          <w:kern w:val="44"/>
        </w:rPr>
        <w:t>（一）组织申请人申请自然科学基金资助；</w:t>
      </w:r>
    </w:p>
    <w:p w14:paraId="1EE1EABE">
      <w:pPr>
        <w:jc w:val="left"/>
        <w:rPr>
          <w:rFonts w:ascii="宋体" w:hAnsi="宋体"/>
          <w:kern w:val="44"/>
        </w:rPr>
      </w:pPr>
      <w:r>
        <w:rPr>
          <w:rFonts w:hint="eastAsia" w:ascii="宋体" w:hAnsi="宋体"/>
          <w:kern w:val="44"/>
        </w:rPr>
        <w:t>（二）审核申请人、项目负责人所提交材料的真实性；</w:t>
      </w:r>
    </w:p>
    <w:p w14:paraId="07B1F2F6">
      <w:pPr>
        <w:jc w:val="left"/>
        <w:rPr>
          <w:rFonts w:ascii="宋体" w:hAnsi="宋体"/>
          <w:kern w:val="44"/>
        </w:rPr>
      </w:pPr>
      <w:r>
        <w:rPr>
          <w:rFonts w:hint="eastAsia" w:ascii="宋体" w:hAnsi="宋体"/>
          <w:kern w:val="44"/>
        </w:rPr>
        <w:t>（三）提供基金资助项目实施的条件，保障项目负责人和参与人实施基金资助项目的时间；</w:t>
      </w:r>
    </w:p>
    <w:p w14:paraId="692F5B81">
      <w:pPr>
        <w:jc w:val="left"/>
        <w:rPr>
          <w:rFonts w:ascii="宋体" w:hAnsi="宋体"/>
          <w:kern w:val="44"/>
        </w:rPr>
      </w:pPr>
      <w:r>
        <w:rPr>
          <w:rFonts w:hint="eastAsia" w:ascii="宋体" w:hAnsi="宋体"/>
          <w:kern w:val="44"/>
        </w:rPr>
        <w:t>（四）配合基金办对基金资助项目的实施和基金资助经费的使用进行监督、检查。</w:t>
      </w:r>
    </w:p>
    <w:p w14:paraId="1C2571FB">
      <w:pPr>
        <w:jc w:val="left"/>
        <w:rPr>
          <w:rFonts w:ascii="宋体" w:hAnsi="宋体"/>
          <w:kern w:val="44"/>
        </w:rPr>
      </w:pPr>
      <w:r>
        <w:rPr>
          <w:rFonts w:hint="eastAsia" w:ascii="宋体" w:hAnsi="宋体"/>
          <w:kern w:val="44"/>
        </w:rPr>
        <w:t>基金办应当对依托单位的基金资助管理工作进行指导、监督。</w:t>
      </w:r>
    </w:p>
    <w:p w14:paraId="4952BC8F">
      <w:pPr>
        <w:ind w:firstLine="422"/>
        <w:jc w:val="left"/>
        <w:rPr>
          <w:rFonts w:ascii="宋体" w:hAnsi="宋体"/>
          <w:kern w:val="44"/>
        </w:rPr>
      </w:pPr>
      <w:r>
        <w:rPr>
          <w:rFonts w:hint="eastAsia" w:ascii="宋体" w:hAnsi="宋体"/>
          <w:b/>
          <w:kern w:val="44"/>
        </w:rPr>
        <w:t>第十二条</w:t>
      </w:r>
      <w:r>
        <w:rPr>
          <w:rFonts w:hint="eastAsia" w:ascii="宋体" w:hAnsi="宋体"/>
          <w:kern w:val="44"/>
        </w:rPr>
        <w:t>　本市行政区域内的高等院校、科学研究机构、企业以及从事科学研究的其他组织具备下列条件的，可以向基金办申请注册为依托单位：</w:t>
      </w:r>
    </w:p>
    <w:p w14:paraId="78C684A6">
      <w:pPr>
        <w:jc w:val="left"/>
        <w:rPr>
          <w:rFonts w:ascii="宋体" w:hAnsi="宋体"/>
          <w:kern w:val="44"/>
        </w:rPr>
      </w:pPr>
      <w:r>
        <w:rPr>
          <w:rFonts w:hint="eastAsia" w:ascii="宋体" w:hAnsi="宋体"/>
          <w:kern w:val="44"/>
        </w:rPr>
        <w:t>（一）在本市行政区域内依法成立，具有法人资格，并具备完善的财务和资产管理制度；</w:t>
      </w:r>
    </w:p>
    <w:p w14:paraId="39AC9436">
      <w:pPr>
        <w:jc w:val="left"/>
        <w:rPr>
          <w:rFonts w:ascii="宋体" w:hAnsi="宋体"/>
          <w:kern w:val="44"/>
        </w:rPr>
      </w:pPr>
      <w:r>
        <w:rPr>
          <w:rFonts w:hint="eastAsia" w:ascii="宋体" w:hAnsi="宋体"/>
          <w:kern w:val="44"/>
        </w:rPr>
        <w:t>（二）有专门的科研管理机构和科研管理制度；</w:t>
      </w:r>
    </w:p>
    <w:p w14:paraId="743FA9EC">
      <w:pPr>
        <w:jc w:val="left"/>
        <w:rPr>
          <w:rFonts w:ascii="宋体" w:hAnsi="宋体"/>
          <w:kern w:val="44"/>
        </w:rPr>
      </w:pPr>
      <w:r>
        <w:rPr>
          <w:rFonts w:hint="eastAsia" w:ascii="宋体" w:hAnsi="宋体"/>
          <w:kern w:val="44"/>
        </w:rPr>
        <w:t>（三）在相关研究领域具有一定的研究基础，具有完成项目所需的团队和基础条件。</w:t>
      </w:r>
    </w:p>
    <w:p w14:paraId="6740DA26">
      <w:pPr>
        <w:jc w:val="left"/>
        <w:rPr>
          <w:rFonts w:ascii="宋体" w:hAnsi="宋体"/>
          <w:kern w:val="44"/>
        </w:rPr>
      </w:pPr>
      <w:r>
        <w:rPr>
          <w:rFonts w:hint="eastAsia" w:ascii="宋体" w:hAnsi="宋体"/>
          <w:kern w:val="44"/>
        </w:rPr>
        <w:t>基金办应当自收到注册申请之日起15日内作出审查决定，并告知申请单位。不予注册的，应当说明理由。</w:t>
      </w:r>
    </w:p>
    <w:p w14:paraId="6AF78C80">
      <w:pPr>
        <w:jc w:val="left"/>
        <w:rPr>
          <w:rFonts w:ascii="宋体" w:hAnsi="宋体"/>
          <w:kern w:val="44"/>
        </w:rPr>
      </w:pPr>
      <w:r>
        <w:rPr>
          <w:rFonts w:hint="eastAsia" w:ascii="宋体" w:hAnsi="宋体"/>
          <w:kern w:val="44"/>
        </w:rPr>
        <w:t>基金办应当将依托单位名单向社会公布。</w:t>
      </w:r>
    </w:p>
    <w:p w14:paraId="5F585F03">
      <w:pPr>
        <w:jc w:val="left"/>
        <w:rPr>
          <w:rFonts w:ascii="宋体" w:hAnsi="宋体"/>
          <w:kern w:val="44"/>
        </w:rPr>
      </w:pPr>
    </w:p>
    <w:p w14:paraId="6B429630">
      <w:pPr>
        <w:ind w:firstLine="0" w:firstLineChars="0"/>
        <w:jc w:val="center"/>
        <w:rPr>
          <w:rFonts w:ascii="宋体" w:hAnsi="宋体"/>
          <w:b/>
          <w:kern w:val="44"/>
          <w:sz w:val="28"/>
        </w:rPr>
      </w:pPr>
      <w:r>
        <w:rPr>
          <w:rFonts w:hint="eastAsia" w:ascii="宋体" w:hAnsi="宋体"/>
          <w:b/>
          <w:kern w:val="44"/>
          <w:sz w:val="28"/>
        </w:rPr>
        <w:t>第三章　申请与评审</w:t>
      </w:r>
    </w:p>
    <w:p w14:paraId="7F46ACED">
      <w:pPr>
        <w:jc w:val="left"/>
        <w:rPr>
          <w:rFonts w:ascii="宋体" w:hAnsi="宋体"/>
          <w:kern w:val="44"/>
        </w:rPr>
      </w:pPr>
    </w:p>
    <w:p w14:paraId="7D0A937A">
      <w:pPr>
        <w:ind w:firstLine="422"/>
        <w:jc w:val="left"/>
        <w:rPr>
          <w:rFonts w:ascii="宋体" w:hAnsi="宋体"/>
          <w:kern w:val="44"/>
        </w:rPr>
      </w:pPr>
      <w:r>
        <w:rPr>
          <w:rFonts w:hint="eastAsia" w:ascii="宋体" w:hAnsi="宋体"/>
          <w:b/>
          <w:kern w:val="44"/>
        </w:rPr>
        <w:t>第十三条</w:t>
      </w:r>
      <w:r>
        <w:rPr>
          <w:rFonts w:hint="eastAsia" w:ascii="宋体" w:hAnsi="宋体"/>
          <w:kern w:val="44"/>
        </w:rPr>
        <w:t>　本市行政区域内从事基础研究和应用基础研究的单位的科学技术人员具备下列条件的，可以申请自然科学基金资助：</w:t>
      </w:r>
    </w:p>
    <w:p w14:paraId="2933C430">
      <w:pPr>
        <w:jc w:val="left"/>
        <w:rPr>
          <w:rFonts w:ascii="宋体" w:hAnsi="宋体"/>
          <w:kern w:val="44"/>
        </w:rPr>
      </w:pPr>
      <w:r>
        <w:rPr>
          <w:rFonts w:hint="eastAsia" w:ascii="宋体" w:hAnsi="宋体"/>
          <w:kern w:val="44"/>
        </w:rPr>
        <w:t>（一）所在单位是依托单位；</w:t>
      </w:r>
    </w:p>
    <w:p w14:paraId="2AB5FD83">
      <w:pPr>
        <w:jc w:val="left"/>
        <w:rPr>
          <w:rFonts w:ascii="宋体" w:hAnsi="宋体"/>
          <w:kern w:val="44"/>
        </w:rPr>
      </w:pPr>
      <w:r>
        <w:rPr>
          <w:rFonts w:hint="eastAsia" w:ascii="宋体" w:hAnsi="宋体"/>
          <w:kern w:val="44"/>
        </w:rPr>
        <w:t>（二）具有承担基础研究、应用基础研究课题或者其他从事基础研究、应用基础研究的经历；</w:t>
      </w:r>
    </w:p>
    <w:p w14:paraId="53572D35">
      <w:pPr>
        <w:jc w:val="left"/>
        <w:rPr>
          <w:rFonts w:ascii="宋体" w:hAnsi="宋体"/>
          <w:kern w:val="44"/>
        </w:rPr>
      </w:pPr>
      <w:r>
        <w:rPr>
          <w:rFonts w:hint="eastAsia" w:ascii="宋体" w:hAnsi="宋体"/>
          <w:kern w:val="44"/>
        </w:rPr>
        <w:t>（三）具有高级专业技术职务（职称）或者具有博士学位，或者有2名与其研究领域相同、具有高级专业技术职务（职称）的科学技术人员推荐。</w:t>
      </w:r>
    </w:p>
    <w:p w14:paraId="423FA239">
      <w:pPr>
        <w:jc w:val="left"/>
        <w:rPr>
          <w:rFonts w:ascii="宋体" w:hAnsi="宋体"/>
          <w:kern w:val="44"/>
        </w:rPr>
      </w:pPr>
      <w:r>
        <w:rPr>
          <w:rFonts w:hint="eastAsia" w:ascii="宋体" w:hAnsi="宋体"/>
          <w:kern w:val="44"/>
        </w:rPr>
        <w:t>申请人符合本条第一款第（二）项、第（三）项规定，所在单位不是依托单位或者没有工作单位的，经有关依托单位同意后，可以通过该依托单位申请基金资助。该依托单位应当将其视为本单位科学技术人员，依照本办法规定进行管理。</w:t>
      </w:r>
    </w:p>
    <w:p w14:paraId="74422E04">
      <w:pPr>
        <w:jc w:val="left"/>
        <w:rPr>
          <w:rFonts w:ascii="宋体" w:hAnsi="宋体"/>
          <w:kern w:val="44"/>
        </w:rPr>
      </w:pPr>
      <w:r>
        <w:rPr>
          <w:rFonts w:hint="eastAsia" w:ascii="宋体" w:hAnsi="宋体"/>
          <w:kern w:val="44"/>
        </w:rPr>
        <w:t>符合本条第一款第（二）项、第（三）项规定的海外科学技术人员，经有关依托单位同意，且每年在依托单位工作3个月以上的，可以申请自然科学基金资助。</w:t>
      </w:r>
    </w:p>
    <w:p w14:paraId="7071E1C5">
      <w:pPr>
        <w:jc w:val="left"/>
        <w:rPr>
          <w:rFonts w:ascii="宋体" w:hAnsi="宋体"/>
          <w:kern w:val="44"/>
        </w:rPr>
      </w:pPr>
      <w:r>
        <w:rPr>
          <w:rFonts w:hint="eastAsia" w:ascii="宋体" w:hAnsi="宋体"/>
          <w:kern w:val="44"/>
        </w:rPr>
        <w:t>申请人应当是申请基金资助项目的负责人。</w:t>
      </w:r>
    </w:p>
    <w:p w14:paraId="000B4AB7">
      <w:pPr>
        <w:ind w:firstLine="422"/>
        <w:jc w:val="left"/>
        <w:rPr>
          <w:rFonts w:ascii="宋体" w:hAnsi="宋体"/>
          <w:kern w:val="44"/>
        </w:rPr>
      </w:pPr>
      <w:r>
        <w:rPr>
          <w:rFonts w:hint="eastAsia" w:ascii="宋体" w:hAnsi="宋体"/>
          <w:b/>
          <w:kern w:val="44"/>
        </w:rPr>
        <w:t>第十四条</w:t>
      </w:r>
      <w:r>
        <w:rPr>
          <w:rFonts w:hint="eastAsia" w:ascii="宋体" w:hAnsi="宋体"/>
          <w:kern w:val="44"/>
        </w:rPr>
        <w:t>　鼓励中央在京单位与市属单位的科学技术人员联合申请自然科学基金资助；鼓励高等院校、科学研究机构与企业的科学技术人员联合申请自然科学基金。联合申请的应当确定一名申请人。</w:t>
      </w:r>
    </w:p>
    <w:p w14:paraId="345F44E0">
      <w:pPr>
        <w:ind w:firstLine="422"/>
        <w:jc w:val="left"/>
        <w:rPr>
          <w:rFonts w:ascii="宋体" w:hAnsi="宋体"/>
          <w:kern w:val="44"/>
        </w:rPr>
      </w:pPr>
      <w:r>
        <w:rPr>
          <w:rFonts w:hint="eastAsia" w:ascii="宋体" w:hAnsi="宋体"/>
          <w:b/>
          <w:kern w:val="44"/>
        </w:rPr>
        <w:t>第十五条</w:t>
      </w:r>
      <w:r>
        <w:rPr>
          <w:rFonts w:hint="eastAsia" w:ascii="宋体" w:hAnsi="宋体"/>
          <w:kern w:val="44"/>
        </w:rPr>
        <w:t>　申请人应当按照项目指南和申请要求，在规定期限内通过依托单位向基金办提交申请材料，并对材料的真实性负责。</w:t>
      </w:r>
    </w:p>
    <w:p w14:paraId="60028369">
      <w:pPr>
        <w:jc w:val="left"/>
        <w:rPr>
          <w:rFonts w:ascii="宋体" w:hAnsi="宋体"/>
          <w:kern w:val="44"/>
        </w:rPr>
      </w:pPr>
      <w:r>
        <w:rPr>
          <w:rFonts w:hint="eastAsia" w:ascii="宋体" w:hAnsi="宋体"/>
          <w:kern w:val="44"/>
        </w:rPr>
        <w:t>申请人申请基金资助项目研究内容已获得其他资助的，应当在申请材料中说明资助情况。</w:t>
      </w:r>
    </w:p>
    <w:p w14:paraId="49D11DD3">
      <w:pPr>
        <w:ind w:firstLine="422"/>
        <w:jc w:val="left"/>
        <w:rPr>
          <w:rFonts w:ascii="宋体" w:hAnsi="宋体"/>
          <w:kern w:val="44"/>
        </w:rPr>
      </w:pPr>
      <w:r>
        <w:rPr>
          <w:rFonts w:hint="eastAsia" w:ascii="宋体" w:hAnsi="宋体"/>
          <w:b/>
          <w:kern w:val="44"/>
        </w:rPr>
        <w:t>第十六条</w:t>
      </w:r>
      <w:r>
        <w:rPr>
          <w:rFonts w:hint="eastAsia" w:ascii="宋体" w:hAnsi="宋体"/>
          <w:kern w:val="44"/>
        </w:rPr>
        <w:t>　基金办应当自基金资助项目申请截止之日起45日内完成对申请材料的初步审查。符合受理条件的，予以受理。有下列情形之一的，不予受理：</w:t>
      </w:r>
    </w:p>
    <w:p w14:paraId="4E74DD3F">
      <w:pPr>
        <w:jc w:val="left"/>
        <w:rPr>
          <w:rFonts w:ascii="宋体" w:hAnsi="宋体"/>
          <w:kern w:val="44"/>
        </w:rPr>
      </w:pPr>
      <w:r>
        <w:rPr>
          <w:rFonts w:hint="eastAsia" w:ascii="宋体" w:hAnsi="宋体"/>
          <w:kern w:val="44"/>
        </w:rPr>
        <w:t>（一）申请人不符合本办法规定条件的；</w:t>
      </w:r>
    </w:p>
    <w:p w14:paraId="721BF482">
      <w:pPr>
        <w:jc w:val="left"/>
        <w:rPr>
          <w:rFonts w:ascii="宋体" w:hAnsi="宋体"/>
          <w:kern w:val="44"/>
        </w:rPr>
      </w:pPr>
      <w:r>
        <w:rPr>
          <w:rFonts w:hint="eastAsia" w:ascii="宋体" w:hAnsi="宋体"/>
          <w:kern w:val="44"/>
        </w:rPr>
        <w:t>（二）申请人或者参与人申请、参与申请、正在实施的基金资助项目超过规定数量的；</w:t>
      </w:r>
    </w:p>
    <w:p w14:paraId="03362D06">
      <w:pPr>
        <w:jc w:val="left"/>
        <w:rPr>
          <w:rFonts w:ascii="宋体" w:hAnsi="宋体"/>
          <w:kern w:val="44"/>
        </w:rPr>
      </w:pPr>
      <w:r>
        <w:rPr>
          <w:rFonts w:hint="eastAsia" w:ascii="宋体" w:hAnsi="宋体"/>
          <w:kern w:val="44"/>
        </w:rPr>
        <w:t>（三）申请材料不符合项目指南和申请要求的。</w:t>
      </w:r>
    </w:p>
    <w:p w14:paraId="454FF19F">
      <w:pPr>
        <w:ind w:firstLine="422"/>
        <w:jc w:val="left"/>
        <w:rPr>
          <w:rFonts w:ascii="宋体" w:hAnsi="宋体"/>
          <w:kern w:val="44"/>
        </w:rPr>
      </w:pPr>
      <w:r>
        <w:rPr>
          <w:rFonts w:hint="eastAsia" w:ascii="宋体" w:hAnsi="宋体"/>
          <w:b/>
          <w:kern w:val="44"/>
        </w:rPr>
        <w:t>第十七条</w:t>
      </w:r>
      <w:r>
        <w:rPr>
          <w:rFonts w:hint="eastAsia" w:ascii="宋体" w:hAnsi="宋体"/>
          <w:kern w:val="44"/>
        </w:rPr>
        <w:t>　基金办决定不予受理的，应当通过依托单位告知申请人，说明理由。</w:t>
      </w:r>
    </w:p>
    <w:p w14:paraId="3F009592">
      <w:pPr>
        <w:jc w:val="left"/>
        <w:rPr>
          <w:rFonts w:ascii="宋体" w:hAnsi="宋体"/>
          <w:kern w:val="44"/>
        </w:rPr>
      </w:pPr>
      <w:r>
        <w:rPr>
          <w:rFonts w:hint="eastAsia" w:ascii="宋体" w:hAnsi="宋体"/>
          <w:kern w:val="44"/>
        </w:rPr>
        <w:t>申请人对不予受理决定有异议的，可以自收到决定之日起15日内，通过依托单位以书面形式向基金办提出复审申请。基金办应当自收到复审申请之日起15日内完成复审。认为项目申请属于不予受理情形的，予以维持，并通过依托单位书面告知申请人；认为项目申请符合受理条件的，撤销原决定。</w:t>
      </w:r>
    </w:p>
    <w:p w14:paraId="6D013141">
      <w:pPr>
        <w:ind w:firstLine="422"/>
        <w:jc w:val="left"/>
        <w:rPr>
          <w:rFonts w:ascii="宋体" w:hAnsi="宋体"/>
          <w:kern w:val="44"/>
        </w:rPr>
      </w:pPr>
      <w:r>
        <w:rPr>
          <w:rFonts w:hint="eastAsia" w:ascii="宋体" w:hAnsi="宋体"/>
          <w:b/>
          <w:kern w:val="44"/>
        </w:rPr>
        <w:t>第十八条</w:t>
      </w:r>
      <w:r>
        <w:rPr>
          <w:rFonts w:hint="eastAsia" w:ascii="宋体" w:hAnsi="宋体"/>
          <w:kern w:val="44"/>
        </w:rPr>
        <w:t>　对已受理的项目申请，由基金办按照专家遴选规则，从同行专家库中随机选择专家，进行通讯评审。对每个项目申请进行通讯评审的专家不得少于3名。</w:t>
      </w:r>
    </w:p>
    <w:p w14:paraId="78C0F244">
      <w:pPr>
        <w:jc w:val="left"/>
        <w:rPr>
          <w:rFonts w:ascii="宋体" w:hAnsi="宋体"/>
          <w:kern w:val="44"/>
        </w:rPr>
      </w:pPr>
      <w:r>
        <w:rPr>
          <w:rFonts w:hint="eastAsia" w:ascii="宋体" w:hAnsi="宋体"/>
          <w:kern w:val="44"/>
        </w:rPr>
        <w:t>评审专家对评审的项目申请认为难以作出学术判断或者不能参加评审的，应当及时告知基金办；基金办应当依照本办法规定，选择其他评审专家进行评审。</w:t>
      </w:r>
    </w:p>
    <w:p w14:paraId="4189E9B1">
      <w:pPr>
        <w:jc w:val="left"/>
        <w:rPr>
          <w:rFonts w:ascii="宋体" w:hAnsi="宋体"/>
          <w:kern w:val="44"/>
        </w:rPr>
      </w:pPr>
      <w:r>
        <w:rPr>
          <w:rFonts w:hint="eastAsia" w:ascii="宋体" w:hAnsi="宋体"/>
          <w:kern w:val="44"/>
        </w:rPr>
        <w:t>基金办应当根据专家通讯评审意见，按照项目遴选规则确定进入会议评审的项目申请名单。</w:t>
      </w:r>
    </w:p>
    <w:p w14:paraId="33540606">
      <w:pPr>
        <w:ind w:firstLine="422"/>
        <w:jc w:val="left"/>
        <w:rPr>
          <w:rFonts w:ascii="宋体" w:hAnsi="宋体"/>
          <w:kern w:val="44"/>
        </w:rPr>
      </w:pPr>
      <w:r>
        <w:rPr>
          <w:rFonts w:hint="eastAsia" w:ascii="宋体" w:hAnsi="宋体"/>
          <w:b/>
          <w:kern w:val="44"/>
        </w:rPr>
        <w:t>第十九条</w:t>
      </w:r>
      <w:r>
        <w:rPr>
          <w:rFonts w:hint="eastAsia" w:ascii="宋体" w:hAnsi="宋体"/>
          <w:kern w:val="44"/>
        </w:rPr>
        <w:t>　对进入会议评审的项目申请，由学科专家评审组进行会议评审，以记名投票表决的方式确定建议基金资助项目名单。</w:t>
      </w:r>
    </w:p>
    <w:p w14:paraId="24593E61">
      <w:pPr>
        <w:ind w:firstLine="422"/>
        <w:jc w:val="left"/>
        <w:rPr>
          <w:rFonts w:ascii="宋体" w:hAnsi="宋体"/>
          <w:kern w:val="44"/>
        </w:rPr>
      </w:pPr>
      <w:r>
        <w:rPr>
          <w:rFonts w:hint="eastAsia" w:ascii="宋体" w:hAnsi="宋体"/>
          <w:b/>
          <w:kern w:val="44"/>
        </w:rPr>
        <w:t>第二十条</w:t>
      </w:r>
      <w:r>
        <w:rPr>
          <w:rFonts w:hint="eastAsia" w:ascii="宋体" w:hAnsi="宋体"/>
          <w:kern w:val="44"/>
        </w:rPr>
        <w:t>　基金办应当将建议基金资助项目名单产生的工作情况，向基金委进行说明。基金委根据本办法规定和专家评审意见，对建议基金资助的项目名单和遴选工作进行审议，确定拟资助项目名单。</w:t>
      </w:r>
    </w:p>
    <w:p w14:paraId="4FF1306D">
      <w:pPr>
        <w:ind w:firstLine="422"/>
        <w:jc w:val="left"/>
        <w:rPr>
          <w:rFonts w:ascii="宋体" w:hAnsi="宋体"/>
          <w:kern w:val="44"/>
        </w:rPr>
      </w:pPr>
      <w:r>
        <w:rPr>
          <w:rFonts w:hint="eastAsia" w:ascii="宋体" w:hAnsi="宋体"/>
          <w:b/>
          <w:kern w:val="44"/>
        </w:rPr>
        <w:t>第二十一条</w:t>
      </w:r>
      <w:r>
        <w:rPr>
          <w:rFonts w:hint="eastAsia" w:ascii="宋体" w:hAnsi="宋体"/>
          <w:kern w:val="44"/>
        </w:rPr>
        <w:t>　自然科学基金资助项目实行公告异议制度。基金办应当将基金委确定的拟资助项目名称、项目申请人基本情况、依托单位名称、资助的经费数额等情况，在市科学技术行政部门指定的媒体上公布，接受社会监督。公告期为30日。认为资助项目有弄虚作假等情形的，可以在公告期内向基金委提出异议，基金委应当在60日内核查处理。</w:t>
      </w:r>
    </w:p>
    <w:p w14:paraId="7EEDF7CD">
      <w:pPr>
        <w:jc w:val="left"/>
        <w:rPr>
          <w:rFonts w:ascii="宋体" w:hAnsi="宋体"/>
          <w:kern w:val="44"/>
        </w:rPr>
      </w:pPr>
      <w:r>
        <w:rPr>
          <w:rFonts w:hint="eastAsia" w:ascii="宋体" w:hAnsi="宋体"/>
          <w:kern w:val="44"/>
        </w:rPr>
        <w:t>基金办应当将资助决定告知依托单位和申请人。对决定不予资助的，应当说明理由。</w:t>
      </w:r>
    </w:p>
    <w:p w14:paraId="3C35DE05">
      <w:pPr>
        <w:jc w:val="left"/>
        <w:rPr>
          <w:rFonts w:ascii="宋体" w:hAnsi="宋体"/>
          <w:kern w:val="44"/>
        </w:rPr>
      </w:pPr>
      <w:r>
        <w:rPr>
          <w:rFonts w:hint="eastAsia" w:ascii="宋体" w:hAnsi="宋体"/>
          <w:kern w:val="44"/>
        </w:rPr>
        <w:t>基金办应当向申请人反馈专家评审意见。</w:t>
      </w:r>
    </w:p>
    <w:p w14:paraId="5DA5D296">
      <w:pPr>
        <w:ind w:firstLine="422"/>
        <w:jc w:val="left"/>
        <w:rPr>
          <w:rFonts w:ascii="宋体" w:hAnsi="宋体"/>
          <w:kern w:val="44"/>
        </w:rPr>
      </w:pPr>
      <w:r>
        <w:rPr>
          <w:rFonts w:hint="eastAsia" w:ascii="宋体" w:hAnsi="宋体"/>
          <w:b/>
          <w:kern w:val="44"/>
        </w:rPr>
        <w:t>第二十二条</w:t>
      </w:r>
      <w:r>
        <w:rPr>
          <w:rFonts w:hint="eastAsia" w:ascii="宋体" w:hAnsi="宋体"/>
          <w:kern w:val="44"/>
        </w:rPr>
        <w:t>　申请人对不予资助的决定有异议的，可以自收到决定之日起15日内通过依托单位以书面形式向基金委提出复审申请。对评审专家的学术判断有不同意见，不得作为提出复审申请的理由。</w:t>
      </w:r>
    </w:p>
    <w:p w14:paraId="2823B5F1">
      <w:pPr>
        <w:jc w:val="left"/>
        <w:rPr>
          <w:rFonts w:ascii="宋体" w:hAnsi="宋体"/>
          <w:kern w:val="44"/>
        </w:rPr>
      </w:pPr>
      <w:r>
        <w:rPr>
          <w:rFonts w:hint="eastAsia" w:ascii="宋体" w:hAnsi="宋体"/>
          <w:kern w:val="44"/>
        </w:rPr>
        <w:t>基金委应当自收到复审申请之日起60日内组织专家完成审查。原决定符合评审规定的，予以维持，并书面告知申请人；原决定不符合评审规定的，撤销原决定，重新组织评审，并将评审结果书面告知依托单位和申请人。</w:t>
      </w:r>
    </w:p>
    <w:p w14:paraId="144F2EAC">
      <w:pPr>
        <w:ind w:firstLine="422"/>
        <w:jc w:val="left"/>
        <w:rPr>
          <w:rFonts w:ascii="宋体" w:hAnsi="宋体"/>
          <w:kern w:val="44"/>
        </w:rPr>
      </w:pPr>
      <w:r>
        <w:rPr>
          <w:rFonts w:hint="eastAsia" w:ascii="宋体" w:hAnsi="宋体"/>
          <w:b/>
          <w:kern w:val="44"/>
        </w:rPr>
        <w:t>第二十三条</w:t>
      </w:r>
      <w:r>
        <w:rPr>
          <w:rFonts w:hint="eastAsia" w:ascii="宋体" w:hAnsi="宋体"/>
          <w:kern w:val="44"/>
        </w:rPr>
        <w:t>　在基金资助项目评审工作中，基金委委员、基金办工作人员、评审专家是申请人的近亲属、参与人的近亲属，或者与申请人、参与人有其他关系可能影响公正评审的，应当回避。</w:t>
      </w:r>
    </w:p>
    <w:p w14:paraId="2857DAE7">
      <w:pPr>
        <w:jc w:val="left"/>
        <w:rPr>
          <w:rFonts w:ascii="宋体" w:hAnsi="宋体"/>
          <w:kern w:val="44"/>
        </w:rPr>
      </w:pPr>
      <w:r>
        <w:rPr>
          <w:rFonts w:hint="eastAsia" w:ascii="宋体" w:hAnsi="宋体"/>
          <w:kern w:val="44"/>
        </w:rPr>
        <w:t>申请人和参与人不得作为评审专家。</w:t>
      </w:r>
    </w:p>
    <w:p w14:paraId="0D7B6A19">
      <w:pPr>
        <w:jc w:val="left"/>
        <w:rPr>
          <w:rFonts w:ascii="宋体" w:hAnsi="宋体"/>
          <w:kern w:val="44"/>
        </w:rPr>
      </w:pPr>
      <w:r>
        <w:rPr>
          <w:rFonts w:hint="eastAsia" w:ascii="宋体" w:hAnsi="宋体"/>
          <w:kern w:val="44"/>
        </w:rPr>
        <w:t>申请人可以向基金办提供3名以内不适宜评审其项目申请的评审专家名单，基金办在选择评审专家时应当根据实际情况决定其是否回避。</w:t>
      </w:r>
    </w:p>
    <w:p w14:paraId="12124BFA">
      <w:pPr>
        <w:ind w:firstLine="422"/>
        <w:jc w:val="left"/>
        <w:rPr>
          <w:rFonts w:ascii="宋体" w:hAnsi="宋体"/>
          <w:kern w:val="44"/>
        </w:rPr>
      </w:pPr>
      <w:r>
        <w:rPr>
          <w:rFonts w:hint="eastAsia" w:ascii="宋体" w:hAnsi="宋体"/>
          <w:b/>
          <w:kern w:val="44"/>
        </w:rPr>
        <w:t>第二十四条</w:t>
      </w:r>
      <w:r>
        <w:rPr>
          <w:rFonts w:hint="eastAsia" w:ascii="宋体" w:hAnsi="宋体"/>
          <w:kern w:val="44"/>
        </w:rPr>
        <w:t>　基金委委员、基金办工作人员和评审专家应当遵守保密法律、法规和评审保密规定。</w:t>
      </w:r>
    </w:p>
    <w:p w14:paraId="3143ABB5">
      <w:pPr>
        <w:jc w:val="left"/>
        <w:rPr>
          <w:rFonts w:ascii="宋体" w:hAnsi="宋体"/>
          <w:kern w:val="44"/>
        </w:rPr>
      </w:pPr>
    </w:p>
    <w:p w14:paraId="72BE8E55">
      <w:pPr>
        <w:ind w:firstLine="0" w:firstLineChars="0"/>
        <w:jc w:val="center"/>
        <w:rPr>
          <w:rFonts w:ascii="宋体" w:hAnsi="宋体"/>
          <w:b/>
          <w:kern w:val="44"/>
          <w:sz w:val="28"/>
        </w:rPr>
      </w:pPr>
      <w:r>
        <w:rPr>
          <w:rFonts w:hint="eastAsia" w:ascii="宋体" w:hAnsi="宋体"/>
          <w:b/>
          <w:kern w:val="44"/>
          <w:sz w:val="28"/>
        </w:rPr>
        <w:t>第四章　资助与实施</w:t>
      </w:r>
    </w:p>
    <w:p w14:paraId="43F1D616">
      <w:pPr>
        <w:jc w:val="left"/>
        <w:rPr>
          <w:rFonts w:ascii="宋体" w:hAnsi="宋体"/>
          <w:kern w:val="44"/>
        </w:rPr>
      </w:pPr>
    </w:p>
    <w:p w14:paraId="3D1E09AB">
      <w:pPr>
        <w:ind w:firstLine="422"/>
        <w:jc w:val="left"/>
        <w:rPr>
          <w:rFonts w:ascii="宋体" w:hAnsi="宋体"/>
          <w:kern w:val="44"/>
        </w:rPr>
      </w:pPr>
      <w:r>
        <w:rPr>
          <w:rFonts w:hint="eastAsia" w:ascii="宋体" w:hAnsi="宋体"/>
          <w:b/>
          <w:kern w:val="44"/>
        </w:rPr>
        <w:t>第二十五条</w:t>
      </w:r>
      <w:r>
        <w:rPr>
          <w:rFonts w:hint="eastAsia" w:ascii="宋体" w:hAnsi="宋体"/>
          <w:kern w:val="44"/>
        </w:rPr>
        <w:t>　依托单位和项目负责人应当自收到资助决定之日起30日内，按照要求填写项目任务书，并报基金办核准。</w:t>
      </w:r>
    </w:p>
    <w:p w14:paraId="04F0DD15">
      <w:pPr>
        <w:jc w:val="left"/>
        <w:rPr>
          <w:rFonts w:ascii="宋体" w:hAnsi="宋体"/>
          <w:kern w:val="44"/>
        </w:rPr>
      </w:pPr>
      <w:r>
        <w:rPr>
          <w:rFonts w:hint="eastAsia" w:ascii="宋体" w:hAnsi="宋体"/>
          <w:kern w:val="44"/>
        </w:rPr>
        <w:t>基金办应当按照项目任务书对基金资助项目进行管理。</w:t>
      </w:r>
    </w:p>
    <w:p w14:paraId="2E770B07">
      <w:pPr>
        <w:ind w:firstLine="422"/>
        <w:jc w:val="left"/>
        <w:rPr>
          <w:rFonts w:ascii="宋体" w:hAnsi="宋体"/>
          <w:kern w:val="44"/>
        </w:rPr>
      </w:pPr>
      <w:r>
        <w:rPr>
          <w:rFonts w:hint="eastAsia" w:ascii="宋体" w:hAnsi="宋体"/>
          <w:b/>
          <w:kern w:val="44"/>
        </w:rPr>
        <w:t>第二十六条</w:t>
      </w:r>
      <w:r>
        <w:rPr>
          <w:rFonts w:hint="eastAsia" w:ascii="宋体" w:hAnsi="宋体"/>
          <w:kern w:val="44"/>
        </w:rPr>
        <w:t>　基金办应当按照有关规定拨付基金资助项目经费。依托单位和项目负责人应当按照规定和项目任务书要求管理、使用基金资助项目经费。</w:t>
      </w:r>
    </w:p>
    <w:p w14:paraId="4E2D10CF">
      <w:pPr>
        <w:jc w:val="left"/>
        <w:rPr>
          <w:rFonts w:ascii="宋体" w:hAnsi="宋体"/>
          <w:kern w:val="44"/>
        </w:rPr>
      </w:pPr>
      <w:r>
        <w:rPr>
          <w:rFonts w:hint="eastAsia" w:ascii="宋体" w:hAnsi="宋体"/>
          <w:kern w:val="44"/>
        </w:rPr>
        <w:t>任何单位和个人不得侵占、截留或者挪用基金资助项目经费。</w:t>
      </w:r>
    </w:p>
    <w:p w14:paraId="4C992138">
      <w:pPr>
        <w:ind w:firstLine="422"/>
        <w:jc w:val="left"/>
        <w:rPr>
          <w:rFonts w:ascii="宋体" w:hAnsi="宋体"/>
          <w:kern w:val="44"/>
        </w:rPr>
      </w:pPr>
      <w:r>
        <w:rPr>
          <w:rFonts w:hint="eastAsia" w:ascii="宋体" w:hAnsi="宋体"/>
          <w:b/>
          <w:kern w:val="44"/>
        </w:rPr>
        <w:t>第二十七条</w:t>
      </w:r>
      <w:r>
        <w:rPr>
          <w:rFonts w:hint="eastAsia" w:ascii="宋体" w:hAnsi="宋体"/>
          <w:kern w:val="44"/>
        </w:rPr>
        <w:t>　项目负责人应当按照项目任务书组织开展研究工作，作好基金资助项目实施情况的原始记录，并通过依托单位向基金办提交基金资助项目年度进展报告。</w:t>
      </w:r>
    </w:p>
    <w:p w14:paraId="2B1CAD6A">
      <w:pPr>
        <w:jc w:val="left"/>
        <w:rPr>
          <w:rFonts w:ascii="宋体" w:hAnsi="宋体"/>
          <w:kern w:val="44"/>
        </w:rPr>
      </w:pPr>
      <w:r>
        <w:rPr>
          <w:rFonts w:hint="eastAsia" w:ascii="宋体" w:hAnsi="宋体"/>
          <w:kern w:val="44"/>
        </w:rPr>
        <w:t>依托单位应当审核基金资助项目年度进展报告，查看基金资助项目实施情况的原始记录，并向基金办提交基金资助项目年度管理报告。</w:t>
      </w:r>
    </w:p>
    <w:p w14:paraId="278FA3D2">
      <w:pPr>
        <w:jc w:val="left"/>
        <w:rPr>
          <w:rFonts w:ascii="宋体" w:hAnsi="宋体"/>
          <w:kern w:val="44"/>
        </w:rPr>
      </w:pPr>
      <w:r>
        <w:rPr>
          <w:rFonts w:hint="eastAsia" w:ascii="宋体" w:hAnsi="宋体"/>
          <w:kern w:val="44"/>
        </w:rPr>
        <w:t>基金办应当对基金资助项目年度进展报告和基金资助项目年度管理报告进行审查。</w:t>
      </w:r>
    </w:p>
    <w:p w14:paraId="76F5B6BC">
      <w:pPr>
        <w:ind w:firstLine="422"/>
        <w:jc w:val="left"/>
        <w:rPr>
          <w:rFonts w:ascii="宋体" w:hAnsi="宋体"/>
          <w:kern w:val="44"/>
        </w:rPr>
      </w:pPr>
      <w:r>
        <w:rPr>
          <w:rFonts w:hint="eastAsia" w:ascii="宋体" w:hAnsi="宋体"/>
          <w:b/>
          <w:kern w:val="44"/>
        </w:rPr>
        <w:t>第二十八条</w:t>
      </w:r>
      <w:r>
        <w:rPr>
          <w:rFonts w:hint="eastAsia" w:ascii="宋体" w:hAnsi="宋体"/>
          <w:kern w:val="44"/>
        </w:rPr>
        <w:t>　基金资助项目实施中，不得擅自变更项目负责人和依托单位。项目负责人和依托单位不得擅自变更项目任务书的内容。实施中出现影响项目进展问题的，项目负责人和依托单位应当及时采取处理措施并向基金办报告；项目任务书的内容确需变更或者项目确需中止、终止的，项目负责人或者依托单位应当及时提交书面申请。基金办应当及时核查，作出处理决定。</w:t>
      </w:r>
    </w:p>
    <w:p w14:paraId="42A4D80E">
      <w:pPr>
        <w:jc w:val="left"/>
        <w:rPr>
          <w:rFonts w:ascii="宋体" w:hAnsi="宋体"/>
          <w:kern w:val="44"/>
        </w:rPr>
      </w:pPr>
      <w:r>
        <w:rPr>
          <w:rFonts w:hint="eastAsia" w:ascii="宋体" w:hAnsi="宋体"/>
          <w:kern w:val="44"/>
        </w:rPr>
        <w:t>基金办在监督检查中发现项目负责人、依托单位未按照项目任务书的规定开展工作，资助项目确需中止或者终止的，可以根据实施情况作出资助项目中止或者终止决定。</w:t>
      </w:r>
    </w:p>
    <w:p w14:paraId="33AC23E9">
      <w:pPr>
        <w:ind w:firstLine="422"/>
        <w:jc w:val="left"/>
        <w:rPr>
          <w:rFonts w:ascii="宋体" w:hAnsi="宋体"/>
          <w:kern w:val="44"/>
        </w:rPr>
      </w:pPr>
      <w:r>
        <w:rPr>
          <w:rFonts w:hint="eastAsia" w:ascii="宋体" w:hAnsi="宋体"/>
          <w:b/>
          <w:kern w:val="44"/>
        </w:rPr>
        <w:t>第二十九条</w:t>
      </w:r>
      <w:r>
        <w:rPr>
          <w:rFonts w:hint="eastAsia" w:ascii="宋体" w:hAnsi="宋体"/>
          <w:kern w:val="44"/>
        </w:rPr>
        <w:t>　项目负责人应当自基金资助项目资助期满之日起60日内，通过依托单位向基金办提交项目验收材料。</w:t>
      </w:r>
    </w:p>
    <w:p w14:paraId="0A7AE4D2">
      <w:pPr>
        <w:jc w:val="left"/>
        <w:rPr>
          <w:rFonts w:ascii="宋体" w:hAnsi="宋体"/>
          <w:kern w:val="44"/>
        </w:rPr>
      </w:pPr>
      <w:r>
        <w:rPr>
          <w:rFonts w:hint="eastAsia" w:ascii="宋体" w:hAnsi="宋体"/>
          <w:kern w:val="44"/>
        </w:rPr>
        <w:t>基金办应当组织专家对基金资助项目进行验收评审，形成验收意见书，并将验收意见书送达依托单位和项目负责人；对未通过验收的，应当提出处理意见。</w:t>
      </w:r>
    </w:p>
    <w:p w14:paraId="4F75CCE2">
      <w:pPr>
        <w:ind w:firstLine="422"/>
        <w:jc w:val="left"/>
        <w:rPr>
          <w:rFonts w:ascii="宋体" w:hAnsi="宋体"/>
          <w:kern w:val="44"/>
        </w:rPr>
      </w:pPr>
      <w:r>
        <w:rPr>
          <w:rFonts w:hint="eastAsia" w:ascii="宋体" w:hAnsi="宋体"/>
          <w:b/>
          <w:kern w:val="44"/>
        </w:rPr>
        <w:t>第三十条</w:t>
      </w:r>
      <w:r>
        <w:rPr>
          <w:rFonts w:hint="eastAsia" w:ascii="宋体" w:hAnsi="宋体"/>
          <w:kern w:val="44"/>
        </w:rPr>
        <w:t>　基金办、依托单位应当依据国家科学技术档案管理规定，建立基金资助项目的档案。</w:t>
      </w:r>
    </w:p>
    <w:p w14:paraId="5B9BD184">
      <w:pPr>
        <w:ind w:firstLine="422"/>
        <w:jc w:val="left"/>
        <w:rPr>
          <w:rFonts w:ascii="宋体" w:hAnsi="宋体"/>
          <w:kern w:val="44"/>
        </w:rPr>
      </w:pPr>
      <w:r>
        <w:rPr>
          <w:rFonts w:hint="eastAsia" w:ascii="宋体" w:hAnsi="宋体"/>
          <w:b/>
          <w:kern w:val="44"/>
        </w:rPr>
        <w:t>第三十一条</w:t>
      </w:r>
      <w:r>
        <w:rPr>
          <w:rFonts w:hint="eastAsia" w:ascii="宋体" w:hAnsi="宋体"/>
          <w:kern w:val="44"/>
        </w:rPr>
        <w:t>　基金资助项目验收意见书认定项目研究成果具有重大科学价值、重大创新突破或者重大应用前景，有必要继续资助深入研究的，应当优先予以资助或者由基金办推荐其申请其他科学技术计划项目。</w:t>
      </w:r>
    </w:p>
    <w:p w14:paraId="42C37B15">
      <w:pPr>
        <w:ind w:firstLine="422"/>
        <w:jc w:val="left"/>
        <w:rPr>
          <w:rFonts w:ascii="宋体" w:hAnsi="宋体"/>
          <w:kern w:val="44"/>
        </w:rPr>
      </w:pPr>
      <w:r>
        <w:rPr>
          <w:rFonts w:hint="eastAsia" w:ascii="宋体" w:hAnsi="宋体"/>
          <w:b/>
          <w:kern w:val="44"/>
        </w:rPr>
        <w:t>第三十二条</w:t>
      </w:r>
      <w:r>
        <w:rPr>
          <w:rFonts w:hint="eastAsia" w:ascii="宋体" w:hAnsi="宋体"/>
          <w:kern w:val="44"/>
        </w:rPr>
        <w:t>　原始记录能够证明承担探索性强、风险高的基金资助项目的项目负责人已经履行了勤勉尽责义务，仍不能完成该项目的，基金办可以作出资助项目终止决定。</w:t>
      </w:r>
    </w:p>
    <w:p w14:paraId="73380FA0">
      <w:pPr>
        <w:jc w:val="left"/>
        <w:rPr>
          <w:rFonts w:ascii="宋体" w:hAnsi="宋体"/>
          <w:kern w:val="44"/>
        </w:rPr>
      </w:pPr>
      <w:r>
        <w:rPr>
          <w:rFonts w:hint="eastAsia" w:ascii="宋体" w:hAnsi="宋体"/>
          <w:kern w:val="44"/>
        </w:rPr>
        <w:t>项目负责人有前款规定的情形不影响其继续申请基金资助项目。</w:t>
      </w:r>
    </w:p>
    <w:p w14:paraId="70CCDC49">
      <w:pPr>
        <w:ind w:firstLine="422"/>
        <w:jc w:val="left"/>
        <w:rPr>
          <w:rFonts w:ascii="宋体" w:hAnsi="宋体"/>
          <w:kern w:val="44"/>
        </w:rPr>
      </w:pPr>
      <w:r>
        <w:rPr>
          <w:rFonts w:hint="eastAsia" w:ascii="宋体" w:hAnsi="宋体"/>
          <w:b/>
          <w:kern w:val="44"/>
        </w:rPr>
        <w:t>第三十三条</w:t>
      </w:r>
      <w:r>
        <w:rPr>
          <w:rFonts w:hint="eastAsia" w:ascii="宋体" w:hAnsi="宋体"/>
          <w:kern w:val="44"/>
        </w:rPr>
        <w:t>　发表基金资助项目取得的研究成果，应当注明得到自然科学基金资助。</w:t>
      </w:r>
    </w:p>
    <w:p w14:paraId="48F0586E">
      <w:pPr>
        <w:ind w:firstLine="422"/>
        <w:jc w:val="left"/>
        <w:rPr>
          <w:rFonts w:ascii="宋体" w:hAnsi="宋体"/>
          <w:kern w:val="44"/>
        </w:rPr>
      </w:pPr>
      <w:r>
        <w:rPr>
          <w:rFonts w:hint="eastAsia" w:ascii="宋体" w:hAnsi="宋体"/>
          <w:b/>
          <w:kern w:val="44"/>
        </w:rPr>
        <w:t>第三十四条</w:t>
      </w:r>
      <w:r>
        <w:rPr>
          <w:rFonts w:hint="eastAsia" w:ascii="宋体" w:hAnsi="宋体"/>
          <w:kern w:val="44"/>
        </w:rPr>
        <w:t>　基金办应当促进基金资助项目研究成果的知识产权保护。</w:t>
      </w:r>
    </w:p>
    <w:p w14:paraId="3BF1F73B">
      <w:pPr>
        <w:jc w:val="left"/>
        <w:rPr>
          <w:rFonts w:ascii="宋体" w:hAnsi="宋体"/>
          <w:kern w:val="44"/>
        </w:rPr>
      </w:pPr>
      <w:r>
        <w:rPr>
          <w:rFonts w:hint="eastAsia" w:ascii="宋体" w:hAnsi="宋体"/>
          <w:kern w:val="44"/>
        </w:rPr>
        <w:t>自然科学基金利用财政性资金资助的项目所形成的知识产权，除涉及国家安全、国家利益和重大社会公共利益的外，依法由依托单位和项目负责人、参与人等取得。基金办应当引导依托单位和项目负责人、参与人等在项目任务书中约定知识产权的享有与使用。</w:t>
      </w:r>
    </w:p>
    <w:p w14:paraId="153224A7">
      <w:pPr>
        <w:jc w:val="left"/>
        <w:rPr>
          <w:rFonts w:ascii="宋体" w:hAnsi="宋体"/>
          <w:kern w:val="44"/>
        </w:rPr>
      </w:pPr>
      <w:r>
        <w:rPr>
          <w:rFonts w:hint="eastAsia" w:ascii="宋体" w:hAnsi="宋体"/>
          <w:kern w:val="44"/>
        </w:rPr>
        <w:t>市科学技术行政部门应当会同有关部门制定鼓励支持政策，促进基金资助项目获得的研究成果在本市实施转化。</w:t>
      </w:r>
    </w:p>
    <w:p w14:paraId="58B15209">
      <w:pPr>
        <w:jc w:val="left"/>
        <w:rPr>
          <w:rFonts w:ascii="宋体" w:hAnsi="宋体"/>
          <w:kern w:val="44"/>
        </w:rPr>
      </w:pPr>
    </w:p>
    <w:p w14:paraId="35BC184C">
      <w:pPr>
        <w:ind w:firstLine="0" w:firstLineChars="0"/>
        <w:jc w:val="center"/>
        <w:rPr>
          <w:rFonts w:ascii="宋体" w:hAnsi="宋体"/>
          <w:b/>
          <w:kern w:val="44"/>
          <w:sz w:val="28"/>
        </w:rPr>
      </w:pPr>
      <w:r>
        <w:rPr>
          <w:rFonts w:hint="eastAsia" w:ascii="宋体" w:hAnsi="宋体"/>
          <w:b/>
          <w:kern w:val="44"/>
          <w:sz w:val="28"/>
        </w:rPr>
        <w:t>第五章　监督与管理</w:t>
      </w:r>
    </w:p>
    <w:p w14:paraId="5BEBEF23">
      <w:pPr>
        <w:jc w:val="left"/>
        <w:rPr>
          <w:rFonts w:ascii="宋体" w:hAnsi="宋体"/>
          <w:kern w:val="44"/>
        </w:rPr>
      </w:pPr>
    </w:p>
    <w:p w14:paraId="3354F2E2">
      <w:pPr>
        <w:ind w:firstLine="422"/>
        <w:jc w:val="left"/>
        <w:rPr>
          <w:rFonts w:ascii="宋体" w:hAnsi="宋体"/>
          <w:kern w:val="44"/>
        </w:rPr>
      </w:pPr>
      <w:r>
        <w:rPr>
          <w:rFonts w:hint="eastAsia" w:ascii="宋体" w:hAnsi="宋体"/>
          <w:b/>
          <w:kern w:val="44"/>
        </w:rPr>
        <w:t>第三十五条</w:t>
      </w:r>
      <w:r>
        <w:rPr>
          <w:rFonts w:hint="eastAsia" w:ascii="宋体" w:hAnsi="宋体"/>
          <w:kern w:val="44"/>
        </w:rPr>
        <w:t>　基金办应当对评审专家的评审工作情况、依托单位履行职责的情况、项目负责人的项目实施情况进行记录，建立评审专家、依托单位和项目负责人的信用档案。</w:t>
      </w:r>
    </w:p>
    <w:p w14:paraId="0DDC89E0">
      <w:pPr>
        <w:ind w:firstLine="422"/>
        <w:jc w:val="left"/>
        <w:rPr>
          <w:rFonts w:ascii="宋体" w:hAnsi="宋体"/>
          <w:kern w:val="44"/>
        </w:rPr>
      </w:pPr>
      <w:r>
        <w:rPr>
          <w:rFonts w:hint="eastAsia" w:ascii="宋体" w:hAnsi="宋体"/>
          <w:b/>
          <w:kern w:val="44"/>
        </w:rPr>
        <w:t>第三十六条</w:t>
      </w:r>
      <w:r>
        <w:rPr>
          <w:rFonts w:hint="eastAsia" w:ascii="宋体" w:hAnsi="宋体"/>
          <w:kern w:val="44"/>
        </w:rPr>
        <w:t>　项目申请人、参与人申请基金资助项目弄虚作假的，取消其参加本年度评审的资格；其申请项目已经予以资助的，撤销资助，追回已拨付的资助经费；情节严重的，在五年内不得申请或者参与申请自然科学基金项目。</w:t>
      </w:r>
    </w:p>
    <w:p w14:paraId="54AB1D22">
      <w:pPr>
        <w:ind w:firstLine="422"/>
        <w:jc w:val="left"/>
        <w:rPr>
          <w:rFonts w:ascii="宋体" w:hAnsi="宋体"/>
          <w:kern w:val="44"/>
        </w:rPr>
      </w:pPr>
      <w:r>
        <w:rPr>
          <w:rFonts w:hint="eastAsia" w:ascii="宋体" w:hAnsi="宋体"/>
          <w:b/>
          <w:kern w:val="44"/>
        </w:rPr>
        <w:t>第三十七条</w:t>
      </w:r>
      <w:r>
        <w:rPr>
          <w:rFonts w:hint="eastAsia" w:ascii="宋体" w:hAnsi="宋体"/>
          <w:kern w:val="44"/>
        </w:rPr>
        <w:t>　项目申请人或者项目负责人、项目参与人有抄袭、剽窃、侵吞他人研究成果等行为的，基金办可以取消其规定年限内的申请资格、撤销资助、停止拨款、追回已拨付的资助经费。</w:t>
      </w:r>
    </w:p>
    <w:p w14:paraId="76D4F463">
      <w:pPr>
        <w:ind w:firstLine="422"/>
        <w:jc w:val="left"/>
        <w:rPr>
          <w:rFonts w:ascii="宋体" w:hAnsi="宋体"/>
          <w:kern w:val="44"/>
        </w:rPr>
      </w:pPr>
      <w:r>
        <w:rPr>
          <w:rFonts w:hint="eastAsia" w:ascii="宋体" w:hAnsi="宋体"/>
          <w:b/>
          <w:kern w:val="44"/>
        </w:rPr>
        <w:t>第三十八条</w:t>
      </w:r>
      <w:r>
        <w:rPr>
          <w:rFonts w:hint="eastAsia" w:ascii="宋体" w:hAnsi="宋体"/>
          <w:kern w:val="44"/>
        </w:rPr>
        <w:t>　项目负责人、参与人在实施项目中有下列行为之一的，基金办应当督促其限期改正，并暂缓拨付资助经费；逾期不改正的，撤销资助，追回已拨付的资助经费；情节严重的，在五年内不得申请或者参与申请自然科学基金项目：</w:t>
      </w:r>
    </w:p>
    <w:p w14:paraId="34ABF28D">
      <w:pPr>
        <w:jc w:val="left"/>
        <w:rPr>
          <w:rFonts w:ascii="宋体" w:hAnsi="宋体"/>
          <w:kern w:val="44"/>
        </w:rPr>
      </w:pPr>
      <w:r>
        <w:rPr>
          <w:rFonts w:hint="eastAsia" w:ascii="宋体" w:hAnsi="宋体"/>
          <w:kern w:val="44"/>
        </w:rPr>
        <w:t>（一）未按照项目任务书开展研究工作的；</w:t>
      </w:r>
    </w:p>
    <w:p w14:paraId="2C68C70F">
      <w:pPr>
        <w:jc w:val="left"/>
        <w:rPr>
          <w:rFonts w:ascii="宋体" w:hAnsi="宋体"/>
          <w:kern w:val="44"/>
        </w:rPr>
      </w:pPr>
      <w:r>
        <w:rPr>
          <w:rFonts w:hint="eastAsia" w:ascii="宋体" w:hAnsi="宋体"/>
          <w:kern w:val="44"/>
        </w:rPr>
        <w:t>（二）未按照规定提交基金资助项目年度进展报告和验收材料的；</w:t>
      </w:r>
    </w:p>
    <w:p w14:paraId="5DB34F5D">
      <w:pPr>
        <w:jc w:val="left"/>
        <w:rPr>
          <w:rFonts w:ascii="宋体" w:hAnsi="宋体"/>
          <w:kern w:val="44"/>
        </w:rPr>
      </w:pPr>
      <w:r>
        <w:rPr>
          <w:rFonts w:hint="eastAsia" w:ascii="宋体" w:hAnsi="宋体"/>
          <w:kern w:val="44"/>
        </w:rPr>
        <w:t>（三）提交弄虚作假的报告、原始记录或者相关材料的；</w:t>
      </w:r>
    </w:p>
    <w:p w14:paraId="54E9AEBC">
      <w:pPr>
        <w:jc w:val="left"/>
        <w:rPr>
          <w:rFonts w:ascii="宋体" w:hAnsi="宋体"/>
          <w:kern w:val="44"/>
        </w:rPr>
      </w:pPr>
      <w:r>
        <w:rPr>
          <w:rFonts w:hint="eastAsia" w:ascii="宋体" w:hAnsi="宋体"/>
          <w:kern w:val="44"/>
        </w:rPr>
        <w:t>（四）侵占、挪用基金资助经费的。</w:t>
      </w:r>
    </w:p>
    <w:p w14:paraId="6A0ACA42">
      <w:pPr>
        <w:ind w:firstLine="422"/>
        <w:jc w:val="left"/>
        <w:rPr>
          <w:rFonts w:ascii="宋体" w:hAnsi="宋体"/>
          <w:kern w:val="44"/>
        </w:rPr>
      </w:pPr>
      <w:r>
        <w:rPr>
          <w:rFonts w:hint="eastAsia" w:ascii="宋体" w:hAnsi="宋体"/>
          <w:b/>
          <w:kern w:val="44"/>
        </w:rPr>
        <w:t>第三十九条</w:t>
      </w:r>
      <w:r>
        <w:rPr>
          <w:rFonts w:hint="eastAsia" w:ascii="宋体" w:hAnsi="宋体"/>
          <w:kern w:val="44"/>
        </w:rPr>
        <w:t>　依托单位有下列情形之一的，基金办应当督促其限期改正；情节严重的，取消其五年内作为依托单位的资格：</w:t>
      </w:r>
    </w:p>
    <w:p w14:paraId="4708FC8D">
      <w:pPr>
        <w:jc w:val="left"/>
        <w:rPr>
          <w:rFonts w:ascii="宋体" w:hAnsi="宋体"/>
          <w:kern w:val="44"/>
        </w:rPr>
      </w:pPr>
      <w:r>
        <w:rPr>
          <w:rFonts w:hint="eastAsia" w:ascii="宋体" w:hAnsi="宋体"/>
          <w:kern w:val="44"/>
        </w:rPr>
        <w:t>（一）未履行保障基金资助项目研究条件或者监督管理资助经费使用职责的；</w:t>
      </w:r>
    </w:p>
    <w:p w14:paraId="2931B580">
      <w:pPr>
        <w:jc w:val="left"/>
        <w:rPr>
          <w:rFonts w:ascii="宋体" w:hAnsi="宋体"/>
          <w:kern w:val="44"/>
        </w:rPr>
      </w:pPr>
      <w:r>
        <w:rPr>
          <w:rFonts w:hint="eastAsia" w:ascii="宋体" w:hAnsi="宋体"/>
          <w:kern w:val="44"/>
        </w:rPr>
        <w:t>（二）未对申请人或者项目负责人提交的材料或者报告的真实性进行审查的；</w:t>
      </w:r>
    </w:p>
    <w:p w14:paraId="22D03681">
      <w:pPr>
        <w:jc w:val="left"/>
        <w:rPr>
          <w:rFonts w:ascii="宋体" w:hAnsi="宋体"/>
          <w:kern w:val="44"/>
        </w:rPr>
      </w:pPr>
      <w:r>
        <w:rPr>
          <w:rFonts w:hint="eastAsia" w:ascii="宋体" w:hAnsi="宋体"/>
          <w:kern w:val="44"/>
        </w:rPr>
        <w:t>（三）未按照规定提交基金资助项目年度进展报告、基金资助项目年度管理报告或者验收材料的；</w:t>
      </w:r>
    </w:p>
    <w:p w14:paraId="1C69CB5C">
      <w:pPr>
        <w:jc w:val="left"/>
        <w:rPr>
          <w:rFonts w:ascii="宋体" w:hAnsi="宋体"/>
          <w:kern w:val="44"/>
        </w:rPr>
      </w:pPr>
      <w:r>
        <w:rPr>
          <w:rFonts w:hint="eastAsia" w:ascii="宋体" w:hAnsi="宋体"/>
          <w:kern w:val="44"/>
        </w:rPr>
        <w:t>（四）纵容、包庇申请人、项目负责人弄虚作假的；</w:t>
      </w:r>
    </w:p>
    <w:p w14:paraId="27F40425">
      <w:pPr>
        <w:jc w:val="left"/>
        <w:rPr>
          <w:rFonts w:ascii="宋体" w:hAnsi="宋体"/>
          <w:kern w:val="44"/>
        </w:rPr>
      </w:pPr>
      <w:r>
        <w:rPr>
          <w:rFonts w:hint="eastAsia" w:ascii="宋体" w:hAnsi="宋体"/>
          <w:kern w:val="44"/>
        </w:rPr>
        <w:t>（五）擅自变更项目负责人的；</w:t>
      </w:r>
    </w:p>
    <w:p w14:paraId="07859E27">
      <w:pPr>
        <w:jc w:val="left"/>
        <w:rPr>
          <w:rFonts w:ascii="宋体" w:hAnsi="宋体"/>
          <w:kern w:val="44"/>
        </w:rPr>
      </w:pPr>
      <w:r>
        <w:rPr>
          <w:rFonts w:hint="eastAsia" w:ascii="宋体" w:hAnsi="宋体"/>
          <w:kern w:val="44"/>
        </w:rPr>
        <w:t>（六）不配合基金办监督、检查基金资助项目实施的；</w:t>
      </w:r>
    </w:p>
    <w:p w14:paraId="6ECA4B8E">
      <w:pPr>
        <w:jc w:val="left"/>
        <w:rPr>
          <w:rFonts w:ascii="宋体" w:hAnsi="宋体"/>
          <w:kern w:val="44"/>
        </w:rPr>
      </w:pPr>
      <w:r>
        <w:rPr>
          <w:rFonts w:hint="eastAsia" w:ascii="宋体" w:hAnsi="宋体"/>
          <w:kern w:val="44"/>
        </w:rPr>
        <w:t>（七）截留、挪用、侵占基金资助经费的。</w:t>
      </w:r>
    </w:p>
    <w:p w14:paraId="5D98CA41">
      <w:pPr>
        <w:ind w:firstLine="422"/>
        <w:jc w:val="left"/>
        <w:rPr>
          <w:rFonts w:ascii="宋体" w:hAnsi="宋体"/>
          <w:kern w:val="44"/>
        </w:rPr>
      </w:pPr>
      <w:r>
        <w:rPr>
          <w:rFonts w:hint="eastAsia" w:ascii="宋体" w:hAnsi="宋体"/>
          <w:b/>
          <w:kern w:val="44"/>
        </w:rPr>
        <w:t>第四十条</w:t>
      </w:r>
      <w:r>
        <w:rPr>
          <w:rFonts w:hint="eastAsia" w:ascii="宋体" w:hAnsi="宋体"/>
          <w:kern w:val="44"/>
        </w:rPr>
        <w:t>　评审专家有下列行为之一的，基金办应当督促其改正；情节严重的，五年内不得聘其为评审专家：</w:t>
      </w:r>
    </w:p>
    <w:p w14:paraId="201CDFE9">
      <w:pPr>
        <w:jc w:val="left"/>
        <w:rPr>
          <w:rFonts w:ascii="宋体" w:hAnsi="宋体"/>
          <w:kern w:val="44"/>
        </w:rPr>
      </w:pPr>
      <w:r>
        <w:rPr>
          <w:rFonts w:hint="eastAsia" w:ascii="宋体" w:hAnsi="宋体"/>
          <w:kern w:val="44"/>
        </w:rPr>
        <w:t>（一）未按照规定履行评审职责的；</w:t>
      </w:r>
    </w:p>
    <w:p w14:paraId="6077B050">
      <w:pPr>
        <w:jc w:val="left"/>
        <w:rPr>
          <w:rFonts w:ascii="宋体" w:hAnsi="宋体"/>
          <w:kern w:val="44"/>
        </w:rPr>
      </w:pPr>
      <w:r>
        <w:rPr>
          <w:rFonts w:hint="eastAsia" w:ascii="宋体" w:hAnsi="宋体"/>
          <w:kern w:val="44"/>
        </w:rPr>
        <w:t>（二）未按照规定申请回避的；</w:t>
      </w:r>
    </w:p>
    <w:p w14:paraId="005A4E3D">
      <w:pPr>
        <w:jc w:val="left"/>
        <w:rPr>
          <w:rFonts w:ascii="宋体" w:hAnsi="宋体"/>
          <w:kern w:val="44"/>
        </w:rPr>
      </w:pPr>
      <w:r>
        <w:rPr>
          <w:rFonts w:hint="eastAsia" w:ascii="宋体" w:hAnsi="宋体"/>
          <w:kern w:val="44"/>
        </w:rPr>
        <w:t>（三）披露未公开的与评审有关的信息的；</w:t>
      </w:r>
    </w:p>
    <w:p w14:paraId="5CB728DC">
      <w:pPr>
        <w:jc w:val="left"/>
        <w:rPr>
          <w:rFonts w:ascii="宋体" w:hAnsi="宋体"/>
          <w:kern w:val="44"/>
        </w:rPr>
      </w:pPr>
      <w:r>
        <w:rPr>
          <w:rFonts w:hint="eastAsia" w:ascii="宋体" w:hAnsi="宋体"/>
          <w:kern w:val="44"/>
        </w:rPr>
        <w:t>（四）利用工作便利谋取不正当利益的。</w:t>
      </w:r>
    </w:p>
    <w:p w14:paraId="6B9AB6AE">
      <w:pPr>
        <w:jc w:val="left"/>
        <w:rPr>
          <w:rFonts w:ascii="宋体" w:hAnsi="宋体"/>
          <w:kern w:val="44"/>
        </w:rPr>
      </w:pPr>
      <w:r>
        <w:rPr>
          <w:rFonts w:hint="eastAsia" w:ascii="宋体" w:hAnsi="宋体"/>
          <w:kern w:val="44"/>
        </w:rPr>
        <w:t>评审专家有抄袭、剽窃、侵吞他人研究成果等行为的，基金办五年内不得聘其为评审专家。</w:t>
      </w:r>
    </w:p>
    <w:p w14:paraId="724405D0">
      <w:pPr>
        <w:ind w:firstLine="422"/>
        <w:jc w:val="left"/>
        <w:rPr>
          <w:rFonts w:ascii="宋体" w:hAnsi="宋体"/>
          <w:kern w:val="44"/>
        </w:rPr>
      </w:pPr>
      <w:r>
        <w:rPr>
          <w:rFonts w:hint="eastAsia" w:ascii="宋体" w:hAnsi="宋体"/>
          <w:b/>
          <w:kern w:val="44"/>
        </w:rPr>
        <w:t>第四十一条</w:t>
      </w:r>
      <w:r>
        <w:rPr>
          <w:rFonts w:hint="eastAsia" w:ascii="宋体" w:hAnsi="宋体"/>
          <w:kern w:val="44"/>
        </w:rPr>
        <w:t>　基金办应当建立基金资助项目成果管理信息系统，对研究成果进行跟踪和评价，并将项目取得的基础性数据、研究成果及相关信息向社会公开，但是按照规定应当保密的除外。</w:t>
      </w:r>
    </w:p>
    <w:p w14:paraId="65BE9B42">
      <w:pPr>
        <w:jc w:val="left"/>
        <w:rPr>
          <w:rFonts w:ascii="宋体" w:hAnsi="宋体"/>
          <w:kern w:val="44"/>
        </w:rPr>
      </w:pPr>
      <w:r>
        <w:rPr>
          <w:rFonts w:hint="eastAsia" w:ascii="宋体" w:hAnsi="宋体"/>
          <w:kern w:val="44"/>
        </w:rPr>
        <w:t>依托单位、项目负责人应当积极开展科学技术普及工作，宣传基金资助项目取得的研究成果，推进研究成果的应用和转化。</w:t>
      </w:r>
    </w:p>
    <w:p w14:paraId="0A4B20AD">
      <w:pPr>
        <w:ind w:firstLine="422"/>
        <w:jc w:val="left"/>
        <w:rPr>
          <w:rFonts w:ascii="宋体" w:hAnsi="宋体"/>
          <w:kern w:val="44"/>
        </w:rPr>
      </w:pPr>
      <w:r>
        <w:rPr>
          <w:rFonts w:hint="eastAsia" w:ascii="宋体" w:hAnsi="宋体"/>
          <w:b/>
          <w:kern w:val="44"/>
        </w:rPr>
        <w:t>第四十二条</w:t>
      </w:r>
      <w:r>
        <w:rPr>
          <w:rFonts w:hint="eastAsia" w:ascii="宋体" w:hAnsi="宋体"/>
          <w:kern w:val="44"/>
        </w:rPr>
        <w:t>　基金办应当定期对基金资助工作进行评估。</w:t>
      </w:r>
    </w:p>
    <w:p w14:paraId="53B659B1">
      <w:pPr>
        <w:ind w:firstLine="422"/>
        <w:jc w:val="left"/>
        <w:rPr>
          <w:rFonts w:ascii="宋体" w:hAnsi="宋体"/>
          <w:kern w:val="44"/>
        </w:rPr>
      </w:pPr>
      <w:r>
        <w:rPr>
          <w:rFonts w:hint="eastAsia" w:ascii="宋体" w:hAnsi="宋体"/>
          <w:b/>
          <w:kern w:val="44"/>
        </w:rPr>
        <w:t>第四十三条</w:t>
      </w:r>
      <w:r>
        <w:rPr>
          <w:rFonts w:hint="eastAsia" w:ascii="宋体" w:hAnsi="宋体"/>
          <w:kern w:val="44"/>
        </w:rPr>
        <w:t>　任何单位和个人都有权向市科学技术行政部门举报项目申请、评审过程中存在的违反本办法规定的行为。市科学技术行政部门接到举报后，应当及时处理。</w:t>
      </w:r>
    </w:p>
    <w:p w14:paraId="2502AB91">
      <w:pPr>
        <w:jc w:val="left"/>
        <w:rPr>
          <w:rFonts w:ascii="宋体" w:hAnsi="宋体"/>
          <w:kern w:val="44"/>
        </w:rPr>
      </w:pPr>
      <w:r>
        <w:rPr>
          <w:rFonts w:hint="eastAsia" w:ascii="宋体" w:hAnsi="宋体"/>
          <w:kern w:val="44"/>
        </w:rPr>
        <w:t>市科学技术行政部门应当公布举报电话、通讯地址。</w:t>
      </w:r>
    </w:p>
    <w:p w14:paraId="35400B20">
      <w:pPr>
        <w:ind w:firstLine="422"/>
        <w:jc w:val="left"/>
        <w:rPr>
          <w:rFonts w:ascii="宋体" w:hAnsi="宋体"/>
          <w:kern w:val="44"/>
        </w:rPr>
      </w:pPr>
      <w:r>
        <w:rPr>
          <w:rFonts w:hint="eastAsia" w:ascii="宋体" w:hAnsi="宋体"/>
          <w:b/>
          <w:kern w:val="44"/>
        </w:rPr>
        <w:t>第四十四条</w:t>
      </w:r>
      <w:r>
        <w:rPr>
          <w:rFonts w:hint="eastAsia" w:ascii="宋体" w:hAnsi="宋体"/>
          <w:kern w:val="44"/>
        </w:rPr>
        <w:t>　对违反本办法的行为，其他法律法规规章已规定行政处罚的，由有关部门依法处理；构成刑事犯罪的，依法追究刑事责任。</w:t>
      </w:r>
    </w:p>
    <w:p w14:paraId="109EDD76">
      <w:pPr>
        <w:ind w:firstLine="422"/>
        <w:jc w:val="left"/>
        <w:rPr>
          <w:rFonts w:ascii="宋体" w:hAnsi="宋体"/>
          <w:kern w:val="44"/>
        </w:rPr>
      </w:pPr>
      <w:r>
        <w:rPr>
          <w:rFonts w:hint="eastAsia" w:ascii="宋体" w:hAnsi="宋体"/>
          <w:b/>
          <w:kern w:val="44"/>
        </w:rPr>
        <w:t>第四十五条</w:t>
      </w:r>
      <w:r>
        <w:rPr>
          <w:rFonts w:hint="eastAsia" w:ascii="宋体" w:hAnsi="宋体"/>
          <w:kern w:val="44"/>
        </w:rPr>
        <w:t>　基金委委员、基金办工作人员有下列行为之一的，由有关部门责令改正， 按照有关规定予以处理：</w:t>
      </w:r>
    </w:p>
    <w:p w14:paraId="4FB0451A">
      <w:pPr>
        <w:jc w:val="left"/>
        <w:rPr>
          <w:rFonts w:ascii="宋体" w:hAnsi="宋体"/>
          <w:kern w:val="44"/>
        </w:rPr>
      </w:pPr>
      <w:r>
        <w:rPr>
          <w:rFonts w:hint="eastAsia" w:ascii="宋体" w:hAnsi="宋体"/>
          <w:kern w:val="44"/>
        </w:rPr>
        <w:t>（一）未按照规定申请回避的；</w:t>
      </w:r>
    </w:p>
    <w:p w14:paraId="2661E4F6">
      <w:pPr>
        <w:jc w:val="left"/>
        <w:rPr>
          <w:rFonts w:ascii="宋体" w:hAnsi="宋体"/>
          <w:kern w:val="44"/>
        </w:rPr>
      </w:pPr>
      <w:r>
        <w:rPr>
          <w:rFonts w:hint="eastAsia" w:ascii="宋体" w:hAnsi="宋体"/>
          <w:kern w:val="44"/>
        </w:rPr>
        <w:t>（二）披露未公开的与项目申请、评审有关信息的；</w:t>
      </w:r>
    </w:p>
    <w:p w14:paraId="529A1301">
      <w:pPr>
        <w:jc w:val="left"/>
        <w:rPr>
          <w:rFonts w:ascii="宋体" w:hAnsi="宋体"/>
          <w:kern w:val="44"/>
        </w:rPr>
      </w:pPr>
      <w:r>
        <w:rPr>
          <w:rFonts w:hint="eastAsia" w:ascii="宋体" w:hAnsi="宋体"/>
          <w:kern w:val="44"/>
        </w:rPr>
        <w:t>（三）干预评审专家评审工作的；</w:t>
      </w:r>
    </w:p>
    <w:p w14:paraId="6378738B">
      <w:pPr>
        <w:jc w:val="left"/>
        <w:rPr>
          <w:rFonts w:ascii="宋体" w:hAnsi="宋体"/>
          <w:kern w:val="44"/>
        </w:rPr>
      </w:pPr>
      <w:r>
        <w:rPr>
          <w:rFonts w:hint="eastAsia" w:ascii="宋体" w:hAnsi="宋体"/>
          <w:kern w:val="44"/>
        </w:rPr>
        <w:t>（四）利用工作便利谋取不正当利益的。</w:t>
      </w:r>
    </w:p>
    <w:p w14:paraId="0839A380">
      <w:pPr>
        <w:jc w:val="left"/>
        <w:rPr>
          <w:rFonts w:ascii="宋体" w:hAnsi="宋体"/>
          <w:kern w:val="44"/>
        </w:rPr>
      </w:pPr>
      <w:r>
        <w:rPr>
          <w:rFonts w:hint="eastAsia" w:ascii="宋体" w:hAnsi="宋体"/>
          <w:kern w:val="44"/>
        </w:rPr>
        <w:t>基金委委员有前款规定的行为，情节严重的，由市科学技术行政部门报市人民政府批准，撤销其委员资格。</w:t>
      </w:r>
    </w:p>
    <w:p w14:paraId="6F785F0D">
      <w:pPr>
        <w:spacing w:line="300" w:lineRule="exact"/>
        <w:jc w:val="left"/>
        <w:rPr>
          <w:rFonts w:ascii="宋体" w:hAnsi="宋体"/>
          <w:kern w:val="44"/>
        </w:rPr>
      </w:pPr>
    </w:p>
    <w:p w14:paraId="3F250A13">
      <w:pPr>
        <w:ind w:firstLine="0" w:firstLineChars="0"/>
        <w:jc w:val="center"/>
        <w:rPr>
          <w:rFonts w:ascii="宋体" w:hAnsi="宋体"/>
          <w:b/>
          <w:kern w:val="44"/>
          <w:sz w:val="28"/>
        </w:rPr>
      </w:pPr>
      <w:r>
        <w:rPr>
          <w:rFonts w:hint="eastAsia" w:ascii="宋体" w:hAnsi="宋体"/>
          <w:b/>
          <w:kern w:val="44"/>
          <w:sz w:val="28"/>
        </w:rPr>
        <w:t>第六章　附　则</w:t>
      </w:r>
    </w:p>
    <w:p w14:paraId="55A04A2C">
      <w:pPr>
        <w:spacing w:line="300" w:lineRule="exact"/>
        <w:jc w:val="left"/>
        <w:rPr>
          <w:rFonts w:ascii="宋体" w:hAnsi="宋体"/>
          <w:kern w:val="44"/>
        </w:rPr>
      </w:pPr>
    </w:p>
    <w:p w14:paraId="43237D77">
      <w:pPr>
        <w:ind w:firstLine="422"/>
        <w:jc w:val="left"/>
        <w:rPr>
          <w:rFonts w:ascii="宋体" w:hAnsi="宋体"/>
          <w:kern w:val="44"/>
        </w:rPr>
      </w:pPr>
      <w:r>
        <w:rPr>
          <w:rFonts w:hint="eastAsia" w:ascii="宋体" w:hAnsi="宋体"/>
          <w:b/>
          <w:kern w:val="44"/>
        </w:rPr>
        <w:t>第四十六条</w:t>
      </w:r>
      <w:r>
        <w:rPr>
          <w:rFonts w:hint="eastAsia" w:ascii="宋体" w:hAnsi="宋体"/>
          <w:kern w:val="44"/>
        </w:rPr>
        <w:t>　基金办在基金资助工作中，涉及项目组织实施费和与基础研究、应用基础研究有关的环境条件促进项目的基金资助经费的使用与管理，按照有关规定执行。</w:t>
      </w:r>
    </w:p>
    <w:p w14:paraId="2EC6EFD1">
      <w:pPr>
        <w:ind w:firstLine="422"/>
        <w:jc w:val="left"/>
        <w:rPr>
          <w:rFonts w:ascii="宋体" w:hAnsi="宋体"/>
          <w:kern w:val="44"/>
        </w:rPr>
      </w:pPr>
      <w:r>
        <w:rPr>
          <w:rFonts w:hint="eastAsia" w:ascii="宋体" w:hAnsi="宋体"/>
          <w:b/>
          <w:kern w:val="44"/>
        </w:rPr>
        <w:t>第四十七条</w:t>
      </w:r>
      <w:r>
        <w:rPr>
          <w:rFonts w:hint="eastAsia" w:ascii="宋体" w:hAnsi="宋体"/>
          <w:kern w:val="44"/>
        </w:rPr>
        <w:t xml:space="preserve">  本办法自2012年1月1日起施行。</w:t>
      </w:r>
    </w:p>
    <w:p w14:paraId="6EB49BEC">
      <w:pPr>
        <w:pStyle w:val="3"/>
        <w:pageBreakBefore/>
        <w:rPr>
          <w:kern w:val="44"/>
        </w:rPr>
      </w:pPr>
      <w:bookmarkStart w:id="1559" w:name="_Toc427651662"/>
      <w:bookmarkStart w:id="1560" w:name="_Toc428780228"/>
      <w:bookmarkStart w:id="1561" w:name="_Toc427652004"/>
      <w:bookmarkStart w:id="1562" w:name="_Toc422471407"/>
      <w:bookmarkStart w:id="1563" w:name="_Toc428781710"/>
      <w:r>
        <w:rPr>
          <w:rFonts w:hint="eastAsia"/>
          <w:kern w:val="44"/>
        </w:rPr>
        <w:t>（三）出版传播</w:t>
      </w:r>
      <w:bookmarkEnd w:id="1559"/>
      <w:bookmarkEnd w:id="1560"/>
      <w:bookmarkEnd w:id="1561"/>
      <w:bookmarkEnd w:id="1562"/>
      <w:bookmarkEnd w:id="1563"/>
    </w:p>
    <w:p w14:paraId="02BA49B6"/>
    <w:p w14:paraId="0C586E3B">
      <w:pPr>
        <w:pStyle w:val="4"/>
        <w:rPr>
          <w:kern w:val="44"/>
        </w:rPr>
      </w:pPr>
      <w:bookmarkStart w:id="1564" w:name="_Toc422471408"/>
      <w:bookmarkStart w:id="1565" w:name="_Toc427652005"/>
      <w:bookmarkStart w:id="1566" w:name="_Toc428780229"/>
      <w:bookmarkStart w:id="1567" w:name="_Toc427651663"/>
      <w:bookmarkStart w:id="1568" w:name="_Toc428781711"/>
      <w:r>
        <w:rPr>
          <w:rFonts w:hint="eastAsia"/>
          <w:kern w:val="44"/>
        </w:rPr>
        <w:t>北京市音像制品管理条例</w:t>
      </w:r>
      <w:bookmarkEnd w:id="1564"/>
      <w:bookmarkEnd w:id="1565"/>
      <w:bookmarkEnd w:id="1566"/>
      <w:bookmarkEnd w:id="1567"/>
      <w:bookmarkEnd w:id="1568"/>
    </w:p>
    <w:p w14:paraId="29708FF5">
      <w:pPr>
        <w:ind w:left="630" w:leftChars="300" w:right="630" w:rightChars="300"/>
        <w:jc w:val="left"/>
        <w:rPr>
          <w:rFonts w:ascii="楷体" w:hAnsi="楷体" w:eastAsia="楷体"/>
          <w:kern w:val="44"/>
        </w:rPr>
      </w:pPr>
      <w:r>
        <w:rPr>
          <w:rFonts w:hint="eastAsia" w:ascii="楷体" w:hAnsi="楷体" w:eastAsia="楷体"/>
          <w:kern w:val="44"/>
        </w:rPr>
        <w:t>（1997年7月18日北京市第十届人民代表大会常务委员会第三十八次会议通过  1997年7月18日北京市人民代表大会常务委员会公告第83号公布  1998年1月1日起施行）</w:t>
      </w:r>
    </w:p>
    <w:p w14:paraId="4BF6BE13">
      <w:pPr>
        <w:spacing w:line="300" w:lineRule="exact"/>
        <w:jc w:val="left"/>
        <w:rPr>
          <w:rFonts w:ascii="宋体" w:hAnsi="宋体"/>
          <w:kern w:val="44"/>
        </w:rPr>
      </w:pPr>
    </w:p>
    <w:p w14:paraId="7E06EED8">
      <w:pPr>
        <w:ind w:firstLine="0" w:firstLineChars="0"/>
        <w:jc w:val="center"/>
        <w:rPr>
          <w:rFonts w:ascii="宋体" w:hAnsi="宋体"/>
          <w:b/>
          <w:kern w:val="44"/>
          <w:sz w:val="28"/>
        </w:rPr>
      </w:pPr>
      <w:r>
        <w:rPr>
          <w:rFonts w:hint="eastAsia" w:ascii="宋体" w:hAnsi="宋体"/>
          <w:b/>
          <w:kern w:val="44"/>
          <w:sz w:val="28"/>
        </w:rPr>
        <w:t>第一章　总　则</w:t>
      </w:r>
    </w:p>
    <w:p w14:paraId="31310C46">
      <w:pPr>
        <w:spacing w:line="300" w:lineRule="exact"/>
        <w:jc w:val="left"/>
        <w:rPr>
          <w:rFonts w:ascii="宋体" w:hAnsi="宋体"/>
          <w:kern w:val="44"/>
        </w:rPr>
      </w:pPr>
    </w:p>
    <w:p w14:paraId="34B4394D">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为了加强音像制品的管理，促进首都音像事业的健康发展和繁荣，丰富人民群众文化生活，推进社会主义物质文明和精神文明建设，根据国家有关法律、法规，结合本市实际情况，制定本条例。</w:t>
      </w:r>
    </w:p>
    <w:p w14:paraId="5BFE9DFE">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在本市行政区域内从事音像制品出版、复制、进口、批发、零售、出租、录像放映（以下简称放映）等经营活动必须遵守本条例。</w:t>
      </w:r>
    </w:p>
    <w:p w14:paraId="30065936">
      <w:pPr>
        <w:jc w:val="left"/>
        <w:rPr>
          <w:rFonts w:ascii="宋体" w:hAnsi="宋体"/>
          <w:kern w:val="44"/>
        </w:rPr>
      </w:pPr>
      <w:r>
        <w:rPr>
          <w:rFonts w:hint="eastAsia" w:ascii="宋体" w:hAnsi="宋体"/>
          <w:kern w:val="44"/>
        </w:rPr>
        <w:t>本条例所称音像制品是指录有内容的录音带、录像带、唱片、激光唱盘、激光视盘等。</w:t>
      </w:r>
    </w:p>
    <w:p w14:paraId="5DDD9E17">
      <w:pPr>
        <w:ind w:firstLine="422"/>
        <w:jc w:val="left"/>
        <w:rPr>
          <w:rFonts w:ascii="宋体" w:hAnsi="宋体"/>
          <w:kern w:val="44"/>
        </w:rPr>
      </w:pPr>
      <w:r>
        <w:rPr>
          <w:rFonts w:hint="eastAsia" w:ascii="宋体" w:hAnsi="宋体"/>
          <w:b/>
          <w:kern w:val="44"/>
        </w:rPr>
        <w:t>第三条</w:t>
      </w:r>
      <w:r>
        <w:rPr>
          <w:rFonts w:hint="eastAsia" w:ascii="宋体" w:hAnsi="宋体"/>
          <w:kern w:val="44"/>
        </w:rPr>
        <w:t>　音像制品的经营活动应当遵守宪法和有关法律、法规，坚持为人民服务和为社会主义服务的方向。</w:t>
      </w:r>
    </w:p>
    <w:p w14:paraId="03CB8B19">
      <w:pPr>
        <w:jc w:val="left"/>
        <w:rPr>
          <w:rFonts w:ascii="宋体" w:hAnsi="宋体"/>
          <w:kern w:val="44"/>
        </w:rPr>
      </w:pPr>
      <w:r>
        <w:rPr>
          <w:rFonts w:hint="eastAsia" w:ascii="宋体" w:hAnsi="宋体"/>
          <w:kern w:val="44"/>
        </w:rPr>
        <w:t>本市鼓励出版、发行促进经济发展和社会进步，传播科学文化知识，尊重社会公德陶冶高尚情操，有益于人民身心健康的音像制品。</w:t>
      </w:r>
    </w:p>
    <w:p w14:paraId="24A82003">
      <w:pPr>
        <w:ind w:firstLine="422"/>
        <w:jc w:val="left"/>
        <w:rPr>
          <w:rFonts w:ascii="宋体" w:hAnsi="宋体"/>
          <w:kern w:val="44"/>
        </w:rPr>
      </w:pPr>
      <w:r>
        <w:rPr>
          <w:rFonts w:hint="eastAsia" w:ascii="宋体" w:hAnsi="宋体"/>
          <w:b/>
          <w:kern w:val="44"/>
        </w:rPr>
        <w:t>第四条</w:t>
      </w:r>
      <w:r>
        <w:rPr>
          <w:rFonts w:hint="eastAsia" w:ascii="宋体" w:hAnsi="宋体"/>
          <w:kern w:val="44"/>
        </w:rPr>
        <w:t>　禁止经营有下列内容的音像制品：</w:t>
      </w:r>
    </w:p>
    <w:p w14:paraId="1EB9BD87">
      <w:pPr>
        <w:jc w:val="left"/>
        <w:rPr>
          <w:rFonts w:ascii="宋体" w:hAnsi="宋体"/>
          <w:kern w:val="44"/>
        </w:rPr>
      </w:pPr>
      <w:r>
        <w:rPr>
          <w:rFonts w:hint="eastAsia" w:ascii="宋体" w:hAnsi="宋体"/>
          <w:kern w:val="44"/>
        </w:rPr>
        <w:t>（一）危害国家统一、主权和领土完整的；</w:t>
      </w:r>
    </w:p>
    <w:p w14:paraId="4FDBA974">
      <w:pPr>
        <w:jc w:val="left"/>
        <w:rPr>
          <w:rFonts w:ascii="宋体" w:hAnsi="宋体"/>
          <w:kern w:val="44"/>
        </w:rPr>
      </w:pPr>
      <w:r>
        <w:rPr>
          <w:rFonts w:hint="eastAsia" w:ascii="宋体" w:hAnsi="宋体"/>
          <w:kern w:val="44"/>
        </w:rPr>
        <w:t>（二）煽动民族分裂、破坏民族团结的；</w:t>
      </w:r>
    </w:p>
    <w:p w14:paraId="5E2A7FED">
      <w:pPr>
        <w:jc w:val="left"/>
        <w:rPr>
          <w:rFonts w:ascii="宋体" w:hAnsi="宋体"/>
          <w:kern w:val="44"/>
        </w:rPr>
      </w:pPr>
      <w:r>
        <w:rPr>
          <w:rFonts w:hint="eastAsia" w:ascii="宋体" w:hAnsi="宋体"/>
          <w:kern w:val="44"/>
        </w:rPr>
        <w:t>（三）泄露国家秘密的；</w:t>
      </w:r>
    </w:p>
    <w:p w14:paraId="371EF465">
      <w:pPr>
        <w:jc w:val="left"/>
        <w:rPr>
          <w:rFonts w:ascii="宋体" w:hAnsi="宋体"/>
          <w:kern w:val="44"/>
        </w:rPr>
      </w:pPr>
      <w:r>
        <w:rPr>
          <w:rFonts w:hint="eastAsia" w:ascii="宋体" w:hAnsi="宋体"/>
          <w:kern w:val="44"/>
        </w:rPr>
        <w:t>（四）宣扬淫秽、迷信或者渲染暴力的；</w:t>
      </w:r>
    </w:p>
    <w:p w14:paraId="29F342FA">
      <w:pPr>
        <w:jc w:val="left"/>
        <w:rPr>
          <w:rFonts w:ascii="宋体" w:hAnsi="宋体"/>
          <w:kern w:val="44"/>
        </w:rPr>
      </w:pPr>
      <w:r>
        <w:rPr>
          <w:rFonts w:hint="eastAsia" w:ascii="宋体" w:hAnsi="宋体"/>
          <w:kern w:val="44"/>
        </w:rPr>
        <w:t>（五）诽谤、侮辱他人的；</w:t>
      </w:r>
    </w:p>
    <w:p w14:paraId="54C401D5">
      <w:pPr>
        <w:jc w:val="left"/>
        <w:rPr>
          <w:rFonts w:ascii="宋体" w:hAnsi="宋体"/>
          <w:kern w:val="44"/>
        </w:rPr>
      </w:pPr>
      <w:r>
        <w:rPr>
          <w:rFonts w:hint="eastAsia" w:ascii="宋体" w:hAnsi="宋体"/>
          <w:kern w:val="44"/>
        </w:rPr>
        <w:t>（六）国家规定禁止出版、传播的其他内容。</w:t>
      </w:r>
    </w:p>
    <w:p w14:paraId="21F30BCB">
      <w:pPr>
        <w:ind w:firstLine="422"/>
        <w:jc w:val="left"/>
        <w:rPr>
          <w:rFonts w:ascii="宋体" w:hAnsi="宋体"/>
          <w:kern w:val="44"/>
        </w:rPr>
      </w:pPr>
      <w:r>
        <w:rPr>
          <w:rFonts w:hint="eastAsia" w:ascii="宋体" w:hAnsi="宋体"/>
          <w:b/>
          <w:kern w:val="44"/>
        </w:rPr>
        <w:t>第五条</w:t>
      </w:r>
      <w:r>
        <w:rPr>
          <w:rFonts w:hint="eastAsia" w:ascii="宋体" w:hAnsi="宋体"/>
          <w:kern w:val="44"/>
        </w:rPr>
        <w:t>　本市对音像制品经营活动实行许可证制度。</w:t>
      </w:r>
    </w:p>
    <w:p w14:paraId="3881E6F4">
      <w:pPr>
        <w:ind w:firstLine="422"/>
        <w:jc w:val="left"/>
        <w:rPr>
          <w:rFonts w:ascii="宋体" w:hAnsi="宋体"/>
          <w:kern w:val="44"/>
        </w:rPr>
      </w:pPr>
      <w:r>
        <w:rPr>
          <w:rFonts w:hint="eastAsia" w:ascii="宋体" w:hAnsi="宋体"/>
          <w:b/>
          <w:kern w:val="44"/>
        </w:rPr>
        <w:t>第六条</w:t>
      </w:r>
      <w:r>
        <w:rPr>
          <w:rFonts w:hint="eastAsia" w:ascii="宋体" w:hAnsi="宋体"/>
          <w:kern w:val="44"/>
        </w:rPr>
        <w:t>　本市依照有关法律、法规保护音像制品著作权人和音像制品经营者的合法权益。</w:t>
      </w:r>
    </w:p>
    <w:p w14:paraId="095338A1">
      <w:pPr>
        <w:ind w:firstLine="422"/>
        <w:jc w:val="left"/>
        <w:rPr>
          <w:rFonts w:ascii="宋体" w:hAnsi="宋体"/>
          <w:kern w:val="44"/>
        </w:rPr>
      </w:pPr>
      <w:r>
        <w:rPr>
          <w:rFonts w:hint="eastAsia" w:ascii="宋体" w:hAnsi="宋体"/>
          <w:b/>
          <w:kern w:val="44"/>
        </w:rPr>
        <w:t>第七条</w:t>
      </w:r>
      <w:r>
        <w:rPr>
          <w:rFonts w:hint="eastAsia" w:ascii="宋体" w:hAnsi="宋体"/>
          <w:kern w:val="44"/>
        </w:rPr>
        <w:t>　本市鼓励、支持、保护一切组织和个人对违反本条例的行为进行监督，对检举、揭发违法行为有功的组织和个人，有关部门给予奖励。</w:t>
      </w:r>
    </w:p>
    <w:p w14:paraId="05B9457B">
      <w:pPr>
        <w:spacing w:line="300" w:lineRule="exact"/>
        <w:jc w:val="left"/>
        <w:rPr>
          <w:rFonts w:ascii="宋体" w:hAnsi="宋体"/>
          <w:kern w:val="44"/>
        </w:rPr>
      </w:pPr>
    </w:p>
    <w:p w14:paraId="2C7AEE3C">
      <w:pPr>
        <w:ind w:firstLine="0" w:firstLineChars="0"/>
        <w:jc w:val="center"/>
        <w:rPr>
          <w:rFonts w:ascii="宋体" w:hAnsi="宋体"/>
          <w:b/>
          <w:kern w:val="44"/>
          <w:sz w:val="28"/>
        </w:rPr>
      </w:pPr>
      <w:r>
        <w:rPr>
          <w:rFonts w:hint="eastAsia" w:ascii="宋体" w:hAnsi="宋体"/>
          <w:b/>
          <w:kern w:val="44"/>
          <w:sz w:val="28"/>
        </w:rPr>
        <w:t>第二章　管理部门及其职责</w:t>
      </w:r>
    </w:p>
    <w:p w14:paraId="77D23D20">
      <w:pPr>
        <w:spacing w:line="300" w:lineRule="exact"/>
        <w:jc w:val="left"/>
        <w:rPr>
          <w:rFonts w:ascii="宋体" w:hAnsi="宋体"/>
          <w:kern w:val="44"/>
        </w:rPr>
      </w:pPr>
    </w:p>
    <w:p w14:paraId="2FCAF250">
      <w:pPr>
        <w:ind w:firstLine="422"/>
        <w:jc w:val="left"/>
        <w:rPr>
          <w:rFonts w:ascii="宋体" w:hAnsi="宋体"/>
          <w:kern w:val="44"/>
        </w:rPr>
      </w:pPr>
      <w:r>
        <w:rPr>
          <w:rFonts w:hint="eastAsia" w:ascii="宋体" w:hAnsi="宋体"/>
          <w:b/>
          <w:kern w:val="44"/>
        </w:rPr>
        <w:t>第八条</w:t>
      </w:r>
      <w:r>
        <w:rPr>
          <w:rFonts w:hint="eastAsia" w:ascii="宋体" w:hAnsi="宋体"/>
          <w:kern w:val="44"/>
        </w:rPr>
        <w:t>　市广播电视管理部门是本市音像制品的主管部门，负责音像制品经营活动的管理及音像制品审查鉴定工作，并对音像制品经营单位的总体布局、结构和数量进行调控。</w:t>
      </w:r>
    </w:p>
    <w:p w14:paraId="2E6687EC">
      <w:pPr>
        <w:jc w:val="left"/>
        <w:rPr>
          <w:rFonts w:ascii="宋体" w:hAnsi="宋体"/>
          <w:kern w:val="44"/>
        </w:rPr>
      </w:pPr>
      <w:r>
        <w:rPr>
          <w:rFonts w:hint="eastAsia" w:ascii="宋体" w:hAnsi="宋体"/>
          <w:kern w:val="44"/>
        </w:rPr>
        <w:t>区、县广播电视管理部门和未设广播电视管理部门的区、县的文化行政部门是本辖区音像制品的管理部门，负责音像制品的零售、出租、放映的管理工作。</w:t>
      </w:r>
    </w:p>
    <w:p w14:paraId="6CE4E75C">
      <w:pPr>
        <w:ind w:firstLine="422"/>
        <w:jc w:val="left"/>
        <w:rPr>
          <w:rFonts w:ascii="宋体" w:hAnsi="宋体"/>
          <w:kern w:val="44"/>
        </w:rPr>
      </w:pPr>
      <w:r>
        <w:rPr>
          <w:rFonts w:hint="eastAsia" w:ascii="宋体" w:hAnsi="宋体"/>
          <w:b/>
          <w:kern w:val="44"/>
        </w:rPr>
        <w:t>第九条</w:t>
      </w:r>
      <w:r>
        <w:rPr>
          <w:rFonts w:hint="eastAsia" w:ascii="宋体" w:hAnsi="宋体"/>
          <w:kern w:val="44"/>
        </w:rPr>
        <w:t>　公安、工商行政管理、版权、海关及邮政、铁路、民航、交通等部门依照国家法律、法规规定和各自的职责对音像制品进行管理。</w:t>
      </w:r>
    </w:p>
    <w:p w14:paraId="6FD1E317">
      <w:pPr>
        <w:ind w:firstLine="422"/>
        <w:jc w:val="left"/>
        <w:rPr>
          <w:rFonts w:ascii="宋体" w:hAnsi="宋体"/>
          <w:kern w:val="44"/>
        </w:rPr>
      </w:pPr>
      <w:r>
        <w:rPr>
          <w:rFonts w:hint="eastAsia" w:ascii="宋体" w:hAnsi="宋体"/>
          <w:b/>
          <w:kern w:val="44"/>
        </w:rPr>
        <w:t>第十条</w:t>
      </w:r>
      <w:r>
        <w:rPr>
          <w:rFonts w:hint="eastAsia" w:ascii="宋体" w:hAnsi="宋体"/>
          <w:kern w:val="44"/>
        </w:rPr>
        <w:t>　音像制品管理部门在检查活动中，对涉嫌违反本条例第四条或者违反本条例第二十八条以及无证经营的行为，必须立即予以制止的，可以对其音像制品、复制和播放设备及相关的财物采取暂扣、封存等措施，并应于二十日内作出处理决定。</w:t>
      </w:r>
    </w:p>
    <w:p w14:paraId="3E8CE2AD">
      <w:pPr>
        <w:jc w:val="left"/>
        <w:rPr>
          <w:rFonts w:ascii="宋体" w:hAnsi="宋体"/>
          <w:kern w:val="44"/>
        </w:rPr>
      </w:pPr>
    </w:p>
    <w:p w14:paraId="2D04E244">
      <w:pPr>
        <w:ind w:firstLine="0" w:firstLineChars="0"/>
        <w:jc w:val="center"/>
        <w:rPr>
          <w:rFonts w:ascii="宋体" w:hAnsi="宋体"/>
          <w:b/>
          <w:kern w:val="44"/>
          <w:sz w:val="28"/>
        </w:rPr>
      </w:pPr>
      <w:r>
        <w:rPr>
          <w:rFonts w:hint="eastAsia" w:ascii="宋体" w:hAnsi="宋体"/>
          <w:b/>
          <w:kern w:val="44"/>
          <w:sz w:val="28"/>
        </w:rPr>
        <w:t>第三章　出版、复制、进口</w:t>
      </w:r>
    </w:p>
    <w:p w14:paraId="3FB3F054">
      <w:pPr>
        <w:jc w:val="left"/>
        <w:rPr>
          <w:rFonts w:ascii="宋体" w:hAnsi="宋体"/>
          <w:kern w:val="44"/>
        </w:rPr>
      </w:pPr>
    </w:p>
    <w:p w14:paraId="0622444C">
      <w:pPr>
        <w:ind w:firstLine="422"/>
        <w:jc w:val="left"/>
        <w:rPr>
          <w:rFonts w:ascii="宋体" w:hAnsi="宋体"/>
          <w:kern w:val="44"/>
        </w:rPr>
      </w:pPr>
      <w:r>
        <w:rPr>
          <w:rFonts w:hint="eastAsia" w:ascii="宋体" w:hAnsi="宋体"/>
          <w:b/>
          <w:kern w:val="44"/>
        </w:rPr>
        <w:t>第十一条</w:t>
      </w:r>
      <w:r>
        <w:rPr>
          <w:rFonts w:hint="eastAsia" w:ascii="宋体" w:hAnsi="宋体"/>
          <w:kern w:val="44"/>
        </w:rPr>
        <w:t>　申请从事音像出版、复制业务的单位，按照国家有关规定办理有关手续。</w:t>
      </w:r>
    </w:p>
    <w:p w14:paraId="3E6A7F75">
      <w:pPr>
        <w:ind w:firstLine="422"/>
        <w:jc w:val="left"/>
        <w:rPr>
          <w:rFonts w:ascii="宋体" w:hAnsi="宋体"/>
          <w:kern w:val="44"/>
        </w:rPr>
      </w:pPr>
      <w:r>
        <w:rPr>
          <w:rFonts w:hint="eastAsia" w:ascii="宋体" w:hAnsi="宋体"/>
          <w:b/>
          <w:kern w:val="44"/>
        </w:rPr>
        <w:t>第十二条</w:t>
      </w:r>
      <w:r>
        <w:rPr>
          <w:rFonts w:hint="eastAsia" w:ascii="宋体" w:hAnsi="宋体"/>
          <w:kern w:val="44"/>
        </w:rPr>
        <w:t>　音像出版单位应当遵守下列规定：</w:t>
      </w:r>
    </w:p>
    <w:p w14:paraId="1E72CB12">
      <w:pPr>
        <w:jc w:val="left"/>
        <w:rPr>
          <w:rFonts w:ascii="宋体" w:hAnsi="宋体"/>
          <w:kern w:val="44"/>
        </w:rPr>
      </w:pPr>
      <w:r>
        <w:rPr>
          <w:rFonts w:hint="eastAsia" w:ascii="宋体" w:hAnsi="宋体"/>
          <w:kern w:val="44"/>
        </w:rPr>
        <w:t>（一）音像制品出版前必须经市音像制品管理部门初审，报国家音像制品内容审核机构审查，取得《音像制品发行许可证》后方可出版；</w:t>
      </w:r>
    </w:p>
    <w:p w14:paraId="03B1B88C">
      <w:pPr>
        <w:jc w:val="left"/>
        <w:rPr>
          <w:rFonts w:ascii="宋体" w:hAnsi="宋体"/>
          <w:kern w:val="44"/>
        </w:rPr>
      </w:pPr>
      <w:r>
        <w:rPr>
          <w:rFonts w:hint="eastAsia" w:ascii="宋体" w:hAnsi="宋体"/>
          <w:kern w:val="44"/>
        </w:rPr>
        <w:t>（二）不得以任何方式转让、出租、出售本单位的名称或者版号；</w:t>
      </w:r>
    </w:p>
    <w:p w14:paraId="05FFCD55">
      <w:pPr>
        <w:jc w:val="left"/>
        <w:rPr>
          <w:rFonts w:ascii="宋体" w:hAnsi="宋体"/>
          <w:kern w:val="44"/>
        </w:rPr>
      </w:pPr>
      <w:r>
        <w:rPr>
          <w:rFonts w:hint="eastAsia" w:ascii="宋体" w:hAnsi="宋体"/>
          <w:kern w:val="44"/>
        </w:rPr>
        <w:t>（三）不得委托国家批准的音像复制单位以外的组织和个人复制音像制品；</w:t>
      </w:r>
    </w:p>
    <w:p w14:paraId="127D87FD">
      <w:pPr>
        <w:jc w:val="left"/>
        <w:rPr>
          <w:rFonts w:ascii="宋体" w:hAnsi="宋体"/>
          <w:kern w:val="44"/>
        </w:rPr>
      </w:pPr>
      <w:r>
        <w:rPr>
          <w:rFonts w:hint="eastAsia" w:ascii="宋体" w:hAnsi="宋体"/>
          <w:kern w:val="44"/>
        </w:rPr>
        <w:t>（四）向市音像制品管理部门报送音像出版物样品和出版业务的有关材料；</w:t>
      </w:r>
    </w:p>
    <w:p w14:paraId="624D8082">
      <w:pPr>
        <w:jc w:val="left"/>
        <w:rPr>
          <w:rFonts w:ascii="宋体" w:hAnsi="宋体"/>
          <w:kern w:val="44"/>
        </w:rPr>
      </w:pPr>
      <w:r>
        <w:rPr>
          <w:rFonts w:hint="eastAsia" w:ascii="宋体" w:hAnsi="宋体"/>
          <w:kern w:val="44"/>
        </w:rPr>
        <w:t>（五）法律、法规、规章规定的其他事项。</w:t>
      </w:r>
    </w:p>
    <w:p w14:paraId="0174A9BA">
      <w:pPr>
        <w:ind w:firstLine="422"/>
        <w:jc w:val="left"/>
        <w:rPr>
          <w:rFonts w:ascii="宋体" w:hAnsi="宋体"/>
          <w:kern w:val="44"/>
        </w:rPr>
      </w:pPr>
      <w:r>
        <w:rPr>
          <w:rFonts w:hint="eastAsia" w:ascii="宋体" w:hAnsi="宋体"/>
          <w:b/>
          <w:kern w:val="44"/>
        </w:rPr>
        <w:t>第十三条</w:t>
      </w:r>
      <w:r>
        <w:rPr>
          <w:rFonts w:hint="eastAsia" w:ascii="宋体" w:hAnsi="宋体"/>
          <w:kern w:val="44"/>
        </w:rPr>
        <w:t>　音像复制单位应当遵守下列规定：</w:t>
      </w:r>
    </w:p>
    <w:p w14:paraId="29C51F2A">
      <w:pPr>
        <w:jc w:val="left"/>
        <w:rPr>
          <w:rFonts w:ascii="宋体" w:hAnsi="宋体"/>
          <w:kern w:val="44"/>
        </w:rPr>
      </w:pPr>
      <w:r>
        <w:rPr>
          <w:rFonts w:hint="eastAsia" w:ascii="宋体" w:hAnsi="宋体"/>
          <w:kern w:val="44"/>
        </w:rPr>
        <w:t>（一）凭音像出版单位的委托书、《音像制品发行许可证》及其他证明材料复制音像制品；</w:t>
      </w:r>
    </w:p>
    <w:p w14:paraId="3AF73900">
      <w:pPr>
        <w:jc w:val="left"/>
        <w:rPr>
          <w:rFonts w:ascii="宋体" w:hAnsi="宋体"/>
          <w:kern w:val="44"/>
        </w:rPr>
      </w:pPr>
      <w:r>
        <w:rPr>
          <w:rFonts w:hint="eastAsia" w:ascii="宋体" w:hAnsi="宋体"/>
          <w:kern w:val="44"/>
        </w:rPr>
        <w:t>（二）直接与音像出版单位签订加工合同和结算费用；</w:t>
      </w:r>
    </w:p>
    <w:p w14:paraId="05DAD777">
      <w:pPr>
        <w:jc w:val="left"/>
        <w:rPr>
          <w:rFonts w:ascii="宋体" w:hAnsi="宋体"/>
          <w:kern w:val="44"/>
        </w:rPr>
      </w:pPr>
      <w:r>
        <w:rPr>
          <w:rFonts w:hint="eastAsia" w:ascii="宋体" w:hAnsi="宋体"/>
          <w:kern w:val="44"/>
        </w:rPr>
        <w:t>（三）不得自行复制、批发、零售音像制品；</w:t>
      </w:r>
    </w:p>
    <w:p w14:paraId="177E1538">
      <w:pPr>
        <w:jc w:val="left"/>
        <w:rPr>
          <w:rFonts w:ascii="宋体" w:hAnsi="宋体"/>
          <w:kern w:val="44"/>
        </w:rPr>
      </w:pPr>
      <w:r>
        <w:rPr>
          <w:rFonts w:hint="eastAsia" w:ascii="宋体" w:hAnsi="宋体"/>
          <w:kern w:val="44"/>
        </w:rPr>
        <w:t>（四）为本市以外的音像出版单位复制音像制品，必须向市音像制品管理部门报送样品；</w:t>
      </w:r>
    </w:p>
    <w:p w14:paraId="49394DB9">
      <w:pPr>
        <w:jc w:val="left"/>
        <w:rPr>
          <w:rFonts w:ascii="宋体" w:hAnsi="宋体"/>
          <w:kern w:val="44"/>
        </w:rPr>
      </w:pPr>
      <w:r>
        <w:rPr>
          <w:rFonts w:hint="eastAsia" w:ascii="宋体" w:hAnsi="宋体"/>
          <w:kern w:val="44"/>
        </w:rPr>
        <w:t>（五）向市音像制品管理部门报送音像复制业务的有关材料；</w:t>
      </w:r>
    </w:p>
    <w:p w14:paraId="4BAC568B">
      <w:pPr>
        <w:jc w:val="left"/>
        <w:rPr>
          <w:rFonts w:ascii="宋体" w:hAnsi="宋体"/>
          <w:kern w:val="44"/>
        </w:rPr>
      </w:pPr>
      <w:r>
        <w:rPr>
          <w:rFonts w:hint="eastAsia" w:ascii="宋体" w:hAnsi="宋体"/>
          <w:kern w:val="44"/>
        </w:rPr>
        <w:t>（六）法律、法规、规章规定的其他事项。</w:t>
      </w:r>
    </w:p>
    <w:p w14:paraId="4A305AFA">
      <w:pPr>
        <w:ind w:firstLine="422"/>
        <w:jc w:val="left"/>
        <w:rPr>
          <w:rFonts w:ascii="宋体" w:hAnsi="宋体"/>
          <w:kern w:val="44"/>
        </w:rPr>
      </w:pPr>
      <w:r>
        <w:rPr>
          <w:rFonts w:hint="eastAsia" w:ascii="宋体" w:hAnsi="宋体"/>
          <w:b/>
          <w:kern w:val="44"/>
        </w:rPr>
        <w:t>第十四条</w:t>
      </w:r>
      <w:r>
        <w:rPr>
          <w:rFonts w:hint="eastAsia" w:ascii="宋体" w:hAnsi="宋体"/>
          <w:kern w:val="44"/>
        </w:rPr>
        <w:t>　申请从事音像制品进口业务或者申请从事进口音像制品出版业务的单位，经市音像制品管理部门初审同意，报国家有关部门批准。</w:t>
      </w:r>
    </w:p>
    <w:p w14:paraId="6A903647">
      <w:pPr>
        <w:jc w:val="left"/>
        <w:rPr>
          <w:rFonts w:ascii="宋体" w:hAnsi="宋体"/>
          <w:kern w:val="44"/>
        </w:rPr>
      </w:pPr>
      <w:r>
        <w:rPr>
          <w:rFonts w:hint="eastAsia" w:ascii="宋体" w:hAnsi="宋体"/>
          <w:kern w:val="44"/>
        </w:rPr>
        <w:t>进口的音像制品或者与境外合作制作的音像制品，经市音像制品管理部门初审同意，报家音像制品内容审核机构审查。</w:t>
      </w:r>
    </w:p>
    <w:p w14:paraId="46CD3756">
      <w:pPr>
        <w:ind w:firstLine="422"/>
        <w:jc w:val="left"/>
        <w:rPr>
          <w:rFonts w:ascii="宋体" w:hAnsi="宋体"/>
          <w:kern w:val="44"/>
        </w:rPr>
      </w:pPr>
      <w:r>
        <w:rPr>
          <w:rFonts w:hint="eastAsia" w:ascii="宋体" w:hAnsi="宋体"/>
          <w:b/>
          <w:kern w:val="44"/>
        </w:rPr>
        <w:t>第十五条</w:t>
      </w:r>
      <w:r>
        <w:rPr>
          <w:rFonts w:hint="eastAsia" w:ascii="宋体" w:hAnsi="宋体"/>
          <w:kern w:val="44"/>
        </w:rPr>
        <w:t>　音像复制单位以来料加工方式承接境外提供的母带、模版复制音像制品的，在复制前必须将母带、模版报送市音像制品管理部门审核登记。</w:t>
      </w:r>
    </w:p>
    <w:p w14:paraId="405DF486">
      <w:pPr>
        <w:ind w:firstLine="422"/>
        <w:jc w:val="left"/>
        <w:rPr>
          <w:rFonts w:ascii="宋体" w:hAnsi="宋体"/>
          <w:kern w:val="44"/>
        </w:rPr>
      </w:pPr>
      <w:r>
        <w:rPr>
          <w:rFonts w:hint="eastAsia" w:ascii="宋体" w:hAnsi="宋体"/>
          <w:b/>
          <w:kern w:val="44"/>
        </w:rPr>
        <w:t>第十六条</w:t>
      </w:r>
      <w:r>
        <w:rPr>
          <w:rFonts w:hint="eastAsia" w:ascii="宋体" w:hAnsi="宋体"/>
          <w:kern w:val="44"/>
        </w:rPr>
        <w:t>　从事音像制品出版、复制、进口业务的经营人员，应当熟悉有关法律、法规和方针、政策，接受音像制品管理部门的培训。</w:t>
      </w:r>
    </w:p>
    <w:p w14:paraId="2825628D">
      <w:pPr>
        <w:spacing w:line="300" w:lineRule="exact"/>
        <w:jc w:val="left"/>
        <w:rPr>
          <w:rFonts w:ascii="宋体" w:hAnsi="宋体"/>
          <w:kern w:val="44"/>
        </w:rPr>
      </w:pPr>
    </w:p>
    <w:p w14:paraId="54C17376">
      <w:pPr>
        <w:ind w:firstLine="0" w:firstLineChars="0"/>
        <w:jc w:val="center"/>
        <w:rPr>
          <w:rFonts w:ascii="宋体" w:hAnsi="宋体"/>
          <w:b/>
          <w:kern w:val="44"/>
          <w:sz w:val="28"/>
        </w:rPr>
      </w:pPr>
      <w:r>
        <w:rPr>
          <w:rFonts w:hint="eastAsia" w:ascii="宋体" w:hAnsi="宋体"/>
          <w:b/>
          <w:kern w:val="44"/>
          <w:sz w:val="28"/>
        </w:rPr>
        <w:t>第四章　批发、零售、出租、放映</w:t>
      </w:r>
    </w:p>
    <w:p w14:paraId="44B7388F">
      <w:pPr>
        <w:spacing w:line="300" w:lineRule="exact"/>
        <w:jc w:val="left"/>
        <w:rPr>
          <w:rFonts w:ascii="宋体" w:hAnsi="宋体"/>
          <w:kern w:val="44"/>
        </w:rPr>
      </w:pPr>
    </w:p>
    <w:p w14:paraId="1E2226F0">
      <w:pPr>
        <w:ind w:firstLine="422"/>
        <w:jc w:val="left"/>
        <w:rPr>
          <w:rFonts w:ascii="宋体" w:hAnsi="宋体"/>
          <w:kern w:val="44"/>
        </w:rPr>
      </w:pPr>
      <w:r>
        <w:rPr>
          <w:rFonts w:hint="eastAsia" w:ascii="宋体" w:hAnsi="宋体"/>
          <w:b/>
          <w:kern w:val="44"/>
        </w:rPr>
        <w:t>第十七条</w:t>
      </w:r>
      <w:r>
        <w:rPr>
          <w:rFonts w:hint="eastAsia" w:ascii="宋体" w:hAnsi="宋体"/>
          <w:kern w:val="44"/>
        </w:rPr>
        <w:t>　申请从事音像制品批发业务的单位，由其上级主管部门出具证明报市音像制品管理部门审批；领取许可证后，向工商行政管理部门申领营业执照。</w:t>
      </w:r>
    </w:p>
    <w:p w14:paraId="5E3DFEAB">
      <w:pPr>
        <w:jc w:val="left"/>
        <w:rPr>
          <w:rFonts w:ascii="宋体" w:hAnsi="宋体"/>
          <w:kern w:val="44"/>
        </w:rPr>
      </w:pPr>
      <w:r>
        <w:rPr>
          <w:rFonts w:hint="eastAsia" w:ascii="宋体" w:hAnsi="宋体"/>
          <w:kern w:val="44"/>
        </w:rPr>
        <w:t>申请从事音像制品总批发业务的单位，按国家有关规定办理有关手续。</w:t>
      </w:r>
    </w:p>
    <w:p w14:paraId="6069567C">
      <w:pPr>
        <w:ind w:firstLine="422"/>
        <w:jc w:val="left"/>
        <w:rPr>
          <w:rFonts w:ascii="宋体" w:hAnsi="宋体"/>
          <w:kern w:val="44"/>
        </w:rPr>
      </w:pPr>
      <w:r>
        <w:rPr>
          <w:rFonts w:hint="eastAsia" w:ascii="宋体" w:hAnsi="宋体"/>
          <w:b/>
          <w:kern w:val="44"/>
        </w:rPr>
        <w:t>第十八条</w:t>
      </w:r>
      <w:r>
        <w:rPr>
          <w:rFonts w:hint="eastAsia" w:ascii="宋体" w:hAnsi="宋体"/>
          <w:kern w:val="44"/>
        </w:rPr>
        <w:t>　申请从事音像制品批发业务的单位应当具备以下条件：</w:t>
      </w:r>
    </w:p>
    <w:p w14:paraId="3555BA15">
      <w:pPr>
        <w:jc w:val="left"/>
        <w:rPr>
          <w:rFonts w:ascii="宋体" w:hAnsi="宋体"/>
          <w:kern w:val="44"/>
        </w:rPr>
      </w:pPr>
      <w:r>
        <w:rPr>
          <w:rFonts w:hint="eastAsia" w:ascii="宋体" w:hAnsi="宋体"/>
          <w:kern w:val="44"/>
        </w:rPr>
        <w:t>（一）从事音像制品零售业务三年以上；</w:t>
      </w:r>
    </w:p>
    <w:p w14:paraId="70FC797E">
      <w:pPr>
        <w:jc w:val="left"/>
        <w:rPr>
          <w:rFonts w:ascii="宋体" w:hAnsi="宋体"/>
          <w:kern w:val="44"/>
        </w:rPr>
      </w:pPr>
      <w:r>
        <w:rPr>
          <w:rFonts w:hint="eastAsia" w:ascii="宋体" w:hAnsi="宋体"/>
          <w:kern w:val="44"/>
        </w:rPr>
        <w:t>（二）有固定的营业场所，其营业面积在50平方米以上，库房面积在100平方米以上；</w:t>
      </w:r>
    </w:p>
    <w:p w14:paraId="555966F8">
      <w:pPr>
        <w:jc w:val="left"/>
        <w:rPr>
          <w:rFonts w:ascii="宋体" w:hAnsi="宋体"/>
          <w:kern w:val="44"/>
        </w:rPr>
      </w:pPr>
      <w:r>
        <w:rPr>
          <w:rFonts w:hint="eastAsia" w:ascii="宋体" w:hAnsi="宋体"/>
          <w:kern w:val="44"/>
        </w:rPr>
        <w:t>（三）注册资金在50万元以上；</w:t>
      </w:r>
    </w:p>
    <w:p w14:paraId="51867AF1">
      <w:pPr>
        <w:jc w:val="left"/>
        <w:rPr>
          <w:rFonts w:ascii="宋体" w:hAnsi="宋体"/>
          <w:kern w:val="44"/>
        </w:rPr>
      </w:pPr>
      <w:r>
        <w:rPr>
          <w:rFonts w:hint="eastAsia" w:ascii="宋体" w:hAnsi="宋体"/>
          <w:kern w:val="44"/>
        </w:rPr>
        <w:t>（四）有健全的管理制度；</w:t>
      </w:r>
    </w:p>
    <w:p w14:paraId="5945B3BA">
      <w:pPr>
        <w:jc w:val="left"/>
        <w:rPr>
          <w:rFonts w:ascii="宋体" w:hAnsi="宋体"/>
          <w:kern w:val="44"/>
        </w:rPr>
      </w:pPr>
      <w:r>
        <w:rPr>
          <w:rFonts w:hint="eastAsia" w:ascii="宋体" w:hAnsi="宋体"/>
          <w:kern w:val="44"/>
        </w:rPr>
        <w:t>（五）法定代表人具有本市常住户口及大专以上文化程度；</w:t>
      </w:r>
    </w:p>
    <w:p w14:paraId="381F9039">
      <w:pPr>
        <w:jc w:val="left"/>
        <w:rPr>
          <w:rFonts w:ascii="宋体" w:hAnsi="宋体"/>
          <w:kern w:val="44"/>
        </w:rPr>
      </w:pPr>
      <w:r>
        <w:rPr>
          <w:rFonts w:hint="eastAsia" w:ascii="宋体" w:hAnsi="宋体"/>
          <w:kern w:val="44"/>
        </w:rPr>
        <w:t>（六）法律、法规、规章规定的其他条件。</w:t>
      </w:r>
    </w:p>
    <w:p w14:paraId="1AC6FEAC">
      <w:pPr>
        <w:ind w:firstLine="422"/>
        <w:jc w:val="left"/>
        <w:rPr>
          <w:rFonts w:ascii="宋体" w:hAnsi="宋体"/>
          <w:kern w:val="44"/>
        </w:rPr>
      </w:pPr>
      <w:r>
        <w:rPr>
          <w:rFonts w:hint="eastAsia" w:ascii="宋体" w:hAnsi="宋体"/>
          <w:b/>
          <w:kern w:val="44"/>
        </w:rPr>
        <w:t>第十九条</w:t>
      </w:r>
      <w:r>
        <w:rPr>
          <w:rFonts w:hint="eastAsia" w:ascii="宋体" w:hAnsi="宋体"/>
          <w:kern w:val="44"/>
        </w:rPr>
        <w:t>　音像制品批发单位应当遵守下列规定：</w:t>
      </w:r>
    </w:p>
    <w:p w14:paraId="0D9231E2">
      <w:pPr>
        <w:jc w:val="left"/>
        <w:rPr>
          <w:rFonts w:ascii="宋体" w:hAnsi="宋体"/>
          <w:kern w:val="44"/>
        </w:rPr>
      </w:pPr>
      <w:r>
        <w:rPr>
          <w:rFonts w:hint="eastAsia" w:ascii="宋体" w:hAnsi="宋体"/>
          <w:kern w:val="44"/>
        </w:rPr>
        <w:t>（一）在批准的场所从事批发业务；</w:t>
      </w:r>
    </w:p>
    <w:p w14:paraId="70074985">
      <w:pPr>
        <w:jc w:val="left"/>
        <w:rPr>
          <w:rFonts w:ascii="宋体" w:hAnsi="宋体"/>
          <w:kern w:val="44"/>
        </w:rPr>
      </w:pPr>
      <w:r>
        <w:rPr>
          <w:rFonts w:hint="eastAsia" w:ascii="宋体" w:hAnsi="宋体"/>
          <w:kern w:val="44"/>
        </w:rPr>
        <w:t>（二）批发音像制品必须使用市音像制品管理部门统一印制的批发单；</w:t>
      </w:r>
    </w:p>
    <w:p w14:paraId="0F06ABA6">
      <w:pPr>
        <w:jc w:val="left"/>
        <w:rPr>
          <w:rFonts w:ascii="宋体" w:hAnsi="宋体"/>
          <w:kern w:val="44"/>
        </w:rPr>
      </w:pPr>
      <w:r>
        <w:rPr>
          <w:rFonts w:hint="eastAsia" w:ascii="宋体" w:hAnsi="宋体"/>
          <w:kern w:val="44"/>
        </w:rPr>
        <w:t>（三）不得向非音像制品经营单位和个人批发音像制品；</w:t>
      </w:r>
    </w:p>
    <w:p w14:paraId="037E4E89">
      <w:pPr>
        <w:jc w:val="left"/>
        <w:rPr>
          <w:rFonts w:ascii="宋体" w:hAnsi="宋体"/>
          <w:kern w:val="44"/>
        </w:rPr>
      </w:pPr>
      <w:r>
        <w:rPr>
          <w:rFonts w:hint="eastAsia" w:ascii="宋体" w:hAnsi="宋体"/>
          <w:kern w:val="44"/>
        </w:rPr>
        <w:t>（四）向市音像制品管理部门报送音像制品批发业务的有关材料；</w:t>
      </w:r>
    </w:p>
    <w:p w14:paraId="7CEB4D35">
      <w:pPr>
        <w:jc w:val="left"/>
        <w:rPr>
          <w:rFonts w:ascii="宋体" w:hAnsi="宋体"/>
          <w:kern w:val="44"/>
        </w:rPr>
      </w:pPr>
      <w:r>
        <w:rPr>
          <w:rFonts w:hint="eastAsia" w:ascii="宋体" w:hAnsi="宋体"/>
          <w:kern w:val="44"/>
        </w:rPr>
        <w:t>（五）法律、法规、规章规定的其他事项。</w:t>
      </w:r>
    </w:p>
    <w:p w14:paraId="6172697E">
      <w:pPr>
        <w:ind w:firstLine="422"/>
        <w:jc w:val="left"/>
        <w:rPr>
          <w:rFonts w:ascii="宋体" w:hAnsi="宋体"/>
          <w:kern w:val="44"/>
        </w:rPr>
      </w:pPr>
      <w:r>
        <w:rPr>
          <w:rFonts w:hint="eastAsia" w:ascii="宋体" w:hAnsi="宋体"/>
          <w:b/>
          <w:kern w:val="44"/>
        </w:rPr>
        <w:t>第二十条</w:t>
      </w:r>
      <w:r>
        <w:rPr>
          <w:rFonts w:hint="eastAsia" w:ascii="宋体" w:hAnsi="宋体"/>
          <w:kern w:val="44"/>
        </w:rPr>
        <w:t>　申请从事录像制品零售、出租业务的，由申请单位的上级主管部门出具证明，报市音像制品管理部门或者经其同意的区、县音像制品管理部门审批，领取许可证后，向工商行政管理部门申领营业执照。</w:t>
      </w:r>
    </w:p>
    <w:p w14:paraId="4A78C412">
      <w:pPr>
        <w:jc w:val="left"/>
        <w:rPr>
          <w:rFonts w:ascii="宋体" w:hAnsi="宋体"/>
          <w:kern w:val="44"/>
        </w:rPr>
      </w:pPr>
      <w:r>
        <w:rPr>
          <w:rFonts w:hint="eastAsia" w:ascii="宋体" w:hAnsi="宋体"/>
          <w:kern w:val="44"/>
        </w:rPr>
        <w:t>申请从事录音制品零售、出租业务的，由申请单位的上级主管部门出具证明，报所在区、县音像制品管理部门审批，领取许可证后，向工商行政管理部门申领营业照。</w:t>
      </w:r>
    </w:p>
    <w:p w14:paraId="4B4FD491">
      <w:pPr>
        <w:ind w:firstLine="422"/>
        <w:jc w:val="left"/>
        <w:rPr>
          <w:rFonts w:ascii="宋体" w:hAnsi="宋体"/>
          <w:kern w:val="44"/>
        </w:rPr>
      </w:pPr>
      <w:r>
        <w:rPr>
          <w:rFonts w:hint="eastAsia" w:ascii="宋体" w:hAnsi="宋体"/>
          <w:b/>
          <w:kern w:val="44"/>
        </w:rPr>
        <w:t>第二十一条</w:t>
      </w:r>
      <w:r>
        <w:rPr>
          <w:rFonts w:hint="eastAsia" w:ascii="宋体" w:hAnsi="宋体"/>
          <w:kern w:val="44"/>
        </w:rPr>
        <w:t>　申请从事音像制品零售、出租业务的单位应当具备以下条件：</w:t>
      </w:r>
    </w:p>
    <w:p w14:paraId="0071A75A">
      <w:pPr>
        <w:jc w:val="left"/>
        <w:rPr>
          <w:rFonts w:ascii="宋体" w:hAnsi="宋体"/>
          <w:kern w:val="44"/>
        </w:rPr>
      </w:pPr>
      <w:r>
        <w:rPr>
          <w:rFonts w:hint="eastAsia" w:ascii="宋体" w:hAnsi="宋体"/>
          <w:kern w:val="44"/>
        </w:rPr>
        <w:t>（一）有固定的经营场所，其营业面积在20平方米以上，专营场所在主要商业区内的，其营业面积在50平方米以上；</w:t>
      </w:r>
    </w:p>
    <w:p w14:paraId="0A0BDEE1">
      <w:pPr>
        <w:jc w:val="left"/>
        <w:rPr>
          <w:rFonts w:ascii="宋体" w:hAnsi="宋体"/>
          <w:kern w:val="44"/>
        </w:rPr>
      </w:pPr>
      <w:r>
        <w:rPr>
          <w:rFonts w:hint="eastAsia" w:ascii="宋体" w:hAnsi="宋体"/>
          <w:kern w:val="44"/>
        </w:rPr>
        <w:t>（二）注册资金在20万元以上；</w:t>
      </w:r>
    </w:p>
    <w:p w14:paraId="1F6F92D1">
      <w:pPr>
        <w:jc w:val="left"/>
        <w:rPr>
          <w:rFonts w:ascii="宋体" w:hAnsi="宋体"/>
          <w:kern w:val="44"/>
        </w:rPr>
      </w:pPr>
      <w:r>
        <w:rPr>
          <w:rFonts w:hint="eastAsia" w:ascii="宋体" w:hAnsi="宋体"/>
          <w:kern w:val="44"/>
        </w:rPr>
        <w:t>（三）法定代表人具有本市常住户口；</w:t>
      </w:r>
    </w:p>
    <w:p w14:paraId="67966D4A">
      <w:pPr>
        <w:jc w:val="left"/>
        <w:rPr>
          <w:rFonts w:ascii="宋体" w:hAnsi="宋体"/>
          <w:kern w:val="44"/>
        </w:rPr>
      </w:pPr>
      <w:r>
        <w:rPr>
          <w:rFonts w:hint="eastAsia" w:ascii="宋体" w:hAnsi="宋体"/>
          <w:kern w:val="44"/>
        </w:rPr>
        <w:t>（四）录像出租单位有500个品种以上的录像制品；</w:t>
      </w:r>
    </w:p>
    <w:p w14:paraId="00B65FA5">
      <w:pPr>
        <w:jc w:val="left"/>
        <w:rPr>
          <w:rFonts w:ascii="宋体" w:hAnsi="宋体"/>
          <w:kern w:val="44"/>
        </w:rPr>
      </w:pPr>
      <w:r>
        <w:rPr>
          <w:rFonts w:hint="eastAsia" w:ascii="宋体" w:hAnsi="宋体"/>
          <w:kern w:val="44"/>
        </w:rPr>
        <w:t>（五）法律、法规、规章规定的其他条件。</w:t>
      </w:r>
    </w:p>
    <w:p w14:paraId="1BC65528">
      <w:pPr>
        <w:ind w:firstLine="422"/>
        <w:jc w:val="left"/>
        <w:rPr>
          <w:rFonts w:ascii="宋体" w:hAnsi="宋体"/>
          <w:kern w:val="44"/>
        </w:rPr>
      </w:pPr>
      <w:r>
        <w:rPr>
          <w:rFonts w:hint="eastAsia" w:ascii="宋体" w:hAnsi="宋体"/>
          <w:b/>
          <w:kern w:val="44"/>
        </w:rPr>
        <w:t>第二十二条</w:t>
      </w:r>
      <w:r>
        <w:rPr>
          <w:rFonts w:hint="eastAsia" w:ascii="宋体" w:hAnsi="宋体"/>
          <w:kern w:val="44"/>
        </w:rPr>
        <w:t>　音像制品零售、出租单位应当遵守下列规定：</w:t>
      </w:r>
    </w:p>
    <w:p w14:paraId="5D65CD39">
      <w:pPr>
        <w:jc w:val="left"/>
        <w:rPr>
          <w:rFonts w:ascii="宋体" w:hAnsi="宋体"/>
          <w:kern w:val="44"/>
        </w:rPr>
      </w:pPr>
      <w:r>
        <w:rPr>
          <w:rFonts w:hint="eastAsia" w:ascii="宋体" w:hAnsi="宋体"/>
          <w:kern w:val="44"/>
        </w:rPr>
        <w:t>（一）领取许可证和营业执照后，方可从事经营活动，许可证和营业执照应当在经营场所悬挂；</w:t>
      </w:r>
    </w:p>
    <w:p w14:paraId="52BD85C1">
      <w:pPr>
        <w:jc w:val="left"/>
        <w:rPr>
          <w:rFonts w:ascii="宋体" w:hAnsi="宋体"/>
          <w:kern w:val="44"/>
        </w:rPr>
      </w:pPr>
      <w:r>
        <w:rPr>
          <w:rFonts w:hint="eastAsia" w:ascii="宋体" w:hAnsi="宋体"/>
          <w:kern w:val="44"/>
        </w:rPr>
        <w:t>（二）从规定的音像制品批发单位进货，将统一批发单存于经营场所备查；</w:t>
      </w:r>
    </w:p>
    <w:p w14:paraId="74E0B3CB">
      <w:pPr>
        <w:jc w:val="left"/>
        <w:rPr>
          <w:rFonts w:ascii="宋体" w:hAnsi="宋体"/>
          <w:kern w:val="44"/>
        </w:rPr>
      </w:pPr>
      <w:r>
        <w:rPr>
          <w:rFonts w:hint="eastAsia" w:ascii="宋体" w:hAnsi="宋体"/>
          <w:kern w:val="44"/>
        </w:rPr>
        <w:t>（三）法律、法规、规章规定的其他事项。</w:t>
      </w:r>
    </w:p>
    <w:p w14:paraId="07002D99">
      <w:pPr>
        <w:ind w:firstLine="422"/>
        <w:jc w:val="left"/>
        <w:rPr>
          <w:rFonts w:ascii="宋体" w:hAnsi="宋体"/>
          <w:kern w:val="44"/>
        </w:rPr>
      </w:pPr>
      <w:r>
        <w:rPr>
          <w:rFonts w:hint="eastAsia" w:ascii="宋体" w:hAnsi="宋体"/>
          <w:b/>
          <w:kern w:val="44"/>
        </w:rPr>
        <w:t>第二十三条</w:t>
      </w:r>
      <w:r>
        <w:rPr>
          <w:rFonts w:hint="eastAsia" w:ascii="宋体" w:hAnsi="宋体"/>
          <w:kern w:val="44"/>
        </w:rPr>
        <w:t>　申请从事录像放映业务的单位，由其上级主管部门出具证明，经所在区、县音像制品管理部门初审，报市音像制品管理部门审批；领取许可证后，向工商行政管理部门申领营业执照。</w:t>
      </w:r>
    </w:p>
    <w:p w14:paraId="16298A21">
      <w:pPr>
        <w:ind w:firstLine="422"/>
        <w:jc w:val="left"/>
        <w:rPr>
          <w:rFonts w:ascii="宋体" w:hAnsi="宋体"/>
          <w:kern w:val="44"/>
        </w:rPr>
      </w:pPr>
      <w:r>
        <w:rPr>
          <w:rFonts w:hint="eastAsia" w:ascii="宋体" w:hAnsi="宋体"/>
          <w:b/>
          <w:kern w:val="44"/>
        </w:rPr>
        <w:t>第二十四条</w:t>
      </w:r>
      <w:r>
        <w:rPr>
          <w:rFonts w:hint="eastAsia" w:ascii="宋体" w:hAnsi="宋体"/>
          <w:kern w:val="44"/>
        </w:rPr>
        <w:t>　申请从事录像放映业务的单位应当具备以下条件：</w:t>
      </w:r>
    </w:p>
    <w:p w14:paraId="34D28948">
      <w:pPr>
        <w:jc w:val="left"/>
        <w:rPr>
          <w:rFonts w:ascii="宋体" w:hAnsi="宋体"/>
          <w:kern w:val="44"/>
        </w:rPr>
      </w:pPr>
      <w:r>
        <w:rPr>
          <w:rFonts w:hint="eastAsia" w:ascii="宋体" w:hAnsi="宋体"/>
          <w:kern w:val="44"/>
        </w:rPr>
        <w:t>（一）有固定的放映场所，其面积在50平方米以上；</w:t>
      </w:r>
    </w:p>
    <w:p w14:paraId="1FB34F3E">
      <w:pPr>
        <w:jc w:val="left"/>
        <w:rPr>
          <w:rFonts w:ascii="宋体" w:hAnsi="宋体"/>
          <w:kern w:val="44"/>
        </w:rPr>
      </w:pPr>
      <w:r>
        <w:rPr>
          <w:rFonts w:hint="eastAsia" w:ascii="宋体" w:hAnsi="宋体"/>
          <w:kern w:val="44"/>
        </w:rPr>
        <w:t>（二）注册资金在20万元以上；</w:t>
      </w:r>
    </w:p>
    <w:p w14:paraId="7A3FCB7D">
      <w:pPr>
        <w:jc w:val="left"/>
        <w:rPr>
          <w:rFonts w:ascii="宋体" w:hAnsi="宋体"/>
          <w:kern w:val="44"/>
        </w:rPr>
      </w:pPr>
      <w:r>
        <w:rPr>
          <w:rFonts w:hint="eastAsia" w:ascii="宋体" w:hAnsi="宋体"/>
          <w:kern w:val="44"/>
        </w:rPr>
        <w:t>（三）有健全的管理制度；</w:t>
      </w:r>
    </w:p>
    <w:p w14:paraId="0C35CFF0">
      <w:pPr>
        <w:jc w:val="left"/>
        <w:rPr>
          <w:rFonts w:ascii="宋体" w:hAnsi="宋体"/>
          <w:kern w:val="44"/>
        </w:rPr>
      </w:pPr>
      <w:r>
        <w:rPr>
          <w:rFonts w:hint="eastAsia" w:ascii="宋体" w:hAnsi="宋体"/>
          <w:kern w:val="44"/>
        </w:rPr>
        <w:t>（四）法定代表人具有本市常住户口；</w:t>
      </w:r>
    </w:p>
    <w:p w14:paraId="64807390">
      <w:pPr>
        <w:jc w:val="left"/>
        <w:rPr>
          <w:rFonts w:ascii="宋体" w:hAnsi="宋体"/>
          <w:kern w:val="44"/>
        </w:rPr>
      </w:pPr>
      <w:r>
        <w:rPr>
          <w:rFonts w:hint="eastAsia" w:ascii="宋体" w:hAnsi="宋体"/>
          <w:kern w:val="44"/>
        </w:rPr>
        <w:t>（五）有符合规定的放映设备；</w:t>
      </w:r>
    </w:p>
    <w:p w14:paraId="1DE454AF">
      <w:pPr>
        <w:jc w:val="left"/>
        <w:rPr>
          <w:rFonts w:ascii="宋体" w:hAnsi="宋体"/>
          <w:kern w:val="44"/>
        </w:rPr>
      </w:pPr>
      <w:r>
        <w:rPr>
          <w:rFonts w:hint="eastAsia" w:ascii="宋体" w:hAnsi="宋体"/>
          <w:kern w:val="44"/>
        </w:rPr>
        <w:t>（六）符合治安、消防等安全规定；</w:t>
      </w:r>
    </w:p>
    <w:p w14:paraId="7378419B">
      <w:pPr>
        <w:jc w:val="left"/>
        <w:rPr>
          <w:rFonts w:ascii="宋体" w:hAnsi="宋体"/>
          <w:kern w:val="44"/>
        </w:rPr>
      </w:pPr>
      <w:r>
        <w:rPr>
          <w:rFonts w:hint="eastAsia" w:ascii="宋体" w:hAnsi="宋体"/>
          <w:kern w:val="44"/>
        </w:rPr>
        <w:t>（七）法律、法规、规章规定的其他条件。</w:t>
      </w:r>
    </w:p>
    <w:p w14:paraId="2171A6C6">
      <w:pPr>
        <w:ind w:firstLine="422"/>
        <w:jc w:val="left"/>
        <w:rPr>
          <w:rFonts w:ascii="宋体" w:hAnsi="宋体"/>
          <w:kern w:val="44"/>
        </w:rPr>
      </w:pPr>
      <w:r>
        <w:rPr>
          <w:rFonts w:hint="eastAsia" w:ascii="宋体" w:hAnsi="宋体"/>
          <w:b/>
          <w:kern w:val="44"/>
        </w:rPr>
        <w:t>第二十五条</w:t>
      </w:r>
      <w:r>
        <w:rPr>
          <w:rFonts w:hint="eastAsia" w:ascii="宋体" w:hAnsi="宋体"/>
          <w:kern w:val="44"/>
        </w:rPr>
        <w:t>　录像放映单位应当遵守下列规定：</w:t>
      </w:r>
    </w:p>
    <w:p w14:paraId="0B252416">
      <w:pPr>
        <w:jc w:val="left"/>
        <w:rPr>
          <w:rFonts w:ascii="宋体" w:hAnsi="宋体"/>
          <w:kern w:val="44"/>
        </w:rPr>
      </w:pPr>
      <w:r>
        <w:rPr>
          <w:rFonts w:hint="eastAsia" w:ascii="宋体" w:hAnsi="宋体"/>
          <w:kern w:val="44"/>
        </w:rPr>
        <w:t>（一）领取许可证和营业执照后，方可从事经营活动，许可证和营业执照应当在经营场所悬挂；</w:t>
      </w:r>
    </w:p>
    <w:p w14:paraId="4A3D7943">
      <w:pPr>
        <w:jc w:val="left"/>
        <w:rPr>
          <w:rFonts w:ascii="宋体" w:hAnsi="宋体"/>
          <w:kern w:val="44"/>
        </w:rPr>
      </w:pPr>
      <w:r>
        <w:rPr>
          <w:rFonts w:hint="eastAsia" w:ascii="宋体" w:hAnsi="宋体"/>
          <w:kern w:val="44"/>
        </w:rPr>
        <w:t>（二）从规定的音像制品经营单位进货；</w:t>
      </w:r>
    </w:p>
    <w:p w14:paraId="6AAD7A6C">
      <w:pPr>
        <w:jc w:val="left"/>
        <w:rPr>
          <w:rFonts w:ascii="宋体" w:hAnsi="宋体"/>
          <w:kern w:val="44"/>
        </w:rPr>
      </w:pPr>
      <w:r>
        <w:rPr>
          <w:rFonts w:hint="eastAsia" w:ascii="宋体" w:hAnsi="宋体"/>
          <w:kern w:val="44"/>
        </w:rPr>
        <w:t>（三）不得放映家庭专用的音像制品；</w:t>
      </w:r>
    </w:p>
    <w:p w14:paraId="592492EE">
      <w:pPr>
        <w:jc w:val="left"/>
        <w:rPr>
          <w:rFonts w:ascii="宋体" w:hAnsi="宋体"/>
          <w:kern w:val="44"/>
        </w:rPr>
      </w:pPr>
      <w:r>
        <w:rPr>
          <w:rFonts w:hint="eastAsia" w:ascii="宋体" w:hAnsi="宋体"/>
          <w:kern w:val="44"/>
        </w:rPr>
        <w:t>（四）放映场所应当专营录像放映业务，不得开设封闭、半封闭式包厢或者包间；</w:t>
      </w:r>
    </w:p>
    <w:p w14:paraId="01904CF3">
      <w:pPr>
        <w:jc w:val="left"/>
        <w:rPr>
          <w:rFonts w:ascii="宋体" w:hAnsi="宋体"/>
          <w:kern w:val="44"/>
        </w:rPr>
      </w:pPr>
      <w:r>
        <w:rPr>
          <w:rFonts w:hint="eastAsia" w:ascii="宋体" w:hAnsi="宋体"/>
          <w:kern w:val="44"/>
        </w:rPr>
        <w:t>（五）按时向所在区、县音像制品管理部门报送放映业务的有关材料；</w:t>
      </w:r>
    </w:p>
    <w:p w14:paraId="47BEF2D2">
      <w:pPr>
        <w:jc w:val="left"/>
        <w:rPr>
          <w:rFonts w:ascii="宋体" w:hAnsi="宋体"/>
          <w:kern w:val="44"/>
        </w:rPr>
      </w:pPr>
      <w:r>
        <w:rPr>
          <w:rFonts w:hint="eastAsia" w:ascii="宋体" w:hAnsi="宋体"/>
          <w:kern w:val="44"/>
        </w:rPr>
        <w:t>（六）法律、法规、规章规定的其他事项。</w:t>
      </w:r>
    </w:p>
    <w:p w14:paraId="20DC9593">
      <w:pPr>
        <w:ind w:firstLine="422"/>
        <w:jc w:val="left"/>
        <w:rPr>
          <w:rFonts w:ascii="宋体" w:hAnsi="宋体"/>
          <w:kern w:val="44"/>
        </w:rPr>
      </w:pPr>
      <w:r>
        <w:rPr>
          <w:rFonts w:hint="eastAsia" w:ascii="宋体" w:hAnsi="宋体"/>
          <w:b/>
          <w:kern w:val="44"/>
        </w:rPr>
        <w:t>第二十六条</w:t>
      </w:r>
      <w:r>
        <w:rPr>
          <w:rFonts w:hint="eastAsia" w:ascii="宋体" w:hAnsi="宋体"/>
          <w:kern w:val="44"/>
        </w:rPr>
        <w:t>　从事音像制品批发、零售、出租、放映业务的经营人员，应当熟悉有关法律、法规和方针、政策，接受音像制品管理部门的培训。</w:t>
      </w:r>
    </w:p>
    <w:p w14:paraId="1CD8FE1B">
      <w:pPr>
        <w:ind w:firstLine="422"/>
        <w:jc w:val="left"/>
        <w:rPr>
          <w:rFonts w:ascii="宋体" w:hAnsi="宋体"/>
          <w:kern w:val="44"/>
        </w:rPr>
      </w:pPr>
      <w:r>
        <w:rPr>
          <w:rFonts w:hint="eastAsia" w:ascii="宋体" w:hAnsi="宋体"/>
          <w:b/>
          <w:kern w:val="44"/>
        </w:rPr>
        <w:t>第二十七条</w:t>
      </w:r>
      <w:r>
        <w:rPr>
          <w:rFonts w:hint="eastAsia" w:ascii="宋体" w:hAnsi="宋体"/>
          <w:kern w:val="44"/>
        </w:rPr>
        <w:t>　在本市举办国内音像制品批发订货会、展览、展销活动，主办单位必须分别提前一个月报市音像制品管理部门审批，并按公安、工商行政管理部门的有关规定办理相关手续。</w:t>
      </w:r>
    </w:p>
    <w:p w14:paraId="42202BF4">
      <w:pPr>
        <w:jc w:val="left"/>
        <w:rPr>
          <w:rFonts w:ascii="宋体" w:hAnsi="宋体"/>
          <w:kern w:val="44"/>
        </w:rPr>
      </w:pPr>
      <w:r>
        <w:rPr>
          <w:rFonts w:hint="eastAsia" w:ascii="宋体" w:hAnsi="宋体"/>
          <w:kern w:val="44"/>
        </w:rPr>
        <w:t>在本市举办国际性音像制品展览、展销活动，主办单位必须提前三个月报市音像制品管理部门审核同意后，再按照国家有关规定办理相关手续。</w:t>
      </w:r>
    </w:p>
    <w:p w14:paraId="1C9C2FA7">
      <w:pPr>
        <w:ind w:firstLine="422"/>
        <w:jc w:val="left"/>
        <w:rPr>
          <w:rFonts w:ascii="宋体" w:hAnsi="宋体"/>
          <w:kern w:val="44"/>
        </w:rPr>
      </w:pPr>
      <w:r>
        <w:rPr>
          <w:rFonts w:hint="eastAsia" w:ascii="宋体" w:hAnsi="宋体"/>
          <w:b/>
          <w:kern w:val="44"/>
        </w:rPr>
        <w:t>第二十八条</w:t>
      </w:r>
      <w:r>
        <w:rPr>
          <w:rFonts w:hint="eastAsia" w:ascii="宋体" w:hAnsi="宋体"/>
          <w:kern w:val="44"/>
        </w:rPr>
        <w:t>　本市禁止批发、零售、出租、放映下列音像制品：</w:t>
      </w:r>
    </w:p>
    <w:p w14:paraId="0E05BD93">
      <w:pPr>
        <w:jc w:val="left"/>
        <w:rPr>
          <w:rFonts w:ascii="宋体" w:hAnsi="宋体"/>
          <w:kern w:val="44"/>
        </w:rPr>
      </w:pPr>
      <w:r>
        <w:rPr>
          <w:rFonts w:hint="eastAsia" w:ascii="宋体" w:hAnsi="宋体"/>
          <w:kern w:val="44"/>
        </w:rPr>
        <w:t>（一）未取得《音像制品发行许可证》的音像制品；</w:t>
      </w:r>
    </w:p>
    <w:p w14:paraId="24877A07">
      <w:pPr>
        <w:jc w:val="left"/>
        <w:rPr>
          <w:rFonts w:ascii="宋体" w:hAnsi="宋体"/>
          <w:kern w:val="44"/>
        </w:rPr>
      </w:pPr>
      <w:r>
        <w:rPr>
          <w:rFonts w:hint="eastAsia" w:ascii="宋体" w:hAnsi="宋体"/>
          <w:kern w:val="44"/>
        </w:rPr>
        <w:t>（二）非音像出版、复制单位出版、复制的音像制品；</w:t>
      </w:r>
    </w:p>
    <w:p w14:paraId="42A0F3C5">
      <w:pPr>
        <w:ind w:firstLine="422"/>
        <w:jc w:val="left"/>
        <w:rPr>
          <w:rFonts w:ascii="宋体" w:hAnsi="宋体"/>
          <w:kern w:val="44"/>
        </w:rPr>
      </w:pPr>
      <w:r>
        <w:rPr>
          <w:rFonts w:hint="eastAsia" w:ascii="宋体" w:hAnsi="宋体"/>
          <w:b/>
          <w:kern w:val="44"/>
        </w:rPr>
        <w:t>第二十九条</w:t>
      </w:r>
      <w:r>
        <w:rPr>
          <w:rFonts w:hint="eastAsia" w:ascii="宋体" w:hAnsi="宋体"/>
          <w:kern w:val="44"/>
        </w:rPr>
        <w:t>　音像制品的宣传不得违反宪法确定的基本原则，不得有宣扬迷信、暴力、恐怖、淫秽以及低级、庸俗的内容。</w:t>
      </w:r>
    </w:p>
    <w:p w14:paraId="41D3D9EA">
      <w:pPr>
        <w:ind w:firstLine="422"/>
        <w:jc w:val="left"/>
        <w:rPr>
          <w:rFonts w:ascii="宋体" w:hAnsi="宋体"/>
          <w:kern w:val="44"/>
        </w:rPr>
      </w:pPr>
      <w:r>
        <w:rPr>
          <w:rFonts w:hint="eastAsia" w:ascii="宋体" w:hAnsi="宋体"/>
          <w:b/>
          <w:kern w:val="44"/>
        </w:rPr>
        <w:t>第三十条</w:t>
      </w:r>
      <w:r>
        <w:rPr>
          <w:rFonts w:hint="eastAsia" w:ascii="宋体" w:hAnsi="宋体"/>
          <w:kern w:val="44"/>
        </w:rPr>
        <w:t>　音像制品批发、零售、出租、放映单位应当按照规定期限履行审核登记手续，由音像制品管理部门对其经营条件及状况、遵守法律、法规情况进行审查考核。</w:t>
      </w:r>
    </w:p>
    <w:p w14:paraId="386B24BB">
      <w:pPr>
        <w:ind w:firstLine="422"/>
        <w:jc w:val="left"/>
        <w:rPr>
          <w:rFonts w:ascii="宋体" w:hAnsi="宋体"/>
          <w:kern w:val="44"/>
        </w:rPr>
      </w:pPr>
      <w:r>
        <w:rPr>
          <w:rFonts w:hint="eastAsia" w:ascii="宋体" w:hAnsi="宋体"/>
          <w:b/>
          <w:kern w:val="44"/>
        </w:rPr>
        <w:t>第三十一条</w:t>
      </w:r>
      <w:r>
        <w:rPr>
          <w:rFonts w:hint="eastAsia" w:ascii="宋体" w:hAnsi="宋体"/>
          <w:kern w:val="44"/>
        </w:rPr>
        <w:t>　音像制品批发、零售、出租、放映单位有下列情形之一的，由发证部门限期改正，逾期不改的，注销其许可证：</w:t>
      </w:r>
    </w:p>
    <w:p w14:paraId="5BA7A180">
      <w:pPr>
        <w:jc w:val="left"/>
        <w:rPr>
          <w:rFonts w:ascii="宋体" w:hAnsi="宋体"/>
          <w:kern w:val="44"/>
        </w:rPr>
      </w:pPr>
      <w:r>
        <w:rPr>
          <w:rFonts w:hint="eastAsia" w:ascii="宋体" w:hAnsi="宋体"/>
          <w:kern w:val="44"/>
        </w:rPr>
        <w:t>（一）领取许可证满六个月未开展经营活动或者停止经营活动满一年未履行相关手续的；</w:t>
      </w:r>
    </w:p>
    <w:p w14:paraId="263EF5C9">
      <w:pPr>
        <w:jc w:val="left"/>
        <w:rPr>
          <w:rFonts w:ascii="宋体" w:hAnsi="宋体"/>
          <w:kern w:val="44"/>
        </w:rPr>
      </w:pPr>
      <w:r>
        <w:rPr>
          <w:rFonts w:hint="eastAsia" w:ascii="宋体" w:hAnsi="宋体"/>
          <w:kern w:val="44"/>
        </w:rPr>
        <w:t>（二）已不符合本条例规定的经营条件的；</w:t>
      </w:r>
    </w:p>
    <w:p w14:paraId="184C587C">
      <w:pPr>
        <w:jc w:val="left"/>
        <w:rPr>
          <w:rFonts w:ascii="宋体" w:hAnsi="宋体"/>
          <w:kern w:val="44"/>
        </w:rPr>
      </w:pPr>
      <w:r>
        <w:rPr>
          <w:rFonts w:hint="eastAsia" w:ascii="宋体" w:hAnsi="宋体"/>
          <w:kern w:val="44"/>
        </w:rPr>
        <w:t>（三）不按规定履行审核登记手续的；</w:t>
      </w:r>
    </w:p>
    <w:p w14:paraId="524D6B1B">
      <w:pPr>
        <w:jc w:val="left"/>
        <w:rPr>
          <w:rFonts w:ascii="宋体" w:hAnsi="宋体"/>
          <w:kern w:val="44"/>
        </w:rPr>
      </w:pPr>
      <w:r>
        <w:rPr>
          <w:rFonts w:hint="eastAsia" w:ascii="宋体" w:hAnsi="宋体"/>
          <w:kern w:val="44"/>
        </w:rPr>
        <w:t>（四）不符合本条例有关进货规定的。</w:t>
      </w:r>
    </w:p>
    <w:p w14:paraId="14824371">
      <w:pPr>
        <w:jc w:val="left"/>
        <w:rPr>
          <w:rFonts w:ascii="宋体" w:hAnsi="宋体"/>
          <w:kern w:val="44"/>
        </w:rPr>
      </w:pPr>
    </w:p>
    <w:p w14:paraId="32E5FB1F">
      <w:pPr>
        <w:ind w:firstLine="0" w:firstLineChars="0"/>
        <w:jc w:val="center"/>
        <w:rPr>
          <w:rFonts w:ascii="宋体" w:hAnsi="宋体"/>
          <w:b/>
          <w:kern w:val="44"/>
          <w:sz w:val="28"/>
        </w:rPr>
      </w:pPr>
      <w:r>
        <w:rPr>
          <w:rFonts w:hint="eastAsia" w:ascii="宋体" w:hAnsi="宋体"/>
          <w:b/>
          <w:kern w:val="44"/>
          <w:sz w:val="28"/>
        </w:rPr>
        <w:t>第五章　法律责任</w:t>
      </w:r>
    </w:p>
    <w:p w14:paraId="3BD27682">
      <w:pPr>
        <w:jc w:val="left"/>
        <w:rPr>
          <w:rFonts w:ascii="宋体" w:hAnsi="宋体"/>
          <w:kern w:val="44"/>
        </w:rPr>
      </w:pPr>
    </w:p>
    <w:p w14:paraId="2B3C60E5">
      <w:pPr>
        <w:ind w:firstLine="422"/>
        <w:jc w:val="left"/>
        <w:rPr>
          <w:rFonts w:ascii="宋体" w:hAnsi="宋体"/>
          <w:kern w:val="44"/>
        </w:rPr>
      </w:pPr>
      <w:r>
        <w:rPr>
          <w:rFonts w:hint="eastAsia" w:ascii="宋体" w:hAnsi="宋体"/>
          <w:b/>
          <w:kern w:val="44"/>
        </w:rPr>
        <w:t>第三十二条</w:t>
      </w:r>
      <w:r>
        <w:rPr>
          <w:rFonts w:hint="eastAsia" w:ascii="宋体" w:hAnsi="宋体"/>
          <w:kern w:val="44"/>
        </w:rPr>
        <w:t>　未取得许可证从事音像制品出版、复制、批发、零售、出租、放映、进口业务的，没收违法经营的音像制品和违法所得，并视情节轻重，处违法所得5倍以上10倍以下的罚款。</w:t>
      </w:r>
    </w:p>
    <w:p w14:paraId="5381C9DB">
      <w:pPr>
        <w:ind w:firstLine="422"/>
        <w:jc w:val="left"/>
        <w:rPr>
          <w:rFonts w:ascii="宋体" w:hAnsi="宋体"/>
          <w:kern w:val="44"/>
        </w:rPr>
      </w:pPr>
      <w:r>
        <w:rPr>
          <w:rFonts w:hint="eastAsia" w:ascii="宋体" w:hAnsi="宋体"/>
          <w:b/>
          <w:kern w:val="44"/>
        </w:rPr>
        <w:t>第三十三条</w:t>
      </w:r>
      <w:r>
        <w:rPr>
          <w:rFonts w:hint="eastAsia" w:ascii="宋体" w:hAnsi="宋体"/>
          <w:kern w:val="44"/>
        </w:rPr>
        <w:t>　有下列行为之一的，根据情节轻重，给予警告，责令停止音像制品经营活动，没收违法音像制品和违法所得，吊销音像制品经许可证，并可处违法所得5倍以上10倍以下的罚款：</w:t>
      </w:r>
    </w:p>
    <w:p w14:paraId="1FF3AA77">
      <w:pPr>
        <w:jc w:val="left"/>
        <w:rPr>
          <w:rFonts w:ascii="宋体" w:hAnsi="宋体"/>
          <w:kern w:val="44"/>
        </w:rPr>
      </w:pPr>
      <w:r>
        <w:rPr>
          <w:rFonts w:hint="eastAsia" w:ascii="宋体" w:hAnsi="宋体"/>
          <w:kern w:val="44"/>
        </w:rPr>
        <w:t>（一）出版、复制、批发、零售、出租、放映本条例第四条规定禁止的音像制品的；</w:t>
      </w:r>
    </w:p>
    <w:p w14:paraId="1D527662">
      <w:pPr>
        <w:jc w:val="left"/>
        <w:rPr>
          <w:rFonts w:ascii="宋体" w:hAnsi="宋体"/>
          <w:kern w:val="44"/>
        </w:rPr>
      </w:pPr>
      <w:r>
        <w:rPr>
          <w:rFonts w:hint="eastAsia" w:ascii="宋体" w:hAnsi="宋体"/>
          <w:kern w:val="44"/>
        </w:rPr>
        <w:t>（二）音像出版单位转让、出租、出售本单位的名称或者版号的；</w:t>
      </w:r>
    </w:p>
    <w:p w14:paraId="47307494">
      <w:pPr>
        <w:jc w:val="left"/>
        <w:rPr>
          <w:rFonts w:ascii="宋体" w:hAnsi="宋体"/>
          <w:kern w:val="44"/>
        </w:rPr>
      </w:pPr>
      <w:r>
        <w:rPr>
          <w:rFonts w:hint="eastAsia" w:ascii="宋体" w:hAnsi="宋体"/>
          <w:kern w:val="44"/>
        </w:rPr>
        <w:t>（三）音像出版单位出版未取得《音像制品发行许可证》的音像制品的；</w:t>
      </w:r>
    </w:p>
    <w:p w14:paraId="60E69A07">
      <w:pPr>
        <w:jc w:val="left"/>
        <w:rPr>
          <w:rFonts w:ascii="宋体" w:hAnsi="宋体"/>
          <w:kern w:val="44"/>
        </w:rPr>
      </w:pPr>
      <w:r>
        <w:rPr>
          <w:rFonts w:hint="eastAsia" w:ascii="宋体" w:hAnsi="宋体"/>
          <w:kern w:val="44"/>
        </w:rPr>
        <w:t>（四）音像复制单位未受委托擅自复制音像制品或者复制未取得《音像制品发行许可证》的音像制品的；</w:t>
      </w:r>
    </w:p>
    <w:p w14:paraId="116ACAB4">
      <w:pPr>
        <w:jc w:val="left"/>
        <w:rPr>
          <w:rFonts w:ascii="宋体" w:hAnsi="宋体"/>
          <w:kern w:val="44"/>
        </w:rPr>
      </w:pPr>
      <w:r>
        <w:rPr>
          <w:rFonts w:hint="eastAsia" w:ascii="宋体" w:hAnsi="宋体"/>
          <w:kern w:val="44"/>
        </w:rPr>
        <w:t>（五）音像制品批发、零售、出租、放映单位经营本条例第二十八条规定禁止的音像制品的。</w:t>
      </w:r>
    </w:p>
    <w:p w14:paraId="1F911679">
      <w:pPr>
        <w:jc w:val="left"/>
        <w:rPr>
          <w:rFonts w:ascii="宋体" w:hAnsi="宋体"/>
          <w:kern w:val="44"/>
        </w:rPr>
      </w:pPr>
      <w:r>
        <w:rPr>
          <w:rFonts w:hint="eastAsia" w:ascii="宋体" w:hAnsi="宋体"/>
          <w:kern w:val="44"/>
        </w:rPr>
        <w:t>有前款所列行为构成犯罪的，依法追究其刑事责任。</w:t>
      </w:r>
    </w:p>
    <w:p w14:paraId="25408986">
      <w:pPr>
        <w:ind w:firstLine="422"/>
        <w:jc w:val="left"/>
        <w:rPr>
          <w:rFonts w:ascii="宋体" w:hAnsi="宋体"/>
          <w:kern w:val="44"/>
        </w:rPr>
      </w:pPr>
      <w:r>
        <w:rPr>
          <w:rFonts w:hint="eastAsia" w:ascii="宋体" w:hAnsi="宋体"/>
          <w:b/>
          <w:kern w:val="44"/>
        </w:rPr>
        <w:t>第三十四条</w:t>
      </w:r>
      <w:r>
        <w:rPr>
          <w:rFonts w:hint="eastAsia" w:ascii="宋体" w:hAnsi="宋体"/>
          <w:kern w:val="44"/>
        </w:rPr>
        <w:t>　本条例所规定的处罚由市和区、县音像制品管理部门以及市音像制品管理部门委托的组织实施。吊销许可证的处罚必须经原发证部门批准。</w:t>
      </w:r>
    </w:p>
    <w:p w14:paraId="21E83937">
      <w:pPr>
        <w:ind w:firstLine="422"/>
        <w:jc w:val="left"/>
        <w:rPr>
          <w:rFonts w:ascii="宋体" w:hAnsi="宋体"/>
          <w:kern w:val="44"/>
        </w:rPr>
      </w:pPr>
      <w:r>
        <w:rPr>
          <w:rFonts w:hint="eastAsia" w:ascii="宋体" w:hAnsi="宋体"/>
          <w:b/>
          <w:kern w:val="44"/>
        </w:rPr>
        <w:t>第三十五条</w:t>
      </w:r>
      <w:r>
        <w:rPr>
          <w:rFonts w:hint="eastAsia" w:ascii="宋体" w:hAnsi="宋体"/>
          <w:kern w:val="44"/>
        </w:rPr>
        <w:t>　违反国家有关公安、工商行政管理、版权、海关、邮政、运输等法律、法规规定的，由相关管理部门按照有关法律、法规规定处理。</w:t>
      </w:r>
    </w:p>
    <w:p w14:paraId="06DD7107">
      <w:pPr>
        <w:ind w:firstLine="422"/>
        <w:jc w:val="left"/>
        <w:rPr>
          <w:rFonts w:ascii="宋体" w:hAnsi="宋体"/>
          <w:kern w:val="44"/>
        </w:rPr>
      </w:pPr>
      <w:r>
        <w:rPr>
          <w:rFonts w:hint="eastAsia" w:ascii="宋体" w:hAnsi="宋体"/>
          <w:b/>
          <w:kern w:val="44"/>
        </w:rPr>
        <w:t>第三十六条</w:t>
      </w:r>
      <w:r>
        <w:rPr>
          <w:rFonts w:hint="eastAsia" w:ascii="宋体" w:hAnsi="宋体"/>
          <w:kern w:val="44"/>
        </w:rPr>
        <w:t>　音像制品管理部门的工作人员徇私舞弊、滥用职权、玩忽职守的，视情节轻重给予行政处分；构成犯罪的，依法追究其刑事责任。</w:t>
      </w:r>
    </w:p>
    <w:p w14:paraId="1C737B23">
      <w:pPr>
        <w:jc w:val="left"/>
        <w:rPr>
          <w:rFonts w:ascii="宋体" w:hAnsi="宋体"/>
          <w:kern w:val="44"/>
        </w:rPr>
      </w:pPr>
    </w:p>
    <w:p w14:paraId="76BB62E8">
      <w:pPr>
        <w:ind w:firstLine="0" w:firstLineChars="0"/>
        <w:jc w:val="center"/>
        <w:rPr>
          <w:rFonts w:ascii="宋体" w:hAnsi="宋体"/>
          <w:b/>
          <w:kern w:val="44"/>
          <w:sz w:val="28"/>
        </w:rPr>
      </w:pPr>
      <w:r>
        <w:rPr>
          <w:rFonts w:hint="eastAsia" w:ascii="宋体" w:hAnsi="宋体"/>
          <w:b/>
          <w:kern w:val="44"/>
          <w:sz w:val="28"/>
        </w:rPr>
        <w:t>第六章　附　则</w:t>
      </w:r>
    </w:p>
    <w:p w14:paraId="5B3244C4">
      <w:pPr>
        <w:jc w:val="left"/>
        <w:rPr>
          <w:rFonts w:ascii="宋体" w:hAnsi="宋体"/>
          <w:kern w:val="44"/>
        </w:rPr>
      </w:pPr>
    </w:p>
    <w:p w14:paraId="4C1CD61A">
      <w:pPr>
        <w:ind w:firstLine="422"/>
        <w:jc w:val="left"/>
        <w:rPr>
          <w:rFonts w:ascii="宋体" w:hAnsi="宋体"/>
          <w:kern w:val="44"/>
        </w:rPr>
      </w:pPr>
      <w:r>
        <w:rPr>
          <w:rFonts w:hint="eastAsia" w:ascii="宋体" w:hAnsi="宋体"/>
          <w:b/>
          <w:kern w:val="44"/>
        </w:rPr>
        <w:t>第三十七条</w:t>
      </w:r>
      <w:r>
        <w:rPr>
          <w:rFonts w:hint="eastAsia" w:ascii="宋体" w:hAnsi="宋体"/>
          <w:kern w:val="44"/>
        </w:rPr>
        <w:t>　托运、邮寄音像制品，按照国务院文化、运输行政管理部门的规定办理。</w:t>
      </w:r>
    </w:p>
    <w:p w14:paraId="4E09E06E">
      <w:pPr>
        <w:ind w:firstLine="422"/>
        <w:jc w:val="left"/>
        <w:rPr>
          <w:rFonts w:ascii="宋体" w:hAnsi="宋体"/>
          <w:kern w:val="44"/>
        </w:rPr>
      </w:pPr>
      <w:r>
        <w:rPr>
          <w:rFonts w:hint="eastAsia" w:ascii="宋体" w:hAnsi="宋体"/>
          <w:b/>
          <w:kern w:val="44"/>
        </w:rPr>
        <w:t>第三十八条</w:t>
      </w:r>
      <w:r>
        <w:rPr>
          <w:rFonts w:hint="eastAsia" w:ascii="宋体" w:hAnsi="宋体"/>
          <w:kern w:val="44"/>
        </w:rPr>
        <w:t>　本条例具体应用中的问题，由市广电视管理部门负责解释。</w:t>
      </w:r>
    </w:p>
    <w:p w14:paraId="1EF96983">
      <w:pPr>
        <w:ind w:firstLine="422"/>
        <w:jc w:val="left"/>
        <w:rPr>
          <w:rFonts w:ascii="宋体" w:hAnsi="宋体"/>
          <w:kern w:val="44"/>
        </w:rPr>
      </w:pPr>
      <w:r>
        <w:rPr>
          <w:rFonts w:hint="eastAsia" w:ascii="宋体" w:hAnsi="宋体"/>
          <w:b/>
          <w:kern w:val="44"/>
        </w:rPr>
        <w:t>第三十九条</w:t>
      </w:r>
      <w:r>
        <w:rPr>
          <w:rFonts w:hint="eastAsia" w:ascii="宋体" w:hAnsi="宋体"/>
          <w:kern w:val="44"/>
        </w:rPr>
        <w:t>　本条例自1998年1月1日起施行。《北京市图书报刊》有关音像市场管理的规定、《北京市音像市场管理实施办法》、《北京市录音录像制品出版管理规定》同时废止。</w:t>
      </w:r>
    </w:p>
    <w:p w14:paraId="065A4AC2">
      <w:pPr>
        <w:pStyle w:val="4"/>
        <w:pageBreakBefore/>
        <w:rPr>
          <w:kern w:val="44"/>
        </w:rPr>
      </w:pPr>
      <w:bookmarkStart w:id="1569" w:name="_Toc422471409"/>
      <w:bookmarkStart w:id="1570" w:name="_Toc427651664"/>
      <w:bookmarkStart w:id="1571" w:name="_Toc428780230"/>
      <w:bookmarkStart w:id="1572" w:name="_Toc427652006"/>
      <w:bookmarkStart w:id="1573" w:name="_Toc428781712"/>
      <w:r>
        <w:rPr>
          <w:rFonts w:hint="eastAsia"/>
          <w:kern w:val="44"/>
        </w:rPr>
        <w:t>北京市图书报刊电子</w:t>
      </w:r>
      <w:bookmarkEnd w:id="1569"/>
      <w:bookmarkStart w:id="1574" w:name="_Toc422471410"/>
      <w:r>
        <w:rPr>
          <w:rFonts w:hint="eastAsia"/>
          <w:kern w:val="44"/>
        </w:rPr>
        <w:t>出版物管理条例</w:t>
      </w:r>
      <w:bookmarkEnd w:id="1570"/>
      <w:bookmarkEnd w:id="1571"/>
      <w:bookmarkEnd w:id="1572"/>
      <w:bookmarkEnd w:id="1573"/>
      <w:bookmarkEnd w:id="1574"/>
    </w:p>
    <w:p w14:paraId="3BE32AD9">
      <w:pPr>
        <w:ind w:left="630" w:leftChars="300" w:right="630" w:rightChars="300"/>
        <w:jc w:val="left"/>
        <w:rPr>
          <w:rFonts w:ascii="楷体" w:hAnsi="楷体" w:eastAsia="楷体"/>
          <w:kern w:val="44"/>
        </w:rPr>
      </w:pPr>
      <w:r>
        <w:rPr>
          <w:rFonts w:hint="eastAsia" w:ascii="楷体" w:hAnsi="楷体" w:eastAsia="楷体"/>
          <w:kern w:val="44"/>
        </w:rPr>
        <w:t>（1997年9月5日北京市第十届人民代表大会常务委员会第三十九次会议通过  1997年9月5日北京市人民代表大会常务委员会公告第96号公布  1998年1月1日起施行）</w:t>
      </w:r>
    </w:p>
    <w:p w14:paraId="50DEB2B9">
      <w:pPr>
        <w:spacing w:line="260" w:lineRule="exact"/>
        <w:jc w:val="left"/>
        <w:rPr>
          <w:rFonts w:ascii="宋体" w:hAnsi="宋体"/>
          <w:kern w:val="44"/>
        </w:rPr>
      </w:pPr>
    </w:p>
    <w:p w14:paraId="4DD9731C">
      <w:pPr>
        <w:ind w:firstLine="0" w:firstLineChars="0"/>
        <w:jc w:val="center"/>
        <w:rPr>
          <w:rFonts w:ascii="宋体" w:hAnsi="宋体"/>
          <w:b/>
          <w:kern w:val="44"/>
          <w:sz w:val="28"/>
        </w:rPr>
      </w:pPr>
      <w:r>
        <w:rPr>
          <w:rFonts w:hint="eastAsia" w:ascii="宋体" w:hAnsi="宋体"/>
          <w:b/>
          <w:kern w:val="44"/>
          <w:sz w:val="28"/>
        </w:rPr>
        <w:t>第一章　总　则</w:t>
      </w:r>
    </w:p>
    <w:p w14:paraId="7F19446E">
      <w:pPr>
        <w:spacing w:line="260" w:lineRule="exact"/>
        <w:jc w:val="left"/>
        <w:rPr>
          <w:rFonts w:ascii="宋体" w:hAnsi="宋体"/>
          <w:kern w:val="44"/>
        </w:rPr>
      </w:pPr>
    </w:p>
    <w:p w14:paraId="2E8DA13C">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为了加强对出版活动的管理，发展和繁荣首都的出版事业，保障公民依法行使出版自由的权利，促进社会主义精神文明和物质文明建设，根据国家有关法律、法规，结合本市实际情况，制定本条例。</w:t>
      </w:r>
    </w:p>
    <w:p w14:paraId="0463EE3D">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在本市行政区域内从事出版活动，适用本条例。</w:t>
      </w:r>
    </w:p>
    <w:p w14:paraId="7C05C210">
      <w:pPr>
        <w:jc w:val="left"/>
        <w:rPr>
          <w:rFonts w:ascii="宋体" w:hAnsi="宋体"/>
          <w:kern w:val="44"/>
        </w:rPr>
      </w:pPr>
      <w:r>
        <w:rPr>
          <w:rFonts w:hint="eastAsia" w:ascii="宋体" w:hAnsi="宋体"/>
          <w:kern w:val="44"/>
        </w:rPr>
        <w:t>本条例所称出版物，是指书籍、报纸、期刊、画册、图片、挂历、电子出版物等。</w:t>
      </w:r>
    </w:p>
    <w:p w14:paraId="2CE32AEA">
      <w:pPr>
        <w:jc w:val="left"/>
        <w:rPr>
          <w:rFonts w:ascii="宋体" w:hAnsi="宋体"/>
          <w:kern w:val="44"/>
        </w:rPr>
      </w:pPr>
      <w:r>
        <w:rPr>
          <w:rFonts w:hint="eastAsia" w:ascii="宋体" w:hAnsi="宋体"/>
          <w:kern w:val="44"/>
        </w:rPr>
        <w:t>本条例所称出版活动，包括出版物的出版、印刷或者复制、发行。</w:t>
      </w:r>
    </w:p>
    <w:p w14:paraId="1976D98A">
      <w:pPr>
        <w:ind w:firstLine="422"/>
        <w:jc w:val="left"/>
        <w:rPr>
          <w:rFonts w:ascii="宋体" w:hAnsi="宋体"/>
          <w:kern w:val="44"/>
        </w:rPr>
      </w:pPr>
      <w:r>
        <w:rPr>
          <w:rFonts w:hint="eastAsia" w:ascii="宋体" w:hAnsi="宋体"/>
          <w:b/>
          <w:kern w:val="44"/>
        </w:rPr>
        <w:t>第三条</w:t>
      </w:r>
      <w:r>
        <w:rPr>
          <w:rFonts w:hint="eastAsia" w:ascii="宋体" w:hAnsi="宋体"/>
          <w:kern w:val="44"/>
        </w:rPr>
        <w:t>　出版事业必须坚持为人民服务、为社会主义服务的方向，坚持以马克思列宁主义、毛泽东思想和建设有中国特色社会主义理论为指导，传播和积累一切有益于提高民族素质、有益于经济发展和社会全面进步的科学技术和文化知识，弘扬民族优秀文化、促进国际文化交流，丰富和提高人民的精神文化生活。</w:t>
      </w:r>
    </w:p>
    <w:p w14:paraId="6B25E807">
      <w:pPr>
        <w:ind w:firstLine="422"/>
        <w:jc w:val="left"/>
        <w:rPr>
          <w:rFonts w:ascii="宋体" w:hAnsi="宋体"/>
          <w:kern w:val="44"/>
        </w:rPr>
      </w:pPr>
      <w:r>
        <w:rPr>
          <w:rFonts w:hint="eastAsia" w:ascii="宋体" w:hAnsi="宋体"/>
          <w:b/>
          <w:kern w:val="44"/>
        </w:rPr>
        <w:t>第四条</w:t>
      </w:r>
      <w:r>
        <w:rPr>
          <w:rFonts w:hint="eastAsia" w:ascii="宋体" w:hAnsi="宋体"/>
          <w:kern w:val="44"/>
        </w:rPr>
        <w:t>　从事出版活动，应当将社会效益放在首位，实现社会效益与经济效益的最佳结合。</w:t>
      </w:r>
    </w:p>
    <w:p w14:paraId="1F081EC6">
      <w:pPr>
        <w:ind w:firstLine="422"/>
        <w:jc w:val="left"/>
        <w:rPr>
          <w:rFonts w:ascii="宋体" w:hAnsi="宋体"/>
          <w:kern w:val="44"/>
        </w:rPr>
      </w:pPr>
      <w:r>
        <w:rPr>
          <w:rFonts w:hint="eastAsia" w:ascii="宋体" w:hAnsi="宋体"/>
          <w:b/>
          <w:kern w:val="44"/>
        </w:rPr>
        <w:t>第五条</w:t>
      </w:r>
      <w:r>
        <w:rPr>
          <w:rFonts w:hint="eastAsia" w:ascii="宋体" w:hAnsi="宋体"/>
          <w:kern w:val="44"/>
        </w:rPr>
        <w:t>　禁止出版、印刷或者复制、发行有下列内容的出版物：</w:t>
      </w:r>
    </w:p>
    <w:p w14:paraId="419F6FB7">
      <w:pPr>
        <w:jc w:val="left"/>
        <w:rPr>
          <w:rFonts w:ascii="宋体" w:hAnsi="宋体"/>
          <w:kern w:val="44"/>
        </w:rPr>
      </w:pPr>
      <w:r>
        <w:rPr>
          <w:rFonts w:hint="eastAsia" w:ascii="宋体" w:hAnsi="宋体"/>
          <w:kern w:val="44"/>
        </w:rPr>
        <w:t>（一）反对宪法确定的基本原则的；</w:t>
      </w:r>
    </w:p>
    <w:p w14:paraId="404C139C">
      <w:pPr>
        <w:jc w:val="left"/>
        <w:rPr>
          <w:rFonts w:ascii="宋体" w:hAnsi="宋体"/>
          <w:kern w:val="44"/>
        </w:rPr>
      </w:pPr>
      <w:r>
        <w:rPr>
          <w:rFonts w:hint="eastAsia" w:ascii="宋体" w:hAnsi="宋体"/>
          <w:kern w:val="44"/>
        </w:rPr>
        <w:t>（二）危害国家的统一、主权和领土完整的；</w:t>
      </w:r>
    </w:p>
    <w:p w14:paraId="231DC3D8">
      <w:pPr>
        <w:jc w:val="left"/>
        <w:rPr>
          <w:rFonts w:ascii="宋体" w:hAnsi="宋体"/>
          <w:kern w:val="44"/>
        </w:rPr>
      </w:pPr>
      <w:r>
        <w:rPr>
          <w:rFonts w:hint="eastAsia" w:ascii="宋体" w:hAnsi="宋体"/>
          <w:kern w:val="44"/>
        </w:rPr>
        <w:t>（三）危害国家的安全、荣誉和利益的；</w:t>
      </w:r>
    </w:p>
    <w:p w14:paraId="3389987D">
      <w:pPr>
        <w:jc w:val="left"/>
        <w:rPr>
          <w:rFonts w:ascii="宋体" w:hAnsi="宋体"/>
          <w:kern w:val="44"/>
        </w:rPr>
      </w:pPr>
      <w:r>
        <w:rPr>
          <w:rFonts w:hint="eastAsia" w:ascii="宋体" w:hAnsi="宋体"/>
          <w:kern w:val="44"/>
        </w:rPr>
        <w:t>（四）煽动民族分裂，侵害少数民族风俗习惯，破坏民族团结的；</w:t>
      </w:r>
    </w:p>
    <w:p w14:paraId="7BF005A2">
      <w:pPr>
        <w:jc w:val="left"/>
        <w:rPr>
          <w:rFonts w:ascii="宋体" w:hAnsi="宋体"/>
          <w:kern w:val="44"/>
        </w:rPr>
      </w:pPr>
      <w:r>
        <w:rPr>
          <w:rFonts w:hint="eastAsia" w:ascii="宋体" w:hAnsi="宋体"/>
          <w:kern w:val="44"/>
        </w:rPr>
        <w:t>（五）泄露国家秘密的；</w:t>
      </w:r>
    </w:p>
    <w:p w14:paraId="7224F1A2">
      <w:pPr>
        <w:jc w:val="left"/>
        <w:rPr>
          <w:rFonts w:ascii="宋体" w:hAnsi="宋体"/>
          <w:kern w:val="44"/>
        </w:rPr>
      </w:pPr>
      <w:r>
        <w:rPr>
          <w:rFonts w:hint="eastAsia" w:ascii="宋体" w:hAnsi="宋体"/>
          <w:kern w:val="44"/>
        </w:rPr>
        <w:t>（六）宣扬淫秽、迷信或者渲染暴力，危害社会公德和民族优秀文化传统的；</w:t>
      </w:r>
    </w:p>
    <w:p w14:paraId="45DF60D6">
      <w:pPr>
        <w:jc w:val="left"/>
        <w:rPr>
          <w:rFonts w:ascii="宋体" w:hAnsi="宋体"/>
          <w:kern w:val="44"/>
        </w:rPr>
      </w:pPr>
      <w:r>
        <w:rPr>
          <w:rFonts w:hint="eastAsia" w:ascii="宋体" w:hAnsi="宋体"/>
          <w:kern w:val="44"/>
        </w:rPr>
        <w:t>（七）侮辱或者诽谤他人的；</w:t>
      </w:r>
    </w:p>
    <w:p w14:paraId="6C0FFEAE">
      <w:pPr>
        <w:jc w:val="left"/>
        <w:rPr>
          <w:rFonts w:ascii="宋体" w:hAnsi="宋体"/>
          <w:kern w:val="44"/>
        </w:rPr>
      </w:pPr>
      <w:r>
        <w:rPr>
          <w:rFonts w:hint="eastAsia" w:ascii="宋体" w:hAnsi="宋体"/>
          <w:kern w:val="44"/>
        </w:rPr>
        <w:t>（八）法律、法规规定禁止的其他内容的。</w:t>
      </w:r>
    </w:p>
    <w:p w14:paraId="5FD6EDC3">
      <w:pPr>
        <w:ind w:firstLine="422"/>
        <w:jc w:val="left"/>
        <w:rPr>
          <w:rFonts w:ascii="宋体" w:hAnsi="宋体"/>
          <w:kern w:val="44"/>
        </w:rPr>
      </w:pPr>
      <w:r>
        <w:rPr>
          <w:rFonts w:hint="eastAsia" w:ascii="宋体" w:hAnsi="宋体"/>
          <w:b/>
          <w:kern w:val="44"/>
        </w:rPr>
        <w:t>第六条</w:t>
      </w:r>
      <w:r>
        <w:rPr>
          <w:rFonts w:hint="eastAsia" w:ascii="宋体" w:hAnsi="宋体"/>
          <w:kern w:val="44"/>
        </w:rPr>
        <w:t>　以未成年人为对象的出版物不得含有诱发未成年人模仿违反社会公德的行为和违法犯罪的行为的内容，不得含有恐怖、残酷以及其他妨害未成年人身心健康的内容。</w:t>
      </w:r>
    </w:p>
    <w:p w14:paraId="2EEB797E">
      <w:pPr>
        <w:ind w:firstLine="422"/>
        <w:jc w:val="left"/>
        <w:rPr>
          <w:rFonts w:ascii="宋体" w:hAnsi="宋体"/>
          <w:kern w:val="44"/>
        </w:rPr>
      </w:pPr>
      <w:r>
        <w:rPr>
          <w:rFonts w:hint="eastAsia" w:ascii="宋体" w:hAnsi="宋体"/>
          <w:b/>
          <w:kern w:val="44"/>
        </w:rPr>
        <w:t>第七条</w:t>
      </w:r>
      <w:r>
        <w:rPr>
          <w:rFonts w:hint="eastAsia" w:ascii="宋体" w:hAnsi="宋体"/>
          <w:kern w:val="44"/>
        </w:rPr>
        <w:t>　本市依照有关法律、法规保护出版物著作权人和出版物经营者的合法权益。</w:t>
      </w:r>
    </w:p>
    <w:p w14:paraId="6E8002E6">
      <w:pPr>
        <w:ind w:firstLine="422"/>
        <w:jc w:val="left"/>
        <w:rPr>
          <w:rFonts w:ascii="宋体" w:hAnsi="宋体"/>
          <w:kern w:val="44"/>
        </w:rPr>
      </w:pPr>
      <w:r>
        <w:rPr>
          <w:rFonts w:hint="eastAsia" w:ascii="宋体" w:hAnsi="宋体"/>
          <w:b/>
          <w:kern w:val="44"/>
        </w:rPr>
        <w:t>第八条</w:t>
      </w:r>
      <w:r>
        <w:rPr>
          <w:rFonts w:hint="eastAsia" w:ascii="宋体" w:hAnsi="宋体"/>
          <w:kern w:val="44"/>
        </w:rPr>
        <w:t>　市人民政府应当制定有利于出版事业健康发展的政策，支持鼓励优秀出版物的出版、印刷或者复制、发行。</w:t>
      </w:r>
    </w:p>
    <w:p w14:paraId="542C1FD3">
      <w:pPr>
        <w:ind w:firstLine="422"/>
        <w:jc w:val="left"/>
        <w:rPr>
          <w:rFonts w:ascii="宋体" w:hAnsi="宋体"/>
          <w:kern w:val="44"/>
        </w:rPr>
      </w:pPr>
      <w:r>
        <w:rPr>
          <w:rFonts w:hint="eastAsia" w:ascii="宋体" w:hAnsi="宋体"/>
          <w:b/>
          <w:kern w:val="44"/>
        </w:rPr>
        <w:t>第九条</w:t>
      </w:r>
      <w:r>
        <w:rPr>
          <w:rFonts w:hint="eastAsia" w:ascii="宋体" w:hAnsi="宋体"/>
          <w:kern w:val="44"/>
        </w:rPr>
        <w:t>　本市鼓励、支持、保护一切组织和个人对违反本条例的行为进行监督，对检举、揭发违法行为有功的组织和个人，由有关部门给予奖励。</w:t>
      </w:r>
    </w:p>
    <w:p w14:paraId="6CBE0973">
      <w:pPr>
        <w:spacing w:line="260" w:lineRule="exact"/>
        <w:jc w:val="left"/>
        <w:rPr>
          <w:rFonts w:ascii="宋体" w:hAnsi="宋体"/>
          <w:kern w:val="44"/>
        </w:rPr>
      </w:pPr>
    </w:p>
    <w:p w14:paraId="3A34F348">
      <w:pPr>
        <w:ind w:firstLine="0" w:firstLineChars="0"/>
        <w:jc w:val="center"/>
        <w:rPr>
          <w:rFonts w:ascii="宋体" w:hAnsi="宋体"/>
          <w:b/>
          <w:kern w:val="44"/>
          <w:sz w:val="28"/>
        </w:rPr>
      </w:pPr>
      <w:r>
        <w:rPr>
          <w:rFonts w:hint="eastAsia" w:ascii="宋体" w:hAnsi="宋体"/>
          <w:b/>
          <w:kern w:val="44"/>
          <w:sz w:val="28"/>
        </w:rPr>
        <w:t>第二章　管理机构及其职责</w:t>
      </w:r>
    </w:p>
    <w:p w14:paraId="2E3420FF">
      <w:pPr>
        <w:spacing w:line="260" w:lineRule="exact"/>
        <w:jc w:val="left"/>
        <w:rPr>
          <w:rFonts w:ascii="宋体" w:hAnsi="宋体"/>
          <w:kern w:val="44"/>
        </w:rPr>
      </w:pPr>
    </w:p>
    <w:p w14:paraId="357D6EAF">
      <w:pPr>
        <w:ind w:firstLine="422"/>
        <w:jc w:val="left"/>
        <w:rPr>
          <w:rFonts w:ascii="宋体" w:hAnsi="宋体"/>
          <w:kern w:val="44"/>
        </w:rPr>
      </w:pPr>
      <w:r>
        <w:rPr>
          <w:rFonts w:hint="eastAsia" w:ascii="宋体" w:hAnsi="宋体"/>
          <w:b/>
          <w:kern w:val="44"/>
        </w:rPr>
        <w:t>第十条</w:t>
      </w:r>
      <w:r>
        <w:rPr>
          <w:rFonts w:hint="eastAsia" w:ascii="宋体" w:hAnsi="宋体"/>
          <w:kern w:val="44"/>
        </w:rPr>
        <w:t>　市新闻出版行政部门对本市的出版活动实施监督管理，负责制定本市出版事业发展规划，确定本市出版物出版、印刷或者复制、发行单位的总量、布局和结构，对区、县新闻出版行政部门的工作进行指导。</w:t>
      </w:r>
    </w:p>
    <w:p w14:paraId="0D6EAF2C">
      <w:pPr>
        <w:jc w:val="left"/>
        <w:rPr>
          <w:rFonts w:ascii="宋体" w:hAnsi="宋体"/>
          <w:kern w:val="44"/>
        </w:rPr>
      </w:pPr>
      <w:r>
        <w:rPr>
          <w:rFonts w:hint="eastAsia" w:ascii="宋体" w:hAnsi="宋体"/>
          <w:kern w:val="44"/>
        </w:rPr>
        <w:t>区、县新闻出版行政部门依照法律、行政法规和本条例的规定对本行政区域内的出版活动进行日常管理。</w:t>
      </w:r>
    </w:p>
    <w:p w14:paraId="78D7CF10">
      <w:pPr>
        <w:ind w:firstLine="422"/>
        <w:jc w:val="left"/>
        <w:rPr>
          <w:rFonts w:ascii="宋体" w:hAnsi="宋体"/>
          <w:kern w:val="44"/>
        </w:rPr>
      </w:pPr>
      <w:r>
        <w:rPr>
          <w:rFonts w:hint="eastAsia" w:ascii="宋体" w:hAnsi="宋体"/>
          <w:b/>
          <w:kern w:val="44"/>
        </w:rPr>
        <w:t>第十一条</w:t>
      </w:r>
      <w:r>
        <w:rPr>
          <w:rFonts w:hint="eastAsia" w:ascii="宋体" w:hAnsi="宋体"/>
          <w:kern w:val="44"/>
        </w:rPr>
        <w:t>　公安、工商行政管理、广播电视、海关等部门应当在各自职责范围内依法对出版活动进行监督管理。</w:t>
      </w:r>
    </w:p>
    <w:p w14:paraId="3A9FF87B">
      <w:pPr>
        <w:jc w:val="left"/>
        <w:rPr>
          <w:rFonts w:ascii="宋体" w:hAnsi="宋体"/>
          <w:kern w:val="44"/>
        </w:rPr>
      </w:pPr>
      <w:r>
        <w:rPr>
          <w:rFonts w:hint="eastAsia" w:ascii="宋体" w:hAnsi="宋体"/>
          <w:kern w:val="44"/>
        </w:rPr>
        <w:t>邮政、铁路、民航、交通等部门应当协助新闻出版行政部门对出版物的发行活动进行监督管理。</w:t>
      </w:r>
    </w:p>
    <w:p w14:paraId="498E8510">
      <w:pPr>
        <w:ind w:firstLine="422"/>
        <w:jc w:val="left"/>
        <w:rPr>
          <w:rFonts w:ascii="宋体" w:hAnsi="宋体"/>
          <w:kern w:val="44"/>
        </w:rPr>
      </w:pPr>
      <w:r>
        <w:rPr>
          <w:rFonts w:hint="eastAsia" w:ascii="宋体" w:hAnsi="宋体"/>
          <w:b/>
          <w:kern w:val="44"/>
        </w:rPr>
        <w:t>第十二条</w:t>
      </w:r>
      <w:r>
        <w:rPr>
          <w:rFonts w:hint="eastAsia" w:ascii="宋体" w:hAnsi="宋体"/>
          <w:kern w:val="44"/>
        </w:rPr>
        <w:t>　市新闻出版行政部门指导本市出版行业的社会团体按照其章程，实行自律管理。</w:t>
      </w:r>
    </w:p>
    <w:p w14:paraId="0666E5C5">
      <w:pPr>
        <w:ind w:firstLine="422"/>
        <w:jc w:val="left"/>
        <w:rPr>
          <w:rFonts w:ascii="宋体" w:hAnsi="宋体"/>
          <w:kern w:val="44"/>
        </w:rPr>
      </w:pPr>
      <w:r>
        <w:rPr>
          <w:rFonts w:hint="eastAsia" w:ascii="宋体" w:hAnsi="宋体"/>
          <w:b/>
          <w:kern w:val="44"/>
        </w:rPr>
        <w:t>第十三条</w:t>
      </w:r>
      <w:r>
        <w:rPr>
          <w:rFonts w:hint="eastAsia" w:ascii="宋体" w:hAnsi="宋体"/>
          <w:kern w:val="44"/>
        </w:rPr>
        <w:t>　新闻出版行政部门在检查活动中，对涉嫌违反本条例第五条、第六条或者无证经营的行为必须立即予以制止的，可以对行为人的出版物以及相关的财物采取暂扣、封存等措施，并应当于20日内作出处理决定。</w:t>
      </w:r>
    </w:p>
    <w:p w14:paraId="6746C8A1">
      <w:pPr>
        <w:jc w:val="left"/>
        <w:rPr>
          <w:rFonts w:ascii="宋体" w:hAnsi="宋体"/>
          <w:kern w:val="44"/>
        </w:rPr>
      </w:pPr>
    </w:p>
    <w:p w14:paraId="738E6D66">
      <w:pPr>
        <w:ind w:firstLine="0" w:firstLineChars="0"/>
        <w:jc w:val="center"/>
        <w:rPr>
          <w:rFonts w:ascii="宋体" w:hAnsi="宋体"/>
          <w:b/>
          <w:kern w:val="44"/>
          <w:sz w:val="28"/>
        </w:rPr>
      </w:pPr>
      <w:r>
        <w:rPr>
          <w:rFonts w:hint="eastAsia" w:ascii="宋体" w:hAnsi="宋体"/>
          <w:b/>
          <w:kern w:val="44"/>
          <w:sz w:val="28"/>
        </w:rPr>
        <w:t>第三章　出版管理</w:t>
      </w:r>
    </w:p>
    <w:p w14:paraId="7DACCDD1">
      <w:pPr>
        <w:jc w:val="left"/>
        <w:rPr>
          <w:rFonts w:ascii="宋体" w:hAnsi="宋体"/>
          <w:kern w:val="44"/>
        </w:rPr>
      </w:pPr>
    </w:p>
    <w:p w14:paraId="1E54913A">
      <w:pPr>
        <w:ind w:firstLine="422"/>
        <w:jc w:val="left"/>
        <w:rPr>
          <w:rFonts w:ascii="宋体" w:hAnsi="宋体"/>
          <w:kern w:val="44"/>
        </w:rPr>
      </w:pPr>
      <w:r>
        <w:rPr>
          <w:rFonts w:hint="eastAsia" w:ascii="宋体" w:hAnsi="宋体"/>
          <w:b/>
          <w:kern w:val="44"/>
        </w:rPr>
        <w:t>第十四条</w:t>
      </w:r>
      <w:r>
        <w:rPr>
          <w:rFonts w:hint="eastAsia" w:ascii="宋体" w:hAnsi="宋体"/>
          <w:kern w:val="44"/>
        </w:rPr>
        <w:t>　出版物应当由出版单位出版。</w:t>
      </w:r>
    </w:p>
    <w:p w14:paraId="784749B8">
      <w:pPr>
        <w:jc w:val="left"/>
        <w:rPr>
          <w:rFonts w:ascii="宋体" w:hAnsi="宋体"/>
          <w:kern w:val="44"/>
        </w:rPr>
      </w:pPr>
      <w:r>
        <w:rPr>
          <w:rFonts w:hint="eastAsia" w:ascii="宋体" w:hAnsi="宋体"/>
          <w:kern w:val="44"/>
        </w:rPr>
        <w:t>申请设立出版单位，应当按照国家有关规定办理。</w:t>
      </w:r>
    </w:p>
    <w:p w14:paraId="4D37AAF5">
      <w:pPr>
        <w:jc w:val="left"/>
        <w:rPr>
          <w:rFonts w:ascii="宋体" w:hAnsi="宋体"/>
          <w:kern w:val="44"/>
        </w:rPr>
      </w:pPr>
      <w:r>
        <w:rPr>
          <w:rFonts w:hint="eastAsia" w:ascii="宋体" w:hAnsi="宋体"/>
          <w:kern w:val="44"/>
        </w:rPr>
        <w:t>出版单位变更登记事项的，必须到原批准、登记机关办理重新审批或者变更手续。</w:t>
      </w:r>
    </w:p>
    <w:p w14:paraId="54138D47">
      <w:pPr>
        <w:jc w:val="left"/>
        <w:rPr>
          <w:rFonts w:ascii="宋体" w:hAnsi="宋体"/>
          <w:kern w:val="44"/>
        </w:rPr>
      </w:pPr>
      <w:r>
        <w:rPr>
          <w:rFonts w:hint="eastAsia" w:ascii="宋体" w:hAnsi="宋体"/>
          <w:kern w:val="44"/>
        </w:rPr>
        <w:t>出版单位应当按照规定的时间接受新闻出版行政部门的年检，未按照规定接受年检或者年检不合格的，由新闻出版行政部门注销其出版许可证。</w:t>
      </w:r>
    </w:p>
    <w:p w14:paraId="348D44C0">
      <w:pPr>
        <w:ind w:firstLine="422"/>
        <w:jc w:val="left"/>
        <w:rPr>
          <w:rFonts w:ascii="宋体" w:hAnsi="宋体"/>
          <w:kern w:val="44"/>
        </w:rPr>
      </w:pPr>
      <w:r>
        <w:rPr>
          <w:rFonts w:hint="eastAsia" w:ascii="宋体" w:hAnsi="宋体"/>
          <w:b/>
          <w:kern w:val="44"/>
        </w:rPr>
        <w:t>第十五条</w:t>
      </w:r>
      <w:r>
        <w:rPr>
          <w:rFonts w:hint="eastAsia" w:ascii="宋体" w:hAnsi="宋体"/>
          <w:kern w:val="44"/>
        </w:rPr>
        <w:t>　出版单位未经批准不得设立分支机构。</w:t>
      </w:r>
    </w:p>
    <w:p w14:paraId="033B6A44">
      <w:pPr>
        <w:jc w:val="left"/>
        <w:rPr>
          <w:rFonts w:ascii="宋体" w:hAnsi="宋体"/>
          <w:kern w:val="44"/>
        </w:rPr>
      </w:pPr>
      <w:r>
        <w:rPr>
          <w:rFonts w:hint="eastAsia" w:ascii="宋体" w:hAnsi="宋体"/>
          <w:kern w:val="44"/>
        </w:rPr>
        <w:t>申请设立涉外出版机构，按照国家有关规定办理。</w:t>
      </w:r>
    </w:p>
    <w:p w14:paraId="58D420CD">
      <w:pPr>
        <w:ind w:firstLine="422"/>
        <w:jc w:val="left"/>
        <w:rPr>
          <w:rFonts w:ascii="宋体" w:hAnsi="宋体"/>
          <w:kern w:val="44"/>
        </w:rPr>
      </w:pPr>
      <w:r>
        <w:rPr>
          <w:rFonts w:hint="eastAsia" w:ascii="宋体" w:hAnsi="宋体"/>
          <w:b/>
          <w:kern w:val="44"/>
        </w:rPr>
        <w:t>第十六条</w:t>
      </w:r>
      <w:r>
        <w:rPr>
          <w:rFonts w:hint="eastAsia" w:ascii="宋体" w:hAnsi="宋体"/>
          <w:kern w:val="44"/>
        </w:rPr>
        <w:t>　出版单位的名称、书号、刊号或者版号不得买卖或者以其他形式转让。</w:t>
      </w:r>
    </w:p>
    <w:p w14:paraId="501E9375">
      <w:pPr>
        <w:jc w:val="left"/>
        <w:rPr>
          <w:rFonts w:ascii="宋体" w:hAnsi="宋体"/>
          <w:kern w:val="44"/>
        </w:rPr>
      </w:pPr>
      <w:r>
        <w:rPr>
          <w:rFonts w:hint="eastAsia" w:ascii="宋体" w:hAnsi="宋体"/>
          <w:kern w:val="44"/>
        </w:rPr>
        <w:t>出版单位的名称、刊号不得出租。</w:t>
      </w:r>
    </w:p>
    <w:p w14:paraId="58C79C9D">
      <w:pPr>
        <w:ind w:firstLine="422"/>
        <w:jc w:val="left"/>
        <w:rPr>
          <w:rFonts w:ascii="宋体" w:hAnsi="宋体"/>
          <w:kern w:val="44"/>
        </w:rPr>
      </w:pPr>
      <w:r>
        <w:rPr>
          <w:rFonts w:hint="eastAsia" w:ascii="宋体" w:hAnsi="宋体"/>
          <w:b/>
          <w:kern w:val="44"/>
        </w:rPr>
        <w:t>第十七条</w:t>
      </w:r>
      <w:r>
        <w:rPr>
          <w:rFonts w:hint="eastAsia" w:ascii="宋体" w:hAnsi="宋体"/>
          <w:kern w:val="44"/>
        </w:rPr>
        <w:t>　出版物必须按照国家的有关规定载明有关作者、出版者、印刷或者复制者、发行者的名称、地址、书号、刊号者版号、著作权授权登记号以及出版日期、刊期等有关事项。</w:t>
      </w:r>
    </w:p>
    <w:p w14:paraId="55AB41CC">
      <w:pPr>
        <w:jc w:val="left"/>
        <w:rPr>
          <w:rFonts w:ascii="宋体" w:hAnsi="宋体"/>
          <w:kern w:val="44"/>
        </w:rPr>
      </w:pPr>
      <w:r>
        <w:rPr>
          <w:rFonts w:hint="eastAsia" w:ascii="宋体" w:hAnsi="宋体"/>
          <w:kern w:val="44"/>
        </w:rPr>
        <w:t>出版物的规格、开本、版式、装帧、校对等必须符合国家标准和规范要求。</w:t>
      </w:r>
    </w:p>
    <w:p w14:paraId="0C95F62F">
      <w:pPr>
        <w:ind w:firstLine="422"/>
        <w:jc w:val="left"/>
        <w:rPr>
          <w:rFonts w:ascii="宋体" w:hAnsi="宋体"/>
          <w:kern w:val="44"/>
        </w:rPr>
      </w:pPr>
      <w:r>
        <w:rPr>
          <w:rFonts w:hint="eastAsia" w:ascii="宋体" w:hAnsi="宋体"/>
          <w:b/>
          <w:kern w:val="44"/>
        </w:rPr>
        <w:t>第十八条</w:t>
      </w:r>
      <w:r>
        <w:rPr>
          <w:rFonts w:hint="eastAsia" w:ascii="宋体" w:hAnsi="宋体"/>
          <w:kern w:val="44"/>
        </w:rPr>
        <w:t>　出版单位应当于出版物发行前向市新闻出版行政部门免费送交样本（品）。</w:t>
      </w:r>
    </w:p>
    <w:p w14:paraId="2AD78C0A">
      <w:pPr>
        <w:spacing w:line="300" w:lineRule="exact"/>
        <w:jc w:val="left"/>
        <w:rPr>
          <w:rFonts w:ascii="宋体" w:hAnsi="宋体"/>
          <w:kern w:val="44"/>
        </w:rPr>
      </w:pPr>
    </w:p>
    <w:p w14:paraId="093BDE5E">
      <w:pPr>
        <w:ind w:firstLine="0" w:firstLineChars="0"/>
        <w:jc w:val="center"/>
        <w:rPr>
          <w:rFonts w:ascii="宋体" w:hAnsi="宋体"/>
          <w:b/>
          <w:kern w:val="44"/>
          <w:sz w:val="28"/>
        </w:rPr>
      </w:pPr>
      <w:r>
        <w:rPr>
          <w:rFonts w:hint="eastAsia" w:ascii="宋体" w:hAnsi="宋体"/>
          <w:b/>
          <w:kern w:val="44"/>
          <w:sz w:val="28"/>
        </w:rPr>
        <w:t>第四章　印刷或者复制管理</w:t>
      </w:r>
    </w:p>
    <w:p w14:paraId="0C73459A">
      <w:pPr>
        <w:spacing w:line="300" w:lineRule="exact"/>
        <w:jc w:val="left"/>
        <w:rPr>
          <w:rFonts w:ascii="宋体" w:hAnsi="宋体"/>
          <w:kern w:val="44"/>
        </w:rPr>
      </w:pPr>
    </w:p>
    <w:p w14:paraId="04422224">
      <w:pPr>
        <w:ind w:firstLine="422"/>
        <w:jc w:val="left"/>
        <w:rPr>
          <w:rFonts w:ascii="宋体" w:hAnsi="宋体"/>
          <w:kern w:val="44"/>
        </w:rPr>
      </w:pPr>
      <w:r>
        <w:rPr>
          <w:rFonts w:hint="eastAsia" w:ascii="宋体" w:hAnsi="宋体"/>
          <w:b/>
          <w:kern w:val="44"/>
        </w:rPr>
        <w:t>第十九条</w:t>
      </w:r>
      <w:r>
        <w:rPr>
          <w:rFonts w:hint="eastAsia" w:ascii="宋体" w:hAnsi="宋体"/>
          <w:kern w:val="44"/>
        </w:rPr>
        <w:t>　设立图书、报刊印刷单位，应当向市新闻出版行政部门提出申请，经审核批准，取得出版物印制许可证，并持证向公安部门申请，经核准，取得特种行业许可证后，持出版物印制许可证和特种行业许可证向工商行政管理部门申请注册登记，取得营业执照后，方可印制出版物。</w:t>
      </w:r>
    </w:p>
    <w:p w14:paraId="386C7FF2">
      <w:pPr>
        <w:jc w:val="left"/>
        <w:rPr>
          <w:rFonts w:ascii="宋体" w:hAnsi="宋体"/>
          <w:kern w:val="44"/>
        </w:rPr>
      </w:pPr>
      <w:r>
        <w:rPr>
          <w:rFonts w:hint="eastAsia" w:ascii="宋体" w:hAnsi="宋体"/>
          <w:kern w:val="44"/>
        </w:rPr>
        <w:t>设立电子出版物复制单位，由申请单位的上级主管部门报市新闻出版行政部门；市新闻出版行政部门依照国家规定审核同意后，转报国务院新闻出版行政部门审批。</w:t>
      </w:r>
    </w:p>
    <w:p w14:paraId="7A1CE965">
      <w:pPr>
        <w:jc w:val="left"/>
        <w:rPr>
          <w:rFonts w:ascii="宋体" w:hAnsi="宋体"/>
          <w:kern w:val="44"/>
        </w:rPr>
      </w:pPr>
      <w:r>
        <w:rPr>
          <w:rFonts w:hint="eastAsia" w:ascii="宋体" w:hAnsi="宋体"/>
          <w:kern w:val="44"/>
        </w:rPr>
        <w:t>出版物印刷或者复制单位应当按照规定的时间接受新闻出版行政部门的年检；未按照规定接受年检或者年检不合格的，由新闻出版行政部门注销其出版物印刷或者复制许可证。</w:t>
      </w:r>
    </w:p>
    <w:p w14:paraId="3DEAC11C">
      <w:pPr>
        <w:ind w:firstLine="422"/>
        <w:jc w:val="left"/>
        <w:rPr>
          <w:rFonts w:ascii="宋体" w:hAnsi="宋体"/>
          <w:kern w:val="44"/>
        </w:rPr>
      </w:pPr>
      <w:r>
        <w:rPr>
          <w:rFonts w:hint="eastAsia" w:ascii="宋体" w:hAnsi="宋体"/>
          <w:b/>
          <w:kern w:val="44"/>
        </w:rPr>
        <w:t>第二十条</w:t>
      </w:r>
      <w:r>
        <w:rPr>
          <w:rFonts w:hint="eastAsia" w:ascii="宋体" w:hAnsi="宋体"/>
          <w:kern w:val="44"/>
        </w:rPr>
        <w:t>　设立印刷出版物的中外合资经营企业、中外合作经营企业应当经市新闻出版行政部门同意，并报国家新闻出版行政部门审核批准后，依法办理其他手续。</w:t>
      </w:r>
    </w:p>
    <w:p w14:paraId="6B9AD265">
      <w:pPr>
        <w:ind w:firstLine="422"/>
        <w:jc w:val="left"/>
        <w:rPr>
          <w:rFonts w:ascii="宋体" w:hAnsi="宋体"/>
          <w:kern w:val="44"/>
        </w:rPr>
      </w:pPr>
      <w:r>
        <w:rPr>
          <w:rFonts w:hint="eastAsia" w:ascii="宋体" w:hAnsi="宋体"/>
          <w:b/>
          <w:kern w:val="44"/>
        </w:rPr>
        <w:t>第二十一条</w:t>
      </w:r>
      <w:r>
        <w:rPr>
          <w:rFonts w:hint="eastAsia" w:ascii="宋体" w:hAnsi="宋体"/>
          <w:kern w:val="44"/>
        </w:rPr>
        <w:t>　承接印刷或者复制出版物的，必须验证并收存国家规定的印刷或者复制委托证明；不得盗印、盗制出版物。</w:t>
      </w:r>
    </w:p>
    <w:p w14:paraId="4B344DCB">
      <w:pPr>
        <w:jc w:val="left"/>
        <w:rPr>
          <w:rFonts w:ascii="宋体" w:hAnsi="宋体"/>
          <w:kern w:val="44"/>
        </w:rPr>
      </w:pPr>
    </w:p>
    <w:p w14:paraId="7C644F20">
      <w:pPr>
        <w:ind w:firstLine="0" w:firstLineChars="0"/>
        <w:jc w:val="center"/>
        <w:rPr>
          <w:rFonts w:ascii="宋体" w:hAnsi="宋体"/>
          <w:b/>
          <w:kern w:val="44"/>
          <w:sz w:val="28"/>
        </w:rPr>
      </w:pPr>
      <w:r>
        <w:rPr>
          <w:rFonts w:hint="eastAsia" w:ascii="宋体" w:hAnsi="宋体"/>
          <w:b/>
          <w:kern w:val="44"/>
          <w:sz w:val="28"/>
        </w:rPr>
        <w:t>第五章　发行管理</w:t>
      </w:r>
    </w:p>
    <w:p w14:paraId="01F3CD2C">
      <w:pPr>
        <w:jc w:val="left"/>
        <w:rPr>
          <w:rFonts w:ascii="宋体" w:hAnsi="宋体"/>
          <w:kern w:val="44"/>
        </w:rPr>
      </w:pPr>
    </w:p>
    <w:p w14:paraId="36848B56">
      <w:pPr>
        <w:ind w:firstLine="422"/>
        <w:jc w:val="left"/>
        <w:rPr>
          <w:rFonts w:ascii="宋体" w:hAnsi="宋体"/>
          <w:kern w:val="44"/>
        </w:rPr>
      </w:pPr>
      <w:r>
        <w:rPr>
          <w:rFonts w:hint="eastAsia" w:ascii="宋体" w:hAnsi="宋体"/>
          <w:b/>
          <w:kern w:val="44"/>
        </w:rPr>
        <w:t>第二十二条</w:t>
      </w:r>
      <w:r>
        <w:rPr>
          <w:rFonts w:hint="eastAsia" w:ascii="宋体" w:hAnsi="宋体"/>
          <w:kern w:val="44"/>
        </w:rPr>
        <w:t>　申请从事出版物零售业务的单位应当具备以下条件：</w:t>
      </w:r>
    </w:p>
    <w:p w14:paraId="19F12051">
      <w:pPr>
        <w:jc w:val="left"/>
        <w:rPr>
          <w:rFonts w:ascii="宋体" w:hAnsi="宋体"/>
          <w:kern w:val="44"/>
        </w:rPr>
      </w:pPr>
      <w:r>
        <w:rPr>
          <w:rFonts w:hint="eastAsia" w:ascii="宋体" w:hAnsi="宋体"/>
          <w:kern w:val="44"/>
        </w:rPr>
        <w:t>（一）有固定的经营场所和相应的条件；</w:t>
      </w:r>
    </w:p>
    <w:p w14:paraId="371764A4">
      <w:pPr>
        <w:jc w:val="left"/>
        <w:rPr>
          <w:rFonts w:ascii="宋体" w:hAnsi="宋体"/>
          <w:kern w:val="44"/>
        </w:rPr>
      </w:pPr>
      <w:r>
        <w:rPr>
          <w:rFonts w:hint="eastAsia" w:ascii="宋体" w:hAnsi="宋体"/>
          <w:kern w:val="44"/>
        </w:rPr>
        <w:t>（二）网点设置应当符合本市出版事业的发展规划；</w:t>
      </w:r>
    </w:p>
    <w:p w14:paraId="519D7741">
      <w:pPr>
        <w:jc w:val="left"/>
        <w:rPr>
          <w:rFonts w:ascii="宋体" w:hAnsi="宋体"/>
          <w:kern w:val="44"/>
        </w:rPr>
      </w:pPr>
      <w:r>
        <w:rPr>
          <w:rFonts w:hint="eastAsia" w:ascii="宋体" w:hAnsi="宋体"/>
          <w:kern w:val="44"/>
        </w:rPr>
        <w:t>（三）管理人员具备市新闻出版行政部门确认的上岗资格。</w:t>
      </w:r>
    </w:p>
    <w:p w14:paraId="372566BE">
      <w:pPr>
        <w:jc w:val="left"/>
        <w:rPr>
          <w:rFonts w:ascii="宋体" w:hAnsi="宋体"/>
          <w:kern w:val="44"/>
        </w:rPr>
      </w:pPr>
      <w:r>
        <w:rPr>
          <w:rFonts w:hint="eastAsia" w:ascii="宋体" w:hAnsi="宋体"/>
          <w:kern w:val="44"/>
        </w:rPr>
        <w:t>申请从事出版物批发业务的，除符合本条第一款规定的条件外，还应当出具上级主管部门的证明。</w:t>
      </w:r>
    </w:p>
    <w:p w14:paraId="1263B23C">
      <w:pPr>
        <w:jc w:val="left"/>
        <w:rPr>
          <w:rFonts w:ascii="宋体" w:hAnsi="宋体"/>
          <w:kern w:val="44"/>
        </w:rPr>
      </w:pPr>
      <w:r>
        <w:rPr>
          <w:rFonts w:hint="eastAsia" w:ascii="宋体" w:hAnsi="宋体"/>
          <w:kern w:val="44"/>
        </w:rPr>
        <w:t>个人申请从事图书、报刊零售和出租业务的，除符合本条第一款规定的条件外，申请人还应当有本市常住户口和初中以上文化程度。</w:t>
      </w:r>
    </w:p>
    <w:p w14:paraId="66D9D989">
      <w:pPr>
        <w:ind w:firstLine="422"/>
        <w:jc w:val="left"/>
        <w:rPr>
          <w:rFonts w:ascii="宋体" w:hAnsi="宋体"/>
          <w:kern w:val="44"/>
        </w:rPr>
      </w:pPr>
      <w:r>
        <w:rPr>
          <w:rFonts w:hint="eastAsia" w:ascii="宋体" w:hAnsi="宋体"/>
          <w:b/>
          <w:kern w:val="44"/>
        </w:rPr>
        <w:t>第二十三条</w:t>
      </w:r>
      <w:r>
        <w:rPr>
          <w:rFonts w:hint="eastAsia" w:ascii="宋体" w:hAnsi="宋体"/>
          <w:kern w:val="44"/>
        </w:rPr>
        <w:t>　申请从事出版物发行业务的，持申请书向新闻出版行政部门申请，经审核批准，取得出版物经营许可证后，持许可证向工商行政管理部门申请注册登记，取得营业执照后方可经营。</w:t>
      </w:r>
    </w:p>
    <w:p w14:paraId="7214AD60">
      <w:pPr>
        <w:jc w:val="left"/>
        <w:rPr>
          <w:rFonts w:ascii="宋体" w:hAnsi="宋体"/>
          <w:kern w:val="44"/>
        </w:rPr>
      </w:pPr>
      <w:r>
        <w:rPr>
          <w:rFonts w:hint="eastAsia" w:ascii="宋体" w:hAnsi="宋体"/>
          <w:kern w:val="44"/>
        </w:rPr>
        <w:t>外地的出版物发行单位在本市从事出版物发行业务的，应当经其所在省、自治区、直辖市新闻出版行政部门同意，并经本市新闻出版行政部门批准。</w:t>
      </w:r>
    </w:p>
    <w:p w14:paraId="657AC5DA">
      <w:pPr>
        <w:jc w:val="left"/>
        <w:rPr>
          <w:rFonts w:ascii="宋体" w:hAnsi="宋体"/>
          <w:kern w:val="44"/>
        </w:rPr>
      </w:pPr>
      <w:r>
        <w:rPr>
          <w:rFonts w:hint="eastAsia" w:ascii="宋体" w:hAnsi="宋体"/>
          <w:kern w:val="44"/>
        </w:rPr>
        <w:t>从事出版物发行业务的，应当按照规定的时间接受新闻出版行政部门的年检；未按照规定接受年检或者年检不合格的，由新闻出版行政部门注销其出版物经营许可证。</w:t>
      </w:r>
    </w:p>
    <w:p w14:paraId="5AA2C9F3">
      <w:pPr>
        <w:ind w:firstLine="422"/>
        <w:jc w:val="left"/>
        <w:rPr>
          <w:rFonts w:ascii="宋体" w:hAnsi="宋体"/>
          <w:kern w:val="44"/>
        </w:rPr>
      </w:pPr>
      <w:r>
        <w:rPr>
          <w:rFonts w:hint="eastAsia" w:ascii="宋体" w:hAnsi="宋体"/>
          <w:b/>
          <w:kern w:val="44"/>
        </w:rPr>
        <w:t>第二十四条</w:t>
      </w:r>
      <w:r>
        <w:rPr>
          <w:rFonts w:hint="eastAsia" w:ascii="宋体" w:hAnsi="宋体"/>
          <w:kern w:val="44"/>
        </w:rPr>
        <w:t>　出版单位可以发行本单位出版的出版物，不得发行其他出版单位的出版物。</w:t>
      </w:r>
    </w:p>
    <w:p w14:paraId="58EE0191">
      <w:pPr>
        <w:jc w:val="left"/>
        <w:rPr>
          <w:rFonts w:ascii="宋体" w:hAnsi="宋体"/>
          <w:kern w:val="44"/>
        </w:rPr>
      </w:pPr>
      <w:r>
        <w:rPr>
          <w:rFonts w:hint="eastAsia" w:ascii="宋体" w:hAnsi="宋体"/>
          <w:kern w:val="44"/>
        </w:rPr>
        <w:t>出版单位委托发行单位进行书刊征订发行的，应当提供符合规定的有关证订发行的证明。</w:t>
      </w:r>
    </w:p>
    <w:p w14:paraId="0B2146E6">
      <w:pPr>
        <w:ind w:firstLine="422"/>
        <w:jc w:val="left"/>
        <w:rPr>
          <w:rFonts w:ascii="宋体" w:hAnsi="宋体"/>
          <w:kern w:val="44"/>
        </w:rPr>
      </w:pPr>
      <w:r>
        <w:rPr>
          <w:rFonts w:hint="eastAsia" w:ascii="宋体" w:hAnsi="宋体"/>
          <w:b/>
          <w:kern w:val="44"/>
        </w:rPr>
        <w:t>第二十五条</w:t>
      </w:r>
      <w:r>
        <w:rPr>
          <w:rFonts w:hint="eastAsia" w:ascii="宋体" w:hAnsi="宋体"/>
          <w:kern w:val="44"/>
        </w:rPr>
        <w:t>　进口版和内部发行的出版物、国家指定包销类图书、古旧书应当由国家指定的书店经营。</w:t>
      </w:r>
    </w:p>
    <w:p w14:paraId="73A08EE3">
      <w:pPr>
        <w:ind w:firstLine="422"/>
        <w:jc w:val="left"/>
        <w:rPr>
          <w:rFonts w:ascii="宋体" w:hAnsi="宋体"/>
          <w:kern w:val="44"/>
        </w:rPr>
      </w:pPr>
      <w:r>
        <w:rPr>
          <w:rFonts w:hint="eastAsia" w:ascii="宋体" w:hAnsi="宋体"/>
          <w:b/>
          <w:kern w:val="44"/>
        </w:rPr>
        <w:t>第二十六条</w:t>
      </w:r>
      <w:r>
        <w:rPr>
          <w:rFonts w:hint="eastAsia" w:ascii="宋体" w:hAnsi="宋体"/>
          <w:kern w:val="44"/>
        </w:rPr>
        <w:t>　批发单位应当按照批发前送审的规定将出版物样本（品）报送市新闻出版行政部门。</w:t>
      </w:r>
    </w:p>
    <w:p w14:paraId="6303A01C">
      <w:pPr>
        <w:ind w:firstLine="422"/>
        <w:jc w:val="left"/>
        <w:rPr>
          <w:rFonts w:ascii="宋体" w:hAnsi="宋体"/>
          <w:kern w:val="44"/>
        </w:rPr>
      </w:pPr>
      <w:r>
        <w:rPr>
          <w:rFonts w:hint="eastAsia" w:ascii="宋体" w:hAnsi="宋体"/>
          <w:b/>
          <w:kern w:val="44"/>
        </w:rPr>
        <w:t>第二十七条</w:t>
      </w:r>
      <w:r>
        <w:rPr>
          <w:rFonts w:hint="eastAsia" w:ascii="宋体" w:hAnsi="宋体"/>
          <w:kern w:val="44"/>
        </w:rPr>
        <w:t>　从事出版物发行业务的经营人员，应当熟悉有关法律、法规和方针、政策，接受新闻出版行政部门的培训。</w:t>
      </w:r>
    </w:p>
    <w:p w14:paraId="6CC6A4D0">
      <w:pPr>
        <w:ind w:firstLine="422"/>
        <w:jc w:val="left"/>
        <w:rPr>
          <w:rFonts w:ascii="宋体" w:hAnsi="宋体"/>
          <w:kern w:val="44"/>
        </w:rPr>
      </w:pPr>
      <w:r>
        <w:rPr>
          <w:rFonts w:hint="eastAsia" w:ascii="宋体" w:hAnsi="宋体"/>
          <w:b/>
          <w:kern w:val="44"/>
        </w:rPr>
        <w:t>第二十八条</w:t>
      </w:r>
      <w:r>
        <w:rPr>
          <w:rFonts w:hint="eastAsia" w:ascii="宋体" w:hAnsi="宋体"/>
          <w:kern w:val="44"/>
        </w:rPr>
        <w:t>　发行经营者应当严格依照许可证规定的事项开展活动。发行单位改变名称、主办单位、业务范围、经营地点、经营方式，合并或者分立，应当依照本条例第二十三条的规定重新办理手续。变更许可证登记的其他事项的，应当向原登记机关备案。终止活动的，应当向原登记机关申请注销登记。</w:t>
      </w:r>
    </w:p>
    <w:p w14:paraId="642C03B6">
      <w:pPr>
        <w:jc w:val="left"/>
        <w:rPr>
          <w:rFonts w:ascii="宋体" w:hAnsi="宋体"/>
          <w:kern w:val="44"/>
        </w:rPr>
      </w:pPr>
      <w:r>
        <w:rPr>
          <w:rFonts w:hint="eastAsia" w:ascii="宋体" w:hAnsi="宋体"/>
          <w:kern w:val="44"/>
        </w:rPr>
        <w:t>出版物发行单位应当在经营场所张挂经营许可证。</w:t>
      </w:r>
    </w:p>
    <w:p w14:paraId="3F273F93">
      <w:pPr>
        <w:jc w:val="left"/>
        <w:rPr>
          <w:rFonts w:ascii="宋体" w:hAnsi="宋体"/>
          <w:kern w:val="44"/>
        </w:rPr>
      </w:pPr>
      <w:r>
        <w:rPr>
          <w:rFonts w:hint="eastAsia" w:ascii="宋体" w:hAnsi="宋体"/>
          <w:kern w:val="44"/>
        </w:rPr>
        <w:t>许可证不得出租、出借、转让。</w:t>
      </w:r>
    </w:p>
    <w:p w14:paraId="35D2AD12">
      <w:pPr>
        <w:ind w:firstLine="422"/>
        <w:jc w:val="left"/>
        <w:rPr>
          <w:rFonts w:ascii="宋体" w:hAnsi="宋体"/>
          <w:kern w:val="44"/>
        </w:rPr>
      </w:pPr>
      <w:r>
        <w:rPr>
          <w:rFonts w:hint="eastAsia" w:ascii="宋体" w:hAnsi="宋体"/>
          <w:b/>
          <w:kern w:val="44"/>
        </w:rPr>
        <w:t>第二十九条</w:t>
      </w:r>
      <w:r>
        <w:rPr>
          <w:rFonts w:hint="eastAsia" w:ascii="宋体" w:hAnsi="宋体"/>
          <w:kern w:val="44"/>
        </w:rPr>
        <w:t>　从事出版物批发业务的，应当从国家批准的出版单位或者总发行单位进货。从事出版物零售业务的，应当从在本市有批发权的单位进货。</w:t>
      </w:r>
    </w:p>
    <w:p w14:paraId="0624A46E">
      <w:pPr>
        <w:jc w:val="left"/>
        <w:rPr>
          <w:rFonts w:ascii="宋体" w:hAnsi="宋体"/>
          <w:kern w:val="44"/>
        </w:rPr>
      </w:pPr>
      <w:r>
        <w:rPr>
          <w:rFonts w:hint="eastAsia" w:ascii="宋体" w:hAnsi="宋体"/>
          <w:kern w:val="44"/>
        </w:rPr>
        <w:t>批发单位批发出版物必须开具市新闻出版行政部门统一印制的批发凭证。</w:t>
      </w:r>
    </w:p>
    <w:p w14:paraId="50377C1C">
      <w:pPr>
        <w:jc w:val="left"/>
        <w:rPr>
          <w:rFonts w:ascii="宋体" w:hAnsi="宋体"/>
          <w:kern w:val="44"/>
        </w:rPr>
      </w:pPr>
      <w:r>
        <w:rPr>
          <w:rFonts w:hint="eastAsia" w:ascii="宋体" w:hAnsi="宋体"/>
          <w:kern w:val="44"/>
        </w:rPr>
        <w:t>发行单位应当在经营场所保留委托发行书、批发单等凭证，以备检查。</w:t>
      </w:r>
    </w:p>
    <w:p w14:paraId="1AFE9258">
      <w:pPr>
        <w:ind w:firstLine="422"/>
        <w:jc w:val="left"/>
        <w:rPr>
          <w:rFonts w:ascii="宋体" w:hAnsi="宋体"/>
          <w:kern w:val="44"/>
        </w:rPr>
      </w:pPr>
      <w:r>
        <w:rPr>
          <w:rFonts w:hint="eastAsia" w:ascii="宋体" w:hAnsi="宋体"/>
          <w:b/>
          <w:kern w:val="44"/>
        </w:rPr>
        <w:t>第三十条</w:t>
      </w:r>
      <w:r>
        <w:rPr>
          <w:rFonts w:hint="eastAsia" w:ascii="宋体" w:hAnsi="宋体"/>
          <w:kern w:val="44"/>
        </w:rPr>
        <w:t>　托运或者提取出版物，必须凭新闻出版行政部门出具的托运或者提取证明办理。</w:t>
      </w:r>
    </w:p>
    <w:p w14:paraId="0B49D7C3">
      <w:pPr>
        <w:ind w:firstLine="422"/>
        <w:jc w:val="left"/>
        <w:rPr>
          <w:rFonts w:ascii="宋体" w:hAnsi="宋体"/>
          <w:kern w:val="44"/>
        </w:rPr>
      </w:pPr>
      <w:r>
        <w:rPr>
          <w:rFonts w:hint="eastAsia" w:ascii="宋体" w:hAnsi="宋体"/>
          <w:b/>
          <w:kern w:val="44"/>
        </w:rPr>
        <w:t>第三十一条</w:t>
      </w:r>
      <w:r>
        <w:rPr>
          <w:rFonts w:hint="eastAsia" w:ascii="宋体" w:hAnsi="宋体"/>
          <w:kern w:val="44"/>
        </w:rPr>
        <w:t>　开办出版物批发、零售市场的单位，在向有关部门办理审批登记手续前，应当报请市新闻出版行政部门批准。</w:t>
      </w:r>
    </w:p>
    <w:p w14:paraId="3FB3EDF9">
      <w:pPr>
        <w:ind w:firstLine="422"/>
        <w:jc w:val="left"/>
        <w:rPr>
          <w:rFonts w:ascii="宋体" w:hAnsi="宋体"/>
          <w:kern w:val="44"/>
        </w:rPr>
      </w:pPr>
      <w:r>
        <w:rPr>
          <w:rFonts w:hint="eastAsia" w:ascii="宋体" w:hAnsi="宋体"/>
          <w:b/>
          <w:kern w:val="44"/>
        </w:rPr>
        <w:t>第三十二条</w:t>
      </w:r>
      <w:r>
        <w:rPr>
          <w:rFonts w:hint="eastAsia" w:ascii="宋体" w:hAnsi="宋体"/>
          <w:kern w:val="44"/>
        </w:rPr>
        <w:t>　举办出版物展览、展销、订货会等活动的单位，在向有关部门办理审批登记手续前，应当报请市新闻出版行政部门批准。</w:t>
      </w:r>
    </w:p>
    <w:p w14:paraId="27DEF373">
      <w:pPr>
        <w:ind w:firstLine="422"/>
        <w:jc w:val="left"/>
        <w:rPr>
          <w:rFonts w:ascii="宋体" w:hAnsi="宋体"/>
          <w:kern w:val="44"/>
        </w:rPr>
      </w:pPr>
      <w:r>
        <w:rPr>
          <w:rFonts w:hint="eastAsia" w:ascii="宋体" w:hAnsi="宋体"/>
          <w:b/>
          <w:kern w:val="44"/>
        </w:rPr>
        <w:t>第三十三条</w:t>
      </w:r>
      <w:r>
        <w:rPr>
          <w:rFonts w:hint="eastAsia" w:ascii="宋体" w:hAnsi="宋体"/>
          <w:kern w:val="44"/>
        </w:rPr>
        <w:t>　进口境外出版物按照国家有关进出口管理规定办理。发行境外出版物的，应当经市新闻出版行政部门审核批准。</w:t>
      </w:r>
    </w:p>
    <w:p w14:paraId="65812102">
      <w:pPr>
        <w:ind w:firstLine="422"/>
        <w:jc w:val="left"/>
        <w:rPr>
          <w:rFonts w:ascii="宋体" w:hAnsi="宋体"/>
          <w:kern w:val="44"/>
        </w:rPr>
      </w:pPr>
      <w:r>
        <w:rPr>
          <w:rFonts w:hint="eastAsia" w:ascii="宋体" w:hAnsi="宋体"/>
          <w:b/>
          <w:kern w:val="44"/>
        </w:rPr>
        <w:t>第三十四条</w:t>
      </w:r>
      <w:r>
        <w:rPr>
          <w:rFonts w:hint="eastAsia" w:ascii="宋体" w:hAnsi="宋体"/>
          <w:kern w:val="44"/>
        </w:rPr>
        <w:t>　邮政企业发行报纸、期刊，依照《中华人民共和国邮政法》的规定办理。</w:t>
      </w:r>
    </w:p>
    <w:p w14:paraId="28C73DF0">
      <w:pPr>
        <w:jc w:val="left"/>
        <w:rPr>
          <w:rFonts w:ascii="宋体" w:hAnsi="宋体"/>
          <w:kern w:val="44"/>
        </w:rPr>
      </w:pPr>
    </w:p>
    <w:p w14:paraId="0A8033AB">
      <w:pPr>
        <w:ind w:firstLine="0" w:firstLineChars="0"/>
        <w:jc w:val="center"/>
        <w:rPr>
          <w:rFonts w:ascii="宋体" w:hAnsi="宋体"/>
          <w:b/>
          <w:kern w:val="44"/>
          <w:sz w:val="28"/>
        </w:rPr>
      </w:pPr>
      <w:r>
        <w:rPr>
          <w:rFonts w:hint="eastAsia" w:ascii="宋体" w:hAnsi="宋体"/>
          <w:b/>
          <w:kern w:val="44"/>
          <w:sz w:val="28"/>
        </w:rPr>
        <w:t>第六章　法律责任</w:t>
      </w:r>
    </w:p>
    <w:p w14:paraId="3D1F11EF">
      <w:pPr>
        <w:jc w:val="left"/>
        <w:rPr>
          <w:rFonts w:ascii="宋体" w:hAnsi="宋体"/>
          <w:kern w:val="44"/>
        </w:rPr>
      </w:pPr>
    </w:p>
    <w:p w14:paraId="5C5DF85D">
      <w:pPr>
        <w:ind w:firstLine="422"/>
        <w:jc w:val="left"/>
        <w:rPr>
          <w:rFonts w:ascii="宋体" w:hAnsi="宋体"/>
          <w:kern w:val="44"/>
        </w:rPr>
      </w:pPr>
      <w:r>
        <w:rPr>
          <w:rFonts w:hint="eastAsia" w:ascii="宋体" w:hAnsi="宋体"/>
          <w:b/>
          <w:kern w:val="44"/>
        </w:rPr>
        <w:t>第三十五条</w:t>
      </w:r>
      <w:r>
        <w:rPr>
          <w:rFonts w:hint="eastAsia" w:ascii="宋体" w:hAnsi="宋体"/>
          <w:kern w:val="44"/>
        </w:rPr>
        <w:t>　未经批准，擅自设立出版单位或者擅自从事出版物的出版、印刷或者复制、发行业务的，予以取缔，没收出版物和从事非法活动的主要专用工具、设备以及违法所得，并处违法所得2倍以上10倍以下的罚款；构成犯罪的，依法追究刑事责任。</w:t>
      </w:r>
    </w:p>
    <w:p w14:paraId="7FFBD612">
      <w:pPr>
        <w:ind w:firstLine="422"/>
        <w:jc w:val="left"/>
        <w:rPr>
          <w:rFonts w:ascii="宋体" w:hAnsi="宋体"/>
          <w:kern w:val="44"/>
        </w:rPr>
      </w:pPr>
      <w:r>
        <w:rPr>
          <w:rFonts w:hint="eastAsia" w:ascii="宋体" w:hAnsi="宋体"/>
          <w:b/>
          <w:kern w:val="44"/>
        </w:rPr>
        <w:t>第三十六条</w:t>
      </w:r>
      <w:r>
        <w:rPr>
          <w:rFonts w:hint="eastAsia" w:ascii="宋体" w:hAnsi="宋体"/>
          <w:kern w:val="44"/>
        </w:rPr>
        <w:t>　从事出版活动，有下列行为之一的，没收出版物和违法所得，并处违法所得3倍以上10倍以下的罚款；情节严重的，责令停业整顿或者吊销许可证；构成犯罪的，依法追究刑事责任：</w:t>
      </w:r>
    </w:p>
    <w:p w14:paraId="36F2ECD5">
      <w:pPr>
        <w:jc w:val="left"/>
        <w:rPr>
          <w:rFonts w:ascii="宋体" w:hAnsi="宋体"/>
          <w:kern w:val="44"/>
        </w:rPr>
      </w:pPr>
      <w:r>
        <w:rPr>
          <w:rFonts w:hint="eastAsia" w:ascii="宋体" w:hAnsi="宋体"/>
          <w:kern w:val="44"/>
        </w:rPr>
        <w:t>（一）出版载有本条例第五条、第六条禁止内容的出版物的；</w:t>
      </w:r>
    </w:p>
    <w:p w14:paraId="573BB645">
      <w:pPr>
        <w:jc w:val="left"/>
        <w:rPr>
          <w:rFonts w:ascii="宋体" w:hAnsi="宋体"/>
          <w:kern w:val="44"/>
        </w:rPr>
      </w:pPr>
      <w:r>
        <w:rPr>
          <w:rFonts w:hint="eastAsia" w:ascii="宋体" w:hAnsi="宋体"/>
          <w:kern w:val="44"/>
        </w:rPr>
        <w:t>（二）明知他人要出版的作品含有本条例第五条、第六条禁止的内容而向其出售、出租或者以其他形式转让本出版单位的名称、书号、刊号、版号的；</w:t>
      </w:r>
    </w:p>
    <w:p w14:paraId="09F530E6">
      <w:pPr>
        <w:jc w:val="left"/>
        <w:rPr>
          <w:rFonts w:ascii="宋体" w:hAnsi="宋体"/>
          <w:kern w:val="44"/>
        </w:rPr>
      </w:pPr>
      <w:r>
        <w:rPr>
          <w:rFonts w:hint="eastAsia" w:ascii="宋体" w:hAnsi="宋体"/>
          <w:kern w:val="44"/>
        </w:rPr>
        <w:t>（三）伪造假冒报纸、期刊名称，出版含有本条例第五条、第六条禁止内容的出版物的；</w:t>
      </w:r>
    </w:p>
    <w:p w14:paraId="67D6E1E4">
      <w:pPr>
        <w:jc w:val="left"/>
        <w:rPr>
          <w:rFonts w:ascii="宋体" w:hAnsi="宋体"/>
          <w:kern w:val="44"/>
        </w:rPr>
      </w:pPr>
      <w:r>
        <w:rPr>
          <w:rFonts w:hint="eastAsia" w:ascii="宋体" w:hAnsi="宋体"/>
          <w:kern w:val="44"/>
        </w:rPr>
        <w:t>（四）印刷或者复制、发行明知含有本条例第五条、第六条禁止内容的出版物的；</w:t>
      </w:r>
    </w:p>
    <w:p w14:paraId="2E094EAC">
      <w:pPr>
        <w:jc w:val="left"/>
        <w:rPr>
          <w:rFonts w:ascii="宋体" w:hAnsi="宋体"/>
          <w:kern w:val="44"/>
        </w:rPr>
      </w:pPr>
      <w:r>
        <w:rPr>
          <w:rFonts w:hint="eastAsia" w:ascii="宋体" w:hAnsi="宋体"/>
          <w:kern w:val="44"/>
        </w:rPr>
        <w:t>（五）印刷或者复制、发行明知含有本条例第五条、第六条禁止内容的境外出版物的。</w:t>
      </w:r>
    </w:p>
    <w:p w14:paraId="01080266">
      <w:pPr>
        <w:ind w:firstLine="422"/>
        <w:jc w:val="left"/>
        <w:rPr>
          <w:rFonts w:ascii="宋体" w:hAnsi="宋体"/>
          <w:kern w:val="44"/>
        </w:rPr>
      </w:pPr>
      <w:r>
        <w:rPr>
          <w:rFonts w:hint="eastAsia" w:ascii="宋体" w:hAnsi="宋体"/>
          <w:b/>
          <w:kern w:val="44"/>
        </w:rPr>
        <w:t>第三十七条</w:t>
      </w:r>
      <w:r>
        <w:rPr>
          <w:rFonts w:hint="eastAsia" w:ascii="宋体" w:hAnsi="宋体"/>
          <w:kern w:val="44"/>
        </w:rPr>
        <w:t>　盗印、盗制出版物的，没收出版物和违法所得，并处违法所得3倍以上10倍以下的罚款；情节严重的，责令停业整顿或者吊销许可证；构成犯罪的，依法追究刑事责任。</w:t>
      </w:r>
    </w:p>
    <w:p w14:paraId="7FAFAC93">
      <w:pPr>
        <w:ind w:firstLine="422"/>
        <w:jc w:val="left"/>
        <w:rPr>
          <w:rFonts w:ascii="宋体" w:hAnsi="宋体"/>
          <w:kern w:val="44"/>
        </w:rPr>
      </w:pPr>
      <w:r>
        <w:rPr>
          <w:rFonts w:hint="eastAsia" w:ascii="宋体" w:hAnsi="宋体"/>
          <w:b/>
          <w:kern w:val="44"/>
        </w:rPr>
        <w:t>第三十八条</w:t>
      </w:r>
      <w:r>
        <w:rPr>
          <w:rFonts w:hint="eastAsia" w:ascii="宋体" w:hAnsi="宋体"/>
          <w:kern w:val="44"/>
        </w:rPr>
        <w:t>　出版单位出售、出租或者以其他形式转让本出版单位的名称、书号、刊号、版号的，没收违法所得，并处违法所得2倍以上5倍以下的罚款；情节严重的，责令停业整顿或者吊销许可证。</w:t>
      </w:r>
    </w:p>
    <w:p w14:paraId="2246021A">
      <w:pPr>
        <w:ind w:firstLine="422"/>
        <w:jc w:val="left"/>
        <w:rPr>
          <w:rFonts w:ascii="宋体" w:hAnsi="宋体"/>
          <w:kern w:val="44"/>
        </w:rPr>
      </w:pPr>
      <w:r>
        <w:rPr>
          <w:rFonts w:hint="eastAsia" w:ascii="宋体" w:hAnsi="宋体"/>
          <w:b/>
          <w:kern w:val="44"/>
        </w:rPr>
        <w:t>第三十九条</w:t>
      </w:r>
      <w:r>
        <w:rPr>
          <w:rFonts w:hint="eastAsia" w:ascii="宋体" w:hAnsi="宋体"/>
          <w:kern w:val="44"/>
        </w:rPr>
        <w:t>　没有合法手续印刷或者复制、发行出版物的，没收出版物和违法所得，可以并处违法所得5倍以下的罚款；情节严重的，责令停业整顿或者吊销许可证。</w:t>
      </w:r>
    </w:p>
    <w:p w14:paraId="02DE3A80">
      <w:pPr>
        <w:ind w:firstLine="422"/>
        <w:jc w:val="left"/>
        <w:rPr>
          <w:rFonts w:ascii="宋体" w:hAnsi="宋体"/>
          <w:kern w:val="44"/>
        </w:rPr>
      </w:pPr>
      <w:r>
        <w:rPr>
          <w:rFonts w:hint="eastAsia" w:ascii="宋体" w:hAnsi="宋体"/>
          <w:b/>
          <w:kern w:val="44"/>
        </w:rPr>
        <w:t>第四十条</w:t>
      </w:r>
      <w:r>
        <w:rPr>
          <w:rFonts w:hint="eastAsia" w:ascii="宋体" w:hAnsi="宋体"/>
          <w:kern w:val="44"/>
        </w:rPr>
        <w:t>　违反本条例定，发行境外出版物的，没收出版物和违法所得，并处违法所得2倍以上5倍以下的罚款；情节严重的，责令停业整顿或者吊销许可证。</w:t>
      </w:r>
    </w:p>
    <w:p w14:paraId="1760E453">
      <w:pPr>
        <w:ind w:firstLine="422"/>
        <w:jc w:val="left"/>
        <w:rPr>
          <w:rFonts w:ascii="宋体" w:hAnsi="宋体"/>
          <w:kern w:val="44"/>
        </w:rPr>
      </w:pPr>
      <w:r>
        <w:rPr>
          <w:rFonts w:hint="eastAsia" w:ascii="宋体" w:hAnsi="宋体"/>
          <w:b/>
          <w:kern w:val="44"/>
        </w:rPr>
        <w:t>第四十一条</w:t>
      </w:r>
      <w:r>
        <w:rPr>
          <w:rFonts w:hint="eastAsia" w:ascii="宋体" w:hAnsi="宋体"/>
          <w:kern w:val="44"/>
        </w:rPr>
        <w:t>　本条例规定的行政处罚由市或者区、县新闻出版行政部门按照各自职责实施。吊销许可证的处罚，由原发证部门决定。</w:t>
      </w:r>
    </w:p>
    <w:p w14:paraId="1E749F5F">
      <w:pPr>
        <w:ind w:firstLine="422"/>
        <w:jc w:val="left"/>
        <w:rPr>
          <w:rFonts w:ascii="宋体" w:hAnsi="宋体"/>
          <w:kern w:val="44"/>
        </w:rPr>
      </w:pPr>
      <w:r>
        <w:rPr>
          <w:rFonts w:hint="eastAsia" w:ascii="宋体" w:hAnsi="宋体"/>
          <w:b/>
          <w:kern w:val="44"/>
        </w:rPr>
        <w:t>第四十二条</w:t>
      </w:r>
      <w:r>
        <w:rPr>
          <w:rFonts w:hint="eastAsia" w:ascii="宋体" w:hAnsi="宋体"/>
          <w:kern w:val="44"/>
        </w:rPr>
        <w:t>　违反本条例，属于违反公安、工商行政、物价等管理方面法律、法规的，由有关主管部门依法处理；构成犯罪的，依法追究刑事责任。</w:t>
      </w:r>
    </w:p>
    <w:p w14:paraId="6346DE6F">
      <w:pPr>
        <w:ind w:firstLine="422"/>
        <w:jc w:val="left"/>
        <w:rPr>
          <w:rFonts w:ascii="宋体" w:hAnsi="宋体"/>
          <w:kern w:val="44"/>
        </w:rPr>
      </w:pPr>
      <w:r>
        <w:rPr>
          <w:rFonts w:hint="eastAsia" w:ascii="宋体" w:hAnsi="宋体"/>
          <w:b/>
          <w:kern w:val="44"/>
        </w:rPr>
        <w:t>第四十三条</w:t>
      </w:r>
      <w:r>
        <w:rPr>
          <w:rFonts w:hint="eastAsia" w:ascii="宋体" w:hAnsi="宋体"/>
          <w:kern w:val="44"/>
        </w:rPr>
        <w:t>　有关新闻出版行政部门的工作人员滥用职权、玩忽职守、徇私舞弊构成犯罪的，依法追究刑事责任；尚不构成犯罪的，依法给予行政处分。</w:t>
      </w:r>
    </w:p>
    <w:p w14:paraId="0B296331">
      <w:pPr>
        <w:jc w:val="left"/>
        <w:rPr>
          <w:rFonts w:ascii="宋体" w:hAnsi="宋体"/>
          <w:kern w:val="44"/>
        </w:rPr>
      </w:pPr>
    </w:p>
    <w:p w14:paraId="65F3AFAB">
      <w:pPr>
        <w:ind w:firstLine="0" w:firstLineChars="0"/>
        <w:jc w:val="center"/>
        <w:rPr>
          <w:rFonts w:ascii="宋体" w:hAnsi="宋体"/>
          <w:b/>
          <w:kern w:val="44"/>
          <w:sz w:val="28"/>
        </w:rPr>
      </w:pPr>
      <w:r>
        <w:rPr>
          <w:rFonts w:hint="eastAsia" w:ascii="宋体" w:hAnsi="宋体"/>
          <w:b/>
          <w:kern w:val="44"/>
          <w:sz w:val="28"/>
        </w:rPr>
        <w:t>第七章　附　则</w:t>
      </w:r>
    </w:p>
    <w:p w14:paraId="1C072ED3">
      <w:pPr>
        <w:jc w:val="left"/>
        <w:rPr>
          <w:rFonts w:ascii="宋体" w:hAnsi="宋体"/>
          <w:kern w:val="44"/>
        </w:rPr>
      </w:pPr>
    </w:p>
    <w:p w14:paraId="603B6F2A">
      <w:pPr>
        <w:ind w:firstLine="422"/>
        <w:jc w:val="left"/>
        <w:rPr>
          <w:rFonts w:ascii="宋体" w:hAnsi="宋体"/>
          <w:kern w:val="44"/>
        </w:rPr>
      </w:pPr>
      <w:r>
        <w:rPr>
          <w:rFonts w:hint="eastAsia" w:ascii="宋体" w:hAnsi="宋体"/>
          <w:b/>
          <w:kern w:val="44"/>
        </w:rPr>
        <w:t>第四十四条</w:t>
      </w:r>
      <w:r>
        <w:rPr>
          <w:rFonts w:hint="eastAsia" w:ascii="宋体" w:hAnsi="宋体"/>
          <w:kern w:val="44"/>
        </w:rPr>
        <w:t>　本条例具体应用中的问题由北京市新闻出版行政部门负责解释。</w:t>
      </w:r>
    </w:p>
    <w:p w14:paraId="545D2AA0">
      <w:pPr>
        <w:ind w:firstLine="422"/>
        <w:jc w:val="left"/>
        <w:rPr>
          <w:rFonts w:ascii="宋体" w:hAnsi="宋体"/>
          <w:kern w:val="44"/>
        </w:rPr>
      </w:pPr>
      <w:r>
        <w:rPr>
          <w:rFonts w:hint="eastAsia" w:ascii="宋体" w:hAnsi="宋体"/>
          <w:b/>
          <w:kern w:val="44"/>
        </w:rPr>
        <w:t>第四十五条</w:t>
      </w:r>
      <w:r>
        <w:rPr>
          <w:rFonts w:hint="eastAsia" w:ascii="宋体" w:hAnsi="宋体"/>
          <w:kern w:val="44"/>
        </w:rPr>
        <w:t>　本条例自1998年1月1日起施行。1990年1月19日北京市第九届人民代表大会常务委员会第十七次会议通过的《北京市图书报刊音像市场管理条例》有关图书报刊市场的规定同时废止。</w:t>
      </w:r>
    </w:p>
    <w:p w14:paraId="3AB30AB9">
      <w:pPr>
        <w:pStyle w:val="4"/>
        <w:pageBreakBefore/>
        <w:rPr>
          <w:kern w:val="44"/>
        </w:rPr>
      </w:pPr>
      <w:bookmarkStart w:id="1575" w:name="_Toc422471411"/>
      <w:bookmarkStart w:id="1576" w:name="_Toc427652007"/>
      <w:bookmarkStart w:id="1577" w:name="_Toc428780231"/>
      <w:bookmarkStart w:id="1578" w:name="_Toc427651665"/>
      <w:bookmarkStart w:id="1579" w:name="_Toc428781713"/>
      <w:r>
        <w:rPr>
          <w:rFonts w:hint="eastAsia"/>
          <w:kern w:val="44"/>
        </w:rPr>
        <w:t>北京市实施《卫星地面接收设施接收</w:t>
      </w:r>
      <w:bookmarkEnd w:id="1575"/>
      <w:bookmarkStart w:id="1580" w:name="_Toc422471412"/>
      <w:r>
        <w:rPr>
          <w:rFonts w:hint="eastAsia"/>
          <w:kern w:val="44"/>
        </w:rPr>
        <w:t>外国卫星</w:t>
      </w:r>
      <w:bookmarkEnd w:id="1576"/>
      <w:bookmarkEnd w:id="1577"/>
      <w:bookmarkEnd w:id="1578"/>
      <w:bookmarkEnd w:id="1579"/>
    </w:p>
    <w:p w14:paraId="10620E87">
      <w:pPr>
        <w:pStyle w:val="4"/>
        <w:rPr>
          <w:kern w:val="44"/>
        </w:rPr>
      </w:pPr>
      <w:bookmarkStart w:id="1581" w:name="_Toc427651666"/>
      <w:bookmarkStart w:id="1582" w:name="_Toc428780232"/>
      <w:bookmarkStart w:id="1583" w:name="_Toc427652008"/>
      <w:bookmarkStart w:id="1584" w:name="_Toc428781714"/>
      <w:r>
        <w:rPr>
          <w:rFonts w:hint="eastAsia"/>
          <w:kern w:val="44"/>
        </w:rPr>
        <w:t>传送电视节目管理</w:t>
      </w:r>
      <w:bookmarkEnd w:id="1580"/>
      <w:bookmarkStart w:id="1585" w:name="_Toc422471413"/>
      <w:r>
        <w:rPr>
          <w:rFonts w:hint="eastAsia"/>
          <w:kern w:val="44"/>
        </w:rPr>
        <w:t>办法》若干规定</w:t>
      </w:r>
      <w:bookmarkEnd w:id="1581"/>
      <w:bookmarkEnd w:id="1582"/>
      <w:bookmarkEnd w:id="1583"/>
      <w:bookmarkEnd w:id="1584"/>
      <w:bookmarkEnd w:id="1585"/>
    </w:p>
    <w:p w14:paraId="046A8533">
      <w:pPr>
        <w:ind w:left="630" w:leftChars="300" w:right="630" w:rightChars="300"/>
        <w:jc w:val="left"/>
        <w:rPr>
          <w:rFonts w:ascii="楷体" w:hAnsi="楷体" w:eastAsia="楷体"/>
          <w:kern w:val="44"/>
        </w:rPr>
      </w:pPr>
      <w:r>
        <w:rPr>
          <w:rFonts w:hint="eastAsia" w:ascii="楷体" w:hAnsi="楷体" w:eastAsia="楷体"/>
          <w:kern w:val="44"/>
        </w:rPr>
        <w:t>（1991年6月1日北京市人民政府批准　1991年12月1日北京市广播电视局、北京市公安局、北京市国家安全局发布）</w:t>
      </w:r>
    </w:p>
    <w:p w14:paraId="0536182B">
      <w:pPr>
        <w:jc w:val="left"/>
        <w:rPr>
          <w:rFonts w:ascii="宋体" w:hAnsi="宋体"/>
          <w:kern w:val="44"/>
        </w:rPr>
      </w:pPr>
    </w:p>
    <w:p w14:paraId="7B87C947">
      <w:pPr>
        <w:ind w:firstLine="422"/>
        <w:jc w:val="left"/>
        <w:rPr>
          <w:rFonts w:ascii="宋体" w:hAnsi="宋体"/>
          <w:kern w:val="44"/>
        </w:rPr>
      </w:pPr>
      <w:r>
        <w:rPr>
          <w:rFonts w:hint="eastAsia" w:ascii="宋体" w:hAnsi="宋体"/>
          <w:b/>
          <w:kern w:val="44"/>
        </w:rPr>
        <w:t>第一条</w:t>
      </w:r>
      <w:r>
        <w:rPr>
          <w:rFonts w:hint="eastAsia" w:ascii="宋体" w:hAnsi="宋体"/>
          <w:kern w:val="44"/>
        </w:rPr>
        <w:t>　为实施广播电视部、公安部、国家安全部发布的《卫星地面接收设施接收外国卫星传送电视节目管理办法》（以下简称《办法》），结合本市情况，制定本规定。</w:t>
      </w:r>
    </w:p>
    <w:p w14:paraId="084AE098">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本市行政区域内设置卫星地面接收设施接收外国卫星传送的电视节目的单位，除国家和本市另有规定者外，均须遵守《办法》和本规定。</w:t>
      </w:r>
    </w:p>
    <w:p w14:paraId="09023BCD">
      <w:pPr>
        <w:ind w:firstLine="422"/>
        <w:jc w:val="left"/>
        <w:rPr>
          <w:rFonts w:ascii="宋体" w:hAnsi="宋体"/>
          <w:kern w:val="44"/>
        </w:rPr>
      </w:pPr>
      <w:r>
        <w:rPr>
          <w:rFonts w:hint="eastAsia" w:ascii="宋体" w:hAnsi="宋体"/>
          <w:b/>
          <w:kern w:val="44"/>
        </w:rPr>
        <w:t>第三条</w:t>
      </w:r>
      <w:r>
        <w:rPr>
          <w:rFonts w:hint="eastAsia" w:ascii="宋体" w:hAnsi="宋体"/>
          <w:kern w:val="44"/>
        </w:rPr>
        <w:t>　市广播电视局是本市行政区域内卫星地面接收设施接收外国卫星传送电视节目的主管机关；区、县广播电视管理机关负责本辖区内卫星地面接收设施接收外国卫星传送的电视节目的日常管理工作。</w:t>
      </w:r>
    </w:p>
    <w:p w14:paraId="79F43213">
      <w:pPr>
        <w:jc w:val="left"/>
        <w:rPr>
          <w:rFonts w:ascii="宋体" w:hAnsi="宋体"/>
          <w:kern w:val="44"/>
        </w:rPr>
      </w:pPr>
      <w:r>
        <w:rPr>
          <w:rFonts w:hint="eastAsia" w:ascii="宋体" w:hAnsi="宋体"/>
          <w:kern w:val="44"/>
        </w:rPr>
        <w:t>公安、国家安全机关依照《办法》和本规定对本市卫星地面接收设施接收外国卫星传送的电视节目进行治安、安全管理。</w:t>
      </w:r>
    </w:p>
    <w:p w14:paraId="0A004354">
      <w:pPr>
        <w:ind w:firstLine="422"/>
        <w:jc w:val="left"/>
        <w:rPr>
          <w:rFonts w:ascii="宋体" w:hAnsi="宋体"/>
          <w:kern w:val="44"/>
        </w:rPr>
      </w:pPr>
      <w:r>
        <w:rPr>
          <w:rFonts w:hint="eastAsia" w:ascii="宋体" w:hAnsi="宋体"/>
          <w:b/>
          <w:kern w:val="44"/>
        </w:rPr>
        <w:t>第四条</w:t>
      </w:r>
      <w:r>
        <w:rPr>
          <w:rFonts w:hint="eastAsia" w:ascii="宋体" w:hAnsi="宋体"/>
          <w:kern w:val="44"/>
        </w:rPr>
        <w:t>　申请设置专门的卫星地面接收设施接收外国卫星传送的电视节目的单位（以下简称接收单位），须按本规定，报市广播电视局审批。经市广播电视局审查，符合《办法》规定的条件的，予以批准，发给《卫星地面接收设施接收外国卫星传送电视节目许可证》（以下简称《许可证》），并报国家有关部门备案，同时将批准文件副本送市公安局、市国家安全局备案。</w:t>
      </w:r>
    </w:p>
    <w:p w14:paraId="7EEECECF">
      <w:pPr>
        <w:ind w:firstLine="422"/>
        <w:jc w:val="left"/>
        <w:rPr>
          <w:rFonts w:ascii="宋体" w:hAnsi="宋体"/>
          <w:kern w:val="44"/>
        </w:rPr>
      </w:pPr>
      <w:r>
        <w:rPr>
          <w:rFonts w:hint="eastAsia" w:ascii="宋体" w:hAnsi="宋体"/>
          <w:b/>
          <w:kern w:val="44"/>
        </w:rPr>
        <w:t>第五条</w:t>
      </w:r>
      <w:r>
        <w:rPr>
          <w:rFonts w:hint="eastAsia" w:ascii="宋体" w:hAnsi="宋体"/>
          <w:kern w:val="44"/>
        </w:rPr>
        <w:t>　接收单位向市广播电视局申报审批时，须报送以下材料：</w:t>
      </w:r>
    </w:p>
    <w:p w14:paraId="5371D860">
      <w:pPr>
        <w:jc w:val="left"/>
        <w:rPr>
          <w:rFonts w:ascii="宋体" w:hAnsi="宋体"/>
          <w:kern w:val="44"/>
        </w:rPr>
      </w:pPr>
      <w:r>
        <w:rPr>
          <w:rFonts w:hint="eastAsia" w:ascii="宋体" w:hAnsi="宋体"/>
          <w:kern w:val="44"/>
        </w:rPr>
        <w:t>（一）申请报告。报告应详细申明接收单位的业务范围、申报理由、接收卫星、接收方式、接收内容及用途、接收设备及收视对象等内容。</w:t>
      </w:r>
    </w:p>
    <w:p w14:paraId="0FFEAEAF">
      <w:pPr>
        <w:jc w:val="left"/>
        <w:rPr>
          <w:rFonts w:ascii="宋体" w:hAnsi="宋体"/>
          <w:kern w:val="44"/>
        </w:rPr>
      </w:pPr>
      <w:r>
        <w:rPr>
          <w:rFonts w:hint="eastAsia" w:ascii="宋体" w:hAnsi="宋体"/>
          <w:kern w:val="44"/>
        </w:rPr>
        <w:t>（二）接收、播放监控等管理制度。</w:t>
      </w:r>
    </w:p>
    <w:p w14:paraId="043F35D9">
      <w:pPr>
        <w:jc w:val="left"/>
        <w:rPr>
          <w:rFonts w:ascii="宋体" w:hAnsi="宋体"/>
          <w:kern w:val="44"/>
        </w:rPr>
      </w:pPr>
      <w:r>
        <w:rPr>
          <w:rFonts w:hint="eastAsia" w:ascii="宋体" w:hAnsi="宋体"/>
          <w:kern w:val="44"/>
        </w:rPr>
        <w:t>（三）专职管理人员的情况。</w:t>
      </w:r>
    </w:p>
    <w:p w14:paraId="5E7CF01D">
      <w:pPr>
        <w:jc w:val="left"/>
        <w:rPr>
          <w:rFonts w:ascii="宋体" w:hAnsi="宋体"/>
          <w:kern w:val="44"/>
        </w:rPr>
      </w:pPr>
      <w:r>
        <w:rPr>
          <w:rFonts w:hint="eastAsia" w:ascii="宋体" w:hAnsi="宋体"/>
          <w:kern w:val="44"/>
        </w:rPr>
        <w:t>（四）接收设备的技术资料。</w:t>
      </w:r>
    </w:p>
    <w:p w14:paraId="49F131EF">
      <w:pPr>
        <w:jc w:val="left"/>
        <w:rPr>
          <w:rFonts w:ascii="宋体" w:hAnsi="宋体"/>
          <w:kern w:val="44"/>
        </w:rPr>
      </w:pPr>
      <w:r>
        <w:rPr>
          <w:rFonts w:hint="eastAsia" w:ascii="宋体" w:hAnsi="宋体"/>
          <w:kern w:val="44"/>
        </w:rPr>
        <w:t>（五）主管部门签署意见的文件。本市所属单位，应提交市级主管部门批准的文件；中央所属单位，应提交部级主管部门批准的文件。</w:t>
      </w:r>
    </w:p>
    <w:p w14:paraId="7C2D2963">
      <w:pPr>
        <w:jc w:val="left"/>
        <w:rPr>
          <w:rFonts w:ascii="宋体" w:hAnsi="宋体"/>
          <w:kern w:val="44"/>
        </w:rPr>
      </w:pPr>
      <w:r>
        <w:rPr>
          <w:rFonts w:hint="eastAsia" w:ascii="宋体" w:hAnsi="宋体"/>
          <w:kern w:val="44"/>
        </w:rPr>
        <w:t>（六）其他有关文件、资料。</w:t>
      </w:r>
    </w:p>
    <w:p w14:paraId="0BBE0992">
      <w:pPr>
        <w:ind w:firstLine="422"/>
        <w:jc w:val="left"/>
        <w:rPr>
          <w:rFonts w:ascii="宋体" w:hAnsi="宋体"/>
          <w:kern w:val="44"/>
        </w:rPr>
      </w:pPr>
      <w:r>
        <w:rPr>
          <w:rFonts w:hint="eastAsia" w:ascii="宋体" w:hAnsi="宋体"/>
          <w:b/>
          <w:kern w:val="44"/>
        </w:rPr>
        <w:t>第六条</w:t>
      </w:r>
      <w:r>
        <w:rPr>
          <w:rFonts w:hint="eastAsia" w:ascii="宋体" w:hAnsi="宋体"/>
          <w:kern w:val="44"/>
        </w:rPr>
        <w:t>　接收单位购置卫星地面接收设备的，申请《许可证》时，应提供与设备生产厂或销售单位草签的购置设备合同，经市广播电视局批准，领得《许可证》后，方可购置卫星地面接收设备。所购置的设备必须是持有国家技术监督局和中国广播卫星公司颁发的生产许可证的企业生产的产品。</w:t>
      </w:r>
    </w:p>
    <w:p w14:paraId="79EA97E3">
      <w:pPr>
        <w:jc w:val="left"/>
        <w:rPr>
          <w:rFonts w:ascii="宋体" w:hAnsi="宋体"/>
          <w:kern w:val="44"/>
        </w:rPr>
      </w:pPr>
      <w:r>
        <w:rPr>
          <w:rFonts w:hint="eastAsia" w:ascii="宋体" w:hAnsi="宋体"/>
          <w:kern w:val="44"/>
        </w:rPr>
        <w:t>接收单位需从国外购进卫星地面接收设备的，须在申请《许可证》时，提供所需进口设备的详细技术资料。经市广播电视局批准，领得《许可证》后，方可按国家有关机电设备进口的管理规定办理。</w:t>
      </w:r>
    </w:p>
    <w:p w14:paraId="59FB98CF">
      <w:pPr>
        <w:ind w:firstLine="422"/>
        <w:jc w:val="left"/>
        <w:rPr>
          <w:rFonts w:ascii="宋体" w:hAnsi="宋体"/>
          <w:kern w:val="44"/>
        </w:rPr>
      </w:pPr>
      <w:r>
        <w:rPr>
          <w:rFonts w:hint="eastAsia" w:ascii="宋体" w:hAnsi="宋体"/>
          <w:b/>
          <w:kern w:val="44"/>
        </w:rPr>
        <w:t>第七条</w:t>
      </w:r>
      <w:r>
        <w:rPr>
          <w:rFonts w:hint="eastAsia" w:ascii="宋体" w:hAnsi="宋体"/>
          <w:kern w:val="44"/>
        </w:rPr>
        <w:t>　经批准的接收单位，须按《许可证》载明的内容和有效期限接收外国卫星传送的电视节目。《许可证》的有效期为一年，持证单位须每年向发证机关办理换证登记；申请变更《许可证》内容或不再接收外国卫星电视节目的单位，须向原发证机关办理变更或注销登记。发证机关应按本规定第四条第二款办理备案手续。</w:t>
      </w:r>
    </w:p>
    <w:p w14:paraId="45A37CE5">
      <w:pPr>
        <w:ind w:firstLine="422"/>
        <w:jc w:val="left"/>
        <w:rPr>
          <w:rFonts w:ascii="宋体" w:hAnsi="宋体"/>
          <w:kern w:val="44"/>
        </w:rPr>
      </w:pPr>
      <w:r>
        <w:rPr>
          <w:rFonts w:hint="eastAsia" w:ascii="宋体" w:hAnsi="宋体"/>
          <w:b/>
          <w:kern w:val="44"/>
        </w:rPr>
        <w:t>第八条</w:t>
      </w:r>
      <w:r>
        <w:rPr>
          <w:rFonts w:hint="eastAsia" w:ascii="宋体" w:hAnsi="宋体"/>
          <w:kern w:val="44"/>
        </w:rPr>
        <w:t>　接收单位接收外国卫星传送的电视节目，只允许在本单位业务工作中使用。经市广播电视局批准可以录制电视节目的单位，录制内容须经本单位领导批准，并指定专人严格保管。未经批准，其他单位不得录制和传播。</w:t>
      </w:r>
    </w:p>
    <w:p w14:paraId="231788EC">
      <w:pPr>
        <w:jc w:val="left"/>
        <w:rPr>
          <w:rFonts w:ascii="宋体" w:hAnsi="宋体"/>
          <w:kern w:val="44"/>
        </w:rPr>
      </w:pPr>
      <w:r>
        <w:rPr>
          <w:rFonts w:hint="eastAsia" w:ascii="宋体" w:hAnsi="宋体"/>
          <w:kern w:val="44"/>
        </w:rPr>
        <w:t>经批准录制的音像资料的目录，须每季度报市广播电视局、市公安局、市国家安全局备案。市广播电视局、市公安局、市国家安全局有权调阅录制的音像资料。</w:t>
      </w:r>
    </w:p>
    <w:p w14:paraId="1CBD6F63">
      <w:pPr>
        <w:ind w:firstLine="422"/>
        <w:jc w:val="left"/>
        <w:rPr>
          <w:rFonts w:ascii="宋体" w:hAnsi="宋体"/>
          <w:kern w:val="44"/>
        </w:rPr>
      </w:pPr>
      <w:r>
        <w:rPr>
          <w:rFonts w:hint="eastAsia" w:ascii="宋体" w:hAnsi="宋体"/>
          <w:b/>
          <w:kern w:val="44"/>
        </w:rPr>
        <w:t>第九条</w:t>
      </w:r>
      <w:r>
        <w:rPr>
          <w:rFonts w:hint="eastAsia" w:ascii="宋体" w:hAnsi="宋体"/>
          <w:kern w:val="44"/>
        </w:rPr>
        <w:t>　不按本规定第七条、第八条的规定接收、使用外国卫星传送的电视节目或办理变更登记的，由市广播电视局会同市公安局、市国家安全局视情节轻重，给予警告、2万元以下罚款、直至吊销《许可证》的处罚。吊销《许可证》的，可同时没收卫星地面接收设施。对未持有《许可证》擅自设置卫星地面接收设施或者接收外国卫星传送电视节目的，没收卫星地面接收设施，并可处以5万元以下罚款。对有上述行为的单位，可提请其主管部门对单位负责人和直接责任人给予行政处分。</w:t>
      </w:r>
    </w:p>
    <w:p w14:paraId="3D291309">
      <w:pPr>
        <w:jc w:val="left"/>
        <w:rPr>
          <w:rFonts w:ascii="宋体" w:hAnsi="宋体"/>
          <w:kern w:val="44"/>
        </w:rPr>
      </w:pPr>
      <w:r>
        <w:rPr>
          <w:rFonts w:hint="eastAsia" w:ascii="宋体" w:hAnsi="宋体"/>
          <w:kern w:val="44"/>
        </w:rPr>
        <w:t>对抗拒、阻碍广播电视管理机关和公安、国家安全机关执行公务，或录制、传播反动、淫秽电视节目的，由公安机关依法处理；情节严重，构成犯罪的，依法追究刑事责任。</w:t>
      </w:r>
    </w:p>
    <w:p w14:paraId="7EA1D950">
      <w:pPr>
        <w:ind w:firstLine="422"/>
        <w:jc w:val="left"/>
        <w:rPr>
          <w:rFonts w:ascii="宋体" w:hAnsi="宋体"/>
          <w:kern w:val="44"/>
        </w:rPr>
      </w:pPr>
      <w:r>
        <w:rPr>
          <w:rFonts w:hint="eastAsia" w:ascii="宋体" w:hAnsi="宋体"/>
          <w:b/>
          <w:kern w:val="44"/>
        </w:rPr>
        <w:t>第十条</w:t>
      </w:r>
      <w:r>
        <w:rPr>
          <w:rFonts w:hint="eastAsia" w:ascii="宋体" w:hAnsi="宋体"/>
          <w:kern w:val="44"/>
        </w:rPr>
        <w:t>　区、县广播电视管理机关和公安、国家安全机关对违反《办法》和本规定的行为有权予以制止，并及时报市广播电视局、市公安局、市国家安全处理。</w:t>
      </w:r>
    </w:p>
    <w:p w14:paraId="1C4B37B0">
      <w:pPr>
        <w:ind w:firstLine="422"/>
        <w:jc w:val="left"/>
        <w:rPr>
          <w:rFonts w:ascii="宋体" w:hAnsi="宋体"/>
          <w:kern w:val="44"/>
        </w:rPr>
      </w:pPr>
      <w:r>
        <w:rPr>
          <w:rFonts w:hint="eastAsia" w:ascii="宋体" w:hAnsi="宋体"/>
          <w:b/>
          <w:kern w:val="44"/>
        </w:rPr>
        <w:t>第十一条</w:t>
      </w:r>
      <w:r>
        <w:rPr>
          <w:rFonts w:hint="eastAsia" w:ascii="宋体" w:hAnsi="宋体"/>
          <w:kern w:val="44"/>
        </w:rPr>
        <w:t>　本规定具体执行中问题，由市广播电视局负责解释。其中有关治安、安全管理的问题，由市公安局、市国家安全局负责解释。</w:t>
      </w:r>
    </w:p>
    <w:p w14:paraId="4A7243EB">
      <w:pPr>
        <w:ind w:firstLine="422"/>
        <w:jc w:val="left"/>
        <w:rPr>
          <w:rFonts w:ascii="宋体" w:hAnsi="宋体"/>
          <w:kern w:val="44"/>
        </w:rPr>
      </w:pPr>
      <w:r>
        <w:rPr>
          <w:rFonts w:hint="eastAsia" w:ascii="宋体" w:hAnsi="宋体"/>
          <w:b/>
          <w:kern w:val="44"/>
        </w:rPr>
        <w:t>第十二条</w:t>
      </w:r>
      <w:r>
        <w:rPr>
          <w:rFonts w:hint="eastAsia" w:ascii="宋体" w:hAnsi="宋体"/>
          <w:kern w:val="44"/>
        </w:rPr>
        <w:t>　常住外国人的涉外宾馆、饭店、公寓、写字楼实施《卫星地面接收设施接收外国卫星传送电视节目管理办法》的具体办法另行规定。</w:t>
      </w:r>
    </w:p>
    <w:p w14:paraId="3BB12A3E">
      <w:pPr>
        <w:ind w:firstLine="422"/>
        <w:jc w:val="left"/>
        <w:rPr>
          <w:rFonts w:ascii="宋体" w:hAnsi="宋体"/>
          <w:kern w:val="44"/>
        </w:rPr>
      </w:pPr>
      <w:r>
        <w:rPr>
          <w:rFonts w:hint="eastAsia" w:ascii="宋体" w:hAnsi="宋体"/>
          <w:b/>
          <w:kern w:val="44"/>
        </w:rPr>
        <w:t>第十三条</w:t>
      </w:r>
      <w:r>
        <w:rPr>
          <w:rFonts w:hint="eastAsia" w:ascii="宋体" w:hAnsi="宋体"/>
          <w:kern w:val="44"/>
        </w:rPr>
        <w:t>　本规定自1991年6月1日起施行。《办法》和本规定施行前设置卫星地面接收设施接收外国电视节目的单位，须自本规定施行之日起三个月内按本规定重新申报审批。逾期不申报或经审核未批准的，予以取缔。</w:t>
      </w:r>
    </w:p>
    <w:p w14:paraId="344E7199">
      <w:pPr>
        <w:pStyle w:val="4"/>
        <w:pageBreakBefore/>
        <w:rPr>
          <w:kern w:val="44"/>
          <w:sz w:val="36"/>
          <w:szCs w:val="36"/>
        </w:rPr>
      </w:pPr>
      <w:bookmarkStart w:id="1586" w:name="_Toc427652009"/>
      <w:bookmarkStart w:id="1587" w:name="_Toc422471414"/>
      <w:bookmarkStart w:id="1588" w:name="_Toc428780233"/>
      <w:bookmarkStart w:id="1589" w:name="_Toc427651667"/>
      <w:bookmarkStart w:id="1590" w:name="_Toc428781715"/>
      <w:r>
        <w:rPr>
          <w:rFonts w:hint="eastAsia"/>
          <w:kern w:val="44"/>
          <w:sz w:val="36"/>
          <w:szCs w:val="36"/>
        </w:rPr>
        <w:t>北京市涉外宾馆卫星电视广播地面</w:t>
      </w:r>
      <w:bookmarkEnd w:id="1586"/>
      <w:bookmarkEnd w:id="1587"/>
      <w:bookmarkEnd w:id="1588"/>
      <w:bookmarkEnd w:id="1589"/>
      <w:bookmarkEnd w:id="1590"/>
    </w:p>
    <w:p w14:paraId="219F707B">
      <w:pPr>
        <w:pStyle w:val="4"/>
        <w:rPr>
          <w:kern w:val="44"/>
          <w:sz w:val="36"/>
          <w:szCs w:val="36"/>
        </w:rPr>
      </w:pPr>
      <w:bookmarkStart w:id="1591" w:name="_Toc422471415"/>
      <w:bookmarkStart w:id="1592" w:name="_Toc427652010"/>
      <w:bookmarkStart w:id="1593" w:name="_Toc428781716"/>
      <w:bookmarkStart w:id="1594" w:name="_Toc427651668"/>
      <w:bookmarkStart w:id="1595" w:name="_Toc428780234"/>
      <w:r>
        <w:rPr>
          <w:rFonts w:hint="eastAsia"/>
          <w:kern w:val="44"/>
          <w:sz w:val="36"/>
          <w:szCs w:val="36"/>
        </w:rPr>
        <w:t>接收设施接收卫星传送境外</w:t>
      </w:r>
      <w:bookmarkEnd w:id="1591"/>
      <w:bookmarkStart w:id="1596" w:name="_Toc422471416"/>
      <w:r>
        <w:rPr>
          <w:rFonts w:hint="eastAsia"/>
          <w:kern w:val="44"/>
          <w:sz w:val="36"/>
          <w:szCs w:val="36"/>
        </w:rPr>
        <w:t>电视节目管理规定</w:t>
      </w:r>
      <w:bookmarkEnd w:id="1592"/>
      <w:bookmarkEnd w:id="1593"/>
      <w:bookmarkEnd w:id="1594"/>
      <w:bookmarkEnd w:id="1595"/>
      <w:bookmarkEnd w:id="1596"/>
    </w:p>
    <w:p w14:paraId="1BE65A44">
      <w:pPr>
        <w:ind w:left="630" w:leftChars="300" w:right="630" w:rightChars="300"/>
        <w:jc w:val="left"/>
        <w:rPr>
          <w:rFonts w:ascii="楷体" w:hAnsi="楷体" w:eastAsia="楷体"/>
          <w:kern w:val="44"/>
        </w:rPr>
      </w:pPr>
      <w:r>
        <w:rPr>
          <w:rFonts w:hint="eastAsia" w:ascii="楷体" w:hAnsi="楷体" w:eastAsia="楷体"/>
          <w:kern w:val="44"/>
        </w:rPr>
        <w:t>（1994年8月30日北京市人民政府批准　1994年10月18日北京市广播电视局、北京市公安局、北京市国家安全局发布　根据1997年12月31日北京市人民政府第12号令修改）</w:t>
      </w:r>
    </w:p>
    <w:p w14:paraId="45FE1B14">
      <w:pPr>
        <w:jc w:val="left"/>
        <w:rPr>
          <w:rFonts w:ascii="宋体" w:hAnsi="宋体"/>
          <w:kern w:val="44"/>
        </w:rPr>
      </w:pPr>
    </w:p>
    <w:p w14:paraId="36F0C037">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卫星电视广播地面接收设施接收卫星传送的境外电视节目的管理，根据国务院《卫星地面接收设施接收外国卫星传送电视节目管理办法》（以下简称《管理办法》）、《卫星电视广播地面接收设施管理规定》（以下简称《管理规定》）和广播电影电视部《〈卫星电视广播地面接收设施管理规定〉实施细则》（以下简称《实施细则》），结合本市实际情况，制定本规定。</w:t>
      </w:r>
    </w:p>
    <w:p w14:paraId="463B4A0E">
      <w:pPr>
        <w:ind w:firstLine="422"/>
        <w:jc w:val="left"/>
        <w:rPr>
          <w:rFonts w:ascii="宋体" w:hAnsi="宋体"/>
          <w:kern w:val="44"/>
        </w:rPr>
      </w:pPr>
      <w:r>
        <w:rPr>
          <w:rFonts w:hint="eastAsia" w:ascii="宋体" w:hAnsi="宋体"/>
          <w:b/>
          <w:kern w:val="44"/>
        </w:rPr>
        <w:t>第二条</w:t>
      </w:r>
      <w:r>
        <w:rPr>
          <w:rFonts w:hint="eastAsia" w:ascii="宋体" w:hAnsi="宋体"/>
          <w:kern w:val="44"/>
        </w:rPr>
        <w:t>　凡在本市行政区域内的涉外宾馆、饭店、写字楼、公寓设置卫星电视广播地面接收设施接收卫星传送境外电视节目，均须遵守《管理办法》《管理规定》、《实施细则》和本规定。</w:t>
      </w:r>
    </w:p>
    <w:p w14:paraId="75B2CF21">
      <w:pPr>
        <w:ind w:firstLine="422"/>
        <w:jc w:val="left"/>
        <w:rPr>
          <w:rFonts w:ascii="宋体" w:hAnsi="宋体"/>
          <w:kern w:val="44"/>
        </w:rPr>
      </w:pPr>
      <w:r>
        <w:rPr>
          <w:rFonts w:hint="eastAsia" w:ascii="宋体" w:hAnsi="宋体"/>
          <w:b/>
          <w:kern w:val="44"/>
        </w:rPr>
        <w:t>第三条</w:t>
      </w:r>
      <w:r>
        <w:rPr>
          <w:rFonts w:hint="eastAsia" w:ascii="宋体" w:hAnsi="宋体"/>
          <w:kern w:val="44"/>
        </w:rPr>
        <w:t>　市广播电视局是本市卫星电视广播地面接收设施接收卫星传送境外电视节目的主管机关；区、县广播电视管理机关负责本辖区卫星电视地面接收设施接收卫星传送境外电视节目的日常管理工作。</w:t>
      </w:r>
    </w:p>
    <w:p w14:paraId="1FD75A88">
      <w:pPr>
        <w:jc w:val="left"/>
        <w:rPr>
          <w:rFonts w:ascii="宋体" w:hAnsi="宋体"/>
          <w:kern w:val="44"/>
        </w:rPr>
      </w:pPr>
      <w:r>
        <w:rPr>
          <w:rFonts w:hint="eastAsia" w:ascii="宋体" w:hAnsi="宋体"/>
          <w:kern w:val="44"/>
        </w:rPr>
        <w:t>公安、国家安全机关依照《管理办法》、《管理规定》、《实施细则》和本规定，负责治安和国家安全管理。</w:t>
      </w:r>
    </w:p>
    <w:p w14:paraId="5A80578E">
      <w:pPr>
        <w:jc w:val="left"/>
        <w:rPr>
          <w:rFonts w:ascii="宋体" w:hAnsi="宋体"/>
          <w:kern w:val="44"/>
        </w:rPr>
      </w:pPr>
      <w:r>
        <w:rPr>
          <w:rFonts w:hint="eastAsia" w:ascii="宋体" w:hAnsi="宋体"/>
          <w:kern w:val="44"/>
        </w:rPr>
        <w:t>旅游行政机关配合广播、公安、国家安全部门做好卫星电视地面接收设施接收卫星传送境外电视节目的管理工作。</w:t>
      </w:r>
    </w:p>
    <w:p w14:paraId="1A27065F">
      <w:pPr>
        <w:ind w:firstLine="422"/>
        <w:jc w:val="left"/>
        <w:rPr>
          <w:rFonts w:ascii="宋体" w:hAnsi="宋体"/>
          <w:kern w:val="44"/>
        </w:rPr>
      </w:pPr>
      <w:r>
        <w:rPr>
          <w:rFonts w:hint="eastAsia" w:ascii="宋体" w:hAnsi="宋体"/>
          <w:b/>
          <w:kern w:val="44"/>
        </w:rPr>
        <w:t>第四条</w:t>
      </w:r>
      <w:r>
        <w:rPr>
          <w:rFonts w:hint="eastAsia" w:ascii="宋体" w:hAnsi="宋体"/>
          <w:kern w:val="44"/>
        </w:rPr>
        <w:t>　申请设置卫星电视地面接收设施接收卫星传送境外电视节目的涉外宾馆、饭店、写字楼及公寓（以下简称接收单位），必须具备下列条件：</w:t>
      </w:r>
    </w:p>
    <w:p w14:paraId="70FA1C2D">
      <w:pPr>
        <w:jc w:val="left"/>
        <w:rPr>
          <w:rFonts w:ascii="宋体" w:hAnsi="宋体"/>
          <w:kern w:val="44"/>
        </w:rPr>
      </w:pPr>
      <w:r>
        <w:rPr>
          <w:rFonts w:hint="eastAsia" w:ascii="宋体" w:hAnsi="宋体"/>
          <w:kern w:val="44"/>
        </w:rPr>
        <w:t>（一）有确定的接收方位、接收内容和收视人员范围；</w:t>
      </w:r>
    </w:p>
    <w:p w14:paraId="7247512E">
      <w:pPr>
        <w:jc w:val="left"/>
        <w:rPr>
          <w:rFonts w:ascii="宋体" w:hAnsi="宋体"/>
          <w:kern w:val="44"/>
        </w:rPr>
      </w:pPr>
      <w:r>
        <w:rPr>
          <w:rFonts w:hint="eastAsia" w:ascii="宋体" w:hAnsi="宋体"/>
          <w:kern w:val="44"/>
        </w:rPr>
        <w:t>（二）有符合国家标准的接收设备；</w:t>
      </w:r>
    </w:p>
    <w:p w14:paraId="55A902F4">
      <w:pPr>
        <w:jc w:val="left"/>
        <w:rPr>
          <w:rFonts w:ascii="宋体" w:hAnsi="宋体"/>
          <w:kern w:val="44"/>
        </w:rPr>
      </w:pPr>
      <w:r>
        <w:rPr>
          <w:rFonts w:hint="eastAsia" w:ascii="宋体" w:hAnsi="宋体"/>
          <w:kern w:val="44"/>
        </w:rPr>
        <w:t>（三）有合格的专职管理人员；</w:t>
      </w:r>
    </w:p>
    <w:p w14:paraId="584D8218">
      <w:pPr>
        <w:jc w:val="left"/>
        <w:rPr>
          <w:rFonts w:ascii="宋体" w:hAnsi="宋体"/>
          <w:kern w:val="44"/>
        </w:rPr>
      </w:pPr>
      <w:r>
        <w:rPr>
          <w:rFonts w:hint="eastAsia" w:ascii="宋体" w:hAnsi="宋体"/>
          <w:kern w:val="44"/>
        </w:rPr>
        <w:t>（四）有健全的管理制度；</w:t>
      </w:r>
    </w:p>
    <w:p w14:paraId="4F7F86BA">
      <w:pPr>
        <w:jc w:val="left"/>
        <w:rPr>
          <w:rFonts w:ascii="宋体" w:hAnsi="宋体"/>
          <w:kern w:val="44"/>
        </w:rPr>
      </w:pPr>
      <w:r>
        <w:rPr>
          <w:rFonts w:hint="eastAsia" w:ascii="宋体" w:hAnsi="宋体"/>
          <w:kern w:val="44"/>
        </w:rPr>
        <w:t>（五）国家三星级以上的涉外宾馆、饭店以及专供外国人和港、澳、台人士办公或者居住的写字楼、公寓。</w:t>
      </w:r>
    </w:p>
    <w:p w14:paraId="53883ED1">
      <w:pPr>
        <w:ind w:firstLine="422"/>
        <w:jc w:val="left"/>
        <w:rPr>
          <w:rFonts w:ascii="宋体" w:hAnsi="宋体"/>
          <w:kern w:val="44"/>
        </w:rPr>
      </w:pPr>
      <w:r>
        <w:rPr>
          <w:rFonts w:hint="eastAsia" w:ascii="宋体" w:hAnsi="宋体"/>
          <w:b/>
          <w:kern w:val="44"/>
        </w:rPr>
        <w:t>第五条</w:t>
      </w:r>
      <w:r>
        <w:rPr>
          <w:rFonts w:hint="eastAsia" w:ascii="宋体" w:hAnsi="宋体"/>
          <w:kern w:val="44"/>
        </w:rPr>
        <w:t>　接收单位必须按下列规定办理审批手续：</w:t>
      </w:r>
    </w:p>
    <w:p w14:paraId="5314A5EA">
      <w:pPr>
        <w:jc w:val="left"/>
        <w:rPr>
          <w:rFonts w:ascii="宋体" w:hAnsi="宋体"/>
          <w:kern w:val="44"/>
        </w:rPr>
      </w:pPr>
      <w:r>
        <w:rPr>
          <w:rFonts w:hint="eastAsia" w:ascii="宋体" w:hAnsi="宋体"/>
          <w:kern w:val="44"/>
        </w:rPr>
        <w:t>（一）经市广播电视局审核批准，持批准证明购买卫星接收设施；</w:t>
      </w:r>
    </w:p>
    <w:p w14:paraId="3D3122D2">
      <w:pPr>
        <w:jc w:val="left"/>
        <w:rPr>
          <w:rFonts w:ascii="宋体" w:hAnsi="宋体"/>
          <w:kern w:val="44"/>
        </w:rPr>
      </w:pPr>
      <w:r>
        <w:rPr>
          <w:rFonts w:hint="eastAsia" w:ascii="宋体" w:hAnsi="宋体"/>
          <w:kern w:val="44"/>
        </w:rPr>
        <w:t>（二）使用进口卫星接收设施的，按国家有关规定经海关审核批准；</w:t>
      </w:r>
    </w:p>
    <w:p w14:paraId="3AC6D607">
      <w:pPr>
        <w:jc w:val="left"/>
        <w:rPr>
          <w:rFonts w:ascii="宋体" w:hAnsi="宋体"/>
          <w:kern w:val="44"/>
        </w:rPr>
      </w:pPr>
      <w:r>
        <w:rPr>
          <w:rFonts w:hint="eastAsia" w:ascii="宋体" w:hAnsi="宋体"/>
          <w:kern w:val="44"/>
        </w:rPr>
        <w:t>（三）由持有《卫星地面接收设施安装许可证》的单位设计安装后，经市广播电视局、市公安局、市国家安全局验收合格，发给《接收卫星传送境外电视节目许可证》（以下简称《许可证》）后，方可接收卫星传送的境外电视节目。</w:t>
      </w:r>
    </w:p>
    <w:p w14:paraId="42C7F75C">
      <w:pPr>
        <w:ind w:firstLine="422"/>
        <w:jc w:val="left"/>
        <w:rPr>
          <w:rFonts w:ascii="宋体" w:hAnsi="宋体"/>
          <w:kern w:val="44"/>
        </w:rPr>
      </w:pPr>
      <w:r>
        <w:rPr>
          <w:rFonts w:hint="eastAsia" w:ascii="宋体" w:hAnsi="宋体"/>
          <w:b/>
          <w:kern w:val="44"/>
        </w:rPr>
        <w:t>第六条</w:t>
      </w:r>
      <w:r>
        <w:rPr>
          <w:rFonts w:hint="eastAsia" w:ascii="宋体" w:hAnsi="宋体"/>
          <w:kern w:val="44"/>
        </w:rPr>
        <w:t>　持有《许可证》的接收单位，必须遵守下列规定：</w:t>
      </w:r>
    </w:p>
    <w:p w14:paraId="00F9BF39">
      <w:pPr>
        <w:jc w:val="left"/>
        <w:rPr>
          <w:rFonts w:ascii="宋体" w:hAnsi="宋体"/>
          <w:kern w:val="44"/>
        </w:rPr>
      </w:pPr>
      <w:r>
        <w:rPr>
          <w:rFonts w:hint="eastAsia" w:ascii="宋体" w:hAnsi="宋体"/>
          <w:kern w:val="44"/>
        </w:rPr>
        <w:t>（一）严格按照《许可证》载明的接收目的、接收内容、接收方式和收视人员范围接收卫星传送的境外电视节目；</w:t>
      </w:r>
    </w:p>
    <w:p w14:paraId="0A1AC5F0">
      <w:pPr>
        <w:jc w:val="left"/>
        <w:rPr>
          <w:rFonts w:ascii="宋体" w:hAnsi="宋体"/>
          <w:kern w:val="44"/>
        </w:rPr>
      </w:pPr>
      <w:r>
        <w:rPr>
          <w:rFonts w:hint="eastAsia" w:ascii="宋体" w:hAnsi="宋体"/>
          <w:kern w:val="44"/>
        </w:rPr>
        <w:t>（二）接收单位的负责人对本单位接收卫星传送境外电视节目的工作加强管理，并设置专人进行不间断的监控；</w:t>
      </w:r>
    </w:p>
    <w:p w14:paraId="64E36ECB">
      <w:pPr>
        <w:jc w:val="left"/>
        <w:rPr>
          <w:rFonts w:ascii="宋体" w:hAnsi="宋体"/>
          <w:kern w:val="44"/>
        </w:rPr>
      </w:pPr>
      <w:r>
        <w:rPr>
          <w:rFonts w:hint="eastAsia" w:ascii="宋体" w:hAnsi="宋体"/>
          <w:kern w:val="44"/>
        </w:rPr>
        <w:t>（三）严禁接收和传送反动、淫秽内容的电视节目；</w:t>
      </w:r>
    </w:p>
    <w:p w14:paraId="4C17F5A6">
      <w:pPr>
        <w:jc w:val="left"/>
        <w:rPr>
          <w:rFonts w:ascii="宋体" w:hAnsi="宋体"/>
          <w:kern w:val="44"/>
        </w:rPr>
      </w:pPr>
      <w:r>
        <w:rPr>
          <w:rFonts w:hint="eastAsia" w:ascii="宋体" w:hAnsi="宋体"/>
          <w:kern w:val="44"/>
        </w:rPr>
        <w:t>（四）接到市广播电视局、市公安局、市国家安全局在必要时作出的关闭通知后，应当立即停止接收和传送境外电视节目的活动；对拒不停止接收和传送境外电视节目的，由发证部门注销并收回其许可证。</w:t>
      </w:r>
    </w:p>
    <w:p w14:paraId="67D3D8C5">
      <w:pPr>
        <w:ind w:firstLine="422"/>
        <w:jc w:val="left"/>
        <w:rPr>
          <w:rFonts w:ascii="宋体" w:hAnsi="宋体"/>
          <w:kern w:val="44"/>
        </w:rPr>
      </w:pPr>
      <w:r>
        <w:rPr>
          <w:rFonts w:hint="eastAsia" w:ascii="宋体" w:hAnsi="宋体"/>
          <w:b/>
          <w:kern w:val="44"/>
        </w:rPr>
        <w:t>第七条</w:t>
      </w:r>
      <w:r>
        <w:rPr>
          <w:rFonts w:hint="eastAsia" w:ascii="宋体" w:hAnsi="宋体"/>
          <w:kern w:val="44"/>
        </w:rPr>
        <w:t>　违反本规定，按下列规定予以处罚：</w:t>
      </w:r>
    </w:p>
    <w:p w14:paraId="01309B5A">
      <w:pPr>
        <w:jc w:val="left"/>
        <w:rPr>
          <w:rFonts w:ascii="宋体" w:hAnsi="宋体"/>
          <w:kern w:val="44"/>
        </w:rPr>
      </w:pPr>
      <w:r>
        <w:rPr>
          <w:rFonts w:hint="eastAsia" w:ascii="宋体" w:hAnsi="宋体"/>
          <w:kern w:val="44"/>
        </w:rPr>
        <w:t>（一）违反第五条规定未经批准擅自设置卫星接收设施接收和传送境外电视节目的，由市广播电视局没收其卫星接收设施，处以5万元以下罚款；</w:t>
      </w:r>
    </w:p>
    <w:p w14:paraId="3CAC1E0D">
      <w:pPr>
        <w:jc w:val="left"/>
        <w:rPr>
          <w:rFonts w:ascii="宋体" w:hAnsi="宋体"/>
          <w:kern w:val="44"/>
        </w:rPr>
      </w:pPr>
      <w:r>
        <w:rPr>
          <w:rFonts w:hint="eastAsia" w:ascii="宋体" w:hAnsi="宋体"/>
          <w:kern w:val="44"/>
        </w:rPr>
        <w:t>（二）违反第六条第（一）项规定的，由市广播电视局给予警告或者处以2万元以下罚款；情节严重的，由发证机关吊销其《许可证》；</w:t>
      </w:r>
    </w:p>
    <w:p w14:paraId="274D316F">
      <w:pPr>
        <w:jc w:val="left"/>
        <w:rPr>
          <w:rFonts w:ascii="宋体" w:hAnsi="宋体"/>
          <w:kern w:val="44"/>
        </w:rPr>
      </w:pPr>
      <w:r>
        <w:rPr>
          <w:rFonts w:hint="eastAsia" w:ascii="宋体" w:hAnsi="宋体"/>
          <w:kern w:val="44"/>
        </w:rPr>
        <w:t>（三）违反第六条第（三）项规定的，由市公安局依照《中华人民共和国治安管理处罚条例》的规定予以处罚；情节严重，构成犯罪的，依法追究刑事责任。</w:t>
      </w:r>
    </w:p>
    <w:p w14:paraId="1C5FBFB1">
      <w:pPr>
        <w:jc w:val="left"/>
        <w:rPr>
          <w:rFonts w:ascii="宋体" w:hAnsi="宋体"/>
          <w:kern w:val="44"/>
        </w:rPr>
      </w:pPr>
      <w:r>
        <w:rPr>
          <w:rFonts w:hint="eastAsia" w:ascii="宋体" w:hAnsi="宋体"/>
          <w:kern w:val="44"/>
        </w:rPr>
        <w:t>违反《国家安全法》的，由市国家安全局依法予以处罚。</w:t>
      </w:r>
    </w:p>
    <w:p w14:paraId="55B3B9A9">
      <w:pPr>
        <w:ind w:firstLine="422"/>
        <w:jc w:val="left"/>
        <w:rPr>
          <w:rFonts w:ascii="宋体" w:hAnsi="宋体"/>
          <w:kern w:val="44"/>
        </w:rPr>
      </w:pPr>
      <w:r>
        <w:rPr>
          <w:rFonts w:hint="eastAsia" w:ascii="宋体" w:hAnsi="宋体"/>
          <w:b/>
          <w:kern w:val="44"/>
        </w:rPr>
        <w:t>第八条</w:t>
      </w:r>
      <w:r>
        <w:rPr>
          <w:rFonts w:hint="eastAsia" w:ascii="宋体" w:hAnsi="宋体"/>
          <w:kern w:val="44"/>
        </w:rPr>
        <w:t>　本规定执行中的具体问题，由市广播电视局负责解释。其中治安、国家安全管理方面的问题，由市公安局、市国家安全局负责解释。</w:t>
      </w:r>
    </w:p>
    <w:p w14:paraId="00F9ACA0">
      <w:pPr>
        <w:ind w:firstLine="422"/>
        <w:jc w:val="left"/>
        <w:rPr>
          <w:rFonts w:ascii="宋体" w:hAnsi="宋体"/>
          <w:kern w:val="44"/>
        </w:rPr>
      </w:pPr>
      <w:r>
        <w:rPr>
          <w:rFonts w:hint="eastAsia" w:ascii="宋体" w:hAnsi="宋体"/>
          <w:b/>
          <w:kern w:val="44"/>
        </w:rPr>
        <w:t>第九条</w:t>
      </w:r>
      <w:r>
        <w:rPr>
          <w:rFonts w:hint="eastAsia" w:ascii="宋体" w:hAnsi="宋体"/>
          <w:kern w:val="44"/>
        </w:rPr>
        <w:t>　本规定经市人民政府批准，自发布之日起施行。本规定发布前已经设置卫星电视地面接收设施接收卫星传送境外电视节目的，接收单位必须在本规定实施之日起6个月内按本规定补办审批手续；逾期不补办的，由市广播电视局按本规定处理。</w:t>
      </w:r>
    </w:p>
    <w:p w14:paraId="216EC854">
      <w:pPr>
        <w:pStyle w:val="3"/>
        <w:pageBreakBefore/>
        <w:rPr>
          <w:kern w:val="44"/>
        </w:rPr>
      </w:pPr>
      <w:bookmarkStart w:id="1597" w:name="_Toc427651669"/>
      <w:bookmarkStart w:id="1598" w:name="_Toc428780235"/>
      <w:bookmarkStart w:id="1599" w:name="_Toc422471417"/>
      <w:bookmarkStart w:id="1600" w:name="_Toc428781717"/>
      <w:bookmarkStart w:id="1601" w:name="_Toc427652011"/>
      <w:r>
        <w:rPr>
          <w:rFonts w:hint="eastAsia"/>
          <w:kern w:val="44"/>
        </w:rPr>
        <w:t>（四）文化管理</w:t>
      </w:r>
      <w:bookmarkEnd w:id="1597"/>
      <w:bookmarkEnd w:id="1598"/>
      <w:bookmarkEnd w:id="1599"/>
      <w:bookmarkEnd w:id="1600"/>
      <w:bookmarkEnd w:id="1601"/>
    </w:p>
    <w:p w14:paraId="07B4DCD2"/>
    <w:p w14:paraId="382BB7ED">
      <w:pPr>
        <w:pStyle w:val="4"/>
        <w:rPr>
          <w:kern w:val="44"/>
        </w:rPr>
      </w:pPr>
      <w:bookmarkStart w:id="1602" w:name="_Toc427652012"/>
      <w:bookmarkStart w:id="1603" w:name="_Toc428781718"/>
      <w:bookmarkStart w:id="1604" w:name="_Toc428780236"/>
      <w:bookmarkStart w:id="1605" w:name="_Toc427651670"/>
      <w:bookmarkStart w:id="1606" w:name="_Toc422471418"/>
      <w:r>
        <w:rPr>
          <w:rFonts w:hint="eastAsia"/>
          <w:kern w:val="44"/>
        </w:rPr>
        <w:t>北京市博物馆条例</w:t>
      </w:r>
      <w:bookmarkEnd w:id="1602"/>
      <w:bookmarkEnd w:id="1603"/>
      <w:bookmarkEnd w:id="1604"/>
      <w:bookmarkEnd w:id="1605"/>
      <w:bookmarkEnd w:id="1606"/>
    </w:p>
    <w:p w14:paraId="3DF8BE9C">
      <w:pPr>
        <w:ind w:left="630" w:leftChars="300" w:right="630" w:rightChars="300"/>
        <w:jc w:val="left"/>
        <w:rPr>
          <w:rFonts w:ascii="楷体" w:hAnsi="楷体" w:eastAsia="楷体"/>
          <w:kern w:val="44"/>
        </w:rPr>
      </w:pPr>
      <w:r>
        <w:rPr>
          <w:rFonts w:hint="eastAsia" w:ascii="楷体" w:hAnsi="楷体" w:eastAsia="楷体"/>
          <w:kern w:val="44"/>
        </w:rPr>
        <w:t>（2000年9月22日北京市第十一届人民代表大会常务委员会第二十一次会议通过）</w:t>
      </w:r>
    </w:p>
    <w:p w14:paraId="0574F6A0">
      <w:pPr>
        <w:jc w:val="left"/>
        <w:rPr>
          <w:rFonts w:ascii="宋体" w:hAnsi="宋体"/>
          <w:kern w:val="44"/>
        </w:rPr>
      </w:pPr>
    </w:p>
    <w:p w14:paraId="0000A77E">
      <w:pPr>
        <w:ind w:firstLine="0" w:firstLineChars="0"/>
        <w:jc w:val="center"/>
        <w:rPr>
          <w:rFonts w:ascii="宋体" w:hAnsi="宋体"/>
          <w:b/>
          <w:kern w:val="44"/>
          <w:sz w:val="28"/>
        </w:rPr>
      </w:pPr>
      <w:r>
        <w:rPr>
          <w:rFonts w:hint="eastAsia" w:ascii="宋体" w:hAnsi="宋体"/>
          <w:b/>
          <w:kern w:val="44"/>
          <w:sz w:val="28"/>
        </w:rPr>
        <w:t>第一章　总　则</w:t>
      </w:r>
    </w:p>
    <w:p w14:paraId="29D7C00B">
      <w:pPr>
        <w:jc w:val="left"/>
        <w:rPr>
          <w:rFonts w:ascii="宋体" w:hAnsi="宋体"/>
          <w:kern w:val="44"/>
        </w:rPr>
      </w:pPr>
    </w:p>
    <w:p w14:paraId="277B5203">
      <w:pPr>
        <w:ind w:firstLine="422"/>
        <w:jc w:val="left"/>
        <w:rPr>
          <w:rFonts w:ascii="宋体" w:hAnsi="宋体"/>
          <w:kern w:val="44"/>
        </w:rPr>
      </w:pPr>
      <w:r>
        <w:rPr>
          <w:rFonts w:hint="eastAsia" w:ascii="宋体" w:hAnsi="宋体"/>
          <w:b/>
          <w:kern w:val="44"/>
        </w:rPr>
        <w:t>第一条</w:t>
      </w:r>
      <w:r>
        <w:rPr>
          <w:rFonts w:hint="eastAsia" w:ascii="宋体" w:hAnsi="宋体"/>
          <w:kern w:val="44"/>
        </w:rPr>
        <w:t>　为了促进博物馆事业发展，加强博物馆的管理，繁荣首都文化事业，推动社会主义精神文明建设，制定本条例。</w:t>
      </w:r>
    </w:p>
    <w:p w14:paraId="1A8B941B">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本条例适用于本市行政区域内的各类博物馆。法律、法规另有规定的从其规定。</w:t>
      </w:r>
    </w:p>
    <w:p w14:paraId="50ABD5CB">
      <w:pPr>
        <w:jc w:val="left"/>
        <w:rPr>
          <w:rFonts w:ascii="宋体" w:hAnsi="宋体"/>
          <w:kern w:val="44"/>
        </w:rPr>
      </w:pPr>
      <w:r>
        <w:rPr>
          <w:rFonts w:hint="eastAsia" w:ascii="宋体" w:hAnsi="宋体"/>
          <w:kern w:val="44"/>
        </w:rPr>
        <w:t>博物馆是指收藏、研究、展示人类活动的见证物和自然科学标本并向社会开放的公益性机构。</w:t>
      </w:r>
    </w:p>
    <w:p w14:paraId="409AFF65">
      <w:pPr>
        <w:ind w:firstLine="422"/>
        <w:jc w:val="left"/>
        <w:rPr>
          <w:rFonts w:ascii="宋体" w:hAnsi="宋体"/>
          <w:kern w:val="44"/>
        </w:rPr>
      </w:pPr>
      <w:r>
        <w:rPr>
          <w:rFonts w:hint="eastAsia" w:ascii="宋体" w:hAnsi="宋体"/>
          <w:b/>
          <w:kern w:val="44"/>
        </w:rPr>
        <w:t>第三条</w:t>
      </w:r>
      <w:r>
        <w:rPr>
          <w:rFonts w:hint="eastAsia" w:ascii="宋体" w:hAnsi="宋体"/>
          <w:kern w:val="44"/>
        </w:rPr>
        <w:t>　博物馆应当发挥社会教育功能，传播有益于社会进步的思想、道德、科学技术和文化知识，弘扬优秀文化和科学精神，丰富人民的精神文化生活，提高公众素质，促进国际文化交流。</w:t>
      </w:r>
    </w:p>
    <w:p w14:paraId="36434DFA">
      <w:pPr>
        <w:ind w:firstLine="422"/>
        <w:jc w:val="left"/>
        <w:rPr>
          <w:rFonts w:ascii="宋体" w:hAnsi="宋体"/>
          <w:kern w:val="44"/>
        </w:rPr>
      </w:pPr>
      <w:r>
        <w:rPr>
          <w:rFonts w:hint="eastAsia" w:ascii="宋体" w:hAnsi="宋体"/>
          <w:b/>
          <w:kern w:val="44"/>
        </w:rPr>
        <w:t>第四条</w:t>
      </w:r>
      <w:r>
        <w:rPr>
          <w:rFonts w:hint="eastAsia" w:ascii="宋体" w:hAnsi="宋体"/>
          <w:kern w:val="44"/>
        </w:rPr>
        <w:t>　市文物行政管理部门主管本市行政区域内博物馆工作。</w:t>
      </w:r>
    </w:p>
    <w:p w14:paraId="6C4F117F">
      <w:pPr>
        <w:jc w:val="left"/>
        <w:rPr>
          <w:rFonts w:ascii="宋体" w:hAnsi="宋体"/>
          <w:kern w:val="44"/>
        </w:rPr>
      </w:pPr>
      <w:r>
        <w:rPr>
          <w:rFonts w:hint="eastAsia" w:ascii="宋体" w:hAnsi="宋体"/>
          <w:kern w:val="44"/>
        </w:rPr>
        <w:t>区、县文物行政管理部门负责本辖区内博物馆的监督管理工作。</w:t>
      </w:r>
    </w:p>
    <w:p w14:paraId="09B77CCC">
      <w:pPr>
        <w:jc w:val="left"/>
        <w:rPr>
          <w:rFonts w:ascii="宋体" w:hAnsi="宋体"/>
          <w:kern w:val="44"/>
        </w:rPr>
      </w:pPr>
      <w:r>
        <w:rPr>
          <w:rFonts w:hint="eastAsia" w:ascii="宋体" w:hAnsi="宋体"/>
          <w:kern w:val="44"/>
        </w:rPr>
        <w:t>各有关行政管理部门在各自职责范围内依法对博物馆进行管理。</w:t>
      </w:r>
    </w:p>
    <w:p w14:paraId="1A9FEA32">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市和区、县文物行政管理部门对发展博物馆事业做出突出贡献或者成绩显著的单位和个人，给予表彰或者奖励。</w:t>
      </w:r>
    </w:p>
    <w:p w14:paraId="2C40BB87">
      <w:pPr>
        <w:jc w:val="left"/>
        <w:rPr>
          <w:rFonts w:ascii="宋体" w:hAnsi="宋体"/>
          <w:kern w:val="44"/>
        </w:rPr>
      </w:pPr>
    </w:p>
    <w:p w14:paraId="4C03B02A">
      <w:pPr>
        <w:ind w:firstLine="0" w:firstLineChars="0"/>
        <w:jc w:val="center"/>
        <w:rPr>
          <w:rFonts w:ascii="宋体" w:hAnsi="宋体"/>
          <w:b/>
          <w:kern w:val="44"/>
        </w:rPr>
      </w:pPr>
      <w:r>
        <w:rPr>
          <w:rFonts w:hint="eastAsia" w:ascii="宋体" w:hAnsi="宋体"/>
          <w:b/>
          <w:kern w:val="44"/>
          <w:sz w:val="28"/>
        </w:rPr>
        <w:t>第二章  发展与保障</w:t>
      </w:r>
    </w:p>
    <w:p w14:paraId="3776D663">
      <w:pPr>
        <w:jc w:val="left"/>
        <w:rPr>
          <w:rFonts w:ascii="宋体" w:hAnsi="宋体"/>
          <w:kern w:val="44"/>
        </w:rPr>
      </w:pPr>
    </w:p>
    <w:p w14:paraId="69A351B4">
      <w:pPr>
        <w:ind w:firstLine="422"/>
        <w:jc w:val="left"/>
        <w:rPr>
          <w:rFonts w:ascii="宋体" w:hAnsi="宋体"/>
          <w:kern w:val="44"/>
        </w:rPr>
      </w:pPr>
      <w:r>
        <w:rPr>
          <w:rFonts w:hint="eastAsia" w:ascii="宋体" w:hAnsi="宋体"/>
          <w:b/>
          <w:kern w:val="44"/>
        </w:rPr>
        <w:t>第六条</w:t>
      </w:r>
      <w:r>
        <w:rPr>
          <w:rFonts w:hint="eastAsia" w:ascii="宋体" w:hAnsi="宋体"/>
          <w:kern w:val="44"/>
        </w:rPr>
        <w:t>　市和区、县人民政府应当将博物馆事业纳入国民经济和社会发展规划，为发展博物馆事业提供必要的条件和保障。</w:t>
      </w:r>
    </w:p>
    <w:p w14:paraId="4C18324E">
      <w:pPr>
        <w:ind w:firstLine="422"/>
        <w:jc w:val="left"/>
        <w:rPr>
          <w:rFonts w:ascii="宋体" w:hAnsi="宋体"/>
          <w:kern w:val="44"/>
        </w:rPr>
      </w:pPr>
      <w:r>
        <w:rPr>
          <w:rFonts w:hint="eastAsia" w:ascii="宋体" w:hAnsi="宋体"/>
          <w:b/>
          <w:kern w:val="44"/>
        </w:rPr>
        <w:t>第七条</w:t>
      </w:r>
      <w:r>
        <w:rPr>
          <w:rFonts w:hint="eastAsia" w:ascii="宋体" w:hAnsi="宋体"/>
          <w:kern w:val="44"/>
        </w:rPr>
        <w:t>　本市鼓励公民、法人和其他组织兴办博物馆，优先发展填补博物馆门类空白和体现地区文化、行业特点的专题性博物馆。</w:t>
      </w:r>
    </w:p>
    <w:p w14:paraId="12E13EA1">
      <w:pPr>
        <w:ind w:firstLine="422"/>
        <w:jc w:val="left"/>
        <w:rPr>
          <w:rFonts w:ascii="宋体" w:hAnsi="宋体"/>
          <w:kern w:val="44"/>
        </w:rPr>
      </w:pPr>
      <w:r>
        <w:rPr>
          <w:rFonts w:hint="eastAsia" w:ascii="宋体" w:hAnsi="宋体"/>
          <w:b/>
          <w:kern w:val="44"/>
        </w:rPr>
        <w:t>第八条</w:t>
      </w:r>
      <w:r>
        <w:rPr>
          <w:rFonts w:hint="eastAsia" w:ascii="宋体" w:hAnsi="宋体"/>
          <w:kern w:val="44"/>
        </w:rPr>
        <w:t>　各级人民政府应当保障本级政府兴办的博物馆的事业经费，并逐步增加投入。</w:t>
      </w:r>
    </w:p>
    <w:p w14:paraId="1F88CB6C">
      <w:pPr>
        <w:jc w:val="left"/>
        <w:rPr>
          <w:rFonts w:ascii="宋体" w:hAnsi="宋体"/>
          <w:kern w:val="44"/>
        </w:rPr>
      </w:pPr>
      <w:r>
        <w:rPr>
          <w:rFonts w:hint="eastAsia" w:ascii="宋体" w:hAnsi="宋体"/>
          <w:kern w:val="44"/>
        </w:rPr>
        <w:t>其他的博物馆的主办者应当保障博物馆正常业务活动经费。</w:t>
      </w:r>
    </w:p>
    <w:p w14:paraId="491F6623">
      <w:pPr>
        <w:ind w:firstLine="422"/>
        <w:jc w:val="left"/>
        <w:rPr>
          <w:rFonts w:ascii="宋体" w:hAnsi="宋体"/>
          <w:kern w:val="44"/>
        </w:rPr>
      </w:pPr>
      <w:r>
        <w:rPr>
          <w:rFonts w:hint="eastAsia" w:ascii="宋体" w:hAnsi="宋体"/>
          <w:b/>
          <w:kern w:val="44"/>
        </w:rPr>
        <w:t>第九条</w:t>
      </w:r>
      <w:r>
        <w:rPr>
          <w:rFonts w:hint="eastAsia" w:ascii="宋体" w:hAnsi="宋体"/>
          <w:kern w:val="44"/>
        </w:rPr>
        <w:t>　各级人民政府应当对博物馆开展面向老年人、残疾人、青少年学生的公益性活动给予必要的经费支持。</w:t>
      </w:r>
    </w:p>
    <w:p w14:paraId="34EAB14D">
      <w:pPr>
        <w:ind w:firstLine="422"/>
        <w:jc w:val="left"/>
        <w:rPr>
          <w:rFonts w:ascii="宋体" w:hAnsi="宋体"/>
          <w:kern w:val="44"/>
        </w:rPr>
      </w:pPr>
      <w:r>
        <w:rPr>
          <w:rFonts w:hint="eastAsia" w:ascii="宋体" w:hAnsi="宋体"/>
          <w:b/>
          <w:kern w:val="44"/>
        </w:rPr>
        <w:t>第十条</w:t>
      </w:r>
      <w:r>
        <w:rPr>
          <w:rFonts w:hint="eastAsia" w:ascii="宋体" w:hAnsi="宋体"/>
          <w:kern w:val="44"/>
        </w:rPr>
        <w:t>　博物馆可以多渠道筹措资金发展博物馆事业。</w:t>
      </w:r>
    </w:p>
    <w:p w14:paraId="42092D7E">
      <w:pPr>
        <w:jc w:val="left"/>
        <w:rPr>
          <w:rFonts w:ascii="宋体" w:hAnsi="宋体"/>
          <w:kern w:val="44"/>
        </w:rPr>
      </w:pPr>
      <w:r>
        <w:rPr>
          <w:rFonts w:hint="eastAsia" w:ascii="宋体" w:hAnsi="宋体"/>
          <w:kern w:val="44"/>
        </w:rPr>
        <w:t>博物馆可以依法开展符合本馆特点的经营活动，接受损赠、资助。经营活动的收入或者接受的捐赠、资助应当全部用于发展博物馆事业。</w:t>
      </w:r>
    </w:p>
    <w:p w14:paraId="62429B65">
      <w:pPr>
        <w:ind w:firstLine="422"/>
        <w:jc w:val="left"/>
        <w:rPr>
          <w:rFonts w:ascii="宋体" w:hAnsi="宋体"/>
          <w:kern w:val="44"/>
        </w:rPr>
      </w:pPr>
      <w:r>
        <w:rPr>
          <w:rFonts w:hint="eastAsia" w:ascii="宋体" w:hAnsi="宋体"/>
          <w:b/>
          <w:kern w:val="44"/>
        </w:rPr>
        <w:t>第十一条</w:t>
      </w:r>
      <w:r>
        <w:rPr>
          <w:rFonts w:hint="eastAsia" w:ascii="宋体" w:hAnsi="宋体"/>
          <w:kern w:val="44"/>
        </w:rPr>
        <w:t xml:space="preserve">  鼓励公民、法人和其他组织向博物馆捐赠或者以其他形式提供资助。捐赠人依法享受税收优惠。</w:t>
      </w:r>
    </w:p>
    <w:p w14:paraId="6568D5EB">
      <w:pPr>
        <w:ind w:firstLine="422"/>
        <w:jc w:val="left"/>
        <w:rPr>
          <w:rFonts w:ascii="宋体" w:hAnsi="宋体"/>
          <w:kern w:val="44"/>
        </w:rPr>
      </w:pPr>
      <w:r>
        <w:rPr>
          <w:rFonts w:hint="eastAsia" w:ascii="宋体" w:hAnsi="宋体"/>
          <w:b/>
          <w:kern w:val="44"/>
        </w:rPr>
        <w:t>第十二条</w:t>
      </w:r>
      <w:r>
        <w:rPr>
          <w:rFonts w:hint="eastAsia" w:ascii="宋体" w:hAnsi="宋体"/>
          <w:kern w:val="44"/>
        </w:rPr>
        <w:t xml:space="preserve">  博物馆享有名称专有和依法征集、采集藏品的权利。</w:t>
      </w:r>
    </w:p>
    <w:p w14:paraId="33740529">
      <w:pPr>
        <w:jc w:val="left"/>
        <w:rPr>
          <w:rFonts w:ascii="宋体" w:hAnsi="宋体"/>
          <w:kern w:val="44"/>
        </w:rPr>
      </w:pPr>
    </w:p>
    <w:p w14:paraId="16EB9004">
      <w:pPr>
        <w:ind w:firstLine="0" w:firstLineChars="0"/>
        <w:jc w:val="center"/>
        <w:rPr>
          <w:rFonts w:ascii="宋体" w:hAnsi="宋体"/>
          <w:b/>
          <w:kern w:val="44"/>
          <w:sz w:val="28"/>
        </w:rPr>
      </w:pPr>
      <w:r>
        <w:rPr>
          <w:rFonts w:hint="eastAsia" w:ascii="宋体" w:hAnsi="宋体"/>
          <w:b/>
          <w:kern w:val="44"/>
          <w:sz w:val="28"/>
        </w:rPr>
        <w:t>第三章  管理与监督</w:t>
      </w:r>
    </w:p>
    <w:p w14:paraId="00DA37DB">
      <w:pPr>
        <w:jc w:val="left"/>
        <w:rPr>
          <w:rFonts w:ascii="宋体" w:hAnsi="宋体"/>
          <w:kern w:val="44"/>
        </w:rPr>
      </w:pPr>
    </w:p>
    <w:p w14:paraId="7BBC956B">
      <w:pPr>
        <w:ind w:firstLine="422"/>
        <w:jc w:val="left"/>
        <w:rPr>
          <w:rFonts w:ascii="宋体" w:hAnsi="宋体"/>
          <w:kern w:val="44"/>
        </w:rPr>
      </w:pPr>
      <w:r>
        <w:rPr>
          <w:rFonts w:hint="eastAsia" w:ascii="宋体" w:hAnsi="宋体"/>
          <w:b/>
          <w:kern w:val="44"/>
        </w:rPr>
        <w:t>第十三条</w:t>
      </w:r>
      <w:r>
        <w:rPr>
          <w:rFonts w:hint="eastAsia" w:ascii="宋体" w:hAnsi="宋体"/>
          <w:kern w:val="44"/>
        </w:rPr>
        <w:t>　博物馆应当具备下列条件：</w:t>
      </w:r>
    </w:p>
    <w:p w14:paraId="32CFA808">
      <w:pPr>
        <w:jc w:val="left"/>
        <w:rPr>
          <w:rFonts w:ascii="宋体" w:hAnsi="宋体"/>
          <w:kern w:val="44"/>
        </w:rPr>
      </w:pPr>
      <w:r>
        <w:rPr>
          <w:rFonts w:hint="eastAsia" w:ascii="宋体" w:hAnsi="宋体"/>
          <w:kern w:val="44"/>
        </w:rPr>
        <w:t>（一）具有固定的馆址、展览场所和库房，展览场所的面积与展览规模相适应并适宜对外开放；</w:t>
      </w:r>
    </w:p>
    <w:p w14:paraId="47B706B7">
      <w:pPr>
        <w:jc w:val="left"/>
        <w:rPr>
          <w:rFonts w:ascii="宋体" w:hAnsi="宋体"/>
          <w:kern w:val="44"/>
        </w:rPr>
      </w:pPr>
      <w:r>
        <w:rPr>
          <w:rFonts w:hint="eastAsia" w:ascii="宋体" w:hAnsi="宋体"/>
          <w:kern w:val="44"/>
        </w:rPr>
        <w:t>（二）具有必要的办馆资金；</w:t>
      </w:r>
    </w:p>
    <w:p w14:paraId="493F2302">
      <w:pPr>
        <w:jc w:val="left"/>
        <w:rPr>
          <w:rFonts w:ascii="宋体" w:hAnsi="宋体"/>
          <w:kern w:val="44"/>
        </w:rPr>
      </w:pPr>
      <w:r>
        <w:rPr>
          <w:rFonts w:hint="eastAsia" w:ascii="宋体" w:hAnsi="宋体"/>
          <w:kern w:val="44"/>
        </w:rPr>
        <w:t>（三）具有与本馆性质相符、有一定数量和代表性、成系统的藏品；</w:t>
      </w:r>
    </w:p>
    <w:p w14:paraId="32313485">
      <w:pPr>
        <w:jc w:val="left"/>
        <w:rPr>
          <w:rFonts w:ascii="宋体" w:hAnsi="宋体"/>
          <w:kern w:val="44"/>
        </w:rPr>
      </w:pPr>
      <w:r>
        <w:rPr>
          <w:rFonts w:hint="eastAsia" w:ascii="宋体" w:hAnsi="宋体"/>
          <w:kern w:val="44"/>
        </w:rPr>
        <w:t>（四）馆长具有本科以上学历和两年以上博物馆管理工作经验，或者在相关领域有专长；</w:t>
      </w:r>
    </w:p>
    <w:p w14:paraId="58E4E77B">
      <w:pPr>
        <w:jc w:val="left"/>
        <w:rPr>
          <w:rFonts w:ascii="宋体" w:hAnsi="宋体"/>
          <w:kern w:val="44"/>
        </w:rPr>
      </w:pPr>
      <w:r>
        <w:rPr>
          <w:rFonts w:hint="eastAsia" w:ascii="宋体" w:hAnsi="宋体"/>
          <w:kern w:val="44"/>
        </w:rPr>
        <w:t>（五）具有与博物馆主要任务相适应的专业技术人员，专业技术人员具有大专以上学历或者对本馆藏品的研究有专长；</w:t>
      </w:r>
    </w:p>
    <w:p w14:paraId="3B4B41EA">
      <w:pPr>
        <w:jc w:val="left"/>
        <w:rPr>
          <w:rFonts w:ascii="宋体" w:hAnsi="宋体"/>
          <w:kern w:val="44"/>
        </w:rPr>
      </w:pPr>
      <w:r>
        <w:rPr>
          <w:rFonts w:hint="eastAsia" w:ascii="宋体" w:hAnsi="宋体"/>
          <w:kern w:val="44"/>
        </w:rPr>
        <w:t>（六）具有符合规定的安全、消防设施和条件。</w:t>
      </w:r>
    </w:p>
    <w:p w14:paraId="33BB14E5">
      <w:pPr>
        <w:ind w:firstLine="422"/>
        <w:jc w:val="left"/>
        <w:rPr>
          <w:rFonts w:ascii="宋体" w:hAnsi="宋体"/>
          <w:kern w:val="44"/>
        </w:rPr>
      </w:pPr>
      <w:r>
        <w:rPr>
          <w:rFonts w:hint="eastAsia" w:ascii="宋体" w:hAnsi="宋体"/>
          <w:b/>
          <w:kern w:val="44"/>
        </w:rPr>
        <w:t>第十四条</w:t>
      </w:r>
      <w:r>
        <w:rPr>
          <w:rFonts w:hint="eastAsia" w:ascii="宋体" w:hAnsi="宋体"/>
          <w:kern w:val="44"/>
        </w:rPr>
        <w:t>　具备本条例第十三条规定条件申请博物馆注册登记的，应当向市文物行政管理部门提交下列文件：</w:t>
      </w:r>
    </w:p>
    <w:p w14:paraId="2455DC60">
      <w:pPr>
        <w:jc w:val="left"/>
        <w:rPr>
          <w:rFonts w:ascii="宋体" w:hAnsi="宋体"/>
          <w:kern w:val="44"/>
        </w:rPr>
      </w:pPr>
      <w:r>
        <w:rPr>
          <w:rFonts w:hint="eastAsia" w:ascii="宋体" w:hAnsi="宋体"/>
          <w:kern w:val="44"/>
        </w:rPr>
        <w:t>（一）登记申请书；</w:t>
      </w:r>
    </w:p>
    <w:p w14:paraId="418E22D3">
      <w:pPr>
        <w:jc w:val="left"/>
        <w:rPr>
          <w:rFonts w:ascii="宋体" w:hAnsi="宋体"/>
          <w:kern w:val="44"/>
        </w:rPr>
      </w:pPr>
      <w:r>
        <w:rPr>
          <w:rFonts w:hint="eastAsia" w:ascii="宋体" w:hAnsi="宋体"/>
          <w:kern w:val="44"/>
        </w:rPr>
        <w:t>（二）博物馆章程；</w:t>
      </w:r>
    </w:p>
    <w:p w14:paraId="35E59879">
      <w:pPr>
        <w:jc w:val="left"/>
        <w:rPr>
          <w:rFonts w:ascii="宋体" w:hAnsi="宋体"/>
          <w:kern w:val="44"/>
        </w:rPr>
      </w:pPr>
      <w:r>
        <w:rPr>
          <w:rFonts w:hint="eastAsia" w:ascii="宋体" w:hAnsi="宋体"/>
          <w:kern w:val="44"/>
        </w:rPr>
        <w:t>（三）藏品目录；</w:t>
      </w:r>
    </w:p>
    <w:p w14:paraId="09D793AC">
      <w:pPr>
        <w:jc w:val="left"/>
        <w:rPr>
          <w:rFonts w:ascii="宋体" w:hAnsi="宋体"/>
          <w:kern w:val="44"/>
        </w:rPr>
      </w:pPr>
      <w:r>
        <w:rPr>
          <w:rFonts w:hint="eastAsia" w:ascii="宋体" w:hAnsi="宋体"/>
          <w:kern w:val="44"/>
        </w:rPr>
        <w:t>（四）陈列大纲；</w:t>
      </w:r>
    </w:p>
    <w:p w14:paraId="673A66DA">
      <w:pPr>
        <w:jc w:val="left"/>
        <w:rPr>
          <w:rFonts w:ascii="宋体" w:hAnsi="宋体"/>
          <w:kern w:val="44"/>
        </w:rPr>
      </w:pPr>
      <w:r>
        <w:rPr>
          <w:rFonts w:hint="eastAsia" w:ascii="宋体" w:hAnsi="宋体"/>
          <w:kern w:val="44"/>
        </w:rPr>
        <w:t>（五）馆舍场地使用权证明；</w:t>
      </w:r>
    </w:p>
    <w:p w14:paraId="37EAE81F">
      <w:pPr>
        <w:jc w:val="left"/>
        <w:rPr>
          <w:rFonts w:ascii="宋体" w:hAnsi="宋体"/>
          <w:kern w:val="44"/>
        </w:rPr>
      </w:pPr>
      <w:r>
        <w:rPr>
          <w:rFonts w:hint="eastAsia" w:ascii="宋体" w:hAnsi="宋体"/>
          <w:kern w:val="44"/>
        </w:rPr>
        <w:t>（六）经费证明；</w:t>
      </w:r>
    </w:p>
    <w:p w14:paraId="061BCC85">
      <w:pPr>
        <w:jc w:val="left"/>
        <w:rPr>
          <w:rFonts w:ascii="宋体" w:hAnsi="宋体"/>
          <w:kern w:val="44"/>
        </w:rPr>
      </w:pPr>
      <w:r>
        <w:rPr>
          <w:rFonts w:hint="eastAsia" w:ascii="宋体" w:hAnsi="宋体"/>
          <w:kern w:val="44"/>
        </w:rPr>
        <w:t>（七）馆长和主要专业技术人员的学历证明以及从业简历。</w:t>
      </w:r>
    </w:p>
    <w:p w14:paraId="52491869">
      <w:pPr>
        <w:ind w:firstLine="422"/>
        <w:jc w:val="left"/>
        <w:rPr>
          <w:rFonts w:ascii="宋体" w:hAnsi="宋体"/>
          <w:kern w:val="44"/>
        </w:rPr>
      </w:pPr>
      <w:r>
        <w:rPr>
          <w:rFonts w:hint="eastAsia" w:ascii="宋体" w:hAnsi="宋体"/>
          <w:b/>
          <w:kern w:val="44"/>
        </w:rPr>
        <w:t>第十五条</w:t>
      </w:r>
      <w:r>
        <w:rPr>
          <w:rFonts w:hint="eastAsia" w:ascii="宋体" w:hAnsi="宋体"/>
          <w:kern w:val="44"/>
        </w:rPr>
        <w:t>　市文物行政管理部门应当自接到登记申请书之日起3个月内，组织有关专家进行评审，对符合条件的予以核准登记，对不符合条件的书面回复并告知理由。博物馆经核准登记后，主办者应当依法到有关部门办理相关手续，方可向社会开放。6个月内未向社会开放的，由市文物行政管理部门注销登记。</w:t>
      </w:r>
    </w:p>
    <w:p w14:paraId="6556EF8B">
      <w:pPr>
        <w:ind w:firstLine="422"/>
        <w:jc w:val="left"/>
        <w:rPr>
          <w:rFonts w:ascii="宋体" w:hAnsi="宋体"/>
          <w:kern w:val="44"/>
        </w:rPr>
      </w:pPr>
      <w:r>
        <w:rPr>
          <w:rFonts w:hint="eastAsia" w:ascii="宋体" w:hAnsi="宋体"/>
          <w:b/>
          <w:kern w:val="44"/>
        </w:rPr>
        <w:t>第十六条</w:t>
      </w:r>
      <w:r>
        <w:rPr>
          <w:rFonts w:hint="eastAsia" w:ascii="宋体" w:hAnsi="宋体"/>
          <w:kern w:val="44"/>
        </w:rPr>
        <w:t>　博物馆的馆长、馆址、基本陈列、藏品目录、展览面积等登记事项变更的，应当自变更之日起30日内到市文物行政管理部门办理变更登记。变更后不符合博物馆登记条件的，由市文物行政管理部门注销登记。</w:t>
      </w:r>
    </w:p>
    <w:p w14:paraId="5361CA33">
      <w:pPr>
        <w:ind w:firstLine="422"/>
        <w:jc w:val="left"/>
        <w:rPr>
          <w:rFonts w:ascii="宋体" w:hAnsi="宋体"/>
          <w:kern w:val="44"/>
        </w:rPr>
      </w:pPr>
      <w:r>
        <w:rPr>
          <w:rFonts w:hint="eastAsia" w:ascii="宋体" w:hAnsi="宋体"/>
          <w:b/>
          <w:kern w:val="44"/>
        </w:rPr>
        <w:t>第十七条</w:t>
      </w:r>
      <w:r>
        <w:rPr>
          <w:rFonts w:hint="eastAsia" w:ascii="宋体" w:hAnsi="宋体"/>
          <w:kern w:val="44"/>
        </w:rPr>
        <w:t>　博物馆应当为观众提供展品文字说明和讲解服务。</w:t>
      </w:r>
    </w:p>
    <w:p w14:paraId="67598A3D">
      <w:pPr>
        <w:jc w:val="left"/>
        <w:rPr>
          <w:rFonts w:ascii="宋体" w:hAnsi="宋体"/>
          <w:kern w:val="44"/>
        </w:rPr>
      </w:pPr>
      <w:r>
        <w:rPr>
          <w:rFonts w:hint="eastAsia" w:ascii="宋体" w:hAnsi="宋体"/>
          <w:kern w:val="44"/>
        </w:rPr>
        <w:t>博物馆的展览、讲解内容应当有利于促进社会进步、传播科学文化知识；不得宣扬淫秽、迷信或者宣染暴力，不得宣扬法律、法规禁止的其他内容。</w:t>
      </w:r>
    </w:p>
    <w:p w14:paraId="2CDFF626">
      <w:pPr>
        <w:ind w:firstLine="422"/>
        <w:jc w:val="left"/>
        <w:rPr>
          <w:rFonts w:ascii="宋体" w:hAnsi="宋体"/>
          <w:kern w:val="44"/>
        </w:rPr>
      </w:pPr>
      <w:r>
        <w:rPr>
          <w:rFonts w:hint="eastAsia" w:ascii="宋体" w:hAnsi="宋体"/>
          <w:b/>
          <w:kern w:val="44"/>
        </w:rPr>
        <w:t>第十八条</w:t>
      </w:r>
      <w:r>
        <w:rPr>
          <w:rFonts w:hint="eastAsia" w:ascii="宋体" w:hAnsi="宋体"/>
          <w:kern w:val="44"/>
        </w:rPr>
        <w:t>　博物馆应当运用现代科学技术，提高展览、陈列水平，增强宣传教育效果。</w:t>
      </w:r>
    </w:p>
    <w:p w14:paraId="5F000257">
      <w:pPr>
        <w:ind w:firstLine="422"/>
        <w:jc w:val="left"/>
        <w:rPr>
          <w:rFonts w:ascii="宋体" w:hAnsi="宋体"/>
          <w:kern w:val="44"/>
        </w:rPr>
      </w:pPr>
      <w:r>
        <w:rPr>
          <w:rFonts w:hint="eastAsia" w:ascii="宋体" w:hAnsi="宋体"/>
          <w:b/>
          <w:kern w:val="44"/>
        </w:rPr>
        <w:t>第十九条</w:t>
      </w:r>
      <w:r>
        <w:rPr>
          <w:rFonts w:hint="eastAsia" w:ascii="宋体" w:hAnsi="宋体"/>
          <w:kern w:val="44"/>
        </w:rPr>
        <w:t>　博物馆应当根据办馆宗旨，结合本馆特点举办临时展览、巡回展览，开展多种形式的宣传教育活动。</w:t>
      </w:r>
    </w:p>
    <w:p w14:paraId="1B30CDDB">
      <w:pPr>
        <w:ind w:firstLine="422"/>
        <w:jc w:val="left"/>
        <w:rPr>
          <w:rFonts w:ascii="宋体" w:hAnsi="宋体"/>
          <w:kern w:val="44"/>
        </w:rPr>
      </w:pPr>
      <w:r>
        <w:rPr>
          <w:rFonts w:hint="eastAsia" w:ascii="宋体" w:hAnsi="宋体"/>
          <w:b/>
          <w:kern w:val="44"/>
        </w:rPr>
        <w:t>第二十条</w:t>
      </w:r>
      <w:r>
        <w:rPr>
          <w:rFonts w:hint="eastAsia" w:ascii="宋体" w:hAnsi="宋体"/>
          <w:kern w:val="44"/>
        </w:rPr>
        <w:t>　博物馆应当向老年人、残疾人优惠开放，向青少年学生免费、定期免费或者低费开放。具体办法由市人民政府制定。</w:t>
      </w:r>
    </w:p>
    <w:p w14:paraId="27C3A4A3">
      <w:pPr>
        <w:ind w:firstLine="422"/>
        <w:jc w:val="left"/>
        <w:rPr>
          <w:rFonts w:ascii="宋体" w:hAnsi="宋体"/>
          <w:kern w:val="44"/>
        </w:rPr>
      </w:pPr>
      <w:r>
        <w:rPr>
          <w:rFonts w:hint="eastAsia" w:ascii="宋体" w:hAnsi="宋体"/>
          <w:b/>
          <w:kern w:val="44"/>
        </w:rPr>
        <w:t>第二十一条</w:t>
      </w:r>
      <w:r>
        <w:rPr>
          <w:rFonts w:hint="eastAsia" w:ascii="宋体" w:hAnsi="宋体"/>
          <w:kern w:val="44"/>
        </w:rPr>
        <w:t>　博物馆向社会开放应当遵守下列规定：</w:t>
      </w:r>
    </w:p>
    <w:p w14:paraId="6EFDCAB8">
      <w:pPr>
        <w:jc w:val="left"/>
        <w:rPr>
          <w:rFonts w:ascii="宋体" w:hAnsi="宋体"/>
          <w:kern w:val="44"/>
        </w:rPr>
      </w:pPr>
      <w:r>
        <w:rPr>
          <w:rFonts w:hint="eastAsia" w:ascii="宋体" w:hAnsi="宋体"/>
          <w:kern w:val="44"/>
        </w:rPr>
        <w:t>（一）依照博物馆章程开展业务活动；</w:t>
      </w:r>
    </w:p>
    <w:p w14:paraId="5E33EF3C">
      <w:pPr>
        <w:jc w:val="left"/>
        <w:rPr>
          <w:rFonts w:ascii="宋体" w:hAnsi="宋体"/>
          <w:kern w:val="44"/>
        </w:rPr>
      </w:pPr>
      <w:r>
        <w:rPr>
          <w:rFonts w:hint="eastAsia" w:ascii="宋体" w:hAnsi="宋体"/>
          <w:kern w:val="44"/>
        </w:rPr>
        <w:t>（二）陈列展览以原物、真迹为主，使用复制品、仿制品和替代品的予以注明，复原陈列保持原貌；</w:t>
      </w:r>
    </w:p>
    <w:p w14:paraId="2BD7CBCF">
      <w:pPr>
        <w:jc w:val="left"/>
        <w:rPr>
          <w:rFonts w:ascii="宋体" w:hAnsi="宋体"/>
          <w:kern w:val="44"/>
        </w:rPr>
      </w:pPr>
      <w:r>
        <w:rPr>
          <w:rFonts w:hint="eastAsia" w:ascii="宋体" w:hAnsi="宋体"/>
          <w:kern w:val="44"/>
        </w:rPr>
        <w:t>（三）无正当理由全年展览开放时间不得少于8个月；</w:t>
      </w:r>
    </w:p>
    <w:p w14:paraId="4D9A353B">
      <w:pPr>
        <w:jc w:val="left"/>
        <w:rPr>
          <w:rFonts w:ascii="宋体" w:hAnsi="宋体"/>
          <w:kern w:val="44"/>
        </w:rPr>
      </w:pPr>
      <w:r>
        <w:rPr>
          <w:rFonts w:hint="eastAsia" w:ascii="宋体" w:hAnsi="宋体"/>
          <w:kern w:val="44"/>
        </w:rPr>
        <w:t>（四）变更展览时间提前7日向社会公示。</w:t>
      </w:r>
    </w:p>
    <w:p w14:paraId="0266F669">
      <w:pPr>
        <w:ind w:firstLine="422"/>
        <w:jc w:val="left"/>
        <w:rPr>
          <w:rFonts w:ascii="宋体" w:hAnsi="宋体"/>
          <w:kern w:val="44"/>
        </w:rPr>
      </w:pPr>
      <w:r>
        <w:rPr>
          <w:rFonts w:hint="eastAsia" w:ascii="宋体" w:hAnsi="宋体"/>
          <w:b/>
          <w:kern w:val="44"/>
        </w:rPr>
        <w:t>第二十二条</w:t>
      </w:r>
      <w:r>
        <w:rPr>
          <w:rFonts w:hint="eastAsia" w:ascii="宋体" w:hAnsi="宋体"/>
          <w:kern w:val="44"/>
        </w:rPr>
        <w:t>　博物馆开展经营活动不得改变博物馆功能、危及博物馆藏品的安全和影响开放环境。</w:t>
      </w:r>
    </w:p>
    <w:p w14:paraId="03B340FF">
      <w:pPr>
        <w:ind w:firstLine="422"/>
        <w:jc w:val="left"/>
        <w:rPr>
          <w:rFonts w:ascii="宋体" w:hAnsi="宋体"/>
          <w:kern w:val="44"/>
        </w:rPr>
      </w:pPr>
      <w:r>
        <w:rPr>
          <w:rFonts w:hint="eastAsia" w:ascii="宋体" w:hAnsi="宋体"/>
          <w:b/>
          <w:kern w:val="44"/>
        </w:rPr>
        <w:t>第二十三条</w:t>
      </w:r>
      <w:r>
        <w:rPr>
          <w:rFonts w:hint="eastAsia" w:ascii="宋体" w:hAnsi="宋体"/>
          <w:kern w:val="44"/>
        </w:rPr>
        <w:t>　博物馆对藏品管理应当遵守下列规定：</w:t>
      </w:r>
    </w:p>
    <w:p w14:paraId="7E40B58A">
      <w:pPr>
        <w:jc w:val="left"/>
        <w:rPr>
          <w:rFonts w:ascii="宋体" w:hAnsi="宋体"/>
          <w:kern w:val="44"/>
        </w:rPr>
      </w:pPr>
      <w:r>
        <w:rPr>
          <w:rFonts w:hint="eastAsia" w:ascii="宋体" w:hAnsi="宋体"/>
          <w:kern w:val="44"/>
        </w:rPr>
        <w:t>（一）建立藏品总帐、分类帐、档案；藏品总帐、档案报市文物行政管理部门备案；</w:t>
      </w:r>
    </w:p>
    <w:p w14:paraId="797C9E35">
      <w:pPr>
        <w:jc w:val="left"/>
        <w:rPr>
          <w:rFonts w:ascii="宋体" w:hAnsi="宋体"/>
          <w:kern w:val="44"/>
        </w:rPr>
      </w:pPr>
      <w:r>
        <w:rPr>
          <w:rFonts w:hint="eastAsia" w:ascii="宋体" w:hAnsi="宋体"/>
          <w:kern w:val="44"/>
        </w:rPr>
        <w:t>（二）保障藏品体系的完整；</w:t>
      </w:r>
    </w:p>
    <w:p w14:paraId="1AA26CA4">
      <w:pPr>
        <w:jc w:val="left"/>
        <w:rPr>
          <w:rFonts w:ascii="宋体" w:hAnsi="宋体"/>
          <w:kern w:val="44"/>
        </w:rPr>
      </w:pPr>
      <w:r>
        <w:rPr>
          <w:rFonts w:hint="eastAsia" w:ascii="宋体" w:hAnsi="宋体"/>
          <w:kern w:val="44"/>
        </w:rPr>
        <w:t>（三）以博物馆名义征集、采集的藏品在藏品总帐中登记；</w:t>
      </w:r>
    </w:p>
    <w:p w14:paraId="44BD1C3C">
      <w:pPr>
        <w:jc w:val="left"/>
        <w:rPr>
          <w:rFonts w:ascii="宋体" w:hAnsi="宋体"/>
          <w:kern w:val="44"/>
        </w:rPr>
      </w:pPr>
      <w:r>
        <w:rPr>
          <w:rFonts w:hint="eastAsia" w:ascii="宋体" w:hAnsi="宋体"/>
          <w:kern w:val="44"/>
        </w:rPr>
        <w:t>（四）具有保障藏品安全的设备、保管设施、安全保卫和藏品核查制度；</w:t>
      </w:r>
    </w:p>
    <w:p w14:paraId="55667468">
      <w:pPr>
        <w:jc w:val="left"/>
        <w:rPr>
          <w:rFonts w:ascii="宋体" w:hAnsi="宋体"/>
          <w:kern w:val="44"/>
        </w:rPr>
      </w:pPr>
      <w:r>
        <w:rPr>
          <w:rFonts w:hint="eastAsia" w:ascii="宋体" w:hAnsi="宋体"/>
          <w:kern w:val="44"/>
        </w:rPr>
        <w:t>（五）发现文物藏品损毁、丢失，及时报告文物行政管理部门。</w:t>
      </w:r>
    </w:p>
    <w:p w14:paraId="37AB872B">
      <w:pPr>
        <w:ind w:firstLine="422"/>
        <w:jc w:val="left"/>
        <w:rPr>
          <w:rFonts w:ascii="宋体" w:hAnsi="宋体"/>
          <w:kern w:val="44"/>
        </w:rPr>
      </w:pPr>
      <w:r>
        <w:rPr>
          <w:rFonts w:hint="eastAsia" w:ascii="宋体" w:hAnsi="宋体"/>
          <w:b/>
          <w:kern w:val="44"/>
        </w:rPr>
        <w:t>第二十四条</w:t>
      </w:r>
      <w:r>
        <w:rPr>
          <w:rFonts w:hint="eastAsia" w:ascii="宋体" w:hAnsi="宋体"/>
          <w:kern w:val="44"/>
        </w:rPr>
        <w:t>　博物馆处置文物藏品，依据有关法律、法规执行。</w:t>
      </w:r>
    </w:p>
    <w:p w14:paraId="50897989">
      <w:pPr>
        <w:jc w:val="left"/>
        <w:rPr>
          <w:rFonts w:ascii="宋体" w:hAnsi="宋体"/>
          <w:kern w:val="44"/>
        </w:rPr>
      </w:pPr>
      <w:r>
        <w:rPr>
          <w:rFonts w:hint="eastAsia" w:ascii="宋体" w:hAnsi="宋体"/>
          <w:kern w:val="44"/>
        </w:rPr>
        <w:t>博物馆处置非文物藏品，应当报市文物行政管理部门备案。</w:t>
      </w:r>
    </w:p>
    <w:p w14:paraId="2B0ABD0C">
      <w:pPr>
        <w:jc w:val="left"/>
        <w:rPr>
          <w:rFonts w:ascii="宋体" w:hAnsi="宋体"/>
          <w:kern w:val="44"/>
        </w:rPr>
      </w:pPr>
      <w:r>
        <w:rPr>
          <w:rFonts w:hint="eastAsia" w:ascii="宋体" w:hAnsi="宋体"/>
          <w:kern w:val="44"/>
        </w:rPr>
        <w:t>藏品处置后，不符合博物馆登记条件的，由市文物行政管理部门注销登记。</w:t>
      </w:r>
    </w:p>
    <w:p w14:paraId="117C08FD">
      <w:pPr>
        <w:ind w:firstLine="422"/>
        <w:jc w:val="left"/>
        <w:rPr>
          <w:rFonts w:ascii="宋体" w:hAnsi="宋体"/>
          <w:kern w:val="44"/>
        </w:rPr>
      </w:pPr>
      <w:r>
        <w:rPr>
          <w:rFonts w:hint="eastAsia" w:ascii="宋体" w:hAnsi="宋体"/>
          <w:b/>
          <w:kern w:val="44"/>
        </w:rPr>
        <w:t>第二十五条</w:t>
      </w:r>
      <w:r>
        <w:rPr>
          <w:rFonts w:hint="eastAsia" w:ascii="宋体" w:hAnsi="宋体"/>
          <w:kern w:val="44"/>
        </w:rPr>
        <w:t>　博物馆申请注销登记的，应当向市文物行政管理部门提交下列文件：</w:t>
      </w:r>
    </w:p>
    <w:p w14:paraId="2409B6D1">
      <w:pPr>
        <w:jc w:val="left"/>
        <w:rPr>
          <w:rFonts w:ascii="宋体" w:hAnsi="宋体"/>
          <w:kern w:val="44"/>
        </w:rPr>
      </w:pPr>
      <w:r>
        <w:rPr>
          <w:rFonts w:hint="eastAsia" w:ascii="宋体" w:hAnsi="宋体"/>
          <w:kern w:val="44"/>
        </w:rPr>
        <w:t>（一）注销说明书；</w:t>
      </w:r>
    </w:p>
    <w:p w14:paraId="747FB72E">
      <w:pPr>
        <w:jc w:val="left"/>
        <w:rPr>
          <w:rFonts w:ascii="宋体" w:hAnsi="宋体"/>
          <w:kern w:val="44"/>
        </w:rPr>
      </w:pPr>
      <w:r>
        <w:rPr>
          <w:rFonts w:hint="eastAsia" w:ascii="宋体" w:hAnsi="宋体"/>
          <w:kern w:val="44"/>
        </w:rPr>
        <w:t>（二）主办者意见；</w:t>
      </w:r>
    </w:p>
    <w:p w14:paraId="20958279">
      <w:pPr>
        <w:jc w:val="left"/>
        <w:rPr>
          <w:rFonts w:ascii="宋体" w:hAnsi="宋体"/>
          <w:kern w:val="44"/>
        </w:rPr>
      </w:pPr>
      <w:r>
        <w:rPr>
          <w:rFonts w:hint="eastAsia" w:ascii="宋体" w:hAnsi="宋体"/>
          <w:kern w:val="44"/>
        </w:rPr>
        <w:t>（三）藏品处置方案。</w:t>
      </w:r>
    </w:p>
    <w:p w14:paraId="0C2712F5">
      <w:pPr>
        <w:jc w:val="left"/>
        <w:rPr>
          <w:rFonts w:ascii="宋体" w:hAnsi="宋体"/>
          <w:kern w:val="44"/>
        </w:rPr>
      </w:pPr>
      <w:r>
        <w:rPr>
          <w:rFonts w:hint="eastAsia" w:ascii="宋体" w:hAnsi="宋体"/>
          <w:kern w:val="44"/>
        </w:rPr>
        <w:t>市文物行政管理部门应当自接到前款所列文件之日起10日内，办理博物馆注销登记，并向社会公示。</w:t>
      </w:r>
    </w:p>
    <w:p w14:paraId="2A3F5DEC">
      <w:pPr>
        <w:ind w:firstLine="422"/>
        <w:jc w:val="left"/>
        <w:rPr>
          <w:rFonts w:ascii="宋体" w:hAnsi="宋体"/>
          <w:kern w:val="44"/>
        </w:rPr>
      </w:pPr>
      <w:r>
        <w:rPr>
          <w:rFonts w:hint="eastAsia" w:ascii="宋体" w:hAnsi="宋体"/>
          <w:b/>
          <w:kern w:val="44"/>
        </w:rPr>
        <w:t>第二十六条</w:t>
      </w:r>
      <w:r>
        <w:rPr>
          <w:rFonts w:hint="eastAsia" w:ascii="宋体" w:hAnsi="宋体"/>
          <w:kern w:val="44"/>
        </w:rPr>
        <w:t>　文物行政管理部门应当促进博物馆行业组织建设，指导行业组织活动，逐步对博物馆实行分级、分类管理。</w:t>
      </w:r>
    </w:p>
    <w:p w14:paraId="39A4D6F6">
      <w:pPr>
        <w:jc w:val="left"/>
        <w:rPr>
          <w:rFonts w:ascii="宋体" w:hAnsi="宋体"/>
          <w:kern w:val="44"/>
        </w:rPr>
      </w:pPr>
    </w:p>
    <w:p w14:paraId="174885AC">
      <w:pPr>
        <w:ind w:firstLine="0" w:firstLineChars="0"/>
        <w:jc w:val="center"/>
        <w:rPr>
          <w:rFonts w:ascii="宋体" w:hAnsi="宋体"/>
          <w:b/>
          <w:kern w:val="44"/>
          <w:sz w:val="28"/>
        </w:rPr>
      </w:pPr>
      <w:r>
        <w:rPr>
          <w:rFonts w:hint="eastAsia" w:ascii="宋体" w:hAnsi="宋体"/>
          <w:b/>
          <w:kern w:val="44"/>
          <w:sz w:val="28"/>
        </w:rPr>
        <w:t>第四章  法律责任</w:t>
      </w:r>
    </w:p>
    <w:p w14:paraId="7B157596">
      <w:pPr>
        <w:jc w:val="left"/>
        <w:rPr>
          <w:rFonts w:ascii="宋体" w:hAnsi="宋体"/>
          <w:kern w:val="44"/>
        </w:rPr>
      </w:pPr>
    </w:p>
    <w:p w14:paraId="72BBA501">
      <w:pPr>
        <w:ind w:firstLine="422"/>
        <w:jc w:val="left"/>
        <w:rPr>
          <w:rFonts w:ascii="宋体" w:hAnsi="宋体"/>
          <w:kern w:val="44"/>
        </w:rPr>
      </w:pPr>
      <w:r>
        <w:rPr>
          <w:rFonts w:hint="eastAsia" w:ascii="宋体" w:hAnsi="宋体"/>
          <w:b/>
          <w:kern w:val="44"/>
        </w:rPr>
        <w:t>第二十七条</w:t>
      </w:r>
      <w:r>
        <w:rPr>
          <w:rFonts w:hint="eastAsia" w:ascii="宋体" w:hAnsi="宋体"/>
          <w:kern w:val="44"/>
        </w:rPr>
        <w:t>　博物馆有下列行为之一的，由文物行政管理部门给予警告、责令限期改正；逾期不改正的，处以500元以上2000元以下罚款；情节严重的，注销登记：</w:t>
      </w:r>
    </w:p>
    <w:p w14:paraId="73AC2E93">
      <w:pPr>
        <w:jc w:val="left"/>
        <w:rPr>
          <w:rFonts w:ascii="宋体" w:hAnsi="宋体"/>
          <w:kern w:val="44"/>
        </w:rPr>
      </w:pPr>
      <w:r>
        <w:rPr>
          <w:rFonts w:hint="eastAsia" w:ascii="宋体" w:hAnsi="宋体"/>
          <w:kern w:val="44"/>
        </w:rPr>
        <w:t>（一）无正当理由，全年对社会开放时间不足8个月的；</w:t>
      </w:r>
    </w:p>
    <w:p w14:paraId="316101D5">
      <w:pPr>
        <w:jc w:val="left"/>
        <w:rPr>
          <w:rFonts w:ascii="宋体" w:hAnsi="宋体"/>
          <w:kern w:val="44"/>
        </w:rPr>
      </w:pPr>
      <w:r>
        <w:rPr>
          <w:rFonts w:hint="eastAsia" w:ascii="宋体" w:hAnsi="宋体"/>
          <w:kern w:val="44"/>
        </w:rPr>
        <w:t>（二）变更展览时间未提前7日向社会公示的；</w:t>
      </w:r>
    </w:p>
    <w:p w14:paraId="743B6C3A">
      <w:pPr>
        <w:jc w:val="left"/>
        <w:rPr>
          <w:rFonts w:ascii="宋体" w:hAnsi="宋体"/>
          <w:kern w:val="44"/>
        </w:rPr>
      </w:pPr>
      <w:r>
        <w:rPr>
          <w:rFonts w:hint="eastAsia" w:ascii="宋体" w:hAnsi="宋体"/>
          <w:kern w:val="44"/>
        </w:rPr>
        <w:t>（三）未按规定办理博物馆登记事项变更登记的；</w:t>
      </w:r>
    </w:p>
    <w:p w14:paraId="3708855E">
      <w:pPr>
        <w:jc w:val="left"/>
        <w:rPr>
          <w:rFonts w:ascii="宋体" w:hAnsi="宋体"/>
          <w:kern w:val="44"/>
        </w:rPr>
      </w:pPr>
      <w:r>
        <w:rPr>
          <w:rFonts w:hint="eastAsia" w:ascii="宋体" w:hAnsi="宋体"/>
          <w:kern w:val="44"/>
        </w:rPr>
        <w:t>（四）未建立藏品总帐、分类帐、档案的；</w:t>
      </w:r>
    </w:p>
    <w:p w14:paraId="2A1FD359">
      <w:pPr>
        <w:jc w:val="left"/>
        <w:rPr>
          <w:rFonts w:ascii="宋体" w:hAnsi="宋体"/>
          <w:kern w:val="44"/>
        </w:rPr>
      </w:pPr>
      <w:r>
        <w:rPr>
          <w:rFonts w:hint="eastAsia" w:ascii="宋体" w:hAnsi="宋体"/>
          <w:kern w:val="44"/>
        </w:rPr>
        <w:t>（五）藏品总帐、档案未报市文物行政管理部门备案的；</w:t>
      </w:r>
    </w:p>
    <w:p w14:paraId="56B7550F">
      <w:pPr>
        <w:jc w:val="left"/>
        <w:rPr>
          <w:rFonts w:ascii="宋体" w:hAnsi="宋体"/>
          <w:kern w:val="44"/>
        </w:rPr>
      </w:pPr>
      <w:r>
        <w:rPr>
          <w:rFonts w:hint="eastAsia" w:ascii="宋体" w:hAnsi="宋体"/>
          <w:kern w:val="44"/>
        </w:rPr>
        <w:t>（六）以博物馆名义征集、采集的藏品未登入藏品总帐的；</w:t>
      </w:r>
    </w:p>
    <w:p w14:paraId="7C4CD6D8">
      <w:pPr>
        <w:jc w:val="left"/>
        <w:rPr>
          <w:rFonts w:ascii="宋体" w:hAnsi="宋体"/>
          <w:kern w:val="44"/>
        </w:rPr>
      </w:pPr>
      <w:r>
        <w:rPr>
          <w:rFonts w:hint="eastAsia" w:ascii="宋体" w:hAnsi="宋体"/>
          <w:kern w:val="44"/>
        </w:rPr>
        <w:t>（七）经营活动改变博物馆功能、危及博物馆藏品的安全和影响开放环境的。</w:t>
      </w:r>
    </w:p>
    <w:p w14:paraId="677EEE77">
      <w:pPr>
        <w:ind w:firstLine="422"/>
        <w:jc w:val="left"/>
        <w:rPr>
          <w:rFonts w:ascii="宋体" w:hAnsi="宋体"/>
          <w:kern w:val="44"/>
        </w:rPr>
      </w:pPr>
      <w:r>
        <w:rPr>
          <w:rFonts w:hint="eastAsia" w:ascii="宋体" w:hAnsi="宋体"/>
          <w:b/>
          <w:kern w:val="44"/>
        </w:rPr>
        <w:t>第二十八条</w:t>
      </w:r>
      <w:r>
        <w:rPr>
          <w:rFonts w:hint="eastAsia" w:ascii="宋体" w:hAnsi="宋体"/>
          <w:kern w:val="44"/>
        </w:rPr>
        <w:t>　未经登记擅自以博物馆名义开展活动的，由文物行政管理部门给予警告，可以并处1000元以上5000元以下罚款；有违法所得的，没收违法所得；对非法获取的文物、标本予以没收；构成犯罪的，依法追究刑事责任。</w:t>
      </w:r>
    </w:p>
    <w:p w14:paraId="1BE4C307">
      <w:pPr>
        <w:ind w:firstLine="422"/>
        <w:jc w:val="left"/>
        <w:rPr>
          <w:rFonts w:ascii="宋体" w:hAnsi="宋体"/>
          <w:kern w:val="44"/>
        </w:rPr>
      </w:pPr>
      <w:r>
        <w:rPr>
          <w:rFonts w:hint="eastAsia" w:ascii="宋体" w:hAnsi="宋体"/>
          <w:b/>
          <w:kern w:val="44"/>
        </w:rPr>
        <w:t>第二十九条</w:t>
      </w:r>
      <w:r>
        <w:rPr>
          <w:rFonts w:hint="eastAsia" w:ascii="宋体" w:hAnsi="宋体"/>
          <w:kern w:val="44"/>
        </w:rPr>
        <w:t>　博物馆在展览、讲解中有宣扬淫秽、迷信或者渲染暴力以及宣扬法律、法规禁止的其他内容的，由文物行政管理部门责令改正，可以处以5000元以上3万元以下罚款；情节严重的，注销登记；构成犯罪的，依法追究刑事责任。</w:t>
      </w:r>
    </w:p>
    <w:p w14:paraId="37044E05">
      <w:pPr>
        <w:jc w:val="left"/>
        <w:rPr>
          <w:rFonts w:ascii="宋体" w:hAnsi="宋体"/>
          <w:kern w:val="44"/>
        </w:rPr>
      </w:pPr>
    </w:p>
    <w:p w14:paraId="38CD6E13">
      <w:pPr>
        <w:ind w:firstLine="0" w:firstLineChars="0"/>
        <w:jc w:val="center"/>
        <w:rPr>
          <w:rFonts w:ascii="宋体" w:hAnsi="宋体"/>
          <w:b/>
          <w:kern w:val="44"/>
          <w:sz w:val="28"/>
        </w:rPr>
      </w:pPr>
      <w:r>
        <w:rPr>
          <w:rFonts w:hint="eastAsia" w:ascii="宋体" w:hAnsi="宋体"/>
          <w:b/>
          <w:kern w:val="44"/>
          <w:sz w:val="28"/>
        </w:rPr>
        <w:t>第五章  附　则</w:t>
      </w:r>
    </w:p>
    <w:p w14:paraId="1029C0B4">
      <w:pPr>
        <w:jc w:val="left"/>
        <w:rPr>
          <w:rFonts w:ascii="宋体" w:hAnsi="宋体"/>
          <w:kern w:val="44"/>
        </w:rPr>
      </w:pPr>
    </w:p>
    <w:p w14:paraId="5ABFF9D2">
      <w:pPr>
        <w:ind w:firstLine="422"/>
        <w:jc w:val="left"/>
        <w:rPr>
          <w:rFonts w:ascii="宋体" w:hAnsi="宋体"/>
          <w:kern w:val="44"/>
        </w:rPr>
      </w:pPr>
      <w:r>
        <w:rPr>
          <w:rFonts w:hint="eastAsia" w:ascii="宋体" w:hAnsi="宋体"/>
          <w:b/>
          <w:kern w:val="44"/>
        </w:rPr>
        <w:t>第三十条</w:t>
      </w:r>
      <w:r>
        <w:rPr>
          <w:rFonts w:hint="eastAsia" w:ascii="宋体" w:hAnsi="宋体"/>
          <w:kern w:val="44"/>
        </w:rPr>
        <w:t>　本条例自2001年1月1日起施行。1993年12月25日北京市人民政府批准发布的《北京市博物馆登记暂行办法》同时废止。</w:t>
      </w:r>
    </w:p>
    <w:p w14:paraId="25962F4B">
      <w:pPr>
        <w:pStyle w:val="4"/>
        <w:pageBreakBefore/>
        <w:rPr>
          <w:kern w:val="44"/>
        </w:rPr>
      </w:pPr>
      <w:bookmarkStart w:id="1607" w:name="_Toc422471419"/>
      <w:bookmarkStart w:id="1608" w:name="_Toc427652013"/>
      <w:bookmarkStart w:id="1609" w:name="_Toc428780237"/>
      <w:bookmarkStart w:id="1610" w:name="_Toc428781719"/>
      <w:bookmarkStart w:id="1611" w:name="_Toc427651671"/>
      <w:r>
        <w:rPr>
          <w:rFonts w:hint="eastAsia"/>
          <w:kern w:val="44"/>
        </w:rPr>
        <w:t>北京市图书馆条例</w:t>
      </w:r>
      <w:bookmarkEnd w:id="1607"/>
      <w:bookmarkEnd w:id="1608"/>
      <w:bookmarkEnd w:id="1609"/>
      <w:bookmarkEnd w:id="1610"/>
      <w:bookmarkEnd w:id="1611"/>
    </w:p>
    <w:p w14:paraId="37A1BB08">
      <w:pPr>
        <w:ind w:left="630" w:leftChars="300" w:right="630" w:rightChars="300"/>
        <w:jc w:val="left"/>
        <w:rPr>
          <w:rFonts w:ascii="楷体" w:hAnsi="楷体" w:eastAsia="楷体"/>
          <w:kern w:val="44"/>
        </w:rPr>
      </w:pPr>
      <w:r>
        <w:rPr>
          <w:rFonts w:hint="eastAsia" w:ascii="楷体" w:hAnsi="楷体" w:eastAsia="楷体"/>
          <w:kern w:val="44"/>
        </w:rPr>
        <w:t>（2002年7月18日北京市第十一届人民代表大会常务委员会第三十五次会议通过）</w:t>
      </w:r>
    </w:p>
    <w:p w14:paraId="76062327">
      <w:pPr>
        <w:jc w:val="left"/>
        <w:rPr>
          <w:rFonts w:ascii="宋体" w:hAnsi="宋体"/>
          <w:kern w:val="44"/>
        </w:rPr>
      </w:pPr>
    </w:p>
    <w:p w14:paraId="215C5AF0">
      <w:pPr>
        <w:ind w:firstLine="0" w:firstLineChars="0"/>
        <w:jc w:val="center"/>
        <w:rPr>
          <w:rFonts w:ascii="宋体" w:hAnsi="宋体"/>
          <w:b/>
          <w:kern w:val="44"/>
          <w:sz w:val="28"/>
        </w:rPr>
      </w:pPr>
      <w:r>
        <w:rPr>
          <w:rFonts w:hint="eastAsia" w:ascii="宋体" w:hAnsi="宋体"/>
          <w:b/>
          <w:kern w:val="44"/>
          <w:sz w:val="28"/>
        </w:rPr>
        <w:t>第一章　总　则</w:t>
      </w:r>
    </w:p>
    <w:p w14:paraId="3793BF7E">
      <w:pPr>
        <w:jc w:val="left"/>
        <w:rPr>
          <w:rFonts w:ascii="宋体" w:hAnsi="宋体"/>
          <w:kern w:val="44"/>
        </w:rPr>
      </w:pPr>
    </w:p>
    <w:p w14:paraId="2DE8ABE7">
      <w:pPr>
        <w:ind w:firstLine="422"/>
        <w:jc w:val="left"/>
        <w:rPr>
          <w:rFonts w:ascii="宋体" w:hAnsi="宋体"/>
          <w:kern w:val="44"/>
        </w:rPr>
      </w:pPr>
      <w:r>
        <w:rPr>
          <w:rFonts w:hint="eastAsia" w:ascii="宋体" w:hAnsi="宋体"/>
          <w:b/>
          <w:kern w:val="44"/>
        </w:rPr>
        <w:t>第一条</w:t>
      </w:r>
      <w:r>
        <w:rPr>
          <w:rFonts w:hint="eastAsia" w:ascii="宋体" w:hAnsi="宋体"/>
          <w:kern w:val="44"/>
        </w:rPr>
        <w:t>　为了保障图书馆事业的发展，满足人民群众对科学文化知识的需求，促进社会主义物质文明和精神文明建设，根据本市实际情况，制定本条例。</w:t>
      </w:r>
    </w:p>
    <w:p w14:paraId="7163D73E">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本条例适用于本市的公共图书馆及其他各类图书馆。</w:t>
      </w:r>
    </w:p>
    <w:p w14:paraId="374D4904">
      <w:pPr>
        <w:jc w:val="left"/>
        <w:rPr>
          <w:rFonts w:ascii="宋体" w:hAnsi="宋体"/>
          <w:kern w:val="44"/>
        </w:rPr>
      </w:pPr>
      <w:r>
        <w:rPr>
          <w:rFonts w:hint="eastAsia" w:ascii="宋体" w:hAnsi="宋体"/>
          <w:kern w:val="44"/>
        </w:rPr>
        <w:t>本条例所称图书馆，是指收集、整理、保存、开发、利用图书、报纸、期刊、音像制品、微缩胶片、电子出版物和网络信息等文献信息资源为读者服务的公益性机构。</w:t>
      </w:r>
    </w:p>
    <w:p w14:paraId="1C856506">
      <w:pPr>
        <w:jc w:val="left"/>
        <w:rPr>
          <w:rFonts w:ascii="宋体" w:hAnsi="宋体"/>
          <w:kern w:val="44"/>
        </w:rPr>
      </w:pPr>
      <w:r>
        <w:rPr>
          <w:rFonts w:hint="eastAsia" w:ascii="宋体" w:hAnsi="宋体"/>
          <w:kern w:val="44"/>
        </w:rPr>
        <w:t>本条例所称公共图书馆，是指各级人民政府兴办、面向社会开放的图书馆。</w:t>
      </w:r>
    </w:p>
    <w:p w14:paraId="22D6110F">
      <w:pPr>
        <w:ind w:firstLine="422"/>
        <w:jc w:val="left"/>
        <w:rPr>
          <w:rFonts w:ascii="宋体" w:hAnsi="宋体"/>
          <w:kern w:val="44"/>
        </w:rPr>
      </w:pPr>
      <w:r>
        <w:rPr>
          <w:rFonts w:hint="eastAsia" w:ascii="宋体" w:hAnsi="宋体"/>
          <w:b/>
          <w:kern w:val="44"/>
        </w:rPr>
        <w:t>第三条</w:t>
      </w:r>
      <w:r>
        <w:rPr>
          <w:rFonts w:hint="eastAsia" w:ascii="宋体" w:hAnsi="宋体"/>
          <w:kern w:val="44"/>
        </w:rPr>
        <w:t>　举办图书馆应当坚持为人民服务、为社会主义服务的方向，积累和传播有益于提高民族素质、有益于经济发展和社会进步的科学文化知识，丰富人民群众的精神生活。</w:t>
      </w:r>
    </w:p>
    <w:p w14:paraId="2CDB8637">
      <w:pPr>
        <w:ind w:firstLine="422"/>
        <w:jc w:val="left"/>
        <w:rPr>
          <w:rFonts w:ascii="宋体" w:hAnsi="宋体"/>
          <w:kern w:val="44"/>
        </w:rPr>
      </w:pPr>
      <w:r>
        <w:rPr>
          <w:rFonts w:hint="eastAsia" w:ascii="宋体" w:hAnsi="宋体"/>
          <w:b/>
          <w:kern w:val="44"/>
        </w:rPr>
        <w:t>第四条</w:t>
      </w:r>
      <w:r>
        <w:rPr>
          <w:rFonts w:hint="eastAsia" w:ascii="宋体" w:hAnsi="宋体"/>
          <w:kern w:val="44"/>
        </w:rPr>
        <w:t>　市文化行政主管部门主管全市图书馆工作，负责全市公共图书馆的统一管理，指导、协调其他各类图书馆工作。</w:t>
      </w:r>
    </w:p>
    <w:p w14:paraId="65A74200">
      <w:pPr>
        <w:jc w:val="left"/>
        <w:rPr>
          <w:rFonts w:ascii="宋体" w:hAnsi="宋体"/>
          <w:kern w:val="44"/>
        </w:rPr>
      </w:pPr>
      <w:r>
        <w:rPr>
          <w:rFonts w:hint="eastAsia" w:ascii="宋体" w:hAnsi="宋体"/>
          <w:kern w:val="44"/>
        </w:rPr>
        <w:t>区、县文化行政主管部门按照管理权限负责本辖区公共图书馆的管理，指导、协调本区、县其他各类图书馆工作。</w:t>
      </w:r>
    </w:p>
    <w:p w14:paraId="16027367">
      <w:pPr>
        <w:jc w:val="left"/>
        <w:rPr>
          <w:rFonts w:ascii="宋体" w:hAnsi="宋体"/>
          <w:kern w:val="44"/>
        </w:rPr>
      </w:pPr>
      <w:r>
        <w:rPr>
          <w:rFonts w:hint="eastAsia" w:ascii="宋体" w:hAnsi="宋体"/>
          <w:kern w:val="44"/>
        </w:rPr>
        <w:t>本市教育、科技等行政主管部门在各自职责范围内对学校图书馆、科学研究机构图书馆以及其他各类图书馆工作进行管理。</w:t>
      </w:r>
    </w:p>
    <w:p w14:paraId="4AD24D7C">
      <w:pPr>
        <w:ind w:firstLine="422"/>
        <w:jc w:val="left"/>
        <w:rPr>
          <w:rFonts w:ascii="宋体" w:hAnsi="宋体"/>
          <w:kern w:val="44"/>
        </w:rPr>
      </w:pPr>
      <w:r>
        <w:rPr>
          <w:rFonts w:hint="eastAsia" w:ascii="宋体" w:hAnsi="宋体"/>
          <w:b/>
          <w:kern w:val="44"/>
        </w:rPr>
        <w:t>第五条</w:t>
      </w:r>
      <w:r>
        <w:rPr>
          <w:rFonts w:hint="eastAsia" w:ascii="宋体" w:hAnsi="宋体"/>
          <w:kern w:val="44"/>
        </w:rPr>
        <w:t>　本市各级人民政府及其文化行政主管部门应当对为发展图书馆事业做出突出贡献或者成绩显著的单位和个人给予表彰或者奖励。</w:t>
      </w:r>
    </w:p>
    <w:p w14:paraId="3CB8A9DE">
      <w:pPr>
        <w:jc w:val="left"/>
        <w:rPr>
          <w:rFonts w:ascii="宋体" w:hAnsi="宋体"/>
          <w:kern w:val="44"/>
        </w:rPr>
      </w:pPr>
    </w:p>
    <w:p w14:paraId="640A2B7B">
      <w:pPr>
        <w:ind w:firstLine="0" w:firstLineChars="0"/>
        <w:jc w:val="center"/>
        <w:rPr>
          <w:rFonts w:ascii="宋体" w:hAnsi="宋体"/>
          <w:b/>
          <w:kern w:val="44"/>
          <w:sz w:val="28"/>
        </w:rPr>
      </w:pPr>
      <w:r>
        <w:rPr>
          <w:rFonts w:hint="eastAsia" w:ascii="宋体" w:hAnsi="宋体"/>
          <w:b/>
          <w:kern w:val="44"/>
          <w:sz w:val="28"/>
        </w:rPr>
        <w:t>第二章　发展与保障</w:t>
      </w:r>
    </w:p>
    <w:p w14:paraId="1DD707DB">
      <w:pPr>
        <w:jc w:val="left"/>
        <w:rPr>
          <w:rFonts w:ascii="宋体" w:hAnsi="宋体"/>
          <w:kern w:val="44"/>
        </w:rPr>
      </w:pPr>
    </w:p>
    <w:p w14:paraId="5F10BB80">
      <w:pPr>
        <w:ind w:firstLine="422"/>
        <w:jc w:val="left"/>
        <w:rPr>
          <w:rFonts w:ascii="宋体" w:hAnsi="宋体"/>
          <w:kern w:val="44"/>
        </w:rPr>
      </w:pPr>
      <w:r>
        <w:rPr>
          <w:rFonts w:hint="eastAsia" w:ascii="宋体" w:hAnsi="宋体"/>
          <w:b/>
          <w:kern w:val="44"/>
        </w:rPr>
        <w:t>第六条</w:t>
      </w:r>
      <w:r>
        <w:rPr>
          <w:rFonts w:hint="eastAsia" w:ascii="宋体" w:hAnsi="宋体"/>
          <w:kern w:val="44"/>
        </w:rPr>
        <w:t>　本市各级人民政府应当加强对图书馆事业的领导，统筹协调，将图书馆事业纳入国民经济和社会发展计划，为发展图书馆事业提供必要的条件和保障。</w:t>
      </w:r>
    </w:p>
    <w:p w14:paraId="4C767095">
      <w:pPr>
        <w:ind w:firstLine="422"/>
        <w:jc w:val="left"/>
        <w:rPr>
          <w:rFonts w:ascii="宋体" w:hAnsi="宋体"/>
          <w:kern w:val="44"/>
        </w:rPr>
      </w:pPr>
      <w:r>
        <w:rPr>
          <w:rFonts w:hint="eastAsia" w:ascii="宋体" w:hAnsi="宋体"/>
          <w:b/>
          <w:kern w:val="44"/>
        </w:rPr>
        <w:t>第七条</w:t>
      </w:r>
      <w:r>
        <w:rPr>
          <w:rFonts w:hint="eastAsia" w:ascii="宋体" w:hAnsi="宋体"/>
          <w:kern w:val="44"/>
        </w:rPr>
        <w:t>　本市各级人民政府应当将公共图书馆的经费列入本级财政年度预算，并随着国民经济的发展逐步增加投入。</w:t>
      </w:r>
    </w:p>
    <w:p w14:paraId="40F826AA">
      <w:pPr>
        <w:jc w:val="left"/>
        <w:rPr>
          <w:rFonts w:ascii="宋体" w:hAnsi="宋体"/>
          <w:kern w:val="44"/>
        </w:rPr>
      </w:pPr>
      <w:r>
        <w:rPr>
          <w:rFonts w:hint="eastAsia" w:ascii="宋体" w:hAnsi="宋体"/>
          <w:kern w:val="44"/>
        </w:rPr>
        <w:t>其他各类图书馆的举办者应当保障图书馆的正常业务经费。</w:t>
      </w:r>
    </w:p>
    <w:p w14:paraId="2B0065FB">
      <w:pPr>
        <w:jc w:val="left"/>
        <w:rPr>
          <w:rFonts w:ascii="宋体" w:hAnsi="宋体"/>
          <w:kern w:val="44"/>
        </w:rPr>
      </w:pPr>
      <w:r>
        <w:rPr>
          <w:rFonts w:hint="eastAsia" w:ascii="宋体" w:hAnsi="宋体"/>
          <w:kern w:val="44"/>
        </w:rPr>
        <w:t>图书馆经费应当专款专用，不得挪作他用。</w:t>
      </w:r>
    </w:p>
    <w:p w14:paraId="0662FCA0">
      <w:pPr>
        <w:ind w:firstLine="422"/>
        <w:jc w:val="left"/>
        <w:rPr>
          <w:rFonts w:ascii="宋体" w:hAnsi="宋体"/>
          <w:kern w:val="44"/>
        </w:rPr>
      </w:pPr>
      <w:r>
        <w:rPr>
          <w:rFonts w:hint="eastAsia" w:ascii="宋体" w:hAnsi="宋体"/>
          <w:b/>
          <w:kern w:val="44"/>
        </w:rPr>
        <w:t>第八条</w:t>
      </w:r>
      <w:r>
        <w:rPr>
          <w:rFonts w:hint="eastAsia" w:ascii="宋体" w:hAnsi="宋体"/>
          <w:kern w:val="44"/>
        </w:rPr>
        <w:t>　市文化行政主管部门应当会同有关部门制定本市图书馆发展规划和图书馆信息网络建设方案，报市人民政府批准后组织实施。</w:t>
      </w:r>
    </w:p>
    <w:p w14:paraId="1C29CAF0">
      <w:pPr>
        <w:jc w:val="left"/>
        <w:rPr>
          <w:rFonts w:ascii="宋体" w:hAnsi="宋体"/>
          <w:kern w:val="44"/>
        </w:rPr>
      </w:pPr>
      <w:r>
        <w:rPr>
          <w:rFonts w:hint="eastAsia" w:ascii="宋体" w:hAnsi="宋体"/>
          <w:kern w:val="44"/>
        </w:rPr>
        <w:t>区、县文化行政主管部门应当根据本辖区情况，做好图书馆发展规划和图书馆信息网络建设方案的实施工作。</w:t>
      </w:r>
    </w:p>
    <w:p w14:paraId="08E299A5">
      <w:pPr>
        <w:ind w:firstLine="422"/>
        <w:jc w:val="left"/>
        <w:rPr>
          <w:rFonts w:ascii="宋体" w:hAnsi="宋体"/>
          <w:kern w:val="44"/>
        </w:rPr>
      </w:pPr>
      <w:r>
        <w:rPr>
          <w:rFonts w:hint="eastAsia" w:ascii="宋体" w:hAnsi="宋体"/>
          <w:b/>
          <w:kern w:val="44"/>
        </w:rPr>
        <w:t>第九条</w:t>
      </w:r>
      <w:r>
        <w:rPr>
          <w:rFonts w:hint="eastAsia" w:ascii="宋体" w:hAnsi="宋体"/>
          <w:kern w:val="44"/>
        </w:rPr>
        <w:t>　本市鼓励和扶持在社区、村兴办图书馆（室）。</w:t>
      </w:r>
    </w:p>
    <w:p w14:paraId="4BCF221A">
      <w:pPr>
        <w:spacing w:line="356" w:lineRule="exact"/>
        <w:jc w:val="left"/>
        <w:rPr>
          <w:rFonts w:ascii="宋体" w:hAnsi="宋体"/>
          <w:kern w:val="44"/>
        </w:rPr>
      </w:pPr>
      <w:r>
        <w:rPr>
          <w:rFonts w:hint="eastAsia" w:ascii="宋体" w:hAnsi="宋体"/>
          <w:kern w:val="44"/>
        </w:rPr>
        <w:t>区、县和乡、民族乡、镇人民政府以及街道办事处应当以区、县公共图书馆和街道、乡镇公共图书馆（室）为基础，采取多种扶持措施，加强社区、村内图书馆（室）的建设。</w:t>
      </w:r>
    </w:p>
    <w:p w14:paraId="4DFE6DEF">
      <w:pPr>
        <w:spacing w:line="356" w:lineRule="exact"/>
        <w:jc w:val="left"/>
        <w:rPr>
          <w:rFonts w:ascii="宋体" w:hAnsi="宋体"/>
          <w:kern w:val="44"/>
        </w:rPr>
      </w:pPr>
      <w:r>
        <w:rPr>
          <w:rFonts w:hint="eastAsia" w:ascii="宋体" w:hAnsi="宋体"/>
          <w:kern w:val="44"/>
        </w:rPr>
        <w:t>市和区、县文化行政主管部门应当加强对社区、村内图书馆（室）的业务指导。</w:t>
      </w:r>
    </w:p>
    <w:p w14:paraId="0E5E6F20">
      <w:pPr>
        <w:spacing w:line="356" w:lineRule="exact"/>
        <w:ind w:firstLine="422"/>
        <w:jc w:val="left"/>
        <w:rPr>
          <w:rFonts w:ascii="宋体" w:hAnsi="宋体"/>
          <w:kern w:val="44"/>
        </w:rPr>
      </w:pPr>
      <w:r>
        <w:rPr>
          <w:rFonts w:hint="eastAsia" w:ascii="宋体" w:hAnsi="宋体"/>
          <w:b/>
          <w:kern w:val="44"/>
        </w:rPr>
        <w:t>第十条</w:t>
      </w:r>
      <w:r>
        <w:rPr>
          <w:rFonts w:hint="eastAsia" w:ascii="宋体" w:hAnsi="宋体"/>
          <w:kern w:val="44"/>
        </w:rPr>
        <w:t>　本市鼓励学校、科学研究机构以及社会团体、企业、事业单位的图书馆（室）向社会开放。</w:t>
      </w:r>
    </w:p>
    <w:p w14:paraId="294FEA60">
      <w:pPr>
        <w:spacing w:line="356" w:lineRule="exact"/>
        <w:ind w:firstLine="422"/>
        <w:jc w:val="left"/>
        <w:rPr>
          <w:rFonts w:ascii="宋体" w:hAnsi="宋体"/>
          <w:kern w:val="44"/>
        </w:rPr>
      </w:pPr>
      <w:r>
        <w:rPr>
          <w:rFonts w:hint="eastAsia" w:ascii="宋体" w:hAnsi="宋体"/>
          <w:b/>
          <w:kern w:val="44"/>
        </w:rPr>
        <w:t>第十一条</w:t>
      </w:r>
      <w:r>
        <w:rPr>
          <w:rFonts w:hint="eastAsia" w:ascii="宋体" w:hAnsi="宋体"/>
          <w:kern w:val="44"/>
        </w:rPr>
        <w:t>　本市鼓励自然人、法人和其他组织兴办图书馆或者以捐赠资金、文献信息资料、设备等形式资助图书馆事业发展。捐赠人依照《中华人民共和国公益事业捐赠法》享受税收等优惠。</w:t>
      </w:r>
    </w:p>
    <w:p w14:paraId="4A61D89E">
      <w:pPr>
        <w:spacing w:line="356" w:lineRule="exact"/>
        <w:jc w:val="left"/>
        <w:rPr>
          <w:rFonts w:ascii="宋体" w:hAnsi="宋体"/>
          <w:kern w:val="44"/>
        </w:rPr>
      </w:pPr>
      <w:r>
        <w:rPr>
          <w:rFonts w:hint="eastAsia" w:ascii="宋体" w:hAnsi="宋体"/>
          <w:kern w:val="44"/>
        </w:rPr>
        <w:t>本市倡导志愿者参加图书馆（室）的服务工作。</w:t>
      </w:r>
    </w:p>
    <w:p w14:paraId="441D0FFC">
      <w:pPr>
        <w:spacing w:line="356" w:lineRule="exact"/>
        <w:ind w:firstLine="422"/>
        <w:jc w:val="left"/>
        <w:rPr>
          <w:rFonts w:ascii="宋体" w:hAnsi="宋体"/>
          <w:kern w:val="44"/>
        </w:rPr>
      </w:pPr>
      <w:r>
        <w:rPr>
          <w:rFonts w:hint="eastAsia" w:ascii="宋体" w:hAnsi="宋体"/>
          <w:b/>
          <w:kern w:val="44"/>
        </w:rPr>
        <w:t>第十二条</w:t>
      </w:r>
      <w:r>
        <w:rPr>
          <w:rFonts w:hint="eastAsia" w:ascii="宋体" w:hAnsi="宋体"/>
          <w:kern w:val="44"/>
        </w:rPr>
        <w:t>　图书馆可以多渠道筹集资金，用于图书馆建设。</w:t>
      </w:r>
    </w:p>
    <w:p w14:paraId="352E4C76">
      <w:pPr>
        <w:spacing w:line="356" w:lineRule="exact"/>
        <w:jc w:val="left"/>
        <w:rPr>
          <w:rFonts w:ascii="宋体" w:hAnsi="宋体"/>
          <w:kern w:val="44"/>
        </w:rPr>
      </w:pPr>
      <w:r>
        <w:rPr>
          <w:rFonts w:hint="eastAsia" w:ascii="宋体" w:hAnsi="宋体"/>
          <w:kern w:val="44"/>
        </w:rPr>
        <w:t>图书馆通过开展文献信息资源开发、利用等业务服务收取费用的，应当执行市物价行政主管部门核定的收费标准，并向社会公示。</w:t>
      </w:r>
    </w:p>
    <w:p w14:paraId="2E678D95">
      <w:pPr>
        <w:spacing w:line="356" w:lineRule="exact"/>
        <w:ind w:firstLine="422"/>
        <w:jc w:val="left"/>
        <w:rPr>
          <w:rFonts w:ascii="宋体" w:hAnsi="宋体"/>
          <w:kern w:val="44"/>
        </w:rPr>
      </w:pPr>
      <w:r>
        <w:rPr>
          <w:rFonts w:hint="eastAsia" w:ascii="宋体" w:hAnsi="宋体"/>
          <w:b/>
          <w:kern w:val="44"/>
        </w:rPr>
        <w:t>第十三条</w:t>
      </w:r>
      <w:r>
        <w:rPr>
          <w:rFonts w:hint="eastAsia" w:ascii="宋体" w:hAnsi="宋体"/>
          <w:kern w:val="44"/>
        </w:rPr>
        <w:t>　市文化行政主管部门组织成立图书馆专家委员会，并应当就下列事项征询图书馆专家委员会的意见：</w:t>
      </w:r>
    </w:p>
    <w:p w14:paraId="5B868765">
      <w:pPr>
        <w:spacing w:line="356" w:lineRule="exact"/>
        <w:jc w:val="left"/>
        <w:rPr>
          <w:rFonts w:ascii="宋体" w:hAnsi="宋体"/>
          <w:kern w:val="44"/>
        </w:rPr>
      </w:pPr>
      <w:r>
        <w:rPr>
          <w:rFonts w:hint="eastAsia" w:ascii="宋体" w:hAnsi="宋体"/>
          <w:kern w:val="44"/>
        </w:rPr>
        <w:t>（一）图书馆的发展规划；</w:t>
      </w:r>
    </w:p>
    <w:p w14:paraId="00B1D510">
      <w:pPr>
        <w:spacing w:line="356" w:lineRule="exact"/>
        <w:jc w:val="left"/>
        <w:rPr>
          <w:rFonts w:ascii="宋体" w:hAnsi="宋体"/>
          <w:kern w:val="44"/>
        </w:rPr>
      </w:pPr>
      <w:r>
        <w:rPr>
          <w:rFonts w:hint="eastAsia" w:ascii="宋体" w:hAnsi="宋体"/>
          <w:kern w:val="44"/>
        </w:rPr>
        <w:t>（二）图书馆的网络建设方案；</w:t>
      </w:r>
    </w:p>
    <w:p w14:paraId="7D925B10">
      <w:pPr>
        <w:spacing w:line="356" w:lineRule="exact"/>
        <w:jc w:val="left"/>
        <w:rPr>
          <w:rFonts w:ascii="宋体" w:hAnsi="宋体"/>
          <w:kern w:val="44"/>
        </w:rPr>
      </w:pPr>
      <w:r>
        <w:rPr>
          <w:rFonts w:hint="eastAsia" w:ascii="宋体" w:hAnsi="宋体"/>
          <w:kern w:val="44"/>
        </w:rPr>
        <w:t>（三）图书馆的业务规程；</w:t>
      </w:r>
    </w:p>
    <w:p w14:paraId="64028436">
      <w:pPr>
        <w:spacing w:line="356" w:lineRule="exact"/>
        <w:jc w:val="left"/>
        <w:rPr>
          <w:rFonts w:ascii="宋体" w:hAnsi="宋体"/>
          <w:kern w:val="44"/>
        </w:rPr>
      </w:pPr>
      <w:r>
        <w:rPr>
          <w:rFonts w:hint="eastAsia" w:ascii="宋体" w:hAnsi="宋体"/>
          <w:kern w:val="44"/>
        </w:rPr>
        <w:t>（四）涉及图书馆事业发展的其他重大事项。</w:t>
      </w:r>
    </w:p>
    <w:p w14:paraId="35049B57">
      <w:pPr>
        <w:spacing w:line="356" w:lineRule="exact"/>
        <w:ind w:firstLine="422"/>
        <w:jc w:val="left"/>
        <w:rPr>
          <w:rFonts w:ascii="宋体" w:hAnsi="宋体"/>
          <w:kern w:val="44"/>
        </w:rPr>
      </w:pPr>
      <w:r>
        <w:rPr>
          <w:rFonts w:hint="eastAsia" w:ascii="宋体" w:hAnsi="宋体"/>
          <w:b/>
          <w:kern w:val="44"/>
        </w:rPr>
        <w:t>第十四条</w:t>
      </w:r>
      <w:r>
        <w:rPr>
          <w:rFonts w:hint="eastAsia" w:ascii="宋体" w:hAnsi="宋体"/>
          <w:kern w:val="44"/>
        </w:rPr>
        <w:t>　市和区、县公共图书馆应当协助文化行政主管部门做好对本地区图书馆的业务指导工作。</w:t>
      </w:r>
    </w:p>
    <w:p w14:paraId="7E3F3CE8">
      <w:pPr>
        <w:spacing w:line="356" w:lineRule="exact"/>
        <w:ind w:firstLine="422"/>
        <w:jc w:val="left"/>
        <w:rPr>
          <w:rFonts w:ascii="宋体" w:hAnsi="宋体"/>
          <w:kern w:val="44"/>
        </w:rPr>
      </w:pPr>
      <w:r>
        <w:rPr>
          <w:rFonts w:hint="eastAsia" w:ascii="宋体" w:hAnsi="宋体"/>
          <w:b/>
          <w:kern w:val="44"/>
        </w:rPr>
        <w:t>第十五条</w:t>
      </w:r>
      <w:r>
        <w:rPr>
          <w:rFonts w:hint="eastAsia" w:ascii="宋体" w:hAnsi="宋体"/>
          <w:kern w:val="44"/>
        </w:rPr>
        <w:t>　文化行政主管部门应当促进图书馆行业组织建设。</w:t>
      </w:r>
    </w:p>
    <w:p w14:paraId="6C440865">
      <w:pPr>
        <w:spacing w:line="356" w:lineRule="exact"/>
        <w:jc w:val="left"/>
        <w:rPr>
          <w:rFonts w:ascii="宋体" w:hAnsi="宋体"/>
          <w:kern w:val="44"/>
        </w:rPr>
      </w:pPr>
      <w:r>
        <w:rPr>
          <w:rFonts w:hint="eastAsia" w:ascii="宋体" w:hAnsi="宋体"/>
          <w:kern w:val="44"/>
        </w:rPr>
        <w:t>图书馆行业组织应当按照其章程，实行行业自律，维护自身的合法权益，并接受文化行政主管部门的指导。</w:t>
      </w:r>
    </w:p>
    <w:p w14:paraId="2C09DCEA">
      <w:pPr>
        <w:spacing w:line="356" w:lineRule="exact"/>
        <w:jc w:val="left"/>
        <w:rPr>
          <w:rFonts w:ascii="宋体" w:hAnsi="宋体"/>
          <w:kern w:val="44"/>
        </w:rPr>
      </w:pPr>
    </w:p>
    <w:p w14:paraId="5968548F">
      <w:pPr>
        <w:spacing w:line="356" w:lineRule="exact"/>
        <w:ind w:firstLine="0" w:firstLineChars="0"/>
        <w:jc w:val="center"/>
        <w:rPr>
          <w:rFonts w:ascii="宋体" w:hAnsi="宋体"/>
          <w:b/>
          <w:kern w:val="44"/>
          <w:sz w:val="40"/>
        </w:rPr>
      </w:pPr>
      <w:r>
        <w:rPr>
          <w:rFonts w:hint="eastAsia" w:ascii="宋体" w:hAnsi="宋体"/>
          <w:b/>
          <w:kern w:val="44"/>
          <w:sz w:val="28"/>
        </w:rPr>
        <w:t>第三章　图书馆设置</w:t>
      </w:r>
    </w:p>
    <w:p w14:paraId="3182083C">
      <w:pPr>
        <w:spacing w:line="356" w:lineRule="exact"/>
        <w:jc w:val="left"/>
        <w:rPr>
          <w:rFonts w:ascii="宋体" w:hAnsi="宋体"/>
          <w:kern w:val="44"/>
        </w:rPr>
      </w:pPr>
    </w:p>
    <w:p w14:paraId="4BC7D1BB">
      <w:pPr>
        <w:spacing w:line="356" w:lineRule="exact"/>
        <w:ind w:firstLine="422"/>
        <w:jc w:val="left"/>
        <w:rPr>
          <w:rFonts w:ascii="宋体" w:hAnsi="宋体"/>
          <w:kern w:val="44"/>
        </w:rPr>
      </w:pPr>
      <w:r>
        <w:rPr>
          <w:rFonts w:hint="eastAsia" w:ascii="宋体" w:hAnsi="宋体"/>
          <w:b/>
          <w:kern w:val="44"/>
        </w:rPr>
        <w:t>第十六条</w:t>
      </w:r>
      <w:r>
        <w:rPr>
          <w:rFonts w:hint="eastAsia" w:ascii="宋体" w:hAnsi="宋体"/>
          <w:kern w:val="44"/>
        </w:rPr>
        <w:t>　本市各级人民政府应当根据本地区人口分布情况和经济、社会发展的需要，按照统筹规划、合理布局的原则，设置公共图书馆。</w:t>
      </w:r>
    </w:p>
    <w:p w14:paraId="6F11CE0A">
      <w:pPr>
        <w:spacing w:line="356" w:lineRule="exact"/>
        <w:jc w:val="left"/>
        <w:rPr>
          <w:rFonts w:ascii="宋体" w:hAnsi="宋体"/>
          <w:kern w:val="44"/>
        </w:rPr>
      </w:pPr>
      <w:r>
        <w:rPr>
          <w:rFonts w:hint="eastAsia" w:ascii="宋体" w:hAnsi="宋体"/>
          <w:kern w:val="44"/>
        </w:rPr>
        <w:t>高等院校和科学研究机构以及其他社会组织设置图书馆，应当按照各类图书馆设置的有关规定执行。</w:t>
      </w:r>
    </w:p>
    <w:p w14:paraId="69C4E8B7">
      <w:pPr>
        <w:spacing w:line="356" w:lineRule="exact"/>
        <w:ind w:firstLine="422"/>
        <w:jc w:val="left"/>
        <w:rPr>
          <w:rFonts w:ascii="宋体" w:hAnsi="宋体"/>
          <w:kern w:val="44"/>
        </w:rPr>
      </w:pPr>
      <w:r>
        <w:rPr>
          <w:rFonts w:hint="eastAsia" w:ascii="宋体" w:hAnsi="宋体"/>
          <w:b/>
          <w:kern w:val="44"/>
        </w:rPr>
        <w:t>第十七条</w:t>
      </w:r>
      <w:r>
        <w:rPr>
          <w:rFonts w:hint="eastAsia" w:ascii="宋体" w:hAnsi="宋体"/>
          <w:kern w:val="44"/>
        </w:rPr>
        <w:t>　新建、改建、扩建公共图书馆应当适应图书馆应用现代科学技术进行管理和服务的需要，并符合下列基本要求：</w:t>
      </w:r>
    </w:p>
    <w:p w14:paraId="150262B8">
      <w:pPr>
        <w:spacing w:line="356" w:lineRule="exact"/>
        <w:jc w:val="left"/>
        <w:rPr>
          <w:rFonts w:ascii="宋体" w:hAnsi="宋体"/>
          <w:kern w:val="44"/>
        </w:rPr>
      </w:pPr>
      <w:r>
        <w:rPr>
          <w:rFonts w:hint="eastAsia" w:ascii="宋体" w:hAnsi="宋体"/>
          <w:kern w:val="44"/>
        </w:rPr>
        <w:t>（一）市公共图书馆的建筑面积应当达到20000平方米以上，阅览座位应当达到1200席以上；</w:t>
      </w:r>
    </w:p>
    <w:p w14:paraId="3F03861F">
      <w:pPr>
        <w:spacing w:line="356" w:lineRule="exact"/>
        <w:jc w:val="left"/>
        <w:rPr>
          <w:rFonts w:ascii="宋体" w:hAnsi="宋体"/>
          <w:kern w:val="44"/>
        </w:rPr>
      </w:pPr>
      <w:r>
        <w:rPr>
          <w:rFonts w:hint="eastAsia" w:ascii="宋体" w:hAnsi="宋体"/>
          <w:kern w:val="44"/>
        </w:rPr>
        <w:t>（二）区公共图书馆的建筑面积应当达到5000平方米以上，阅览座位应当达到500席以上，县公共图书馆的建筑面积应当达到3000平方米以上，阅览座位应当达到300席以上；</w:t>
      </w:r>
    </w:p>
    <w:p w14:paraId="78E6555A">
      <w:pPr>
        <w:spacing w:line="356" w:lineRule="exact"/>
        <w:jc w:val="left"/>
        <w:rPr>
          <w:rFonts w:ascii="宋体" w:hAnsi="宋体"/>
          <w:kern w:val="44"/>
        </w:rPr>
      </w:pPr>
      <w:r>
        <w:rPr>
          <w:rFonts w:hint="eastAsia" w:ascii="宋体" w:hAnsi="宋体"/>
          <w:kern w:val="44"/>
        </w:rPr>
        <w:t>（三）街道、乡镇公共图书馆（室）的建筑面积应当达到100平方米以上，阅览座位应当达到30席以上。</w:t>
      </w:r>
    </w:p>
    <w:p w14:paraId="148AFA68">
      <w:pPr>
        <w:jc w:val="left"/>
        <w:rPr>
          <w:rFonts w:ascii="宋体" w:hAnsi="宋体"/>
          <w:kern w:val="44"/>
        </w:rPr>
      </w:pPr>
      <w:r>
        <w:rPr>
          <w:rFonts w:hint="eastAsia" w:ascii="宋体" w:hAnsi="宋体"/>
          <w:kern w:val="44"/>
        </w:rPr>
        <w:t>其他各类图书馆的布局、馆舍面积和阅览座位按照有关规定执行。</w:t>
      </w:r>
    </w:p>
    <w:p w14:paraId="086EF82E">
      <w:pPr>
        <w:ind w:firstLine="422"/>
        <w:jc w:val="left"/>
        <w:rPr>
          <w:rFonts w:ascii="宋体" w:hAnsi="宋体"/>
          <w:kern w:val="44"/>
        </w:rPr>
      </w:pPr>
      <w:r>
        <w:rPr>
          <w:rFonts w:hint="eastAsia" w:ascii="宋体" w:hAnsi="宋体"/>
          <w:b/>
          <w:kern w:val="44"/>
        </w:rPr>
        <w:t>第十八条</w:t>
      </w:r>
      <w:r>
        <w:rPr>
          <w:rFonts w:hint="eastAsia" w:ascii="宋体" w:hAnsi="宋体"/>
          <w:kern w:val="44"/>
        </w:rPr>
        <w:t>　任何单位和个人不得损坏或者侵占公共图书馆的馆舍、设施、设备和文献信息资料，不得改变图书馆馆舍的用途。</w:t>
      </w:r>
    </w:p>
    <w:p w14:paraId="19E8B1B5">
      <w:pPr>
        <w:jc w:val="left"/>
        <w:rPr>
          <w:rFonts w:ascii="宋体" w:hAnsi="宋体"/>
          <w:kern w:val="44"/>
        </w:rPr>
      </w:pPr>
      <w:r>
        <w:rPr>
          <w:rFonts w:hint="eastAsia" w:ascii="宋体" w:hAnsi="宋体"/>
          <w:kern w:val="44"/>
        </w:rPr>
        <w:t>确因基本建设和城市改造需要占用公共图书馆用地和馆舍的，应当征求市或者区、县文化行政主管部门的意见，并按照本条例规定的公共图书馆的建设标准予以重建。按照标准重建公共图书馆的面积超出拆迁面积的，超出部分的资金由市或者区、县人民政府统筹安排。</w:t>
      </w:r>
    </w:p>
    <w:p w14:paraId="74792B93">
      <w:pPr>
        <w:ind w:firstLine="422"/>
        <w:jc w:val="left"/>
        <w:rPr>
          <w:rFonts w:ascii="宋体" w:hAnsi="宋体"/>
          <w:kern w:val="44"/>
        </w:rPr>
      </w:pPr>
      <w:r>
        <w:rPr>
          <w:rFonts w:hint="eastAsia" w:ascii="宋体" w:hAnsi="宋体"/>
          <w:b/>
          <w:kern w:val="44"/>
        </w:rPr>
        <w:t>第十九条</w:t>
      </w:r>
      <w:r>
        <w:rPr>
          <w:rFonts w:hint="eastAsia" w:ascii="宋体" w:hAnsi="宋体"/>
          <w:kern w:val="44"/>
        </w:rPr>
        <w:t>　图书馆的业务人员应当具备相应的专业知识和技能，经考核合格方可上岗。</w:t>
      </w:r>
    </w:p>
    <w:p w14:paraId="16922418">
      <w:pPr>
        <w:jc w:val="left"/>
        <w:rPr>
          <w:rFonts w:ascii="宋体" w:hAnsi="宋体"/>
          <w:kern w:val="44"/>
        </w:rPr>
      </w:pPr>
      <w:r>
        <w:rPr>
          <w:rFonts w:hint="eastAsia" w:ascii="宋体" w:hAnsi="宋体"/>
          <w:kern w:val="44"/>
        </w:rPr>
        <w:t>图书馆的馆长应当具备相应的科学文化素质、专业知识水平和组织管理能力。</w:t>
      </w:r>
    </w:p>
    <w:p w14:paraId="0A21152B">
      <w:pPr>
        <w:jc w:val="left"/>
        <w:rPr>
          <w:rFonts w:ascii="宋体" w:hAnsi="宋体"/>
          <w:kern w:val="44"/>
        </w:rPr>
      </w:pPr>
      <w:r>
        <w:rPr>
          <w:rFonts w:hint="eastAsia" w:ascii="宋体" w:hAnsi="宋体"/>
          <w:kern w:val="44"/>
        </w:rPr>
        <w:t>市公共图书馆的馆长应当具有相应的高级专业技术职务任职资格，区、县公共图书馆的馆长应当具有相应的中级以上专业技术职务任职资格。</w:t>
      </w:r>
    </w:p>
    <w:p w14:paraId="37EB92B5">
      <w:pPr>
        <w:ind w:firstLine="422"/>
        <w:jc w:val="left"/>
        <w:rPr>
          <w:rFonts w:ascii="宋体" w:hAnsi="宋体"/>
          <w:kern w:val="44"/>
        </w:rPr>
      </w:pPr>
      <w:r>
        <w:rPr>
          <w:rFonts w:hint="eastAsia" w:ascii="宋体" w:hAnsi="宋体"/>
          <w:b/>
          <w:kern w:val="44"/>
        </w:rPr>
        <w:t>第二十条</w:t>
      </w:r>
      <w:r>
        <w:rPr>
          <w:rFonts w:hint="eastAsia" w:ascii="宋体" w:hAnsi="宋体"/>
          <w:kern w:val="44"/>
        </w:rPr>
        <w:t>　图书馆应当根据图书馆事业发展和自身业务要求，定期对业务人员进行培训。</w:t>
      </w:r>
    </w:p>
    <w:p w14:paraId="1A766EE5">
      <w:pPr>
        <w:jc w:val="left"/>
        <w:rPr>
          <w:rFonts w:ascii="宋体" w:hAnsi="宋体"/>
          <w:kern w:val="44"/>
        </w:rPr>
      </w:pPr>
    </w:p>
    <w:p w14:paraId="324E9543">
      <w:pPr>
        <w:ind w:firstLine="0" w:firstLineChars="0"/>
        <w:jc w:val="center"/>
        <w:rPr>
          <w:rFonts w:ascii="宋体" w:hAnsi="宋体"/>
          <w:b/>
          <w:kern w:val="44"/>
          <w:sz w:val="28"/>
        </w:rPr>
      </w:pPr>
      <w:r>
        <w:rPr>
          <w:rFonts w:hint="eastAsia" w:ascii="宋体" w:hAnsi="宋体"/>
          <w:b/>
          <w:kern w:val="44"/>
          <w:sz w:val="28"/>
        </w:rPr>
        <w:t>第四章　图书馆服务和读者权益保障</w:t>
      </w:r>
    </w:p>
    <w:p w14:paraId="24678CAB">
      <w:pPr>
        <w:jc w:val="left"/>
        <w:rPr>
          <w:rFonts w:ascii="宋体" w:hAnsi="宋体"/>
          <w:kern w:val="44"/>
        </w:rPr>
      </w:pPr>
    </w:p>
    <w:p w14:paraId="5D89F91F">
      <w:pPr>
        <w:ind w:firstLine="422"/>
        <w:jc w:val="left"/>
        <w:rPr>
          <w:rFonts w:ascii="宋体" w:hAnsi="宋体"/>
          <w:kern w:val="44"/>
        </w:rPr>
      </w:pPr>
      <w:r>
        <w:rPr>
          <w:rFonts w:hint="eastAsia" w:ascii="宋体" w:hAnsi="宋体"/>
          <w:b/>
          <w:kern w:val="44"/>
        </w:rPr>
        <w:t>第二十一条</w:t>
      </w:r>
      <w:r>
        <w:rPr>
          <w:rFonts w:hint="eastAsia" w:ascii="宋体" w:hAnsi="宋体"/>
          <w:kern w:val="44"/>
        </w:rPr>
        <w:t>　公共图书馆应当每天向读者开放，其中市公共图书馆每周的开放时间不少于70小时，区、县公共图书馆每周的开放时间不少于63小时。</w:t>
      </w:r>
    </w:p>
    <w:p w14:paraId="3C34948B">
      <w:pPr>
        <w:jc w:val="left"/>
        <w:rPr>
          <w:rFonts w:ascii="宋体" w:hAnsi="宋体"/>
          <w:kern w:val="44"/>
        </w:rPr>
      </w:pPr>
      <w:r>
        <w:rPr>
          <w:rFonts w:hint="eastAsia" w:ascii="宋体" w:hAnsi="宋体"/>
          <w:kern w:val="44"/>
        </w:rPr>
        <w:t>少年儿童图书馆每周的开放时间不少于43小时。在国家法定节假日和学生寒暑假期间，每天开放时间不少于8小时。</w:t>
      </w:r>
    </w:p>
    <w:p w14:paraId="35BA8AA5">
      <w:pPr>
        <w:jc w:val="left"/>
        <w:rPr>
          <w:rFonts w:ascii="宋体" w:hAnsi="宋体"/>
          <w:kern w:val="44"/>
        </w:rPr>
      </w:pPr>
      <w:r>
        <w:rPr>
          <w:rFonts w:hint="eastAsia" w:ascii="宋体" w:hAnsi="宋体"/>
          <w:kern w:val="44"/>
        </w:rPr>
        <w:t>其他各类图书馆的开放时间按照各自主管部门的规定执行。</w:t>
      </w:r>
    </w:p>
    <w:p w14:paraId="719A5F48">
      <w:pPr>
        <w:ind w:firstLine="422"/>
        <w:jc w:val="left"/>
        <w:rPr>
          <w:rFonts w:ascii="宋体" w:hAnsi="宋体"/>
          <w:kern w:val="44"/>
        </w:rPr>
      </w:pPr>
      <w:r>
        <w:rPr>
          <w:rFonts w:hint="eastAsia" w:ascii="宋体" w:hAnsi="宋体"/>
          <w:b/>
          <w:kern w:val="44"/>
        </w:rPr>
        <w:t>第二十二条</w:t>
      </w:r>
      <w:r>
        <w:rPr>
          <w:rFonts w:hint="eastAsia" w:ascii="宋体" w:hAnsi="宋体"/>
          <w:kern w:val="44"/>
        </w:rPr>
        <w:t>　公共图书馆应当将本馆的服务对象、服务范围、开放时间等服务事项进行公示。因故变更开放时间或者闭馆的，至少应当提前3日进行公示。</w:t>
      </w:r>
    </w:p>
    <w:p w14:paraId="7E64CB3D">
      <w:pPr>
        <w:ind w:firstLine="422"/>
        <w:jc w:val="left"/>
        <w:rPr>
          <w:rFonts w:ascii="宋体" w:hAnsi="宋体"/>
          <w:kern w:val="44"/>
        </w:rPr>
      </w:pPr>
      <w:r>
        <w:rPr>
          <w:rFonts w:hint="eastAsia" w:ascii="宋体" w:hAnsi="宋体"/>
          <w:b/>
          <w:kern w:val="44"/>
        </w:rPr>
        <w:t>第二十三条</w:t>
      </w:r>
      <w:r>
        <w:rPr>
          <w:rFonts w:hint="eastAsia" w:ascii="宋体" w:hAnsi="宋体"/>
          <w:kern w:val="44"/>
        </w:rPr>
        <w:t>　图书馆应当为读者利用文献信息资源创造便利条件，为老年人、残疾人提供方便。</w:t>
      </w:r>
    </w:p>
    <w:p w14:paraId="4E79E55E">
      <w:pPr>
        <w:jc w:val="left"/>
        <w:rPr>
          <w:rFonts w:ascii="宋体" w:hAnsi="宋体"/>
          <w:kern w:val="44"/>
        </w:rPr>
      </w:pPr>
      <w:r>
        <w:rPr>
          <w:rFonts w:hint="eastAsia" w:ascii="宋体" w:hAnsi="宋体"/>
          <w:kern w:val="44"/>
        </w:rPr>
        <w:t>图书馆应当采取阅览、外借、流动借阅等多种方式为读者提供服务，提高馆藏文献信息资源利用率，创造良好的阅读环境。</w:t>
      </w:r>
    </w:p>
    <w:p w14:paraId="39D24B61">
      <w:pPr>
        <w:ind w:firstLine="422"/>
        <w:jc w:val="left"/>
        <w:rPr>
          <w:rFonts w:ascii="宋体" w:hAnsi="宋体"/>
          <w:kern w:val="44"/>
        </w:rPr>
      </w:pPr>
      <w:r>
        <w:rPr>
          <w:rFonts w:hint="eastAsia" w:ascii="宋体" w:hAnsi="宋体"/>
          <w:b/>
          <w:kern w:val="44"/>
        </w:rPr>
        <w:t>第二十四条</w:t>
      </w:r>
      <w:r>
        <w:rPr>
          <w:rFonts w:hint="eastAsia" w:ascii="宋体" w:hAnsi="宋体"/>
          <w:kern w:val="44"/>
        </w:rPr>
        <w:t>　图书馆应当根据读者需要设置读者目录，并逐步设置馆藏文献信息资源检索终端。图书馆工作人员应当解答读者咨询，指导读者查找馆藏文献信息资料。</w:t>
      </w:r>
    </w:p>
    <w:p w14:paraId="7BBF2694">
      <w:pPr>
        <w:ind w:firstLine="422"/>
        <w:jc w:val="left"/>
        <w:rPr>
          <w:rFonts w:ascii="宋体" w:hAnsi="宋体"/>
          <w:kern w:val="44"/>
        </w:rPr>
      </w:pPr>
      <w:r>
        <w:rPr>
          <w:rFonts w:hint="eastAsia" w:ascii="宋体" w:hAnsi="宋体"/>
          <w:b/>
          <w:kern w:val="44"/>
        </w:rPr>
        <w:t>第二十五条</w:t>
      </w:r>
      <w:r>
        <w:rPr>
          <w:rFonts w:hint="eastAsia" w:ascii="宋体" w:hAnsi="宋体"/>
          <w:kern w:val="44"/>
        </w:rPr>
        <w:t>　除国家规定禁止公开传播的文献信息资料外，图书馆不得另立标准，任意封存馆藏文献信息资料。对于善本、珍本和不宜外借的馆藏文献信息资料，可以本着保护的原则限制使用。</w:t>
      </w:r>
    </w:p>
    <w:p w14:paraId="3F8F5ED6">
      <w:pPr>
        <w:ind w:firstLine="422"/>
        <w:jc w:val="left"/>
        <w:rPr>
          <w:rFonts w:ascii="宋体" w:hAnsi="宋体"/>
          <w:kern w:val="44"/>
        </w:rPr>
      </w:pPr>
      <w:r>
        <w:rPr>
          <w:rFonts w:hint="eastAsia" w:ascii="宋体" w:hAnsi="宋体"/>
          <w:b/>
          <w:kern w:val="44"/>
        </w:rPr>
        <w:t>第二十六条</w:t>
      </w:r>
      <w:r>
        <w:rPr>
          <w:rFonts w:hint="eastAsia" w:ascii="宋体" w:hAnsi="宋体"/>
          <w:kern w:val="44"/>
        </w:rPr>
        <w:t>　图书馆应当依法保护馆藏文献信息资源的知识产权。</w:t>
      </w:r>
    </w:p>
    <w:p w14:paraId="0D6D351A">
      <w:pPr>
        <w:ind w:firstLine="422"/>
        <w:jc w:val="left"/>
        <w:rPr>
          <w:rFonts w:ascii="宋体" w:hAnsi="宋体"/>
          <w:kern w:val="44"/>
        </w:rPr>
      </w:pPr>
      <w:r>
        <w:rPr>
          <w:rFonts w:hint="eastAsia" w:ascii="宋体" w:hAnsi="宋体"/>
          <w:b/>
          <w:kern w:val="44"/>
        </w:rPr>
        <w:t>第二十七条</w:t>
      </w:r>
      <w:r>
        <w:rPr>
          <w:rFonts w:hint="eastAsia" w:ascii="宋体" w:hAnsi="宋体"/>
          <w:kern w:val="44"/>
        </w:rPr>
        <w:t>　图书馆应当逐步配置计算机与网络设备，视听、缩微、复制设备，文献信息资源利用和保护等设备，完善信息网络系统建设，满足读者需要。</w:t>
      </w:r>
    </w:p>
    <w:p w14:paraId="5D584CAC">
      <w:pPr>
        <w:ind w:firstLine="422"/>
        <w:jc w:val="left"/>
        <w:rPr>
          <w:rFonts w:ascii="宋体" w:hAnsi="宋体"/>
          <w:kern w:val="44"/>
        </w:rPr>
      </w:pPr>
      <w:r>
        <w:rPr>
          <w:rFonts w:hint="eastAsia" w:ascii="宋体" w:hAnsi="宋体"/>
          <w:b/>
          <w:kern w:val="44"/>
        </w:rPr>
        <w:t>第二十八条</w:t>
      </w:r>
      <w:r>
        <w:rPr>
          <w:rFonts w:hint="eastAsia" w:ascii="宋体" w:hAnsi="宋体"/>
          <w:kern w:val="44"/>
        </w:rPr>
        <w:t>　图书馆应当采取多种形式，向读者推荐优秀作品，指导读者阅读。</w:t>
      </w:r>
    </w:p>
    <w:p w14:paraId="04C467B3">
      <w:pPr>
        <w:jc w:val="left"/>
        <w:rPr>
          <w:rFonts w:ascii="宋体" w:hAnsi="宋体"/>
          <w:kern w:val="44"/>
        </w:rPr>
      </w:pPr>
      <w:r>
        <w:rPr>
          <w:rFonts w:hint="eastAsia" w:ascii="宋体" w:hAnsi="宋体"/>
          <w:kern w:val="44"/>
        </w:rPr>
        <w:t>提倡各类图书馆开设基层借阅点和开展送图书下乡活动。</w:t>
      </w:r>
    </w:p>
    <w:p w14:paraId="4BFBF2B7">
      <w:pPr>
        <w:ind w:firstLine="422"/>
        <w:jc w:val="left"/>
        <w:rPr>
          <w:rFonts w:ascii="宋体" w:hAnsi="宋体"/>
          <w:kern w:val="44"/>
        </w:rPr>
      </w:pPr>
      <w:r>
        <w:rPr>
          <w:rFonts w:hint="eastAsia" w:ascii="宋体" w:hAnsi="宋体"/>
          <w:b/>
          <w:kern w:val="44"/>
        </w:rPr>
        <w:t>第二十九条</w:t>
      </w:r>
      <w:r>
        <w:rPr>
          <w:rFonts w:hint="eastAsia" w:ascii="宋体" w:hAnsi="宋体"/>
          <w:kern w:val="44"/>
        </w:rPr>
        <w:t>　读者在图书馆享有下列权利：</w:t>
      </w:r>
    </w:p>
    <w:p w14:paraId="1E69A73A">
      <w:pPr>
        <w:jc w:val="left"/>
        <w:rPr>
          <w:rFonts w:ascii="宋体" w:hAnsi="宋体"/>
          <w:kern w:val="44"/>
        </w:rPr>
      </w:pPr>
      <w:r>
        <w:rPr>
          <w:rFonts w:hint="eastAsia" w:ascii="宋体" w:hAnsi="宋体"/>
          <w:kern w:val="44"/>
        </w:rPr>
        <w:t>（一）免费进行书目检索；</w:t>
      </w:r>
    </w:p>
    <w:p w14:paraId="5DDDC809">
      <w:pPr>
        <w:jc w:val="left"/>
        <w:rPr>
          <w:rFonts w:ascii="宋体" w:hAnsi="宋体"/>
          <w:kern w:val="44"/>
        </w:rPr>
      </w:pPr>
      <w:r>
        <w:rPr>
          <w:rFonts w:hint="eastAsia" w:ascii="宋体" w:hAnsi="宋体"/>
          <w:kern w:val="44"/>
        </w:rPr>
        <w:t>（二）免费借阅图书、报刊；</w:t>
      </w:r>
    </w:p>
    <w:p w14:paraId="4902B4B0">
      <w:pPr>
        <w:jc w:val="left"/>
        <w:rPr>
          <w:rFonts w:ascii="宋体" w:hAnsi="宋体"/>
          <w:kern w:val="44"/>
        </w:rPr>
      </w:pPr>
      <w:r>
        <w:rPr>
          <w:rFonts w:hint="eastAsia" w:ascii="宋体" w:hAnsi="宋体"/>
          <w:kern w:val="44"/>
        </w:rPr>
        <w:t>（三）获得工作人员提供的关于利用馆藏和网络文献信息资源的指导；</w:t>
      </w:r>
    </w:p>
    <w:p w14:paraId="0BA6ABC7">
      <w:pPr>
        <w:jc w:val="left"/>
        <w:rPr>
          <w:rFonts w:ascii="宋体" w:hAnsi="宋体"/>
          <w:kern w:val="44"/>
        </w:rPr>
      </w:pPr>
      <w:r>
        <w:rPr>
          <w:rFonts w:hint="eastAsia" w:ascii="宋体" w:hAnsi="宋体"/>
          <w:kern w:val="44"/>
        </w:rPr>
        <w:t>（四）参加各种读书活动；</w:t>
      </w:r>
    </w:p>
    <w:p w14:paraId="4DB14B73">
      <w:pPr>
        <w:jc w:val="left"/>
        <w:rPr>
          <w:rFonts w:ascii="宋体" w:hAnsi="宋体"/>
          <w:kern w:val="44"/>
        </w:rPr>
      </w:pPr>
      <w:r>
        <w:rPr>
          <w:rFonts w:hint="eastAsia" w:ascii="宋体" w:hAnsi="宋体"/>
          <w:kern w:val="44"/>
        </w:rPr>
        <w:t>（五）向图书馆或者其主管部门提出建议和意见。</w:t>
      </w:r>
    </w:p>
    <w:p w14:paraId="7BF1581D">
      <w:pPr>
        <w:ind w:firstLine="422"/>
        <w:jc w:val="left"/>
        <w:rPr>
          <w:rFonts w:ascii="宋体" w:hAnsi="宋体"/>
          <w:kern w:val="44"/>
        </w:rPr>
      </w:pPr>
      <w:r>
        <w:rPr>
          <w:rFonts w:hint="eastAsia" w:ascii="宋体" w:hAnsi="宋体"/>
          <w:b/>
          <w:kern w:val="44"/>
        </w:rPr>
        <w:t>第三十条</w:t>
      </w:r>
      <w:r>
        <w:rPr>
          <w:rFonts w:hint="eastAsia" w:ascii="宋体" w:hAnsi="宋体"/>
          <w:kern w:val="44"/>
        </w:rPr>
        <w:t>　读者在图书馆应当履行下列义务：</w:t>
      </w:r>
    </w:p>
    <w:p w14:paraId="2B3BE926">
      <w:pPr>
        <w:jc w:val="left"/>
        <w:rPr>
          <w:rFonts w:ascii="宋体" w:hAnsi="宋体"/>
          <w:kern w:val="44"/>
        </w:rPr>
      </w:pPr>
      <w:r>
        <w:rPr>
          <w:rFonts w:hint="eastAsia" w:ascii="宋体" w:hAnsi="宋体"/>
          <w:kern w:val="44"/>
        </w:rPr>
        <w:t>（一）爱护馆藏文献信息资料和公共设施；</w:t>
      </w:r>
    </w:p>
    <w:p w14:paraId="0E5A15E0">
      <w:pPr>
        <w:jc w:val="left"/>
        <w:rPr>
          <w:rFonts w:ascii="宋体" w:hAnsi="宋体"/>
          <w:kern w:val="44"/>
        </w:rPr>
      </w:pPr>
      <w:r>
        <w:rPr>
          <w:rFonts w:hint="eastAsia" w:ascii="宋体" w:hAnsi="宋体"/>
          <w:kern w:val="44"/>
        </w:rPr>
        <w:t>（二）按照规定日期归还所借馆藏文献信息资料，超过规定日期的，应当按照规定交纳滞还费；</w:t>
      </w:r>
    </w:p>
    <w:p w14:paraId="4743F1FB">
      <w:pPr>
        <w:jc w:val="left"/>
        <w:rPr>
          <w:rFonts w:ascii="宋体" w:hAnsi="宋体"/>
          <w:kern w:val="44"/>
        </w:rPr>
      </w:pPr>
      <w:r>
        <w:rPr>
          <w:rFonts w:hint="eastAsia" w:ascii="宋体" w:hAnsi="宋体"/>
          <w:kern w:val="44"/>
        </w:rPr>
        <w:t>（三）遵守图书馆有关维护公共秩序的规章制度。</w:t>
      </w:r>
    </w:p>
    <w:p w14:paraId="14FC201D">
      <w:pPr>
        <w:jc w:val="left"/>
        <w:rPr>
          <w:rFonts w:ascii="宋体" w:hAnsi="宋体"/>
          <w:kern w:val="44"/>
        </w:rPr>
      </w:pPr>
    </w:p>
    <w:p w14:paraId="3DB74E0B">
      <w:pPr>
        <w:ind w:firstLine="0" w:firstLineChars="0"/>
        <w:jc w:val="center"/>
        <w:rPr>
          <w:rFonts w:ascii="宋体" w:hAnsi="宋体"/>
          <w:b/>
          <w:kern w:val="44"/>
          <w:sz w:val="28"/>
        </w:rPr>
      </w:pPr>
      <w:r>
        <w:rPr>
          <w:rFonts w:hint="eastAsia" w:ascii="宋体" w:hAnsi="宋体"/>
          <w:b/>
          <w:kern w:val="44"/>
          <w:sz w:val="28"/>
        </w:rPr>
        <w:t>第五章　文献信息资源建设</w:t>
      </w:r>
    </w:p>
    <w:p w14:paraId="4E791B82">
      <w:pPr>
        <w:jc w:val="left"/>
        <w:rPr>
          <w:rFonts w:ascii="宋体" w:hAnsi="宋体"/>
          <w:kern w:val="44"/>
        </w:rPr>
      </w:pPr>
    </w:p>
    <w:p w14:paraId="43D0D5D0">
      <w:pPr>
        <w:ind w:firstLine="422"/>
        <w:jc w:val="left"/>
        <w:rPr>
          <w:rFonts w:ascii="宋体" w:hAnsi="宋体"/>
          <w:kern w:val="44"/>
        </w:rPr>
      </w:pPr>
      <w:r>
        <w:rPr>
          <w:rFonts w:hint="eastAsia" w:ascii="宋体" w:hAnsi="宋体"/>
          <w:b/>
          <w:kern w:val="44"/>
        </w:rPr>
        <w:t>第三十一条</w:t>
      </w:r>
      <w:r>
        <w:rPr>
          <w:rFonts w:hint="eastAsia" w:ascii="宋体" w:hAnsi="宋体"/>
          <w:kern w:val="44"/>
        </w:rPr>
        <w:t>　文献信息资源建设应当统一规划，合理布局，分工协作，共建共享。</w:t>
      </w:r>
    </w:p>
    <w:p w14:paraId="5ABD11B6">
      <w:pPr>
        <w:ind w:firstLine="422"/>
        <w:jc w:val="left"/>
        <w:rPr>
          <w:rFonts w:ascii="宋体" w:hAnsi="宋体"/>
          <w:kern w:val="44"/>
        </w:rPr>
      </w:pPr>
      <w:r>
        <w:rPr>
          <w:rFonts w:hint="eastAsia" w:ascii="宋体" w:hAnsi="宋体"/>
          <w:b/>
          <w:kern w:val="44"/>
        </w:rPr>
        <w:t>第三十二条</w:t>
      </w:r>
      <w:r>
        <w:rPr>
          <w:rFonts w:hint="eastAsia" w:ascii="宋体" w:hAnsi="宋体"/>
          <w:kern w:val="44"/>
        </w:rPr>
        <w:t>　本市的图书馆文献信息资源建设应当以首都图书馆为依托，逐步构建现代化的图书文献信息资源收集、加工整序体系和服务体系。</w:t>
      </w:r>
    </w:p>
    <w:p w14:paraId="1878514A">
      <w:pPr>
        <w:ind w:firstLine="422"/>
        <w:jc w:val="left"/>
        <w:rPr>
          <w:rFonts w:ascii="宋体" w:hAnsi="宋体"/>
          <w:kern w:val="44"/>
        </w:rPr>
      </w:pPr>
      <w:r>
        <w:rPr>
          <w:rFonts w:hint="eastAsia" w:ascii="宋体" w:hAnsi="宋体"/>
          <w:b/>
          <w:kern w:val="44"/>
        </w:rPr>
        <w:t>第三十三条</w:t>
      </w:r>
      <w:r>
        <w:rPr>
          <w:rFonts w:hint="eastAsia" w:ascii="宋体" w:hAnsi="宋体"/>
          <w:kern w:val="44"/>
        </w:rPr>
        <w:t>　本市各级人民政府投资兴建的公共图书馆，学校图书馆、科学研究机构图书馆应当参加以首都图书馆为信息网络中心的图书馆网络建设。</w:t>
      </w:r>
    </w:p>
    <w:p w14:paraId="4B74BAF3">
      <w:pPr>
        <w:jc w:val="left"/>
        <w:rPr>
          <w:rFonts w:ascii="宋体" w:hAnsi="宋体"/>
          <w:kern w:val="44"/>
        </w:rPr>
      </w:pPr>
      <w:r>
        <w:rPr>
          <w:rFonts w:hint="eastAsia" w:ascii="宋体" w:hAnsi="宋体"/>
          <w:kern w:val="44"/>
        </w:rPr>
        <w:t>社会团体、企业、事业单位图书馆以及其他图书馆可以成为市图书馆网络的成员。</w:t>
      </w:r>
    </w:p>
    <w:p w14:paraId="0AC7FDE6">
      <w:pPr>
        <w:jc w:val="left"/>
        <w:rPr>
          <w:rFonts w:ascii="宋体" w:hAnsi="宋体"/>
          <w:kern w:val="44"/>
        </w:rPr>
      </w:pPr>
      <w:r>
        <w:rPr>
          <w:rFonts w:hint="eastAsia" w:ascii="宋体" w:hAnsi="宋体"/>
          <w:kern w:val="44"/>
        </w:rPr>
        <w:t>本市图书馆网络的成员单位应当建立分工协作关系，科学合理地确定文献信息资源建设的方向，逐步形成有特色的馆藏文献信息资源体系。</w:t>
      </w:r>
    </w:p>
    <w:p w14:paraId="244FE61E">
      <w:pPr>
        <w:ind w:firstLine="422"/>
        <w:jc w:val="left"/>
        <w:rPr>
          <w:rFonts w:ascii="宋体" w:hAnsi="宋体"/>
          <w:kern w:val="44"/>
        </w:rPr>
      </w:pPr>
      <w:r>
        <w:rPr>
          <w:rFonts w:hint="eastAsia" w:ascii="宋体" w:hAnsi="宋体"/>
          <w:b/>
          <w:kern w:val="44"/>
        </w:rPr>
        <w:t>第三十四条</w:t>
      </w:r>
      <w:r>
        <w:rPr>
          <w:rFonts w:hint="eastAsia" w:ascii="宋体" w:hAnsi="宋体"/>
          <w:kern w:val="44"/>
        </w:rPr>
        <w:t>　本市有条件的图书馆应当加强与国家图书馆和中央在京单位图书馆的联系，参加全国数字图书馆网络化建设，在文献信息资源的采购与交换、图书借阅、数据库建设等方面，主动开展协作和服务，逐步实现在本市行政区域内的各级、各类图书馆文献信息资源共享。</w:t>
      </w:r>
    </w:p>
    <w:p w14:paraId="4EC08311">
      <w:pPr>
        <w:ind w:firstLine="422"/>
        <w:jc w:val="left"/>
        <w:rPr>
          <w:rFonts w:ascii="宋体" w:hAnsi="宋体"/>
          <w:kern w:val="44"/>
        </w:rPr>
      </w:pPr>
      <w:r>
        <w:rPr>
          <w:rFonts w:hint="eastAsia" w:ascii="宋体" w:hAnsi="宋体"/>
          <w:b/>
          <w:kern w:val="44"/>
        </w:rPr>
        <w:t>第三十五条</w:t>
      </w:r>
      <w:r>
        <w:rPr>
          <w:rFonts w:hint="eastAsia" w:ascii="宋体" w:hAnsi="宋体"/>
          <w:kern w:val="44"/>
        </w:rPr>
        <w:t>　图书馆应当不断完善、丰富馆藏文献信息资源。</w:t>
      </w:r>
    </w:p>
    <w:p w14:paraId="3046A258">
      <w:pPr>
        <w:jc w:val="left"/>
        <w:rPr>
          <w:rFonts w:ascii="宋体" w:hAnsi="宋体"/>
          <w:kern w:val="44"/>
        </w:rPr>
      </w:pPr>
      <w:r>
        <w:rPr>
          <w:rFonts w:hint="eastAsia" w:ascii="宋体" w:hAnsi="宋体"/>
          <w:kern w:val="44"/>
        </w:rPr>
        <w:t>公共图书馆入藏文献信息资料应当逐年增长，其中市公共图书馆年入藏文献信息资料不得少于10万册（件）；区公共图书馆年入藏文献信息资料不得少于2万册（件）；县公共图书馆年入藏文献信息资料不得少于1万册（件）；街道、乡镇公共图书馆（室）年入藏文献信息资料不得少于1000册（件）。</w:t>
      </w:r>
    </w:p>
    <w:p w14:paraId="58CFC7A6">
      <w:pPr>
        <w:jc w:val="left"/>
        <w:rPr>
          <w:rFonts w:ascii="宋体" w:hAnsi="宋体"/>
          <w:kern w:val="44"/>
        </w:rPr>
      </w:pPr>
      <w:r>
        <w:rPr>
          <w:rFonts w:hint="eastAsia" w:ascii="宋体" w:hAnsi="宋体"/>
          <w:kern w:val="44"/>
        </w:rPr>
        <w:t>入藏文献信息资料应当兼顾纸质文献、电子文献和其他载体文献，兼顾文献载体和使用权的购买。</w:t>
      </w:r>
    </w:p>
    <w:p w14:paraId="4D1367FA">
      <w:pPr>
        <w:ind w:firstLine="422"/>
        <w:jc w:val="left"/>
        <w:rPr>
          <w:rFonts w:ascii="宋体" w:hAnsi="宋体"/>
          <w:kern w:val="44"/>
        </w:rPr>
      </w:pPr>
      <w:r>
        <w:rPr>
          <w:rFonts w:hint="eastAsia" w:ascii="宋体" w:hAnsi="宋体"/>
          <w:b/>
          <w:kern w:val="44"/>
        </w:rPr>
        <w:t>第三十六条</w:t>
      </w:r>
      <w:r>
        <w:rPr>
          <w:rFonts w:hint="eastAsia" w:ascii="宋体" w:hAnsi="宋体"/>
          <w:kern w:val="44"/>
        </w:rPr>
        <w:t>　图书馆应当积极采用以计算机和网络为基础的自动化管理技术，有步骤地实现馆藏文献信息资源的数字化，不断拓展虚拟馆藏资源。</w:t>
      </w:r>
    </w:p>
    <w:p w14:paraId="5B93E809">
      <w:pPr>
        <w:jc w:val="left"/>
        <w:rPr>
          <w:rFonts w:ascii="宋体" w:hAnsi="宋体"/>
          <w:kern w:val="44"/>
        </w:rPr>
      </w:pPr>
      <w:r>
        <w:rPr>
          <w:rFonts w:hint="eastAsia" w:ascii="宋体" w:hAnsi="宋体"/>
          <w:kern w:val="44"/>
        </w:rPr>
        <w:t>图书馆的数字化、网络化、自动化建设必须遵循统一的技术标准。</w:t>
      </w:r>
    </w:p>
    <w:p w14:paraId="102B5401">
      <w:pPr>
        <w:ind w:firstLine="422"/>
        <w:jc w:val="left"/>
        <w:rPr>
          <w:rFonts w:ascii="宋体" w:hAnsi="宋体"/>
          <w:kern w:val="44"/>
        </w:rPr>
      </w:pPr>
      <w:r>
        <w:rPr>
          <w:rFonts w:hint="eastAsia" w:ascii="宋体" w:hAnsi="宋体"/>
          <w:b/>
          <w:kern w:val="44"/>
        </w:rPr>
        <w:t>第三十七条</w:t>
      </w:r>
      <w:r>
        <w:rPr>
          <w:rFonts w:hint="eastAsia" w:ascii="宋体" w:hAnsi="宋体"/>
          <w:kern w:val="44"/>
        </w:rPr>
        <w:t>　文献信息资源的分类、编目要按照国家规定的标准进行。图书馆应当逐步建立文献信息资源目录数据库，实现计算机联网和目录的联合检索。</w:t>
      </w:r>
    </w:p>
    <w:p w14:paraId="6AFBF5B8">
      <w:pPr>
        <w:ind w:firstLine="422"/>
        <w:jc w:val="left"/>
        <w:rPr>
          <w:rFonts w:ascii="宋体" w:hAnsi="宋体"/>
          <w:kern w:val="44"/>
        </w:rPr>
      </w:pPr>
      <w:r>
        <w:rPr>
          <w:rFonts w:hint="eastAsia" w:ascii="宋体" w:hAnsi="宋体"/>
          <w:b/>
          <w:kern w:val="44"/>
        </w:rPr>
        <w:t>第三十八条</w:t>
      </w:r>
      <w:r>
        <w:rPr>
          <w:rFonts w:hint="eastAsia" w:ascii="宋体" w:hAnsi="宋体"/>
          <w:kern w:val="44"/>
        </w:rPr>
        <w:t>　图书馆应当做好文献信息资料的保护工作，配备防火、防盗、防潮、防有害生物等必要设施，建立和落实有关的安全管理制度。</w:t>
      </w:r>
    </w:p>
    <w:p w14:paraId="1293352F">
      <w:pPr>
        <w:ind w:firstLine="422"/>
        <w:jc w:val="left"/>
        <w:rPr>
          <w:rFonts w:ascii="宋体" w:hAnsi="宋体"/>
          <w:kern w:val="44"/>
        </w:rPr>
      </w:pPr>
      <w:r>
        <w:rPr>
          <w:rFonts w:hint="eastAsia" w:ascii="宋体" w:hAnsi="宋体"/>
          <w:b/>
          <w:kern w:val="44"/>
        </w:rPr>
        <w:t>第三十九条</w:t>
      </w:r>
      <w:r>
        <w:rPr>
          <w:rFonts w:hint="eastAsia" w:ascii="宋体" w:hAnsi="宋体"/>
          <w:kern w:val="44"/>
        </w:rPr>
        <w:t>　图书馆应当定期做好馆藏文献信息资料的清理、剔旧工作。被剔除的文献信息资料要进行登记，有利用价值的，可以在图书馆之间调配使用。</w:t>
      </w:r>
    </w:p>
    <w:p w14:paraId="4ABB39CF">
      <w:pPr>
        <w:ind w:firstLine="422"/>
        <w:jc w:val="left"/>
        <w:rPr>
          <w:rFonts w:ascii="宋体" w:hAnsi="宋体"/>
          <w:kern w:val="44"/>
        </w:rPr>
      </w:pPr>
      <w:r>
        <w:rPr>
          <w:rFonts w:hint="eastAsia" w:ascii="宋体" w:hAnsi="宋体"/>
          <w:b/>
          <w:kern w:val="44"/>
        </w:rPr>
        <w:t>第四十条</w:t>
      </w:r>
      <w:r>
        <w:rPr>
          <w:rFonts w:hint="eastAsia" w:ascii="宋体" w:hAnsi="宋体"/>
          <w:kern w:val="44"/>
        </w:rPr>
        <w:t>　首都图书馆是本市出版物版本的收藏单位。出版单位应当在公开出版物发行后2个月内，向首都图书馆送缴两套出版物。</w:t>
      </w:r>
    </w:p>
    <w:p w14:paraId="1F6D9436">
      <w:pPr>
        <w:jc w:val="left"/>
        <w:rPr>
          <w:rFonts w:ascii="宋体" w:hAnsi="宋体"/>
          <w:kern w:val="44"/>
        </w:rPr>
      </w:pPr>
      <w:r>
        <w:rPr>
          <w:rFonts w:hint="eastAsia" w:ascii="宋体" w:hAnsi="宋体"/>
          <w:kern w:val="44"/>
        </w:rPr>
        <w:t>首都图书馆应当在接到出版物之后进行公开展陈，展陈时间不得少于2个月。</w:t>
      </w:r>
    </w:p>
    <w:p w14:paraId="54716BA6">
      <w:pPr>
        <w:ind w:firstLine="422"/>
        <w:jc w:val="left"/>
        <w:rPr>
          <w:rFonts w:ascii="宋体" w:hAnsi="宋体"/>
          <w:kern w:val="44"/>
        </w:rPr>
      </w:pPr>
      <w:r>
        <w:rPr>
          <w:rFonts w:hint="eastAsia" w:ascii="宋体" w:hAnsi="宋体"/>
          <w:b/>
          <w:kern w:val="44"/>
        </w:rPr>
        <w:t>第四十一条</w:t>
      </w:r>
      <w:r>
        <w:rPr>
          <w:rFonts w:hint="eastAsia" w:ascii="宋体" w:hAnsi="宋体"/>
          <w:kern w:val="44"/>
        </w:rPr>
        <w:t>　鼓励本市图书馆按照有关规定与国内、外图书馆开展文献信息资源的交换业务。</w:t>
      </w:r>
    </w:p>
    <w:p w14:paraId="3BC2FEB3">
      <w:pPr>
        <w:jc w:val="left"/>
        <w:rPr>
          <w:rFonts w:ascii="宋体" w:hAnsi="宋体"/>
          <w:kern w:val="44"/>
        </w:rPr>
      </w:pPr>
    </w:p>
    <w:p w14:paraId="7E60F568">
      <w:pPr>
        <w:ind w:firstLine="0" w:firstLineChars="0"/>
        <w:jc w:val="center"/>
        <w:rPr>
          <w:rFonts w:ascii="宋体" w:hAnsi="宋体"/>
          <w:b/>
          <w:kern w:val="44"/>
          <w:sz w:val="28"/>
        </w:rPr>
      </w:pPr>
      <w:r>
        <w:rPr>
          <w:rFonts w:hint="eastAsia" w:ascii="宋体" w:hAnsi="宋体"/>
          <w:b/>
          <w:kern w:val="44"/>
          <w:sz w:val="28"/>
        </w:rPr>
        <w:t>第六章　法律责任</w:t>
      </w:r>
    </w:p>
    <w:p w14:paraId="776482B4">
      <w:pPr>
        <w:jc w:val="left"/>
        <w:rPr>
          <w:rFonts w:ascii="宋体" w:hAnsi="宋体"/>
          <w:kern w:val="44"/>
        </w:rPr>
      </w:pPr>
    </w:p>
    <w:p w14:paraId="43B57873">
      <w:pPr>
        <w:ind w:firstLine="422"/>
        <w:jc w:val="left"/>
        <w:rPr>
          <w:rFonts w:ascii="宋体" w:hAnsi="宋体"/>
          <w:kern w:val="44"/>
        </w:rPr>
      </w:pPr>
      <w:r>
        <w:rPr>
          <w:rFonts w:hint="eastAsia" w:ascii="宋体" w:hAnsi="宋体"/>
          <w:b/>
          <w:kern w:val="44"/>
        </w:rPr>
        <w:t>第四十二条</w:t>
      </w:r>
      <w:r>
        <w:rPr>
          <w:rFonts w:hint="eastAsia" w:ascii="宋体" w:hAnsi="宋体"/>
          <w:kern w:val="44"/>
        </w:rPr>
        <w:t>　违反本条例，有下列行为之一的，由文化行政主管部门责令限期改正；情节严重的，由文化行政主管部门或者图书馆上级主管部门对负有直接责任的主管人员和其他直接责任人员给予行政处分：</w:t>
      </w:r>
    </w:p>
    <w:p w14:paraId="0D61149A">
      <w:pPr>
        <w:jc w:val="left"/>
        <w:rPr>
          <w:rFonts w:ascii="宋体" w:hAnsi="宋体"/>
          <w:kern w:val="44"/>
        </w:rPr>
      </w:pPr>
      <w:r>
        <w:rPr>
          <w:rFonts w:hint="eastAsia" w:ascii="宋体" w:hAnsi="宋体"/>
          <w:kern w:val="44"/>
        </w:rPr>
        <w:t>（一）未按规定向读者开放或者任意限定借阅范围的；</w:t>
      </w:r>
    </w:p>
    <w:p w14:paraId="6E0D9EF4">
      <w:pPr>
        <w:jc w:val="left"/>
        <w:rPr>
          <w:rFonts w:ascii="宋体" w:hAnsi="宋体"/>
          <w:kern w:val="44"/>
        </w:rPr>
      </w:pPr>
      <w:r>
        <w:rPr>
          <w:rFonts w:hint="eastAsia" w:ascii="宋体" w:hAnsi="宋体"/>
          <w:kern w:val="44"/>
        </w:rPr>
        <w:t>（二）未按规定进行公示的；</w:t>
      </w:r>
    </w:p>
    <w:p w14:paraId="4F1B0E35">
      <w:pPr>
        <w:jc w:val="left"/>
        <w:rPr>
          <w:rFonts w:ascii="宋体" w:hAnsi="宋体"/>
          <w:kern w:val="44"/>
        </w:rPr>
      </w:pPr>
      <w:r>
        <w:rPr>
          <w:rFonts w:hint="eastAsia" w:ascii="宋体" w:hAnsi="宋体"/>
          <w:kern w:val="44"/>
        </w:rPr>
        <w:t>（三）擅自向读者收取费用的；</w:t>
      </w:r>
    </w:p>
    <w:p w14:paraId="08C12B84">
      <w:pPr>
        <w:jc w:val="left"/>
        <w:rPr>
          <w:rFonts w:ascii="宋体" w:hAnsi="宋体"/>
          <w:kern w:val="44"/>
        </w:rPr>
      </w:pPr>
      <w:r>
        <w:rPr>
          <w:rFonts w:hint="eastAsia" w:ascii="宋体" w:hAnsi="宋体"/>
          <w:kern w:val="44"/>
        </w:rPr>
        <w:t>（四）其他不履行图书馆服务要求或者损害读者权益的。</w:t>
      </w:r>
    </w:p>
    <w:p w14:paraId="2F34D66D">
      <w:pPr>
        <w:ind w:firstLine="422"/>
        <w:jc w:val="left"/>
        <w:rPr>
          <w:rFonts w:ascii="宋体" w:hAnsi="宋体"/>
          <w:kern w:val="44"/>
        </w:rPr>
      </w:pPr>
      <w:r>
        <w:rPr>
          <w:rFonts w:hint="eastAsia" w:ascii="宋体" w:hAnsi="宋体"/>
          <w:b/>
          <w:kern w:val="44"/>
        </w:rPr>
        <w:t>第四十三条</w:t>
      </w:r>
      <w:r>
        <w:rPr>
          <w:rFonts w:hint="eastAsia" w:ascii="宋体" w:hAnsi="宋体"/>
          <w:kern w:val="44"/>
        </w:rPr>
        <w:t>　违反本条例第七条第三款的规定，挪用公共图书馆业务经费的，由文化行政主管部门责令限期改正；对负有直接责任的主管人员和其他直接责任人员，由其所在单位或者上级主管部门给予行政处分；构成犯罪的，依法追究刑事责任。</w:t>
      </w:r>
    </w:p>
    <w:p w14:paraId="187470AF">
      <w:pPr>
        <w:ind w:firstLine="422"/>
        <w:jc w:val="left"/>
        <w:rPr>
          <w:rFonts w:ascii="宋体" w:hAnsi="宋体"/>
          <w:kern w:val="44"/>
        </w:rPr>
      </w:pPr>
      <w:r>
        <w:rPr>
          <w:rFonts w:hint="eastAsia" w:ascii="宋体" w:hAnsi="宋体"/>
          <w:b/>
          <w:kern w:val="44"/>
        </w:rPr>
        <w:t>第四十四条</w:t>
      </w:r>
      <w:r>
        <w:rPr>
          <w:rFonts w:hint="eastAsia" w:ascii="宋体" w:hAnsi="宋体"/>
          <w:kern w:val="44"/>
        </w:rPr>
        <w:t>　违反本条例第十八条第一款规定的，按照下列规定处理；构成犯罪的，依法追究刑事责任：</w:t>
      </w:r>
    </w:p>
    <w:p w14:paraId="2B8CF1FF">
      <w:pPr>
        <w:jc w:val="left"/>
        <w:rPr>
          <w:rFonts w:ascii="宋体" w:hAnsi="宋体"/>
          <w:kern w:val="44"/>
        </w:rPr>
      </w:pPr>
      <w:r>
        <w:rPr>
          <w:rFonts w:hint="eastAsia" w:ascii="宋体" w:hAnsi="宋体"/>
          <w:kern w:val="44"/>
        </w:rPr>
        <w:t>（一）损坏或者侵占公共图书馆的馆舍、设施、设备的，由文化行政主管部门责令限期改正，并依法承担民事责任；</w:t>
      </w:r>
    </w:p>
    <w:p w14:paraId="3D788D9C">
      <w:pPr>
        <w:jc w:val="left"/>
        <w:rPr>
          <w:rFonts w:ascii="宋体" w:hAnsi="宋体"/>
          <w:kern w:val="44"/>
        </w:rPr>
      </w:pPr>
      <w:r>
        <w:rPr>
          <w:rFonts w:hint="eastAsia" w:ascii="宋体" w:hAnsi="宋体"/>
          <w:kern w:val="44"/>
        </w:rPr>
        <w:t>（二）遗失、损坏或者侵占公共图书馆文献信息料，不能归还原版本式样的，应当按照重置价格予以赔偿，无法重置的，应当按照文献信息资料的价值予以赔偿；文化行政主管部门可以并处50元以上500元以下罚款；</w:t>
      </w:r>
    </w:p>
    <w:p w14:paraId="3C2B0881">
      <w:pPr>
        <w:jc w:val="left"/>
        <w:rPr>
          <w:rFonts w:ascii="宋体" w:hAnsi="宋体"/>
          <w:kern w:val="44"/>
        </w:rPr>
      </w:pPr>
      <w:r>
        <w:rPr>
          <w:rFonts w:hint="eastAsia" w:ascii="宋体" w:hAnsi="宋体"/>
          <w:kern w:val="44"/>
        </w:rPr>
        <w:t>（三）改变或者部分改变公共图书馆馆舍用途的，由文化行政主管部门责令限期改正；对负有直接责任的主管人员和其他直接责任人员，由其所在单位或者上级主管部门给予行政处分。</w:t>
      </w:r>
    </w:p>
    <w:p w14:paraId="123475C0">
      <w:pPr>
        <w:jc w:val="left"/>
        <w:rPr>
          <w:rFonts w:ascii="宋体" w:hAnsi="宋体"/>
          <w:kern w:val="44"/>
        </w:rPr>
      </w:pPr>
    </w:p>
    <w:p w14:paraId="07F4F4BF">
      <w:pPr>
        <w:ind w:firstLine="0" w:firstLineChars="0"/>
        <w:jc w:val="center"/>
        <w:rPr>
          <w:rFonts w:ascii="宋体" w:hAnsi="宋体"/>
          <w:b/>
          <w:kern w:val="44"/>
          <w:sz w:val="28"/>
        </w:rPr>
      </w:pPr>
      <w:r>
        <w:rPr>
          <w:rFonts w:hint="eastAsia" w:ascii="宋体" w:hAnsi="宋体"/>
          <w:b/>
          <w:kern w:val="44"/>
          <w:sz w:val="28"/>
        </w:rPr>
        <w:t>第七章　附　则</w:t>
      </w:r>
    </w:p>
    <w:p w14:paraId="4D7CD8E2">
      <w:pPr>
        <w:jc w:val="left"/>
        <w:rPr>
          <w:rFonts w:ascii="宋体" w:hAnsi="宋体"/>
          <w:kern w:val="44"/>
        </w:rPr>
      </w:pPr>
    </w:p>
    <w:p w14:paraId="11DB89AF">
      <w:pPr>
        <w:ind w:firstLine="422"/>
        <w:jc w:val="left"/>
        <w:rPr>
          <w:rFonts w:ascii="宋体" w:hAnsi="宋体"/>
          <w:kern w:val="44"/>
        </w:rPr>
      </w:pPr>
      <w:r>
        <w:rPr>
          <w:rFonts w:hint="eastAsia" w:ascii="宋体" w:hAnsi="宋体"/>
          <w:b/>
          <w:kern w:val="44"/>
        </w:rPr>
        <w:t>第四十五条</w:t>
      </w:r>
      <w:r>
        <w:rPr>
          <w:rFonts w:hint="eastAsia" w:ascii="宋体" w:hAnsi="宋体"/>
          <w:kern w:val="44"/>
        </w:rPr>
        <w:t>　本条例自2002年11月1日起施行。</w:t>
      </w:r>
    </w:p>
    <w:p w14:paraId="78BD374E">
      <w:pPr>
        <w:pStyle w:val="4"/>
        <w:pageBreakBefore/>
        <w:rPr>
          <w:kern w:val="44"/>
        </w:rPr>
      </w:pPr>
      <w:bookmarkStart w:id="1612" w:name="_Toc422471420"/>
      <w:bookmarkStart w:id="1613" w:name="_Toc428781720"/>
      <w:bookmarkStart w:id="1614" w:name="_Toc427651672"/>
      <w:bookmarkStart w:id="1615" w:name="_Toc427652014"/>
      <w:bookmarkStart w:id="1616" w:name="_Toc428780238"/>
      <w:r>
        <w:rPr>
          <w:rFonts w:hint="eastAsia"/>
          <w:kern w:val="44"/>
        </w:rPr>
        <w:t>北京市传统工艺美术</w:t>
      </w:r>
      <w:bookmarkEnd w:id="1612"/>
      <w:bookmarkStart w:id="1617" w:name="_Toc422471421"/>
      <w:r>
        <w:rPr>
          <w:rFonts w:hint="eastAsia"/>
          <w:kern w:val="44"/>
        </w:rPr>
        <w:t>保护办法</w:t>
      </w:r>
      <w:bookmarkEnd w:id="1613"/>
      <w:bookmarkEnd w:id="1614"/>
      <w:bookmarkEnd w:id="1615"/>
      <w:bookmarkEnd w:id="1616"/>
      <w:bookmarkEnd w:id="1617"/>
    </w:p>
    <w:p w14:paraId="40A48285">
      <w:pPr>
        <w:ind w:left="630" w:leftChars="300" w:right="630" w:rightChars="300"/>
        <w:jc w:val="left"/>
        <w:rPr>
          <w:rFonts w:ascii="楷体" w:hAnsi="楷体" w:eastAsia="楷体"/>
          <w:kern w:val="44"/>
        </w:rPr>
      </w:pPr>
      <w:r>
        <w:rPr>
          <w:rFonts w:hint="eastAsia" w:ascii="楷体" w:hAnsi="楷体" w:eastAsia="楷体"/>
          <w:kern w:val="44"/>
        </w:rPr>
        <w:t>（2002年7月16日北京市人民政府第50次常务会议审议通过  2002年8月9日北京市人民政府第103号令公布）</w:t>
      </w:r>
    </w:p>
    <w:p w14:paraId="777922A6">
      <w:pPr>
        <w:jc w:val="left"/>
        <w:rPr>
          <w:rFonts w:ascii="宋体" w:hAnsi="宋体"/>
          <w:kern w:val="44"/>
        </w:rPr>
      </w:pPr>
    </w:p>
    <w:p w14:paraId="647758C6">
      <w:pPr>
        <w:ind w:firstLine="422"/>
        <w:jc w:val="left"/>
        <w:rPr>
          <w:rFonts w:ascii="宋体" w:hAnsi="宋体"/>
          <w:kern w:val="44"/>
        </w:rPr>
      </w:pPr>
      <w:r>
        <w:rPr>
          <w:rFonts w:hint="eastAsia" w:ascii="宋体" w:hAnsi="宋体"/>
          <w:b/>
          <w:kern w:val="44"/>
        </w:rPr>
        <w:t>第一条</w:t>
      </w:r>
      <w:r>
        <w:rPr>
          <w:rFonts w:hint="eastAsia" w:ascii="宋体" w:hAnsi="宋体"/>
          <w:kern w:val="44"/>
        </w:rPr>
        <w:t>　为了保护本市传统工艺美术，促进传统工艺美术事业的繁荣与发展，根据国务院《传统工艺美术保护条例》，结合本市实际情况，制定本办法。</w:t>
      </w:r>
    </w:p>
    <w:p w14:paraId="2C133AF0">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在本市行政区域内从事传统工艺美术保护和发展工作的单位和个人，适用本办法。</w:t>
      </w:r>
    </w:p>
    <w:p w14:paraId="7345D319">
      <w:pPr>
        <w:ind w:firstLine="422"/>
        <w:jc w:val="left"/>
        <w:rPr>
          <w:rFonts w:ascii="宋体" w:hAnsi="宋体"/>
          <w:kern w:val="44"/>
        </w:rPr>
      </w:pPr>
      <w:r>
        <w:rPr>
          <w:rFonts w:hint="eastAsia" w:ascii="宋体" w:hAnsi="宋体"/>
          <w:b/>
          <w:kern w:val="44"/>
        </w:rPr>
        <w:t>第三条</w:t>
      </w:r>
      <w:r>
        <w:rPr>
          <w:rFonts w:hint="eastAsia" w:ascii="宋体" w:hAnsi="宋体"/>
          <w:kern w:val="44"/>
        </w:rPr>
        <w:t>　本办法所称传统工艺美术，是指具有百年以上历史，技艺精湛，拥有完整的工艺流程，采用天然原材料制作，具有鲜明的民族风格和地方特色，在国内外享有声誉的手工艺品种和技艺。</w:t>
      </w:r>
    </w:p>
    <w:p w14:paraId="759A3FB6">
      <w:pPr>
        <w:ind w:firstLine="422"/>
        <w:jc w:val="left"/>
        <w:rPr>
          <w:rFonts w:ascii="宋体" w:hAnsi="宋体"/>
          <w:kern w:val="44"/>
        </w:rPr>
      </w:pPr>
      <w:r>
        <w:rPr>
          <w:rFonts w:hint="eastAsia" w:ascii="宋体" w:hAnsi="宋体"/>
          <w:b/>
          <w:kern w:val="44"/>
        </w:rPr>
        <w:t>第四条</w:t>
      </w:r>
      <w:r>
        <w:rPr>
          <w:rFonts w:hint="eastAsia" w:ascii="宋体" w:hAnsi="宋体"/>
          <w:kern w:val="44"/>
        </w:rPr>
        <w:t>　市人民政府经济行政主管部门（以下简称市经济主管部门）负责本市传统工艺美术的保护和发展及其相关工作。</w:t>
      </w:r>
    </w:p>
    <w:p w14:paraId="7AE449CE">
      <w:pPr>
        <w:jc w:val="left"/>
        <w:rPr>
          <w:rFonts w:ascii="宋体" w:hAnsi="宋体"/>
          <w:kern w:val="44"/>
        </w:rPr>
      </w:pPr>
      <w:r>
        <w:rPr>
          <w:rFonts w:hint="eastAsia" w:ascii="宋体" w:hAnsi="宋体"/>
          <w:kern w:val="44"/>
        </w:rPr>
        <w:t>公安、工商行政管理、质量技术监督、劳动和社会保障、旅游、文物等部门，应当按照各自的职责，做好本市传统工艺美术保护和发展的相关工作。</w:t>
      </w:r>
    </w:p>
    <w:p w14:paraId="5BA31974">
      <w:pPr>
        <w:ind w:firstLine="422"/>
        <w:jc w:val="left"/>
        <w:rPr>
          <w:rFonts w:ascii="宋体" w:hAnsi="宋体"/>
          <w:kern w:val="44"/>
        </w:rPr>
      </w:pPr>
      <w:r>
        <w:rPr>
          <w:rFonts w:hint="eastAsia" w:ascii="宋体" w:hAnsi="宋体"/>
          <w:b/>
          <w:kern w:val="44"/>
        </w:rPr>
        <w:t>第五条</w:t>
      </w:r>
      <w:r>
        <w:rPr>
          <w:rFonts w:hint="eastAsia" w:ascii="宋体" w:hAnsi="宋体"/>
          <w:kern w:val="44"/>
        </w:rPr>
        <w:t>　北京工艺美术行业协会（以下简称工艺美术协会）协助市经济主管部门做好传统工艺美术的保护和发展工作，可以接受有关部门委托，办理传统工艺美术保护和发展相关工作的具体事务。</w:t>
      </w:r>
    </w:p>
    <w:p w14:paraId="199F40AB">
      <w:pPr>
        <w:ind w:firstLine="422"/>
        <w:jc w:val="left"/>
        <w:rPr>
          <w:rFonts w:ascii="宋体" w:hAnsi="宋体"/>
          <w:kern w:val="44"/>
        </w:rPr>
      </w:pPr>
      <w:r>
        <w:rPr>
          <w:rFonts w:hint="eastAsia" w:ascii="宋体" w:hAnsi="宋体"/>
          <w:b/>
          <w:kern w:val="44"/>
        </w:rPr>
        <w:t>第六条</w:t>
      </w:r>
      <w:r>
        <w:rPr>
          <w:rFonts w:hint="eastAsia" w:ascii="宋体" w:hAnsi="宋体"/>
          <w:kern w:val="44"/>
        </w:rPr>
        <w:t>　本市对传统工艺美术品种、技艺和工艺美术珍品及工艺美术大师、民间工艺大师实行认定制度。</w:t>
      </w:r>
    </w:p>
    <w:p w14:paraId="75E0C949">
      <w:pPr>
        <w:jc w:val="left"/>
        <w:rPr>
          <w:rFonts w:ascii="宋体" w:hAnsi="宋体"/>
          <w:kern w:val="44"/>
        </w:rPr>
      </w:pPr>
      <w:r>
        <w:rPr>
          <w:rFonts w:hint="eastAsia" w:ascii="宋体" w:hAnsi="宋体"/>
          <w:kern w:val="44"/>
        </w:rPr>
        <w:t>市经济主管部门设立传统工艺美术评审委员会（以下简称评审委员会），负责评审工作。评审的日常工作由工艺美术协会承担。评审委员会委员由工艺美术协会推荐，市经济主管部门审核同意后予以聘任。</w:t>
      </w:r>
    </w:p>
    <w:p w14:paraId="0AF2E7B5">
      <w:pPr>
        <w:ind w:firstLine="422"/>
        <w:jc w:val="left"/>
        <w:rPr>
          <w:rFonts w:ascii="宋体" w:hAnsi="宋体"/>
          <w:kern w:val="44"/>
        </w:rPr>
      </w:pPr>
      <w:r>
        <w:rPr>
          <w:rFonts w:hint="eastAsia" w:ascii="宋体" w:hAnsi="宋体"/>
          <w:b/>
          <w:kern w:val="44"/>
        </w:rPr>
        <w:t>第七条</w:t>
      </w:r>
      <w:r>
        <w:rPr>
          <w:rFonts w:hint="eastAsia" w:ascii="宋体" w:hAnsi="宋体"/>
          <w:kern w:val="44"/>
        </w:rPr>
        <w:t>　申请北京传统工艺美术品种、技艺认定的，申请人应当向评审委员会提交申请报告和以下材料：</w:t>
      </w:r>
    </w:p>
    <w:p w14:paraId="665E0899">
      <w:pPr>
        <w:jc w:val="left"/>
        <w:rPr>
          <w:rFonts w:ascii="宋体" w:hAnsi="宋体"/>
          <w:kern w:val="44"/>
        </w:rPr>
      </w:pPr>
      <w:r>
        <w:rPr>
          <w:rFonts w:hint="eastAsia" w:ascii="宋体" w:hAnsi="宋体"/>
          <w:kern w:val="44"/>
        </w:rPr>
        <w:t>（一）已有百年以上历史的证明；</w:t>
      </w:r>
    </w:p>
    <w:p w14:paraId="500FED18">
      <w:pPr>
        <w:jc w:val="left"/>
        <w:rPr>
          <w:rFonts w:ascii="宋体" w:hAnsi="宋体"/>
          <w:kern w:val="44"/>
        </w:rPr>
      </w:pPr>
      <w:r>
        <w:rPr>
          <w:rFonts w:hint="eastAsia" w:ascii="宋体" w:hAnsi="宋体"/>
          <w:kern w:val="44"/>
        </w:rPr>
        <w:t>（二）风格、特色的说明；</w:t>
      </w:r>
    </w:p>
    <w:p w14:paraId="3D98452C">
      <w:pPr>
        <w:jc w:val="left"/>
        <w:rPr>
          <w:rFonts w:ascii="宋体" w:hAnsi="宋体"/>
          <w:kern w:val="44"/>
        </w:rPr>
      </w:pPr>
      <w:r>
        <w:rPr>
          <w:rFonts w:hint="eastAsia" w:ascii="宋体" w:hAnsi="宋体"/>
          <w:kern w:val="44"/>
        </w:rPr>
        <w:t>（三）采用传统、天然原材料的证明。</w:t>
      </w:r>
    </w:p>
    <w:p w14:paraId="10203F7A">
      <w:pPr>
        <w:ind w:firstLine="422"/>
        <w:jc w:val="left"/>
        <w:rPr>
          <w:rFonts w:ascii="宋体" w:hAnsi="宋体"/>
          <w:kern w:val="44"/>
        </w:rPr>
      </w:pPr>
      <w:r>
        <w:rPr>
          <w:rFonts w:hint="eastAsia" w:ascii="宋体" w:hAnsi="宋体"/>
          <w:b/>
          <w:kern w:val="44"/>
        </w:rPr>
        <w:t>第八条</w:t>
      </w:r>
      <w:r>
        <w:rPr>
          <w:rFonts w:hint="eastAsia" w:ascii="宋体" w:hAnsi="宋体"/>
          <w:kern w:val="44"/>
        </w:rPr>
        <w:t>　申请北京工艺美术珍品认定的，申请人应当向评审委员会提交申请报告和以下材料：</w:t>
      </w:r>
    </w:p>
    <w:p w14:paraId="213CA459">
      <w:pPr>
        <w:jc w:val="left"/>
        <w:rPr>
          <w:rFonts w:ascii="宋体" w:hAnsi="宋体"/>
          <w:kern w:val="44"/>
        </w:rPr>
      </w:pPr>
      <w:r>
        <w:rPr>
          <w:rFonts w:hint="eastAsia" w:ascii="宋体" w:hAnsi="宋体"/>
          <w:kern w:val="44"/>
        </w:rPr>
        <w:t>（一）作品实物照片及采用特有、珍贵、稀有原材料制作的证明；</w:t>
      </w:r>
    </w:p>
    <w:p w14:paraId="762E91C5">
      <w:pPr>
        <w:jc w:val="left"/>
        <w:rPr>
          <w:rFonts w:ascii="宋体" w:hAnsi="宋体"/>
          <w:kern w:val="44"/>
        </w:rPr>
      </w:pPr>
      <w:r>
        <w:rPr>
          <w:rFonts w:hint="eastAsia" w:ascii="宋体" w:hAnsi="宋体"/>
          <w:kern w:val="44"/>
        </w:rPr>
        <w:t>（二）作品创作思想和艺术价值的说明；</w:t>
      </w:r>
    </w:p>
    <w:p w14:paraId="30296FE5">
      <w:pPr>
        <w:jc w:val="left"/>
        <w:rPr>
          <w:rFonts w:ascii="宋体" w:hAnsi="宋体"/>
          <w:kern w:val="44"/>
        </w:rPr>
      </w:pPr>
      <w:r>
        <w:rPr>
          <w:rFonts w:hint="eastAsia" w:ascii="宋体" w:hAnsi="宋体"/>
          <w:kern w:val="44"/>
        </w:rPr>
        <w:t>（三）参加国内外有影响的展览会取得的荣誉证书；</w:t>
      </w:r>
    </w:p>
    <w:p w14:paraId="31076D2B">
      <w:pPr>
        <w:jc w:val="left"/>
        <w:rPr>
          <w:rFonts w:ascii="宋体" w:hAnsi="宋体"/>
          <w:kern w:val="44"/>
        </w:rPr>
      </w:pPr>
      <w:r>
        <w:rPr>
          <w:rFonts w:hint="eastAsia" w:ascii="宋体" w:hAnsi="宋体"/>
          <w:kern w:val="44"/>
        </w:rPr>
        <w:t>（四）评审委员会认为应当提交的其他材料。</w:t>
      </w:r>
    </w:p>
    <w:p w14:paraId="53998284">
      <w:pPr>
        <w:ind w:firstLine="422"/>
        <w:jc w:val="left"/>
        <w:rPr>
          <w:rFonts w:ascii="宋体" w:hAnsi="宋体"/>
          <w:kern w:val="44"/>
        </w:rPr>
      </w:pPr>
      <w:r>
        <w:rPr>
          <w:rFonts w:hint="eastAsia" w:ascii="宋体" w:hAnsi="宋体"/>
          <w:b/>
          <w:kern w:val="44"/>
        </w:rPr>
        <w:t>第九条</w:t>
      </w:r>
      <w:r>
        <w:rPr>
          <w:rFonts w:hint="eastAsia" w:ascii="宋体" w:hAnsi="宋体"/>
          <w:kern w:val="44"/>
        </w:rPr>
        <w:t>　申请北京工艺美术大师认定的，申请人应当向评审委员会提交申请报告和以下材料：</w:t>
      </w:r>
    </w:p>
    <w:p w14:paraId="36F52CEB">
      <w:pPr>
        <w:jc w:val="left"/>
        <w:rPr>
          <w:rFonts w:ascii="宋体" w:hAnsi="宋体"/>
          <w:kern w:val="44"/>
        </w:rPr>
      </w:pPr>
      <w:r>
        <w:rPr>
          <w:rFonts w:hint="eastAsia" w:ascii="宋体" w:hAnsi="宋体"/>
          <w:kern w:val="44"/>
        </w:rPr>
        <w:t>（一）从事工艺美术专业的经历及相关证明；</w:t>
      </w:r>
    </w:p>
    <w:p w14:paraId="7A73940F">
      <w:pPr>
        <w:jc w:val="left"/>
        <w:rPr>
          <w:rFonts w:ascii="宋体" w:hAnsi="宋体"/>
          <w:kern w:val="44"/>
        </w:rPr>
      </w:pPr>
      <w:r>
        <w:rPr>
          <w:rFonts w:hint="eastAsia" w:ascii="宋体" w:hAnsi="宋体"/>
          <w:kern w:val="44"/>
        </w:rPr>
        <w:t>（二）代表作品照片及说明；</w:t>
      </w:r>
    </w:p>
    <w:p w14:paraId="0045BC4C">
      <w:pPr>
        <w:jc w:val="left"/>
        <w:rPr>
          <w:rFonts w:ascii="宋体" w:hAnsi="宋体"/>
          <w:kern w:val="44"/>
        </w:rPr>
      </w:pPr>
      <w:r>
        <w:rPr>
          <w:rFonts w:hint="eastAsia" w:ascii="宋体" w:hAnsi="宋体"/>
          <w:kern w:val="44"/>
        </w:rPr>
        <w:t>（三）代表作品在国内外评比中的获奖证书；</w:t>
      </w:r>
    </w:p>
    <w:p w14:paraId="2A7BB58D">
      <w:pPr>
        <w:jc w:val="left"/>
        <w:rPr>
          <w:rFonts w:ascii="宋体" w:hAnsi="宋体"/>
          <w:kern w:val="44"/>
        </w:rPr>
      </w:pPr>
      <w:r>
        <w:rPr>
          <w:rFonts w:hint="eastAsia" w:ascii="宋体" w:hAnsi="宋体"/>
          <w:kern w:val="44"/>
        </w:rPr>
        <w:t>（四）专业技艺论述或者论文。</w:t>
      </w:r>
    </w:p>
    <w:p w14:paraId="14AB60E8">
      <w:pPr>
        <w:jc w:val="left"/>
        <w:rPr>
          <w:rFonts w:ascii="宋体" w:hAnsi="宋体"/>
          <w:kern w:val="44"/>
        </w:rPr>
      </w:pPr>
      <w:r>
        <w:rPr>
          <w:rFonts w:hint="eastAsia" w:ascii="宋体" w:hAnsi="宋体"/>
          <w:kern w:val="44"/>
        </w:rPr>
        <w:t>申请北京民间工艺大师认定的，申请人应当向评审委员会提交申请报告及前款规定的（一）、（二）、（三）项材料。</w:t>
      </w:r>
    </w:p>
    <w:p w14:paraId="7A1E43A6">
      <w:pPr>
        <w:ind w:firstLine="422"/>
        <w:jc w:val="left"/>
        <w:rPr>
          <w:rFonts w:ascii="宋体" w:hAnsi="宋体"/>
          <w:kern w:val="44"/>
        </w:rPr>
      </w:pPr>
      <w:r>
        <w:rPr>
          <w:rFonts w:hint="eastAsia" w:ascii="宋体" w:hAnsi="宋体"/>
          <w:b/>
          <w:kern w:val="44"/>
        </w:rPr>
        <w:t>第十条</w:t>
      </w:r>
      <w:r>
        <w:rPr>
          <w:rFonts w:hint="eastAsia" w:ascii="宋体" w:hAnsi="宋体"/>
          <w:kern w:val="44"/>
        </w:rPr>
        <w:t>　评审委员会应当将申请人提交评审的传统工艺美术品种、技艺和工艺美术珍品目录及拟评工艺美术大师、民间工艺大师名单预先公告，公告期为30日。公告期内，任何单位和个人有权提出异议。</w:t>
      </w:r>
    </w:p>
    <w:p w14:paraId="08EBE5BA">
      <w:pPr>
        <w:jc w:val="left"/>
        <w:rPr>
          <w:rFonts w:ascii="宋体" w:hAnsi="宋体"/>
          <w:kern w:val="44"/>
        </w:rPr>
      </w:pPr>
      <w:r>
        <w:rPr>
          <w:rFonts w:hint="eastAsia" w:ascii="宋体" w:hAnsi="宋体"/>
          <w:kern w:val="44"/>
        </w:rPr>
        <w:t>评审委员会应当在公告期满后30日内，对异议进行处理；不能及时处理完毕的申请材料，不列入评审范围，并由评审委员会向申请人说明。</w:t>
      </w:r>
    </w:p>
    <w:p w14:paraId="20711CAD">
      <w:pPr>
        <w:ind w:firstLine="422"/>
        <w:jc w:val="left"/>
        <w:rPr>
          <w:rFonts w:ascii="宋体" w:hAnsi="宋体"/>
          <w:kern w:val="44"/>
        </w:rPr>
      </w:pPr>
      <w:r>
        <w:rPr>
          <w:rFonts w:hint="eastAsia" w:ascii="宋体" w:hAnsi="宋体"/>
          <w:b/>
          <w:kern w:val="44"/>
        </w:rPr>
        <w:t>第十一条</w:t>
      </w:r>
      <w:r>
        <w:rPr>
          <w:rFonts w:hint="eastAsia" w:ascii="宋体" w:hAnsi="宋体"/>
          <w:kern w:val="44"/>
        </w:rPr>
        <w:t>　评审委员会应当自公告期满或者异议处理终结之日起3个月内，分别对申请传统工艺美术品种、技艺和工艺美术珍品及工艺美术大师、民间工艺大师认定的材料进行评审。</w:t>
      </w:r>
    </w:p>
    <w:p w14:paraId="2676B34E">
      <w:pPr>
        <w:ind w:firstLine="422"/>
        <w:jc w:val="left"/>
        <w:rPr>
          <w:rFonts w:ascii="宋体" w:hAnsi="宋体"/>
          <w:kern w:val="44"/>
        </w:rPr>
      </w:pPr>
      <w:r>
        <w:rPr>
          <w:rFonts w:hint="eastAsia" w:ascii="宋体" w:hAnsi="宋体"/>
          <w:b/>
          <w:kern w:val="44"/>
        </w:rPr>
        <w:t>第十二条</w:t>
      </w:r>
      <w:r>
        <w:rPr>
          <w:rFonts w:hint="eastAsia" w:ascii="宋体" w:hAnsi="宋体"/>
          <w:kern w:val="44"/>
        </w:rPr>
        <w:t>　经评审委员会评为传统工艺美术品种、技艺和工艺美术珍品及工艺美术大师、民间工艺大师的，由市经济主管部门认定后颁发证书并予以公布。</w:t>
      </w:r>
    </w:p>
    <w:p w14:paraId="1EBCA8F1">
      <w:pPr>
        <w:jc w:val="left"/>
        <w:rPr>
          <w:rFonts w:ascii="宋体" w:hAnsi="宋体"/>
          <w:kern w:val="44"/>
        </w:rPr>
      </w:pPr>
      <w:r>
        <w:rPr>
          <w:rFonts w:hint="eastAsia" w:ascii="宋体" w:hAnsi="宋体"/>
          <w:kern w:val="44"/>
        </w:rPr>
        <w:t>本市传统工艺美术品种、技艺和工艺美术珍品及工艺美术大师、民间工艺大师的认定办法，由市经济主管部门另行制定。</w:t>
      </w:r>
    </w:p>
    <w:p w14:paraId="3B9A0687">
      <w:pPr>
        <w:ind w:firstLine="422"/>
        <w:jc w:val="left"/>
        <w:rPr>
          <w:rFonts w:ascii="宋体" w:hAnsi="宋体"/>
          <w:kern w:val="44"/>
        </w:rPr>
      </w:pPr>
      <w:r>
        <w:rPr>
          <w:rFonts w:hint="eastAsia" w:ascii="宋体" w:hAnsi="宋体"/>
          <w:b/>
          <w:kern w:val="44"/>
        </w:rPr>
        <w:t>第十三条</w:t>
      </w:r>
      <w:r>
        <w:rPr>
          <w:rFonts w:hint="eastAsia" w:ascii="宋体" w:hAnsi="宋体"/>
          <w:kern w:val="44"/>
        </w:rPr>
        <w:t>　市经济主管部门可以从认定的本市传统工艺美术品种、技艺和工艺美术珍品及工艺美术大师、民间工艺大师中，择优推荐申请国家级传统工艺美术品种、技艺和中国工艺美术珍品及国家级工艺美术大师认定。</w:t>
      </w:r>
    </w:p>
    <w:p w14:paraId="0688B70D">
      <w:pPr>
        <w:jc w:val="left"/>
        <w:rPr>
          <w:rFonts w:ascii="宋体" w:hAnsi="宋体"/>
          <w:kern w:val="44"/>
        </w:rPr>
      </w:pPr>
      <w:r>
        <w:rPr>
          <w:rFonts w:hint="eastAsia" w:ascii="宋体" w:hAnsi="宋体"/>
          <w:kern w:val="44"/>
        </w:rPr>
        <w:t>被评为中国工艺美术珍品的作品，市人民政府对其设计制作人员予以奖励。</w:t>
      </w:r>
    </w:p>
    <w:p w14:paraId="4880C584">
      <w:pPr>
        <w:ind w:firstLine="422"/>
        <w:jc w:val="left"/>
        <w:rPr>
          <w:rFonts w:ascii="宋体" w:hAnsi="宋体"/>
          <w:kern w:val="44"/>
        </w:rPr>
      </w:pPr>
      <w:r>
        <w:rPr>
          <w:rFonts w:hint="eastAsia" w:ascii="宋体" w:hAnsi="宋体"/>
          <w:b/>
          <w:kern w:val="44"/>
        </w:rPr>
        <w:t>第十四条</w:t>
      </w:r>
      <w:r>
        <w:rPr>
          <w:rFonts w:hint="eastAsia" w:ascii="宋体" w:hAnsi="宋体"/>
          <w:kern w:val="44"/>
        </w:rPr>
        <w:t>　市经济主管部门认定为传统工艺美术品种、技艺的产品或者作品，可以使用北京传统工艺美术证标。北京传统工艺美术证标由市经济主管部门统一印制。</w:t>
      </w:r>
    </w:p>
    <w:p w14:paraId="112854B9">
      <w:pPr>
        <w:jc w:val="left"/>
        <w:rPr>
          <w:rFonts w:ascii="宋体" w:hAnsi="宋体"/>
          <w:kern w:val="44"/>
        </w:rPr>
      </w:pPr>
      <w:r>
        <w:rPr>
          <w:rFonts w:hint="eastAsia" w:ascii="宋体" w:hAnsi="宋体"/>
          <w:kern w:val="44"/>
        </w:rPr>
        <w:t>北京传统工艺美术证标的具体使用管理办法由市经济主管部门另行制定。</w:t>
      </w:r>
    </w:p>
    <w:p w14:paraId="02AB7B4D">
      <w:pPr>
        <w:jc w:val="left"/>
        <w:rPr>
          <w:rFonts w:ascii="宋体" w:hAnsi="宋体"/>
          <w:kern w:val="44"/>
        </w:rPr>
      </w:pPr>
      <w:r>
        <w:rPr>
          <w:rFonts w:hint="eastAsia" w:ascii="宋体" w:hAnsi="宋体"/>
          <w:kern w:val="44"/>
        </w:rPr>
        <w:t>未被市经济主管部门认定为传统工艺美术品种、技艺的产品或者作品，不得使用北京传统工艺美术证标。</w:t>
      </w:r>
    </w:p>
    <w:p w14:paraId="564338D1">
      <w:pPr>
        <w:ind w:firstLine="422"/>
        <w:jc w:val="left"/>
        <w:rPr>
          <w:rFonts w:ascii="宋体" w:hAnsi="宋体"/>
          <w:kern w:val="44"/>
        </w:rPr>
      </w:pPr>
      <w:r>
        <w:rPr>
          <w:rFonts w:hint="eastAsia" w:ascii="宋体" w:hAnsi="宋体"/>
          <w:b/>
          <w:kern w:val="44"/>
        </w:rPr>
        <w:t>第十五条</w:t>
      </w:r>
      <w:r>
        <w:rPr>
          <w:rFonts w:hint="eastAsia" w:ascii="宋体" w:hAnsi="宋体"/>
          <w:kern w:val="44"/>
        </w:rPr>
        <w:t>　工艺美术大师、民间工艺大师可以在其作品上签署自己的姓名，使用个人标识，但不得在他人创作的作品上签署本人姓名。</w:t>
      </w:r>
    </w:p>
    <w:p w14:paraId="2F120B82">
      <w:pPr>
        <w:jc w:val="left"/>
        <w:rPr>
          <w:rFonts w:ascii="宋体" w:hAnsi="宋体"/>
          <w:kern w:val="44"/>
        </w:rPr>
      </w:pPr>
      <w:r>
        <w:rPr>
          <w:rFonts w:hint="eastAsia" w:ascii="宋体" w:hAnsi="宋体"/>
          <w:kern w:val="44"/>
        </w:rPr>
        <w:t>任何单位和个人不得假冒使用工艺美术大师或者民间工艺大师的署名。</w:t>
      </w:r>
    </w:p>
    <w:p w14:paraId="2023937B">
      <w:pPr>
        <w:ind w:firstLine="422"/>
        <w:jc w:val="left"/>
        <w:rPr>
          <w:rFonts w:ascii="宋体" w:hAnsi="宋体"/>
          <w:kern w:val="44"/>
        </w:rPr>
      </w:pPr>
      <w:r>
        <w:rPr>
          <w:rFonts w:hint="eastAsia" w:ascii="宋体" w:hAnsi="宋体"/>
          <w:b/>
          <w:kern w:val="44"/>
        </w:rPr>
        <w:t>第十六条</w:t>
      </w:r>
      <w:r>
        <w:rPr>
          <w:rFonts w:hint="eastAsia" w:ascii="宋体" w:hAnsi="宋体"/>
          <w:kern w:val="44"/>
        </w:rPr>
        <w:t>　本市设立传统工艺美术保护和发展专项资金，主要用于：</w:t>
      </w:r>
    </w:p>
    <w:p w14:paraId="5E6408A1">
      <w:pPr>
        <w:jc w:val="left"/>
        <w:rPr>
          <w:rFonts w:ascii="宋体" w:hAnsi="宋体"/>
          <w:kern w:val="44"/>
        </w:rPr>
      </w:pPr>
      <w:r>
        <w:rPr>
          <w:rFonts w:hint="eastAsia" w:ascii="宋体" w:hAnsi="宋体"/>
          <w:kern w:val="44"/>
        </w:rPr>
        <w:t>（一）建立传统工艺美术保护基地；</w:t>
      </w:r>
    </w:p>
    <w:p w14:paraId="549959F9">
      <w:pPr>
        <w:jc w:val="left"/>
        <w:rPr>
          <w:rFonts w:ascii="宋体" w:hAnsi="宋体"/>
          <w:kern w:val="44"/>
        </w:rPr>
      </w:pPr>
      <w:r>
        <w:rPr>
          <w:rFonts w:hint="eastAsia" w:ascii="宋体" w:hAnsi="宋体"/>
          <w:kern w:val="44"/>
        </w:rPr>
        <w:t>（二）征集、收藏、展示优秀工艺美术代表作品；</w:t>
      </w:r>
    </w:p>
    <w:p w14:paraId="3DC3530E">
      <w:pPr>
        <w:jc w:val="left"/>
        <w:rPr>
          <w:rFonts w:ascii="宋体" w:hAnsi="宋体"/>
          <w:kern w:val="44"/>
        </w:rPr>
      </w:pPr>
      <w:r>
        <w:rPr>
          <w:rFonts w:hint="eastAsia" w:ascii="宋体" w:hAnsi="宋体"/>
          <w:kern w:val="44"/>
        </w:rPr>
        <w:t>（三）挖掘、整理传统工艺美术资料，建立档案，保护、抢救濒临失传的传统工艺美术品种和技艺；</w:t>
      </w:r>
    </w:p>
    <w:p w14:paraId="4DBFE696">
      <w:pPr>
        <w:jc w:val="left"/>
        <w:rPr>
          <w:rFonts w:ascii="宋体" w:hAnsi="宋体"/>
          <w:kern w:val="44"/>
        </w:rPr>
      </w:pPr>
      <w:r>
        <w:rPr>
          <w:rFonts w:hint="eastAsia" w:ascii="宋体" w:hAnsi="宋体"/>
          <w:kern w:val="44"/>
        </w:rPr>
        <w:t>（四）支持传统工艺美术的科学研究和产品开发；</w:t>
      </w:r>
    </w:p>
    <w:p w14:paraId="54494CEF">
      <w:pPr>
        <w:jc w:val="left"/>
        <w:rPr>
          <w:rFonts w:ascii="宋体" w:hAnsi="宋体"/>
          <w:kern w:val="44"/>
        </w:rPr>
      </w:pPr>
      <w:r>
        <w:rPr>
          <w:rFonts w:hint="eastAsia" w:ascii="宋体" w:hAnsi="宋体"/>
          <w:kern w:val="44"/>
        </w:rPr>
        <w:t>（五）组织工艺美术大师创作优秀作品；</w:t>
      </w:r>
    </w:p>
    <w:p w14:paraId="38FF6A38">
      <w:pPr>
        <w:jc w:val="left"/>
        <w:rPr>
          <w:rFonts w:ascii="宋体" w:hAnsi="宋体"/>
          <w:kern w:val="44"/>
        </w:rPr>
      </w:pPr>
      <w:r>
        <w:rPr>
          <w:rFonts w:hint="eastAsia" w:ascii="宋体" w:hAnsi="宋体"/>
          <w:kern w:val="44"/>
        </w:rPr>
        <w:t>（六）培养传统工艺美术人才。</w:t>
      </w:r>
    </w:p>
    <w:p w14:paraId="7A9D1698">
      <w:pPr>
        <w:ind w:firstLine="422"/>
        <w:jc w:val="left"/>
        <w:rPr>
          <w:rFonts w:ascii="宋体" w:hAnsi="宋体"/>
          <w:kern w:val="44"/>
        </w:rPr>
      </w:pPr>
      <w:r>
        <w:rPr>
          <w:rFonts w:hint="eastAsia" w:ascii="宋体" w:hAnsi="宋体"/>
          <w:b/>
          <w:kern w:val="44"/>
        </w:rPr>
        <w:t>第十七条</w:t>
      </w:r>
      <w:r>
        <w:rPr>
          <w:rFonts w:hint="eastAsia" w:ascii="宋体" w:hAnsi="宋体"/>
          <w:kern w:val="44"/>
        </w:rPr>
        <w:t>　拥有传统工艺美术技艺的单位和个人，应当依法履行保密义务，采取保密措施，不得泄露传统工艺美术技艺秘密。有关部门应当加强对传统工艺美术技艺秘密保密工作的监督管理。</w:t>
      </w:r>
    </w:p>
    <w:p w14:paraId="40C8FE98">
      <w:pPr>
        <w:jc w:val="left"/>
        <w:rPr>
          <w:rFonts w:ascii="宋体" w:hAnsi="宋体"/>
          <w:kern w:val="44"/>
        </w:rPr>
      </w:pPr>
      <w:r>
        <w:rPr>
          <w:rFonts w:hint="eastAsia" w:ascii="宋体" w:hAnsi="宋体"/>
          <w:kern w:val="44"/>
        </w:rPr>
        <w:t>任何单位和个人不得窃取传统工艺美术技艺秘密。</w:t>
      </w:r>
    </w:p>
    <w:p w14:paraId="57EA7FF8">
      <w:pPr>
        <w:ind w:firstLine="422"/>
        <w:jc w:val="left"/>
        <w:rPr>
          <w:rFonts w:ascii="宋体" w:hAnsi="宋体"/>
          <w:kern w:val="44"/>
        </w:rPr>
      </w:pPr>
      <w:r>
        <w:rPr>
          <w:rFonts w:hint="eastAsia" w:ascii="宋体" w:hAnsi="宋体"/>
          <w:b/>
          <w:kern w:val="44"/>
        </w:rPr>
        <w:t>第十八条</w:t>
      </w:r>
      <w:r>
        <w:rPr>
          <w:rFonts w:hint="eastAsia" w:ascii="宋体" w:hAnsi="宋体"/>
          <w:kern w:val="44"/>
        </w:rPr>
        <w:t>　鼓励工艺美术大师、民间工艺大师创办企业或者建立个人工作室，并可以享受国家和本市有关中小企业等方面的优惠政策。</w:t>
      </w:r>
    </w:p>
    <w:p w14:paraId="530AF5BF">
      <w:pPr>
        <w:jc w:val="left"/>
        <w:rPr>
          <w:rFonts w:ascii="宋体" w:hAnsi="宋体"/>
          <w:kern w:val="44"/>
        </w:rPr>
      </w:pPr>
      <w:r>
        <w:rPr>
          <w:rFonts w:hint="eastAsia" w:ascii="宋体" w:hAnsi="宋体"/>
          <w:kern w:val="44"/>
        </w:rPr>
        <w:t>工艺美术大师所在单位应当为工艺美术大师设立大师工作室，在工作、生活方面对其给予照顾，并为其到艺术院校进修提供便利条件。</w:t>
      </w:r>
    </w:p>
    <w:p w14:paraId="7AC626A8">
      <w:pPr>
        <w:ind w:firstLine="422"/>
        <w:jc w:val="left"/>
        <w:rPr>
          <w:rFonts w:ascii="宋体" w:hAnsi="宋体"/>
          <w:kern w:val="44"/>
        </w:rPr>
      </w:pPr>
      <w:r>
        <w:rPr>
          <w:rFonts w:hint="eastAsia" w:ascii="宋体" w:hAnsi="宋体"/>
          <w:b/>
          <w:kern w:val="44"/>
        </w:rPr>
        <w:t>第十九条</w:t>
      </w:r>
      <w:r>
        <w:rPr>
          <w:rFonts w:hint="eastAsia" w:ascii="宋体" w:hAnsi="宋体"/>
          <w:kern w:val="44"/>
        </w:rPr>
        <w:t>　鼓励单位和个人对传统工艺美术开展理论研究和学术交流，收藏传统工艺美术珍品和建立传统工艺美术收藏展示场馆。</w:t>
      </w:r>
    </w:p>
    <w:p w14:paraId="34046F48">
      <w:pPr>
        <w:ind w:firstLine="422"/>
        <w:jc w:val="left"/>
        <w:rPr>
          <w:rFonts w:ascii="宋体" w:hAnsi="宋体"/>
          <w:kern w:val="44"/>
        </w:rPr>
      </w:pPr>
      <w:r>
        <w:rPr>
          <w:rFonts w:hint="eastAsia" w:ascii="宋体" w:hAnsi="宋体"/>
          <w:b/>
          <w:kern w:val="44"/>
        </w:rPr>
        <w:t>第二十条</w:t>
      </w:r>
      <w:r>
        <w:rPr>
          <w:rFonts w:hint="eastAsia" w:ascii="宋体" w:hAnsi="宋体"/>
          <w:kern w:val="44"/>
        </w:rPr>
        <w:t>　市政府有关部门和区、县人民政府应当在资金、信贷担保、进出口、信息、技术服务和人才等方面对拥有北京传统工艺美术品种、技艺的单位或者个人给予支持。</w:t>
      </w:r>
    </w:p>
    <w:p w14:paraId="6296FCE0">
      <w:pPr>
        <w:ind w:firstLine="422"/>
        <w:jc w:val="left"/>
        <w:rPr>
          <w:rFonts w:ascii="宋体" w:hAnsi="宋体"/>
          <w:kern w:val="44"/>
        </w:rPr>
      </w:pPr>
      <w:r>
        <w:rPr>
          <w:rFonts w:hint="eastAsia" w:ascii="宋体" w:hAnsi="宋体"/>
          <w:b/>
          <w:kern w:val="44"/>
        </w:rPr>
        <w:t>第二十一条</w:t>
      </w:r>
      <w:r>
        <w:rPr>
          <w:rFonts w:hint="eastAsia" w:ascii="宋体" w:hAnsi="宋体"/>
          <w:kern w:val="44"/>
        </w:rPr>
        <w:t>　本市建立传统工艺美术保护品种、技艺目录。被列入传统工艺美术保护品种、技艺目录的产品，纳入政府采购目录，政府予以优先采购。</w:t>
      </w:r>
    </w:p>
    <w:p w14:paraId="3C10DDAA">
      <w:pPr>
        <w:jc w:val="left"/>
        <w:rPr>
          <w:rFonts w:ascii="宋体" w:hAnsi="宋体"/>
          <w:kern w:val="44"/>
        </w:rPr>
      </w:pPr>
      <w:r>
        <w:rPr>
          <w:rFonts w:hint="eastAsia" w:ascii="宋体" w:hAnsi="宋体"/>
          <w:kern w:val="44"/>
        </w:rPr>
        <w:t>被评为北京工艺美术珍品的作品，政府优先收购；经评审委员会专家认定后政府列为收藏对象的珍品，不得出口。</w:t>
      </w:r>
    </w:p>
    <w:p w14:paraId="7D4119E6">
      <w:pPr>
        <w:ind w:firstLine="422"/>
        <w:jc w:val="left"/>
        <w:rPr>
          <w:rFonts w:ascii="宋体" w:hAnsi="宋体"/>
          <w:kern w:val="44"/>
        </w:rPr>
      </w:pPr>
      <w:r>
        <w:rPr>
          <w:rFonts w:hint="eastAsia" w:ascii="宋体" w:hAnsi="宋体"/>
          <w:b/>
          <w:kern w:val="44"/>
        </w:rPr>
        <w:t>第二十二条</w:t>
      </w:r>
      <w:r>
        <w:rPr>
          <w:rFonts w:hint="eastAsia" w:ascii="宋体" w:hAnsi="宋体"/>
          <w:kern w:val="44"/>
        </w:rPr>
        <w:t>　市政府有关部门和区、县人民政府应当采取措施，积极支持工艺美术协会、企业和工艺美术大师、民间工艺大师开展国内外交流活动，宣传民族文化，开拓国际市场。</w:t>
      </w:r>
    </w:p>
    <w:p w14:paraId="6368CE04">
      <w:pPr>
        <w:ind w:firstLine="422"/>
        <w:jc w:val="left"/>
        <w:rPr>
          <w:rFonts w:ascii="宋体" w:hAnsi="宋体"/>
          <w:kern w:val="44"/>
        </w:rPr>
      </w:pPr>
      <w:r>
        <w:rPr>
          <w:rFonts w:hint="eastAsia" w:ascii="宋体" w:hAnsi="宋体"/>
          <w:b/>
          <w:kern w:val="44"/>
        </w:rPr>
        <w:t>第二十三条</w:t>
      </w:r>
      <w:r>
        <w:rPr>
          <w:rFonts w:hint="eastAsia" w:ascii="宋体" w:hAnsi="宋体"/>
          <w:kern w:val="44"/>
        </w:rPr>
        <w:t>　工艺美术院校应当重视对传统工艺美术专业技术人才的培养。工艺美术大师和民间工艺大师可以直接从工艺美术院校在校生中择优带徒。</w:t>
      </w:r>
    </w:p>
    <w:p w14:paraId="79322D29">
      <w:pPr>
        <w:ind w:firstLine="422"/>
        <w:jc w:val="left"/>
        <w:rPr>
          <w:rFonts w:ascii="宋体" w:hAnsi="宋体"/>
          <w:kern w:val="44"/>
        </w:rPr>
      </w:pPr>
      <w:r>
        <w:rPr>
          <w:rFonts w:hint="eastAsia" w:ascii="宋体" w:hAnsi="宋体"/>
          <w:b/>
          <w:kern w:val="44"/>
        </w:rPr>
        <w:t>第二十四条</w:t>
      </w:r>
      <w:r>
        <w:rPr>
          <w:rFonts w:hint="eastAsia" w:ascii="宋体" w:hAnsi="宋体"/>
          <w:kern w:val="44"/>
        </w:rPr>
        <w:t>　传统工艺美术生产企业可以直接从外省市引进具有省级工艺美术大师以上称号的专业技术人才，有关部门应当给予支持，协助办理相关手续。</w:t>
      </w:r>
    </w:p>
    <w:p w14:paraId="3ED59ACD">
      <w:pPr>
        <w:jc w:val="left"/>
        <w:rPr>
          <w:rFonts w:ascii="宋体" w:hAnsi="宋体"/>
          <w:kern w:val="44"/>
        </w:rPr>
      </w:pPr>
      <w:r>
        <w:rPr>
          <w:rFonts w:hint="eastAsia" w:ascii="宋体" w:hAnsi="宋体"/>
          <w:kern w:val="44"/>
        </w:rPr>
        <w:t>外省市工艺美术人才来京创办企业或者建立个人工作室的，政府有关部门应当为其提供方便，做好服务工作。来京创办企业或者建立个人工作室的外省市工艺美术人才，符合条件的可以申请参加北京工艺美术大师、民间工艺大师的认定。</w:t>
      </w:r>
    </w:p>
    <w:p w14:paraId="33F86B35">
      <w:pPr>
        <w:ind w:firstLine="422"/>
        <w:jc w:val="left"/>
        <w:rPr>
          <w:rFonts w:ascii="宋体" w:hAnsi="宋体"/>
          <w:kern w:val="44"/>
        </w:rPr>
      </w:pPr>
      <w:r>
        <w:rPr>
          <w:rFonts w:hint="eastAsia" w:ascii="宋体" w:hAnsi="宋体"/>
          <w:b/>
          <w:kern w:val="44"/>
        </w:rPr>
        <w:t>第二十五条</w:t>
      </w:r>
      <w:r>
        <w:rPr>
          <w:rFonts w:hint="eastAsia" w:ascii="宋体" w:hAnsi="宋体"/>
          <w:kern w:val="44"/>
        </w:rPr>
        <w:t>　市政府有关部门和区、县人民政府应当对为传统工艺美术保护和发展工作做出突出贡献的单位和个人给予表彰和奖励。</w:t>
      </w:r>
    </w:p>
    <w:p w14:paraId="2158538F">
      <w:pPr>
        <w:ind w:firstLine="422"/>
        <w:jc w:val="left"/>
        <w:rPr>
          <w:rFonts w:ascii="宋体" w:hAnsi="宋体"/>
          <w:kern w:val="44"/>
        </w:rPr>
      </w:pPr>
      <w:r>
        <w:rPr>
          <w:rFonts w:hint="eastAsia" w:ascii="宋体" w:hAnsi="宋体"/>
          <w:b/>
          <w:kern w:val="44"/>
        </w:rPr>
        <w:t>第二十六条</w:t>
      </w:r>
      <w:r>
        <w:rPr>
          <w:rFonts w:hint="eastAsia" w:ascii="宋体" w:hAnsi="宋体"/>
          <w:kern w:val="44"/>
        </w:rPr>
        <w:t>　拥有北京传统工艺美术保护品种和技艺的生产单位和个人不履行保护职责的，由市经济主管部门责令限期改正；逾期不改的，责令停止使用北京传统工艺美术证标，并收回认定证书。</w:t>
      </w:r>
    </w:p>
    <w:p w14:paraId="187F7EA7">
      <w:pPr>
        <w:ind w:firstLine="422"/>
        <w:jc w:val="left"/>
        <w:rPr>
          <w:rFonts w:ascii="宋体" w:hAnsi="宋体"/>
          <w:kern w:val="44"/>
        </w:rPr>
      </w:pPr>
      <w:r>
        <w:rPr>
          <w:rFonts w:hint="eastAsia" w:ascii="宋体" w:hAnsi="宋体"/>
          <w:b/>
          <w:kern w:val="44"/>
        </w:rPr>
        <w:t>第二十七条</w:t>
      </w:r>
      <w:r>
        <w:rPr>
          <w:rFonts w:hint="eastAsia" w:ascii="宋体" w:hAnsi="宋体"/>
          <w:kern w:val="44"/>
        </w:rPr>
        <w:t>　违反本办法第十四条规定，伪造或者假冒使用北京传统工艺美术证标的，由市经济主管部门责令限期改正，并视情节轻重，对违反规定使用证标的单位处3万元以下罚款；对违反规定使用证标的个人处1000元以下罚款。</w:t>
      </w:r>
    </w:p>
    <w:p w14:paraId="54B142EE">
      <w:pPr>
        <w:ind w:firstLine="422"/>
        <w:jc w:val="left"/>
        <w:rPr>
          <w:rFonts w:ascii="宋体" w:hAnsi="宋体"/>
          <w:kern w:val="44"/>
        </w:rPr>
      </w:pPr>
      <w:r>
        <w:rPr>
          <w:rFonts w:hint="eastAsia" w:ascii="宋体" w:hAnsi="宋体"/>
          <w:b/>
          <w:kern w:val="44"/>
        </w:rPr>
        <w:t>第二十八条</w:t>
      </w:r>
      <w:r>
        <w:rPr>
          <w:rFonts w:hint="eastAsia" w:ascii="宋体" w:hAnsi="宋体"/>
          <w:kern w:val="44"/>
        </w:rPr>
        <w:t>　提供虚假材料骗取北京传统工艺美术品种、技艺或者工艺美术珍品证书的，由市经济主管部门收回认定证书，并处1000元以上1万元以下罚款。</w:t>
      </w:r>
    </w:p>
    <w:p w14:paraId="04BE1CCD">
      <w:pPr>
        <w:ind w:firstLine="422"/>
        <w:jc w:val="left"/>
        <w:rPr>
          <w:rFonts w:ascii="宋体" w:hAnsi="宋体"/>
          <w:kern w:val="44"/>
        </w:rPr>
      </w:pPr>
      <w:r>
        <w:rPr>
          <w:rFonts w:hint="eastAsia" w:ascii="宋体" w:hAnsi="宋体"/>
          <w:b/>
          <w:kern w:val="44"/>
        </w:rPr>
        <w:t>第二十九条</w:t>
      </w:r>
      <w:r>
        <w:rPr>
          <w:rFonts w:hint="eastAsia" w:ascii="宋体" w:hAnsi="宋体"/>
          <w:kern w:val="44"/>
        </w:rPr>
        <w:t>　对提供虚假证明材料骗取北京工艺美术大师、民间工艺大师资格的，由市经济主管部门取消其资格，收回资格证书，并处1000元罚款。</w:t>
      </w:r>
    </w:p>
    <w:p w14:paraId="03E74BF1">
      <w:pPr>
        <w:ind w:firstLine="422"/>
        <w:jc w:val="left"/>
        <w:rPr>
          <w:rFonts w:ascii="宋体" w:hAnsi="宋体"/>
          <w:kern w:val="44"/>
        </w:rPr>
      </w:pPr>
      <w:r>
        <w:rPr>
          <w:rFonts w:hint="eastAsia" w:ascii="宋体" w:hAnsi="宋体"/>
          <w:b/>
          <w:kern w:val="44"/>
        </w:rPr>
        <w:t>第三十条</w:t>
      </w:r>
      <w:r>
        <w:rPr>
          <w:rFonts w:hint="eastAsia" w:ascii="宋体" w:hAnsi="宋体"/>
          <w:kern w:val="44"/>
        </w:rPr>
        <w:t>　工艺美术大师、民间工艺大师违反本办法第十五条规定为他人创作的作品署名的，由市经济主管部门予以警告，责令改正。</w:t>
      </w:r>
    </w:p>
    <w:p w14:paraId="558B176B">
      <w:pPr>
        <w:ind w:firstLine="422"/>
        <w:jc w:val="left"/>
        <w:rPr>
          <w:rFonts w:ascii="宋体" w:hAnsi="宋体"/>
          <w:kern w:val="44"/>
        </w:rPr>
      </w:pPr>
      <w:r>
        <w:rPr>
          <w:rFonts w:hint="eastAsia" w:ascii="宋体" w:hAnsi="宋体"/>
          <w:b/>
          <w:kern w:val="44"/>
        </w:rPr>
        <w:t>第三十一条</w:t>
      </w:r>
      <w:r>
        <w:rPr>
          <w:rFonts w:hint="eastAsia" w:ascii="宋体" w:hAnsi="宋体"/>
          <w:kern w:val="44"/>
        </w:rPr>
        <w:t>　评审委员会成员滥用职权、徇私舞弊或者违反保密规定的，由市经济主管部门予以解聘，并由其所在单位或者上级主管部门给予行政处分。</w:t>
      </w:r>
    </w:p>
    <w:p w14:paraId="7BC84A19">
      <w:pPr>
        <w:ind w:firstLine="422"/>
        <w:jc w:val="left"/>
        <w:rPr>
          <w:rFonts w:ascii="宋体" w:hAnsi="宋体"/>
          <w:kern w:val="44"/>
        </w:rPr>
      </w:pPr>
      <w:r>
        <w:rPr>
          <w:rFonts w:hint="eastAsia" w:ascii="宋体" w:hAnsi="宋体"/>
          <w:b/>
          <w:kern w:val="44"/>
        </w:rPr>
        <w:t>第三十二条</w:t>
      </w:r>
      <w:r>
        <w:rPr>
          <w:rFonts w:hint="eastAsia" w:ascii="宋体" w:hAnsi="宋体"/>
          <w:kern w:val="44"/>
        </w:rPr>
        <w:t>　工艺美术协会和工艺美术大师、民间工艺大师对于本市的传统工艺美术保护和发展工作，可以向政府有关部门提出建议。有关部门在接到建议后，应当及时处理，并将处理结果答复建议人。</w:t>
      </w:r>
    </w:p>
    <w:p w14:paraId="22D8F2B6">
      <w:pPr>
        <w:ind w:firstLine="422"/>
        <w:jc w:val="left"/>
        <w:rPr>
          <w:rFonts w:ascii="宋体" w:hAnsi="宋体"/>
          <w:kern w:val="44"/>
        </w:rPr>
      </w:pPr>
      <w:r>
        <w:rPr>
          <w:rFonts w:hint="eastAsia" w:ascii="宋体" w:hAnsi="宋体"/>
          <w:b/>
          <w:kern w:val="44"/>
        </w:rPr>
        <w:t>第三十三条</w:t>
      </w:r>
      <w:r>
        <w:rPr>
          <w:rFonts w:hint="eastAsia" w:ascii="宋体" w:hAnsi="宋体"/>
          <w:kern w:val="44"/>
        </w:rPr>
        <w:t>　本办法自2002年9月10日起施行。</w:t>
      </w:r>
    </w:p>
    <w:p w14:paraId="182B9DFE">
      <w:pPr>
        <w:pStyle w:val="4"/>
        <w:pageBreakBefore/>
        <w:rPr>
          <w:kern w:val="44"/>
        </w:rPr>
      </w:pPr>
      <w:bookmarkStart w:id="1618" w:name="_Toc428781721"/>
      <w:bookmarkStart w:id="1619" w:name="_Toc422471422"/>
      <w:bookmarkStart w:id="1620" w:name="_Toc427652015"/>
      <w:bookmarkStart w:id="1621" w:name="_Toc427651673"/>
      <w:bookmarkStart w:id="1622" w:name="_Toc428780239"/>
      <w:r>
        <w:rPr>
          <w:rFonts w:hint="eastAsia"/>
          <w:kern w:val="44"/>
        </w:rPr>
        <w:t>北京市实施《地方志工作条例》办法</w:t>
      </w:r>
      <w:bookmarkEnd w:id="1618"/>
      <w:bookmarkEnd w:id="1619"/>
      <w:bookmarkEnd w:id="1620"/>
      <w:bookmarkEnd w:id="1621"/>
      <w:bookmarkEnd w:id="1622"/>
    </w:p>
    <w:p w14:paraId="19762489">
      <w:pPr>
        <w:ind w:left="630" w:leftChars="300" w:right="630" w:rightChars="300"/>
        <w:jc w:val="left"/>
        <w:rPr>
          <w:rFonts w:ascii="楷体" w:hAnsi="楷体" w:eastAsia="楷体"/>
          <w:kern w:val="44"/>
        </w:rPr>
      </w:pPr>
      <w:r>
        <w:rPr>
          <w:rFonts w:hint="eastAsia" w:ascii="楷体" w:hAnsi="楷体" w:eastAsia="楷体"/>
          <w:kern w:val="44"/>
        </w:rPr>
        <w:t>（2007年6月9日北京市人民政府第66次常务会议审议通过  2007年7月5日北京市人民政府第191号令公布）</w:t>
      </w:r>
    </w:p>
    <w:p w14:paraId="0B85B489">
      <w:pPr>
        <w:jc w:val="left"/>
        <w:rPr>
          <w:rFonts w:ascii="宋体" w:hAnsi="宋体"/>
          <w:kern w:val="44"/>
        </w:rPr>
      </w:pPr>
    </w:p>
    <w:p w14:paraId="4DAB427D">
      <w:pPr>
        <w:ind w:firstLine="422"/>
        <w:jc w:val="left"/>
        <w:rPr>
          <w:rFonts w:ascii="宋体" w:hAnsi="宋体"/>
          <w:kern w:val="44"/>
        </w:rPr>
      </w:pPr>
      <w:r>
        <w:rPr>
          <w:rFonts w:hint="eastAsia" w:ascii="宋体" w:hAnsi="宋体"/>
          <w:b/>
          <w:kern w:val="44"/>
        </w:rPr>
        <w:t>第一条</w:t>
      </w:r>
      <w:r>
        <w:rPr>
          <w:rFonts w:hint="eastAsia" w:ascii="宋体" w:hAnsi="宋体"/>
          <w:kern w:val="44"/>
        </w:rPr>
        <w:t>　为了实施《地方志工作条例》，结合本市实际情况，制定本办法。</w:t>
      </w:r>
    </w:p>
    <w:p w14:paraId="022199DE">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本市行政区域内地方志的组织编纂、管理、开发利用工作，适用《地方志工作条例》和本办法。</w:t>
      </w:r>
    </w:p>
    <w:p w14:paraId="7271CC7A">
      <w:pPr>
        <w:ind w:firstLine="422"/>
        <w:jc w:val="left"/>
        <w:rPr>
          <w:rFonts w:ascii="宋体" w:hAnsi="宋体"/>
          <w:kern w:val="44"/>
        </w:rPr>
      </w:pPr>
      <w:r>
        <w:rPr>
          <w:rFonts w:hint="eastAsia" w:ascii="宋体" w:hAnsi="宋体"/>
          <w:b/>
          <w:kern w:val="44"/>
        </w:rPr>
        <w:t>第三条</w:t>
      </w:r>
      <w:r>
        <w:rPr>
          <w:rFonts w:hint="eastAsia" w:ascii="宋体" w:hAnsi="宋体"/>
          <w:kern w:val="44"/>
        </w:rPr>
        <w:t>　本办法所称地方志，包括市和区、县编纂的地方志书、地方综合年鉴。</w:t>
      </w:r>
    </w:p>
    <w:p w14:paraId="2010A1E8">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市和区、县人民政府领导本行政区域的地方志工作，将地方志工作纳入国民经济和社会发展规划，地方志工作所需经费列入本级财政预算。</w:t>
      </w:r>
    </w:p>
    <w:p w14:paraId="017B618C">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市和区、县人民政府地方志工作机构主管本行政区域的地方志工作，履行下列职责：</w:t>
      </w:r>
    </w:p>
    <w:p w14:paraId="77C0DD7E">
      <w:pPr>
        <w:jc w:val="left"/>
        <w:rPr>
          <w:rFonts w:ascii="宋体" w:hAnsi="宋体"/>
          <w:kern w:val="44"/>
        </w:rPr>
      </w:pPr>
      <w:r>
        <w:rPr>
          <w:rFonts w:hint="eastAsia" w:ascii="宋体" w:hAnsi="宋体"/>
          <w:kern w:val="44"/>
        </w:rPr>
        <w:t>（一）组织、指导、督促和检查地方志工作；</w:t>
      </w:r>
    </w:p>
    <w:p w14:paraId="12EB14C3">
      <w:pPr>
        <w:jc w:val="left"/>
        <w:rPr>
          <w:rFonts w:ascii="宋体" w:hAnsi="宋体"/>
          <w:kern w:val="44"/>
        </w:rPr>
      </w:pPr>
      <w:r>
        <w:rPr>
          <w:rFonts w:hint="eastAsia" w:ascii="宋体" w:hAnsi="宋体"/>
          <w:kern w:val="44"/>
        </w:rPr>
        <w:t>（二）拟定地方志工作规划和编纂方案；</w:t>
      </w:r>
    </w:p>
    <w:p w14:paraId="204B9E0A">
      <w:pPr>
        <w:jc w:val="left"/>
        <w:rPr>
          <w:rFonts w:ascii="宋体" w:hAnsi="宋体"/>
          <w:kern w:val="44"/>
        </w:rPr>
      </w:pPr>
      <w:r>
        <w:rPr>
          <w:rFonts w:hint="eastAsia" w:ascii="宋体" w:hAnsi="宋体"/>
          <w:kern w:val="44"/>
        </w:rPr>
        <w:t>（三）组织编纂地方志书和地方综合年鉴；</w:t>
      </w:r>
    </w:p>
    <w:p w14:paraId="03F8D51B">
      <w:pPr>
        <w:jc w:val="left"/>
        <w:rPr>
          <w:rFonts w:ascii="宋体" w:hAnsi="宋体"/>
          <w:kern w:val="44"/>
        </w:rPr>
      </w:pPr>
      <w:r>
        <w:rPr>
          <w:rFonts w:hint="eastAsia" w:ascii="宋体" w:hAnsi="宋体"/>
          <w:kern w:val="44"/>
        </w:rPr>
        <w:t>（四）收集、整理、保存地方志文献和资料，组织整理旧志；</w:t>
      </w:r>
    </w:p>
    <w:p w14:paraId="119137AD">
      <w:pPr>
        <w:jc w:val="left"/>
        <w:rPr>
          <w:rFonts w:ascii="宋体" w:hAnsi="宋体"/>
          <w:kern w:val="44"/>
        </w:rPr>
      </w:pPr>
      <w:r>
        <w:rPr>
          <w:rFonts w:hint="eastAsia" w:ascii="宋体" w:hAnsi="宋体"/>
          <w:kern w:val="44"/>
        </w:rPr>
        <w:t>（五）组织开发利用地方志资源；</w:t>
      </w:r>
    </w:p>
    <w:p w14:paraId="79812463">
      <w:pPr>
        <w:jc w:val="left"/>
        <w:rPr>
          <w:rFonts w:ascii="宋体" w:hAnsi="宋体"/>
          <w:kern w:val="44"/>
        </w:rPr>
      </w:pPr>
      <w:r>
        <w:rPr>
          <w:rFonts w:hint="eastAsia" w:ascii="宋体" w:hAnsi="宋体"/>
          <w:kern w:val="44"/>
        </w:rPr>
        <w:t>（六）推动地方志理论研究和学术交流，组织开展业务培训。</w:t>
      </w:r>
    </w:p>
    <w:p w14:paraId="49677998">
      <w:pPr>
        <w:ind w:firstLine="422"/>
        <w:jc w:val="left"/>
        <w:rPr>
          <w:rFonts w:ascii="宋体" w:hAnsi="宋体"/>
          <w:kern w:val="44"/>
        </w:rPr>
      </w:pPr>
      <w:r>
        <w:rPr>
          <w:rFonts w:hint="eastAsia" w:ascii="宋体" w:hAnsi="宋体"/>
          <w:b/>
          <w:kern w:val="44"/>
        </w:rPr>
        <w:t>第六条</w:t>
      </w:r>
      <w:r>
        <w:rPr>
          <w:rFonts w:hint="eastAsia" w:ascii="宋体" w:hAnsi="宋体"/>
          <w:kern w:val="44"/>
        </w:rPr>
        <w:t>　市和区、县人民政府制定本行政区域地方志工作规划和编纂方案。区、县地方志工作规划和编纂方案报市人民政府地方志工作机构备案。</w:t>
      </w:r>
    </w:p>
    <w:p w14:paraId="5FF3EC9B">
      <w:pPr>
        <w:ind w:firstLine="422"/>
        <w:jc w:val="left"/>
        <w:rPr>
          <w:rFonts w:ascii="宋体" w:hAnsi="宋体"/>
          <w:kern w:val="44"/>
        </w:rPr>
      </w:pPr>
      <w:r>
        <w:rPr>
          <w:rFonts w:hint="eastAsia" w:ascii="宋体" w:hAnsi="宋体"/>
          <w:b/>
          <w:kern w:val="44"/>
        </w:rPr>
        <w:t>第七条</w:t>
      </w:r>
      <w:r>
        <w:rPr>
          <w:rFonts w:hint="eastAsia" w:ascii="宋体" w:hAnsi="宋体"/>
          <w:kern w:val="44"/>
        </w:rPr>
        <w:t>　以市和区、县行政区域名称冠名的地方志书、地方综合年鉴，分别由本级人民政府地方志工作机构组织编纂，其他组织和个人不得编纂。</w:t>
      </w:r>
    </w:p>
    <w:p w14:paraId="4738F1A1">
      <w:pPr>
        <w:ind w:firstLine="422"/>
        <w:jc w:val="left"/>
        <w:rPr>
          <w:rFonts w:ascii="宋体" w:hAnsi="宋体"/>
          <w:kern w:val="44"/>
        </w:rPr>
      </w:pPr>
      <w:r>
        <w:rPr>
          <w:rFonts w:hint="eastAsia" w:ascii="宋体" w:hAnsi="宋体"/>
          <w:b/>
          <w:kern w:val="44"/>
        </w:rPr>
        <w:t>第八条</w:t>
      </w:r>
      <w:r>
        <w:rPr>
          <w:rFonts w:hint="eastAsia" w:ascii="宋体" w:hAnsi="宋体"/>
          <w:kern w:val="44"/>
        </w:rPr>
        <w:t>　按照地方志工作规划和编纂方案承担地方志编纂任务的单位（以下简称承编单位），应当明确具体承担地方志编纂工作的机构和人员，保障经费和办公条件，按时完成编纂任务。</w:t>
      </w:r>
    </w:p>
    <w:p w14:paraId="43B63F58">
      <w:pPr>
        <w:ind w:firstLine="422"/>
        <w:jc w:val="left"/>
        <w:rPr>
          <w:rFonts w:ascii="宋体" w:hAnsi="宋体"/>
          <w:kern w:val="44"/>
        </w:rPr>
      </w:pPr>
      <w:r>
        <w:rPr>
          <w:rFonts w:hint="eastAsia" w:ascii="宋体" w:hAnsi="宋体"/>
          <w:b/>
          <w:kern w:val="44"/>
        </w:rPr>
        <w:t>第九条</w:t>
      </w:r>
      <w:r>
        <w:rPr>
          <w:rFonts w:hint="eastAsia" w:ascii="宋体" w:hAnsi="宋体"/>
          <w:kern w:val="44"/>
        </w:rPr>
        <w:t>　市和区、县人民政府地方志工作机构以及承编单位应当建立地方志资料征集制度，通过查阅、摘抄、复制、购买等方式收集地方志资料，有关单位和个人应当提供支持。涉及国家机密、商业秘密和个人隐私以及不符合档案开放条件的，按照国家和本市有关规定办理。</w:t>
      </w:r>
    </w:p>
    <w:p w14:paraId="79C8419A">
      <w:pPr>
        <w:jc w:val="left"/>
        <w:rPr>
          <w:rFonts w:ascii="宋体" w:hAnsi="宋体"/>
          <w:kern w:val="44"/>
        </w:rPr>
      </w:pPr>
      <w:r>
        <w:rPr>
          <w:rFonts w:hint="eastAsia" w:ascii="宋体" w:hAnsi="宋体"/>
          <w:kern w:val="44"/>
        </w:rPr>
        <w:t>地方志资料所有人或者持有人提供有关资料，可以获得适当报酬。地方志资料所有人或者持有人不得故意提供虚假资料。</w:t>
      </w:r>
    </w:p>
    <w:p w14:paraId="4C2B1EF1">
      <w:pPr>
        <w:ind w:firstLine="422"/>
        <w:jc w:val="left"/>
        <w:rPr>
          <w:rFonts w:ascii="宋体" w:hAnsi="宋体"/>
          <w:kern w:val="44"/>
        </w:rPr>
      </w:pPr>
      <w:r>
        <w:rPr>
          <w:rFonts w:hint="eastAsia" w:ascii="宋体" w:hAnsi="宋体"/>
          <w:b/>
          <w:kern w:val="44"/>
        </w:rPr>
        <w:t>第十条</w:t>
      </w:r>
      <w:r>
        <w:rPr>
          <w:rFonts w:hint="eastAsia" w:ascii="宋体" w:hAnsi="宋体"/>
          <w:kern w:val="44"/>
        </w:rPr>
        <w:t>　以市和区、县行政区域名称冠名、列入规划的地方志书，由市人民政府地方志工作机构组织有关专家依法进行全面审查，出具审查验收报告；审查验收合格的，方可以公开出版。</w:t>
      </w:r>
    </w:p>
    <w:p w14:paraId="75EA5E8E">
      <w:pPr>
        <w:ind w:firstLine="422"/>
        <w:jc w:val="left"/>
        <w:rPr>
          <w:rFonts w:ascii="宋体" w:hAnsi="宋体"/>
          <w:kern w:val="44"/>
        </w:rPr>
      </w:pPr>
      <w:r>
        <w:rPr>
          <w:rFonts w:hint="eastAsia" w:ascii="宋体" w:hAnsi="宋体"/>
          <w:b/>
          <w:kern w:val="44"/>
        </w:rPr>
        <w:t>第十一条</w:t>
      </w:r>
      <w:r>
        <w:rPr>
          <w:rFonts w:hint="eastAsia" w:ascii="宋体" w:hAnsi="宋体"/>
          <w:kern w:val="44"/>
        </w:rPr>
        <w:t>　市综合年鉴经市人民政府地方志工作机构批准，方可以公开出版；区、县综合年鉴经区、县人民政府批准，方可以公开出版。</w:t>
      </w:r>
    </w:p>
    <w:p w14:paraId="23777089">
      <w:pPr>
        <w:ind w:firstLine="422"/>
        <w:jc w:val="left"/>
        <w:rPr>
          <w:rFonts w:ascii="宋体" w:hAnsi="宋体"/>
          <w:kern w:val="44"/>
        </w:rPr>
      </w:pPr>
      <w:r>
        <w:rPr>
          <w:rFonts w:hint="eastAsia" w:ascii="宋体" w:hAnsi="宋体"/>
          <w:b/>
          <w:kern w:val="44"/>
        </w:rPr>
        <w:t>第十二条</w:t>
      </w:r>
      <w:r>
        <w:rPr>
          <w:rFonts w:hint="eastAsia" w:ascii="宋体" w:hAnsi="宋体"/>
          <w:kern w:val="44"/>
        </w:rPr>
        <w:t>　已通过审查验收的地方志书和经批准的地方综合年鉴，未经原审查验收或者批准的机关同意不得擅自修改。</w:t>
      </w:r>
    </w:p>
    <w:p w14:paraId="7C712ED5">
      <w:pPr>
        <w:ind w:firstLine="422"/>
        <w:jc w:val="left"/>
        <w:rPr>
          <w:rFonts w:ascii="宋体" w:hAnsi="宋体"/>
          <w:kern w:val="44"/>
        </w:rPr>
      </w:pPr>
      <w:r>
        <w:rPr>
          <w:rFonts w:hint="eastAsia" w:ascii="宋体" w:hAnsi="宋体"/>
          <w:b/>
          <w:kern w:val="44"/>
        </w:rPr>
        <w:t>第十三条</w:t>
      </w:r>
      <w:r>
        <w:rPr>
          <w:rFonts w:hint="eastAsia" w:ascii="宋体" w:hAnsi="宋体"/>
          <w:kern w:val="44"/>
        </w:rPr>
        <w:t>　市和区、县人民政府地方志工作机构集中统一管理地方志资料和地方志文稿；承编单位应当指定专人妥善保存在地方志编纂过程中收集到的地方志资料以及形成的地方志文稿，不得损毁；编纂工作完成后，依法及时移交本级国家档案馆或者方志馆保存、管理，个人不得据为己有或者出租、出让、转借。</w:t>
      </w:r>
    </w:p>
    <w:p w14:paraId="74E27C98">
      <w:pPr>
        <w:ind w:firstLine="422"/>
        <w:jc w:val="left"/>
        <w:rPr>
          <w:rFonts w:ascii="宋体" w:hAnsi="宋体"/>
          <w:kern w:val="44"/>
        </w:rPr>
      </w:pPr>
      <w:r>
        <w:rPr>
          <w:rFonts w:hint="eastAsia" w:ascii="宋体" w:hAnsi="宋体"/>
          <w:b/>
          <w:kern w:val="44"/>
        </w:rPr>
        <w:t>第十四条</w:t>
      </w:r>
      <w:r>
        <w:rPr>
          <w:rFonts w:hint="eastAsia" w:ascii="宋体" w:hAnsi="宋体"/>
          <w:kern w:val="44"/>
        </w:rPr>
        <w:t>　市和区、县人民政府地方志工作机构应当积极开拓社会用志途径，可以通过网站、地情资料库等方式，加强地方志工作的信息化建设，为经济社会全面发展服务。</w:t>
      </w:r>
    </w:p>
    <w:p w14:paraId="5E712012">
      <w:pPr>
        <w:ind w:firstLine="422"/>
        <w:jc w:val="left"/>
        <w:rPr>
          <w:rFonts w:ascii="宋体" w:hAnsi="宋体"/>
          <w:kern w:val="44"/>
        </w:rPr>
      </w:pPr>
      <w:r>
        <w:rPr>
          <w:rFonts w:hint="eastAsia" w:ascii="宋体" w:hAnsi="宋体"/>
          <w:b/>
          <w:kern w:val="44"/>
        </w:rPr>
        <w:t>第十五条</w:t>
      </w:r>
      <w:r>
        <w:rPr>
          <w:rFonts w:hint="eastAsia" w:ascii="宋体" w:hAnsi="宋体"/>
          <w:kern w:val="44"/>
        </w:rPr>
        <w:t>　公民、法人和其他组织可以通过查询、阅览、摘抄等方式利用方志馆收藏、展示的地方志文献和资料。</w:t>
      </w:r>
    </w:p>
    <w:p w14:paraId="0D693B29">
      <w:pPr>
        <w:jc w:val="left"/>
        <w:rPr>
          <w:rFonts w:ascii="宋体" w:hAnsi="宋体"/>
          <w:kern w:val="44"/>
        </w:rPr>
      </w:pPr>
      <w:r>
        <w:rPr>
          <w:rFonts w:hint="eastAsia" w:ascii="宋体" w:hAnsi="宋体"/>
          <w:kern w:val="44"/>
        </w:rPr>
        <w:t>方志馆应当将服务范围、开放时间等服务事项进行公示。</w:t>
      </w:r>
    </w:p>
    <w:p w14:paraId="619D7190">
      <w:pPr>
        <w:jc w:val="left"/>
        <w:rPr>
          <w:rFonts w:ascii="宋体" w:hAnsi="宋体"/>
          <w:kern w:val="44"/>
        </w:rPr>
      </w:pPr>
      <w:r>
        <w:rPr>
          <w:rFonts w:hint="eastAsia" w:ascii="宋体" w:hAnsi="宋体"/>
          <w:kern w:val="44"/>
        </w:rPr>
        <w:t>鼓励单位和个人向方志馆捐赠地方志资料。</w:t>
      </w:r>
    </w:p>
    <w:p w14:paraId="119518BF">
      <w:pPr>
        <w:ind w:firstLine="422"/>
        <w:jc w:val="left"/>
        <w:rPr>
          <w:rFonts w:ascii="宋体" w:hAnsi="宋体"/>
          <w:kern w:val="44"/>
        </w:rPr>
      </w:pPr>
      <w:r>
        <w:rPr>
          <w:rFonts w:hint="eastAsia" w:ascii="宋体" w:hAnsi="宋体"/>
          <w:b/>
          <w:kern w:val="44"/>
        </w:rPr>
        <w:t>第十六条</w:t>
      </w:r>
      <w:r>
        <w:rPr>
          <w:rFonts w:hint="eastAsia" w:ascii="宋体" w:hAnsi="宋体"/>
          <w:kern w:val="44"/>
        </w:rPr>
        <w:t>　对违反本办法第八条规定，未按工作规划和编纂方案完成编纂任务的，或者违反本办法第九条规定，有关单位拒绝提供资料或者故意提供虚假资料的，由市或者区、县人民政府地方志工作机构责令限期改正；逾期不改的，由市或者区、县人民政府地方志工作机构提请有关行政主管部门依法对直接责任人给予行政处分。</w:t>
      </w:r>
    </w:p>
    <w:p w14:paraId="74A732FA">
      <w:pPr>
        <w:ind w:firstLine="422"/>
        <w:jc w:val="left"/>
        <w:rPr>
          <w:rFonts w:ascii="宋体" w:hAnsi="宋体"/>
          <w:kern w:val="44"/>
        </w:rPr>
      </w:pPr>
      <w:r>
        <w:rPr>
          <w:rFonts w:hint="eastAsia" w:ascii="宋体" w:hAnsi="宋体"/>
          <w:b/>
          <w:kern w:val="44"/>
        </w:rPr>
        <w:t>第十七条</w:t>
      </w:r>
      <w:r>
        <w:rPr>
          <w:rFonts w:hint="eastAsia" w:ascii="宋体" w:hAnsi="宋体"/>
          <w:kern w:val="44"/>
        </w:rPr>
        <w:t>　部门志、行业志、乡镇志、街道志的编纂，可以参照本办法执行。编纂方案报市或者区、县人民政府地方志工作机构备案的，市或者区、县人民政府地方志工作机构应当提供必要的指导、服务。</w:t>
      </w:r>
    </w:p>
    <w:p w14:paraId="3F24326E">
      <w:pPr>
        <w:ind w:firstLine="422"/>
        <w:jc w:val="left"/>
        <w:rPr>
          <w:rFonts w:ascii="宋体" w:hAnsi="宋体"/>
          <w:kern w:val="44"/>
        </w:rPr>
      </w:pPr>
      <w:r>
        <w:rPr>
          <w:rFonts w:hint="eastAsia" w:ascii="宋体" w:hAnsi="宋体"/>
          <w:b/>
          <w:kern w:val="44"/>
        </w:rPr>
        <w:t>第十八条</w:t>
      </w:r>
      <w:r>
        <w:rPr>
          <w:rFonts w:hint="eastAsia" w:ascii="宋体" w:hAnsi="宋体"/>
          <w:kern w:val="44"/>
        </w:rPr>
        <w:t>　本办法自2007年9月1日起施行。</w:t>
      </w:r>
    </w:p>
    <w:p w14:paraId="2C3D522D">
      <w:pPr>
        <w:pStyle w:val="4"/>
        <w:pageBreakBefore/>
        <w:rPr>
          <w:kern w:val="44"/>
        </w:rPr>
      </w:pPr>
      <w:bookmarkStart w:id="1623" w:name="_Toc422471423"/>
      <w:bookmarkStart w:id="1624" w:name="_Toc428781722"/>
      <w:bookmarkStart w:id="1625" w:name="_Toc428780240"/>
      <w:bookmarkStart w:id="1626" w:name="_Toc427652016"/>
      <w:bookmarkStart w:id="1627" w:name="_Toc427651674"/>
      <w:r>
        <w:rPr>
          <w:rFonts w:hint="eastAsia"/>
          <w:kern w:val="44"/>
        </w:rPr>
        <w:t>北京市文化市场综合</w:t>
      </w:r>
      <w:bookmarkEnd w:id="1623"/>
      <w:bookmarkStart w:id="1628" w:name="_Toc422471424"/>
      <w:r>
        <w:rPr>
          <w:rFonts w:hint="eastAsia"/>
          <w:kern w:val="44"/>
        </w:rPr>
        <w:t>行政执法办法</w:t>
      </w:r>
      <w:bookmarkEnd w:id="1624"/>
      <w:bookmarkEnd w:id="1625"/>
      <w:bookmarkEnd w:id="1626"/>
      <w:bookmarkEnd w:id="1627"/>
      <w:bookmarkEnd w:id="1628"/>
    </w:p>
    <w:p w14:paraId="16545446">
      <w:pPr>
        <w:ind w:left="630" w:leftChars="300" w:right="630" w:rightChars="300"/>
        <w:jc w:val="left"/>
        <w:rPr>
          <w:rFonts w:ascii="楷体" w:hAnsi="楷体" w:eastAsia="楷体"/>
          <w:kern w:val="44"/>
        </w:rPr>
      </w:pPr>
      <w:r>
        <w:rPr>
          <w:rFonts w:hint="eastAsia" w:ascii="楷体" w:hAnsi="楷体" w:eastAsia="楷体"/>
          <w:kern w:val="44"/>
        </w:rPr>
        <w:t>（2011年10月11日北京市人民政府第105次常务会议审议通过　2011年10月26日北京市人民政府第241号令公布）</w:t>
      </w:r>
    </w:p>
    <w:p w14:paraId="2F95018A">
      <w:pPr>
        <w:jc w:val="left"/>
        <w:rPr>
          <w:rFonts w:ascii="宋体" w:hAnsi="宋体"/>
          <w:kern w:val="44"/>
        </w:rPr>
      </w:pPr>
    </w:p>
    <w:p w14:paraId="658D1B77">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为了规范文化市场综合行政执法工作，促进依法行政，维护公民、法人和其他组织的合法权益，根据《中华人民共和国行政处罚法》和其他有关法律、法规，结合本市实际情况，制定本办法。</w:t>
      </w:r>
    </w:p>
    <w:p w14:paraId="6B691C03">
      <w:pPr>
        <w:ind w:firstLine="422"/>
        <w:jc w:val="left"/>
        <w:rPr>
          <w:rFonts w:ascii="宋体" w:hAnsi="宋体"/>
          <w:kern w:val="44"/>
        </w:rPr>
      </w:pPr>
      <w:r>
        <w:rPr>
          <w:rFonts w:hint="eastAsia" w:ascii="宋体" w:hAnsi="宋体"/>
          <w:b/>
          <w:kern w:val="44"/>
        </w:rPr>
        <w:t>第二条</w:t>
      </w:r>
      <w:r>
        <w:rPr>
          <w:rFonts w:hint="eastAsia" w:ascii="宋体" w:hAnsi="宋体"/>
          <w:kern w:val="44"/>
        </w:rPr>
        <w:t>　市文化市场综合行政执法部门负责本市文化市场综合行政执法工作的统筹、规划、组织、协调，监督指导区、县文化市场综合行政执法工作，并依照《中华人民共和国行政处罚法》相对集中行政处罚权的规定和本办法履行查处文化市场违法行为的职责。</w:t>
      </w:r>
    </w:p>
    <w:p w14:paraId="0F9A95BD">
      <w:pPr>
        <w:jc w:val="left"/>
        <w:rPr>
          <w:rFonts w:ascii="宋体" w:hAnsi="宋体"/>
          <w:kern w:val="44"/>
        </w:rPr>
      </w:pPr>
      <w:r>
        <w:rPr>
          <w:rFonts w:hint="eastAsia" w:ascii="宋体" w:hAnsi="宋体"/>
          <w:kern w:val="44"/>
        </w:rPr>
        <w:t>区、县文化行政管理部门依据法律、法规、规章和本办法的规定负责本行政区域内文化市场综合行政执法工作。</w:t>
      </w:r>
    </w:p>
    <w:p w14:paraId="271F08D5">
      <w:pPr>
        <w:jc w:val="left"/>
        <w:rPr>
          <w:rFonts w:ascii="宋体" w:hAnsi="宋体"/>
          <w:kern w:val="44"/>
        </w:rPr>
      </w:pPr>
      <w:r>
        <w:rPr>
          <w:rFonts w:hint="eastAsia" w:ascii="宋体" w:hAnsi="宋体"/>
          <w:kern w:val="44"/>
        </w:rPr>
        <w:t>公安、工商行政管理、通信管理、城市管理等行政部门应当按照各自职责做好文化市场相关执法工作。</w:t>
      </w:r>
    </w:p>
    <w:p w14:paraId="5153E80C">
      <w:pPr>
        <w:ind w:firstLine="422"/>
        <w:jc w:val="left"/>
        <w:rPr>
          <w:rFonts w:ascii="宋体" w:hAnsi="宋体"/>
          <w:kern w:val="44"/>
        </w:rPr>
      </w:pPr>
      <w:r>
        <w:rPr>
          <w:rFonts w:hint="eastAsia" w:ascii="宋体" w:hAnsi="宋体"/>
          <w:b/>
          <w:kern w:val="44"/>
        </w:rPr>
        <w:t>第三条</w:t>
      </w:r>
      <w:r>
        <w:rPr>
          <w:rFonts w:hint="eastAsia" w:ascii="宋体" w:hAnsi="宋体"/>
          <w:kern w:val="44"/>
        </w:rPr>
        <w:t>　市文化市场综合行政执法部门和区、县文化行政管理部门（以下统称文化市场综合执法部门）行使下列行政处罚权：</w:t>
      </w:r>
    </w:p>
    <w:p w14:paraId="23E3F288">
      <w:pPr>
        <w:jc w:val="left"/>
        <w:rPr>
          <w:rFonts w:ascii="宋体" w:hAnsi="宋体"/>
          <w:kern w:val="44"/>
        </w:rPr>
      </w:pPr>
      <w:r>
        <w:rPr>
          <w:rFonts w:hint="eastAsia" w:ascii="宋体" w:hAnsi="宋体"/>
          <w:kern w:val="44"/>
        </w:rPr>
        <w:t>（一）娱乐场所、营业性演出、互联网上网服务营业场所、互联网文化、网络游戏等文化行政管理领域的行政处罚权；</w:t>
      </w:r>
    </w:p>
    <w:p w14:paraId="7441CB86">
      <w:pPr>
        <w:jc w:val="left"/>
        <w:rPr>
          <w:rFonts w:ascii="宋体" w:hAnsi="宋体"/>
          <w:kern w:val="44"/>
        </w:rPr>
      </w:pPr>
      <w:r>
        <w:rPr>
          <w:rFonts w:hint="eastAsia" w:ascii="宋体" w:hAnsi="宋体"/>
          <w:kern w:val="44"/>
        </w:rPr>
        <w:t>（二）著作权、出版、印刷、音像制品、互联网出版等新闻出版（版权）行政管理领域的行政处罚权；</w:t>
      </w:r>
    </w:p>
    <w:p w14:paraId="128D8611">
      <w:pPr>
        <w:jc w:val="left"/>
        <w:rPr>
          <w:rFonts w:ascii="宋体" w:hAnsi="宋体"/>
          <w:kern w:val="44"/>
        </w:rPr>
      </w:pPr>
      <w:r>
        <w:rPr>
          <w:rFonts w:hint="eastAsia" w:ascii="宋体" w:hAnsi="宋体"/>
          <w:kern w:val="44"/>
        </w:rPr>
        <w:t>（三）电影、广播电视、互联网视听节目、卫星地面接收设施等广播电影电视行政管理领域的行政处罚权；</w:t>
      </w:r>
    </w:p>
    <w:p w14:paraId="3B46021C">
      <w:pPr>
        <w:jc w:val="left"/>
        <w:rPr>
          <w:rFonts w:ascii="宋体" w:hAnsi="宋体"/>
          <w:kern w:val="44"/>
        </w:rPr>
      </w:pPr>
      <w:r>
        <w:rPr>
          <w:rFonts w:hint="eastAsia" w:ascii="宋体" w:hAnsi="宋体"/>
          <w:kern w:val="44"/>
        </w:rPr>
        <w:t>（四）违法购销文物等文物行政管理领域的行政处罚权；</w:t>
      </w:r>
    </w:p>
    <w:p w14:paraId="483334CB">
      <w:pPr>
        <w:jc w:val="left"/>
        <w:rPr>
          <w:rFonts w:ascii="宋体" w:hAnsi="宋体"/>
          <w:kern w:val="44"/>
        </w:rPr>
      </w:pPr>
      <w:r>
        <w:rPr>
          <w:rFonts w:hint="eastAsia" w:ascii="宋体" w:hAnsi="宋体"/>
          <w:kern w:val="44"/>
        </w:rPr>
        <w:t>（五）市人民政府决定由文化市场综合执法部门行使的其他行政处罚权。</w:t>
      </w:r>
    </w:p>
    <w:p w14:paraId="04B83AA9">
      <w:pPr>
        <w:ind w:firstLine="422"/>
        <w:jc w:val="left"/>
        <w:rPr>
          <w:rFonts w:ascii="宋体" w:hAnsi="宋体"/>
          <w:kern w:val="44"/>
        </w:rPr>
      </w:pPr>
      <w:r>
        <w:rPr>
          <w:rFonts w:hint="eastAsia" w:ascii="宋体" w:hAnsi="宋体"/>
          <w:b/>
          <w:kern w:val="44"/>
        </w:rPr>
        <w:t>第四条</w:t>
      </w:r>
      <w:r>
        <w:rPr>
          <w:rFonts w:hint="eastAsia" w:ascii="宋体" w:hAnsi="宋体"/>
          <w:kern w:val="44"/>
        </w:rPr>
        <w:t>　市文化市场综合行政执法部门负责依法应当由本部门实施的行政处罚事项，对社会造成或者可能造成重大影响的行政处罚事项及其他应当由本部门实施的行政处罚事项。</w:t>
      </w:r>
    </w:p>
    <w:p w14:paraId="4EE5DD48">
      <w:pPr>
        <w:jc w:val="left"/>
        <w:rPr>
          <w:rFonts w:ascii="宋体" w:hAnsi="宋体"/>
          <w:kern w:val="44"/>
        </w:rPr>
      </w:pPr>
      <w:r>
        <w:rPr>
          <w:rFonts w:hint="eastAsia" w:ascii="宋体" w:hAnsi="宋体"/>
          <w:kern w:val="44"/>
        </w:rPr>
        <w:t>文化市场综合执法部门应当根据法律、法规、规章的规定，按照管理重心下移的原则合理划分市和区、县职责范围，明确各自负责的行政处罚事项，并向社会公布。</w:t>
      </w:r>
    </w:p>
    <w:p w14:paraId="20A8D411">
      <w:pPr>
        <w:ind w:firstLine="422"/>
        <w:jc w:val="left"/>
        <w:rPr>
          <w:rFonts w:ascii="宋体" w:hAnsi="宋体"/>
          <w:kern w:val="44"/>
        </w:rPr>
      </w:pPr>
      <w:r>
        <w:rPr>
          <w:rFonts w:hint="eastAsia" w:ascii="宋体" w:hAnsi="宋体"/>
          <w:b/>
          <w:kern w:val="44"/>
        </w:rPr>
        <w:t>第五条</w:t>
      </w:r>
      <w:r>
        <w:rPr>
          <w:rFonts w:hint="eastAsia" w:ascii="宋体" w:hAnsi="宋体"/>
          <w:kern w:val="44"/>
        </w:rPr>
        <w:t>　文化市场综合执法部门职权范围的确定和调整，由市人民政府根据文化市场管理的需要，按照精简、统一、效能和权责一致的原则决定。确定由市文化市场综合行政执法部门行使的职权，市文化、广播电影电视、新闻出版（版权）、文物等原职能部门不再行使。</w:t>
      </w:r>
    </w:p>
    <w:p w14:paraId="6DDEC604">
      <w:pPr>
        <w:jc w:val="left"/>
        <w:rPr>
          <w:rFonts w:ascii="宋体" w:hAnsi="宋体"/>
          <w:kern w:val="44"/>
        </w:rPr>
      </w:pPr>
      <w:r>
        <w:rPr>
          <w:rFonts w:hint="eastAsia" w:ascii="宋体" w:hAnsi="宋体"/>
          <w:kern w:val="44"/>
        </w:rPr>
        <w:t>市文化、广播电影电视、新闻出版（版权）、文物等行政部门依照有关法律、法规、规章和本办法的规定做好文化市场管理工作。</w:t>
      </w:r>
    </w:p>
    <w:p w14:paraId="61B39FB7">
      <w:pPr>
        <w:ind w:firstLine="422"/>
        <w:jc w:val="left"/>
        <w:rPr>
          <w:rFonts w:ascii="宋体" w:hAnsi="宋体"/>
          <w:kern w:val="44"/>
        </w:rPr>
      </w:pPr>
      <w:r>
        <w:rPr>
          <w:rFonts w:hint="eastAsia" w:ascii="宋体" w:hAnsi="宋体"/>
          <w:b/>
          <w:kern w:val="44"/>
        </w:rPr>
        <w:t>第六条</w:t>
      </w:r>
      <w:r>
        <w:rPr>
          <w:rFonts w:hint="eastAsia" w:ascii="宋体" w:hAnsi="宋体"/>
          <w:kern w:val="44"/>
        </w:rPr>
        <w:t>　文化市场综合执法部门在行使有关行政处罚权时，可以实施法律、法规规定的与行政处罚权有关的行政强制措施。</w:t>
      </w:r>
    </w:p>
    <w:p w14:paraId="411D5F75">
      <w:pPr>
        <w:ind w:firstLine="422"/>
        <w:jc w:val="left"/>
        <w:rPr>
          <w:rFonts w:ascii="宋体" w:hAnsi="宋体"/>
          <w:kern w:val="44"/>
        </w:rPr>
      </w:pPr>
      <w:r>
        <w:rPr>
          <w:rFonts w:hint="eastAsia" w:ascii="宋体" w:hAnsi="宋体"/>
          <w:b/>
          <w:kern w:val="44"/>
        </w:rPr>
        <w:t>第七条</w:t>
      </w:r>
      <w:r>
        <w:rPr>
          <w:rFonts w:hint="eastAsia" w:ascii="宋体" w:hAnsi="宋体"/>
          <w:kern w:val="44"/>
        </w:rPr>
        <w:t>　公民、法人或者其他组织违反文化市场管理规定，按照权限范围应当由文化市场综合执法部门予以行政处罚的，由违法行为发生地的区、县文化行政管理部门管辖。两个以上区、县文化行政管理部门都有权管辖的，由首先发现违法行为的区、县文化行政管理部门处罚；对管辖权有争议的，由市文化市场综合行政执法部门指定管辖。</w:t>
      </w:r>
    </w:p>
    <w:p w14:paraId="255CA2BB">
      <w:pPr>
        <w:ind w:firstLine="422"/>
        <w:jc w:val="left"/>
        <w:rPr>
          <w:rFonts w:ascii="宋体" w:hAnsi="宋体"/>
          <w:kern w:val="44"/>
        </w:rPr>
      </w:pPr>
      <w:r>
        <w:rPr>
          <w:rFonts w:hint="eastAsia" w:ascii="宋体" w:hAnsi="宋体"/>
          <w:b/>
          <w:kern w:val="44"/>
        </w:rPr>
        <w:t>第八条</w:t>
      </w:r>
      <w:r>
        <w:rPr>
          <w:rFonts w:hint="eastAsia" w:ascii="宋体" w:hAnsi="宋体"/>
          <w:kern w:val="44"/>
        </w:rPr>
        <w:t>　文化市场综合执法部门及其执法人员应当坚持公正、文明执法，坚持处罚与教育相结合，教育公民、法人或者其他组织自觉守法。</w:t>
      </w:r>
    </w:p>
    <w:p w14:paraId="3A8695C0">
      <w:pPr>
        <w:jc w:val="left"/>
        <w:rPr>
          <w:rFonts w:ascii="宋体" w:hAnsi="宋体"/>
          <w:kern w:val="44"/>
        </w:rPr>
      </w:pPr>
      <w:r>
        <w:rPr>
          <w:rFonts w:hint="eastAsia" w:ascii="宋体" w:hAnsi="宋体"/>
          <w:kern w:val="44"/>
        </w:rPr>
        <w:t>文化市场综合执法部门作出行政处罚决定应当以事实为根据，与违法行为的事实、性质、情节及社会危害程度相当。违法行为轻微且当事人及时改正，没有造成危害后果的，不予行政处罚。</w:t>
      </w:r>
    </w:p>
    <w:p w14:paraId="55478307">
      <w:pPr>
        <w:ind w:firstLine="422"/>
        <w:jc w:val="left"/>
        <w:rPr>
          <w:rFonts w:ascii="宋体" w:hAnsi="宋体"/>
          <w:kern w:val="44"/>
        </w:rPr>
      </w:pPr>
      <w:r>
        <w:rPr>
          <w:rFonts w:hint="eastAsia" w:ascii="宋体" w:hAnsi="宋体"/>
          <w:b/>
          <w:kern w:val="44"/>
        </w:rPr>
        <w:t>第九条</w:t>
      </w:r>
      <w:r>
        <w:rPr>
          <w:rFonts w:hint="eastAsia" w:ascii="宋体" w:hAnsi="宋体"/>
          <w:kern w:val="44"/>
        </w:rPr>
        <w:t>　文化市场综合执法部门应当建立健全执法人员培训和资格管理、执法标准和规范、重大事项法律论证、行政执法协调、案件督办督察等制度，加强法制宣传教育工作，落实行政执法责任制。</w:t>
      </w:r>
    </w:p>
    <w:p w14:paraId="70C24537">
      <w:pPr>
        <w:jc w:val="left"/>
        <w:rPr>
          <w:rFonts w:ascii="宋体" w:hAnsi="宋体"/>
          <w:kern w:val="44"/>
        </w:rPr>
      </w:pPr>
      <w:r>
        <w:rPr>
          <w:rFonts w:hint="eastAsia" w:ascii="宋体" w:hAnsi="宋体"/>
          <w:kern w:val="44"/>
        </w:rPr>
        <w:t>本市建立文化市场行政执法监管信息系统，对文化市场经营活动及其管理进行动态监测，提高执法监管保障水平。</w:t>
      </w:r>
    </w:p>
    <w:p w14:paraId="443EAFD4">
      <w:pPr>
        <w:ind w:firstLine="422"/>
        <w:jc w:val="left"/>
        <w:rPr>
          <w:rFonts w:ascii="宋体" w:hAnsi="宋体"/>
          <w:kern w:val="44"/>
        </w:rPr>
      </w:pPr>
      <w:r>
        <w:rPr>
          <w:rFonts w:hint="eastAsia" w:ascii="宋体" w:hAnsi="宋体"/>
          <w:b/>
          <w:kern w:val="44"/>
        </w:rPr>
        <w:t>第十条</w:t>
      </w:r>
      <w:r>
        <w:rPr>
          <w:rFonts w:hint="eastAsia" w:ascii="宋体" w:hAnsi="宋体"/>
          <w:kern w:val="44"/>
        </w:rPr>
        <w:t>　文化市场综合行政执法人员应当经过法律知识和业务知识培训，并经行政执法资格考试合格，取得市人民政府统一制发的行政执法证件后方可从事执法工作。</w:t>
      </w:r>
    </w:p>
    <w:p w14:paraId="578E1D71">
      <w:pPr>
        <w:jc w:val="left"/>
        <w:rPr>
          <w:rFonts w:ascii="宋体" w:hAnsi="宋体"/>
          <w:kern w:val="44"/>
        </w:rPr>
      </w:pPr>
      <w:r>
        <w:rPr>
          <w:rFonts w:hint="eastAsia" w:ascii="宋体" w:hAnsi="宋体"/>
          <w:kern w:val="44"/>
        </w:rPr>
        <w:t>文化市场综合行政执法人员依法实施监督检查，应当佩戴文化市场综合行政执法标志，出示执法证件，不得妨碍当事人正常的生产经营活动，不得索取或者非法收受当事人的财物，不得谋取其他利益。</w:t>
      </w:r>
    </w:p>
    <w:p w14:paraId="513111BD">
      <w:pPr>
        <w:ind w:firstLine="422"/>
        <w:jc w:val="left"/>
        <w:rPr>
          <w:rFonts w:ascii="宋体" w:hAnsi="宋体"/>
          <w:kern w:val="44"/>
        </w:rPr>
      </w:pPr>
      <w:r>
        <w:rPr>
          <w:rFonts w:hint="eastAsia" w:ascii="宋体" w:hAnsi="宋体"/>
          <w:b/>
          <w:kern w:val="44"/>
        </w:rPr>
        <w:t>第十一条</w:t>
      </w:r>
      <w:r>
        <w:rPr>
          <w:rFonts w:hint="eastAsia" w:ascii="宋体" w:hAnsi="宋体"/>
          <w:kern w:val="44"/>
        </w:rPr>
        <w:t>　文化市场综合行政执法人员进行执法检查，可以依法采取下列措施：</w:t>
      </w:r>
    </w:p>
    <w:p w14:paraId="640BE438">
      <w:pPr>
        <w:jc w:val="left"/>
        <w:rPr>
          <w:rFonts w:ascii="宋体" w:hAnsi="宋体"/>
          <w:kern w:val="44"/>
        </w:rPr>
      </w:pPr>
      <w:r>
        <w:rPr>
          <w:rFonts w:hint="eastAsia" w:ascii="宋体" w:hAnsi="宋体"/>
          <w:kern w:val="44"/>
        </w:rPr>
        <w:t>（一）进入被检查单位或者现场进行调查、检查；</w:t>
      </w:r>
    </w:p>
    <w:p w14:paraId="2F694F80">
      <w:pPr>
        <w:jc w:val="left"/>
        <w:rPr>
          <w:rFonts w:ascii="宋体" w:hAnsi="宋体"/>
          <w:kern w:val="44"/>
        </w:rPr>
      </w:pPr>
      <w:r>
        <w:rPr>
          <w:rFonts w:hint="eastAsia" w:ascii="宋体" w:hAnsi="宋体"/>
          <w:kern w:val="44"/>
        </w:rPr>
        <w:t>（二）制止和纠正正在发生的违法行为；</w:t>
      </w:r>
    </w:p>
    <w:p w14:paraId="66BA87CA">
      <w:pPr>
        <w:jc w:val="left"/>
        <w:rPr>
          <w:rFonts w:ascii="宋体" w:hAnsi="宋体"/>
          <w:kern w:val="44"/>
        </w:rPr>
      </w:pPr>
      <w:r>
        <w:rPr>
          <w:rFonts w:hint="eastAsia" w:ascii="宋体" w:hAnsi="宋体"/>
          <w:kern w:val="44"/>
        </w:rPr>
        <w:t>（三）查阅、调阅、复制、拍摄、录制有关证据材料，抽样取证或者先行登记保存有关证据；</w:t>
      </w:r>
    </w:p>
    <w:p w14:paraId="4258BEED">
      <w:pPr>
        <w:jc w:val="left"/>
        <w:rPr>
          <w:rFonts w:ascii="宋体" w:hAnsi="宋体"/>
          <w:kern w:val="44"/>
        </w:rPr>
      </w:pPr>
      <w:r>
        <w:rPr>
          <w:rFonts w:hint="eastAsia" w:ascii="宋体" w:hAnsi="宋体"/>
          <w:kern w:val="44"/>
        </w:rPr>
        <w:t>（四）法律、法规、规章规定的其他措施。</w:t>
      </w:r>
    </w:p>
    <w:p w14:paraId="11EC271C">
      <w:pPr>
        <w:ind w:firstLine="422"/>
        <w:jc w:val="left"/>
        <w:rPr>
          <w:rFonts w:ascii="宋体" w:hAnsi="宋体"/>
          <w:kern w:val="44"/>
        </w:rPr>
      </w:pPr>
      <w:r>
        <w:rPr>
          <w:rFonts w:hint="eastAsia" w:ascii="宋体" w:hAnsi="宋体"/>
          <w:b/>
          <w:kern w:val="44"/>
        </w:rPr>
        <w:t>第十二条</w:t>
      </w:r>
      <w:r>
        <w:rPr>
          <w:rFonts w:hint="eastAsia" w:ascii="宋体" w:hAnsi="宋体"/>
          <w:kern w:val="44"/>
        </w:rPr>
        <w:t>　文化市场综合执法部门对依法查封、扣押的场所、设施或者财物应当妥善保管，不得使用或者损毁。</w:t>
      </w:r>
    </w:p>
    <w:p w14:paraId="67316B43">
      <w:pPr>
        <w:jc w:val="left"/>
        <w:rPr>
          <w:rFonts w:ascii="宋体" w:hAnsi="宋体"/>
          <w:kern w:val="44"/>
        </w:rPr>
      </w:pPr>
      <w:r>
        <w:rPr>
          <w:rFonts w:hint="eastAsia" w:ascii="宋体" w:hAnsi="宋体"/>
          <w:kern w:val="44"/>
        </w:rPr>
        <w:t>文化市场综合执法部门采取查封、扣押措施后，对违法事实清楚的，在规定期限内按照下列规定作出处理决定：</w:t>
      </w:r>
    </w:p>
    <w:p w14:paraId="67637B8E">
      <w:pPr>
        <w:jc w:val="left"/>
        <w:rPr>
          <w:rFonts w:ascii="宋体" w:hAnsi="宋体"/>
          <w:kern w:val="44"/>
        </w:rPr>
      </w:pPr>
      <w:r>
        <w:rPr>
          <w:rFonts w:hint="eastAsia" w:ascii="宋体" w:hAnsi="宋体"/>
          <w:kern w:val="44"/>
        </w:rPr>
        <w:t>（一）依法应当予以没收的，依法没收；</w:t>
      </w:r>
    </w:p>
    <w:p w14:paraId="0E69498E">
      <w:pPr>
        <w:jc w:val="left"/>
        <w:rPr>
          <w:rFonts w:ascii="宋体" w:hAnsi="宋体"/>
          <w:kern w:val="44"/>
        </w:rPr>
      </w:pPr>
      <w:r>
        <w:rPr>
          <w:rFonts w:hint="eastAsia" w:ascii="宋体" w:hAnsi="宋体"/>
          <w:kern w:val="44"/>
        </w:rPr>
        <w:t>（二）依法应当予以销毁的，依法销毁；</w:t>
      </w:r>
    </w:p>
    <w:p w14:paraId="2643227B">
      <w:pPr>
        <w:jc w:val="left"/>
        <w:rPr>
          <w:rFonts w:ascii="宋体" w:hAnsi="宋体"/>
          <w:kern w:val="44"/>
        </w:rPr>
      </w:pPr>
      <w:r>
        <w:rPr>
          <w:rFonts w:hint="eastAsia" w:ascii="宋体" w:hAnsi="宋体"/>
          <w:kern w:val="44"/>
        </w:rPr>
        <w:t>（三）无法确定当事人或者当事人拒不接受调查的，文化市场综合执法部门向社会公告六十日后，可以依法作出没收、销毁决定。</w:t>
      </w:r>
    </w:p>
    <w:p w14:paraId="24AADF73">
      <w:pPr>
        <w:jc w:val="left"/>
        <w:rPr>
          <w:rFonts w:ascii="宋体" w:hAnsi="宋体"/>
          <w:kern w:val="44"/>
        </w:rPr>
      </w:pPr>
      <w:r>
        <w:rPr>
          <w:rFonts w:hint="eastAsia" w:ascii="宋体" w:hAnsi="宋体"/>
          <w:kern w:val="44"/>
        </w:rPr>
        <w:t>文化市场综合执法部门解除查封、扣押措施的，应当将财物退还当事人。对无法通知当事人或者当事人接到通知后拒不认领的，文化市场综合执法部门应当向社会公告六十日，公告期满仍未认领的，可以依法处置。</w:t>
      </w:r>
    </w:p>
    <w:p w14:paraId="49DE4A7C">
      <w:pPr>
        <w:ind w:firstLine="422"/>
        <w:jc w:val="left"/>
        <w:rPr>
          <w:rFonts w:ascii="宋体" w:hAnsi="宋体"/>
          <w:kern w:val="44"/>
        </w:rPr>
      </w:pPr>
      <w:r>
        <w:rPr>
          <w:rFonts w:hint="eastAsia" w:ascii="宋体" w:hAnsi="宋体"/>
          <w:b/>
          <w:kern w:val="44"/>
        </w:rPr>
        <w:t>第十三条</w:t>
      </w:r>
      <w:r>
        <w:rPr>
          <w:rFonts w:hint="eastAsia" w:ascii="宋体" w:hAnsi="宋体"/>
          <w:kern w:val="44"/>
        </w:rPr>
        <w:t>　法律、法规、规章规定应当送达当事人的法律文书，文化市场综合执法部门应当在法定期限内送达当事人。</w:t>
      </w:r>
    </w:p>
    <w:p w14:paraId="6EC5A145">
      <w:pPr>
        <w:jc w:val="left"/>
        <w:rPr>
          <w:rFonts w:ascii="宋体" w:hAnsi="宋体"/>
          <w:kern w:val="44"/>
        </w:rPr>
      </w:pPr>
      <w:r>
        <w:rPr>
          <w:rFonts w:hint="eastAsia" w:ascii="宋体" w:hAnsi="宋体"/>
          <w:kern w:val="44"/>
        </w:rPr>
        <w:t>当事人拒绝接收法律文书的，执法人员应当邀请有关基层组织或者所在单位的代表到场，说明情况，在送达回证上记明拒收事由和日期，由执法人员、见证人签名或者盖章，把法律文书留在当事人的住所，即视为送达。</w:t>
      </w:r>
    </w:p>
    <w:p w14:paraId="75866B90">
      <w:pPr>
        <w:jc w:val="left"/>
        <w:rPr>
          <w:rFonts w:ascii="宋体" w:hAnsi="宋体"/>
          <w:kern w:val="44"/>
        </w:rPr>
      </w:pPr>
      <w:r>
        <w:rPr>
          <w:rFonts w:hint="eastAsia" w:ascii="宋体" w:hAnsi="宋体"/>
          <w:kern w:val="44"/>
        </w:rPr>
        <w:t>因当事人无联系方式、联系方式不真实等原因无法采用其他法定送达方式送达当事人的，应当公告送达。公告期限不得少于六十日。公告期限届满即视为送达。</w:t>
      </w:r>
    </w:p>
    <w:p w14:paraId="40097D77">
      <w:pPr>
        <w:ind w:firstLine="422"/>
        <w:jc w:val="left"/>
        <w:rPr>
          <w:rFonts w:ascii="宋体" w:hAnsi="宋体"/>
          <w:kern w:val="44"/>
        </w:rPr>
      </w:pPr>
      <w:r>
        <w:rPr>
          <w:rFonts w:hint="eastAsia" w:ascii="宋体" w:hAnsi="宋体"/>
          <w:b/>
          <w:kern w:val="44"/>
        </w:rPr>
        <w:t>第十四条</w:t>
      </w:r>
      <w:r>
        <w:rPr>
          <w:rFonts w:hint="eastAsia" w:ascii="宋体" w:hAnsi="宋体"/>
          <w:kern w:val="44"/>
        </w:rPr>
        <w:t>　文化市场综合执法部门应当加强对行政管理相对人违法信息的采集和管理，并按照有关规定将企业违法信息记入企业信用信息系统。</w:t>
      </w:r>
    </w:p>
    <w:p w14:paraId="449DE9FA">
      <w:pPr>
        <w:ind w:firstLine="422"/>
        <w:jc w:val="left"/>
        <w:rPr>
          <w:rFonts w:ascii="宋体" w:hAnsi="宋体"/>
          <w:kern w:val="44"/>
        </w:rPr>
      </w:pPr>
      <w:r>
        <w:rPr>
          <w:rFonts w:hint="eastAsia" w:ascii="宋体" w:hAnsi="宋体"/>
          <w:b/>
          <w:kern w:val="44"/>
        </w:rPr>
        <w:t>第十五条</w:t>
      </w:r>
      <w:r>
        <w:rPr>
          <w:rFonts w:hint="eastAsia" w:ascii="宋体" w:hAnsi="宋体"/>
          <w:kern w:val="44"/>
        </w:rPr>
        <w:t>　本市建立文化市场综合行政执法协调机制，加强文化市场综合执法部门与有关行政部门之间的执法协调，研究、处理文化市场综合行政执法工作重要事项。</w:t>
      </w:r>
    </w:p>
    <w:p w14:paraId="4432A99C">
      <w:pPr>
        <w:ind w:firstLine="422"/>
        <w:jc w:val="left"/>
        <w:rPr>
          <w:rFonts w:ascii="宋体" w:hAnsi="宋体"/>
          <w:kern w:val="44"/>
        </w:rPr>
      </w:pPr>
      <w:r>
        <w:rPr>
          <w:rFonts w:hint="eastAsia" w:ascii="宋体" w:hAnsi="宋体"/>
          <w:b/>
          <w:kern w:val="44"/>
        </w:rPr>
        <w:t>第十六条</w:t>
      </w:r>
      <w:r>
        <w:rPr>
          <w:rFonts w:hint="eastAsia" w:ascii="宋体" w:hAnsi="宋体"/>
          <w:kern w:val="44"/>
        </w:rPr>
        <w:t>　文化市场综合执法部门在执法工作中需要本市相关部门提供鉴定结论或者其他专业意见的，应当送交样本。相关部门应当在十五个工作日内作出鉴定结论或者出具专业意见；情况复杂确需延长的，经本部门负责人批准，可以延长，但是延长期限不得超过十五个工作日。法律、法规、规章另有规定的除外。鉴定时间不计入办案期限。</w:t>
      </w:r>
    </w:p>
    <w:p w14:paraId="1A26F0C2">
      <w:pPr>
        <w:ind w:firstLine="422"/>
        <w:jc w:val="left"/>
        <w:rPr>
          <w:rFonts w:ascii="宋体" w:hAnsi="宋体"/>
          <w:kern w:val="44"/>
        </w:rPr>
      </w:pPr>
      <w:r>
        <w:rPr>
          <w:rFonts w:hint="eastAsia" w:ascii="宋体" w:hAnsi="宋体"/>
          <w:b/>
          <w:kern w:val="44"/>
        </w:rPr>
        <w:t>第十七条</w:t>
      </w:r>
      <w:r>
        <w:rPr>
          <w:rFonts w:hint="eastAsia" w:ascii="宋体" w:hAnsi="宋体"/>
          <w:kern w:val="44"/>
        </w:rPr>
        <w:t>　文化市场综合执法部门依法开展执法检查，涉及文化、广播电影电视、新闻出版（版权）、文物等行政部门行政许可事项的，应当及时将执法情况通报作出行政许可的行政部门；作出吊销行政许可处罚决定的，应当自作出决定之日起十五个工作日内通知作出行政许可的行政部门办理注销手续。</w:t>
      </w:r>
    </w:p>
    <w:p w14:paraId="04BEFE84">
      <w:pPr>
        <w:jc w:val="left"/>
        <w:rPr>
          <w:rFonts w:ascii="宋体" w:hAnsi="宋体"/>
          <w:kern w:val="44"/>
        </w:rPr>
      </w:pPr>
      <w:r>
        <w:rPr>
          <w:rFonts w:hint="eastAsia" w:ascii="宋体" w:hAnsi="宋体"/>
          <w:kern w:val="44"/>
        </w:rPr>
        <w:t>文化、广播电影电视、新闻出版（版权）、文物等行政部门应当建立健全行政许可实施的监督检查制度，依法履行对被许可人从事行政许可事项活动的监督检查等文化市场监管职责，办理行政许可的检验、变更、延续、撤销、注销等事项，并自办结有关事项之日起十五个工作日内将有关情况通报文化市场综合执法部门。</w:t>
      </w:r>
    </w:p>
    <w:p w14:paraId="1929CFD5">
      <w:pPr>
        <w:ind w:firstLine="422"/>
        <w:jc w:val="left"/>
        <w:rPr>
          <w:rFonts w:ascii="宋体" w:hAnsi="宋体"/>
          <w:kern w:val="44"/>
        </w:rPr>
      </w:pPr>
      <w:r>
        <w:rPr>
          <w:rFonts w:hint="eastAsia" w:ascii="宋体" w:hAnsi="宋体"/>
          <w:b/>
          <w:kern w:val="44"/>
        </w:rPr>
        <w:t>第十八条</w:t>
      </w:r>
      <w:r>
        <w:rPr>
          <w:rFonts w:hint="eastAsia" w:ascii="宋体" w:hAnsi="宋体"/>
          <w:kern w:val="44"/>
        </w:rPr>
        <w:t>　文化市场综合执法部门在执法工作中需要公安、工商行政管理、通信管理、城市管理等有关行政部门协助、配合的，应当将协助、配合事项通报有关行政部门，有关行政部门应当按照有关规定办理。</w:t>
      </w:r>
    </w:p>
    <w:p w14:paraId="6FF82AAF">
      <w:pPr>
        <w:ind w:firstLine="422"/>
        <w:jc w:val="left"/>
        <w:rPr>
          <w:rFonts w:ascii="宋体" w:hAnsi="宋体"/>
          <w:kern w:val="44"/>
        </w:rPr>
      </w:pPr>
      <w:r>
        <w:rPr>
          <w:rFonts w:hint="eastAsia" w:ascii="宋体" w:hAnsi="宋体"/>
          <w:b/>
          <w:kern w:val="44"/>
        </w:rPr>
        <w:t>第十九条</w:t>
      </w:r>
      <w:r>
        <w:rPr>
          <w:rFonts w:hint="eastAsia" w:ascii="宋体" w:hAnsi="宋体"/>
          <w:kern w:val="44"/>
        </w:rPr>
        <w:t>　文化市场综合执法部门应当与司法机关建立案件移送等行政执法与刑事司法衔接工作机制，建立健全案件移送标准和程序。</w:t>
      </w:r>
    </w:p>
    <w:p w14:paraId="122F927D">
      <w:pPr>
        <w:ind w:firstLine="422"/>
        <w:jc w:val="left"/>
        <w:rPr>
          <w:rFonts w:ascii="宋体" w:hAnsi="宋体"/>
          <w:kern w:val="44"/>
        </w:rPr>
      </w:pPr>
      <w:r>
        <w:rPr>
          <w:rFonts w:hint="eastAsia" w:ascii="宋体" w:hAnsi="宋体"/>
          <w:b/>
          <w:kern w:val="44"/>
        </w:rPr>
        <w:t>第二十条</w:t>
      </w:r>
      <w:r>
        <w:rPr>
          <w:rFonts w:hint="eastAsia" w:ascii="宋体" w:hAnsi="宋体"/>
          <w:kern w:val="44"/>
        </w:rPr>
        <w:t>　文化市场综合执法部门等行政部门工作人员依法执行公务，有关单位和个人应当予以协助、配合。</w:t>
      </w:r>
    </w:p>
    <w:p w14:paraId="31CF857F">
      <w:pPr>
        <w:jc w:val="left"/>
        <w:rPr>
          <w:rFonts w:ascii="宋体" w:hAnsi="宋体"/>
          <w:kern w:val="44"/>
        </w:rPr>
      </w:pPr>
      <w:r>
        <w:rPr>
          <w:rFonts w:hint="eastAsia" w:ascii="宋体" w:hAnsi="宋体"/>
          <w:kern w:val="44"/>
        </w:rPr>
        <w:t>拒绝、阻碍文化市场综合执法部门等行政部门工作人员依法执行公务的，由公安机关依照《中华人民共和国治安管理处罚法》的有关规定处理；构成犯罪的，依法追究刑事责任。</w:t>
      </w:r>
    </w:p>
    <w:p w14:paraId="62681386">
      <w:pPr>
        <w:ind w:firstLine="422"/>
        <w:jc w:val="left"/>
        <w:rPr>
          <w:rFonts w:ascii="宋体" w:hAnsi="宋体"/>
          <w:kern w:val="44"/>
        </w:rPr>
      </w:pPr>
      <w:r>
        <w:rPr>
          <w:rFonts w:hint="eastAsia" w:ascii="宋体" w:hAnsi="宋体"/>
          <w:b/>
          <w:kern w:val="44"/>
        </w:rPr>
        <w:t>第二十一条</w:t>
      </w:r>
      <w:r>
        <w:rPr>
          <w:rFonts w:hint="eastAsia" w:ascii="宋体" w:hAnsi="宋体"/>
          <w:kern w:val="44"/>
        </w:rPr>
        <w:t>　文化市场综合执法部门依法作出行政处罚决定，当事人应当在行政处罚决定的期限内予以履行。当事人逾期不履行行政处罚决定的，文化市场综合执法部门可以依法实施行政强制执行或者申请人民法院强制执行。</w:t>
      </w:r>
    </w:p>
    <w:p w14:paraId="6BA37EA0">
      <w:pPr>
        <w:ind w:firstLine="422"/>
        <w:jc w:val="left"/>
        <w:rPr>
          <w:rFonts w:ascii="宋体" w:hAnsi="宋体"/>
          <w:kern w:val="44"/>
        </w:rPr>
      </w:pPr>
      <w:r>
        <w:rPr>
          <w:rFonts w:hint="eastAsia" w:ascii="宋体" w:hAnsi="宋体"/>
          <w:b/>
          <w:kern w:val="44"/>
        </w:rPr>
        <w:t>第二十二条</w:t>
      </w:r>
      <w:r>
        <w:rPr>
          <w:rFonts w:hint="eastAsia" w:ascii="宋体" w:hAnsi="宋体"/>
          <w:kern w:val="44"/>
        </w:rPr>
        <w:t>　文化市场综合执法部门应当建立健全文化市场违法行为举报制度，向社会公布统一受理举报的通信地址、电话和电子邮箱等。</w:t>
      </w:r>
    </w:p>
    <w:p w14:paraId="5DDC3697">
      <w:pPr>
        <w:jc w:val="left"/>
        <w:rPr>
          <w:rFonts w:ascii="宋体" w:hAnsi="宋体"/>
          <w:kern w:val="44"/>
        </w:rPr>
      </w:pPr>
      <w:r>
        <w:rPr>
          <w:rFonts w:hint="eastAsia" w:ascii="宋体" w:hAnsi="宋体"/>
          <w:kern w:val="44"/>
        </w:rPr>
        <w:t>文化市场综合执法部门接到举报应当登记并及时核实处理。举报人要求回复的，应当将处理结果回复举报人。文化市场综合执法部门应当对举报人的有关信息保密。</w:t>
      </w:r>
    </w:p>
    <w:p w14:paraId="68E5BA82">
      <w:pPr>
        <w:jc w:val="left"/>
        <w:rPr>
          <w:rFonts w:ascii="宋体" w:hAnsi="宋体"/>
          <w:kern w:val="44"/>
        </w:rPr>
      </w:pPr>
      <w:r>
        <w:rPr>
          <w:rFonts w:hint="eastAsia" w:ascii="宋体" w:hAnsi="宋体"/>
          <w:kern w:val="44"/>
        </w:rPr>
        <w:t>举报人提供的线索对文化市场综合执法部门查处违法行为发挥重要作用并经查证属实的，文化市场综合执法部门可以依照有关规定表彰奖励。</w:t>
      </w:r>
    </w:p>
    <w:p w14:paraId="228CC0BF">
      <w:pPr>
        <w:ind w:firstLine="422"/>
        <w:jc w:val="left"/>
        <w:rPr>
          <w:rFonts w:ascii="宋体" w:hAnsi="宋体"/>
          <w:kern w:val="44"/>
        </w:rPr>
      </w:pPr>
      <w:r>
        <w:rPr>
          <w:rFonts w:hint="eastAsia" w:ascii="宋体" w:hAnsi="宋体"/>
          <w:b/>
          <w:kern w:val="44"/>
        </w:rPr>
        <w:t>第二十三条</w:t>
      </w:r>
      <w:r>
        <w:rPr>
          <w:rFonts w:hint="eastAsia" w:ascii="宋体" w:hAnsi="宋体"/>
          <w:kern w:val="44"/>
        </w:rPr>
        <w:t>　文化市场综合执法部门应当主动将职责范围、执法依据、执法程序、处罚标准等执法管理信息向社会公开，接受社会监督。</w:t>
      </w:r>
    </w:p>
    <w:p w14:paraId="21CD5A53">
      <w:pPr>
        <w:jc w:val="left"/>
        <w:rPr>
          <w:rFonts w:ascii="宋体" w:hAnsi="宋体"/>
          <w:kern w:val="44"/>
        </w:rPr>
      </w:pPr>
      <w:r>
        <w:rPr>
          <w:rFonts w:hint="eastAsia" w:ascii="宋体" w:hAnsi="宋体"/>
          <w:kern w:val="44"/>
        </w:rPr>
        <w:t>公民、法人和其他组织发现文化市场综合执法部门执法人员在执法活动中有违法或者不当行为的，有权向其所在单位、上级行政机关或者监察机关检举、控告、申诉，接到检举、控告、申诉的部门应当及时核实处理，并反馈处理意见。</w:t>
      </w:r>
    </w:p>
    <w:p w14:paraId="73529F0E">
      <w:pPr>
        <w:ind w:firstLine="422"/>
        <w:jc w:val="left"/>
        <w:rPr>
          <w:rFonts w:ascii="宋体" w:hAnsi="宋体"/>
          <w:kern w:val="44"/>
        </w:rPr>
      </w:pPr>
      <w:r>
        <w:rPr>
          <w:rFonts w:hint="eastAsia" w:ascii="宋体" w:hAnsi="宋体"/>
          <w:b/>
          <w:kern w:val="44"/>
        </w:rPr>
        <w:t>第二十四条</w:t>
      </w:r>
      <w:r>
        <w:rPr>
          <w:rFonts w:hint="eastAsia" w:ascii="宋体" w:hAnsi="宋体"/>
          <w:kern w:val="44"/>
        </w:rPr>
        <w:t>　文化市场综合执法部门及其执法人员有下列行为之一的，由其所在单位、上级行政机关或者监察机关对负责的主管人员和其他责任人员依法追究行政责任；构成犯罪的，依法追究刑事责任：</w:t>
      </w:r>
    </w:p>
    <w:p w14:paraId="02ECF065">
      <w:pPr>
        <w:jc w:val="left"/>
        <w:rPr>
          <w:rFonts w:ascii="宋体" w:hAnsi="宋体"/>
          <w:kern w:val="44"/>
        </w:rPr>
      </w:pPr>
      <w:r>
        <w:rPr>
          <w:rFonts w:hint="eastAsia" w:ascii="宋体" w:hAnsi="宋体"/>
          <w:kern w:val="44"/>
        </w:rPr>
        <w:t>（一）没有法定依据或者不遵守法定程序实施行政处罚的；</w:t>
      </w:r>
    </w:p>
    <w:p w14:paraId="53EA5296">
      <w:pPr>
        <w:jc w:val="left"/>
        <w:rPr>
          <w:rFonts w:ascii="宋体" w:hAnsi="宋体"/>
          <w:kern w:val="44"/>
        </w:rPr>
      </w:pPr>
      <w:r>
        <w:rPr>
          <w:rFonts w:hint="eastAsia" w:ascii="宋体" w:hAnsi="宋体"/>
          <w:kern w:val="44"/>
        </w:rPr>
        <w:t>（二）无法定事由或者违反法定程序擅自改变已作出的行政处罚决定的；</w:t>
      </w:r>
    </w:p>
    <w:p w14:paraId="6A82A0C2">
      <w:pPr>
        <w:jc w:val="left"/>
        <w:rPr>
          <w:rFonts w:ascii="宋体" w:hAnsi="宋体"/>
          <w:kern w:val="44"/>
        </w:rPr>
      </w:pPr>
      <w:r>
        <w:rPr>
          <w:rFonts w:hint="eastAsia" w:ascii="宋体" w:hAnsi="宋体"/>
          <w:kern w:val="44"/>
        </w:rPr>
        <w:t>（三）使用或者损毁先行登记保存、查封、扣押的场所、设施或者财物的；</w:t>
      </w:r>
    </w:p>
    <w:p w14:paraId="18EC8F44">
      <w:pPr>
        <w:jc w:val="left"/>
        <w:rPr>
          <w:rFonts w:ascii="宋体" w:hAnsi="宋体"/>
          <w:kern w:val="44"/>
        </w:rPr>
      </w:pPr>
      <w:r>
        <w:rPr>
          <w:rFonts w:hint="eastAsia" w:ascii="宋体" w:hAnsi="宋体"/>
          <w:kern w:val="44"/>
        </w:rPr>
        <w:t>（四）实施监督检查向当事人索取、非法收受财物或者谋取其他利益的；</w:t>
      </w:r>
    </w:p>
    <w:p w14:paraId="4D70D861">
      <w:pPr>
        <w:jc w:val="left"/>
        <w:rPr>
          <w:rFonts w:ascii="宋体" w:hAnsi="宋体"/>
          <w:kern w:val="44"/>
        </w:rPr>
      </w:pPr>
      <w:r>
        <w:rPr>
          <w:rFonts w:hint="eastAsia" w:ascii="宋体" w:hAnsi="宋体"/>
          <w:kern w:val="44"/>
        </w:rPr>
        <w:t>（五）违反规定泄露举报人信息的；</w:t>
      </w:r>
    </w:p>
    <w:p w14:paraId="6FA14146">
      <w:pPr>
        <w:jc w:val="left"/>
        <w:rPr>
          <w:rFonts w:ascii="宋体" w:hAnsi="宋体"/>
          <w:kern w:val="44"/>
        </w:rPr>
      </w:pPr>
      <w:r>
        <w:rPr>
          <w:rFonts w:hint="eastAsia" w:ascii="宋体" w:hAnsi="宋体"/>
          <w:kern w:val="44"/>
        </w:rPr>
        <w:t>（六）其他违法执法行为。</w:t>
      </w:r>
    </w:p>
    <w:p w14:paraId="306CE0FD">
      <w:pPr>
        <w:ind w:firstLine="422"/>
        <w:jc w:val="left"/>
        <w:rPr>
          <w:rFonts w:ascii="宋体" w:hAnsi="宋体"/>
          <w:kern w:val="44"/>
        </w:rPr>
      </w:pPr>
      <w:r>
        <w:rPr>
          <w:rFonts w:hint="eastAsia" w:ascii="宋体" w:hAnsi="宋体"/>
          <w:b/>
          <w:kern w:val="44"/>
        </w:rPr>
        <w:t>第二十五条</w:t>
      </w:r>
      <w:r>
        <w:rPr>
          <w:rFonts w:hint="eastAsia" w:ascii="宋体" w:hAnsi="宋体"/>
          <w:kern w:val="44"/>
        </w:rPr>
        <w:t>　本办法自2012年1月1日起施行。</w:t>
      </w:r>
    </w:p>
    <w:p w14:paraId="5B06C97A">
      <w:pPr>
        <w:pStyle w:val="3"/>
        <w:pageBreakBefore/>
        <w:rPr>
          <w:kern w:val="44"/>
        </w:rPr>
      </w:pPr>
      <w:bookmarkStart w:id="1629" w:name="_Toc427651675"/>
      <w:bookmarkStart w:id="1630" w:name="_Toc428781723"/>
      <w:bookmarkStart w:id="1631" w:name="_Toc422471425"/>
      <w:bookmarkStart w:id="1632" w:name="_Toc428780241"/>
      <w:bookmarkStart w:id="1633" w:name="_Toc427652017"/>
      <w:r>
        <w:rPr>
          <w:rFonts w:hint="eastAsia"/>
          <w:kern w:val="44"/>
        </w:rPr>
        <w:t>（五）文物保护</w:t>
      </w:r>
      <w:bookmarkEnd w:id="1629"/>
      <w:bookmarkEnd w:id="1630"/>
      <w:bookmarkEnd w:id="1631"/>
      <w:bookmarkEnd w:id="1632"/>
      <w:bookmarkEnd w:id="1633"/>
    </w:p>
    <w:p w14:paraId="4D8130DE"/>
    <w:p w14:paraId="065B166B">
      <w:pPr>
        <w:pStyle w:val="4"/>
        <w:rPr>
          <w:kern w:val="44"/>
        </w:rPr>
      </w:pPr>
      <w:bookmarkStart w:id="1634" w:name="_Toc422471426"/>
      <w:bookmarkStart w:id="1635" w:name="_Toc428780242"/>
      <w:bookmarkStart w:id="1636" w:name="_Toc427652018"/>
      <w:bookmarkStart w:id="1637" w:name="_Toc428781724"/>
      <w:bookmarkStart w:id="1638" w:name="_Toc427651676"/>
      <w:r>
        <w:rPr>
          <w:rFonts w:hint="eastAsia"/>
          <w:kern w:val="44"/>
        </w:rPr>
        <w:t>北京市实施《中华人民共和国</w:t>
      </w:r>
      <w:bookmarkEnd w:id="1634"/>
      <w:bookmarkStart w:id="1639" w:name="_Toc422471427"/>
      <w:r>
        <w:rPr>
          <w:rFonts w:hint="eastAsia"/>
          <w:kern w:val="44"/>
        </w:rPr>
        <w:t>文物保护法》办法</w:t>
      </w:r>
      <w:bookmarkEnd w:id="1635"/>
      <w:bookmarkEnd w:id="1636"/>
      <w:bookmarkEnd w:id="1637"/>
      <w:bookmarkEnd w:id="1638"/>
      <w:bookmarkEnd w:id="1639"/>
    </w:p>
    <w:p w14:paraId="1B4504B2">
      <w:pPr>
        <w:ind w:left="630" w:leftChars="300" w:right="630" w:rightChars="300"/>
        <w:jc w:val="left"/>
        <w:rPr>
          <w:rFonts w:ascii="楷体" w:hAnsi="楷体" w:eastAsia="楷体"/>
          <w:kern w:val="44"/>
        </w:rPr>
      </w:pPr>
      <w:r>
        <w:rPr>
          <w:rFonts w:hint="eastAsia" w:ascii="楷体" w:hAnsi="楷体" w:eastAsia="楷体"/>
          <w:kern w:val="44"/>
        </w:rPr>
        <w:t>（2004年9月10日北京市第十二届人民代表大会常务委员会第十四次会议通过）</w:t>
      </w:r>
    </w:p>
    <w:p w14:paraId="4F142441">
      <w:pPr>
        <w:jc w:val="left"/>
        <w:rPr>
          <w:rFonts w:ascii="宋体" w:hAnsi="宋体"/>
          <w:kern w:val="44"/>
        </w:rPr>
      </w:pPr>
    </w:p>
    <w:p w14:paraId="53E493BF">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为了加强对文物的保护，根据《中华人民共和国文物保护法》等有关法律、法规，结合本市实际情况，制定本办法。</w:t>
      </w:r>
    </w:p>
    <w:p w14:paraId="6B6C826A">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本市行政区域内的文物保护工作适用本办法。</w:t>
      </w:r>
    </w:p>
    <w:p w14:paraId="6B1D3D49">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市和区、县人民政府负责本行政区域内的文物保护工作。</w:t>
      </w:r>
    </w:p>
    <w:p w14:paraId="46B5576F">
      <w:pPr>
        <w:jc w:val="left"/>
        <w:rPr>
          <w:rFonts w:ascii="宋体" w:hAnsi="宋体"/>
          <w:kern w:val="44"/>
        </w:rPr>
      </w:pPr>
      <w:r>
        <w:rPr>
          <w:rFonts w:hint="eastAsia" w:ascii="宋体" w:hAnsi="宋体"/>
          <w:kern w:val="44"/>
        </w:rPr>
        <w:t>市和区、县人民政府文物行政部门对本行政区域内的文物保护实施监督管理。</w:t>
      </w:r>
    </w:p>
    <w:p w14:paraId="134E2E0D">
      <w:pPr>
        <w:jc w:val="left"/>
        <w:rPr>
          <w:rFonts w:ascii="宋体" w:hAnsi="宋体"/>
          <w:kern w:val="44"/>
        </w:rPr>
      </w:pPr>
      <w:r>
        <w:rPr>
          <w:rFonts w:hint="eastAsia" w:ascii="宋体" w:hAnsi="宋体"/>
          <w:kern w:val="44"/>
        </w:rPr>
        <w:t>规划、建设、园林、国土资源、工商、公安、发展改革、旅游、宗教等有关行政管理部门应当在各自的职责范围内依法做好文物保护工作。</w:t>
      </w:r>
    </w:p>
    <w:p w14:paraId="561A6435">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市和区、县人民政府应当将文物保护事业纳入本级国民经济和社会发展规划，所需经费列入本级财政预算。本市用于文物保护的财政拨款随着财政收入增长而增加。</w:t>
      </w:r>
    </w:p>
    <w:p w14:paraId="59C43DE3">
      <w:pPr>
        <w:jc w:val="left"/>
        <w:rPr>
          <w:rFonts w:ascii="宋体" w:hAnsi="宋体"/>
          <w:kern w:val="44"/>
        </w:rPr>
      </w:pPr>
      <w:r>
        <w:rPr>
          <w:rFonts w:hint="eastAsia" w:ascii="宋体" w:hAnsi="宋体"/>
          <w:kern w:val="44"/>
        </w:rPr>
        <w:t>市和区、县人民政府应当根据本行政区域内文物保护工作的实际需要，设立文物保护专项经费，用于文物保护。</w:t>
      </w:r>
    </w:p>
    <w:p w14:paraId="7F4414E8">
      <w:pPr>
        <w:jc w:val="left"/>
        <w:rPr>
          <w:rFonts w:ascii="宋体" w:hAnsi="宋体"/>
          <w:kern w:val="44"/>
        </w:rPr>
      </w:pPr>
      <w:r>
        <w:rPr>
          <w:rFonts w:hint="eastAsia" w:ascii="宋体" w:hAnsi="宋体"/>
          <w:kern w:val="44"/>
        </w:rPr>
        <w:t>本市鼓励自然人、法人和其他组织对文物保护事业进行捐赠。市文物保护基金会、文物保护单位及其他受赠人接受的捐赠，专门用于文物保护，任何单位和个人不得侵占、挪用。</w:t>
      </w:r>
    </w:p>
    <w:p w14:paraId="205FC493">
      <w:pPr>
        <w:ind w:firstLine="422"/>
        <w:jc w:val="left"/>
        <w:rPr>
          <w:rFonts w:ascii="宋体" w:hAnsi="宋体"/>
          <w:kern w:val="44"/>
        </w:rPr>
      </w:pPr>
      <w:r>
        <w:rPr>
          <w:rFonts w:hint="eastAsia" w:ascii="宋体" w:hAnsi="宋体"/>
          <w:b/>
          <w:kern w:val="44"/>
        </w:rPr>
        <w:t>第五条</w:t>
      </w:r>
      <w:r>
        <w:rPr>
          <w:rFonts w:hint="eastAsia" w:ascii="宋体" w:hAnsi="宋体"/>
          <w:kern w:val="44"/>
        </w:rPr>
        <w:t>　本市鼓励和支持文物保护的科学技术研究。</w:t>
      </w:r>
    </w:p>
    <w:p w14:paraId="1A42662B">
      <w:pPr>
        <w:jc w:val="left"/>
        <w:rPr>
          <w:rFonts w:ascii="宋体" w:hAnsi="宋体"/>
          <w:kern w:val="44"/>
        </w:rPr>
      </w:pPr>
      <w:r>
        <w:rPr>
          <w:rFonts w:hint="eastAsia" w:ascii="宋体" w:hAnsi="宋体"/>
          <w:kern w:val="44"/>
        </w:rPr>
        <w:t>市文物行政部门应当制定文物保护的科学技术研究规划，促进文物保护科技成果的推广和应用，提高文物保护的科学技术水平。</w:t>
      </w:r>
    </w:p>
    <w:p w14:paraId="2726B6C8">
      <w:pPr>
        <w:jc w:val="left"/>
        <w:rPr>
          <w:rFonts w:ascii="宋体" w:hAnsi="宋体"/>
          <w:kern w:val="44"/>
        </w:rPr>
      </w:pPr>
      <w:r>
        <w:rPr>
          <w:rFonts w:hint="eastAsia" w:ascii="宋体" w:hAnsi="宋体"/>
          <w:kern w:val="44"/>
        </w:rPr>
        <w:t>市和区、县文物行政部门负责组织文物和博物馆专业人才的培训工作。</w:t>
      </w:r>
    </w:p>
    <w:p w14:paraId="1D6C15F6">
      <w:pPr>
        <w:ind w:firstLine="422"/>
        <w:jc w:val="left"/>
        <w:rPr>
          <w:rFonts w:ascii="宋体" w:hAnsi="宋体"/>
          <w:kern w:val="44"/>
        </w:rPr>
      </w:pPr>
      <w:r>
        <w:rPr>
          <w:rFonts w:hint="eastAsia" w:ascii="宋体" w:hAnsi="宋体"/>
          <w:b/>
          <w:kern w:val="44"/>
        </w:rPr>
        <w:t>第六条</w:t>
      </w:r>
      <w:r>
        <w:rPr>
          <w:rFonts w:hint="eastAsia" w:ascii="宋体" w:hAnsi="宋体"/>
          <w:kern w:val="44"/>
        </w:rPr>
        <w:t>　本市建立文物普查制度。市人民政府定期组织开展文物普查工作，区、县人民政府负责定期对本行政区域内的不可移动文物进行普查登记，并向市文物行政部门备案。</w:t>
      </w:r>
    </w:p>
    <w:p w14:paraId="6D3FCC17">
      <w:pPr>
        <w:ind w:firstLine="422"/>
        <w:jc w:val="left"/>
        <w:rPr>
          <w:rFonts w:ascii="宋体" w:hAnsi="宋体"/>
          <w:kern w:val="44"/>
        </w:rPr>
      </w:pPr>
      <w:r>
        <w:rPr>
          <w:rFonts w:hint="eastAsia" w:ascii="宋体" w:hAnsi="宋体"/>
          <w:b/>
          <w:kern w:val="44"/>
        </w:rPr>
        <w:t>第七条</w:t>
      </w:r>
      <w:r>
        <w:rPr>
          <w:rFonts w:hint="eastAsia" w:ascii="宋体" w:hAnsi="宋体"/>
          <w:kern w:val="44"/>
        </w:rPr>
        <w:t>　区、县人民政府应当对本行政区域内未核定为文物保护单位的不可移动文物建立档案；定期对其历史、艺术、科学价值进行鉴定，根据鉴定结果，对核定为区、县级文物保护单位的，每三年公布一次。</w:t>
      </w:r>
    </w:p>
    <w:p w14:paraId="30F22CC1">
      <w:pPr>
        <w:ind w:firstLine="422"/>
        <w:jc w:val="left"/>
        <w:rPr>
          <w:rFonts w:ascii="宋体" w:hAnsi="宋体"/>
          <w:kern w:val="44"/>
        </w:rPr>
      </w:pPr>
      <w:r>
        <w:rPr>
          <w:rFonts w:hint="eastAsia" w:ascii="宋体" w:hAnsi="宋体"/>
          <w:b/>
          <w:kern w:val="44"/>
        </w:rPr>
        <w:t>第八条</w:t>
      </w:r>
      <w:r>
        <w:rPr>
          <w:rFonts w:hint="eastAsia" w:ascii="宋体" w:hAnsi="宋体"/>
          <w:kern w:val="44"/>
        </w:rPr>
        <w:t>　市文物行政部门负责组织制定市级以上文物保护单位的具体保护措施，并公告施行。</w:t>
      </w:r>
    </w:p>
    <w:p w14:paraId="3C2CF6CD">
      <w:pPr>
        <w:jc w:val="left"/>
        <w:rPr>
          <w:rFonts w:ascii="宋体" w:hAnsi="宋体"/>
          <w:kern w:val="44"/>
        </w:rPr>
      </w:pPr>
      <w:r>
        <w:rPr>
          <w:rFonts w:hint="eastAsia" w:ascii="宋体" w:hAnsi="宋体"/>
          <w:kern w:val="44"/>
        </w:rPr>
        <w:t>区、县文物行政部门负责组织制定区、县级文物保护单位和未核定为文物保护单位的不可移动文物的具体保护措施，并公告施行。</w:t>
      </w:r>
    </w:p>
    <w:p w14:paraId="5BA9D586">
      <w:pPr>
        <w:jc w:val="left"/>
        <w:rPr>
          <w:rFonts w:ascii="宋体" w:hAnsi="宋体"/>
          <w:kern w:val="44"/>
        </w:rPr>
      </w:pPr>
      <w:r>
        <w:rPr>
          <w:rFonts w:hint="eastAsia" w:ascii="宋体" w:hAnsi="宋体"/>
          <w:kern w:val="44"/>
        </w:rPr>
        <w:t>保护措施包括不可移动文物的修缮、安全、利用、环境整治等内容。</w:t>
      </w:r>
    </w:p>
    <w:p w14:paraId="64B02A41">
      <w:pPr>
        <w:ind w:firstLine="422"/>
        <w:jc w:val="left"/>
        <w:rPr>
          <w:rFonts w:ascii="宋体" w:hAnsi="宋体"/>
          <w:kern w:val="44"/>
        </w:rPr>
      </w:pPr>
      <w:r>
        <w:rPr>
          <w:rFonts w:hint="eastAsia" w:ascii="宋体" w:hAnsi="宋体"/>
          <w:b/>
          <w:kern w:val="44"/>
        </w:rPr>
        <w:t>第九条</w:t>
      </w:r>
      <w:r>
        <w:rPr>
          <w:rFonts w:hint="eastAsia" w:ascii="宋体" w:hAnsi="宋体"/>
          <w:kern w:val="44"/>
        </w:rPr>
        <w:t>　不可移动文物的管理人、使用人，应当制定文物的保养、修缮计划以及自然灾害和突发事件的预防、处置方案；并根据不可移动文物的级别，市级以上文物保护单位的，报市文物行政部门备案，区、县级文物保护单位和未核定为文物保护单位的不可移动文物的，报区、县文物行政部门备案。未制定保护计划、方案或者未将保护计划、方案备案的，由文物行政部门责令改正。</w:t>
      </w:r>
    </w:p>
    <w:p w14:paraId="542F1F26">
      <w:pPr>
        <w:ind w:firstLine="422"/>
        <w:jc w:val="left"/>
        <w:rPr>
          <w:rFonts w:ascii="宋体" w:hAnsi="宋体"/>
          <w:kern w:val="44"/>
        </w:rPr>
      </w:pPr>
      <w:r>
        <w:rPr>
          <w:rFonts w:hint="eastAsia" w:ascii="宋体" w:hAnsi="宋体"/>
          <w:b/>
          <w:kern w:val="44"/>
        </w:rPr>
        <w:t>第十条</w:t>
      </w:r>
      <w:r>
        <w:rPr>
          <w:rFonts w:hint="eastAsia" w:ascii="宋体" w:hAnsi="宋体"/>
          <w:kern w:val="44"/>
        </w:rPr>
        <w:t>　文物保护单位核定公布后，应当依法划定保护范围和建设控制地带。地处两个以上行政区域的区、县级文物保护单位，其保护范围和建设控制地带的划定工作，由相关的区、县人民政府共同负责；对保护范围和建设控制地带的划定有争议的，由市人民政府指定的区、县人民政府负责。</w:t>
      </w:r>
    </w:p>
    <w:p w14:paraId="6F7DE58E">
      <w:pPr>
        <w:ind w:firstLine="422"/>
        <w:jc w:val="left"/>
        <w:rPr>
          <w:rFonts w:ascii="宋体" w:hAnsi="宋体"/>
          <w:kern w:val="44"/>
        </w:rPr>
      </w:pPr>
      <w:r>
        <w:rPr>
          <w:rFonts w:hint="eastAsia" w:ascii="宋体" w:hAnsi="宋体"/>
          <w:b/>
          <w:kern w:val="44"/>
        </w:rPr>
        <w:t>第十一条</w:t>
      </w:r>
      <w:r>
        <w:rPr>
          <w:rFonts w:hint="eastAsia" w:ascii="宋体" w:hAnsi="宋体"/>
          <w:kern w:val="44"/>
        </w:rPr>
        <w:t>　两个以上文物保护单位的保护范围、建设控制地带相互重合的，规划行政部门审批该区域内的建设工程项目时，应当按照其中较为严格的建设控制标准执行。</w:t>
      </w:r>
    </w:p>
    <w:p w14:paraId="3D66FC55">
      <w:pPr>
        <w:ind w:firstLine="422"/>
        <w:jc w:val="left"/>
        <w:rPr>
          <w:rFonts w:ascii="宋体" w:hAnsi="宋体"/>
          <w:kern w:val="44"/>
        </w:rPr>
      </w:pPr>
      <w:r>
        <w:rPr>
          <w:rFonts w:hint="eastAsia" w:ascii="宋体" w:hAnsi="宋体"/>
          <w:b/>
          <w:kern w:val="44"/>
        </w:rPr>
        <w:t>第十二条</w:t>
      </w:r>
      <w:r>
        <w:rPr>
          <w:rFonts w:hint="eastAsia" w:ascii="宋体" w:hAnsi="宋体"/>
          <w:kern w:val="44"/>
        </w:rPr>
        <w:t>　建设工程选址，应当尽可能避开不可移动文物。因特殊情况不能避开的，对文物保护单位应当尽可能实施原址保护；无法实施原址保护，必须迁移异地保护或者拆除的，建设单位应当报市文物行政部门，由市人民政府批准；迁移全国重点文物保护单位的，由市人民政府报国务院批准。</w:t>
      </w:r>
    </w:p>
    <w:p w14:paraId="71A14A51">
      <w:pPr>
        <w:jc w:val="left"/>
        <w:rPr>
          <w:rFonts w:ascii="宋体" w:hAnsi="宋体"/>
          <w:kern w:val="44"/>
        </w:rPr>
      </w:pPr>
      <w:r>
        <w:rPr>
          <w:rFonts w:hint="eastAsia" w:ascii="宋体" w:hAnsi="宋体"/>
          <w:kern w:val="44"/>
        </w:rPr>
        <w:t>未核定为文物保护单位的不可移动文物迁移、拆除的，建设单位应当报区、县文物行政部门，由区、县人民政府批准。区、县人民政府批准前应当征得市文物行政部门同意。</w:t>
      </w:r>
    </w:p>
    <w:p w14:paraId="5FF54A5D">
      <w:pPr>
        <w:ind w:firstLine="422"/>
        <w:jc w:val="left"/>
        <w:rPr>
          <w:rFonts w:ascii="宋体" w:hAnsi="宋体"/>
          <w:kern w:val="44"/>
        </w:rPr>
      </w:pPr>
      <w:r>
        <w:rPr>
          <w:rFonts w:hint="eastAsia" w:ascii="宋体" w:hAnsi="宋体"/>
          <w:b/>
          <w:kern w:val="44"/>
        </w:rPr>
        <w:t>第十三条</w:t>
      </w:r>
      <w:r>
        <w:rPr>
          <w:rFonts w:hint="eastAsia" w:ascii="宋体" w:hAnsi="宋体"/>
          <w:kern w:val="44"/>
        </w:rPr>
        <w:t>　修缮不可移动文物，应当按照批准的修缮方案施工。修缮方案变更的，不可移动文物的管理人、使用人应当报原批准的文物行政部门重新批准。</w:t>
      </w:r>
    </w:p>
    <w:p w14:paraId="112C6ECE">
      <w:pPr>
        <w:jc w:val="left"/>
        <w:rPr>
          <w:rFonts w:ascii="宋体" w:hAnsi="宋体"/>
          <w:kern w:val="44"/>
        </w:rPr>
      </w:pPr>
      <w:r>
        <w:rPr>
          <w:rFonts w:hint="eastAsia" w:ascii="宋体" w:hAnsi="宋体"/>
          <w:kern w:val="44"/>
        </w:rPr>
        <w:t>对文物建筑进行装修，应当符合文物建筑装修标准，不得对文物建筑造成破坏。文物建筑装修标准市文物行政部门制定。</w:t>
      </w:r>
    </w:p>
    <w:p w14:paraId="24B0DFD2">
      <w:pPr>
        <w:ind w:firstLine="422"/>
        <w:jc w:val="left"/>
        <w:rPr>
          <w:rFonts w:ascii="宋体" w:hAnsi="宋体"/>
          <w:kern w:val="44"/>
        </w:rPr>
      </w:pPr>
      <w:r>
        <w:rPr>
          <w:rFonts w:hint="eastAsia" w:ascii="宋体" w:hAnsi="宋体"/>
          <w:b/>
          <w:kern w:val="44"/>
        </w:rPr>
        <w:t>第十四条</w:t>
      </w:r>
      <w:r>
        <w:rPr>
          <w:rFonts w:hint="eastAsia" w:ascii="宋体" w:hAnsi="宋体"/>
          <w:kern w:val="44"/>
        </w:rPr>
        <w:t>　文物建筑的管理人、使用人应当按照规定加强火源、电源的管理，配备必要的灭火设备。在重点要害部位根据实际需要，安装自动报警、灭火、避雷等设施。安装、使用设施不得对文物建筑造成破坏。</w:t>
      </w:r>
    </w:p>
    <w:p w14:paraId="671FA726">
      <w:pPr>
        <w:jc w:val="left"/>
        <w:rPr>
          <w:rFonts w:ascii="宋体" w:hAnsi="宋体"/>
          <w:kern w:val="44"/>
        </w:rPr>
      </w:pPr>
      <w:r>
        <w:rPr>
          <w:rFonts w:hint="eastAsia" w:ascii="宋体" w:hAnsi="宋体"/>
          <w:kern w:val="44"/>
        </w:rPr>
        <w:t>遇有危及文物安全的重大险情，文物建筑的管理人、使用人应当及时采取措施，并向建筑物所在地的区、县文物行政部门报告。</w:t>
      </w:r>
    </w:p>
    <w:p w14:paraId="5D0D0C91">
      <w:pPr>
        <w:ind w:firstLine="422"/>
        <w:jc w:val="left"/>
        <w:rPr>
          <w:rFonts w:ascii="宋体" w:hAnsi="宋体"/>
          <w:kern w:val="44"/>
        </w:rPr>
      </w:pPr>
      <w:r>
        <w:rPr>
          <w:rFonts w:hint="eastAsia" w:ascii="宋体" w:hAnsi="宋体"/>
          <w:b/>
          <w:kern w:val="44"/>
        </w:rPr>
        <w:t>第十五条</w:t>
      </w:r>
      <w:r>
        <w:rPr>
          <w:rFonts w:hint="eastAsia" w:ascii="宋体" w:hAnsi="宋体"/>
          <w:kern w:val="44"/>
        </w:rPr>
        <w:t>　核定为文物保护单位的国有纪念建筑物、古建筑向社会开放的，其管理人、使用人应当保证建筑物的正常开放。市或者区、县文物行政部门发现管理人、使用人的行为造成建筑物有碍开放的，可以责令管理人、使用人进行整治。</w:t>
      </w:r>
    </w:p>
    <w:p w14:paraId="315650AE">
      <w:pPr>
        <w:ind w:firstLine="422"/>
        <w:jc w:val="left"/>
        <w:rPr>
          <w:rFonts w:ascii="宋体" w:hAnsi="宋体"/>
          <w:kern w:val="44"/>
        </w:rPr>
      </w:pPr>
      <w:r>
        <w:rPr>
          <w:rFonts w:hint="eastAsia" w:ascii="宋体" w:hAnsi="宋体"/>
          <w:b/>
          <w:kern w:val="44"/>
        </w:rPr>
        <w:t>第十六条</w:t>
      </w:r>
      <w:r>
        <w:rPr>
          <w:rFonts w:hint="eastAsia" w:ascii="宋体" w:hAnsi="宋体"/>
          <w:kern w:val="44"/>
        </w:rPr>
        <w:t>　本市严格控制利用文物保护单位拍摄电影、电视以及举办展销和其他大型活动。确需利用文物保护单位拍摄电影、电视或者举办大型活动的，拍摄单位或者举办者应当征得文物管理人、使用人同意，并提出拍摄或者活动计划。拍摄电影、电视，利用全国重点文物保护单位的，报国务院文物行政部门审批；利用市级或者区、县级文物保护单位的，报市文物行政部门审批。举办展销和其他大型活动，利用全国重点文物保护单位或者市级文物保护单位的，报市文物行政部门审批；利用区、县级文物保护单位的，报区、县文物行政部门审批。更改拍摄或者活动计划的，应当报原批准的文物行政部门重新批准。</w:t>
      </w:r>
    </w:p>
    <w:p w14:paraId="1BF773BF">
      <w:pPr>
        <w:jc w:val="left"/>
        <w:rPr>
          <w:rFonts w:ascii="宋体" w:hAnsi="宋体"/>
          <w:kern w:val="44"/>
        </w:rPr>
      </w:pPr>
      <w:r>
        <w:rPr>
          <w:rFonts w:hint="eastAsia" w:ascii="宋体" w:hAnsi="宋体"/>
          <w:kern w:val="44"/>
        </w:rPr>
        <w:t>拍摄单位和举办者应当制定文物保护预案，落实保护措施。文物行政部门应当对拍摄单位和举办者的活动进行监督。</w:t>
      </w:r>
    </w:p>
    <w:p w14:paraId="796DBD32">
      <w:pPr>
        <w:jc w:val="left"/>
        <w:rPr>
          <w:rFonts w:ascii="宋体" w:hAnsi="宋体"/>
          <w:kern w:val="44"/>
        </w:rPr>
      </w:pPr>
      <w:r>
        <w:rPr>
          <w:rFonts w:hint="eastAsia" w:ascii="宋体" w:hAnsi="宋体"/>
          <w:kern w:val="44"/>
        </w:rPr>
        <w:t>利用文物保护单位拍摄电影、电视以及举办展销和其他大型活动，文物保护单位所得收益应当用于文物保护。</w:t>
      </w:r>
    </w:p>
    <w:p w14:paraId="7BF1838A">
      <w:pPr>
        <w:ind w:firstLine="422"/>
        <w:jc w:val="left"/>
        <w:rPr>
          <w:rFonts w:ascii="宋体" w:hAnsi="宋体"/>
          <w:kern w:val="44"/>
        </w:rPr>
      </w:pPr>
      <w:r>
        <w:rPr>
          <w:rFonts w:hint="eastAsia" w:ascii="宋体" w:hAnsi="宋体"/>
          <w:b/>
          <w:kern w:val="44"/>
        </w:rPr>
        <w:t>第十七条</w:t>
      </w:r>
      <w:r>
        <w:rPr>
          <w:rFonts w:hint="eastAsia" w:ascii="宋体" w:hAnsi="宋体"/>
          <w:kern w:val="44"/>
        </w:rPr>
        <w:t>　核定为文物保护单位的国有纪念建筑物或者古建筑，除建立博物馆、保管所或者辟为参观游览场所以外，如果必须作其他用途的，应当依法经过审批；并且不得改变文物原状、不得危害文物安全。</w:t>
      </w:r>
    </w:p>
    <w:p w14:paraId="3CD4E8F2">
      <w:pPr>
        <w:ind w:firstLine="422"/>
        <w:jc w:val="left"/>
        <w:rPr>
          <w:rFonts w:ascii="宋体" w:hAnsi="宋体"/>
          <w:kern w:val="44"/>
        </w:rPr>
      </w:pPr>
      <w:r>
        <w:rPr>
          <w:rFonts w:hint="eastAsia" w:ascii="宋体" w:hAnsi="宋体"/>
          <w:b/>
          <w:kern w:val="44"/>
        </w:rPr>
        <w:t>第十八条</w:t>
      </w:r>
      <w:r>
        <w:rPr>
          <w:rFonts w:hint="eastAsia" w:ascii="宋体" w:hAnsi="宋体"/>
          <w:kern w:val="44"/>
        </w:rPr>
        <w:t>　市文物行政部门应当会同市规划行政部门，根据史料、普查资料等对本市行政区域内有可能集中埋藏文物的地区划定地下文物埋藏区，报市人民政府核定并公布。</w:t>
      </w:r>
    </w:p>
    <w:p w14:paraId="531A8F84">
      <w:pPr>
        <w:ind w:firstLine="422"/>
        <w:jc w:val="left"/>
        <w:rPr>
          <w:rFonts w:ascii="宋体" w:hAnsi="宋体"/>
          <w:kern w:val="44"/>
        </w:rPr>
      </w:pPr>
      <w:r>
        <w:rPr>
          <w:rFonts w:hint="eastAsia" w:ascii="宋体" w:hAnsi="宋体"/>
          <w:b/>
          <w:kern w:val="44"/>
        </w:rPr>
        <w:t>第十九条</w:t>
      </w:r>
      <w:r>
        <w:rPr>
          <w:rFonts w:hint="eastAsia" w:ascii="宋体" w:hAnsi="宋体"/>
          <w:kern w:val="44"/>
        </w:rPr>
        <w:t>　在地下文物埋藏区进行建设工程的，建设单位应当在施工前报请市文物行政部门组织考古调查、勘探。</w:t>
      </w:r>
    </w:p>
    <w:p w14:paraId="1AB4DAE7">
      <w:pPr>
        <w:jc w:val="left"/>
        <w:rPr>
          <w:rFonts w:ascii="宋体" w:hAnsi="宋体"/>
          <w:kern w:val="44"/>
        </w:rPr>
      </w:pPr>
      <w:r>
        <w:rPr>
          <w:rFonts w:hint="eastAsia" w:ascii="宋体" w:hAnsi="宋体"/>
          <w:kern w:val="44"/>
        </w:rPr>
        <w:t>在旧城区进行建设用地一万平方米以上建设工程的，建设单位应当在施工前报请市文物行政部门组织在工程范围内有可能埋藏文物的地方进行考古调查、勘探。</w:t>
      </w:r>
    </w:p>
    <w:p w14:paraId="262BE9C0">
      <w:pPr>
        <w:jc w:val="left"/>
        <w:rPr>
          <w:rFonts w:ascii="宋体" w:hAnsi="宋体"/>
          <w:kern w:val="44"/>
        </w:rPr>
      </w:pPr>
      <w:r>
        <w:rPr>
          <w:rFonts w:hint="eastAsia" w:ascii="宋体" w:hAnsi="宋体"/>
          <w:kern w:val="44"/>
        </w:rPr>
        <w:t>市文物行政部门应当自收到申请之日起五日内组织考古调查、勘探。考古调查、勘探中发现文物的，由市文物行政部门根据文物保护的要求会同建设单位共同商定保护措施。在发现重要文物的区域，市文物行政部门可以会同市规划行政部门划定临时禁止建设区。</w:t>
      </w:r>
    </w:p>
    <w:p w14:paraId="4D59916B">
      <w:pPr>
        <w:ind w:firstLine="422"/>
        <w:jc w:val="left"/>
        <w:rPr>
          <w:rFonts w:ascii="宋体" w:hAnsi="宋体"/>
          <w:kern w:val="44"/>
        </w:rPr>
      </w:pPr>
      <w:r>
        <w:rPr>
          <w:rFonts w:hint="eastAsia" w:ascii="宋体" w:hAnsi="宋体"/>
          <w:b/>
          <w:kern w:val="44"/>
        </w:rPr>
        <w:t>第二十条</w:t>
      </w:r>
      <w:r>
        <w:rPr>
          <w:rFonts w:hint="eastAsia" w:ascii="宋体" w:hAnsi="宋体"/>
          <w:kern w:val="44"/>
        </w:rPr>
        <w:t>　博物馆、图书馆和其他文物收藏单位对收藏的文物，应当按照国家有关规定区分等级，设置藏品档案。藏品档案应当报与批准其设立的行政部门级别相应的文物行政部门备案。馆藏文物等级区分不准确、文物藏品档案不完整的，文物行政部门责令其改正。</w:t>
      </w:r>
    </w:p>
    <w:p w14:paraId="28C1FD8E">
      <w:pPr>
        <w:ind w:firstLine="422"/>
        <w:jc w:val="left"/>
        <w:rPr>
          <w:rFonts w:ascii="宋体" w:hAnsi="宋体"/>
          <w:kern w:val="44"/>
        </w:rPr>
      </w:pPr>
      <w:r>
        <w:rPr>
          <w:rFonts w:hint="eastAsia" w:ascii="宋体" w:hAnsi="宋体"/>
          <w:b/>
          <w:kern w:val="44"/>
        </w:rPr>
        <w:t>第二十一条</w:t>
      </w:r>
      <w:r>
        <w:rPr>
          <w:rFonts w:hint="eastAsia" w:ascii="宋体" w:hAnsi="宋体"/>
          <w:kern w:val="44"/>
        </w:rPr>
        <w:t>　博物馆、图书馆和其他文物收藏单位应当对馆藏文物科学分类，妥善保管。馆藏文物应当设立专库保管，馆藏一级文物应当单独设立专库或者专柜保管。无条件设立专库或者专柜保管国有馆藏珍贵文物的，市文物行政部门指定有保管条件的单位代为保管。</w:t>
      </w:r>
    </w:p>
    <w:p w14:paraId="080D1732">
      <w:pPr>
        <w:ind w:firstLine="422"/>
        <w:jc w:val="left"/>
        <w:rPr>
          <w:rFonts w:ascii="宋体" w:hAnsi="宋体"/>
          <w:kern w:val="44"/>
        </w:rPr>
      </w:pPr>
      <w:r>
        <w:rPr>
          <w:rFonts w:hint="eastAsia" w:ascii="宋体" w:hAnsi="宋体"/>
          <w:b/>
          <w:kern w:val="44"/>
        </w:rPr>
        <w:t>第二十二条</w:t>
      </w:r>
      <w:r>
        <w:rPr>
          <w:rFonts w:hint="eastAsia" w:ascii="宋体" w:hAnsi="宋体"/>
          <w:kern w:val="44"/>
        </w:rPr>
        <w:t>　博物馆、图书馆和其他文物收藏单位应当建立馆藏文物核查制度，对馆藏文物定期进行检查。</w:t>
      </w:r>
    </w:p>
    <w:p w14:paraId="36ED59EE">
      <w:pPr>
        <w:ind w:firstLine="422"/>
        <w:jc w:val="left"/>
        <w:rPr>
          <w:rFonts w:ascii="宋体" w:hAnsi="宋体"/>
          <w:kern w:val="44"/>
        </w:rPr>
      </w:pPr>
      <w:r>
        <w:rPr>
          <w:rFonts w:hint="eastAsia" w:ascii="宋体" w:hAnsi="宋体"/>
          <w:b/>
          <w:kern w:val="44"/>
        </w:rPr>
        <w:t>第二十三条</w:t>
      </w:r>
      <w:r>
        <w:rPr>
          <w:rFonts w:hint="eastAsia" w:ascii="宋体" w:hAnsi="宋体"/>
          <w:kern w:val="44"/>
        </w:rPr>
        <w:t>　已经建立完整藏品档案的国有博物馆、图书馆和其他文物收藏单位，申请交换馆藏二级以下文物的，交换双方应当向市文物行政部门提出书面申请，申请内容包括交换馆藏文物的名称、价值，交换的原因、用途、补偿方式，交换单位的背景资料，协议书副本。经市文物行政部门批准后方可交换。</w:t>
      </w:r>
    </w:p>
    <w:p w14:paraId="1245A1D6">
      <w:pPr>
        <w:jc w:val="left"/>
        <w:rPr>
          <w:rFonts w:ascii="宋体" w:hAnsi="宋体"/>
          <w:kern w:val="44"/>
        </w:rPr>
      </w:pPr>
      <w:r>
        <w:rPr>
          <w:rFonts w:hint="eastAsia" w:ascii="宋体" w:hAnsi="宋体"/>
          <w:kern w:val="44"/>
        </w:rPr>
        <w:t>馆藏文物交换双方应当对文物交换情况予以记录，对藏品档案作相应变更。</w:t>
      </w:r>
    </w:p>
    <w:p w14:paraId="6CEA5B5F">
      <w:pPr>
        <w:ind w:firstLine="422"/>
        <w:jc w:val="left"/>
        <w:rPr>
          <w:rFonts w:ascii="宋体" w:hAnsi="宋体"/>
          <w:kern w:val="44"/>
        </w:rPr>
      </w:pPr>
      <w:r>
        <w:rPr>
          <w:rFonts w:hint="eastAsia" w:ascii="宋体" w:hAnsi="宋体"/>
          <w:b/>
          <w:kern w:val="44"/>
        </w:rPr>
        <w:t>第二十四条</w:t>
      </w:r>
      <w:r>
        <w:rPr>
          <w:rFonts w:hint="eastAsia" w:ascii="宋体" w:hAnsi="宋体"/>
          <w:kern w:val="44"/>
        </w:rPr>
        <w:t>　交换馆藏文物不得破坏原有馆藏文物正常序列，不得破坏已经形成的展览体系。</w:t>
      </w:r>
    </w:p>
    <w:p w14:paraId="37814F46">
      <w:pPr>
        <w:ind w:firstLine="422"/>
        <w:jc w:val="left"/>
        <w:rPr>
          <w:rFonts w:ascii="宋体" w:hAnsi="宋体"/>
          <w:kern w:val="44"/>
        </w:rPr>
      </w:pPr>
      <w:r>
        <w:rPr>
          <w:rFonts w:hint="eastAsia" w:ascii="宋体" w:hAnsi="宋体"/>
          <w:b/>
          <w:kern w:val="44"/>
        </w:rPr>
        <w:t>第二十五条</w:t>
      </w:r>
      <w:r>
        <w:rPr>
          <w:rFonts w:hint="eastAsia" w:ascii="宋体" w:hAnsi="宋体"/>
          <w:kern w:val="44"/>
        </w:rPr>
        <w:t>　非国有文物收藏单位和其他单位举办展览借用国有馆藏二级以下文物的，出借方应当向市或者区、县文物行政部门提出书面申请，申请内容包括出借馆藏文物的名称、价值，借用的原因、用途，借用单位的背景资料，协议书副本。经文物行政部门批准后方可出借。</w:t>
      </w:r>
    </w:p>
    <w:p w14:paraId="5A29AA46">
      <w:pPr>
        <w:ind w:firstLine="422"/>
        <w:jc w:val="left"/>
        <w:rPr>
          <w:rFonts w:ascii="宋体" w:hAnsi="宋体"/>
          <w:kern w:val="44"/>
        </w:rPr>
      </w:pPr>
      <w:r>
        <w:rPr>
          <w:rFonts w:hint="eastAsia" w:ascii="宋体" w:hAnsi="宋体"/>
          <w:b/>
          <w:kern w:val="44"/>
        </w:rPr>
        <w:t>第二十六条</w:t>
      </w:r>
      <w:r>
        <w:rPr>
          <w:rFonts w:hint="eastAsia" w:ascii="宋体" w:hAnsi="宋体"/>
          <w:kern w:val="44"/>
        </w:rPr>
        <w:t>　修复、复制、拓印以及为制作出版物、音像制品等拍摄馆藏珍贵文物的，文物收藏单位应当报市文物行政部门依法审核或者批准。</w:t>
      </w:r>
    </w:p>
    <w:p w14:paraId="0A1E26F3">
      <w:pPr>
        <w:ind w:firstLine="422"/>
        <w:jc w:val="left"/>
        <w:rPr>
          <w:rFonts w:ascii="宋体" w:hAnsi="宋体"/>
          <w:kern w:val="44"/>
        </w:rPr>
      </w:pPr>
      <w:r>
        <w:rPr>
          <w:rFonts w:hint="eastAsia" w:ascii="宋体" w:hAnsi="宋体"/>
          <w:b/>
          <w:kern w:val="44"/>
        </w:rPr>
        <w:t>第二十七条</w:t>
      </w:r>
      <w:r>
        <w:rPr>
          <w:rFonts w:hint="eastAsia" w:ascii="宋体" w:hAnsi="宋体"/>
          <w:kern w:val="44"/>
        </w:rPr>
        <w:t>　文物商店不得剥除、更换、挪用、损毁或者伪造市文物行政部门粘贴在允许销售的文物上的标识。</w:t>
      </w:r>
    </w:p>
    <w:p w14:paraId="5C851862">
      <w:pPr>
        <w:ind w:firstLine="422"/>
        <w:jc w:val="left"/>
        <w:rPr>
          <w:rFonts w:ascii="宋体" w:hAnsi="宋体"/>
          <w:kern w:val="44"/>
        </w:rPr>
      </w:pPr>
      <w:r>
        <w:rPr>
          <w:rFonts w:hint="eastAsia" w:ascii="宋体" w:hAnsi="宋体"/>
          <w:b/>
          <w:kern w:val="44"/>
        </w:rPr>
        <w:t>第二十八条</w:t>
      </w:r>
      <w:r>
        <w:rPr>
          <w:rFonts w:hint="eastAsia" w:ascii="宋体" w:hAnsi="宋体"/>
          <w:kern w:val="44"/>
        </w:rPr>
        <w:t>　文物商店应当对购买、销售的文物做出记录，并于购买、销售之日起三个月内向市文物行政部门备案。</w:t>
      </w:r>
    </w:p>
    <w:p w14:paraId="322D13E6">
      <w:pPr>
        <w:jc w:val="left"/>
        <w:rPr>
          <w:rFonts w:ascii="宋体" w:hAnsi="宋体"/>
          <w:kern w:val="44"/>
        </w:rPr>
      </w:pPr>
      <w:r>
        <w:rPr>
          <w:rFonts w:hint="eastAsia" w:ascii="宋体" w:hAnsi="宋体"/>
          <w:kern w:val="44"/>
        </w:rPr>
        <w:t>文物拍卖企业应当对拍卖的文物做出记录，并将由市文物行政部门核准拍卖的文物记录于拍卖结束之日起三个月内向市文物行政部门备案。</w:t>
      </w:r>
    </w:p>
    <w:p w14:paraId="2CCBA34A">
      <w:pPr>
        <w:ind w:firstLine="422"/>
        <w:jc w:val="left"/>
        <w:rPr>
          <w:rFonts w:ascii="宋体" w:hAnsi="宋体"/>
          <w:kern w:val="44"/>
        </w:rPr>
      </w:pPr>
      <w:r>
        <w:rPr>
          <w:rFonts w:hint="eastAsia" w:ascii="宋体" w:hAnsi="宋体"/>
          <w:b/>
          <w:kern w:val="44"/>
        </w:rPr>
        <w:t>第二十九条</w:t>
      </w:r>
      <w:r>
        <w:rPr>
          <w:rFonts w:hint="eastAsia" w:ascii="宋体" w:hAnsi="宋体"/>
          <w:kern w:val="44"/>
        </w:rPr>
        <w:t>　有下列行为之一的，由市或者区、县文物行政部门责令改正，造成严重后果的，处五万元以上五十万元以下的罚款：</w:t>
      </w:r>
    </w:p>
    <w:p w14:paraId="076D6BB1">
      <w:pPr>
        <w:jc w:val="left"/>
        <w:rPr>
          <w:rFonts w:ascii="宋体" w:hAnsi="宋体"/>
          <w:kern w:val="44"/>
        </w:rPr>
      </w:pPr>
      <w:r>
        <w:rPr>
          <w:rFonts w:hint="eastAsia" w:ascii="宋体" w:hAnsi="宋体"/>
          <w:kern w:val="44"/>
        </w:rPr>
        <w:t>（一）违反本办法第十三条第一款规定，擅自变更修缮方案修缮不可移动文物，明显改变文物原状的；</w:t>
      </w:r>
    </w:p>
    <w:p w14:paraId="6123EDAA">
      <w:pPr>
        <w:jc w:val="left"/>
        <w:rPr>
          <w:rFonts w:ascii="宋体" w:hAnsi="宋体"/>
          <w:kern w:val="44"/>
        </w:rPr>
      </w:pPr>
      <w:r>
        <w:rPr>
          <w:rFonts w:hint="eastAsia" w:ascii="宋体" w:hAnsi="宋体"/>
          <w:kern w:val="44"/>
        </w:rPr>
        <w:t>（二）违反本办法第十三条第二款规定，对文物建筑进行装修，不符合文物建筑装修标准，对文物建筑造成破坏的；</w:t>
      </w:r>
    </w:p>
    <w:p w14:paraId="7287ACD0">
      <w:pPr>
        <w:jc w:val="left"/>
        <w:rPr>
          <w:rFonts w:ascii="宋体" w:hAnsi="宋体"/>
          <w:kern w:val="44"/>
        </w:rPr>
      </w:pPr>
      <w:r>
        <w:rPr>
          <w:rFonts w:hint="eastAsia" w:ascii="宋体" w:hAnsi="宋体"/>
          <w:kern w:val="44"/>
        </w:rPr>
        <w:t>（三）违反本办法第十四条第一款规定，安装、使用自动报警、灭火、避雷等设施对文物建筑造成破坏的；</w:t>
      </w:r>
    </w:p>
    <w:p w14:paraId="291B3457">
      <w:pPr>
        <w:jc w:val="left"/>
        <w:rPr>
          <w:rFonts w:ascii="宋体" w:hAnsi="宋体"/>
          <w:kern w:val="44"/>
        </w:rPr>
      </w:pPr>
      <w:r>
        <w:rPr>
          <w:rFonts w:hint="eastAsia" w:ascii="宋体" w:hAnsi="宋体"/>
          <w:kern w:val="44"/>
        </w:rPr>
        <w:t>（四）违反本办法第十四条第二款规定，遇有危及文物安全的重大险情，未及时采取措施或者未向文物行政部门报告的。</w:t>
      </w:r>
    </w:p>
    <w:p w14:paraId="296053CB">
      <w:pPr>
        <w:ind w:firstLine="422"/>
        <w:jc w:val="left"/>
        <w:rPr>
          <w:rFonts w:ascii="宋体" w:hAnsi="宋体"/>
          <w:kern w:val="44"/>
        </w:rPr>
      </w:pPr>
      <w:r>
        <w:rPr>
          <w:rFonts w:hint="eastAsia" w:ascii="宋体" w:hAnsi="宋体"/>
          <w:b/>
          <w:kern w:val="44"/>
        </w:rPr>
        <w:t>第三十条</w:t>
      </w:r>
      <w:r>
        <w:rPr>
          <w:rFonts w:hint="eastAsia" w:ascii="宋体" w:hAnsi="宋体"/>
          <w:kern w:val="44"/>
        </w:rPr>
        <w:t>　违反本办法第十六条的规定，拍摄单位擅自拍摄或者更改拍摄计划，由市文物行政部门责令改正，收缴非法录制品，并处五万元以上十万元以下的罚款。</w:t>
      </w:r>
    </w:p>
    <w:p w14:paraId="5E20D369">
      <w:pPr>
        <w:jc w:val="left"/>
        <w:rPr>
          <w:rFonts w:ascii="宋体" w:hAnsi="宋体"/>
          <w:kern w:val="44"/>
        </w:rPr>
      </w:pPr>
      <w:r>
        <w:rPr>
          <w:rFonts w:hint="eastAsia" w:ascii="宋体" w:hAnsi="宋体"/>
          <w:kern w:val="44"/>
        </w:rPr>
        <w:t>举办者擅自举办活动或者更改活动计划，由原批准的文物行政部门责令改正，没收违法所得，并处十万元以上二十万元以下的罚款。</w:t>
      </w:r>
    </w:p>
    <w:p w14:paraId="7AB08598">
      <w:pPr>
        <w:ind w:firstLine="422"/>
        <w:jc w:val="left"/>
        <w:rPr>
          <w:rFonts w:ascii="宋体" w:hAnsi="宋体"/>
          <w:kern w:val="44"/>
        </w:rPr>
      </w:pPr>
      <w:r>
        <w:rPr>
          <w:rFonts w:hint="eastAsia" w:ascii="宋体" w:hAnsi="宋体"/>
          <w:b/>
          <w:kern w:val="44"/>
        </w:rPr>
        <w:t>第三十一条</w:t>
      </w:r>
      <w:r>
        <w:rPr>
          <w:rFonts w:hint="eastAsia" w:ascii="宋体" w:hAnsi="宋体"/>
          <w:kern w:val="44"/>
        </w:rPr>
        <w:t>　违反本办法第二十七条的规定，文物商店剥除、更换、挪用、损毁或者伪造市文物行政部门粘贴在允许销售的文物上的标识，由市文物行政部门责令改正，并处五千元以上五万元以下的罚款。</w:t>
      </w:r>
    </w:p>
    <w:p w14:paraId="7D1EE43D">
      <w:pPr>
        <w:ind w:firstLine="422"/>
        <w:jc w:val="left"/>
        <w:rPr>
          <w:rFonts w:ascii="宋体" w:hAnsi="宋体"/>
          <w:kern w:val="44"/>
        </w:rPr>
      </w:pPr>
      <w:r>
        <w:rPr>
          <w:rFonts w:hint="eastAsia" w:ascii="宋体" w:hAnsi="宋体"/>
          <w:b/>
          <w:kern w:val="44"/>
        </w:rPr>
        <w:t>第三十二条</w:t>
      </w:r>
      <w:r>
        <w:rPr>
          <w:rFonts w:hint="eastAsia" w:ascii="宋体" w:hAnsi="宋体"/>
          <w:kern w:val="44"/>
        </w:rPr>
        <w:t>　本办法自2004年10月1日起施行。</w:t>
      </w:r>
    </w:p>
    <w:p w14:paraId="35CE3F7F">
      <w:pPr>
        <w:jc w:val="left"/>
        <w:rPr>
          <w:rFonts w:ascii="宋体" w:hAnsi="宋体"/>
          <w:kern w:val="44"/>
        </w:rPr>
      </w:pPr>
      <w:r>
        <w:rPr>
          <w:rFonts w:hint="eastAsia" w:ascii="宋体" w:hAnsi="宋体"/>
          <w:kern w:val="44"/>
        </w:rPr>
        <w:t>1987年6月23日市第八届人民代表大会常务委员会第三十七次会议通过、1997年10月16日市第十届人民代表大会常务委员会第四十次会议修改的《北京市文物保护管理条例》以及1993年5月4日市人民政府批准、1993年10月23日市文物事业管理局发布、1997年12月31日市政府第十二号令修改的《北京市馆藏文物管理规定》同时废止。</w:t>
      </w:r>
    </w:p>
    <w:p w14:paraId="474276F7">
      <w:pPr>
        <w:pStyle w:val="4"/>
        <w:pageBreakBefore/>
        <w:rPr>
          <w:kern w:val="44"/>
        </w:rPr>
      </w:pPr>
      <w:bookmarkStart w:id="1640" w:name="_Toc427651677"/>
      <w:bookmarkStart w:id="1641" w:name="_Toc428781725"/>
      <w:bookmarkStart w:id="1642" w:name="_Toc428780243"/>
      <w:bookmarkStart w:id="1643" w:name="_Toc427652019"/>
      <w:bookmarkStart w:id="1644" w:name="_Toc422471428"/>
      <w:r>
        <w:rPr>
          <w:rFonts w:hint="eastAsia"/>
          <w:kern w:val="44"/>
        </w:rPr>
        <w:t>北京历史文化名城保护条例</w:t>
      </w:r>
      <w:bookmarkEnd w:id="1640"/>
      <w:bookmarkEnd w:id="1641"/>
      <w:bookmarkEnd w:id="1642"/>
      <w:bookmarkEnd w:id="1643"/>
      <w:bookmarkEnd w:id="1644"/>
    </w:p>
    <w:p w14:paraId="150D9B1E">
      <w:pPr>
        <w:ind w:left="630" w:leftChars="300" w:right="630" w:rightChars="300"/>
        <w:jc w:val="left"/>
        <w:rPr>
          <w:rFonts w:ascii="楷体" w:hAnsi="楷体" w:eastAsia="楷体"/>
          <w:kern w:val="44"/>
        </w:rPr>
      </w:pPr>
      <w:r>
        <w:rPr>
          <w:rFonts w:hint="eastAsia" w:ascii="楷体" w:hAnsi="楷体" w:eastAsia="楷体"/>
          <w:kern w:val="44"/>
        </w:rPr>
        <w:t>（2005年3月25日北京市第十二届人民代表大会常务委员会第十九次会议通过）</w:t>
      </w:r>
    </w:p>
    <w:p w14:paraId="4E76587A">
      <w:pPr>
        <w:jc w:val="left"/>
        <w:rPr>
          <w:rFonts w:ascii="宋体" w:hAnsi="宋体"/>
          <w:kern w:val="44"/>
        </w:rPr>
      </w:pPr>
    </w:p>
    <w:p w14:paraId="5EB2B2F5">
      <w:pPr>
        <w:ind w:firstLine="0" w:firstLineChars="0"/>
        <w:jc w:val="center"/>
        <w:rPr>
          <w:rFonts w:ascii="宋体" w:hAnsi="宋体"/>
          <w:b/>
          <w:kern w:val="44"/>
          <w:sz w:val="28"/>
        </w:rPr>
      </w:pPr>
      <w:r>
        <w:rPr>
          <w:rFonts w:hint="eastAsia" w:ascii="宋体" w:hAnsi="宋体"/>
          <w:b/>
          <w:kern w:val="44"/>
          <w:sz w:val="28"/>
        </w:rPr>
        <w:t>第一章　总　则</w:t>
      </w:r>
    </w:p>
    <w:p w14:paraId="606F1A60">
      <w:pPr>
        <w:jc w:val="left"/>
        <w:rPr>
          <w:rFonts w:ascii="宋体" w:hAnsi="宋体"/>
          <w:kern w:val="44"/>
        </w:rPr>
      </w:pPr>
    </w:p>
    <w:p w14:paraId="4169DD92">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为了加强对北京历史文化名城的保护，根据国家城乡规划、文物保护等有关法律、法规，结合本市实际情况，制定本条例。</w:t>
      </w:r>
    </w:p>
    <w:p w14:paraId="7E474B83">
      <w:pPr>
        <w:ind w:firstLine="422"/>
        <w:jc w:val="left"/>
        <w:rPr>
          <w:rFonts w:ascii="宋体" w:hAnsi="宋体"/>
          <w:kern w:val="44"/>
        </w:rPr>
      </w:pPr>
      <w:r>
        <w:rPr>
          <w:rFonts w:hint="eastAsia" w:ascii="宋体" w:hAnsi="宋体"/>
          <w:b/>
          <w:kern w:val="44"/>
        </w:rPr>
        <w:t>第二条</w:t>
      </w:r>
      <w:r>
        <w:rPr>
          <w:rFonts w:hint="eastAsia" w:ascii="宋体" w:hAnsi="宋体"/>
          <w:kern w:val="44"/>
        </w:rPr>
        <w:t>　北京历史文化名城的保护，适用本条例。其中文物、古树名木的保护，法律、法规已有规定的，依照有关法律、法规的规定执行。</w:t>
      </w:r>
    </w:p>
    <w:p w14:paraId="0FBEB0DF">
      <w:pPr>
        <w:ind w:firstLine="422"/>
        <w:jc w:val="left"/>
        <w:rPr>
          <w:rFonts w:ascii="宋体" w:hAnsi="宋体"/>
          <w:kern w:val="44"/>
        </w:rPr>
      </w:pPr>
      <w:r>
        <w:rPr>
          <w:rFonts w:hint="eastAsia" w:ascii="宋体" w:hAnsi="宋体"/>
          <w:b/>
          <w:kern w:val="44"/>
        </w:rPr>
        <w:t>第三条</w:t>
      </w:r>
      <w:r>
        <w:rPr>
          <w:rFonts w:hint="eastAsia" w:ascii="宋体" w:hAnsi="宋体"/>
          <w:kern w:val="44"/>
        </w:rPr>
        <w:t>　北京历史文化名城保护工作，应当坚持统筹规划、统一管理、保护为主、合理利用的原则。</w:t>
      </w:r>
    </w:p>
    <w:p w14:paraId="225DDCDE">
      <w:pPr>
        <w:ind w:firstLine="422"/>
        <w:jc w:val="left"/>
        <w:rPr>
          <w:rFonts w:ascii="宋体" w:hAnsi="宋体"/>
          <w:kern w:val="44"/>
        </w:rPr>
      </w:pPr>
      <w:r>
        <w:rPr>
          <w:rFonts w:hint="eastAsia" w:ascii="宋体" w:hAnsi="宋体"/>
          <w:b/>
          <w:kern w:val="44"/>
        </w:rPr>
        <w:t>第四条</w:t>
      </w:r>
      <w:r>
        <w:rPr>
          <w:rFonts w:hint="eastAsia" w:ascii="宋体" w:hAnsi="宋体"/>
          <w:kern w:val="44"/>
        </w:rPr>
        <w:t>　市人民政府统一领导北京历史文化名城的保护工作。</w:t>
      </w:r>
    </w:p>
    <w:p w14:paraId="662DEE00">
      <w:pPr>
        <w:jc w:val="left"/>
        <w:rPr>
          <w:rFonts w:ascii="宋体" w:hAnsi="宋体"/>
          <w:kern w:val="44"/>
        </w:rPr>
      </w:pPr>
      <w:r>
        <w:rPr>
          <w:rFonts w:hint="eastAsia" w:ascii="宋体" w:hAnsi="宋体"/>
          <w:kern w:val="44"/>
        </w:rPr>
        <w:t>区、县人民政府负责本辖区内有关北京历史文化名城保护的具体工作。</w:t>
      </w:r>
    </w:p>
    <w:p w14:paraId="2C8CB156">
      <w:pPr>
        <w:jc w:val="left"/>
        <w:rPr>
          <w:rFonts w:ascii="宋体" w:hAnsi="宋体"/>
          <w:kern w:val="44"/>
        </w:rPr>
      </w:pPr>
      <w:r>
        <w:rPr>
          <w:rFonts w:hint="eastAsia" w:ascii="宋体" w:hAnsi="宋体"/>
          <w:kern w:val="44"/>
        </w:rPr>
        <w:t>市规划行政主管部门负责北京历史文化名城保护的规划管理工作。</w:t>
      </w:r>
    </w:p>
    <w:p w14:paraId="4F5B61B4">
      <w:pPr>
        <w:jc w:val="left"/>
        <w:rPr>
          <w:rFonts w:ascii="宋体" w:hAnsi="宋体"/>
          <w:kern w:val="44"/>
        </w:rPr>
      </w:pPr>
      <w:r>
        <w:rPr>
          <w:rFonts w:hint="eastAsia" w:ascii="宋体" w:hAnsi="宋体"/>
          <w:kern w:val="44"/>
        </w:rPr>
        <w:t>市文物行政主管部门应当按照本条例规定的职责，负责具有保护价值的建筑的保护工作，参与北京历史文化名城保护规划的编制、保护措施的制定、历史文化街区的认定等工作。</w:t>
      </w:r>
    </w:p>
    <w:p w14:paraId="73B3282F">
      <w:pPr>
        <w:jc w:val="left"/>
        <w:rPr>
          <w:rFonts w:ascii="宋体" w:hAnsi="宋体"/>
          <w:kern w:val="44"/>
        </w:rPr>
      </w:pPr>
      <w:r>
        <w:rPr>
          <w:rFonts w:hint="eastAsia" w:ascii="宋体" w:hAnsi="宋体"/>
          <w:kern w:val="44"/>
        </w:rPr>
        <w:t>发展改革、财政、建设、国土资源、水务、市政管理、园林、旅游、宗教事务和区县文物等行政主管部门，应当按照各自职责，负责北京历史文化名城保护的相关工作。</w:t>
      </w:r>
    </w:p>
    <w:p w14:paraId="098CEBBC">
      <w:pPr>
        <w:ind w:firstLine="422"/>
        <w:jc w:val="left"/>
        <w:rPr>
          <w:rFonts w:ascii="宋体" w:hAnsi="宋体"/>
          <w:kern w:val="44"/>
        </w:rPr>
      </w:pPr>
      <w:r>
        <w:rPr>
          <w:rFonts w:hint="eastAsia" w:ascii="宋体" w:hAnsi="宋体"/>
          <w:b/>
          <w:kern w:val="44"/>
        </w:rPr>
        <w:t>第五条</w:t>
      </w:r>
      <w:r>
        <w:rPr>
          <w:rFonts w:hint="eastAsia" w:ascii="宋体" w:hAnsi="宋体"/>
          <w:kern w:val="44"/>
        </w:rPr>
        <w:t>　本市应当统筹协调国民经济和社会发展与北京历史文化名城保护工作，将北京历史文化名城保护纳入国民经济和社会发展规划和年度计划。</w:t>
      </w:r>
    </w:p>
    <w:p w14:paraId="16C74DB5">
      <w:pPr>
        <w:ind w:firstLine="422"/>
        <w:jc w:val="left"/>
        <w:rPr>
          <w:rFonts w:ascii="宋体" w:hAnsi="宋体"/>
          <w:kern w:val="44"/>
        </w:rPr>
      </w:pPr>
      <w:r>
        <w:rPr>
          <w:rFonts w:hint="eastAsia" w:ascii="宋体" w:hAnsi="宋体"/>
          <w:b/>
          <w:kern w:val="44"/>
        </w:rPr>
        <w:t>第六条</w:t>
      </w:r>
      <w:r>
        <w:rPr>
          <w:rFonts w:hint="eastAsia" w:ascii="宋体" w:hAnsi="宋体"/>
          <w:kern w:val="44"/>
        </w:rPr>
        <w:t>　市和区、县人民政府应当在本级财政预算中安排北京历史文化名城保护资金，并将其纳入政府投资管理程序执行。</w:t>
      </w:r>
    </w:p>
    <w:p w14:paraId="1BA7ABF4">
      <w:pPr>
        <w:ind w:firstLine="422"/>
        <w:jc w:val="left"/>
        <w:rPr>
          <w:rFonts w:ascii="宋体" w:hAnsi="宋体"/>
          <w:kern w:val="44"/>
        </w:rPr>
      </w:pPr>
      <w:r>
        <w:rPr>
          <w:rFonts w:hint="eastAsia" w:ascii="宋体" w:hAnsi="宋体"/>
          <w:b/>
          <w:kern w:val="44"/>
        </w:rPr>
        <w:t>第七条</w:t>
      </w:r>
      <w:r>
        <w:rPr>
          <w:rFonts w:hint="eastAsia" w:ascii="宋体" w:hAnsi="宋体"/>
          <w:kern w:val="44"/>
        </w:rPr>
        <w:t>　本市鼓励单位和个人以捐赠、资助、提供技术服务或者提出建议等方式参与北京历史文化名城的保护工作。</w:t>
      </w:r>
    </w:p>
    <w:p w14:paraId="1F760FB4">
      <w:pPr>
        <w:jc w:val="left"/>
        <w:rPr>
          <w:rFonts w:ascii="宋体" w:hAnsi="宋体"/>
          <w:kern w:val="44"/>
        </w:rPr>
      </w:pPr>
      <w:r>
        <w:rPr>
          <w:rFonts w:hint="eastAsia" w:ascii="宋体" w:hAnsi="宋体"/>
          <w:kern w:val="44"/>
        </w:rPr>
        <w:t>本市支持与北京历史文化名城保护相关的科学研究、技术创新和专业人才的培养。</w:t>
      </w:r>
    </w:p>
    <w:p w14:paraId="7E7FA3B8">
      <w:pPr>
        <w:ind w:firstLine="422"/>
        <w:jc w:val="left"/>
        <w:rPr>
          <w:rFonts w:ascii="宋体" w:hAnsi="宋体"/>
          <w:kern w:val="44"/>
        </w:rPr>
      </w:pPr>
      <w:r>
        <w:rPr>
          <w:rFonts w:hint="eastAsia" w:ascii="宋体" w:hAnsi="宋体"/>
          <w:b/>
          <w:kern w:val="44"/>
        </w:rPr>
        <w:t>第八条</w:t>
      </w:r>
      <w:r>
        <w:rPr>
          <w:rFonts w:hint="eastAsia" w:ascii="宋体" w:hAnsi="宋体"/>
          <w:kern w:val="44"/>
        </w:rPr>
        <w:t>　任何单位和个人都有保护北京历史文化名城的义务，并有权对保护规划的制定和实施提出建议，对破坏北京历史文化名城的行为进行劝阻、检举和控告。</w:t>
      </w:r>
    </w:p>
    <w:p w14:paraId="3FCB305A">
      <w:pPr>
        <w:ind w:firstLine="422"/>
        <w:jc w:val="left"/>
        <w:rPr>
          <w:rFonts w:ascii="宋体" w:hAnsi="宋体"/>
          <w:kern w:val="44"/>
        </w:rPr>
      </w:pPr>
      <w:r>
        <w:rPr>
          <w:rFonts w:hint="eastAsia" w:ascii="宋体" w:hAnsi="宋体"/>
          <w:b/>
          <w:kern w:val="44"/>
        </w:rPr>
        <w:t>第九条</w:t>
      </w:r>
      <w:r>
        <w:rPr>
          <w:rFonts w:hint="eastAsia" w:ascii="宋体" w:hAnsi="宋体"/>
          <w:kern w:val="44"/>
        </w:rPr>
        <w:t>　对保护北京历史文化名城做出突出贡献的单位和个人，市和区、县人民政府或者有关行政主管部门应当予以表彰和奖励。</w:t>
      </w:r>
    </w:p>
    <w:p w14:paraId="769ACA78">
      <w:pPr>
        <w:jc w:val="left"/>
        <w:rPr>
          <w:rFonts w:ascii="宋体" w:hAnsi="宋体"/>
          <w:kern w:val="44"/>
        </w:rPr>
      </w:pPr>
    </w:p>
    <w:p w14:paraId="613428E3">
      <w:pPr>
        <w:ind w:firstLine="0" w:firstLineChars="0"/>
        <w:jc w:val="center"/>
        <w:rPr>
          <w:rFonts w:ascii="宋体" w:hAnsi="宋体"/>
          <w:b/>
          <w:kern w:val="44"/>
          <w:sz w:val="28"/>
        </w:rPr>
      </w:pPr>
      <w:r>
        <w:rPr>
          <w:rFonts w:hint="eastAsia" w:ascii="宋体" w:hAnsi="宋体"/>
          <w:b/>
          <w:kern w:val="44"/>
          <w:sz w:val="28"/>
        </w:rPr>
        <w:t>第二章  保护内容</w:t>
      </w:r>
    </w:p>
    <w:p w14:paraId="0DE92CE3">
      <w:pPr>
        <w:jc w:val="left"/>
        <w:rPr>
          <w:rFonts w:ascii="宋体" w:hAnsi="宋体"/>
          <w:kern w:val="44"/>
        </w:rPr>
      </w:pPr>
    </w:p>
    <w:p w14:paraId="26BBEAF8">
      <w:pPr>
        <w:ind w:firstLine="422"/>
        <w:jc w:val="left"/>
        <w:rPr>
          <w:rFonts w:ascii="宋体" w:hAnsi="宋体"/>
          <w:kern w:val="44"/>
        </w:rPr>
      </w:pPr>
      <w:r>
        <w:rPr>
          <w:rFonts w:hint="eastAsia" w:ascii="宋体" w:hAnsi="宋体"/>
          <w:b/>
          <w:kern w:val="44"/>
        </w:rPr>
        <w:t>第十条</w:t>
      </w:r>
      <w:r>
        <w:rPr>
          <w:rFonts w:hint="eastAsia" w:ascii="宋体" w:hAnsi="宋体"/>
          <w:kern w:val="44"/>
        </w:rPr>
        <w:t>　北京历史文化名城的保护内容包括：旧城的整体保护、历史文化街区的保护、文物保护单位的保护、具有保护价值的建筑的保护。</w:t>
      </w:r>
    </w:p>
    <w:p w14:paraId="638DDE34">
      <w:pPr>
        <w:ind w:firstLine="422"/>
        <w:jc w:val="left"/>
        <w:rPr>
          <w:rFonts w:ascii="宋体" w:hAnsi="宋体"/>
          <w:kern w:val="44"/>
        </w:rPr>
      </w:pPr>
      <w:r>
        <w:rPr>
          <w:rFonts w:hint="eastAsia" w:ascii="宋体" w:hAnsi="宋体"/>
          <w:b/>
          <w:kern w:val="44"/>
        </w:rPr>
        <w:t>第十一条</w:t>
      </w:r>
      <w:r>
        <w:rPr>
          <w:rFonts w:hint="eastAsia" w:ascii="宋体" w:hAnsi="宋体"/>
          <w:kern w:val="44"/>
        </w:rPr>
        <w:t>　旧城，是指明清时期北京城护城河及其遗址以内（含护城河及其遗址）的区域。</w:t>
      </w:r>
    </w:p>
    <w:p w14:paraId="0ECBAE66">
      <w:pPr>
        <w:jc w:val="left"/>
        <w:rPr>
          <w:rFonts w:ascii="宋体" w:hAnsi="宋体"/>
          <w:kern w:val="44"/>
        </w:rPr>
      </w:pPr>
      <w:r>
        <w:rPr>
          <w:rFonts w:hint="eastAsia" w:ascii="宋体" w:hAnsi="宋体"/>
          <w:kern w:val="44"/>
        </w:rPr>
        <w:t>旧城的保护内容包括：历史河湖水系、传统中轴线、皇城、旧城“凸”字形城廓、传统街巷胡同格局、建筑高度、城市景观线、街道对景、建筑色彩、古树名木等。</w:t>
      </w:r>
    </w:p>
    <w:p w14:paraId="0202DABB">
      <w:pPr>
        <w:jc w:val="left"/>
        <w:rPr>
          <w:rFonts w:ascii="宋体" w:hAnsi="宋体"/>
          <w:kern w:val="44"/>
        </w:rPr>
      </w:pPr>
      <w:r>
        <w:rPr>
          <w:rFonts w:hint="eastAsia" w:ascii="宋体" w:hAnsi="宋体"/>
          <w:kern w:val="44"/>
        </w:rPr>
        <w:t>旧城保护应当坚持整体保护的原则，针对不同区域采取不同的方式进行保护。</w:t>
      </w:r>
    </w:p>
    <w:p w14:paraId="70E8744D">
      <w:pPr>
        <w:ind w:firstLine="422"/>
        <w:jc w:val="left"/>
        <w:rPr>
          <w:rFonts w:ascii="宋体" w:hAnsi="宋体"/>
          <w:kern w:val="44"/>
        </w:rPr>
      </w:pPr>
      <w:r>
        <w:rPr>
          <w:rFonts w:hint="eastAsia" w:ascii="宋体" w:hAnsi="宋体"/>
          <w:b/>
          <w:kern w:val="44"/>
        </w:rPr>
        <w:t>第十二条</w:t>
      </w:r>
      <w:r>
        <w:rPr>
          <w:rFonts w:hint="eastAsia" w:ascii="宋体" w:hAnsi="宋体"/>
          <w:kern w:val="44"/>
        </w:rPr>
        <w:t>　皇城保护应当完整、真实地保持以紫禁城为核心，以皇家宫殿、衙署、坛庙建筑群、皇家园林为主体，以四合院为衬托的历史风貌、规划布局和建筑风格。</w:t>
      </w:r>
    </w:p>
    <w:p w14:paraId="49A23D4B">
      <w:pPr>
        <w:ind w:firstLine="422"/>
        <w:jc w:val="left"/>
        <w:rPr>
          <w:rFonts w:ascii="宋体" w:hAnsi="宋体"/>
          <w:kern w:val="44"/>
        </w:rPr>
      </w:pPr>
      <w:r>
        <w:rPr>
          <w:rFonts w:hint="eastAsia" w:ascii="宋体" w:hAnsi="宋体"/>
          <w:b/>
          <w:kern w:val="44"/>
        </w:rPr>
        <w:t>第十三条</w:t>
      </w:r>
      <w:r>
        <w:rPr>
          <w:rFonts w:hint="eastAsia" w:ascii="宋体" w:hAnsi="宋体"/>
          <w:kern w:val="44"/>
        </w:rPr>
        <w:t>　对具有特定历史时期传统风貌或者民族地方特色的街区、建筑群、村镇等，应当认定为历史文化街区。</w:t>
      </w:r>
    </w:p>
    <w:p w14:paraId="27A0988D">
      <w:pPr>
        <w:jc w:val="left"/>
        <w:rPr>
          <w:rFonts w:ascii="宋体" w:hAnsi="宋体"/>
          <w:kern w:val="44"/>
        </w:rPr>
      </w:pPr>
      <w:r>
        <w:rPr>
          <w:rFonts w:hint="eastAsia" w:ascii="宋体" w:hAnsi="宋体"/>
          <w:kern w:val="44"/>
        </w:rPr>
        <w:t>历史文化街区的范围应当包括核心保护区和建设控制区。建设控制区的划定应当符合核心保护区的风貌保护和视觉景观的要求。</w:t>
      </w:r>
    </w:p>
    <w:p w14:paraId="3D74B9B8">
      <w:pPr>
        <w:ind w:firstLine="422"/>
        <w:jc w:val="left"/>
        <w:rPr>
          <w:rFonts w:ascii="宋体" w:hAnsi="宋体"/>
          <w:kern w:val="44"/>
        </w:rPr>
      </w:pPr>
      <w:r>
        <w:rPr>
          <w:rFonts w:hint="eastAsia" w:ascii="宋体" w:hAnsi="宋体"/>
          <w:b/>
          <w:kern w:val="44"/>
        </w:rPr>
        <w:t>第十四条</w:t>
      </w:r>
      <w:r>
        <w:rPr>
          <w:rFonts w:hint="eastAsia" w:ascii="宋体" w:hAnsi="宋体"/>
          <w:kern w:val="44"/>
        </w:rPr>
        <w:t>　对尚未列为不可移动文物、反映一定时代特征、具有保护价值、承载真实和相对完整历史信息的四合院和其他建筑，应当认定为具有保护价值的建筑。具体认定标准和程序，由市人民政府制定并公布。</w:t>
      </w:r>
    </w:p>
    <w:p w14:paraId="77FBB218">
      <w:pPr>
        <w:ind w:firstLine="422"/>
        <w:jc w:val="left"/>
        <w:rPr>
          <w:rFonts w:ascii="宋体" w:hAnsi="宋体"/>
          <w:kern w:val="44"/>
        </w:rPr>
      </w:pPr>
      <w:r>
        <w:rPr>
          <w:rFonts w:hint="eastAsia" w:ascii="宋体" w:hAnsi="宋体"/>
          <w:b/>
          <w:kern w:val="44"/>
        </w:rPr>
        <w:t>第十五条</w:t>
      </w:r>
      <w:r>
        <w:rPr>
          <w:rFonts w:hint="eastAsia" w:ascii="宋体" w:hAnsi="宋体"/>
          <w:kern w:val="44"/>
        </w:rPr>
        <w:t>　历史文化街区的名单及其核心保护区和建设控制区的范围，由市规划行政主管部门会同市文物行政主管部门提出，报市人民政府批准并公布。</w:t>
      </w:r>
    </w:p>
    <w:p w14:paraId="5A3C61F8">
      <w:pPr>
        <w:jc w:val="left"/>
        <w:rPr>
          <w:rFonts w:ascii="宋体" w:hAnsi="宋体"/>
          <w:kern w:val="44"/>
        </w:rPr>
      </w:pPr>
      <w:r>
        <w:rPr>
          <w:rFonts w:hint="eastAsia" w:ascii="宋体" w:hAnsi="宋体"/>
          <w:kern w:val="44"/>
        </w:rPr>
        <w:t>具有保护价值的建筑、城市景观线、对景建筑的名单，由市文物行政主管部门会同市规划行政主管部门提出，报市人民政府批准并公布。</w:t>
      </w:r>
    </w:p>
    <w:p w14:paraId="7CCDCC18">
      <w:pPr>
        <w:jc w:val="left"/>
        <w:rPr>
          <w:rFonts w:ascii="宋体" w:hAnsi="宋体"/>
          <w:kern w:val="44"/>
        </w:rPr>
      </w:pPr>
      <w:r>
        <w:rPr>
          <w:rFonts w:hint="eastAsia" w:ascii="宋体" w:hAnsi="宋体"/>
          <w:kern w:val="44"/>
        </w:rPr>
        <w:t>历史河湖水系的名单，由市水行政主管部门会同市文物行政主管部门提出，报市人民政府批准并公布。</w:t>
      </w:r>
    </w:p>
    <w:p w14:paraId="6F9DA599">
      <w:pPr>
        <w:jc w:val="left"/>
        <w:rPr>
          <w:rFonts w:ascii="宋体" w:hAnsi="宋体"/>
          <w:kern w:val="44"/>
        </w:rPr>
      </w:pPr>
    </w:p>
    <w:p w14:paraId="730A971B">
      <w:pPr>
        <w:ind w:firstLine="0" w:firstLineChars="0"/>
        <w:jc w:val="center"/>
        <w:rPr>
          <w:rFonts w:ascii="宋体" w:hAnsi="宋体"/>
          <w:b/>
          <w:kern w:val="44"/>
          <w:sz w:val="28"/>
        </w:rPr>
      </w:pPr>
      <w:r>
        <w:rPr>
          <w:rFonts w:hint="eastAsia" w:ascii="宋体" w:hAnsi="宋体"/>
          <w:b/>
          <w:kern w:val="44"/>
          <w:sz w:val="28"/>
        </w:rPr>
        <w:t>第三章  保护规划</w:t>
      </w:r>
    </w:p>
    <w:p w14:paraId="491574B6">
      <w:pPr>
        <w:jc w:val="left"/>
        <w:rPr>
          <w:rFonts w:ascii="宋体" w:hAnsi="宋体"/>
          <w:kern w:val="44"/>
        </w:rPr>
      </w:pPr>
    </w:p>
    <w:p w14:paraId="03843711">
      <w:pPr>
        <w:ind w:firstLine="422"/>
        <w:jc w:val="left"/>
        <w:rPr>
          <w:rFonts w:ascii="宋体" w:hAnsi="宋体"/>
          <w:kern w:val="44"/>
        </w:rPr>
      </w:pPr>
      <w:r>
        <w:rPr>
          <w:rFonts w:hint="eastAsia" w:ascii="宋体" w:hAnsi="宋体"/>
          <w:b/>
          <w:kern w:val="44"/>
        </w:rPr>
        <w:t>第十六条</w:t>
      </w:r>
      <w:r>
        <w:rPr>
          <w:rFonts w:hint="eastAsia" w:ascii="宋体" w:hAnsi="宋体"/>
          <w:kern w:val="44"/>
        </w:rPr>
        <w:t>　市人民政府应当根据北京历史文化名城保护工作的要求，组织编制北京历史文化名城保护规划，并将其纳入北京城市总体规划。</w:t>
      </w:r>
    </w:p>
    <w:p w14:paraId="06F91B4C">
      <w:pPr>
        <w:jc w:val="left"/>
        <w:rPr>
          <w:rFonts w:ascii="宋体" w:hAnsi="宋体"/>
          <w:kern w:val="44"/>
        </w:rPr>
      </w:pPr>
      <w:r>
        <w:rPr>
          <w:rFonts w:hint="eastAsia" w:ascii="宋体" w:hAnsi="宋体"/>
          <w:kern w:val="44"/>
        </w:rPr>
        <w:t>市规划行政主管部门应当根据北京历史文化名城保护规划及市人民政府公布的名单和保护范围，组织编制城市地理环境、城市中轴线、旧城、皇城、历史文化街区等专项保护规划和旧城、历史文化街区修建性详细规划，报市人民政府批准并公布。</w:t>
      </w:r>
    </w:p>
    <w:p w14:paraId="2F762473">
      <w:pPr>
        <w:jc w:val="left"/>
        <w:rPr>
          <w:rFonts w:ascii="宋体" w:hAnsi="宋体"/>
          <w:kern w:val="44"/>
        </w:rPr>
      </w:pPr>
      <w:r>
        <w:rPr>
          <w:rFonts w:hint="eastAsia" w:ascii="宋体" w:hAnsi="宋体"/>
          <w:kern w:val="44"/>
        </w:rPr>
        <w:t>编制北京历史文化名城保护规划、专项保护规划、修建性详细规划（以下统称保护规划），应当广泛征求社会公众意见，并组织专家论证。</w:t>
      </w:r>
    </w:p>
    <w:p w14:paraId="6F718C04">
      <w:pPr>
        <w:jc w:val="left"/>
        <w:rPr>
          <w:rFonts w:ascii="宋体" w:hAnsi="宋体"/>
          <w:kern w:val="44"/>
        </w:rPr>
      </w:pPr>
      <w:r>
        <w:rPr>
          <w:rFonts w:hint="eastAsia" w:ascii="宋体" w:hAnsi="宋体"/>
          <w:kern w:val="44"/>
        </w:rPr>
        <w:t>保护规划应当按照统一的标准和要求编制。</w:t>
      </w:r>
    </w:p>
    <w:p w14:paraId="7CE94A3C">
      <w:pPr>
        <w:jc w:val="left"/>
        <w:rPr>
          <w:rFonts w:ascii="宋体" w:hAnsi="宋体"/>
          <w:kern w:val="44"/>
        </w:rPr>
      </w:pPr>
      <w:r>
        <w:rPr>
          <w:rFonts w:hint="eastAsia" w:ascii="宋体" w:hAnsi="宋体"/>
          <w:kern w:val="44"/>
        </w:rPr>
        <w:t>本市其他各类城市专项规划和详细规划应当符合保护规划。</w:t>
      </w:r>
    </w:p>
    <w:p w14:paraId="4B532AF1">
      <w:pPr>
        <w:ind w:firstLine="422"/>
        <w:jc w:val="left"/>
        <w:rPr>
          <w:rFonts w:ascii="宋体" w:hAnsi="宋体"/>
          <w:kern w:val="44"/>
        </w:rPr>
      </w:pPr>
      <w:r>
        <w:rPr>
          <w:rFonts w:hint="eastAsia" w:ascii="宋体" w:hAnsi="宋体"/>
          <w:b/>
          <w:kern w:val="44"/>
        </w:rPr>
        <w:t>第十七条</w:t>
      </w:r>
      <w:r>
        <w:rPr>
          <w:rFonts w:hint="eastAsia" w:ascii="宋体" w:hAnsi="宋体"/>
          <w:kern w:val="44"/>
        </w:rPr>
        <w:t>　北京历史文化名城保护规划的内容应当包括：保护的总体目标、保护内容、保护范围、保护标准、保护规划的实施保障措施等。</w:t>
      </w:r>
    </w:p>
    <w:p w14:paraId="6A73C015">
      <w:pPr>
        <w:jc w:val="left"/>
        <w:rPr>
          <w:rFonts w:ascii="宋体" w:hAnsi="宋体"/>
          <w:kern w:val="44"/>
        </w:rPr>
      </w:pPr>
      <w:r>
        <w:rPr>
          <w:rFonts w:hint="eastAsia" w:ascii="宋体" w:hAnsi="宋体"/>
          <w:kern w:val="44"/>
        </w:rPr>
        <w:t>专项保护规划和修建性详细规划的内容应当包括：保护范围，保护原则，需要保护的建筑物、构筑物和其他设施，保持传统风貌的建筑高度、体量、色彩等控制指标，土地使用功能，人口密度，市政基础设施的改善，不同建筑的分类保护和整治措施，保证保护规划实施的具体措施以及其他应当纳入专项保护规划和修建性详细规划的内容。</w:t>
      </w:r>
    </w:p>
    <w:p w14:paraId="063DA997">
      <w:pPr>
        <w:ind w:firstLine="422"/>
        <w:jc w:val="left"/>
        <w:rPr>
          <w:rFonts w:ascii="宋体" w:hAnsi="宋体"/>
          <w:kern w:val="44"/>
        </w:rPr>
      </w:pPr>
      <w:r>
        <w:rPr>
          <w:rFonts w:hint="eastAsia" w:ascii="宋体" w:hAnsi="宋体"/>
          <w:b/>
          <w:kern w:val="44"/>
        </w:rPr>
        <w:t>第十八条</w:t>
      </w:r>
      <w:r>
        <w:rPr>
          <w:rFonts w:hint="eastAsia" w:ascii="宋体" w:hAnsi="宋体"/>
          <w:kern w:val="44"/>
        </w:rPr>
        <w:t>　保护规划经依法批准公布后，不得违法调整；确因公共利益需要调整的，应当广泛征求社会公众意见，并组织专家论证后，报原批准机关批准并公布。</w:t>
      </w:r>
    </w:p>
    <w:p w14:paraId="04235EB1">
      <w:pPr>
        <w:jc w:val="left"/>
        <w:rPr>
          <w:rFonts w:ascii="宋体" w:hAnsi="宋体"/>
          <w:kern w:val="44"/>
        </w:rPr>
      </w:pPr>
    </w:p>
    <w:p w14:paraId="05CF31CA">
      <w:pPr>
        <w:ind w:firstLine="0" w:firstLineChars="0"/>
        <w:jc w:val="center"/>
        <w:rPr>
          <w:rFonts w:ascii="宋体" w:hAnsi="宋体"/>
          <w:b/>
          <w:kern w:val="44"/>
          <w:sz w:val="28"/>
        </w:rPr>
      </w:pPr>
      <w:r>
        <w:rPr>
          <w:rFonts w:hint="eastAsia" w:ascii="宋体" w:hAnsi="宋体"/>
          <w:b/>
          <w:kern w:val="44"/>
          <w:sz w:val="28"/>
        </w:rPr>
        <w:t>第四章  保护措施</w:t>
      </w:r>
    </w:p>
    <w:p w14:paraId="73787044">
      <w:pPr>
        <w:jc w:val="left"/>
        <w:rPr>
          <w:rFonts w:ascii="宋体" w:hAnsi="宋体"/>
          <w:kern w:val="44"/>
        </w:rPr>
      </w:pPr>
    </w:p>
    <w:p w14:paraId="7BB89811">
      <w:pPr>
        <w:ind w:firstLine="422"/>
        <w:jc w:val="left"/>
        <w:rPr>
          <w:rFonts w:ascii="宋体" w:hAnsi="宋体"/>
          <w:kern w:val="44"/>
        </w:rPr>
      </w:pPr>
      <w:r>
        <w:rPr>
          <w:rFonts w:hint="eastAsia" w:ascii="宋体" w:hAnsi="宋体"/>
          <w:b/>
          <w:kern w:val="44"/>
        </w:rPr>
        <w:t>第十九条</w:t>
      </w:r>
      <w:r>
        <w:rPr>
          <w:rFonts w:hint="eastAsia" w:ascii="宋体" w:hAnsi="宋体"/>
          <w:kern w:val="44"/>
        </w:rPr>
        <w:t>　建设单位在保护规划范围内进行建设，应当符合修建性详细规划的要求，依法取得市规划行政主管部门的批准。设计单位应当按照保护规划中规定的设计要求进行设计。</w:t>
      </w:r>
    </w:p>
    <w:p w14:paraId="0828F68F">
      <w:pPr>
        <w:ind w:firstLine="422"/>
        <w:jc w:val="left"/>
        <w:rPr>
          <w:rFonts w:ascii="宋体" w:hAnsi="宋体"/>
          <w:kern w:val="44"/>
        </w:rPr>
      </w:pPr>
      <w:r>
        <w:rPr>
          <w:rFonts w:hint="eastAsia" w:ascii="宋体" w:hAnsi="宋体"/>
          <w:b/>
          <w:kern w:val="44"/>
        </w:rPr>
        <w:t>第二十条</w:t>
      </w:r>
      <w:r>
        <w:rPr>
          <w:rFonts w:hint="eastAsia" w:ascii="宋体" w:hAnsi="宋体"/>
          <w:kern w:val="44"/>
        </w:rPr>
        <w:t>　在保护规划范围内不得有下列行为：</w:t>
      </w:r>
    </w:p>
    <w:p w14:paraId="6C55B1C3">
      <w:pPr>
        <w:jc w:val="left"/>
        <w:rPr>
          <w:rFonts w:ascii="宋体" w:hAnsi="宋体"/>
          <w:kern w:val="44"/>
        </w:rPr>
      </w:pPr>
      <w:r>
        <w:rPr>
          <w:rFonts w:hint="eastAsia" w:ascii="宋体" w:hAnsi="宋体"/>
          <w:kern w:val="44"/>
        </w:rPr>
        <w:t>（一）违反保护规划进行拆除或者建设；</w:t>
      </w:r>
    </w:p>
    <w:p w14:paraId="245447FC">
      <w:pPr>
        <w:jc w:val="left"/>
        <w:rPr>
          <w:rFonts w:ascii="宋体" w:hAnsi="宋体"/>
          <w:kern w:val="44"/>
        </w:rPr>
      </w:pPr>
      <w:r>
        <w:rPr>
          <w:rFonts w:hint="eastAsia" w:ascii="宋体" w:hAnsi="宋体"/>
          <w:kern w:val="44"/>
        </w:rPr>
        <w:t>（二）改变保护规划确定的土地使用功能；</w:t>
      </w:r>
    </w:p>
    <w:p w14:paraId="7FD21E5B">
      <w:pPr>
        <w:jc w:val="left"/>
        <w:rPr>
          <w:rFonts w:ascii="宋体" w:hAnsi="宋体"/>
          <w:kern w:val="44"/>
        </w:rPr>
      </w:pPr>
      <w:r>
        <w:rPr>
          <w:rFonts w:hint="eastAsia" w:ascii="宋体" w:hAnsi="宋体"/>
          <w:kern w:val="44"/>
        </w:rPr>
        <w:t>（三）突破建筑高度、容积率等控制指标，违反建筑体量、色彩等要求；</w:t>
      </w:r>
    </w:p>
    <w:p w14:paraId="21F4EDFB">
      <w:pPr>
        <w:jc w:val="left"/>
        <w:rPr>
          <w:rFonts w:ascii="宋体" w:hAnsi="宋体"/>
          <w:kern w:val="44"/>
        </w:rPr>
      </w:pPr>
      <w:r>
        <w:rPr>
          <w:rFonts w:hint="eastAsia" w:ascii="宋体" w:hAnsi="宋体"/>
          <w:kern w:val="44"/>
        </w:rPr>
        <w:t>（四）破坏历史文化街区内保护规划确定的院落布局和胡同肌理；</w:t>
      </w:r>
    </w:p>
    <w:p w14:paraId="47525076">
      <w:pPr>
        <w:jc w:val="left"/>
        <w:rPr>
          <w:rFonts w:ascii="宋体" w:hAnsi="宋体"/>
          <w:kern w:val="44"/>
        </w:rPr>
      </w:pPr>
      <w:r>
        <w:rPr>
          <w:rFonts w:hint="eastAsia" w:ascii="宋体" w:hAnsi="宋体"/>
          <w:kern w:val="44"/>
        </w:rPr>
        <w:t>（五）其他不符合保护规划的行为。</w:t>
      </w:r>
    </w:p>
    <w:p w14:paraId="43A15287">
      <w:pPr>
        <w:ind w:firstLine="422"/>
        <w:jc w:val="left"/>
        <w:rPr>
          <w:rFonts w:ascii="宋体" w:hAnsi="宋体"/>
          <w:kern w:val="44"/>
        </w:rPr>
      </w:pPr>
      <w:r>
        <w:rPr>
          <w:rFonts w:hint="eastAsia" w:ascii="宋体" w:hAnsi="宋体"/>
          <w:b/>
          <w:kern w:val="44"/>
        </w:rPr>
        <w:t>第二十一条</w:t>
      </w:r>
      <w:r>
        <w:rPr>
          <w:rFonts w:hint="eastAsia" w:ascii="宋体" w:hAnsi="宋体"/>
          <w:kern w:val="44"/>
        </w:rPr>
        <w:t>　市和有关区人民政府应当根据保护规划的要求，制定调整旧城城市功能和疏解旧城居住人口的政策和措施，降低旧城人口密度，逐步改善旧城居民的居住条件。</w:t>
      </w:r>
    </w:p>
    <w:p w14:paraId="326862F0">
      <w:pPr>
        <w:ind w:firstLine="422"/>
        <w:jc w:val="left"/>
        <w:rPr>
          <w:rFonts w:ascii="宋体" w:hAnsi="宋体"/>
          <w:kern w:val="44"/>
        </w:rPr>
      </w:pPr>
      <w:r>
        <w:rPr>
          <w:rFonts w:hint="eastAsia" w:ascii="宋体" w:hAnsi="宋体"/>
          <w:b/>
          <w:kern w:val="44"/>
        </w:rPr>
        <w:t>第二十二条</w:t>
      </w:r>
      <w:r>
        <w:rPr>
          <w:rFonts w:hint="eastAsia" w:ascii="宋体" w:hAnsi="宋体"/>
          <w:kern w:val="44"/>
        </w:rPr>
        <w:t>　市人民政府应当按照保护规划的要求，调整旧城路网规划，统筹兼顾交通出行、市政设施、城市景观和生态环境等各项功能的需要。</w:t>
      </w:r>
    </w:p>
    <w:p w14:paraId="559883CD">
      <w:pPr>
        <w:ind w:firstLine="422"/>
        <w:jc w:val="left"/>
        <w:rPr>
          <w:rFonts w:ascii="宋体" w:hAnsi="宋体"/>
          <w:kern w:val="44"/>
        </w:rPr>
      </w:pPr>
      <w:r>
        <w:rPr>
          <w:rFonts w:hint="eastAsia" w:ascii="宋体" w:hAnsi="宋体"/>
          <w:b/>
          <w:kern w:val="44"/>
        </w:rPr>
        <w:t>第二十三条</w:t>
      </w:r>
      <w:r>
        <w:rPr>
          <w:rFonts w:hint="eastAsia" w:ascii="宋体" w:hAnsi="宋体"/>
          <w:kern w:val="44"/>
        </w:rPr>
        <w:t>　本市鼓励采用新材料、新技术，按照保护要求和技术规范，统筹改善旧城和历史文化街区内的道路交通、消防设施和市政基础设施条件。</w:t>
      </w:r>
    </w:p>
    <w:p w14:paraId="792B45ED">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市规划行政主管部门对旧城内的建设项目进行审批时，应当就建设项目用地范围内现存建筑是否具有保护价值，征求市文物行政主管部门和专家的意见。</w:t>
      </w:r>
    </w:p>
    <w:p w14:paraId="63B9C9B9">
      <w:pPr>
        <w:ind w:firstLine="422"/>
        <w:jc w:val="left"/>
        <w:rPr>
          <w:rFonts w:ascii="宋体" w:hAnsi="宋体"/>
          <w:kern w:val="44"/>
        </w:rPr>
      </w:pPr>
      <w:r>
        <w:rPr>
          <w:rFonts w:hint="eastAsia" w:ascii="宋体" w:hAnsi="宋体"/>
          <w:b/>
          <w:kern w:val="44"/>
        </w:rPr>
        <w:t>第二十五条</w:t>
      </w:r>
      <w:r>
        <w:rPr>
          <w:rFonts w:hint="eastAsia" w:ascii="宋体" w:hAnsi="宋体"/>
          <w:kern w:val="44"/>
        </w:rPr>
        <w:t>　市规划行政主管部门对历史文化街区内的建设项目、历史文化街区外具有保护价值的建筑的保护范围内的建设项目和旧城内历史文化街区外重点道路及其两侧的建设项目进行规划审批时，应当对建设项目进行有关北京历史文化名城风貌影响的评估。未经评估，或者未通过评估的，市规划行政主管部门不得批准。</w:t>
      </w:r>
    </w:p>
    <w:p w14:paraId="758C356F">
      <w:pPr>
        <w:jc w:val="left"/>
        <w:rPr>
          <w:rFonts w:ascii="宋体" w:hAnsi="宋体"/>
          <w:kern w:val="44"/>
        </w:rPr>
      </w:pPr>
      <w:r>
        <w:rPr>
          <w:rFonts w:hint="eastAsia" w:ascii="宋体" w:hAnsi="宋体"/>
          <w:kern w:val="44"/>
        </w:rPr>
        <w:t>重点道路的具体范围由市人民政府划定并公布。</w:t>
      </w:r>
    </w:p>
    <w:p w14:paraId="3BA05BC6">
      <w:pPr>
        <w:ind w:firstLine="422"/>
        <w:jc w:val="left"/>
        <w:rPr>
          <w:rFonts w:ascii="宋体" w:hAnsi="宋体"/>
          <w:kern w:val="44"/>
        </w:rPr>
      </w:pPr>
      <w:r>
        <w:rPr>
          <w:rFonts w:hint="eastAsia" w:ascii="宋体" w:hAnsi="宋体"/>
          <w:b/>
          <w:kern w:val="44"/>
        </w:rPr>
        <w:t>第二十六条</w:t>
      </w:r>
      <w:r>
        <w:rPr>
          <w:rFonts w:hint="eastAsia" w:ascii="宋体" w:hAnsi="宋体"/>
          <w:kern w:val="44"/>
        </w:rPr>
        <w:t>　对历史文化街区内的建筑，应当按照下列规定进行分类保护和整治：</w:t>
      </w:r>
    </w:p>
    <w:p w14:paraId="06F8EF3A">
      <w:pPr>
        <w:jc w:val="left"/>
        <w:rPr>
          <w:rFonts w:ascii="宋体" w:hAnsi="宋体"/>
          <w:kern w:val="44"/>
        </w:rPr>
      </w:pPr>
      <w:r>
        <w:rPr>
          <w:rFonts w:hint="eastAsia" w:ascii="宋体" w:hAnsi="宋体"/>
          <w:kern w:val="44"/>
        </w:rPr>
        <w:t>（一）不可移动文物依照文物保护法律、法规的规定进行保护；</w:t>
      </w:r>
    </w:p>
    <w:p w14:paraId="1FD52975">
      <w:pPr>
        <w:jc w:val="left"/>
        <w:rPr>
          <w:rFonts w:ascii="宋体" w:hAnsi="宋体"/>
          <w:kern w:val="44"/>
        </w:rPr>
      </w:pPr>
      <w:r>
        <w:rPr>
          <w:rFonts w:hint="eastAsia" w:ascii="宋体" w:hAnsi="宋体"/>
          <w:kern w:val="44"/>
        </w:rPr>
        <w:t>（二）具有保护价值的建筑按照本条例的有关规定进行保护；</w:t>
      </w:r>
    </w:p>
    <w:p w14:paraId="5CE7BF18">
      <w:pPr>
        <w:jc w:val="left"/>
        <w:rPr>
          <w:rFonts w:ascii="宋体" w:hAnsi="宋体"/>
          <w:kern w:val="44"/>
        </w:rPr>
      </w:pPr>
      <w:r>
        <w:rPr>
          <w:rFonts w:hint="eastAsia" w:ascii="宋体" w:hAnsi="宋体"/>
          <w:kern w:val="44"/>
        </w:rPr>
        <w:t>（三）其他建筑应当按照历史文化街区保护规划的要求进行整治。</w:t>
      </w:r>
    </w:p>
    <w:p w14:paraId="75BCFF2D">
      <w:pPr>
        <w:jc w:val="left"/>
        <w:rPr>
          <w:rFonts w:ascii="宋体" w:hAnsi="宋体"/>
          <w:kern w:val="44"/>
        </w:rPr>
      </w:pPr>
      <w:r>
        <w:rPr>
          <w:rFonts w:hint="eastAsia" w:ascii="宋体" w:hAnsi="宋体"/>
          <w:kern w:val="44"/>
        </w:rPr>
        <w:t>历史文化街区内建筑的具体分类标准、保护和整治的具体要求由市人民政府制定并公布。</w:t>
      </w:r>
    </w:p>
    <w:p w14:paraId="33529062">
      <w:pPr>
        <w:ind w:firstLine="422"/>
        <w:jc w:val="left"/>
        <w:rPr>
          <w:rFonts w:ascii="宋体" w:hAnsi="宋体"/>
          <w:kern w:val="44"/>
        </w:rPr>
      </w:pPr>
      <w:r>
        <w:rPr>
          <w:rFonts w:hint="eastAsia" w:ascii="宋体" w:hAnsi="宋体"/>
          <w:b/>
          <w:kern w:val="44"/>
        </w:rPr>
        <w:t>第二十七条</w:t>
      </w:r>
      <w:r>
        <w:rPr>
          <w:rFonts w:hint="eastAsia" w:ascii="宋体" w:hAnsi="宋体"/>
          <w:kern w:val="44"/>
        </w:rPr>
        <w:t>　市规划行政主管部门应当将历史文化街区内各类建筑和历史文化街区外具有保护价值的建筑的基本情况向社会公布。</w:t>
      </w:r>
    </w:p>
    <w:p w14:paraId="18201783">
      <w:pPr>
        <w:ind w:firstLine="422"/>
        <w:jc w:val="left"/>
        <w:rPr>
          <w:rFonts w:ascii="宋体" w:hAnsi="宋体"/>
          <w:kern w:val="44"/>
        </w:rPr>
      </w:pPr>
      <w:r>
        <w:rPr>
          <w:rFonts w:hint="eastAsia" w:ascii="宋体" w:hAnsi="宋体"/>
          <w:b/>
          <w:kern w:val="44"/>
        </w:rPr>
        <w:t>第二十八条</w:t>
      </w:r>
      <w:r>
        <w:rPr>
          <w:rFonts w:hint="eastAsia" w:ascii="宋体" w:hAnsi="宋体"/>
          <w:kern w:val="44"/>
        </w:rPr>
        <w:t>　区、县人民政府应当对历史文化街区和具有保护价值的建筑，自市人民政府公布之日起30日内设置保护标志。保护标志的设置标准由市人民政府统一确定。</w:t>
      </w:r>
    </w:p>
    <w:p w14:paraId="1E0A5C57">
      <w:pPr>
        <w:jc w:val="left"/>
        <w:rPr>
          <w:rFonts w:ascii="宋体" w:hAnsi="宋体"/>
          <w:kern w:val="44"/>
        </w:rPr>
      </w:pPr>
      <w:r>
        <w:rPr>
          <w:rFonts w:hint="eastAsia" w:ascii="宋体" w:hAnsi="宋体"/>
          <w:kern w:val="44"/>
        </w:rPr>
        <w:t>任何单位和个人不得损毁或者非法移动、拆除保护标志。</w:t>
      </w:r>
    </w:p>
    <w:p w14:paraId="300137EB">
      <w:pPr>
        <w:ind w:firstLine="422"/>
        <w:jc w:val="left"/>
        <w:rPr>
          <w:rFonts w:ascii="宋体" w:hAnsi="宋体"/>
          <w:kern w:val="44"/>
        </w:rPr>
      </w:pPr>
      <w:r>
        <w:rPr>
          <w:rFonts w:hint="eastAsia" w:ascii="宋体" w:hAnsi="宋体"/>
          <w:b/>
          <w:kern w:val="44"/>
        </w:rPr>
        <w:t>第二十九条</w:t>
      </w:r>
      <w:r>
        <w:rPr>
          <w:rFonts w:hint="eastAsia" w:ascii="宋体" w:hAnsi="宋体"/>
          <w:kern w:val="44"/>
        </w:rPr>
        <w:t>　历史文化街区内的消防设施、通道应当按照有关的消防技标准和规范设置。因保护的需要无法达到规定的标准和规范的，公安消防机构和市规划行政主管部门应当协商制定相应的防火安全措施。</w:t>
      </w:r>
    </w:p>
    <w:p w14:paraId="4019BE91">
      <w:pPr>
        <w:ind w:firstLine="422"/>
        <w:jc w:val="left"/>
        <w:rPr>
          <w:rFonts w:ascii="宋体" w:hAnsi="宋体"/>
          <w:kern w:val="44"/>
        </w:rPr>
      </w:pPr>
      <w:r>
        <w:rPr>
          <w:rFonts w:hint="eastAsia" w:ascii="宋体" w:hAnsi="宋体"/>
          <w:b/>
          <w:kern w:val="44"/>
        </w:rPr>
        <w:t>第三十条</w:t>
      </w:r>
      <w:r>
        <w:rPr>
          <w:rFonts w:hint="eastAsia" w:ascii="宋体" w:hAnsi="宋体"/>
          <w:kern w:val="44"/>
        </w:rPr>
        <w:t>　在城市景观线和街道对景保护规划范围内进行建设，应当符合视觉景观的要求，禁止建设对景观保护有影响的建筑。</w:t>
      </w:r>
    </w:p>
    <w:p w14:paraId="6FC0D0F0">
      <w:pPr>
        <w:jc w:val="left"/>
        <w:rPr>
          <w:rFonts w:ascii="宋体" w:hAnsi="宋体"/>
          <w:kern w:val="44"/>
        </w:rPr>
      </w:pPr>
      <w:r>
        <w:rPr>
          <w:rFonts w:hint="eastAsia" w:ascii="宋体" w:hAnsi="宋体"/>
          <w:kern w:val="44"/>
        </w:rPr>
        <w:t>对景建筑周围建筑的高度、体量、造型和色彩，应当与对景建筑相协调。</w:t>
      </w:r>
    </w:p>
    <w:p w14:paraId="5DA52829">
      <w:pPr>
        <w:ind w:firstLine="422"/>
        <w:jc w:val="left"/>
        <w:rPr>
          <w:rFonts w:ascii="宋体" w:hAnsi="宋体"/>
          <w:kern w:val="44"/>
        </w:rPr>
      </w:pPr>
      <w:r>
        <w:rPr>
          <w:rFonts w:hint="eastAsia" w:ascii="宋体" w:hAnsi="宋体"/>
          <w:b/>
          <w:kern w:val="44"/>
        </w:rPr>
        <w:t>第三十一条</w:t>
      </w:r>
      <w:r>
        <w:rPr>
          <w:rFonts w:hint="eastAsia" w:ascii="宋体" w:hAnsi="宋体"/>
          <w:kern w:val="44"/>
        </w:rPr>
        <w:t>　具有保护价值的建筑不得违法拆除、改建、扩建。</w:t>
      </w:r>
    </w:p>
    <w:p w14:paraId="4E2DBA72">
      <w:pPr>
        <w:jc w:val="left"/>
        <w:rPr>
          <w:rFonts w:ascii="宋体" w:hAnsi="宋体"/>
          <w:kern w:val="44"/>
        </w:rPr>
      </w:pPr>
      <w:r>
        <w:rPr>
          <w:rFonts w:hint="eastAsia" w:ascii="宋体" w:hAnsi="宋体"/>
          <w:kern w:val="44"/>
        </w:rPr>
        <w:t>建设工程选址，应当避开具有保护价值的建筑；确因公共利益需要不能避开的，应当对具有保护价值的建筑采取迁移异地保护等保护措施。</w:t>
      </w:r>
    </w:p>
    <w:p w14:paraId="03366A2E">
      <w:pPr>
        <w:jc w:val="left"/>
        <w:rPr>
          <w:rFonts w:ascii="宋体" w:hAnsi="宋体"/>
          <w:kern w:val="44"/>
        </w:rPr>
      </w:pPr>
      <w:r>
        <w:rPr>
          <w:rFonts w:hint="eastAsia" w:ascii="宋体" w:hAnsi="宋体"/>
          <w:kern w:val="44"/>
        </w:rPr>
        <w:t>迁移异地保护的，建设单位应当提供迁移的可行性论证报告、迁移新址的资料以及其他资料，市规划行政主管部门会同市文物行政主管部门进行审查后，报市人民政府批准。</w:t>
      </w:r>
    </w:p>
    <w:p w14:paraId="0925D050">
      <w:pPr>
        <w:ind w:firstLine="422"/>
        <w:jc w:val="left"/>
        <w:rPr>
          <w:rFonts w:ascii="宋体" w:hAnsi="宋体"/>
          <w:kern w:val="44"/>
        </w:rPr>
      </w:pPr>
      <w:r>
        <w:rPr>
          <w:rFonts w:hint="eastAsia" w:ascii="宋体" w:hAnsi="宋体"/>
          <w:b/>
          <w:kern w:val="44"/>
        </w:rPr>
        <w:t>第三十二条</w:t>
      </w:r>
      <w:r>
        <w:rPr>
          <w:rFonts w:hint="eastAsia" w:ascii="宋体" w:hAnsi="宋体"/>
          <w:kern w:val="44"/>
        </w:rPr>
        <w:t>　城市建设中发现具有保护价值而尚未确定为具有保护价值的建筑的，任何单位和个人都可以向市文物行政主管部门或者市规划行政主管部门提出保护建议。市文物行政主管部门会同市规划行政主管部门应当按照本条例第十四条规定的标准和程序进行初步确认，经初步确认具有保护价值的，应当采取临时保护措施，并按照本条例第十五条的规定向市人民政府报告。</w:t>
      </w:r>
    </w:p>
    <w:p w14:paraId="6D728B36">
      <w:pPr>
        <w:ind w:firstLine="422"/>
        <w:jc w:val="left"/>
        <w:rPr>
          <w:rFonts w:ascii="宋体" w:hAnsi="宋体"/>
          <w:kern w:val="44"/>
        </w:rPr>
      </w:pPr>
      <w:r>
        <w:rPr>
          <w:rFonts w:hint="eastAsia" w:ascii="宋体" w:hAnsi="宋体"/>
          <w:b/>
          <w:kern w:val="44"/>
        </w:rPr>
        <w:t>第三十三条</w:t>
      </w:r>
      <w:r>
        <w:rPr>
          <w:rFonts w:hint="eastAsia" w:ascii="宋体" w:hAnsi="宋体"/>
          <w:kern w:val="44"/>
        </w:rPr>
        <w:t>　具有保护价值的建筑的所有人、管理人、使用人，应当按照有关保护规划的要求和保护修缮标准履行管理、维护、修缮的义务。保护修缮标准由市规划行政主管部门会同市建设、市文物行政主管部门制定。</w:t>
      </w:r>
    </w:p>
    <w:p w14:paraId="181F3B6F">
      <w:pPr>
        <w:jc w:val="left"/>
        <w:rPr>
          <w:rFonts w:ascii="宋体" w:hAnsi="宋体"/>
          <w:kern w:val="44"/>
        </w:rPr>
      </w:pPr>
      <w:r>
        <w:rPr>
          <w:rFonts w:hint="eastAsia" w:ascii="宋体" w:hAnsi="宋体"/>
          <w:kern w:val="44"/>
        </w:rPr>
        <w:t>所有人和管理人、使用人对维护、修缮义务有约定的，从其约定。</w:t>
      </w:r>
    </w:p>
    <w:p w14:paraId="68286EE8">
      <w:pPr>
        <w:jc w:val="left"/>
        <w:rPr>
          <w:rFonts w:ascii="宋体" w:hAnsi="宋体"/>
          <w:kern w:val="44"/>
        </w:rPr>
      </w:pPr>
      <w:r>
        <w:rPr>
          <w:rFonts w:hint="eastAsia" w:ascii="宋体" w:hAnsi="宋体"/>
          <w:kern w:val="44"/>
        </w:rPr>
        <w:t>对于所有人和管理人、使用人确不具备管理、维护、修缮能力的具有保护价值的建筑，市人民政府应当采取措施进行保护。</w:t>
      </w:r>
    </w:p>
    <w:p w14:paraId="21A34BE8">
      <w:pPr>
        <w:ind w:firstLine="422"/>
        <w:jc w:val="left"/>
        <w:rPr>
          <w:rFonts w:ascii="宋体" w:hAnsi="宋体"/>
          <w:kern w:val="44"/>
        </w:rPr>
      </w:pPr>
      <w:r>
        <w:rPr>
          <w:rFonts w:hint="eastAsia" w:ascii="宋体" w:hAnsi="宋体"/>
          <w:b/>
          <w:kern w:val="44"/>
        </w:rPr>
        <w:t>第三十四条</w:t>
      </w:r>
      <w:r>
        <w:rPr>
          <w:rFonts w:hint="eastAsia" w:ascii="宋体" w:hAnsi="宋体"/>
          <w:kern w:val="44"/>
        </w:rPr>
        <w:t>　任何单位和个人不得违法更改具有保护价值的建筑、传统街巷胡同、区域等的历史名称。确因特殊情况需要更名的，地名行政主管部门在审批时应当征求市文物行政主管部门的意见。</w:t>
      </w:r>
    </w:p>
    <w:p w14:paraId="63CE1F78">
      <w:pPr>
        <w:jc w:val="left"/>
        <w:rPr>
          <w:rFonts w:ascii="宋体" w:hAnsi="宋体"/>
          <w:kern w:val="44"/>
        </w:rPr>
      </w:pPr>
    </w:p>
    <w:p w14:paraId="48106CEC">
      <w:pPr>
        <w:ind w:firstLine="0" w:firstLineChars="0"/>
        <w:jc w:val="center"/>
        <w:rPr>
          <w:rFonts w:ascii="宋体" w:hAnsi="宋体"/>
          <w:b/>
          <w:kern w:val="44"/>
          <w:sz w:val="28"/>
        </w:rPr>
      </w:pPr>
      <w:r>
        <w:rPr>
          <w:rFonts w:hint="eastAsia" w:ascii="宋体" w:hAnsi="宋体"/>
          <w:b/>
          <w:kern w:val="44"/>
          <w:sz w:val="28"/>
        </w:rPr>
        <w:t>第五章  法律责任</w:t>
      </w:r>
    </w:p>
    <w:p w14:paraId="565F97D1">
      <w:pPr>
        <w:jc w:val="left"/>
        <w:rPr>
          <w:rFonts w:ascii="宋体" w:hAnsi="宋体"/>
          <w:kern w:val="44"/>
        </w:rPr>
      </w:pPr>
    </w:p>
    <w:p w14:paraId="2831BB3B">
      <w:pPr>
        <w:ind w:firstLine="422"/>
        <w:jc w:val="left"/>
        <w:rPr>
          <w:rFonts w:ascii="宋体" w:hAnsi="宋体"/>
          <w:kern w:val="44"/>
        </w:rPr>
      </w:pPr>
      <w:r>
        <w:rPr>
          <w:rFonts w:hint="eastAsia" w:ascii="宋体" w:hAnsi="宋体"/>
          <w:b/>
          <w:kern w:val="44"/>
        </w:rPr>
        <w:t>第三十五条</w:t>
      </w:r>
      <w:r>
        <w:rPr>
          <w:rFonts w:hint="eastAsia" w:ascii="宋体" w:hAnsi="宋体"/>
          <w:kern w:val="44"/>
        </w:rPr>
        <w:t>　依法负有保护北京历史文化名城职责的国家机关及其工作人员，违反本条例规定，有下列情形之一的，由其上级行政机关或者监察机关依法追究直接负责的主管人员和他直接责任人员的行政责任；构成犯罪的，依法追究刑事责任：</w:t>
      </w:r>
    </w:p>
    <w:p w14:paraId="5BBB690A">
      <w:pPr>
        <w:jc w:val="left"/>
        <w:rPr>
          <w:rFonts w:ascii="宋体" w:hAnsi="宋体"/>
          <w:kern w:val="44"/>
        </w:rPr>
      </w:pPr>
      <w:r>
        <w:rPr>
          <w:rFonts w:hint="eastAsia" w:ascii="宋体" w:hAnsi="宋体"/>
          <w:kern w:val="44"/>
        </w:rPr>
        <w:t>（一）违法调整保护规划的；</w:t>
      </w:r>
    </w:p>
    <w:p w14:paraId="0C1383A2">
      <w:pPr>
        <w:jc w:val="left"/>
        <w:rPr>
          <w:rFonts w:ascii="宋体" w:hAnsi="宋体"/>
          <w:kern w:val="44"/>
        </w:rPr>
      </w:pPr>
      <w:r>
        <w:rPr>
          <w:rFonts w:hint="eastAsia" w:ascii="宋体" w:hAnsi="宋体"/>
          <w:kern w:val="44"/>
        </w:rPr>
        <w:t>（二）违法调整历史文化街区范围的；</w:t>
      </w:r>
    </w:p>
    <w:p w14:paraId="00B9F2D7">
      <w:pPr>
        <w:jc w:val="left"/>
        <w:rPr>
          <w:rFonts w:ascii="宋体" w:hAnsi="宋体"/>
          <w:kern w:val="44"/>
        </w:rPr>
      </w:pPr>
      <w:r>
        <w:rPr>
          <w:rFonts w:hint="eastAsia" w:ascii="宋体" w:hAnsi="宋体"/>
          <w:kern w:val="44"/>
        </w:rPr>
        <w:t>（三）违反本条例第二十条、第三十条的规定进行审批的；</w:t>
      </w:r>
    </w:p>
    <w:p w14:paraId="33A18520">
      <w:pPr>
        <w:jc w:val="left"/>
        <w:rPr>
          <w:rFonts w:ascii="宋体" w:hAnsi="宋体"/>
          <w:kern w:val="44"/>
        </w:rPr>
      </w:pPr>
      <w:r>
        <w:rPr>
          <w:rFonts w:hint="eastAsia" w:ascii="宋体" w:hAnsi="宋体"/>
          <w:kern w:val="44"/>
        </w:rPr>
        <w:t>（四）不按照本条例的规定和保护规划的要求履行审批和其他保护职责的；</w:t>
      </w:r>
    </w:p>
    <w:p w14:paraId="5359764B">
      <w:pPr>
        <w:jc w:val="left"/>
        <w:rPr>
          <w:rFonts w:ascii="宋体" w:hAnsi="宋体"/>
          <w:kern w:val="44"/>
        </w:rPr>
      </w:pPr>
      <w:r>
        <w:rPr>
          <w:rFonts w:hint="eastAsia" w:ascii="宋体" w:hAnsi="宋体"/>
          <w:kern w:val="44"/>
        </w:rPr>
        <w:t>（五）其他滥用职权、徇私枉法、玩忽职守的。</w:t>
      </w:r>
    </w:p>
    <w:p w14:paraId="75115ED5">
      <w:pPr>
        <w:ind w:firstLine="422"/>
        <w:jc w:val="left"/>
        <w:rPr>
          <w:rFonts w:ascii="宋体" w:hAnsi="宋体"/>
          <w:kern w:val="44"/>
        </w:rPr>
      </w:pPr>
      <w:r>
        <w:rPr>
          <w:rFonts w:hint="eastAsia" w:ascii="宋体" w:hAnsi="宋体"/>
          <w:b/>
          <w:kern w:val="44"/>
        </w:rPr>
        <w:t>第三十六条</w:t>
      </w:r>
      <w:r>
        <w:rPr>
          <w:rFonts w:hint="eastAsia" w:ascii="宋体" w:hAnsi="宋体"/>
          <w:kern w:val="44"/>
        </w:rPr>
        <w:t>　对违反本条例第十九条规定，未经规划行政主管部门批准进行建设的，由城市管理综合执法组织依法处理；未按照规划批准的要求进行建设的，由市规划行政主管部门依法处理。</w:t>
      </w:r>
    </w:p>
    <w:p w14:paraId="7195BF73">
      <w:pPr>
        <w:ind w:firstLine="422"/>
        <w:jc w:val="left"/>
        <w:rPr>
          <w:rFonts w:ascii="宋体" w:hAnsi="宋体"/>
          <w:kern w:val="44"/>
        </w:rPr>
      </w:pPr>
      <w:r>
        <w:rPr>
          <w:rFonts w:hint="eastAsia" w:ascii="宋体" w:hAnsi="宋体"/>
          <w:b/>
          <w:kern w:val="44"/>
        </w:rPr>
        <w:t>第三十七条</w:t>
      </w:r>
      <w:r>
        <w:rPr>
          <w:rFonts w:hint="eastAsia" w:ascii="宋体" w:hAnsi="宋体"/>
          <w:kern w:val="44"/>
        </w:rPr>
        <w:t>　对违反本条例第二十八条第二款规定，损毁或者非法移动、拆除保护标志的，由城市管理综合执法组织责令改正，可以并处200元以上500元以下的罚款。</w:t>
      </w:r>
    </w:p>
    <w:p w14:paraId="3298A678">
      <w:pPr>
        <w:ind w:firstLine="422"/>
        <w:jc w:val="left"/>
        <w:rPr>
          <w:rFonts w:ascii="宋体" w:hAnsi="宋体"/>
          <w:kern w:val="44"/>
        </w:rPr>
      </w:pPr>
      <w:r>
        <w:rPr>
          <w:rFonts w:hint="eastAsia" w:ascii="宋体" w:hAnsi="宋体"/>
          <w:b/>
          <w:kern w:val="44"/>
        </w:rPr>
        <w:t>第三十八条</w:t>
      </w:r>
      <w:r>
        <w:rPr>
          <w:rFonts w:hint="eastAsia" w:ascii="宋体" w:hAnsi="宋体"/>
          <w:kern w:val="44"/>
        </w:rPr>
        <w:t>　对违反本条例第三十一条第一款的规定，违法拆除、改建、扩建具有保护价值的建筑的，由市规划行政主管部门责令恢复原状，并处10万元以上20万元以下的罚款。</w:t>
      </w:r>
    </w:p>
    <w:p w14:paraId="0F789D10">
      <w:pPr>
        <w:ind w:firstLine="422"/>
        <w:jc w:val="left"/>
        <w:rPr>
          <w:rFonts w:ascii="宋体" w:hAnsi="宋体"/>
          <w:kern w:val="44"/>
        </w:rPr>
      </w:pPr>
      <w:r>
        <w:rPr>
          <w:rFonts w:hint="eastAsia" w:ascii="宋体" w:hAnsi="宋体"/>
          <w:b/>
          <w:kern w:val="44"/>
        </w:rPr>
        <w:t>第三十九条</w:t>
      </w:r>
      <w:r>
        <w:rPr>
          <w:rFonts w:hint="eastAsia" w:ascii="宋体" w:hAnsi="宋体"/>
          <w:kern w:val="44"/>
        </w:rPr>
        <w:t>　对违反本条例第三十三条规定，未按照有关保护规划的要求和风貌修缮标准履行管理、维护、修缮义务的，由市规划行政主管部门责令改正，可以并处10万元以上20万元以下的罚款。</w:t>
      </w:r>
    </w:p>
    <w:p w14:paraId="1E45D2E2">
      <w:pPr>
        <w:ind w:firstLine="422"/>
        <w:jc w:val="left"/>
        <w:rPr>
          <w:rFonts w:ascii="宋体" w:hAnsi="宋体"/>
          <w:kern w:val="44"/>
        </w:rPr>
      </w:pPr>
      <w:r>
        <w:rPr>
          <w:rFonts w:hint="eastAsia" w:ascii="宋体" w:hAnsi="宋体"/>
          <w:b/>
          <w:kern w:val="44"/>
        </w:rPr>
        <w:t>第四十条</w:t>
      </w:r>
      <w:r>
        <w:rPr>
          <w:rFonts w:hint="eastAsia" w:ascii="宋体" w:hAnsi="宋体"/>
          <w:kern w:val="44"/>
        </w:rPr>
        <w:t>　对违反本条例的行为，法律、法规已经规定法律责任的，依照其规定追究法律责任。</w:t>
      </w:r>
    </w:p>
    <w:p w14:paraId="32C8AF42">
      <w:pPr>
        <w:jc w:val="left"/>
        <w:rPr>
          <w:rFonts w:ascii="宋体" w:hAnsi="宋体"/>
          <w:kern w:val="44"/>
        </w:rPr>
      </w:pPr>
    </w:p>
    <w:p w14:paraId="4E793F45">
      <w:pPr>
        <w:ind w:firstLine="0" w:firstLineChars="0"/>
        <w:jc w:val="center"/>
        <w:rPr>
          <w:rFonts w:ascii="宋体" w:hAnsi="宋体"/>
          <w:b/>
          <w:kern w:val="44"/>
          <w:sz w:val="28"/>
        </w:rPr>
      </w:pPr>
      <w:r>
        <w:rPr>
          <w:rFonts w:hint="eastAsia" w:ascii="宋体" w:hAnsi="宋体"/>
          <w:b/>
          <w:kern w:val="44"/>
          <w:sz w:val="28"/>
        </w:rPr>
        <w:t>第六章  附  则</w:t>
      </w:r>
    </w:p>
    <w:p w14:paraId="3596F2AB">
      <w:pPr>
        <w:jc w:val="left"/>
        <w:rPr>
          <w:rFonts w:ascii="宋体" w:hAnsi="宋体"/>
          <w:kern w:val="44"/>
        </w:rPr>
      </w:pPr>
    </w:p>
    <w:p w14:paraId="002D7079">
      <w:pPr>
        <w:ind w:firstLine="422"/>
        <w:jc w:val="left"/>
        <w:rPr>
          <w:rFonts w:ascii="宋体" w:hAnsi="宋体"/>
          <w:kern w:val="44"/>
        </w:rPr>
      </w:pPr>
      <w:r>
        <w:rPr>
          <w:rFonts w:hint="eastAsia" w:ascii="宋体" w:hAnsi="宋体"/>
          <w:b/>
          <w:kern w:val="44"/>
        </w:rPr>
        <w:t>第四十一条</w:t>
      </w:r>
      <w:r>
        <w:rPr>
          <w:rFonts w:hint="eastAsia" w:ascii="宋体" w:hAnsi="宋体"/>
          <w:kern w:val="44"/>
        </w:rPr>
        <w:t>　本条例自2005年5月1日起施行。</w:t>
      </w:r>
    </w:p>
    <w:p w14:paraId="36655DA8">
      <w:pPr>
        <w:pStyle w:val="4"/>
        <w:pageBreakBefore/>
        <w:rPr>
          <w:kern w:val="44"/>
        </w:rPr>
      </w:pPr>
      <w:bookmarkStart w:id="1645" w:name="_Toc428780244"/>
      <w:bookmarkStart w:id="1646" w:name="_Toc428781726"/>
      <w:bookmarkStart w:id="1647" w:name="_Toc427652020"/>
      <w:bookmarkStart w:id="1648" w:name="_Toc427651678"/>
      <w:bookmarkStart w:id="1649" w:name="_Toc422471429"/>
      <w:r>
        <w:rPr>
          <w:rFonts w:hint="eastAsia"/>
          <w:kern w:val="44"/>
        </w:rPr>
        <w:t>北京市利用文物保护单位</w:t>
      </w:r>
      <w:bookmarkEnd w:id="1645"/>
      <w:bookmarkEnd w:id="1646"/>
      <w:bookmarkEnd w:id="1647"/>
      <w:bookmarkEnd w:id="1648"/>
    </w:p>
    <w:p w14:paraId="5BACBEBA">
      <w:pPr>
        <w:pStyle w:val="4"/>
        <w:rPr>
          <w:kern w:val="44"/>
        </w:rPr>
      </w:pPr>
      <w:bookmarkStart w:id="1650" w:name="_Toc427651679"/>
      <w:bookmarkStart w:id="1651" w:name="_Toc427652021"/>
      <w:bookmarkStart w:id="1652" w:name="_Toc428781727"/>
      <w:bookmarkStart w:id="1653" w:name="_Toc428780245"/>
      <w:r>
        <w:rPr>
          <w:rFonts w:hint="eastAsia"/>
          <w:kern w:val="44"/>
        </w:rPr>
        <w:t>拍摄</w:t>
      </w:r>
      <w:bookmarkEnd w:id="1649"/>
      <w:bookmarkStart w:id="1654" w:name="_Toc422471430"/>
      <w:r>
        <w:rPr>
          <w:rFonts w:hint="eastAsia"/>
          <w:kern w:val="44"/>
        </w:rPr>
        <w:t>电影、电视管理暂行办法</w:t>
      </w:r>
      <w:bookmarkEnd w:id="1650"/>
      <w:bookmarkEnd w:id="1651"/>
      <w:bookmarkEnd w:id="1652"/>
      <w:bookmarkEnd w:id="1653"/>
      <w:bookmarkEnd w:id="1654"/>
    </w:p>
    <w:p w14:paraId="00560CC6">
      <w:pPr>
        <w:ind w:left="630" w:leftChars="300" w:right="630" w:rightChars="300"/>
        <w:jc w:val="left"/>
        <w:rPr>
          <w:rFonts w:ascii="楷体" w:hAnsi="楷体" w:eastAsia="楷体"/>
          <w:kern w:val="44"/>
        </w:rPr>
      </w:pPr>
      <w:r>
        <w:rPr>
          <w:rFonts w:hint="eastAsia" w:ascii="楷体" w:hAnsi="楷体" w:eastAsia="楷体"/>
          <w:kern w:val="44"/>
        </w:rPr>
        <w:t>（1986年2月14日北京市人民政府京政发22号文件发布　根据1997年12月31日北京市人民政府第12号令第一次修改　根据2001年8月27日北京市人民政府第82号令第二次修改　根据2007年11月23日北京市人民政府第200号令第三次修改）</w:t>
      </w:r>
    </w:p>
    <w:p w14:paraId="2C8E491E">
      <w:pPr>
        <w:jc w:val="left"/>
        <w:rPr>
          <w:rFonts w:ascii="宋体" w:hAnsi="宋体"/>
          <w:kern w:val="44"/>
        </w:rPr>
      </w:pPr>
    </w:p>
    <w:p w14:paraId="35CFAA40">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为加强利用文物保护单位拍摄电影、电视工作的管理，制定本办法。</w:t>
      </w:r>
    </w:p>
    <w:p w14:paraId="6CB3A10F">
      <w:pPr>
        <w:ind w:firstLine="422"/>
        <w:jc w:val="left"/>
        <w:rPr>
          <w:rFonts w:ascii="宋体" w:hAnsi="宋体"/>
          <w:kern w:val="44"/>
        </w:rPr>
      </w:pPr>
      <w:r>
        <w:rPr>
          <w:rFonts w:hint="eastAsia" w:ascii="宋体" w:hAnsi="宋体"/>
          <w:b/>
          <w:kern w:val="44"/>
        </w:rPr>
        <w:t>第二条</w:t>
      </w:r>
      <w:r>
        <w:rPr>
          <w:rFonts w:hint="eastAsia" w:ascii="宋体" w:hAnsi="宋体"/>
          <w:kern w:val="44"/>
        </w:rPr>
        <w:t>　市文物事业管理局（以下简称市文物局）主管本市利用文物保护单位拍摄电影、电视的管理工作，公安消防机关主管拍摄现场消防安全的监督工作。凡在本市各级文物保护单位拍摄电影、电视的单位和个人（以下简称拍摄单位），均应遵守国家有关规定和本办法，服从管理和监督。</w:t>
      </w:r>
    </w:p>
    <w:p w14:paraId="03AB52AC">
      <w:pPr>
        <w:ind w:firstLine="422"/>
        <w:jc w:val="left"/>
        <w:rPr>
          <w:rFonts w:ascii="宋体" w:hAnsi="宋体"/>
          <w:kern w:val="44"/>
        </w:rPr>
      </w:pPr>
      <w:r>
        <w:rPr>
          <w:rFonts w:hint="eastAsia" w:ascii="宋体" w:hAnsi="宋体"/>
          <w:b/>
          <w:kern w:val="44"/>
        </w:rPr>
        <w:t>第三条</w:t>
      </w:r>
      <w:r>
        <w:rPr>
          <w:rFonts w:hint="eastAsia" w:ascii="宋体" w:hAnsi="宋体"/>
          <w:kern w:val="44"/>
        </w:rPr>
        <w:t>　国家级文物保护单位的古建筑（包括古建筑、古墓葬、石窟寺和革命纪念建筑物等，下同）室内，市级文物保护单位有壁画、彩塑、悬雕、浮雕、雕龙柱、楠木殿房等重要文物的古建筑室内，不得拍摄故事片（包括电视剧，下同）。</w:t>
      </w:r>
    </w:p>
    <w:p w14:paraId="607720A0">
      <w:pPr>
        <w:ind w:firstLine="422"/>
        <w:jc w:val="left"/>
        <w:rPr>
          <w:rFonts w:ascii="宋体" w:hAnsi="宋体"/>
          <w:kern w:val="44"/>
        </w:rPr>
      </w:pPr>
      <w:r>
        <w:rPr>
          <w:rFonts w:hint="eastAsia" w:ascii="宋体" w:hAnsi="宋体"/>
          <w:b/>
          <w:kern w:val="44"/>
        </w:rPr>
        <w:t>第四条</w:t>
      </w:r>
      <w:r>
        <w:rPr>
          <w:rFonts w:hint="eastAsia" w:ascii="宋体" w:hAnsi="宋体"/>
          <w:kern w:val="44"/>
        </w:rPr>
        <w:t>　在本办法第三条规定范围以外拍摄电影、电视的，须由拍摄单位按以下程序申报批准：</w:t>
      </w:r>
    </w:p>
    <w:p w14:paraId="264D843F">
      <w:pPr>
        <w:jc w:val="left"/>
        <w:rPr>
          <w:rFonts w:ascii="宋体" w:hAnsi="宋体"/>
          <w:kern w:val="44"/>
        </w:rPr>
      </w:pPr>
      <w:r>
        <w:rPr>
          <w:rFonts w:hint="eastAsia" w:ascii="宋体" w:hAnsi="宋体"/>
          <w:kern w:val="44"/>
        </w:rPr>
        <w:t>（一）征得文物使用单位同意。</w:t>
      </w:r>
    </w:p>
    <w:p w14:paraId="6689C716">
      <w:pPr>
        <w:jc w:val="left"/>
        <w:rPr>
          <w:rFonts w:ascii="宋体" w:hAnsi="宋体"/>
          <w:kern w:val="44"/>
        </w:rPr>
      </w:pPr>
      <w:r>
        <w:rPr>
          <w:rFonts w:hint="eastAsia" w:ascii="宋体" w:hAnsi="宋体"/>
          <w:kern w:val="44"/>
        </w:rPr>
        <w:t>（二）提出拍摄计划（包括分镜头剧本、拍摄项目、拍摄时间、布景、用电方案和安全防护措施），按照国家有关规定报文物管理部门审批。</w:t>
      </w:r>
    </w:p>
    <w:p w14:paraId="2E47E2B6">
      <w:pPr>
        <w:jc w:val="left"/>
        <w:rPr>
          <w:rFonts w:ascii="宋体" w:hAnsi="宋体"/>
          <w:kern w:val="44"/>
        </w:rPr>
      </w:pPr>
      <w:r>
        <w:rPr>
          <w:rFonts w:hint="eastAsia" w:ascii="宋体" w:hAnsi="宋体"/>
          <w:kern w:val="44"/>
        </w:rPr>
        <w:t>（三）在拍摄中更改拍摄计划的，须经原批准的文物管理部门批准。</w:t>
      </w:r>
    </w:p>
    <w:p w14:paraId="60E6F7CF">
      <w:pPr>
        <w:jc w:val="left"/>
        <w:rPr>
          <w:rFonts w:ascii="宋体" w:hAnsi="宋体"/>
          <w:kern w:val="44"/>
        </w:rPr>
      </w:pPr>
      <w:r>
        <w:rPr>
          <w:rFonts w:hint="eastAsia" w:ascii="宋体" w:hAnsi="宋体"/>
          <w:kern w:val="44"/>
        </w:rPr>
        <w:t>获准拍摄电影、电视的单位，须提出防火安全计划，落实防火安全措施，确保文物保护单位的安全。</w:t>
      </w:r>
    </w:p>
    <w:p w14:paraId="15B12167">
      <w:pPr>
        <w:ind w:firstLine="422"/>
        <w:jc w:val="left"/>
        <w:rPr>
          <w:rFonts w:ascii="宋体" w:hAnsi="宋体"/>
          <w:kern w:val="44"/>
        </w:rPr>
      </w:pPr>
      <w:r>
        <w:rPr>
          <w:rFonts w:hint="eastAsia" w:ascii="宋体" w:hAnsi="宋体"/>
          <w:b/>
          <w:kern w:val="44"/>
        </w:rPr>
        <w:t>第五条</w:t>
      </w:r>
      <w:r>
        <w:rPr>
          <w:rFonts w:hint="eastAsia" w:ascii="宋体" w:hAnsi="宋体"/>
          <w:kern w:val="44"/>
        </w:rPr>
        <w:t>　获准拍摄电影、电视的单位，在拍摄活动中，须遵守下列规定：</w:t>
      </w:r>
    </w:p>
    <w:p w14:paraId="00220A72">
      <w:pPr>
        <w:jc w:val="left"/>
        <w:rPr>
          <w:rFonts w:ascii="宋体" w:hAnsi="宋体"/>
          <w:kern w:val="44"/>
        </w:rPr>
      </w:pPr>
      <w:r>
        <w:rPr>
          <w:rFonts w:hint="eastAsia" w:ascii="宋体" w:hAnsi="宋体"/>
          <w:kern w:val="44"/>
        </w:rPr>
        <w:t>（一）严格按批准的计划拍摄，负责保护现场和文物的安全，服从主管部门的管理和监督；</w:t>
      </w:r>
    </w:p>
    <w:p w14:paraId="02B6EF7B">
      <w:pPr>
        <w:jc w:val="left"/>
        <w:rPr>
          <w:rFonts w:ascii="宋体" w:hAnsi="宋体"/>
          <w:kern w:val="44"/>
        </w:rPr>
      </w:pPr>
      <w:r>
        <w:rPr>
          <w:rFonts w:hint="eastAsia" w:ascii="宋体" w:hAnsi="宋体"/>
          <w:kern w:val="44"/>
        </w:rPr>
        <w:t>（二）除拍摄内容需要外，禁止在拍摄场地吸烟，禁止携入火种及其他易燃易爆物品；</w:t>
      </w:r>
    </w:p>
    <w:p w14:paraId="31E613D9">
      <w:pPr>
        <w:jc w:val="left"/>
        <w:rPr>
          <w:rFonts w:ascii="宋体" w:hAnsi="宋体"/>
          <w:kern w:val="44"/>
        </w:rPr>
      </w:pPr>
      <w:r>
        <w:rPr>
          <w:rFonts w:hint="eastAsia" w:ascii="宋体" w:hAnsi="宋体"/>
          <w:kern w:val="44"/>
        </w:rPr>
        <w:t>（三）电器设备须有专人看护，照明灯具应避开易燃物，易爆灯具须有防爆装置，工作人员离开现场时，应立即切断电源；</w:t>
      </w:r>
    </w:p>
    <w:p w14:paraId="06E86231">
      <w:pPr>
        <w:jc w:val="left"/>
        <w:rPr>
          <w:rFonts w:ascii="宋体" w:hAnsi="宋体"/>
          <w:kern w:val="44"/>
        </w:rPr>
      </w:pPr>
      <w:r>
        <w:rPr>
          <w:rFonts w:hint="eastAsia" w:ascii="宋体" w:hAnsi="宋体"/>
          <w:kern w:val="44"/>
        </w:rPr>
        <w:t>（四）配备必要的消防、给水设备；</w:t>
      </w:r>
    </w:p>
    <w:p w14:paraId="44D228DF">
      <w:pPr>
        <w:jc w:val="left"/>
        <w:rPr>
          <w:rFonts w:ascii="宋体" w:hAnsi="宋体"/>
          <w:kern w:val="44"/>
        </w:rPr>
      </w:pPr>
      <w:r>
        <w:rPr>
          <w:rFonts w:hint="eastAsia" w:ascii="宋体" w:hAnsi="宋体"/>
          <w:kern w:val="44"/>
        </w:rPr>
        <w:t>（五）安装道具、布景和其他器械，不得碰、擦伤文物，用毕及时拆除；</w:t>
      </w:r>
    </w:p>
    <w:p w14:paraId="3D3B7A3D">
      <w:pPr>
        <w:jc w:val="left"/>
        <w:rPr>
          <w:rFonts w:ascii="宋体" w:hAnsi="宋体"/>
          <w:kern w:val="44"/>
        </w:rPr>
      </w:pPr>
      <w:r>
        <w:rPr>
          <w:rFonts w:hint="eastAsia" w:ascii="宋体" w:hAnsi="宋体"/>
          <w:kern w:val="44"/>
        </w:rPr>
        <w:t>（六）不得以古建筑屋顶、墙体、古塔、碑刻等作为演员表演格斗、攀登、跳跃时的道具；</w:t>
      </w:r>
    </w:p>
    <w:p w14:paraId="1A15A9B4">
      <w:pPr>
        <w:jc w:val="left"/>
        <w:rPr>
          <w:rFonts w:ascii="宋体" w:hAnsi="宋体"/>
          <w:kern w:val="44"/>
        </w:rPr>
      </w:pPr>
      <w:r>
        <w:rPr>
          <w:rFonts w:hint="eastAsia" w:ascii="宋体" w:hAnsi="宋体"/>
          <w:kern w:val="44"/>
        </w:rPr>
        <w:t>（七）不得随意移动文物；</w:t>
      </w:r>
    </w:p>
    <w:p w14:paraId="5C339563">
      <w:pPr>
        <w:jc w:val="left"/>
        <w:rPr>
          <w:rFonts w:ascii="宋体" w:hAnsi="宋体"/>
          <w:kern w:val="44"/>
        </w:rPr>
      </w:pPr>
      <w:r>
        <w:rPr>
          <w:rFonts w:hint="eastAsia" w:ascii="宋体" w:hAnsi="宋体"/>
          <w:kern w:val="44"/>
        </w:rPr>
        <w:t>（八）在有壁画、彩塑、彩绘等文物的古建筑室内拍摄纪录片，不得使用强光灯；</w:t>
      </w:r>
    </w:p>
    <w:p w14:paraId="222A63A9">
      <w:pPr>
        <w:jc w:val="left"/>
        <w:rPr>
          <w:rFonts w:ascii="宋体" w:hAnsi="宋体"/>
          <w:kern w:val="44"/>
        </w:rPr>
      </w:pPr>
      <w:r>
        <w:rPr>
          <w:rFonts w:hint="eastAsia" w:ascii="宋体" w:hAnsi="宋体"/>
          <w:kern w:val="44"/>
        </w:rPr>
        <w:t>（九）书画、纺织品、漆器等易损文物，不准拍摄，必要时得用仿制品。</w:t>
      </w:r>
    </w:p>
    <w:p w14:paraId="4B0061B9">
      <w:pPr>
        <w:ind w:firstLine="422"/>
        <w:jc w:val="left"/>
        <w:rPr>
          <w:rFonts w:ascii="宋体" w:hAnsi="宋体"/>
          <w:kern w:val="44"/>
        </w:rPr>
      </w:pPr>
      <w:r>
        <w:rPr>
          <w:rFonts w:hint="eastAsia" w:ascii="宋体" w:hAnsi="宋体"/>
          <w:b/>
          <w:kern w:val="44"/>
        </w:rPr>
        <w:t>第六条</w:t>
      </w:r>
      <w:r>
        <w:rPr>
          <w:rFonts w:hint="eastAsia" w:ascii="宋体" w:hAnsi="宋体"/>
          <w:kern w:val="44"/>
        </w:rPr>
        <w:t>　文物使用单位不得向未经批准的拍摄单位提供拍摄场地和文物资料。</w:t>
      </w:r>
    </w:p>
    <w:p w14:paraId="61576A84">
      <w:pPr>
        <w:jc w:val="left"/>
        <w:rPr>
          <w:rFonts w:ascii="宋体" w:hAnsi="宋体"/>
          <w:kern w:val="44"/>
        </w:rPr>
      </w:pPr>
      <w:r>
        <w:rPr>
          <w:rFonts w:hint="eastAsia" w:ascii="宋体" w:hAnsi="宋体"/>
          <w:kern w:val="44"/>
        </w:rPr>
        <w:t>文物使用单位要指派管理人员在现场监督管理，并协助拍摄单位做好拍摄工作。对违反本规定的行为，管理人员应予劝阻。对不听劝阻的，文物使用单位有权停止其拍摄，并向文物管理部门和公安消防机关报告。</w:t>
      </w:r>
    </w:p>
    <w:p w14:paraId="66C8F2B1">
      <w:pPr>
        <w:ind w:firstLine="422"/>
        <w:jc w:val="left"/>
        <w:rPr>
          <w:rFonts w:ascii="宋体" w:hAnsi="宋体"/>
          <w:kern w:val="44"/>
        </w:rPr>
      </w:pPr>
      <w:r>
        <w:rPr>
          <w:rFonts w:hint="eastAsia" w:ascii="宋体" w:hAnsi="宋体"/>
          <w:b/>
          <w:kern w:val="44"/>
        </w:rPr>
        <w:t>第七条</w:t>
      </w:r>
      <w:r>
        <w:rPr>
          <w:rFonts w:hint="eastAsia" w:ascii="宋体" w:hAnsi="宋体"/>
          <w:kern w:val="44"/>
        </w:rPr>
        <w:t>　对违反本办法的，视情节轻重，分别给予下列处罚：</w:t>
      </w:r>
    </w:p>
    <w:p w14:paraId="3AE30AB0">
      <w:pPr>
        <w:jc w:val="left"/>
        <w:rPr>
          <w:rFonts w:ascii="宋体" w:hAnsi="宋体"/>
          <w:kern w:val="44"/>
        </w:rPr>
      </w:pPr>
      <w:r>
        <w:rPr>
          <w:rFonts w:hint="eastAsia" w:ascii="宋体" w:hAnsi="宋体"/>
          <w:kern w:val="44"/>
        </w:rPr>
        <w:t>（一）未经批准擅自拍摄和更改拍摄项目的，由文物管理部门责令其立即改正，收缴非法录制的胶片、磁带，按拍摄时间计算，每小时处以100元至1000元罚款，但最高不超过3万元。</w:t>
      </w:r>
    </w:p>
    <w:p w14:paraId="3A14BADB">
      <w:pPr>
        <w:jc w:val="left"/>
        <w:rPr>
          <w:rFonts w:ascii="宋体" w:hAnsi="宋体"/>
          <w:kern w:val="44"/>
        </w:rPr>
      </w:pPr>
      <w:r>
        <w:rPr>
          <w:rFonts w:hint="eastAsia" w:ascii="宋体" w:hAnsi="宋体"/>
          <w:kern w:val="44"/>
        </w:rPr>
        <w:t>（二）不遵守本办法拍摄管理规定、不服从管理的，由文物管理部门对其处以100元以上1000元以下罚款。</w:t>
      </w:r>
    </w:p>
    <w:p w14:paraId="3C2EE11C">
      <w:pPr>
        <w:jc w:val="left"/>
        <w:rPr>
          <w:rFonts w:ascii="宋体" w:hAnsi="宋体"/>
          <w:kern w:val="44"/>
        </w:rPr>
      </w:pPr>
      <w:r>
        <w:rPr>
          <w:rFonts w:hint="eastAsia" w:ascii="宋体" w:hAnsi="宋体"/>
          <w:kern w:val="44"/>
        </w:rPr>
        <w:t>（三）擅自向未经批准的拍摄单位提供文物、资料及拍摄场地的，由文物管理部门对其处以违法所得3倍以下罚款，但最高不超过3万元。没有违法所得的，处1000元以上1万元以下罚款。</w:t>
      </w:r>
    </w:p>
    <w:p w14:paraId="5E823898">
      <w:pPr>
        <w:jc w:val="left"/>
        <w:rPr>
          <w:rFonts w:ascii="宋体" w:hAnsi="宋体"/>
          <w:kern w:val="44"/>
        </w:rPr>
      </w:pPr>
      <w:r>
        <w:rPr>
          <w:rFonts w:hint="eastAsia" w:ascii="宋体" w:hAnsi="宋体"/>
          <w:kern w:val="44"/>
        </w:rPr>
        <w:t>（四）损毁文物的，须赔偿损失。</w:t>
      </w:r>
    </w:p>
    <w:p w14:paraId="26F86B4D">
      <w:pPr>
        <w:jc w:val="left"/>
        <w:rPr>
          <w:rFonts w:ascii="宋体" w:hAnsi="宋体"/>
          <w:kern w:val="44"/>
        </w:rPr>
      </w:pPr>
      <w:r>
        <w:rPr>
          <w:rFonts w:hint="eastAsia" w:ascii="宋体" w:hAnsi="宋体"/>
          <w:kern w:val="44"/>
        </w:rPr>
        <w:t>（五）违反消防管理规定的，由公安消防机关责令其停止拍摄。</w:t>
      </w:r>
    </w:p>
    <w:p w14:paraId="5E9B253E">
      <w:pPr>
        <w:jc w:val="left"/>
        <w:rPr>
          <w:rFonts w:ascii="宋体" w:hAnsi="宋体"/>
          <w:kern w:val="44"/>
        </w:rPr>
      </w:pPr>
      <w:r>
        <w:rPr>
          <w:rFonts w:hint="eastAsia" w:ascii="宋体" w:hAnsi="宋体"/>
          <w:kern w:val="44"/>
        </w:rPr>
        <w:t>造成火灾，损毁珍贵文物的，依法追究责任人的刑事责任。</w:t>
      </w:r>
    </w:p>
    <w:p w14:paraId="70BB5C26">
      <w:pPr>
        <w:ind w:firstLine="422"/>
        <w:jc w:val="left"/>
        <w:rPr>
          <w:rFonts w:ascii="宋体" w:hAnsi="宋体"/>
          <w:kern w:val="44"/>
        </w:rPr>
      </w:pPr>
      <w:r>
        <w:rPr>
          <w:rFonts w:hint="eastAsia" w:ascii="宋体" w:hAnsi="宋体"/>
          <w:b/>
          <w:kern w:val="44"/>
        </w:rPr>
        <w:t>第八条</w:t>
      </w:r>
      <w:r>
        <w:rPr>
          <w:rFonts w:hint="eastAsia" w:ascii="宋体" w:hAnsi="宋体"/>
          <w:kern w:val="44"/>
        </w:rPr>
        <w:t>　本办法自1986年3月1日起施行。</w:t>
      </w:r>
    </w:p>
    <w:p w14:paraId="23C00521">
      <w:pPr>
        <w:pStyle w:val="4"/>
        <w:pageBreakBefore/>
        <w:rPr>
          <w:kern w:val="44"/>
        </w:rPr>
      </w:pPr>
      <w:bookmarkStart w:id="1655" w:name="_Toc422471431"/>
      <w:bookmarkStart w:id="1656" w:name="_Toc428781728"/>
      <w:bookmarkStart w:id="1657" w:name="_Toc427651680"/>
      <w:bookmarkStart w:id="1658" w:name="_Toc428780246"/>
      <w:bookmarkStart w:id="1659" w:name="_Toc427652022"/>
      <w:r>
        <w:rPr>
          <w:rFonts w:hint="eastAsia"/>
          <w:kern w:val="44"/>
        </w:rPr>
        <w:t>北京市文物保护单位保护范围</w:t>
      </w:r>
      <w:bookmarkEnd w:id="1655"/>
      <w:bookmarkEnd w:id="1656"/>
      <w:bookmarkEnd w:id="1657"/>
      <w:bookmarkEnd w:id="1658"/>
      <w:bookmarkEnd w:id="1659"/>
    </w:p>
    <w:p w14:paraId="59C5DECB">
      <w:pPr>
        <w:pStyle w:val="4"/>
        <w:rPr>
          <w:kern w:val="44"/>
        </w:rPr>
      </w:pPr>
      <w:bookmarkStart w:id="1660" w:name="_Toc422471432"/>
      <w:bookmarkStart w:id="1661" w:name="_Toc428781729"/>
      <w:bookmarkStart w:id="1662" w:name="_Toc427652023"/>
      <w:bookmarkStart w:id="1663" w:name="_Toc428780247"/>
      <w:bookmarkStart w:id="1664" w:name="_Toc427651681"/>
      <w:r>
        <w:rPr>
          <w:rFonts w:hint="eastAsia"/>
          <w:kern w:val="44"/>
        </w:rPr>
        <w:t>及建设控制地带管理规定</w:t>
      </w:r>
      <w:bookmarkEnd w:id="1660"/>
      <w:bookmarkEnd w:id="1661"/>
      <w:bookmarkEnd w:id="1662"/>
      <w:bookmarkEnd w:id="1663"/>
      <w:bookmarkEnd w:id="1664"/>
    </w:p>
    <w:p w14:paraId="15566EEF">
      <w:pPr>
        <w:ind w:left="630" w:leftChars="300" w:right="630" w:rightChars="300"/>
        <w:jc w:val="left"/>
        <w:rPr>
          <w:rFonts w:ascii="楷体" w:hAnsi="楷体" w:eastAsia="楷体"/>
          <w:kern w:val="44"/>
        </w:rPr>
      </w:pPr>
      <w:r>
        <w:rPr>
          <w:rFonts w:hint="eastAsia" w:ascii="楷体" w:hAnsi="楷体" w:eastAsia="楷体"/>
          <w:kern w:val="44"/>
        </w:rPr>
        <w:t>（1987年11月13日北京市人民政府京政发144号文件发布　根据2007年11月23日北京市人民政府第200号令修改）</w:t>
      </w:r>
    </w:p>
    <w:p w14:paraId="5B96BFC7">
      <w:pPr>
        <w:jc w:val="left"/>
        <w:rPr>
          <w:rFonts w:ascii="宋体" w:hAnsi="宋体"/>
          <w:kern w:val="44"/>
        </w:rPr>
      </w:pPr>
    </w:p>
    <w:p w14:paraId="71563947">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为加强文物保护单位保护范围及建设控制地带的管理，制定本规定。</w:t>
      </w:r>
    </w:p>
    <w:p w14:paraId="7BBD6D94">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本市行政区域内的全国重点文物保护单位、市级文物保护单位和区、县级文物保护单位（以下统称文物保护单位）的保护范围及建设控制地带，均须依照本规定管理。</w:t>
      </w:r>
    </w:p>
    <w:p w14:paraId="129F7F18">
      <w:pPr>
        <w:ind w:firstLine="422"/>
        <w:jc w:val="left"/>
        <w:rPr>
          <w:rFonts w:ascii="宋体" w:hAnsi="宋体"/>
          <w:kern w:val="44"/>
        </w:rPr>
      </w:pPr>
      <w:r>
        <w:rPr>
          <w:rFonts w:hint="eastAsia" w:ascii="宋体" w:hAnsi="宋体"/>
          <w:b/>
          <w:kern w:val="44"/>
        </w:rPr>
        <w:t>第三条</w:t>
      </w:r>
      <w:r>
        <w:rPr>
          <w:rFonts w:hint="eastAsia" w:ascii="宋体" w:hAnsi="宋体"/>
          <w:kern w:val="44"/>
        </w:rPr>
        <w:t>　凡已核定的文物保护单位，均应根据保护文物古迹的格局、安全、环境和景观的需要，划出保护范围和建设控制地带。</w:t>
      </w:r>
    </w:p>
    <w:p w14:paraId="2AA93FEA">
      <w:pPr>
        <w:jc w:val="left"/>
        <w:rPr>
          <w:rFonts w:ascii="宋体" w:hAnsi="宋体"/>
          <w:kern w:val="44"/>
        </w:rPr>
      </w:pPr>
      <w:r>
        <w:rPr>
          <w:rFonts w:hint="eastAsia" w:ascii="宋体" w:hAnsi="宋体"/>
          <w:kern w:val="44"/>
        </w:rPr>
        <w:t>各级文物保护单位的保护范围及建设控制地带的划定和公布，按照《中华人民共和国文物保护法》和《中华人民共和国文物保护法实施条例》的有关规定执行。</w:t>
      </w:r>
    </w:p>
    <w:p w14:paraId="08090C18">
      <w:pPr>
        <w:ind w:firstLine="422"/>
        <w:jc w:val="left"/>
        <w:rPr>
          <w:rFonts w:ascii="宋体" w:hAnsi="宋体"/>
          <w:kern w:val="44"/>
        </w:rPr>
      </w:pPr>
      <w:r>
        <w:rPr>
          <w:rFonts w:hint="eastAsia" w:ascii="宋体" w:hAnsi="宋体"/>
          <w:b/>
          <w:kern w:val="44"/>
        </w:rPr>
        <w:t>第四条</w:t>
      </w:r>
      <w:r>
        <w:rPr>
          <w:rFonts w:hint="eastAsia" w:ascii="宋体" w:hAnsi="宋体"/>
          <w:kern w:val="44"/>
        </w:rPr>
        <w:t>　在文物保护单位的保护范围内，依照文物保护法律、法规、规章的有关规定进行管理。</w:t>
      </w:r>
    </w:p>
    <w:p w14:paraId="7994CB16">
      <w:pPr>
        <w:ind w:firstLine="422"/>
        <w:jc w:val="left"/>
        <w:rPr>
          <w:rFonts w:ascii="宋体" w:hAnsi="宋体"/>
          <w:kern w:val="44"/>
        </w:rPr>
      </w:pPr>
      <w:r>
        <w:rPr>
          <w:rFonts w:hint="eastAsia" w:ascii="宋体" w:hAnsi="宋体"/>
          <w:b/>
          <w:kern w:val="44"/>
        </w:rPr>
        <w:t>第五条</w:t>
      </w:r>
      <w:r>
        <w:rPr>
          <w:rFonts w:hint="eastAsia" w:ascii="宋体" w:hAnsi="宋体"/>
          <w:kern w:val="44"/>
        </w:rPr>
        <w:t>　文物保护单位周围的建设控制地带分为五类：</w:t>
      </w:r>
    </w:p>
    <w:p w14:paraId="28232B08">
      <w:pPr>
        <w:jc w:val="left"/>
        <w:rPr>
          <w:rFonts w:ascii="宋体" w:hAnsi="宋体"/>
          <w:kern w:val="44"/>
        </w:rPr>
      </w:pPr>
      <w:r>
        <w:rPr>
          <w:rFonts w:hint="eastAsia" w:ascii="宋体" w:hAnsi="宋体"/>
          <w:kern w:val="44"/>
        </w:rPr>
        <w:t>一类地带：为非建设地带。地带内只准进行绿化和修筑消防通道，不得建设任何建筑和地上附属建筑物。地带内现有建筑，应创造条件拆除，一时难以拆除的，须制定拆除计划和年限。</w:t>
      </w:r>
    </w:p>
    <w:p w14:paraId="76921B44">
      <w:pPr>
        <w:jc w:val="left"/>
        <w:rPr>
          <w:rFonts w:ascii="宋体" w:hAnsi="宋体"/>
          <w:kern w:val="44"/>
        </w:rPr>
      </w:pPr>
      <w:r>
        <w:rPr>
          <w:rFonts w:hint="eastAsia" w:ascii="宋体" w:hAnsi="宋体"/>
          <w:kern w:val="44"/>
        </w:rPr>
        <w:t>二类地带：为可保留平房地带。地带内现有的平房应加强维护，不得任意改建添建。不符合要求的建筑或危险建筑，应创造条件按传统四合院形式进行改建，经批准改建、新建的建筑物，高度不得超过3.3米，建筑密度不得大于40％。</w:t>
      </w:r>
    </w:p>
    <w:p w14:paraId="6B9936F6">
      <w:pPr>
        <w:jc w:val="left"/>
        <w:rPr>
          <w:rFonts w:ascii="宋体" w:hAnsi="宋体"/>
          <w:kern w:val="44"/>
        </w:rPr>
      </w:pPr>
      <w:r>
        <w:rPr>
          <w:rFonts w:hint="eastAsia" w:ascii="宋体" w:hAnsi="宋体"/>
          <w:kern w:val="44"/>
        </w:rPr>
        <w:t>三类地带：为允许建筑高度9米以下的地带。地带内的建筑形式、体量、色调都必须与文物保护单位相协调；建筑楼房时，建筑密度不得大于35％。</w:t>
      </w:r>
    </w:p>
    <w:p w14:paraId="64CE26FC">
      <w:pPr>
        <w:jc w:val="left"/>
        <w:rPr>
          <w:rFonts w:ascii="宋体" w:hAnsi="宋体"/>
          <w:kern w:val="44"/>
        </w:rPr>
      </w:pPr>
      <w:r>
        <w:rPr>
          <w:rFonts w:hint="eastAsia" w:ascii="宋体" w:hAnsi="宋体"/>
          <w:kern w:val="44"/>
        </w:rPr>
        <w:t>四类地带：为允许建筑高度18米以下的地带。地带内靠近文物保护单位一侧的建筑物和通向文物保护单位的道路、通视走廊两侧的建筑物，其形式、体量、色调应与文物保护单位相协调。</w:t>
      </w:r>
    </w:p>
    <w:p w14:paraId="1C748F8D">
      <w:pPr>
        <w:jc w:val="left"/>
        <w:rPr>
          <w:rFonts w:ascii="宋体" w:hAnsi="宋体"/>
          <w:kern w:val="44"/>
        </w:rPr>
      </w:pPr>
      <w:r>
        <w:rPr>
          <w:rFonts w:hint="eastAsia" w:ascii="宋体" w:hAnsi="宋体"/>
          <w:kern w:val="44"/>
        </w:rPr>
        <w:t>五类地带：为特殊控制地带。地带内针对有特殊价值和特殊要求的文物保护单位的情况实行具体管理。</w:t>
      </w:r>
    </w:p>
    <w:p w14:paraId="04BC0EED">
      <w:pPr>
        <w:ind w:firstLine="422"/>
        <w:jc w:val="left"/>
        <w:rPr>
          <w:rFonts w:ascii="宋体" w:hAnsi="宋体"/>
          <w:kern w:val="44"/>
        </w:rPr>
      </w:pPr>
      <w:r>
        <w:rPr>
          <w:rFonts w:hint="eastAsia" w:ascii="宋体" w:hAnsi="宋体"/>
          <w:b/>
          <w:kern w:val="44"/>
        </w:rPr>
        <w:t>第六条</w:t>
      </w:r>
      <w:r>
        <w:rPr>
          <w:rFonts w:hint="eastAsia" w:ascii="宋体" w:hAnsi="宋体"/>
          <w:kern w:val="44"/>
        </w:rPr>
        <w:t>　建设控制地带允许建筑的高度，指建筑物和构筑物的最高点（包括电梯间、楼梯间、水箱、烟囱等）；中国传统大屋顶形式的，其高度按檐口计算。成片建设（包括改建）的地区，经市文物行政部门同意，市规划行政主管部门批准，个别建筑物可提高建筑高度。</w:t>
      </w:r>
    </w:p>
    <w:p w14:paraId="196CD8D9">
      <w:pPr>
        <w:ind w:firstLine="422"/>
        <w:jc w:val="left"/>
        <w:rPr>
          <w:rFonts w:ascii="宋体" w:hAnsi="宋体"/>
          <w:kern w:val="44"/>
        </w:rPr>
      </w:pPr>
      <w:r>
        <w:rPr>
          <w:rFonts w:hint="eastAsia" w:ascii="宋体" w:hAnsi="宋体"/>
          <w:b/>
          <w:kern w:val="44"/>
        </w:rPr>
        <w:t>第七条</w:t>
      </w:r>
      <w:r>
        <w:rPr>
          <w:rFonts w:hint="eastAsia" w:ascii="宋体" w:hAnsi="宋体"/>
          <w:kern w:val="44"/>
        </w:rPr>
        <w:t>　文物保护单位周围未划一类建设控制地带或所划一类建设控制地带小于防火规范规定的防火间距的，在其周围建房时，应按《建筑设计防火规范》办理。</w:t>
      </w:r>
    </w:p>
    <w:p w14:paraId="7B5DA9E6">
      <w:pPr>
        <w:ind w:firstLine="422"/>
        <w:jc w:val="left"/>
        <w:rPr>
          <w:rFonts w:ascii="宋体" w:hAnsi="宋体"/>
          <w:kern w:val="44"/>
        </w:rPr>
      </w:pPr>
      <w:r>
        <w:rPr>
          <w:rFonts w:hint="eastAsia" w:ascii="宋体" w:hAnsi="宋体"/>
          <w:b/>
          <w:kern w:val="44"/>
        </w:rPr>
        <w:t>第八条</w:t>
      </w:r>
      <w:r>
        <w:rPr>
          <w:rFonts w:hint="eastAsia" w:ascii="宋体" w:hAnsi="宋体"/>
          <w:kern w:val="44"/>
        </w:rPr>
        <w:t>　因特殊情况，必须更改文物保护单位的保护范围及建设控制地带时，须按本规定第三条程序办理。</w:t>
      </w:r>
    </w:p>
    <w:p w14:paraId="013D532B">
      <w:pPr>
        <w:ind w:firstLine="422"/>
        <w:jc w:val="left"/>
        <w:rPr>
          <w:rFonts w:ascii="宋体" w:hAnsi="宋体"/>
          <w:kern w:val="44"/>
        </w:rPr>
      </w:pPr>
      <w:r>
        <w:rPr>
          <w:rFonts w:hint="eastAsia" w:ascii="宋体" w:hAnsi="宋体"/>
          <w:b/>
          <w:kern w:val="44"/>
        </w:rPr>
        <w:t>第九条</w:t>
      </w:r>
      <w:r>
        <w:rPr>
          <w:rFonts w:hint="eastAsia" w:ascii="宋体" w:hAnsi="宋体"/>
          <w:kern w:val="44"/>
        </w:rPr>
        <w:t>　在保护范围及建设控制地带内未经批准或违反本规定要求进行建设工程的，由文物行政部门或规划行政主管部门责令停工，并由规划行政主管部门按违法建筑处理。</w:t>
      </w:r>
    </w:p>
    <w:p w14:paraId="62F71B87">
      <w:pPr>
        <w:ind w:firstLine="422"/>
        <w:jc w:val="left"/>
        <w:rPr>
          <w:rFonts w:ascii="宋体" w:hAnsi="宋体"/>
          <w:kern w:val="44"/>
        </w:rPr>
      </w:pPr>
      <w:r>
        <w:rPr>
          <w:rFonts w:hint="eastAsia" w:ascii="宋体" w:hAnsi="宋体"/>
          <w:b/>
          <w:kern w:val="44"/>
        </w:rPr>
        <w:t>第十条</w:t>
      </w:r>
      <w:r>
        <w:rPr>
          <w:rFonts w:hint="eastAsia" w:ascii="宋体" w:hAnsi="宋体"/>
          <w:kern w:val="44"/>
        </w:rPr>
        <w:t>　本规定经市人民政府批准，自1987年12月1日起施行。市人民政府1984年11月20日以京政发〔1984〕128号文件批转的《关于文物保护单位的保护范围及建设控制地带的说明》同时废止。</w:t>
      </w:r>
    </w:p>
    <w:p w14:paraId="1D7D6603">
      <w:pPr>
        <w:pStyle w:val="4"/>
        <w:pageBreakBefore/>
        <w:rPr>
          <w:kern w:val="44"/>
        </w:rPr>
      </w:pPr>
      <w:bookmarkStart w:id="1665" w:name="_Toc422471433"/>
      <w:bookmarkStart w:id="1666" w:name="_Toc428781730"/>
      <w:bookmarkStart w:id="1667" w:name="_Toc427651682"/>
      <w:bookmarkStart w:id="1668" w:name="_Toc427652024"/>
      <w:bookmarkStart w:id="1669" w:name="_Toc428780248"/>
      <w:r>
        <w:rPr>
          <w:rFonts w:hint="eastAsia"/>
          <w:kern w:val="44"/>
        </w:rPr>
        <w:t>北京市文物保护单位巡视检查</w:t>
      </w:r>
      <w:bookmarkEnd w:id="1665"/>
      <w:bookmarkStart w:id="1670" w:name="_Toc422471434"/>
      <w:r>
        <w:rPr>
          <w:rFonts w:hint="eastAsia"/>
          <w:kern w:val="44"/>
        </w:rPr>
        <w:t>报告制度暂行规定</w:t>
      </w:r>
      <w:bookmarkEnd w:id="1666"/>
      <w:bookmarkEnd w:id="1667"/>
      <w:bookmarkEnd w:id="1668"/>
      <w:bookmarkEnd w:id="1669"/>
      <w:bookmarkEnd w:id="1670"/>
    </w:p>
    <w:p w14:paraId="12327F75">
      <w:pPr>
        <w:ind w:left="630" w:leftChars="300" w:right="630" w:rightChars="300"/>
        <w:jc w:val="left"/>
        <w:rPr>
          <w:rFonts w:ascii="楷体" w:hAnsi="楷体" w:eastAsia="楷体"/>
          <w:kern w:val="44"/>
        </w:rPr>
      </w:pPr>
      <w:r>
        <w:rPr>
          <w:rFonts w:hint="eastAsia" w:ascii="楷体" w:hAnsi="楷体" w:eastAsia="楷体"/>
          <w:kern w:val="44"/>
        </w:rPr>
        <w:t>（1989年5月31日北京市人民政府批准  1989年7月1日北京市文物事业管理局发布　根据2010年11月27日北京市人民政府第226号令修改）</w:t>
      </w:r>
    </w:p>
    <w:p w14:paraId="3DF8F4CC">
      <w:pPr>
        <w:jc w:val="left"/>
        <w:rPr>
          <w:rFonts w:ascii="宋体" w:hAnsi="宋体"/>
          <w:kern w:val="44"/>
        </w:rPr>
      </w:pPr>
    </w:p>
    <w:p w14:paraId="6C03BE31">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为加强本市文物保护单位的经常性保护和管理，及时发现和处理违法违章行为，根据《中华人民共和国文物保护法》、《北京市实施〈中华人民共和国文物保护法〉办法》等法律、法规、规章，制定本规定。</w:t>
      </w:r>
    </w:p>
    <w:p w14:paraId="57A50529">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本市行政区域内的全国重点文物保护单位、市级文物保护单位和区、县文物保护单位（以下简称文物保护单位），必须按本规定实行巡视检查和报告制度。</w:t>
      </w:r>
    </w:p>
    <w:p w14:paraId="46E9A1C7">
      <w:pPr>
        <w:ind w:firstLine="422"/>
        <w:jc w:val="left"/>
        <w:rPr>
          <w:rFonts w:ascii="宋体" w:hAnsi="宋体"/>
          <w:kern w:val="44"/>
        </w:rPr>
      </w:pPr>
      <w:r>
        <w:rPr>
          <w:rFonts w:hint="eastAsia" w:ascii="宋体" w:hAnsi="宋体"/>
          <w:b/>
          <w:kern w:val="44"/>
        </w:rPr>
        <w:t>第三条</w:t>
      </w:r>
      <w:r>
        <w:rPr>
          <w:rFonts w:hint="eastAsia" w:ascii="宋体" w:hAnsi="宋体"/>
          <w:kern w:val="44"/>
        </w:rPr>
        <w:t>　文物保护单位的日常巡视检查，由各该文物保护单位的管理使用单位（以下简称管理使用单位）负责；没有管理使用单位的，由市、区、县文物行政管理机关指定机构或人员负责。</w:t>
      </w:r>
    </w:p>
    <w:p w14:paraId="0421126E">
      <w:pPr>
        <w:jc w:val="left"/>
        <w:rPr>
          <w:rFonts w:ascii="宋体" w:hAnsi="宋体"/>
          <w:kern w:val="44"/>
        </w:rPr>
      </w:pPr>
      <w:r>
        <w:rPr>
          <w:rFonts w:hint="eastAsia" w:ascii="宋体" w:hAnsi="宋体"/>
          <w:kern w:val="44"/>
        </w:rPr>
        <w:t>园林、宗教、房管、教育部门，应督促本系统的管理使用单位做好巡视检查工作。</w:t>
      </w:r>
    </w:p>
    <w:p w14:paraId="30ACF676">
      <w:pPr>
        <w:ind w:firstLine="422"/>
        <w:jc w:val="left"/>
        <w:rPr>
          <w:rFonts w:ascii="宋体" w:hAnsi="宋体"/>
          <w:kern w:val="44"/>
        </w:rPr>
      </w:pPr>
      <w:r>
        <w:rPr>
          <w:rFonts w:hint="eastAsia" w:ascii="宋体" w:hAnsi="宋体"/>
          <w:b/>
          <w:kern w:val="44"/>
        </w:rPr>
        <w:t>第四条</w:t>
      </w:r>
      <w:r>
        <w:rPr>
          <w:rFonts w:hint="eastAsia" w:ascii="宋体" w:hAnsi="宋体"/>
          <w:kern w:val="44"/>
        </w:rPr>
        <w:t>　管理使用单位的巡视检查职责：</w:t>
      </w:r>
    </w:p>
    <w:p w14:paraId="7A41FE07">
      <w:pPr>
        <w:jc w:val="left"/>
        <w:rPr>
          <w:rFonts w:ascii="宋体" w:hAnsi="宋体"/>
          <w:kern w:val="44"/>
        </w:rPr>
      </w:pPr>
      <w:r>
        <w:rPr>
          <w:rFonts w:hint="eastAsia" w:ascii="宋体" w:hAnsi="宋体"/>
          <w:kern w:val="44"/>
        </w:rPr>
        <w:t>（一）检查文物建筑及其附属文物（包括由其保管和陈列的文物）的保管、使用状况；检查文物保护单位的保护范围和建设控制地带（以下简称保护范围和控制地带）内文物建筑的原有格局、环境景观和风貌的保护状况。</w:t>
      </w:r>
    </w:p>
    <w:p w14:paraId="78DEC54F">
      <w:pPr>
        <w:jc w:val="left"/>
        <w:rPr>
          <w:rFonts w:ascii="宋体" w:hAnsi="宋体"/>
          <w:kern w:val="44"/>
        </w:rPr>
      </w:pPr>
      <w:r>
        <w:rPr>
          <w:rFonts w:hint="eastAsia" w:ascii="宋体" w:hAnsi="宋体"/>
          <w:kern w:val="44"/>
        </w:rPr>
        <w:t>（二）制止损毁文物建筑及其附属文物的行为；制止破坏保护范围和控制地带内文物建筑的原有格局和环境景观、风貌的行为；制止擅自移动、拆除、污损、破坏文物保护标志及其他违法违章行为。</w:t>
      </w:r>
    </w:p>
    <w:p w14:paraId="1E6C83E9">
      <w:pPr>
        <w:jc w:val="left"/>
        <w:rPr>
          <w:rFonts w:ascii="宋体" w:hAnsi="宋体"/>
          <w:kern w:val="44"/>
        </w:rPr>
      </w:pPr>
      <w:r>
        <w:rPr>
          <w:rFonts w:hint="eastAsia" w:ascii="宋体" w:hAnsi="宋体"/>
          <w:kern w:val="44"/>
        </w:rPr>
        <w:t>（三）发现文物建筑和附属文物自然损坏或有自然损坏隐患的，及时采取妥善的保护措施。</w:t>
      </w:r>
    </w:p>
    <w:p w14:paraId="41E7320E">
      <w:pPr>
        <w:jc w:val="left"/>
        <w:rPr>
          <w:rFonts w:ascii="宋体" w:hAnsi="宋体"/>
          <w:kern w:val="44"/>
        </w:rPr>
      </w:pPr>
      <w:r>
        <w:rPr>
          <w:rFonts w:hint="eastAsia" w:ascii="宋体" w:hAnsi="宋体"/>
          <w:kern w:val="44"/>
        </w:rPr>
        <w:t>管理使用单位应定期向当地文物行政管理机关报告巡视检查情况；发现违法违章行为和文物损坏的，须及时报告文物行政管理机关。</w:t>
      </w:r>
    </w:p>
    <w:p w14:paraId="65840C02">
      <w:pPr>
        <w:ind w:firstLine="422"/>
        <w:jc w:val="left"/>
        <w:rPr>
          <w:rFonts w:ascii="宋体" w:hAnsi="宋体"/>
          <w:kern w:val="44"/>
        </w:rPr>
      </w:pPr>
      <w:r>
        <w:rPr>
          <w:rFonts w:hint="eastAsia" w:ascii="宋体" w:hAnsi="宋体"/>
          <w:b/>
          <w:kern w:val="44"/>
        </w:rPr>
        <w:t>第五条</w:t>
      </w:r>
      <w:r>
        <w:rPr>
          <w:rFonts w:hint="eastAsia" w:ascii="宋体" w:hAnsi="宋体"/>
          <w:kern w:val="44"/>
        </w:rPr>
        <w:t>　市文物局应每年有计划地组织对本市各级文物保护单位进行重点检查，并对管理使用单位保管使用文物的情况进行监督。</w:t>
      </w:r>
    </w:p>
    <w:p w14:paraId="617F2F3D">
      <w:pPr>
        <w:jc w:val="left"/>
        <w:rPr>
          <w:rFonts w:ascii="宋体" w:hAnsi="宋体"/>
          <w:kern w:val="44"/>
        </w:rPr>
      </w:pPr>
      <w:r>
        <w:rPr>
          <w:rFonts w:hint="eastAsia" w:ascii="宋体" w:hAnsi="宋体"/>
          <w:kern w:val="44"/>
        </w:rPr>
        <w:t>全国重点文物保护单位，由市文物局每半年巡视检查一次。</w:t>
      </w:r>
    </w:p>
    <w:p w14:paraId="7DB6B1D5">
      <w:pPr>
        <w:jc w:val="left"/>
        <w:rPr>
          <w:rFonts w:ascii="宋体" w:hAnsi="宋体"/>
          <w:kern w:val="44"/>
        </w:rPr>
      </w:pPr>
      <w:r>
        <w:rPr>
          <w:rFonts w:hint="eastAsia" w:ascii="宋体" w:hAnsi="宋体"/>
          <w:kern w:val="44"/>
        </w:rPr>
        <w:t>市级文物保护单位，由所在区、县的文物行政管理机关每半年巡视检查一次，市文物局进行重点抽查。</w:t>
      </w:r>
    </w:p>
    <w:p w14:paraId="41D3BEED">
      <w:pPr>
        <w:jc w:val="left"/>
        <w:rPr>
          <w:rFonts w:ascii="宋体" w:hAnsi="宋体"/>
          <w:kern w:val="44"/>
        </w:rPr>
      </w:pPr>
      <w:r>
        <w:rPr>
          <w:rFonts w:hint="eastAsia" w:ascii="宋体" w:hAnsi="宋体"/>
          <w:kern w:val="44"/>
        </w:rPr>
        <w:t>区、县级文物保护单位，由区、县文物行政管理机关每年有计划地进行重点检查。</w:t>
      </w:r>
    </w:p>
    <w:p w14:paraId="3C19356F">
      <w:pPr>
        <w:jc w:val="left"/>
        <w:rPr>
          <w:rFonts w:ascii="宋体" w:hAnsi="宋体"/>
          <w:kern w:val="44"/>
        </w:rPr>
      </w:pPr>
      <w:r>
        <w:rPr>
          <w:rFonts w:hint="eastAsia" w:ascii="宋体" w:hAnsi="宋体"/>
          <w:kern w:val="44"/>
        </w:rPr>
        <w:t>文物行政管理机关的巡视检查结果， 应报同级人民政府和上级文物行政管理机关备案。</w:t>
      </w:r>
    </w:p>
    <w:p w14:paraId="784AD681">
      <w:pPr>
        <w:ind w:firstLine="422"/>
        <w:jc w:val="left"/>
        <w:rPr>
          <w:rFonts w:ascii="宋体" w:hAnsi="宋体"/>
          <w:kern w:val="44"/>
        </w:rPr>
      </w:pPr>
      <w:r>
        <w:rPr>
          <w:rFonts w:hint="eastAsia" w:ascii="宋体" w:hAnsi="宋体"/>
          <w:b/>
          <w:kern w:val="44"/>
        </w:rPr>
        <w:t>第六条</w:t>
      </w:r>
      <w:r>
        <w:rPr>
          <w:rFonts w:hint="eastAsia" w:ascii="宋体" w:hAnsi="宋体"/>
          <w:kern w:val="44"/>
        </w:rPr>
        <w:t>　文物行政管理机关的工作人员对文物保护单位进行巡视检查和对管理使用单位进行监督时，应出示专用检查证件，被监督检查的单位应积极配合，不得阻挠。</w:t>
      </w:r>
    </w:p>
    <w:p w14:paraId="553CFBFE">
      <w:pPr>
        <w:ind w:firstLine="422"/>
        <w:jc w:val="left"/>
        <w:rPr>
          <w:rFonts w:ascii="宋体" w:hAnsi="宋体"/>
          <w:kern w:val="44"/>
        </w:rPr>
      </w:pPr>
      <w:r>
        <w:rPr>
          <w:rFonts w:hint="eastAsia" w:ascii="宋体" w:hAnsi="宋体"/>
          <w:b/>
          <w:kern w:val="44"/>
        </w:rPr>
        <w:t>第七条</w:t>
      </w:r>
      <w:r>
        <w:rPr>
          <w:rFonts w:hint="eastAsia" w:ascii="宋体" w:hAnsi="宋体"/>
          <w:kern w:val="44"/>
        </w:rPr>
        <w:t>　各级文物行政管理机关应在文物保护单位公布举报电话和通信地址，方便群众监督。</w:t>
      </w:r>
    </w:p>
    <w:p w14:paraId="1C1B8D27">
      <w:pPr>
        <w:ind w:firstLine="422"/>
        <w:jc w:val="left"/>
        <w:rPr>
          <w:rFonts w:ascii="宋体" w:hAnsi="宋体"/>
          <w:kern w:val="44"/>
        </w:rPr>
      </w:pPr>
      <w:r>
        <w:rPr>
          <w:rFonts w:hint="eastAsia" w:ascii="宋体" w:hAnsi="宋体"/>
          <w:b/>
          <w:kern w:val="44"/>
        </w:rPr>
        <w:t>第八条</w:t>
      </w:r>
      <w:r>
        <w:rPr>
          <w:rFonts w:hint="eastAsia" w:ascii="宋体" w:hAnsi="宋体"/>
          <w:kern w:val="44"/>
        </w:rPr>
        <w:t>　对执行巡视检查制度好、为保护文物作出显著成绩或有突出贡献的，由市文物局给予表彰和奖励。</w:t>
      </w:r>
    </w:p>
    <w:p w14:paraId="70C8E16E">
      <w:pPr>
        <w:jc w:val="left"/>
        <w:rPr>
          <w:rFonts w:ascii="宋体" w:hAnsi="宋体"/>
          <w:kern w:val="44"/>
        </w:rPr>
      </w:pPr>
      <w:r>
        <w:rPr>
          <w:rFonts w:hint="eastAsia" w:ascii="宋体" w:hAnsi="宋体"/>
          <w:kern w:val="44"/>
        </w:rPr>
        <w:t>对不按规定执行巡视检查制度的，由文物行政管理机关依照有关法规、规章处罚。</w:t>
      </w:r>
    </w:p>
    <w:p w14:paraId="32E0F4DC">
      <w:pPr>
        <w:jc w:val="left"/>
        <w:rPr>
          <w:rFonts w:ascii="宋体" w:hAnsi="宋体"/>
          <w:kern w:val="44"/>
        </w:rPr>
      </w:pPr>
      <w:r>
        <w:rPr>
          <w:rFonts w:hint="eastAsia" w:ascii="宋体" w:hAnsi="宋体"/>
          <w:kern w:val="44"/>
        </w:rPr>
        <w:t>文物行政管理机关及其工作人员严重失职，造成文物损毁重大后果的，由上级机关追究直接责任人和负责人的行政责任。</w:t>
      </w:r>
    </w:p>
    <w:p w14:paraId="2006098A">
      <w:pPr>
        <w:ind w:firstLine="422"/>
        <w:jc w:val="left"/>
        <w:rPr>
          <w:rFonts w:ascii="宋体" w:hAnsi="宋体"/>
          <w:kern w:val="44"/>
        </w:rPr>
      </w:pPr>
      <w:r>
        <w:rPr>
          <w:rFonts w:hint="eastAsia" w:ascii="宋体" w:hAnsi="宋体"/>
          <w:b/>
          <w:kern w:val="44"/>
        </w:rPr>
        <w:t>第九条</w:t>
      </w:r>
      <w:r>
        <w:rPr>
          <w:rFonts w:hint="eastAsia" w:ascii="宋体" w:hAnsi="宋体"/>
          <w:kern w:val="44"/>
        </w:rPr>
        <w:t>　本规定由市文物局负责组织并监督实施。</w:t>
      </w:r>
    </w:p>
    <w:p w14:paraId="05851E7E">
      <w:pPr>
        <w:ind w:firstLine="422"/>
        <w:jc w:val="left"/>
        <w:rPr>
          <w:rFonts w:ascii="宋体" w:hAnsi="宋体"/>
          <w:kern w:val="44"/>
        </w:rPr>
      </w:pPr>
      <w:r>
        <w:rPr>
          <w:rFonts w:hint="eastAsia" w:ascii="宋体" w:hAnsi="宋体"/>
          <w:b/>
          <w:kern w:val="44"/>
        </w:rPr>
        <w:t>第十条</w:t>
      </w:r>
      <w:r>
        <w:rPr>
          <w:rFonts w:hint="eastAsia" w:ascii="宋体" w:hAnsi="宋体"/>
          <w:kern w:val="44"/>
        </w:rPr>
        <w:t>　本规定经市人民政府批准，自公布之日起施行。</w:t>
      </w:r>
    </w:p>
    <w:p w14:paraId="19AE97F1">
      <w:pPr>
        <w:pStyle w:val="4"/>
        <w:pageBreakBefore/>
        <w:rPr>
          <w:kern w:val="44"/>
        </w:rPr>
      </w:pPr>
      <w:bookmarkStart w:id="1671" w:name="_Toc427652025"/>
      <w:bookmarkStart w:id="1672" w:name="_Toc427651683"/>
      <w:bookmarkStart w:id="1673" w:name="_Toc428780249"/>
      <w:bookmarkStart w:id="1674" w:name="_Toc428781731"/>
      <w:bookmarkStart w:id="1675" w:name="_Toc422471435"/>
      <w:r>
        <w:rPr>
          <w:rFonts w:hint="eastAsia"/>
          <w:kern w:val="44"/>
        </w:rPr>
        <w:t>北京市人民政府关于严格控制</w:t>
      </w:r>
      <w:bookmarkEnd w:id="1671"/>
      <w:bookmarkEnd w:id="1672"/>
      <w:bookmarkEnd w:id="1673"/>
      <w:bookmarkEnd w:id="1674"/>
      <w:bookmarkEnd w:id="1675"/>
    </w:p>
    <w:p w14:paraId="2319733F">
      <w:pPr>
        <w:pStyle w:val="4"/>
        <w:rPr>
          <w:kern w:val="44"/>
        </w:rPr>
      </w:pPr>
      <w:bookmarkStart w:id="1676" w:name="_Toc422471436"/>
      <w:bookmarkStart w:id="1677" w:name="_Toc428780250"/>
      <w:bookmarkStart w:id="1678" w:name="_Toc427651684"/>
      <w:bookmarkStart w:id="1679" w:name="_Toc428781732"/>
      <w:bookmarkStart w:id="1680" w:name="_Toc427652026"/>
      <w:r>
        <w:rPr>
          <w:rFonts w:hint="eastAsia"/>
          <w:kern w:val="44"/>
        </w:rPr>
        <w:t>颐和园、圆明园地区</w:t>
      </w:r>
      <w:bookmarkEnd w:id="1676"/>
      <w:bookmarkStart w:id="1681" w:name="_Toc422471437"/>
      <w:r>
        <w:rPr>
          <w:rFonts w:hint="eastAsia"/>
          <w:kern w:val="44"/>
        </w:rPr>
        <w:t>建设工程的规定</w:t>
      </w:r>
      <w:bookmarkEnd w:id="1677"/>
      <w:bookmarkEnd w:id="1678"/>
      <w:bookmarkEnd w:id="1679"/>
      <w:bookmarkEnd w:id="1680"/>
      <w:bookmarkEnd w:id="1681"/>
    </w:p>
    <w:p w14:paraId="2FE83589">
      <w:pPr>
        <w:ind w:left="630" w:leftChars="300" w:right="630" w:rightChars="300"/>
        <w:jc w:val="center"/>
        <w:rPr>
          <w:rFonts w:ascii="楷体" w:hAnsi="楷体" w:eastAsia="楷体"/>
          <w:kern w:val="44"/>
        </w:rPr>
      </w:pPr>
      <w:r>
        <w:rPr>
          <w:rFonts w:hint="eastAsia" w:ascii="楷体" w:hAnsi="楷体" w:eastAsia="楷体"/>
          <w:kern w:val="44"/>
        </w:rPr>
        <w:t>（1991年7月13日北京市人民政府第20号令发布）</w:t>
      </w:r>
    </w:p>
    <w:p w14:paraId="23234B38">
      <w:pPr>
        <w:jc w:val="left"/>
        <w:rPr>
          <w:rFonts w:ascii="宋体" w:hAnsi="宋体"/>
          <w:kern w:val="44"/>
        </w:rPr>
      </w:pPr>
    </w:p>
    <w:p w14:paraId="0CBAD15C">
      <w:pPr>
        <w:ind w:firstLine="422"/>
        <w:jc w:val="left"/>
        <w:rPr>
          <w:rFonts w:ascii="宋体" w:hAnsi="宋体"/>
          <w:kern w:val="44"/>
        </w:rPr>
      </w:pPr>
      <w:r>
        <w:rPr>
          <w:rFonts w:hint="eastAsia" w:ascii="宋体" w:hAnsi="宋体"/>
          <w:b/>
          <w:kern w:val="44"/>
        </w:rPr>
        <w:t>第一条</w:t>
      </w:r>
      <w:r>
        <w:rPr>
          <w:rFonts w:hint="eastAsia" w:ascii="宋体" w:hAnsi="宋体"/>
          <w:kern w:val="44"/>
        </w:rPr>
        <w:t>　为保护颐和园、圆明园地区的良好景观，维护本市古都风貌，根据国家和本市有关文物保护、城市规划的法律、法规、规章，制定本规定。</w:t>
      </w:r>
    </w:p>
    <w:p w14:paraId="30076487">
      <w:pPr>
        <w:ind w:firstLine="422"/>
        <w:jc w:val="left"/>
        <w:rPr>
          <w:rFonts w:ascii="宋体" w:hAnsi="宋体"/>
          <w:kern w:val="44"/>
        </w:rPr>
      </w:pPr>
      <w:r>
        <w:rPr>
          <w:rFonts w:hint="eastAsia" w:ascii="宋体" w:hAnsi="宋体"/>
          <w:b/>
          <w:kern w:val="44"/>
        </w:rPr>
        <w:t>第二条</w:t>
      </w:r>
      <w:r>
        <w:rPr>
          <w:rFonts w:hint="eastAsia" w:ascii="宋体" w:hAnsi="宋体"/>
          <w:kern w:val="44"/>
        </w:rPr>
        <w:t>　本规定所称颐和园、圆明园地区，系指玉泉山（静明园）、颐和园、圆明园、燕园（燕京大学未明湖区）、清华园及其周围的街区。</w:t>
      </w:r>
    </w:p>
    <w:p w14:paraId="42AD8C07">
      <w:pPr>
        <w:ind w:firstLine="422"/>
        <w:jc w:val="left"/>
        <w:rPr>
          <w:rFonts w:ascii="宋体" w:hAnsi="宋体"/>
          <w:kern w:val="44"/>
        </w:rPr>
      </w:pPr>
      <w:r>
        <w:rPr>
          <w:rFonts w:hint="eastAsia" w:ascii="宋体" w:hAnsi="宋体"/>
          <w:b/>
          <w:kern w:val="44"/>
        </w:rPr>
        <w:t>第三条</w:t>
      </w:r>
      <w:r>
        <w:rPr>
          <w:rFonts w:hint="eastAsia" w:ascii="宋体" w:hAnsi="宋体"/>
          <w:kern w:val="44"/>
        </w:rPr>
        <w:t>　在颐和园、圆明园地区内的下列地带，按照《北京市文物保护单位保护范围及建设地带管理规定》中二类建设控制地带进行管理：</w:t>
      </w:r>
    </w:p>
    <w:p w14:paraId="776D6E7D">
      <w:pPr>
        <w:jc w:val="left"/>
        <w:rPr>
          <w:rFonts w:ascii="宋体" w:hAnsi="宋体"/>
          <w:kern w:val="44"/>
        </w:rPr>
      </w:pPr>
      <w:r>
        <w:rPr>
          <w:rFonts w:hint="eastAsia" w:ascii="宋体" w:hAnsi="宋体"/>
          <w:kern w:val="44"/>
        </w:rPr>
        <w:t>（一）玉泉山东路规划道路以东、以北50米范围以内。</w:t>
      </w:r>
    </w:p>
    <w:p w14:paraId="537605A6">
      <w:pPr>
        <w:jc w:val="left"/>
        <w:rPr>
          <w:rFonts w:ascii="宋体" w:hAnsi="宋体"/>
          <w:kern w:val="44"/>
        </w:rPr>
      </w:pPr>
      <w:r>
        <w:rPr>
          <w:rFonts w:hint="eastAsia" w:ascii="宋体" w:hAnsi="宋体"/>
          <w:kern w:val="44"/>
        </w:rPr>
        <w:t>（二）颐和园北路与香山路之间的京密水渠西规划河道隔离带以西50米范围以内；东规划河道隔离带以东，颐和园北路东段、香山路及其北延线（中央党校北围墙至圆明园西路段）规划道路以东、以北各50米范围以内。</w:t>
      </w:r>
    </w:p>
    <w:p w14:paraId="2E5879AD">
      <w:pPr>
        <w:jc w:val="left"/>
        <w:rPr>
          <w:rFonts w:ascii="宋体" w:hAnsi="宋体"/>
          <w:kern w:val="44"/>
        </w:rPr>
      </w:pPr>
      <w:r>
        <w:rPr>
          <w:rFonts w:hint="eastAsia" w:ascii="宋体" w:hAnsi="宋体"/>
          <w:kern w:val="44"/>
        </w:rPr>
        <w:t>（三）圆明园西南角（一亩园）地区和颐和园路与西苑中路之间。</w:t>
      </w:r>
    </w:p>
    <w:p w14:paraId="069EF6EB">
      <w:pPr>
        <w:jc w:val="left"/>
        <w:rPr>
          <w:rFonts w:ascii="宋体" w:hAnsi="宋体"/>
          <w:kern w:val="44"/>
        </w:rPr>
      </w:pPr>
      <w:r>
        <w:rPr>
          <w:rFonts w:hint="eastAsia" w:ascii="宋体" w:hAnsi="宋体"/>
          <w:kern w:val="44"/>
        </w:rPr>
        <w:t>（四）颐和园路（万泉河路道路隔离带至清华园西路西口段）规划道路以南50米范围以内。</w:t>
      </w:r>
    </w:p>
    <w:p w14:paraId="2C09B074">
      <w:pPr>
        <w:jc w:val="left"/>
        <w:rPr>
          <w:rFonts w:ascii="宋体" w:hAnsi="宋体"/>
          <w:kern w:val="44"/>
        </w:rPr>
      </w:pPr>
      <w:r>
        <w:rPr>
          <w:rFonts w:hint="eastAsia" w:ascii="宋体" w:hAnsi="宋体"/>
          <w:kern w:val="44"/>
        </w:rPr>
        <w:t>（五）清华园西路（北京大学东围墙至清华南路段）规划道路以南50米范围以内。</w:t>
      </w:r>
    </w:p>
    <w:p w14:paraId="7B861E31">
      <w:pPr>
        <w:jc w:val="left"/>
        <w:rPr>
          <w:rFonts w:ascii="宋体" w:hAnsi="宋体"/>
          <w:kern w:val="44"/>
        </w:rPr>
      </w:pPr>
      <w:r>
        <w:rPr>
          <w:rFonts w:hint="eastAsia" w:ascii="宋体" w:hAnsi="宋体"/>
          <w:kern w:val="44"/>
        </w:rPr>
        <w:t>（六）圆明园东路南段规划道路与清华大学留学生宿舍东围墙南北延线之间。</w:t>
      </w:r>
    </w:p>
    <w:p w14:paraId="6DE5B058">
      <w:pPr>
        <w:jc w:val="left"/>
        <w:rPr>
          <w:rFonts w:ascii="宋体" w:hAnsi="宋体"/>
          <w:kern w:val="44"/>
        </w:rPr>
      </w:pPr>
      <w:r>
        <w:rPr>
          <w:rFonts w:hint="eastAsia" w:ascii="宋体" w:hAnsi="宋体"/>
          <w:kern w:val="44"/>
        </w:rPr>
        <w:t>（七）圆明园东路（清华大学北围墙以北至公路环段）规划道路以东25米范围以内。</w:t>
      </w:r>
    </w:p>
    <w:p w14:paraId="07DF8A1A">
      <w:pPr>
        <w:ind w:firstLine="422"/>
        <w:jc w:val="left"/>
        <w:rPr>
          <w:rFonts w:ascii="宋体" w:hAnsi="宋体"/>
          <w:kern w:val="44"/>
        </w:rPr>
      </w:pPr>
      <w:r>
        <w:rPr>
          <w:rFonts w:hint="eastAsia" w:ascii="宋体" w:hAnsi="宋体"/>
          <w:b/>
          <w:kern w:val="44"/>
        </w:rPr>
        <w:t>第四条</w:t>
      </w:r>
      <w:r>
        <w:rPr>
          <w:rFonts w:hint="eastAsia" w:ascii="宋体" w:hAnsi="宋体"/>
          <w:kern w:val="44"/>
        </w:rPr>
        <w:t>　在颐和园、圆明园地区规划建设用地范围内进行建设，必须遵守以下规定：</w:t>
      </w:r>
    </w:p>
    <w:p w14:paraId="765E9C34">
      <w:pPr>
        <w:jc w:val="left"/>
        <w:rPr>
          <w:rFonts w:ascii="宋体" w:hAnsi="宋体"/>
          <w:kern w:val="44"/>
        </w:rPr>
      </w:pPr>
      <w:r>
        <w:rPr>
          <w:rFonts w:hint="eastAsia" w:ascii="宋体" w:hAnsi="宋体"/>
          <w:kern w:val="44"/>
        </w:rPr>
        <w:t>（一）新建、改建和翻建工程，严格遵守《北京市文物保护单位保护范围及建设控制地带管理规定》。建筑内容、布局和规模，符合城市规划；建筑体量、高度、材料和色彩，与环境相协调。新建建筑，在二类建设控制地带内必须采用中国传统形式；在三、四类建设控制地带内应具有中国传统风格。</w:t>
      </w:r>
    </w:p>
    <w:p w14:paraId="64C16084">
      <w:pPr>
        <w:jc w:val="left"/>
        <w:rPr>
          <w:rFonts w:ascii="宋体" w:hAnsi="宋体"/>
          <w:kern w:val="44"/>
        </w:rPr>
      </w:pPr>
      <w:r>
        <w:rPr>
          <w:rFonts w:hint="eastAsia" w:ascii="宋体" w:hAnsi="宋体"/>
          <w:kern w:val="44"/>
        </w:rPr>
        <w:t>（二）在二类建设控制地带内， 挑顶大修、装修门墙等项目，应参照本规定中有关条款办理。</w:t>
      </w:r>
    </w:p>
    <w:p w14:paraId="1B3B6629">
      <w:pPr>
        <w:jc w:val="left"/>
        <w:rPr>
          <w:rFonts w:ascii="宋体" w:hAnsi="宋体"/>
          <w:kern w:val="44"/>
        </w:rPr>
      </w:pPr>
      <w:r>
        <w:rPr>
          <w:rFonts w:hint="eastAsia" w:ascii="宋体" w:hAnsi="宋体"/>
          <w:kern w:val="44"/>
        </w:rPr>
        <w:t>（三）道路两侧的重点景观，包括玉泉山、颐和园、圆明园和燕园的围墙、大门、影壁、牌楼等文物保护单位的保护建筑以及中央党校分院、蔚秀园的围墙，必须严格保护。</w:t>
      </w:r>
    </w:p>
    <w:p w14:paraId="468AB1F4">
      <w:pPr>
        <w:jc w:val="left"/>
        <w:rPr>
          <w:rFonts w:ascii="宋体" w:hAnsi="宋体"/>
          <w:kern w:val="44"/>
        </w:rPr>
      </w:pPr>
      <w:r>
        <w:rPr>
          <w:rFonts w:hint="eastAsia" w:ascii="宋体" w:hAnsi="宋体"/>
          <w:kern w:val="44"/>
        </w:rPr>
        <w:t>（四）新建工程应当按高标准增加绿地面积；原有的河湖绿地、绿化景观，必须保留，已被破坏的要结合建设恢复原貌。</w:t>
      </w:r>
    </w:p>
    <w:p w14:paraId="405C4579">
      <w:pPr>
        <w:ind w:firstLine="422"/>
        <w:jc w:val="left"/>
        <w:rPr>
          <w:rFonts w:ascii="宋体" w:hAnsi="宋体"/>
          <w:kern w:val="44"/>
        </w:rPr>
      </w:pPr>
      <w:r>
        <w:rPr>
          <w:rFonts w:hint="eastAsia" w:ascii="宋体" w:hAnsi="宋体"/>
          <w:b/>
          <w:kern w:val="44"/>
        </w:rPr>
        <w:t>第五条</w:t>
      </w:r>
      <w:r>
        <w:rPr>
          <w:rFonts w:hint="eastAsia" w:ascii="宋体" w:hAnsi="宋体"/>
          <w:kern w:val="44"/>
        </w:rPr>
        <w:t>　在颐和园、圆明园地区非规划建设用地内，不得进行新建筑工程。原有建筑进行翻建时，必须参照本规定中有关条款办理。</w:t>
      </w:r>
    </w:p>
    <w:p w14:paraId="5F8AAF75">
      <w:pPr>
        <w:ind w:firstLine="422"/>
        <w:jc w:val="left"/>
        <w:rPr>
          <w:rFonts w:ascii="宋体" w:hAnsi="宋体"/>
          <w:kern w:val="44"/>
        </w:rPr>
      </w:pPr>
      <w:r>
        <w:rPr>
          <w:rFonts w:hint="eastAsia" w:ascii="宋体" w:hAnsi="宋体"/>
          <w:b/>
          <w:kern w:val="44"/>
        </w:rPr>
        <w:t>第六条</w:t>
      </w:r>
      <w:r>
        <w:rPr>
          <w:rFonts w:hint="eastAsia" w:ascii="宋体" w:hAnsi="宋体"/>
          <w:kern w:val="44"/>
        </w:rPr>
        <w:t>　在颐和园、圆明园地区进行工程建设和门墙装修， 必须报经文物行政管理部门同意，城市规划行政管理部门批准。</w:t>
      </w:r>
    </w:p>
    <w:p w14:paraId="092F4838">
      <w:pPr>
        <w:ind w:firstLine="422"/>
        <w:jc w:val="left"/>
        <w:rPr>
          <w:rFonts w:ascii="宋体" w:hAnsi="宋体"/>
          <w:kern w:val="44"/>
        </w:rPr>
      </w:pPr>
      <w:r>
        <w:rPr>
          <w:rFonts w:hint="eastAsia" w:ascii="宋体" w:hAnsi="宋体"/>
          <w:b/>
          <w:kern w:val="44"/>
        </w:rPr>
        <w:t>第七条</w:t>
      </w:r>
      <w:r>
        <w:rPr>
          <w:rFonts w:hint="eastAsia" w:ascii="宋体" w:hAnsi="宋体"/>
          <w:kern w:val="44"/>
        </w:rPr>
        <w:t>　未经城市规划行政管理部门批准，未取得建设工程规划许可证或不按建设工程规划许可证规定进行建设的，由城市规划行政管理部门责令停工，按违法建设严肃处理。</w:t>
      </w:r>
    </w:p>
    <w:p w14:paraId="42596434">
      <w:pPr>
        <w:ind w:firstLine="422"/>
        <w:jc w:val="left"/>
        <w:rPr>
          <w:rFonts w:ascii="宋体" w:hAnsi="宋体"/>
          <w:kern w:val="44"/>
        </w:rPr>
      </w:pPr>
      <w:r>
        <w:rPr>
          <w:rFonts w:hint="eastAsia" w:ascii="宋体" w:hAnsi="宋体"/>
          <w:b/>
          <w:kern w:val="44"/>
        </w:rPr>
        <w:t>第八条</w:t>
      </w:r>
      <w:r>
        <w:rPr>
          <w:rFonts w:hint="eastAsia" w:ascii="宋体" w:hAnsi="宋体"/>
          <w:kern w:val="44"/>
        </w:rPr>
        <w:t>　本规定具体执行中的问题，由市城市规划管理局会同市文物事业管理局解释。</w:t>
      </w:r>
    </w:p>
    <w:p w14:paraId="1613E469">
      <w:pPr>
        <w:ind w:firstLine="422"/>
        <w:jc w:val="left"/>
        <w:rPr>
          <w:rFonts w:ascii="宋体" w:hAnsi="宋体"/>
          <w:kern w:val="44"/>
        </w:rPr>
      </w:pPr>
      <w:r>
        <w:rPr>
          <w:rFonts w:hint="eastAsia" w:ascii="宋体" w:hAnsi="宋体"/>
          <w:b/>
          <w:kern w:val="44"/>
        </w:rPr>
        <w:t>第九条</w:t>
      </w:r>
      <w:r>
        <w:rPr>
          <w:rFonts w:hint="eastAsia" w:ascii="宋体" w:hAnsi="宋体"/>
          <w:kern w:val="44"/>
        </w:rPr>
        <w:t>　本规定自1991年8月1日起施行。</w:t>
      </w:r>
    </w:p>
    <w:p w14:paraId="6AAD6B66">
      <w:pPr>
        <w:pStyle w:val="4"/>
        <w:pageBreakBefore/>
        <w:rPr>
          <w:kern w:val="44"/>
        </w:rPr>
      </w:pPr>
      <w:bookmarkStart w:id="1682" w:name="_Toc428780251"/>
      <w:bookmarkStart w:id="1683" w:name="_Toc422471438"/>
      <w:bookmarkStart w:id="1684" w:name="_Toc427652027"/>
      <w:bookmarkStart w:id="1685" w:name="_Toc427651685"/>
      <w:bookmarkStart w:id="1686" w:name="_Toc428781733"/>
      <w:r>
        <w:rPr>
          <w:rFonts w:hint="eastAsia"/>
          <w:kern w:val="44"/>
        </w:rPr>
        <w:t>北京市人民政府关于加强</w:t>
      </w:r>
      <w:bookmarkEnd w:id="1682"/>
      <w:bookmarkEnd w:id="1683"/>
      <w:bookmarkEnd w:id="1684"/>
      <w:bookmarkEnd w:id="1685"/>
      <w:bookmarkEnd w:id="1686"/>
    </w:p>
    <w:p w14:paraId="79405701">
      <w:pPr>
        <w:pStyle w:val="4"/>
        <w:rPr>
          <w:kern w:val="44"/>
        </w:rPr>
      </w:pPr>
      <w:bookmarkStart w:id="1687" w:name="_Toc422471439"/>
      <w:bookmarkStart w:id="1688" w:name="_Toc428781734"/>
      <w:bookmarkStart w:id="1689" w:name="_Toc427652028"/>
      <w:bookmarkStart w:id="1690" w:name="_Toc428780252"/>
      <w:bookmarkStart w:id="1691" w:name="_Toc427651686"/>
      <w:r>
        <w:rPr>
          <w:rFonts w:hint="eastAsia"/>
          <w:kern w:val="44"/>
        </w:rPr>
        <w:t>八达岭</w:t>
      </w:r>
      <w:r>
        <w:rPr>
          <w:rFonts w:hint="eastAsia" w:ascii="楷体" w:hAnsi="楷体" w:eastAsia="楷体"/>
          <w:kern w:val="44"/>
        </w:rPr>
        <w:t>——</w:t>
      </w:r>
      <w:r>
        <w:rPr>
          <w:rFonts w:hint="eastAsia"/>
          <w:kern w:val="44"/>
        </w:rPr>
        <w:t>十三陵风景名胜区</w:t>
      </w:r>
      <w:bookmarkEnd w:id="1687"/>
      <w:bookmarkStart w:id="1692" w:name="_Toc422471440"/>
      <w:r>
        <w:rPr>
          <w:rFonts w:hint="eastAsia"/>
          <w:kern w:val="44"/>
        </w:rPr>
        <w:t>规划管理的规定</w:t>
      </w:r>
      <w:bookmarkEnd w:id="1688"/>
      <w:bookmarkEnd w:id="1689"/>
      <w:bookmarkEnd w:id="1690"/>
      <w:bookmarkEnd w:id="1691"/>
      <w:bookmarkEnd w:id="1692"/>
    </w:p>
    <w:p w14:paraId="413F0D63">
      <w:pPr>
        <w:jc w:val="left"/>
        <w:rPr>
          <w:rFonts w:ascii="宋体" w:hAnsi="宋体"/>
          <w:kern w:val="44"/>
        </w:rPr>
      </w:pPr>
    </w:p>
    <w:p w14:paraId="54CF7834">
      <w:pPr>
        <w:ind w:left="630" w:leftChars="300" w:right="630" w:rightChars="300"/>
        <w:jc w:val="center"/>
        <w:rPr>
          <w:rFonts w:ascii="楷体" w:hAnsi="楷体" w:eastAsia="楷体"/>
          <w:kern w:val="44"/>
        </w:rPr>
      </w:pPr>
      <w:r>
        <w:rPr>
          <w:rFonts w:hint="eastAsia" w:ascii="楷体" w:hAnsi="楷体" w:eastAsia="楷体"/>
          <w:kern w:val="44"/>
        </w:rPr>
        <w:t>（1992年12月19日北京市人民政府第23号令发布 ）</w:t>
      </w:r>
    </w:p>
    <w:p w14:paraId="6A6B4A1D">
      <w:pPr>
        <w:jc w:val="left"/>
        <w:rPr>
          <w:rFonts w:ascii="宋体" w:hAnsi="宋体"/>
          <w:kern w:val="44"/>
        </w:rPr>
      </w:pPr>
    </w:p>
    <w:p w14:paraId="34CB85C1">
      <w:pPr>
        <w:ind w:firstLine="422"/>
        <w:jc w:val="left"/>
        <w:rPr>
          <w:rFonts w:ascii="宋体" w:hAnsi="宋体"/>
          <w:kern w:val="44"/>
        </w:rPr>
      </w:pPr>
      <w:r>
        <w:rPr>
          <w:rFonts w:hint="eastAsia" w:ascii="宋体" w:hAnsi="宋体"/>
          <w:b/>
          <w:kern w:val="44"/>
        </w:rPr>
        <w:t>第一条</w:t>
      </w:r>
      <w:r>
        <w:rPr>
          <w:rFonts w:hint="eastAsia" w:ascii="宋体" w:hAnsi="宋体"/>
          <w:kern w:val="44"/>
        </w:rPr>
        <w:t>　为保障八达岭</w:t>
      </w:r>
      <w:r>
        <w:rPr>
          <w:rFonts w:hint="eastAsia" w:ascii="楷体" w:hAnsi="楷体" w:eastAsia="楷体"/>
          <w:kern w:val="44"/>
        </w:rPr>
        <w:t>——</w:t>
      </w:r>
      <w:r>
        <w:rPr>
          <w:rFonts w:hint="eastAsia" w:ascii="宋体" w:hAnsi="宋体"/>
          <w:kern w:val="44"/>
        </w:rPr>
        <w:t>十三陵风景名胜区规划的实施，加强规划管理，根据国家和本市城市规划、文物保护的法律、法规，制定本规定。</w:t>
      </w:r>
    </w:p>
    <w:p w14:paraId="309E31AF">
      <w:pPr>
        <w:ind w:firstLine="422"/>
        <w:jc w:val="left"/>
        <w:rPr>
          <w:rFonts w:ascii="宋体" w:hAnsi="宋体"/>
          <w:kern w:val="44"/>
        </w:rPr>
      </w:pPr>
      <w:r>
        <w:rPr>
          <w:rFonts w:hint="eastAsia" w:ascii="宋体" w:hAnsi="宋体"/>
          <w:b/>
          <w:kern w:val="44"/>
        </w:rPr>
        <w:t>第二条</w:t>
      </w:r>
      <w:r>
        <w:rPr>
          <w:rFonts w:hint="eastAsia" w:ascii="宋体" w:hAnsi="宋体"/>
          <w:kern w:val="44"/>
        </w:rPr>
        <w:t>　凡在八达岭</w:t>
      </w:r>
      <w:r>
        <w:rPr>
          <w:rFonts w:hint="eastAsia" w:ascii="楷体" w:hAnsi="楷体" w:eastAsia="楷体"/>
          <w:kern w:val="44"/>
        </w:rPr>
        <w:t>——</w:t>
      </w:r>
      <w:r>
        <w:rPr>
          <w:rFonts w:hint="eastAsia" w:ascii="宋体" w:hAnsi="宋体"/>
          <w:kern w:val="44"/>
        </w:rPr>
        <w:t>十三陵风景名胜区进行建设，均须遵守本规定和《北京市文物保护单位保护范围及建设控制地带管理规定》。</w:t>
      </w:r>
    </w:p>
    <w:p w14:paraId="498FE336">
      <w:pPr>
        <w:jc w:val="left"/>
        <w:rPr>
          <w:rFonts w:ascii="宋体" w:hAnsi="宋体"/>
          <w:kern w:val="44"/>
        </w:rPr>
      </w:pPr>
      <w:r>
        <w:rPr>
          <w:rFonts w:hint="eastAsia" w:ascii="宋体" w:hAnsi="宋体"/>
          <w:kern w:val="44"/>
        </w:rPr>
        <w:t>本规定所称八达岭</w:t>
      </w:r>
      <w:r>
        <w:rPr>
          <w:rFonts w:hint="eastAsia" w:ascii="楷体" w:hAnsi="楷体" w:eastAsia="楷体"/>
          <w:kern w:val="44"/>
        </w:rPr>
        <w:t>——</w:t>
      </w:r>
      <w:r>
        <w:rPr>
          <w:rFonts w:hint="eastAsia" w:ascii="宋体" w:hAnsi="宋体"/>
          <w:kern w:val="44"/>
        </w:rPr>
        <w:t>十三陵风景名胜区，东至昌平县黑山寨沙岭，西至延庆县岔道城，南至昌平县南邵乡营坊，北至昌平县北界。</w:t>
      </w:r>
    </w:p>
    <w:p w14:paraId="6D6C97C9">
      <w:pPr>
        <w:ind w:firstLine="422"/>
        <w:jc w:val="left"/>
        <w:rPr>
          <w:rFonts w:ascii="宋体" w:hAnsi="宋体"/>
          <w:kern w:val="44"/>
        </w:rPr>
      </w:pPr>
      <w:r>
        <w:rPr>
          <w:rFonts w:hint="eastAsia" w:ascii="宋体" w:hAnsi="宋体"/>
          <w:b/>
          <w:kern w:val="44"/>
        </w:rPr>
        <w:t>第三条</w:t>
      </w:r>
      <w:r>
        <w:rPr>
          <w:rFonts w:hint="eastAsia" w:ascii="宋体" w:hAnsi="宋体"/>
          <w:kern w:val="44"/>
        </w:rPr>
        <w:t>　在八达岭</w:t>
      </w:r>
      <w:r>
        <w:rPr>
          <w:rFonts w:hint="eastAsia" w:ascii="楷体" w:hAnsi="楷体" w:eastAsia="楷体"/>
          <w:kern w:val="44"/>
        </w:rPr>
        <w:t>——</w:t>
      </w:r>
      <w:r>
        <w:rPr>
          <w:rFonts w:hint="eastAsia" w:ascii="宋体" w:hAnsi="宋体"/>
          <w:kern w:val="44"/>
        </w:rPr>
        <w:t>十三陵风景名胜区规划范围内，根据文物古迹、景点景观、古树名木等的分布状况和地形地貌等自然环境，划定一、二、三级保护区。</w:t>
      </w:r>
    </w:p>
    <w:p w14:paraId="23C28252">
      <w:pPr>
        <w:jc w:val="left"/>
        <w:rPr>
          <w:rFonts w:ascii="宋体" w:hAnsi="宋体"/>
          <w:kern w:val="44"/>
        </w:rPr>
      </w:pPr>
      <w:r>
        <w:rPr>
          <w:rFonts w:hint="eastAsia" w:ascii="宋体" w:hAnsi="宋体"/>
          <w:kern w:val="44"/>
        </w:rPr>
        <w:t>八达岭</w:t>
      </w:r>
      <w:r>
        <w:rPr>
          <w:rFonts w:hint="eastAsia" w:ascii="楷体" w:hAnsi="楷体" w:eastAsia="楷体"/>
          <w:kern w:val="44"/>
        </w:rPr>
        <w:t>——</w:t>
      </w:r>
      <w:r>
        <w:rPr>
          <w:rFonts w:hint="eastAsia" w:ascii="宋体" w:hAnsi="宋体"/>
          <w:kern w:val="44"/>
        </w:rPr>
        <w:t>十三陵风景名胜区的具体规划范围及其一、二、三级保护区的界限，按照市人民政府批准的《八达岭</w:t>
      </w:r>
      <w:r>
        <w:rPr>
          <w:rFonts w:hint="eastAsia" w:ascii="楷体" w:hAnsi="楷体" w:eastAsia="楷体"/>
          <w:kern w:val="44"/>
        </w:rPr>
        <w:t>——</w:t>
      </w:r>
      <w:r>
        <w:rPr>
          <w:rFonts w:hint="eastAsia" w:ascii="宋体" w:hAnsi="宋体"/>
          <w:kern w:val="44"/>
        </w:rPr>
        <w:t>十三陵风景名胜区总体规划》执行。</w:t>
      </w:r>
    </w:p>
    <w:p w14:paraId="2C921F4D">
      <w:pPr>
        <w:ind w:firstLine="422"/>
        <w:jc w:val="left"/>
        <w:rPr>
          <w:rFonts w:ascii="宋体" w:hAnsi="宋体"/>
          <w:kern w:val="44"/>
        </w:rPr>
      </w:pPr>
      <w:r>
        <w:rPr>
          <w:rFonts w:hint="eastAsia" w:ascii="宋体" w:hAnsi="宋体"/>
          <w:b/>
          <w:kern w:val="44"/>
        </w:rPr>
        <w:t>第四条</w:t>
      </w:r>
      <w:r>
        <w:rPr>
          <w:rFonts w:hint="eastAsia" w:ascii="宋体" w:hAnsi="宋体"/>
          <w:kern w:val="44"/>
        </w:rPr>
        <w:t>　在八达岭</w:t>
      </w:r>
      <w:r>
        <w:rPr>
          <w:rFonts w:hint="eastAsia" w:ascii="楷体" w:hAnsi="楷体" w:eastAsia="楷体"/>
          <w:kern w:val="44"/>
        </w:rPr>
        <w:t>——</w:t>
      </w:r>
      <w:r>
        <w:rPr>
          <w:rFonts w:hint="eastAsia" w:ascii="宋体" w:hAnsi="宋体"/>
          <w:kern w:val="44"/>
        </w:rPr>
        <w:t>十三陵风景名胜区内进行建设，必须遵守下列规定：</w:t>
      </w:r>
    </w:p>
    <w:p w14:paraId="581AF590">
      <w:pPr>
        <w:jc w:val="left"/>
        <w:rPr>
          <w:rFonts w:ascii="宋体" w:hAnsi="宋体"/>
          <w:kern w:val="44"/>
        </w:rPr>
      </w:pPr>
      <w:r>
        <w:rPr>
          <w:rFonts w:hint="eastAsia" w:ascii="宋体" w:hAnsi="宋体"/>
          <w:kern w:val="44"/>
        </w:rPr>
        <w:t>（一）各项建设必须符合《八达岭</w:t>
      </w:r>
      <w:r>
        <w:rPr>
          <w:rFonts w:hint="eastAsia" w:ascii="楷体" w:hAnsi="楷体" w:eastAsia="楷体"/>
          <w:kern w:val="44"/>
        </w:rPr>
        <w:t>——</w:t>
      </w:r>
      <w:r>
        <w:rPr>
          <w:rFonts w:hint="eastAsia" w:ascii="宋体" w:hAnsi="宋体"/>
          <w:kern w:val="44"/>
        </w:rPr>
        <w:t>十三陵风景名胜区总体规划》和《北京市文物保护单位保护范围及建设控制地带管理规定》的规划建设要求。</w:t>
      </w:r>
    </w:p>
    <w:p w14:paraId="5CC9EECB">
      <w:pPr>
        <w:jc w:val="left"/>
        <w:rPr>
          <w:rFonts w:ascii="宋体" w:hAnsi="宋体"/>
          <w:kern w:val="44"/>
        </w:rPr>
      </w:pPr>
      <w:r>
        <w:rPr>
          <w:rFonts w:hint="eastAsia" w:ascii="宋体" w:hAnsi="宋体"/>
          <w:kern w:val="44"/>
        </w:rPr>
        <w:t>（二）在一级保护区内，凡属《北京市文物保护单位保护范围及建设控制地带管理规定》中一类地带，除进行绿化和修筑消防通道外，不得建设任何建筑和地上附属建筑物。</w:t>
      </w:r>
    </w:p>
    <w:p w14:paraId="264E5934">
      <w:pPr>
        <w:jc w:val="left"/>
        <w:rPr>
          <w:rFonts w:ascii="宋体" w:hAnsi="宋体"/>
          <w:kern w:val="44"/>
        </w:rPr>
      </w:pPr>
      <w:r>
        <w:rPr>
          <w:rFonts w:hint="eastAsia" w:ascii="宋体" w:hAnsi="宋体"/>
          <w:kern w:val="44"/>
        </w:rPr>
        <w:t>（三）在一级保护区的非一类地带和二级保护区内，建设必要的旅游服务设施，须符合景区性质的要求，其建筑布局、规模、体量、高度、材料和色彩等应当与景观环境相协调。</w:t>
      </w:r>
    </w:p>
    <w:p w14:paraId="37FAE52B">
      <w:pPr>
        <w:jc w:val="left"/>
        <w:rPr>
          <w:rFonts w:ascii="宋体" w:hAnsi="宋体"/>
          <w:kern w:val="44"/>
        </w:rPr>
      </w:pPr>
      <w:r>
        <w:rPr>
          <w:rFonts w:hint="eastAsia" w:ascii="宋体" w:hAnsi="宋体"/>
          <w:kern w:val="44"/>
        </w:rPr>
        <w:t>（四）在三级保护区内新建、改建、扩建和翻建建设工程，不得破坏景观和环境风貌。</w:t>
      </w:r>
    </w:p>
    <w:p w14:paraId="5FDA1170">
      <w:pPr>
        <w:jc w:val="left"/>
        <w:rPr>
          <w:rFonts w:ascii="宋体" w:hAnsi="宋体"/>
          <w:kern w:val="44"/>
        </w:rPr>
      </w:pPr>
      <w:r>
        <w:rPr>
          <w:rFonts w:hint="eastAsia" w:ascii="宋体" w:hAnsi="宋体"/>
          <w:kern w:val="44"/>
        </w:rPr>
        <w:t>（五）在一级和二级保护区内，禁止开矿采石、挖砂取土、掘坑填塘等改变地形地貌的活动。在三级保护区内进行上述活动，须经主管机关批准，并须符合规划，服从规划管理。</w:t>
      </w:r>
    </w:p>
    <w:p w14:paraId="69E88989">
      <w:pPr>
        <w:ind w:firstLine="422"/>
        <w:jc w:val="left"/>
        <w:rPr>
          <w:rFonts w:ascii="宋体" w:hAnsi="宋体"/>
          <w:kern w:val="44"/>
        </w:rPr>
      </w:pPr>
      <w:r>
        <w:rPr>
          <w:rFonts w:hint="eastAsia" w:ascii="宋体" w:hAnsi="宋体"/>
          <w:b/>
          <w:kern w:val="44"/>
        </w:rPr>
        <w:t>第五条</w:t>
      </w:r>
      <w:r>
        <w:rPr>
          <w:rFonts w:hint="eastAsia" w:ascii="宋体" w:hAnsi="宋体"/>
          <w:kern w:val="44"/>
        </w:rPr>
        <w:t>　在八达岭</w:t>
      </w:r>
      <w:r>
        <w:rPr>
          <w:rFonts w:hint="eastAsia" w:ascii="楷体" w:hAnsi="楷体" w:eastAsia="楷体"/>
          <w:kern w:val="44"/>
        </w:rPr>
        <w:t>——</w:t>
      </w:r>
      <w:r>
        <w:rPr>
          <w:rFonts w:hint="eastAsia" w:ascii="宋体" w:hAnsi="宋体"/>
          <w:kern w:val="44"/>
        </w:rPr>
        <w:t>十三陵风景名胜区进行建设需要申请用地的，必须取得市城市规划管理局核发的建设用地规划许可证。</w:t>
      </w:r>
    </w:p>
    <w:p w14:paraId="4F6D2EBD">
      <w:pPr>
        <w:ind w:firstLine="422"/>
        <w:jc w:val="left"/>
        <w:rPr>
          <w:rFonts w:ascii="宋体" w:hAnsi="宋体"/>
          <w:kern w:val="44"/>
        </w:rPr>
      </w:pPr>
      <w:r>
        <w:rPr>
          <w:rFonts w:hint="eastAsia" w:ascii="宋体" w:hAnsi="宋体"/>
          <w:b/>
          <w:kern w:val="44"/>
        </w:rPr>
        <w:t>第六条</w:t>
      </w:r>
      <w:r>
        <w:rPr>
          <w:rFonts w:hint="eastAsia" w:ascii="宋体" w:hAnsi="宋体"/>
          <w:kern w:val="44"/>
        </w:rPr>
        <w:t>　在一级保护区进行工程建设，须报市城市规划管理局批准并核发建设工程规划许可证；在二级保护区进行工程建设和三级保护区的重要工程建设，应征得市城市规划管理局同意，由县城市规划管理局批准核发建设工程规划许可证；在三级保护区内进行非重要工程建设，由县城市规划管理局批准并核发建设工程规划许可证。</w:t>
      </w:r>
    </w:p>
    <w:p w14:paraId="28D73E80">
      <w:pPr>
        <w:jc w:val="left"/>
        <w:rPr>
          <w:rFonts w:ascii="宋体" w:hAnsi="宋体"/>
          <w:kern w:val="44"/>
        </w:rPr>
      </w:pPr>
      <w:r>
        <w:rPr>
          <w:rFonts w:hint="eastAsia" w:ascii="宋体" w:hAnsi="宋体"/>
          <w:kern w:val="44"/>
        </w:rPr>
        <w:t>在八达岭</w:t>
      </w:r>
      <w:r>
        <w:rPr>
          <w:rFonts w:hint="eastAsia" w:ascii="楷体" w:hAnsi="楷体" w:eastAsia="楷体"/>
          <w:kern w:val="44"/>
        </w:rPr>
        <w:t>——</w:t>
      </w:r>
      <w:r>
        <w:rPr>
          <w:rFonts w:hint="eastAsia" w:ascii="宋体" w:hAnsi="宋体"/>
          <w:kern w:val="44"/>
        </w:rPr>
        <w:t>十三陵风景名胜区进行工程建设，凡属文物保护单位保护范围或建设控制地带范围内的，均须先经文物行政主管部门同意。</w:t>
      </w:r>
    </w:p>
    <w:p w14:paraId="38CB4C3D">
      <w:pPr>
        <w:ind w:firstLine="422"/>
        <w:jc w:val="left"/>
        <w:rPr>
          <w:rFonts w:ascii="宋体" w:hAnsi="宋体"/>
          <w:kern w:val="44"/>
        </w:rPr>
      </w:pPr>
      <w:r>
        <w:rPr>
          <w:rFonts w:hint="eastAsia" w:ascii="宋体" w:hAnsi="宋体"/>
          <w:b/>
          <w:kern w:val="44"/>
        </w:rPr>
        <w:t>第七条</w:t>
      </w:r>
      <w:r>
        <w:rPr>
          <w:rFonts w:hint="eastAsia" w:ascii="宋体" w:hAnsi="宋体"/>
          <w:kern w:val="44"/>
        </w:rPr>
        <w:t>　未取得建设用地规划许可证、建设工程规划许可证或者违反上述许可证的规定进行建设的，由城市规划管理部门依照有关城市规划管理的法律、法规予以处罚。属于违反文物保护管理法律、法规的，由文物管理机关依法处理。</w:t>
      </w:r>
    </w:p>
    <w:p w14:paraId="25E249E9">
      <w:pPr>
        <w:ind w:firstLine="422"/>
        <w:jc w:val="left"/>
        <w:rPr>
          <w:rFonts w:ascii="宋体" w:hAnsi="宋体"/>
          <w:kern w:val="44"/>
        </w:rPr>
      </w:pPr>
      <w:r>
        <w:rPr>
          <w:rFonts w:hint="eastAsia" w:ascii="宋体" w:hAnsi="宋体"/>
          <w:b/>
          <w:kern w:val="44"/>
        </w:rPr>
        <w:t>第八条</w:t>
      </w:r>
      <w:r>
        <w:rPr>
          <w:rFonts w:hint="eastAsia" w:ascii="宋体" w:hAnsi="宋体"/>
          <w:kern w:val="44"/>
        </w:rPr>
        <w:t>　本规定执行中的具体问题，由市城市规划管理局负责解释。</w:t>
      </w:r>
    </w:p>
    <w:p w14:paraId="26776E65">
      <w:pPr>
        <w:ind w:firstLine="422"/>
        <w:jc w:val="left"/>
        <w:rPr>
          <w:rFonts w:ascii="宋体" w:hAnsi="宋体"/>
          <w:kern w:val="44"/>
        </w:rPr>
      </w:pPr>
      <w:r>
        <w:rPr>
          <w:rFonts w:hint="eastAsia" w:ascii="宋体" w:hAnsi="宋体"/>
          <w:b/>
          <w:kern w:val="44"/>
        </w:rPr>
        <w:t>第九条</w:t>
      </w:r>
      <w:r>
        <w:rPr>
          <w:rFonts w:hint="eastAsia" w:ascii="宋体" w:hAnsi="宋体"/>
          <w:kern w:val="44"/>
        </w:rPr>
        <w:t>　本规定自1993年1月1日起施行。</w:t>
      </w:r>
    </w:p>
    <w:p w14:paraId="2D9F923B">
      <w:pPr>
        <w:pStyle w:val="4"/>
        <w:pageBreakBefore/>
        <w:rPr>
          <w:kern w:val="44"/>
        </w:rPr>
      </w:pPr>
      <w:bookmarkStart w:id="1693" w:name="_Toc427652029"/>
      <w:bookmarkStart w:id="1694" w:name="_Toc428780253"/>
      <w:bookmarkStart w:id="1695" w:name="_Toc427651687"/>
      <w:bookmarkStart w:id="1696" w:name="_Toc428781735"/>
      <w:bookmarkStart w:id="1697" w:name="_Toc422471441"/>
      <w:r>
        <w:rPr>
          <w:rFonts w:hint="eastAsia"/>
          <w:kern w:val="44"/>
        </w:rPr>
        <w:t>北京市明十三陵保护管理办法</w:t>
      </w:r>
      <w:bookmarkEnd w:id="1693"/>
      <w:bookmarkEnd w:id="1694"/>
      <w:bookmarkEnd w:id="1695"/>
      <w:bookmarkEnd w:id="1696"/>
      <w:bookmarkEnd w:id="1697"/>
    </w:p>
    <w:p w14:paraId="5C28D50D">
      <w:pPr>
        <w:ind w:left="630" w:leftChars="300" w:right="630" w:rightChars="300"/>
        <w:jc w:val="left"/>
        <w:rPr>
          <w:rFonts w:ascii="楷体" w:hAnsi="楷体" w:eastAsia="楷体"/>
          <w:kern w:val="44"/>
        </w:rPr>
      </w:pPr>
      <w:r>
        <w:rPr>
          <w:rFonts w:hint="eastAsia" w:ascii="楷体" w:hAnsi="楷体" w:eastAsia="楷体"/>
          <w:kern w:val="44"/>
        </w:rPr>
        <w:t>（2002年7月16日北京市人民政府第50次常务会议审议通过  2002年7月27日北京市人民政府第101号令发布  根据2007年11月23日北京市人民政府第200号令修改）</w:t>
      </w:r>
    </w:p>
    <w:p w14:paraId="78606E80">
      <w:pPr>
        <w:jc w:val="left"/>
        <w:rPr>
          <w:rFonts w:ascii="宋体" w:hAnsi="宋体"/>
          <w:kern w:val="44"/>
        </w:rPr>
      </w:pPr>
    </w:p>
    <w:p w14:paraId="406789A4">
      <w:pPr>
        <w:ind w:firstLine="422"/>
        <w:jc w:val="left"/>
        <w:rPr>
          <w:rFonts w:ascii="宋体" w:hAnsi="宋体"/>
          <w:kern w:val="44"/>
        </w:rPr>
      </w:pPr>
      <w:r>
        <w:rPr>
          <w:rFonts w:hint="eastAsia" w:ascii="宋体" w:hAnsi="宋体"/>
          <w:b/>
          <w:kern w:val="44"/>
        </w:rPr>
        <w:t>第一条</w:t>
      </w:r>
      <w:r>
        <w:rPr>
          <w:rFonts w:hint="eastAsia" w:ascii="宋体" w:hAnsi="宋体"/>
          <w:kern w:val="44"/>
        </w:rPr>
        <w:t>　为加强对明十三陵的保护管理，根据有关法律、法规，制定本办法。</w:t>
      </w:r>
    </w:p>
    <w:p w14:paraId="4CF64C56">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本办法适用于本市昌平区行政区域内东起蟒山，西至虎峪山，南起石牌坊，北至灰岭口范围内明十三陵保护区的保护管理工作。</w:t>
      </w:r>
    </w:p>
    <w:p w14:paraId="7388B83F">
      <w:pPr>
        <w:jc w:val="left"/>
        <w:rPr>
          <w:rFonts w:ascii="宋体" w:hAnsi="宋体"/>
          <w:kern w:val="44"/>
        </w:rPr>
      </w:pPr>
      <w:r>
        <w:rPr>
          <w:rFonts w:hint="eastAsia" w:ascii="宋体" w:hAnsi="宋体"/>
          <w:kern w:val="44"/>
        </w:rPr>
        <w:t>保护区划分为保护范围和建设控制地带。保护范围、建设控制地带具体范围的划定和调整，由市文物行政主管部门会同市规划行政主管部门提出，经市人民政府核定并公布。</w:t>
      </w:r>
    </w:p>
    <w:p w14:paraId="2FE0ACD8">
      <w:pPr>
        <w:ind w:firstLine="422"/>
        <w:jc w:val="left"/>
        <w:rPr>
          <w:rFonts w:ascii="宋体" w:hAnsi="宋体"/>
          <w:kern w:val="44"/>
        </w:rPr>
      </w:pPr>
      <w:r>
        <w:rPr>
          <w:rFonts w:hint="eastAsia" w:ascii="宋体" w:hAnsi="宋体"/>
          <w:b/>
          <w:kern w:val="44"/>
        </w:rPr>
        <w:t>第三条</w:t>
      </w:r>
      <w:r>
        <w:rPr>
          <w:rFonts w:hint="eastAsia" w:ascii="宋体" w:hAnsi="宋体"/>
          <w:kern w:val="44"/>
        </w:rPr>
        <w:t>　昌平区人民政府（以下简称区政府）负责本办法的组织实施。昌平区十三陵特区办事处（以下简称特区办事处）负责指导、协调有关部门和当地人民政府，做好明十三陵的保护管理工作。</w:t>
      </w:r>
    </w:p>
    <w:p w14:paraId="270370CF">
      <w:pPr>
        <w:jc w:val="left"/>
        <w:rPr>
          <w:rFonts w:ascii="宋体" w:hAnsi="宋体"/>
          <w:kern w:val="44"/>
        </w:rPr>
      </w:pPr>
      <w:r>
        <w:rPr>
          <w:rFonts w:hint="eastAsia" w:ascii="宋体" w:hAnsi="宋体"/>
          <w:kern w:val="44"/>
        </w:rPr>
        <w:t>文物、规划、环境保护、林业、园林等部门和城管监察组织应当按照各自职责，依法做好对明十三陵的保护管理和监督检查工作。</w:t>
      </w:r>
    </w:p>
    <w:p w14:paraId="4E0C3E18">
      <w:pPr>
        <w:ind w:firstLine="422"/>
        <w:jc w:val="left"/>
        <w:rPr>
          <w:rFonts w:ascii="宋体" w:hAnsi="宋体"/>
          <w:kern w:val="44"/>
        </w:rPr>
      </w:pPr>
      <w:r>
        <w:rPr>
          <w:rFonts w:hint="eastAsia" w:ascii="宋体" w:hAnsi="宋体"/>
          <w:b/>
          <w:kern w:val="44"/>
        </w:rPr>
        <w:t>第四条</w:t>
      </w:r>
      <w:r>
        <w:rPr>
          <w:rFonts w:hint="eastAsia" w:ascii="宋体" w:hAnsi="宋体"/>
          <w:kern w:val="44"/>
        </w:rPr>
        <w:t>　明十三陵的保护管理应当坚持有效保护、合理利用的原则。</w:t>
      </w:r>
    </w:p>
    <w:p w14:paraId="49339CF3">
      <w:pPr>
        <w:ind w:firstLine="422"/>
        <w:jc w:val="left"/>
        <w:rPr>
          <w:rFonts w:ascii="宋体" w:hAnsi="宋体"/>
          <w:kern w:val="44"/>
        </w:rPr>
      </w:pPr>
      <w:r>
        <w:rPr>
          <w:rFonts w:hint="eastAsia" w:ascii="宋体" w:hAnsi="宋体"/>
          <w:b/>
          <w:kern w:val="44"/>
        </w:rPr>
        <w:t>第五条</w:t>
      </w:r>
      <w:r>
        <w:rPr>
          <w:rFonts w:hint="eastAsia" w:ascii="宋体" w:hAnsi="宋体"/>
          <w:kern w:val="44"/>
        </w:rPr>
        <w:t>　区政府负责制定明十三陵的保护规划，依据市人民政府核定公布的明十三陵保护范围和建设控制地带的边界，设立界限标志。任何单位和个人不得擅自移动、拆除、损毁界限标志。</w:t>
      </w:r>
    </w:p>
    <w:p w14:paraId="2F70D032">
      <w:pPr>
        <w:ind w:firstLine="422"/>
        <w:jc w:val="left"/>
        <w:rPr>
          <w:rFonts w:ascii="宋体" w:hAnsi="宋体"/>
          <w:kern w:val="44"/>
        </w:rPr>
      </w:pPr>
      <w:r>
        <w:rPr>
          <w:rFonts w:hint="eastAsia" w:ascii="宋体" w:hAnsi="宋体"/>
          <w:b/>
          <w:kern w:val="44"/>
        </w:rPr>
        <w:t>第六条</w:t>
      </w:r>
      <w:r>
        <w:rPr>
          <w:rFonts w:hint="eastAsia" w:ascii="宋体" w:hAnsi="宋体"/>
          <w:kern w:val="44"/>
        </w:rPr>
        <w:t>　任何单位和个人不得改变文物原状，不得损毁、改建、拆除文物建筑及其附属物；在保护范围内不得进行其他建设工程，不得在建筑物内及其附近存放易燃、易爆及其他危及文物安全的物品。</w:t>
      </w:r>
    </w:p>
    <w:p w14:paraId="575AFE32">
      <w:pPr>
        <w:jc w:val="left"/>
        <w:rPr>
          <w:rFonts w:ascii="宋体" w:hAnsi="宋体"/>
          <w:kern w:val="44"/>
        </w:rPr>
      </w:pPr>
      <w:r>
        <w:rPr>
          <w:rFonts w:hint="eastAsia" w:ascii="宋体" w:hAnsi="宋体"/>
          <w:kern w:val="44"/>
        </w:rPr>
        <w:t>在建设控制地带内使用土地和进行建设，必须符合国家和本市有关文物保护和规划的要求，依法进行。</w:t>
      </w:r>
    </w:p>
    <w:p w14:paraId="074EEFDC">
      <w:pPr>
        <w:jc w:val="left"/>
        <w:rPr>
          <w:rFonts w:ascii="宋体" w:hAnsi="宋体"/>
          <w:kern w:val="44"/>
        </w:rPr>
      </w:pPr>
      <w:r>
        <w:rPr>
          <w:rFonts w:hint="eastAsia" w:ascii="宋体" w:hAnsi="宋体"/>
          <w:kern w:val="44"/>
        </w:rPr>
        <w:t>对保护区内现有的不符合规划或者影响明十三陵文物和环境风貌的非文物建筑、构筑物，区政府应当依法制定整治搬迁方案，分期组织实施。</w:t>
      </w:r>
    </w:p>
    <w:p w14:paraId="28A5F117">
      <w:pPr>
        <w:ind w:firstLine="422"/>
        <w:jc w:val="left"/>
        <w:rPr>
          <w:rFonts w:ascii="宋体" w:hAnsi="宋体"/>
          <w:kern w:val="44"/>
        </w:rPr>
      </w:pPr>
      <w:r>
        <w:rPr>
          <w:rFonts w:hint="eastAsia" w:ascii="宋体" w:hAnsi="宋体"/>
          <w:b/>
          <w:kern w:val="44"/>
        </w:rPr>
        <w:t>第七条</w:t>
      </w:r>
      <w:r>
        <w:rPr>
          <w:rFonts w:hint="eastAsia" w:ascii="宋体" w:hAnsi="宋体"/>
          <w:kern w:val="44"/>
        </w:rPr>
        <w:t>　任何单位和个人都应当严格履行环境保护义务。在保护区内不得建设或者批准建设污染环境的项目；污染物排放不得超过国家和本市规定的标准，未经处理达标的污水不得排放；开展旅游活动、进行垃圾处置和设置停车设施等，应当符合生态旅游管理规范的要求。</w:t>
      </w:r>
    </w:p>
    <w:p w14:paraId="368933BA">
      <w:pPr>
        <w:ind w:firstLine="422"/>
        <w:jc w:val="left"/>
        <w:rPr>
          <w:rFonts w:ascii="宋体" w:hAnsi="宋体"/>
          <w:kern w:val="44"/>
        </w:rPr>
      </w:pPr>
      <w:r>
        <w:rPr>
          <w:rFonts w:hint="eastAsia" w:ascii="宋体" w:hAnsi="宋体"/>
          <w:b/>
          <w:kern w:val="44"/>
        </w:rPr>
        <w:t>第八条</w:t>
      </w:r>
      <w:r>
        <w:rPr>
          <w:rFonts w:hint="eastAsia" w:ascii="宋体" w:hAnsi="宋体"/>
          <w:kern w:val="44"/>
        </w:rPr>
        <w:t>　保护区内的山地绿化应当以松、柏等乔木为主。对古树名木和风景林木，应当依法加强保护管理；严禁砍伐古树名木，不得擅自更新、采伐风景林木。</w:t>
      </w:r>
    </w:p>
    <w:p w14:paraId="463C12EA">
      <w:pPr>
        <w:ind w:firstLine="422"/>
        <w:jc w:val="left"/>
        <w:rPr>
          <w:rFonts w:ascii="宋体" w:hAnsi="宋体"/>
          <w:kern w:val="44"/>
        </w:rPr>
      </w:pPr>
      <w:r>
        <w:rPr>
          <w:rFonts w:hint="eastAsia" w:ascii="宋体" w:hAnsi="宋体"/>
          <w:b/>
          <w:kern w:val="44"/>
        </w:rPr>
        <w:t>第九条</w:t>
      </w:r>
      <w:r>
        <w:rPr>
          <w:rFonts w:hint="eastAsia" w:ascii="宋体" w:hAnsi="宋体"/>
          <w:kern w:val="44"/>
        </w:rPr>
        <w:t>　区政府应当限定保护范围内营业摊点的数量，并统一规划和合理划定经营区域。禁止在划定区域外设立营业摊点。</w:t>
      </w:r>
    </w:p>
    <w:p w14:paraId="3200089A">
      <w:pPr>
        <w:ind w:firstLine="422"/>
        <w:jc w:val="left"/>
        <w:rPr>
          <w:rFonts w:ascii="宋体" w:hAnsi="宋体"/>
          <w:kern w:val="44"/>
        </w:rPr>
      </w:pPr>
      <w:r>
        <w:rPr>
          <w:rFonts w:hint="eastAsia" w:ascii="宋体" w:hAnsi="宋体"/>
          <w:b/>
          <w:kern w:val="44"/>
        </w:rPr>
        <w:t>第十条</w:t>
      </w:r>
      <w:r>
        <w:rPr>
          <w:rFonts w:hint="eastAsia" w:ascii="宋体" w:hAnsi="宋体"/>
          <w:kern w:val="44"/>
        </w:rPr>
        <w:t>　在保护范围内不得设立广告。在建设控制地带内严格限制设立广告，禁止设立大型商业广告；设立其他广告的，应当符合市政管理行政主管部门会同规划、文物等行政主管部门制定并公布的广告设置规划。</w:t>
      </w:r>
    </w:p>
    <w:p w14:paraId="66DB979E">
      <w:pPr>
        <w:jc w:val="left"/>
        <w:rPr>
          <w:rFonts w:ascii="宋体" w:hAnsi="宋体"/>
          <w:kern w:val="44"/>
        </w:rPr>
      </w:pPr>
      <w:r>
        <w:rPr>
          <w:rFonts w:hint="eastAsia" w:ascii="宋体" w:hAnsi="宋体"/>
          <w:kern w:val="44"/>
        </w:rPr>
        <w:t>设置的广告和文物、导游等标志标牌的色调、体量、造型等应当符合设计要求，不得破坏文物和环境风貌。</w:t>
      </w:r>
    </w:p>
    <w:p w14:paraId="4CEF097C">
      <w:pPr>
        <w:ind w:firstLine="422"/>
        <w:jc w:val="left"/>
        <w:rPr>
          <w:rFonts w:ascii="宋体" w:hAnsi="宋体"/>
          <w:kern w:val="44"/>
        </w:rPr>
      </w:pPr>
      <w:r>
        <w:rPr>
          <w:rFonts w:hint="eastAsia" w:ascii="宋体" w:hAnsi="宋体"/>
          <w:b/>
          <w:kern w:val="44"/>
        </w:rPr>
        <w:t>第十一条</w:t>
      </w:r>
      <w:r>
        <w:rPr>
          <w:rFonts w:hint="eastAsia" w:ascii="宋体" w:hAnsi="宋体"/>
          <w:kern w:val="44"/>
        </w:rPr>
        <w:t>　在保护区内不得进行开矿采石、挖砂取土、掘坑填塘、捕猎野生动物、修建公墓等破坏地形地貌、生态环境的活动；所建电力、通讯、农田水利、种植、养殖等设施，不得危及文物安全，影响环境风貌。</w:t>
      </w:r>
    </w:p>
    <w:p w14:paraId="09F4D89F">
      <w:pPr>
        <w:ind w:firstLine="422"/>
        <w:jc w:val="left"/>
        <w:rPr>
          <w:rFonts w:ascii="宋体" w:hAnsi="宋体"/>
          <w:kern w:val="44"/>
        </w:rPr>
      </w:pPr>
      <w:r>
        <w:rPr>
          <w:rFonts w:hint="eastAsia" w:ascii="宋体" w:hAnsi="宋体"/>
          <w:b/>
          <w:kern w:val="44"/>
        </w:rPr>
        <w:t>第十二条</w:t>
      </w:r>
      <w:r>
        <w:rPr>
          <w:rFonts w:hint="eastAsia" w:ascii="宋体" w:hAnsi="宋体"/>
          <w:kern w:val="44"/>
        </w:rPr>
        <w:t>　一切单位和个人都有保护明十三陵文物和环境风貌的义务。</w:t>
      </w:r>
    </w:p>
    <w:p w14:paraId="675BB51A">
      <w:pPr>
        <w:jc w:val="left"/>
        <w:rPr>
          <w:rFonts w:ascii="宋体" w:hAnsi="宋体"/>
          <w:kern w:val="44"/>
        </w:rPr>
      </w:pPr>
      <w:r>
        <w:rPr>
          <w:rFonts w:hint="eastAsia" w:ascii="宋体" w:hAnsi="宋体"/>
          <w:kern w:val="44"/>
        </w:rPr>
        <w:t>任何单位和个人都有权对破坏明十三陵文物和环境风貌的行为予以制止和举报。</w:t>
      </w:r>
    </w:p>
    <w:p w14:paraId="6E1D05DE">
      <w:pPr>
        <w:ind w:firstLine="422"/>
        <w:jc w:val="left"/>
        <w:rPr>
          <w:rFonts w:ascii="宋体" w:hAnsi="宋体"/>
          <w:kern w:val="44"/>
        </w:rPr>
      </w:pPr>
      <w:r>
        <w:rPr>
          <w:rFonts w:hint="eastAsia" w:ascii="宋体" w:hAnsi="宋体"/>
          <w:b/>
          <w:kern w:val="44"/>
        </w:rPr>
        <w:t>第十三条</w:t>
      </w:r>
      <w:r>
        <w:rPr>
          <w:rFonts w:hint="eastAsia" w:ascii="宋体" w:hAnsi="宋体"/>
          <w:kern w:val="44"/>
        </w:rPr>
        <w:t>　特区办事处应当严格履行文物使用和保护管理的下列职责：</w:t>
      </w:r>
    </w:p>
    <w:p w14:paraId="21545A4C">
      <w:pPr>
        <w:jc w:val="left"/>
        <w:rPr>
          <w:rFonts w:ascii="宋体" w:hAnsi="宋体"/>
          <w:kern w:val="44"/>
        </w:rPr>
      </w:pPr>
      <w:r>
        <w:rPr>
          <w:rFonts w:hint="eastAsia" w:ascii="宋体" w:hAnsi="宋体"/>
          <w:kern w:val="44"/>
        </w:rPr>
        <w:t>（一）保护明十三陵文物安全和环境风貌完好，做好防火、防盗、防汛、防蛀、防雷击等工作。</w:t>
      </w:r>
    </w:p>
    <w:p w14:paraId="3FBA6344">
      <w:pPr>
        <w:jc w:val="left"/>
        <w:rPr>
          <w:rFonts w:ascii="宋体" w:hAnsi="宋体"/>
          <w:kern w:val="44"/>
        </w:rPr>
      </w:pPr>
      <w:r>
        <w:rPr>
          <w:rFonts w:hint="eastAsia" w:ascii="宋体" w:hAnsi="宋体"/>
          <w:kern w:val="44"/>
        </w:rPr>
        <w:t>（二）按规定保养、修缮明十三陵文物建筑，保护明十三陵文物遗址。对明十三陵文物建筑的保养、修缮和对明十三陵文物遗址的保护应当在方案设计、施工工艺、材料选用、规制布局等各方面严格遵照传统方法，本着尊重历史、不改变历史原状的原则组织实施。</w:t>
      </w:r>
    </w:p>
    <w:p w14:paraId="064B95AA">
      <w:pPr>
        <w:jc w:val="left"/>
        <w:rPr>
          <w:rFonts w:ascii="宋体" w:hAnsi="宋体"/>
          <w:kern w:val="44"/>
        </w:rPr>
      </w:pPr>
      <w:r>
        <w:rPr>
          <w:rFonts w:hint="eastAsia" w:ascii="宋体" w:hAnsi="宋体"/>
          <w:kern w:val="44"/>
        </w:rPr>
        <w:t>（三）建立巡查制度，对明十三陵文物和环境风貌状况进行经常性检查，发现破坏文物和环境风貌的行为应当予以制止，并提请有关部门处理。</w:t>
      </w:r>
    </w:p>
    <w:p w14:paraId="2821D4B3">
      <w:pPr>
        <w:ind w:firstLine="422"/>
        <w:jc w:val="left"/>
        <w:rPr>
          <w:rFonts w:ascii="宋体" w:hAnsi="宋体"/>
          <w:kern w:val="44"/>
        </w:rPr>
      </w:pPr>
      <w:r>
        <w:rPr>
          <w:rFonts w:hint="eastAsia" w:ascii="宋体" w:hAnsi="宋体"/>
          <w:b/>
          <w:kern w:val="44"/>
        </w:rPr>
        <w:t>第十四条</w:t>
      </w:r>
      <w:r>
        <w:rPr>
          <w:rFonts w:hint="eastAsia" w:ascii="宋体" w:hAnsi="宋体"/>
          <w:kern w:val="44"/>
        </w:rPr>
        <w:t>　对违反本办法的，按照下列规定处理：</w:t>
      </w:r>
    </w:p>
    <w:p w14:paraId="227F6146">
      <w:pPr>
        <w:jc w:val="left"/>
        <w:rPr>
          <w:rFonts w:ascii="宋体" w:hAnsi="宋体"/>
          <w:kern w:val="44"/>
        </w:rPr>
      </w:pPr>
      <w:r>
        <w:rPr>
          <w:rFonts w:hint="eastAsia" w:ascii="宋体" w:hAnsi="宋体"/>
          <w:kern w:val="44"/>
        </w:rPr>
        <w:t>（一）对违反第五条规定，擅自移动、拆除、损毁界限标志的，由文物行政主管部门责令恢复原状，并可以处200元以上500元以下罚款。</w:t>
      </w:r>
    </w:p>
    <w:p w14:paraId="761B67F2">
      <w:pPr>
        <w:jc w:val="left"/>
        <w:rPr>
          <w:rFonts w:ascii="宋体" w:hAnsi="宋体"/>
          <w:kern w:val="44"/>
        </w:rPr>
      </w:pPr>
      <w:r>
        <w:rPr>
          <w:rFonts w:hint="eastAsia" w:ascii="宋体" w:hAnsi="宋体"/>
          <w:kern w:val="44"/>
        </w:rPr>
        <w:t>（二）对违反第六条、第十一条规定，进行违法建设，或者违法设置电力、通讯、农田水利、种植、养殖等设施的，由规划行政主管部门或者城管监察组织依法处理。</w:t>
      </w:r>
    </w:p>
    <w:p w14:paraId="5292334E">
      <w:pPr>
        <w:jc w:val="left"/>
        <w:rPr>
          <w:rFonts w:ascii="宋体" w:hAnsi="宋体"/>
          <w:kern w:val="44"/>
        </w:rPr>
      </w:pPr>
      <w:r>
        <w:rPr>
          <w:rFonts w:hint="eastAsia" w:ascii="宋体" w:hAnsi="宋体"/>
          <w:kern w:val="44"/>
        </w:rPr>
        <w:t>（三）对违反第八条规定，破坏古树名木、风景林木的，由林业行政主管部门依法处理。</w:t>
      </w:r>
    </w:p>
    <w:p w14:paraId="14BF2C4C">
      <w:pPr>
        <w:jc w:val="left"/>
        <w:rPr>
          <w:rFonts w:ascii="宋体" w:hAnsi="宋体"/>
          <w:kern w:val="44"/>
        </w:rPr>
      </w:pPr>
      <w:r>
        <w:rPr>
          <w:rFonts w:hint="eastAsia" w:ascii="宋体" w:hAnsi="宋体"/>
          <w:kern w:val="44"/>
        </w:rPr>
        <w:t>（四）对违反本办法其他规定的，由有关部门依法处理。</w:t>
      </w:r>
    </w:p>
    <w:p w14:paraId="587FF4F8">
      <w:pPr>
        <w:ind w:firstLine="422"/>
        <w:jc w:val="left"/>
        <w:rPr>
          <w:rFonts w:ascii="宋体" w:hAnsi="宋体"/>
          <w:kern w:val="44"/>
        </w:rPr>
      </w:pPr>
      <w:r>
        <w:rPr>
          <w:rFonts w:hint="eastAsia" w:ascii="宋体" w:hAnsi="宋体"/>
          <w:b/>
          <w:kern w:val="44"/>
        </w:rPr>
        <w:t>第十五条</w:t>
      </w:r>
      <w:r>
        <w:rPr>
          <w:rFonts w:hint="eastAsia" w:ascii="宋体" w:hAnsi="宋体"/>
          <w:kern w:val="44"/>
        </w:rPr>
        <w:t>　对明十三陵保护管理负有职责的有关部门及其工作人员，应当恪尽职守，做好明十三陵的保护管理工作。对玩忽职守、滥用职权致使发生危及文物安全、影响环境风貌后果的，由其上级主管部门或者所在单位依法追究单位负责人和直接责任人员的行政责任；构成犯罪的，依法追究刑事责任。</w:t>
      </w:r>
    </w:p>
    <w:p w14:paraId="039D13B7">
      <w:pPr>
        <w:ind w:firstLine="422"/>
        <w:jc w:val="left"/>
        <w:rPr>
          <w:rFonts w:ascii="宋体" w:hAnsi="宋体"/>
          <w:kern w:val="44"/>
        </w:rPr>
      </w:pPr>
      <w:r>
        <w:rPr>
          <w:rFonts w:hint="eastAsia" w:ascii="宋体" w:hAnsi="宋体"/>
          <w:b/>
          <w:kern w:val="44"/>
        </w:rPr>
        <w:t>第十六条</w:t>
      </w:r>
      <w:r>
        <w:rPr>
          <w:rFonts w:hint="eastAsia" w:ascii="宋体" w:hAnsi="宋体"/>
          <w:kern w:val="44"/>
        </w:rPr>
        <w:t>　本办法自2002年9月1日起施行。</w:t>
      </w:r>
    </w:p>
    <w:p w14:paraId="0AC7234C">
      <w:pPr>
        <w:pStyle w:val="4"/>
        <w:pageBreakBefore/>
        <w:rPr>
          <w:kern w:val="44"/>
        </w:rPr>
      </w:pPr>
      <w:bookmarkStart w:id="1698" w:name="_Toc428781736"/>
      <w:bookmarkStart w:id="1699" w:name="_Toc422471442"/>
      <w:bookmarkStart w:id="1700" w:name="_Toc428780254"/>
      <w:bookmarkStart w:id="1701" w:name="_Toc427651688"/>
      <w:bookmarkStart w:id="1702" w:name="_Toc427652030"/>
      <w:r>
        <w:rPr>
          <w:rFonts w:hint="eastAsia"/>
          <w:kern w:val="44"/>
        </w:rPr>
        <w:t>北京市长城保护管理办法</w:t>
      </w:r>
      <w:bookmarkEnd w:id="1698"/>
      <w:bookmarkEnd w:id="1699"/>
      <w:bookmarkEnd w:id="1700"/>
      <w:bookmarkEnd w:id="1701"/>
      <w:bookmarkEnd w:id="1702"/>
    </w:p>
    <w:p w14:paraId="2DAC46B6">
      <w:pPr>
        <w:jc w:val="left"/>
        <w:rPr>
          <w:rFonts w:ascii="宋体" w:hAnsi="宋体"/>
          <w:kern w:val="44"/>
        </w:rPr>
      </w:pPr>
      <w:r>
        <w:rPr>
          <w:rFonts w:hint="eastAsia" w:ascii="宋体" w:hAnsi="宋体"/>
          <w:kern w:val="44"/>
        </w:rPr>
        <w:t>（2003年5月22日市人民政府第8次常务会议审议通过　2003年6月13日北京市人民政府令第126号令发布）</w:t>
      </w:r>
    </w:p>
    <w:p w14:paraId="2B1A6026">
      <w:pPr>
        <w:jc w:val="left"/>
        <w:rPr>
          <w:rFonts w:ascii="宋体" w:hAnsi="宋体"/>
          <w:kern w:val="44"/>
        </w:rPr>
      </w:pPr>
    </w:p>
    <w:p w14:paraId="2A37BD7D">
      <w:pPr>
        <w:ind w:firstLine="422"/>
        <w:jc w:val="left"/>
        <w:rPr>
          <w:rFonts w:ascii="宋体" w:hAnsi="宋体"/>
          <w:kern w:val="44"/>
        </w:rPr>
      </w:pPr>
      <w:r>
        <w:rPr>
          <w:rFonts w:hint="eastAsia" w:ascii="宋体" w:hAnsi="宋体"/>
          <w:b/>
          <w:kern w:val="44"/>
        </w:rPr>
        <w:t>第一条</w:t>
      </w:r>
      <w:r>
        <w:rPr>
          <w:rFonts w:hint="eastAsia" w:ascii="宋体" w:hAnsi="宋体"/>
          <w:kern w:val="44"/>
        </w:rPr>
        <w:t>　为了保护长城及其环境风貌，根据国家有关文物保护的法律、法规，结合本市实际情况，制定本办法。</w:t>
      </w:r>
    </w:p>
    <w:p w14:paraId="33560A20">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本办法所称长城，是指本市行政区域内的长城主体和与长城主体有关的城堡、关隘、烽火台、敌楼等附属建筑及其他相关文物。</w:t>
      </w:r>
    </w:p>
    <w:p w14:paraId="5F43CC4A">
      <w:pPr>
        <w:jc w:val="left"/>
        <w:rPr>
          <w:rFonts w:ascii="宋体" w:hAnsi="宋体"/>
          <w:kern w:val="44"/>
        </w:rPr>
      </w:pPr>
      <w:r>
        <w:rPr>
          <w:rFonts w:hint="eastAsia" w:ascii="宋体" w:hAnsi="宋体"/>
          <w:kern w:val="44"/>
        </w:rPr>
        <w:t>长城主体的附属建筑和相关文物的具体名录，由市文物行政主管部门确定，并向社会公布。</w:t>
      </w:r>
    </w:p>
    <w:p w14:paraId="7C9F2A9C">
      <w:pPr>
        <w:ind w:firstLine="422"/>
        <w:jc w:val="left"/>
        <w:rPr>
          <w:rFonts w:ascii="宋体" w:hAnsi="宋体"/>
          <w:kern w:val="44"/>
        </w:rPr>
      </w:pPr>
      <w:r>
        <w:rPr>
          <w:rFonts w:hint="eastAsia" w:ascii="宋体" w:hAnsi="宋体"/>
          <w:b/>
          <w:kern w:val="44"/>
        </w:rPr>
        <w:t>第三条</w:t>
      </w:r>
      <w:r>
        <w:rPr>
          <w:rFonts w:hint="eastAsia" w:ascii="宋体" w:hAnsi="宋体"/>
          <w:kern w:val="44"/>
        </w:rPr>
        <w:t>　本市长城保护坚持原状保护、科学规划、合理利用的原则。</w:t>
      </w:r>
    </w:p>
    <w:p w14:paraId="7F3717E6">
      <w:pPr>
        <w:ind w:firstLine="422"/>
        <w:jc w:val="left"/>
        <w:rPr>
          <w:rFonts w:ascii="宋体" w:hAnsi="宋体"/>
          <w:kern w:val="44"/>
        </w:rPr>
      </w:pPr>
      <w:r>
        <w:rPr>
          <w:rFonts w:hint="eastAsia" w:ascii="宋体" w:hAnsi="宋体"/>
          <w:b/>
          <w:kern w:val="44"/>
        </w:rPr>
        <w:t>第四条</w:t>
      </w:r>
      <w:r>
        <w:rPr>
          <w:rFonts w:hint="eastAsia" w:ascii="宋体" w:hAnsi="宋体"/>
          <w:kern w:val="44"/>
        </w:rPr>
        <w:t>　市文物行政主管部门负责对长城保护工作的统一管理和监督、指导。</w:t>
      </w:r>
    </w:p>
    <w:p w14:paraId="28BB5E00">
      <w:pPr>
        <w:jc w:val="left"/>
        <w:rPr>
          <w:rFonts w:ascii="宋体" w:hAnsi="宋体"/>
          <w:kern w:val="44"/>
        </w:rPr>
      </w:pPr>
      <w:r>
        <w:rPr>
          <w:rFonts w:hint="eastAsia" w:ascii="宋体" w:hAnsi="宋体"/>
          <w:kern w:val="44"/>
        </w:rPr>
        <w:t>长城沿线的区、县人民政府（以下简称区、县人民政府）负责组织实施本辖区内长城段的保护工作。区、县文物行政主管部门具体负责本辖区内长城段的保护管理工作。</w:t>
      </w:r>
    </w:p>
    <w:p w14:paraId="5CFABFD1">
      <w:pPr>
        <w:jc w:val="left"/>
        <w:rPr>
          <w:rFonts w:ascii="宋体" w:hAnsi="宋体"/>
          <w:kern w:val="44"/>
        </w:rPr>
      </w:pPr>
      <w:r>
        <w:rPr>
          <w:rFonts w:hint="eastAsia" w:ascii="宋体" w:hAnsi="宋体"/>
          <w:kern w:val="44"/>
        </w:rPr>
        <w:t>规划、林业、环境保护、旅游等行政主管部门和城市管理综合执法组织应当按照各自职责，负责相关的长城保护管理工作。</w:t>
      </w:r>
    </w:p>
    <w:p w14:paraId="0DC04ACE">
      <w:pPr>
        <w:jc w:val="left"/>
        <w:rPr>
          <w:rFonts w:ascii="宋体" w:hAnsi="宋体"/>
          <w:kern w:val="44"/>
        </w:rPr>
      </w:pPr>
      <w:r>
        <w:rPr>
          <w:rFonts w:hint="eastAsia" w:ascii="宋体" w:hAnsi="宋体"/>
          <w:kern w:val="44"/>
        </w:rPr>
        <w:t>一切单位和个人都有保护长城的义务。本市鼓励单位和个人以各种形式参与长城保护工作。</w:t>
      </w:r>
    </w:p>
    <w:p w14:paraId="302D7FA3">
      <w:pPr>
        <w:ind w:firstLine="422"/>
        <w:jc w:val="left"/>
        <w:rPr>
          <w:rFonts w:ascii="宋体" w:hAnsi="宋体"/>
          <w:kern w:val="44"/>
        </w:rPr>
      </w:pPr>
      <w:r>
        <w:rPr>
          <w:rFonts w:hint="eastAsia" w:ascii="宋体" w:hAnsi="宋体"/>
          <w:b/>
          <w:kern w:val="44"/>
        </w:rPr>
        <w:t>第五条</w:t>
      </w:r>
      <w:r>
        <w:rPr>
          <w:rFonts w:hint="eastAsia" w:ascii="宋体" w:hAnsi="宋体"/>
          <w:kern w:val="44"/>
        </w:rPr>
        <w:t>　市文物行政主管部门应当制定长城总体保护方案。区、县人民政府应当根据长城总体保护方案，制定本辖区内长城段保护工作的具体实施方案。对影响长城安全和环境风貌的建筑物、构筑物，区、县人民政府应当制定整治搬迁方案，分期组织实施。</w:t>
      </w:r>
    </w:p>
    <w:p w14:paraId="5F065F41">
      <w:pPr>
        <w:ind w:firstLine="422"/>
        <w:jc w:val="left"/>
        <w:rPr>
          <w:rFonts w:ascii="宋体" w:hAnsi="宋体"/>
          <w:kern w:val="44"/>
        </w:rPr>
      </w:pPr>
      <w:r>
        <w:rPr>
          <w:rFonts w:hint="eastAsia" w:ascii="宋体" w:hAnsi="宋体"/>
          <w:b/>
          <w:kern w:val="44"/>
        </w:rPr>
        <w:t>第六条</w:t>
      </w:r>
      <w:r>
        <w:rPr>
          <w:rFonts w:hint="eastAsia" w:ascii="宋体" w:hAnsi="宋体"/>
          <w:kern w:val="44"/>
        </w:rPr>
        <w:t>　市文物、规划行政主管部门应当按照保护整体风貌、保留完整体系的原则，划定长城的保护范围和建设控制地带。</w:t>
      </w:r>
    </w:p>
    <w:p w14:paraId="14989D19">
      <w:pPr>
        <w:jc w:val="left"/>
        <w:rPr>
          <w:rFonts w:ascii="宋体" w:hAnsi="宋体"/>
          <w:kern w:val="44"/>
        </w:rPr>
      </w:pPr>
      <w:r>
        <w:rPr>
          <w:rFonts w:hint="eastAsia" w:ascii="宋体" w:hAnsi="宋体"/>
          <w:kern w:val="44"/>
        </w:rPr>
        <w:t>对急需保护的长城段，市文物、规划行政主管部门应当优先划定保护范围和建设控制地带；对近期不能划定保护范围和建设控制地带的长城段，市文物行政主管部门可以会同市规划行政主管部门划定临时保护区，并按照本办法及国家和本市有关文物保护单位保护范围和建设控制地带的规定管理。</w:t>
      </w:r>
    </w:p>
    <w:p w14:paraId="7D966BE6">
      <w:pPr>
        <w:ind w:firstLine="422"/>
        <w:jc w:val="left"/>
        <w:rPr>
          <w:rFonts w:ascii="宋体" w:hAnsi="宋体"/>
          <w:kern w:val="44"/>
        </w:rPr>
      </w:pPr>
      <w:r>
        <w:rPr>
          <w:rFonts w:hint="eastAsia" w:ascii="宋体" w:hAnsi="宋体"/>
          <w:b/>
          <w:kern w:val="44"/>
        </w:rPr>
        <w:t>第七条</w:t>
      </w:r>
      <w:r>
        <w:rPr>
          <w:rFonts w:hint="eastAsia" w:ascii="宋体" w:hAnsi="宋体"/>
          <w:kern w:val="44"/>
        </w:rPr>
        <w:t>　区、县人民政府对本辖区内的长城段应当进行普查登记，设置保护标志，建立记录档案，并将记录档案报市文物行政主管部门备案。</w:t>
      </w:r>
    </w:p>
    <w:p w14:paraId="5E8DE075">
      <w:pPr>
        <w:ind w:firstLine="422"/>
        <w:jc w:val="left"/>
        <w:rPr>
          <w:rFonts w:ascii="宋体" w:hAnsi="宋体"/>
          <w:kern w:val="44"/>
        </w:rPr>
      </w:pPr>
      <w:r>
        <w:rPr>
          <w:rFonts w:hint="eastAsia" w:ascii="宋体" w:hAnsi="宋体"/>
          <w:b/>
          <w:kern w:val="44"/>
        </w:rPr>
        <w:t>第八条</w:t>
      </w:r>
      <w:r>
        <w:rPr>
          <w:rFonts w:hint="eastAsia" w:ascii="宋体" w:hAnsi="宋体"/>
          <w:kern w:val="44"/>
        </w:rPr>
        <w:t>　区、县人民政府与长城沿线乡、镇的人民政府（以下简称乡、镇人民政府），乡、镇人民政府与长城沿线村的村民委员会，应当签订长城保护责任书，并建立相应的奖惩制度。</w:t>
      </w:r>
    </w:p>
    <w:p w14:paraId="42626C8D">
      <w:pPr>
        <w:jc w:val="left"/>
        <w:rPr>
          <w:rFonts w:ascii="宋体" w:hAnsi="宋体"/>
          <w:kern w:val="44"/>
        </w:rPr>
      </w:pPr>
      <w:r>
        <w:rPr>
          <w:rFonts w:hint="eastAsia" w:ascii="宋体" w:hAnsi="宋体"/>
          <w:kern w:val="44"/>
        </w:rPr>
        <w:t>乡、镇人民政府应当组织本地区有关单位和个人做好长城保护管理工作。</w:t>
      </w:r>
    </w:p>
    <w:p w14:paraId="49346AD3">
      <w:pPr>
        <w:ind w:firstLine="422"/>
        <w:jc w:val="left"/>
        <w:rPr>
          <w:rFonts w:ascii="宋体" w:hAnsi="宋体"/>
          <w:kern w:val="44"/>
        </w:rPr>
      </w:pPr>
      <w:r>
        <w:rPr>
          <w:rFonts w:hint="eastAsia" w:ascii="宋体" w:hAnsi="宋体"/>
          <w:b/>
          <w:kern w:val="44"/>
        </w:rPr>
        <w:t>第九条</w:t>
      </w:r>
      <w:r>
        <w:rPr>
          <w:rFonts w:hint="eastAsia" w:ascii="宋体" w:hAnsi="宋体"/>
          <w:kern w:val="44"/>
        </w:rPr>
        <w:t>　长城管理使用单位应当负责所管理使用长城段的日常巡视检查和日常维护、修缮、抢险等保护工作，并保证保护工作的相应资金。没有管理使用单位的长城段，其日常巡视检查和日常维护、修缮、抢险等保护工作，由当地区、县人民政府负责。</w:t>
      </w:r>
    </w:p>
    <w:p w14:paraId="6B59F8BB">
      <w:pPr>
        <w:jc w:val="left"/>
        <w:rPr>
          <w:rFonts w:ascii="宋体" w:hAnsi="宋体"/>
          <w:kern w:val="44"/>
        </w:rPr>
      </w:pPr>
      <w:r>
        <w:rPr>
          <w:rFonts w:hint="eastAsia" w:ascii="宋体" w:hAnsi="宋体"/>
          <w:kern w:val="44"/>
        </w:rPr>
        <w:t>长城管理使用单位发现所管理使用的长城段出现险情的，应当及时抢险，并向当地区、县文物行政主管部门报告。</w:t>
      </w:r>
    </w:p>
    <w:p w14:paraId="7018E32B">
      <w:pPr>
        <w:jc w:val="left"/>
        <w:rPr>
          <w:rFonts w:ascii="宋体" w:hAnsi="宋体"/>
          <w:kern w:val="44"/>
        </w:rPr>
      </w:pPr>
      <w:r>
        <w:rPr>
          <w:rFonts w:hint="eastAsia" w:ascii="宋体" w:hAnsi="宋体"/>
          <w:kern w:val="44"/>
        </w:rPr>
        <w:t>长城管理使用单位对所管理使用的长城段，不按照文物行政主管部门的要求修缮，或者发现险情不及时抢险的，市文物行政主管部门可以指定具有文物保护工程资质的施工单位进行修缮、抢险，所需费用由负有修缮、抢险责任的长城管理使用单位承担。</w:t>
      </w:r>
    </w:p>
    <w:p w14:paraId="5249D629">
      <w:pPr>
        <w:ind w:firstLine="422"/>
        <w:jc w:val="left"/>
        <w:rPr>
          <w:rFonts w:ascii="宋体" w:hAnsi="宋体"/>
          <w:kern w:val="44"/>
        </w:rPr>
      </w:pPr>
      <w:r>
        <w:rPr>
          <w:rFonts w:hint="eastAsia" w:ascii="宋体" w:hAnsi="宋体"/>
          <w:b/>
          <w:kern w:val="44"/>
        </w:rPr>
        <w:t>第十条</w:t>
      </w:r>
      <w:r>
        <w:rPr>
          <w:rFonts w:hint="eastAsia" w:ascii="宋体" w:hAnsi="宋体"/>
          <w:kern w:val="44"/>
        </w:rPr>
        <w:t>　对长城进行日常维护、修缮，应当坚持及时保护、不改变文物原状的原则；长城地面建筑已经全部被毁坏的，应当实施遗址保护。</w:t>
      </w:r>
    </w:p>
    <w:p w14:paraId="04B82B75">
      <w:pPr>
        <w:ind w:firstLine="422"/>
        <w:jc w:val="left"/>
        <w:rPr>
          <w:rFonts w:ascii="宋体" w:hAnsi="宋体"/>
          <w:kern w:val="44"/>
        </w:rPr>
      </w:pPr>
      <w:r>
        <w:rPr>
          <w:rFonts w:hint="eastAsia" w:ascii="宋体" w:hAnsi="宋体"/>
          <w:b/>
          <w:kern w:val="44"/>
        </w:rPr>
        <w:t>第十一条</w:t>
      </w:r>
      <w:r>
        <w:rPr>
          <w:rFonts w:hint="eastAsia" w:ascii="宋体" w:hAnsi="宋体"/>
          <w:kern w:val="44"/>
        </w:rPr>
        <w:t>　任何单位或者个人不得将长城转让、抵押或者折股作为企业资产经营。</w:t>
      </w:r>
    </w:p>
    <w:p w14:paraId="0449536C">
      <w:pPr>
        <w:jc w:val="left"/>
        <w:rPr>
          <w:rFonts w:ascii="宋体" w:hAnsi="宋体"/>
          <w:kern w:val="44"/>
        </w:rPr>
      </w:pPr>
      <w:r>
        <w:rPr>
          <w:rFonts w:hint="eastAsia" w:ascii="宋体" w:hAnsi="宋体"/>
          <w:kern w:val="44"/>
        </w:rPr>
        <w:t>利用长城开辟参观游览场所的，应当由当地区、县人民政府提出利用方案和保护措施，报市文物行政主管部门审核；市文物行政主管部门审核同意后，依法报请市人民政府批准。</w:t>
      </w:r>
    </w:p>
    <w:p w14:paraId="21AEFA8D">
      <w:pPr>
        <w:jc w:val="left"/>
        <w:rPr>
          <w:rFonts w:ascii="宋体" w:hAnsi="宋体"/>
          <w:kern w:val="44"/>
        </w:rPr>
      </w:pPr>
      <w:r>
        <w:rPr>
          <w:rFonts w:hint="eastAsia" w:ascii="宋体" w:hAnsi="宋体"/>
          <w:kern w:val="44"/>
        </w:rPr>
        <w:t>未经批准，任何单位或者个人不得利用长城开辟参观游览场所。</w:t>
      </w:r>
    </w:p>
    <w:p w14:paraId="29077E00">
      <w:pPr>
        <w:ind w:firstLine="422"/>
        <w:jc w:val="left"/>
        <w:rPr>
          <w:rFonts w:ascii="宋体" w:hAnsi="宋体"/>
          <w:kern w:val="44"/>
        </w:rPr>
      </w:pPr>
      <w:r>
        <w:rPr>
          <w:rFonts w:hint="eastAsia" w:ascii="宋体" w:hAnsi="宋体"/>
          <w:b/>
          <w:kern w:val="44"/>
        </w:rPr>
        <w:t>第十二条</w:t>
      </w:r>
      <w:r>
        <w:rPr>
          <w:rFonts w:hint="eastAsia" w:ascii="宋体" w:hAnsi="宋体"/>
          <w:kern w:val="44"/>
        </w:rPr>
        <w:t>　在长城保护范围和建设控制地带内不得进行开矿采石、挖砂取土、掘坑填塘、捕猎野生动物、擅伐林木等破坏地形地貌和生态环境的活动；建设电力、通讯、农田水利、种植、养殖等设施和从事其他生产生活活动，不得危及长城安全，不得影响长城环境风貌。</w:t>
      </w:r>
    </w:p>
    <w:p w14:paraId="6E0BE968">
      <w:pPr>
        <w:jc w:val="left"/>
        <w:rPr>
          <w:rFonts w:ascii="宋体" w:hAnsi="宋体"/>
          <w:kern w:val="44"/>
        </w:rPr>
      </w:pPr>
      <w:r>
        <w:rPr>
          <w:rFonts w:hint="eastAsia" w:ascii="宋体" w:hAnsi="宋体"/>
          <w:kern w:val="44"/>
        </w:rPr>
        <w:t>在长城保护范围和建设控制地带内设置的文物、导游等标志标牌，其色调、体量、造型等应当与长城风貌相协调。</w:t>
      </w:r>
    </w:p>
    <w:p w14:paraId="0A7D3ED1">
      <w:pPr>
        <w:ind w:firstLine="422"/>
        <w:jc w:val="left"/>
        <w:rPr>
          <w:rFonts w:ascii="宋体" w:hAnsi="宋体"/>
          <w:kern w:val="44"/>
        </w:rPr>
      </w:pPr>
      <w:r>
        <w:rPr>
          <w:rFonts w:hint="eastAsia" w:ascii="宋体" w:hAnsi="宋体"/>
          <w:b/>
          <w:kern w:val="44"/>
        </w:rPr>
        <w:t>第十三条</w:t>
      </w:r>
      <w:r>
        <w:rPr>
          <w:rFonts w:hint="eastAsia" w:ascii="宋体" w:hAnsi="宋体"/>
          <w:kern w:val="44"/>
        </w:rPr>
        <w:t>　长城建筑材料属于国家所有。任何单位或者个人不得非法占有长城建筑材料，不得利用长城建筑材料修建除长城以外的建筑物、构筑物。</w:t>
      </w:r>
    </w:p>
    <w:p w14:paraId="680C62E9">
      <w:pPr>
        <w:jc w:val="left"/>
        <w:rPr>
          <w:rFonts w:ascii="宋体" w:hAnsi="宋体"/>
          <w:kern w:val="44"/>
        </w:rPr>
      </w:pPr>
      <w:r>
        <w:rPr>
          <w:rFonts w:hint="eastAsia" w:ascii="宋体" w:hAnsi="宋体"/>
          <w:kern w:val="44"/>
        </w:rPr>
        <w:t>本办法实施前利用长城建筑材料修建的建筑物、构筑物被拆除后，有关单位或者个人应当将长城建筑材料无偿移交当地的区、县文物行政主管部门。</w:t>
      </w:r>
    </w:p>
    <w:p w14:paraId="3103527B">
      <w:pPr>
        <w:ind w:firstLine="422"/>
        <w:jc w:val="left"/>
        <w:rPr>
          <w:rFonts w:ascii="宋体" w:hAnsi="宋体"/>
          <w:kern w:val="44"/>
        </w:rPr>
      </w:pPr>
      <w:r>
        <w:rPr>
          <w:rFonts w:hint="eastAsia" w:ascii="宋体" w:hAnsi="宋体"/>
          <w:b/>
          <w:kern w:val="44"/>
        </w:rPr>
        <w:t>第十四条</w:t>
      </w:r>
      <w:r>
        <w:rPr>
          <w:rFonts w:hint="eastAsia" w:ascii="宋体" w:hAnsi="宋体"/>
          <w:kern w:val="44"/>
        </w:rPr>
        <w:t>　本市严格控制利用长城拍摄电影、电视和举办大型活动。</w:t>
      </w:r>
    </w:p>
    <w:p w14:paraId="260C1B14">
      <w:pPr>
        <w:jc w:val="left"/>
        <w:rPr>
          <w:rFonts w:ascii="宋体" w:hAnsi="宋体"/>
          <w:kern w:val="44"/>
        </w:rPr>
      </w:pPr>
      <w:r>
        <w:rPr>
          <w:rFonts w:hint="eastAsia" w:ascii="宋体" w:hAnsi="宋体"/>
          <w:kern w:val="44"/>
        </w:rPr>
        <w:t>利用长城拍摄电影、电视或者举办大型活动的，应当依法经过批准，其搭设的临时设施、活动规模等不得危及长城安全。</w:t>
      </w:r>
    </w:p>
    <w:p w14:paraId="3DD560EF">
      <w:pPr>
        <w:ind w:firstLine="422"/>
        <w:jc w:val="left"/>
        <w:rPr>
          <w:rFonts w:ascii="宋体" w:hAnsi="宋体"/>
          <w:kern w:val="44"/>
        </w:rPr>
      </w:pPr>
      <w:r>
        <w:rPr>
          <w:rFonts w:hint="eastAsia" w:ascii="宋体" w:hAnsi="宋体"/>
          <w:b/>
          <w:kern w:val="44"/>
        </w:rPr>
        <w:t>第十五条</w:t>
      </w:r>
      <w:r>
        <w:rPr>
          <w:rFonts w:hint="eastAsia" w:ascii="宋体" w:hAnsi="宋体"/>
          <w:kern w:val="44"/>
        </w:rPr>
        <w:t>　禁止从事下列危及长城安全的活动：</w:t>
      </w:r>
    </w:p>
    <w:p w14:paraId="726CEC26">
      <w:pPr>
        <w:jc w:val="left"/>
        <w:rPr>
          <w:rFonts w:ascii="宋体" w:hAnsi="宋体"/>
          <w:kern w:val="44"/>
        </w:rPr>
      </w:pPr>
      <w:r>
        <w:rPr>
          <w:rFonts w:hint="eastAsia" w:ascii="宋体" w:hAnsi="宋体"/>
          <w:kern w:val="44"/>
        </w:rPr>
        <w:t>（一）在长城主体上设置摊点、通讯设施；</w:t>
      </w:r>
    </w:p>
    <w:p w14:paraId="739D1236">
      <w:pPr>
        <w:jc w:val="left"/>
        <w:rPr>
          <w:rFonts w:ascii="宋体" w:hAnsi="宋体"/>
          <w:kern w:val="44"/>
        </w:rPr>
      </w:pPr>
      <w:r>
        <w:rPr>
          <w:rFonts w:hint="eastAsia" w:ascii="宋体" w:hAnsi="宋体"/>
          <w:kern w:val="44"/>
        </w:rPr>
        <w:t>（二）组织游览未批准为参观游览场所的长城；</w:t>
      </w:r>
    </w:p>
    <w:p w14:paraId="32E026C9">
      <w:pPr>
        <w:jc w:val="left"/>
        <w:rPr>
          <w:rFonts w:ascii="宋体" w:hAnsi="宋体"/>
          <w:kern w:val="44"/>
        </w:rPr>
      </w:pPr>
      <w:r>
        <w:rPr>
          <w:rFonts w:hint="eastAsia" w:ascii="宋体" w:hAnsi="宋体"/>
          <w:kern w:val="44"/>
        </w:rPr>
        <w:t>（三）攀登未批准为参观游览场所的长城；</w:t>
      </w:r>
    </w:p>
    <w:p w14:paraId="5230832C">
      <w:pPr>
        <w:jc w:val="left"/>
        <w:rPr>
          <w:rFonts w:ascii="宋体" w:hAnsi="宋体"/>
          <w:kern w:val="44"/>
        </w:rPr>
      </w:pPr>
      <w:r>
        <w:rPr>
          <w:rFonts w:hint="eastAsia" w:ascii="宋体" w:hAnsi="宋体"/>
          <w:kern w:val="44"/>
        </w:rPr>
        <w:t>（四）刻划、涂污、损坏长城；</w:t>
      </w:r>
    </w:p>
    <w:p w14:paraId="368E3EAE">
      <w:pPr>
        <w:jc w:val="left"/>
        <w:rPr>
          <w:rFonts w:ascii="宋体" w:hAnsi="宋体"/>
          <w:kern w:val="44"/>
        </w:rPr>
      </w:pPr>
      <w:r>
        <w:rPr>
          <w:rFonts w:hint="eastAsia" w:ascii="宋体" w:hAnsi="宋体"/>
          <w:kern w:val="44"/>
        </w:rPr>
        <w:t>（五）非法移动、拆除、污损、破坏长城保护标志；</w:t>
      </w:r>
    </w:p>
    <w:p w14:paraId="71B08857">
      <w:pPr>
        <w:jc w:val="left"/>
        <w:rPr>
          <w:rFonts w:ascii="宋体" w:hAnsi="宋体"/>
          <w:kern w:val="44"/>
        </w:rPr>
      </w:pPr>
      <w:r>
        <w:rPr>
          <w:rFonts w:hint="eastAsia" w:ascii="宋体" w:hAnsi="宋体"/>
          <w:kern w:val="44"/>
        </w:rPr>
        <w:t>（六）在长城上架梯、挖坑、竖杆、堆积垃圾；</w:t>
      </w:r>
    </w:p>
    <w:p w14:paraId="0A1C6380">
      <w:pPr>
        <w:jc w:val="left"/>
        <w:rPr>
          <w:rFonts w:ascii="宋体" w:hAnsi="宋体"/>
          <w:kern w:val="44"/>
        </w:rPr>
      </w:pPr>
      <w:r>
        <w:rPr>
          <w:rFonts w:hint="eastAsia" w:ascii="宋体" w:hAnsi="宋体"/>
          <w:kern w:val="44"/>
        </w:rPr>
        <w:t>（七）其他危及长城安全的行为。</w:t>
      </w:r>
    </w:p>
    <w:p w14:paraId="1DBADA75">
      <w:pPr>
        <w:jc w:val="left"/>
        <w:rPr>
          <w:rFonts w:ascii="宋体" w:hAnsi="宋体"/>
          <w:kern w:val="44"/>
        </w:rPr>
      </w:pPr>
      <w:r>
        <w:rPr>
          <w:rFonts w:hint="eastAsia" w:ascii="宋体" w:hAnsi="宋体"/>
          <w:kern w:val="44"/>
        </w:rPr>
        <w:t>任何单位或者个人不得擅自利用长城设卡收费或者从事其他营利性活动。</w:t>
      </w:r>
    </w:p>
    <w:p w14:paraId="1E567712">
      <w:pPr>
        <w:ind w:firstLine="422"/>
        <w:jc w:val="left"/>
        <w:rPr>
          <w:rFonts w:ascii="宋体" w:hAnsi="宋体"/>
          <w:kern w:val="44"/>
        </w:rPr>
      </w:pPr>
      <w:r>
        <w:rPr>
          <w:rFonts w:hint="eastAsia" w:ascii="宋体" w:hAnsi="宋体"/>
          <w:b/>
          <w:kern w:val="44"/>
        </w:rPr>
        <w:t>第十六条</w:t>
      </w:r>
      <w:r>
        <w:rPr>
          <w:rFonts w:hint="eastAsia" w:ascii="宋体" w:hAnsi="宋体"/>
          <w:kern w:val="44"/>
        </w:rPr>
        <w:t>　一切单位和个人都有权对破坏长城及其环境风貌的行为予以制止和举报。文物行政主管部门接到举报后，应当及时处理。</w:t>
      </w:r>
    </w:p>
    <w:p w14:paraId="22079112">
      <w:pPr>
        <w:jc w:val="left"/>
        <w:rPr>
          <w:rFonts w:ascii="宋体" w:hAnsi="宋体"/>
          <w:kern w:val="44"/>
        </w:rPr>
      </w:pPr>
      <w:r>
        <w:rPr>
          <w:rFonts w:hint="eastAsia" w:ascii="宋体" w:hAnsi="宋体"/>
          <w:kern w:val="44"/>
        </w:rPr>
        <w:t>市文物行政主管部门对不履行长城保护职责的区、县人民政府和乡、镇人民政府有权予以通报。</w:t>
      </w:r>
    </w:p>
    <w:p w14:paraId="101F9613">
      <w:pPr>
        <w:ind w:firstLine="422"/>
        <w:jc w:val="left"/>
        <w:rPr>
          <w:rFonts w:ascii="宋体" w:hAnsi="宋体"/>
          <w:kern w:val="44"/>
        </w:rPr>
      </w:pPr>
      <w:r>
        <w:rPr>
          <w:rFonts w:hint="eastAsia" w:ascii="宋体" w:hAnsi="宋体"/>
          <w:b/>
          <w:kern w:val="44"/>
        </w:rPr>
        <w:t>第十七条</w:t>
      </w:r>
      <w:r>
        <w:rPr>
          <w:rFonts w:hint="eastAsia" w:ascii="宋体" w:hAnsi="宋体"/>
          <w:kern w:val="44"/>
        </w:rPr>
        <w:t>　对违反本办法第十二条第二款规定，设置的文物、导游等标志标牌不符合要求的，由城市管理综合执法组织责令拆除或者更换，并可处200元以上1000元以下的罚款。</w:t>
      </w:r>
    </w:p>
    <w:p w14:paraId="32882C9B">
      <w:pPr>
        <w:ind w:firstLine="422"/>
        <w:jc w:val="left"/>
        <w:rPr>
          <w:rFonts w:ascii="宋体" w:hAnsi="宋体"/>
          <w:kern w:val="44"/>
        </w:rPr>
      </w:pPr>
      <w:r>
        <w:rPr>
          <w:rFonts w:hint="eastAsia" w:ascii="宋体" w:hAnsi="宋体"/>
          <w:b/>
          <w:kern w:val="44"/>
        </w:rPr>
        <w:t>第十八条</w:t>
      </w:r>
      <w:r>
        <w:rPr>
          <w:rFonts w:hint="eastAsia" w:ascii="宋体" w:hAnsi="宋体"/>
          <w:kern w:val="44"/>
        </w:rPr>
        <w:t>　对违反本办法第十三条第一款规定，非法占有长城建筑材料，或者利用长城建筑材料修建除长城以外的建筑物、构筑物的，由文物行政主管部门依法追回长城建筑材料；构成犯罪的，依法追究刑事责任。</w:t>
      </w:r>
    </w:p>
    <w:p w14:paraId="02D1D057">
      <w:pPr>
        <w:ind w:firstLine="422"/>
        <w:jc w:val="left"/>
        <w:rPr>
          <w:rFonts w:ascii="宋体" w:hAnsi="宋体"/>
          <w:kern w:val="44"/>
        </w:rPr>
      </w:pPr>
      <w:r>
        <w:rPr>
          <w:rFonts w:hint="eastAsia" w:ascii="宋体" w:hAnsi="宋体"/>
          <w:b/>
          <w:kern w:val="44"/>
        </w:rPr>
        <w:t>第十九条</w:t>
      </w:r>
      <w:r>
        <w:rPr>
          <w:rFonts w:hint="eastAsia" w:ascii="宋体" w:hAnsi="宋体"/>
          <w:kern w:val="44"/>
        </w:rPr>
        <w:t>　对违反本办法第十四条规定，利用长城拍摄电影、电视或者举办大型活动危及长城安全的，由文物行政主管部门责令停止活动；对已经造成长城损害的，依法处理。</w:t>
      </w:r>
    </w:p>
    <w:p w14:paraId="5B012003">
      <w:pPr>
        <w:ind w:firstLine="422"/>
        <w:jc w:val="left"/>
        <w:rPr>
          <w:rFonts w:ascii="宋体" w:hAnsi="宋体"/>
          <w:kern w:val="44"/>
        </w:rPr>
      </w:pPr>
      <w:r>
        <w:rPr>
          <w:rFonts w:hint="eastAsia" w:ascii="宋体" w:hAnsi="宋体"/>
          <w:b/>
          <w:kern w:val="44"/>
        </w:rPr>
        <w:t>第二十条</w:t>
      </w:r>
      <w:r>
        <w:rPr>
          <w:rFonts w:hint="eastAsia" w:ascii="宋体" w:hAnsi="宋体"/>
          <w:kern w:val="44"/>
        </w:rPr>
        <w:t>　对违反本办法第十五条第一款第（一）项、第（二）项规定，或者违反本办法第十五条第二款规定的，由文物行政主管部门责令改正，并可处1000元以上3万元以下的罚款。</w:t>
      </w:r>
    </w:p>
    <w:p w14:paraId="783DFCC8">
      <w:pPr>
        <w:jc w:val="left"/>
        <w:rPr>
          <w:rFonts w:ascii="宋体" w:hAnsi="宋体"/>
          <w:kern w:val="44"/>
        </w:rPr>
      </w:pPr>
      <w:r>
        <w:rPr>
          <w:rFonts w:hint="eastAsia" w:ascii="宋体" w:hAnsi="宋体"/>
          <w:kern w:val="44"/>
        </w:rPr>
        <w:t>对违反本办法第十五条第一款第（三）项、第（四）项、第（五）项、第（六）项、第（七）项规定的，由文物行政主管部门责令改正，并可处200元以上500元以下的罚款。</w:t>
      </w:r>
    </w:p>
    <w:p w14:paraId="5E78F880">
      <w:pPr>
        <w:ind w:firstLine="422"/>
        <w:jc w:val="left"/>
        <w:rPr>
          <w:rFonts w:ascii="宋体" w:hAnsi="宋体"/>
          <w:kern w:val="44"/>
        </w:rPr>
      </w:pPr>
      <w:r>
        <w:rPr>
          <w:rFonts w:hint="eastAsia" w:ascii="宋体" w:hAnsi="宋体"/>
          <w:b/>
          <w:kern w:val="44"/>
        </w:rPr>
        <w:t>第二十一条</w:t>
      </w:r>
      <w:r>
        <w:rPr>
          <w:rFonts w:hint="eastAsia" w:ascii="宋体" w:hAnsi="宋体"/>
          <w:kern w:val="44"/>
        </w:rPr>
        <w:t>　对违反本办法的行为，其他法律、法规、规章已经规定了行政处罚的，由有关部门依法处理。</w:t>
      </w:r>
    </w:p>
    <w:p w14:paraId="4961F9EE">
      <w:pPr>
        <w:ind w:firstLine="422"/>
        <w:jc w:val="left"/>
        <w:rPr>
          <w:rFonts w:ascii="宋体" w:hAnsi="宋体"/>
          <w:kern w:val="44"/>
        </w:rPr>
      </w:pPr>
      <w:r>
        <w:rPr>
          <w:rFonts w:hint="eastAsia" w:ascii="宋体" w:hAnsi="宋体"/>
          <w:b/>
          <w:kern w:val="44"/>
        </w:rPr>
        <w:t>第二十二条</w:t>
      </w:r>
      <w:r>
        <w:rPr>
          <w:rFonts w:hint="eastAsia" w:ascii="宋体" w:hAnsi="宋体"/>
          <w:kern w:val="44"/>
        </w:rPr>
        <w:t>　对依照本办法负有长城保护管理职责的区、县人民政府和乡、镇人民政府及其有关工作人员，未依法尽到保护管理长城的责任，发生危及长城安全、影响长城环境风貌后果的，或者违反本办法第十一条规定，将长城转让、抵押或者折股作为企业资产经营，或者擅自利用长城开辟参观游览场所的，由其上级主管部门或者所在单位依法追究直接负责的主管人员和其他直接责任人员的行政责任；构成犯罪的，依法追究刑事责任。</w:t>
      </w:r>
    </w:p>
    <w:p w14:paraId="7455DAC2">
      <w:pPr>
        <w:ind w:firstLine="422"/>
        <w:jc w:val="left"/>
        <w:rPr>
          <w:rFonts w:ascii="宋体" w:hAnsi="宋体"/>
          <w:kern w:val="44"/>
        </w:rPr>
      </w:pPr>
      <w:r>
        <w:rPr>
          <w:rFonts w:hint="eastAsia" w:ascii="宋体" w:hAnsi="宋体"/>
          <w:b/>
          <w:kern w:val="44"/>
        </w:rPr>
        <w:t>第二十三条</w:t>
      </w:r>
      <w:r>
        <w:rPr>
          <w:rFonts w:hint="eastAsia" w:ascii="宋体" w:hAnsi="宋体"/>
          <w:kern w:val="44"/>
        </w:rPr>
        <w:t>　本办法自2003年8月1日起施行。</w:t>
      </w:r>
    </w:p>
    <w:p w14:paraId="2F1CD8FE">
      <w:pPr>
        <w:pStyle w:val="4"/>
        <w:pageBreakBefore/>
        <w:rPr>
          <w:kern w:val="44"/>
        </w:rPr>
      </w:pPr>
      <w:bookmarkStart w:id="1703" w:name="_Toc427652031"/>
      <w:bookmarkStart w:id="1704" w:name="_Toc428780255"/>
      <w:bookmarkStart w:id="1705" w:name="_Toc427651689"/>
      <w:bookmarkStart w:id="1706" w:name="_Toc422471443"/>
      <w:bookmarkStart w:id="1707" w:name="_Toc428781737"/>
      <w:r>
        <w:rPr>
          <w:rFonts w:hint="eastAsia"/>
          <w:kern w:val="44"/>
        </w:rPr>
        <w:t>周口店遗址保护管理办法</w:t>
      </w:r>
      <w:bookmarkEnd w:id="1703"/>
      <w:bookmarkEnd w:id="1704"/>
      <w:bookmarkEnd w:id="1705"/>
      <w:bookmarkEnd w:id="1706"/>
      <w:bookmarkEnd w:id="1707"/>
    </w:p>
    <w:p w14:paraId="37EAFA81">
      <w:pPr>
        <w:ind w:left="630" w:leftChars="300" w:right="630" w:rightChars="300"/>
        <w:jc w:val="left"/>
        <w:rPr>
          <w:rFonts w:ascii="楷体" w:hAnsi="楷体" w:eastAsia="楷体"/>
          <w:kern w:val="44"/>
        </w:rPr>
      </w:pPr>
      <w:r>
        <w:rPr>
          <w:rFonts w:hint="eastAsia" w:ascii="楷体" w:hAnsi="楷体" w:eastAsia="楷体"/>
          <w:kern w:val="44"/>
        </w:rPr>
        <w:t>（2009年3月31日北京市人民政府第31次常务会议审议通过  2009年4月29日北京市人民政府第212号令公布）</w:t>
      </w:r>
    </w:p>
    <w:p w14:paraId="412620AD">
      <w:pPr>
        <w:jc w:val="left"/>
        <w:rPr>
          <w:rFonts w:ascii="宋体" w:hAnsi="宋体"/>
          <w:kern w:val="44"/>
        </w:rPr>
      </w:pPr>
    </w:p>
    <w:p w14:paraId="5A9CC663">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为了加强周口店遗址的保护和管理，根据有关文物保护的法律、法规，结合本市实际情况，制定本办法。</w:t>
      </w:r>
    </w:p>
    <w:p w14:paraId="278112DA">
      <w:pPr>
        <w:ind w:firstLine="422"/>
        <w:jc w:val="left"/>
        <w:rPr>
          <w:rFonts w:ascii="宋体" w:hAnsi="宋体"/>
          <w:kern w:val="44"/>
        </w:rPr>
      </w:pPr>
      <w:r>
        <w:rPr>
          <w:rFonts w:hint="eastAsia" w:ascii="宋体" w:hAnsi="宋体"/>
          <w:b/>
          <w:kern w:val="44"/>
        </w:rPr>
        <w:t>第二条</w:t>
      </w:r>
      <w:r>
        <w:rPr>
          <w:rFonts w:hint="eastAsia" w:ascii="宋体" w:hAnsi="宋体"/>
          <w:kern w:val="44"/>
        </w:rPr>
        <w:t>　本办法适用于周口店遗址（以下简称遗址）的保护范围和建设控制地带。</w:t>
      </w:r>
    </w:p>
    <w:p w14:paraId="02E412D4">
      <w:pPr>
        <w:jc w:val="left"/>
        <w:rPr>
          <w:rFonts w:ascii="宋体" w:hAnsi="宋体"/>
          <w:kern w:val="44"/>
        </w:rPr>
      </w:pPr>
      <w:r>
        <w:rPr>
          <w:rFonts w:hint="eastAsia" w:ascii="宋体" w:hAnsi="宋体"/>
          <w:kern w:val="44"/>
        </w:rPr>
        <w:t>保护范围和建设控制地带的界线按照市人民政府批准的《周口店遗址保护规划》（以下简称保护规划）的规定确定。保护范围和建设控制地带的界限标志，由房山区人民政府设立。任何单位和个人不得擅自移动、拆除、损毁界限标志。</w:t>
      </w:r>
    </w:p>
    <w:p w14:paraId="36B3602C">
      <w:pPr>
        <w:ind w:firstLine="422"/>
        <w:jc w:val="left"/>
        <w:rPr>
          <w:rFonts w:ascii="宋体" w:hAnsi="宋体"/>
          <w:kern w:val="44"/>
        </w:rPr>
      </w:pPr>
      <w:r>
        <w:rPr>
          <w:rFonts w:hint="eastAsia" w:ascii="宋体" w:hAnsi="宋体"/>
          <w:b/>
          <w:kern w:val="44"/>
        </w:rPr>
        <w:t>第三条</w:t>
      </w:r>
      <w:r>
        <w:rPr>
          <w:rFonts w:hint="eastAsia" w:ascii="宋体" w:hAnsi="宋体"/>
          <w:kern w:val="44"/>
        </w:rPr>
        <w:t>　市文物行政部门主管遗址的文物保护工作，监督实施本办法。房山区人民政府全面负责遗址的保护、建设、管理和科普教育等工作。房山区文物行政部门在市文物行政部门的指导和区政府的领导下，负责日常管理监督工作。</w:t>
      </w:r>
    </w:p>
    <w:p w14:paraId="72C534F6">
      <w:pPr>
        <w:jc w:val="left"/>
        <w:rPr>
          <w:rFonts w:ascii="宋体" w:hAnsi="宋体"/>
          <w:kern w:val="44"/>
        </w:rPr>
      </w:pPr>
      <w:r>
        <w:rPr>
          <w:rFonts w:hint="eastAsia" w:ascii="宋体" w:hAnsi="宋体"/>
          <w:kern w:val="44"/>
        </w:rPr>
        <w:t>市和房山区发展改革、规划、住房和城乡建设、国土资源、环境保护、工商、公安、旅游、园林绿化、水务等行政部门和周口店镇人民政府，应当按照各自职责做好遗址的保护管理工作。</w:t>
      </w:r>
    </w:p>
    <w:p w14:paraId="55F0D56C">
      <w:pPr>
        <w:jc w:val="left"/>
        <w:rPr>
          <w:rFonts w:ascii="宋体" w:hAnsi="宋体"/>
          <w:kern w:val="44"/>
        </w:rPr>
      </w:pPr>
      <w:r>
        <w:rPr>
          <w:rFonts w:hint="eastAsia" w:ascii="宋体" w:hAnsi="宋体"/>
          <w:kern w:val="44"/>
        </w:rPr>
        <w:t>保护范围和建设控制地带内村的村民委员会应当依法配合政府及其相关部门做好遗址保护管理工作，对村民开展宣传教育，并召集村民会议引导村民将本办法的相关内容依法纳入村民公约。</w:t>
      </w:r>
    </w:p>
    <w:p w14:paraId="2C023BC1">
      <w:pPr>
        <w:ind w:firstLine="422"/>
        <w:jc w:val="left"/>
        <w:rPr>
          <w:rFonts w:ascii="宋体" w:hAnsi="宋体"/>
          <w:kern w:val="44"/>
        </w:rPr>
      </w:pPr>
      <w:r>
        <w:rPr>
          <w:rFonts w:hint="eastAsia" w:ascii="宋体" w:hAnsi="宋体"/>
          <w:b/>
          <w:kern w:val="44"/>
        </w:rPr>
        <w:t>第四条</w:t>
      </w:r>
      <w:r>
        <w:rPr>
          <w:rFonts w:hint="eastAsia" w:ascii="宋体" w:hAnsi="宋体"/>
          <w:kern w:val="44"/>
        </w:rPr>
        <w:t>　遗址保护的日常管理经费列入房山区人民政府财政预算，涉及重大投入的项目所需经费，由市和房山区人民政府共同保障。</w:t>
      </w:r>
    </w:p>
    <w:p w14:paraId="4A2E161A">
      <w:pPr>
        <w:ind w:firstLine="422"/>
        <w:jc w:val="left"/>
        <w:rPr>
          <w:rFonts w:ascii="宋体" w:hAnsi="宋体"/>
          <w:kern w:val="44"/>
        </w:rPr>
      </w:pPr>
      <w:r>
        <w:rPr>
          <w:rFonts w:hint="eastAsia" w:ascii="宋体" w:hAnsi="宋体"/>
          <w:b/>
          <w:kern w:val="44"/>
        </w:rPr>
        <w:t>第五条</w:t>
      </w:r>
      <w:r>
        <w:rPr>
          <w:rFonts w:hint="eastAsia" w:ascii="宋体" w:hAnsi="宋体"/>
          <w:kern w:val="44"/>
        </w:rPr>
        <w:t>　保护规划确定的任务应当纳入市和房山区国民经济和社会发展规划。</w:t>
      </w:r>
    </w:p>
    <w:p w14:paraId="07E891F8">
      <w:pPr>
        <w:jc w:val="left"/>
        <w:rPr>
          <w:rFonts w:ascii="宋体" w:hAnsi="宋体"/>
          <w:kern w:val="44"/>
        </w:rPr>
      </w:pPr>
      <w:r>
        <w:rPr>
          <w:rFonts w:hint="eastAsia" w:ascii="宋体" w:hAnsi="宋体"/>
          <w:kern w:val="44"/>
        </w:rPr>
        <w:t>房山区人民政府应当根据保护规划制定具体的实施方案和计划，逐步落实。</w:t>
      </w:r>
    </w:p>
    <w:p w14:paraId="36AB8DC9">
      <w:pPr>
        <w:ind w:firstLine="422"/>
        <w:jc w:val="left"/>
        <w:rPr>
          <w:rFonts w:ascii="宋体" w:hAnsi="宋体"/>
          <w:kern w:val="44"/>
        </w:rPr>
      </w:pPr>
      <w:r>
        <w:rPr>
          <w:rFonts w:hint="eastAsia" w:ascii="宋体" w:hAnsi="宋体"/>
          <w:b/>
          <w:kern w:val="44"/>
        </w:rPr>
        <w:t>第六条</w:t>
      </w:r>
      <w:r>
        <w:rPr>
          <w:rFonts w:hint="eastAsia" w:ascii="宋体" w:hAnsi="宋体"/>
          <w:kern w:val="44"/>
        </w:rPr>
        <w:t>　房山区人民政府设立的周口店北京人遗址管理处（以下简称遗址管理处）是遗址的使用管理单位。遗址管理处履行下列保护管理职责：</w:t>
      </w:r>
    </w:p>
    <w:p w14:paraId="4A2ECFA1">
      <w:pPr>
        <w:jc w:val="left"/>
        <w:rPr>
          <w:rFonts w:ascii="宋体" w:hAnsi="宋体"/>
          <w:kern w:val="44"/>
        </w:rPr>
      </w:pPr>
      <w:r>
        <w:rPr>
          <w:rFonts w:hint="eastAsia" w:ascii="宋体" w:hAnsi="宋体"/>
          <w:kern w:val="44"/>
        </w:rPr>
        <w:t>（一）保护遗址安全和环境风貌完好，做好防火、防盗、防汛、防风化、防御雷电灾害等工作；</w:t>
      </w:r>
    </w:p>
    <w:p w14:paraId="29286375">
      <w:pPr>
        <w:jc w:val="left"/>
        <w:rPr>
          <w:rFonts w:ascii="宋体" w:hAnsi="宋体"/>
          <w:kern w:val="44"/>
        </w:rPr>
      </w:pPr>
      <w:r>
        <w:rPr>
          <w:rFonts w:hint="eastAsia" w:ascii="宋体" w:hAnsi="宋体"/>
          <w:kern w:val="44"/>
        </w:rPr>
        <w:t>（二）对化石地点本体进行日常监测、维护，建立保护记录档案；</w:t>
      </w:r>
    </w:p>
    <w:p w14:paraId="75DEBB05">
      <w:pPr>
        <w:jc w:val="left"/>
        <w:rPr>
          <w:rFonts w:ascii="宋体" w:hAnsi="宋体"/>
          <w:kern w:val="44"/>
        </w:rPr>
      </w:pPr>
      <w:r>
        <w:rPr>
          <w:rFonts w:hint="eastAsia" w:ascii="宋体" w:hAnsi="宋体"/>
          <w:kern w:val="44"/>
        </w:rPr>
        <w:t>（三）展示遗址和藏品，开展科普教育；</w:t>
      </w:r>
    </w:p>
    <w:p w14:paraId="5195DEFC">
      <w:pPr>
        <w:jc w:val="left"/>
        <w:rPr>
          <w:rFonts w:ascii="宋体" w:hAnsi="宋体"/>
          <w:kern w:val="44"/>
        </w:rPr>
      </w:pPr>
      <w:r>
        <w:rPr>
          <w:rFonts w:hint="eastAsia" w:ascii="宋体" w:hAnsi="宋体"/>
          <w:kern w:val="44"/>
        </w:rPr>
        <w:t>（四）对遗址进行巡视检查，发现破坏遗址及其环境风貌的行为应当予以制止，并报有关部门进行处理；</w:t>
      </w:r>
    </w:p>
    <w:p w14:paraId="594A6A60">
      <w:pPr>
        <w:jc w:val="left"/>
        <w:rPr>
          <w:rFonts w:ascii="宋体" w:hAnsi="宋体"/>
          <w:kern w:val="44"/>
        </w:rPr>
      </w:pPr>
      <w:r>
        <w:rPr>
          <w:rFonts w:hint="eastAsia" w:ascii="宋体" w:hAnsi="宋体"/>
          <w:kern w:val="44"/>
        </w:rPr>
        <w:t>（五）采取在化石地点设立保护标志、说明牌和防护设施等保护措施，防止古人类与古脊椎动物化石及其他文化遗存损毁和丢失。</w:t>
      </w:r>
    </w:p>
    <w:p w14:paraId="14FC310D">
      <w:pPr>
        <w:ind w:firstLine="422"/>
        <w:jc w:val="left"/>
        <w:rPr>
          <w:rFonts w:ascii="宋体" w:hAnsi="宋体"/>
          <w:kern w:val="44"/>
        </w:rPr>
      </w:pPr>
      <w:r>
        <w:rPr>
          <w:rFonts w:hint="eastAsia" w:ascii="宋体" w:hAnsi="宋体"/>
          <w:b/>
          <w:kern w:val="44"/>
        </w:rPr>
        <w:t>第七条</w:t>
      </w:r>
      <w:r>
        <w:rPr>
          <w:rFonts w:hint="eastAsia" w:ascii="宋体" w:hAnsi="宋体"/>
          <w:kern w:val="44"/>
        </w:rPr>
        <w:t>　遗址保护管理应当遵循原址保护、科学规划、依法管理、合理利用的原则。</w:t>
      </w:r>
    </w:p>
    <w:p w14:paraId="3DC3CD64">
      <w:pPr>
        <w:ind w:firstLine="422"/>
        <w:jc w:val="left"/>
        <w:rPr>
          <w:rFonts w:ascii="宋体" w:hAnsi="宋体"/>
          <w:kern w:val="44"/>
        </w:rPr>
      </w:pPr>
      <w:r>
        <w:rPr>
          <w:rFonts w:hint="eastAsia" w:ascii="宋体" w:hAnsi="宋体"/>
          <w:b/>
          <w:kern w:val="44"/>
        </w:rPr>
        <w:t>第八条</w:t>
      </w:r>
      <w:r>
        <w:rPr>
          <w:rFonts w:hint="eastAsia" w:ascii="宋体" w:hAnsi="宋体"/>
          <w:kern w:val="44"/>
        </w:rPr>
        <w:t>　遗址出土和埋藏的古人类化石、古人类活动遗存、地质沉积、古动物化石和古环境信息载体等依法属于国家所有，受法律保护。</w:t>
      </w:r>
    </w:p>
    <w:p w14:paraId="24031DE1">
      <w:pPr>
        <w:jc w:val="left"/>
        <w:rPr>
          <w:rFonts w:ascii="宋体" w:hAnsi="宋体"/>
          <w:kern w:val="44"/>
        </w:rPr>
      </w:pPr>
      <w:r>
        <w:rPr>
          <w:rFonts w:hint="eastAsia" w:ascii="宋体" w:hAnsi="宋体"/>
          <w:kern w:val="44"/>
        </w:rPr>
        <w:t>与遗址发现、发掘和保护有关的，具有保护价值的建筑物、构筑物和其他设施应当保留，并按照规定核定为不可移动文物或者历史建筑，予以保护。</w:t>
      </w:r>
    </w:p>
    <w:p w14:paraId="30D6E0F7">
      <w:pPr>
        <w:ind w:firstLine="422"/>
        <w:jc w:val="left"/>
        <w:rPr>
          <w:rFonts w:ascii="宋体" w:hAnsi="宋体"/>
          <w:kern w:val="44"/>
        </w:rPr>
      </w:pPr>
      <w:r>
        <w:rPr>
          <w:rFonts w:hint="eastAsia" w:ascii="宋体" w:hAnsi="宋体"/>
          <w:b/>
          <w:kern w:val="44"/>
        </w:rPr>
        <w:t>第九条</w:t>
      </w:r>
      <w:r>
        <w:rPr>
          <w:rFonts w:hint="eastAsia" w:ascii="宋体" w:hAnsi="宋体"/>
          <w:kern w:val="44"/>
        </w:rPr>
        <w:t>　遗址保护范围根据遗址地点的文物价值、性质、保存现状等，划分为重点保护区和一般保护区。</w:t>
      </w:r>
    </w:p>
    <w:p w14:paraId="51E760DD">
      <w:pPr>
        <w:ind w:firstLine="422"/>
        <w:jc w:val="left"/>
        <w:rPr>
          <w:rFonts w:ascii="宋体" w:hAnsi="宋体"/>
          <w:kern w:val="44"/>
        </w:rPr>
      </w:pPr>
      <w:r>
        <w:rPr>
          <w:rFonts w:hint="eastAsia" w:ascii="宋体" w:hAnsi="宋体"/>
          <w:b/>
          <w:kern w:val="44"/>
        </w:rPr>
        <w:t>第十条</w:t>
      </w:r>
      <w:r>
        <w:rPr>
          <w:rFonts w:hint="eastAsia" w:ascii="宋体" w:hAnsi="宋体"/>
          <w:kern w:val="44"/>
        </w:rPr>
        <w:t>　在一般保护区内不得进行与考古发掘无关的建设工程或者爆破、钻探、挖掘等作业。因特殊需要确需进行必要的建设工程或者爆破、钻探、挖掘等作业，应当经依法审批，并符合保护规划的规定，保证遗址安全。</w:t>
      </w:r>
    </w:p>
    <w:p w14:paraId="640A0FF0">
      <w:pPr>
        <w:ind w:firstLine="422"/>
        <w:jc w:val="left"/>
        <w:rPr>
          <w:rFonts w:ascii="宋体" w:hAnsi="宋体"/>
          <w:kern w:val="44"/>
        </w:rPr>
      </w:pPr>
      <w:r>
        <w:rPr>
          <w:rFonts w:hint="eastAsia" w:ascii="宋体" w:hAnsi="宋体"/>
          <w:b/>
          <w:kern w:val="44"/>
        </w:rPr>
        <w:t>第十一条</w:t>
      </w:r>
      <w:r>
        <w:rPr>
          <w:rFonts w:hint="eastAsia" w:ascii="宋体" w:hAnsi="宋体"/>
          <w:kern w:val="44"/>
        </w:rPr>
        <w:t>　一般保护区内禁止下列危及、损害遗址的行为：</w:t>
      </w:r>
    </w:p>
    <w:p w14:paraId="1E7BCE73">
      <w:pPr>
        <w:jc w:val="left"/>
        <w:rPr>
          <w:rFonts w:ascii="宋体" w:hAnsi="宋体"/>
          <w:kern w:val="44"/>
        </w:rPr>
      </w:pPr>
      <w:r>
        <w:rPr>
          <w:rFonts w:hint="eastAsia" w:ascii="宋体" w:hAnsi="宋体"/>
          <w:kern w:val="44"/>
        </w:rPr>
        <w:t>（一）移动、拆除、污损、破坏保护标志；</w:t>
      </w:r>
    </w:p>
    <w:p w14:paraId="513F3A1A">
      <w:pPr>
        <w:jc w:val="left"/>
        <w:rPr>
          <w:rFonts w:ascii="宋体" w:hAnsi="宋体"/>
          <w:kern w:val="44"/>
        </w:rPr>
      </w:pPr>
      <w:r>
        <w:rPr>
          <w:rFonts w:hint="eastAsia" w:ascii="宋体" w:hAnsi="宋体"/>
          <w:kern w:val="44"/>
        </w:rPr>
        <w:t>（二）非法发掘和买卖古人类化石、古人类活动遗存、地质沉积、古动物化石和古环境信息载体；</w:t>
      </w:r>
    </w:p>
    <w:p w14:paraId="04C2A0F8">
      <w:pPr>
        <w:jc w:val="left"/>
        <w:rPr>
          <w:rFonts w:ascii="宋体" w:hAnsi="宋体"/>
          <w:kern w:val="44"/>
        </w:rPr>
      </w:pPr>
      <w:r>
        <w:rPr>
          <w:rFonts w:hint="eastAsia" w:ascii="宋体" w:hAnsi="宋体"/>
          <w:kern w:val="44"/>
        </w:rPr>
        <w:t>（三）攀爬、毁损遗址化石地点本体；</w:t>
      </w:r>
    </w:p>
    <w:p w14:paraId="719D5D9C">
      <w:pPr>
        <w:jc w:val="left"/>
        <w:rPr>
          <w:rFonts w:ascii="宋体" w:hAnsi="宋体"/>
          <w:kern w:val="44"/>
        </w:rPr>
      </w:pPr>
      <w:r>
        <w:rPr>
          <w:rFonts w:hint="eastAsia" w:ascii="宋体" w:hAnsi="宋体"/>
          <w:kern w:val="44"/>
        </w:rPr>
        <w:t>（四）挖树根，破坏和非法采集植物、岩土堆积物；</w:t>
      </w:r>
    </w:p>
    <w:p w14:paraId="4BC3BA09">
      <w:pPr>
        <w:jc w:val="left"/>
        <w:rPr>
          <w:rFonts w:ascii="宋体" w:hAnsi="宋体"/>
          <w:kern w:val="44"/>
        </w:rPr>
      </w:pPr>
      <w:r>
        <w:rPr>
          <w:rFonts w:hint="eastAsia" w:ascii="宋体" w:hAnsi="宋体"/>
          <w:kern w:val="44"/>
        </w:rPr>
        <w:t>（五）吸烟、野炊、上坟烧纸、燃放烟花爆竹，焚烧树叶、荒草、垃圾等；</w:t>
      </w:r>
    </w:p>
    <w:p w14:paraId="42F5C149">
      <w:pPr>
        <w:jc w:val="left"/>
        <w:rPr>
          <w:rFonts w:ascii="宋体" w:hAnsi="宋体"/>
          <w:kern w:val="44"/>
        </w:rPr>
      </w:pPr>
      <w:r>
        <w:rPr>
          <w:rFonts w:hint="eastAsia" w:ascii="宋体" w:hAnsi="宋体"/>
          <w:kern w:val="44"/>
        </w:rPr>
        <w:t>（六）采矿、开窑、挖山、盗伐林木、取土、毁林、猎捕野生动物等破坏地形地貌和生态环境的活动；</w:t>
      </w:r>
    </w:p>
    <w:p w14:paraId="55D2B1C5">
      <w:pPr>
        <w:jc w:val="left"/>
        <w:rPr>
          <w:rFonts w:ascii="宋体" w:hAnsi="宋体"/>
          <w:kern w:val="44"/>
        </w:rPr>
      </w:pPr>
      <w:r>
        <w:rPr>
          <w:rFonts w:hint="eastAsia" w:ascii="宋体" w:hAnsi="宋体"/>
          <w:kern w:val="44"/>
        </w:rPr>
        <w:t>（七）违反户外广告设置规划和保护规划的规定设置户外广告；</w:t>
      </w:r>
    </w:p>
    <w:p w14:paraId="5872899C">
      <w:pPr>
        <w:jc w:val="left"/>
        <w:rPr>
          <w:rFonts w:ascii="宋体" w:hAnsi="宋体"/>
          <w:kern w:val="44"/>
        </w:rPr>
      </w:pPr>
      <w:r>
        <w:rPr>
          <w:rFonts w:hint="eastAsia" w:ascii="宋体" w:hAnsi="宋体"/>
          <w:kern w:val="44"/>
        </w:rPr>
        <w:t>（八）在遗址管理处指定的区域外从事商业、服务业经营活动；</w:t>
      </w:r>
    </w:p>
    <w:p w14:paraId="3B791A32">
      <w:pPr>
        <w:jc w:val="left"/>
        <w:rPr>
          <w:rFonts w:ascii="宋体" w:hAnsi="宋体"/>
          <w:kern w:val="44"/>
        </w:rPr>
      </w:pPr>
      <w:r>
        <w:rPr>
          <w:rFonts w:hint="eastAsia" w:ascii="宋体" w:hAnsi="宋体"/>
          <w:kern w:val="44"/>
        </w:rPr>
        <w:t>（九）其他危及、损害遗址的行为。</w:t>
      </w:r>
    </w:p>
    <w:p w14:paraId="3A66B34D">
      <w:pPr>
        <w:ind w:firstLine="422"/>
        <w:jc w:val="left"/>
        <w:rPr>
          <w:rFonts w:ascii="宋体" w:hAnsi="宋体"/>
          <w:kern w:val="44"/>
        </w:rPr>
      </w:pPr>
      <w:r>
        <w:rPr>
          <w:rFonts w:hint="eastAsia" w:ascii="宋体" w:hAnsi="宋体"/>
          <w:b/>
          <w:kern w:val="44"/>
        </w:rPr>
        <w:t>第十二条</w:t>
      </w:r>
      <w:r>
        <w:rPr>
          <w:rFonts w:hint="eastAsia" w:ascii="宋体" w:hAnsi="宋体"/>
          <w:kern w:val="44"/>
        </w:rPr>
        <w:t>　重点保护区内的保护管理工作除应当遵守本办法第十条、第十一条关于一般保护区的规定外，还应当遵守下列规定：</w:t>
      </w:r>
    </w:p>
    <w:p w14:paraId="428806D7">
      <w:pPr>
        <w:jc w:val="left"/>
        <w:rPr>
          <w:rFonts w:ascii="宋体" w:hAnsi="宋体"/>
          <w:kern w:val="44"/>
        </w:rPr>
      </w:pPr>
      <w:r>
        <w:rPr>
          <w:rFonts w:hint="eastAsia" w:ascii="宋体" w:hAnsi="宋体"/>
          <w:kern w:val="44"/>
        </w:rPr>
        <w:t>（一）在各遗址地点设立保护标志、内容说明牌；</w:t>
      </w:r>
    </w:p>
    <w:p w14:paraId="393D83C9">
      <w:pPr>
        <w:jc w:val="left"/>
        <w:rPr>
          <w:rFonts w:ascii="宋体" w:hAnsi="宋体"/>
          <w:kern w:val="44"/>
        </w:rPr>
      </w:pPr>
      <w:r>
        <w:rPr>
          <w:rFonts w:hint="eastAsia" w:ascii="宋体" w:hAnsi="宋体"/>
          <w:kern w:val="44"/>
        </w:rPr>
        <w:t>（二）种植绿化植物的地点和类别符合保护规划的规定，禁止在遗址地点和堆积处种植树木；</w:t>
      </w:r>
    </w:p>
    <w:p w14:paraId="6BE2C34C">
      <w:pPr>
        <w:jc w:val="left"/>
        <w:rPr>
          <w:rFonts w:ascii="宋体" w:hAnsi="宋体"/>
          <w:kern w:val="44"/>
        </w:rPr>
      </w:pPr>
      <w:r>
        <w:rPr>
          <w:rFonts w:hint="eastAsia" w:ascii="宋体" w:hAnsi="宋体"/>
          <w:kern w:val="44"/>
        </w:rPr>
        <w:t>（三）实施遗址抢救和维护工程应当制定详细的实施计划，经过科学论证，并严格遵守法定程序；</w:t>
      </w:r>
    </w:p>
    <w:p w14:paraId="2F5C5CE0">
      <w:pPr>
        <w:jc w:val="left"/>
        <w:rPr>
          <w:rFonts w:ascii="宋体" w:hAnsi="宋体"/>
          <w:kern w:val="44"/>
        </w:rPr>
      </w:pPr>
      <w:r>
        <w:rPr>
          <w:rFonts w:hint="eastAsia" w:ascii="宋体" w:hAnsi="宋体"/>
          <w:kern w:val="44"/>
        </w:rPr>
        <w:t>（四）严格控制考古发掘活动，必须进行的考古发掘，应当经市文物行政部门报国家文物行政部门批准；</w:t>
      </w:r>
    </w:p>
    <w:p w14:paraId="29977B28">
      <w:pPr>
        <w:jc w:val="left"/>
        <w:rPr>
          <w:rFonts w:ascii="宋体" w:hAnsi="宋体"/>
          <w:kern w:val="44"/>
        </w:rPr>
      </w:pPr>
      <w:r>
        <w:rPr>
          <w:rFonts w:hint="eastAsia" w:ascii="宋体" w:hAnsi="宋体"/>
          <w:kern w:val="44"/>
        </w:rPr>
        <w:t>（五）禁止从事有损遗址保护、地形地貌和环境氛围的活动。</w:t>
      </w:r>
    </w:p>
    <w:p w14:paraId="41C931BE">
      <w:pPr>
        <w:ind w:firstLine="422"/>
        <w:jc w:val="left"/>
        <w:rPr>
          <w:rFonts w:ascii="宋体" w:hAnsi="宋体"/>
          <w:kern w:val="44"/>
        </w:rPr>
      </w:pPr>
      <w:r>
        <w:rPr>
          <w:rFonts w:hint="eastAsia" w:ascii="宋体" w:hAnsi="宋体"/>
          <w:b/>
          <w:kern w:val="44"/>
        </w:rPr>
        <w:t>第十三条</w:t>
      </w:r>
      <w:r>
        <w:rPr>
          <w:rFonts w:hint="eastAsia" w:ascii="宋体" w:hAnsi="宋体"/>
          <w:kern w:val="44"/>
        </w:rPr>
        <w:t>　对遗址地点本体和附着地应当定期进行地质病害调查和分析，按照保护规划的规定实施基础性保护措施、工程性保护措施、植物性保护措施、科技性保护措施和考古发掘控制措施，实施程序和要求应当符合国家和本市的有关规定。</w:t>
      </w:r>
    </w:p>
    <w:p w14:paraId="2E2862A6">
      <w:pPr>
        <w:ind w:firstLine="422"/>
        <w:jc w:val="left"/>
        <w:rPr>
          <w:rFonts w:ascii="宋体" w:hAnsi="宋体"/>
          <w:kern w:val="44"/>
        </w:rPr>
      </w:pPr>
      <w:r>
        <w:rPr>
          <w:rFonts w:hint="eastAsia" w:ascii="宋体" w:hAnsi="宋体"/>
          <w:b/>
          <w:kern w:val="44"/>
        </w:rPr>
        <w:t>第十四条</w:t>
      </w:r>
      <w:r>
        <w:rPr>
          <w:rFonts w:hint="eastAsia" w:ascii="宋体" w:hAnsi="宋体"/>
          <w:kern w:val="44"/>
        </w:rPr>
        <w:t>　建设控制地带内的原有建设用地应当加强生态景观建设和建筑设施的安全防护，不得设置对环境有污染的设施；对有安全隐患的设施应当加强监管，避免危及遗址安全。</w:t>
      </w:r>
    </w:p>
    <w:p w14:paraId="2BF02E30">
      <w:pPr>
        <w:ind w:firstLine="422"/>
        <w:jc w:val="left"/>
        <w:rPr>
          <w:rFonts w:ascii="宋体" w:hAnsi="宋体"/>
          <w:kern w:val="44"/>
        </w:rPr>
      </w:pPr>
      <w:r>
        <w:rPr>
          <w:rFonts w:hint="eastAsia" w:ascii="宋体" w:hAnsi="宋体"/>
          <w:b/>
          <w:kern w:val="44"/>
        </w:rPr>
        <w:t>第十五条</w:t>
      </w:r>
      <w:r>
        <w:rPr>
          <w:rFonts w:hint="eastAsia" w:ascii="宋体" w:hAnsi="宋体"/>
          <w:kern w:val="44"/>
        </w:rPr>
        <w:t>　在建设控制地带内进行建设工程，设计方案应当经依法批准，建设工程的体量、色彩、高度应当符合保护规划的规定，不得破坏遗址风貌。</w:t>
      </w:r>
    </w:p>
    <w:p w14:paraId="173BE05F">
      <w:pPr>
        <w:jc w:val="left"/>
        <w:rPr>
          <w:rFonts w:ascii="宋体" w:hAnsi="宋体"/>
          <w:kern w:val="44"/>
        </w:rPr>
      </w:pPr>
      <w:r>
        <w:rPr>
          <w:rFonts w:hint="eastAsia" w:ascii="宋体" w:hAnsi="宋体"/>
          <w:kern w:val="44"/>
        </w:rPr>
        <w:t>在进行工程建设过程中，任何单位和个人发现化石或者其他文化遗存的，应当保护现场，立即报告文物、国土资源等行政部门。文物、国土资源等行政部门应当依法及时处理。</w:t>
      </w:r>
    </w:p>
    <w:p w14:paraId="5CC40747">
      <w:pPr>
        <w:ind w:firstLine="422"/>
        <w:jc w:val="left"/>
        <w:rPr>
          <w:rFonts w:ascii="宋体" w:hAnsi="宋体"/>
          <w:kern w:val="44"/>
        </w:rPr>
      </w:pPr>
      <w:r>
        <w:rPr>
          <w:rFonts w:hint="eastAsia" w:ascii="宋体" w:hAnsi="宋体"/>
          <w:b/>
          <w:kern w:val="44"/>
        </w:rPr>
        <w:t>第十六条</w:t>
      </w:r>
      <w:r>
        <w:rPr>
          <w:rFonts w:hint="eastAsia" w:ascii="宋体" w:hAnsi="宋体"/>
          <w:kern w:val="44"/>
        </w:rPr>
        <w:t>　在保护范围和建设控制地带内禁止开展对遗址及其环境产生污染的生产经营活动，不得新建产生污染的工矿企业。</w:t>
      </w:r>
    </w:p>
    <w:p w14:paraId="76F2AF7D">
      <w:pPr>
        <w:ind w:firstLine="422"/>
        <w:jc w:val="left"/>
        <w:rPr>
          <w:rFonts w:ascii="宋体" w:hAnsi="宋体"/>
          <w:kern w:val="44"/>
        </w:rPr>
      </w:pPr>
      <w:r>
        <w:rPr>
          <w:rFonts w:hint="eastAsia" w:ascii="宋体" w:hAnsi="宋体"/>
          <w:b/>
          <w:kern w:val="44"/>
        </w:rPr>
        <w:t>第十七条</w:t>
      </w:r>
      <w:r>
        <w:rPr>
          <w:rFonts w:hint="eastAsia" w:ascii="宋体" w:hAnsi="宋体"/>
          <w:kern w:val="44"/>
        </w:rPr>
        <w:t>　在保护范围和建设控制地带内进行绿化活动，应当按照不破坏遗址本体、保护地形地貌、改善生态环境的原则进行，并符合保护规划的规定。</w:t>
      </w:r>
    </w:p>
    <w:p w14:paraId="207DEAC4">
      <w:pPr>
        <w:ind w:firstLine="422"/>
        <w:jc w:val="left"/>
        <w:rPr>
          <w:rFonts w:ascii="宋体" w:hAnsi="宋体"/>
          <w:kern w:val="44"/>
        </w:rPr>
      </w:pPr>
      <w:r>
        <w:rPr>
          <w:rFonts w:hint="eastAsia" w:ascii="宋体" w:hAnsi="宋体"/>
          <w:b/>
          <w:kern w:val="44"/>
        </w:rPr>
        <w:t>第十八条</w:t>
      </w:r>
      <w:r>
        <w:rPr>
          <w:rFonts w:hint="eastAsia" w:ascii="宋体" w:hAnsi="宋体"/>
          <w:kern w:val="44"/>
        </w:rPr>
        <w:t>　对周口店河进行整治和保护，应当遵循维护河道自然形态和河势稳定的原则，保持水体清洁，并达到保护规划规定的水质标准。</w:t>
      </w:r>
    </w:p>
    <w:p w14:paraId="6F50F7F0">
      <w:pPr>
        <w:jc w:val="left"/>
        <w:rPr>
          <w:rFonts w:ascii="宋体" w:hAnsi="宋体"/>
          <w:kern w:val="44"/>
        </w:rPr>
      </w:pPr>
      <w:r>
        <w:rPr>
          <w:rFonts w:hint="eastAsia" w:ascii="宋体" w:hAnsi="宋体"/>
          <w:kern w:val="44"/>
        </w:rPr>
        <w:t>禁止向河道内直接或者间接排放超过国家和本市水污染物排放标准和水污染总量控制指标的工业和生活污水。</w:t>
      </w:r>
    </w:p>
    <w:p w14:paraId="046A523D">
      <w:pPr>
        <w:ind w:firstLine="422"/>
        <w:jc w:val="left"/>
        <w:rPr>
          <w:rFonts w:ascii="宋体" w:hAnsi="宋体"/>
          <w:kern w:val="44"/>
        </w:rPr>
      </w:pPr>
      <w:r>
        <w:rPr>
          <w:rFonts w:hint="eastAsia" w:ascii="宋体" w:hAnsi="宋体"/>
          <w:b/>
          <w:kern w:val="44"/>
        </w:rPr>
        <w:t>第十九条</w:t>
      </w:r>
      <w:r>
        <w:rPr>
          <w:rFonts w:hint="eastAsia" w:ascii="宋体" w:hAnsi="宋体"/>
          <w:kern w:val="44"/>
        </w:rPr>
        <w:t>　任何单位和个人对危及、损害遗址的行为都有权制止和举报。</w:t>
      </w:r>
    </w:p>
    <w:p w14:paraId="4E81B38A">
      <w:pPr>
        <w:jc w:val="left"/>
        <w:rPr>
          <w:rFonts w:ascii="宋体" w:hAnsi="宋体"/>
          <w:kern w:val="44"/>
        </w:rPr>
      </w:pPr>
      <w:r>
        <w:rPr>
          <w:rFonts w:hint="eastAsia" w:ascii="宋体" w:hAnsi="宋体"/>
          <w:kern w:val="44"/>
        </w:rPr>
        <w:t>单位和个人制止、举报破坏遗址化石地点本体及其环境的行为或者对遗址保护做出突出贡献的，由人民政府或者文物行政部门给予表彰、奖励。</w:t>
      </w:r>
    </w:p>
    <w:p w14:paraId="6218E08E">
      <w:pPr>
        <w:ind w:firstLine="422"/>
        <w:jc w:val="left"/>
        <w:rPr>
          <w:rFonts w:ascii="宋体" w:hAnsi="宋体"/>
          <w:kern w:val="44"/>
        </w:rPr>
      </w:pPr>
      <w:r>
        <w:rPr>
          <w:rFonts w:hint="eastAsia" w:ascii="宋体" w:hAnsi="宋体"/>
          <w:b/>
          <w:kern w:val="44"/>
        </w:rPr>
        <w:t>第二十条</w:t>
      </w:r>
      <w:r>
        <w:rPr>
          <w:rFonts w:hint="eastAsia" w:ascii="宋体" w:hAnsi="宋体"/>
          <w:kern w:val="44"/>
        </w:rPr>
        <w:t>　对违反本办法的行为，按照下列规定处理：</w:t>
      </w:r>
    </w:p>
    <w:p w14:paraId="568CB452">
      <w:pPr>
        <w:jc w:val="left"/>
        <w:rPr>
          <w:rFonts w:ascii="宋体" w:hAnsi="宋体"/>
          <w:kern w:val="44"/>
        </w:rPr>
      </w:pPr>
      <w:r>
        <w:rPr>
          <w:rFonts w:hint="eastAsia" w:ascii="宋体" w:hAnsi="宋体"/>
          <w:kern w:val="44"/>
        </w:rPr>
        <w:t>（一）违反第二条第二款、第十一条第（一）项、第十二条规定，非法移动、拆除、污损、破坏保护标志、界限标志的，由公安机关或者遗址管理处给予警告，可并处200元以下罚款。</w:t>
      </w:r>
    </w:p>
    <w:p w14:paraId="4E232636">
      <w:pPr>
        <w:jc w:val="left"/>
        <w:rPr>
          <w:rFonts w:ascii="宋体" w:hAnsi="宋体"/>
          <w:kern w:val="44"/>
        </w:rPr>
      </w:pPr>
      <w:r>
        <w:rPr>
          <w:rFonts w:hint="eastAsia" w:ascii="宋体" w:hAnsi="宋体"/>
          <w:kern w:val="44"/>
        </w:rPr>
        <w:t>（二）违反第十一条第（三）项、第（四）项，第十二条规定，在保护范围内攀爬、毁损遗址化石地点本体，挖树根，破坏和非法采集植物、岩土堆积物的，由遗址管理处予以制止；情节严重的，由文物行政部门处1000元以下罚款。</w:t>
      </w:r>
    </w:p>
    <w:p w14:paraId="4E327CFD">
      <w:pPr>
        <w:jc w:val="left"/>
        <w:rPr>
          <w:rFonts w:ascii="宋体" w:hAnsi="宋体"/>
          <w:kern w:val="44"/>
        </w:rPr>
      </w:pPr>
      <w:r>
        <w:rPr>
          <w:rFonts w:hint="eastAsia" w:ascii="宋体" w:hAnsi="宋体"/>
          <w:kern w:val="44"/>
        </w:rPr>
        <w:t>（三）违反第十一条第（五）项、第十二条规定，在保护范围内吸烟、野炊、上坟烧纸、焚烧树叶、荒草、垃圾等的，由文物行政部门责令改正，可并处500元以下罚款；燃放烟花爆竹的，由公安机关责令停止燃放，处100元以上500元以下的罚款。</w:t>
      </w:r>
    </w:p>
    <w:p w14:paraId="31ABC839">
      <w:pPr>
        <w:ind w:firstLine="422"/>
        <w:jc w:val="left"/>
        <w:rPr>
          <w:rFonts w:ascii="宋体" w:hAnsi="宋体"/>
          <w:kern w:val="44"/>
        </w:rPr>
      </w:pPr>
      <w:r>
        <w:rPr>
          <w:rFonts w:hint="eastAsia" w:ascii="宋体" w:hAnsi="宋体"/>
          <w:b/>
          <w:kern w:val="44"/>
        </w:rPr>
        <w:t>第二十一条</w:t>
      </w:r>
      <w:r>
        <w:rPr>
          <w:rFonts w:hint="eastAsia" w:ascii="宋体" w:hAnsi="宋体"/>
          <w:kern w:val="44"/>
        </w:rPr>
        <w:t>　对危及、损害遗址及其环境的行为，有关法律、法规、规章已规定法律责任的，由有关部门依照相关规定处理。</w:t>
      </w:r>
    </w:p>
    <w:p w14:paraId="5CAB5161">
      <w:pPr>
        <w:ind w:firstLine="422"/>
        <w:jc w:val="left"/>
        <w:rPr>
          <w:rFonts w:ascii="宋体" w:hAnsi="宋体"/>
          <w:kern w:val="44"/>
        </w:rPr>
      </w:pPr>
      <w:r>
        <w:rPr>
          <w:rFonts w:hint="eastAsia" w:ascii="宋体" w:hAnsi="宋体"/>
          <w:b/>
          <w:kern w:val="44"/>
        </w:rPr>
        <w:t>第二十二条</w:t>
      </w:r>
      <w:r>
        <w:rPr>
          <w:rFonts w:hint="eastAsia" w:ascii="宋体" w:hAnsi="宋体"/>
          <w:kern w:val="44"/>
        </w:rPr>
        <w:t>　文物行政部门和其他行政部门、周口店镇人民政府、遗址管理处及其工作人员应当恪尽职守，严格执法，做好遗址的保护管理工作。因玩忽职守、滥用职权，造成遗址损毁、破坏的，由有关部门依法追究主管人员和其他直接负责人员的行政责任；构成犯罪的，依法追究刑事责任。</w:t>
      </w:r>
    </w:p>
    <w:p w14:paraId="5DC2CBF1">
      <w:pPr>
        <w:ind w:firstLine="422"/>
        <w:jc w:val="left"/>
        <w:rPr>
          <w:rFonts w:ascii="宋体" w:hAnsi="宋体"/>
          <w:kern w:val="44"/>
        </w:rPr>
      </w:pPr>
      <w:r>
        <w:rPr>
          <w:rFonts w:hint="eastAsia" w:ascii="宋体" w:hAnsi="宋体"/>
          <w:b/>
          <w:kern w:val="44"/>
        </w:rPr>
        <w:t>第二十三条</w:t>
      </w:r>
      <w:r>
        <w:rPr>
          <w:rFonts w:hint="eastAsia" w:ascii="宋体" w:hAnsi="宋体"/>
          <w:kern w:val="44"/>
        </w:rPr>
        <w:t>　对保护范围和建设控制地带内现有的污染环境的工矿企业，应当加强监测，并按照保护规划的规定逐步迁出。</w:t>
      </w:r>
    </w:p>
    <w:p w14:paraId="02970703">
      <w:pPr>
        <w:ind w:firstLine="422"/>
        <w:jc w:val="left"/>
        <w:rPr>
          <w:rFonts w:ascii="宋体" w:hAnsi="宋体"/>
          <w:kern w:val="44"/>
        </w:rPr>
      </w:pPr>
      <w:r>
        <w:rPr>
          <w:rFonts w:hint="eastAsia" w:ascii="宋体" w:hAnsi="宋体"/>
          <w:b/>
          <w:kern w:val="44"/>
        </w:rPr>
        <w:t>第二十四条</w:t>
      </w:r>
      <w:r>
        <w:rPr>
          <w:rFonts w:hint="eastAsia" w:ascii="宋体" w:hAnsi="宋体"/>
          <w:kern w:val="44"/>
        </w:rPr>
        <w:t>　本办法自2009年6月1日起施行。1989年2月1日北京市人民政府第1号令发布，根据1997年12月31日北京市人民政府第12号令修改的《北京市周口店北京猿人遗址保护管理办法》同时废止。</w:t>
      </w:r>
    </w:p>
    <w:p w14:paraId="6EECA167">
      <w:pPr>
        <w:pStyle w:val="4"/>
        <w:pageBreakBefore/>
        <w:rPr>
          <w:kern w:val="44"/>
        </w:rPr>
      </w:pPr>
      <w:bookmarkStart w:id="1708" w:name="_Toc422471444"/>
      <w:bookmarkStart w:id="1709" w:name="_Toc428780256"/>
      <w:bookmarkStart w:id="1710" w:name="_Toc428781738"/>
      <w:bookmarkStart w:id="1711" w:name="_Toc427652032"/>
      <w:bookmarkStart w:id="1712" w:name="_Toc427651690"/>
      <w:r>
        <w:rPr>
          <w:rFonts w:hint="eastAsia"/>
          <w:kern w:val="44"/>
        </w:rPr>
        <w:t>北京市地下文物保护</w:t>
      </w:r>
      <w:bookmarkEnd w:id="1708"/>
      <w:bookmarkStart w:id="1713" w:name="_Toc422471445"/>
      <w:r>
        <w:rPr>
          <w:rFonts w:hint="eastAsia"/>
          <w:kern w:val="44"/>
        </w:rPr>
        <w:t>管理办法</w:t>
      </w:r>
      <w:bookmarkEnd w:id="1709"/>
      <w:bookmarkEnd w:id="1710"/>
      <w:bookmarkEnd w:id="1711"/>
      <w:bookmarkEnd w:id="1712"/>
      <w:bookmarkEnd w:id="1713"/>
    </w:p>
    <w:p w14:paraId="3A69426D">
      <w:pPr>
        <w:jc w:val="left"/>
        <w:rPr>
          <w:rFonts w:ascii="宋体" w:hAnsi="宋体"/>
          <w:kern w:val="44"/>
        </w:rPr>
      </w:pPr>
      <w:r>
        <w:rPr>
          <w:rFonts w:hint="eastAsia" w:ascii="宋体" w:hAnsi="宋体"/>
          <w:kern w:val="44"/>
        </w:rPr>
        <w:t>（2013年9月24日北京市人民政府第19次常务会议审议通过  2013年11月7日北京市人民政府第251号令公布）</w:t>
      </w:r>
    </w:p>
    <w:p w14:paraId="73C8DD5B">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为了加强地下文物的保护和管理，根据《中华人民共和国文物保护法》、《北京市实施〈中华人民共和国文物保护法〉办法》等有关法律、法规，结合本市实际情况，制定本办法。</w:t>
      </w:r>
    </w:p>
    <w:p w14:paraId="646EC201">
      <w:pPr>
        <w:ind w:firstLine="422"/>
        <w:jc w:val="left"/>
        <w:rPr>
          <w:rFonts w:ascii="宋体" w:hAnsi="宋体"/>
          <w:kern w:val="44"/>
        </w:rPr>
      </w:pPr>
      <w:r>
        <w:rPr>
          <w:rFonts w:hint="eastAsia" w:ascii="宋体" w:hAnsi="宋体"/>
          <w:b/>
          <w:kern w:val="44"/>
        </w:rPr>
        <w:t>第二条</w:t>
      </w:r>
      <w:r>
        <w:rPr>
          <w:rFonts w:hint="eastAsia" w:ascii="宋体" w:hAnsi="宋体"/>
          <w:kern w:val="44"/>
        </w:rPr>
        <w:t>　地下文物属于国家所有，任何单位和个人都有保护地下文物的义务。</w:t>
      </w:r>
    </w:p>
    <w:p w14:paraId="68AD2A59">
      <w:pPr>
        <w:jc w:val="left"/>
        <w:rPr>
          <w:rFonts w:ascii="宋体" w:hAnsi="宋体"/>
          <w:kern w:val="44"/>
        </w:rPr>
      </w:pPr>
      <w:r>
        <w:rPr>
          <w:rFonts w:hint="eastAsia" w:ascii="宋体" w:hAnsi="宋体"/>
          <w:kern w:val="44"/>
        </w:rPr>
        <w:t>本市鼓励单位和个人参与地下文物保护工作。</w:t>
      </w:r>
    </w:p>
    <w:p w14:paraId="090A1302">
      <w:pPr>
        <w:ind w:firstLine="422"/>
        <w:jc w:val="left"/>
        <w:rPr>
          <w:rFonts w:ascii="宋体" w:hAnsi="宋体"/>
          <w:kern w:val="44"/>
        </w:rPr>
      </w:pPr>
      <w:r>
        <w:rPr>
          <w:rFonts w:hint="eastAsia" w:ascii="宋体" w:hAnsi="宋体"/>
          <w:b/>
          <w:kern w:val="44"/>
        </w:rPr>
        <w:t>第三条</w:t>
      </w:r>
      <w:r>
        <w:rPr>
          <w:rFonts w:hint="eastAsia" w:ascii="宋体" w:hAnsi="宋体"/>
          <w:kern w:val="44"/>
        </w:rPr>
        <w:t>　市和区、县人民政府负责本行政区域内的地下文物保护工作。市和区、县人民政府文物行政管理部门对本行政区域内的地下文物保护实施监督管理。</w:t>
      </w:r>
    </w:p>
    <w:p w14:paraId="1DD36BA4">
      <w:pPr>
        <w:jc w:val="left"/>
        <w:rPr>
          <w:rFonts w:ascii="宋体" w:hAnsi="宋体"/>
          <w:kern w:val="44"/>
        </w:rPr>
      </w:pPr>
      <w:r>
        <w:rPr>
          <w:rFonts w:hint="eastAsia" w:ascii="宋体" w:hAnsi="宋体"/>
          <w:kern w:val="44"/>
        </w:rPr>
        <w:t>发展改革、规划、国土、建设、水务、交通、财政、公安等有关行政管理部门，应当在各自的职责范围内依法做好地下文物保护工作。</w:t>
      </w:r>
    </w:p>
    <w:p w14:paraId="56E1F514">
      <w:pPr>
        <w:ind w:firstLine="422"/>
        <w:jc w:val="left"/>
        <w:rPr>
          <w:rFonts w:ascii="宋体" w:hAnsi="宋体"/>
          <w:kern w:val="44"/>
        </w:rPr>
      </w:pPr>
      <w:r>
        <w:rPr>
          <w:rFonts w:hint="eastAsia" w:ascii="宋体" w:hAnsi="宋体"/>
          <w:b/>
          <w:kern w:val="44"/>
        </w:rPr>
        <w:t>第四条</w:t>
      </w:r>
      <w:r>
        <w:rPr>
          <w:rFonts w:hint="eastAsia" w:ascii="宋体" w:hAnsi="宋体"/>
          <w:kern w:val="44"/>
        </w:rPr>
        <w:t>　新闻、出版、广播、电视、网络等媒体应当进行地下文物保护宣传，营造保护地下文物的良好氛围。</w:t>
      </w:r>
    </w:p>
    <w:p w14:paraId="3933E612">
      <w:pPr>
        <w:jc w:val="left"/>
        <w:rPr>
          <w:rFonts w:ascii="宋体" w:hAnsi="宋体"/>
          <w:kern w:val="44"/>
        </w:rPr>
      </w:pPr>
      <w:r>
        <w:rPr>
          <w:rFonts w:hint="eastAsia" w:ascii="宋体" w:hAnsi="宋体"/>
          <w:kern w:val="44"/>
        </w:rPr>
        <w:t>文物行政管理部门应当会同规划、建设等行政管理部门，开展对建设、施工、监理等单位及其相关人员的地下文物保护教育和宣传工作。</w:t>
      </w:r>
    </w:p>
    <w:p w14:paraId="4A179F98">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市和区、县文物行政管理部门应当对在地下文物保护中做出突出贡献的单位和个人给予表彰和奖励。</w:t>
      </w:r>
    </w:p>
    <w:p w14:paraId="7BAF5A66">
      <w:pPr>
        <w:ind w:firstLine="422"/>
        <w:jc w:val="left"/>
        <w:rPr>
          <w:rFonts w:ascii="宋体" w:hAnsi="宋体"/>
          <w:kern w:val="44"/>
        </w:rPr>
      </w:pPr>
      <w:r>
        <w:rPr>
          <w:rFonts w:hint="eastAsia" w:ascii="宋体" w:hAnsi="宋体"/>
          <w:b/>
          <w:kern w:val="44"/>
        </w:rPr>
        <w:t>第六条</w:t>
      </w:r>
      <w:r>
        <w:rPr>
          <w:rFonts w:hint="eastAsia" w:ascii="宋体" w:hAnsi="宋体"/>
          <w:kern w:val="44"/>
        </w:rPr>
        <w:t>　本市依法划定地下文物埋藏区。</w:t>
      </w:r>
    </w:p>
    <w:p w14:paraId="28AAA6B1">
      <w:pPr>
        <w:jc w:val="left"/>
        <w:rPr>
          <w:rFonts w:ascii="宋体" w:hAnsi="宋体"/>
          <w:kern w:val="44"/>
        </w:rPr>
      </w:pPr>
      <w:r>
        <w:rPr>
          <w:rFonts w:hint="eastAsia" w:ascii="宋体" w:hAnsi="宋体"/>
          <w:kern w:val="44"/>
        </w:rPr>
        <w:t>市文物行政管理部门应当根据史料、普查资料等对地下文物埋藏区之外可能埋藏文物的地区划定重点监测区域。符合条件的，应当依法纳入地下文物埋藏区进行管理。</w:t>
      </w:r>
    </w:p>
    <w:p w14:paraId="3522BB76">
      <w:pPr>
        <w:ind w:firstLine="422"/>
        <w:jc w:val="left"/>
        <w:rPr>
          <w:rFonts w:ascii="宋体" w:hAnsi="宋体"/>
          <w:kern w:val="44"/>
        </w:rPr>
      </w:pPr>
      <w:r>
        <w:rPr>
          <w:rFonts w:hint="eastAsia" w:ascii="宋体" w:hAnsi="宋体"/>
          <w:b/>
          <w:kern w:val="44"/>
        </w:rPr>
        <w:t>第七条</w:t>
      </w:r>
      <w:r>
        <w:rPr>
          <w:rFonts w:hint="eastAsia" w:ascii="宋体" w:hAnsi="宋体"/>
          <w:kern w:val="44"/>
        </w:rPr>
        <w:t>　市文物行政管理部门应当根据文献研究结果，实际考古调查、勘探情况建立本市地下文物埋藏情况数据库，标明地下文物埋藏区、重点监测区域等内容，并对实际考古调查、勘探、发掘的结果进行记录。</w:t>
      </w:r>
    </w:p>
    <w:p w14:paraId="242D101E">
      <w:pPr>
        <w:jc w:val="left"/>
        <w:rPr>
          <w:rFonts w:ascii="宋体" w:hAnsi="宋体"/>
          <w:kern w:val="44"/>
        </w:rPr>
      </w:pPr>
      <w:r>
        <w:rPr>
          <w:rFonts w:hint="eastAsia" w:ascii="宋体" w:hAnsi="宋体"/>
          <w:kern w:val="44"/>
        </w:rPr>
        <w:t>市文物行政管理部门应当根据实际情况及时调整地下文物埋藏情况数据库，并与市规划行政管理部门实现共享。</w:t>
      </w:r>
    </w:p>
    <w:p w14:paraId="3A7E8CB4">
      <w:pPr>
        <w:ind w:firstLine="422"/>
        <w:jc w:val="left"/>
        <w:rPr>
          <w:rFonts w:ascii="宋体" w:hAnsi="宋体"/>
          <w:kern w:val="44"/>
        </w:rPr>
      </w:pPr>
      <w:r>
        <w:rPr>
          <w:rFonts w:hint="eastAsia" w:ascii="宋体" w:hAnsi="宋体"/>
          <w:b/>
          <w:kern w:val="44"/>
        </w:rPr>
        <w:t>第八条</w:t>
      </w:r>
      <w:r>
        <w:rPr>
          <w:rFonts w:hint="eastAsia" w:ascii="宋体" w:hAnsi="宋体"/>
          <w:kern w:val="44"/>
        </w:rPr>
        <w:t>　市文物行政管理部门应当依法组织开展考古调查、勘探、发掘工作，积极探索有效方式，鼓励有资质的考古发掘单位参与本市配合基本建设的考古调查、勘探工作。具体办法由市文物行政管理部门制定。</w:t>
      </w:r>
    </w:p>
    <w:p w14:paraId="3B1388D4">
      <w:pPr>
        <w:jc w:val="left"/>
        <w:rPr>
          <w:rFonts w:ascii="宋体" w:hAnsi="宋体"/>
          <w:kern w:val="44"/>
        </w:rPr>
      </w:pPr>
      <w:r>
        <w:rPr>
          <w:rFonts w:hint="eastAsia" w:ascii="宋体" w:hAnsi="宋体"/>
          <w:kern w:val="44"/>
        </w:rPr>
        <w:t>对于已经做过考古调查、勘探的，进行建设工程时，不再重复进行考古调查、勘探。</w:t>
      </w:r>
    </w:p>
    <w:p w14:paraId="6BD4509E">
      <w:pPr>
        <w:ind w:firstLine="422"/>
        <w:jc w:val="left"/>
        <w:rPr>
          <w:rFonts w:ascii="宋体" w:hAnsi="宋体"/>
          <w:kern w:val="44"/>
        </w:rPr>
      </w:pPr>
      <w:r>
        <w:rPr>
          <w:rFonts w:hint="eastAsia" w:ascii="宋体" w:hAnsi="宋体"/>
          <w:b/>
          <w:kern w:val="44"/>
        </w:rPr>
        <w:t>第九条</w:t>
      </w:r>
      <w:r>
        <w:rPr>
          <w:rFonts w:hint="eastAsia" w:ascii="宋体" w:hAnsi="宋体"/>
          <w:kern w:val="44"/>
        </w:rPr>
        <w:t>　符合下列条件之一的建设工程，应当进行考古调查、勘探：</w:t>
      </w:r>
    </w:p>
    <w:p w14:paraId="6AA8C37B">
      <w:pPr>
        <w:jc w:val="left"/>
        <w:rPr>
          <w:rFonts w:ascii="宋体" w:hAnsi="宋体"/>
          <w:kern w:val="44"/>
        </w:rPr>
      </w:pPr>
      <w:r>
        <w:rPr>
          <w:rFonts w:hint="eastAsia" w:ascii="宋体" w:hAnsi="宋体"/>
          <w:kern w:val="44"/>
        </w:rPr>
        <w:t>（一）位于地下文物埋藏区；</w:t>
      </w:r>
    </w:p>
    <w:p w14:paraId="17AD8187">
      <w:pPr>
        <w:jc w:val="left"/>
        <w:rPr>
          <w:rFonts w:ascii="宋体" w:hAnsi="宋体"/>
          <w:kern w:val="44"/>
        </w:rPr>
      </w:pPr>
      <w:r>
        <w:rPr>
          <w:rFonts w:hint="eastAsia" w:ascii="宋体" w:hAnsi="宋体"/>
          <w:kern w:val="44"/>
        </w:rPr>
        <w:t>（二）旧城之内建设项目总用地面积一万平方米以上；</w:t>
      </w:r>
    </w:p>
    <w:p w14:paraId="244E4AB6">
      <w:pPr>
        <w:jc w:val="left"/>
        <w:rPr>
          <w:rFonts w:ascii="宋体" w:hAnsi="宋体"/>
          <w:kern w:val="44"/>
        </w:rPr>
      </w:pPr>
      <w:r>
        <w:rPr>
          <w:rFonts w:hint="eastAsia" w:ascii="宋体" w:hAnsi="宋体"/>
          <w:kern w:val="44"/>
        </w:rPr>
        <w:t>（三）旧城之外建设项目总用地面积二万平方米以上；</w:t>
      </w:r>
    </w:p>
    <w:p w14:paraId="4CE75F74">
      <w:pPr>
        <w:jc w:val="left"/>
        <w:rPr>
          <w:rFonts w:ascii="宋体" w:hAnsi="宋体"/>
          <w:kern w:val="44"/>
        </w:rPr>
      </w:pPr>
      <w:r>
        <w:rPr>
          <w:rFonts w:hint="eastAsia" w:ascii="宋体" w:hAnsi="宋体"/>
          <w:kern w:val="44"/>
        </w:rPr>
        <w:t>（四）法律、法规和规章规定的其他情况。</w:t>
      </w:r>
    </w:p>
    <w:p w14:paraId="6951E99F">
      <w:pPr>
        <w:ind w:firstLine="422"/>
        <w:jc w:val="left"/>
        <w:rPr>
          <w:rFonts w:ascii="宋体" w:hAnsi="宋体"/>
          <w:kern w:val="44"/>
        </w:rPr>
      </w:pPr>
      <w:r>
        <w:rPr>
          <w:rFonts w:hint="eastAsia" w:ascii="宋体" w:hAnsi="宋体"/>
          <w:b/>
          <w:kern w:val="44"/>
        </w:rPr>
        <w:t>第十条</w:t>
      </w:r>
      <w:r>
        <w:rPr>
          <w:rFonts w:hint="eastAsia" w:ascii="宋体" w:hAnsi="宋体"/>
          <w:kern w:val="44"/>
        </w:rPr>
        <w:t>　本办法第九条规定之外的建设工程，建设单位可以在施工前报请市文物行政管理部门组织考古调查、勘探，市文物行政管理部门在接到建设单位的报请后，应当予以及时安排。</w:t>
      </w:r>
    </w:p>
    <w:p w14:paraId="42AE7101">
      <w:pPr>
        <w:jc w:val="left"/>
        <w:rPr>
          <w:rFonts w:ascii="宋体" w:hAnsi="宋体"/>
          <w:kern w:val="44"/>
        </w:rPr>
      </w:pPr>
      <w:r>
        <w:rPr>
          <w:rFonts w:hint="eastAsia" w:ascii="宋体" w:hAnsi="宋体"/>
          <w:kern w:val="44"/>
        </w:rPr>
        <w:t>未做考古调查、勘探的，建设单位应当在施工前制定地下文物保护预案，位于重点监测区域内的建设工程的地下文物保护预案应当报文物行政管理部门备案。备案的具体办法由市文物行政管理部门制定。</w:t>
      </w:r>
    </w:p>
    <w:p w14:paraId="388CA8FF">
      <w:pPr>
        <w:ind w:firstLine="422"/>
        <w:jc w:val="left"/>
        <w:rPr>
          <w:rFonts w:ascii="宋体" w:hAnsi="宋体"/>
          <w:kern w:val="44"/>
        </w:rPr>
      </w:pPr>
      <w:r>
        <w:rPr>
          <w:rFonts w:hint="eastAsia" w:ascii="宋体" w:hAnsi="宋体"/>
          <w:b/>
          <w:kern w:val="44"/>
        </w:rPr>
        <w:t>第十一条</w:t>
      </w:r>
      <w:r>
        <w:rPr>
          <w:rFonts w:hint="eastAsia" w:ascii="宋体" w:hAnsi="宋体"/>
          <w:kern w:val="44"/>
        </w:rPr>
        <w:t>　对于符合本办法第九条规定的土地储备开发项目，承担土地储备任务的单位（以下简称土储单位）应当按照本市规定报请市文物行政管理部门组织考古发掘单位进行考古调查、勘探。</w:t>
      </w:r>
    </w:p>
    <w:p w14:paraId="73CB2337">
      <w:pPr>
        <w:jc w:val="left"/>
        <w:rPr>
          <w:rFonts w:ascii="宋体" w:hAnsi="宋体"/>
          <w:kern w:val="44"/>
        </w:rPr>
      </w:pPr>
      <w:r>
        <w:rPr>
          <w:rFonts w:hint="eastAsia" w:ascii="宋体" w:hAnsi="宋体"/>
          <w:kern w:val="44"/>
        </w:rPr>
        <w:t>考古调查、勘探工作完成后，考古发掘单位应当出具是否具备入市交易条件的意见，相关意见作为土地入市交易的依据之一。</w:t>
      </w:r>
    </w:p>
    <w:p w14:paraId="6FC8B7D5">
      <w:pPr>
        <w:ind w:firstLine="422"/>
        <w:jc w:val="left"/>
        <w:rPr>
          <w:rFonts w:ascii="宋体" w:hAnsi="宋体"/>
          <w:kern w:val="44"/>
        </w:rPr>
      </w:pPr>
      <w:r>
        <w:rPr>
          <w:rFonts w:hint="eastAsia" w:ascii="宋体" w:hAnsi="宋体"/>
          <w:b/>
          <w:kern w:val="44"/>
        </w:rPr>
        <w:t>第十二条</w:t>
      </w:r>
      <w:r>
        <w:rPr>
          <w:rFonts w:hint="eastAsia" w:ascii="宋体" w:hAnsi="宋体"/>
          <w:kern w:val="44"/>
        </w:rPr>
        <w:t>　规划行政管理部门在向建设单位提出规划条件或者核发选址意见书时，应当书面提示建设单位在施工前按照本办法规定报请市文物行政管理部门组织考古调查、勘探，或者制定文物保护预案报文物行政管理部门备案，并告知文物行政管理部门。</w:t>
      </w:r>
    </w:p>
    <w:p w14:paraId="00D427CC">
      <w:pPr>
        <w:jc w:val="left"/>
        <w:rPr>
          <w:rFonts w:ascii="宋体" w:hAnsi="宋体"/>
          <w:kern w:val="44"/>
        </w:rPr>
      </w:pPr>
      <w:r>
        <w:rPr>
          <w:rFonts w:hint="eastAsia" w:ascii="宋体" w:hAnsi="宋体"/>
          <w:kern w:val="44"/>
        </w:rPr>
        <w:t>规划行政管理部门应当将书面提示的情况同时告知建设行政管理部门或者交通、水利等专业建设工程的监管部门。</w:t>
      </w:r>
    </w:p>
    <w:p w14:paraId="1B8A2413">
      <w:pPr>
        <w:ind w:firstLine="422"/>
        <w:jc w:val="left"/>
        <w:rPr>
          <w:rFonts w:ascii="宋体" w:hAnsi="宋体"/>
          <w:kern w:val="44"/>
        </w:rPr>
      </w:pPr>
      <w:r>
        <w:rPr>
          <w:rFonts w:hint="eastAsia" w:ascii="宋体" w:hAnsi="宋体"/>
          <w:b/>
          <w:kern w:val="44"/>
        </w:rPr>
        <w:t>第十三条</w:t>
      </w:r>
      <w:r>
        <w:rPr>
          <w:rFonts w:hint="eastAsia" w:ascii="宋体" w:hAnsi="宋体"/>
          <w:kern w:val="44"/>
        </w:rPr>
        <w:t>　对于符合本办法第九条规定的建设工程，建设行政管理部门或者交通、水利等专业建设工程的监管部门在建设工程施工前，应当书面提示建设单位报请市文物行政管理部门组织考古调查、勘探，并告知文物行政管理部门。</w:t>
      </w:r>
    </w:p>
    <w:p w14:paraId="497A3901">
      <w:pPr>
        <w:ind w:firstLine="422"/>
        <w:jc w:val="left"/>
        <w:rPr>
          <w:rFonts w:ascii="宋体" w:hAnsi="宋体"/>
          <w:kern w:val="44"/>
        </w:rPr>
      </w:pPr>
      <w:r>
        <w:rPr>
          <w:rFonts w:hint="eastAsia" w:ascii="宋体" w:hAnsi="宋体"/>
          <w:b/>
          <w:kern w:val="44"/>
        </w:rPr>
        <w:t>第十四条</w:t>
      </w:r>
      <w:r>
        <w:rPr>
          <w:rFonts w:hint="eastAsia" w:ascii="宋体" w:hAnsi="宋体"/>
          <w:kern w:val="44"/>
        </w:rPr>
        <w:t>　对于符合本办法第九条规定的建设工程，建设单位应当在施工前报请市文物行政管理部门组织考古发掘单位进行考古调查、勘探，并督促施工单位在编制施工组织设计时，对考古调查、勘探事项进行安排，相关安排应当与施工部署、施工总进度计划相衔接。</w:t>
      </w:r>
    </w:p>
    <w:p w14:paraId="15E63234">
      <w:pPr>
        <w:ind w:firstLine="422"/>
        <w:jc w:val="left"/>
        <w:rPr>
          <w:rFonts w:ascii="宋体" w:hAnsi="宋体"/>
          <w:kern w:val="44"/>
        </w:rPr>
      </w:pPr>
      <w:r>
        <w:rPr>
          <w:rFonts w:hint="eastAsia" w:ascii="宋体" w:hAnsi="宋体"/>
          <w:b/>
          <w:kern w:val="44"/>
        </w:rPr>
        <w:t>第十五条</w:t>
      </w:r>
      <w:r>
        <w:rPr>
          <w:rFonts w:hint="eastAsia" w:ascii="宋体" w:hAnsi="宋体"/>
          <w:kern w:val="44"/>
        </w:rPr>
        <w:t>　市文物行政管理部门接到土储单位或者建设单位申请后，在施工现场具备考古调查、勘探条件下，应当按照规定组织考古调查、勘探工作。考古调查、勘探工作结束后，考古发掘单位应当将相关意见书面通知土储单位和建设单位。</w:t>
      </w:r>
    </w:p>
    <w:p w14:paraId="2CD193E0">
      <w:pPr>
        <w:jc w:val="left"/>
        <w:rPr>
          <w:rFonts w:ascii="宋体" w:hAnsi="宋体"/>
          <w:kern w:val="44"/>
        </w:rPr>
      </w:pPr>
      <w:r>
        <w:rPr>
          <w:rFonts w:hint="eastAsia" w:ascii="宋体" w:hAnsi="宋体"/>
          <w:kern w:val="44"/>
        </w:rPr>
        <w:t>考古调查、勘探工作时限按照每一万平方米七个工作日计算，除雨雪、冰冻等特殊情况外，最长不得超过两个月。</w:t>
      </w:r>
    </w:p>
    <w:p w14:paraId="2CC3833A">
      <w:pPr>
        <w:ind w:firstLine="422"/>
        <w:jc w:val="left"/>
        <w:rPr>
          <w:rFonts w:ascii="宋体" w:hAnsi="宋体"/>
          <w:kern w:val="44"/>
        </w:rPr>
      </w:pPr>
      <w:r>
        <w:rPr>
          <w:rFonts w:hint="eastAsia" w:ascii="宋体" w:hAnsi="宋体"/>
          <w:b/>
          <w:kern w:val="44"/>
        </w:rPr>
        <w:t>第十六条</w:t>
      </w:r>
      <w:r>
        <w:rPr>
          <w:rFonts w:hint="eastAsia" w:ascii="宋体" w:hAnsi="宋体"/>
          <w:kern w:val="44"/>
        </w:rPr>
        <w:t>　考古调查、勘探中发现文物的，由文物行政管理部门组织土储单位或者建设单位、施工单位、相关考古发掘单位确定文物保护方案，采取保护措施。</w:t>
      </w:r>
    </w:p>
    <w:p w14:paraId="71424FC8">
      <w:pPr>
        <w:jc w:val="left"/>
        <w:rPr>
          <w:rFonts w:ascii="宋体" w:hAnsi="宋体"/>
          <w:kern w:val="44"/>
        </w:rPr>
      </w:pPr>
      <w:r>
        <w:rPr>
          <w:rFonts w:hint="eastAsia" w:ascii="宋体" w:hAnsi="宋体"/>
          <w:kern w:val="44"/>
        </w:rPr>
        <w:t>在考古发掘中，发现具有重大历史、艺术、科学价值的古遗址、古墓葬，需要实施原址保护的，应当实施原址保护。实施原址保护的，由市规划行政管理部门、市文物行政管理部门会同其他部门研究调整建设工程设计方案或者另行选址。</w:t>
      </w:r>
    </w:p>
    <w:p w14:paraId="6406BC69">
      <w:pPr>
        <w:ind w:firstLine="422"/>
        <w:jc w:val="left"/>
        <w:rPr>
          <w:rFonts w:ascii="宋体" w:hAnsi="宋体"/>
          <w:kern w:val="44"/>
        </w:rPr>
      </w:pPr>
      <w:r>
        <w:rPr>
          <w:rFonts w:hint="eastAsia" w:ascii="宋体" w:hAnsi="宋体"/>
          <w:b/>
          <w:kern w:val="44"/>
        </w:rPr>
        <w:t>第十七条</w:t>
      </w:r>
      <w:r>
        <w:rPr>
          <w:rFonts w:hint="eastAsia" w:ascii="宋体" w:hAnsi="宋体"/>
          <w:kern w:val="44"/>
        </w:rPr>
        <w:t>　公民、法人和其他组织依法采取地下文物保护措施或者配合政府进行地下文物保护的，政府对其损失予以合理补偿，具体办法由市文物行政管理部门会同市规划、市财政等行政管理部门制定。</w:t>
      </w:r>
    </w:p>
    <w:p w14:paraId="682650B2">
      <w:pPr>
        <w:ind w:firstLine="422"/>
        <w:jc w:val="left"/>
        <w:rPr>
          <w:rFonts w:ascii="宋体" w:hAnsi="宋体"/>
          <w:kern w:val="44"/>
        </w:rPr>
      </w:pPr>
      <w:r>
        <w:rPr>
          <w:rFonts w:hint="eastAsia" w:ascii="宋体" w:hAnsi="宋体"/>
          <w:b/>
          <w:kern w:val="44"/>
        </w:rPr>
        <w:t>第十八条</w:t>
      </w:r>
      <w:r>
        <w:rPr>
          <w:rFonts w:hint="eastAsia" w:ascii="宋体" w:hAnsi="宋体"/>
          <w:kern w:val="44"/>
        </w:rPr>
        <w:t>　建设单位、施工单位在施工过程中发现地下文物的，应当立即采取有效保护措施并通知文物行政管理部门。</w:t>
      </w:r>
    </w:p>
    <w:p w14:paraId="23005FFA">
      <w:pPr>
        <w:jc w:val="left"/>
        <w:rPr>
          <w:rFonts w:ascii="宋体" w:hAnsi="宋体"/>
          <w:kern w:val="44"/>
        </w:rPr>
      </w:pPr>
      <w:r>
        <w:rPr>
          <w:rFonts w:hint="eastAsia" w:ascii="宋体" w:hAnsi="宋体"/>
          <w:kern w:val="44"/>
        </w:rPr>
        <w:t>监理单位在监理过程中，发现施工单位未依法保护地下文物继续施工的，应当及时制止并通知文物行政管理部门。文物行政管理部门接到通知后，应当在二十四小时内组织考古发掘单位到达现场。</w:t>
      </w:r>
    </w:p>
    <w:p w14:paraId="64C5DD02">
      <w:pPr>
        <w:ind w:firstLine="422"/>
        <w:jc w:val="left"/>
        <w:rPr>
          <w:rFonts w:ascii="宋体" w:hAnsi="宋体"/>
          <w:kern w:val="44"/>
        </w:rPr>
      </w:pPr>
      <w:r>
        <w:rPr>
          <w:rFonts w:hint="eastAsia" w:ascii="宋体" w:hAnsi="宋体"/>
          <w:b/>
          <w:kern w:val="44"/>
        </w:rPr>
        <w:t>第十九条</w:t>
      </w:r>
      <w:r>
        <w:rPr>
          <w:rFonts w:hint="eastAsia" w:ascii="宋体" w:hAnsi="宋体"/>
          <w:kern w:val="44"/>
        </w:rPr>
        <w:t>　文物行政管理部门可以对本行政区域内建设工程施工现场的地下文物保护工作进行监督检查，建设单位、施工单位应当配合文物行政管理部门的监督检查工作。</w:t>
      </w:r>
    </w:p>
    <w:p w14:paraId="568E9144">
      <w:pPr>
        <w:jc w:val="left"/>
        <w:rPr>
          <w:rFonts w:ascii="宋体" w:hAnsi="宋体"/>
          <w:kern w:val="44"/>
        </w:rPr>
      </w:pPr>
      <w:r>
        <w:rPr>
          <w:rFonts w:hint="eastAsia" w:ascii="宋体" w:hAnsi="宋体"/>
          <w:kern w:val="44"/>
        </w:rPr>
        <w:t>文物行政管理部门应当加强对地下文物埋藏区和重点监测区域的日常巡查，并对本办法第九条规定的建设工程及重点监测区域内的建设工程施工现场的地下文物保护工作进行监督管理。</w:t>
      </w:r>
    </w:p>
    <w:p w14:paraId="51BE942B">
      <w:pPr>
        <w:ind w:firstLine="422"/>
        <w:jc w:val="left"/>
        <w:rPr>
          <w:rFonts w:ascii="宋体" w:hAnsi="宋体"/>
          <w:kern w:val="44"/>
        </w:rPr>
      </w:pPr>
      <w:r>
        <w:rPr>
          <w:rFonts w:hint="eastAsia" w:ascii="宋体" w:hAnsi="宋体"/>
          <w:b/>
          <w:kern w:val="44"/>
        </w:rPr>
        <w:t>第二十条</w:t>
      </w:r>
      <w:r>
        <w:rPr>
          <w:rFonts w:hint="eastAsia" w:ascii="宋体" w:hAnsi="宋体"/>
          <w:kern w:val="44"/>
        </w:rPr>
        <w:t>　任何单位和个人在进行其他生产生活活动时发现地下文物的，应当立即对地下文物实施有效保护并通知文物行政管理部门。文物行政管理部门接到通知后，应当在二十四小时内到达现场进行处理。</w:t>
      </w:r>
    </w:p>
    <w:p w14:paraId="3FB4CEF8">
      <w:pPr>
        <w:ind w:firstLine="422"/>
        <w:jc w:val="left"/>
        <w:rPr>
          <w:rFonts w:ascii="宋体" w:hAnsi="宋体"/>
          <w:kern w:val="44"/>
        </w:rPr>
      </w:pPr>
      <w:r>
        <w:rPr>
          <w:rFonts w:hint="eastAsia" w:ascii="宋体" w:hAnsi="宋体"/>
          <w:b/>
          <w:kern w:val="44"/>
        </w:rPr>
        <w:t>第二十一条</w:t>
      </w:r>
      <w:r>
        <w:rPr>
          <w:rFonts w:hint="eastAsia" w:ascii="宋体" w:hAnsi="宋体"/>
          <w:kern w:val="44"/>
        </w:rPr>
        <w:t>　村民委员会在组织实施本村的建设规划，兴修水利、道路等基础设施以及指导村民进行自建住宅、挖渠、掘井等活动时，应当注重对地下文物的保护；发现地下文物的，应当采取有效保护措施并及时通知文物行政管理部门。</w:t>
      </w:r>
    </w:p>
    <w:p w14:paraId="08B77F1E">
      <w:pPr>
        <w:ind w:firstLine="422"/>
        <w:jc w:val="left"/>
        <w:rPr>
          <w:rFonts w:ascii="宋体" w:hAnsi="宋体"/>
          <w:kern w:val="44"/>
        </w:rPr>
      </w:pPr>
      <w:r>
        <w:rPr>
          <w:rFonts w:hint="eastAsia" w:ascii="宋体" w:hAnsi="宋体"/>
          <w:b/>
          <w:kern w:val="44"/>
        </w:rPr>
        <w:t>第二十二条</w:t>
      </w:r>
      <w:r>
        <w:rPr>
          <w:rFonts w:hint="eastAsia" w:ascii="宋体" w:hAnsi="宋体"/>
          <w:kern w:val="44"/>
        </w:rPr>
        <w:t>　任何单位和个人发现破坏地下文物的，应当立即向文物行政管理部门举报。文物行政管理部门接到举报后，应当及时处理，并将处理结果告知举报人。</w:t>
      </w:r>
    </w:p>
    <w:p w14:paraId="2029B8A2">
      <w:pPr>
        <w:jc w:val="left"/>
        <w:rPr>
          <w:rFonts w:ascii="宋体" w:hAnsi="宋体"/>
          <w:kern w:val="44"/>
        </w:rPr>
      </w:pPr>
      <w:r>
        <w:rPr>
          <w:rFonts w:hint="eastAsia" w:ascii="宋体" w:hAnsi="宋体"/>
          <w:kern w:val="44"/>
        </w:rPr>
        <w:t>市和区、县文物行政部门应当对举报属实，为查处破坏地下文物行为提供线索或者证据的举报人给予奖励。具体办法由市文物行政管理部门会同市财政行政管理部门制定。</w:t>
      </w:r>
    </w:p>
    <w:p w14:paraId="45CA47DC">
      <w:pPr>
        <w:ind w:firstLine="422"/>
        <w:jc w:val="left"/>
        <w:rPr>
          <w:rFonts w:ascii="宋体" w:hAnsi="宋体"/>
          <w:kern w:val="44"/>
        </w:rPr>
      </w:pPr>
      <w:r>
        <w:rPr>
          <w:rFonts w:hint="eastAsia" w:ascii="宋体" w:hAnsi="宋体"/>
          <w:b/>
          <w:kern w:val="44"/>
        </w:rPr>
        <w:t>第二十三条</w:t>
      </w:r>
      <w:r>
        <w:rPr>
          <w:rFonts w:hint="eastAsia" w:ascii="宋体" w:hAnsi="宋体"/>
          <w:kern w:val="44"/>
        </w:rPr>
        <w:t>　违反本办法第十条第二款规定，建设单位未将位于重点监测区域内的建设工程的地下文物保护预案报文物行政管理部门备案的，由文物行政管理部门处一万元罚款。</w:t>
      </w:r>
    </w:p>
    <w:p w14:paraId="7153FA76">
      <w:pPr>
        <w:ind w:firstLine="422"/>
        <w:jc w:val="left"/>
        <w:rPr>
          <w:rFonts w:ascii="宋体" w:hAnsi="宋体"/>
          <w:kern w:val="44"/>
        </w:rPr>
      </w:pPr>
      <w:r>
        <w:rPr>
          <w:rFonts w:hint="eastAsia" w:ascii="宋体" w:hAnsi="宋体"/>
          <w:b/>
          <w:kern w:val="44"/>
        </w:rPr>
        <w:t>第二十四条</w:t>
      </w:r>
      <w:r>
        <w:rPr>
          <w:rFonts w:hint="eastAsia" w:ascii="宋体" w:hAnsi="宋体"/>
          <w:kern w:val="44"/>
        </w:rPr>
        <w:t>　违反本办法第十四条规定，建设单位未在施工前报请市文物行政管理部门组织考古发掘单位进行考古调查、勘探的，施工单位未按照规定在编制施工组织设计时安排考古调查、勘探事项的，由市文物行政管理部门责令限期改正，可以并处一万元以上三万元以下罚款；构成犯罪的，由司法机关依法追究刑事责任。</w:t>
      </w:r>
    </w:p>
    <w:p w14:paraId="3C187300">
      <w:pPr>
        <w:ind w:firstLine="422"/>
        <w:jc w:val="left"/>
        <w:rPr>
          <w:rFonts w:ascii="宋体" w:hAnsi="宋体"/>
          <w:kern w:val="44"/>
        </w:rPr>
      </w:pPr>
      <w:r>
        <w:rPr>
          <w:rFonts w:hint="eastAsia" w:ascii="宋体" w:hAnsi="宋体"/>
          <w:b/>
          <w:kern w:val="44"/>
        </w:rPr>
        <w:t>第二十五条</w:t>
      </w:r>
      <w:r>
        <w:rPr>
          <w:rFonts w:hint="eastAsia" w:ascii="宋体" w:hAnsi="宋体"/>
          <w:kern w:val="44"/>
        </w:rPr>
        <w:t>　违反本办法第十八条第一款规定，建设单位、施工单位发现地下文物不采取保护措施，不通知文物行政管理部门的，由文物行政管理部门责令改正，并处一万元以上三万元以下罚款；构成犯罪的，由司法机关依法追究刑事责任。</w:t>
      </w:r>
    </w:p>
    <w:p w14:paraId="0E422A11">
      <w:pPr>
        <w:jc w:val="left"/>
        <w:rPr>
          <w:rFonts w:ascii="宋体" w:hAnsi="宋体"/>
          <w:kern w:val="44"/>
        </w:rPr>
      </w:pPr>
      <w:r>
        <w:rPr>
          <w:rFonts w:hint="eastAsia" w:ascii="宋体" w:hAnsi="宋体"/>
          <w:kern w:val="44"/>
        </w:rPr>
        <w:t>违反本办法第十八条第二款规定，监理单位未通知文物行政管理部门的，由文物行政管理部门处一万元以上三万元以下罚款。</w:t>
      </w:r>
    </w:p>
    <w:p w14:paraId="126DD547">
      <w:pPr>
        <w:ind w:firstLine="422"/>
        <w:jc w:val="left"/>
        <w:rPr>
          <w:rFonts w:ascii="宋体" w:hAnsi="宋体"/>
          <w:kern w:val="44"/>
        </w:rPr>
      </w:pPr>
      <w:r>
        <w:rPr>
          <w:rFonts w:hint="eastAsia" w:ascii="宋体" w:hAnsi="宋体"/>
          <w:b/>
          <w:kern w:val="44"/>
        </w:rPr>
        <w:t>第二十六条</w:t>
      </w:r>
      <w:r>
        <w:rPr>
          <w:rFonts w:hint="eastAsia" w:ascii="宋体" w:hAnsi="宋体"/>
          <w:kern w:val="44"/>
        </w:rPr>
        <w:t>　建设单位、施工单位和监理单位违反本办法受到行政处罚的信息，应当依法记入本市企业信用信息系统。</w:t>
      </w:r>
    </w:p>
    <w:p w14:paraId="3B763E2E">
      <w:pPr>
        <w:ind w:firstLine="422"/>
        <w:jc w:val="left"/>
        <w:rPr>
          <w:rFonts w:ascii="宋体" w:hAnsi="宋体"/>
          <w:kern w:val="44"/>
        </w:rPr>
      </w:pPr>
      <w:r>
        <w:rPr>
          <w:rFonts w:hint="eastAsia" w:ascii="宋体" w:hAnsi="宋体"/>
          <w:b/>
          <w:kern w:val="44"/>
        </w:rPr>
        <w:t>第二十七条</w:t>
      </w:r>
      <w:r>
        <w:rPr>
          <w:rFonts w:hint="eastAsia" w:ascii="宋体" w:hAnsi="宋体"/>
          <w:kern w:val="44"/>
        </w:rPr>
        <w:t>　违反本办法规定，未进行考古调查、勘探，未采取保护措施，造成文物损毁的，依法承担民事责任。</w:t>
      </w:r>
    </w:p>
    <w:p w14:paraId="4034B432">
      <w:pPr>
        <w:ind w:firstLine="422"/>
        <w:jc w:val="left"/>
        <w:rPr>
          <w:rFonts w:ascii="宋体" w:hAnsi="宋体"/>
          <w:kern w:val="44"/>
        </w:rPr>
      </w:pPr>
      <w:r>
        <w:rPr>
          <w:rFonts w:hint="eastAsia" w:ascii="宋体" w:hAnsi="宋体"/>
          <w:b/>
          <w:kern w:val="44"/>
        </w:rPr>
        <w:t>第二十八条</w:t>
      </w:r>
      <w:r>
        <w:rPr>
          <w:rFonts w:hint="eastAsia" w:ascii="宋体" w:hAnsi="宋体"/>
          <w:kern w:val="44"/>
        </w:rPr>
        <w:t>　负有地下文物保护职责的行政机关及其工作人员违反本办法规定，由其上级行政机关或者监察机关依法追究直接负责的主管人员和其他直接责任人员的行政责任；构成犯罪的，由司法机关依法追究刑事责任。</w:t>
      </w:r>
    </w:p>
    <w:p w14:paraId="35EC6D44">
      <w:pPr>
        <w:ind w:firstLine="422"/>
        <w:jc w:val="left"/>
        <w:rPr>
          <w:rFonts w:ascii="宋体" w:hAnsi="宋体"/>
          <w:kern w:val="44"/>
        </w:rPr>
      </w:pPr>
      <w:r>
        <w:rPr>
          <w:rFonts w:hint="eastAsia" w:ascii="宋体" w:hAnsi="宋体"/>
          <w:b/>
          <w:kern w:val="44"/>
        </w:rPr>
        <w:t>第二十九条</w:t>
      </w:r>
      <w:r>
        <w:rPr>
          <w:rFonts w:hint="eastAsia" w:ascii="宋体" w:hAnsi="宋体"/>
          <w:kern w:val="44"/>
        </w:rPr>
        <w:t>　本办法自2014年3月1日起施行。</w:t>
      </w:r>
    </w:p>
    <w:p w14:paraId="601C03B9">
      <w:pPr>
        <w:pStyle w:val="3"/>
        <w:pageBreakBefore/>
        <w:rPr>
          <w:kern w:val="44"/>
        </w:rPr>
      </w:pPr>
      <w:bookmarkStart w:id="1714" w:name="_Toc428781739"/>
      <w:bookmarkStart w:id="1715" w:name="_Toc422471446"/>
      <w:bookmarkStart w:id="1716" w:name="_Toc427651691"/>
      <w:bookmarkStart w:id="1717" w:name="_Toc427652033"/>
      <w:bookmarkStart w:id="1718" w:name="_Toc428780257"/>
      <w:r>
        <w:rPr>
          <w:rFonts w:hint="eastAsia"/>
          <w:kern w:val="44"/>
        </w:rPr>
        <w:t>（六）体  育</w:t>
      </w:r>
      <w:bookmarkEnd w:id="1714"/>
      <w:bookmarkEnd w:id="1715"/>
      <w:bookmarkEnd w:id="1716"/>
      <w:bookmarkEnd w:id="1717"/>
      <w:bookmarkEnd w:id="1718"/>
    </w:p>
    <w:p w14:paraId="5D2B5DCF">
      <w:pPr>
        <w:jc w:val="left"/>
        <w:rPr>
          <w:rFonts w:ascii="宋体" w:hAnsi="宋体"/>
          <w:kern w:val="44"/>
        </w:rPr>
      </w:pPr>
    </w:p>
    <w:p w14:paraId="1580C009">
      <w:pPr>
        <w:pStyle w:val="4"/>
        <w:rPr>
          <w:kern w:val="44"/>
        </w:rPr>
      </w:pPr>
      <w:bookmarkStart w:id="1719" w:name="_Toc428781740"/>
      <w:bookmarkStart w:id="1720" w:name="_Toc422471447"/>
      <w:bookmarkStart w:id="1721" w:name="_Toc427651692"/>
      <w:bookmarkStart w:id="1722" w:name="_Toc427652034"/>
      <w:bookmarkStart w:id="1723" w:name="_Toc428780258"/>
      <w:r>
        <w:rPr>
          <w:rFonts w:hint="eastAsia"/>
          <w:kern w:val="44"/>
        </w:rPr>
        <w:t>北京市体育设施管理条例</w:t>
      </w:r>
      <w:bookmarkEnd w:id="1719"/>
      <w:bookmarkEnd w:id="1720"/>
      <w:bookmarkEnd w:id="1721"/>
      <w:bookmarkEnd w:id="1722"/>
      <w:bookmarkEnd w:id="1723"/>
    </w:p>
    <w:p w14:paraId="2C34E23A">
      <w:pPr>
        <w:ind w:left="630" w:leftChars="300" w:right="630" w:rightChars="300"/>
        <w:jc w:val="left"/>
        <w:rPr>
          <w:rFonts w:ascii="楷体" w:hAnsi="楷体" w:eastAsia="楷体"/>
          <w:kern w:val="44"/>
        </w:rPr>
      </w:pPr>
      <w:r>
        <w:rPr>
          <w:rFonts w:hint="eastAsia" w:ascii="楷体" w:hAnsi="楷体" w:eastAsia="楷体"/>
          <w:kern w:val="44"/>
        </w:rPr>
        <w:t>（1999年10月28日北京市第十一届人民代表大会常务委员会第十四次会议通过 ）</w:t>
      </w:r>
    </w:p>
    <w:p w14:paraId="07F9993F">
      <w:pPr>
        <w:jc w:val="left"/>
        <w:rPr>
          <w:rFonts w:ascii="宋体" w:hAnsi="宋体"/>
          <w:kern w:val="44"/>
        </w:rPr>
      </w:pPr>
    </w:p>
    <w:p w14:paraId="308179A0">
      <w:pPr>
        <w:ind w:firstLine="0" w:firstLineChars="0"/>
        <w:jc w:val="center"/>
        <w:rPr>
          <w:rFonts w:ascii="宋体" w:hAnsi="宋体"/>
          <w:b/>
          <w:kern w:val="44"/>
          <w:sz w:val="28"/>
        </w:rPr>
      </w:pPr>
      <w:r>
        <w:rPr>
          <w:rFonts w:hint="eastAsia" w:ascii="宋体" w:hAnsi="宋体"/>
          <w:b/>
          <w:kern w:val="44"/>
          <w:sz w:val="28"/>
        </w:rPr>
        <w:t>第一章　总　则</w:t>
      </w:r>
    </w:p>
    <w:p w14:paraId="5E88227F">
      <w:pPr>
        <w:jc w:val="left"/>
        <w:rPr>
          <w:rFonts w:ascii="宋体" w:hAnsi="宋体"/>
          <w:kern w:val="44"/>
        </w:rPr>
      </w:pPr>
    </w:p>
    <w:p w14:paraId="5DBC2DA4">
      <w:pPr>
        <w:ind w:firstLine="422"/>
        <w:jc w:val="left"/>
        <w:rPr>
          <w:rFonts w:ascii="宋体" w:hAnsi="宋体"/>
          <w:kern w:val="44"/>
        </w:rPr>
      </w:pPr>
      <w:r>
        <w:rPr>
          <w:rFonts w:hint="eastAsia" w:ascii="宋体" w:hAnsi="宋体"/>
          <w:b/>
          <w:kern w:val="44"/>
        </w:rPr>
        <w:t>第一条</w:t>
      </w:r>
      <w:r>
        <w:rPr>
          <w:rFonts w:hint="eastAsia" w:ascii="宋体" w:hAnsi="宋体"/>
          <w:kern w:val="44"/>
        </w:rPr>
        <w:t>　为了加强本市体育设施的管理，促进体育事业的发展，根据《中华人民共和国体育法》和国家有关法律、法规，结合本市实际情况，制定本条例。</w:t>
      </w:r>
    </w:p>
    <w:p w14:paraId="1574DFD9">
      <w:pPr>
        <w:ind w:firstLine="422"/>
        <w:jc w:val="left"/>
        <w:rPr>
          <w:rFonts w:ascii="宋体" w:hAnsi="宋体"/>
          <w:kern w:val="44"/>
        </w:rPr>
      </w:pPr>
      <w:r>
        <w:rPr>
          <w:rFonts w:hint="eastAsia" w:ascii="宋体" w:hAnsi="宋体"/>
          <w:b/>
          <w:kern w:val="44"/>
        </w:rPr>
        <w:t>第二条</w:t>
      </w:r>
      <w:r>
        <w:rPr>
          <w:rFonts w:hint="eastAsia" w:ascii="宋体" w:hAnsi="宋体"/>
          <w:kern w:val="44"/>
        </w:rPr>
        <w:t>　本市行政区域内体育设施的规划、建设和使用的管理，适用本条例。</w:t>
      </w:r>
    </w:p>
    <w:p w14:paraId="2D50783A">
      <w:pPr>
        <w:jc w:val="left"/>
        <w:rPr>
          <w:rFonts w:ascii="宋体" w:hAnsi="宋体"/>
          <w:kern w:val="44"/>
        </w:rPr>
      </w:pPr>
      <w:r>
        <w:rPr>
          <w:rFonts w:hint="eastAsia" w:ascii="宋体" w:hAnsi="宋体"/>
          <w:kern w:val="44"/>
        </w:rPr>
        <w:t>本条例所称体育设施，是指用于开展体育训练、竞赛、教学和社会体育活动的场所及附属设备。</w:t>
      </w:r>
    </w:p>
    <w:p w14:paraId="37122349">
      <w:pPr>
        <w:ind w:firstLine="422"/>
        <w:jc w:val="left"/>
        <w:rPr>
          <w:rFonts w:ascii="宋体" w:hAnsi="宋体"/>
          <w:kern w:val="44"/>
        </w:rPr>
      </w:pPr>
      <w:r>
        <w:rPr>
          <w:rFonts w:hint="eastAsia" w:ascii="宋体" w:hAnsi="宋体"/>
          <w:b/>
          <w:kern w:val="44"/>
        </w:rPr>
        <w:t>第三条</w:t>
      </w:r>
      <w:r>
        <w:rPr>
          <w:rFonts w:hint="eastAsia" w:ascii="宋体" w:hAnsi="宋体"/>
          <w:kern w:val="44"/>
        </w:rPr>
        <w:t>　体育设施的规划、建设和使用必须坚持为全民健身和竞技体育服务，坚持社会效益和经济效益相统一，促进首都物质文明和精神文明建设。</w:t>
      </w:r>
    </w:p>
    <w:p w14:paraId="4314F160">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市和区、县体育行政部门是体育设施管理工作的主管部门。</w:t>
      </w:r>
    </w:p>
    <w:p w14:paraId="4FC44683">
      <w:pPr>
        <w:ind w:firstLine="422"/>
        <w:jc w:val="left"/>
        <w:rPr>
          <w:rFonts w:ascii="宋体" w:hAnsi="宋体"/>
          <w:kern w:val="44"/>
        </w:rPr>
      </w:pPr>
      <w:r>
        <w:rPr>
          <w:rFonts w:hint="eastAsia" w:ascii="宋体" w:hAnsi="宋体"/>
          <w:b/>
          <w:kern w:val="44"/>
        </w:rPr>
        <w:t>第五条</w:t>
      </w:r>
      <w:r>
        <w:rPr>
          <w:rFonts w:hint="eastAsia" w:ascii="宋体" w:hAnsi="宋体"/>
          <w:kern w:val="44"/>
        </w:rPr>
        <w:t>　本市鼓励社会团体、企业事业单位和个人以捐赠、赞助、投资等多种形式兴办体育设施。</w:t>
      </w:r>
    </w:p>
    <w:p w14:paraId="027F972E">
      <w:pPr>
        <w:ind w:firstLine="422"/>
        <w:jc w:val="left"/>
        <w:rPr>
          <w:rFonts w:ascii="宋体" w:hAnsi="宋体"/>
          <w:kern w:val="44"/>
        </w:rPr>
      </w:pPr>
      <w:r>
        <w:rPr>
          <w:rFonts w:hint="eastAsia" w:ascii="宋体" w:hAnsi="宋体"/>
          <w:b/>
          <w:kern w:val="44"/>
        </w:rPr>
        <w:t>第六条</w:t>
      </w:r>
      <w:r>
        <w:rPr>
          <w:rFonts w:hint="eastAsia" w:ascii="宋体" w:hAnsi="宋体"/>
          <w:kern w:val="44"/>
        </w:rPr>
        <w:t>　利用体育设施进行体育项目经营活动的，应当遵守有关法律和本市的有关规定。</w:t>
      </w:r>
    </w:p>
    <w:p w14:paraId="019AB47B">
      <w:pPr>
        <w:ind w:firstLine="0" w:firstLineChars="0"/>
        <w:jc w:val="center"/>
        <w:rPr>
          <w:rFonts w:ascii="宋体" w:hAnsi="宋体"/>
          <w:b/>
          <w:kern w:val="44"/>
          <w:sz w:val="28"/>
        </w:rPr>
      </w:pPr>
      <w:r>
        <w:rPr>
          <w:rFonts w:hint="eastAsia" w:ascii="宋体" w:hAnsi="宋体"/>
          <w:b/>
          <w:kern w:val="44"/>
          <w:sz w:val="28"/>
        </w:rPr>
        <w:t>第二章　规划和建设</w:t>
      </w:r>
    </w:p>
    <w:p w14:paraId="52733B7F">
      <w:pPr>
        <w:jc w:val="left"/>
        <w:rPr>
          <w:rFonts w:ascii="宋体" w:hAnsi="宋体"/>
          <w:kern w:val="44"/>
        </w:rPr>
      </w:pPr>
    </w:p>
    <w:p w14:paraId="0AD9E239">
      <w:pPr>
        <w:ind w:firstLine="422"/>
        <w:jc w:val="left"/>
        <w:rPr>
          <w:rFonts w:ascii="宋体" w:hAnsi="宋体"/>
          <w:kern w:val="44"/>
        </w:rPr>
      </w:pPr>
      <w:r>
        <w:rPr>
          <w:rFonts w:hint="eastAsia" w:ascii="宋体" w:hAnsi="宋体"/>
          <w:b/>
          <w:kern w:val="44"/>
        </w:rPr>
        <w:t>第七条</w:t>
      </w:r>
      <w:r>
        <w:rPr>
          <w:rFonts w:hint="eastAsia" w:ascii="宋体" w:hAnsi="宋体"/>
          <w:kern w:val="44"/>
        </w:rPr>
        <w:t>　市人民政府应当按照国家对城市公共体育设施用地定额指标的规定，把城市公共体育设施建设纳入城市规划。</w:t>
      </w:r>
    </w:p>
    <w:p w14:paraId="03FE8907">
      <w:pPr>
        <w:jc w:val="left"/>
        <w:rPr>
          <w:rFonts w:ascii="宋体" w:hAnsi="宋体"/>
          <w:kern w:val="44"/>
        </w:rPr>
      </w:pPr>
      <w:r>
        <w:rPr>
          <w:rFonts w:hint="eastAsia" w:ascii="宋体" w:hAnsi="宋体"/>
          <w:kern w:val="44"/>
        </w:rPr>
        <w:t>市体育行政部门应当根据本市城市规划，会同有关部门共同编制公共体育设施发展规划，报市人民政府批准后组织实施。</w:t>
      </w:r>
    </w:p>
    <w:p w14:paraId="3C8D05EF">
      <w:pPr>
        <w:jc w:val="left"/>
        <w:rPr>
          <w:rFonts w:ascii="宋体" w:hAnsi="宋体"/>
          <w:kern w:val="44"/>
        </w:rPr>
      </w:pPr>
      <w:r>
        <w:rPr>
          <w:rFonts w:hint="eastAsia" w:ascii="宋体" w:hAnsi="宋体"/>
          <w:kern w:val="44"/>
        </w:rPr>
        <w:t>区、县人民政府根据本市公共体育设施发展规划编制本区、县的公共体育设施发展规划。</w:t>
      </w:r>
    </w:p>
    <w:p w14:paraId="5EAFA9A1">
      <w:pPr>
        <w:ind w:firstLine="422"/>
        <w:jc w:val="left"/>
        <w:rPr>
          <w:rFonts w:ascii="宋体" w:hAnsi="宋体"/>
          <w:kern w:val="44"/>
        </w:rPr>
      </w:pPr>
      <w:r>
        <w:rPr>
          <w:rFonts w:hint="eastAsia" w:ascii="宋体" w:hAnsi="宋体"/>
          <w:b/>
          <w:kern w:val="44"/>
        </w:rPr>
        <w:t>第八条</w:t>
      </w:r>
      <w:r>
        <w:rPr>
          <w:rFonts w:hint="eastAsia" w:ascii="宋体" w:hAnsi="宋体"/>
          <w:kern w:val="44"/>
        </w:rPr>
        <w:t>　各级人民政府应当将公共体育设施建设资金列入本级财政预算和基本建设投资计划，并随着国民经济的发展逐步增加投入。</w:t>
      </w:r>
    </w:p>
    <w:p w14:paraId="7217F46B">
      <w:pPr>
        <w:jc w:val="left"/>
        <w:rPr>
          <w:rFonts w:ascii="宋体" w:hAnsi="宋体"/>
          <w:kern w:val="44"/>
        </w:rPr>
      </w:pPr>
      <w:r>
        <w:rPr>
          <w:rFonts w:hint="eastAsia" w:ascii="宋体" w:hAnsi="宋体"/>
          <w:kern w:val="44"/>
        </w:rPr>
        <w:t>体育行政部门依法通过多种形式筹集公共体育设施建设资金。</w:t>
      </w:r>
    </w:p>
    <w:p w14:paraId="734DA4AD">
      <w:pPr>
        <w:ind w:firstLine="422"/>
        <w:jc w:val="left"/>
        <w:rPr>
          <w:rFonts w:ascii="宋体" w:hAnsi="宋体"/>
          <w:kern w:val="44"/>
        </w:rPr>
      </w:pPr>
      <w:r>
        <w:rPr>
          <w:rFonts w:hint="eastAsia" w:ascii="宋体" w:hAnsi="宋体"/>
          <w:b/>
          <w:kern w:val="44"/>
        </w:rPr>
        <w:t>第九条</w:t>
      </w:r>
      <w:r>
        <w:rPr>
          <w:rFonts w:hint="eastAsia" w:ascii="宋体" w:hAnsi="宋体"/>
          <w:kern w:val="44"/>
        </w:rPr>
        <w:t>　新建、改建、扩建公共体育设施，必须符合本市公共体育设施发展规划和国家规定的技术指标及标准。</w:t>
      </w:r>
    </w:p>
    <w:p w14:paraId="32C44EFC">
      <w:pPr>
        <w:jc w:val="left"/>
        <w:rPr>
          <w:rFonts w:ascii="宋体" w:hAnsi="宋体"/>
          <w:kern w:val="44"/>
        </w:rPr>
      </w:pPr>
      <w:r>
        <w:rPr>
          <w:rFonts w:hint="eastAsia" w:ascii="宋体" w:hAnsi="宋体"/>
          <w:kern w:val="44"/>
        </w:rPr>
        <w:t>城市规划行政主管部门在审批新建、改建、扩建公共体育设施的规划设计方案时，应当征求市体育行政部门的意见。</w:t>
      </w:r>
    </w:p>
    <w:p w14:paraId="797BA34D">
      <w:pPr>
        <w:ind w:firstLine="422"/>
        <w:jc w:val="left"/>
        <w:rPr>
          <w:rFonts w:ascii="宋体" w:hAnsi="宋体"/>
          <w:kern w:val="44"/>
        </w:rPr>
      </w:pPr>
      <w:r>
        <w:rPr>
          <w:rFonts w:hint="eastAsia" w:ascii="宋体" w:hAnsi="宋体"/>
          <w:b/>
          <w:kern w:val="44"/>
        </w:rPr>
        <w:t>第十条</w:t>
      </w:r>
      <w:r>
        <w:rPr>
          <w:rFonts w:hint="eastAsia" w:ascii="宋体" w:hAnsi="宋体"/>
          <w:kern w:val="44"/>
        </w:rPr>
        <w:t>　新建、改建、扩建居住区的开发建设单位应当按照本市公共服务设施配套建设指标的规定配套建设体育设施。规划设计方案未达到规定指标的，规划行政主管部门不发建设工程规划许可证，建设行政主管部门不发开工许可证。居住区配套体育设施应当与居住区住宅工程同时规划、同步建设、同期交付使用。</w:t>
      </w:r>
    </w:p>
    <w:p w14:paraId="06FF0753">
      <w:pPr>
        <w:ind w:firstLine="422"/>
        <w:jc w:val="left"/>
        <w:rPr>
          <w:rFonts w:ascii="宋体" w:hAnsi="宋体"/>
          <w:kern w:val="44"/>
        </w:rPr>
      </w:pPr>
      <w:r>
        <w:rPr>
          <w:rFonts w:hint="eastAsia" w:ascii="宋体" w:hAnsi="宋体"/>
          <w:b/>
          <w:kern w:val="44"/>
        </w:rPr>
        <w:t>第十一条</w:t>
      </w:r>
      <w:r>
        <w:rPr>
          <w:rFonts w:hint="eastAsia" w:ascii="宋体" w:hAnsi="宋体"/>
          <w:kern w:val="44"/>
        </w:rPr>
        <w:t>　公共体育设施和居住区配套体育设施的竣工验收，建设行政主管部门应当通知体育行政部门参加。</w:t>
      </w:r>
    </w:p>
    <w:p w14:paraId="0274BD43">
      <w:pPr>
        <w:ind w:firstLine="422"/>
        <w:jc w:val="left"/>
        <w:rPr>
          <w:rFonts w:ascii="宋体" w:hAnsi="宋体"/>
          <w:kern w:val="44"/>
        </w:rPr>
      </w:pPr>
      <w:r>
        <w:rPr>
          <w:rFonts w:hint="eastAsia" w:ascii="宋体" w:hAnsi="宋体"/>
          <w:b/>
          <w:kern w:val="44"/>
        </w:rPr>
        <w:t>第十二条</w:t>
      </w:r>
      <w:r>
        <w:rPr>
          <w:rFonts w:hint="eastAsia" w:ascii="宋体" w:hAnsi="宋体"/>
          <w:kern w:val="44"/>
        </w:rPr>
        <w:t>　居住区管理单位应当充分利用现有条件，因地制宜建设和完善体育设施。</w:t>
      </w:r>
    </w:p>
    <w:p w14:paraId="5EB1A71B">
      <w:pPr>
        <w:ind w:firstLine="422"/>
        <w:jc w:val="left"/>
        <w:rPr>
          <w:rFonts w:ascii="宋体" w:hAnsi="宋体"/>
          <w:kern w:val="44"/>
        </w:rPr>
      </w:pPr>
      <w:r>
        <w:rPr>
          <w:rFonts w:hint="eastAsia" w:ascii="宋体" w:hAnsi="宋体"/>
          <w:b/>
          <w:kern w:val="44"/>
        </w:rPr>
        <w:t>第十三条</w:t>
      </w:r>
      <w:r>
        <w:rPr>
          <w:rFonts w:hint="eastAsia" w:ascii="宋体" w:hAnsi="宋体"/>
          <w:kern w:val="44"/>
        </w:rPr>
        <w:t>　新建学校必须按照国家和本市规定的标准建设体育设施。原有学校体育设施未达到规定标准的，应当采取措施逐步达到规定标准，具体办法由教育行政部门和体育行政部门共同制定。</w:t>
      </w:r>
    </w:p>
    <w:p w14:paraId="375C1BF7">
      <w:pPr>
        <w:ind w:firstLine="422"/>
        <w:jc w:val="left"/>
        <w:rPr>
          <w:rFonts w:ascii="宋体" w:hAnsi="宋体"/>
          <w:kern w:val="44"/>
        </w:rPr>
      </w:pPr>
      <w:r>
        <w:rPr>
          <w:rFonts w:hint="eastAsia" w:ascii="宋体" w:hAnsi="宋体"/>
          <w:b/>
          <w:kern w:val="44"/>
        </w:rPr>
        <w:t>第十四条</w:t>
      </w:r>
      <w:r>
        <w:rPr>
          <w:rFonts w:hint="eastAsia" w:ascii="宋体" w:hAnsi="宋体"/>
          <w:kern w:val="44"/>
        </w:rPr>
        <w:t>　乡、民族乡、镇人民政府应当规划和建设适合农村特点的公共体育设施，为农村开展体育活动创造条件。</w:t>
      </w:r>
    </w:p>
    <w:p w14:paraId="2C39147B">
      <w:pPr>
        <w:jc w:val="left"/>
        <w:rPr>
          <w:rFonts w:ascii="宋体" w:hAnsi="宋体"/>
          <w:kern w:val="44"/>
        </w:rPr>
      </w:pPr>
    </w:p>
    <w:p w14:paraId="0782C4A9">
      <w:pPr>
        <w:ind w:firstLine="0" w:firstLineChars="0"/>
        <w:jc w:val="center"/>
        <w:rPr>
          <w:rFonts w:ascii="宋体" w:hAnsi="宋体"/>
          <w:b/>
          <w:kern w:val="44"/>
          <w:sz w:val="28"/>
        </w:rPr>
      </w:pPr>
      <w:r>
        <w:rPr>
          <w:rFonts w:hint="eastAsia" w:ascii="宋体" w:hAnsi="宋体"/>
          <w:b/>
          <w:kern w:val="44"/>
          <w:sz w:val="28"/>
        </w:rPr>
        <w:t>第三章　使　用</w:t>
      </w:r>
    </w:p>
    <w:p w14:paraId="69F9258B">
      <w:pPr>
        <w:jc w:val="left"/>
        <w:rPr>
          <w:rFonts w:ascii="宋体" w:hAnsi="宋体"/>
          <w:kern w:val="44"/>
        </w:rPr>
      </w:pPr>
    </w:p>
    <w:p w14:paraId="066E158E">
      <w:pPr>
        <w:ind w:firstLine="422"/>
        <w:jc w:val="left"/>
        <w:rPr>
          <w:rFonts w:ascii="宋体" w:hAnsi="宋体"/>
          <w:kern w:val="44"/>
        </w:rPr>
      </w:pPr>
      <w:r>
        <w:rPr>
          <w:rFonts w:hint="eastAsia" w:ascii="宋体" w:hAnsi="宋体"/>
          <w:b/>
          <w:kern w:val="44"/>
        </w:rPr>
        <w:t>第十五条</w:t>
      </w:r>
      <w:r>
        <w:rPr>
          <w:rFonts w:hint="eastAsia" w:ascii="宋体" w:hAnsi="宋体"/>
          <w:kern w:val="44"/>
        </w:rPr>
        <w:t>　公共体育设施和居住区配套体育设施必须对社会开放，开放时间每年不得少于300天，每天不得少于8小时；受季节限制的公共体育设施的开放时间，由市体育行政部门另行规定。</w:t>
      </w:r>
    </w:p>
    <w:p w14:paraId="07AEF52A">
      <w:pPr>
        <w:jc w:val="left"/>
        <w:rPr>
          <w:rFonts w:ascii="宋体" w:hAnsi="宋体"/>
          <w:kern w:val="44"/>
        </w:rPr>
      </w:pPr>
      <w:r>
        <w:rPr>
          <w:rFonts w:hint="eastAsia" w:ascii="宋体" w:hAnsi="宋体"/>
          <w:kern w:val="44"/>
        </w:rPr>
        <w:t>公共体育设施管理者应当制定具体措施，优惠向儿童、学生、教师、老年人和残疾人开放。</w:t>
      </w:r>
    </w:p>
    <w:p w14:paraId="0B1378F6">
      <w:pPr>
        <w:ind w:firstLine="422"/>
        <w:jc w:val="left"/>
        <w:rPr>
          <w:rFonts w:ascii="宋体" w:hAnsi="宋体"/>
          <w:kern w:val="44"/>
        </w:rPr>
      </w:pPr>
      <w:r>
        <w:rPr>
          <w:rFonts w:hint="eastAsia" w:ascii="宋体" w:hAnsi="宋体"/>
          <w:b/>
          <w:kern w:val="44"/>
        </w:rPr>
        <w:t>第十六条</w:t>
      </w:r>
      <w:r>
        <w:rPr>
          <w:rFonts w:hint="eastAsia" w:ascii="宋体" w:hAnsi="宋体"/>
          <w:kern w:val="44"/>
        </w:rPr>
        <w:t>　学校体育设施应当创造条件向社会开放。</w:t>
      </w:r>
    </w:p>
    <w:p w14:paraId="0B2A383D">
      <w:pPr>
        <w:jc w:val="left"/>
        <w:rPr>
          <w:rFonts w:ascii="宋体" w:hAnsi="宋体"/>
          <w:kern w:val="44"/>
        </w:rPr>
      </w:pPr>
      <w:r>
        <w:rPr>
          <w:rFonts w:hint="eastAsia" w:ascii="宋体" w:hAnsi="宋体"/>
          <w:kern w:val="44"/>
        </w:rPr>
        <w:t>鼓励国家机关、社会团体、企业事业单位和个人兴办的体育设施向社会开放。</w:t>
      </w:r>
    </w:p>
    <w:p w14:paraId="18DCDD0C">
      <w:pPr>
        <w:jc w:val="left"/>
        <w:rPr>
          <w:rFonts w:ascii="宋体" w:hAnsi="宋体"/>
          <w:kern w:val="44"/>
        </w:rPr>
      </w:pPr>
      <w:r>
        <w:rPr>
          <w:rFonts w:hint="eastAsia" w:ascii="宋体" w:hAnsi="宋体"/>
          <w:kern w:val="44"/>
        </w:rPr>
        <w:t>体育设施向社会开放的，可以按照有关规定收取费用。</w:t>
      </w:r>
    </w:p>
    <w:p w14:paraId="7A57AEB0">
      <w:pPr>
        <w:ind w:firstLine="422"/>
        <w:jc w:val="left"/>
        <w:rPr>
          <w:rFonts w:ascii="宋体" w:hAnsi="宋体"/>
          <w:kern w:val="44"/>
        </w:rPr>
      </w:pPr>
      <w:r>
        <w:rPr>
          <w:rFonts w:hint="eastAsia" w:ascii="宋体" w:hAnsi="宋体"/>
          <w:b/>
          <w:kern w:val="44"/>
        </w:rPr>
        <w:t>第十七条</w:t>
      </w:r>
      <w:r>
        <w:rPr>
          <w:rFonts w:hint="eastAsia" w:ascii="宋体" w:hAnsi="宋体"/>
          <w:kern w:val="44"/>
        </w:rPr>
        <w:t>　任何单位和个人不得挪用、侵占、破坏公共体育设施、居住区配套体育设施和学校体育设施。</w:t>
      </w:r>
    </w:p>
    <w:p w14:paraId="3399FC77">
      <w:pPr>
        <w:jc w:val="left"/>
        <w:rPr>
          <w:rFonts w:ascii="宋体" w:hAnsi="宋体"/>
          <w:kern w:val="44"/>
        </w:rPr>
      </w:pPr>
      <w:r>
        <w:rPr>
          <w:rFonts w:hint="eastAsia" w:ascii="宋体" w:hAnsi="宋体"/>
          <w:kern w:val="44"/>
        </w:rPr>
        <w:t>任何单位和个人不得擅自改变公共体育设施、居住区配套体育设施和学校体育设施建设用地的用途。</w:t>
      </w:r>
    </w:p>
    <w:p w14:paraId="741CE493">
      <w:pPr>
        <w:jc w:val="left"/>
        <w:rPr>
          <w:rFonts w:ascii="宋体" w:hAnsi="宋体"/>
          <w:kern w:val="44"/>
        </w:rPr>
      </w:pPr>
      <w:r>
        <w:rPr>
          <w:rFonts w:hint="eastAsia" w:ascii="宋体" w:hAnsi="宋体"/>
          <w:kern w:val="44"/>
        </w:rPr>
        <w:t>按照城市规划改变公共体育设施、居住区配套体育设施和学校体育设施建设用地用途的，应当按照有关法律、法规的规定，先行择地新建偿还。</w:t>
      </w:r>
    </w:p>
    <w:p w14:paraId="02201CC9">
      <w:pPr>
        <w:ind w:firstLine="422"/>
        <w:jc w:val="left"/>
        <w:rPr>
          <w:rFonts w:ascii="宋体" w:hAnsi="宋体"/>
          <w:kern w:val="44"/>
        </w:rPr>
      </w:pPr>
      <w:r>
        <w:rPr>
          <w:rFonts w:hint="eastAsia" w:ascii="宋体" w:hAnsi="宋体"/>
          <w:b/>
          <w:kern w:val="44"/>
        </w:rPr>
        <w:t>第十八条</w:t>
      </w:r>
      <w:r>
        <w:rPr>
          <w:rFonts w:hint="eastAsia" w:ascii="宋体" w:hAnsi="宋体"/>
          <w:kern w:val="44"/>
        </w:rPr>
        <w:t>　因特殊情况需要临时占用公共体育设施的活动场地开展非体育性活动，设施管理者必须报体育行政部门批准，其收入专项用于体育设施的维护和管理，不得挪作他用。</w:t>
      </w:r>
    </w:p>
    <w:p w14:paraId="4146113A">
      <w:pPr>
        <w:jc w:val="left"/>
        <w:rPr>
          <w:rFonts w:ascii="宋体" w:hAnsi="宋体"/>
          <w:kern w:val="44"/>
        </w:rPr>
      </w:pPr>
      <w:r>
        <w:rPr>
          <w:rFonts w:hint="eastAsia" w:ascii="宋体" w:hAnsi="宋体"/>
          <w:kern w:val="44"/>
        </w:rPr>
        <w:t>临时占用公共体育设施的活动场地开展非体育性活动，占用期满后，占用单位应当及时恢复活动场地的原有功。</w:t>
      </w:r>
    </w:p>
    <w:p w14:paraId="1DED68CE">
      <w:pPr>
        <w:ind w:firstLine="422"/>
        <w:jc w:val="left"/>
        <w:rPr>
          <w:rFonts w:ascii="宋体" w:hAnsi="宋体"/>
          <w:kern w:val="44"/>
        </w:rPr>
      </w:pPr>
      <w:r>
        <w:rPr>
          <w:rFonts w:hint="eastAsia" w:ascii="宋体" w:hAnsi="宋体"/>
          <w:b/>
          <w:kern w:val="44"/>
        </w:rPr>
        <w:t>第十九条</w:t>
      </w:r>
      <w:r>
        <w:rPr>
          <w:rFonts w:hint="eastAsia" w:ascii="宋体" w:hAnsi="宋体"/>
          <w:kern w:val="44"/>
        </w:rPr>
        <w:t>　体育设施管理者应当建立健全体育设施使用的管理制度，定期对体育设施进行维修、保养，保证体育设施的完好和安全使用。</w:t>
      </w:r>
    </w:p>
    <w:p w14:paraId="6B845A56">
      <w:pPr>
        <w:ind w:firstLine="422"/>
        <w:jc w:val="left"/>
        <w:rPr>
          <w:rFonts w:ascii="宋体" w:hAnsi="宋体"/>
          <w:kern w:val="44"/>
        </w:rPr>
      </w:pPr>
      <w:r>
        <w:rPr>
          <w:rFonts w:hint="eastAsia" w:ascii="宋体" w:hAnsi="宋体"/>
          <w:b/>
          <w:kern w:val="44"/>
        </w:rPr>
        <w:t>第二十条</w:t>
      </w:r>
      <w:r>
        <w:rPr>
          <w:rFonts w:hint="eastAsia" w:ascii="宋体" w:hAnsi="宋体"/>
          <w:kern w:val="44"/>
        </w:rPr>
        <w:t>　本市对体育设施实行注册登记制度，体育设施管理者应当按照规定到体育行政部门办理注册登记手续。</w:t>
      </w:r>
    </w:p>
    <w:p w14:paraId="2B3CB4D0">
      <w:pPr>
        <w:jc w:val="left"/>
        <w:rPr>
          <w:rFonts w:ascii="宋体" w:hAnsi="宋体"/>
          <w:kern w:val="44"/>
        </w:rPr>
      </w:pPr>
      <w:r>
        <w:rPr>
          <w:rFonts w:hint="eastAsia" w:ascii="宋体" w:hAnsi="宋体"/>
          <w:kern w:val="44"/>
        </w:rPr>
        <w:t>新建、改建、扩建的体育设施，体育设施管理者应当在主体工程验收合格之日起30日内，到体育行政部门办理注册登记手续。</w:t>
      </w:r>
    </w:p>
    <w:p w14:paraId="0D584268">
      <w:pPr>
        <w:ind w:firstLine="422"/>
        <w:jc w:val="left"/>
        <w:rPr>
          <w:rFonts w:ascii="宋体" w:hAnsi="宋体"/>
          <w:kern w:val="44"/>
        </w:rPr>
      </w:pPr>
      <w:r>
        <w:rPr>
          <w:rFonts w:hint="eastAsia" w:ascii="宋体" w:hAnsi="宋体"/>
          <w:b/>
          <w:kern w:val="44"/>
        </w:rPr>
        <w:t>第二十一条</w:t>
      </w:r>
      <w:r>
        <w:rPr>
          <w:rFonts w:hint="eastAsia" w:ascii="宋体" w:hAnsi="宋体"/>
          <w:kern w:val="44"/>
        </w:rPr>
        <w:t>　体育设施管理单位的场地专业技术人员必须经体育行政部门培训，经考核合格后方可上岗。</w:t>
      </w:r>
    </w:p>
    <w:p w14:paraId="615AFD12">
      <w:pPr>
        <w:ind w:firstLine="422"/>
        <w:jc w:val="left"/>
        <w:rPr>
          <w:rFonts w:ascii="宋体" w:hAnsi="宋体"/>
          <w:kern w:val="44"/>
        </w:rPr>
      </w:pPr>
      <w:r>
        <w:rPr>
          <w:rFonts w:hint="eastAsia" w:ascii="宋体" w:hAnsi="宋体"/>
          <w:b/>
          <w:kern w:val="44"/>
        </w:rPr>
        <w:t>第二十二条</w:t>
      </w:r>
      <w:r>
        <w:rPr>
          <w:rFonts w:hint="eastAsia" w:ascii="宋体" w:hAnsi="宋体"/>
          <w:kern w:val="44"/>
        </w:rPr>
        <w:t>　体育行政部门对公共体育设施和居住区配套体育设施实行年检制度。</w:t>
      </w:r>
    </w:p>
    <w:p w14:paraId="22946D93">
      <w:pPr>
        <w:ind w:firstLine="422"/>
        <w:jc w:val="left"/>
        <w:rPr>
          <w:rFonts w:ascii="宋体" w:hAnsi="宋体"/>
          <w:kern w:val="44"/>
        </w:rPr>
      </w:pPr>
      <w:r>
        <w:rPr>
          <w:rFonts w:hint="eastAsia" w:ascii="宋体" w:hAnsi="宋体"/>
          <w:b/>
          <w:kern w:val="44"/>
        </w:rPr>
        <w:t>第二十三条</w:t>
      </w:r>
      <w:r>
        <w:rPr>
          <w:rFonts w:hint="eastAsia" w:ascii="宋体" w:hAnsi="宋体"/>
          <w:kern w:val="44"/>
        </w:rPr>
        <w:t>　体育设施管理者应当接受体育行政部门的监督和检查。</w:t>
      </w:r>
    </w:p>
    <w:p w14:paraId="177A3F4E">
      <w:pPr>
        <w:jc w:val="left"/>
        <w:rPr>
          <w:rFonts w:ascii="宋体" w:hAnsi="宋体"/>
          <w:kern w:val="44"/>
        </w:rPr>
      </w:pPr>
    </w:p>
    <w:p w14:paraId="2A3EC9A2">
      <w:pPr>
        <w:ind w:firstLine="0" w:firstLineChars="0"/>
        <w:jc w:val="center"/>
        <w:rPr>
          <w:rFonts w:ascii="宋体" w:hAnsi="宋体"/>
          <w:b/>
          <w:kern w:val="44"/>
          <w:sz w:val="28"/>
        </w:rPr>
      </w:pPr>
      <w:r>
        <w:rPr>
          <w:rFonts w:hint="eastAsia" w:ascii="宋体" w:hAnsi="宋体"/>
          <w:b/>
          <w:kern w:val="44"/>
          <w:sz w:val="28"/>
        </w:rPr>
        <w:t>第四章　法律责任</w:t>
      </w:r>
    </w:p>
    <w:p w14:paraId="68426664">
      <w:pPr>
        <w:jc w:val="left"/>
        <w:rPr>
          <w:rFonts w:ascii="宋体" w:hAnsi="宋体"/>
          <w:kern w:val="44"/>
        </w:rPr>
      </w:pPr>
    </w:p>
    <w:p w14:paraId="484B7107">
      <w:pPr>
        <w:ind w:firstLine="422"/>
        <w:jc w:val="left"/>
        <w:rPr>
          <w:rFonts w:ascii="宋体" w:hAnsi="宋体"/>
          <w:kern w:val="44"/>
        </w:rPr>
      </w:pPr>
      <w:r>
        <w:rPr>
          <w:rFonts w:hint="eastAsia" w:ascii="宋体" w:hAnsi="宋体"/>
          <w:b/>
          <w:kern w:val="44"/>
        </w:rPr>
        <w:t>第二十四条</w:t>
      </w:r>
      <w:r>
        <w:rPr>
          <w:rFonts w:hint="eastAsia" w:ascii="宋体" w:hAnsi="宋体"/>
          <w:kern w:val="44"/>
        </w:rPr>
        <w:t>　体育设施管理者违反本条例规定，有下列行为之一的，由体育行政部门责令限期改正；造成严重后果的，对其主管人员或者主要负责人由其所在单位或者上级机关给予行政处分：</w:t>
      </w:r>
    </w:p>
    <w:p w14:paraId="050A8683">
      <w:pPr>
        <w:jc w:val="left"/>
        <w:rPr>
          <w:rFonts w:ascii="宋体" w:hAnsi="宋体"/>
          <w:kern w:val="44"/>
        </w:rPr>
      </w:pPr>
      <w:r>
        <w:rPr>
          <w:rFonts w:hint="eastAsia" w:ascii="宋体" w:hAnsi="宋体"/>
          <w:kern w:val="44"/>
        </w:rPr>
        <w:t>（一）未按规定开放公共体育设施和居住区配套体育设施的；</w:t>
      </w:r>
    </w:p>
    <w:p w14:paraId="14AB7E8E">
      <w:pPr>
        <w:jc w:val="left"/>
        <w:rPr>
          <w:rFonts w:ascii="宋体" w:hAnsi="宋体"/>
          <w:kern w:val="44"/>
        </w:rPr>
      </w:pPr>
      <w:r>
        <w:rPr>
          <w:rFonts w:hint="eastAsia" w:ascii="宋体" w:hAnsi="宋体"/>
          <w:kern w:val="44"/>
        </w:rPr>
        <w:t>（二）挪用公共体育设施或者居住区配套体育设施的；</w:t>
      </w:r>
    </w:p>
    <w:p w14:paraId="6B3A3E28">
      <w:pPr>
        <w:jc w:val="left"/>
        <w:rPr>
          <w:rFonts w:ascii="宋体" w:hAnsi="宋体"/>
          <w:kern w:val="44"/>
        </w:rPr>
      </w:pPr>
      <w:r>
        <w:rPr>
          <w:rFonts w:hint="eastAsia" w:ascii="宋体" w:hAnsi="宋体"/>
          <w:kern w:val="44"/>
        </w:rPr>
        <w:t>（三）临时占用公共体育设施的活动场地开展非体育性活动，未按规定报体育行政部门批准的；</w:t>
      </w:r>
    </w:p>
    <w:p w14:paraId="76FEFAA3">
      <w:pPr>
        <w:jc w:val="left"/>
        <w:rPr>
          <w:rFonts w:ascii="宋体" w:hAnsi="宋体"/>
          <w:kern w:val="44"/>
        </w:rPr>
      </w:pPr>
      <w:r>
        <w:rPr>
          <w:rFonts w:hint="eastAsia" w:ascii="宋体" w:hAnsi="宋体"/>
          <w:kern w:val="44"/>
        </w:rPr>
        <w:t>（四）将临时占用公共体育设施的活动场地的收入挪作他用的；</w:t>
      </w:r>
    </w:p>
    <w:p w14:paraId="77D7BBE4">
      <w:pPr>
        <w:jc w:val="left"/>
        <w:rPr>
          <w:rFonts w:ascii="宋体" w:hAnsi="宋体"/>
          <w:kern w:val="44"/>
        </w:rPr>
      </w:pPr>
      <w:r>
        <w:rPr>
          <w:rFonts w:hint="eastAsia" w:ascii="宋体" w:hAnsi="宋体"/>
          <w:kern w:val="44"/>
        </w:rPr>
        <w:t>（五）未按规定建立健全体育设施使用的管理制度的；</w:t>
      </w:r>
    </w:p>
    <w:p w14:paraId="727A45AE">
      <w:pPr>
        <w:jc w:val="left"/>
        <w:rPr>
          <w:rFonts w:ascii="宋体" w:hAnsi="宋体"/>
          <w:kern w:val="44"/>
        </w:rPr>
      </w:pPr>
      <w:r>
        <w:rPr>
          <w:rFonts w:hint="eastAsia" w:ascii="宋体" w:hAnsi="宋体"/>
          <w:kern w:val="44"/>
        </w:rPr>
        <w:t>（六）未按规定对体育设施进行维修、保养的；</w:t>
      </w:r>
    </w:p>
    <w:p w14:paraId="63C8955D">
      <w:pPr>
        <w:jc w:val="left"/>
        <w:rPr>
          <w:rFonts w:ascii="宋体" w:hAnsi="宋体"/>
          <w:kern w:val="44"/>
        </w:rPr>
      </w:pPr>
      <w:r>
        <w:rPr>
          <w:rFonts w:hint="eastAsia" w:ascii="宋体" w:hAnsi="宋体"/>
          <w:kern w:val="44"/>
        </w:rPr>
        <w:t>（七）未按规定到体育行政部门办理体育设施注册登记手续的；</w:t>
      </w:r>
    </w:p>
    <w:p w14:paraId="305472D7">
      <w:pPr>
        <w:jc w:val="left"/>
        <w:rPr>
          <w:rFonts w:ascii="宋体" w:hAnsi="宋体"/>
          <w:kern w:val="44"/>
        </w:rPr>
      </w:pPr>
      <w:r>
        <w:rPr>
          <w:rFonts w:hint="eastAsia" w:ascii="宋体" w:hAnsi="宋体"/>
          <w:kern w:val="44"/>
        </w:rPr>
        <w:t>（八）聘用的场地专业技术人员未经培训考核合格的；</w:t>
      </w:r>
    </w:p>
    <w:p w14:paraId="48F566E4">
      <w:pPr>
        <w:jc w:val="left"/>
        <w:rPr>
          <w:rFonts w:ascii="宋体" w:hAnsi="宋体"/>
          <w:kern w:val="44"/>
        </w:rPr>
      </w:pPr>
      <w:r>
        <w:rPr>
          <w:rFonts w:hint="eastAsia" w:ascii="宋体" w:hAnsi="宋体"/>
          <w:kern w:val="44"/>
        </w:rPr>
        <w:t>（九）未按规定办理年检手续或者年检不符合要求的。</w:t>
      </w:r>
    </w:p>
    <w:p w14:paraId="576C420E">
      <w:pPr>
        <w:ind w:firstLine="422"/>
        <w:jc w:val="left"/>
        <w:rPr>
          <w:rFonts w:ascii="宋体" w:hAnsi="宋体"/>
          <w:kern w:val="44"/>
        </w:rPr>
      </w:pPr>
      <w:r>
        <w:rPr>
          <w:rFonts w:hint="eastAsia" w:ascii="宋体" w:hAnsi="宋体"/>
          <w:b/>
          <w:kern w:val="44"/>
        </w:rPr>
        <w:t>第二十五条</w:t>
      </w:r>
      <w:r>
        <w:rPr>
          <w:rFonts w:hint="eastAsia" w:ascii="宋体" w:hAnsi="宋体"/>
          <w:kern w:val="44"/>
        </w:rPr>
        <w:t>　侵占、破坏公共体育设施或者居住区配套体育设施的，由体育行政部门责令限期改正，并依法承担民事责任。</w:t>
      </w:r>
    </w:p>
    <w:p w14:paraId="1C8F74B0">
      <w:pPr>
        <w:jc w:val="left"/>
        <w:rPr>
          <w:rFonts w:ascii="宋体" w:hAnsi="宋体"/>
          <w:kern w:val="44"/>
        </w:rPr>
      </w:pPr>
      <w:r>
        <w:rPr>
          <w:rFonts w:hint="eastAsia" w:ascii="宋体" w:hAnsi="宋体"/>
          <w:kern w:val="44"/>
        </w:rPr>
        <w:t>有前款所列行为，违反治安管理的，由公安机关按照《中华人民共和国治安管理处罚条例》的有关规定给予处罚；构成犯罪的，依法追究刑事责任。</w:t>
      </w:r>
    </w:p>
    <w:p w14:paraId="0865633F">
      <w:pPr>
        <w:ind w:firstLine="422"/>
        <w:jc w:val="left"/>
        <w:rPr>
          <w:rFonts w:ascii="宋体" w:hAnsi="宋体"/>
          <w:kern w:val="44"/>
        </w:rPr>
      </w:pPr>
      <w:r>
        <w:rPr>
          <w:rFonts w:hint="eastAsia" w:ascii="宋体" w:hAnsi="宋体"/>
          <w:b/>
          <w:kern w:val="44"/>
        </w:rPr>
        <w:t>第二十六条</w:t>
      </w:r>
      <w:r>
        <w:rPr>
          <w:rFonts w:hint="eastAsia" w:ascii="宋体" w:hAnsi="宋体"/>
          <w:kern w:val="44"/>
        </w:rPr>
        <w:t>　对擅自改变公共体育设施、居住区配套体育设施或者学校体育设施建设用地用途的，以及不按照批准的规划设计方案建设居住区配套体育设施的，由土地行政主管部门和规划行政主管部门依法予以处理。</w:t>
      </w:r>
    </w:p>
    <w:p w14:paraId="782D0073">
      <w:pPr>
        <w:ind w:firstLine="422"/>
        <w:jc w:val="left"/>
        <w:rPr>
          <w:rFonts w:ascii="宋体" w:hAnsi="宋体"/>
          <w:kern w:val="44"/>
        </w:rPr>
      </w:pPr>
      <w:r>
        <w:rPr>
          <w:rFonts w:hint="eastAsia" w:ascii="宋体" w:hAnsi="宋体"/>
          <w:b/>
          <w:kern w:val="44"/>
        </w:rPr>
        <w:t>第二十七条</w:t>
      </w:r>
      <w:r>
        <w:rPr>
          <w:rFonts w:hint="eastAsia" w:ascii="宋体" w:hAnsi="宋体"/>
          <w:kern w:val="44"/>
        </w:rPr>
        <w:t>　侵占、破坏学校体育设施的，由市和区、县人民政府或者教育行政部门令其限期清退和修复。</w:t>
      </w:r>
    </w:p>
    <w:p w14:paraId="719C90A8">
      <w:pPr>
        <w:ind w:firstLine="422"/>
        <w:jc w:val="left"/>
        <w:rPr>
          <w:rFonts w:ascii="宋体" w:hAnsi="宋体"/>
          <w:kern w:val="44"/>
        </w:rPr>
      </w:pPr>
      <w:r>
        <w:rPr>
          <w:rFonts w:hint="eastAsia" w:ascii="宋体" w:hAnsi="宋体"/>
          <w:b/>
          <w:kern w:val="44"/>
        </w:rPr>
        <w:t>第二十八条</w:t>
      </w:r>
      <w:r>
        <w:rPr>
          <w:rFonts w:hint="eastAsia" w:ascii="宋体" w:hAnsi="宋体"/>
          <w:kern w:val="44"/>
        </w:rPr>
        <w:t>　体育行政部门及其工作人员玩忽职守、滥用取权、徇私舞弊的，由其所在单位或者上级主管部门给予行政处分；构成犯罪的，依法追究刑事责任。</w:t>
      </w:r>
    </w:p>
    <w:p w14:paraId="212FD8A9">
      <w:pPr>
        <w:ind w:firstLine="422"/>
        <w:jc w:val="left"/>
        <w:rPr>
          <w:rFonts w:ascii="宋体" w:hAnsi="宋体"/>
          <w:kern w:val="44"/>
        </w:rPr>
      </w:pPr>
      <w:r>
        <w:rPr>
          <w:rFonts w:hint="eastAsia" w:ascii="宋体" w:hAnsi="宋体"/>
          <w:b/>
          <w:kern w:val="44"/>
        </w:rPr>
        <w:t>第二十九条</w:t>
      </w:r>
      <w:r>
        <w:rPr>
          <w:rFonts w:hint="eastAsia" w:ascii="宋体" w:hAnsi="宋体"/>
          <w:kern w:val="44"/>
        </w:rPr>
        <w:t>　拒绝、阻碍体育行政部门执法人员执行职务的，由公安机关按照《中华人民共和国治安管理处罚条例》的有关规定给予处罚；构成犯罪的，依法追究刑事责任。</w:t>
      </w:r>
    </w:p>
    <w:p w14:paraId="4634C4F4">
      <w:pPr>
        <w:jc w:val="left"/>
        <w:rPr>
          <w:rFonts w:ascii="宋体" w:hAnsi="宋体"/>
          <w:kern w:val="44"/>
        </w:rPr>
      </w:pPr>
    </w:p>
    <w:p w14:paraId="628C40EC">
      <w:pPr>
        <w:ind w:firstLine="0" w:firstLineChars="0"/>
        <w:jc w:val="center"/>
        <w:rPr>
          <w:rFonts w:ascii="宋体" w:hAnsi="宋体"/>
          <w:b/>
          <w:kern w:val="44"/>
          <w:sz w:val="28"/>
        </w:rPr>
      </w:pPr>
      <w:r>
        <w:rPr>
          <w:rFonts w:hint="eastAsia" w:ascii="宋体" w:hAnsi="宋体"/>
          <w:b/>
          <w:kern w:val="44"/>
          <w:sz w:val="28"/>
        </w:rPr>
        <w:t>第五章　附　则</w:t>
      </w:r>
    </w:p>
    <w:p w14:paraId="1E20765D">
      <w:pPr>
        <w:jc w:val="left"/>
        <w:rPr>
          <w:rFonts w:ascii="宋体" w:hAnsi="宋体"/>
          <w:kern w:val="44"/>
        </w:rPr>
      </w:pPr>
    </w:p>
    <w:p w14:paraId="6338183D">
      <w:pPr>
        <w:ind w:firstLine="422"/>
        <w:jc w:val="left"/>
        <w:rPr>
          <w:rFonts w:ascii="宋体" w:hAnsi="宋体"/>
          <w:kern w:val="44"/>
        </w:rPr>
      </w:pPr>
      <w:r>
        <w:rPr>
          <w:rFonts w:hint="eastAsia" w:ascii="宋体" w:hAnsi="宋体"/>
          <w:b/>
          <w:kern w:val="44"/>
        </w:rPr>
        <w:t>第三十条</w:t>
      </w:r>
      <w:r>
        <w:rPr>
          <w:rFonts w:hint="eastAsia" w:ascii="宋体" w:hAnsi="宋体"/>
          <w:kern w:val="44"/>
        </w:rPr>
        <w:t>　本条例自2000年1月1日起施行。</w:t>
      </w:r>
    </w:p>
    <w:p w14:paraId="5D410F6D">
      <w:pPr>
        <w:jc w:val="left"/>
        <w:rPr>
          <w:rFonts w:ascii="宋体" w:hAnsi="宋体"/>
          <w:kern w:val="44"/>
        </w:rPr>
      </w:pPr>
      <w:r>
        <w:rPr>
          <w:rFonts w:hint="eastAsia" w:ascii="宋体" w:hAnsi="宋体"/>
          <w:kern w:val="44"/>
        </w:rPr>
        <w:t>1996年7月30日北京市人民政府发布的《北京市公共体育场所管理办法》同时废止。</w:t>
      </w:r>
    </w:p>
    <w:p w14:paraId="72418AD0">
      <w:pPr>
        <w:pStyle w:val="4"/>
        <w:pageBreakBefore/>
        <w:rPr>
          <w:kern w:val="44"/>
        </w:rPr>
      </w:pPr>
      <w:bookmarkStart w:id="1724" w:name="_Toc428780259"/>
      <w:bookmarkStart w:id="1725" w:name="_Toc428781741"/>
      <w:bookmarkStart w:id="1726" w:name="_Toc427651693"/>
      <w:bookmarkStart w:id="1727" w:name="_Toc427652035"/>
      <w:bookmarkStart w:id="1728" w:name="_Toc422471448"/>
      <w:r>
        <w:rPr>
          <w:rFonts w:hint="eastAsia"/>
          <w:kern w:val="44"/>
        </w:rPr>
        <w:t>北京市全民健身条例</w:t>
      </w:r>
      <w:bookmarkEnd w:id="1724"/>
      <w:bookmarkEnd w:id="1725"/>
      <w:bookmarkEnd w:id="1726"/>
      <w:bookmarkEnd w:id="1727"/>
      <w:bookmarkEnd w:id="1728"/>
    </w:p>
    <w:p w14:paraId="4DCFAA9E">
      <w:pPr>
        <w:ind w:left="630" w:leftChars="300" w:right="630" w:rightChars="300"/>
        <w:jc w:val="left"/>
        <w:rPr>
          <w:rFonts w:ascii="楷体" w:hAnsi="楷体" w:eastAsia="楷体"/>
          <w:kern w:val="44"/>
        </w:rPr>
      </w:pPr>
      <w:r>
        <w:rPr>
          <w:rFonts w:hint="eastAsia" w:ascii="楷体" w:hAnsi="楷体" w:eastAsia="楷体"/>
          <w:kern w:val="44"/>
        </w:rPr>
        <w:t>（2005年12月1日北京市第十二届人民代表大会常务委员会第二十四次会议通过）</w:t>
      </w:r>
    </w:p>
    <w:p w14:paraId="3D526C52">
      <w:pPr>
        <w:jc w:val="left"/>
        <w:rPr>
          <w:rFonts w:ascii="宋体" w:hAnsi="宋体"/>
          <w:kern w:val="44"/>
        </w:rPr>
      </w:pPr>
    </w:p>
    <w:p w14:paraId="6CCEA328">
      <w:pPr>
        <w:ind w:firstLine="0" w:firstLineChars="0"/>
        <w:jc w:val="center"/>
        <w:rPr>
          <w:rFonts w:ascii="宋体" w:hAnsi="宋体"/>
          <w:b/>
          <w:kern w:val="44"/>
          <w:sz w:val="28"/>
        </w:rPr>
      </w:pPr>
      <w:r>
        <w:rPr>
          <w:rFonts w:hint="eastAsia" w:ascii="宋体" w:hAnsi="宋体"/>
          <w:b/>
          <w:kern w:val="44"/>
          <w:sz w:val="28"/>
        </w:rPr>
        <w:t>第一章　总　则</w:t>
      </w:r>
    </w:p>
    <w:p w14:paraId="1457B17D">
      <w:pPr>
        <w:jc w:val="left"/>
        <w:rPr>
          <w:rFonts w:ascii="宋体" w:hAnsi="宋体"/>
          <w:kern w:val="44"/>
        </w:rPr>
      </w:pPr>
    </w:p>
    <w:p w14:paraId="1EB5A8BF">
      <w:pPr>
        <w:ind w:firstLine="422"/>
        <w:jc w:val="left"/>
        <w:rPr>
          <w:rFonts w:ascii="宋体" w:hAnsi="宋体"/>
          <w:kern w:val="44"/>
        </w:rPr>
      </w:pPr>
      <w:r>
        <w:rPr>
          <w:rFonts w:hint="eastAsia" w:ascii="宋体" w:hAnsi="宋体"/>
          <w:b/>
          <w:kern w:val="44"/>
        </w:rPr>
        <w:t>第一条</w:t>
      </w:r>
      <w:r>
        <w:rPr>
          <w:rFonts w:hint="eastAsia" w:ascii="宋体" w:hAnsi="宋体"/>
          <w:kern w:val="44"/>
        </w:rPr>
        <w:t>　为促进全民健身活动的开展，增强全民体质，根据《中华人民共和国体育法》和其他有关法律、法规的规定，结合本市实际情况，制定本条例。</w:t>
      </w:r>
    </w:p>
    <w:p w14:paraId="417BBAED">
      <w:pPr>
        <w:ind w:firstLine="422"/>
        <w:jc w:val="left"/>
        <w:rPr>
          <w:rFonts w:ascii="宋体" w:hAnsi="宋体"/>
          <w:kern w:val="44"/>
        </w:rPr>
      </w:pPr>
      <w:r>
        <w:rPr>
          <w:rFonts w:hint="eastAsia" w:ascii="宋体" w:hAnsi="宋体"/>
          <w:b/>
          <w:kern w:val="44"/>
        </w:rPr>
        <w:t>第二条</w:t>
      </w:r>
      <w:r>
        <w:rPr>
          <w:rFonts w:hint="eastAsia" w:ascii="宋体" w:hAnsi="宋体"/>
          <w:kern w:val="44"/>
        </w:rPr>
        <w:t>　本条例适用于本市行政区域内全民健身活动的开展和管理。</w:t>
      </w:r>
    </w:p>
    <w:p w14:paraId="54045ECF">
      <w:pPr>
        <w:ind w:firstLine="422"/>
        <w:jc w:val="left"/>
        <w:rPr>
          <w:rFonts w:ascii="宋体" w:hAnsi="宋体"/>
          <w:kern w:val="44"/>
        </w:rPr>
      </w:pPr>
      <w:r>
        <w:rPr>
          <w:rFonts w:hint="eastAsia" w:ascii="宋体" w:hAnsi="宋体"/>
          <w:b/>
          <w:kern w:val="44"/>
        </w:rPr>
        <w:t>第三条</w:t>
      </w:r>
      <w:r>
        <w:rPr>
          <w:rFonts w:hint="eastAsia" w:ascii="宋体" w:hAnsi="宋体"/>
          <w:kern w:val="44"/>
        </w:rPr>
        <w:t>　全民健身活动应当坚持政府倡导、社会支持、全民参与、科学文明的原则。全社会应当关心和支持老年人、残疾人参加全民健身活动。</w:t>
      </w:r>
    </w:p>
    <w:p w14:paraId="6752198A">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政府应当加强全民健身工作的领导，将全民健身工作纳入本级国民经济和社会发展计划，将全民健身经费作为专项支出列入本级体育行政部门预算，并随着国民经济的发展和财政收入的增长而增加。</w:t>
      </w:r>
    </w:p>
    <w:p w14:paraId="320CA55D">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市和区、县体育行政部门主管本行政区域内的全民健身工作，编制全民健身规划，宣传全民健身知识，指导开展全民健身活动。市和区、县人民政府有关行政管理部门，应当按照各自的职责，做好全民健身工作。</w:t>
      </w:r>
    </w:p>
    <w:p w14:paraId="69BCD76B">
      <w:pPr>
        <w:ind w:firstLine="422"/>
        <w:jc w:val="left"/>
        <w:rPr>
          <w:rFonts w:ascii="宋体" w:hAnsi="宋体"/>
          <w:kern w:val="44"/>
        </w:rPr>
      </w:pPr>
      <w:r>
        <w:rPr>
          <w:rFonts w:hint="eastAsia" w:ascii="宋体" w:hAnsi="宋体"/>
          <w:b/>
          <w:kern w:val="44"/>
        </w:rPr>
        <w:t>第六条</w:t>
      </w:r>
      <w:r>
        <w:rPr>
          <w:rFonts w:hint="eastAsia" w:ascii="宋体" w:hAnsi="宋体"/>
          <w:kern w:val="44"/>
        </w:rPr>
        <w:t>　新闻媒体应当加强对全民健身活动的宣传，推广科学、文明、健康的全民健身项目和方法，普及全民健身知识。</w:t>
      </w:r>
    </w:p>
    <w:p w14:paraId="0160ED92">
      <w:pPr>
        <w:ind w:firstLine="422"/>
        <w:jc w:val="left"/>
        <w:rPr>
          <w:rFonts w:ascii="宋体" w:hAnsi="宋体"/>
          <w:kern w:val="44"/>
        </w:rPr>
      </w:pPr>
      <w:r>
        <w:rPr>
          <w:rFonts w:hint="eastAsia" w:ascii="宋体" w:hAnsi="宋体"/>
          <w:b/>
          <w:kern w:val="44"/>
        </w:rPr>
        <w:t>第七条</w:t>
      </w:r>
      <w:r>
        <w:rPr>
          <w:rFonts w:hint="eastAsia" w:ascii="宋体" w:hAnsi="宋体"/>
          <w:kern w:val="44"/>
        </w:rPr>
        <w:t>　鼓励和支持全民健身科学研究工作，推广科学健身的新项目、新器材、新方法。</w:t>
      </w:r>
    </w:p>
    <w:p w14:paraId="5670FF0B">
      <w:pPr>
        <w:ind w:firstLine="422"/>
        <w:jc w:val="left"/>
        <w:rPr>
          <w:rFonts w:ascii="宋体" w:hAnsi="宋体"/>
          <w:kern w:val="44"/>
        </w:rPr>
      </w:pPr>
      <w:r>
        <w:rPr>
          <w:rFonts w:hint="eastAsia" w:ascii="宋体" w:hAnsi="宋体"/>
          <w:b/>
          <w:kern w:val="44"/>
        </w:rPr>
        <w:t>第八条</w:t>
      </w:r>
      <w:r>
        <w:rPr>
          <w:rFonts w:hint="eastAsia" w:ascii="宋体" w:hAnsi="宋体"/>
          <w:kern w:val="44"/>
        </w:rPr>
        <w:t>　体育彩票公益金应当按照国家规定用于发展全民健身事业，专款专用，不得挪作他用。市体育行政部门应当接受上级主管部门和市审计、监察、财政、金融监管等部门对体育彩票公益金收取和使用等情况的监督和检查，并每年将体育彩票公益金使用情况向社会公布。</w:t>
      </w:r>
    </w:p>
    <w:p w14:paraId="2F95B9B9">
      <w:pPr>
        <w:ind w:firstLine="422"/>
        <w:jc w:val="left"/>
        <w:rPr>
          <w:rFonts w:ascii="宋体" w:hAnsi="宋体"/>
          <w:kern w:val="44"/>
        </w:rPr>
      </w:pPr>
      <w:r>
        <w:rPr>
          <w:rFonts w:hint="eastAsia" w:ascii="宋体" w:hAnsi="宋体"/>
          <w:b/>
          <w:kern w:val="44"/>
        </w:rPr>
        <w:t>第九条</w:t>
      </w:r>
      <w:r>
        <w:rPr>
          <w:rFonts w:hint="eastAsia" w:ascii="宋体" w:hAnsi="宋体"/>
          <w:kern w:val="44"/>
        </w:rPr>
        <w:t>　鼓励企业事业单位、社会团体、其他组织和个人以投资、捐赠等形式支持全民健身活动。</w:t>
      </w:r>
    </w:p>
    <w:p w14:paraId="0F857519">
      <w:pPr>
        <w:ind w:firstLine="422"/>
        <w:jc w:val="left"/>
        <w:rPr>
          <w:rFonts w:ascii="宋体" w:hAnsi="宋体"/>
          <w:kern w:val="44"/>
        </w:rPr>
      </w:pPr>
      <w:r>
        <w:rPr>
          <w:rFonts w:hint="eastAsia" w:ascii="宋体" w:hAnsi="宋体"/>
          <w:b/>
          <w:kern w:val="44"/>
        </w:rPr>
        <w:t>第十条</w:t>
      </w:r>
      <w:r>
        <w:rPr>
          <w:rFonts w:hint="eastAsia" w:ascii="宋体" w:hAnsi="宋体"/>
          <w:kern w:val="44"/>
        </w:rPr>
        <w:t>　本市鼓励和支持企业事业单位、社会团体、其他组织和个人，兴办面向大众的全民健身经营服务实体，依法从事有益的全民健身经营活动，推动全民健身服务业的发展，为实施全民健身计划服务。</w:t>
      </w:r>
    </w:p>
    <w:p w14:paraId="516794D2">
      <w:pPr>
        <w:ind w:firstLine="422"/>
        <w:jc w:val="left"/>
        <w:rPr>
          <w:rFonts w:ascii="宋体" w:hAnsi="宋体"/>
          <w:kern w:val="44"/>
        </w:rPr>
      </w:pPr>
      <w:r>
        <w:rPr>
          <w:rFonts w:hint="eastAsia" w:ascii="宋体" w:hAnsi="宋体"/>
          <w:b/>
          <w:kern w:val="44"/>
        </w:rPr>
        <w:t>第十一条</w:t>
      </w:r>
      <w:r>
        <w:rPr>
          <w:rFonts w:hint="eastAsia" w:ascii="宋体" w:hAnsi="宋体"/>
          <w:kern w:val="44"/>
        </w:rPr>
        <w:t>　本市对组织开展全民健身工作成绩显著的单位和个人给予表彰和奖励。市和区、县体育行政部门对参与全民健身活动突出的个人颁发健身奖章。</w:t>
      </w:r>
    </w:p>
    <w:p w14:paraId="00388FEA">
      <w:pPr>
        <w:jc w:val="left"/>
        <w:rPr>
          <w:rFonts w:ascii="宋体" w:hAnsi="宋体"/>
          <w:kern w:val="44"/>
        </w:rPr>
      </w:pPr>
    </w:p>
    <w:p w14:paraId="6F4CF242">
      <w:pPr>
        <w:ind w:firstLine="0" w:firstLineChars="0"/>
        <w:jc w:val="center"/>
        <w:rPr>
          <w:rFonts w:ascii="宋体" w:hAnsi="宋体"/>
          <w:b/>
          <w:kern w:val="44"/>
          <w:sz w:val="28"/>
        </w:rPr>
      </w:pPr>
      <w:r>
        <w:rPr>
          <w:rFonts w:hint="eastAsia" w:ascii="宋体" w:hAnsi="宋体"/>
          <w:b/>
          <w:kern w:val="44"/>
          <w:sz w:val="28"/>
        </w:rPr>
        <w:t>第二章　健身设施</w:t>
      </w:r>
    </w:p>
    <w:p w14:paraId="5BD38F46">
      <w:pPr>
        <w:jc w:val="left"/>
        <w:rPr>
          <w:rFonts w:ascii="宋体" w:hAnsi="宋体"/>
          <w:kern w:val="44"/>
        </w:rPr>
      </w:pPr>
    </w:p>
    <w:p w14:paraId="4659DFA2">
      <w:pPr>
        <w:ind w:firstLine="422"/>
        <w:jc w:val="left"/>
        <w:rPr>
          <w:rFonts w:ascii="宋体" w:hAnsi="宋体"/>
          <w:kern w:val="44"/>
        </w:rPr>
      </w:pPr>
      <w:r>
        <w:rPr>
          <w:rFonts w:hint="eastAsia" w:ascii="宋体" w:hAnsi="宋体"/>
          <w:b/>
          <w:kern w:val="44"/>
        </w:rPr>
        <w:t>第十二条</w:t>
      </w:r>
      <w:r>
        <w:rPr>
          <w:rFonts w:hint="eastAsia" w:ascii="宋体" w:hAnsi="宋体"/>
          <w:kern w:val="44"/>
        </w:rPr>
        <w:t>　市规划行政主管部门应当向体育行政部门通报规划审批的居住区配套体育设施建设项目的情况；市和区、县体育行政部门应当配合规划、建设、国土资源等行政部门做好居住区配套体育设施的验收和监督管理工作。</w:t>
      </w:r>
    </w:p>
    <w:p w14:paraId="24EFBBD1">
      <w:pPr>
        <w:ind w:firstLine="422"/>
        <w:jc w:val="left"/>
        <w:rPr>
          <w:rFonts w:ascii="宋体" w:hAnsi="宋体"/>
          <w:kern w:val="44"/>
        </w:rPr>
      </w:pPr>
      <w:r>
        <w:rPr>
          <w:rFonts w:hint="eastAsia" w:ascii="宋体" w:hAnsi="宋体"/>
          <w:b/>
          <w:kern w:val="44"/>
        </w:rPr>
        <w:t>第十三条</w:t>
      </w:r>
      <w:r>
        <w:rPr>
          <w:rFonts w:hint="eastAsia" w:ascii="宋体" w:hAnsi="宋体"/>
          <w:kern w:val="44"/>
        </w:rPr>
        <w:t>　国家机关、企业事业单位、社会团体和其他组织利用内部体育设施开展社区服务的，按照本市有关规定享受优惠政策。</w:t>
      </w:r>
    </w:p>
    <w:p w14:paraId="545802F8">
      <w:pPr>
        <w:ind w:firstLine="422"/>
        <w:jc w:val="left"/>
        <w:rPr>
          <w:rFonts w:ascii="宋体" w:hAnsi="宋体"/>
          <w:kern w:val="44"/>
        </w:rPr>
      </w:pPr>
      <w:r>
        <w:rPr>
          <w:rFonts w:hint="eastAsia" w:ascii="宋体" w:hAnsi="宋体"/>
          <w:b/>
          <w:kern w:val="44"/>
        </w:rPr>
        <w:t>第十四条</w:t>
      </w:r>
      <w:r>
        <w:rPr>
          <w:rFonts w:hint="eastAsia" w:ascii="宋体" w:hAnsi="宋体"/>
          <w:kern w:val="44"/>
        </w:rPr>
        <w:t>　全民健身设施的设置应当坚持便民、利民、安全、合理的原则。利用体育彩票公益金配建的全民健身设施，由受赠单位负责设施的日常管理和维护，保证其使用的安全性和公益性；设施的管理和更新的具体办法由市体育行政部门制定。</w:t>
      </w:r>
    </w:p>
    <w:p w14:paraId="5B2B207C">
      <w:pPr>
        <w:ind w:firstLine="422"/>
        <w:jc w:val="left"/>
        <w:rPr>
          <w:rFonts w:ascii="宋体" w:hAnsi="宋体"/>
          <w:kern w:val="44"/>
        </w:rPr>
      </w:pPr>
      <w:r>
        <w:rPr>
          <w:rFonts w:hint="eastAsia" w:ascii="宋体" w:hAnsi="宋体"/>
          <w:b/>
          <w:kern w:val="44"/>
        </w:rPr>
        <w:t>第十五条</w:t>
      </w:r>
      <w:r>
        <w:rPr>
          <w:rFonts w:hint="eastAsia" w:ascii="宋体" w:hAnsi="宋体"/>
          <w:kern w:val="44"/>
        </w:rPr>
        <w:t>　全民健身活动场所管理单位应当保障健身者的人身安全，并遵守下列规定：</w:t>
      </w:r>
    </w:p>
    <w:p w14:paraId="6995181E">
      <w:pPr>
        <w:jc w:val="left"/>
        <w:rPr>
          <w:rFonts w:ascii="宋体" w:hAnsi="宋体"/>
          <w:kern w:val="44"/>
        </w:rPr>
      </w:pPr>
      <w:r>
        <w:rPr>
          <w:rFonts w:hint="eastAsia" w:ascii="宋体" w:hAnsi="宋体"/>
          <w:kern w:val="44"/>
        </w:rPr>
        <w:t>（一）有健全的管理和安全制度；</w:t>
      </w:r>
    </w:p>
    <w:p w14:paraId="3A8864D4">
      <w:pPr>
        <w:jc w:val="left"/>
        <w:rPr>
          <w:rFonts w:ascii="宋体" w:hAnsi="宋体"/>
          <w:kern w:val="44"/>
        </w:rPr>
      </w:pPr>
      <w:r>
        <w:rPr>
          <w:rFonts w:hint="eastAsia" w:ascii="宋体" w:hAnsi="宋体"/>
          <w:kern w:val="44"/>
        </w:rPr>
        <w:t>（二）有健全的服务规范；</w:t>
      </w:r>
    </w:p>
    <w:p w14:paraId="3A5688D3">
      <w:pPr>
        <w:jc w:val="left"/>
        <w:rPr>
          <w:rFonts w:ascii="宋体" w:hAnsi="宋体"/>
          <w:kern w:val="44"/>
        </w:rPr>
      </w:pPr>
      <w:r>
        <w:rPr>
          <w:rFonts w:hint="eastAsia" w:ascii="宋体" w:hAnsi="宋体"/>
          <w:kern w:val="44"/>
        </w:rPr>
        <w:t>（三）使用的设施、设备、器材符合国家和本市制定的标准规定；</w:t>
      </w:r>
    </w:p>
    <w:p w14:paraId="56B3855C">
      <w:pPr>
        <w:jc w:val="left"/>
        <w:rPr>
          <w:rFonts w:ascii="宋体" w:hAnsi="宋体"/>
          <w:kern w:val="44"/>
        </w:rPr>
      </w:pPr>
      <w:r>
        <w:rPr>
          <w:rFonts w:hint="eastAsia" w:ascii="宋体" w:hAnsi="宋体"/>
          <w:kern w:val="44"/>
        </w:rPr>
        <w:t>（四）标明设施的使用方法、注意事项以及危险提示，并按照国家标准要求设置公共信息图形符号；</w:t>
      </w:r>
    </w:p>
    <w:p w14:paraId="29901ABE">
      <w:pPr>
        <w:jc w:val="left"/>
        <w:rPr>
          <w:rFonts w:ascii="宋体" w:hAnsi="宋体"/>
          <w:kern w:val="44"/>
        </w:rPr>
      </w:pPr>
      <w:r>
        <w:rPr>
          <w:rFonts w:hint="eastAsia" w:ascii="宋体" w:hAnsi="宋体"/>
          <w:kern w:val="44"/>
        </w:rPr>
        <w:t>（五）国家和本市其他有关规定。</w:t>
      </w:r>
    </w:p>
    <w:p w14:paraId="557137A3">
      <w:pPr>
        <w:ind w:firstLine="422"/>
        <w:jc w:val="left"/>
        <w:rPr>
          <w:rFonts w:ascii="宋体" w:hAnsi="宋体"/>
          <w:kern w:val="44"/>
        </w:rPr>
      </w:pPr>
      <w:r>
        <w:rPr>
          <w:rFonts w:hint="eastAsia" w:ascii="宋体" w:hAnsi="宋体"/>
          <w:b/>
          <w:kern w:val="44"/>
        </w:rPr>
        <w:t>第十六条</w:t>
      </w:r>
      <w:r>
        <w:rPr>
          <w:rFonts w:hint="eastAsia" w:ascii="宋体" w:hAnsi="宋体"/>
          <w:kern w:val="44"/>
        </w:rPr>
        <w:t>　国家实行强制性体育服务标准的体育运动项目活动场所，应当达到强制性体育服务标准，配备持有相应运动项目执业证书的从业人员后方可对社会提供服务。</w:t>
      </w:r>
    </w:p>
    <w:p w14:paraId="03B2BDE0">
      <w:pPr>
        <w:jc w:val="left"/>
        <w:rPr>
          <w:rFonts w:ascii="宋体" w:hAnsi="宋体"/>
          <w:kern w:val="44"/>
        </w:rPr>
      </w:pPr>
    </w:p>
    <w:p w14:paraId="298CE22E">
      <w:pPr>
        <w:ind w:firstLine="0" w:firstLineChars="0"/>
        <w:jc w:val="center"/>
        <w:rPr>
          <w:rFonts w:ascii="宋体" w:hAnsi="宋体"/>
          <w:b/>
          <w:kern w:val="44"/>
          <w:sz w:val="28"/>
        </w:rPr>
      </w:pPr>
      <w:r>
        <w:rPr>
          <w:rFonts w:hint="eastAsia" w:ascii="宋体" w:hAnsi="宋体"/>
          <w:b/>
          <w:kern w:val="44"/>
          <w:sz w:val="28"/>
        </w:rPr>
        <w:t>第三章　健身活动</w:t>
      </w:r>
    </w:p>
    <w:p w14:paraId="6FF0B013">
      <w:pPr>
        <w:jc w:val="left"/>
        <w:rPr>
          <w:rFonts w:ascii="宋体" w:hAnsi="宋体"/>
          <w:kern w:val="44"/>
        </w:rPr>
      </w:pPr>
    </w:p>
    <w:p w14:paraId="2638ECE5">
      <w:pPr>
        <w:ind w:firstLine="422"/>
        <w:jc w:val="left"/>
        <w:rPr>
          <w:rFonts w:ascii="宋体" w:hAnsi="宋体"/>
          <w:kern w:val="44"/>
        </w:rPr>
      </w:pPr>
      <w:r>
        <w:rPr>
          <w:rFonts w:hint="eastAsia" w:ascii="宋体" w:hAnsi="宋体"/>
          <w:b/>
          <w:kern w:val="44"/>
        </w:rPr>
        <w:t>第十七条</w:t>
      </w:r>
      <w:r>
        <w:rPr>
          <w:rFonts w:hint="eastAsia" w:ascii="宋体" w:hAnsi="宋体"/>
          <w:kern w:val="44"/>
        </w:rPr>
        <w:t>　每年六月二十三日（奥林匹克日）为本市全民健身日。</w:t>
      </w:r>
    </w:p>
    <w:p w14:paraId="36225676">
      <w:pPr>
        <w:ind w:firstLine="422"/>
        <w:jc w:val="left"/>
        <w:rPr>
          <w:rFonts w:ascii="宋体" w:hAnsi="宋体"/>
          <w:kern w:val="44"/>
        </w:rPr>
      </w:pPr>
      <w:r>
        <w:rPr>
          <w:rFonts w:hint="eastAsia" w:ascii="宋体" w:hAnsi="宋体"/>
          <w:b/>
          <w:kern w:val="44"/>
        </w:rPr>
        <w:t>第十八条</w:t>
      </w:r>
      <w:r>
        <w:rPr>
          <w:rFonts w:hint="eastAsia" w:ascii="宋体" w:hAnsi="宋体"/>
          <w:kern w:val="44"/>
        </w:rPr>
        <w:t>　本市各级人民政府支持社会力量举办全民健身运动会，开展多种形式的体育竞赛和表演活动。</w:t>
      </w:r>
    </w:p>
    <w:p w14:paraId="7B31A664">
      <w:pPr>
        <w:ind w:firstLine="422"/>
        <w:jc w:val="left"/>
        <w:rPr>
          <w:rFonts w:ascii="宋体" w:hAnsi="宋体"/>
          <w:kern w:val="44"/>
        </w:rPr>
      </w:pPr>
      <w:r>
        <w:rPr>
          <w:rFonts w:hint="eastAsia" w:ascii="宋体" w:hAnsi="宋体"/>
          <w:b/>
          <w:kern w:val="44"/>
        </w:rPr>
        <w:t>第十九条</w:t>
      </w:r>
      <w:r>
        <w:rPr>
          <w:rFonts w:hint="eastAsia" w:ascii="宋体" w:hAnsi="宋体"/>
          <w:kern w:val="44"/>
        </w:rPr>
        <w:t>　本市各级人民政府应当采取措施，鼓励发掘、整理民族、民间传统体育项目，开展传统体育健身活动。</w:t>
      </w:r>
    </w:p>
    <w:p w14:paraId="659356C0">
      <w:pPr>
        <w:ind w:firstLine="422"/>
        <w:jc w:val="left"/>
        <w:rPr>
          <w:rFonts w:ascii="宋体" w:hAnsi="宋体"/>
          <w:kern w:val="44"/>
        </w:rPr>
      </w:pPr>
      <w:r>
        <w:rPr>
          <w:rFonts w:hint="eastAsia" w:ascii="宋体" w:hAnsi="宋体"/>
          <w:b/>
          <w:kern w:val="44"/>
        </w:rPr>
        <w:t>第二十条</w:t>
      </w:r>
      <w:r>
        <w:rPr>
          <w:rFonts w:hint="eastAsia" w:ascii="宋体" w:hAnsi="宋体"/>
          <w:kern w:val="44"/>
        </w:rPr>
        <w:t>　乡镇人民政府和街道办事处应当确定体育工作人员，在区、县体育行政部门的指导下组织开展全民健身活动。乡镇人民政府和街道办事处根据本地区的特点，指导居民委员会、村民委员会因地制宜地组织推广形式多样的全民健身活动。</w:t>
      </w:r>
    </w:p>
    <w:p w14:paraId="384FCC41">
      <w:pPr>
        <w:ind w:firstLine="422"/>
        <w:jc w:val="left"/>
        <w:rPr>
          <w:rFonts w:ascii="宋体" w:hAnsi="宋体"/>
          <w:kern w:val="44"/>
        </w:rPr>
      </w:pPr>
      <w:r>
        <w:rPr>
          <w:rFonts w:hint="eastAsia" w:ascii="宋体" w:hAnsi="宋体"/>
          <w:b/>
          <w:kern w:val="44"/>
        </w:rPr>
        <w:t>第二十一条</w:t>
      </w:r>
      <w:r>
        <w:rPr>
          <w:rFonts w:hint="eastAsia" w:ascii="宋体" w:hAnsi="宋体"/>
          <w:kern w:val="44"/>
        </w:rPr>
        <w:t>　国家机关、企业事业单位、社会团体和其他组织应当实施普通人群体育锻炼标准，有计划地组织职工开展健身活动。提倡职工利用工间、工余和节假日开展每周三次以上，每次三十分钟以上的健身活动，并参加达标测试。</w:t>
      </w:r>
    </w:p>
    <w:p w14:paraId="649B756A">
      <w:pPr>
        <w:ind w:firstLine="422"/>
        <w:jc w:val="left"/>
        <w:rPr>
          <w:rFonts w:ascii="宋体" w:hAnsi="宋体"/>
          <w:kern w:val="44"/>
        </w:rPr>
      </w:pPr>
      <w:r>
        <w:rPr>
          <w:rFonts w:hint="eastAsia" w:ascii="宋体" w:hAnsi="宋体"/>
          <w:b/>
          <w:kern w:val="44"/>
        </w:rPr>
        <w:t>第二十二条</w:t>
      </w:r>
      <w:r>
        <w:rPr>
          <w:rFonts w:hint="eastAsia" w:ascii="宋体" w:hAnsi="宋体"/>
          <w:kern w:val="44"/>
        </w:rPr>
        <w:t>　工会、共产主义青年团、妇女联合会、残疾人联合会等组织结合各自特点，组织开展全民健身活动。</w:t>
      </w:r>
    </w:p>
    <w:p w14:paraId="695960F1">
      <w:pPr>
        <w:ind w:firstLine="422"/>
        <w:jc w:val="left"/>
        <w:rPr>
          <w:rFonts w:ascii="宋体" w:hAnsi="宋体"/>
          <w:kern w:val="44"/>
        </w:rPr>
      </w:pPr>
      <w:r>
        <w:rPr>
          <w:rFonts w:hint="eastAsia" w:ascii="宋体" w:hAnsi="宋体"/>
          <w:b/>
          <w:kern w:val="44"/>
        </w:rPr>
        <w:t>第二十三条</w:t>
      </w:r>
      <w:r>
        <w:rPr>
          <w:rFonts w:hint="eastAsia" w:ascii="宋体" w:hAnsi="宋体"/>
          <w:kern w:val="44"/>
        </w:rPr>
        <w:t>　各级教育行政部门应当加强对学校体育工作的指导和检查。学校体育工作应当作为考核学校工作的一项基本内容。</w:t>
      </w:r>
    </w:p>
    <w:p w14:paraId="266142BF">
      <w:pPr>
        <w:ind w:firstLine="422"/>
        <w:jc w:val="left"/>
        <w:rPr>
          <w:rFonts w:ascii="宋体" w:hAnsi="宋体"/>
          <w:kern w:val="44"/>
        </w:rPr>
      </w:pPr>
      <w:r>
        <w:rPr>
          <w:rFonts w:hint="eastAsia" w:ascii="宋体" w:hAnsi="宋体"/>
          <w:b/>
          <w:kern w:val="44"/>
        </w:rPr>
        <w:t>第二十四条</w:t>
      </w:r>
      <w:r>
        <w:rPr>
          <w:rFonts w:hint="eastAsia" w:ascii="宋体" w:hAnsi="宋体"/>
          <w:kern w:val="44"/>
        </w:rPr>
        <w:t>　学校应当将体育作为学生素质教育的重要组成部分，按照国家规定实施学生体质健康标准，开展对学生的体质监测，提高学生身体素质。</w:t>
      </w:r>
    </w:p>
    <w:p w14:paraId="438166E6">
      <w:pPr>
        <w:jc w:val="left"/>
        <w:rPr>
          <w:rFonts w:ascii="宋体" w:hAnsi="宋体"/>
          <w:kern w:val="44"/>
        </w:rPr>
      </w:pPr>
      <w:r>
        <w:rPr>
          <w:rFonts w:hint="eastAsia" w:ascii="宋体" w:hAnsi="宋体"/>
          <w:kern w:val="44"/>
        </w:rPr>
        <w:t>学校应当按照国家规定开设体育课，组织多种形式的课外体育活动，保证学生在校学习期间每天有不少于一小时的体育活动时间，培养学生体育锻炼习惯。学校应当每年至少举行一次全校性体育运动会。学校应当加强对本学校体育工作的安全管理。</w:t>
      </w:r>
    </w:p>
    <w:p w14:paraId="56BECEB1">
      <w:pPr>
        <w:ind w:firstLine="422"/>
        <w:jc w:val="left"/>
        <w:rPr>
          <w:rFonts w:ascii="宋体" w:hAnsi="宋体"/>
          <w:kern w:val="44"/>
        </w:rPr>
      </w:pPr>
      <w:r>
        <w:rPr>
          <w:rFonts w:hint="eastAsia" w:ascii="宋体" w:hAnsi="宋体"/>
          <w:b/>
          <w:kern w:val="44"/>
        </w:rPr>
        <w:t>第二十五条</w:t>
      </w:r>
      <w:r>
        <w:rPr>
          <w:rFonts w:hint="eastAsia" w:ascii="宋体" w:hAnsi="宋体"/>
          <w:kern w:val="44"/>
        </w:rPr>
        <w:t>　本市鼓励社会各界兴办体育协会、俱乐部、健身辅导站（点）。各级各类体育协会、俱乐部、健身辅导站（点）应当依照法律、法规和章程，在体育行政部门和行业主管部门的指导下，组织开展全民健身活动。</w:t>
      </w:r>
    </w:p>
    <w:p w14:paraId="00B0C657">
      <w:pPr>
        <w:ind w:firstLine="422"/>
        <w:jc w:val="left"/>
        <w:rPr>
          <w:rFonts w:ascii="宋体" w:hAnsi="宋体"/>
          <w:kern w:val="44"/>
        </w:rPr>
      </w:pPr>
      <w:r>
        <w:rPr>
          <w:rFonts w:hint="eastAsia" w:ascii="宋体" w:hAnsi="宋体"/>
          <w:b/>
          <w:kern w:val="44"/>
        </w:rPr>
        <w:t>第二十六条</w:t>
      </w:r>
      <w:r>
        <w:rPr>
          <w:rFonts w:hint="eastAsia" w:ascii="宋体" w:hAnsi="宋体"/>
          <w:kern w:val="44"/>
        </w:rPr>
        <w:t>　参加全民健身活动的，应当遵守健身活动场所规章制度，爱护健身设施，保护环境。不得影响他人的正常工作和生活，不得以全民健身名义从事迷信、赌博等违法活动。提倡参加全民健身活动的人员办理人身意外伤害保险。</w:t>
      </w:r>
    </w:p>
    <w:p w14:paraId="07F53D2E">
      <w:pPr>
        <w:jc w:val="left"/>
        <w:rPr>
          <w:rFonts w:ascii="宋体" w:hAnsi="宋体"/>
          <w:kern w:val="44"/>
        </w:rPr>
      </w:pPr>
    </w:p>
    <w:p w14:paraId="63F2DA53">
      <w:pPr>
        <w:ind w:firstLine="0" w:firstLineChars="0"/>
        <w:jc w:val="center"/>
        <w:rPr>
          <w:rFonts w:ascii="宋体" w:hAnsi="宋体"/>
          <w:b/>
          <w:kern w:val="44"/>
          <w:sz w:val="28"/>
        </w:rPr>
      </w:pPr>
      <w:r>
        <w:rPr>
          <w:rFonts w:hint="eastAsia" w:ascii="宋体" w:hAnsi="宋体"/>
          <w:b/>
          <w:kern w:val="44"/>
          <w:sz w:val="28"/>
        </w:rPr>
        <w:t>第四章  健身服务</w:t>
      </w:r>
    </w:p>
    <w:p w14:paraId="3C14AA83">
      <w:pPr>
        <w:jc w:val="left"/>
        <w:rPr>
          <w:rFonts w:ascii="宋体" w:hAnsi="宋体"/>
          <w:kern w:val="44"/>
        </w:rPr>
      </w:pPr>
    </w:p>
    <w:p w14:paraId="420245CD">
      <w:pPr>
        <w:ind w:firstLine="422"/>
        <w:jc w:val="left"/>
        <w:rPr>
          <w:rFonts w:ascii="宋体" w:hAnsi="宋体"/>
          <w:kern w:val="44"/>
        </w:rPr>
      </w:pPr>
      <w:r>
        <w:rPr>
          <w:rFonts w:hint="eastAsia" w:ascii="宋体" w:hAnsi="宋体"/>
          <w:b/>
          <w:kern w:val="44"/>
        </w:rPr>
        <w:t>第二十七条</w:t>
      </w:r>
      <w:r>
        <w:rPr>
          <w:rFonts w:hint="eastAsia" w:ascii="宋体" w:hAnsi="宋体"/>
          <w:kern w:val="44"/>
        </w:rPr>
        <w:t>　市和区、县体育行政部门应当加强全民健身信息化建设，为从事全民健身服务的单位、个人及健身者提供信息服务，督促和指导从事全民健身服务的单位开展标准化、规范化服务。</w:t>
      </w:r>
    </w:p>
    <w:p w14:paraId="4915190A">
      <w:pPr>
        <w:jc w:val="left"/>
        <w:rPr>
          <w:rFonts w:ascii="宋体" w:hAnsi="宋体"/>
          <w:kern w:val="44"/>
        </w:rPr>
      </w:pPr>
      <w:r>
        <w:rPr>
          <w:rFonts w:hint="eastAsia" w:ascii="宋体" w:hAnsi="宋体"/>
          <w:kern w:val="44"/>
        </w:rPr>
        <w:t>从事全民健身服务的场所应当达到国家和本市规定的标准，市和区、县体育行政部门应当加强监督检查，并将监督检查情况向社会公布。</w:t>
      </w:r>
    </w:p>
    <w:p w14:paraId="7DF4E0F0">
      <w:pPr>
        <w:ind w:firstLine="422"/>
        <w:jc w:val="left"/>
        <w:rPr>
          <w:rFonts w:ascii="宋体" w:hAnsi="宋体"/>
          <w:kern w:val="44"/>
        </w:rPr>
      </w:pPr>
      <w:r>
        <w:rPr>
          <w:rFonts w:hint="eastAsia" w:ascii="宋体" w:hAnsi="宋体"/>
          <w:b/>
          <w:kern w:val="44"/>
        </w:rPr>
        <w:t>第二十八条</w:t>
      </w:r>
      <w:r>
        <w:rPr>
          <w:rFonts w:hint="eastAsia" w:ascii="宋体" w:hAnsi="宋体"/>
          <w:kern w:val="44"/>
        </w:rPr>
        <w:t>　政府投资兴办的公园应当为晨练和晚练活动提供必要的健身条件。</w:t>
      </w:r>
    </w:p>
    <w:p w14:paraId="644F3F3A">
      <w:pPr>
        <w:ind w:firstLine="422"/>
        <w:jc w:val="left"/>
        <w:rPr>
          <w:rFonts w:ascii="宋体" w:hAnsi="宋体"/>
          <w:kern w:val="44"/>
        </w:rPr>
      </w:pPr>
      <w:r>
        <w:rPr>
          <w:rFonts w:hint="eastAsia" w:ascii="宋体" w:hAnsi="宋体"/>
          <w:b/>
          <w:kern w:val="44"/>
        </w:rPr>
        <w:t>第二十九条</w:t>
      </w:r>
      <w:r>
        <w:rPr>
          <w:rFonts w:hint="eastAsia" w:ascii="宋体" w:hAnsi="宋体"/>
          <w:kern w:val="44"/>
        </w:rPr>
        <w:t>　本市实施国民体质监测制度，建立国民体质监测系统，每五年向社会公布市民体质状况，并将国民体质监测结果纳入社会统计指标。</w:t>
      </w:r>
    </w:p>
    <w:p w14:paraId="35799587">
      <w:pPr>
        <w:ind w:firstLine="422"/>
        <w:jc w:val="left"/>
        <w:rPr>
          <w:rFonts w:ascii="宋体" w:hAnsi="宋体"/>
          <w:kern w:val="44"/>
        </w:rPr>
      </w:pPr>
      <w:r>
        <w:rPr>
          <w:rFonts w:hint="eastAsia" w:ascii="宋体" w:hAnsi="宋体"/>
          <w:b/>
          <w:kern w:val="44"/>
        </w:rPr>
        <w:t>第三十条</w:t>
      </w:r>
      <w:r>
        <w:rPr>
          <w:rFonts w:hint="eastAsia" w:ascii="宋体" w:hAnsi="宋体"/>
          <w:kern w:val="44"/>
        </w:rPr>
        <w:t>　本市推广国民体质测定工作，提倡公民定期进行体质测定，及时了解体质状况。</w:t>
      </w:r>
    </w:p>
    <w:p w14:paraId="3DAA744A">
      <w:pPr>
        <w:ind w:firstLine="422"/>
        <w:jc w:val="left"/>
        <w:rPr>
          <w:rFonts w:ascii="宋体" w:hAnsi="宋体"/>
          <w:kern w:val="44"/>
        </w:rPr>
      </w:pPr>
      <w:r>
        <w:rPr>
          <w:rFonts w:hint="eastAsia" w:ascii="宋体" w:hAnsi="宋体"/>
          <w:b/>
          <w:kern w:val="44"/>
        </w:rPr>
        <w:t>第三十一条</w:t>
      </w:r>
      <w:r>
        <w:rPr>
          <w:rFonts w:hint="eastAsia" w:ascii="宋体" w:hAnsi="宋体"/>
          <w:kern w:val="44"/>
        </w:rPr>
        <w:t>　从事国民体质测定的单位，应当具备以下基本条件：</w:t>
      </w:r>
    </w:p>
    <w:p w14:paraId="108B0187">
      <w:pPr>
        <w:jc w:val="left"/>
        <w:rPr>
          <w:rFonts w:ascii="宋体" w:hAnsi="宋体"/>
          <w:kern w:val="44"/>
        </w:rPr>
      </w:pPr>
      <w:r>
        <w:rPr>
          <w:rFonts w:hint="eastAsia" w:ascii="宋体" w:hAnsi="宋体"/>
          <w:kern w:val="44"/>
        </w:rPr>
        <w:t>（一）有培训合格的体质测定和健身指导人员；</w:t>
      </w:r>
    </w:p>
    <w:p w14:paraId="152C0CB4">
      <w:pPr>
        <w:jc w:val="left"/>
        <w:rPr>
          <w:rFonts w:ascii="宋体" w:hAnsi="宋体"/>
          <w:kern w:val="44"/>
        </w:rPr>
      </w:pPr>
      <w:r>
        <w:rPr>
          <w:rFonts w:hint="eastAsia" w:ascii="宋体" w:hAnsi="宋体"/>
          <w:kern w:val="44"/>
        </w:rPr>
        <w:t>（二）有符合体质测定项目要求的场地和器材；</w:t>
      </w:r>
    </w:p>
    <w:p w14:paraId="0489915F">
      <w:pPr>
        <w:jc w:val="left"/>
        <w:rPr>
          <w:rFonts w:ascii="宋体" w:hAnsi="宋体"/>
          <w:kern w:val="44"/>
        </w:rPr>
      </w:pPr>
      <w:r>
        <w:rPr>
          <w:rFonts w:hint="eastAsia" w:ascii="宋体" w:hAnsi="宋体"/>
          <w:kern w:val="44"/>
        </w:rPr>
        <w:t>（三）有对伤害事故及时救助的条件；</w:t>
      </w:r>
    </w:p>
    <w:p w14:paraId="3DB53B12">
      <w:pPr>
        <w:jc w:val="left"/>
        <w:rPr>
          <w:rFonts w:ascii="宋体" w:hAnsi="宋体"/>
          <w:kern w:val="44"/>
        </w:rPr>
      </w:pPr>
      <w:r>
        <w:rPr>
          <w:rFonts w:hint="eastAsia" w:ascii="宋体" w:hAnsi="宋体"/>
          <w:kern w:val="44"/>
        </w:rPr>
        <w:t>（四）有测试数据处理的设备和人员。</w:t>
      </w:r>
    </w:p>
    <w:p w14:paraId="21933B82">
      <w:pPr>
        <w:ind w:firstLine="422"/>
        <w:jc w:val="left"/>
        <w:rPr>
          <w:rFonts w:ascii="宋体" w:hAnsi="宋体"/>
          <w:kern w:val="44"/>
        </w:rPr>
      </w:pPr>
      <w:r>
        <w:rPr>
          <w:rFonts w:hint="eastAsia" w:ascii="宋体" w:hAnsi="宋体"/>
          <w:b/>
          <w:kern w:val="44"/>
        </w:rPr>
        <w:t>第三十二条</w:t>
      </w:r>
      <w:r>
        <w:rPr>
          <w:rFonts w:hint="eastAsia" w:ascii="宋体" w:hAnsi="宋体"/>
          <w:kern w:val="44"/>
        </w:rPr>
        <w:t>　从事国民体质测定时，应当按照国家体质测定标准规范操作，为被测试者提供测定结果，并给予科学健身指导；保存测定数据和资料，为被测试者的测定结果保密。</w:t>
      </w:r>
    </w:p>
    <w:p w14:paraId="6AB889B2">
      <w:pPr>
        <w:ind w:firstLine="422"/>
        <w:jc w:val="left"/>
        <w:rPr>
          <w:rFonts w:ascii="宋体" w:hAnsi="宋体"/>
          <w:kern w:val="44"/>
        </w:rPr>
      </w:pPr>
      <w:r>
        <w:rPr>
          <w:rFonts w:hint="eastAsia" w:ascii="宋体" w:hAnsi="宋体"/>
          <w:b/>
          <w:kern w:val="44"/>
        </w:rPr>
        <w:t>第三十三条</w:t>
      </w:r>
      <w:r>
        <w:rPr>
          <w:rFonts w:hint="eastAsia" w:ascii="宋体" w:hAnsi="宋体"/>
          <w:kern w:val="44"/>
        </w:rPr>
        <w:t>　本市按照国家规定实行社会体育指导员制度。社会体育指导员的评定标准和程序，按照国家有关规定执行。</w:t>
      </w:r>
    </w:p>
    <w:p w14:paraId="6F25DA6A">
      <w:pPr>
        <w:jc w:val="left"/>
        <w:rPr>
          <w:rFonts w:ascii="宋体" w:hAnsi="宋体"/>
          <w:kern w:val="44"/>
        </w:rPr>
      </w:pPr>
      <w:r>
        <w:rPr>
          <w:rFonts w:hint="eastAsia" w:ascii="宋体" w:hAnsi="宋体"/>
          <w:kern w:val="44"/>
        </w:rPr>
        <w:t>社会体育指导员在全民健身活动中，应当宣传科学健身知识、传授健身技能、组织指导健身活动。</w:t>
      </w:r>
    </w:p>
    <w:p w14:paraId="082E4D96">
      <w:pPr>
        <w:jc w:val="left"/>
        <w:rPr>
          <w:rFonts w:ascii="宋体" w:hAnsi="宋体"/>
          <w:kern w:val="44"/>
        </w:rPr>
      </w:pPr>
      <w:r>
        <w:rPr>
          <w:rFonts w:hint="eastAsia" w:ascii="宋体" w:hAnsi="宋体"/>
          <w:kern w:val="44"/>
        </w:rPr>
        <w:t>市和区、县体育行政部门应当将社会体育指导员纳入行业管理。</w:t>
      </w:r>
    </w:p>
    <w:p w14:paraId="53F39292">
      <w:pPr>
        <w:jc w:val="left"/>
        <w:rPr>
          <w:rFonts w:ascii="宋体" w:hAnsi="宋体"/>
          <w:kern w:val="44"/>
        </w:rPr>
      </w:pPr>
    </w:p>
    <w:p w14:paraId="7613F6A8">
      <w:pPr>
        <w:ind w:firstLine="0" w:firstLineChars="0"/>
        <w:jc w:val="center"/>
        <w:rPr>
          <w:rFonts w:ascii="宋体" w:hAnsi="宋体"/>
          <w:b/>
          <w:kern w:val="44"/>
          <w:sz w:val="28"/>
        </w:rPr>
      </w:pPr>
      <w:r>
        <w:rPr>
          <w:rFonts w:hint="eastAsia" w:ascii="宋体" w:hAnsi="宋体"/>
          <w:b/>
          <w:kern w:val="44"/>
          <w:sz w:val="28"/>
        </w:rPr>
        <w:t>第五章　法律责任</w:t>
      </w:r>
    </w:p>
    <w:p w14:paraId="674AAB9C">
      <w:pPr>
        <w:jc w:val="left"/>
        <w:rPr>
          <w:rFonts w:ascii="宋体" w:hAnsi="宋体"/>
          <w:kern w:val="44"/>
        </w:rPr>
      </w:pPr>
    </w:p>
    <w:p w14:paraId="7F5758A4">
      <w:pPr>
        <w:ind w:firstLine="422"/>
        <w:jc w:val="left"/>
        <w:rPr>
          <w:rFonts w:ascii="宋体" w:hAnsi="宋体"/>
          <w:kern w:val="44"/>
        </w:rPr>
      </w:pPr>
      <w:r>
        <w:rPr>
          <w:rFonts w:hint="eastAsia" w:ascii="宋体" w:hAnsi="宋体"/>
          <w:b/>
          <w:kern w:val="44"/>
        </w:rPr>
        <w:t>第三十四条</w:t>
      </w:r>
      <w:r>
        <w:rPr>
          <w:rFonts w:hint="eastAsia" w:ascii="宋体" w:hAnsi="宋体"/>
          <w:kern w:val="44"/>
        </w:rPr>
        <w:t>　各级政府有关行政部门及其工作人员，未依照本条例规定履行职责或者对违法行为不查处的，由有关部门对直接负责的主管人员和其他直接责任人员依法给予行政处分。</w:t>
      </w:r>
    </w:p>
    <w:p w14:paraId="17371616">
      <w:pPr>
        <w:ind w:firstLine="422"/>
        <w:jc w:val="left"/>
        <w:rPr>
          <w:rFonts w:ascii="宋体" w:hAnsi="宋体"/>
          <w:kern w:val="44"/>
        </w:rPr>
      </w:pPr>
      <w:r>
        <w:rPr>
          <w:rFonts w:hint="eastAsia" w:ascii="宋体" w:hAnsi="宋体"/>
          <w:b/>
          <w:kern w:val="44"/>
        </w:rPr>
        <w:t>第三十五条</w:t>
      </w:r>
      <w:r>
        <w:rPr>
          <w:rFonts w:hint="eastAsia" w:ascii="宋体" w:hAnsi="宋体"/>
          <w:kern w:val="44"/>
        </w:rPr>
        <w:t>　违反本条例规定，有下列情形之一的，由市或者区、县体育行政部门按照以下规定予以处罚：</w:t>
      </w:r>
    </w:p>
    <w:p w14:paraId="67B15359">
      <w:pPr>
        <w:jc w:val="left"/>
        <w:rPr>
          <w:rFonts w:ascii="宋体" w:hAnsi="宋体"/>
          <w:kern w:val="44"/>
        </w:rPr>
      </w:pPr>
      <w:r>
        <w:rPr>
          <w:rFonts w:hint="eastAsia" w:ascii="宋体" w:hAnsi="宋体"/>
          <w:kern w:val="44"/>
        </w:rPr>
        <w:t>（一）违反第十五条规定，全民健身活动场所不符合条件的，由体育行政部门给予警告，责令限期改正。</w:t>
      </w:r>
    </w:p>
    <w:p w14:paraId="42033CEA">
      <w:pPr>
        <w:jc w:val="left"/>
        <w:rPr>
          <w:rFonts w:ascii="宋体" w:hAnsi="宋体"/>
          <w:kern w:val="44"/>
        </w:rPr>
      </w:pPr>
      <w:r>
        <w:rPr>
          <w:rFonts w:hint="eastAsia" w:ascii="宋体" w:hAnsi="宋体"/>
          <w:kern w:val="44"/>
        </w:rPr>
        <w:t>（二）违反第十六条规定，国家实行强制性体育服务标准的体育运动项目活动场所未达到标准的，由体育行政部门责令限期改正；逾期不改的，处以3000元以上5000元以下罚款，情节严重的，可处以5000元以上3万元以下罚款；其从业人员未取得相应运动项目执业证书从事业务活动的，由体育行政部门责令改正，没收违法所得，对个人处以300元以上1000元以下罚款，对活动场所管理者处以3000元以上1万元以下罚款。</w:t>
      </w:r>
    </w:p>
    <w:p w14:paraId="0A75C790">
      <w:pPr>
        <w:ind w:firstLine="422"/>
        <w:jc w:val="left"/>
        <w:rPr>
          <w:rFonts w:ascii="宋体" w:hAnsi="宋体"/>
          <w:kern w:val="44"/>
        </w:rPr>
      </w:pPr>
      <w:r>
        <w:rPr>
          <w:rFonts w:hint="eastAsia" w:ascii="宋体" w:hAnsi="宋体"/>
          <w:b/>
          <w:kern w:val="44"/>
        </w:rPr>
        <w:t>第三十六条</w:t>
      </w:r>
      <w:r>
        <w:rPr>
          <w:rFonts w:hint="eastAsia" w:ascii="宋体" w:hAnsi="宋体"/>
          <w:kern w:val="44"/>
        </w:rPr>
        <w:t>　以健身名义从事迷信、赌博等违法活动的，由市和区、县体育行政部门给予批评、教育并制止；违反治安管理处罚有关规定的，由公安机关依法给予相应处罚；构成犯罪的，依法追究刑事责任。</w:t>
      </w:r>
    </w:p>
    <w:p w14:paraId="343E5E71">
      <w:pPr>
        <w:jc w:val="left"/>
        <w:rPr>
          <w:rFonts w:ascii="宋体" w:hAnsi="宋体"/>
          <w:kern w:val="44"/>
        </w:rPr>
      </w:pPr>
    </w:p>
    <w:p w14:paraId="7164E1B4">
      <w:pPr>
        <w:ind w:firstLine="0" w:firstLineChars="0"/>
        <w:jc w:val="center"/>
        <w:rPr>
          <w:rFonts w:ascii="宋体" w:hAnsi="宋体"/>
          <w:b/>
          <w:kern w:val="44"/>
          <w:sz w:val="28"/>
        </w:rPr>
      </w:pPr>
      <w:r>
        <w:rPr>
          <w:rFonts w:hint="eastAsia" w:ascii="宋体" w:hAnsi="宋体"/>
          <w:b/>
          <w:kern w:val="44"/>
          <w:sz w:val="28"/>
        </w:rPr>
        <w:t>第六章  附　则</w:t>
      </w:r>
    </w:p>
    <w:p w14:paraId="08E000E5">
      <w:pPr>
        <w:jc w:val="left"/>
        <w:rPr>
          <w:rFonts w:ascii="宋体" w:hAnsi="宋体"/>
          <w:kern w:val="44"/>
        </w:rPr>
      </w:pPr>
    </w:p>
    <w:p w14:paraId="3836FCFC">
      <w:pPr>
        <w:ind w:firstLine="422"/>
        <w:jc w:val="left"/>
        <w:rPr>
          <w:rFonts w:ascii="宋体" w:hAnsi="宋体"/>
          <w:kern w:val="44"/>
        </w:rPr>
      </w:pPr>
      <w:r>
        <w:rPr>
          <w:rFonts w:hint="eastAsia" w:ascii="宋体" w:hAnsi="宋体"/>
          <w:b/>
          <w:kern w:val="44"/>
        </w:rPr>
        <w:t>第三十七条</w:t>
      </w:r>
      <w:r>
        <w:rPr>
          <w:rFonts w:hint="eastAsia" w:ascii="宋体" w:hAnsi="宋体"/>
          <w:kern w:val="44"/>
        </w:rPr>
        <w:t>　本条例自2006年3月1日起施行。</w:t>
      </w:r>
    </w:p>
    <w:p w14:paraId="655557FE">
      <w:pPr>
        <w:pStyle w:val="4"/>
        <w:pageBreakBefore/>
        <w:rPr>
          <w:kern w:val="44"/>
        </w:rPr>
      </w:pPr>
      <w:bookmarkStart w:id="1729" w:name="_Toc427652036"/>
      <w:bookmarkStart w:id="1730" w:name="_Toc428781742"/>
      <w:bookmarkStart w:id="1731" w:name="_Toc422471449"/>
      <w:bookmarkStart w:id="1732" w:name="_Toc428780260"/>
      <w:bookmarkStart w:id="1733" w:name="_Toc427651694"/>
      <w:r>
        <w:rPr>
          <w:rFonts w:hint="eastAsia"/>
          <w:kern w:val="44"/>
        </w:rPr>
        <w:t>北京市体育竞赛管理办法</w:t>
      </w:r>
      <w:bookmarkEnd w:id="1729"/>
      <w:bookmarkEnd w:id="1730"/>
      <w:bookmarkEnd w:id="1731"/>
      <w:bookmarkEnd w:id="1732"/>
      <w:bookmarkEnd w:id="1733"/>
    </w:p>
    <w:p w14:paraId="3B090305">
      <w:pPr>
        <w:ind w:left="630" w:leftChars="300" w:right="630" w:rightChars="300"/>
        <w:jc w:val="left"/>
        <w:rPr>
          <w:rFonts w:ascii="楷体" w:hAnsi="楷体" w:eastAsia="楷体"/>
          <w:kern w:val="44"/>
        </w:rPr>
      </w:pPr>
      <w:r>
        <w:rPr>
          <w:rFonts w:hint="eastAsia" w:ascii="楷体" w:hAnsi="楷体" w:eastAsia="楷体"/>
          <w:kern w:val="44"/>
        </w:rPr>
        <w:t>（2006年6月6日北京市人民政府第50次常务会议审议通过  2006年6月15日北京市人民政府第173号令公布）</w:t>
      </w:r>
    </w:p>
    <w:p w14:paraId="7717F754">
      <w:pPr>
        <w:jc w:val="left"/>
        <w:rPr>
          <w:rFonts w:ascii="宋体" w:hAnsi="宋体"/>
          <w:kern w:val="44"/>
        </w:rPr>
      </w:pPr>
    </w:p>
    <w:p w14:paraId="3A25F673">
      <w:pPr>
        <w:ind w:firstLine="0" w:firstLineChars="0"/>
        <w:jc w:val="center"/>
        <w:rPr>
          <w:rFonts w:ascii="宋体" w:hAnsi="宋体"/>
          <w:b/>
          <w:kern w:val="44"/>
          <w:sz w:val="28"/>
        </w:rPr>
      </w:pPr>
      <w:r>
        <w:rPr>
          <w:rFonts w:hint="eastAsia" w:ascii="宋体" w:hAnsi="宋体"/>
          <w:b/>
          <w:kern w:val="44"/>
          <w:sz w:val="28"/>
        </w:rPr>
        <w:t>第一章　总　则</w:t>
      </w:r>
    </w:p>
    <w:p w14:paraId="72A22B7E">
      <w:pPr>
        <w:jc w:val="left"/>
        <w:rPr>
          <w:rFonts w:ascii="宋体" w:hAnsi="宋体"/>
          <w:kern w:val="44"/>
        </w:rPr>
      </w:pPr>
    </w:p>
    <w:p w14:paraId="11FA5BDB">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为了规范对体育竞赛的管理，促进体育事业的发展，根据《中华人民共和国体育法》和国家其他有关规定，结合本市实际情况，制定本办法。</w:t>
      </w:r>
    </w:p>
    <w:p w14:paraId="39A0AF2A">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在本市行政区域内面向社会举办体育竞赛及其管理，适用本办法。</w:t>
      </w:r>
    </w:p>
    <w:p w14:paraId="5D427C8F">
      <w:pPr>
        <w:jc w:val="left"/>
        <w:rPr>
          <w:rFonts w:ascii="宋体" w:hAnsi="宋体"/>
          <w:kern w:val="44"/>
        </w:rPr>
      </w:pPr>
      <w:r>
        <w:rPr>
          <w:rFonts w:hint="eastAsia" w:ascii="宋体" w:hAnsi="宋体"/>
          <w:kern w:val="44"/>
        </w:rPr>
        <w:t>机关、企业、事业单位和社会团体举办的本单位、本系统内部的体育竞赛，不适用本办法。</w:t>
      </w:r>
    </w:p>
    <w:p w14:paraId="00ECF3CC">
      <w:pPr>
        <w:ind w:firstLine="422"/>
        <w:jc w:val="left"/>
        <w:rPr>
          <w:rFonts w:ascii="宋体" w:hAnsi="宋体"/>
          <w:kern w:val="44"/>
        </w:rPr>
      </w:pPr>
      <w:r>
        <w:rPr>
          <w:rFonts w:hint="eastAsia" w:ascii="宋体" w:hAnsi="宋体"/>
          <w:b/>
          <w:kern w:val="44"/>
        </w:rPr>
        <w:t>第三条</w:t>
      </w:r>
      <w:r>
        <w:rPr>
          <w:rFonts w:hint="eastAsia" w:ascii="宋体" w:hAnsi="宋体"/>
          <w:kern w:val="44"/>
        </w:rPr>
        <w:t>　体育竞赛应当遵循有益于人民群众身心健康、有利于体育事业发展的原则，依法文明举行。</w:t>
      </w:r>
    </w:p>
    <w:p w14:paraId="3F29DB91">
      <w:pPr>
        <w:ind w:firstLine="422"/>
        <w:jc w:val="left"/>
        <w:rPr>
          <w:rFonts w:ascii="宋体" w:hAnsi="宋体"/>
          <w:kern w:val="44"/>
        </w:rPr>
      </w:pPr>
      <w:r>
        <w:rPr>
          <w:rFonts w:hint="eastAsia" w:ascii="宋体" w:hAnsi="宋体"/>
          <w:b/>
          <w:kern w:val="44"/>
        </w:rPr>
        <w:t>第四条</w:t>
      </w:r>
      <w:r>
        <w:rPr>
          <w:rFonts w:hint="eastAsia" w:ascii="宋体" w:hAnsi="宋体"/>
          <w:kern w:val="44"/>
        </w:rPr>
        <w:t>　体育竞赛管理实行政府监管和行业自律相结合的原则，并逐步实行对体育竞赛的行业自律管理。</w:t>
      </w:r>
    </w:p>
    <w:p w14:paraId="7A739785">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市和区、县人民政府应当加强对体育竞赛管理工作的领导，督促政府有关部门依法履行对体育竞赛的监督管理职责。</w:t>
      </w:r>
    </w:p>
    <w:p w14:paraId="6F419B58">
      <w:pPr>
        <w:jc w:val="left"/>
        <w:rPr>
          <w:rFonts w:ascii="宋体" w:hAnsi="宋体"/>
          <w:kern w:val="44"/>
        </w:rPr>
      </w:pPr>
      <w:r>
        <w:rPr>
          <w:rFonts w:hint="eastAsia" w:ascii="宋体" w:hAnsi="宋体"/>
          <w:kern w:val="44"/>
        </w:rPr>
        <w:t>市和区、县体育行政部门主管本行政区域内的体育竞赛管理工作。</w:t>
      </w:r>
    </w:p>
    <w:p w14:paraId="5A520ED0">
      <w:pPr>
        <w:jc w:val="left"/>
        <w:rPr>
          <w:rFonts w:ascii="宋体" w:hAnsi="宋体"/>
          <w:kern w:val="44"/>
        </w:rPr>
      </w:pPr>
      <w:r>
        <w:rPr>
          <w:rFonts w:hint="eastAsia" w:ascii="宋体" w:hAnsi="宋体"/>
          <w:kern w:val="44"/>
        </w:rPr>
        <w:t>公安、卫生、质量技术监督、安全生产监督管理、工商行政管理、税务等部门，应当按照各自职责做好体育竞赛的管理工作。</w:t>
      </w:r>
    </w:p>
    <w:p w14:paraId="3A1259C7">
      <w:pPr>
        <w:ind w:firstLine="422"/>
        <w:jc w:val="left"/>
        <w:rPr>
          <w:rFonts w:ascii="宋体" w:hAnsi="宋体"/>
          <w:kern w:val="44"/>
        </w:rPr>
      </w:pPr>
      <w:r>
        <w:rPr>
          <w:rFonts w:hint="eastAsia" w:ascii="宋体" w:hAnsi="宋体"/>
          <w:b/>
          <w:kern w:val="44"/>
        </w:rPr>
        <w:t>第六条</w:t>
      </w:r>
      <w:r>
        <w:rPr>
          <w:rFonts w:hint="eastAsia" w:ascii="宋体" w:hAnsi="宋体"/>
          <w:kern w:val="44"/>
        </w:rPr>
        <w:t>　本市鼓励单位和个人举办体育竞赛，鼓励单位和个人以投资、捐赠等形式支持体育竞赛。</w:t>
      </w:r>
    </w:p>
    <w:p w14:paraId="6B0DC480">
      <w:pPr>
        <w:jc w:val="left"/>
        <w:rPr>
          <w:rFonts w:ascii="宋体" w:hAnsi="宋体"/>
          <w:kern w:val="44"/>
        </w:rPr>
      </w:pPr>
    </w:p>
    <w:p w14:paraId="736953CE">
      <w:pPr>
        <w:ind w:firstLine="0" w:firstLineChars="0"/>
        <w:jc w:val="center"/>
        <w:rPr>
          <w:rFonts w:ascii="宋体" w:hAnsi="宋体"/>
          <w:b/>
          <w:kern w:val="44"/>
          <w:sz w:val="28"/>
        </w:rPr>
      </w:pPr>
      <w:r>
        <w:rPr>
          <w:rFonts w:hint="eastAsia" w:ascii="宋体" w:hAnsi="宋体"/>
          <w:b/>
          <w:kern w:val="44"/>
          <w:sz w:val="28"/>
        </w:rPr>
        <w:t>第二章  规范与安全</w:t>
      </w:r>
    </w:p>
    <w:p w14:paraId="126109E4">
      <w:pPr>
        <w:jc w:val="left"/>
        <w:rPr>
          <w:rFonts w:ascii="宋体" w:hAnsi="宋体"/>
          <w:kern w:val="44"/>
        </w:rPr>
      </w:pPr>
    </w:p>
    <w:p w14:paraId="47D809FF">
      <w:pPr>
        <w:ind w:firstLine="422"/>
        <w:jc w:val="left"/>
        <w:rPr>
          <w:rFonts w:ascii="宋体" w:hAnsi="宋体"/>
          <w:kern w:val="44"/>
        </w:rPr>
      </w:pPr>
      <w:r>
        <w:rPr>
          <w:rFonts w:hint="eastAsia" w:ascii="宋体" w:hAnsi="宋体"/>
          <w:b/>
          <w:kern w:val="44"/>
        </w:rPr>
        <w:t>第七条</w:t>
      </w:r>
      <w:r>
        <w:rPr>
          <w:rFonts w:hint="eastAsia" w:ascii="宋体" w:hAnsi="宋体"/>
          <w:kern w:val="44"/>
        </w:rPr>
        <w:t>　体育竞赛的安全管理实行谁主办、谁负责的原则。</w:t>
      </w:r>
    </w:p>
    <w:p w14:paraId="29C3226E">
      <w:pPr>
        <w:jc w:val="left"/>
        <w:rPr>
          <w:rFonts w:ascii="宋体" w:hAnsi="宋体"/>
          <w:kern w:val="44"/>
        </w:rPr>
      </w:pPr>
      <w:r>
        <w:rPr>
          <w:rFonts w:hint="eastAsia" w:ascii="宋体" w:hAnsi="宋体"/>
          <w:kern w:val="44"/>
        </w:rPr>
        <w:t>举办体育竞赛的单位和个人（以下统称主办者）应当对体育竞赛的安全工作全面负责。体育竞赛有承办者的，主办者应当与承办者签定安全协议，明确安全责任。承办者应当按照安全协议规定的职责，与主办者共同落实安全工作。</w:t>
      </w:r>
    </w:p>
    <w:p w14:paraId="5EC8E19C">
      <w:pPr>
        <w:ind w:firstLine="422"/>
        <w:jc w:val="left"/>
        <w:rPr>
          <w:rFonts w:ascii="宋体" w:hAnsi="宋体"/>
          <w:kern w:val="44"/>
        </w:rPr>
      </w:pPr>
      <w:r>
        <w:rPr>
          <w:rFonts w:hint="eastAsia" w:ascii="宋体" w:hAnsi="宋体"/>
          <w:b/>
          <w:kern w:val="44"/>
        </w:rPr>
        <w:t>第八条</w:t>
      </w:r>
      <w:r>
        <w:rPr>
          <w:rFonts w:hint="eastAsia" w:ascii="宋体" w:hAnsi="宋体"/>
          <w:kern w:val="44"/>
        </w:rPr>
        <w:t>　举办体育竞赛应当符合下列规定：</w:t>
      </w:r>
    </w:p>
    <w:p w14:paraId="15ED30F9">
      <w:pPr>
        <w:jc w:val="left"/>
        <w:rPr>
          <w:rFonts w:ascii="宋体" w:hAnsi="宋体"/>
          <w:kern w:val="44"/>
        </w:rPr>
      </w:pPr>
      <w:r>
        <w:rPr>
          <w:rFonts w:hint="eastAsia" w:ascii="宋体" w:hAnsi="宋体"/>
          <w:kern w:val="44"/>
        </w:rPr>
        <w:t>（一）主办者能够独立承担民事责任；</w:t>
      </w:r>
    </w:p>
    <w:p w14:paraId="3BC9D489">
      <w:pPr>
        <w:jc w:val="left"/>
        <w:rPr>
          <w:rFonts w:ascii="宋体" w:hAnsi="宋体"/>
          <w:kern w:val="44"/>
        </w:rPr>
      </w:pPr>
      <w:r>
        <w:rPr>
          <w:rFonts w:hint="eastAsia" w:ascii="宋体" w:hAnsi="宋体"/>
          <w:kern w:val="44"/>
        </w:rPr>
        <w:t>（二）有体育竞赛规程、组织实施方案；</w:t>
      </w:r>
    </w:p>
    <w:p w14:paraId="7C3E3C94">
      <w:pPr>
        <w:jc w:val="left"/>
        <w:rPr>
          <w:rFonts w:ascii="宋体" w:hAnsi="宋体"/>
          <w:kern w:val="44"/>
        </w:rPr>
      </w:pPr>
      <w:r>
        <w:rPr>
          <w:rFonts w:hint="eastAsia" w:ascii="宋体" w:hAnsi="宋体"/>
          <w:kern w:val="44"/>
        </w:rPr>
        <w:t>（三）配备的组织机构、管理人员和专业技术人员与体育竞赛规模、内容相适应；</w:t>
      </w:r>
    </w:p>
    <w:p w14:paraId="18180CBE">
      <w:pPr>
        <w:jc w:val="left"/>
        <w:rPr>
          <w:rFonts w:ascii="宋体" w:hAnsi="宋体"/>
          <w:kern w:val="44"/>
        </w:rPr>
      </w:pPr>
      <w:r>
        <w:rPr>
          <w:rFonts w:hint="eastAsia" w:ascii="宋体" w:hAnsi="宋体"/>
          <w:kern w:val="44"/>
        </w:rPr>
        <w:t>（四）有与体育竞赛规模相适应的经费；</w:t>
      </w:r>
    </w:p>
    <w:p w14:paraId="76E185FB">
      <w:pPr>
        <w:jc w:val="left"/>
        <w:rPr>
          <w:rFonts w:ascii="宋体" w:hAnsi="宋体"/>
          <w:kern w:val="44"/>
        </w:rPr>
      </w:pPr>
      <w:r>
        <w:rPr>
          <w:rFonts w:hint="eastAsia" w:ascii="宋体" w:hAnsi="宋体"/>
          <w:kern w:val="44"/>
        </w:rPr>
        <w:t>（五）场所、设施、器材与体育竞赛规模、内容相适应。</w:t>
      </w:r>
    </w:p>
    <w:p w14:paraId="7AF80B62">
      <w:pPr>
        <w:ind w:firstLine="422"/>
        <w:jc w:val="left"/>
        <w:rPr>
          <w:rFonts w:ascii="宋体" w:hAnsi="宋体"/>
          <w:kern w:val="44"/>
        </w:rPr>
      </w:pPr>
      <w:r>
        <w:rPr>
          <w:rFonts w:hint="eastAsia" w:ascii="宋体" w:hAnsi="宋体"/>
          <w:b/>
          <w:kern w:val="44"/>
        </w:rPr>
        <w:t>第九条</w:t>
      </w:r>
      <w:r>
        <w:rPr>
          <w:rFonts w:hint="eastAsia" w:ascii="宋体" w:hAnsi="宋体"/>
          <w:kern w:val="44"/>
        </w:rPr>
        <w:t>　有下列情形之一的，不得举办体育竞赛：</w:t>
      </w:r>
    </w:p>
    <w:p w14:paraId="596B0D0D">
      <w:pPr>
        <w:jc w:val="left"/>
        <w:rPr>
          <w:rFonts w:ascii="宋体" w:hAnsi="宋体"/>
          <w:kern w:val="44"/>
        </w:rPr>
      </w:pPr>
      <w:r>
        <w:rPr>
          <w:rFonts w:hint="eastAsia" w:ascii="宋体" w:hAnsi="宋体"/>
          <w:kern w:val="44"/>
        </w:rPr>
        <w:t>（一）不符合本办法第八条规定条件之一的；</w:t>
      </w:r>
    </w:p>
    <w:p w14:paraId="1A538C71">
      <w:pPr>
        <w:jc w:val="left"/>
        <w:rPr>
          <w:rFonts w:ascii="宋体" w:hAnsi="宋体"/>
          <w:kern w:val="44"/>
        </w:rPr>
      </w:pPr>
      <w:r>
        <w:rPr>
          <w:rFonts w:hint="eastAsia" w:ascii="宋体" w:hAnsi="宋体"/>
          <w:kern w:val="44"/>
        </w:rPr>
        <w:t>（二）危害国家安全或者社会公共利益的；</w:t>
      </w:r>
    </w:p>
    <w:p w14:paraId="3E454403">
      <w:pPr>
        <w:jc w:val="left"/>
        <w:rPr>
          <w:rFonts w:ascii="宋体" w:hAnsi="宋体"/>
          <w:kern w:val="44"/>
        </w:rPr>
      </w:pPr>
      <w:r>
        <w:rPr>
          <w:rFonts w:hint="eastAsia" w:ascii="宋体" w:hAnsi="宋体"/>
          <w:kern w:val="44"/>
        </w:rPr>
        <w:t>（三）影响国事、外交、军事或者其他重大活动的；</w:t>
      </w:r>
    </w:p>
    <w:p w14:paraId="600FAC1F">
      <w:pPr>
        <w:jc w:val="left"/>
        <w:rPr>
          <w:rFonts w:ascii="宋体" w:hAnsi="宋体"/>
          <w:kern w:val="44"/>
        </w:rPr>
      </w:pPr>
      <w:r>
        <w:rPr>
          <w:rFonts w:hint="eastAsia" w:ascii="宋体" w:hAnsi="宋体"/>
          <w:kern w:val="44"/>
        </w:rPr>
        <w:t>（四）严重妨碍道路交通安全秩序和社会公共秩序的。</w:t>
      </w:r>
    </w:p>
    <w:p w14:paraId="095DC402">
      <w:pPr>
        <w:ind w:firstLine="422"/>
        <w:jc w:val="left"/>
        <w:rPr>
          <w:rFonts w:ascii="宋体" w:hAnsi="宋体"/>
          <w:kern w:val="44"/>
        </w:rPr>
      </w:pPr>
      <w:r>
        <w:rPr>
          <w:rFonts w:hint="eastAsia" w:ascii="宋体" w:hAnsi="宋体"/>
          <w:b/>
          <w:kern w:val="44"/>
        </w:rPr>
        <w:t>第十条</w:t>
      </w:r>
      <w:r>
        <w:rPr>
          <w:rFonts w:hint="eastAsia" w:ascii="宋体" w:hAnsi="宋体"/>
          <w:kern w:val="44"/>
        </w:rPr>
        <w:t>　主办者举办游泳、卡丁车、蹦极、攀岩、轮滑、滑雪、滑冰、射击、射箭、潜水、漂流、滑翔伞、热气球、动力滑翔伞等国家实行强制性体育服务标准和其他需要实行强制性体育服务标准的体育竞赛，应当遵守国家和本市的体育服务标准。</w:t>
      </w:r>
    </w:p>
    <w:p w14:paraId="001C6B42">
      <w:pPr>
        <w:jc w:val="left"/>
        <w:rPr>
          <w:rFonts w:ascii="宋体" w:hAnsi="宋体"/>
          <w:kern w:val="44"/>
        </w:rPr>
      </w:pPr>
      <w:r>
        <w:rPr>
          <w:rFonts w:hint="eastAsia" w:ascii="宋体" w:hAnsi="宋体"/>
          <w:kern w:val="44"/>
        </w:rPr>
        <w:t>对国家未制定体育服务标准的体育竞赛项目，市体育行政部门应当会同有关部门制定本市的体育服务标准。</w:t>
      </w:r>
    </w:p>
    <w:p w14:paraId="013930F5">
      <w:pPr>
        <w:ind w:firstLine="422"/>
        <w:jc w:val="left"/>
        <w:rPr>
          <w:rFonts w:ascii="宋体" w:hAnsi="宋体"/>
          <w:kern w:val="44"/>
        </w:rPr>
      </w:pPr>
      <w:r>
        <w:rPr>
          <w:rFonts w:hint="eastAsia" w:ascii="宋体" w:hAnsi="宋体"/>
          <w:b/>
          <w:kern w:val="44"/>
        </w:rPr>
        <w:t>第十一条</w:t>
      </w:r>
      <w:r>
        <w:rPr>
          <w:rFonts w:hint="eastAsia" w:ascii="宋体" w:hAnsi="宋体"/>
          <w:kern w:val="44"/>
        </w:rPr>
        <w:t>　体育竞赛的场地、器材、设施应当符合体育竞赛规则的要求和标准，保证体育竞赛顺利进行。</w:t>
      </w:r>
    </w:p>
    <w:p w14:paraId="171EA9A4">
      <w:pPr>
        <w:ind w:firstLine="422"/>
        <w:jc w:val="left"/>
        <w:rPr>
          <w:rFonts w:ascii="宋体" w:hAnsi="宋体"/>
          <w:kern w:val="44"/>
        </w:rPr>
      </w:pPr>
      <w:r>
        <w:rPr>
          <w:rFonts w:hint="eastAsia" w:ascii="宋体" w:hAnsi="宋体"/>
          <w:b/>
          <w:kern w:val="44"/>
        </w:rPr>
        <w:t>第十二条</w:t>
      </w:r>
      <w:r>
        <w:rPr>
          <w:rFonts w:hint="eastAsia" w:ascii="宋体" w:hAnsi="宋体"/>
          <w:kern w:val="44"/>
        </w:rPr>
        <w:t>　主办者不得转让体育竞赛举办权。</w:t>
      </w:r>
    </w:p>
    <w:p w14:paraId="37053F4D">
      <w:pPr>
        <w:ind w:firstLine="422"/>
        <w:jc w:val="left"/>
        <w:rPr>
          <w:rFonts w:ascii="宋体" w:hAnsi="宋体"/>
          <w:kern w:val="44"/>
        </w:rPr>
      </w:pPr>
      <w:r>
        <w:rPr>
          <w:rFonts w:hint="eastAsia" w:ascii="宋体" w:hAnsi="宋体"/>
          <w:b/>
          <w:kern w:val="44"/>
        </w:rPr>
        <w:t>第十三条</w:t>
      </w:r>
      <w:r>
        <w:rPr>
          <w:rFonts w:hint="eastAsia" w:ascii="宋体" w:hAnsi="宋体"/>
          <w:kern w:val="44"/>
        </w:rPr>
        <w:t>　主办者应当按照公安机关核准的安全容量印制、发放、出售票证。</w:t>
      </w:r>
    </w:p>
    <w:p w14:paraId="7E5E8930">
      <w:pPr>
        <w:ind w:firstLine="422"/>
        <w:jc w:val="left"/>
        <w:rPr>
          <w:rFonts w:ascii="宋体" w:hAnsi="宋体"/>
          <w:kern w:val="44"/>
        </w:rPr>
      </w:pPr>
      <w:r>
        <w:rPr>
          <w:rFonts w:hint="eastAsia" w:ascii="宋体" w:hAnsi="宋体"/>
          <w:b/>
          <w:kern w:val="44"/>
        </w:rPr>
        <w:t>第十四条</w:t>
      </w:r>
      <w:r>
        <w:rPr>
          <w:rFonts w:hint="eastAsia" w:ascii="宋体" w:hAnsi="宋体"/>
          <w:kern w:val="44"/>
        </w:rPr>
        <w:t>　主办者在体育竞赛举办期间，应当落实安全措施，配备足够的安全工作人员维持现场秩序。在人员相对聚集时，主办者应当采取控制和疏散措施，确保参加活动的人数在安全条件允许的范围内。</w:t>
      </w:r>
    </w:p>
    <w:p w14:paraId="5F234048">
      <w:pPr>
        <w:ind w:firstLine="422"/>
        <w:jc w:val="left"/>
        <w:rPr>
          <w:rFonts w:ascii="宋体" w:hAnsi="宋体"/>
          <w:kern w:val="44"/>
        </w:rPr>
      </w:pPr>
      <w:r>
        <w:rPr>
          <w:rFonts w:hint="eastAsia" w:ascii="宋体" w:hAnsi="宋体"/>
          <w:b/>
          <w:kern w:val="44"/>
        </w:rPr>
        <w:t>第十五条</w:t>
      </w:r>
      <w:r>
        <w:rPr>
          <w:rFonts w:hint="eastAsia" w:ascii="宋体" w:hAnsi="宋体"/>
          <w:kern w:val="44"/>
        </w:rPr>
        <w:t>　本市提倡主办者投保与体育竞赛安全有关的险种。</w:t>
      </w:r>
    </w:p>
    <w:p w14:paraId="10B4A731">
      <w:pPr>
        <w:ind w:firstLine="422"/>
        <w:jc w:val="left"/>
        <w:rPr>
          <w:rFonts w:ascii="宋体" w:hAnsi="宋体"/>
          <w:kern w:val="44"/>
        </w:rPr>
      </w:pPr>
      <w:r>
        <w:rPr>
          <w:rFonts w:hint="eastAsia" w:ascii="宋体" w:hAnsi="宋体"/>
          <w:b/>
          <w:kern w:val="44"/>
        </w:rPr>
        <w:t>第十六条</w:t>
      </w:r>
      <w:r>
        <w:rPr>
          <w:rFonts w:hint="eastAsia" w:ascii="宋体" w:hAnsi="宋体"/>
          <w:kern w:val="44"/>
        </w:rPr>
        <w:t>　参赛者参加国家实行强制性体育服务标准和其他对身体有特殊要求的体育竞赛前，主办者应当告知其到相应的医疗机构进行身体检查和咨询。</w:t>
      </w:r>
    </w:p>
    <w:p w14:paraId="295334D9">
      <w:pPr>
        <w:ind w:firstLine="422"/>
        <w:jc w:val="left"/>
        <w:rPr>
          <w:rFonts w:ascii="宋体" w:hAnsi="宋体"/>
          <w:kern w:val="44"/>
        </w:rPr>
      </w:pPr>
      <w:r>
        <w:rPr>
          <w:rFonts w:hint="eastAsia" w:ascii="宋体" w:hAnsi="宋体"/>
          <w:b/>
          <w:kern w:val="44"/>
        </w:rPr>
        <w:t>第十七条</w:t>
      </w:r>
      <w:r>
        <w:rPr>
          <w:rFonts w:hint="eastAsia" w:ascii="宋体" w:hAnsi="宋体"/>
          <w:kern w:val="44"/>
        </w:rPr>
        <w:t>　参加体育竞赛的人员应当遵守下列规定：</w:t>
      </w:r>
    </w:p>
    <w:p w14:paraId="12346C59">
      <w:pPr>
        <w:jc w:val="left"/>
        <w:rPr>
          <w:rFonts w:ascii="宋体" w:hAnsi="宋体"/>
          <w:kern w:val="44"/>
        </w:rPr>
      </w:pPr>
      <w:r>
        <w:rPr>
          <w:rFonts w:hint="eastAsia" w:ascii="宋体" w:hAnsi="宋体"/>
          <w:kern w:val="44"/>
        </w:rPr>
        <w:t>（一）遵守有关法律、法规、规章；</w:t>
      </w:r>
    </w:p>
    <w:p w14:paraId="252F44D3">
      <w:pPr>
        <w:jc w:val="left"/>
        <w:rPr>
          <w:rFonts w:ascii="宋体" w:hAnsi="宋体"/>
          <w:kern w:val="44"/>
        </w:rPr>
      </w:pPr>
      <w:r>
        <w:rPr>
          <w:rFonts w:hint="eastAsia" w:ascii="宋体" w:hAnsi="宋体"/>
          <w:kern w:val="44"/>
        </w:rPr>
        <w:t>（二）遵守体育竞赛现场的管理制度；</w:t>
      </w:r>
    </w:p>
    <w:p w14:paraId="46F95164">
      <w:pPr>
        <w:jc w:val="left"/>
        <w:rPr>
          <w:rFonts w:ascii="宋体" w:hAnsi="宋体"/>
          <w:kern w:val="44"/>
        </w:rPr>
      </w:pPr>
      <w:r>
        <w:rPr>
          <w:rFonts w:hint="eastAsia" w:ascii="宋体" w:hAnsi="宋体"/>
          <w:kern w:val="44"/>
        </w:rPr>
        <w:t>（三）自觉接受安全检查，服从管理；</w:t>
      </w:r>
    </w:p>
    <w:p w14:paraId="5FF3ADBA">
      <w:pPr>
        <w:jc w:val="left"/>
        <w:rPr>
          <w:rFonts w:ascii="宋体" w:hAnsi="宋体"/>
          <w:kern w:val="44"/>
        </w:rPr>
      </w:pPr>
      <w:r>
        <w:rPr>
          <w:rFonts w:hint="eastAsia" w:ascii="宋体" w:hAnsi="宋体"/>
          <w:kern w:val="44"/>
        </w:rPr>
        <w:t>（四）不得影响体育竞赛正常秩序、妨碍公共安全；</w:t>
      </w:r>
    </w:p>
    <w:p w14:paraId="60A7D33E">
      <w:pPr>
        <w:jc w:val="left"/>
        <w:rPr>
          <w:rFonts w:ascii="宋体" w:hAnsi="宋体"/>
          <w:kern w:val="44"/>
        </w:rPr>
      </w:pPr>
      <w:r>
        <w:rPr>
          <w:rFonts w:hint="eastAsia" w:ascii="宋体" w:hAnsi="宋体"/>
          <w:kern w:val="44"/>
        </w:rPr>
        <w:t>（五）遵守社会公德。</w:t>
      </w:r>
    </w:p>
    <w:p w14:paraId="6A11FE3A">
      <w:pPr>
        <w:ind w:firstLine="422"/>
        <w:jc w:val="left"/>
        <w:rPr>
          <w:rFonts w:ascii="宋体" w:hAnsi="宋体"/>
          <w:kern w:val="44"/>
        </w:rPr>
      </w:pPr>
      <w:r>
        <w:rPr>
          <w:rFonts w:hint="eastAsia" w:ascii="宋体" w:hAnsi="宋体"/>
          <w:b/>
          <w:kern w:val="44"/>
        </w:rPr>
        <w:t>第十八条</w:t>
      </w:r>
      <w:r>
        <w:rPr>
          <w:rFonts w:hint="eastAsia" w:ascii="宋体" w:hAnsi="宋体"/>
          <w:kern w:val="44"/>
        </w:rPr>
        <w:t>　参加体育竞赛的裁判员、教练员和运动员应当遵守国家和本市对体育竞赛的规定，遵守体育道德；不得弄虚作假、徇私舞弊。</w:t>
      </w:r>
    </w:p>
    <w:p w14:paraId="78C4B590">
      <w:pPr>
        <w:ind w:firstLine="422"/>
        <w:jc w:val="left"/>
        <w:rPr>
          <w:rFonts w:ascii="宋体" w:hAnsi="宋体"/>
          <w:kern w:val="44"/>
        </w:rPr>
      </w:pPr>
      <w:r>
        <w:rPr>
          <w:rFonts w:hint="eastAsia" w:ascii="宋体" w:hAnsi="宋体"/>
          <w:b/>
          <w:kern w:val="44"/>
        </w:rPr>
        <w:t>第十九条</w:t>
      </w:r>
      <w:r>
        <w:rPr>
          <w:rFonts w:hint="eastAsia" w:ascii="宋体" w:hAnsi="宋体"/>
          <w:kern w:val="44"/>
        </w:rPr>
        <w:t>　举办体育竞赛，主办者应当选聘经体育行政部门依法注册的裁判员，不得委派未经体育行政部门依法注册的人员担任裁判工作。</w:t>
      </w:r>
    </w:p>
    <w:p w14:paraId="56D0529A">
      <w:pPr>
        <w:jc w:val="left"/>
        <w:rPr>
          <w:rFonts w:ascii="宋体" w:hAnsi="宋体"/>
          <w:kern w:val="44"/>
        </w:rPr>
      </w:pPr>
    </w:p>
    <w:p w14:paraId="4C865429">
      <w:pPr>
        <w:ind w:firstLine="0" w:firstLineChars="0"/>
        <w:jc w:val="center"/>
        <w:rPr>
          <w:rFonts w:ascii="宋体" w:hAnsi="宋体"/>
          <w:b/>
          <w:kern w:val="44"/>
          <w:sz w:val="28"/>
        </w:rPr>
      </w:pPr>
      <w:r>
        <w:rPr>
          <w:rFonts w:hint="eastAsia" w:ascii="宋体" w:hAnsi="宋体"/>
          <w:b/>
          <w:kern w:val="44"/>
          <w:sz w:val="28"/>
        </w:rPr>
        <w:t>第三章  管理与监督</w:t>
      </w:r>
    </w:p>
    <w:p w14:paraId="6AA8DF32">
      <w:pPr>
        <w:jc w:val="left"/>
        <w:rPr>
          <w:rFonts w:ascii="宋体" w:hAnsi="宋体"/>
          <w:kern w:val="44"/>
        </w:rPr>
      </w:pPr>
    </w:p>
    <w:p w14:paraId="2C090896">
      <w:pPr>
        <w:ind w:firstLine="422"/>
        <w:jc w:val="left"/>
        <w:rPr>
          <w:rFonts w:ascii="宋体" w:hAnsi="宋体"/>
          <w:kern w:val="44"/>
        </w:rPr>
      </w:pPr>
      <w:r>
        <w:rPr>
          <w:rFonts w:hint="eastAsia" w:ascii="宋体" w:hAnsi="宋体"/>
          <w:b/>
          <w:kern w:val="44"/>
        </w:rPr>
        <w:t>第二十条</w:t>
      </w:r>
      <w:r>
        <w:rPr>
          <w:rFonts w:hint="eastAsia" w:ascii="宋体" w:hAnsi="宋体"/>
          <w:kern w:val="44"/>
        </w:rPr>
        <w:t>　本市对体育竞赛实行分级分类管理。申请举办体育竞赛的单位和个人，应当按照本办法的规定办理审批、登记手续。</w:t>
      </w:r>
    </w:p>
    <w:p w14:paraId="44E20A70">
      <w:pPr>
        <w:jc w:val="left"/>
        <w:rPr>
          <w:rFonts w:ascii="宋体" w:hAnsi="宋体"/>
          <w:kern w:val="44"/>
        </w:rPr>
      </w:pPr>
      <w:r>
        <w:rPr>
          <w:rFonts w:hint="eastAsia" w:ascii="宋体" w:hAnsi="宋体"/>
          <w:kern w:val="44"/>
        </w:rPr>
        <w:t>举办体育竞赛需要办理治安、消防、卫生、工商等行政许可的，主办者应当按照国家和本市有关规定办理。</w:t>
      </w:r>
    </w:p>
    <w:p w14:paraId="4213B0C3">
      <w:pPr>
        <w:ind w:firstLine="422"/>
        <w:jc w:val="left"/>
        <w:rPr>
          <w:rFonts w:ascii="宋体" w:hAnsi="宋体"/>
          <w:kern w:val="44"/>
        </w:rPr>
      </w:pPr>
      <w:r>
        <w:rPr>
          <w:rFonts w:hint="eastAsia" w:ascii="宋体" w:hAnsi="宋体"/>
          <w:b/>
          <w:kern w:val="44"/>
        </w:rPr>
        <w:t>第二十一条</w:t>
      </w:r>
      <w:r>
        <w:rPr>
          <w:rFonts w:hint="eastAsia" w:ascii="宋体" w:hAnsi="宋体"/>
          <w:kern w:val="44"/>
        </w:rPr>
        <w:t>　举办下列体育竞赛，由市体育行政部门审批：</w:t>
      </w:r>
    </w:p>
    <w:p w14:paraId="0D873CA8">
      <w:pPr>
        <w:jc w:val="left"/>
        <w:rPr>
          <w:rFonts w:ascii="宋体" w:hAnsi="宋体"/>
          <w:kern w:val="44"/>
        </w:rPr>
      </w:pPr>
      <w:r>
        <w:rPr>
          <w:rFonts w:hint="eastAsia" w:ascii="宋体" w:hAnsi="宋体"/>
          <w:kern w:val="44"/>
        </w:rPr>
        <w:t>（一）跨省、自治区、直辖市的体育竞赛；</w:t>
      </w:r>
    </w:p>
    <w:p w14:paraId="3D489F24">
      <w:pPr>
        <w:jc w:val="left"/>
        <w:rPr>
          <w:rFonts w:ascii="宋体" w:hAnsi="宋体"/>
          <w:kern w:val="44"/>
        </w:rPr>
      </w:pPr>
      <w:r>
        <w:rPr>
          <w:rFonts w:hint="eastAsia" w:ascii="宋体" w:hAnsi="宋体"/>
          <w:kern w:val="44"/>
        </w:rPr>
        <w:t>（二）有香港特别行政区、澳门特别行政区、台湾地区运动队、运动员参加的体育竞赛；</w:t>
      </w:r>
    </w:p>
    <w:p w14:paraId="49F43F7D">
      <w:pPr>
        <w:jc w:val="left"/>
        <w:rPr>
          <w:rFonts w:ascii="宋体" w:hAnsi="宋体"/>
          <w:kern w:val="44"/>
        </w:rPr>
      </w:pPr>
      <w:r>
        <w:rPr>
          <w:rFonts w:hint="eastAsia" w:ascii="宋体" w:hAnsi="宋体"/>
          <w:kern w:val="44"/>
        </w:rPr>
        <w:t>（三）冠以“北京市”、“北京”、“首都”或者其他同义名称的体育竞赛；</w:t>
      </w:r>
    </w:p>
    <w:p w14:paraId="579AAEAE">
      <w:pPr>
        <w:jc w:val="left"/>
        <w:rPr>
          <w:rFonts w:ascii="宋体" w:hAnsi="宋体"/>
          <w:kern w:val="44"/>
        </w:rPr>
      </w:pPr>
      <w:r>
        <w:rPr>
          <w:rFonts w:hint="eastAsia" w:ascii="宋体" w:hAnsi="宋体"/>
          <w:kern w:val="44"/>
        </w:rPr>
        <w:t>（四）跨区、县的体育竞赛；</w:t>
      </w:r>
    </w:p>
    <w:p w14:paraId="3CD78391">
      <w:pPr>
        <w:jc w:val="left"/>
        <w:rPr>
          <w:rFonts w:ascii="宋体" w:hAnsi="宋体"/>
          <w:kern w:val="44"/>
        </w:rPr>
      </w:pPr>
      <w:r>
        <w:rPr>
          <w:rFonts w:hint="eastAsia" w:ascii="宋体" w:hAnsi="宋体"/>
          <w:kern w:val="44"/>
        </w:rPr>
        <w:t>（五）单场次参加人员5000人以上的体育竞赛。</w:t>
      </w:r>
    </w:p>
    <w:p w14:paraId="38698580">
      <w:pPr>
        <w:ind w:firstLine="422"/>
        <w:jc w:val="left"/>
        <w:rPr>
          <w:rFonts w:ascii="宋体" w:hAnsi="宋体"/>
          <w:kern w:val="44"/>
        </w:rPr>
      </w:pPr>
      <w:r>
        <w:rPr>
          <w:rFonts w:hint="eastAsia" w:ascii="宋体" w:hAnsi="宋体"/>
          <w:b/>
          <w:kern w:val="44"/>
        </w:rPr>
        <w:t>第二十二条</w:t>
      </w:r>
      <w:r>
        <w:rPr>
          <w:rFonts w:hint="eastAsia" w:ascii="宋体" w:hAnsi="宋体"/>
          <w:kern w:val="44"/>
        </w:rPr>
        <w:t>　举办本区、县的国家实行强制性体育服务标准的体育竞赛，由举办体育竞赛所在区、县的体育行政部门审批。</w:t>
      </w:r>
    </w:p>
    <w:p w14:paraId="686F4650">
      <w:pPr>
        <w:ind w:firstLine="422"/>
        <w:jc w:val="left"/>
        <w:rPr>
          <w:rFonts w:ascii="宋体" w:hAnsi="宋体"/>
          <w:kern w:val="44"/>
        </w:rPr>
      </w:pPr>
      <w:r>
        <w:rPr>
          <w:rFonts w:hint="eastAsia" w:ascii="宋体" w:hAnsi="宋体"/>
          <w:b/>
          <w:kern w:val="44"/>
        </w:rPr>
        <w:t>第二十三条</w:t>
      </w:r>
      <w:r>
        <w:rPr>
          <w:rFonts w:hint="eastAsia" w:ascii="宋体" w:hAnsi="宋体"/>
          <w:kern w:val="44"/>
        </w:rPr>
        <w:t>　举办本办法第二十一条、第二十二条规定以外的体育竞赛，由市体育行政部门认定的单项体育协会或者举办竞赛所在区、县的体育行政部门实施登记管理。</w:t>
      </w:r>
    </w:p>
    <w:p w14:paraId="3FD14EE6">
      <w:pPr>
        <w:ind w:firstLine="422"/>
        <w:jc w:val="left"/>
        <w:rPr>
          <w:rFonts w:ascii="宋体" w:hAnsi="宋体"/>
          <w:kern w:val="44"/>
        </w:rPr>
      </w:pPr>
      <w:r>
        <w:rPr>
          <w:rFonts w:hint="eastAsia" w:ascii="宋体" w:hAnsi="宋体"/>
          <w:b/>
          <w:kern w:val="44"/>
        </w:rPr>
        <w:t>第二十四条</w:t>
      </w:r>
      <w:r>
        <w:rPr>
          <w:rFonts w:hint="eastAsia" w:ascii="宋体" w:hAnsi="宋体"/>
          <w:kern w:val="44"/>
        </w:rPr>
        <w:t>　主办者申办体育竞赛，应当在举办体育竞赛二十个工作日前向审批、登记部门提交下列材料：</w:t>
      </w:r>
    </w:p>
    <w:p w14:paraId="67BBAA0E">
      <w:pPr>
        <w:jc w:val="left"/>
        <w:rPr>
          <w:rFonts w:ascii="宋体" w:hAnsi="宋体"/>
          <w:kern w:val="44"/>
        </w:rPr>
      </w:pPr>
      <w:r>
        <w:rPr>
          <w:rFonts w:hint="eastAsia" w:ascii="宋体" w:hAnsi="宋体"/>
          <w:kern w:val="44"/>
        </w:rPr>
        <w:t>（一）体育竞赛申请表；</w:t>
      </w:r>
    </w:p>
    <w:p w14:paraId="73645F9C">
      <w:pPr>
        <w:jc w:val="left"/>
        <w:rPr>
          <w:rFonts w:ascii="宋体" w:hAnsi="宋体"/>
          <w:kern w:val="44"/>
        </w:rPr>
      </w:pPr>
      <w:r>
        <w:rPr>
          <w:rFonts w:hint="eastAsia" w:ascii="宋体" w:hAnsi="宋体"/>
          <w:kern w:val="44"/>
        </w:rPr>
        <w:t>（二）主办者的身份证明或者登记、注册的证明材料；</w:t>
      </w:r>
    </w:p>
    <w:p w14:paraId="41FD1E0D">
      <w:pPr>
        <w:jc w:val="left"/>
        <w:rPr>
          <w:rFonts w:ascii="宋体" w:hAnsi="宋体"/>
          <w:kern w:val="44"/>
        </w:rPr>
      </w:pPr>
      <w:r>
        <w:rPr>
          <w:rFonts w:hint="eastAsia" w:ascii="宋体" w:hAnsi="宋体"/>
          <w:kern w:val="44"/>
        </w:rPr>
        <w:t>（三）体育竞赛规程、筹备实施方案、安全工作方案、医疗保障措施和突发事件应急预案；</w:t>
      </w:r>
    </w:p>
    <w:p w14:paraId="0CE968AE">
      <w:pPr>
        <w:jc w:val="left"/>
        <w:rPr>
          <w:rFonts w:ascii="宋体" w:hAnsi="宋体"/>
          <w:kern w:val="44"/>
        </w:rPr>
      </w:pPr>
      <w:r>
        <w:rPr>
          <w:rFonts w:hint="eastAsia" w:ascii="宋体" w:hAnsi="宋体"/>
          <w:kern w:val="44"/>
        </w:rPr>
        <w:t>（四）经费来源证明材料和经费预算报告；</w:t>
      </w:r>
    </w:p>
    <w:p w14:paraId="4F9ABFB5">
      <w:pPr>
        <w:jc w:val="left"/>
        <w:rPr>
          <w:rFonts w:ascii="宋体" w:hAnsi="宋体"/>
          <w:kern w:val="44"/>
        </w:rPr>
      </w:pPr>
      <w:r>
        <w:rPr>
          <w:rFonts w:hint="eastAsia" w:ascii="宋体" w:hAnsi="宋体"/>
          <w:kern w:val="44"/>
        </w:rPr>
        <w:t>（五）设备、器材检验、检测合格证明；</w:t>
      </w:r>
    </w:p>
    <w:p w14:paraId="1D698ED1">
      <w:pPr>
        <w:jc w:val="left"/>
        <w:rPr>
          <w:rFonts w:ascii="宋体" w:hAnsi="宋体"/>
          <w:kern w:val="44"/>
        </w:rPr>
      </w:pPr>
      <w:r>
        <w:rPr>
          <w:rFonts w:hint="eastAsia" w:ascii="宋体" w:hAnsi="宋体"/>
          <w:kern w:val="44"/>
        </w:rPr>
        <w:t>（六）体育竞赛场所所有人或者管理单位同意使用的证明；</w:t>
      </w:r>
    </w:p>
    <w:p w14:paraId="400C6A6D">
      <w:pPr>
        <w:jc w:val="left"/>
        <w:rPr>
          <w:rFonts w:ascii="宋体" w:hAnsi="宋体"/>
          <w:kern w:val="44"/>
        </w:rPr>
      </w:pPr>
      <w:r>
        <w:rPr>
          <w:rFonts w:hint="eastAsia" w:ascii="宋体" w:hAnsi="宋体"/>
          <w:kern w:val="44"/>
        </w:rPr>
        <w:t>（七）审批、登记部门规定的能够证明具备本办法第八条规定条件的其他材料。</w:t>
      </w:r>
    </w:p>
    <w:p w14:paraId="41E453AE">
      <w:pPr>
        <w:ind w:firstLine="422"/>
        <w:jc w:val="left"/>
        <w:rPr>
          <w:rFonts w:ascii="宋体" w:hAnsi="宋体"/>
          <w:kern w:val="44"/>
        </w:rPr>
      </w:pPr>
      <w:r>
        <w:rPr>
          <w:rFonts w:hint="eastAsia" w:ascii="宋体" w:hAnsi="宋体"/>
          <w:b/>
          <w:kern w:val="44"/>
        </w:rPr>
        <w:t>第二十五条</w:t>
      </w:r>
      <w:r>
        <w:rPr>
          <w:rFonts w:hint="eastAsia" w:ascii="宋体" w:hAnsi="宋体"/>
          <w:kern w:val="44"/>
        </w:rPr>
        <w:t>　体育竞赛的审批部门，应当自受理主办者申请之日起十个工作日内作出批准或者不予批准的决定，并书面通知主办者；不予批准的说明理由。十个工作日不能做出决定的，经本机关负责人批准，可以延长十日，并将延长期限的理由告知主办者。</w:t>
      </w:r>
    </w:p>
    <w:p w14:paraId="6A1050B6">
      <w:pPr>
        <w:ind w:firstLine="422"/>
        <w:jc w:val="left"/>
        <w:rPr>
          <w:rFonts w:ascii="宋体" w:hAnsi="宋体"/>
          <w:kern w:val="44"/>
        </w:rPr>
      </w:pPr>
      <w:r>
        <w:rPr>
          <w:rFonts w:hint="eastAsia" w:ascii="宋体" w:hAnsi="宋体"/>
          <w:b/>
          <w:kern w:val="44"/>
        </w:rPr>
        <w:t>第二十六条</w:t>
      </w:r>
      <w:r>
        <w:rPr>
          <w:rFonts w:hint="eastAsia" w:ascii="宋体" w:hAnsi="宋体"/>
          <w:kern w:val="44"/>
        </w:rPr>
        <w:t>　申请举办体育竞赛，符合本办法第八条、第九条规定的，体育行政部门应当予以批准；不符合本办法第八条、第九条规定的，体育行政部门不得批准。</w:t>
      </w:r>
    </w:p>
    <w:p w14:paraId="4788E28A">
      <w:pPr>
        <w:ind w:firstLine="422"/>
        <w:jc w:val="left"/>
        <w:rPr>
          <w:rFonts w:ascii="宋体" w:hAnsi="宋体"/>
          <w:kern w:val="44"/>
        </w:rPr>
      </w:pPr>
      <w:r>
        <w:rPr>
          <w:rFonts w:hint="eastAsia" w:ascii="宋体" w:hAnsi="宋体"/>
          <w:b/>
          <w:kern w:val="44"/>
        </w:rPr>
        <w:t>第二十七条</w:t>
      </w:r>
      <w:r>
        <w:rPr>
          <w:rFonts w:hint="eastAsia" w:ascii="宋体" w:hAnsi="宋体"/>
          <w:kern w:val="44"/>
        </w:rPr>
        <w:t>　对实行登记管理的体育竞赛，登记部门应当及时登记，建立档案，并报市体育行政部门备案。</w:t>
      </w:r>
    </w:p>
    <w:p w14:paraId="322A0E36">
      <w:pPr>
        <w:ind w:firstLine="422"/>
        <w:jc w:val="left"/>
        <w:rPr>
          <w:rFonts w:ascii="宋体" w:hAnsi="宋体"/>
          <w:kern w:val="44"/>
        </w:rPr>
      </w:pPr>
      <w:r>
        <w:rPr>
          <w:rFonts w:hint="eastAsia" w:ascii="宋体" w:hAnsi="宋体"/>
          <w:b/>
          <w:kern w:val="44"/>
        </w:rPr>
        <w:t>第二十八条</w:t>
      </w:r>
      <w:r>
        <w:rPr>
          <w:rFonts w:hint="eastAsia" w:ascii="宋体" w:hAnsi="宋体"/>
          <w:kern w:val="44"/>
        </w:rPr>
        <w:t>　主办者应当按照审批部门的批准决定举办体育竞赛。</w:t>
      </w:r>
    </w:p>
    <w:p w14:paraId="74C6D784">
      <w:pPr>
        <w:jc w:val="left"/>
        <w:rPr>
          <w:rFonts w:ascii="宋体" w:hAnsi="宋体"/>
          <w:kern w:val="44"/>
        </w:rPr>
      </w:pPr>
      <w:r>
        <w:rPr>
          <w:rFonts w:hint="eastAsia" w:ascii="宋体" w:hAnsi="宋体"/>
          <w:kern w:val="44"/>
        </w:rPr>
        <w:t>体育竞赛举办日期、时间需要变更的，主办者应当提前五个工作日向原审批、登记部门提出变更申请；举办地点、内容或者举办体育竞赛所需器材需要改变的，主办者应当提前十个工作日向原审批、登记部门提出申请。原审批、登记部门应当依法及时办理变更手续。</w:t>
      </w:r>
    </w:p>
    <w:p w14:paraId="3822A8BF">
      <w:pPr>
        <w:jc w:val="left"/>
        <w:rPr>
          <w:rFonts w:ascii="宋体" w:hAnsi="宋体"/>
          <w:kern w:val="44"/>
        </w:rPr>
      </w:pPr>
      <w:r>
        <w:rPr>
          <w:rFonts w:hint="eastAsia" w:ascii="宋体" w:hAnsi="宋体"/>
          <w:kern w:val="44"/>
        </w:rPr>
        <w:t>体育竞赛取消的，主办者应当提前五个工作日告知原审批、登记部门，并向社会发布公告。</w:t>
      </w:r>
    </w:p>
    <w:p w14:paraId="55E29058">
      <w:pPr>
        <w:ind w:firstLine="422"/>
        <w:jc w:val="left"/>
        <w:rPr>
          <w:rFonts w:ascii="宋体" w:hAnsi="宋体"/>
          <w:kern w:val="44"/>
        </w:rPr>
      </w:pPr>
      <w:r>
        <w:rPr>
          <w:rFonts w:hint="eastAsia" w:ascii="宋体" w:hAnsi="宋体"/>
          <w:b/>
          <w:kern w:val="44"/>
        </w:rPr>
        <w:t>第二十九条</w:t>
      </w:r>
      <w:r>
        <w:rPr>
          <w:rFonts w:hint="eastAsia" w:ascii="宋体" w:hAnsi="宋体"/>
          <w:kern w:val="44"/>
        </w:rPr>
        <w:t>　市和区、县体育行政部门应当将国家体育行政部门确定的体育运动项目名录和本市体育竞赛审批、登记的规定向社会公布。</w:t>
      </w:r>
    </w:p>
    <w:p w14:paraId="12062B73">
      <w:pPr>
        <w:ind w:firstLine="422"/>
        <w:jc w:val="left"/>
        <w:rPr>
          <w:rFonts w:ascii="宋体" w:hAnsi="宋体"/>
          <w:kern w:val="44"/>
        </w:rPr>
      </w:pPr>
      <w:r>
        <w:rPr>
          <w:rFonts w:hint="eastAsia" w:ascii="宋体" w:hAnsi="宋体"/>
          <w:b/>
          <w:kern w:val="44"/>
        </w:rPr>
        <w:t>第三十条</w:t>
      </w:r>
      <w:r>
        <w:rPr>
          <w:rFonts w:hint="eastAsia" w:ascii="宋体" w:hAnsi="宋体"/>
          <w:kern w:val="44"/>
        </w:rPr>
        <w:t>　市体育行政部门负责一级裁判员的注册，区、县体育行政部门负责二、三级裁判员的注册。市和区、县体育行政部门评定裁判员的技术等级时，应当组织专家评审。</w:t>
      </w:r>
    </w:p>
    <w:p w14:paraId="22EB7CF8">
      <w:pPr>
        <w:jc w:val="left"/>
        <w:rPr>
          <w:rFonts w:ascii="宋体" w:hAnsi="宋体"/>
          <w:kern w:val="44"/>
        </w:rPr>
      </w:pPr>
      <w:r>
        <w:rPr>
          <w:rFonts w:hint="eastAsia" w:ascii="宋体" w:hAnsi="宋体"/>
          <w:kern w:val="44"/>
        </w:rPr>
        <w:t>市体育行政部门负责指导市级单项体育协会对裁判员的培训、考核工作。</w:t>
      </w:r>
    </w:p>
    <w:p w14:paraId="280F9EF2">
      <w:pPr>
        <w:ind w:firstLine="422"/>
        <w:jc w:val="left"/>
        <w:rPr>
          <w:rFonts w:ascii="宋体" w:hAnsi="宋体"/>
          <w:kern w:val="44"/>
        </w:rPr>
      </w:pPr>
      <w:r>
        <w:rPr>
          <w:rFonts w:hint="eastAsia" w:ascii="宋体" w:hAnsi="宋体"/>
          <w:b/>
          <w:kern w:val="44"/>
        </w:rPr>
        <w:t>第三十一条</w:t>
      </w:r>
      <w:r>
        <w:rPr>
          <w:rFonts w:hint="eastAsia" w:ascii="宋体" w:hAnsi="宋体"/>
          <w:kern w:val="44"/>
        </w:rPr>
        <w:t>　市和区、县体育行政部门应当对体育竞赛的举办情况进行监督检查，记录监督检查情况和处理结果，并由监督检查人员和体育竞赛主办者或者场所提供者签字归档。必要时，体育行政部门可以会同公安、安全生产监督管理、质量技术监督等部门进行检查。</w:t>
      </w:r>
    </w:p>
    <w:p w14:paraId="644B3B09">
      <w:pPr>
        <w:jc w:val="left"/>
        <w:rPr>
          <w:rFonts w:ascii="宋体" w:hAnsi="宋体"/>
          <w:kern w:val="44"/>
        </w:rPr>
      </w:pPr>
      <w:r>
        <w:rPr>
          <w:rFonts w:hint="eastAsia" w:ascii="宋体" w:hAnsi="宋体"/>
          <w:kern w:val="44"/>
        </w:rPr>
        <w:t>监督检查人员发现举办体育竞赛违反本办法规定的，应当提出整改意见，责令主办者立即或者限期改正。确有必要的，体育行政部门可以向社会公布监督检查情况。公众有权查阅体育行政部门的监督检查记录。</w:t>
      </w:r>
    </w:p>
    <w:p w14:paraId="49E5D6E3">
      <w:pPr>
        <w:ind w:firstLine="422"/>
        <w:jc w:val="left"/>
        <w:rPr>
          <w:rFonts w:ascii="宋体" w:hAnsi="宋体"/>
          <w:kern w:val="44"/>
        </w:rPr>
      </w:pPr>
      <w:r>
        <w:rPr>
          <w:rFonts w:hint="eastAsia" w:ascii="宋体" w:hAnsi="宋体"/>
          <w:b/>
          <w:kern w:val="44"/>
        </w:rPr>
        <w:t>第三十二条</w:t>
      </w:r>
      <w:r>
        <w:rPr>
          <w:rFonts w:hint="eastAsia" w:ascii="宋体" w:hAnsi="宋体"/>
          <w:kern w:val="44"/>
        </w:rPr>
        <w:t>　市和区、县体育行政部门应当派出督察员对体育竞赛中的赛风、赛纪和裁判员执法等情况进行监督检查。</w:t>
      </w:r>
    </w:p>
    <w:p w14:paraId="10000231">
      <w:pPr>
        <w:ind w:firstLine="422"/>
        <w:jc w:val="left"/>
        <w:rPr>
          <w:rFonts w:ascii="宋体" w:hAnsi="宋体"/>
          <w:kern w:val="44"/>
        </w:rPr>
      </w:pPr>
      <w:r>
        <w:rPr>
          <w:rFonts w:hint="eastAsia" w:ascii="宋体" w:hAnsi="宋体"/>
          <w:b/>
          <w:kern w:val="44"/>
        </w:rPr>
        <w:t>第三十三条</w:t>
      </w:r>
      <w:r>
        <w:rPr>
          <w:rFonts w:hint="eastAsia" w:ascii="宋体" w:hAnsi="宋体"/>
          <w:kern w:val="44"/>
        </w:rPr>
        <w:t>　体育竞赛的主办者及有关合作方对体育行政部门和市级单项体育协会的监督、检查，应当予以协助、配合，不得拒绝和阻挠。</w:t>
      </w:r>
    </w:p>
    <w:p w14:paraId="6ADE64C0">
      <w:pPr>
        <w:ind w:firstLine="422"/>
        <w:jc w:val="left"/>
        <w:rPr>
          <w:rFonts w:ascii="宋体" w:hAnsi="宋体"/>
          <w:kern w:val="44"/>
        </w:rPr>
      </w:pPr>
      <w:r>
        <w:rPr>
          <w:rFonts w:hint="eastAsia" w:ascii="宋体" w:hAnsi="宋体"/>
          <w:b/>
          <w:kern w:val="44"/>
        </w:rPr>
        <w:t>第三十四条</w:t>
      </w:r>
      <w:r>
        <w:rPr>
          <w:rFonts w:hint="eastAsia" w:ascii="宋体" w:hAnsi="宋体"/>
          <w:kern w:val="44"/>
        </w:rPr>
        <w:t>　主办者应当在体育竞赛结束之日起三十日内，向审批、登记部门提交竞赛情况总结、秩序册和成绩册。</w:t>
      </w:r>
    </w:p>
    <w:p w14:paraId="662B1468">
      <w:pPr>
        <w:jc w:val="left"/>
        <w:rPr>
          <w:rFonts w:ascii="宋体" w:hAnsi="宋体"/>
          <w:kern w:val="44"/>
        </w:rPr>
      </w:pPr>
    </w:p>
    <w:p w14:paraId="0A42A08F">
      <w:pPr>
        <w:ind w:firstLine="0" w:firstLineChars="0"/>
        <w:jc w:val="center"/>
        <w:rPr>
          <w:rFonts w:ascii="宋体" w:hAnsi="宋体"/>
          <w:b/>
          <w:kern w:val="44"/>
          <w:sz w:val="28"/>
        </w:rPr>
      </w:pPr>
      <w:r>
        <w:rPr>
          <w:rFonts w:hint="eastAsia" w:ascii="宋体" w:hAnsi="宋体"/>
          <w:b/>
          <w:kern w:val="44"/>
          <w:sz w:val="28"/>
        </w:rPr>
        <w:t>第四章  法律责任</w:t>
      </w:r>
    </w:p>
    <w:p w14:paraId="131D2410">
      <w:pPr>
        <w:jc w:val="left"/>
        <w:rPr>
          <w:rFonts w:ascii="宋体" w:hAnsi="宋体"/>
          <w:kern w:val="44"/>
        </w:rPr>
      </w:pPr>
    </w:p>
    <w:p w14:paraId="3E2ECB06">
      <w:pPr>
        <w:ind w:firstLine="422"/>
        <w:jc w:val="left"/>
        <w:rPr>
          <w:rFonts w:ascii="宋体" w:hAnsi="宋体"/>
          <w:kern w:val="44"/>
        </w:rPr>
      </w:pPr>
      <w:r>
        <w:rPr>
          <w:rFonts w:hint="eastAsia" w:ascii="宋体" w:hAnsi="宋体"/>
          <w:b/>
          <w:kern w:val="44"/>
        </w:rPr>
        <w:t>第三十五条</w:t>
      </w:r>
      <w:r>
        <w:rPr>
          <w:rFonts w:hint="eastAsia" w:ascii="宋体" w:hAnsi="宋体"/>
          <w:kern w:val="44"/>
        </w:rPr>
        <w:t>　主办者有下列行为之一的，由体育行政部门责令改正，处1000元以上3万元以下罚款：</w:t>
      </w:r>
    </w:p>
    <w:p w14:paraId="31EAE9AB">
      <w:pPr>
        <w:jc w:val="left"/>
        <w:rPr>
          <w:rFonts w:ascii="宋体" w:hAnsi="宋体"/>
          <w:kern w:val="44"/>
        </w:rPr>
      </w:pPr>
      <w:r>
        <w:rPr>
          <w:rFonts w:hint="eastAsia" w:ascii="宋体" w:hAnsi="宋体"/>
          <w:kern w:val="44"/>
        </w:rPr>
        <w:t>（一）违反本办法第十条第一款规定，未遵守国家和本市的强制性体育服务标准的；</w:t>
      </w:r>
    </w:p>
    <w:p w14:paraId="06B49CEC">
      <w:pPr>
        <w:jc w:val="left"/>
        <w:rPr>
          <w:rFonts w:ascii="宋体" w:hAnsi="宋体"/>
          <w:kern w:val="44"/>
        </w:rPr>
      </w:pPr>
      <w:r>
        <w:rPr>
          <w:rFonts w:hint="eastAsia" w:ascii="宋体" w:hAnsi="宋体"/>
          <w:kern w:val="44"/>
        </w:rPr>
        <w:t>（二）违反本办法第八条、第九条规定，或者违反本办法第二十八条第一款规定，未按照审批部门的批准决定举办体育竞赛的；</w:t>
      </w:r>
    </w:p>
    <w:p w14:paraId="7BB8FFFD">
      <w:pPr>
        <w:jc w:val="left"/>
        <w:rPr>
          <w:rFonts w:ascii="宋体" w:hAnsi="宋体"/>
          <w:kern w:val="44"/>
        </w:rPr>
      </w:pPr>
      <w:r>
        <w:rPr>
          <w:rFonts w:hint="eastAsia" w:ascii="宋体" w:hAnsi="宋体"/>
          <w:kern w:val="44"/>
        </w:rPr>
        <w:t>（三）违反本办法第十二条规定，转让体育竞赛举办权的；</w:t>
      </w:r>
    </w:p>
    <w:p w14:paraId="288A482F">
      <w:pPr>
        <w:jc w:val="left"/>
        <w:rPr>
          <w:rFonts w:ascii="宋体" w:hAnsi="宋体"/>
          <w:kern w:val="44"/>
        </w:rPr>
      </w:pPr>
      <w:r>
        <w:rPr>
          <w:rFonts w:hint="eastAsia" w:ascii="宋体" w:hAnsi="宋体"/>
          <w:kern w:val="44"/>
        </w:rPr>
        <w:t>（四）违反本办法第十九条规定，委派未经体育行政部门依法注册的人员担任裁判工作的；</w:t>
      </w:r>
    </w:p>
    <w:p w14:paraId="491ED304">
      <w:pPr>
        <w:jc w:val="left"/>
        <w:rPr>
          <w:rFonts w:ascii="宋体" w:hAnsi="宋体"/>
          <w:kern w:val="44"/>
        </w:rPr>
      </w:pPr>
      <w:r>
        <w:rPr>
          <w:rFonts w:hint="eastAsia" w:ascii="宋体" w:hAnsi="宋体"/>
          <w:kern w:val="44"/>
        </w:rPr>
        <w:t>（五）违反本办法第二十条第一款规定，未按照本办法的规定办理审批、登记手续的；</w:t>
      </w:r>
    </w:p>
    <w:p w14:paraId="726C0D0D">
      <w:pPr>
        <w:jc w:val="left"/>
        <w:rPr>
          <w:rFonts w:ascii="宋体" w:hAnsi="宋体"/>
          <w:kern w:val="44"/>
        </w:rPr>
      </w:pPr>
      <w:r>
        <w:rPr>
          <w:rFonts w:hint="eastAsia" w:ascii="宋体" w:hAnsi="宋体"/>
          <w:kern w:val="44"/>
        </w:rPr>
        <w:t>（六）违反本办法第二十八条第二款规定，擅自变更体育竞赛举办日期、时间、地点、内容或者体育竞赛所需器材的。</w:t>
      </w:r>
    </w:p>
    <w:p w14:paraId="62805B1A">
      <w:pPr>
        <w:ind w:firstLine="422"/>
        <w:jc w:val="left"/>
        <w:rPr>
          <w:rFonts w:ascii="宋体" w:hAnsi="宋体"/>
          <w:kern w:val="44"/>
        </w:rPr>
      </w:pPr>
      <w:r>
        <w:rPr>
          <w:rFonts w:hint="eastAsia" w:ascii="宋体" w:hAnsi="宋体"/>
          <w:b/>
          <w:kern w:val="44"/>
        </w:rPr>
        <w:t>第三十六条</w:t>
      </w:r>
      <w:r>
        <w:rPr>
          <w:rFonts w:hint="eastAsia" w:ascii="宋体" w:hAnsi="宋体"/>
          <w:kern w:val="44"/>
        </w:rPr>
        <w:t>　对违反本办法的行为，其他法律、法规、规章已经规定行政处罚的，由有关部门依法处罚。</w:t>
      </w:r>
    </w:p>
    <w:p w14:paraId="36FC76E5">
      <w:pPr>
        <w:jc w:val="left"/>
        <w:rPr>
          <w:rFonts w:ascii="宋体" w:hAnsi="宋体"/>
          <w:kern w:val="44"/>
        </w:rPr>
      </w:pPr>
    </w:p>
    <w:p w14:paraId="7DD04E78">
      <w:pPr>
        <w:ind w:firstLine="0" w:firstLineChars="0"/>
        <w:jc w:val="center"/>
        <w:rPr>
          <w:rFonts w:ascii="宋体" w:hAnsi="宋体"/>
          <w:b/>
          <w:kern w:val="44"/>
          <w:sz w:val="28"/>
        </w:rPr>
      </w:pPr>
      <w:r>
        <w:rPr>
          <w:rFonts w:hint="eastAsia" w:ascii="宋体" w:hAnsi="宋体"/>
          <w:b/>
          <w:kern w:val="44"/>
          <w:sz w:val="28"/>
        </w:rPr>
        <w:t>第五章  附　则</w:t>
      </w:r>
    </w:p>
    <w:p w14:paraId="124B5944">
      <w:pPr>
        <w:jc w:val="left"/>
        <w:rPr>
          <w:rFonts w:ascii="宋体" w:hAnsi="宋体"/>
          <w:kern w:val="44"/>
        </w:rPr>
      </w:pPr>
    </w:p>
    <w:p w14:paraId="4E5D9186">
      <w:pPr>
        <w:ind w:firstLine="422"/>
        <w:jc w:val="left"/>
        <w:rPr>
          <w:rFonts w:ascii="宋体" w:hAnsi="宋体"/>
          <w:kern w:val="44"/>
        </w:rPr>
      </w:pPr>
      <w:r>
        <w:rPr>
          <w:rFonts w:hint="eastAsia" w:ascii="宋体" w:hAnsi="宋体"/>
          <w:b/>
          <w:kern w:val="44"/>
        </w:rPr>
        <w:t>第三十七条</w:t>
      </w:r>
      <w:r>
        <w:rPr>
          <w:rFonts w:hint="eastAsia" w:ascii="宋体" w:hAnsi="宋体"/>
          <w:kern w:val="44"/>
        </w:rPr>
        <w:t>　本办法自2006年8月1日起施行。1996年12月18日市人民政府第16号令发布的《北京市体育竞赛管理办法》同时废止。</w:t>
      </w:r>
    </w:p>
    <w:p w14:paraId="34E0FB3A">
      <w:pPr>
        <w:pStyle w:val="3"/>
        <w:pageBreakBefore/>
        <w:rPr>
          <w:kern w:val="44"/>
        </w:rPr>
      </w:pPr>
      <w:bookmarkStart w:id="1734" w:name="_Toc428781743"/>
      <w:bookmarkStart w:id="1735" w:name="_Toc422471450"/>
      <w:bookmarkStart w:id="1736" w:name="_Toc428780261"/>
      <w:bookmarkStart w:id="1737" w:name="_Toc427651695"/>
      <w:bookmarkStart w:id="1738" w:name="_Toc427652037"/>
      <w:r>
        <w:rPr>
          <w:rFonts w:hint="eastAsia"/>
          <w:kern w:val="44"/>
        </w:rPr>
        <w:t>（七）旅  游</w:t>
      </w:r>
      <w:bookmarkEnd w:id="1734"/>
      <w:bookmarkEnd w:id="1735"/>
      <w:bookmarkEnd w:id="1736"/>
      <w:bookmarkEnd w:id="1737"/>
      <w:bookmarkEnd w:id="1738"/>
    </w:p>
    <w:p w14:paraId="38638C30">
      <w:pPr>
        <w:jc w:val="left"/>
        <w:rPr>
          <w:rFonts w:ascii="宋体" w:hAnsi="宋体"/>
          <w:kern w:val="44"/>
        </w:rPr>
      </w:pPr>
    </w:p>
    <w:p w14:paraId="730A71AB">
      <w:pPr>
        <w:pStyle w:val="4"/>
        <w:rPr>
          <w:kern w:val="44"/>
        </w:rPr>
      </w:pPr>
      <w:bookmarkStart w:id="1739" w:name="_Toc427652038"/>
      <w:bookmarkStart w:id="1740" w:name="_Toc428780262"/>
      <w:bookmarkStart w:id="1741" w:name="_Toc422471451"/>
      <w:bookmarkStart w:id="1742" w:name="_Toc428781744"/>
      <w:bookmarkStart w:id="1743" w:name="_Toc427651696"/>
      <w:r>
        <w:rPr>
          <w:rFonts w:hint="eastAsia"/>
          <w:kern w:val="44"/>
        </w:rPr>
        <w:t>北京市旅游管理条例</w:t>
      </w:r>
      <w:bookmarkEnd w:id="1739"/>
      <w:bookmarkEnd w:id="1740"/>
      <w:bookmarkEnd w:id="1741"/>
      <w:bookmarkEnd w:id="1742"/>
      <w:bookmarkEnd w:id="1743"/>
    </w:p>
    <w:p w14:paraId="039DE429">
      <w:pPr>
        <w:ind w:left="630" w:leftChars="300" w:right="630" w:rightChars="300"/>
        <w:jc w:val="left"/>
        <w:rPr>
          <w:rFonts w:ascii="楷体" w:hAnsi="楷体" w:eastAsia="楷体"/>
          <w:kern w:val="44"/>
        </w:rPr>
      </w:pPr>
      <w:r>
        <w:rPr>
          <w:rFonts w:hint="eastAsia" w:ascii="楷体" w:hAnsi="楷体" w:eastAsia="楷体"/>
          <w:kern w:val="44"/>
        </w:rPr>
        <w:t>（1999年3月30日北京市第十一届人民代表大会常务委员会第九次会议通过　2004年9月10日北京市第十二届人民代表大会常务委员会第十四次会议第一次修订　根据2010年12月23日北京市第十三届人民代表大会常务委员会第二十二次会议《关于修改部分地方性法规的决定》第二次修正 ）</w:t>
      </w:r>
    </w:p>
    <w:p w14:paraId="1327106D">
      <w:pPr>
        <w:jc w:val="left"/>
        <w:rPr>
          <w:rFonts w:ascii="宋体" w:hAnsi="宋体"/>
          <w:kern w:val="44"/>
        </w:rPr>
      </w:pPr>
    </w:p>
    <w:p w14:paraId="365B56C1">
      <w:pPr>
        <w:ind w:firstLine="0" w:firstLineChars="0"/>
        <w:jc w:val="center"/>
        <w:rPr>
          <w:rFonts w:ascii="宋体" w:hAnsi="宋体"/>
          <w:b/>
          <w:kern w:val="44"/>
          <w:sz w:val="28"/>
        </w:rPr>
      </w:pPr>
      <w:r>
        <w:rPr>
          <w:rFonts w:hint="eastAsia" w:ascii="宋体" w:hAnsi="宋体"/>
          <w:b/>
          <w:kern w:val="44"/>
          <w:sz w:val="28"/>
        </w:rPr>
        <w:t>第一章　总　则</w:t>
      </w:r>
    </w:p>
    <w:p w14:paraId="3CFB81EB">
      <w:pPr>
        <w:jc w:val="left"/>
        <w:rPr>
          <w:rFonts w:ascii="宋体" w:hAnsi="宋体"/>
          <w:kern w:val="44"/>
        </w:rPr>
      </w:pPr>
    </w:p>
    <w:p w14:paraId="56CB0D26">
      <w:pPr>
        <w:ind w:firstLine="422"/>
        <w:jc w:val="left"/>
        <w:rPr>
          <w:rFonts w:ascii="宋体" w:hAnsi="宋体"/>
          <w:kern w:val="44"/>
        </w:rPr>
      </w:pPr>
      <w:r>
        <w:rPr>
          <w:rFonts w:hint="eastAsia" w:ascii="宋体" w:hAnsi="宋体"/>
          <w:b/>
          <w:kern w:val="44"/>
        </w:rPr>
        <w:t>第一条</w:t>
      </w:r>
      <w:r>
        <w:rPr>
          <w:rFonts w:hint="eastAsia" w:ascii="宋体" w:hAnsi="宋体"/>
          <w:kern w:val="44"/>
        </w:rPr>
        <w:t>　为了保护旅游者和旅游经营者的合法权益，维护旅游市场秩序，合理开发、利用旅游资源，促进旅游业的发展，根据本市实际情况，制定本条例。</w:t>
      </w:r>
    </w:p>
    <w:p w14:paraId="7AAC1CE8">
      <w:pPr>
        <w:ind w:firstLine="422"/>
        <w:jc w:val="left"/>
        <w:rPr>
          <w:rFonts w:ascii="宋体" w:hAnsi="宋体"/>
          <w:kern w:val="44"/>
        </w:rPr>
      </w:pPr>
      <w:r>
        <w:rPr>
          <w:rFonts w:hint="eastAsia" w:ascii="宋体" w:hAnsi="宋体"/>
          <w:b/>
          <w:kern w:val="44"/>
        </w:rPr>
        <w:t>第二条</w:t>
      </w:r>
      <w:r>
        <w:rPr>
          <w:rFonts w:hint="eastAsia" w:ascii="宋体" w:hAnsi="宋体"/>
          <w:kern w:val="44"/>
        </w:rPr>
        <w:t>　凡在本市行政区域内进行旅游开发建设，从事旅游经营和旅游业管理活动，均应当遵守本条例。</w:t>
      </w:r>
    </w:p>
    <w:p w14:paraId="2BBFBDD3">
      <w:pPr>
        <w:jc w:val="left"/>
        <w:rPr>
          <w:rFonts w:ascii="宋体" w:hAnsi="宋体"/>
          <w:kern w:val="44"/>
        </w:rPr>
      </w:pPr>
      <w:r>
        <w:rPr>
          <w:rFonts w:hint="eastAsia" w:ascii="宋体" w:hAnsi="宋体"/>
          <w:kern w:val="44"/>
        </w:rPr>
        <w:t>本条例所称旅游业，是指利用旅游资源和设施，招徕、接待旅游者和主要为旅游者提供交通、游览、住宿、餐饮、购物、娱乐等有偿服务的综合性产业。</w:t>
      </w:r>
    </w:p>
    <w:p w14:paraId="3B7C544A">
      <w:pPr>
        <w:ind w:firstLine="422"/>
        <w:jc w:val="left"/>
        <w:rPr>
          <w:rFonts w:ascii="宋体" w:hAnsi="宋体"/>
          <w:kern w:val="44"/>
        </w:rPr>
      </w:pPr>
      <w:r>
        <w:rPr>
          <w:rFonts w:hint="eastAsia" w:ascii="宋体" w:hAnsi="宋体"/>
          <w:b/>
          <w:kern w:val="44"/>
        </w:rPr>
        <w:t>第三条</w:t>
      </w:r>
      <w:r>
        <w:rPr>
          <w:rFonts w:hint="eastAsia" w:ascii="宋体" w:hAnsi="宋体"/>
          <w:kern w:val="44"/>
        </w:rPr>
        <w:t>　本市发展旅游业，应当发挥首都优势，突出北京特色，弘扬中华民族优秀文化，坚持旅游资源保护与开发、利用相结合，社会效益、环境效益与经济效益相统一的原则。</w:t>
      </w:r>
    </w:p>
    <w:p w14:paraId="628A00AA">
      <w:pPr>
        <w:ind w:firstLine="422"/>
        <w:jc w:val="left"/>
        <w:rPr>
          <w:rFonts w:ascii="宋体" w:hAnsi="宋体"/>
          <w:kern w:val="44"/>
        </w:rPr>
      </w:pPr>
      <w:r>
        <w:rPr>
          <w:rFonts w:hint="eastAsia" w:ascii="宋体" w:hAnsi="宋体"/>
          <w:b/>
          <w:kern w:val="44"/>
        </w:rPr>
        <w:t>第四条</w:t>
      </w:r>
      <w:r>
        <w:rPr>
          <w:rFonts w:hint="eastAsia" w:ascii="宋体" w:hAnsi="宋体"/>
          <w:kern w:val="44"/>
        </w:rPr>
        <w:t>　市和区、县人民政府应当加强对旅游工作的领导，把旅游业的发展纳入国民经济和社会发展计划，增加投入，加强规划与管理，促进旅游业的可持续发展。</w:t>
      </w:r>
    </w:p>
    <w:p w14:paraId="095324B1">
      <w:pPr>
        <w:ind w:firstLine="422"/>
        <w:jc w:val="left"/>
        <w:rPr>
          <w:rFonts w:ascii="宋体" w:hAnsi="宋体"/>
          <w:kern w:val="44"/>
        </w:rPr>
      </w:pPr>
      <w:r>
        <w:rPr>
          <w:rFonts w:hint="eastAsia" w:ascii="宋体" w:hAnsi="宋体"/>
          <w:b/>
          <w:kern w:val="44"/>
        </w:rPr>
        <w:t>第五条</w:t>
      </w:r>
      <w:r>
        <w:rPr>
          <w:rFonts w:hint="eastAsia" w:ascii="宋体" w:hAnsi="宋体"/>
          <w:kern w:val="44"/>
        </w:rPr>
        <w:t>　市和区、县旅游行政管理部门负责组织、协调本行政区域内旅游规划的编制、旅游业促进、旅游资源开发与保护、旅游教育和培训工作，依照本条例对旅游经营行为进行监督管理，维护旅游市场秩序。</w:t>
      </w:r>
    </w:p>
    <w:p w14:paraId="19A3CDE3">
      <w:pPr>
        <w:jc w:val="left"/>
        <w:rPr>
          <w:rFonts w:ascii="宋体" w:hAnsi="宋体"/>
          <w:kern w:val="44"/>
        </w:rPr>
      </w:pPr>
      <w:r>
        <w:rPr>
          <w:rFonts w:hint="eastAsia" w:ascii="宋体" w:hAnsi="宋体"/>
          <w:kern w:val="44"/>
        </w:rPr>
        <w:t>市和区、县人民政府有关行政管理部门，在各自的职责范围内，对旅游业进行管理。</w:t>
      </w:r>
    </w:p>
    <w:p w14:paraId="021D4628">
      <w:pPr>
        <w:ind w:firstLine="422"/>
        <w:jc w:val="left"/>
        <w:rPr>
          <w:rFonts w:ascii="宋体" w:hAnsi="宋体"/>
          <w:kern w:val="44"/>
        </w:rPr>
      </w:pPr>
      <w:r>
        <w:rPr>
          <w:rFonts w:hint="eastAsia" w:ascii="宋体" w:hAnsi="宋体"/>
          <w:b/>
          <w:kern w:val="44"/>
        </w:rPr>
        <w:t>第六条</w:t>
      </w:r>
      <w:r>
        <w:rPr>
          <w:rFonts w:hint="eastAsia" w:ascii="宋体" w:hAnsi="宋体"/>
          <w:kern w:val="44"/>
        </w:rPr>
        <w:t>　旅游行业协会应当完善行业自律，规范行业竞争，维护协会会员的合法权益。</w:t>
      </w:r>
    </w:p>
    <w:p w14:paraId="0C468162">
      <w:pPr>
        <w:jc w:val="left"/>
        <w:rPr>
          <w:rFonts w:ascii="宋体" w:hAnsi="宋体"/>
          <w:kern w:val="44"/>
        </w:rPr>
      </w:pPr>
      <w:r>
        <w:rPr>
          <w:rFonts w:hint="eastAsia" w:ascii="宋体" w:hAnsi="宋体"/>
          <w:kern w:val="44"/>
        </w:rPr>
        <w:t>旅游行业协会可以根据会员需要，提供旅游信息咨询服务，组织旅游市场开发、旅游促销，开展行业交流、行业培训，可以向政府及其有关部门提出促进旅游发展的政策建议。</w:t>
      </w:r>
    </w:p>
    <w:p w14:paraId="7E5C92A8">
      <w:pPr>
        <w:ind w:firstLine="422"/>
        <w:jc w:val="left"/>
        <w:rPr>
          <w:rFonts w:ascii="宋体" w:hAnsi="宋体"/>
          <w:kern w:val="44"/>
        </w:rPr>
      </w:pPr>
      <w:r>
        <w:rPr>
          <w:rFonts w:hint="eastAsia" w:ascii="宋体" w:hAnsi="宋体"/>
          <w:b/>
          <w:kern w:val="44"/>
        </w:rPr>
        <w:t>第七条</w:t>
      </w:r>
      <w:r>
        <w:rPr>
          <w:rFonts w:hint="eastAsia" w:ascii="宋体" w:hAnsi="宋体"/>
          <w:kern w:val="44"/>
        </w:rPr>
        <w:t>　本市鼓励和支持一切组织和个人对破坏旅游资源和损害旅游者合法权益的行为进行社会监督和舆论监督。</w:t>
      </w:r>
    </w:p>
    <w:p w14:paraId="4BF7D70C">
      <w:pPr>
        <w:jc w:val="left"/>
        <w:rPr>
          <w:rFonts w:ascii="宋体" w:hAnsi="宋体"/>
          <w:kern w:val="44"/>
        </w:rPr>
      </w:pPr>
    </w:p>
    <w:p w14:paraId="151A3C79">
      <w:pPr>
        <w:ind w:firstLine="0" w:firstLineChars="0"/>
        <w:jc w:val="center"/>
        <w:rPr>
          <w:rFonts w:ascii="宋体" w:hAnsi="宋体"/>
          <w:b/>
          <w:kern w:val="44"/>
          <w:sz w:val="28"/>
        </w:rPr>
      </w:pPr>
      <w:r>
        <w:rPr>
          <w:rFonts w:hint="eastAsia" w:ascii="宋体" w:hAnsi="宋体"/>
          <w:b/>
          <w:kern w:val="44"/>
          <w:sz w:val="28"/>
        </w:rPr>
        <w:t>第二章　旅游促进</w:t>
      </w:r>
    </w:p>
    <w:p w14:paraId="1EE281F0">
      <w:pPr>
        <w:jc w:val="left"/>
        <w:rPr>
          <w:rFonts w:ascii="宋体" w:hAnsi="宋体"/>
          <w:kern w:val="44"/>
        </w:rPr>
      </w:pPr>
    </w:p>
    <w:p w14:paraId="62D91750">
      <w:pPr>
        <w:ind w:firstLine="422"/>
        <w:jc w:val="left"/>
        <w:rPr>
          <w:rFonts w:ascii="宋体" w:hAnsi="宋体"/>
          <w:kern w:val="44"/>
        </w:rPr>
      </w:pPr>
      <w:r>
        <w:rPr>
          <w:rFonts w:hint="eastAsia" w:ascii="宋体" w:hAnsi="宋体"/>
          <w:b/>
          <w:kern w:val="44"/>
        </w:rPr>
        <w:t>第八条</w:t>
      </w:r>
      <w:r>
        <w:rPr>
          <w:rFonts w:hint="eastAsia" w:ascii="宋体" w:hAnsi="宋体"/>
          <w:kern w:val="44"/>
        </w:rPr>
        <w:t>　市人民政府建立旅游工作联席会议制度，统一研究旅游发展的方针、政策，协调解决旅游工作的重大问题。</w:t>
      </w:r>
    </w:p>
    <w:p w14:paraId="30C7EB6E">
      <w:pPr>
        <w:ind w:firstLine="422"/>
        <w:jc w:val="left"/>
        <w:rPr>
          <w:rFonts w:ascii="宋体" w:hAnsi="宋体"/>
          <w:kern w:val="44"/>
        </w:rPr>
      </w:pPr>
      <w:r>
        <w:rPr>
          <w:rFonts w:hint="eastAsia" w:ascii="宋体" w:hAnsi="宋体"/>
          <w:b/>
          <w:kern w:val="44"/>
        </w:rPr>
        <w:t>第九条</w:t>
      </w:r>
      <w:r>
        <w:rPr>
          <w:rFonts w:hint="eastAsia" w:ascii="宋体" w:hAnsi="宋体"/>
          <w:kern w:val="44"/>
        </w:rPr>
        <w:t>　市人民政府设立旅游发展专项资金，列入年度财政预算，根据旅游发展的需要逐步增加，由市旅游行政管理部门专项使用，市财政部门审核监督。</w:t>
      </w:r>
    </w:p>
    <w:p w14:paraId="7639CFEF">
      <w:pPr>
        <w:jc w:val="left"/>
        <w:rPr>
          <w:rFonts w:ascii="宋体" w:hAnsi="宋体"/>
          <w:kern w:val="44"/>
        </w:rPr>
      </w:pPr>
      <w:r>
        <w:rPr>
          <w:rFonts w:hint="eastAsia" w:ascii="宋体" w:hAnsi="宋体"/>
          <w:kern w:val="44"/>
        </w:rPr>
        <w:t>区、县人民政府根据本地区旅游发展的需要，设立旅游发展专项资金。</w:t>
      </w:r>
    </w:p>
    <w:p w14:paraId="1D3CD98E">
      <w:pPr>
        <w:ind w:firstLine="422"/>
        <w:jc w:val="left"/>
        <w:rPr>
          <w:rFonts w:ascii="宋体" w:hAnsi="宋体"/>
          <w:kern w:val="44"/>
        </w:rPr>
      </w:pPr>
      <w:r>
        <w:rPr>
          <w:rFonts w:hint="eastAsia" w:ascii="宋体" w:hAnsi="宋体"/>
          <w:b/>
          <w:kern w:val="44"/>
        </w:rPr>
        <w:t>第十条</w:t>
      </w:r>
      <w:r>
        <w:rPr>
          <w:rFonts w:hint="eastAsia" w:ascii="宋体" w:hAnsi="宋体"/>
          <w:kern w:val="44"/>
        </w:rPr>
        <w:t>　市和区、县人民政府应当支持发展旅游教育，加大对旅游教育的投入，拓宽办学渠道，培养旅游专业人才，提高旅游从业人员的素质。</w:t>
      </w:r>
    </w:p>
    <w:p w14:paraId="6D41CBE3">
      <w:pPr>
        <w:ind w:firstLine="422"/>
        <w:jc w:val="left"/>
        <w:rPr>
          <w:rFonts w:ascii="宋体" w:hAnsi="宋体"/>
          <w:kern w:val="44"/>
        </w:rPr>
      </w:pPr>
      <w:r>
        <w:rPr>
          <w:rFonts w:hint="eastAsia" w:ascii="宋体" w:hAnsi="宋体"/>
          <w:b/>
          <w:kern w:val="44"/>
        </w:rPr>
        <w:t>第十一条</w:t>
      </w:r>
      <w:r>
        <w:rPr>
          <w:rFonts w:hint="eastAsia" w:ascii="宋体" w:hAnsi="宋体"/>
          <w:kern w:val="44"/>
        </w:rPr>
        <w:t>　市和区、县旅游行政管理部门制定国际、国内旅游市场开发战略并指导实施，组织和协调本行政区旅游整体形象的宣传、推广和大型旅游活动，向旅游者和旅游经营者提供信息咨询服务，协调相关部门支持旅游经营者依托本地区工业、农业、商业、体育、科技、文化、教育、医疗等社会资源，开发旅游产品。</w:t>
      </w:r>
    </w:p>
    <w:p w14:paraId="655D67B0">
      <w:pPr>
        <w:ind w:firstLine="422"/>
        <w:jc w:val="left"/>
        <w:rPr>
          <w:rFonts w:ascii="宋体" w:hAnsi="宋体"/>
          <w:kern w:val="44"/>
        </w:rPr>
      </w:pPr>
      <w:r>
        <w:rPr>
          <w:rFonts w:hint="eastAsia" w:ascii="宋体" w:hAnsi="宋体"/>
          <w:b/>
          <w:kern w:val="44"/>
        </w:rPr>
        <w:t>第十二条</w:t>
      </w:r>
      <w:r>
        <w:rPr>
          <w:rFonts w:hint="eastAsia" w:ascii="宋体" w:hAnsi="宋体"/>
          <w:kern w:val="44"/>
        </w:rPr>
        <w:t>　鼓励国内外企业和个人按照本市旅游发展规划投资旅游业，建设旅游设施，开发旅游资源；旅游行政管理部门会同政府其他有关部门为旅游业投资提供信息和相关服务。</w:t>
      </w:r>
    </w:p>
    <w:p w14:paraId="7A01A27C">
      <w:pPr>
        <w:ind w:firstLine="422"/>
        <w:jc w:val="left"/>
        <w:rPr>
          <w:rFonts w:ascii="宋体" w:hAnsi="宋体"/>
          <w:kern w:val="44"/>
        </w:rPr>
      </w:pPr>
      <w:r>
        <w:rPr>
          <w:rFonts w:hint="eastAsia" w:ascii="宋体" w:hAnsi="宋体"/>
          <w:b/>
          <w:kern w:val="44"/>
        </w:rPr>
        <w:t>第十三条</w:t>
      </w:r>
      <w:r>
        <w:rPr>
          <w:rFonts w:hint="eastAsia" w:ascii="宋体" w:hAnsi="宋体"/>
          <w:kern w:val="44"/>
        </w:rPr>
        <w:t>　鼓励开发展现古都风貌，体现现代文明，具有知识性、趣味性和参与性的旅游项目。</w:t>
      </w:r>
    </w:p>
    <w:p w14:paraId="526DAC9A">
      <w:pPr>
        <w:jc w:val="left"/>
        <w:rPr>
          <w:rFonts w:ascii="宋体" w:hAnsi="宋体"/>
          <w:kern w:val="44"/>
        </w:rPr>
      </w:pPr>
      <w:r>
        <w:rPr>
          <w:rFonts w:hint="eastAsia" w:ascii="宋体" w:hAnsi="宋体"/>
          <w:kern w:val="44"/>
        </w:rPr>
        <w:t>鼓励开发具有首都优势的观光旅游、修学旅游、会展旅游、奖励旅游、休闲旅游、商务旅游等旅游产品。</w:t>
      </w:r>
    </w:p>
    <w:p w14:paraId="1F4F1DB6">
      <w:pPr>
        <w:ind w:firstLine="422"/>
        <w:jc w:val="left"/>
        <w:rPr>
          <w:rFonts w:ascii="宋体" w:hAnsi="宋体"/>
          <w:kern w:val="44"/>
        </w:rPr>
      </w:pPr>
      <w:r>
        <w:rPr>
          <w:rFonts w:hint="eastAsia" w:ascii="宋体" w:hAnsi="宋体"/>
          <w:b/>
          <w:kern w:val="44"/>
        </w:rPr>
        <w:t>第十四条</w:t>
      </w:r>
      <w:r>
        <w:rPr>
          <w:rFonts w:hint="eastAsia" w:ascii="宋体" w:hAnsi="宋体"/>
          <w:kern w:val="44"/>
        </w:rPr>
        <w:t>　鼓励开发现代农业观光旅游，推动农村经济的发展。对开展乡村民俗旅游接待、果蔬采摘等旅游项目的单位和个人，市和区、县人民政府予以引导、服务或者资金支持。</w:t>
      </w:r>
    </w:p>
    <w:p w14:paraId="5F2809A1">
      <w:pPr>
        <w:ind w:firstLine="422"/>
        <w:jc w:val="left"/>
        <w:rPr>
          <w:rFonts w:ascii="宋体" w:hAnsi="宋体"/>
          <w:kern w:val="44"/>
        </w:rPr>
      </w:pPr>
      <w:r>
        <w:rPr>
          <w:rFonts w:hint="eastAsia" w:ascii="宋体" w:hAnsi="宋体"/>
          <w:b/>
          <w:kern w:val="44"/>
        </w:rPr>
        <w:t>第十五条</w:t>
      </w:r>
      <w:r>
        <w:rPr>
          <w:rFonts w:hint="eastAsia" w:ascii="宋体" w:hAnsi="宋体"/>
          <w:kern w:val="44"/>
        </w:rPr>
        <w:t>　市和区、县人民政府应当加强与周边地区和旅游城市的协作配合，互通信息、客源共享，实现优势互补，形成旅游合作。</w:t>
      </w:r>
    </w:p>
    <w:p w14:paraId="30DF7D60">
      <w:pPr>
        <w:ind w:firstLine="422"/>
        <w:jc w:val="left"/>
        <w:rPr>
          <w:rFonts w:ascii="宋体" w:hAnsi="宋体"/>
          <w:kern w:val="44"/>
        </w:rPr>
      </w:pPr>
      <w:r>
        <w:rPr>
          <w:rFonts w:hint="eastAsia" w:ascii="宋体" w:hAnsi="宋体"/>
          <w:b/>
          <w:kern w:val="44"/>
        </w:rPr>
        <w:t>第十六条</w:t>
      </w:r>
      <w:r>
        <w:rPr>
          <w:rFonts w:hint="eastAsia" w:ascii="宋体" w:hAnsi="宋体"/>
          <w:kern w:val="44"/>
        </w:rPr>
        <w:t>　规划和建设本市公共交通网络，应当兼顾旅游业发展的需要；完善旅游景区公共交通线路设计和公共交通停车场（站）、交通标识、交通设施的配套建设，逐步发展和完善观光公共交通服务。</w:t>
      </w:r>
    </w:p>
    <w:p w14:paraId="344BCCB7">
      <w:pPr>
        <w:ind w:firstLine="422"/>
        <w:jc w:val="left"/>
        <w:rPr>
          <w:rFonts w:ascii="宋体" w:hAnsi="宋体"/>
          <w:kern w:val="44"/>
        </w:rPr>
      </w:pPr>
      <w:r>
        <w:rPr>
          <w:rFonts w:hint="eastAsia" w:ascii="宋体" w:hAnsi="宋体"/>
          <w:b/>
          <w:kern w:val="44"/>
        </w:rPr>
        <w:t>第十七条</w:t>
      </w:r>
      <w:r>
        <w:rPr>
          <w:rFonts w:hint="eastAsia" w:ascii="宋体" w:hAnsi="宋体"/>
          <w:kern w:val="44"/>
        </w:rPr>
        <w:t>　市旅游行政管理部门应当加强旅游信息化建设，建立、健全旅游信息网络，完善服务功能，在机场、火车站、主要旅游区（点）和主要商业街区，设置公益性旅游咨询站或者旅游信息多媒体设施，为旅游者提供信息咨询服务。</w:t>
      </w:r>
    </w:p>
    <w:p w14:paraId="566B4028">
      <w:pPr>
        <w:ind w:firstLine="422"/>
        <w:jc w:val="left"/>
        <w:rPr>
          <w:rFonts w:ascii="宋体" w:hAnsi="宋体"/>
          <w:kern w:val="44"/>
        </w:rPr>
      </w:pPr>
      <w:r>
        <w:rPr>
          <w:rFonts w:hint="eastAsia" w:ascii="宋体" w:hAnsi="宋体"/>
          <w:b/>
          <w:kern w:val="44"/>
        </w:rPr>
        <w:t>第十八条</w:t>
      </w:r>
      <w:r>
        <w:rPr>
          <w:rFonts w:hint="eastAsia" w:ascii="宋体" w:hAnsi="宋体"/>
          <w:kern w:val="44"/>
        </w:rPr>
        <w:t>　旅游行政管理部门应当按照国家和本市的有关规定，督促和指导旅游经营者实行标准化、规范化服务；对达到旅游业国家标准、行业标准和地方标准并取得相应服务质量等级的旅游经营者，旅游行政管理部门应当向社会公布，为旅游者和旅游经营活动提供信息。</w:t>
      </w:r>
    </w:p>
    <w:p w14:paraId="53F1703A">
      <w:pPr>
        <w:jc w:val="left"/>
        <w:rPr>
          <w:rFonts w:ascii="宋体" w:hAnsi="宋体"/>
          <w:kern w:val="44"/>
        </w:rPr>
      </w:pPr>
      <w:r>
        <w:rPr>
          <w:rFonts w:hint="eastAsia" w:ascii="宋体" w:hAnsi="宋体"/>
          <w:kern w:val="44"/>
        </w:rPr>
        <w:t>旅游行业协会可以制定相关的行业服务规范，并可以使用本协会的优质服务推荐标志。</w:t>
      </w:r>
    </w:p>
    <w:p w14:paraId="4032AD2F">
      <w:pPr>
        <w:ind w:firstLine="422"/>
        <w:jc w:val="left"/>
        <w:rPr>
          <w:rFonts w:ascii="宋体" w:hAnsi="宋体"/>
          <w:kern w:val="44"/>
        </w:rPr>
      </w:pPr>
      <w:r>
        <w:rPr>
          <w:rFonts w:hint="eastAsia" w:ascii="宋体" w:hAnsi="宋体"/>
          <w:b/>
          <w:kern w:val="44"/>
        </w:rPr>
        <w:t>第十九条</w:t>
      </w:r>
      <w:r>
        <w:rPr>
          <w:rFonts w:hint="eastAsia" w:ascii="宋体" w:hAnsi="宋体"/>
          <w:kern w:val="44"/>
        </w:rPr>
        <w:t>　本市国家机关、事业单位和社会团体的公务活动，可以委托旅行社安排交通、住宿、餐饮和会务等事项。</w:t>
      </w:r>
    </w:p>
    <w:p w14:paraId="3DB8A38A">
      <w:pPr>
        <w:ind w:firstLine="422"/>
        <w:jc w:val="left"/>
        <w:rPr>
          <w:rFonts w:ascii="宋体" w:hAnsi="宋体"/>
          <w:kern w:val="44"/>
        </w:rPr>
      </w:pPr>
      <w:r>
        <w:rPr>
          <w:rFonts w:hint="eastAsia" w:ascii="宋体" w:hAnsi="宋体"/>
          <w:b/>
          <w:kern w:val="44"/>
        </w:rPr>
        <w:t>第二十条</w:t>
      </w:r>
      <w:r>
        <w:rPr>
          <w:rFonts w:hint="eastAsia" w:ascii="宋体" w:hAnsi="宋体"/>
          <w:kern w:val="44"/>
        </w:rPr>
        <w:t>　本市鼓励和支持开发具有北京历史、文化内涵或者旅游地独特性的旅游纪念品。</w:t>
      </w:r>
    </w:p>
    <w:p w14:paraId="0FFD0465">
      <w:pPr>
        <w:ind w:firstLine="422"/>
        <w:jc w:val="left"/>
        <w:rPr>
          <w:rFonts w:hint="eastAsia" w:ascii="宋体" w:hAnsi="宋体"/>
          <w:kern w:val="44"/>
        </w:rPr>
      </w:pPr>
      <w:r>
        <w:rPr>
          <w:rFonts w:hint="eastAsia" w:ascii="宋体" w:hAnsi="宋体"/>
          <w:b/>
          <w:kern w:val="44"/>
        </w:rPr>
        <w:t>第二十一条</w:t>
      </w:r>
      <w:r>
        <w:rPr>
          <w:rFonts w:hint="eastAsia" w:ascii="宋体" w:hAnsi="宋体"/>
          <w:kern w:val="44"/>
        </w:rPr>
        <w:t>　对促进旅游业发展做出显著成绩的单位和个人，市和区、县人民政府给予表彰和奖励。</w:t>
      </w:r>
    </w:p>
    <w:p w14:paraId="55CD9402">
      <w:pPr>
        <w:ind w:firstLine="422"/>
        <w:jc w:val="left"/>
        <w:rPr>
          <w:rFonts w:hint="eastAsia" w:ascii="宋体" w:hAnsi="宋体"/>
          <w:kern w:val="44"/>
        </w:rPr>
      </w:pPr>
    </w:p>
    <w:p w14:paraId="786182F4">
      <w:pPr>
        <w:ind w:firstLine="422"/>
        <w:jc w:val="left"/>
        <w:rPr>
          <w:rFonts w:hint="eastAsia" w:ascii="宋体" w:hAnsi="宋体"/>
          <w:kern w:val="44"/>
        </w:rPr>
      </w:pPr>
    </w:p>
    <w:p w14:paraId="5AD13A0C">
      <w:pPr>
        <w:ind w:left="0" w:leftChars="0" w:firstLine="0" w:firstLineChars="0"/>
        <w:jc w:val="left"/>
        <w:rPr>
          <w:rFonts w:ascii="宋体" w:hAnsi="宋体"/>
          <w:kern w:val="44"/>
        </w:rPr>
      </w:pPr>
    </w:p>
    <w:p w14:paraId="0D807DE9">
      <w:pPr>
        <w:ind w:firstLine="0" w:firstLineChars="0"/>
        <w:jc w:val="center"/>
        <w:rPr>
          <w:rFonts w:ascii="宋体" w:hAnsi="宋体"/>
          <w:b/>
          <w:kern w:val="44"/>
          <w:sz w:val="28"/>
        </w:rPr>
      </w:pPr>
      <w:r>
        <w:rPr>
          <w:rFonts w:hint="eastAsia" w:ascii="宋体" w:hAnsi="宋体"/>
          <w:b/>
          <w:kern w:val="44"/>
          <w:sz w:val="28"/>
        </w:rPr>
        <w:t>第三章　旅游规划</w:t>
      </w:r>
    </w:p>
    <w:p w14:paraId="6EE277F0">
      <w:pPr>
        <w:jc w:val="left"/>
        <w:rPr>
          <w:rFonts w:ascii="宋体" w:hAnsi="宋体"/>
          <w:kern w:val="44"/>
        </w:rPr>
      </w:pPr>
    </w:p>
    <w:p w14:paraId="0A514E1A">
      <w:pPr>
        <w:ind w:firstLine="422"/>
        <w:jc w:val="left"/>
        <w:rPr>
          <w:rFonts w:ascii="宋体" w:hAnsi="宋体"/>
          <w:kern w:val="44"/>
        </w:rPr>
      </w:pPr>
      <w:r>
        <w:rPr>
          <w:rFonts w:hint="eastAsia" w:ascii="宋体" w:hAnsi="宋体"/>
          <w:b/>
          <w:kern w:val="44"/>
        </w:rPr>
        <w:t>第二十二条</w:t>
      </w:r>
      <w:r>
        <w:rPr>
          <w:rFonts w:hint="eastAsia" w:ascii="宋体" w:hAnsi="宋体"/>
          <w:kern w:val="44"/>
        </w:rPr>
        <w:t>　开发本市旅游资源，应当按照统一规划、合理开发、严格保护、可持续发展的原则进行。</w:t>
      </w:r>
    </w:p>
    <w:p w14:paraId="14B65AC3">
      <w:pPr>
        <w:ind w:firstLine="422"/>
        <w:jc w:val="left"/>
        <w:rPr>
          <w:rFonts w:ascii="宋体" w:hAnsi="宋体"/>
          <w:kern w:val="44"/>
        </w:rPr>
      </w:pPr>
      <w:r>
        <w:rPr>
          <w:rFonts w:hint="eastAsia" w:ascii="宋体" w:hAnsi="宋体"/>
          <w:b/>
          <w:kern w:val="44"/>
        </w:rPr>
        <w:t>第二十三条</w:t>
      </w:r>
      <w:r>
        <w:rPr>
          <w:rFonts w:hint="eastAsia" w:ascii="宋体" w:hAnsi="宋体"/>
          <w:kern w:val="44"/>
        </w:rPr>
        <w:t>　市旅游行政管理部门会同规划等有关管理部门，按照北京城市总体规划所确定的首都城市性质和布局原则，编制本市旅游业发展规划，报市人民政府批准后组织实施。</w:t>
      </w:r>
    </w:p>
    <w:p w14:paraId="0F8CFB4E">
      <w:pPr>
        <w:jc w:val="left"/>
        <w:rPr>
          <w:rFonts w:ascii="宋体" w:hAnsi="宋体"/>
          <w:kern w:val="44"/>
        </w:rPr>
      </w:pPr>
      <w:r>
        <w:rPr>
          <w:rFonts w:hint="eastAsia" w:ascii="宋体" w:hAnsi="宋体"/>
          <w:kern w:val="44"/>
        </w:rPr>
        <w:t>区、县人民政府根据本市旅游业发展规划，制定本行政区域的旅游业发展规划，征得市旅游、规划等行政管理部门同意后组织实施。</w:t>
      </w:r>
    </w:p>
    <w:p w14:paraId="22CCBC52">
      <w:pPr>
        <w:ind w:firstLine="422"/>
        <w:jc w:val="left"/>
        <w:rPr>
          <w:rFonts w:ascii="宋体" w:hAnsi="宋体"/>
          <w:kern w:val="44"/>
        </w:rPr>
      </w:pPr>
      <w:r>
        <w:rPr>
          <w:rFonts w:hint="eastAsia" w:ascii="宋体" w:hAnsi="宋体"/>
          <w:b/>
          <w:kern w:val="44"/>
        </w:rPr>
        <w:t>第二十四条</w:t>
      </w:r>
      <w:r>
        <w:rPr>
          <w:rFonts w:hint="eastAsia" w:ascii="宋体" w:hAnsi="宋体"/>
          <w:kern w:val="44"/>
        </w:rPr>
        <w:t>　市和区、县有关部门对饭店、旅游区（点）、大型游乐场等旅游建设项目进行审批时，应当征求市或者区、县旅游行政管理部门的意见；对周边生产、生活产生重大影响的，应当举行听证会，听取居民和其他利害关系人的意见。</w:t>
      </w:r>
    </w:p>
    <w:p w14:paraId="5A50032F">
      <w:pPr>
        <w:ind w:firstLine="422"/>
        <w:jc w:val="left"/>
        <w:rPr>
          <w:rFonts w:ascii="宋体" w:hAnsi="宋体"/>
          <w:kern w:val="44"/>
        </w:rPr>
      </w:pPr>
      <w:r>
        <w:rPr>
          <w:rFonts w:hint="eastAsia" w:ascii="宋体" w:hAnsi="宋体"/>
          <w:b/>
          <w:kern w:val="44"/>
        </w:rPr>
        <w:t>第二十五条</w:t>
      </w:r>
      <w:r>
        <w:rPr>
          <w:rFonts w:hint="eastAsia" w:ascii="宋体" w:hAnsi="宋体"/>
          <w:kern w:val="44"/>
        </w:rPr>
        <w:t>　市和区、县旅游行政管理部门会同有关管理部门，进行旅游资源的普查和评估，建立旅游资源档案，指导重点旅游区域的资源保护和开发建设。</w:t>
      </w:r>
    </w:p>
    <w:p w14:paraId="6215DDF9">
      <w:pPr>
        <w:ind w:firstLine="422"/>
        <w:jc w:val="left"/>
        <w:rPr>
          <w:rFonts w:ascii="宋体" w:hAnsi="宋体"/>
          <w:kern w:val="44"/>
        </w:rPr>
      </w:pPr>
      <w:r>
        <w:rPr>
          <w:rFonts w:hint="eastAsia" w:ascii="宋体" w:hAnsi="宋体"/>
          <w:b/>
          <w:kern w:val="44"/>
        </w:rPr>
        <w:t>第二十六条</w:t>
      </w:r>
      <w:r>
        <w:rPr>
          <w:rFonts w:hint="eastAsia" w:ascii="宋体" w:hAnsi="宋体"/>
          <w:kern w:val="44"/>
        </w:rPr>
        <w:t>　开发建设旅游项目应当符合旅游业发展规划，进行充分论证，避免盲目建设；不得兴建有害旅游者身心健康的旅游项目。</w:t>
      </w:r>
    </w:p>
    <w:p w14:paraId="1D74772E">
      <w:pPr>
        <w:jc w:val="left"/>
        <w:rPr>
          <w:rFonts w:ascii="宋体" w:hAnsi="宋体"/>
          <w:kern w:val="44"/>
        </w:rPr>
      </w:pPr>
      <w:r>
        <w:rPr>
          <w:rFonts w:hint="eastAsia" w:ascii="宋体" w:hAnsi="宋体"/>
          <w:kern w:val="44"/>
        </w:rPr>
        <w:t>利用森林、水域、自然保护区、文物古迹和历史名胜等资源开发建设旅游项目，必须遵守环境保护、文物保护、森林和自然保护区管理等有关法律、法规和规章，不得破坏自然景观、人文景观和历史文化遗产。</w:t>
      </w:r>
    </w:p>
    <w:p w14:paraId="5DA849DD">
      <w:pPr>
        <w:jc w:val="left"/>
        <w:rPr>
          <w:rFonts w:ascii="宋体" w:hAnsi="宋体"/>
          <w:kern w:val="44"/>
        </w:rPr>
      </w:pPr>
    </w:p>
    <w:p w14:paraId="679CE42A">
      <w:pPr>
        <w:ind w:firstLine="0" w:firstLineChars="0"/>
        <w:jc w:val="center"/>
        <w:rPr>
          <w:rFonts w:ascii="宋体" w:hAnsi="宋体"/>
          <w:b/>
          <w:kern w:val="44"/>
          <w:sz w:val="28"/>
        </w:rPr>
      </w:pPr>
      <w:r>
        <w:rPr>
          <w:rFonts w:hint="eastAsia" w:ascii="宋体" w:hAnsi="宋体"/>
          <w:b/>
          <w:kern w:val="44"/>
          <w:sz w:val="28"/>
        </w:rPr>
        <w:t>第四章　旅游管理</w:t>
      </w:r>
    </w:p>
    <w:p w14:paraId="77CEEB29">
      <w:pPr>
        <w:jc w:val="left"/>
        <w:rPr>
          <w:rFonts w:ascii="宋体" w:hAnsi="宋体"/>
          <w:kern w:val="44"/>
        </w:rPr>
      </w:pPr>
    </w:p>
    <w:p w14:paraId="6341638B">
      <w:pPr>
        <w:ind w:firstLine="422"/>
        <w:jc w:val="left"/>
        <w:rPr>
          <w:rFonts w:ascii="宋体" w:hAnsi="宋体"/>
          <w:kern w:val="44"/>
        </w:rPr>
      </w:pPr>
      <w:r>
        <w:rPr>
          <w:rFonts w:hint="eastAsia" w:ascii="宋体" w:hAnsi="宋体"/>
          <w:b/>
          <w:kern w:val="44"/>
        </w:rPr>
        <w:t>第二十七条</w:t>
      </w:r>
      <w:r>
        <w:rPr>
          <w:rFonts w:hint="eastAsia" w:ascii="宋体" w:hAnsi="宋体"/>
          <w:kern w:val="44"/>
        </w:rPr>
        <w:t>　旅游经营者必须遵守国家法律、法规，遵守自愿、平等、公平、诚实信用的原则和公认的商业道德。</w:t>
      </w:r>
    </w:p>
    <w:p w14:paraId="04395863">
      <w:pPr>
        <w:jc w:val="left"/>
        <w:rPr>
          <w:rFonts w:ascii="宋体" w:hAnsi="宋体"/>
          <w:kern w:val="44"/>
        </w:rPr>
      </w:pPr>
      <w:r>
        <w:rPr>
          <w:rFonts w:hint="eastAsia" w:ascii="宋体" w:hAnsi="宋体"/>
          <w:kern w:val="44"/>
        </w:rPr>
        <w:t>旅游经营者的合法权益受法律保护。旅游经营者有权拒绝违反法律、法规规定的收费和摊派；有权拒绝违反法律、法规、社会公德或者旅游合同约定内容的要求。</w:t>
      </w:r>
    </w:p>
    <w:p w14:paraId="52C5FD86">
      <w:pPr>
        <w:ind w:firstLine="422"/>
        <w:jc w:val="left"/>
        <w:rPr>
          <w:rFonts w:ascii="宋体" w:hAnsi="宋体"/>
          <w:kern w:val="44"/>
        </w:rPr>
      </w:pPr>
      <w:r>
        <w:rPr>
          <w:rFonts w:hint="eastAsia" w:ascii="宋体" w:hAnsi="宋体"/>
          <w:b/>
          <w:kern w:val="44"/>
        </w:rPr>
        <w:t>第二十八条</w:t>
      </w:r>
      <w:r>
        <w:rPr>
          <w:rFonts w:hint="eastAsia" w:ascii="宋体" w:hAnsi="宋体"/>
          <w:kern w:val="44"/>
        </w:rPr>
        <w:t>　从事旅游经营活动，应当依法取得营业执照；按照有关法律、法规的规定，需经旅游行政管理部门许可的，应当取得许可。</w:t>
      </w:r>
    </w:p>
    <w:p w14:paraId="38ED5502">
      <w:pPr>
        <w:ind w:firstLine="422"/>
        <w:jc w:val="left"/>
        <w:rPr>
          <w:rFonts w:ascii="宋体" w:hAnsi="宋体"/>
          <w:kern w:val="44"/>
        </w:rPr>
      </w:pPr>
      <w:r>
        <w:rPr>
          <w:rFonts w:hint="eastAsia" w:ascii="宋体" w:hAnsi="宋体"/>
          <w:b/>
          <w:kern w:val="44"/>
        </w:rPr>
        <w:t>第二十九条</w:t>
      </w:r>
      <w:r>
        <w:rPr>
          <w:rFonts w:hint="eastAsia" w:ascii="宋体" w:hAnsi="宋体"/>
          <w:kern w:val="44"/>
        </w:rPr>
        <w:t>　旅游经营者应当完善内部管理制度，加强对从业人员的法制教育、职业道德教育和职业技能培训，不断改进和提高服务质量。</w:t>
      </w:r>
    </w:p>
    <w:p w14:paraId="3DC554F1">
      <w:pPr>
        <w:jc w:val="left"/>
        <w:rPr>
          <w:rFonts w:ascii="宋体" w:hAnsi="宋体"/>
          <w:kern w:val="44"/>
        </w:rPr>
      </w:pPr>
      <w:r>
        <w:rPr>
          <w:rFonts w:hint="eastAsia" w:ascii="宋体" w:hAnsi="宋体"/>
          <w:kern w:val="44"/>
        </w:rPr>
        <w:t>旅游经营者应当接受旅游行政管理部门和有关管理部门的监督管理。</w:t>
      </w:r>
    </w:p>
    <w:p w14:paraId="57CD87B7">
      <w:pPr>
        <w:ind w:firstLine="422"/>
        <w:jc w:val="left"/>
        <w:rPr>
          <w:rFonts w:ascii="宋体" w:hAnsi="宋体"/>
          <w:kern w:val="44"/>
        </w:rPr>
      </w:pPr>
      <w:r>
        <w:rPr>
          <w:rFonts w:hint="eastAsia" w:ascii="宋体" w:hAnsi="宋体"/>
          <w:b/>
          <w:kern w:val="44"/>
        </w:rPr>
        <w:t>第三十条</w:t>
      </w:r>
      <w:r>
        <w:rPr>
          <w:rFonts w:hint="eastAsia" w:ascii="宋体" w:hAnsi="宋体"/>
          <w:kern w:val="44"/>
        </w:rPr>
        <w:t>　旅游经营者采取保密措施的营销计划、销售渠道、客户名单等经营信息，属于商业秘密，任何单位和个人不得以非法方式获取、使用或者披露。</w:t>
      </w:r>
    </w:p>
    <w:p w14:paraId="0070054F">
      <w:pPr>
        <w:ind w:firstLine="422"/>
        <w:jc w:val="left"/>
        <w:rPr>
          <w:rFonts w:ascii="宋体" w:hAnsi="宋体"/>
          <w:kern w:val="44"/>
        </w:rPr>
      </w:pPr>
      <w:r>
        <w:rPr>
          <w:rFonts w:hint="eastAsia" w:ascii="宋体" w:hAnsi="宋体"/>
          <w:b/>
          <w:kern w:val="44"/>
        </w:rPr>
        <w:t>第三十一条</w:t>
      </w:r>
      <w:r>
        <w:rPr>
          <w:rFonts w:hint="eastAsia" w:ascii="宋体" w:hAnsi="宋体"/>
          <w:kern w:val="44"/>
        </w:rPr>
        <w:t>　旅游从业人员应当参加职业技能培训或者进修；国家规定必须具有岗位资格或者职业资格的，应当取得相应的资格证书，持证上岗。</w:t>
      </w:r>
    </w:p>
    <w:p w14:paraId="4E842619">
      <w:pPr>
        <w:ind w:firstLine="422"/>
        <w:jc w:val="left"/>
        <w:rPr>
          <w:rFonts w:ascii="宋体" w:hAnsi="宋体"/>
          <w:kern w:val="44"/>
        </w:rPr>
      </w:pPr>
      <w:r>
        <w:rPr>
          <w:rFonts w:hint="eastAsia" w:ascii="宋体" w:hAnsi="宋体"/>
          <w:b/>
          <w:kern w:val="44"/>
        </w:rPr>
        <w:t>第三十二条</w:t>
      </w:r>
      <w:r>
        <w:rPr>
          <w:rFonts w:hint="eastAsia" w:ascii="宋体" w:hAnsi="宋体"/>
          <w:kern w:val="44"/>
        </w:rPr>
        <w:t>　旅游经营者应当公开服务项目和收费标准；对应当由价格管理部门确定的收费项目和收费标准，不得自行设置和更改。</w:t>
      </w:r>
    </w:p>
    <w:p w14:paraId="0206CD4C">
      <w:pPr>
        <w:ind w:firstLine="422"/>
        <w:jc w:val="left"/>
        <w:rPr>
          <w:rFonts w:ascii="宋体" w:hAnsi="宋体"/>
          <w:kern w:val="44"/>
        </w:rPr>
      </w:pPr>
      <w:r>
        <w:rPr>
          <w:rFonts w:hint="eastAsia" w:ascii="宋体" w:hAnsi="宋体"/>
          <w:b/>
          <w:kern w:val="44"/>
        </w:rPr>
        <w:t>第三十三条</w:t>
      </w:r>
      <w:r>
        <w:rPr>
          <w:rFonts w:hint="eastAsia" w:ascii="宋体" w:hAnsi="宋体"/>
          <w:kern w:val="44"/>
        </w:rPr>
        <w:t>　达到国家标准、行业标准和地方标准并取得服务质量等级的旅游经营者，应当按照相应的标准提供服务。</w:t>
      </w:r>
    </w:p>
    <w:p w14:paraId="247BA28B">
      <w:pPr>
        <w:jc w:val="left"/>
        <w:rPr>
          <w:rFonts w:ascii="宋体" w:hAnsi="宋体"/>
          <w:kern w:val="44"/>
        </w:rPr>
      </w:pPr>
      <w:r>
        <w:rPr>
          <w:rFonts w:hint="eastAsia" w:ascii="宋体" w:hAnsi="宋体"/>
          <w:kern w:val="44"/>
        </w:rPr>
        <w:t>未取得服务质量等级的旅游经营者，不得使用服务质量等级标志和称谓进行广告宣传或者经营活动。</w:t>
      </w:r>
    </w:p>
    <w:p w14:paraId="15215FF0">
      <w:pPr>
        <w:ind w:firstLine="422"/>
        <w:jc w:val="left"/>
        <w:rPr>
          <w:rFonts w:ascii="宋体" w:hAnsi="宋体"/>
          <w:kern w:val="44"/>
        </w:rPr>
      </w:pPr>
      <w:r>
        <w:rPr>
          <w:rFonts w:hint="eastAsia" w:ascii="宋体" w:hAnsi="宋体"/>
          <w:b/>
          <w:kern w:val="44"/>
        </w:rPr>
        <w:t>第三十四条</w:t>
      </w:r>
      <w:r>
        <w:rPr>
          <w:rFonts w:hint="eastAsia" w:ascii="宋体" w:hAnsi="宋体"/>
          <w:kern w:val="44"/>
        </w:rPr>
        <w:t>　旅游经营者及其从业人员不得有下列侵害旅游者合法权益的行为：</w:t>
      </w:r>
    </w:p>
    <w:p w14:paraId="28F26415">
      <w:pPr>
        <w:jc w:val="left"/>
        <w:rPr>
          <w:rFonts w:ascii="宋体" w:hAnsi="宋体"/>
          <w:kern w:val="44"/>
        </w:rPr>
      </w:pPr>
      <w:r>
        <w:rPr>
          <w:rFonts w:hint="eastAsia" w:ascii="宋体" w:hAnsi="宋体"/>
          <w:kern w:val="44"/>
        </w:rPr>
        <w:t>（一）不履行合同义务或者履行合同义务不符合约定条件；</w:t>
      </w:r>
    </w:p>
    <w:p w14:paraId="34C65FDF">
      <w:pPr>
        <w:jc w:val="left"/>
        <w:rPr>
          <w:rFonts w:ascii="宋体" w:hAnsi="宋体"/>
          <w:kern w:val="44"/>
        </w:rPr>
      </w:pPr>
      <w:r>
        <w:rPr>
          <w:rFonts w:hint="eastAsia" w:ascii="宋体" w:hAnsi="宋体"/>
          <w:kern w:val="44"/>
        </w:rPr>
        <w:t>（二）不按照国家标准、行业标准或者本市规定的标准提供服务；</w:t>
      </w:r>
    </w:p>
    <w:p w14:paraId="306FDFB8">
      <w:pPr>
        <w:jc w:val="left"/>
        <w:rPr>
          <w:rFonts w:ascii="宋体" w:hAnsi="宋体"/>
          <w:kern w:val="44"/>
        </w:rPr>
      </w:pPr>
      <w:r>
        <w:rPr>
          <w:rFonts w:hint="eastAsia" w:ascii="宋体" w:hAnsi="宋体"/>
          <w:kern w:val="44"/>
        </w:rPr>
        <w:t>（三）对服务范围、内容、标准等做引人误解的虚假宣传；</w:t>
      </w:r>
    </w:p>
    <w:p w14:paraId="33E5AE1C">
      <w:pPr>
        <w:jc w:val="left"/>
        <w:rPr>
          <w:rFonts w:ascii="宋体" w:hAnsi="宋体"/>
          <w:kern w:val="44"/>
        </w:rPr>
      </w:pPr>
      <w:r>
        <w:rPr>
          <w:rFonts w:hint="eastAsia" w:ascii="宋体" w:hAnsi="宋体"/>
          <w:kern w:val="44"/>
        </w:rPr>
        <w:t>（四）隐瞒真实情况，提供质价不符的服务；</w:t>
      </w:r>
    </w:p>
    <w:p w14:paraId="2025A74B">
      <w:pPr>
        <w:jc w:val="left"/>
        <w:rPr>
          <w:rFonts w:ascii="宋体" w:hAnsi="宋体"/>
          <w:kern w:val="44"/>
        </w:rPr>
      </w:pPr>
      <w:r>
        <w:rPr>
          <w:rFonts w:hint="eastAsia" w:ascii="宋体" w:hAnsi="宋体"/>
          <w:kern w:val="44"/>
        </w:rPr>
        <w:t>（五）与其他单位和个人恶意串通，采取欺骗、误导的手段招徕旅游者；</w:t>
      </w:r>
    </w:p>
    <w:p w14:paraId="0FD21D4E">
      <w:pPr>
        <w:jc w:val="left"/>
        <w:rPr>
          <w:rFonts w:ascii="宋体" w:hAnsi="宋体"/>
          <w:kern w:val="44"/>
        </w:rPr>
      </w:pPr>
      <w:r>
        <w:rPr>
          <w:rFonts w:hint="eastAsia" w:ascii="宋体" w:hAnsi="宋体"/>
          <w:kern w:val="44"/>
        </w:rPr>
        <w:t>（六）出售以假充真、以次充好的商品；</w:t>
      </w:r>
    </w:p>
    <w:p w14:paraId="45741395">
      <w:pPr>
        <w:jc w:val="left"/>
        <w:rPr>
          <w:rFonts w:ascii="宋体" w:hAnsi="宋体"/>
          <w:kern w:val="44"/>
        </w:rPr>
      </w:pPr>
      <w:r>
        <w:rPr>
          <w:rFonts w:hint="eastAsia" w:ascii="宋体" w:hAnsi="宋体"/>
          <w:kern w:val="44"/>
        </w:rPr>
        <w:t>（七）其他侵害旅游者合法权益的行为。</w:t>
      </w:r>
    </w:p>
    <w:p w14:paraId="0C0AABE9">
      <w:pPr>
        <w:ind w:firstLine="422"/>
        <w:jc w:val="left"/>
        <w:rPr>
          <w:rFonts w:ascii="宋体" w:hAnsi="宋体"/>
          <w:kern w:val="44"/>
        </w:rPr>
      </w:pPr>
      <w:r>
        <w:rPr>
          <w:rFonts w:hint="eastAsia" w:ascii="宋体" w:hAnsi="宋体"/>
          <w:b/>
          <w:kern w:val="44"/>
        </w:rPr>
        <w:t>第三十五条</w:t>
      </w:r>
      <w:r>
        <w:rPr>
          <w:rFonts w:hint="eastAsia" w:ascii="宋体" w:hAnsi="宋体"/>
          <w:kern w:val="44"/>
        </w:rPr>
        <w:t>　旅行社组织旅游，应当与旅游者订立合同，明确约定行程安排、服务项目、价格标准、违约责任等事项。安排旅游者购物的，应当在合同中明确购物场所、购物次数和停留时间。</w:t>
      </w:r>
    </w:p>
    <w:p w14:paraId="78F7EA2D">
      <w:pPr>
        <w:jc w:val="left"/>
        <w:rPr>
          <w:rFonts w:ascii="宋体" w:hAnsi="宋体"/>
          <w:kern w:val="44"/>
        </w:rPr>
      </w:pPr>
      <w:r>
        <w:rPr>
          <w:rFonts w:hint="eastAsia" w:ascii="宋体" w:hAnsi="宋体"/>
          <w:kern w:val="44"/>
        </w:rPr>
        <w:t>订立旅游合同，可以参照市旅游行政管理部门和市工商行政管理部门推荐的合同示范文本。</w:t>
      </w:r>
    </w:p>
    <w:p w14:paraId="4EC41EDF">
      <w:pPr>
        <w:jc w:val="left"/>
        <w:rPr>
          <w:rFonts w:ascii="宋体" w:hAnsi="宋体"/>
          <w:kern w:val="44"/>
        </w:rPr>
      </w:pPr>
      <w:r>
        <w:rPr>
          <w:rFonts w:hint="eastAsia" w:ascii="宋体" w:hAnsi="宋体"/>
          <w:kern w:val="44"/>
        </w:rPr>
        <w:t>旅行社及其导游员或者领队必须按照合同约定提供服务，未征得旅游者同意，不得违反合同约定改变行程安排，减少服务项目，降低服务标准，加收服务费用。</w:t>
      </w:r>
    </w:p>
    <w:p w14:paraId="61328441">
      <w:pPr>
        <w:jc w:val="left"/>
        <w:rPr>
          <w:rFonts w:ascii="宋体" w:hAnsi="宋体"/>
          <w:kern w:val="44"/>
        </w:rPr>
      </w:pPr>
      <w:r>
        <w:rPr>
          <w:rFonts w:hint="eastAsia" w:ascii="宋体" w:hAnsi="宋体"/>
          <w:kern w:val="44"/>
        </w:rPr>
        <w:t>旅行社及其导游员或者领队不得强迫或者变相强迫旅游者参加额外付费项目。</w:t>
      </w:r>
    </w:p>
    <w:p w14:paraId="66F465B5">
      <w:pPr>
        <w:ind w:firstLine="422"/>
        <w:jc w:val="left"/>
        <w:rPr>
          <w:rFonts w:ascii="宋体" w:hAnsi="宋体"/>
          <w:kern w:val="44"/>
        </w:rPr>
      </w:pPr>
      <w:r>
        <w:rPr>
          <w:rFonts w:hint="eastAsia" w:ascii="宋体" w:hAnsi="宋体"/>
          <w:b/>
          <w:kern w:val="44"/>
        </w:rPr>
        <w:t>第三十六条</w:t>
      </w:r>
      <w:r>
        <w:rPr>
          <w:rFonts w:hint="eastAsia" w:ascii="宋体" w:hAnsi="宋体"/>
          <w:kern w:val="44"/>
        </w:rPr>
        <w:t>　旅行社将已经订立旅游合同的旅游者转给其他旅行社出团的，应当征得旅游者的书面同意；旅游者不同意的，旅行社应当全部返还旅游者预付的旅游费用；给旅游者造成损失的，旅行社应当依照法律规定或者按照合同约定予以赔偿。</w:t>
      </w:r>
    </w:p>
    <w:p w14:paraId="65505ED2">
      <w:pPr>
        <w:ind w:firstLine="422"/>
        <w:jc w:val="left"/>
        <w:rPr>
          <w:rFonts w:ascii="宋体" w:hAnsi="宋体"/>
          <w:kern w:val="44"/>
        </w:rPr>
      </w:pPr>
      <w:r>
        <w:rPr>
          <w:rFonts w:hint="eastAsia" w:ascii="宋体" w:hAnsi="宋体"/>
          <w:b/>
          <w:kern w:val="44"/>
        </w:rPr>
        <w:t>第三十七条</w:t>
      </w:r>
      <w:r>
        <w:rPr>
          <w:rFonts w:hint="eastAsia" w:ascii="宋体" w:hAnsi="宋体"/>
          <w:kern w:val="44"/>
        </w:rPr>
        <w:t>　旅行社与其他旅游经营者发生业务往来，不得账外暗中给予或者收受回扣。</w:t>
      </w:r>
    </w:p>
    <w:p w14:paraId="42931786">
      <w:pPr>
        <w:ind w:firstLine="422"/>
        <w:jc w:val="left"/>
        <w:rPr>
          <w:rFonts w:ascii="宋体" w:hAnsi="宋体"/>
          <w:kern w:val="44"/>
        </w:rPr>
      </w:pPr>
      <w:r>
        <w:rPr>
          <w:rFonts w:hint="eastAsia" w:ascii="宋体" w:hAnsi="宋体"/>
          <w:b/>
          <w:kern w:val="44"/>
        </w:rPr>
        <w:t>第三十八条</w:t>
      </w:r>
      <w:r>
        <w:rPr>
          <w:rFonts w:hint="eastAsia" w:ascii="宋体" w:hAnsi="宋体"/>
          <w:kern w:val="44"/>
        </w:rPr>
        <w:t>　旅行社在旅游行程中安排旅游者在指定购物场所购买商品，商品出现质量问题的，旅行社应当协助旅游者退换；旅行社和指定购物场所的经营者有串通、欺骗行为，或者对商品质量作出承诺、保证，但商品不符合其承诺、保证的质量要求，造成旅游者人身伤害或者财产损失的，旅游者有权要求旅行社赔偿；旅行社赔偿后，可以依法向经营者追偿。</w:t>
      </w:r>
    </w:p>
    <w:p w14:paraId="66B83D5C">
      <w:pPr>
        <w:ind w:firstLine="422"/>
        <w:jc w:val="left"/>
        <w:rPr>
          <w:rFonts w:ascii="宋体" w:hAnsi="宋体"/>
          <w:kern w:val="44"/>
        </w:rPr>
      </w:pPr>
      <w:r>
        <w:rPr>
          <w:rFonts w:hint="eastAsia" w:ascii="宋体" w:hAnsi="宋体"/>
          <w:b/>
          <w:kern w:val="44"/>
        </w:rPr>
        <w:t>第三十九条</w:t>
      </w:r>
      <w:r>
        <w:rPr>
          <w:rFonts w:hint="eastAsia" w:ascii="宋体" w:hAnsi="宋体"/>
          <w:kern w:val="44"/>
        </w:rPr>
        <w:t>　导游员或者领队应当取得国家规定的执业证书。</w:t>
      </w:r>
    </w:p>
    <w:p w14:paraId="6FC3868C">
      <w:pPr>
        <w:jc w:val="left"/>
        <w:rPr>
          <w:rFonts w:ascii="宋体" w:hAnsi="宋体"/>
          <w:kern w:val="44"/>
        </w:rPr>
      </w:pPr>
      <w:r>
        <w:rPr>
          <w:rFonts w:hint="eastAsia" w:ascii="宋体" w:hAnsi="宋体"/>
          <w:kern w:val="44"/>
        </w:rPr>
        <w:t>导游员或者领队从事导游、领队活动，应当由旅行社委派，并佩戴导游证或者领队证。</w:t>
      </w:r>
    </w:p>
    <w:p w14:paraId="2BF81A02">
      <w:pPr>
        <w:jc w:val="left"/>
        <w:rPr>
          <w:rFonts w:ascii="宋体" w:hAnsi="宋体"/>
          <w:kern w:val="44"/>
        </w:rPr>
      </w:pPr>
      <w:r>
        <w:rPr>
          <w:rFonts w:hint="eastAsia" w:ascii="宋体" w:hAnsi="宋体"/>
          <w:kern w:val="44"/>
        </w:rPr>
        <w:t>导游员或者领队在导游、领队活动中，应当举止文明、语言规范，服务质量符合国家标准。</w:t>
      </w:r>
    </w:p>
    <w:p w14:paraId="6E23D096">
      <w:pPr>
        <w:ind w:firstLine="422"/>
        <w:jc w:val="left"/>
        <w:rPr>
          <w:rFonts w:ascii="宋体" w:hAnsi="宋体"/>
          <w:kern w:val="44"/>
        </w:rPr>
      </w:pPr>
      <w:r>
        <w:rPr>
          <w:rFonts w:hint="eastAsia" w:ascii="宋体" w:hAnsi="宋体"/>
          <w:b/>
          <w:kern w:val="44"/>
        </w:rPr>
        <w:t>第四十条</w:t>
      </w:r>
      <w:r>
        <w:rPr>
          <w:rFonts w:hint="eastAsia" w:ascii="宋体" w:hAnsi="宋体"/>
          <w:kern w:val="44"/>
        </w:rPr>
        <w:t>　导游员和旅游团队的其他服务人员不得有下列行为：</w:t>
      </w:r>
    </w:p>
    <w:p w14:paraId="2FE85B41">
      <w:pPr>
        <w:jc w:val="left"/>
        <w:rPr>
          <w:rFonts w:ascii="宋体" w:hAnsi="宋体"/>
          <w:kern w:val="44"/>
        </w:rPr>
      </w:pPr>
      <w:r>
        <w:rPr>
          <w:rFonts w:hint="eastAsia" w:ascii="宋体" w:hAnsi="宋体"/>
          <w:kern w:val="44"/>
        </w:rPr>
        <w:t>（一）欺骗、误导旅游者消费；</w:t>
      </w:r>
    </w:p>
    <w:p w14:paraId="2A6ECA7F">
      <w:pPr>
        <w:jc w:val="left"/>
        <w:rPr>
          <w:rFonts w:ascii="宋体" w:hAnsi="宋体"/>
          <w:kern w:val="44"/>
        </w:rPr>
      </w:pPr>
      <w:r>
        <w:rPr>
          <w:rFonts w:hint="eastAsia" w:ascii="宋体" w:hAnsi="宋体"/>
          <w:kern w:val="44"/>
        </w:rPr>
        <w:t>（二）强行向旅游者兜售物品或者购买旅游者的物品；</w:t>
      </w:r>
    </w:p>
    <w:p w14:paraId="7FE8E5DF">
      <w:pPr>
        <w:jc w:val="left"/>
        <w:rPr>
          <w:rFonts w:ascii="宋体" w:hAnsi="宋体"/>
          <w:kern w:val="44"/>
        </w:rPr>
      </w:pPr>
      <w:r>
        <w:rPr>
          <w:rFonts w:hint="eastAsia" w:ascii="宋体" w:hAnsi="宋体"/>
          <w:kern w:val="44"/>
        </w:rPr>
        <w:t>（三）向旅游经营者索要或者收受回扣；</w:t>
      </w:r>
    </w:p>
    <w:p w14:paraId="0B897EC4">
      <w:pPr>
        <w:jc w:val="left"/>
        <w:rPr>
          <w:rFonts w:ascii="宋体" w:hAnsi="宋体"/>
          <w:kern w:val="44"/>
        </w:rPr>
      </w:pPr>
      <w:r>
        <w:rPr>
          <w:rFonts w:hint="eastAsia" w:ascii="宋体" w:hAnsi="宋体"/>
          <w:kern w:val="44"/>
        </w:rPr>
        <w:t>（四）向旅游者索要小费或者其他财物；</w:t>
      </w:r>
    </w:p>
    <w:p w14:paraId="3733011C">
      <w:pPr>
        <w:jc w:val="left"/>
        <w:rPr>
          <w:rFonts w:ascii="宋体" w:hAnsi="宋体"/>
          <w:kern w:val="44"/>
        </w:rPr>
      </w:pPr>
      <w:r>
        <w:rPr>
          <w:rFonts w:hint="eastAsia" w:ascii="宋体" w:hAnsi="宋体"/>
          <w:kern w:val="44"/>
        </w:rPr>
        <w:t>（五）殴打、谩骂或者以其他方式侮辱旅游者；</w:t>
      </w:r>
    </w:p>
    <w:p w14:paraId="45DF7060">
      <w:pPr>
        <w:jc w:val="left"/>
        <w:rPr>
          <w:rFonts w:ascii="宋体" w:hAnsi="宋体"/>
          <w:kern w:val="44"/>
        </w:rPr>
      </w:pPr>
      <w:r>
        <w:rPr>
          <w:rFonts w:hint="eastAsia" w:ascii="宋体" w:hAnsi="宋体"/>
          <w:kern w:val="44"/>
        </w:rPr>
        <w:t>（六）其他损害旅游者合法权益的行为。</w:t>
      </w:r>
    </w:p>
    <w:p w14:paraId="76D4DC8C">
      <w:pPr>
        <w:ind w:firstLine="422"/>
        <w:jc w:val="left"/>
        <w:rPr>
          <w:rFonts w:ascii="宋体" w:hAnsi="宋体"/>
          <w:kern w:val="44"/>
        </w:rPr>
      </w:pPr>
      <w:r>
        <w:rPr>
          <w:rFonts w:hint="eastAsia" w:ascii="宋体" w:hAnsi="宋体"/>
          <w:b/>
          <w:kern w:val="44"/>
        </w:rPr>
        <w:t>第四十一条</w:t>
      </w:r>
      <w:r>
        <w:rPr>
          <w:rFonts w:hint="eastAsia" w:ascii="宋体" w:hAnsi="宋体"/>
          <w:kern w:val="44"/>
        </w:rPr>
        <w:t>　为旅游散客提供专线公共客运服务的经营者，其车辆及行驶线路、经停站点，应当符合城市公共交通管理的有关规定。</w:t>
      </w:r>
    </w:p>
    <w:p w14:paraId="36E13B5F">
      <w:pPr>
        <w:jc w:val="left"/>
        <w:rPr>
          <w:rFonts w:ascii="宋体" w:hAnsi="宋体"/>
          <w:kern w:val="44"/>
        </w:rPr>
      </w:pPr>
      <w:r>
        <w:rPr>
          <w:rFonts w:hint="eastAsia" w:ascii="宋体" w:hAnsi="宋体"/>
          <w:kern w:val="44"/>
        </w:rPr>
        <w:t>为旅游散客提供交通、游览、餐饮等综合服务的经营者，应当取得旅行社业务经营许可证；其导游员应当持有导游证，所使用的客运车辆应当取得旅游营运资质；并应当向旅游者公示旅游价格、服务内容和服务标准。</w:t>
      </w:r>
    </w:p>
    <w:p w14:paraId="48712F05">
      <w:pPr>
        <w:ind w:firstLine="422"/>
        <w:jc w:val="left"/>
        <w:rPr>
          <w:rFonts w:ascii="宋体" w:hAnsi="宋体"/>
          <w:kern w:val="44"/>
        </w:rPr>
      </w:pPr>
      <w:r>
        <w:rPr>
          <w:rFonts w:hint="eastAsia" w:ascii="宋体" w:hAnsi="宋体"/>
          <w:b/>
          <w:kern w:val="44"/>
        </w:rPr>
        <w:t>第四十二条</w:t>
      </w:r>
      <w:r>
        <w:rPr>
          <w:rFonts w:hint="eastAsia" w:ascii="宋体" w:hAnsi="宋体"/>
          <w:kern w:val="44"/>
        </w:rPr>
        <w:t>　在旧城内，对利用胡同资源开展旅游经营活动的，实行特许经营。具体办法由市人民政府制定。</w:t>
      </w:r>
    </w:p>
    <w:p w14:paraId="2BE477A9">
      <w:pPr>
        <w:ind w:firstLine="422"/>
        <w:jc w:val="left"/>
        <w:rPr>
          <w:rFonts w:ascii="宋体" w:hAnsi="宋体"/>
          <w:kern w:val="44"/>
        </w:rPr>
      </w:pPr>
      <w:r>
        <w:rPr>
          <w:rFonts w:hint="eastAsia" w:ascii="宋体" w:hAnsi="宋体"/>
          <w:b/>
          <w:kern w:val="44"/>
        </w:rPr>
        <w:t>第四十三条</w:t>
      </w:r>
      <w:r>
        <w:rPr>
          <w:rFonts w:hint="eastAsia" w:ascii="宋体" w:hAnsi="宋体"/>
          <w:kern w:val="44"/>
        </w:rPr>
        <w:t>　饭店、旅店等旅游住宿单位应当遵守本条例和有关旅馆业管理的规定，为旅游者提供安全、卫生和质价相符的服务。</w:t>
      </w:r>
    </w:p>
    <w:p w14:paraId="2C2D3F13">
      <w:pPr>
        <w:ind w:firstLine="422"/>
        <w:jc w:val="left"/>
        <w:rPr>
          <w:rFonts w:ascii="宋体" w:hAnsi="宋体"/>
          <w:kern w:val="44"/>
        </w:rPr>
      </w:pPr>
      <w:r>
        <w:rPr>
          <w:rFonts w:hint="eastAsia" w:ascii="宋体" w:hAnsi="宋体"/>
          <w:b/>
          <w:kern w:val="44"/>
        </w:rPr>
        <w:t>第四十四条</w:t>
      </w:r>
      <w:r>
        <w:rPr>
          <w:rFonts w:hint="eastAsia" w:ascii="宋体" w:hAnsi="宋体"/>
          <w:kern w:val="44"/>
        </w:rPr>
        <w:t>　旅游区（点）应当根据接待的需要，按照规定标准，建设停车场、免费公共厕所以及符合环境卫生、通讯、安全保障、无障碍等要求的配套服务设施。</w:t>
      </w:r>
    </w:p>
    <w:p w14:paraId="0DDF0E5B">
      <w:pPr>
        <w:jc w:val="left"/>
        <w:rPr>
          <w:rFonts w:ascii="宋体" w:hAnsi="宋体"/>
          <w:kern w:val="44"/>
        </w:rPr>
      </w:pPr>
      <w:r>
        <w:rPr>
          <w:rFonts w:hint="eastAsia" w:ascii="宋体" w:hAnsi="宋体"/>
          <w:kern w:val="44"/>
        </w:rPr>
        <w:t>旅游区（点）的配套服务设施，应当统一规划，合理布局，不得影响景区景容。</w:t>
      </w:r>
    </w:p>
    <w:p w14:paraId="0C3FB6EB">
      <w:pPr>
        <w:ind w:firstLine="422"/>
        <w:jc w:val="left"/>
        <w:rPr>
          <w:rFonts w:ascii="宋体" w:hAnsi="宋体"/>
          <w:kern w:val="44"/>
        </w:rPr>
      </w:pPr>
      <w:r>
        <w:rPr>
          <w:rFonts w:hint="eastAsia" w:ascii="宋体" w:hAnsi="宋体"/>
          <w:b/>
          <w:kern w:val="44"/>
        </w:rPr>
        <w:t>第四十五条</w:t>
      </w:r>
      <w:r>
        <w:rPr>
          <w:rFonts w:hint="eastAsia" w:ascii="宋体" w:hAnsi="宋体"/>
          <w:kern w:val="44"/>
        </w:rPr>
        <w:t>　旅游区内设有收费旅游点或者旅游项目的，应当分别设置单一门票，不得强行向旅游者兜售联票、套票。</w:t>
      </w:r>
    </w:p>
    <w:p w14:paraId="75AF2FD5">
      <w:pPr>
        <w:ind w:firstLine="422"/>
        <w:jc w:val="left"/>
        <w:rPr>
          <w:rFonts w:ascii="宋体" w:hAnsi="宋体"/>
          <w:kern w:val="44"/>
        </w:rPr>
      </w:pPr>
      <w:r>
        <w:rPr>
          <w:rFonts w:hint="eastAsia" w:ascii="宋体" w:hAnsi="宋体"/>
          <w:b/>
          <w:kern w:val="44"/>
        </w:rPr>
        <w:t>第四十六条</w:t>
      </w:r>
      <w:r>
        <w:rPr>
          <w:rFonts w:hint="eastAsia" w:ascii="宋体" w:hAnsi="宋体"/>
          <w:kern w:val="44"/>
        </w:rPr>
        <w:t>　在旅游区（点）内或者周围，不得擅自摆摊、圈地、占点，妨碍旅游者观光、摄影；不得纠缠、诱骗或者胁迫旅游者购买商品、接受有偿服务。</w:t>
      </w:r>
    </w:p>
    <w:p w14:paraId="57FD4F21">
      <w:pPr>
        <w:ind w:firstLine="422"/>
        <w:jc w:val="left"/>
        <w:rPr>
          <w:rFonts w:ascii="宋体" w:hAnsi="宋体"/>
          <w:kern w:val="44"/>
        </w:rPr>
      </w:pPr>
      <w:r>
        <w:rPr>
          <w:rFonts w:hint="eastAsia" w:ascii="宋体" w:hAnsi="宋体"/>
          <w:b/>
          <w:kern w:val="44"/>
        </w:rPr>
        <w:t>第四十七条</w:t>
      </w:r>
      <w:r>
        <w:rPr>
          <w:rFonts w:hint="eastAsia" w:ascii="宋体" w:hAnsi="宋体"/>
          <w:kern w:val="44"/>
        </w:rPr>
        <w:t>　任何单位和个人都应当保持旅游区（点）的环境整洁和美观，维护旅游秩序，爱护旅游设施。</w:t>
      </w:r>
    </w:p>
    <w:p w14:paraId="71020216">
      <w:pPr>
        <w:jc w:val="left"/>
        <w:rPr>
          <w:rFonts w:ascii="宋体" w:hAnsi="宋体"/>
          <w:kern w:val="44"/>
        </w:rPr>
      </w:pPr>
      <w:r>
        <w:rPr>
          <w:rFonts w:hint="eastAsia" w:ascii="宋体" w:hAnsi="宋体"/>
          <w:kern w:val="44"/>
        </w:rPr>
        <w:t>旅游区（点）的经营管理者应当加强环境卫生的日常清洁和维护，设置必要的清扫人员，创造文明、整洁的旅游环境。</w:t>
      </w:r>
    </w:p>
    <w:p w14:paraId="3A6E5E93">
      <w:pPr>
        <w:jc w:val="left"/>
        <w:rPr>
          <w:rFonts w:ascii="宋体" w:hAnsi="宋体"/>
          <w:kern w:val="44"/>
        </w:rPr>
      </w:pPr>
    </w:p>
    <w:p w14:paraId="1210550D">
      <w:pPr>
        <w:ind w:firstLine="0" w:firstLineChars="0"/>
        <w:jc w:val="center"/>
        <w:rPr>
          <w:rFonts w:ascii="宋体" w:hAnsi="宋体"/>
          <w:b/>
          <w:kern w:val="44"/>
          <w:sz w:val="28"/>
        </w:rPr>
      </w:pPr>
      <w:r>
        <w:rPr>
          <w:rFonts w:hint="eastAsia" w:ascii="宋体" w:hAnsi="宋体"/>
          <w:b/>
          <w:kern w:val="44"/>
          <w:sz w:val="28"/>
        </w:rPr>
        <w:t>第五章　旅游安全</w:t>
      </w:r>
    </w:p>
    <w:p w14:paraId="467D6E30">
      <w:pPr>
        <w:jc w:val="left"/>
        <w:rPr>
          <w:rFonts w:ascii="宋体" w:hAnsi="宋体"/>
          <w:kern w:val="44"/>
        </w:rPr>
      </w:pPr>
    </w:p>
    <w:p w14:paraId="43C36898">
      <w:pPr>
        <w:ind w:firstLine="422"/>
        <w:jc w:val="left"/>
        <w:rPr>
          <w:rFonts w:ascii="宋体" w:hAnsi="宋体"/>
          <w:kern w:val="44"/>
        </w:rPr>
      </w:pPr>
      <w:r>
        <w:rPr>
          <w:rFonts w:hint="eastAsia" w:ascii="宋体" w:hAnsi="宋体"/>
          <w:b/>
          <w:kern w:val="44"/>
        </w:rPr>
        <w:t>第四十八条</w:t>
      </w:r>
      <w:r>
        <w:rPr>
          <w:rFonts w:hint="eastAsia" w:ascii="宋体" w:hAnsi="宋体"/>
          <w:kern w:val="44"/>
        </w:rPr>
        <w:t>　旅游行政管理部门应当组织拟订本市旅游业有关安全方面的规章制度，组织具有行业特点的安全宣传教育工作，在职责权限范围内督促、检查旅游业重点单位落实有关旅游业安全管理制度和安全防范措施，组织制订旅游安全应急预案，消除事故隐患，依法查处违反旅游安全规定的行为；对相关安全事故及时处理、及时报告，并依法承担相应的管理责任。</w:t>
      </w:r>
    </w:p>
    <w:p w14:paraId="3E88CC3F">
      <w:pPr>
        <w:jc w:val="left"/>
        <w:rPr>
          <w:rFonts w:ascii="宋体" w:hAnsi="宋体"/>
          <w:kern w:val="44"/>
        </w:rPr>
      </w:pPr>
      <w:r>
        <w:rPr>
          <w:rFonts w:hint="eastAsia" w:ascii="宋体" w:hAnsi="宋体"/>
          <w:kern w:val="44"/>
        </w:rPr>
        <w:t>其他有关行政管理部门按照各自的职责，做好旅游安全工作。</w:t>
      </w:r>
    </w:p>
    <w:p w14:paraId="6B3CB4AD">
      <w:pPr>
        <w:ind w:firstLine="422"/>
        <w:jc w:val="left"/>
        <w:rPr>
          <w:rFonts w:ascii="宋体" w:hAnsi="宋体"/>
          <w:kern w:val="44"/>
        </w:rPr>
      </w:pPr>
      <w:r>
        <w:rPr>
          <w:rFonts w:hint="eastAsia" w:ascii="宋体" w:hAnsi="宋体"/>
          <w:b/>
          <w:kern w:val="44"/>
        </w:rPr>
        <w:t>第四十九条</w:t>
      </w:r>
      <w:r>
        <w:rPr>
          <w:rFonts w:hint="eastAsia" w:ascii="宋体" w:hAnsi="宋体"/>
          <w:kern w:val="44"/>
        </w:rPr>
        <w:t>　旅游经营者应当建立安全管理责任制，设置内部安全管理机构或者专门人员，配备必要的安全设备和设施，切实保障旅游者的人身、财产安全。</w:t>
      </w:r>
    </w:p>
    <w:p w14:paraId="65DB9F99">
      <w:pPr>
        <w:jc w:val="left"/>
        <w:rPr>
          <w:rFonts w:ascii="宋体" w:hAnsi="宋体"/>
          <w:kern w:val="44"/>
        </w:rPr>
      </w:pPr>
      <w:r>
        <w:rPr>
          <w:rFonts w:hint="eastAsia" w:ascii="宋体" w:hAnsi="宋体"/>
          <w:kern w:val="44"/>
        </w:rPr>
        <w:t>发生旅游安全事故，旅游经营者应当及时采取处理措施，并向旅游、公安等有关管理部门和所在区、县人民政府报告。</w:t>
      </w:r>
    </w:p>
    <w:p w14:paraId="1F17365B">
      <w:pPr>
        <w:ind w:firstLine="422"/>
        <w:jc w:val="left"/>
        <w:rPr>
          <w:rFonts w:ascii="宋体" w:hAnsi="宋体"/>
          <w:kern w:val="44"/>
        </w:rPr>
      </w:pPr>
      <w:r>
        <w:rPr>
          <w:rFonts w:hint="eastAsia" w:ascii="宋体" w:hAnsi="宋体"/>
          <w:b/>
          <w:kern w:val="44"/>
        </w:rPr>
        <w:t>第五十条</w:t>
      </w:r>
      <w:r>
        <w:rPr>
          <w:rFonts w:hint="eastAsia" w:ascii="宋体" w:hAnsi="宋体"/>
          <w:kern w:val="44"/>
        </w:rPr>
        <w:t>　经营涉及人身安全的特种旅游项目和客运索道、大型游乐项目，其设备、设施应当符合国家有关安全标准，并定期检测。</w:t>
      </w:r>
    </w:p>
    <w:p w14:paraId="7A1F65F9">
      <w:pPr>
        <w:jc w:val="left"/>
        <w:rPr>
          <w:rFonts w:ascii="宋体" w:hAnsi="宋体"/>
          <w:kern w:val="44"/>
        </w:rPr>
      </w:pPr>
      <w:r>
        <w:rPr>
          <w:rFonts w:hint="eastAsia" w:ascii="宋体" w:hAnsi="宋体"/>
          <w:kern w:val="44"/>
        </w:rPr>
        <w:t>旅游经营者应当加强设备、设施的日常维护和保养，保证安全运转，对存在的安全事故隐患，应当立即组织消除。</w:t>
      </w:r>
    </w:p>
    <w:p w14:paraId="336AE5C4">
      <w:pPr>
        <w:ind w:firstLine="422"/>
        <w:jc w:val="left"/>
        <w:rPr>
          <w:rFonts w:ascii="宋体" w:hAnsi="宋体"/>
          <w:kern w:val="44"/>
        </w:rPr>
      </w:pPr>
      <w:r>
        <w:rPr>
          <w:rFonts w:hint="eastAsia" w:ascii="宋体" w:hAnsi="宋体"/>
          <w:b/>
          <w:kern w:val="44"/>
        </w:rPr>
        <w:t>第五十一条</w:t>
      </w:r>
      <w:r>
        <w:rPr>
          <w:rFonts w:hint="eastAsia" w:ascii="宋体" w:hAnsi="宋体"/>
          <w:kern w:val="44"/>
        </w:rPr>
        <w:t>　旅行社组织旅游，应当保证所提供的服务符合保障旅游者人身、财产安全的要求；对可能危及旅游者人身、财产安全的事宜，应当向旅游者作出真实的说明和明确的警示，并采取防止危害发生的措施。</w:t>
      </w:r>
    </w:p>
    <w:p w14:paraId="69AB4A9E">
      <w:pPr>
        <w:jc w:val="left"/>
        <w:rPr>
          <w:rFonts w:ascii="宋体" w:hAnsi="宋体"/>
          <w:kern w:val="44"/>
        </w:rPr>
      </w:pPr>
      <w:r>
        <w:rPr>
          <w:rFonts w:hint="eastAsia" w:ascii="宋体" w:hAnsi="宋体"/>
          <w:kern w:val="44"/>
        </w:rPr>
        <w:t>导游员在引导旅游者旅行、游览过程中，应当就可能发生危及旅游者人身、财产安全的情况，向旅游者作出真实的说明和明确的警示，并按照旅行社的要求采取防止危害发生的措施。</w:t>
      </w:r>
    </w:p>
    <w:p w14:paraId="0B4ACDAF">
      <w:pPr>
        <w:ind w:firstLine="422"/>
        <w:jc w:val="left"/>
        <w:rPr>
          <w:rFonts w:ascii="宋体" w:hAnsi="宋体"/>
          <w:kern w:val="44"/>
        </w:rPr>
      </w:pPr>
      <w:r>
        <w:rPr>
          <w:rFonts w:hint="eastAsia" w:ascii="宋体" w:hAnsi="宋体"/>
          <w:b/>
          <w:kern w:val="44"/>
        </w:rPr>
        <w:t>第五十二条</w:t>
      </w:r>
      <w:r>
        <w:rPr>
          <w:rFonts w:hint="eastAsia" w:ascii="宋体" w:hAnsi="宋体"/>
          <w:kern w:val="44"/>
        </w:rPr>
        <w:t>　旅游区（点）应当根据接待需要，设置地域界限标志、服务设施和游览导向标志等；对具有一定危险性的区域或者项目，应当设立明显的提示或者警示标志，并采取必要的防护措施。</w:t>
      </w:r>
    </w:p>
    <w:p w14:paraId="6F2131E2">
      <w:pPr>
        <w:ind w:firstLine="422"/>
        <w:jc w:val="left"/>
        <w:rPr>
          <w:rFonts w:ascii="宋体" w:hAnsi="宋体"/>
          <w:kern w:val="44"/>
        </w:rPr>
      </w:pPr>
      <w:r>
        <w:rPr>
          <w:rFonts w:hint="eastAsia" w:ascii="宋体" w:hAnsi="宋体"/>
          <w:b/>
          <w:kern w:val="44"/>
        </w:rPr>
        <w:t>第五十三条</w:t>
      </w:r>
      <w:r>
        <w:rPr>
          <w:rFonts w:hint="eastAsia" w:ascii="宋体" w:hAnsi="宋体"/>
          <w:kern w:val="44"/>
        </w:rPr>
        <w:t>　旅游区（点）应当根据旅游安全、环境保护、文物保护以及服务质量等要求，确定旅游接待承载能力，实行游客流量控制。</w:t>
      </w:r>
    </w:p>
    <w:p w14:paraId="22F48802">
      <w:pPr>
        <w:jc w:val="left"/>
        <w:rPr>
          <w:rFonts w:ascii="宋体" w:hAnsi="宋体"/>
          <w:kern w:val="44"/>
        </w:rPr>
      </w:pPr>
      <w:r>
        <w:rPr>
          <w:rFonts w:hint="eastAsia" w:ascii="宋体" w:hAnsi="宋体"/>
          <w:kern w:val="44"/>
        </w:rPr>
        <w:t>旅游区（点）达到或者接近游客流量控制标准时，旅游区（点）的经营管理者应当及时进行疏导，并采取分时进入或者限制进入等措施。</w:t>
      </w:r>
    </w:p>
    <w:p w14:paraId="11AFC919">
      <w:pPr>
        <w:ind w:firstLine="422"/>
        <w:jc w:val="left"/>
        <w:rPr>
          <w:rFonts w:ascii="宋体" w:hAnsi="宋体"/>
          <w:kern w:val="44"/>
        </w:rPr>
      </w:pPr>
      <w:r>
        <w:rPr>
          <w:rFonts w:hint="eastAsia" w:ascii="宋体" w:hAnsi="宋体"/>
          <w:b/>
          <w:kern w:val="44"/>
        </w:rPr>
        <w:t>第五十四条</w:t>
      </w:r>
      <w:r>
        <w:rPr>
          <w:rFonts w:hint="eastAsia" w:ascii="宋体" w:hAnsi="宋体"/>
          <w:kern w:val="44"/>
        </w:rPr>
        <w:t>　旅游者应当自觉遵守有关安全规定，增强自我保护意识。提倡旅游者参加人身意外伤害保险。</w:t>
      </w:r>
    </w:p>
    <w:p w14:paraId="03B07E22">
      <w:pPr>
        <w:jc w:val="left"/>
        <w:rPr>
          <w:rFonts w:ascii="宋体" w:hAnsi="宋体"/>
          <w:kern w:val="44"/>
        </w:rPr>
      </w:pPr>
    </w:p>
    <w:p w14:paraId="2153E825">
      <w:pPr>
        <w:ind w:firstLine="0" w:firstLineChars="0"/>
        <w:jc w:val="center"/>
        <w:rPr>
          <w:rFonts w:ascii="宋体" w:hAnsi="宋体"/>
          <w:b/>
          <w:kern w:val="44"/>
          <w:sz w:val="28"/>
        </w:rPr>
      </w:pPr>
      <w:r>
        <w:rPr>
          <w:rFonts w:hint="eastAsia" w:ascii="宋体" w:hAnsi="宋体"/>
          <w:b/>
          <w:kern w:val="44"/>
          <w:sz w:val="28"/>
        </w:rPr>
        <w:t>第六章　监督检查</w:t>
      </w:r>
    </w:p>
    <w:p w14:paraId="31120C6B">
      <w:pPr>
        <w:jc w:val="left"/>
        <w:rPr>
          <w:rFonts w:ascii="宋体" w:hAnsi="宋体"/>
          <w:kern w:val="44"/>
        </w:rPr>
      </w:pPr>
    </w:p>
    <w:p w14:paraId="3B8880DF">
      <w:pPr>
        <w:ind w:firstLine="422"/>
        <w:jc w:val="left"/>
        <w:rPr>
          <w:rFonts w:ascii="宋体" w:hAnsi="宋体"/>
          <w:kern w:val="44"/>
        </w:rPr>
      </w:pPr>
      <w:r>
        <w:rPr>
          <w:rFonts w:hint="eastAsia" w:ascii="宋体" w:hAnsi="宋体"/>
          <w:b/>
          <w:kern w:val="44"/>
        </w:rPr>
        <w:t>第五十五条</w:t>
      </w:r>
      <w:r>
        <w:rPr>
          <w:rFonts w:hint="eastAsia" w:ascii="宋体" w:hAnsi="宋体"/>
          <w:kern w:val="44"/>
        </w:rPr>
        <w:t>　旅游行政管理部门和其他有关行政管理部门应当依法加强对旅游市场的管理和旅游服务质量的检查、监督。</w:t>
      </w:r>
    </w:p>
    <w:p w14:paraId="60CCC5AA">
      <w:pPr>
        <w:jc w:val="left"/>
        <w:rPr>
          <w:rFonts w:ascii="宋体" w:hAnsi="宋体"/>
          <w:kern w:val="44"/>
        </w:rPr>
      </w:pPr>
      <w:r>
        <w:rPr>
          <w:rFonts w:hint="eastAsia" w:ascii="宋体" w:hAnsi="宋体"/>
          <w:kern w:val="44"/>
        </w:rPr>
        <w:t>旅游行政管理部门进行执法检查时，执法人员不得少于两人，并应当主动出示有效执法检查证件，依照法定程序，文明执法。</w:t>
      </w:r>
    </w:p>
    <w:p w14:paraId="2562F861">
      <w:pPr>
        <w:jc w:val="left"/>
        <w:rPr>
          <w:rFonts w:ascii="宋体" w:hAnsi="宋体"/>
          <w:kern w:val="44"/>
        </w:rPr>
      </w:pPr>
      <w:r>
        <w:rPr>
          <w:rFonts w:hint="eastAsia" w:ascii="宋体" w:hAnsi="宋体"/>
          <w:kern w:val="44"/>
        </w:rPr>
        <w:t>旅游行政管理部门及其工作人员，不得从事或者参与旅游经营活动。</w:t>
      </w:r>
    </w:p>
    <w:p w14:paraId="00BF11C5">
      <w:pPr>
        <w:ind w:firstLine="422"/>
        <w:jc w:val="left"/>
        <w:rPr>
          <w:rFonts w:ascii="宋体" w:hAnsi="宋体"/>
          <w:kern w:val="44"/>
        </w:rPr>
      </w:pPr>
      <w:r>
        <w:rPr>
          <w:rFonts w:hint="eastAsia" w:ascii="宋体" w:hAnsi="宋体"/>
          <w:b/>
          <w:kern w:val="44"/>
        </w:rPr>
        <w:t>第五十六条</w:t>
      </w:r>
      <w:r>
        <w:rPr>
          <w:rFonts w:hint="eastAsia" w:ascii="宋体" w:hAnsi="宋体"/>
          <w:kern w:val="44"/>
        </w:rPr>
        <w:t>　旅游者合法权益受到侵害或者与旅游经营者发生争议，可以通过下列途径解决：</w:t>
      </w:r>
    </w:p>
    <w:p w14:paraId="57D6E995">
      <w:pPr>
        <w:jc w:val="left"/>
        <w:rPr>
          <w:rFonts w:ascii="宋体" w:hAnsi="宋体"/>
          <w:kern w:val="44"/>
        </w:rPr>
      </w:pPr>
      <w:r>
        <w:rPr>
          <w:rFonts w:hint="eastAsia" w:ascii="宋体" w:hAnsi="宋体"/>
          <w:kern w:val="44"/>
        </w:rPr>
        <w:t>（一）与旅游经营者协商和解；</w:t>
      </w:r>
    </w:p>
    <w:p w14:paraId="1A82F719">
      <w:pPr>
        <w:jc w:val="left"/>
        <w:rPr>
          <w:rFonts w:ascii="宋体" w:hAnsi="宋体"/>
          <w:kern w:val="44"/>
        </w:rPr>
      </w:pPr>
      <w:r>
        <w:rPr>
          <w:rFonts w:hint="eastAsia" w:ascii="宋体" w:hAnsi="宋体"/>
          <w:kern w:val="44"/>
        </w:rPr>
        <w:t>（二）向旅游、工商行政等管理部门或者消费者协会申诉或者投诉；</w:t>
      </w:r>
    </w:p>
    <w:p w14:paraId="0E30DFA9">
      <w:pPr>
        <w:jc w:val="left"/>
        <w:rPr>
          <w:rFonts w:ascii="宋体" w:hAnsi="宋体"/>
          <w:kern w:val="44"/>
        </w:rPr>
      </w:pPr>
      <w:r>
        <w:rPr>
          <w:rFonts w:hint="eastAsia" w:ascii="宋体" w:hAnsi="宋体"/>
          <w:kern w:val="44"/>
        </w:rPr>
        <w:t>（三）有仲裁协议的提请仲裁机构仲裁；</w:t>
      </w:r>
    </w:p>
    <w:p w14:paraId="4797BC10">
      <w:pPr>
        <w:jc w:val="left"/>
        <w:rPr>
          <w:rFonts w:ascii="宋体" w:hAnsi="宋体"/>
          <w:kern w:val="44"/>
        </w:rPr>
      </w:pPr>
      <w:r>
        <w:rPr>
          <w:rFonts w:hint="eastAsia" w:ascii="宋体" w:hAnsi="宋体"/>
          <w:kern w:val="44"/>
        </w:rPr>
        <w:t>（四）向人民法院提起诉讼。</w:t>
      </w:r>
    </w:p>
    <w:p w14:paraId="2DBADC80">
      <w:pPr>
        <w:ind w:firstLine="422"/>
        <w:jc w:val="left"/>
        <w:rPr>
          <w:rFonts w:ascii="宋体" w:hAnsi="宋体"/>
          <w:kern w:val="44"/>
        </w:rPr>
      </w:pPr>
      <w:r>
        <w:rPr>
          <w:rFonts w:hint="eastAsia" w:ascii="宋体" w:hAnsi="宋体"/>
          <w:b/>
          <w:kern w:val="44"/>
        </w:rPr>
        <w:t>第五十七条</w:t>
      </w:r>
      <w:r>
        <w:rPr>
          <w:rFonts w:hint="eastAsia" w:ascii="宋体" w:hAnsi="宋体"/>
          <w:kern w:val="44"/>
        </w:rPr>
        <w:t>　市和区、县旅游行政管理部门设立并公布旅游投诉电话，接受旅游者的投诉。</w:t>
      </w:r>
    </w:p>
    <w:p w14:paraId="78AD905C">
      <w:pPr>
        <w:ind w:firstLine="422"/>
        <w:jc w:val="left"/>
        <w:rPr>
          <w:rFonts w:ascii="宋体" w:hAnsi="宋体"/>
          <w:kern w:val="44"/>
        </w:rPr>
      </w:pPr>
      <w:r>
        <w:rPr>
          <w:rFonts w:hint="eastAsia" w:ascii="宋体" w:hAnsi="宋体"/>
          <w:b/>
          <w:kern w:val="44"/>
        </w:rPr>
        <w:t>第五十八条</w:t>
      </w:r>
      <w:r>
        <w:rPr>
          <w:rFonts w:hint="eastAsia" w:ascii="宋体" w:hAnsi="宋体"/>
          <w:kern w:val="44"/>
        </w:rPr>
        <w:t>　旅游行政管理部门接到旅游者投诉后，应当在10日内作出是否受理的决定，决定受理的，应当在45日内作出处理决定，并答复投诉者；对应当由其他行政管理部门处理的，及时转交有关部门处理。</w:t>
      </w:r>
    </w:p>
    <w:p w14:paraId="5080AB23">
      <w:pPr>
        <w:jc w:val="left"/>
        <w:rPr>
          <w:rFonts w:ascii="宋体" w:hAnsi="宋体"/>
          <w:kern w:val="44"/>
        </w:rPr>
      </w:pPr>
      <w:r>
        <w:rPr>
          <w:rFonts w:hint="eastAsia" w:ascii="宋体" w:hAnsi="宋体"/>
          <w:kern w:val="44"/>
        </w:rPr>
        <w:t>北京市旅行社质量监督管理所依法受理旅游者对旅行社服务质量的投诉。</w:t>
      </w:r>
    </w:p>
    <w:p w14:paraId="2A4D55BF">
      <w:pPr>
        <w:ind w:firstLine="422"/>
        <w:jc w:val="left"/>
        <w:rPr>
          <w:rFonts w:hint="eastAsia" w:ascii="宋体" w:hAnsi="宋体"/>
          <w:b/>
          <w:kern w:val="44"/>
          <w:sz w:val="28"/>
        </w:rPr>
      </w:pPr>
      <w:r>
        <w:rPr>
          <w:rFonts w:hint="eastAsia" w:ascii="宋体" w:hAnsi="宋体"/>
          <w:b/>
          <w:kern w:val="44"/>
        </w:rPr>
        <w:t>第五十九条</w:t>
      </w:r>
      <w:r>
        <w:rPr>
          <w:rFonts w:hint="eastAsia" w:ascii="宋体" w:hAnsi="宋体"/>
          <w:kern w:val="44"/>
        </w:rPr>
        <w:t>　旅游行政管理部门和其他有关行政管理部门对旅游经营者违反有关旅游的法律、法规和规章的行为予以行政处罚的，应当及时将旅游经营者的违法行为信息记入本市企业信用信息系统。</w:t>
      </w:r>
    </w:p>
    <w:p w14:paraId="529681D0">
      <w:pPr>
        <w:ind w:firstLine="0" w:firstLineChars="0"/>
        <w:jc w:val="center"/>
        <w:rPr>
          <w:rFonts w:hint="eastAsia" w:ascii="宋体" w:hAnsi="宋体"/>
          <w:b/>
          <w:kern w:val="44"/>
          <w:sz w:val="28"/>
        </w:rPr>
      </w:pPr>
      <w:r>
        <w:rPr>
          <w:rFonts w:hint="eastAsia" w:ascii="宋体" w:hAnsi="宋体"/>
          <w:b/>
          <w:kern w:val="44"/>
          <w:sz w:val="28"/>
        </w:rPr>
        <w:t>第七章　法律责任</w:t>
      </w:r>
    </w:p>
    <w:p w14:paraId="100C6BE6">
      <w:pPr>
        <w:ind w:firstLine="0" w:firstLineChars="0"/>
        <w:jc w:val="center"/>
        <w:rPr>
          <w:rFonts w:hint="eastAsia" w:ascii="宋体" w:hAnsi="宋体"/>
          <w:b/>
          <w:kern w:val="44"/>
          <w:sz w:val="28"/>
        </w:rPr>
      </w:pPr>
    </w:p>
    <w:p w14:paraId="4C706248">
      <w:pPr>
        <w:ind w:firstLine="422"/>
        <w:jc w:val="left"/>
        <w:rPr>
          <w:rFonts w:ascii="宋体" w:hAnsi="宋体"/>
          <w:kern w:val="44"/>
        </w:rPr>
      </w:pPr>
      <w:r>
        <w:rPr>
          <w:rFonts w:hint="eastAsia" w:ascii="宋体" w:hAnsi="宋体"/>
          <w:b/>
          <w:kern w:val="44"/>
        </w:rPr>
        <w:t>第六十条</w:t>
      </w:r>
      <w:r>
        <w:rPr>
          <w:rFonts w:hint="eastAsia" w:ascii="宋体" w:hAnsi="宋体"/>
          <w:kern w:val="44"/>
        </w:rPr>
        <w:t>　对违反本条例的行为，有关法律、法规对处罚机关和处罚种类、处罚幅度有规定的，依照有关法律、法规的规定执行；没有法律、法规规定的，依照本条例的规定执行。</w:t>
      </w:r>
    </w:p>
    <w:p w14:paraId="7B2F4A3F">
      <w:pPr>
        <w:ind w:firstLine="422"/>
        <w:jc w:val="left"/>
        <w:rPr>
          <w:rFonts w:ascii="宋体" w:hAnsi="宋体"/>
          <w:kern w:val="44"/>
        </w:rPr>
      </w:pPr>
      <w:r>
        <w:rPr>
          <w:rFonts w:hint="eastAsia" w:ascii="宋体" w:hAnsi="宋体"/>
          <w:b/>
          <w:kern w:val="44"/>
        </w:rPr>
        <w:t>第六十一条</w:t>
      </w:r>
      <w:r>
        <w:rPr>
          <w:rFonts w:hint="eastAsia" w:ascii="宋体" w:hAnsi="宋体"/>
          <w:kern w:val="44"/>
        </w:rPr>
        <w:t>　违反本条例第三十三条第二款、第三十四条第（三）、（四）、（五）、（七）项的规定，损害旅游者合法权益的，由旅游行政管理部门责令改正，可以根据情节单处或者并处警告、没收违法所得、处违法所得1倍以上5倍以下罚款，没有违法所得的，处1万元以下罚款；情节严重的，责令停业整顿，或者提请工商行政管理部门吊销营业执照。</w:t>
      </w:r>
    </w:p>
    <w:p w14:paraId="4385AE9D">
      <w:pPr>
        <w:ind w:firstLine="422"/>
        <w:jc w:val="left"/>
        <w:rPr>
          <w:rFonts w:ascii="宋体" w:hAnsi="宋体"/>
          <w:kern w:val="44"/>
        </w:rPr>
      </w:pPr>
      <w:r>
        <w:rPr>
          <w:rFonts w:hint="eastAsia" w:ascii="宋体" w:hAnsi="宋体"/>
          <w:b/>
          <w:kern w:val="44"/>
        </w:rPr>
        <w:t>第六十二条</w:t>
      </w:r>
      <w:r>
        <w:rPr>
          <w:rFonts w:hint="eastAsia" w:ascii="宋体" w:hAnsi="宋体"/>
          <w:kern w:val="44"/>
        </w:rPr>
        <w:t>　违反本条例第四十五条、第四十六条的规定，损害旅游者合法权益的，由旅游行政管理部门或者市人民政府确定的管理部门处1000元以上1万元以下罚款；有违法所得的，没收违法所得；情节严重的，可以处1万元以上3万元以下罚款。</w:t>
      </w:r>
    </w:p>
    <w:p w14:paraId="5A60C51B">
      <w:pPr>
        <w:ind w:firstLine="422"/>
        <w:jc w:val="left"/>
        <w:rPr>
          <w:rFonts w:ascii="宋体" w:hAnsi="宋体"/>
          <w:kern w:val="44"/>
        </w:rPr>
      </w:pPr>
      <w:r>
        <w:rPr>
          <w:rFonts w:hint="eastAsia" w:ascii="宋体" w:hAnsi="宋体"/>
          <w:b/>
          <w:kern w:val="44"/>
        </w:rPr>
        <w:t>第六十三条</w:t>
      </w:r>
      <w:r>
        <w:rPr>
          <w:rFonts w:hint="eastAsia" w:ascii="宋体" w:hAnsi="宋体"/>
          <w:kern w:val="44"/>
        </w:rPr>
        <w:t>　违反本条例第三十七条和第四十条第（三）项规定，给予或者收受回扣的，依法给予行政处罚；旅游行政管理部门可以吊销导游员或者领队的执业证书。</w:t>
      </w:r>
    </w:p>
    <w:p w14:paraId="30DC769A">
      <w:pPr>
        <w:ind w:firstLine="422"/>
        <w:jc w:val="left"/>
        <w:rPr>
          <w:rFonts w:ascii="宋体" w:hAnsi="宋体"/>
          <w:kern w:val="44"/>
        </w:rPr>
      </w:pPr>
      <w:r>
        <w:rPr>
          <w:rFonts w:hint="eastAsia" w:ascii="宋体" w:hAnsi="宋体"/>
          <w:b/>
          <w:kern w:val="44"/>
        </w:rPr>
        <w:t>第六十四条</w:t>
      </w:r>
      <w:r>
        <w:rPr>
          <w:rFonts w:hint="eastAsia" w:ascii="宋体" w:hAnsi="宋体"/>
          <w:kern w:val="44"/>
        </w:rPr>
        <w:t>　违反本条例第三十九条第一款规定，未取得国家规定的执业证书进行导游或者领队活动的，由旅游行政管理部门责令改正并予以公告，处1000元以上3万元以下罚款；有违法所得的，并处没收违法所得。</w:t>
      </w:r>
    </w:p>
    <w:p w14:paraId="30778BE3">
      <w:pPr>
        <w:jc w:val="left"/>
        <w:rPr>
          <w:rFonts w:ascii="宋体" w:hAnsi="宋体"/>
          <w:kern w:val="44"/>
        </w:rPr>
      </w:pPr>
      <w:r>
        <w:rPr>
          <w:rFonts w:hint="eastAsia" w:ascii="宋体" w:hAnsi="宋体"/>
          <w:kern w:val="44"/>
        </w:rPr>
        <w:t>违反本条例第三十九条第二款规定，未经旅行社委派从事导游或者领队活动的，由旅游行政管理部门责令改正，处1000元以上3万元以下罚款；有违法所得的，并处没收违法所得；情节严重的，由旅游行政管理部门吊销导游证或者领队证并予以公告。</w:t>
      </w:r>
    </w:p>
    <w:p w14:paraId="4C39236C">
      <w:pPr>
        <w:ind w:firstLine="422"/>
        <w:jc w:val="left"/>
        <w:rPr>
          <w:rFonts w:ascii="宋体" w:hAnsi="宋体"/>
          <w:kern w:val="44"/>
        </w:rPr>
      </w:pPr>
      <w:r>
        <w:rPr>
          <w:rFonts w:hint="eastAsia" w:ascii="宋体" w:hAnsi="宋体"/>
          <w:b/>
          <w:kern w:val="44"/>
        </w:rPr>
        <w:t>第六十五条</w:t>
      </w:r>
      <w:r>
        <w:rPr>
          <w:rFonts w:hint="eastAsia" w:ascii="宋体" w:hAnsi="宋体"/>
          <w:kern w:val="44"/>
        </w:rPr>
        <w:t>　违反本条例第四十条第（一）、（二）、（四）、（五）、（六）项的规定，损害旅游者合法权益的，由旅游行政管理部门责令改正，处1000元以上3万元以下罚款；有违法所得的，并处没收违法所得；情节严重的，由旅游行政管理部门吊销导游证并予以公告；对委派该导游人员的旅行社给予警告直至责令停业整顿。</w:t>
      </w:r>
    </w:p>
    <w:p w14:paraId="34D41B69">
      <w:pPr>
        <w:ind w:firstLine="422"/>
        <w:jc w:val="left"/>
        <w:rPr>
          <w:rFonts w:ascii="宋体" w:hAnsi="宋体"/>
          <w:kern w:val="44"/>
        </w:rPr>
      </w:pPr>
      <w:r>
        <w:rPr>
          <w:rFonts w:hint="eastAsia" w:ascii="宋体" w:hAnsi="宋体"/>
          <w:b/>
          <w:kern w:val="44"/>
        </w:rPr>
        <w:t>第六十六条</w:t>
      </w:r>
      <w:r>
        <w:rPr>
          <w:rFonts w:hint="eastAsia" w:ascii="宋体" w:hAnsi="宋体"/>
          <w:kern w:val="44"/>
        </w:rPr>
        <w:t>　违反本条例第四十一条第二款规定，旅行社使用未取得旅游营运资质的车辆为旅游散客提供综合服务的，由旅游行政管理部门责令改正，给予警告，处1000元以上1万元以下罚款；有违法所得的，并处没收违法所得；情节严重的，处1万元以上3万元以下罚款，并责令停业整顿。</w:t>
      </w:r>
    </w:p>
    <w:p w14:paraId="7A94A014">
      <w:pPr>
        <w:ind w:firstLine="422"/>
        <w:jc w:val="left"/>
        <w:rPr>
          <w:rFonts w:ascii="宋体" w:hAnsi="宋体"/>
          <w:kern w:val="44"/>
        </w:rPr>
      </w:pPr>
      <w:r>
        <w:rPr>
          <w:rFonts w:hint="eastAsia" w:ascii="宋体" w:hAnsi="宋体"/>
          <w:b/>
          <w:kern w:val="44"/>
        </w:rPr>
        <w:t>第六十七条</w:t>
      </w:r>
      <w:r>
        <w:rPr>
          <w:rFonts w:hint="eastAsia" w:ascii="宋体" w:hAnsi="宋体"/>
          <w:kern w:val="44"/>
        </w:rPr>
        <w:t>　违反本条例第四十一条第二款规定，具有旅游营运资质的车辆为未取得旅游经营许可的经营者提供散客客运服务的，由交通行政管理部门责令改正，并处500元以上1万元以下罚款，情节严重的，可以处1万元以上2万元以下罚款，并可责令停业整顿3至7天；对责任者个人处200元以上1000元以下罚款，在其营运资格证件上作违章记录，暂扣其营运资格证件1至3个月，情节严重的，吊销其营运资格证。</w:t>
      </w:r>
    </w:p>
    <w:p w14:paraId="54EDDF67">
      <w:pPr>
        <w:ind w:firstLine="422"/>
        <w:jc w:val="left"/>
        <w:rPr>
          <w:rFonts w:ascii="宋体" w:hAnsi="宋体"/>
          <w:kern w:val="44"/>
        </w:rPr>
      </w:pPr>
      <w:r>
        <w:rPr>
          <w:rFonts w:hint="eastAsia" w:ascii="宋体" w:hAnsi="宋体"/>
          <w:b/>
          <w:kern w:val="44"/>
        </w:rPr>
        <w:t>第六十八条</w:t>
      </w:r>
      <w:r>
        <w:rPr>
          <w:rFonts w:hint="eastAsia" w:ascii="宋体" w:hAnsi="宋体"/>
          <w:kern w:val="44"/>
        </w:rPr>
        <w:t>　违反本条例第四十九条、第五十条、第五十二条关于旅游安全管理的规定的，由旅游行政管理部门责令改正，给予警告，可以处5000元以下罚款；情节严重的，处5000元以上3万元以下罚款，并可以责令停业整顿。</w:t>
      </w:r>
    </w:p>
    <w:p w14:paraId="7B33C65C">
      <w:pPr>
        <w:ind w:firstLine="422"/>
        <w:jc w:val="left"/>
        <w:rPr>
          <w:rFonts w:ascii="宋体" w:hAnsi="宋体"/>
          <w:kern w:val="44"/>
        </w:rPr>
      </w:pPr>
      <w:r>
        <w:rPr>
          <w:rFonts w:hint="eastAsia" w:ascii="宋体" w:hAnsi="宋体"/>
          <w:b/>
          <w:kern w:val="44"/>
        </w:rPr>
        <w:t>第六十九条</w:t>
      </w:r>
      <w:r>
        <w:rPr>
          <w:rFonts w:hint="eastAsia" w:ascii="宋体" w:hAnsi="宋体"/>
          <w:kern w:val="44"/>
        </w:rPr>
        <w:t>　违反本条例规定，损害旅游者合法权益，造成旅游者人身伤害、财产损失的，应当依法承担民事责任；构成犯罪的，依法追究刑事责任。</w:t>
      </w:r>
    </w:p>
    <w:p w14:paraId="37169EAF">
      <w:pPr>
        <w:ind w:firstLine="422"/>
        <w:jc w:val="left"/>
        <w:rPr>
          <w:rFonts w:ascii="宋体" w:hAnsi="宋体"/>
          <w:kern w:val="44"/>
        </w:rPr>
      </w:pPr>
      <w:r>
        <w:rPr>
          <w:rFonts w:hint="eastAsia" w:ascii="宋体" w:hAnsi="宋体"/>
          <w:b/>
          <w:kern w:val="44"/>
        </w:rPr>
        <w:t>第七十条</w:t>
      </w:r>
      <w:r>
        <w:rPr>
          <w:rFonts w:hint="eastAsia" w:ascii="宋体" w:hAnsi="宋体"/>
          <w:kern w:val="44"/>
        </w:rPr>
        <w:t>　国家机关工作人员在旅游业管理和行政执法中玩忽职守、滥用职权、徇私舞弊，构成犯罪的，依法追究刑事责任；不构成犯罪的，由其所在单位或者上级机关给予行政处分。</w:t>
      </w:r>
    </w:p>
    <w:p w14:paraId="32DD232C">
      <w:pPr>
        <w:jc w:val="left"/>
        <w:rPr>
          <w:rFonts w:ascii="宋体" w:hAnsi="宋体"/>
          <w:kern w:val="44"/>
        </w:rPr>
      </w:pPr>
    </w:p>
    <w:p w14:paraId="6E3900DD">
      <w:pPr>
        <w:ind w:firstLine="0" w:firstLineChars="0"/>
        <w:jc w:val="center"/>
        <w:rPr>
          <w:rFonts w:ascii="宋体" w:hAnsi="宋体"/>
          <w:b/>
          <w:kern w:val="44"/>
          <w:sz w:val="28"/>
        </w:rPr>
      </w:pPr>
      <w:r>
        <w:rPr>
          <w:rFonts w:hint="eastAsia" w:ascii="宋体" w:hAnsi="宋体"/>
          <w:b/>
          <w:kern w:val="44"/>
          <w:sz w:val="28"/>
        </w:rPr>
        <w:t>第八章　附　则</w:t>
      </w:r>
    </w:p>
    <w:p w14:paraId="49798DDC">
      <w:pPr>
        <w:jc w:val="left"/>
        <w:rPr>
          <w:rFonts w:ascii="宋体" w:hAnsi="宋体"/>
          <w:kern w:val="44"/>
        </w:rPr>
      </w:pPr>
    </w:p>
    <w:p w14:paraId="59A53743">
      <w:pPr>
        <w:ind w:firstLine="422"/>
        <w:jc w:val="left"/>
        <w:rPr>
          <w:rFonts w:ascii="宋体" w:hAnsi="宋体"/>
          <w:kern w:val="44"/>
        </w:rPr>
      </w:pPr>
      <w:r>
        <w:rPr>
          <w:rFonts w:hint="eastAsia" w:ascii="宋体" w:hAnsi="宋体"/>
          <w:b/>
          <w:kern w:val="44"/>
        </w:rPr>
        <w:t>第七十一条</w:t>
      </w:r>
      <w:r>
        <w:rPr>
          <w:rFonts w:hint="eastAsia" w:ascii="宋体" w:hAnsi="宋体"/>
          <w:kern w:val="44"/>
        </w:rPr>
        <w:t xml:space="preserve">  本条例自2004年12月1日起施行。</w:t>
      </w:r>
    </w:p>
    <w:p w14:paraId="586AAAB9">
      <w:pPr>
        <w:pStyle w:val="4"/>
        <w:pageBreakBefore/>
        <w:rPr>
          <w:kern w:val="44"/>
        </w:rPr>
      </w:pPr>
      <w:bookmarkStart w:id="1744" w:name="_Toc422471452"/>
      <w:bookmarkStart w:id="1745" w:name="_Toc428780263"/>
      <w:bookmarkStart w:id="1746" w:name="_Toc427652039"/>
      <w:bookmarkStart w:id="1747" w:name="_Toc427651697"/>
      <w:bookmarkStart w:id="1748" w:name="_Toc428781745"/>
      <w:r>
        <w:rPr>
          <w:rFonts w:hint="eastAsia"/>
          <w:kern w:val="44"/>
        </w:rPr>
        <w:t>北京市人力客运三轮车</w:t>
      </w:r>
      <w:bookmarkEnd w:id="1744"/>
      <w:bookmarkStart w:id="1749" w:name="_Toc422471453"/>
      <w:r>
        <w:rPr>
          <w:rFonts w:hint="eastAsia"/>
          <w:kern w:val="44"/>
        </w:rPr>
        <w:t>胡同游特许经营若干规定</w:t>
      </w:r>
      <w:bookmarkEnd w:id="1745"/>
      <w:bookmarkEnd w:id="1746"/>
      <w:bookmarkEnd w:id="1747"/>
      <w:bookmarkEnd w:id="1748"/>
      <w:bookmarkEnd w:id="1749"/>
    </w:p>
    <w:p w14:paraId="5264B803">
      <w:pPr>
        <w:ind w:left="630" w:leftChars="300" w:right="630" w:rightChars="300"/>
        <w:jc w:val="left"/>
        <w:rPr>
          <w:rFonts w:ascii="楷体" w:hAnsi="楷体" w:eastAsia="楷体"/>
          <w:kern w:val="44"/>
        </w:rPr>
      </w:pPr>
      <w:r>
        <w:rPr>
          <w:rFonts w:hint="eastAsia" w:ascii="楷体" w:hAnsi="楷体" w:eastAsia="楷体"/>
          <w:kern w:val="44"/>
        </w:rPr>
        <w:t>（2007年8月1日市人民政府第69次常务会议审议通过  2007年8月26日北京市人民政府第193号令公布）</w:t>
      </w:r>
    </w:p>
    <w:p w14:paraId="4090F79E">
      <w:pPr>
        <w:jc w:val="left"/>
        <w:rPr>
          <w:rFonts w:ascii="宋体" w:hAnsi="宋体"/>
          <w:kern w:val="44"/>
        </w:rPr>
      </w:pPr>
    </w:p>
    <w:p w14:paraId="5BC70176">
      <w:pPr>
        <w:ind w:firstLine="422"/>
        <w:jc w:val="left"/>
        <w:rPr>
          <w:rFonts w:ascii="宋体" w:hAnsi="宋体"/>
          <w:kern w:val="44"/>
        </w:rPr>
      </w:pPr>
      <w:r>
        <w:rPr>
          <w:rFonts w:hint="eastAsia" w:ascii="宋体" w:hAnsi="宋体"/>
          <w:b/>
          <w:kern w:val="44"/>
        </w:rPr>
        <w:t>第一条</w:t>
      </w:r>
      <w:r>
        <w:rPr>
          <w:rFonts w:hint="eastAsia" w:ascii="宋体" w:hAnsi="宋体"/>
          <w:kern w:val="44"/>
        </w:rPr>
        <w:t>　为了规范本市人力客运三轮车胡同游经营行为，合理控制发展规模，维护旅游市场秩序，根据《北京市旅游管理条例》，制定本规定。</w:t>
      </w:r>
    </w:p>
    <w:p w14:paraId="4B33D38D">
      <w:pPr>
        <w:ind w:firstLine="422"/>
        <w:jc w:val="left"/>
        <w:rPr>
          <w:rFonts w:ascii="宋体" w:hAnsi="宋体"/>
          <w:kern w:val="44"/>
        </w:rPr>
      </w:pPr>
      <w:r>
        <w:rPr>
          <w:rFonts w:hint="eastAsia" w:ascii="宋体" w:hAnsi="宋体"/>
          <w:b/>
          <w:kern w:val="44"/>
        </w:rPr>
        <w:t>第二条</w:t>
      </w:r>
      <w:r>
        <w:rPr>
          <w:rFonts w:hint="eastAsia" w:ascii="宋体" w:hAnsi="宋体"/>
          <w:kern w:val="44"/>
        </w:rPr>
        <w:t>　在本市旧城内开展人力客运三轮车胡同游（ 以下简称胡同游 ），依照本规定实施特许经营。</w:t>
      </w:r>
    </w:p>
    <w:p w14:paraId="22D683C7">
      <w:pPr>
        <w:jc w:val="left"/>
        <w:rPr>
          <w:rFonts w:ascii="宋体" w:hAnsi="宋体"/>
          <w:kern w:val="44"/>
        </w:rPr>
      </w:pPr>
      <w:r>
        <w:rPr>
          <w:rFonts w:hint="eastAsia" w:ascii="宋体" w:hAnsi="宋体"/>
          <w:kern w:val="44"/>
        </w:rPr>
        <w:t>本规定所称胡同游特许经营，是指取得特许经营权的经营者在一定期限和区域内，利用胡同资源为旅游者提供乘坐人力客运三轮车（以下简称三轮车）游览服务的经营活动。</w:t>
      </w:r>
    </w:p>
    <w:p w14:paraId="3F70978F">
      <w:pPr>
        <w:ind w:firstLine="422"/>
        <w:jc w:val="left"/>
        <w:rPr>
          <w:rFonts w:ascii="宋体" w:hAnsi="宋体"/>
          <w:kern w:val="44"/>
        </w:rPr>
      </w:pPr>
      <w:r>
        <w:rPr>
          <w:rFonts w:hint="eastAsia" w:ascii="宋体" w:hAnsi="宋体"/>
          <w:b/>
          <w:kern w:val="44"/>
        </w:rPr>
        <w:t>第三条</w:t>
      </w:r>
      <w:r>
        <w:rPr>
          <w:rFonts w:hint="eastAsia" w:ascii="宋体" w:hAnsi="宋体"/>
          <w:kern w:val="44"/>
        </w:rPr>
        <w:t>　市旅游行政管理部门负责全市胡同游特许经营行政管理的组织、协调工作。</w:t>
      </w:r>
    </w:p>
    <w:p w14:paraId="2284CA61">
      <w:pPr>
        <w:jc w:val="left"/>
        <w:rPr>
          <w:rFonts w:ascii="宋体" w:hAnsi="宋体"/>
          <w:kern w:val="44"/>
        </w:rPr>
      </w:pPr>
      <w:r>
        <w:rPr>
          <w:rFonts w:hint="eastAsia" w:ascii="宋体" w:hAnsi="宋体"/>
          <w:kern w:val="44"/>
        </w:rPr>
        <w:t>区人民政府按照属地管理的原则，负责本行政区域内胡同游特许经营的实施和监督管理。</w:t>
      </w:r>
    </w:p>
    <w:p w14:paraId="167F3E78">
      <w:pPr>
        <w:jc w:val="left"/>
        <w:rPr>
          <w:rFonts w:ascii="宋体" w:hAnsi="宋体"/>
          <w:kern w:val="44"/>
        </w:rPr>
      </w:pPr>
      <w:r>
        <w:rPr>
          <w:rFonts w:hint="eastAsia" w:ascii="宋体" w:hAnsi="宋体"/>
          <w:kern w:val="44"/>
        </w:rPr>
        <w:t>市发展改革、公安交通、道路运输、规划、文物、市政管理、工商行政管理等行政管理部门以及城市管理综合执法部门，应当按照职责分工做好相关工作。</w:t>
      </w:r>
    </w:p>
    <w:p w14:paraId="1586C775">
      <w:pPr>
        <w:ind w:firstLine="422"/>
        <w:jc w:val="left"/>
        <w:rPr>
          <w:rFonts w:ascii="宋体" w:hAnsi="宋体"/>
          <w:kern w:val="44"/>
        </w:rPr>
      </w:pPr>
      <w:r>
        <w:rPr>
          <w:rFonts w:hint="eastAsia" w:ascii="宋体" w:hAnsi="宋体"/>
          <w:b/>
          <w:kern w:val="44"/>
        </w:rPr>
        <w:t>第四条</w:t>
      </w:r>
      <w:r>
        <w:rPr>
          <w:rFonts w:hint="eastAsia" w:ascii="宋体" w:hAnsi="宋体"/>
          <w:kern w:val="44"/>
        </w:rPr>
        <w:t>　市旅游行政管理部门会同市规划、文物、公安交通、道路运输等行政管理部门以及相关区人民政府确定胡同游特许经营区域和三轮车控制总量，报市人民政府批准并公布。</w:t>
      </w:r>
    </w:p>
    <w:p w14:paraId="4BAD4EB8">
      <w:pPr>
        <w:ind w:firstLine="422"/>
        <w:jc w:val="left"/>
        <w:rPr>
          <w:rFonts w:ascii="宋体" w:hAnsi="宋体"/>
          <w:kern w:val="44"/>
        </w:rPr>
      </w:pPr>
      <w:r>
        <w:rPr>
          <w:rFonts w:hint="eastAsia" w:ascii="宋体" w:hAnsi="宋体"/>
          <w:b/>
          <w:kern w:val="44"/>
        </w:rPr>
        <w:t>第五条</w:t>
      </w:r>
      <w:r>
        <w:rPr>
          <w:rFonts w:hint="eastAsia" w:ascii="宋体" w:hAnsi="宋体"/>
          <w:kern w:val="44"/>
        </w:rPr>
        <w:t>　区人民政府负责制订胡同游特许经营实施方案。实施方案应当包括以下内容：</w:t>
      </w:r>
    </w:p>
    <w:p w14:paraId="77FD6924">
      <w:pPr>
        <w:jc w:val="left"/>
        <w:rPr>
          <w:rFonts w:ascii="宋体" w:hAnsi="宋体"/>
          <w:kern w:val="44"/>
        </w:rPr>
      </w:pPr>
      <w:r>
        <w:rPr>
          <w:rFonts w:hint="eastAsia" w:ascii="宋体" w:hAnsi="宋体"/>
          <w:kern w:val="44"/>
        </w:rPr>
        <w:t>（一）项目名称；</w:t>
      </w:r>
    </w:p>
    <w:p w14:paraId="6D600DFD">
      <w:pPr>
        <w:jc w:val="left"/>
        <w:rPr>
          <w:rFonts w:ascii="宋体" w:hAnsi="宋体"/>
          <w:kern w:val="44"/>
        </w:rPr>
      </w:pPr>
      <w:r>
        <w:rPr>
          <w:rFonts w:hint="eastAsia" w:ascii="宋体" w:hAnsi="宋体"/>
          <w:kern w:val="44"/>
        </w:rPr>
        <w:t>（二）实施机构及其权限、职责；</w:t>
      </w:r>
    </w:p>
    <w:p w14:paraId="282C57D2">
      <w:pPr>
        <w:jc w:val="left"/>
        <w:rPr>
          <w:rFonts w:ascii="宋体" w:hAnsi="宋体"/>
          <w:kern w:val="44"/>
        </w:rPr>
      </w:pPr>
      <w:r>
        <w:rPr>
          <w:rFonts w:hint="eastAsia" w:ascii="宋体" w:hAnsi="宋体"/>
          <w:kern w:val="44"/>
        </w:rPr>
        <w:t>（三）区人民政府所属相关管理部门的职责；</w:t>
      </w:r>
    </w:p>
    <w:p w14:paraId="16810EAE">
      <w:pPr>
        <w:jc w:val="left"/>
        <w:rPr>
          <w:rFonts w:ascii="宋体" w:hAnsi="宋体"/>
          <w:kern w:val="44"/>
        </w:rPr>
      </w:pPr>
      <w:r>
        <w:rPr>
          <w:rFonts w:hint="eastAsia" w:ascii="宋体" w:hAnsi="宋体"/>
          <w:kern w:val="44"/>
        </w:rPr>
        <w:t>（四）经营区域、行驶路线、固定与临时停车场（站）；</w:t>
      </w:r>
    </w:p>
    <w:p w14:paraId="27642D7A">
      <w:pPr>
        <w:jc w:val="left"/>
        <w:rPr>
          <w:rFonts w:ascii="宋体" w:hAnsi="宋体"/>
          <w:kern w:val="44"/>
        </w:rPr>
      </w:pPr>
      <w:r>
        <w:rPr>
          <w:rFonts w:hint="eastAsia" w:ascii="宋体" w:hAnsi="宋体"/>
          <w:kern w:val="44"/>
        </w:rPr>
        <w:t>（五）三轮车的控制总量；</w:t>
      </w:r>
    </w:p>
    <w:p w14:paraId="628CA7B4">
      <w:pPr>
        <w:jc w:val="left"/>
        <w:rPr>
          <w:rFonts w:ascii="宋体" w:hAnsi="宋体"/>
          <w:kern w:val="44"/>
        </w:rPr>
      </w:pPr>
      <w:r>
        <w:rPr>
          <w:rFonts w:hint="eastAsia" w:ascii="宋体" w:hAnsi="宋体"/>
          <w:kern w:val="44"/>
        </w:rPr>
        <w:t>（六）特许经营者应当具备的条件和选择方式；</w:t>
      </w:r>
    </w:p>
    <w:p w14:paraId="2D235F34">
      <w:pPr>
        <w:jc w:val="left"/>
        <w:rPr>
          <w:rFonts w:ascii="宋体" w:hAnsi="宋体"/>
          <w:kern w:val="44"/>
        </w:rPr>
      </w:pPr>
      <w:r>
        <w:rPr>
          <w:rFonts w:hint="eastAsia" w:ascii="宋体" w:hAnsi="宋体"/>
          <w:kern w:val="44"/>
        </w:rPr>
        <w:t>（七）价格测算、投资回报和特许经营权使用费；</w:t>
      </w:r>
    </w:p>
    <w:p w14:paraId="7477FBA0">
      <w:pPr>
        <w:jc w:val="left"/>
        <w:rPr>
          <w:rFonts w:ascii="宋体" w:hAnsi="宋体"/>
          <w:kern w:val="44"/>
        </w:rPr>
      </w:pPr>
      <w:r>
        <w:rPr>
          <w:rFonts w:hint="eastAsia" w:ascii="宋体" w:hAnsi="宋体"/>
          <w:kern w:val="44"/>
        </w:rPr>
        <w:t>（八）特许经营者的主要权利和义务；</w:t>
      </w:r>
    </w:p>
    <w:p w14:paraId="18130798">
      <w:pPr>
        <w:jc w:val="left"/>
        <w:rPr>
          <w:rFonts w:ascii="宋体" w:hAnsi="宋体"/>
          <w:kern w:val="44"/>
        </w:rPr>
      </w:pPr>
      <w:r>
        <w:rPr>
          <w:rFonts w:hint="eastAsia" w:ascii="宋体" w:hAnsi="宋体"/>
          <w:kern w:val="44"/>
        </w:rPr>
        <w:t>（九）经营期限以及续约方式；</w:t>
      </w:r>
    </w:p>
    <w:p w14:paraId="73D893F8">
      <w:pPr>
        <w:jc w:val="left"/>
        <w:rPr>
          <w:rFonts w:ascii="宋体" w:hAnsi="宋体"/>
          <w:kern w:val="44"/>
        </w:rPr>
      </w:pPr>
      <w:r>
        <w:rPr>
          <w:rFonts w:hint="eastAsia" w:ascii="宋体" w:hAnsi="宋体"/>
          <w:kern w:val="44"/>
        </w:rPr>
        <w:t>（十）保护文物、环境以及维护交通秩序等方面的措施；</w:t>
      </w:r>
    </w:p>
    <w:p w14:paraId="59801DE0">
      <w:pPr>
        <w:jc w:val="left"/>
        <w:rPr>
          <w:rFonts w:ascii="宋体" w:hAnsi="宋体"/>
          <w:kern w:val="44"/>
        </w:rPr>
      </w:pPr>
      <w:r>
        <w:rPr>
          <w:rFonts w:hint="eastAsia" w:ascii="宋体" w:hAnsi="宋体"/>
          <w:kern w:val="44"/>
        </w:rPr>
        <w:t>（十一）政府承诺和保障；</w:t>
      </w:r>
    </w:p>
    <w:p w14:paraId="109C0D64">
      <w:pPr>
        <w:jc w:val="left"/>
        <w:rPr>
          <w:rFonts w:ascii="宋体" w:hAnsi="宋体"/>
          <w:kern w:val="44"/>
        </w:rPr>
      </w:pPr>
      <w:r>
        <w:rPr>
          <w:rFonts w:hint="eastAsia" w:ascii="宋体" w:hAnsi="宋体"/>
          <w:kern w:val="44"/>
        </w:rPr>
        <w:t>（十二）其他事项。</w:t>
      </w:r>
    </w:p>
    <w:p w14:paraId="637B5E8E">
      <w:pPr>
        <w:ind w:firstLine="422"/>
        <w:jc w:val="left"/>
        <w:rPr>
          <w:rFonts w:ascii="宋体" w:hAnsi="宋体"/>
          <w:kern w:val="44"/>
        </w:rPr>
      </w:pPr>
      <w:r>
        <w:rPr>
          <w:rFonts w:hint="eastAsia" w:ascii="宋体" w:hAnsi="宋体"/>
          <w:b/>
          <w:kern w:val="44"/>
        </w:rPr>
        <w:t>第六条</w:t>
      </w:r>
      <w:r>
        <w:rPr>
          <w:rFonts w:hint="eastAsia" w:ascii="宋体" w:hAnsi="宋体"/>
          <w:kern w:val="44"/>
        </w:rPr>
        <w:t>　实施方案拟订经营区域、行驶路线、固定与临时停车场（站）以及三轮车的控制总量，应当符合历史文化名城保护和道路交通安全管理的要求。</w:t>
      </w:r>
    </w:p>
    <w:p w14:paraId="41ABC456">
      <w:pPr>
        <w:ind w:firstLine="422"/>
        <w:jc w:val="left"/>
        <w:rPr>
          <w:rFonts w:ascii="宋体" w:hAnsi="宋体"/>
          <w:kern w:val="44"/>
        </w:rPr>
      </w:pPr>
      <w:r>
        <w:rPr>
          <w:rFonts w:hint="eastAsia" w:ascii="宋体" w:hAnsi="宋体"/>
          <w:b/>
          <w:kern w:val="44"/>
        </w:rPr>
        <w:t>第七条</w:t>
      </w:r>
      <w:r>
        <w:rPr>
          <w:rFonts w:hint="eastAsia" w:ascii="宋体" w:hAnsi="宋体"/>
          <w:kern w:val="44"/>
        </w:rPr>
        <w:t>　区人民政府应当通过适当方式将实施方案征求当地居民的意见后，报市旅游行政管理部门审批。</w:t>
      </w:r>
    </w:p>
    <w:p w14:paraId="7DABD25F">
      <w:pPr>
        <w:jc w:val="left"/>
        <w:rPr>
          <w:rFonts w:ascii="宋体" w:hAnsi="宋体"/>
          <w:kern w:val="44"/>
        </w:rPr>
      </w:pPr>
      <w:r>
        <w:rPr>
          <w:rFonts w:hint="eastAsia" w:ascii="宋体" w:hAnsi="宋体"/>
          <w:kern w:val="44"/>
        </w:rPr>
        <w:t>市旅游行政管理部门审批实施方案时，应当征求市发展改革、规划、文物、公安交通、道路运输、市政管理、工商行政管理等行政管理部门的意见；其中涉及第五条第（四）项的内容，应当征得公安交通管理部门的同意。</w:t>
      </w:r>
    </w:p>
    <w:p w14:paraId="6BDB6AA9">
      <w:pPr>
        <w:ind w:firstLine="422"/>
        <w:jc w:val="left"/>
        <w:rPr>
          <w:rFonts w:ascii="宋体" w:hAnsi="宋体"/>
          <w:kern w:val="44"/>
        </w:rPr>
      </w:pPr>
      <w:r>
        <w:rPr>
          <w:rFonts w:hint="eastAsia" w:ascii="宋体" w:hAnsi="宋体"/>
          <w:b/>
          <w:kern w:val="44"/>
        </w:rPr>
        <w:t>第八条</w:t>
      </w:r>
      <w:r>
        <w:rPr>
          <w:rFonts w:hint="eastAsia" w:ascii="宋体" w:hAnsi="宋体"/>
          <w:kern w:val="44"/>
        </w:rPr>
        <w:t>　实施机构应当根据国家和本市的有关规定，按照实施方案，通过招标投标方式确定胡同游特许经营者并与中标人签订书面特许经营协议。特许经营协议应当符合实施方案，并包括以下内容：</w:t>
      </w:r>
    </w:p>
    <w:p w14:paraId="639DCC7F">
      <w:pPr>
        <w:jc w:val="left"/>
        <w:rPr>
          <w:rFonts w:ascii="宋体" w:hAnsi="宋体"/>
          <w:kern w:val="44"/>
        </w:rPr>
      </w:pPr>
      <w:r>
        <w:rPr>
          <w:rFonts w:hint="eastAsia" w:ascii="宋体" w:hAnsi="宋体"/>
          <w:kern w:val="44"/>
        </w:rPr>
        <w:t>（一）项目名称；</w:t>
      </w:r>
    </w:p>
    <w:p w14:paraId="4396141C">
      <w:pPr>
        <w:jc w:val="left"/>
        <w:rPr>
          <w:rFonts w:ascii="宋体" w:hAnsi="宋体"/>
          <w:kern w:val="44"/>
        </w:rPr>
      </w:pPr>
      <w:r>
        <w:rPr>
          <w:rFonts w:hint="eastAsia" w:ascii="宋体" w:hAnsi="宋体"/>
          <w:kern w:val="44"/>
        </w:rPr>
        <w:t>（二）特许经营方式、范围、期限以及续约方式；</w:t>
      </w:r>
    </w:p>
    <w:p w14:paraId="7B573F63">
      <w:pPr>
        <w:jc w:val="left"/>
        <w:rPr>
          <w:rFonts w:ascii="宋体" w:hAnsi="宋体"/>
          <w:kern w:val="44"/>
        </w:rPr>
      </w:pPr>
      <w:r>
        <w:rPr>
          <w:rFonts w:hint="eastAsia" w:ascii="宋体" w:hAnsi="宋体"/>
          <w:kern w:val="44"/>
        </w:rPr>
        <w:t>（三）经营区域、三轮车的数量、行驶路线、停车方案；</w:t>
      </w:r>
    </w:p>
    <w:p w14:paraId="1ACB6213">
      <w:pPr>
        <w:jc w:val="left"/>
        <w:rPr>
          <w:rFonts w:ascii="宋体" w:hAnsi="宋体"/>
          <w:kern w:val="44"/>
        </w:rPr>
      </w:pPr>
      <w:r>
        <w:rPr>
          <w:rFonts w:hint="eastAsia" w:ascii="宋体" w:hAnsi="宋体"/>
          <w:kern w:val="44"/>
        </w:rPr>
        <w:t>（四）三轮车及其行驶牌证、特许经营证件的提供、使用和收回；</w:t>
      </w:r>
    </w:p>
    <w:p w14:paraId="2A83637C">
      <w:pPr>
        <w:jc w:val="left"/>
        <w:rPr>
          <w:rFonts w:ascii="宋体" w:hAnsi="宋体"/>
          <w:kern w:val="44"/>
        </w:rPr>
      </w:pPr>
      <w:r>
        <w:rPr>
          <w:rFonts w:hint="eastAsia" w:ascii="宋体" w:hAnsi="宋体"/>
          <w:kern w:val="44"/>
        </w:rPr>
        <w:t>（五）三轮车运营标准、安全标准、外观标准、服务标准；</w:t>
      </w:r>
    </w:p>
    <w:p w14:paraId="4523CC7F">
      <w:pPr>
        <w:jc w:val="left"/>
        <w:rPr>
          <w:rFonts w:ascii="宋体" w:hAnsi="宋体"/>
          <w:kern w:val="44"/>
        </w:rPr>
      </w:pPr>
      <w:r>
        <w:rPr>
          <w:rFonts w:hint="eastAsia" w:ascii="宋体" w:hAnsi="宋体"/>
          <w:kern w:val="44"/>
        </w:rPr>
        <w:t>（六）收费标准、投资回报、调整机制；</w:t>
      </w:r>
    </w:p>
    <w:p w14:paraId="7066FC09">
      <w:pPr>
        <w:jc w:val="left"/>
        <w:rPr>
          <w:rFonts w:ascii="宋体" w:hAnsi="宋体"/>
          <w:kern w:val="44"/>
        </w:rPr>
      </w:pPr>
      <w:r>
        <w:rPr>
          <w:rFonts w:hint="eastAsia" w:ascii="宋体" w:hAnsi="宋体"/>
          <w:kern w:val="44"/>
        </w:rPr>
        <w:t>（七）特许经营权使用费；</w:t>
      </w:r>
    </w:p>
    <w:p w14:paraId="09C4AFA5">
      <w:pPr>
        <w:jc w:val="left"/>
        <w:rPr>
          <w:rFonts w:ascii="宋体" w:hAnsi="宋体"/>
          <w:kern w:val="44"/>
        </w:rPr>
      </w:pPr>
      <w:r>
        <w:rPr>
          <w:rFonts w:hint="eastAsia" w:ascii="宋体" w:hAnsi="宋体"/>
          <w:kern w:val="44"/>
        </w:rPr>
        <w:t>（八）特许经营者的权利和义务；</w:t>
      </w:r>
    </w:p>
    <w:p w14:paraId="4641CC7D">
      <w:pPr>
        <w:jc w:val="left"/>
        <w:rPr>
          <w:rFonts w:ascii="宋体" w:hAnsi="宋体"/>
          <w:kern w:val="44"/>
        </w:rPr>
      </w:pPr>
      <w:r>
        <w:rPr>
          <w:rFonts w:hint="eastAsia" w:ascii="宋体" w:hAnsi="宋体"/>
          <w:kern w:val="44"/>
        </w:rPr>
        <w:t>（九）政府承诺和保障；</w:t>
      </w:r>
    </w:p>
    <w:p w14:paraId="57CDDEA0">
      <w:pPr>
        <w:jc w:val="left"/>
        <w:rPr>
          <w:rFonts w:ascii="宋体" w:hAnsi="宋体"/>
          <w:kern w:val="44"/>
        </w:rPr>
      </w:pPr>
      <w:r>
        <w:rPr>
          <w:rFonts w:hint="eastAsia" w:ascii="宋体" w:hAnsi="宋体"/>
          <w:kern w:val="44"/>
        </w:rPr>
        <w:t>（十）特许经营权收回的方式和程序；</w:t>
      </w:r>
    </w:p>
    <w:p w14:paraId="047B285E">
      <w:pPr>
        <w:jc w:val="left"/>
        <w:rPr>
          <w:rFonts w:ascii="宋体" w:hAnsi="宋体"/>
          <w:kern w:val="44"/>
        </w:rPr>
      </w:pPr>
      <w:r>
        <w:rPr>
          <w:rFonts w:hint="eastAsia" w:ascii="宋体" w:hAnsi="宋体"/>
          <w:kern w:val="44"/>
        </w:rPr>
        <w:t>（十一）违约责任和争议解决方式；</w:t>
      </w:r>
    </w:p>
    <w:p w14:paraId="6FFDCC66">
      <w:pPr>
        <w:jc w:val="left"/>
        <w:rPr>
          <w:rFonts w:ascii="宋体" w:hAnsi="宋体"/>
          <w:kern w:val="44"/>
        </w:rPr>
      </w:pPr>
      <w:r>
        <w:rPr>
          <w:rFonts w:hint="eastAsia" w:ascii="宋体" w:hAnsi="宋体"/>
          <w:kern w:val="44"/>
        </w:rPr>
        <w:t>（十二）其他事项。</w:t>
      </w:r>
    </w:p>
    <w:p w14:paraId="57E89454">
      <w:pPr>
        <w:ind w:firstLine="422"/>
        <w:jc w:val="left"/>
        <w:rPr>
          <w:rFonts w:ascii="宋体" w:hAnsi="宋体"/>
          <w:kern w:val="44"/>
        </w:rPr>
      </w:pPr>
      <w:r>
        <w:rPr>
          <w:rFonts w:hint="eastAsia" w:ascii="宋体" w:hAnsi="宋体"/>
          <w:b/>
          <w:kern w:val="44"/>
        </w:rPr>
        <w:t>第九条</w:t>
      </w:r>
      <w:r>
        <w:rPr>
          <w:rFonts w:hint="eastAsia" w:ascii="宋体" w:hAnsi="宋体"/>
          <w:kern w:val="44"/>
        </w:rPr>
        <w:t>　特许经营者应当持特许经营协议和其他有关文件，到相关行政管理部门办理手续。相关行政管理部门对其在审查实施方案时同意的内容，不再做重复审查；对其他内容的审查结果，不应当导致特许经营协议主要内容的实质性变更。</w:t>
      </w:r>
    </w:p>
    <w:p w14:paraId="7F892F91">
      <w:pPr>
        <w:ind w:firstLine="422"/>
        <w:jc w:val="left"/>
        <w:rPr>
          <w:rFonts w:ascii="宋体" w:hAnsi="宋体"/>
          <w:kern w:val="44"/>
        </w:rPr>
      </w:pPr>
      <w:r>
        <w:rPr>
          <w:rFonts w:hint="eastAsia" w:ascii="宋体" w:hAnsi="宋体"/>
          <w:b/>
          <w:kern w:val="44"/>
        </w:rPr>
        <w:t>第十条</w:t>
      </w:r>
      <w:r>
        <w:rPr>
          <w:rFonts w:hint="eastAsia" w:ascii="宋体" w:hAnsi="宋体"/>
          <w:kern w:val="44"/>
        </w:rPr>
        <w:t>　公安交通管理部门根据实施方案确定的三轮车控制总量，为实施机构办理在指定经营区域内行驶的三轮车行驶牌证。实施机构按照特许经营协议向特许经营者发放三轮车行驶牌证和特许经营证件。</w:t>
      </w:r>
    </w:p>
    <w:p w14:paraId="33399450">
      <w:pPr>
        <w:jc w:val="left"/>
        <w:rPr>
          <w:rFonts w:ascii="宋体" w:hAnsi="宋体"/>
          <w:kern w:val="44"/>
        </w:rPr>
      </w:pPr>
      <w:r>
        <w:rPr>
          <w:rFonts w:hint="eastAsia" w:ascii="宋体" w:hAnsi="宋体"/>
          <w:kern w:val="44"/>
        </w:rPr>
        <w:t>特许经营权收回后，特许经营者应当按照特许经营协议向实施机构交还行驶牌证和特许经营证件。</w:t>
      </w:r>
    </w:p>
    <w:p w14:paraId="587B547F">
      <w:pPr>
        <w:ind w:firstLine="422"/>
        <w:jc w:val="left"/>
        <w:rPr>
          <w:rFonts w:ascii="宋体" w:hAnsi="宋体"/>
          <w:kern w:val="44"/>
        </w:rPr>
      </w:pPr>
      <w:r>
        <w:rPr>
          <w:rFonts w:hint="eastAsia" w:ascii="宋体" w:hAnsi="宋体"/>
          <w:b/>
          <w:kern w:val="44"/>
        </w:rPr>
        <w:t>第十一条</w:t>
      </w:r>
      <w:r>
        <w:rPr>
          <w:rFonts w:hint="eastAsia" w:ascii="宋体" w:hAnsi="宋体"/>
          <w:kern w:val="44"/>
        </w:rPr>
        <w:t>　从事胡同游特许经营的三轮车应当符合特许经营协议确定的运营标准、安全标准、外观标准，并在显著位置喷涂、悬挂统一标识。</w:t>
      </w:r>
    </w:p>
    <w:p w14:paraId="2DA876B0">
      <w:pPr>
        <w:ind w:firstLine="422"/>
        <w:jc w:val="left"/>
        <w:rPr>
          <w:rFonts w:ascii="宋体" w:hAnsi="宋体"/>
          <w:kern w:val="44"/>
        </w:rPr>
      </w:pPr>
      <w:r>
        <w:rPr>
          <w:rFonts w:hint="eastAsia" w:ascii="宋体" w:hAnsi="宋体"/>
          <w:b/>
          <w:kern w:val="44"/>
        </w:rPr>
        <w:t>第十二条</w:t>
      </w:r>
      <w:r>
        <w:rPr>
          <w:rFonts w:hint="eastAsia" w:ascii="宋体" w:hAnsi="宋体"/>
          <w:kern w:val="44"/>
        </w:rPr>
        <w:t>　特许经营者不得擅自转让、出租、质押、抵押或以其他方式处分特许经营权，不得擅自转让、出租、出借三轮车行驶牌证和特许经营证件。</w:t>
      </w:r>
    </w:p>
    <w:p w14:paraId="5A4E2CFC">
      <w:pPr>
        <w:ind w:firstLine="422"/>
        <w:jc w:val="left"/>
        <w:rPr>
          <w:rFonts w:ascii="宋体" w:hAnsi="宋体"/>
          <w:kern w:val="44"/>
        </w:rPr>
      </w:pPr>
      <w:r>
        <w:rPr>
          <w:rFonts w:hint="eastAsia" w:ascii="宋体" w:hAnsi="宋体"/>
          <w:b/>
          <w:kern w:val="44"/>
        </w:rPr>
        <w:t>第十三条</w:t>
      </w:r>
      <w:r>
        <w:rPr>
          <w:rFonts w:hint="eastAsia" w:ascii="宋体" w:hAnsi="宋体"/>
          <w:kern w:val="44"/>
        </w:rPr>
        <w:t>　实施机构应当按照特许经营协议履行相关义务。</w:t>
      </w:r>
    </w:p>
    <w:p w14:paraId="0B0E25C4">
      <w:pPr>
        <w:jc w:val="left"/>
        <w:rPr>
          <w:rFonts w:ascii="宋体" w:hAnsi="宋体"/>
          <w:kern w:val="44"/>
        </w:rPr>
      </w:pPr>
      <w:r>
        <w:rPr>
          <w:rFonts w:hint="eastAsia" w:ascii="宋体" w:hAnsi="宋体"/>
          <w:kern w:val="44"/>
        </w:rPr>
        <w:t>相关行政管理部门应当履行特许经营协议中的政府承诺。</w:t>
      </w:r>
    </w:p>
    <w:p w14:paraId="1BEEE29E">
      <w:pPr>
        <w:ind w:firstLine="422"/>
        <w:jc w:val="left"/>
        <w:rPr>
          <w:rFonts w:ascii="宋体" w:hAnsi="宋体"/>
          <w:kern w:val="44"/>
        </w:rPr>
      </w:pPr>
      <w:r>
        <w:rPr>
          <w:rFonts w:hint="eastAsia" w:ascii="宋体" w:hAnsi="宋体"/>
          <w:b/>
          <w:kern w:val="44"/>
        </w:rPr>
        <w:t>第十四条</w:t>
      </w:r>
      <w:r>
        <w:rPr>
          <w:rFonts w:hint="eastAsia" w:ascii="宋体" w:hAnsi="宋体"/>
          <w:kern w:val="44"/>
        </w:rPr>
        <w:t>　实施机构应当建立服务质量投诉处理机制，对特许经营者的经营行为进行动态管理和定期评价。对于严重违反特许经营协议的，可以根据特许经营协议的约定收回特许经营权。</w:t>
      </w:r>
    </w:p>
    <w:p w14:paraId="59A08CC0">
      <w:pPr>
        <w:ind w:firstLine="422"/>
        <w:jc w:val="left"/>
        <w:rPr>
          <w:rFonts w:ascii="宋体" w:hAnsi="宋体"/>
          <w:kern w:val="44"/>
        </w:rPr>
      </w:pPr>
      <w:r>
        <w:rPr>
          <w:rFonts w:hint="eastAsia" w:ascii="宋体" w:hAnsi="宋体"/>
          <w:b/>
          <w:kern w:val="44"/>
        </w:rPr>
        <w:t>第十五条</w:t>
      </w:r>
      <w:r>
        <w:rPr>
          <w:rFonts w:hint="eastAsia" w:ascii="宋体" w:hAnsi="宋体"/>
          <w:kern w:val="44"/>
        </w:rPr>
        <w:t>　特许经营者应当遵守国家和本市文物保护、市容环境卫生、交通管理、旅游管理等规定，履行特许经营协议，建立健全管理制度，为旅游者提供安全、优质的服务。</w:t>
      </w:r>
    </w:p>
    <w:p w14:paraId="00E4B53A">
      <w:pPr>
        <w:ind w:firstLine="422"/>
        <w:jc w:val="left"/>
        <w:rPr>
          <w:rFonts w:ascii="宋体" w:hAnsi="宋体"/>
          <w:kern w:val="44"/>
        </w:rPr>
      </w:pPr>
      <w:r>
        <w:rPr>
          <w:rFonts w:hint="eastAsia" w:ascii="宋体" w:hAnsi="宋体"/>
          <w:b/>
          <w:kern w:val="44"/>
        </w:rPr>
        <w:t>第十六条</w:t>
      </w:r>
      <w:r>
        <w:rPr>
          <w:rFonts w:hint="eastAsia" w:ascii="宋体" w:hAnsi="宋体"/>
          <w:kern w:val="44"/>
        </w:rPr>
        <w:t>　驾驶三轮车未按照指定行驶路线行驶的，由公安交通管理部门按照非机动车违反限制通行规定的行为予以处罚。</w:t>
      </w:r>
    </w:p>
    <w:p w14:paraId="544336D7">
      <w:pPr>
        <w:jc w:val="left"/>
        <w:rPr>
          <w:rFonts w:ascii="宋体" w:hAnsi="宋体"/>
          <w:kern w:val="44"/>
        </w:rPr>
      </w:pPr>
      <w:r>
        <w:rPr>
          <w:rFonts w:hint="eastAsia" w:ascii="宋体" w:hAnsi="宋体"/>
          <w:kern w:val="44"/>
        </w:rPr>
        <w:t>驾驶三轮车未在指定的停车场（站）停车或者有其他违反国家和本市有关道路交通安全管理规定行为的，由公安交通管理部门依法予以处罚。</w:t>
      </w:r>
    </w:p>
    <w:p w14:paraId="4111DA3F">
      <w:pPr>
        <w:jc w:val="left"/>
        <w:rPr>
          <w:rFonts w:ascii="宋体" w:hAnsi="宋体"/>
          <w:kern w:val="44"/>
        </w:rPr>
      </w:pPr>
      <w:r>
        <w:rPr>
          <w:rFonts w:hint="eastAsia" w:ascii="宋体" w:hAnsi="宋体"/>
          <w:kern w:val="44"/>
        </w:rPr>
        <w:t>对取得行驶牌证和特许经营证件的三轮车驾驶者予以处罚后，公安交通管理部门应当将处罚情况告知实施机构，由实施机构按照特许经营协议追究特许经营者的相关责任。</w:t>
      </w:r>
    </w:p>
    <w:p w14:paraId="4AA7480E">
      <w:pPr>
        <w:ind w:firstLine="422"/>
        <w:jc w:val="left"/>
        <w:rPr>
          <w:rFonts w:ascii="宋体" w:hAnsi="宋体"/>
          <w:kern w:val="44"/>
        </w:rPr>
      </w:pPr>
      <w:r>
        <w:rPr>
          <w:rFonts w:hint="eastAsia" w:ascii="宋体" w:hAnsi="宋体"/>
          <w:b/>
          <w:kern w:val="44"/>
        </w:rPr>
        <w:t>第十七条</w:t>
      </w:r>
      <w:r>
        <w:rPr>
          <w:rFonts w:hint="eastAsia" w:ascii="宋体" w:hAnsi="宋体"/>
          <w:kern w:val="44"/>
        </w:rPr>
        <w:t>　驾驶未取得行驶牌证和特许经营证件的三轮车从事胡同游经营活动的，由城市管理综合执法部门按照国家和本市有关无照经营查处取缔的规定进行处罚。</w:t>
      </w:r>
    </w:p>
    <w:p w14:paraId="01ECE4FD">
      <w:pPr>
        <w:ind w:firstLine="422"/>
        <w:jc w:val="left"/>
        <w:rPr>
          <w:rFonts w:ascii="宋体" w:hAnsi="宋体"/>
          <w:kern w:val="44"/>
        </w:rPr>
      </w:pPr>
      <w:r>
        <w:rPr>
          <w:rFonts w:hint="eastAsia" w:ascii="宋体" w:hAnsi="宋体"/>
          <w:b/>
          <w:kern w:val="44"/>
        </w:rPr>
        <w:t>第十八条</w:t>
      </w:r>
      <w:r>
        <w:rPr>
          <w:rFonts w:hint="eastAsia" w:ascii="宋体" w:hAnsi="宋体"/>
          <w:kern w:val="44"/>
        </w:rPr>
        <w:t>　本规定自2007年10月1日起施行。</w:t>
      </w:r>
    </w:p>
    <w:p w14:paraId="3920CAD7">
      <w:pPr>
        <w:jc w:val="left"/>
        <w:rPr>
          <w:rFonts w:ascii="宋体" w:hAnsi="宋体"/>
        </w:rPr>
        <w:sectPr>
          <w:footerReference r:id="rId24" w:type="default"/>
          <w:footerReference r:id="rId25" w:type="even"/>
          <w:type w:val="continuous"/>
          <w:pgSz w:w="11906" w:h="16838"/>
          <w:pgMar w:top="1440" w:right="1797" w:bottom="1440" w:left="1797" w:header="851" w:footer="992" w:gutter="0"/>
          <w:cols w:space="720" w:num="1"/>
          <w:titlePg/>
          <w:docGrid w:type="lines" w:linePitch="312" w:charSpace="0"/>
        </w:sectPr>
      </w:pPr>
    </w:p>
    <w:p w14:paraId="47186A26">
      <w:bookmarkStart w:id="1750" w:name="_Toc426466998"/>
    </w:p>
    <w:p w14:paraId="14B8EBBE"/>
    <w:p w14:paraId="64807B16"/>
    <w:p w14:paraId="50FD1C7A"/>
    <w:p w14:paraId="6D9CB793"/>
    <w:p w14:paraId="495CB8C6"/>
    <w:p w14:paraId="5DA3D6D2"/>
    <w:p w14:paraId="648A2D51"/>
    <w:p w14:paraId="76A10CB1"/>
    <w:p w14:paraId="312EDA11"/>
    <w:p w14:paraId="354E03A8"/>
    <w:p w14:paraId="675A9639"/>
    <w:p w14:paraId="75E98E96"/>
    <w:p w14:paraId="59419824"/>
    <w:p w14:paraId="00D35BA5"/>
    <w:p w14:paraId="7BC9FF04"/>
    <w:p w14:paraId="7CA8797D"/>
    <w:p w14:paraId="2B84AFB6"/>
    <w:p w14:paraId="751CD363"/>
    <w:p w14:paraId="114C03AF"/>
    <w:p w14:paraId="0998A262"/>
    <w:p w14:paraId="127E5DE9"/>
    <w:p w14:paraId="73B71658"/>
    <w:p w14:paraId="335E6847"/>
    <w:p w14:paraId="0911FE77"/>
    <w:p w14:paraId="22824356"/>
    <w:p w14:paraId="692A34E9"/>
    <w:p w14:paraId="3CC4FD1F"/>
    <w:p w14:paraId="3634DF05"/>
    <w:p w14:paraId="0A55B914"/>
    <w:p w14:paraId="470EC528"/>
    <w:p w14:paraId="173328BB"/>
    <w:p w14:paraId="15F72596"/>
    <w:p w14:paraId="5E33CBD1"/>
    <w:p w14:paraId="19F6CAE7"/>
    <w:p w14:paraId="0EB3B8B3"/>
    <w:p w14:paraId="367E81FD"/>
    <w:p w14:paraId="1569850F"/>
    <w:p w14:paraId="0AAA29C0"/>
    <w:p w14:paraId="0E4B2479"/>
    <w:p w14:paraId="553F783F"/>
    <w:p w14:paraId="22C97B43"/>
    <w:p w14:paraId="65A7A486"/>
    <w:p w14:paraId="509E7875"/>
    <w:p w14:paraId="2214B490"/>
    <w:p w14:paraId="7F000A65"/>
    <w:p w14:paraId="0CEA658D"/>
    <w:p w14:paraId="6ABF7F4A"/>
    <w:p w14:paraId="3A722244"/>
    <w:p w14:paraId="77FEEAAD">
      <w:pPr>
        <w:pStyle w:val="2"/>
      </w:pPr>
      <w:bookmarkStart w:id="1751" w:name="_Toc428781746"/>
      <w:bookmarkStart w:id="1752" w:name="_Toc428780264"/>
      <w:r>
        <w:rPr>
          <w:rFonts w:hint="eastAsia"/>
        </w:rPr>
        <w:t>四、社 会 建 设</w:t>
      </w:r>
      <w:bookmarkEnd w:id="1750"/>
      <w:bookmarkEnd w:id="1751"/>
      <w:bookmarkEnd w:id="1752"/>
    </w:p>
    <w:p w14:paraId="33C046B4">
      <w:pPr>
        <w:spacing w:line="240" w:lineRule="auto"/>
        <w:ind w:firstLine="640"/>
        <w:rPr>
          <w:rFonts w:hint="eastAsia" w:ascii="楷体_GB2312" w:hAnsi="楷体_GB2312" w:eastAsia="楷体_GB2312" w:cs="楷体_GB2312"/>
          <w:sz w:val="32"/>
        </w:rPr>
      </w:pPr>
      <w:r>
        <w:rPr>
          <w:rFonts w:hint="eastAsia" w:ascii="楷体_GB2312" w:hAnsi="楷体_GB2312" w:eastAsia="楷体_GB2312" w:cs="楷体_GB2312"/>
          <w:sz w:val="32"/>
        </w:rPr>
        <w:t>本部分包含治安管理，安全生产，民政，社会组织，特殊权益保障，劳动用工，社会保险，工资，城市管理，医药卫生，食品安全，社区，区域管理，其他等14个方面，共123部法规规章。</w:t>
      </w:r>
    </w:p>
    <w:p w14:paraId="74B1DBFE">
      <w:pPr>
        <w:spacing w:line="240" w:lineRule="auto"/>
        <w:ind w:firstLine="640"/>
        <w:rPr>
          <w:rFonts w:ascii="楷体" w:hAnsi="楷体" w:eastAsia="楷体"/>
          <w:sz w:val="32"/>
        </w:rPr>
      </w:pPr>
    </w:p>
    <w:p w14:paraId="5054B401">
      <w:pPr>
        <w:spacing w:line="240" w:lineRule="auto"/>
        <w:ind w:firstLine="640"/>
        <w:rPr>
          <w:rFonts w:ascii="楷体" w:hAnsi="楷体" w:eastAsia="楷体"/>
          <w:sz w:val="32"/>
        </w:rPr>
      </w:pPr>
    </w:p>
    <w:p w14:paraId="07E8A459">
      <w:pPr>
        <w:spacing w:line="240" w:lineRule="auto"/>
        <w:ind w:firstLine="640"/>
        <w:rPr>
          <w:rFonts w:ascii="楷体" w:hAnsi="楷体" w:eastAsia="楷体"/>
          <w:sz w:val="32"/>
        </w:rPr>
      </w:pPr>
    </w:p>
    <w:p w14:paraId="5C86941D">
      <w:pPr>
        <w:spacing w:line="240" w:lineRule="auto"/>
        <w:ind w:firstLine="640"/>
        <w:rPr>
          <w:rFonts w:ascii="楷体" w:hAnsi="楷体" w:eastAsia="楷体"/>
          <w:sz w:val="32"/>
        </w:rPr>
      </w:pPr>
    </w:p>
    <w:p w14:paraId="475A3A8A">
      <w:pPr>
        <w:spacing w:line="240" w:lineRule="auto"/>
        <w:ind w:firstLine="640"/>
        <w:rPr>
          <w:rFonts w:ascii="楷体" w:hAnsi="楷体" w:eastAsia="楷体"/>
          <w:sz w:val="32"/>
        </w:rPr>
      </w:pPr>
    </w:p>
    <w:p w14:paraId="7816DE89">
      <w:pPr>
        <w:spacing w:line="240" w:lineRule="auto"/>
        <w:ind w:firstLine="640"/>
        <w:rPr>
          <w:rFonts w:ascii="楷体" w:hAnsi="楷体" w:eastAsia="楷体"/>
          <w:sz w:val="32"/>
        </w:rPr>
      </w:pPr>
    </w:p>
    <w:p w14:paraId="72963806">
      <w:pPr>
        <w:spacing w:line="240" w:lineRule="auto"/>
        <w:ind w:firstLine="640"/>
        <w:rPr>
          <w:rFonts w:ascii="楷体" w:hAnsi="楷体" w:eastAsia="楷体"/>
          <w:sz w:val="32"/>
        </w:rPr>
      </w:pPr>
    </w:p>
    <w:p w14:paraId="72AF209B">
      <w:pPr>
        <w:spacing w:line="240" w:lineRule="auto"/>
        <w:ind w:firstLine="640"/>
        <w:rPr>
          <w:rFonts w:ascii="楷体" w:hAnsi="楷体" w:eastAsia="楷体"/>
          <w:sz w:val="32"/>
        </w:rPr>
      </w:pPr>
    </w:p>
    <w:p w14:paraId="2698EB2D">
      <w:pPr>
        <w:spacing w:line="240" w:lineRule="auto"/>
        <w:ind w:firstLine="640"/>
        <w:rPr>
          <w:rFonts w:ascii="楷体" w:hAnsi="楷体" w:eastAsia="楷体"/>
          <w:sz w:val="32"/>
        </w:rPr>
      </w:pPr>
    </w:p>
    <w:p w14:paraId="1ED78099">
      <w:pPr>
        <w:spacing w:line="240" w:lineRule="auto"/>
        <w:ind w:firstLine="640"/>
        <w:rPr>
          <w:rFonts w:ascii="楷体" w:hAnsi="楷体" w:eastAsia="楷体"/>
          <w:sz w:val="32"/>
        </w:rPr>
      </w:pPr>
    </w:p>
    <w:p w14:paraId="0CD8AEBD">
      <w:pPr>
        <w:spacing w:line="240" w:lineRule="auto"/>
        <w:ind w:firstLine="640"/>
        <w:rPr>
          <w:rFonts w:ascii="楷体" w:hAnsi="楷体" w:eastAsia="楷体"/>
          <w:sz w:val="32"/>
        </w:rPr>
      </w:pPr>
    </w:p>
    <w:p w14:paraId="0A2FDC10">
      <w:pPr>
        <w:spacing w:line="240" w:lineRule="auto"/>
      </w:pPr>
    </w:p>
    <w:p w14:paraId="051E846A">
      <w:pPr>
        <w:spacing w:line="240" w:lineRule="auto"/>
      </w:pPr>
    </w:p>
    <w:p w14:paraId="13B33100">
      <w:pPr>
        <w:spacing w:line="240" w:lineRule="auto"/>
      </w:pPr>
    </w:p>
    <w:p w14:paraId="0B3AB6FD">
      <w:pPr>
        <w:spacing w:line="240" w:lineRule="auto"/>
      </w:pPr>
    </w:p>
    <w:p w14:paraId="6A9281E4">
      <w:pPr>
        <w:spacing w:line="240" w:lineRule="auto"/>
      </w:pPr>
    </w:p>
    <w:p w14:paraId="1F0F38E8">
      <w:pPr>
        <w:spacing w:line="240" w:lineRule="auto"/>
      </w:pPr>
    </w:p>
    <w:p w14:paraId="1D4D8707">
      <w:pPr>
        <w:spacing w:line="240" w:lineRule="auto"/>
      </w:pPr>
    </w:p>
    <w:p w14:paraId="32D93CD2">
      <w:pPr>
        <w:spacing w:line="240" w:lineRule="auto"/>
      </w:pPr>
    </w:p>
    <w:p w14:paraId="7D0BA5F8">
      <w:pPr>
        <w:spacing w:line="240" w:lineRule="auto"/>
      </w:pPr>
    </w:p>
    <w:p w14:paraId="13658FE7">
      <w:pPr>
        <w:spacing w:line="240" w:lineRule="auto"/>
      </w:pPr>
    </w:p>
    <w:p w14:paraId="67D38311">
      <w:pPr>
        <w:spacing w:line="240" w:lineRule="auto"/>
      </w:pPr>
    </w:p>
    <w:p w14:paraId="38BE0494">
      <w:pPr>
        <w:spacing w:line="240" w:lineRule="auto"/>
      </w:pPr>
    </w:p>
    <w:p w14:paraId="1AF5E2FA">
      <w:pPr>
        <w:spacing w:line="240" w:lineRule="auto"/>
      </w:pPr>
    </w:p>
    <w:p w14:paraId="50CE2C64">
      <w:pPr>
        <w:spacing w:line="240" w:lineRule="auto"/>
      </w:pPr>
    </w:p>
    <w:p w14:paraId="07AD188C">
      <w:pPr>
        <w:spacing w:line="240" w:lineRule="auto"/>
      </w:pPr>
    </w:p>
    <w:p w14:paraId="6E7FE30D">
      <w:pPr>
        <w:spacing w:line="240" w:lineRule="auto"/>
      </w:pPr>
    </w:p>
    <w:p w14:paraId="6E6382CA">
      <w:pPr>
        <w:spacing w:line="240" w:lineRule="auto"/>
        <w:sectPr>
          <w:footerReference r:id="rId26" w:type="default"/>
          <w:footerReference r:id="rId27" w:type="even"/>
          <w:pgSz w:w="11906" w:h="16838"/>
          <w:pgMar w:top="1440" w:right="1797" w:bottom="1440" w:left="1797" w:header="851" w:footer="992" w:gutter="0"/>
          <w:cols w:space="720" w:num="1"/>
          <w:docGrid w:type="lines" w:linePitch="312" w:charSpace="0"/>
        </w:sectPr>
      </w:pPr>
    </w:p>
    <w:p w14:paraId="1C07D556">
      <w:pPr>
        <w:spacing w:line="240" w:lineRule="auto"/>
      </w:pPr>
    </w:p>
    <w:p w14:paraId="5B565975">
      <w:pPr>
        <w:pStyle w:val="3"/>
        <w:pageBreakBefore/>
      </w:pPr>
      <w:bookmarkStart w:id="1753" w:name="_Toc428780265"/>
      <w:bookmarkStart w:id="1754" w:name="_Toc428781747"/>
      <w:bookmarkStart w:id="1755" w:name="_Toc426466999"/>
      <w:r>
        <w:rPr>
          <w:rFonts w:hint="eastAsia"/>
        </w:rPr>
        <w:t>（一）治安管理</w:t>
      </w:r>
      <w:bookmarkEnd w:id="1753"/>
      <w:bookmarkEnd w:id="1754"/>
      <w:bookmarkEnd w:id="1755"/>
    </w:p>
    <w:p w14:paraId="4A9A32C8"/>
    <w:p w14:paraId="5DD343B3">
      <w:pPr>
        <w:pStyle w:val="4"/>
      </w:pPr>
      <w:bookmarkStart w:id="1756" w:name="_Toc426467000"/>
      <w:bookmarkStart w:id="1757" w:name="_Toc428780266"/>
      <w:bookmarkStart w:id="1758" w:name="_Toc428781748"/>
      <w:r>
        <w:rPr>
          <w:rFonts w:hint="eastAsia"/>
        </w:rPr>
        <w:t>北京市禁止赌博条例</w:t>
      </w:r>
      <w:bookmarkEnd w:id="1756"/>
      <w:bookmarkEnd w:id="1757"/>
      <w:bookmarkEnd w:id="1758"/>
    </w:p>
    <w:p w14:paraId="4280B22F">
      <w:pPr>
        <w:ind w:left="630" w:leftChars="300" w:right="630" w:rightChars="300"/>
        <w:rPr>
          <w:rFonts w:ascii="楷体" w:hAnsi="楷体" w:eastAsia="楷体"/>
        </w:rPr>
      </w:pPr>
      <w:r>
        <w:rPr>
          <w:rFonts w:hint="eastAsia" w:ascii="楷体" w:hAnsi="楷体" w:eastAsia="楷体"/>
        </w:rPr>
        <w:t>（1990年9月8日北京市第九届人民代表大会常务委员会第二十二次会议通过　根据1997年4月16日北京市第十届人民代表大会常务委员会第三十六次会议《关于修改〈北京市禁止赌博条例〉的决定》第一次修正　根据2010年12月23日北京市第十三届人民代表大会常务委员会第二十二次会议《关于修改部分地方性法规的决定》第二次修正）</w:t>
      </w:r>
    </w:p>
    <w:p w14:paraId="033C7095"/>
    <w:p w14:paraId="3413DEE3">
      <w:pPr>
        <w:ind w:firstLine="422"/>
      </w:pPr>
      <w:r>
        <w:rPr>
          <w:rFonts w:hint="eastAsia"/>
          <w:b/>
        </w:rPr>
        <w:t>第一条</w:t>
      </w:r>
      <w:r>
        <w:rPr>
          <w:rFonts w:hint="eastAsia"/>
        </w:rPr>
        <w:t xml:space="preserve">  为加强社会主义精神文明建设，维护社会治安秩序，严厉禁止赌博活动，根据国家有关法律、法规，结合本市情况，制定本条例。</w:t>
      </w:r>
    </w:p>
    <w:p w14:paraId="5B0D96E5">
      <w:pPr>
        <w:ind w:firstLine="422"/>
      </w:pPr>
      <w:r>
        <w:rPr>
          <w:rFonts w:hint="eastAsia"/>
          <w:b/>
        </w:rPr>
        <w:t>第二条</w:t>
      </w:r>
      <w:r>
        <w:rPr>
          <w:rFonts w:hint="eastAsia"/>
        </w:rPr>
        <w:t xml:space="preserve">  凡在本市行政区域内进行赌博活动的，依照国家有关法律、法规和本条例处理。　　</w:t>
      </w:r>
      <w:r>
        <w:rPr>
          <w:rFonts w:hint="eastAsia"/>
          <w:b/>
        </w:rPr>
        <w:t xml:space="preserve">第三条  </w:t>
      </w:r>
      <w:r>
        <w:rPr>
          <w:rFonts w:hint="eastAsia"/>
        </w:rPr>
        <w:t>各级人民政府负责领导禁止赌博的工作。公安机关是查禁赌博的主管机关。</w:t>
      </w:r>
    </w:p>
    <w:p w14:paraId="2FFB3BD3">
      <w:pPr>
        <w:ind w:firstLine="422"/>
      </w:pPr>
      <w:r>
        <w:rPr>
          <w:rFonts w:hint="eastAsia"/>
          <w:b/>
        </w:rPr>
        <w:t>第四条</w:t>
      </w:r>
      <w:r>
        <w:rPr>
          <w:rFonts w:hint="eastAsia"/>
        </w:rPr>
        <w:t xml:space="preserve">  查禁赌博应当依靠群众，实行综合治理，坚持教育与处罚相结合的原则。</w:t>
      </w:r>
    </w:p>
    <w:p w14:paraId="5E378080">
      <w:pPr>
        <w:ind w:firstLine="422"/>
      </w:pPr>
      <w:r>
        <w:rPr>
          <w:rFonts w:hint="eastAsia"/>
          <w:b/>
        </w:rPr>
        <w:t>第五条</w:t>
      </w:r>
      <w:r>
        <w:rPr>
          <w:rFonts w:hint="eastAsia"/>
        </w:rPr>
        <w:t xml:space="preserve">  司法行政、新闻、文化等部门和工会、共青团、妇女联合会等人民团体，应当进行禁止赌博的社会宣传教育工作。</w:t>
      </w:r>
    </w:p>
    <w:p w14:paraId="0A6AA8D6">
      <w:pPr>
        <w:ind w:firstLine="422"/>
      </w:pPr>
      <w:r>
        <w:rPr>
          <w:rFonts w:hint="eastAsia"/>
          <w:b/>
        </w:rPr>
        <w:t>第六条</w:t>
      </w:r>
      <w:r>
        <w:rPr>
          <w:rFonts w:hint="eastAsia"/>
        </w:rPr>
        <w:t xml:space="preserve">  居民委员会、村民委员会应当把禁止赌博列入居民公约、村规民约，进行宣传教育，防止赌博发生。</w:t>
      </w:r>
    </w:p>
    <w:p w14:paraId="7B3241CC">
      <w:pPr>
        <w:ind w:firstLine="422"/>
      </w:pPr>
      <w:r>
        <w:rPr>
          <w:rFonts w:hint="eastAsia"/>
          <w:b/>
        </w:rPr>
        <w:t>第七条</w:t>
      </w:r>
      <w:r>
        <w:rPr>
          <w:rFonts w:hint="eastAsia"/>
        </w:rPr>
        <w:t xml:space="preserve">  机关、团体、企业、事业单位主管负责人应当对本单位人员进行禁止赌博的教育，发现赌博活动，应当立即制止，并报告和协助公安机关查处。</w:t>
      </w:r>
    </w:p>
    <w:p w14:paraId="0BBE62B0">
      <w:pPr>
        <w:ind w:firstLine="422"/>
      </w:pPr>
      <w:r>
        <w:rPr>
          <w:rFonts w:hint="eastAsia"/>
          <w:b/>
        </w:rPr>
        <w:t>第八条</w:t>
      </w:r>
      <w:r>
        <w:rPr>
          <w:rFonts w:hint="eastAsia"/>
        </w:rPr>
        <w:t xml:space="preserve">  经营旅馆业、客运交通业、公共文化娱乐场所的单位和个人，必须建立禁止赌博的管理制度并严格执行。对其经营的场所及客运交通工具内发生的赌博活动，应当立即制止并报告公安机关。</w:t>
      </w:r>
    </w:p>
    <w:p w14:paraId="6B1FEFE7">
      <w:pPr>
        <w:ind w:firstLine="422"/>
      </w:pPr>
      <w:r>
        <w:rPr>
          <w:rFonts w:hint="eastAsia"/>
          <w:b/>
        </w:rPr>
        <w:t>第九条</w:t>
      </w:r>
      <w:r>
        <w:rPr>
          <w:rFonts w:hint="eastAsia"/>
        </w:rPr>
        <w:t xml:space="preserve">  任何公民都有权对赌博活动进行检举、揭发。</w:t>
      </w:r>
    </w:p>
    <w:p w14:paraId="1A325C37">
      <w:pPr>
        <w:ind w:firstLine="422"/>
      </w:pPr>
      <w:r>
        <w:rPr>
          <w:rFonts w:hint="eastAsia"/>
          <w:b/>
        </w:rPr>
        <w:t>第十条</w:t>
      </w:r>
      <w:r>
        <w:rPr>
          <w:rFonts w:hint="eastAsia"/>
        </w:rPr>
        <w:t xml:space="preserve">  以营利为目的，聚众赌博或者以赌博为业的，依照《中华人民共和国刑法》追究刑事责任。</w:t>
      </w:r>
    </w:p>
    <w:p w14:paraId="7737DECD">
      <w:pPr>
        <w:ind w:firstLine="422"/>
      </w:pPr>
      <w:r>
        <w:rPr>
          <w:rFonts w:hint="eastAsia"/>
          <w:b/>
        </w:rPr>
        <w:t>第十一条</w:t>
      </w:r>
      <w:r>
        <w:rPr>
          <w:rFonts w:hint="eastAsia"/>
        </w:rPr>
        <w:t xml:space="preserve">  以营利为目的，为赌博提供条件，或者参与赌博赌资较大，尚不够刑事处罚的，依据《中华人民共和国治安管理处罚法》的有关规定予以处罚。</w:t>
      </w:r>
    </w:p>
    <w:p w14:paraId="65EAE677">
      <w:r>
        <w:rPr>
          <w:rFonts w:hint="eastAsia"/>
        </w:rPr>
        <w:t>有下列情形之一尚不够刑事处罚的，依照规定实行劳动教养：</w:t>
      </w:r>
    </w:p>
    <w:p w14:paraId="6EF8640B">
      <w:r>
        <w:rPr>
          <w:rFonts w:hint="eastAsia"/>
        </w:rPr>
        <w:t>（一）因赌博受过多次治安管理处罚，或者因赌博受过劳动教养、刑罚处罚期满后三年内又进行赌博的；</w:t>
      </w:r>
    </w:p>
    <w:p w14:paraId="18316979">
      <w:r>
        <w:rPr>
          <w:rFonts w:hint="eastAsia"/>
        </w:rPr>
        <w:t>（二）在公共场所赌博，经教育不改的；</w:t>
      </w:r>
    </w:p>
    <w:p w14:paraId="2C6B783C">
      <w:r>
        <w:rPr>
          <w:rFonts w:hint="eastAsia"/>
        </w:rPr>
        <w:t>（三）多次赌博，并且赌资或者输赢数额较大的；</w:t>
      </w:r>
    </w:p>
    <w:p w14:paraId="267F4E0A">
      <w:r>
        <w:rPr>
          <w:rFonts w:hint="eastAsia"/>
        </w:rPr>
        <w:t>（四）设置骗局诱使他人参加赌博或者胁迫他人参加赌博的；</w:t>
      </w:r>
    </w:p>
    <w:p w14:paraId="2DA1E867">
      <w:r>
        <w:rPr>
          <w:rFonts w:hint="eastAsia"/>
        </w:rPr>
        <w:t>（五）教唆未成年人参加赌博的。</w:t>
      </w:r>
    </w:p>
    <w:p w14:paraId="08B172A3">
      <w:pPr>
        <w:ind w:firstLine="422"/>
      </w:pPr>
      <w:r>
        <w:rPr>
          <w:rFonts w:hint="eastAsia"/>
          <w:b/>
        </w:rPr>
        <w:t>第十二条</w:t>
      </w:r>
      <w:r>
        <w:rPr>
          <w:rFonts w:hint="eastAsia"/>
        </w:rPr>
        <w:t xml:space="preserve">  机关、团体、企业、事业单位主管负责人违反本条例第七条规定，发现本单位的赌博活动不制止、不报告的，视情节轻重可以由所在单位或者上级主管部门给予行政处分，也可以由区县级以上公安机关给予警告并可</w:t>
      </w:r>
      <w:r>
        <w:rPr>
          <w:rFonts w:hint="eastAsia" w:ascii="宋体" w:hAnsi="宋体" w:eastAsia="宋体" w:cs="宋体"/>
        </w:rPr>
        <w:t>以处200元以下罚款。</w:t>
      </w:r>
    </w:p>
    <w:p w14:paraId="261269E0">
      <w:pPr>
        <w:ind w:firstLine="422"/>
        <w:rPr>
          <w:rFonts w:hint="eastAsia" w:ascii="宋体" w:hAnsi="宋体" w:eastAsia="宋体" w:cs="宋体"/>
        </w:rPr>
      </w:pPr>
      <w:r>
        <w:rPr>
          <w:rFonts w:hint="eastAsia"/>
          <w:b/>
        </w:rPr>
        <w:t>第十三条</w:t>
      </w:r>
      <w:r>
        <w:rPr>
          <w:rFonts w:hint="eastAsia"/>
        </w:rPr>
        <w:t xml:space="preserve">  经营旅馆业、客运交通业、公共文化娱乐场所的单位和个人，违反本条例第八条规定的，由区县级以上公安机</w:t>
      </w:r>
      <w:r>
        <w:rPr>
          <w:rFonts w:hint="eastAsia" w:ascii="宋体" w:hAnsi="宋体" w:eastAsia="宋体" w:cs="宋体"/>
        </w:rPr>
        <w:t>关责令改正；情节严重的责令停业整顿，可以对主管负责人和直接责任人给予警告并可以处200元以下罚款。</w:t>
      </w:r>
    </w:p>
    <w:p w14:paraId="5F952146">
      <w:pPr>
        <w:ind w:firstLine="422"/>
      </w:pPr>
      <w:r>
        <w:rPr>
          <w:rFonts w:hint="eastAsia"/>
          <w:b/>
        </w:rPr>
        <w:t>第十四条</w:t>
      </w:r>
      <w:r>
        <w:rPr>
          <w:rFonts w:hint="eastAsia"/>
        </w:rPr>
        <w:t>　阻碍公安机关查禁赌博的，对检举、揭发赌博的人进行打击报复的，依照《中华人民共和国治安管理处罚法》处理；构成犯罪的，依法追究刑事责任。</w:t>
      </w:r>
    </w:p>
    <w:p w14:paraId="1A20DEB6">
      <w:pPr>
        <w:ind w:firstLine="422"/>
      </w:pPr>
      <w:r>
        <w:rPr>
          <w:rFonts w:hint="eastAsia"/>
          <w:b/>
        </w:rPr>
        <w:t>第十五条</w:t>
      </w:r>
      <w:r>
        <w:rPr>
          <w:rFonts w:hint="eastAsia"/>
        </w:rPr>
        <w:t xml:space="preserve">  赌资、赌具和赌博所得的财物一律没收。赌债一律废除。</w:t>
      </w:r>
    </w:p>
    <w:p w14:paraId="73D4784D">
      <w:pPr>
        <w:ind w:firstLine="422"/>
      </w:pPr>
      <w:r>
        <w:rPr>
          <w:rFonts w:hint="eastAsia"/>
          <w:b/>
        </w:rPr>
        <w:t>第十六条</w:t>
      </w:r>
      <w:r>
        <w:rPr>
          <w:rFonts w:hint="eastAsia"/>
        </w:rPr>
        <w:t xml:space="preserve">  当事人对公安机关根据本条例作出的行政处罚和行政强制措施决定不服的，可以依法申请行政复议或者提起行政诉讼。</w:t>
      </w:r>
    </w:p>
    <w:p w14:paraId="21CA3900">
      <w:pPr>
        <w:ind w:firstLine="422"/>
      </w:pPr>
      <w:r>
        <w:rPr>
          <w:rFonts w:hint="eastAsia"/>
          <w:b/>
        </w:rPr>
        <w:t>第十七条</w:t>
      </w:r>
      <w:r>
        <w:rPr>
          <w:rFonts w:hint="eastAsia"/>
        </w:rPr>
        <w:t xml:space="preserve">  公安人员在查禁赌博活动时，应当遵纪守法，不得徇私舞弊。违反的按有关规定追究责任。</w:t>
      </w:r>
    </w:p>
    <w:p w14:paraId="6B0BD35A">
      <w:pPr>
        <w:ind w:firstLine="422"/>
      </w:pPr>
      <w:r>
        <w:rPr>
          <w:rFonts w:hint="eastAsia"/>
          <w:b/>
        </w:rPr>
        <w:t>第十八条</w:t>
      </w:r>
      <w:r>
        <w:rPr>
          <w:rFonts w:hint="eastAsia"/>
        </w:rPr>
        <w:t xml:space="preserve">  对禁止赌博有显著成绩的单位和个人，由各级人民政府给予表彰或者奖励。</w:t>
      </w:r>
    </w:p>
    <w:p w14:paraId="2A1CD5F2">
      <w:pPr>
        <w:ind w:firstLine="422"/>
      </w:pPr>
      <w:r>
        <w:rPr>
          <w:rFonts w:hint="eastAsia"/>
          <w:b/>
        </w:rPr>
        <w:t>第十九条</w:t>
      </w:r>
      <w:r>
        <w:rPr>
          <w:rFonts w:hint="eastAsia"/>
        </w:rPr>
        <w:t>　本条例具体应用中的问题，由市公安局负责解释。</w:t>
      </w:r>
    </w:p>
    <w:p w14:paraId="373C2DB9">
      <w:pPr>
        <w:ind w:firstLine="422"/>
      </w:pPr>
      <w:r>
        <w:rPr>
          <w:rFonts w:hint="eastAsia"/>
          <w:b/>
        </w:rPr>
        <w:t>第二十条</w:t>
      </w:r>
      <w:r>
        <w:rPr>
          <w:rFonts w:hint="eastAsia"/>
        </w:rPr>
        <w:t>　本条例自公布之日起施行。</w:t>
      </w:r>
    </w:p>
    <w:p w14:paraId="32331DFC">
      <w:pPr>
        <w:pStyle w:val="4"/>
        <w:pageBreakBefore/>
      </w:pPr>
      <w:bookmarkStart w:id="1759" w:name="_Toc428781749"/>
      <w:bookmarkStart w:id="1760" w:name="_Toc428780267"/>
      <w:bookmarkStart w:id="1761" w:name="_Toc426467001"/>
      <w:r>
        <w:rPr>
          <w:rFonts w:hint="eastAsia"/>
        </w:rPr>
        <w:t>北京市社会治安综合治理条例</w:t>
      </w:r>
      <w:bookmarkEnd w:id="1759"/>
      <w:bookmarkEnd w:id="1760"/>
      <w:bookmarkEnd w:id="1761"/>
    </w:p>
    <w:p w14:paraId="4427987B">
      <w:pPr>
        <w:ind w:left="630" w:leftChars="300" w:right="630" w:rightChars="300"/>
        <w:rPr>
          <w:rFonts w:ascii="楷体" w:hAnsi="楷体" w:eastAsia="楷体"/>
        </w:rPr>
      </w:pPr>
      <w:r>
        <w:rPr>
          <w:rFonts w:hint="eastAsia" w:ascii="楷体" w:hAnsi="楷体" w:eastAsia="楷体"/>
        </w:rPr>
        <w:t>（1992年9月19日北京市第九届人民代表大会常务委员会第三十六次会议通过　根据2010年12月23日北京市第十三届人民代表大会常务委员会第二十二次会议《关于修改部分地方性法规的决定》修正）</w:t>
      </w:r>
    </w:p>
    <w:p w14:paraId="6429A4AE"/>
    <w:p w14:paraId="78944321">
      <w:pPr>
        <w:ind w:firstLine="0" w:firstLineChars="0"/>
        <w:jc w:val="center"/>
        <w:rPr>
          <w:b/>
          <w:sz w:val="28"/>
        </w:rPr>
      </w:pPr>
      <w:r>
        <w:rPr>
          <w:rFonts w:hint="eastAsia"/>
          <w:b/>
          <w:sz w:val="28"/>
        </w:rPr>
        <w:t>第一章　总　则</w:t>
      </w:r>
    </w:p>
    <w:p w14:paraId="35BD230F"/>
    <w:p w14:paraId="60C8DB39">
      <w:pPr>
        <w:ind w:firstLine="422"/>
      </w:pPr>
      <w:r>
        <w:rPr>
          <w:rFonts w:hint="eastAsia"/>
          <w:b/>
        </w:rPr>
        <w:t>第一条</w:t>
      </w:r>
      <w:r>
        <w:rPr>
          <w:rFonts w:hint="eastAsia"/>
        </w:rPr>
        <w:t xml:space="preserve">  为了维护社会治安秩序和社会稳定，保障改革开放和社会主义现代化建设的顺利进行，根据《中华人民共和国宪法》、《全国人民代表大会常务委员会关于加强社会治安综合治理的决定》和有关法律、法规，结合本市实际情况，制定本条例。</w:t>
      </w:r>
    </w:p>
    <w:p w14:paraId="101D23D7">
      <w:pPr>
        <w:ind w:firstLine="422"/>
      </w:pPr>
      <w:r>
        <w:rPr>
          <w:rFonts w:hint="eastAsia"/>
          <w:b/>
        </w:rPr>
        <w:t>第二条</w:t>
      </w:r>
      <w:r>
        <w:rPr>
          <w:rFonts w:hint="eastAsia"/>
        </w:rPr>
        <w:t xml:space="preserve">  本市行政区域内的机关、团体、部队、企业事业单位和其他组织及公民，都应当遵守本条例。</w:t>
      </w:r>
    </w:p>
    <w:p w14:paraId="0A387AF6">
      <w:pPr>
        <w:ind w:firstLine="422"/>
      </w:pPr>
      <w:r>
        <w:rPr>
          <w:rFonts w:hint="eastAsia"/>
          <w:b/>
        </w:rPr>
        <w:t>第三条</w:t>
      </w:r>
      <w:r>
        <w:rPr>
          <w:rFonts w:hint="eastAsia"/>
        </w:rPr>
        <w:t xml:space="preserve">  社会治安综合治理是全社会的共同任务，必须动员和组织全社会力量，运用政治、法律、行政、经济、文化、教育等手段进行综合治理，落实打击、防范、教育、管理、建设、改造等各项工作任务。</w:t>
      </w:r>
    </w:p>
    <w:p w14:paraId="1F9ED0BD">
      <w:pPr>
        <w:ind w:firstLine="422"/>
      </w:pPr>
      <w:r>
        <w:rPr>
          <w:rFonts w:hint="eastAsia"/>
          <w:b/>
        </w:rPr>
        <w:t>第四条</w:t>
      </w:r>
      <w:r>
        <w:rPr>
          <w:rFonts w:hint="eastAsia"/>
        </w:rPr>
        <w:t xml:space="preserve">  社会治安综合治理必须坚持打击和防范并举，治标与治本兼顾，重在治本的方针，实行专门机关工作与群众路线相结合的原则。</w:t>
      </w:r>
    </w:p>
    <w:p w14:paraId="307F87C9">
      <w:pPr>
        <w:ind w:firstLine="422"/>
      </w:pPr>
      <w:r>
        <w:rPr>
          <w:rFonts w:hint="eastAsia"/>
          <w:b/>
        </w:rPr>
        <w:t>第五条</w:t>
      </w:r>
      <w:r>
        <w:rPr>
          <w:rFonts w:hint="eastAsia"/>
        </w:rPr>
        <w:t xml:space="preserve">  本市社会治安综合治理工作由市人民政府统一组织实施，各部门、各方面齐抓共管，积极参与。</w:t>
      </w:r>
    </w:p>
    <w:p w14:paraId="48244631">
      <w:r>
        <w:rPr>
          <w:rFonts w:hint="eastAsia"/>
        </w:rPr>
        <w:t>人民法院、人民检察院和公安、司法行政等部门，应当在社会治安综合治理中发挥骨干作用。</w:t>
      </w:r>
    </w:p>
    <w:p w14:paraId="2EF60F5E"/>
    <w:p w14:paraId="72517FB0">
      <w:pPr>
        <w:ind w:firstLine="0" w:firstLineChars="0"/>
        <w:jc w:val="center"/>
        <w:rPr>
          <w:b/>
          <w:sz w:val="28"/>
        </w:rPr>
      </w:pPr>
      <w:r>
        <w:rPr>
          <w:rFonts w:hint="eastAsia"/>
          <w:b/>
          <w:sz w:val="28"/>
        </w:rPr>
        <w:t>第二章　组织机构与职责</w:t>
      </w:r>
    </w:p>
    <w:p w14:paraId="7E1B5BD3"/>
    <w:p w14:paraId="0B364AB2">
      <w:pPr>
        <w:ind w:firstLine="422"/>
      </w:pPr>
      <w:r>
        <w:rPr>
          <w:rFonts w:hint="eastAsia"/>
          <w:b/>
        </w:rPr>
        <w:t>第六条</w:t>
      </w:r>
      <w:r>
        <w:rPr>
          <w:rFonts w:hint="eastAsia"/>
        </w:rPr>
        <w:t xml:space="preserve">  市、区、县、乡、镇和街道设立社会治安综合治理委员会。</w:t>
      </w:r>
    </w:p>
    <w:p w14:paraId="3B025D82">
      <w:r>
        <w:rPr>
          <w:rFonts w:hint="eastAsia"/>
        </w:rPr>
        <w:t>各级社会治安综合治理委员会下设办公室，负责处理日常工作。</w:t>
      </w:r>
    </w:p>
    <w:p w14:paraId="7AFCB984">
      <w:r>
        <w:rPr>
          <w:rFonts w:hint="eastAsia"/>
        </w:rPr>
        <w:t>社会治安综合治理工作所需经费，由各级人民政府列入财政预算。</w:t>
      </w:r>
    </w:p>
    <w:p w14:paraId="6902024A">
      <w:pPr>
        <w:ind w:firstLine="422"/>
      </w:pPr>
      <w:r>
        <w:rPr>
          <w:rFonts w:hint="eastAsia"/>
          <w:b/>
        </w:rPr>
        <w:t>第七条</w:t>
      </w:r>
      <w:r>
        <w:rPr>
          <w:rFonts w:hint="eastAsia"/>
        </w:rPr>
        <w:t xml:space="preserve">  机关、团体、企业事业单位，负责本部门、本单位的社会治安综合治理工作，根据需要设立社会治安综合治理委员会或者领导小组，或者配备专职、兼职人员。</w:t>
      </w:r>
    </w:p>
    <w:p w14:paraId="1F5ECC22">
      <w:r>
        <w:rPr>
          <w:rFonts w:hint="eastAsia"/>
        </w:rPr>
        <w:t>各单位的社会治安综合治理工作，应当执行上级主管部门的部署，接受所在地社会治安综合治理委员会的指导、协调和检查。</w:t>
      </w:r>
    </w:p>
    <w:p w14:paraId="168AF563">
      <w:pPr>
        <w:ind w:firstLine="422"/>
      </w:pPr>
      <w:r>
        <w:rPr>
          <w:rFonts w:hint="eastAsia"/>
          <w:b/>
        </w:rPr>
        <w:t>第八条</w:t>
      </w:r>
      <w:r>
        <w:rPr>
          <w:rFonts w:hint="eastAsia"/>
        </w:rPr>
        <w:t xml:space="preserve">  市、区、县社会治安综合治理委员会的职责：</w:t>
      </w:r>
    </w:p>
    <w:p w14:paraId="1A731F80">
      <w:r>
        <w:rPr>
          <w:rFonts w:hint="eastAsia"/>
        </w:rPr>
        <w:t>（一）宣传贯彻社会治安综合治理的方针、政策和有关法律、法规、规章；</w:t>
      </w:r>
    </w:p>
    <w:p w14:paraId="3D68BFF7">
      <w:r>
        <w:rPr>
          <w:rFonts w:hint="eastAsia"/>
        </w:rPr>
        <w:t>（二）贯彻执行同级人民政府和上级社会治安综合治理委员会的决定和部署，根据本地区的社会治安情况作出相应的安排并督促实施；</w:t>
      </w:r>
    </w:p>
    <w:p w14:paraId="0C6DA9CC">
      <w:r>
        <w:rPr>
          <w:rFonts w:hint="eastAsia"/>
        </w:rPr>
        <w:t>（三）指导、协调、推动辖区内各部门、各单位落实社会治安综合治理的各项任务；</w:t>
      </w:r>
    </w:p>
    <w:p w14:paraId="645BABB7">
      <w:r>
        <w:rPr>
          <w:rFonts w:hint="eastAsia"/>
        </w:rPr>
        <w:t>（四）开展调查研究，总结推广社会治安综合治理的经验，决定表彰、批评事项或者向有关主管部门、单位提出奖惩建议；</w:t>
      </w:r>
    </w:p>
    <w:p w14:paraId="5D03C6E7">
      <w:r>
        <w:rPr>
          <w:rFonts w:hint="eastAsia"/>
        </w:rPr>
        <w:t>（五）办理同级人民政府和上级社会治安综合治理委员会交办的事项。</w:t>
      </w:r>
    </w:p>
    <w:p w14:paraId="280A51C1">
      <w:pPr>
        <w:ind w:firstLine="422"/>
      </w:pPr>
      <w:r>
        <w:rPr>
          <w:rFonts w:hint="eastAsia"/>
          <w:b/>
        </w:rPr>
        <w:t>第九条</w:t>
      </w:r>
      <w:r>
        <w:rPr>
          <w:rFonts w:hint="eastAsia"/>
        </w:rPr>
        <w:t xml:space="preserve">  乡、镇、街道社会治安综合治理委员会的职责：</w:t>
      </w:r>
    </w:p>
    <w:p w14:paraId="78C8086A">
      <w:r>
        <w:rPr>
          <w:rFonts w:hint="eastAsia"/>
        </w:rPr>
        <w:t>（一）贯彻执行上级有关社会治安综合治理工作的部署，制定本地区的工作计划，并组织实施；</w:t>
      </w:r>
    </w:p>
    <w:p w14:paraId="4615D1EC">
      <w:bookmarkStart w:id="1762" w:name="_Toc428780268"/>
      <w:r>
        <w:rPr>
          <w:rFonts w:hint="eastAsia"/>
        </w:rPr>
        <w:t>（二）推动法制宣传教育工作；</w:t>
      </w:r>
      <w:bookmarkEnd w:id="1762"/>
    </w:p>
    <w:p w14:paraId="09BDB3C6">
      <w:r>
        <w:rPr>
          <w:rFonts w:hint="eastAsia"/>
        </w:rPr>
        <w:t>（三）检查、推动辖区内的社会治安综合治理各项措施的落实，开展各种形式的治安防范活动；</w:t>
      </w:r>
    </w:p>
    <w:p w14:paraId="550C447C">
      <w:r>
        <w:rPr>
          <w:rFonts w:hint="eastAsia"/>
        </w:rPr>
        <w:t>（四）指导、帮助居民委员会、村民委员会做好社会治安综合治理工作；</w:t>
      </w:r>
    </w:p>
    <w:p w14:paraId="5E30336D">
      <w:r>
        <w:rPr>
          <w:rFonts w:hint="eastAsia"/>
        </w:rPr>
        <w:t>（五）协调辖区内其他单位社会治安综合治理方面的工作。</w:t>
      </w:r>
    </w:p>
    <w:p w14:paraId="19EB8FFB">
      <w:pPr>
        <w:ind w:firstLine="422"/>
      </w:pPr>
      <w:r>
        <w:rPr>
          <w:rFonts w:hint="eastAsia"/>
          <w:b/>
        </w:rPr>
        <w:t>第十条</w:t>
      </w:r>
      <w:r>
        <w:rPr>
          <w:rFonts w:hint="eastAsia"/>
        </w:rPr>
        <w:t xml:space="preserve">  机关、团体、企业事业单位在社会治安综合治理工作中的任务：</w:t>
      </w:r>
    </w:p>
    <w:p w14:paraId="03111456">
      <w:bookmarkStart w:id="1763" w:name="_Toc428780269"/>
      <w:r>
        <w:rPr>
          <w:rFonts w:hint="eastAsia"/>
        </w:rPr>
        <w:t>（一）组织开展法制宣传教育工作；</w:t>
      </w:r>
      <w:bookmarkEnd w:id="1763"/>
    </w:p>
    <w:p w14:paraId="5AFB4DC9">
      <w:r>
        <w:rPr>
          <w:rFonts w:hint="eastAsia"/>
        </w:rPr>
        <w:t>（二）组织实施本单位的治安责任制，落实安全防范和治安管理措施，维护内部安全；</w:t>
      </w:r>
    </w:p>
    <w:p w14:paraId="1BD9E90B">
      <w:r>
        <w:rPr>
          <w:rFonts w:hint="eastAsia"/>
        </w:rPr>
        <w:t>（三）根据公安、检察、审判机关的要求，协助调查与本单位有关的违法犯罪案件；</w:t>
      </w:r>
    </w:p>
    <w:p w14:paraId="6CB37B51">
      <w:bookmarkStart w:id="1764" w:name="_Toc428780270"/>
      <w:r>
        <w:rPr>
          <w:rFonts w:hint="eastAsia"/>
        </w:rPr>
        <w:t>（四）调解本单位内部或者与本单位有关的民间纠纷；</w:t>
      </w:r>
      <w:bookmarkEnd w:id="1764"/>
    </w:p>
    <w:p w14:paraId="153792F8">
      <w:r>
        <w:rPr>
          <w:rFonts w:hint="eastAsia"/>
        </w:rPr>
        <w:t>（五）办理社会治安综合治理的其他事项，并参加所在地社会治安综合治理活动。</w:t>
      </w:r>
    </w:p>
    <w:p w14:paraId="3AEC9F2A">
      <w:pPr>
        <w:ind w:firstLine="422"/>
      </w:pPr>
      <w:r>
        <w:rPr>
          <w:rFonts w:hint="eastAsia"/>
          <w:b/>
        </w:rPr>
        <w:t>第十一条</w:t>
      </w:r>
      <w:r>
        <w:rPr>
          <w:rFonts w:hint="eastAsia"/>
        </w:rPr>
        <w:t xml:space="preserve">  居民委员会、村民委员会在社会治安综合治理工作中的任务：</w:t>
      </w:r>
    </w:p>
    <w:p w14:paraId="522BD2C0">
      <w:r>
        <w:rPr>
          <w:rFonts w:hint="eastAsia"/>
        </w:rPr>
        <w:t>（一）宣传法律、法规、规章，进行防盗、防火、防破坏、防治安灾害事故等安全教育；</w:t>
      </w:r>
    </w:p>
    <w:p w14:paraId="050BD294">
      <w:r>
        <w:rPr>
          <w:rFonts w:hint="eastAsia"/>
        </w:rPr>
        <w:t>（二）加强对治安保卫委员会、人民调解委员会的领导，组织居民、村民搞好治安防范，调解民间纠纷，协助政府有关部门管理常住人口和暂住的外来人口；</w:t>
      </w:r>
    </w:p>
    <w:p w14:paraId="378111B3">
      <w:bookmarkStart w:id="1765" w:name="_Toc428780271"/>
      <w:r>
        <w:rPr>
          <w:rFonts w:hint="eastAsia"/>
        </w:rPr>
        <w:t>（三）组织制定居民公约、村规民约，并监督执行；</w:t>
      </w:r>
      <w:bookmarkEnd w:id="1765"/>
    </w:p>
    <w:p w14:paraId="02114B62">
      <w:r>
        <w:rPr>
          <w:rFonts w:hint="eastAsia"/>
        </w:rPr>
        <w:t>（四）及时向人民政府有关部门反映社会治安情况和居民、村民对社会治安综合治理工作的意见、要求。</w:t>
      </w:r>
    </w:p>
    <w:p w14:paraId="61ED7A82"/>
    <w:p w14:paraId="54995D6C">
      <w:pPr>
        <w:ind w:firstLine="0" w:firstLineChars="0"/>
        <w:jc w:val="center"/>
        <w:rPr>
          <w:b/>
          <w:sz w:val="28"/>
        </w:rPr>
      </w:pPr>
      <w:r>
        <w:rPr>
          <w:rFonts w:hint="eastAsia"/>
          <w:b/>
          <w:sz w:val="28"/>
        </w:rPr>
        <w:t>第三章　打击违法犯罪</w:t>
      </w:r>
    </w:p>
    <w:p w14:paraId="406DF4E4"/>
    <w:p w14:paraId="27B17998">
      <w:pPr>
        <w:ind w:firstLine="422"/>
      </w:pPr>
      <w:r>
        <w:rPr>
          <w:rFonts w:hint="eastAsia"/>
          <w:b/>
        </w:rPr>
        <w:t>第十二条</w:t>
      </w:r>
      <w:r>
        <w:rPr>
          <w:rFonts w:hint="eastAsia"/>
        </w:rPr>
        <w:t xml:space="preserve">  公安、检察、审判机关应当根据各自的职责，依法打击各种危害社会的违法犯罪活动，严惩严重危害社会治安的刑事犯罪分子。</w:t>
      </w:r>
    </w:p>
    <w:p w14:paraId="1D653BA9">
      <w:pPr>
        <w:ind w:firstLine="422"/>
      </w:pPr>
      <w:r>
        <w:rPr>
          <w:rFonts w:hint="eastAsia"/>
          <w:b/>
        </w:rPr>
        <w:t>第十三条</w:t>
      </w:r>
      <w:r>
        <w:rPr>
          <w:rFonts w:hint="eastAsia"/>
        </w:rPr>
        <w:t xml:space="preserve">  公安机关应当加强侦查破案工作，提高发现、查获犯罪分子的能力；组织以人民警察为骨干的多种力量参加的治安巡逻，依法取缔违法活动，打击现行犯罪。</w:t>
      </w:r>
    </w:p>
    <w:p w14:paraId="227E07DA">
      <w:pPr>
        <w:ind w:firstLine="422"/>
      </w:pPr>
      <w:r>
        <w:rPr>
          <w:rFonts w:hint="eastAsia"/>
          <w:b/>
        </w:rPr>
        <w:t>第十四条</w:t>
      </w:r>
      <w:r>
        <w:rPr>
          <w:rFonts w:hint="eastAsia"/>
        </w:rPr>
        <w:t>　公安机关和政府其他有关部门应当根据突出的社会治安问题，适时组织专项治理或者由公安机关组织集中打击违法犯罪的统一行动。</w:t>
      </w:r>
    </w:p>
    <w:p w14:paraId="6B2187EA">
      <w:pPr>
        <w:ind w:firstLine="422"/>
      </w:pPr>
      <w:r>
        <w:rPr>
          <w:rFonts w:hint="eastAsia"/>
          <w:b/>
        </w:rPr>
        <w:t>第十五条</w:t>
      </w:r>
      <w:r>
        <w:rPr>
          <w:rFonts w:hint="eastAsia"/>
        </w:rPr>
        <w:t>　公安、检察、审判机关对公民控告、检举或者扭送的犯罪嫌疑人，应当接受，及时依法处理，并保护控告、检举和扭送人的安全。</w:t>
      </w:r>
    </w:p>
    <w:p w14:paraId="03152827">
      <w:pPr>
        <w:spacing w:line="300" w:lineRule="exact"/>
      </w:pPr>
    </w:p>
    <w:p w14:paraId="1248D51D">
      <w:pPr>
        <w:ind w:firstLine="0" w:firstLineChars="0"/>
        <w:jc w:val="center"/>
        <w:rPr>
          <w:b/>
          <w:sz w:val="28"/>
        </w:rPr>
      </w:pPr>
      <w:r>
        <w:rPr>
          <w:rFonts w:hint="eastAsia"/>
          <w:b/>
          <w:sz w:val="28"/>
        </w:rPr>
        <w:t>第四章　治安防范和群防群治</w:t>
      </w:r>
    </w:p>
    <w:p w14:paraId="66DB26C6">
      <w:pPr>
        <w:spacing w:line="300" w:lineRule="exact"/>
      </w:pPr>
    </w:p>
    <w:p w14:paraId="5EEC0CF5">
      <w:pPr>
        <w:ind w:firstLine="422"/>
      </w:pPr>
      <w:r>
        <w:rPr>
          <w:rFonts w:hint="eastAsia"/>
          <w:b/>
        </w:rPr>
        <w:t>第十六条</w:t>
      </w:r>
      <w:r>
        <w:rPr>
          <w:rFonts w:hint="eastAsia"/>
        </w:rPr>
        <w:t>　机关、团体、企业事业单位应当贯彻落实市人民政府颁发的治安防范、治安保卫责任制和交通安全、消防安全责任制等规定，积极采用技术防范措施，确保安全。</w:t>
      </w:r>
    </w:p>
    <w:p w14:paraId="78F6F49A">
      <w:pPr>
        <w:ind w:firstLine="422"/>
      </w:pPr>
      <w:r>
        <w:rPr>
          <w:rFonts w:hint="eastAsia"/>
          <w:b/>
        </w:rPr>
        <w:t>第十七条</w:t>
      </w:r>
      <w:r>
        <w:rPr>
          <w:rFonts w:hint="eastAsia"/>
        </w:rPr>
        <w:t>　检察、审判机关对在办理案件中发现的社会治安隐患，应当及时向有关单位提出检察建议、司法建议。有关单位对前述建议应当认真研究，改进工作，并且回告发出建议的机关。</w:t>
      </w:r>
    </w:p>
    <w:p w14:paraId="0FDF9CAD">
      <w:pPr>
        <w:ind w:firstLine="422"/>
      </w:pPr>
      <w:r>
        <w:rPr>
          <w:rFonts w:hint="eastAsia"/>
          <w:b/>
        </w:rPr>
        <w:t>第十八条</w:t>
      </w:r>
      <w:r>
        <w:rPr>
          <w:rFonts w:hint="eastAsia"/>
        </w:rPr>
        <w:t>　乡、镇人民政府、街道办事处应当加强治安保卫委员会、人民调解委员会和治安联防、交通安全、消防安全以及护路、护线等群防群治组织的建设，开展军民、警民共建精神文明活动，动员、组织人民群众维护社会治安和社会秩序。群防群治组织应当严格依法办事，保护公民的合法权益。</w:t>
      </w:r>
    </w:p>
    <w:p w14:paraId="05049046">
      <w:r>
        <w:rPr>
          <w:rFonts w:hint="eastAsia"/>
        </w:rPr>
        <w:t>人民武装部门应当组织民兵积极参加维护社会治安的群防群治活动。</w:t>
      </w:r>
    </w:p>
    <w:p w14:paraId="2BF99B84">
      <w:r>
        <w:rPr>
          <w:rFonts w:hint="eastAsia"/>
        </w:rPr>
        <w:t>受益单位对所在地区的群防群治活动，应当从人力、物力上给予支持。</w:t>
      </w:r>
    </w:p>
    <w:p w14:paraId="4C57702E">
      <w:pPr>
        <w:ind w:firstLine="422"/>
      </w:pPr>
      <w:r>
        <w:rPr>
          <w:rFonts w:hint="eastAsia"/>
          <w:b/>
        </w:rPr>
        <w:t>第十九条</w:t>
      </w:r>
      <w:r>
        <w:rPr>
          <w:rFonts w:hint="eastAsia"/>
        </w:rPr>
        <w:t>　公安机关应当加强对保安服务公司的指导，发挥其在治安防范中的作用。</w:t>
      </w:r>
    </w:p>
    <w:p w14:paraId="218ACAD6">
      <w:pPr>
        <w:ind w:firstLine="422"/>
      </w:pPr>
      <w:r>
        <w:rPr>
          <w:rFonts w:hint="eastAsia"/>
          <w:b/>
        </w:rPr>
        <w:t>第二十条</w:t>
      </w:r>
      <w:r>
        <w:rPr>
          <w:rFonts w:hint="eastAsia"/>
        </w:rPr>
        <w:t>　城乡规划建设部门应当将公共场所、城镇居民楼院的治安防范设施和公安、法院派出机构的办公用房纳入城乡建设规划。居民区应当推广公寓式管理办法。</w:t>
      </w:r>
    </w:p>
    <w:p w14:paraId="509BE4E3"/>
    <w:p w14:paraId="52FAF87C">
      <w:pPr>
        <w:ind w:firstLine="0" w:firstLineChars="0"/>
        <w:jc w:val="center"/>
        <w:rPr>
          <w:b/>
          <w:sz w:val="28"/>
        </w:rPr>
      </w:pPr>
      <w:r>
        <w:rPr>
          <w:rFonts w:hint="eastAsia"/>
          <w:b/>
          <w:sz w:val="28"/>
        </w:rPr>
        <w:t>第五章　行政管理</w:t>
      </w:r>
    </w:p>
    <w:p w14:paraId="4E7E8C58"/>
    <w:p w14:paraId="5243626A">
      <w:pPr>
        <w:ind w:firstLine="422"/>
      </w:pPr>
      <w:r>
        <w:rPr>
          <w:rFonts w:hint="eastAsia"/>
          <w:b/>
        </w:rPr>
        <w:t>第二十一条</w:t>
      </w:r>
      <w:r>
        <w:rPr>
          <w:rFonts w:hint="eastAsia"/>
        </w:rPr>
        <w:t>　工商行政、税务、环卫、商业、文化、旅游、园林等部门应当对繁华地区、商场、集贸市场、公园、风景游览区，以及饮食服务、文化娱乐和体育活动等公共场所加强管理，完善管理制度，配合公安机关依法查处取缔扰乱社会秩序、经济秩序、妨害公共安全等行为，维护社会安定。</w:t>
      </w:r>
    </w:p>
    <w:p w14:paraId="455FED7E">
      <w:pPr>
        <w:ind w:firstLine="422"/>
      </w:pPr>
      <w:r>
        <w:rPr>
          <w:rFonts w:hint="eastAsia"/>
          <w:b/>
        </w:rPr>
        <w:t>第二十二条</w:t>
      </w:r>
      <w:r>
        <w:rPr>
          <w:rFonts w:hint="eastAsia"/>
        </w:rPr>
        <w:t>　文化、广播电视、新闻出版等部门应当与公安机关密切配合，共同对影剧院、歌舞厅、电子游艺厅、营业性台球室、录像放映室、书店、书报摊等场所加强管理，严禁制作、播放、出版、出售反动、淫秽或者其他有害的读物和音像制品。</w:t>
      </w:r>
    </w:p>
    <w:p w14:paraId="79ED8858">
      <w:pPr>
        <w:ind w:firstLine="422"/>
      </w:pPr>
      <w:r>
        <w:rPr>
          <w:rFonts w:hint="eastAsia"/>
          <w:b/>
        </w:rPr>
        <w:t>第二十三条</w:t>
      </w:r>
      <w:r>
        <w:rPr>
          <w:rFonts w:hint="eastAsia"/>
        </w:rPr>
        <w:t>　公安机关与政府其他有关部门应当加强对旅店、废旧金属回收、旧货业、印刷、刻字、复印、小件寄存、修配钥匙、出租汽车以及汽车修理等行业的管理，防范和打击违法犯罪活动。</w:t>
      </w:r>
    </w:p>
    <w:p w14:paraId="42613D9F">
      <w:pPr>
        <w:ind w:firstLine="422"/>
      </w:pPr>
      <w:r>
        <w:rPr>
          <w:rFonts w:hint="eastAsia"/>
          <w:b/>
        </w:rPr>
        <w:t>第二十四条</w:t>
      </w:r>
      <w:r>
        <w:rPr>
          <w:rFonts w:hint="eastAsia"/>
        </w:rPr>
        <w:t>　生产、运输、储存、使用枪支弹药、爆炸物品、剧毒物品、放射性物质等危险物品以及麻醉药品的单位，应当对上述物品严格管理，防止丢失、被盗和发生事故。上级主管部门和公安机关应当加强监督、检查。</w:t>
      </w:r>
    </w:p>
    <w:p w14:paraId="5B19C3D5">
      <w:pPr>
        <w:ind w:firstLine="422"/>
      </w:pPr>
      <w:r>
        <w:rPr>
          <w:rFonts w:hint="eastAsia"/>
          <w:b/>
        </w:rPr>
        <w:t>第二十五条</w:t>
      </w:r>
      <w:r>
        <w:rPr>
          <w:rFonts w:hint="eastAsia"/>
        </w:rPr>
        <w:t>　乡、镇人民政府、街道办事处和公安、工商行政、税务、商业、劳动、环卫、城建、房管、卫生防疫等部门应当密切配合，按照市人民政府的有关规定，加强对外地来京务工、经商人员的管理和教育，保护其合法权益，制止和取缔违法行为。</w:t>
      </w:r>
    </w:p>
    <w:p w14:paraId="60CBA937">
      <w:pPr>
        <w:ind w:firstLine="422"/>
      </w:pPr>
      <w:r>
        <w:rPr>
          <w:rFonts w:hint="eastAsia"/>
          <w:b/>
        </w:rPr>
        <w:t>第二十六条</w:t>
      </w:r>
      <w:r>
        <w:rPr>
          <w:rFonts w:hint="eastAsia"/>
        </w:rPr>
        <w:t>　外地来京暂住人员租赁本市城乡私人合法所有房屋，租赁双方都应当遵守本市有关加强对暂住人员租赁私有房屋管理的规定。乡、镇人民政府、街道办事处、房管部门和所在地公安派出所应当加强管理和监督。</w:t>
      </w:r>
    </w:p>
    <w:p w14:paraId="16993588">
      <w:pPr>
        <w:ind w:firstLine="422"/>
      </w:pPr>
      <w:r>
        <w:rPr>
          <w:rFonts w:hint="eastAsia"/>
          <w:b/>
        </w:rPr>
        <w:t>第二十七条</w:t>
      </w:r>
      <w:r>
        <w:rPr>
          <w:rFonts w:hint="eastAsia"/>
        </w:rPr>
        <w:t>　民政部门应当做好优抚安置、救灾救济、社会福利工作。民政、公安、卫生等部门应当做好精神病人和流浪乞讨人员的救助工作。</w:t>
      </w:r>
    </w:p>
    <w:p w14:paraId="5D077D94">
      <w:pPr>
        <w:spacing w:line="300" w:lineRule="exact"/>
      </w:pPr>
    </w:p>
    <w:p w14:paraId="7EF8AB99">
      <w:pPr>
        <w:ind w:firstLine="0" w:firstLineChars="0"/>
        <w:jc w:val="center"/>
        <w:rPr>
          <w:b/>
          <w:sz w:val="28"/>
        </w:rPr>
      </w:pPr>
      <w:r>
        <w:rPr>
          <w:rFonts w:hint="eastAsia"/>
          <w:b/>
          <w:sz w:val="28"/>
        </w:rPr>
        <w:t>第六章　思想教育与法制教育</w:t>
      </w:r>
    </w:p>
    <w:p w14:paraId="0B6C41AB">
      <w:pPr>
        <w:spacing w:line="300" w:lineRule="exact"/>
      </w:pPr>
    </w:p>
    <w:p w14:paraId="32EEF891">
      <w:pPr>
        <w:ind w:firstLine="422"/>
      </w:pPr>
      <w:r>
        <w:rPr>
          <w:rFonts w:hint="eastAsia"/>
          <w:b/>
        </w:rPr>
        <w:t>第二十八条</w:t>
      </w:r>
      <w:r>
        <w:rPr>
          <w:rFonts w:hint="eastAsia"/>
        </w:rPr>
        <w:t>　各部门、各单位应当认真开展各种形式的法制宣传教育和尊重社会公德的教育；认真做好思想政治工作，采取各种措施，积极疏导社会矛盾；正确调处民间纠纷，防止矛盾激化。</w:t>
      </w:r>
    </w:p>
    <w:p w14:paraId="29D5352E">
      <w:pPr>
        <w:ind w:firstLine="422"/>
      </w:pPr>
      <w:r>
        <w:rPr>
          <w:rFonts w:hint="eastAsia"/>
          <w:b/>
        </w:rPr>
        <w:t>第二十九条</w:t>
      </w:r>
      <w:r>
        <w:rPr>
          <w:rFonts w:hint="eastAsia"/>
        </w:rPr>
        <w:t>　学校、社会和家庭应当互相配合，加强对青少年的理想、道德、纪律教育和法制教育。</w:t>
      </w:r>
    </w:p>
    <w:p w14:paraId="4CEF60A5">
      <w:r>
        <w:rPr>
          <w:rFonts w:hint="eastAsia"/>
        </w:rPr>
        <w:t>教育部门应当办好工读学校。</w:t>
      </w:r>
    </w:p>
    <w:p w14:paraId="289EDBB9">
      <w:pPr>
        <w:ind w:firstLine="422"/>
      </w:pPr>
      <w:r>
        <w:rPr>
          <w:rFonts w:hint="eastAsia"/>
          <w:b/>
        </w:rPr>
        <w:t>第三十条</w:t>
      </w:r>
      <w:r>
        <w:rPr>
          <w:rFonts w:hint="eastAsia"/>
        </w:rPr>
        <w:t>　工会、共青团、妇联应当根据各自的特点，加强对职工、青少年、妇女的思想教育和法制教育。</w:t>
      </w:r>
    </w:p>
    <w:p w14:paraId="491A50C4">
      <w:pPr>
        <w:ind w:firstLine="422"/>
      </w:pPr>
      <w:r>
        <w:rPr>
          <w:rFonts w:hint="eastAsia"/>
          <w:b/>
        </w:rPr>
        <w:t>第三十一条</w:t>
      </w:r>
      <w:r>
        <w:rPr>
          <w:rFonts w:hint="eastAsia"/>
        </w:rPr>
        <w:t>　个体劳动者协会应当加强对个体劳动者的职业道德和法制教育，增强他们遵纪守法的意识。</w:t>
      </w:r>
    </w:p>
    <w:p w14:paraId="3D47B832"/>
    <w:p w14:paraId="6BE1EC7B">
      <w:pPr>
        <w:ind w:firstLine="0" w:firstLineChars="0"/>
        <w:jc w:val="center"/>
        <w:rPr>
          <w:b/>
          <w:sz w:val="28"/>
        </w:rPr>
      </w:pPr>
      <w:r>
        <w:rPr>
          <w:rFonts w:hint="eastAsia"/>
          <w:b/>
          <w:sz w:val="28"/>
        </w:rPr>
        <w:t>第七章　改造与安置</w:t>
      </w:r>
    </w:p>
    <w:p w14:paraId="6E9153A2"/>
    <w:p w14:paraId="0810F714">
      <w:pPr>
        <w:ind w:firstLine="422"/>
      </w:pPr>
      <w:r>
        <w:rPr>
          <w:rFonts w:hint="eastAsia"/>
          <w:b/>
        </w:rPr>
        <w:t>第三十二条</w:t>
      </w:r>
      <w:r>
        <w:rPr>
          <w:rFonts w:hint="eastAsia"/>
        </w:rPr>
        <w:t>　全社会都应当支持劳动改造、劳动教养工作。劳动改造、劳动教养机关应当认真履行职责，加强对违法犯罪人员的教育、挽救、改造工作，减少重新犯罪。</w:t>
      </w:r>
    </w:p>
    <w:p w14:paraId="3463CE81">
      <w:r>
        <w:rPr>
          <w:rFonts w:hint="eastAsia"/>
        </w:rPr>
        <w:t>劳动改造、劳动教养机关应当对劳动改造、劳动教养人员进行文化、技术培训，有关部门应当积极配合，为刑满释放、解除劳动教养人员就业、就学创造条件。</w:t>
      </w:r>
    </w:p>
    <w:p w14:paraId="19E8C437">
      <w:pPr>
        <w:ind w:firstLine="422"/>
      </w:pPr>
      <w:r>
        <w:rPr>
          <w:rFonts w:hint="eastAsia"/>
          <w:b/>
        </w:rPr>
        <w:t>第三十三条</w:t>
      </w:r>
      <w:r>
        <w:rPr>
          <w:rFonts w:hint="eastAsia"/>
        </w:rPr>
        <w:t>　劳动部门和有关部门应当通过介绍就业、组织起来就业、自谋职业、原单位安置等办法，妥善安置刑满释放、解除劳动教养人员。各单位在招工时，对刑满释放、解除劳动教养人员不得歧视。</w:t>
      </w:r>
    </w:p>
    <w:p w14:paraId="0FEFDB3B">
      <w:pPr>
        <w:ind w:firstLine="422"/>
      </w:pPr>
      <w:r>
        <w:rPr>
          <w:rFonts w:hint="eastAsia"/>
          <w:b/>
        </w:rPr>
        <w:t>第三十四条</w:t>
      </w:r>
      <w:r>
        <w:rPr>
          <w:rFonts w:hint="eastAsia"/>
        </w:rPr>
        <w:t>　居民委员会、村民委员会和有关单位应当协助公安、检察、审判、司法行政机关对被剥夺政治权利、管制、缓刑、假释、暂予监外执行、保外就医的犯罪人员和所外执行、领外就医的劳动教养人员，做好监督、考察和教育工作。</w:t>
      </w:r>
    </w:p>
    <w:p w14:paraId="5D5B3251"/>
    <w:p w14:paraId="457836DB">
      <w:pPr>
        <w:ind w:firstLine="0" w:firstLineChars="0"/>
        <w:jc w:val="center"/>
        <w:rPr>
          <w:b/>
          <w:sz w:val="28"/>
        </w:rPr>
      </w:pPr>
      <w:r>
        <w:rPr>
          <w:rFonts w:hint="eastAsia"/>
          <w:b/>
          <w:sz w:val="28"/>
        </w:rPr>
        <w:t>第八章　目标管理与考核</w:t>
      </w:r>
    </w:p>
    <w:p w14:paraId="0690AE2D"/>
    <w:p w14:paraId="6355A5A9">
      <w:pPr>
        <w:ind w:firstLine="422"/>
      </w:pPr>
      <w:r>
        <w:rPr>
          <w:rFonts w:hint="eastAsia"/>
          <w:b/>
        </w:rPr>
        <w:t>第三十五条</w:t>
      </w:r>
      <w:r>
        <w:rPr>
          <w:rFonts w:hint="eastAsia"/>
        </w:rPr>
        <w:t>　市、区、县、乡、镇人民政府和街道办事处应当把社会治安综合治理纳入两个文明建设的总体规划，制定社会治安综合治理计划，并实行目标管理。</w:t>
      </w:r>
    </w:p>
    <w:p w14:paraId="183E4612">
      <w:pPr>
        <w:ind w:firstLine="422"/>
      </w:pPr>
      <w:r>
        <w:rPr>
          <w:rFonts w:hint="eastAsia"/>
          <w:b/>
        </w:rPr>
        <w:t>第三十六条</w:t>
      </w:r>
      <w:r>
        <w:rPr>
          <w:rFonts w:hint="eastAsia"/>
        </w:rPr>
        <w:t>　各部门、各单位应当根据本部门、本单位在社会治安综合治理中的任务、职责，建立综合治理目标管理责任制和考核、奖惩办法。</w:t>
      </w:r>
    </w:p>
    <w:p w14:paraId="158D546A"/>
    <w:p w14:paraId="3EDB47AA">
      <w:pPr>
        <w:ind w:firstLine="0" w:firstLineChars="0"/>
        <w:jc w:val="center"/>
        <w:rPr>
          <w:b/>
          <w:sz w:val="28"/>
        </w:rPr>
      </w:pPr>
      <w:r>
        <w:rPr>
          <w:rFonts w:hint="eastAsia"/>
          <w:b/>
          <w:sz w:val="28"/>
        </w:rPr>
        <w:t>第九章　奖惩与保障</w:t>
      </w:r>
    </w:p>
    <w:p w14:paraId="0135CF8C"/>
    <w:p w14:paraId="7D69EED4">
      <w:pPr>
        <w:ind w:firstLine="422"/>
      </w:pPr>
      <w:r>
        <w:rPr>
          <w:rFonts w:hint="eastAsia"/>
          <w:b/>
        </w:rPr>
        <w:t>第三十七条</w:t>
      </w:r>
      <w:r>
        <w:rPr>
          <w:rFonts w:hint="eastAsia"/>
        </w:rPr>
        <w:t>　认真执行本条例，符合下列条件之一的单位和个人，由其上级主管部门或者所在单位给予表彰、奖励；有特殊贡献的，由市、区、县社会治安综合治理委员会推荐，报请同级人民政府批准，给予记功或者授予荣誉称号：</w:t>
      </w:r>
    </w:p>
    <w:p w14:paraId="6F475F19">
      <w:bookmarkStart w:id="1766" w:name="_Toc428780272"/>
      <w:r>
        <w:rPr>
          <w:rFonts w:hint="eastAsia"/>
        </w:rPr>
        <w:t>（一）落实社会治安综合治理目标管理责任制成绩突出的；</w:t>
      </w:r>
      <w:bookmarkEnd w:id="1766"/>
    </w:p>
    <w:p w14:paraId="59BBCD5C">
      <w:r>
        <w:rPr>
          <w:rFonts w:hint="eastAsia"/>
        </w:rPr>
        <w:t>（二）在治安防范、调解民间纠纷、安置帮教、交通安全、消防安全、法制宣传教育等工作中，做出显著成绩的；</w:t>
      </w:r>
    </w:p>
    <w:p w14:paraId="65B8B4C5">
      <w:r>
        <w:rPr>
          <w:rFonts w:hint="eastAsia"/>
        </w:rPr>
        <w:t>（三）单位主管负责人和治安责任人，在社会治安综合治理工作中尽职尽责，做出优异成绩的；</w:t>
      </w:r>
    </w:p>
    <w:p w14:paraId="03CEB47B">
      <w:bookmarkStart w:id="1767" w:name="_Toc428780273"/>
      <w:r>
        <w:rPr>
          <w:rFonts w:hint="eastAsia"/>
        </w:rPr>
        <w:t>（四）见义勇为，同违法犯罪作斗争事迹突出的；</w:t>
      </w:r>
      <w:bookmarkEnd w:id="1767"/>
    </w:p>
    <w:p w14:paraId="601EA70B">
      <w:r>
        <w:rPr>
          <w:rFonts w:hint="eastAsia"/>
        </w:rPr>
        <w:t>（五）保护、抢救国家、集体财产和人民生命财产有功的；</w:t>
      </w:r>
    </w:p>
    <w:p w14:paraId="287421C1">
      <w:r>
        <w:rPr>
          <w:rFonts w:hint="eastAsia"/>
        </w:rPr>
        <w:t>（六）在社会治安综合治理工作中有其他突出贡献的。</w:t>
      </w:r>
    </w:p>
    <w:p w14:paraId="30EA27F9">
      <w:pPr>
        <w:ind w:firstLine="422"/>
      </w:pPr>
      <w:r>
        <w:rPr>
          <w:rFonts w:hint="eastAsia"/>
          <w:b/>
        </w:rPr>
        <w:t>第三十八条</w:t>
      </w:r>
      <w:r>
        <w:rPr>
          <w:rFonts w:hint="eastAsia"/>
        </w:rPr>
        <w:t>　机关、团体、企业事业单位及其他组织，凡是未达到本地区或者上级主管部门规定的社会治安综合治理目标的，不得评为年度精神文明单位；其单位主管负责人和直接责任人，当年不得升职，不得评为先进个人。</w:t>
      </w:r>
    </w:p>
    <w:p w14:paraId="35017109">
      <w:r>
        <w:rPr>
          <w:rFonts w:hint="eastAsia"/>
        </w:rPr>
        <w:t>市、区、县社会治安综合治理委员会对前款规定的执行情况进行监督和检查。</w:t>
      </w:r>
    </w:p>
    <w:p w14:paraId="4FA7D67E">
      <w:pPr>
        <w:ind w:firstLine="422"/>
      </w:pPr>
      <w:r>
        <w:rPr>
          <w:rFonts w:hint="eastAsia"/>
          <w:b/>
        </w:rPr>
        <w:t>第三十九条</w:t>
      </w:r>
      <w:r>
        <w:rPr>
          <w:rFonts w:hint="eastAsia"/>
        </w:rPr>
        <w:t>　违反本条例规定，有下列情形之一的，由有关行政主管部门对单位主管负责人和直接责任人给予批评教育或者行政处分；违反治安管理的，由公安机关依法处理；构成犯罪的，依法追究刑事责任：</w:t>
      </w:r>
    </w:p>
    <w:p w14:paraId="3987087B">
      <w:r>
        <w:rPr>
          <w:rFonts w:hint="eastAsia"/>
        </w:rPr>
        <w:t>（一）社会治安综合治理措施不落实，发生重大刑事案件或者重大治安事件，致使国家利益和人民生命财产遭受重大损失的；</w:t>
      </w:r>
    </w:p>
    <w:p w14:paraId="6FEEDE8B">
      <w:r>
        <w:rPr>
          <w:rFonts w:hint="eastAsia"/>
        </w:rPr>
        <w:t>（二）对内部矛盾和纠纷，不及时消除、化解，处置不力，造成严重后果的；</w:t>
      </w:r>
    </w:p>
    <w:p w14:paraId="61AAA6A8">
      <w:bookmarkStart w:id="1768" w:name="_Toc428780274"/>
      <w:r>
        <w:rPr>
          <w:rFonts w:hint="eastAsia"/>
        </w:rPr>
        <w:t>（三）疏于防范和管理，连续发生案件，又不积极采取措施改进的；</w:t>
      </w:r>
      <w:bookmarkEnd w:id="1768"/>
    </w:p>
    <w:p w14:paraId="0DCF1779">
      <w:r>
        <w:rPr>
          <w:rFonts w:hint="eastAsia"/>
        </w:rPr>
        <w:t>（四）由于管理、教育、防范措施不落实而发生重大、特大交通事故或者火灾事故的；</w:t>
      </w:r>
    </w:p>
    <w:p w14:paraId="67EBDCA8">
      <w:r>
        <w:rPr>
          <w:rFonts w:hint="eastAsia"/>
        </w:rPr>
        <w:t>（五）对本单位发生的犯罪案件和存在的重大治安隐患隐瞒不报、置之不理的；</w:t>
      </w:r>
    </w:p>
    <w:p w14:paraId="19E8CDA6">
      <w:r>
        <w:rPr>
          <w:rFonts w:hint="eastAsia"/>
        </w:rPr>
        <w:t>（六）在社会治安综合治理工作中，不认真履行职责、玩忽职守、徇私舞弊、弄虚作假的。</w:t>
      </w:r>
    </w:p>
    <w:p w14:paraId="189EE940">
      <w:pPr>
        <w:ind w:firstLine="422"/>
      </w:pPr>
      <w:r>
        <w:rPr>
          <w:rFonts w:hint="eastAsia"/>
          <w:b/>
        </w:rPr>
        <w:t>第四十条</w:t>
      </w:r>
      <w:r>
        <w:rPr>
          <w:rFonts w:hint="eastAsia"/>
        </w:rPr>
        <w:t>　公民为维护社会治安，同违法犯罪行为作斗争壮烈牺牲的，依照《革命烈士褒扬条例》规定授予烈士称号，并对其家属进行抚恤。</w:t>
      </w:r>
    </w:p>
    <w:p w14:paraId="61BE8CA1">
      <w:pPr>
        <w:ind w:firstLine="422"/>
      </w:pPr>
      <w:r>
        <w:rPr>
          <w:rFonts w:hint="eastAsia"/>
          <w:b/>
        </w:rPr>
        <w:t>第四十一条</w:t>
      </w:r>
      <w:r>
        <w:rPr>
          <w:rFonts w:hint="eastAsia"/>
        </w:rPr>
        <w:t>　国家工作人员和企业事业单位的职工因同违法犯罪行为作斗争误工的，视同出勤；负伤致残的，由所在单位按因公负伤致残处理；死亡但不符合批准烈士条件的，按因公牺牲处理。</w:t>
      </w:r>
    </w:p>
    <w:p w14:paraId="5AE44C55">
      <w:r>
        <w:rPr>
          <w:rFonts w:hint="eastAsia"/>
        </w:rPr>
        <w:t>其他公民因同违法犯罪行为作斗争负伤致残符合评残条件的，由民政部门参照国家有关参战残废民兵民工的规定办理；死亡但不符合批准烈士条件的，由民政部门参照《民兵民工伤亡抚恤暂行条例》的规定办理。</w:t>
      </w:r>
    </w:p>
    <w:p w14:paraId="33EEE61D">
      <w:r>
        <w:rPr>
          <w:rFonts w:hint="eastAsia"/>
        </w:rPr>
        <w:t>对同违法犯罪行为作斗争做出贡献的待业人员，当地人民政府应当优先推荐和介绍其就业。</w:t>
      </w:r>
    </w:p>
    <w:p w14:paraId="7E6E6923">
      <w:pPr>
        <w:ind w:firstLine="422"/>
      </w:pPr>
      <w:r>
        <w:rPr>
          <w:rFonts w:hint="eastAsia"/>
          <w:b/>
        </w:rPr>
        <w:t>第四十二条</w:t>
      </w:r>
      <w:r>
        <w:rPr>
          <w:rFonts w:hint="eastAsia"/>
        </w:rPr>
        <w:t>　公民因同违法犯罪作斗争负伤、致残或者死亡的，其医疗、丧葬、生活补助等费用，依法由侵害人或者其监护人承担；侵害人或者其监护人确实无力承担的，由当地人民政府按照有关规定解决。</w:t>
      </w:r>
    </w:p>
    <w:p w14:paraId="6FFACA17">
      <w:pPr>
        <w:ind w:firstLine="422"/>
      </w:pPr>
      <w:r>
        <w:rPr>
          <w:rFonts w:hint="eastAsia"/>
          <w:b/>
        </w:rPr>
        <w:t>第四十三条</w:t>
      </w:r>
      <w:r>
        <w:rPr>
          <w:rFonts w:hint="eastAsia"/>
        </w:rPr>
        <w:t>　公民在同违法犯罪行为和治安灾害事故作斗争以及在调解民间纠纷中人身受到伤害的，医疗单位应当及时抢救、治疗。</w:t>
      </w:r>
    </w:p>
    <w:p w14:paraId="65F871A0">
      <w:pPr>
        <w:spacing w:line="300" w:lineRule="exact"/>
      </w:pPr>
    </w:p>
    <w:p w14:paraId="22D4CD6C">
      <w:pPr>
        <w:ind w:firstLine="0" w:firstLineChars="0"/>
        <w:jc w:val="center"/>
        <w:rPr>
          <w:b/>
          <w:sz w:val="28"/>
        </w:rPr>
      </w:pPr>
      <w:r>
        <w:rPr>
          <w:rFonts w:hint="eastAsia"/>
          <w:b/>
          <w:sz w:val="28"/>
        </w:rPr>
        <w:t>第十章　附　则</w:t>
      </w:r>
    </w:p>
    <w:p w14:paraId="393E2DBD">
      <w:pPr>
        <w:spacing w:line="300" w:lineRule="exact"/>
      </w:pPr>
    </w:p>
    <w:p w14:paraId="26427D48">
      <w:pPr>
        <w:ind w:firstLine="422"/>
      </w:pPr>
      <w:r>
        <w:rPr>
          <w:rFonts w:hint="eastAsia"/>
          <w:b/>
        </w:rPr>
        <w:t>第四十四条</w:t>
      </w:r>
      <w:r>
        <w:rPr>
          <w:rFonts w:hint="eastAsia"/>
        </w:rPr>
        <w:t>　本条例具体应用中的问题，由市人民政府负责解释。</w:t>
      </w:r>
    </w:p>
    <w:p w14:paraId="07A92653">
      <w:pPr>
        <w:ind w:firstLine="422"/>
      </w:pPr>
      <w:r>
        <w:rPr>
          <w:rFonts w:hint="eastAsia"/>
          <w:b/>
        </w:rPr>
        <w:t>第四十五条</w:t>
      </w:r>
      <w:r>
        <w:rPr>
          <w:rFonts w:hint="eastAsia"/>
        </w:rPr>
        <w:t>　本条例自公布之日起施行。</w:t>
      </w:r>
    </w:p>
    <w:p w14:paraId="6F690267"/>
    <w:p w14:paraId="2EA61723">
      <w:pPr>
        <w:pStyle w:val="4"/>
        <w:pageBreakBefore/>
      </w:pPr>
      <w:bookmarkStart w:id="1769" w:name="_Toc426467002"/>
      <w:bookmarkStart w:id="1770" w:name="_Toc428780275"/>
      <w:bookmarkStart w:id="1771" w:name="_Toc428781750"/>
      <w:r>
        <w:rPr>
          <w:rFonts w:hint="eastAsia"/>
        </w:rPr>
        <w:t>北京市消防条例</w:t>
      </w:r>
      <w:bookmarkEnd w:id="1769"/>
      <w:bookmarkEnd w:id="1770"/>
      <w:bookmarkEnd w:id="1771"/>
    </w:p>
    <w:p w14:paraId="0556211C">
      <w:pPr>
        <w:ind w:left="630" w:leftChars="300" w:right="630" w:rightChars="300"/>
        <w:rPr>
          <w:rFonts w:ascii="楷体" w:hAnsi="楷体" w:eastAsia="楷体"/>
        </w:rPr>
      </w:pPr>
      <w:r>
        <w:rPr>
          <w:rFonts w:hint="eastAsia" w:ascii="楷体" w:hAnsi="楷体" w:eastAsia="楷体"/>
        </w:rPr>
        <w:t>（1996年9月6日北京市第十届人民代表大会常务委员会第三十次会议通过　1998年9月17日北京市第十一届人民代表大会常务委员会第五次会议修订  2002年3月29日北京市第十一届人民代表大会常务委员会第三十三次会议修正  2011年5月27日北京市第十三届人民代表大会常务委员会第二十五次会议修订）</w:t>
      </w:r>
    </w:p>
    <w:p w14:paraId="3F777DDA">
      <w:pPr>
        <w:spacing w:line="300" w:lineRule="exact"/>
      </w:pPr>
    </w:p>
    <w:p w14:paraId="66B78A73">
      <w:pPr>
        <w:ind w:firstLine="0" w:firstLineChars="0"/>
        <w:jc w:val="center"/>
        <w:rPr>
          <w:b/>
          <w:sz w:val="28"/>
        </w:rPr>
      </w:pPr>
      <w:r>
        <w:rPr>
          <w:rFonts w:hint="eastAsia"/>
          <w:b/>
          <w:sz w:val="28"/>
        </w:rPr>
        <w:t>第一章　总　则</w:t>
      </w:r>
    </w:p>
    <w:p w14:paraId="6CCDD644">
      <w:pPr>
        <w:spacing w:line="300" w:lineRule="exact"/>
      </w:pPr>
    </w:p>
    <w:p w14:paraId="64094540">
      <w:pPr>
        <w:ind w:firstLine="422"/>
      </w:pPr>
      <w:r>
        <w:rPr>
          <w:rFonts w:hint="eastAsia"/>
          <w:b/>
        </w:rPr>
        <w:t>第一条</w:t>
      </w:r>
      <w:r>
        <w:rPr>
          <w:rFonts w:hint="eastAsia"/>
        </w:rPr>
        <w:t xml:space="preserve">  为了预防火灾和减少火灾危害，加强应急救援工作，保护人身、财产安全，维护公共安全，根据《中华人民共和国消防法》和有关法律、行政法规，结合本市实际情况，制定本条例。</w:t>
      </w:r>
    </w:p>
    <w:p w14:paraId="4ACB2129">
      <w:pPr>
        <w:ind w:firstLine="422"/>
      </w:pPr>
      <w:r>
        <w:rPr>
          <w:rFonts w:hint="eastAsia"/>
          <w:b/>
        </w:rPr>
        <w:t>第二条</w:t>
      </w:r>
      <w:r>
        <w:rPr>
          <w:rFonts w:hint="eastAsia"/>
        </w:rPr>
        <w:t xml:space="preserve">  本市行政区域内的机关、团体、企业、事业等单位及个人，应当遵守本条例。</w:t>
      </w:r>
    </w:p>
    <w:p w14:paraId="11E8D3A6">
      <w:r>
        <w:rPr>
          <w:rFonts w:hint="eastAsia"/>
        </w:rPr>
        <w:t>森林、军事设施、铁路、民航、矿井地下部分的消防工作，国家另有规定的，从其规定。</w:t>
      </w:r>
    </w:p>
    <w:p w14:paraId="377BEC63">
      <w:pPr>
        <w:ind w:firstLine="422"/>
      </w:pPr>
      <w:r>
        <w:rPr>
          <w:rFonts w:hint="eastAsia"/>
          <w:b/>
        </w:rPr>
        <w:t>第三条</w:t>
      </w:r>
      <w:r>
        <w:rPr>
          <w:rFonts w:hint="eastAsia"/>
        </w:rPr>
        <w:t xml:space="preserve">  消防工作贯彻预防为主、防消结合的方针，按照政府统一领导、部门依法监管、单位全面负责、公民积极参与的原则，实行消防安全责任制，建立健全社会化的消防工作网络。</w:t>
      </w:r>
    </w:p>
    <w:p w14:paraId="03ED35F8">
      <w:pPr>
        <w:ind w:firstLine="422"/>
      </w:pPr>
      <w:r>
        <w:rPr>
          <w:rFonts w:hint="eastAsia"/>
          <w:b/>
        </w:rPr>
        <w:t>第四条</w:t>
      </w:r>
      <w:r>
        <w:rPr>
          <w:rFonts w:hint="eastAsia"/>
        </w:rPr>
        <w:t xml:space="preserve">  市和区、县人民政府领导本行政区域内的消防工作，制定消防事业发展专项规划并纳入国民经济和社会发展规划，确定本级人民政府有关部门和下级人民政府的消防安全职责，将消防事业经费纳入财政预算，并随着经济社会发展逐步增加。</w:t>
      </w:r>
    </w:p>
    <w:p w14:paraId="6168DDE6">
      <w:pPr>
        <w:ind w:firstLine="422"/>
      </w:pPr>
      <w:r>
        <w:rPr>
          <w:rFonts w:hint="eastAsia"/>
          <w:b/>
        </w:rPr>
        <w:t>第五条</w:t>
      </w:r>
      <w:r>
        <w:rPr>
          <w:rFonts w:hint="eastAsia"/>
        </w:rPr>
        <w:t xml:space="preserve">  市和区、县公安机关对本行政区域内的消防工作实施监督管理，并由本级公安机关消防机构负责实施。</w:t>
      </w:r>
    </w:p>
    <w:p w14:paraId="69795F7E">
      <w:r>
        <w:rPr>
          <w:rFonts w:hint="eastAsia"/>
        </w:rPr>
        <w:t>公安派出所依照国家和本市的规定，开展日常消防监督检查，依法处理消防安全违法行为，指导辖区内的单位、居民委员会、村民委员会落实消防安全措施。</w:t>
      </w:r>
    </w:p>
    <w:p w14:paraId="2B50739D">
      <w:r>
        <w:rPr>
          <w:rFonts w:hint="eastAsia"/>
        </w:rPr>
        <w:t>公安机关消防机构与公安派出所应当在人民政府和公安机关领导下明确职责范围，互相配合，共同做好消防监督工作。</w:t>
      </w:r>
    </w:p>
    <w:p w14:paraId="4D65AD8D">
      <w:pPr>
        <w:ind w:firstLine="422"/>
      </w:pPr>
      <w:r>
        <w:rPr>
          <w:rFonts w:hint="eastAsia"/>
          <w:b/>
        </w:rPr>
        <w:t>第六条</w:t>
      </w:r>
      <w:r>
        <w:rPr>
          <w:rFonts w:hint="eastAsia"/>
        </w:rPr>
        <w:t xml:space="preserve">  机关、团体、企业、事业等单位应当依法履行法律、法规规定的单位消防安全职责，对本单位的消防安全负责。</w:t>
      </w:r>
    </w:p>
    <w:p w14:paraId="3E214B5E">
      <w:r>
        <w:rPr>
          <w:rFonts w:hint="eastAsia"/>
        </w:rPr>
        <w:t>有固定经营场所的个体工商户应当遵守《中华人民共和国消防法》和本条例关于单位消防安全职责的规定。</w:t>
      </w:r>
    </w:p>
    <w:p w14:paraId="0581D420">
      <w:pPr>
        <w:ind w:firstLine="422"/>
      </w:pPr>
      <w:r>
        <w:rPr>
          <w:rFonts w:hint="eastAsia"/>
          <w:b/>
        </w:rPr>
        <w:t>第七条</w:t>
      </w:r>
      <w:r>
        <w:rPr>
          <w:rFonts w:hint="eastAsia"/>
        </w:rPr>
        <w:t xml:space="preserve">  消防协会和其他有关行业协会应当建立健全行业消防安全自律机制和管理制度，制定从业规范，宣传消防法律、法规和专业知识，培训相关从业人员，对消防技术服务机构和相关单位的消防工作进行指导。</w:t>
      </w:r>
    </w:p>
    <w:p w14:paraId="6E5D8C33">
      <w:pPr>
        <w:ind w:firstLine="422"/>
      </w:pPr>
      <w:r>
        <w:rPr>
          <w:rFonts w:hint="eastAsia"/>
          <w:b/>
        </w:rPr>
        <w:t>第八条</w:t>
      </w:r>
      <w:r>
        <w:rPr>
          <w:rFonts w:hint="eastAsia"/>
        </w:rPr>
        <w:t xml:space="preserve">  本市鼓励有关企事业单位、科研机构开展消防科学技术研究和创新，鼓励消防组织运用先进科技成果提升灭火救援能力。</w:t>
      </w:r>
    </w:p>
    <w:p w14:paraId="22C09DAD">
      <w:pPr>
        <w:spacing w:line="240" w:lineRule="exact"/>
      </w:pPr>
    </w:p>
    <w:p w14:paraId="2ED81482">
      <w:pPr>
        <w:ind w:firstLine="0" w:firstLineChars="0"/>
        <w:jc w:val="center"/>
        <w:rPr>
          <w:b/>
          <w:sz w:val="28"/>
        </w:rPr>
      </w:pPr>
      <w:r>
        <w:rPr>
          <w:rFonts w:hint="eastAsia"/>
          <w:b/>
          <w:sz w:val="28"/>
        </w:rPr>
        <w:t>第二章　消防安全责任</w:t>
      </w:r>
    </w:p>
    <w:p w14:paraId="215FF401">
      <w:pPr>
        <w:spacing w:line="240" w:lineRule="exact"/>
      </w:pPr>
    </w:p>
    <w:p w14:paraId="7FE8D7FD">
      <w:pPr>
        <w:ind w:firstLine="422"/>
      </w:pPr>
      <w:r>
        <w:rPr>
          <w:rFonts w:hint="eastAsia"/>
          <w:b/>
        </w:rPr>
        <w:t>第九条</w:t>
      </w:r>
      <w:r>
        <w:rPr>
          <w:rFonts w:hint="eastAsia"/>
        </w:rPr>
        <w:t xml:space="preserve">  市和区、县人民政府应当履行下列消防安全职责：</w:t>
      </w:r>
    </w:p>
    <w:p w14:paraId="7D9DFF98">
      <w:r>
        <w:rPr>
          <w:rFonts w:hint="eastAsia"/>
        </w:rPr>
        <w:t>（一）建立健全防火安全委员会和消防工作联席会议制度，研究并协调解决消防工作中的重大问题；</w:t>
      </w:r>
    </w:p>
    <w:p w14:paraId="03BE85A2">
      <w:bookmarkStart w:id="1772" w:name="_Toc428780276"/>
      <w:r>
        <w:rPr>
          <w:rFonts w:hint="eastAsia"/>
        </w:rPr>
        <w:t>（二）保障公共消防设施建设和消防业务经费的投入；</w:t>
      </w:r>
      <w:bookmarkEnd w:id="1772"/>
    </w:p>
    <w:p w14:paraId="6A91E4EC">
      <w:r>
        <w:rPr>
          <w:rFonts w:hint="eastAsia"/>
        </w:rPr>
        <w:t>（三）制定并组织实施年度及重点防火期消防工作计划；</w:t>
      </w:r>
    </w:p>
    <w:p w14:paraId="137E899B">
      <w:bookmarkStart w:id="1773" w:name="_Toc428780277"/>
      <w:r>
        <w:rPr>
          <w:rFonts w:hint="eastAsia"/>
        </w:rPr>
        <w:t>（四）组织政府有关部门开展消防安全检查；</w:t>
      </w:r>
      <w:bookmarkEnd w:id="1773"/>
    </w:p>
    <w:p w14:paraId="6ACF0E28">
      <w:r>
        <w:rPr>
          <w:rFonts w:hint="eastAsia"/>
        </w:rPr>
        <w:t>（五）对下一级人民政府完成年度消防安全责任目标情况进行考核、评比；</w:t>
      </w:r>
    </w:p>
    <w:p w14:paraId="50EA286E">
      <w:r>
        <w:rPr>
          <w:rFonts w:hint="eastAsia"/>
        </w:rPr>
        <w:t>（六）对本级人民政府有关部门履行消防安全职责的情况进行监督检查；</w:t>
      </w:r>
    </w:p>
    <w:p w14:paraId="01F52150">
      <w:r>
        <w:rPr>
          <w:rFonts w:hint="eastAsia"/>
        </w:rPr>
        <w:t>（七）其他依法应当履行的消防安全职责。</w:t>
      </w:r>
    </w:p>
    <w:p w14:paraId="0E4C9FFE">
      <w:r>
        <w:rPr>
          <w:rFonts w:hint="eastAsia"/>
        </w:rPr>
        <w:t>市和区、县人民政府防火安全委员会组织、指导、监督本级人民政府有关部门和下级人民政府履行消防工作职责，协调消防基础设施建设、消防组织建设等重大事项，督促重大火灾隐患整改。</w:t>
      </w:r>
    </w:p>
    <w:p w14:paraId="5F7EC599">
      <w:r>
        <w:rPr>
          <w:rFonts w:hint="eastAsia"/>
        </w:rPr>
        <w:t>教育、民政、住房和城乡建设、市政市容、交通、农业、水务、商务、文化、卫生、文物、民防、旅游等行政部门按照各自职责负责消防管理的相关工作。</w:t>
      </w:r>
    </w:p>
    <w:p w14:paraId="0EA5BC9D">
      <w:r>
        <w:rPr>
          <w:rFonts w:hint="eastAsia"/>
        </w:rPr>
        <w:t>乡镇人民政府和街道办事处应当依照法律、法规、规章的规定和上级人民政府的部署，统筹负责本辖区的消防安全工作；建立消防安全管理领导机制，监督辖区内政府部门的消防监督管理工作，指导辖区内单位、居民委员会、村民委员会履行各自的消防安全职责。</w:t>
      </w:r>
    </w:p>
    <w:p w14:paraId="45213F77">
      <w:pPr>
        <w:ind w:firstLine="422"/>
      </w:pPr>
      <w:r>
        <w:rPr>
          <w:rFonts w:hint="eastAsia"/>
          <w:b/>
        </w:rPr>
        <w:t>第十条</w:t>
      </w:r>
      <w:r>
        <w:rPr>
          <w:rFonts w:hint="eastAsia"/>
        </w:rPr>
        <w:t xml:space="preserve">  公安机关消防机构应当履行下列消防安全职责：</w:t>
      </w:r>
    </w:p>
    <w:p w14:paraId="440BD521">
      <w:bookmarkStart w:id="1774" w:name="_Toc428780278"/>
      <w:r>
        <w:rPr>
          <w:rFonts w:hint="eastAsia"/>
        </w:rPr>
        <w:t>（一）开展消防法律、法规宣传，根据需要指导单位开展消防演练；</w:t>
      </w:r>
      <w:bookmarkEnd w:id="1774"/>
    </w:p>
    <w:p w14:paraId="2E378125">
      <w:r>
        <w:rPr>
          <w:rFonts w:hint="eastAsia"/>
        </w:rPr>
        <w:t>（二）依法实施建设工程消防设计审核、消防验收、备案和抽查，以及公众聚集场所投入使用、营业前的消防安全检查；</w:t>
      </w:r>
    </w:p>
    <w:p w14:paraId="586AD7CE">
      <w:r>
        <w:rPr>
          <w:rFonts w:hint="eastAsia"/>
        </w:rPr>
        <w:t>（三）制定灭火预案并进行实地演练，实施火灾扑救和相关应急救援，依法调查火灾事故；</w:t>
      </w:r>
    </w:p>
    <w:p w14:paraId="1A8D42F2">
      <w:r>
        <w:rPr>
          <w:rFonts w:hint="eastAsia"/>
        </w:rPr>
        <w:t>（四）实施消防监督检查，依法处理消防安全违法行为，督促火灾隐患整改，及时报告、通报重大火灾隐患；</w:t>
      </w:r>
    </w:p>
    <w:p w14:paraId="7E857050">
      <w:r>
        <w:rPr>
          <w:rFonts w:hint="eastAsia"/>
        </w:rPr>
        <w:t>（五）对公安派出所开展日常消防监督检查工作进行指导，定期对公安派出所民警进行消防监督业务培训；</w:t>
      </w:r>
    </w:p>
    <w:p w14:paraId="4990DCE9">
      <w:bookmarkStart w:id="1775" w:name="_Toc428780279"/>
      <w:r>
        <w:rPr>
          <w:rFonts w:hint="eastAsia"/>
        </w:rPr>
        <w:t>（六）对专职消防队、志愿消防队等消防组织进行业务指导；</w:t>
      </w:r>
      <w:bookmarkEnd w:id="1775"/>
    </w:p>
    <w:p w14:paraId="5F9EE803">
      <w:r>
        <w:rPr>
          <w:rFonts w:hint="eastAsia"/>
        </w:rPr>
        <w:t>（七）其他依法应当履行的消防安全职责。</w:t>
      </w:r>
    </w:p>
    <w:p w14:paraId="19F58AFA">
      <w:pPr>
        <w:ind w:firstLine="422"/>
      </w:pPr>
      <w:r>
        <w:rPr>
          <w:rFonts w:hint="eastAsia"/>
          <w:b/>
        </w:rPr>
        <w:t>第十一条</w:t>
      </w:r>
      <w:r>
        <w:rPr>
          <w:rFonts w:hint="eastAsia"/>
        </w:rPr>
        <w:t xml:space="preserve">  居民委员会、村民委员会应当确定消防安全管理人，组织居民、村民制定防火安全公约，开展消防宣传教育，根据需要建立志愿消防队，建立消防安全联防制度。</w:t>
      </w:r>
    </w:p>
    <w:p w14:paraId="6AEA93E8">
      <w:pPr>
        <w:ind w:firstLine="422"/>
      </w:pPr>
      <w:r>
        <w:rPr>
          <w:rFonts w:hint="eastAsia"/>
          <w:b/>
        </w:rPr>
        <w:t>第十二条</w:t>
      </w:r>
      <w:r>
        <w:rPr>
          <w:rFonts w:hint="eastAsia"/>
        </w:rPr>
        <w:t xml:space="preserve">  单位应当履行下列消防安全职责：</w:t>
      </w:r>
    </w:p>
    <w:p w14:paraId="2E7A107D">
      <w:r>
        <w:rPr>
          <w:rFonts w:hint="eastAsia"/>
        </w:rPr>
        <w:t>（一）落实消防安全责任制，制定本单位的消防安全制度、消防安全操作规程，制定灭火和应急疏散预案并组织演练；</w:t>
      </w:r>
    </w:p>
    <w:p w14:paraId="09E08668">
      <w:r>
        <w:rPr>
          <w:rFonts w:hint="eastAsia"/>
        </w:rPr>
        <w:t>（二）按照国家标准、行业标准配置消防设施、器材，设置消防安全标志，并定期组织检验、维修，确保完好有效；</w:t>
      </w:r>
    </w:p>
    <w:p w14:paraId="4B2AC7F7">
      <w:r>
        <w:rPr>
          <w:rFonts w:hint="eastAsia"/>
        </w:rPr>
        <w:t>（三）按照检测规范对建筑消防设施每年至少进行一次全面检测，确保完好有效，不具备检测条件的应当委托具备相应资质的检测机构进行检测，检测记录应当完整准确，存档备查；</w:t>
      </w:r>
    </w:p>
    <w:p w14:paraId="10D9BAFF">
      <w:r>
        <w:rPr>
          <w:rFonts w:hint="eastAsia"/>
        </w:rPr>
        <w:t>（四）保障疏散通道、安全出口、消防车通道畅通，保证防火防烟分区、防火间距符合消防技术标准；</w:t>
      </w:r>
    </w:p>
    <w:p w14:paraId="66D308F0">
      <w:r>
        <w:rPr>
          <w:rFonts w:hint="eastAsia"/>
        </w:rPr>
        <w:t>（五）组织防火检查，对发现的火灾隐患采取消防安全防范措施，及时消除火灾隐患；</w:t>
      </w:r>
    </w:p>
    <w:p w14:paraId="6F2E2064">
      <w:r>
        <w:rPr>
          <w:rFonts w:hint="eastAsia"/>
        </w:rPr>
        <w:t>（六）组织进行有针对性的消防演练，对消防设备操作控制人员、专职和兼职防火人员等重点岗位的人员进行专项培训；</w:t>
      </w:r>
    </w:p>
    <w:p w14:paraId="4D15CD60">
      <w:r>
        <w:rPr>
          <w:rFonts w:hint="eastAsia"/>
        </w:rPr>
        <w:t>（七）按照消防技术标准和管理规定，对电器设备、燃气用具及其线路、管路进行检测、维护和管理；</w:t>
      </w:r>
    </w:p>
    <w:p w14:paraId="5B9ACC93">
      <w:r>
        <w:rPr>
          <w:rFonts w:hint="eastAsia"/>
        </w:rPr>
        <w:t>（八）按照国家标准设置消防控制室，消防控制室的值班人员应当遵守国家和本市消防控制室操作规程，不得擅离职守；</w:t>
      </w:r>
    </w:p>
    <w:p w14:paraId="723A5EA8">
      <w:r>
        <w:rPr>
          <w:rFonts w:hint="eastAsia"/>
        </w:rPr>
        <w:t>（九）法律、法规规定的其他消防安全职责。</w:t>
      </w:r>
    </w:p>
    <w:p w14:paraId="707E7647">
      <w:r>
        <w:rPr>
          <w:rFonts w:hint="eastAsia"/>
        </w:rPr>
        <w:t>单位的主要负责人是本单位的消防安全责任人，对本单位的消防安全工作全面负责。</w:t>
      </w:r>
    </w:p>
    <w:p w14:paraId="3578E98B">
      <w:pPr>
        <w:ind w:firstLine="422"/>
      </w:pPr>
      <w:r>
        <w:rPr>
          <w:rFonts w:hint="eastAsia"/>
          <w:b/>
        </w:rPr>
        <w:t>第十三条</w:t>
      </w:r>
      <w:r>
        <w:rPr>
          <w:rFonts w:hint="eastAsia"/>
        </w:rPr>
        <w:t xml:space="preserve">  消防安全重点单位除应当遵守本条例第十二条规定外，还应当履行下列消防安全职责：</w:t>
      </w:r>
    </w:p>
    <w:p w14:paraId="77039D68">
      <w:bookmarkStart w:id="1776" w:name="_Toc428780280"/>
      <w:r>
        <w:rPr>
          <w:rFonts w:hint="eastAsia"/>
        </w:rPr>
        <w:t>（一）确定消防安全管理人，组织实施本单位的消防安全管理工作；</w:t>
      </w:r>
      <w:bookmarkEnd w:id="1776"/>
    </w:p>
    <w:p w14:paraId="18A09EC1">
      <w:r>
        <w:rPr>
          <w:rFonts w:hint="eastAsia"/>
        </w:rPr>
        <w:t>（二）建立消防档案，确定消防安全重点部位，设置防火标志，实行严格管理；</w:t>
      </w:r>
    </w:p>
    <w:p w14:paraId="41906045">
      <w:bookmarkStart w:id="1777" w:name="_Toc428780281"/>
      <w:r>
        <w:rPr>
          <w:rFonts w:hint="eastAsia"/>
        </w:rPr>
        <w:t>（三）实行每日防火巡查，并建立巡查记录；</w:t>
      </w:r>
      <w:bookmarkEnd w:id="1777"/>
    </w:p>
    <w:p w14:paraId="1C6A04CE">
      <w:r>
        <w:rPr>
          <w:rFonts w:hint="eastAsia"/>
        </w:rPr>
        <w:t>（四）对职工进行岗前消防安全培训，每年至少组织一次消防安全培训，每半年至少组织一次有针对性的消防演练；</w:t>
      </w:r>
    </w:p>
    <w:p w14:paraId="73AC98C1">
      <w:r>
        <w:rPr>
          <w:rFonts w:hint="eastAsia"/>
        </w:rPr>
        <w:t>（五）按照电气防火技术标准和管理规定定期对电气防火安全进行检测，检测记录应当完整准确，存档备查。</w:t>
      </w:r>
    </w:p>
    <w:p w14:paraId="4FCE6B55">
      <w:pPr>
        <w:ind w:firstLine="422"/>
      </w:pPr>
      <w:r>
        <w:rPr>
          <w:rFonts w:hint="eastAsia"/>
          <w:b/>
        </w:rPr>
        <w:t>第十四条</w:t>
      </w:r>
      <w:r>
        <w:rPr>
          <w:rFonts w:hint="eastAsia"/>
        </w:rPr>
        <w:t>　个人应当履行下列消防安全义务：</w:t>
      </w:r>
    </w:p>
    <w:p w14:paraId="6EB282CF">
      <w:bookmarkStart w:id="1778" w:name="_Toc428780282"/>
      <w:r>
        <w:rPr>
          <w:rFonts w:hint="eastAsia"/>
        </w:rPr>
        <w:t>（一）遵守消防法律、法规和消防安全规定；</w:t>
      </w:r>
      <w:bookmarkEnd w:id="1778"/>
    </w:p>
    <w:p w14:paraId="5702D62C">
      <w:r>
        <w:rPr>
          <w:rFonts w:hint="eastAsia"/>
        </w:rPr>
        <w:t>（二）遵守单位制定的防火安全责任制度和安全操作规程；</w:t>
      </w:r>
    </w:p>
    <w:p w14:paraId="7B242155">
      <w:bookmarkStart w:id="1779" w:name="_Toc428780283"/>
      <w:r>
        <w:rPr>
          <w:rFonts w:hint="eastAsia"/>
        </w:rPr>
        <w:t>（三）维护消防安全、保护消防设施、报告火警；</w:t>
      </w:r>
      <w:bookmarkEnd w:id="1779"/>
    </w:p>
    <w:p w14:paraId="566AF662">
      <w:r>
        <w:rPr>
          <w:rFonts w:hint="eastAsia"/>
        </w:rPr>
        <w:t>（四）按规定接受消防安全教育培训，参加消防演练；</w:t>
      </w:r>
    </w:p>
    <w:p w14:paraId="7A35CC11">
      <w:r>
        <w:rPr>
          <w:rFonts w:hint="eastAsia"/>
        </w:rPr>
        <w:t>（五）安全用火、用电、用油、用气；</w:t>
      </w:r>
    </w:p>
    <w:p w14:paraId="4996B66C">
      <w:r>
        <w:rPr>
          <w:rFonts w:hint="eastAsia"/>
        </w:rPr>
        <w:t>（六）对被监护人进行消防安全教育。</w:t>
      </w:r>
    </w:p>
    <w:p w14:paraId="50A03DE6"/>
    <w:p w14:paraId="6FAA9434">
      <w:pPr>
        <w:ind w:firstLine="0" w:firstLineChars="0"/>
        <w:jc w:val="center"/>
        <w:rPr>
          <w:b/>
          <w:sz w:val="28"/>
        </w:rPr>
      </w:pPr>
      <w:r>
        <w:rPr>
          <w:rFonts w:hint="eastAsia"/>
          <w:b/>
          <w:sz w:val="28"/>
        </w:rPr>
        <w:t>第三章　火灾预防</w:t>
      </w:r>
    </w:p>
    <w:p w14:paraId="06CFFA9E"/>
    <w:p w14:paraId="048216E8">
      <w:pPr>
        <w:ind w:firstLine="422"/>
      </w:pPr>
      <w:r>
        <w:rPr>
          <w:rFonts w:hint="eastAsia"/>
          <w:b/>
        </w:rPr>
        <w:t>第十五条</w:t>
      </w:r>
      <w:r>
        <w:rPr>
          <w:rFonts w:hint="eastAsia"/>
        </w:rPr>
        <w:t>　市公安机关消防机构、市规划行政部门应当会同市发展改革、市住房和城乡建设等行政部门组织编制消防专项规划。消防专项规划应当包括消防安全布局、消防站、消防供水、消防通信、消防车通道、消防装备、消防安全监控系统等内容。消防专项规划经市人民政府批准后由有关行政部门按照各自职责实施，不得擅自变更。</w:t>
      </w:r>
    </w:p>
    <w:p w14:paraId="3E8D6BED">
      <w:r>
        <w:rPr>
          <w:rFonts w:hint="eastAsia"/>
        </w:rPr>
        <w:t>城乡消防安全布局不适应消防安全要求的，应当及时调整、完善；公共消防设施、消防装备不足或者不适应实际需要的，应当增建、改建、配置或者进行技术改造。</w:t>
      </w:r>
    </w:p>
    <w:p w14:paraId="5E693EEF">
      <w:r>
        <w:rPr>
          <w:rFonts w:hint="eastAsia"/>
        </w:rPr>
        <w:t>城市建设、旧城改造应当同步规划、设计、建设公共消防设施。</w:t>
      </w:r>
    </w:p>
    <w:p w14:paraId="4F85694E">
      <w:pPr>
        <w:ind w:firstLine="422"/>
      </w:pPr>
      <w:r>
        <w:rPr>
          <w:rFonts w:hint="eastAsia"/>
          <w:b/>
        </w:rPr>
        <w:t>第十六条</w:t>
      </w:r>
      <w:r>
        <w:rPr>
          <w:rFonts w:hint="eastAsia"/>
        </w:rPr>
        <w:t>　新建、改建公共供水设施的，建设单位应当按照国家和本市标准同步建设消火栓等消防供水设施。公共供水设施尚未覆盖的区域，区、县人民政府应当组织建设消防取水码头、消防水池等消防储水取水设施。</w:t>
      </w:r>
    </w:p>
    <w:p w14:paraId="7E0CD61C">
      <w:r>
        <w:rPr>
          <w:rFonts w:hint="eastAsia"/>
        </w:rPr>
        <w:t>公共供水设施的维护管理单位应当保障消防供水设施的正常使用，因检修、施工等原因不能保证消防供水的，应当提前告知所在区、县公安机关消防机构。公安机关消防机构发现消防供水设施不能正常使用的，应当通知维护管理单位及时维护、保养。</w:t>
      </w:r>
    </w:p>
    <w:p w14:paraId="5E6DD195">
      <w:pPr>
        <w:ind w:firstLine="422"/>
      </w:pPr>
      <w:r>
        <w:rPr>
          <w:rFonts w:hint="eastAsia"/>
          <w:b/>
        </w:rPr>
        <w:t>第十七条</w:t>
      </w:r>
      <w:r>
        <w:rPr>
          <w:rFonts w:hint="eastAsia"/>
        </w:rPr>
        <w:t>　在城市地区新建建筑，应当建设一级、二级耐火等级建筑，控制建设三级耐火等级建筑，严格限制建设四级耐火等级建筑。在农村地区新建、改建、扩建公共建筑，应当使用符合耐火等级标准的建筑材料。</w:t>
      </w:r>
    </w:p>
    <w:p w14:paraId="121DA27F">
      <w:r>
        <w:rPr>
          <w:rFonts w:hint="eastAsia"/>
        </w:rPr>
        <w:t>农村居民自建房屋应当符合农村消防规划，建筑物的耐火等级、防火间距、防火分隔和安全疏散应当符合有关消防技术标准。乡镇人民政府及有关政府部门、村民委员会应当对农村居民自建房屋的消防安全进行指导和监督。</w:t>
      </w:r>
    </w:p>
    <w:p w14:paraId="3BC956A3">
      <w:r>
        <w:rPr>
          <w:rFonts w:hint="eastAsia"/>
        </w:rPr>
        <w:t>建设、设计、施工、监理单位进行建设、设计、施工、监理应当遵守前两款和建筑耐火等级标准的规定。</w:t>
      </w:r>
    </w:p>
    <w:p w14:paraId="791C3E49">
      <w:r>
        <w:rPr>
          <w:rFonts w:hint="eastAsia"/>
        </w:rPr>
        <w:t>建设工程的消防设计审核、消防验收和备案按照国家有关规定执行。</w:t>
      </w:r>
    </w:p>
    <w:p w14:paraId="2A9E1B5D">
      <w:pPr>
        <w:ind w:firstLine="422"/>
      </w:pPr>
      <w:r>
        <w:rPr>
          <w:rFonts w:hint="eastAsia"/>
          <w:b/>
        </w:rPr>
        <w:t>第十八条</w:t>
      </w:r>
      <w:r>
        <w:rPr>
          <w:rFonts w:hint="eastAsia"/>
        </w:rPr>
        <w:t>　农村消防基础设施建设应当与村容村貌改造、乡村道路、人畜饮水工程等农村公共基础设施统一规划、建设和管理。</w:t>
      </w:r>
    </w:p>
    <w:p w14:paraId="484276A2">
      <w:r>
        <w:rPr>
          <w:rFonts w:hint="eastAsia"/>
        </w:rPr>
        <w:t>新建、改建农村道路时，村内主干道的路面宽度及管架、栈桥等设施跨越道路的高度，应当符合消防车辆通行要求。</w:t>
      </w:r>
    </w:p>
    <w:p w14:paraId="7CBDB096">
      <w:pPr>
        <w:ind w:firstLine="422"/>
      </w:pPr>
      <w:r>
        <w:rPr>
          <w:rFonts w:hint="eastAsia"/>
          <w:b/>
        </w:rPr>
        <w:t>第十九条</w:t>
      </w:r>
      <w:r>
        <w:rPr>
          <w:rFonts w:hint="eastAsia"/>
        </w:rPr>
        <w:t>　新建、改建农村自来水管网时，应当按照规定配置消火栓。已有自来水管网但未配置消火栓的村，应当对管网进行改造，并按照规定配置消火栓。没有自来水管网的村，可以利用天然水源设置取水设施；缺乏天然水源的，可以设置消防水池等作为替代水源。</w:t>
      </w:r>
    </w:p>
    <w:p w14:paraId="6D2A6606">
      <w:pPr>
        <w:ind w:firstLine="422"/>
      </w:pPr>
      <w:r>
        <w:rPr>
          <w:rFonts w:hint="eastAsia"/>
          <w:b/>
        </w:rPr>
        <w:t>第二十条</w:t>
      </w:r>
      <w:r>
        <w:rPr>
          <w:rFonts w:hint="eastAsia"/>
        </w:rPr>
        <w:t>　消防安全重点单位应当将本单位消防安全责任人、消防安全管理人的基本情况和消防安全管理制度、应急预案向所在区、县公安机关消防机构备案。</w:t>
      </w:r>
    </w:p>
    <w:p w14:paraId="4A11163B">
      <w:r>
        <w:rPr>
          <w:rFonts w:hint="eastAsia"/>
        </w:rPr>
        <w:t>市和区、县公安机关消防机构对检查中发现或者主动申报的发生火灾可能性较大，以及发生火灾可能造成重大人身伤亡、财产损失的单位，应当进行风险评估，根据评估结果确定消防安全重点单位，并由公安机关报本级人民政府备案。</w:t>
      </w:r>
    </w:p>
    <w:p w14:paraId="29C14F87">
      <w:pPr>
        <w:ind w:firstLine="422"/>
      </w:pPr>
      <w:r>
        <w:rPr>
          <w:rFonts w:hint="eastAsia"/>
          <w:b/>
        </w:rPr>
        <w:t>第二十一条</w:t>
      </w:r>
      <w:r>
        <w:rPr>
          <w:rFonts w:hint="eastAsia"/>
        </w:rPr>
        <w:t>　建筑物由所有权人直接管理使用的，所有权人应当履行消防安全职责。</w:t>
      </w:r>
    </w:p>
    <w:p w14:paraId="37D8FC46">
      <w:r>
        <w:rPr>
          <w:rFonts w:hint="eastAsia"/>
        </w:rPr>
        <w:t>建筑物由所有权人以出租、委托等方式交由他人管理使用的，管理使用人应当履行消防安全职责。所有权人应当与管理使用人签订消防安全协议，监督管理使用人落实消防安全职责和措施，不得向管理使用人提出危及消防安全的要求。</w:t>
      </w:r>
    </w:p>
    <w:p w14:paraId="50621F52">
      <w:pPr>
        <w:ind w:firstLine="422"/>
      </w:pPr>
      <w:r>
        <w:rPr>
          <w:rFonts w:hint="eastAsia"/>
          <w:b/>
        </w:rPr>
        <w:t>第二十二条</w:t>
      </w:r>
      <w:r>
        <w:rPr>
          <w:rFonts w:hint="eastAsia"/>
        </w:rPr>
        <w:t>　同一建筑物有两个以上所有权人的，所有权人对各自专有部分履行消防安全职责。对专有部分以外的共有部分，所有权人共同履行消防安全职责。</w:t>
      </w:r>
    </w:p>
    <w:p w14:paraId="48ADC3E5">
      <w:pPr>
        <w:ind w:firstLine="422"/>
      </w:pPr>
      <w:r>
        <w:rPr>
          <w:rFonts w:hint="eastAsia"/>
          <w:b/>
        </w:rPr>
        <w:t>第二十三条</w:t>
      </w:r>
      <w:r>
        <w:rPr>
          <w:rFonts w:hint="eastAsia"/>
        </w:rPr>
        <w:t>　对建筑物内共用消防设施和器材进行检测、维修、更新、改造所需的经费，保修期内由建设单位承担；保修期满的，按照物业专项维修资金的管理规定列支；未建立物业专项维修资金的，由业主约定承担；没有约定或者约定不明确的，按照业主专有部分占建筑物总面积的比例确定。</w:t>
      </w:r>
    </w:p>
    <w:p w14:paraId="1419129A">
      <w:r>
        <w:rPr>
          <w:rFonts w:hint="eastAsia"/>
        </w:rPr>
        <w:t>乡镇人民政府和街道办事处应当对业主约定或者确定共用消防设施和器材维护费用的有关事项给予协调和指导。</w:t>
      </w:r>
    </w:p>
    <w:p w14:paraId="6AB1DBA4">
      <w:pPr>
        <w:ind w:firstLine="422"/>
      </w:pPr>
      <w:r>
        <w:rPr>
          <w:rFonts w:hint="eastAsia"/>
          <w:b/>
        </w:rPr>
        <w:t>第二十四条</w:t>
      </w:r>
      <w:r>
        <w:rPr>
          <w:rFonts w:hint="eastAsia"/>
        </w:rPr>
        <w:t>　住宅区的物业服务企业或者其他管理人应当做好下列消防安全工作：</w:t>
      </w:r>
    </w:p>
    <w:p w14:paraId="4B5DA826">
      <w:r>
        <w:rPr>
          <w:rFonts w:hint="eastAsia"/>
        </w:rPr>
        <w:t>（一）开展日常消防安全宣传教育，提示火灾隐患，组织居民进行灭火和应急疏散演练。</w:t>
      </w:r>
    </w:p>
    <w:p w14:paraId="4364372D">
      <w:r>
        <w:rPr>
          <w:rFonts w:hint="eastAsia"/>
        </w:rPr>
        <w:t>（二）组织安全巡查，发现火灾隐患及时采取措施。</w:t>
      </w:r>
    </w:p>
    <w:p w14:paraId="3FDFA97B">
      <w:r>
        <w:rPr>
          <w:rFonts w:hint="eastAsia"/>
        </w:rPr>
        <w:t>（三）对管理区域内的共用消防设施、器材进行维护管理，确保完好有效。</w:t>
      </w:r>
    </w:p>
    <w:p w14:paraId="791D4196">
      <w:r>
        <w:rPr>
          <w:rFonts w:hint="eastAsia"/>
        </w:rPr>
        <w:t>（四）保障疏散通道、安全出口、消防车通道畅通，划定和设置停车泊位及设施时不得占用、堵塞消防车通道。</w:t>
      </w:r>
    </w:p>
    <w:p w14:paraId="68E18E37">
      <w:r>
        <w:rPr>
          <w:rFonts w:hint="eastAsia"/>
        </w:rPr>
        <w:t>（五）对占用、堵塞、封闭疏散通道、安全出口、消防车通道的行为予以劝阻并督促改正；对拒不改正的，及时向公安机关消防机构或者公安派出所报告。</w:t>
      </w:r>
    </w:p>
    <w:p w14:paraId="783F2E20">
      <w:r>
        <w:rPr>
          <w:rFonts w:hint="eastAsia"/>
        </w:rPr>
        <w:t>（六）对初起火灾采取必要的处置措施。</w:t>
      </w:r>
    </w:p>
    <w:p w14:paraId="055537EE">
      <w:pPr>
        <w:ind w:firstLine="422"/>
      </w:pPr>
      <w:r>
        <w:rPr>
          <w:rFonts w:hint="eastAsia"/>
          <w:b/>
        </w:rPr>
        <w:t>第二十五条</w:t>
      </w:r>
      <w:r>
        <w:rPr>
          <w:rFonts w:hint="eastAsia"/>
        </w:rPr>
        <w:t>　高层建筑的管理使用人应当遵守下列消防安全规定：</w:t>
      </w:r>
    </w:p>
    <w:p w14:paraId="7E5436EC">
      <w:r>
        <w:rPr>
          <w:rFonts w:hint="eastAsia"/>
        </w:rPr>
        <w:t>（一）成立消防安全组织统一管理消防工作，或者配备防火负责人和从事消防设施管理、维护的专职技术人员；</w:t>
      </w:r>
    </w:p>
    <w:p w14:paraId="43BF0D19">
      <w:r>
        <w:rPr>
          <w:rFonts w:hint="eastAsia"/>
        </w:rPr>
        <w:t>（二）按照国家和本市的消防技术标准和管理规定，整改、消除火灾隐患；</w:t>
      </w:r>
    </w:p>
    <w:p w14:paraId="7697C600">
      <w:r>
        <w:rPr>
          <w:rFonts w:hint="eastAsia"/>
        </w:rPr>
        <w:t>（三）清除高层建筑周边、消防扑救场地上空妨碍登高消防车作业的建筑、设施、设备；</w:t>
      </w:r>
    </w:p>
    <w:p w14:paraId="3F8953FA">
      <w:r>
        <w:rPr>
          <w:rFonts w:hint="eastAsia"/>
        </w:rPr>
        <w:t>（四）在出入口、电梯口、防火门等醒目位置设置提示火灾危险性、安全逃生路线、安全出口、消防设施器材使用方法的明显标志和警示标语；</w:t>
      </w:r>
    </w:p>
    <w:p w14:paraId="52F63BDA">
      <w:r>
        <w:rPr>
          <w:rFonts w:hint="eastAsia"/>
        </w:rPr>
        <w:t>（五）设置安全疏散路线指导图；</w:t>
      </w:r>
    </w:p>
    <w:p w14:paraId="3E8269CC">
      <w:r>
        <w:rPr>
          <w:rFonts w:hint="eastAsia"/>
        </w:rPr>
        <w:t>（六）不得生产、经营、储存易燃易爆危险品；</w:t>
      </w:r>
    </w:p>
    <w:p w14:paraId="68CA8CAC">
      <w:r>
        <w:rPr>
          <w:rFonts w:hint="eastAsia"/>
        </w:rPr>
        <w:t>（七）需要暂时停用消防设施、器材的，采取有效替代措施；</w:t>
      </w:r>
    </w:p>
    <w:p w14:paraId="50067025">
      <w:r>
        <w:rPr>
          <w:rFonts w:hint="eastAsia"/>
        </w:rPr>
        <w:t>停用消防设施、器材超过</w:t>
      </w:r>
      <w:r>
        <w:rPr>
          <w:rFonts w:hint="eastAsia" w:ascii="宋体" w:hAnsi="宋体" w:eastAsia="宋体" w:cs="宋体"/>
        </w:rPr>
        <w:t>24</w:t>
      </w:r>
      <w:r>
        <w:rPr>
          <w:rFonts w:hint="eastAsia"/>
        </w:rPr>
        <w:t>小时的，报告所在地公安机关消防机构。</w:t>
      </w:r>
    </w:p>
    <w:p w14:paraId="3BA38A89">
      <w:r>
        <w:rPr>
          <w:rFonts w:hint="eastAsia"/>
        </w:rPr>
        <w:t>本市倡导高层建筑的管理使用人配备缓降器、软梯、救生袋和防毒面具等避难救生设施；倡导高层建筑的管理使用人自备救生绳、口哨、手电筒等自救工具。</w:t>
      </w:r>
    </w:p>
    <w:p w14:paraId="4EFBB3DB">
      <w:pPr>
        <w:ind w:firstLine="422"/>
      </w:pPr>
      <w:r>
        <w:rPr>
          <w:rFonts w:hint="eastAsia"/>
          <w:b/>
        </w:rPr>
        <w:t>第二十六条</w:t>
      </w:r>
      <w:r>
        <w:rPr>
          <w:rFonts w:hint="eastAsia"/>
        </w:rPr>
        <w:t>　人防工程和普通地下室的管理使用人应当遵守下列消防安全规定：</w:t>
      </w:r>
    </w:p>
    <w:p w14:paraId="1FB24A82">
      <w:r>
        <w:rPr>
          <w:rFonts w:hint="eastAsia"/>
        </w:rPr>
        <w:t>（一）维修消防设施时采取有效的替代措施；</w:t>
      </w:r>
    </w:p>
    <w:p w14:paraId="4CE36529">
      <w:r>
        <w:rPr>
          <w:rFonts w:hint="eastAsia"/>
        </w:rPr>
        <w:t>（二）不得生产、经营、储存易燃易爆危险品；</w:t>
      </w:r>
    </w:p>
    <w:p w14:paraId="2D52A5C0">
      <w:r>
        <w:rPr>
          <w:rFonts w:hint="eastAsia"/>
        </w:rPr>
        <w:t>（三）不得占用安全出口外的人员疏散场地；</w:t>
      </w:r>
    </w:p>
    <w:p w14:paraId="021B5090">
      <w:r>
        <w:rPr>
          <w:rFonts w:hint="eastAsia"/>
        </w:rPr>
        <w:t>（四）不得使用液化石油气；</w:t>
      </w:r>
    </w:p>
    <w:p w14:paraId="21871FFD">
      <w:r>
        <w:rPr>
          <w:rFonts w:hint="eastAsia"/>
        </w:rPr>
        <w:t>（五）不得变更规划使用功能。</w:t>
      </w:r>
    </w:p>
    <w:p w14:paraId="778A8679">
      <w:pPr>
        <w:ind w:firstLine="422"/>
      </w:pPr>
      <w:r>
        <w:rPr>
          <w:rFonts w:hint="eastAsia"/>
          <w:b/>
        </w:rPr>
        <w:t>第二十七条</w:t>
      </w:r>
      <w:r>
        <w:rPr>
          <w:rFonts w:hint="eastAsia"/>
        </w:rPr>
        <w:t>　建设工程的施工单位对建设工程施工现场的消防安全负责，并遵守下列规定：</w:t>
      </w:r>
    </w:p>
    <w:p w14:paraId="7272397C">
      <w:r>
        <w:rPr>
          <w:rFonts w:hint="eastAsia"/>
        </w:rPr>
        <w:t>（一）确定施工现场的主要负责人作为消防安全责任人，负责施工现场的消防安全工作，并指定专人负责日常消防安全管理工作。</w:t>
      </w:r>
    </w:p>
    <w:p w14:paraId="496A345B">
      <w:r>
        <w:rPr>
          <w:rFonts w:hint="eastAsia"/>
        </w:rPr>
        <w:t>（二）建立健全用火用电管理制度，规范用火用电管理，确保安装电气设备、进行电焊气焊等作业由培训合格并取得资格证书的人员按照标准规范操作；临时用电设备和电线符合产品质量标准。</w:t>
      </w:r>
    </w:p>
    <w:p w14:paraId="3B980E62">
      <w:r>
        <w:rPr>
          <w:rFonts w:hint="eastAsia"/>
        </w:rPr>
        <w:t>（三）设置临时消防车通道并保证临时消防车通道的畅通；不得在临时消防车通道上堆物、堆料或者挤占临时消防车通道。</w:t>
      </w:r>
    </w:p>
    <w:p w14:paraId="7712ADEC">
      <w:r>
        <w:rPr>
          <w:rFonts w:hint="eastAsia"/>
        </w:rPr>
        <w:t>（四）按照消防安全管理规定存放、保管、使用施工材料。</w:t>
      </w:r>
    </w:p>
    <w:p w14:paraId="43931357">
      <w:r>
        <w:rPr>
          <w:rFonts w:hint="eastAsia"/>
        </w:rPr>
        <w:t>（五）施工暂设和安全网、围网、施工保温材料符合消防安全规范，不得使用易燃、可燃材料，不得在建设工程内设置宿舍。</w:t>
      </w:r>
    </w:p>
    <w:p w14:paraId="41DE8B42">
      <w:r>
        <w:rPr>
          <w:rFonts w:hint="eastAsia"/>
        </w:rPr>
        <w:t>（六）配置消防器材，设置临时消防给水系统。对建筑高度超过</w:t>
      </w:r>
      <w:r>
        <w:rPr>
          <w:rFonts w:hint="eastAsia" w:ascii="宋体" w:hAnsi="宋体" w:eastAsia="宋体" w:cs="宋体"/>
        </w:rPr>
        <w:t>24</w:t>
      </w:r>
      <w:r>
        <w:rPr>
          <w:rFonts w:hint="eastAsia"/>
        </w:rPr>
        <w:t>米的建设工程，随施工进度设置消防竖管等临时消防供水设施；在正式消防给水系统投入使用前，不得拆除或者停用临时消防供水设施。</w:t>
      </w:r>
    </w:p>
    <w:p w14:paraId="37E6BE47">
      <w:r>
        <w:rPr>
          <w:rFonts w:hint="eastAsia"/>
        </w:rPr>
        <w:t>建设工程施工实行总承包和分包的，由总承包单位对施工现场的消防安全实行统一管理，分包单位负责分包范围内施工现场的消防安全，并接受总承包单位的监督管理。</w:t>
      </w:r>
    </w:p>
    <w:p w14:paraId="6506BFF8">
      <w:r>
        <w:rPr>
          <w:rFonts w:hint="eastAsia"/>
        </w:rPr>
        <w:t>建设工程的施工单位在开工前应当将施工组织设计、施工现场消防安全措施和保卫方案向公安机关消防机构备案。</w:t>
      </w:r>
    </w:p>
    <w:p w14:paraId="225E4131">
      <w:pPr>
        <w:ind w:firstLine="422"/>
      </w:pPr>
      <w:r>
        <w:rPr>
          <w:rFonts w:hint="eastAsia"/>
          <w:b/>
        </w:rPr>
        <w:t>第二十八条</w:t>
      </w:r>
      <w:r>
        <w:rPr>
          <w:rFonts w:hint="eastAsia"/>
        </w:rPr>
        <w:t>　人员密集场所的经营管理人应当做好下列消防安全工作：</w:t>
      </w:r>
    </w:p>
    <w:p w14:paraId="72C263A1">
      <w:r>
        <w:rPr>
          <w:rFonts w:hint="eastAsia"/>
        </w:rPr>
        <w:t>（一）设置符合标准且标志明显的安全出口和疏散通道，配备应急广播、应急照明等消防设施和器材；</w:t>
      </w:r>
    </w:p>
    <w:p w14:paraId="68B025F9">
      <w:r>
        <w:rPr>
          <w:rFonts w:hint="eastAsia"/>
        </w:rPr>
        <w:t>（二）有关工作人员应当掌握火灾应急预案的内容，熟练使用消防设施和器材，了解安全出口和疏散通道的位置及本岗位的应急救援职责；</w:t>
      </w:r>
    </w:p>
    <w:p w14:paraId="78D65D3A">
      <w:bookmarkStart w:id="1780" w:name="_Toc428780284"/>
      <w:r>
        <w:rPr>
          <w:rFonts w:hint="eastAsia"/>
        </w:rPr>
        <w:t>（三）向进入场所的人员开展应急疏散宣传提示；</w:t>
      </w:r>
      <w:bookmarkEnd w:id="1780"/>
    </w:p>
    <w:p w14:paraId="26040F3E">
      <w:r>
        <w:rPr>
          <w:rFonts w:hint="eastAsia"/>
        </w:rPr>
        <w:t>（四）使用天然气、液化石油气的场所，应当安装浓度检测报警装置；</w:t>
      </w:r>
    </w:p>
    <w:p w14:paraId="13A8EA4E">
      <w:r>
        <w:rPr>
          <w:rFonts w:hint="eastAsia"/>
        </w:rPr>
        <w:t>（五）发生火灾时，立即组织、引导在场人员疏散。</w:t>
      </w:r>
    </w:p>
    <w:p w14:paraId="30C42C04">
      <w:pPr>
        <w:ind w:firstLine="422"/>
      </w:pPr>
      <w:r>
        <w:rPr>
          <w:rFonts w:hint="eastAsia"/>
          <w:b/>
        </w:rPr>
        <w:t>第二十九条</w:t>
      </w:r>
      <w:r>
        <w:rPr>
          <w:rFonts w:hint="eastAsia"/>
        </w:rPr>
        <w:t>　生产、储存、经营易燃易爆危险品的场所不得与居住场所设置在同一建筑物内，并应当与居住场所保持安全距离。</w:t>
      </w:r>
    </w:p>
    <w:p w14:paraId="68A3DB82">
      <w:r>
        <w:rPr>
          <w:rFonts w:hint="eastAsia"/>
        </w:rPr>
        <w:t>生产、储存、经营其他物品的场所一般不得与居住场所设置在同一建筑物内；确需设置在同一建筑物内的，应当符合国家和本市工程建设消防技术标准，生产经营区域与生活区域应当采取防火分隔措施，分别设置安全出口和疏散通道。</w:t>
      </w:r>
    </w:p>
    <w:p w14:paraId="6FA78625">
      <w:pPr>
        <w:ind w:firstLine="422"/>
      </w:pPr>
      <w:r>
        <w:rPr>
          <w:rFonts w:hint="eastAsia"/>
          <w:b/>
        </w:rPr>
        <w:t>第三十条</w:t>
      </w:r>
      <w:r>
        <w:rPr>
          <w:rFonts w:hint="eastAsia"/>
        </w:rPr>
        <w:t>　不可移动文物、历史建筑的管理使用人应当建立健全火源、电源和易燃易爆危险品管理制度，并遵守下列消防安全规定：</w:t>
      </w:r>
    </w:p>
    <w:p w14:paraId="5EFCC130">
      <w:bookmarkStart w:id="1781" w:name="_Toc428780285"/>
      <w:r>
        <w:rPr>
          <w:rFonts w:hint="eastAsia"/>
        </w:rPr>
        <w:t>（一）按照消防安全规定设置禁止烟火的标志；</w:t>
      </w:r>
      <w:bookmarkEnd w:id="1781"/>
    </w:p>
    <w:p w14:paraId="46407326">
      <w:r>
        <w:rPr>
          <w:rFonts w:hint="eastAsia"/>
        </w:rPr>
        <w:t>（二）在宗教场所确需进行点灯、烧纸、焚香等宗教活动的，应当采取有效防火措施；</w:t>
      </w:r>
    </w:p>
    <w:p w14:paraId="3AACB5ED">
      <w:bookmarkStart w:id="1782" w:name="_Toc428780286"/>
      <w:r>
        <w:rPr>
          <w:rFonts w:hint="eastAsia"/>
        </w:rPr>
        <w:t>（三）按照电气安全技术规程安装、使用电器设备，保证用电安全；</w:t>
      </w:r>
      <w:bookmarkEnd w:id="1782"/>
    </w:p>
    <w:p w14:paraId="3A98153B">
      <w:r>
        <w:rPr>
          <w:rFonts w:hint="eastAsia"/>
        </w:rPr>
        <w:t>（四）在保护范围内禁止存放易燃可燃物品；</w:t>
      </w:r>
    </w:p>
    <w:p w14:paraId="0AA643C4">
      <w:r>
        <w:rPr>
          <w:rFonts w:hint="eastAsia"/>
        </w:rPr>
        <w:t>（五）按照消防安全规定安装避雷设施、设置消防车通道和消防供水设施，在收藏、陈列珍贵文物的重点要害部位安装自动报警与灭火设施；</w:t>
      </w:r>
    </w:p>
    <w:p w14:paraId="2B1662A8">
      <w:r>
        <w:rPr>
          <w:rFonts w:hint="eastAsia"/>
        </w:rPr>
        <w:t>（六）保持保护区通道、出入口畅通，不得堵塞和占用。</w:t>
      </w:r>
    </w:p>
    <w:p w14:paraId="45A20BA7">
      <w:pPr>
        <w:ind w:firstLine="422"/>
      </w:pPr>
      <w:r>
        <w:rPr>
          <w:rFonts w:hint="eastAsia"/>
          <w:b/>
        </w:rPr>
        <w:t>第三十一条</w:t>
      </w:r>
      <w:r>
        <w:rPr>
          <w:rFonts w:hint="eastAsia"/>
        </w:rPr>
        <w:t>　进行城市轨道交通工程建设应当同步设计、建设公安消防站。城市轨道交通工程建设、装饰装修应当使用符合耐火等级规定的建筑材料。</w:t>
      </w:r>
    </w:p>
    <w:p w14:paraId="43ADA77B">
      <w:r>
        <w:rPr>
          <w:rFonts w:hint="eastAsia"/>
        </w:rPr>
        <w:t>城市轨道交通运营单位应当建立重点部位的消防安全管理制度，配备与城市轨道交通消防安全相适应的专业灭火、救援设备，对工作人员开展消防应急救援和人员疏散知识技能的培训；不得在车站内存放易燃易爆危险品。</w:t>
      </w:r>
    </w:p>
    <w:p w14:paraId="626A549F">
      <w:pPr>
        <w:ind w:firstLine="422"/>
      </w:pPr>
      <w:r>
        <w:rPr>
          <w:rFonts w:hint="eastAsia"/>
          <w:b/>
        </w:rPr>
        <w:t>第三十二条</w:t>
      </w:r>
      <w:r>
        <w:rPr>
          <w:rFonts w:hint="eastAsia"/>
        </w:rPr>
        <w:t>　食品生产加工、餐饮服务企业和单位食堂，应当按照本市有关规范对集烟罩、排油烟管道等集排油烟设施进行清洗。</w:t>
      </w:r>
    </w:p>
    <w:p w14:paraId="6CADEA61">
      <w:pPr>
        <w:ind w:firstLine="422"/>
      </w:pPr>
      <w:r>
        <w:rPr>
          <w:rFonts w:hint="eastAsia"/>
          <w:b/>
        </w:rPr>
        <w:t>第三十三条</w:t>
      </w:r>
      <w:r>
        <w:rPr>
          <w:rFonts w:hint="eastAsia"/>
        </w:rPr>
        <w:t>　农村集市的主办者应当制定消防安全管理制度，确定消防管理人员，配备消防器材，保证疏散通道和消防车通道畅通；没有主办者的，集市的消防安全工作由所在地村民委员会负责。</w:t>
      </w:r>
    </w:p>
    <w:p w14:paraId="7213285E">
      <w:pPr>
        <w:ind w:firstLine="422"/>
      </w:pPr>
      <w:r>
        <w:rPr>
          <w:rFonts w:hint="eastAsia"/>
          <w:b/>
        </w:rPr>
        <w:t>第三十四条</w:t>
      </w:r>
      <w:r>
        <w:rPr>
          <w:rFonts w:hint="eastAsia"/>
        </w:rPr>
        <w:t>　村民委员会应当成立防火安全小组，确定消防安全员，健全消防工作制度，建立消防工作档案，开展消防安全检查、巡查，及时消除火灾隐患，发生火灾时及时组织扑救。</w:t>
      </w:r>
    </w:p>
    <w:p w14:paraId="29B270F2">
      <w:r>
        <w:rPr>
          <w:rFonts w:hint="eastAsia"/>
        </w:rPr>
        <w:t>村民委员会应当制定消防宣传教育计划，指导在农村地区居住的人员做好下列防火工作：</w:t>
      </w:r>
    </w:p>
    <w:p w14:paraId="002FD85C">
      <w:bookmarkStart w:id="1783" w:name="_Toc428780287"/>
      <w:r>
        <w:rPr>
          <w:rFonts w:hint="eastAsia"/>
        </w:rPr>
        <w:t>（一）不在村内道路上堆物、堆料或者搭设棚屋；</w:t>
      </w:r>
      <w:bookmarkEnd w:id="1783"/>
    </w:p>
    <w:p w14:paraId="3E7C69B2">
      <w:r>
        <w:rPr>
          <w:rFonts w:hint="eastAsia"/>
        </w:rPr>
        <w:t>（二）不在林地附近、架空高压输电线路和通讯线路下方堆放可燃物或者燎荒；</w:t>
      </w:r>
    </w:p>
    <w:p w14:paraId="190A8965">
      <w:r>
        <w:rPr>
          <w:rFonts w:hint="eastAsia"/>
        </w:rPr>
        <w:t>（三）毗邻林地居住的人员使用明火时采取必要的防火措施。</w:t>
      </w:r>
    </w:p>
    <w:p w14:paraId="20F6A5CC">
      <w:pPr>
        <w:ind w:firstLine="422"/>
      </w:pPr>
      <w:r>
        <w:rPr>
          <w:rFonts w:hint="eastAsia"/>
          <w:b/>
        </w:rPr>
        <w:t>第三十五条</w:t>
      </w:r>
      <w:r>
        <w:rPr>
          <w:rFonts w:hint="eastAsia"/>
        </w:rPr>
        <w:t>　任何单位和个人不得实施下列行为：</w:t>
      </w:r>
    </w:p>
    <w:p w14:paraId="0A314CAD">
      <w:bookmarkStart w:id="1784" w:name="_Toc428780288"/>
      <w:r>
        <w:rPr>
          <w:rFonts w:hint="eastAsia"/>
        </w:rPr>
        <w:t>（一）埋压、圈占、损毁、挪用消防设施和器材；</w:t>
      </w:r>
      <w:bookmarkEnd w:id="1784"/>
    </w:p>
    <w:p w14:paraId="34AC4D46">
      <w:r>
        <w:rPr>
          <w:rFonts w:hint="eastAsia"/>
        </w:rPr>
        <w:t>（二）超负荷用电，安装不合规格的保险丝、保险片；</w:t>
      </w:r>
    </w:p>
    <w:p w14:paraId="2BC81BCB">
      <w:bookmarkStart w:id="1785" w:name="_Toc428780289"/>
      <w:r>
        <w:rPr>
          <w:rFonts w:hint="eastAsia"/>
        </w:rPr>
        <w:t>（三）擅自拆改、安装燃气设施和用具；</w:t>
      </w:r>
      <w:bookmarkEnd w:id="1785"/>
    </w:p>
    <w:p w14:paraId="6246C5F8">
      <w:r>
        <w:rPr>
          <w:rFonts w:hint="eastAsia"/>
        </w:rPr>
        <w:t>（四）利用住宅生产、经营、储存易燃易爆危险品，在阳台堆放易燃易爆危险品；</w:t>
      </w:r>
    </w:p>
    <w:p w14:paraId="79358501">
      <w:bookmarkStart w:id="1786" w:name="_Toc428780290"/>
      <w:r>
        <w:rPr>
          <w:rFonts w:hint="eastAsia"/>
        </w:rPr>
        <w:t>（五）在公共通道、楼梯、安全出口等部位堆物、堆料或者搭设棚屋；</w:t>
      </w:r>
      <w:bookmarkEnd w:id="1786"/>
    </w:p>
    <w:p w14:paraId="197049F2">
      <w:r>
        <w:rPr>
          <w:rFonts w:hint="eastAsia"/>
        </w:rPr>
        <w:t>（六）占用消防车通道。</w:t>
      </w:r>
    </w:p>
    <w:p w14:paraId="788EE56D">
      <w:pPr>
        <w:ind w:firstLine="422"/>
      </w:pPr>
      <w:r>
        <w:rPr>
          <w:rFonts w:hint="eastAsia"/>
          <w:b/>
        </w:rPr>
        <w:t>第三十六条</w:t>
      </w:r>
      <w:r>
        <w:rPr>
          <w:rFonts w:hint="eastAsia"/>
        </w:rPr>
        <w:t>　消防车通道应当设置明显标志。消防车通道标志式样由市公安机关消防机构统一制定。建筑物附属的消防车通道标志由建筑物的管理使用单位设置；其他区域的消防车通道标志由区、县公安机关消防机构根据需要设置。有条件的地区应当设置消防车通道标线。</w:t>
      </w:r>
    </w:p>
    <w:p w14:paraId="2AD9B46F">
      <w:r>
        <w:rPr>
          <w:rFonts w:hint="eastAsia"/>
        </w:rPr>
        <w:t>任何单位和个人不得擅自改变消防车通道用途或者设置妨碍消防车通行和火灾扑救的障碍物。</w:t>
      </w:r>
    </w:p>
    <w:p w14:paraId="463795C5">
      <w:r>
        <w:rPr>
          <w:rFonts w:hint="eastAsia"/>
        </w:rPr>
        <w:t>公安消防队在灭火救援时，有权强制清理占用消防车通道的障碍物。</w:t>
      </w:r>
    </w:p>
    <w:p w14:paraId="520240CC">
      <w:pPr>
        <w:ind w:firstLine="422"/>
      </w:pPr>
      <w:r>
        <w:rPr>
          <w:rFonts w:hint="eastAsia"/>
          <w:b/>
        </w:rPr>
        <w:t>第三十七条</w:t>
      </w:r>
      <w:r>
        <w:rPr>
          <w:rFonts w:hint="eastAsia"/>
        </w:rPr>
        <w:t>　消防产品质量认证、消防设施检测、消防安全监测等消防技术服务机构和执业人员，应当依法获得相应的资质、资格，并自依法获得相应资质、资格之日起</w:t>
      </w:r>
      <w:r>
        <w:rPr>
          <w:rFonts w:hint="eastAsia" w:ascii="宋体" w:hAnsi="宋体" w:eastAsia="宋体" w:cs="宋体"/>
        </w:rPr>
        <w:t>30</w:t>
      </w:r>
      <w:r>
        <w:rPr>
          <w:rFonts w:hint="eastAsia"/>
        </w:rPr>
        <w:t>日内向市公安机关消防机构备案，市公安机关消防机构应当将依法备案并具备合法经营资质的消防技术服务机构名录向社会公布。</w:t>
      </w:r>
    </w:p>
    <w:p w14:paraId="32E92C6D">
      <w:r>
        <w:rPr>
          <w:rFonts w:hint="eastAsia"/>
        </w:rPr>
        <w:t>消防技术服务机构应当具备与开展业务相适应的人员、设施、设备和场地，建立健全管理制度和服务质量规范，依法出具证明文件，对服务质量负责。</w:t>
      </w:r>
    </w:p>
    <w:p w14:paraId="226EFA89">
      <w:pPr>
        <w:ind w:firstLine="422"/>
      </w:pPr>
      <w:r>
        <w:rPr>
          <w:rFonts w:hint="eastAsia"/>
          <w:b/>
        </w:rPr>
        <w:t>第三十八条</w:t>
      </w:r>
      <w:r>
        <w:rPr>
          <w:rFonts w:hint="eastAsia"/>
        </w:rPr>
        <w:t>　本市鼓励、引导公众聚集场所和生产、储存、运输、销售易燃易爆危险品的企业投保火灾公众责任保险；鼓励保险机构承保火灾公众责任保险；鼓励保险机构开展消防安全技术、产品的研发和应用。</w:t>
      </w:r>
    </w:p>
    <w:p w14:paraId="6E22F91B">
      <w:r>
        <w:rPr>
          <w:rFonts w:hint="eastAsia"/>
        </w:rPr>
        <w:t>保险机构在承保前，应当对投保单位进行火灾风险评估；承保后，应当对投保单位的消防安全状况进行检查，及时向被保险人提出消除不安全因素和隐患的书面建议，指导被保险人加强火灾预防。保险机构有权根据被保险人履行消防安全职责和火灾事故发生情况调整保险费率。</w:t>
      </w:r>
    </w:p>
    <w:p w14:paraId="605B6132">
      <w:r>
        <w:rPr>
          <w:rFonts w:hint="eastAsia"/>
        </w:rPr>
        <w:t>公安、文化、商务、财政等行政部门应当制定火灾公众责任保险投保、承保的鼓励、支持办法。</w:t>
      </w:r>
    </w:p>
    <w:p w14:paraId="48E494D0">
      <w:pPr>
        <w:ind w:firstLine="422"/>
      </w:pPr>
      <w:r>
        <w:rPr>
          <w:rFonts w:hint="eastAsia"/>
          <w:b/>
        </w:rPr>
        <w:t>第三十九条</w:t>
      </w:r>
      <w:r>
        <w:rPr>
          <w:rFonts w:hint="eastAsia"/>
        </w:rPr>
        <w:t>　禁止在设置禁火标志的场所及其他具有火灾、爆炸危险的场所吸烟、使用明火。因施工等特殊情况需要使用明火作业的，应当按照规定事先办理单位内部审批手续，采取相应的消防安全措施；作业人员应当遵守消防安全规定。</w:t>
      </w:r>
    </w:p>
    <w:p w14:paraId="6780A6F7">
      <w:pPr>
        <w:ind w:firstLine="422"/>
      </w:pPr>
      <w:r>
        <w:rPr>
          <w:rFonts w:hint="eastAsia"/>
          <w:b/>
        </w:rPr>
        <w:t>第四十条</w:t>
      </w:r>
      <w:r>
        <w:rPr>
          <w:rFonts w:hint="eastAsia"/>
        </w:rPr>
        <w:t>　市和区、县人民政府应当组织建设消防安全监控系统，完善火灾防范和预警机制。</w:t>
      </w:r>
    </w:p>
    <w:p w14:paraId="04261705">
      <w:r>
        <w:rPr>
          <w:rFonts w:hint="eastAsia"/>
        </w:rPr>
        <w:t>全国重点文物保护单位、市级文物保护单位，高层公共建筑，人防工程，轨道交通运营单位，人员密集场所，生产、储存、经营易燃易爆危险品的场所和按照建筑设计防火规范应当安装自动消防设施的其他建筑，应当按照消防安全标准建设实时监控设施，并按照规定向公安机关消防机构报送信息。</w:t>
      </w:r>
    </w:p>
    <w:p w14:paraId="23BC6264">
      <w:r>
        <w:rPr>
          <w:rFonts w:hint="eastAsia"/>
        </w:rPr>
        <w:t>市和区、县公安机关消防机构负责单位消防实时监控设施建设、使用、维护的日常监督工作，并依托消防安全监控系统做好消防安全监测和相关信息的汇集、储存、分析、传输工作。</w:t>
      </w:r>
    </w:p>
    <w:p w14:paraId="0A3FD412">
      <w:pPr>
        <w:ind w:firstLine="422"/>
      </w:pPr>
      <w:r>
        <w:rPr>
          <w:rFonts w:hint="eastAsia"/>
          <w:b/>
        </w:rPr>
        <w:t>第四十一条</w:t>
      </w:r>
      <w:r>
        <w:rPr>
          <w:rFonts w:hint="eastAsia"/>
        </w:rPr>
        <w:t>　在消防安全领域有国家标准、行业标准的，应当执行国家标准、行业标准。没有国家标准、行业标准，需要在本市范围内明确消防安全标准的，由市质量技术监督部门会同市公安机关消防机构、市住房和城乡建设等行政部门及时组织制定，并向社会公布。</w:t>
      </w:r>
    </w:p>
    <w:p w14:paraId="488B4718">
      <w:pPr>
        <w:ind w:firstLine="422"/>
      </w:pPr>
      <w:r>
        <w:rPr>
          <w:rFonts w:hint="eastAsia"/>
          <w:b/>
        </w:rPr>
        <w:t>第四十二条</w:t>
      </w:r>
      <w:r>
        <w:rPr>
          <w:rFonts w:hint="eastAsia"/>
        </w:rPr>
        <w:t>　公安机关消防机构应当制定单位消防安全管理制度、火灾应急预案、火灾应急演练示范文本，并向社会公布。</w:t>
      </w:r>
    </w:p>
    <w:p w14:paraId="64EAB7C3"/>
    <w:p w14:paraId="08D26FAF">
      <w:pPr>
        <w:ind w:firstLine="0" w:firstLineChars="0"/>
        <w:jc w:val="center"/>
        <w:rPr>
          <w:b/>
          <w:sz w:val="28"/>
        </w:rPr>
      </w:pPr>
      <w:r>
        <w:rPr>
          <w:rFonts w:hint="eastAsia"/>
          <w:b/>
          <w:sz w:val="28"/>
        </w:rPr>
        <w:t>第四章　宣传教育</w:t>
      </w:r>
    </w:p>
    <w:p w14:paraId="25E5D9C5"/>
    <w:p w14:paraId="7998E9BF">
      <w:pPr>
        <w:ind w:firstLine="422"/>
      </w:pPr>
      <w:r>
        <w:rPr>
          <w:rFonts w:hint="eastAsia"/>
          <w:b/>
        </w:rPr>
        <w:t>第四十三条</w:t>
      </w:r>
      <w:r>
        <w:rPr>
          <w:rFonts w:hint="eastAsia"/>
        </w:rPr>
        <w:t>　本市各级人民政府应当组织开展经常性的消防宣传教育，提高公民的消防安全意识。</w:t>
      </w:r>
    </w:p>
    <w:p w14:paraId="728D1288">
      <w:r>
        <w:rPr>
          <w:rFonts w:hint="eastAsia"/>
        </w:rPr>
        <w:t>乡镇人民政府和街道办事处应当指导、帮助居民委员会、村民委员会开展群众性的消防安全宣传教育工作，普及家庭防火知识。</w:t>
      </w:r>
    </w:p>
    <w:p w14:paraId="379FA8B4">
      <w:pPr>
        <w:ind w:firstLine="422"/>
      </w:pPr>
      <w:r>
        <w:rPr>
          <w:rFonts w:hint="eastAsia"/>
          <w:b/>
        </w:rPr>
        <w:t>第四十四条</w:t>
      </w:r>
      <w:r>
        <w:rPr>
          <w:rFonts w:hint="eastAsia"/>
        </w:rPr>
        <w:t>　公安机关及其消防机构应当加强消防法律、法规、规章及消防安全技术、知识的宣传教育；协调有关部门指导、监督社会消防安全教育培训工作；加强互联网公共消防服务平台建设，开展网络消防宣传教育和在线消防咨询。</w:t>
      </w:r>
    </w:p>
    <w:p w14:paraId="2D7CE2BC">
      <w:pPr>
        <w:ind w:firstLine="422"/>
      </w:pPr>
      <w:r>
        <w:rPr>
          <w:rFonts w:hint="eastAsia"/>
          <w:b/>
        </w:rPr>
        <w:t>第四十五条</w:t>
      </w:r>
      <w:r>
        <w:rPr>
          <w:rFonts w:hint="eastAsia"/>
        </w:rPr>
        <w:t>　民防、安全生产监督管理、住房和城乡建设、文化、广播电影电视、旅游等部门应当结合本系统、本行业特点，开展消防宣传教育工作。</w:t>
      </w:r>
    </w:p>
    <w:p w14:paraId="248555D1">
      <w:r>
        <w:rPr>
          <w:rFonts w:hint="eastAsia"/>
        </w:rPr>
        <w:t>教育、人力资源和社会保障等部门应当将消防知识纳入中小学和职业培训机构的教育内容，督促学校、各类培训机构组织开展多种形式的消防安全宣传教育活动。</w:t>
      </w:r>
    </w:p>
    <w:p w14:paraId="5A2F81BD">
      <w:r>
        <w:rPr>
          <w:rFonts w:hint="eastAsia"/>
        </w:rPr>
        <w:t>科学技术、司法行政等部门应当将消防知识和消防法律、法规纳入科普、普法教育内容。</w:t>
      </w:r>
    </w:p>
    <w:p w14:paraId="5DB0D008">
      <w:pPr>
        <w:ind w:firstLine="422"/>
      </w:pPr>
      <w:r>
        <w:rPr>
          <w:rFonts w:hint="eastAsia"/>
          <w:b/>
        </w:rPr>
        <w:t>第四十六条</w:t>
      </w:r>
      <w:r>
        <w:rPr>
          <w:rFonts w:hint="eastAsia"/>
        </w:rPr>
        <w:t>　报刊、广播、电视、网站等新闻媒体应当开设消防安全宣传教育栏目，开展公益性消防安全宣传教育，免费刊播公安机关消防机构提供的消防公益广告，定期开展消防安全提示性宣传、火灾安全警示教育和自救互救知识普及活动。</w:t>
      </w:r>
    </w:p>
    <w:p w14:paraId="7B9483D7">
      <w:r>
        <w:rPr>
          <w:rFonts w:hint="eastAsia"/>
        </w:rPr>
        <w:t>公共交通运营单位应当通过广播、电视、宣传手册等形式，向乘客宣传防火措施、消防器材的使用方法和避难、逃生方式等消防安全知识。</w:t>
      </w:r>
    </w:p>
    <w:p w14:paraId="1C0856F3">
      <w:pPr>
        <w:ind w:firstLine="422"/>
      </w:pPr>
      <w:r>
        <w:rPr>
          <w:rFonts w:hint="eastAsia"/>
          <w:b/>
        </w:rPr>
        <w:t>第四十七条</w:t>
      </w:r>
      <w:r>
        <w:rPr>
          <w:rFonts w:hint="eastAsia"/>
        </w:rPr>
        <w:t>　工会、共产主义青年团和妇女联合会等团体应当结合各自工作对象的特点，组织开展消防宣传教育。</w:t>
      </w:r>
    </w:p>
    <w:p w14:paraId="39635870">
      <w:pPr>
        <w:ind w:firstLine="422"/>
      </w:pPr>
      <w:r>
        <w:rPr>
          <w:rFonts w:hint="eastAsia"/>
          <w:b/>
        </w:rPr>
        <w:t>第四十八条</w:t>
      </w:r>
      <w:r>
        <w:rPr>
          <w:rFonts w:hint="eastAsia"/>
        </w:rPr>
        <w:t>　单位应当通过多种形式开展经常性的消防安全宣传教育。消防安全重点单位对每名员工应当至少每年进行一次消防安全培训。宣传教育和培训内容应当包括：</w:t>
      </w:r>
    </w:p>
    <w:p w14:paraId="5BC815F2">
      <w:bookmarkStart w:id="1787" w:name="_Toc428780291"/>
      <w:r>
        <w:rPr>
          <w:rFonts w:hint="eastAsia"/>
        </w:rPr>
        <w:t>（一）有关消防法律法规、消防安全制度和保障消防安全的操作规程；</w:t>
      </w:r>
      <w:bookmarkEnd w:id="1787"/>
    </w:p>
    <w:p w14:paraId="0E32390C">
      <w:r>
        <w:rPr>
          <w:rFonts w:hint="eastAsia"/>
        </w:rPr>
        <w:t>（二）本单位、本岗位的火灾危险性和防火措施；</w:t>
      </w:r>
    </w:p>
    <w:p w14:paraId="4AEFF17B">
      <w:bookmarkStart w:id="1788" w:name="_Toc428780292"/>
      <w:r>
        <w:rPr>
          <w:rFonts w:hint="eastAsia"/>
        </w:rPr>
        <w:t>（三）有关消防设施的性能、灭火器材的使用方法；</w:t>
      </w:r>
      <w:bookmarkEnd w:id="1788"/>
    </w:p>
    <w:p w14:paraId="19979F41">
      <w:r>
        <w:rPr>
          <w:rFonts w:hint="eastAsia"/>
        </w:rPr>
        <w:t>（四）报火警、扑救初起火灾及自救逃生的知识和技能。</w:t>
      </w:r>
    </w:p>
    <w:p w14:paraId="4071F6FD">
      <w:pPr>
        <w:ind w:firstLine="422"/>
      </w:pPr>
      <w:r>
        <w:rPr>
          <w:rFonts w:hint="eastAsia"/>
          <w:b/>
        </w:rPr>
        <w:t>第四十九条</w:t>
      </w:r>
      <w:r>
        <w:rPr>
          <w:rFonts w:hint="eastAsia"/>
        </w:rPr>
        <w:t>　歌舞厅、影剧院、宾馆、饭店、商场、集贸市场、体育场馆、会堂、医院、客运车站、客运码头、民用机场、公共图书馆和公共展览馆等公共场所应当根据需要编印场所消防安全宣传资料供公众取阅，利用广播、视频、网络设备播放消防安全知识。</w:t>
      </w:r>
    </w:p>
    <w:p w14:paraId="324ED58A">
      <w:r>
        <w:rPr>
          <w:rFonts w:hint="eastAsia"/>
        </w:rPr>
        <w:t>养老院、福利院、救助站等单位，应当对服务对象开展经常性的用火用电和火场自救逃生安全教育。</w:t>
      </w:r>
    </w:p>
    <w:p w14:paraId="4295378B">
      <w:pPr>
        <w:ind w:firstLine="422"/>
      </w:pPr>
      <w:r>
        <w:rPr>
          <w:rFonts w:hint="eastAsia"/>
          <w:b/>
        </w:rPr>
        <w:t>第五十条</w:t>
      </w:r>
      <w:r>
        <w:rPr>
          <w:rFonts w:hint="eastAsia"/>
        </w:rPr>
        <w:t>　各级各类学校应当开展下列消防安全教育工作：</w:t>
      </w:r>
    </w:p>
    <w:p w14:paraId="21CF1D69">
      <w:r>
        <w:rPr>
          <w:rFonts w:hint="eastAsia"/>
        </w:rPr>
        <w:t>（一）按照教育行政部门的规定，将消防安全知识纳入教学内容，针对学生认知特点，有计划地进行消防安全教育；</w:t>
      </w:r>
    </w:p>
    <w:p w14:paraId="17640AA6">
      <w:r>
        <w:rPr>
          <w:rFonts w:hint="eastAsia"/>
        </w:rPr>
        <w:t>（二）每半年组织教师、学生开展消防应急演练；</w:t>
      </w:r>
    </w:p>
    <w:p w14:paraId="2CFDEEB4">
      <w:r>
        <w:rPr>
          <w:rFonts w:hint="eastAsia"/>
        </w:rPr>
        <w:t>（三）确定消防安全课教员。</w:t>
      </w:r>
    </w:p>
    <w:p w14:paraId="377AC3E2">
      <w:r>
        <w:rPr>
          <w:rFonts w:hint="eastAsia"/>
        </w:rPr>
        <w:t>公安机关消防机构的工作人员可以担任学校的兼职消防辅导员。</w:t>
      </w:r>
    </w:p>
    <w:p w14:paraId="496588DA">
      <w:pPr>
        <w:ind w:firstLine="422"/>
      </w:pPr>
      <w:r>
        <w:rPr>
          <w:rFonts w:hint="eastAsia"/>
          <w:b/>
        </w:rPr>
        <w:t>第五十一条</w:t>
      </w:r>
      <w:r>
        <w:rPr>
          <w:rFonts w:hint="eastAsia"/>
        </w:rPr>
        <w:t>　市民防灾馆、市公安机关消防机构确定开放的消防站等应当向社会免费开放。</w:t>
      </w:r>
    </w:p>
    <w:p w14:paraId="7E784925">
      <w:pPr>
        <w:ind w:firstLine="422"/>
      </w:pPr>
      <w:r>
        <w:rPr>
          <w:rFonts w:hint="eastAsia"/>
          <w:b/>
        </w:rPr>
        <w:t>第五十二条</w:t>
      </w:r>
      <w:r>
        <w:rPr>
          <w:rFonts w:hint="eastAsia"/>
        </w:rPr>
        <w:t>　每</w:t>
      </w:r>
      <w:r>
        <w:rPr>
          <w:rFonts w:hint="eastAsia" w:ascii="宋体" w:hAnsi="宋体" w:eastAsia="宋体" w:cs="宋体"/>
        </w:rPr>
        <w:t>年11月9日为本</w:t>
      </w:r>
      <w:r>
        <w:rPr>
          <w:rFonts w:hint="eastAsia"/>
        </w:rPr>
        <w:t>市消防日。</w:t>
      </w:r>
    </w:p>
    <w:p w14:paraId="0A31AAAE">
      <w:r>
        <w:rPr>
          <w:rFonts w:hint="eastAsia"/>
        </w:rPr>
        <w:t>本市各级人民政府和负有消防工作职责的部门应当在消防日组织开展多种形式的消防安全宣传活动。</w:t>
      </w:r>
    </w:p>
    <w:p w14:paraId="4605575E"/>
    <w:p w14:paraId="3269F0C6">
      <w:pPr>
        <w:ind w:firstLine="0" w:firstLineChars="0"/>
        <w:jc w:val="center"/>
        <w:rPr>
          <w:b/>
          <w:sz w:val="44"/>
        </w:rPr>
      </w:pPr>
      <w:r>
        <w:rPr>
          <w:rFonts w:hint="eastAsia"/>
          <w:b/>
          <w:sz w:val="28"/>
        </w:rPr>
        <w:t>第五章　消防组织</w:t>
      </w:r>
    </w:p>
    <w:p w14:paraId="5C8AE3F7"/>
    <w:p w14:paraId="5BF6FEDE">
      <w:pPr>
        <w:ind w:firstLine="422"/>
      </w:pPr>
      <w:r>
        <w:rPr>
          <w:rFonts w:hint="eastAsia"/>
          <w:b/>
        </w:rPr>
        <w:t>第五十三条</w:t>
      </w:r>
      <w:r>
        <w:rPr>
          <w:rFonts w:hint="eastAsia"/>
        </w:rPr>
        <w:t>　市和区、县人民政府应当统筹规划本行政区域内消防组织建设，形成由公安消防队、政府专职消防队、单位专职消防队、志愿消防队等组成的消防组织网络。</w:t>
      </w:r>
    </w:p>
    <w:p w14:paraId="31A6A5EA">
      <w:pPr>
        <w:ind w:firstLine="422"/>
      </w:pPr>
      <w:r>
        <w:rPr>
          <w:rFonts w:hint="eastAsia"/>
          <w:b/>
        </w:rPr>
        <w:t>第五十四条</w:t>
      </w:r>
      <w:r>
        <w:rPr>
          <w:rFonts w:hint="eastAsia"/>
        </w:rPr>
        <w:t>　市和区、县人民政府应当按照国家标准和本市消防专项规划建设公安消防队，配备消防装备。</w:t>
      </w:r>
    </w:p>
    <w:p w14:paraId="7B18407C">
      <w:r>
        <w:rPr>
          <w:rFonts w:hint="eastAsia"/>
        </w:rPr>
        <w:t>公安消防队数量和布局不能满足消防工作需要的，区、县人民政府应当建立专职消防队，并按照国家和本市有关规定配备消防装备。</w:t>
      </w:r>
    </w:p>
    <w:p w14:paraId="3DE3C215">
      <w:r>
        <w:rPr>
          <w:rFonts w:hint="eastAsia"/>
        </w:rPr>
        <w:t>区、县人民政府应当根据需要，在距离公安消防队或者区、县人民政府专职消防队较远的乡镇建立专职消防队。</w:t>
      </w:r>
    </w:p>
    <w:p w14:paraId="0305C3FC">
      <w:r>
        <w:rPr>
          <w:rFonts w:hint="eastAsia"/>
        </w:rPr>
        <w:t>区、县人民政府和乡镇人民政府应当保障专职消防队所需场地、业务经费和队员的社会保险、福利待遇，市人民政府给予必要的支持。</w:t>
      </w:r>
    </w:p>
    <w:p w14:paraId="4533D8E1">
      <w:pPr>
        <w:ind w:firstLine="422"/>
      </w:pPr>
      <w:r>
        <w:rPr>
          <w:rFonts w:hint="eastAsia"/>
          <w:b/>
        </w:rPr>
        <w:t>第五十五条</w:t>
      </w:r>
      <w:r>
        <w:rPr>
          <w:rFonts w:hint="eastAsia"/>
        </w:rPr>
        <w:t>　公安消防队、专职消防队依照国家和本市规定承担重大灾害事故和其他以抢救人员生命为主的应急救援工作。市和区、县人民政府应当为公安消防队、专职消防队开展应急救援工作配备相应的应急救援装备，并保障工作所需经费。</w:t>
      </w:r>
    </w:p>
    <w:p w14:paraId="574E4201">
      <w:pPr>
        <w:ind w:firstLine="422"/>
      </w:pPr>
      <w:r>
        <w:rPr>
          <w:rFonts w:hint="eastAsia"/>
          <w:b/>
        </w:rPr>
        <w:t>第五十六条</w:t>
      </w:r>
      <w:r>
        <w:rPr>
          <w:rFonts w:hint="eastAsia"/>
        </w:rPr>
        <w:t>　下列单位应当建立专职消防队，承担本单位的火灾扑救工作：</w:t>
      </w:r>
    </w:p>
    <w:p w14:paraId="235B90E3">
      <w:r>
        <w:rPr>
          <w:rFonts w:hint="eastAsia"/>
        </w:rPr>
        <w:t>（一）大型发电厂；</w:t>
      </w:r>
    </w:p>
    <w:p w14:paraId="698ACB50">
      <w:r>
        <w:rPr>
          <w:rFonts w:hint="eastAsia"/>
        </w:rPr>
        <w:t>（二）生产、储存易燃易爆危险物品的大型企业；</w:t>
      </w:r>
    </w:p>
    <w:p w14:paraId="2A31AC47">
      <w:r>
        <w:rPr>
          <w:rFonts w:hint="eastAsia"/>
        </w:rPr>
        <w:t>（三）储备可燃的重要物资的大型仓库、基地；</w:t>
      </w:r>
    </w:p>
    <w:p w14:paraId="17164B18">
      <w:r>
        <w:rPr>
          <w:rFonts w:hint="eastAsia"/>
        </w:rPr>
        <w:t>（四）距离公安消防队、政府专职消防队较远的其他火灾危险性较大的大型企业。</w:t>
      </w:r>
    </w:p>
    <w:p w14:paraId="468620C6">
      <w:r>
        <w:rPr>
          <w:rFonts w:hint="eastAsia"/>
        </w:rPr>
        <w:t>建立专职消防队的单位应当保障专职消防队的业务经费和队员的社会保险、福利待遇。</w:t>
      </w:r>
    </w:p>
    <w:p w14:paraId="40AD93AC">
      <w:pPr>
        <w:ind w:firstLine="422"/>
      </w:pPr>
      <w:r>
        <w:rPr>
          <w:rFonts w:hint="eastAsia"/>
          <w:b/>
        </w:rPr>
        <w:t>第五十七条</w:t>
      </w:r>
      <w:r>
        <w:rPr>
          <w:rFonts w:hint="eastAsia"/>
        </w:rPr>
        <w:t>　鼓励单位和居民委员会、村民委员会建立志愿消防队等多种形式的消防组织，开展群众性自防自救工作。</w:t>
      </w:r>
    </w:p>
    <w:p w14:paraId="53FAAC91">
      <w:pPr>
        <w:ind w:firstLine="422"/>
      </w:pPr>
      <w:r>
        <w:rPr>
          <w:rFonts w:hint="eastAsia"/>
          <w:b/>
        </w:rPr>
        <w:t>第五十八条</w:t>
      </w:r>
      <w:r>
        <w:rPr>
          <w:rFonts w:hint="eastAsia"/>
        </w:rPr>
        <w:t>　公安机关消防机构应当对专职消防队、志愿消防队进行业务培训、指导；根据扑救火灾的需要，公安机关消防机构可以调动指挥专职消防队参加火灾扑救工作。</w:t>
      </w:r>
    </w:p>
    <w:p w14:paraId="009B885E"/>
    <w:p w14:paraId="5EB1CC1A">
      <w:pPr>
        <w:ind w:firstLine="0" w:firstLineChars="0"/>
        <w:jc w:val="center"/>
        <w:rPr>
          <w:b/>
          <w:sz w:val="28"/>
        </w:rPr>
      </w:pPr>
      <w:r>
        <w:rPr>
          <w:rFonts w:hint="eastAsia"/>
          <w:b/>
          <w:sz w:val="28"/>
        </w:rPr>
        <w:t>第六章　灭火救援</w:t>
      </w:r>
    </w:p>
    <w:p w14:paraId="1BACFC10"/>
    <w:p w14:paraId="73D53F44">
      <w:pPr>
        <w:ind w:firstLine="422"/>
      </w:pPr>
      <w:r>
        <w:rPr>
          <w:rFonts w:hint="eastAsia"/>
          <w:b/>
        </w:rPr>
        <w:t>第五十九条</w:t>
      </w:r>
      <w:r>
        <w:rPr>
          <w:rFonts w:hint="eastAsia"/>
        </w:rPr>
        <w:t>　市和区、县人民政府应当组织公安、交通、卫生、市政市容等有关行政部门制定火灾应急预案，明确火灾应急处置的组织指挥体系和部门职责、处置程序、人员疏散、保障措施等内容。</w:t>
      </w:r>
    </w:p>
    <w:p w14:paraId="147D61EC">
      <w:pPr>
        <w:ind w:firstLine="422"/>
      </w:pPr>
      <w:r>
        <w:rPr>
          <w:rFonts w:hint="eastAsia"/>
          <w:b/>
        </w:rPr>
        <w:t>第六十条</w:t>
      </w:r>
      <w:r>
        <w:rPr>
          <w:rFonts w:hint="eastAsia"/>
        </w:rPr>
        <w:t>　任何人发现火灾都应当立即报警。任何单位、个人都应当无偿为报警提供便利，不得阻拦报警。严禁谎报火警。</w:t>
      </w:r>
    </w:p>
    <w:p w14:paraId="4B03991E">
      <w:r>
        <w:rPr>
          <w:rFonts w:hint="eastAsia"/>
        </w:rPr>
        <w:t>任何单位发生火灾，必须立即组织力量扑救。邻近单位应当给予支援。</w:t>
      </w:r>
    </w:p>
    <w:p w14:paraId="2F333342">
      <w:r>
        <w:rPr>
          <w:rFonts w:hint="eastAsia"/>
        </w:rPr>
        <w:t>消防队接到火警，应当立即赶赴火灾现场，救助遇险人员，排除险情，扑灭火灾。</w:t>
      </w:r>
    </w:p>
    <w:p w14:paraId="25A89AB9">
      <w:pPr>
        <w:ind w:firstLine="422"/>
      </w:pPr>
      <w:r>
        <w:rPr>
          <w:rFonts w:hint="eastAsia"/>
          <w:b/>
        </w:rPr>
        <w:t>第六十一条</w:t>
      </w:r>
      <w:r>
        <w:rPr>
          <w:rFonts w:hint="eastAsia"/>
        </w:rPr>
        <w:t>　消防车在执行火灾扑救和应急救援任务时，可以使用警报器、标志灯具；在确保安全的前提下，不受行驶速度、行驶路线、行驶方向和指挥信号的限制，其他车辆和行人必须让行，不得穿插超越；发生紧急情况时，对阻碍消防车通行的障碍物和车辆可以实施拆除和强制让道；收费公路、桥梁免收车辆通行费。</w:t>
      </w:r>
    </w:p>
    <w:p w14:paraId="10DB2D2F">
      <w:r>
        <w:rPr>
          <w:rFonts w:hint="eastAsia"/>
        </w:rPr>
        <w:t>公安机关交通管理部门应当采取必要的交通管制措施，保证执行火灾扑救和应急救援任务的消防车辆迅速通行。</w:t>
      </w:r>
    </w:p>
    <w:p w14:paraId="14833F50">
      <w:pPr>
        <w:ind w:firstLine="422"/>
      </w:pPr>
      <w:r>
        <w:rPr>
          <w:rFonts w:hint="eastAsia"/>
          <w:b/>
        </w:rPr>
        <w:t>第六十二条</w:t>
      </w:r>
      <w:r>
        <w:rPr>
          <w:rFonts w:hint="eastAsia"/>
        </w:rPr>
        <w:t>　公安机关消防机构统一组织和指挥火灾现场扑救，参与火灾扑救的单位和个人必须服从公安机关消防机构的统一指挥。</w:t>
      </w:r>
    </w:p>
    <w:p w14:paraId="5F691AEA">
      <w:r>
        <w:rPr>
          <w:rFonts w:hint="eastAsia"/>
        </w:rPr>
        <w:t>火灾现场总指挥有权根据扑救火灾的需要决定下列事项：</w:t>
      </w:r>
    </w:p>
    <w:p w14:paraId="5FF5C741">
      <w:bookmarkStart w:id="1789" w:name="_Toc428780293"/>
      <w:r>
        <w:rPr>
          <w:rFonts w:hint="eastAsia"/>
        </w:rPr>
        <w:t>（一）使用各种水源；</w:t>
      </w:r>
      <w:bookmarkEnd w:id="1789"/>
    </w:p>
    <w:p w14:paraId="3256B8BE">
      <w:r>
        <w:rPr>
          <w:rFonts w:hint="eastAsia"/>
        </w:rPr>
        <w:t>（二）截断电力、可燃气体和可燃液体的输送，限制用火用电；</w:t>
      </w:r>
    </w:p>
    <w:p w14:paraId="0BE63B2D">
      <w:r>
        <w:rPr>
          <w:rFonts w:hint="eastAsia"/>
        </w:rPr>
        <w:t>（三）划定警戒区，实行局部交通管制，疏散、清空警戒区内的人员、物资；</w:t>
      </w:r>
    </w:p>
    <w:p w14:paraId="3E8C19C5">
      <w:bookmarkStart w:id="1790" w:name="_Toc428780294"/>
      <w:r>
        <w:rPr>
          <w:rFonts w:hint="eastAsia"/>
        </w:rPr>
        <w:t>（四）利用临近建筑物和有关设施；</w:t>
      </w:r>
      <w:bookmarkEnd w:id="1790"/>
    </w:p>
    <w:p w14:paraId="4E4F9FFF">
      <w:r>
        <w:rPr>
          <w:rFonts w:hint="eastAsia"/>
        </w:rPr>
        <w:t>（五）为了抢救人员和重要物资，防止火势蔓延，拆除或者破损毗邻火灾现场的建筑物、构筑物或者设施等；</w:t>
      </w:r>
    </w:p>
    <w:p w14:paraId="5DD4A4A5">
      <w:r>
        <w:rPr>
          <w:rFonts w:hint="eastAsia"/>
        </w:rPr>
        <w:t>（六）调动供水、供电、供气、通信、医疗救护、交通运输、环境保护等有关单位协助灭火救援。</w:t>
      </w:r>
    </w:p>
    <w:p w14:paraId="73AC0876">
      <w:pPr>
        <w:ind w:firstLine="422"/>
      </w:pPr>
      <w:r>
        <w:rPr>
          <w:rFonts w:hint="eastAsia"/>
          <w:b/>
        </w:rPr>
        <w:t>第六十三条</w:t>
      </w:r>
      <w:r>
        <w:rPr>
          <w:rFonts w:hint="eastAsia"/>
        </w:rPr>
        <w:t>　公安机关消防机构有权根据需要封闭火灾现场，负责调查火灾原因，统计火灾损失。</w:t>
      </w:r>
    </w:p>
    <w:p w14:paraId="640C8759">
      <w:r>
        <w:rPr>
          <w:rFonts w:hint="eastAsia"/>
        </w:rPr>
        <w:t>火灾扑灭后，起火单位和相关人员应当按照公安机关消防机构的要求保护现场，接受事故调查，如实提供火灾事实情况。任何单位和个人未经公安机关消防机构同意，不得进入、清理封闭的火灾现场。</w:t>
      </w:r>
    </w:p>
    <w:p w14:paraId="2FFE67C0">
      <w:r>
        <w:rPr>
          <w:rFonts w:hint="eastAsia"/>
        </w:rPr>
        <w:t>公安机关消防机构根据火灾现场勘验、调查情况和有关的检验、鉴定意见，制作火灾事故认定书，作为处理火灾事故的证据。</w:t>
      </w:r>
    </w:p>
    <w:p w14:paraId="75178762">
      <w:pPr>
        <w:ind w:firstLine="422"/>
      </w:pPr>
      <w:r>
        <w:rPr>
          <w:rFonts w:hint="eastAsia"/>
          <w:b/>
        </w:rPr>
        <w:t>第六十四条</w:t>
      </w:r>
      <w:r>
        <w:rPr>
          <w:rFonts w:hint="eastAsia"/>
        </w:rPr>
        <w:t>　对因参加扑救火灾或者应急救援受伤、致残或者死亡的人员，按照国家和本市有关规定给予医疗、抚恤。</w:t>
      </w:r>
    </w:p>
    <w:p w14:paraId="6D40CFCE">
      <w:pPr>
        <w:ind w:firstLine="422"/>
      </w:pPr>
      <w:r>
        <w:rPr>
          <w:rFonts w:hint="eastAsia"/>
          <w:b/>
        </w:rPr>
        <w:t>第六十五条</w:t>
      </w:r>
      <w:r>
        <w:rPr>
          <w:rFonts w:hint="eastAsia"/>
        </w:rPr>
        <w:t>　单位专职消防队、志愿消防队参加扑救本单位以外的火灾所损耗的燃料、灭火剂和器材、装备等，由火灾发生地的区、县人民政府给予补偿。</w:t>
      </w:r>
    </w:p>
    <w:p w14:paraId="0E5ED414">
      <w:pPr>
        <w:ind w:firstLine="422"/>
      </w:pPr>
      <w:r>
        <w:rPr>
          <w:rFonts w:hint="eastAsia"/>
          <w:b/>
        </w:rPr>
        <w:t>第六十六条</w:t>
      </w:r>
      <w:r>
        <w:rPr>
          <w:rFonts w:hint="eastAsia"/>
        </w:rPr>
        <w:t>　发生下列重大灾害事故的，公安消防队、专职消防队在市和区、县人民政府的统一领导下，按照国家规定开展以抢救人员生命为主的应急救援工作：</w:t>
      </w:r>
    </w:p>
    <w:p w14:paraId="5B42710B">
      <w:r>
        <w:rPr>
          <w:rFonts w:hint="eastAsia"/>
        </w:rPr>
        <w:t>（一）危险化学品泄漏事故；</w:t>
      </w:r>
    </w:p>
    <w:p w14:paraId="603FBB8D">
      <w:r>
        <w:rPr>
          <w:rFonts w:hint="eastAsia"/>
        </w:rPr>
        <w:t>（二）道路交通事故；</w:t>
      </w:r>
    </w:p>
    <w:p w14:paraId="0D018FFD">
      <w:r>
        <w:rPr>
          <w:rFonts w:hint="eastAsia"/>
        </w:rPr>
        <w:t>（三）地震及其次生灾害；</w:t>
      </w:r>
    </w:p>
    <w:p w14:paraId="1E670214">
      <w:r>
        <w:rPr>
          <w:rFonts w:hint="eastAsia"/>
        </w:rPr>
        <w:t>（四）建筑坍塌事故；</w:t>
      </w:r>
    </w:p>
    <w:p w14:paraId="0CB02CCD">
      <w:r>
        <w:rPr>
          <w:rFonts w:hint="eastAsia"/>
        </w:rPr>
        <w:t>（五）爆炸及恐怖事件；</w:t>
      </w:r>
    </w:p>
    <w:p w14:paraId="2E68F67E">
      <w:r>
        <w:rPr>
          <w:rFonts w:hint="eastAsia"/>
        </w:rPr>
        <w:t>（六）市人民政府确定的其他重大灾害事故。</w:t>
      </w:r>
    </w:p>
    <w:p w14:paraId="59566295"/>
    <w:p w14:paraId="3DCE9889">
      <w:pPr>
        <w:ind w:firstLine="0" w:firstLineChars="0"/>
        <w:jc w:val="center"/>
        <w:rPr>
          <w:b/>
          <w:sz w:val="28"/>
        </w:rPr>
      </w:pPr>
      <w:r>
        <w:rPr>
          <w:rFonts w:hint="eastAsia"/>
          <w:b/>
          <w:sz w:val="28"/>
        </w:rPr>
        <w:t>第七章　监督检查</w:t>
      </w:r>
    </w:p>
    <w:p w14:paraId="6E10C88B"/>
    <w:p w14:paraId="73F61FC4">
      <w:pPr>
        <w:ind w:firstLine="422"/>
      </w:pPr>
      <w:r>
        <w:rPr>
          <w:rFonts w:hint="eastAsia"/>
          <w:b/>
        </w:rPr>
        <w:t>第六十七条</w:t>
      </w:r>
      <w:r>
        <w:rPr>
          <w:rFonts w:hint="eastAsia"/>
        </w:rPr>
        <w:t>　公安机关消防机构应当根据本地区消防安全情况开展火灾风险监测、评估，建立分级分类监督检查制度，完善火灾多发季节、重大节假日、重大活动期间的消防监督措施及消防安全重点单位抽查制度。</w:t>
      </w:r>
    </w:p>
    <w:p w14:paraId="49A3CB3B">
      <w:pPr>
        <w:ind w:firstLine="422"/>
      </w:pPr>
      <w:r>
        <w:rPr>
          <w:rFonts w:hint="eastAsia"/>
          <w:b/>
        </w:rPr>
        <w:t>第六十八条</w:t>
      </w:r>
      <w:r>
        <w:rPr>
          <w:rFonts w:hint="eastAsia"/>
        </w:rPr>
        <w:t>　公安机关消防机构进行消防安全监督检查可以行使下列职权：</w:t>
      </w:r>
    </w:p>
    <w:p w14:paraId="11E83B0B">
      <w:r>
        <w:rPr>
          <w:rFonts w:hint="eastAsia"/>
        </w:rPr>
        <w:t>（一）进入单位进行检查，调阅有关资料，向有关单位和人员了解情况。</w:t>
      </w:r>
    </w:p>
    <w:p w14:paraId="339266C3">
      <w:r>
        <w:rPr>
          <w:rFonts w:hint="eastAsia"/>
        </w:rPr>
        <w:t>（二）检查中发现能够即时排除的火灾隐患，责令立即排除；不及时消除隐患可能严重威胁公共安全的，依照规定对危险部位或者场所采取临时查封措施；重大火灾隐患排除前或者排除过程中无法保证安全的，责令从危险区域内撤出作业人员，责令暂时停产停业或者停止使用；重大火灾隐患排除后，经公安机关消防机构检查合格，方可恢复生产经营和使用。</w:t>
      </w:r>
    </w:p>
    <w:p w14:paraId="66FF13EA">
      <w:r>
        <w:rPr>
          <w:rFonts w:hint="eastAsia"/>
        </w:rPr>
        <w:t>（三）对有证据证明不符合保障消防安全的国家和本市标准的设备、设施、器材予以查封或者扣押，并应</w:t>
      </w:r>
      <w:r>
        <w:rPr>
          <w:rFonts w:hint="eastAsia" w:ascii="宋体" w:hAnsi="宋体" w:eastAsia="宋体" w:cs="宋体"/>
        </w:rPr>
        <w:t>当在15日内依法作出处</w:t>
      </w:r>
      <w:r>
        <w:rPr>
          <w:rFonts w:hint="eastAsia"/>
        </w:rPr>
        <w:t>理决定。</w:t>
      </w:r>
    </w:p>
    <w:p w14:paraId="3997A3AC">
      <w:r>
        <w:rPr>
          <w:rFonts w:hint="eastAsia"/>
        </w:rPr>
        <w:t>（四）对检查中发现的消防安全违法行为，当场予以纠正或者责令限期改正；对应当给予行政处罚的行为，依法作出行政处罚决定。</w:t>
      </w:r>
    </w:p>
    <w:p w14:paraId="2781BD99">
      <w:pPr>
        <w:ind w:firstLine="422"/>
      </w:pPr>
      <w:r>
        <w:rPr>
          <w:rFonts w:hint="eastAsia"/>
          <w:b/>
        </w:rPr>
        <w:t>第六十九条</w:t>
      </w:r>
      <w:r>
        <w:rPr>
          <w:rFonts w:hint="eastAsia"/>
        </w:rPr>
        <w:t>　对具有下列火灾隐患，不及时消除可能严重威胁公共安全的危险部位或者场所，公安机关消防机构可以依照有关规定予以临时查封：</w:t>
      </w:r>
    </w:p>
    <w:p w14:paraId="24B17B5A">
      <w:bookmarkStart w:id="1791" w:name="_Toc428780295"/>
      <w:r>
        <w:rPr>
          <w:rFonts w:hint="eastAsia"/>
        </w:rPr>
        <w:t>（一）疏散通道、安全出口不能满足安全疏散需要的；</w:t>
      </w:r>
      <w:bookmarkEnd w:id="1791"/>
    </w:p>
    <w:p w14:paraId="74BB0131">
      <w:r>
        <w:rPr>
          <w:rFonts w:hint="eastAsia"/>
        </w:rPr>
        <w:t>（二）建筑消防设施不具备防火灭火功能的；</w:t>
      </w:r>
    </w:p>
    <w:p w14:paraId="202D0E72">
      <w:r>
        <w:rPr>
          <w:rFonts w:hint="eastAsia"/>
        </w:rPr>
        <w:t>（三）人员密集场所违反消防安全规定生产、经营、使用、储存易燃易爆危险品的；</w:t>
      </w:r>
    </w:p>
    <w:p w14:paraId="15C567D7">
      <w:r>
        <w:rPr>
          <w:rFonts w:hint="eastAsia"/>
        </w:rPr>
        <w:t>（四）公众聚集场所违反消防技术标准，采用易燃、可燃材料装饰装修，可能导致重大人员伤亡的；</w:t>
      </w:r>
    </w:p>
    <w:p w14:paraId="1BB98204">
      <w:r>
        <w:rPr>
          <w:rFonts w:hint="eastAsia"/>
        </w:rPr>
        <w:t>（五）其他可能严重威胁公共安全的火灾隐患。</w:t>
      </w:r>
    </w:p>
    <w:p w14:paraId="362D5C75">
      <w:pPr>
        <w:ind w:firstLine="422"/>
      </w:pPr>
      <w:r>
        <w:rPr>
          <w:rFonts w:hint="eastAsia"/>
          <w:b/>
        </w:rPr>
        <w:t>第七十条</w:t>
      </w:r>
      <w:r>
        <w:rPr>
          <w:rFonts w:hint="eastAsia"/>
        </w:rPr>
        <w:t>　对消防监督检查的结果，公安机关消防机构可以向社会公告；对检查发现的影响公共安全的火灾隐患应当定期公布，提示公众注意消防安全。</w:t>
      </w:r>
    </w:p>
    <w:p w14:paraId="525F4F83">
      <w:pPr>
        <w:ind w:firstLine="422"/>
      </w:pPr>
      <w:r>
        <w:rPr>
          <w:rFonts w:hint="eastAsia"/>
          <w:b/>
        </w:rPr>
        <w:t>第七十一条</w:t>
      </w:r>
      <w:r>
        <w:rPr>
          <w:rFonts w:hint="eastAsia"/>
        </w:rPr>
        <w:t>　安全生产监督管理、教育、卫生、住房和城乡建设、质量技术监督、工商行政管理、文化、水务、商务、民政、文物、交通、旅游等行政部门在监督检查中发现火灾隐患，应当由公安机关消防机构依法处理的，应当按照有关规定及时移送。</w:t>
      </w:r>
    </w:p>
    <w:p w14:paraId="19DEA84E">
      <w:pPr>
        <w:ind w:firstLine="422"/>
      </w:pPr>
      <w:r>
        <w:rPr>
          <w:rFonts w:hint="eastAsia"/>
          <w:b/>
        </w:rPr>
        <w:t>第七十二条</w:t>
      </w:r>
      <w:r>
        <w:rPr>
          <w:rFonts w:hint="eastAsia"/>
        </w:rPr>
        <w:t>　乡镇人民政府和街道办事处应当建立健全本辖区消防安全检查制度，组织专职消防队、志愿消防队进行消防安全巡视检查，发现火灾隐患、消防违法行为及时告知公安机关消防机构、公安派出所依法处理。</w:t>
      </w:r>
    </w:p>
    <w:p w14:paraId="3482069B">
      <w:pPr>
        <w:ind w:firstLine="422"/>
      </w:pPr>
      <w:r>
        <w:rPr>
          <w:rFonts w:hint="eastAsia"/>
          <w:b/>
        </w:rPr>
        <w:t>第七十三条</w:t>
      </w:r>
      <w:r>
        <w:rPr>
          <w:rFonts w:hint="eastAsia"/>
        </w:rPr>
        <w:t>　公安机关消防机构在消防监督检查中发现城乡消防安全布局、公共消防设施不符合消防安全需要，或者发现本地区存在影响公共安全的重大火灾隐患的，应当由公安机关书面报告本级人民政府。</w:t>
      </w:r>
    </w:p>
    <w:p w14:paraId="7A36A5E1">
      <w:r>
        <w:rPr>
          <w:rFonts w:hint="eastAsia"/>
        </w:rPr>
        <w:t>接到报告的人民政府应当及时核实情况，组织或者责成有关部门、单位在规定的期限内采取措施，予以整改。</w:t>
      </w:r>
    </w:p>
    <w:p w14:paraId="34B16EE0">
      <w:pPr>
        <w:ind w:firstLine="422"/>
      </w:pPr>
      <w:r>
        <w:rPr>
          <w:rFonts w:hint="eastAsia"/>
          <w:b/>
        </w:rPr>
        <w:t>第七十四条</w:t>
      </w:r>
      <w:r>
        <w:rPr>
          <w:rFonts w:hint="eastAsia"/>
        </w:rPr>
        <w:t>　公安机关消防机构实施消防监督检查时，检查人员不得少于两人，并应当出示执法身份证件。</w:t>
      </w:r>
    </w:p>
    <w:p w14:paraId="08F517FC">
      <w:r>
        <w:rPr>
          <w:rFonts w:hint="eastAsia"/>
        </w:rPr>
        <w:t>消防监督检查人员应当填写检查记录，如实记录检查情况。</w:t>
      </w:r>
    </w:p>
    <w:p w14:paraId="35DA309F">
      <w:pPr>
        <w:ind w:firstLine="422"/>
      </w:pPr>
      <w:r>
        <w:rPr>
          <w:rFonts w:hint="eastAsia"/>
          <w:b/>
        </w:rPr>
        <w:t>第七十五条</w:t>
      </w:r>
      <w:r>
        <w:rPr>
          <w:rFonts w:hint="eastAsia"/>
        </w:rPr>
        <w:t>　公安机关消防机构及其工作人员应当按照法定的职权和程序进行消防设计审核、消防验收和消防安全检查，做到公正、严格、文明、高效。</w:t>
      </w:r>
    </w:p>
    <w:p w14:paraId="73DEB1C7">
      <w:r>
        <w:rPr>
          <w:rFonts w:hint="eastAsia"/>
        </w:rPr>
        <w:t>公安机关消防机构及其工作人员进行消防设计审核、消防验收和消防安全检查等，不得收取费用，不得利用消防设计审核、消防验收和消防安全检查谋取利益。公安机关消防机构及其工作人员不得利用职务为用户、建设单位指定或者变相指定消防产品的品牌、销售单位或者消防技术服务机构、消防设施施工单位。</w:t>
      </w:r>
    </w:p>
    <w:p w14:paraId="164A3D0A">
      <w:pPr>
        <w:ind w:firstLine="422"/>
      </w:pPr>
      <w:r>
        <w:rPr>
          <w:rFonts w:hint="eastAsia"/>
          <w:b/>
        </w:rPr>
        <w:t>第七十六条</w:t>
      </w:r>
      <w:r>
        <w:rPr>
          <w:rFonts w:hint="eastAsia"/>
        </w:rPr>
        <w:t>　《中华人民共和国消防法》和本条例规定负有消防工作职责的各级人民政府、有关行政部门及其工作人员开展消防工作，应当自觉接受社会公众的监督。</w:t>
      </w:r>
    </w:p>
    <w:p w14:paraId="6D6772CF">
      <w:r>
        <w:rPr>
          <w:rFonts w:hint="eastAsia"/>
        </w:rPr>
        <w:t>任何单位和个人都有权对负有消防工作职责的各级人民政府、有关行政部门及其工作人员在执法中的违法行为进行检举、控告。收到检举、控告的机关，应当按照职责及时查处。</w:t>
      </w:r>
    </w:p>
    <w:p w14:paraId="5EBD8502"/>
    <w:p w14:paraId="1BE98699">
      <w:pPr>
        <w:ind w:firstLine="0" w:firstLineChars="0"/>
        <w:jc w:val="center"/>
        <w:rPr>
          <w:b/>
          <w:sz w:val="28"/>
        </w:rPr>
      </w:pPr>
      <w:r>
        <w:rPr>
          <w:rFonts w:hint="eastAsia"/>
          <w:b/>
          <w:sz w:val="28"/>
        </w:rPr>
        <w:t>第八章　法律责任</w:t>
      </w:r>
    </w:p>
    <w:p w14:paraId="51212ECF"/>
    <w:p w14:paraId="269FBE8B">
      <w:pPr>
        <w:ind w:firstLine="422"/>
      </w:pPr>
      <w:r>
        <w:rPr>
          <w:rFonts w:hint="eastAsia"/>
          <w:b/>
        </w:rPr>
        <w:t>第七十七条</w:t>
      </w:r>
      <w:r>
        <w:rPr>
          <w:rFonts w:hint="eastAsia"/>
        </w:rPr>
        <w:t>　对违反本条例的行为，《中华人民共和国消防法》和其他有关法律、行政法规已经规定法律责任的，依照法律、行政法规的规定处理。</w:t>
      </w:r>
    </w:p>
    <w:p w14:paraId="73A5A868">
      <w:pPr>
        <w:ind w:firstLine="422"/>
      </w:pPr>
      <w:r>
        <w:rPr>
          <w:rFonts w:hint="eastAsia"/>
          <w:b/>
        </w:rPr>
        <w:t>第七十八条</w:t>
      </w:r>
      <w:r>
        <w:rPr>
          <w:rFonts w:hint="eastAsia"/>
        </w:rPr>
        <w:t>　负有消防工作职责的行政机关及其工作人员违反《中华人民共和国消防法》和本条例规定，未履行或者未按照规定履行法定职责的，由其上级行政机关或者监察机关责令改正，并根据情节对直接负责的主管人员和其他直接责任人员依法给予行政处分。</w:t>
      </w:r>
    </w:p>
    <w:p w14:paraId="656EAE73">
      <w:pPr>
        <w:ind w:firstLine="422"/>
      </w:pPr>
      <w:r>
        <w:rPr>
          <w:rFonts w:hint="eastAsia"/>
          <w:b/>
        </w:rPr>
        <w:t>第七十九条</w:t>
      </w:r>
      <w:r>
        <w:rPr>
          <w:rFonts w:hint="eastAsia"/>
        </w:rPr>
        <w:t>　公安机关消防机构工作人员有下列行为之一，尚不构成犯罪的，依法给予行政处分：</w:t>
      </w:r>
    </w:p>
    <w:p w14:paraId="685D882C">
      <w:r>
        <w:rPr>
          <w:rFonts w:hint="eastAsia"/>
        </w:rPr>
        <w:t>（一）对不符合消防安全要求的消防设计文件和建设工程及公众聚集场所准予审核合格、消防验收合格、消防安全检查合格；</w:t>
      </w:r>
    </w:p>
    <w:p w14:paraId="7A803F2B">
      <w:r>
        <w:rPr>
          <w:rFonts w:hint="eastAsia"/>
        </w:rPr>
        <w:t>（二）无故拖延消防设计审核、消防验收、消防安全检查，不在法定期限内履行审批职责；</w:t>
      </w:r>
    </w:p>
    <w:p w14:paraId="4E97A8CB">
      <w:bookmarkStart w:id="1792" w:name="_Toc428780296"/>
      <w:r>
        <w:rPr>
          <w:rFonts w:hint="eastAsia"/>
        </w:rPr>
        <w:t>（三）发现火灾隐患不及时通知有关单位或者个人整改；</w:t>
      </w:r>
      <w:bookmarkEnd w:id="1792"/>
    </w:p>
    <w:p w14:paraId="57C6FB68">
      <w:r>
        <w:rPr>
          <w:rFonts w:hint="eastAsia"/>
        </w:rPr>
        <w:t>（四）为用户、建设单位指定或者变相指定消防产品的品牌、销售单位或者消防技术服务机构、消防设施施工单位；</w:t>
      </w:r>
    </w:p>
    <w:p w14:paraId="53F587D0">
      <w:r>
        <w:rPr>
          <w:rFonts w:hint="eastAsia"/>
        </w:rPr>
        <w:t>（五）其他滥用职权、玩忽职守、徇私舞弊的行为。</w:t>
      </w:r>
    </w:p>
    <w:p w14:paraId="66182769">
      <w:pPr>
        <w:ind w:firstLine="422"/>
        <w:rPr>
          <w:rFonts w:hint="eastAsia" w:ascii="宋体" w:hAnsi="宋体" w:eastAsia="宋体" w:cs="宋体"/>
        </w:rPr>
      </w:pPr>
      <w:r>
        <w:rPr>
          <w:rFonts w:hint="eastAsia"/>
          <w:b/>
        </w:rPr>
        <w:t>第八十条</w:t>
      </w:r>
      <w:r>
        <w:rPr>
          <w:rFonts w:hint="eastAsia"/>
        </w:rPr>
        <w:t>　单位消防控制室的值班人员有擅离职守等违反国家和本市消防控制室操作规程行为，或者单位未对本单位消防设备操作控制人员、专职和兼职防火人员等重点岗位的人员进行专项培训的，责令改正，并</w:t>
      </w:r>
      <w:r>
        <w:rPr>
          <w:rFonts w:hint="eastAsia" w:ascii="宋体" w:hAnsi="宋体" w:eastAsia="宋体" w:cs="宋体"/>
        </w:rPr>
        <w:t>可处500元以上5000元以下罚款。</w:t>
      </w:r>
    </w:p>
    <w:p w14:paraId="1D3A472B">
      <w:pPr>
        <w:rPr>
          <w:rFonts w:hint="eastAsia" w:ascii="宋体" w:hAnsi="宋体" w:eastAsia="宋体" w:cs="宋体"/>
        </w:rPr>
      </w:pPr>
      <w:r>
        <w:rPr>
          <w:rFonts w:hint="eastAsia" w:ascii="宋体" w:hAnsi="宋体" w:eastAsia="宋体" w:cs="宋体"/>
        </w:rPr>
        <w:t>消防安全重点单位未将本单位消防安全责任人、消防安全管理人的基本情况和消防安全管理制度、应急预案向所在区、县公安机关消防机构备案的，责令改正，并可处1000元以上2000元以下罚款；未按照本条例规定进行电气防火安全检测并将检测记录存档备查的，责令改正，并可处1000元以上1万元以下罚款。</w:t>
      </w:r>
    </w:p>
    <w:p w14:paraId="791775A6">
      <w:pPr>
        <w:ind w:firstLine="422"/>
      </w:pPr>
      <w:r>
        <w:rPr>
          <w:rFonts w:hint="eastAsia"/>
          <w:b/>
        </w:rPr>
        <w:t>第八十一条</w:t>
      </w:r>
      <w:r>
        <w:rPr>
          <w:rFonts w:hint="eastAsia"/>
        </w:rPr>
        <w:t>　住宅区的物业服务企业或者其他管理人有违反《中华人民共和国消防法》和本条例规定的下列行为的，按照下列规定处罚：</w:t>
      </w:r>
    </w:p>
    <w:p w14:paraId="6FCFAF56">
      <w:pPr>
        <w:rPr>
          <w:rFonts w:hint="eastAsia" w:ascii="宋体" w:hAnsi="宋体" w:eastAsia="宋体" w:cs="宋体"/>
        </w:rPr>
      </w:pPr>
      <w:r>
        <w:rPr>
          <w:rFonts w:hint="eastAsia"/>
        </w:rPr>
        <w:t>（一）未按照规定对管理区域内的共用消防设施、器材进行维护管理，造成消防设施、器材不能保持完好有效的，责令改正，</w:t>
      </w:r>
      <w:r>
        <w:rPr>
          <w:rFonts w:hint="eastAsia" w:ascii="宋体" w:hAnsi="宋体" w:eastAsia="宋体" w:cs="宋体"/>
        </w:rPr>
        <w:t>处5000元以上5万元以下罚款；</w:t>
      </w:r>
    </w:p>
    <w:p w14:paraId="3E38CBD6">
      <w:pPr>
        <w:rPr>
          <w:rFonts w:hint="eastAsia" w:ascii="宋体" w:hAnsi="宋体" w:eastAsia="宋体" w:cs="宋体"/>
        </w:rPr>
      </w:pPr>
      <w:r>
        <w:rPr>
          <w:rFonts w:hint="eastAsia" w:ascii="宋体" w:hAnsi="宋体" w:eastAsia="宋体" w:cs="宋体"/>
        </w:rPr>
        <w:t>（二）划定和设置停车泊位及设施占用、堵塞消防车通道的，责令改正，处5000元以上5万元以下罚款；</w:t>
      </w:r>
    </w:p>
    <w:p w14:paraId="311CFB5E">
      <w:r>
        <w:rPr>
          <w:rFonts w:hint="eastAsia" w:ascii="宋体" w:hAnsi="宋体" w:eastAsia="宋体" w:cs="宋体"/>
        </w:rPr>
        <w:t>（三）对占用、堵塞、封闭疏散通道、安全出口、消防车通道的行为未进行劝阻，或者未按照规定向公安机关消防机构或者公安派出所报告的，责令改正，处500元以上1000</w:t>
      </w:r>
      <w:r>
        <w:rPr>
          <w:rFonts w:hint="eastAsia"/>
        </w:rPr>
        <w:t>元以下罚款。</w:t>
      </w:r>
    </w:p>
    <w:p w14:paraId="0885D178">
      <w:pPr>
        <w:ind w:firstLine="422"/>
        <w:rPr>
          <w:rFonts w:hint="eastAsia" w:ascii="宋体" w:hAnsi="宋体" w:eastAsia="宋体" w:cs="宋体"/>
        </w:rPr>
      </w:pPr>
      <w:r>
        <w:rPr>
          <w:rFonts w:hint="eastAsia"/>
          <w:b/>
        </w:rPr>
        <w:t>第八十二条</w:t>
      </w:r>
      <w:r>
        <w:rPr>
          <w:rFonts w:hint="eastAsia"/>
        </w:rPr>
        <w:t>　建设工程的施工单位违反本条例规定，有下列行为之一的，责令改正，处警告或者</w:t>
      </w:r>
      <w:r>
        <w:rPr>
          <w:rFonts w:hint="eastAsia" w:ascii="宋体" w:hAnsi="宋体" w:eastAsia="宋体" w:cs="宋体"/>
        </w:rPr>
        <w:t>2000元以上2万元以下罚款，可对单位直接负责的主管人员和其他直接责任人员并处200元以上2000元以下罚款：</w:t>
      </w:r>
    </w:p>
    <w:p w14:paraId="3517438B">
      <w:r>
        <w:rPr>
          <w:rFonts w:hint="eastAsia"/>
        </w:rPr>
        <w:t>（一）在开工前未将施工组织设计、施工现场消防安全措施和保卫方案向公安机关消防机构备案的；</w:t>
      </w:r>
    </w:p>
    <w:p w14:paraId="14E9CEC6">
      <w:r>
        <w:rPr>
          <w:rFonts w:hint="eastAsia"/>
        </w:rPr>
        <w:t>（二）施工暂设和安全网、围网、施工保温材料不符合消防安全规范或者使用易燃、可燃材料的；</w:t>
      </w:r>
    </w:p>
    <w:p w14:paraId="60E96EBF">
      <w:bookmarkStart w:id="1793" w:name="_Toc428780297"/>
      <w:r>
        <w:rPr>
          <w:rFonts w:hint="eastAsia"/>
        </w:rPr>
        <w:t>（三）违反消防安全管理规定存放、保管、使用施工材料的；</w:t>
      </w:r>
      <w:bookmarkEnd w:id="1793"/>
    </w:p>
    <w:p w14:paraId="4CF0FB01">
      <w:r>
        <w:rPr>
          <w:rFonts w:hint="eastAsia"/>
        </w:rPr>
        <w:t>（四）在建设工程内设置宿舍的；</w:t>
      </w:r>
    </w:p>
    <w:p w14:paraId="69E98266">
      <w:r>
        <w:rPr>
          <w:rFonts w:hint="eastAsia"/>
        </w:rPr>
        <w:t>（五）未设置临时消防车通道或者有在临时消防车通道上堆物、堆料等挤占临时消防车通道情形的；</w:t>
      </w:r>
    </w:p>
    <w:p w14:paraId="18803E24">
      <w:bookmarkStart w:id="1794" w:name="_Toc428780298"/>
      <w:r>
        <w:rPr>
          <w:rFonts w:hint="eastAsia"/>
        </w:rPr>
        <w:t>（六）未按照规定配置消防器材或者设置临时消防给水系统的；</w:t>
      </w:r>
      <w:bookmarkEnd w:id="1794"/>
    </w:p>
    <w:p w14:paraId="44A6A470">
      <w:r>
        <w:rPr>
          <w:rFonts w:hint="eastAsia"/>
        </w:rPr>
        <w:t>（七）使用不符合产品质量标准的临时用电设备和电线的。</w:t>
      </w:r>
    </w:p>
    <w:p w14:paraId="61DBCAF6">
      <w:pPr>
        <w:ind w:firstLine="422"/>
        <w:rPr>
          <w:rFonts w:hint="eastAsia" w:ascii="宋体" w:hAnsi="宋体" w:eastAsia="宋体" w:cs="宋体"/>
        </w:rPr>
      </w:pPr>
      <w:r>
        <w:rPr>
          <w:rFonts w:hint="eastAsia"/>
          <w:b/>
        </w:rPr>
        <w:t>第八十三条</w:t>
      </w:r>
      <w:r>
        <w:rPr>
          <w:rFonts w:hint="eastAsia"/>
        </w:rPr>
        <w:t>　人员密集场所的经营管理人未在使用天然气、液化石油气的场所安装浓度检测报警装置的，由城市管理综合执法部门责令改</w:t>
      </w:r>
      <w:r>
        <w:rPr>
          <w:rFonts w:hint="eastAsia" w:ascii="宋体" w:hAnsi="宋体" w:eastAsia="宋体" w:cs="宋体"/>
        </w:rPr>
        <w:t>正，并可处1万元以上3万元以下罚款。</w:t>
      </w:r>
    </w:p>
    <w:p w14:paraId="1D6EA58F">
      <w:pPr>
        <w:ind w:firstLine="422"/>
      </w:pPr>
      <w:r>
        <w:rPr>
          <w:rFonts w:hint="eastAsia"/>
          <w:b/>
        </w:rPr>
        <w:t>第八十四条</w:t>
      </w:r>
      <w:r>
        <w:rPr>
          <w:rFonts w:hint="eastAsia"/>
        </w:rPr>
        <w:t>　违反本条例规定，有下列行为之一的，责令改正，并</w:t>
      </w:r>
      <w:r>
        <w:rPr>
          <w:rFonts w:hint="eastAsia" w:ascii="宋体" w:hAnsi="宋体" w:eastAsia="宋体" w:cs="宋体"/>
        </w:rPr>
        <w:t>可处1万元以上3</w:t>
      </w:r>
      <w:r>
        <w:rPr>
          <w:rFonts w:hint="eastAsia"/>
        </w:rPr>
        <w:t>万元以下罚款：</w:t>
      </w:r>
    </w:p>
    <w:p w14:paraId="253FB71E">
      <w:r>
        <w:rPr>
          <w:rFonts w:hint="eastAsia"/>
        </w:rPr>
        <w:t>（一）高层建筑、人防工程和普通地下室的管理使用人维修消防设施未采取有效替代措施的；</w:t>
      </w:r>
    </w:p>
    <w:p w14:paraId="264499A4">
      <w:bookmarkStart w:id="1795" w:name="_Toc428780299"/>
      <w:r>
        <w:rPr>
          <w:rFonts w:hint="eastAsia"/>
        </w:rPr>
        <w:t>（二）占用人防工程和普通地下室安全出口外的人员疏散场地的；</w:t>
      </w:r>
      <w:bookmarkEnd w:id="1795"/>
    </w:p>
    <w:p w14:paraId="6AA60546">
      <w:r>
        <w:rPr>
          <w:rFonts w:hint="eastAsia"/>
        </w:rPr>
        <w:t>（三）在人防工程和普通地下室内使用液化石油气的。</w:t>
      </w:r>
    </w:p>
    <w:p w14:paraId="785E75C7">
      <w:pPr>
        <w:rPr>
          <w:rFonts w:hint="eastAsia" w:ascii="宋体" w:hAnsi="宋体" w:eastAsia="宋体" w:cs="宋体"/>
        </w:rPr>
      </w:pPr>
      <w:r>
        <w:rPr>
          <w:rFonts w:hint="eastAsia"/>
        </w:rPr>
        <w:t>在高层建筑、人防工程和普通地下室内生产、经营、储存易燃易爆危险品的，依法采取本条例规定的临时查封</w:t>
      </w:r>
      <w:r>
        <w:rPr>
          <w:rFonts w:hint="eastAsia" w:ascii="宋体" w:hAnsi="宋体" w:eastAsia="宋体" w:cs="宋体"/>
        </w:rPr>
        <w:t>、扣押等措施，并处5000元以上5万元以下罚款。</w:t>
      </w:r>
    </w:p>
    <w:p w14:paraId="41787631">
      <w:pPr>
        <w:ind w:firstLine="422"/>
        <w:rPr>
          <w:rFonts w:hint="eastAsia" w:ascii="宋体" w:hAnsi="宋体" w:eastAsia="宋体" w:cs="宋体"/>
        </w:rPr>
      </w:pPr>
      <w:r>
        <w:rPr>
          <w:rFonts w:hint="eastAsia"/>
          <w:b/>
        </w:rPr>
        <w:t>第八十五条</w:t>
      </w:r>
      <w:r>
        <w:rPr>
          <w:rFonts w:hint="eastAsia"/>
        </w:rPr>
        <w:t>　不可移动文物、历史建筑的管理使用人违反本条例规定，有下列行为之一的，责令改正，</w:t>
      </w:r>
      <w:r>
        <w:rPr>
          <w:rFonts w:hint="eastAsia" w:ascii="宋体" w:hAnsi="宋体" w:eastAsia="宋体" w:cs="宋体"/>
        </w:rPr>
        <w:t>处5000元以上5万元以下罚款：</w:t>
      </w:r>
    </w:p>
    <w:p w14:paraId="27C42160">
      <w:bookmarkStart w:id="1796" w:name="_Toc428780300"/>
      <w:r>
        <w:rPr>
          <w:rFonts w:hint="eastAsia"/>
        </w:rPr>
        <w:t>（一）未按照消防安全规定设置禁止烟火标志的；</w:t>
      </w:r>
      <w:bookmarkEnd w:id="1796"/>
    </w:p>
    <w:p w14:paraId="3ABB7103">
      <w:r>
        <w:rPr>
          <w:rFonts w:hint="eastAsia"/>
        </w:rPr>
        <w:t>（二）在宗教场所进行点灯、烧纸、焚香等宗教活动，未采取有效防火措施的；</w:t>
      </w:r>
    </w:p>
    <w:p w14:paraId="035E650A">
      <w:bookmarkStart w:id="1797" w:name="_Toc428780301"/>
      <w:r>
        <w:rPr>
          <w:rFonts w:hint="eastAsia"/>
        </w:rPr>
        <w:t>（三）在保护范围内存放易燃可燃物品的；</w:t>
      </w:r>
      <w:bookmarkEnd w:id="1797"/>
    </w:p>
    <w:p w14:paraId="1B506B9D">
      <w:r>
        <w:rPr>
          <w:rFonts w:hint="eastAsia"/>
        </w:rPr>
        <w:t>（四）未按照消防安全规定安装避雷设施、设置消防车通道和消防供水设施的。</w:t>
      </w:r>
    </w:p>
    <w:p w14:paraId="3BC49A4D">
      <w:pPr>
        <w:ind w:firstLine="422"/>
        <w:rPr>
          <w:rFonts w:hint="eastAsia" w:ascii="宋体" w:hAnsi="宋体" w:eastAsia="宋体" w:cs="宋体"/>
        </w:rPr>
      </w:pPr>
      <w:r>
        <w:rPr>
          <w:rFonts w:hint="eastAsia"/>
          <w:b/>
        </w:rPr>
        <w:t>第八十六条</w:t>
      </w:r>
      <w:r>
        <w:rPr>
          <w:rFonts w:hint="eastAsia"/>
        </w:rPr>
        <w:t>　食品生产加工、餐饮服务企业和有食堂的单位未按照本市排油烟管道清洗规范对集烟罩、排油烟管道等集排油烟设施</w:t>
      </w:r>
      <w:r>
        <w:rPr>
          <w:rFonts w:hint="eastAsia" w:ascii="宋体" w:hAnsi="宋体" w:eastAsia="宋体" w:cs="宋体"/>
        </w:rPr>
        <w:t>进行清洗的，责令改正，可处1000元以上5000元以下罚款；造成火灾的，处1万元以上3万元以下罚款。</w:t>
      </w:r>
    </w:p>
    <w:p w14:paraId="36AC16EA">
      <w:pPr>
        <w:ind w:firstLine="422"/>
        <w:rPr>
          <w:rFonts w:hint="eastAsia" w:ascii="宋体" w:hAnsi="宋体" w:eastAsia="宋体" w:cs="宋体"/>
        </w:rPr>
      </w:pPr>
      <w:r>
        <w:rPr>
          <w:rFonts w:hint="eastAsia"/>
          <w:b/>
        </w:rPr>
        <w:t>第八十七条</w:t>
      </w:r>
      <w:r>
        <w:rPr>
          <w:rFonts w:hint="eastAsia"/>
        </w:rPr>
        <w:t>　消防产品质量认证、消防设施检测、消防安全监测等消防技术服务机构和执业人员未按照规定向市公安机关消防机构备案或者未制定管理制度和服务质量规范的，责令改正，可</w:t>
      </w:r>
      <w:r>
        <w:rPr>
          <w:rFonts w:hint="eastAsia" w:ascii="宋体" w:hAnsi="宋体" w:eastAsia="宋体" w:cs="宋体"/>
        </w:rPr>
        <w:t>处2000元以上1万元以下罚款。</w:t>
      </w:r>
    </w:p>
    <w:p w14:paraId="4C4E43FD">
      <w:pPr>
        <w:ind w:firstLine="422"/>
      </w:pPr>
      <w:r>
        <w:rPr>
          <w:rFonts w:hint="eastAsia"/>
          <w:b/>
        </w:rPr>
        <w:t>第八十八条</w:t>
      </w:r>
      <w:r>
        <w:rPr>
          <w:rFonts w:hint="eastAsia"/>
        </w:rPr>
        <w:t>　单位存在严重消防违法行为或者多次发生同类违法行为，公安机关消防机构应当通知有关机构将该单位的违法信息记入信用信息系统。</w:t>
      </w:r>
    </w:p>
    <w:p w14:paraId="24C54862">
      <w:pPr>
        <w:ind w:firstLine="422"/>
        <w:rPr>
          <w:rFonts w:hint="eastAsia" w:ascii="宋体" w:hAnsi="宋体" w:eastAsia="宋体" w:cs="宋体"/>
        </w:rPr>
      </w:pPr>
      <w:r>
        <w:rPr>
          <w:rFonts w:hint="eastAsia"/>
          <w:b/>
        </w:rPr>
        <w:t>第八十九条</w:t>
      </w:r>
      <w:r>
        <w:rPr>
          <w:rFonts w:hint="eastAsia"/>
        </w:rPr>
        <w:t>　个人违反《中华人民共和国消防法</w:t>
      </w:r>
      <w:r>
        <w:rPr>
          <w:rFonts w:hint="eastAsia" w:ascii="宋体" w:hAnsi="宋体" w:eastAsia="宋体" w:cs="宋体"/>
        </w:rPr>
        <w:t>》和本条例规定，有下列行为之一的，责令改正，处警告或者500元以下罚款：</w:t>
      </w:r>
    </w:p>
    <w:p w14:paraId="7519B848">
      <w:bookmarkStart w:id="1798" w:name="_Toc428780302"/>
      <w:r>
        <w:rPr>
          <w:rFonts w:hint="eastAsia"/>
        </w:rPr>
        <w:t>（一）损坏、挪用或者擅自拆除、停用消防设施、器材；</w:t>
      </w:r>
      <w:bookmarkEnd w:id="1798"/>
    </w:p>
    <w:p w14:paraId="4FA46135">
      <w:r>
        <w:rPr>
          <w:rFonts w:hint="eastAsia"/>
        </w:rPr>
        <w:t>（二）占用、堵塞、封闭疏散通道、安全出口或者其他妨碍安全疏散的行为；</w:t>
      </w:r>
    </w:p>
    <w:p w14:paraId="39236C68">
      <w:bookmarkStart w:id="1799" w:name="_Toc428780303"/>
      <w:r>
        <w:rPr>
          <w:rFonts w:hint="eastAsia"/>
        </w:rPr>
        <w:t>（三）埋压、圈占、遮挡消火栓或者占用防火间距；</w:t>
      </w:r>
      <w:bookmarkEnd w:id="1799"/>
    </w:p>
    <w:p w14:paraId="0AFBFFD3">
      <w:r>
        <w:rPr>
          <w:rFonts w:hint="eastAsia"/>
        </w:rPr>
        <w:t>（四）占用、堵塞、封闭消防车通道，妨碍消防车通行。</w:t>
      </w:r>
    </w:p>
    <w:p w14:paraId="3E8B28BB">
      <w:pPr>
        <w:ind w:firstLine="422"/>
      </w:pPr>
      <w:r>
        <w:rPr>
          <w:rFonts w:hint="eastAsia"/>
          <w:b/>
        </w:rPr>
        <w:t>第九十条</w:t>
      </w:r>
      <w:r>
        <w:rPr>
          <w:rFonts w:hint="eastAsia"/>
        </w:rPr>
        <w:t>　单位或者个人违反《中华人民共和国消防法》和本条例规定，导致火灾发生或者火灾危害扩大，给他人人身、财产造成损害的，应当依法承担民事责任。</w:t>
      </w:r>
    </w:p>
    <w:p w14:paraId="39619ED8">
      <w:pPr>
        <w:ind w:firstLine="422"/>
      </w:pPr>
      <w:r>
        <w:rPr>
          <w:rFonts w:hint="eastAsia"/>
          <w:b/>
        </w:rPr>
        <w:t>第九十一条</w:t>
      </w:r>
      <w:r>
        <w:rPr>
          <w:rFonts w:hint="eastAsia"/>
        </w:rPr>
        <w:t>　本条例设定的行政处罚，除另有规定外，由公安机关消防机构决定。</w:t>
      </w:r>
    </w:p>
    <w:p w14:paraId="319C46E8"/>
    <w:p w14:paraId="4D93B68E">
      <w:pPr>
        <w:ind w:firstLine="0" w:firstLineChars="0"/>
        <w:jc w:val="center"/>
        <w:rPr>
          <w:rFonts w:hint="eastAsia"/>
          <w:b/>
          <w:sz w:val="28"/>
        </w:rPr>
      </w:pPr>
    </w:p>
    <w:p w14:paraId="09C5E976">
      <w:pPr>
        <w:ind w:firstLine="0" w:firstLineChars="0"/>
        <w:jc w:val="center"/>
        <w:rPr>
          <w:b/>
          <w:sz w:val="28"/>
        </w:rPr>
      </w:pPr>
      <w:r>
        <w:rPr>
          <w:rFonts w:hint="eastAsia"/>
          <w:b/>
          <w:sz w:val="28"/>
        </w:rPr>
        <w:t>第九章　附　则</w:t>
      </w:r>
    </w:p>
    <w:p w14:paraId="02384C9B"/>
    <w:p w14:paraId="46DC2122">
      <w:pPr>
        <w:ind w:firstLine="422"/>
        <w:rPr>
          <w:rFonts w:hint="eastAsia" w:ascii="宋体" w:hAnsi="宋体" w:eastAsia="宋体" w:cs="宋体"/>
        </w:rPr>
      </w:pPr>
      <w:r>
        <w:rPr>
          <w:rFonts w:hint="eastAsia"/>
          <w:b/>
        </w:rPr>
        <w:t>第九十二条</w:t>
      </w:r>
      <w:r>
        <w:rPr>
          <w:rFonts w:hint="eastAsia" w:ascii="宋体" w:hAnsi="宋体" w:eastAsia="宋体" w:cs="宋体"/>
        </w:rPr>
        <w:t>　本条例自2011年9月1日起施行。</w:t>
      </w:r>
    </w:p>
    <w:p w14:paraId="178DBF66"/>
    <w:p w14:paraId="0D1B93F0">
      <w:pPr>
        <w:pStyle w:val="4"/>
        <w:pageBreakBefore/>
      </w:pPr>
      <w:bookmarkStart w:id="1800" w:name="_Toc426467003"/>
      <w:bookmarkStart w:id="1801" w:name="_Toc428781751"/>
      <w:bookmarkStart w:id="1802" w:name="_Toc428780304"/>
      <w:r>
        <w:rPr>
          <w:rFonts w:hint="eastAsia"/>
        </w:rPr>
        <w:t>北京市预防和查处窃电行为条例</w:t>
      </w:r>
      <w:bookmarkEnd w:id="1800"/>
      <w:bookmarkEnd w:id="1801"/>
      <w:bookmarkEnd w:id="1802"/>
    </w:p>
    <w:p w14:paraId="1F59AEA1">
      <w:pPr>
        <w:ind w:left="630" w:leftChars="300" w:right="630" w:rightChars="300"/>
        <w:rPr>
          <w:rFonts w:ascii="楷体" w:hAnsi="楷体" w:eastAsia="楷体"/>
        </w:rPr>
      </w:pPr>
      <w:r>
        <w:rPr>
          <w:rFonts w:hint="eastAsia" w:ascii="楷体" w:hAnsi="楷体" w:eastAsia="楷体"/>
        </w:rPr>
        <w:t>（2003年7月18日北京市第十二届人民代表大会常务委员会第五次会议通过）</w:t>
      </w:r>
    </w:p>
    <w:p w14:paraId="0B8F0437"/>
    <w:p w14:paraId="2F35793B">
      <w:pPr>
        <w:ind w:firstLine="422"/>
      </w:pPr>
      <w:r>
        <w:rPr>
          <w:rFonts w:hint="eastAsia"/>
          <w:b/>
        </w:rPr>
        <w:t>第一条</w:t>
      </w:r>
      <w:r>
        <w:rPr>
          <w:rFonts w:hint="eastAsia"/>
        </w:rPr>
        <w:t xml:space="preserve">  为预防和查处窃电行为，保障供电企业和用户的合法权益，维护供用电秩序和电力运行安全，根据《中华人民共和国电力法》和有关法律、法规，结合本市实际，制定本条例。</w:t>
      </w:r>
    </w:p>
    <w:p w14:paraId="1DCF16B6">
      <w:pPr>
        <w:ind w:firstLine="422"/>
      </w:pPr>
      <w:r>
        <w:rPr>
          <w:rFonts w:hint="eastAsia"/>
          <w:b/>
        </w:rPr>
        <w:t>第二条</w:t>
      </w:r>
      <w:r>
        <w:rPr>
          <w:rFonts w:hint="eastAsia"/>
        </w:rPr>
        <w:t xml:space="preserve">  本条例所称窃电行为是指以非法占用电能为目的，采用秘密手段实施的下列不计或者少计电量的用电行为：</w:t>
      </w:r>
    </w:p>
    <w:p w14:paraId="1590DAFD">
      <w:r>
        <w:rPr>
          <w:rFonts w:hint="eastAsia"/>
        </w:rPr>
        <w:t>（一）在供电企业的供电设施或者其他用户的用电设施上擅自接线用电；</w:t>
      </w:r>
    </w:p>
    <w:p w14:paraId="454E3776">
      <w:bookmarkStart w:id="1803" w:name="_Toc428780305"/>
      <w:r>
        <w:rPr>
          <w:rFonts w:hint="eastAsia"/>
        </w:rPr>
        <w:t>（二）绕越法定的用电计量装置用电；</w:t>
      </w:r>
      <w:bookmarkEnd w:id="1803"/>
    </w:p>
    <w:p w14:paraId="5AC04444">
      <w:r>
        <w:rPr>
          <w:rFonts w:hint="eastAsia"/>
        </w:rPr>
        <w:t>（三）伪造或者开启法定的或者授权的计量检定机构加封的用电计量装置封印用电；</w:t>
      </w:r>
    </w:p>
    <w:p w14:paraId="6D721363">
      <w:bookmarkStart w:id="1804" w:name="_Toc428780306"/>
      <w:r>
        <w:rPr>
          <w:rFonts w:hint="eastAsia"/>
        </w:rPr>
        <w:t>（四）故意损坏法定的用电计量装置用电；</w:t>
      </w:r>
      <w:bookmarkEnd w:id="1804"/>
    </w:p>
    <w:p w14:paraId="3B213BC0">
      <w:r>
        <w:rPr>
          <w:rFonts w:hint="eastAsia"/>
        </w:rPr>
        <w:t>（五）故意使法定的用电计量装置计量不准或者失效用电；</w:t>
      </w:r>
    </w:p>
    <w:p w14:paraId="0D70DCF6">
      <w:r>
        <w:rPr>
          <w:rFonts w:hint="eastAsia"/>
        </w:rPr>
        <w:t>（六）使用特制的装置窃电；</w:t>
      </w:r>
    </w:p>
    <w:p w14:paraId="2A0605A2">
      <w:r>
        <w:rPr>
          <w:rFonts w:hint="eastAsia"/>
        </w:rPr>
        <w:t>（七）采用其他方法窃电。</w:t>
      </w:r>
    </w:p>
    <w:p w14:paraId="157D8D5F">
      <w:pPr>
        <w:ind w:firstLine="422"/>
      </w:pPr>
      <w:r>
        <w:rPr>
          <w:rFonts w:hint="eastAsia"/>
          <w:b/>
        </w:rPr>
        <w:t>第三条</w:t>
      </w:r>
      <w:r>
        <w:rPr>
          <w:rFonts w:hint="eastAsia"/>
        </w:rPr>
        <w:t xml:space="preserve">  任何单位和个人不得以任何方式窃电，不得胁迫、指使、协助他人窃电，不得向他人传授窃电方法，不得制造、出售窃电装置。</w:t>
      </w:r>
    </w:p>
    <w:p w14:paraId="392B8991">
      <w:r>
        <w:rPr>
          <w:rFonts w:hint="eastAsia"/>
        </w:rPr>
        <w:t>任何单位和个人都有权制止和检举窃电行为。</w:t>
      </w:r>
    </w:p>
    <w:p w14:paraId="594092BA">
      <w:pPr>
        <w:ind w:firstLine="422"/>
      </w:pPr>
      <w:r>
        <w:rPr>
          <w:rFonts w:hint="eastAsia"/>
          <w:b/>
        </w:rPr>
        <w:t>第四条</w:t>
      </w:r>
      <w:r>
        <w:rPr>
          <w:rFonts w:hint="eastAsia"/>
        </w:rPr>
        <w:t xml:space="preserve">  市和区、县人民政府负责电力行政管理的部门依法进行本行政区域内的供用电监督管理，对供电企业和用户执行电力法律、法规的情况进行监督检查。</w:t>
      </w:r>
    </w:p>
    <w:p w14:paraId="04B861B9">
      <w:r>
        <w:rPr>
          <w:rFonts w:hint="eastAsia"/>
        </w:rPr>
        <w:t>本市各级公安、检察、审判机关和工商行政管理、质量技术监督等部门按照各自的职责，依法维护供用电秩序，保护供电企业和用户的合法权益。</w:t>
      </w:r>
    </w:p>
    <w:p w14:paraId="0DD5E960">
      <w:pPr>
        <w:ind w:firstLine="422"/>
      </w:pPr>
      <w:r>
        <w:rPr>
          <w:rFonts w:hint="eastAsia"/>
          <w:b/>
        </w:rPr>
        <w:t>第五条</w:t>
      </w:r>
      <w:r>
        <w:rPr>
          <w:rFonts w:hint="eastAsia"/>
        </w:rPr>
        <w:t xml:space="preserve">  电力管理部门依法配备电力监督检查人员。</w:t>
      </w:r>
    </w:p>
    <w:p w14:paraId="451E9715">
      <w:r>
        <w:rPr>
          <w:rFonts w:hint="eastAsia"/>
        </w:rPr>
        <w:t>电力监督检查人员有权向供电企业或者用户了解有关执行电力法律、法规的情况，查阅有关资料，并进入现场进行检查。发现窃电行为，有权予以制止和查处。</w:t>
      </w:r>
    </w:p>
    <w:p w14:paraId="7A2CE8E7">
      <w:pPr>
        <w:ind w:firstLine="422"/>
      </w:pPr>
      <w:r>
        <w:rPr>
          <w:rFonts w:hint="eastAsia"/>
          <w:b/>
        </w:rPr>
        <w:t>第六条</w:t>
      </w:r>
      <w:r>
        <w:rPr>
          <w:rFonts w:hint="eastAsia"/>
        </w:rPr>
        <w:t xml:space="preserve">  电力监督检查人员进行监督检查时，不得少于二人，并应当出示由市电力管理部门核发的《电力监督检查证》。</w:t>
      </w:r>
    </w:p>
    <w:p w14:paraId="3DB54746">
      <w:pPr>
        <w:ind w:firstLine="422"/>
      </w:pPr>
      <w:r>
        <w:rPr>
          <w:rFonts w:hint="eastAsia"/>
          <w:b/>
        </w:rPr>
        <w:t>第七条</w:t>
      </w:r>
      <w:r>
        <w:rPr>
          <w:rFonts w:hint="eastAsia"/>
        </w:rPr>
        <w:t xml:space="preserve">  供电企业安装和使用的用电计量装置须经法定的或者授权的计量检定机构认可并加封。</w:t>
      </w:r>
    </w:p>
    <w:p w14:paraId="115AEA04">
      <w:r>
        <w:rPr>
          <w:rFonts w:hint="eastAsia"/>
        </w:rPr>
        <w:t>供电企业应当对安装在用户处的用电计量装置进行定期检查，并按照规定的周期对用电计量装置的计费电能表进行校验、轮换。</w:t>
      </w:r>
    </w:p>
    <w:p w14:paraId="2DB97C38">
      <w:pPr>
        <w:ind w:firstLine="422"/>
      </w:pPr>
      <w:r>
        <w:rPr>
          <w:rFonts w:hint="eastAsia"/>
          <w:b/>
        </w:rPr>
        <w:t>第八条</w:t>
      </w:r>
      <w:r>
        <w:rPr>
          <w:rFonts w:hint="eastAsia"/>
        </w:rPr>
        <w:t xml:space="preserve">  供电企业和用户应当根据平等自愿、协商一致的原则签订供用电合同，明确双方的权利和义务。</w:t>
      </w:r>
    </w:p>
    <w:p w14:paraId="3AEEDBB1">
      <w:pPr>
        <w:ind w:firstLine="422"/>
      </w:pPr>
      <w:r>
        <w:rPr>
          <w:rFonts w:hint="eastAsia"/>
          <w:b/>
        </w:rPr>
        <w:t>第九条</w:t>
      </w:r>
      <w:r>
        <w:rPr>
          <w:rFonts w:hint="eastAsia"/>
        </w:rPr>
        <w:t xml:space="preserve">  供电企业应当加强管理，定期或者不定期地进行用电安全检查；加强防范窃电技术的研究开发，采用和推广防范窃电的技术和装备。</w:t>
      </w:r>
    </w:p>
    <w:p w14:paraId="5B458BAB">
      <w:pPr>
        <w:ind w:firstLine="422"/>
      </w:pPr>
      <w:r>
        <w:rPr>
          <w:rFonts w:hint="eastAsia"/>
          <w:b/>
        </w:rPr>
        <w:t>第十条</w:t>
      </w:r>
      <w:r>
        <w:rPr>
          <w:rFonts w:hint="eastAsia"/>
        </w:rPr>
        <w:t xml:space="preserve">  供电企业依法配备用电检查人员。用电检查人员应当熟悉与供用电业务有关的法律、法规、政策、技术标准和供用电管理制度，并经相应的资格考试合格后，持《用电检查证》上岗工作。</w:t>
      </w:r>
    </w:p>
    <w:p w14:paraId="3F22F7A8">
      <w:r>
        <w:rPr>
          <w:rFonts w:hint="eastAsia"/>
        </w:rPr>
        <w:t>用电检查人员进入用户的用电现场依法进行用电安全检查时，不得少于二人，并应当出示《用电检查证》。用户对用电检查人员依法履行职责，应当给予配合。</w:t>
      </w:r>
    </w:p>
    <w:p w14:paraId="6DBCCED4">
      <w:pPr>
        <w:ind w:firstLine="422"/>
      </w:pPr>
      <w:r>
        <w:rPr>
          <w:rFonts w:hint="eastAsia"/>
          <w:b/>
        </w:rPr>
        <w:t>第十一条</w:t>
      </w:r>
      <w:r>
        <w:rPr>
          <w:rFonts w:hint="eastAsia"/>
        </w:rPr>
        <w:t xml:space="preserve">  用电检查人员在检查中发现用户有窃电行为或者窃电嫌疑的，应当立即向供电企业报告，由供电企业提请电力管理部门调查处理或者向公安机关报案。</w:t>
      </w:r>
    </w:p>
    <w:p w14:paraId="605939D9">
      <w:r>
        <w:rPr>
          <w:rFonts w:hint="eastAsia"/>
        </w:rPr>
        <w:t>用电检查人员对于现场发现的窃电行为，有权制止，并应当制作用电检查笔录，保存证据。</w:t>
      </w:r>
    </w:p>
    <w:p w14:paraId="1A215ED2">
      <w:pPr>
        <w:ind w:firstLine="422"/>
      </w:pPr>
      <w:r>
        <w:rPr>
          <w:rFonts w:hint="eastAsia"/>
          <w:b/>
        </w:rPr>
        <w:t>第十二条</w:t>
      </w:r>
      <w:r>
        <w:rPr>
          <w:rFonts w:hint="eastAsia"/>
        </w:rPr>
        <w:t xml:space="preserve">  供电企业为制止窃电行为，根据《中华人民共和国电力法》和《中华人民共和国合同法》的规定中断供电，应当符合下列条件：</w:t>
      </w:r>
    </w:p>
    <w:p w14:paraId="58BD4E70">
      <w:bookmarkStart w:id="1805" w:name="_Toc428780307"/>
      <w:r>
        <w:rPr>
          <w:rFonts w:hint="eastAsia"/>
        </w:rPr>
        <w:t>（一）予以事先通知；</w:t>
      </w:r>
      <w:bookmarkEnd w:id="1805"/>
    </w:p>
    <w:p w14:paraId="2AB2D536">
      <w:r>
        <w:rPr>
          <w:rFonts w:hint="eastAsia"/>
        </w:rPr>
        <w:t>（二）采取了防范设备重大损失、人身伤害的措施；</w:t>
      </w:r>
    </w:p>
    <w:p w14:paraId="780837E9">
      <w:bookmarkStart w:id="1806" w:name="_Toc428780308"/>
      <w:r>
        <w:rPr>
          <w:rFonts w:hint="eastAsia"/>
        </w:rPr>
        <w:t>（三）不影响社会公共利益或者危害社会公共安全；</w:t>
      </w:r>
      <w:bookmarkEnd w:id="1806"/>
    </w:p>
    <w:p w14:paraId="76FA0E2E">
      <w:r>
        <w:rPr>
          <w:rFonts w:hint="eastAsia"/>
        </w:rPr>
        <w:t>（四）不影响其他用户正常用电。</w:t>
      </w:r>
    </w:p>
    <w:p w14:paraId="0D97D584">
      <w:r>
        <w:rPr>
          <w:rFonts w:hint="eastAsia"/>
        </w:rPr>
        <w:t>用户对供电企业以窃电为由中断供电有异议的，可以向电力管理部门投诉。受理投诉的电力管理部门应当及时处理</w:t>
      </w:r>
      <w:r>
        <w:rPr>
          <w:rFonts w:hint="eastAsia" w:ascii="宋体" w:hAnsi="宋体" w:eastAsia="宋体" w:cs="宋体"/>
        </w:rPr>
        <w:t>，在3日内作出是否恢复</w:t>
      </w:r>
      <w:r>
        <w:rPr>
          <w:rFonts w:hint="eastAsia"/>
        </w:rPr>
        <w:t>供电的决定。</w:t>
      </w:r>
    </w:p>
    <w:p w14:paraId="11E9C43C">
      <w:pPr>
        <w:ind w:firstLine="422"/>
      </w:pPr>
      <w:r>
        <w:rPr>
          <w:rFonts w:hint="eastAsia"/>
          <w:b/>
        </w:rPr>
        <w:t>第十三条</w:t>
      </w:r>
      <w:r>
        <w:rPr>
          <w:rFonts w:hint="eastAsia"/>
        </w:rPr>
        <w:t xml:space="preserve">  有下列情形之一的，供电企业应当</w:t>
      </w:r>
      <w:r>
        <w:rPr>
          <w:rFonts w:hint="eastAsia" w:ascii="宋体" w:hAnsi="宋体" w:eastAsia="宋体" w:cs="宋体"/>
        </w:rPr>
        <w:t>在24小时内恢复</w:t>
      </w:r>
      <w:r>
        <w:rPr>
          <w:rFonts w:hint="eastAsia"/>
        </w:rPr>
        <w:t>供电：</w:t>
      </w:r>
    </w:p>
    <w:p w14:paraId="67A92E8F">
      <w:bookmarkStart w:id="1807" w:name="_Toc428780309"/>
      <w:r>
        <w:rPr>
          <w:rFonts w:hint="eastAsia"/>
        </w:rPr>
        <w:t>（一）被中断供电的用户停止窃电行为并承担了相应责任；</w:t>
      </w:r>
      <w:bookmarkEnd w:id="1807"/>
    </w:p>
    <w:p w14:paraId="68938B97">
      <w:r>
        <w:rPr>
          <w:rFonts w:hint="eastAsia"/>
        </w:rPr>
        <w:t>（二）被中断供电的用户按照《中华人民共和国合同法》的规定提供了适当担保；</w:t>
      </w:r>
    </w:p>
    <w:p w14:paraId="56B494BF">
      <w:r>
        <w:rPr>
          <w:rFonts w:hint="eastAsia"/>
        </w:rPr>
        <w:t>（三）电力管理部门作出了恢复供电的决定。</w:t>
      </w:r>
    </w:p>
    <w:p w14:paraId="0F133B24">
      <w:r>
        <w:rPr>
          <w:rFonts w:hint="eastAsia"/>
        </w:rPr>
        <w:t>供电企业由于供电设备的原因不能按照前款规定按时恢复供电的，应当向用户说明情况，并同时告知供电时间。</w:t>
      </w:r>
    </w:p>
    <w:p w14:paraId="40055122">
      <w:pPr>
        <w:ind w:firstLine="422"/>
      </w:pPr>
      <w:r>
        <w:rPr>
          <w:rFonts w:hint="eastAsia"/>
          <w:b/>
        </w:rPr>
        <w:t>第十四条</w:t>
      </w:r>
      <w:r>
        <w:rPr>
          <w:rFonts w:hint="eastAsia"/>
        </w:rPr>
        <w:t>　用户认为自身的合法权益受到窃电行为侵害的，可以报告电力管理部门调查处理或者向公安机关报案。</w:t>
      </w:r>
    </w:p>
    <w:p w14:paraId="29B81CB6">
      <w:pPr>
        <w:ind w:firstLine="422"/>
      </w:pPr>
      <w:r>
        <w:rPr>
          <w:rFonts w:hint="eastAsia"/>
          <w:b/>
        </w:rPr>
        <w:t>第十五条</w:t>
      </w:r>
      <w:r>
        <w:rPr>
          <w:rFonts w:hint="eastAsia"/>
        </w:rPr>
        <w:t>　电力管理部门对有下列情形之一的窃电案件，应当受理，并指派电力监督检查人员调查处理：</w:t>
      </w:r>
    </w:p>
    <w:p w14:paraId="4AA4FBAA">
      <w:r>
        <w:rPr>
          <w:rFonts w:hint="eastAsia"/>
        </w:rPr>
        <w:t>（一）用户报告的；</w:t>
      </w:r>
    </w:p>
    <w:p w14:paraId="34974BCB">
      <w:r>
        <w:rPr>
          <w:rFonts w:hint="eastAsia"/>
        </w:rPr>
        <w:t>（二）知情人举报的；</w:t>
      </w:r>
    </w:p>
    <w:p w14:paraId="74B12ACB">
      <w:r>
        <w:rPr>
          <w:rFonts w:hint="eastAsia"/>
        </w:rPr>
        <w:t>（三）供电企业提请调查处理的；</w:t>
      </w:r>
    </w:p>
    <w:p w14:paraId="35C7A68F">
      <w:r>
        <w:rPr>
          <w:rFonts w:hint="eastAsia"/>
        </w:rPr>
        <w:t>（四）上级电力管理部门交办的；</w:t>
      </w:r>
    </w:p>
    <w:p w14:paraId="2CD8D7E1">
      <w:r>
        <w:rPr>
          <w:rFonts w:hint="eastAsia"/>
        </w:rPr>
        <w:t>（五）其他部门移送的。</w:t>
      </w:r>
    </w:p>
    <w:p w14:paraId="4407300E">
      <w:r>
        <w:rPr>
          <w:rFonts w:hint="eastAsia"/>
        </w:rPr>
        <w:t>电力管理部门应当为窃电案件的举报者保密。</w:t>
      </w:r>
    </w:p>
    <w:p w14:paraId="0493F9DA">
      <w:pPr>
        <w:ind w:firstLine="422"/>
        <w:rPr>
          <w:rFonts w:hint="eastAsia" w:ascii="宋体" w:hAnsi="宋体" w:eastAsia="宋体" w:cs="宋体"/>
        </w:rPr>
      </w:pPr>
      <w:r>
        <w:rPr>
          <w:rFonts w:hint="eastAsia"/>
          <w:b/>
        </w:rPr>
        <w:t>第十六条</w:t>
      </w:r>
      <w:r>
        <w:rPr>
          <w:rFonts w:hint="eastAsia"/>
        </w:rPr>
        <w:t>　电力管理部门对于受理的窃电案件，违法事实清楚、情节轻微的，可以依法当场作出行政处罚决定；情节复杂、需要调查确认的，</w:t>
      </w:r>
      <w:r>
        <w:rPr>
          <w:rFonts w:hint="eastAsia" w:ascii="宋体" w:hAnsi="宋体" w:eastAsia="宋体" w:cs="宋体"/>
        </w:rPr>
        <w:t>应当在受理之日起7日内作出是否立案的决定；决定立案的，应当在立案之日起30日内作出下列处理：</w:t>
      </w:r>
    </w:p>
    <w:p w14:paraId="75B4FFB4">
      <w:bookmarkStart w:id="1808" w:name="_Toc428780310"/>
      <w:r>
        <w:rPr>
          <w:rFonts w:hint="eastAsia"/>
        </w:rPr>
        <w:t>（一）对事实不清、证据不足或者举报不实的案件，予以撤销；</w:t>
      </w:r>
      <w:bookmarkEnd w:id="1808"/>
    </w:p>
    <w:p w14:paraId="5E87ECBF">
      <w:r>
        <w:rPr>
          <w:rFonts w:hint="eastAsia"/>
        </w:rPr>
        <w:t>（二）对事实清楚、证据确凿的案件，依法作出行政处罚决定。</w:t>
      </w:r>
    </w:p>
    <w:p w14:paraId="3CD4F6F7">
      <w:pPr>
        <w:ind w:firstLine="422"/>
      </w:pPr>
      <w:r>
        <w:rPr>
          <w:rFonts w:hint="eastAsia"/>
          <w:b/>
        </w:rPr>
        <w:t>第十七条</w:t>
      </w:r>
      <w:r>
        <w:rPr>
          <w:rFonts w:hint="eastAsia"/>
        </w:rPr>
        <w:t>　窃电量按下列方法计算确定：</w:t>
      </w:r>
    </w:p>
    <w:p w14:paraId="4EEB4D70">
      <w:r>
        <w:rPr>
          <w:rFonts w:hint="eastAsia"/>
        </w:rPr>
        <w:t>（一）以本条例第二条第一项所列方法窃电的，按照所接设备的额定容量乘以实际窃电时间计算确定；</w:t>
      </w:r>
    </w:p>
    <w:p w14:paraId="54C7093B">
      <w:r>
        <w:rPr>
          <w:rFonts w:hint="eastAsia"/>
        </w:rPr>
        <w:t>（二）以本条例第二条第二项至第七项所列方法窃电的，可以根据情况，采用以下方法计算确定：</w:t>
      </w:r>
    </w:p>
    <w:p w14:paraId="254FF676">
      <w:r>
        <w:rPr>
          <w:rFonts w:hint="eastAsia"/>
        </w:rPr>
        <w:t>1．按照同属性单位正常用电的单位产品耗电量或者同类产品平均用电的单耗乘以窃电者的产品产量，加上其他辅助用电量，再减去用电计量装置的抄见电量计算确定；</w:t>
      </w:r>
    </w:p>
    <w:p w14:paraId="7871BEFC">
      <w:r>
        <w:rPr>
          <w:rFonts w:hint="eastAsia"/>
        </w:rPr>
        <w:t>2．按照窃电后用电计量装置的抄见电量与窃电前正常的月平均用电量的差额，并根据实际用电变化确定；窃电前正常用电超过六个月的，按六个月计算月平均用电量；窃电前正常用电不足六个月的，按实际正常用电时间计算月平均用电量；</w:t>
      </w:r>
    </w:p>
    <w:p w14:paraId="4E6CE141">
      <w:r>
        <w:rPr>
          <w:rFonts w:hint="eastAsia"/>
        </w:rPr>
        <w:t>3．采用上述方法难以计算窃电量的，按照用电计量装置标定电流值（对装有限流器的，按限流器整定电流值）所指的容量，乘以实际窃电时间计算确定；通过互感器窃电的，计算窃电量时还应当乘以相应的互感器倍率。</w:t>
      </w:r>
    </w:p>
    <w:p w14:paraId="256C2AC2">
      <w:r>
        <w:rPr>
          <w:rFonts w:hint="eastAsia"/>
        </w:rPr>
        <w:t>实际窃电时间无法查明时，窃电量按照国家有关规定确定。</w:t>
      </w:r>
    </w:p>
    <w:p w14:paraId="3CED5D01">
      <w:pPr>
        <w:ind w:firstLine="422"/>
      </w:pPr>
      <w:r>
        <w:rPr>
          <w:rFonts w:hint="eastAsia"/>
          <w:b/>
        </w:rPr>
        <w:t>第十八条</w:t>
      </w:r>
      <w:r>
        <w:rPr>
          <w:rFonts w:hint="eastAsia"/>
        </w:rPr>
        <w:t>　窃电金额按照窃电量乘以本市价格行政管理部门核定的目录电价计算。</w:t>
      </w:r>
    </w:p>
    <w:p w14:paraId="3667212C">
      <w:r>
        <w:rPr>
          <w:rFonts w:hint="eastAsia"/>
        </w:rPr>
        <w:t>窃电金额的计算由电力管理部门负责。</w:t>
      </w:r>
    </w:p>
    <w:p w14:paraId="2DBB62F4">
      <w:pPr>
        <w:ind w:firstLine="422"/>
      </w:pPr>
      <w:r>
        <w:rPr>
          <w:rFonts w:hint="eastAsia"/>
          <w:b/>
        </w:rPr>
        <w:t>第十九条</w:t>
      </w:r>
      <w:r>
        <w:rPr>
          <w:rFonts w:hint="eastAsia"/>
        </w:rPr>
        <w:t>　违反本条例第三条规定的，按照下列规定处理：</w:t>
      </w:r>
    </w:p>
    <w:p w14:paraId="53EBB57D">
      <w:pPr>
        <w:rPr>
          <w:rFonts w:hint="eastAsia" w:ascii="宋体" w:hAnsi="宋体" w:eastAsia="宋体" w:cs="宋体"/>
        </w:rPr>
      </w:pPr>
      <w:r>
        <w:rPr>
          <w:rFonts w:hint="eastAsia"/>
        </w:rPr>
        <w:t>（一）盗窃电能的，由电力管理部门责令停止违法行为，追缴电费并处应交电费</w:t>
      </w:r>
      <w:r>
        <w:rPr>
          <w:rFonts w:hint="eastAsia" w:ascii="宋体" w:hAnsi="宋体" w:eastAsia="宋体" w:cs="宋体"/>
        </w:rPr>
        <w:t>5</w:t>
      </w:r>
      <w:r>
        <w:rPr>
          <w:rFonts w:hint="eastAsia"/>
        </w:rPr>
        <w:t>倍以下的罚款；</w:t>
      </w:r>
    </w:p>
    <w:p w14:paraId="53D03D85">
      <w:pPr>
        <w:rPr>
          <w:rFonts w:hint="eastAsia" w:ascii="宋体" w:hAnsi="宋体" w:eastAsia="宋体" w:cs="宋体"/>
        </w:rPr>
      </w:pPr>
      <w:r>
        <w:rPr>
          <w:rFonts w:hint="eastAsia" w:ascii="宋体" w:hAnsi="宋体" w:eastAsia="宋体" w:cs="宋体"/>
        </w:rPr>
        <w:t>（二）制造窃电装置的，由质量技术监督部门责令停止违法行为，没收窃电装置及违法所得，并处1000元以上5万元以下的罚款；</w:t>
      </w:r>
    </w:p>
    <w:p w14:paraId="673713FC">
      <w:pPr>
        <w:rPr>
          <w:rFonts w:hint="eastAsia" w:ascii="宋体" w:hAnsi="宋体" w:eastAsia="宋体" w:cs="宋体"/>
        </w:rPr>
      </w:pPr>
      <w:r>
        <w:rPr>
          <w:rFonts w:hint="eastAsia" w:ascii="宋体" w:hAnsi="宋体" w:eastAsia="宋体" w:cs="宋体"/>
        </w:rPr>
        <w:t>（三）出售窃电装置的，由工商行政管理部门责令停止违法行为，没收窃电装置及违法所得，并处1000元以上5万元以下的罚款；</w:t>
      </w:r>
    </w:p>
    <w:p w14:paraId="5E0C0A9D">
      <w:pPr>
        <w:rPr>
          <w:rFonts w:hint="eastAsia" w:ascii="宋体" w:hAnsi="宋体" w:eastAsia="宋体" w:cs="宋体"/>
        </w:rPr>
      </w:pPr>
      <w:r>
        <w:rPr>
          <w:rFonts w:hint="eastAsia" w:ascii="宋体" w:hAnsi="宋体" w:eastAsia="宋体" w:cs="宋体"/>
        </w:rPr>
        <w:t>（四）胁迫、指使、协助他人窃电或者向他人传授窃电方法的，由电力管理部门责令停止违法行为，没收违法所得，并处500元以上1万元以下的罚款。</w:t>
      </w:r>
    </w:p>
    <w:p w14:paraId="061466D0">
      <w:pPr>
        <w:ind w:firstLine="422"/>
      </w:pPr>
      <w:r>
        <w:rPr>
          <w:rFonts w:hint="eastAsia"/>
          <w:b/>
        </w:rPr>
        <w:t>第二十条</w:t>
      </w:r>
      <w:r>
        <w:rPr>
          <w:rFonts w:hint="eastAsia"/>
        </w:rPr>
        <w:t>　单位实施窃电行为或者制造、出售窃电装置的，负责查处的有关行政管理部门应当将行政处罚情况记入本市的信用信息系统。</w:t>
      </w:r>
    </w:p>
    <w:p w14:paraId="10FAEAE8">
      <w:pPr>
        <w:ind w:firstLine="422"/>
      </w:pPr>
      <w:r>
        <w:rPr>
          <w:rFonts w:hint="eastAsia"/>
          <w:b/>
        </w:rPr>
        <w:t>第二十一条</w:t>
      </w:r>
      <w:r>
        <w:rPr>
          <w:rFonts w:hint="eastAsia"/>
        </w:rPr>
        <w:t>　拒绝、阻碍电力监督检查人员执行公务或者殴打、侮辱依法履行职责的用电检查人员的，由公安机关依照《中华人民共和国治安管理处罚条例》的规定处罚。</w:t>
      </w:r>
    </w:p>
    <w:p w14:paraId="12EA0392">
      <w:pPr>
        <w:ind w:firstLine="422"/>
      </w:pPr>
      <w:r>
        <w:rPr>
          <w:rFonts w:hint="eastAsia"/>
          <w:b/>
        </w:rPr>
        <w:t>第二十二条</w:t>
      </w:r>
      <w:r>
        <w:rPr>
          <w:rFonts w:hint="eastAsia"/>
        </w:rPr>
        <w:t>　供电企业违反本条例第十二条、第十三条规定中断供电或者未按时恢复供电，给用户造成损失的，应当依法承担赔偿责任。</w:t>
      </w:r>
    </w:p>
    <w:p w14:paraId="5FEA0007">
      <w:pPr>
        <w:ind w:firstLine="422"/>
      </w:pPr>
      <w:r>
        <w:rPr>
          <w:rFonts w:hint="eastAsia"/>
          <w:b/>
        </w:rPr>
        <w:t>第二十三条</w:t>
      </w:r>
      <w:r>
        <w:rPr>
          <w:rFonts w:hint="eastAsia"/>
        </w:rPr>
        <w:t>　盗窃电能造成供用电设施损坏、停电事故或者导致他人人身伤害、财产损失的，窃电者应当依法承担民事责任。</w:t>
      </w:r>
    </w:p>
    <w:p w14:paraId="7D780153">
      <w:pPr>
        <w:ind w:firstLine="422"/>
      </w:pPr>
      <w:r>
        <w:rPr>
          <w:rFonts w:hint="eastAsia"/>
          <w:b/>
        </w:rPr>
        <w:t>第二十四条</w:t>
      </w:r>
      <w:r>
        <w:rPr>
          <w:rFonts w:hint="eastAsia"/>
        </w:rPr>
        <w:t>　电力管理部门及有关行政管理部门违反本条例规定，没有履行法定职责或者滥用职权的，由上级行政机关或者监察机关责令改正，对直接负责的主管人员和其他直接责任人员依法给予行政处分。</w:t>
      </w:r>
    </w:p>
    <w:p w14:paraId="32914522">
      <w:pPr>
        <w:ind w:firstLine="422"/>
      </w:pPr>
      <w:r>
        <w:rPr>
          <w:rFonts w:hint="eastAsia"/>
          <w:b/>
        </w:rPr>
        <w:t>第二十五条</w:t>
      </w:r>
      <w:r>
        <w:rPr>
          <w:rFonts w:hint="eastAsia"/>
        </w:rPr>
        <w:t>　违反本条例规定的行为，构成犯罪的，依法追究刑事责任。</w:t>
      </w:r>
    </w:p>
    <w:p w14:paraId="1D00580E">
      <w:pPr>
        <w:ind w:firstLine="422"/>
      </w:pPr>
      <w:r>
        <w:rPr>
          <w:rFonts w:hint="eastAsia"/>
          <w:b/>
        </w:rPr>
        <w:t>第二十六条</w:t>
      </w:r>
      <w:r>
        <w:rPr>
          <w:rFonts w:hint="eastAsia"/>
        </w:rPr>
        <w:t>　本条例</w:t>
      </w:r>
      <w:r>
        <w:rPr>
          <w:rFonts w:hint="eastAsia" w:ascii="宋体" w:hAnsi="宋体" w:eastAsia="宋体" w:cs="宋体"/>
        </w:rPr>
        <w:t>自2003年9月1日起施行</w:t>
      </w:r>
      <w:r>
        <w:rPr>
          <w:rFonts w:hint="eastAsia"/>
        </w:rPr>
        <w:t>。</w:t>
      </w:r>
    </w:p>
    <w:p w14:paraId="3A60280B">
      <w:pPr>
        <w:pStyle w:val="4"/>
        <w:pageBreakBefore/>
      </w:pPr>
      <w:bookmarkStart w:id="1809" w:name="_Toc426467004"/>
      <w:bookmarkStart w:id="1810" w:name="_Toc428781752"/>
      <w:bookmarkStart w:id="1811" w:name="_Toc428780311"/>
      <w:r>
        <w:rPr>
          <w:rFonts w:hint="eastAsia"/>
        </w:rPr>
        <w:t>北京市中小学生人身伤害事故预防与处理条例</w:t>
      </w:r>
      <w:bookmarkEnd w:id="1809"/>
      <w:bookmarkEnd w:id="1810"/>
      <w:bookmarkEnd w:id="1811"/>
    </w:p>
    <w:p w14:paraId="2775856E">
      <w:pPr>
        <w:ind w:left="630" w:leftChars="300" w:right="630" w:rightChars="300"/>
        <w:rPr>
          <w:rFonts w:ascii="楷体" w:hAnsi="楷体" w:eastAsia="楷体"/>
        </w:rPr>
      </w:pPr>
      <w:r>
        <w:rPr>
          <w:rFonts w:hint="eastAsia" w:ascii="楷体" w:hAnsi="楷体" w:eastAsia="楷体"/>
        </w:rPr>
        <w:t>（2003年9月5日北京市第十二届人民代表大会常务委员会第六次会议通过  2003年9月12日北京市人民代表大会常务委员会公告第10号公布）</w:t>
      </w:r>
    </w:p>
    <w:p w14:paraId="2F22BF20"/>
    <w:p w14:paraId="1461CE51">
      <w:pPr>
        <w:ind w:firstLine="0" w:firstLineChars="0"/>
        <w:jc w:val="center"/>
        <w:rPr>
          <w:b/>
          <w:sz w:val="28"/>
        </w:rPr>
      </w:pPr>
      <w:r>
        <w:rPr>
          <w:rFonts w:hint="eastAsia"/>
          <w:b/>
          <w:sz w:val="28"/>
        </w:rPr>
        <w:t>第一章　总　则</w:t>
      </w:r>
    </w:p>
    <w:p w14:paraId="0289FAA1"/>
    <w:p w14:paraId="22451741">
      <w:pPr>
        <w:ind w:firstLine="422"/>
      </w:pPr>
      <w:r>
        <w:rPr>
          <w:rFonts w:hint="eastAsia"/>
          <w:b/>
        </w:rPr>
        <w:t>第一条</w:t>
      </w:r>
      <w:r>
        <w:rPr>
          <w:rFonts w:hint="eastAsia"/>
        </w:rPr>
        <w:t xml:space="preserve">  为了预防和处理中小学生人身伤害事故，保护中小学生和学校的合法权益，根据国家有关法律法规，结合本市实际情况，制定本条例。</w:t>
      </w:r>
    </w:p>
    <w:p w14:paraId="20B4D8C5">
      <w:pPr>
        <w:ind w:firstLine="422"/>
      </w:pPr>
      <w:r>
        <w:rPr>
          <w:rFonts w:hint="eastAsia"/>
          <w:b/>
        </w:rPr>
        <w:t>第二条</w:t>
      </w:r>
      <w:r>
        <w:rPr>
          <w:rFonts w:hint="eastAsia"/>
        </w:rPr>
        <w:t xml:space="preserve">  在本市行政区域内的中小学校（以下简称学校）教育教学活动期间，在校学生人身伤害事故（以下简称事故）的预防与处理，适用本条例。</w:t>
      </w:r>
    </w:p>
    <w:p w14:paraId="76B6CE50">
      <w:pPr>
        <w:ind w:firstLine="422"/>
      </w:pPr>
      <w:r>
        <w:rPr>
          <w:rFonts w:hint="eastAsia"/>
          <w:b/>
        </w:rPr>
        <w:t>第三条</w:t>
      </w:r>
      <w:r>
        <w:rPr>
          <w:rFonts w:hint="eastAsia"/>
        </w:rPr>
        <w:t xml:space="preserve">  保障学生人身安全，预防事故的发生是各级人民政府及其有关部门、学校举办者、学校、学生及其父母或者其他监护人和社会的共同责任。</w:t>
      </w:r>
    </w:p>
    <w:p w14:paraId="08D04F22">
      <w:pPr>
        <w:ind w:firstLine="422"/>
      </w:pPr>
      <w:r>
        <w:rPr>
          <w:rFonts w:hint="eastAsia"/>
          <w:b/>
        </w:rPr>
        <w:t>第四条</w:t>
      </w:r>
      <w:r>
        <w:rPr>
          <w:rFonts w:hint="eastAsia"/>
        </w:rPr>
        <w:t xml:space="preserve">  事故的处理应当遵循及时、合法、公正的原则。</w:t>
      </w:r>
    </w:p>
    <w:p w14:paraId="2FEDF402">
      <w:pPr>
        <w:ind w:firstLine="422"/>
      </w:pPr>
      <w:r>
        <w:rPr>
          <w:rFonts w:hint="eastAsia"/>
          <w:b/>
        </w:rPr>
        <w:t>第五条</w:t>
      </w:r>
      <w:r>
        <w:rPr>
          <w:rFonts w:hint="eastAsia"/>
        </w:rPr>
        <w:t xml:space="preserve">  市和区、县教育行政部门负责组织学校开展安全工作，监督学校落实事故预防措施，指导和协调事故的处理。</w:t>
      </w:r>
    </w:p>
    <w:p w14:paraId="72166351"/>
    <w:p w14:paraId="10137EE6">
      <w:pPr>
        <w:ind w:firstLine="0" w:firstLineChars="0"/>
        <w:jc w:val="center"/>
        <w:rPr>
          <w:b/>
          <w:sz w:val="28"/>
        </w:rPr>
      </w:pPr>
      <w:r>
        <w:rPr>
          <w:rFonts w:hint="eastAsia"/>
          <w:b/>
          <w:sz w:val="28"/>
        </w:rPr>
        <w:t>第二章  事故的预防</w:t>
      </w:r>
    </w:p>
    <w:p w14:paraId="2CE1A442"/>
    <w:p w14:paraId="493D174C">
      <w:pPr>
        <w:ind w:firstLine="422"/>
      </w:pPr>
      <w:r>
        <w:rPr>
          <w:rFonts w:hint="eastAsia"/>
          <w:b/>
        </w:rPr>
        <w:t>第六条</w:t>
      </w:r>
      <w:r>
        <w:rPr>
          <w:rFonts w:hint="eastAsia"/>
        </w:rPr>
        <w:t xml:space="preserve">  教育行政部门应当制定学校安全工作和事故预防的管理规范，并组织实施和检查。</w:t>
      </w:r>
    </w:p>
    <w:p w14:paraId="05968035">
      <w:pPr>
        <w:ind w:firstLine="422"/>
      </w:pPr>
      <w:r>
        <w:rPr>
          <w:rFonts w:hint="eastAsia"/>
          <w:b/>
        </w:rPr>
        <w:t>第七条</w:t>
      </w:r>
      <w:r>
        <w:rPr>
          <w:rFonts w:hint="eastAsia"/>
        </w:rPr>
        <w:t xml:space="preserve">  卫生行政部门应当对学校的教育教学设施、教学用具、食品和饮用水的卫生状况依法进行监督和检查，指导学校改进卫生工作。</w:t>
      </w:r>
    </w:p>
    <w:p w14:paraId="29B6150F">
      <w:r>
        <w:rPr>
          <w:rFonts w:hint="eastAsia"/>
        </w:rPr>
        <w:t>公安机关应当维护学校治安秩序，打击危害校园安全的违法犯罪活动，指导和监督学校做好校内防火和安全保卫工作。</w:t>
      </w:r>
    </w:p>
    <w:p w14:paraId="3A36579F">
      <w:r>
        <w:rPr>
          <w:rFonts w:hint="eastAsia"/>
        </w:rPr>
        <w:t>规划、建设、质量监督等有关行政部门应当在各自职责范围内做好相关的学校安全工作。</w:t>
      </w:r>
    </w:p>
    <w:p w14:paraId="5DF1D7C8">
      <w:pPr>
        <w:ind w:firstLine="422"/>
      </w:pPr>
      <w:r>
        <w:rPr>
          <w:rFonts w:hint="eastAsia"/>
          <w:b/>
        </w:rPr>
        <w:t>第八条</w:t>
      </w:r>
      <w:r>
        <w:rPr>
          <w:rFonts w:hint="eastAsia"/>
        </w:rPr>
        <w:t xml:space="preserve">  学校举办者为学校配备的教育教学和生活设施应当符合安全标准。</w:t>
      </w:r>
    </w:p>
    <w:p w14:paraId="14AD1A4F">
      <w:pPr>
        <w:ind w:firstLine="422"/>
      </w:pPr>
      <w:r>
        <w:rPr>
          <w:rFonts w:hint="eastAsia"/>
          <w:b/>
        </w:rPr>
        <w:t>第九条</w:t>
      </w:r>
      <w:r>
        <w:rPr>
          <w:rFonts w:hint="eastAsia"/>
        </w:rPr>
        <w:t xml:space="preserve">  在教育教学活动期间，学校依法对学生负有教育、管理和保护的职责。</w:t>
      </w:r>
    </w:p>
    <w:p w14:paraId="407FF823">
      <w:r>
        <w:rPr>
          <w:rFonts w:hint="eastAsia"/>
        </w:rPr>
        <w:t>学校应当对学生进行安全和自护自救知识的教育，增强学生的安全意识，提高防范能力。</w:t>
      </w:r>
    </w:p>
    <w:p w14:paraId="6F783EA0">
      <w:r>
        <w:rPr>
          <w:rFonts w:hint="eastAsia"/>
        </w:rPr>
        <w:t>学校应当建立健全事故预防制度，落实事故预防措施，做好日常安全管理工作，消除安全隐患。</w:t>
      </w:r>
    </w:p>
    <w:p w14:paraId="0308779F">
      <w:pPr>
        <w:ind w:firstLine="422"/>
      </w:pPr>
      <w:r>
        <w:rPr>
          <w:rFonts w:hint="eastAsia"/>
          <w:b/>
        </w:rPr>
        <w:t>第十条</w:t>
      </w:r>
      <w:r>
        <w:rPr>
          <w:rFonts w:hint="eastAsia"/>
        </w:rPr>
        <w:t xml:space="preserve">  学校应当履行下列职责：</w:t>
      </w:r>
    </w:p>
    <w:p w14:paraId="133A02CD">
      <w:r>
        <w:rPr>
          <w:rFonts w:hint="eastAsia"/>
        </w:rPr>
        <w:t>（一）保证使用中的教育教学和生活设施符合安全标准；对存在安全隐患的设施和设备，应当采取防护、警示措施并及时维修或者更换；对存在重大安全隐患的，应当立即停止使用。</w:t>
      </w:r>
    </w:p>
    <w:p w14:paraId="5FC1D202">
      <w:r>
        <w:rPr>
          <w:rFonts w:hint="eastAsia"/>
        </w:rPr>
        <w:t>（二）配备消防设备，保持安全通道的畅通。</w:t>
      </w:r>
    </w:p>
    <w:p w14:paraId="252CD584">
      <w:r>
        <w:rPr>
          <w:rFonts w:hint="eastAsia"/>
        </w:rPr>
        <w:t>（三）对校园内存在的易燃易爆及有毒物品依法管理。</w:t>
      </w:r>
    </w:p>
    <w:p w14:paraId="4136C803">
      <w:r>
        <w:rPr>
          <w:rFonts w:hint="eastAsia"/>
        </w:rPr>
        <w:t>（四）在选择与学生的学习和生活有关的产品与服务时，应当选择质量与安全性能符合有关标准和要求的产品与服务。</w:t>
      </w:r>
    </w:p>
    <w:p w14:paraId="441AC81D">
      <w:r>
        <w:rPr>
          <w:rFonts w:hint="eastAsia"/>
        </w:rPr>
        <w:t>（五）按照国家课程标准和本市教学要求开展体育、实验和其他教育教学活动。</w:t>
      </w:r>
    </w:p>
    <w:p w14:paraId="17D9FA63">
      <w:r>
        <w:rPr>
          <w:rFonts w:hint="eastAsia"/>
        </w:rPr>
        <w:t>（六）组织学生参加与其生理、心理特点相适应的劳动、实习、考察、社会实践和其他集体活动，并在可预见的范围内采取必要的安全措施。</w:t>
      </w:r>
    </w:p>
    <w:p w14:paraId="3E455B3F">
      <w:r>
        <w:rPr>
          <w:rFonts w:hint="eastAsia"/>
        </w:rPr>
        <w:t>（七）对已知患有不适宜从事教育教学及辅助工作的疾病的教职工，不得安排其担任相应的工作。</w:t>
      </w:r>
    </w:p>
    <w:p w14:paraId="1501A986">
      <w:r>
        <w:rPr>
          <w:rFonts w:hint="eastAsia"/>
        </w:rPr>
        <w:t>（八）对已知有特异体质或者疾病不适宜参加某种教育教学活动的学生，给予必要的照顾。</w:t>
      </w:r>
    </w:p>
    <w:p w14:paraId="58A87A5F">
      <w:r>
        <w:rPr>
          <w:rFonts w:hint="eastAsia"/>
        </w:rPr>
        <w:t>（九）对在校期间突发疾病的学生及时救助。</w:t>
      </w:r>
    </w:p>
    <w:p w14:paraId="251A7575">
      <w:r>
        <w:rPr>
          <w:rFonts w:hint="eastAsia"/>
        </w:rPr>
        <w:t>（十）发现或者知道学生有未到校、擅自离校等与学生人身安全直接相关的情形时，及时告知其父母或者其他监护人，并采取相应措施。</w:t>
      </w:r>
    </w:p>
    <w:p w14:paraId="3ED4857A">
      <w:r>
        <w:rPr>
          <w:rFonts w:hint="eastAsia"/>
        </w:rPr>
        <w:t>（十一）建立健全住宿学生的管理制度和安全保护措施，设专人负责管理住宿学生的生活和安全保护工作。</w:t>
      </w:r>
    </w:p>
    <w:p w14:paraId="69E08DAC">
      <w:pPr>
        <w:ind w:firstLine="422"/>
      </w:pPr>
      <w:r>
        <w:rPr>
          <w:rFonts w:hint="eastAsia"/>
          <w:b/>
        </w:rPr>
        <w:t>第十一条</w:t>
      </w:r>
      <w:r>
        <w:rPr>
          <w:rFonts w:hint="eastAsia"/>
        </w:rPr>
        <w:t xml:space="preserve">  学校教职工应当遵守工作纪律，不得擅离工作岗位，不得有侮辱、殴打或者体罚、变相体罚及其他伤害学生的行为，不得在工作中违反操作规程及其他有关规定。</w:t>
      </w:r>
    </w:p>
    <w:p w14:paraId="20EAF341">
      <w:r>
        <w:rPr>
          <w:rFonts w:hint="eastAsia"/>
        </w:rPr>
        <w:t>学校教职工在组织学生参加教育教学活动时，应当根据学生的年龄和认知能力对学生进行安全教育；发现学生行为具有危险性的，应当及时告诫或者制止。</w:t>
      </w:r>
    </w:p>
    <w:p w14:paraId="0A71DE87">
      <w:pPr>
        <w:ind w:firstLine="422"/>
      </w:pPr>
      <w:r>
        <w:rPr>
          <w:rFonts w:hint="eastAsia"/>
          <w:b/>
        </w:rPr>
        <w:t>第十二条</w:t>
      </w:r>
      <w:r>
        <w:rPr>
          <w:rFonts w:hint="eastAsia"/>
        </w:rPr>
        <w:t xml:space="preserve">  学生父母或者其他监护人应当依法履行监护责任，加强对学生的安全教育；配合学校做好学生的教育、管理和保护工作。</w:t>
      </w:r>
    </w:p>
    <w:p w14:paraId="1AA474F5">
      <w:r>
        <w:rPr>
          <w:rFonts w:hint="eastAsia"/>
        </w:rPr>
        <w:t>对有特异体质或者疾病的学生，其父母或者其他监护人应当安排学生进行健康状况检查，并向学校提供书面证明。</w:t>
      </w:r>
    </w:p>
    <w:p w14:paraId="15AD6257">
      <w:pPr>
        <w:ind w:firstLine="422"/>
      </w:pPr>
      <w:r>
        <w:rPr>
          <w:rFonts w:hint="eastAsia"/>
          <w:b/>
        </w:rPr>
        <w:t>第十三条</w:t>
      </w:r>
      <w:r>
        <w:rPr>
          <w:rFonts w:hint="eastAsia"/>
        </w:rPr>
        <w:t xml:space="preserve">  与学生学习和生活有关的产品与服务的提供者，应当保证其所提供的产品与服务符合国家和本市的相关质量和安全标准。</w:t>
      </w:r>
    </w:p>
    <w:p w14:paraId="300073D1">
      <w:pPr>
        <w:ind w:firstLine="422"/>
      </w:pPr>
      <w:r>
        <w:rPr>
          <w:rFonts w:hint="eastAsia"/>
          <w:b/>
        </w:rPr>
        <w:t>第十四条</w:t>
      </w:r>
      <w:r>
        <w:rPr>
          <w:rFonts w:hint="eastAsia"/>
        </w:rPr>
        <w:t xml:space="preserve">  学生应当遵守学校纪律和规章制度，服从学校的教育和管理，不得从事危及自身或者其他学生人身安全的活动。</w:t>
      </w:r>
    </w:p>
    <w:p w14:paraId="0911CCBC"/>
    <w:p w14:paraId="12A525A7">
      <w:pPr>
        <w:ind w:firstLine="0" w:firstLineChars="0"/>
        <w:jc w:val="center"/>
        <w:rPr>
          <w:b/>
          <w:sz w:val="28"/>
        </w:rPr>
      </w:pPr>
      <w:r>
        <w:rPr>
          <w:rFonts w:hint="eastAsia"/>
          <w:b/>
          <w:sz w:val="28"/>
        </w:rPr>
        <w:t>第三章  事故的处理</w:t>
      </w:r>
    </w:p>
    <w:p w14:paraId="4B7B732C"/>
    <w:p w14:paraId="1C434E4A">
      <w:pPr>
        <w:ind w:firstLine="422"/>
      </w:pPr>
      <w:r>
        <w:rPr>
          <w:rFonts w:hint="eastAsia"/>
          <w:b/>
        </w:rPr>
        <w:t>第十五条</w:t>
      </w:r>
      <w:r>
        <w:rPr>
          <w:rFonts w:hint="eastAsia"/>
        </w:rPr>
        <w:t xml:space="preserve">  事故发生后，学校应当及时救助受伤害学生，并告知学生父母或者其他监护人。</w:t>
      </w:r>
    </w:p>
    <w:p w14:paraId="39FAFE79">
      <w:pPr>
        <w:ind w:firstLine="422"/>
      </w:pPr>
      <w:r>
        <w:rPr>
          <w:rFonts w:hint="eastAsia"/>
          <w:b/>
        </w:rPr>
        <w:t>第十六条</w:t>
      </w:r>
      <w:r>
        <w:rPr>
          <w:rFonts w:hint="eastAsia"/>
        </w:rPr>
        <w:t xml:space="preserve">  事故发生后，学校</w:t>
      </w:r>
      <w:r>
        <w:rPr>
          <w:rFonts w:hint="eastAsia" w:ascii="宋体" w:hAnsi="宋体" w:eastAsia="宋体" w:cs="宋体"/>
        </w:rPr>
        <w:t>应当在24小时内将有关情况报告学校所在地的区、县教育行政部门；属于重大事故的，应当在2小时内报告区、县教育行政部门及有关部门，区、县教育行政部门接到报告后，应当在2小时内报告同级人民政府和</w:t>
      </w:r>
      <w:r>
        <w:rPr>
          <w:rFonts w:hint="eastAsia"/>
        </w:rPr>
        <w:t>市教育行政部门，并及时派人指导、协助事故处理。</w:t>
      </w:r>
    </w:p>
    <w:p w14:paraId="7D452B4F">
      <w:pPr>
        <w:ind w:firstLine="422"/>
      </w:pPr>
      <w:r>
        <w:rPr>
          <w:rFonts w:hint="eastAsia"/>
          <w:b/>
        </w:rPr>
        <w:t>第十七条</w:t>
      </w:r>
      <w:r>
        <w:rPr>
          <w:rFonts w:hint="eastAsia"/>
        </w:rPr>
        <w:t xml:space="preserve">  事故发生后，学校应当及时调查事故原因；必要时，应当保护事故现场及相关证据，并请求公安、卫生等部门进行调查和处理。</w:t>
      </w:r>
    </w:p>
    <w:p w14:paraId="6225E0F5">
      <w:r>
        <w:rPr>
          <w:rFonts w:hint="eastAsia"/>
        </w:rPr>
        <w:t>教育行政部门及有关部门、受伤害学生的父母或者其他监护人调查取证、了解事故情况时，学校应当协助、配合，提供真实情况和证据。</w:t>
      </w:r>
    </w:p>
    <w:p w14:paraId="03EBF414">
      <w:pPr>
        <w:ind w:firstLine="422"/>
        <w:rPr>
          <w:rFonts w:hint="eastAsia" w:ascii="宋体" w:hAnsi="宋体" w:eastAsia="宋体" w:cs="宋体"/>
        </w:rPr>
      </w:pPr>
      <w:r>
        <w:rPr>
          <w:rFonts w:hint="eastAsia"/>
          <w:b/>
        </w:rPr>
        <w:t>第十八条</w:t>
      </w:r>
      <w:r>
        <w:rPr>
          <w:rFonts w:hint="eastAsia"/>
        </w:rPr>
        <w:t xml:space="preserve">  对事故的处理，当事人可以通过协商方式解决，也可以按照自愿的原则，书面请求学校所在地的区、县教育行政部门协调。经协调，当事人对事故处理达成一致意见的，应当签订事故处理协议。区、县教育行政部门自接到请求之日起</w:t>
      </w:r>
      <w:r>
        <w:rPr>
          <w:rFonts w:hint="eastAsia" w:ascii="宋体" w:hAnsi="宋体" w:eastAsia="宋体" w:cs="宋体"/>
        </w:rPr>
        <w:t>超过60日，经协调仍不能达成一致意见的，可以终止协调。</w:t>
      </w:r>
    </w:p>
    <w:p w14:paraId="5B610B05">
      <w:r>
        <w:rPr>
          <w:rFonts w:hint="eastAsia"/>
        </w:rPr>
        <w:t>当事人不愿协商、协调，或者经协商、协调不能达成一致意见的，可以依法向人民法院提起诉讼。</w:t>
      </w:r>
    </w:p>
    <w:p w14:paraId="6A1BB037">
      <w:pPr>
        <w:ind w:firstLine="422"/>
      </w:pPr>
      <w:r>
        <w:rPr>
          <w:rFonts w:hint="eastAsia"/>
          <w:b/>
        </w:rPr>
        <w:t>第十九条</w:t>
      </w:r>
      <w:r>
        <w:rPr>
          <w:rFonts w:hint="eastAsia"/>
        </w:rPr>
        <w:t xml:space="preserve">  受伤害学生的父母或者其他监护人、参加事故处理的其他人在事故处理过程中，不得扰乱学校正常的教育教学秩序。</w:t>
      </w:r>
    </w:p>
    <w:p w14:paraId="4FBFFECD">
      <w:pPr>
        <w:ind w:firstLine="422"/>
      </w:pPr>
      <w:r>
        <w:rPr>
          <w:rFonts w:hint="eastAsia"/>
          <w:b/>
        </w:rPr>
        <w:t>第二十条</w:t>
      </w:r>
      <w:r>
        <w:rPr>
          <w:rFonts w:hint="eastAsia"/>
        </w:rPr>
        <w:t xml:space="preserve">  事故处理结束后，学校应当将事故处理结果书面报告学校所在地的区、县教育行政部门；对重大事故的处理结果，区、县教育行政部门应当上报同级人民政府和市教育行政部门。</w:t>
      </w:r>
    </w:p>
    <w:p w14:paraId="357437DA"/>
    <w:p w14:paraId="53245C1E">
      <w:pPr>
        <w:ind w:firstLine="0" w:firstLineChars="0"/>
        <w:jc w:val="center"/>
        <w:rPr>
          <w:b/>
          <w:sz w:val="28"/>
        </w:rPr>
      </w:pPr>
      <w:r>
        <w:rPr>
          <w:rFonts w:hint="eastAsia"/>
          <w:b/>
          <w:sz w:val="28"/>
        </w:rPr>
        <w:t>第四章  事故责任的承担与赔偿</w:t>
      </w:r>
    </w:p>
    <w:p w14:paraId="76739965"/>
    <w:p w14:paraId="0D828FB7">
      <w:pPr>
        <w:ind w:firstLine="422"/>
      </w:pPr>
      <w:r>
        <w:rPr>
          <w:rFonts w:hint="eastAsia"/>
          <w:b/>
        </w:rPr>
        <w:t>第二十一条</w:t>
      </w:r>
      <w:r>
        <w:rPr>
          <w:rFonts w:hint="eastAsia"/>
        </w:rPr>
        <w:t xml:space="preserve">  事故责任应当由有过错的一方承担；过错方为两方以上的，应当按照过错大小，分别承担相应的责任。法律另有规定的，从其规定。</w:t>
      </w:r>
    </w:p>
    <w:p w14:paraId="3AA365E0">
      <w:pPr>
        <w:ind w:firstLine="422"/>
      </w:pPr>
      <w:r>
        <w:rPr>
          <w:rFonts w:hint="eastAsia"/>
          <w:b/>
        </w:rPr>
        <w:t>第二十二条</w:t>
      </w:r>
      <w:r>
        <w:rPr>
          <w:rFonts w:hint="eastAsia"/>
        </w:rPr>
        <w:t xml:space="preserve">  因下列情形之一造成事故的，学校应当承担相应的责任：</w:t>
      </w:r>
    </w:p>
    <w:p w14:paraId="1E952414">
      <w:bookmarkStart w:id="1812" w:name="_Toc428780312"/>
      <w:r>
        <w:rPr>
          <w:rFonts w:hint="eastAsia"/>
        </w:rPr>
        <w:t>（一）学校未履行本条例第十条规定的职责的；</w:t>
      </w:r>
      <w:bookmarkEnd w:id="1812"/>
    </w:p>
    <w:p w14:paraId="2BBA6AED">
      <w:r>
        <w:rPr>
          <w:rFonts w:hint="eastAsia"/>
        </w:rPr>
        <w:t>（二）教职工未履行本条例第十一条规定的职责或者履行职责有过失的；</w:t>
      </w:r>
    </w:p>
    <w:p w14:paraId="52A8ABDD">
      <w:r>
        <w:rPr>
          <w:rFonts w:hint="eastAsia"/>
        </w:rPr>
        <w:t>（三）法律、法规规定学校应当承担责任的其他情形。</w:t>
      </w:r>
    </w:p>
    <w:p w14:paraId="68A9DDE2">
      <w:pPr>
        <w:ind w:firstLine="422"/>
      </w:pPr>
      <w:r>
        <w:rPr>
          <w:rFonts w:hint="eastAsia"/>
          <w:b/>
        </w:rPr>
        <w:t>第二十三条</w:t>
      </w:r>
      <w:r>
        <w:rPr>
          <w:rFonts w:hint="eastAsia"/>
        </w:rPr>
        <w:t xml:space="preserve">  事故发生后，学校对受伤害学生未采取救助措施，导致损害后果加重的，学校应当承担相应的责任。</w:t>
      </w:r>
    </w:p>
    <w:p w14:paraId="65BA452E">
      <w:pPr>
        <w:ind w:firstLine="422"/>
      </w:pPr>
      <w:r>
        <w:rPr>
          <w:rFonts w:hint="eastAsia"/>
          <w:b/>
        </w:rPr>
        <w:t>第二十四条</w:t>
      </w:r>
      <w:r>
        <w:rPr>
          <w:rFonts w:hint="eastAsia"/>
        </w:rPr>
        <w:t xml:space="preserve">  有下列情形之一，学校有过错的，应当承担相应的责任；学校无过错的，不承担责任。法律法规另有规定的除外。</w:t>
      </w:r>
    </w:p>
    <w:p w14:paraId="64D46921">
      <w:bookmarkStart w:id="1813" w:name="_Toc428780313"/>
      <w:r>
        <w:rPr>
          <w:rFonts w:hint="eastAsia"/>
        </w:rPr>
        <w:t>（一）学生自行上学、放学、返校、离校途中发生事故的；</w:t>
      </w:r>
      <w:bookmarkEnd w:id="1813"/>
    </w:p>
    <w:p w14:paraId="4326C5B0">
      <w:r>
        <w:rPr>
          <w:rFonts w:hint="eastAsia"/>
        </w:rPr>
        <w:t>（二）学生在学校教育教学活动或者集体活动期间擅自外出发生事故的；</w:t>
      </w:r>
    </w:p>
    <w:p w14:paraId="74D68746">
      <w:r>
        <w:rPr>
          <w:rFonts w:hint="eastAsia"/>
        </w:rPr>
        <w:t>（三）学生违反学校规定在非教育教学活动期间自行到校活动，或者放学后自行滞留学校期间发生事故的；</w:t>
      </w:r>
    </w:p>
    <w:p w14:paraId="5D5B7EF1">
      <w:bookmarkStart w:id="1814" w:name="_Toc428780314"/>
      <w:r>
        <w:rPr>
          <w:rFonts w:hint="eastAsia"/>
        </w:rPr>
        <w:t>（四）在教育教学活动期间，学校和学生以外的第三人造成事故的；</w:t>
      </w:r>
      <w:bookmarkEnd w:id="1814"/>
    </w:p>
    <w:p w14:paraId="7856E7AA">
      <w:r>
        <w:rPr>
          <w:rFonts w:hint="eastAsia"/>
        </w:rPr>
        <w:t>（五）学生对自己实施人身伤害的；</w:t>
      </w:r>
    </w:p>
    <w:p w14:paraId="3B897C9C">
      <w:r>
        <w:rPr>
          <w:rFonts w:hint="eastAsia"/>
        </w:rPr>
        <w:t>（六）在对抗性或者具有风险性的体育活动中发生事故的。</w:t>
      </w:r>
    </w:p>
    <w:p w14:paraId="6783CCA9">
      <w:pPr>
        <w:ind w:firstLine="422"/>
      </w:pPr>
      <w:r>
        <w:rPr>
          <w:rFonts w:hint="eastAsia"/>
          <w:b/>
        </w:rPr>
        <w:t>第二十五条</w:t>
      </w:r>
      <w:r>
        <w:rPr>
          <w:rFonts w:hint="eastAsia"/>
        </w:rPr>
        <w:t xml:space="preserve">  有下列情形之一的，学校不承担责任：</w:t>
      </w:r>
    </w:p>
    <w:p w14:paraId="2803A903">
      <w:bookmarkStart w:id="1815" w:name="_Toc428780315"/>
      <w:r>
        <w:rPr>
          <w:rFonts w:hint="eastAsia"/>
        </w:rPr>
        <w:t>（一）因不可抗力造成事故，并在合理期间内取得相关证明的；</w:t>
      </w:r>
      <w:bookmarkEnd w:id="1815"/>
    </w:p>
    <w:p w14:paraId="1CE1F5F4">
      <w:r>
        <w:rPr>
          <w:rFonts w:hint="eastAsia"/>
        </w:rPr>
        <w:t>（二）学校不知道或者难于知道学生有特异体质或者疾病，在教育教学活动中发生事故的；</w:t>
      </w:r>
    </w:p>
    <w:p w14:paraId="5D2C7B13">
      <w:r>
        <w:rPr>
          <w:rFonts w:hint="eastAsia"/>
        </w:rPr>
        <w:t>（三）学校有证据证明，学校及其教职工已经履行本条例第十条、第十一条规定的相应职责，但仍然没有避免事故发生的。</w:t>
      </w:r>
    </w:p>
    <w:p w14:paraId="2CFF05B8">
      <w:pPr>
        <w:ind w:firstLine="422"/>
      </w:pPr>
      <w:r>
        <w:rPr>
          <w:rFonts w:hint="eastAsia"/>
          <w:b/>
        </w:rPr>
        <w:t>第二十六条</w:t>
      </w:r>
      <w:r>
        <w:rPr>
          <w:rFonts w:hint="eastAsia"/>
        </w:rPr>
        <w:t xml:space="preserve">  因学生、学生父母或者其他监护人的过错造成事故的，学生、学生父母或者其他监护人应当承担相应的责任。</w:t>
      </w:r>
    </w:p>
    <w:p w14:paraId="1E2627DA">
      <w:pPr>
        <w:ind w:firstLine="422"/>
      </w:pPr>
      <w:r>
        <w:rPr>
          <w:rFonts w:hint="eastAsia"/>
          <w:b/>
        </w:rPr>
        <w:t>第二十七条</w:t>
      </w:r>
      <w:r>
        <w:rPr>
          <w:rFonts w:hint="eastAsia"/>
        </w:rPr>
        <w:t xml:space="preserve">  因与学生学习和生活有关的产品与服务提供者的过错造成事故的，产品与服务的提供者应当依法承担相应的责任。学校已先行赔付的，学校可以向产品与服务的提供者追偿。</w:t>
      </w:r>
    </w:p>
    <w:p w14:paraId="69135BE8">
      <w:pPr>
        <w:ind w:firstLine="422"/>
      </w:pPr>
      <w:r>
        <w:rPr>
          <w:rFonts w:hint="eastAsia"/>
          <w:b/>
        </w:rPr>
        <w:t>第二十八条</w:t>
      </w:r>
      <w:r>
        <w:rPr>
          <w:rFonts w:hint="eastAsia"/>
        </w:rPr>
        <w:t xml:space="preserve">  事故责任人应当依法承担损害赔偿责任。赔偿范围和标准按照国家和本市有关规定执行。</w:t>
      </w:r>
    </w:p>
    <w:p w14:paraId="4F1DCC43">
      <w:r>
        <w:rPr>
          <w:rFonts w:hint="eastAsia"/>
        </w:rPr>
        <w:t>受伤害学生及其亲属的户口、住房、就业、入学等与救助受伤害学生、赔偿相应经济损失无关的事项，不属于学校承担责任的范围。</w:t>
      </w:r>
    </w:p>
    <w:p w14:paraId="05494F28">
      <w:pPr>
        <w:ind w:firstLine="422"/>
      </w:pPr>
      <w:r>
        <w:rPr>
          <w:rFonts w:hint="eastAsia"/>
          <w:b/>
        </w:rPr>
        <w:t>第二十九条</w:t>
      </w:r>
      <w:r>
        <w:rPr>
          <w:rFonts w:hint="eastAsia"/>
        </w:rPr>
        <w:t xml:space="preserve">  因教职工未履行本条例第十一条规定的职责或者履行职责有过失造成事故的，学校在承担损害赔偿责任后，可以向有责任的教职工追偿。</w:t>
      </w:r>
    </w:p>
    <w:p w14:paraId="0A983628">
      <w:pPr>
        <w:ind w:firstLine="422"/>
      </w:pPr>
      <w:r>
        <w:rPr>
          <w:rFonts w:hint="eastAsia"/>
          <w:b/>
        </w:rPr>
        <w:t>第三十条</w:t>
      </w:r>
      <w:r>
        <w:rPr>
          <w:rFonts w:hint="eastAsia"/>
        </w:rPr>
        <w:t xml:space="preserve">  学校可以本着自愿原则，根据其条件和实际情况，对非因学校责任受到伤害的学生提供帮助。</w:t>
      </w:r>
    </w:p>
    <w:p w14:paraId="318FCF8B">
      <w:pPr>
        <w:ind w:firstLine="422"/>
      </w:pPr>
      <w:r>
        <w:rPr>
          <w:rFonts w:hint="eastAsia"/>
          <w:b/>
        </w:rPr>
        <w:t>第三十一条</w:t>
      </w:r>
      <w:r>
        <w:rPr>
          <w:rFonts w:hint="eastAsia"/>
        </w:rPr>
        <w:t xml:space="preserve">  市和区、县教育行政部门应当组织学校向保险机构办理责任保险。保险费用由学校举办者承担。</w:t>
      </w:r>
    </w:p>
    <w:p w14:paraId="64220C25">
      <w:r>
        <w:rPr>
          <w:rFonts w:hint="eastAsia"/>
        </w:rPr>
        <w:t>提倡学生父母或者其他监护人为学生办理意外伤害保险。</w:t>
      </w:r>
    </w:p>
    <w:p w14:paraId="7D0646B6"/>
    <w:p w14:paraId="2A7B5985">
      <w:pPr>
        <w:ind w:firstLine="0" w:firstLineChars="0"/>
        <w:jc w:val="center"/>
        <w:rPr>
          <w:b/>
          <w:sz w:val="28"/>
        </w:rPr>
      </w:pPr>
      <w:r>
        <w:rPr>
          <w:rFonts w:hint="eastAsia"/>
          <w:b/>
          <w:sz w:val="28"/>
        </w:rPr>
        <w:t>第五章  法律责任</w:t>
      </w:r>
    </w:p>
    <w:p w14:paraId="614C737E"/>
    <w:p w14:paraId="6EB461B1">
      <w:pPr>
        <w:ind w:firstLine="422"/>
      </w:pPr>
      <w:r>
        <w:rPr>
          <w:rFonts w:hint="eastAsia"/>
          <w:b/>
        </w:rPr>
        <w:t>第三十二条</w:t>
      </w:r>
      <w:r>
        <w:rPr>
          <w:rFonts w:hint="eastAsia"/>
        </w:rPr>
        <w:t xml:space="preserve">  学校及其教职工有下列情形之一的，由教育行政部门依法对直接负责的主管人员和直接责任人给予行政处分；构成犯罪的，依法追究刑事责任：</w:t>
      </w:r>
    </w:p>
    <w:p w14:paraId="00FB0BE8">
      <w:bookmarkStart w:id="1816" w:name="_Toc428780316"/>
      <w:r>
        <w:rPr>
          <w:rFonts w:hint="eastAsia"/>
        </w:rPr>
        <w:t>（一）未履行本条例规定的职责，造成重大事故的；</w:t>
      </w:r>
      <w:bookmarkEnd w:id="1816"/>
    </w:p>
    <w:p w14:paraId="40A69CD4">
      <w:r>
        <w:rPr>
          <w:rFonts w:hint="eastAsia"/>
        </w:rPr>
        <w:t>（二）瞒报、缓报或者谎报事故，造成严重后果的；</w:t>
      </w:r>
    </w:p>
    <w:p w14:paraId="6F2650AF">
      <w:r>
        <w:rPr>
          <w:rFonts w:hint="eastAsia"/>
        </w:rPr>
        <w:t>（三）妨碍事故调查或者提供虚假情况的。</w:t>
      </w:r>
    </w:p>
    <w:p w14:paraId="26EE3C75">
      <w:pPr>
        <w:ind w:firstLine="422"/>
      </w:pPr>
      <w:r>
        <w:rPr>
          <w:rFonts w:hint="eastAsia"/>
          <w:b/>
        </w:rPr>
        <w:t>第三十三条</w:t>
      </w:r>
      <w:r>
        <w:rPr>
          <w:rFonts w:hint="eastAsia"/>
        </w:rPr>
        <w:t xml:space="preserve">  学校违反本条例，安全管理制度和预防措施不落实、存在重大安全隐患的，教育、卫生行政部门或者公安机关应当责令限期改正，并依法给予行政处罚。</w:t>
      </w:r>
    </w:p>
    <w:p w14:paraId="31FBF738">
      <w:pPr>
        <w:ind w:firstLine="422"/>
      </w:pPr>
      <w:r>
        <w:rPr>
          <w:rFonts w:hint="eastAsia"/>
          <w:b/>
        </w:rPr>
        <w:t>第三十四条</w:t>
      </w:r>
      <w:r>
        <w:rPr>
          <w:rFonts w:hint="eastAsia"/>
        </w:rPr>
        <w:t xml:space="preserve">  对违反本条例在事故处理过程中，扰乱学校正常教育教学秩序，构成违反治安管理行为的，由公安机关依法处理；给学校造成损失的，应当依法赔偿损失。</w:t>
      </w:r>
    </w:p>
    <w:p w14:paraId="2D4585A4">
      <w:pPr>
        <w:ind w:firstLine="422"/>
      </w:pPr>
      <w:r>
        <w:rPr>
          <w:rFonts w:hint="eastAsia"/>
          <w:b/>
        </w:rPr>
        <w:t>第三十五条</w:t>
      </w:r>
      <w:r>
        <w:rPr>
          <w:rFonts w:hint="eastAsia"/>
        </w:rPr>
        <w:t xml:space="preserve">  对因违反学校纪律或规章制度，造成事故的学生，学校应当依据学籍管理的规定给予相应的处分。</w:t>
      </w:r>
    </w:p>
    <w:p w14:paraId="2F082892">
      <w:pPr>
        <w:ind w:firstLine="422"/>
      </w:pPr>
      <w:r>
        <w:rPr>
          <w:rFonts w:hint="eastAsia"/>
          <w:b/>
        </w:rPr>
        <w:t>第三十六条</w:t>
      </w:r>
      <w:r>
        <w:rPr>
          <w:rFonts w:hint="eastAsia"/>
        </w:rPr>
        <w:t xml:space="preserve">  教育、卫生行政部门和公安机关等有关部门及其工作人员未履行本条例规定的法定职责，玩忽职守的，由有关部门对直接负责的主管人员和直接责任人依法给予行政处分；情节严重，构成犯罪的，依法追究刑事责任。</w:t>
      </w:r>
    </w:p>
    <w:p w14:paraId="21EC717E"/>
    <w:p w14:paraId="66AD7766">
      <w:pPr>
        <w:ind w:firstLine="0" w:firstLineChars="0"/>
        <w:jc w:val="center"/>
        <w:rPr>
          <w:b/>
          <w:sz w:val="28"/>
        </w:rPr>
      </w:pPr>
      <w:r>
        <w:rPr>
          <w:rFonts w:hint="eastAsia"/>
          <w:b/>
          <w:sz w:val="28"/>
        </w:rPr>
        <w:t>第六章  附　则</w:t>
      </w:r>
    </w:p>
    <w:p w14:paraId="2936EA2D"/>
    <w:p w14:paraId="7DF58738">
      <w:pPr>
        <w:ind w:firstLine="422"/>
      </w:pPr>
      <w:r>
        <w:rPr>
          <w:rFonts w:hint="eastAsia"/>
          <w:b/>
        </w:rPr>
        <w:t>第三十七条</w:t>
      </w:r>
      <w:r>
        <w:rPr>
          <w:rFonts w:hint="eastAsia"/>
        </w:rPr>
        <w:t xml:space="preserve">  本条例下列用语的含义为：</w:t>
      </w:r>
    </w:p>
    <w:p w14:paraId="1344832D">
      <w:r>
        <w:rPr>
          <w:rFonts w:hint="eastAsia"/>
        </w:rPr>
        <w:t>（一）中小学校是指本市行政区域内经批准设立的全日制小学、初级中学、高级中学、各类中等职业学校。</w:t>
      </w:r>
    </w:p>
    <w:p w14:paraId="49E208B7">
      <w:r>
        <w:rPr>
          <w:rFonts w:hint="eastAsia"/>
        </w:rPr>
        <w:t>（二）中小学生是指在本条第（一）项所列学校中就读的受教育者。</w:t>
      </w:r>
    </w:p>
    <w:p w14:paraId="0C997951">
      <w:r>
        <w:rPr>
          <w:rFonts w:hint="eastAsia"/>
        </w:rPr>
        <w:t>（三）教职工是指本条第（一）项所列学校的校长、教师及其他工作人员。</w:t>
      </w:r>
    </w:p>
    <w:p w14:paraId="46A8CAEA">
      <w:r>
        <w:rPr>
          <w:rFonts w:hint="eastAsia"/>
        </w:rPr>
        <w:t>（四）教育教学活动期间是指在校内活动期间和寄宿制学生住宿期间，以及学校组织安排的校外活动期间。</w:t>
      </w:r>
    </w:p>
    <w:p w14:paraId="791A7BE9">
      <w:pPr>
        <w:rPr>
          <w:rFonts w:hint="eastAsia"/>
          <w:lang w:val="en-US" w:eastAsia="zh-CN"/>
        </w:rPr>
      </w:pPr>
      <w:r>
        <w:rPr>
          <w:rFonts w:hint="eastAsia"/>
        </w:rPr>
        <w:t>（五）人身伤害是指死亡、肢体残疾、组织器官功能障碍及其他影响人身健康的损伤。　　</w:t>
      </w:r>
      <w:r>
        <w:rPr>
          <w:rFonts w:hint="eastAsia"/>
          <w:lang w:val="en-US" w:eastAsia="zh-CN"/>
        </w:rPr>
        <w:t xml:space="preserve">   </w:t>
      </w:r>
    </w:p>
    <w:p w14:paraId="3D09F8F6">
      <w:r>
        <w:rPr>
          <w:rFonts w:hint="eastAsia"/>
          <w:b/>
        </w:rPr>
        <w:t xml:space="preserve">第三十八条  </w:t>
      </w:r>
      <w:r>
        <w:rPr>
          <w:rFonts w:hint="eastAsia"/>
        </w:rPr>
        <w:t>技工学校学生的事故预防与处理由本市劳动和社会保障部门依照本条例，负责组织、监督、指导和协调。</w:t>
      </w:r>
    </w:p>
    <w:p w14:paraId="75558157">
      <w:pPr>
        <w:ind w:firstLine="422"/>
      </w:pPr>
      <w:r>
        <w:rPr>
          <w:rFonts w:hint="eastAsia"/>
          <w:b/>
        </w:rPr>
        <w:t>第三十九条</w:t>
      </w:r>
      <w:r>
        <w:rPr>
          <w:rFonts w:hint="eastAsia"/>
        </w:rPr>
        <w:t xml:space="preserve">  学前教育机构中的学龄前儿童，少年宫、少年儿童活动中心、少年科技中心、少年业余体校等校外教育机构中的中小学生的事故预防和处理参照本条例执行。</w:t>
      </w:r>
    </w:p>
    <w:p w14:paraId="311A4D02">
      <w:pPr>
        <w:ind w:firstLine="422"/>
      </w:pPr>
      <w:r>
        <w:rPr>
          <w:rFonts w:hint="eastAsia"/>
          <w:b/>
        </w:rPr>
        <w:t xml:space="preserve">第四十条  </w:t>
      </w:r>
      <w:r>
        <w:rPr>
          <w:rFonts w:hint="eastAsia"/>
        </w:rPr>
        <w:t>本条例</w:t>
      </w:r>
      <w:r>
        <w:rPr>
          <w:rFonts w:hint="eastAsia" w:ascii="宋体" w:hAnsi="宋体" w:eastAsia="宋体" w:cs="宋体"/>
        </w:rPr>
        <w:t>自2004年1月1日起实施</w:t>
      </w:r>
      <w:r>
        <w:rPr>
          <w:rFonts w:hint="eastAsia"/>
        </w:rPr>
        <w:t>。</w:t>
      </w:r>
    </w:p>
    <w:p w14:paraId="329BCA56"/>
    <w:p w14:paraId="52976C8B"/>
    <w:p w14:paraId="531B37BE">
      <w:pPr>
        <w:pStyle w:val="4"/>
        <w:pageBreakBefore/>
      </w:pPr>
      <w:bookmarkStart w:id="1817" w:name="_Toc428781753"/>
      <w:bookmarkStart w:id="1818" w:name="_Toc428780317"/>
      <w:bookmarkStart w:id="1819" w:name="_Toc426467005"/>
      <w:r>
        <w:rPr>
          <w:rFonts w:hint="eastAsia"/>
        </w:rPr>
        <w:t>北京市养犬管理规定</w:t>
      </w:r>
      <w:bookmarkEnd w:id="1817"/>
      <w:bookmarkEnd w:id="1818"/>
      <w:bookmarkEnd w:id="1819"/>
    </w:p>
    <w:p w14:paraId="1414054A">
      <w:pPr>
        <w:ind w:left="630" w:leftChars="300" w:right="630" w:rightChars="300"/>
        <w:rPr>
          <w:rFonts w:ascii="楷体" w:hAnsi="楷体" w:eastAsia="楷体"/>
        </w:rPr>
      </w:pPr>
      <w:r>
        <w:rPr>
          <w:rFonts w:hint="eastAsia" w:ascii="楷体" w:hAnsi="楷体" w:eastAsia="楷体"/>
        </w:rPr>
        <w:t>（2003年9月5日北京市第十二届人民代表大会常务委员会第六次会议通过）</w:t>
      </w:r>
    </w:p>
    <w:p w14:paraId="03A10BD8"/>
    <w:p w14:paraId="5533B009">
      <w:pPr>
        <w:ind w:firstLine="422"/>
      </w:pPr>
      <w:r>
        <w:rPr>
          <w:rFonts w:hint="eastAsia"/>
          <w:b/>
        </w:rPr>
        <w:t>第一条</w:t>
      </w:r>
      <w:r>
        <w:rPr>
          <w:rFonts w:hint="eastAsia"/>
        </w:rPr>
        <w:t xml:space="preserve">  为加强养犬管理，保障公民健康和人身安全，维护市容环境和社会公共秩序，根据国家有关法律、法规，结合本市实际情况，制定本规定。</w:t>
      </w:r>
    </w:p>
    <w:p w14:paraId="63F7F6AC">
      <w:pPr>
        <w:ind w:firstLine="422"/>
      </w:pPr>
      <w:r>
        <w:rPr>
          <w:rFonts w:hint="eastAsia"/>
          <w:b/>
        </w:rPr>
        <w:t>第二条</w:t>
      </w:r>
      <w:r>
        <w:rPr>
          <w:rFonts w:hint="eastAsia"/>
        </w:rPr>
        <w:t xml:space="preserve">  本市行政区域内的机关、团体、部队、企业事业单位、其他组织和个人，均应当遵守本规定。</w:t>
      </w:r>
    </w:p>
    <w:p w14:paraId="0212BE89">
      <w:pPr>
        <w:ind w:firstLine="422"/>
      </w:pPr>
      <w:r>
        <w:rPr>
          <w:rFonts w:hint="eastAsia"/>
          <w:b/>
        </w:rPr>
        <w:t>第三条</w:t>
      </w:r>
      <w:r>
        <w:rPr>
          <w:rFonts w:hint="eastAsia"/>
        </w:rPr>
        <w:t xml:space="preserve">  本市对养犬实行严格管理、限管结合的方针，政府部门执法，基层组织参与管理，社会公众监督，养犬人自律。</w:t>
      </w:r>
    </w:p>
    <w:p w14:paraId="6234C8A2">
      <w:pPr>
        <w:ind w:firstLine="422"/>
      </w:pPr>
      <w:r>
        <w:rPr>
          <w:rFonts w:hint="eastAsia"/>
          <w:b/>
        </w:rPr>
        <w:t>第四条</w:t>
      </w:r>
      <w:r>
        <w:rPr>
          <w:rFonts w:hint="eastAsia"/>
        </w:rPr>
        <w:t xml:space="preserve">  本市各级人民政府负责本规定的组织实施。</w:t>
      </w:r>
    </w:p>
    <w:p w14:paraId="3DE76378">
      <w:r>
        <w:rPr>
          <w:rFonts w:hint="eastAsia"/>
        </w:rPr>
        <w:t>市和区、县、乡镇人民政府以及街道办事处，应当建立由公安、工商行政管理、畜牧兽医、卫生等行政部门和城市管理综合执法组织组成的养犬管理协调工作机制。</w:t>
      </w:r>
    </w:p>
    <w:p w14:paraId="325E66AD">
      <w:r>
        <w:rPr>
          <w:rFonts w:hint="eastAsia"/>
        </w:rPr>
        <w:t>公安机关是养犬管理工作的主管机关，全面负责养犬管理工作，并具体负责养犬登记和年检，查处无证养犬、违法携犬外出等行为。</w:t>
      </w:r>
    </w:p>
    <w:p w14:paraId="3191A522">
      <w:r>
        <w:rPr>
          <w:rFonts w:hint="eastAsia"/>
        </w:rPr>
        <w:t>有关行政部门和城市管理综合执法组织按照职责分工，各负其责：</w:t>
      </w:r>
    </w:p>
    <w:p w14:paraId="41F58D0F">
      <w:bookmarkStart w:id="1820" w:name="_Toc428780318"/>
      <w:r>
        <w:rPr>
          <w:rFonts w:hint="eastAsia"/>
        </w:rPr>
        <w:t>（一）畜牧兽医行政部门负责犬类的免疫、检疫和其他相关管理工作；</w:t>
      </w:r>
      <w:bookmarkEnd w:id="1820"/>
    </w:p>
    <w:p w14:paraId="04FC16D0">
      <w:r>
        <w:rPr>
          <w:rFonts w:hint="eastAsia"/>
        </w:rPr>
        <w:t>（二）城市管理综合执法组织负责对街面流动无照售犬行为和因养犬而破坏市容环境卫生行为的查处；协助公安机关查处无证养犬、违法携犬外出等行为；</w:t>
      </w:r>
    </w:p>
    <w:p w14:paraId="3B3A758D">
      <w:bookmarkStart w:id="1821" w:name="_Toc428780319"/>
      <w:r>
        <w:rPr>
          <w:rFonts w:hint="eastAsia"/>
        </w:rPr>
        <w:t>（三）工商行政管理部门负责对从事犬类经营活动的监督管理；</w:t>
      </w:r>
      <w:bookmarkEnd w:id="1821"/>
    </w:p>
    <w:p w14:paraId="4DD09F65">
      <w:r>
        <w:rPr>
          <w:rFonts w:hint="eastAsia"/>
        </w:rPr>
        <w:t>（四）卫生行政部门负责对人用狂犬病疫苗注射和狂犬病人诊治的管理。</w:t>
      </w:r>
    </w:p>
    <w:p w14:paraId="48358B9D">
      <w:r>
        <w:rPr>
          <w:rFonts w:hint="eastAsia"/>
        </w:rPr>
        <w:t>居民委员会、村民委员会和其他基层组织，应当协助本市各级人民政府做好养犬管理工作。</w:t>
      </w:r>
    </w:p>
    <w:p w14:paraId="4858713A">
      <w:pPr>
        <w:ind w:firstLine="422"/>
      </w:pPr>
      <w:r>
        <w:rPr>
          <w:rFonts w:hint="eastAsia"/>
          <w:b/>
        </w:rPr>
        <w:t>第五条</w:t>
      </w:r>
      <w:r>
        <w:rPr>
          <w:rFonts w:hint="eastAsia"/>
        </w:rPr>
        <w:t xml:space="preserve">  街道办事处、乡镇人民政府以及居民委员会、村民委员会，应当在居民、村民中开展依法养犬、文明养犬的宣传教育和培训工作。</w:t>
      </w:r>
    </w:p>
    <w:p w14:paraId="77E8C2DD">
      <w:r>
        <w:rPr>
          <w:rFonts w:hint="eastAsia"/>
        </w:rPr>
        <w:t>广播、电视、报刊等新闻媒体，应当做好养犬管理法律、法规以及卫生防疫的宣传教育工作。</w:t>
      </w:r>
    </w:p>
    <w:p w14:paraId="2606F3C7">
      <w:pPr>
        <w:ind w:firstLine="422"/>
      </w:pPr>
      <w:r>
        <w:rPr>
          <w:rFonts w:hint="eastAsia"/>
          <w:b/>
        </w:rPr>
        <w:t>第六条</w:t>
      </w:r>
      <w:r>
        <w:rPr>
          <w:rFonts w:hint="eastAsia"/>
        </w:rPr>
        <w:t xml:space="preserve">  居民委员会、村民委员会、业主委员会可以召集居民会议、村民会议、业主会议，就本居住地区有关养犬管理规定事项依法制定公约，并组织监督实施。居民、村民、业主应当遵守公约。</w:t>
      </w:r>
    </w:p>
    <w:p w14:paraId="686EE7E7">
      <w:pPr>
        <w:ind w:firstLine="422"/>
      </w:pPr>
      <w:r>
        <w:rPr>
          <w:rFonts w:hint="eastAsia"/>
          <w:b/>
        </w:rPr>
        <w:t>第七条</w:t>
      </w:r>
      <w:r>
        <w:rPr>
          <w:rFonts w:hint="eastAsia"/>
        </w:rPr>
        <w:t xml:space="preserve">  本市东城区、西城区、崇文区、宣武区、朝阳区、海淀区、丰台区、石景山区为重点管理区，其他区、县为一般管理区。</w:t>
      </w:r>
    </w:p>
    <w:p w14:paraId="16D6505E">
      <w:r>
        <w:rPr>
          <w:rFonts w:hint="eastAsia"/>
        </w:rPr>
        <w:t>重点管理区内的农村地区，经区人民政府决定，可以按照一般管理区进行管理。一般管理区的城镇和人口聚集的特殊区域，经区、县人民政府决定，可以按照重点管理区进行管理。</w:t>
      </w:r>
    </w:p>
    <w:p w14:paraId="400F4E1A">
      <w:pPr>
        <w:ind w:firstLine="422"/>
      </w:pPr>
      <w:r>
        <w:rPr>
          <w:rFonts w:hint="eastAsia"/>
          <w:b/>
        </w:rPr>
        <w:t>第八条</w:t>
      </w:r>
      <w:r>
        <w:rPr>
          <w:rFonts w:hint="eastAsia"/>
        </w:rPr>
        <w:t xml:space="preserve">  本市行政区域内的医院和学校的教学区、学生宿舍区禁止养犬。</w:t>
      </w:r>
    </w:p>
    <w:p w14:paraId="7D628706">
      <w:r>
        <w:rPr>
          <w:rFonts w:hint="eastAsia"/>
        </w:rPr>
        <w:t>天安门广场以及东、西长安街和其他主要道路禁止遛犬。主要道路名录由市人民政府确定，向社会公布。</w:t>
      </w:r>
    </w:p>
    <w:p w14:paraId="7A92DE69">
      <w:r>
        <w:rPr>
          <w:rFonts w:hint="eastAsia"/>
        </w:rPr>
        <w:t>市人民政府可以在重大节假日或者举办重大活动期间划定范围禁止遛犬。</w:t>
      </w:r>
    </w:p>
    <w:p w14:paraId="07BAD7E6">
      <w:r>
        <w:rPr>
          <w:rFonts w:hint="eastAsia"/>
        </w:rPr>
        <w:t>区、县人民政府可以对本行政区域内的特定地区划定范围禁止养犬、禁止遛犬。</w:t>
      </w:r>
    </w:p>
    <w:p w14:paraId="7C803B76">
      <w:r>
        <w:rPr>
          <w:rFonts w:hint="eastAsia"/>
        </w:rPr>
        <w:t>居民会议、村民会议、业主会议经讨论决定，可以在本居住地区内划定禁止遛犬的区域。</w:t>
      </w:r>
    </w:p>
    <w:p w14:paraId="3ECA9D06">
      <w:pPr>
        <w:ind w:firstLine="422"/>
      </w:pPr>
      <w:r>
        <w:rPr>
          <w:rFonts w:hint="eastAsia"/>
          <w:b/>
        </w:rPr>
        <w:t>第九条</w:t>
      </w:r>
      <w:r>
        <w:rPr>
          <w:rFonts w:hint="eastAsia"/>
        </w:rPr>
        <w:t xml:space="preserve">  本市实行养犬登记、年检制度。未经登记和年检，任何单位和个人不得养犬。</w:t>
      </w:r>
    </w:p>
    <w:p w14:paraId="2C581B77">
      <w:pPr>
        <w:ind w:firstLine="422"/>
      </w:pPr>
      <w:r>
        <w:rPr>
          <w:rFonts w:hint="eastAsia"/>
          <w:b/>
        </w:rPr>
        <w:t>第十条</w:t>
      </w:r>
      <w:r>
        <w:rPr>
          <w:rFonts w:hint="eastAsia"/>
        </w:rPr>
        <w:t xml:space="preserve">  在重点管理区内，每户只准养一只犬，不得养烈性犬、大型犬。禁养犬的具体品种和体高、体长标准，由畜牧兽医行政部门确定，向社会公布。</w:t>
      </w:r>
    </w:p>
    <w:p w14:paraId="32E31810">
      <w:r>
        <w:rPr>
          <w:rFonts w:hint="eastAsia"/>
        </w:rPr>
        <w:t>国家级文物保护单位、危险物品存放单位等因特殊工作需要养犬的，必须到单位所在地公安机关办理养犬登记。</w:t>
      </w:r>
    </w:p>
    <w:p w14:paraId="4F37A646">
      <w:pPr>
        <w:ind w:firstLine="422"/>
      </w:pPr>
      <w:r>
        <w:rPr>
          <w:rFonts w:hint="eastAsia"/>
          <w:b/>
        </w:rPr>
        <w:t>第十一条</w:t>
      </w:r>
      <w:r>
        <w:rPr>
          <w:rFonts w:hint="eastAsia"/>
        </w:rPr>
        <w:t xml:space="preserve">  个人养犬，应当具备下列条件：</w:t>
      </w:r>
    </w:p>
    <w:p w14:paraId="093CA279">
      <w:r>
        <w:rPr>
          <w:rFonts w:hint="eastAsia"/>
        </w:rPr>
        <w:t>（一）有合法身份证明；</w:t>
      </w:r>
    </w:p>
    <w:p w14:paraId="0C4C0DD6">
      <w:r>
        <w:rPr>
          <w:rFonts w:hint="eastAsia"/>
        </w:rPr>
        <w:t>（二）有完全民事行为能力；</w:t>
      </w:r>
    </w:p>
    <w:p w14:paraId="436F8ACB">
      <w:r>
        <w:rPr>
          <w:rFonts w:hint="eastAsia"/>
        </w:rPr>
        <w:t>（三）有固定住所且独户居住；</w:t>
      </w:r>
    </w:p>
    <w:p w14:paraId="0B7559A0">
      <w:r>
        <w:rPr>
          <w:rFonts w:hint="eastAsia"/>
        </w:rPr>
        <w:t>（四）住所在禁止养犬区域以外。</w:t>
      </w:r>
    </w:p>
    <w:p w14:paraId="4F83B9FC">
      <w:pPr>
        <w:ind w:firstLine="422"/>
      </w:pPr>
      <w:r>
        <w:rPr>
          <w:rFonts w:hint="eastAsia"/>
          <w:b/>
        </w:rPr>
        <w:t>第十二条</w:t>
      </w:r>
      <w:r>
        <w:rPr>
          <w:rFonts w:hint="eastAsia"/>
        </w:rPr>
        <w:t xml:space="preserve">  个人在养犬前，应当征得居民委员会、村民委员会的同意。对符合养犬条件的，居民委员会、村民委员会出具符合养犬条件的证明，并与其签订养犬义务保证书。</w:t>
      </w:r>
    </w:p>
    <w:p w14:paraId="449EC00F">
      <w:r>
        <w:rPr>
          <w:rFonts w:hint="eastAsia"/>
        </w:rPr>
        <w:t>养犬人应当自取得居民委员会、村民委员会出具的符合养犬条件的证明之日起</w:t>
      </w:r>
      <w:r>
        <w:rPr>
          <w:rFonts w:hint="eastAsia" w:ascii="宋体" w:hAnsi="宋体" w:eastAsia="宋体" w:cs="宋体"/>
        </w:rPr>
        <w:t>30</w:t>
      </w:r>
      <w:r>
        <w:rPr>
          <w:rFonts w:hint="eastAsia"/>
        </w:rPr>
        <w:t>日内，持证明到住所地的区、县公安机关进行养犬登记，领取养犬登记证。</w:t>
      </w:r>
    </w:p>
    <w:p w14:paraId="2A652FAD">
      <w:r>
        <w:rPr>
          <w:rFonts w:hint="eastAsia"/>
        </w:rPr>
        <w:t>养犬人取得养犬登记证后，携犬到畜牧兽医行政部门批准的动物诊疗机构对犬进行健康检查，免费注射预防狂犬病疫苗，领取动物防疫监督机构出具的动物健康免疫证。</w:t>
      </w:r>
    </w:p>
    <w:p w14:paraId="459EE8A5">
      <w:r>
        <w:rPr>
          <w:rFonts w:hint="eastAsia"/>
        </w:rPr>
        <w:t>养犬登记证每年年检一次，养犬人在年检时应当出示有效的养犬登记证和动物健康免疫证。养犬登记证年检时间、地点及要求由公安机关予以公告。</w:t>
      </w:r>
    </w:p>
    <w:p w14:paraId="09E32A16">
      <w:pPr>
        <w:ind w:firstLine="422"/>
      </w:pPr>
      <w:r>
        <w:rPr>
          <w:rFonts w:hint="eastAsia"/>
          <w:b/>
        </w:rPr>
        <w:t>第十三条</w:t>
      </w:r>
      <w:r>
        <w:rPr>
          <w:rFonts w:hint="eastAsia"/>
        </w:rPr>
        <w:t xml:space="preserve">  养犬应当缴纳管理服务费。</w:t>
      </w:r>
    </w:p>
    <w:p w14:paraId="3F5C42C4">
      <w:pPr>
        <w:rPr>
          <w:rFonts w:hint="eastAsia" w:ascii="宋体" w:hAnsi="宋体" w:eastAsia="宋体" w:cs="宋体"/>
        </w:rPr>
      </w:pPr>
      <w:r>
        <w:rPr>
          <w:rFonts w:hint="eastAsia"/>
        </w:rPr>
        <w:t>重点管理区内每只犬第</w:t>
      </w:r>
      <w:r>
        <w:rPr>
          <w:rFonts w:hint="eastAsia" w:ascii="宋体" w:hAnsi="宋体" w:eastAsia="宋体" w:cs="宋体"/>
        </w:rPr>
        <w:t>一年为1000元，以后每年度为500元。</w:t>
      </w:r>
    </w:p>
    <w:p w14:paraId="500BF4F6">
      <w:pPr>
        <w:rPr>
          <w:rFonts w:hint="eastAsia" w:ascii="宋体" w:hAnsi="宋体" w:eastAsia="宋体" w:cs="宋体"/>
        </w:rPr>
      </w:pPr>
      <w:r>
        <w:rPr>
          <w:rFonts w:hint="eastAsia" w:ascii="宋体" w:hAnsi="宋体" w:eastAsia="宋体" w:cs="宋体"/>
        </w:rPr>
        <w:t>对盲人养导盲犬和肢体重残人养扶助犬的，免收管理服务费。对养绝育犬的或者生活困难的鳏寡老人养犬的，减半收取第一年管理服务费。</w:t>
      </w:r>
    </w:p>
    <w:p w14:paraId="604D6F45">
      <w:r>
        <w:rPr>
          <w:rFonts w:hint="eastAsia"/>
        </w:rPr>
        <w:t>一般管理区的收费标准，由区、县人民政府根据实际情况确定。</w:t>
      </w:r>
    </w:p>
    <w:p w14:paraId="1A0CACE7">
      <w:r>
        <w:rPr>
          <w:rFonts w:hint="eastAsia"/>
        </w:rPr>
        <w:t>养犬缴纳的费用集中上缴国库，纳入财政预算管理。养犬管理工作以及管理工作所发生服务的费用纳入有关部门的部门预算。</w:t>
      </w:r>
    </w:p>
    <w:p w14:paraId="3FFC4858">
      <w:pPr>
        <w:ind w:firstLine="422"/>
      </w:pPr>
      <w:r>
        <w:rPr>
          <w:rFonts w:hint="eastAsia"/>
          <w:b/>
        </w:rPr>
        <w:t>第十四条</w:t>
      </w:r>
      <w:r>
        <w:rPr>
          <w:rFonts w:hint="eastAsia"/>
        </w:rPr>
        <w:t xml:space="preserve">  养犬人住所地变更的，应当自变更之日</w:t>
      </w:r>
      <w:r>
        <w:rPr>
          <w:rFonts w:hint="eastAsia" w:ascii="宋体" w:hAnsi="宋体" w:eastAsia="宋体" w:cs="宋体"/>
        </w:rPr>
        <w:t>起30日</w:t>
      </w:r>
      <w:r>
        <w:rPr>
          <w:rFonts w:hint="eastAsia"/>
        </w:rPr>
        <w:t>内，持养犬登记证到新住所登记机关办理变更登记。</w:t>
      </w:r>
    </w:p>
    <w:p w14:paraId="364BA6F2">
      <w:r>
        <w:rPr>
          <w:rFonts w:hint="eastAsia"/>
        </w:rPr>
        <w:t>养犬人将在一般管理区登记的犬，转移到重点管理区饲养的，应当符合重点管理区的养犬条件，并自转移之日</w:t>
      </w:r>
      <w:r>
        <w:rPr>
          <w:rFonts w:hint="eastAsia" w:ascii="宋体" w:hAnsi="宋体" w:eastAsia="宋体" w:cs="宋体"/>
        </w:rPr>
        <w:t>起30日内，持养犬</w:t>
      </w:r>
      <w:r>
        <w:rPr>
          <w:rFonts w:hint="eastAsia"/>
        </w:rPr>
        <w:t>登记证到饲养地登记机关办理变更登记，补缴管理服务费差额。</w:t>
      </w:r>
    </w:p>
    <w:p w14:paraId="1D4C2763">
      <w:r>
        <w:rPr>
          <w:rFonts w:hint="eastAsia"/>
        </w:rPr>
        <w:t>养犬人将犬转让给他人的，受让人应当到登记机关办理变更登记。</w:t>
      </w:r>
    </w:p>
    <w:p w14:paraId="4A42A133">
      <w:pPr>
        <w:ind w:firstLine="422"/>
      </w:pPr>
      <w:r>
        <w:rPr>
          <w:rFonts w:hint="eastAsia"/>
          <w:b/>
        </w:rPr>
        <w:t>第十五条</w:t>
      </w:r>
      <w:r>
        <w:rPr>
          <w:rFonts w:hint="eastAsia"/>
        </w:rPr>
        <w:t xml:space="preserve">  养犬人丢失登记证的，应当自丢失之日</w:t>
      </w:r>
      <w:r>
        <w:rPr>
          <w:rFonts w:hint="eastAsia" w:ascii="宋体" w:hAnsi="宋体" w:eastAsia="宋体" w:cs="宋体"/>
        </w:rPr>
        <w:t>起15日内</w:t>
      </w:r>
      <w:r>
        <w:rPr>
          <w:rFonts w:hint="eastAsia"/>
        </w:rPr>
        <w:t>，到原登记机关申请补发。</w:t>
      </w:r>
    </w:p>
    <w:p w14:paraId="35FF04DD">
      <w:pPr>
        <w:ind w:firstLine="422"/>
      </w:pPr>
      <w:r>
        <w:rPr>
          <w:rFonts w:hint="eastAsia"/>
          <w:b/>
        </w:rPr>
        <w:t>第十六条</w:t>
      </w:r>
      <w:r>
        <w:rPr>
          <w:rFonts w:hint="eastAsia"/>
        </w:rPr>
        <w:t xml:space="preserve">  犬死亡或者失踪的，养犬人应当到登记机关办理注销手续。未办理注销手续的，不得再养犬。</w:t>
      </w:r>
    </w:p>
    <w:p w14:paraId="3CD5973B">
      <w:r>
        <w:rPr>
          <w:rFonts w:hint="eastAsia"/>
        </w:rPr>
        <w:t>养犬人因故确需放弃所饲养犬的，应当将犬送交犬类留检所，并到公安机关办理注销手续。</w:t>
      </w:r>
    </w:p>
    <w:p w14:paraId="03CD032B">
      <w:pPr>
        <w:ind w:firstLine="422"/>
      </w:pPr>
      <w:r>
        <w:rPr>
          <w:rFonts w:hint="eastAsia"/>
          <w:b/>
        </w:rPr>
        <w:t>第十七条</w:t>
      </w:r>
      <w:r>
        <w:rPr>
          <w:rFonts w:hint="eastAsia"/>
        </w:rPr>
        <w:t xml:space="preserve">  养犬人应当遵守下列规定：</w:t>
      </w:r>
    </w:p>
    <w:p w14:paraId="313678B2">
      <w:r>
        <w:rPr>
          <w:rFonts w:hint="eastAsia"/>
        </w:rPr>
        <w:t>（一）不得携犬进入市场、商店、商业街区、饭店、公园、公共绿地、学校、医院、展览馆、影剧院、体育场馆、社区公共健身场所、游乐场、候车室等公共场所；</w:t>
      </w:r>
    </w:p>
    <w:p w14:paraId="7B6D8F1F">
      <w:r>
        <w:rPr>
          <w:rFonts w:hint="eastAsia"/>
        </w:rPr>
        <w:t>（二）不得携犬乘坐除小型出租汽车以外的公共交通工具；携犬乘坐小型出租汽车时，应当征得驾驶员同意，并为犬戴嘴套，或者将犬装入犬袋、犬笼，或者怀抱；</w:t>
      </w:r>
    </w:p>
    <w:p w14:paraId="7A0AD14E">
      <w:r>
        <w:rPr>
          <w:rFonts w:hint="eastAsia"/>
        </w:rPr>
        <w:t>（三）携犬乘坐电梯的，应当避开乘坐电梯的高峰时间，并为犬戴嘴套，或者将犬装入犬袋、犬笼；居民委员会、村民委员会、业主委员会可以根据实际情况确定禁止携犬乘坐电梯的具体时间；</w:t>
      </w:r>
    </w:p>
    <w:p w14:paraId="381BAF30">
      <w:r>
        <w:rPr>
          <w:rFonts w:hint="eastAsia"/>
        </w:rPr>
        <w:t>（四）携犬出户时，应当对犬束犬链，由成年人牵领，携犬人应当携带养犬登记证，并应当避让老年人、残疾人、孕妇和儿童；</w:t>
      </w:r>
    </w:p>
    <w:p w14:paraId="2BD0C86E">
      <w:r>
        <w:rPr>
          <w:rFonts w:hint="eastAsia"/>
        </w:rPr>
        <w:t>（五）对烈性犬、大型犬实行拴养或者圈养，不得出户遛犬；因登记、年检、免疫、诊疗等出户的，应当将犬装入犬笼或者为犬戴嘴套、束犬链，由成年人牵领；</w:t>
      </w:r>
    </w:p>
    <w:p w14:paraId="05E0FBBB">
      <w:bookmarkStart w:id="1822" w:name="_Toc428780320"/>
      <w:r>
        <w:rPr>
          <w:rFonts w:hint="eastAsia"/>
        </w:rPr>
        <w:t>（六）携犬出户时，对犬在户外排泄的粪便，携犬人应当立即清除；</w:t>
      </w:r>
      <w:bookmarkEnd w:id="1822"/>
    </w:p>
    <w:p w14:paraId="6D3D1F4C">
      <w:r>
        <w:rPr>
          <w:rFonts w:hint="eastAsia"/>
        </w:rPr>
        <w:t>（七）养犬不得干扰他人正常生活；犬吠影响他人休息时，养犬人应当采取有效措施予以制止；</w:t>
      </w:r>
    </w:p>
    <w:p w14:paraId="35329353">
      <w:r>
        <w:rPr>
          <w:rFonts w:hint="eastAsia"/>
        </w:rPr>
        <w:t>（八）定期为犬注射预防狂犬病疫苗；</w:t>
      </w:r>
    </w:p>
    <w:p w14:paraId="23D7D889">
      <w:r>
        <w:rPr>
          <w:rFonts w:hint="eastAsia"/>
        </w:rPr>
        <w:t>（九）不得虐待、遗弃所养犬；</w:t>
      </w:r>
    </w:p>
    <w:p w14:paraId="045067FA">
      <w:r>
        <w:rPr>
          <w:rFonts w:hint="eastAsia"/>
        </w:rPr>
        <w:t>（十）严格履行养犬义务保证书规定的其他义务。</w:t>
      </w:r>
    </w:p>
    <w:p w14:paraId="2F243CCB">
      <w:pPr>
        <w:ind w:firstLine="422"/>
      </w:pPr>
      <w:r>
        <w:rPr>
          <w:rFonts w:hint="eastAsia"/>
          <w:b/>
        </w:rPr>
        <w:t>第十八条</w:t>
      </w:r>
      <w:r>
        <w:rPr>
          <w:rFonts w:hint="eastAsia"/>
        </w:rPr>
        <w:t xml:space="preserve">  犬伤害他人的，养犬人应当立即将被伤者送至医疗机构诊治，并先行垫付医疗费用。</w:t>
      </w:r>
    </w:p>
    <w:p w14:paraId="71079362">
      <w:r>
        <w:rPr>
          <w:rFonts w:hint="eastAsia"/>
        </w:rPr>
        <w:t>因养犬人或者第三人过错，致使犬伤害他人的，养犬人或者第三人应当负担被伤害人的全部医疗费用，并依法赔偿被伤害人其他损失。</w:t>
      </w:r>
    </w:p>
    <w:p w14:paraId="374E9812">
      <w:pPr>
        <w:ind w:firstLine="422"/>
      </w:pPr>
      <w:r>
        <w:rPr>
          <w:rFonts w:hint="eastAsia"/>
          <w:b/>
        </w:rPr>
        <w:t>第十九条</w:t>
      </w:r>
      <w:r>
        <w:rPr>
          <w:rFonts w:hint="eastAsia"/>
        </w:rPr>
        <w:t xml:space="preserve">  对伤人犬或者疑似患有狂犬病的犬，养犬人应当及时送交公安机关设立的犬类留检所，由动物防疫监督机构进行检疫；对确认患有狂犬病的犬，动物防疫监督机构应当依法采取扑灭措施，并进行无害化处理。</w:t>
      </w:r>
    </w:p>
    <w:p w14:paraId="5C0B844F">
      <w:r>
        <w:rPr>
          <w:rFonts w:hint="eastAsia"/>
        </w:rPr>
        <w:t>发现狂犬病等疫病的单位、个人应当及时向区、县畜牧兽医、卫生行政部门报告；市和区、县人民政府接到报告后，应当根据疫情划定疫点、疫区，并采取紧急灭犬等防治措施。公安机关协助做好工作。</w:t>
      </w:r>
    </w:p>
    <w:p w14:paraId="0B45C62E">
      <w:pPr>
        <w:ind w:firstLine="422"/>
      </w:pPr>
      <w:r>
        <w:rPr>
          <w:rFonts w:hint="eastAsia"/>
          <w:b/>
        </w:rPr>
        <w:t>第二十条</w:t>
      </w:r>
      <w:r>
        <w:rPr>
          <w:rFonts w:hint="eastAsia"/>
        </w:rPr>
        <w:t xml:space="preserve">  从事犬类养殖、销售，举办犬展览，开办动物诊疗机构或者从事其他犬类经营活动的，应当取得畜牧兽医行政部门的许可，依法办理工商登记注册，并向公安机关备案。</w:t>
      </w:r>
    </w:p>
    <w:p w14:paraId="33E5A598">
      <w:r>
        <w:rPr>
          <w:rFonts w:hint="eastAsia"/>
        </w:rPr>
        <w:t>从事动物诊疗的人员应当具有兽医资格，并经过执业登记注册。</w:t>
      </w:r>
    </w:p>
    <w:p w14:paraId="2ED00F02">
      <w:r>
        <w:rPr>
          <w:rFonts w:hint="eastAsia"/>
        </w:rPr>
        <w:t>禁养区、重点管理区内禁止从事犬类养殖、销售和举办犬展览。</w:t>
      </w:r>
    </w:p>
    <w:p w14:paraId="4AC0F96F">
      <w:pPr>
        <w:ind w:firstLine="422"/>
      </w:pPr>
      <w:r>
        <w:rPr>
          <w:rFonts w:hint="eastAsia"/>
          <w:b/>
        </w:rPr>
        <w:t>第二十一条</w:t>
      </w:r>
      <w:r>
        <w:rPr>
          <w:rFonts w:hint="eastAsia"/>
        </w:rPr>
        <w:t xml:space="preserve">  养殖、销售犬类的单位和个人，应当遵守下列规定：</w:t>
      </w:r>
    </w:p>
    <w:p w14:paraId="4C41FF37">
      <w:r>
        <w:rPr>
          <w:rFonts w:hint="eastAsia"/>
        </w:rPr>
        <w:t>（一）对养殖的犬应当进行犬类狂犬病的预防接种，经预防接种后，由动物防疫监督机构出具动物健康免疫证；</w:t>
      </w:r>
    </w:p>
    <w:p w14:paraId="340B5AE5">
      <w:r>
        <w:rPr>
          <w:rFonts w:hint="eastAsia"/>
        </w:rPr>
        <w:t>（二）销售的犬有动物健康免疫证和检疫证明；</w:t>
      </w:r>
    </w:p>
    <w:p w14:paraId="3DA514D1">
      <w:r>
        <w:rPr>
          <w:rFonts w:hint="eastAsia"/>
        </w:rPr>
        <w:t>（三）不得将养殖的犬带出饲养场地。</w:t>
      </w:r>
    </w:p>
    <w:p w14:paraId="33A42AED">
      <w:pPr>
        <w:ind w:firstLine="422"/>
      </w:pPr>
      <w:r>
        <w:rPr>
          <w:rFonts w:hint="eastAsia"/>
          <w:b/>
        </w:rPr>
        <w:t>第二十二条</w:t>
      </w:r>
      <w:r>
        <w:rPr>
          <w:rFonts w:hint="eastAsia"/>
        </w:rPr>
        <w:t xml:space="preserve">  禁止冒用、涂改、伪造、买卖与养犬和从事犬类经营活动相关的证件、证明。</w:t>
      </w:r>
    </w:p>
    <w:p w14:paraId="154EF339">
      <w:pPr>
        <w:ind w:firstLine="422"/>
      </w:pPr>
      <w:r>
        <w:rPr>
          <w:rFonts w:hint="eastAsia"/>
          <w:b/>
        </w:rPr>
        <w:t>第二十三条</w:t>
      </w:r>
      <w:r>
        <w:rPr>
          <w:rFonts w:hint="eastAsia"/>
        </w:rPr>
        <w:t xml:space="preserve">  对违反本规定的养犬行为，任何单位和个人都有权批评、劝阻，或者向居民委员会、村民委员会反映，或者向有关行政部门举报，居民委员会、村民委员会和有关部门应当及时处理。</w:t>
      </w:r>
    </w:p>
    <w:p w14:paraId="4F9C1C7C">
      <w:pPr>
        <w:ind w:firstLine="422"/>
      </w:pPr>
      <w:r>
        <w:rPr>
          <w:rFonts w:hint="eastAsia"/>
          <w:b/>
        </w:rPr>
        <w:t>第二十四条</w:t>
      </w:r>
      <w:r>
        <w:rPr>
          <w:rFonts w:hint="eastAsia"/>
        </w:rPr>
        <w:t xml:space="preserve">  因养犬干扰他人正常生活发生纠纷的，当事人可以向人民调解委员会申请调解，也可以直接向人民法院起诉；当事人没有申请调解的，人民调解委员会也可以主动调解。</w:t>
      </w:r>
    </w:p>
    <w:p w14:paraId="4D7708B9">
      <w:r>
        <w:rPr>
          <w:rFonts w:hint="eastAsia"/>
        </w:rPr>
        <w:t>人民调解委员会主持下达成的调解协议，当事人应当履行。</w:t>
      </w:r>
    </w:p>
    <w:p w14:paraId="64146B21">
      <w:pPr>
        <w:ind w:firstLine="422"/>
      </w:pPr>
      <w:r>
        <w:rPr>
          <w:rFonts w:hint="eastAsia"/>
          <w:b/>
        </w:rPr>
        <w:t>第二十五条</w:t>
      </w:r>
      <w:r>
        <w:rPr>
          <w:rFonts w:hint="eastAsia"/>
        </w:rPr>
        <w:t xml:space="preserve">  公安机关应当建立养犬违法记录档案，对多次被举报或者处罚的养犬人进行重点管理。</w:t>
      </w:r>
    </w:p>
    <w:p w14:paraId="558C4AC5">
      <w:r>
        <w:rPr>
          <w:rFonts w:hint="eastAsia"/>
        </w:rPr>
        <w:t>养犬人因违反本规定，被公安机关没收其犬、吊销养犬登记证的，在五年内不予办理养犬登记。</w:t>
      </w:r>
    </w:p>
    <w:p w14:paraId="227FADC9">
      <w:r>
        <w:rPr>
          <w:rFonts w:hint="eastAsia"/>
        </w:rPr>
        <w:t>居民委员会、村民委员会应当将本居住地区的养犬登记、年检情况等事项向居民、村民公开。</w:t>
      </w:r>
    </w:p>
    <w:p w14:paraId="7CF32568">
      <w:pPr>
        <w:ind w:firstLine="422"/>
        <w:rPr>
          <w:rFonts w:hint="eastAsia" w:ascii="宋体" w:hAnsi="宋体" w:eastAsia="宋体" w:cs="宋体"/>
        </w:rPr>
      </w:pPr>
      <w:r>
        <w:rPr>
          <w:rFonts w:hint="eastAsia"/>
          <w:b/>
        </w:rPr>
        <w:t xml:space="preserve">第二十六条  </w:t>
      </w:r>
      <w:r>
        <w:rPr>
          <w:rFonts w:hint="eastAsia"/>
        </w:rPr>
        <w:t>对违反本规定第八条、第十条第一款、第二十二条，在禁养区内养犬的或者在重点管理区内饲养烈性犬、大型犬的以及冒用、涂改和伪造养犬登记证养犬的，由公安机关没收其犬</w:t>
      </w:r>
      <w:r>
        <w:rPr>
          <w:rFonts w:hint="eastAsia" w:ascii="宋体" w:hAnsi="宋体" w:eastAsia="宋体" w:cs="宋体"/>
        </w:rPr>
        <w:t>，并可对单位处1万元罚款，对个人处5000元罚款。</w:t>
      </w:r>
    </w:p>
    <w:p w14:paraId="5A442573">
      <w:pPr>
        <w:ind w:firstLine="422"/>
        <w:rPr>
          <w:rFonts w:hint="eastAsia" w:ascii="宋体" w:hAnsi="宋体" w:eastAsia="宋体" w:cs="宋体"/>
        </w:rPr>
      </w:pPr>
      <w:r>
        <w:rPr>
          <w:rFonts w:hint="eastAsia"/>
          <w:b/>
        </w:rPr>
        <w:t xml:space="preserve">第二十七条  </w:t>
      </w:r>
      <w:r>
        <w:rPr>
          <w:rFonts w:hint="eastAsia"/>
        </w:rPr>
        <w:t>对违反本规定第九条，未经登</w:t>
      </w:r>
      <w:r>
        <w:rPr>
          <w:rFonts w:hint="eastAsia" w:ascii="宋体" w:hAnsi="宋体" w:eastAsia="宋体" w:cs="宋体"/>
        </w:rPr>
        <w:t>记、年检养犬的，由公安机关没收其犬，或者对单位处5000元罚款，对个人处2000元罚款。</w:t>
      </w:r>
    </w:p>
    <w:p w14:paraId="676D522E">
      <w:pPr>
        <w:ind w:firstLine="422"/>
        <w:rPr>
          <w:rFonts w:hint="eastAsia" w:ascii="宋体" w:hAnsi="宋体" w:eastAsia="宋体" w:cs="宋体"/>
        </w:rPr>
      </w:pPr>
      <w:r>
        <w:rPr>
          <w:rFonts w:hint="eastAsia"/>
          <w:b/>
        </w:rPr>
        <w:t>第二十八条</w:t>
      </w:r>
      <w:r>
        <w:rPr>
          <w:rFonts w:hint="eastAsia"/>
        </w:rPr>
        <w:t xml:space="preserve">  对违反本规定第十四条、第十五条，逾期不办理养犬变更登记的或者丢失养犬登记证逾期不补办的，由公安机关责令限期改正，并</w:t>
      </w:r>
      <w:r>
        <w:rPr>
          <w:rFonts w:hint="eastAsia" w:ascii="宋体" w:hAnsi="宋体" w:eastAsia="宋体" w:cs="宋体"/>
        </w:rPr>
        <w:t>可对单位处2000元罚款</w:t>
      </w:r>
      <w:r>
        <w:rPr>
          <w:rFonts w:hint="eastAsia"/>
        </w:rPr>
        <w:t>，对个人处</w:t>
      </w:r>
      <w:r>
        <w:rPr>
          <w:rFonts w:hint="eastAsia" w:ascii="宋体" w:hAnsi="宋体" w:eastAsia="宋体" w:cs="宋体"/>
        </w:rPr>
        <w:t>500元罚款。</w:t>
      </w:r>
    </w:p>
    <w:p w14:paraId="1B9F05A5">
      <w:pPr>
        <w:ind w:firstLine="422"/>
      </w:pPr>
      <w:r>
        <w:rPr>
          <w:rFonts w:hint="eastAsia"/>
          <w:b/>
        </w:rPr>
        <w:t>第二十九条</w:t>
      </w:r>
      <w:r>
        <w:rPr>
          <w:rFonts w:hint="eastAsia"/>
        </w:rPr>
        <w:t xml:space="preserve">  有下列行为之一的，由公安机关予以警告，并可对单</w:t>
      </w:r>
      <w:r>
        <w:rPr>
          <w:rFonts w:hint="eastAsia" w:ascii="宋体" w:hAnsi="宋体" w:eastAsia="宋体" w:cs="宋体"/>
        </w:rPr>
        <w:t>位处2000元以下罚</w:t>
      </w:r>
      <w:r>
        <w:rPr>
          <w:rFonts w:hint="eastAsia"/>
        </w:rPr>
        <w:t>款，</w:t>
      </w:r>
    </w:p>
    <w:p w14:paraId="5C7FD89A">
      <w:r>
        <w:rPr>
          <w:rFonts w:hint="eastAsia" w:ascii="宋体" w:hAnsi="宋体" w:eastAsia="宋体" w:cs="宋体"/>
        </w:rPr>
        <w:t>对个人处500元以下罚款；情节严</w:t>
      </w:r>
      <w:r>
        <w:rPr>
          <w:rFonts w:hint="eastAsia"/>
        </w:rPr>
        <w:t>重的，没收其犬，吊销养犬登记证：</w:t>
      </w:r>
    </w:p>
    <w:p w14:paraId="58E28C06">
      <w:bookmarkStart w:id="1823" w:name="_Toc428780321"/>
      <w:r>
        <w:rPr>
          <w:rFonts w:hint="eastAsia"/>
        </w:rPr>
        <w:t>（一）违反本规定第八条，在禁遛区遛犬的；</w:t>
      </w:r>
      <w:bookmarkEnd w:id="1823"/>
    </w:p>
    <w:p w14:paraId="09B75762">
      <w:r>
        <w:rPr>
          <w:rFonts w:hint="eastAsia"/>
        </w:rPr>
        <w:t>（二）违反本规定第十七条第一项、第二项，携犬进入公共场所、乘坐公共交通工具或者小型出租汽车的；</w:t>
      </w:r>
    </w:p>
    <w:p w14:paraId="6DC93CA5">
      <w:bookmarkStart w:id="1824" w:name="_Toc428780322"/>
      <w:r>
        <w:rPr>
          <w:rFonts w:hint="eastAsia"/>
        </w:rPr>
        <w:t>（三）违反本规定第十七条第三项，乘坐电梯的；</w:t>
      </w:r>
      <w:bookmarkEnd w:id="1824"/>
    </w:p>
    <w:p w14:paraId="7EC475F9">
      <w:r>
        <w:rPr>
          <w:rFonts w:hint="eastAsia"/>
        </w:rPr>
        <w:t>（四）违反本规定第十七条第四项、第五项，携犬出户的；</w:t>
      </w:r>
    </w:p>
    <w:p w14:paraId="06E261E5">
      <w:r>
        <w:rPr>
          <w:rFonts w:hint="eastAsia"/>
        </w:rPr>
        <w:t>（五）违反本规定第二十一条第三项，将养殖的犬带出饲养场地的。</w:t>
      </w:r>
    </w:p>
    <w:p w14:paraId="3C9255A0">
      <w:pPr>
        <w:ind w:firstLine="422"/>
        <w:rPr>
          <w:rFonts w:hint="eastAsia" w:ascii="宋体" w:hAnsi="宋体" w:eastAsia="宋体" w:cs="宋体"/>
        </w:rPr>
      </w:pPr>
      <w:r>
        <w:rPr>
          <w:rFonts w:hint="eastAsia"/>
          <w:b/>
        </w:rPr>
        <w:t>第三十条</w:t>
      </w:r>
      <w:r>
        <w:rPr>
          <w:rFonts w:hint="eastAsia"/>
        </w:rPr>
        <w:t xml:space="preserve">  对违反本规定第十七条第六项，携犬人对犬在户外排泄粪便不立即清除，破坏市容环境卫生的，由城市管理综合执法组织责令改正，并</w:t>
      </w:r>
      <w:r>
        <w:rPr>
          <w:rFonts w:hint="eastAsia" w:ascii="宋体" w:hAnsi="宋体" w:eastAsia="宋体" w:cs="宋体"/>
        </w:rPr>
        <w:t>可处50元罚款。</w:t>
      </w:r>
    </w:p>
    <w:p w14:paraId="33CA76FB">
      <w:pPr>
        <w:ind w:firstLine="422"/>
      </w:pPr>
      <w:r>
        <w:rPr>
          <w:rFonts w:hint="eastAsia"/>
          <w:b/>
        </w:rPr>
        <w:t>第三十一条</w:t>
      </w:r>
      <w:r>
        <w:rPr>
          <w:rFonts w:hint="eastAsia"/>
        </w:rPr>
        <w:t xml:space="preserve">  对违反本规定第二十条、第二十一条第一项和第二项、第二十二条，违法从事犬类经营活动的，由工商行政管理部门或者畜牧兽医行政部门依法处理；对街面流动无照售犬的，由城市管理综合执法组织依法处理。</w:t>
      </w:r>
    </w:p>
    <w:p w14:paraId="1E85C593">
      <w:pPr>
        <w:ind w:firstLine="422"/>
      </w:pPr>
      <w:r>
        <w:rPr>
          <w:rFonts w:hint="eastAsia"/>
          <w:b/>
        </w:rPr>
        <w:t>第三十二条</w:t>
      </w:r>
      <w:r>
        <w:rPr>
          <w:rFonts w:hint="eastAsia"/>
        </w:rPr>
        <w:t xml:space="preserve">  负有养犬管理职责的行政部门和城市管理综合执法组织以及其工作人员，应当实行执法责任制，依照法定程序积极履行管理职责，文明执法。</w:t>
      </w:r>
    </w:p>
    <w:p w14:paraId="4EEE2E0B">
      <w:r>
        <w:rPr>
          <w:rFonts w:hint="eastAsia"/>
        </w:rPr>
        <w:t>负有养犬管理职责的行政部门和城市管理综合执法组织的工作人员，有下列行为之一的，由其所在单位或者上级主管部门给予批评教育责令改正；情节严重的，给予行政处分：</w:t>
      </w:r>
    </w:p>
    <w:p w14:paraId="4044944C">
      <w:r>
        <w:rPr>
          <w:rFonts w:hint="eastAsia"/>
        </w:rPr>
        <w:t>（一）对符合本规定条件的养犬人不予办理养犬登记、年检或者故意拖延的；</w:t>
      </w:r>
    </w:p>
    <w:p w14:paraId="6E54F4CA">
      <w:r>
        <w:rPr>
          <w:rFonts w:hint="eastAsia"/>
        </w:rPr>
        <w:t>（二）对执法检查中发现的问题或者接到的举报，不依法处理或者相互推诿的；</w:t>
      </w:r>
    </w:p>
    <w:p w14:paraId="06AF4C74">
      <w:r>
        <w:rPr>
          <w:rFonts w:hint="eastAsia"/>
        </w:rPr>
        <w:t>（三）其他滥用职权、玩忽职守、徇私舞弊行为的。</w:t>
      </w:r>
    </w:p>
    <w:p w14:paraId="2DEE6FEB">
      <w:pPr>
        <w:ind w:firstLine="422"/>
      </w:pPr>
      <w:r>
        <w:rPr>
          <w:rFonts w:hint="eastAsia"/>
          <w:b/>
        </w:rPr>
        <w:t>第三十三条</w:t>
      </w:r>
      <w:r>
        <w:rPr>
          <w:rFonts w:hint="eastAsia"/>
        </w:rPr>
        <w:t xml:space="preserve">  市公安机关设立犬类留检所，负责收容处理养犬人放弃饲养的犬、被没收的犬以及无主犬。</w:t>
      </w:r>
    </w:p>
    <w:p w14:paraId="64DCECAD">
      <w:r>
        <w:rPr>
          <w:rFonts w:hint="eastAsia"/>
        </w:rPr>
        <w:t>公安机关设立的犬类留检所收容的犬，自收容之日起</w:t>
      </w:r>
      <w:r>
        <w:rPr>
          <w:rFonts w:hint="eastAsia" w:ascii="宋体" w:hAnsi="宋体" w:eastAsia="宋体" w:cs="宋体"/>
        </w:rPr>
        <w:t>7</w:t>
      </w:r>
      <w:r>
        <w:rPr>
          <w:rFonts w:hint="eastAsia"/>
        </w:rPr>
        <w:t>日内可以被认领、领养；对无人认领、领养的，由公安机关负责处理；对病死犬，应当进行无公害处理。</w:t>
      </w:r>
    </w:p>
    <w:p w14:paraId="563971C6">
      <w:pPr>
        <w:ind w:firstLine="422"/>
      </w:pPr>
      <w:r>
        <w:rPr>
          <w:rFonts w:hint="eastAsia"/>
          <w:b/>
        </w:rPr>
        <w:t>第三十四条</w:t>
      </w:r>
      <w:r>
        <w:rPr>
          <w:rFonts w:hint="eastAsia"/>
        </w:rPr>
        <w:t xml:space="preserve">  市人民政府和有关行政部门应当制定实施本规定的配套规章和规范性文件。</w:t>
      </w:r>
    </w:p>
    <w:p w14:paraId="1544C8CA">
      <w:pPr>
        <w:ind w:firstLine="422"/>
        <w:rPr>
          <w:rFonts w:hint="eastAsia" w:ascii="宋体" w:hAnsi="宋体" w:eastAsia="宋体" w:cs="宋体"/>
        </w:rPr>
      </w:pPr>
      <w:r>
        <w:rPr>
          <w:rFonts w:hint="eastAsia"/>
          <w:b/>
        </w:rPr>
        <w:t>第三十五条</w:t>
      </w:r>
      <w:r>
        <w:rPr>
          <w:rFonts w:hint="eastAsia"/>
        </w:rPr>
        <w:t xml:space="preserve">  本规</w:t>
      </w:r>
      <w:r>
        <w:rPr>
          <w:rFonts w:hint="eastAsia" w:ascii="宋体" w:hAnsi="宋体" w:eastAsia="宋体" w:cs="宋体"/>
        </w:rPr>
        <w:t>定自2003年10月15日起施行。</w:t>
      </w:r>
    </w:p>
    <w:p w14:paraId="40E77C7A">
      <w:pPr>
        <w:rPr>
          <w:rFonts w:hint="eastAsia" w:ascii="宋体" w:hAnsi="宋体" w:eastAsia="宋体" w:cs="宋体"/>
        </w:rPr>
      </w:pPr>
      <w:r>
        <w:rPr>
          <w:rFonts w:hint="eastAsia" w:ascii="宋体" w:hAnsi="宋体" w:eastAsia="宋体" w:cs="宋体"/>
        </w:rPr>
        <w:t>1994年11月30日北京市第十届人民代表大会常务委员会第十四次会议通过的《北京市严格限制养犬规定》同时废止。</w:t>
      </w:r>
    </w:p>
    <w:p w14:paraId="1378C6E1"/>
    <w:p w14:paraId="73010FE0">
      <w:pPr>
        <w:pStyle w:val="4"/>
        <w:pageBreakBefore/>
      </w:pPr>
      <w:bookmarkStart w:id="1825" w:name="_Toc428781754"/>
      <w:bookmarkStart w:id="1826" w:name="_Toc426467006"/>
      <w:bookmarkStart w:id="1827" w:name="_Toc428780323"/>
      <w:r>
        <w:rPr>
          <w:rFonts w:hint="eastAsia"/>
        </w:rPr>
        <w:t>北京市大型群众性活动安全管理条例</w:t>
      </w:r>
      <w:bookmarkEnd w:id="1825"/>
      <w:bookmarkEnd w:id="1826"/>
      <w:bookmarkEnd w:id="1827"/>
    </w:p>
    <w:p w14:paraId="5EA21504">
      <w:pPr>
        <w:ind w:left="630" w:leftChars="300" w:right="630" w:rightChars="300"/>
        <w:rPr>
          <w:rFonts w:ascii="楷体" w:hAnsi="楷体" w:eastAsia="楷体"/>
        </w:rPr>
      </w:pPr>
      <w:r>
        <w:rPr>
          <w:rFonts w:hint="eastAsia" w:ascii="楷体" w:hAnsi="楷体" w:eastAsia="楷体"/>
        </w:rPr>
        <w:t>（2005年9月9日北京市第十二届人民代表大会常务委员会第二十二次会议通过　2010年7月30日北京市第十三届人民代表大会常务委员会第十九次会议修订）</w:t>
      </w:r>
    </w:p>
    <w:p w14:paraId="441054F1">
      <w:pPr>
        <w:spacing w:line="300" w:lineRule="exact"/>
      </w:pPr>
    </w:p>
    <w:p w14:paraId="0BC29E0B">
      <w:pPr>
        <w:ind w:firstLine="0" w:firstLineChars="0"/>
        <w:jc w:val="center"/>
        <w:rPr>
          <w:b/>
          <w:sz w:val="28"/>
        </w:rPr>
      </w:pPr>
      <w:r>
        <w:rPr>
          <w:rFonts w:hint="eastAsia"/>
          <w:b/>
          <w:sz w:val="28"/>
        </w:rPr>
        <w:t>第一章　总　则</w:t>
      </w:r>
    </w:p>
    <w:p w14:paraId="149463EC">
      <w:pPr>
        <w:spacing w:line="300" w:lineRule="exact"/>
      </w:pPr>
    </w:p>
    <w:p w14:paraId="5B811DEA">
      <w:pPr>
        <w:ind w:firstLine="422"/>
      </w:pPr>
      <w:r>
        <w:rPr>
          <w:rFonts w:hint="eastAsia"/>
          <w:b/>
        </w:rPr>
        <w:t>第一条</w:t>
      </w:r>
      <w:r>
        <w:rPr>
          <w:rFonts w:hint="eastAsia"/>
        </w:rPr>
        <w:t xml:space="preserve">  为了加强大型群众性活动安全管理，维护首都社会秩序、公共安全和社会稳定，保护国家、集体财产和公民生命、财产安全，促进经济和社会协调发展，根据有关法律、行政法规，结合本市实际情况，制定本条例。</w:t>
      </w:r>
    </w:p>
    <w:p w14:paraId="0D6D006B">
      <w:pPr>
        <w:ind w:firstLine="422"/>
      </w:pPr>
      <w:r>
        <w:rPr>
          <w:rFonts w:hint="eastAsia"/>
          <w:b/>
        </w:rPr>
        <w:t>第二条</w:t>
      </w:r>
      <w:r>
        <w:rPr>
          <w:rFonts w:hint="eastAsia"/>
        </w:rPr>
        <w:t xml:space="preserve">  本条例适用于在本市行政区域内举办大型群众性活动的安全管理。安全生产、消防、集会游行示威以及其他法律、法规另有规定的，从其规定。</w:t>
      </w:r>
    </w:p>
    <w:p w14:paraId="2B70B06D">
      <w:r>
        <w:rPr>
          <w:rFonts w:hint="eastAsia"/>
        </w:rPr>
        <w:t>前款所称大型群众性活动（以下简称大型活动），是指租用、借用或者以其他形式临时占用场所、场地，面向社会公众举办的文艺演出、体育比赛、展览展销、招聘会、庙会、灯会、游园会等群体性活动。</w:t>
      </w:r>
    </w:p>
    <w:p w14:paraId="1C33F72F">
      <w:pPr>
        <w:ind w:firstLine="422"/>
      </w:pPr>
      <w:r>
        <w:rPr>
          <w:rFonts w:hint="eastAsia"/>
          <w:b/>
        </w:rPr>
        <w:t>第三条</w:t>
      </w:r>
      <w:r>
        <w:rPr>
          <w:rFonts w:hint="eastAsia"/>
        </w:rPr>
        <w:t xml:space="preserve">  大型活动的安全工作应当遵循安全第一、预防为主的方针。</w:t>
      </w:r>
    </w:p>
    <w:p w14:paraId="35D2DDA6">
      <w:r>
        <w:rPr>
          <w:rFonts w:hint="eastAsia"/>
        </w:rPr>
        <w:t>大型活动承办者对其承办活动的安全负责，承办者的主要负责人为大型活动的安全责任人；主办者及其他参与大型活动的单位依照本条例规定履行安全职责。政府依法承担监管职责。</w:t>
      </w:r>
    </w:p>
    <w:p w14:paraId="50CCC961">
      <w:pPr>
        <w:ind w:firstLine="422"/>
      </w:pPr>
      <w:r>
        <w:rPr>
          <w:rFonts w:hint="eastAsia"/>
          <w:b/>
        </w:rPr>
        <w:t>第四条</w:t>
      </w:r>
      <w:r>
        <w:rPr>
          <w:rFonts w:hint="eastAsia"/>
        </w:rPr>
        <w:t xml:space="preserve">  本市对单场次参加人数一千以上的大型活动实行安全许可。</w:t>
      </w:r>
    </w:p>
    <w:p w14:paraId="24E879F6">
      <w:pPr>
        <w:ind w:firstLine="422"/>
      </w:pPr>
      <w:r>
        <w:rPr>
          <w:rFonts w:hint="eastAsia"/>
          <w:b/>
        </w:rPr>
        <w:t>第五条</w:t>
      </w:r>
      <w:r>
        <w:rPr>
          <w:rFonts w:hint="eastAsia"/>
        </w:rPr>
        <w:t xml:space="preserve">  本市各级人民政府应当加强对大型活动安全工作的领导，必要时建立综合协调工作机制，督促政府有关部门依法履行对大型活动安全工作的监督管理职责，沟通信息及时协调、解决大型活动安全管理中的重大问题。</w:t>
      </w:r>
    </w:p>
    <w:p w14:paraId="20D3E66F">
      <w:r>
        <w:rPr>
          <w:rFonts w:hint="eastAsia"/>
        </w:rPr>
        <w:t>公安机关是大型活动安全许可的实施机关，对大型活动的安全工作实施监督管理。</w:t>
      </w:r>
    </w:p>
    <w:p w14:paraId="4496AE97">
      <w:r>
        <w:rPr>
          <w:rFonts w:hint="eastAsia"/>
        </w:rPr>
        <w:t>安全生产、质量技术监督、卫生、工商行政管理、住房和城乡建设、商务、文化、体育、教育、旅游、园林绿化、交通等有关部门和城市管理综合执法组织，按照有关法律、法规、规章的规定和市人民政府确定的职责，对大型活动安全工作实施监督管理。</w:t>
      </w:r>
    </w:p>
    <w:p w14:paraId="380ACB04">
      <w:pPr>
        <w:ind w:firstLine="422"/>
      </w:pPr>
      <w:r>
        <w:rPr>
          <w:rFonts w:hint="eastAsia"/>
          <w:b/>
        </w:rPr>
        <w:t>第六条</w:t>
      </w:r>
      <w:r>
        <w:rPr>
          <w:rFonts w:hint="eastAsia"/>
        </w:rPr>
        <w:t xml:space="preserve">  市和区、县人民政府及其有关部门应当采取多种形式，加强与大型活动安全有关的法律、法规和安全知识的宣传，增强有关单位、个人及社会公众的安全意识和安全防范能力。</w:t>
      </w:r>
    </w:p>
    <w:p w14:paraId="4545362A">
      <w:pPr>
        <w:ind w:firstLine="422"/>
      </w:pPr>
      <w:r>
        <w:rPr>
          <w:rFonts w:hint="eastAsia"/>
          <w:b/>
        </w:rPr>
        <w:t>第七条</w:t>
      </w:r>
      <w:r>
        <w:rPr>
          <w:rFonts w:hint="eastAsia"/>
        </w:rPr>
        <w:t xml:space="preserve">  鼓励与大型活动有关的行业协会加强行业自律和自我服务，制定行业规范和技术标准，开展安全教育和培训活动，指导其会员单位建立安全责任制度，履行安全职责。</w:t>
      </w:r>
    </w:p>
    <w:p w14:paraId="6D66AEB7">
      <w:pPr>
        <w:spacing w:line="300" w:lineRule="exact"/>
      </w:pPr>
    </w:p>
    <w:p w14:paraId="7A15A46E">
      <w:pPr>
        <w:ind w:firstLine="0" w:firstLineChars="0"/>
        <w:jc w:val="center"/>
        <w:rPr>
          <w:b/>
          <w:sz w:val="28"/>
        </w:rPr>
      </w:pPr>
      <w:r>
        <w:rPr>
          <w:rFonts w:hint="eastAsia"/>
          <w:b/>
          <w:sz w:val="28"/>
        </w:rPr>
        <w:t>第二章　安全职责</w:t>
      </w:r>
    </w:p>
    <w:p w14:paraId="30DBBA19">
      <w:pPr>
        <w:spacing w:line="300" w:lineRule="exact"/>
      </w:pPr>
    </w:p>
    <w:p w14:paraId="05CA567E">
      <w:pPr>
        <w:ind w:firstLine="422"/>
      </w:pPr>
      <w:r>
        <w:rPr>
          <w:rFonts w:hint="eastAsia"/>
          <w:b/>
        </w:rPr>
        <w:t>第八条</w:t>
      </w:r>
      <w:r>
        <w:rPr>
          <w:rFonts w:hint="eastAsia"/>
        </w:rPr>
        <w:t xml:space="preserve">  大型活动承办者应当履行下列安全职责：</w:t>
      </w:r>
    </w:p>
    <w:p w14:paraId="7F5A2D6D">
      <w:r>
        <w:rPr>
          <w:rFonts w:hint="eastAsia"/>
        </w:rPr>
        <w:t>（一）进行安全风险预测或者委托专业评估机构进行安全风险评估，制定安全工作方案和处置突发事件应急预案并组织训练；</w:t>
      </w:r>
    </w:p>
    <w:p w14:paraId="77C3F363">
      <w:bookmarkStart w:id="1828" w:name="_Toc428780324"/>
      <w:r>
        <w:rPr>
          <w:rFonts w:hint="eastAsia"/>
        </w:rPr>
        <w:t>（二）建立并落实安全责任制度，明确安全措施、岗位安全职责；</w:t>
      </w:r>
      <w:bookmarkEnd w:id="1828"/>
    </w:p>
    <w:p w14:paraId="51086FED">
      <w:r>
        <w:rPr>
          <w:rFonts w:hint="eastAsia"/>
        </w:rPr>
        <w:t>（三）配备与大型活动安全工作需要相适应的专业保安人员及其他安全工作人员；</w:t>
      </w:r>
    </w:p>
    <w:p w14:paraId="03C196FD">
      <w:bookmarkStart w:id="1829" w:name="_Toc428780325"/>
      <w:r>
        <w:rPr>
          <w:rFonts w:hint="eastAsia"/>
        </w:rPr>
        <w:t>（四）为大型活动的安全工作提供必需的物质保障；</w:t>
      </w:r>
      <w:bookmarkEnd w:id="1829"/>
    </w:p>
    <w:p w14:paraId="7A9209F8">
      <w:r>
        <w:rPr>
          <w:rFonts w:hint="eastAsia"/>
        </w:rPr>
        <w:t>（五）组织实施现场安全工作，开展安全检查，发现安全隐患及时消除；</w:t>
      </w:r>
    </w:p>
    <w:p w14:paraId="6FE5B80F">
      <w:r>
        <w:rPr>
          <w:rFonts w:hint="eastAsia"/>
        </w:rPr>
        <w:t>（六）对参加大型活动的人员进行安全宣传和教育，及时劝阻和制止妨碍大型活动秩序的行为，发现违法犯罪行为及时向公安机关报告；</w:t>
      </w:r>
    </w:p>
    <w:p w14:paraId="57A86138">
      <w:bookmarkStart w:id="1830" w:name="_Toc428780326"/>
      <w:r>
        <w:rPr>
          <w:rFonts w:hint="eastAsia"/>
        </w:rPr>
        <w:t>（七）接受公安等有关部门的指导、监督和检查，及时消除安全隐患；</w:t>
      </w:r>
      <w:bookmarkEnd w:id="1830"/>
    </w:p>
    <w:p w14:paraId="53D0C9E5">
      <w:r>
        <w:rPr>
          <w:rFonts w:hint="eastAsia"/>
        </w:rPr>
        <w:t>（八）保障临时搭建的设施、建筑物的安全，消除安全隐患；</w:t>
      </w:r>
    </w:p>
    <w:p w14:paraId="1F2B24AA">
      <w:r>
        <w:rPr>
          <w:rFonts w:hint="eastAsia"/>
        </w:rPr>
        <w:t>（九）按照实施安全许可的公安机关的要求，配备必要的安全检查设备，对参加大型活动的人员进行安全检查，对拒不接受安全检查的拒绝其进入。</w:t>
      </w:r>
    </w:p>
    <w:p w14:paraId="0CD0E32F">
      <w:pPr>
        <w:ind w:firstLine="422"/>
      </w:pPr>
      <w:r>
        <w:rPr>
          <w:rFonts w:hint="eastAsia"/>
          <w:b/>
        </w:rPr>
        <w:t>第九条</w:t>
      </w:r>
      <w:r>
        <w:rPr>
          <w:rFonts w:hint="eastAsia"/>
        </w:rPr>
        <w:t xml:space="preserve">  大型活动由主办者直接承办的，主办者履行本条例第八条规定的安全职责。</w:t>
      </w:r>
    </w:p>
    <w:p w14:paraId="2FCCE173">
      <w:r>
        <w:rPr>
          <w:rFonts w:hint="eastAsia"/>
        </w:rPr>
        <w:t>大型活动由主办者委托其他单位承办的，应当选择有资质、具备相应能力和条件的承办单位，接受委托的承办单位履行承办者的安全职责。主办者应当与承办者签订安全协议，明确各自的具体职责，落实安全工作；确定专门人员监督、检查承办单位安全责任和安全措施的落实情况，协调解决存在的问题并及时向有关部门报告；支持承办者落实安全职责和安全措施，并不得向承办者提出可能危及大型活动安全的要求。</w:t>
      </w:r>
    </w:p>
    <w:p w14:paraId="7EA8FAA1">
      <w:pPr>
        <w:ind w:firstLine="422"/>
      </w:pPr>
      <w:r>
        <w:rPr>
          <w:rFonts w:hint="eastAsia"/>
          <w:b/>
        </w:rPr>
        <w:t>第十条</w:t>
      </w:r>
      <w:r>
        <w:rPr>
          <w:rFonts w:hint="eastAsia"/>
        </w:rPr>
        <w:t xml:space="preserve">  大型活动场所管理者应当履行下列安全职责：</w:t>
      </w:r>
    </w:p>
    <w:p w14:paraId="12112D94">
      <w:r>
        <w:rPr>
          <w:rFonts w:hint="eastAsia"/>
        </w:rPr>
        <w:t>（一）保证大型活动场所、设施符合国家和本市建筑、消防、卫生等安全标准，并向承办者提供场所人员核定容量、安全通道、出入口以及供电系统等涉及场所使用安全的资料、证明；</w:t>
      </w:r>
    </w:p>
    <w:p w14:paraId="74AFC50D">
      <w:r>
        <w:rPr>
          <w:rFonts w:hint="eastAsia"/>
        </w:rPr>
        <w:t>（二）根据安全要求设立安全缓进通道、安全出入口和安全通道，设置明显的引导指示标志，并保证畅通；</w:t>
      </w:r>
    </w:p>
    <w:p w14:paraId="60303BB8">
      <w:bookmarkStart w:id="1831" w:name="_Toc428780327"/>
      <w:r>
        <w:rPr>
          <w:rFonts w:hint="eastAsia"/>
        </w:rPr>
        <w:t>（三）配备应急广播、照明设施，并确保完好、有效；</w:t>
      </w:r>
      <w:bookmarkEnd w:id="1831"/>
    </w:p>
    <w:p w14:paraId="1DC8F18E">
      <w:r>
        <w:rPr>
          <w:rFonts w:hint="eastAsia"/>
        </w:rPr>
        <w:t>（四）对停车设施不得挤占、挪用，并维护安全秩序；</w:t>
      </w:r>
    </w:p>
    <w:p w14:paraId="534D88FC">
      <w:bookmarkStart w:id="1832" w:name="_Toc428780328"/>
      <w:r>
        <w:rPr>
          <w:rFonts w:hint="eastAsia"/>
        </w:rPr>
        <w:t>（五）保证安全防范设施与大型活动安全要求相适应；</w:t>
      </w:r>
      <w:bookmarkEnd w:id="1832"/>
    </w:p>
    <w:p w14:paraId="6B07F829">
      <w:r>
        <w:rPr>
          <w:rFonts w:hint="eastAsia"/>
        </w:rPr>
        <w:t>（六）配备专业工作人员，保证重点部位安全和重要设施正常运转。</w:t>
      </w:r>
    </w:p>
    <w:p w14:paraId="602528FF">
      <w:pPr>
        <w:ind w:firstLine="422"/>
      </w:pPr>
      <w:r>
        <w:rPr>
          <w:rFonts w:hint="eastAsia"/>
          <w:b/>
        </w:rPr>
        <w:t>第十一条</w:t>
      </w:r>
      <w:r>
        <w:rPr>
          <w:rFonts w:hint="eastAsia"/>
        </w:rPr>
        <w:t xml:space="preserve">  承担大型活动安全风险评估的机构应当根据保障大型活动安全相关标准，结合大型活动的实际情况开展风险评估。风险评估报告的内容应当包括发生安全事故的可能性、安全风险程度及防范和控制风险的建议等事项。</w:t>
      </w:r>
    </w:p>
    <w:p w14:paraId="12EB1675">
      <w:r>
        <w:rPr>
          <w:rFonts w:hint="eastAsia"/>
        </w:rPr>
        <w:t>安全风险评估机构应当具备相应专业能力和条件。</w:t>
      </w:r>
    </w:p>
    <w:p w14:paraId="230EA5E9">
      <w:pPr>
        <w:ind w:firstLine="422"/>
      </w:pPr>
      <w:r>
        <w:rPr>
          <w:rFonts w:hint="eastAsia"/>
          <w:b/>
        </w:rPr>
        <w:t>第十二条</w:t>
      </w:r>
      <w:r>
        <w:rPr>
          <w:rFonts w:hint="eastAsia"/>
        </w:rPr>
        <w:t xml:space="preserve">  承担大型活动安全服务的保安服务公司应当按照相关标准提供规范的服务，并按照保安服务合同的规定履行大型活动安全服务职责。</w:t>
      </w:r>
    </w:p>
    <w:p w14:paraId="5E3582C9">
      <w:pPr>
        <w:ind w:firstLine="422"/>
      </w:pPr>
      <w:r>
        <w:rPr>
          <w:rFonts w:hint="eastAsia"/>
          <w:b/>
        </w:rPr>
        <w:t>第十三条</w:t>
      </w:r>
      <w:r>
        <w:rPr>
          <w:rFonts w:hint="eastAsia"/>
        </w:rPr>
        <w:t xml:space="preserve">  公安机关在大型活动安全监督管理工作中应当履行下列职责：</w:t>
      </w:r>
    </w:p>
    <w:p w14:paraId="441CA121">
      <w:r>
        <w:rPr>
          <w:rFonts w:hint="eastAsia"/>
        </w:rPr>
        <w:t>（一）制定大型活动安全许可和安全监督管理的工作规范和标准，并向社会公布；</w:t>
      </w:r>
    </w:p>
    <w:p w14:paraId="0188FA57">
      <w:bookmarkStart w:id="1833" w:name="_Toc428780329"/>
      <w:r>
        <w:rPr>
          <w:rFonts w:hint="eastAsia"/>
        </w:rPr>
        <w:t>（二）制定大型活动安全监督方案和突发事件应急处置预案；</w:t>
      </w:r>
      <w:bookmarkEnd w:id="1833"/>
    </w:p>
    <w:p w14:paraId="385FF07C">
      <w:r>
        <w:rPr>
          <w:rFonts w:hint="eastAsia"/>
        </w:rPr>
        <w:t>（三）建立大型活动不良安全信息记录制度，并向社会公布；</w:t>
      </w:r>
    </w:p>
    <w:p w14:paraId="3C97E4A0">
      <w:bookmarkStart w:id="1834" w:name="_Toc428780330"/>
      <w:r>
        <w:rPr>
          <w:rFonts w:hint="eastAsia"/>
        </w:rPr>
        <w:t>（四）审核许可申请材料，实地勘验活动场所；</w:t>
      </w:r>
      <w:bookmarkEnd w:id="1834"/>
    </w:p>
    <w:p w14:paraId="49E258B3">
      <w:r>
        <w:rPr>
          <w:rFonts w:hint="eastAsia"/>
        </w:rPr>
        <w:t>（五）在大型活动举办前，对活动场所组织专项安全检查，发现安全隐患的责令改正；</w:t>
      </w:r>
    </w:p>
    <w:p w14:paraId="5B430C66">
      <w:r>
        <w:rPr>
          <w:rFonts w:hint="eastAsia"/>
        </w:rPr>
        <w:t>（六）在大型活动举办过程中，对安全工作的落实进行指导、监督和检查，发现安全隐患的责令改正；</w:t>
      </w:r>
    </w:p>
    <w:p w14:paraId="33B1B175">
      <w:bookmarkStart w:id="1835" w:name="_Toc428780331"/>
      <w:r>
        <w:rPr>
          <w:rFonts w:hint="eastAsia"/>
        </w:rPr>
        <w:t>（七）对安全工作人员进行宣传、教育；</w:t>
      </w:r>
      <w:bookmarkEnd w:id="1835"/>
    </w:p>
    <w:p w14:paraId="58B7E574">
      <w:r>
        <w:rPr>
          <w:rFonts w:hint="eastAsia"/>
        </w:rPr>
        <w:t>（八）根据公共安全需要组织相应警力，维持活动现场周边的治安、交通秩序；</w:t>
      </w:r>
    </w:p>
    <w:p w14:paraId="0CFD292F">
      <w:r>
        <w:rPr>
          <w:rFonts w:hint="eastAsia"/>
        </w:rPr>
        <w:t>（九）对现场秩序混乱，可能导致安全事故或者危害公共安全的紧急情况和其他突发事件，及时进行处置；</w:t>
      </w:r>
    </w:p>
    <w:p w14:paraId="5119BB31">
      <w:r>
        <w:rPr>
          <w:rFonts w:hint="eastAsia"/>
        </w:rPr>
        <w:t>（十）依法查处大型活动中的违法犯罪行为。</w:t>
      </w:r>
    </w:p>
    <w:p w14:paraId="706D735E"/>
    <w:p w14:paraId="7A216474">
      <w:pPr>
        <w:ind w:firstLine="0" w:firstLineChars="0"/>
        <w:jc w:val="center"/>
        <w:rPr>
          <w:b/>
          <w:sz w:val="28"/>
        </w:rPr>
      </w:pPr>
      <w:r>
        <w:rPr>
          <w:rFonts w:hint="eastAsia"/>
          <w:b/>
          <w:sz w:val="28"/>
        </w:rPr>
        <w:t>第三章　安全许可</w:t>
      </w:r>
    </w:p>
    <w:p w14:paraId="0E452C32"/>
    <w:p w14:paraId="0E79270D">
      <w:pPr>
        <w:ind w:firstLine="422"/>
      </w:pPr>
      <w:r>
        <w:rPr>
          <w:rFonts w:hint="eastAsia"/>
          <w:b/>
        </w:rPr>
        <w:t>第十四条</w:t>
      </w:r>
      <w:r>
        <w:rPr>
          <w:rFonts w:hint="eastAsia"/>
        </w:rPr>
        <w:t>　大型活动有下列情形之一的，由承办者在举办大型活动的二十个工作日前向公安机关申请安全许可：</w:t>
      </w:r>
    </w:p>
    <w:p w14:paraId="3D9FCEB8">
      <w:r>
        <w:rPr>
          <w:rFonts w:hint="eastAsia"/>
        </w:rPr>
        <w:t>（一）拟印制、发售票证一千张以上的；</w:t>
      </w:r>
    </w:p>
    <w:p w14:paraId="2F2854F8">
      <w:r>
        <w:rPr>
          <w:rFonts w:hint="eastAsia"/>
        </w:rPr>
        <w:t>（二）组织参加人数一千以上的；</w:t>
      </w:r>
    </w:p>
    <w:p w14:paraId="744C955E">
      <w:r>
        <w:rPr>
          <w:rFonts w:hint="eastAsia"/>
        </w:rPr>
        <w:t>（三）其他预计参加人数一千以上的。</w:t>
      </w:r>
    </w:p>
    <w:p w14:paraId="11CA361D">
      <w:pPr>
        <w:ind w:firstLine="422"/>
      </w:pPr>
      <w:r>
        <w:rPr>
          <w:rFonts w:hint="eastAsia"/>
          <w:b/>
        </w:rPr>
        <w:t>第十五条</w:t>
      </w:r>
      <w:r>
        <w:rPr>
          <w:rFonts w:hint="eastAsia"/>
        </w:rPr>
        <w:t>　大型活动有下列情形之一的，承办者应当向市公安机关申请安全许可：</w:t>
      </w:r>
    </w:p>
    <w:p w14:paraId="668CD4A2">
      <w:bookmarkStart w:id="1836" w:name="_Toc428780332"/>
      <w:r>
        <w:rPr>
          <w:rFonts w:hint="eastAsia"/>
        </w:rPr>
        <w:t>（一）举办场所跨区、县的；</w:t>
      </w:r>
      <w:bookmarkEnd w:id="1836"/>
    </w:p>
    <w:p w14:paraId="16FB30CE">
      <w:r>
        <w:rPr>
          <w:rFonts w:hint="eastAsia"/>
        </w:rPr>
        <w:t>（二）预计参加人数一万以上的文艺演出、体育竞赛；</w:t>
      </w:r>
    </w:p>
    <w:p w14:paraId="3228A6C8">
      <w:r>
        <w:rPr>
          <w:rFonts w:hint="eastAsia"/>
        </w:rPr>
        <w:t>（三）展位总数在二千以上的展览、展销。</w:t>
      </w:r>
    </w:p>
    <w:p w14:paraId="78F151E4">
      <w:r>
        <w:rPr>
          <w:rFonts w:hint="eastAsia"/>
        </w:rPr>
        <w:t>前款规定以外的其他大型活动，承办者应当向举办所在地区、县公安机关申请安全许可。</w:t>
      </w:r>
    </w:p>
    <w:p w14:paraId="7EF91D89">
      <w:pPr>
        <w:ind w:firstLine="422"/>
      </w:pPr>
      <w:r>
        <w:rPr>
          <w:rFonts w:hint="eastAsia"/>
          <w:b/>
        </w:rPr>
        <w:t>第十六条</w:t>
      </w:r>
      <w:r>
        <w:rPr>
          <w:rFonts w:hint="eastAsia"/>
        </w:rPr>
        <w:t>　承办者申请大型活动安全许可时，应当向公安机关提交下列材料：</w:t>
      </w:r>
    </w:p>
    <w:p w14:paraId="00445579">
      <w:bookmarkStart w:id="1837" w:name="_Toc428780333"/>
      <w:r>
        <w:rPr>
          <w:rFonts w:hint="eastAsia"/>
        </w:rPr>
        <w:t>（一）承办者合法成立的证明及安全责任人的身份证明；</w:t>
      </w:r>
      <w:bookmarkEnd w:id="1837"/>
    </w:p>
    <w:p w14:paraId="021C1DBE">
      <w:r>
        <w:rPr>
          <w:rFonts w:hint="eastAsia"/>
        </w:rPr>
        <w:t>（二）主办者与承办者签订的协议，两个或者两个以上承办者共同承办大型活动的，提交联合承办的协议；</w:t>
      </w:r>
    </w:p>
    <w:p w14:paraId="416B7F3A">
      <w:r>
        <w:rPr>
          <w:rFonts w:hint="eastAsia"/>
        </w:rPr>
        <w:t>（三）场所租赁、借用协议；</w:t>
      </w:r>
    </w:p>
    <w:p w14:paraId="6CDE5793">
      <w:r>
        <w:rPr>
          <w:rFonts w:hint="eastAsia"/>
        </w:rPr>
        <w:t>（四）大型活动方案及其说明、安全工作方案。</w:t>
      </w:r>
    </w:p>
    <w:p w14:paraId="369D8CF3">
      <w:pPr>
        <w:ind w:firstLine="422"/>
      </w:pPr>
      <w:r>
        <w:rPr>
          <w:rFonts w:hint="eastAsia"/>
          <w:b/>
        </w:rPr>
        <w:t>第十七条</w:t>
      </w:r>
      <w:r>
        <w:rPr>
          <w:rFonts w:hint="eastAsia"/>
        </w:rPr>
        <w:t>　大型活动方案内容应当包括活动的时间、地点、内容、组织方式。大型活动须经有关部门事先批准的，附有关部门的批准文件。</w:t>
      </w:r>
    </w:p>
    <w:p w14:paraId="57787FDB">
      <w:pPr>
        <w:ind w:firstLine="422"/>
      </w:pPr>
      <w:r>
        <w:rPr>
          <w:rFonts w:hint="eastAsia"/>
          <w:b/>
        </w:rPr>
        <w:t>第十八条</w:t>
      </w:r>
      <w:r>
        <w:rPr>
          <w:rFonts w:hint="eastAsia"/>
        </w:rPr>
        <w:t>　大型活动安全工作方案应当包括下列内容：</w:t>
      </w:r>
    </w:p>
    <w:p w14:paraId="7A77A661">
      <w:bookmarkStart w:id="1838" w:name="_Toc428780334"/>
      <w:r>
        <w:rPr>
          <w:rFonts w:hint="eastAsia"/>
        </w:rPr>
        <w:t>（一）安全风险预测或者评估报告、现场平面图；</w:t>
      </w:r>
      <w:bookmarkEnd w:id="1838"/>
    </w:p>
    <w:p w14:paraId="5C2E9EF8">
      <w:r>
        <w:rPr>
          <w:rFonts w:hint="eastAsia"/>
        </w:rPr>
        <w:t>（二）安全工作人员的数量、任务分配和识别标志；</w:t>
      </w:r>
    </w:p>
    <w:p w14:paraId="63ED3F03">
      <w:bookmarkStart w:id="1839" w:name="_Toc428780335"/>
      <w:r>
        <w:rPr>
          <w:rFonts w:hint="eastAsia"/>
        </w:rPr>
        <w:t>（三）活动场所消防安全措施；</w:t>
      </w:r>
      <w:bookmarkEnd w:id="1839"/>
    </w:p>
    <w:p w14:paraId="6C1779F6">
      <w:r>
        <w:rPr>
          <w:rFonts w:hint="eastAsia"/>
        </w:rPr>
        <w:t>（四）活动场所可容纳的人员数量以及活动预计参加人数；</w:t>
      </w:r>
    </w:p>
    <w:p w14:paraId="51B098CF">
      <w:bookmarkStart w:id="1840" w:name="_Toc428780336"/>
      <w:r>
        <w:rPr>
          <w:rFonts w:hint="eastAsia"/>
        </w:rPr>
        <w:t>（五）治安缓冲区域的设定及其标志；</w:t>
      </w:r>
      <w:bookmarkEnd w:id="1840"/>
    </w:p>
    <w:p w14:paraId="05909B60">
      <w:r>
        <w:rPr>
          <w:rFonts w:hint="eastAsia"/>
        </w:rPr>
        <w:t>（六）票证管理方案和样本、入场人员的票证查验和安全检查措施；</w:t>
      </w:r>
    </w:p>
    <w:p w14:paraId="427B835C">
      <w:r>
        <w:rPr>
          <w:rFonts w:hint="eastAsia"/>
        </w:rPr>
        <w:t>（七）车辆停放、疏导措施；</w:t>
      </w:r>
    </w:p>
    <w:p w14:paraId="3095E160">
      <w:r>
        <w:rPr>
          <w:rFonts w:hint="eastAsia"/>
        </w:rPr>
        <w:t>（八）现场秩序维护、人员疏导措施；</w:t>
      </w:r>
    </w:p>
    <w:p w14:paraId="3329CB7D">
      <w:r>
        <w:rPr>
          <w:rFonts w:hint="eastAsia"/>
        </w:rPr>
        <w:t>（九）突发事件应急预案；</w:t>
      </w:r>
    </w:p>
    <w:p w14:paraId="10B10984">
      <w:r>
        <w:rPr>
          <w:rFonts w:hint="eastAsia"/>
        </w:rPr>
        <w:t>（十）安全协议文本。</w:t>
      </w:r>
    </w:p>
    <w:p w14:paraId="4A60C347">
      <w:pPr>
        <w:ind w:firstLine="422"/>
      </w:pPr>
      <w:r>
        <w:rPr>
          <w:rFonts w:hint="eastAsia"/>
          <w:b/>
        </w:rPr>
        <w:t>第十九条</w:t>
      </w:r>
      <w:r>
        <w:rPr>
          <w:rFonts w:hint="eastAsia"/>
        </w:rPr>
        <w:t>　公安机关收到申请材料应当依法作出受理或者不予受理的决定。受理申请的，公安机关应当自受理之日起七个工作日内，对申请人提交的材料进行审查，并对大型活动场所、设施进行现场核查，作出许可或者不予许可的决定，并书面通知申请人；不予许可的说明理由。七个工作日不能作出决定的，经本机关负责人批准，可以延长十日，并将延长期限的理由告知申请人。</w:t>
      </w:r>
    </w:p>
    <w:p w14:paraId="711C2FA7">
      <w:r>
        <w:rPr>
          <w:rFonts w:hint="eastAsia"/>
        </w:rPr>
        <w:t>承办者申请年度内在相同地点举行相同内容的多场次大型活动的，公安机关可以采取一次许可的方式。</w:t>
      </w:r>
    </w:p>
    <w:p w14:paraId="537AC90D">
      <w:pPr>
        <w:ind w:firstLine="422"/>
      </w:pPr>
      <w:r>
        <w:rPr>
          <w:rFonts w:hint="eastAsia"/>
          <w:b/>
        </w:rPr>
        <w:t>第二十条</w:t>
      </w:r>
      <w:r>
        <w:rPr>
          <w:rFonts w:hint="eastAsia"/>
        </w:rPr>
        <w:t>　大型活动符合下列条件的，公安机关予以安全许可：</w:t>
      </w:r>
    </w:p>
    <w:p w14:paraId="3929DDD0">
      <w:r>
        <w:rPr>
          <w:rFonts w:hint="eastAsia"/>
        </w:rPr>
        <w:t>（一）承办者具有合法身份；</w:t>
      </w:r>
    </w:p>
    <w:p w14:paraId="2EF86532">
      <w:r>
        <w:rPr>
          <w:rFonts w:hint="eastAsia"/>
        </w:rPr>
        <w:t>（二）内容符合法律、法规的规定；</w:t>
      </w:r>
    </w:p>
    <w:p w14:paraId="1310C910">
      <w:r>
        <w:rPr>
          <w:rFonts w:hint="eastAsia"/>
        </w:rPr>
        <w:t>（三）场所、设施符合安全要求；</w:t>
      </w:r>
    </w:p>
    <w:p w14:paraId="3FB189FF">
      <w:r>
        <w:rPr>
          <w:rFonts w:hint="eastAsia"/>
        </w:rPr>
        <w:t>（四）安全责任明确、措施有效。</w:t>
      </w:r>
    </w:p>
    <w:p w14:paraId="338ED715">
      <w:pPr>
        <w:ind w:firstLine="422"/>
      </w:pPr>
      <w:r>
        <w:rPr>
          <w:rFonts w:hint="eastAsia"/>
          <w:b/>
        </w:rPr>
        <w:t>第二十一条</w:t>
      </w:r>
      <w:r>
        <w:rPr>
          <w:rFonts w:hint="eastAsia"/>
        </w:rPr>
        <w:t>　大型活动有下列情形之一的，公安机关不予安全许可：</w:t>
      </w:r>
    </w:p>
    <w:p w14:paraId="1C9FBE55">
      <w:bookmarkStart w:id="1841" w:name="_Toc428780337"/>
      <w:r>
        <w:rPr>
          <w:rFonts w:hint="eastAsia"/>
        </w:rPr>
        <w:t>（一）危害国家安全和社会公共利益的；</w:t>
      </w:r>
      <w:bookmarkEnd w:id="1841"/>
    </w:p>
    <w:p w14:paraId="1BAC5F3C">
      <w:r>
        <w:rPr>
          <w:rFonts w:hint="eastAsia"/>
        </w:rPr>
        <w:t>（二）影响国事、外交、军事或者其他重大活动的；</w:t>
      </w:r>
    </w:p>
    <w:p w14:paraId="1D5874F8">
      <w:bookmarkStart w:id="1842" w:name="_Toc428780338"/>
      <w:r>
        <w:rPr>
          <w:rFonts w:hint="eastAsia"/>
        </w:rPr>
        <w:t>（三）严重妨碍道路交通安全秩序和社会公共秩序的；</w:t>
      </w:r>
      <w:bookmarkEnd w:id="1842"/>
    </w:p>
    <w:p w14:paraId="33374F31">
      <w:r>
        <w:rPr>
          <w:rFonts w:hint="eastAsia"/>
        </w:rPr>
        <w:t>（四）不符合本条例第二十条规定条件的。</w:t>
      </w:r>
    </w:p>
    <w:p w14:paraId="5048F010">
      <w:pPr>
        <w:ind w:firstLine="422"/>
      </w:pPr>
      <w:r>
        <w:rPr>
          <w:rFonts w:hint="eastAsia"/>
          <w:b/>
        </w:rPr>
        <w:t>第二十二条</w:t>
      </w:r>
      <w:r>
        <w:rPr>
          <w:rFonts w:hint="eastAsia"/>
        </w:rPr>
        <w:t>　对经安全许可的大型活动，承办者不得擅自变更活动的时间、地点、内容或者扩大大型活动的举办规模。</w:t>
      </w:r>
    </w:p>
    <w:p w14:paraId="38175A39">
      <w:r>
        <w:rPr>
          <w:rFonts w:hint="eastAsia"/>
        </w:rPr>
        <w:t>大型活动举办时间需要变更的，承办者应当在原举办时间的五个工作日前向作出安全许可决定的公安机关提出变更申请，公安机关同意变更的及时办理变更手续；举办地点、内容变更或者规模扩大的，承办者应当依照本条例重新申请安全许可。</w:t>
      </w:r>
    </w:p>
    <w:p w14:paraId="5661602A">
      <w:r>
        <w:rPr>
          <w:rFonts w:hint="eastAsia"/>
        </w:rPr>
        <w:t>大型活动取消的，承办者应当在原举办时间的五个工作日前书面告知作出安全许可决定的公安机关，并交回大型活动安全许可证件。</w:t>
      </w:r>
    </w:p>
    <w:p w14:paraId="342A06BD">
      <w:pPr>
        <w:ind w:firstLine="422"/>
      </w:pPr>
      <w:r>
        <w:rPr>
          <w:rFonts w:hint="eastAsia"/>
          <w:b/>
        </w:rPr>
        <w:t>第二十三条</w:t>
      </w:r>
      <w:r>
        <w:rPr>
          <w:rFonts w:hint="eastAsia"/>
        </w:rPr>
        <w:t>　作出安全许可决定所依据的客观情况发生重大变化的，为了公共利益的需要，作出行政许可决定的公安机关可以变更或者撤回已经生效的安全许可并及时告知承办者。由此给大型活动承办者造成财产损失的，应当依法给予补偿。</w:t>
      </w:r>
    </w:p>
    <w:p w14:paraId="5B634510">
      <w:pPr>
        <w:ind w:firstLine="422"/>
      </w:pPr>
      <w:r>
        <w:rPr>
          <w:rFonts w:hint="eastAsia"/>
          <w:b/>
        </w:rPr>
        <w:t>第二十四条</w:t>
      </w:r>
      <w:r>
        <w:rPr>
          <w:rFonts w:hint="eastAsia"/>
        </w:rPr>
        <w:t>　负有大型活动安全监督管理职责的部门及其工作人员不得向承办者或者主办者提出与安全监督管理无关的要求，不得强制承办者委托指定的风险评估机构或者保安服务公司。</w:t>
      </w:r>
    </w:p>
    <w:p w14:paraId="052E1D4C"/>
    <w:p w14:paraId="4AB92B85">
      <w:pPr>
        <w:ind w:firstLine="0" w:firstLineChars="0"/>
        <w:jc w:val="center"/>
        <w:rPr>
          <w:b/>
          <w:sz w:val="28"/>
        </w:rPr>
      </w:pPr>
      <w:r>
        <w:rPr>
          <w:rFonts w:hint="eastAsia"/>
          <w:b/>
          <w:sz w:val="28"/>
        </w:rPr>
        <w:t>第四章　安全规范</w:t>
      </w:r>
    </w:p>
    <w:p w14:paraId="56B47AAB"/>
    <w:p w14:paraId="654F9D12">
      <w:pPr>
        <w:ind w:firstLine="422"/>
      </w:pPr>
      <w:r>
        <w:rPr>
          <w:rFonts w:hint="eastAsia"/>
          <w:b/>
        </w:rPr>
        <w:t>第二十五条</w:t>
      </w:r>
      <w:r>
        <w:rPr>
          <w:rFonts w:hint="eastAsia"/>
        </w:rPr>
        <w:t>　变更、取消已向社会公布的大型活动的，承办者应当通过报纸、电视、广播等媒体予以公告，并做好善后工作。</w:t>
      </w:r>
    </w:p>
    <w:p w14:paraId="1C0FE5FF">
      <w:pPr>
        <w:ind w:firstLine="422"/>
      </w:pPr>
      <w:r>
        <w:rPr>
          <w:rFonts w:hint="eastAsia"/>
          <w:b/>
        </w:rPr>
        <w:t>第二十六条</w:t>
      </w:r>
      <w:r>
        <w:rPr>
          <w:rFonts w:hint="eastAsia"/>
        </w:rPr>
        <w:t>　大型活动承办者应当遵守下列规定：</w:t>
      </w:r>
    </w:p>
    <w:p w14:paraId="34C1DA12">
      <w:bookmarkStart w:id="1843" w:name="_Toc428780339"/>
      <w:r>
        <w:rPr>
          <w:rFonts w:hint="eastAsia"/>
        </w:rPr>
        <w:t>（一）不得将大型活动转让他人举办；</w:t>
      </w:r>
      <w:bookmarkEnd w:id="1843"/>
    </w:p>
    <w:p w14:paraId="0B66439E">
      <w:r>
        <w:rPr>
          <w:rFonts w:hint="eastAsia"/>
        </w:rPr>
        <w:t>（二）按照安全许可的时间、地点和内容举办大型活动；</w:t>
      </w:r>
    </w:p>
    <w:p w14:paraId="6B472FF1">
      <w:bookmarkStart w:id="1844" w:name="_Toc428780340"/>
      <w:r>
        <w:rPr>
          <w:rFonts w:hint="eastAsia"/>
        </w:rPr>
        <w:t>（三）按照公安机关核准的安全容量印制、发放、出售票证；</w:t>
      </w:r>
      <w:bookmarkEnd w:id="1844"/>
    </w:p>
    <w:p w14:paraId="0BEEC37A">
      <w:r>
        <w:rPr>
          <w:rFonts w:hint="eastAsia"/>
        </w:rPr>
        <w:t>（四）公开售票的，采取票证防伪、现场验票等安全措施；</w:t>
      </w:r>
    </w:p>
    <w:p w14:paraId="2D52B5F5">
      <w:r>
        <w:rPr>
          <w:rFonts w:hint="eastAsia"/>
        </w:rPr>
        <w:t>（五）根据安全需要在场所入口设置安全、有效的机读验票设施、设备。</w:t>
      </w:r>
    </w:p>
    <w:p w14:paraId="2BD212DF">
      <w:r>
        <w:rPr>
          <w:rFonts w:hint="eastAsia"/>
        </w:rPr>
        <w:t>大型活动承办者可以投保公众责任险。</w:t>
      </w:r>
    </w:p>
    <w:p w14:paraId="1614971D">
      <w:pPr>
        <w:ind w:firstLine="422"/>
      </w:pPr>
      <w:r>
        <w:rPr>
          <w:rFonts w:hint="eastAsia"/>
          <w:b/>
        </w:rPr>
        <w:t>第二十七条</w:t>
      </w:r>
      <w:r>
        <w:rPr>
          <w:rFonts w:hint="eastAsia"/>
        </w:rPr>
        <w:t>　承办者搭建临时设施、建筑物应当委托有资质的单位设计、施工，并与场所管理者、施工单位签订搭建临时设施、建筑物的安全协议。</w:t>
      </w:r>
    </w:p>
    <w:p w14:paraId="7CF88FFE">
      <w:r>
        <w:rPr>
          <w:rFonts w:hint="eastAsia"/>
        </w:rPr>
        <w:t>设计、施工单位应当按照有关标准和规范设计、搭建和拆除临时设施、建筑物，确保临时设施、建筑物的施工安全和使用安全；必要时承办者应当聘请专业机构进行检验、检测，相关专业机构应当对其出具的检验、检测结果承担法律责任。</w:t>
      </w:r>
    </w:p>
    <w:p w14:paraId="65F472BF">
      <w:pPr>
        <w:ind w:firstLine="422"/>
      </w:pPr>
      <w:r>
        <w:rPr>
          <w:rFonts w:hint="eastAsia"/>
          <w:b/>
        </w:rPr>
        <w:t>第二十八条</w:t>
      </w:r>
      <w:r>
        <w:rPr>
          <w:rFonts w:hint="eastAsia"/>
        </w:rPr>
        <w:t>　承办者在大型活动举办期间，应当落实各项安全措施，配备足够的工作人员维持现场秩序。在人员相对聚集时，承办者应当采取控制和疏散措施，确保参加活动的人数在安全条件允许的范围内。</w:t>
      </w:r>
    </w:p>
    <w:p w14:paraId="24D20A5B">
      <w:r>
        <w:rPr>
          <w:rFonts w:hint="eastAsia"/>
        </w:rPr>
        <w:t>在活动举办过程中发生公共安全事故、治安案件的，安全责任人应当立即启动应急救援预案，并立即报告公安机关。</w:t>
      </w:r>
    </w:p>
    <w:p w14:paraId="181B9DF1">
      <w:pPr>
        <w:ind w:firstLine="422"/>
      </w:pPr>
      <w:r>
        <w:rPr>
          <w:rFonts w:hint="eastAsia"/>
          <w:b/>
        </w:rPr>
        <w:t>第二十九条</w:t>
      </w:r>
      <w:r>
        <w:rPr>
          <w:rFonts w:hint="eastAsia"/>
        </w:rPr>
        <w:t>　大型活动现场安全工作人员应当遵守下列规定：</w:t>
      </w:r>
    </w:p>
    <w:p w14:paraId="4B4794B9">
      <w:bookmarkStart w:id="1845" w:name="_Toc428780341"/>
      <w:r>
        <w:rPr>
          <w:rFonts w:hint="eastAsia"/>
        </w:rPr>
        <w:t>（一）掌握安全保卫工作方案和处置突发事件应急预案的全部内容；</w:t>
      </w:r>
      <w:bookmarkEnd w:id="1845"/>
    </w:p>
    <w:p w14:paraId="609431D8">
      <w:r>
        <w:rPr>
          <w:rFonts w:hint="eastAsia"/>
        </w:rPr>
        <w:t>（二）能够熟练使用应急广播和指挥系统；</w:t>
      </w:r>
    </w:p>
    <w:p w14:paraId="7DA723CA">
      <w:r>
        <w:rPr>
          <w:rFonts w:hint="eastAsia"/>
        </w:rPr>
        <w:t>（三）能够熟练使用消防器材，熟知安全出口和疏散通道位置，掌握本岗位应急救援措施；</w:t>
      </w:r>
    </w:p>
    <w:p w14:paraId="2F077F0D">
      <w:r>
        <w:rPr>
          <w:rFonts w:hint="eastAsia"/>
        </w:rPr>
        <w:t>（四）掌握和运用其他安全工作措施。</w:t>
      </w:r>
    </w:p>
    <w:p w14:paraId="58AC2D93">
      <w:pPr>
        <w:ind w:firstLine="422"/>
      </w:pPr>
      <w:r>
        <w:rPr>
          <w:rFonts w:hint="eastAsia"/>
          <w:b/>
        </w:rPr>
        <w:t>第三十条</w:t>
      </w:r>
      <w:r>
        <w:rPr>
          <w:rFonts w:hint="eastAsia"/>
        </w:rPr>
        <w:t>　参加大型活动的人员应当遵守下列规定：</w:t>
      </w:r>
    </w:p>
    <w:p w14:paraId="46116A3D">
      <w:r>
        <w:rPr>
          <w:rFonts w:hint="eastAsia"/>
        </w:rPr>
        <w:t>（一）遵守有关法律、法规、规章；</w:t>
      </w:r>
    </w:p>
    <w:p w14:paraId="2E94E7EC">
      <w:r>
        <w:rPr>
          <w:rFonts w:hint="eastAsia"/>
        </w:rPr>
        <w:t>（二）遵守大型活动现场的管理制度；</w:t>
      </w:r>
    </w:p>
    <w:p w14:paraId="6627C416">
      <w:r>
        <w:rPr>
          <w:rFonts w:hint="eastAsia"/>
        </w:rPr>
        <w:t>（三）自觉接受安全检查，服从管理；</w:t>
      </w:r>
    </w:p>
    <w:p w14:paraId="273AC19E">
      <w:r>
        <w:rPr>
          <w:rFonts w:hint="eastAsia"/>
        </w:rPr>
        <w:t>（四）不得影响大型活动正常秩序、妨碍公共安全；</w:t>
      </w:r>
    </w:p>
    <w:p w14:paraId="5AFBD78E">
      <w:r>
        <w:rPr>
          <w:rFonts w:hint="eastAsia"/>
        </w:rPr>
        <w:t>（五）遵守社会公德。</w:t>
      </w:r>
    </w:p>
    <w:p w14:paraId="4A25FFE9">
      <w:pPr>
        <w:ind w:firstLine="422"/>
      </w:pPr>
      <w:r>
        <w:rPr>
          <w:rFonts w:hint="eastAsia"/>
          <w:b/>
        </w:rPr>
        <w:t>第三十一条</w:t>
      </w:r>
      <w:r>
        <w:rPr>
          <w:rFonts w:hint="eastAsia"/>
        </w:rPr>
        <w:t>　公安机关应当及时对大型活动场所进行安全检查，记录安全检查的情况和处理结果，并由公安机关检查人员和大型活动承办者、场所管理者签字归档。必要时，公安机关可以会同安全生产、质量技术监督、住房和城乡建设等部门进行检查。</w:t>
      </w:r>
    </w:p>
    <w:p w14:paraId="3F7F13BB">
      <w:r>
        <w:rPr>
          <w:rFonts w:hint="eastAsia"/>
        </w:rPr>
        <w:t>监督检查人员发现大型活动场所存在安全隐患的，提出整改意见，责令承办者立即或者限期消除安全隐患。</w:t>
      </w:r>
    </w:p>
    <w:p w14:paraId="49281991">
      <w:pPr>
        <w:ind w:firstLine="422"/>
      </w:pPr>
      <w:r>
        <w:rPr>
          <w:rFonts w:hint="eastAsia"/>
          <w:b/>
        </w:rPr>
        <w:t>第三十二条</w:t>
      </w:r>
      <w:r>
        <w:rPr>
          <w:rFonts w:hint="eastAsia"/>
        </w:rPr>
        <w:t>　公安机关根据公共安全的需要，可以组织对进入大型活动场所的车辆和人员所携带物品进行安全检查。</w:t>
      </w:r>
    </w:p>
    <w:p w14:paraId="146DB58A">
      <w:r>
        <w:rPr>
          <w:rFonts w:hint="eastAsia"/>
        </w:rPr>
        <w:t>实施安全检查的工作人员，不得从事与安全检查无关的活动，不得实施侵犯受检查人合法权益的行为。</w:t>
      </w:r>
    </w:p>
    <w:p w14:paraId="6F33C1A9">
      <w:pPr>
        <w:ind w:firstLine="0" w:firstLineChars="0"/>
        <w:jc w:val="center"/>
        <w:rPr>
          <w:b/>
          <w:sz w:val="28"/>
        </w:rPr>
      </w:pPr>
    </w:p>
    <w:p w14:paraId="207D4322">
      <w:pPr>
        <w:ind w:firstLine="0" w:firstLineChars="0"/>
        <w:jc w:val="center"/>
        <w:rPr>
          <w:b/>
          <w:sz w:val="28"/>
        </w:rPr>
      </w:pPr>
    </w:p>
    <w:p w14:paraId="755482BE">
      <w:pPr>
        <w:ind w:firstLine="0" w:firstLineChars="0"/>
        <w:jc w:val="center"/>
        <w:rPr>
          <w:b/>
          <w:sz w:val="28"/>
        </w:rPr>
      </w:pPr>
      <w:r>
        <w:rPr>
          <w:rFonts w:hint="eastAsia"/>
          <w:b/>
          <w:sz w:val="28"/>
        </w:rPr>
        <w:t>第五章　法律责任</w:t>
      </w:r>
    </w:p>
    <w:p w14:paraId="05A71AB3"/>
    <w:p w14:paraId="3AE30DE6">
      <w:pPr>
        <w:ind w:firstLine="422"/>
        <w:rPr>
          <w:rFonts w:hint="eastAsia" w:ascii="宋体" w:hAnsi="宋体" w:eastAsia="宋体" w:cs="宋体"/>
        </w:rPr>
      </w:pPr>
      <w:r>
        <w:rPr>
          <w:rFonts w:hint="eastAsia"/>
          <w:b/>
        </w:rPr>
        <w:t>第三十三条</w:t>
      </w:r>
      <w:r>
        <w:rPr>
          <w:rFonts w:hint="eastAsia"/>
        </w:rPr>
        <w:t>　 承办者违反本条例第八条规定，主办者违反本条例第九条规定，以及场所管理者违反本条例第十条规定的，由公安机关或者其他有关部门责令限期改正；逾期不改正的，由公安机关责令其停止或者部分停止大型活动，</w:t>
      </w:r>
      <w:r>
        <w:rPr>
          <w:rFonts w:hint="eastAsia" w:ascii="宋体" w:hAnsi="宋体" w:eastAsia="宋体" w:cs="宋体"/>
        </w:rPr>
        <w:t>并处1万元以上5万元以下罚款。</w:t>
      </w:r>
    </w:p>
    <w:p w14:paraId="307AE1DA">
      <w:pPr>
        <w:ind w:firstLine="422"/>
        <w:rPr>
          <w:rFonts w:hint="eastAsia" w:ascii="宋体" w:hAnsi="宋体" w:eastAsia="宋体" w:cs="宋体"/>
        </w:rPr>
      </w:pPr>
      <w:r>
        <w:rPr>
          <w:rFonts w:hint="eastAsia"/>
          <w:b/>
        </w:rPr>
        <w:t>第三十四条</w:t>
      </w:r>
      <w:r>
        <w:rPr>
          <w:rFonts w:hint="eastAsia"/>
        </w:rPr>
        <w:t>　 承办者违反本条例第二十二条第一款</w:t>
      </w:r>
      <w:r>
        <w:rPr>
          <w:rFonts w:hint="eastAsia" w:ascii="宋体" w:hAnsi="宋体" w:eastAsia="宋体" w:cs="宋体"/>
        </w:rPr>
        <w:t>规定，擅自变更大型活动的时间、地点、内容或者扩大大型活动举办规模的，由公安机关处1万元以上5万元以下罚款；有违法所得的，没收违法所得。</w:t>
      </w:r>
    </w:p>
    <w:p w14:paraId="08F889E5">
      <w:pPr>
        <w:rPr>
          <w:rFonts w:hint="eastAsia" w:ascii="宋体" w:hAnsi="宋体" w:eastAsia="宋体" w:cs="宋体"/>
        </w:rPr>
      </w:pPr>
      <w:r>
        <w:rPr>
          <w:rFonts w:hint="eastAsia" w:ascii="宋体" w:hAnsi="宋体" w:eastAsia="宋体" w:cs="宋体"/>
        </w:rPr>
        <w:t>依法应当取得安全许可但未经公安机关安全许可，擅自组织大型活动的，由公安机关予以取缔，并对组织者处10万元以上30万元以下罚款。</w:t>
      </w:r>
    </w:p>
    <w:p w14:paraId="79DF5F6C">
      <w:pPr>
        <w:ind w:firstLine="422"/>
      </w:pPr>
      <w:r>
        <w:rPr>
          <w:rFonts w:hint="eastAsia"/>
          <w:b/>
        </w:rPr>
        <w:t>第三十五条</w:t>
      </w:r>
      <w:r>
        <w:rPr>
          <w:rFonts w:hint="eastAsia"/>
        </w:rPr>
        <w:t>　 承办者违反本条例第二十六条第一款第（一）项、第（四）项、第（五）项规定的，由公安机关</w:t>
      </w:r>
      <w:r>
        <w:rPr>
          <w:rFonts w:hint="eastAsia" w:ascii="宋体" w:hAnsi="宋体" w:eastAsia="宋体" w:cs="宋体"/>
        </w:rPr>
        <w:t>处1万元以上3万元以下罚款；造成严重后果的，处3万元以上5</w:t>
      </w:r>
      <w:r>
        <w:rPr>
          <w:rFonts w:hint="eastAsia"/>
        </w:rPr>
        <w:t>万元以下罚款。</w:t>
      </w:r>
    </w:p>
    <w:p w14:paraId="17622690">
      <w:pPr>
        <w:ind w:firstLine="422"/>
        <w:rPr>
          <w:rFonts w:hint="eastAsia" w:ascii="宋体" w:hAnsi="宋体" w:eastAsia="宋体" w:cs="宋体"/>
        </w:rPr>
      </w:pPr>
      <w:r>
        <w:rPr>
          <w:rFonts w:hint="eastAsia"/>
          <w:b/>
        </w:rPr>
        <w:t>第三十六条</w:t>
      </w:r>
      <w:r>
        <w:rPr>
          <w:rFonts w:hint="eastAsia"/>
        </w:rPr>
        <w:t>　 承办者、场所管理者违反本条例规定致使发生重大伤亡事故、治安案件或者造成其他严重后果，尚不构成犯罪的，对安全责任人和其他直接责任人员依法给予处分、治安管理处罚，</w:t>
      </w:r>
      <w:r>
        <w:rPr>
          <w:rFonts w:hint="eastAsia" w:ascii="宋体" w:hAnsi="宋体" w:eastAsia="宋体" w:cs="宋体"/>
        </w:rPr>
        <w:t>对单位处1万元以上5万元以下罚款；构成犯罪的，依法追究刑事责任。</w:t>
      </w:r>
    </w:p>
    <w:p w14:paraId="3894C2AE">
      <w:r>
        <w:rPr>
          <w:rFonts w:hint="eastAsia"/>
        </w:rPr>
        <w:t>承办者、场所管理者违反本条例规定造成他人人身、财产损害的，应当依法承担民事责任。</w:t>
      </w:r>
    </w:p>
    <w:p w14:paraId="7A88CF5D">
      <w:pPr>
        <w:ind w:firstLine="422"/>
        <w:rPr>
          <w:rFonts w:hint="eastAsia" w:ascii="宋体" w:hAnsi="宋体" w:eastAsia="宋体" w:cs="宋体"/>
        </w:rPr>
      </w:pPr>
      <w:r>
        <w:rPr>
          <w:rFonts w:hint="eastAsia"/>
          <w:b/>
        </w:rPr>
        <w:t>第三十七条</w:t>
      </w:r>
      <w:r>
        <w:rPr>
          <w:rFonts w:hint="eastAsia"/>
        </w:rPr>
        <w:t>　安全责任人违反本条例第二十八条第二款规定，在大型活动举办过程中发生公共安全事故，不立即启动应急救援预案或者不立即向公安机关报告的，由公安机关对安全责任人和其他直接责任人</w:t>
      </w:r>
      <w:r>
        <w:rPr>
          <w:rFonts w:hint="eastAsia" w:ascii="宋体" w:hAnsi="宋体" w:eastAsia="宋体" w:cs="宋体"/>
        </w:rPr>
        <w:t>员处5000元以上5万元以下罚款。</w:t>
      </w:r>
    </w:p>
    <w:p w14:paraId="34B8E0CB">
      <w:pPr>
        <w:ind w:firstLine="422"/>
      </w:pPr>
      <w:r>
        <w:rPr>
          <w:rFonts w:hint="eastAsia"/>
          <w:b/>
        </w:rPr>
        <w:t>第三十八条</w:t>
      </w:r>
      <w:r>
        <w:rPr>
          <w:rFonts w:hint="eastAsia"/>
        </w:rPr>
        <w:t>　参加大型活动的人员违反本条例第三十条规定的，公安机关可以予以批评教育；对严重危害社会治安秩序或者威胁公共安全的，强行带离现场；属违反治安管理行为的，依照治安管理的有关规定予以处罚。</w:t>
      </w:r>
    </w:p>
    <w:p w14:paraId="21872F1B">
      <w:pPr>
        <w:ind w:firstLine="422"/>
      </w:pPr>
      <w:r>
        <w:rPr>
          <w:rFonts w:hint="eastAsia"/>
          <w:b/>
        </w:rPr>
        <w:t>第三十九条</w:t>
      </w:r>
      <w:r>
        <w:rPr>
          <w:rFonts w:hint="eastAsia"/>
        </w:rPr>
        <w:t>　承担大型活动安全风险评估的机构未尽到安全提示义务，或者应当预见而没有预见安全风险，造成大型活动安全事故的，应当依法承担民事责任。</w:t>
      </w:r>
    </w:p>
    <w:p w14:paraId="1ED7F01A">
      <w:pPr>
        <w:ind w:firstLine="422"/>
      </w:pPr>
      <w:r>
        <w:rPr>
          <w:rFonts w:hint="eastAsia"/>
          <w:b/>
        </w:rPr>
        <w:t>第四十条</w:t>
      </w:r>
      <w:r>
        <w:rPr>
          <w:rFonts w:hint="eastAsia"/>
        </w:rPr>
        <w:t>　本市各级人民政府及其所属部门主办大型活动，造成安全责任事故的，对责任人给予行政处分；构成犯罪的，依法追究刑事责任。</w:t>
      </w:r>
    </w:p>
    <w:p w14:paraId="61192A91">
      <w:pPr>
        <w:ind w:firstLine="422"/>
      </w:pPr>
      <w:r>
        <w:rPr>
          <w:rFonts w:hint="eastAsia"/>
          <w:b/>
        </w:rPr>
        <w:t>第四十一条</w:t>
      </w:r>
      <w:r>
        <w:rPr>
          <w:rFonts w:hint="eastAsia"/>
        </w:rPr>
        <w:t>　负有大型活动监督管理职责的部门不依法履行监督职责，造成严重后果的，由其上级机关或者监察机关责令改正，对直接负责的主管人员和其他直接责任人员依法给予行政处分；构成犯罪的，依法追究刑事责任。</w:t>
      </w:r>
    </w:p>
    <w:p w14:paraId="0C794BAF"/>
    <w:p w14:paraId="0DAAA2A1">
      <w:pPr>
        <w:ind w:firstLine="0" w:firstLineChars="0"/>
        <w:jc w:val="center"/>
        <w:rPr>
          <w:b/>
          <w:sz w:val="28"/>
        </w:rPr>
      </w:pPr>
      <w:r>
        <w:rPr>
          <w:rFonts w:hint="eastAsia"/>
          <w:b/>
          <w:sz w:val="28"/>
        </w:rPr>
        <w:t>第六章　附　则</w:t>
      </w:r>
    </w:p>
    <w:p w14:paraId="49319F44"/>
    <w:p w14:paraId="38757F8F">
      <w:pPr>
        <w:ind w:firstLine="422"/>
      </w:pPr>
      <w:r>
        <w:rPr>
          <w:rFonts w:hint="eastAsia"/>
          <w:b/>
        </w:rPr>
        <w:t>第四十二条</w:t>
      </w:r>
      <w:r>
        <w:rPr>
          <w:rFonts w:hint="eastAsia"/>
        </w:rPr>
        <w:t>　市和区、县人民政府直接举办的大型活动，不实行安全许可制度，其安全保卫工作由举办活动的人民政府负责。举办活动的人民政府应当按照本条例的有关规定，制定严格的安全保卫工作方案，并组织实施。</w:t>
      </w:r>
    </w:p>
    <w:p w14:paraId="08522CB2">
      <w:pPr>
        <w:ind w:firstLine="422"/>
        <w:rPr>
          <w:rFonts w:hint="eastAsia" w:ascii="宋体" w:hAnsi="宋体" w:eastAsia="宋体" w:cs="宋体"/>
        </w:rPr>
      </w:pPr>
      <w:r>
        <w:rPr>
          <w:rFonts w:hint="eastAsia"/>
          <w:b/>
        </w:rPr>
        <w:t>第四十三条</w:t>
      </w:r>
      <w:r>
        <w:rPr>
          <w:rFonts w:hint="eastAsia"/>
        </w:rPr>
        <w:t>　本条例</w:t>
      </w:r>
      <w:r>
        <w:rPr>
          <w:rFonts w:hint="eastAsia" w:ascii="宋体" w:hAnsi="宋体" w:eastAsia="宋体" w:cs="宋体"/>
        </w:rPr>
        <w:t>自2010年12月1日起施行。</w:t>
      </w:r>
    </w:p>
    <w:p w14:paraId="7EB564CF">
      <w:pPr>
        <w:pStyle w:val="4"/>
        <w:pageBreakBefore/>
      </w:pPr>
      <w:bookmarkStart w:id="1846" w:name="_Toc428780342"/>
      <w:bookmarkStart w:id="1847" w:name="_Toc428781755"/>
      <w:bookmarkStart w:id="1848" w:name="_Toc426467007"/>
      <w:r>
        <w:rPr>
          <w:rFonts w:hint="eastAsia"/>
        </w:rPr>
        <w:t>北京市烟花爆竹安全管理规定</w:t>
      </w:r>
      <w:bookmarkEnd w:id="1846"/>
      <w:bookmarkEnd w:id="1847"/>
      <w:bookmarkEnd w:id="1848"/>
    </w:p>
    <w:p w14:paraId="214A683A">
      <w:pPr>
        <w:ind w:left="630" w:leftChars="300" w:right="630" w:rightChars="300"/>
        <w:rPr>
          <w:rFonts w:ascii="楷体" w:hAnsi="楷体" w:eastAsia="楷体"/>
        </w:rPr>
      </w:pPr>
      <w:r>
        <w:rPr>
          <w:rFonts w:hint="eastAsia" w:ascii="楷体" w:hAnsi="楷体" w:eastAsia="楷体"/>
        </w:rPr>
        <w:t>（2005年9月9日北京市第十二届人民代表大会常务委员会第二十二次会议通过　根据2010年12月23日北京市第十三届人民代表大会常务委员会第二十二次会议《关于修改部分地方性法规的决定》修正）</w:t>
      </w:r>
    </w:p>
    <w:p w14:paraId="686DF3C3"/>
    <w:p w14:paraId="08EF5FEE">
      <w:pPr>
        <w:ind w:firstLine="422"/>
      </w:pPr>
      <w:r>
        <w:rPr>
          <w:rFonts w:hint="eastAsia"/>
          <w:b/>
        </w:rPr>
        <w:t>第一条</w:t>
      </w:r>
      <w:r>
        <w:rPr>
          <w:rFonts w:hint="eastAsia"/>
        </w:rPr>
        <w:t xml:space="preserve">  为了加强烟花爆竹安全管理，保障国家、集体财产和公民人身财产安全，维护社会秩序，根据国家有关法律、法规，结合本市实际情况，制定本规定。</w:t>
      </w:r>
    </w:p>
    <w:p w14:paraId="44EDF9EE">
      <w:pPr>
        <w:ind w:firstLine="422"/>
      </w:pPr>
      <w:r>
        <w:rPr>
          <w:rFonts w:hint="eastAsia"/>
          <w:b/>
        </w:rPr>
        <w:t>第二条</w:t>
      </w:r>
      <w:r>
        <w:rPr>
          <w:rFonts w:hint="eastAsia"/>
        </w:rPr>
        <w:t xml:space="preserve">  在本市行政区域内生产、销售、储存、运输、燃放烟花爆竹的安全管理工作适用本规定。法律、法规另有规定的，从其规定。</w:t>
      </w:r>
    </w:p>
    <w:p w14:paraId="004C36F3">
      <w:pPr>
        <w:ind w:firstLine="422"/>
      </w:pPr>
      <w:r>
        <w:rPr>
          <w:rFonts w:hint="eastAsia"/>
          <w:b/>
        </w:rPr>
        <w:t>第三条</w:t>
      </w:r>
      <w:r>
        <w:rPr>
          <w:rFonts w:hint="eastAsia"/>
        </w:rPr>
        <w:t xml:space="preserve">  本规定由本市各级人民政府组织实施。公安机关是烟花爆竹安全管理工作的主管机关。</w:t>
      </w:r>
    </w:p>
    <w:p w14:paraId="09BDEF8D">
      <w:r>
        <w:rPr>
          <w:rFonts w:hint="eastAsia"/>
        </w:rPr>
        <w:t>市和区、县应当建立由公安、工商行政管理、安全生产监督管理、质量技术监督、交通、市政管理等行政部门和城市管理综合执法组织组成的烟花爆竹安全管理协调工作机制，按照职责分工，各负其责。</w:t>
      </w:r>
    </w:p>
    <w:p w14:paraId="7D6E20AF">
      <w:r>
        <w:rPr>
          <w:rFonts w:hint="eastAsia"/>
        </w:rPr>
        <w:t>居民委员会、村民委员会和其他基层组织应当协助本市各级人民政府做好烟花爆竹的安全管理工作。</w:t>
      </w:r>
    </w:p>
    <w:p w14:paraId="11577EA8">
      <w:pPr>
        <w:ind w:firstLine="422"/>
      </w:pPr>
      <w:r>
        <w:rPr>
          <w:rFonts w:hint="eastAsia"/>
          <w:b/>
        </w:rPr>
        <w:t>第四条</w:t>
      </w:r>
      <w:r>
        <w:rPr>
          <w:rFonts w:hint="eastAsia"/>
        </w:rPr>
        <w:t xml:space="preserve">  本市各级人民政府、街道办事处和居民委员会、村民委员会，以及机关、团体、企事业单位和其他组织，应当开展依法、文明、安全燃放烟花爆竹的宣传、教育活动。</w:t>
      </w:r>
    </w:p>
    <w:p w14:paraId="2C45FCDE">
      <w:r>
        <w:rPr>
          <w:rFonts w:hint="eastAsia"/>
        </w:rPr>
        <w:t>中小学校应当对学生进行文明、安全燃放烟花爆竹的教育。</w:t>
      </w:r>
    </w:p>
    <w:p w14:paraId="4664F05C">
      <w:r>
        <w:rPr>
          <w:rFonts w:hint="eastAsia"/>
        </w:rPr>
        <w:t>广播、电视、报刊等新闻媒体，应当做好烟花爆竹安全管理的宣传教育工作。</w:t>
      </w:r>
    </w:p>
    <w:p w14:paraId="4E75E9A8">
      <w:pPr>
        <w:ind w:firstLine="422"/>
      </w:pPr>
      <w:r>
        <w:rPr>
          <w:rFonts w:hint="eastAsia"/>
          <w:b/>
        </w:rPr>
        <w:t>第五条</w:t>
      </w:r>
      <w:r>
        <w:rPr>
          <w:rFonts w:hint="eastAsia"/>
        </w:rPr>
        <w:t xml:space="preserve">  市和区、县人民政府对举报违法生产、销售、储存、运输烟花爆竹的人员予以奖励。</w:t>
      </w:r>
    </w:p>
    <w:p w14:paraId="0215636C">
      <w:pPr>
        <w:ind w:firstLine="422"/>
      </w:pPr>
      <w:r>
        <w:rPr>
          <w:rFonts w:hint="eastAsia"/>
          <w:b/>
        </w:rPr>
        <w:t>第六条</w:t>
      </w:r>
      <w:r>
        <w:rPr>
          <w:rFonts w:hint="eastAsia"/>
        </w:rPr>
        <w:t xml:space="preserve">  居民委员会、村民委员会和业主委员会可以召集居民会议、村民会议和业主会议，就本居住地区有关燃放烟花爆竹事项依法制定公约，并组织监督实施。居民、村民和业主应当遵守公约。</w:t>
      </w:r>
    </w:p>
    <w:p w14:paraId="03F27047">
      <w:pPr>
        <w:ind w:firstLine="422"/>
      </w:pPr>
      <w:r>
        <w:rPr>
          <w:rFonts w:hint="eastAsia"/>
          <w:b/>
        </w:rPr>
        <w:t>第七条</w:t>
      </w:r>
      <w:r>
        <w:rPr>
          <w:rFonts w:hint="eastAsia"/>
        </w:rPr>
        <w:t xml:space="preserve">  本市行政区域内禁止生产烟花爆竹。本市对销售、运输烟花爆竹依法实行许可制度。</w:t>
      </w:r>
    </w:p>
    <w:p w14:paraId="1D3B8C31">
      <w:pPr>
        <w:ind w:firstLine="422"/>
      </w:pPr>
      <w:r>
        <w:rPr>
          <w:rFonts w:hint="eastAsia"/>
          <w:b/>
        </w:rPr>
        <w:t>第八条</w:t>
      </w:r>
      <w:r>
        <w:rPr>
          <w:rFonts w:hint="eastAsia"/>
        </w:rPr>
        <w:t xml:space="preserve">  在本市销售烟花爆竹应当取得安全生产监督管理部门的许可，未经许可，不得销售并储存。销售储存场所的设置应当符合规定的安全条件。</w:t>
      </w:r>
    </w:p>
    <w:p w14:paraId="4F9F5F48">
      <w:pPr>
        <w:ind w:firstLine="422"/>
      </w:pPr>
      <w:r>
        <w:rPr>
          <w:rFonts w:hint="eastAsia"/>
          <w:b/>
        </w:rPr>
        <w:t>第九条</w:t>
      </w:r>
      <w:r>
        <w:rPr>
          <w:rFonts w:hint="eastAsia"/>
        </w:rPr>
        <w:t xml:space="preserve">  在本市行政区域内运输烟花爆竹，应当取得公安机关的运输许可，未经许可，不得运输。</w:t>
      </w:r>
    </w:p>
    <w:p w14:paraId="60BB68A7">
      <w:r>
        <w:rPr>
          <w:rFonts w:hint="eastAsia"/>
        </w:rPr>
        <w:t>承运单位运输烟花爆竹应当携带许可证件，按照核准载明的品种、数量、路线、有效期限等规定运输。</w:t>
      </w:r>
    </w:p>
    <w:p w14:paraId="717D0EC2">
      <w:pPr>
        <w:ind w:firstLine="422"/>
      </w:pPr>
      <w:r>
        <w:rPr>
          <w:rFonts w:hint="eastAsia"/>
          <w:b/>
        </w:rPr>
        <w:t>第十条</w:t>
      </w:r>
      <w:r>
        <w:rPr>
          <w:rFonts w:hint="eastAsia"/>
        </w:rPr>
        <w:t xml:space="preserve">  市质量技术监督、公安、安全生产监督管理、工商行政管理部门应当根据烟花爆竹安全质量国家标准，确定可以在本市销售、燃放的烟花爆竹的规格和品种，并予以公布。</w:t>
      </w:r>
    </w:p>
    <w:p w14:paraId="06C9EAFF">
      <w:r>
        <w:rPr>
          <w:rFonts w:hint="eastAsia"/>
        </w:rPr>
        <w:t>不符合本市公布的规格和品种的烟花爆竹，禁止销售、储存、携带、燃放。</w:t>
      </w:r>
    </w:p>
    <w:p w14:paraId="684AE2B7">
      <w:pPr>
        <w:ind w:firstLine="422"/>
      </w:pPr>
      <w:r>
        <w:rPr>
          <w:rFonts w:hint="eastAsia"/>
          <w:b/>
        </w:rPr>
        <w:t>第十一条</w:t>
      </w:r>
      <w:r>
        <w:rPr>
          <w:rFonts w:hint="eastAsia"/>
        </w:rPr>
        <w:t xml:space="preserve">  禁止在下列地点及其周边销售、燃放烟花爆竹：</w:t>
      </w:r>
    </w:p>
    <w:p w14:paraId="3FF2DA7D">
      <w:r>
        <w:rPr>
          <w:rFonts w:hint="eastAsia"/>
        </w:rPr>
        <w:t>（一）文物保护单位；</w:t>
      </w:r>
    </w:p>
    <w:p w14:paraId="1970BD1E">
      <w:r>
        <w:rPr>
          <w:rFonts w:hint="eastAsia"/>
        </w:rPr>
        <w:t>（二）车站、机场等交通枢纽；</w:t>
      </w:r>
    </w:p>
    <w:p w14:paraId="52677B14">
      <w:r>
        <w:rPr>
          <w:rFonts w:hint="eastAsia"/>
        </w:rPr>
        <w:t>（三）油气罐、站等易燃、易爆危险物品储存场所和其他重点消防单位；</w:t>
      </w:r>
    </w:p>
    <w:p w14:paraId="3683BF6D">
      <w:r>
        <w:rPr>
          <w:rFonts w:hint="eastAsia"/>
        </w:rPr>
        <w:t>（四）输、变电设施；</w:t>
      </w:r>
    </w:p>
    <w:p w14:paraId="4400BDDE">
      <w:r>
        <w:rPr>
          <w:rFonts w:hint="eastAsia"/>
        </w:rPr>
        <w:t>（五）医疗机构、幼儿园、中小学校、敬老院；</w:t>
      </w:r>
    </w:p>
    <w:p w14:paraId="1E8EA314">
      <w:r>
        <w:rPr>
          <w:rFonts w:hint="eastAsia"/>
        </w:rPr>
        <w:t>（六）山林、苗圃等重点防火区；</w:t>
      </w:r>
    </w:p>
    <w:p w14:paraId="1F5D694C">
      <w:r>
        <w:rPr>
          <w:rFonts w:hint="eastAsia"/>
        </w:rPr>
        <w:t>（七）重要军事设施；</w:t>
      </w:r>
    </w:p>
    <w:p w14:paraId="3806AC55">
      <w:r>
        <w:rPr>
          <w:rFonts w:hint="eastAsia"/>
        </w:rPr>
        <w:t>（八）市和区、县人民政府根据维护正常工作、生活秩序的要求，确定和公布的其他禁止燃放烟花爆竹的地点。</w:t>
      </w:r>
    </w:p>
    <w:p w14:paraId="08F3AFD7">
      <w:r>
        <w:rPr>
          <w:rFonts w:hint="eastAsia"/>
        </w:rPr>
        <w:t>前款规定禁止燃放烟花爆竹的地点及其周边具体范围，由有关单位设置明显的禁止燃放烟花爆竹警示标志，并负责看护。</w:t>
      </w:r>
    </w:p>
    <w:p w14:paraId="1C88CE10">
      <w:pPr>
        <w:ind w:firstLine="422"/>
      </w:pPr>
      <w:r>
        <w:rPr>
          <w:rFonts w:hint="eastAsia"/>
          <w:b/>
        </w:rPr>
        <w:t>第十二条</w:t>
      </w:r>
      <w:r>
        <w:rPr>
          <w:rFonts w:hint="eastAsia"/>
        </w:rPr>
        <w:t xml:space="preserve">  本市五环路以内的地区为限制燃放烟花爆竹地区，农历除夕至正月初一，正月初二至十五每日的七时至二十四时，可以燃放烟花爆竹，其他时间不得燃放烟花爆竹。</w:t>
      </w:r>
    </w:p>
    <w:p w14:paraId="6467E505">
      <w:r>
        <w:rPr>
          <w:rFonts w:hint="eastAsia"/>
        </w:rPr>
        <w:t>五环路以外地区，区、县人民政府可以根据维护公共安全和公共利益的需要划定限制燃放烟花爆竹的区域。</w:t>
      </w:r>
    </w:p>
    <w:p w14:paraId="78E0370C">
      <w:r>
        <w:rPr>
          <w:rFonts w:hint="eastAsia"/>
        </w:rPr>
        <w:t>国家、本市在庆典活动和其他节日期间，需要在限制燃放烟花爆竹地区内燃放烟花爆竹的，由市人民政府决定并予以公告。</w:t>
      </w:r>
    </w:p>
    <w:p w14:paraId="5FD5F859">
      <w:pPr>
        <w:ind w:firstLine="422"/>
      </w:pPr>
      <w:r>
        <w:rPr>
          <w:rFonts w:hint="eastAsia"/>
          <w:b/>
        </w:rPr>
        <w:t>第十三条</w:t>
      </w:r>
      <w:r>
        <w:rPr>
          <w:rFonts w:hint="eastAsia"/>
        </w:rPr>
        <w:t xml:space="preserve">  市人民政府有关部门应当按照统筹规划、合理布局的原则设置烟花爆竹销售单位和在限制燃放烟花爆竹地区内的临时销售网点。</w:t>
      </w:r>
    </w:p>
    <w:p w14:paraId="127A9872">
      <w:pPr>
        <w:ind w:firstLine="422"/>
      </w:pPr>
      <w:r>
        <w:rPr>
          <w:rFonts w:hint="eastAsia"/>
          <w:b/>
        </w:rPr>
        <w:t>第十四条</w:t>
      </w:r>
      <w:r>
        <w:rPr>
          <w:rFonts w:hint="eastAsia"/>
        </w:rPr>
        <w:t>　本市对销售烟花爆竹实行专营。专营的具体办法由市人民政府制定。</w:t>
      </w:r>
    </w:p>
    <w:p w14:paraId="4705BE62">
      <w:r>
        <w:rPr>
          <w:rFonts w:hint="eastAsia"/>
        </w:rPr>
        <w:t>烟花爆竹销售单位应当采购符合规定的生产企业的烟花爆竹。烟花爆竹销售单位和临时销售网点采购、销售的烟花爆竹，应当符合国家的安全质量标准和本市规定的规格、品种，并符合《中华人民共和国产品质量法》关于包装标识的规定；不符合规定的，不得采购、销售。</w:t>
      </w:r>
    </w:p>
    <w:p w14:paraId="1B675432">
      <w:r>
        <w:rPr>
          <w:rFonts w:hint="eastAsia"/>
        </w:rPr>
        <w:t>烟花爆竹销售单位和临时销售网点应当遵守安全管理规定，在销售场所明显位置悬挂销售许可证，并按照销售许可证规定的许可范围、时间和地点销售烟花爆竹。</w:t>
      </w:r>
    </w:p>
    <w:p w14:paraId="03A68F31">
      <w:pPr>
        <w:ind w:firstLine="422"/>
      </w:pPr>
      <w:r>
        <w:rPr>
          <w:rFonts w:hint="eastAsia"/>
          <w:b/>
        </w:rPr>
        <w:t>第十五条</w:t>
      </w:r>
      <w:r>
        <w:rPr>
          <w:rFonts w:hint="eastAsia"/>
        </w:rPr>
        <w:t>　临时销售网点在许可的期限届满后，其经营者应当停止销售，并将未销售的烟花爆竹及时处理，不得继续存放。</w:t>
      </w:r>
    </w:p>
    <w:p w14:paraId="58C8BE14">
      <w:pPr>
        <w:ind w:firstLine="422"/>
      </w:pPr>
      <w:r>
        <w:rPr>
          <w:rFonts w:hint="eastAsia"/>
          <w:b/>
        </w:rPr>
        <w:t>第十六条</w:t>
      </w:r>
      <w:r>
        <w:rPr>
          <w:rFonts w:hint="eastAsia"/>
        </w:rPr>
        <w:t>　单位和个人燃放烟花爆竹的，应当从具有许可证的销售网点购买，燃放时应当按照燃放说明正确、安全地燃放，并应当遵守下列规定：</w:t>
      </w:r>
    </w:p>
    <w:p w14:paraId="3EB6D7FB">
      <w:bookmarkStart w:id="1849" w:name="_Toc428780343"/>
      <w:r>
        <w:rPr>
          <w:rFonts w:hint="eastAsia"/>
        </w:rPr>
        <w:t>（一）不得向人群、车辆、建筑物抛掷点燃的烟花爆竹；</w:t>
      </w:r>
      <w:bookmarkEnd w:id="1849"/>
    </w:p>
    <w:p w14:paraId="50055FFB">
      <w:r>
        <w:rPr>
          <w:rFonts w:hint="eastAsia"/>
        </w:rPr>
        <w:t>（二）不得在建筑物内、屋顶、阳台燃放或者向外抛掷烟花爆竹；</w:t>
      </w:r>
    </w:p>
    <w:p w14:paraId="784A8DE1">
      <w:bookmarkStart w:id="1850" w:name="_Toc428780344"/>
      <w:r>
        <w:rPr>
          <w:rFonts w:hint="eastAsia"/>
        </w:rPr>
        <w:t>（三）不得妨碍行人、车辆安全通行；</w:t>
      </w:r>
      <w:bookmarkEnd w:id="1850"/>
    </w:p>
    <w:p w14:paraId="1026C8B8">
      <w:r>
        <w:rPr>
          <w:rFonts w:hint="eastAsia"/>
        </w:rPr>
        <w:t>（四）不得采用其他危害国家、集体和他人人身、财产安全的方式燃放烟花爆竹；</w:t>
      </w:r>
    </w:p>
    <w:p w14:paraId="7559CAD0">
      <w:r>
        <w:rPr>
          <w:rFonts w:hint="eastAsia"/>
        </w:rPr>
        <w:t>（五）不得存放超过一箱或者重</w:t>
      </w:r>
      <w:r>
        <w:rPr>
          <w:rFonts w:hint="eastAsia" w:ascii="宋体" w:hAnsi="宋体" w:eastAsia="宋体" w:cs="宋体"/>
        </w:rPr>
        <w:t>量超过30公斤的烟花爆竹。</w:t>
      </w:r>
    </w:p>
    <w:p w14:paraId="6A73004B">
      <w:r>
        <w:rPr>
          <w:rFonts w:hint="eastAsia"/>
        </w:rPr>
        <w:t>十四周岁以下未成年人燃放烟花爆竹的，应当由监护人或者其他成年人陪同看护。</w:t>
      </w:r>
    </w:p>
    <w:p w14:paraId="65CBF127">
      <w:pPr>
        <w:ind w:firstLine="422"/>
      </w:pPr>
      <w:r>
        <w:rPr>
          <w:rFonts w:hint="eastAsia"/>
          <w:b/>
        </w:rPr>
        <w:t>第十七条</w:t>
      </w:r>
      <w:r>
        <w:rPr>
          <w:rFonts w:hint="eastAsia"/>
        </w:rPr>
        <w:t>　违反本规定，未经许可违法生产、销售、储存、运输烟花爆竹的，由安全生产监督管理、工商行政管理、公安、交通行政管理部门按照有关法律、法规的规定处罚。</w:t>
      </w:r>
    </w:p>
    <w:p w14:paraId="03B2B34C">
      <w:pPr>
        <w:ind w:firstLine="422"/>
        <w:rPr>
          <w:rFonts w:hint="eastAsia" w:ascii="宋体" w:hAnsi="宋体" w:eastAsia="宋体" w:cs="宋体"/>
        </w:rPr>
      </w:pPr>
      <w:r>
        <w:rPr>
          <w:rFonts w:hint="eastAsia"/>
          <w:b/>
        </w:rPr>
        <w:t>第十八条</w:t>
      </w:r>
      <w:r>
        <w:rPr>
          <w:rFonts w:hint="eastAsia"/>
        </w:rPr>
        <w:t>　违反本规定，有下列情形之一的，由公安部门责令改正，收缴其烟花爆竹，对单位</w:t>
      </w:r>
      <w:r>
        <w:rPr>
          <w:rFonts w:hint="eastAsia" w:ascii="宋体" w:hAnsi="宋体" w:eastAsia="宋体" w:cs="宋体"/>
        </w:rPr>
        <w:t>处1000元以上5000元以下罚款，对个人处100元以上200元以下罚款；情节严重的，对单位处5000元以上3万元以下罚款，对个人处200元以上500元以下罚款：</w:t>
      </w:r>
    </w:p>
    <w:p w14:paraId="32356ED5">
      <w:pPr>
        <w:rPr>
          <w:rFonts w:hint="eastAsia" w:ascii="宋体" w:hAnsi="宋体" w:eastAsia="宋体" w:cs="宋体"/>
        </w:rPr>
      </w:pPr>
      <w:r>
        <w:rPr>
          <w:rFonts w:hint="eastAsia" w:ascii="宋体" w:hAnsi="宋体" w:eastAsia="宋体" w:cs="宋体"/>
        </w:rPr>
        <w:t>（一）违反第十条第二款规定，携带、燃放的烟花爆竹不符合本市公布的规格和品种的；</w:t>
      </w:r>
    </w:p>
    <w:p w14:paraId="65DAEA06">
      <w:bookmarkStart w:id="1851" w:name="_Toc428780345"/>
      <w:r>
        <w:rPr>
          <w:rFonts w:hint="eastAsia"/>
        </w:rPr>
        <w:t>（二）违反第十一条第一款规定，在禁止燃放烟花爆竹的地点燃放的；</w:t>
      </w:r>
      <w:bookmarkEnd w:id="1851"/>
    </w:p>
    <w:p w14:paraId="0B46FE0C">
      <w:r>
        <w:rPr>
          <w:rFonts w:hint="eastAsia"/>
        </w:rPr>
        <w:t>（三）违反第十二条第一款规定，在禁止燃放烟花爆竹的时间燃放的；</w:t>
      </w:r>
    </w:p>
    <w:p w14:paraId="6CE71AB0">
      <w:r>
        <w:rPr>
          <w:rFonts w:hint="eastAsia"/>
        </w:rPr>
        <w:t>（四）违反第十六条第一款规定，燃放、存放烟花爆竹的。</w:t>
      </w:r>
    </w:p>
    <w:p w14:paraId="23FA7CB4">
      <w:pPr>
        <w:ind w:firstLine="422"/>
      </w:pPr>
      <w:r>
        <w:rPr>
          <w:rFonts w:hint="eastAsia"/>
          <w:b/>
        </w:rPr>
        <w:t>第十九条</w:t>
      </w:r>
      <w:r>
        <w:rPr>
          <w:rFonts w:hint="eastAsia"/>
        </w:rPr>
        <w:t>　违反本规定第十四条第二款，烟花爆竹销售单位和临时销售网点采购、销售的烟花爆竹不符合本市规定的品种和规格的，由工商行政管理部门没收违法收入，收缴烟花爆竹，并可以处</w:t>
      </w:r>
      <w:r>
        <w:rPr>
          <w:rFonts w:hint="eastAsia" w:ascii="宋体" w:hAnsi="宋体" w:eastAsia="宋体" w:cs="宋体"/>
        </w:rPr>
        <w:t>1万元以上10万元以下罚款；由有</w:t>
      </w:r>
      <w:r>
        <w:rPr>
          <w:rFonts w:hint="eastAsia"/>
        </w:rPr>
        <w:t>关行政主管部门吊销销售许可证。</w:t>
      </w:r>
    </w:p>
    <w:p w14:paraId="33751D66">
      <w:pPr>
        <w:ind w:firstLine="422"/>
      </w:pPr>
      <w:r>
        <w:rPr>
          <w:rFonts w:hint="eastAsia"/>
          <w:b/>
        </w:rPr>
        <w:t>第二十条</w:t>
      </w:r>
      <w:r>
        <w:rPr>
          <w:rFonts w:hint="eastAsia"/>
        </w:rPr>
        <w:t>　燃放烟花爆竹给国家、集体财产造成损失或者造成他人人身伤害、财产损失的，由行为人依法承担赔偿责任；属于违反治安管理的行为的，由公安机关依法处理；构成犯罪的，依法追究刑事责任。</w:t>
      </w:r>
    </w:p>
    <w:p w14:paraId="167EC714">
      <w:pPr>
        <w:ind w:firstLine="422"/>
      </w:pPr>
      <w:r>
        <w:rPr>
          <w:rFonts w:hint="eastAsia"/>
          <w:b/>
        </w:rPr>
        <w:t>第二十一条</w:t>
      </w:r>
      <w:r>
        <w:rPr>
          <w:rFonts w:hint="eastAsia"/>
        </w:rPr>
        <w:t>　本规</w:t>
      </w:r>
      <w:r>
        <w:rPr>
          <w:rFonts w:hint="eastAsia" w:ascii="宋体" w:hAnsi="宋体" w:eastAsia="宋体" w:cs="宋体"/>
        </w:rPr>
        <w:t>定自2005年12月1日起施行。1993年10月12日北京市第十届人民代表大会常务委员会第六次会议通过的《北京市关于禁止燃放烟花爆竹的规定》同时</w:t>
      </w:r>
      <w:r>
        <w:rPr>
          <w:rFonts w:hint="eastAsia"/>
        </w:rPr>
        <w:t>废止。</w:t>
      </w:r>
    </w:p>
    <w:p w14:paraId="77DDC8E2"/>
    <w:p w14:paraId="6074D527">
      <w:pPr>
        <w:pStyle w:val="4"/>
        <w:pageBreakBefore/>
      </w:pPr>
      <w:bookmarkStart w:id="1852" w:name="_Toc428780346"/>
      <w:bookmarkStart w:id="1853" w:name="_Toc426467008"/>
      <w:bookmarkStart w:id="1854" w:name="_Toc428781756"/>
      <w:r>
        <w:rPr>
          <w:rFonts w:hint="eastAsia"/>
        </w:rPr>
        <w:t>北京市轨道交通运营安全条例</w:t>
      </w:r>
      <w:bookmarkEnd w:id="1852"/>
      <w:bookmarkEnd w:id="1853"/>
      <w:bookmarkEnd w:id="1854"/>
    </w:p>
    <w:p w14:paraId="7347E618">
      <w:pPr>
        <w:ind w:left="630" w:leftChars="300" w:right="630" w:rightChars="300"/>
        <w:rPr>
          <w:rFonts w:ascii="楷体" w:hAnsi="楷体" w:eastAsia="楷体"/>
        </w:rPr>
      </w:pPr>
      <w:r>
        <w:rPr>
          <w:rFonts w:hint="eastAsia" w:ascii="楷体" w:hAnsi="楷体" w:eastAsia="楷体"/>
        </w:rPr>
        <w:t>（2014年11月28日北京市第十四届人民代表大会常务委员会第十五次会议通过　北京市人民代表大会常务委员会公告第7号公布）</w:t>
      </w:r>
    </w:p>
    <w:p w14:paraId="4AEE6D01"/>
    <w:p w14:paraId="135D4C20">
      <w:pPr>
        <w:ind w:firstLine="0" w:firstLineChars="0"/>
        <w:jc w:val="center"/>
        <w:rPr>
          <w:b/>
          <w:sz w:val="28"/>
        </w:rPr>
      </w:pPr>
      <w:r>
        <w:rPr>
          <w:rFonts w:hint="eastAsia"/>
          <w:b/>
          <w:sz w:val="28"/>
        </w:rPr>
        <w:t>第一章  总  则</w:t>
      </w:r>
    </w:p>
    <w:p w14:paraId="2D3E6173"/>
    <w:p w14:paraId="22E5678F">
      <w:pPr>
        <w:ind w:firstLine="422"/>
      </w:pPr>
      <w:r>
        <w:rPr>
          <w:rFonts w:hint="eastAsia"/>
          <w:b/>
        </w:rPr>
        <w:t>第一条</w:t>
      </w:r>
      <w:r>
        <w:rPr>
          <w:rFonts w:hint="eastAsia"/>
        </w:rPr>
        <w:t xml:space="preserve">  为规范轨道交通运营及相关活动，保障轨道交通运营安全，维护轨道交通各方主体的合法权益，根据有关法律、法规，结合本市实际情况，制定本条例。</w:t>
      </w:r>
    </w:p>
    <w:p w14:paraId="13C89131">
      <w:pPr>
        <w:ind w:firstLine="422"/>
      </w:pPr>
      <w:r>
        <w:rPr>
          <w:rFonts w:hint="eastAsia"/>
          <w:b/>
        </w:rPr>
        <w:t>第二条</w:t>
      </w:r>
      <w:r>
        <w:rPr>
          <w:rFonts w:hint="eastAsia"/>
        </w:rPr>
        <w:t xml:space="preserve">  在本市行政区域内从事与轨道交通运营安全有关的活动，应当遵守本条例。</w:t>
      </w:r>
    </w:p>
    <w:p w14:paraId="31F1BBE4">
      <w:r>
        <w:rPr>
          <w:rFonts w:hint="eastAsia"/>
        </w:rPr>
        <w:t>本条例所称轨道交通是指地铁、轻轨等采用专用轨道导向运行的城市公共客运系统。</w:t>
      </w:r>
    </w:p>
    <w:p w14:paraId="402125B7">
      <w:pPr>
        <w:ind w:firstLine="422"/>
      </w:pPr>
      <w:r>
        <w:rPr>
          <w:rFonts w:hint="eastAsia"/>
          <w:b/>
        </w:rPr>
        <w:t>第三条</w:t>
      </w:r>
      <w:r>
        <w:rPr>
          <w:rFonts w:hint="eastAsia"/>
        </w:rPr>
        <w:t xml:space="preserve">  市人民政府应当加强对轨道交通运营安全工作的领导。</w:t>
      </w:r>
    </w:p>
    <w:p w14:paraId="69B9B686">
      <w:r>
        <w:rPr>
          <w:rFonts w:hint="eastAsia"/>
        </w:rPr>
        <w:t>市交通行政主管部门负责本市轨道交通运营安全生产的行业监督管理，统筹协调本市涉及轨道交通运营安全的重大事项。远郊区县交通行政主管部门按照规定的职责负责本行政区域内轨道交通运营安全生产的行业监督管理。</w:t>
      </w:r>
    </w:p>
    <w:p w14:paraId="6014D917">
      <w:r>
        <w:rPr>
          <w:rFonts w:hint="eastAsia"/>
        </w:rPr>
        <w:t>有关行政主管部门依照本条例和其他法律、法规的规定，在各自职责范围内对轨道交通运营安全相关工作实施监督管理。</w:t>
      </w:r>
    </w:p>
    <w:p w14:paraId="24B65840">
      <w:r>
        <w:rPr>
          <w:rFonts w:hint="eastAsia"/>
        </w:rPr>
        <w:t>轨道交通沿线的区、县人民政府应当配合市交通行政主管部门，协调落实本行政区域内影响轨道交通设备设施安全隐患的整改、安全保护区和站前广场的综合治理、突发事件的应急处置等相关工作。</w:t>
      </w:r>
    </w:p>
    <w:p w14:paraId="185F31FA">
      <w:pPr>
        <w:ind w:firstLine="422"/>
      </w:pPr>
      <w:r>
        <w:rPr>
          <w:rFonts w:hint="eastAsia"/>
          <w:b/>
        </w:rPr>
        <w:t>第四条</w:t>
      </w:r>
      <w:r>
        <w:rPr>
          <w:rFonts w:hint="eastAsia"/>
        </w:rPr>
        <w:t xml:space="preserve">  轨道交通运营单位依法承担轨道交通运营安全管理责任，为乘客提供安全便捷的服务。</w:t>
      </w:r>
    </w:p>
    <w:p w14:paraId="14418016">
      <w:r>
        <w:rPr>
          <w:rFonts w:hint="eastAsia"/>
        </w:rPr>
        <w:t>轨道交通产权单位、建设管理单位依据各自职责和合同约定，按照国家、本市相关标准和运营安全实际需求，组织轨道交通新建、改建项目的立项、规划、设计，并对工程建设质量负责。</w:t>
      </w:r>
    </w:p>
    <w:p w14:paraId="3453EB3C">
      <w:r>
        <w:rPr>
          <w:rFonts w:hint="eastAsia"/>
        </w:rPr>
        <w:t>轨道交通设计、施工、监理、设备设施供应等单位应当依据法律、法规、标准和合同定，保障轨道交通运营安全。</w:t>
      </w:r>
    </w:p>
    <w:p w14:paraId="2156DEB4">
      <w:r>
        <w:rPr>
          <w:rFonts w:hint="eastAsia"/>
        </w:rPr>
        <w:t>为轨道交通提供电力、供水、排水、供热、供气、通信等服务的单位，应当优先保障轨道交通运营安全的需要。</w:t>
      </w:r>
    </w:p>
    <w:p w14:paraId="52A566F8">
      <w:pPr>
        <w:ind w:firstLine="422"/>
      </w:pPr>
      <w:r>
        <w:rPr>
          <w:rFonts w:hint="eastAsia"/>
          <w:b/>
        </w:rPr>
        <w:t>第五条</w:t>
      </w:r>
      <w:r>
        <w:rPr>
          <w:rFonts w:hint="eastAsia"/>
        </w:rPr>
        <w:t xml:space="preserve">  政府有关部门、运营单位及相关社会组织应当开展轨道交通运营安全教育和宣传，提高社会公众安全意识。</w:t>
      </w:r>
    </w:p>
    <w:p w14:paraId="7FFB3686">
      <w:r>
        <w:rPr>
          <w:rFonts w:hint="eastAsia"/>
        </w:rPr>
        <w:t>社会公众应当自觉遵守轨道交通运营安全管理规定，有权投诉、举报危害运营安全的行为。</w:t>
      </w:r>
    </w:p>
    <w:p w14:paraId="783D7B27">
      <w:pPr>
        <w:ind w:firstLine="422"/>
      </w:pPr>
      <w:r>
        <w:rPr>
          <w:rFonts w:hint="eastAsia"/>
          <w:b/>
        </w:rPr>
        <w:t>第六条</w:t>
      </w:r>
      <w:r>
        <w:rPr>
          <w:rFonts w:hint="eastAsia"/>
        </w:rPr>
        <w:t xml:space="preserve">  广播、电视、新闻、出版、网络等有关单位，应当配合政府有关部门、运营单位开展轨道交通运营安全的教育和宣传。</w:t>
      </w:r>
    </w:p>
    <w:p w14:paraId="61FBC1AE"/>
    <w:p w14:paraId="417C18A0">
      <w:pPr>
        <w:ind w:firstLine="0" w:firstLineChars="0"/>
        <w:jc w:val="center"/>
        <w:rPr>
          <w:b/>
          <w:sz w:val="28"/>
        </w:rPr>
      </w:pPr>
      <w:r>
        <w:rPr>
          <w:rFonts w:hint="eastAsia"/>
          <w:b/>
          <w:sz w:val="28"/>
        </w:rPr>
        <w:t>第二章  运营安全风险前期防控</w:t>
      </w:r>
    </w:p>
    <w:p w14:paraId="577FE755"/>
    <w:p w14:paraId="159DFA44">
      <w:pPr>
        <w:ind w:firstLine="422"/>
      </w:pPr>
      <w:r>
        <w:rPr>
          <w:rFonts w:hint="eastAsia"/>
          <w:b/>
        </w:rPr>
        <w:t>第七条</w:t>
      </w:r>
      <w:r>
        <w:rPr>
          <w:rFonts w:hint="eastAsia"/>
        </w:rPr>
        <w:t xml:space="preserve">  新建、改建轨道交通项目的规划、设计应当符合相关标准和技术规范，遵循适度超前原则，满足轨道交通发展中的运营安全需求。</w:t>
      </w:r>
    </w:p>
    <w:p w14:paraId="43EB1F2E">
      <w:r>
        <w:rPr>
          <w:rFonts w:hint="eastAsia"/>
        </w:rPr>
        <w:t>新建轨道交通项目的单位，应当在可行性研究报告、项目申请报告和初步设计文件中编制运营安全专篇。市发展改革、规划行政主管部门在审批时应当征求市交通行政主管部门对运营安全专篇的意见，并将市交通行政主管部门的意见纳入到审批意见中。</w:t>
      </w:r>
    </w:p>
    <w:p w14:paraId="21D63738">
      <w:pPr>
        <w:ind w:firstLine="422"/>
      </w:pPr>
      <w:r>
        <w:rPr>
          <w:rFonts w:hint="eastAsia"/>
          <w:b/>
        </w:rPr>
        <w:t>第八条</w:t>
      </w:r>
      <w:r>
        <w:rPr>
          <w:rFonts w:hint="eastAsia"/>
        </w:rPr>
        <w:t xml:space="preserve">  新建、改建轨道交通项目的规划、设计应当合理连通周边大型居住区、商业区公用设施等建筑，保障出入口的数量和功能，满足紧急疏散的安全需求。</w:t>
      </w:r>
    </w:p>
    <w:p w14:paraId="36DDE6E3">
      <w:r>
        <w:rPr>
          <w:rFonts w:hint="eastAsia"/>
        </w:rPr>
        <w:t>轨道交通出入口、通风亭、冷却塔等设施需要与周边物业结合建设的，周边物业的所有者、使用者应当予以配合并提供必要的便利。</w:t>
      </w:r>
    </w:p>
    <w:p w14:paraId="26C51133">
      <w:r>
        <w:rPr>
          <w:rFonts w:hint="eastAsia"/>
        </w:rPr>
        <w:t>新建轨道交通项目的应急救援设备设施、安全检查设备应当与主体工程同时设计、同时施工、同时投入使用。</w:t>
      </w:r>
    </w:p>
    <w:p w14:paraId="30740038">
      <w:pPr>
        <w:ind w:firstLine="422"/>
      </w:pPr>
      <w:r>
        <w:rPr>
          <w:rFonts w:hint="eastAsia"/>
          <w:b/>
        </w:rPr>
        <w:t>第九条</w:t>
      </w:r>
      <w:r>
        <w:rPr>
          <w:rFonts w:hint="eastAsia"/>
        </w:rPr>
        <w:t xml:space="preserve">  轨道交通车站、地面线路、高架线路、安全检查点、站前广场和车厢等场所应当安装视频监控系统；通风亭、冷却塔和变电站等部位应当安装视频监控系统，并合理设置防盗报警系统、防护栏或者防护网等物理防护设施。</w:t>
      </w:r>
    </w:p>
    <w:p w14:paraId="67E668BB">
      <w:pPr>
        <w:ind w:firstLine="422"/>
      </w:pPr>
      <w:r>
        <w:rPr>
          <w:rFonts w:hint="eastAsia"/>
          <w:b/>
        </w:rPr>
        <w:t>第十条</w:t>
      </w:r>
      <w:r>
        <w:rPr>
          <w:rFonts w:hint="eastAsia"/>
        </w:rPr>
        <w:t xml:space="preserve">  车辆、信号、电梯、供电、轨道、轨枕和其他涉及运营安全的设备、设施，应当符合运营安全标准规范及网络化运营需求，不得使用不符合标准的设备、设施。</w:t>
      </w:r>
    </w:p>
    <w:p w14:paraId="494EF0E3">
      <w:r>
        <w:rPr>
          <w:rFonts w:hint="eastAsia"/>
        </w:rPr>
        <w:t>采购前款规定的设备设施，建设管理单位应当与运营单位共同起草、协商确定招标文件。</w:t>
      </w:r>
    </w:p>
    <w:p w14:paraId="2ABC0CC6">
      <w:r>
        <w:rPr>
          <w:rFonts w:hint="eastAsia"/>
        </w:rPr>
        <w:t>自动售检票系统、乘客信息系统、视频监控系统和其他因网络化运营需要统一制式标准的设备应当符合标准并经专业机构测试认证。</w:t>
      </w:r>
    </w:p>
    <w:p w14:paraId="70459D75">
      <w:pPr>
        <w:ind w:firstLine="422"/>
        <w:rPr>
          <w:rFonts w:hint="eastAsia" w:ascii="宋体" w:hAnsi="宋体" w:eastAsia="宋体" w:cs="宋体"/>
        </w:rPr>
      </w:pPr>
      <w:r>
        <w:rPr>
          <w:rFonts w:hint="eastAsia"/>
          <w:b/>
        </w:rPr>
        <w:t>第十一条</w:t>
      </w:r>
      <w:r>
        <w:rPr>
          <w:rFonts w:hint="eastAsia"/>
        </w:rPr>
        <w:t xml:space="preserve">  新建轨道交通项目完工后，建设管理单位应当组织设备、设施调试和安全测试，达到试运行基本条件的，进行不载客试运行。试运行期不得</w:t>
      </w:r>
      <w:r>
        <w:rPr>
          <w:rFonts w:hint="eastAsia" w:ascii="宋体" w:hAnsi="宋体" w:eastAsia="宋体" w:cs="宋体"/>
        </w:rPr>
        <w:t>少于3个月，其中按照本线运营初期发车间隔的运行时间不得少于30天。</w:t>
      </w:r>
    </w:p>
    <w:p w14:paraId="617532E2">
      <w:r>
        <w:rPr>
          <w:rFonts w:hint="eastAsia"/>
        </w:rPr>
        <w:t>建设管理单位应当在轨道交通项目完工后向轨道交通产权单位、运营单位提供完整的档案资料。</w:t>
      </w:r>
    </w:p>
    <w:p w14:paraId="292150CC">
      <w:pPr>
        <w:ind w:firstLine="422"/>
      </w:pPr>
      <w:r>
        <w:rPr>
          <w:rFonts w:hint="eastAsia"/>
          <w:b/>
        </w:rPr>
        <w:t>第十二条</w:t>
      </w:r>
      <w:r>
        <w:rPr>
          <w:rFonts w:hint="eastAsia"/>
        </w:rPr>
        <w:t xml:space="preserve">  新建轨道交通项目试运营前，建设管理单位应当依法办理规划、消防、土建、人防、供电、特种设备、工程档案、建筑节能、防雷装置、无障碍设施和运营设备设施等项目的验收，并取得验收文件。</w:t>
      </w:r>
    </w:p>
    <w:p w14:paraId="5F0ABB76">
      <w:r>
        <w:rPr>
          <w:rFonts w:hint="eastAsia"/>
        </w:rPr>
        <w:t>轨道交通项目投入试运营前，建设管理单位应当向市交通行政主管部门申请综合评审。未申请综合评审或者综合评审不符合试运营条件的，不得投入试运营；经综合评审符合试运营条件的，转入试运营。</w:t>
      </w:r>
    </w:p>
    <w:p w14:paraId="2368E6DB">
      <w:pPr>
        <w:ind w:firstLine="422"/>
      </w:pPr>
      <w:r>
        <w:rPr>
          <w:rFonts w:hint="eastAsia"/>
          <w:b/>
        </w:rPr>
        <w:t>第十三条</w:t>
      </w:r>
      <w:r>
        <w:rPr>
          <w:rFonts w:hint="eastAsia"/>
        </w:rPr>
        <w:t xml:space="preserve">  轨道交通试运营期间，运营单位应当按照设计标准和技术规范，对设备设施运行情况和运营状况进行安全监控，按年度向市交通行政主管部门报送运行报告。</w:t>
      </w:r>
    </w:p>
    <w:p w14:paraId="1D3689F7">
      <w:r>
        <w:rPr>
          <w:rFonts w:hint="eastAsia"/>
        </w:rPr>
        <w:t>试运营期间，经市交通行政主管部门批准，运营单位可以在运营时间、运营间隔、运营设备设施启用等方面做出调整。</w:t>
      </w:r>
    </w:p>
    <w:p w14:paraId="426B1692">
      <w:pPr>
        <w:rPr>
          <w:rFonts w:hint="eastAsia" w:ascii="宋体" w:hAnsi="宋体" w:eastAsia="宋体" w:cs="宋体"/>
        </w:rPr>
      </w:pPr>
      <w:r>
        <w:rPr>
          <w:rFonts w:hint="eastAsia"/>
        </w:rPr>
        <w:t>试运营的时间不得少</w:t>
      </w:r>
      <w:r>
        <w:rPr>
          <w:rFonts w:hint="eastAsia" w:ascii="宋体" w:hAnsi="宋体" w:eastAsia="宋体" w:cs="宋体"/>
        </w:rPr>
        <w:t>于1年且不得超过3年。</w:t>
      </w:r>
    </w:p>
    <w:p w14:paraId="37AE5B8B">
      <w:pPr>
        <w:ind w:firstLine="422"/>
      </w:pPr>
      <w:r>
        <w:rPr>
          <w:rFonts w:hint="eastAsia"/>
          <w:b/>
        </w:rPr>
        <w:t>第十四条</w:t>
      </w:r>
      <w:r>
        <w:rPr>
          <w:rFonts w:hint="eastAsia"/>
        </w:rPr>
        <w:t xml:space="preserve">  试运营期</w:t>
      </w:r>
      <w:r>
        <w:rPr>
          <w:rFonts w:hint="eastAsia" w:ascii="宋体" w:hAnsi="宋体" w:eastAsia="宋体" w:cs="宋体"/>
        </w:rPr>
        <w:t>满1年，运营单位应当在60日内向市</w:t>
      </w:r>
      <w:r>
        <w:rPr>
          <w:rFonts w:hint="eastAsia"/>
        </w:rPr>
        <w:t>交通行政主管部门申请正式运营综合评审。未申请综合评审或者综合评审不符合正式运营条件的，不得投入正式运营，由市交通行政主管部门责令责任单位限期整改并报市人民政府备案；经综合评审符合正式运营条件的，转入正式运营。</w:t>
      </w:r>
    </w:p>
    <w:p w14:paraId="05F736E6">
      <w:r>
        <w:rPr>
          <w:rFonts w:hint="eastAsia"/>
        </w:rPr>
        <w:t>本条例实施前已经投入试运营的轨道交通线路，应当按照本条例的规定依法办理正式运营手续。</w:t>
      </w:r>
    </w:p>
    <w:p w14:paraId="7A4A0AF1">
      <w:pPr>
        <w:ind w:firstLine="422"/>
      </w:pPr>
      <w:r>
        <w:rPr>
          <w:rFonts w:hint="eastAsia"/>
          <w:b/>
        </w:rPr>
        <w:t>第十五条</w:t>
      </w:r>
      <w:r>
        <w:rPr>
          <w:rFonts w:hint="eastAsia"/>
        </w:rPr>
        <w:t xml:space="preserve">  市交通行政主管部门组织建立轨道交通建设与运营衔接工作机制，负责制定运营安全专篇审核，试运行、试运营、正式运营基本条件，档案资料移交，试运营综合评审，正式运营综合评审等方面的相关规范。</w:t>
      </w:r>
    </w:p>
    <w:p w14:paraId="6413D6EC"/>
    <w:p w14:paraId="483B1316">
      <w:pPr>
        <w:ind w:firstLine="0" w:firstLineChars="0"/>
        <w:jc w:val="center"/>
        <w:rPr>
          <w:b/>
          <w:sz w:val="28"/>
        </w:rPr>
      </w:pPr>
      <w:r>
        <w:rPr>
          <w:rFonts w:hint="eastAsia"/>
          <w:b/>
          <w:sz w:val="28"/>
        </w:rPr>
        <w:t>第三章  设备设施运行安全与保护</w:t>
      </w:r>
    </w:p>
    <w:p w14:paraId="0620E2C7"/>
    <w:p w14:paraId="63B1E911">
      <w:pPr>
        <w:ind w:firstLine="422"/>
      </w:pPr>
      <w:r>
        <w:rPr>
          <w:rFonts w:hint="eastAsia"/>
          <w:b/>
        </w:rPr>
        <w:t>第十六条</w:t>
      </w:r>
      <w:r>
        <w:rPr>
          <w:rFonts w:hint="eastAsia"/>
        </w:rPr>
        <w:t xml:space="preserve">  轨道交通设备设施应当符合保障乘客人身、财产安全和运营安全的相关标准。</w:t>
      </w:r>
    </w:p>
    <w:p w14:paraId="7E06F8AF">
      <w:r>
        <w:rPr>
          <w:rFonts w:hint="eastAsia"/>
        </w:rPr>
        <w:t>轨道交通设备设施存在设计、制造或者安装缺陷的，轨道交通产权单位、建设管理单位和运营单位对各自采购的设备设施，应当督促设备设施生产者、销售者或者安装者消除缺陷。</w:t>
      </w:r>
    </w:p>
    <w:p w14:paraId="063051A6">
      <w:pPr>
        <w:ind w:firstLine="422"/>
      </w:pPr>
      <w:r>
        <w:rPr>
          <w:rFonts w:hint="eastAsia"/>
          <w:b/>
        </w:rPr>
        <w:t>第十七条</w:t>
      </w:r>
      <w:r>
        <w:rPr>
          <w:rFonts w:hint="eastAsia"/>
        </w:rPr>
        <w:t xml:space="preserve">  在轨道交通车站、车厢、隧道、站前广场等范围内设置广告、商业设施，应当符合标准和规范，不得影响安全标志和乘客导向标识的识别、设备设施的使用和检修，不得挤占疏散通道；设置方案应当报市交通行政主管部门备案。</w:t>
      </w:r>
    </w:p>
    <w:p w14:paraId="786A3FA6">
      <w:r>
        <w:rPr>
          <w:rFonts w:hint="eastAsia"/>
        </w:rPr>
        <w:t>在城市轨道交通线路的地面部分设置户外广告的，应当按照户外广告管理的相关规定执行。</w:t>
      </w:r>
    </w:p>
    <w:p w14:paraId="3D117939">
      <w:pPr>
        <w:ind w:firstLine="422"/>
      </w:pPr>
      <w:r>
        <w:rPr>
          <w:rFonts w:hint="eastAsia"/>
          <w:b/>
        </w:rPr>
        <w:t>第十八条</w:t>
      </w:r>
      <w:r>
        <w:rPr>
          <w:rFonts w:hint="eastAsia"/>
        </w:rPr>
        <w:t xml:space="preserve">  下列范围为轨道交通安全保护区：</w:t>
      </w:r>
    </w:p>
    <w:p w14:paraId="7C88389F">
      <w:pPr>
        <w:rPr>
          <w:rFonts w:hint="eastAsia" w:ascii="宋体" w:hAnsi="宋体" w:eastAsia="宋体" w:cs="宋体"/>
        </w:rPr>
      </w:pPr>
      <w:r>
        <w:rPr>
          <w:rFonts w:hint="eastAsia"/>
        </w:rPr>
        <w:t>（一）出入口、通风亭、冷却塔、主变电所和残疾人直升电梯等建筑物、构筑物结构外边线外侧</w:t>
      </w:r>
      <w:r>
        <w:rPr>
          <w:rFonts w:hint="eastAsia" w:ascii="宋体" w:hAnsi="宋体" w:eastAsia="宋体" w:cs="宋体"/>
        </w:rPr>
        <w:t>10米内；</w:t>
      </w:r>
    </w:p>
    <w:p w14:paraId="1DD4E3E2">
      <w:pPr>
        <w:rPr>
          <w:rFonts w:hint="eastAsia" w:ascii="宋体" w:hAnsi="宋体" w:eastAsia="宋体" w:cs="宋体"/>
        </w:rPr>
      </w:pPr>
      <w:r>
        <w:rPr>
          <w:rFonts w:hint="eastAsia" w:ascii="宋体" w:hAnsi="宋体" w:eastAsia="宋体" w:cs="宋体"/>
        </w:rPr>
        <w:t>（二）地面车站和地面线路、高架车站和高架线路结构、车辆基地用地范围外边线外侧30米内；</w:t>
      </w:r>
    </w:p>
    <w:p w14:paraId="6C48A56F">
      <w:pPr>
        <w:rPr>
          <w:rFonts w:hint="eastAsia" w:ascii="宋体" w:hAnsi="宋体" w:eastAsia="宋体" w:cs="宋体"/>
        </w:rPr>
      </w:pPr>
      <w:bookmarkStart w:id="1855" w:name="_Toc428780347"/>
      <w:r>
        <w:rPr>
          <w:rFonts w:hint="eastAsia"/>
        </w:rPr>
        <w:t>（三）地下车站与隧道结构外边</w:t>
      </w:r>
      <w:r>
        <w:rPr>
          <w:rFonts w:hint="eastAsia" w:ascii="宋体" w:hAnsi="宋体" w:eastAsia="宋体" w:cs="宋体"/>
        </w:rPr>
        <w:t>线外侧50米内；</w:t>
      </w:r>
      <w:bookmarkEnd w:id="1855"/>
    </w:p>
    <w:p w14:paraId="64D6BF50">
      <w:pPr>
        <w:rPr>
          <w:rFonts w:hint="eastAsia" w:ascii="宋体" w:hAnsi="宋体" w:eastAsia="宋体" w:cs="宋体"/>
        </w:rPr>
      </w:pPr>
      <w:r>
        <w:rPr>
          <w:rFonts w:hint="eastAsia" w:ascii="宋体" w:hAnsi="宋体" w:eastAsia="宋体" w:cs="宋体"/>
        </w:rPr>
        <w:t>（四）轨道交通过湖、过河隧道和桥梁结构外边线外侧100米内。</w:t>
      </w:r>
    </w:p>
    <w:p w14:paraId="780B16B2">
      <w:pPr>
        <w:rPr>
          <w:rFonts w:hint="eastAsia" w:ascii="宋体" w:hAnsi="宋体" w:eastAsia="宋体" w:cs="宋体"/>
        </w:rPr>
      </w:pPr>
      <w:r>
        <w:rPr>
          <w:rFonts w:hint="eastAsia" w:ascii="宋体" w:hAnsi="宋体" w:eastAsia="宋体" w:cs="宋体"/>
        </w:rPr>
        <w:t>前款规定范围包括地上和地下。</w:t>
      </w:r>
    </w:p>
    <w:p w14:paraId="0B9FCB4F">
      <w:r>
        <w:rPr>
          <w:rFonts w:hint="eastAsia"/>
        </w:rPr>
        <w:t>安全保护区范围由市交通行政主管部门依法公告。</w:t>
      </w:r>
    </w:p>
    <w:p w14:paraId="0F32B1F1">
      <w:pPr>
        <w:ind w:firstLine="422"/>
      </w:pPr>
      <w:r>
        <w:rPr>
          <w:rFonts w:hint="eastAsia"/>
          <w:b/>
        </w:rPr>
        <w:t>第十九条</w:t>
      </w:r>
      <w:r>
        <w:rPr>
          <w:rFonts w:hint="eastAsia"/>
        </w:rPr>
        <w:t xml:space="preserve">  在轨道交通安全保护区内进行下列作业的，作业单位应当制定安全防护方案和监测方案，在征得运营单位同意后，依法办理有关行政许可手续：</w:t>
      </w:r>
    </w:p>
    <w:p w14:paraId="219ACF04">
      <w:bookmarkStart w:id="1856" w:name="_Toc428780348"/>
      <w:r>
        <w:rPr>
          <w:rFonts w:hint="eastAsia"/>
        </w:rPr>
        <w:t>（一）新建、改建、扩建或者拆除建筑物、构筑物；</w:t>
      </w:r>
      <w:bookmarkEnd w:id="1856"/>
    </w:p>
    <w:p w14:paraId="296FEAFF">
      <w:r>
        <w:rPr>
          <w:rFonts w:hint="eastAsia"/>
        </w:rPr>
        <w:t>（二）敷设管线、挖掘、爆破、地基加固或者打井；</w:t>
      </w:r>
    </w:p>
    <w:p w14:paraId="0E9372F0">
      <w:r>
        <w:rPr>
          <w:rFonts w:hint="eastAsia"/>
        </w:rPr>
        <w:t>（三）挖沙、疏浚河道；</w:t>
      </w:r>
    </w:p>
    <w:p w14:paraId="73CF2AF9">
      <w:r>
        <w:rPr>
          <w:rFonts w:hint="eastAsia"/>
        </w:rPr>
        <w:t>（四）其他大面积增加或者减少载荷的活动。</w:t>
      </w:r>
    </w:p>
    <w:p w14:paraId="519B7C30">
      <w:r>
        <w:rPr>
          <w:rFonts w:hint="eastAsia"/>
        </w:rPr>
        <w:t>有前款规定作业的，运营单位可以对作业影响区域进行动态监测，并有权进入施工作业现场进行巡查。</w:t>
      </w:r>
    </w:p>
    <w:p w14:paraId="33AD3102">
      <w:pPr>
        <w:ind w:firstLine="422"/>
      </w:pPr>
      <w:r>
        <w:rPr>
          <w:rFonts w:hint="eastAsia"/>
          <w:b/>
        </w:rPr>
        <w:t>第二十条</w:t>
      </w:r>
      <w:r>
        <w:rPr>
          <w:rFonts w:hint="eastAsia"/>
        </w:rPr>
        <w:t xml:space="preserve">  从事第十九条第一款规定的作业，出现危及或者可能危及轨道交通运营安全情形的，作业单位应当停止作业，采取补救措施，并报告轨道交通运营单位。</w:t>
      </w:r>
    </w:p>
    <w:p w14:paraId="2B3E6923">
      <w:r>
        <w:rPr>
          <w:rFonts w:hint="eastAsia"/>
        </w:rPr>
        <w:t>结束第十九条第一款规定的作业后，作业单位应当会同运营单位评估作业对轨道交通运营安全产生的影响，并将评估结果报市交通行政主管部门备案。评估认为影响运营安全的，作业单位应当立即采取措施消除影响。</w:t>
      </w:r>
    </w:p>
    <w:p w14:paraId="593B5F95">
      <w:pPr>
        <w:ind w:firstLine="422"/>
      </w:pPr>
      <w:r>
        <w:rPr>
          <w:rFonts w:hint="eastAsia"/>
          <w:b/>
        </w:rPr>
        <w:t>第二十一条</w:t>
      </w:r>
      <w:r>
        <w:rPr>
          <w:rFonts w:hint="eastAsia"/>
        </w:rPr>
        <w:t xml:space="preserve">  轨道交通产权单位和运营单位应当建立巡查管理制度，对轨道交通设备设施安全和安全保护区进行安全巡查。</w:t>
      </w:r>
    </w:p>
    <w:p w14:paraId="4C3ABF4C">
      <w:r>
        <w:rPr>
          <w:rFonts w:hint="eastAsia"/>
        </w:rPr>
        <w:t>巡查人员发现危及或者可能危及轨道交通安全运营情形的，应当予以制止并及时报告相关行政主管部门依法处理。</w:t>
      </w:r>
    </w:p>
    <w:p w14:paraId="66A6524C">
      <w:pPr>
        <w:ind w:firstLine="422"/>
      </w:pPr>
      <w:r>
        <w:rPr>
          <w:rFonts w:hint="eastAsia"/>
          <w:b/>
        </w:rPr>
        <w:t>第二十二条</w:t>
      </w:r>
      <w:r>
        <w:rPr>
          <w:rFonts w:hint="eastAsia"/>
        </w:rPr>
        <w:t xml:space="preserve">  轨道交通地面线路、高架线路桥下空间、车辆段和停车场，除道路、铁路等通行需要外，应当实行全封闭管理，并按照规定设置封闭设施和警示标志。</w:t>
      </w:r>
    </w:p>
    <w:p w14:paraId="3DE7E24C">
      <w:pPr>
        <w:ind w:firstLine="422"/>
      </w:pPr>
      <w:r>
        <w:rPr>
          <w:rFonts w:hint="eastAsia"/>
          <w:b/>
        </w:rPr>
        <w:t>第二十三条</w:t>
      </w:r>
      <w:r>
        <w:rPr>
          <w:rFonts w:hint="eastAsia"/>
        </w:rPr>
        <w:t xml:space="preserve">  使用高架线路桥下空间不得危害轨道交通运营安全，同时应当预留高架线路桥梁设施日常检查、检测和养护维修条件。</w:t>
      </w:r>
    </w:p>
    <w:p w14:paraId="5ED9A9B8">
      <w:r>
        <w:rPr>
          <w:rFonts w:hint="eastAsia"/>
        </w:rPr>
        <w:t>高架线路桥下空间具体使用管理办法由市交通行政主管部门制定。</w:t>
      </w:r>
    </w:p>
    <w:p w14:paraId="50504621">
      <w:pPr>
        <w:ind w:firstLine="422"/>
      </w:pPr>
      <w:r>
        <w:rPr>
          <w:rFonts w:hint="eastAsia"/>
          <w:b/>
        </w:rPr>
        <w:t>第二十四条</w:t>
      </w:r>
      <w:r>
        <w:rPr>
          <w:rFonts w:hint="eastAsia"/>
        </w:rPr>
        <w:t xml:space="preserve">  敷设在轨道交通保护区内的地下管线，其所有者或者管理者应当定期巡查和维护管线，并与运营单位建立管线基本信息共享制度和运行状态通告制度。</w:t>
      </w:r>
    </w:p>
    <w:p w14:paraId="3844924B">
      <w:r>
        <w:rPr>
          <w:rFonts w:hint="eastAsia"/>
        </w:rPr>
        <w:t>检查维护管线需要运营单位配合的，运营单位应当提供便利。</w:t>
      </w:r>
    </w:p>
    <w:p w14:paraId="06EE645B">
      <w:pPr>
        <w:ind w:firstLine="422"/>
      </w:pPr>
      <w:r>
        <w:rPr>
          <w:rFonts w:hint="eastAsia"/>
          <w:b/>
        </w:rPr>
        <w:t>第二十五条</w:t>
      </w:r>
      <w:r>
        <w:rPr>
          <w:rFonts w:hint="eastAsia"/>
        </w:rPr>
        <w:t xml:space="preserve">  轨道交通保护区内既有建筑物、构筑物危及轨道交通运营安全的，轨道交通产权单位和运营单位应当采取措施，排除危险，既有建筑物、构筑物的所有者或者管理者应当予以配合。采取措施后仍不能排除危险的，应当依法按照土地和房屋征收的相关规定予以处理。</w:t>
      </w:r>
    </w:p>
    <w:p w14:paraId="00B68033">
      <w:r>
        <w:rPr>
          <w:rFonts w:hint="eastAsia"/>
        </w:rPr>
        <w:t>轨道交通保护区内既有种植物危及轨道交通运营安全的，其所有者或者管理者应当及时修剪、清除，必要时应当采取改移措施。</w:t>
      </w:r>
    </w:p>
    <w:p w14:paraId="028BFDDA">
      <w:r>
        <w:rPr>
          <w:rFonts w:hint="eastAsia"/>
        </w:rPr>
        <w:t>为保障轨道交通运营安全拆除保护区内建筑物、构筑物，修剪、改移种植物，或者对保护区内已取得的其他合法权利进行限制，给他人造成损失的，产权单位应当依法给予补偿，但拆除违法建筑物、构筑物除外。</w:t>
      </w:r>
    </w:p>
    <w:p w14:paraId="04B756B0">
      <w:pPr>
        <w:ind w:firstLine="422"/>
      </w:pPr>
      <w:r>
        <w:rPr>
          <w:rFonts w:hint="eastAsia"/>
          <w:b/>
        </w:rPr>
        <w:t>第二十六条</w:t>
      </w:r>
      <w:r>
        <w:rPr>
          <w:rFonts w:hint="eastAsia"/>
        </w:rPr>
        <w:t xml:space="preserve">  新建、改建建筑物、构筑物或者新栽种植物的，不得妨碍行车瞭望，不得侵入轨道交通线路限界。</w:t>
      </w:r>
    </w:p>
    <w:p w14:paraId="5974477E">
      <w:r>
        <w:rPr>
          <w:rFonts w:hint="eastAsia"/>
        </w:rPr>
        <w:t>轨道交通沿线绿化，应当符合轨道交通保护区绿化安全规范，预留轨道交通检修维护条件并提供便利。</w:t>
      </w:r>
    </w:p>
    <w:p w14:paraId="7212D5DA">
      <w:pPr>
        <w:ind w:firstLine="422"/>
      </w:pPr>
      <w:r>
        <w:rPr>
          <w:rFonts w:hint="eastAsia"/>
          <w:b/>
        </w:rPr>
        <w:t>第二十七条</w:t>
      </w:r>
      <w:r>
        <w:rPr>
          <w:rFonts w:hint="eastAsia"/>
        </w:rPr>
        <w:t xml:space="preserve">  禁止下列危害轨道交通设备设施安全的行为：</w:t>
      </w:r>
    </w:p>
    <w:p w14:paraId="5ABD51DC">
      <w:r>
        <w:rPr>
          <w:rFonts w:hint="eastAsia"/>
        </w:rPr>
        <w:t>（一）损坏隧道、轨道、路基、高架、车站、通风亭、冷却塔、变电站、护栏护网等设施；</w:t>
      </w:r>
    </w:p>
    <w:p w14:paraId="788ADDDA">
      <w:bookmarkStart w:id="1857" w:name="_Toc428780349"/>
      <w:r>
        <w:rPr>
          <w:rFonts w:hint="eastAsia"/>
        </w:rPr>
        <w:t>（二）损坏车辆或者干扰车辆正常运行；</w:t>
      </w:r>
      <w:bookmarkEnd w:id="1857"/>
    </w:p>
    <w:p w14:paraId="4982CACE">
      <w:r>
        <w:rPr>
          <w:rFonts w:hint="eastAsia"/>
        </w:rPr>
        <w:t>（三）损坏或者干扰机电设备、电缆、通信信号系统、自动售检票系统、视频监控设备等；</w:t>
      </w:r>
    </w:p>
    <w:p w14:paraId="1850B2F4">
      <w:r>
        <w:rPr>
          <w:rFonts w:hint="eastAsia"/>
        </w:rPr>
        <w:t>（四）擅自在高架桥梁上钻孔打眼，搭设电线或者其他承力绳索，设置附着物；</w:t>
      </w:r>
    </w:p>
    <w:p w14:paraId="6731F334">
      <w:r>
        <w:rPr>
          <w:rFonts w:hint="eastAsia"/>
        </w:rPr>
        <w:t>（五）损坏、移动、遮盖安全标志；</w:t>
      </w:r>
    </w:p>
    <w:p w14:paraId="11795D5D">
      <w:r>
        <w:rPr>
          <w:rFonts w:hint="eastAsia"/>
        </w:rPr>
        <w:t>（六）其他危害轨道交通设备设施安全的行为。</w:t>
      </w:r>
    </w:p>
    <w:p w14:paraId="723DC925">
      <w:pPr>
        <w:ind w:firstLine="0" w:firstLineChars="0"/>
        <w:jc w:val="center"/>
        <w:rPr>
          <w:rFonts w:hint="eastAsia"/>
          <w:b/>
          <w:sz w:val="28"/>
        </w:rPr>
      </w:pPr>
    </w:p>
    <w:p w14:paraId="3B0A1272">
      <w:pPr>
        <w:ind w:firstLine="0" w:firstLineChars="0"/>
        <w:jc w:val="center"/>
        <w:rPr>
          <w:rFonts w:hint="eastAsia"/>
          <w:b/>
          <w:sz w:val="28"/>
        </w:rPr>
      </w:pPr>
    </w:p>
    <w:p w14:paraId="55547014">
      <w:pPr>
        <w:ind w:firstLine="0" w:firstLineChars="0"/>
        <w:jc w:val="center"/>
        <w:rPr>
          <w:rFonts w:hint="eastAsia"/>
          <w:b/>
          <w:sz w:val="28"/>
        </w:rPr>
      </w:pPr>
    </w:p>
    <w:p w14:paraId="2BCD9753">
      <w:pPr>
        <w:ind w:firstLine="0" w:firstLineChars="0"/>
        <w:jc w:val="center"/>
        <w:rPr>
          <w:b/>
          <w:sz w:val="28"/>
        </w:rPr>
      </w:pPr>
      <w:r>
        <w:rPr>
          <w:rFonts w:hint="eastAsia"/>
          <w:b/>
          <w:sz w:val="28"/>
        </w:rPr>
        <w:t>第四章  运营组织安全与服务</w:t>
      </w:r>
    </w:p>
    <w:p w14:paraId="01F795F6"/>
    <w:p w14:paraId="71DFA6F3">
      <w:pPr>
        <w:ind w:firstLine="422"/>
      </w:pPr>
      <w:r>
        <w:rPr>
          <w:rFonts w:hint="eastAsia"/>
          <w:b/>
        </w:rPr>
        <w:t>第二十八条</w:t>
      </w:r>
      <w:r>
        <w:rPr>
          <w:rFonts w:hint="eastAsia"/>
        </w:rPr>
        <w:t xml:space="preserve">  市交通行政主管部门应当制定本市轨道交通运营安全服务标准。运营单位应当按照运营安全服务标准的要求，安全运送乘客。</w:t>
      </w:r>
    </w:p>
    <w:p w14:paraId="2CB02C1F">
      <w:pPr>
        <w:ind w:firstLine="422"/>
      </w:pPr>
      <w:r>
        <w:rPr>
          <w:rFonts w:hint="eastAsia"/>
          <w:b/>
        </w:rPr>
        <w:t>第二十九条</w:t>
      </w:r>
      <w:r>
        <w:rPr>
          <w:rFonts w:hint="eastAsia"/>
        </w:rPr>
        <w:t xml:space="preserve">  运营单位应当建立、健全轨道交通运营安全责任体系，设置专门安全管理机构，配备专职管理人员。运营单位业务部门及其负责人，应当履行分管工作范围内的安全职责。</w:t>
      </w:r>
    </w:p>
    <w:p w14:paraId="68A2BF46">
      <w:pPr>
        <w:ind w:firstLine="422"/>
      </w:pPr>
      <w:r>
        <w:rPr>
          <w:rFonts w:hint="eastAsia"/>
          <w:b/>
        </w:rPr>
        <w:t>第三十条</w:t>
      </w:r>
      <w:r>
        <w:rPr>
          <w:rFonts w:hint="eastAsia"/>
        </w:rPr>
        <w:t xml:space="preserve">  运营单位应当履行下列安全运营职责：</w:t>
      </w:r>
    </w:p>
    <w:p w14:paraId="00F880C8">
      <w:r>
        <w:rPr>
          <w:rFonts w:hint="eastAsia"/>
        </w:rPr>
        <w:t>（一）制定并落实安全运营规章制度和操作规程；</w:t>
      </w:r>
    </w:p>
    <w:p w14:paraId="1A49C4D3">
      <w:r>
        <w:rPr>
          <w:rFonts w:hint="eastAsia"/>
        </w:rPr>
        <w:t>（二）保证本单位安全运营资金投入的有效实施；</w:t>
      </w:r>
    </w:p>
    <w:p w14:paraId="14E6029C">
      <w:r>
        <w:rPr>
          <w:rFonts w:hint="eastAsia"/>
        </w:rPr>
        <w:t>（三）建立并落实安全运营风险评估和隐患排查治理制度；</w:t>
      </w:r>
    </w:p>
    <w:p w14:paraId="3037E9CD">
      <w:bookmarkStart w:id="1858" w:name="_Toc428780350"/>
      <w:r>
        <w:rPr>
          <w:rFonts w:hint="eastAsia"/>
        </w:rPr>
        <w:t>（四）制定并实施突发事件应急预案和特殊情况下的运营组织方案；</w:t>
      </w:r>
      <w:bookmarkEnd w:id="1858"/>
    </w:p>
    <w:p w14:paraId="6FA94EA1">
      <w:r>
        <w:rPr>
          <w:rFonts w:hint="eastAsia"/>
        </w:rPr>
        <w:t>（五）督促检查本单位的安全运营工作，及时、如实报告运营安全事故；</w:t>
      </w:r>
    </w:p>
    <w:p w14:paraId="232A8E9B">
      <w:r>
        <w:rPr>
          <w:rFonts w:hint="eastAsia"/>
        </w:rPr>
        <w:t>（六）开展乘客安全乘车教育宣传；</w:t>
      </w:r>
    </w:p>
    <w:p w14:paraId="7366FBC1">
      <w:r>
        <w:rPr>
          <w:rFonts w:hint="eastAsia"/>
        </w:rPr>
        <w:t>（七）法律、法规规定的其他职责。</w:t>
      </w:r>
    </w:p>
    <w:p w14:paraId="0E77B6AF">
      <w:pPr>
        <w:ind w:firstLine="422"/>
      </w:pPr>
      <w:r>
        <w:rPr>
          <w:rFonts w:hint="eastAsia"/>
          <w:b/>
        </w:rPr>
        <w:t>第三十一条</w:t>
      </w:r>
      <w:r>
        <w:rPr>
          <w:rFonts w:hint="eastAsia"/>
        </w:rPr>
        <w:t xml:space="preserve">  运营单位应当对从业人员进行运营安全教育，保证从业人员具备必要的安全运营知识，熟悉安全生产管理制度和操作规程，掌握本岗位安全操作技能。</w:t>
      </w:r>
    </w:p>
    <w:p w14:paraId="7F1A8BBB">
      <w:r>
        <w:rPr>
          <w:rFonts w:hint="eastAsia"/>
        </w:rPr>
        <w:t>运营单位应当根据轨道交通发展状况及其业务需要，提前储备重点岗位工作人员。</w:t>
      </w:r>
    </w:p>
    <w:p w14:paraId="33B69589">
      <w:pPr>
        <w:ind w:firstLine="422"/>
      </w:pPr>
      <w:r>
        <w:rPr>
          <w:rFonts w:hint="eastAsia"/>
          <w:b/>
        </w:rPr>
        <w:t>第三十二条</w:t>
      </w:r>
      <w:r>
        <w:rPr>
          <w:rFonts w:hint="eastAsia"/>
        </w:rPr>
        <w:t xml:space="preserve">  市交通行政主管部门设立的轨道交通网络管理机构应当统筹协调轨道交通网络化运营的组织工作。</w:t>
      </w:r>
    </w:p>
    <w:p w14:paraId="490690BD">
      <w:r>
        <w:rPr>
          <w:rFonts w:hint="eastAsia"/>
        </w:rPr>
        <w:t>运营单位应当合理编制并适时调整运营计划，保证客流运送畅通与安全。</w:t>
      </w:r>
    </w:p>
    <w:p w14:paraId="4C41530E">
      <w:pPr>
        <w:ind w:firstLine="422"/>
      </w:pPr>
      <w:r>
        <w:rPr>
          <w:rFonts w:hint="eastAsia"/>
          <w:b/>
        </w:rPr>
        <w:t>第三十三条</w:t>
      </w:r>
      <w:r>
        <w:rPr>
          <w:rFonts w:hint="eastAsia"/>
        </w:rPr>
        <w:t xml:space="preserve">  运营单位应当提供以下信息服务：</w:t>
      </w:r>
    </w:p>
    <w:p w14:paraId="49E02232">
      <w:bookmarkStart w:id="1859" w:name="_Toc428780351"/>
      <w:r>
        <w:rPr>
          <w:rFonts w:hint="eastAsia"/>
        </w:rPr>
        <w:t>（一）在车站醒目位置公布首末班车行车时刻表及换乘指示信息；</w:t>
      </w:r>
      <w:bookmarkEnd w:id="1859"/>
    </w:p>
    <w:p w14:paraId="6FA258FC">
      <w:r>
        <w:rPr>
          <w:rFonts w:hint="eastAsia"/>
        </w:rPr>
        <w:t>（二）通过广播、电子显示屏等提供列车到达、间隔时间，车辆运行状况提示和安全提示等信息；</w:t>
      </w:r>
    </w:p>
    <w:p w14:paraId="7F354B10">
      <w:bookmarkStart w:id="1860" w:name="_Toc428780352"/>
      <w:r>
        <w:rPr>
          <w:rFonts w:hint="eastAsia"/>
        </w:rPr>
        <w:t>（三）运用多种信息发布手段及时告知乘客运营计划调整等信息；</w:t>
      </w:r>
      <w:bookmarkEnd w:id="1860"/>
    </w:p>
    <w:p w14:paraId="4593599D">
      <w:r>
        <w:rPr>
          <w:rFonts w:hint="eastAsia"/>
        </w:rPr>
        <w:t>（四）通过静态标志标识系统，向乘客提供设施名称及其位置、设施导向、禁止行为和危险警告等信息；</w:t>
      </w:r>
    </w:p>
    <w:p w14:paraId="5C1C79AD">
      <w:r>
        <w:rPr>
          <w:rFonts w:hint="eastAsia"/>
        </w:rPr>
        <w:t>（五）在车站提供问讯服务。</w:t>
      </w:r>
    </w:p>
    <w:p w14:paraId="22F74A5D">
      <w:pPr>
        <w:ind w:firstLine="422"/>
      </w:pPr>
      <w:r>
        <w:rPr>
          <w:rFonts w:hint="eastAsia"/>
          <w:b/>
        </w:rPr>
        <w:t>第三十四条</w:t>
      </w:r>
      <w:r>
        <w:rPr>
          <w:rFonts w:hint="eastAsia"/>
        </w:rPr>
        <w:t xml:space="preserve">  运营单位进行改建、扩建、设备设施重大养护维修、更新改造或者系统调试等作业的，应当制定有效的安全防护方案，报市交通行政主管部门备案；需要对运营计划做调整的，应当报告轨道交通网络管理机构；需要停运作业的，应当报市交通行政主管部门批准；不停运作业的，应当按照规定避开客运高峰时段。</w:t>
      </w:r>
    </w:p>
    <w:p w14:paraId="2613CEBA">
      <w:pPr>
        <w:ind w:firstLine="422"/>
      </w:pPr>
      <w:r>
        <w:rPr>
          <w:rFonts w:hint="eastAsia"/>
          <w:b/>
        </w:rPr>
        <w:t>第三十五条</w:t>
      </w:r>
      <w:r>
        <w:rPr>
          <w:rFonts w:hint="eastAsia"/>
        </w:rPr>
        <w:t xml:space="preserve">  运营单位应当每年开展一次运营安全综合评价，查找安全隐患，提出整改措施。出现重大安全问题经过整改后，运营单位应当组织安全专项评价。轨道交通产权单位应当保障安全隐患整改所需资金。</w:t>
      </w:r>
    </w:p>
    <w:p w14:paraId="53CEC58B">
      <w:r>
        <w:rPr>
          <w:rFonts w:hint="eastAsia"/>
        </w:rPr>
        <w:t>安全综合评价报告和专项评价报告应当向市交通行政主管部门备案。</w:t>
      </w:r>
    </w:p>
    <w:p w14:paraId="644A17D1">
      <w:pPr>
        <w:ind w:firstLine="422"/>
      </w:pPr>
      <w:r>
        <w:rPr>
          <w:rFonts w:hint="eastAsia"/>
          <w:b/>
        </w:rPr>
        <w:t>第三十六条</w:t>
      </w:r>
      <w:r>
        <w:rPr>
          <w:rFonts w:hint="eastAsia"/>
        </w:rPr>
        <w:t xml:space="preserve">  运营单位应当通过乘客满意度调查等形式对轨道交通运营安全服务情况进行公众评价，对评价中发现的问题及时改进。服务评价结果和改进情况应当向社会公布。</w:t>
      </w:r>
    </w:p>
    <w:p w14:paraId="6C6AB9A9">
      <w:r>
        <w:rPr>
          <w:rFonts w:hint="eastAsia"/>
        </w:rPr>
        <w:t>运营单位和市交通行政主管部门应当建立投诉处理制度，接受公众投诉并及时答复。公众对运营单位答复有异议的，可以向市交通行政主管部门申诉。</w:t>
      </w:r>
    </w:p>
    <w:p w14:paraId="2A99E2E3">
      <w:pPr>
        <w:ind w:firstLine="422"/>
      </w:pPr>
      <w:r>
        <w:rPr>
          <w:rFonts w:hint="eastAsia"/>
          <w:b/>
        </w:rPr>
        <w:t>第三十七条</w:t>
      </w:r>
      <w:r>
        <w:rPr>
          <w:rFonts w:hint="eastAsia"/>
        </w:rPr>
        <w:t xml:space="preserve">  市交通行政主管部门应当制定本市《轨道交通乘客守则》，对乘客安全乘车行为作出规范。</w:t>
      </w:r>
    </w:p>
    <w:p w14:paraId="240D420F">
      <w:r>
        <w:rPr>
          <w:rFonts w:hint="eastAsia"/>
        </w:rPr>
        <w:t>乘客进站、乘车应当遵守《轨道交通乘客守则》，服从运营单位管理，维护运营安全序，保护自身人身财产安全。</w:t>
      </w:r>
    </w:p>
    <w:p w14:paraId="0B8CEAB0">
      <w:r>
        <w:rPr>
          <w:rFonts w:hint="eastAsia"/>
        </w:rPr>
        <w:t>运营单位对违反《轨道交通乘客守则》的乘客，有权采取制止、劝离或者拒绝提供服务等措施。</w:t>
      </w:r>
    </w:p>
    <w:p w14:paraId="1841E680">
      <w:pPr>
        <w:ind w:firstLine="422"/>
      </w:pPr>
      <w:r>
        <w:rPr>
          <w:rFonts w:hint="eastAsia"/>
          <w:b/>
        </w:rPr>
        <w:t>第三十八条</w:t>
      </w:r>
      <w:r>
        <w:rPr>
          <w:rFonts w:hint="eastAsia"/>
        </w:rPr>
        <w:t xml:space="preserve">  行动不便人士在无人陪同情况下进出站上下车，可以联系车站工作人员获得帮助。</w:t>
      </w:r>
    </w:p>
    <w:p w14:paraId="4C36C9D2">
      <w:r>
        <w:rPr>
          <w:rFonts w:hint="eastAsia"/>
        </w:rPr>
        <w:t>视力残障者携带导盲犬进站乘车，应当出示视力残障证件和导盲犬证。导盲犬应当佩戴导盲鞍和防止伤人的护具。</w:t>
      </w:r>
    </w:p>
    <w:p w14:paraId="51DE0D77">
      <w:pPr>
        <w:ind w:firstLine="422"/>
      </w:pPr>
      <w:r>
        <w:rPr>
          <w:rFonts w:hint="eastAsia"/>
          <w:b/>
        </w:rPr>
        <w:t>第三十九条</w:t>
      </w:r>
      <w:r>
        <w:rPr>
          <w:rFonts w:hint="eastAsia"/>
        </w:rPr>
        <w:t xml:space="preserve">  公安机关负责轨道交通安全检查的监督管理，会同交通主管部门、运营单位制定安全检查设备和监控设备设置标准、人员配备标准、检查分类分级标准及操作规范。</w:t>
      </w:r>
    </w:p>
    <w:p w14:paraId="289F73C9">
      <w:r>
        <w:rPr>
          <w:rFonts w:hint="eastAsia"/>
        </w:rPr>
        <w:t>运营单位应当依法选择具有保安资质的单位从事安全检查工作，按照公安机关制定的标准和合同约定对安全检查单位实施管理。</w:t>
      </w:r>
    </w:p>
    <w:p w14:paraId="48E988E8">
      <w:r>
        <w:rPr>
          <w:rFonts w:hint="eastAsia"/>
        </w:rPr>
        <w:t>安全检查单位应当依照本条例规定对轨道交通进站乘车人员进行安全检查。</w:t>
      </w:r>
    </w:p>
    <w:p w14:paraId="022D6861">
      <w:pPr>
        <w:ind w:firstLine="422"/>
      </w:pPr>
      <w:r>
        <w:rPr>
          <w:rFonts w:hint="eastAsia"/>
          <w:b/>
        </w:rPr>
        <w:t>第四十条</w:t>
      </w:r>
      <w:r>
        <w:rPr>
          <w:rFonts w:hint="eastAsia"/>
        </w:rPr>
        <w:t xml:space="preserve">  安全检查人员应当具备轨道交通运营安全基础知识，熟悉安全检查规章制度和安全检查设备设施操作规程，掌握相应的安全检查技能，经公安机关考核合格后方可上岗作业。</w:t>
      </w:r>
    </w:p>
    <w:p w14:paraId="7C235492">
      <w:r>
        <w:rPr>
          <w:rFonts w:hint="eastAsia"/>
        </w:rPr>
        <w:t>安全检查人员实施安全检查时应当遵守下列规定：</w:t>
      </w:r>
    </w:p>
    <w:p w14:paraId="4C094232">
      <w:r>
        <w:rPr>
          <w:rFonts w:hint="eastAsia"/>
        </w:rPr>
        <w:t>（一）佩戴工作证件；</w:t>
      </w:r>
    </w:p>
    <w:p w14:paraId="160A7968">
      <w:r>
        <w:rPr>
          <w:rFonts w:hint="eastAsia"/>
        </w:rPr>
        <w:t>（二）文明礼貌，尊重受检查人；</w:t>
      </w:r>
    </w:p>
    <w:p w14:paraId="01EFB6CA">
      <w:r>
        <w:rPr>
          <w:rFonts w:hint="eastAsia"/>
        </w:rPr>
        <w:t>（三）执行安全检查操作规程；</w:t>
      </w:r>
    </w:p>
    <w:p w14:paraId="1EF84FC7">
      <w:r>
        <w:rPr>
          <w:rFonts w:hint="eastAsia"/>
        </w:rPr>
        <w:t>（四）不得损坏受检查人携带的合法物品。</w:t>
      </w:r>
    </w:p>
    <w:p w14:paraId="53C8D507">
      <w:pPr>
        <w:ind w:firstLine="422"/>
      </w:pPr>
      <w:r>
        <w:rPr>
          <w:rFonts w:hint="eastAsia"/>
          <w:b/>
        </w:rPr>
        <w:t>第四十一条</w:t>
      </w:r>
      <w:r>
        <w:rPr>
          <w:rFonts w:hint="eastAsia"/>
        </w:rPr>
        <w:t xml:space="preserve">  禁止携带枪支弹药、弩、匕首等管制器具和爆炸性、易燃性、放射性、毒害性、腐蚀性等危险物质进站乘车。禁止携带物品目录由公安机关制定并公告。</w:t>
      </w:r>
    </w:p>
    <w:p w14:paraId="31F2E321">
      <w:pPr>
        <w:ind w:firstLine="422"/>
      </w:pPr>
      <w:r>
        <w:rPr>
          <w:rFonts w:hint="eastAsia"/>
          <w:b/>
        </w:rPr>
        <w:t>第四十二条</w:t>
      </w:r>
      <w:r>
        <w:rPr>
          <w:rFonts w:hint="eastAsia"/>
        </w:rPr>
        <w:t xml:space="preserve">  进入轨道交通车站的乘车人员应当接受并配合安全检查。</w:t>
      </w:r>
    </w:p>
    <w:p w14:paraId="3F60AA84">
      <w:r>
        <w:rPr>
          <w:rFonts w:hint="eastAsia"/>
        </w:rPr>
        <w:t>不接受安全检查的，安全检查人员应当拒绝其进站乘车；拒不接受安全检查并强行进入车站或者扰乱安全检查现场秩序的，安全检查人员应当制止并报公安机关依法处理。</w:t>
      </w:r>
    </w:p>
    <w:p w14:paraId="0FF49583">
      <w:r>
        <w:rPr>
          <w:rFonts w:hint="eastAsia"/>
        </w:rPr>
        <w:t>发现非法携带法律、法规规定的违禁物品的，安全检查人员应当按照规定处置并及时报告公安机关依法处理。</w:t>
      </w:r>
    </w:p>
    <w:p w14:paraId="7D3C408D">
      <w:pPr>
        <w:ind w:firstLine="422"/>
      </w:pPr>
      <w:r>
        <w:rPr>
          <w:rFonts w:hint="eastAsia"/>
          <w:b/>
        </w:rPr>
        <w:t>第四十三条</w:t>
      </w:r>
      <w:r>
        <w:rPr>
          <w:rFonts w:hint="eastAsia"/>
        </w:rPr>
        <w:t xml:space="preserve">  禁止下列危害轨道交通运营安全的行为：</w:t>
      </w:r>
    </w:p>
    <w:p w14:paraId="36456CC6">
      <w:bookmarkStart w:id="1861" w:name="_Toc428780353"/>
      <w:r>
        <w:rPr>
          <w:rFonts w:hint="eastAsia"/>
        </w:rPr>
        <w:t>（一）擅自进入轨道、隧道等高度危险活动区域；</w:t>
      </w:r>
      <w:bookmarkEnd w:id="1861"/>
    </w:p>
    <w:p w14:paraId="3C6564DA">
      <w:r>
        <w:rPr>
          <w:rFonts w:hint="eastAsia"/>
        </w:rPr>
        <w:t>（二）擅自进入控制室、车辆驾驶室等非公共区域；</w:t>
      </w:r>
    </w:p>
    <w:p w14:paraId="2DCED126">
      <w:bookmarkStart w:id="1862" w:name="_Toc428780354"/>
      <w:r>
        <w:rPr>
          <w:rFonts w:hint="eastAsia"/>
        </w:rPr>
        <w:t>（三）向车辆、维修工程车或者其他设备设施投掷物品；</w:t>
      </w:r>
      <w:bookmarkEnd w:id="1862"/>
    </w:p>
    <w:p w14:paraId="70E6F21D">
      <w:r>
        <w:rPr>
          <w:rFonts w:hint="eastAsia"/>
        </w:rPr>
        <w:t>（四）在轨道线路上放置、丢弃障碍物；</w:t>
      </w:r>
    </w:p>
    <w:p w14:paraId="55E1B1DA">
      <w:r>
        <w:rPr>
          <w:rFonts w:hint="eastAsia"/>
        </w:rPr>
        <w:t>（五）在高架线路桥下空间、站前广场存放、使用有毒有害、易燃易爆危险物品；</w:t>
      </w:r>
    </w:p>
    <w:p w14:paraId="7D22BA4B">
      <w:bookmarkStart w:id="1863" w:name="_Toc428780355"/>
      <w:r>
        <w:rPr>
          <w:rFonts w:hint="eastAsia"/>
        </w:rPr>
        <w:t>（六）在通风亭周边排放粉尘、烟尘、腐蚀性气体；</w:t>
      </w:r>
      <w:bookmarkEnd w:id="1863"/>
    </w:p>
    <w:p w14:paraId="5F8845B5">
      <w:r>
        <w:rPr>
          <w:rFonts w:hint="eastAsia"/>
        </w:rPr>
        <w:t>（七）在保护区内烧荒、燃放烟花爆竹；</w:t>
      </w:r>
    </w:p>
    <w:p w14:paraId="397296B0">
      <w:r>
        <w:rPr>
          <w:rFonts w:hint="eastAsia"/>
        </w:rPr>
        <w:t>（八）在车站出入口、疏散通道内、闸机口滞留；</w:t>
      </w:r>
    </w:p>
    <w:p w14:paraId="37D9D35E">
      <w:r>
        <w:rPr>
          <w:rFonts w:hint="eastAsia"/>
        </w:rPr>
        <w:t>（九）强行上下车；</w:t>
      </w:r>
    </w:p>
    <w:p w14:paraId="1012BBFD">
      <w:r>
        <w:rPr>
          <w:rFonts w:hint="eastAsia"/>
        </w:rPr>
        <w:t>（十）在非紧急状态下动用紧急或者安全装置；</w:t>
      </w:r>
    </w:p>
    <w:p w14:paraId="18393559">
      <w:r>
        <w:rPr>
          <w:rFonts w:hint="eastAsia"/>
        </w:rPr>
        <w:t>（十一）在车站、车厢或者疏散通道内堆放物品、设置摊点等影响疏散的行为；</w:t>
      </w:r>
    </w:p>
    <w:p w14:paraId="28F38167">
      <w:r>
        <w:rPr>
          <w:rFonts w:hint="eastAsia"/>
        </w:rPr>
        <w:t>（十二）攀爬、跨越护栏护网，违规进出闸机；</w:t>
      </w:r>
    </w:p>
    <w:p w14:paraId="7A3AFC7D">
      <w:r>
        <w:rPr>
          <w:rFonts w:hint="eastAsia"/>
        </w:rPr>
        <w:t>（十三）在运行的自动扶梯上逆行；</w:t>
      </w:r>
    </w:p>
    <w:p w14:paraId="3E11127D">
      <w:r>
        <w:rPr>
          <w:rFonts w:hint="eastAsia"/>
        </w:rPr>
        <w:t>（十四）在车站、车厢内追逐、打闹或者从事滑板、轮滑、自行车等运动；</w:t>
      </w:r>
    </w:p>
    <w:p w14:paraId="29193C9C">
      <w:r>
        <w:rPr>
          <w:rFonts w:hint="eastAsia"/>
        </w:rPr>
        <w:t>（十五）在车站、车厢内乞讨、卖艺；</w:t>
      </w:r>
    </w:p>
    <w:p w14:paraId="49CFDC9A">
      <w:r>
        <w:rPr>
          <w:rFonts w:hint="eastAsia"/>
        </w:rPr>
        <w:t>（十六）在车站、车厢内派发广告等物品；</w:t>
      </w:r>
    </w:p>
    <w:p w14:paraId="62F382B6">
      <w:r>
        <w:rPr>
          <w:rFonts w:hint="eastAsia"/>
        </w:rPr>
        <w:t>（十七）其他危害轨道交通运营安全的行为。</w:t>
      </w:r>
    </w:p>
    <w:p w14:paraId="3E605802"/>
    <w:p w14:paraId="75A0D132">
      <w:pPr>
        <w:ind w:firstLine="0" w:firstLineChars="0"/>
        <w:jc w:val="center"/>
        <w:rPr>
          <w:b/>
          <w:sz w:val="28"/>
        </w:rPr>
      </w:pPr>
      <w:r>
        <w:rPr>
          <w:rFonts w:hint="eastAsia"/>
          <w:b/>
          <w:sz w:val="28"/>
        </w:rPr>
        <w:t>第五章　应急管理</w:t>
      </w:r>
    </w:p>
    <w:p w14:paraId="2BC7BC14"/>
    <w:p w14:paraId="0AAC07B6">
      <w:pPr>
        <w:ind w:firstLine="422"/>
      </w:pPr>
      <w:r>
        <w:rPr>
          <w:rFonts w:hint="eastAsia"/>
          <w:b/>
        </w:rPr>
        <w:t>第四十四条</w:t>
      </w:r>
      <w:r>
        <w:rPr>
          <w:rFonts w:hint="eastAsia"/>
        </w:rPr>
        <w:t xml:space="preserve">  轨道交通网络管理机构、运营单位应当建立健全轨道交通运营安全监测体系，监测轨道交通设备设施状态和运营状况，归集和分析气象灾害、大型活动等信息，对影响轨道交通运营安全的情形进行报告和预警。</w:t>
      </w:r>
    </w:p>
    <w:p w14:paraId="00D91422">
      <w:pPr>
        <w:ind w:firstLine="422"/>
      </w:pPr>
      <w:r>
        <w:rPr>
          <w:rFonts w:hint="eastAsia"/>
          <w:b/>
        </w:rPr>
        <w:t>第四十五条</w:t>
      </w:r>
      <w:r>
        <w:rPr>
          <w:rFonts w:hint="eastAsia"/>
        </w:rPr>
        <w:t xml:space="preserve">  市交通行政主管部门应当会同政府有关部门及相关单位制定轨道交通运营突发事件专项应急预案，报市人民政府批准后实施。</w:t>
      </w:r>
    </w:p>
    <w:p w14:paraId="5B051DE0">
      <w:r>
        <w:rPr>
          <w:rFonts w:hint="eastAsia"/>
        </w:rPr>
        <w:t>轨道交通网络管理机构应当根据专项应急预案制定轨道交通路网突发事件应急预案，报市交通行政主管部门备案；运营单位应当根据专项应急预案和路网应急预案制定本单位的应急预案，报市交通行政主管部门、轨道交通网络管理机构备案。</w:t>
      </w:r>
    </w:p>
    <w:p w14:paraId="73F00104">
      <w:r>
        <w:rPr>
          <w:rFonts w:hint="eastAsia"/>
        </w:rPr>
        <w:t>公安机关应当制定轨道交通治安、消防突发事件应急预案。</w:t>
      </w:r>
    </w:p>
    <w:p w14:paraId="011B4C0B">
      <w:pPr>
        <w:ind w:firstLine="422"/>
      </w:pPr>
      <w:r>
        <w:rPr>
          <w:rFonts w:hint="eastAsia"/>
          <w:b/>
        </w:rPr>
        <w:t>第四十六条</w:t>
      </w:r>
      <w:r>
        <w:rPr>
          <w:rFonts w:hint="eastAsia"/>
        </w:rPr>
        <w:t>　轨道交通网络管理机构和运营单位应当按照规定配备应急设备设施；对从业人员进行应急培训，保证从业人员了解本岗位应急职责，掌握应急预案相关内容和使用应急设备设施的技能；建立应急救援队伍；采取多种形式对公众开展应急风险防范和自救互救知识宣传。</w:t>
      </w:r>
    </w:p>
    <w:p w14:paraId="75B2E9FD">
      <w:r>
        <w:rPr>
          <w:rFonts w:hint="eastAsia"/>
        </w:rPr>
        <w:t>公安机关应当配备和完善轨道交通治安、消防专用应急设备，建立与本市轨道交通发展相适应的消防专业应急救援队伍。</w:t>
      </w:r>
    </w:p>
    <w:p w14:paraId="47797321">
      <w:pPr>
        <w:ind w:firstLine="422"/>
      </w:pPr>
      <w:r>
        <w:rPr>
          <w:rFonts w:hint="eastAsia"/>
          <w:b/>
        </w:rPr>
        <w:t>第四十七条</w:t>
      </w:r>
      <w:r>
        <w:rPr>
          <w:rFonts w:hint="eastAsia"/>
        </w:rPr>
        <w:t xml:space="preserve">  市交通行政主管部门、公安机关、轨道交通网络管理机构或者运营单位应当按照有关规定组织开展应急演练。应急演练可以邀请乘客参加。参加应急演练的乘客应当服从现场工作人员统一指挥。</w:t>
      </w:r>
    </w:p>
    <w:p w14:paraId="44B0D39B">
      <w:pPr>
        <w:ind w:firstLine="422"/>
      </w:pPr>
      <w:r>
        <w:rPr>
          <w:rFonts w:hint="eastAsia"/>
          <w:b/>
        </w:rPr>
        <w:t>第四十八条</w:t>
      </w:r>
      <w:r>
        <w:rPr>
          <w:rFonts w:hint="eastAsia"/>
        </w:rPr>
        <w:t xml:space="preserve">  轨道交通发生自然灾害、事故灾难、社会安全事件等突发事件时，市交通行政主管部门、轨道交通网络管理机构、运营单位应当及时启动应急预案，并按照应急预案规定的级别、职责、措施、程序开展救援工作。</w:t>
      </w:r>
    </w:p>
    <w:p w14:paraId="6C959207">
      <w:r>
        <w:rPr>
          <w:rFonts w:hint="eastAsia"/>
        </w:rPr>
        <w:t>市人民政府相关部门、突发事件所在地的区、县人民政府和电力、电信、供水、地面交通运营等单位，应当按照应急预案的规定进行抢险救援和应急保障。</w:t>
      </w:r>
    </w:p>
    <w:p w14:paraId="46B01538">
      <w:r>
        <w:rPr>
          <w:rFonts w:hint="eastAsia"/>
        </w:rPr>
        <w:t>相关单位、乘客应当服从现场工作人员统一指挥。</w:t>
      </w:r>
    </w:p>
    <w:p w14:paraId="65874607">
      <w:pPr>
        <w:ind w:firstLine="422"/>
      </w:pPr>
      <w:r>
        <w:rPr>
          <w:rFonts w:hint="eastAsia"/>
          <w:b/>
        </w:rPr>
        <w:t>第四十九条</w:t>
      </w:r>
      <w:r>
        <w:rPr>
          <w:rFonts w:hint="eastAsia"/>
        </w:rPr>
        <w:t xml:space="preserve">  因客流激增危及运营安全的，运营单位可以采取限制客流、封站等应急措施；因恶劣气象条件、自然灾害或者其他突发事件严重影响轨道交通运营安全的，运营单位可以停止部分线路的运营。采取上述措施应当报告轨道交通网络管理机构、市交通行政主管部门。</w:t>
      </w:r>
    </w:p>
    <w:p w14:paraId="785940BF">
      <w:r>
        <w:rPr>
          <w:rFonts w:hint="eastAsia"/>
        </w:rPr>
        <w:t>相关部门需要运营单位配合采取封站等影响正常运营的措施，应当由市交通行政主管部门评估对客流的影响，并向运营单位下达指令；造成乘客大量积压的，市交通行政主管部门应当及时协调增加其他客运运力。</w:t>
      </w:r>
    </w:p>
    <w:p w14:paraId="592EC41E">
      <w:pPr>
        <w:ind w:firstLine="422"/>
      </w:pPr>
      <w:r>
        <w:rPr>
          <w:rFonts w:hint="eastAsia"/>
          <w:b/>
        </w:rPr>
        <w:t>第五十条</w:t>
      </w:r>
      <w:r>
        <w:rPr>
          <w:rFonts w:hint="eastAsia"/>
        </w:rPr>
        <w:t xml:space="preserve">  轨道交通运营突发事件发生后，轨道交通网络管理机构、运营单位应当立即通过多种方式准确地向公众发布运营信息，并根据突发事件处置情况及时更新内容，连续发布。</w:t>
      </w:r>
    </w:p>
    <w:p w14:paraId="6900D41B">
      <w:pPr>
        <w:ind w:firstLine="422"/>
      </w:pPr>
      <w:r>
        <w:rPr>
          <w:rFonts w:hint="eastAsia"/>
          <w:b/>
        </w:rPr>
        <w:t>第五十一条</w:t>
      </w:r>
      <w:r>
        <w:rPr>
          <w:rFonts w:hint="eastAsia"/>
        </w:rPr>
        <w:t>　轨道交通运营中发生人身伤害事件时，运营单位应当及时抢救人员，维持现场秩序；公安机关应当及时对现场进行勘查、检验，依法进行现场处理。</w:t>
      </w:r>
    </w:p>
    <w:p w14:paraId="4BDFE0CB"/>
    <w:p w14:paraId="7711C2A2">
      <w:pPr>
        <w:ind w:firstLine="0" w:firstLineChars="0"/>
        <w:jc w:val="center"/>
        <w:rPr>
          <w:b/>
          <w:sz w:val="28"/>
        </w:rPr>
      </w:pPr>
      <w:r>
        <w:rPr>
          <w:rFonts w:hint="eastAsia"/>
          <w:b/>
          <w:sz w:val="28"/>
        </w:rPr>
        <w:t>第六章  法律责任</w:t>
      </w:r>
    </w:p>
    <w:p w14:paraId="6089F196"/>
    <w:p w14:paraId="08C4386C">
      <w:pPr>
        <w:ind w:firstLine="422"/>
      </w:pPr>
      <w:r>
        <w:rPr>
          <w:rFonts w:hint="eastAsia"/>
          <w:b/>
        </w:rPr>
        <w:t>第五十二条</w:t>
      </w:r>
      <w:r>
        <w:rPr>
          <w:rFonts w:hint="eastAsia"/>
        </w:rPr>
        <w:t xml:space="preserve">  市交通、安全生产、公安机关和其他对运营安全负有职责的行政主管部门，其直接负责的主管人员和其他直接责任人员有下列行为之一的，依法给予警告、记过或者记大过处分；情节较重的，给予降级或者撤职处分；情节严重的，给予开除处分；构成犯罪的，依法追究刑事责任：</w:t>
      </w:r>
    </w:p>
    <w:p w14:paraId="3728DBC1">
      <w:bookmarkStart w:id="1864" w:name="_Toc428780356"/>
      <w:r>
        <w:rPr>
          <w:rFonts w:hint="eastAsia"/>
        </w:rPr>
        <w:t>（一）违反本条例规定实施规划、设计、建设等行政许可的；</w:t>
      </w:r>
      <w:bookmarkEnd w:id="1864"/>
    </w:p>
    <w:p w14:paraId="1F69A8A5">
      <w:r>
        <w:rPr>
          <w:rFonts w:hint="eastAsia"/>
        </w:rPr>
        <w:t>（二）违反本条例规定未有效保障试运行、试运营时间的；</w:t>
      </w:r>
    </w:p>
    <w:p w14:paraId="03ABF72A">
      <w:bookmarkStart w:id="1865" w:name="_Toc428780357"/>
      <w:r>
        <w:rPr>
          <w:rFonts w:hint="eastAsia"/>
        </w:rPr>
        <w:t>（三）未按照本条例规定履行验收职责的；</w:t>
      </w:r>
      <w:bookmarkEnd w:id="1865"/>
    </w:p>
    <w:p w14:paraId="28D8FD0E">
      <w:r>
        <w:rPr>
          <w:rFonts w:hint="eastAsia"/>
        </w:rPr>
        <w:t>（四）未按照本条例规定履行安全检查监管、应急管理职责的；</w:t>
      </w:r>
    </w:p>
    <w:p w14:paraId="06595614">
      <w:bookmarkStart w:id="1866" w:name="_Toc428780358"/>
      <w:r>
        <w:rPr>
          <w:rFonts w:hint="eastAsia"/>
        </w:rPr>
        <w:t>（五）未按照规定职责和法定程序实施行政处罚的；</w:t>
      </w:r>
      <w:bookmarkEnd w:id="1866"/>
    </w:p>
    <w:p w14:paraId="6BA0B0C7">
      <w:r>
        <w:rPr>
          <w:rFonts w:hint="eastAsia"/>
        </w:rPr>
        <w:t>（六）发现存在重大安全隐患，未按照规定采取措施，导致安全事故发生的；</w:t>
      </w:r>
    </w:p>
    <w:p w14:paraId="7B6E072D">
      <w:r>
        <w:rPr>
          <w:rFonts w:hint="eastAsia"/>
        </w:rPr>
        <w:t>（七）其他滥用职权、玩忽职守、徇私舞弊的。</w:t>
      </w:r>
    </w:p>
    <w:p w14:paraId="5C3D5A22">
      <w:pPr>
        <w:ind w:firstLine="422"/>
      </w:pPr>
      <w:r>
        <w:rPr>
          <w:rFonts w:hint="eastAsia"/>
          <w:b/>
        </w:rPr>
        <w:t>第五十三条</w:t>
      </w:r>
      <w:r>
        <w:rPr>
          <w:rFonts w:hint="eastAsia"/>
        </w:rPr>
        <w:t xml:space="preserve">  轨道交通产权单位、建设管理单位和运营单位及其工作人员有下列行为之一，导致安全事故发生的，对有关责任人员，给予警告、记过或者记大过处分；情节较重的，给予降级、撤职处分；情节严重的，给予开除处分；构成犯罪的，依法追究刑事责任：</w:t>
      </w:r>
    </w:p>
    <w:p w14:paraId="568529CB">
      <w:bookmarkStart w:id="1867" w:name="_Toc428780359"/>
      <w:r>
        <w:rPr>
          <w:rFonts w:hint="eastAsia"/>
        </w:rPr>
        <w:t>（一）配备的设施设备不符合安全性、可靠性、可维护性要求的；</w:t>
      </w:r>
      <w:bookmarkEnd w:id="1867"/>
    </w:p>
    <w:p w14:paraId="728B6CE9">
      <w:r>
        <w:rPr>
          <w:rFonts w:hint="eastAsia"/>
        </w:rPr>
        <w:t>（二）对存在的重大安全隐患，未采取有效措施的；</w:t>
      </w:r>
    </w:p>
    <w:p w14:paraId="3B3710CD">
      <w:r>
        <w:rPr>
          <w:rFonts w:hint="eastAsia"/>
        </w:rPr>
        <w:t>（三）未按照本条例规定进行安全教育和培训并经考核合格，允许从业人员上岗，致使违章作业的；</w:t>
      </w:r>
    </w:p>
    <w:p w14:paraId="687376B3">
      <w:bookmarkStart w:id="1868" w:name="_Toc428780360"/>
      <w:r>
        <w:rPr>
          <w:rFonts w:hint="eastAsia"/>
        </w:rPr>
        <w:t>（四）拒不执行有关部门限期责令改正指令的；</w:t>
      </w:r>
      <w:bookmarkEnd w:id="1868"/>
    </w:p>
    <w:p w14:paraId="5408A3F4">
      <w:r>
        <w:rPr>
          <w:rFonts w:hint="eastAsia"/>
        </w:rPr>
        <w:t>（五）拒绝监管部门进行现场检查或者在被检查时隐瞒事故隐患，不如实反映情况的；</w:t>
      </w:r>
    </w:p>
    <w:p w14:paraId="44FA76FC">
      <w:r>
        <w:rPr>
          <w:rFonts w:hint="eastAsia"/>
        </w:rPr>
        <w:t>（六）有其他不履行或者不正确履行安全管理职责的。</w:t>
      </w:r>
    </w:p>
    <w:p w14:paraId="718CF39C">
      <w:pPr>
        <w:ind w:firstLine="422"/>
        <w:rPr>
          <w:rFonts w:hint="eastAsia" w:ascii="宋体" w:hAnsi="宋体" w:eastAsia="宋体" w:cs="宋体"/>
        </w:rPr>
      </w:pPr>
      <w:r>
        <w:rPr>
          <w:rFonts w:hint="eastAsia"/>
          <w:b/>
        </w:rPr>
        <w:t>第五十四条</w:t>
      </w:r>
      <w:r>
        <w:rPr>
          <w:rFonts w:hint="eastAsia"/>
        </w:rPr>
        <w:t xml:space="preserve">  违反本条例第十二条第二款的规定，未申请综合评审或者综合评审不合试运营条件擅自投入试运营的，由市交通行</w:t>
      </w:r>
      <w:r>
        <w:rPr>
          <w:rFonts w:hint="eastAsia" w:ascii="宋体" w:hAnsi="宋体" w:eastAsia="宋体" w:cs="宋体"/>
        </w:rPr>
        <w:t>政主管部门处2万元以上20万元以下罚款对主要负责人处5000元以上2万元以下罚款。</w:t>
      </w:r>
    </w:p>
    <w:p w14:paraId="36CA238D">
      <w:pPr>
        <w:ind w:firstLine="422"/>
        <w:rPr>
          <w:rFonts w:hint="eastAsia" w:ascii="宋体" w:hAnsi="宋体" w:eastAsia="宋体" w:cs="宋体"/>
        </w:rPr>
      </w:pPr>
      <w:r>
        <w:rPr>
          <w:rFonts w:hint="eastAsia"/>
          <w:b/>
        </w:rPr>
        <w:t>第五十五条</w:t>
      </w:r>
      <w:r>
        <w:rPr>
          <w:rFonts w:hint="eastAsia"/>
        </w:rPr>
        <w:t xml:space="preserve">  违反本条例第十三条第一款的规定，未按照规定对设备</w:t>
      </w:r>
      <w:r>
        <w:rPr>
          <w:rFonts w:hint="eastAsia" w:ascii="宋体" w:hAnsi="宋体" w:eastAsia="宋体" w:cs="宋体"/>
        </w:rPr>
        <w:t>设施运行情况和运营状况进行安全监控的，由市交通行政主管部门责令限期改正；逾期不改正的，处2万元以上10万元以下罚款。</w:t>
      </w:r>
    </w:p>
    <w:p w14:paraId="27E5BE19">
      <w:pPr>
        <w:ind w:firstLine="422"/>
        <w:rPr>
          <w:rFonts w:hint="eastAsia" w:ascii="宋体" w:hAnsi="宋体" w:eastAsia="宋体" w:cs="宋体"/>
        </w:rPr>
      </w:pPr>
      <w:r>
        <w:rPr>
          <w:rFonts w:hint="eastAsia"/>
          <w:b/>
        </w:rPr>
        <w:t>第五十六条</w:t>
      </w:r>
      <w:r>
        <w:rPr>
          <w:rFonts w:hint="eastAsia"/>
        </w:rPr>
        <w:t xml:space="preserve">  违反本条例第十四条第一款的规定，未申请综合评审或者经综合评审不符合正式运营条件擅自投入正式运营的，由市交通行政主管部门责令限期改正；逾期不改正的，</w:t>
      </w:r>
      <w:r>
        <w:rPr>
          <w:rFonts w:hint="eastAsia" w:ascii="宋体" w:hAnsi="宋体" w:eastAsia="宋体" w:cs="宋体"/>
        </w:rPr>
        <w:t>处2万元以上10万元以下罚款。</w:t>
      </w:r>
    </w:p>
    <w:p w14:paraId="75066B5A">
      <w:pPr>
        <w:ind w:firstLine="422"/>
      </w:pPr>
      <w:r>
        <w:rPr>
          <w:rFonts w:hint="eastAsia"/>
          <w:b/>
        </w:rPr>
        <w:t>第五十七条</w:t>
      </w:r>
      <w:r>
        <w:rPr>
          <w:rFonts w:hint="eastAsia"/>
        </w:rPr>
        <w:t xml:space="preserve">  违反本条例第十六条的规定，采用不符合相关标准的设备设施，或者未督促生产者、销售</w:t>
      </w:r>
      <w:r>
        <w:rPr>
          <w:rFonts w:hint="eastAsia" w:ascii="宋体" w:hAnsi="宋体" w:eastAsia="宋体" w:cs="宋体"/>
        </w:rPr>
        <w:t>者或者安装者采取措施消除缺陷的，由市交通行政主管部门责令限期改正；逾期不改正的，处2万元以上10万元以下罚款。</w:t>
      </w:r>
    </w:p>
    <w:p w14:paraId="3E8CB3DD">
      <w:pPr>
        <w:ind w:firstLine="422"/>
      </w:pPr>
      <w:r>
        <w:rPr>
          <w:rFonts w:hint="eastAsia"/>
          <w:b/>
        </w:rPr>
        <w:t>第五十八条</w:t>
      </w:r>
      <w:r>
        <w:rPr>
          <w:rFonts w:hint="eastAsia"/>
        </w:rPr>
        <w:t xml:space="preserve">  违反本条例第十七条第一款的规定，影响安全标志和乘客导向标识的识别、设备设施的使用和检修，挤占疏散通道的，由市交通行政主管部门责令限期改正；逾期不改正的，</w:t>
      </w:r>
      <w:r>
        <w:rPr>
          <w:rFonts w:hint="eastAsia" w:ascii="宋体" w:hAnsi="宋体" w:eastAsia="宋体" w:cs="宋体"/>
        </w:rPr>
        <w:t>处2万元以上10万元以下罚</w:t>
      </w:r>
      <w:r>
        <w:rPr>
          <w:rFonts w:hint="eastAsia"/>
        </w:rPr>
        <w:t>款。</w:t>
      </w:r>
    </w:p>
    <w:p w14:paraId="7D7BE876">
      <w:r>
        <w:rPr>
          <w:rFonts w:hint="eastAsia"/>
        </w:rPr>
        <w:t>违反本条例第十七条第二款规定的，由城管执法部门依法予以处理。</w:t>
      </w:r>
    </w:p>
    <w:p w14:paraId="230C5E21">
      <w:pPr>
        <w:ind w:firstLine="422"/>
        <w:rPr>
          <w:rFonts w:hint="eastAsia" w:ascii="宋体" w:hAnsi="宋体" w:eastAsia="宋体" w:cs="宋体"/>
        </w:rPr>
      </w:pPr>
      <w:r>
        <w:rPr>
          <w:rFonts w:hint="eastAsia"/>
          <w:b/>
        </w:rPr>
        <w:t>第五十九条</w:t>
      </w:r>
      <w:r>
        <w:rPr>
          <w:rFonts w:hint="eastAsia"/>
        </w:rPr>
        <w:t xml:space="preserve">  违反本条例第十九条第一款的规定，作业单位未经</w:t>
      </w:r>
      <w:r>
        <w:rPr>
          <w:rFonts w:hint="eastAsia" w:ascii="宋体" w:hAnsi="宋体" w:eastAsia="宋体" w:cs="宋体"/>
        </w:rPr>
        <w:t>运营单位同意擅自施工影响轨道交通安全的，由市交通行政主管部门责令限期改正，并可对单位处3万元以上30万元以下的罚款，对个人处2000元以上2万元以下的罚款；拒不改正的，市交通行政主管部门可依法查封违法施工作业场所、扣押违法施工作业工具。单位实施以上违法行为的，可对主要负责人依法处2000元以上2万元以下罚款。</w:t>
      </w:r>
    </w:p>
    <w:p w14:paraId="1C32445A">
      <w:r>
        <w:rPr>
          <w:rFonts w:hint="eastAsia"/>
        </w:rPr>
        <w:t>违反本条例第十九条第一款的规定，作业单位未经相关行政主管部门许可或者未按照许可要求作业的，运营单位有权制止，并报告相关行政主管部门依法予以处理。</w:t>
      </w:r>
    </w:p>
    <w:p w14:paraId="2AB66D8C">
      <w:pPr>
        <w:ind w:firstLine="422"/>
        <w:rPr>
          <w:rFonts w:hint="eastAsia" w:ascii="宋体" w:hAnsi="宋体" w:eastAsia="宋体" w:cs="宋体"/>
        </w:rPr>
      </w:pPr>
      <w:r>
        <w:rPr>
          <w:rFonts w:hint="eastAsia"/>
          <w:b/>
        </w:rPr>
        <w:t>第六十条</w:t>
      </w:r>
      <w:r>
        <w:rPr>
          <w:rFonts w:hint="eastAsia"/>
        </w:rPr>
        <w:t xml:space="preserve">  违反本条例第二十条的规定，在作业过程中或者作业结束后出现危及或者可能危及运营安全情形，作业单位未停止作业或者采取补救措施消除影响的，由市交通行政主管部门责令限期改正，并可对</w:t>
      </w:r>
      <w:r>
        <w:rPr>
          <w:rFonts w:hint="eastAsia" w:ascii="宋体" w:hAnsi="宋体" w:eastAsia="宋体" w:cs="宋体"/>
        </w:rPr>
        <w:t>单位处2万元以上20万元以下的罚款，对个人处1000元以上1万元以下的罚款。单位实施以上违法行为的，可对主要负责人依法处1000元以上1万元以下罚款。</w:t>
      </w:r>
    </w:p>
    <w:p w14:paraId="66C785C4">
      <w:pPr>
        <w:ind w:firstLine="422"/>
        <w:rPr>
          <w:rFonts w:hint="eastAsia" w:ascii="宋体" w:hAnsi="宋体" w:eastAsia="宋体" w:cs="宋体"/>
        </w:rPr>
      </w:pPr>
      <w:r>
        <w:rPr>
          <w:rFonts w:hint="eastAsia"/>
          <w:b/>
        </w:rPr>
        <w:t>第六十一条</w:t>
      </w:r>
      <w:r>
        <w:rPr>
          <w:rFonts w:hint="eastAsia"/>
        </w:rPr>
        <w:t xml:space="preserve">  违反本条例第二十三条第一款规定，使用高架桥下空间危害轨道交通运营安全的，产权单位有权制止，由市交通行政主管部门责令限期改正，并可</w:t>
      </w:r>
      <w:r>
        <w:rPr>
          <w:rFonts w:hint="eastAsia" w:ascii="宋体" w:hAnsi="宋体" w:eastAsia="宋体" w:cs="宋体"/>
        </w:rPr>
        <w:t>对单位处1万元以上5万元以下的罚款，对个人处500元以上2000元以下的罚款；单位实施以上违法行为的，可对主要负责人依法处2000元以上5000元以下罚款。</w:t>
      </w:r>
    </w:p>
    <w:p w14:paraId="1AC68D87">
      <w:pPr>
        <w:ind w:firstLine="422"/>
        <w:rPr>
          <w:rFonts w:hint="eastAsia" w:ascii="宋体" w:hAnsi="宋体" w:eastAsia="宋体" w:cs="宋体"/>
        </w:rPr>
      </w:pPr>
      <w:r>
        <w:rPr>
          <w:rFonts w:hint="eastAsia"/>
          <w:b/>
        </w:rPr>
        <w:t>第六十二条</w:t>
      </w:r>
      <w:r>
        <w:rPr>
          <w:rFonts w:hint="eastAsia"/>
        </w:rPr>
        <w:t xml:space="preserve">  违反本条例第二十五条第二款的规定，未及时</w:t>
      </w:r>
      <w:r>
        <w:rPr>
          <w:rFonts w:hint="eastAsia" w:ascii="宋体" w:hAnsi="宋体" w:eastAsia="宋体" w:cs="宋体"/>
        </w:rPr>
        <w:t>修剪、清除或者改移种植物，危及轨道交通运营安全的，由市交通行政主管部门责令限期改正，并可对单位处2000元以上5000元以下的罚款，对个人处2000元以下的罚款；逾期不改正的，市交通行政主管部门可以依法实施代履行。</w:t>
      </w:r>
    </w:p>
    <w:p w14:paraId="5284237F">
      <w:pPr>
        <w:ind w:firstLine="422"/>
        <w:rPr>
          <w:rFonts w:hint="eastAsia" w:ascii="宋体" w:hAnsi="宋体" w:eastAsia="宋体" w:cs="宋体"/>
        </w:rPr>
      </w:pPr>
      <w:r>
        <w:rPr>
          <w:rFonts w:hint="eastAsia"/>
          <w:b/>
        </w:rPr>
        <w:t>第六十三条</w:t>
      </w:r>
      <w:r>
        <w:rPr>
          <w:rFonts w:hint="eastAsia"/>
        </w:rPr>
        <w:t xml:space="preserve">  违反本条例第二十六条第一款的</w:t>
      </w:r>
      <w:r>
        <w:rPr>
          <w:rFonts w:hint="eastAsia" w:ascii="宋体" w:hAnsi="宋体" w:eastAsia="宋体" w:cs="宋体"/>
        </w:rPr>
        <w:t>规定，妨碍行车瞭望或侵入轨道交通线路限界，由市交通行政主管部门责令限期改正，并可对单位处5000元以上5万元以下的罚款，对个人处2000元以上5000元以下的罚款。逾期不改正的，市交通行政主管部门可以依法代履行。单位实施以上违法行为的，可对主要负责人依法处2000元以上5000元以下罚款。</w:t>
      </w:r>
    </w:p>
    <w:p w14:paraId="6C2E21A5">
      <w:pPr>
        <w:ind w:firstLine="422"/>
        <w:rPr>
          <w:rFonts w:hint="eastAsia" w:ascii="宋体" w:hAnsi="宋体" w:eastAsia="宋体" w:cs="宋体"/>
        </w:rPr>
      </w:pPr>
      <w:r>
        <w:rPr>
          <w:rFonts w:hint="eastAsia"/>
          <w:b/>
        </w:rPr>
        <w:t>第六十四条</w:t>
      </w:r>
      <w:r>
        <w:rPr>
          <w:rFonts w:hint="eastAsia"/>
        </w:rPr>
        <w:t xml:space="preserve">  违反本条例第二十七条规定，危害轨道交通设备设施安全的，轨道交通产权单位和运营单位有权予</w:t>
      </w:r>
      <w:r>
        <w:rPr>
          <w:rFonts w:hint="eastAsia" w:ascii="宋体" w:hAnsi="宋体" w:eastAsia="宋体" w:cs="宋体"/>
        </w:rPr>
        <w:t>以制止，由市交通行政主管部门责令改正，并可以对单位处1万元以上5万元以下的罚款，对个人处500元以上2000元以下的罚款；违反治安管理的，由公安机关依法处理；构成犯罪的，依法追究刑事责任。</w:t>
      </w:r>
    </w:p>
    <w:p w14:paraId="7B9CF8EF">
      <w:pPr>
        <w:ind w:firstLine="422"/>
        <w:rPr>
          <w:rFonts w:hint="eastAsia" w:ascii="宋体" w:hAnsi="宋体" w:eastAsia="宋体" w:cs="宋体"/>
        </w:rPr>
      </w:pPr>
      <w:r>
        <w:rPr>
          <w:rFonts w:hint="eastAsia"/>
          <w:b/>
        </w:rPr>
        <w:t>第六十五条</w:t>
      </w:r>
      <w:r>
        <w:rPr>
          <w:rFonts w:hint="eastAsia"/>
        </w:rPr>
        <w:t xml:space="preserve">  违反本条例第三十条规定，运营单</w:t>
      </w:r>
      <w:r>
        <w:rPr>
          <w:rFonts w:hint="eastAsia" w:ascii="宋体" w:hAnsi="宋体" w:eastAsia="宋体" w:cs="宋体"/>
        </w:rPr>
        <w:t>位未履行安全运营职责的，由市交通行政管理部门责令限期改正，逾期不改正的，处2万元以上10万元以下罚款，可以对主要负责人依法处2000元以上5000元以下罚款。</w:t>
      </w:r>
    </w:p>
    <w:p w14:paraId="0770069A">
      <w:pPr>
        <w:ind w:firstLine="422"/>
        <w:rPr>
          <w:rFonts w:hint="eastAsia" w:ascii="宋体" w:hAnsi="宋体" w:eastAsia="宋体" w:cs="宋体"/>
        </w:rPr>
      </w:pPr>
      <w:r>
        <w:rPr>
          <w:rFonts w:hint="eastAsia"/>
          <w:b/>
        </w:rPr>
        <w:t>第六十六条</w:t>
      </w:r>
      <w:r>
        <w:rPr>
          <w:rFonts w:hint="eastAsia"/>
        </w:rPr>
        <w:t xml:space="preserve">  违反本条例第三十一条第一款规定</w:t>
      </w:r>
      <w:r>
        <w:rPr>
          <w:rFonts w:hint="eastAsia" w:ascii="宋体" w:hAnsi="宋体" w:eastAsia="宋体" w:cs="宋体"/>
        </w:rPr>
        <w:t>，运营单位未按规定开展从业人员安全教育的，由市交通行政管理部门责令限期改正，逾期不改正的，处2000元以上2万元以下罚款，可以对主要负责人处2000元以上5000元以下罚款。</w:t>
      </w:r>
    </w:p>
    <w:p w14:paraId="39362EFE">
      <w:pPr>
        <w:ind w:firstLine="422"/>
      </w:pPr>
      <w:r>
        <w:rPr>
          <w:rFonts w:hint="eastAsia"/>
          <w:b/>
        </w:rPr>
        <w:t>第六十七条</w:t>
      </w:r>
      <w:r>
        <w:rPr>
          <w:rFonts w:hint="eastAsia"/>
        </w:rPr>
        <w:t xml:space="preserve">  违反本条例第三十三条的规定，未按照规定提供信息服务的，由市交通行政主管部门责令限期改正；逾期不改正的，处</w:t>
      </w:r>
      <w:r>
        <w:rPr>
          <w:rFonts w:hint="eastAsia" w:ascii="宋体" w:hAnsi="宋体" w:eastAsia="宋体" w:cs="宋体"/>
        </w:rPr>
        <w:t>2000元以上5000元以下罚款</w:t>
      </w:r>
      <w:r>
        <w:rPr>
          <w:rFonts w:hint="eastAsia"/>
        </w:rPr>
        <w:t>。</w:t>
      </w:r>
    </w:p>
    <w:p w14:paraId="07EBD891">
      <w:pPr>
        <w:ind w:firstLine="422"/>
        <w:rPr>
          <w:rFonts w:hint="eastAsia" w:ascii="宋体" w:hAnsi="宋体" w:eastAsia="宋体" w:cs="宋体"/>
        </w:rPr>
      </w:pPr>
      <w:r>
        <w:rPr>
          <w:rFonts w:hint="eastAsia"/>
          <w:b/>
        </w:rPr>
        <w:t>第六十八条</w:t>
      </w:r>
      <w:r>
        <w:rPr>
          <w:rFonts w:hint="eastAsia"/>
        </w:rPr>
        <w:t xml:space="preserve">  违反本条例第三十四条规定，未按规定制定、执行安全防护方案的，由市交通行政管理部门责令限期改正，逾期不改正的</w:t>
      </w:r>
      <w:r>
        <w:rPr>
          <w:rFonts w:hint="eastAsia" w:ascii="宋体" w:hAnsi="宋体" w:eastAsia="宋体" w:cs="宋体"/>
        </w:rPr>
        <w:t>，处2万元以上10万元以下罚款，可以对主要负责人依法处2000元以上5000元以下罚款。</w:t>
      </w:r>
    </w:p>
    <w:p w14:paraId="0877827E">
      <w:pPr>
        <w:ind w:firstLine="422"/>
      </w:pPr>
      <w:r>
        <w:rPr>
          <w:rFonts w:hint="eastAsia"/>
          <w:b/>
        </w:rPr>
        <w:t>第六十九条</w:t>
      </w:r>
      <w:r>
        <w:rPr>
          <w:rFonts w:hint="eastAsia"/>
        </w:rPr>
        <w:t xml:space="preserve">  违反本条例第四十三条第一项至第十项规定的，运营单位有权制止；违反治安管理的，由公安机关依法处理；构成犯罪的，依法追究刑事责任。</w:t>
      </w:r>
    </w:p>
    <w:p w14:paraId="5F387001">
      <w:pPr>
        <w:rPr>
          <w:rFonts w:hint="eastAsia" w:ascii="宋体" w:hAnsi="宋体" w:eastAsia="宋体" w:cs="宋体"/>
        </w:rPr>
      </w:pPr>
      <w:r>
        <w:rPr>
          <w:rFonts w:hint="eastAsia"/>
        </w:rPr>
        <w:t>违反本条例第四十三条第十一项至第十五项规定的，运营单位有权制止，由市交通行政主管部门予以警告，并可</w:t>
      </w:r>
      <w:r>
        <w:rPr>
          <w:rFonts w:hint="eastAsia" w:ascii="宋体" w:hAnsi="宋体" w:eastAsia="宋体" w:cs="宋体"/>
        </w:rPr>
        <w:t>处50元以上1000元以下罚款。</w:t>
      </w:r>
    </w:p>
    <w:p w14:paraId="543A13D0">
      <w:pPr>
        <w:rPr>
          <w:rFonts w:hint="eastAsia" w:ascii="宋体" w:hAnsi="宋体" w:eastAsia="宋体" w:cs="宋体"/>
        </w:rPr>
      </w:pPr>
      <w:r>
        <w:rPr>
          <w:rFonts w:hint="eastAsia" w:ascii="宋体" w:hAnsi="宋体" w:eastAsia="宋体" w:cs="宋体"/>
        </w:rPr>
        <w:t>违反本条例第四十三条第十六项规定的，运营单位有权制止，由市交通行政主管部门没收派发的广告等物品，处100元以上1000元以下罚款；情节严重的，处1000元以上1万元以下罚款。</w:t>
      </w:r>
    </w:p>
    <w:p w14:paraId="4F66BFE4">
      <w:pPr>
        <w:ind w:firstLine="422"/>
      </w:pPr>
      <w:r>
        <w:rPr>
          <w:rFonts w:hint="eastAsia"/>
          <w:b/>
        </w:rPr>
        <w:t>第七十条</w:t>
      </w:r>
      <w:r>
        <w:rPr>
          <w:rFonts w:hint="eastAsia"/>
        </w:rPr>
        <w:t xml:space="preserve">  违反本条例第四十七条的规定，运</w:t>
      </w:r>
      <w:r>
        <w:rPr>
          <w:rFonts w:hint="eastAsia" w:ascii="宋体" w:hAnsi="宋体" w:eastAsia="宋体" w:cs="宋体"/>
        </w:rPr>
        <w:t>营单位未按照规定组织开展应急演练，由市交通行政主管部门责令限期改正；逾期不改正的，处2万元以上10万元以下罚款</w:t>
      </w:r>
      <w:r>
        <w:rPr>
          <w:rFonts w:hint="eastAsia"/>
        </w:rPr>
        <w:t>。</w:t>
      </w:r>
    </w:p>
    <w:p w14:paraId="14974540">
      <w:pPr>
        <w:ind w:firstLine="422"/>
      </w:pPr>
      <w:r>
        <w:rPr>
          <w:rFonts w:hint="eastAsia"/>
          <w:b/>
        </w:rPr>
        <w:t>第七十一条</w:t>
      </w:r>
      <w:r>
        <w:rPr>
          <w:rFonts w:hint="eastAsia"/>
        </w:rPr>
        <w:t xml:space="preserve">  违反本条例第五十条的规定，未按照规定发布信息的，由市交通行政主管部门责令限期改正；逾期不改正的</w:t>
      </w:r>
      <w:r>
        <w:rPr>
          <w:rFonts w:hint="eastAsia" w:ascii="宋体" w:hAnsi="宋体" w:eastAsia="宋体" w:cs="宋体"/>
        </w:rPr>
        <w:t>，处2万元以上10万元以下罚</w:t>
      </w:r>
      <w:r>
        <w:rPr>
          <w:rFonts w:hint="eastAsia"/>
        </w:rPr>
        <w:t>款。</w:t>
      </w:r>
    </w:p>
    <w:p w14:paraId="7301AB5D">
      <w:pPr>
        <w:ind w:firstLine="422"/>
      </w:pPr>
      <w:r>
        <w:rPr>
          <w:rFonts w:hint="eastAsia"/>
          <w:b/>
        </w:rPr>
        <w:t>第七十二条</w:t>
      </w:r>
      <w:r>
        <w:rPr>
          <w:rFonts w:hint="eastAsia"/>
        </w:rPr>
        <w:t xml:space="preserve">  拒绝、妨碍市交通行政主管部门、安全生产监督行政主管部门、公安机关、运营单位或者安全检查单位工作人员依法执行职务的或者辱骂、殴打前述工作人员的，由公安机关依法处罚；构成犯罪的，依法追究刑事责任。</w:t>
      </w:r>
    </w:p>
    <w:p w14:paraId="1128A4D3">
      <w:pPr>
        <w:ind w:firstLine="422"/>
      </w:pPr>
      <w:r>
        <w:rPr>
          <w:rFonts w:hint="eastAsia"/>
          <w:b/>
        </w:rPr>
        <w:t>第七十三条</w:t>
      </w:r>
      <w:r>
        <w:rPr>
          <w:rFonts w:hint="eastAsia"/>
        </w:rPr>
        <w:t xml:space="preserve">  违反本条例规定，造成轨道交通设备设施损坏或者造成其他损失的，除依法给予行政处罚外，还应当承担相应的民事赔偿责任。</w:t>
      </w:r>
    </w:p>
    <w:p w14:paraId="3DD0B4F5">
      <w:pPr>
        <w:ind w:firstLine="422"/>
      </w:pPr>
      <w:r>
        <w:rPr>
          <w:rFonts w:hint="eastAsia"/>
          <w:b/>
        </w:rPr>
        <w:t>第七十四条</w:t>
      </w:r>
      <w:r>
        <w:rPr>
          <w:rFonts w:hint="eastAsia"/>
        </w:rPr>
        <w:t xml:space="preserve">  本条例规定的行政处罚和行政措施由市交通行政主管部门负责，市交通行政主管部门可以授权轨道交通管理机构实施。</w:t>
      </w:r>
    </w:p>
    <w:p w14:paraId="146F5F96">
      <w:pPr>
        <w:spacing w:line="300" w:lineRule="exact"/>
      </w:pPr>
    </w:p>
    <w:p w14:paraId="08987C3B">
      <w:pPr>
        <w:spacing w:line="300" w:lineRule="exact"/>
        <w:ind w:firstLine="0" w:firstLineChars="0"/>
        <w:jc w:val="center"/>
        <w:rPr>
          <w:b/>
          <w:sz w:val="28"/>
        </w:rPr>
      </w:pPr>
      <w:r>
        <w:rPr>
          <w:rFonts w:hint="eastAsia"/>
          <w:b/>
          <w:sz w:val="28"/>
        </w:rPr>
        <w:t>第七章  附　则</w:t>
      </w:r>
    </w:p>
    <w:p w14:paraId="2007C7F5">
      <w:pPr>
        <w:spacing w:line="300" w:lineRule="exact"/>
      </w:pPr>
    </w:p>
    <w:p w14:paraId="13443C98">
      <w:pPr>
        <w:ind w:firstLine="422"/>
      </w:pPr>
      <w:r>
        <w:rPr>
          <w:rFonts w:hint="eastAsia"/>
          <w:b/>
        </w:rPr>
        <w:t>第七十五条</w:t>
      </w:r>
      <w:r>
        <w:rPr>
          <w:rFonts w:hint="eastAsia"/>
        </w:rPr>
        <w:t xml:space="preserve">  磁悬浮、单轨电车和有轨电车的运营安全管理参照本条例执行。</w:t>
      </w:r>
    </w:p>
    <w:p w14:paraId="3B58B2D1">
      <w:pPr>
        <w:ind w:firstLine="422"/>
      </w:pPr>
      <w:r>
        <w:rPr>
          <w:rFonts w:hint="eastAsia"/>
          <w:b/>
        </w:rPr>
        <w:t>第七十六条</w:t>
      </w:r>
      <w:r>
        <w:rPr>
          <w:rFonts w:hint="eastAsia"/>
        </w:rPr>
        <w:t xml:space="preserve">  本条例所称轨道交通设备是指车辆、供电系统、通信系统、信号系统、自动售检票系统、乘客信息系统、综合监控系统、安全门系统、车辆段检修设备、乘客导向标识系统等。</w:t>
      </w:r>
    </w:p>
    <w:p w14:paraId="7728E9DA">
      <w:r>
        <w:rPr>
          <w:rFonts w:hint="eastAsia"/>
        </w:rPr>
        <w:t>本条例所称轨道交通设施是指为保障轨道交通系统正常安全运营而设置的轨道、隧道、高架、车站（含出入口、通道、通风亭和冷却塔）、车辆基地、护栏护网、疏散平台等。</w:t>
      </w:r>
    </w:p>
    <w:p w14:paraId="208A2970">
      <w:pPr>
        <w:ind w:firstLine="422"/>
      </w:pPr>
      <w:r>
        <w:rPr>
          <w:rFonts w:hint="eastAsia"/>
          <w:b/>
        </w:rPr>
        <w:t>第七十七条</w:t>
      </w:r>
      <w:r>
        <w:rPr>
          <w:rFonts w:hint="eastAsia"/>
        </w:rPr>
        <w:t xml:space="preserve">  本条例所称试运行是指在轨道交通建设工程完工、冷滑和热滑实验成功，系统联调结束，行车基本条件具备的情况下，通过不载客运行，对运营组织管理和设备设施系统的可用性、安全性和可靠性进行检验的活动。</w:t>
      </w:r>
    </w:p>
    <w:p w14:paraId="0EF4516C">
      <w:r>
        <w:rPr>
          <w:rFonts w:hint="eastAsia"/>
        </w:rPr>
        <w:t>本条例所称试运营是指在轨道交通新线建设工程完工并验收合格，整体系统可用性、安全性和可靠性经过试运行检验合格，并满足其他试运营基本条件的情况下，进行的载客运营活动。</w:t>
      </w:r>
    </w:p>
    <w:p w14:paraId="49DA624E">
      <w:r>
        <w:rPr>
          <w:rFonts w:hint="eastAsia"/>
        </w:rPr>
        <w:t>本条例所称正式运营是指在轨道交通新线经过试运营，各系统符合设计要求，整体系统、设备和设施保持正常稳定运行，运营安全和服务水平达到规定标准，试运营阶段各项任务完成并满足正式运营基本条件的情况下，进行的载客运营活动。</w:t>
      </w:r>
    </w:p>
    <w:p w14:paraId="75FA03DC">
      <w:pPr>
        <w:ind w:firstLine="422"/>
      </w:pPr>
      <w:r>
        <w:rPr>
          <w:rFonts w:hint="eastAsia"/>
          <w:b/>
        </w:rPr>
        <w:t xml:space="preserve">第七十八条  </w:t>
      </w:r>
      <w:r>
        <w:rPr>
          <w:rFonts w:hint="eastAsia"/>
        </w:rPr>
        <w:t>本</w:t>
      </w:r>
      <w:r>
        <w:rPr>
          <w:rFonts w:hint="eastAsia" w:ascii="宋体" w:hAnsi="宋体" w:eastAsia="宋体" w:cs="宋体"/>
        </w:rPr>
        <w:t>条例自2015年5月1日起实施</w:t>
      </w:r>
      <w:r>
        <w:rPr>
          <w:rFonts w:hint="eastAsia"/>
        </w:rPr>
        <w:t>。</w:t>
      </w:r>
    </w:p>
    <w:p w14:paraId="642F56BA"/>
    <w:p w14:paraId="3F8A72A7">
      <w:pPr>
        <w:pStyle w:val="4"/>
        <w:pageBreakBefore/>
      </w:pPr>
      <w:bookmarkStart w:id="1869" w:name="_Toc428780361"/>
      <w:bookmarkStart w:id="1870" w:name="_Toc428781757"/>
      <w:bookmarkStart w:id="1871" w:name="_Toc426467009"/>
      <w:r>
        <w:rPr>
          <w:rFonts w:hint="eastAsia"/>
        </w:rPr>
        <w:t>北京市刻字业管理暂行办法</w:t>
      </w:r>
      <w:bookmarkEnd w:id="1869"/>
      <w:bookmarkEnd w:id="1870"/>
      <w:bookmarkEnd w:id="1871"/>
    </w:p>
    <w:p w14:paraId="38D95ECE">
      <w:pPr>
        <w:ind w:left="630" w:leftChars="300" w:right="630" w:rightChars="300"/>
        <w:rPr>
          <w:rFonts w:ascii="楷体" w:hAnsi="楷体" w:eastAsia="楷体"/>
        </w:rPr>
      </w:pPr>
      <w:r>
        <w:rPr>
          <w:rFonts w:hint="eastAsia" w:ascii="楷体" w:hAnsi="楷体" w:eastAsia="楷体"/>
        </w:rPr>
        <w:t>（1987年2月19日北京市人民政府京政办发22号文件发布  根据2002年2月11日北京市人民政府第92号令第一次修改  根据2010年11月27日北京市人民政府第226号令第二次修改）</w:t>
      </w:r>
    </w:p>
    <w:p w14:paraId="394724F5"/>
    <w:p w14:paraId="759C3693">
      <w:pPr>
        <w:ind w:firstLine="422"/>
      </w:pPr>
      <w:r>
        <w:rPr>
          <w:rFonts w:hint="eastAsia"/>
          <w:b/>
        </w:rPr>
        <w:t>第一条</w:t>
      </w:r>
      <w:r>
        <w:rPr>
          <w:rFonts w:hint="eastAsia"/>
        </w:rPr>
        <w:t xml:space="preserve">  为保障刻字业的合法经营，防范和打击违法犯罪活动，根据国家和本市有关规定，制定本办法。</w:t>
      </w:r>
    </w:p>
    <w:p w14:paraId="0522FB86">
      <w:pPr>
        <w:ind w:firstLine="422"/>
      </w:pPr>
      <w:r>
        <w:rPr>
          <w:rFonts w:hint="eastAsia"/>
          <w:b/>
        </w:rPr>
        <w:t>第二条</w:t>
      </w:r>
      <w:r>
        <w:rPr>
          <w:rFonts w:hint="eastAsia"/>
        </w:rPr>
        <w:t xml:space="preserve">  凡在本市行政区域内经营刻字业（含生产公章坯料，下同）的单位和个人（含个人合伙，下同），均按本办法管理。</w:t>
      </w:r>
    </w:p>
    <w:p w14:paraId="7A07663C">
      <w:r>
        <w:rPr>
          <w:rFonts w:hint="eastAsia"/>
        </w:rPr>
        <w:t>单位和个人委刻印章，必须遵守本办法的规定。</w:t>
      </w:r>
    </w:p>
    <w:p w14:paraId="29FF5DB0">
      <w:pPr>
        <w:ind w:firstLine="422"/>
      </w:pPr>
      <w:r>
        <w:rPr>
          <w:rFonts w:hint="eastAsia"/>
          <w:b/>
        </w:rPr>
        <w:t>第三条</w:t>
      </w:r>
      <w:r>
        <w:rPr>
          <w:rFonts w:hint="eastAsia"/>
        </w:rPr>
        <w:t xml:space="preserve">  经营刻字业，须向所在地公安分（县）局申请，经审核批准后，向所在地（县）工商行政管理机关申领营业执照。无照经营的，由工商行政管理机关和公安机关予以取缔。</w:t>
      </w:r>
    </w:p>
    <w:p w14:paraId="3E442094">
      <w:r>
        <w:rPr>
          <w:rFonts w:hint="eastAsia"/>
        </w:rPr>
        <w:t>经批准经营刻字业的单位和个人（以下简称刻字业经营者）停业、转业、迁移经营地址、变更经营项目，须经原批准机关核准；主要负责人变更，应向原批准机关备案。</w:t>
      </w:r>
    </w:p>
    <w:p w14:paraId="5E7568AC">
      <w:pPr>
        <w:ind w:firstLine="422"/>
      </w:pPr>
      <w:r>
        <w:rPr>
          <w:rFonts w:hint="eastAsia"/>
          <w:b/>
        </w:rPr>
        <w:t>第四条</w:t>
      </w:r>
      <w:r>
        <w:rPr>
          <w:rFonts w:hint="eastAsia"/>
        </w:rPr>
        <w:t xml:space="preserve">  申请经营刻字业，必须具备以下条件：</w:t>
      </w:r>
    </w:p>
    <w:p w14:paraId="608B491B">
      <w:r>
        <w:rPr>
          <w:rFonts w:hint="eastAsia"/>
        </w:rPr>
        <w:t>（一）营业使用的房屋、场所符合有关安全规定。</w:t>
      </w:r>
    </w:p>
    <w:p w14:paraId="3189F4A0">
      <w:r>
        <w:rPr>
          <w:rFonts w:hint="eastAsia"/>
        </w:rPr>
        <w:t>（二）具有相应的设备、资金和技术人员。</w:t>
      </w:r>
    </w:p>
    <w:p w14:paraId="6CA391F3">
      <w:pPr>
        <w:ind w:firstLine="422"/>
      </w:pPr>
      <w:r>
        <w:rPr>
          <w:rFonts w:hint="eastAsia"/>
          <w:b/>
        </w:rPr>
        <w:t>第五条</w:t>
      </w:r>
      <w:r>
        <w:rPr>
          <w:rFonts w:hint="eastAsia"/>
        </w:rPr>
        <w:t xml:space="preserve">  刻字业经营者，必须遵守下列规定：</w:t>
      </w:r>
    </w:p>
    <w:p w14:paraId="1846E1EF">
      <w:r>
        <w:rPr>
          <w:rFonts w:hint="eastAsia"/>
        </w:rPr>
        <w:t>（一）建立健全承接、制作、检验、监销、保管、取货等项管理制度。指定专人承接业务并按规定验证登记。</w:t>
      </w:r>
    </w:p>
    <w:p w14:paraId="511A9F5F">
      <w:r>
        <w:rPr>
          <w:rFonts w:hint="eastAsia"/>
        </w:rPr>
        <w:t>（二）承刻单位印章（以下简称公章），须凭委刻单位所在地公安分（县）局开具的《刻制印章通知单》。</w:t>
      </w:r>
    </w:p>
    <w:p w14:paraId="4F8CE7DF">
      <w:r>
        <w:rPr>
          <w:rFonts w:hint="eastAsia"/>
        </w:rPr>
        <w:t>无《刻制印章通知单》的，不许承刻。</w:t>
      </w:r>
    </w:p>
    <w:p w14:paraId="44E83286">
      <w:r>
        <w:rPr>
          <w:rFonts w:hint="eastAsia"/>
        </w:rPr>
        <w:t>（三）承刻单字、科目、现金收付讫、账号、收发文件等专用印章，须凭委刻单位的介绍信（个人委刻的，须凭本人身份证明和个体营业执照）。</w:t>
      </w:r>
    </w:p>
    <w:p w14:paraId="74D62F27">
      <w:r>
        <w:rPr>
          <w:rFonts w:hint="eastAsia"/>
        </w:rPr>
        <w:t>（四）个人经营刻字业的，不许承刻公章。</w:t>
      </w:r>
    </w:p>
    <w:p w14:paraId="2FF82F6F">
      <w:r>
        <w:rPr>
          <w:rFonts w:hint="eastAsia"/>
        </w:rPr>
        <w:t>（五）擅自更改已经批准的公章规格、式样的，不许承刻，并报告原批准的公安机关；发现有违法犯罪嫌疑的，应及时报告并协助公安机关查处。</w:t>
      </w:r>
    </w:p>
    <w:p w14:paraId="4C6BE372">
      <w:pPr>
        <w:ind w:firstLine="422"/>
      </w:pPr>
      <w:r>
        <w:rPr>
          <w:rFonts w:hint="eastAsia"/>
          <w:b/>
        </w:rPr>
        <w:t>第六条</w:t>
      </w:r>
      <w:r>
        <w:rPr>
          <w:rFonts w:hint="eastAsia"/>
        </w:rPr>
        <w:t xml:space="preserve">  单位委刻公章须持上级主管机关的批准文件和介绍信（企业单位还须持有营业执照），到所在地公安分（县）局办理审核登记，领取《刻制印章通知单》。</w:t>
      </w:r>
    </w:p>
    <w:p w14:paraId="54241EA9">
      <w:r>
        <w:rPr>
          <w:rFonts w:hint="eastAsia"/>
        </w:rPr>
        <w:t>外国驻华机构在本市刻制公章，须持我国批准设立该机构的主管部门的证明信，到市公安机关办理审核登记，领取《刻制印章通知单》。</w:t>
      </w:r>
    </w:p>
    <w:p w14:paraId="44DCBE2E">
      <w:r>
        <w:rPr>
          <w:rFonts w:hint="eastAsia"/>
        </w:rPr>
        <w:t>外地单位在本市刻制公章，须持该单位所在地县级以上公安机关的证明信，到市公安机关办理审核登记，领取《刻制印章通知单》。</w:t>
      </w:r>
    </w:p>
    <w:p w14:paraId="30A7E170">
      <w:pPr>
        <w:ind w:firstLine="422"/>
      </w:pPr>
      <w:r>
        <w:rPr>
          <w:rFonts w:hint="eastAsia"/>
          <w:b/>
        </w:rPr>
        <w:t>第七条</w:t>
      </w:r>
      <w:r>
        <w:rPr>
          <w:rFonts w:hint="eastAsia"/>
        </w:rPr>
        <w:t xml:space="preserve">  违反本办法构成违反治安管理行为的，由公安机关依照《中华人民共和国治安管理处罚法》予以处罚，并可根据情况提请工商行政管理机关依照国家和本市的有关规定处理，或提请其上级主管部门对直接责任人员给予行政处分。构成犯罪的，依法追究刑事责任。</w:t>
      </w:r>
    </w:p>
    <w:p w14:paraId="366D7455">
      <w:pPr>
        <w:ind w:firstLine="422"/>
        <w:rPr>
          <w:rFonts w:hint="eastAsia" w:ascii="宋体" w:hAnsi="宋体" w:eastAsia="宋体" w:cs="宋体"/>
        </w:rPr>
      </w:pPr>
      <w:r>
        <w:rPr>
          <w:rFonts w:hint="eastAsia"/>
          <w:b/>
        </w:rPr>
        <w:t>第八条</w:t>
      </w:r>
      <w:r>
        <w:rPr>
          <w:rFonts w:hint="eastAsia"/>
        </w:rPr>
        <w:t xml:space="preserve">  本办法经市人民政府批准</w:t>
      </w:r>
      <w:r>
        <w:rPr>
          <w:rFonts w:hint="eastAsia" w:ascii="宋体" w:hAnsi="宋体" w:eastAsia="宋体" w:cs="宋体"/>
        </w:rPr>
        <w:t>，自1987年3月1日起施行。</w:t>
      </w:r>
    </w:p>
    <w:p w14:paraId="09D9D2ED">
      <w:pPr>
        <w:pStyle w:val="4"/>
        <w:pageBreakBefore/>
      </w:pPr>
      <w:bookmarkStart w:id="1872" w:name="_Toc426467010"/>
      <w:bookmarkStart w:id="1873" w:name="_Toc428781758"/>
      <w:bookmarkStart w:id="1874" w:name="_Toc428780362"/>
      <w:r>
        <w:rPr>
          <w:rFonts w:hint="eastAsia"/>
        </w:rPr>
        <w:t>北京市水域游船安全管理规定</w:t>
      </w:r>
      <w:bookmarkEnd w:id="1872"/>
      <w:bookmarkEnd w:id="1873"/>
      <w:bookmarkEnd w:id="1874"/>
    </w:p>
    <w:p w14:paraId="41813968">
      <w:pPr>
        <w:rPr>
          <w:rFonts w:ascii="楷体" w:hAnsi="楷体" w:eastAsia="楷体"/>
        </w:rPr>
      </w:pPr>
      <w:r>
        <w:rPr>
          <w:rFonts w:hint="eastAsia" w:ascii="楷体" w:hAnsi="楷体" w:eastAsia="楷体"/>
        </w:rPr>
        <w:t>（1988年3月19日北京市人民政府京政办发19号文件发布  根据1997年12月31日北京市人民政府第12号令第一次修改  根据2004年6月1日北京市人民政府第150号令第二次修改  根据2007年11月23日北京市人民政府第200号令第三次修改）</w:t>
      </w:r>
    </w:p>
    <w:p w14:paraId="473FC7B7"/>
    <w:p w14:paraId="1C4B3AF8">
      <w:r>
        <w:rPr>
          <w:rFonts w:hint="eastAsia"/>
        </w:rPr>
        <w:t>为加强对水域游船的安全管理，保障游人乘船安全，作以下规定。</w:t>
      </w:r>
    </w:p>
    <w:p w14:paraId="35E3FF62">
      <w:pPr>
        <w:ind w:firstLine="422"/>
      </w:pPr>
      <w:r>
        <w:rPr>
          <w:rFonts w:hint="eastAsia"/>
          <w:b/>
        </w:rPr>
        <w:t>一、</w:t>
      </w:r>
      <w:r>
        <w:rPr>
          <w:rFonts w:hint="eastAsia"/>
        </w:rPr>
        <w:t>凡在本市行政区域内水域开办游船业务的单位和乘船游人，均须遵守本规定。</w:t>
      </w:r>
    </w:p>
    <w:p w14:paraId="6064954C">
      <w:pPr>
        <w:ind w:firstLine="422"/>
      </w:pPr>
      <w:r>
        <w:rPr>
          <w:rFonts w:hint="eastAsia"/>
          <w:b/>
        </w:rPr>
        <w:t>二、</w:t>
      </w:r>
      <w:r>
        <w:rPr>
          <w:rFonts w:hint="eastAsia"/>
        </w:rPr>
        <w:t>开办游船业务的单位，必须遵守下列规定：</w:t>
      </w:r>
    </w:p>
    <w:p w14:paraId="405FABF3">
      <w:r>
        <w:rPr>
          <w:rFonts w:hint="eastAsia"/>
        </w:rPr>
        <w:t>（一）游船须有交通行政主管部门指定检验单位核发的船只检验合格证，船只上应标明载重线、船只编号、载乘定员。不准超载。</w:t>
      </w:r>
    </w:p>
    <w:p w14:paraId="4DE619F6">
      <w:r>
        <w:rPr>
          <w:rFonts w:hint="eastAsia"/>
        </w:rPr>
        <w:t>（二）定期对游船进行维修、保养和安全检查，加强安全技术管理，使之保持良好状况。</w:t>
      </w:r>
    </w:p>
    <w:p w14:paraId="4AC48E97">
      <w:r>
        <w:rPr>
          <w:rFonts w:hint="eastAsia"/>
        </w:rPr>
        <w:t>（三）船只数量，由交通行政主管部门根据水域条件核定。不准超额。</w:t>
      </w:r>
    </w:p>
    <w:p w14:paraId="6871A8DF">
      <w:r>
        <w:rPr>
          <w:rFonts w:hint="eastAsia"/>
        </w:rPr>
        <w:t>（四）机动船（艇）驾驶人员，须经交通行政主管部门指定的机构考核合格，取得驾驶执照。禁止无照驾驶和酒后驾驶。</w:t>
      </w:r>
    </w:p>
    <w:p w14:paraId="75DC9D6F">
      <w:r>
        <w:rPr>
          <w:rFonts w:hint="eastAsia"/>
        </w:rPr>
        <w:t>（五）游船活动水域须建有游船码头，码</w:t>
      </w:r>
      <w:r>
        <w:rPr>
          <w:rFonts w:hint="eastAsia" w:ascii="宋体" w:hAnsi="宋体" w:eastAsia="宋体" w:cs="宋体"/>
        </w:rPr>
        <w:t>头高出船弦40厘米以上的，</w:t>
      </w:r>
      <w:r>
        <w:rPr>
          <w:rFonts w:hint="eastAsia"/>
        </w:rPr>
        <w:t>应设置稳固的台阶板。</w:t>
      </w:r>
    </w:p>
    <w:p w14:paraId="4639C79B">
      <w:r>
        <w:rPr>
          <w:rFonts w:hint="eastAsia"/>
        </w:rPr>
        <w:t>（六）面积大的水域，须划定游船活动区。游船活动区与游泳区用明显标志隔开。游船活动区内禁止游泳。</w:t>
      </w:r>
    </w:p>
    <w:p w14:paraId="34CEC822">
      <w:r>
        <w:rPr>
          <w:rFonts w:hint="eastAsia"/>
        </w:rPr>
        <w:t>（七）根据水域状况和服务规模的大小，按交通行政主管部门的要求设置相应的救护器材和救护人员。救护人员要经常巡视，负责落水遇险的抢救。</w:t>
      </w:r>
    </w:p>
    <w:p w14:paraId="25981A24">
      <w:r>
        <w:rPr>
          <w:rFonts w:hint="eastAsia"/>
        </w:rPr>
        <w:t>（八）遇四级以上大风或暴雨时，游船停止活动。</w:t>
      </w:r>
    </w:p>
    <w:p w14:paraId="2A4B5F59">
      <w:r>
        <w:rPr>
          <w:rFonts w:hint="eastAsia"/>
        </w:rPr>
        <w:t>（九）建立售票管理和安全宣传等制度，维护良好秩序。</w:t>
      </w:r>
    </w:p>
    <w:p w14:paraId="1335F885">
      <w:pPr>
        <w:ind w:firstLine="422"/>
      </w:pPr>
      <w:r>
        <w:rPr>
          <w:rFonts w:hint="eastAsia"/>
          <w:b/>
        </w:rPr>
        <w:t>三、</w:t>
      </w:r>
      <w:r>
        <w:rPr>
          <w:rFonts w:hint="eastAsia"/>
        </w:rPr>
        <w:t>游人乘坐游船，必须遵守秩序，不得拥挤和驾船打闹；不得将游船驶入游泳区或禁止游船活动区域；不得跳船换乘和从船上跳水游泳；不得倒卖船票和转租游船。</w:t>
      </w:r>
    </w:p>
    <w:p w14:paraId="01302C98">
      <w:pPr>
        <w:ind w:firstLine="422"/>
      </w:pPr>
      <w:r>
        <w:rPr>
          <w:rFonts w:hint="eastAsia"/>
          <w:b/>
        </w:rPr>
        <w:t>四、</w:t>
      </w:r>
      <w:r>
        <w:rPr>
          <w:rFonts w:hint="eastAsia"/>
        </w:rPr>
        <w:t>违反本规定的，由交通行政主管部门按照下列规定处罚：</w:t>
      </w:r>
    </w:p>
    <w:p w14:paraId="16B112BD">
      <w:pPr>
        <w:rPr>
          <w:rFonts w:hint="eastAsia" w:ascii="宋体" w:hAnsi="宋体" w:eastAsia="宋体" w:cs="宋体"/>
        </w:rPr>
      </w:pPr>
      <w:r>
        <w:rPr>
          <w:rFonts w:hint="eastAsia"/>
        </w:rPr>
        <w:t>（</w:t>
      </w:r>
      <w:r>
        <w:rPr>
          <w:rFonts w:hint="eastAsia" w:ascii="宋体" w:hAnsi="宋体" w:eastAsia="宋体" w:cs="宋体"/>
        </w:rPr>
        <w:t>一）违反本规定第二条第（一）、（二）、（三）、（五）、（六）、（七）项规定的，处以1000元以下罚款。</w:t>
      </w:r>
    </w:p>
    <w:p w14:paraId="3F1F1132">
      <w:pPr>
        <w:rPr>
          <w:rFonts w:hint="eastAsia" w:ascii="宋体" w:hAnsi="宋体" w:eastAsia="宋体" w:cs="宋体"/>
        </w:rPr>
      </w:pPr>
      <w:r>
        <w:rPr>
          <w:rFonts w:hint="eastAsia" w:ascii="宋体" w:hAnsi="宋体" w:eastAsia="宋体" w:cs="宋体"/>
        </w:rPr>
        <w:t>（二）违反规定第二条第（四）、（八）项规定的，对单位处以5000元以下罚款，对责任人处以200元以下罚款。</w:t>
      </w:r>
    </w:p>
    <w:p w14:paraId="4E0D418A">
      <w:r>
        <w:rPr>
          <w:rFonts w:hint="eastAsia"/>
        </w:rPr>
        <w:t>违反本规定，属于违反治安管理规定的，依照《中华人民共和国治安管理处罚法》处罚。</w:t>
      </w:r>
    </w:p>
    <w:p w14:paraId="41EE4B0D">
      <w:pPr>
        <w:ind w:firstLine="422"/>
      </w:pPr>
      <w:r>
        <w:rPr>
          <w:rFonts w:hint="eastAsia"/>
          <w:b/>
        </w:rPr>
        <w:t>五、</w:t>
      </w:r>
      <w:r>
        <w:rPr>
          <w:rFonts w:hint="eastAsia"/>
        </w:rPr>
        <w:t>本规定</w:t>
      </w:r>
      <w:r>
        <w:rPr>
          <w:rFonts w:hint="eastAsia" w:ascii="宋体" w:hAnsi="宋体" w:eastAsia="宋体" w:cs="宋体"/>
        </w:rPr>
        <w:t>自1988年4月1日起施行。</w:t>
      </w:r>
    </w:p>
    <w:p w14:paraId="4D88B36F"/>
    <w:p w14:paraId="2FD2066C">
      <w:pPr>
        <w:pStyle w:val="4"/>
        <w:pageBreakBefore/>
      </w:pPr>
      <w:bookmarkStart w:id="1875" w:name="_Toc428780363"/>
      <w:bookmarkStart w:id="1876" w:name="_Toc428781759"/>
      <w:bookmarkStart w:id="1877" w:name="_Toc426467011"/>
      <w:r>
        <w:rPr>
          <w:rFonts w:hint="eastAsia"/>
        </w:rPr>
        <w:t>关于加强建设工程施工现场治安保卫工作的规定</w:t>
      </w:r>
      <w:bookmarkEnd w:id="1875"/>
      <w:bookmarkEnd w:id="1876"/>
      <w:bookmarkEnd w:id="1877"/>
    </w:p>
    <w:p w14:paraId="64DFF5CC">
      <w:pPr>
        <w:ind w:left="630" w:leftChars="300" w:right="630" w:rightChars="300"/>
        <w:rPr>
          <w:rFonts w:ascii="楷体" w:hAnsi="楷体" w:eastAsia="楷体"/>
        </w:rPr>
      </w:pPr>
      <w:r>
        <w:rPr>
          <w:rFonts w:hint="eastAsia" w:ascii="楷体" w:hAnsi="楷体" w:eastAsia="楷体"/>
        </w:rPr>
        <w:t>（1988年9月14日北京市人民政府京政办发99号文件发布  根据2010年11月27日北京市人民政府第226号令修改）</w:t>
      </w:r>
    </w:p>
    <w:p w14:paraId="1E61057F"/>
    <w:p w14:paraId="63AC0480">
      <w:r>
        <w:rPr>
          <w:rFonts w:hint="eastAsia"/>
        </w:rPr>
        <w:t>为加强建设工程施工现场的治安保卫工作，维护正常的生产秩序和治安秩序，保障城市建设的顺利进行，作如下规定：</w:t>
      </w:r>
    </w:p>
    <w:p w14:paraId="3410DDF6">
      <w:pPr>
        <w:ind w:firstLine="422"/>
      </w:pPr>
      <w:r>
        <w:rPr>
          <w:rFonts w:hint="eastAsia"/>
          <w:b/>
        </w:rPr>
        <w:t>一、</w:t>
      </w:r>
      <w:r>
        <w:rPr>
          <w:rFonts w:hint="eastAsia"/>
        </w:rPr>
        <w:t>凡在本市行政区域内的房屋建筑、市政和规模较大的房屋修缮等建设工程施工现场（以下简称施工现场）的治安保卫工作，均须执行本规定。</w:t>
      </w:r>
    </w:p>
    <w:p w14:paraId="094E26C3">
      <w:pPr>
        <w:ind w:firstLine="422"/>
      </w:pPr>
      <w:r>
        <w:rPr>
          <w:rFonts w:hint="eastAsia"/>
          <w:b/>
        </w:rPr>
        <w:t>二、</w:t>
      </w:r>
      <w:r>
        <w:rPr>
          <w:rFonts w:hint="eastAsia"/>
        </w:rPr>
        <w:t>施工现场必须确定治安保卫负责人，领导施工现场治安保卫工作，并根据工程规模、性质等情况，建立施工现场治安保卫组织，具体负责施工现场治安保卫工作的监督管理。</w:t>
      </w:r>
    </w:p>
    <w:p w14:paraId="3AC12E52">
      <w:r>
        <w:rPr>
          <w:rFonts w:hint="eastAsia"/>
        </w:rPr>
        <w:t>治安保卫负责人由施工单位的施工现场负责人担任，在工程开工前将名单报施工单位的主管部门和主管公安机关备案。</w:t>
      </w:r>
    </w:p>
    <w:p w14:paraId="070F44A5">
      <w:pPr>
        <w:ind w:firstLine="422"/>
      </w:pPr>
      <w:r>
        <w:rPr>
          <w:rFonts w:hint="eastAsia"/>
          <w:b/>
        </w:rPr>
        <w:t>三、</w:t>
      </w:r>
      <w:r>
        <w:rPr>
          <w:rFonts w:hint="eastAsia"/>
        </w:rPr>
        <w:t>施工单位编制工程施工组织设计或施工方案，必须包括相应的治安保卫措施；国家和市属重点工程必须制定专项的治安保卫工作方案，报市住房和城乡建设委员会和市公安局备案。</w:t>
      </w:r>
    </w:p>
    <w:p w14:paraId="20CDDC2F">
      <w:pPr>
        <w:ind w:firstLine="422"/>
      </w:pPr>
      <w:r>
        <w:rPr>
          <w:rFonts w:hint="eastAsia"/>
          <w:b/>
        </w:rPr>
        <w:t>四、</w:t>
      </w:r>
      <w:r>
        <w:rPr>
          <w:rFonts w:hint="eastAsia"/>
        </w:rPr>
        <w:t>施工现场治安保卫工作应遵守下列规定：</w:t>
      </w:r>
    </w:p>
    <w:p w14:paraId="76591731">
      <w:r>
        <w:rPr>
          <w:rFonts w:hint="eastAsia"/>
        </w:rPr>
        <w:t>（一）施工现场应当按规定采取围挡等安全防护措施，建立门卫制度。施工人员凭出入证件进出施工现场，门卫人员必须坚守岗位，认真查验。</w:t>
      </w:r>
    </w:p>
    <w:p w14:paraId="6CD0D843">
      <w:r>
        <w:rPr>
          <w:rFonts w:hint="eastAsia"/>
        </w:rPr>
        <w:t>（二）施工现场及周围道路应保证安全畅通，建筑材料、设备等必须按施工进度计划运入，并按规定存放。</w:t>
      </w:r>
    </w:p>
    <w:p w14:paraId="2FA4D25F">
      <w:r>
        <w:rPr>
          <w:rFonts w:hint="eastAsia"/>
        </w:rPr>
        <w:t>（三）施工现场料场、库房应当加强巡逻守护，重要材料、设备，要专库专管；贵重物品、仪表和保密图纸资料以及精密小型工具的保管和使用，须有安全保卫措施，健全存放、保管、领用、回收登记制度。</w:t>
      </w:r>
    </w:p>
    <w:p w14:paraId="0C29162F">
      <w:r>
        <w:rPr>
          <w:rFonts w:hint="eastAsia"/>
        </w:rPr>
        <w:t>（四）施工现场易燃、易爆、剧毒物品，必须专库限量储存，设置明显标志，指定专人保管，制定严格的限量领用登记制度和余料回收制度。</w:t>
      </w:r>
    </w:p>
    <w:p w14:paraId="7D15C5C6">
      <w:r>
        <w:rPr>
          <w:rFonts w:hint="eastAsia"/>
        </w:rPr>
        <w:t>（五）施工现场职工临时生活区与施工作业区应当采取隔离措施。施工现场所设更衣室、休息室等，应确定专人兼管；在生活区内严禁赌博、酗酒，非经批准，不许他人留宿，不得使用不符合安全要求的电器和取暖用具；施工现场内，要加强电视机、录音机等贵重物品和现金、票证的管理。</w:t>
      </w:r>
    </w:p>
    <w:p w14:paraId="3994A366">
      <w:pPr>
        <w:ind w:firstLine="422"/>
      </w:pPr>
      <w:r>
        <w:rPr>
          <w:rFonts w:hint="eastAsia"/>
          <w:b/>
        </w:rPr>
        <w:t>五、</w:t>
      </w:r>
      <w:r>
        <w:rPr>
          <w:rFonts w:hint="eastAsia"/>
        </w:rPr>
        <w:t>施工现场的要害部位，包括为施工服务的锅炉房、变电室、泵房、大中型机械设备，建设工程的关键部位和施工关键工序，应当制定并认真执行安全保卫措施，安装防护设施或报警装置。</w:t>
      </w:r>
    </w:p>
    <w:p w14:paraId="5732EBF3">
      <w:pPr>
        <w:ind w:firstLine="422"/>
      </w:pPr>
      <w:r>
        <w:rPr>
          <w:rFonts w:hint="eastAsia"/>
          <w:b/>
        </w:rPr>
        <w:t>六、</w:t>
      </w:r>
      <w:r>
        <w:rPr>
          <w:rFonts w:hint="eastAsia"/>
        </w:rPr>
        <w:t>建设工程成品，包括即将竣工的楼房栋号、楼层、房间，安装就位的重要设施、设备，装修完毕的贵重装饰陈设等，必须制定专门保卫措施，组织专门力量，加强巡逻看护；重点工程应划定重点保卫区域，按栋号、楼层、房间制发证件，专人看守，严格验证，严防盗窃、破坏和治安灾害事故的发生。</w:t>
      </w:r>
    </w:p>
    <w:p w14:paraId="135724B8">
      <w:pPr>
        <w:ind w:firstLine="422"/>
      </w:pPr>
      <w:r>
        <w:rPr>
          <w:rFonts w:hint="eastAsia"/>
          <w:b/>
        </w:rPr>
        <w:t>七、</w:t>
      </w:r>
      <w:r>
        <w:rPr>
          <w:rFonts w:hint="eastAsia"/>
        </w:rPr>
        <w:t>施工现场发生刑事案件、治安案件和灾害事故，施工现场治安保卫组织必须保护现场，及时向上级主管部门的治安保卫组织和公安机关报告。公安机关应协助施工现场治安保卫组织维护施工现场及其周围的治安秩序。</w:t>
      </w:r>
    </w:p>
    <w:p w14:paraId="260A6D2B">
      <w:pPr>
        <w:ind w:firstLine="422"/>
      </w:pPr>
      <w:r>
        <w:rPr>
          <w:rFonts w:hint="eastAsia"/>
          <w:b/>
        </w:rPr>
        <w:t>八、</w:t>
      </w:r>
      <w:r>
        <w:rPr>
          <w:rFonts w:hint="eastAsia"/>
        </w:rPr>
        <w:t>违反本规定，治安保卫制度不落实，经公安机关指出仍不改进，或发生刑事案件、治安案件和灾害事故，给国家、集体和人民生命财产造成严重损失的，由公安机关依法对施工现场治安保卫负责人和直接责任人予以处罚，并由其上级主管部门给予行政处分，构成犯罪的，移送司法机关依法追究刑事责任。</w:t>
      </w:r>
    </w:p>
    <w:p w14:paraId="6A1B81D5">
      <w:pPr>
        <w:ind w:firstLine="422"/>
        <w:rPr>
          <w:rFonts w:hint="eastAsia" w:ascii="宋体" w:hAnsi="宋体" w:eastAsia="宋体" w:cs="宋体"/>
        </w:rPr>
      </w:pPr>
      <w:r>
        <w:rPr>
          <w:rFonts w:hint="eastAsia"/>
          <w:b/>
        </w:rPr>
        <w:t>九、</w:t>
      </w:r>
      <w:r>
        <w:rPr>
          <w:rFonts w:hint="eastAsia"/>
        </w:rPr>
        <w:t>本规</w:t>
      </w:r>
      <w:r>
        <w:rPr>
          <w:rFonts w:hint="eastAsia" w:ascii="宋体" w:hAnsi="宋体" w:eastAsia="宋体" w:cs="宋体"/>
        </w:rPr>
        <w:t>定自1988年9月15日起施行。</w:t>
      </w:r>
    </w:p>
    <w:p w14:paraId="30CCECF7"/>
    <w:p w14:paraId="58335720">
      <w:pPr>
        <w:pStyle w:val="4"/>
        <w:pageBreakBefore/>
      </w:pPr>
      <w:bookmarkStart w:id="1878" w:name="_Toc428781760"/>
      <w:bookmarkStart w:id="1879" w:name="_Toc426467012"/>
      <w:bookmarkStart w:id="1880" w:name="_Toc428780364"/>
      <w:r>
        <w:rPr>
          <w:rFonts w:hint="eastAsia"/>
        </w:rPr>
        <w:t>北京市机动车维修行业治安管理若干规定</w:t>
      </w:r>
      <w:bookmarkEnd w:id="1878"/>
      <w:bookmarkEnd w:id="1879"/>
      <w:bookmarkEnd w:id="1880"/>
    </w:p>
    <w:p w14:paraId="5B2D286E">
      <w:pPr>
        <w:ind w:left="630" w:leftChars="300" w:right="630" w:rightChars="300"/>
        <w:rPr>
          <w:rFonts w:ascii="楷体" w:hAnsi="楷体" w:eastAsia="楷体"/>
        </w:rPr>
      </w:pPr>
      <w:r>
        <w:rPr>
          <w:rFonts w:hint="eastAsia" w:ascii="楷体" w:hAnsi="楷体" w:eastAsia="楷体"/>
        </w:rPr>
        <w:t>（1991年5月18日北京市人民政府批准  1991年8月1日北京市公安局发布  根据1997年12月31日北京市人民政府第12号令第一次修正  根据2004年6月1日北京市人民政府第150号令第二次修正）</w:t>
      </w:r>
    </w:p>
    <w:p w14:paraId="1749C121"/>
    <w:p w14:paraId="0908E882">
      <w:pPr>
        <w:ind w:firstLine="422"/>
      </w:pPr>
      <w:r>
        <w:rPr>
          <w:rFonts w:hint="eastAsia"/>
          <w:b/>
        </w:rPr>
        <w:t>第一条</w:t>
      </w:r>
      <w:r>
        <w:rPr>
          <w:rFonts w:hint="eastAsia"/>
        </w:rPr>
        <w:t xml:space="preserve">  为加强机动车维修行业治安管理，防范和打击违法犯罪活动，维护社会治安秩序，依据有关法律、法规，结合本市情况，制定本规定。</w:t>
      </w:r>
    </w:p>
    <w:p w14:paraId="214687F1">
      <w:pPr>
        <w:ind w:firstLine="422"/>
      </w:pPr>
      <w:r>
        <w:rPr>
          <w:rFonts w:hint="eastAsia"/>
          <w:b/>
        </w:rPr>
        <w:t>第二条</w:t>
      </w:r>
      <w:r>
        <w:rPr>
          <w:rFonts w:hint="eastAsia"/>
        </w:rPr>
        <w:t xml:space="preserve">  本规定适用于本市行政区域内的机动车修理、维护（含专项维修）经营单位和个人（以下简称机动车维修经营者）。</w:t>
      </w:r>
    </w:p>
    <w:p w14:paraId="537FDCD5">
      <w:r>
        <w:rPr>
          <w:rFonts w:hint="eastAsia"/>
        </w:rPr>
        <w:t>公安机关负责本规定的实施和监督、检查。</w:t>
      </w:r>
    </w:p>
    <w:p w14:paraId="2CC343AC">
      <w:pPr>
        <w:ind w:firstLine="422"/>
      </w:pPr>
      <w:r>
        <w:rPr>
          <w:rFonts w:hint="eastAsia"/>
          <w:b/>
        </w:rPr>
        <w:t>第三条</w:t>
      </w:r>
      <w:r>
        <w:rPr>
          <w:rFonts w:hint="eastAsia"/>
        </w:rPr>
        <w:t xml:space="preserve">  机动车维修经营者须遵守下列规定:</w:t>
      </w:r>
    </w:p>
    <w:p w14:paraId="05B63956">
      <w:r>
        <w:rPr>
          <w:rFonts w:hint="eastAsia"/>
        </w:rPr>
        <w:t>（一）建立健全安全管理制度，对从业人员进行法制教育。</w:t>
      </w:r>
    </w:p>
    <w:p w14:paraId="08CB4A12">
      <w:r>
        <w:rPr>
          <w:rFonts w:hint="eastAsia"/>
        </w:rPr>
        <w:t>（二）承修机动车时，须查验送修车辆的行车执照、车辆号牌、发动机号、车架号，以及送修人的驾驶证和居民身份证，并按公安机关的要求作准确登记。登记簿要定期送当地公安机关检查。</w:t>
      </w:r>
    </w:p>
    <w:p w14:paraId="5B03FD3E">
      <w:r>
        <w:rPr>
          <w:rFonts w:hint="eastAsia"/>
        </w:rPr>
        <w:t>（三）送修机动车的号牌、行车执照等与车况不相符合的，或发现送修人有违法犯罪嫌疑的，不得承修，并应及时向当地公安机关报告。</w:t>
      </w:r>
    </w:p>
    <w:p w14:paraId="38B1D665">
      <w:r>
        <w:rPr>
          <w:rFonts w:hint="eastAsia"/>
        </w:rPr>
        <w:t>（四）未经批准，不得为机动车改变车身颜色、更换发动机，或改变外观特征。</w:t>
      </w:r>
    </w:p>
    <w:p w14:paraId="1477DA28">
      <w:r>
        <w:rPr>
          <w:rFonts w:hint="eastAsia"/>
        </w:rPr>
        <w:t>（五）严禁涂改或重制发动机号、车架号。严禁调换车辆号牌、行车执照等。</w:t>
      </w:r>
    </w:p>
    <w:p w14:paraId="1B770438">
      <w:r>
        <w:rPr>
          <w:rFonts w:hint="eastAsia"/>
        </w:rPr>
        <w:t>（六）严禁窝藏、拆改或买卖、转移违法犯罪分子非法得来的机动车。</w:t>
      </w:r>
    </w:p>
    <w:p w14:paraId="09231919">
      <w:pPr>
        <w:ind w:firstLine="422"/>
      </w:pPr>
      <w:r>
        <w:rPr>
          <w:rFonts w:hint="eastAsia"/>
          <w:b/>
        </w:rPr>
        <w:t>第四条</w:t>
      </w:r>
      <w:r>
        <w:rPr>
          <w:rFonts w:hint="eastAsia"/>
        </w:rPr>
        <w:t xml:space="preserve">  机动车维修经营者违反本规定的，由公安机关按照下列规定处罚：</w:t>
      </w:r>
    </w:p>
    <w:p w14:paraId="0562FB62">
      <w:pPr>
        <w:rPr>
          <w:rFonts w:hint="eastAsia" w:ascii="宋体" w:hAnsi="宋体" w:eastAsia="宋体" w:cs="宋体"/>
        </w:rPr>
      </w:pPr>
      <w:r>
        <w:rPr>
          <w:rFonts w:hint="eastAsia"/>
        </w:rPr>
        <w:t>（一）违反第五条第（一）、（二）、（三）项规定的，予</w:t>
      </w:r>
      <w:r>
        <w:rPr>
          <w:rFonts w:hint="eastAsia" w:ascii="宋体" w:hAnsi="宋体" w:eastAsia="宋体" w:cs="宋体"/>
        </w:rPr>
        <w:t>以警告或者处200元以上1000元以下罚款；</w:t>
      </w:r>
    </w:p>
    <w:p w14:paraId="6CF9136E">
      <w:pPr>
        <w:rPr>
          <w:rFonts w:hint="eastAsia" w:ascii="宋体" w:hAnsi="宋体" w:eastAsia="宋体" w:cs="宋体"/>
        </w:rPr>
      </w:pPr>
      <w:r>
        <w:rPr>
          <w:rFonts w:hint="eastAsia" w:ascii="宋体" w:hAnsi="宋体" w:eastAsia="宋体" w:cs="宋体"/>
        </w:rPr>
        <w:t>（二）违反第五条第（四）、（五）、（六）项规定的，处5000元以上3万元以下罚款；构成犯罪的，依法追究刑事责任。</w:t>
      </w:r>
    </w:p>
    <w:p w14:paraId="78B74C29">
      <w:pPr>
        <w:ind w:firstLine="422"/>
      </w:pPr>
      <w:r>
        <w:rPr>
          <w:rFonts w:hint="eastAsia"/>
          <w:b/>
        </w:rPr>
        <w:t>第五条</w:t>
      </w:r>
      <w:r>
        <w:rPr>
          <w:rFonts w:hint="eastAsia"/>
        </w:rPr>
        <w:t xml:space="preserve">  本规定执行中的具体问题，由市公安局负责解释。</w:t>
      </w:r>
    </w:p>
    <w:p w14:paraId="01193EFB">
      <w:pPr>
        <w:ind w:firstLine="422"/>
      </w:pPr>
      <w:r>
        <w:rPr>
          <w:rFonts w:hint="eastAsia"/>
          <w:b/>
        </w:rPr>
        <w:t>第六条</w:t>
      </w:r>
      <w:r>
        <w:rPr>
          <w:rFonts w:hint="eastAsia"/>
        </w:rPr>
        <w:t xml:space="preserve">  本规定由市人民政府批准，自市公安局发布之日起施行。</w:t>
      </w:r>
    </w:p>
    <w:p w14:paraId="7BD366D5">
      <w:r>
        <w:rPr>
          <w:rFonts w:hint="eastAsia"/>
        </w:rPr>
        <w:t>本规定施行前已开业的机动车维修经营者，应当在本规定施行后的两个月内，向当地区、县公安机关申报审核；逾期不报审的，由公安机关按本规定处罚。</w:t>
      </w:r>
    </w:p>
    <w:p w14:paraId="56D9D0EF"/>
    <w:p w14:paraId="71F3452D">
      <w:pPr>
        <w:pStyle w:val="4"/>
        <w:pageBreakBefore/>
      </w:pPr>
      <w:bookmarkStart w:id="1881" w:name="_Toc428781761"/>
      <w:bookmarkStart w:id="1882" w:name="_Toc426467013"/>
      <w:bookmarkStart w:id="1883" w:name="_Toc428780365"/>
      <w:r>
        <w:rPr>
          <w:rFonts w:hint="eastAsia"/>
        </w:rPr>
        <w:t>北京市外地来京人员户籍管理规定</w:t>
      </w:r>
      <w:bookmarkEnd w:id="1881"/>
      <w:bookmarkEnd w:id="1882"/>
      <w:bookmarkEnd w:id="1883"/>
    </w:p>
    <w:p w14:paraId="2C5DFF6F">
      <w:pPr>
        <w:ind w:left="630" w:leftChars="300" w:right="630" w:rightChars="300"/>
        <w:rPr>
          <w:rFonts w:ascii="楷体" w:hAnsi="楷体" w:eastAsia="楷体"/>
        </w:rPr>
      </w:pPr>
      <w:r>
        <w:rPr>
          <w:rFonts w:hint="eastAsia" w:ascii="楷体" w:hAnsi="楷体" w:eastAsia="楷体"/>
        </w:rPr>
        <w:t>（1995年6月13日北京市人民政府第11号令发布  根据1997年12月31日北京市人民政府第12号令修改）</w:t>
      </w:r>
    </w:p>
    <w:p w14:paraId="3BE99527"/>
    <w:p w14:paraId="3CA6F6C4">
      <w:pPr>
        <w:ind w:firstLine="422"/>
      </w:pPr>
      <w:r>
        <w:rPr>
          <w:rFonts w:hint="eastAsia"/>
          <w:b/>
        </w:rPr>
        <w:t>第一条</w:t>
      </w:r>
      <w:r>
        <w:rPr>
          <w:rFonts w:hint="eastAsia"/>
        </w:rPr>
        <w:t xml:space="preserve">  为加强外地来京人员户籍管理，保障外地来京人员的合法权益，维护首都社会秩序，根据《中华人民共和国户口登记条例》和《北京市外地来京务工经商人员管理条例》，制定本规定。</w:t>
      </w:r>
    </w:p>
    <w:p w14:paraId="3832D0FB">
      <w:pPr>
        <w:ind w:firstLine="422"/>
      </w:pPr>
      <w:r>
        <w:rPr>
          <w:rFonts w:hint="eastAsia"/>
          <w:b/>
        </w:rPr>
        <w:t>第二条</w:t>
      </w:r>
      <w:r>
        <w:rPr>
          <w:rFonts w:hint="eastAsia"/>
        </w:rPr>
        <w:t xml:space="preserve">  本规定适用于本市行政区域内无本市常住户口，从其他省、自治区、直辖市来京暂住的人员（以下简称外地来京人员）。</w:t>
      </w:r>
    </w:p>
    <w:p w14:paraId="6A4A96AC">
      <w:pPr>
        <w:ind w:firstLine="422"/>
      </w:pPr>
      <w:r>
        <w:rPr>
          <w:rFonts w:hint="eastAsia"/>
          <w:b/>
        </w:rPr>
        <w:t>第三条</w:t>
      </w:r>
      <w:r>
        <w:rPr>
          <w:rFonts w:hint="eastAsia"/>
        </w:rPr>
        <w:t xml:space="preserve">  本市各级公安机关主管本行政区域内外地来京人员的户籍管理工作。</w:t>
      </w:r>
    </w:p>
    <w:p w14:paraId="7A030580">
      <w:pPr>
        <w:ind w:firstLine="422"/>
      </w:pPr>
      <w:r>
        <w:rPr>
          <w:rFonts w:hint="eastAsia"/>
          <w:b/>
        </w:rPr>
        <w:t>第四条</w:t>
      </w:r>
      <w:r>
        <w:rPr>
          <w:rFonts w:hint="eastAsia"/>
        </w:rPr>
        <w:t xml:space="preserve">  居（村）民委员会和雇用、留宿外地来京人员的单位和个人，应当协助公安机关做好外地来京人员的户籍管理工作。</w:t>
      </w:r>
    </w:p>
    <w:p w14:paraId="71ED5613">
      <w:r>
        <w:rPr>
          <w:rFonts w:hint="eastAsia"/>
        </w:rPr>
        <w:t>在外地来京人员较多的地区，公安机关可以根据实际需要，设立户籍协管员，协助公安机关对外地来京人员进行户籍管理工作。</w:t>
      </w:r>
    </w:p>
    <w:p w14:paraId="2D1AB8BD">
      <w:pPr>
        <w:ind w:firstLine="422"/>
      </w:pPr>
      <w:r>
        <w:rPr>
          <w:rFonts w:hint="eastAsia"/>
          <w:b/>
        </w:rPr>
        <w:t>第五条</w:t>
      </w:r>
      <w:r>
        <w:rPr>
          <w:rFonts w:hint="eastAsia"/>
        </w:rPr>
        <w:t xml:space="preserve">  本市对外地来京人员实行暂住登记和《暂住证》制度。</w:t>
      </w:r>
    </w:p>
    <w:p w14:paraId="7D080961">
      <w:r>
        <w:rPr>
          <w:rFonts w:hint="eastAsia"/>
        </w:rPr>
        <w:t>《暂住证》是外地来京人员在本市临时居住的合法证明。对未取得《暂住证》的外地来京人员，任何单位和个人不得向其出租房屋或者提供经营场所；劳动行政机关不予核发《外来人员就业证》，工商行政管理机关不予办理营业执照。</w:t>
      </w:r>
    </w:p>
    <w:p w14:paraId="7AA2411E">
      <w:r>
        <w:rPr>
          <w:rFonts w:hint="eastAsia"/>
        </w:rPr>
        <w:t>《暂住证》由市公安局统一印制。</w:t>
      </w:r>
    </w:p>
    <w:p w14:paraId="32445187">
      <w:pPr>
        <w:ind w:firstLine="422"/>
      </w:pPr>
      <w:r>
        <w:rPr>
          <w:rFonts w:hint="eastAsia"/>
          <w:b/>
        </w:rPr>
        <w:t>第六条</w:t>
      </w:r>
      <w:r>
        <w:rPr>
          <w:rFonts w:hint="eastAsia"/>
        </w:rPr>
        <w:t xml:space="preserve">  各级公安机关应当通过户籍管理对外地来京人员规模进行控制。对外地来京人员相对集中的地区，应当采取有效的疏导措施，使暂住在该地区的外地来京人员的数量，不超过外地来京人员所占当地常住人口的一定比例。具体比例由区、县人民政府确定。</w:t>
      </w:r>
    </w:p>
    <w:p w14:paraId="78479ACD">
      <w:pPr>
        <w:ind w:firstLine="422"/>
        <w:rPr>
          <w:rFonts w:hint="eastAsia" w:ascii="宋体" w:hAnsi="宋体" w:eastAsia="宋体" w:cs="宋体"/>
        </w:rPr>
      </w:pPr>
      <w:r>
        <w:rPr>
          <w:rFonts w:hint="eastAsia"/>
          <w:b/>
        </w:rPr>
        <w:t>第七条</w:t>
      </w:r>
      <w:r>
        <w:rPr>
          <w:rFonts w:hint="eastAsia"/>
        </w:rPr>
        <w:t xml:space="preserve">  外地来京人员到达本市后</w:t>
      </w:r>
      <w:r>
        <w:rPr>
          <w:rFonts w:hint="eastAsia" w:ascii="宋体" w:hAnsi="宋体" w:eastAsia="宋体" w:cs="宋体"/>
        </w:rPr>
        <w:t>，必须在3日内按下列规定申报暂住登记。其中，年满16周岁，在本市暂住时间拟超过1个月的或者拟在本市从事务工、经商等活动的外地来京人员，应当在办理暂住登记的同时申领《暂住证》：</w:t>
      </w:r>
    </w:p>
    <w:p w14:paraId="0C54465C">
      <w:r>
        <w:rPr>
          <w:rFonts w:hint="eastAsia"/>
        </w:rPr>
        <w:t>（一）暂住在本市居民或者农民户内的人员，由户主带领或者由本人持户主的户口簿，向暂住地公安派出所申报暂住登记、申领《暂住证》；</w:t>
      </w:r>
    </w:p>
    <w:p w14:paraId="5A7BF484">
      <w:r>
        <w:rPr>
          <w:rFonts w:hint="eastAsia"/>
        </w:rPr>
        <w:t>（二）暂住在机关、团体、部队、企业、事业单位和建筑工地、工棚内的人员，由留住单位向暂住地公安派出所申报暂住登记、申领《暂住证》；</w:t>
      </w:r>
    </w:p>
    <w:p w14:paraId="1A915E81">
      <w:r>
        <w:rPr>
          <w:rFonts w:hint="eastAsia"/>
        </w:rPr>
        <w:t>（三）暂住在出租房内的人员，由房主带领或者由本人持房主的户口簿和《房屋租赁许可证》、《房屋租赁安全合格证》，向暂住地公安派出所申报暂住登记、申领《暂住证》；</w:t>
      </w:r>
    </w:p>
    <w:p w14:paraId="48CA15E3">
      <w:r>
        <w:rPr>
          <w:rFonts w:hint="eastAsia"/>
        </w:rPr>
        <w:t>（四）暂住在宾馆、饭店、招待所等旅馆业单位的人员，由店方进行住宿登记；对其中应当申领《暂住证》的人员，由店方或者本人向公安机关申领《暂住证》。</w:t>
      </w:r>
    </w:p>
    <w:p w14:paraId="42F1DDDB">
      <w:pPr>
        <w:ind w:firstLine="422"/>
      </w:pPr>
      <w:r>
        <w:rPr>
          <w:rFonts w:hint="eastAsia"/>
          <w:b/>
        </w:rPr>
        <w:t>第八条</w:t>
      </w:r>
      <w:r>
        <w:rPr>
          <w:rFonts w:hint="eastAsia"/>
        </w:rPr>
        <w:t xml:space="preserve">  外地来京人员申报暂住登记、申领《暂住证》，应当提交以下证件或者证明材料：</w:t>
      </w:r>
    </w:p>
    <w:p w14:paraId="35788C5E">
      <w:r>
        <w:rPr>
          <w:rFonts w:hint="eastAsia"/>
        </w:rPr>
        <w:t>（一）居民身份证或者原籍乡以上人民政府或者公安机关出具的身份证明；</w:t>
      </w:r>
    </w:p>
    <w:p w14:paraId="4E7829CD">
      <w:r>
        <w:rPr>
          <w:rFonts w:hint="eastAsia"/>
        </w:rPr>
        <w:t>（二）育龄妇女应当提交原籍乡镇人民政府或者街道办事处计划生育主管机关出具的婚育状况证明。</w:t>
      </w:r>
    </w:p>
    <w:p w14:paraId="4C2F6A0E">
      <w:pPr>
        <w:ind w:firstLine="422"/>
      </w:pPr>
      <w:r>
        <w:rPr>
          <w:rFonts w:hint="eastAsia"/>
          <w:b/>
        </w:rPr>
        <w:t>第九条</w:t>
      </w:r>
      <w:r>
        <w:rPr>
          <w:rFonts w:hint="eastAsia"/>
        </w:rPr>
        <w:t xml:space="preserve">  下列情形之一的，不予办理《暂住证》：</w:t>
      </w:r>
    </w:p>
    <w:p w14:paraId="65A1C67C">
      <w:bookmarkStart w:id="1884" w:name="_Toc428780366"/>
      <w:r>
        <w:rPr>
          <w:rFonts w:hint="eastAsia"/>
        </w:rPr>
        <w:t>（一）无合法有效身份证明或者无固定住所的人员；</w:t>
      </w:r>
      <w:bookmarkEnd w:id="1884"/>
    </w:p>
    <w:p w14:paraId="62581DD4">
      <w:r>
        <w:rPr>
          <w:rFonts w:hint="eastAsia"/>
        </w:rPr>
        <w:t>（二）育龄妇女无原籍乡镇人民政府或者街道办事处计划生育主管机关出具的婚育状况证明的；</w:t>
      </w:r>
    </w:p>
    <w:p w14:paraId="094572F5">
      <w:r>
        <w:rPr>
          <w:rFonts w:hint="eastAsia"/>
        </w:rPr>
        <w:t>（三）乞讨、街头卖艺人员；</w:t>
      </w:r>
    </w:p>
    <w:p w14:paraId="1AFAFC72">
      <w:r>
        <w:rPr>
          <w:rFonts w:hint="eastAsia"/>
        </w:rPr>
        <w:t>（四）从事相面、算卦等封建迷信活动的人员；</w:t>
      </w:r>
    </w:p>
    <w:p w14:paraId="615EA4DA">
      <w:r>
        <w:rPr>
          <w:rFonts w:hint="eastAsia"/>
        </w:rPr>
        <w:t>（五）无照行医人员；</w:t>
      </w:r>
    </w:p>
    <w:p w14:paraId="40BB966D">
      <w:r>
        <w:rPr>
          <w:rFonts w:hint="eastAsia"/>
        </w:rPr>
        <w:t>（六）制作、贩卖假冒伪劣商品、倒卖各种票证、非法刻制印章的人员；</w:t>
      </w:r>
    </w:p>
    <w:p w14:paraId="33A864E1">
      <w:r>
        <w:rPr>
          <w:rFonts w:hint="eastAsia"/>
        </w:rPr>
        <w:t>（七）其他从事危害社会秩序或者公共安全活动的人员。</w:t>
      </w:r>
    </w:p>
    <w:p w14:paraId="47FF32E5">
      <w:r>
        <w:rPr>
          <w:rFonts w:hint="eastAsia"/>
        </w:rPr>
        <w:t>已办理《暂住证》的人员中，有前款第（二）至第（七）项行为之一的，公安机关应当立即吊销其《暂住证》。</w:t>
      </w:r>
    </w:p>
    <w:p w14:paraId="425357A3">
      <w:pPr>
        <w:ind w:firstLine="422"/>
      </w:pPr>
      <w:r>
        <w:rPr>
          <w:rFonts w:hint="eastAsia"/>
          <w:b/>
        </w:rPr>
        <w:t>第十条</w:t>
      </w:r>
      <w:r>
        <w:rPr>
          <w:rFonts w:hint="eastAsia"/>
        </w:rPr>
        <w:t xml:space="preserve">  各项证件和证明材料齐备、符合条件的外地来京人员，暂住地的公安派出所应当自受理申领之</w:t>
      </w:r>
      <w:r>
        <w:rPr>
          <w:rFonts w:hint="eastAsia" w:ascii="宋体" w:hAnsi="宋体" w:eastAsia="宋体" w:cs="宋体"/>
        </w:rPr>
        <w:t>日起10日内核发《暂住</w:t>
      </w:r>
      <w:r>
        <w:rPr>
          <w:rFonts w:hint="eastAsia"/>
        </w:rPr>
        <w:t>证》。</w:t>
      </w:r>
    </w:p>
    <w:p w14:paraId="5BBEDC77">
      <w:r>
        <w:rPr>
          <w:rFonts w:hint="eastAsia"/>
        </w:rPr>
        <w:t>对拟在本市从事务工经商活动的外地来京人员，应当在《暂住证》上注明系来京务工经商。《暂住证》上未予注明的，劳动行政机关和工商行政管理机关不予办理《外来人员就业证》和营业执照。</w:t>
      </w:r>
    </w:p>
    <w:p w14:paraId="15904AD6">
      <w:pPr>
        <w:ind w:firstLine="422"/>
      </w:pPr>
      <w:r>
        <w:rPr>
          <w:rFonts w:hint="eastAsia"/>
          <w:b/>
        </w:rPr>
        <w:t>第十一条</w:t>
      </w:r>
      <w:r>
        <w:rPr>
          <w:rFonts w:hint="eastAsia"/>
        </w:rPr>
        <w:t xml:space="preserve">  《暂住证》有效期</w:t>
      </w:r>
      <w:r>
        <w:rPr>
          <w:rFonts w:hint="eastAsia" w:ascii="宋体" w:hAnsi="宋体" w:eastAsia="宋体" w:cs="宋体"/>
        </w:rPr>
        <w:t>最长为1年，逾期作废。《暂住证》有效期满后仍需暂住本市的外地来京人员，应当在期满前10日内到暂住地公安派出所重新办理《</w:t>
      </w:r>
      <w:r>
        <w:rPr>
          <w:rFonts w:hint="eastAsia"/>
        </w:rPr>
        <w:t>暂住证》。</w:t>
      </w:r>
    </w:p>
    <w:p w14:paraId="1096B5DD">
      <w:pPr>
        <w:ind w:firstLine="422"/>
      </w:pPr>
      <w:r>
        <w:rPr>
          <w:rFonts w:hint="eastAsia"/>
          <w:b/>
        </w:rPr>
        <w:t>第十二条</w:t>
      </w:r>
      <w:r>
        <w:rPr>
          <w:rFonts w:hint="eastAsia"/>
        </w:rPr>
        <w:t xml:space="preserve">  外地来京人员在《暂住证》有效期内变更暂住地址的，应当持《暂住证》到原发证机关办理迁出登记，并向新暂住地的公安派出所办理迁入登记。</w:t>
      </w:r>
    </w:p>
    <w:p w14:paraId="215F10F1">
      <w:pPr>
        <w:ind w:firstLine="422"/>
      </w:pPr>
      <w:r>
        <w:rPr>
          <w:rFonts w:hint="eastAsia"/>
          <w:b/>
        </w:rPr>
        <w:t>第十三条</w:t>
      </w:r>
      <w:r>
        <w:rPr>
          <w:rFonts w:hint="eastAsia"/>
        </w:rPr>
        <w:t xml:space="preserve">  外地来京人员离开本市，应当向暂住地的公安派出所办理注销登记；已领取《暂住证》的，应当将《暂住证》交回公安派出所。</w:t>
      </w:r>
    </w:p>
    <w:p w14:paraId="4CF08A37">
      <w:pPr>
        <w:ind w:firstLine="422"/>
      </w:pPr>
      <w:r>
        <w:rPr>
          <w:rFonts w:hint="eastAsia"/>
          <w:b/>
        </w:rPr>
        <w:t>第十四条</w:t>
      </w:r>
      <w:r>
        <w:rPr>
          <w:rFonts w:hint="eastAsia"/>
        </w:rPr>
        <w:t xml:space="preserve">  外地来京人员遗失《暂住证》的，应当及时向暂住地公安机关报告，按照规定重新补办。</w:t>
      </w:r>
    </w:p>
    <w:p w14:paraId="2681C4CF">
      <w:pPr>
        <w:ind w:firstLine="422"/>
      </w:pPr>
      <w:r>
        <w:rPr>
          <w:rFonts w:hint="eastAsia"/>
          <w:b/>
        </w:rPr>
        <w:t>第十五条</w:t>
      </w:r>
      <w:r>
        <w:rPr>
          <w:rFonts w:hint="eastAsia"/>
        </w:rPr>
        <w:t xml:space="preserve">  《暂住证》由外地来京人员随身携带，以备查验。</w:t>
      </w:r>
    </w:p>
    <w:p w14:paraId="1CE00522">
      <w:pPr>
        <w:ind w:firstLine="422"/>
      </w:pPr>
      <w:r>
        <w:rPr>
          <w:rFonts w:hint="eastAsia"/>
          <w:b/>
        </w:rPr>
        <w:t>第十六条</w:t>
      </w:r>
      <w:r>
        <w:rPr>
          <w:rFonts w:hint="eastAsia"/>
        </w:rPr>
        <w:t xml:space="preserve">  外地来京人员办理暂住登记、申领《暂住证》或者办理《暂住证》变更登记，应当按照国家有关规定交纳工本费和手续费。</w:t>
      </w:r>
    </w:p>
    <w:p w14:paraId="5EF790DF">
      <w:pPr>
        <w:ind w:firstLine="422"/>
      </w:pPr>
      <w:r>
        <w:rPr>
          <w:rFonts w:hint="eastAsia"/>
          <w:b/>
        </w:rPr>
        <w:t>第十七条</w:t>
      </w:r>
      <w:r>
        <w:rPr>
          <w:rFonts w:hint="eastAsia"/>
        </w:rPr>
        <w:t xml:space="preserve">  雇用、留宿外地来京人员的单位和个人，必须与所在地公安机关签订《治安责任保证书》，承担以下治安责任：</w:t>
      </w:r>
    </w:p>
    <w:p w14:paraId="299BA697">
      <w:bookmarkStart w:id="1885" w:name="_Toc428780367"/>
      <w:r>
        <w:rPr>
          <w:rFonts w:hint="eastAsia"/>
        </w:rPr>
        <w:t>（一）对外地来京人员进行遵纪守法的宣传教育；</w:t>
      </w:r>
      <w:bookmarkEnd w:id="1885"/>
    </w:p>
    <w:p w14:paraId="71D2092B">
      <w:r>
        <w:rPr>
          <w:rFonts w:hint="eastAsia"/>
        </w:rPr>
        <w:t>（二）带领或者督促外地来京人员及时申报暂住登记、申领《暂住证》，离京时注销暂住户口；</w:t>
      </w:r>
    </w:p>
    <w:p w14:paraId="236566FC">
      <w:bookmarkStart w:id="1886" w:name="_Toc428780368"/>
      <w:r>
        <w:rPr>
          <w:rFonts w:hint="eastAsia"/>
        </w:rPr>
        <w:t>（三）不得留宿逾期未申报暂住登记、未申领《暂住证》的人员；</w:t>
      </w:r>
      <w:bookmarkEnd w:id="1886"/>
    </w:p>
    <w:p w14:paraId="001BEB6C">
      <w:r>
        <w:rPr>
          <w:rFonts w:hint="eastAsia"/>
        </w:rPr>
        <w:t>（四）不得雇用无《暂住证》的人员；</w:t>
      </w:r>
    </w:p>
    <w:p w14:paraId="662A4E1E">
      <w:bookmarkStart w:id="1887" w:name="_Toc428780369"/>
      <w:r>
        <w:rPr>
          <w:rFonts w:hint="eastAsia"/>
        </w:rPr>
        <w:t>（五）按规定向公安派出所报告外地来京人员变动情况；</w:t>
      </w:r>
      <w:bookmarkEnd w:id="1887"/>
    </w:p>
    <w:p w14:paraId="674D41BC">
      <w:r>
        <w:rPr>
          <w:rFonts w:hint="eastAsia"/>
        </w:rPr>
        <w:t>（六）发现外地来京人员有违法犯罪活动的，应当及时制止，并报告公安机关。</w:t>
      </w:r>
    </w:p>
    <w:p w14:paraId="40B73D2F">
      <w:pPr>
        <w:ind w:firstLine="422"/>
      </w:pPr>
      <w:r>
        <w:rPr>
          <w:rFonts w:hint="eastAsia"/>
          <w:b/>
        </w:rPr>
        <w:t>第十八条</w:t>
      </w:r>
      <w:r>
        <w:rPr>
          <w:rFonts w:hint="eastAsia"/>
        </w:rPr>
        <w:t xml:space="preserve">  对违反本规定的，由公安机关按照下列规定予以处罚：</w:t>
      </w:r>
    </w:p>
    <w:p w14:paraId="0E576BD1">
      <w:pPr>
        <w:rPr>
          <w:rFonts w:hint="eastAsia" w:ascii="宋体" w:hAnsi="宋体" w:eastAsia="宋体" w:cs="宋体"/>
        </w:rPr>
      </w:pPr>
      <w:r>
        <w:rPr>
          <w:rFonts w:hint="eastAsia"/>
        </w:rPr>
        <w:t>（一）逾期不办理《暂住证》或者暂住期满未按规定办理延期手续的，责令补办，并处</w:t>
      </w:r>
      <w:r>
        <w:rPr>
          <w:rFonts w:hint="eastAsia" w:ascii="宋体" w:hAnsi="宋体" w:eastAsia="宋体" w:cs="宋体"/>
        </w:rPr>
        <w:t>以50元以下罚款；情节严重的，责令限期离京；</w:t>
      </w:r>
    </w:p>
    <w:p w14:paraId="5FAFC4B6">
      <w:pPr>
        <w:rPr>
          <w:rFonts w:hint="eastAsia" w:ascii="宋体" w:hAnsi="宋体" w:eastAsia="宋体" w:cs="宋体"/>
        </w:rPr>
      </w:pPr>
      <w:r>
        <w:rPr>
          <w:rFonts w:hint="eastAsia" w:ascii="宋体" w:hAnsi="宋体" w:eastAsia="宋体" w:cs="宋体"/>
        </w:rPr>
        <w:t>（二）涂改、转借、冒用《暂住证》的，处以50元以下罚款或者警告；伪造、变造或者买卖《暂住证》的，处以200元以上500元以下罚款，有违法所得的予以没收，并视情节轻重吊销《暂住证》；</w:t>
      </w:r>
    </w:p>
    <w:p w14:paraId="6876B9C9">
      <w:pPr>
        <w:rPr>
          <w:rFonts w:hint="eastAsia" w:ascii="宋体" w:hAnsi="宋体" w:eastAsia="宋体" w:cs="宋体"/>
        </w:rPr>
      </w:pPr>
      <w:r>
        <w:rPr>
          <w:rFonts w:hint="eastAsia" w:ascii="宋体" w:hAnsi="宋体" w:eastAsia="宋体" w:cs="宋体"/>
        </w:rPr>
        <w:t>（三）单位或者个人容留无《暂住证》的外地来京务工经商人员居住的，责令改正，并按每留住一人处以100元以下罚款；为其提供经营场所的，责令改正，并按每容留一人处以200元以上1000元以下罚款；</w:t>
      </w:r>
    </w:p>
    <w:p w14:paraId="3E329691">
      <w:pPr>
        <w:rPr>
          <w:rFonts w:hint="eastAsia" w:ascii="宋体" w:hAnsi="宋体" w:eastAsia="宋体" w:cs="宋体"/>
        </w:rPr>
      </w:pPr>
      <w:r>
        <w:rPr>
          <w:rFonts w:hint="eastAsia" w:ascii="宋体" w:hAnsi="宋体" w:eastAsia="宋体" w:cs="宋体"/>
        </w:rPr>
        <w:t>（四）对不履行治安责任保证书规定的治安责任的，处以警告，并可处以月租金10倍以下罚款；情节严重的，吊销其《房屋租赁安全合格证》；</w:t>
      </w:r>
    </w:p>
    <w:p w14:paraId="00F8BD5C">
      <w:r>
        <w:rPr>
          <w:rFonts w:hint="eastAsia" w:ascii="宋体" w:hAnsi="宋体" w:eastAsia="宋体" w:cs="宋体"/>
        </w:rPr>
        <w:t>（五）外地来京人员拒绝、阻碍公安人员执行职务的，依照《中华人</w:t>
      </w:r>
      <w:r>
        <w:rPr>
          <w:rFonts w:hint="eastAsia"/>
        </w:rPr>
        <w:t>民共和国治安管理处罚条例》处罚。</w:t>
      </w:r>
    </w:p>
    <w:p w14:paraId="352FAD62">
      <w:pPr>
        <w:ind w:firstLine="422"/>
      </w:pPr>
      <w:r>
        <w:rPr>
          <w:rFonts w:hint="eastAsia"/>
          <w:b/>
        </w:rPr>
        <w:t>第十九条</w:t>
      </w:r>
      <w:r>
        <w:rPr>
          <w:rFonts w:hint="eastAsia"/>
        </w:rPr>
        <w:t xml:space="preserve">  港、澳、台同胞和华侨来京暂住的户籍管理，按照国家有关规定执行。</w:t>
      </w:r>
    </w:p>
    <w:p w14:paraId="4DCF8F0E">
      <w:pPr>
        <w:ind w:firstLine="422"/>
      </w:pPr>
      <w:r>
        <w:rPr>
          <w:rFonts w:hint="eastAsia"/>
          <w:b/>
        </w:rPr>
        <w:t>第二十条</w:t>
      </w:r>
      <w:r>
        <w:rPr>
          <w:rFonts w:hint="eastAsia"/>
        </w:rPr>
        <w:t xml:space="preserve">  本规定执行中的具体问题，由市公安局负责解释。</w:t>
      </w:r>
    </w:p>
    <w:p w14:paraId="1E011A21">
      <w:pPr>
        <w:ind w:firstLine="422"/>
        <w:rPr>
          <w:rFonts w:hint="eastAsia" w:ascii="宋体" w:hAnsi="宋体" w:eastAsia="宋体" w:cs="宋体"/>
        </w:rPr>
      </w:pPr>
      <w:r>
        <w:rPr>
          <w:rFonts w:hint="eastAsia"/>
          <w:b/>
        </w:rPr>
        <w:t xml:space="preserve">第二十一条  </w:t>
      </w:r>
      <w:r>
        <w:rPr>
          <w:rFonts w:hint="eastAsia"/>
        </w:rPr>
        <w:t>本规定</w:t>
      </w:r>
      <w:r>
        <w:rPr>
          <w:rFonts w:hint="eastAsia" w:ascii="宋体" w:hAnsi="宋体" w:eastAsia="宋体" w:cs="宋体"/>
        </w:rPr>
        <w:t>自1995年7月15日起施行。1985年11月26日市人民政府发布的《北京市人民政府关于暂住人口户口管理的规定》和《市公安局实施〈北京市人民政府关于暂住人口户口管理的规定〉的细则》同时废止。</w:t>
      </w:r>
    </w:p>
    <w:p w14:paraId="2C038F8E"/>
    <w:p w14:paraId="307558D5">
      <w:pPr>
        <w:pStyle w:val="4"/>
        <w:pageBreakBefore/>
      </w:pPr>
      <w:bookmarkStart w:id="1888" w:name="_Toc428781762"/>
      <w:bookmarkStart w:id="1889" w:name="_Toc426467014"/>
      <w:bookmarkStart w:id="1890" w:name="_Toc428780370"/>
      <w:r>
        <w:rPr>
          <w:rFonts w:hint="eastAsia"/>
        </w:rPr>
        <w:t>北京市城镇居民住宅防火安全管理规定</w:t>
      </w:r>
      <w:bookmarkEnd w:id="1888"/>
      <w:bookmarkEnd w:id="1889"/>
      <w:bookmarkEnd w:id="1890"/>
    </w:p>
    <w:p w14:paraId="3C183AB1">
      <w:pPr>
        <w:ind w:left="630" w:leftChars="300" w:right="630" w:rightChars="300"/>
        <w:jc w:val="center"/>
        <w:rPr>
          <w:rFonts w:ascii="楷体" w:hAnsi="楷体" w:eastAsia="楷体"/>
        </w:rPr>
      </w:pPr>
      <w:r>
        <w:rPr>
          <w:rFonts w:hint="eastAsia" w:ascii="楷体" w:hAnsi="楷体" w:eastAsia="楷体"/>
        </w:rPr>
        <w:t>（1995年11月16日北京市人民政府第30号令发布）</w:t>
      </w:r>
    </w:p>
    <w:p w14:paraId="637895A8"/>
    <w:p w14:paraId="48BD9670">
      <w:pPr>
        <w:ind w:firstLine="422"/>
      </w:pPr>
      <w:r>
        <w:rPr>
          <w:rFonts w:hint="eastAsia"/>
          <w:b/>
        </w:rPr>
        <w:t>第一条</w:t>
      </w:r>
      <w:r>
        <w:rPr>
          <w:rFonts w:hint="eastAsia"/>
        </w:rPr>
        <w:t xml:space="preserve">  为加强本市城镇居民住宅的防火安全管理，预防和减少火灾，保护公共财产和公民生命财产的安全，根据国家有关法律、法规，结合本市实际情况，制定本规定。</w:t>
      </w:r>
    </w:p>
    <w:p w14:paraId="69C8553E">
      <w:pPr>
        <w:ind w:firstLine="422"/>
      </w:pPr>
      <w:r>
        <w:rPr>
          <w:rFonts w:hint="eastAsia"/>
          <w:b/>
        </w:rPr>
        <w:t>第二条</w:t>
      </w:r>
      <w:r>
        <w:rPr>
          <w:rFonts w:hint="eastAsia"/>
        </w:rPr>
        <w:t xml:space="preserve">  本规定适用于本市行政区域内城镇居民住宅的防火安全管理。</w:t>
      </w:r>
    </w:p>
    <w:p w14:paraId="0F9D0D26">
      <w:pPr>
        <w:ind w:firstLine="422"/>
      </w:pPr>
      <w:r>
        <w:rPr>
          <w:rFonts w:hint="eastAsia"/>
          <w:b/>
        </w:rPr>
        <w:t>第三条</w:t>
      </w:r>
      <w:r>
        <w:rPr>
          <w:rFonts w:hint="eastAsia"/>
        </w:rPr>
        <w:t xml:space="preserve">  市消防局是本市城镇居民住宅防火安全监督管理的主管机关，各区、县公安消防监督机关和公安派出所按照各自的职责权限，具体负责城镇居民住宅防火安全的监督管理工作。</w:t>
      </w:r>
    </w:p>
    <w:p w14:paraId="21591D5D">
      <w:r>
        <w:rPr>
          <w:rFonts w:hint="eastAsia"/>
        </w:rPr>
        <w:t>各级人民政府的防火安全委员会负责组织、协调本辖区内的城镇居民住宅防火安全工作。</w:t>
      </w:r>
    </w:p>
    <w:p w14:paraId="4928C6D6">
      <w:pPr>
        <w:ind w:firstLine="422"/>
      </w:pPr>
      <w:r>
        <w:rPr>
          <w:rFonts w:hint="eastAsia"/>
          <w:b/>
        </w:rPr>
        <w:t>第四条</w:t>
      </w:r>
      <w:r>
        <w:rPr>
          <w:rFonts w:hint="eastAsia"/>
        </w:rPr>
        <w:t xml:space="preserve">  城镇居民住宅的防火安全责任由城镇居民住宅的产权人负责；产权人委托管理单位管理的，由管理单位负责。</w:t>
      </w:r>
    </w:p>
    <w:p w14:paraId="1D498BD7">
      <w:r>
        <w:rPr>
          <w:rFonts w:hint="eastAsia"/>
        </w:rPr>
        <w:t>城镇居民住宅的使用人应当遵守消防法律、法规、规章，服从城镇居民住宅的产权人或者管理单位（以下统称房管单位）的管理，做好防火安全工作。</w:t>
      </w:r>
    </w:p>
    <w:p w14:paraId="7775E341">
      <w:pPr>
        <w:ind w:firstLine="422"/>
      </w:pPr>
      <w:r>
        <w:rPr>
          <w:rFonts w:hint="eastAsia"/>
          <w:b/>
        </w:rPr>
        <w:t>第五条</w:t>
      </w:r>
      <w:r>
        <w:rPr>
          <w:rFonts w:hint="eastAsia"/>
        </w:rPr>
        <w:t xml:space="preserve">  居民委员会（含家属委员会，下同）在街道办事处或者乡、镇人民政府的指导下，协助房管单位，组织居民做好防火安全工作。</w:t>
      </w:r>
    </w:p>
    <w:p w14:paraId="280FDC66">
      <w:pPr>
        <w:ind w:firstLine="422"/>
      </w:pPr>
      <w:r>
        <w:rPr>
          <w:rFonts w:hint="eastAsia"/>
          <w:b/>
        </w:rPr>
        <w:t>第六条</w:t>
      </w:r>
      <w:r>
        <w:rPr>
          <w:rFonts w:hint="eastAsia"/>
        </w:rPr>
        <w:t xml:space="preserve">  房管单位在对所属城镇居民住宅的管理工作中，应当遵守下列规定：</w:t>
      </w:r>
    </w:p>
    <w:p w14:paraId="11293A4B">
      <w:r>
        <w:rPr>
          <w:rFonts w:hint="eastAsia"/>
        </w:rPr>
        <w:t>（一）贯彻执行消防法律、法规、规章，根据本规定制定居民防火安全制度，确定专人负责防火安全工作；</w:t>
      </w:r>
    </w:p>
    <w:p w14:paraId="23A3DCF2">
      <w:r>
        <w:rPr>
          <w:rFonts w:hint="eastAsia"/>
        </w:rPr>
        <w:t>（二）开展义务消防活动，定期进行灭火演习；</w:t>
      </w:r>
    </w:p>
    <w:p w14:paraId="4CEC84BD">
      <w:r>
        <w:rPr>
          <w:rFonts w:hint="eastAsia"/>
        </w:rPr>
        <w:t>（三）做好经常性和重大节假日的防火安全检查；</w:t>
      </w:r>
    </w:p>
    <w:p w14:paraId="77894414">
      <w:r>
        <w:rPr>
          <w:rFonts w:hint="eastAsia"/>
        </w:rPr>
        <w:t>（四）发现火险隐患及时解决，并向当地公安消防监督机关或者公安派出所报告；</w:t>
      </w:r>
    </w:p>
    <w:p w14:paraId="17F92575">
      <w:bookmarkStart w:id="1891" w:name="_Toc428780371"/>
      <w:r>
        <w:rPr>
          <w:rFonts w:hint="eastAsia"/>
        </w:rPr>
        <w:t>（五）保证公共通道、楼梯、防火间距和安全出口符合消防要求；</w:t>
      </w:r>
      <w:bookmarkEnd w:id="1891"/>
    </w:p>
    <w:p w14:paraId="0467E159">
      <w:r>
        <w:rPr>
          <w:rFonts w:hint="eastAsia"/>
        </w:rPr>
        <w:t>（六）负责维护管理消防设施、设备和器材，确保其完好有效。在重点部位配备专用灭火器材。</w:t>
      </w:r>
    </w:p>
    <w:p w14:paraId="681420CE">
      <w:pPr>
        <w:ind w:firstLine="422"/>
      </w:pPr>
      <w:r>
        <w:rPr>
          <w:rFonts w:hint="eastAsia"/>
          <w:b/>
        </w:rPr>
        <w:t>第七条</w:t>
      </w:r>
      <w:r>
        <w:rPr>
          <w:rFonts w:hint="eastAsia"/>
        </w:rPr>
        <w:t xml:space="preserve">  房管单位负责高层住宅楼高压水泵、消防系统的日常维修管理，定期进行检查，做好维修检查记录；至少每半年对消防供水系统及消火栓箱做一次带水试运行。</w:t>
      </w:r>
    </w:p>
    <w:p w14:paraId="01863799">
      <w:r>
        <w:rPr>
          <w:rFonts w:hint="eastAsia"/>
        </w:rPr>
        <w:t>应当在电梯机房、轿厢和值班室配备专用灭火器材。</w:t>
      </w:r>
    </w:p>
    <w:p w14:paraId="7C454335">
      <w:pPr>
        <w:ind w:firstLine="422"/>
      </w:pPr>
      <w:r>
        <w:rPr>
          <w:rFonts w:hint="eastAsia"/>
          <w:b/>
        </w:rPr>
        <w:t>第八条</w:t>
      </w:r>
      <w:r>
        <w:rPr>
          <w:rFonts w:hint="eastAsia"/>
        </w:rPr>
        <w:t xml:space="preserve">  不得在城镇居民住宅楼的地下室储存、使用易燃易爆物品；从事经营活动的不得动用明火。</w:t>
      </w:r>
    </w:p>
    <w:p w14:paraId="4E727D6D">
      <w:pPr>
        <w:ind w:firstLine="422"/>
      </w:pPr>
      <w:r>
        <w:rPr>
          <w:rFonts w:hint="eastAsia"/>
          <w:b/>
        </w:rPr>
        <w:t>第九条</w:t>
      </w:r>
      <w:r>
        <w:rPr>
          <w:rFonts w:hint="eastAsia"/>
        </w:rPr>
        <w:t xml:space="preserve">  凡改变城镇居民住宅原设计使用性质的，必须符合相应的消防法规和消防技术规范要求，采取防火安全措施。</w:t>
      </w:r>
    </w:p>
    <w:p w14:paraId="66E0AC1F">
      <w:pPr>
        <w:ind w:firstLine="422"/>
      </w:pPr>
      <w:r>
        <w:rPr>
          <w:rFonts w:hint="eastAsia"/>
          <w:b/>
        </w:rPr>
        <w:t>第十条</w:t>
      </w:r>
      <w:r>
        <w:rPr>
          <w:rFonts w:hint="eastAsia"/>
        </w:rPr>
        <w:t xml:space="preserve">  城镇居民住宅的使用人，必须遵守下列规定：</w:t>
      </w:r>
    </w:p>
    <w:p w14:paraId="53421894">
      <w:bookmarkStart w:id="1892" w:name="_Toc428780372"/>
      <w:r>
        <w:rPr>
          <w:rFonts w:hint="eastAsia"/>
        </w:rPr>
        <w:t>（一）不得将未熄灭的烟头等带有火种的物品扔倒在垃圾道内；</w:t>
      </w:r>
      <w:bookmarkEnd w:id="1892"/>
    </w:p>
    <w:p w14:paraId="7C0383AA">
      <w:r>
        <w:rPr>
          <w:rFonts w:hint="eastAsia"/>
        </w:rPr>
        <w:t>（二）安装、使用电器设备，必须符合有关技术规范，并采取必要的防火安全措施；</w:t>
      </w:r>
    </w:p>
    <w:p w14:paraId="5A1EDD9F">
      <w:r>
        <w:rPr>
          <w:rFonts w:hint="eastAsia"/>
        </w:rPr>
        <w:t>（三）不得埋压、圈占、损毁消防设施、设备和器材，不得将消防设施、设备和器材挪作他用；</w:t>
      </w:r>
    </w:p>
    <w:p w14:paraId="3B5A99D4">
      <w:r>
        <w:rPr>
          <w:rFonts w:hint="eastAsia"/>
        </w:rPr>
        <w:t>（四）不得在公共通道、楼梯、安全出口等处堆物、堆料或者搭设棚屋；</w:t>
      </w:r>
    </w:p>
    <w:p w14:paraId="0B348C78">
      <w:r>
        <w:rPr>
          <w:rFonts w:hint="eastAsia"/>
        </w:rPr>
        <w:t>（五）不得在阳台上堆放易燃易爆物品。</w:t>
      </w:r>
    </w:p>
    <w:p w14:paraId="5A8CC243">
      <w:pPr>
        <w:ind w:firstLine="422"/>
        <w:rPr>
          <w:rFonts w:hint="eastAsia" w:ascii="宋体" w:hAnsi="宋体" w:eastAsia="宋体" w:cs="宋体"/>
        </w:rPr>
      </w:pPr>
      <w:r>
        <w:rPr>
          <w:rFonts w:hint="eastAsia"/>
          <w:b/>
        </w:rPr>
        <w:t>第十一条</w:t>
      </w:r>
      <w:r>
        <w:rPr>
          <w:rFonts w:hint="eastAsia"/>
        </w:rPr>
        <w:t xml:space="preserve">  房管单位违反本规定的，由公安消防监督机关根据情节轻重，给予警告，责令改正，并按照下列规定处以罚</w:t>
      </w:r>
      <w:r>
        <w:rPr>
          <w:rFonts w:hint="eastAsia" w:ascii="宋体" w:hAnsi="宋体" w:eastAsia="宋体" w:cs="宋体"/>
        </w:rPr>
        <w:t>款：</w:t>
      </w:r>
    </w:p>
    <w:p w14:paraId="72B2840D">
      <w:pPr>
        <w:rPr>
          <w:rFonts w:hint="eastAsia" w:ascii="宋体" w:hAnsi="宋体" w:eastAsia="宋体" w:cs="宋体"/>
        </w:rPr>
      </w:pPr>
      <w:r>
        <w:rPr>
          <w:rFonts w:hint="eastAsia" w:ascii="宋体" w:hAnsi="宋体" w:eastAsia="宋体" w:cs="宋体"/>
        </w:rPr>
        <w:t>（一）违反本规定第六条、第七条规定的，处200元以上2000元以下罚款；</w:t>
      </w:r>
    </w:p>
    <w:p w14:paraId="381D949C">
      <w:pPr>
        <w:rPr>
          <w:rFonts w:hint="eastAsia" w:ascii="宋体" w:hAnsi="宋体" w:eastAsia="宋体" w:cs="宋体"/>
        </w:rPr>
      </w:pPr>
      <w:r>
        <w:rPr>
          <w:rFonts w:hint="eastAsia" w:ascii="宋体" w:hAnsi="宋体" w:eastAsia="宋体" w:cs="宋体"/>
        </w:rPr>
        <w:t>（二）违反本规定第八条规定的，处500元以上5000元以下罚款。</w:t>
      </w:r>
    </w:p>
    <w:p w14:paraId="59C74CC8">
      <w:pPr>
        <w:rPr>
          <w:rFonts w:hint="eastAsia" w:ascii="宋体" w:hAnsi="宋体" w:eastAsia="宋体" w:cs="宋体"/>
        </w:rPr>
      </w:pPr>
      <w:r>
        <w:rPr>
          <w:rFonts w:hint="eastAsia" w:ascii="宋体" w:hAnsi="宋体" w:eastAsia="宋体" w:cs="宋体"/>
        </w:rPr>
        <w:t>房管单位违反本规定，除按上述规定处罚外，对房管单位的直接责任人或者主管负责人可以并处200元以下罚款。</w:t>
      </w:r>
    </w:p>
    <w:p w14:paraId="78045BD3">
      <w:pPr>
        <w:ind w:firstLine="422"/>
      </w:pPr>
      <w:r>
        <w:rPr>
          <w:rFonts w:hint="eastAsia"/>
          <w:b/>
        </w:rPr>
        <w:t>第十二条</w:t>
      </w:r>
      <w:r>
        <w:rPr>
          <w:rFonts w:hint="eastAsia"/>
        </w:rPr>
        <w:t xml:space="preserve">  城镇居民住宅的使用人违反本规定的，由公安消防监督机关根据情节轻重，给予警告，责令改正；逾期不改正的，可</w:t>
      </w:r>
      <w:r>
        <w:rPr>
          <w:rFonts w:hint="eastAsia" w:ascii="宋体" w:hAnsi="宋体" w:eastAsia="宋体" w:cs="宋体"/>
        </w:rPr>
        <w:t>处以50元以上200元以下</w:t>
      </w:r>
      <w:r>
        <w:rPr>
          <w:rFonts w:hint="eastAsia"/>
        </w:rPr>
        <w:t>罚款。</w:t>
      </w:r>
    </w:p>
    <w:p w14:paraId="63B017DF">
      <w:pPr>
        <w:ind w:firstLine="422"/>
      </w:pPr>
      <w:r>
        <w:rPr>
          <w:rFonts w:hint="eastAsia"/>
          <w:b/>
        </w:rPr>
        <w:t>第十三条</w:t>
      </w:r>
      <w:r>
        <w:rPr>
          <w:rFonts w:hint="eastAsia"/>
        </w:rPr>
        <w:t xml:space="preserve">  本规定执行中的具体问题，由市消防局负责解释。</w:t>
      </w:r>
    </w:p>
    <w:p w14:paraId="5D108FB2">
      <w:pPr>
        <w:ind w:firstLine="422"/>
        <w:rPr>
          <w:rFonts w:hint="eastAsia" w:ascii="宋体" w:hAnsi="宋体" w:eastAsia="宋体" w:cs="宋体"/>
        </w:rPr>
      </w:pPr>
      <w:r>
        <w:rPr>
          <w:rFonts w:hint="eastAsia"/>
          <w:b/>
        </w:rPr>
        <w:t xml:space="preserve">第十四条  </w:t>
      </w:r>
      <w:r>
        <w:rPr>
          <w:rFonts w:hint="eastAsia"/>
        </w:rPr>
        <w:t>本规定</w:t>
      </w:r>
      <w:r>
        <w:rPr>
          <w:rFonts w:hint="eastAsia" w:ascii="宋体" w:hAnsi="宋体" w:eastAsia="宋体" w:cs="宋体"/>
        </w:rPr>
        <w:t>自1995年12月1日起施行。</w:t>
      </w:r>
    </w:p>
    <w:p w14:paraId="057A3D53"/>
    <w:p w14:paraId="13E0F4D1">
      <w:pPr>
        <w:pStyle w:val="4"/>
        <w:pageBreakBefore/>
      </w:pPr>
      <w:bookmarkStart w:id="1893" w:name="_Toc428781763"/>
      <w:bookmarkStart w:id="1894" w:name="_Toc426467015"/>
      <w:bookmarkStart w:id="1895" w:name="_Toc428780373"/>
      <w:r>
        <w:rPr>
          <w:rFonts w:hint="eastAsia"/>
        </w:rPr>
        <w:t>北京市出租汽车治安管理规定</w:t>
      </w:r>
      <w:bookmarkEnd w:id="1893"/>
      <w:bookmarkEnd w:id="1894"/>
      <w:bookmarkEnd w:id="1895"/>
    </w:p>
    <w:p w14:paraId="39C79B1E">
      <w:pPr>
        <w:ind w:left="630" w:leftChars="300" w:right="630" w:rightChars="300"/>
        <w:rPr>
          <w:rFonts w:ascii="楷体" w:hAnsi="楷体" w:eastAsia="楷体"/>
        </w:rPr>
      </w:pPr>
      <w:r>
        <w:rPr>
          <w:rFonts w:hint="eastAsia" w:ascii="楷体" w:hAnsi="楷体" w:eastAsia="楷体"/>
        </w:rPr>
        <w:t>（1997年12月22日北京市人民政府第11号令公布  根据2004年6月1日北京市人民政府第150号令第一次修改  根据2010年11月27日北京市人民政府第226号令第二次修改）</w:t>
      </w:r>
    </w:p>
    <w:p w14:paraId="121E77F5">
      <w:pPr>
        <w:ind w:firstLine="0" w:firstLineChars="0"/>
      </w:pPr>
    </w:p>
    <w:p w14:paraId="0127EF32">
      <w:pPr>
        <w:ind w:firstLine="422"/>
      </w:pPr>
      <w:r>
        <w:rPr>
          <w:rFonts w:hint="eastAsia"/>
          <w:b/>
        </w:rPr>
        <w:t>第一条</w:t>
      </w:r>
      <w:r>
        <w:t xml:space="preserve">  为加强客运出租汽车的治安管理，维护社会秩序和公共安全，保障经营者、驾驶员和乘客的合法权益，根据法律、法规的有关规定，结合本市实际，制定本规定。</w:t>
      </w:r>
    </w:p>
    <w:p w14:paraId="4717F0C5">
      <w:pPr>
        <w:ind w:firstLine="422"/>
      </w:pPr>
      <w:r>
        <w:rPr>
          <w:rFonts w:hint="eastAsia"/>
          <w:b/>
        </w:rPr>
        <w:t>第二条</w:t>
      </w:r>
      <w:r>
        <w:t xml:space="preserve">  凡在本市行政区域内的客运出租汽车经营者（包括兼营）、从业人员和设立出租汽车营业站的单位，均须遵守本规定。</w:t>
      </w:r>
    </w:p>
    <w:p w14:paraId="6C7E25EC">
      <w:pPr>
        <w:ind w:firstLine="422"/>
      </w:pPr>
      <w:r>
        <w:rPr>
          <w:rFonts w:hint="eastAsia"/>
          <w:b/>
        </w:rPr>
        <w:t>第三条</w:t>
      </w:r>
      <w:r>
        <w:t xml:space="preserve">  市公安局（以下统称公安机关）负责本市出租汽车治安的管理工作。</w:t>
      </w:r>
    </w:p>
    <w:p w14:paraId="296B21A2">
      <w:pPr>
        <w:ind w:firstLine="422"/>
      </w:pPr>
      <w:r>
        <w:rPr>
          <w:rFonts w:hint="eastAsia"/>
          <w:b/>
        </w:rPr>
        <w:t>第四条</w:t>
      </w:r>
      <w:r>
        <w:t xml:space="preserve">  出租汽车经营者到公安机关办理治安登记，应当具备下列条件：</w:t>
      </w:r>
    </w:p>
    <w:p w14:paraId="3D5E2690">
      <w:r>
        <w:rPr>
          <w:rFonts w:hint="eastAsia"/>
        </w:rPr>
        <w:t>（一）持有经营许可证和营业执照；</w:t>
      </w:r>
    </w:p>
    <w:p w14:paraId="66520840">
      <w:r>
        <w:rPr>
          <w:rFonts w:hint="eastAsia"/>
        </w:rPr>
        <w:t>（二）运营的出租汽车按要求安装安全防范装置；</w:t>
      </w:r>
    </w:p>
    <w:p w14:paraId="3A34B340">
      <w:r>
        <w:rPr>
          <w:rFonts w:hint="eastAsia"/>
        </w:rPr>
        <w:t>（三）驾驶员须经公安机关治安防范培训。</w:t>
      </w:r>
    </w:p>
    <w:p w14:paraId="6977FD06">
      <w:pPr>
        <w:ind w:firstLine="422"/>
        <w:rPr>
          <w:rFonts w:hint="eastAsia" w:ascii="宋体" w:hAnsi="宋体" w:eastAsia="宋体" w:cs="宋体"/>
        </w:rPr>
      </w:pPr>
      <w:r>
        <w:rPr>
          <w:rFonts w:hint="eastAsia"/>
          <w:b/>
        </w:rPr>
        <w:t>第五条</w:t>
      </w:r>
      <w:r>
        <w:t xml:space="preserve">  治安登记符合条件的，</w:t>
      </w:r>
      <w:r>
        <w:rPr>
          <w:rFonts w:hint="eastAsia" w:ascii="宋体" w:hAnsi="宋体" w:eastAsia="宋体" w:cs="宋体"/>
        </w:rPr>
        <w:t>公安机关在接到申报之日起10个工作日内办理出租汽车经营者治安登记手续，发给相应的治安登记证明。</w:t>
      </w:r>
    </w:p>
    <w:p w14:paraId="2FA4651B">
      <w:pPr>
        <w:rPr>
          <w:rFonts w:hint="eastAsia" w:ascii="宋体" w:hAnsi="宋体" w:eastAsia="宋体" w:cs="宋体"/>
        </w:rPr>
      </w:pPr>
      <w:r>
        <w:rPr>
          <w:rFonts w:hint="eastAsia" w:ascii="宋体" w:hAnsi="宋体" w:eastAsia="宋体" w:cs="宋体"/>
        </w:rPr>
        <w:t>登记事项变更的，出租汽车经营者应当在变更之日起10个工作日内到公安机关办理变更登记手续。</w:t>
      </w:r>
    </w:p>
    <w:p w14:paraId="3813EF67">
      <w:pPr>
        <w:ind w:firstLine="422"/>
      </w:pPr>
      <w:r>
        <w:rPr>
          <w:rFonts w:hint="eastAsia"/>
          <w:b/>
        </w:rPr>
        <w:t>第六条</w:t>
      </w:r>
      <w:r>
        <w:t xml:space="preserve">  出租汽车经营者应当按照《北京市企业治安保卫责任制规定》，履行下列治安保卫责任：</w:t>
      </w:r>
    </w:p>
    <w:p w14:paraId="7222CD82">
      <w:r>
        <w:rPr>
          <w:rFonts w:hint="eastAsia"/>
        </w:rPr>
        <w:t>（一）建立健全本企业治安保卫工作规章制度，实行目标管理。企业负责人应当与公安机关签订《任期治安目标责任书》，并负责组织实施；</w:t>
      </w:r>
    </w:p>
    <w:p w14:paraId="77F9FB1F">
      <w:r>
        <w:rPr>
          <w:rFonts w:hint="eastAsia"/>
        </w:rPr>
        <w:t>（二）对出租汽车从业人员进行遵纪守法、治安防范等法制教育，并组织从业人员参加公安机关的定期培训；</w:t>
      </w:r>
    </w:p>
    <w:p w14:paraId="52CFD157">
      <w:r>
        <w:rPr>
          <w:rFonts w:hint="eastAsia"/>
        </w:rPr>
        <w:t>（三）发现违法犯罪线索，及时向公安机关报告，并积极协助公安机关查处案件；</w:t>
      </w:r>
    </w:p>
    <w:p w14:paraId="74F1EE13">
      <w:r>
        <w:rPr>
          <w:rFonts w:hint="eastAsia"/>
        </w:rPr>
        <w:t>（四）认真落实治安防范措施，组织治安安全检查，及时发现和消除治安隐患；</w:t>
      </w:r>
    </w:p>
    <w:p w14:paraId="53281441">
      <w:r>
        <w:rPr>
          <w:rFonts w:hint="eastAsia"/>
        </w:rPr>
        <w:t>（五）做好法律、法规和规章规定的其他治安保卫工作。</w:t>
      </w:r>
    </w:p>
    <w:p w14:paraId="4F6906D2">
      <w:pPr>
        <w:ind w:firstLine="422"/>
      </w:pPr>
      <w:r>
        <w:rPr>
          <w:rFonts w:hint="eastAsia"/>
          <w:b/>
        </w:rPr>
        <w:t>第七条</w:t>
      </w:r>
      <w:r>
        <w:t xml:space="preserve">  出租汽车驾驶员必须遵守下列规定：</w:t>
      </w:r>
    </w:p>
    <w:p w14:paraId="5D7577A8">
      <w:r>
        <w:rPr>
          <w:rFonts w:hint="eastAsia"/>
        </w:rPr>
        <w:t>（一）定期参加治安防范培训，遵纪守法；</w:t>
      </w:r>
    </w:p>
    <w:p w14:paraId="0B738E03">
      <w:r>
        <w:rPr>
          <w:rFonts w:hint="eastAsia"/>
        </w:rPr>
        <w:t>（二）服从公安机关的管理和监督检查；</w:t>
      </w:r>
    </w:p>
    <w:p w14:paraId="1BB0F797">
      <w:r>
        <w:rPr>
          <w:rFonts w:hint="eastAsia"/>
        </w:rPr>
        <w:t>（三）正确使用安全防范装置，严禁擅自拆除、改装；</w:t>
      </w:r>
    </w:p>
    <w:p w14:paraId="146A4BEA">
      <w:r>
        <w:rPr>
          <w:rFonts w:hint="eastAsia"/>
        </w:rPr>
        <w:t>（四）出本市或者夜间去远郊区县运营，必须到本企业、出租汽车营业站或者市公安局公共交通分局所属派出所进行登记；</w:t>
      </w:r>
    </w:p>
    <w:p w14:paraId="4F45B84C">
      <w:bookmarkStart w:id="1896" w:name="_Toc428780374"/>
      <w:r>
        <w:rPr>
          <w:rFonts w:hint="eastAsia"/>
        </w:rPr>
        <w:t>（五）发现违法犯罪活动或者违法犯罪嫌疑人，及时向公安机关报告；</w:t>
      </w:r>
      <w:bookmarkEnd w:id="1896"/>
    </w:p>
    <w:p w14:paraId="6604D29E">
      <w:r>
        <w:rPr>
          <w:rFonts w:hint="eastAsia"/>
        </w:rPr>
        <w:t>（六）不得利用出租汽车进行违法犯罪活动或者为违法犯罪活动提供便利；</w:t>
      </w:r>
    </w:p>
    <w:p w14:paraId="1B3CF775">
      <w:r>
        <w:rPr>
          <w:rFonts w:hint="eastAsia"/>
        </w:rPr>
        <w:t>（七）发现乘客遗留的财物应当及时归还失主或者送交有关部门处理，不得私自隐匿；</w:t>
      </w:r>
    </w:p>
    <w:p w14:paraId="1DAC22BF">
      <w:r>
        <w:rPr>
          <w:rFonts w:hint="eastAsia"/>
        </w:rPr>
        <w:t>（八）禁止运载违禁和易燃、易爆等物品。</w:t>
      </w:r>
    </w:p>
    <w:p w14:paraId="43A8DDA4">
      <w:pPr>
        <w:ind w:firstLine="422"/>
      </w:pPr>
      <w:r>
        <w:rPr>
          <w:rFonts w:hint="eastAsia"/>
          <w:b/>
        </w:rPr>
        <w:t>第八条</w:t>
      </w:r>
      <w:r>
        <w:t xml:space="preserve">  在机场、火车站、宾馆、饭店等处设立出租汽车营业站的单位，应当与公安机关密切配合，维护好出租汽车营业站的治安秩序。营业站对驾驶员出本市或者夜间去远郊区县运营要求登记的，应当做详细记录。发现违法犯罪嫌疑人或者对出租汽车驾驶员报告的可疑情况，应当及时报告公安机关。</w:t>
      </w:r>
    </w:p>
    <w:p w14:paraId="600866A9">
      <w:pPr>
        <w:ind w:firstLine="422"/>
      </w:pPr>
      <w:r>
        <w:rPr>
          <w:rFonts w:hint="eastAsia"/>
          <w:b/>
        </w:rPr>
        <w:t>第九条</w:t>
      </w:r>
      <w:r>
        <w:t xml:space="preserve">  出租汽车经营者违反本规定的，由公安机关按照下列规定处罚：</w:t>
      </w:r>
    </w:p>
    <w:p w14:paraId="4411047A">
      <w:pPr>
        <w:rPr>
          <w:rFonts w:hint="eastAsia" w:ascii="宋体" w:hAnsi="宋体" w:eastAsia="宋体" w:cs="宋体"/>
        </w:rPr>
      </w:pPr>
      <w:r>
        <w:rPr>
          <w:rFonts w:hint="eastAsia"/>
        </w:rPr>
        <w:t>（一）违反本规定</w:t>
      </w:r>
      <w:r>
        <w:rPr>
          <w:rFonts w:hint="eastAsia" w:ascii="宋体" w:hAnsi="宋体" w:eastAsia="宋体" w:cs="宋体"/>
        </w:rPr>
        <w:t>第五条第二款、第六条第（一）项规定的，予以警告，并责令限期改正；逾期不改正的，处200元以上1000元以下罚款。</w:t>
      </w:r>
    </w:p>
    <w:p w14:paraId="3AA45472">
      <w:pPr>
        <w:rPr>
          <w:rFonts w:hint="eastAsia" w:ascii="宋体" w:hAnsi="宋体" w:eastAsia="宋体" w:cs="宋体"/>
        </w:rPr>
      </w:pPr>
      <w:r>
        <w:rPr>
          <w:rFonts w:hint="eastAsia" w:ascii="宋体" w:hAnsi="宋体" w:eastAsia="宋体" w:cs="宋体"/>
        </w:rPr>
        <w:t>（二）违反本规定第六条第（二）、（三）、（四）项规定的，予以警告，并责令限期改正；逾期不改正的，处1000元以上3000元以下罚款。</w:t>
      </w:r>
    </w:p>
    <w:p w14:paraId="4EDF2D0E">
      <w:pPr>
        <w:rPr>
          <w:rFonts w:hint="eastAsia" w:ascii="宋体" w:hAnsi="宋体" w:eastAsia="宋体" w:cs="宋体"/>
        </w:rPr>
      </w:pPr>
      <w:r>
        <w:rPr>
          <w:rFonts w:hint="eastAsia" w:ascii="宋体" w:hAnsi="宋体" w:eastAsia="宋体" w:cs="宋体"/>
        </w:rPr>
        <w:t>（三）违反本规定第六条规定，治安保卫责任制不落实，以致发生重大刑事案件、治安灾害事故的，处3000元以上1万元以下罚款；情节严重的，责令停业整顿3天至7天。</w:t>
      </w:r>
    </w:p>
    <w:p w14:paraId="5FCE07F4">
      <w:pPr>
        <w:ind w:firstLine="422"/>
        <w:rPr>
          <w:rFonts w:hint="eastAsia" w:ascii="宋体" w:hAnsi="宋体" w:eastAsia="宋体" w:cs="宋体"/>
        </w:rPr>
      </w:pPr>
      <w:r>
        <w:rPr>
          <w:rFonts w:hint="eastAsia"/>
          <w:b/>
        </w:rPr>
        <w:t>第十条</w:t>
      </w:r>
      <w:r>
        <w:t xml:space="preserve">  出租汽车驾驶</w:t>
      </w:r>
      <w:r>
        <w:rPr>
          <w:rFonts w:hint="eastAsia" w:ascii="宋体" w:hAnsi="宋体" w:eastAsia="宋体" w:cs="宋体"/>
        </w:rPr>
        <w:t>员违反本规定第七条规定的，由公安机关予以警告，责令其参加公安机关组织的治安防范培训，可并处200元以下罚款。</w:t>
      </w:r>
    </w:p>
    <w:p w14:paraId="08D94B7E">
      <w:pPr>
        <w:rPr>
          <w:rFonts w:hint="eastAsia" w:ascii="宋体" w:hAnsi="宋体" w:eastAsia="宋体" w:cs="宋体"/>
        </w:rPr>
      </w:pPr>
      <w:r>
        <w:rPr>
          <w:rFonts w:hint="eastAsia" w:ascii="宋体" w:hAnsi="宋体" w:eastAsia="宋体" w:cs="宋体"/>
        </w:rPr>
        <w:t>违反本规定第七条规定，属于违反《中华人民共和国治安管理处罚条例》的，由公安机关依法予以处罚；构成犯罪的，依法追究刑事责任。</w:t>
      </w:r>
    </w:p>
    <w:p w14:paraId="30F74320">
      <w:pPr>
        <w:ind w:firstLine="422"/>
      </w:pPr>
      <w:r>
        <w:rPr>
          <w:rFonts w:hint="eastAsia"/>
          <w:b/>
        </w:rPr>
        <w:t>第十一条</w:t>
      </w:r>
      <w:r>
        <w:t xml:space="preserve">  出租汽车营业站违反本规定第八条规定的，由公安机关对设立出租汽车营业站的单位予以警告，责令限期改</w:t>
      </w:r>
      <w:r>
        <w:rPr>
          <w:rFonts w:hint="eastAsia" w:ascii="宋体" w:hAnsi="宋体" w:eastAsia="宋体" w:cs="宋体"/>
        </w:rPr>
        <w:t>正，可并处200元以上2000元以下罚款</w:t>
      </w:r>
      <w:r>
        <w:t>。</w:t>
      </w:r>
    </w:p>
    <w:p w14:paraId="14CCBA65">
      <w:pPr>
        <w:ind w:firstLine="422"/>
        <w:rPr>
          <w:rFonts w:hint="eastAsia" w:ascii="宋体" w:hAnsi="宋体" w:eastAsia="宋体" w:cs="宋体"/>
        </w:rPr>
      </w:pPr>
      <w:r>
        <w:rPr>
          <w:rFonts w:hint="eastAsia"/>
          <w:b/>
        </w:rPr>
        <w:t>第十二条</w:t>
      </w:r>
      <w:r>
        <w:t xml:space="preserve">  本规定自</w:t>
      </w:r>
      <w:r>
        <w:rPr>
          <w:rFonts w:hint="eastAsia" w:ascii="宋体" w:hAnsi="宋体" w:eastAsia="宋体" w:cs="宋体"/>
        </w:rPr>
        <w:t>1998年1月1日起施行。</w:t>
      </w:r>
    </w:p>
    <w:p w14:paraId="672C818F">
      <w:pPr>
        <w:rPr>
          <w:rFonts w:hint="eastAsia" w:ascii="宋体" w:hAnsi="宋体" w:eastAsia="宋体" w:cs="宋体"/>
        </w:rPr>
      </w:pPr>
      <w:r>
        <w:rPr>
          <w:rFonts w:hint="eastAsia" w:ascii="宋体" w:hAnsi="宋体" w:eastAsia="宋体" w:cs="宋体"/>
        </w:rPr>
        <w:t>1992年5月20日市人民政府批准市公安局发布的《北京市出租汽车治安管理若干规定》同时废止。</w:t>
      </w:r>
    </w:p>
    <w:p w14:paraId="5A339855"/>
    <w:p w14:paraId="1F298434">
      <w:pPr>
        <w:pStyle w:val="4"/>
        <w:pageBreakBefore/>
      </w:pPr>
      <w:bookmarkStart w:id="1897" w:name="_Toc428781764"/>
      <w:bookmarkStart w:id="1898" w:name="_Toc426467016"/>
      <w:bookmarkStart w:id="1899" w:name="_Toc428780375"/>
      <w:r>
        <w:rPr>
          <w:rFonts w:hint="eastAsia"/>
        </w:rPr>
        <w:t>北京市建设工程施工现场消防安全管理规定</w:t>
      </w:r>
      <w:bookmarkEnd w:id="1897"/>
      <w:bookmarkEnd w:id="1898"/>
      <w:bookmarkEnd w:id="1899"/>
    </w:p>
    <w:p w14:paraId="30B14170">
      <w:pPr>
        <w:ind w:left="630" w:leftChars="300" w:right="630" w:rightChars="300"/>
        <w:rPr>
          <w:rFonts w:ascii="楷体" w:hAnsi="楷体" w:eastAsia="楷体"/>
        </w:rPr>
      </w:pPr>
      <w:r>
        <w:rPr>
          <w:rFonts w:hint="eastAsia" w:ascii="楷体" w:hAnsi="楷体" w:eastAsia="楷体"/>
        </w:rPr>
        <w:t>（2001年8月14日北京市人民政府第37次常务会议通过  2001年8月29日北京市人民政府第84号令发布）</w:t>
      </w:r>
    </w:p>
    <w:p w14:paraId="28CA06AC"/>
    <w:p w14:paraId="5508E396">
      <w:pPr>
        <w:ind w:firstLine="422"/>
      </w:pPr>
      <w:r>
        <w:rPr>
          <w:rFonts w:hint="eastAsia"/>
          <w:b/>
        </w:rPr>
        <w:t>第一条</w:t>
      </w:r>
      <w:r>
        <w:rPr>
          <w:rFonts w:hint="eastAsia"/>
        </w:rPr>
        <w:t xml:space="preserve">  为加强建设工程施工现场消防管理，保障施工现场的消防安全，根据有关法律、法规，结合本市实际情况，制定本规定。</w:t>
      </w:r>
    </w:p>
    <w:p w14:paraId="517ABED0">
      <w:pPr>
        <w:ind w:firstLine="422"/>
      </w:pPr>
      <w:r>
        <w:rPr>
          <w:rFonts w:hint="eastAsia"/>
          <w:b/>
        </w:rPr>
        <w:t>第二条</w:t>
      </w:r>
      <w:r>
        <w:rPr>
          <w:rFonts w:hint="eastAsia"/>
        </w:rPr>
        <w:t xml:space="preserve">  本规定适用于本市行政区域内新建、改建、扩建以及装饰、装修和房屋修缮等建设工程施工现场（以下简称施工现场）的消防安全管理。</w:t>
      </w:r>
    </w:p>
    <w:p w14:paraId="5CE4489B">
      <w:pPr>
        <w:ind w:firstLine="422"/>
      </w:pPr>
      <w:r>
        <w:rPr>
          <w:rFonts w:hint="eastAsia"/>
          <w:b/>
        </w:rPr>
        <w:t>第三条</w:t>
      </w:r>
      <w:r>
        <w:rPr>
          <w:rFonts w:hint="eastAsia"/>
        </w:rPr>
        <w:t xml:space="preserve">  本市各级公安消防机构负责施工现场消防安全监督管理工作。</w:t>
      </w:r>
    </w:p>
    <w:p w14:paraId="069FC4FC">
      <w:r>
        <w:rPr>
          <w:rFonts w:hint="eastAsia"/>
        </w:rPr>
        <w:t>城市规划、建设、市政管理等部门应当按照各自的职责权限，对施工现场进行监督管理。</w:t>
      </w:r>
    </w:p>
    <w:p w14:paraId="4F24B976">
      <w:pPr>
        <w:ind w:firstLine="422"/>
      </w:pPr>
      <w:r>
        <w:rPr>
          <w:rFonts w:hint="eastAsia"/>
          <w:b/>
        </w:rPr>
        <w:t>第四条</w:t>
      </w:r>
      <w:r>
        <w:rPr>
          <w:rFonts w:hint="eastAsia"/>
        </w:rPr>
        <w:t xml:space="preserve">  施工现场的消防安全由施工单位负责。</w:t>
      </w:r>
    </w:p>
    <w:p w14:paraId="2D8D000E">
      <w:r>
        <w:rPr>
          <w:rFonts w:hint="eastAsia"/>
        </w:rPr>
        <w:t>建设工程施工实行总承包和分包的，由总承包单位对施工现场的消防安全实行统一管理，分包单位负责分包范围内施工现场的消防安全，并接受总承包单位的监督管理。</w:t>
      </w:r>
    </w:p>
    <w:p w14:paraId="7BDA919C">
      <w:pPr>
        <w:ind w:firstLine="422"/>
      </w:pPr>
      <w:r>
        <w:rPr>
          <w:rFonts w:hint="eastAsia"/>
          <w:b/>
        </w:rPr>
        <w:t>第五条</w:t>
      </w:r>
      <w:r>
        <w:rPr>
          <w:rFonts w:hint="eastAsia"/>
        </w:rPr>
        <w:t xml:space="preserve">  施工单位应当落实防火安全责任制，确定一名施工现场负责人，具体负责施工现场的防火工作，配备或者指定防火工作人员，负责日常防火安全管理工作。</w:t>
      </w:r>
    </w:p>
    <w:p w14:paraId="283B71AE">
      <w:pPr>
        <w:ind w:firstLine="422"/>
      </w:pPr>
      <w:r>
        <w:rPr>
          <w:rFonts w:hint="eastAsia"/>
          <w:b/>
        </w:rPr>
        <w:t>第六条</w:t>
      </w:r>
      <w:r>
        <w:rPr>
          <w:rFonts w:hint="eastAsia"/>
        </w:rPr>
        <w:t xml:space="preserve">  除铁路铺轨、桥涵施工、输电线路架设、地下管线铺设、较小规模的房屋修缮工程和乡村建设工程外，施工单位应当在建设工程开工前将施工组织设计、施工现场消防安全措施和保卫方案（以下简称施工组织设计和方案）报送公安消防机构。</w:t>
      </w:r>
    </w:p>
    <w:p w14:paraId="151CF904">
      <w:pPr>
        <w:ind w:firstLine="422"/>
      </w:pPr>
      <w:r>
        <w:rPr>
          <w:rFonts w:hint="eastAsia"/>
          <w:b/>
        </w:rPr>
        <w:t>第七条</w:t>
      </w:r>
      <w:r>
        <w:rPr>
          <w:rFonts w:hint="eastAsia"/>
        </w:rPr>
        <w:t xml:space="preserve">  下列建设工程的施工组织设计和方案，由施工单位报送市级公安消防机构：</w:t>
      </w:r>
    </w:p>
    <w:p w14:paraId="2ECF542B">
      <w:bookmarkStart w:id="1900" w:name="_Toc428780376"/>
      <w:r>
        <w:rPr>
          <w:rFonts w:hint="eastAsia"/>
        </w:rPr>
        <w:t>（一）国家重点工程；</w:t>
      </w:r>
      <w:bookmarkEnd w:id="1900"/>
    </w:p>
    <w:p w14:paraId="633F4531">
      <w:pPr>
        <w:rPr>
          <w:rFonts w:hint="eastAsia" w:ascii="宋体" w:hAnsi="宋体" w:eastAsia="宋体" w:cs="宋体"/>
        </w:rPr>
      </w:pPr>
      <w:r>
        <w:rPr>
          <w:rFonts w:hint="eastAsia"/>
        </w:rPr>
        <w:t>（二）建筑面积</w:t>
      </w:r>
      <w:r>
        <w:rPr>
          <w:rFonts w:hint="eastAsia" w:ascii="宋体" w:hAnsi="宋体" w:eastAsia="宋体" w:cs="宋体"/>
        </w:rPr>
        <w:t>在2万平方米以上的公共建筑工程；</w:t>
      </w:r>
    </w:p>
    <w:p w14:paraId="3BCF44D1">
      <w:pPr>
        <w:rPr>
          <w:rFonts w:hint="eastAsia" w:ascii="宋体" w:hAnsi="宋体" w:eastAsia="宋体" w:cs="宋体"/>
        </w:rPr>
      </w:pPr>
      <w:bookmarkStart w:id="1901" w:name="_Toc428780377"/>
      <w:r>
        <w:rPr>
          <w:rFonts w:hint="eastAsia" w:ascii="宋体" w:hAnsi="宋体" w:eastAsia="宋体" w:cs="宋体"/>
        </w:rPr>
        <w:t>（三）建筑总面积10万平方米以上的居民住宅工程；</w:t>
      </w:r>
      <w:bookmarkEnd w:id="1901"/>
    </w:p>
    <w:p w14:paraId="513F9C8E">
      <w:r>
        <w:rPr>
          <w:rFonts w:hint="eastAsia" w:ascii="宋体" w:hAnsi="宋体" w:eastAsia="宋体" w:cs="宋体"/>
        </w:rPr>
        <w:t>（四）基建投资1亿元人民币以上的工业建</w:t>
      </w:r>
      <w:r>
        <w:rPr>
          <w:rFonts w:hint="eastAsia"/>
        </w:rPr>
        <w:t>设项目。</w:t>
      </w:r>
    </w:p>
    <w:p w14:paraId="5FF1D464">
      <w:r>
        <w:rPr>
          <w:rFonts w:hint="eastAsia"/>
        </w:rPr>
        <w:t>上述范围以外和市级公安消防机构指定监督管理的建设工程的施工组织设计和方案，由施工单位报送建设工程所在地的区、县级公安消防机构。</w:t>
      </w:r>
    </w:p>
    <w:p w14:paraId="26197EAF">
      <w:pPr>
        <w:ind w:firstLine="422"/>
      </w:pPr>
      <w:r>
        <w:rPr>
          <w:rFonts w:hint="eastAsia"/>
          <w:b/>
        </w:rPr>
        <w:t>第八条</w:t>
      </w:r>
      <w:r>
        <w:rPr>
          <w:rFonts w:hint="eastAsia"/>
        </w:rPr>
        <w:t xml:space="preserve">  公安消防机构应当及时对施工单位报送的施工组织设计和方案进行审查，并在收到施工组织设计和方案</w:t>
      </w:r>
      <w:r>
        <w:rPr>
          <w:rFonts w:hint="eastAsia" w:ascii="宋体" w:hAnsi="宋体" w:eastAsia="宋体" w:cs="宋体"/>
        </w:rPr>
        <w:t>之日起7个工作日内作出答</w:t>
      </w:r>
      <w:r>
        <w:rPr>
          <w:rFonts w:hint="eastAsia"/>
        </w:rPr>
        <w:t>复；发现存在问题的，应当明确告知，并提出整改要求。</w:t>
      </w:r>
    </w:p>
    <w:p w14:paraId="258A13DE">
      <w:pPr>
        <w:ind w:firstLine="422"/>
      </w:pPr>
      <w:r>
        <w:rPr>
          <w:rFonts w:hint="eastAsia"/>
          <w:b/>
        </w:rPr>
        <w:t>第九条</w:t>
      </w:r>
      <w:r>
        <w:rPr>
          <w:rFonts w:hint="eastAsia"/>
        </w:rPr>
        <w:t xml:space="preserve">  施工暂设和施工现场使用的安全网、围网和保温材料应当符合消防安全规范，不得使用易燃或者可燃材料。</w:t>
      </w:r>
    </w:p>
    <w:p w14:paraId="1FECFD80">
      <w:pPr>
        <w:ind w:firstLine="422"/>
      </w:pPr>
      <w:r>
        <w:rPr>
          <w:rFonts w:hint="eastAsia"/>
          <w:b/>
        </w:rPr>
        <w:t>第十条</w:t>
      </w:r>
      <w:r>
        <w:rPr>
          <w:rFonts w:hint="eastAsia"/>
        </w:rPr>
        <w:t xml:space="preserve">  施工单位应当按照仓库防火安全管理规则存放、保管施工材料。</w:t>
      </w:r>
    </w:p>
    <w:p w14:paraId="569A19EF">
      <w:pPr>
        <w:ind w:firstLine="422"/>
      </w:pPr>
      <w:r>
        <w:rPr>
          <w:rFonts w:hint="eastAsia"/>
          <w:b/>
        </w:rPr>
        <w:t>第十一条</w:t>
      </w:r>
      <w:r>
        <w:rPr>
          <w:rFonts w:hint="eastAsia"/>
        </w:rPr>
        <w:t xml:space="preserve">  建设工程内不准存放易燃易爆化学危险物品和易燃可燃材料。对易燃易爆化学危险物品和压缩可燃气体容器等，应当按其性质设置专用库房分类存放。</w:t>
      </w:r>
    </w:p>
    <w:p w14:paraId="60984374">
      <w:r>
        <w:rPr>
          <w:rFonts w:hint="eastAsia"/>
        </w:rPr>
        <w:t>施工中使用易燃易爆化学危险物品时，应当制订防火安全措施；不得在作业场所分装、调料；不得在建设工程内使用液化石油气；使用后的废弃易燃易爆化学危险物料应当及时清除。</w:t>
      </w:r>
    </w:p>
    <w:p w14:paraId="56675938">
      <w:pPr>
        <w:ind w:firstLine="422"/>
      </w:pPr>
      <w:r>
        <w:rPr>
          <w:rFonts w:hint="eastAsia"/>
          <w:b/>
        </w:rPr>
        <w:t>第十二条</w:t>
      </w:r>
      <w:r>
        <w:rPr>
          <w:rFonts w:hint="eastAsia"/>
        </w:rPr>
        <w:t xml:space="preserve">  施工单位应当建立健全用火管理制度。施工作业用火时，应当经施工现场防火负责人审查批准，领取用火证后，方可在指定的地点、时间内作业。施工现场内禁止吸烟。</w:t>
      </w:r>
    </w:p>
    <w:p w14:paraId="645253F6">
      <w:pPr>
        <w:ind w:firstLine="422"/>
      </w:pPr>
      <w:r>
        <w:rPr>
          <w:rFonts w:hint="eastAsia"/>
          <w:b/>
        </w:rPr>
        <w:t>第十三条</w:t>
      </w:r>
      <w:r>
        <w:rPr>
          <w:rFonts w:hint="eastAsia"/>
        </w:rPr>
        <w:t xml:space="preserve">  施工单位应当建立健全用电管理制度，并采取防火措施。安装电气设备和进行电焊、气焊作业等，必须由经培训合格的专业技术人员操作。</w:t>
      </w:r>
    </w:p>
    <w:p w14:paraId="1AEEEF3B">
      <w:pPr>
        <w:ind w:firstLine="422"/>
      </w:pPr>
      <w:r>
        <w:rPr>
          <w:rFonts w:hint="eastAsia"/>
          <w:b/>
        </w:rPr>
        <w:t>第十四条</w:t>
      </w:r>
      <w:r>
        <w:rPr>
          <w:rFonts w:hint="eastAsia"/>
        </w:rPr>
        <w:t>　施工单位不得在建设工程内设置宿舍。</w:t>
      </w:r>
    </w:p>
    <w:p w14:paraId="377F1618">
      <w:r>
        <w:rPr>
          <w:rFonts w:hint="eastAsia"/>
        </w:rPr>
        <w:t>在建设工程外设置宿舍的，禁止使用可燃材料做分隔和使用电热器具。设置的应急照明和疏散指示标志应当符合有关消防安全的要求。</w:t>
      </w:r>
    </w:p>
    <w:p w14:paraId="5C8A9E7A">
      <w:pPr>
        <w:ind w:firstLine="422"/>
      </w:pPr>
      <w:r>
        <w:rPr>
          <w:rFonts w:hint="eastAsia"/>
          <w:b/>
        </w:rPr>
        <w:t>第十五条</w:t>
      </w:r>
      <w:r>
        <w:rPr>
          <w:rFonts w:hint="eastAsia"/>
        </w:rPr>
        <w:t>　施工单位应当在施工现场设置临时消防车道，并保证临时消防车道的畅通。禁止在临时消防车道上堆物、堆料或者挤占临时消防车道。</w:t>
      </w:r>
    </w:p>
    <w:p w14:paraId="68E1E3B4">
      <w:pPr>
        <w:ind w:firstLine="422"/>
      </w:pPr>
      <w:r>
        <w:rPr>
          <w:rFonts w:hint="eastAsia"/>
          <w:b/>
        </w:rPr>
        <w:t>第十六条</w:t>
      </w:r>
      <w:r>
        <w:rPr>
          <w:rFonts w:hint="eastAsia"/>
        </w:rPr>
        <w:t>　施工单位应当在施工现场配置消防器材，设置临时消防给水系统。对建筑高度超过24米的建设工程，应当安装临时消防竖管，在正式消防给水系统投入使用前，不得拆除或者停用临时消防竖管。</w:t>
      </w:r>
    </w:p>
    <w:p w14:paraId="3894C7BA">
      <w:pPr>
        <w:ind w:firstLine="422"/>
      </w:pPr>
      <w:r>
        <w:rPr>
          <w:rFonts w:hint="eastAsia"/>
          <w:b/>
        </w:rPr>
        <w:t>第十七条</w:t>
      </w:r>
      <w:r>
        <w:rPr>
          <w:rFonts w:hint="eastAsia"/>
        </w:rPr>
        <w:t>　公安消防机构应当加强对施工现场消防安全工作的日常监督检查，发现问题及时督促有关单位改正。</w:t>
      </w:r>
    </w:p>
    <w:p w14:paraId="23B2D640">
      <w:pPr>
        <w:ind w:firstLine="422"/>
        <w:rPr>
          <w:rFonts w:hint="eastAsia" w:ascii="宋体" w:hAnsi="宋体" w:eastAsia="宋体" w:cs="宋体"/>
        </w:rPr>
      </w:pPr>
      <w:r>
        <w:rPr>
          <w:rFonts w:hint="eastAsia"/>
          <w:b/>
        </w:rPr>
        <w:t>第十八条</w:t>
      </w:r>
      <w:r>
        <w:rPr>
          <w:rFonts w:hint="eastAsia"/>
        </w:rPr>
        <w:t>　</w:t>
      </w:r>
      <w:r>
        <w:rPr>
          <w:rFonts w:hint="eastAsia" w:ascii="宋体" w:hAnsi="宋体" w:eastAsia="宋体" w:cs="宋体"/>
        </w:rPr>
        <w:t>施工单位违反本规定，有下列情形之一的，由公安消防机构对施工单位处警告或者2000元以上2万元以下罚款；可对单位直接负责的主管人员和其他直接责任人员并处200元以上2000元以下罚款：</w:t>
      </w:r>
    </w:p>
    <w:p w14:paraId="1F8BE157">
      <w:bookmarkStart w:id="1902" w:name="_Toc428780378"/>
      <w:r>
        <w:rPr>
          <w:rFonts w:hint="eastAsia"/>
        </w:rPr>
        <w:t>（一）未按规定期限向公安消防机构报送施工组织设计和方案的；</w:t>
      </w:r>
      <w:bookmarkEnd w:id="1902"/>
    </w:p>
    <w:p w14:paraId="7357830C">
      <w:r>
        <w:rPr>
          <w:rFonts w:hint="eastAsia"/>
        </w:rPr>
        <w:t>（二）施工暂设和施工现场使用的安全网、围网和保温材料不符合消防安全规范，或者使用易燃、可燃材料的；</w:t>
      </w:r>
    </w:p>
    <w:p w14:paraId="2F030989">
      <w:r>
        <w:rPr>
          <w:rFonts w:hint="eastAsia"/>
        </w:rPr>
        <w:t>（三）违反本规定存放、保管施工材料的；</w:t>
      </w:r>
    </w:p>
    <w:p w14:paraId="686BA82E">
      <w:r>
        <w:rPr>
          <w:rFonts w:hint="eastAsia"/>
        </w:rPr>
        <w:t>（四）设置宿舍不符合本规定要求的；</w:t>
      </w:r>
    </w:p>
    <w:p w14:paraId="40717167">
      <w:r>
        <w:rPr>
          <w:rFonts w:hint="eastAsia"/>
        </w:rPr>
        <w:t>（五）未设置临时消防车道，或者影响临时消防车道畅通的；</w:t>
      </w:r>
    </w:p>
    <w:p w14:paraId="278B1BEF">
      <w:r>
        <w:rPr>
          <w:rFonts w:hint="eastAsia"/>
        </w:rPr>
        <w:t>（六）未按本规定配置消防器材或者设置、使用临时消防给水系统的。</w:t>
      </w:r>
    </w:p>
    <w:p w14:paraId="26A64C92">
      <w:pPr>
        <w:ind w:firstLine="422"/>
      </w:pPr>
      <w:r>
        <w:rPr>
          <w:rFonts w:hint="eastAsia"/>
          <w:b/>
        </w:rPr>
        <w:t>第十九条</w:t>
      </w:r>
      <w:r>
        <w:rPr>
          <w:rFonts w:hint="eastAsia"/>
        </w:rPr>
        <w:t>　施工单位违反本规定，属违反国家和本市有关施工现场管理的其他法律、法规和规章的，由有关部门依法处理。</w:t>
      </w:r>
    </w:p>
    <w:p w14:paraId="4BC46612">
      <w:pPr>
        <w:ind w:firstLine="422"/>
      </w:pPr>
      <w:r>
        <w:rPr>
          <w:rFonts w:hint="eastAsia"/>
          <w:b/>
        </w:rPr>
        <w:t>第二十条</w:t>
      </w:r>
      <w:r>
        <w:rPr>
          <w:rFonts w:hint="eastAsia"/>
        </w:rPr>
        <w:t>　公安消防机构工作人员有下列行为之一的，由所在单位或者其上级机关给予行政处分；构成犯罪的，依法追究刑事责任：</w:t>
      </w:r>
    </w:p>
    <w:p w14:paraId="654C6DF5">
      <w:r>
        <w:rPr>
          <w:rFonts w:hint="eastAsia"/>
        </w:rPr>
        <w:t>（一）对施工单位报送的施工组织设计和方案不予答复或者故意拖延的；</w:t>
      </w:r>
    </w:p>
    <w:p w14:paraId="671D8322">
      <w:bookmarkStart w:id="1903" w:name="_Toc428780379"/>
      <w:r>
        <w:rPr>
          <w:rFonts w:hint="eastAsia"/>
        </w:rPr>
        <w:t>（二）对检查中发现的问题不及时指出并督促有关单位改正的；</w:t>
      </w:r>
      <w:bookmarkEnd w:id="1903"/>
    </w:p>
    <w:p w14:paraId="5B06F2AD">
      <w:r>
        <w:rPr>
          <w:rFonts w:hint="eastAsia"/>
        </w:rPr>
        <w:t>（三）其他滥用职权、玩忽职守、徇私舞弊的行为。</w:t>
      </w:r>
    </w:p>
    <w:p w14:paraId="4AA47D10">
      <w:pPr>
        <w:ind w:firstLine="422"/>
      </w:pPr>
      <w:r>
        <w:rPr>
          <w:rFonts w:hint="eastAsia"/>
          <w:b/>
        </w:rPr>
        <w:t>第二十一条</w:t>
      </w:r>
      <w:r>
        <w:rPr>
          <w:rFonts w:hint="eastAsia"/>
        </w:rPr>
        <w:t>　本规</w:t>
      </w:r>
      <w:r>
        <w:rPr>
          <w:rFonts w:hint="eastAsia" w:ascii="宋体" w:hAnsi="宋体" w:eastAsia="宋体" w:cs="宋体"/>
        </w:rPr>
        <w:t>定自2001年12月1日起施行。1989年7月18日市人民政府第20</w:t>
      </w:r>
      <w:r>
        <w:rPr>
          <w:rFonts w:hint="eastAsia"/>
        </w:rPr>
        <w:t>号令发布的《北京市建设工程施工现场消防安全管理办法》同时废止。</w:t>
      </w:r>
    </w:p>
    <w:p w14:paraId="683AF7F0"/>
    <w:p w14:paraId="08C9F5ED">
      <w:pPr>
        <w:pStyle w:val="4"/>
        <w:pageBreakBefore/>
      </w:pPr>
      <w:bookmarkStart w:id="1904" w:name="_Toc426467017"/>
      <w:bookmarkStart w:id="1905" w:name="_Toc428780380"/>
      <w:bookmarkStart w:id="1906" w:name="_Toc428781765"/>
      <w:r>
        <w:rPr>
          <w:rFonts w:hint="eastAsia"/>
        </w:rPr>
        <w:t>北京市养犬登记和年检管理办法</w:t>
      </w:r>
      <w:bookmarkEnd w:id="1904"/>
      <w:bookmarkEnd w:id="1905"/>
      <w:bookmarkEnd w:id="1906"/>
    </w:p>
    <w:p w14:paraId="76613038">
      <w:pPr>
        <w:ind w:left="630" w:leftChars="300" w:right="630" w:rightChars="300"/>
        <w:rPr>
          <w:rFonts w:ascii="楷体" w:hAnsi="楷体" w:eastAsia="楷体"/>
        </w:rPr>
      </w:pPr>
      <w:r>
        <w:rPr>
          <w:rFonts w:hint="eastAsia" w:ascii="楷体" w:hAnsi="楷体" w:eastAsia="楷体"/>
        </w:rPr>
        <w:t>（2003年9月23日北京市人民政府第14次常务会议通过  2003年9月26日北京市人民政府第136号令发布）</w:t>
      </w:r>
    </w:p>
    <w:p w14:paraId="3C69130E"/>
    <w:p w14:paraId="13AC0A3B">
      <w:pPr>
        <w:ind w:firstLine="422"/>
      </w:pPr>
      <w:r>
        <w:rPr>
          <w:rFonts w:hint="eastAsia"/>
          <w:b/>
        </w:rPr>
        <w:t>第一条</w:t>
      </w:r>
      <w:r>
        <w:rPr>
          <w:rFonts w:hint="eastAsia"/>
        </w:rPr>
        <w:t xml:space="preserve">  为了实施《北京市养犬管理规定》，做好养犬登记和年检工作，制定本办法。</w:t>
      </w:r>
    </w:p>
    <w:p w14:paraId="57ED8B03">
      <w:pPr>
        <w:ind w:firstLine="422"/>
      </w:pPr>
      <w:r>
        <w:rPr>
          <w:rFonts w:hint="eastAsia"/>
          <w:b/>
        </w:rPr>
        <w:t>第二条</w:t>
      </w:r>
      <w:r>
        <w:rPr>
          <w:rFonts w:hint="eastAsia"/>
        </w:rPr>
        <w:t xml:space="preserve">  凡在本市行政区域内养犬的单位和个人，均应当按照本办法办理养犬登记和年检。</w:t>
      </w:r>
    </w:p>
    <w:p w14:paraId="4B3D0DFA">
      <w:pPr>
        <w:ind w:firstLine="422"/>
      </w:pPr>
      <w:r>
        <w:rPr>
          <w:rFonts w:hint="eastAsia"/>
          <w:b/>
        </w:rPr>
        <w:t>第三条</w:t>
      </w:r>
      <w:r>
        <w:rPr>
          <w:rFonts w:hint="eastAsia"/>
        </w:rPr>
        <w:t xml:space="preserve">  市公安局负责对全市养犬登记和年检工作统一管理和监督、指导。区、县公安机关负责具体办理养犬登记和年检。</w:t>
      </w:r>
    </w:p>
    <w:p w14:paraId="713C9AA6">
      <w:pPr>
        <w:ind w:firstLine="422"/>
      </w:pPr>
      <w:r>
        <w:rPr>
          <w:rFonts w:hint="eastAsia"/>
          <w:b/>
        </w:rPr>
        <w:t>第四条</w:t>
      </w:r>
      <w:r>
        <w:rPr>
          <w:rFonts w:hint="eastAsia"/>
        </w:rPr>
        <w:t xml:space="preserve">  个人在养犬前，应当先征得住所地居民委员会、村民委员会的同意。</w:t>
      </w:r>
    </w:p>
    <w:p w14:paraId="242C714A">
      <w:r>
        <w:rPr>
          <w:rFonts w:hint="eastAsia"/>
        </w:rPr>
        <w:t>对符合下列条件的，由居民委员会、村民委员会出具符合养犬条件的证明，发给养犬登记表，并与其签定养犬义务保证书：</w:t>
      </w:r>
    </w:p>
    <w:p w14:paraId="7D972274">
      <w:r>
        <w:rPr>
          <w:rFonts w:hint="eastAsia"/>
        </w:rPr>
        <w:t>（一）有合法身份证明；</w:t>
      </w:r>
    </w:p>
    <w:p w14:paraId="6E09B27C">
      <w:r>
        <w:rPr>
          <w:rFonts w:hint="eastAsia"/>
        </w:rPr>
        <w:t>（二）有完全民事行为能力；</w:t>
      </w:r>
    </w:p>
    <w:p w14:paraId="3D2BE81B">
      <w:r>
        <w:rPr>
          <w:rFonts w:hint="eastAsia"/>
        </w:rPr>
        <w:t>（三）有固定住所且独户居住；</w:t>
      </w:r>
    </w:p>
    <w:p w14:paraId="5AAED73C">
      <w:r>
        <w:rPr>
          <w:rFonts w:hint="eastAsia"/>
        </w:rPr>
        <w:t>（四）住所在禁止养犬区域以外。</w:t>
      </w:r>
    </w:p>
    <w:p w14:paraId="12ABCF3B">
      <w:pPr>
        <w:ind w:firstLine="422"/>
      </w:pPr>
      <w:r>
        <w:rPr>
          <w:rFonts w:hint="eastAsia"/>
          <w:b/>
        </w:rPr>
        <w:t>第五条</w:t>
      </w:r>
      <w:r>
        <w:rPr>
          <w:rFonts w:hint="eastAsia"/>
        </w:rPr>
        <w:t xml:space="preserve">  养犬人应当自取得住所地居民委员会、村民委员会出具的符合养犬条件的证明之日起30日内，携犬到住所地区、县公安机关办理养犬登记。</w:t>
      </w:r>
    </w:p>
    <w:p w14:paraId="787B9636">
      <w:r>
        <w:rPr>
          <w:rFonts w:hint="eastAsia"/>
        </w:rPr>
        <w:t>养犬人办理养犬登记时，应当提交下列材料：</w:t>
      </w:r>
    </w:p>
    <w:p w14:paraId="28D51553">
      <w:bookmarkStart w:id="1907" w:name="_Toc428780381"/>
      <w:r>
        <w:rPr>
          <w:rFonts w:hint="eastAsia"/>
        </w:rPr>
        <w:t>（一）养犬登记表；</w:t>
      </w:r>
      <w:bookmarkEnd w:id="1907"/>
    </w:p>
    <w:p w14:paraId="17D20D74">
      <w:r>
        <w:rPr>
          <w:rFonts w:hint="eastAsia"/>
        </w:rPr>
        <w:t>（二）住所地居民委员会、村民委员会出具的符合养犬条件的证明；</w:t>
      </w:r>
    </w:p>
    <w:p w14:paraId="3D8D07D6">
      <w:r>
        <w:rPr>
          <w:rFonts w:hint="eastAsia"/>
        </w:rPr>
        <w:t>（三）与住所地居民委员会、村民委员会签订的养犬义务保证书。</w:t>
      </w:r>
    </w:p>
    <w:p w14:paraId="615DCC03">
      <w:pPr>
        <w:ind w:firstLine="422"/>
      </w:pPr>
      <w:r>
        <w:rPr>
          <w:rFonts w:hint="eastAsia"/>
          <w:b/>
        </w:rPr>
        <w:t>第六条</w:t>
      </w:r>
      <w:r>
        <w:rPr>
          <w:rFonts w:hint="eastAsia"/>
        </w:rPr>
        <w:t xml:space="preserve">  单位办理养犬登记的，应当自取</w:t>
      </w:r>
      <w:r>
        <w:rPr>
          <w:rFonts w:hint="eastAsia" w:ascii="宋体" w:hAnsi="宋体" w:eastAsia="宋体" w:cs="宋体"/>
        </w:rPr>
        <w:t>得犬之日起30日内，持行业主管</w:t>
      </w:r>
      <w:r>
        <w:rPr>
          <w:rFonts w:hint="eastAsia"/>
        </w:rPr>
        <w:t>部门出具的因保护国家级文物、保管危险物品等特殊工作需要养犬的证明，到所在地区、县公安机关办理养犬登记。</w:t>
      </w:r>
    </w:p>
    <w:p w14:paraId="03D48C97">
      <w:r>
        <w:rPr>
          <w:rFonts w:hint="eastAsia"/>
        </w:rPr>
        <w:t>单位办理养犬登记时，应当与公安机关签定养犬义务保证书。</w:t>
      </w:r>
    </w:p>
    <w:p w14:paraId="11DE51D8">
      <w:pPr>
        <w:ind w:firstLine="422"/>
      </w:pPr>
      <w:r>
        <w:rPr>
          <w:rFonts w:hint="eastAsia"/>
          <w:b/>
        </w:rPr>
        <w:t>第七条</w:t>
      </w:r>
      <w:r>
        <w:rPr>
          <w:rFonts w:hint="eastAsia"/>
        </w:rPr>
        <w:t xml:space="preserve">  公安机关应当对养犬人提交的材料进行核实。</w:t>
      </w:r>
    </w:p>
    <w:p w14:paraId="0C61D251">
      <w:r>
        <w:rPr>
          <w:rFonts w:hint="eastAsia"/>
        </w:rPr>
        <w:t>对材料齐全且符合法定形式的，公安机关应当当场予以</w:t>
      </w:r>
      <w:r>
        <w:rPr>
          <w:rFonts w:hint="eastAsia" w:ascii="宋体" w:hAnsi="宋体" w:eastAsia="宋体" w:cs="宋体"/>
        </w:rPr>
        <w:t>受理，并在5日内发给养犬登</w:t>
      </w:r>
      <w:r>
        <w:rPr>
          <w:rFonts w:hint="eastAsia"/>
        </w:rPr>
        <w:t>记证；对不属于本机关管辖的，应当即时向养犬人告知有权办理的机关；对材料不齐全或者不符合法定形式的，应当当场一次告知养犬人需要补正的全部内容。</w:t>
      </w:r>
    </w:p>
    <w:p w14:paraId="0B13F7CA">
      <w:pPr>
        <w:ind w:firstLine="422"/>
      </w:pPr>
      <w:r>
        <w:rPr>
          <w:rFonts w:hint="eastAsia"/>
          <w:b/>
        </w:rPr>
        <w:t>第八条</w:t>
      </w:r>
      <w:r>
        <w:rPr>
          <w:rFonts w:hint="eastAsia"/>
        </w:rPr>
        <w:t xml:space="preserve">  养犬人取得养犬登记证后，应当携犬到畜牧兽医行政部门批准的动物诊疗机构对犬进行健康检查，免费注射预防狂犬病疫苗，并领取动物防疫监督机构出具的动物健康免疫证。</w:t>
      </w:r>
    </w:p>
    <w:p w14:paraId="3CAA1EDF">
      <w:pPr>
        <w:ind w:firstLine="422"/>
      </w:pPr>
      <w:r>
        <w:rPr>
          <w:rFonts w:hint="eastAsia"/>
          <w:b/>
        </w:rPr>
        <w:t>第九条</w:t>
      </w:r>
      <w:r>
        <w:rPr>
          <w:rFonts w:hint="eastAsia"/>
        </w:rPr>
        <w:t xml:space="preserve">  动物诊疗机构对犬进行健康检查时，发现犬患有、疑似患有狂犬病或者其他严重人畜共患传染性疫病的，应当立即通知当地动物防疫监督机构，并依法处理。对患病犬被依法进行无害化处理的，公安机关应当注销原养犬登记。</w:t>
      </w:r>
    </w:p>
    <w:p w14:paraId="4C97B737">
      <w:pPr>
        <w:ind w:firstLine="422"/>
        <w:rPr>
          <w:rFonts w:hint="eastAsia" w:ascii="宋体" w:hAnsi="宋体" w:eastAsia="宋体" w:cs="宋体"/>
        </w:rPr>
      </w:pPr>
      <w:r>
        <w:rPr>
          <w:rFonts w:hint="eastAsia"/>
          <w:b/>
        </w:rPr>
        <w:t>第十条</w:t>
      </w:r>
      <w:r>
        <w:rPr>
          <w:rFonts w:hint="eastAsia"/>
        </w:rPr>
        <w:t xml:space="preserve">  养犬登记证每年年检一次，年检的时间为每</w:t>
      </w:r>
      <w:r>
        <w:rPr>
          <w:rFonts w:hint="eastAsia" w:ascii="宋体" w:hAnsi="宋体" w:eastAsia="宋体" w:cs="宋体"/>
        </w:rPr>
        <w:t>年的5月1日至6月30日。公安机关应当每年将年检的时间、地点和相关要求向社会公布。</w:t>
      </w:r>
    </w:p>
    <w:p w14:paraId="75CE33D0">
      <w:r>
        <w:rPr>
          <w:rFonts w:hint="eastAsia"/>
        </w:rPr>
        <w:t>养犬人在办理年检时，应当出示有效的养犬登记证和动物健康免疫证。</w:t>
      </w:r>
    </w:p>
    <w:p w14:paraId="3F85B42F">
      <w:r>
        <w:rPr>
          <w:rFonts w:hint="eastAsia"/>
        </w:rPr>
        <w:t>养犬人应当在规定的期限内办理年检；逾期不办理年检的，养犬登记证失效，公安机关应当注销其养犬登记。</w:t>
      </w:r>
    </w:p>
    <w:p w14:paraId="3EF9D0F1">
      <w:pPr>
        <w:ind w:firstLine="422"/>
      </w:pPr>
      <w:r>
        <w:rPr>
          <w:rFonts w:hint="eastAsia"/>
          <w:b/>
        </w:rPr>
        <w:t>第十一条</w:t>
      </w:r>
      <w:r>
        <w:rPr>
          <w:rFonts w:hint="eastAsia"/>
        </w:rPr>
        <w:t xml:space="preserve">  养犬人在办理养犬登记或者年检时，应当同时向办理登记或者年检的区、县公安机关缴纳管理服务费。</w:t>
      </w:r>
    </w:p>
    <w:p w14:paraId="7C928EB9">
      <w:r>
        <w:rPr>
          <w:rFonts w:hint="eastAsia"/>
        </w:rPr>
        <w:t>重点管理区内每只犬第一年缴纳</w:t>
      </w:r>
      <w:r>
        <w:rPr>
          <w:rFonts w:hint="eastAsia" w:ascii="宋体" w:hAnsi="宋体" w:eastAsia="宋体" w:cs="宋体"/>
        </w:rPr>
        <w:t>1000</w:t>
      </w:r>
      <w:r>
        <w:rPr>
          <w:rFonts w:hint="eastAsia"/>
        </w:rPr>
        <w:t>元，以后每年缴纳</w:t>
      </w:r>
      <w:r>
        <w:rPr>
          <w:rFonts w:hint="eastAsia" w:ascii="宋体" w:hAnsi="宋体" w:eastAsia="宋体" w:cs="宋体"/>
        </w:rPr>
        <w:t>500</w:t>
      </w:r>
      <w:r>
        <w:rPr>
          <w:rFonts w:hint="eastAsia"/>
        </w:rPr>
        <w:t>元。一般管理区内，按照所在区、县人民政府确定的标准缴纳。</w:t>
      </w:r>
    </w:p>
    <w:p w14:paraId="685D66E1">
      <w:r>
        <w:rPr>
          <w:rFonts w:hint="eastAsia"/>
        </w:rPr>
        <w:t>对盲人养导盲犬和肢体重残人养扶助犬的免收管理服务费。对养绝育犬的或者生活困难的鳏寡老人养犬的，减半收取第一年管理服务费。</w:t>
      </w:r>
    </w:p>
    <w:p w14:paraId="5FD5C0A0">
      <w:pPr>
        <w:ind w:firstLine="422"/>
      </w:pPr>
      <w:r>
        <w:rPr>
          <w:rFonts w:hint="eastAsia"/>
          <w:b/>
        </w:rPr>
        <w:t>第十二条</w:t>
      </w:r>
      <w:r>
        <w:rPr>
          <w:rFonts w:hint="eastAsia"/>
        </w:rPr>
        <w:t xml:space="preserve">  具有本市常住户口，年满</w:t>
      </w:r>
      <w:r>
        <w:rPr>
          <w:rFonts w:hint="eastAsia" w:ascii="宋体" w:hAnsi="宋体" w:eastAsia="宋体" w:cs="宋体"/>
        </w:rPr>
        <w:t>60</w:t>
      </w:r>
      <w:r>
        <w:rPr>
          <w:rFonts w:hint="eastAsia"/>
        </w:rPr>
        <w:t>周岁、丧偶且身边无子女或者其他亲属共同居住的生活困难的鳏寡老人，依法提出减半收取管理服务费的，应当提交住所地街道办事处、乡镇人民政府出具的证明。</w:t>
      </w:r>
    </w:p>
    <w:p w14:paraId="271D7361">
      <w:r>
        <w:rPr>
          <w:rFonts w:hint="eastAsia"/>
        </w:rPr>
        <w:t>养绝育犬的养犬人，依法提出减半收取管理服务费的，应当提交动物防疫监督机构出具的证明。</w:t>
      </w:r>
    </w:p>
    <w:p w14:paraId="56C28732">
      <w:pPr>
        <w:ind w:firstLine="422"/>
      </w:pPr>
      <w:r>
        <w:rPr>
          <w:rFonts w:hint="eastAsia"/>
          <w:b/>
        </w:rPr>
        <w:t>第十三条</w:t>
      </w:r>
      <w:r>
        <w:rPr>
          <w:rFonts w:hint="eastAsia"/>
        </w:rPr>
        <w:t xml:space="preserve">  养犬人住所地发生变更的，养犬人应当自住所地变更之日起</w:t>
      </w:r>
      <w:r>
        <w:rPr>
          <w:rFonts w:hint="eastAsia" w:ascii="宋体" w:hAnsi="宋体" w:eastAsia="宋体" w:cs="宋体"/>
        </w:rPr>
        <w:t>30</w:t>
      </w:r>
      <w:r>
        <w:rPr>
          <w:rFonts w:hint="eastAsia"/>
        </w:rPr>
        <w:t>日内，到新住所地区、县公安机关办理养犬变更登记。</w:t>
      </w:r>
    </w:p>
    <w:p w14:paraId="217336D9">
      <w:r>
        <w:rPr>
          <w:rFonts w:hint="eastAsia"/>
        </w:rPr>
        <w:t>养犬人办理养犬变更登记时，应当提交下列材料：</w:t>
      </w:r>
    </w:p>
    <w:p w14:paraId="4320CC41">
      <w:bookmarkStart w:id="1908" w:name="_Toc428780382"/>
      <w:r>
        <w:rPr>
          <w:rFonts w:hint="eastAsia"/>
        </w:rPr>
        <w:t>（一）新住所地居民委员会、村民委员会出具的符合养犬条件的证明；</w:t>
      </w:r>
      <w:bookmarkEnd w:id="1908"/>
    </w:p>
    <w:p w14:paraId="7C292F8F">
      <w:r>
        <w:rPr>
          <w:rFonts w:hint="eastAsia"/>
        </w:rPr>
        <w:t>（二）与新住所地居民委员会、村民委员会签订的养犬义务保证书；</w:t>
      </w:r>
    </w:p>
    <w:p w14:paraId="20DFC722">
      <w:r>
        <w:rPr>
          <w:rFonts w:hint="eastAsia"/>
        </w:rPr>
        <w:t>（三）原养犬登记证。</w:t>
      </w:r>
    </w:p>
    <w:p w14:paraId="0EB54657">
      <w:pPr>
        <w:ind w:firstLine="422"/>
      </w:pPr>
      <w:r>
        <w:rPr>
          <w:rFonts w:hint="eastAsia"/>
          <w:b/>
        </w:rPr>
        <w:t>第十四条</w:t>
      </w:r>
      <w:r>
        <w:rPr>
          <w:rFonts w:hint="eastAsia"/>
        </w:rPr>
        <w:t>　养犬人将在一般管理区登记的犬转移到重点管理区饲养的，应当符合重点管理区的养犬条件，并自转移之日起</w:t>
      </w:r>
      <w:r>
        <w:rPr>
          <w:rFonts w:hint="eastAsia" w:ascii="宋体" w:hAnsi="宋体" w:eastAsia="宋体" w:cs="宋体"/>
        </w:rPr>
        <w:t>30</w:t>
      </w:r>
      <w:r>
        <w:rPr>
          <w:rFonts w:hint="eastAsia"/>
        </w:rPr>
        <w:t>日内，持养犬登记证到饲养地区、县公安机关办理养犬变更登记，同时补缴第一年管理服务费的差额部分。</w:t>
      </w:r>
    </w:p>
    <w:p w14:paraId="04A4C3BC">
      <w:pPr>
        <w:ind w:firstLine="422"/>
      </w:pPr>
      <w:r>
        <w:rPr>
          <w:rFonts w:hint="eastAsia"/>
          <w:b/>
        </w:rPr>
        <w:t>第十五条</w:t>
      </w:r>
      <w:r>
        <w:rPr>
          <w:rFonts w:hint="eastAsia"/>
        </w:rPr>
        <w:t>　养犬人将犬转让给他人的，受让人应当自受让之日起</w:t>
      </w:r>
      <w:r>
        <w:rPr>
          <w:rFonts w:hint="eastAsia" w:ascii="宋体" w:hAnsi="宋体" w:eastAsia="宋体" w:cs="宋体"/>
        </w:rPr>
        <w:t>30</w:t>
      </w:r>
      <w:r>
        <w:rPr>
          <w:rFonts w:hint="eastAsia"/>
        </w:rPr>
        <w:t>日内，到住所地区、县公安机关办理养犬变更登记。</w:t>
      </w:r>
    </w:p>
    <w:p w14:paraId="67E5A7C8">
      <w:r>
        <w:rPr>
          <w:rFonts w:hint="eastAsia"/>
        </w:rPr>
        <w:t>受让人办理养犬变更登记时，应当提交下列材料：</w:t>
      </w:r>
    </w:p>
    <w:p w14:paraId="00826039">
      <w:bookmarkStart w:id="1909" w:name="_Toc428780383"/>
      <w:r>
        <w:rPr>
          <w:rFonts w:hint="eastAsia"/>
        </w:rPr>
        <w:t>（一）住所地居民委员会、村民委员会出具的符合养犬条件的证明；</w:t>
      </w:r>
      <w:bookmarkEnd w:id="1909"/>
    </w:p>
    <w:p w14:paraId="0D7945EA">
      <w:r>
        <w:rPr>
          <w:rFonts w:hint="eastAsia"/>
        </w:rPr>
        <w:t>（二）与住所地居民委员会、村民委员会签订的养犬义务保证书；</w:t>
      </w:r>
    </w:p>
    <w:p w14:paraId="38FF6DDC">
      <w:r>
        <w:rPr>
          <w:rFonts w:hint="eastAsia"/>
        </w:rPr>
        <w:t>（三）原养犬登记证。</w:t>
      </w:r>
    </w:p>
    <w:p w14:paraId="0FA50401">
      <w:pPr>
        <w:ind w:firstLine="422"/>
      </w:pPr>
      <w:r>
        <w:rPr>
          <w:rFonts w:hint="eastAsia"/>
          <w:b/>
        </w:rPr>
        <w:t>第十六条</w:t>
      </w:r>
      <w:r>
        <w:rPr>
          <w:rFonts w:hint="eastAsia"/>
        </w:rPr>
        <w:t>　养犬登记证丢失的，</w:t>
      </w:r>
      <w:r>
        <w:rPr>
          <w:rFonts w:hint="eastAsia" w:ascii="宋体" w:hAnsi="宋体" w:eastAsia="宋体" w:cs="宋体"/>
        </w:rPr>
        <w:t>养犬人应当自养犬登记证丢失之日起15日内，持缴纳</w:t>
      </w:r>
      <w:r>
        <w:rPr>
          <w:rFonts w:hint="eastAsia"/>
        </w:rPr>
        <w:t>管理服务费的收费凭证到原养犬登记机关办理补发养犬登记证。</w:t>
      </w:r>
    </w:p>
    <w:p w14:paraId="082CC07A">
      <w:pPr>
        <w:ind w:firstLine="422"/>
      </w:pPr>
      <w:r>
        <w:rPr>
          <w:rFonts w:hint="eastAsia"/>
          <w:b/>
        </w:rPr>
        <w:t>第十七条</w:t>
      </w:r>
      <w:r>
        <w:rPr>
          <w:rFonts w:hint="eastAsia"/>
        </w:rPr>
        <w:t>　犬死亡、失踪或者养犬人放弃所饲养的犬的，养犬人应当持养犬登记证，到原养犬登记机关办理养犬注销手续。养犬人未办理养犬注销手续的，不得再养犬。</w:t>
      </w:r>
    </w:p>
    <w:p w14:paraId="632A48DC">
      <w:pPr>
        <w:ind w:firstLine="422"/>
      </w:pPr>
      <w:r>
        <w:rPr>
          <w:rFonts w:hint="eastAsia"/>
          <w:b/>
        </w:rPr>
        <w:t>第十八条</w:t>
      </w:r>
      <w:r>
        <w:rPr>
          <w:rFonts w:hint="eastAsia"/>
        </w:rPr>
        <w:t>　对未成立居民委员会、村民委员会的地区，由养犬人住所地街道办事处、乡镇人民政府依照本办法出具符合养犬条件的证明，并与其签定养犬义务保证书。</w:t>
      </w:r>
    </w:p>
    <w:p w14:paraId="4B657641">
      <w:pPr>
        <w:ind w:firstLine="422"/>
        <w:rPr>
          <w:rFonts w:hint="eastAsia" w:ascii="宋体" w:hAnsi="宋体" w:eastAsia="宋体" w:cs="宋体"/>
        </w:rPr>
      </w:pPr>
      <w:r>
        <w:rPr>
          <w:rFonts w:hint="eastAsia"/>
          <w:b/>
        </w:rPr>
        <w:t>第十九条</w:t>
      </w:r>
      <w:r>
        <w:rPr>
          <w:rFonts w:hint="eastAsia"/>
        </w:rPr>
        <w:t>　对养犬人</w:t>
      </w:r>
      <w:r>
        <w:rPr>
          <w:rFonts w:hint="eastAsia" w:ascii="宋体" w:hAnsi="宋体" w:eastAsia="宋体" w:cs="宋体"/>
        </w:rPr>
        <w:t>违反本办法，不办理养犬登记或者年检的，由公安机关没收其犬，或者对单位处以5000元罚款，对个人处以2000元罚款。</w:t>
      </w:r>
    </w:p>
    <w:p w14:paraId="3399004E">
      <w:pPr>
        <w:ind w:firstLine="422"/>
      </w:pPr>
      <w:r>
        <w:rPr>
          <w:rFonts w:hint="eastAsia"/>
          <w:b/>
        </w:rPr>
        <w:t>第二十条</w:t>
      </w:r>
      <w:r>
        <w:rPr>
          <w:rFonts w:hint="eastAsia"/>
        </w:rPr>
        <w:t>　对养犬人违反本办法，不办理养犬变更登记或者补办养犬登记证的，由公安机关责令限期改正，并可对单位</w:t>
      </w:r>
      <w:r>
        <w:rPr>
          <w:rFonts w:hint="eastAsia" w:ascii="宋体" w:hAnsi="宋体" w:eastAsia="宋体" w:cs="宋体"/>
        </w:rPr>
        <w:t>处2000元罚款，对个人处500元罚款。</w:t>
      </w:r>
    </w:p>
    <w:p w14:paraId="3D0C93CD">
      <w:pPr>
        <w:ind w:firstLine="422"/>
      </w:pPr>
      <w:r>
        <w:rPr>
          <w:rFonts w:hint="eastAsia"/>
          <w:b/>
        </w:rPr>
        <w:t>第二十一条</w:t>
      </w:r>
      <w:r>
        <w:rPr>
          <w:rFonts w:hint="eastAsia"/>
        </w:rPr>
        <w:t>　本办法</w:t>
      </w:r>
      <w:r>
        <w:rPr>
          <w:rFonts w:hint="eastAsia" w:ascii="宋体" w:hAnsi="宋体" w:eastAsia="宋体" w:cs="宋体"/>
        </w:rPr>
        <w:t>自2003年10月15日起施行</w:t>
      </w:r>
      <w:r>
        <w:rPr>
          <w:rFonts w:hint="eastAsia"/>
        </w:rPr>
        <w:t>。</w:t>
      </w:r>
    </w:p>
    <w:p w14:paraId="3A300CC6"/>
    <w:p w14:paraId="1B0C8DCE">
      <w:pPr>
        <w:pStyle w:val="4"/>
        <w:pageBreakBefore/>
      </w:pPr>
      <w:bookmarkStart w:id="1910" w:name="_Toc428780384"/>
      <w:bookmarkStart w:id="1911" w:name="_Toc428781766"/>
      <w:bookmarkStart w:id="1912" w:name="_Toc426467018"/>
      <w:r>
        <w:rPr>
          <w:rFonts w:hint="eastAsia"/>
        </w:rPr>
        <w:t>北京市消防安全责任监督管理办法</w:t>
      </w:r>
      <w:bookmarkEnd w:id="1910"/>
      <w:bookmarkEnd w:id="1911"/>
      <w:bookmarkEnd w:id="1912"/>
    </w:p>
    <w:p w14:paraId="283A8484">
      <w:pPr>
        <w:ind w:left="630" w:leftChars="300" w:right="630" w:rightChars="300"/>
        <w:rPr>
          <w:rFonts w:ascii="楷体" w:hAnsi="楷体" w:eastAsia="楷体"/>
        </w:rPr>
      </w:pPr>
      <w:r>
        <w:rPr>
          <w:rFonts w:hint="eastAsia" w:ascii="楷体" w:hAnsi="楷体" w:eastAsia="楷体"/>
        </w:rPr>
        <w:t>（2004年3月11日市人民政府第20次常务会议审议通过  2004年3月18日北京市人民政府第143号令发布）</w:t>
      </w:r>
    </w:p>
    <w:p w14:paraId="2DDD66EB"/>
    <w:p w14:paraId="6CD00E77">
      <w:pPr>
        <w:ind w:firstLine="422"/>
      </w:pPr>
      <w:r>
        <w:rPr>
          <w:rFonts w:hint="eastAsia"/>
          <w:b/>
        </w:rPr>
        <w:t>第一条</w:t>
      </w:r>
      <w:r>
        <w:rPr>
          <w:rFonts w:hint="eastAsia"/>
        </w:rPr>
        <w:t xml:space="preserve">  为了加强对单位消防安全工作的监督管理，预防火灾和减少火灾危害，保护公共财产和公民人身、财产安全，根据国家和本市有关法律、法规，结合本市实际情况，制定本办法。</w:t>
      </w:r>
    </w:p>
    <w:p w14:paraId="2EDAD302">
      <w:pPr>
        <w:ind w:firstLine="422"/>
      </w:pPr>
      <w:r>
        <w:rPr>
          <w:rFonts w:hint="eastAsia"/>
          <w:b/>
        </w:rPr>
        <w:t>第二条</w:t>
      </w:r>
      <w:r>
        <w:rPr>
          <w:rFonts w:hint="eastAsia"/>
        </w:rPr>
        <w:t xml:space="preserve">  本办法所称单位，是指本市行政区域内的机关、团体、企业、事业单位、个体工商户以及其他组织。</w:t>
      </w:r>
    </w:p>
    <w:p w14:paraId="4728E5C7">
      <w:pPr>
        <w:ind w:firstLine="422"/>
      </w:pPr>
      <w:r>
        <w:rPr>
          <w:rFonts w:hint="eastAsia"/>
          <w:b/>
        </w:rPr>
        <w:t>第三条</w:t>
      </w:r>
      <w:r>
        <w:rPr>
          <w:rFonts w:hint="eastAsia"/>
        </w:rPr>
        <w:t xml:space="preserve">  本市行政区域内的单位消防安全管理工作，由市和区、县人民政府统一领导；市和区、县防火安全委员会具体负责对本辖区内单位消防安全管理工作的组织、协调；公安消防机构和公安派出所负责对单位消防安全工作的日常监督检查。</w:t>
      </w:r>
    </w:p>
    <w:p w14:paraId="0D792FD7">
      <w:r>
        <w:rPr>
          <w:rFonts w:hint="eastAsia"/>
        </w:rPr>
        <w:t>市和区、县人民政府有关部门负责督促、检查本系统、行业各单位消防安全工作的落实。</w:t>
      </w:r>
    </w:p>
    <w:p w14:paraId="7EE60172">
      <w:pPr>
        <w:ind w:firstLine="422"/>
      </w:pPr>
      <w:r>
        <w:rPr>
          <w:rFonts w:hint="eastAsia"/>
          <w:b/>
        </w:rPr>
        <w:t>第四条</w:t>
      </w:r>
      <w:r>
        <w:rPr>
          <w:rFonts w:hint="eastAsia"/>
        </w:rPr>
        <w:t xml:space="preserve">  本市对单位消防安全工作实行责任制度。</w:t>
      </w:r>
    </w:p>
    <w:p w14:paraId="0ACDC635">
      <w:pPr>
        <w:ind w:firstLine="422"/>
      </w:pPr>
      <w:r>
        <w:rPr>
          <w:rFonts w:hint="eastAsia"/>
          <w:b/>
        </w:rPr>
        <w:t>第五条</w:t>
      </w:r>
      <w:r>
        <w:rPr>
          <w:rFonts w:hint="eastAsia"/>
        </w:rPr>
        <w:t xml:space="preserve">  法人单位的法定代表人或者非法人单位的主要负责人，是单位的消防安全责任人，对本单位的消防安全工作全面负责。</w:t>
      </w:r>
    </w:p>
    <w:p w14:paraId="54208754">
      <w:pPr>
        <w:ind w:firstLine="422"/>
      </w:pPr>
      <w:r>
        <w:rPr>
          <w:rFonts w:hint="eastAsia"/>
          <w:b/>
        </w:rPr>
        <w:t>第六条</w:t>
      </w:r>
      <w:r>
        <w:rPr>
          <w:rFonts w:hint="eastAsia"/>
        </w:rPr>
        <w:t xml:space="preserve">  单位应当逐级落实消防安全责任制和岗位消防安全责任制，明确逐级和岗位消防安全职责，确定各级和各岗位的消防安全责任人。</w:t>
      </w:r>
    </w:p>
    <w:p w14:paraId="4325B57E">
      <w:pPr>
        <w:ind w:firstLine="422"/>
      </w:pPr>
      <w:r>
        <w:rPr>
          <w:rFonts w:hint="eastAsia"/>
          <w:b/>
        </w:rPr>
        <w:t>第七条</w:t>
      </w:r>
      <w:r>
        <w:rPr>
          <w:rFonts w:hint="eastAsia"/>
        </w:rPr>
        <w:t xml:space="preserve">  单位可以根据需要确定本单位的消防安全管理人。消防安全管理人对单位的消防安全责任人负责，具体组织、落实本单位的消防安全工作。</w:t>
      </w:r>
    </w:p>
    <w:p w14:paraId="382EF643">
      <w:r>
        <w:rPr>
          <w:rFonts w:hint="eastAsia"/>
        </w:rPr>
        <w:t>消防安全重点单位应当设置或者确定本单位消防安全工作管理的责任部门，并确定专职或者兼职的消防安全管理人员。消防安全工作人员经本单位考核合格后，方可上岗。</w:t>
      </w:r>
    </w:p>
    <w:p w14:paraId="1D09BA06">
      <w:pPr>
        <w:ind w:firstLine="422"/>
      </w:pPr>
      <w:r>
        <w:rPr>
          <w:rFonts w:hint="eastAsia"/>
          <w:b/>
        </w:rPr>
        <w:t>第八条</w:t>
      </w:r>
      <w:r>
        <w:rPr>
          <w:rFonts w:hint="eastAsia"/>
        </w:rPr>
        <w:t xml:space="preserve">  单位应当履行下列消防安全义务：</w:t>
      </w:r>
    </w:p>
    <w:p w14:paraId="7ADD9930">
      <w:r>
        <w:rPr>
          <w:rFonts w:hint="eastAsia"/>
        </w:rPr>
        <w:t>（一）制定并落实消防安全管理措施和消防安全操作规程。</w:t>
      </w:r>
    </w:p>
    <w:p w14:paraId="0BFBECE3">
      <w:r>
        <w:rPr>
          <w:rFonts w:hint="eastAsia"/>
        </w:rPr>
        <w:t>（二）建立本单位消防安全责任考核、奖惩制度。</w:t>
      </w:r>
    </w:p>
    <w:p w14:paraId="0E437A46">
      <w:r>
        <w:rPr>
          <w:rFonts w:hint="eastAsia"/>
        </w:rPr>
        <w:t>（三）开展消防安全宣传教育和消防知识培训，定期进行灭火技术训练。</w:t>
      </w:r>
    </w:p>
    <w:p w14:paraId="45AA73EF">
      <w:r>
        <w:rPr>
          <w:rFonts w:hint="eastAsia"/>
        </w:rPr>
        <w:t>（四）进行经常性的内部防火安全检查，及时制止、纠正违法、违章行为，发现并消除火灾隐患。</w:t>
      </w:r>
    </w:p>
    <w:p w14:paraId="4927AC6D">
      <w:r>
        <w:rPr>
          <w:rFonts w:hint="eastAsia"/>
        </w:rPr>
        <w:t>（五）按规定配置消防设施、器材并指定专人维护管理，保证消防设施、器材的正常、有效使用。</w:t>
      </w:r>
    </w:p>
    <w:p w14:paraId="32C07D16">
      <w:r>
        <w:rPr>
          <w:rFonts w:hint="eastAsia"/>
        </w:rPr>
        <w:t>（六）按规定设置安全疏散指示标志和应急照明设施，保证防火门、防火卷帘、消防安全疏散指示标志、应急照明、机械排烟送风、火灾事故广播等设施处于正常状态。</w:t>
      </w:r>
    </w:p>
    <w:p w14:paraId="3C193B3B">
      <w:r>
        <w:rPr>
          <w:rFonts w:hint="eastAsia"/>
        </w:rPr>
        <w:t>（七）保证疏散通道、安全出口的畅通。不得占用疏散通道或者在疏散通道、安全出口上设置影响疏散的障碍物，不得在营业、生产、教学、工作期间封闭安全出口，不得遮挡安全疏散指示标志。</w:t>
      </w:r>
    </w:p>
    <w:p w14:paraId="65963EB6">
      <w:r>
        <w:rPr>
          <w:rFonts w:hint="eastAsia"/>
        </w:rPr>
        <w:t>（八）消防值班人员、巡逻人员坚守岗位，不得擅离职守。</w:t>
      </w:r>
    </w:p>
    <w:p w14:paraId="29D14CD0">
      <w:r>
        <w:rPr>
          <w:rFonts w:hint="eastAsia"/>
        </w:rPr>
        <w:t>（九）火灾发生后，及时报警、迅速组织扑救和人员疏散。不得不报、迟报、谎报火警，或者隐瞒火灾情况。</w:t>
      </w:r>
    </w:p>
    <w:p w14:paraId="7FDD3EE5">
      <w:r>
        <w:rPr>
          <w:rFonts w:hint="eastAsia"/>
        </w:rPr>
        <w:t>（十）火灾扑灭后，及时保护现场，接受事故调查并如实提供火灾事故情况。未经公安消防机构许可，不得进入、撤除、清理火灾现场。</w:t>
      </w:r>
    </w:p>
    <w:p w14:paraId="3F7F56CD">
      <w:r>
        <w:rPr>
          <w:rFonts w:hint="eastAsia"/>
        </w:rPr>
        <w:t>（十一）法律、法规和规章规定的其他消防安全义务。</w:t>
      </w:r>
    </w:p>
    <w:p w14:paraId="45BFE3BF">
      <w:pPr>
        <w:ind w:firstLine="422"/>
      </w:pPr>
      <w:r>
        <w:rPr>
          <w:rFonts w:hint="eastAsia"/>
          <w:b/>
        </w:rPr>
        <w:t>第九条</w:t>
      </w:r>
      <w:r>
        <w:rPr>
          <w:rFonts w:hint="eastAsia"/>
        </w:rPr>
        <w:t xml:space="preserve">  商场、市场、宾馆、饭店、歌舞厅、影剧院、体育场（馆）、医院、学校以及其他公众聚集场所和发生火灾可能性较大或者一旦发生火灾可能造成人身重大伤亡、财产重大损失的单位是消防安全重点单位。</w:t>
      </w:r>
    </w:p>
    <w:p w14:paraId="06FF55EF">
      <w:r>
        <w:rPr>
          <w:rFonts w:hint="eastAsia"/>
        </w:rPr>
        <w:t>消防安全重点单位除遵守本办法第八条规定外，还应当履行下列消防安全义务：</w:t>
      </w:r>
    </w:p>
    <w:p w14:paraId="5B06F9D8">
      <w:r>
        <w:rPr>
          <w:rFonts w:hint="eastAsia"/>
        </w:rPr>
        <w:t>（一）制定并完善火灾扑救和应急疏散预案，并至少每半年进行一次演练。</w:t>
      </w:r>
    </w:p>
    <w:p w14:paraId="5815BE87">
      <w:r>
        <w:rPr>
          <w:rFonts w:hint="eastAsia"/>
        </w:rPr>
        <w:t>（二）将单位消防安全管理措施和落实方案以及消防安全责任人、消防安全管理人等情况向单位所在地公安消防机构备案。</w:t>
      </w:r>
    </w:p>
    <w:p w14:paraId="601E4FEC">
      <w:r>
        <w:rPr>
          <w:rFonts w:hint="eastAsia"/>
        </w:rPr>
        <w:t>（三）对本单位工作人员至少每年进行一次消防安全培训。公众聚集场所至少每半年培训一次。</w:t>
      </w:r>
    </w:p>
    <w:p w14:paraId="1F42B9BA">
      <w:r>
        <w:rPr>
          <w:rFonts w:hint="eastAsia"/>
        </w:rPr>
        <w:t>（四）建立健全并统一保管消防档案。消防档案应当详实和全面反映本单位消防安全工作的基本情况，并根据情况变化及时补充、更新。</w:t>
      </w:r>
    </w:p>
    <w:p w14:paraId="1751172E">
      <w:r>
        <w:rPr>
          <w:rFonts w:hint="eastAsia"/>
        </w:rPr>
        <w:t>（五）严格落实有关动用明火的管理制度。公众聚集场所在营业期间禁止动火施工；</w:t>
      </w:r>
    </w:p>
    <w:p w14:paraId="758DB183">
      <w:r>
        <w:rPr>
          <w:rFonts w:hint="eastAsia"/>
        </w:rPr>
        <w:t>在非营业期间施工需要使用明火时，施工单位和使用单位应当共同采取措施，将施工区和使用区进行防火分隔，清除动火区域的易燃物、可燃物，配置消防器材，专人监护，保证施工和使用范围的消防安全。</w:t>
      </w:r>
    </w:p>
    <w:p w14:paraId="617A6B9C">
      <w:r>
        <w:rPr>
          <w:rFonts w:hint="eastAsia"/>
        </w:rPr>
        <w:t>（六）在消防安全重点部位设置明显的防火标志，实行严格管理。</w:t>
      </w:r>
    </w:p>
    <w:p w14:paraId="53C0F389">
      <w:pPr>
        <w:ind w:firstLine="422"/>
      </w:pPr>
      <w:r>
        <w:rPr>
          <w:rFonts w:hint="eastAsia"/>
          <w:b/>
        </w:rPr>
        <w:t>第十条</w:t>
      </w:r>
      <w:r>
        <w:rPr>
          <w:rFonts w:hint="eastAsia"/>
        </w:rPr>
        <w:t xml:space="preserve">  实行承包、租赁或者委托经营、管理的，产权单位应当提供符合消防安全要求的建筑物。</w:t>
      </w:r>
    </w:p>
    <w:p w14:paraId="41B52A4C">
      <w:r>
        <w:rPr>
          <w:rFonts w:hint="eastAsia"/>
        </w:rPr>
        <w:t>当事人在订立的合同中，可以依法明确各方的消防安全责任；当事人未订立合同或者在合同中未明确消防安全责任的，承包、承租或者受委托经营、管理的单位应当承担消防安全责任。</w:t>
      </w:r>
    </w:p>
    <w:p w14:paraId="59DCF341">
      <w:pPr>
        <w:ind w:firstLine="422"/>
      </w:pPr>
      <w:r>
        <w:rPr>
          <w:rFonts w:hint="eastAsia"/>
          <w:b/>
        </w:rPr>
        <w:t>第十一条</w:t>
      </w:r>
      <w:r>
        <w:rPr>
          <w:rFonts w:hint="eastAsia"/>
        </w:rPr>
        <w:t xml:space="preserve">  城镇居民居住区（含居住小区）的消防安全责任由产权管理单位负责；产权管理单位委托物业管理企业等单位管理的，由受委托的管理单位负责。</w:t>
      </w:r>
    </w:p>
    <w:p w14:paraId="18406EF1">
      <w:r>
        <w:rPr>
          <w:rFonts w:hint="eastAsia"/>
        </w:rPr>
        <w:t>城镇居民居住区（含居住小区）的消防安全责任单位应当履行下列义务：</w:t>
      </w:r>
    </w:p>
    <w:p w14:paraId="326F9B80">
      <w:r>
        <w:rPr>
          <w:rFonts w:hint="eastAsia"/>
        </w:rPr>
        <w:t>（一）制定消防安全制度，落实消防安全责任。</w:t>
      </w:r>
    </w:p>
    <w:p w14:paraId="1B473488">
      <w:r>
        <w:rPr>
          <w:rFonts w:hint="eastAsia"/>
        </w:rPr>
        <w:t>（二）开展消防安全宣传教育。</w:t>
      </w:r>
    </w:p>
    <w:p w14:paraId="67F399F6">
      <w:r>
        <w:rPr>
          <w:rFonts w:hint="eastAsia"/>
        </w:rPr>
        <w:t>（三）进行经常性的消防安全检查，及时消除火灾隐患。</w:t>
      </w:r>
    </w:p>
    <w:p w14:paraId="2B341E0E">
      <w:r>
        <w:rPr>
          <w:rFonts w:hint="eastAsia"/>
        </w:rPr>
        <w:t>（四）划定和设置停车泊位及设施时，不得占用、堵塞消防车通道。对占用、堵塞消防车通道的行为，及时制止、纠正。</w:t>
      </w:r>
    </w:p>
    <w:p w14:paraId="47B26D8C">
      <w:r>
        <w:rPr>
          <w:rFonts w:hint="eastAsia"/>
        </w:rPr>
        <w:t>（五）保障公共消防设施和器材、消防安全标志、疏散通道、安全出口等设施符合消防安全要求。</w:t>
      </w:r>
    </w:p>
    <w:p w14:paraId="7CA5A484">
      <w:pPr>
        <w:ind w:firstLine="422"/>
      </w:pPr>
      <w:r>
        <w:rPr>
          <w:rFonts w:hint="eastAsia"/>
          <w:b/>
        </w:rPr>
        <w:t>第十二条</w:t>
      </w:r>
      <w:r>
        <w:rPr>
          <w:rFonts w:hint="eastAsia"/>
        </w:rPr>
        <w:t xml:space="preserve">  单位应当定期进行内部消防安全检查；其中，公众聚集场所在营业期间应当至少每两小时进行一次防火巡查，营业开始前和结束后，应当对营业现场进行全面检查。</w:t>
      </w:r>
    </w:p>
    <w:p w14:paraId="22619D82">
      <w:r>
        <w:rPr>
          <w:rFonts w:hint="eastAsia"/>
        </w:rPr>
        <w:t>单位应当填写消防安全检查记录，对消防设施和器材的状况、是否存在火灾隐患以及对火灾隐患的整改措施等作出记载，并由检查人员和有关责任人员签字。单位应当建立消防安全检查记录档案，妥善保管消防安全记录，以备查验。</w:t>
      </w:r>
    </w:p>
    <w:p w14:paraId="77427FE2">
      <w:pPr>
        <w:ind w:firstLine="422"/>
      </w:pPr>
      <w:r>
        <w:rPr>
          <w:rFonts w:hint="eastAsia"/>
          <w:b/>
        </w:rPr>
        <w:t>第十三条</w:t>
      </w:r>
      <w:r>
        <w:rPr>
          <w:rFonts w:hint="eastAsia"/>
        </w:rPr>
        <w:t xml:space="preserve">  单位应当对存在的火灾隐患及时予以消除。</w:t>
      </w:r>
    </w:p>
    <w:p w14:paraId="15D1B3D9">
      <w:r>
        <w:rPr>
          <w:rFonts w:hint="eastAsia"/>
        </w:rPr>
        <w:t>在火灾隐患排除前，单位应当采取消防安全防范措施；对随时可能引发火灾或者一旦发生火灾将严重危及人身、财产安全的，应当立即停止对危险部位、设施的使用。</w:t>
      </w:r>
    </w:p>
    <w:p w14:paraId="39974DB7">
      <w:pPr>
        <w:ind w:firstLine="422"/>
      </w:pPr>
      <w:r>
        <w:rPr>
          <w:rFonts w:hint="eastAsia"/>
          <w:b/>
        </w:rPr>
        <w:t>第十四条</w:t>
      </w:r>
      <w:r>
        <w:rPr>
          <w:rFonts w:hint="eastAsia"/>
        </w:rPr>
        <w:t xml:space="preserve">  公安消防机构应当依法履行下列职责：</w:t>
      </w:r>
    </w:p>
    <w:p w14:paraId="0B1B98C0">
      <w:r>
        <w:rPr>
          <w:rFonts w:hint="eastAsia"/>
        </w:rPr>
        <w:t>（一）建立监督检查制度，对单位贯彻落实消防安全责任制度的情况进行定期的监督检查，对消防安全重点单位实行重点检查。</w:t>
      </w:r>
    </w:p>
    <w:p w14:paraId="0CF7E13C">
      <w:r>
        <w:rPr>
          <w:rFonts w:hint="eastAsia"/>
        </w:rPr>
        <w:t>（二）对发现火灾隐患以及单位不落实消防安全责任制度的，立即通知有关单位或者个人改正。</w:t>
      </w:r>
    </w:p>
    <w:p w14:paraId="34F3F3FF">
      <w:r>
        <w:rPr>
          <w:rFonts w:hint="eastAsia"/>
        </w:rPr>
        <w:t>（三）对火灾事故及时进行调查，并按照国家有关规定上报火灾事故情况，不得隐瞒不报、谎报或者拖延不报。</w:t>
      </w:r>
    </w:p>
    <w:p w14:paraId="1FE7BC53">
      <w:r>
        <w:rPr>
          <w:rFonts w:hint="eastAsia"/>
        </w:rPr>
        <w:t>（四）对涉及消防安全需要审查批准或者验收的事项，必须严格依法办理；对不符合消防安全要求的，不得批准或者验收通过。</w:t>
      </w:r>
    </w:p>
    <w:p w14:paraId="5ABBA858">
      <w:r>
        <w:rPr>
          <w:rFonts w:hint="eastAsia"/>
        </w:rPr>
        <w:t>（五）对群众举报的火灾隐患和违反消防法律、法规和规章的行为进行调查、处理。</w:t>
      </w:r>
    </w:p>
    <w:p w14:paraId="5A49E162">
      <w:pPr>
        <w:ind w:firstLine="422"/>
      </w:pPr>
      <w:r>
        <w:rPr>
          <w:rFonts w:hint="eastAsia"/>
          <w:b/>
        </w:rPr>
        <w:t>第十五条</w:t>
      </w:r>
      <w:r>
        <w:rPr>
          <w:rFonts w:hint="eastAsia"/>
        </w:rPr>
        <w:t xml:space="preserve">  公安消防机构依法对单位进行消防安全监督检查时，应当将监督检查的情况和处理结果予以记录，并由监督检查人员签字后归档。公众有权查阅公安消防机构的监督检查记录。</w:t>
      </w:r>
    </w:p>
    <w:p w14:paraId="5E005724">
      <w:r>
        <w:rPr>
          <w:rFonts w:hint="eastAsia"/>
        </w:rPr>
        <w:t>公安消防机构对发现单位中随时有可能发生火灾危险的部位或者设施，有权责令有关单位立即改正或者立即停止使用相关部位、设施。</w:t>
      </w:r>
    </w:p>
    <w:p w14:paraId="69A990E0">
      <w:r>
        <w:rPr>
          <w:rFonts w:hint="eastAsia"/>
        </w:rPr>
        <w:t>对严重存在火灾隐患的公众聚集场所，公安消防机构有权向社会公告。</w:t>
      </w:r>
    </w:p>
    <w:p w14:paraId="66271393">
      <w:pPr>
        <w:ind w:firstLine="422"/>
      </w:pPr>
      <w:r>
        <w:rPr>
          <w:rFonts w:hint="eastAsia"/>
          <w:b/>
        </w:rPr>
        <w:t>第十六条</w:t>
      </w:r>
      <w:r>
        <w:rPr>
          <w:rFonts w:hint="eastAsia"/>
        </w:rPr>
        <w:t xml:space="preserve">  公安消防机构依法对生产经营单位进行消防安全监督检查时，可以行使下列职权：</w:t>
      </w:r>
    </w:p>
    <w:p w14:paraId="1246F55E">
      <w:r>
        <w:rPr>
          <w:rFonts w:hint="eastAsia"/>
        </w:rPr>
        <w:t>（一）进入单位进行检查，调阅有关资料，向有关单位和人员了解情况。</w:t>
      </w:r>
    </w:p>
    <w:p w14:paraId="3A021849">
      <w:r>
        <w:rPr>
          <w:rFonts w:hint="eastAsia"/>
        </w:rPr>
        <w:t>（二）对检查中发现的消防安全违法行为，当场予以纠正或者要求限期改正；对依法应当给予行政处罚的行为，依法作出行政处罚决定。</w:t>
      </w:r>
    </w:p>
    <w:p w14:paraId="67F2D0A0">
      <w:r>
        <w:rPr>
          <w:rFonts w:hint="eastAsia"/>
        </w:rPr>
        <w:t>（三）对检查中发现的能够即时排除的火灾隐患，应当责令立即排除；重大火灾隐患排除前或者排除过程中无法保证安全的，应当责令从危险区域内撤出作业人员，责令暂时停产停业或者停止使用；重大火灾隐患排除后，经公安消防机构审查同意，方可生产经营和使用。</w:t>
      </w:r>
    </w:p>
    <w:p w14:paraId="4C466FB9">
      <w:r>
        <w:rPr>
          <w:rFonts w:hint="eastAsia"/>
        </w:rPr>
        <w:t>（四）对有根据认为不符合消防安全要求的设施、设备、器材予以查封或者扣押，并应当</w:t>
      </w:r>
      <w:r>
        <w:rPr>
          <w:rFonts w:hint="eastAsia" w:ascii="宋体" w:hAnsi="宋体" w:eastAsia="宋体" w:cs="宋体"/>
        </w:rPr>
        <w:t>在15日内依法作出处理决</w:t>
      </w:r>
      <w:r>
        <w:rPr>
          <w:rFonts w:hint="eastAsia"/>
        </w:rPr>
        <w:t>定。</w:t>
      </w:r>
    </w:p>
    <w:p w14:paraId="2BCFEB42">
      <w:pPr>
        <w:ind w:firstLine="422"/>
      </w:pPr>
      <w:r>
        <w:rPr>
          <w:rFonts w:hint="eastAsia"/>
          <w:b/>
        </w:rPr>
        <w:t>第十七条</w:t>
      </w:r>
      <w:r>
        <w:rPr>
          <w:rFonts w:hint="eastAsia"/>
        </w:rPr>
        <w:t xml:space="preserve">  公安消防机构对在监督检查中发现的应当由其他有关部门处理的安全生产隐患问题，应当及时移送其他有关部门并形成记录备查，接受移送的部门应当及时进行处理。</w:t>
      </w:r>
    </w:p>
    <w:p w14:paraId="2145FEA1">
      <w:pPr>
        <w:ind w:firstLine="422"/>
        <w:rPr>
          <w:rFonts w:hint="eastAsia" w:ascii="宋体" w:hAnsi="宋体" w:eastAsia="宋体" w:cs="宋体"/>
        </w:rPr>
      </w:pPr>
      <w:r>
        <w:rPr>
          <w:rFonts w:hint="eastAsia"/>
          <w:b/>
        </w:rPr>
        <w:t>第十八条</w:t>
      </w:r>
      <w:r>
        <w:rPr>
          <w:rFonts w:hint="eastAsia"/>
        </w:rPr>
        <w:t xml:space="preserve">  违反本办法</w:t>
      </w:r>
      <w:r>
        <w:rPr>
          <w:rFonts w:hint="eastAsia" w:ascii="宋体" w:hAnsi="宋体" w:eastAsia="宋体" w:cs="宋体"/>
        </w:rPr>
        <w:t>第八条、第九条、第十一条、第十二条、第十三条规定的，对从事经营活动的单位，由公安消防机构处1万元以上3万元以下罚款；对其他单位，由公安消防机构处1000元罚款。法律、法规另有规定的，从其规定。</w:t>
      </w:r>
    </w:p>
    <w:p w14:paraId="4B9162CD">
      <w:pPr>
        <w:rPr>
          <w:rFonts w:hint="eastAsia" w:ascii="宋体" w:hAnsi="宋体" w:eastAsia="宋体" w:cs="宋体"/>
        </w:rPr>
      </w:pPr>
      <w:r>
        <w:rPr>
          <w:rFonts w:hint="eastAsia" w:ascii="宋体" w:hAnsi="宋体" w:eastAsia="宋体" w:cs="宋体"/>
        </w:rPr>
        <w:t>除依照前款规定处罚外，公安消防机构可以并对单位直接负责的主管人员和其他直接责任人员处警告或者500元以上1000元以下罚款。</w:t>
      </w:r>
    </w:p>
    <w:p w14:paraId="52409B36">
      <w:pPr>
        <w:ind w:firstLine="422"/>
        <w:rPr>
          <w:rFonts w:hint="eastAsia" w:ascii="宋体" w:hAnsi="宋体" w:eastAsia="宋体" w:cs="宋体"/>
        </w:rPr>
      </w:pPr>
      <w:r>
        <w:rPr>
          <w:rFonts w:hint="eastAsia"/>
          <w:b/>
        </w:rPr>
        <w:t>第十九条</w:t>
      </w:r>
      <w:r>
        <w:rPr>
          <w:rFonts w:hint="eastAsia"/>
        </w:rPr>
        <w:t xml:space="preserve">  对违反本办法，存在火灾隐患，经公安消防机构通知逾期不改正，发生火灾的，由公安消防机构处</w:t>
      </w:r>
      <w:r>
        <w:rPr>
          <w:rFonts w:hint="eastAsia" w:ascii="宋体" w:hAnsi="宋体" w:eastAsia="宋体" w:cs="宋体"/>
        </w:rPr>
        <w:t>警告或者2万元以上20万元以下罚款。</w:t>
      </w:r>
    </w:p>
    <w:p w14:paraId="2441551F">
      <w:pPr>
        <w:rPr>
          <w:rFonts w:hint="eastAsia" w:ascii="宋体" w:hAnsi="宋体" w:eastAsia="宋体" w:cs="宋体"/>
        </w:rPr>
      </w:pPr>
      <w:r>
        <w:rPr>
          <w:rFonts w:hint="eastAsia" w:ascii="宋体" w:hAnsi="宋体" w:eastAsia="宋体" w:cs="宋体"/>
        </w:rPr>
        <w:t>除依照前款规定处罚外，公安消防机构可以并对单位直接负责的主管人员和其他直接责任人员处警告或者500元以上5000元以下罚款。</w:t>
      </w:r>
    </w:p>
    <w:p w14:paraId="70861E3F">
      <w:pPr>
        <w:ind w:firstLine="422"/>
      </w:pPr>
      <w:r>
        <w:rPr>
          <w:rFonts w:hint="eastAsia"/>
          <w:b/>
        </w:rPr>
        <w:t>第二十条</w:t>
      </w:r>
      <w:r>
        <w:rPr>
          <w:rFonts w:hint="eastAsia"/>
        </w:rPr>
        <w:t xml:space="preserve">  公安消防机构工作人员违反本办法，不履行或者不依法履行消防安全监督检查职责的，由有关部门给予行政处分；构成犯罪的，依照刑法有关规定追究刑事责任。</w:t>
      </w:r>
    </w:p>
    <w:p w14:paraId="21FC97BF">
      <w:pPr>
        <w:ind w:firstLine="422"/>
        <w:rPr>
          <w:rFonts w:hint="eastAsia" w:ascii="宋体" w:hAnsi="宋体" w:eastAsia="宋体" w:cs="宋体"/>
        </w:rPr>
      </w:pPr>
      <w:r>
        <w:rPr>
          <w:rFonts w:hint="eastAsia"/>
          <w:b/>
        </w:rPr>
        <w:t>第二十一条</w:t>
      </w:r>
      <w:r>
        <w:rPr>
          <w:rFonts w:hint="eastAsia"/>
        </w:rPr>
        <w:t xml:space="preserve">  本办</w:t>
      </w:r>
      <w:r>
        <w:rPr>
          <w:rFonts w:hint="eastAsia" w:ascii="宋体" w:hAnsi="宋体" w:eastAsia="宋体" w:cs="宋体"/>
        </w:rPr>
        <w:t>法自2004年4月20日起施行。</w:t>
      </w:r>
    </w:p>
    <w:p w14:paraId="5F27EA4E">
      <w:pPr>
        <w:rPr>
          <w:rFonts w:hint="eastAsia" w:ascii="宋体" w:hAnsi="宋体" w:eastAsia="宋体" w:cs="宋体"/>
        </w:rPr>
      </w:pPr>
      <w:r>
        <w:rPr>
          <w:rFonts w:hint="eastAsia" w:ascii="宋体" w:hAnsi="宋体" w:eastAsia="宋体" w:cs="宋体"/>
        </w:rPr>
        <w:t>2000年3月13日市人民政府第53号令发布的《北京市防火安全工作管理规定》同时废止。</w:t>
      </w:r>
    </w:p>
    <w:p w14:paraId="73977FA4"/>
    <w:p w14:paraId="15366B3C">
      <w:pPr>
        <w:pStyle w:val="4"/>
        <w:pageBreakBefore/>
      </w:pPr>
      <w:bookmarkStart w:id="1913" w:name="_Toc428781767"/>
      <w:bookmarkStart w:id="1914" w:name="_Toc428780385"/>
      <w:bookmarkStart w:id="1915" w:name="_Toc426467019"/>
      <w:r>
        <w:rPr>
          <w:rFonts w:hint="eastAsia"/>
        </w:rPr>
        <w:t>北京市旅馆业治安管理规定</w:t>
      </w:r>
      <w:bookmarkEnd w:id="1913"/>
      <w:bookmarkEnd w:id="1914"/>
      <w:bookmarkEnd w:id="1915"/>
    </w:p>
    <w:p w14:paraId="0BE60ECD">
      <w:pPr>
        <w:ind w:left="630" w:leftChars="300" w:right="630" w:rightChars="300"/>
        <w:rPr>
          <w:rFonts w:ascii="楷体" w:hAnsi="楷体" w:eastAsia="楷体"/>
        </w:rPr>
      </w:pPr>
      <w:r>
        <w:rPr>
          <w:rFonts w:hint="eastAsia" w:ascii="楷体" w:hAnsi="楷体" w:eastAsia="楷体"/>
        </w:rPr>
        <w:t>（2006年12月4日北京市人民政府第57次常务会议审议通过  2006年12月14日北京市人民政府第184号令公布）</w:t>
      </w:r>
    </w:p>
    <w:p w14:paraId="5A06C4CC"/>
    <w:p w14:paraId="0C75F331">
      <w:pPr>
        <w:ind w:firstLine="422"/>
      </w:pPr>
      <w:r>
        <w:rPr>
          <w:rFonts w:hint="eastAsia"/>
          <w:b/>
        </w:rPr>
        <w:t>第一条</w:t>
      </w:r>
      <w:r>
        <w:rPr>
          <w:rFonts w:hint="eastAsia"/>
        </w:rPr>
        <w:t xml:space="preserve">  为了加强旅馆业治安管理，保护公民、法人和其他组织的合法权益，维护社会治安秩序，根据国家有关法律、法规的规定，结合本市的实际情况，制定本规定。</w:t>
      </w:r>
    </w:p>
    <w:p w14:paraId="60862414">
      <w:pPr>
        <w:ind w:firstLine="422"/>
      </w:pPr>
      <w:r>
        <w:rPr>
          <w:rFonts w:hint="eastAsia"/>
          <w:b/>
        </w:rPr>
        <w:t>第二条</w:t>
      </w:r>
      <w:r>
        <w:rPr>
          <w:rFonts w:hint="eastAsia"/>
        </w:rPr>
        <w:t xml:space="preserve">  本规定适用于本市行政区域内的宾馆、饭店、旅店、招待所以及其他以洗浴、计时休息、酒店式公寓等形式提供住宿休息服务的经营场所（以下统称旅馆）。</w:t>
      </w:r>
    </w:p>
    <w:p w14:paraId="76BDB0E1">
      <w:pPr>
        <w:ind w:firstLine="422"/>
      </w:pPr>
      <w:r>
        <w:rPr>
          <w:rFonts w:hint="eastAsia"/>
          <w:b/>
        </w:rPr>
        <w:t>第三条</w:t>
      </w:r>
      <w:r>
        <w:rPr>
          <w:rFonts w:hint="eastAsia"/>
        </w:rPr>
        <w:t xml:space="preserve">  市和区、县公安机关是本市旅馆业治安管理工作的主管机关。</w:t>
      </w:r>
    </w:p>
    <w:p w14:paraId="4F632779">
      <w:r>
        <w:rPr>
          <w:rFonts w:hint="eastAsia"/>
        </w:rPr>
        <w:t>旅游、卫生、工商、公安消防等部门应当依法按照各自职责做好旅馆业治安管理相关工作。</w:t>
      </w:r>
    </w:p>
    <w:p w14:paraId="3E93F8FE">
      <w:pPr>
        <w:ind w:firstLine="422"/>
      </w:pPr>
      <w:r>
        <w:rPr>
          <w:rFonts w:hint="eastAsia"/>
          <w:b/>
        </w:rPr>
        <w:t>第四条</w:t>
      </w:r>
      <w:r>
        <w:rPr>
          <w:rFonts w:hint="eastAsia"/>
        </w:rPr>
        <w:t xml:space="preserve">  开办旅馆应当具备下列条件：</w:t>
      </w:r>
    </w:p>
    <w:p w14:paraId="16E5C5AD">
      <w:r>
        <w:rPr>
          <w:rFonts w:hint="eastAsia"/>
        </w:rPr>
        <w:t>（一）对经营场所享有合法的所有权或者使用权。</w:t>
      </w:r>
    </w:p>
    <w:p w14:paraId="6EB99F6E">
      <w:r>
        <w:rPr>
          <w:rFonts w:hint="eastAsia"/>
        </w:rPr>
        <w:t>（二）旅馆与其所在建筑物中的非旅馆部分之间有隔离设施。</w:t>
      </w:r>
    </w:p>
    <w:p w14:paraId="783F8B87">
      <w:r>
        <w:rPr>
          <w:rFonts w:hint="eastAsia"/>
        </w:rPr>
        <w:t>（三）客房区为独立区域，与旅馆内的娱乐、商业等附属服务设施分隔。</w:t>
      </w:r>
    </w:p>
    <w:p w14:paraId="479F8AE8">
      <w:r>
        <w:rPr>
          <w:rFonts w:hint="eastAsia"/>
        </w:rPr>
        <w:t>（四）安全出口不少于两个；利用地下空间开办旅馆的，安全出口直通室外。</w:t>
      </w:r>
    </w:p>
    <w:p w14:paraId="47368755">
      <w:r>
        <w:rPr>
          <w:rFonts w:hint="eastAsia"/>
        </w:rPr>
        <w:t>（五）出入口、通道、电梯及其他公共区域有公共安全图像信息系统。</w:t>
      </w:r>
    </w:p>
    <w:p w14:paraId="5F600AC5">
      <w:r>
        <w:rPr>
          <w:rFonts w:hint="eastAsia"/>
        </w:rPr>
        <w:t>（六）有符合旅馆业治安管理信息系统要求的设备设施。</w:t>
      </w:r>
    </w:p>
    <w:p w14:paraId="77417FAE">
      <w:r>
        <w:rPr>
          <w:rFonts w:hint="eastAsia"/>
        </w:rPr>
        <w:t>（七）有旅客财物、行李保管室或者保险箱（柜）以及其他治安防范设施。</w:t>
      </w:r>
    </w:p>
    <w:p w14:paraId="11FE6911">
      <w:r>
        <w:rPr>
          <w:rFonts w:hint="eastAsia"/>
        </w:rPr>
        <w:t>（八）客房内人均使用面积不少</w:t>
      </w:r>
      <w:r>
        <w:rPr>
          <w:rFonts w:hint="eastAsia" w:ascii="宋体" w:hAnsi="宋体" w:eastAsia="宋体" w:cs="宋体"/>
        </w:rPr>
        <w:t>于4平方</w:t>
      </w:r>
      <w:r>
        <w:rPr>
          <w:rFonts w:hint="eastAsia"/>
        </w:rPr>
        <w:t>米。</w:t>
      </w:r>
    </w:p>
    <w:p w14:paraId="2303352C">
      <w:r>
        <w:rPr>
          <w:rFonts w:hint="eastAsia"/>
        </w:rPr>
        <w:t>（九）法律、法规、规章规定的其他条件。</w:t>
      </w:r>
    </w:p>
    <w:p w14:paraId="69D923A5">
      <w:pPr>
        <w:ind w:firstLine="422"/>
      </w:pPr>
      <w:r>
        <w:rPr>
          <w:rFonts w:hint="eastAsia"/>
          <w:b/>
        </w:rPr>
        <w:t>第五条</w:t>
      </w:r>
      <w:r>
        <w:rPr>
          <w:rFonts w:hint="eastAsia"/>
        </w:rPr>
        <w:t xml:space="preserve">  禁止在居民住宅地上部分或者利用人防工程、普通地下室的地下三层以及地下三层以下开办旅馆。</w:t>
      </w:r>
    </w:p>
    <w:p w14:paraId="36FAAFB1">
      <w:pPr>
        <w:ind w:firstLine="422"/>
      </w:pPr>
      <w:r>
        <w:rPr>
          <w:rFonts w:hint="eastAsia"/>
          <w:b/>
        </w:rPr>
        <w:t>第六条</w:t>
      </w:r>
      <w:r>
        <w:rPr>
          <w:rFonts w:hint="eastAsia"/>
        </w:rPr>
        <w:t xml:space="preserve">  本市对旅馆业实行特种行业许可制度。</w:t>
      </w:r>
    </w:p>
    <w:p w14:paraId="2F5FDC65">
      <w:r>
        <w:rPr>
          <w:rFonts w:hint="eastAsia"/>
        </w:rPr>
        <w:t>申请开办旅馆的，申请人应当向开办旅馆所在地的区、县公安机关申请《特种行业许可证》。</w:t>
      </w:r>
    </w:p>
    <w:p w14:paraId="7DADEADB">
      <w:pPr>
        <w:ind w:firstLine="422"/>
      </w:pPr>
      <w:r>
        <w:rPr>
          <w:rFonts w:hint="eastAsia"/>
          <w:b/>
        </w:rPr>
        <w:t>第七条</w:t>
      </w:r>
      <w:r>
        <w:rPr>
          <w:rFonts w:hint="eastAsia"/>
        </w:rPr>
        <w:t xml:space="preserve">  申请人申请开办旅馆时，应当提交下列材料：</w:t>
      </w:r>
    </w:p>
    <w:p w14:paraId="16D930F5">
      <w:r>
        <w:rPr>
          <w:rFonts w:hint="eastAsia"/>
        </w:rPr>
        <w:t>（一）法定代表人或者非法人单位主要负责人的身份证明。</w:t>
      </w:r>
    </w:p>
    <w:p w14:paraId="0924BC22">
      <w:r>
        <w:rPr>
          <w:rFonts w:hint="eastAsia"/>
        </w:rPr>
        <w:t>（二）工商行政管理部门核发的《企业名称预先核准通知书》或者《企业名称变更预先核准通知书》。</w:t>
      </w:r>
    </w:p>
    <w:p w14:paraId="63ED82AB">
      <w:r>
        <w:rPr>
          <w:rFonts w:hint="eastAsia"/>
        </w:rPr>
        <w:t>（三）经营场所的产权证明或者租赁使用证明。</w:t>
      </w:r>
    </w:p>
    <w:p w14:paraId="6D5E177F">
      <w:r>
        <w:rPr>
          <w:rFonts w:hint="eastAsia"/>
        </w:rPr>
        <w:t>（四）旅馆方位图及其内部平面图。</w:t>
      </w:r>
    </w:p>
    <w:p w14:paraId="55F61AC3">
      <w:r>
        <w:rPr>
          <w:rFonts w:hint="eastAsia"/>
        </w:rPr>
        <w:t>（五）公安消防机构出具的消防安全检查合格证明。</w:t>
      </w:r>
    </w:p>
    <w:p w14:paraId="7F8BC213">
      <w:r>
        <w:rPr>
          <w:rFonts w:hint="eastAsia"/>
        </w:rPr>
        <w:t>（六）旅馆治安管理制度和突发事件应急方案。</w:t>
      </w:r>
    </w:p>
    <w:p w14:paraId="3E8DF907">
      <w:r>
        <w:rPr>
          <w:rFonts w:hint="eastAsia"/>
        </w:rPr>
        <w:t>（七）旅馆治安保卫负责人、治安保卫人员、登记验证人员的基本情况。</w:t>
      </w:r>
    </w:p>
    <w:p w14:paraId="3F4ED57A">
      <w:r>
        <w:rPr>
          <w:rFonts w:hint="eastAsia"/>
        </w:rPr>
        <w:t>（八）依照法律、法规、规章的规定，需要提供的其他材料。</w:t>
      </w:r>
    </w:p>
    <w:p w14:paraId="745CF2D6">
      <w:pPr>
        <w:ind w:firstLine="422"/>
      </w:pPr>
      <w:r>
        <w:rPr>
          <w:rFonts w:hint="eastAsia"/>
          <w:b/>
        </w:rPr>
        <w:t>第八条</w:t>
      </w:r>
      <w:r>
        <w:rPr>
          <w:rFonts w:hint="eastAsia"/>
        </w:rPr>
        <w:t xml:space="preserve">  区、县公安机关应当自受理许可申请之日起</w:t>
      </w:r>
      <w:r>
        <w:rPr>
          <w:rFonts w:hint="eastAsia" w:ascii="宋体" w:hAnsi="宋体" w:eastAsia="宋体" w:cs="宋体"/>
        </w:rPr>
        <w:t>20</w:t>
      </w:r>
      <w:r>
        <w:rPr>
          <w:rFonts w:hint="eastAsia"/>
        </w:rPr>
        <w:t>个工作日内，对申请人提交的申请材料进行审查，并对旅馆的开办条件进行实地勘验。对符合条件的，应当作出许可决定，核发《特种行业许可证》；对不符合条件的，不予许可，并应当书面说明理由。</w:t>
      </w:r>
    </w:p>
    <w:p w14:paraId="2F11515B">
      <w:r>
        <w:rPr>
          <w:rFonts w:hint="eastAsia"/>
        </w:rPr>
        <w:t>区、县公</w:t>
      </w:r>
      <w:r>
        <w:rPr>
          <w:rFonts w:hint="eastAsia" w:ascii="宋体" w:hAnsi="宋体" w:eastAsia="宋体" w:cs="宋体"/>
        </w:rPr>
        <w:t>安机关在20个工作日内不能作出许可决定的，经本级公安机关负责人批准，可以延长10个工作日，并应当将延长期限的理由告知</w:t>
      </w:r>
      <w:r>
        <w:rPr>
          <w:rFonts w:hint="eastAsia"/>
        </w:rPr>
        <w:t>申请人。</w:t>
      </w:r>
    </w:p>
    <w:p w14:paraId="4A01F747">
      <w:pPr>
        <w:ind w:firstLine="422"/>
      </w:pPr>
      <w:r>
        <w:rPr>
          <w:rFonts w:hint="eastAsia"/>
          <w:b/>
        </w:rPr>
        <w:t>第九条</w:t>
      </w:r>
      <w:r>
        <w:rPr>
          <w:rFonts w:hint="eastAsia"/>
        </w:rPr>
        <w:t xml:space="preserve">  旅馆的名称、法定代表人或者非法人单位主要负责人等许可事项发生变更的，应当自决定变更许可事项之日起的</w:t>
      </w:r>
      <w:r>
        <w:rPr>
          <w:rFonts w:hint="eastAsia" w:ascii="宋体" w:hAnsi="宋体" w:eastAsia="宋体" w:cs="宋体"/>
        </w:rPr>
        <w:t>3个工作</w:t>
      </w:r>
      <w:r>
        <w:rPr>
          <w:rFonts w:hint="eastAsia"/>
        </w:rPr>
        <w:t>日内，到原作出许可决定的公安机关办理变更手续。</w:t>
      </w:r>
    </w:p>
    <w:p w14:paraId="11FF7BC3">
      <w:r>
        <w:rPr>
          <w:rFonts w:hint="eastAsia"/>
        </w:rPr>
        <w:t>因翻修、改造、扩建、合并等原因改变旅馆原有开办条件的，应当到原作出许可决定的公安机关办理变更手续，原作出许可决定的公安机关应当重新进行实地勘验。</w:t>
      </w:r>
    </w:p>
    <w:p w14:paraId="70BAECBC">
      <w:pPr>
        <w:ind w:firstLine="422"/>
      </w:pPr>
      <w:r>
        <w:rPr>
          <w:rFonts w:hint="eastAsia"/>
          <w:b/>
        </w:rPr>
        <w:t>第十条</w:t>
      </w:r>
      <w:r>
        <w:rPr>
          <w:rFonts w:hint="eastAsia"/>
        </w:rPr>
        <w:t xml:space="preserve">  旅馆迁移地址的，应当向新址所在地的区、县公安机关重新申请《特种行业许可证》。</w:t>
      </w:r>
    </w:p>
    <w:p w14:paraId="59C803BC">
      <w:pPr>
        <w:ind w:firstLine="422"/>
      </w:pPr>
      <w:r>
        <w:rPr>
          <w:rFonts w:hint="eastAsia"/>
          <w:b/>
        </w:rPr>
        <w:t>第十一条</w:t>
      </w:r>
      <w:r>
        <w:rPr>
          <w:rFonts w:hint="eastAsia"/>
        </w:rPr>
        <w:t xml:space="preserve">  旅馆停业、歇业的，应当在停业、歇业</w:t>
      </w:r>
      <w:r>
        <w:rPr>
          <w:rFonts w:hint="eastAsia" w:ascii="宋体" w:hAnsi="宋体" w:eastAsia="宋体" w:cs="宋体"/>
        </w:rPr>
        <w:t>的3个工作</w:t>
      </w:r>
      <w:r>
        <w:rPr>
          <w:rFonts w:hint="eastAsia"/>
        </w:rPr>
        <w:t>日前向原作出许可决定的公安机关备案。</w:t>
      </w:r>
    </w:p>
    <w:p w14:paraId="1384E3AE">
      <w:pPr>
        <w:ind w:firstLine="422"/>
      </w:pPr>
      <w:r>
        <w:rPr>
          <w:rFonts w:hint="eastAsia"/>
          <w:b/>
        </w:rPr>
        <w:t>第十二条</w:t>
      </w:r>
      <w:r>
        <w:rPr>
          <w:rFonts w:hint="eastAsia"/>
        </w:rPr>
        <w:t xml:space="preserve">  申请人办理许可手续时，应当如实向公安机关提交有关材料。以欺骗、贿赂等不正当手段取得《特种行业许可证》的，由原作出许可决定的公安机关予以撤销，</w:t>
      </w:r>
      <w:r>
        <w:rPr>
          <w:rFonts w:hint="eastAsia" w:ascii="宋体" w:hAnsi="宋体" w:eastAsia="宋体" w:cs="宋体"/>
        </w:rPr>
        <w:t>并在3</w:t>
      </w:r>
      <w:r>
        <w:rPr>
          <w:rFonts w:hint="eastAsia"/>
        </w:rPr>
        <w:t>年内不再受理其申请。</w:t>
      </w:r>
    </w:p>
    <w:p w14:paraId="0F91BD07">
      <w:r>
        <w:rPr>
          <w:rFonts w:hint="eastAsia"/>
        </w:rPr>
        <w:t>禁止涂改、倒卖、出租、出借或者以其他形式非法转让《特种行业许可证》。</w:t>
      </w:r>
    </w:p>
    <w:p w14:paraId="400C6B99">
      <w:pPr>
        <w:ind w:firstLine="422"/>
      </w:pPr>
      <w:r>
        <w:rPr>
          <w:rFonts w:hint="eastAsia"/>
          <w:b/>
        </w:rPr>
        <w:t>第十三条</w:t>
      </w:r>
      <w:r>
        <w:rPr>
          <w:rFonts w:hint="eastAsia"/>
        </w:rPr>
        <w:t xml:space="preserve">  旅馆及其工作人员应当履行下列职责：</w:t>
      </w:r>
    </w:p>
    <w:p w14:paraId="634CD959">
      <w:r>
        <w:rPr>
          <w:rFonts w:hint="eastAsia"/>
        </w:rPr>
        <w:t>（一）落实治安管理制度和治安防范措施，发现安全隐患及时进行整改。</w:t>
      </w:r>
    </w:p>
    <w:p w14:paraId="5425340A">
      <w:r>
        <w:rPr>
          <w:rFonts w:hint="eastAsia"/>
        </w:rPr>
        <w:t>（二）落实突发事件应急方案，定期组织演练。</w:t>
      </w:r>
    </w:p>
    <w:p w14:paraId="2FE9EC29">
      <w:r>
        <w:rPr>
          <w:rFonts w:hint="eastAsia"/>
        </w:rPr>
        <w:t>（三）组织工作人员接受治安防范知识和技能的培训。</w:t>
      </w:r>
    </w:p>
    <w:p w14:paraId="7BD56FF7">
      <w:r>
        <w:rPr>
          <w:rFonts w:hint="eastAsia"/>
        </w:rPr>
        <w:t>（四）建立旅客验证登记制度，按照规定设专人查验旅客身份证件，并录入旅馆业治安管理信息系统。</w:t>
      </w:r>
    </w:p>
    <w:p w14:paraId="3C96BA7F">
      <w:r>
        <w:rPr>
          <w:rFonts w:hint="eastAsia"/>
        </w:rPr>
        <w:t>（五）建立值班巡视制度，客房区全天有人值班巡查，服务台、监控室设专人全天值守。</w:t>
      </w:r>
    </w:p>
    <w:p w14:paraId="3A351BF8">
      <w:r>
        <w:rPr>
          <w:rFonts w:hint="eastAsia"/>
        </w:rPr>
        <w:t>（六）建立会客登记制度。</w:t>
      </w:r>
    </w:p>
    <w:p w14:paraId="2F600D17">
      <w:r>
        <w:rPr>
          <w:rFonts w:hint="eastAsia"/>
        </w:rPr>
        <w:t>（七）对违反旅馆治安管理制度的行为及时制止。</w:t>
      </w:r>
    </w:p>
    <w:p w14:paraId="5E15F13A">
      <w:pPr>
        <w:rPr>
          <w:rFonts w:hint="eastAsia" w:ascii="宋体" w:hAnsi="宋体" w:eastAsia="宋体" w:cs="宋体"/>
        </w:rPr>
      </w:pPr>
      <w:r>
        <w:rPr>
          <w:rFonts w:hint="eastAsia"/>
        </w:rPr>
        <w:t>（八）保证公共安全图像信息系统在旅馆营业期间正常运行，不得中断；图像信息资料的保存期不得少</w:t>
      </w:r>
      <w:r>
        <w:rPr>
          <w:rFonts w:hint="eastAsia" w:ascii="宋体" w:hAnsi="宋体" w:eastAsia="宋体" w:cs="宋体"/>
        </w:rPr>
        <w:t>于30日。</w:t>
      </w:r>
    </w:p>
    <w:p w14:paraId="6F5EE377">
      <w:r>
        <w:rPr>
          <w:rFonts w:hint="eastAsia"/>
        </w:rPr>
        <w:t>（九）对旅客遗留的财物妥善保管；无法归还原主的，送交公安机关。</w:t>
      </w:r>
    </w:p>
    <w:p w14:paraId="7E6A3092">
      <w:r>
        <w:rPr>
          <w:rFonts w:hint="eastAsia"/>
        </w:rPr>
        <w:t>（十）接受公安机关的指导、监督和检查；配合公安机关执行公务。</w:t>
      </w:r>
    </w:p>
    <w:p w14:paraId="68035DA4">
      <w:r>
        <w:rPr>
          <w:rFonts w:hint="eastAsia"/>
        </w:rPr>
        <w:t>（十一）法律、法规、规章规定的其他职责。</w:t>
      </w:r>
    </w:p>
    <w:p w14:paraId="34CD66B0">
      <w:pPr>
        <w:ind w:firstLine="422"/>
      </w:pPr>
      <w:r>
        <w:rPr>
          <w:rFonts w:hint="eastAsia"/>
          <w:b/>
        </w:rPr>
        <w:t>第十四条</w:t>
      </w:r>
      <w:r>
        <w:rPr>
          <w:rFonts w:hint="eastAsia"/>
        </w:rPr>
        <w:t xml:space="preserve">  旅馆及其工作人员，不得强迫他人接受住宿服务；不得为违法犯罪提供条件，为违法犯罪行为人通风报信，包庇、纵容或者隐瞒违法犯罪活动。</w:t>
      </w:r>
    </w:p>
    <w:p w14:paraId="6EC497EB">
      <w:pPr>
        <w:ind w:firstLine="422"/>
      </w:pPr>
      <w:r>
        <w:rPr>
          <w:rFonts w:hint="eastAsia"/>
          <w:b/>
        </w:rPr>
        <w:t>第十五条</w:t>
      </w:r>
      <w:r>
        <w:rPr>
          <w:rFonts w:hint="eastAsia"/>
        </w:rPr>
        <w:t xml:space="preserve">  旅馆及其工作人员发现下列情况之一的，应当报告公安机关：</w:t>
      </w:r>
    </w:p>
    <w:p w14:paraId="6A14929B">
      <w:r>
        <w:rPr>
          <w:rFonts w:hint="eastAsia"/>
        </w:rPr>
        <w:t>（一）住宿旅客携带枪支、弹药、管制器具，爆炸性、毒害性、放射性、腐蚀性物质或者传染病病原体等危险物质的。</w:t>
      </w:r>
    </w:p>
    <w:p w14:paraId="5250EA8E">
      <w:r>
        <w:rPr>
          <w:rFonts w:hint="eastAsia"/>
        </w:rPr>
        <w:t>（二）犯罪嫌疑人员、被公安机关通缉的人员的。</w:t>
      </w:r>
    </w:p>
    <w:p w14:paraId="7E270976">
      <w:r>
        <w:rPr>
          <w:rFonts w:hint="eastAsia"/>
        </w:rPr>
        <w:t>（三）淫秽物品、毒品等违禁物品的。</w:t>
      </w:r>
    </w:p>
    <w:p w14:paraId="10B4A935">
      <w:r>
        <w:rPr>
          <w:rFonts w:hint="eastAsia"/>
        </w:rPr>
        <w:t>（四）旅客使用已经过期的身份证件或者有伪造、涂改身份证件等情形的。</w:t>
      </w:r>
    </w:p>
    <w:p w14:paraId="25AD4841">
      <w:pPr>
        <w:ind w:firstLine="422"/>
      </w:pPr>
      <w:r>
        <w:rPr>
          <w:rFonts w:hint="eastAsia"/>
          <w:b/>
        </w:rPr>
        <w:t>第十六条</w:t>
      </w:r>
      <w:r>
        <w:rPr>
          <w:rFonts w:hint="eastAsia"/>
        </w:rPr>
        <w:t xml:space="preserve">  旅客住宿时应当按照规定持合法有效证件办理住宿登记手续，遵守旅馆的治安管理制度。</w:t>
      </w:r>
    </w:p>
    <w:p w14:paraId="764F07CC">
      <w:pPr>
        <w:ind w:firstLine="422"/>
      </w:pPr>
      <w:r>
        <w:rPr>
          <w:rFonts w:hint="eastAsia"/>
          <w:b/>
        </w:rPr>
        <w:t>第十七条</w:t>
      </w:r>
      <w:r>
        <w:rPr>
          <w:rFonts w:hint="eastAsia"/>
        </w:rPr>
        <w:t xml:space="preserve"> 　公安机关应当履行下列职责：</w:t>
      </w:r>
    </w:p>
    <w:p w14:paraId="231B690A">
      <w:r>
        <w:rPr>
          <w:rFonts w:hint="eastAsia"/>
        </w:rPr>
        <w:t>（一）指导、监督旅馆建立并落实治安管理制度和治安防范措施。</w:t>
      </w:r>
    </w:p>
    <w:p w14:paraId="187204B0">
      <w:r>
        <w:rPr>
          <w:rFonts w:hint="eastAsia"/>
        </w:rPr>
        <w:t>（二）对旅馆进行治安检查；对检查中发现问题的，责令其限期改正。</w:t>
      </w:r>
    </w:p>
    <w:p w14:paraId="37735F99">
      <w:r>
        <w:rPr>
          <w:rFonts w:hint="eastAsia"/>
        </w:rPr>
        <w:t>（三）建立旅馆治安管理档案。</w:t>
      </w:r>
    </w:p>
    <w:p w14:paraId="34E49C88">
      <w:r>
        <w:rPr>
          <w:rFonts w:hint="eastAsia"/>
        </w:rPr>
        <w:t>（四）建立旅馆业治安不良信息记录制度。</w:t>
      </w:r>
    </w:p>
    <w:p w14:paraId="01C2D6AC">
      <w:r>
        <w:rPr>
          <w:rFonts w:hint="eastAsia"/>
        </w:rPr>
        <w:t>（五）查处刑事、治安案件，对突发治安灾害事故和事件采取紧急处置措施。</w:t>
      </w:r>
    </w:p>
    <w:p w14:paraId="44BF1030">
      <w:r>
        <w:rPr>
          <w:rFonts w:hint="eastAsia"/>
        </w:rPr>
        <w:t>（六）宣传有关法律、法规、规章。</w:t>
      </w:r>
    </w:p>
    <w:p w14:paraId="031451F6">
      <w:r>
        <w:rPr>
          <w:rFonts w:hint="eastAsia"/>
        </w:rPr>
        <w:t>（七）依法履行的其他职责。</w:t>
      </w:r>
    </w:p>
    <w:p w14:paraId="7C59BB27">
      <w:pPr>
        <w:ind w:firstLine="422"/>
      </w:pPr>
      <w:r>
        <w:rPr>
          <w:rFonts w:hint="eastAsia"/>
          <w:b/>
        </w:rPr>
        <w:t>第十八条</w:t>
      </w:r>
      <w:r>
        <w:rPr>
          <w:rFonts w:hint="eastAsia"/>
        </w:rPr>
        <w:t xml:space="preserve">  公安机关工作人员滥用职权、玩忽职守、徇私舞弊的，由其上级机关或者监察机关责令改正；情节严重的，对直接负责的主管人员或者其他直接责任人员依法给予行政处分；构成犯罪的，依法追究刑事责任。</w:t>
      </w:r>
    </w:p>
    <w:p w14:paraId="5F149F77">
      <w:pPr>
        <w:ind w:firstLine="422"/>
      </w:pPr>
      <w:r>
        <w:rPr>
          <w:rFonts w:hint="eastAsia"/>
          <w:b/>
        </w:rPr>
        <w:t>第十九条</w:t>
      </w:r>
      <w:r>
        <w:rPr>
          <w:rFonts w:hint="eastAsia"/>
        </w:rPr>
        <w:t xml:space="preserve">  违反本规定，未经许可从事旅馆经营活动的，由公安机关依法采取下列措施予以取缔，并依照《中华人民共和国治安管理处罚法》的有关规定予以处罚：</w:t>
      </w:r>
    </w:p>
    <w:p w14:paraId="6D6E0F9B">
      <w:r>
        <w:rPr>
          <w:rFonts w:hint="eastAsia"/>
        </w:rPr>
        <w:t>（一）责令停止相关经营活动。</w:t>
      </w:r>
    </w:p>
    <w:p w14:paraId="146B17B7">
      <w:r>
        <w:rPr>
          <w:rFonts w:hint="eastAsia"/>
        </w:rPr>
        <w:t>（二）向与无证经营行为有关的单位和个人调查、了解情况。</w:t>
      </w:r>
    </w:p>
    <w:p w14:paraId="18DE3BDD">
      <w:r>
        <w:rPr>
          <w:rFonts w:hint="eastAsia"/>
        </w:rPr>
        <w:t>（三）进入无证经营的旅馆进行检查。</w:t>
      </w:r>
    </w:p>
    <w:p w14:paraId="4AB8B172">
      <w:r>
        <w:rPr>
          <w:rFonts w:hint="eastAsia"/>
        </w:rPr>
        <w:t>（四）查阅、复制、查封、扣押与无证经营行为有关的资料。</w:t>
      </w:r>
    </w:p>
    <w:p w14:paraId="05661759">
      <w:r>
        <w:rPr>
          <w:rFonts w:hint="eastAsia"/>
        </w:rPr>
        <w:t>（五）查封、扣押与从事无证经营活动相关的需要作为证据的物品。</w:t>
      </w:r>
    </w:p>
    <w:p w14:paraId="6AAB076D">
      <w:pPr>
        <w:ind w:firstLine="422"/>
        <w:rPr>
          <w:rFonts w:hint="eastAsia" w:ascii="宋体" w:hAnsi="宋体" w:eastAsia="宋体" w:cs="宋体"/>
        </w:rPr>
      </w:pPr>
      <w:r>
        <w:rPr>
          <w:rFonts w:hint="eastAsia"/>
          <w:b/>
        </w:rPr>
        <w:t>第二十条</w:t>
      </w:r>
      <w:r>
        <w:rPr>
          <w:rFonts w:hint="eastAsia"/>
        </w:rPr>
        <w:t xml:space="preserve">  违反本规定，旅馆有下列情形之一的，由公安机关</w:t>
      </w:r>
      <w:r>
        <w:rPr>
          <w:rFonts w:hint="eastAsia" w:ascii="宋体" w:hAnsi="宋体" w:eastAsia="宋体" w:cs="宋体"/>
        </w:rPr>
        <w:t>处1000元以上1万元以下罚款：</w:t>
      </w:r>
    </w:p>
    <w:p w14:paraId="0E32E9B6">
      <w:r>
        <w:rPr>
          <w:rFonts w:hint="eastAsia"/>
        </w:rPr>
        <w:t>（一）以欺骗、贿赂等不正当手段取得《特种行业许可证》的。</w:t>
      </w:r>
    </w:p>
    <w:p w14:paraId="5BF4987E">
      <w:r>
        <w:rPr>
          <w:rFonts w:hint="eastAsia"/>
        </w:rPr>
        <w:t>（二）涂改、倒卖、出租、出借《特种行业许可证》，或者以其他形式非法转让《特种行业许可证》的。</w:t>
      </w:r>
    </w:p>
    <w:p w14:paraId="3A436C9E">
      <w:r>
        <w:rPr>
          <w:rFonts w:hint="eastAsia"/>
        </w:rPr>
        <w:t>（三）不依照本规定办理变更手续的。</w:t>
      </w:r>
    </w:p>
    <w:p w14:paraId="75E95EFB">
      <w:pPr>
        <w:ind w:firstLine="422"/>
        <w:rPr>
          <w:rFonts w:hint="eastAsia" w:ascii="宋体" w:hAnsi="宋体" w:eastAsia="宋体" w:cs="宋体"/>
        </w:rPr>
      </w:pPr>
      <w:r>
        <w:rPr>
          <w:rFonts w:hint="eastAsia"/>
          <w:b/>
        </w:rPr>
        <w:t>第二十一条</w:t>
      </w:r>
      <w:r>
        <w:rPr>
          <w:rFonts w:hint="eastAsia"/>
        </w:rPr>
        <w:t xml:space="preserve"> 　违反本规定</w:t>
      </w:r>
      <w:r>
        <w:rPr>
          <w:rFonts w:hint="eastAsia" w:ascii="宋体" w:hAnsi="宋体" w:eastAsia="宋体" w:cs="宋体"/>
        </w:rPr>
        <w:t>，旅馆及其工作人员有下列行为之一的，由公安机关责令改正，并可视情节轻重对旅馆处5000元以上1万元以下罚款；对直接责任人员处500元以1000元以下罚款：</w:t>
      </w:r>
    </w:p>
    <w:p w14:paraId="795A31EB">
      <w:r>
        <w:rPr>
          <w:rFonts w:hint="eastAsia"/>
        </w:rPr>
        <w:t>（一）不落实治安管理制度和治安防范措施，发现安全隐患不及时进行整改的。</w:t>
      </w:r>
    </w:p>
    <w:p w14:paraId="65FF5D1C">
      <w:r>
        <w:rPr>
          <w:rFonts w:hint="eastAsia"/>
        </w:rPr>
        <w:t>（二）不落实突发事件应急方案，不定期组织演练的。</w:t>
      </w:r>
    </w:p>
    <w:p w14:paraId="58CD4421">
      <w:r>
        <w:rPr>
          <w:rFonts w:hint="eastAsia"/>
        </w:rPr>
        <w:t>（三）不组织工作人员接受治安防范知识和技能的培训的。</w:t>
      </w:r>
    </w:p>
    <w:p w14:paraId="26489591">
      <w:r>
        <w:rPr>
          <w:rFonts w:hint="eastAsia"/>
        </w:rPr>
        <w:t>（四）不建立值班巡视制度，客房区无人值班巡查，服务台、监控室不设专人全天值守的。</w:t>
      </w:r>
    </w:p>
    <w:p w14:paraId="0F28D5E6">
      <w:r>
        <w:rPr>
          <w:rFonts w:hint="eastAsia"/>
        </w:rPr>
        <w:t>（五）不建立会客登记制度的。</w:t>
      </w:r>
    </w:p>
    <w:p w14:paraId="293A0AF0">
      <w:r>
        <w:rPr>
          <w:rFonts w:hint="eastAsia"/>
        </w:rPr>
        <w:t>（六）不能保证公共安全图像信息系统在旅馆营业期间正常运行，或者图像信息资料的保存期少</w:t>
      </w:r>
      <w:r>
        <w:rPr>
          <w:rFonts w:hint="eastAsia" w:ascii="宋体" w:hAnsi="宋体" w:eastAsia="宋体" w:cs="宋体"/>
        </w:rPr>
        <w:t>于30日的。</w:t>
      </w:r>
    </w:p>
    <w:p w14:paraId="53968DE1">
      <w:r>
        <w:rPr>
          <w:rFonts w:hint="eastAsia"/>
        </w:rPr>
        <w:t>（七）对违反旅馆治安管理制度的行为不及时制止的。</w:t>
      </w:r>
    </w:p>
    <w:p w14:paraId="2E8E03AB">
      <w:pPr>
        <w:ind w:firstLine="422"/>
        <w:rPr>
          <w:rFonts w:hint="eastAsia" w:ascii="宋体" w:hAnsi="宋体" w:eastAsia="宋体" w:cs="宋体"/>
        </w:rPr>
      </w:pPr>
      <w:r>
        <w:rPr>
          <w:rFonts w:hint="eastAsia"/>
          <w:b/>
        </w:rPr>
        <w:t>第二十二条</w:t>
      </w:r>
      <w:r>
        <w:rPr>
          <w:rFonts w:hint="eastAsia"/>
        </w:rPr>
        <w:t>　 旅馆工作人员对住宿的旅客不按照规定登记姓名、身份证件种类和号码的，或者明知住宿的旅客将危险物质带入旅馆，不予</w:t>
      </w:r>
      <w:r>
        <w:rPr>
          <w:rFonts w:hint="eastAsia" w:ascii="宋体" w:hAnsi="宋体" w:eastAsia="宋体" w:cs="宋体"/>
        </w:rPr>
        <w:t>制止的，处200元以上500元以下罚款。</w:t>
      </w:r>
    </w:p>
    <w:p w14:paraId="0C601E56">
      <w:pPr>
        <w:ind w:firstLine="422"/>
      </w:pPr>
      <w:r>
        <w:rPr>
          <w:rFonts w:hint="eastAsia"/>
          <w:b/>
        </w:rPr>
        <w:t>第二十三条</w:t>
      </w:r>
      <w:r>
        <w:rPr>
          <w:rFonts w:hint="eastAsia"/>
        </w:rPr>
        <w:t xml:space="preserve"> 　违反本规定，旅馆工作人员发现犯罪嫌疑人员、被公安机关通缉的人员后，不向公安机关报告的，由公安机关依照《中华人民共和国治安管理处罚法》的有关规定予以处罚。</w:t>
      </w:r>
    </w:p>
    <w:p w14:paraId="2435F170">
      <w:pPr>
        <w:ind w:firstLine="422"/>
      </w:pPr>
      <w:r>
        <w:rPr>
          <w:rFonts w:hint="eastAsia"/>
          <w:b/>
        </w:rPr>
        <w:t>第二十四条</w:t>
      </w:r>
      <w:r>
        <w:rPr>
          <w:rFonts w:hint="eastAsia"/>
        </w:rPr>
        <w:t xml:space="preserve"> 　违反本规定的其他行为，国家和本市有关法律、法规、规章已有规定的，依照相关规定依法予以处理；构成犯罪的，依法追究刑事责任。</w:t>
      </w:r>
    </w:p>
    <w:p w14:paraId="264C0D81">
      <w:pPr>
        <w:ind w:firstLine="422"/>
        <w:rPr>
          <w:rFonts w:hint="eastAsia" w:ascii="宋体" w:hAnsi="宋体" w:eastAsia="宋体" w:cs="宋体"/>
        </w:rPr>
      </w:pPr>
      <w:r>
        <w:rPr>
          <w:rFonts w:hint="eastAsia"/>
          <w:b/>
        </w:rPr>
        <w:t>第二十五条</w:t>
      </w:r>
      <w:r>
        <w:rPr>
          <w:rFonts w:hint="eastAsia"/>
        </w:rPr>
        <w:t>　本规定自</w:t>
      </w:r>
      <w:r>
        <w:rPr>
          <w:rFonts w:hint="eastAsia" w:ascii="宋体" w:hAnsi="宋体" w:eastAsia="宋体" w:cs="宋体"/>
        </w:rPr>
        <w:t>2007年2月1日起实施。1990年9月11日北京市人民政府准，1990年10月22日北京市公安局发布，根据1997年12月31日北京市人民政府第12号令修改的《北京市实施〈旅馆业治安管理办法〉细则》同时废止。</w:t>
      </w:r>
    </w:p>
    <w:p w14:paraId="47ADD06A"/>
    <w:p w14:paraId="7D768C6F">
      <w:pPr>
        <w:pStyle w:val="4"/>
        <w:pageBreakBefore/>
      </w:pPr>
      <w:bookmarkStart w:id="1916" w:name="_Toc428780386"/>
      <w:bookmarkStart w:id="1917" w:name="_Toc426467020"/>
      <w:bookmarkStart w:id="1918" w:name="_Toc428781768"/>
      <w:r>
        <w:rPr>
          <w:rFonts w:hint="eastAsia"/>
        </w:rPr>
        <w:t>北京市公共安全图像信息系统管理办法</w:t>
      </w:r>
      <w:bookmarkEnd w:id="1916"/>
      <w:bookmarkEnd w:id="1917"/>
      <w:bookmarkEnd w:id="1918"/>
    </w:p>
    <w:p w14:paraId="2A220BC2">
      <w:pPr>
        <w:ind w:left="630" w:leftChars="300" w:right="630" w:rightChars="300"/>
        <w:rPr>
          <w:rFonts w:ascii="楷体" w:hAnsi="楷体" w:eastAsia="楷体"/>
        </w:rPr>
      </w:pPr>
      <w:r>
        <w:rPr>
          <w:rFonts w:hint="eastAsia" w:ascii="楷体" w:hAnsi="楷体" w:eastAsia="楷体"/>
        </w:rPr>
        <w:t>（2006年12月4日北京市人民政府第57次常务会议审议通过  2006年12月15日北京市人民政府第185号令公布）</w:t>
      </w:r>
    </w:p>
    <w:p w14:paraId="285739EC"/>
    <w:p w14:paraId="562D1144">
      <w:pPr>
        <w:ind w:firstLine="422"/>
      </w:pPr>
      <w:r>
        <w:rPr>
          <w:rFonts w:hint="eastAsia"/>
          <w:b/>
        </w:rPr>
        <w:t>第一条</w:t>
      </w:r>
      <w:r>
        <w:rPr>
          <w:rFonts w:hint="eastAsia"/>
        </w:rPr>
        <w:t xml:space="preserve">  为了规范本市公共安全图像信息系统的建设和管理，提高预防和处置突发公共事件的能力，保障公共安全，保护公民的合法权益，制定本办法。</w:t>
      </w:r>
    </w:p>
    <w:p w14:paraId="303E81FE">
      <w:pPr>
        <w:ind w:firstLine="422"/>
      </w:pPr>
      <w:r>
        <w:rPr>
          <w:rFonts w:hint="eastAsia"/>
          <w:b/>
        </w:rPr>
        <w:t>第二条</w:t>
      </w:r>
      <w:r>
        <w:rPr>
          <w:rFonts w:hint="eastAsia"/>
        </w:rPr>
        <w:t xml:space="preserve">  本办法适用于本市行政区域内公共安全图像信息系统的建设和管理。</w:t>
      </w:r>
    </w:p>
    <w:p w14:paraId="173DE3E0">
      <w:pPr>
        <w:ind w:firstLine="422"/>
      </w:pPr>
      <w:r>
        <w:rPr>
          <w:rFonts w:hint="eastAsia"/>
          <w:b/>
        </w:rPr>
        <w:t>第三条</w:t>
      </w:r>
      <w:r>
        <w:rPr>
          <w:rFonts w:hint="eastAsia"/>
        </w:rPr>
        <w:t xml:space="preserve">  本办法所称的公共安全图像信息系统，是指利用图像采集设备和其他相关设备对涉及公共安全的区域进行信息记录的视频系统。</w:t>
      </w:r>
    </w:p>
    <w:p w14:paraId="48DDE692">
      <w:pPr>
        <w:ind w:firstLine="422"/>
      </w:pPr>
      <w:r>
        <w:rPr>
          <w:rFonts w:hint="eastAsia"/>
          <w:b/>
        </w:rPr>
        <w:t>第四条</w:t>
      </w:r>
      <w:r>
        <w:rPr>
          <w:rFonts w:hint="eastAsia"/>
        </w:rPr>
        <w:t xml:space="preserve">  市人民政府有关部门和区、县人民政府负责本行业、本系统、本地区公共安全图像信息系统建设的组织实施，并协助做好公共安全图像信息系统使用、维护等方面的监督管理工作。</w:t>
      </w:r>
    </w:p>
    <w:p w14:paraId="415588ED">
      <w:r>
        <w:rPr>
          <w:rFonts w:hint="eastAsia"/>
        </w:rPr>
        <w:t>市和区、县公安机关负责公共安全图像信息系统建设、使用、维护的日常监督管理工作。</w:t>
      </w:r>
    </w:p>
    <w:p w14:paraId="3D9EF66B">
      <w:pPr>
        <w:ind w:firstLine="422"/>
      </w:pPr>
      <w:r>
        <w:rPr>
          <w:rFonts w:hint="eastAsia"/>
          <w:b/>
        </w:rPr>
        <w:t>第五条</w:t>
      </w:r>
      <w:r>
        <w:rPr>
          <w:rFonts w:hint="eastAsia"/>
        </w:rPr>
        <w:t xml:space="preserve">  下列单位和区域，应当安装公共安全图像信息系统：</w:t>
      </w:r>
    </w:p>
    <w:p w14:paraId="0CE74FB0">
      <w:r>
        <w:rPr>
          <w:rFonts w:hint="eastAsia"/>
        </w:rPr>
        <w:t>（一）党政机关、国家机关所在地，广播电台、电视台，电信、邮政、金融、服务单位，博物馆、档案馆、重点文物保护单位，危险物品生产、销售、存放场所等重要单位；</w:t>
      </w:r>
    </w:p>
    <w:p w14:paraId="63FC013E">
      <w:r>
        <w:rPr>
          <w:rFonts w:hint="eastAsia"/>
        </w:rPr>
        <w:t>（二）宾馆、饭店、商场、医院、学校、幼儿园、文化娱乐场所，举办体育赛事的场馆、场地，住宅区、停车场等人员聚集的公共场所；</w:t>
      </w:r>
    </w:p>
    <w:p w14:paraId="4ABC0B66">
      <w:r>
        <w:rPr>
          <w:rFonts w:hint="eastAsia"/>
        </w:rPr>
        <w:t>（三）重点道路、路段和主要交通路口，地下通道、过街天桥，机场、火车站、地铁和城铁车站，公共电汽车的重要交通枢纽等；</w:t>
      </w:r>
    </w:p>
    <w:p w14:paraId="04B38747">
      <w:r>
        <w:rPr>
          <w:rFonts w:hint="eastAsia"/>
        </w:rPr>
        <w:t>（四）城市供排水、电力、燃气、热力设施，城市河湖及其他重要水务工程等重要城市基础设施；</w:t>
      </w:r>
    </w:p>
    <w:p w14:paraId="1D692D35">
      <w:r>
        <w:rPr>
          <w:rFonts w:hint="eastAsia"/>
        </w:rPr>
        <w:t>（五）国家法律、法规规定的其他地点和区域。</w:t>
      </w:r>
    </w:p>
    <w:p w14:paraId="1BC9D6C3">
      <w:r>
        <w:rPr>
          <w:rFonts w:hint="eastAsia"/>
        </w:rPr>
        <w:t>公共安全图像信息系统建设的市级主管部门可以根据需要确定其他应当安装公共安全图像信息系统的区域，报市人民政府批准。</w:t>
      </w:r>
    </w:p>
    <w:p w14:paraId="7C940AAD">
      <w:pPr>
        <w:ind w:firstLine="422"/>
      </w:pPr>
      <w:r>
        <w:rPr>
          <w:rFonts w:hint="eastAsia"/>
          <w:b/>
        </w:rPr>
        <w:t>第六条</w:t>
      </w:r>
      <w:r>
        <w:rPr>
          <w:rFonts w:hint="eastAsia"/>
        </w:rPr>
        <w:t xml:space="preserve">  单位按照本办法规定自建公共安全图像信息系统，应当符合政府的统一规划和要求，不得采集本单位范围以外的公共区域的图像信息。</w:t>
      </w:r>
    </w:p>
    <w:p w14:paraId="08ED56FA">
      <w:pPr>
        <w:ind w:firstLine="422"/>
      </w:pPr>
      <w:r>
        <w:rPr>
          <w:rFonts w:hint="eastAsia"/>
          <w:b/>
        </w:rPr>
        <w:t>第七条</w:t>
      </w:r>
      <w:r>
        <w:rPr>
          <w:rFonts w:hint="eastAsia"/>
        </w:rPr>
        <w:t xml:space="preserve">  交通道路、广场等公共场所公共安全图像信息系统的建设由政府负责，其他任何单位和个人不得在该区域设置公共安全图像信息系统。</w:t>
      </w:r>
    </w:p>
    <w:p w14:paraId="380CDF9B">
      <w:pPr>
        <w:ind w:firstLine="422"/>
      </w:pPr>
      <w:r>
        <w:rPr>
          <w:rFonts w:hint="eastAsia"/>
          <w:b/>
        </w:rPr>
        <w:t>第八条</w:t>
      </w:r>
      <w:r>
        <w:rPr>
          <w:rFonts w:hint="eastAsia"/>
        </w:rPr>
        <w:t xml:space="preserve">  公共安全图像信息系统的建设，应当符合国家和本市的技术规范和标准。</w:t>
      </w:r>
    </w:p>
    <w:p w14:paraId="6399C579">
      <w:r>
        <w:rPr>
          <w:rFonts w:hint="eastAsia"/>
        </w:rPr>
        <w:t>市质量技术监督、信息化主管部门和公安机关共同制定本市公共安全图像信息系统的技术规范和标准，公共图像信息系统应当具有采集、录像、传输等功能。</w:t>
      </w:r>
    </w:p>
    <w:p w14:paraId="46423B7A">
      <w:pPr>
        <w:ind w:firstLine="422"/>
      </w:pPr>
      <w:r>
        <w:rPr>
          <w:rFonts w:hint="eastAsia"/>
          <w:b/>
        </w:rPr>
        <w:t>第九条</w:t>
      </w:r>
      <w:r>
        <w:rPr>
          <w:rFonts w:hint="eastAsia"/>
        </w:rPr>
        <w:t xml:space="preserve">  设置公共安全图像信息系统，不得侵犯公民个人隐私；对涉及公民个人隐私的图像信息，应当采取保密措施。</w:t>
      </w:r>
    </w:p>
    <w:p w14:paraId="571B1A8A">
      <w:r>
        <w:rPr>
          <w:rFonts w:hint="eastAsia"/>
        </w:rPr>
        <w:t>涉及国家秘密、商业秘密的公共安全图像信息系统的建设，按照国家有关规定执行。</w:t>
      </w:r>
    </w:p>
    <w:p w14:paraId="5EC01CD1">
      <w:pPr>
        <w:ind w:firstLine="422"/>
      </w:pPr>
      <w:r>
        <w:rPr>
          <w:rFonts w:hint="eastAsia"/>
          <w:b/>
        </w:rPr>
        <w:t>第十条</w:t>
      </w:r>
      <w:r>
        <w:rPr>
          <w:rFonts w:hint="eastAsia"/>
        </w:rPr>
        <w:t xml:space="preserve">  新建、改建、扩建建设项目应当安装公共安全图像信息系统的，公共安全图像信息系统应当与项目主体工程同步规划、同步建设、同时投入使用。</w:t>
      </w:r>
    </w:p>
    <w:p w14:paraId="4D8202CE">
      <w:pPr>
        <w:ind w:firstLine="422"/>
      </w:pPr>
      <w:r>
        <w:rPr>
          <w:rFonts w:hint="eastAsia"/>
          <w:b/>
        </w:rPr>
        <w:t>第十一条</w:t>
      </w:r>
      <w:r>
        <w:rPr>
          <w:rFonts w:hint="eastAsia"/>
        </w:rPr>
        <w:t xml:space="preserve">  公共安全图像信息系统的使用单位，应当自系统竣工验收合格之日起</w:t>
      </w:r>
      <w:r>
        <w:rPr>
          <w:rFonts w:hint="eastAsia" w:ascii="宋体" w:hAnsi="宋体" w:eastAsia="宋体" w:cs="宋体"/>
        </w:rPr>
        <w:t>30</w:t>
      </w:r>
      <w:r>
        <w:rPr>
          <w:rFonts w:hint="eastAsia"/>
        </w:rPr>
        <w:t>日内，将公共安全图像信息系统的建设情况按照保卫隶属关系向市或者区、县公安机关备案；没有保卫隶属关系的，向本单位所在地的区、县公安机关备案。</w:t>
      </w:r>
    </w:p>
    <w:p w14:paraId="778F6E8C">
      <w:r>
        <w:rPr>
          <w:rFonts w:hint="eastAsia"/>
        </w:rPr>
        <w:t>本办法施行前已经建成的公共安全图像信息系统的使用单位应当自本办法施行之日起</w:t>
      </w:r>
      <w:r>
        <w:rPr>
          <w:rFonts w:hint="eastAsia" w:ascii="宋体" w:hAnsi="宋体" w:eastAsia="宋体" w:cs="宋体"/>
        </w:rPr>
        <w:t>30</w:t>
      </w:r>
      <w:r>
        <w:rPr>
          <w:rFonts w:hint="eastAsia"/>
        </w:rPr>
        <w:t>日内，将公共安全图像信息系统的建设情况按照前款规定向公安机关备案。</w:t>
      </w:r>
    </w:p>
    <w:p w14:paraId="62C11BEA">
      <w:pPr>
        <w:ind w:firstLine="422"/>
      </w:pPr>
      <w:r>
        <w:rPr>
          <w:rFonts w:hint="eastAsia"/>
          <w:b/>
        </w:rPr>
        <w:t>第十二条</w:t>
      </w:r>
      <w:r>
        <w:rPr>
          <w:rFonts w:hint="eastAsia"/>
        </w:rPr>
        <w:t xml:space="preserve">  公共安全图像信息系统的使用单位，应当采取下列措施，保证公共安全图像信息系统安全运行：</w:t>
      </w:r>
    </w:p>
    <w:p w14:paraId="259C8551">
      <w:r>
        <w:rPr>
          <w:rFonts w:hint="eastAsia"/>
        </w:rPr>
        <w:t>（一）对与公共安全图像信息系统密切接触的人员进行岗位技能和保密知识的培训；</w:t>
      </w:r>
    </w:p>
    <w:p w14:paraId="28402F81">
      <w:bookmarkStart w:id="1919" w:name="_Toc428780387"/>
      <w:r>
        <w:rPr>
          <w:rFonts w:hint="eastAsia"/>
        </w:rPr>
        <w:t>（二）建立安全检查、运行维护、应急处理等制度；</w:t>
      </w:r>
      <w:bookmarkEnd w:id="1919"/>
    </w:p>
    <w:p w14:paraId="207729DE">
      <w:r>
        <w:rPr>
          <w:rFonts w:hint="eastAsia"/>
        </w:rPr>
        <w:t>（三）保持图像信息画面清晰，保证系统正常运行；</w:t>
      </w:r>
    </w:p>
    <w:p w14:paraId="7995A249">
      <w:r>
        <w:rPr>
          <w:rFonts w:hint="eastAsia"/>
        </w:rPr>
        <w:t>（四）不得擅自改变公共安全图像信息系统的用途和摄像设备的位置。</w:t>
      </w:r>
    </w:p>
    <w:p w14:paraId="53F98F4C">
      <w:r>
        <w:rPr>
          <w:rFonts w:hint="eastAsia"/>
        </w:rPr>
        <w:t>使用单位委托其他单位运营、维护、管理公共安全图像信息系统的，双方应当明确保证系统安全运行的责任。</w:t>
      </w:r>
    </w:p>
    <w:p w14:paraId="1D7D69CF">
      <w:pPr>
        <w:ind w:firstLine="422"/>
      </w:pPr>
      <w:r>
        <w:rPr>
          <w:rFonts w:hint="eastAsia"/>
          <w:b/>
        </w:rPr>
        <w:t>第十三条</w:t>
      </w:r>
      <w:r>
        <w:rPr>
          <w:rFonts w:hint="eastAsia"/>
        </w:rPr>
        <w:t xml:space="preserve">  公共安全图像信息系统的使用单位，应当建立、健全图像信息安全管理制度，遵守下列规定：</w:t>
      </w:r>
    </w:p>
    <w:p w14:paraId="4709EA1B">
      <w:r>
        <w:rPr>
          <w:rFonts w:hint="eastAsia"/>
        </w:rPr>
        <w:t>（一）建立值班监看制度，发现涉及公共安全的可疑信息及时向公安机关报告；</w:t>
      </w:r>
    </w:p>
    <w:p w14:paraId="43D87C32">
      <w:r>
        <w:rPr>
          <w:rFonts w:hint="eastAsia"/>
        </w:rPr>
        <w:t>（二）建立图像信息使用登记制度，对图像信息的录制人员、调取时间、调取用途等事项进行登记；</w:t>
      </w:r>
    </w:p>
    <w:p w14:paraId="3B8DEC1A">
      <w:r>
        <w:rPr>
          <w:rFonts w:hint="eastAsia"/>
        </w:rPr>
        <w:t>（三）按照规定期限留存图像信息，不得擅自删改、破坏留存期限内图像信息的原始数据记录。</w:t>
      </w:r>
    </w:p>
    <w:p w14:paraId="7A010234">
      <w:pPr>
        <w:ind w:firstLine="422"/>
      </w:pPr>
      <w:r>
        <w:rPr>
          <w:rFonts w:hint="eastAsia"/>
          <w:b/>
        </w:rPr>
        <w:t>第十四条</w:t>
      </w:r>
      <w:r>
        <w:rPr>
          <w:rFonts w:hint="eastAsia"/>
        </w:rPr>
        <w:t>　负责图像信息监看的工作人员，应当遵守各项图像信息安全管理制度，坚守岗位，爱护仪器设备，保守秘密。</w:t>
      </w:r>
    </w:p>
    <w:p w14:paraId="2967A188">
      <w:r>
        <w:rPr>
          <w:rFonts w:hint="eastAsia"/>
        </w:rPr>
        <w:t>与图像信息监看工作无关的人员不得擅自进入监看场所。留存的图像信息除按照本办法的规定使用外，任何人不得擅自查阅、复制、提供、传播。</w:t>
      </w:r>
    </w:p>
    <w:p w14:paraId="4B0775E6">
      <w:pPr>
        <w:ind w:firstLine="422"/>
      </w:pPr>
      <w:r>
        <w:rPr>
          <w:rFonts w:hint="eastAsia"/>
          <w:b/>
        </w:rPr>
        <w:t>第十五条</w:t>
      </w:r>
      <w:r>
        <w:rPr>
          <w:rFonts w:hint="eastAsia"/>
        </w:rPr>
        <w:t>　在公共场所设置公共安全图像信息系统，应当设置标识。</w:t>
      </w:r>
    </w:p>
    <w:p w14:paraId="0F176F6D">
      <w:pPr>
        <w:ind w:firstLine="422"/>
      </w:pPr>
      <w:r>
        <w:rPr>
          <w:rFonts w:hint="eastAsia"/>
          <w:b/>
        </w:rPr>
        <w:t>第十六条</w:t>
      </w:r>
      <w:r>
        <w:rPr>
          <w:rFonts w:hint="eastAsia"/>
        </w:rPr>
        <w:t>　发生社会治安、自然灾害、事故灾难、公共卫生等突发公共事件时，具有突发公共事件调查、处置权的政府有关主管部门有权查看、调取、复制图像信息，有关单位应当予以配合。</w:t>
      </w:r>
    </w:p>
    <w:p w14:paraId="7A48AA89">
      <w:pPr>
        <w:ind w:firstLine="422"/>
      </w:pPr>
      <w:r>
        <w:rPr>
          <w:rFonts w:hint="eastAsia"/>
          <w:b/>
        </w:rPr>
        <w:t>第十七条</w:t>
      </w:r>
      <w:r>
        <w:rPr>
          <w:rFonts w:hint="eastAsia"/>
        </w:rPr>
        <w:t>　政府有关主管部门工作人员查看、调取、复制图像信息时，应当遵守下列规定：</w:t>
      </w:r>
    </w:p>
    <w:p w14:paraId="145D5628">
      <w:r>
        <w:rPr>
          <w:rFonts w:hint="eastAsia"/>
        </w:rPr>
        <w:t>（一）工作人员不得少于二人；</w:t>
      </w:r>
    </w:p>
    <w:p w14:paraId="21EB383E">
      <w:r>
        <w:rPr>
          <w:rFonts w:hint="eastAsia"/>
        </w:rPr>
        <w:t>（二）出示工作证件和证明文件；</w:t>
      </w:r>
    </w:p>
    <w:p w14:paraId="5882C33E">
      <w:r>
        <w:rPr>
          <w:rFonts w:hint="eastAsia"/>
        </w:rPr>
        <w:t>（三）填写查看、调取、复制图像信息情况登记表；</w:t>
      </w:r>
    </w:p>
    <w:p w14:paraId="6D59E4FD">
      <w:r>
        <w:rPr>
          <w:rFonts w:hint="eastAsia"/>
        </w:rPr>
        <w:t>（四）遵守图像信息的使用、保密制度，不得擅自提供、传播图像信息，对涉及国家秘密、商业秘密和公民个人隐私的图像信息予以保密。</w:t>
      </w:r>
    </w:p>
    <w:p w14:paraId="4B835C5E">
      <w:pPr>
        <w:ind w:firstLine="422"/>
      </w:pPr>
      <w:r>
        <w:rPr>
          <w:rFonts w:hint="eastAsia"/>
          <w:b/>
        </w:rPr>
        <w:t>第十八条</w:t>
      </w:r>
      <w:r>
        <w:rPr>
          <w:rFonts w:hint="eastAsia"/>
        </w:rPr>
        <w:t>　公安机关应当对公共安全图像信息系统的日常使用、维护情况进行监督检查，发现问题督促相关单位及时整改；必要时，质量技术监督、信息化主管部门在技术检测等方面应当予以协助。</w:t>
      </w:r>
    </w:p>
    <w:p w14:paraId="48C324E6">
      <w:pPr>
        <w:ind w:firstLine="422"/>
        <w:rPr>
          <w:rFonts w:hint="eastAsia" w:ascii="宋体" w:hAnsi="宋体" w:eastAsia="宋体" w:cs="宋体"/>
        </w:rPr>
      </w:pPr>
      <w:r>
        <w:rPr>
          <w:rFonts w:hint="eastAsia"/>
          <w:b/>
        </w:rPr>
        <w:t>第十九条</w:t>
      </w:r>
      <w:r>
        <w:rPr>
          <w:rFonts w:hint="eastAsia"/>
        </w:rPr>
        <w:t>　违反本办法的规定，应当建设公共安全图像信息系统不建设或者不按照规范和标准建设的，由公安机关责令限期整改并予以警告；逾期不整改或者整改不合格的，对单位</w:t>
      </w:r>
      <w:r>
        <w:rPr>
          <w:rFonts w:hint="eastAsia" w:ascii="宋体" w:hAnsi="宋体" w:eastAsia="宋体" w:cs="宋体"/>
        </w:rPr>
        <w:t>处1万元以上3万元以下的罚款，对单位主要负责人、直接责任人员分别处500元以上1000元以下的罚款。</w:t>
      </w:r>
    </w:p>
    <w:p w14:paraId="46AB30B1">
      <w:pPr>
        <w:ind w:firstLine="422"/>
        <w:rPr>
          <w:rFonts w:hint="eastAsia" w:ascii="宋体" w:hAnsi="宋体" w:eastAsia="宋体" w:cs="宋体"/>
        </w:rPr>
      </w:pPr>
      <w:r>
        <w:rPr>
          <w:rFonts w:hint="eastAsia"/>
          <w:b/>
        </w:rPr>
        <w:t>第二十条</w:t>
      </w:r>
      <w:r>
        <w:rPr>
          <w:rFonts w:hint="eastAsia"/>
        </w:rPr>
        <w:t>　违反本办法第六条的规定，单位设置公共安全图像信息系统擅自采集本单位范围以外的公共区域的图像信息的，由公安机关责令改正，</w:t>
      </w:r>
      <w:r>
        <w:rPr>
          <w:rFonts w:hint="eastAsia" w:ascii="宋体" w:hAnsi="宋体" w:eastAsia="宋体" w:cs="宋体"/>
        </w:rPr>
        <w:t>并对单位处1万元以上3万元以下的罚款，对单位主要负责人、直接责任人员分别处500元以上1000元以下的罚款。</w:t>
      </w:r>
    </w:p>
    <w:p w14:paraId="1E0D5384">
      <w:pPr>
        <w:ind w:firstLine="422"/>
      </w:pPr>
      <w:r>
        <w:rPr>
          <w:rFonts w:hint="eastAsia"/>
          <w:b/>
        </w:rPr>
        <w:t>第二十一条</w:t>
      </w:r>
      <w:r>
        <w:rPr>
          <w:rFonts w:hint="eastAsia"/>
        </w:rPr>
        <w:t>　违反本办法第七条的规定，擅自在公共场所设置公共安全图像信息系统，由公安机关责令拆除；单位设置的，对单位</w:t>
      </w:r>
      <w:r>
        <w:rPr>
          <w:rFonts w:hint="eastAsia" w:ascii="宋体" w:hAnsi="宋体" w:eastAsia="宋体" w:cs="宋体"/>
        </w:rPr>
        <w:t>处1万元以上3万元以下的罚款，对单位主要负责人、直接责任人员分别处500元以上1000元以下的罚款；个人设置的，对个人处500</w:t>
      </w:r>
      <w:r>
        <w:rPr>
          <w:rFonts w:hint="eastAsia"/>
        </w:rPr>
        <w:t>元以</w:t>
      </w:r>
      <w:r>
        <w:rPr>
          <w:rFonts w:hint="eastAsia" w:ascii="宋体" w:hAnsi="宋体" w:eastAsia="宋体" w:cs="宋体"/>
        </w:rPr>
        <w:t>上1000元以</w:t>
      </w:r>
      <w:r>
        <w:rPr>
          <w:rFonts w:hint="eastAsia"/>
        </w:rPr>
        <w:t>下的罚款。</w:t>
      </w:r>
    </w:p>
    <w:p w14:paraId="1B073548">
      <w:pPr>
        <w:ind w:firstLine="422"/>
        <w:rPr>
          <w:rFonts w:hint="eastAsia" w:ascii="宋体" w:hAnsi="宋体" w:eastAsia="宋体" w:cs="宋体"/>
        </w:rPr>
      </w:pPr>
      <w:r>
        <w:rPr>
          <w:rFonts w:hint="eastAsia"/>
          <w:b/>
        </w:rPr>
        <w:t>第二十二条</w:t>
      </w:r>
      <w:r>
        <w:rPr>
          <w:rFonts w:hint="eastAsia"/>
        </w:rPr>
        <w:t>　违反本办法第十一条的规定，不遵守备案制度的，由公安机关责令改正，并对单位</w:t>
      </w:r>
      <w:r>
        <w:rPr>
          <w:rFonts w:hint="eastAsia" w:ascii="宋体" w:hAnsi="宋体" w:eastAsia="宋体" w:cs="宋体"/>
        </w:rPr>
        <w:t>处1000元以上1万元以下的罚款，对单位主要负责人、直接责任人员分别处500元以下的罚款。</w:t>
      </w:r>
    </w:p>
    <w:p w14:paraId="23D3C32C">
      <w:pPr>
        <w:ind w:firstLine="422"/>
        <w:rPr>
          <w:rFonts w:hint="eastAsia" w:ascii="宋体" w:hAnsi="宋体" w:eastAsia="宋体" w:cs="宋体"/>
        </w:rPr>
      </w:pPr>
      <w:r>
        <w:rPr>
          <w:rFonts w:hint="eastAsia"/>
          <w:b/>
        </w:rPr>
        <w:t>第二十三条</w:t>
      </w:r>
      <w:r>
        <w:rPr>
          <w:rFonts w:hint="eastAsia"/>
        </w:rPr>
        <w:t>　违反本办法第十二条的规定，未采取保障图像信息系统运行安全管理措施，影响系统安全运行的，由公安机关责令限期整改，可以</w:t>
      </w:r>
      <w:r>
        <w:rPr>
          <w:rFonts w:hint="eastAsia" w:ascii="宋体" w:hAnsi="宋体" w:eastAsia="宋体" w:cs="宋体"/>
        </w:rPr>
        <w:t>对单位并处1000元以上1万元以下的罚款，对单位主要负责人、直接责任人员分别处500元以下的罚款；逾期不整改或者整改不合格的，对单位处1万元以上3万元以下的罚款，对单位主要负责人、直接责任人员分别处500元以上1000元以下的罚款。</w:t>
      </w:r>
    </w:p>
    <w:p w14:paraId="3C773882">
      <w:pPr>
        <w:ind w:firstLine="422"/>
        <w:rPr>
          <w:rFonts w:hint="eastAsia" w:ascii="宋体" w:hAnsi="宋体" w:eastAsia="宋体" w:cs="宋体"/>
        </w:rPr>
      </w:pPr>
      <w:r>
        <w:rPr>
          <w:rFonts w:hint="eastAsia"/>
          <w:b/>
        </w:rPr>
        <w:t>第二十四条</w:t>
      </w:r>
      <w:r>
        <w:rPr>
          <w:rFonts w:hint="eastAsia"/>
        </w:rPr>
        <w:t>　违反本办法第十三条、第十四条的规定，未建立、健全或者违反图像信息安全管理制度，以及擅自查阅、复制、提供、传播图像信息的，由公安机关对</w:t>
      </w:r>
      <w:r>
        <w:rPr>
          <w:rFonts w:hint="eastAsia" w:ascii="宋体" w:hAnsi="宋体" w:eastAsia="宋体" w:cs="宋体"/>
        </w:rPr>
        <w:t>单位处1万元以上3万元以下的罚款，对单位主要负责人、直接责任人员分别处500元以上1000元以下的罚款；构成违反治安管理行为的，由公安机关依法处罚；构成犯罪的，依法追究刑事责任。</w:t>
      </w:r>
    </w:p>
    <w:p w14:paraId="009DB46D">
      <w:pPr>
        <w:ind w:firstLine="422"/>
        <w:rPr>
          <w:rFonts w:hint="eastAsia" w:ascii="宋体" w:hAnsi="宋体" w:eastAsia="宋体" w:cs="宋体"/>
        </w:rPr>
      </w:pPr>
      <w:r>
        <w:rPr>
          <w:rFonts w:hint="eastAsia"/>
          <w:b/>
        </w:rPr>
        <w:t>第二十五条</w:t>
      </w:r>
      <w:r>
        <w:rPr>
          <w:rFonts w:hint="eastAsia"/>
        </w:rPr>
        <w:t>　违反本办法第十六条的规定，拒不</w:t>
      </w:r>
      <w:r>
        <w:rPr>
          <w:rFonts w:hint="eastAsia" w:ascii="宋体" w:hAnsi="宋体" w:eastAsia="宋体" w:cs="宋体"/>
        </w:rPr>
        <w:t>提供图像信息的，由公安机关对单位处1万元以上3万元以下的罚款，对单位主要负责人、直接责任人员分别处500元以上1000元以下的罚款；构成违反治安管理行为的，由公安机关依法处罚；构成犯罪的，依法追究刑事责任。</w:t>
      </w:r>
    </w:p>
    <w:p w14:paraId="605A1955">
      <w:pPr>
        <w:ind w:firstLine="422"/>
      </w:pPr>
      <w:r>
        <w:rPr>
          <w:rFonts w:hint="eastAsia"/>
          <w:b/>
        </w:rPr>
        <w:t>第二十六条</w:t>
      </w:r>
      <w:r>
        <w:rPr>
          <w:rFonts w:hint="eastAsia"/>
        </w:rPr>
        <w:t>　违反本办法第十七条的规定，政府有关主管部门的工作人员查看、调取、复制图像信息时违反相关管理制度，由主管部门追究其行政责任。构成犯罪的，依法追究刑事责任。</w:t>
      </w:r>
    </w:p>
    <w:p w14:paraId="76F7D6D6">
      <w:pPr>
        <w:ind w:firstLine="422"/>
        <w:rPr>
          <w:rFonts w:hint="eastAsia" w:ascii="宋体" w:hAnsi="宋体" w:eastAsia="宋体" w:cs="宋体"/>
        </w:rPr>
      </w:pPr>
      <w:r>
        <w:rPr>
          <w:rFonts w:hint="eastAsia"/>
          <w:b/>
        </w:rPr>
        <w:t>第二十七条</w:t>
      </w:r>
      <w:r>
        <w:rPr>
          <w:rFonts w:hint="eastAsia"/>
        </w:rPr>
        <w:t>　本办</w:t>
      </w:r>
      <w:r>
        <w:rPr>
          <w:rFonts w:hint="eastAsia" w:ascii="宋体" w:hAnsi="宋体" w:eastAsia="宋体" w:cs="宋体"/>
        </w:rPr>
        <w:t>法自2007年4月1日起施行。</w:t>
      </w:r>
    </w:p>
    <w:p w14:paraId="102D8145"/>
    <w:p w14:paraId="2A27EA8E">
      <w:pPr>
        <w:pStyle w:val="4"/>
        <w:pageBreakBefore/>
      </w:pPr>
      <w:bookmarkStart w:id="1920" w:name="_Toc428781769"/>
      <w:bookmarkStart w:id="1921" w:name="_Toc428780388"/>
      <w:bookmarkStart w:id="1922" w:name="_Toc426467021"/>
      <w:r>
        <w:rPr>
          <w:rFonts w:hint="eastAsia"/>
        </w:rPr>
        <w:t>北京市大型社会活动安全检查办法</w:t>
      </w:r>
      <w:bookmarkEnd w:id="1920"/>
      <w:bookmarkEnd w:id="1921"/>
      <w:bookmarkEnd w:id="1922"/>
    </w:p>
    <w:p w14:paraId="281E1504">
      <w:pPr>
        <w:ind w:left="630" w:leftChars="300" w:right="630" w:rightChars="300"/>
        <w:rPr>
          <w:rFonts w:ascii="楷体" w:hAnsi="楷体" w:eastAsia="楷体"/>
        </w:rPr>
      </w:pPr>
      <w:r>
        <w:rPr>
          <w:rFonts w:hint="eastAsia" w:ascii="楷体" w:hAnsi="楷体" w:eastAsia="楷体"/>
        </w:rPr>
        <w:t>（2007年10月26日北京市人民政府第73次常务会议审议通过　2007年11月9日北京市人民政府第195号令公布  根据2010年11月27日北京市人民政府第226号令修改）</w:t>
      </w:r>
    </w:p>
    <w:p w14:paraId="192FAC02"/>
    <w:p w14:paraId="696E7E2E">
      <w:pPr>
        <w:ind w:firstLine="422"/>
      </w:pPr>
      <w:r>
        <w:rPr>
          <w:rFonts w:hint="eastAsia"/>
          <w:b/>
        </w:rPr>
        <w:t>第一条</w:t>
      </w:r>
      <w:r>
        <w:rPr>
          <w:rFonts w:hint="eastAsia"/>
        </w:rPr>
        <w:t xml:space="preserve">  为了规范本市大型社会活动的安全检查，维护公共安全和公共秩序，保护参加大型社会活动组织和个人的合法权益，根据有关法律、法规，结合本市实际情况，制定本办法。</w:t>
      </w:r>
    </w:p>
    <w:p w14:paraId="7097B410">
      <w:pPr>
        <w:ind w:firstLine="422"/>
      </w:pPr>
      <w:r>
        <w:rPr>
          <w:rFonts w:hint="eastAsia"/>
          <w:b/>
        </w:rPr>
        <w:t>第二条</w:t>
      </w:r>
      <w:r>
        <w:rPr>
          <w:rFonts w:hint="eastAsia"/>
        </w:rPr>
        <w:t xml:space="preserve">  在本市行政区域内经公安机关安全许可的大型社会活动的安全检查及其管理，适用本办法。</w:t>
      </w:r>
    </w:p>
    <w:p w14:paraId="2AB31F0F">
      <w:r>
        <w:rPr>
          <w:rFonts w:hint="eastAsia"/>
        </w:rPr>
        <w:t>本办法所称安全检查，是指对进入大型社会活动场所的人员、车辆和物品进行的专业性检查。</w:t>
      </w:r>
    </w:p>
    <w:p w14:paraId="018189C8">
      <w:r>
        <w:rPr>
          <w:rFonts w:hint="eastAsia"/>
        </w:rPr>
        <w:t>本办法所称大型社会活动（以下简称大型活动），是指主办者面向社会公众举办的文艺演出、体育比赛、展览展销、招聘会、庙会、灯会、游园会等大型群众性活动。</w:t>
      </w:r>
    </w:p>
    <w:p w14:paraId="4FC3B8EF">
      <w:pPr>
        <w:ind w:firstLine="422"/>
      </w:pPr>
      <w:r>
        <w:rPr>
          <w:rFonts w:hint="eastAsia"/>
          <w:b/>
        </w:rPr>
        <w:t>第三条</w:t>
      </w:r>
      <w:r>
        <w:rPr>
          <w:rFonts w:hint="eastAsia"/>
        </w:rPr>
        <w:t xml:space="preserve">  经公安机关安全许可的大型活动，应当由承办者按照本办法规定组织实施安全检查。</w:t>
      </w:r>
    </w:p>
    <w:p w14:paraId="1FCD7A3A">
      <w:r>
        <w:rPr>
          <w:rFonts w:hint="eastAsia"/>
        </w:rPr>
        <w:t>市和区、县人民政府决定举办的纪念、庆典等大型活动的安全检查，由公安机关负责组织实施。</w:t>
      </w:r>
    </w:p>
    <w:p w14:paraId="5C4BC009">
      <w:pPr>
        <w:ind w:firstLine="422"/>
      </w:pPr>
      <w:r>
        <w:rPr>
          <w:rFonts w:hint="eastAsia"/>
          <w:b/>
        </w:rPr>
        <w:t>第四条</w:t>
      </w:r>
      <w:r>
        <w:rPr>
          <w:rFonts w:hint="eastAsia"/>
        </w:rPr>
        <w:t xml:space="preserve">  公安机关负责对大型活动承办者组织实施的安全检查进行监督管理，履行下列职责：</w:t>
      </w:r>
    </w:p>
    <w:p w14:paraId="01B759D0">
      <w:r>
        <w:rPr>
          <w:rFonts w:hint="eastAsia"/>
        </w:rPr>
        <w:t>（一）根据大型活动场所、规模、内容等实际情况，制定安全检查操作规范；</w:t>
      </w:r>
    </w:p>
    <w:p w14:paraId="0556527C">
      <w:bookmarkStart w:id="1923" w:name="_Toc428780389"/>
      <w:r>
        <w:rPr>
          <w:rFonts w:hint="eastAsia"/>
        </w:rPr>
        <w:t>（二）指派工作人员对安全检查进行现场指导和监督；</w:t>
      </w:r>
      <w:bookmarkEnd w:id="1923"/>
    </w:p>
    <w:p w14:paraId="0C5C57DF">
      <w:r>
        <w:rPr>
          <w:rFonts w:hint="eastAsia"/>
        </w:rPr>
        <w:t>（三）查处安全检查中的违法犯罪行为，处置危害公共安全的突发事件。</w:t>
      </w:r>
    </w:p>
    <w:p w14:paraId="7658A8AC">
      <w:pPr>
        <w:ind w:firstLine="422"/>
      </w:pPr>
      <w:r>
        <w:rPr>
          <w:rFonts w:hint="eastAsia"/>
          <w:b/>
        </w:rPr>
        <w:t>第五条</w:t>
      </w:r>
      <w:r>
        <w:rPr>
          <w:rFonts w:hint="eastAsia"/>
        </w:rPr>
        <w:t xml:space="preserve">  大型活动承办者组织实施安全检查应当遵守下列规定：</w:t>
      </w:r>
    </w:p>
    <w:p w14:paraId="1F041130">
      <w:bookmarkStart w:id="1924" w:name="_Toc428780390"/>
      <w:r>
        <w:rPr>
          <w:rFonts w:hint="eastAsia"/>
        </w:rPr>
        <w:t>（一）按照安全检查规定制定安全检查方案和突发事件处置预案；</w:t>
      </w:r>
      <w:bookmarkEnd w:id="1924"/>
    </w:p>
    <w:p w14:paraId="006DEEB5">
      <w:r>
        <w:rPr>
          <w:rFonts w:hint="eastAsia"/>
        </w:rPr>
        <w:t>（二）配备专业的安全检查人员；</w:t>
      </w:r>
    </w:p>
    <w:p w14:paraId="55A07D9C">
      <w:r>
        <w:rPr>
          <w:rFonts w:hint="eastAsia"/>
        </w:rPr>
        <w:t>（三）配备安全有效的安全检查仪器和设备；</w:t>
      </w:r>
    </w:p>
    <w:p w14:paraId="7B057D16">
      <w:r>
        <w:rPr>
          <w:rFonts w:hint="eastAsia"/>
        </w:rPr>
        <w:t>（四）划定安全检查通道和区域，设置相应标识，对安全检查区域实行封闭管理；</w:t>
      </w:r>
    </w:p>
    <w:p w14:paraId="1C6EE053">
      <w:r>
        <w:rPr>
          <w:rFonts w:hint="eastAsia"/>
        </w:rPr>
        <w:t>（五）为乘坐轮椅、安装假肢或者体内植入医疗器械等有特殊情况的人员，设置专门的安全检查通道和场所；</w:t>
      </w:r>
    </w:p>
    <w:p w14:paraId="7264D7CB">
      <w:r>
        <w:rPr>
          <w:rFonts w:hint="eastAsia"/>
        </w:rPr>
        <w:t>（六）接受公安机关现场工作人员的指导、检查和监督。</w:t>
      </w:r>
    </w:p>
    <w:p w14:paraId="3D0DF30D">
      <w:pPr>
        <w:ind w:firstLine="422"/>
      </w:pPr>
      <w:r>
        <w:rPr>
          <w:rFonts w:hint="eastAsia"/>
          <w:b/>
        </w:rPr>
        <w:t>第六条</w:t>
      </w:r>
      <w:r>
        <w:rPr>
          <w:rFonts w:hint="eastAsia"/>
        </w:rPr>
        <w:t xml:space="preserve">  大型活动承办者符合第五条规定的，可以自行实施安全检查；不符合规定的，应当聘请具有相应资质的单位实施安全检查。</w:t>
      </w:r>
    </w:p>
    <w:p w14:paraId="4A5464E9">
      <w:r>
        <w:rPr>
          <w:rFonts w:hint="eastAsia"/>
        </w:rPr>
        <w:t>大型活动承办者聘请具有相应资质的单位实施安全检查的，应当与其签订安全检查服务合同，明确双方的安全责任。</w:t>
      </w:r>
    </w:p>
    <w:p w14:paraId="4151044A">
      <w:pPr>
        <w:ind w:firstLine="422"/>
      </w:pPr>
      <w:r>
        <w:rPr>
          <w:rFonts w:hint="eastAsia"/>
          <w:b/>
        </w:rPr>
        <w:t>第七条</w:t>
      </w:r>
      <w:r>
        <w:rPr>
          <w:rFonts w:hint="eastAsia"/>
        </w:rPr>
        <w:t xml:space="preserve">  大型活动承办者申请大型活动安全许可时，应当向公安机关提交安全检查方案和其他相关材料。</w:t>
      </w:r>
    </w:p>
    <w:p w14:paraId="7C26F34D">
      <w:pPr>
        <w:ind w:firstLine="422"/>
      </w:pPr>
      <w:r>
        <w:rPr>
          <w:rFonts w:hint="eastAsia"/>
          <w:b/>
        </w:rPr>
        <w:t>第八条</w:t>
      </w:r>
      <w:r>
        <w:rPr>
          <w:rFonts w:hint="eastAsia"/>
        </w:rPr>
        <w:t xml:space="preserve">  大型活动场所提供者应当根据安全检查方案，提供必要的安全检查场所和通道，在安全检查区域按规定设置图像信息采集系统并保存图像资料。</w:t>
      </w:r>
    </w:p>
    <w:p w14:paraId="2921B8D4">
      <w:pPr>
        <w:ind w:firstLine="422"/>
      </w:pPr>
      <w:r>
        <w:rPr>
          <w:rFonts w:hint="eastAsia"/>
          <w:b/>
        </w:rPr>
        <w:t>第九条</w:t>
      </w:r>
      <w:r>
        <w:rPr>
          <w:rFonts w:hint="eastAsia"/>
        </w:rPr>
        <w:t xml:space="preserve">  禁止携带下列物品进入大型活动场所：</w:t>
      </w:r>
    </w:p>
    <w:p w14:paraId="7D40AD84">
      <w:r>
        <w:rPr>
          <w:rFonts w:hint="eastAsia"/>
        </w:rPr>
        <w:t>（一）爆炸性、毒害性、放射性等危险物质；</w:t>
      </w:r>
    </w:p>
    <w:p w14:paraId="559AF2BE">
      <w:r>
        <w:rPr>
          <w:rFonts w:hint="eastAsia"/>
        </w:rPr>
        <w:t>（二）枪支、弹药、匕首等管制器具；</w:t>
      </w:r>
    </w:p>
    <w:p w14:paraId="385B6C72">
      <w:r>
        <w:rPr>
          <w:rFonts w:hint="eastAsia"/>
        </w:rPr>
        <w:t>（三）毒品、淫秽等违禁物品；</w:t>
      </w:r>
    </w:p>
    <w:p w14:paraId="3F33CFF4">
      <w:r>
        <w:rPr>
          <w:rFonts w:hint="eastAsia"/>
        </w:rPr>
        <w:t>（四）危害国家利益、公共安全或者可能影响大型活动秩序的其他物品。</w:t>
      </w:r>
    </w:p>
    <w:p w14:paraId="743DC652">
      <w:pPr>
        <w:ind w:firstLine="422"/>
      </w:pPr>
      <w:r>
        <w:rPr>
          <w:rFonts w:hint="eastAsia"/>
          <w:b/>
        </w:rPr>
        <w:t>第十条</w:t>
      </w:r>
      <w:r>
        <w:rPr>
          <w:rFonts w:hint="eastAsia"/>
        </w:rPr>
        <w:t xml:space="preserve">  大型活动承办者对携带物品有限制性要求的，应当在申请大型活动安全许可时向公安机关备案，在售（发）票时向社会公告，并在入场票证上注明。</w:t>
      </w:r>
    </w:p>
    <w:p w14:paraId="6C71C208">
      <w:r>
        <w:rPr>
          <w:rFonts w:hint="eastAsia"/>
        </w:rPr>
        <w:t>未向公安机关备案并向社会公告的物品，大型活动承办者和安全检查人员不得限制受检查人携带。</w:t>
      </w:r>
    </w:p>
    <w:p w14:paraId="1F3C93F2">
      <w:r>
        <w:rPr>
          <w:rFonts w:hint="eastAsia"/>
        </w:rPr>
        <w:t>大型活动承办者已经向公安机关备案并公告限制携带的物品，不得在大型活动场所内销售。</w:t>
      </w:r>
    </w:p>
    <w:p w14:paraId="38B37214">
      <w:pPr>
        <w:ind w:firstLine="422"/>
      </w:pPr>
      <w:r>
        <w:rPr>
          <w:rFonts w:hint="eastAsia"/>
          <w:b/>
        </w:rPr>
        <w:t>第十一条</w:t>
      </w:r>
      <w:r>
        <w:rPr>
          <w:rFonts w:hint="eastAsia"/>
        </w:rPr>
        <w:t xml:space="preserve">  大型活动承办者应当就近设置物品寄存处，方便参加大型活动的人员临时寄存物品。</w:t>
      </w:r>
    </w:p>
    <w:p w14:paraId="2DC64A0D">
      <w:pPr>
        <w:ind w:firstLine="422"/>
      </w:pPr>
      <w:r>
        <w:rPr>
          <w:rFonts w:hint="eastAsia"/>
          <w:b/>
        </w:rPr>
        <w:t>第十二条</w:t>
      </w:r>
      <w:r>
        <w:rPr>
          <w:rFonts w:hint="eastAsia"/>
        </w:rPr>
        <w:t xml:space="preserve">  安全检查人员实施安全检查时，应当遵守下列规定：</w:t>
      </w:r>
    </w:p>
    <w:p w14:paraId="6CF616A0">
      <w:r>
        <w:rPr>
          <w:rFonts w:hint="eastAsia"/>
        </w:rPr>
        <w:t>（一）按照规定着装，佩戴工作证件；</w:t>
      </w:r>
    </w:p>
    <w:p w14:paraId="423B8E15">
      <w:r>
        <w:rPr>
          <w:rFonts w:hint="eastAsia"/>
        </w:rPr>
        <w:t>（二）文明礼貌，尊重受检查人；</w:t>
      </w:r>
    </w:p>
    <w:p w14:paraId="514B9F32">
      <w:r>
        <w:rPr>
          <w:rFonts w:hint="eastAsia"/>
        </w:rPr>
        <w:t>（三）严格执行安全检查操作规范；</w:t>
      </w:r>
    </w:p>
    <w:p w14:paraId="62399498">
      <w:r>
        <w:rPr>
          <w:rFonts w:hint="eastAsia"/>
        </w:rPr>
        <w:t>（四）不得损坏受检查人携带的合法物品；</w:t>
      </w:r>
    </w:p>
    <w:p w14:paraId="27B90173">
      <w:r>
        <w:rPr>
          <w:rFonts w:hint="eastAsia"/>
        </w:rPr>
        <w:t>（五）发现受检查人携带限制携带的物品的，告知受检查人将物品寄存或者自行处置；</w:t>
      </w:r>
    </w:p>
    <w:p w14:paraId="1729CE28">
      <w:r>
        <w:rPr>
          <w:rFonts w:hint="eastAsia"/>
        </w:rPr>
        <w:t>（六）发现不能排除疑点的物品、禁止携带的物品和违法犯罪行为立即向现场公安机关工作人员报告。</w:t>
      </w:r>
    </w:p>
    <w:p w14:paraId="46459D9A">
      <w:pPr>
        <w:ind w:firstLine="422"/>
      </w:pPr>
      <w:r>
        <w:rPr>
          <w:rFonts w:hint="eastAsia"/>
          <w:b/>
        </w:rPr>
        <w:t>第十三条</w:t>
      </w:r>
      <w:r>
        <w:rPr>
          <w:rFonts w:hint="eastAsia"/>
        </w:rPr>
        <w:t xml:space="preserve">  受检查人拒绝接受安全检查或者坚持携带限制携带的物品的，安全检查人员有权拒绝其进入大型活动场所。</w:t>
      </w:r>
    </w:p>
    <w:p w14:paraId="1352BEFA">
      <w:pPr>
        <w:ind w:firstLine="422"/>
      </w:pPr>
      <w:r>
        <w:rPr>
          <w:rFonts w:hint="eastAsia"/>
          <w:b/>
        </w:rPr>
        <w:t>第十四条</w:t>
      </w:r>
      <w:r>
        <w:rPr>
          <w:rFonts w:hint="eastAsia"/>
        </w:rPr>
        <w:t>　参加大型活动的人员应当遵守下列规定：</w:t>
      </w:r>
    </w:p>
    <w:p w14:paraId="4E7CCB29">
      <w:bookmarkStart w:id="1925" w:name="_Toc428780391"/>
      <w:r>
        <w:rPr>
          <w:rFonts w:hint="eastAsia"/>
        </w:rPr>
        <w:t>（一）接受、配合安全检查，不得扰乱安全检查秩序；</w:t>
      </w:r>
      <w:bookmarkEnd w:id="1925"/>
    </w:p>
    <w:p w14:paraId="2A90F8CC">
      <w:r>
        <w:rPr>
          <w:rFonts w:hint="eastAsia"/>
        </w:rPr>
        <w:t>（二）在安全线以外排队等候，依次接受安全检查；</w:t>
      </w:r>
    </w:p>
    <w:p w14:paraId="23B0E4A5">
      <w:bookmarkStart w:id="1926" w:name="_Toc428780392"/>
      <w:r>
        <w:rPr>
          <w:rFonts w:hint="eastAsia"/>
        </w:rPr>
        <w:t>（三）经检查发现可疑物品的，自行取出接受检查；</w:t>
      </w:r>
      <w:bookmarkEnd w:id="1926"/>
    </w:p>
    <w:p w14:paraId="1371CC67">
      <w:r>
        <w:rPr>
          <w:rFonts w:hint="eastAsia"/>
        </w:rPr>
        <w:t>（四）车辆接受安全检查时应当熄火，驾驶员和乘车人应当下车接受安全检查；</w:t>
      </w:r>
    </w:p>
    <w:p w14:paraId="727341A6">
      <w:r>
        <w:rPr>
          <w:rFonts w:hint="eastAsia"/>
        </w:rPr>
        <w:t>（五）人员、物品和车辆离开活动场所后再次进入时，应当重新接受安全检查。</w:t>
      </w:r>
    </w:p>
    <w:p w14:paraId="06C0F4C6">
      <w:pPr>
        <w:ind w:firstLine="422"/>
        <w:rPr>
          <w:rFonts w:hint="eastAsia" w:ascii="宋体" w:hAnsi="宋体" w:eastAsia="宋体" w:cs="宋体"/>
        </w:rPr>
      </w:pPr>
      <w:r>
        <w:rPr>
          <w:rFonts w:hint="eastAsia"/>
          <w:b/>
        </w:rPr>
        <w:t>第十五条</w:t>
      </w:r>
      <w:r>
        <w:rPr>
          <w:rFonts w:hint="eastAsia"/>
        </w:rPr>
        <w:t>　大型活动承办者违反本办法第三条第一款规定，不组织实施安全检查的，由公安机关责令改正，</w:t>
      </w:r>
      <w:r>
        <w:rPr>
          <w:rFonts w:hint="eastAsia" w:ascii="宋体" w:hAnsi="宋体" w:eastAsia="宋体" w:cs="宋体"/>
        </w:rPr>
        <w:t>并处5万元以上10万元以下罚款；未按照本办法第五条、第六条规定组织实施安全检查的，由公安机关责令改正，可以并处1万元以上5万元以下罚款。</w:t>
      </w:r>
    </w:p>
    <w:p w14:paraId="215187AF">
      <w:pPr>
        <w:rPr>
          <w:rFonts w:hint="eastAsia" w:ascii="宋体" w:hAnsi="宋体" w:eastAsia="宋体" w:cs="宋体"/>
        </w:rPr>
      </w:pPr>
      <w:r>
        <w:rPr>
          <w:rFonts w:hint="eastAsia" w:ascii="宋体" w:hAnsi="宋体" w:eastAsia="宋体" w:cs="宋体"/>
        </w:rPr>
        <w:t>大型活动承办者违反本办法第十条第一款规定的，由公安机关责令改正，可以并处5000元以上3万元以下罚款。</w:t>
      </w:r>
    </w:p>
    <w:p w14:paraId="269AFCD3">
      <w:pPr>
        <w:ind w:firstLine="422"/>
        <w:rPr>
          <w:rFonts w:hint="eastAsia" w:ascii="宋体" w:hAnsi="宋体" w:eastAsia="宋体" w:cs="宋体"/>
        </w:rPr>
      </w:pPr>
      <w:r>
        <w:rPr>
          <w:rFonts w:hint="eastAsia"/>
          <w:b/>
        </w:rPr>
        <w:t>第十六条</w:t>
      </w:r>
      <w:r>
        <w:rPr>
          <w:rFonts w:hint="eastAsia"/>
        </w:rPr>
        <w:t>　安全检查人员违反本办法第十二条第（一</w:t>
      </w:r>
      <w:r>
        <w:rPr>
          <w:rFonts w:hint="eastAsia" w:ascii="宋体" w:hAnsi="宋体" w:eastAsia="宋体" w:cs="宋体"/>
        </w:rPr>
        <w:t>）、（三）、（六）项规定之一的，由公安机关责令改正，并对安全检查实施单位处1000元以上5000元以下罚款。</w:t>
      </w:r>
    </w:p>
    <w:p w14:paraId="0DA3577A">
      <w:pPr>
        <w:ind w:firstLine="422"/>
      </w:pPr>
      <w:r>
        <w:rPr>
          <w:rFonts w:hint="eastAsia"/>
          <w:b/>
        </w:rPr>
        <w:t>第十七条</w:t>
      </w:r>
      <w:r>
        <w:rPr>
          <w:rFonts w:hint="eastAsia"/>
        </w:rPr>
        <w:t>　参加大型活动的人员有违反本办法第十四条规定行为的，由公安机关给予批评教育；有扰乱公共秩序、妨害公共安全行为的，公安机关可以将其强行带离现场，依法给予治安管理处罚；构成犯罪的，依法追究刑事责任。</w:t>
      </w:r>
    </w:p>
    <w:p w14:paraId="34B7EA82">
      <w:pPr>
        <w:ind w:firstLine="422"/>
      </w:pPr>
      <w:r>
        <w:rPr>
          <w:rFonts w:hint="eastAsia"/>
          <w:b/>
        </w:rPr>
        <w:t>第十八条</w:t>
      </w:r>
      <w:r>
        <w:rPr>
          <w:rFonts w:hint="eastAsia"/>
        </w:rPr>
        <w:t>　对违反本办法的行为，其他法律、法规、规章已经规定了行政处罚的，由有关行政机关依法处理。</w:t>
      </w:r>
    </w:p>
    <w:p w14:paraId="7FBD2E5A">
      <w:pPr>
        <w:ind w:firstLine="422"/>
        <w:rPr>
          <w:rFonts w:hint="eastAsia" w:ascii="宋体" w:hAnsi="宋体" w:eastAsia="宋体" w:cs="宋体"/>
        </w:rPr>
      </w:pPr>
      <w:r>
        <w:rPr>
          <w:rFonts w:hint="eastAsia"/>
          <w:b/>
        </w:rPr>
        <w:t>第十九条</w:t>
      </w:r>
      <w:r>
        <w:rPr>
          <w:rFonts w:hint="eastAsia"/>
        </w:rPr>
        <w:t>　本办法</w:t>
      </w:r>
      <w:r>
        <w:rPr>
          <w:rFonts w:hint="eastAsia" w:ascii="宋体" w:hAnsi="宋体" w:eastAsia="宋体" w:cs="宋体"/>
        </w:rPr>
        <w:t>自2008年3月1日起施行。</w:t>
      </w:r>
    </w:p>
    <w:p w14:paraId="783421B0"/>
    <w:p w14:paraId="2523E38F">
      <w:pPr>
        <w:pStyle w:val="4"/>
        <w:pageBreakBefore/>
      </w:pPr>
      <w:bookmarkStart w:id="1927" w:name="_Toc428780393"/>
      <w:bookmarkStart w:id="1928" w:name="_Toc428781770"/>
      <w:bookmarkStart w:id="1929" w:name="_Toc426467022"/>
      <w:r>
        <w:rPr>
          <w:rFonts w:hint="eastAsia"/>
        </w:rPr>
        <w:t>北京市农村消防安全管理规定</w:t>
      </w:r>
      <w:bookmarkEnd w:id="1927"/>
      <w:bookmarkEnd w:id="1928"/>
      <w:bookmarkEnd w:id="1929"/>
    </w:p>
    <w:p w14:paraId="2E2B782B">
      <w:pPr>
        <w:ind w:left="630" w:leftChars="300" w:right="630" w:rightChars="300"/>
        <w:rPr>
          <w:rFonts w:ascii="楷体" w:hAnsi="楷体" w:eastAsia="楷体"/>
        </w:rPr>
      </w:pPr>
      <w:r>
        <w:rPr>
          <w:rFonts w:hint="eastAsia" w:ascii="楷体" w:hAnsi="楷体" w:eastAsia="楷体"/>
        </w:rPr>
        <w:t>（2007年10月26日北京市人民政府第73次常务会议审议通过　2007年11月9日北京市人民政府第196号令公布）</w:t>
      </w:r>
    </w:p>
    <w:p w14:paraId="589477F8"/>
    <w:p w14:paraId="3CE83BB5">
      <w:pPr>
        <w:ind w:firstLine="422"/>
      </w:pPr>
      <w:r>
        <w:rPr>
          <w:rFonts w:hint="eastAsia"/>
          <w:b/>
        </w:rPr>
        <w:t>第一条</w:t>
      </w:r>
      <w:r>
        <w:rPr>
          <w:rFonts w:hint="eastAsia"/>
        </w:rPr>
        <w:t xml:space="preserve">  为了预防火灾和减少火灾危害，根据《中华人民共和国消防法》、《北京市消防条例》等法律、法规，结合本市实际情况，制定本规定。</w:t>
      </w:r>
    </w:p>
    <w:p w14:paraId="38A82419">
      <w:pPr>
        <w:ind w:firstLine="422"/>
      </w:pPr>
      <w:r>
        <w:rPr>
          <w:rFonts w:hint="eastAsia"/>
          <w:b/>
        </w:rPr>
        <w:t>第二条</w:t>
      </w:r>
      <w:r>
        <w:rPr>
          <w:rFonts w:hint="eastAsia"/>
        </w:rPr>
        <w:t xml:space="preserve">  本规定适用于本市农村地区的消防安全管理。城乡结合部地区适用本规定的范围，由区、县人民政府划定并公布。</w:t>
      </w:r>
    </w:p>
    <w:p w14:paraId="573E78AD">
      <w:pPr>
        <w:ind w:firstLine="422"/>
      </w:pPr>
      <w:r>
        <w:rPr>
          <w:rFonts w:hint="eastAsia"/>
          <w:b/>
        </w:rPr>
        <w:t>第三条</w:t>
      </w:r>
      <w:r>
        <w:rPr>
          <w:rFonts w:hint="eastAsia"/>
        </w:rPr>
        <w:t xml:space="preserve">  本市农村消防工作贯彻预防为主、防消结合的方针，坚持统筹规划、因地制宜、综合治理的原则，逐步提高农村居民自防自救能力。</w:t>
      </w:r>
    </w:p>
    <w:p w14:paraId="32A1256C">
      <w:pPr>
        <w:ind w:firstLine="422"/>
      </w:pPr>
      <w:r>
        <w:rPr>
          <w:rFonts w:hint="eastAsia"/>
          <w:b/>
        </w:rPr>
        <w:t>第四条</w:t>
      </w:r>
      <w:r>
        <w:rPr>
          <w:rFonts w:hint="eastAsia"/>
        </w:rPr>
        <w:t xml:space="preserve">  区、县人民政府负责本行政区域的农村消防工作，将农村消防工作纳入国民经济和社会发展规划，统筹制定本行政区域的农村消防规划并组织实施，将农村消防经费列入财政预算。建立农村消防安全管理机制，落实农村消防工作责任制，制定工作标准和考评制度，对乡、镇人民政府和有关部门依法履行农村消防工作职责的情况进行监督检查。</w:t>
      </w:r>
    </w:p>
    <w:p w14:paraId="360A6E18">
      <w:pPr>
        <w:ind w:firstLine="422"/>
      </w:pPr>
      <w:r>
        <w:rPr>
          <w:rFonts w:hint="eastAsia"/>
          <w:b/>
        </w:rPr>
        <w:t>第五条</w:t>
      </w:r>
      <w:r>
        <w:rPr>
          <w:rFonts w:hint="eastAsia"/>
        </w:rPr>
        <w:t xml:space="preserve">  公安机关负责对本辖区内的农村消防工作实施监督管理。</w:t>
      </w:r>
    </w:p>
    <w:p w14:paraId="3583DA41">
      <w:r>
        <w:rPr>
          <w:rFonts w:hint="eastAsia"/>
        </w:rPr>
        <w:t>公安消防机构负责农村地区消防行政许可、火灾事故调查和消防安全重点单位的监督管理等工作，指导乡、镇人民政府消防工作机构和公安派出所开展消防工作。</w:t>
      </w:r>
    </w:p>
    <w:p w14:paraId="5559A606">
      <w:r>
        <w:rPr>
          <w:rFonts w:hint="eastAsia"/>
        </w:rPr>
        <w:t>公安派出所应当根据公安机关的规定，负责相应的农村消防监督管理工作，对村民委员会的防火安全工作情况进行监督检查。</w:t>
      </w:r>
    </w:p>
    <w:p w14:paraId="03EE3594">
      <w:pPr>
        <w:ind w:firstLine="422"/>
      </w:pPr>
      <w:r>
        <w:rPr>
          <w:rFonts w:hint="eastAsia"/>
          <w:b/>
        </w:rPr>
        <w:t>第六条</w:t>
      </w:r>
      <w:r>
        <w:rPr>
          <w:rFonts w:hint="eastAsia"/>
        </w:rPr>
        <w:t xml:space="preserve">  发展改革、规划、财政、农业、安全生产、林业、水务、民政、劳动和社会保障、教育等行政部门，应当在各自职责范围内做好农村消防工作。</w:t>
      </w:r>
    </w:p>
    <w:p w14:paraId="09EFDB44">
      <w:pPr>
        <w:ind w:firstLine="422"/>
      </w:pPr>
      <w:r>
        <w:rPr>
          <w:rFonts w:hint="eastAsia"/>
          <w:b/>
        </w:rPr>
        <w:t>第七条</w:t>
      </w:r>
      <w:r>
        <w:rPr>
          <w:rFonts w:hint="eastAsia"/>
        </w:rPr>
        <w:t xml:space="preserve">  新闻、出版、广播、电视等单位应当通过农村题材的栏目，采取多种形式向农村居民进行消防法规、防火知识、灭火常识和逃生自救方法等内容的宣传教育。</w:t>
      </w:r>
    </w:p>
    <w:p w14:paraId="50A9A229">
      <w:pPr>
        <w:ind w:firstLine="422"/>
      </w:pPr>
      <w:r>
        <w:rPr>
          <w:rFonts w:hint="eastAsia"/>
          <w:b/>
        </w:rPr>
        <w:t>第八条</w:t>
      </w:r>
      <w:r>
        <w:rPr>
          <w:rFonts w:hint="eastAsia"/>
        </w:rPr>
        <w:t xml:space="preserve">  乡、镇人民政府负责落实本行政区域的农村消防规划，根据实际需要建立与治安巡防队、森林消防队等相结合的专（兼）职消防队，指导村民委员会开展消防安全工作鼓励村民委员会组织建立志愿消防队。</w:t>
      </w:r>
    </w:p>
    <w:p w14:paraId="043A9247">
      <w:r>
        <w:rPr>
          <w:rFonts w:hint="eastAsia"/>
        </w:rPr>
        <w:t>公安消防机构应当对专（兼）职消防队、志愿消防队等消防队伍进行业务指导。</w:t>
      </w:r>
    </w:p>
    <w:p w14:paraId="6DAD78AF">
      <w:pPr>
        <w:ind w:firstLine="422"/>
      </w:pPr>
      <w:r>
        <w:rPr>
          <w:rFonts w:hint="eastAsia"/>
          <w:b/>
        </w:rPr>
        <w:t>第九条</w:t>
      </w:r>
      <w:r>
        <w:rPr>
          <w:rFonts w:hint="eastAsia"/>
        </w:rPr>
        <w:t xml:space="preserve">  村民委员会应当成立防火安全小组，设立消防安全员，健全工作制度，开展消防安全宣传和消防安全检查、巡查，及时消除火灾隐患，组织火灾扑救，建立消防工作档案。</w:t>
      </w:r>
    </w:p>
    <w:p w14:paraId="6C6E2E05">
      <w:r>
        <w:rPr>
          <w:rFonts w:hint="eastAsia"/>
        </w:rPr>
        <w:t>村民委员会应当组织农村居民制定规范农村居民行为的防火安全公约。防火安全公约应当包括下列内容：</w:t>
      </w:r>
    </w:p>
    <w:p w14:paraId="57E70499">
      <w:bookmarkStart w:id="1930" w:name="_Toc428780394"/>
      <w:r>
        <w:rPr>
          <w:rFonts w:hint="eastAsia"/>
        </w:rPr>
        <w:t>（一）用火、用电、用油、用气和堆放易燃物品等行为的安全要求；</w:t>
      </w:r>
      <w:bookmarkEnd w:id="1930"/>
    </w:p>
    <w:p w14:paraId="5C911F49">
      <w:r>
        <w:rPr>
          <w:rFonts w:hint="eastAsia"/>
        </w:rPr>
        <w:t>（二）保证消防车道畅通、公共消防器材设施完好有效的措施；</w:t>
      </w:r>
    </w:p>
    <w:p w14:paraId="13FECE88">
      <w:r>
        <w:rPr>
          <w:rFonts w:hint="eastAsia"/>
        </w:rPr>
        <w:t>（三）对老弱病残人员的监护和帮助措施；</w:t>
      </w:r>
    </w:p>
    <w:p w14:paraId="394C4718">
      <w:r>
        <w:rPr>
          <w:rFonts w:hint="eastAsia"/>
        </w:rPr>
        <w:t>（四）根据本村实际，保证消防安全的其他内容。</w:t>
      </w:r>
    </w:p>
    <w:p w14:paraId="7E3BBD8C">
      <w:pPr>
        <w:ind w:firstLine="422"/>
      </w:pPr>
      <w:r>
        <w:rPr>
          <w:rFonts w:hint="eastAsia"/>
          <w:b/>
        </w:rPr>
        <w:t>第十条</w:t>
      </w:r>
      <w:r>
        <w:rPr>
          <w:rFonts w:hint="eastAsia"/>
        </w:rPr>
        <w:t xml:space="preserve">  农村消防基础设施建设应当与村容村貌改造、乡村道路、人畜饮水工程等农村公共基础设施统一规划、建设和管理。</w:t>
      </w:r>
    </w:p>
    <w:p w14:paraId="5901733E">
      <w:r>
        <w:rPr>
          <w:rFonts w:hint="eastAsia"/>
        </w:rPr>
        <w:t>新建、改建农村道路时，村内主干道的路面宽度以及管架、栈桥等设施跨越道路的高度，应当符合消防车辆通行要求。</w:t>
      </w:r>
    </w:p>
    <w:p w14:paraId="1245FC16">
      <w:pPr>
        <w:ind w:firstLine="422"/>
      </w:pPr>
      <w:r>
        <w:rPr>
          <w:rFonts w:hint="eastAsia"/>
          <w:b/>
        </w:rPr>
        <w:t>第十一条</w:t>
      </w:r>
      <w:r>
        <w:rPr>
          <w:rFonts w:hint="eastAsia"/>
        </w:rPr>
        <w:t xml:space="preserve">  新建、改建农村自来水管网时，应当按照规定配置消火栓。已有自来水管网但未配置消火栓的村，应当对管网进行改造，并按照规定配置消火栓。没有自来水管网的村，可以利用天然水源设置取水设施；缺乏天然水源的，可以设置消防水池等作为替代水源。</w:t>
      </w:r>
    </w:p>
    <w:p w14:paraId="072DEAFB">
      <w:pPr>
        <w:ind w:firstLine="422"/>
      </w:pPr>
      <w:r>
        <w:rPr>
          <w:rFonts w:hint="eastAsia"/>
          <w:b/>
        </w:rPr>
        <w:t>第十二条</w:t>
      </w:r>
      <w:r>
        <w:rPr>
          <w:rFonts w:hint="eastAsia"/>
        </w:rPr>
        <w:t xml:space="preserve">  新建、改建农村公共建筑时，应当按照消防安全标准，使用符合耐火等级要求的建筑材料。鼓励农村居民住宅使用耐火材料，改善农村用火、用电、用气条件。</w:t>
      </w:r>
    </w:p>
    <w:p w14:paraId="36203C8B">
      <w:pPr>
        <w:ind w:firstLine="422"/>
      </w:pPr>
      <w:r>
        <w:rPr>
          <w:rFonts w:hint="eastAsia"/>
          <w:b/>
        </w:rPr>
        <w:t>第十三条</w:t>
      </w:r>
      <w:r>
        <w:rPr>
          <w:rFonts w:hint="eastAsia"/>
        </w:rPr>
        <w:t xml:space="preserve">  在农业收获季节、森林防火期等火灾多发季节和重大节假日期间，乡、镇人民政府应当组织开展有针对性的消防宣传教育；在重点防火场所和部位设置消防警示标志，加强消防安全检查，对发现的火灾隐患，要求相关责任人员及时整改，并实施跟踪复查。</w:t>
      </w:r>
    </w:p>
    <w:p w14:paraId="516B51F5">
      <w:pPr>
        <w:ind w:firstLine="422"/>
      </w:pPr>
      <w:r>
        <w:rPr>
          <w:rFonts w:hint="eastAsia"/>
          <w:b/>
        </w:rPr>
        <w:t>第十四条</w:t>
      </w:r>
      <w:r>
        <w:rPr>
          <w:rFonts w:hint="eastAsia"/>
        </w:rPr>
        <w:t>　农村灯会、庙会、文艺演出、体育比赛等群众性活动的主办者应当制定灭火、疏散预案，落实消防安全措施。</w:t>
      </w:r>
    </w:p>
    <w:p w14:paraId="23D0EED8">
      <w:r>
        <w:rPr>
          <w:rFonts w:hint="eastAsia"/>
        </w:rPr>
        <w:t>农村集市的主办者应当制定消防安全管理制度，配备消防管理人员和灭火器材，保证疏散通道和消防车道畅通；没有主办者的，集市的消防安全工作由所在地村民委员会负责。</w:t>
      </w:r>
    </w:p>
    <w:p w14:paraId="202CAE40">
      <w:pPr>
        <w:ind w:firstLine="422"/>
      </w:pPr>
      <w:r>
        <w:rPr>
          <w:rFonts w:hint="eastAsia"/>
          <w:b/>
        </w:rPr>
        <w:t>第十五条</w:t>
      </w:r>
      <w:r>
        <w:rPr>
          <w:rFonts w:hint="eastAsia"/>
        </w:rPr>
        <w:t>　农村地区的学校、幼儿园、敬老院、医疗机构、图书室，以及从事旅游、餐饮、娱乐、住宿等经营活动的单位和个人，应当遵守下列规定：</w:t>
      </w:r>
    </w:p>
    <w:p w14:paraId="12FD04DC">
      <w:bookmarkStart w:id="1931" w:name="_Toc428780395"/>
      <w:r>
        <w:rPr>
          <w:rFonts w:hint="eastAsia"/>
        </w:rPr>
        <w:t>（一）建立消防安全管理制度，落实消防安全责任；</w:t>
      </w:r>
      <w:bookmarkEnd w:id="1931"/>
    </w:p>
    <w:p w14:paraId="602DFA6E">
      <w:r>
        <w:rPr>
          <w:rFonts w:hint="eastAsia"/>
        </w:rPr>
        <w:t>（二）制定消防安全措施和应急预案；</w:t>
      </w:r>
    </w:p>
    <w:p w14:paraId="151FF910">
      <w:r>
        <w:rPr>
          <w:rFonts w:hint="eastAsia"/>
        </w:rPr>
        <w:t>（三）配备完好、有效的消防器材；</w:t>
      </w:r>
    </w:p>
    <w:p w14:paraId="2CA96555">
      <w:r>
        <w:rPr>
          <w:rFonts w:hint="eastAsia"/>
        </w:rPr>
        <w:t>（四）设置符合要求的应急照明设施、消防安全疏散标志和安全出口，确保疏散通道和安全出口畅通；</w:t>
      </w:r>
    </w:p>
    <w:p w14:paraId="73BD9097">
      <w:bookmarkStart w:id="1932" w:name="_Toc428780396"/>
      <w:r>
        <w:rPr>
          <w:rFonts w:hint="eastAsia"/>
        </w:rPr>
        <w:t>（五）开展防火巡查和自检自查，及时消除火灾隐患；</w:t>
      </w:r>
      <w:bookmarkEnd w:id="1932"/>
    </w:p>
    <w:p w14:paraId="7241BCB2">
      <w:r>
        <w:rPr>
          <w:rFonts w:hint="eastAsia"/>
        </w:rPr>
        <w:t>（六）对从业人员进行消防法规、防火知识、灭火常识和逃生自救方法等内容的宣传教育；</w:t>
      </w:r>
    </w:p>
    <w:p w14:paraId="35B686E1">
      <w:r>
        <w:rPr>
          <w:rFonts w:hint="eastAsia"/>
        </w:rPr>
        <w:t>（七）配合有关部门做好消防安全检查和专项治理工作。</w:t>
      </w:r>
    </w:p>
    <w:p w14:paraId="37A2D5C9">
      <w:pPr>
        <w:ind w:firstLine="422"/>
      </w:pPr>
      <w:r>
        <w:rPr>
          <w:rFonts w:hint="eastAsia"/>
          <w:b/>
        </w:rPr>
        <w:t>第十六条</w:t>
      </w:r>
      <w:r>
        <w:rPr>
          <w:rFonts w:hint="eastAsia"/>
        </w:rPr>
        <w:t xml:space="preserve">  在农村地区从事燃油、燃气、造纸、木材加工、家具生产、服装加工、废品收购、仓储等生产经营活动的单位和个人，应当遵守下列规定：</w:t>
      </w:r>
    </w:p>
    <w:p w14:paraId="1CE20EAD">
      <w:bookmarkStart w:id="1933" w:name="_Toc428780397"/>
      <w:r>
        <w:rPr>
          <w:rFonts w:hint="eastAsia"/>
        </w:rPr>
        <w:t>（一）制定并落实消防安全操作规程；</w:t>
      </w:r>
      <w:bookmarkEnd w:id="1933"/>
    </w:p>
    <w:p w14:paraId="4ABD8792">
      <w:r>
        <w:rPr>
          <w:rFonts w:hint="eastAsia"/>
        </w:rPr>
        <w:t>（二）配置消防设施和灭火器材，并做好维护保养工作；</w:t>
      </w:r>
    </w:p>
    <w:p w14:paraId="6DC17CB1">
      <w:r>
        <w:rPr>
          <w:rFonts w:hint="eastAsia"/>
        </w:rPr>
        <w:t>（三）在经营场所周边设置明显的消防警示标志；</w:t>
      </w:r>
    </w:p>
    <w:p w14:paraId="2EB9727E">
      <w:r>
        <w:rPr>
          <w:rFonts w:hint="eastAsia"/>
        </w:rPr>
        <w:t>（四）严格用火、用电制度；</w:t>
      </w:r>
    </w:p>
    <w:p w14:paraId="412DE6BA">
      <w:r>
        <w:rPr>
          <w:rFonts w:hint="eastAsia"/>
        </w:rPr>
        <w:t>（五）生产经营区域与生活区域采取防火分隔措施，分别设置安全出口和疏散通道。</w:t>
      </w:r>
    </w:p>
    <w:p w14:paraId="17DDE355">
      <w:pPr>
        <w:ind w:firstLine="422"/>
      </w:pPr>
      <w:r>
        <w:rPr>
          <w:rFonts w:hint="eastAsia"/>
          <w:b/>
        </w:rPr>
        <w:t>第十七条</w:t>
      </w:r>
      <w:r>
        <w:rPr>
          <w:rFonts w:hint="eastAsia"/>
        </w:rPr>
        <w:t>　在农村地区燃放烟花爆竹时，应当遵守国家和本市有关燃放烟花爆竹的安全管理规定。</w:t>
      </w:r>
    </w:p>
    <w:p w14:paraId="240F55CA">
      <w:pPr>
        <w:ind w:firstLine="422"/>
      </w:pPr>
      <w:r>
        <w:rPr>
          <w:rFonts w:hint="eastAsia"/>
          <w:b/>
        </w:rPr>
        <w:t>第十八条</w:t>
      </w:r>
      <w:r>
        <w:rPr>
          <w:rFonts w:hint="eastAsia"/>
        </w:rPr>
        <w:t>　村民委员会应当制定消防宣传教育计划，指导在农村地区居住的人员做好下列防火工作：</w:t>
      </w:r>
    </w:p>
    <w:p w14:paraId="3FA31B9F">
      <w:bookmarkStart w:id="1934" w:name="_Toc428780398"/>
      <w:r>
        <w:rPr>
          <w:rFonts w:hint="eastAsia"/>
        </w:rPr>
        <w:t>（一）爱护消火栓、消防水池等公共消防器材和设施；</w:t>
      </w:r>
      <w:bookmarkEnd w:id="1934"/>
    </w:p>
    <w:p w14:paraId="30032646">
      <w:r>
        <w:rPr>
          <w:rFonts w:hint="eastAsia"/>
        </w:rPr>
        <w:t>（二）不在村内道路上堆物、堆料或者搭设棚屋；</w:t>
      </w:r>
    </w:p>
    <w:p w14:paraId="26CE82F1">
      <w:r>
        <w:rPr>
          <w:rFonts w:hint="eastAsia"/>
        </w:rPr>
        <w:t>（三）不在林地附近、架空高压输电线路和通讯线路下方堆放可燃物或者燎荒；</w:t>
      </w:r>
    </w:p>
    <w:p w14:paraId="57CB14F5">
      <w:bookmarkStart w:id="1935" w:name="_Toc428780399"/>
      <w:r>
        <w:rPr>
          <w:rFonts w:hint="eastAsia"/>
        </w:rPr>
        <w:t>（四）毗邻林地居住的人员使用明火时，采取防火措施；</w:t>
      </w:r>
      <w:bookmarkEnd w:id="1935"/>
    </w:p>
    <w:p w14:paraId="6806FCF9">
      <w:r>
        <w:rPr>
          <w:rFonts w:hint="eastAsia"/>
        </w:rPr>
        <w:t>（五）遵守电器安全使用规定，不超负荷用电，严禁安装不合格的保险丝、保险片；</w:t>
      </w:r>
    </w:p>
    <w:p w14:paraId="57F870E4">
      <w:r>
        <w:rPr>
          <w:rFonts w:hint="eastAsia"/>
        </w:rPr>
        <w:t>（六）安全使用明火，定期清理火炕（墙）、烟道，检修住宅内的燃气管道、器具；</w:t>
      </w:r>
    </w:p>
    <w:p w14:paraId="07F183CD">
      <w:r>
        <w:rPr>
          <w:rFonts w:hint="eastAsia"/>
        </w:rPr>
        <w:t>（七）学习和掌握家庭火灾扑救和逃生自救等消防常识，做好对被监护人的教育和看护；</w:t>
      </w:r>
    </w:p>
    <w:p w14:paraId="2FDE1491">
      <w:r>
        <w:rPr>
          <w:rFonts w:hint="eastAsia"/>
        </w:rPr>
        <w:t>（八）租赁房屋或者承包经营场所时，明确当事人的消防安全责任。</w:t>
      </w:r>
    </w:p>
    <w:p w14:paraId="6AC1D60C">
      <w:pPr>
        <w:ind w:firstLine="422"/>
      </w:pPr>
      <w:r>
        <w:rPr>
          <w:rFonts w:hint="eastAsia"/>
          <w:b/>
        </w:rPr>
        <w:t>第十九条</w:t>
      </w:r>
      <w:r>
        <w:rPr>
          <w:rFonts w:hint="eastAsia"/>
        </w:rPr>
        <w:t xml:space="preserve">  有农村消防工作职责的行政部门及其工作人员不依法履行农村消防工作职责，造成严重后果的，由其上级行政主管机关或者监察机关责令改正，对直接负责的主管人员和其他直接责任人员依法给予行政处分。</w:t>
      </w:r>
    </w:p>
    <w:p w14:paraId="02DE6CAF">
      <w:pPr>
        <w:ind w:firstLine="422"/>
        <w:rPr>
          <w:rFonts w:hint="eastAsia" w:ascii="宋体" w:hAnsi="宋体" w:eastAsia="宋体" w:cs="宋体"/>
        </w:rPr>
      </w:pPr>
      <w:r>
        <w:rPr>
          <w:rFonts w:hint="eastAsia"/>
          <w:b/>
        </w:rPr>
        <w:t>第二十条</w:t>
      </w:r>
      <w:r>
        <w:rPr>
          <w:rFonts w:hint="eastAsia"/>
        </w:rPr>
        <w:t xml:space="preserve">  对违反本规定第十五条规定行为之一的，由公安消防机构</w:t>
      </w:r>
      <w:r>
        <w:rPr>
          <w:rFonts w:hint="eastAsia" w:ascii="宋体" w:hAnsi="宋体" w:eastAsia="宋体" w:cs="宋体"/>
        </w:rPr>
        <w:t>责令改正，处1000元以上3万元以下罚款。</w:t>
      </w:r>
    </w:p>
    <w:p w14:paraId="472C654B">
      <w:pPr>
        <w:rPr>
          <w:rFonts w:hint="eastAsia" w:ascii="宋体" w:hAnsi="宋体" w:eastAsia="宋体" w:cs="宋体"/>
        </w:rPr>
      </w:pPr>
      <w:r>
        <w:rPr>
          <w:rFonts w:hint="eastAsia" w:ascii="宋体" w:hAnsi="宋体" w:eastAsia="宋体" w:cs="宋体"/>
        </w:rPr>
        <w:t>对违反本规定第十六条规定行为之一的，由公安消防机构责令改正，可以处警告、5000元以上5万元以下罚款。</w:t>
      </w:r>
    </w:p>
    <w:p w14:paraId="5498BCB3">
      <w:r>
        <w:rPr>
          <w:rFonts w:hint="eastAsia" w:ascii="宋体" w:hAnsi="宋体" w:eastAsia="宋体" w:cs="宋体"/>
        </w:rPr>
        <w:t>对违反本规定的行为，其他法律、法规、规章已经规定行政处罚的，由有关行政部门依</w:t>
      </w:r>
      <w:r>
        <w:rPr>
          <w:rFonts w:hint="eastAsia"/>
        </w:rPr>
        <w:t>法处理。</w:t>
      </w:r>
    </w:p>
    <w:p w14:paraId="3FBFDA35">
      <w:pPr>
        <w:ind w:firstLine="422"/>
      </w:pPr>
      <w:r>
        <w:rPr>
          <w:rFonts w:hint="eastAsia"/>
          <w:b/>
        </w:rPr>
        <w:t>第二十一条</w:t>
      </w:r>
      <w:r>
        <w:rPr>
          <w:rFonts w:hint="eastAsia"/>
        </w:rPr>
        <w:t xml:space="preserve">  本规定</w:t>
      </w:r>
      <w:r>
        <w:rPr>
          <w:rFonts w:hint="eastAsia" w:ascii="宋体" w:hAnsi="宋体" w:eastAsia="宋体" w:cs="宋体"/>
        </w:rPr>
        <w:t>自2008年1月1日起施行。</w:t>
      </w:r>
    </w:p>
    <w:p w14:paraId="51D435BC"/>
    <w:p w14:paraId="0E5C0C46">
      <w:pPr>
        <w:pStyle w:val="3"/>
        <w:pageBreakBefore/>
      </w:pPr>
      <w:bookmarkStart w:id="1936" w:name="_Toc426467023"/>
      <w:bookmarkStart w:id="1937" w:name="_Toc428781771"/>
      <w:bookmarkStart w:id="1938" w:name="_Toc428780400"/>
      <w:r>
        <w:rPr>
          <w:rFonts w:hint="eastAsia"/>
        </w:rPr>
        <w:t>（二）安全生产</w:t>
      </w:r>
      <w:bookmarkEnd w:id="1936"/>
      <w:bookmarkEnd w:id="1937"/>
      <w:bookmarkEnd w:id="1938"/>
    </w:p>
    <w:p w14:paraId="2F81173D"/>
    <w:p w14:paraId="25F3573F">
      <w:pPr>
        <w:pStyle w:val="4"/>
      </w:pPr>
      <w:bookmarkStart w:id="1939" w:name="_Toc426467024"/>
      <w:bookmarkStart w:id="1940" w:name="_Toc428781772"/>
      <w:bookmarkStart w:id="1941" w:name="_Toc428780401"/>
      <w:r>
        <w:rPr>
          <w:rFonts w:hint="eastAsia"/>
        </w:rPr>
        <w:t>北京市安全生产条例</w:t>
      </w:r>
      <w:bookmarkEnd w:id="1939"/>
      <w:bookmarkEnd w:id="1940"/>
      <w:bookmarkEnd w:id="1941"/>
    </w:p>
    <w:p w14:paraId="6E6F9214">
      <w:pPr>
        <w:ind w:left="630" w:leftChars="300" w:right="630" w:rightChars="300"/>
        <w:rPr>
          <w:rFonts w:ascii="楷体" w:hAnsi="楷体" w:eastAsia="楷体"/>
        </w:rPr>
      </w:pPr>
      <w:r>
        <w:rPr>
          <w:rFonts w:hint="eastAsia" w:ascii="楷体" w:hAnsi="楷体" w:eastAsia="楷体"/>
        </w:rPr>
        <w:t>（2004年7月29日北京市第十二届人民代表大会常务委员会第十三次会议通过　2011年5月27日北京市第十三届人民代表大会常务委员会第二十五次会议修订）</w:t>
      </w:r>
    </w:p>
    <w:p w14:paraId="0A19F2EE"/>
    <w:p w14:paraId="0B566A97">
      <w:pPr>
        <w:ind w:firstLine="0" w:firstLineChars="0"/>
        <w:jc w:val="center"/>
        <w:rPr>
          <w:b/>
        </w:rPr>
      </w:pPr>
      <w:r>
        <w:rPr>
          <w:rFonts w:hint="eastAsia"/>
          <w:b/>
          <w:sz w:val="28"/>
        </w:rPr>
        <w:t>第一章　总　则</w:t>
      </w:r>
    </w:p>
    <w:p w14:paraId="5F07982B"/>
    <w:p w14:paraId="395E6AD9">
      <w:pPr>
        <w:ind w:firstLine="422"/>
      </w:pPr>
      <w:r>
        <w:rPr>
          <w:rFonts w:hint="eastAsia"/>
          <w:b/>
        </w:rPr>
        <w:t>第一条</w:t>
      </w:r>
      <w:r>
        <w:rPr>
          <w:rFonts w:hint="eastAsia"/>
        </w:rPr>
        <w:t xml:space="preserve">  为了加强安全生产监督管理，防止生产安全事故，保障人民群众生命和财产安全，促进经济和社会协调发展，根据《中华人民共和国安全生产法》，结合本市实际情况，制定本条例。</w:t>
      </w:r>
    </w:p>
    <w:p w14:paraId="45F43C90">
      <w:pPr>
        <w:ind w:firstLine="422"/>
      </w:pPr>
      <w:r>
        <w:rPr>
          <w:rFonts w:hint="eastAsia"/>
          <w:b/>
        </w:rPr>
        <w:t>第二条</w:t>
      </w:r>
      <w:r>
        <w:rPr>
          <w:rFonts w:hint="eastAsia"/>
        </w:rPr>
        <w:t xml:space="preserve">  在本市行政区域内从事生产经营活动的单位（以下统称生产经营单位）应当遵守《中华人民共和国安全生产法》和本条例。</w:t>
      </w:r>
    </w:p>
    <w:p w14:paraId="709EB6C1">
      <w:r>
        <w:rPr>
          <w:rFonts w:hint="eastAsia"/>
        </w:rPr>
        <w:t>有关法律、法规对消防安全和道路交通安全、铁路交通安全、水上交通安全、民用航空安全另有规定的，适用其规定。</w:t>
      </w:r>
    </w:p>
    <w:p w14:paraId="57891479">
      <w:pPr>
        <w:ind w:firstLine="422"/>
      </w:pPr>
      <w:r>
        <w:rPr>
          <w:rFonts w:hint="eastAsia"/>
          <w:b/>
        </w:rPr>
        <w:t>第三条</w:t>
      </w:r>
      <w:r>
        <w:rPr>
          <w:rFonts w:hint="eastAsia"/>
        </w:rPr>
        <w:t xml:space="preserve">  本市安全生产管理应当以人为本，坚持安全第一、预防为主的方针，建立健全以生命安全为核心的安全生产责任体系和物质技术保障体系，保障城市安全运行，促进首都安全发展。</w:t>
      </w:r>
    </w:p>
    <w:p w14:paraId="6320965A">
      <w:pPr>
        <w:ind w:firstLine="422"/>
      </w:pPr>
      <w:r>
        <w:rPr>
          <w:rFonts w:hint="eastAsia"/>
          <w:b/>
        </w:rPr>
        <w:t>第四条</w:t>
      </w:r>
      <w:r>
        <w:rPr>
          <w:rFonts w:hint="eastAsia"/>
        </w:rPr>
        <w:t xml:space="preserve">  生产经营单位应当根据本单位生产经营活动的特点，加强安全生产管理，建立健全安全生产责任制度，完善安全生产条件，确保安全生产，保障从业人员和社会公众的安全健康。</w:t>
      </w:r>
    </w:p>
    <w:p w14:paraId="086E3594">
      <w:pPr>
        <w:ind w:firstLine="422"/>
      </w:pPr>
      <w:r>
        <w:rPr>
          <w:rFonts w:hint="eastAsia"/>
          <w:b/>
        </w:rPr>
        <w:t>第五条</w:t>
      </w:r>
      <w:r>
        <w:rPr>
          <w:rFonts w:hint="eastAsia"/>
        </w:rPr>
        <w:t xml:space="preserve">  生产经营单位的主要负责人对本单位的安全生产工作全面负责。</w:t>
      </w:r>
    </w:p>
    <w:p w14:paraId="26256C0F">
      <w:pPr>
        <w:ind w:firstLine="422"/>
      </w:pPr>
      <w:r>
        <w:rPr>
          <w:rFonts w:hint="eastAsia"/>
          <w:b/>
        </w:rPr>
        <w:t>第六条</w:t>
      </w:r>
      <w:r>
        <w:rPr>
          <w:rFonts w:hint="eastAsia"/>
        </w:rPr>
        <w:t xml:space="preserve">  工会依法组织职工参加本单位安全生产工作的民主管理和民主监督，维护职工在安全生产方面的合法权益，对单位执行安全生产法律、法规的情况进行监督。</w:t>
      </w:r>
    </w:p>
    <w:p w14:paraId="073645C8">
      <w:pPr>
        <w:ind w:firstLine="422"/>
      </w:pPr>
      <w:r>
        <w:rPr>
          <w:rFonts w:hint="eastAsia"/>
          <w:b/>
        </w:rPr>
        <w:t>第七条</w:t>
      </w:r>
      <w:r>
        <w:rPr>
          <w:rFonts w:hint="eastAsia"/>
        </w:rPr>
        <w:t xml:space="preserve">  各级人民政府应当加强对安全生产工作的领导，将安全生产工作纳入国民经济和社会发展计划，合理调整产业结构，加大安全生产投入，将安全生产专项工作所需经费列入本级政府预算，支持、督促各有关部门依法履行安全生产监督管理职责，及时协调、解决安全生产监督管理中的重大问题。</w:t>
      </w:r>
    </w:p>
    <w:p w14:paraId="67709784">
      <w:pPr>
        <w:ind w:firstLine="422"/>
      </w:pPr>
      <w:r>
        <w:rPr>
          <w:rFonts w:hint="eastAsia"/>
          <w:b/>
        </w:rPr>
        <w:t>第八条</w:t>
      </w:r>
      <w:r>
        <w:rPr>
          <w:rFonts w:hint="eastAsia"/>
        </w:rPr>
        <w:t xml:space="preserve">  各级人民政府的主要领导人和政府有关部门的正职负责人对本行政区域和本部门的安全生产工作负全面领导责任；各级人民政府的其他领导人和政府有关部门的其他负责人对分管范围内的安全生产工作负领导责任。</w:t>
      </w:r>
    </w:p>
    <w:p w14:paraId="7D94FBA8">
      <w:pPr>
        <w:ind w:firstLine="422"/>
      </w:pPr>
      <w:r>
        <w:rPr>
          <w:rFonts w:hint="eastAsia"/>
          <w:b/>
        </w:rPr>
        <w:t>第九条</w:t>
      </w:r>
      <w:r>
        <w:rPr>
          <w:rFonts w:hint="eastAsia"/>
        </w:rPr>
        <w:t xml:space="preserve">  市和区、县安全生产监督管理部门对本行政区域内安全生产工作实施综合监督管理，指导、协调和监督政府有关部门履行安全生产监督和管理职责，依法对生产经营单位的安全生产工作实施监督检查。</w:t>
      </w:r>
    </w:p>
    <w:p w14:paraId="3371A581">
      <w:r>
        <w:rPr>
          <w:rFonts w:hint="eastAsia"/>
        </w:rPr>
        <w:t>公安、住房和城乡建设、质量技术监督、国土资源、煤炭、电力、国防科技工业等负有安全生产监督管理职责的政府有关部门，按照有关法律、法规的规定，分别对消防、道路交通、建筑施工、特种设备、矿山、电力、民用爆破器材生产等方面的安全生产工作实施监督管理。</w:t>
      </w:r>
    </w:p>
    <w:p w14:paraId="3AB26A2F">
      <w:r>
        <w:rPr>
          <w:rFonts w:hint="eastAsia"/>
        </w:rPr>
        <w:t>商务、文化、教育、卫生、旅游、交通、市政市容、农业、民防等政府有关部门，按照法律、法规、规章的规定和市人民政府确定的职责，负责有关行业或者领域的安全生产管理工作。</w:t>
      </w:r>
    </w:p>
    <w:p w14:paraId="6C403C66">
      <w:pPr>
        <w:ind w:firstLine="422"/>
      </w:pPr>
      <w:r>
        <w:rPr>
          <w:rFonts w:hint="eastAsia"/>
          <w:b/>
        </w:rPr>
        <w:t>第十条</w:t>
      </w:r>
      <w:r>
        <w:rPr>
          <w:rFonts w:hint="eastAsia"/>
        </w:rPr>
        <w:t xml:space="preserve">  各级人民政府及其有关部门应当采取多种形式，加强对有关安全生产的法律、法规和安全生产知识的宣传，组织开展安全生产教育和培训，推进安全文化建设，增强全社会的安全生产意识和安全防范能力。</w:t>
      </w:r>
    </w:p>
    <w:p w14:paraId="570EE70D">
      <w:pPr>
        <w:ind w:firstLine="422"/>
      </w:pPr>
      <w:r>
        <w:rPr>
          <w:rFonts w:hint="eastAsia"/>
          <w:b/>
        </w:rPr>
        <w:t>第十一条</w:t>
      </w:r>
      <w:r>
        <w:rPr>
          <w:rFonts w:hint="eastAsia"/>
        </w:rPr>
        <w:t xml:space="preserve">  各级人民政府及其有关部门应当鼓励安全生产科学技术研究，支持安全生产先进适用技术、装备、工艺的推广应用，提高安全生产信息化水平，推进安全生产产业发展。</w:t>
      </w:r>
    </w:p>
    <w:p w14:paraId="11DE78E1">
      <w:pPr>
        <w:ind w:firstLine="422"/>
      </w:pPr>
      <w:r>
        <w:rPr>
          <w:rFonts w:hint="eastAsia"/>
          <w:b/>
        </w:rPr>
        <w:t>第十二条</w:t>
      </w:r>
      <w:r>
        <w:rPr>
          <w:rFonts w:hint="eastAsia"/>
        </w:rPr>
        <w:t xml:space="preserve">  本市推进安全生产社会化服务体系建设，支持、指导、规范有关社会服务机构依法开展评价、认证、检测、检验、咨询、宣传和技术培训等安全生产服务活动。</w:t>
      </w:r>
    </w:p>
    <w:p w14:paraId="619AA390">
      <w:r>
        <w:rPr>
          <w:rFonts w:hint="eastAsia"/>
        </w:rPr>
        <w:t>有关社会服务机构应当按照法律、法规规定和合同约定从事安全生产服务活动，保障所提供的报告、信息真实准确，并对其作出的安全评价、认证、检测、检验的结果负责。</w:t>
      </w:r>
    </w:p>
    <w:p w14:paraId="5FB2873C">
      <w:pPr>
        <w:ind w:firstLine="422"/>
      </w:pPr>
      <w:r>
        <w:rPr>
          <w:rFonts w:hint="eastAsia"/>
          <w:b/>
        </w:rPr>
        <w:t>第十三条</w:t>
      </w:r>
      <w:r>
        <w:rPr>
          <w:rFonts w:hint="eastAsia"/>
        </w:rPr>
        <w:t xml:space="preserve">  安全生产协会和其他相关行业协会应当加强行业自律，对生产经营单位的安全生产工作进行指导，提供安全生产管理和技术咨询等服务。</w:t>
      </w:r>
    </w:p>
    <w:p w14:paraId="1503F76B">
      <w:r>
        <w:rPr>
          <w:rFonts w:hint="eastAsia"/>
        </w:rPr>
        <w:t>本市鼓励安全生产协会和其他相关行业协会参与安全生产标准的制定。</w:t>
      </w:r>
    </w:p>
    <w:p w14:paraId="2D7BA96D">
      <w:pPr>
        <w:ind w:firstLine="422"/>
      </w:pPr>
      <w:r>
        <w:rPr>
          <w:rFonts w:hint="eastAsia"/>
          <w:b/>
        </w:rPr>
        <w:t>第十四条</w:t>
      </w:r>
      <w:r>
        <w:rPr>
          <w:rFonts w:hint="eastAsia"/>
        </w:rPr>
        <w:t>　市和区、县人民政府对在改善安全生产条件、推进安全文化建设、防止生产安全事故、参加抢险救护、安全生产科学技术研究和推广应用、安全生产监督管理等方面取得显著成绩的单位和个人，给予表彰和奖励。</w:t>
      </w:r>
    </w:p>
    <w:p w14:paraId="362AD5FE"/>
    <w:p w14:paraId="6C6006CB">
      <w:pPr>
        <w:ind w:firstLine="0" w:firstLineChars="0"/>
        <w:jc w:val="center"/>
        <w:rPr>
          <w:b/>
        </w:rPr>
      </w:pPr>
      <w:r>
        <w:rPr>
          <w:rFonts w:hint="eastAsia"/>
          <w:b/>
          <w:sz w:val="28"/>
        </w:rPr>
        <w:t>第二章　生产经营单位的安全生产保障</w:t>
      </w:r>
    </w:p>
    <w:p w14:paraId="415F546E"/>
    <w:p w14:paraId="41411701">
      <w:pPr>
        <w:ind w:firstLine="422"/>
      </w:pPr>
      <w:r>
        <w:rPr>
          <w:rFonts w:hint="eastAsia"/>
          <w:b/>
        </w:rPr>
        <w:t>第十五条</w:t>
      </w:r>
      <w:r>
        <w:rPr>
          <w:rFonts w:hint="eastAsia"/>
        </w:rPr>
        <w:t>　生产经营单位应当具备下列安全生产条件：</w:t>
      </w:r>
    </w:p>
    <w:p w14:paraId="77C1CE73">
      <w:r>
        <w:rPr>
          <w:rFonts w:hint="eastAsia"/>
        </w:rPr>
        <w:t>（一）生产经营场所和设备、设施符合有关安全生产法律、法规的规定和国家标准或者行业标准的要求。</w:t>
      </w:r>
    </w:p>
    <w:p w14:paraId="0D3B5F47">
      <w:r>
        <w:rPr>
          <w:rFonts w:hint="eastAsia"/>
        </w:rPr>
        <w:t>（二）矿山、建筑施工单位和危险化学品、烟花爆竹、民用爆破器材生产单位依法取得安全生产许可证。</w:t>
      </w:r>
    </w:p>
    <w:p w14:paraId="651FF330">
      <w:r>
        <w:rPr>
          <w:rFonts w:hint="eastAsia"/>
        </w:rPr>
        <w:t>（三）建立健全安全生产责任制，制定安全生产规章制度和相关操作规程。</w:t>
      </w:r>
    </w:p>
    <w:p w14:paraId="31857129">
      <w:r>
        <w:rPr>
          <w:rFonts w:hint="eastAsia"/>
        </w:rPr>
        <w:t>（四）依法设置安全生产管理机构或者配备安全生产管理人员。</w:t>
      </w:r>
    </w:p>
    <w:p w14:paraId="04F57A72">
      <w:r>
        <w:rPr>
          <w:rFonts w:hint="eastAsia"/>
        </w:rPr>
        <w:t>（五）从业人员配备符合国家标准或者行业标准的劳动防护用品。</w:t>
      </w:r>
    </w:p>
    <w:p w14:paraId="4B7997EB">
      <w:r>
        <w:rPr>
          <w:rFonts w:hint="eastAsia"/>
        </w:rPr>
        <w:t>（六）主要负责人和安全生产管理人员具备与生产经营活动相适应的安全生产知识和管理能力。危险物品的生产、经营、储存单位及矿山、建筑施工单位的主要负责人和安全生产管理人员，依法经安全生产知识和管理能力考核合格。</w:t>
      </w:r>
    </w:p>
    <w:p w14:paraId="778C602D">
      <w:r>
        <w:rPr>
          <w:rFonts w:hint="eastAsia"/>
        </w:rPr>
        <w:t>（七）从业人员经安全生产教育和培训合格。特种作业人员按照国家和本市的有关规定，经专门的安全作业培训并考核合格，取得特种作业操作资格证书。</w:t>
      </w:r>
    </w:p>
    <w:p w14:paraId="0408468F">
      <w:r>
        <w:rPr>
          <w:rFonts w:hint="eastAsia"/>
        </w:rPr>
        <w:t>（八）法律、法规和国家标准或者行业标准、地方标准规定的其他安全生产条件。</w:t>
      </w:r>
    </w:p>
    <w:p w14:paraId="26F72712">
      <w:r>
        <w:rPr>
          <w:rFonts w:hint="eastAsia"/>
        </w:rPr>
        <w:t>不具备安全生产条件的单位不得从事生产经营活动。</w:t>
      </w:r>
    </w:p>
    <w:p w14:paraId="5C01A708">
      <w:pPr>
        <w:ind w:firstLine="422"/>
      </w:pPr>
      <w:r>
        <w:rPr>
          <w:rFonts w:hint="eastAsia"/>
          <w:b/>
        </w:rPr>
        <w:t>第十六条</w:t>
      </w:r>
      <w:r>
        <w:rPr>
          <w:rFonts w:hint="eastAsia"/>
        </w:rPr>
        <w:t xml:space="preserve"> 　生产经营单位的主要负责人对本单位安全生产工作负有下列职责：</w:t>
      </w:r>
    </w:p>
    <w:p w14:paraId="51878477">
      <w:bookmarkStart w:id="1942" w:name="_Toc428780402"/>
      <w:r>
        <w:rPr>
          <w:rFonts w:hint="eastAsia"/>
        </w:rPr>
        <w:t>（一）建立健全并督促落实安全生产责任制；</w:t>
      </w:r>
      <w:bookmarkEnd w:id="1942"/>
    </w:p>
    <w:p w14:paraId="5D4DAF30">
      <w:r>
        <w:rPr>
          <w:rFonts w:hint="eastAsia"/>
        </w:rPr>
        <w:t>（二）组织制定并督促落实安全生产规章制度和操作规程；</w:t>
      </w:r>
    </w:p>
    <w:p w14:paraId="27C1F6D1">
      <w:r>
        <w:rPr>
          <w:rFonts w:hint="eastAsia"/>
        </w:rPr>
        <w:t>（三）保证安全生产投入；</w:t>
      </w:r>
    </w:p>
    <w:p w14:paraId="65D2364B">
      <w:r>
        <w:rPr>
          <w:rFonts w:hint="eastAsia"/>
        </w:rPr>
        <w:t>（四）定期研究安全生产问题；</w:t>
      </w:r>
    </w:p>
    <w:p w14:paraId="39E6D686">
      <w:r>
        <w:rPr>
          <w:rFonts w:hint="eastAsia"/>
        </w:rPr>
        <w:t>（五）督促、检查安全生产工作，及时消除生产安全事故隐患；</w:t>
      </w:r>
    </w:p>
    <w:p w14:paraId="6625A4F1">
      <w:bookmarkStart w:id="1943" w:name="_Toc428780403"/>
      <w:r>
        <w:rPr>
          <w:rFonts w:hint="eastAsia"/>
        </w:rPr>
        <w:t>（六）组织实施本单位从业人员的职业健康工作；</w:t>
      </w:r>
      <w:bookmarkEnd w:id="1943"/>
    </w:p>
    <w:p w14:paraId="7B747E49">
      <w:r>
        <w:rPr>
          <w:rFonts w:hint="eastAsia"/>
        </w:rPr>
        <w:t>（七）组织制定并实施生产安全事故应急救援预案；</w:t>
      </w:r>
    </w:p>
    <w:p w14:paraId="5E4739B0">
      <w:r>
        <w:rPr>
          <w:rFonts w:hint="eastAsia"/>
        </w:rPr>
        <w:t>（八）及时、如实报告生产安全事故。</w:t>
      </w:r>
    </w:p>
    <w:p w14:paraId="50E69DE8">
      <w:r>
        <w:rPr>
          <w:rFonts w:hint="eastAsia"/>
        </w:rPr>
        <w:t>生产经营单位的主要负责人应当每年向职工代表大会或者职工大会报告本单位的安全生产情况。</w:t>
      </w:r>
    </w:p>
    <w:p w14:paraId="2E76A0CB">
      <w:pPr>
        <w:ind w:firstLine="422"/>
      </w:pPr>
      <w:r>
        <w:rPr>
          <w:rFonts w:hint="eastAsia"/>
          <w:b/>
        </w:rPr>
        <w:t>第十七条</w:t>
      </w:r>
      <w:r>
        <w:rPr>
          <w:rFonts w:hint="eastAsia"/>
        </w:rPr>
        <w:t xml:space="preserve">  生产经营单位的安全生产责任制应当明确各岗位的责任人员、责任内容和考核要求，形成包括全体人员和全部生产经营活动的责任体系。</w:t>
      </w:r>
    </w:p>
    <w:p w14:paraId="391C8746">
      <w:pPr>
        <w:ind w:firstLine="422"/>
      </w:pPr>
      <w:r>
        <w:rPr>
          <w:rFonts w:hint="eastAsia"/>
          <w:b/>
        </w:rPr>
        <w:t>第十八条</w:t>
      </w:r>
      <w:r>
        <w:rPr>
          <w:rFonts w:hint="eastAsia"/>
        </w:rPr>
        <w:t>　生产经营单位应当制定下列安全生产规章制度：</w:t>
      </w:r>
    </w:p>
    <w:p w14:paraId="026BCEC9">
      <w:r>
        <w:rPr>
          <w:rFonts w:hint="eastAsia"/>
        </w:rPr>
        <w:t>（一）安全生产教育和培训制度；</w:t>
      </w:r>
    </w:p>
    <w:p w14:paraId="7639E050">
      <w:r>
        <w:rPr>
          <w:rFonts w:hint="eastAsia"/>
        </w:rPr>
        <w:t>（二）安全生产检查制度；</w:t>
      </w:r>
    </w:p>
    <w:p w14:paraId="137FFE6F">
      <w:r>
        <w:rPr>
          <w:rFonts w:hint="eastAsia"/>
        </w:rPr>
        <w:t>（三）生产安全事故隐患排查治理制度；</w:t>
      </w:r>
    </w:p>
    <w:p w14:paraId="292DD399">
      <w:r>
        <w:rPr>
          <w:rFonts w:hint="eastAsia"/>
        </w:rPr>
        <w:t>（四）具有较大危险因素的生产经营场所、设备和设施的安全管理制度；</w:t>
      </w:r>
    </w:p>
    <w:p w14:paraId="5BD97071">
      <w:r>
        <w:rPr>
          <w:rFonts w:hint="eastAsia"/>
        </w:rPr>
        <w:t>（五）危险作业管理制度；</w:t>
      </w:r>
    </w:p>
    <w:p w14:paraId="6F2DB013">
      <w:r>
        <w:rPr>
          <w:rFonts w:hint="eastAsia"/>
        </w:rPr>
        <w:t>（六）特种作业人员管理制度；</w:t>
      </w:r>
    </w:p>
    <w:p w14:paraId="15D720B5">
      <w:r>
        <w:rPr>
          <w:rFonts w:hint="eastAsia"/>
        </w:rPr>
        <w:t>（七）劳动防护用品配备和管理制度；</w:t>
      </w:r>
    </w:p>
    <w:p w14:paraId="1C8626F3">
      <w:r>
        <w:rPr>
          <w:rFonts w:hint="eastAsia"/>
        </w:rPr>
        <w:t>（八）安全生产奖励和惩罚制度；</w:t>
      </w:r>
    </w:p>
    <w:p w14:paraId="44013BAC">
      <w:r>
        <w:rPr>
          <w:rFonts w:hint="eastAsia"/>
        </w:rPr>
        <w:t>（九）生产安全事故报告和调查处理制度；</w:t>
      </w:r>
    </w:p>
    <w:p w14:paraId="50E31D56">
      <w:r>
        <w:rPr>
          <w:rFonts w:hint="eastAsia"/>
        </w:rPr>
        <w:t>（十）其他保障安全生产的规章制度。</w:t>
      </w:r>
    </w:p>
    <w:p w14:paraId="25F12495">
      <w:pPr>
        <w:ind w:firstLine="422"/>
      </w:pPr>
      <w:r>
        <w:rPr>
          <w:rFonts w:hint="eastAsia"/>
          <w:b/>
        </w:rPr>
        <w:t>第十九条</w:t>
      </w:r>
      <w:r>
        <w:rPr>
          <w:rFonts w:hint="eastAsia"/>
        </w:rPr>
        <w:t>　生产经营单位应当具备的安全生产条件所必需的资金投入，由生产经营单位的决策机构、主要负责人或者个人经营的投资人予以保证，并对由于安全生产所必需的资金投入不足导致的后果承担责任。</w:t>
      </w:r>
    </w:p>
    <w:p w14:paraId="698E6103">
      <w:r>
        <w:rPr>
          <w:rFonts w:hint="eastAsia"/>
        </w:rPr>
        <w:t>矿山、建筑施工单位和危险化学品、烟花爆竹、民用爆破器材生产单位实行提取安全费用制度。具体办法由市人民政府制定。</w:t>
      </w:r>
    </w:p>
    <w:p w14:paraId="193422E6">
      <w:pPr>
        <w:ind w:firstLine="422"/>
      </w:pPr>
      <w:r>
        <w:rPr>
          <w:rFonts w:hint="eastAsia"/>
          <w:b/>
        </w:rPr>
        <w:t>第二十条</w:t>
      </w:r>
      <w:r>
        <w:rPr>
          <w:rFonts w:hint="eastAsia"/>
        </w:rPr>
        <w:t>　生产经营单位的安全生产资金投入或者安全费用，应当专项用于下列安全生产事项：</w:t>
      </w:r>
    </w:p>
    <w:p w14:paraId="12211368">
      <w:r>
        <w:rPr>
          <w:rFonts w:hint="eastAsia"/>
        </w:rPr>
        <w:t>（一）安全技术措施工程建设；</w:t>
      </w:r>
    </w:p>
    <w:p w14:paraId="18646332">
      <w:r>
        <w:rPr>
          <w:rFonts w:hint="eastAsia"/>
        </w:rPr>
        <w:t>（二）安全设备、设施的更新和维护；</w:t>
      </w:r>
    </w:p>
    <w:p w14:paraId="14BABD98">
      <w:r>
        <w:rPr>
          <w:rFonts w:hint="eastAsia"/>
        </w:rPr>
        <w:t>（三）安全生产宣传、教育和培训；</w:t>
      </w:r>
    </w:p>
    <w:p w14:paraId="20806CB0">
      <w:r>
        <w:rPr>
          <w:rFonts w:hint="eastAsia"/>
        </w:rPr>
        <w:t>（四）劳动防护用品配备；</w:t>
      </w:r>
    </w:p>
    <w:p w14:paraId="3E48DF62">
      <w:r>
        <w:rPr>
          <w:rFonts w:hint="eastAsia"/>
        </w:rPr>
        <w:t>（五）重大危险源监控；</w:t>
      </w:r>
    </w:p>
    <w:p w14:paraId="56708B2C">
      <w:r>
        <w:rPr>
          <w:rFonts w:hint="eastAsia"/>
        </w:rPr>
        <w:t>（六）生产安全事故应急救援演练；</w:t>
      </w:r>
    </w:p>
    <w:p w14:paraId="627EC6DC">
      <w:r>
        <w:rPr>
          <w:rFonts w:hint="eastAsia"/>
        </w:rPr>
        <w:t>（七）应急救援队伍建设或者救援服务；</w:t>
      </w:r>
    </w:p>
    <w:p w14:paraId="34883F9E">
      <w:r>
        <w:rPr>
          <w:rFonts w:hint="eastAsia"/>
        </w:rPr>
        <w:t>（八）其他保障安全生产的事项。</w:t>
      </w:r>
    </w:p>
    <w:p w14:paraId="10E86DE1">
      <w:pPr>
        <w:ind w:firstLine="422"/>
      </w:pPr>
      <w:r>
        <w:rPr>
          <w:rFonts w:hint="eastAsia"/>
          <w:b/>
        </w:rPr>
        <w:t>第二十一条</w:t>
      </w:r>
      <w:r>
        <w:rPr>
          <w:rFonts w:hint="eastAsia"/>
        </w:rPr>
        <w:t xml:space="preserve">  生产经营单位应当对从业人员进行安全生产教育和培训，并建立考核制度。未经安全生产教育和培训合格的人员不得上岗作业。生产经营单位应当对安全生产教育、培训和考核情况进行记录，并按照规定的期限保存。</w:t>
      </w:r>
    </w:p>
    <w:p w14:paraId="5F39B5CD">
      <w:pPr>
        <w:ind w:firstLine="422"/>
      </w:pPr>
      <w:r>
        <w:rPr>
          <w:rFonts w:hint="eastAsia"/>
          <w:b/>
        </w:rPr>
        <w:t>第二十二条</w:t>
      </w:r>
      <w:r>
        <w:rPr>
          <w:rFonts w:hint="eastAsia"/>
        </w:rPr>
        <w:t>　生产经营单位的主要负责人和安全生产管理人员应当接受相应的安全生产知识和管理能力的培训，具体培训和考核办法按照国家有关规定执行。</w:t>
      </w:r>
    </w:p>
    <w:p w14:paraId="59D00923">
      <w:r>
        <w:rPr>
          <w:rFonts w:hint="eastAsia"/>
        </w:rPr>
        <w:t>危险物品的生产、经营、储存单位从事危险作业的人员应当按照国家有关规定参加专门的安全作业培训，经培训合格方可上岗。</w:t>
      </w:r>
    </w:p>
    <w:p w14:paraId="33EF1CD8">
      <w:pPr>
        <w:ind w:firstLine="422"/>
      </w:pPr>
      <w:r>
        <w:rPr>
          <w:rFonts w:hint="eastAsia"/>
          <w:b/>
        </w:rPr>
        <w:t>第二十三条</w:t>
      </w:r>
      <w:r>
        <w:rPr>
          <w:rFonts w:hint="eastAsia"/>
        </w:rPr>
        <w:t>　 以劳务派遣形式用工的，劳务派遣单位应当对劳务派遣人员进行必要的安全生产教育和培训；用工单位应当对劳务派遣人员进行岗位安全操作规程和安全操作技能的教育和培训。</w:t>
      </w:r>
    </w:p>
    <w:p w14:paraId="4FE9FACC">
      <w:r>
        <w:rPr>
          <w:rFonts w:hint="eastAsia"/>
        </w:rPr>
        <w:t>用工单位与劳务派遣单位应当在劳务派遣协议中明确各自承担的教育和培训的职责和具体内容。</w:t>
      </w:r>
    </w:p>
    <w:p w14:paraId="521E289A">
      <w:pPr>
        <w:ind w:firstLine="422"/>
      </w:pPr>
      <w:r>
        <w:rPr>
          <w:rFonts w:hint="eastAsia"/>
          <w:b/>
        </w:rPr>
        <w:t>第二十四条</w:t>
      </w:r>
      <w:r>
        <w:rPr>
          <w:rFonts w:hint="eastAsia"/>
        </w:rPr>
        <w:t xml:space="preserve">  安全生产的教育和培训主要包括下列内容：</w:t>
      </w:r>
    </w:p>
    <w:p w14:paraId="31127659">
      <w:r>
        <w:rPr>
          <w:rFonts w:hint="eastAsia"/>
        </w:rPr>
        <w:t>（一）安全生产法律、法规和规章；</w:t>
      </w:r>
    </w:p>
    <w:p w14:paraId="0E88BF1F">
      <w:r>
        <w:rPr>
          <w:rFonts w:hint="eastAsia"/>
        </w:rPr>
        <w:t>（二）安全生产规章制度和操作规程；</w:t>
      </w:r>
    </w:p>
    <w:p w14:paraId="1C1396CB">
      <w:r>
        <w:rPr>
          <w:rFonts w:hint="eastAsia"/>
        </w:rPr>
        <w:t>（三）岗位安全操作技能；</w:t>
      </w:r>
    </w:p>
    <w:p w14:paraId="4CC5A37C">
      <w:r>
        <w:rPr>
          <w:rFonts w:hint="eastAsia"/>
        </w:rPr>
        <w:t>（四）安全设备、设施、工具、劳动防护用品的使用、维护和保管知识；</w:t>
      </w:r>
    </w:p>
    <w:p w14:paraId="2F1076E0">
      <w:bookmarkStart w:id="1944" w:name="_Toc428780404"/>
      <w:r>
        <w:rPr>
          <w:rFonts w:hint="eastAsia"/>
        </w:rPr>
        <w:t>（五）生产安全事故的防范意识和应急措施、自救互救知识；</w:t>
      </w:r>
      <w:bookmarkEnd w:id="1944"/>
    </w:p>
    <w:p w14:paraId="45D67D8B">
      <w:r>
        <w:rPr>
          <w:rFonts w:hint="eastAsia"/>
        </w:rPr>
        <w:t>（六）生产安全事故案例。</w:t>
      </w:r>
    </w:p>
    <w:p w14:paraId="0D337ED8">
      <w:pPr>
        <w:ind w:firstLine="422"/>
        <w:rPr>
          <w:rFonts w:hint="eastAsia" w:ascii="宋体" w:hAnsi="宋体" w:eastAsia="宋体" w:cs="宋体"/>
        </w:rPr>
      </w:pPr>
      <w:r>
        <w:rPr>
          <w:rFonts w:hint="eastAsia"/>
          <w:b/>
        </w:rPr>
        <w:t>第二十五条</w:t>
      </w:r>
      <w:r>
        <w:rPr>
          <w:rFonts w:hint="eastAsia"/>
        </w:rPr>
        <w:t xml:space="preserve">  生产经营单位主要负责人、安全生产管理人员和从业人员每年接受的在岗安全生产教育和培训时间不得少</w:t>
      </w:r>
      <w:r>
        <w:rPr>
          <w:rFonts w:hint="eastAsia" w:ascii="宋体" w:hAnsi="宋体" w:eastAsia="宋体" w:cs="宋体"/>
        </w:rPr>
        <w:t>于8学时。</w:t>
      </w:r>
    </w:p>
    <w:p w14:paraId="6074E418">
      <w:pPr>
        <w:rPr>
          <w:rFonts w:hint="eastAsia" w:ascii="宋体" w:hAnsi="宋体" w:eastAsia="宋体" w:cs="宋体"/>
        </w:rPr>
      </w:pPr>
      <w:r>
        <w:rPr>
          <w:rFonts w:hint="eastAsia" w:ascii="宋体" w:hAnsi="宋体" w:eastAsia="宋体" w:cs="宋体"/>
        </w:rPr>
        <w:t>新招用的从业人员上岗前接受安全生产教育和培训的时间不得少于24学时；换岗的，离岗6个月以上的，以及生产经营单位采用新工艺、新技术、新材料或者使用新设备的，均不得少于4学时。</w:t>
      </w:r>
    </w:p>
    <w:p w14:paraId="1771C20A">
      <w:r>
        <w:rPr>
          <w:rFonts w:hint="eastAsia" w:ascii="宋体" w:hAnsi="宋体" w:eastAsia="宋体" w:cs="宋体"/>
        </w:rPr>
        <w:t>法律、法规对安全生产教育和培训的时间另有规定的，从其规定</w:t>
      </w:r>
      <w:r>
        <w:rPr>
          <w:rFonts w:hint="eastAsia"/>
        </w:rPr>
        <w:t>。</w:t>
      </w:r>
    </w:p>
    <w:p w14:paraId="7DB4CAFE">
      <w:pPr>
        <w:ind w:firstLine="422"/>
      </w:pPr>
      <w:r>
        <w:rPr>
          <w:rFonts w:hint="eastAsia"/>
          <w:b/>
        </w:rPr>
        <w:t>第二十六条</w:t>
      </w:r>
      <w:r>
        <w:rPr>
          <w:rFonts w:hint="eastAsia"/>
        </w:rPr>
        <w:t>　矿山、建筑施工单位，城市轨道交通运营单位，危险物品的生产、经营、储存单位及从业人员超</w:t>
      </w:r>
      <w:r>
        <w:rPr>
          <w:rFonts w:hint="eastAsia" w:ascii="宋体" w:hAnsi="宋体" w:eastAsia="宋体" w:cs="宋体"/>
        </w:rPr>
        <w:t>过300人的其他生产经营单位，应当设置安全生产管理机构或者配备专职安全生产管理人员。专职安全生产管理人员的配备按照国家或者</w:t>
      </w:r>
      <w:r>
        <w:rPr>
          <w:rFonts w:hint="eastAsia"/>
        </w:rPr>
        <w:t>本市有关规定执行。</w:t>
      </w:r>
    </w:p>
    <w:p w14:paraId="5AE3C8B2">
      <w:r>
        <w:rPr>
          <w:rFonts w:hint="eastAsia"/>
        </w:rPr>
        <w:t>前款规定以外的生产经营单位，应当配备专职或者兼职的安全生产管理人员，或者委托具有国家规定的相关专业技术资格的工程技术人员提供安全生产管理服务。</w:t>
      </w:r>
    </w:p>
    <w:p w14:paraId="7470CFCB">
      <w:pPr>
        <w:ind w:firstLine="422"/>
      </w:pPr>
      <w:r>
        <w:rPr>
          <w:rFonts w:hint="eastAsia"/>
          <w:b/>
        </w:rPr>
        <w:t>第二十七条</w:t>
      </w:r>
      <w:r>
        <w:rPr>
          <w:rFonts w:hint="eastAsia"/>
        </w:rPr>
        <w:t xml:space="preserve">  安全生产管理机构和安全生产管理人员履行下列职责：</w:t>
      </w:r>
    </w:p>
    <w:p w14:paraId="24A9B6DD">
      <w:bookmarkStart w:id="1945" w:name="_Toc428780405"/>
      <w:r>
        <w:rPr>
          <w:rFonts w:hint="eastAsia"/>
        </w:rPr>
        <w:t>（一）提出安全生产工作计划并组织实施；</w:t>
      </w:r>
      <w:bookmarkEnd w:id="1945"/>
    </w:p>
    <w:p w14:paraId="400A9F8C">
      <w:r>
        <w:rPr>
          <w:rFonts w:hint="eastAsia"/>
        </w:rPr>
        <w:t>（二）组织开展安全生产检查，督促消除生产安全事故隐患；</w:t>
      </w:r>
    </w:p>
    <w:p w14:paraId="36839288">
      <w:bookmarkStart w:id="1946" w:name="_Toc428780406"/>
      <w:r>
        <w:rPr>
          <w:rFonts w:hint="eastAsia"/>
        </w:rPr>
        <w:t>（三）组织实施生产安全事故应急演练；</w:t>
      </w:r>
      <w:bookmarkEnd w:id="1946"/>
    </w:p>
    <w:p w14:paraId="5E1B3C8A">
      <w:r>
        <w:rPr>
          <w:rFonts w:hint="eastAsia"/>
        </w:rPr>
        <w:t>（四）督促本单位各部门履行安全生产职责，组织安全生产考核，提出奖惩意见；</w:t>
      </w:r>
    </w:p>
    <w:p w14:paraId="273CF353">
      <w:r>
        <w:rPr>
          <w:rFonts w:hint="eastAsia"/>
        </w:rPr>
        <w:t>（五）依法组织本单位生产安全事故调查处理。</w:t>
      </w:r>
    </w:p>
    <w:p w14:paraId="306D915F">
      <w:pPr>
        <w:ind w:firstLine="422"/>
      </w:pPr>
      <w:r>
        <w:rPr>
          <w:rFonts w:hint="eastAsia"/>
          <w:b/>
        </w:rPr>
        <w:t>第二十八条</w:t>
      </w:r>
      <w:r>
        <w:rPr>
          <w:rFonts w:hint="eastAsia"/>
        </w:rPr>
        <w:t>　 生产经营单位新建、改建、扩建工程项目（以下统称建设项目）的安全设施，应当与主体工程同时设计、同时施工、同时投入生产和使用。</w:t>
      </w:r>
    </w:p>
    <w:p w14:paraId="1DEF3565">
      <w:r>
        <w:rPr>
          <w:rFonts w:hint="eastAsia"/>
        </w:rPr>
        <w:t>建设项目投入生产或者使用前，建设单位应当根据有关规定对建设项目的安全设施组织验收，验收合格后方可投入生产使用，并将验收报告向安全生产监督管理部门备案。</w:t>
      </w:r>
    </w:p>
    <w:p w14:paraId="01455537">
      <w:r>
        <w:rPr>
          <w:rFonts w:hint="eastAsia"/>
        </w:rPr>
        <w:t>本市逐步在工业建设项目、城市基础设施建设项目、城市公共交通建设项目等领域推行安全评价制度，具体办法由市人民政府另行规定。</w:t>
      </w:r>
    </w:p>
    <w:p w14:paraId="4540692E">
      <w:pPr>
        <w:ind w:firstLine="422"/>
      </w:pPr>
      <w:r>
        <w:rPr>
          <w:rFonts w:hint="eastAsia"/>
          <w:b/>
        </w:rPr>
        <w:t>第二十九条</w:t>
      </w:r>
      <w:r>
        <w:rPr>
          <w:rFonts w:hint="eastAsia"/>
        </w:rPr>
        <w:t xml:space="preserve">  矿山建设项目和用于生产、储存危险物品的建设项目的安全设施设计应当按照国家有关规定报政府有关部门审查。</w:t>
      </w:r>
    </w:p>
    <w:p w14:paraId="10DCEFE2">
      <w:r>
        <w:rPr>
          <w:rFonts w:hint="eastAsia"/>
        </w:rPr>
        <w:t>生产经营单位申请安全设施设计审查，应当提交下列文件：</w:t>
      </w:r>
    </w:p>
    <w:p w14:paraId="27F76564">
      <w:r>
        <w:rPr>
          <w:rFonts w:hint="eastAsia"/>
        </w:rPr>
        <w:t>（一）设计审查申请表；</w:t>
      </w:r>
    </w:p>
    <w:p w14:paraId="40940B38">
      <w:r>
        <w:rPr>
          <w:rFonts w:hint="eastAsia"/>
        </w:rPr>
        <w:t>（二）建设项目可行性研究报告安全专篇；</w:t>
      </w:r>
    </w:p>
    <w:p w14:paraId="2D9F2FCA">
      <w:r>
        <w:rPr>
          <w:rFonts w:hint="eastAsia"/>
        </w:rPr>
        <w:t>（三）安全评价报告；</w:t>
      </w:r>
    </w:p>
    <w:p w14:paraId="78011E48">
      <w:r>
        <w:rPr>
          <w:rFonts w:hint="eastAsia"/>
        </w:rPr>
        <w:t>（四）有关安全设施的设计文件及设计单位资质证明。</w:t>
      </w:r>
    </w:p>
    <w:p w14:paraId="184B4583">
      <w:r>
        <w:rPr>
          <w:rFonts w:hint="eastAsia"/>
        </w:rPr>
        <w:t>经审查批准的安全设施设计需要变更的，应当经原审查部门审查同意。</w:t>
      </w:r>
    </w:p>
    <w:p w14:paraId="1302D7BE">
      <w:pPr>
        <w:ind w:firstLine="422"/>
      </w:pPr>
      <w:r>
        <w:rPr>
          <w:rFonts w:hint="eastAsia"/>
          <w:b/>
        </w:rPr>
        <w:t>第三十条</w:t>
      </w:r>
      <w:r>
        <w:rPr>
          <w:rFonts w:hint="eastAsia"/>
        </w:rPr>
        <w:t xml:space="preserve">  矿山建设项目和用于生产、储存危险物品的建设项目竣工投入生产或者使用前，应当按照法律、行政法规的规定对安全设施进行验收；验收合格后方可投入生产和使用。</w:t>
      </w:r>
    </w:p>
    <w:p w14:paraId="0424144D">
      <w:r>
        <w:rPr>
          <w:rFonts w:hint="eastAsia"/>
        </w:rPr>
        <w:t>生产经营单位申请安全设施验收，应当提交下列文件：</w:t>
      </w:r>
    </w:p>
    <w:p w14:paraId="5E25B855">
      <w:r>
        <w:rPr>
          <w:rFonts w:hint="eastAsia"/>
        </w:rPr>
        <w:t>（一）安全设施验收申请表；</w:t>
      </w:r>
    </w:p>
    <w:p w14:paraId="54158558">
      <w:r>
        <w:rPr>
          <w:rFonts w:hint="eastAsia"/>
        </w:rPr>
        <w:t>（二）建设项目安全设施的综合报告；</w:t>
      </w:r>
    </w:p>
    <w:p w14:paraId="187ADF68">
      <w:r>
        <w:rPr>
          <w:rFonts w:hint="eastAsia"/>
        </w:rPr>
        <w:t>（三）安全生产规章制度和操作规程。</w:t>
      </w:r>
    </w:p>
    <w:p w14:paraId="5D6EF511">
      <w:pPr>
        <w:ind w:firstLine="422"/>
      </w:pPr>
      <w:r>
        <w:rPr>
          <w:rFonts w:hint="eastAsia"/>
          <w:b/>
        </w:rPr>
        <w:t>第三十一条</w:t>
      </w:r>
      <w:r>
        <w:rPr>
          <w:rFonts w:hint="eastAsia"/>
        </w:rPr>
        <w:t>　 生产经营单位安全设备的设计、制造、安装、使用、检测、维修、改造和报废，应当符合国家标准、行业标准。</w:t>
      </w:r>
    </w:p>
    <w:p w14:paraId="69F1DF18">
      <w:r>
        <w:rPr>
          <w:rFonts w:hint="eastAsia"/>
        </w:rPr>
        <w:t>生产经营单位应当对安全设备进行经常性维护、保养，并定期检测，保证正常运转。维护、保养、检测应当作好记录，并由有关人员签字。维护、保养、检测记录应当包括安全设备的名称和维护、保养、检测的时间、人员等内容。</w:t>
      </w:r>
    </w:p>
    <w:p w14:paraId="0DE40E46">
      <w:pPr>
        <w:ind w:firstLine="422"/>
      </w:pPr>
      <w:r>
        <w:rPr>
          <w:rFonts w:hint="eastAsia"/>
          <w:b/>
        </w:rPr>
        <w:t>第三十二条</w:t>
      </w:r>
      <w:r>
        <w:rPr>
          <w:rFonts w:hint="eastAsia"/>
        </w:rPr>
        <w:t>　生产经营单位应当在有较大危险因素的生产经营场所和有关设备、设施上，设置符合国家标准或者行业标准的安全警示标志。</w:t>
      </w:r>
    </w:p>
    <w:p w14:paraId="4CB13805">
      <w:r>
        <w:rPr>
          <w:rFonts w:hint="eastAsia"/>
        </w:rPr>
        <w:t>安全警示标志应当明显、保持完好、便于从业人员和社会公众识别。</w:t>
      </w:r>
    </w:p>
    <w:p w14:paraId="70DCAE48">
      <w:pPr>
        <w:ind w:firstLine="422"/>
      </w:pPr>
      <w:r>
        <w:rPr>
          <w:rFonts w:hint="eastAsia"/>
          <w:b/>
        </w:rPr>
        <w:t>第三十三条</w:t>
      </w:r>
      <w:r>
        <w:rPr>
          <w:rFonts w:hint="eastAsia"/>
        </w:rPr>
        <w:t>　生产经营单位对重大危险源应当登记建档，进行定期检测、评估、监控，制定应急预案，告知从业人员和相关人员在紧急情况下应当采取的应急措施。</w:t>
      </w:r>
    </w:p>
    <w:p w14:paraId="42B0782B">
      <w:r>
        <w:rPr>
          <w:rFonts w:hint="eastAsia"/>
        </w:rPr>
        <w:t>登记建档应当包括重大危险源的名称、地点、性质和可能造成的危害等内容。</w:t>
      </w:r>
    </w:p>
    <w:p w14:paraId="4D864E0A">
      <w:pPr>
        <w:ind w:firstLine="422"/>
      </w:pPr>
      <w:r>
        <w:rPr>
          <w:rFonts w:hint="eastAsia"/>
          <w:b/>
        </w:rPr>
        <w:t>第三十四条</w:t>
      </w:r>
      <w:r>
        <w:rPr>
          <w:rFonts w:hint="eastAsia"/>
        </w:rPr>
        <w:t>　生产经营单位应当按照国家有关规定将本单位重大危险源及有关安全措施、应急措施报安全生产监督管理部门和政府其他有关部门备案。</w:t>
      </w:r>
    </w:p>
    <w:p w14:paraId="0DA6883B">
      <w:pPr>
        <w:ind w:firstLine="422"/>
      </w:pPr>
      <w:r>
        <w:rPr>
          <w:rFonts w:hint="eastAsia"/>
          <w:b/>
        </w:rPr>
        <w:t>第三十五条</w:t>
      </w:r>
      <w:r>
        <w:rPr>
          <w:rFonts w:hint="eastAsia"/>
        </w:rPr>
        <w:t>　生产经营单位的生产区域、生活区域、储存区域之间应当保持规定的安全距离。</w:t>
      </w:r>
    </w:p>
    <w:p w14:paraId="16B6D7D7">
      <w:r>
        <w:rPr>
          <w:rFonts w:hint="eastAsia"/>
        </w:rPr>
        <w:t>生产、经营、储存、使用危险物品的车间、商店和仓库周边的安全防护应当符合国家有关规定，不得与员工宿舍在同一座建筑物内，并与员工宿舍保持规定的安全距离。</w:t>
      </w:r>
    </w:p>
    <w:p w14:paraId="485BF4F8">
      <w:r>
        <w:rPr>
          <w:rFonts w:hint="eastAsia"/>
        </w:rPr>
        <w:t>生产经营场所和员工宿舍应当设有符合紧急疏散要求、标志明显、保持畅通的出口。任何单位或者个人不得以任何理由和任何方式封闭生产经营场所或者堵塞员工宿舍的出口。</w:t>
      </w:r>
    </w:p>
    <w:p w14:paraId="2E6C62BE">
      <w:pPr>
        <w:ind w:firstLine="422"/>
      </w:pPr>
      <w:r>
        <w:rPr>
          <w:rFonts w:hint="eastAsia"/>
          <w:b/>
        </w:rPr>
        <w:t>第三十六条</w:t>
      </w:r>
      <w:r>
        <w:rPr>
          <w:rFonts w:hint="eastAsia"/>
        </w:rPr>
        <w:t>　生产经营单位应当按照国家有关规定，明确本单位各岗位从业人员配备劳动防护用品的种类和型号，为从业人员无偿提供符合国家标准或者行业标准的劳动防护用品，不得以货币形式或者其他物品替代。购买和发放劳动防护用品的情况应当记录在案。</w:t>
      </w:r>
    </w:p>
    <w:p w14:paraId="6773E12A">
      <w:pPr>
        <w:ind w:firstLine="422"/>
      </w:pPr>
      <w:r>
        <w:rPr>
          <w:rFonts w:hint="eastAsia"/>
          <w:b/>
        </w:rPr>
        <w:t>第三十七条</w:t>
      </w:r>
      <w:r>
        <w:rPr>
          <w:rFonts w:hint="eastAsia"/>
        </w:rPr>
        <w:t>　生产经营单位应当根据本单位生产经营活动的特点，对安全生产状况进行经常性检查。检查情况应当记录在案，并按照规定的期限保存。</w:t>
      </w:r>
    </w:p>
    <w:p w14:paraId="6BBA4AC5">
      <w:r>
        <w:rPr>
          <w:rFonts w:hint="eastAsia"/>
        </w:rPr>
        <w:t>生产经营单位对本单位存在的生产安全事故隐患的治理负全部责任，发现事故隐患的，应当立即采取措施，予以消除；对非本单位原因造成的事故隐患，不能及时消除或者难以消除的，应当采取必要的安全措施，并及时向所在地的安全生产监督管理部门或者政府其他有关部门报告。</w:t>
      </w:r>
    </w:p>
    <w:p w14:paraId="131B7AB4">
      <w:pPr>
        <w:ind w:firstLine="422"/>
      </w:pPr>
      <w:r>
        <w:rPr>
          <w:rFonts w:hint="eastAsia"/>
          <w:b/>
        </w:rPr>
        <w:t>第三十八条</w:t>
      </w:r>
      <w:r>
        <w:rPr>
          <w:rFonts w:hint="eastAsia"/>
        </w:rPr>
        <w:t>　生产经营单位设置户外广告、牌匾，应当遵守有关户外设施的安全技术标准和管理规范，并进行经常性检查和维护，确保安全、牢固；发现生产安全事故隐患的，应当及时予以消除。</w:t>
      </w:r>
    </w:p>
    <w:p w14:paraId="5AA54221">
      <w:pPr>
        <w:ind w:firstLine="422"/>
      </w:pPr>
      <w:r>
        <w:rPr>
          <w:rFonts w:hint="eastAsia"/>
          <w:b/>
        </w:rPr>
        <w:t>第三十九条</w:t>
      </w:r>
      <w:r>
        <w:rPr>
          <w:rFonts w:hint="eastAsia"/>
        </w:rPr>
        <w:t>　生产经营单位进行爆破、吊装、悬吊、挖掘、建设工程拆除等危险作业，临近高压输电线路作业，以及在有限空间内作业，应当执行本单位的危险作业管理制度，安排负责现场安全管理的专门人员，落实下列现场安全管理措施：</w:t>
      </w:r>
    </w:p>
    <w:p w14:paraId="1F4DF49A">
      <w:bookmarkStart w:id="1947" w:name="_Toc428780407"/>
      <w:r>
        <w:rPr>
          <w:rFonts w:hint="eastAsia"/>
        </w:rPr>
        <w:t>（一）确认现场作业条件符合安全作业要求；</w:t>
      </w:r>
      <w:bookmarkEnd w:id="1947"/>
    </w:p>
    <w:p w14:paraId="369E7E77">
      <w:r>
        <w:rPr>
          <w:rFonts w:hint="eastAsia"/>
        </w:rPr>
        <w:t>（二）确认作业人员的上岗资质、身体状况及配备的劳动防护用品符合安全作业要求；</w:t>
      </w:r>
    </w:p>
    <w:p w14:paraId="04FCE208">
      <w:bookmarkStart w:id="1948" w:name="_Toc428780408"/>
      <w:r>
        <w:rPr>
          <w:rFonts w:hint="eastAsia"/>
        </w:rPr>
        <w:t>（三）就危险因素、作业安全要求和应急措施向作业人员详细说明；</w:t>
      </w:r>
      <w:bookmarkEnd w:id="1948"/>
    </w:p>
    <w:p w14:paraId="74342A8E">
      <w:r>
        <w:rPr>
          <w:rFonts w:hint="eastAsia"/>
        </w:rPr>
        <w:t>（四）发现直接危及人身安全的紧急情况时，采取应急措施，停止作业或者撤出作业人员。</w:t>
      </w:r>
    </w:p>
    <w:p w14:paraId="100F429F">
      <w:r>
        <w:rPr>
          <w:rFonts w:hint="eastAsia"/>
        </w:rPr>
        <w:t>根据危险作业生产安全事故发生情况，市安全生产监督管理部门可以制定专项管理措施，生产经营单位应当执行。</w:t>
      </w:r>
    </w:p>
    <w:p w14:paraId="46CDA8D1">
      <w:pPr>
        <w:ind w:firstLine="422"/>
      </w:pPr>
      <w:r>
        <w:rPr>
          <w:rFonts w:hint="eastAsia"/>
          <w:b/>
        </w:rPr>
        <w:t>第四十条</w:t>
      </w:r>
      <w:r>
        <w:rPr>
          <w:rFonts w:hint="eastAsia"/>
        </w:rPr>
        <w:t>　生产经营单位不得将生产经营项目、场所、设备，发包、出租给不具备国家规定的安全生产条件或者相应资质的单位和个人从事生产经营活动。</w:t>
      </w:r>
    </w:p>
    <w:p w14:paraId="5BCB4534">
      <w:r>
        <w:rPr>
          <w:rFonts w:hint="eastAsia"/>
        </w:rPr>
        <w:t>生产经营单位将生产经营项目、场所、设备发包或者出租的，应当与承包单位、承租单位签订专门的安全生产管理协议，或者在承包、租赁合同中约定各自的安全生产管理职责。</w:t>
      </w:r>
    </w:p>
    <w:p w14:paraId="4A609AA3">
      <w:r>
        <w:rPr>
          <w:rFonts w:hint="eastAsia"/>
        </w:rPr>
        <w:t>同一建筑物内的多个生产经营单位共同委托物业服务企业或者其他管理人进行管理的，由物业服务企业或者其他管理人依照委托协议承担其管理范围内的安全生产管理职责。</w:t>
      </w:r>
    </w:p>
    <w:p w14:paraId="3A4171D0">
      <w:pPr>
        <w:ind w:firstLine="422"/>
      </w:pPr>
      <w:r>
        <w:rPr>
          <w:rFonts w:hint="eastAsia"/>
          <w:b/>
        </w:rPr>
        <w:t>第四十一条</w:t>
      </w:r>
      <w:r>
        <w:rPr>
          <w:rFonts w:hint="eastAsia"/>
        </w:rPr>
        <w:t>　危险化学品生产单位不得向未取得危险化学品经营许可证的经营单位或者个人销售危险化学品。</w:t>
      </w:r>
    </w:p>
    <w:p w14:paraId="796B399F">
      <w:r>
        <w:rPr>
          <w:rFonts w:hint="eastAsia"/>
        </w:rPr>
        <w:t>危险化学品经营单位不得从未取得危险化学品生产许可证或者危险化学品经营许可证的单位采购危险化学品。</w:t>
      </w:r>
    </w:p>
    <w:p w14:paraId="05CF4985">
      <w:r>
        <w:rPr>
          <w:rFonts w:hint="eastAsia"/>
        </w:rPr>
        <w:t>危险化学品应当储存在专用仓库、专用场地或者专用储存室内，储存方式、方法和数量应当符合国家标准、地方标准，并由专人管理。</w:t>
      </w:r>
    </w:p>
    <w:p w14:paraId="5A4A8CA7">
      <w:pPr>
        <w:ind w:firstLine="422"/>
      </w:pPr>
      <w:r>
        <w:rPr>
          <w:rFonts w:hint="eastAsia"/>
          <w:b/>
        </w:rPr>
        <w:t>第四十二条</w:t>
      </w:r>
      <w:r>
        <w:rPr>
          <w:rFonts w:hint="eastAsia"/>
        </w:rPr>
        <w:t>　供水、排水、污水处理、供电、供气、供热、环卫等市政基础设施管理单位和轨道交通运营单位、传输管线施工和运营单位，应当加强设备、设施日常维护和施工现场安全管理，定期开展运行安全评价，及时排除生产安全事故隐患，保障基础设施的安全运行。</w:t>
      </w:r>
    </w:p>
    <w:p w14:paraId="00F7E8D2">
      <w:pPr>
        <w:ind w:firstLine="422"/>
      </w:pPr>
      <w:r>
        <w:rPr>
          <w:rFonts w:hint="eastAsia"/>
          <w:b/>
        </w:rPr>
        <w:t>第四十三条</w:t>
      </w:r>
      <w:r>
        <w:rPr>
          <w:rFonts w:hint="eastAsia"/>
        </w:rPr>
        <w:t>　歌舞厅、影剧院、体育场（馆）、宾馆、饭店、商（市）场、旅游区（点）、网吧等公众聚集的经营场所，其生产经营单位应当遵守下列规定：</w:t>
      </w:r>
    </w:p>
    <w:p w14:paraId="3DB794D4">
      <w:bookmarkStart w:id="1949" w:name="_Toc428780409"/>
      <w:r>
        <w:rPr>
          <w:rFonts w:hint="eastAsia"/>
        </w:rPr>
        <w:t>（一）不得改变经营场所建筑的主体和承重结构；</w:t>
      </w:r>
      <w:bookmarkEnd w:id="1949"/>
    </w:p>
    <w:p w14:paraId="6C7DDB61">
      <w:r>
        <w:rPr>
          <w:rFonts w:hint="eastAsia"/>
        </w:rPr>
        <w:t>（二）在经营场所设置标志明显的安全出口和符合疏散要求的疏散通道并确保畅通；</w:t>
      </w:r>
    </w:p>
    <w:p w14:paraId="51EC0179">
      <w:r>
        <w:rPr>
          <w:rFonts w:hint="eastAsia"/>
        </w:rPr>
        <w:t>（三）按照有关规定在经营场所配备应急广播和指挥系统、应急照明设施、消防器材，安装必要的安全监控系统，并确保完好、有效；</w:t>
      </w:r>
    </w:p>
    <w:p w14:paraId="4A4A9E78">
      <w:r>
        <w:rPr>
          <w:rFonts w:hint="eastAsia"/>
        </w:rPr>
        <w:t>（四）制定可靠的安全措施和生产安全事故应急救援预案，配备应急救援人员；</w:t>
      </w:r>
    </w:p>
    <w:p w14:paraId="42A361E2">
      <w:r>
        <w:rPr>
          <w:rFonts w:hint="eastAsia"/>
        </w:rPr>
        <w:t>（五）有关负责人能够熟练使用应急广播和指挥系统，掌握应急救援预案的全部内容；</w:t>
      </w:r>
    </w:p>
    <w:p w14:paraId="2E6DC608">
      <w:r>
        <w:rPr>
          <w:rFonts w:hint="eastAsia"/>
        </w:rPr>
        <w:t>（六）从业人员能够熟练使用消防器材，了解安全出口和疏散通道的位置及本岗位的应急救援职责；</w:t>
      </w:r>
    </w:p>
    <w:p w14:paraId="74D3072E">
      <w:r>
        <w:rPr>
          <w:rFonts w:hint="eastAsia"/>
        </w:rPr>
        <w:t>（七）经营场所实际容纳的人员不超过规定的容纳人数。</w:t>
      </w:r>
    </w:p>
    <w:p w14:paraId="247EBB7F">
      <w:r>
        <w:rPr>
          <w:rFonts w:hint="eastAsia"/>
        </w:rPr>
        <w:t>前款规定的场所设在同一建筑物内的，生产经营单位应当按照国家标准、地方标准和有关技术规范设置安全出口和疏散通道并保持畅通。</w:t>
      </w:r>
    </w:p>
    <w:p w14:paraId="05F9EB7F">
      <w:pPr>
        <w:ind w:firstLine="422"/>
      </w:pPr>
      <w:r>
        <w:rPr>
          <w:rFonts w:hint="eastAsia"/>
          <w:b/>
        </w:rPr>
        <w:t>第四十四条</w:t>
      </w:r>
      <w:r>
        <w:rPr>
          <w:rFonts w:hint="eastAsia"/>
        </w:rPr>
        <w:t>　生产经营单位承办大型群众性活动的，应当制定符合规定要求的活动方案和突发事件的应急预案，并按照国家和本市有关规定履行审批手续。</w:t>
      </w:r>
    </w:p>
    <w:p w14:paraId="1FB5B36F">
      <w:r>
        <w:rPr>
          <w:rFonts w:hint="eastAsia"/>
        </w:rPr>
        <w:t>活动举办期间，承办单位应当落实各项安全措施，保证活动场所的设备、设施安全运转，配备足够的工作人员维持现场秩序，必要时可以申请公安机关协助。在人员相对聚集时，承办单位应当采取控制和疏散措施，确保参加活动的人数在安全条件允许的范围内。</w:t>
      </w:r>
    </w:p>
    <w:p w14:paraId="44815B56"/>
    <w:p w14:paraId="4E80A537">
      <w:pPr>
        <w:ind w:firstLine="0" w:firstLineChars="0"/>
        <w:jc w:val="center"/>
        <w:rPr>
          <w:b/>
          <w:sz w:val="28"/>
        </w:rPr>
      </w:pPr>
      <w:r>
        <w:rPr>
          <w:rFonts w:hint="eastAsia"/>
          <w:b/>
          <w:sz w:val="28"/>
        </w:rPr>
        <w:t>第三章　从业人员的权利和义务</w:t>
      </w:r>
    </w:p>
    <w:p w14:paraId="7F37B9C2"/>
    <w:p w14:paraId="4C8E3321">
      <w:pPr>
        <w:ind w:firstLine="422"/>
      </w:pPr>
      <w:r>
        <w:rPr>
          <w:rFonts w:hint="eastAsia"/>
          <w:b/>
        </w:rPr>
        <w:t>第四十五条</w:t>
      </w:r>
      <w:r>
        <w:rPr>
          <w:rFonts w:hint="eastAsia"/>
        </w:rPr>
        <w:t>　生产经营单位的从业人员享有《中华人民共和国安全生产法》规定的权利，履行相应义务。</w:t>
      </w:r>
    </w:p>
    <w:p w14:paraId="052C0A5C">
      <w:pPr>
        <w:ind w:firstLine="422"/>
      </w:pPr>
      <w:r>
        <w:rPr>
          <w:rFonts w:hint="eastAsia"/>
          <w:b/>
        </w:rPr>
        <w:t>第四十六条</w:t>
      </w:r>
      <w:r>
        <w:rPr>
          <w:rFonts w:hint="eastAsia"/>
        </w:rPr>
        <w:t>　生产经营单位与从业人员订立的劳动合同中应当载明有关保障从业人员劳动安全、防止职业危害，以及为从业人员办理工伤保险和其他依法应当办理的安全生产强制性保险等事项。</w:t>
      </w:r>
    </w:p>
    <w:p w14:paraId="774D3E18">
      <w:r>
        <w:rPr>
          <w:rFonts w:hint="eastAsia"/>
        </w:rPr>
        <w:t>生产经营单位不得以任何形式与从业人员订立协议，免除或者减轻其对从业人员因生产安全事故伤亡依法应当承担的责任。</w:t>
      </w:r>
    </w:p>
    <w:p w14:paraId="763D5014">
      <w:pPr>
        <w:ind w:firstLine="422"/>
      </w:pPr>
      <w:r>
        <w:rPr>
          <w:rFonts w:hint="eastAsia"/>
          <w:b/>
        </w:rPr>
        <w:t>第四十七条</w:t>
      </w:r>
      <w:r>
        <w:rPr>
          <w:rFonts w:hint="eastAsia"/>
        </w:rPr>
        <w:t>　从业人员有权向生产经营单位了解下列事项：</w:t>
      </w:r>
    </w:p>
    <w:p w14:paraId="43DC1F2C">
      <w:bookmarkStart w:id="1950" w:name="_Toc428780410"/>
      <w:r>
        <w:rPr>
          <w:rFonts w:hint="eastAsia"/>
        </w:rPr>
        <w:t>（一）作业场所和工作岗位存在的危险因素；</w:t>
      </w:r>
      <w:bookmarkEnd w:id="1950"/>
    </w:p>
    <w:p w14:paraId="225E5D20">
      <w:r>
        <w:rPr>
          <w:rFonts w:hint="eastAsia"/>
        </w:rPr>
        <w:t>（二）已采取的防范生产安全事故和职业危害的技术措施和管理措施；</w:t>
      </w:r>
    </w:p>
    <w:p w14:paraId="19390FE6">
      <w:r>
        <w:rPr>
          <w:rFonts w:hint="eastAsia"/>
        </w:rPr>
        <w:t>（三）发生直接危及人身安全的紧急情况时的应急措施。</w:t>
      </w:r>
    </w:p>
    <w:p w14:paraId="7C47070F">
      <w:r>
        <w:rPr>
          <w:rFonts w:hint="eastAsia"/>
        </w:rPr>
        <w:t>生产经营单位应当通过作业场所公示、书面告知、答复、教育培训等方式，将前款所列事项告知从业人员，保障从业人员的知情权。</w:t>
      </w:r>
    </w:p>
    <w:p w14:paraId="5A58A097">
      <w:pPr>
        <w:ind w:firstLine="422"/>
      </w:pPr>
      <w:r>
        <w:rPr>
          <w:rFonts w:hint="eastAsia"/>
          <w:b/>
        </w:rPr>
        <w:t>第四十八条</w:t>
      </w:r>
      <w:r>
        <w:rPr>
          <w:rFonts w:hint="eastAsia"/>
        </w:rPr>
        <w:t>　从业人员有权对本单位安全生产工作和有关职业安全健康问题提出批评、检举、控告；有权拒绝违章指挥和强令冒险作业。</w:t>
      </w:r>
    </w:p>
    <w:p w14:paraId="67651D62">
      <w:r>
        <w:rPr>
          <w:rFonts w:hint="eastAsia"/>
        </w:rPr>
        <w:t>生产经营单位不得因从业人员对本单位安全生产工作提出批评、检举、控告或者拒绝违章指挥、强令冒险作业而降低其工资、福利等待遇或者解除与其订立的劳动合同。</w:t>
      </w:r>
    </w:p>
    <w:p w14:paraId="3CE6B93B">
      <w:pPr>
        <w:ind w:firstLine="422"/>
      </w:pPr>
      <w:r>
        <w:rPr>
          <w:rFonts w:hint="eastAsia"/>
          <w:b/>
        </w:rPr>
        <w:t>第四十九条</w:t>
      </w:r>
      <w:r>
        <w:rPr>
          <w:rFonts w:hint="eastAsia"/>
        </w:rPr>
        <w:t>　从业人员有权要求生产经营单位依法参加工伤保险和其他安全生产保险。</w:t>
      </w:r>
    </w:p>
    <w:p w14:paraId="28E82F63">
      <w:r>
        <w:rPr>
          <w:rFonts w:hint="eastAsia"/>
        </w:rPr>
        <w:t>生产经营单位未依法参加前款规定的保险，从业人员因生产安全事故受到损害的，生产经营单位应当按照相关保险规定的待遇项目和标准支付费用，从业人员依照有关民事法律尚有获得赔偿权利的，有权提出赔偿要求。</w:t>
      </w:r>
    </w:p>
    <w:p w14:paraId="50BE27BF">
      <w:pPr>
        <w:ind w:firstLine="422"/>
      </w:pPr>
      <w:r>
        <w:rPr>
          <w:rFonts w:hint="eastAsia"/>
          <w:b/>
        </w:rPr>
        <w:t>第五十条</w:t>
      </w:r>
      <w:r>
        <w:rPr>
          <w:rFonts w:hint="eastAsia"/>
        </w:rPr>
        <w:t>　从业人员应当履行下列义务：</w:t>
      </w:r>
    </w:p>
    <w:p w14:paraId="09E0B074">
      <w:bookmarkStart w:id="1951" w:name="_Toc428780411"/>
      <w:r>
        <w:rPr>
          <w:rFonts w:hint="eastAsia"/>
        </w:rPr>
        <w:t>（一）遵守本单位安全生产规章制度和岗位操作规程、施工作业规程；</w:t>
      </w:r>
      <w:bookmarkEnd w:id="1951"/>
    </w:p>
    <w:p w14:paraId="18E42D04">
      <w:r>
        <w:rPr>
          <w:rFonts w:hint="eastAsia"/>
        </w:rPr>
        <w:t>（二）接受安全生产教育和培训，参加应急演练；</w:t>
      </w:r>
    </w:p>
    <w:p w14:paraId="5141A3FB">
      <w:r>
        <w:rPr>
          <w:rFonts w:hint="eastAsia"/>
        </w:rPr>
        <w:t>（三）报告生产安全事故隐患或者不安全因素；</w:t>
      </w:r>
    </w:p>
    <w:p w14:paraId="0C4F807E">
      <w:r>
        <w:rPr>
          <w:rFonts w:hint="eastAsia"/>
        </w:rPr>
        <w:t>（四）发生生产安全事故紧急撤离时，服从现场统一指挥；</w:t>
      </w:r>
    </w:p>
    <w:p w14:paraId="74AC2E73">
      <w:bookmarkStart w:id="1952" w:name="_Toc428780412"/>
      <w:r>
        <w:rPr>
          <w:rFonts w:hint="eastAsia"/>
        </w:rPr>
        <w:t>（五）配合事故调查，如实提供有关情况；</w:t>
      </w:r>
      <w:bookmarkEnd w:id="1952"/>
    </w:p>
    <w:p w14:paraId="4778476A">
      <w:r>
        <w:rPr>
          <w:rFonts w:hint="eastAsia"/>
        </w:rPr>
        <w:t>（六）从事特种作业的，经过专门培训并取得特种作业资格。</w:t>
      </w:r>
    </w:p>
    <w:p w14:paraId="2C0935B9"/>
    <w:p w14:paraId="3840F255">
      <w:pPr>
        <w:ind w:firstLine="0" w:firstLineChars="0"/>
        <w:jc w:val="center"/>
        <w:rPr>
          <w:b/>
          <w:sz w:val="28"/>
        </w:rPr>
      </w:pPr>
      <w:r>
        <w:rPr>
          <w:rFonts w:hint="eastAsia"/>
          <w:b/>
          <w:sz w:val="28"/>
        </w:rPr>
        <w:t>第四章　安全生产的监督管理</w:t>
      </w:r>
    </w:p>
    <w:p w14:paraId="513AB1C6"/>
    <w:p w14:paraId="61BC731B">
      <w:pPr>
        <w:ind w:firstLine="422"/>
      </w:pPr>
      <w:r>
        <w:rPr>
          <w:rFonts w:hint="eastAsia"/>
          <w:b/>
        </w:rPr>
        <w:t>第五十一条</w:t>
      </w:r>
      <w:r>
        <w:rPr>
          <w:rFonts w:hint="eastAsia"/>
        </w:rPr>
        <w:t>　安全生产监督管理实行属地原则，由生产经营活动所在地的政府及其有关部门实施。</w:t>
      </w:r>
    </w:p>
    <w:p w14:paraId="4095D039">
      <w:pPr>
        <w:ind w:firstLine="422"/>
      </w:pPr>
      <w:r>
        <w:rPr>
          <w:rFonts w:hint="eastAsia"/>
          <w:b/>
        </w:rPr>
        <w:t>第五十二条</w:t>
      </w:r>
      <w:r>
        <w:rPr>
          <w:rFonts w:hint="eastAsia"/>
        </w:rPr>
        <w:t>　市和区、县人民政府应当建立安全生产控制指标体系，对安全生产工作实行目标管理；每季度至少召开一次会议，专题研究本地区安全生产工作，组织、协调重大生产安全事故隐患治理。</w:t>
      </w:r>
    </w:p>
    <w:p w14:paraId="51700727">
      <w:r>
        <w:rPr>
          <w:rFonts w:hint="eastAsia"/>
        </w:rPr>
        <w:t>乡镇人民政府和街道办事处根据本地区安全生产工作的需要，设立或者明确负责安全生产工作的机构，配备或者聘请人员，监督、检查本地区安全生产工作，发现安全生产违法行为或者生产安全事故隐患的，应当责令生产经营单位改正或者排除，并及时向安全生产监督管理部门和政府其他有关部门报告。</w:t>
      </w:r>
    </w:p>
    <w:p w14:paraId="215ABCD7">
      <w:pPr>
        <w:ind w:firstLine="422"/>
      </w:pPr>
      <w:r>
        <w:rPr>
          <w:rFonts w:hint="eastAsia"/>
          <w:b/>
        </w:rPr>
        <w:t>第五十三条</w:t>
      </w:r>
      <w:r>
        <w:rPr>
          <w:rFonts w:hint="eastAsia"/>
        </w:rPr>
        <w:t>　安全生产监督管理部门履行下列职责：</w:t>
      </w:r>
    </w:p>
    <w:p w14:paraId="19D4CF3C">
      <w:r>
        <w:rPr>
          <w:rFonts w:hint="eastAsia"/>
        </w:rPr>
        <w:t>（一）综合分析本地区安全生产形势，定期向本级人民政府报告安全生产工作，提出安全生产工作的意见和建议，发布安全生产信息；</w:t>
      </w:r>
    </w:p>
    <w:p w14:paraId="410C99DE">
      <w:r>
        <w:rPr>
          <w:rFonts w:hint="eastAsia"/>
        </w:rPr>
        <w:t>（二）指导协调、监督检查本级人民政府有关部门和下级人民政府履行安全生产监督管理职责，提出意见和建议；</w:t>
      </w:r>
    </w:p>
    <w:p w14:paraId="049FEF7E">
      <w:r>
        <w:rPr>
          <w:rFonts w:hint="eastAsia"/>
        </w:rPr>
        <w:t>（三）负责组织对本级人民政府有关部门和下级人民政府的安全生产工作进行综合考核；</w:t>
      </w:r>
    </w:p>
    <w:p w14:paraId="18DC8BF0">
      <w:r>
        <w:rPr>
          <w:rFonts w:hint="eastAsia"/>
        </w:rPr>
        <w:t>（四）法律、法规、规章和市人民政府规定的其他职责。</w:t>
      </w:r>
    </w:p>
    <w:p w14:paraId="42F95F20">
      <w:pPr>
        <w:ind w:firstLine="422"/>
      </w:pPr>
      <w:r>
        <w:rPr>
          <w:rFonts w:hint="eastAsia"/>
          <w:b/>
        </w:rPr>
        <w:t>第五十四条</w:t>
      </w:r>
      <w:r>
        <w:rPr>
          <w:rFonts w:hint="eastAsia"/>
        </w:rPr>
        <w:t>　市人民政府对所属有关部门和区、县人民政府安全生产工作进行综合考核；区、县人民政府对所属有关部门和乡镇人民政府、街道办事处安全生产工作进行综合考核。考核结果纳入绩效考核内容。</w:t>
      </w:r>
    </w:p>
    <w:p w14:paraId="32F7CCE3">
      <w:pPr>
        <w:ind w:firstLine="422"/>
      </w:pPr>
      <w:r>
        <w:rPr>
          <w:rFonts w:hint="eastAsia"/>
          <w:b/>
        </w:rPr>
        <w:t>第五十五条</w:t>
      </w:r>
      <w:r>
        <w:rPr>
          <w:rFonts w:hint="eastAsia"/>
        </w:rPr>
        <w:t>　市和区、县人民政府应当加强安全生产基础研究、应用研究和安全生产先进技术的推广；完善安全生产技术支撑体系，支持生产经营单位安全技术改造；保障安全生产基础设施建设资金的投入；推进安全生产重点领域、重点单位的物联网建设；监督管理国家安排的安全生产专项资金，确保专款专用，并安排配套资金予以保障。</w:t>
      </w:r>
    </w:p>
    <w:p w14:paraId="6B3D63A9">
      <w:pPr>
        <w:ind w:firstLine="422"/>
      </w:pPr>
      <w:r>
        <w:rPr>
          <w:rFonts w:hint="eastAsia"/>
          <w:b/>
        </w:rPr>
        <w:t>第五十六条</w:t>
      </w:r>
      <w:r>
        <w:rPr>
          <w:rFonts w:hint="eastAsia"/>
        </w:rPr>
        <w:t>　市人民政府有关部门应当加强对有关行业或者领域安全生产工作的指导，定期统计生产安全事故、从业人员伤亡和职业危害情况，组织制定有关行业或者领域的安全生产标准、管理规范并督促落实。</w:t>
      </w:r>
    </w:p>
    <w:p w14:paraId="7599C916">
      <w:r>
        <w:rPr>
          <w:rFonts w:hint="eastAsia"/>
        </w:rPr>
        <w:t>市质量技术监督部门应当加强规划，组织、指导有关安全生产地方标准的制定，及时协调和处理标准化工作中的问题。</w:t>
      </w:r>
    </w:p>
    <w:p w14:paraId="7178FF3D">
      <w:pPr>
        <w:ind w:firstLine="422"/>
      </w:pPr>
      <w:r>
        <w:rPr>
          <w:rFonts w:hint="eastAsia"/>
          <w:b/>
        </w:rPr>
        <w:t>第五十七条</w:t>
      </w:r>
      <w:r>
        <w:rPr>
          <w:rFonts w:hint="eastAsia"/>
        </w:rPr>
        <w:t>　在本市举办重要会议或者重大活动期间，市安全生产监督管理部门可以根据市人民政府的要求，制定专项安全生产管理措施，生产经营单位应当执行。</w:t>
      </w:r>
    </w:p>
    <w:p w14:paraId="7585C245">
      <w:pPr>
        <w:ind w:firstLine="422"/>
      </w:pPr>
      <w:r>
        <w:rPr>
          <w:rFonts w:hint="eastAsia"/>
          <w:b/>
        </w:rPr>
        <w:t>第五十八条</w:t>
      </w:r>
      <w:r>
        <w:rPr>
          <w:rFonts w:hint="eastAsia"/>
        </w:rPr>
        <w:t>　安全生产监督管理部门和政府其他有关部门应当建立健全重大危险源备案工作制度，加强对重大危险源的监督管理工作。</w:t>
      </w:r>
    </w:p>
    <w:p w14:paraId="0C09A9D0">
      <w:pPr>
        <w:ind w:firstLine="422"/>
      </w:pPr>
      <w:r>
        <w:rPr>
          <w:rFonts w:hint="eastAsia"/>
          <w:b/>
        </w:rPr>
        <w:t>第五十九条</w:t>
      </w:r>
      <w:r>
        <w:rPr>
          <w:rFonts w:hint="eastAsia"/>
        </w:rPr>
        <w:t>　生产经营单位销售重点监管的化学品，应当如实记录购买者和所购买化学品的相关信息，并将相关证明材料存档备查。重点监管的化学品目录由市安全生产监督管理部门会同公安机关制定并向社会公布。</w:t>
      </w:r>
    </w:p>
    <w:p w14:paraId="14548010">
      <w:pPr>
        <w:ind w:firstLine="422"/>
      </w:pPr>
      <w:r>
        <w:rPr>
          <w:rFonts w:hint="eastAsia"/>
          <w:b/>
        </w:rPr>
        <w:t>第六十条</w:t>
      </w:r>
      <w:r>
        <w:rPr>
          <w:rFonts w:hint="eastAsia"/>
        </w:rPr>
        <w:t>　在重大危险源、高压输电线路和输油、输气管道等场所和设施的安全距离范围内，城乡规划主管部门不得批准建设建筑物、构筑物。</w:t>
      </w:r>
    </w:p>
    <w:p w14:paraId="3E2940F3">
      <w:r>
        <w:rPr>
          <w:rFonts w:hint="eastAsia"/>
        </w:rPr>
        <w:t>对不符合规定安全距离要求的建筑物、构筑物，应当依法予以拆除或者采取其他保障安全的措施。</w:t>
      </w:r>
    </w:p>
    <w:p w14:paraId="7D326262">
      <w:pPr>
        <w:ind w:firstLine="422"/>
      </w:pPr>
      <w:r>
        <w:rPr>
          <w:rFonts w:hint="eastAsia"/>
          <w:b/>
        </w:rPr>
        <w:t>第六十一条</w:t>
      </w:r>
      <w:r>
        <w:rPr>
          <w:rFonts w:hint="eastAsia"/>
        </w:rPr>
        <w:t>　安全生产监督管理部门根据工作需要，配备安全生产监督检查人员。</w:t>
      </w:r>
    </w:p>
    <w:p w14:paraId="6A6B7DED">
      <w:r>
        <w:rPr>
          <w:rFonts w:hint="eastAsia"/>
        </w:rPr>
        <w:t>安全生产监督检查人员执行监督检查任务时，应当出示有效的监督执法证件，并将检查的时间、地点、内容、发现的问题及其处理情况，作出书面记录，由检查人员和被检查单位的负责人签字。</w:t>
      </w:r>
    </w:p>
    <w:p w14:paraId="3E3FA5EE">
      <w:pPr>
        <w:ind w:firstLine="422"/>
      </w:pPr>
      <w:r>
        <w:rPr>
          <w:rFonts w:hint="eastAsia"/>
          <w:b/>
        </w:rPr>
        <w:t>第六十二条</w:t>
      </w:r>
      <w:r>
        <w:rPr>
          <w:rFonts w:hint="eastAsia"/>
        </w:rPr>
        <w:t>　安全生产监督管理部门应当制定安全生产监督检查计划，有关部门应当按照计划对生产经营单位的安全生产状况进行联合检查；需要分别检查的，应当相互协调，避免重复检查。</w:t>
      </w:r>
    </w:p>
    <w:p w14:paraId="5B8A3766">
      <w:r>
        <w:rPr>
          <w:rFonts w:hint="eastAsia"/>
        </w:rPr>
        <w:t>负有安全生产监督管理职责的部门在检查中发现安全问题应当及时处理；应当由其他部门处理的，及时移送有关部门并形成记录备查，接受移送的部门应当及时处理。</w:t>
      </w:r>
    </w:p>
    <w:p w14:paraId="01C94A27">
      <w:pPr>
        <w:ind w:firstLine="422"/>
      </w:pPr>
      <w:r>
        <w:rPr>
          <w:rFonts w:hint="eastAsia"/>
          <w:b/>
        </w:rPr>
        <w:t>第六十三条</w:t>
      </w:r>
      <w:r>
        <w:rPr>
          <w:rFonts w:hint="eastAsia"/>
        </w:rPr>
        <w:t>　任何单位或者个人对生产安全事故隐患或者安全生产违法行为，均有权向安全生产监督管理部门和政府其他有关部门报告或者举报。查证属实的，由有关部门按照规定给予奖励。</w:t>
      </w:r>
    </w:p>
    <w:p w14:paraId="00224A94">
      <w:r>
        <w:rPr>
          <w:rFonts w:hint="eastAsia"/>
        </w:rPr>
        <w:t>安全生产监督管理部门和政府其他有关部门应当公开举报电话、通信地址或者电子邮件地址，受理有关安全生产的举报；受理的举报事项经调查核实后，应当形成书面材料；需要落实整改措施的，报经有关负责人签字并督促落实。</w:t>
      </w:r>
    </w:p>
    <w:p w14:paraId="7462C995">
      <w:pPr>
        <w:ind w:firstLine="422"/>
      </w:pPr>
      <w:r>
        <w:rPr>
          <w:rFonts w:hint="eastAsia"/>
          <w:b/>
        </w:rPr>
        <w:t>第六十四条</w:t>
      </w:r>
      <w:r>
        <w:rPr>
          <w:rFonts w:hint="eastAsia"/>
        </w:rPr>
        <w:t>　居民委员会、村民委员会发现所在区域的生产经营单位存在生产安全事故隐患或者安全生产违法行为的，应当向所在地人民政府或者安全生产监督管理部门、其他有关部门报告。</w:t>
      </w:r>
    </w:p>
    <w:p w14:paraId="60462999">
      <w:pPr>
        <w:ind w:firstLine="422"/>
      </w:pPr>
      <w:r>
        <w:rPr>
          <w:rFonts w:hint="eastAsia"/>
          <w:b/>
        </w:rPr>
        <w:t>第六十五条</w:t>
      </w:r>
      <w:r>
        <w:rPr>
          <w:rFonts w:hint="eastAsia"/>
        </w:rPr>
        <w:t>　区、县安全生产监督管理部门或者政府其他有关部门接到生产安全事故隐患报告的，应当及时调查、了解有关情况，组织协调消除事故隐患；属于重大生产安全事故隐患的，应当及时报请区、县人民政府采取治理措施；对于超出本级人民政府管理权限的，有关区、县人民政府应当及时报告市人民政府。</w:t>
      </w:r>
    </w:p>
    <w:p w14:paraId="36824855">
      <w:r>
        <w:rPr>
          <w:rFonts w:hint="eastAsia"/>
        </w:rPr>
        <w:t>区、县人民政府应当将治理重大生产安全事故隐患的有关情况，向市安全生产监督管理部门通报。</w:t>
      </w:r>
    </w:p>
    <w:p w14:paraId="768AC324">
      <w:pPr>
        <w:ind w:firstLine="422"/>
      </w:pPr>
      <w:r>
        <w:rPr>
          <w:rFonts w:hint="eastAsia"/>
          <w:b/>
        </w:rPr>
        <w:t>第六十六条</w:t>
      </w:r>
      <w:r>
        <w:rPr>
          <w:rFonts w:hint="eastAsia"/>
        </w:rPr>
        <w:t>　安全生产监督管理部门和政府其他有关部门在检查过程中发现生产安全事故隐患的，应当责令生产经营单位采取措施立即消除；不能立即消除的，应当责令限期消除，并督促落实。在限期消除期间，安全生产监督管理部门或者政府其他有关部门可以在生产经营场所的明显位置设置事故隐患提示标志。</w:t>
      </w:r>
    </w:p>
    <w:p w14:paraId="32AE628E">
      <w:r>
        <w:rPr>
          <w:rFonts w:hint="eastAsia"/>
        </w:rPr>
        <w:t>重大生产安全事故隐患消除前或者消除过程中无法保证安全的，安全生产监督管理部门和政府其他有关部门可以责令生产经营单位全部或者部分停产停业，或者采取其他限制措施；隐患消除后，经审查同意，方可恢复生产经营活动。</w:t>
      </w:r>
    </w:p>
    <w:p w14:paraId="78C31F3A">
      <w:pPr>
        <w:ind w:firstLine="422"/>
      </w:pPr>
      <w:r>
        <w:rPr>
          <w:rFonts w:hint="eastAsia"/>
          <w:b/>
        </w:rPr>
        <w:t>第六十七条</w:t>
      </w:r>
      <w:r>
        <w:rPr>
          <w:rFonts w:hint="eastAsia"/>
        </w:rPr>
        <w:t>　安全生产监督管理部门在监督检查过程中有根据认为生产经营单位的设备、设施和器材不符合保障安全生产国家标准或者行业标准的，可以予以查封或者扣押，但应当在15日内依法作出处理决定。</w:t>
      </w:r>
    </w:p>
    <w:p w14:paraId="2938707E">
      <w:pPr>
        <w:ind w:firstLine="422"/>
      </w:pPr>
      <w:r>
        <w:rPr>
          <w:rFonts w:hint="eastAsia"/>
          <w:b/>
        </w:rPr>
        <w:t>第六十八条</w:t>
      </w:r>
      <w:r>
        <w:rPr>
          <w:rFonts w:hint="eastAsia"/>
        </w:rPr>
        <w:t>　市和区、县人民政府有关部门应当对生产经营单位承办的大型群众性活动安全措施的落实、活动场所设备设施的安全运转及维护现场秩序工作人员的配备等情况进行检查，督促承办单位落实相关安全措施和应急预案。</w:t>
      </w:r>
    </w:p>
    <w:p w14:paraId="5E294110">
      <w:pPr>
        <w:ind w:firstLine="422"/>
      </w:pPr>
      <w:r>
        <w:rPr>
          <w:rFonts w:hint="eastAsia"/>
          <w:b/>
        </w:rPr>
        <w:t>第六十九条</w:t>
      </w:r>
      <w:r>
        <w:rPr>
          <w:rFonts w:hint="eastAsia"/>
        </w:rPr>
        <w:t>　生产经营单位发生一次死亡</w:t>
      </w:r>
      <w:r>
        <w:rPr>
          <w:rFonts w:hint="eastAsia" w:ascii="宋体" w:hAnsi="宋体" w:eastAsia="宋体" w:cs="宋体"/>
        </w:rPr>
        <w:t>3</w:t>
      </w:r>
      <w:r>
        <w:rPr>
          <w:rFonts w:hint="eastAsia"/>
        </w:rPr>
        <w:t>人以上责任事故或者年度内发生两起死亡责任事故的，政府有关部门可以依法降低其相应的生产经营资质，限制其一年内参加政府投资、政府融资建设项目和政府采购项目的投标及该年度政府奖项的评奖，并将有关情况记入本市企业信用信息系统。</w:t>
      </w:r>
    </w:p>
    <w:p w14:paraId="5C7B786C">
      <w:r>
        <w:rPr>
          <w:rFonts w:hint="eastAsia"/>
        </w:rPr>
        <w:t>前款规定的生产经营单位应当委托具有相应资质的安全生产评价机构进行安全评价，并落实有关安全措施。</w:t>
      </w:r>
    </w:p>
    <w:p w14:paraId="6512CFAF">
      <w:pPr>
        <w:ind w:firstLine="422"/>
      </w:pPr>
      <w:r>
        <w:rPr>
          <w:rFonts w:hint="eastAsia"/>
          <w:b/>
        </w:rPr>
        <w:t>第七十条</w:t>
      </w:r>
      <w:r>
        <w:rPr>
          <w:rFonts w:hint="eastAsia"/>
        </w:rPr>
        <w:t>　矿山、道路交通运输、建筑施工、危险化学品、烟花爆竹等领域的生产经营单位按照国家有关规定实行安全生产风险抵押金制度。生产经营单位发生生产安全事故时，安全生产风险抵押金转作事故抢险救灾和善后处理资金。</w:t>
      </w:r>
    </w:p>
    <w:p w14:paraId="246EC222">
      <w:r>
        <w:rPr>
          <w:rFonts w:hint="eastAsia"/>
        </w:rPr>
        <w:t>本市建立安全生产责任保险制度，并在各行业或者领域逐步实施。前款规定的生产经营单位参加安全生产责任保险的，不再存缴安全生产风险抵押金。</w:t>
      </w:r>
    </w:p>
    <w:p w14:paraId="3501A842">
      <w:pPr>
        <w:ind w:firstLine="422"/>
      </w:pPr>
      <w:r>
        <w:rPr>
          <w:rFonts w:hint="eastAsia"/>
          <w:b/>
        </w:rPr>
        <w:t>第七十一条</w:t>
      </w:r>
      <w:r>
        <w:rPr>
          <w:rFonts w:hint="eastAsia"/>
        </w:rPr>
        <w:t>　市安全生产监督管理部门应当定期向社会公布全市安全生产状况和生产安全事故情况，并及时公开严重安全生产违法行为的情况和重大、特大生产安全事故的有关信息。</w:t>
      </w:r>
    </w:p>
    <w:p w14:paraId="5C8AAFD2">
      <w:r>
        <w:rPr>
          <w:rFonts w:hint="eastAsia"/>
        </w:rPr>
        <w:t>市安全生产监督管理部门应当建立安全生产违法行为记录系统，记载生产经营单位及其主要负责人、个人经营的投资人、有关中介机构等安全生产活动当事人的违法行为、责任事故及处理结果。任何单位和个人有权查询相关记录。</w:t>
      </w:r>
    </w:p>
    <w:p w14:paraId="205C3F7E">
      <w:pPr>
        <w:ind w:firstLine="422"/>
      </w:pPr>
      <w:r>
        <w:rPr>
          <w:rFonts w:hint="eastAsia"/>
          <w:b/>
        </w:rPr>
        <w:t>第七十二条</w:t>
      </w:r>
      <w:r>
        <w:rPr>
          <w:rFonts w:hint="eastAsia"/>
        </w:rPr>
        <w:t>　本市建立安全生产信息网络平台，及时提供安全生产法律、法规、标准、政策、措施等信息服务。</w:t>
      </w:r>
    </w:p>
    <w:p w14:paraId="17FEBA61">
      <w:r>
        <w:rPr>
          <w:rFonts w:hint="eastAsia"/>
        </w:rPr>
        <w:t>政府有关部门应当建立健全安全生产信息沟通制度，互相通报有关安全生产的政策和执法监督信息。</w:t>
      </w:r>
    </w:p>
    <w:p w14:paraId="4E796181">
      <w:r>
        <w:rPr>
          <w:rFonts w:hint="eastAsia"/>
        </w:rPr>
        <w:t>区、县人民政府及其有关部门应当采取多种形式，及时将有关安全生产的政策和措施告知生产经营单位，并提供相关信息服务。</w:t>
      </w:r>
    </w:p>
    <w:p w14:paraId="22A07517">
      <w:r>
        <w:rPr>
          <w:rFonts w:hint="eastAsia"/>
        </w:rPr>
        <w:t>行业协会应当配合政府有关部门做好有关安全生产信息的宣传工作。</w:t>
      </w:r>
    </w:p>
    <w:p w14:paraId="4B0B7585">
      <w:pPr>
        <w:ind w:firstLine="422"/>
      </w:pPr>
      <w:r>
        <w:rPr>
          <w:rFonts w:hint="eastAsia"/>
          <w:b/>
        </w:rPr>
        <w:t>第七十三条</w:t>
      </w:r>
      <w:r>
        <w:rPr>
          <w:rFonts w:hint="eastAsia"/>
        </w:rPr>
        <w:t>　新闻、出版、广播、电视等单位应当对违反安全生产法律、法规的行为进行舆论监督，通过开设公益性专题栏目等形式，对社会公众进行安全意识教育和自救互救知识宣传。</w:t>
      </w:r>
    </w:p>
    <w:p w14:paraId="15665C2D"/>
    <w:p w14:paraId="5B985B01">
      <w:pPr>
        <w:ind w:firstLine="0" w:firstLineChars="0"/>
        <w:jc w:val="center"/>
        <w:rPr>
          <w:b/>
          <w:sz w:val="28"/>
        </w:rPr>
      </w:pPr>
      <w:r>
        <w:rPr>
          <w:rFonts w:hint="eastAsia"/>
          <w:b/>
          <w:sz w:val="28"/>
        </w:rPr>
        <w:t>第五章　生产安全事故的应急</w:t>
      </w:r>
    </w:p>
    <w:p w14:paraId="42F2FF2E">
      <w:pPr>
        <w:ind w:firstLine="0" w:firstLineChars="0"/>
        <w:jc w:val="center"/>
        <w:rPr>
          <w:b/>
          <w:sz w:val="28"/>
        </w:rPr>
      </w:pPr>
      <w:r>
        <w:rPr>
          <w:rFonts w:hint="eastAsia"/>
          <w:b/>
          <w:sz w:val="28"/>
        </w:rPr>
        <w:t xml:space="preserve">    救援与调查处理</w:t>
      </w:r>
    </w:p>
    <w:p w14:paraId="0EF797FE"/>
    <w:p w14:paraId="57715503">
      <w:pPr>
        <w:ind w:firstLine="422"/>
      </w:pPr>
      <w:r>
        <w:rPr>
          <w:rFonts w:hint="eastAsia"/>
          <w:b/>
        </w:rPr>
        <w:t>第七十四条</w:t>
      </w:r>
      <w:r>
        <w:rPr>
          <w:rFonts w:hint="eastAsia"/>
        </w:rPr>
        <w:t>　市和区、县人民政府应当组织有关部门制定本地区特大生产安全事故应急救援预案，建立应急救援体系。</w:t>
      </w:r>
    </w:p>
    <w:p w14:paraId="3D3A4B97">
      <w:pPr>
        <w:ind w:firstLine="422"/>
      </w:pPr>
      <w:r>
        <w:rPr>
          <w:rFonts w:hint="eastAsia"/>
          <w:b/>
        </w:rPr>
        <w:t>第七十五条</w:t>
      </w:r>
      <w:r>
        <w:rPr>
          <w:rFonts w:hint="eastAsia"/>
        </w:rPr>
        <w:t>　 特大生产安全事故应急救援预案主要包括下列内容：</w:t>
      </w:r>
    </w:p>
    <w:p w14:paraId="4CEFA40A">
      <w:r>
        <w:rPr>
          <w:rFonts w:hint="eastAsia"/>
        </w:rPr>
        <w:t>（一）应急救援的指挥和协调机构；</w:t>
      </w:r>
    </w:p>
    <w:p w14:paraId="64B2F521">
      <w:r>
        <w:rPr>
          <w:rFonts w:hint="eastAsia"/>
        </w:rPr>
        <w:t>（二）有关部门在应急救援中的职责和分工；</w:t>
      </w:r>
    </w:p>
    <w:p w14:paraId="19C07DBC">
      <w:r>
        <w:rPr>
          <w:rFonts w:hint="eastAsia"/>
        </w:rPr>
        <w:t>（三）月危险目标的确定和潜在危险性评估；</w:t>
      </w:r>
    </w:p>
    <w:p w14:paraId="6237C253">
      <w:r>
        <w:rPr>
          <w:rFonts w:hint="eastAsia"/>
        </w:rPr>
        <w:t>（四）应急救援组织及其人员、装备；</w:t>
      </w:r>
    </w:p>
    <w:p w14:paraId="1B51DAAF">
      <w:r>
        <w:rPr>
          <w:rFonts w:hint="eastAsia"/>
        </w:rPr>
        <w:t>（五）紧急处置、人员疏散、工程抢险、医疗急救等措施方案；</w:t>
      </w:r>
    </w:p>
    <w:p w14:paraId="72DCF759">
      <w:r>
        <w:rPr>
          <w:rFonts w:hint="eastAsia"/>
        </w:rPr>
        <w:t>（六）社会支持救助方案；</w:t>
      </w:r>
    </w:p>
    <w:p w14:paraId="67BCE21C">
      <w:r>
        <w:rPr>
          <w:rFonts w:hint="eastAsia"/>
        </w:rPr>
        <w:t>（七）应急救援组织的训练和演习；</w:t>
      </w:r>
    </w:p>
    <w:p w14:paraId="14BD3614">
      <w:r>
        <w:rPr>
          <w:rFonts w:hint="eastAsia"/>
        </w:rPr>
        <w:t>（八）应急救援物资储备；</w:t>
      </w:r>
    </w:p>
    <w:p w14:paraId="7B7D7C70">
      <w:r>
        <w:rPr>
          <w:rFonts w:hint="eastAsia"/>
        </w:rPr>
        <w:t>（九）经费保障。</w:t>
      </w:r>
    </w:p>
    <w:p w14:paraId="3D74C92C">
      <w:pPr>
        <w:ind w:firstLine="422"/>
      </w:pPr>
      <w:r>
        <w:rPr>
          <w:rFonts w:hint="eastAsia"/>
          <w:b/>
        </w:rPr>
        <w:t>第七十六条</w:t>
      </w:r>
      <w:r>
        <w:rPr>
          <w:rFonts w:hint="eastAsia"/>
        </w:rPr>
        <w:t>　生产经营单位应当根据本单位生产经营的特点，制定生产安全事故应急救援预案，对生产经营活动中容易发生生产安全事故的领域和环节进行监控，建立应急救援组织或者配备应急救援人员，储备必要的应急救援设备、器材，按照国家有关规定在作业区域设置救生舱等紧急避险救生设施。</w:t>
      </w:r>
    </w:p>
    <w:p w14:paraId="3810E5B8">
      <w:r>
        <w:rPr>
          <w:rFonts w:hint="eastAsia"/>
        </w:rPr>
        <w:t>规模较小的生产经营单位可以委托专业应急救援机构提供救援服务。规模较大的生产经营单位可以组建专业应急救援队伍，受市和区、县人民政府委托执行应急救援任务，市和区、县人民政府应当给予必要的支持。</w:t>
      </w:r>
    </w:p>
    <w:p w14:paraId="11650A0E">
      <w:pPr>
        <w:ind w:firstLine="422"/>
      </w:pPr>
      <w:r>
        <w:rPr>
          <w:rFonts w:hint="eastAsia"/>
          <w:b/>
        </w:rPr>
        <w:t>第七十七条</w:t>
      </w:r>
      <w:r>
        <w:rPr>
          <w:rFonts w:hint="eastAsia"/>
        </w:rPr>
        <w:t>　生产经营单位制定的生产安全事故应急救援预案主要包括下列内容：</w:t>
      </w:r>
    </w:p>
    <w:p w14:paraId="6A93A018">
      <w:r>
        <w:rPr>
          <w:rFonts w:hint="eastAsia"/>
        </w:rPr>
        <w:t>（一）应急救援组织及其职责；</w:t>
      </w:r>
    </w:p>
    <w:p w14:paraId="7454C64B">
      <w:r>
        <w:rPr>
          <w:rFonts w:hint="eastAsia"/>
        </w:rPr>
        <w:t>（二）危险目标的确定和潜在危险性评估；</w:t>
      </w:r>
    </w:p>
    <w:p w14:paraId="64F9736C">
      <w:r>
        <w:rPr>
          <w:rFonts w:hint="eastAsia"/>
        </w:rPr>
        <w:t>（三）应急救援预案启动程序；</w:t>
      </w:r>
    </w:p>
    <w:p w14:paraId="2EA1BD50">
      <w:r>
        <w:rPr>
          <w:rFonts w:hint="eastAsia"/>
        </w:rPr>
        <w:t>（四）紧急处置措施方案；</w:t>
      </w:r>
    </w:p>
    <w:p w14:paraId="79BBE654">
      <w:r>
        <w:rPr>
          <w:rFonts w:hint="eastAsia"/>
        </w:rPr>
        <w:t>（五）应急救援组织的训练和演习；</w:t>
      </w:r>
    </w:p>
    <w:p w14:paraId="426578C4">
      <w:r>
        <w:rPr>
          <w:rFonts w:hint="eastAsia"/>
        </w:rPr>
        <w:t>（六）应急救援设备器材的储备；</w:t>
      </w:r>
    </w:p>
    <w:p w14:paraId="243D8A56">
      <w:r>
        <w:rPr>
          <w:rFonts w:hint="eastAsia"/>
        </w:rPr>
        <w:t>（七）经费保障。</w:t>
      </w:r>
    </w:p>
    <w:p w14:paraId="11E2861F">
      <w:r>
        <w:rPr>
          <w:rFonts w:hint="eastAsia"/>
        </w:rPr>
        <w:t>生产经营单位应当定期演练生产安全事故应急救援预案，每年不得少于一次。</w:t>
      </w:r>
    </w:p>
    <w:p w14:paraId="3EAACA10">
      <w:pPr>
        <w:ind w:firstLine="422"/>
      </w:pPr>
      <w:r>
        <w:rPr>
          <w:rFonts w:hint="eastAsia"/>
          <w:b/>
        </w:rPr>
        <w:t>第七十八条</w:t>
      </w:r>
      <w:r>
        <w:rPr>
          <w:rFonts w:hint="eastAsia"/>
        </w:rPr>
        <w:t xml:space="preserve">  生产经营单位发生生产安全事故的，事故现场有关人员应当立即报告本单位负责人。</w:t>
      </w:r>
    </w:p>
    <w:p w14:paraId="29A784A2">
      <w:r>
        <w:rPr>
          <w:rFonts w:hint="eastAsia"/>
        </w:rPr>
        <w:t>单位负责人接到事故报告应当迅速启动应急救援预案，采取有效措施组织抢救，防止事故扩大、减少人员伤亡和财产损失，并按照国家有关规定及时、如实报告安全生产监督管理部门或者政府其他有关部门。单位负责人对事故情况不得隐瞒不报、谎报或者拖延报告。</w:t>
      </w:r>
    </w:p>
    <w:p w14:paraId="55FB652B">
      <w:r>
        <w:rPr>
          <w:rFonts w:hint="eastAsia"/>
        </w:rPr>
        <w:t>生产经营单位应当保护事故现场；需要移动现场物品时，应当作出标记和书面记录，妥善保管有关证物。生产经营单位不得故意破坏事故现场、毁灭有关证据。</w:t>
      </w:r>
    </w:p>
    <w:p w14:paraId="4BAC398F">
      <w:pPr>
        <w:ind w:firstLine="422"/>
      </w:pPr>
      <w:r>
        <w:rPr>
          <w:rFonts w:hint="eastAsia"/>
          <w:b/>
        </w:rPr>
        <w:t>第七十九条</w:t>
      </w:r>
      <w:r>
        <w:rPr>
          <w:rFonts w:hint="eastAsia"/>
        </w:rPr>
        <w:t>　 发生生产安全事故造成人员伤害需要抢救的，发生事故的生产经营单位应当及时将受伤人员送到医疗机构，并垫付医疗费用。</w:t>
      </w:r>
    </w:p>
    <w:p w14:paraId="121C2FC2">
      <w:pPr>
        <w:ind w:firstLine="422"/>
      </w:pPr>
      <w:r>
        <w:rPr>
          <w:rFonts w:hint="eastAsia"/>
          <w:b/>
        </w:rPr>
        <w:t>第八十条</w:t>
      </w:r>
      <w:r>
        <w:rPr>
          <w:rFonts w:hint="eastAsia"/>
        </w:rPr>
        <w:t>　事故调查处理应当按照实事求是、尊重科学的原则，及时、准确地查清事故原因，查明事故性质和责任，总结事故教训、提出整改措施，并对事故责任者提出处理意见。</w:t>
      </w:r>
    </w:p>
    <w:p w14:paraId="33A829CF">
      <w:r>
        <w:rPr>
          <w:rFonts w:hint="eastAsia"/>
        </w:rPr>
        <w:t>事故调查和处理的具体办法，按照国家和本市有关规定执行。</w:t>
      </w:r>
    </w:p>
    <w:p w14:paraId="57CA277A">
      <w:pPr>
        <w:ind w:firstLine="422"/>
      </w:pPr>
      <w:r>
        <w:rPr>
          <w:rFonts w:hint="eastAsia"/>
          <w:b/>
        </w:rPr>
        <w:t>第八十一条</w:t>
      </w:r>
      <w:r>
        <w:rPr>
          <w:rFonts w:hint="eastAsia"/>
        </w:rPr>
        <w:t>　任何单位和个人不得阻挠和干涉对事故的依法调查、对事故责任的认定及对事故责任人员的处理。</w:t>
      </w:r>
    </w:p>
    <w:p w14:paraId="436969D8">
      <w:pPr>
        <w:ind w:firstLine="422"/>
      </w:pPr>
      <w:r>
        <w:rPr>
          <w:rFonts w:hint="eastAsia"/>
          <w:b/>
        </w:rPr>
        <w:t>第八十二条</w:t>
      </w:r>
      <w:r>
        <w:rPr>
          <w:rFonts w:hint="eastAsia"/>
        </w:rPr>
        <w:t>　市和区、县人民政府有关部门应当定期统计分析本系统生产安全事故情况，并将有关情况报告同级安全生产监督管理部门。</w:t>
      </w:r>
    </w:p>
    <w:p w14:paraId="25A1FBF9"/>
    <w:p w14:paraId="64FB814B">
      <w:pPr>
        <w:ind w:firstLine="0" w:firstLineChars="0"/>
        <w:jc w:val="center"/>
        <w:rPr>
          <w:b/>
          <w:sz w:val="28"/>
        </w:rPr>
      </w:pPr>
      <w:r>
        <w:rPr>
          <w:rFonts w:hint="eastAsia"/>
          <w:b/>
          <w:sz w:val="28"/>
        </w:rPr>
        <w:t>第六章　法律责任</w:t>
      </w:r>
    </w:p>
    <w:p w14:paraId="7C1DF000"/>
    <w:p w14:paraId="09280782">
      <w:pPr>
        <w:ind w:firstLine="422"/>
      </w:pPr>
      <w:r>
        <w:rPr>
          <w:rFonts w:hint="eastAsia"/>
          <w:b/>
        </w:rPr>
        <w:t>第八十三条</w:t>
      </w:r>
      <w:r>
        <w:rPr>
          <w:rFonts w:hint="eastAsia"/>
        </w:rPr>
        <w:t>　法律、法规对违反本条例行为的法律责任有规定的，适用其规定；法律、法规没有规定的，适用本条例的规定。</w:t>
      </w:r>
    </w:p>
    <w:p w14:paraId="2EFB6DB1">
      <w:pPr>
        <w:ind w:firstLine="422"/>
      </w:pPr>
      <w:r>
        <w:rPr>
          <w:rFonts w:hint="eastAsia"/>
          <w:b/>
        </w:rPr>
        <w:t>第八十四条</w:t>
      </w:r>
      <w:r>
        <w:rPr>
          <w:rFonts w:hint="eastAsia"/>
        </w:rPr>
        <w:t>　各级人民政府、安全生产监督管理部门或者政府其他有关部门的工作人员，有下列情形之一的，依法给予行政处分；构成犯罪的，依法追究刑事责任：</w:t>
      </w:r>
    </w:p>
    <w:p w14:paraId="16516A6B">
      <w:r>
        <w:rPr>
          <w:rFonts w:hint="eastAsia"/>
        </w:rPr>
        <w:t>（一）未按照规定的权限、条件和程序作出行政许可决定或者因其他失职、渎职行为，造成重大生产安全事故隐患的；</w:t>
      </w:r>
    </w:p>
    <w:p w14:paraId="7360AF38">
      <w:bookmarkStart w:id="1953" w:name="_Toc428780413"/>
      <w:r>
        <w:rPr>
          <w:rFonts w:hint="eastAsia"/>
        </w:rPr>
        <w:t>（二）未按照规定履行安全生产监督管理责任的；</w:t>
      </w:r>
      <w:bookmarkEnd w:id="1953"/>
    </w:p>
    <w:p w14:paraId="254223A6">
      <w:r>
        <w:rPr>
          <w:rFonts w:hint="eastAsia"/>
        </w:rPr>
        <w:t>（三）发生生产安全事故，未按照规定组织救援或者玩忽职守致使人员伤亡或者财产损失扩大的；</w:t>
      </w:r>
    </w:p>
    <w:p w14:paraId="05279F0D">
      <w:bookmarkStart w:id="1954" w:name="_Toc428780414"/>
      <w:r>
        <w:rPr>
          <w:rFonts w:hint="eastAsia"/>
        </w:rPr>
        <w:t>（四）对生产安全事故隐瞒不报、谎报或者拖延报告的；</w:t>
      </w:r>
      <w:bookmarkEnd w:id="1954"/>
    </w:p>
    <w:p w14:paraId="46D8BAD7">
      <w:r>
        <w:rPr>
          <w:rFonts w:hint="eastAsia"/>
        </w:rPr>
        <w:t>（五）阻挠、干涉生产安全事故调查处理或者生产安全事故责任追究的。</w:t>
      </w:r>
    </w:p>
    <w:p w14:paraId="5C304ABB">
      <w:r>
        <w:rPr>
          <w:rFonts w:hint="eastAsia"/>
        </w:rPr>
        <w:t>特大生产安全事故行政责任的追究，依照国家有关规定执行。</w:t>
      </w:r>
    </w:p>
    <w:p w14:paraId="0A270DE7">
      <w:pPr>
        <w:ind w:firstLine="422"/>
      </w:pPr>
      <w:r>
        <w:rPr>
          <w:rFonts w:hint="eastAsia"/>
          <w:b/>
        </w:rPr>
        <w:t>第八十五条</w:t>
      </w:r>
      <w:r>
        <w:rPr>
          <w:rFonts w:hint="eastAsia"/>
        </w:rPr>
        <w:t>　生产经营单位的主要负责人未履行本条例规定的安全生产管理职责的，责令限期改正；逾期未改正的，责令生产经营单位停产停业整顿。</w:t>
      </w:r>
    </w:p>
    <w:p w14:paraId="789F4498">
      <w:pPr>
        <w:rPr>
          <w:rFonts w:hint="eastAsia" w:ascii="宋体" w:hAnsi="宋体" w:eastAsia="宋体" w:cs="宋体"/>
        </w:rPr>
      </w:pPr>
      <w:r>
        <w:rPr>
          <w:rFonts w:hint="eastAsia"/>
        </w:rPr>
        <w:t>生产经营单位的主要负责人未履行本条例规定的安全生产管理职责，导致发生生产安全事故，构成犯罪的，依法追究刑事责任；尚不够刑事处罚的，给予撤职处分或者处</w:t>
      </w:r>
      <w:r>
        <w:rPr>
          <w:rFonts w:hint="eastAsia" w:ascii="宋体" w:hAnsi="宋体" w:eastAsia="宋体" w:cs="宋体"/>
        </w:rPr>
        <w:t>2</w:t>
      </w:r>
      <w:r>
        <w:rPr>
          <w:rFonts w:hint="eastAsia"/>
        </w:rPr>
        <w:t>万元以</w:t>
      </w:r>
      <w:r>
        <w:rPr>
          <w:rFonts w:hint="eastAsia" w:ascii="宋体" w:hAnsi="宋体" w:eastAsia="宋体" w:cs="宋体"/>
        </w:rPr>
        <w:t>上20万元以下罚款。</w:t>
      </w:r>
    </w:p>
    <w:p w14:paraId="3743A121">
      <w:r>
        <w:rPr>
          <w:rFonts w:hint="eastAsia" w:ascii="宋体" w:hAnsi="宋体" w:eastAsia="宋体" w:cs="宋体"/>
        </w:rPr>
        <w:t>生产经营单位的主要负责人依照前款规定受刑事处罚或者撤职处分的，自刑罚执行完毕或者受处分之日起，5年内不得担任任何生</w:t>
      </w:r>
      <w:r>
        <w:rPr>
          <w:rFonts w:hint="eastAsia"/>
        </w:rPr>
        <w:t>产经营单位的主要负责人。</w:t>
      </w:r>
    </w:p>
    <w:p w14:paraId="62AFE42B">
      <w:pPr>
        <w:ind w:firstLine="422"/>
      </w:pPr>
      <w:r>
        <w:rPr>
          <w:rFonts w:hint="eastAsia"/>
          <w:b/>
        </w:rPr>
        <w:t>第八十六条</w:t>
      </w:r>
      <w:r>
        <w:rPr>
          <w:rFonts w:hint="eastAsia"/>
        </w:rPr>
        <w:t>　生产经营单位有下列行为之一的，责令限期改正；逾期未改正的，责令停产停业整顿，可以并处</w:t>
      </w:r>
      <w:r>
        <w:rPr>
          <w:rFonts w:hint="eastAsia" w:ascii="宋体" w:hAnsi="宋体" w:eastAsia="宋体" w:cs="宋体"/>
        </w:rPr>
        <w:t>2万元以下罚</w:t>
      </w:r>
      <w:r>
        <w:rPr>
          <w:rFonts w:hint="eastAsia"/>
        </w:rPr>
        <w:t>款：</w:t>
      </w:r>
    </w:p>
    <w:p w14:paraId="2F920991">
      <w:r>
        <w:rPr>
          <w:rFonts w:hint="eastAsia"/>
        </w:rPr>
        <w:t>（一）违反第十五条第七项，特种作业人员未按照规定经专门的安全作业培训并取得特种作业操作资格证书上岗作业的；</w:t>
      </w:r>
    </w:p>
    <w:p w14:paraId="263B4916">
      <w:r>
        <w:rPr>
          <w:rFonts w:hint="eastAsia"/>
        </w:rPr>
        <w:t>（二）未按照本条例第二十一条、第二十二条和第二十五条规定对从业人员进行安全生产教育和培训的；</w:t>
      </w:r>
    </w:p>
    <w:p w14:paraId="0866CD6B">
      <w:r>
        <w:rPr>
          <w:rFonts w:hint="eastAsia"/>
        </w:rPr>
        <w:t>（三）未按照本条例第二十六条第一款规定设置安全生产管理机构或者配备专职安全生产管理人员的；</w:t>
      </w:r>
    </w:p>
    <w:p w14:paraId="5764C3C7">
      <w:r>
        <w:rPr>
          <w:rFonts w:hint="eastAsia"/>
        </w:rPr>
        <w:t>（四）未按照本条例第五十九条规定如实记录相关信息的。</w:t>
      </w:r>
    </w:p>
    <w:p w14:paraId="5C4743F6">
      <w:pPr>
        <w:ind w:firstLine="422"/>
      </w:pPr>
      <w:r>
        <w:rPr>
          <w:rFonts w:hint="eastAsia"/>
          <w:b/>
        </w:rPr>
        <w:t>第八十七条</w:t>
      </w:r>
      <w:r>
        <w:rPr>
          <w:rFonts w:hint="eastAsia"/>
        </w:rPr>
        <w:t>　生产经营单位违反本条例第二十八条规定，有下列行为之一的，责令限期改正；逾期未改正的，责令停止建设或者停产停业整顿：</w:t>
      </w:r>
    </w:p>
    <w:p w14:paraId="03629A00">
      <w:bookmarkStart w:id="1955" w:name="_Toc428780415"/>
      <w:r>
        <w:rPr>
          <w:rFonts w:hint="eastAsia"/>
        </w:rPr>
        <w:t>（一）建设项目没有安全设施设计的；</w:t>
      </w:r>
      <w:bookmarkEnd w:id="1955"/>
    </w:p>
    <w:p w14:paraId="19007429">
      <w:r>
        <w:rPr>
          <w:rFonts w:hint="eastAsia"/>
        </w:rPr>
        <w:t>（二）建设项目安全设施未与主体工程同时设计、同时施工、同时投入生产和使用的。</w:t>
      </w:r>
    </w:p>
    <w:p w14:paraId="449B416F">
      <w:pPr>
        <w:ind w:firstLine="422"/>
      </w:pPr>
      <w:r>
        <w:rPr>
          <w:rFonts w:hint="eastAsia"/>
          <w:b/>
        </w:rPr>
        <w:t>第八十八条</w:t>
      </w:r>
      <w:r>
        <w:rPr>
          <w:rFonts w:hint="eastAsia"/>
        </w:rPr>
        <w:t>　生产经营单位违反本条例第三十六条规定，未提供劳动防护用品的，或者未提供符合规定要求的劳动防护用品的，或者以货币形式、其他物品替代的，责令限期改正；逾期未改正的，责令停产停业整顿</w:t>
      </w:r>
      <w:r>
        <w:rPr>
          <w:rFonts w:hint="eastAsia" w:ascii="宋体" w:hAnsi="宋体" w:eastAsia="宋体" w:cs="宋体"/>
        </w:rPr>
        <w:t>，可以并处5万元以下罚款。</w:t>
      </w:r>
    </w:p>
    <w:p w14:paraId="63EF9160">
      <w:pPr>
        <w:ind w:firstLine="422"/>
      </w:pPr>
      <w:r>
        <w:rPr>
          <w:rFonts w:hint="eastAsia"/>
          <w:b/>
        </w:rPr>
        <w:t>第八十九条</w:t>
      </w:r>
      <w:r>
        <w:rPr>
          <w:rFonts w:hint="eastAsia"/>
        </w:rPr>
        <w:t>　生产经营单位违反本条例第三十九条规定，未安排专门人员，落实现场安全管理措施的，责令改正；拒不改正的，责令停产停业整顿，可以并</w:t>
      </w:r>
      <w:r>
        <w:rPr>
          <w:rFonts w:hint="eastAsia" w:ascii="宋体" w:hAnsi="宋体" w:eastAsia="宋体" w:cs="宋体"/>
        </w:rPr>
        <w:t>处2万元以上10万元</w:t>
      </w:r>
      <w:r>
        <w:rPr>
          <w:rFonts w:hint="eastAsia"/>
        </w:rPr>
        <w:t>以下罚款。</w:t>
      </w:r>
    </w:p>
    <w:p w14:paraId="68ED5BA5">
      <w:pPr>
        <w:ind w:firstLine="422"/>
      </w:pPr>
      <w:r>
        <w:rPr>
          <w:rFonts w:hint="eastAsia"/>
          <w:b/>
        </w:rPr>
        <w:t>第九十条</w:t>
      </w:r>
      <w:r>
        <w:rPr>
          <w:rFonts w:hint="eastAsia"/>
        </w:rPr>
        <w:t>　生产经营单位违反本条例第四十条第一款规定，将生产经营项目、场所、设备发包或者出租给不具备安全生</w:t>
      </w:r>
      <w:r>
        <w:rPr>
          <w:rFonts w:hint="eastAsia" w:ascii="宋体" w:hAnsi="宋体" w:eastAsia="宋体" w:cs="宋体"/>
        </w:rPr>
        <w:t>产条件或者相应资质的单位或者个人的，责令限期改正，没收违法所得；违法所得5万元以上的，并处违法所得1倍以上5倍以下的罚款；没有违法所得或者违法所得不足5万元的，单处或者并处1万元以上5万元以下的罚款；导致发生</w:t>
      </w:r>
      <w:r>
        <w:rPr>
          <w:rFonts w:hint="eastAsia"/>
        </w:rPr>
        <w:t>生产安全事故给他人造成损害的，与承包方、承租方承担连带赔偿责任。</w:t>
      </w:r>
    </w:p>
    <w:p w14:paraId="1E1CAF91">
      <w:pPr>
        <w:ind w:firstLine="422"/>
        <w:rPr>
          <w:rFonts w:hint="eastAsia" w:ascii="宋体" w:hAnsi="宋体" w:eastAsia="宋体" w:cs="宋体"/>
        </w:rPr>
      </w:pPr>
      <w:r>
        <w:rPr>
          <w:rFonts w:hint="eastAsia"/>
          <w:b/>
        </w:rPr>
        <w:t>第九十一条</w:t>
      </w:r>
      <w:r>
        <w:rPr>
          <w:rFonts w:hint="eastAsia"/>
        </w:rPr>
        <w:t>　生产经营单位违反本条例第四十一条规定，有下列行为之一的</w:t>
      </w:r>
      <w:r>
        <w:rPr>
          <w:rFonts w:hint="eastAsia" w:ascii="宋体" w:hAnsi="宋体" w:eastAsia="宋体" w:cs="宋体"/>
        </w:rPr>
        <w:t>，处2万元以上20万元以下罚款：</w:t>
      </w:r>
    </w:p>
    <w:p w14:paraId="11A8F56C">
      <w:bookmarkStart w:id="1956" w:name="_Toc428780416"/>
      <w:r>
        <w:rPr>
          <w:rFonts w:hint="eastAsia"/>
        </w:rPr>
        <w:t>（一）向未取得危险化学品经营许可证的经营单位销售危险化学品的；</w:t>
      </w:r>
      <w:bookmarkEnd w:id="1956"/>
    </w:p>
    <w:p w14:paraId="78D87251">
      <w:r>
        <w:rPr>
          <w:rFonts w:hint="eastAsia"/>
        </w:rPr>
        <w:t>（二）从未取得危险化学品生产许可证或者危险化学品经营许可证的单位采购危险化学品的。</w:t>
      </w:r>
    </w:p>
    <w:p w14:paraId="754CAD15">
      <w:pPr>
        <w:ind w:firstLine="422"/>
      </w:pPr>
      <w:r>
        <w:rPr>
          <w:rFonts w:hint="eastAsia"/>
          <w:b/>
        </w:rPr>
        <w:t>第九十二条</w:t>
      </w:r>
      <w:r>
        <w:rPr>
          <w:rFonts w:hint="eastAsia"/>
        </w:rPr>
        <w:t>　生产经营单位违反本条例第四十七条规定，不履行对从业人员告知义务的，责令限期改正；逾期未改正的，依法追究生产经营单位主要负责人的责任。</w:t>
      </w:r>
    </w:p>
    <w:p w14:paraId="133BB9EE">
      <w:pPr>
        <w:ind w:firstLine="422"/>
      </w:pPr>
      <w:r>
        <w:rPr>
          <w:rFonts w:hint="eastAsia"/>
          <w:b/>
        </w:rPr>
        <w:t>第九十三条</w:t>
      </w:r>
      <w:r>
        <w:rPr>
          <w:rFonts w:hint="eastAsia"/>
        </w:rPr>
        <w:t>　生产经营单位违反本条例第五十七条规定，在本市举办重要会议或者重大活动期间，未执行专项安全生产管理措施的，责令限期改正；拒绝执行的，责令停止生产经营活动。</w:t>
      </w:r>
    </w:p>
    <w:p w14:paraId="54E423FC">
      <w:pPr>
        <w:ind w:firstLine="422"/>
        <w:rPr>
          <w:rFonts w:hint="eastAsia" w:ascii="宋体" w:hAnsi="宋体" w:eastAsia="宋体" w:cs="宋体"/>
        </w:rPr>
      </w:pPr>
      <w:r>
        <w:rPr>
          <w:rFonts w:hint="eastAsia"/>
          <w:b/>
        </w:rPr>
        <w:t>第九十四条</w:t>
      </w:r>
      <w:r>
        <w:rPr>
          <w:rFonts w:hint="eastAsia"/>
        </w:rPr>
        <w:t>　矿山、道路交通运输、建筑施工、危险化学品、烟花爆竹等领域的生产经营单位违反本条例第七十条规定，未存缴安全生产风险抵押金或者未参加安全生产责任保险的，责令限期改正，可</w:t>
      </w:r>
      <w:r>
        <w:rPr>
          <w:rFonts w:hint="eastAsia" w:ascii="宋体" w:hAnsi="宋体" w:eastAsia="宋体" w:cs="宋体"/>
        </w:rPr>
        <w:t>以并处1万元以上10万元以下罚款。</w:t>
      </w:r>
    </w:p>
    <w:p w14:paraId="4A60CAA9">
      <w:pPr>
        <w:ind w:firstLine="422"/>
      </w:pPr>
      <w:r>
        <w:rPr>
          <w:rFonts w:hint="eastAsia"/>
          <w:b/>
        </w:rPr>
        <w:t>第九十五条</w:t>
      </w:r>
      <w:r>
        <w:rPr>
          <w:rFonts w:hint="eastAsia"/>
        </w:rPr>
        <w:t>　生产经营单位不具备本条例规定的安全生产条件，经停产停业整顿仍不具备条件的，予以关闭；有关部门应当依法吊销其有关证照。</w:t>
      </w:r>
    </w:p>
    <w:p w14:paraId="06C65E20">
      <w:r>
        <w:rPr>
          <w:rFonts w:hint="eastAsia"/>
        </w:rPr>
        <w:t>歌舞厅、影剧院、体育场（馆）、宾馆、饭店、商（市）场、旅游区（点）、网吧等公众聚集经营场所的生产经营单位不具备本条例规定的安全生产条件的，责令限期改正；逾期未改正的，依照前款规定处理。</w:t>
      </w:r>
    </w:p>
    <w:p w14:paraId="69366DB2">
      <w:pPr>
        <w:ind w:firstLine="422"/>
      </w:pPr>
      <w:r>
        <w:rPr>
          <w:rFonts w:hint="eastAsia"/>
          <w:b/>
        </w:rPr>
        <w:t>第九十六条</w:t>
      </w:r>
      <w:r>
        <w:rPr>
          <w:rFonts w:hint="eastAsia"/>
        </w:rPr>
        <w:t>　生产经营单位违反规定，对生产安全事故情况隐瞒不报、谎报或者拖延报告，导致对发生事故的过错无法查明的，生产安全事故认定为生产经营单位的责任事故。</w:t>
      </w:r>
    </w:p>
    <w:p w14:paraId="3B2C4DC7">
      <w:pPr>
        <w:ind w:firstLine="422"/>
      </w:pPr>
      <w:r>
        <w:rPr>
          <w:rFonts w:hint="eastAsia"/>
          <w:b/>
        </w:rPr>
        <w:t>第九十七条</w:t>
      </w:r>
      <w:r>
        <w:rPr>
          <w:rFonts w:hint="eastAsia"/>
        </w:rPr>
        <w:t>　本条例规定的行政处罚，由安全生产监督管理部门决定；予以关闭的行政处罚由安全生产监督管理部门报请市或者区、县人民政府按照国务院规定的权限决定。</w:t>
      </w:r>
    </w:p>
    <w:p w14:paraId="42C005B2">
      <w:r>
        <w:rPr>
          <w:rFonts w:hint="eastAsia"/>
        </w:rPr>
        <w:t>有关法律、法规对行政处罚的决定机关另有规定的，适用其规定。</w:t>
      </w:r>
    </w:p>
    <w:p w14:paraId="7D2D42EE"/>
    <w:p w14:paraId="73C9255A">
      <w:pPr>
        <w:ind w:firstLine="0" w:firstLineChars="0"/>
        <w:jc w:val="center"/>
        <w:rPr>
          <w:b/>
          <w:sz w:val="28"/>
        </w:rPr>
      </w:pPr>
      <w:r>
        <w:rPr>
          <w:rFonts w:hint="eastAsia"/>
          <w:b/>
          <w:sz w:val="28"/>
        </w:rPr>
        <w:t>第七章　附　则</w:t>
      </w:r>
    </w:p>
    <w:p w14:paraId="23650604"/>
    <w:p w14:paraId="122B9F1F">
      <w:pPr>
        <w:ind w:firstLine="422"/>
      </w:pPr>
      <w:r>
        <w:rPr>
          <w:rFonts w:hint="eastAsia"/>
          <w:b/>
        </w:rPr>
        <w:t>第九十八条</w:t>
      </w:r>
      <w:r>
        <w:rPr>
          <w:rFonts w:hint="eastAsia"/>
        </w:rPr>
        <w:t>　本条</w:t>
      </w:r>
      <w:r>
        <w:rPr>
          <w:rFonts w:hint="eastAsia" w:ascii="宋体" w:hAnsi="宋体" w:eastAsia="宋体" w:cs="宋体"/>
        </w:rPr>
        <w:t>例自2011年9月1日起施行</w:t>
      </w:r>
      <w:r>
        <w:rPr>
          <w:rFonts w:hint="eastAsia"/>
        </w:rPr>
        <w:t>。</w:t>
      </w:r>
    </w:p>
    <w:p w14:paraId="4A309D7D"/>
    <w:p w14:paraId="0DE66CB5">
      <w:pPr>
        <w:pStyle w:val="4"/>
        <w:pageBreakBefore/>
      </w:pPr>
      <w:bookmarkStart w:id="1957" w:name="_Toc426467025"/>
      <w:bookmarkStart w:id="1958" w:name="_Toc428781773"/>
      <w:bookmarkStart w:id="1959" w:name="_Toc428780417"/>
      <w:r>
        <w:rPr>
          <w:rFonts w:hint="eastAsia"/>
        </w:rPr>
        <w:t>北京市安装使用电网安全管理规定</w:t>
      </w:r>
      <w:bookmarkEnd w:id="1957"/>
      <w:bookmarkEnd w:id="1958"/>
      <w:bookmarkEnd w:id="1959"/>
    </w:p>
    <w:p w14:paraId="7F4B50EA">
      <w:pPr>
        <w:ind w:left="630" w:leftChars="300" w:right="630" w:rightChars="300"/>
        <w:rPr>
          <w:rFonts w:ascii="楷体" w:hAnsi="楷体" w:eastAsia="楷体"/>
        </w:rPr>
      </w:pPr>
      <w:r>
        <w:rPr>
          <w:rFonts w:hint="eastAsia" w:ascii="楷体" w:hAnsi="楷体" w:eastAsia="楷体"/>
        </w:rPr>
        <w:t>（1987年10月20日北京市人民政府京政办发151号文件发布　根据2010年11月27日北京市人民政府第226号令修改）</w:t>
      </w:r>
    </w:p>
    <w:p w14:paraId="18DFF3E3"/>
    <w:p w14:paraId="6E296A85">
      <w:r>
        <w:rPr>
          <w:rFonts w:hint="eastAsia"/>
        </w:rPr>
        <w:t>为保障国家财产和人民群众的安全，防止误触电网事故的发生，依据国家和本市有关规定，制定本规定。</w:t>
      </w:r>
    </w:p>
    <w:p w14:paraId="73D72682">
      <w:pPr>
        <w:ind w:firstLine="422"/>
      </w:pPr>
      <w:r>
        <w:rPr>
          <w:rFonts w:hint="eastAsia"/>
          <w:b/>
        </w:rPr>
        <w:t>一、</w:t>
      </w:r>
      <w:r>
        <w:rPr>
          <w:rFonts w:hint="eastAsia"/>
        </w:rPr>
        <w:t>凡本市行政区域内的机关、部队、企业事业单位（以下统称单位）安装使用电网，均按本规定管理。</w:t>
      </w:r>
    </w:p>
    <w:p w14:paraId="1E0E4D7B">
      <w:pPr>
        <w:ind w:firstLine="422"/>
      </w:pPr>
      <w:r>
        <w:rPr>
          <w:rFonts w:hint="eastAsia"/>
          <w:b/>
        </w:rPr>
        <w:t>二、</w:t>
      </w:r>
      <w:r>
        <w:rPr>
          <w:rFonts w:hint="eastAsia"/>
        </w:rPr>
        <w:t>确因安全保卫工作的特殊要求，需安装使用电网的单位，必须经所在地公安分、县局审核批准，向供电部门申请安装。</w:t>
      </w:r>
    </w:p>
    <w:p w14:paraId="142F2D56">
      <w:r>
        <w:rPr>
          <w:rFonts w:hint="eastAsia"/>
        </w:rPr>
        <w:t>禁止个人安装使用电网。</w:t>
      </w:r>
    </w:p>
    <w:p w14:paraId="22A0F5F4">
      <w:pPr>
        <w:ind w:firstLine="422"/>
      </w:pPr>
      <w:r>
        <w:rPr>
          <w:rFonts w:hint="eastAsia"/>
          <w:b/>
        </w:rPr>
        <w:t>三、</w:t>
      </w:r>
      <w:r>
        <w:rPr>
          <w:rFonts w:hint="eastAsia"/>
        </w:rPr>
        <w:t>经批准安装电网的单位，必须严格按批准的范围安装电网。电网安装完毕，须经原批准的公安机关安全检查合格后，方准使用。</w:t>
      </w:r>
    </w:p>
    <w:p w14:paraId="7E7E57C3">
      <w:r>
        <w:rPr>
          <w:rFonts w:hint="eastAsia"/>
        </w:rPr>
        <w:t>电网安装使用后需要扩充、缩减、改装或拆除的，须报请原批准机关批准。</w:t>
      </w:r>
    </w:p>
    <w:p w14:paraId="68E2367D">
      <w:pPr>
        <w:ind w:firstLine="422"/>
      </w:pPr>
      <w:r>
        <w:rPr>
          <w:rFonts w:hint="eastAsia"/>
          <w:b/>
        </w:rPr>
        <w:t>四、</w:t>
      </w:r>
      <w:r>
        <w:rPr>
          <w:rFonts w:hint="eastAsia"/>
        </w:rPr>
        <w:t>安装使用电网必须遵守下列安全管理规定：</w:t>
      </w:r>
    </w:p>
    <w:p w14:paraId="00D78237">
      <w:r>
        <w:rPr>
          <w:rFonts w:hint="eastAsia"/>
        </w:rPr>
        <w:t>（一）在电网明显处设置警告牌和红色警示灯。</w:t>
      </w:r>
    </w:p>
    <w:p w14:paraId="574547AF">
      <w:r>
        <w:rPr>
          <w:rFonts w:hint="eastAsia"/>
        </w:rPr>
        <w:t>（二）在地面电网内、外设置刺丝网。</w:t>
      </w:r>
    </w:p>
    <w:p w14:paraId="0A5A17A1">
      <w:r>
        <w:rPr>
          <w:rFonts w:hint="eastAsia"/>
        </w:rPr>
        <w:t>（三）电源控制室须设报警装置，电源开关设专门保护装置，并有专人监视。</w:t>
      </w:r>
    </w:p>
    <w:p w14:paraId="7B2B2FB5">
      <w:pPr>
        <w:rPr>
          <w:rFonts w:hint="eastAsia" w:ascii="宋体" w:hAnsi="宋体" w:eastAsia="宋体" w:cs="宋体"/>
        </w:rPr>
      </w:pPr>
      <w:r>
        <w:rPr>
          <w:rFonts w:hint="eastAsia"/>
        </w:rPr>
        <w:t>（四）低压电网电压</w:t>
      </w:r>
      <w:r>
        <w:rPr>
          <w:rFonts w:hint="eastAsia" w:ascii="宋体" w:hAnsi="宋体" w:eastAsia="宋体" w:cs="宋体"/>
        </w:rPr>
        <w:t>不超过250伏，高压电网电压不超过3000伏。</w:t>
      </w:r>
    </w:p>
    <w:p w14:paraId="5692BBF0">
      <w:r>
        <w:rPr>
          <w:rFonts w:hint="eastAsia"/>
        </w:rPr>
        <w:t>（五）按规定的时间送电运行。</w:t>
      </w:r>
    </w:p>
    <w:p w14:paraId="3F205283">
      <w:r>
        <w:rPr>
          <w:rFonts w:hint="eastAsia"/>
        </w:rPr>
        <w:t>（六）禁止用电网捕鱼、狩猎、捕鼠、灭害等。</w:t>
      </w:r>
    </w:p>
    <w:p w14:paraId="5DA6BC6D">
      <w:pPr>
        <w:ind w:firstLine="422"/>
      </w:pPr>
      <w:r>
        <w:rPr>
          <w:rFonts w:hint="eastAsia"/>
          <w:b/>
        </w:rPr>
        <w:t>五、</w:t>
      </w:r>
      <w:r>
        <w:rPr>
          <w:rFonts w:hint="eastAsia"/>
        </w:rPr>
        <w:t>安装使用电网的单位必须做好以下工作：</w:t>
      </w:r>
    </w:p>
    <w:p w14:paraId="7CA521D4">
      <w:r>
        <w:rPr>
          <w:rFonts w:hint="eastAsia"/>
        </w:rPr>
        <w:t>（一）安装电网前后，主动报告当地街道办事处、乡镇政府以及政府有关部门并通知附近居民委员会、村民委员会。</w:t>
      </w:r>
    </w:p>
    <w:p w14:paraId="1661696E">
      <w:r>
        <w:rPr>
          <w:rFonts w:hint="eastAsia"/>
        </w:rPr>
        <w:t>（二）向附近群众宣传防止误触电网的安全知识。</w:t>
      </w:r>
    </w:p>
    <w:p w14:paraId="6EE6A1AC">
      <w:r>
        <w:rPr>
          <w:rFonts w:hint="eastAsia"/>
        </w:rPr>
        <w:t>（三）经常对电网进行检查，及时排除不安全的隐患。</w:t>
      </w:r>
    </w:p>
    <w:p w14:paraId="70BC8E63">
      <w:r>
        <w:rPr>
          <w:rFonts w:hint="eastAsia"/>
        </w:rPr>
        <w:t>（四）制定安全措施，并设专人管理。</w:t>
      </w:r>
    </w:p>
    <w:p w14:paraId="42F31652">
      <w:pPr>
        <w:ind w:firstLine="422"/>
      </w:pPr>
      <w:r>
        <w:rPr>
          <w:rFonts w:hint="eastAsia"/>
          <w:b/>
        </w:rPr>
        <w:t>六、</w:t>
      </w:r>
      <w:r>
        <w:rPr>
          <w:rFonts w:hint="eastAsia"/>
        </w:rPr>
        <w:t>违反本规定，私自安装使用电网，或安装使用电网不符合安全规定，或管理不善的，由公安机关责令停止使用或拆除其电网，并对单位负责人或直接责任人按《中华人民共和国治安管理处罚法》给予处罚。</w:t>
      </w:r>
    </w:p>
    <w:p w14:paraId="24AC5747">
      <w:pPr>
        <w:ind w:firstLine="422"/>
        <w:rPr>
          <w:rFonts w:hint="eastAsia" w:ascii="宋体" w:hAnsi="宋体" w:eastAsia="宋体" w:cs="宋体"/>
        </w:rPr>
      </w:pPr>
      <w:r>
        <w:rPr>
          <w:rFonts w:hint="eastAsia"/>
          <w:b/>
        </w:rPr>
        <w:t>七、</w:t>
      </w:r>
      <w:r>
        <w:rPr>
          <w:rFonts w:hint="eastAsia"/>
        </w:rPr>
        <w:t>本规定经市人民政府批</w:t>
      </w:r>
      <w:r>
        <w:rPr>
          <w:rFonts w:hint="eastAsia" w:ascii="宋体" w:hAnsi="宋体" w:eastAsia="宋体" w:cs="宋体"/>
        </w:rPr>
        <w:t>准，自1987年11月1日起施行。</w:t>
      </w:r>
    </w:p>
    <w:p w14:paraId="6AD40B68"/>
    <w:p w14:paraId="698EBB99">
      <w:pPr>
        <w:pStyle w:val="4"/>
        <w:pageBreakBefore/>
      </w:pPr>
      <w:bookmarkStart w:id="1960" w:name="_Toc428780418"/>
      <w:bookmarkStart w:id="1961" w:name="_Toc428781774"/>
      <w:bookmarkStart w:id="1962" w:name="_Toc426467026"/>
      <w:r>
        <w:rPr>
          <w:rFonts w:hint="eastAsia"/>
        </w:rPr>
        <w:t>北京市防止非正常死亡事故目标管理办法</w:t>
      </w:r>
      <w:bookmarkEnd w:id="1960"/>
      <w:bookmarkEnd w:id="1961"/>
      <w:bookmarkEnd w:id="1962"/>
    </w:p>
    <w:p w14:paraId="31430DF8">
      <w:pPr>
        <w:ind w:left="630" w:leftChars="300" w:right="630" w:rightChars="300"/>
        <w:jc w:val="center"/>
        <w:rPr>
          <w:rFonts w:ascii="楷体" w:hAnsi="楷体" w:eastAsia="楷体"/>
        </w:rPr>
      </w:pPr>
      <w:r>
        <w:rPr>
          <w:rFonts w:hint="eastAsia" w:ascii="楷体" w:hAnsi="楷体" w:eastAsia="楷体"/>
        </w:rPr>
        <w:t>（1990年8月1日北京市人民政府第25号令公布）</w:t>
      </w:r>
    </w:p>
    <w:p w14:paraId="677BA96D"/>
    <w:p w14:paraId="0228060D">
      <w:pPr>
        <w:ind w:firstLine="422"/>
      </w:pPr>
      <w:r>
        <w:rPr>
          <w:rFonts w:hint="eastAsia"/>
          <w:b/>
        </w:rPr>
        <w:t>第一条</w:t>
      </w:r>
      <w:r>
        <w:rPr>
          <w:rFonts w:hint="eastAsia"/>
        </w:rPr>
        <w:t xml:space="preserve">  为预防和减少非正常死亡事故，保障人民生命安全，根据本市实际情况，制定本办法。</w:t>
      </w:r>
    </w:p>
    <w:p w14:paraId="174B7195">
      <w:pPr>
        <w:ind w:firstLine="422"/>
      </w:pPr>
      <w:r>
        <w:rPr>
          <w:rFonts w:hint="eastAsia"/>
          <w:b/>
        </w:rPr>
        <w:t>第二条</w:t>
      </w:r>
      <w:r>
        <w:rPr>
          <w:rFonts w:hint="eastAsia"/>
        </w:rPr>
        <w:t xml:space="preserve">  本市行政区域内防止交通肇事、因工、火灾、游泳溺水、煤气中毒、食物中毒造成的非正常死亡（以下统称非正常死亡）事故，必须依照本办法实行目标管理。</w:t>
      </w:r>
    </w:p>
    <w:p w14:paraId="1136F5EB">
      <w:pPr>
        <w:ind w:firstLine="422"/>
      </w:pPr>
      <w:r>
        <w:rPr>
          <w:rFonts w:hint="eastAsia"/>
          <w:b/>
        </w:rPr>
        <w:t>第三条</w:t>
      </w:r>
      <w:r>
        <w:rPr>
          <w:rFonts w:hint="eastAsia"/>
        </w:rPr>
        <w:t xml:space="preserve">  防止非正常死亡事故目标管理，实行行政首长负责制，并分别由以下部门归口管理：</w:t>
      </w:r>
    </w:p>
    <w:p w14:paraId="31A2E7FD">
      <w:r>
        <w:rPr>
          <w:rFonts w:hint="eastAsia"/>
        </w:rPr>
        <w:t>（一）防止交通肇事死亡事故，由市公安交通管理局归口管理。</w:t>
      </w:r>
    </w:p>
    <w:p w14:paraId="6B1C5B27">
      <w:r>
        <w:rPr>
          <w:rFonts w:hint="eastAsia"/>
        </w:rPr>
        <w:t>（二）防止因工死亡事故，由市劳动局归口管理。</w:t>
      </w:r>
    </w:p>
    <w:p w14:paraId="0D0CA239">
      <w:r>
        <w:rPr>
          <w:rFonts w:hint="eastAsia"/>
        </w:rPr>
        <w:t>（三）防止火灾死亡事故，由市消防局归口管理；防止山林火灾死亡事故，由市林业局归口管理。</w:t>
      </w:r>
    </w:p>
    <w:p w14:paraId="21217949">
      <w:r>
        <w:rPr>
          <w:rFonts w:hint="eastAsia"/>
        </w:rPr>
        <w:t>（四）防止游泳溺水死亡事故，由市体育运动委员会归口管理。</w:t>
      </w:r>
    </w:p>
    <w:p w14:paraId="69755F89">
      <w:r>
        <w:rPr>
          <w:rFonts w:hint="eastAsia"/>
        </w:rPr>
        <w:t>（五）防止煤气中毒死亡事故，由市公安局归口管理。</w:t>
      </w:r>
    </w:p>
    <w:p w14:paraId="02E5EC71">
      <w:r>
        <w:rPr>
          <w:rFonts w:hint="eastAsia"/>
        </w:rPr>
        <w:t>（六）防止食物中毒死亡事故，由市卫生局归口管理。</w:t>
      </w:r>
    </w:p>
    <w:p w14:paraId="4A1CE71F">
      <w:pPr>
        <w:ind w:firstLine="422"/>
      </w:pPr>
      <w:r>
        <w:rPr>
          <w:rFonts w:hint="eastAsia"/>
          <w:b/>
        </w:rPr>
        <w:t>第四条</w:t>
      </w:r>
      <w:r>
        <w:rPr>
          <w:rFonts w:hint="eastAsia"/>
        </w:rPr>
        <w:t xml:space="preserve">  市长或常务副市长每年年初与各归口管理部门的行政首长签订目标管理责任书，将本年度全市非正常死亡人数控制指标下达到各归口管理部门。</w:t>
      </w:r>
    </w:p>
    <w:p w14:paraId="4FFCE11E">
      <w:pPr>
        <w:ind w:firstLine="422"/>
      </w:pPr>
      <w:r>
        <w:rPr>
          <w:rFonts w:hint="eastAsia"/>
          <w:b/>
        </w:rPr>
        <w:t>第五条</w:t>
      </w:r>
      <w:r>
        <w:rPr>
          <w:rFonts w:hint="eastAsia"/>
        </w:rPr>
        <w:t xml:space="preserve">  各归口管理部门的行政首长</w:t>
      </w:r>
      <w:r>
        <w:rPr>
          <w:rFonts w:hint="eastAsia" w:ascii="宋体" w:hAnsi="宋体" w:eastAsia="宋体" w:cs="宋体"/>
        </w:rPr>
        <w:t>每年1月底以前，</w:t>
      </w:r>
      <w:r>
        <w:rPr>
          <w:rFonts w:hint="eastAsia"/>
        </w:rPr>
        <w:t>代表市人民政府与各区县人民政府、市政府有关委、办、局、总公司的行政首长签订目标管理责任书，将归口管理的本年度非正常死亡人数控制指标分解下达到各区县人民政府，市人民政府有关委、办、局、总公司。</w:t>
      </w:r>
    </w:p>
    <w:p w14:paraId="754AB4EB">
      <w:pPr>
        <w:ind w:firstLine="422"/>
      </w:pPr>
      <w:r>
        <w:rPr>
          <w:rFonts w:hint="eastAsia"/>
          <w:b/>
        </w:rPr>
        <w:t>第六条</w:t>
      </w:r>
      <w:r>
        <w:rPr>
          <w:rFonts w:hint="eastAsia"/>
        </w:rPr>
        <w:t xml:space="preserve">  各归口管理部门、各区县人民政府、市人民政府有关委、办、局、总公司，必须建立健全安全责任制，采取有效措施，预防和减少非正常死亡事故，确保非正常死亡人数不超过控制指标。</w:t>
      </w:r>
    </w:p>
    <w:p w14:paraId="017E8970">
      <w:pPr>
        <w:ind w:firstLine="422"/>
      </w:pPr>
      <w:r>
        <w:rPr>
          <w:rFonts w:hint="eastAsia"/>
          <w:b/>
        </w:rPr>
        <w:t>第七条</w:t>
      </w:r>
      <w:r>
        <w:rPr>
          <w:rFonts w:hint="eastAsia"/>
        </w:rPr>
        <w:t xml:space="preserve">  各归口管理部门应于每</w:t>
      </w:r>
      <w:r>
        <w:rPr>
          <w:rFonts w:hint="eastAsia" w:ascii="宋体" w:hAnsi="宋体" w:eastAsia="宋体" w:cs="宋体"/>
        </w:rPr>
        <w:t>月10日前，将上月本部门归口管理的非正常死亡人数</w:t>
      </w:r>
      <w:r>
        <w:rPr>
          <w:rFonts w:hint="eastAsia"/>
        </w:rPr>
        <w:t>报告市劳动局，由市劳动局汇总报告市人民政府。</w:t>
      </w:r>
    </w:p>
    <w:p w14:paraId="3842CA87">
      <w:pPr>
        <w:ind w:firstLine="422"/>
      </w:pPr>
      <w:r>
        <w:rPr>
          <w:rFonts w:hint="eastAsia"/>
          <w:b/>
        </w:rPr>
        <w:t>第八条</w:t>
      </w:r>
      <w:r>
        <w:rPr>
          <w:rFonts w:hint="eastAsia"/>
        </w:rPr>
        <w:t xml:space="preserve">  对非正常死亡人数超过控制指标的归口管理部门、区县人民政府、市人民政府有关委、办、局、总公司，按照目标管理责任书的规定追究其行政首长的责任。对弄虚作假、瞒报事故的，视情节轻重，给以行政处分。</w:t>
      </w:r>
    </w:p>
    <w:p w14:paraId="40DCB545">
      <w:pPr>
        <w:ind w:firstLine="422"/>
      </w:pPr>
      <w:r>
        <w:rPr>
          <w:rFonts w:hint="eastAsia"/>
          <w:b/>
        </w:rPr>
        <w:t>第九条</w:t>
      </w:r>
      <w:r>
        <w:rPr>
          <w:rFonts w:hint="eastAsia"/>
        </w:rPr>
        <w:t xml:space="preserve">  本办法由市人民政府负责解释，执行中的具体问题分别由各归口管理部门负责解释。</w:t>
      </w:r>
    </w:p>
    <w:p w14:paraId="05944D00">
      <w:pPr>
        <w:ind w:firstLine="422"/>
      </w:pPr>
      <w:r>
        <w:rPr>
          <w:rFonts w:hint="eastAsia"/>
          <w:b/>
        </w:rPr>
        <w:t>第十条</w:t>
      </w:r>
      <w:r>
        <w:rPr>
          <w:rFonts w:hint="eastAsia"/>
        </w:rPr>
        <w:t>本办法</w:t>
      </w:r>
      <w:r>
        <w:rPr>
          <w:rFonts w:hint="eastAsia" w:ascii="宋体" w:hAnsi="宋体" w:eastAsia="宋体" w:cs="宋体"/>
        </w:rPr>
        <w:t>自1990年8月1日起施</w:t>
      </w:r>
      <w:r>
        <w:rPr>
          <w:rFonts w:hint="eastAsia"/>
        </w:rPr>
        <w:t>行。</w:t>
      </w:r>
    </w:p>
    <w:p w14:paraId="71D6467C"/>
    <w:p w14:paraId="5332D4C8">
      <w:pPr>
        <w:pStyle w:val="4"/>
        <w:pageBreakBefore/>
      </w:pPr>
      <w:bookmarkStart w:id="1963" w:name="_Toc426467027"/>
      <w:bookmarkStart w:id="1964" w:name="_Toc428780419"/>
      <w:bookmarkStart w:id="1965" w:name="_Toc428781775"/>
      <w:r>
        <w:rPr>
          <w:rFonts w:hint="eastAsia"/>
        </w:rPr>
        <w:t>北京市关于重大安全事故行政责任追究的规定</w:t>
      </w:r>
      <w:bookmarkEnd w:id="1963"/>
      <w:bookmarkEnd w:id="1964"/>
      <w:bookmarkEnd w:id="1965"/>
    </w:p>
    <w:p w14:paraId="5076EDE4">
      <w:pPr>
        <w:ind w:left="630" w:leftChars="300" w:right="630" w:rightChars="300"/>
        <w:rPr>
          <w:rFonts w:ascii="楷体" w:hAnsi="楷体" w:eastAsia="楷体"/>
        </w:rPr>
      </w:pPr>
      <w:r>
        <w:rPr>
          <w:rFonts w:hint="eastAsia" w:ascii="楷体" w:hAnsi="楷体" w:eastAsia="楷体"/>
        </w:rPr>
        <w:t>（2001年5月22日北京市人民政府第35次常务会议通过  2001年6月3日北京市人民政府第76号令发布）</w:t>
      </w:r>
    </w:p>
    <w:p w14:paraId="6368B817"/>
    <w:p w14:paraId="67DEDBD2">
      <w:pPr>
        <w:ind w:firstLine="422"/>
      </w:pPr>
      <w:r>
        <w:rPr>
          <w:rFonts w:hint="eastAsia"/>
          <w:b/>
        </w:rPr>
        <w:t>第一条</w:t>
      </w:r>
      <w:r>
        <w:rPr>
          <w:rFonts w:hint="eastAsia"/>
        </w:rPr>
        <w:t xml:space="preserve">  为了有效地防范重大安全事故的发生，严肃追究重大安全事故的行政责任，切实保障人民群众生命、财产安全，维护首都社会稳定，依据《国务院关于特大安全事故行政责任追究的规定》，结合本市实际情况，制定本规定。</w:t>
      </w:r>
    </w:p>
    <w:p w14:paraId="5D322A2E">
      <w:pPr>
        <w:ind w:firstLine="422"/>
      </w:pPr>
      <w:r>
        <w:rPr>
          <w:rFonts w:hint="eastAsia"/>
          <w:b/>
        </w:rPr>
        <w:t>第二条</w:t>
      </w:r>
      <w:r>
        <w:rPr>
          <w:rFonts w:hint="eastAsia"/>
        </w:rPr>
        <w:t xml:space="preserve">  对违反本规定的责任者，按照干部管理权限，由各级人民政府或者有关部门给予行政处分。监察机关依照行政监察法的规定，对各级人民政府和政府有关部门及其工作人员履行安全监督管理职责实施监察。</w:t>
      </w:r>
    </w:p>
    <w:p w14:paraId="425CE5C2">
      <w:pPr>
        <w:ind w:firstLine="422"/>
      </w:pPr>
      <w:r>
        <w:rPr>
          <w:rFonts w:hint="eastAsia"/>
          <w:b/>
        </w:rPr>
        <w:t>第三条</w:t>
      </w:r>
      <w:r>
        <w:rPr>
          <w:rFonts w:hint="eastAsia"/>
        </w:rPr>
        <w:t xml:space="preserve">  区、县和乡、镇人民政府以及街道办事处（以下简称政府）主要领导人、市和区、县人民政府有关部门（以下简称政府部门）正职负责人对下列重大安全事故的防范、发生，依照法律、法规和本规定的规定有失职、渎职情形或者负有领导责任的，依照本规定给予行政处分；构成玩忽职守罪或者其他罪的，依法追究刑事责任：</w:t>
      </w:r>
    </w:p>
    <w:p w14:paraId="38499598">
      <w:r>
        <w:rPr>
          <w:rFonts w:hint="eastAsia"/>
        </w:rPr>
        <w:t>（一）重大火灾事故；</w:t>
      </w:r>
    </w:p>
    <w:p w14:paraId="4B2105E0">
      <w:r>
        <w:rPr>
          <w:rFonts w:hint="eastAsia"/>
        </w:rPr>
        <w:t>（二）重大交通安全事故；</w:t>
      </w:r>
    </w:p>
    <w:p w14:paraId="0133351D">
      <w:r>
        <w:rPr>
          <w:rFonts w:hint="eastAsia"/>
        </w:rPr>
        <w:t>（三）重大建筑质量安全事故；</w:t>
      </w:r>
    </w:p>
    <w:p w14:paraId="7E005A31">
      <w:r>
        <w:rPr>
          <w:rFonts w:hint="eastAsia"/>
        </w:rPr>
        <w:t>（四）民用爆炸物品和化学危险品重大安全事故；</w:t>
      </w:r>
    </w:p>
    <w:p w14:paraId="1F7149E1">
      <w:r>
        <w:rPr>
          <w:rFonts w:hint="eastAsia"/>
        </w:rPr>
        <w:t>（五）矿山重大安全事故；</w:t>
      </w:r>
    </w:p>
    <w:p w14:paraId="6EFA4E6D">
      <w:r>
        <w:rPr>
          <w:rFonts w:hint="eastAsia"/>
        </w:rPr>
        <w:t>（六）锅炉、压力容器、压力管道和特种设备重大安全事故；</w:t>
      </w:r>
    </w:p>
    <w:p w14:paraId="326B4111">
      <w:r>
        <w:rPr>
          <w:rFonts w:hint="eastAsia"/>
        </w:rPr>
        <w:t>（七）其他重大安全事故。</w:t>
      </w:r>
    </w:p>
    <w:p w14:paraId="19E77245">
      <w:r>
        <w:rPr>
          <w:rFonts w:hint="eastAsia"/>
        </w:rPr>
        <w:t>政府或者政府部门对重大安全事故的防范、发生直接负责的主管人员和其他直接责任人员，比照本规定给予行政处分；构成玩忽职守罪或者其他罪的，依法追究刑事责任。</w:t>
      </w:r>
    </w:p>
    <w:p w14:paraId="1D8FCE30">
      <w:pPr>
        <w:ind w:firstLine="422"/>
      </w:pPr>
      <w:r>
        <w:rPr>
          <w:rFonts w:hint="eastAsia"/>
          <w:b/>
        </w:rPr>
        <w:t>第四条</w:t>
      </w:r>
      <w:r>
        <w:rPr>
          <w:rFonts w:hint="eastAsia"/>
        </w:rPr>
        <w:t xml:space="preserve">  重大安全事故的具体标准，按照国家和本市有关规定执行。</w:t>
      </w:r>
    </w:p>
    <w:p w14:paraId="4D6859D2">
      <w:pPr>
        <w:ind w:firstLine="422"/>
      </w:pPr>
      <w:r>
        <w:rPr>
          <w:rFonts w:hint="eastAsia"/>
          <w:b/>
        </w:rPr>
        <w:t>第五条</w:t>
      </w:r>
      <w:r>
        <w:rPr>
          <w:rFonts w:hint="eastAsia"/>
        </w:rPr>
        <w:t xml:space="preserve">  政府应当依照有关法律、法规和规章的规定，履行下列职责：</w:t>
      </w:r>
    </w:p>
    <w:p w14:paraId="447CED88">
      <w:r>
        <w:rPr>
          <w:rFonts w:hint="eastAsia"/>
        </w:rPr>
        <w:t>（一）每季度至少召开一次防范重大安全事故的工作会议，由主要领导人或者政府主要领导人委托政府分管领导人召集有关部门正职负责人参加，分析、布置、督促、检查本地区防范重大安全事故的工作。会议应当作出决定并形成纪要，会议确定的各项防范措施，应当由专人负责，认真落实；</w:t>
      </w:r>
    </w:p>
    <w:p w14:paraId="69FD6C5D">
      <w:r>
        <w:rPr>
          <w:rFonts w:hint="eastAsia"/>
        </w:rPr>
        <w:t>（二）实行安全目标管理责任制，明确各级领导和有关人员的安全责任，并作为考核有关领导政绩的重要依据；</w:t>
      </w:r>
    </w:p>
    <w:p w14:paraId="7A432E22">
      <w:r>
        <w:rPr>
          <w:rFonts w:hint="eastAsia"/>
        </w:rPr>
        <w:t>（三）组织有关部门按照各自的职责，对本地区容易发生重大事故的单位、场所和设备、设施，进行严格管理和重点检查；</w:t>
      </w:r>
    </w:p>
    <w:p w14:paraId="5E583EDD">
      <w:r>
        <w:rPr>
          <w:rFonts w:hint="eastAsia"/>
        </w:rPr>
        <w:t>（四）制定本地区重大安全事故应急处理预案，应急处理预案经主要领导人签署后，报上一级政府备案；</w:t>
      </w:r>
    </w:p>
    <w:p w14:paraId="6C8EB242">
      <w:r>
        <w:rPr>
          <w:rFonts w:hint="eastAsia"/>
        </w:rPr>
        <w:t>（五）组织有关部门对本规定第三条所列各类重大安全事故的隐患进行查处；发现重大安全事故隐患的，责令立即排除；重大安全事故隐患排除前或者排除过程中，无法保证安全的，可以责令暂时停产、停业或者停止使用，并向上一级政府报告。法律、行政法规对查处机关另有规定的，依照其规定；</w:t>
      </w:r>
    </w:p>
    <w:p w14:paraId="494AF46F">
      <w:r>
        <w:rPr>
          <w:rFonts w:hint="eastAsia"/>
        </w:rPr>
        <w:t>（六）重大安全事故发生后，有关负责人应当立即赶赴现场组织抢救和善后处理工作，并迅速向上一级政府报告。各级政府应当按照国家有关规定组织调查处理事故，必要时市政府可以对重大安全事故的有关责任人员作出处理决定。</w:t>
      </w:r>
    </w:p>
    <w:p w14:paraId="7CCBDF45">
      <w:pPr>
        <w:ind w:firstLine="422"/>
      </w:pPr>
      <w:r>
        <w:rPr>
          <w:rFonts w:hint="eastAsia"/>
          <w:b/>
        </w:rPr>
        <w:t>第六条</w:t>
      </w:r>
      <w:r>
        <w:rPr>
          <w:rFonts w:hint="eastAsia"/>
        </w:rPr>
        <w:t xml:space="preserve">  政府部门在职责范围内，应当依照法律、法规和规章的规定，加强安全监督管理，防范重大安全事故的发生，并履行下列职责：</w:t>
      </w:r>
    </w:p>
    <w:p w14:paraId="2BB4874F">
      <w:r>
        <w:rPr>
          <w:rFonts w:hint="eastAsia"/>
        </w:rPr>
        <w:t>（一）宣传、贯彻安全生产的政策、法规，研究、部署防范重大安全事故的工作，定期组织安全检查；</w:t>
      </w:r>
    </w:p>
    <w:p w14:paraId="1A59A5A0">
      <w:r>
        <w:rPr>
          <w:rFonts w:hint="eastAsia"/>
        </w:rPr>
        <w:t>（二）及时采取措施消除重大安全事故隐患，超出其职责范围的，应当立即向同级政府报告；情况紧急的，可以依法立即采取包括责令暂时停产或者停业在内的紧急措施，同时向同级政府报告；</w:t>
      </w:r>
    </w:p>
    <w:p w14:paraId="247ED96B">
      <w:r>
        <w:rPr>
          <w:rFonts w:hint="eastAsia"/>
        </w:rPr>
        <w:t>（三）必须严格依照法律、法规和规章规定的安全条件和程序，对涉及安全生产事项进行行政审批（包括审批、审核、核准、备案），对取得批准的单位和个人实施监督检查，发现不再具备安全条件的，应当按规定撤销原批准；发现未依法取得批准而擅自从事有关活动的，应当立即予以取缔，并依法给予行政处罚；</w:t>
      </w:r>
    </w:p>
    <w:p w14:paraId="32CCE839">
      <w:r>
        <w:rPr>
          <w:rFonts w:hint="eastAsia"/>
        </w:rPr>
        <w:t>（四）重大安全事故发生后，按照国家有关规定组织调查组对事故进行调查。事故调查工作应当自事故发生之</w:t>
      </w:r>
      <w:r>
        <w:rPr>
          <w:rFonts w:hint="eastAsia" w:ascii="宋体" w:hAnsi="宋体" w:eastAsia="宋体" w:cs="宋体"/>
        </w:rPr>
        <w:t>日起60天内完成，并由调查组提出调查报告。遇有特殊情况，可以适当延长时间，但不得超过90天。调查报告</w:t>
      </w:r>
      <w:r>
        <w:rPr>
          <w:rFonts w:hint="eastAsia"/>
        </w:rPr>
        <w:t>应当包括依照本规定对有关责任人员追究行政责任的意见。</w:t>
      </w:r>
    </w:p>
    <w:p w14:paraId="23070234">
      <w:pPr>
        <w:ind w:firstLine="422"/>
      </w:pPr>
      <w:r>
        <w:rPr>
          <w:rFonts w:hint="eastAsia"/>
          <w:b/>
        </w:rPr>
        <w:t>第七条</w:t>
      </w:r>
      <w:r>
        <w:rPr>
          <w:rFonts w:hint="eastAsia"/>
        </w:rPr>
        <w:t xml:space="preserve">  任何单位和个人均有权向政府或者政府部门报告重大安全事故隐患，有权向上级政府或者上级政府部门举报下级政府或者下级政府部门不履行安全监督管理职责、不按照规定履行职责的情况。接到报告或者举报的政府或者政府部门，应当立即组织对事故隐患进行查处，或者对举报的不履行、不按照规定履行安全监督管理职责的情况进行调查处理。</w:t>
      </w:r>
    </w:p>
    <w:p w14:paraId="086575E9">
      <w:pPr>
        <w:ind w:firstLine="422"/>
      </w:pPr>
      <w:r>
        <w:rPr>
          <w:rFonts w:hint="eastAsia"/>
          <w:b/>
        </w:rPr>
        <w:t>第八条</w:t>
      </w:r>
      <w:r>
        <w:rPr>
          <w:rFonts w:hint="eastAsia"/>
        </w:rPr>
        <w:t xml:space="preserve">  政府、政府部门必须加强中小学校的安全管理，实行学校安全工作校长负责制和安全一票否决制，防止发生食物中毒、火灾、旅游等安全事故，确保学生安全。中小学校严禁以任何形式、名义组织学生从事接触易燃、易爆、有毒、有害等危险品的劳动或者其他危险性劳动。严禁将学校场地出租作为从事易燃、易爆、有毒、有害等危险品的生产、经营场所。</w:t>
      </w:r>
    </w:p>
    <w:p w14:paraId="6A65548E">
      <w:r>
        <w:rPr>
          <w:rFonts w:hint="eastAsia"/>
        </w:rPr>
        <w:t>中小学校违反前款规定，按照学校隶属关系，对有关政府主要领导人和政府教育行政部门正职负责人，根据情节轻重，给予警告、记过、记大过、降级的行政处分；对有关校长和直接责任人员，根据情节轻重，给予记大过、降级、撤职的行政处分；构成非法制造爆炸物罪或者其他罪的，依法追究刑事责任。</w:t>
      </w:r>
    </w:p>
    <w:p w14:paraId="195DB4AD">
      <w:pPr>
        <w:ind w:firstLine="422"/>
      </w:pPr>
      <w:r>
        <w:rPr>
          <w:rFonts w:hint="eastAsia"/>
          <w:b/>
        </w:rPr>
        <w:t>第九条</w:t>
      </w:r>
      <w:r>
        <w:rPr>
          <w:rFonts w:hint="eastAsia"/>
        </w:rPr>
        <w:t xml:space="preserve">  负责行政审批的政府部门或者机构违反本规定第六条第（三）项，对不符合法律、法规和规章规定的予以批准、发现未依法取得批准而擅自从事有关活动的不予取缔、不依法给予行政处罚的，对政府部门或者机构正职负责人，根据情节轻重，给予记过、记大过、降级、撤职的行政处分。</w:t>
      </w:r>
    </w:p>
    <w:p w14:paraId="220C0002">
      <w:pPr>
        <w:ind w:firstLine="422"/>
      </w:pPr>
      <w:r>
        <w:rPr>
          <w:rFonts w:hint="eastAsia"/>
          <w:b/>
        </w:rPr>
        <w:t>第十条</w:t>
      </w:r>
      <w:r>
        <w:rPr>
          <w:rFonts w:hint="eastAsia"/>
        </w:rPr>
        <w:t xml:space="preserve">  重大安全事故发生后，有关政府或者政府部门违反国家有关规定和本规定第五条第（六）项、第六条第（四）项，隐瞒不报、谎报、拖延报告或者阻碍、干涉事故调查的，对该政府主要领导人或者政府部门正职负责人，根据情节轻重，给予记过、记大过、降级的行政处分。</w:t>
      </w:r>
    </w:p>
    <w:p w14:paraId="06622AE6">
      <w:pPr>
        <w:ind w:firstLine="422"/>
      </w:pPr>
      <w:r>
        <w:rPr>
          <w:rFonts w:hint="eastAsia"/>
          <w:b/>
        </w:rPr>
        <w:t>第十一条</w:t>
      </w:r>
      <w:r>
        <w:rPr>
          <w:rFonts w:hint="eastAsia"/>
        </w:rPr>
        <w:t xml:space="preserve">  发生特大安全事故，按照《国务院关于特大安全事故行政责任追究的规定》处理。</w:t>
      </w:r>
    </w:p>
    <w:p w14:paraId="5168F389">
      <w:r>
        <w:rPr>
          <w:rFonts w:hint="eastAsia"/>
        </w:rPr>
        <w:t>对特大、重大安全事故以外的其他安全事故的防范、发生负有责任的有关人员，按照国家和本市的有关规定追究行政责任。</w:t>
      </w:r>
    </w:p>
    <w:p w14:paraId="184E9CE7">
      <w:pPr>
        <w:ind w:firstLine="422"/>
      </w:pPr>
      <w:r>
        <w:rPr>
          <w:rFonts w:hint="eastAsia"/>
          <w:b/>
        </w:rPr>
        <w:t>第十二条</w:t>
      </w:r>
      <w:r>
        <w:rPr>
          <w:rFonts w:hint="eastAsia"/>
        </w:rPr>
        <w:t xml:space="preserve">  本规定自公布之日起施行。</w:t>
      </w:r>
    </w:p>
    <w:p w14:paraId="00074BBF">
      <w:pPr>
        <w:pStyle w:val="4"/>
        <w:pageBreakBefore/>
      </w:pPr>
      <w:bookmarkStart w:id="1966" w:name="_Toc428781776"/>
      <w:bookmarkStart w:id="1967" w:name="_Toc426467028"/>
      <w:bookmarkStart w:id="1968" w:name="_Toc428780420"/>
      <w:r>
        <w:rPr>
          <w:rFonts w:hint="eastAsia"/>
        </w:rPr>
        <w:t>北京市人民防空工程和普通</w:t>
      </w:r>
      <w:bookmarkEnd w:id="1966"/>
      <w:bookmarkEnd w:id="1967"/>
      <w:bookmarkEnd w:id="1968"/>
    </w:p>
    <w:p w14:paraId="5DB5D5FB">
      <w:pPr>
        <w:pStyle w:val="4"/>
      </w:pPr>
      <w:bookmarkStart w:id="1969" w:name="_Toc426467029"/>
      <w:bookmarkStart w:id="1970" w:name="_Toc428781777"/>
      <w:bookmarkStart w:id="1971" w:name="_Toc428780421"/>
      <w:r>
        <w:rPr>
          <w:rFonts w:hint="eastAsia"/>
        </w:rPr>
        <w:t>地下室安全使用管理办法</w:t>
      </w:r>
      <w:bookmarkEnd w:id="1969"/>
      <w:bookmarkEnd w:id="1970"/>
      <w:bookmarkEnd w:id="1971"/>
    </w:p>
    <w:p w14:paraId="7EC2B603">
      <w:pPr>
        <w:ind w:left="630" w:leftChars="300" w:right="630" w:rightChars="300"/>
        <w:rPr>
          <w:rFonts w:ascii="楷体" w:hAnsi="楷体" w:eastAsia="楷体"/>
        </w:rPr>
      </w:pPr>
      <w:r>
        <w:rPr>
          <w:rFonts w:hint="eastAsia" w:ascii="楷体" w:hAnsi="楷体" w:eastAsia="楷体"/>
        </w:rPr>
        <w:t>（2004年11月23日北京市人民政府第152号令公布根据2011年7月11日北京市人民政府第236号令修改）</w:t>
      </w:r>
    </w:p>
    <w:p w14:paraId="2E93D63E"/>
    <w:p w14:paraId="715E8660">
      <w:pPr>
        <w:ind w:firstLine="422"/>
      </w:pPr>
      <w:r>
        <w:rPr>
          <w:rFonts w:hint="eastAsia"/>
          <w:b/>
        </w:rPr>
        <w:t>第一条</w:t>
      </w:r>
      <w:r>
        <w:rPr>
          <w:rFonts w:hint="eastAsia"/>
        </w:rPr>
        <w:t xml:space="preserve">  为了加强本市人民防空工程和普通地下室的安全使用管理，保障人民群众生命和财产安全，根据国家有关法律、法规，结合本市实际情况，制定本办法。</w:t>
      </w:r>
    </w:p>
    <w:p w14:paraId="325B315F">
      <w:pPr>
        <w:ind w:firstLine="422"/>
      </w:pPr>
      <w:r>
        <w:rPr>
          <w:rFonts w:hint="eastAsia"/>
          <w:b/>
        </w:rPr>
        <w:t>第二条</w:t>
      </w:r>
      <w:r>
        <w:rPr>
          <w:rFonts w:hint="eastAsia"/>
        </w:rPr>
        <w:t xml:space="preserve">  本办法适用于本市行政区域内平时使用的人民防空工程和普通地下室（以下统称“地下空间”）的安全使用管理。法律、法规另有规定的从其规定。</w:t>
      </w:r>
    </w:p>
    <w:p w14:paraId="2D4EF1AC">
      <w:pPr>
        <w:ind w:firstLine="422"/>
      </w:pPr>
      <w:r>
        <w:rPr>
          <w:rFonts w:hint="eastAsia"/>
          <w:b/>
        </w:rPr>
        <w:t>第三条</w:t>
      </w:r>
      <w:r>
        <w:rPr>
          <w:rFonts w:hint="eastAsia"/>
        </w:rPr>
        <w:t xml:space="preserve">  本市地下空间安全使用，坚持谁所有谁负责，谁使用谁负责的原则。</w:t>
      </w:r>
    </w:p>
    <w:p w14:paraId="77CF11E9">
      <w:r>
        <w:rPr>
          <w:rFonts w:hint="eastAsia"/>
        </w:rPr>
        <w:t>人民防空工程安全使用责任由人民防空工程使用许可被许可使用人承担。</w:t>
      </w:r>
    </w:p>
    <w:p w14:paraId="58053849">
      <w:r>
        <w:rPr>
          <w:rFonts w:hint="eastAsia"/>
        </w:rPr>
        <w:t>普通地下室安全使用责任由普通地下室所有权人承担。所有权人委托物业服务企业以及其他单位、个人管理的，受托管理人应当按照规定和约定承担普通地下室安全使用责任。</w:t>
      </w:r>
    </w:p>
    <w:p w14:paraId="2AB9D1DE">
      <w:pPr>
        <w:ind w:firstLine="422"/>
      </w:pPr>
      <w:r>
        <w:rPr>
          <w:rFonts w:hint="eastAsia"/>
          <w:b/>
        </w:rPr>
        <w:t>第四条</w:t>
      </w:r>
      <w:r>
        <w:rPr>
          <w:rFonts w:hint="eastAsia"/>
        </w:rPr>
        <w:t xml:space="preserve">  利用地下空间从事商业、文化娱乐业、旅店业以及其他生产经营活动或者作为居住场所的，地下空间的被许可使用人、所有权人及受托管理人（以下统称“安全使用责任人”）应当保证地下空间符合下列条件：</w:t>
      </w:r>
    </w:p>
    <w:p w14:paraId="62585AF0">
      <w:r>
        <w:rPr>
          <w:rFonts w:hint="eastAsia"/>
        </w:rPr>
        <w:t>（一）符合防火、卫生等管理规定，并经公安消防机构、卫生主管部门依法检查合格。</w:t>
      </w:r>
    </w:p>
    <w:p w14:paraId="7B4EBF40">
      <w:r>
        <w:rPr>
          <w:rFonts w:hint="eastAsia"/>
        </w:rPr>
        <w:t>（二）房屋建筑安全，不存在危险构件。</w:t>
      </w:r>
    </w:p>
    <w:p w14:paraId="7BBE6845">
      <w:r>
        <w:rPr>
          <w:rFonts w:hint="eastAsia"/>
        </w:rPr>
        <w:t>（三）具有上下水、卫生间、用电设施。</w:t>
      </w:r>
    </w:p>
    <w:p w14:paraId="4DD4B69D">
      <w:r>
        <w:rPr>
          <w:rFonts w:hint="eastAsia"/>
        </w:rPr>
        <w:t>（四）通风良好，设置机械通风系统或者空气调节装置，并保证有效使用。地下空间平时使用必需的新风量，以及相应的新风系统、回风系统等设置符合设计规范要求。</w:t>
      </w:r>
    </w:p>
    <w:p w14:paraId="0A9FBFE3">
      <w:r>
        <w:rPr>
          <w:rFonts w:hint="eastAsia"/>
        </w:rPr>
        <w:t>（五）具有防汛、防雨水倒灌设施。</w:t>
      </w:r>
    </w:p>
    <w:p w14:paraId="6A4D8336">
      <w:r>
        <w:rPr>
          <w:rFonts w:hint="eastAsia"/>
        </w:rPr>
        <w:t>（六）按规定设置和配备机械防烟排烟系统、自动喷淋系统、应急照明系统、火灾自动报警系统以及其他消防设施和器材。</w:t>
      </w:r>
    </w:p>
    <w:p w14:paraId="3484E5D0">
      <w:pPr>
        <w:ind w:firstLine="422"/>
      </w:pPr>
      <w:r>
        <w:rPr>
          <w:rFonts w:hint="eastAsia"/>
          <w:b/>
        </w:rPr>
        <w:t>第五条</w:t>
      </w:r>
      <w:r>
        <w:rPr>
          <w:rFonts w:hint="eastAsia"/>
        </w:rPr>
        <w:t xml:space="preserve">  地下空间的安全使用责任人利用地下空间，应当遵守下列规定：</w:t>
      </w:r>
    </w:p>
    <w:p w14:paraId="746C2392">
      <w:r>
        <w:rPr>
          <w:rFonts w:hint="eastAsia"/>
        </w:rPr>
        <w:t>（一）制定落实治安、消防、卫生、建筑等管理法律、法规、规章的具体措施。</w:t>
      </w:r>
    </w:p>
    <w:p w14:paraId="16E023C6">
      <w:r>
        <w:rPr>
          <w:rFonts w:hint="eastAsia"/>
        </w:rPr>
        <w:t>（二）建立防火、防汛、治安、卫生等责任制度。提供给他人使用的，与使用人签订地下空间安全使用责任书，明确使用人对地下空间的安全使用义务，并对使用人履行义务的情况进行监督；发现使用人违反安全管理法律、法规、规章或者安全使用义务的，及时制止、纠正，并向有关行政主管部门报告。</w:t>
      </w:r>
    </w:p>
    <w:p w14:paraId="1BACF2DF">
      <w:r>
        <w:rPr>
          <w:rFonts w:hint="eastAsia"/>
        </w:rPr>
        <w:t>（三）使用人民防空工程，应当按照所在地区县人民防空主管部门批准的要求使用。</w:t>
      </w:r>
    </w:p>
    <w:p w14:paraId="193A2783">
      <w:r>
        <w:rPr>
          <w:rFonts w:hint="eastAsia"/>
        </w:rPr>
        <w:t>（四）不得擅自改变地下空间工程的主体结构或者拆除地下空间工程的设备设施。</w:t>
      </w:r>
    </w:p>
    <w:p w14:paraId="69D7798D">
      <w:r>
        <w:rPr>
          <w:rFonts w:hint="eastAsia"/>
        </w:rPr>
        <w:t>（五）安全出口和疏散通道符合安全规范。安全出口不得采用卷帘门、转门、吊门或者侧拉门，门向疏散方向开启。</w:t>
      </w:r>
    </w:p>
    <w:p w14:paraId="0D109283">
      <w:r>
        <w:rPr>
          <w:rFonts w:hint="eastAsia"/>
        </w:rPr>
        <w:t>（六）在地下空间的入口处设置人民防空主管部门、建设（房屋）行政主管部门制发的人民防空工程、普通地下室使用标志牌。</w:t>
      </w:r>
    </w:p>
    <w:p w14:paraId="603F2ED8">
      <w:r>
        <w:rPr>
          <w:rFonts w:hint="eastAsia"/>
        </w:rPr>
        <w:t>（七）建立安全设施检查、维修管理制度，保障安全设施正常使用。</w:t>
      </w:r>
    </w:p>
    <w:p w14:paraId="4B7A36BD">
      <w:r>
        <w:rPr>
          <w:rFonts w:hint="eastAsia"/>
        </w:rPr>
        <w:t>（八）对有关行政主管部门检查发现的事故隐患，在规定的时间内予以消除。</w:t>
      </w:r>
    </w:p>
    <w:p w14:paraId="054A9113">
      <w:r>
        <w:rPr>
          <w:rFonts w:hint="eastAsia"/>
        </w:rPr>
        <w:t>（九）依法及时报告火灾、传染病疫情等突发性事件。</w:t>
      </w:r>
    </w:p>
    <w:p w14:paraId="09EC609B">
      <w:r>
        <w:rPr>
          <w:rFonts w:hint="eastAsia"/>
        </w:rPr>
        <w:t>（十）不得将地下空间出租给无合法有效证件、证明的单位或者个人。</w:t>
      </w:r>
    </w:p>
    <w:p w14:paraId="65B55062">
      <w:r>
        <w:rPr>
          <w:rFonts w:hint="eastAsia"/>
        </w:rPr>
        <w:t>（十一）遵守国家及本市其他有关地下空间安全使用的管理规定。</w:t>
      </w:r>
    </w:p>
    <w:p w14:paraId="19D642C8">
      <w:pPr>
        <w:ind w:firstLine="422"/>
      </w:pPr>
      <w:r>
        <w:rPr>
          <w:rFonts w:hint="eastAsia"/>
          <w:b/>
        </w:rPr>
        <w:t>第六条</w:t>
      </w:r>
      <w:r>
        <w:rPr>
          <w:rFonts w:hint="eastAsia"/>
        </w:rPr>
        <w:t xml:space="preserve">  地下空间的使用人，应当遵守下列规定：</w:t>
      </w:r>
    </w:p>
    <w:p w14:paraId="75A6AC38">
      <w:r>
        <w:rPr>
          <w:rFonts w:hint="eastAsia"/>
        </w:rPr>
        <w:t>（一）履行地下空间安全使用责任书中的安全使用义务和本办法第五条第（四）项、第（八）项、第（九）项的规定。</w:t>
      </w:r>
    </w:p>
    <w:p w14:paraId="22C4EEBE">
      <w:r>
        <w:rPr>
          <w:rFonts w:hint="eastAsia"/>
        </w:rPr>
        <w:t>（二）根据不同的使用性质，保证地下空间在使用中符合国家规定的相关行业的卫生标准。</w:t>
      </w:r>
    </w:p>
    <w:p w14:paraId="20FDC564">
      <w:r>
        <w:rPr>
          <w:rFonts w:hint="eastAsia"/>
        </w:rPr>
        <w:t>（三）装饰、装修材料符合国家和本市规定的消防、卫生要求；进行装饰、装修等施工作业期间，不得投入使用。</w:t>
      </w:r>
    </w:p>
    <w:p w14:paraId="169AEC46">
      <w:r>
        <w:rPr>
          <w:rFonts w:hint="eastAsia"/>
        </w:rPr>
        <w:t>（四）不得存放液化石油气钢瓶，不得使用液化石油气和闪点小于</w:t>
      </w:r>
      <w:r>
        <w:rPr>
          <w:rFonts w:hint="eastAsia" w:ascii="宋体" w:hAnsi="宋体" w:eastAsia="宋体" w:cs="宋体"/>
        </w:rPr>
        <w:t>60</w:t>
      </w:r>
      <w:r>
        <w:rPr>
          <w:rFonts w:hint="eastAsia"/>
        </w:rPr>
        <w:t>℃的液体做燃料。</w:t>
      </w:r>
    </w:p>
    <w:p w14:paraId="5740D8F1">
      <w:r>
        <w:rPr>
          <w:rFonts w:hint="eastAsia"/>
        </w:rPr>
        <w:t>（五）保障安全出口、疏散通道畅通，有人时不得上锁。</w:t>
      </w:r>
    </w:p>
    <w:p w14:paraId="441DB3F1">
      <w:r>
        <w:rPr>
          <w:rFonts w:hint="eastAsia"/>
        </w:rPr>
        <w:t>（六）不得在地下空间内从事危险化学品、烟花爆竹等危险物品的生产经营。不得在地下空间内储存易燃易爆物品。</w:t>
      </w:r>
    </w:p>
    <w:p w14:paraId="239D1503">
      <w:r>
        <w:rPr>
          <w:rFonts w:hint="eastAsia"/>
        </w:rPr>
        <w:t>（七）按照国家有关消防安全技术规定安装、使用电器产品，设计、敷设用电线路；禁止超负荷用电。</w:t>
      </w:r>
    </w:p>
    <w:p w14:paraId="12639E50">
      <w:r>
        <w:rPr>
          <w:rFonts w:hint="eastAsia"/>
        </w:rPr>
        <w:t>（八）不得在地下空间内设置油浸电力变压器和其他油浸电气设备。</w:t>
      </w:r>
    </w:p>
    <w:p w14:paraId="2A53535A">
      <w:r>
        <w:rPr>
          <w:rFonts w:hint="eastAsia"/>
        </w:rPr>
        <w:t>（九）地下空间内所容纳的人员不得超过核定人数。核定人数的具体办法和标准，由市人民防空主管部门、建设（房屋）行政主管部门制定。</w:t>
      </w:r>
    </w:p>
    <w:p w14:paraId="3EBCF6DC">
      <w:r>
        <w:rPr>
          <w:rFonts w:hint="eastAsia"/>
        </w:rPr>
        <w:t>（十）对从业人员进行安全教育，并制定安全事故应急救援预案。</w:t>
      </w:r>
    </w:p>
    <w:p w14:paraId="48CDF060">
      <w:r>
        <w:rPr>
          <w:rFonts w:hint="eastAsia"/>
        </w:rPr>
        <w:t>（十一）遵守国家及本市其他有关地下空间安全使用的管理规定。</w:t>
      </w:r>
    </w:p>
    <w:p w14:paraId="070845CE">
      <w:pPr>
        <w:ind w:firstLine="422"/>
      </w:pPr>
      <w:r>
        <w:rPr>
          <w:rFonts w:hint="eastAsia"/>
          <w:b/>
        </w:rPr>
        <w:t>第七条</w:t>
      </w:r>
      <w:r>
        <w:rPr>
          <w:rFonts w:hint="eastAsia"/>
        </w:rPr>
        <w:t xml:space="preserve">  利用地下空间从事旅店业，设置宿舍，以及作为其他居住场所的，地下空间的安全使用责任人、使用人除应当遵守本办法第五条、第六条规定外，还应当遵守下列规定：</w:t>
      </w:r>
    </w:p>
    <w:p w14:paraId="170516D0">
      <w:r>
        <w:rPr>
          <w:rFonts w:hint="eastAsia"/>
        </w:rPr>
        <w:t>（一）房间内人均使用面积不得少</w:t>
      </w:r>
      <w:r>
        <w:rPr>
          <w:rFonts w:hint="eastAsia" w:ascii="宋体" w:hAnsi="宋体" w:eastAsia="宋体" w:cs="宋体"/>
        </w:rPr>
        <w:t>于4</w:t>
      </w:r>
      <w:r>
        <w:rPr>
          <w:rFonts w:hint="eastAsia"/>
        </w:rPr>
        <w:t>平方米。</w:t>
      </w:r>
    </w:p>
    <w:p w14:paraId="7BAB0922">
      <w:r>
        <w:rPr>
          <w:rFonts w:hint="eastAsia"/>
        </w:rPr>
        <w:t>（二）不得设置上下床。</w:t>
      </w:r>
    </w:p>
    <w:p w14:paraId="180817D4">
      <w:r>
        <w:rPr>
          <w:rFonts w:hint="eastAsia"/>
        </w:rPr>
        <w:t>（三）配备有效的防灭病媒生物设施、消毒设施和垃圾、废弃物的存放专用设施。</w:t>
      </w:r>
    </w:p>
    <w:p w14:paraId="65305812">
      <w:pPr>
        <w:ind w:firstLine="422"/>
      </w:pPr>
      <w:r>
        <w:rPr>
          <w:rFonts w:hint="eastAsia"/>
          <w:b/>
        </w:rPr>
        <w:t>第八条</w:t>
      </w:r>
      <w:r>
        <w:rPr>
          <w:rFonts w:hint="eastAsia"/>
        </w:rPr>
        <w:t xml:space="preserve">  地下空间的安全使用应当符合本市有关房屋建筑使用安全管理、治安管理和房屋租赁管理的相关规定以及规范、标准。</w:t>
      </w:r>
    </w:p>
    <w:p w14:paraId="2C0D85E7">
      <w:r>
        <w:rPr>
          <w:rFonts w:hint="eastAsia"/>
        </w:rPr>
        <w:t>地下空间用于出租的，应当按照本市房屋租赁管理的相关规定办理登记。禁止将违法建设的地下空间出租，禁止将规划用途为非居住用途的地下空间出租居住。</w:t>
      </w:r>
    </w:p>
    <w:p w14:paraId="0C1FA37A">
      <w:pPr>
        <w:ind w:firstLine="422"/>
      </w:pPr>
      <w:r>
        <w:rPr>
          <w:rFonts w:hint="eastAsia"/>
          <w:b/>
        </w:rPr>
        <w:t>第九条</w:t>
      </w:r>
      <w:r>
        <w:rPr>
          <w:rFonts w:hint="eastAsia"/>
        </w:rPr>
        <w:t xml:space="preserve">  市和区县人民防空主管部门、建设（房屋）行政主管部门分别负责人民防空工程、普通地下室安全使用的综合管理工作。市和区县安全生产监督管理部门负责对地下空间内安全生产工作实施综合监督管理。</w:t>
      </w:r>
    </w:p>
    <w:p w14:paraId="1EEF7B9C">
      <w:r>
        <w:rPr>
          <w:rFonts w:hint="eastAsia"/>
        </w:rPr>
        <w:t>规划、公安、卫生、工商、文化等行政主管部门，应当按照法律、法规、规章和市人民政府规定的安全监管职责，负责地下空间安全使用的相关管理工作。</w:t>
      </w:r>
    </w:p>
    <w:p w14:paraId="258830CD">
      <w:pPr>
        <w:ind w:firstLine="422"/>
      </w:pPr>
      <w:r>
        <w:rPr>
          <w:rFonts w:hint="eastAsia"/>
          <w:b/>
        </w:rPr>
        <w:t>第十条</w:t>
      </w:r>
      <w:r>
        <w:rPr>
          <w:rFonts w:hint="eastAsia"/>
        </w:rPr>
        <w:t xml:space="preserve">  区县人民政府按照属地管理的原则，负责本行政区域内地下空间安全使用的综合治理工作，建立地下空间安全使用巡查和考核制度。</w:t>
      </w:r>
    </w:p>
    <w:p w14:paraId="5662CC5B">
      <w:pPr>
        <w:ind w:firstLine="422"/>
      </w:pPr>
      <w:r>
        <w:rPr>
          <w:rFonts w:hint="eastAsia"/>
          <w:b/>
        </w:rPr>
        <w:t>第十一条</w:t>
      </w:r>
      <w:r>
        <w:rPr>
          <w:rFonts w:hint="eastAsia"/>
        </w:rPr>
        <w:t xml:space="preserve">  街道办事处和乡、镇人民政府组织、协调并监督人民防空、建设（房屋）、安全生产、规划、公安、卫生、工商、文化等职能部门派出机构或者专职人员对本辖区内地下空间的行政执法工作。</w:t>
      </w:r>
    </w:p>
    <w:p w14:paraId="0D874574">
      <w:r>
        <w:rPr>
          <w:rFonts w:hint="eastAsia"/>
        </w:rPr>
        <w:t>街道办事处和乡、镇人民政府应当建立对本辖区内地下空间安全使用的巡视制度，定期清查本辖区内地下空间的使用情况；发现违法使用地下空间或者地下空间存在事故隐患的，及时通知有关行政主管部门。有关行政主管部门接到通知后，应当及时依法处理。</w:t>
      </w:r>
    </w:p>
    <w:p w14:paraId="21E6A765">
      <w:pPr>
        <w:ind w:firstLine="422"/>
      </w:pPr>
      <w:r>
        <w:rPr>
          <w:rFonts w:hint="eastAsia"/>
          <w:b/>
        </w:rPr>
        <w:t>第十二条</w:t>
      </w:r>
      <w:r>
        <w:rPr>
          <w:rFonts w:hint="eastAsia"/>
        </w:rPr>
        <w:t xml:space="preserve">  市人民防空主管部门应当编制市人民防空工程使用总体规划，各区县人民防空主管部门应当根据市人民防空工程使用总体规划和本行政区域实际情况，制定区县人民防空工程使用规划，报市人民防空主管部门同意后经区县人民政府批准公布。</w:t>
      </w:r>
    </w:p>
    <w:p w14:paraId="65BD2289">
      <w:r>
        <w:rPr>
          <w:rFonts w:hint="eastAsia"/>
        </w:rPr>
        <w:t>平时使用人民防空工程应当优先满足社会公益性事业的需要，居住区内的人民防空工程应当优先满足居住区配套服务和社区服务的需要。</w:t>
      </w:r>
    </w:p>
    <w:p w14:paraId="730CA00F">
      <w:pPr>
        <w:ind w:firstLine="422"/>
      </w:pPr>
      <w:r>
        <w:rPr>
          <w:rFonts w:hint="eastAsia"/>
          <w:b/>
        </w:rPr>
        <w:t>第十三条</w:t>
      </w:r>
      <w:r>
        <w:rPr>
          <w:rFonts w:hint="eastAsia"/>
        </w:rPr>
        <w:t xml:space="preserve">  平时使用人民防空工程，应当符合人民防空工程使用规划，并依法申请人民防空工程使用许可。</w:t>
      </w:r>
    </w:p>
    <w:p w14:paraId="27034CF3">
      <w:r>
        <w:rPr>
          <w:rFonts w:hint="eastAsia"/>
        </w:rPr>
        <w:t>人民防空主管部门对申请进行审查时，应当对人民防空工程进行查验，确保其符合安全使用条件；作出行政许可决定时，应当明确人民防空工程及其设施设备使用的范围。</w:t>
      </w:r>
    </w:p>
    <w:p w14:paraId="28C91C7C">
      <w:r>
        <w:rPr>
          <w:rFonts w:hint="eastAsia"/>
        </w:rPr>
        <w:t>人民防空工程使用许可有效</w:t>
      </w:r>
      <w:r>
        <w:rPr>
          <w:rFonts w:hint="eastAsia" w:ascii="宋体" w:hAnsi="宋体" w:eastAsia="宋体" w:cs="宋体"/>
        </w:rPr>
        <w:t>期为1年，期限届满，</w:t>
      </w:r>
      <w:r>
        <w:rPr>
          <w:rFonts w:hint="eastAsia"/>
        </w:rPr>
        <w:t>被许可使用人可以申请延期使用许可，对按照规定使用的申请人，人民防空主管部门应当准许延期。</w:t>
      </w:r>
    </w:p>
    <w:p w14:paraId="253B26D5">
      <w:pPr>
        <w:ind w:firstLine="422"/>
      </w:pPr>
      <w:r>
        <w:rPr>
          <w:rFonts w:hint="eastAsia"/>
          <w:b/>
        </w:rPr>
        <w:t>第十四条</w:t>
      </w:r>
      <w:r>
        <w:rPr>
          <w:rFonts w:hint="eastAsia"/>
        </w:rPr>
        <w:t xml:space="preserve">  使用普通地下室，应当符合规划确定的使用用途，使用人不得擅自改变使用用途。</w:t>
      </w:r>
    </w:p>
    <w:p w14:paraId="51E0A213">
      <w:pPr>
        <w:ind w:firstLine="422"/>
      </w:pPr>
      <w:r>
        <w:rPr>
          <w:rFonts w:hint="eastAsia"/>
          <w:b/>
        </w:rPr>
        <w:t>第十五条</w:t>
      </w:r>
      <w:r>
        <w:rPr>
          <w:rFonts w:hint="eastAsia"/>
        </w:rPr>
        <w:t xml:space="preserve">  使用普通地下室从事商业、文化娱乐业以及其他生产经营活动或者作为居住场所的，装饰装修及使用前应当向普通地下室所在地区县建设（房屋）行政主管部门办理备案。办理普通地下室备案时应当提交下列材料：</w:t>
      </w:r>
    </w:p>
    <w:p w14:paraId="5D7D36AD">
      <w:r>
        <w:rPr>
          <w:rFonts w:hint="eastAsia"/>
        </w:rPr>
        <w:t>（一）使用人对使用用途、范围和期限的说明。</w:t>
      </w:r>
    </w:p>
    <w:p w14:paraId="6C4934D8">
      <w:r>
        <w:rPr>
          <w:rFonts w:hint="eastAsia"/>
        </w:rPr>
        <w:t>（二）产权登记证明或者所有权人共同决定使用普通地下室的证明。</w:t>
      </w:r>
    </w:p>
    <w:p w14:paraId="2F279EDF">
      <w:r>
        <w:rPr>
          <w:rFonts w:hint="eastAsia"/>
        </w:rPr>
        <w:t>（三）按规划用途使用的，提交规划文件；规划用途不明确的，提交规划部门对使用用途确认的文件；改变规划用途的，提交规划部门变更规划文件。</w:t>
      </w:r>
    </w:p>
    <w:p w14:paraId="39B3F345">
      <w:r>
        <w:rPr>
          <w:rFonts w:hint="eastAsia"/>
        </w:rPr>
        <w:t>（四）卫生主管部门检查合格证明或者具有相应资质的检测机构出具的通风系统和空调系统卫生检测合格证明。</w:t>
      </w:r>
    </w:p>
    <w:p w14:paraId="65C07AF2">
      <w:r>
        <w:rPr>
          <w:rFonts w:hint="eastAsia"/>
        </w:rPr>
        <w:t>（五）依法须经消防安全检查方可投入使用、营业的，提交公安消防机构出具的消防安全检查合格证明。</w:t>
      </w:r>
    </w:p>
    <w:p w14:paraId="164881DE">
      <w:r>
        <w:rPr>
          <w:rFonts w:hint="eastAsia"/>
        </w:rPr>
        <w:t>（六）进行结构改造的，提交房屋安全鉴定机构出具的房屋结构安全鉴定报告。</w:t>
      </w:r>
    </w:p>
    <w:p w14:paraId="633907D8">
      <w:r>
        <w:rPr>
          <w:rFonts w:hint="eastAsia"/>
        </w:rPr>
        <w:t>（七）依法应当提交的其他文件。</w:t>
      </w:r>
    </w:p>
    <w:p w14:paraId="2A029A72">
      <w:r>
        <w:rPr>
          <w:rFonts w:hint="eastAsia"/>
        </w:rPr>
        <w:t>使用人提交材料齐全的，建设（房屋）行政主</w:t>
      </w:r>
      <w:r>
        <w:rPr>
          <w:rFonts w:hint="eastAsia" w:ascii="宋体" w:hAnsi="宋体" w:eastAsia="宋体" w:cs="宋体"/>
        </w:rPr>
        <w:t>管部门应当在15日内备案。备案情况发生变更的，使用人应当在30日内向建设（房屋）行政主管部门办理变更备案</w:t>
      </w:r>
      <w:r>
        <w:rPr>
          <w:rFonts w:hint="eastAsia"/>
        </w:rPr>
        <w:t>。</w:t>
      </w:r>
    </w:p>
    <w:p w14:paraId="2CCFD727">
      <w:pPr>
        <w:ind w:firstLine="422"/>
      </w:pPr>
      <w:r>
        <w:rPr>
          <w:rFonts w:hint="eastAsia"/>
          <w:b/>
        </w:rPr>
        <w:t>第十六条</w:t>
      </w:r>
      <w:r>
        <w:rPr>
          <w:rFonts w:hint="eastAsia"/>
        </w:rPr>
        <w:t xml:space="preserve">  利用地下空间从事生产经营活动需要取得相关证照的，行政主管部门办理证照时，应当核实地下空间使用许可或者备案的情况，对不符合条件的，不予办理相关证照。</w:t>
      </w:r>
    </w:p>
    <w:p w14:paraId="5D437FA9">
      <w:pPr>
        <w:ind w:firstLine="422"/>
      </w:pPr>
      <w:r>
        <w:rPr>
          <w:rFonts w:hint="eastAsia"/>
          <w:b/>
        </w:rPr>
        <w:t>第十七条</w:t>
      </w:r>
      <w:r>
        <w:rPr>
          <w:rFonts w:hint="eastAsia"/>
        </w:rPr>
        <w:t xml:space="preserve">  市和区县人民防空主管部门、建设（房屋）行政主管部门应当健全所管理的地下空间的数量、位置、面积、产权人和管理单位等基本情况的记录档案。区县人民防空主管部门、建设（房屋）行政主管部门应当将记录档案提供给街道办事处和乡、镇人民政府使用。</w:t>
      </w:r>
    </w:p>
    <w:p w14:paraId="2FE47FA9">
      <w:pPr>
        <w:ind w:firstLine="422"/>
      </w:pPr>
      <w:r>
        <w:rPr>
          <w:rFonts w:hint="eastAsia"/>
          <w:b/>
        </w:rPr>
        <w:t>第十八条</w:t>
      </w:r>
      <w:r>
        <w:rPr>
          <w:rFonts w:hint="eastAsia"/>
        </w:rPr>
        <w:t xml:space="preserve">  安全生产、人民防空、建设（房屋）、公安、卫生、工商、文化等负有地下空间安全使用管理职责的行政主管部门对利用地下空间从事生产经营的单位进行监督检查时，行使以下职权：</w:t>
      </w:r>
    </w:p>
    <w:p w14:paraId="096A8BC6">
      <w:r>
        <w:rPr>
          <w:rFonts w:hint="eastAsia"/>
        </w:rPr>
        <w:t>（一）进入地下空间进行检查，调阅有关资料，向有关单位和人员了解情况。</w:t>
      </w:r>
    </w:p>
    <w:p w14:paraId="702EBACB">
      <w:r>
        <w:rPr>
          <w:rFonts w:hint="eastAsia"/>
        </w:rPr>
        <w:t>（二）对检查中发现的安全生产违法行为，当场予以纠正或者要求限期改正；对依法应当给予行政处罚的行为，依法作出行政处罚决定。</w:t>
      </w:r>
    </w:p>
    <w:p w14:paraId="53DEAEA6">
      <w:r>
        <w:rPr>
          <w:rFonts w:hint="eastAsia"/>
        </w:rPr>
        <w:t>（三）对检查中发现的事故隐患，应当责令立即排除；重大事故隐患排除前或者排除过程中无法保证安全的，应当责令有关人员从危险区域内撤出，责令暂时停产停业或者停止使用；重大事故隐患排除后，经审查同意，方可恢复生产经营和使用。</w:t>
      </w:r>
    </w:p>
    <w:p w14:paraId="0A54E283">
      <w:r>
        <w:rPr>
          <w:rFonts w:hint="eastAsia"/>
        </w:rPr>
        <w:t>（四）对有根据认为不符</w:t>
      </w:r>
      <w:r>
        <w:rPr>
          <w:rFonts w:hint="eastAsia" w:ascii="宋体" w:hAnsi="宋体" w:eastAsia="宋体" w:cs="宋体"/>
        </w:rPr>
        <w:t>合保障安全生产的国家标准或者行业标准的设施、设备、器材予以查封或者扣押，并应当在15日内</w:t>
      </w:r>
      <w:r>
        <w:rPr>
          <w:rFonts w:hint="eastAsia"/>
        </w:rPr>
        <w:t>依法作出处理决定。</w:t>
      </w:r>
    </w:p>
    <w:p w14:paraId="4F8746F3">
      <w:pPr>
        <w:ind w:firstLine="422"/>
      </w:pPr>
      <w:r>
        <w:rPr>
          <w:rFonts w:hint="eastAsia"/>
          <w:b/>
        </w:rPr>
        <w:t>第十九条</w:t>
      </w:r>
      <w:r>
        <w:rPr>
          <w:rFonts w:hint="eastAsia"/>
        </w:rPr>
        <w:t xml:space="preserve">  地下空间存在结构安全问题的，负责地下空间综合管理工作部门可以委托房屋安全鉴定机构进行鉴定，经鉴定应当停止使用的，责令使用人停止使用、搬出地下空间；使用人拒不搬出，情况紧急危及公共安全，为预防突发事件的发生，区县人民政府可以责成有关部门组织搬出，并妥善安置。</w:t>
      </w:r>
    </w:p>
    <w:p w14:paraId="468C7281">
      <w:r>
        <w:rPr>
          <w:rFonts w:hint="eastAsia"/>
        </w:rPr>
        <w:t>地下空间不具备通风系统和空调系统，或者通风系统和空调系统存在卫生安全问题，卫生行政主管部门依法责令停止使用的，负责地下空间综合管理工作部门应当责令居住使用人搬出，居住使用人拒不搬出，情况紧急危及公共安全，为预防突发事件的发生，区县人民政府可以责成有关部门组织搬出，并妥善安置。</w:t>
      </w:r>
    </w:p>
    <w:p w14:paraId="4BEB4941">
      <w:r>
        <w:rPr>
          <w:rFonts w:hint="eastAsia"/>
        </w:rPr>
        <w:t>地下空间使用存在消防违法行为，经公安消防机构依法责令停止使用，违法行为人拒不执行的，由公安消防机构强制执行。</w:t>
      </w:r>
    </w:p>
    <w:p w14:paraId="513CFF72">
      <w:pPr>
        <w:ind w:firstLine="422"/>
      </w:pPr>
      <w:r>
        <w:rPr>
          <w:rFonts w:hint="eastAsia"/>
          <w:b/>
        </w:rPr>
        <w:t>第二十条</w:t>
      </w:r>
      <w:r>
        <w:rPr>
          <w:rFonts w:hint="eastAsia"/>
        </w:rPr>
        <w:t xml:space="preserve">  有下列违法行为的，由区县人民防空主管部门责令改正，依法予以处罚。当事人在法定期限内不申请行政复议或者提起行政诉讼，又不履行行政决定的，区县人民防空主管部门可以依法申请人民法院强制执行：</w:t>
      </w:r>
    </w:p>
    <w:p w14:paraId="772D0203">
      <w:r>
        <w:rPr>
          <w:rFonts w:hint="eastAsia"/>
        </w:rPr>
        <w:t>（一）侵占人民防空工程的；</w:t>
      </w:r>
    </w:p>
    <w:p w14:paraId="68150A53">
      <w:r>
        <w:rPr>
          <w:rFonts w:hint="eastAsia"/>
        </w:rPr>
        <w:t>（二）未经批准使用人民防空工程的；</w:t>
      </w:r>
    </w:p>
    <w:p w14:paraId="671561C5">
      <w:r>
        <w:rPr>
          <w:rFonts w:hint="eastAsia"/>
        </w:rPr>
        <w:t>（三）擅自改变批准使用用途的；</w:t>
      </w:r>
    </w:p>
    <w:p w14:paraId="1C14DEA4">
      <w:r>
        <w:rPr>
          <w:rFonts w:hint="eastAsia"/>
        </w:rPr>
        <w:t>（四）擅自改造人民防空工程、拆除人民防空工程设备设施或者采用其他方法危害人民防空工程安全和防空效能的。</w:t>
      </w:r>
    </w:p>
    <w:p w14:paraId="3783BC1D">
      <w:pPr>
        <w:ind w:firstLine="422"/>
      </w:pPr>
      <w:r>
        <w:rPr>
          <w:rFonts w:hint="eastAsia"/>
          <w:b/>
        </w:rPr>
        <w:t>第二十一条</w:t>
      </w:r>
      <w:r>
        <w:rPr>
          <w:rFonts w:hint="eastAsia"/>
        </w:rPr>
        <w:t xml:space="preserve">  地下空间安全使用责任人违反本办法第五条规定，不履行安全管理义务的，由有关部门依照下列规定处罚：</w:t>
      </w:r>
    </w:p>
    <w:p w14:paraId="6FEE1207">
      <w:pPr>
        <w:rPr>
          <w:rFonts w:hint="eastAsia" w:ascii="宋体" w:hAnsi="宋体" w:eastAsia="宋体" w:cs="宋体"/>
        </w:rPr>
      </w:pPr>
      <w:r>
        <w:rPr>
          <w:rFonts w:hint="eastAsia"/>
        </w:rPr>
        <w:t>（一）违反本办</w:t>
      </w:r>
      <w:r>
        <w:rPr>
          <w:rFonts w:hint="eastAsia" w:ascii="宋体" w:hAnsi="宋体" w:eastAsia="宋体" w:cs="宋体"/>
        </w:rPr>
        <w:t>法第五条第（一）项、第（二）项规定的，由人民防空主管部门、建设（房屋）行政主管部门处500元以上1000元以下罚款。</w:t>
      </w:r>
    </w:p>
    <w:p w14:paraId="5E61CAB5">
      <w:pPr>
        <w:rPr>
          <w:rFonts w:hint="eastAsia" w:ascii="宋体" w:hAnsi="宋体" w:eastAsia="宋体" w:cs="宋体"/>
        </w:rPr>
      </w:pPr>
      <w:r>
        <w:rPr>
          <w:rFonts w:hint="eastAsia" w:ascii="宋体" w:hAnsi="宋体" w:eastAsia="宋体" w:cs="宋体"/>
        </w:rPr>
        <w:t>（二）违反本办法第五条第（六）项规定的，由人民防空主管部门、建设（房屋）行政主管部门处500元以上1000元以下罚款。</w:t>
      </w:r>
    </w:p>
    <w:p w14:paraId="572789D7">
      <w:pPr>
        <w:rPr>
          <w:rFonts w:hint="eastAsia" w:ascii="宋体" w:hAnsi="宋体" w:eastAsia="宋体" w:cs="宋体"/>
        </w:rPr>
      </w:pPr>
      <w:r>
        <w:rPr>
          <w:rFonts w:hint="eastAsia" w:ascii="宋体" w:hAnsi="宋体" w:eastAsia="宋体" w:cs="宋体"/>
        </w:rPr>
        <w:t>（三）违反本办法第五条第（十）项规定的，由区县公安机关处1000元罚款。</w:t>
      </w:r>
    </w:p>
    <w:p w14:paraId="713F6CD5">
      <w:pPr>
        <w:ind w:firstLine="422"/>
      </w:pPr>
      <w:r>
        <w:rPr>
          <w:rFonts w:hint="eastAsia"/>
          <w:b/>
        </w:rPr>
        <w:t>第二十二条</w:t>
      </w:r>
      <w:r>
        <w:rPr>
          <w:rFonts w:hint="eastAsia"/>
        </w:rPr>
        <w:t xml:space="preserve">  地下空间的使用人违反本办法第六条第（二）项、第（三）项、第（四）项、第（五）项、第（六）项、第（七）项、第（八）项、第（十）项规定的，由公安消防机构、卫生主管部门、安全生产监督管理部门依法处理。</w:t>
      </w:r>
    </w:p>
    <w:p w14:paraId="64DB34E2">
      <w:pPr>
        <w:rPr>
          <w:rFonts w:hint="eastAsia" w:ascii="宋体" w:hAnsi="宋体" w:eastAsia="宋体" w:cs="宋体"/>
        </w:rPr>
      </w:pPr>
      <w:r>
        <w:rPr>
          <w:rFonts w:hint="eastAsia"/>
        </w:rPr>
        <w:t>地下空间的使用人违反本办法第六条第（九）项规定，地下空间容纳的人员超过核定人数的，由人民防空主管部门、建设（房屋）行政主管部门责令改正，并</w:t>
      </w:r>
      <w:r>
        <w:rPr>
          <w:rFonts w:hint="eastAsia" w:ascii="宋体" w:hAnsi="宋体" w:eastAsia="宋体" w:cs="宋体"/>
        </w:rPr>
        <w:t>处3万元罚款。其中对作为文化娱乐场所的，由公安机关责令改正，给予警告，责令停业整顿，并处1000元以上1万元以下罚款；情节严重的，由工商行政管理部门依法吊销营业执照。</w:t>
      </w:r>
    </w:p>
    <w:p w14:paraId="563A9EE2">
      <w:pPr>
        <w:ind w:firstLine="422"/>
        <w:rPr>
          <w:rFonts w:hint="eastAsia" w:ascii="宋体" w:hAnsi="宋体" w:eastAsia="宋体" w:cs="宋体"/>
        </w:rPr>
      </w:pPr>
      <w:r>
        <w:rPr>
          <w:rFonts w:hint="eastAsia"/>
          <w:b/>
        </w:rPr>
        <w:t>第二十三条</w:t>
      </w:r>
      <w:r>
        <w:rPr>
          <w:rFonts w:hint="eastAsia"/>
        </w:rPr>
        <w:t xml:space="preserve">  地下空间安全使用责任人、使用人违反本办法第七条第（一）项、第（二）项规定，对设置旅馆的，由区县公安机关</w:t>
      </w:r>
      <w:r>
        <w:rPr>
          <w:rFonts w:hint="eastAsia" w:ascii="宋体" w:hAnsi="宋体" w:eastAsia="宋体" w:cs="宋体"/>
        </w:rPr>
        <w:t>处1万元以上3万元以下罚款；对设置宿舍，以及作为其他居住场所的，由区县公安机关处500元以上1000元以下罚款。</w:t>
      </w:r>
    </w:p>
    <w:p w14:paraId="46E2CE9A">
      <w:pPr>
        <w:ind w:firstLine="422"/>
        <w:rPr>
          <w:rFonts w:hint="eastAsia" w:ascii="宋体" w:hAnsi="宋体" w:eastAsia="宋体" w:cs="宋体"/>
        </w:rPr>
      </w:pPr>
      <w:r>
        <w:rPr>
          <w:rFonts w:hint="eastAsia"/>
          <w:b/>
        </w:rPr>
        <w:t>第二十四条</w:t>
      </w:r>
      <w:r>
        <w:rPr>
          <w:rFonts w:hint="eastAsia"/>
        </w:rPr>
        <w:t xml:space="preserve">  违反本办法第十五条规定，出租、使用普通地下室未依法向建设（房屋）行政主管部门登记备案的，由建</w:t>
      </w:r>
      <w:r>
        <w:rPr>
          <w:rFonts w:hint="eastAsia" w:ascii="宋体" w:hAnsi="宋体" w:eastAsia="宋体" w:cs="宋体"/>
        </w:rPr>
        <w:t>设（房屋）行政主管部门责令改正，并可对从事经营活动的处1万元以上3万元以下罚款，对从事非经营活动的处500元以上1000元以下罚款。</w:t>
      </w:r>
    </w:p>
    <w:p w14:paraId="0C3007BB">
      <w:pPr>
        <w:ind w:firstLine="422"/>
      </w:pPr>
      <w:r>
        <w:rPr>
          <w:rFonts w:hint="eastAsia"/>
          <w:b/>
        </w:rPr>
        <w:t>第二十五条</w:t>
      </w:r>
      <w:r>
        <w:rPr>
          <w:rFonts w:hint="eastAsia"/>
        </w:rPr>
        <w:t xml:space="preserve">  建设单位未组织竣工验收或者验收不合格，擅自交付使用人民防空工程的，由建设（房屋）行政主管部门按照建设工程质量管理的相关规定予以处罚。</w:t>
      </w:r>
    </w:p>
    <w:p w14:paraId="6BB764B7">
      <w:pPr>
        <w:ind w:firstLine="422"/>
      </w:pPr>
      <w:r>
        <w:rPr>
          <w:rFonts w:hint="eastAsia"/>
          <w:b/>
        </w:rPr>
        <w:t>第二十六条</w:t>
      </w:r>
      <w:r>
        <w:rPr>
          <w:rFonts w:hint="eastAsia"/>
        </w:rPr>
        <w:t xml:space="preserve">  本办法自</w:t>
      </w:r>
      <w:r>
        <w:rPr>
          <w:rFonts w:hint="eastAsia" w:ascii="宋体" w:hAnsi="宋体" w:eastAsia="宋体" w:cs="宋体"/>
        </w:rPr>
        <w:t>2005年1月1日起施行。</w:t>
      </w:r>
    </w:p>
    <w:p w14:paraId="403ADE30">
      <w:pPr>
        <w:pStyle w:val="4"/>
        <w:pageBreakBefore/>
      </w:pPr>
      <w:bookmarkStart w:id="1972" w:name="_Toc428780422"/>
      <w:bookmarkStart w:id="1973" w:name="_Toc428781778"/>
      <w:bookmarkStart w:id="1974" w:name="_Toc426467030"/>
      <w:r>
        <w:rPr>
          <w:rFonts w:hint="eastAsia"/>
        </w:rPr>
        <w:t>北京市商业零售经营单位安全生产规定</w:t>
      </w:r>
      <w:bookmarkEnd w:id="1972"/>
      <w:bookmarkEnd w:id="1973"/>
      <w:bookmarkEnd w:id="1974"/>
    </w:p>
    <w:p w14:paraId="67BB4FD8">
      <w:pPr>
        <w:ind w:left="630" w:leftChars="300" w:right="630" w:rightChars="300"/>
        <w:rPr>
          <w:rFonts w:ascii="楷体" w:hAnsi="楷体" w:eastAsia="楷体"/>
        </w:rPr>
      </w:pPr>
      <w:r>
        <w:rPr>
          <w:rFonts w:hint="eastAsia" w:ascii="楷体" w:hAnsi="楷体" w:eastAsia="楷体"/>
        </w:rPr>
        <w:t>（2006年10月12日北京市人民政府第54次常委会议审议通过  2006年10月26日北京市人民政府第176号令公布）</w:t>
      </w:r>
    </w:p>
    <w:p w14:paraId="522D2E27">
      <w:pPr>
        <w:ind w:left="630" w:leftChars="300" w:right="630" w:rightChars="300"/>
        <w:rPr>
          <w:rFonts w:ascii="楷体" w:hAnsi="楷体" w:eastAsia="楷体"/>
        </w:rPr>
      </w:pPr>
    </w:p>
    <w:p w14:paraId="4096BDE8">
      <w:pPr>
        <w:ind w:firstLine="422"/>
      </w:pPr>
      <w:r>
        <w:rPr>
          <w:rFonts w:hint="eastAsia"/>
          <w:b/>
        </w:rPr>
        <w:t>第一条</w:t>
      </w:r>
      <w:r>
        <w:rPr>
          <w:rFonts w:hint="eastAsia"/>
        </w:rPr>
        <w:t xml:space="preserve">  为了加强安全生产监督管理，提高商业零售经营单位安全生产水平，防止和减少生产安全事故，保障人民群众生命和财产安全，根据《中华人民共和国安全生产法》和 《北京市安全生产条例》及有关法律、法规，制定本规定。</w:t>
      </w:r>
    </w:p>
    <w:p w14:paraId="4CF4B5B2">
      <w:pPr>
        <w:ind w:firstLine="422"/>
      </w:pPr>
      <w:r>
        <w:rPr>
          <w:rFonts w:hint="eastAsia"/>
          <w:b/>
        </w:rPr>
        <w:t>第二条</w:t>
      </w:r>
      <w:r>
        <w:rPr>
          <w:rFonts w:hint="eastAsia"/>
        </w:rPr>
        <w:t xml:space="preserve">  本市行政区域内建筑面积</w:t>
      </w:r>
      <w:r>
        <w:rPr>
          <w:rFonts w:hint="eastAsia" w:ascii="宋体" w:hAnsi="宋体" w:eastAsia="宋体" w:cs="宋体"/>
        </w:rPr>
        <w:t>在1000平方米以上或者地下建筑面积在500平</w:t>
      </w:r>
      <w:r>
        <w:rPr>
          <w:rFonts w:hint="eastAsia"/>
        </w:rPr>
        <w:t>方米以上的商业零售经营单位的安全生产，适用本规定；有关法律、法规、规章对消防安全、特种设备安全另有规定的，适用其规定。</w:t>
      </w:r>
    </w:p>
    <w:p w14:paraId="13B75039">
      <w:r>
        <w:rPr>
          <w:rFonts w:hint="eastAsia"/>
        </w:rPr>
        <w:t>本规定所称的商业零售经营单位包括百货店、购物中心、超市、仓储式会员店、家居建材店、专业店、专卖店、折扣店等零售店铺。</w:t>
      </w:r>
    </w:p>
    <w:p w14:paraId="01175D44">
      <w:pPr>
        <w:ind w:firstLine="422"/>
      </w:pPr>
      <w:r>
        <w:rPr>
          <w:rFonts w:hint="eastAsia"/>
          <w:b/>
        </w:rPr>
        <w:t>第三条</w:t>
      </w:r>
      <w:r>
        <w:rPr>
          <w:rFonts w:hint="eastAsia"/>
        </w:rPr>
        <w:t xml:space="preserve">  安全生产管理，坚持安全第一、预防为主、综合治理的方针。</w:t>
      </w:r>
    </w:p>
    <w:p w14:paraId="5E7122B7">
      <w:pPr>
        <w:ind w:firstLine="422"/>
      </w:pPr>
      <w:r>
        <w:rPr>
          <w:rFonts w:hint="eastAsia"/>
          <w:b/>
        </w:rPr>
        <w:t>第四条</w:t>
      </w:r>
      <w:r>
        <w:rPr>
          <w:rFonts w:hint="eastAsia"/>
        </w:rPr>
        <w:t xml:space="preserve">  市和区、县商务行政主管部门对商业零售经营单位的安全生产工作实施行业监督管理；公安消防、质量技术监督等部门分别对商业零售经营单位的消防安全、特种设备安全等实施专项监督管理；安全生产监督管理部门对商业零售经营单位的安全生产工作实施综合监督管理，指导、协调和监督政府有关部门履行安全生产监督管理职责。</w:t>
      </w:r>
    </w:p>
    <w:p w14:paraId="6AE33C14">
      <w:r>
        <w:rPr>
          <w:rFonts w:hint="eastAsia"/>
        </w:rPr>
        <w:t>行业协会协助政府有关部门指导会员单位做好安全生产工作，制定安全生产制度、规程，提供相关服务。</w:t>
      </w:r>
    </w:p>
    <w:p w14:paraId="3FEA94AD">
      <w:pPr>
        <w:ind w:firstLine="422"/>
      </w:pPr>
      <w:r>
        <w:rPr>
          <w:rFonts w:hint="eastAsia"/>
          <w:b/>
        </w:rPr>
        <w:t>第五条</w:t>
      </w:r>
      <w:r>
        <w:rPr>
          <w:rFonts w:hint="eastAsia"/>
        </w:rPr>
        <w:t xml:space="preserve">  商业零售经营单位的主要负责人对本单位的安全生产工作全面负责。</w:t>
      </w:r>
    </w:p>
    <w:p w14:paraId="1D4B121F">
      <w:pPr>
        <w:ind w:firstLine="422"/>
      </w:pPr>
      <w:r>
        <w:rPr>
          <w:rFonts w:hint="eastAsia"/>
          <w:b/>
        </w:rPr>
        <w:t>第六条</w:t>
      </w:r>
      <w:r>
        <w:rPr>
          <w:rFonts w:hint="eastAsia"/>
        </w:rPr>
        <w:t xml:space="preserve">  商业零售经营单位应当遵守有关安全生产的法律、法规、规章，加强安全生产管理，建立、健全安全生产责任制度，完善安全生产条件，确保安全生产。</w:t>
      </w:r>
    </w:p>
    <w:p w14:paraId="4C6C5E92">
      <w:pPr>
        <w:ind w:firstLine="422"/>
      </w:pPr>
      <w:r>
        <w:rPr>
          <w:rFonts w:hint="eastAsia"/>
          <w:b/>
        </w:rPr>
        <w:t>第七条</w:t>
      </w:r>
      <w:r>
        <w:rPr>
          <w:rFonts w:hint="eastAsia"/>
        </w:rPr>
        <w:t xml:space="preserve">  商业零售经营单位从业人员超</w:t>
      </w:r>
      <w:r>
        <w:rPr>
          <w:rFonts w:hint="eastAsia" w:ascii="宋体" w:hAnsi="宋体" w:eastAsia="宋体" w:cs="宋体"/>
        </w:rPr>
        <w:t>过300人的，应当设置安全生产管理机构或者配备专职安全生产管理人员；从业人员在300人以下的，应当配备</w:t>
      </w:r>
      <w:r>
        <w:rPr>
          <w:rFonts w:hint="eastAsia"/>
        </w:rPr>
        <w:t>专职或者兼职的安全生产管理人员，或者委托具有国家规定的相关专业技术资格的工程技术人员提供安全生产管理服务。</w:t>
      </w:r>
    </w:p>
    <w:p w14:paraId="62AE035C">
      <w:r>
        <w:rPr>
          <w:rFonts w:hint="eastAsia"/>
        </w:rPr>
        <w:t>前款所称从业人员包括本单位的职工和在本单位内从事生产经营活动的其他人员。</w:t>
      </w:r>
    </w:p>
    <w:p w14:paraId="0FEFCF9C">
      <w:pPr>
        <w:ind w:firstLine="422"/>
      </w:pPr>
      <w:r>
        <w:rPr>
          <w:rFonts w:hint="eastAsia"/>
          <w:b/>
        </w:rPr>
        <w:t>第八条</w:t>
      </w:r>
      <w:r>
        <w:rPr>
          <w:rFonts w:hint="eastAsia"/>
        </w:rPr>
        <w:t xml:space="preserve">  商业零售经营单位应当对从业人员进行安全生产教育和培训。未经安全生产教育和培训合格的从业人员，不得上岗作业。</w:t>
      </w:r>
    </w:p>
    <w:p w14:paraId="5850232F">
      <w:r>
        <w:rPr>
          <w:rFonts w:hint="eastAsia"/>
        </w:rPr>
        <w:t>商业零售经营单位应当对安全生产教育和培训的情况进行记录，记录至少</w:t>
      </w:r>
      <w:r>
        <w:rPr>
          <w:rFonts w:hint="eastAsia" w:ascii="宋体" w:hAnsi="宋体" w:eastAsia="宋体" w:cs="宋体"/>
        </w:rPr>
        <w:t>保存2年</w:t>
      </w:r>
      <w:r>
        <w:rPr>
          <w:rFonts w:hint="eastAsia"/>
        </w:rPr>
        <w:t>。</w:t>
      </w:r>
    </w:p>
    <w:p w14:paraId="6B1A57B7">
      <w:pPr>
        <w:ind w:firstLine="422"/>
      </w:pPr>
      <w:r>
        <w:rPr>
          <w:rFonts w:hint="eastAsia"/>
          <w:b/>
        </w:rPr>
        <w:t>第九条</w:t>
      </w:r>
      <w:r>
        <w:rPr>
          <w:rFonts w:hint="eastAsia"/>
        </w:rPr>
        <w:t xml:space="preserve">  商业零售经营单位的特种作业人员应当按照国家有关规定经专门的安全作业培训，取得特种作业操作资格证书，方可上岗作业。</w:t>
      </w:r>
    </w:p>
    <w:p w14:paraId="6C614DFB">
      <w:pPr>
        <w:ind w:firstLine="422"/>
      </w:pPr>
      <w:r>
        <w:rPr>
          <w:rFonts w:hint="eastAsia"/>
          <w:b/>
        </w:rPr>
        <w:t>第十条</w:t>
      </w:r>
      <w:r>
        <w:rPr>
          <w:rFonts w:hint="eastAsia"/>
        </w:rPr>
        <w:t xml:space="preserve">  商业零售经营单位应当建立安全生产例会制度，定期研究本单位安全生产工作；制定有效的安全生产措施，并对措施的落实情况进行检查。</w:t>
      </w:r>
    </w:p>
    <w:p w14:paraId="14BBD5AE">
      <w:pPr>
        <w:ind w:firstLine="422"/>
      </w:pPr>
      <w:r>
        <w:rPr>
          <w:rFonts w:hint="eastAsia"/>
          <w:b/>
        </w:rPr>
        <w:t>第十一条</w:t>
      </w:r>
      <w:r>
        <w:rPr>
          <w:rFonts w:hint="eastAsia"/>
        </w:rPr>
        <w:t xml:space="preserve">  商业零售经营单位应当建立生产安全事故隐患排查制度，对本单位容易发生事故的部位、设施，明确责任人员，制定并落实防范和应急措施。</w:t>
      </w:r>
    </w:p>
    <w:p w14:paraId="52687022">
      <w:pPr>
        <w:ind w:firstLine="422"/>
      </w:pPr>
      <w:r>
        <w:rPr>
          <w:rFonts w:hint="eastAsia"/>
          <w:b/>
        </w:rPr>
        <w:t>第十二条</w:t>
      </w:r>
      <w:r>
        <w:rPr>
          <w:rFonts w:hint="eastAsia"/>
        </w:rPr>
        <w:t xml:space="preserve">  商业零售经营单位应当在每日营业开始前和结束后，对营业区域进行全面安全检查；营业期间每</w:t>
      </w:r>
      <w:r>
        <w:rPr>
          <w:rFonts w:hint="eastAsia" w:ascii="宋体" w:hAnsi="宋体" w:eastAsia="宋体" w:cs="宋体"/>
        </w:rPr>
        <w:t>2小时至少进行1次安全巡查。检查和巡查应当</w:t>
      </w:r>
      <w:r>
        <w:rPr>
          <w:rFonts w:hint="eastAsia"/>
        </w:rPr>
        <w:t>做好记录。</w:t>
      </w:r>
    </w:p>
    <w:p w14:paraId="5D283F1A">
      <w:pPr>
        <w:ind w:firstLine="422"/>
      </w:pPr>
      <w:r>
        <w:rPr>
          <w:rFonts w:hint="eastAsia"/>
          <w:b/>
        </w:rPr>
        <w:t>第十三条</w:t>
      </w:r>
      <w:r>
        <w:rPr>
          <w:rFonts w:hint="eastAsia"/>
        </w:rPr>
        <w:t xml:space="preserve">  商业零售经营单位的变配电室总额定容</w:t>
      </w:r>
      <w:r>
        <w:rPr>
          <w:rFonts w:hint="eastAsia" w:ascii="宋体" w:hAnsi="宋体" w:eastAsia="宋体" w:cs="宋体"/>
        </w:rPr>
        <w:t>量在630千伏安以</w:t>
      </w:r>
      <w:r>
        <w:rPr>
          <w:rFonts w:hint="eastAsia"/>
        </w:rPr>
        <w:t>上且电压等级为</w:t>
      </w:r>
      <w:r>
        <w:rPr>
          <w:rFonts w:hint="eastAsia" w:ascii="宋体" w:hAnsi="宋体" w:eastAsia="宋体" w:cs="宋体"/>
        </w:rPr>
        <w:t>10千伏的，应当安排专人24小时值班。值班应当做好</w:t>
      </w:r>
      <w:r>
        <w:rPr>
          <w:rFonts w:hint="eastAsia"/>
        </w:rPr>
        <w:t>记录。</w:t>
      </w:r>
    </w:p>
    <w:p w14:paraId="31A97DBE">
      <w:r>
        <w:rPr>
          <w:rFonts w:hint="eastAsia"/>
        </w:rPr>
        <w:t>变配电室不得存放危险物品和杂物。</w:t>
      </w:r>
    </w:p>
    <w:p w14:paraId="02516C44">
      <w:pPr>
        <w:ind w:firstLine="422"/>
      </w:pPr>
      <w:r>
        <w:rPr>
          <w:rFonts w:hint="eastAsia"/>
          <w:b/>
        </w:rPr>
        <w:t>第十四条</w:t>
      </w:r>
      <w:r>
        <w:rPr>
          <w:rFonts w:hint="eastAsia"/>
        </w:rPr>
        <w:t xml:space="preserve">  变配电室应当配备用电设备和配电线路平面分布图等安全技术资料，以及必要的作业工具和劳动防护用品，并在明显位置设置变配电系统操作模拟图板。</w:t>
      </w:r>
    </w:p>
    <w:p w14:paraId="02C5E11F">
      <w:r>
        <w:rPr>
          <w:rFonts w:hint="eastAsia"/>
        </w:rPr>
        <w:t>变配电室的门、窗、电缆沟应当设置防水设施和挡鼠板。</w:t>
      </w:r>
    </w:p>
    <w:p w14:paraId="6675F09C">
      <w:pPr>
        <w:ind w:firstLine="422"/>
      </w:pPr>
      <w:r>
        <w:rPr>
          <w:rFonts w:hint="eastAsia"/>
          <w:b/>
        </w:rPr>
        <w:t>第十五条</w:t>
      </w:r>
      <w:r>
        <w:rPr>
          <w:rFonts w:hint="eastAsia"/>
        </w:rPr>
        <w:t xml:space="preserve">  商业零售经营单位设置的电源线路应当符合国家标准或者行业标准；临时用电线路应当采取有效防护措施；电气设备应当安装漏电和过载保护装置。</w:t>
      </w:r>
    </w:p>
    <w:p w14:paraId="4F152DE6">
      <w:pPr>
        <w:ind w:firstLine="422"/>
      </w:pPr>
      <w:r>
        <w:rPr>
          <w:rFonts w:hint="eastAsia"/>
          <w:b/>
        </w:rPr>
        <w:t>第十六条</w:t>
      </w:r>
      <w:r>
        <w:rPr>
          <w:rFonts w:hint="eastAsia"/>
        </w:rPr>
        <w:t xml:space="preserve">  商业零售经营单位应当保证安全出口的畅通；不得封闭、堵塞安全出口；安全出口处不得设置门槛。</w:t>
      </w:r>
    </w:p>
    <w:p w14:paraId="4DE10357">
      <w:r>
        <w:rPr>
          <w:rFonts w:hint="eastAsia"/>
        </w:rPr>
        <w:t>疏散门应当向疏散方向开启，不得采用卷帘门、转门、吊门、侧拉门。</w:t>
      </w:r>
      <w:r>
        <w:rPr>
          <w:rFonts w:hint="eastAsia" w:ascii="宋体" w:hAnsi="宋体" w:eastAsia="宋体" w:cs="宋体"/>
        </w:rPr>
        <w:t>门内和门外1.4</w:t>
      </w:r>
      <w:r>
        <w:rPr>
          <w:rFonts w:hint="eastAsia"/>
        </w:rPr>
        <w:t>米范围内不得设置踏步。</w:t>
      </w:r>
    </w:p>
    <w:p w14:paraId="210B0447">
      <w:pPr>
        <w:ind w:firstLine="422"/>
      </w:pPr>
      <w:r>
        <w:rPr>
          <w:rFonts w:hint="eastAsia"/>
          <w:b/>
        </w:rPr>
        <w:t>第十七条</w:t>
      </w:r>
      <w:r>
        <w:rPr>
          <w:rFonts w:hint="eastAsia"/>
        </w:rPr>
        <w:t xml:space="preserve">  营业区域内的安全出口数目、安全疏散距离、疏散门和疏散通道的宽度应当符合国家标准或者行业标准。</w:t>
      </w:r>
    </w:p>
    <w:p w14:paraId="4FE2DECB">
      <w:pPr>
        <w:ind w:firstLine="422"/>
      </w:pPr>
      <w:r>
        <w:rPr>
          <w:rFonts w:hint="eastAsia"/>
          <w:b/>
        </w:rPr>
        <w:t>第十八条</w:t>
      </w:r>
      <w:r>
        <w:rPr>
          <w:rFonts w:hint="eastAsia"/>
        </w:rPr>
        <w:t xml:space="preserve">  营业区域内的安全出口和疏散通道及其转角处应当设置发光疏散指示标志。指示标志应当能够在断电且无自然光照明时，指引疏散位置和疏散方向。</w:t>
      </w:r>
    </w:p>
    <w:p w14:paraId="1564533E">
      <w:pPr>
        <w:rPr>
          <w:rFonts w:hint="eastAsia" w:ascii="宋体" w:hAnsi="宋体" w:eastAsia="宋体" w:cs="宋体"/>
        </w:rPr>
      </w:pPr>
      <w:r>
        <w:rPr>
          <w:rFonts w:hint="eastAsia"/>
        </w:rPr>
        <w:t>指示标志应当设置在安全出口的顶部和疏散通道及其转角处距</w:t>
      </w:r>
      <w:r>
        <w:rPr>
          <w:rFonts w:hint="eastAsia" w:ascii="宋体" w:hAnsi="宋体" w:eastAsia="宋体" w:cs="宋体"/>
        </w:rPr>
        <w:t>地面高度1米以下的墙面上；设置在疏散通道上的指示标志的间距不得大于10米。</w:t>
      </w:r>
    </w:p>
    <w:p w14:paraId="130871EF">
      <w:pPr>
        <w:ind w:firstLine="422"/>
        <w:rPr>
          <w:rFonts w:hint="eastAsia" w:ascii="宋体" w:hAnsi="宋体" w:eastAsia="宋体" w:cs="宋体"/>
        </w:rPr>
      </w:pPr>
      <w:r>
        <w:rPr>
          <w:rFonts w:hint="eastAsia"/>
          <w:b/>
        </w:rPr>
        <w:t>第十九条</w:t>
      </w:r>
      <w:r>
        <w:rPr>
          <w:rFonts w:hint="eastAsia"/>
        </w:rPr>
        <w:t xml:space="preserve">  营业区域内的安全出口、疏散通道和重点部位应当设置应急照明灯。应急照明灯的连续照明时间不得少</w:t>
      </w:r>
      <w:r>
        <w:rPr>
          <w:rFonts w:hint="eastAsia" w:ascii="宋体" w:hAnsi="宋体" w:eastAsia="宋体" w:cs="宋体"/>
        </w:rPr>
        <w:t>于20分钟，其地面最低照度不得低于0.5勒克斯。</w:t>
      </w:r>
    </w:p>
    <w:p w14:paraId="45B6E39F">
      <w:pPr>
        <w:ind w:firstLine="422"/>
        <w:rPr>
          <w:rFonts w:hint="eastAsia" w:ascii="宋体" w:hAnsi="宋体" w:eastAsia="宋体" w:cs="宋体"/>
        </w:rPr>
      </w:pPr>
      <w:r>
        <w:rPr>
          <w:rFonts w:hint="eastAsia"/>
          <w:b/>
        </w:rPr>
        <w:t>第二十条</w:t>
      </w:r>
      <w:r>
        <w:rPr>
          <w:rFonts w:hint="eastAsia"/>
        </w:rPr>
        <w:t xml:space="preserve">  营业区域内应当设置主要疏散通道和辅助疏散通道。主要疏散通道应当直接通向安全出口，其宽度不得小于</w:t>
      </w:r>
      <w:r>
        <w:rPr>
          <w:rFonts w:hint="eastAsia" w:ascii="宋体" w:hAnsi="宋体" w:eastAsia="宋体" w:cs="宋体"/>
        </w:rPr>
        <w:t>2.4米；辅助疏散通道的宽度不得小于1.5米。疏散通道内不得设置摊位或者堆放货物。</w:t>
      </w:r>
    </w:p>
    <w:p w14:paraId="6186E590">
      <w:pPr>
        <w:ind w:firstLine="422"/>
        <w:rPr>
          <w:rFonts w:hint="eastAsia" w:ascii="宋体" w:hAnsi="宋体" w:eastAsia="宋体" w:cs="宋体"/>
        </w:rPr>
      </w:pPr>
      <w:r>
        <w:rPr>
          <w:rFonts w:hint="eastAsia"/>
          <w:b/>
        </w:rPr>
        <w:t>第二十一条</w:t>
      </w:r>
      <w:r>
        <w:rPr>
          <w:rFonts w:hint="eastAsia"/>
        </w:rPr>
        <w:t xml:space="preserve">  设有集中收银区的超市等商业零售经营单位应当在收银区设置无购物出口，其宽度不得小于</w:t>
      </w:r>
      <w:r>
        <w:rPr>
          <w:rFonts w:hint="eastAsia" w:ascii="宋体" w:hAnsi="宋体" w:eastAsia="宋体" w:cs="宋体"/>
        </w:rPr>
        <w:t>1.5米，并设置明显标志。</w:t>
      </w:r>
    </w:p>
    <w:p w14:paraId="1C54F306">
      <w:pPr>
        <w:rPr>
          <w:rFonts w:hint="eastAsia" w:ascii="宋体" w:hAnsi="宋体" w:eastAsia="宋体" w:cs="宋体"/>
        </w:rPr>
      </w:pPr>
      <w:r>
        <w:rPr>
          <w:rFonts w:hint="eastAsia" w:ascii="宋体" w:hAnsi="宋体" w:eastAsia="宋体" w:cs="宋体"/>
        </w:rPr>
        <w:t>收银区的宽度在20米以下的，应当至少设置1个无购物出口；宽度超过20米的，每增加20米，至少增加1个无购物出口，增加的宽度不足20米的，按照增加20米计算。</w:t>
      </w:r>
    </w:p>
    <w:p w14:paraId="2A8D36F5">
      <w:r>
        <w:rPr>
          <w:rFonts w:hint="eastAsia"/>
        </w:rPr>
        <w:t>营业区域内的购物筐和购物车应当及时清理。</w:t>
      </w:r>
    </w:p>
    <w:p w14:paraId="63407213">
      <w:pPr>
        <w:ind w:firstLine="422"/>
      </w:pPr>
      <w:r>
        <w:rPr>
          <w:rFonts w:hint="eastAsia"/>
          <w:b/>
        </w:rPr>
        <w:t>第二十二条</w:t>
      </w:r>
      <w:r>
        <w:rPr>
          <w:rFonts w:hint="eastAsia"/>
        </w:rPr>
        <w:t xml:space="preserve">  营业区域内落地式的玻璃门、玻璃窗、玻璃墙应当设置安全警示标志。</w:t>
      </w:r>
    </w:p>
    <w:p w14:paraId="360EB190">
      <w:r>
        <w:rPr>
          <w:rFonts w:hint="eastAsia"/>
        </w:rPr>
        <w:t>安全警示标志应当明显，保持完好，便于公众识别。</w:t>
      </w:r>
    </w:p>
    <w:p w14:paraId="3FB207D3">
      <w:pPr>
        <w:ind w:firstLine="422"/>
      </w:pPr>
      <w:r>
        <w:rPr>
          <w:rFonts w:hint="eastAsia"/>
          <w:b/>
        </w:rPr>
        <w:t>第二十三条</w:t>
      </w:r>
      <w:r>
        <w:rPr>
          <w:rFonts w:hint="eastAsia"/>
        </w:rPr>
        <w:t xml:space="preserve">  商业零售经营单位在营业区域内进行装修、维修、改造等施工且不停止营业的，应当与施工单位签订专门的安全生产管理协议，明确安全责任；施工区域应当与其他营业区域相隔离，并采取安全措施，确保安全。</w:t>
      </w:r>
    </w:p>
    <w:p w14:paraId="19C44398">
      <w:pPr>
        <w:ind w:firstLine="422"/>
      </w:pPr>
      <w:r>
        <w:rPr>
          <w:rFonts w:hint="eastAsia"/>
          <w:b/>
        </w:rPr>
        <w:t>第二十四条</w:t>
      </w:r>
      <w:r>
        <w:rPr>
          <w:rFonts w:hint="eastAsia"/>
        </w:rPr>
        <w:t xml:space="preserve">  商业零售经营单位将经营场所出租的，应当与承租单位签订安全生产管理协议，明确各自的安全生产管理职责。</w:t>
      </w:r>
    </w:p>
    <w:p w14:paraId="00D61433">
      <w:r>
        <w:rPr>
          <w:rFonts w:hint="eastAsia"/>
        </w:rPr>
        <w:t>商业零售经营单位对各承租单位的安全生产工作统一协调、管理。</w:t>
      </w:r>
    </w:p>
    <w:p w14:paraId="13556C98">
      <w:pPr>
        <w:ind w:firstLine="422"/>
      </w:pPr>
      <w:r>
        <w:rPr>
          <w:rFonts w:hint="eastAsia"/>
          <w:b/>
        </w:rPr>
        <w:t>第二十五条</w:t>
      </w:r>
      <w:r>
        <w:rPr>
          <w:rFonts w:hint="eastAsia"/>
        </w:rPr>
        <w:t xml:space="preserve">  商业零售经营单位的库房不得设置移动式照明灯具，不得使用碘钨灯、超过60瓦的白炽灯等高温照明灯具。灯具与货物的间距不得小</w:t>
      </w:r>
      <w:r>
        <w:rPr>
          <w:rFonts w:hint="eastAsia" w:ascii="宋体" w:hAnsi="宋体" w:eastAsia="宋体" w:cs="宋体"/>
        </w:rPr>
        <w:t>于0.5米。日</w:t>
      </w:r>
      <w:r>
        <w:rPr>
          <w:rFonts w:hint="eastAsia"/>
        </w:rPr>
        <w:t>光灯的镇流器应当采取隔热、散热等防火措施。电气设备应当符合防爆要求。</w:t>
      </w:r>
    </w:p>
    <w:p w14:paraId="6C20B3B9">
      <w:r>
        <w:rPr>
          <w:rFonts w:hint="eastAsia"/>
        </w:rPr>
        <w:t>危险物品应当单独存放，专人管理。</w:t>
      </w:r>
    </w:p>
    <w:p w14:paraId="31A3299B">
      <w:pPr>
        <w:ind w:firstLine="422"/>
      </w:pPr>
      <w:r>
        <w:rPr>
          <w:rFonts w:hint="eastAsia"/>
          <w:b/>
        </w:rPr>
        <w:t>第二十六条</w:t>
      </w:r>
      <w:r>
        <w:rPr>
          <w:rFonts w:hint="eastAsia"/>
        </w:rPr>
        <w:t xml:space="preserve">  营业区域内实际容纳的消费者人数不得超过最大容纳人数。</w:t>
      </w:r>
    </w:p>
    <w:p w14:paraId="2FB55267">
      <w:pPr>
        <w:rPr>
          <w:rFonts w:hint="eastAsia" w:ascii="宋体" w:hAnsi="宋体" w:eastAsia="宋体" w:cs="宋体"/>
        </w:rPr>
      </w:pPr>
      <w:r>
        <w:rPr>
          <w:rFonts w:hint="eastAsia"/>
        </w:rPr>
        <w:t>最大容纳人数按照营业</w:t>
      </w:r>
      <w:r>
        <w:rPr>
          <w:rFonts w:hint="eastAsia" w:ascii="宋体" w:hAnsi="宋体" w:eastAsia="宋体" w:cs="宋体"/>
        </w:rPr>
        <w:t>区域的公共面积计算，超市人均不得小于0.8平方米，其他商业零售经营单位人均不得小于0.6平方米。</w:t>
      </w:r>
    </w:p>
    <w:p w14:paraId="260ABF0A">
      <w:pPr>
        <w:rPr>
          <w:rFonts w:hint="eastAsia" w:ascii="宋体" w:hAnsi="宋体" w:eastAsia="宋体" w:cs="宋体"/>
        </w:rPr>
      </w:pPr>
      <w:r>
        <w:rPr>
          <w:rFonts w:hint="eastAsia" w:ascii="宋体" w:hAnsi="宋体" w:eastAsia="宋体" w:cs="宋体"/>
        </w:rPr>
        <w:t>营业区域的公共面积占营业区域总面积的比例，超市不得小于35%，其他商业零售经营单位不得小于40%。</w:t>
      </w:r>
    </w:p>
    <w:p w14:paraId="54EEEE33">
      <w:pPr>
        <w:ind w:firstLine="422"/>
      </w:pPr>
      <w:r>
        <w:rPr>
          <w:rFonts w:hint="eastAsia"/>
          <w:b/>
        </w:rPr>
        <w:t>第二十七条</w:t>
      </w:r>
      <w:r>
        <w:rPr>
          <w:rFonts w:hint="eastAsia"/>
        </w:rPr>
        <w:t xml:space="preserve">  当接近最大容纳人数或者人员相对聚集时，商业零售经营单位应当采取有效的控制和疏散措施，确保安全。</w:t>
      </w:r>
    </w:p>
    <w:p w14:paraId="2D3B7C30">
      <w:pPr>
        <w:ind w:firstLine="422"/>
      </w:pPr>
      <w:r>
        <w:rPr>
          <w:rFonts w:hint="eastAsia"/>
          <w:b/>
        </w:rPr>
        <w:t>第二十八条</w:t>
      </w:r>
      <w:r>
        <w:rPr>
          <w:rFonts w:hint="eastAsia"/>
        </w:rPr>
        <w:t xml:space="preserve">  商业零售经营单位在店内举办促销活动的，应当制定突发事件应急救援预案。</w:t>
      </w:r>
    </w:p>
    <w:p w14:paraId="114D9885">
      <w:r>
        <w:rPr>
          <w:rFonts w:hint="eastAsia"/>
        </w:rPr>
        <w:t>活动举办期间，应当落实各项安全措施，配备足够的专职安全工作人员维护现场秩序；建筑面</w:t>
      </w:r>
      <w:r>
        <w:rPr>
          <w:rFonts w:hint="eastAsia" w:ascii="宋体" w:hAnsi="宋体" w:eastAsia="宋体" w:cs="宋体"/>
        </w:rPr>
        <w:t>积在1万平方米以上的商业零售经营单位，应当至少配备50名专职安全工作人员</w:t>
      </w:r>
      <w:r>
        <w:rPr>
          <w:rFonts w:hint="eastAsia"/>
        </w:rPr>
        <w:t>。</w:t>
      </w:r>
    </w:p>
    <w:p w14:paraId="51D90693">
      <w:pPr>
        <w:ind w:firstLine="422"/>
      </w:pPr>
      <w:r>
        <w:rPr>
          <w:rFonts w:hint="eastAsia"/>
          <w:b/>
        </w:rPr>
        <w:t>第二十九条</w:t>
      </w:r>
      <w:r>
        <w:rPr>
          <w:rFonts w:hint="eastAsia"/>
        </w:rPr>
        <w:t xml:space="preserve">  营业区域不得设置在地下</w:t>
      </w:r>
      <w:r>
        <w:rPr>
          <w:rFonts w:hint="eastAsia" w:ascii="宋体" w:hAnsi="宋体" w:eastAsia="宋体" w:cs="宋体"/>
        </w:rPr>
        <w:t>3层</w:t>
      </w:r>
      <w:r>
        <w:rPr>
          <w:rFonts w:hint="eastAsia"/>
        </w:rPr>
        <w:t>以下。不得在地下营业区域经营或者储存危险物品。</w:t>
      </w:r>
    </w:p>
    <w:p w14:paraId="5F7335B1">
      <w:pPr>
        <w:ind w:firstLine="422"/>
      </w:pPr>
      <w:r>
        <w:rPr>
          <w:rFonts w:hint="eastAsia"/>
          <w:b/>
        </w:rPr>
        <w:t>第三十条</w:t>
      </w:r>
      <w:r>
        <w:rPr>
          <w:rFonts w:hint="eastAsia"/>
        </w:rPr>
        <w:t xml:space="preserve">  商业零售经营单位应当制定生产安全事故应急救援预案。应急救援预案应当包括应急救援组织、危险目标、启动程序、紧急处置措施等内容。</w:t>
      </w:r>
    </w:p>
    <w:p w14:paraId="41487394">
      <w:r>
        <w:rPr>
          <w:rFonts w:hint="eastAsia"/>
        </w:rPr>
        <w:t>应急救援预案应当每半年至少演</w:t>
      </w:r>
      <w:r>
        <w:rPr>
          <w:rFonts w:hint="eastAsia" w:ascii="宋体" w:hAnsi="宋体" w:eastAsia="宋体" w:cs="宋体"/>
        </w:rPr>
        <w:t>练1次，并</w:t>
      </w:r>
      <w:r>
        <w:rPr>
          <w:rFonts w:hint="eastAsia"/>
        </w:rPr>
        <w:t>做好记录。</w:t>
      </w:r>
    </w:p>
    <w:p w14:paraId="693C83D4">
      <w:pPr>
        <w:ind w:firstLine="422"/>
      </w:pPr>
      <w:r>
        <w:rPr>
          <w:rFonts w:hint="eastAsia"/>
          <w:b/>
        </w:rPr>
        <w:t>第三十一条</w:t>
      </w:r>
      <w:r>
        <w:rPr>
          <w:rFonts w:hint="eastAsia"/>
        </w:rPr>
        <w:t xml:space="preserve">  商业零售经营单位的有关负责人应当掌握应急救援预案的全部内容；其他人员应当能够熟练使用应急器材，了解安全出口和疏散通道的位置以及本岗位的应急救援职责。</w:t>
      </w:r>
    </w:p>
    <w:p w14:paraId="6B075D5B">
      <w:pPr>
        <w:ind w:firstLine="422"/>
      </w:pPr>
      <w:r>
        <w:rPr>
          <w:rFonts w:hint="eastAsia"/>
          <w:b/>
        </w:rPr>
        <w:t>第三十二条</w:t>
      </w:r>
      <w:r>
        <w:rPr>
          <w:rFonts w:hint="eastAsia"/>
        </w:rPr>
        <w:t xml:space="preserve">  商业零售经营单位应当设置能够覆盖全部营业区域的应急广播，并能够使用中英文两种语言播放。</w:t>
      </w:r>
    </w:p>
    <w:p w14:paraId="16DFF9C4">
      <w:pPr>
        <w:ind w:firstLine="422"/>
      </w:pPr>
      <w:r>
        <w:rPr>
          <w:rFonts w:hint="eastAsia"/>
          <w:b/>
        </w:rPr>
        <w:t>第三十三条</w:t>
      </w:r>
      <w:r>
        <w:rPr>
          <w:rFonts w:hint="eastAsia"/>
        </w:rPr>
        <w:t xml:space="preserve">  商业零售经营单位发生生产安全事故后，应当迅速启动应急救援预案，采取有效措施，组织人员疏散，防止事故扩大，并按照国家和本市有关规定及时、如实报告公安、安全生产监督管理、商务等有关部门。</w:t>
      </w:r>
    </w:p>
    <w:p w14:paraId="659EBB62">
      <w:pPr>
        <w:ind w:firstLine="422"/>
      </w:pPr>
      <w:r>
        <w:rPr>
          <w:rFonts w:hint="eastAsia"/>
          <w:b/>
        </w:rPr>
        <w:t>第三十四条</w:t>
      </w:r>
      <w:r>
        <w:rPr>
          <w:rFonts w:hint="eastAsia"/>
        </w:rPr>
        <w:t xml:space="preserve">  安全生产监督管理部门发现商业零售经营单位存在安全生产问题，属于行业监督管理或者专项监督管理职责的，应当及时以书面形式督促有关部门处理。</w:t>
      </w:r>
    </w:p>
    <w:p w14:paraId="76675BC9">
      <w:pPr>
        <w:ind w:firstLine="422"/>
      </w:pPr>
      <w:r>
        <w:rPr>
          <w:rFonts w:hint="eastAsia"/>
          <w:b/>
        </w:rPr>
        <w:t>第三十五条</w:t>
      </w:r>
      <w:r>
        <w:rPr>
          <w:rFonts w:hint="eastAsia"/>
        </w:rPr>
        <w:t xml:space="preserve">  商业零售经营单位违反本规定，有下列情形之一的，由商务行政主管部门责令改正，并按照下列规定给予行政处罚：</w:t>
      </w:r>
    </w:p>
    <w:p w14:paraId="4FDB8D7F">
      <w:pPr>
        <w:rPr>
          <w:rFonts w:hint="eastAsia" w:ascii="宋体" w:hAnsi="宋体" w:eastAsia="宋体" w:cs="宋体"/>
        </w:rPr>
      </w:pPr>
      <w:r>
        <w:rPr>
          <w:rFonts w:hint="eastAsia"/>
        </w:rPr>
        <w:t>（一）未建立安全生产例会制度或者未制定</w:t>
      </w:r>
      <w:r>
        <w:rPr>
          <w:rFonts w:hint="eastAsia" w:ascii="宋体" w:hAnsi="宋体" w:eastAsia="宋体" w:cs="宋体"/>
        </w:rPr>
        <w:t>安全生产措施的，处5000元以上1万元以下罚款；</w:t>
      </w:r>
    </w:p>
    <w:p w14:paraId="4E563F06">
      <w:pPr>
        <w:rPr>
          <w:rFonts w:hint="eastAsia" w:ascii="宋体" w:hAnsi="宋体" w:eastAsia="宋体" w:cs="宋体"/>
        </w:rPr>
      </w:pPr>
      <w:r>
        <w:rPr>
          <w:rFonts w:hint="eastAsia" w:ascii="宋体" w:hAnsi="宋体" w:eastAsia="宋体" w:cs="宋体"/>
        </w:rPr>
        <w:t>（二）未建立生产安全事故隐患排查制度的，处5000元以上2万元以下罚款；</w:t>
      </w:r>
    </w:p>
    <w:p w14:paraId="36CC1563">
      <w:pPr>
        <w:rPr>
          <w:rFonts w:hint="eastAsia" w:ascii="宋体" w:hAnsi="宋体" w:eastAsia="宋体" w:cs="宋体"/>
        </w:rPr>
      </w:pPr>
      <w:r>
        <w:rPr>
          <w:rFonts w:hint="eastAsia" w:ascii="宋体" w:hAnsi="宋体" w:eastAsia="宋体" w:cs="宋体"/>
        </w:rPr>
        <w:t>（三）未设置无购物出口或者无购物出口的宽度、数目不符合要求的，处5000元以上3万元以下罚款；</w:t>
      </w:r>
    </w:p>
    <w:p w14:paraId="27E817B9">
      <w:pPr>
        <w:rPr>
          <w:rFonts w:hint="eastAsia" w:ascii="宋体" w:hAnsi="宋体" w:eastAsia="宋体" w:cs="宋体"/>
        </w:rPr>
      </w:pPr>
      <w:r>
        <w:rPr>
          <w:rFonts w:hint="eastAsia" w:ascii="宋体" w:hAnsi="宋体" w:eastAsia="宋体" w:cs="宋体"/>
        </w:rPr>
        <w:t>（四）未设置能够覆盖全部营业区域的应急广播或者不能使用中英文两种语言播放的，处5000元以上2万元以下罚款。</w:t>
      </w:r>
    </w:p>
    <w:p w14:paraId="7C683BA5">
      <w:pPr>
        <w:ind w:firstLine="422"/>
      </w:pPr>
      <w:r>
        <w:rPr>
          <w:rFonts w:hint="eastAsia"/>
          <w:b/>
        </w:rPr>
        <w:t>第三十六条</w:t>
      </w:r>
      <w:r>
        <w:rPr>
          <w:rFonts w:hint="eastAsia"/>
        </w:rPr>
        <w:t xml:space="preserve">  违反本规定，按照安全生产、消防、特种设备安全等法律、法规、规章的规定应当给予行政处罚的，由有关部门依法处罚。</w:t>
      </w:r>
    </w:p>
    <w:p w14:paraId="0D08C267">
      <w:pPr>
        <w:ind w:firstLine="422"/>
      </w:pPr>
      <w:r>
        <w:rPr>
          <w:rFonts w:hint="eastAsia"/>
          <w:b/>
        </w:rPr>
        <w:t>第三十七条</w:t>
      </w:r>
      <w:r>
        <w:rPr>
          <w:rFonts w:hint="eastAsia"/>
        </w:rPr>
        <w:t xml:space="preserve">  本规定</w:t>
      </w:r>
      <w:r>
        <w:rPr>
          <w:rFonts w:hint="eastAsia" w:ascii="宋体" w:hAnsi="宋体" w:eastAsia="宋体" w:cs="宋体"/>
        </w:rPr>
        <w:t>自2007年4月1日起施行</w:t>
      </w:r>
      <w:r>
        <w:rPr>
          <w:rFonts w:hint="eastAsia"/>
        </w:rPr>
        <w:t>。</w:t>
      </w:r>
    </w:p>
    <w:p w14:paraId="756DA7D9">
      <w:pPr>
        <w:pStyle w:val="4"/>
        <w:pageBreakBefore/>
      </w:pPr>
      <w:bookmarkStart w:id="1975" w:name="_Toc426467031"/>
      <w:bookmarkStart w:id="1976" w:name="_Toc428780423"/>
      <w:bookmarkStart w:id="1977" w:name="_Toc428781779"/>
      <w:r>
        <w:rPr>
          <w:rFonts w:hint="eastAsia"/>
        </w:rPr>
        <w:t>北京市餐饮经营单位安全生产规定</w:t>
      </w:r>
      <w:bookmarkEnd w:id="1975"/>
      <w:bookmarkEnd w:id="1976"/>
      <w:bookmarkEnd w:id="1977"/>
    </w:p>
    <w:p w14:paraId="62A998AC"/>
    <w:p w14:paraId="2C892E97">
      <w:pPr>
        <w:ind w:left="630" w:leftChars="300" w:right="630" w:rightChars="300"/>
        <w:rPr>
          <w:rFonts w:ascii="楷体" w:hAnsi="楷体" w:eastAsia="楷体"/>
        </w:rPr>
      </w:pPr>
      <w:r>
        <w:rPr>
          <w:rFonts w:hint="eastAsia" w:ascii="楷体" w:hAnsi="楷体" w:eastAsia="楷体"/>
        </w:rPr>
        <w:t>（2006年10月12日北京市人民政府第54次常务会议审议通过  2006年10月26日北京市人民政府第177号令公布）</w:t>
      </w:r>
    </w:p>
    <w:p w14:paraId="1F34E5AD"/>
    <w:p w14:paraId="4610C2BA">
      <w:pPr>
        <w:ind w:firstLine="422"/>
      </w:pPr>
      <w:r>
        <w:rPr>
          <w:rFonts w:hint="eastAsia"/>
          <w:b/>
        </w:rPr>
        <w:t>第一条</w:t>
      </w:r>
      <w:r>
        <w:rPr>
          <w:rFonts w:hint="eastAsia"/>
        </w:rPr>
        <w:t xml:space="preserve">  为了加强安全生产监督管理，提高餐饮经营单位安全生产水平，防止和减少生产安全事故，保障人民群众生命和财产安全，根据《中华人民共和国安全生产法》和《北京市安全生产条例》及有关法律、法规，制定本规定。</w:t>
      </w:r>
    </w:p>
    <w:p w14:paraId="425412CF">
      <w:pPr>
        <w:ind w:firstLine="422"/>
      </w:pPr>
      <w:r>
        <w:rPr>
          <w:rFonts w:hint="eastAsia"/>
          <w:b/>
        </w:rPr>
        <w:t>第二条</w:t>
      </w:r>
      <w:r>
        <w:rPr>
          <w:rFonts w:hint="eastAsia"/>
        </w:rPr>
        <w:t xml:space="preserve">  本市行政区域内建筑面</w:t>
      </w:r>
      <w:r>
        <w:rPr>
          <w:rFonts w:hint="eastAsia" w:ascii="宋体" w:hAnsi="宋体" w:eastAsia="宋体" w:cs="宋体"/>
        </w:rPr>
        <w:t>积在500平方米以</w:t>
      </w:r>
      <w:r>
        <w:rPr>
          <w:rFonts w:hint="eastAsia"/>
        </w:rPr>
        <w:t>上的餐饮经营单位的安全生产，适用本规定；有关法律、法规、规章对消防安全、特种设备安全另有规定的，适用其规定。</w:t>
      </w:r>
    </w:p>
    <w:p w14:paraId="6BC635D3">
      <w:pPr>
        <w:ind w:firstLine="422"/>
      </w:pPr>
      <w:r>
        <w:rPr>
          <w:rFonts w:hint="eastAsia"/>
          <w:b/>
        </w:rPr>
        <w:t>第三条</w:t>
      </w:r>
      <w:r>
        <w:rPr>
          <w:rFonts w:hint="eastAsia"/>
        </w:rPr>
        <w:t xml:space="preserve">  安全生产管理，坚持安全第一、预防为主、综合治理的方针。</w:t>
      </w:r>
    </w:p>
    <w:p w14:paraId="393B432B">
      <w:pPr>
        <w:ind w:firstLine="422"/>
      </w:pPr>
      <w:r>
        <w:rPr>
          <w:rFonts w:hint="eastAsia"/>
          <w:b/>
        </w:rPr>
        <w:t>第四条</w:t>
      </w:r>
      <w:r>
        <w:rPr>
          <w:rFonts w:hint="eastAsia"/>
        </w:rPr>
        <w:t xml:space="preserve">  市和区、县商务行政主管部门对餐饮经营单位的安全生产工作实施行业监督管理；公安消防、质量技术监督等部门分别对餐饮经营单位的消防安全、特种设备安全等实施专项监督管理；安全生产监督管理部门对餐饮经营单位的安全生产工作实施综合监督管理，指导、协调和监督政府有关部门履行安全生产监督管理职责。</w:t>
      </w:r>
    </w:p>
    <w:p w14:paraId="58464A08">
      <w:r>
        <w:rPr>
          <w:rFonts w:hint="eastAsia"/>
        </w:rPr>
        <w:t>行业协会协助政府有关部门指导会员单位做好安全生产工作，制定安全生产制度、规程，提供相关服务。</w:t>
      </w:r>
    </w:p>
    <w:p w14:paraId="5C3EF097">
      <w:pPr>
        <w:ind w:firstLine="422"/>
      </w:pPr>
      <w:r>
        <w:rPr>
          <w:rFonts w:hint="eastAsia"/>
          <w:b/>
        </w:rPr>
        <w:t>第五条</w:t>
      </w:r>
      <w:r>
        <w:rPr>
          <w:rFonts w:hint="eastAsia"/>
        </w:rPr>
        <w:t xml:space="preserve">  餐饮经营单位的主要负责人对本单位的安全生产工作全面负责。</w:t>
      </w:r>
    </w:p>
    <w:p w14:paraId="0E512A09">
      <w:pPr>
        <w:ind w:firstLine="422"/>
      </w:pPr>
      <w:r>
        <w:rPr>
          <w:rFonts w:hint="eastAsia"/>
          <w:b/>
        </w:rPr>
        <w:t>第六条</w:t>
      </w:r>
      <w:r>
        <w:rPr>
          <w:rFonts w:hint="eastAsia"/>
        </w:rPr>
        <w:t xml:space="preserve">  餐饮经营单位应当遵守有关安全生产的法律、法规、规章，加强安全生产管理，建立、健全安全生产责任制度，完善安全生产条件，确保安全生产。</w:t>
      </w:r>
    </w:p>
    <w:p w14:paraId="28FFC6BD">
      <w:pPr>
        <w:ind w:firstLine="422"/>
      </w:pPr>
      <w:r>
        <w:rPr>
          <w:rFonts w:hint="eastAsia"/>
          <w:b/>
        </w:rPr>
        <w:t>第七条</w:t>
      </w:r>
      <w:r>
        <w:rPr>
          <w:rFonts w:hint="eastAsia"/>
        </w:rPr>
        <w:t xml:space="preserve">  餐饮经营单位从业人员超</w:t>
      </w:r>
      <w:r>
        <w:rPr>
          <w:rFonts w:hint="eastAsia" w:ascii="宋体" w:hAnsi="宋体" w:eastAsia="宋体" w:cs="宋体"/>
        </w:rPr>
        <w:t>过300人的，应当设置安全生产管理机构或者配备专职安全生产管理人员；从业人员在300人以下的，应当配备专职或者兼职的安全生产管理人员，或者委托具有国家规定的相关专业技术资格的工程技术</w:t>
      </w:r>
      <w:r>
        <w:rPr>
          <w:rFonts w:hint="eastAsia"/>
        </w:rPr>
        <w:t>人员提供安全生产管理服务。</w:t>
      </w:r>
    </w:p>
    <w:p w14:paraId="35B6D8B5">
      <w:pPr>
        <w:ind w:firstLine="422"/>
      </w:pPr>
      <w:r>
        <w:rPr>
          <w:rFonts w:hint="eastAsia"/>
          <w:b/>
        </w:rPr>
        <w:t>第八条</w:t>
      </w:r>
      <w:r>
        <w:rPr>
          <w:rFonts w:hint="eastAsia"/>
        </w:rPr>
        <w:t xml:space="preserve">  餐饮经营单位应当对从业人员进行安全生产教育和培训。未经安全生产教育和培训合格的从业人员，不得上岗作业。</w:t>
      </w:r>
    </w:p>
    <w:p w14:paraId="757BB9B7">
      <w:pPr>
        <w:rPr>
          <w:rFonts w:hint="eastAsia" w:ascii="宋体" w:hAnsi="宋体" w:eastAsia="宋体" w:cs="宋体"/>
        </w:rPr>
      </w:pPr>
      <w:r>
        <w:rPr>
          <w:rFonts w:hint="eastAsia"/>
        </w:rPr>
        <w:t>餐饮经营单位应当对安全生产教育和培训的情况进行记录，记录至少</w:t>
      </w:r>
      <w:r>
        <w:rPr>
          <w:rFonts w:hint="eastAsia" w:ascii="宋体" w:hAnsi="宋体" w:eastAsia="宋体" w:cs="宋体"/>
        </w:rPr>
        <w:t>保存2年。</w:t>
      </w:r>
    </w:p>
    <w:p w14:paraId="4BBD9C33">
      <w:pPr>
        <w:ind w:firstLine="422"/>
      </w:pPr>
      <w:r>
        <w:rPr>
          <w:rFonts w:hint="eastAsia"/>
          <w:b/>
        </w:rPr>
        <w:t>第九条</w:t>
      </w:r>
      <w:r>
        <w:rPr>
          <w:rFonts w:hint="eastAsia"/>
        </w:rPr>
        <w:t xml:space="preserve">  餐饮经营单位的特种作业人员应当按照国家有关规定经专门的安全作业培训，取得特种作业操作资格证书，方可上岗作业。</w:t>
      </w:r>
    </w:p>
    <w:p w14:paraId="11C62F03">
      <w:pPr>
        <w:ind w:firstLine="422"/>
      </w:pPr>
      <w:r>
        <w:rPr>
          <w:rFonts w:hint="eastAsia"/>
          <w:b/>
        </w:rPr>
        <w:t>第十条</w:t>
      </w:r>
      <w:r>
        <w:rPr>
          <w:rFonts w:hint="eastAsia"/>
        </w:rPr>
        <w:t xml:space="preserve">  餐饮经营单位应当建立安全生产例会制度，定期研究本单位安全生产工作；制定有效的安全生产措施，并对措施的落实情况进行检查。</w:t>
      </w:r>
    </w:p>
    <w:p w14:paraId="6CBDCFF9">
      <w:pPr>
        <w:ind w:firstLine="422"/>
      </w:pPr>
      <w:r>
        <w:rPr>
          <w:rFonts w:hint="eastAsia"/>
          <w:b/>
        </w:rPr>
        <w:t>第十一条</w:t>
      </w:r>
      <w:r>
        <w:rPr>
          <w:rFonts w:hint="eastAsia"/>
        </w:rPr>
        <w:t xml:space="preserve">  餐饮经营单位应当建立生产安全事故隐患排查制度，对本单位容易发生事故的部位、设施，明确责任人员，制定并落实防范和应急措施。</w:t>
      </w:r>
    </w:p>
    <w:p w14:paraId="3B292B3E">
      <w:pPr>
        <w:ind w:firstLine="422"/>
      </w:pPr>
      <w:r>
        <w:rPr>
          <w:rFonts w:hint="eastAsia"/>
          <w:b/>
        </w:rPr>
        <w:t>第十二条</w:t>
      </w:r>
      <w:r>
        <w:rPr>
          <w:rFonts w:hint="eastAsia"/>
        </w:rPr>
        <w:t xml:space="preserve">  餐饮经营单位应当在每日营业开始前和结束后，对火源、气源、电源等部位进行全面安全检查。检查应当做好记录。</w:t>
      </w:r>
    </w:p>
    <w:p w14:paraId="5682C6CD">
      <w:pPr>
        <w:ind w:firstLine="422"/>
        <w:rPr>
          <w:rFonts w:hint="eastAsia" w:ascii="宋体" w:hAnsi="宋体" w:eastAsia="宋体" w:cs="宋体"/>
        </w:rPr>
      </w:pPr>
      <w:r>
        <w:rPr>
          <w:rFonts w:hint="eastAsia"/>
          <w:b/>
        </w:rPr>
        <w:t>第十三条</w:t>
      </w:r>
      <w:r>
        <w:rPr>
          <w:rFonts w:hint="eastAsia"/>
        </w:rPr>
        <w:t xml:space="preserve">  餐饮经营单位的变</w:t>
      </w:r>
      <w:r>
        <w:rPr>
          <w:rFonts w:hint="eastAsia" w:ascii="宋体" w:hAnsi="宋体" w:eastAsia="宋体" w:cs="宋体"/>
        </w:rPr>
        <w:t>配电室总额定容量在630千伏安以上且电压等级为10千伏的，应当安排专人24小时值班。值班应当做好记录。</w:t>
      </w:r>
    </w:p>
    <w:p w14:paraId="339A1D5A">
      <w:r>
        <w:rPr>
          <w:rFonts w:hint="eastAsia"/>
        </w:rPr>
        <w:t>变配电室不得存放危险物品和杂物。</w:t>
      </w:r>
    </w:p>
    <w:p w14:paraId="47440811">
      <w:pPr>
        <w:ind w:firstLine="422"/>
      </w:pPr>
      <w:r>
        <w:rPr>
          <w:rFonts w:hint="eastAsia"/>
          <w:b/>
        </w:rPr>
        <w:t>第十四条</w:t>
      </w:r>
      <w:r>
        <w:rPr>
          <w:rFonts w:hint="eastAsia"/>
        </w:rPr>
        <w:t xml:space="preserve">  变配电室应当配备用电设备和配电线路平面分布图等安全技术资料，以及必要的作业工具和劳动防护用品，并在明显位置设置变配电系统操作模拟图板。</w:t>
      </w:r>
    </w:p>
    <w:p w14:paraId="0631FE67">
      <w:r>
        <w:rPr>
          <w:rFonts w:hint="eastAsia"/>
        </w:rPr>
        <w:t>变配电室的门、窗、电缆沟应当设置防水设施和挡鼠板。</w:t>
      </w:r>
    </w:p>
    <w:p w14:paraId="691786B9">
      <w:pPr>
        <w:ind w:firstLine="422"/>
      </w:pPr>
      <w:r>
        <w:rPr>
          <w:rFonts w:hint="eastAsia"/>
          <w:b/>
        </w:rPr>
        <w:t>第十五条</w:t>
      </w:r>
      <w:r>
        <w:rPr>
          <w:rFonts w:hint="eastAsia"/>
        </w:rPr>
        <w:t xml:space="preserve">  餐饮经营单位设置的电源线路应当符合国家标准或者行业标准；临时用电线路应当采取有效防护措施；电气设备应当安装漏电和过载保护装置。</w:t>
      </w:r>
    </w:p>
    <w:p w14:paraId="17E3569B">
      <w:pPr>
        <w:ind w:firstLine="422"/>
      </w:pPr>
      <w:r>
        <w:rPr>
          <w:rFonts w:hint="eastAsia"/>
          <w:b/>
        </w:rPr>
        <w:t>第十六条</w:t>
      </w:r>
      <w:r>
        <w:rPr>
          <w:rFonts w:hint="eastAsia"/>
        </w:rPr>
        <w:t xml:space="preserve">  餐饮经营单位应当保证安全出口的畅通；不得封闭、堵塞安全出口；安全出口处不得设置门槛。</w:t>
      </w:r>
    </w:p>
    <w:p w14:paraId="3BB7139C">
      <w:pPr>
        <w:rPr>
          <w:rFonts w:hint="eastAsia" w:ascii="宋体" w:hAnsi="宋体" w:eastAsia="宋体" w:cs="宋体"/>
        </w:rPr>
      </w:pPr>
      <w:r>
        <w:rPr>
          <w:rFonts w:hint="eastAsia"/>
        </w:rPr>
        <w:t>疏散门应当向疏散方向开启，不得采用卷帘门、转门、吊门、</w:t>
      </w:r>
      <w:r>
        <w:rPr>
          <w:rFonts w:hint="eastAsia" w:ascii="宋体" w:hAnsi="宋体" w:eastAsia="宋体" w:cs="宋体"/>
        </w:rPr>
        <w:t>侧拉门。门内和门外1.4米范围内不得设置踏步。</w:t>
      </w:r>
    </w:p>
    <w:p w14:paraId="276D7824">
      <w:pPr>
        <w:ind w:firstLine="422"/>
      </w:pPr>
      <w:r>
        <w:rPr>
          <w:rFonts w:hint="eastAsia"/>
          <w:b/>
        </w:rPr>
        <w:t>第十七条</w:t>
      </w:r>
      <w:r>
        <w:rPr>
          <w:rFonts w:hint="eastAsia"/>
        </w:rPr>
        <w:t xml:space="preserve">  营业区域内的安全出口数目、安全疏散距离、疏散门和疏散通道的宽度应当符合国家标准或者行业标准。</w:t>
      </w:r>
    </w:p>
    <w:p w14:paraId="7151DD4C">
      <w:pPr>
        <w:ind w:firstLine="422"/>
      </w:pPr>
      <w:r>
        <w:rPr>
          <w:rFonts w:hint="eastAsia"/>
          <w:b/>
        </w:rPr>
        <w:t>第十八条</w:t>
      </w:r>
      <w:r>
        <w:rPr>
          <w:rFonts w:hint="eastAsia"/>
        </w:rPr>
        <w:t xml:space="preserve">  营业区域内的安全出口和疏散通道及其转角处应当设置发光疏散指示标志。指示标志应当能够在断电且无自然光照明时，指引疏散位置和疏散方向。</w:t>
      </w:r>
    </w:p>
    <w:p w14:paraId="251A629C">
      <w:pPr>
        <w:rPr>
          <w:rFonts w:hint="eastAsia" w:ascii="宋体" w:hAnsi="宋体" w:eastAsia="宋体" w:cs="宋体"/>
        </w:rPr>
      </w:pPr>
      <w:r>
        <w:rPr>
          <w:rFonts w:hint="eastAsia"/>
        </w:rPr>
        <w:t>指示标志应当设置在安全出口的顶部和疏散通</w:t>
      </w:r>
      <w:r>
        <w:rPr>
          <w:rFonts w:hint="eastAsia" w:ascii="宋体" w:hAnsi="宋体" w:eastAsia="宋体" w:cs="宋体"/>
        </w:rPr>
        <w:t>道及其转角处距地面高度1米以下的墙面上；设置在疏散通道上的指示标志的间距不得大于10米。</w:t>
      </w:r>
    </w:p>
    <w:p w14:paraId="2D7EF67C">
      <w:pPr>
        <w:ind w:firstLine="422"/>
        <w:rPr>
          <w:rFonts w:hint="eastAsia" w:ascii="宋体" w:hAnsi="宋体" w:eastAsia="宋体" w:cs="宋体"/>
        </w:rPr>
      </w:pPr>
      <w:r>
        <w:rPr>
          <w:rFonts w:hint="eastAsia"/>
          <w:b/>
        </w:rPr>
        <w:t>第十九条</w:t>
      </w:r>
      <w:r>
        <w:rPr>
          <w:rFonts w:hint="eastAsia"/>
        </w:rPr>
        <w:t xml:space="preserve">  营业区域内的安全出口、疏散通道和重点部位应当设置应急照明灯。应急照明灯的连续照明时间不得少</w:t>
      </w:r>
      <w:r>
        <w:rPr>
          <w:rFonts w:hint="eastAsia" w:ascii="宋体" w:hAnsi="宋体" w:eastAsia="宋体" w:cs="宋体"/>
        </w:rPr>
        <w:t>于20分钟，其地面最低照度不得低于0.5勒克斯。</w:t>
      </w:r>
    </w:p>
    <w:p w14:paraId="4507FCBC">
      <w:pPr>
        <w:ind w:firstLine="422"/>
      </w:pPr>
      <w:r>
        <w:rPr>
          <w:rFonts w:hint="eastAsia"/>
          <w:b/>
        </w:rPr>
        <w:t>第二十条</w:t>
      </w:r>
      <w:r>
        <w:rPr>
          <w:rFonts w:hint="eastAsia"/>
        </w:rPr>
        <w:t xml:space="preserve">  营业区域内落地式的玻璃门、玻璃窗、玻璃墙应当设置安全警示标志。</w:t>
      </w:r>
    </w:p>
    <w:p w14:paraId="30C1CE38">
      <w:r>
        <w:rPr>
          <w:rFonts w:hint="eastAsia"/>
        </w:rPr>
        <w:t>安全警示标志应当明显，保持完好，便于公众识别。</w:t>
      </w:r>
    </w:p>
    <w:p w14:paraId="435A5480">
      <w:pPr>
        <w:ind w:firstLine="422"/>
      </w:pPr>
      <w:r>
        <w:rPr>
          <w:rFonts w:hint="eastAsia"/>
          <w:b/>
        </w:rPr>
        <w:t>第二十一条</w:t>
      </w:r>
      <w:r>
        <w:rPr>
          <w:rFonts w:hint="eastAsia"/>
        </w:rPr>
        <w:t xml:space="preserve">  餐饮经营单位在营业区域内进行装修、维修、改造等施工且不停止营业的，应当与施工单位签订专门的安全生产管理协议，明确安全责任；施工区域应当与其他营业区域相隔离，并采取安全措施，确保安全。</w:t>
      </w:r>
    </w:p>
    <w:p w14:paraId="1410EA0F">
      <w:pPr>
        <w:ind w:firstLine="422"/>
      </w:pPr>
      <w:r>
        <w:rPr>
          <w:rFonts w:hint="eastAsia"/>
          <w:b/>
        </w:rPr>
        <w:t>第二十二条</w:t>
      </w:r>
      <w:r>
        <w:rPr>
          <w:rFonts w:hint="eastAsia"/>
        </w:rPr>
        <w:t xml:space="preserve">  餐饮经营单位将经营场所出租给其他生产经营单位的，应当与承租单位签订安全生产管理协议，明确各自的安全生产管理职责。</w:t>
      </w:r>
    </w:p>
    <w:p w14:paraId="3C74F976">
      <w:r>
        <w:rPr>
          <w:rFonts w:hint="eastAsia"/>
        </w:rPr>
        <w:t>餐饮经营单位对各承租单位的安全生产工作统一协调、管理。</w:t>
      </w:r>
    </w:p>
    <w:p w14:paraId="26FA22E0">
      <w:pPr>
        <w:ind w:firstLine="422"/>
      </w:pPr>
      <w:r>
        <w:rPr>
          <w:rFonts w:hint="eastAsia"/>
          <w:b/>
        </w:rPr>
        <w:t>第二十三条</w:t>
      </w:r>
      <w:r>
        <w:rPr>
          <w:rFonts w:hint="eastAsia"/>
        </w:rPr>
        <w:t xml:space="preserve">  营业区域内实际容纳的消费者人数不得超过最大容纳人数。</w:t>
      </w:r>
    </w:p>
    <w:p w14:paraId="7276DCD5">
      <w:pPr>
        <w:rPr>
          <w:rFonts w:hint="eastAsia" w:ascii="宋体" w:hAnsi="宋体" w:eastAsia="宋体" w:cs="宋体"/>
        </w:rPr>
      </w:pPr>
      <w:r>
        <w:rPr>
          <w:rFonts w:hint="eastAsia"/>
        </w:rPr>
        <w:t>最大容纳人数按照营业区域面积计算，人均不得小</w:t>
      </w:r>
      <w:r>
        <w:rPr>
          <w:rFonts w:hint="eastAsia" w:ascii="宋体" w:hAnsi="宋体" w:eastAsia="宋体" w:cs="宋体"/>
        </w:rPr>
        <w:t>于1.4平方米。</w:t>
      </w:r>
    </w:p>
    <w:p w14:paraId="6B1A9878">
      <w:pPr>
        <w:ind w:firstLine="422"/>
      </w:pPr>
      <w:r>
        <w:rPr>
          <w:rFonts w:hint="eastAsia"/>
          <w:b/>
        </w:rPr>
        <w:t>第二十四条</w:t>
      </w:r>
      <w:r>
        <w:rPr>
          <w:rFonts w:hint="eastAsia"/>
        </w:rPr>
        <w:t xml:space="preserve">  当接近最大容纳人数或者人员相对聚集时，餐饮经营单位应当采取有效的控制和疏散措施，确保安全。</w:t>
      </w:r>
    </w:p>
    <w:p w14:paraId="50E8CFF4">
      <w:pPr>
        <w:ind w:firstLine="422"/>
        <w:rPr>
          <w:rFonts w:hint="eastAsia" w:ascii="宋体" w:hAnsi="宋体" w:eastAsia="宋体" w:cs="宋体"/>
        </w:rPr>
      </w:pPr>
      <w:r>
        <w:rPr>
          <w:rFonts w:hint="eastAsia"/>
          <w:b/>
        </w:rPr>
        <w:t>第二十五条</w:t>
      </w:r>
      <w:r>
        <w:rPr>
          <w:rFonts w:hint="eastAsia"/>
        </w:rPr>
        <w:t xml:space="preserve">  餐饮经营单位操作间的集烟罩和</w:t>
      </w:r>
      <w:r>
        <w:rPr>
          <w:rFonts w:hint="eastAsia" w:ascii="宋体" w:hAnsi="宋体" w:eastAsia="宋体" w:cs="宋体"/>
        </w:rPr>
        <w:t>烟道入口处1米范围内，应当每日进行清洗。中餐操作间的排油烟管道应当每60日至少清理1次，清理应当做好记录。</w:t>
      </w:r>
    </w:p>
    <w:p w14:paraId="22E627E9">
      <w:pPr>
        <w:ind w:firstLine="422"/>
      </w:pPr>
      <w:r>
        <w:rPr>
          <w:rFonts w:hint="eastAsia"/>
          <w:b/>
        </w:rPr>
        <w:t>第二十六条</w:t>
      </w:r>
      <w:r>
        <w:rPr>
          <w:rFonts w:hint="eastAsia"/>
        </w:rPr>
        <w:t xml:space="preserve">  餐饮经营单位使用、储存的危险物品，应当单独存放，专人管理。</w:t>
      </w:r>
    </w:p>
    <w:p w14:paraId="61841487">
      <w:pPr>
        <w:ind w:firstLine="422"/>
        <w:rPr>
          <w:rFonts w:hint="eastAsia" w:ascii="宋体" w:hAnsi="宋体" w:eastAsia="宋体" w:cs="宋体"/>
        </w:rPr>
      </w:pPr>
      <w:r>
        <w:rPr>
          <w:rFonts w:hint="eastAsia"/>
          <w:b/>
        </w:rPr>
        <w:t>第二十七条</w:t>
      </w:r>
      <w:r>
        <w:rPr>
          <w:rFonts w:hint="eastAsia"/>
        </w:rPr>
        <w:t xml:space="preserve">  餐饮经营单位不得为消费者提供标定重量超</w:t>
      </w:r>
      <w:r>
        <w:rPr>
          <w:rFonts w:hint="eastAsia" w:ascii="宋体" w:hAnsi="宋体" w:eastAsia="宋体" w:cs="宋体"/>
        </w:rPr>
        <w:t>过5千克的液化石油气瓶作为用餐火源；服务人员应当安全使用液化石油气瓶。</w:t>
      </w:r>
    </w:p>
    <w:p w14:paraId="56730FF8">
      <w:pPr>
        <w:rPr>
          <w:rFonts w:hint="eastAsia" w:ascii="宋体" w:hAnsi="宋体" w:eastAsia="宋体" w:cs="宋体"/>
        </w:rPr>
      </w:pPr>
      <w:r>
        <w:rPr>
          <w:rFonts w:hint="eastAsia"/>
        </w:rPr>
        <w:t>操作间使用液化石油气的，灶具与气瓶之间的净距离不得小</w:t>
      </w:r>
      <w:r>
        <w:rPr>
          <w:rFonts w:hint="eastAsia" w:ascii="宋体" w:hAnsi="宋体" w:eastAsia="宋体" w:cs="宋体"/>
        </w:rPr>
        <w:t>于0.5米，灶具与气瓶连接的软管长度不得超过2米。软管应当经常检查，定期更换。</w:t>
      </w:r>
    </w:p>
    <w:p w14:paraId="4E571C49">
      <w:pPr>
        <w:ind w:firstLine="422"/>
        <w:rPr>
          <w:rFonts w:hint="eastAsia" w:ascii="宋体" w:hAnsi="宋体" w:eastAsia="宋体" w:cs="宋体"/>
        </w:rPr>
      </w:pPr>
      <w:r>
        <w:rPr>
          <w:rFonts w:hint="eastAsia"/>
          <w:b/>
        </w:rPr>
        <w:t>第二十八条</w:t>
      </w:r>
      <w:r>
        <w:rPr>
          <w:rFonts w:hint="eastAsia"/>
        </w:rPr>
        <w:t xml:space="preserve">  餐饮经营单位使用和备用的液化石油气瓶标定总重量超过</w:t>
      </w:r>
      <w:r>
        <w:rPr>
          <w:rFonts w:hint="eastAsia" w:ascii="宋体" w:hAnsi="宋体" w:eastAsia="宋体" w:cs="宋体"/>
        </w:rPr>
        <w:t>100千克或者气瓶总数超过30瓶的，应当按照有关规定设置气瓶间。</w:t>
      </w:r>
    </w:p>
    <w:p w14:paraId="7F398595">
      <w:r>
        <w:rPr>
          <w:rFonts w:hint="eastAsia"/>
        </w:rPr>
        <w:t>高层建筑内的餐饮经营单位不得使用瓶装液化石油气。</w:t>
      </w:r>
    </w:p>
    <w:p w14:paraId="110AF783">
      <w:pPr>
        <w:ind w:firstLine="422"/>
      </w:pPr>
      <w:r>
        <w:rPr>
          <w:rFonts w:hint="eastAsia"/>
          <w:b/>
        </w:rPr>
        <w:t>第二十九条</w:t>
      </w:r>
      <w:r>
        <w:rPr>
          <w:rFonts w:hint="eastAsia"/>
        </w:rPr>
        <w:t xml:space="preserve">  营业区域设置在地下的餐饮经营单位，应当遵守下列规定：</w:t>
      </w:r>
    </w:p>
    <w:p w14:paraId="23E796AD">
      <w:pPr>
        <w:rPr>
          <w:rFonts w:hint="eastAsia" w:ascii="宋体" w:hAnsi="宋体" w:eastAsia="宋体" w:cs="宋体"/>
        </w:rPr>
      </w:pPr>
      <w:r>
        <w:rPr>
          <w:rFonts w:hint="eastAsia"/>
        </w:rPr>
        <w:t>（一）不得设置在地</w:t>
      </w:r>
      <w:r>
        <w:rPr>
          <w:rFonts w:hint="eastAsia" w:ascii="宋体" w:hAnsi="宋体" w:eastAsia="宋体" w:cs="宋体"/>
        </w:rPr>
        <w:t>下2层以下；</w:t>
      </w:r>
    </w:p>
    <w:p w14:paraId="0A0C938B">
      <w:pPr>
        <w:rPr>
          <w:rFonts w:hint="eastAsia" w:ascii="宋体" w:hAnsi="宋体" w:eastAsia="宋体" w:cs="宋体"/>
        </w:rPr>
      </w:pPr>
      <w:r>
        <w:rPr>
          <w:rFonts w:hint="eastAsia" w:ascii="宋体" w:hAnsi="宋体" w:eastAsia="宋体" w:cs="宋体"/>
        </w:rPr>
        <w:t>（二）不得使用液化石油气，不得储存危险物品；</w:t>
      </w:r>
    </w:p>
    <w:p w14:paraId="4569CABE">
      <w:pPr>
        <w:rPr>
          <w:rFonts w:hint="eastAsia" w:ascii="宋体" w:hAnsi="宋体" w:eastAsia="宋体" w:cs="宋体"/>
        </w:rPr>
      </w:pPr>
      <w:r>
        <w:rPr>
          <w:rFonts w:hint="eastAsia" w:ascii="宋体" w:hAnsi="宋体" w:eastAsia="宋体" w:cs="宋体"/>
        </w:rPr>
        <w:t>（三）疏散通道长度超过40米或者超过20米且无自然通风的，应当安装机械排烟设施。</w:t>
      </w:r>
    </w:p>
    <w:p w14:paraId="244161BE">
      <w:pPr>
        <w:ind w:firstLine="422"/>
      </w:pPr>
      <w:r>
        <w:rPr>
          <w:rFonts w:hint="eastAsia"/>
          <w:b/>
        </w:rPr>
        <w:t>第三十条</w:t>
      </w:r>
      <w:r>
        <w:rPr>
          <w:rFonts w:hint="eastAsia"/>
        </w:rPr>
        <w:t xml:space="preserve">  餐饮经营单位应当制定生产安全事故应急救援预案。应急救援预案应当包括应急救援组织、危险目标、启动程序、紧急处置措施等内容。</w:t>
      </w:r>
    </w:p>
    <w:p w14:paraId="56C6FBEE">
      <w:r>
        <w:rPr>
          <w:rFonts w:hint="eastAsia"/>
        </w:rPr>
        <w:t>应急救援预案应当每半年至少演</w:t>
      </w:r>
      <w:r>
        <w:rPr>
          <w:rFonts w:hint="eastAsia" w:ascii="宋体" w:hAnsi="宋体" w:eastAsia="宋体" w:cs="宋体"/>
        </w:rPr>
        <w:t>练1次，</w:t>
      </w:r>
      <w:r>
        <w:rPr>
          <w:rFonts w:hint="eastAsia"/>
        </w:rPr>
        <w:t>并做好记录。</w:t>
      </w:r>
    </w:p>
    <w:p w14:paraId="4947732A">
      <w:pPr>
        <w:ind w:firstLine="422"/>
      </w:pPr>
      <w:r>
        <w:rPr>
          <w:rFonts w:hint="eastAsia"/>
          <w:b/>
        </w:rPr>
        <w:t>第三十一条</w:t>
      </w:r>
      <w:r>
        <w:rPr>
          <w:rFonts w:hint="eastAsia"/>
        </w:rPr>
        <w:t xml:space="preserve">  餐饮经营单位的有关负责人应当掌握应急救援预案的全部内容；其他人员应当能够熟练使用消防器材，了解安全出口和疏散通道的位置以及本岗位的应急救援职责。</w:t>
      </w:r>
    </w:p>
    <w:p w14:paraId="4A888694">
      <w:pPr>
        <w:ind w:firstLine="422"/>
      </w:pPr>
      <w:r>
        <w:rPr>
          <w:rFonts w:hint="eastAsia"/>
          <w:b/>
        </w:rPr>
        <w:t>第三十二条</w:t>
      </w:r>
      <w:r>
        <w:rPr>
          <w:rFonts w:hint="eastAsia"/>
        </w:rPr>
        <w:t xml:space="preserve">  餐饮经营单位应当设置能够覆盖全部营业区域的应急广播，并能够使用中英文两种语言播放。</w:t>
      </w:r>
    </w:p>
    <w:p w14:paraId="132B7B18">
      <w:pPr>
        <w:ind w:firstLine="422"/>
      </w:pPr>
      <w:r>
        <w:rPr>
          <w:rFonts w:hint="eastAsia"/>
          <w:b/>
        </w:rPr>
        <w:t>第三十三条</w:t>
      </w:r>
      <w:r>
        <w:rPr>
          <w:rFonts w:hint="eastAsia"/>
        </w:rPr>
        <w:t xml:space="preserve">  餐饮经营单位发生生产安全事故后，应当迅速启动应急救援预案，采取有效措施，组织人员疏散，防止事故扩大，并按照国家和本市有关规定及时、如实报告公安、安全生产监督管理、商务等有关部门。</w:t>
      </w:r>
    </w:p>
    <w:p w14:paraId="4C15E42E">
      <w:pPr>
        <w:ind w:firstLine="422"/>
      </w:pPr>
      <w:r>
        <w:rPr>
          <w:rFonts w:hint="eastAsia"/>
          <w:b/>
        </w:rPr>
        <w:t>第三十四条</w:t>
      </w:r>
      <w:r>
        <w:rPr>
          <w:rFonts w:hint="eastAsia"/>
        </w:rPr>
        <w:t xml:space="preserve">  安全生产监督管理部门发现餐饮经营单位存在安全生产问题，属于行业监督管理或者专项监督管理职责的，应当及时以书面形式督促有关部门处理。</w:t>
      </w:r>
    </w:p>
    <w:p w14:paraId="3CDCE49C">
      <w:pPr>
        <w:ind w:firstLine="422"/>
      </w:pPr>
      <w:r>
        <w:rPr>
          <w:rFonts w:hint="eastAsia"/>
          <w:b/>
        </w:rPr>
        <w:t>第三十五条</w:t>
      </w:r>
      <w:r>
        <w:rPr>
          <w:rFonts w:hint="eastAsia"/>
        </w:rPr>
        <w:t xml:space="preserve">  餐饮经营单位违反本规定，有下列情形之一的，由商务行政主管部门责令改正，并按照下列规定给予行政处罚：</w:t>
      </w:r>
    </w:p>
    <w:p w14:paraId="46330DB9">
      <w:pPr>
        <w:rPr>
          <w:rFonts w:hint="eastAsia" w:ascii="宋体" w:hAnsi="宋体" w:eastAsia="宋体" w:cs="宋体"/>
        </w:rPr>
      </w:pPr>
      <w:r>
        <w:rPr>
          <w:rFonts w:hint="eastAsia"/>
        </w:rPr>
        <w:t>（一）未建立安全生产例会制度或者未制定安全生</w:t>
      </w:r>
      <w:r>
        <w:rPr>
          <w:rFonts w:hint="eastAsia" w:ascii="宋体" w:hAnsi="宋体" w:eastAsia="宋体" w:cs="宋体"/>
        </w:rPr>
        <w:t>产措施的，处5000元以上1万元以下罚款；</w:t>
      </w:r>
    </w:p>
    <w:p w14:paraId="5E24069F">
      <w:pPr>
        <w:rPr>
          <w:rFonts w:hint="eastAsia" w:ascii="宋体" w:hAnsi="宋体" w:eastAsia="宋体" w:cs="宋体"/>
        </w:rPr>
      </w:pPr>
      <w:r>
        <w:rPr>
          <w:rFonts w:hint="eastAsia" w:ascii="宋体" w:hAnsi="宋体" w:eastAsia="宋体" w:cs="宋体"/>
        </w:rPr>
        <w:t>（二）未建立生产安全事故隐患排查制度的，处5000元以上2万元以下罚款；</w:t>
      </w:r>
    </w:p>
    <w:p w14:paraId="14F80433">
      <w:pPr>
        <w:rPr>
          <w:rFonts w:hint="eastAsia" w:ascii="宋体" w:hAnsi="宋体" w:eastAsia="宋体" w:cs="宋体"/>
        </w:rPr>
      </w:pPr>
      <w:bookmarkStart w:id="1978" w:name="_Toc428780424"/>
      <w:r>
        <w:rPr>
          <w:rFonts w:hint="eastAsia" w:ascii="宋体" w:hAnsi="宋体" w:eastAsia="宋体" w:cs="宋体"/>
        </w:rPr>
        <w:t>（三）未按时清理排油烟管道的，处5000元以上3万元以下罚款；</w:t>
      </w:r>
      <w:bookmarkEnd w:id="1978"/>
    </w:p>
    <w:p w14:paraId="29F0C833">
      <w:pPr>
        <w:rPr>
          <w:rFonts w:hint="eastAsia" w:ascii="宋体" w:hAnsi="宋体" w:eastAsia="宋体" w:cs="宋体"/>
        </w:rPr>
      </w:pPr>
      <w:r>
        <w:rPr>
          <w:rFonts w:hint="eastAsia" w:ascii="宋体" w:hAnsi="宋体" w:eastAsia="宋体" w:cs="宋体"/>
        </w:rPr>
        <w:t>（四）未设置能够覆盖全部营业区域的应急广播或者不能使用中英文两种语言播放的，处5000元以上2万元以下罚款。</w:t>
      </w:r>
    </w:p>
    <w:p w14:paraId="40ABB937">
      <w:pPr>
        <w:ind w:firstLine="422"/>
      </w:pPr>
      <w:r>
        <w:rPr>
          <w:rFonts w:hint="eastAsia"/>
          <w:b/>
        </w:rPr>
        <w:t>第三十六条</w:t>
      </w:r>
      <w:r>
        <w:rPr>
          <w:rFonts w:hint="eastAsia"/>
        </w:rPr>
        <w:t xml:space="preserve">  违反本规定，按照安全生产、消防、特种设备安全等法律、法规、规章的规定应当给予行政处罚的，由有关部门依法处罚。</w:t>
      </w:r>
    </w:p>
    <w:p w14:paraId="3E85FF5E">
      <w:pPr>
        <w:ind w:firstLine="422"/>
        <w:rPr>
          <w:rFonts w:hint="eastAsia" w:ascii="宋体" w:hAnsi="宋体" w:eastAsia="宋体" w:cs="宋体"/>
        </w:rPr>
      </w:pPr>
      <w:r>
        <w:rPr>
          <w:rFonts w:hint="eastAsia"/>
          <w:b/>
        </w:rPr>
        <w:t>第三十七条</w:t>
      </w:r>
      <w:r>
        <w:rPr>
          <w:rFonts w:hint="eastAsia"/>
        </w:rPr>
        <w:t xml:space="preserve">  本规定</w:t>
      </w:r>
      <w:r>
        <w:rPr>
          <w:rFonts w:hint="eastAsia" w:ascii="宋体" w:hAnsi="宋体" w:eastAsia="宋体" w:cs="宋体"/>
        </w:rPr>
        <w:t>自2007年4月1日起施行。</w:t>
      </w:r>
    </w:p>
    <w:p w14:paraId="333BDF27">
      <w:pPr>
        <w:pStyle w:val="4"/>
        <w:pageBreakBefore/>
      </w:pPr>
      <w:bookmarkStart w:id="1979" w:name="_Toc426467032"/>
      <w:bookmarkStart w:id="1980" w:name="_Toc428781780"/>
      <w:bookmarkStart w:id="1981" w:name="_Toc428780425"/>
      <w:r>
        <w:rPr>
          <w:rFonts w:hint="eastAsia"/>
        </w:rPr>
        <w:t>北京市星级饭店安全生产规定</w:t>
      </w:r>
      <w:bookmarkEnd w:id="1979"/>
      <w:bookmarkEnd w:id="1980"/>
      <w:bookmarkEnd w:id="1981"/>
    </w:p>
    <w:p w14:paraId="21AD1A8E"/>
    <w:p w14:paraId="50498192">
      <w:pPr>
        <w:ind w:left="630" w:leftChars="300" w:right="630" w:rightChars="300"/>
        <w:rPr>
          <w:rFonts w:ascii="楷体" w:hAnsi="楷体" w:eastAsia="楷体"/>
        </w:rPr>
      </w:pPr>
      <w:r>
        <w:rPr>
          <w:rFonts w:hint="eastAsia" w:ascii="楷体" w:hAnsi="楷体" w:eastAsia="楷体"/>
        </w:rPr>
        <w:t>（2006年10月12日市人民政府第54次常委会议审议通过  2006年10月26日北京市人民政府第178号令公布）</w:t>
      </w:r>
    </w:p>
    <w:p w14:paraId="57F46B5B">
      <w:pPr>
        <w:ind w:left="630" w:leftChars="300" w:right="630" w:rightChars="300"/>
        <w:rPr>
          <w:rFonts w:ascii="楷体" w:hAnsi="楷体" w:eastAsia="楷体"/>
        </w:rPr>
      </w:pPr>
    </w:p>
    <w:p w14:paraId="30EF67B0">
      <w:pPr>
        <w:ind w:firstLine="422"/>
      </w:pPr>
      <w:r>
        <w:rPr>
          <w:rFonts w:hint="eastAsia"/>
          <w:b/>
        </w:rPr>
        <w:t>第一条</w:t>
      </w:r>
      <w:r>
        <w:rPr>
          <w:rFonts w:hint="eastAsia"/>
        </w:rPr>
        <w:t xml:space="preserve">  为了加强安全生产监督管理，提高星级饭店安全生产水平，防止和减少生产安全事故，保障人民群众生命和财产安全，根据《中华人民共和国安全生产法》和《北京市安全生产条例》及有关法律、法规，制定本规定。</w:t>
      </w:r>
    </w:p>
    <w:p w14:paraId="449A0F55">
      <w:pPr>
        <w:ind w:firstLine="422"/>
      </w:pPr>
      <w:r>
        <w:rPr>
          <w:rFonts w:hint="eastAsia"/>
          <w:b/>
        </w:rPr>
        <w:t>第二条</w:t>
      </w:r>
      <w:r>
        <w:rPr>
          <w:rFonts w:hint="eastAsia"/>
        </w:rPr>
        <w:t xml:space="preserve">  本市行政区域内星级饭店的安全生产，适用本规定；有关法律、法规、规章对消防安全、特种设备安全另有规定的，适用其规定。</w:t>
      </w:r>
    </w:p>
    <w:p w14:paraId="0011A4E6">
      <w:r>
        <w:rPr>
          <w:rFonts w:hint="eastAsia"/>
        </w:rPr>
        <w:t>本规定所称星级饭店是指一星级以上的宾馆、饭店、度假村等经营单位。</w:t>
      </w:r>
    </w:p>
    <w:p w14:paraId="304427BC">
      <w:pPr>
        <w:ind w:firstLine="422"/>
      </w:pPr>
      <w:r>
        <w:rPr>
          <w:rFonts w:hint="eastAsia"/>
          <w:b/>
        </w:rPr>
        <w:t>第三条</w:t>
      </w:r>
      <w:r>
        <w:rPr>
          <w:rFonts w:hint="eastAsia"/>
        </w:rPr>
        <w:t xml:space="preserve">  安全生产管理，坚持安全第一、预防为主、综合治理的方针。</w:t>
      </w:r>
    </w:p>
    <w:p w14:paraId="448BBDFA">
      <w:pPr>
        <w:ind w:firstLine="422"/>
      </w:pPr>
      <w:r>
        <w:rPr>
          <w:rFonts w:hint="eastAsia"/>
          <w:b/>
        </w:rPr>
        <w:t>第四条</w:t>
      </w:r>
      <w:r>
        <w:rPr>
          <w:rFonts w:hint="eastAsia"/>
        </w:rPr>
        <w:t xml:space="preserve">  市和区、县旅游行政管理部门对星级饭店的安全生产工作实施行业监督管理；公安消防、质量技术监督等部门分别对星级饭店的消防安全、特种设备安全等实施专项监督管理；安全生产监督管理部门对星级饭店的安全生产工作实施综合监督管理，指导、协调和监督政府有关部门履行安全生产监督管理职责。</w:t>
      </w:r>
    </w:p>
    <w:p w14:paraId="023F720A">
      <w:r>
        <w:rPr>
          <w:rFonts w:hint="eastAsia"/>
        </w:rPr>
        <w:t>行业协会协助政府有关部门指导会员单位做好安全生产工作，制定安全生产制度、规程，提供相关服务。</w:t>
      </w:r>
    </w:p>
    <w:p w14:paraId="456AB69F">
      <w:pPr>
        <w:ind w:firstLine="422"/>
      </w:pPr>
      <w:r>
        <w:rPr>
          <w:rFonts w:hint="eastAsia"/>
          <w:b/>
        </w:rPr>
        <w:t>第五条</w:t>
      </w:r>
      <w:r>
        <w:rPr>
          <w:rFonts w:hint="eastAsia"/>
        </w:rPr>
        <w:t xml:space="preserve">  星级饭店的主要负责人对本单位的安全生产工作全面负责。</w:t>
      </w:r>
    </w:p>
    <w:p w14:paraId="1FA8DDAE">
      <w:pPr>
        <w:ind w:firstLine="422"/>
      </w:pPr>
      <w:r>
        <w:rPr>
          <w:rFonts w:hint="eastAsia"/>
          <w:b/>
        </w:rPr>
        <w:t>第六条</w:t>
      </w:r>
      <w:r>
        <w:rPr>
          <w:rFonts w:hint="eastAsia"/>
        </w:rPr>
        <w:t xml:space="preserve">  星级饭店应当遵守有关安全生产的法律、法规、规章，加强安全生产管理，建立、健全安全生产责任制度，完善安全生产条件，确保安全生产。</w:t>
      </w:r>
    </w:p>
    <w:p w14:paraId="7A06747F">
      <w:pPr>
        <w:ind w:firstLine="422"/>
      </w:pPr>
      <w:r>
        <w:rPr>
          <w:rFonts w:hint="eastAsia"/>
          <w:b/>
        </w:rPr>
        <w:t>第七条</w:t>
      </w:r>
      <w:r>
        <w:rPr>
          <w:rFonts w:hint="eastAsia"/>
        </w:rPr>
        <w:t xml:space="preserve">  星级饭店从业人员</w:t>
      </w:r>
      <w:r>
        <w:rPr>
          <w:rFonts w:hint="eastAsia" w:ascii="宋体" w:hAnsi="宋体" w:eastAsia="宋体" w:cs="宋体"/>
        </w:rPr>
        <w:t>超过300人的，应当设置安全生产管理机构或者配备专职安全生产管理人员；从业人员在300人以下的，应当配备专职或</w:t>
      </w:r>
      <w:r>
        <w:rPr>
          <w:rFonts w:hint="eastAsia"/>
        </w:rPr>
        <w:t>者兼职的安全生产管理人员，或者委托具有国家规定的相关专业技术资格的工程技术人员提供安全生产管理服务。</w:t>
      </w:r>
    </w:p>
    <w:p w14:paraId="4EF06957">
      <w:pPr>
        <w:ind w:firstLine="422"/>
      </w:pPr>
      <w:r>
        <w:rPr>
          <w:rFonts w:hint="eastAsia"/>
          <w:b/>
        </w:rPr>
        <w:t>第八条</w:t>
      </w:r>
      <w:r>
        <w:rPr>
          <w:rFonts w:hint="eastAsia"/>
        </w:rPr>
        <w:t xml:space="preserve">  星级饭店应当对从业人员进行安全生产教育和培训。未经安全生产教育和培训合格的从业人员，不得上岗作业。</w:t>
      </w:r>
    </w:p>
    <w:p w14:paraId="66FE0994">
      <w:pPr>
        <w:rPr>
          <w:rFonts w:hint="eastAsia" w:ascii="宋体" w:hAnsi="宋体" w:eastAsia="宋体" w:cs="宋体"/>
        </w:rPr>
      </w:pPr>
      <w:r>
        <w:rPr>
          <w:rFonts w:hint="eastAsia"/>
        </w:rPr>
        <w:t>星级饭店应当对教育和培训的情况进行记录，记录至少</w:t>
      </w:r>
      <w:r>
        <w:rPr>
          <w:rFonts w:hint="eastAsia" w:ascii="宋体" w:hAnsi="宋体" w:eastAsia="宋体" w:cs="宋体"/>
        </w:rPr>
        <w:t>保存2年。</w:t>
      </w:r>
    </w:p>
    <w:p w14:paraId="332503B8">
      <w:pPr>
        <w:ind w:firstLine="422"/>
      </w:pPr>
      <w:r>
        <w:rPr>
          <w:rFonts w:hint="eastAsia"/>
          <w:b/>
        </w:rPr>
        <w:t>第九条</w:t>
      </w:r>
      <w:r>
        <w:rPr>
          <w:rFonts w:hint="eastAsia"/>
        </w:rPr>
        <w:t xml:space="preserve">  星级饭店的特种作业人员应当按照国家有关规定经专门的安全作业培训，取得特种作业操作资格证书，方可上岗作业。</w:t>
      </w:r>
    </w:p>
    <w:p w14:paraId="0A05B8E8">
      <w:pPr>
        <w:ind w:firstLine="422"/>
      </w:pPr>
      <w:r>
        <w:rPr>
          <w:rFonts w:hint="eastAsia"/>
          <w:b/>
        </w:rPr>
        <w:t>第十条</w:t>
      </w:r>
      <w:r>
        <w:rPr>
          <w:rFonts w:hint="eastAsia"/>
        </w:rPr>
        <w:t xml:space="preserve">  星级饭店应当建立安全生产例会制度，定期研究本单位安全生产工作；制定有效的安全生产措施，并对措施的落实情况进行检查。</w:t>
      </w:r>
    </w:p>
    <w:p w14:paraId="4376A00A">
      <w:pPr>
        <w:ind w:firstLine="422"/>
      </w:pPr>
      <w:r>
        <w:rPr>
          <w:rFonts w:hint="eastAsia"/>
          <w:b/>
        </w:rPr>
        <w:t>第十一条</w:t>
      </w:r>
      <w:r>
        <w:rPr>
          <w:rFonts w:hint="eastAsia"/>
        </w:rPr>
        <w:t xml:space="preserve">  星级饭店应当建立生产安全事故隐患排查制度，对本单位容易发生事故的部位、设施，明确责任人员，制定并落实防范和应急措施。</w:t>
      </w:r>
    </w:p>
    <w:p w14:paraId="3FC583CA">
      <w:pPr>
        <w:ind w:firstLine="422"/>
      </w:pPr>
      <w:r>
        <w:rPr>
          <w:rFonts w:hint="eastAsia"/>
          <w:b/>
        </w:rPr>
        <w:t>第十二条</w:t>
      </w:r>
      <w:r>
        <w:rPr>
          <w:rFonts w:hint="eastAsia"/>
        </w:rPr>
        <w:t xml:space="preserve">  星级饭店应当</w:t>
      </w:r>
      <w:r>
        <w:rPr>
          <w:rFonts w:hint="eastAsia" w:ascii="宋体" w:hAnsi="宋体" w:eastAsia="宋体" w:cs="宋体"/>
        </w:rPr>
        <w:t>每2小时至少对营业区域进行1次安全</w:t>
      </w:r>
      <w:r>
        <w:rPr>
          <w:rFonts w:hint="eastAsia"/>
        </w:rPr>
        <w:t>巡查。巡查应当做好记录。</w:t>
      </w:r>
    </w:p>
    <w:p w14:paraId="113355F9">
      <w:pPr>
        <w:ind w:firstLine="422"/>
        <w:rPr>
          <w:rFonts w:hint="eastAsia" w:ascii="宋体" w:hAnsi="宋体" w:eastAsia="宋体" w:cs="宋体"/>
        </w:rPr>
      </w:pPr>
      <w:r>
        <w:rPr>
          <w:rFonts w:hint="eastAsia"/>
          <w:b/>
        </w:rPr>
        <w:t>第十三条</w:t>
      </w:r>
      <w:r>
        <w:rPr>
          <w:rFonts w:hint="eastAsia"/>
        </w:rPr>
        <w:t xml:space="preserve">  星级饭店的变配电室总额</w:t>
      </w:r>
      <w:r>
        <w:rPr>
          <w:rFonts w:hint="eastAsia" w:ascii="宋体" w:hAnsi="宋体" w:eastAsia="宋体" w:cs="宋体"/>
        </w:rPr>
        <w:t>定容量在630千伏安以上且电压等级为10千伏的，应当安排专人24小时值班。值班应当做好记录。</w:t>
      </w:r>
    </w:p>
    <w:p w14:paraId="73B3E41B">
      <w:r>
        <w:rPr>
          <w:rFonts w:hint="eastAsia"/>
        </w:rPr>
        <w:t>变配电室不得存放危险物品和杂物。</w:t>
      </w:r>
    </w:p>
    <w:p w14:paraId="0470ABEE">
      <w:pPr>
        <w:ind w:firstLine="422"/>
      </w:pPr>
      <w:r>
        <w:rPr>
          <w:rFonts w:hint="eastAsia"/>
          <w:b/>
        </w:rPr>
        <w:t>第十四条</w:t>
      </w:r>
      <w:r>
        <w:rPr>
          <w:rFonts w:hint="eastAsia"/>
        </w:rPr>
        <w:t>　变配电室应当配备用电设备和配电线路平面分布图等安全技术资料，以及必要的作业工具和劳动防护用品，并在明显位置设置变配电系统操作模拟图板。</w:t>
      </w:r>
    </w:p>
    <w:p w14:paraId="1A7BF3BC">
      <w:r>
        <w:rPr>
          <w:rFonts w:hint="eastAsia"/>
        </w:rPr>
        <w:t>变配电室的门、窗、电缆沟应当设置防水设施和挡鼠板。</w:t>
      </w:r>
    </w:p>
    <w:p w14:paraId="601E76AE">
      <w:pPr>
        <w:ind w:firstLine="422"/>
      </w:pPr>
      <w:r>
        <w:rPr>
          <w:rFonts w:hint="eastAsia"/>
          <w:b/>
        </w:rPr>
        <w:t>第十五条</w:t>
      </w:r>
      <w:r>
        <w:rPr>
          <w:rFonts w:hint="eastAsia"/>
        </w:rPr>
        <w:t xml:space="preserve">  星级饭店设置的电源线路应当符合国家标准或者行业标准；临时用电线路应当采取有效防护措施；电气设备应当安装漏电和过载保护装置。</w:t>
      </w:r>
    </w:p>
    <w:p w14:paraId="737A904B">
      <w:pPr>
        <w:ind w:firstLine="422"/>
      </w:pPr>
      <w:r>
        <w:rPr>
          <w:rFonts w:hint="eastAsia"/>
          <w:b/>
        </w:rPr>
        <w:t>第十六条</w:t>
      </w:r>
      <w:r>
        <w:rPr>
          <w:rFonts w:hint="eastAsia"/>
        </w:rPr>
        <w:t xml:space="preserve">  星级饭店应当保证安全出口的畅通；不得封闭、堵塞安全出口；安全出口处不得设置门槛。</w:t>
      </w:r>
    </w:p>
    <w:p w14:paraId="6B08B784">
      <w:pPr>
        <w:rPr>
          <w:rFonts w:hint="eastAsia" w:ascii="宋体" w:hAnsi="宋体" w:eastAsia="宋体" w:cs="宋体"/>
        </w:rPr>
      </w:pPr>
      <w:r>
        <w:rPr>
          <w:rFonts w:hint="eastAsia"/>
        </w:rPr>
        <w:t>疏散门应当向疏散方向开启，不得采用卷帘门、转门、吊门、侧拉门。</w:t>
      </w:r>
      <w:r>
        <w:rPr>
          <w:rFonts w:hint="eastAsia" w:ascii="宋体" w:hAnsi="宋体" w:eastAsia="宋体" w:cs="宋体"/>
        </w:rPr>
        <w:t>门内和门外1.4米范围内不得设置踏步。</w:t>
      </w:r>
    </w:p>
    <w:p w14:paraId="33B854E7">
      <w:pPr>
        <w:ind w:firstLine="422"/>
      </w:pPr>
      <w:r>
        <w:rPr>
          <w:rFonts w:hint="eastAsia"/>
          <w:b/>
        </w:rPr>
        <w:t>第十七条</w:t>
      </w:r>
      <w:r>
        <w:rPr>
          <w:rFonts w:hint="eastAsia"/>
        </w:rPr>
        <w:t>　营业区域内的安全出口数目、安全疏散距离、疏散门和疏散通道的宽度应当符合国家标准或者行业标准。</w:t>
      </w:r>
    </w:p>
    <w:p w14:paraId="5DDB1E92">
      <w:pPr>
        <w:ind w:firstLine="422"/>
      </w:pPr>
      <w:r>
        <w:rPr>
          <w:rFonts w:hint="eastAsia"/>
          <w:b/>
        </w:rPr>
        <w:t>第十八条</w:t>
      </w:r>
      <w:r>
        <w:rPr>
          <w:rFonts w:hint="eastAsia"/>
        </w:rPr>
        <w:t>　营业区域内的安全出口和疏散通道及其转角处应当设置发光疏散指示标志。指示标志应当能够在断电且无自然光照明时，指引疏散位置和疏散方向。</w:t>
      </w:r>
    </w:p>
    <w:p w14:paraId="51E9F512">
      <w:pPr>
        <w:rPr>
          <w:rFonts w:hint="eastAsia" w:ascii="宋体" w:hAnsi="宋体" w:eastAsia="宋体" w:cs="宋体"/>
        </w:rPr>
      </w:pPr>
      <w:r>
        <w:rPr>
          <w:rFonts w:hint="eastAsia"/>
        </w:rPr>
        <w:t>指示标志应当设置在安全出口的顶</w:t>
      </w:r>
      <w:r>
        <w:rPr>
          <w:rFonts w:hint="eastAsia" w:ascii="宋体" w:hAnsi="宋体" w:eastAsia="宋体" w:cs="宋体"/>
        </w:rPr>
        <w:t>部和疏散通道及其转角处距地面高度1米以下的墙面上；设置在疏散通道上的指示标志的间距不得大于10米。</w:t>
      </w:r>
    </w:p>
    <w:p w14:paraId="0035956D">
      <w:pPr>
        <w:ind w:firstLine="422"/>
        <w:rPr>
          <w:rFonts w:hint="eastAsia" w:ascii="宋体" w:hAnsi="宋体" w:eastAsia="宋体" w:cs="宋体"/>
        </w:rPr>
      </w:pPr>
      <w:r>
        <w:rPr>
          <w:rFonts w:hint="eastAsia"/>
          <w:b/>
        </w:rPr>
        <w:t>第十九条</w:t>
      </w:r>
      <w:r>
        <w:rPr>
          <w:rFonts w:hint="eastAsia"/>
        </w:rPr>
        <w:t>　营业区域内的安全出口、疏散通道和重点部位应当设置应急照明灯。应急照明灯的连续照明时间不得少</w:t>
      </w:r>
      <w:r>
        <w:rPr>
          <w:rFonts w:hint="eastAsia" w:ascii="宋体" w:hAnsi="宋体" w:eastAsia="宋体" w:cs="宋体"/>
        </w:rPr>
        <w:t>于20分钟，其地面最低照度不得低于0.5勒克斯。</w:t>
      </w:r>
    </w:p>
    <w:p w14:paraId="51778633">
      <w:pPr>
        <w:ind w:firstLine="422"/>
      </w:pPr>
      <w:r>
        <w:rPr>
          <w:rFonts w:hint="eastAsia"/>
          <w:b/>
        </w:rPr>
        <w:t>第二十条</w:t>
      </w:r>
      <w:r>
        <w:rPr>
          <w:rFonts w:hint="eastAsia"/>
        </w:rPr>
        <w:t>　星级饭店应当在客房、会议室等经营场所的显著位置设置中英文对照的逃生疏散指示图；在客房内设置安全须知等安全提示标志或者资料。</w:t>
      </w:r>
    </w:p>
    <w:p w14:paraId="7ABDC1BF">
      <w:r>
        <w:rPr>
          <w:rFonts w:hint="eastAsia"/>
        </w:rPr>
        <w:t>营业区域内落地式的玻璃门、玻璃窗、玻璃墙应当设置安全警示标志。</w:t>
      </w:r>
    </w:p>
    <w:p w14:paraId="180E3BF5">
      <w:r>
        <w:rPr>
          <w:rFonts w:hint="eastAsia"/>
        </w:rPr>
        <w:t>安全警示标志应当明显，保持完好，便于公众识别。</w:t>
      </w:r>
    </w:p>
    <w:p w14:paraId="0A608F91">
      <w:pPr>
        <w:ind w:firstLine="422"/>
      </w:pPr>
      <w:r>
        <w:rPr>
          <w:rFonts w:hint="eastAsia"/>
          <w:b/>
        </w:rPr>
        <w:t>第二十一条</w:t>
      </w:r>
      <w:r>
        <w:rPr>
          <w:rFonts w:hint="eastAsia"/>
        </w:rPr>
        <w:t>　星级饭店在营业区域内进行装修、维修、改造等施工且不停止营业的，应当与施工单位签订专门的安全生产管理协议，明确安全责任；施工区域应当与其他营业区域相隔离，并采取安全措施，确保安全。</w:t>
      </w:r>
    </w:p>
    <w:p w14:paraId="229EDDF6">
      <w:pPr>
        <w:ind w:firstLine="422"/>
      </w:pPr>
      <w:r>
        <w:rPr>
          <w:rFonts w:hint="eastAsia"/>
          <w:b/>
        </w:rPr>
        <w:t>第二十二条</w:t>
      </w:r>
      <w:r>
        <w:rPr>
          <w:rFonts w:hint="eastAsia"/>
        </w:rPr>
        <w:t>　星级饭店将经营场所出租的，应当与承租单位签订安全生产管理协议，明确各自的安全生产管理职责。</w:t>
      </w:r>
    </w:p>
    <w:p w14:paraId="156B7290">
      <w:r>
        <w:rPr>
          <w:rFonts w:hint="eastAsia"/>
        </w:rPr>
        <w:t>星级饭店对各承租单位的安全生产工作统一协调、管理。</w:t>
      </w:r>
    </w:p>
    <w:p w14:paraId="60C79FF4">
      <w:pPr>
        <w:ind w:firstLine="422"/>
      </w:pPr>
      <w:r>
        <w:rPr>
          <w:rFonts w:hint="eastAsia"/>
          <w:b/>
        </w:rPr>
        <w:t>第二十三条</w:t>
      </w:r>
      <w:r>
        <w:rPr>
          <w:rFonts w:hint="eastAsia"/>
        </w:rPr>
        <w:t>　星级饭店使用、储存的危险物品，应当单独存放，专人管理。</w:t>
      </w:r>
    </w:p>
    <w:p w14:paraId="4E733E99">
      <w:pPr>
        <w:ind w:firstLine="422"/>
      </w:pPr>
      <w:r>
        <w:rPr>
          <w:rFonts w:hint="eastAsia"/>
          <w:b/>
        </w:rPr>
        <w:t>第二十四条</w:t>
      </w:r>
      <w:r>
        <w:rPr>
          <w:rFonts w:hint="eastAsia"/>
        </w:rPr>
        <w:t>　星级饭店应当制定生产安全事故应急救援预案。应急救援预案应当包括应急救援组织、危险目标、启动程序、紧急处置措施等内容。</w:t>
      </w:r>
    </w:p>
    <w:p w14:paraId="47164379">
      <w:r>
        <w:rPr>
          <w:rFonts w:hint="eastAsia"/>
        </w:rPr>
        <w:t>应急救援预案应当每半年至少</w:t>
      </w:r>
      <w:r>
        <w:rPr>
          <w:rFonts w:hint="eastAsia" w:ascii="宋体" w:hAnsi="宋体" w:eastAsia="宋体" w:cs="宋体"/>
        </w:rPr>
        <w:t>演练1次，并做好</w:t>
      </w:r>
      <w:r>
        <w:rPr>
          <w:rFonts w:hint="eastAsia"/>
        </w:rPr>
        <w:t>记录。</w:t>
      </w:r>
    </w:p>
    <w:p w14:paraId="1E6815FC">
      <w:pPr>
        <w:ind w:firstLine="422"/>
      </w:pPr>
      <w:r>
        <w:rPr>
          <w:rFonts w:hint="eastAsia"/>
          <w:b/>
        </w:rPr>
        <w:t>第二十五条</w:t>
      </w:r>
      <w:r>
        <w:rPr>
          <w:rFonts w:hint="eastAsia"/>
        </w:rPr>
        <w:t>　星级饭店的有关负责人应当掌握应急救援预案的全部内容；其他人员应当能够熟练使用消防器材，了解安全出口和疏散通道的位置以及本岗位的应急救援职责。</w:t>
      </w:r>
    </w:p>
    <w:p w14:paraId="31B618A4">
      <w:pPr>
        <w:ind w:firstLine="422"/>
      </w:pPr>
      <w:r>
        <w:rPr>
          <w:rFonts w:hint="eastAsia"/>
          <w:b/>
        </w:rPr>
        <w:t>第二十六条</w:t>
      </w:r>
      <w:r>
        <w:rPr>
          <w:rFonts w:hint="eastAsia"/>
        </w:rPr>
        <w:t>　星级饭店应当设置能够覆盖全部营业区域的应急广播，并能够使用中英文两种语言播放。</w:t>
      </w:r>
    </w:p>
    <w:p w14:paraId="740C242F">
      <w:pPr>
        <w:ind w:firstLine="422"/>
      </w:pPr>
      <w:r>
        <w:rPr>
          <w:rFonts w:hint="eastAsia"/>
          <w:b/>
        </w:rPr>
        <w:t>第二十七条</w:t>
      </w:r>
      <w:r>
        <w:rPr>
          <w:rFonts w:hint="eastAsia"/>
        </w:rPr>
        <w:t>　星级饭店发生生产安全事故后，应当迅速启动应急救援预案，采取有效措施，组织人员疏散，防止事故扩大，并按照国家和本市有关规定及时、如实报告公安、安全生产监督管理、旅游等有关部门。</w:t>
      </w:r>
    </w:p>
    <w:p w14:paraId="5A28D2B7">
      <w:pPr>
        <w:ind w:firstLine="422"/>
      </w:pPr>
      <w:r>
        <w:rPr>
          <w:rFonts w:hint="eastAsia"/>
          <w:b/>
        </w:rPr>
        <w:t>第二十八条</w:t>
      </w:r>
      <w:r>
        <w:rPr>
          <w:rFonts w:hint="eastAsia"/>
        </w:rPr>
        <w:t>　安全生产监督管理部门发现星级饭店存在安全生产问题，属于行业监督管理或者专项监督管理职责的，应当及时以书面形式督促有关部门处理。</w:t>
      </w:r>
    </w:p>
    <w:p w14:paraId="7094E0AC">
      <w:pPr>
        <w:ind w:firstLine="422"/>
      </w:pPr>
      <w:r>
        <w:rPr>
          <w:rFonts w:hint="eastAsia"/>
          <w:b/>
        </w:rPr>
        <w:t>第二十九条</w:t>
      </w:r>
      <w:r>
        <w:rPr>
          <w:rFonts w:hint="eastAsia"/>
        </w:rPr>
        <w:t xml:space="preserve">  星级饭店违反本规定，有下列情形之一的，由旅游行政管理部门责令改正，并按照下列规定给予行政处罚：</w:t>
      </w:r>
    </w:p>
    <w:p w14:paraId="2C94BF66">
      <w:pPr>
        <w:rPr>
          <w:rFonts w:hint="eastAsia" w:ascii="宋体" w:hAnsi="宋体" w:eastAsia="宋体" w:cs="宋体"/>
        </w:rPr>
      </w:pPr>
      <w:r>
        <w:rPr>
          <w:rFonts w:hint="eastAsia"/>
        </w:rPr>
        <w:t>（一）未建立安全生产例会制度或者未制定安全生产措施</w:t>
      </w:r>
      <w:r>
        <w:rPr>
          <w:rFonts w:hint="eastAsia" w:ascii="宋体" w:hAnsi="宋体" w:eastAsia="宋体" w:cs="宋体"/>
        </w:rPr>
        <w:t>的，处5000元以上1万元以下罚款；</w:t>
      </w:r>
    </w:p>
    <w:p w14:paraId="7D2DC604">
      <w:pPr>
        <w:rPr>
          <w:rFonts w:hint="eastAsia" w:ascii="宋体" w:hAnsi="宋体" w:eastAsia="宋体" w:cs="宋体"/>
        </w:rPr>
      </w:pPr>
      <w:r>
        <w:rPr>
          <w:rFonts w:hint="eastAsia" w:ascii="宋体" w:hAnsi="宋体" w:eastAsia="宋体" w:cs="宋体"/>
        </w:rPr>
        <w:t>（二）未建立生产安全事故隐患排查制度的，处5000元以上2万元以下罚款；</w:t>
      </w:r>
    </w:p>
    <w:p w14:paraId="78B730ED">
      <w:pPr>
        <w:rPr>
          <w:rFonts w:hint="eastAsia" w:ascii="宋体" w:hAnsi="宋体" w:eastAsia="宋体" w:cs="宋体"/>
        </w:rPr>
      </w:pPr>
      <w:r>
        <w:rPr>
          <w:rFonts w:hint="eastAsia" w:ascii="宋体" w:hAnsi="宋体" w:eastAsia="宋体" w:cs="宋体"/>
        </w:rPr>
        <w:t>（三）未设置逃生疏散指示图或者安全须知等安全提示标志或者资料的，处5000元以上3万元以下罚款；</w:t>
      </w:r>
    </w:p>
    <w:p w14:paraId="5923C0A1">
      <w:pPr>
        <w:rPr>
          <w:rFonts w:hint="eastAsia" w:ascii="宋体" w:hAnsi="宋体" w:eastAsia="宋体" w:cs="宋体"/>
        </w:rPr>
      </w:pPr>
      <w:r>
        <w:rPr>
          <w:rFonts w:hint="eastAsia" w:ascii="宋体" w:hAnsi="宋体" w:eastAsia="宋体" w:cs="宋体"/>
        </w:rPr>
        <w:t>（四）未设置能够覆盖全部营业区域的应急广播或者不能使用中英文两种语言播放的，处5000元以上2万元以下罚款。</w:t>
      </w:r>
    </w:p>
    <w:p w14:paraId="3CCFA261">
      <w:pPr>
        <w:ind w:firstLine="422"/>
      </w:pPr>
      <w:r>
        <w:rPr>
          <w:rFonts w:hint="eastAsia"/>
          <w:b/>
        </w:rPr>
        <w:t>第三十条</w:t>
      </w:r>
      <w:r>
        <w:rPr>
          <w:rFonts w:hint="eastAsia"/>
        </w:rPr>
        <w:t xml:space="preserve">  违反本规定，按照安全生产、消防、特种设备安全等法律、法规、规章的规定应当给予行政处罚的，由有关部门依法处罚。</w:t>
      </w:r>
    </w:p>
    <w:p w14:paraId="33EF7047">
      <w:pPr>
        <w:ind w:firstLine="422"/>
      </w:pPr>
      <w:r>
        <w:rPr>
          <w:rFonts w:hint="eastAsia"/>
          <w:b/>
        </w:rPr>
        <w:t>第三十一条</w:t>
      </w:r>
      <w:r>
        <w:rPr>
          <w:rFonts w:hint="eastAsia"/>
        </w:rPr>
        <w:t xml:space="preserve">  本规定</w:t>
      </w:r>
      <w:r>
        <w:rPr>
          <w:rFonts w:hint="eastAsia" w:ascii="宋体" w:hAnsi="宋体" w:eastAsia="宋体" w:cs="宋体"/>
        </w:rPr>
        <w:t>自2007年4月 l 日起施行</w:t>
      </w:r>
      <w:r>
        <w:rPr>
          <w:rFonts w:hint="eastAsia"/>
        </w:rPr>
        <w:t>。</w:t>
      </w:r>
    </w:p>
    <w:p w14:paraId="47F3FE89">
      <w:pPr>
        <w:pStyle w:val="4"/>
        <w:pageBreakBefore/>
      </w:pPr>
      <w:bookmarkStart w:id="1982" w:name="_Toc428780426"/>
      <w:bookmarkStart w:id="1983" w:name="_Toc428781781"/>
      <w:bookmarkStart w:id="1984" w:name="_Toc426467033"/>
      <w:r>
        <w:rPr>
          <w:rFonts w:hint="eastAsia"/>
        </w:rPr>
        <w:t>北京市体育运动项目经营单位安全生产规定</w:t>
      </w:r>
      <w:bookmarkEnd w:id="1982"/>
      <w:bookmarkEnd w:id="1983"/>
      <w:bookmarkEnd w:id="1984"/>
    </w:p>
    <w:p w14:paraId="70C75354">
      <w:pPr>
        <w:ind w:left="630" w:leftChars="300" w:right="630" w:rightChars="300"/>
        <w:rPr>
          <w:rFonts w:ascii="楷体" w:hAnsi="楷体" w:eastAsia="楷体"/>
        </w:rPr>
      </w:pPr>
      <w:r>
        <w:rPr>
          <w:rFonts w:hint="eastAsia" w:ascii="楷体" w:hAnsi="楷体" w:eastAsia="楷体"/>
        </w:rPr>
        <w:t>（2006年10月12日北京市人民政府第54次常务会议审议通过  2006年10月26日北京市人民政府第179号令公布）</w:t>
      </w:r>
    </w:p>
    <w:p w14:paraId="19B9FFA0"/>
    <w:p w14:paraId="1D13C2EA">
      <w:pPr>
        <w:ind w:firstLine="422"/>
      </w:pPr>
      <w:r>
        <w:rPr>
          <w:rFonts w:hint="eastAsia"/>
          <w:b/>
        </w:rPr>
        <w:t>第一条</w:t>
      </w:r>
      <w:r>
        <w:rPr>
          <w:rFonts w:hint="eastAsia"/>
        </w:rPr>
        <w:t xml:space="preserve">  为了加强安全生产监督管理，提高体育运动项目经营单位安全生产水平，防止和减少生产安全事故，保障人民群众生命和财产安全，根据《中华人民共和国安全生产法》和《北京市安全生产条例》及有关法律、法规，制定本规定。</w:t>
      </w:r>
    </w:p>
    <w:p w14:paraId="6D84E0F3">
      <w:pPr>
        <w:ind w:firstLine="422"/>
      </w:pPr>
      <w:r>
        <w:rPr>
          <w:rFonts w:hint="eastAsia"/>
          <w:b/>
        </w:rPr>
        <w:t>第二条</w:t>
      </w:r>
      <w:r>
        <w:rPr>
          <w:rFonts w:hint="eastAsia"/>
        </w:rPr>
        <w:t xml:space="preserve">  本市行政区域内体育运动项目经营单位的安全生产，适用本规定；有关法律、法规、规章对消防安全、特种设备安全另有规定的，适用其规定。</w:t>
      </w:r>
    </w:p>
    <w:p w14:paraId="191FF3FB">
      <w:r>
        <w:rPr>
          <w:rFonts w:hint="eastAsia"/>
        </w:rPr>
        <w:t>本规定所称体育运动项目是指国家体育行政主管部门正式公布的体育运动项目。</w:t>
      </w:r>
    </w:p>
    <w:p w14:paraId="6567E890">
      <w:pPr>
        <w:ind w:firstLine="422"/>
      </w:pPr>
      <w:r>
        <w:rPr>
          <w:rFonts w:hint="eastAsia"/>
          <w:b/>
        </w:rPr>
        <w:t>第三条</w:t>
      </w:r>
      <w:r>
        <w:rPr>
          <w:rFonts w:hint="eastAsia"/>
        </w:rPr>
        <w:t xml:space="preserve">  安全生产管理，坚持安全第一、预防为主、综合治理的方针。</w:t>
      </w:r>
    </w:p>
    <w:p w14:paraId="058BC9BD">
      <w:pPr>
        <w:ind w:firstLine="422"/>
      </w:pPr>
      <w:r>
        <w:rPr>
          <w:rFonts w:hint="eastAsia"/>
          <w:b/>
        </w:rPr>
        <w:t>第四条</w:t>
      </w:r>
      <w:r>
        <w:rPr>
          <w:rFonts w:hint="eastAsia"/>
        </w:rPr>
        <w:t xml:space="preserve">  市和区、县体育行政主管部门对体育运动项目经营单位的安全生产工作实施行业监督管理；公安消防、质量技术监督等部门分别对体育运动项目经营单位的消防安全、特种设备安全等实施专项监督管理；安全生产监督管理部门对体育运动项目经营单位的安全生产工作实施综合监督管理，指导、协调和监督政府有关部门履行安全生产监督管理职责。</w:t>
      </w:r>
    </w:p>
    <w:p w14:paraId="49FF7F33">
      <w:r>
        <w:rPr>
          <w:rFonts w:hint="eastAsia"/>
        </w:rPr>
        <w:t>行业协会协助政府有关部门指导会员单位做好安全生产工作，制定安全生产制度、规程，提供相关服务。</w:t>
      </w:r>
    </w:p>
    <w:p w14:paraId="733FD25C">
      <w:pPr>
        <w:ind w:firstLine="422"/>
      </w:pPr>
      <w:r>
        <w:rPr>
          <w:rFonts w:hint="eastAsia"/>
          <w:b/>
        </w:rPr>
        <w:t>第五条</w:t>
      </w:r>
      <w:r>
        <w:rPr>
          <w:rFonts w:hint="eastAsia"/>
        </w:rPr>
        <w:t xml:space="preserve">  体育运动项目经营单位的主要负责人对本单位的安全生产工作全面负责。</w:t>
      </w:r>
    </w:p>
    <w:p w14:paraId="08460F9D">
      <w:pPr>
        <w:ind w:firstLine="422"/>
      </w:pPr>
      <w:r>
        <w:rPr>
          <w:rFonts w:hint="eastAsia"/>
          <w:b/>
        </w:rPr>
        <w:t>第六条</w:t>
      </w:r>
      <w:r>
        <w:rPr>
          <w:rFonts w:hint="eastAsia"/>
        </w:rPr>
        <w:t xml:space="preserve">  体育运动项目经营单位应当遵守有关安全生产的法律、法规、规章，加强安全生产管理，建立、健全安全生产责任制度，完善安全生产条件，确保安全生产。</w:t>
      </w:r>
    </w:p>
    <w:p w14:paraId="1A26C95A">
      <w:pPr>
        <w:ind w:firstLine="422"/>
      </w:pPr>
      <w:r>
        <w:rPr>
          <w:rFonts w:hint="eastAsia"/>
          <w:b/>
        </w:rPr>
        <w:t>第七条</w:t>
      </w:r>
      <w:r>
        <w:rPr>
          <w:rFonts w:hint="eastAsia"/>
        </w:rPr>
        <w:t xml:space="preserve">  体育运动项目经营单位从业人员超</w:t>
      </w:r>
      <w:r>
        <w:rPr>
          <w:rFonts w:hint="eastAsia" w:ascii="宋体" w:hAnsi="宋体" w:eastAsia="宋体" w:cs="宋体"/>
        </w:rPr>
        <w:t>过300人的，应当设置安全生产管理机构或者配备专职安全生产管理人员；从业人员在300人以下的，应当</w:t>
      </w:r>
      <w:r>
        <w:rPr>
          <w:rFonts w:hint="eastAsia"/>
        </w:rPr>
        <w:t>配备专职或者兼职的安全生产管理人员，或者委托具有国家规定的相关专业技术资格的工程技术人员提供安全生产管理服务。</w:t>
      </w:r>
    </w:p>
    <w:p w14:paraId="6A7F0685">
      <w:pPr>
        <w:ind w:firstLine="422"/>
      </w:pPr>
      <w:r>
        <w:rPr>
          <w:rFonts w:hint="eastAsia"/>
          <w:b/>
        </w:rPr>
        <w:t>第八条</w:t>
      </w:r>
      <w:r>
        <w:rPr>
          <w:rFonts w:hint="eastAsia"/>
        </w:rPr>
        <w:t xml:space="preserve">  体育运动项目经营单位应当对从业人员进行安全生产教育和培训。未经安全生产教育和培训合格的从业人员，不得上岗作业。</w:t>
      </w:r>
    </w:p>
    <w:p w14:paraId="0D622179">
      <w:pPr>
        <w:rPr>
          <w:rFonts w:hint="eastAsia" w:ascii="宋体" w:hAnsi="宋体" w:eastAsia="宋体" w:cs="宋体"/>
        </w:rPr>
      </w:pPr>
      <w:r>
        <w:rPr>
          <w:rFonts w:hint="eastAsia"/>
        </w:rPr>
        <w:t>体育运动项目经营单位应当对安全生产教育和培训的情况进行记录，记录至少保</w:t>
      </w:r>
      <w:r>
        <w:rPr>
          <w:rFonts w:hint="eastAsia" w:ascii="宋体" w:hAnsi="宋体" w:eastAsia="宋体" w:cs="宋体"/>
        </w:rPr>
        <w:t>存2年。</w:t>
      </w:r>
    </w:p>
    <w:p w14:paraId="3DE326B1">
      <w:pPr>
        <w:ind w:firstLine="422"/>
      </w:pPr>
      <w:r>
        <w:rPr>
          <w:rFonts w:hint="eastAsia"/>
          <w:b/>
        </w:rPr>
        <w:t>第九条</w:t>
      </w:r>
      <w:r>
        <w:rPr>
          <w:rFonts w:hint="eastAsia"/>
        </w:rPr>
        <w:t xml:space="preserve">  体育运动项目经营单位的特种作业人员应当按照国家有关规定经专门的安全作业培训，取得特种作业操作资格证书，方可上岗作业。</w:t>
      </w:r>
    </w:p>
    <w:p w14:paraId="335BF217">
      <w:pPr>
        <w:ind w:firstLine="422"/>
      </w:pPr>
      <w:r>
        <w:rPr>
          <w:rFonts w:hint="eastAsia"/>
          <w:b/>
        </w:rPr>
        <w:t>第十条</w:t>
      </w:r>
      <w:r>
        <w:rPr>
          <w:rFonts w:hint="eastAsia"/>
        </w:rPr>
        <w:t xml:space="preserve">  体育运动项目经营单位应当建立安全生产例会制度，定期研究本单位安全生产工作；制定有效的安全生产措施，并对措施的落实情况进行检查。</w:t>
      </w:r>
    </w:p>
    <w:p w14:paraId="14ECB6E5">
      <w:pPr>
        <w:ind w:firstLine="422"/>
      </w:pPr>
      <w:r>
        <w:rPr>
          <w:rFonts w:hint="eastAsia"/>
          <w:b/>
        </w:rPr>
        <w:t>第十一条</w:t>
      </w:r>
      <w:r>
        <w:rPr>
          <w:rFonts w:hint="eastAsia"/>
        </w:rPr>
        <w:t xml:space="preserve">  体育运动项目经营单位应当建立生产安全事故隐患排查制度，对本单位容易发生事故的部位、设施，明确责任人员，制定并落实防范和应急措施。</w:t>
      </w:r>
    </w:p>
    <w:p w14:paraId="47BAC37A">
      <w:pPr>
        <w:ind w:firstLine="422"/>
      </w:pPr>
      <w:r>
        <w:rPr>
          <w:rFonts w:hint="eastAsia"/>
          <w:b/>
        </w:rPr>
        <w:t>第十二条</w:t>
      </w:r>
      <w:r>
        <w:rPr>
          <w:rFonts w:hint="eastAsia"/>
        </w:rPr>
        <w:t xml:space="preserve">  体育运动项目经营单位应当在每日营业开始前和结束后，对营业区域进行全面安全检查；营业期间每</w:t>
      </w:r>
      <w:r>
        <w:rPr>
          <w:rFonts w:hint="eastAsia" w:ascii="宋体" w:hAnsi="宋体" w:eastAsia="宋体" w:cs="宋体"/>
        </w:rPr>
        <w:t>2小时至少进行1次安全巡查。检查和巡查应当做</w:t>
      </w:r>
      <w:r>
        <w:rPr>
          <w:rFonts w:hint="eastAsia"/>
        </w:rPr>
        <w:t>好记录。</w:t>
      </w:r>
    </w:p>
    <w:p w14:paraId="35CD90DC">
      <w:pPr>
        <w:ind w:firstLine="422"/>
        <w:rPr>
          <w:rFonts w:hint="eastAsia" w:ascii="宋体" w:hAnsi="宋体" w:eastAsia="宋体" w:cs="宋体"/>
        </w:rPr>
      </w:pPr>
      <w:r>
        <w:rPr>
          <w:rFonts w:hint="eastAsia"/>
          <w:b/>
        </w:rPr>
        <w:t>第十三条</w:t>
      </w:r>
      <w:r>
        <w:rPr>
          <w:rFonts w:hint="eastAsia"/>
        </w:rPr>
        <w:t xml:space="preserve">  体育运动项目经营单位的变配电室总</w:t>
      </w:r>
      <w:r>
        <w:rPr>
          <w:rFonts w:hint="eastAsia" w:ascii="宋体" w:hAnsi="宋体" w:eastAsia="宋体" w:cs="宋体"/>
        </w:rPr>
        <w:t>额定容量在630千伏安以上且电压等级为10千伏的，应当安排专人24小时值班。值班应当做好记录。</w:t>
      </w:r>
    </w:p>
    <w:p w14:paraId="14419D50">
      <w:r>
        <w:rPr>
          <w:rFonts w:hint="eastAsia"/>
        </w:rPr>
        <w:t>变配电室不得存放危险物品和杂物。</w:t>
      </w:r>
    </w:p>
    <w:p w14:paraId="5BB8AB7D">
      <w:pPr>
        <w:ind w:firstLine="422"/>
      </w:pPr>
      <w:r>
        <w:rPr>
          <w:rFonts w:hint="eastAsia"/>
          <w:b/>
        </w:rPr>
        <w:t>第十四条</w:t>
      </w:r>
      <w:r>
        <w:rPr>
          <w:rFonts w:hint="eastAsia"/>
        </w:rPr>
        <w:t xml:space="preserve">  变配电室应当配备用电设备和配电线路平面分布图等安全技术资料，以及必要的作业工具和劳动防护用品，并在明显位置设置变配电系统操作模拟图板。</w:t>
      </w:r>
    </w:p>
    <w:p w14:paraId="0FA0CBC4">
      <w:r>
        <w:rPr>
          <w:rFonts w:hint="eastAsia"/>
        </w:rPr>
        <w:t>变配电室的门、窗、电缆沟应当设置防水设施和挡鼠板。</w:t>
      </w:r>
    </w:p>
    <w:p w14:paraId="46DF21D8">
      <w:pPr>
        <w:ind w:firstLine="422"/>
      </w:pPr>
      <w:r>
        <w:rPr>
          <w:rFonts w:hint="eastAsia"/>
          <w:b/>
        </w:rPr>
        <w:t>第十五条</w:t>
      </w:r>
      <w:r>
        <w:rPr>
          <w:rFonts w:hint="eastAsia"/>
        </w:rPr>
        <w:t xml:space="preserve">  体育运动项目经营单位设置的电源线路应当符合国家标准或者行业标准；临时用电线路应当采取有效防护措施；电气设备应当安装漏电和过载保护装置。</w:t>
      </w:r>
    </w:p>
    <w:p w14:paraId="39D0E67C">
      <w:pPr>
        <w:ind w:firstLine="422"/>
      </w:pPr>
      <w:r>
        <w:rPr>
          <w:rFonts w:hint="eastAsia"/>
          <w:b/>
        </w:rPr>
        <w:t>第十六条</w:t>
      </w:r>
      <w:r>
        <w:rPr>
          <w:rFonts w:hint="eastAsia"/>
        </w:rPr>
        <w:t xml:space="preserve">  体育运动项目经营单位应当保证安全出口的畅通；不得封闭、堵塞安全出口；安全出口处不得设置门槛。</w:t>
      </w:r>
    </w:p>
    <w:p w14:paraId="088152AE">
      <w:r>
        <w:rPr>
          <w:rFonts w:hint="eastAsia"/>
        </w:rPr>
        <w:t>疏散门应当向疏散方向开启，不得采用卷帘门、转门、吊门、侧拉门。门内和</w:t>
      </w:r>
      <w:r>
        <w:rPr>
          <w:rFonts w:hint="eastAsia" w:ascii="宋体" w:hAnsi="宋体" w:eastAsia="宋体" w:cs="宋体"/>
        </w:rPr>
        <w:t>门外1.4</w:t>
      </w:r>
      <w:r>
        <w:rPr>
          <w:rFonts w:hint="eastAsia"/>
        </w:rPr>
        <w:t>米范围内不得设置踏步。</w:t>
      </w:r>
    </w:p>
    <w:p w14:paraId="18D93046">
      <w:pPr>
        <w:ind w:firstLine="422"/>
      </w:pPr>
      <w:r>
        <w:rPr>
          <w:rFonts w:hint="eastAsia"/>
          <w:b/>
        </w:rPr>
        <w:t>第十七条</w:t>
      </w:r>
      <w:r>
        <w:rPr>
          <w:rFonts w:hint="eastAsia"/>
        </w:rPr>
        <w:t xml:space="preserve">  营业区域内的安全出口数目、安全疏散距离、疏散门和疏散通道的宽度应当符合国家标准或者行业标准。</w:t>
      </w:r>
    </w:p>
    <w:p w14:paraId="1B370696">
      <w:pPr>
        <w:ind w:firstLine="422"/>
      </w:pPr>
      <w:r>
        <w:rPr>
          <w:rFonts w:hint="eastAsia"/>
          <w:b/>
        </w:rPr>
        <w:t>第十八条</w:t>
      </w:r>
      <w:r>
        <w:rPr>
          <w:rFonts w:hint="eastAsia"/>
        </w:rPr>
        <w:t xml:space="preserve">  营业区域内的安全出口和疏散通道及其转角处应当设置发光疏散指示标志。指示标志应当能够在断电且无自然光照明时，指引疏散位置和疏散方向。</w:t>
      </w:r>
    </w:p>
    <w:p w14:paraId="5658D96E">
      <w:pPr>
        <w:rPr>
          <w:rFonts w:hint="eastAsia" w:ascii="宋体" w:hAnsi="宋体" w:eastAsia="宋体" w:cs="宋体"/>
        </w:rPr>
      </w:pPr>
      <w:r>
        <w:rPr>
          <w:rFonts w:hint="eastAsia"/>
        </w:rPr>
        <w:t>指示标志应当设置在安全出口的顶部和疏散通道及其转角处距地面高</w:t>
      </w:r>
      <w:r>
        <w:rPr>
          <w:rFonts w:hint="eastAsia" w:ascii="宋体" w:hAnsi="宋体" w:eastAsia="宋体" w:cs="宋体"/>
        </w:rPr>
        <w:t>度1米以下的墙面上；设置在疏散通道上的指示标志的间距不得大于10米。</w:t>
      </w:r>
    </w:p>
    <w:p w14:paraId="138916AD">
      <w:pPr>
        <w:ind w:firstLine="422"/>
        <w:rPr>
          <w:rFonts w:hint="eastAsia" w:ascii="宋体" w:hAnsi="宋体" w:eastAsia="宋体" w:cs="宋体"/>
        </w:rPr>
      </w:pPr>
      <w:r>
        <w:rPr>
          <w:rFonts w:hint="eastAsia"/>
          <w:b/>
        </w:rPr>
        <w:t>第十九条</w:t>
      </w:r>
      <w:r>
        <w:rPr>
          <w:rFonts w:hint="eastAsia"/>
        </w:rPr>
        <w:t xml:space="preserve">  营业区域内的安全出口、疏散通道和重点部位应当设置应急照明灯。应急照明灯的连续照明时间不得少</w:t>
      </w:r>
      <w:r>
        <w:rPr>
          <w:rFonts w:hint="eastAsia" w:ascii="宋体" w:hAnsi="宋体" w:eastAsia="宋体" w:cs="宋体"/>
        </w:rPr>
        <w:t>于20分钟，其</w:t>
      </w:r>
      <w:r>
        <w:rPr>
          <w:rFonts w:hint="eastAsia"/>
        </w:rPr>
        <w:t>地面最低照度不得低</w:t>
      </w:r>
      <w:r>
        <w:rPr>
          <w:rFonts w:hint="eastAsia" w:ascii="宋体" w:hAnsi="宋体" w:eastAsia="宋体" w:cs="宋体"/>
        </w:rPr>
        <w:t>于0.5勒克斯。</w:t>
      </w:r>
    </w:p>
    <w:p w14:paraId="70C9CCF6">
      <w:pPr>
        <w:ind w:firstLine="422"/>
      </w:pPr>
      <w:r>
        <w:rPr>
          <w:rFonts w:hint="eastAsia"/>
          <w:b/>
        </w:rPr>
        <w:t>第二十条</w:t>
      </w:r>
      <w:r>
        <w:rPr>
          <w:rFonts w:hint="eastAsia"/>
        </w:rPr>
        <w:t xml:space="preserve">  营业区域内落地式的玻璃门、玻璃窗、玻璃墙应当设置安全警示标志。</w:t>
      </w:r>
    </w:p>
    <w:p w14:paraId="794FED26">
      <w:r>
        <w:rPr>
          <w:rFonts w:hint="eastAsia"/>
        </w:rPr>
        <w:t>安全警示标志应当明显，保持完好，便于公众识别。</w:t>
      </w:r>
    </w:p>
    <w:p w14:paraId="7CD754FE">
      <w:pPr>
        <w:ind w:firstLine="422"/>
      </w:pPr>
      <w:r>
        <w:rPr>
          <w:rFonts w:hint="eastAsia"/>
          <w:b/>
        </w:rPr>
        <w:t>第二十一条</w:t>
      </w:r>
      <w:r>
        <w:rPr>
          <w:rFonts w:hint="eastAsia"/>
        </w:rPr>
        <w:t xml:space="preserve">  体育运动项目经营单位在营业区域内进行装修、维修、改造等施工且不停止营业的，应当与施工单位签订专门的安全生产管理协议，明确安全责任；施工区域应当与其他营业区域相隔离，并采取安全措施，确保安全。</w:t>
      </w:r>
    </w:p>
    <w:p w14:paraId="7F78A16C">
      <w:pPr>
        <w:ind w:firstLine="422"/>
      </w:pPr>
      <w:r>
        <w:rPr>
          <w:rFonts w:hint="eastAsia"/>
          <w:b/>
        </w:rPr>
        <w:t>第二十二条</w:t>
      </w:r>
      <w:r>
        <w:rPr>
          <w:rFonts w:hint="eastAsia"/>
        </w:rPr>
        <w:t xml:space="preserve">  体育运动项目经营单位将经营场所出租的，应当与承租单位签订安全生产管理协议，明确各自的安全生产管理职责。</w:t>
      </w:r>
    </w:p>
    <w:p w14:paraId="23FC8B0C">
      <w:r>
        <w:rPr>
          <w:rFonts w:hint="eastAsia"/>
        </w:rPr>
        <w:t>体育运动项目经营单位对各承租单位的安全生产工作统一协调、管理。</w:t>
      </w:r>
    </w:p>
    <w:p w14:paraId="51C6428E">
      <w:pPr>
        <w:ind w:firstLine="422"/>
      </w:pPr>
      <w:r>
        <w:rPr>
          <w:rFonts w:hint="eastAsia"/>
          <w:b/>
        </w:rPr>
        <w:t>第二十三条</w:t>
      </w:r>
      <w:r>
        <w:rPr>
          <w:rFonts w:hint="eastAsia"/>
        </w:rPr>
        <w:t xml:space="preserve">  营业区域内实际容纳的消费者人数不得超过最大容纳人数。</w:t>
      </w:r>
    </w:p>
    <w:p w14:paraId="6472B1F6">
      <w:r>
        <w:rPr>
          <w:rFonts w:hint="eastAsia"/>
        </w:rPr>
        <w:t>最大容纳人数按照下列规定计算：</w:t>
      </w:r>
    </w:p>
    <w:p w14:paraId="7816AE87">
      <w:pPr>
        <w:rPr>
          <w:rFonts w:hint="eastAsia" w:ascii="宋体" w:hAnsi="宋体" w:eastAsia="宋体" w:cs="宋体"/>
        </w:rPr>
      </w:pPr>
      <w:r>
        <w:rPr>
          <w:rFonts w:hint="eastAsia"/>
        </w:rPr>
        <w:t>（一）滑雪、滑板项目</w:t>
      </w:r>
      <w:r>
        <w:rPr>
          <w:rFonts w:hint="eastAsia" w:ascii="宋体" w:hAnsi="宋体" w:eastAsia="宋体" w:cs="宋体"/>
        </w:rPr>
        <w:t>人均运动面积，不得小于20平方米；滑冰、轮滑项目人均运动面积，不得小于5平方米；</w:t>
      </w:r>
    </w:p>
    <w:p w14:paraId="7661F407">
      <w:pPr>
        <w:rPr>
          <w:rFonts w:hint="eastAsia" w:ascii="宋体" w:hAnsi="宋体" w:eastAsia="宋体" w:cs="宋体"/>
        </w:rPr>
      </w:pPr>
      <w:r>
        <w:rPr>
          <w:rFonts w:hint="eastAsia" w:ascii="宋体" w:hAnsi="宋体" w:eastAsia="宋体" w:cs="宋体"/>
        </w:rPr>
        <w:t>（二）人工游泳池的人均游泳面积，不得小于2.5平方米；天然游泳场的人均游泳面积，不得小于4平方米；</w:t>
      </w:r>
    </w:p>
    <w:p w14:paraId="7CCA84F7">
      <w:pPr>
        <w:rPr>
          <w:rFonts w:hint="eastAsia" w:ascii="宋体" w:hAnsi="宋体" w:eastAsia="宋体" w:cs="宋体"/>
        </w:rPr>
      </w:pPr>
      <w:r>
        <w:rPr>
          <w:rFonts w:hint="eastAsia" w:ascii="宋体" w:hAnsi="宋体" w:eastAsia="宋体" w:cs="宋体"/>
        </w:rPr>
        <w:t>（三）其他室内运动项目人均运动面积，不得小于4平方米。</w:t>
      </w:r>
    </w:p>
    <w:p w14:paraId="23E879DF">
      <w:pPr>
        <w:ind w:firstLine="422"/>
      </w:pPr>
      <w:r>
        <w:rPr>
          <w:rFonts w:hint="eastAsia"/>
          <w:b/>
        </w:rPr>
        <w:t>第二十四条</w:t>
      </w:r>
      <w:r>
        <w:rPr>
          <w:rFonts w:hint="eastAsia"/>
        </w:rPr>
        <w:t xml:space="preserve">  当接近最大容纳人数或者人员相对聚集时，体育运动项目经营单位应当采取有效的控制和疏散措施，确保安全。</w:t>
      </w:r>
    </w:p>
    <w:p w14:paraId="07C7198F">
      <w:pPr>
        <w:ind w:firstLine="422"/>
      </w:pPr>
      <w:r>
        <w:rPr>
          <w:rFonts w:hint="eastAsia"/>
          <w:b/>
        </w:rPr>
        <w:t>第二十五条</w:t>
      </w:r>
      <w:r>
        <w:rPr>
          <w:rFonts w:hint="eastAsia"/>
        </w:rPr>
        <w:t xml:space="preserve">  国家实行强制性体育服务标准的体育运动项目经营单位，应当配备持有相应运动项目执业证书的从业人员，方可对社会提供服务。</w:t>
      </w:r>
    </w:p>
    <w:p w14:paraId="52583D61">
      <w:pPr>
        <w:ind w:firstLine="422"/>
        <w:rPr>
          <w:rFonts w:hint="eastAsia" w:ascii="宋体" w:hAnsi="宋体" w:eastAsia="宋体" w:cs="宋体"/>
        </w:rPr>
      </w:pPr>
      <w:r>
        <w:rPr>
          <w:rFonts w:hint="eastAsia"/>
          <w:b/>
        </w:rPr>
        <w:t>第二十六条</w:t>
      </w:r>
      <w:r>
        <w:rPr>
          <w:rFonts w:hint="eastAsia"/>
        </w:rPr>
        <w:t xml:space="preserve">  人工游泳池水面</w:t>
      </w:r>
      <w:r>
        <w:rPr>
          <w:rFonts w:hint="eastAsia" w:ascii="宋体" w:hAnsi="宋体" w:eastAsia="宋体" w:cs="宋体"/>
        </w:rPr>
        <w:t>面积在250平方米以下的，应当至少配备2名专职水上救生员；水面面积超过250平方米的，每增加250平方米，至少增加1名专职水上救生员，增加的面积不足250平方米的，按照增加250平方米计算。</w:t>
      </w:r>
    </w:p>
    <w:p w14:paraId="69B85965">
      <w:pPr>
        <w:rPr>
          <w:rFonts w:hint="eastAsia" w:ascii="宋体" w:hAnsi="宋体" w:eastAsia="宋体" w:cs="宋体"/>
        </w:rPr>
      </w:pPr>
      <w:r>
        <w:rPr>
          <w:rFonts w:hint="eastAsia" w:ascii="宋体" w:hAnsi="宋体" w:eastAsia="宋体" w:cs="宋体"/>
        </w:rPr>
        <w:t>天然游泳场水面面积在360平方米以下的，应当至少配备1名专职水上救生员；水面面积超过360平方米的，每增加360平方米，至少增加1名专职水上救生员，增加的面积不足360平方米的，按照增加360平方米计算。</w:t>
      </w:r>
    </w:p>
    <w:p w14:paraId="65742419">
      <w:r>
        <w:rPr>
          <w:rFonts w:hint="eastAsia"/>
        </w:rPr>
        <w:t>救生员应当持证上岗，并佩戴明显标识。</w:t>
      </w:r>
    </w:p>
    <w:p w14:paraId="20B73572">
      <w:pPr>
        <w:ind w:firstLine="422"/>
      </w:pPr>
      <w:r>
        <w:rPr>
          <w:rFonts w:hint="eastAsia"/>
          <w:b/>
        </w:rPr>
        <w:t>第二十七条</w:t>
      </w:r>
      <w:r>
        <w:rPr>
          <w:rFonts w:hint="eastAsia"/>
        </w:rPr>
        <w:t xml:space="preserve">  体育运动项目经营单位应当为消费者提供合格的设施、器材。国家实行强制性体育服务标准的体育运动项目的设施、器材，应当符合国家标准或者行业标准，并在显著位置设置相应的使用说明和警示标志。</w:t>
      </w:r>
    </w:p>
    <w:p w14:paraId="00FE9C23">
      <w:pPr>
        <w:ind w:firstLine="422"/>
      </w:pPr>
      <w:r>
        <w:rPr>
          <w:rFonts w:hint="eastAsia"/>
          <w:b/>
        </w:rPr>
        <w:t>第二十八条</w:t>
      </w:r>
      <w:r>
        <w:rPr>
          <w:rFonts w:hint="eastAsia"/>
        </w:rPr>
        <w:t xml:space="preserve">  体育运动项目经营单位使用、储存的危险物品，应当单独存放，专人管理。</w:t>
      </w:r>
    </w:p>
    <w:p w14:paraId="74DC01F1">
      <w:pPr>
        <w:ind w:firstLine="422"/>
      </w:pPr>
      <w:r>
        <w:rPr>
          <w:rFonts w:hint="eastAsia"/>
          <w:b/>
        </w:rPr>
        <w:t>第二十九条</w:t>
      </w:r>
      <w:r>
        <w:rPr>
          <w:rFonts w:hint="eastAsia"/>
        </w:rPr>
        <w:t xml:space="preserve">  体育运动项目经营单位应当制定本单位的生产安全事故应急救援预案。应急救援预案应当包括应急救援组织、主要危险目标、启动程序、紧急处置措施、应急设备器材等内容。</w:t>
      </w:r>
    </w:p>
    <w:p w14:paraId="2B4B7E10">
      <w:r>
        <w:rPr>
          <w:rFonts w:hint="eastAsia"/>
        </w:rPr>
        <w:t>应急救援预案应当每半年至少演练</w:t>
      </w:r>
      <w:r>
        <w:rPr>
          <w:rFonts w:hint="eastAsia" w:ascii="宋体" w:hAnsi="宋体" w:eastAsia="宋体" w:cs="宋体"/>
        </w:rPr>
        <w:t>1次</w:t>
      </w:r>
      <w:r>
        <w:rPr>
          <w:rFonts w:hint="eastAsia"/>
        </w:rPr>
        <w:t>，并做好记录。</w:t>
      </w:r>
    </w:p>
    <w:p w14:paraId="46838886">
      <w:pPr>
        <w:ind w:firstLine="422"/>
      </w:pPr>
      <w:r>
        <w:rPr>
          <w:rFonts w:hint="eastAsia"/>
          <w:b/>
        </w:rPr>
        <w:t>第三十条</w:t>
      </w:r>
      <w:r>
        <w:rPr>
          <w:rFonts w:hint="eastAsia"/>
        </w:rPr>
        <w:t xml:space="preserve">  体育运动项目经营单位的有关负责人应当掌握应急救援预案的全部内容；其他人员应当能够熟练使用消防器材，了解安全出口和疏散通道的位置以及本岗位的应急救援职责。</w:t>
      </w:r>
    </w:p>
    <w:p w14:paraId="1A5B7663">
      <w:pPr>
        <w:ind w:firstLine="422"/>
      </w:pPr>
      <w:r>
        <w:rPr>
          <w:rFonts w:hint="eastAsia"/>
          <w:b/>
        </w:rPr>
        <w:t>第三十一条</w:t>
      </w:r>
      <w:r>
        <w:rPr>
          <w:rFonts w:hint="eastAsia"/>
        </w:rPr>
        <w:t xml:space="preserve">  体育运动项目经营单位应当设置能够覆盖全部营业区域的应急广播，并能够使用中英文两种语言播放。</w:t>
      </w:r>
    </w:p>
    <w:p w14:paraId="09879403">
      <w:pPr>
        <w:ind w:firstLine="422"/>
      </w:pPr>
      <w:r>
        <w:rPr>
          <w:rFonts w:hint="eastAsia"/>
          <w:b/>
        </w:rPr>
        <w:t>第三十二条</w:t>
      </w:r>
      <w:r>
        <w:rPr>
          <w:rFonts w:hint="eastAsia"/>
        </w:rPr>
        <w:t xml:space="preserve">  体育运动项目经营单位发生生产安全事故后，应当迅速启动应急救援预案，采取有效措施，组织人员疏散，防止事故扩大，并按照国家和本市有关规定及时、如实报告公安、安全生产监督管理、体育等有关部门。</w:t>
      </w:r>
    </w:p>
    <w:p w14:paraId="44AFC317">
      <w:pPr>
        <w:ind w:firstLine="422"/>
      </w:pPr>
      <w:r>
        <w:rPr>
          <w:rFonts w:hint="eastAsia"/>
          <w:b/>
        </w:rPr>
        <w:t>第三十三条</w:t>
      </w:r>
      <w:r>
        <w:rPr>
          <w:rFonts w:hint="eastAsia"/>
        </w:rPr>
        <w:t xml:space="preserve">  安全生产监督管理部门发现体育运动项目经营单位存在安全生产问题，属于行业监督管理或者专项监督管理职责的，应当及时以书面形式督促有关部门处理。</w:t>
      </w:r>
    </w:p>
    <w:p w14:paraId="722CF684">
      <w:pPr>
        <w:ind w:firstLine="422"/>
      </w:pPr>
      <w:r>
        <w:rPr>
          <w:rFonts w:hint="eastAsia"/>
          <w:b/>
        </w:rPr>
        <w:t>第三十四条</w:t>
      </w:r>
      <w:r>
        <w:rPr>
          <w:rFonts w:hint="eastAsia"/>
        </w:rPr>
        <w:t xml:space="preserve">  体育运动项目经营单位违反本规定，有下列情形之一的，由体育行政主管部门责令改正，并按照下列规定给予行政处罚：</w:t>
      </w:r>
    </w:p>
    <w:p w14:paraId="06F9DB10">
      <w:pPr>
        <w:rPr>
          <w:rFonts w:hint="eastAsia" w:ascii="宋体" w:hAnsi="宋体" w:eastAsia="宋体" w:cs="宋体"/>
        </w:rPr>
      </w:pPr>
      <w:r>
        <w:rPr>
          <w:rFonts w:hint="eastAsia"/>
        </w:rPr>
        <w:t>（一）未建立安全生产例会制度或者未制定安全</w:t>
      </w:r>
      <w:r>
        <w:rPr>
          <w:rFonts w:hint="eastAsia" w:ascii="宋体" w:hAnsi="宋体" w:eastAsia="宋体" w:cs="宋体"/>
        </w:rPr>
        <w:t>生产措施的，处5000元以上1万元以下罚款；</w:t>
      </w:r>
    </w:p>
    <w:p w14:paraId="7B66F79F">
      <w:pPr>
        <w:rPr>
          <w:rFonts w:hint="eastAsia" w:ascii="宋体" w:hAnsi="宋体" w:eastAsia="宋体" w:cs="宋体"/>
        </w:rPr>
      </w:pPr>
      <w:r>
        <w:rPr>
          <w:rFonts w:hint="eastAsia" w:ascii="宋体" w:hAnsi="宋体" w:eastAsia="宋体" w:cs="宋体"/>
        </w:rPr>
        <w:t>（二）未建立生产安全事故隐患排查制度的，处5000元以上2万元以下罚款；</w:t>
      </w:r>
    </w:p>
    <w:p w14:paraId="6E805D70">
      <w:pPr>
        <w:rPr>
          <w:rFonts w:hint="eastAsia" w:ascii="宋体" w:hAnsi="宋体" w:eastAsia="宋体" w:cs="宋体"/>
        </w:rPr>
      </w:pPr>
      <w:r>
        <w:rPr>
          <w:rFonts w:hint="eastAsia" w:ascii="宋体" w:hAnsi="宋体" w:eastAsia="宋体" w:cs="宋体"/>
        </w:rPr>
        <w:t>（三）未配备持有相应运动项目执业证书的从业人员或者专职水上救生员的，处5000元以上3万元以下罚款；</w:t>
      </w:r>
    </w:p>
    <w:p w14:paraId="09B4209A">
      <w:pPr>
        <w:rPr>
          <w:rFonts w:hint="eastAsia" w:ascii="宋体" w:hAnsi="宋体" w:eastAsia="宋体" w:cs="宋体"/>
        </w:rPr>
      </w:pPr>
      <w:r>
        <w:rPr>
          <w:rFonts w:hint="eastAsia" w:ascii="宋体" w:hAnsi="宋体" w:eastAsia="宋体" w:cs="宋体"/>
        </w:rPr>
        <w:t>（四）未设置能够覆盖全部营业区域的应急广播或者不能使用中英文两种语言播放的，处5000元以上2万元以下罚款。</w:t>
      </w:r>
    </w:p>
    <w:p w14:paraId="070669A4">
      <w:pPr>
        <w:ind w:firstLine="422"/>
      </w:pPr>
      <w:r>
        <w:rPr>
          <w:rFonts w:hint="eastAsia"/>
          <w:b/>
        </w:rPr>
        <w:t>第三十五条</w:t>
      </w:r>
      <w:r>
        <w:rPr>
          <w:rFonts w:hint="eastAsia"/>
        </w:rPr>
        <w:t xml:space="preserve">  违反本规定，按照安全生产、消防、特种设备安全等法律、法规、规章的规定应当给予行政处罚的，由有关部门依法处罚。</w:t>
      </w:r>
    </w:p>
    <w:p w14:paraId="7851F53D">
      <w:pPr>
        <w:ind w:firstLine="422"/>
        <w:rPr>
          <w:rFonts w:hint="eastAsia" w:ascii="宋体" w:hAnsi="宋体" w:eastAsia="宋体" w:cs="宋体"/>
        </w:rPr>
      </w:pPr>
      <w:r>
        <w:rPr>
          <w:rFonts w:hint="eastAsia"/>
          <w:b/>
        </w:rPr>
        <w:t>第三十六条</w:t>
      </w:r>
      <w:r>
        <w:rPr>
          <w:rFonts w:hint="eastAsia"/>
        </w:rPr>
        <w:t xml:space="preserve">  本规</w:t>
      </w:r>
      <w:r>
        <w:rPr>
          <w:rFonts w:hint="eastAsia" w:ascii="宋体" w:hAnsi="宋体" w:eastAsia="宋体" w:cs="宋体"/>
        </w:rPr>
        <w:t>定自2007年4月1日起施行。</w:t>
      </w:r>
    </w:p>
    <w:p w14:paraId="1E09A765">
      <w:pPr>
        <w:pStyle w:val="4"/>
        <w:pageBreakBefore/>
      </w:pPr>
      <w:bookmarkStart w:id="1985" w:name="_Toc428781782"/>
      <w:bookmarkStart w:id="1986" w:name="_Toc426467034"/>
      <w:bookmarkStart w:id="1987" w:name="_Toc428780427"/>
      <w:r>
        <w:rPr>
          <w:rFonts w:hint="eastAsia"/>
        </w:rPr>
        <w:t>北京市文化娱乐场所经营单位安全生产规定</w:t>
      </w:r>
      <w:bookmarkEnd w:id="1985"/>
      <w:bookmarkEnd w:id="1986"/>
      <w:bookmarkEnd w:id="1987"/>
    </w:p>
    <w:p w14:paraId="3B775555">
      <w:pPr>
        <w:ind w:left="630" w:leftChars="300" w:right="630" w:rightChars="300"/>
        <w:rPr>
          <w:rFonts w:ascii="楷体" w:hAnsi="楷体" w:eastAsia="楷体"/>
        </w:rPr>
      </w:pPr>
      <w:r>
        <w:rPr>
          <w:rFonts w:hint="eastAsia" w:ascii="楷体" w:hAnsi="楷体" w:eastAsia="楷体"/>
        </w:rPr>
        <w:t>（2006年10月12日北京市人民政府第54次常务会议审议通过  2006年10月26日北京市人民政府第180号令公布）</w:t>
      </w:r>
    </w:p>
    <w:p w14:paraId="781367F1"/>
    <w:p w14:paraId="67D3AD23">
      <w:pPr>
        <w:ind w:firstLine="422"/>
      </w:pPr>
      <w:r>
        <w:rPr>
          <w:rFonts w:hint="eastAsia"/>
          <w:b/>
        </w:rPr>
        <w:t>第一条</w:t>
      </w:r>
      <w:r>
        <w:rPr>
          <w:rFonts w:hint="eastAsia"/>
        </w:rPr>
        <w:t xml:space="preserve">  为了加强安全生产监督管理，提高文化娱乐场所经营单位安全生产水平，防止和减少生产安全事故，保障人民群众生命和财产安全，根据《中华人民共和国安全生产法》和《北京市安全生产条例》及有关法律、法规，制定本规定。</w:t>
      </w:r>
    </w:p>
    <w:p w14:paraId="1730FF1C">
      <w:pPr>
        <w:ind w:firstLine="422"/>
      </w:pPr>
      <w:r>
        <w:rPr>
          <w:rFonts w:hint="eastAsia"/>
          <w:b/>
        </w:rPr>
        <w:t>第二条</w:t>
      </w:r>
      <w:r>
        <w:rPr>
          <w:rFonts w:hint="eastAsia"/>
        </w:rPr>
        <w:t xml:space="preserve">  本市行政区域内文化娱乐场所经营单位的安全生产，适用本规定；有关法律、法规、规章对消防安全、特种设备安全另有规定的，适用其规定。</w:t>
      </w:r>
    </w:p>
    <w:p w14:paraId="1FC491D1">
      <w:r>
        <w:rPr>
          <w:rFonts w:hint="eastAsia"/>
        </w:rPr>
        <w:t>本规定所称的文化娱乐场所经营单位包括依法设立的电影放映单位、互联网上网服务营业场所经营单位、演出场所经营单位、娱乐场所经营单位。</w:t>
      </w:r>
    </w:p>
    <w:p w14:paraId="6B7119CB">
      <w:pPr>
        <w:ind w:firstLine="422"/>
      </w:pPr>
      <w:r>
        <w:rPr>
          <w:rFonts w:hint="eastAsia"/>
          <w:b/>
        </w:rPr>
        <w:t>第三条</w:t>
      </w:r>
      <w:r>
        <w:rPr>
          <w:rFonts w:hint="eastAsia"/>
        </w:rPr>
        <w:t xml:space="preserve">  安全生产管理，坚持安全第一、预防为主、综合治理的方针。</w:t>
      </w:r>
    </w:p>
    <w:p w14:paraId="2073C053">
      <w:pPr>
        <w:ind w:firstLine="422"/>
      </w:pPr>
      <w:r>
        <w:rPr>
          <w:rFonts w:hint="eastAsia"/>
          <w:b/>
        </w:rPr>
        <w:t>第四条</w:t>
      </w:r>
      <w:r>
        <w:rPr>
          <w:rFonts w:hint="eastAsia"/>
        </w:rPr>
        <w:t xml:space="preserve">  市和区、县文化行政主管部门对文化娱乐场所经营单位的安全生产工作实施行业监督管理；公安消防、质量技术监督等部门分别对文化娱乐场所经营单位的消防安全、特种设备安全等实施专项监督管理；安全生产监督管理部门对文化娱乐场所经营单位的安全生产工作实施综合监督管理，指导、协调和监督政府有关部门履行安全生产监督管理职责。</w:t>
      </w:r>
    </w:p>
    <w:p w14:paraId="15AE746A">
      <w:r>
        <w:rPr>
          <w:rFonts w:hint="eastAsia"/>
        </w:rPr>
        <w:t>行业协会协助政府有关部门指导会员单位做好安全生产工作，制定安全生产制度、规程，提供相关服务。</w:t>
      </w:r>
    </w:p>
    <w:p w14:paraId="3A20B1CE">
      <w:pPr>
        <w:ind w:firstLine="422"/>
      </w:pPr>
      <w:r>
        <w:rPr>
          <w:rFonts w:hint="eastAsia"/>
          <w:b/>
        </w:rPr>
        <w:t>第五条</w:t>
      </w:r>
      <w:r>
        <w:rPr>
          <w:rFonts w:hint="eastAsia"/>
        </w:rPr>
        <w:t xml:space="preserve">  文化娱乐场所经营单位的主要负责人对本单位的安全生产工作全面负责。</w:t>
      </w:r>
    </w:p>
    <w:p w14:paraId="50A5807B">
      <w:pPr>
        <w:ind w:firstLine="422"/>
      </w:pPr>
      <w:r>
        <w:rPr>
          <w:rFonts w:hint="eastAsia"/>
          <w:b/>
        </w:rPr>
        <w:t>第六条</w:t>
      </w:r>
      <w:r>
        <w:rPr>
          <w:rFonts w:hint="eastAsia"/>
        </w:rPr>
        <w:t xml:space="preserve">  文化娱乐场所经营单位应当遵守有关安全生产的法律、法规、规章，加强安全生产管理，建立、健全安全生产责任制度，完善安全生产条件，确保安全生产。</w:t>
      </w:r>
    </w:p>
    <w:p w14:paraId="7F762778">
      <w:pPr>
        <w:ind w:firstLine="422"/>
      </w:pPr>
      <w:r>
        <w:rPr>
          <w:rFonts w:hint="eastAsia"/>
          <w:b/>
        </w:rPr>
        <w:t>第七条</w:t>
      </w:r>
      <w:r>
        <w:rPr>
          <w:rFonts w:hint="eastAsia"/>
        </w:rPr>
        <w:t xml:space="preserve">  文化娱乐场所经营单位从业人员超</w:t>
      </w:r>
      <w:r>
        <w:rPr>
          <w:rFonts w:hint="eastAsia" w:ascii="宋体" w:hAnsi="宋体" w:eastAsia="宋体" w:cs="宋体"/>
        </w:rPr>
        <w:t>过300人的，应当设置安全生产管理机构或者配备专职安全生产管理人员；从业人员在300人以下的，应当配备专职或者兼职的安全生产管理人员，或者委托具有国家规定的相关专业技术资格的工程技术人</w:t>
      </w:r>
      <w:r>
        <w:rPr>
          <w:rFonts w:hint="eastAsia"/>
        </w:rPr>
        <w:t>员提供安全生产管理服务。</w:t>
      </w:r>
    </w:p>
    <w:p w14:paraId="04A32D33">
      <w:pPr>
        <w:ind w:firstLine="422"/>
      </w:pPr>
      <w:r>
        <w:rPr>
          <w:rFonts w:hint="eastAsia"/>
          <w:b/>
        </w:rPr>
        <w:t>第八条</w:t>
      </w:r>
      <w:r>
        <w:rPr>
          <w:rFonts w:hint="eastAsia"/>
        </w:rPr>
        <w:t xml:space="preserve">  文化娱乐场所经营单位应当对从业人员进行安全生产教育和培训。未经安全生产教育和培训合格的从业人员，不得上岗作业。</w:t>
      </w:r>
    </w:p>
    <w:p w14:paraId="725D86F1">
      <w:r>
        <w:rPr>
          <w:rFonts w:hint="eastAsia"/>
        </w:rPr>
        <w:t>文化娱乐场所经营单位应当对安全生产教育和培训的情况进行记录，记录至</w:t>
      </w:r>
      <w:r>
        <w:rPr>
          <w:rFonts w:hint="eastAsia" w:ascii="宋体" w:hAnsi="宋体" w:eastAsia="宋体" w:cs="宋体"/>
        </w:rPr>
        <w:t>少保存2</w:t>
      </w:r>
      <w:r>
        <w:rPr>
          <w:rFonts w:hint="eastAsia"/>
        </w:rPr>
        <w:t>年。</w:t>
      </w:r>
    </w:p>
    <w:p w14:paraId="46DCA713">
      <w:pPr>
        <w:ind w:firstLine="422"/>
      </w:pPr>
      <w:r>
        <w:rPr>
          <w:rFonts w:hint="eastAsia"/>
          <w:b/>
        </w:rPr>
        <w:t>第九条</w:t>
      </w:r>
      <w:r>
        <w:rPr>
          <w:rFonts w:hint="eastAsia"/>
        </w:rPr>
        <w:t xml:space="preserve">  文化娱乐场所经营单位的特种作业人员应当按照国家有关规定经专门的安全作业培训，取得特种作业操作资格证书，方可上岗作业。</w:t>
      </w:r>
    </w:p>
    <w:p w14:paraId="47C46DC3">
      <w:pPr>
        <w:ind w:firstLine="422"/>
      </w:pPr>
      <w:r>
        <w:rPr>
          <w:rFonts w:hint="eastAsia"/>
          <w:b/>
        </w:rPr>
        <w:t>第十条</w:t>
      </w:r>
      <w:r>
        <w:rPr>
          <w:rFonts w:hint="eastAsia"/>
        </w:rPr>
        <w:t xml:space="preserve">  文化娱乐场所经营单位应当建立安全生产例会制度，定期研究本单位安全生产工作；制定有效的安全生产措施，并对措施的落实情况进行检查。</w:t>
      </w:r>
    </w:p>
    <w:p w14:paraId="06F13306">
      <w:pPr>
        <w:ind w:firstLine="422"/>
      </w:pPr>
      <w:r>
        <w:rPr>
          <w:rFonts w:hint="eastAsia"/>
          <w:b/>
        </w:rPr>
        <w:t>第十一条</w:t>
      </w:r>
      <w:r>
        <w:rPr>
          <w:rFonts w:hint="eastAsia"/>
        </w:rPr>
        <w:t xml:space="preserve">  文化娱乐场所经营单位应当建立生产安全事故隐患排查制度，对本单位容易发生事故的部位、设施，明确责任人员，制定并落实防范和应急措施。</w:t>
      </w:r>
    </w:p>
    <w:p w14:paraId="026C9DA8">
      <w:pPr>
        <w:ind w:firstLine="422"/>
      </w:pPr>
      <w:r>
        <w:rPr>
          <w:rFonts w:hint="eastAsia"/>
          <w:b/>
        </w:rPr>
        <w:t>第十二条</w:t>
      </w:r>
      <w:r>
        <w:rPr>
          <w:rFonts w:hint="eastAsia"/>
        </w:rPr>
        <w:t xml:space="preserve">  电影放映单位、演出场所经营单位应当在每日营业开始前和结束后以及各场次之间，对营业区域进行全面安全检查；其他文化娱乐场所经营单位应当在每日营业开始前和结束后对营业区域进行全面检查，营业期间</w:t>
      </w:r>
      <w:r>
        <w:rPr>
          <w:rFonts w:hint="eastAsia" w:ascii="宋体" w:hAnsi="宋体" w:eastAsia="宋体" w:cs="宋体"/>
        </w:rPr>
        <w:t>每2小时至少进行1次安全巡查。检查和巡</w:t>
      </w:r>
      <w:r>
        <w:rPr>
          <w:rFonts w:hint="eastAsia"/>
        </w:rPr>
        <w:t>查应当做好记录。</w:t>
      </w:r>
    </w:p>
    <w:p w14:paraId="597B2E4C">
      <w:pPr>
        <w:ind w:firstLine="422"/>
      </w:pPr>
      <w:r>
        <w:rPr>
          <w:rFonts w:hint="eastAsia"/>
          <w:b/>
        </w:rPr>
        <w:t>第十三条</w:t>
      </w:r>
      <w:r>
        <w:rPr>
          <w:rFonts w:hint="eastAsia"/>
        </w:rPr>
        <w:t xml:space="preserve">  文化娱乐场所经营单位的变配</w:t>
      </w:r>
      <w:r>
        <w:rPr>
          <w:rFonts w:hint="eastAsia" w:ascii="宋体" w:hAnsi="宋体" w:eastAsia="宋体" w:cs="宋体"/>
        </w:rPr>
        <w:t>电室总额定容量在630千伏安以上且电压等级为10千伏的，应当安排专人24小时值班。值班应当做好记录。</w:t>
      </w:r>
    </w:p>
    <w:p w14:paraId="2303CB5D">
      <w:r>
        <w:rPr>
          <w:rFonts w:hint="eastAsia"/>
        </w:rPr>
        <w:t>变配电室不得存放危险物品和杂物。</w:t>
      </w:r>
    </w:p>
    <w:p w14:paraId="72839D51">
      <w:pPr>
        <w:ind w:firstLine="422"/>
      </w:pPr>
      <w:r>
        <w:rPr>
          <w:rFonts w:hint="eastAsia"/>
          <w:b/>
        </w:rPr>
        <w:t>第十四条</w:t>
      </w:r>
      <w:r>
        <w:rPr>
          <w:rFonts w:hint="eastAsia"/>
        </w:rPr>
        <w:t xml:space="preserve">  变配电室应当配备用电设备和配电线路平面分布图等安全技术资料，以及必要的作业工具和劳动防护用品，并在明显位置设置变配电系统操作模拟图板。</w:t>
      </w:r>
    </w:p>
    <w:p w14:paraId="571364CC">
      <w:r>
        <w:rPr>
          <w:rFonts w:hint="eastAsia"/>
        </w:rPr>
        <w:t>变配电室的门、窗、电缆沟应当设置防水设施和挡鼠板。</w:t>
      </w:r>
    </w:p>
    <w:p w14:paraId="7DCF0B2D">
      <w:pPr>
        <w:ind w:firstLine="422"/>
      </w:pPr>
      <w:r>
        <w:rPr>
          <w:rFonts w:hint="eastAsia"/>
          <w:b/>
        </w:rPr>
        <w:t>第十五条</w:t>
      </w:r>
      <w:r>
        <w:rPr>
          <w:rFonts w:hint="eastAsia"/>
        </w:rPr>
        <w:t xml:space="preserve">  文化娱乐场所经营单位设置的电源线路应当符合国家标准或者行业标准；临时用电线路应当采取有效防护措施；电气设备应当安装漏电和过载保护装置。</w:t>
      </w:r>
    </w:p>
    <w:p w14:paraId="65DACE99">
      <w:pPr>
        <w:ind w:firstLine="422"/>
      </w:pPr>
      <w:r>
        <w:rPr>
          <w:rFonts w:hint="eastAsia"/>
          <w:b/>
        </w:rPr>
        <w:t>第十六条</w:t>
      </w:r>
      <w:r>
        <w:rPr>
          <w:rFonts w:hint="eastAsia"/>
        </w:rPr>
        <w:t xml:space="preserve">  文化娱乐场所经营单位应当保证安全出口的畅通；不得封闭、堵塞安全出口；安全出口处不得设置门槛。</w:t>
      </w:r>
    </w:p>
    <w:p w14:paraId="79DB48F2">
      <w:r>
        <w:rPr>
          <w:rFonts w:hint="eastAsia"/>
        </w:rPr>
        <w:t>疏散门应当向疏散方向开启，不得采用卷帘门、转门、吊门、侧拉门。</w:t>
      </w:r>
      <w:r>
        <w:rPr>
          <w:rFonts w:hint="eastAsia" w:ascii="宋体" w:hAnsi="宋体" w:eastAsia="宋体" w:cs="宋体"/>
        </w:rPr>
        <w:t>门内和门外1.4</w:t>
      </w:r>
      <w:r>
        <w:rPr>
          <w:rFonts w:hint="eastAsia"/>
        </w:rPr>
        <w:t>米范围内不得设置踏步。</w:t>
      </w:r>
    </w:p>
    <w:p w14:paraId="78784023">
      <w:pPr>
        <w:ind w:firstLine="422"/>
      </w:pPr>
      <w:r>
        <w:rPr>
          <w:rFonts w:hint="eastAsia"/>
          <w:b/>
        </w:rPr>
        <w:t>第十七条</w:t>
      </w:r>
      <w:r>
        <w:rPr>
          <w:rFonts w:hint="eastAsia"/>
        </w:rPr>
        <w:t xml:space="preserve">  营业区域内的安全出口数目、安全疏散距离、疏散门和疏散通道的宽度应当符合国家标准或者行业标准。</w:t>
      </w:r>
    </w:p>
    <w:p w14:paraId="664335D5">
      <w:pPr>
        <w:ind w:firstLine="422"/>
      </w:pPr>
      <w:r>
        <w:rPr>
          <w:rFonts w:hint="eastAsia"/>
          <w:b/>
        </w:rPr>
        <w:t>第十八条</w:t>
      </w:r>
      <w:r>
        <w:rPr>
          <w:rFonts w:hint="eastAsia"/>
        </w:rPr>
        <w:t xml:space="preserve">  营业区域内的安全出口和疏散通道及其转角处应当设置发光疏散指示标志。指示标志应当能够在断电且无自然光照明时，指引疏散位置和疏散方向。</w:t>
      </w:r>
    </w:p>
    <w:p w14:paraId="41DBC30A">
      <w:pPr>
        <w:rPr>
          <w:rFonts w:hint="eastAsia" w:ascii="宋体" w:hAnsi="宋体" w:eastAsia="宋体" w:cs="宋体"/>
        </w:rPr>
      </w:pPr>
      <w:r>
        <w:rPr>
          <w:rFonts w:hint="eastAsia"/>
        </w:rPr>
        <w:t>指示标志应当设置在安全出口的顶部和疏散通道</w:t>
      </w:r>
      <w:r>
        <w:rPr>
          <w:rFonts w:hint="eastAsia" w:ascii="宋体" w:hAnsi="宋体" w:eastAsia="宋体" w:cs="宋体"/>
        </w:rPr>
        <w:t>及其转角处距地面高度1米以下的墙面上；设置在疏散通道上的指示标志的间距不得大于10米。</w:t>
      </w:r>
    </w:p>
    <w:p w14:paraId="2405F9B5">
      <w:pPr>
        <w:ind w:firstLine="422"/>
        <w:rPr>
          <w:rFonts w:hint="eastAsia" w:ascii="宋体" w:hAnsi="宋体" w:eastAsia="宋体" w:cs="宋体"/>
        </w:rPr>
      </w:pPr>
      <w:r>
        <w:rPr>
          <w:rFonts w:hint="eastAsia"/>
          <w:b/>
        </w:rPr>
        <w:t>第十九条</w:t>
      </w:r>
      <w:r>
        <w:rPr>
          <w:rFonts w:hint="eastAsia"/>
        </w:rPr>
        <w:t xml:space="preserve">  营业区域内的安全出口、疏散通道和重点部位应当设置应急照明灯。应急照明灯的连续照明时间不得少</w:t>
      </w:r>
      <w:r>
        <w:rPr>
          <w:rFonts w:hint="eastAsia" w:ascii="宋体" w:hAnsi="宋体" w:eastAsia="宋体" w:cs="宋体"/>
        </w:rPr>
        <w:t>于20分钟，其地面最低照度不得低于0.5勒克斯。</w:t>
      </w:r>
    </w:p>
    <w:p w14:paraId="0308D7BE">
      <w:pPr>
        <w:ind w:firstLine="422"/>
      </w:pPr>
      <w:r>
        <w:rPr>
          <w:rFonts w:hint="eastAsia"/>
          <w:b/>
        </w:rPr>
        <w:t>第二十条</w:t>
      </w:r>
      <w:r>
        <w:rPr>
          <w:rFonts w:hint="eastAsia"/>
        </w:rPr>
        <w:t xml:space="preserve">  营业区域内落地式的玻璃门、玻璃窗、玻璃墙应当设置安全警示标志。</w:t>
      </w:r>
    </w:p>
    <w:p w14:paraId="76391CE7">
      <w:r>
        <w:rPr>
          <w:rFonts w:hint="eastAsia"/>
        </w:rPr>
        <w:t>安全警示标志应当明显，保持完好，便于公众识别。</w:t>
      </w:r>
    </w:p>
    <w:p w14:paraId="2EF3357F">
      <w:r>
        <w:rPr>
          <w:rFonts w:hint="eastAsia"/>
        </w:rPr>
        <w:t>舞台幕布、银幕、窗帘等应当采用经过防火处理的材料。</w:t>
      </w:r>
    </w:p>
    <w:p w14:paraId="7F0B8E7A">
      <w:pPr>
        <w:ind w:firstLine="422"/>
      </w:pPr>
      <w:r>
        <w:rPr>
          <w:rFonts w:hint="eastAsia"/>
          <w:b/>
        </w:rPr>
        <w:t>第二十一条</w:t>
      </w:r>
      <w:r>
        <w:rPr>
          <w:rFonts w:hint="eastAsia"/>
        </w:rPr>
        <w:t xml:space="preserve">  文化娱乐场所经营单位在营业区域内进行装修、维修、改造等施工且不停止营业的，应当与施工单位签订专门的安全生产管理协议，明确安全责任；施工区域应当与其他营业区域相隔离，并采取安全措施，确保安全。</w:t>
      </w:r>
    </w:p>
    <w:p w14:paraId="1B96A5DD">
      <w:pPr>
        <w:ind w:firstLine="422"/>
      </w:pPr>
      <w:r>
        <w:rPr>
          <w:rFonts w:hint="eastAsia"/>
          <w:b/>
        </w:rPr>
        <w:t>第二十二条</w:t>
      </w:r>
      <w:r>
        <w:rPr>
          <w:rFonts w:hint="eastAsia"/>
        </w:rPr>
        <w:t xml:space="preserve">  文化娱乐场所经营单位将经营场所出租的，应当与承租单位签订安全生产管理协议，明确各自的安全生产管理职责。</w:t>
      </w:r>
    </w:p>
    <w:p w14:paraId="74796A65">
      <w:r>
        <w:rPr>
          <w:rFonts w:hint="eastAsia"/>
        </w:rPr>
        <w:t>文化娱乐场所经营单位对各承租单位的安全生产工作统一协调、管理。</w:t>
      </w:r>
    </w:p>
    <w:p w14:paraId="11314D40">
      <w:pPr>
        <w:ind w:firstLine="422"/>
      </w:pPr>
      <w:r>
        <w:rPr>
          <w:rFonts w:hint="eastAsia"/>
          <w:b/>
        </w:rPr>
        <w:t>第二十三条</w:t>
      </w:r>
      <w:r>
        <w:rPr>
          <w:rFonts w:hint="eastAsia"/>
        </w:rPr>
        <w:t xml:space="preserve">  歌舞娱乐场所的出入口、主要通道应当安装闭路电视监控设备，并保证闭路电视监控设备在营业期间正常运行，不得中断。</w:t>
      </w:r>
    </w:p>
    <w:p w14:paraId="00EE101C">
      <w:r>
        <w:rPr>
          <w:rFonts w:hint="eastAsia"/>
        </w:rPr>
        <w:t>歌舞娱乐场所应当将闭路电视监控录像资料</w:t>
      </w:r>
      <w:r>
        <w:rPr>
          <w:rFonts w:hint="eastAsia" w:ascii="宋体" w:hAnsi="宋体" w:eastAsia="宋体" w:cs="宋体"/>
        </w:rPr>
        <w:t>留存30日备查，不</w:t>
      </w:r>
      <w:r>
        <w:rPr>
          <w:rFonts w:hint="eastAsia"/>
        </w:rPr>
        <w:t>得删改或者挪作他用。</w:t>
      </w:r>
    </w:p>
    <w:p w14:paraId="49817C68">
      <w:pPr>
        <w:ind w:firstLine="422"/>
      </w:pPr>
      <w:r>
        <w:rPr>
          <w:rFonts w:hint="eastAsia"/>
          <w:b/>
        </w:rPr>
        <w:t>第二十四条</w:t>
      </w:r>
      <w:r>
        <w:rPr>
          <w:rFonts w:hint="eastAsia"/>
        </w:rPr>
        <w:t xml:space="preserve">  娱乐场所实际容纳的消费者人数不得超过核定人数。</w:t>
      </w:r>
    </w:p>
    <w:p w14:paraId="2E2405B6">
      <w:pPr>
        <w:rPr>
          <w:rFonts w:hint="eastAsia" w:ascii="宋体" w:hAnsi="宋体" w:eastAsia="宋体" w:cs="宋体"/>
        </w:rPr>
      </w:pPr>
      <w:r>
        <w:rPr>
          <w:rFonts w:hint="eastAsia"/>
        </w:rPr>
        <w:t>歌舞娱乐场所的核定人数按照营业区域面积计算，平均每人不得</w:t>
      </w:r>
      <w:r>
        <w:rPr>
          <w:rFonts w:hint="eastAsia" w:ascii="宋体" w:hAnsi="宋体" w:eastAsia="宋体" w:cs="宋体"/>
        </w:rPr>
        <w:t>小于1.5平方米。核定人数在500人以上的歌舞娱乐场所，应当安装人员流量统计装置。</w:t>
      </w:r>
    </w:p>
    <w:p w14:paraId="0FE93402">
      <w:r>
        <w:rPr>
          <w:rFonts w:hint="eastAsia"/>
        </w:rPr>
        <w:t>电影放映单位、演出场所经营单位等有固定座位的区域，不得增设临时座位。</w:t>
      </w:r>
    </w:p>
    <w:p w14:paraId="0C988288">
      <w:pPr>
        <w:ind w:firstLine="422"/>
      </w:pPr>
      <w:r>
        <w:rPr>
          <w:rFonts w:hint="eastAsia"/>
          <w:b/>
        </w:rPr>
        <w:t>第二十五条</w:t>
      </w:r>
      <w:r>
        <w:rPr>
          <w:rFonts w:hint="eastAsia"/>
        </w:rPr>
        <w:t xml:space="preserve">  当接近核定人数或者人员相对聚集时，文化娱乐场所经营单位应当采取有效的控制和疏散措施，确保安全。</w:t>
      </w:r>
    </w:p>
    <w:p w14:paraId="507732DD">
      <w:pPr>
        <w:ind w:firstLine="422"/>
      </w:pPr>
      <w:r>
        <w:rPr>
          <w:rFonts w:hint="eastAsia"/>
          <w:b/>
        </w:rPr>
        <w:t>第二十六条</w:t>
      </w:r>
      <w:r>
        <w:rPr>
          <w:rFonts w:hint="eastAsia"/>
        </w:rPr>
        <w:t xml:space="preserve">  文化娱乐场所与商场等单位设在同一建筑物内的，文化娱乐场所经营单位应当保证通往建筑物外的疏散通道畅通，并在商场等单位营业结束后安排工作人员指引人群疏散。</w:t>
      </w:r>
    </w:p>
    <w:p w14:paraId="7C382143">
      <w:pPr>
        <w:ind w:firstLine="422"/>
      </w:pPr>
      <w:r>
        <w:rPr>
          <w:rFonts w:hint="eastAsia"/>
          <w:b/>
        </w:rPr>
        <w:t>第二十七条</w:t>
      </w:r>
      <w:r>
        <w:rPr>
          <w:rFonts w:hint="eastAsia"/>
        </w:rPr>
        <w:t xml:space="preserve">  互联网上网服务营业场所应当采取有效措施，确保在发生危险时，能够在终端机显示器上以视频形式予以提示。</w:t>
      </w:r>
    </w:p>
    <w:p w14:paraId="7A7CECDD">
      <w:r>
        <w:rPr>
          <w:rFonts w:hint="eastAsia"/>
        </w:rPr>
        <w:t>歌舞娱乐场所应当设置报警系统，并在包间、包厢的视频设备上设置开机安全提示语。</w:t>
      </w:r>
    </w:p>
    <w:p w14:paraId="75A89211">
      <w:pPr>
        <w:ind w:firstLine="422"/>
      </w:pPr>
      <w:r>
        <w:rPr>
          <w:rFonts w:hint="eastAsia"/>
          <w:b/>
        </w:rPr>
        <w:t>第二十八条</w:t>
      </w:r>
      <w:r>
        <w:rPr>
          <w:rFonts w:hint="eastAsia"/>
        </w:rPr>
        <w:t xml:space="preserve">  文化娱乐场所经营单位应当制定生产安全事故应急救援预案。应急救援预案应当包括应急救援组织、危险目标、启动程序、紧急处置措施等内容。</w:t>
      </w:r>
    </w:p>
    <w:p w14:paraId="62B7D783">
      <w:r>
        <w:rPr>
          <w:rFonts w:hint="eastAsia"/>
        </w:rPr>
        <w:t>应急救援预案应当每半年至少演</w:t>
      </w:r>
      <w:r>
        <w:rPr>
          <w:rFonts w:hint="eastAsia" w:ascii="宋体" w:hAnsi="宋体" w:eastAsia="宋体" w:cs="宋体"/>
        </w:rPr>
        <w:t>练1次，并做好</w:t>
      </w:r>
      <w:r>
        <w:rPr>
          <w:rFonts w:hint="eastAsia"/>
        </w:rPr>
        <w:t>记录。</w:t>
      </w:r>
    </w:p>
    <w:p w14:paraId="5F74AA31">
      <w:pPr>
        <w:ind w:firstLine="422"/>
      </w:pPr>
      <w:r>
        <w:rPr>
          <w:rFonts w:hint="eastAsia"/>
          <w:b/>
        </w:rPr>
        <w:t>第二十九条</w:t>
      </w:r>
      <w:r>
        <w:rPr>
          <w:rFonts w:hint="eastAsia"/>
        </w:rPr>
        <w:t xml:space="preserve">  文化娱乐场所经营单位的有关负责人应当掌握应急救援预案的全部内容；其他人员应当能够熟练使用消防器材，了解安全出口和疏散通道的位置以及本岗位的应急救援职责。</w:t>
      </w:r>
    </w:p>
    <w:p w14:paraId="52D0B7C9">
      <w:pPr>
        <w:ind w:firstLine="422"/>
      </w:pPr>
      <w:r>
        <w:rPr>
          <w:rFonts w:hint="eastAsia"/>
          <w:b/>
        </w:rPr>
        <w:t>第三十条</w:t>
      </w:r>
      <w:r>
        <w:rPr>
          <w:rFonts w:hint="eastAsia"/>
        </w:rPr>
        <w:t xml:space="preserve">  文化娱乐场所经营单位应当设置能够覆盖全部营业区域的应急广播，并能够使用中英文两种语言播放。</w:t>
      </w:r>
    </w:p>
    <w:p w14:paraId="55D27E62">
      <w:pPr>
        <w:ind w:firstLine="422"/>
      </w:pPr>
      <w:r>
        <w:rPr>
          <w:rFonts w:hint="eastAsia"/>
          <w:b/>
        </w:rPr>
        <w:t>第三十一条</w:t>
      </w:r>
      <w:r>
        <w:rPr>
          <w:rFonts w:hint="eastAsia"/>
        </w:rPr>
        <w:t xml:space="preserve">  文化娱乐场所经营单位发生生产安全事故后，应当迅速启动应急救援预案，采取有效措施，组织人员疏散，防止事故扩大，并按照国家和本市有关规定及时、如实报告公安、安全生产监督管理、文化等有关部门。</w:t>
      </w:r>
    </w:p>
    <w:p w14:paraId="139B48BD">
      <w:pPr>
        <w:ind w:firstLine="422"/>
      </w:pPr>
      <w:r>
        <w:rPr>
          <w:rFonts w:hint="eastAsia"/>
          <w:b/>
        </w:rPr>
        <w:t>第三十二条</w:t>
      </w:r>
      <w:r>
        <w:rPr>
          <w:rFonts w:hint="eastAsia"/>
        </w:rPr>
        <w:t xml:space="preserve">  安全生产监督管理部门发现文化娱乐场所经营单位存在安全生产问题，属于行业监督管理或者专项监督管理职责的，应当及时以书面形式督促有关部门处理。</w:t>
      </w:r>
    </w:p>
    <w:p w14:paraId="1DF640F6">
      <w:pPr>
        <w:ind w:firstLine="422"/>
      </w:pPr>
      <w:r>
        <w:rPr>
          <w:rFonts w:hint="eastAsia"/>
          <w:b/>
        </w:rPr>
        <w:t>第三十三条</w:t>
      </w:r>
      <w:r>
        <w:rPr>
          <w:rFonts w:hint="eastAsia"/>
        </w:rPr>
        <w:t xml:space="preserve">  文化娱乐场所经营单位违反本规定，有下列情形之一的，由文化行政主管部门责令改正，并按照下列规定给予行政处罚：</w:t>
      </w:r>
    </w:p>
    <w:p w14:paraId="4A7C8E4D">
      <w:pPr>
        <w:rPr>
          <w:rFonts w:hint="eastAsia" w:ascii="宋体" w:hAnsi="宋体" w:eastAsia="宋体" w:cs="宋体"/>
        </w:rPr>
      </w:pPr>
      <w:r>
        <w:rPr>
          <w:rFonts w:hint="eastAsia"/>
        </w:rPr>
        <w:t>（一）未建立安全生产例会制度或者未制定安全生产</w:t>
      </w:r>
      <w:r>
        <w:rPr>
          <w:rFonts w:hint="eastAsia" w:ascii="宋体" w:hAnsi="宋体" w:eastAsia="宋体" w:cs="宋体"/>
        </w:rPr>
        <w:t>措施的，处5000元以上1万元以下罚款；</w:t>
      </w:r>
    </w:p>
    <w:p w14:paraId="47A7BD1F">
      <w:pPr>
        <w:rPr>
          <w:rFonts w:hint="eastAsia" w:ascii="宋体" w:hAnsi="宋体" w:eastAsia="宋体" w:cs="宋体"/>
        </w:rPr>
      </w:pPr>
      <w:r>
        <w:rPr>
          <w:rFonts w:hint="eastAsia" w:ascii="宋体" w:hAnsi="宋体" w:eastAsia="宋体" w:cs="宋体"/>
        </w:rPr>
        <w:t>（二）未建立生产安全事故隐患排查制度的，处5000元以上2万元以下罚款；</w:t>
      </w:r>
    </w:p>
    <w:p w14:paraId="0B6BBF76">
      <w:pPr>
        <w:rPr>
          <w:rFonts w:hint="eastAsia" w:ascii="宋体" w:hAnsi="宋体" w:eastAsia="宋体" w:cs="宋体"/>
        </w:rPr>
      </w:pPr>
      <w:r>
        <w:rPr>
          <w:rFonts w:hint="eastAsia" w:ascii="宋体" w:hAnsi="宋体" w:eastAsia="宋体" w:cs="宋体"/>
        </w:rPr>
        <w:t>（三）未设置能够覆盖全部营业区域的应急广播或者不能使用中英文两种语言播放的，处5000元以上2万元以下罚款；</w:t>
      </w:r>
    </w:p>
    <w:p w14:paraId="781A72C0">
      <w:r>
        <w:rPr>
          <w:rFonts w:hint="eastAsia" w:ascii="宋体" w:hAnsi="宋体" w:eastAsia="宋体" w:cs="宋体"/>
        </w:rPr>
        <w:t>（四）歌舞娱乐场所容纳的消费者人数超过核定人数的，按照《娱乐场所管理条例》第</w:t>
      </w:r>
      <w:r>
        <w:rPr>
          <w:rFonts w:hint="eastAsia"/>
        </w:rPr>
        <w:t>四十七条规定执行。</w:t>
      </w:r>
    </w:p>
    <w:p w14:paraId="3E31432B">
      <w:pPr>
        <w:ind w:firstLine="422"/>
      </w:pPr>
      <w:r>
        <w:rPr>
          <w:rFonts w:hint="eastAsia"/>
          <w:b/>
        </w:rPr>
        <w:t>第三十四条</w:t>
      </w:r>
      <w:r>
        <w:rPr>
          <w:rFonts w:hint="eastAsia"/>
        </w:rPr>
        <w:t xml:space="preserve">  违反本规定，按照安全生产、消防、特种设备安全等法律、法规、规章的规定应当给予行政处罚的，由有关部门依法处罚。</w:t>
      </w:r>
    </w:p>
    <w:p w14:paraId="5ADD8768">
      <w:pPr>
        <w:ind w:firstLine="422"/>
        <w:rPr>
          <w:rFonts w:hint="eastAsia" w:ascii="宋体" w:hAnsi="宋体" w:eastAsia="宋体" w:cs="宋体"/>
        </w:rPr>
      </w:pPr>
      <w:r>
        <w:rPr>
          <w:rFonts w:hint="eastAsia"/>
          <w:b/>
        </w:rPr>
        <w:t>第三十五条</w:t>
      </w:r>
      <w:r>
        <w:rPr>
          <w:rFonts w:hint="eastAsia"/>
        </w:rPr>
        <w:t xml:space="preserve">  本规</w:t>
      </w:r>
      <w:r>
        <w:rPr>
          <w:rFonts w:hint="eastAsia" w:ascii="宋体" w:hAnsi="宋体" w:eastAsia="宋体" w:cs="宋体"/>
        </w:rPr>
        <w:t>定自2007年4月1日起施行。</w:t>
      </w:r>
    </w:p>
    <w:p w14:paraId="17C25D9A">
      <w:pPr>
        <w:pStyle w:val="4"/>
        <w:pageBreakBefore/>
      </w:pPr>
      <w:bookmarkStart w:id="1988" w:name="_Toc428781783"/>
      <w:bookmarkStart w:id="1989" w:name="_Toc426467035"/>
      <w:bookmarkStart w:id="1990" w:name="_Toc428780428"/>
      <w:r>
        <w:rPr>
          <w:rFonts w:hint="eastAsia"/>
        </w:rPr>
        <w:t>北京市电梯安全监督管理办法</w:t>
      </w:r>
      <w:bookmarkEnd w:id="1988"/>
      <w:bookmarkEnd w:id="1989"/>
      <w:bookmarkEnd w:id="1990"/>
    </w:p>
    <w:p w14:paraId="75C1BFAC">
      <w:pPr>
        <w:ind w:left="630" w:leftChars="300" w:right="630" w:rightChars="300"/>
        <w:rPr>
          <w:rFonts w:ascii="楷体" w:hAnsi="楷体" w:eastAsia="楷体"/>
        </w:rPr>
      </w:pPr>
      <w:r>
        <w:rPr>
          <w:rFonts w:hint="eastAsia" w:ascii="楷体" w:hAnsi="楷体" w:eastAsia="楷体"/>
        </w:rPr>
        <w:t>（2008年3月21日北京市人民政府第1次常务会议审议通过  2008年4月10日北京市人民政府第205号令公布）</w:t>
      </w:r>
    </w:p>
    <w:p w14:paraId="408CDAE2">
      <w:pPr>
        <w:ind w:left="630" w:leftChars="300" w:right="630" w:rightChars="300"/>
        <w:rPr>
          <w:rFonts w:ascii="楷体" w:hAnsi="楷体" w:eastAsia="楷体"/>
        </w:rPr>
      </w:pPr>
    </w:p>
    <w:p w14:paraId="62589240">
      <w:pPr>
        <w:ind w:firstLine="0" w:firstLineChars="0"/>
        <w:jc w:val="center"/>
        <w:rPr>
          <w:b/>
          <w:sz w:val="28"/>
        </w:rPr>
      </w:pPr>
      <w:r>
        <w:rPr>
          <w:rFonts w:hint="eastAsia"/>
          <w:b/>
          <w:sz w:val="28"/>
        </w:rPr>
        <w:t>第一章　总　则</w:t>
      </w:r>
    </w:p>
    <w:p w14:paraId="0EA21B21"/>
    <w:p w14:paraId="20C870A1">
      <w:pPr>
        <w:ind w:firstLine="422"/>
      </w:pPr>
      <w:r>
        <w:rPr>
          <w:rFonts w:hint="eastAsia"/>
          <w:b/>
        </w:rPr>
        <w:t>第一条</w:t>
      </w:r>
      <w:r>
        <w:rPr>
          <w:rFonts w:hint="eastAsia"/>
        </w:rPr>
        <w:t xml:space="preserve">  为了保证电梯安全运行，预防和减少事故，保障人民群众生命和财产安全，根据《中华人民共和国安全生产法》和国务院《特种设备安全监察条例》，结合本市实际情况，制定本办法。</w:t>
      </w:r>
    </w:p>
    <w:p w14:paraId="22F16A92">
      <w:pPr>
        <w:ind w:firstLine="422"/>
      </w:pPr>
      <w:r>
        <w:rPr>
          <w:rFonts w:hint="eastAsia"/>
          <w:b/>
        </w:rPr>
        <w:t>第二条</w:t>
      </w:r>
      <w:r>
        <w:rPr>
          <w:rFonts w:hint="eastAsia"/>
        </w:rPr>
        <w:t xml:space="preserve">  本市行政区域内电梯的生产（含制造、安装、改造、维修、日常维护保养，下同）、使用、检验检测及其监督检查等活动，应当遵守本办法。</w:t>
      </w:r>
    </w:p>
    <w:p w14:paraId="3AAD628D">
      <w:pPr>
        <w:ind w:firstLine="422"/>
      </w:pPr>
      <w:r>
        <w:rPr>
          <w:rFonts w:hint="eastAsia"/>
          <w:b/>
        </w:rPr>
        <w:t>第三条</w:t>
      </w:r>
      <w:r>
        <w:rPr>
          <w:rFonts w:hint="eastAsia"/>
        </w:rPr>
        <w:t xml:space="preserve">  电梯生产、使用单位应当建立健全安全管理制度和岗位安全责任制度。电梯生产、使用单位的主要负责人应当对本单位电梯安全全面负责。</w:t>
      </w:r>
    </w:p>
    <w:p w14:paraId="5AD02F58">
      <w:pPr>
        <w:ind w:firstLine="422"/>
      </w:pPr>
      <w:r>
        <w:rPr>
          <w:rFonts w:hint="eastAsia"/>
          <w:b/>
        </w:rPr>
        <w:t>第四条</w:t>
      </w:r>
      <w:r>
        <w:rPr>
          <w:rFonts w:hint="eastAsia"/>
        </w:rPr>
        <w:t xml:space="preserve">  市和区（县）质量技术监督局是本市负责电梯安全监督管理工作的主管部门（以下简称电梯安全监督管理部门）。</w:t>
      </w:r>
    </w:p>
    <w:p w14:paraId="04A5E1D8">
      <w:r>
        <w:rPr>
          <w:rFonts w:hint="eastAsia"/>
        </w:rPr>
        <w:t>区（县）电梯安全监督管理部门应当做好本行政区域内电梯的安全监督管理。</w:t>
      </w:r>
    </w:p>
    <w:p w14:paraId="2A4F9B57">
      <w:r>
        <w:rPr>
          <w:rFonts w:hint="eastAsia"/>
        </w:rPr>
        <w:t>市电梯安全监督管理部门应当加强对区（县）电梯安全监督管理部门的督促、检查和指导。</w:t>
      </w:r>
    </w:p>
    <w:p w14:paraId="7A4CF4BC">
      <w:pPr>
        <w:ind w:firstLine="422"/>
      </w:pPr>
      <w:r>
        <w:rPr>
          <w:rFonts w:hint="eastAsia"/>
          <w:b/>
        </w:rPr>
        <w:t>第五条</w:t>
      </w:r>
      <w:r>
        <w:rPr>
          <w:rFonts w:hint="eastAsia"/>
        </w:rPr>
        <w:t xml:space="preserve">  区（县）人民政府应当加强对电梯安全管理工作的领导，督促和支持区（县）电梯安全监督管理部门依法履行监督管理职责，及时协调、解决电梯安全监督管理中的重大问题。</w:t>
      </w:r>
    </w:p>
    <w:p w14:paraId="1E619754">
      <w:pPr>
        <w:ind w:firstLine="422"/>
      </w:pPr>
      <w:r>
        <w:rPr>
          <w:rFonts w:hint="eastAsia"/>
          <w:b/>
        </w:rPr>
        <w:t>第六条</w:t>
      </w:r>
      <w:r>
        <w:rPr>
          <w:rFonts w:hint="eastAsia"/>
        </w:rPr>
        <w:t xml:space="preserve">  学校、新闻媒体、社会团体、基层群众性自治组织应当开展电梯安全知识和电梯安全法律的宣传、普及工作，倡导文明乘梯，增强安全意识和自我保护能力。</w:t>
      </w:r>
    </w:p>
    <w:p w14:paraId="401F3A3C">
      <w:pPr>
        <w:ind w:firstLine="422"/>
      </w:pPr>
      <w:r>
        <w:rPr>
          <w:rFonts w:hint="eastAsia"/>
          <w:b/>
        </w:rPr>
        <w:t>第七条</w:t>
      </w:r>
      <w:r>
        <w:rPr>
          <w:rFonts w:hint="eastAsia"/>
        </w:rPr>
        <w:t xml:space="preserve">  本市鼓励推行科学的管理方法，采用先进技术，提高电梯安全性能和管理水平，增强电梯生产、使用单位防范事故的能力。</w:t>
      </w:r>
    </w:p>
    <w:p w14:paraId="780513E8">
      <w:pPr>
        <w:ind w:firstLine="422"/>
      </w:pPr>
      <w:r>
        <w:rPr>
          <w:rFonts w:hint="eastAsia"/>
          <w:b/>
        </w:rPr>
        <w:t>第八条</w:t>
      </w:r>
      <w:r>
        <w:rPr>
          <w:rFonts w:hint="eastAsia"/>
        </w:rPr>
        <w:t xml:space="preserve">  任何单位和个人有权向电梯安全监督管理部门举报电梯安全违法行为和电梯事故隐患。</w:t>
      </w:r>
    </w:p>
    <w:p w14:paraId="68EC0BA1"/>
    <w:p w14:paraId="1F364AB0">
      <w:pPr>
        <w:ind w:firstLine="0" w:firstLineChars="0"/>
        <w:jc w:val="center"/>
        <w:rPr>
          <w:b/>
          <w:sz w:val="28"/>
        </w:rPr>
      </w:pPr>
      <w:r>
        <w:rPr>
          <w:rFonts w:hint="eastAsia"/>
          <w:b/>
          <w:sz w:val="28"/>
        </w:rPr>
        <w:t>第二章　电梯的生产</w:t>
      </w:r>
    </w:p>
    <w:p w14:paraId="7E619249"/>
    <w:p w14:paraId="07AB6104">
      <w:pPr>
        <w:ind w:firstLine="422"/>
      </w:pPr>
      <w:r>
        <w:rPr>
          <w:rFonts w:hint="eastAsia"/>
          <w:b/>
        </w:rPr>
        <w:t>第九条</w:t>
      </w:r>
      <w:r>
        <w:rPr>
          <w:rFonts w:hint="eastAsia"/>
        </w:rPr>
        <w:t xml:space="preserve">  电梯制造单位应当按照安全技术规范的要求提供相应的随机文件，并保证制造电梯的配件供应。</w:t>
      </w:r>
    </w:p>
    <w:p w14:paraId="1612B544">
      <w:pPr>
        <w:ind w:firstLine="422"/>
      </w:pPr>
      <w:r>
        <w:rPr>
          <w:rFonts w:hint="eastAsia"/>
          <w:b/>
        </w:rPr>
        <w:t>第十条</w:t>
      </w:r>
      <w:r>
        <w:rPr>
          <w:rFonts w:hint="eastAsia"/>
        </w:rPr>
        <w:t xml:space="preserve">  电梯的安装、改造、维修施工前，施工单位应当将拟进行的电梯安装、改造、维修情况书面告知所在地区（县）电梯安全监督管理部门，告知后即可施工。施工时，应当执行北京市《电梯安装维修作业安全规范》，确保施工过程中的安全。</w:t>
      </w:r>
    </w:p>
    <w:p w14:paraId="5200096C">
      <w:r>
        <w:rPr>
          <w:rFonts w:hint="eastAsia"/>
        </w:rPr>
        <w:t>电梯的安装、改造、维修和日常维护保养单位，应当执行北京市《电梯安装、改造、重大维修和维护保养自检规则》，做好自检记录。</w:t>
      </w:r>
    </w:p>
    <w:p w14:paraId="08EDBFE9">
      <w:pPr>
        <w:ind w:firstLine="422"/>
      </w:pPr>
      <w:r>
        <w:rPr>
          <w:rFonts w:hint="eastAsia"/>
          <w:b/>
        </w:rPr>
        <w:t>第十一条</w:t>
      </w:r>
      <w:r>
        <w:rPr>
          <w:rFonts w:hint="eastAsia"/>
        </w:rPr>
        <w:t xml:space="preserve">  电梯的安装、改造、重大维修工程竣工后，施工单位应当在监督检验合格后</w:t>
      </w:r>
      <w:r>
        <w:rPr>
          <w:rFonts w:hint="eastAsia" w:ascii="宋体" w:hAnsi="宋体" w:eastAsia="宋体" w:cs="宋体"/>
        </w:rPr>
        <w:t>30</w:t>
      </w:r>
      <w:r>
        <w:rPr>
          <w:rFonts w:hint="eastAsia"/>
        </w:rPr>
        <w:t>日内将有关技术资料移交使用单位。电梯使用单位应当将其存入该电梯的安全技术档案。</w:t>
      </w:r>
    </w:p>
    <w:p w14:paraId="3A03BFD3">
      <w:pPr>
        <w:ind w:firstLine="422"/>
      </w:pPr>
      <w:r>
        <w:rPr>
          <w:rFonts w:hint="eastAsia"/>
          <w:b/>
        </w:rPr>
        <w:t>第十二条</w:t>
      </w:r>
      <w:r>
        <w:rPr>
          <w:rFonts w:hint="eastAsia"/>
        </w:rPr>
        <w:t xml:space="preserve">  从事电梯日常维护保养的单位应当做好下列工作：</w:t>
      </w:r>
    </w:p>
    <w:p w14:paraId="705FC54C">
      <w:r>
        <w:rPr>
          <w:rFonts w:hint="eastAsia"/>
        </w:rPr>
        <w:t>（一）按照电梯使用维护说明书提出的保养项目、方法和周期要求，制定电梯的日常维护保养方案，确保其维护保养电梯的安全技术性能；</w:t>
      </w:r>
    </w:p>
    <w:p w14:paraId="19CF975C">
      <w:pPr>
        <w:rPr>
          <w:rFonts w:hint="eastAsia" w:ascii="宋体" w:hAnsi="宋体" w:eastAsia="宋体" w:cs="宋体"/>
        </w:rPr>
      </w:pPr>
      <w:bookmarkStart w:id="1991" w:name="_Toc428780429"/>
      <w:r>
        <w:rPr>
          <w:rFonts w:hint="eastAsia"/>
        </w:rPr>
        <w:t>（二</w:t>
      </w:r>
      <w:r>
        <w:rPr>
          <w:rFonts w:hint="eastAsia" w:ascii="宋体" w:hAnsi="宋体" w:eastAsia="宋体" w:cs="宋体"/>
        </w:rPr>
        <w:t>）至少每15日进行一次日常维护保养工作；</w:t>
      </w:r>
      <w:bookmarkEnd w:id="1991"/>
    </w:p>
    <w:p w14:paraId="16F3BF6E">
      <w:pPr>
        <w:rPr>
          <w:rFonts w:hint="eastAsia" w:ascii="宋体" w:hAnsi="宋体" w:eastAsia="宋体" w:cs="宋体"/>
        </w:rPr>
      </w:pPr>
      <w:r>
        <w:rPr>
          <w:rFonts w:hint="eastAsia" w:ascii="宋体" w:hAnsi="宋体" w:eastAsia="宋体" w:cs="宋体"/>
        </w:rPr>
        <w:t>（三）制定应急措施和救援预案，至少每半年进行一次应急演练；</w:t>
      </w:r>
    </w:p>
    <w:p w14:paraId="1D3BD06C">
      <w:pPr>
        <w:rPr>
          <w:rFonts w:hint="eastAsia" w:ascii="宋体" w:hAnsi="宋体" w:eastAsia="宋体" w:cs="宋体"/>
        </w:rPr>
      </w:pPr>
      <w:r>
        <w:rPr>
          <w:rFonts w:hint="eastAsia" w:ascii="宋体" w:hAnsi="宋体" w:eastAsia="宋体" w:cs="宋体"/>
        </w:rPr>
        <w:t>（四）设立24小时日常维护保养值班电话，接到故障通知后及时予以排除；</w:t>
      </w:r>
    </w:p>
    <w:p w14:paraId="167F5479">
      <w:pPr>
        <w:rPr>
          <w:rFonts w:hint="eastAsia" w:ascii="宋体" w:hAnsi="宋体" w:eastAsia="宋体" w:cs="宋体"/>
        </w:rPr>
      </w:pPr>
      <w:bookmarkStart w:id="1992" w:name="_Toc428780430"/>
      <w:r>
        <w:rPr>
          <w:rFonts w:hint="eastAsia" w:ascii="宋体" w:hAnsi="宋体" w:eastAsia="宋体" w:cs="宋体"/>
        </w:rPr>
        <w:t>（五）接到电梯乘客被困故障报告后，30分钟内赶到现场实施救援；</w:t>
      </w:r>
      <w:bookmarkEnd w:id="1992"/>
    </w:p>
    <w:p w14:paraId="4A322438">
      <w:pPr>
        <w:rPr>
          <w:rFonts w:hint="eastAsia" w:ascii="宋体" w:hAnsi="宋体" w:eastAsia="宋体" w:cs="宋体"/>
        </w:rPr>
      </w:pPr>
      <w:r>
        <w:rPr>
          <w:rFonts w:hint="eastAsia" w:ascii="宋体" w:hAnsi="宋体" w:eastAsia="宋体" w:cs="宋体"/>
        </w:rPr>
        <w:t>（六）对电梯进行日常维护保养时，执行北京市《电梯日常维护保养规则》，并做好记录；</w:t>
      </w:r>
    </w:p>
    <w:p w14:paraId="3EB3944C">
      <w:r>
        <w:rPr>
          <w:rFonts w:hint="eastAsia"/>
        </w:rPr>
        <w:t>（七）协助电梯使用单位制定电梯安全管理制度和应急预案。</w:t>
      </w:r>
    </w:p>
    <w:p w14:paraId="3ACD8478">
      <w:pPr>
        <w:ind w:firstLine="422"/>
      </w:pPr>
      <w:r>
        <w:rPr>
          <w:rFonts w:hint="eastAsia"/>
          <w:b/>
        </w:rPr>
        <w:t>第十三条</w:t>
      </w:r>
      <w:r>
        <w:rPr>
          <w:rFonts w:hint="eastAsia"/>
        </w:rPr>
        <w:t xml:space="preserve">  电梯安装、改造、维修和日常维护保养单位应当对电梯作业人员进行安全教育和技术培训，并记录教育和培训情况。</w:t>
      </w:r>
    </w:p>
    <w:p w14:paraId="38AEE1D1">
      <w:pPr>
        <w:rPr>
          <w:rFonts w:hint="eastAsia" w:ascii="宋体" w:hAnsi="宋体" w:eastAsia="宋体" w:cs="宋体"/>
        </w:rPr>
      </w:pPr>
      <w:r>
        <w:rPr>
          <w:rFonts w:hint="eastAsia"/>
        </w:rPr>
        <w:t>安全教育和技术培训记录，至少</w:t>
      </w:r>
      <w:r>
        <w:rPr>
          <w:rFonts w:hint="eastAsia" w:ascii="宋体" w:hAnsi="宋体" w:eastAsia="宋体" w:cs="宋体"/>
        </w:rPr>
        <w:t>保存2年。</w:t>
      </w:r>
    </w:p>
    <w:p w14:paraId="4FE499BF">
      <w:pPr>
        <w:ind w:firstLine="422"/>
      </w:pPr>
      <w:r>
        <w:rPr>
          <w:rFonts w:hint="eastAsia"/>
          <w:b/>
        </w:rPr>
        <w:t>第十四条</w:t>
      </w:r>
      <w:r>
        <w:rPr>
          <w:rFonts w:hint="eastAsia"/>
        </w:rPr>
        <w:t xml:space="preserve">  从事电梯安装、改造、维修和日常维护保养作业的人员，应当取得相应的 《特种设备作业人员证》。其中，从事电梯安装、改造作业的人员，应当取得电梯安装项目资格；从事电梯维修、日常维护保养作业的人员，应当取得电梯维修项目资格。未取得《特种设备作业人员证》的人员，不得上岗作业。</w:t>
      </w:r>
    </w:p>
    <w:p w14:paraId="1D964A64">
      <w:r>
        <w:rPr>
          <w:rFonts w:hint="eastAsia"/>
        </w:rPr>
        <w:t>电梯安装、改造、维修和日常维护保养作业人员作业时应当持证。</w:t>
      </w:r>
    </w:p>
    <w:p w14:paraId="3F0A5BBC"/>
    <w:p w14:paraId="4AAC8EC5">
      <w:pPr>
        <w:ind w:firstLine="0" w:firstLineChars="0"/>
        <w:jc w:val="center"/>
        <w:rPr>
          <w:b/>
          <w:sz w:val="28"/>
        </w:rPr>
      </w:pPr>
      <w:r>
        <w:rPr>
          <w:rFonts w:hint="eastAsia"/>
          <w:b/>
          <w:sz w:val="28"/>
        </w:rPr>
        <w:t>第三章　电梯的使用</w:t>
      </w:r>
    </w:p>
    <w:p w14:paraId="5FE36087"/>
    <w:p w14:paraId="3EF229D2">
      <w:pPr>
        <w:ind w:firstLine="422"/>
      </w:pPr>
      <w:r>
        <w:rPr>
          <w:rFonts w:hint="eastAsia"/>
          <w:b/>
        </w:rPr>
        <w:t>第十五条</w:t>
      </w:r>
      <w:r>
        <w:rPr>
          <w:rFonts w:hint="eastAsia"/>
        </w:rPr>
        <w:t xml:space="preserve">  电梯使用单位应当做到：</w:t>
      </w:r>
    </w:p>
    <w:p w14:paraId="09603704">
      <w:bookmarkStart w:id="1993" w:name="_Toc428780431"/>
      <w:r>
        <w:rPr>
          <w:rFonts w:hint="eastAsia"/>
        </w:rPr>
        <w:t>（一）设置电梯的安全管理机构或者配备电梯专职安全管理人员；</w:t>
      </w:r>
      <w:bookmarkEnd w:id="1993"/>
    </w:p>
    <w:p w14:paraId="75EC5B7C">
      <w:r>
        <w:rPr>
          <w:rFonts w:hint="eastAsia"/>
        </w:rPr>
        <w:t>（二）建立并严格执行电梯安全运行管理制度，建立完整的电梯安全技术档案；</w:t>
      </w:r>
    </w:p>
    <w:p w14:paraId="015DF347">
      <w:bookmarkStart w:id="1994" w:name="_Toc428780432"/>
      <w:r>
        <w:rPr>
          <w:rFonts w:hint="eastAsia"/>
        </w:rPr>
        <w:t>（三）保证电梯紧急报警装置能够有效应答紧急呼救；</w:t>
      </w:r>
      <w:bookmarkEnd w:id="1994"/>
    </w:p>
    <w:p w14:paraId="0CEC6A5C">
      <w:r>
        <w:rPr>
          <w:rFonts w:hint="eastAsia"/>
        </w:rPr>
        <w:t>（四）在电梯轿厢内或者出入口的明显位置张贴安全注意事项、警示标志和有效的《安全检验合格》标志；</w:t>
      </w:r>
    </w:p>
    <w:p w14:paraId="7FA800ED">
      <w:bookmarkStart w:id="1995" w:name="_Toc428780433"/>
      <w:r>
        <w:rPr>
          <w:rFonts w:hint="eastAsia"/>
        </w:rPr>
        <w:t>（五）制定电梯事故应急措施与救援预案，并定期组织演练；</w:t>
      </w:r>
      <w:bookmarkEnd w:id="1995"/>
    </w:p>
    <w:p w14:paraId="71C78441">
      <w:r>
        <w:rPr>
          <w:rFonts w:hint="eastAsia"/>
        </w:rPr>
        <w:t>（六）发生电梯乘客被困故障时，迅速采取措施对被困人员进行抚慰和组织救援。</w:t>
      </w:r>
    </w:p>
    <w:p w14:paraId="3444ACEE">
      <w:pPr>
        <w:ind w:firstLine="422"/>
      </w:pPr>
      <w:r>
        <w:rPr>
          <w:rFonts w:hint="eastAsia"/>
          <w:b/>
        </w:rPr>
        <w:t>第十六条</w:t>
      </w:r>
      <w:r>
        <w:rPr>
          <w:rFonts w:hint="eastAsia"/>
        </w:rPr>
        <w:t xml:space="preserve">  电梯出现故障或者发生异常情况时，电梯使用单位应当组织进行全面检查，消除电梯事故隐患后，方可重新投入使用。</w:t>
      </w:r>
    </w:p>
    <w:p w14:paraId="37E8ED64">
      <w:pPr>
        <w:ind w:firstLine="422"/>
      </w:pPr>
      <w:r>
        <w:rPr>
          <w:rFonts w:hint="eastAsia"/>
          <w:b/>
        </w:rPr>
        <w:t>第十七条</w:t>
      </w:r>
      <w:r>
        <w:rPr>
          <w:rFonts w:hint="eastAsia"/>
        </w:rPr>
        <w:t xml:space="preserve">  电梯使用单位应当使用符合安全技术规范的电梯，不得购置未取得电梯制造许可的单位制造的电梯；应当委托取得相应许可的单位实施电梯安装、改造、维修和日常维护保养活动。</w:t>
      </w:r>
    </w:p>
    <w:p w14:paraId="0F1A6820">
      <w:pPr>
        <w:ind w:firstLine="422"/>
        <w:rPr>
          <w:rFonts w:hint="eastAsia" w:ascii="宋体" w:hAnsi="宋体" w:eastAsia="宋体" w:cs="宋体"/>
        </w:rPr>
      </w:pPr>
      <w:r>
        <w:rPr>
          <w:rFonts w:hint="eastAsia"/>
          <w:b/>
        </w:rPr>
        <w:t>第十八条</w:t>
      </w:r>
      <w:r>
        <w:rPr>
          <w:rFonts w:hint="eastAsia"/>
        </w:rPr>
        <w:t xml:space="preserve">  电梯投入使用前或者投入</w:t>
      </w:r>
      <w:r>
        <w:rPr>
          <w:rFonts w:hint="eastAsia" w:ascii="宋体" w:hAnsi="宋体" w:eastAsia="宋体" w:cs="宋体"/>
        </w:rPr>
        <w:t>使用后30日内，电梯使用单位应当向电梯所在地的区（县）电梯安全监督管理部门登记。</w:t>
      </w:r>
    </w:p>
    <w:p w14:paraId="194B17C1">
      <w:r>
        <w:rPr>
          <w:rFonts w:hint="eastAsia" w:ascii="宋体" w:hAnsi="宋体" w:eastAsia="宋体" w:cs="宋体"/>
        </w:rPr>
        <w:t>在用电梯停用拟超过15日的，电梯使用单位应当自停用之日起10日内书面</w:t>
      </w:r>
      <w:r>
        <w:rPr>
          <w:rFonts w:hint="eastAsia"/>
        </w:rPr>
        <w:t>告知原登记部门；重新启用前，应当书面告知原登记部门。</w:t>
      </w:r>
    </w:p>
    <w:p w14:paraId="6D384186">
      <w:r>
        <w:rPr>
          <w:rFonts w:hint="eastAsia"/>
        </w:rPr>
        <w:t>电梯报废时，电梯使用单位应当自报废之日</w:t>
      </w:r>
      <w:r>
        <w:rPr>
          <w:rFonts w:hint="eastAsia" w:ascii="宋体" w:hAnsi="宋体" w:eastAsia="宋体" w:cs="宋体"/>
        </w:rPr>
        <w:t>起30日内到原登记部门</w:t>
      </w:r>
      <w:r>
        <w:rPr>
          <w:rFonts w:hint="eastAsia"/>
        </w:rPr>
        <w:t>办理注销。</w:t>
      </w:r>
    </w:p>
    <w:p w14:paraId="1A5BE863">
      <w:pPr>
        <w:ind w:firstLine="422"/>
      </w:pPr>
      <w:r>
        <w:rPr>
          <w:rFonts w:hint="eastAsia"/>
          <w:b/>
        </w:rPr>
        <w:t>第十九条</w:t>
      </w:r>
      <w:r>
        <w:rPr>
          <w:rFonts w:hint="eastAsia"/>
        </w:rPr>
        <w:t xml:space="preserve">  电梯的安装、改造、重大维修过程，必须经过电梯检验检测机构按照安全技术规范要求进行的监督检验。</w:t>
      </w:r>
    </w:p>
    <w:p w14:paraId="25386ADC">
      <w:r>
        <w:rPr>
          <w:rFonts w:hint="eastAsia"/>
        </w:rPr>
        <w:t>未经监督检验合格的电梯，电梯使用单位不得投入使用。</w:t>
      </w:r>
    </w:p>
    <w:p w14:paraId="45DC9A5F">
      <w:pPr>
        <w:ind w:firstLine="422"/>
      </w:pPr>
      <w:r>
        <w:rPr>
          <w:rFonts w:hint="eastAsia"/>
          <w:b/>
        </w:rPr>
        <w:t>第二十条</w:t>
      </w:r>
      <w:r>
        <w:rPr>
          <w:rFonts w:hint="eastAsia"/>
        </w:rPr>
        <w:t xml:space="preserve">  在用电梯应当进行定期检验，定期检验周期为一年。电梯使用单位应当在电梯安全检验合格有效期届满前一个月向电梯检验检测机构提出定期检验要求。</w:t>
      </w:r>
    </w:p>
    <w:p w14:paraId="7D1432EB">
      <w:r>
        <w:rPr>
          <w:rFonts w:hint="eastAsia"/>
        </w:rPr>
        <w:t>未经定期检验或者检验不合格的电梯，不得继续使用。</w:t>
      </w:r>
    </w:p>
    <w:p w14:paraId="7AD1DB7A">
      <w:pPr>
        <w:ind w:firstLine="422"/>
      </w:pPr>
      <w:r>
        <w:rPr>
          <w:rFonts w:hint="eastAsia"/>
          <w:b/>
        </w:rPr>
        <w:t>第二十一条</w:t>
      </w:r>
      <w:r>
        <w:rPr>
          <w:rFonts w:hint="eastAsia"/>
        </w:rPr>
        <w:t xml:space="preserve">  电梯使用单位的安全管理人员应当履行下列职责：</w:t>
      </w:r>
    </w:p>
    <w:p w14:paraId="17538BA3">
      <w:r>
        <w:rPr>
          <w:rFonts w:hint="eastAsia"/>
        </w:rPr>
        <w:t>（一）进行电梯运行的日常巡视，做好电梯日常使用状况记录，落实电梯的定期检验计划；</w:t>
      </w:r>
    </w:p>
    <w:p w14:paraId="1B0BF6DE">
      <w:bookmarkStart w:id="1996" w:name="_Toc428780434"/>
      <w:r>
        <w:rPr>
          <w:rFonts w:hint="eastAsia"/>
        </w:rPr>
        <w:t>（二）妥善保管电梯层门钥匙、机房钥匙和电源钥匙；</w:t>
      </w:r>
      <w:bookmarkEnd w:id="1996"/>
    </w:p>
    <w:p w14:paraId="6AE69572">
      <w:r>
        <w:rPr>
          <w:rFonts w:hint="eastAsia"/>
        </w:rPr>
        <w:t>（三）监督电梯日常维护保养单位定期检修、保养电梯；</w:t>
      </w:r>
    </w:p>
    <w:p w14:paraId="1BA9FDB6">
      <w:r>
        <w:rPr>
          <w:rFonts w:hint="eastAsia"/>
        </w:rPr>
        <w:t>（四）发现电梯存在安全隐患需要停止使用的，有权作出停止使用的决定，并立即报告本单位负责人；</w:t>
      </w:r>
    </w:p>
    <w:p w14:paraId="61B317CF">
      <w:r>
        <w:rPr>
          <w:rFonts w:hint="eastAsia"/>
        </w:rPr>
        <w:t>（五）遇有火灾、地震等影响电梯运行和电梯乘客人身安全的突发性事件时，应当迅速采取措施，停止电梯运行。</w:t>
      </w:r>
    </w:p>
    <w:p w14:paraId="23FAD9BA">
      <w:pPr>
        <w:ind w:firstLine="422"/>
      </w:pPr>
      <w:r>
        <w:rPr>
          <w:rFonts w:hint="eastAsia"/>
          <w:b/>
        </w:rPr>
        <w:t>第二十二条</w:t>
      </w:r>
      <w:r>
        <w:rPr>
          <w:rFonts w:hint="eastAsia"/>
        </w:rPr>
        <w:t>　电梯乘客应当按照电梯安全注意事项和警示标志正确使用电梯，不得有下列行为：</w:t>
      </w:r>
    </w:p>
    <w:p w14:paraId="48C01094">
      <w:r>
        <w:rPr>
          <w:rFonts w:hint="eastAsia"/>
        </w:rPr>
        <w:t>（一）使用明示处于非正常状态下的电梯；</w:t>
      </w:r>
    </w:p>
    <w:p w14:paraId="612013FB">
      <w:r>
        <w:rPr>
          <w:rFonts w:hint="eastAsia"/>
        </w:rPr>
        <w:t>（二）强行扒撬电梯层门、轿门；</w:t>
      </w:r>
    </w:p>
    <w:p w14:paraId="6602272E">
      <w:r>
        <w:rPr>
          <w:rFonts w:hint="eastAsia"/>
        </w:rPr>
        <w:t>（三）在电梯内蹦跳、打闹；</w:t>
      </w:r>
    </w:p>
    <w:p w14:paraId="46CCBF2E">
      <w:r>
        <w:rPr>
          <w:rFonts w:hint="eastAsia"/>
        </w:rPr>
        <w:t>（四）携带易燃易爆物品或者危险化学品搭乘电梯；</w:t>
      </w:r>
    </w:p>
    <w:p w14:paraId="212C04F8">
      <w:r>
        <w:rPr>
          <w:rFonts w:hint="eastAsia"/>
        </w:rPr>
        <w:t>（五）拆除、毁坏电梯的部件或者标志、标识；</w:t>
      </w:r>
    </w:p>
    <w:p w14:paraId="79624BB0">
      <w:r>
        <w:rPr>
          <w:rFonts w:hint="eastAsia"/>
        </w:rPr>
        <w:t>（六）运载超过电梯额定载荷的货物；</w:t>
      </w:r>
    </w:p>
    <w:p w14:paraId="7EF155EF">
      <w:r>
        <w:rPr>
          <w:rFonts w:hint="eastAsia"/>
        </w:rPr>
        <w:t>（七）其他危及电梯安全运行的行为。</w:t>
      </w:r>
    </w:p>
    <w:p w14:paraId="1B1377E4">
      <w:r>
        <w:rPr>
          <w:rFonts w:hint="eastAsia"/>
        </w:rPr>
        <w:t>乘坐的电梯发生故障时，电梯乘客应当通过报警装置与电梯管理人员取得联系，服从指挥。</w:t>
      </w:r>
    </w:p>
    <w:p w14:paraId="7E9E2106">
      <w:pPr>
        <w:ind w:firstLine="422"/>
      </w:pPr>
      <w:r>
        <w:rPr>
          <w:rFonts w:hint="eastAsia"/>
          <w:b/>
        </w:rPr>
        <w:t>第二十三条</w:t>
      </w:r>
      <w:r>
        <w:rPr>
          <w:rFonts w:hint="eastAsia"/>
        </w:rPr>
        <w:t>　电梯进行更新、改造、维修或者日常维护保养所需费用，由电梯的所有权人承担。</w:t>
      </w:r>
    </w:p>
    <w:p w14:paraId="09C1EFE5">
      <w:r>
        <w:rPr>
          <w:rFonts w:hint="eastAsia"/>
        </w:rPr>
        <w:t>电梯的所有权人将电梯交付他人使用管理的，应当与使用管理单位签订书面合同，明确双方安全管理责任和电梯更新、改造、维修或者日常维护保养的出资义务。</w:t>
      </w:r>
    </w:p>
    <w:p w14:paraId="56195C97">
      <w:r>
        <w:rPr>
          <w:rFonts w:hint="eastAsia"/>
        </w:rPr>
        <w:t>居民住宅电梯的更新、改造和维修所需资金的管理，按照国家和本市有关住宅专项维修资金的规定执行。</w:t>
      </w:r>
    </w:p>
    <w:p w14:paraId="1DB6C689"/>
    <w:p w14:paraId="73CB409C">
      <w:pPr>
        <w:ind w:firstLine="0" w:firstLineChars="0"/>
        <w:jc w:val="center"/>
        <w:rPr>
          <w:b/>
          <w:sz w:val="28"/>
        </w:rPr>
      </w:pPr>
      <w:r>
        <w:rPr>
          <w:rFonts w:hint="eastAsia"/>
          <w:b/>
          <w:sz w:val="28"/>
        </w:rPr>
        <w:t>第四章　检验检测</w:t>
      </w:r>
    </w:p>
    <w:p w14:paraId="35258744"/>
    <w:p w14:paraId="2A14F396">
      <w:pPr>
        <w:ind w:firstLine="422"/>
      </w:pPr>
      <w:r>
        <w:rPr>
          <w:rFonts w:hint="eastAsia"/>
          <w:b/>
        </w:rPr>
        <w:t>第二十四条</w:t>
      </w:r>
      <w:r>
        <w:rPr>
          <w:rFonts w:hint="eastAsia"/>
        </w:rPr>
        <w:t>　电梯检验检测机构和检验检测人员开展电梯检验检测活动，应当遵循诚信和便民原则，为电梯生产、使用单位提供可靠、便捷的检验检测服务。</w:t>
      </w:r>
    </w:p>
    <w:p w14:paraId="5ACF2729">
      <w:r>
        <w:rPr>
          <w:rFonts w:hint="eastAsia"/>
        </w:rPr>
        <w:t>电梯检验检测机构和检验检测人员对涉及的被检验检测单位的商业秘密，负有保密义务。</w:t>
      </w:r>
    </w:p>
    <w:p w14:paraId="3F93CFFA">
      <w:pPr>
        <w:ind w:firstLine="422"/>
      </w:pPr>
      <w:r>
        <w:rPr>
          <w:rFonts w:hint="eastAsia"/>
          <w:b/>
        </w:rPr>
        <w:t>第二十五条</w:t>
      </w:r>
      <w:r>
        <w:rPr>
          <w:rFonts w:hint="eastAsia"/>
        </w:rPr>
        <w:t>　电梯检验检测机构应当确保从事检验检测活动的人员具有国家规定的资格，开展检验检测活动符合安全技术规范的要求，并对检验检测的结果负责。</w:t>
      </w:r>
    </w:p>
    <w:p w14:paraId="22B4F5F0">
      <w:pPr>
        <w:ind w:firstLine="422"/>
        <w:rPr>
          <w:rFonts w:hint="eastAsia" w:ascii="宋体" w:hAnsi="宋体" w:eastAsia="宋体" w:cs="宋体"/>
        </w:rPr>
      </w:pPr>
      <w:r>
        <w:rPr>
          <w:rFonts w:hint="eastAsia"/>
          <w:b/>
        </w:rPr>
        <w:t>第二十六条</w:t>
      </w:r>
      <w:r>
        <w:rPr>
          <w:rFonts w:hint="eastAsia"/>
        </w:rPr>
        <w:t>　电梯检验检测机构应当自接到</w:t>
      </w:r>
      <w:r>
        <w:rPr>
          <w:rFonts w:hint="eastAsia" w:ascii="宋体" w:hAnsi="宋体" w:eastAsia="宋体" w:cs="宋体"/>
        </w:rPr>
        <w:t>检验检测申请之日起5个工作日内安排检验检测。检验检测完毕后，电梯检验检测机构应当在10个工作日内出具电梯检验检测报告；经检验检测合格的，还应当一并发放《安全检验合格》标志。</w:t>
      </w:r>
    </w:p>
    <w:p w14:paraId="3FD1D640">
      <w:pPr>
        <w:ind w:firstLine="422"/>
        <w:rPr>
          <w:rFonts w:hint="eastAsia" w:ascii="宋体" w:hAnsi="宋体" w:eastAsia="宋体" w:cs="宋体"/>
        </w:rPr>
      </w:pPr>
      <w:r>
        <w:rPr>
          <w:rFonts w:hint="eastAsia"/>
          <w:b/>
        </w:rPr>
        <w:t>第二十七条</w:t>
      </w:r>
      <w:r>
        <w:rPr>
          <w:rFonts w:hint="eastAsia"/>
        </w:rPr>
        <w:t xml:space="preserve">  电梯使用单位对电梯检验检测结果有异议的，可以在收到电</w:t>
      </w:r>
      <w:r>
        <w:rPr>
          <w:rFonts w:hint="eastAsia" w:ascii="宋体" w:hAnsi="宋体" w:eastAsia="宋体" w:cs="宋体"/>
        </w:rPr>
        <w:t>梯检验检测报告之日起15日内以书面形式向电梯检验检测机构提出。电梯检验检测机构应当在15日内向电梯使用单位作出书面答复。</w:t>
      </w:r>
    </w:p>
    <w:p w14:paraId="747614DC">
      <w:pPr>
        <w:rPr>
          <w:rFonts w:hint="eastAsia" w:ascii="宋体" w:hAnsi="宋体" w:eastAsia="宋体" w:cs="宋体"/>
        </w:rPr>
      </w:pPr>
      <w:r>
        <w:rPr>
          <w:rFonts w:hint="eastAsia" w:ascii="宋体" w:hAnsi="宋体" w:eastAsia="宋体" w:cs="宋体"/>
        </w:rPr>
        <w:t>电梯检验检测机构逾期未答复或者电梯使用单位对电梯检验检测机构的书面答复仍有异议的，可以在收到答复之日起15日内向当地电梯安全监督管理部门申请复验。受理复验申请的电梯安全监督管理部门，应当在30日内作出复验结论。</w:t>
      </w:r>
    </w:p>
    <w:p w14:paraId="2098C977">
      <w:pPr>
        <w:ind w:firstLine="422"/>
      </w:pPr>
      <w:r>
        <w:rPr>
          <w:rFonts w:hint="eastAsia"/>
          <w:b/>
        </w:rPr>
        <w:t>第二十八条</w:t>
      </w:r>
      <w:r>
        <w:rPr>
          <w:rFonts w:hint="eastAsia"/>
        </w:rPr>
        <w:t xml:space="preserve">  电梯检验检测机构在实施检验检测活动中发现安全隐患的，应当书面告知电梯使用单位；发现严重事故隐患时，还应当立即报告所在地的电梯安全监督管理部门。</w:t>
      </w:r>
    </w:p>
    <w:p w14:paraId="32F62DFA">
      <w:pPr>
        <w:ind w:firstLine="422"/>
      </w:pPr>
      <w:r>
        <w:rPr>
          <w:rFonts w:hint="eastAsia"/>
          <w:b/>
        </w:rPr>
        <w:t>第二十九条</w:t>
      </w:r>
      <w:r>
        <w:rPr>
          <w:rFonts w:hint="eastAsia"/>
        </w:rPr>
        <w:t xml:space="preserve">  电梯检验检测机构和检验检测人员不得从事电梯的生产、销售活动，不得以其名义推荐或者监制、监销电梯。</w:t>
      </w:r>
    </w:p>
    <w:p w14:paraId="3352D913">
      <w:pPr>
        <w:ind w:firstLine="422"/>
      </w:pPr>
      <w:r>
        <w:rPr>
          <w:rFonts w:hint="eastAsia"/>
          <w:b/>
        </w:rPr>
        <w:t>第三十条</w:t>
      </w:r>
      <w:r>
        <w:rPr>
          <w:rFonts w:hint="eastAsia"/>
        </w:rPr>
        <w:t xml:space="preserve">  电梯检验检测机构和检验检测人员利用检验检测工作故意刁难电梯生产、使用单位的，电梯生产、使用单位有权向电梯安全监督管理部门投诉。接到投诉的电梯安全监督管理部门应当及时进行调查处理。</w:t>
      </w:r>
    </w:p>
    <w:p w14:paraId="289FA6C2">
      <w:r>
        <w:rPr>
          <w:rFonts w:hint="eastAsia"/>
        </w:rPr>
        <w:t>经调查属实的，电梯安全监督管理部门可以另行指定电梯检验检测机构承担该单位电梯的检验检测工作。</w:t>
      </w:r>
    </w:p>
    <w:p w14:paraId="3E992040"/>
    <w:p w14:paraId="36E35CF8">
      <w:pPr>
        <w:ind w:firstLine="0" w:firstLineChars="0"/>
        <w:jc w:val="center"/>
        <w:rPr>
          <w:b/>
          <w:sz w:val="28"/>
        </w:rPr>
      </w:pPr>
      <w:r>
        <w:rPr>
          <w:rFonts w:hint="eastAsia"/>
          <w:b/>
          <w:sz w:val="28"/>
        </w:rPr>
        <w:t>第五章　监督检查</w:t>
      </w:r>
    </w:p>
    <w:p w14:paraId="0907D8C9"/>
    <w:p w14:paraId="28BC1DCA">
      <w:pPr>
        <w:ind w:firstLine="422"/>
      </w:pPr>
      <w:r>
        <w:rPr>
          <w:rFonts w:hint="eastAsia"/>
          <w:b/>
        </w:rPr>
        <w:t>第三十一条</w:t>
      </w:r>
      <w:r>
        <w:rPr>
          <w:rFonts w:hint="eastAsia"/>
        </w:rPr>
        <w:t xml:space="preserve">  电梯安全监督管理部门应当对学校、幼儿园、机场、车站、商场、体育场馆、展览馆等人员密集场所以及重要会议或者重大活动场所的电梯实施重点安全监察。</w:t>
      </w:r>
    </w:p>
    <w:p w14:paraId="47F95803">
      <w:pPr>
        <w:ind w:firstLine="422"/>
      </w:pPr>
      <w:r>
        <w:rPr>
          <w:rFonts w:hint="eastAsia"/>
          <w:b/>
        </w:rPr>
        <w:t>第三十二条</w:t>
      </w:r>
      <w:r>
        <w:rPr>
          <w:rFonts w:hint="eastAsia"/>
        </w:rPr>
        <w:t xml:space="preserve">  电梯安全监督管理部门对电梯生产、使用单位和检验检测机构进行现场检查时，被检查单位应当予以配合。</w:t>
      </w:r>
    </w:p>
    <w:p w14:paraId="34F4B0C5">
      <w:pPr>
        <w:ind w:firstLine="422"/>
      </w:pPr>
      <w:r>
        <w:rPr>
          <w:rFonts w:hint="eastAsia"/>
          <w:b/>
        </w:rPr>
        <w:t>第三十三条</w:t>
      </w:r>
      <w:r>
        <w:rPr>
          <w:rFonts w:hint="eastAsia"/>
        </w:rPr>
        <w:t xml:space="preserve">  电梯安全监督管理部门发现电梯的生产、使用单位或者检验检测机构有违反《特种设备安全监察条例》和本办法规定的行为或者在用电梯存在事故隐患的，应当以书面形式发出特种设备安全监察指令，责令有关单位及时采取措施予以改正或者消除事故隐患。</w:t>
      </w:r>
    </w:p>
    <w:p w14:paraId="3E326E81">
      <w:r>
        <w:rPr>
          <w:rFonts w:hint="eastAsia"/>
        </w:rPr>
        <w:t>发现重大事故隐患的，电梯安全监督管理部门应当报告同级人民政府；需要有关部门支持、配合的，还应当通知其他有关部门。</w:t>
      </w:r>
    </w:p>
    <w:p w14:paraId="39539DC1">
      <w:pPr>
        <w:ind w:firstLine="422"/>
      </w:pPr>
      <w:r>
        <w:rPr>
          <w:rFonts w:hint="eastAsia"/>
          <w:b/>
        </w:rPr>
        <w:t>第三十四条</w:t>
      </w:r>
      <w:r>
        <w:rPr>
          <w:rFonts w:hint="eastAsia"/>
        </w:rPr>
        <w:t xml:space="preserve">  居民委员会、村民委员会发现辖区内电梯生产、使用单位存在电梯安全事故隐患或者违法行为时，应及时向所在地电梯安全监督管理部门等负有安全监督管理职责的部门报告，协助政府有关部门进行监督检查。</w:t>
      </w:r>
    </w:p>
    <w:p w14:paraId="1D78CCCD">
      <w:r>
        <w:rPr>
          <w:rFonts w:hint="eastAsia"/>
        </w:rPr>
        <w:t>有关部门接到报告后，对属于本部门职责范围的，应当及时处理；不属于本部门职责范围的，应当及时转交有权处理的部门，并将转交情况告知报告单位。</w:t>
      </w:r>
    </w:p>
    <w:p w14:paraId="58217449">
      <w:pPr>
        <w:ind w:firstLine="422"/>
      </w:pPr>
      <w:r>
        <w:rPr>
          <w:rFonts w:hint="eastAsia"/>
          <w:b/>
        </w:rPr>
        <w:t>第三十五条</w:t>
      </w:r>
      <w:r>
        <w:rPr>
          <w:rFonts w:hint="eastAsia"/>
        </w:rPr>
        <w:t xml:space="preserve">  电梯发生事故的，事故发生单位应当迅速采取有效措施，组织抢救，防止事故扩大，减少人员伤亡和财产损失。</w:t>
      </w:r>
    </w:p>
    <w:p w14:paraId="4CA47273">
      <w:r>
        <w:rPr>
          <w:rFonts w:hint="eastAsia"/>
        </w:rPr>
        <w:t>电梯事故的报告和调查处理程序，按照国务院《生产安全事故报告和调查处理条例》的规定执行。</w:t>
      </w:r>
    </w:p>
    <w:p w14:paraId="4FE5BB38">
      <w:pPr>
        <w:ind w:firstLine="422"/>
      </w:pPr>
      <w:r>
        <w:rPr>
          <w:rFonts w:hint="eastAsia"/>
          <w:b/>
        </w:rPr>
        <w:t>第三十六条</w:t>
      </w:r>
      <w:r>
        <w:rPr>
          <w:rFonts w:hint="eastAsia"/>
        </w:rPr>
        <w:t xml:space="preserve">  市电梯安全监督管理部门应当按照《特种设备安全监察条例》第六十一条的规定定期向社会公布电梯安全状况，并将全市在用电梯的数量、分布情况以及电梯安装、改造、维修单位情况及时向社会公布。</w:t>
      </w:r>
    </w:p>
    <w:p w14:paraId="1C6E5FFE"/>
    <w:p w14:paraId="333ED611">
      <w:pPr>
        <w:ind w:firstLine="0" w:firstLineChars="0"/>
        <w:jc w:val="center"/>
        <w:rPr>
          <w:b/>
          <w:sz w:val="28"/>
        </w:rPr>
      </w:pPr>
      <w:r>
        <w:rPr>
          <w:rFonts w:hint="eastAsia"/>
          <w:b/>
          <w:sz w:val="28"/>
        </w:rPr>
        <w:t>第六章　法律责任</w:t>
      </w:r>
    </w:p>
    <w:p w14:paraId="3ABDAA68"/>
    <w:p w14:paraId="13633202">
      <w:pPr>
        <w:ind w:firstLine="422"/>
        <w:rPr>
          <w:rFonts w:hint="eastAsia" w:ascii="宋体" w:hAnsi="宋体" w:eastAsia="宋体" w:cs="宋体"/>
        </w:rPr>
      </w:pPr>
      <w:r>
        <w:rPr>
          <w:rFonts w:hint="eastAsia"/>
          <w:b/>
        </w:rPr>
        <w:t>第三十七条</w:t>
      </w:r>
      <w:r>
        <w:rPr>
          <w:rFonts w:hint="eastAsia"/>
        </w:rPr>
        <w:t xml:space="preserve">  违反本办法第十条第一款规定，电梯安装、改造、维修单位未执行本市 《电梯安装维修作业安全规范》导致存在安全隐患的，由电梯安全监督管理部门责令限期改正；逾期未改正的，</w:t>
      </w:r>
      <w:r>
        <w:rPr>
          <w:rFonts w:hint="eastAsia" w:ascii="宋体" w:hAnsi="宋体" w:eastAsia="宋体" w:cs="宋体"/>
        </w:rPr>
        <w:t>处5000元以下罚款。</w:t>
      </w:r>
    </w:p>
    <w:p w14:paraId="0FCB4AA8">
      <w:pPr>
        <w:rPr>
          <w:rFonts w:hint="eastAsia" w:ascii="宋体" w:hAnsi="宋体" w:eastAsia="宋体" w:cs="宋体"/>
        </w:rPr>
      </w:pPr>
      <w:r>
        <w:rPr>
          <w:rFonts w:hint="eastAsia" w:ascii="宋体" w:hAnsi="宋体" w:eastAsia="宋体" w:cs="宋体"/>
        </w:rPr>
        <w:t>违反本办法第十条第二款规定，电梯安装、改造、维修或者日常维护保养单位未执行本市《电梯安装、改造、重大维修和维护保养自检规则》导致存在安全隐患的，由电梯安全监督管理部门责令限期改正；逾期未改正的，处5000元以下罚款。</w:t>
      </w:r>
    </w:p>
    <w:p w14:paraId="6142E1B3">
      <w:pPr>
        <w:rPr>
          <w:rFonts w:hint="eastAsia" w:ascii="宋体" w:hAnsi="宋体" w:eastAsia="宋体" w:cs="宋体"/>
        </w:rPr>
      </w:pPr>
      <w:r>
        <w:rPr>
          <w:rFonts w:hint="eastAsia" w:ascii="宋体" w:hAnsi="宋体" w:eastAsia="宋体" w:cs="宋体"/>
        </w:rPr>
        <w:t>电梯安装、改造、维修或者日常维护保养单位由于上述违法行为，导致发生电梯事故，造成人员伤亡或者财产损失的，依照安全生产有关法律、法规进行处理。</w:t>
      </w:r>
    </w:p>
    <w:p w14:paraId="5D95E081">
      <w:pPr>
        <w:ind w:firstLine="422"/>
        <w:rPr>
          <w:rFonts w:hint="eastAsia" w:ascii="宋体" w:hAnsi="宋体" w:eastAsia="宋体" w:cs="宋体"/>
        </w:rPr>
      </w:pPr>
      <w:r>
        <w:rPr>
          <w:rFonts w:hint="eastAsia"/>
          <w:b/>
        </w:rPr>
        <w:t>第三十八条</w:t>
      </w:r>
      <w:r>
        <w:rPr>
          <w:rFonts w:hint="eastAsia"/>
        </w:rPr>
        <w:t xml:space="preserve">  从事电梯日常维护保养的单位有违反本办法第十二条规定情形之一的，由电梯安全监督管理部门责令限期改正；逾期未改正的，</w:t>
      </w:r>
      <w:r>
        <w:rPr>
          <w:rFonts w:hint="eastAsia" w:ascii="宋体" w:hAnsi="宋体" w:eastAsia="宋体" w:cs="宋体"/>
        </w:rPr>
        <w:t>处2000元以上5000元以下罚款。</w:t>
      </w:r>
    </w:p>
    <w:p w14:paraId="45C56591">
      <w:pPr>
        <w:ind w:firstLine="422"/>
        <w:rPr>
          <w:rFonts w:hint="eastAsia" w:ascii="宋体" w:hAnsi="宋体" w:eastAsia="宋体" w:cs="宋体"/>
        </w:rPr>
      </w:pPr>
      <w:r>
        <w:rPr>
          <w:rFonts w:hint="eastAsia"/>
          <w:b/>
        </w:rPr>
        <w:t>第三十九条</w:t>
      </w:r>
      <w:r>
        <w:rPr>
          <w:rFonts w:hint="eastAsia"/>
        </w:rPr>
        <w:t xml:space="preserve">  违反本办法第十三条规定，电梯安装、改造、维修或者日常维护保养单位未对电梯作业人员进行安全教育和培训的，由电梯安全监督管理部门责令限期改正；逾期未改正的，</w:t>
      </w:r>
      <w:r>
        <w:rPr>
          <w:rFonts w:hint="eastAsia" w:ascii="宋体" w:hAnsi="宋体" w:eastAsia="宋体" w:cs="宋体"/>
        </w:rPr>
        <w:t>处2000元以上2万元以下罚款。</w:t>
      </w:r>
    </w:p>
    <w:p w14:paraId="789E2A89">
      <w:pPr>
        <w:ind w:firstLine="422"/>
        <w:rPr>
          <w:rFonts w:hint="eastAsia" w:ascii="宋体" w:hAnsi="宋体" w:eastAsia="宋体" w:cs="宋体"/>
        </w:rPr>
      </w:pPr>
      <w:r>
        <w:rPr>
          <w:rFonts w:hint="eastAsia"/>
          <w:b/>
        </w:rPr>
        <w:t>第四十条</w:t>
      </w:r>
      <w:r>
        <w:rPr>
          <w:rFonts w:hint="eastAsia"/>
        </w:rPr>
        <w:t xml:space="preserve">  违反本办法第十四条第二款规定，电梯安装、改造、维修或者日常维护保养作业人员未持证进行作业的，由电梯安全监督管理部门责令改正，并对相关的电梯安装、改造、维修或者日常维护保养单位</w:t>
      </w:r>
      <w:r>
        <w:rPr>
          <w:rFonts w:hint="eastAsia" w:ascii="宋体" w:hAnsi="宋体" w:eastAsia="宋体" w:cs="宋体"/>
        </w:rPr>
        <w:t>处500元以上5000元以下罚款。</w:t>
      </w:r>
    </w:p>
    <w:p w14:paraId="6A6D7EDE">
      <w:pPr>
        <w:ind w:firstLine="422"/>
      </w:pPr>
      <w:r>
        <w:rPr>
          <w:rFonts w:hint="eastAsia"/>
          <w:b/>
        </w:rPr>
        <w:t>第四十一条</w:t>
      </w:r>
      <w:r>
        <w:rPr>
          <w:rFonts w:hint="eastAsia"/>
        </w:rPr>
        <w:t xml:space="preserve">  电梯使用单位违反本办法第十五条规定的，由电梯安全监督管理部门分别按照《特种设备安全监察条例》有关规定进行处理。其中，对违反第（三）、（四）、（六）项规定的，由电梯安全监督管理部门责令限期改正；逾期未改正的，按照下列数额罚款：</w:t>
      </w:r>
    </w:p>
    <w:p w14:paraId="7FAB618F">
      <w:r>
        <w:rPr>
          <w:rFonts w:hint="eastAsia"/>
        </w:rPr>
        <w:t>（一）违反第（三）项规定，电梯紧急报警装置不能有效应答紧急呼救的</w:t>
      </w:r>
      <w:r>
        <w:rPr>
          <w:rFonts w:hint="eastAsia" w:ascii="宋体" w:hAnsi="宋体" w:eastAsia="宋体" w:cs="宋体"/>
        </w:rPr>
        <w:t>，处2000元</w:t>
      </w:r>
      <w:r>
        <w:rPr>
          <w:rFonts w:hint="eastAsia"/>
        </w:rPr>
        <w:t>罚款；</w:t>
      </w:r>
    </w:p>
    <w:p w14:paraId="5E9DC8E0">
      <w:pPr>
        <w:rPr>
          <w:rFonts w:hint="eastAsia" w:ascii="宋体" w:hAnsi="宋体" w:eastAsia="宋体" w:cs="宋体"/>
        </w:rPr>
      </w:pPr>
      <w:r>
        <w:rPr>
          <w:rFonts w:hint="eastAsia"/>
        </w:rPr>
        <w:t>（二）违反第（四）项规定，未在电梯轿厢内或者出入口的明显位置张贴有效的《安全检验合格》标志的</w:t>
      </w:r>
      <w:r>
        <w:rPr>
          <w:rFonts w:hint="eastAsia" w:ascii="宋体" w:hAnsi="宋体" w:eastAsia="宋体" w:cs="宋体"/>
        </w:rPr>
        <w:t>，处500元罚款；</w:t>
      </w:r>
    </w:p>
    <w:p w14:paraId="5E78D994">
      <w:pPr>
        <w:rPr>
          <w:rFonts w:hint="eastAsia" w:ascii="宋体" w:hAnsi="宋体" w:eastAsia="宋体" w:cs="宋体"/>
        </w:rPr>
      </w:pPr>
      <w:r>
        <w:rPr>
          <w:rFonts w:hint="eastAsia" w:ascii="宋体" w:hAnsi="宋体" w:eastAsia="宋体" w:cs="宋体"/>
        </w:rPr>
        <w:t>（三）违反第（六）项规定，发生电梯乘客被困故障时，未及时采取措施对被困人员进行抚慰和组织救援的，处5000元罚款。</w:t>
      </w:r>
    </w:p>
    <w:p w14:paraId="2C733234">
      <w:pPr>
        <w:ind w:firstLine="422"/>
        <w:rPr>
          <w:rFonts w:hint="eastAsia" w:ascii="宋体" w:hAnsi="宋体" w:eastAsia="宋体" w:cs="宋体"/>
        </w:rPr>
      </w:pPr>
      <w:r>
        <w:rPr>
          <w:rFonts w:hint="eastAsia"/>
          <w:b/>
        </w:rPr>
        <w:t>第四十二条</w:t>
      </w:r>
      <w:r>
        <w:rPr>
          <w:rFonts w:hint="eastAsia"/>
        </w:rPr>
        <w:t xml:space="preserve">  违反本办法第十七条规定，电梯使用单位委托未取得相应许可的单位实施电梯安装、改造、维修或者日常维护保养活动的，由电梯安全监督管理部门责令立即停止违法行为，对相关电梯使用单位</w:t>
      </w:r>
      <w:r>
        <w:rPr>
          <w:rFonts w:hint="eastAsia" w:ascii="宋体" w:hAnsi="宋体" w:eastAsia="宋体" w:cs="宋体"/>
        </w:rPr>
        <w:t>处5000元以上5万元以下罚款。</w:t>
      </w:r>
    </w:p>
    <w:p w14:paraId="292BD45B">
      <w:pPr>
        <w:ind w:firstLine="422"/>
        <w:rPr>
          <w:rFonts w:hint="eastAsia" w:ascii="宋体" w:hAnsi="宋体" w:eastAsia="宋体" w:cs="宋体"/>
        </w:rPr>
      </w:pPr>
      <w:r>
        <w:rPr>
          <w:rFonts w:hint="eastAsia"/>
          <w:b/>
        </w:rPr>
        <w:t>第四十三条</w:t>
      </w:r>
      <w:r>
        <w:rPr>
          <w:rFonts w:hint="eastAsia"/>
        </w:rPr>
        <w:t xml:space="preserve">  违反本办法第十九条第二款规定，电梯使用单位使用未经监督检验合格电梯的，由电梯安全监督管理部门责令限期改正，</w:t>
      </w:r>
      <w:r>
        <w:rPr>
          <w:rFonts w:hint="eastAsia" w:ascii="宋体" w:hAnsi="宋体" w:eastAsia="宋体" w:cs="宋体"/>
        </w:rPr>
        <w:t>并处2000元以上2万元以下罚款。</w:t>
      </w:r>
    </w:p>
    <w:p w14:paraId="12562F45">
      <w:pPr>
        <w:ind w:firstLine="422"/>
      </w:pPr>
      <w:r>
        <w:rPr>
          <w:rFonts w:hint="eastAsia"/>
          <w:b/>
        </w:rPr>
        <w:t>第四十四条</w:t>
      </w:r>
      <w:r>
        <w:rPr>
          <w:rFonts w:hint="eastAsia"/>
        </w:rPr>
        <w:t xml:space="preserve">  违反本办法第二十六条规定，电梯检验检测机构未按照规定期限安排检验检测、出具电梯检验检测报告或者发放《安全检验合格》标志的，由电梯安全监督管理部门责令限期改正，并</w:t>
      </w:r>
      <w:r>
        <w:rPr>
          <w:rFonts w:hint="eastAsia" w:ascii="宋体" w:hAnsi="宋体" w:eastAsia="宋体" w:cs="宋体"/>
        </w:rPr>
        <w:t>处5000元以上1万元以下罚款</w:t>
      </w:r>
      <w:r>
        <w:rPr>
          <w:rFonts w:hint="eastAsia"/>
        </w:rPr>
        <w:t>。</w:t>
      </w:r>
    </w:p>
    <w:p w14:paraId="2D887227">
      <w:r>
        <w:rPr>
          <w:rFonts w:hint="eastAsia"/>
        </w:rPr>
        <w:t>电梯检验检测机构由于上述违法行为给电梯使用单位造成损失的，应当承担赔偿责任。</w:t>
      </w:r>
    </w:p>
    <w:p w14:paraId="11FF2B14"/>
    <w:p w14:paraId="62FA7706">
      <w:pPr>
        <w:ind w:firstLine="0" w:firstLineChars="0"/>
        <w:jc w:val="center"/>
        <w:rPr>
          <w:b/>
          <w:sz w:val="28"/>
        </w:rPr>
      </w:pPr>
      <w:r>
        <w:rPr>
          <w:rFonts w:hint="eastAsia"/>
          <w:b/>
          <w:sz w:val="28"/>
        </w:rPr>
        <w:t>第七章　附　则</w:t>
      </w:r>
    </w:p>
    <w:p w14:paraId="5CFE9CB6"/>
    <w:p w14:paraId="347AA0E4">
      <w:pPr>
        <w:ind w:firstLine="422"/>
      </w:pPr>
      <w:r>
        <w:rPr>
          <w:rFonts w:hint="eastAsia"/>
          <w:b/>
        </w:rPr>
        <w:t>第四十五条</w:t>
      </w:r>
      <w:r>
        <w:rPr>
          <w:rFonts w:hint="eastAsia"/>
        </w:rPr>
        <w:t xml:space="preserve">  居民家庭自用电梯的使用安全管理和检验检测，不适用本办法。</w:t>
      </w:r>
    </w:p>
    <w:p w14:paraId="560CD732">
      <w:pPr>
        <w:ind w:firstLine="422"/>
        <w:rPr>
          <w:rFonts w:hint="eastAsia" w:ascii="宋体" w:hAnsi="宋体" w:eastAsia="宋体" w:cs="宋体"/>
        </w:rPr>
      </w:pPr>
      <w:r>
        <w:rPr>
          <w:rFonts w:hint="eastAsia"/>
          <w:b/>
        </w:rPr>
        <w:t>第四十六条</w:t>
      </w:r>
      <w:r>
        <w:rPr>
          <w:rFonts w:hint="eastAsia"/>
        </w:rPr>
        <w:t xml:space="preserve">  本办法自</w:t>
      </w:r>
      <w:r>
        <w:rPr>
          <w:rFonts w:hint="eastAsia" w:ascii="宋体" w:hAnsi="宋体" w:eastAsia="宋体" w:cs="宋体"/>
        </w:rPr>
        <w:t>2008年6月1日起施行。2003年6月10日市人民政府发布的《北京市电梯安全监察办法》同时废止。</w:t>
      </w:r>
    </w:p>
    <w:p w14:paraId="66190DAF">
      <w:pPr>
        <w:pStyle w:val="4"/>
        <w:pageBreakBefore/>
      </w:pPr>
      <w:bookmarkStart w:id="1997" w:name="_Toc428780435"/>
      <w:bookmarkStart w:id="1998" w:name="_Toc426467036"/>
      <w:bookmarkStart w:id="1999" w:name="_Toc428781784"/>
      <w:r>
        <w:rPr>
          <w:rFonts w:hint="eastAsia"/>
        </w:rPr>
        <w:t>北京市生产安全事故报告和调查处理办法</w:t>
      </w:r>
      <w:bookmarkEnd w:id="1997"/>
      <w:bookmarkEnd w:id="1998"/>
      <w:bookmarkEnd w:id="1999"/>
    </w:p>
    <w:p w14:paraId="1E5CF6DF">
      <w:pPr>
        <w:ind w:left="630" w:leftChars="300" w:right="630" w:rightChars="300"/>
        <w:rPr>
          <w:rFonts w:ascii="楷体" w:hAnsi="楷体" w:eastAsia="楷体"/>
        </w:rPr>
      </w:pPr>
      <w:r>
        <w:rPr>
          <w:rFonts w:hint="eastAsia" w:ascii="楷体" w:hAnsi="楷体" w:eastAsia="楷体"/>
        </w:rPr>
        <w:t>（2009年11月10日第52次市政府常务会议通过　2009年12月11日北京市人民政府第217号令公布）</w:t>
      </w:r>
    </w:p>
    <w:p w14:paraId="10533ED7"/>
    <w:p w14:paraId="1A78CA86">
      <w:pPr>
        <w:ind w:firstLine="0" w:firstLineChars="0"/>
        <w:jc w:val="center"/>
        <w:rPr>
          <w:b/>
          <w:sz w:val="28"/>
        </w:rPr>
      </w:pPr>
      <w:r>
        <w:rPr>
          <w:rFonts w:hint="eastAsia"/>
          <w:b/>
          <w:sz w:val="28"/>
        </w:rPr>
        <w:t>第一章　总　则</w:t>
      </w:r>
    </w:p>
    <w:p w14:paraId="1190D708"/>
    <w:p w14:paraId="43691055">
      <w:pPr>
        <w:ind w:firstLine="422"/>
      </w:pPr>
      <w:r>
        <w:rPr>
          <w:rFonts w:hint="eastAsia"/>
          <w:b/>
        </w:rPr>
        <w:t>第一条</w:t>
      </w:r>
      <w:r>
        <w:rPr>
          <w:rFonts w:hint="eastAsia"/>
        </w:rPr>
        <w:t xml:space="preserve">  为了规范本市生产安全事故的报告和调查处理，根据《中华人民共和国安全生产法》（以下简称《安全生产法》）和国务院《生产安全事故报告和调查处理条例》（以下简称《条例》），结合本市实际情况，制定本办法。</w:t>
      </w:r>
    </w:p>
    <w:p w14:paraId="3B3118A7">
      <w:pPr>
        <w:ind w:firstLine="422"/>
      </w:pPr>
      <w:r>
        <w:rPr>
          <w:rFonts w:hint="eastAsia"/>
          <w:b/>
        </w:rPr>
        <w:t>第二条</w:t>
      </w:r>
      <w:r>
        <w:rPr>
          <w:rFonts w:hint="eastAsia"/>
        </w:rPr>
        <w:t xml:space="preserve">  本市行政区域内生产经营单位在生产经营活动过程中，造成人员伤亡或者直接经济损失的生产安全事故以及事故发生后因抢险施救不当造成的生产安全事故（以下简称事故）的报告和调查处理适用本办法。有关法律、法规对事故报告和调查处理另有规定的，从其规定。</w:t>
      </w:r>
    </w:p>
    <w:p w14:paraId="254C3AF8">
      <w:pPr>
        <w:ind w:firstLine="422"/>
      </w:pPr>
      <w:r>
        <w:rPr>
          <w:rFonts w:hint="eastAsia"/>
          <w:b/>
        </w:rPr>
        <w:t>第三条</w:t>
      </w:r>
      <w:r>
        <w:rPr>
          <w:rFonts w:hint="eastAsia"/>
        </w:rPr>
        <w:t xml:space="preserve">  事故调查处理按照事故等级分级负责。</w:t>
      </w:r>
    </w:p>
    <w:p w14:paraId="5B747A64">
      <w:r>
        <w:rPr>
          <w:rFonts w:hint="eastAsia"/>
        </w:rPr>
        <w:t>市和区（县）人民政府授权本级安全生产监督管理部门组织事故调查组进行调查；市和区（县）人民政府认为必要时，可以直接组织事故调查组进行调查。</w:t>
      </w:r>
    </w:p>
    <w:p w14:paraId="5F0CC5F3">
      <w:pPr>
        <w:ind w:firstLine="422"/>
      </w:pPr>
      <w:r>
        <w:rPr>
          <w:rFonts w:hint="eastAsia"/>
          <w:b/>
        </w:rPr>
        <w:t>第四条</w:t>
      </w:r>
      <w:r>
        <w:rPr>
          <w:rFonts w:hint="eastAsia"/>
        </w:rPr>
        <w:t xml:space="preserve">  参加事故调查处理的部门和单位应当派出人员参加事故调查处理，支持、配合事故调查组做好事故调查处理工作，并提供必要的工作条件。</w:t>
      </w:r>
    </w:p>
    <w:p w14:paraId="3C9CA596"/>
    <w:p w14:paraId="2653EF89">
      <w:pPr>
        <w:ind w:firstLine="0" w:firstLineChars="0"/>
        <w:jc w:val="center"/>
        <w:rPr>
          <w:b/>
          <w:sz w:val="28"/>
        </w:rPr>
      </w:pPr>
      <w:r>
        <w:rPr>
          <w:rFonts w:hint="eastAsia"/>
          <w:b/>
          <w:sz w:val="28"/>
        </w:rPr>
        <w:t>第二章　事故报告</w:t>
      </w:r>
    </w:p>
    <w:p w14:paraId="4A5391F3"/>
    <w:p w14:paraId="1687DB63">
      <w:pPr>
        <w:ind w:firstLine="422"/>
      </w:pPr>
      <w:r>
        <w:rPr>
          <w:rFonts w:hint="eastAsia"/>
          <w:b/>
        </w:rPr>
        <w:t>第五条</w:t>
      </w:r>
      <w:r>
        <w:rPr>
          <w:rFonts w:hint="eastAsia"/>
        </w:rPr>
        <w:t xml:space="preserve">  事故发生后，事故现场有关人员以及接到事故报告的单位负责人应当按照《条例》规定，向事故发生地区（县）安全生产监督管理部门和负有安全生产监督管理职责的有关部门报告。</w:t>
      </w:r>
    </w:p>
    <w:p w14:paraId="65B3BC07">
      <w:pPr>
        <w:ind w:firstLine="422"/>
        <w:rPr>
          <w:rFonts w:hint="eastAsia" w:ascii="宋体" w:hAnsi="宋体" w:eastAsia="宋体" w:cs="宋体"/>
        </w:rPr>
      </w:pPr>
      <w:r>
        <w:rPr>
          <w:rFonts w:hint="eastAsia"/>
          <w:b/>
        </w:rPr>
        <w:t>第六条</w:t>
      </w:r>
      <w:r>
        <w:rPr>
          <w:rFonts w:hint="eastAsia"/>
        </w:rPr>
        <w:t xml:space="preserve">  区（县）安全生产监督管理部门和负有安全生产监督管理职责的有关部门接到事故报告后，应当在</w:t>
      </w:r>
      <w:r>
        <w:rPr>
          <w:rFonts w:hint="eastAsia" w:ascii="宋体" w:hAnsi="宋体" w:eastAsia="宋体" w:cs="宋体"/>
        </w:rPr>
        <w:t>2小时内上报市安全生产监督管理部门和负有安全生产监督管理职责的有关部门。</w:t>
      </w:r>
    </w:p>
    <w:p w14:paraId="0B0EF247">
      <w:pPr>
        <w:rPr>
          <w:rFonts w:hint="eastAsia" w:ascii="宋体" w:hAnsi="宋体" w:eastAsia="宋体" w:cs="宋体"/>
        </w:rPr>
      </w:pPr>
      <w:r>
        <w:rPr>
          <w:rFonts w:hint="eastAsia" w:ascii="宋体" w:hAnsi="宋体" w:eastAsia="宋体" w:cs="宋体"/>
        </w:rPr>
        <w:t>市安全生产监督管理部门和负有安全生产监督管理职责的有关部门接到发生特别重大事故、重大事故的报告后，应当在2小时内上报至国务院安全生产监督管理部门和负有安全生产监督管理职责的有关部门。</w:t>
      </w:r>
    </w:p>
    <w:p w14:paraId="1B6F6299">
      <w:r>
        <w:rPr>
          <w:rFonts w:hint="eastAsia"/>
        </w:rPr>
        <w:t>安全生产监督管理部门和负有安全生产监督管理职责的有关部门上报事故情况，应当同时报告本级人民政府；必要时，可以越级上报。</w:t>
      </w:r>
    </w:p>
    <w:p w14:paraId="0BCB5D6A">
      <w:pPr>
        <w:ind w:firstLine="422"/>
      </w:pPr>
      <w:r>
        <w:rPr>
          <w:rFonts w:hint="eastAsia"/>
          <w:b/>
        </w:rPr>
        <w:t>第七条</w:t>
      </w:r>
      <w:r>
        <w:rPr>
          <w:rFonts w:hint="eastAsia"/>
        </w:rPr>
        <w:t xml:space="preserve">  事故发生后，事故发生单位应当立即启动事故应急预案，采取有效措施组织抢救，防止事故扩大或者引发次生事故，减少人员伤亡和财产损失；及时将受伤人员送往医疗机构救治，并先行垫付医疗费用。</w:t>
      </w:r>
    </w:p>
    <w:p w14:paraId="662E3D53">
      <w:pPr>
        <w:ind w:firstLine="422"/>
      </w:pPr>
      <w:r>
        <w:rPr>
          <w:rFonts w:hint="eastAsia"/>
          <w:b/>
        </w:rPr>
        <w:t>第八条</w:t>
      </w:r>
      <w:r>
        <w:rPr>
          <w:rFonts w:hint="eastAsia"/>
        </w:rPr>
        <w:t xml:space="preserve">  有关单位和人员应当按照《条例》的规定保护事故现场以及相关证据，全力配合事故调查组的工作。清理事故现场，应当征得事故调查组的同意。</w:t>
      </w:r>
    </w:p>
    <w:p w14:paraId="7A444AF5">
      <w:r>
        <w:rPr>
          <w:rFonts w:hint="eastAsia"/>
        </w:rPr>
        <w:t>事故调查组应当及时完成事故现场勘查、取证工作。</w:t>
      </w:r>
    </w:p>
    <w:p w14:paraId="2891AB37">
      <w:pPr>
        <w:ind w:firstLine="0" w:firstLineChars="0"/>
        <w:jc w:val="center"/>
        <w:rPr>
          <w:b/>
          <w:sz w:val="28"/>
        </w:rPr>
      </w:pPr>
      <w:r>
        <w:rPr>
          <w:rFonts w:hint="eastAsia"/>
          <w:b/>
          <w:sz w:val="28"/>
        </w:rPr>
        <w:t>第三章  事故调查</w:t>
      </w:r>
    </w:p>
    <w:p w14:paraId="1CEFA9D6"/>
    <w:p w14:paraId="69D242E5">
      <w:pPr>
        <w:ind w:firstLine="422"/>
      </w:pPr>
      <w:r>
        <w:rPr>
          <w:rFonts w:hint="eastAsia"/>
          <w:b/>
        </w:rPr>
        <w:t>第九条</w:t>
      </w:r>
      <w:r>
        <w:rPr>
          <w:rFonts w:hint="eastAsia"/>
        </w:rPr>
        <w:t xml:space="preserve">  事故调查按照下列规定分级负责：</w:t>
      </w:r>
    </w:p>
    <w:p w14:paraId="5E12495E">
      <w:r>
        <w:rPr>
          <w:rFonts w:hint="eastAsia"/>
        </w:rPr>
        <w:t>（一）特别重大事故按照《条例》的规定由市人民政府组织有关部门配合国务院事故调查组进行调查。</w:t>
      </w:r>
    </w:p>
    <w:p w14:paraId="14962F20">
      <w:r>
        <w:rPr>
          <w:rFonts w:hint="eastAsia"/>
        </w:rPr>
        <w:t>（二）重大事故、较大事故由市安全生产监督管理部门负责组织调查。</w:t>
      </w:r>
    </w:p>
    <w:p w14:paraId="59B5F5F6">
      <w:pPr>
        <w:rPr>
          <w:rFonts w:hint="eastAsia" w:ascii="宋体" w:hAnsi="宋体" w:eastAsia="宋体" w:cs="宋体"/>
        </w:rPr>
      </w:pPr>
      <w:r>
        <w:rPr>
          <w:rFonts w:hint="eastAsia"/>
        </w:rPr>
        <w:t>（三）一般事故中，直接经济</w:t>
      </w:r>
      <w:r>
        <w:rPr>
          <w:rFonts w:hint="eastAsia" w:ascii="宋体" w:hAnsi="宋体" w:eastAsia="宋体" w:cs="宋体"/>
        </w:rPr>
        <w:t>损失100万元以上、造成人员死亡或者重伤的，由区（县）安全生产监督管理部门负责组织调查；直接经济损失100万元以下且未造成人员死亡或者重伤的，由事故发生单位或者其上级生产经营单位负责组织调查，其中，建设施工事故由建设工程总包单位或者其确定的单位组织调查。</w:t>
      </w:r>
    </w:p>
    <w:p w14:paraId="1520D1C5">
      <w:r>
        <w:rPr>
          <w:rFonts w:hint="eastAsia" w:ascii="宋体" w:hAnsi="宋体" w:eastAsia="宋体" w:cs="宋体"/>
        </w:rPr>
        <w:t>区（县）安全生产监督管理部门认为必要时，经本级人民政府同意，</w:t>
      </w:r>
      <w:r>
        <w:rPr>
          <w:rFonts w:hint="eastAsia"/>
        </w:rPr>
        <w:t>可以直接组织调查由生产经营单位负责组织调查的一般事故。</w:t>
      </w:r>
    </w:p>
    <w:p w14:paraId="32FF7136">
      <w:r>
        <w:rPr>
          <w:rFonts w:hint="eastAsia"/>
        </w:rPr>
        <w:t>本条所称的“以上”包括本数，所称的“以下”不包括本数。</w:t>
      </w:r>
    </w:p>
    <w:p w14:paraId="4CECAC40">
      <w:pPr>
        <w:ind w:firstLine="422"/>
      </w:pPr>
      <w:r>
        <w:rPr>
          <w:rFonts w:hint="eastAsia"/>
          <w:b/>
        </w:rPr>
        <w:t>第十条</w:t>
      </w:r>
      <w:r>
        <w:rPr>
          <w:rFonts w:hint="eastAsia"/>
        </w:rPr>
        <w:t xml:space="preserve">  根据事故的具体情况，事故调查组由有关人民政府、安全生产监督管理部门、负有安全生产监督管理职责的有关部门、人力资源和社会保障部门、监察机关、公安机关以及工会派人组成，并依法邀请人民检察院派人参加。</w:t>
      </w:r>
    </w:p>
    <w:p w14:paraId="5AD31586">
      <w:r>
        <w:rPr>
          <w:rFonts w:hint="eastAsia"/>
        </w:rPr>
        <w:t>事故调查组组长由安全生产监督管理部门负责人担任；市和区（县）人民政府直接组织事故调查的，事故调查组组长由负责事故调查的人民政府指定。</w:t>
      </w:r>
    </w:p>
    <w:p w14:paraId="316343CC">
      <w:pPr>
        <w:ind w:firstLine="422"/>
      </w:pPr>
      <w:r>
        <w:rPr>
          <w:rFonts w:hint="eastAsia"/>
          <w:b/>
        </w:rPr>
        <w:t>第十一条</w:t>
      </w:r>
      <w:r>
        <w:rPr>
          <w:rFonts w:hint="eastAsia"/>
        </w:rPr>
        <w:t xml:space="preserve">  事故调查组履行下列职责：</w:t>
      </w:r>
    </w:p>
    <w:p w14:paraId="18F480DA">
      <w:bookmarkStart w:id="2000" w:name="_Toc428780436"/>
      <w:r>
        <w:rPr>
          <w:rFonts w:hint="eastAsia"/>
        </w:rPr>
        <w:t>（一）查明事故发生的经过、原因、人员伤亡情况及直接经济损失；</w:t>
      </w:r>
      <w:bookmarkEnd w:id="2000"/>
    </w:p>
    <w:p w14:paraId="78E74351">
      <w:r>
        <w:rPr>
          <w:rFonts w:hint="eastAsia"/>
        </w:rPr>
        <w:t>（二）认定事故的性质和事故责任；</w:t>
      </w:r>
    </w:p>
    <w:p w14:paraId="7E6CF06C">
      <w:r>
        <w:rPr>
          <w:rFonts w:hint="eastAsia"/>
        </w:rPr>
        <w:t>（三）提出对事故直接责任单位、其他责任单位和责任人员的处理建议；</w:t>
      </w:r>
    </w:p>
    <w:p w14:paraId="28D77171">
      <w:r>
        <w:rPr>
          <w:rFonts w:hint="eastAsia"/>
        </w:rPr>
        <w:t>（四）总结事故教训，提出防范和整改措施；</w:t>
      </w:r>
    </w:p>
    <w:p w14:paraId="1810FDDA">
      <w:r>
        <w:rPr>
          <w:rFonts w:hint="eastAsia"/>
        </w:rPr>
        <w:t>（五）提交事故调查报告。</w:t>
      </w:r>
    </w:p>
    <w:p w14:paraId="4B51C26D">
      <w:pPr>
        <w:ind w:firstLine="422"/>
      </w:pPr>
      <w:r>
        <w:rPr>
          <w:rFonts w:hint="eastAsia"/>
          <w:b/>
        </w:rPr>
        <w:t>第十二条</w:t>
      </w:r>
      <w:r>
        <w:rPr>
          <w:rFonts w:hint="eastAsia"/>
        </w:rPr>
        <w:t xml:space="preserve">  事故调查组成员应当具有事故调查所需要的知识与专长，并与所调查的事故没有直接利害关系。调查组成员应当相对固定。</w:t>
      </w:r>
    </w:p>
    <w:p w14:paraId="3DDAADA6">
      <w:r>
        <w:rPr>
          <w:rFonts w:hint="eastAsia"/>
        </w:rPr>
        <w:t>事故调查组成员应当依照所在部门和单位的职责，依法提供相关的政策和技术支持，提出对事故责任单位和责任人员的处理建议，完成事故调查组指派的工作。</w:t>
      </w:r>
    </w:p>
    <w:p w14:paraId="3C9EB0C2">
      <w:pPr>
        <w:ind w:firstLine="422"/>
      </w:pPr>
      <w:r>
        <w:rPr>
          <w:rFonts w:hint="eastAsia"/>
          <w:b/>
        </w:rPr>
        <w:t>第十三条</w:t>
      </w:r>
      <w:r>
        <w:rPr>
          <w:rFonts w:hint="eastAsia"/>
        </w:rPr>
        <w:t xml:space="preserve">  参加事故调查处理的部门和单位，应当保障其派出人员参加事故调查工作所需的交通工具、通信和技术设备等。</w:t>
      </w:r>
    </w:p>
    <w:p w14:paraId="7BA3E51B">
      <w:r>
        <w:rPr>
          <w:rFonts w:hint="eastAsia"/>
        </w:rPr>
        <w:t>安全生产监督管理部门承担事故调查组的日常工作，并为事故调查组提供必要的工作条件。</w:t>
      </w:r>
    </w:p>
    <w:p w14:paraId="3CA7166A">
      <w:pPr>
        <w:ind w:firstLine="422"/>
      </w:pPr>
      <w:r>
        <w:rPr>
          <w:rFonts w:hint="eastAsia"/>
          <w:b/>
        </w:rPr>
        <w:t>第十四条</w:t>
      </w:r>
      <w:r>
        <w:rPr>
          <w:rFonts w:hint="eastAsia"/>
        </w:rPr>
        <w:t xml:space="preserve">  按照本办法第九条第（三）项规定由生产经营单位组织调查的事故，应当有本单位安全生产、人力资源、技术等有关部门以及工会参加，调查工作应当在《条例》规定的时限内完成。</w:t>
      </w:r>
    </w:p>
    <w:p w14:paraId="6DE72D51">
      <w:pPr>
        <w:ind w:firstLine="422"/>
      </w:pPr>
      <w:r>
        <w:rPr>
          <w:rFonts w:hint="eastAsia"/>
          <w:b/>
        </w:rPr>
        <w:t>第十五条</w:t>
      </w:r>
      <w:r>
        <w:rPr>
          <w:rFonts w:hint="eastAsia"/>
        </w:rPr>
        <w:t xml:space="preserve">  事故发生单位及相关单位应当在事故调查组规定时限内，提供下列材料：</w:t>
      </w:r>
    </w:p>
    <w:p w14:paraId="28942EE2">
      <w:r>
        <w:rPr>
          <w:rFonts w:hint="eastAsia"/>
        </w:rPr>
        <w:t>（一）营业执照、行政许可及资质证明复印件；</w:t>
      </w:r>
    </w:p>
    <w:p w14:paraId="24ECBB71">
      <w:r>
        <w:rPr>
          <w:rFonts w:hint="eastAsia"/>
        </w:rPr>
        <w:t>（二）组织机构及相关人员职责证明；</w:t>
      </w:r>
    </w:p>
    <w:p w14:paraId="29286E36">
      <w:r>
        <w:rPr>
          <w:rFonts w:hint="eastAsia"/>
        </w:rPr>
        <w:t>（三）安全生产责任制度和相关管理制度；</w:t>
      </w:r>
    </w:p>
    <w:p w14:paraId="131C7DDC">
      <w:r>
        <w:rPr>
          <w:rFonts w:hint="eastAsia"/>
        </w:rPr>
        <w:t>（四）与事故相关的合同、伤亡人员身份证明及劳动关系证明；</w:t>
      </w:r>
    </w:p>
    <w:p w14:paraId="6B25F251">
      <w:bookmarkStart w:id="2001" w:name="_Toc428780437"/>
      <w:r>
        <w:rPr>
          <w:rFonts w:hint="eastAsia"/>
        </w:rPr>
        <w:t>（五）与事故相关的设备、工艺资料和安全操作规程；</w:t>
      </w:r>
      <w:bookmarkEnd w:id="2001"/>
    </w:p>
    <w:p w14:paraId="3E3DBE87">
      <w:r>
        <w:rPr>
          <w:rFonts w:hint="eastAsia"/>
        </w:rPr>
        <w:t>（六）有关人员安全教育培训情况和特种作业人员资格证明；</w:t>
      </w:r>
    </w:p>
    <w:p w14:paraId="020C8A35">
      <w:bookmarkStart w:id="2002" w:name="_Toc428780438"/>
      <w:r>
        <w:rPr>
          <w:rFonts w:hint="eastAsia"/>
        </w:rPr>
        <w:t>（七）事故造成人员伤亡和直接经济损失等基本情况的说明；</w:t>
      </w:r>
      <w:bookmarkEnd w:id="2002"/>
    </w:p>
    <w:p w14:paraId="08FF5A36">
      <w:r>
        <w:rPr>
          <w:rFonts w:hint="eastAsia"/>
        </w:rPr>
        <w:t>（八）事故现场示意图；</w:t>
      </w:r>
    </w:p>
    <w:p w14:paraId="3C533661">
      <w:r>
        <w:rPr>
          <w:rFonts w:hint="eastAsia"/>
        </w:rPr>
        <w:t>（九）有关责任人员上一年年收入情况；</w:t>
      </w:r>
    </w:p>
    <w:p w14:paraId="7EA6D5EC">
      <w:r>
        <w:rPr>
          <w:rFonts w:hint="eastAsia"/>
        </w:rPr>
        <w:t>（十）与事故有关的其他材料。</w:t>
      </w:r>
    </w:p>
    <w:p w14:paraId="11B74607">
      <w:r>
        <w:rPr>
          <w:rFonts w:hint="eastAsia"/>
        </w:rPr>
        <w:t>前款第（一）项和第(九)项规定的材料内容，需要有关部门予以确认的，相关部门应当予以配合。</w:t>
      </w:r>
    </w:p>
    <w:p w14:paraId="77184141">
      <w:pPr>
        <w:ind w:firstLine="422"/>
      </w:pPr>
      <w:r>
        <w:rPr>
          <w:rFonts w:hint="eastAsia"/>
          <w:b/>
        </w:rPr>
        <w:t>第十六条</w:t>
      </w:r>
      <w:r>
        <w:rPr>
          <w:rFonts w:hint="eastAsia"/>
        </w:rPr>
        <w:t xml:space="preserve">  事故调查中需要进行技术鉴定或者对直接经济损失进行评估的，事故调查组应当委托具有相应资质的单位进行技术鉴定或者评估。必要时，事故调查组可以直接组织专家进行技术鉴定或者评估。技术鉴定和评估所需时间不计入事故调查期限。</w:t>
      </w:r>
    </w:p>
    <w:p w14:paraId="0CFD5BB5">
      <w:r>
        <w:rPr>
          <w:rFonts w:hint="eastAsia"/>
        </w:rPr>
        <w:t>参与技术鉴定和直接经济损失评估的单位和人员，应当与事故没有直接利害关系。</w:t>
      </w:r>
    </w:p>
    <w:p w14:paraId="77D67A0E">
      <w:pPr>
        <w:ind w:firstLine="422"/>
      </w:pPr>
      <w:r>
        <w:rPr>
          <w:rFonts w:hint="eastAsia"/>
          <w:b/>
        </w:rPr>
        <w:t>第十七条</w:t>
      </w:r>
      <w:r>
        <w:rPr>
          <w:rFonts w:hint="eastAsia"/>
        </w:rPr>
        <w:t xml:space="preserve">  事故调查组按照《条例》的规定，向本级人民政府提交事故调查报告，报请批复。事故调查组成员对事故原因、责任认定、责任者处理建议等不能取得一致意见的，由事故调查组组长确定，并将不同意见的情况向本级人民政府作出说明。</w:t>
      </w:r>
    </w:p>
    <w:p w14:paraId="3B1819C7">
      <w:pPr>
        <w:ind w:firstLine="422"/>
      </w:pPr>
      <w:r>
        <w:rPr>
          <w:rFonts w:hint="eastAsia"/>
          <w:b/>
        </w:rPr>
        <w:t>第十八条</w:t>
      </w:r>
      <w:r>
        <w:rPr>
          <w:rFonts w:hint="eastAsia"/>
        </w:rPr>
        <w:t xml:space="preserve">  事故调查组成员在事故调查中应当客观公正、恪尽职守、遵守事故调查组的纪律。</w:t>
      </w:r>
    </w:p>
    <w:p w14:paraId="24FE1E1F">
      <w:r>
        <w:rPr>
          <w:rFonts w:hint="eastAsia"/>
        </w:rPr>
        <w:t>事故调查组成员对外发布有关事故的信息，应当经事故调查组组长允许，由事故调查组组织发布。</w:t>
      </w:r>
    </w:p>
    <w:p w14:paraId="2CF12B3F"/>
    <w:p w14:paraId="008FD0A2">
      <w:pPr>
        <w:ind w:firstLine="0" w:firstLineChars="0"/>
        <w:jc w:val="center"/>
        <w:rPr>
          <w:b/>
          <w:sz w:val="28"/>
        </w:rPr>
      </w:pPr>
      <w:r>
        <w:rPr>
          <w:rFonts w:hint="eastAsia"/>
          <w:b/>
          <w:sz w:val="28"/>
        </w:rPr>
        <w:t>第四章  事故处理</w:t>
      </w:r>
    </w:p>
    <w:p w14:paraId="421FC87A"/>
    <w:p w14:paraId="18B1808E">
      <w:pPr>
        <w:ind w:firstLine="422"/>
        <w:rPr>
          <w:rFonts w:hint="eastAsia" w:ascii="宋体" w:hAnsi="宋体" w:eastAsia="宋体" w:cs="宋体"/>
        </w:rPr>
      </w:pPr>
      <w:r>
        <w:rPr>
          <w:rFonts w:hint="eastAsia"/>
          <w:b/>
        </w:rPr>
        <w:t>第十九条</w:t>
      </w:r>
      <w:r>
        <w:rPr>
          <w:rFonts w:hint="eastAsia"/>
        </w:rPr>
        <w:t xml:space="preserve">  有关机关应当认真落实人民政府的批复，依法追究相关责任单位和责任人员的法律责任；在事故处理工作完成之</w:t>
      </w:r>
      <w:r>
        <w:rPr>
          <w:rFonts w:hint="eastAsia" w:ascii="宋体" w:hAnsi="宋体" w:eastAsia="宋体" w:cs="宋体"/>
        </w:rPr>
        <w:t>日起10个工作日内，将落实批复的情况通知组织事故调查处理的安全生产监督管理部门。</w:t>
      </w:r>
    </w:p>
    <w:p w14:paraId="1C1D05ED">
      <w:pPr>
        <w:ind w:firstLine="422"/>
        <w:rPr>
          <w:rFonts w:hint="eastAsia" w:ascii="宋体" w:hAnsi="宋体" w:eastAsia="宋体" w:cs="宋体"/>
        </w:rPr>
      </w:pPr>
      <w:r>
        <w:rPr>
          <w:rFonts w:hint="eastAsia"/>
          <w:b/>
        </w:rPr>
        <w:t>第二十条</w:t>
      </w:r>
      <w:r>
        <w:rPr>
          <w:rFonts w:hint="eastAsia"/>
        </w:rPr>
        <w:t xml:space="preserve">  事故发生单位和相关责任单位应当认真吸</w:t>
      </w:r>
      <w:r>
        <w:rPr>
          <w:rFonts w:hint="eastAsia" w:ascii="宋体" w:hAnsi="宋体" w:eastAsia="宋体" w:cs="宋体"/>
        </w:rPr>
        <w:t>取事故教训，落实整改措施，严肃处理本单位负有事故责任的人员；在事故处理工作完成之日起10个工作日内，将落实人民政府批复的情况报告组织事故调查处理的安全生产监督管理部门。</w:t>
      </w:r>
    </w:p>
    <w:p w14:paraId="61995CFB">
      <w:pPr>
        <w:ind w:firstLine="422"/>
        <w:rPr>
          <w:rFonts w:hint="eastAsia" w:ascii="宋体" w:hAnsi="宋体" w:eastAsia="宋体" w:cs="宋体"/>
        </w:rPr>
      </w:pPr>
      <w:r>
        <w:rPr>
          <w:rFonts w:hint="eastAsia"/>
          <w:b/>
        </w:rPr>
        <w:t>第二十一条</w:t>
      </w:r>
      <w:r>
        <w:rPr>
          <w:rFonts w:hint="eastAsia"/>
        </w:rPr>
        <w:t xml:space="preserve">  由生产经营单位负责组织调查的直接经济损失</w:t>
      </w:r>
      <w:r>
        <w:rPr>
          <w:rFonts w:hint="eastAsia" w:ascii="宋体" w:hAnsi="宋体" w:eastAsia="宋体" w:cs="宋体"/>
        </w:rPr>
        <w:t>在10万元（含本数）以上100万元以下且未造成人员死亡或者重伤的一般事故，应当在《条例》规定的时限内完成事故调查处理工作；并在事故处理工作完成之日起10个工作日内，将调查处理情况报告事故发生地安全生产监督管理部门。</w:t>
      </w:r>
    </w:p>
    <w:p w14:paraId="2105BC65">
      <w:pPr>
        <w:spacing w:line="300" w:lineRule="exact"/>
      </w:pPr>
    </w:p>
    <w:p w14:paraId="5B3352D5">
      <w:pPr>
        <w:ind w:firstLine="0" w:firstLineChars="0"/>
        <w:jc w:val="center"/>
        <w:rPr>
          <w:b/>
          <w:sz w:val="28"/>
        </w:rPr>
      </w:pPr>
      <w:r>
        <w:rPr>
          <w:rFonts w:hint="eastAsia"/>
          <w:b/>
          <w:sz w:val="28"/>
        </w:rPr>
        <w:t>第五章  法律责任</w:t>
      </w:r>
    </w:p>
    <w:p w14:paraId="041D4E83">
      <w:pPr>
        <w:spacing w:line="300" w:lineRule="exact"/>
      </w:pPr>
    </w:p>
    <w:p w14:paraId="725F7527">
      <w:pPr>
        <w:ind w:firstLine="422"/>
      </w:pPr>
      <w:r>
        <w:rPr>
          <w:rFonts w:hint="eastAsia"/>
          <w:b/>
        </w:rPr>
        <w:t>第二十二条</w:t>
      </w:r>
      <w:r>
        <w:rPr>
          <w:rFonts w:hint="eastAsia"/>
        </w:rPr>
        <w:t xml:space="preserve">  事故发生单位的有关责任人员对事故情况隐瞒不报、谎报、拖延不报和破坏事故现场，导致事故原因和责任无法查明的，认定为该单位的责任事故。</w:t>
      </w:r>
    </w:p>
    <w:p w14:paraId="0C2CA4F6">
      <w:pPr>
        <w:ind w:firstLine="422"/>
      </w:pPr>
      <w:r>
        <w:rPr>
          <w:rFonts w:hint="eastAsia"/>
          <w:b/>
        </w:rPr>
        <w:t>第二十三条</w:t>
      </w:r>
      <w:r>
        <w:rPr>
          <w:rFonts w:hint="eastAsia"/>
        </w:rPr>
        <w:t xml:space="preserve">  按照《条例》第三十八条规定处罚的，罚款数额应当符合《安全生产法》的规定。</w:t>
      </w:r>
    </w:p>
    <w:p w14:paraId="43AC61A8">
      <w:pPr>
        <w:ind w:firstLine="422"/>
        <w:rPr>
          <w:rFonts w:hint="eastAsia" w:ascii="宋体" w:hAnsi="宋体" w:eastAsia="宋体" w:cs="宋体"/>
        </w:rPr>
      </w:pPr>
      <w:r>
        <w:rPr>
          <w:rFonts w:hint="eastAsia"/>
          <w:b/>
        </w:rPr>
        <w:t>第二十四条</w:t>
      </w:r>
      <w:r>
        <w:rPr>
          <w:rFonts w:hint="eastAsia"/>
        </w:rPr>
        <w:t xml:space="preserve">  生产经营单位未对直接经济</w:t>
      </w:r>
      <w:r>
        <w:rPr>
          <w:rFonts w:hint="eastAsia" w:ascii="宋体" w:hAnsi="宋体" w:eastAsia="宋体" w:cs="宋体"/>
        </w:rPr>
        <w:t>损失10万元（含本数）以上100万元以下且未造成人员死亡或者重伤的一般事故进行调查处理的，由安全生产监督管理部门责令限期改正，并可处1万元以上3万元以下罚款。</w:t>
      </w:r>
    </w:p>
    <w:p w14:paraId="3433A24D">
      <w:pPr>
        <w:ind w:firstLine="422"/>
        <w:rPr>
          <w:rFonts w:hint="eastAsia" w:ascii="宋体" w:hAnsi="宋体" w:eastAsia="宋体" w:cs="宋体"/>
        </w:rPr>
      </w:pPr>
      <w:r>
        <w:rPr>
          <w:rFonts w:hint="eastAsia"/>
          <w:b/>
        </w:rPr>
        <w:t>第二十五条</w:t>
      </w:r>
      <w:r>
        <w:rPr>
          <w:rFonts w:hint="eastAsia"/>
        </w:rPr>
        <w:t xml:space="preserve">  事故发生单位和相关责任单位未按照本办法第二十条规定处理责任人员，落实整改措施的，由安全生产监督管理部门责令限期改正，逾期不改正的，</w:t>
      </w:r>
      <w:r>
        <w:rPr>
          <w:rFonts w:hint="eastAsia" w:ascii="宋体" w:hAnsi="宋体" w:eastAsia="宋体" w:cs="宋体"/>
        </w:rPr>
        <w:t>处1万元以上3万元以下罚款；未在规定时限内将落实人民政府的批复情况报告安全生产监督管理部门的，由安全生产监督管理部门责令限期改正，逾期不改正的，处5000元罚款。</w:t>
      </w:r>
    </w:p>
    <w:p w14:paraId="4A863F29">
      <w:pPr>
        <w:ind w:firstLine="422"/>
      </w:pPr>
      <w:r>
        <w:rPr>
          <w:rFonts w:hint="eastAsia"/>
          <w:b/>
        </w:rPr>
        <w:t>第二十六条</w:t>
      </w:r>
      <w:r>
        <w:rPr>
          <w:rFonts w:hint="eastAsia"/>
        </w:rPr>
        <w:t xml:space="preserve">  有关行政机关及其工作人员在事故调查处理工作中不履行法定职责，或者不落实人民政府批复的，由监察机关依法追究其行政责任。</w:t>
      </w:r>
    </w:p>
    <w:p w14:paraId="29768412"/>
    <w:p w14:paraId="1A4315C7">
      <w:pPr>
        <w:ind w:firstLine="0" w:firstLineChars="0"/>
        <w:jc w:val="center"/>
        <w:rPr>
          <w:b/>
          <w:sz w:val="28"/>
        </w:rPr>
      </w:pPr>
      <w:r>
        <w:rPr>
          <w:rFonts w:hint="eastAsia"/>
          <w:b/>
          <w:sz w:val="28"/>
        </w:rPr>
        <w:t>第六章  附　则</w:t>
      </w:r>
    </w:p>
    <w:p w14:paraId="51276D26"/>
    <w:p w14:paraId="1BCF4B1F">
      <w:pPr>
        <w:ind w:firstLine="422"/>
      </w:pPr>
      <w:r>
        <w:rPr>
          <w:rFonts w:hint="eastAsia"/>
          <w:b/>
        </w:rPr>
        <w:t>第二十七条</w:t>
      </w:r>
      <w:r>
        <w:rPr>
          <w:rFonts w:hint="eastAsia"/>
        </w:rPr>
        <w:t xml:space="preserve">  生产经营单位在生产经营活动中发生的其他事故，市或者区（县）人民政府认为有必要的，按照本办法规定调查处理。</w:t>
      </w:r>
    </w:p>
    <w:p w14:paraId="00D38E65">
      <w:pPr>
        <w:ind w:firstLine="422"/>
      </w:pPr>
      <w:r>
        <w:rPr>
          <w:rFonts w:hint="eastAsia"/>
          <w:b/>
        </w:rPr>
        <w:t>第二十八条</w:t>
      </w:r>
      <w:r>
        <w:rPr>
          <w:rFonts w:hint="eastAsia"/>
        </w:rPr>
        <w:t xml:space="preserve">  本</w:t>
      </w:r>
      <w:r>
        <w:rPr>
          <w:rFonts w:hint="eastAsia" w:ascii="宋体" w:hAnsi="宋体" w:eastAsia="宋体" w:cs="宋体"/>
        </w:rPr>
        <w:t>办法自2010年3月1日起施</w:t>
      </w:r>
      <w:r>
        <w:rPr>
          <w:rFonts w:hint="eastAsia"/>
        </w:rPr>
        <w:t>行。</w:t>
      </w:r>
    </w:p>
    <w:p w14:paraId="74E69D82">
      <w:pPr>
        <w:pStyle w:val="3"/>
        <w:pageBreakBefore/>
      </w:pPr>
      <w:bookmarkStart w:id="2003" w:name="_Toc428780439"/>
      <w:bookmarkStart w:id="2004" w:name="_Toc426467037"/>
      <w:bookmarkStart w:id="2005" w:name="_Toc428781785"/>
      <w:r>
        <w:rPr>
          <w:rFonts w:hint="eastAsia"/>
        </w:rPr>
        <w:t>（三）民  政</w:t>
      </w:r>
      <w:bookmarkEnd w:id="2003"/>
      <w:bookmarkEnd w:id="2004"/>
      <w:bookmarkEnd w:id="2005"/>
    </w:p>
    <w:p w14:paraId="7C9C39E9"/>
    <w:p w14:paraId="4A0BBE21">
      <w:pPr>
        <w:pStyle w:val="4"/>
      </w:pPr>
      <w:bookmarkStart w:id="2006" w:name="_Toc428780440"/>
      <w:bookmarkStart w:id="2007" w:name="_Toc426467038"/>
      <w:bookmarkStart w:id="2008" w:name="_Toc428781786"/>
      <w:r>
        <w:rPr>
          <w:rFonts w:hint="eastAsia"/>
        </w:rPr>
        <w:t>北京市殡葬管理条例</w:t>
      </w:r>
      <w:bookmarkEnd w:id="2006"/>
      <w:bookmarkEnd w:id="2007"/>
      <w:bookmarkEnd w:id="2008"/>
    </w:p>
    <w:p w14:paraId="2446CAC3">
      <w:pPr>
        <w:ind w:left="630" w:leftChars="300" w:right="630" w:rightChars="300"/>
        <w:rPr>
          <w:rFonts w:ascii="楷体" w:hAnsi="楷体" w:eastAsia="楷体"/>
        </w:rPr>
      </w:pPr>
      <w:r>
        <w:rPr>
          <w:rFonts w:hint="eastAsia" w:ascii="楷体" w:hAnsi="楷体" w:eastAsia="楷体"/>
        </w:rPr>
        <w:t>（1996年7月11日北京市第十届人民代表大会常务委员会第二十八次会议通过　根据2001年8月3日北京市第十一届人民代表大会常务委员会第二十八次会议《关于修改〈北京市殡葬管理暂行条例〉的决定》修正）</w:t>
      </w:r>
    </w:p>
    <w:p w14:paraId="1ACBFC36"/>
    <w:p w14:paraId="3B0808C3">
      <w:pPr>
        <w:ind w:firstLine="0" w:firstLineChars="0"/>
        <w:jc w:val="center"/>
        <w:rPr>
          <w:b/>
          <w:sz w:val="28"/>
        </w:rPr>
      </w:pPr>
      <w:r>
        <w:rPr>
          <w:rFonts w:hint="eastAsia"/>
          <w:b/>
          <w:sz w:val="28"/>
        </w:rPr>
        <w:t>第一章　总　则</w:t>
      </w:r>
    </w:p>
    <w:p w14:paraId="3F16A88F"/>
    <w:p w14:paraId="2FAFD256">
      <w:pPr>
        <w:ind w:firstLine="422"/>
      </w:pPr>
      <w:r>
        <w:rPr>
          <w:rFonts w:hint="eastAsia"/>
          <w:b/>
        </w:rPr>
        <w:t>第一条</w:t>
      </w:r>
      <w:r>
        <w:rPr>
          <w:rFonts w:hint="eastAsia"/>
        </w:rPr>
        <w:t xml:space="preserve">  为了加强殡葬管理，深化殡葬改革，保护土地资源和节约用地，促进首都社会主义精神文明建设，根据国家有关法律、法规，结合本市实际情况，制定本条例。</w:t>
      </w:r>
    </w:p>
    <w:p w14:paraId="05C08185">
      <w:pPr>
        <w:ind w:firstLine="422"/>
      </w:pPr>
      <w:r>
        <w:rPr>
          <w:rFonts w:hint="eastAsia"/>
          <w:b/>
        </w:rPr>
        <w:t>第二条</w:t>
      </w:r>
      <w:r>
        <w:rPr>
          <w:rFonts w:hint="eastAsia"/>
        </w:rPr>
        <w:t xml:space="preserve">  本市各级人民政府应当加强对殡葬工作的领导，把殡葬工作列入国民经济和社会发展计划。</w:t>
      </w:r>
    </w:p>
    <w:p w14:paraId="303D1842">
      <w:pPr>
        <w:ind w:firstLine="422"/>
      </w:pPr>
      <w:r>
        <w:rPr>
          <w:rFonts w:hint="eastAsia"/>
          <w:b/>
        </w:rPr>
        <w:t>第三条</w:t>
      </w:r>
      <w:r>
        <w:rPr>
          <w:rFonts w:hint="eastAsia"/>
        </w:rPr>
        <w:t xml:space="preserve">  市民政局是本市殡葬管理的主管机关，负责本条例的组织实施。各区、县民政局负责本区、县的殡葬管理工作。</w:t>
      </w:r>
    </w:p>
    <w:p w14:paraId="01640081">
      <w:r>
        <w:rPr>
          <w:rFonts w:hint="eastAsia"/>
        </w:rPr>
        <w:t>公安、工商行政、城市规划、房屋土地、卫生、环境保护等管理部门应当按照各自的职责，做好有关殡葬的管理工作。</w:t>
      </w:r>
    </w:p>
    <w:p w14:paraId="78D0192A">
      <w:pPr>
        <w:ind w:firstLine="422"/>
      </w:pPr>
      <w:r>
        <w:rPr>
          <w:rFonts w:hint="eastAsia"/>
          <w:b/>
        </w:rPr>
        <w:t>第四条</w:t>
      </w:r>
      <w:r>
        <w:rPr>
          <w:rFonts w:hint="eastAsia"/>
        </w:rPr>
        <w:t xml:space="preserve">  本市对殡葬行业实行统一管理。</w:t>
      </w:r>
    </w:p>
    <w:p w14:paraId="2F59F09F">
      <w:r>
        <w:rPr>
          <w:rFonts w:hint="eastAsia"/>
        </w:rPr>
        <w:t>本市殡葬管理工作坚持实行火葬，改革土葬，节约殡葬用地，提倡节俭、文明办丧事的方针。</w:t>
      </w:r>
    </w:p>
    <w:p w14:paraId="45D60DE8"/>
    <w:p w14:paraId="4FE878C3">
      <w:pPr>
        <w:ind w:firstLine="0" w:firstLineChars="0"/>
        <w:jc w:val="center"/>
        <w:rPr>
          <w:b/>
          <w:sz w:val="28"/>
        </w:rPr>
      </w:pPr>
      <w:r>
        <w:rPr>
          <w:rFonts w:hint="eastAsia"/>
          <w:b/>
          <w:sz w:val="28"/>
        </w:rPr>
        <w:t>第二章　丧葬管理</w:t>
      </w:r>
    </w:p>
    <w:p w14:paraId="20B3599F"/>
    <w:p w14:paraId="1C8D3DE5">
      <w:pPr>
        <w:ind w:firstLine="422"/>
      </w:pPr>
      <w:r>
        <w:rPr>
          <w:rFonts w:hint="eastAsia"/>
          <w:b/>
        </w:rPr>
        <w:t>第五条</w:t>
      </w:r>
      <w:r>
        <w:rPr>
          <w:rFonts w:hint="eastAsia"/>
        </w:rPr>
        <w:t xml:space="preserve">  本市行政区域内，除市人民政府批准的边远山区为土葬改革区以外，其他地区均为实行火葬的地区。</w:t>
      </w:r>
    </w:p>
    <w:p w14:paraId="0AE69858">
      <w:pPr>
        <w:ind w:firstLine="422"/>
      </w:pPr>
      <w:r>
        <w:rPr>
          <w:rFonts w:hint="eastAsia"/>
          <w:b/>
        </w:rPr>
        <w:t>第六条</w:t>
      </w:r>
      <w:r>
        <w:rPr>
          <w:rFonts w:hint="eastAsia"/>
        </w:rPr>
        <w:t xml:space="preserve">  殡仪馆、火葬场、骨灰堂、殡仪服务站等殡葬设施的规划、建设，依照国家有关规定执行。</w:t>
      </w:r>
    </w:p>
    <w:p w14:paraId="51D6188C">
      <w:pPr>
        <w:ind w:firstLine="422"/>
      </w:pPr>
      <w:r>
        <w:rPr>
          <w:rFonts w:hint="eastAsia"/>
          <w:b/>
        </w:rPr>
        <w:t>第七条</w:t>
      </w:r>
      <w:r>
        <w:rPr>
          <w:rFonts w:hint="eastAsia"/>
        </w:rPr>
        <w:t xml:space="preserve">  火葬地区内死者的遗体，一律实行火化。</w:t>
      </w:r>
    </w:p>
    <w:p w14:paraId="57CC070F">
      <w:r>
        <w:rPr>
          <w:rFonts w:hint="eastAsia"/>
        </w:rPr>
        <w:t>土葬改革区内死者的遗体应当在当地人民政府指定的区域内深葬。</w:t>
      </w:r>
    </w:p>
    <w:p w14:paraId="2A5CFD34">
      <w:pPr>
        <w:ind w:firstLine="422"/>
      </w:pPr>
      <w:r>
        <w:rPr>
          <w:rFonts w:hint="eastAsia"/>
          <w:b/>
        </w:rPr>
        <w:t>第八条</w:t>
      </w:r>
      <w:r>
        <w:rPr>
          <w:rFonts w:hint="eastAsia"/>
        </w:rPr>
        <w:t xml:space="preserve">  尊重少数民族的丧葬习俗。实行土葬的，应当在指定地点埋葬。对自愿实行丧葬改革的，他人不得干涉。</w:t>
      </w:r>
    </w:p>
    <w:p w14:paraId="5B5A3605">
      <w:pPr>
        <w:ind w:firstLine="422"/>
      </w:pPr>
      <w:r>
        <w:rPr>
          <w:rFonts w:hint="eastAsia"/>
          <w:b/>
        </w:rPr>
        <w:t>第九条</w:t>
      </w:r>
      <w:r>
        <w:rPr>
          <w:rFonts w:hint="eastAsia"/>
        </w:rPr>
        <w:t xml:space="preserve">  正常死亡者的遗体，凭医疗卫生机构出具的医学死亡证明火化。</w:t>
      </w:r>
    </w:p>
    <w:p w14:paraId="3A49AB1D">
      <w:r>
        <w:rPr>
          <w:rFonts w:hint="eastAsia"/>
        </w:rPr>
        <w:t>非正常死亡者的遗体和无名尸体，凭公安部门出具的死亡证明火化。</w:t>
      </w:r>
    </w:p>
    <w:p w14:paraId="21E4FDB9">
      <w:pPr>
        <w:ind w:firstLine="422"/>
      </w:pPr>
      <w:r>
        <w:rPr>
          <w:rFonts w:hint="eastAsia"/>
          <w:b/>
        </w:rPr>
        <w:t>第十条</w:t>
      </w:r>
      <w:r>
        <w:rPr>
          <w:rFonts w:hint="eastAsia"/>
        </w:rPr>
        <w:t xml:space="preserve">  火葬地区内死者的遗体应当在本市内火葬场火化，禁止运往外地。</w:t>
      </w:r>
    </w:p>
    <w:p w14:paraId="42541907">
      <w:r>
        <w:rPr>
          <w:rFonts w:hint="eastAsia"/>
        </w:rPr>
        <w:t>外地来京人员在本市死亡后因特殊原因确需运回原籍的，必须经遗体所在区、县的民政部门批准；未经批准，遗体存放单位不得放行。</w:t>
      </w:r>
    </w:p>
    <w:p w14:paraId="553783ED">
      <w:pPr>
        <w:ind w:firstLine="422"/>
      </w:pPr>
      <w:r>
        <w:rPr>
          <w:rFonts w:hint="eastAsia"/>
          <w:b/>
        </w:rPr>
        <w:t>第十一条</w:t>
      </w:r>
      <w:r>
        <w:rPr>
          <w:rFonts w:hint="eastAsia"/>
        </w:rPr>
        <w:t xml:space="preserve">  火葬地区内遗体的运送业务必须由殡仪馆承办。禁止其他单位和个人经营遗体运送业务。</w:t>
      </w:r>
    </w:p>
    <w:p w14:paraId="590F4F09">
      <w:r>
        <w:rPr>
          <w:rFonts w:hint="eastAsia"/>
        </w:rPr>
        <w:t>殡仪服务人员应当按照死者单位或者其家属预定的时间、地点接运遗体。</w:t>
      </w:r>
    </w:p>
    <w:p w14:paraId="7FED825B"/>
    <w:p w14:paraId="26E362FD">
      <w:pPr>
        <w:ind w:firstLine="0" w:firstLineChars="0"/>
        <w:jc w:val="center"/>
        <w:rPr>
          <w:b/>
          <w:sz w:val="28"/>
        </w:rPr>
      </w:pPr>
      <w:r>
        <w:rPr>
          <w:rFonts w:hint="eastAsia"/>
          <w:b/>
          <w:sz w:val="28"/>
        </w:rPr>
        <w:t>第三章　殡仪活动管理</w:t>
      </w:r>
    </w:p>
    <w:p w14:paraId="0E3C324D"/>
    <w:p w14:paraId="4A63CE5C">
      <w:pPr>
        <w:ind w:firstLine="422"/>
      </w:pPr>
      <w:r>
        <w:rPr>
          <w:rFonts w:hint="eastAsia"/>
          <w:b/>
        </w:rPr>
        <w:t>第十二条</w:t>
      </w:r>
      <w:r>
        <w:rPr>
          <w:rFonts w:hint="eastAsia"/>
        </w:rPr>
        <w:t xml:space="preserve">  禁止在殡仪活动中妨害公共秩序、危害公共安全、侵害他人合法权益。</w:t>
      </w:r>
    </w:p>
    <w:p w14:paraId="0D0A252A">
      <w:r>
        <w:rPr>
          <w:rFonts w:hint="eastAsia"/>
        </w:rPr>
        <w:t>禁止在殡仪活动中沿途抛撒纸钱。</w:t>
      </w:r>
    </w:p>
    <w:p w14:paraId="285156B1">
      <w:pPr>
        <w:ind w:firstLine="422"/>
      </w:pPr>
      <w:r>
        <w:rPr>
          <w:rFonts w:hint="eastAsia"/>
          <w:b/>
        </w:rPr>
        <w:t>第十三条</w:t>
      </w:r>
      <w:r>
        <w:rPr>
          <w:rFonts w:hint="eastAsia"/>
        </w:rPr>
        <w:t xml:space="preserve">  开展殡仪服务业务，必须经市民政局批准。</w:t>
      </w:r>
    </w:p>
    <w:p w14:paraId="6BC8EC86">
      <w:pPr>
        <w:ind w:firstLine="422"/>
      </w:pPr>
      <w:r>
        <w:rPr>
          <w:rFonts w:hint="eastAsia"/>
          <w:b/>
        </w:rPr>
        <w:t>第十四条</w:t>
      </w:r>
      <w:r>
        <w:rPr>
          <w:rFonts w:hint="eastAsia"/>
        </w:rPr>
        <w:t>　殡仪服务人员应当遵守职业道德，实行规范、文明服务，不得利用工作之便牟取私利、索要或者收受财物，不得刁难死者家属。</w:t>
      </w:r>
    </w:p>
    <w:p w14:paraId="60816174">
      <w:pPr>
        <w:ind w:firstLine="422"/>
      </w:pPr>
      <w:r>
        <w:rPr>
          <w:rFonts w:hint="eastAsia"/>
          <w:b/>
        </w:rPr>
        <w:t>第十五条</w:t>
      </w:r>
      <w:r>
        <w:rPr>
          <w:rFonts w:hint="eastAsia"/>
        </w:rPr>
        <w:t>　殡仪服务收费应当执行国家和本市的有关规定。</w:t>
      </w:r>
    </w:p>
    <w:p w14:paraId="2098B2B7"/>
    <w:p w14:paraId="7A448C46">
      <w:pPr>
        <w:ind w:firstLine="0" w:firstLineChars="0"/>
        <w:jc w:val="center"/>
        <w:rPr>
          <w:b/>
          <w:sz w:val="28"/>
        </w:rPr>
      </w:pPr>
      <w:r>
        <w:rPr>
          <w:rFonts w:hint="eastAsia"/>
          <w:b/>
          <w:sz w:val="28"/>
        </w:rPr>
        <w:t>第四章　骨灰安置与公墓管理</w:t>
      </w:r>
    </w:p>
    <w:p w14:paraId="279777D1"/>
    <w:p w14:paraId="517BB39F">
      <w:pPr>
        <w:ind w:firstLine="422"/>
      </w:pPr>
      <w:r>
        <w:rPr>
          <w:rFonts w:hint="eastAsia"/>
          <w:b/>
        </w:rPr>
        <w:t>第十六条</w:t>
      </w:r>
      <w:r>
        <w:rPr>
          <w:rFonts w:hint="eastAsia"/>
        </w:rPr>
        <w:t>　倡导深埋、播撒、存放等不占或者少占土地的方式安置骨灰；禁止将骨灰装棺埋葬。</w:t>
      </w:r>
    </w:p>
    <w:p w14:paraId="1E72AF4B">
      <w:pPr>
        <w:ind w:firstLine="422"/>
      </w:pPr>
      <w:r>
        <w:rPr>
          <w:rFonts w:hint="eastAsia"/>
          <w:b/>
        </w:rPr>
        <w:t>第十七条</w:t>
      </w:r>
      <w:r>
        <w:rPr>
          <w:rFonts w:hint="eastAsia"/>
        </w:rPr>
        <w:t>　为公民提供骨灰安置的设施，由市民政局根据实际需要统一规划、设置。</w:t>
      </w:r>
    </w:p>
    <w:p w14:paraId="51FC26CD">
      <w:r>
        <w:rPr>
          <w:rFonts w:hint="eastAsia"/>
        </w:rPr>
        <w:t>农村地区可以根据需要建立为本乡、镇村民服务的公益性骨灰堂。区、县民政局应当对公益性骨灰堂的管理进行业务指导。</w:t>
      </w:r>
    </w:p>
    <w:p w14:paraId="6F3CE31B">
      <w:pPr>
        <w:ind w:firstLine="422"/>
      </w:pPr>
      <w:r>
        <w:rPr>
          <w:rFonts w:hint="eastAsia"/>
          <w:b/>
        </w:rPr>
        <w:t>第十八条</w:t>
      </w:r>
      <w:r>
        <w:rPr>
          <w:rFonts w:hint="eastAsia"/>
        </w:rPr>
        <w:t>　本市严格控制公墓的建立。</w:t>
      </w:r>
    </w:p>
    <w:p w14:paraId="614F0FCF">
      <w:r>
        <w:rPr>
          <w:rFonts w:hint="eastAsia"/>
        </w:rPr>
        <w:t>远郊乡、镇、村建立为本地村民提供骨灰安葬的公益性公墓，应当报区、县民政局批准；市和区、县殡葬事业单位建立实行有偿服务的公墓，应当报市民政局批准。</w:t>
      </w:r>
    </w:p>
    <w:p w14:paraId="6CEF43FE">
      <w:r>
        <w:rPr>
          <w:rFonts w:hint="eastAsia"/>
        </w:rPr>
        <w:t>建立公墓必须依照法律、法规的规定到城市规划管理部门和房屋土地管理部门办理用地审批手续。</w:t>
      </w:r>
    </w:p>
    <w:p w14:paraId="08803C65">
      <w:pPr>
        <w:ind w:firstLine="422"/>
      </w:pPr>
      <w:r>
        <w:rPr>
          <w:rFonts w:hint="eastAsia"/>
          <w:b/>
        </w:rPr>
        <w:t>第十九条</w:t>
      </w:r>
      <w:r>
        <w:rPr>
          <w:rFonts w:hint="eastAsia"/>
        </w:rPr>
        <w:t>　建立公墓应当利用荒山瘠地，不得占用耕地。</w:t>
      </w:r>
    </w:p>
    <w:p w14:paraId="04AF45C6">
      <w:r>
        <w:rPr>
          <w:rFonts w:hint="eastAsia"/>
        </w:rPr>
        <w:t>禁止在文物保护区、水源保护区、自然保护区、风景名胜区和河湖（含水库）、铁路、公路隔离带内，以及城市规划的特殊地区建立公墓。</w:t>
      </w:r>
    </w:p>
    <w:p w14:paraId="325E4D72">
      <w:r>
        <w:rPr>
          <w:rFonts w:hint="eastAsia"/>
        </w:rPr>
        <w:t>禁止在公墓以外修墓立碑。</w:t>
      </w:r>
    </w:p>
    <w:p w14:paraId="572BB248">
      <w:pPr>
        <w:ind w:firstLine="422"/>
        <w:rPr>
          <w:rFonts w:hint="eastAsia" w:ascii="宋体" w:hAnsi="宋体" w:eastAsia="宋体" w:cs="宋体"/>
        </w:rPr>
      </w:pPr>
      <w:r>
        <w:rPr>
          <w:rFonts w:hint="eastAsia"/>
          <w:b/>
        </w:rPr>
        <w:t>第二十条</w:t>
      </w:r>
      <w:r>
        <w:rPr>
          <w:rFonts w:hint="eastAsia"/>
        </w:rPr>
        <w:t>　在公墓中安葬单人或者双</w:t>
      </w:r>
      <w:r>
        <w:rPr>
          <w:rFonts w:hint="eastAsia" w:ascii="宋体" w:hAnsi="宋体" w:eastAsia="宋体" w:cs="宋体"/>
        </w:rPr>
        <w:t>人骨灰的墓穴，占地面积不得超过1平方米；安葬多人骨灰的墓穴，占地面积不得超过3平方米。</w:t>
      </w:r>
    </w:p>
    <w:p w14:paraId="3A771556">
      <w:pPr>
        <w:rPr>
          <w:rFonts w:hint="eastAsia" w:ascii="宋体" w:hAnsi="宋体" w:eastAsia="宋体" w:cs="宋体"/>
        </w:rPr>
      </w:pPr>
      <w:r>
        <w:rPr>
          <w:rFonts w:hint="eastAsia" w:ascii="宋体" w:hAnsi="宋体" w:eastAsia="宋体" w:cs="宋体"/>
        </w:rPr>
        <w:t>墓穴和骨灰格位的一个使用周期最长为20年，期满后可以续租。</w:t>
      </w:r>
    </w:p>
    <w:p w14:paraId="730719E4">
      <w:pPr>
        <w:ind w:firstLine="422"/>
      </w:pPr>
      <w:r>
        <w:rPr>
          <w:rFonts w:hint="eastAsia"/>
          <w:b/>
        </w:rPr>
        <w:t>第二十一条</w:t>
      </w:r>
      <w:r>
        <w:rPr>
          <w:rFonts w:hint="eastAsia"/>
        </w:rPr>
        <w:t>　公益性公墓的管理者不得利用公益性公墓从事经营活动。</w:t>
      </w:r>
    </w:p>
    <w:p w14:paraId="4921B759">
      <w:pPr>
        <w:ind w:firstLine="422"/>
      </w:pPr>
      <w:r>
        <w:rPr>
          <w:rFonts w:hint="eastAsia"/>
          <w:b/>
        </w:rPr>
        <w:t>第二十二条</w:t>
      </w:r>
      <w:r>
        <w:rPr>
          <w:rFonts w:hint="eastAsia"/>
        </w:rPr>
        <w:t>　公墓应当凭火化证明或者其他合法证明出租墓穴和骨灰格位；禁止出租寿穴。</w:t>
      </w:r>
    </w:p>
    <w:p w14:paraId="7A992C82">
      <w:r>
        <w:rPr>
          <w:rFonts w:hint="eastAsia"/>
        </w:rPr>
        <w:t>承租人不得转让墓穴和骨灰格位。</w:t>
      </w:r>
    </w:p>
    <w:p w14:paraId="3C5F14B8">
      <w:r>
        <w:rPr>
          <w:rFonts w:hint="eastAsia"/>
        </w:rPr>
        <w:t>禁止利用墓穴和骨灰格位进行炒买炒卖等非法经营活动。</w:t>
      </w:r>
    </w:p>
    <w:p w14:paraId="20B69DB4">
      <w:pPr>
        <w:ind w:firstLine="0" w:firstLineChars="0"/>
        <w:jc w:val="center"/>
        <w:rPr>
          <w:b/>
          <w:sz w:val="28"/>
        </w:rPr>
      </w:pPr>
      <w:r>
        <w:rPr>
          <w:rFonts w:hint="eastAsia"/>
          <w:b/>
          <w:sz w:val="28"/>
        </w:rPr>
        <w:t>第五章　丧葬用品管理</w:t>
      </w:r>
    </w:p>
    <w:p w14:paraId="797365E9"/>
    <w:p w14:paraId="0682BA7C">
      <w:pPr>
        <w:ind w:firstLine="422"/>
      </w:pPr>
      <w:r>
        <w:rPr>
          <w:rFonts w:hint="eastAsia"/>
          <w:b/>
        </w:rPr>
        <w:t>第二十三条</w:t>
      </w:r>
      <w:r>
        <w:rPr>
          <w:rFonts w:hint="eastAsia"/>
        </w:rPr>
        <w:t>　民政部门对殡葬用品的生产、经营实行监督管理。从事殡葬用品生产、经营的单位或者个人，必须经区、县级以上民政局审核同意后，到工商行政管理部门申领营业执照。</w:t>
      </w:r>
    </w:p>
    <w:p w14:paraId="26040BF8">
      <w:pPr>
        <w:ind w:firstLine="422"/>
      </w:pPr>
      <w:r>
        <w:rPr>
          <w:rFonts w:hint="eastAsia"/>
          <w:b/>
        </w:rPr>
        <w:t>第二十四条</w:t>
      </w:r>
      <w:r>
        <w:rPr>
          <w:rFonts w:hint="eastAsia"/>
        </w:rPr>
        <w:t>　禁止任何单位或者个人制造、销售冥票和纸人、纸马等封建迷信殡葬用品。</w:t>
      </w:r>
    </w:p>
    <w:p w14:paraId="770BB526">
      <w:r>
        <w:rPr>
          <w:rFonts w:hint="eastAsia"/>
        </w:rPr>
        <w:t>禁止在火葬地区内生产、经营棺木。</w:t>
      </w:r>
    </w:p>
    <w:p w14:paraId="2711C697">
      <w:pPr>
        <w:ind w:firstLine="422"/>
      </w:pPr>
      <w:r>
        <w:rPr>
          <w:rFonts w:hint="eastAsia"/>
          <w:b/>
        </w:rPr>
        <w:t>第二十五条</w:t>
      </w:r>
      <w:r>
        <w:rPr>
          <w:rFonts w:hint="eastAsia"/>
        </w:rPr>
        <w:t>　经营丧葬用品应当明码标价，由市和区、县民政局会同物价、工商行政管理部门予以监督。</w:t>
      </w:r>
    </w:p>
    <w:p w14:paraId="3F757CC7"/>
    <w:p w14:paraId="46EB28DB">
      <w:pPr>
        <w:ind w:firstLine="0" w:firstLineChars="0"/>
        <w:jc w:val="center"/>
        <w:rPr>
          <w:b/>
          <w:sz w:val="28"/>
        </w:rPr>
      </w:pPr>
      <w:r>
        <w:rPr>
          <w:rFonts w:hint="eastAsia"/>
          <w:b/>
          <w:sz w:val="28"/>
        </w:rPr>
        <w:t>第六章　法律责任</w:t>
      </w:r>
    </w:p>
    <w:p w14:paraId="5E8F0599"/>
    <w:p w14:paraId="1CFA3CE7">
      <w:pPr>
        <w:ind w:firstLine="422"/>
        <w:rPr>
          <w:rFonts w:hint="eastAsia" w:ascii="宋体" w:hAnsi="宋体" w:eastAsia="宋体" w:cs="宋体"/>
        </w:rPr>
      </w:pPr>
      <w:r>
        <w:rPr>
          <w:rFonts w:hint="eastAsia"/>
          <w:b/>
        </w:rPr>
        <w:t>第二十六条</w:t>
      </w:r>
      <w:r>
        <w:rPr>
          <w:rFonts w:hint="eastAsia"/>
        </w:rPr>
        <w:t>　违反本条例第六条、第十八条的规定，擅自兴建殡仪馆、火葬场、骨灰堂、殡仪服务站和公墓的，由民政部门会同规划、土地行政管理部门予以取缔，责令恢复原状，没收违法所得，可以并处违法所</w:t>
      </w:r>
      <w:r>
        <w:rPr>
          <w:rFonts w:hint="eastAsia" w:ascii="宋体" w:hAnsi="宋体" w:eastAsia="宋体" w:cs="宋体"/>
        </w:rPr>
        <w:t>得1倍以上3倍以下的罚款。</w:t>
      </w:r>
    </w:p>
    <w:p w14:paraId="263608E1">
      <w:pPr>
        <w:ind w:firstLine="422"/>
      </w:pPr>
      <w:r>
        <w:rPr>
          <w:rFonts w:hint="eastAsia"/>
          <w:b/>
        </w:rPr>
        <w:t>第二十七条</w:t>
      </w:r>
      <w:r>
        <w:rPr>
          <w:rFonts w:hint="eastAsia"/>
        </w:rPr>
        <w:t>　违反本条例第七条第一款、第十九条第三款的规定，火葬地区内死者的遗体不实行火化，或者在公墓以外修墓立碑的，由民政部门责令限期改正；拒不改正的，可以强制执行。</w:t>
      </w:r>
    </w:p>
    <w:p w14:paraId="31634C9C">
      <w:pPr>
        <w:ind w:firstLine="422"/>
      </w:pPr>
      <w:r>
        <w:rPr>
          <w:rFonts w:hint="eastAsia"/>
          <w:b/>
        </w:rPr>
        <w:t>第二十八条</w:t>
      </w:r>
      <w:r>
        <w:rPr>
          <w:rFonts w:hint="eastAsia"/>
        </w:rPr>
        <w:t>　违反本条例第十条第二款的规定，擅自放行未获外运批准的遗体的，由民政部门对擅自放行的遗体存放单位</w:t>
      </w:r>
      <w:r>
        <w:rPr>
          <w:rFonts w:hint="eastAsia" w:ascii="宋体" w:hAnsi="宋体" w:eastAsia="宋体" w:cs="宋体"/>
        </w:rPr>
        <w:t>处以500元以上3000元以下的罚款。</w:t>
      </w:r>
    </w:p>
    <w:p w14:paraId="7AEA1582">
      <w:pPr>
        <w:ind w:firstLine="422"/>
      </w:pPr>
      <w:r>
        <w:rPr>
          <w:rFonts w:hint="eastAsia"/>
          <w:b/>
        </w:rPr>
        <w:t>第二十九条</w:t>
      </w:r>
      <w:r>
        <w:rPr>
          <w:rFonts w:hint="eastAsia"/>
        </w:rPr>
        <w:t>　违反本条例第十二条第一款的规定，在殡仪活动中有妨害公共秩序、危害公共安全、侵害他人合法权益行为的，民政部门应当予以制止；违反治安管理的，由公安机关依照《中华人民共和国治安管理处罚条例》给予处罚；构成犯罪的，依法追究刑事责任。</w:t>
      </w:r>
    </w:p>
    <w:p w14:paraId="2784F96C">
      <w:pPr>
        <w:ind w:firstLine="422"/>
        <w:rPr>
          <w:rFonts w:hint="eastAsia" w:ascii="宋体" w:hAnsi="宋体" w:eastAsia="宋体" w:cs="宋体"/>
        </w:rPr>
      </w:pPr>
      <w:r>
        <w:rPr>
          <w:rFonts w:hint="eastAsia"/>
          <w:b/>
        </w:rPr>
        <w:t>第三十条</w:t>
      </w:r>
      <w:r>
        <w:rPr>
          <w:rFonts w:hint="eastAsia"/>
        </w:rPr>
        <w:t>　违反本条例第十三条的规定，未经市民政局批准开展殡仪服务业务的，由民政部门责令限期改正，没收违法所得，并</w:t>
      </w:r>
      <w:r>
        <w:rPr>
          <w:rFonts w:hint="eastAsia" w:ascii="宋体" w:hAnsi="宋体" w:eastAsia="宋体" w:cs="宋体"/>
        </w:rPr>
        <w:t>处以1000元以上5000元以下的罚款。</w:t>
      </w:r>
    </w:p>
    <w:p w14:paraId="2DAC371C">
      <w:pPr>
        <w:ind w:firstLine="422"/>
      </w:pPr>
      <w:r>
        <w:rPr>
          <w:rFonts w:hint="eastAsia"/>
          <w:b/>
        </w:rPr>
        <w:t>第三十一条</w:t>
      </w:r>
      <w:r>
        <w:rPr>
          <w:rFonts w:hint="eastAsia"/>
        </w:rPr>
        <w:t>　违反本条例第十四条的规定，殡仪服务人员不按规定履行服务职责以及利用工作之便牟取私利、索要或者收受财物，刁难死者家属的，由所在单位或者其上级主管部门责令改正，退还索要、收受的财物，根据情节给予行政处分。</w:t>
      </w:r>
    </w:p>
    <w:p w14:paraId="7EEA3DA6">
      <w:pPr>
        <w:ind w:firstLine="422"/>
        <w:rPr>
          <w:rFonts w:hint="eastAsia" w:ascii="宋体" w:hAnsi="宋体" w:eastAsia="宋体" w:cs="宋体"/>
        </w:rPr>
      </w:pPr>
      <w:r>
        <w:rPr>
          <w:rFonts w:hint="eastAsia"/>
          <w:b/>
        </w:rPr>
        <w:t>第三十二条</w:t>
      </w:r>
      <w:r>
        <w:rPr>
          <w:rFonts w:hint="eastAsia"/>
        </w:rPr>
        <w:t>　违反本条例第二十条第一款的规定，墓穴占地面积超过规定标准的，由民政部门责令限期改正，没收违法所得，可以</w:t>
      </w:r>
      <w:r>
        <w:rPr>
          <w:rFonts w:hint="eastAsia" w:ascii="宋体" w:hAnsi="宋体" w:eastAsia="宋体" w:cs="宋体"/>
        </w:rPr>
        <w:t>并处违法所得1倍以上3倍以下的罚款。</w:t>
      </w:r>
    </w:p>
    <w:p w14:paraId="3C99D016">
      <w:pPr>
        <w:ind w:firstLine="422"/>
        <w:rPr>
          <w:rFonts w:hint="eastAsia" w:ascii="宋体" w:hAnsi="宋体" w:eastAsia="宋体" w:cs="宋体"/>
        </w:rPr>
      </w:pPr>
      <w:r>
        <w:rPr>
          <w:rFonts w:hint="eastAsia"/>
          <w:b/>
        </w:rPr>
        <w:t>第三十三条</w:t>
      </w:r>
      <w:r>
        <w:rPr>
          <w:rFonts w:hint="eastAsia"/>
        </w:rPr>
        <w:t>　违反本条例第二十一条的规定，利用公益性公墓从事经营活动的，由民政部门没收违法所得；情节严重的</w:t>
      </w:r>
      <w:r>
        <w:rPr>
          <w:rFonts w:hint="eastAsia" w:ascii="宋体" w:hAnsi="宋体" w:eastAsia="宋体" w:cs="宋体"/>
        </w:rPr>
        <w:t>，处以5000元以上10000元以下的罚款。</w:t>
      </w:r>
    </w:p>
    <w:p w14:paraId="430F1844">
      <w:pPr>
        <w:ind w:firstLine="422"/>
        <w:rPr>
          <w:rFonts w:hint="eastAsia" w:ascii="宋体" w:hAnsi="宋体" w:eastAsia="宋体" w:cs="宋体"/>
        </w:rPr>
      </w:pPr>
      <w:r>
        <w:rPr>
          <w:rFonts w:hint="eastAsia"/>
          <w:b/>
        </w:rPr>
        <w:t>第三十四条</w:t>
      </w:r>
      <w:r>
        <w:rPr>
          <w:rFonts w:hint="eastAsia"/>
        </w:rPr>
        <w:t>　违反本条例第二十二条的规定，出租寿穴或者炒买炒卖墓穴和骨灰格位的，由民政部门会同工商行政管理部门责令停止违法活动，限期改正；逾期拒不改正的，由工商行政管理部门没收违法所得，可以并处违法所</w:t>
      </w:r>
      <w:r>
        <w:rPr>
          <w:rFonts w:hint="eastAsia" w:ascii="宋体" w:hAnsi="宋体" w:eastAsia="宋体" w:cs="宋体"/>
        </w:rPr>
        <w:t>得1倍以上3倍以下的罚款。</w:t>
      </w:r>
    </w:p>
    <w:p w14:paraId="50FAE525">
      <w:pPr>
        <w:ind w:firstLine="422"/>
      </w:pPr>
      <w:r>
        <w:rPr>
          <w:rFonts w:hint="eastAsia"/>
          <w:b/>
        </w:rPr>
        <w:t>第三十五条</w:t>
      </w:r>
      <w:r>
        <w:rPr>
          <w:rFonts w:hint="eastAsia"/>
        </w:rPr>
        <w:t>　违反本条例第二十四条第一款的规定，制造、销售封建迷信殡葬用品的，由民政部门会同工商行政管理部门予以没收，可以并处制造、销售金</w:t>
      </w:r>
      <w:r>
        <w:rPr>
          <w:rFonts w:hint="eastAsia" w:ascii="宋体" w:hAnsi="宋体" w:eastAsia="宋体" w:cs="宋体"/>
        </w:rPr>
        <w:t>额1倍以上3倍以</w:t>
      </w:r>
      <w:r>
        <w:rPr>
          <w:rFonts w:hint="eastAsia"/>
        </w:rPr>
        <w:t>下的罚款。</w:t>
      </w:r>
    </w:p>
    <w:p w14:paraId="35048D56">
      <w:pPr>
        <w:ind w:firstLine="422"/>
      </w:pPr>
      <w:r>
        <w:rPr>
          <w:rFonts w:hint="eastAsia"/>
          <w:b/>
        </w:rPr>
        <w:t>第三十六条</w:t>
      </w:r>
      <w:r>
        <w:rPr>
          <w:rFonts w:hint="eastAsia"/>
        </w:rPr>
        <w:t>　违反本条例第二十四条第二款的规定，在火葬区内生产、经营棺木的，由民政部门责令停止生产、经营，没收棺木以及违法所得，</w:t>
      </w:r>
      <w:r>
        <w:rPr>
          <w:rFonts w:hint="eastAsia" w:ascii="宋体" w:hAnsi="宋体" w:eastAsia="宋体" w:cs="宋体"/>
        </w:rPr>
        <w:t>并处以500元以上1000元以</w:t>
      </w:r>
      <w:r>
        <w:rPr>
          <w:rFonts w:hint="eastAsia"/>
        </w:rPr>
        <w:t>下的罚款。</w:t>
      </w:r>
    </w:p>
    <w:p w14:paraId="6225C03B">
      <w:pPr>
        <w:ind w:firstLine="422"/>
      </w:pPr>
      <w:r>
        <w:rPr>
          <w:rFonts w:hint="eastAsia"/>
          <w:b/>
        </w:rPr>
        <w:t>第三十七条</w:t>
      </w:r>
      <w:r>
        <w:rPr>
          <w:rFonts w:hint="eastAsia"/>
        </w:rPr>
        <w:t>　违反本条例，属于违反工商行政、物价、城市规划、房屋土地、卫生、环境卫生、环境保护等管理方面法律、法规和规章的，由有关主管部门依法处理。</w:t>
      </w:r>
    </w:p>
    <w:p w14:paraId="6D3BD4F7">
      <w:pPr>
        <w:ind w:firstLine="422"/>
      </w:pPr>
      <w:r>
        <w:rPr>
          <w:rFonts w:hint="eastAsia"/>
          <w:b/>
        </w:rPr>
        <w:t>第三十八条</w:t>
      </w:r>
      <w:r>
        <w:rPr>
          <w:rFonts w:hint="eastAsia"/>
        </w:rPr>
        <w:t>　当事人对行政处罚决定不服的，可以依法申请复议或者向人民法院提起诉讼。当事人逾期不申请复议，也不提起诉讼，又不履行处罚决定的，由作出处罚决定的机关申请人民法院强制执行。</w:t>
      </w:r>
    </w:p>
    <w:p w14:paraId="5DFC78A7">
      <w:pPr>
        <w:ind w:firstLine="422"/>
      </w:pPr>
      <w:r>
        <w:rPr>
          <w:rFonts w:hint="eastAsia"/>
          <w:b/>
        </w:rPr>
        <w:t>第三十九条</w:t>
      </w:r>
      <w:r>
        <w:rPr>
          <w:rFonts w:hint="eastAsia"/>
        </w:rPr>
        <w:t>　对拒绝、阻碍殡葬管理工作人员依法执行职务或者侮辱、欧打管理工作人员的，由公安机关依照《中华人民共和国治安管理处罚条例》给予处罚；构成犯罪的，依法追究刑事责任。</w:t>
      </w:r>
    </w:p>
    <w:p w14:paraId="2A16DE81">
      <w:pPr>
        <w:ind w:firstLine="422"/>
      </w:pPr>
      <w:r>
        <w:rPr>
          <w:rFonts w:hint="eastAsia"/>
          <w:b/>
        </w:rPr>
        <w:t>第四十条</w:t>
      </w:r>
      <w:r>
        <w:rPr>
          <w:rFonts w:hint="eastAsia"/>
        </w:rPr>
        <w:t>　殡葬管理工作人员玩忽职守、滥用职权、徇私舞弊的，由其所在单位或者上级主管机关给予行政处分；构成犯罪的，依法追究刑事责任。</w:t>
      </w:r>
    </w:p>
    <w:p w14:paraId="1B20430F"/>
    <w:p w14:paraId="56026609">
      <w:pPr>
        <w:ind w:firstLine="0" w:firstLineChars="0"/>
        <w:jc w:val="center"/>
        <w:rPr>
          <w:b/>
          <w:sz w:val="28"/>
        </w:rPr>
      </w:pPr>
      <w:r>
        <w:rPr>
          <w:rFonts w:hint="eastAsia"/>
          <w:b/>
          <w:sz w:val="28"/>
        </w:rPr>
        <w:t>第七章　附　则</w:t>
      </w:r>
    </w:p>
    <w:p w14:paraId="7FB972D4"/>
    <w:p w14:paraId="0D514C38">
      <w:pPr>
        <w:ind w:firstLine="422"/>
      </w:pPr>
      <w:r>
        <w:rPr>
          <w:rFonts w:hint="eastAsia"/>
          <w:b/>
        </w:rPr>
        <w:t>第四十一条</w:t>
      </w:r>
      <w:r>
        <w:rPr>
          <w:rFonts w:hint="eastAsia"/>
        </w:rPr>
        <w:t>　华侨、香港特别行政区居民、澳门特别行政区居民和台湾同胞以及外国人的殡葬事宜，按照国家有关规定执行。</w:t>
      </w:r>
    </w:p>
    <w:p w14:paraId="7DC94D3D">
      <w:pPr>
        <w:ind w:firstLine="422"/>
      </w:pPr>
      <w:r>
        <w:rPr>
          <w:rFonts w:hint="eastAsia"/>
          <w:b/>
        </w:rPr>
        <w:t>第四十二条</w:t>
      </w:r>
      <w:r>
        <w:rPr>
          <w:rFonts w:hint="eastAsia"/>
        </w:rPr>
        <w:t>　本条例具体应用中的问题，由市民政局负责解释。</w:t>
      </w:r>
    </w:p>
    <w:p w14:paraId="51CC1376">
      <w:pPr>
        <w:ind w:firstLine="422"/>
        <w:rPr>
          <w:rFonts w:hint="eastAsia" w:ascii="宋体" w:hAnsi="宋体" w:eastAsia="宋体" w:cs="宋体"/>
        </w:rPr>
      </w:pPr>
      <w:r>
        <w:rPr>
          <w:rFonts w:hint="eastAsia"/>
          <w:b/>
        </w:rPr>
        <w:t>第四十三条</w:t>
      </w:r>
      <w:r>
        <w:rPr>
          <w:rFonts w:hint="eastAsia"/>
        </w:rPr>
        <w:t>　本条例</w:t>
      </w:r>
      <w:r>
        <w:rPr>
          <w:rFonts w:hint="eastAsia" w:ascii="宋体" w:hAnsi="宋体" w:eastAsia="宋体" w:cs="宋体"/>
        </w:rPr>
        <w:t>自1996年10月1日起施行。</w:t>
      </w:r>
    </w:p>
    <w:p w14:paraId="33D79005">
      <w:pPr>
        <w:pStyle w:val="4"/>
        <w:pageBreakBefore/>
      </w:pPr>
      <w:bookmarkStart w:id="2009" w:name="_Toc426467039"/>
      <w:bookmarkStart w:id="2010" w:name="_Toc428780441"/>
      <w:bookmarkStart w:id="2011" w:name="_Toc428781787"/>
      <w:r>
        <w:rPr>
          <w:rFonts w:hint="eastAsia"/>
        </w:rPr>
        <w:t>北京市见义勇为人员奖励和保护条例</w:t>
      </w:r>
      <w:bookmarkEnd w:id="2009"/>
      <w:bookmarkEnd w:id="2010"/>
      <w:bookmarkEnd w:id="2011"/>
    </w:p>
    <w:p w14:paraId="3EA01DBC">
      <w:pPr>
        <w:ind w:left="630" w:leftChars="300" w:right="630" w:rightChars="300"/>
        <w:rPr>
          <w:rFonts w:ascii="楷体" w:hAnsi="楷体" w:eastAsia="楷体"/>
        </w:rPr>
      </w:pPr>
      <w:r>
        <w:rPr>
          <w:rFonts w:hint="eastAsia" w:ascii="楷体" w:hAnsi="楷体" w:eastAsia="楷体"/>
        </w:rPr>
        <w:t>（2000年4月21日北京市第十一届人民代表大会常务委员会第十八次会议通过）</w:t>
      </w:r>
    </w:p>
    <w:p w14:paraId="590C2C73"/>
    <w:p w14:paraId="4648DCDD">
      <w:pPr>
        <w:ind w:firstLine="422"/>
      </w:pPr>
      <w:r>
        <w:rPr>
          <w:rFonts w:hint="eastAsia"/>
          <w:b/>
        </w:rPr>
        <w:t>第一条</w:t>
      </w:r>
      <w:r>
        <w:rPr>
          <w:rFonts w:hint="eastAsia"/>
        </w:rPr>
        <w:t xml:space="preserve">  为了奖励和保护见义勇为人员，弘扬社会正气，加强社会主义精神文明建设，根据有关法律、法规，结合本市实际情况，制定本条例。</w:t>
      </w:r>
    </w:p>
    <w:p w14:paraId="2CAD3D64">
      <w:pPr>
        <w:ind w:firstLine="422"/>
      </w:pPr>
      <w:r>
        <w:rPr>
          <w:rFonts w:hint="eastAsia"/>
          <w:b/>
        </w:rPr>
        <w:t>第二条</w:t>
      </w:r>
      <w:r>
        <w:rPr>
          <w:rFonts w:hint="eastAsia"/>
        </w:rPr>
        <w:t xml:space="preserve">  本条例所称见义勇为，是指为保护国家、集体利益或者他人的人身、财产安全，不顾个人安危，与正在发生的违法犯罪作斗争或者抢险救灾的行为。</w:t>
      </w:r>
    </w:p>
    <w:p w14:paraId="4DE58E8E">
      <w:pPr>
        <w:ind w:firstLine="422"/>
      </w:pPr>
      <w:r>
        <w:rPr>
          <w:rFonts w:hint="eastAsia"/>
          <w:b/>
        </w:rPr>
        <w:t>第三条</w:t>
      </w:r>
      <w:r>
        <w:rPr>
          <w:rFonts w:hint="eastAsia"/>
        </w:rPr>
        <w:t xml:space="preserve">  本条例适用于本市行政区域内本市公民见义勇为行为的奖励和保护。</w:t>
      </w:r>
    </w:p>
    <w:p w14:paraId="3A989F4F">
      <w:r>
        <w:rPr>
          <w:rFonts w:hint="eastAsia"/>
        </w:rPr>
        <w:t>非本市人员在本市行政区域内见义勇为，或者本市公民在本市行政区域外见义勇为，参照本条例予以奖励和保护。</w:t>
      </w:r>
    </w:p>
    <w:p w14:paraId="235879F5">
      <w:pPr>
        <w:ind w:firstLine="422"/>
      </w:pPr>
      <w:r>
        <w:rPr>
          <w:rFonts w:hint="eastAsia"/>
          <w:b/>
        </w:rPr>
        <w:t>第四条</w:t>
      </w:r>
      <w:r>
        <w:rPr>
          <w:rFonts w:hint="eastAsia"/>
        </w:rPr>
        <w:t xml:space="preserve">  本市奖励见义勇为人员，保护其合法权益。全社会应当关心和支持见义勇为人员。</w:t>
      </w:r>
    </w:p>
    <w:p w14:paraId="276955B4">
      <w:pPr>
        <w:ind w:firstLine="422"/>
      </w:pPr>
      <w:r>
        <w:rPr>
          <w:rFonts w:hint="eastAsia"/>
          <w:b/>
        </w:rPr>
        <w:t>第五条</w:t>
      </w:r>
      <w:r>
        <w:rPr>
          <w:rFonts w:hint="eastAsia"/>
        </w:rPr>
        <w:t xml:space="preserve">  新闻宣传部门应当及时宣传见义勇为事迹，报道奖励和保护见义勇为人员的活动。</w:t>
      </w:r>
    </w:p>
    <w:p w14:paraId="63023CED">
      <w:pPr>
        <w:ind w:firstLine="422"/>
      </w:pPr>
      <w:r>
        <w:rPr>
          <w:rFonts w:hint="eastAsia"/>
          <w:b/>
        </w:rPr>
        <w:t>第六条</w:t>
      </w:r>
      <w:r>
        <w:rPr>
          <w:rFonts w:hint="eastAsia"/>
        </w:rPr>
        <w:t xml:space="preserve">  奖励和保护见义勇为人员的工作由市和区、县人民政府负责，日常工作由民政部门办理，其他有关部门密切配合。</w:t>
      </w:r>
    </w:p>
    <w:p w14:paraId="143591D6">
      <w:pPr>
        <w:ind w:firstLine="422"/>
      </w:pPr>
      <w:r>
        <w:rPr>
          <w:rFonts w:hint="eastAsia"/>
          <w:b/>
        </w:rPr>
        <w:t>第七条</w:t>
      </w:r>
      <w:r>
        <w:rPr>
          <w:rFonts w:hint="eastAsia"/>
        </w:rPr>
        <w:t xml:space="preserve">  市和区、县依法设立见义勇为基金会或者见义勇为基金（基金会的基金和见义勇为基金以下统称见义勇为基金）。</w:t>
      </w:r>
    </w:p>
    <w:p w14:paraId="542CE4AC">
      <w:r>
        <w:rPr>
          <w:rFonts w:hint="eastAsia"/>
        </w:rPr>
        <w:t>见义勇为基金用于对见义勇为人员的奖励和见义勇为伤残人员的资助以及其他费用。基金的使用和管理依法接受有关部门和社会的监督。</w:t>
      </w:r>
    </w:p>
    <w:p w14:paraId="7BF51DFC">
      <w:r>
        <w:rPr>
          <w:rFonts w:hint="eastAsia"/>
        </w:rPr>
        <w:t>本市鼓励单位和个人向见义勇为基金会捐赠。</w:t>
      </w:r>
    </w:p>
    <w:p w14:paraId="6A66AED6">
      <w:pPr>
        <w:ind w:firstLine="422"/>
      </w:pPr>
      <w:r>
        <w:rPr>
          <w:rFonts w:hint="eastAsia"/>
          <w:b/>
        </w:rPr>
        <w:t>第八条</w:t>
      </w:r>
      <w:r>
        <w:rPr>
          <w:rFonts w:hint="eastAsia"/>
        </w:rPr>
        <w:t xml:space="preserve">  区、县民政部门接到组织或者个人关于见义勇为情况的反映或者申请，应当及时组织核实、确认。了解情况的组织和公民应当积极配合核实和确认工作。</w:t>
      </w:r>
    </w:p>
    <w:p w14:paraId="3355BBAC">
      <w:r>
        <w:rPr>
          <w:rFonts w:hint="eastAsia"/>
        </w:rPr>
        <w:t>见义勇为的受益人有责任为见义勇为的确认提供证明。</w:t>
      </w:r>
    </w:p>
    <w:p w14:paraId="55C1F62D">
      <w:pPr>
        <w:ind w:firstLine="422"/>
      </w:pPr>
      <w:r>
        <w:rPr>
          <w:rFonts w:hint="eastAsia"/>
          <w:b/>
        </w:rPr>
        <w:t>第九条</w:t>
      </w:r>
      <w:r>
        <w:rPr>
          <w:rFonts w:hint="eastAsia"/>
        </w:rPr>
        <w:t xml:space="preserve">  各级人民政府和机关、团体、企业事业单位，对见义勇为人员应当给予奖励。</w:t>
      </w:r>
    </w:p>
    <w:p w14:paraId="0AA74131">
      <w:r>
        <w:rPr>
          <w:rFonts w:hint="eastAsia"/>
        </w:rPr>
        <w:t>奖励实行精神奖励和物质奖励相结合的原则。</w:t>
      </w:r>
    </w:p>
    <w:p w14:paraId="6FA4F88F">
      <w:pPr>
        <w:ind w:firstLine="422"/>
      </w:pPr>
      <w:r>
        <w:rPr>
          <w:rFonts w:hint="eastAsia"/>
          <w:b/>
        </w:rPr>
        <w:t>第十条</w:t>
      </w:r>
      <w:r>
        <w:rPr>
          <w:rFonts w:hint="eastAsia"/>
        </w:rPr>
        <w:t xml:space="preserve">  对事迹突出的见义勇为人员，由区、县人民政府决定授予“见义勇为积极分子”称号；对事迹特别突出的，经区、县人民政府推荐，由市人民政府决定授予“首都见义勇为好市民”称号。</w:t>
      </w:r>
    </w:p>
    <w:p w14:paraId="24C32A47">
      <w:r>
        <w:rPr>
          <w:rFonts w:hint="eastAsia"/>
        </w:rPr>
        <w:t>对被授予荣誉称号的见义勇为人员，给予物质奖励。</w:t>
      </w:r>
    </w:p>
    <w:p w14:paraId="6D4C7C3C">
      <w:pPr>
        <w:ind w:firstLine="422"/>
      </w:pPr>
      <w:r>
        <w:rPr>
          <w:rFonts w:hint="eastAsia"/>
          <w:b/>
        </w:rPr>
        <w:t>第十一条</w:t>
      </w:r>
      <w:r>
        <w:rPr>
          <w:rFonts w:hint="eastAsia"/>
        </w:rPr>
        <w:t xml:space="preserve">  公民对见义勇为要给予支持和帮助，对见义勇为负伤人员要及时送往医疗机构，医疗机构应当及时组织救治。</w:t>
      </w:r>
    </w:p>
    <w:p w14:paraId="08F930DB">
      <w:pPr>
        <w:ind w:firstLine="422"/>
      </w:pPr>
      <w:r>
        <w:rPr>
          <w:rFonts w:hint="eastAsia"/>
          <w:b/>
        </w:rPr>
        <w:t>第十二条</w:t>
      </w:r>
      <w:r>
        <w:rPr>
          <w:rFonts w:hint="eastAsia"/>
        </w:rPr>
        <w:t xml:space="preserve">  救治见义勇为负伤人员的费用，有工作单位的，由所在工作单位暂付；工作单位无力暂付或者无工作单位的，从见义勇为基金中暂付；紧急情况下，由医疗机构垫付。</w:t>
      </w:r>
    </w:p>
    <w:p w14:paraId="2C2492B7">
      <w:pPr>
        <w:ind w:firstLine="422"/>
      </w:pPr>
      <w:r>
        <w:rPr>
          <w:rFonts w:hint="eastAsia"/>
          <w:b/>
        </w:rPr>
        <w:t>第十三条</w:t>
      </w:r>
      <w:r>
        <w:rPr>
          <w:rFonts w:hint="eastAsia"/>
        </w:rPr>
        <w:t xml:space="preserve">  见义勇为负伤人员的医疗费用分别不同情况采取下列办法解决：</w:t>
      </w:r>
    </w:p>
    <w:p w14:paraId="1C834245">
      <w:r>
        <w:rPr>
          <w:rFonts w:hint="eastAsia"/>
        </w:rPr>
        <w:t>（一）由加害人依法承担；</w:t>
      </w:r>
    </w:p>
    <w:p w14:paraId="7973ACB1">
      <w:r>
        <w:rPr>
          <w:rFonts w:hint="eastAsia"/>
        </w:rPr>
        <w:t>（二）由社会保险机构按规定支付；</w:t>
      </w:r>
    </w:p>
    <w:p w14:paraId="326478B7">
      <w:r>
        <w:rPr>
          <w:rFonts w:hint="eastAsia"/>
        </w:rPr>
        <w:t>（三）由所在工作单位提供的资助。</w:t>
      </w:r>
    </w:p>
    <w:p w14:paraId="57CDDBEA">
      <w:r>
        <w:rPr>
          <w:rFonts w:hint="eastAsia"/>
        </w:rPr>
        <w:t>依照前款各项规定解决的不足部分或者均不能负担时，从见义勇为基金中支付。</w:t>
      </w:r>
    </w:p>
    <w:p w14:paraId="174D5443">
      <w:pPr>
        <w:ind w:firstLine="422"/>
      </w:pPr>
      <w:r>
        <w:rPr>
          <w:rFonts w:hint="eastAsia"/>
          <w:b/>
        </w:rPr>
        <w:t>第十四条</w:t>
      </w:r>
      <w:r>
        <w:rPr>
          <w:rFonts w:hint="eastAsia"/>
        </w:rPr>
        <w:t xml:space="preserve">  见义勇为负伤人员医疗期间，属于机关、团体和事业单位职工的，应当视为正常出勤，所在工作单位不得因此扣减其工资、奖金和降低其福利待遇；属于企业职工的，依照本市有关企业劳动者工伤保险的规定享受工伤津贴；无工作单位的，从区、县见义勇为基金中给予经济补助。</w:t>
      </w:r>
    </w:p>
    <w:p w14:paraId="6DB7191C">
      <w:pPr>
        <w:ind w:firstLine="422"/>
      </w:pPr>
      <w:r>
        <w:rPr>
          <w:rFonts w:hint="eastAsia"/>
          <w:b/>
        </w:rPr>
        <w:t>第十五条</w:t>
      </w:r>
      <w:r>
        <w:rPr>
          <w:rFonts w:hint="eastAsia"/>
        </w:rPr>
        <w:t xml:space="preserve">  因见义勇为致残的，其伤残等级由有关部门依法评定，伤残待遇依照国家有关因公（工）负伤人员的规定办理。</w:t>
      </w:r>
    </w:p>
    <w:p w14:paraId="06CDF8C7">
      <w:pPr>
        <w:ind w:firstLine="422"/>
      </w:pPr>
      <w:r>
        <w:rPr>
          <w:rFonts w:hint="eastAsia"/>
          <w:b/>
        </w:rPr>
        <w:t>第十六条</w:t>
      </w:r>
      <w:r>
        <w:rPr>
          <w:rFonts w:hint="eastAsia"/>
        </w:rPr>
        <w:t xml:space="preserve">  因见义勇为牺牲的，其抚恤按照国家有关因公（工）死亡规定办理；按照国家有关规定批准为革命烈士的，其家属享受烈属待遇。</w:t>
      </w:r>
    </w:p>
    <w:p w14:paraId="3085E874">
      <w:pPr>
        <w:ind w:firstLine="422"/>
      </w:pPr>
      <w:r>
        <w:rPr>
          <w:rFonts w:hint="eastAsia"/>
          <w:b/>
        </w:rPr>
        <w:t>第十七条</w:t>
      </w:r>
      <w:r>
        <w:rPr>
          <w:rFonts w:hint="eastAsia"/>
        </w:rPr>
        <w:t xml:space="preserve">  对因见义勇为牺牲或者致残丧失劳动能力的人员，其家属没有生活来源的，所在区、县人民政府应当采取帮助其家庭成员就业等增加收入的措施解决。</w:t>
      </w:r>
    </w:p>
    <w:p w14:paraId="0F18AFA3">
      <w:pPr>
        <w:ind w:firstLine="422"/>
      </w:pPr>
      <w:r>
        <w:rPr>
          <w:rFonts w:hint="eastAsia"/>
          <w:b/>
        </w:rPr>
        <w:t>第十八条</w:t>
      </w:r>
      <w:r>
        <w:rPr>
          <w:rFonts w:hint="eastAsia"/>
        </w:rPr>
        <w:t xml:space="preserve">  见义勇为牺牲人员的家属、致残人员及其家属，在支付住房租金、医疗费、子女上学费用等方面有实际困难的，由所在区、县人民政府给予经济补助。</w:t>
      </w:r>
    </w:p>
    <w:p w14:paraId="60E91FCE">
      <w:pPr>
        <w:ind w:firstLine="422"/>
      </w:pPr>
      <w:r>
        <w:rPr>
          <w:rFonts w:hint="eastAsia"/>
          <w:b/>
        </w:rPr>
        <w:t>第十九条</w:t>
      </w:r>
      <w:r>
        <w:rPr>
          <w:rFonts w:hint="eastAsia"/>
        </w:rPr>
        <w:t xml:space="preserve">  获得区、县级以上人民政府见义勇为荣誉称号的人员，在同等条件下，享有就业、入学、入伍等优先待遇。</w:t>
      </w:r>
    </w:p>
    <w:p w14:paraId="78E473C4">
      <w:pPr>
        <w:ind w:firstLine="422"/>
      </w:pPr>
      <w:r>
        <w:rPr>
          <w:rFonts w:hint="eastAsia"/>
          <w:b/>
        </w:rPr>
        <w:t>第二十条</w:t>
      </w:r>
      <w:r>
        <w:rPr>
          <w:rFonts w:hint="eastAsia"/>
        </w:rPr>
        <w:t xml:space="preserve">  见义勇为人员及其家属因见义勇为受到打击报复，人身、财产安全受到威胁，公安机关应当采取有效措施予以保护。</w:t>
      </w:r>
    </w:p>
    <w:p w14:paraId="43675F25">
      <w:r>
        <w:rPr>
          <w:rFonts w:hint="eastAsia"/>
        </w:rPr>
        <w:t>打击报复见义勇为人员的，由有关机关依法处理。</w:t>
      </w:r>
    </w:p>
    <w:p w14:paraId="7260A3B4">
      <w:pPr>
        <w:ind w:firstLine="422"/>
      </w:pPr>
      <w:r>
        <w:rPr>
          <w:rFonts w:hint="eastAsia"/>
          <w:b/>
        </w:rPr>
        <w:t>第二十一条</w:t>
      </w:r>
      <w:r>
        <w:rPr>
          <w:rFonts w:hint="eastAsia"/>
        </w:rPr>
        <w:t xml:space="preserve">  负有奖励和保护见义勇为人员职责的部门及其工作人员在工作中弄虚作假、徇私舞弊、玩忽职守、滥用职权的，由主管部门对责任人员给予行政处分；构成犯罪的，依法追究刑事责任。</w:t>
      </w:r>
    </w:p>
    <w:p w14:paraId="7A47847E">
      <w:pPr>
        <w:ind w:firstLine="422"/>
      </w:pPr>
      <w:r>
        <w:rPr>
          <w:rFonts w:hint="eastAsia"/>
          <w:b/>
        </w:rPr>
        <w:t>第二十二条</w:t>
      </w:r>
      <w:r>
        <w:rPr>
          <w:rFonts w:hint="eastAsia"/>
        </w:rPr>
        <w:t xml:space="preserve">  为履行法定职责或者义务实施了本条例第二条规定的行为的，按照其他有关规定予以奖励和保护。</w:t>
      </w:r>
    </w:p>
    <w:p w14:paraId="036DA704">
      <w:pPr>
        <w:ind w:firstLine="422"/>
      </w:pPr>
      <w:r>
        <w:rPr>
          <w:rFonts w:hint="eastAsia"/>
          <w:b/>
        </w:rPr>
        <w:t>第二十三条</w:t>
      </w:r>
      <w:r>
        <w:rPr>
          <w:rFonts w:hint="eastAsia"/>
        </w:rPr>
        <w:t xml:space="preserve">  本条例所称家属是指见义勇为人员的配偶、子女、父母，以及依靠见义勇为人员生活的十八周岁以下的弟妹、见义勇为人员自幼曾依靠其抚养长大现在又必须依靠见义勇为人员生活的其他亲属。</w:t>
      </w:r>
    </w:p>
    <w:p w14:paraId="1B60A10D">
      <w:pPr>
        <w:ind w:firstLine="422"/>
      </w:pPr>
      <w:r>
        <w:rPr>
          <w:rFonts w:hint="eastAsia"/>
          <w:b/>
        </w:rPr>
        <w:t>第二十四条</w:t>
      </w:r>
      <w:r>
        <w:rPr>
          <w:rFonts w:hint="eastAsia"/>
        </w:rPr>
        <w:t xml:space="preserve">  本条例实施办法由市人民政府制定。</w:t>
      </w:r>
    </w:p>
    <w:p w14:paraId="5C188933">
      <w:pPr>
        <w:ind w:firstLine="422"/>
        <w:rPr>
          <w:rFonts w:hint="eastAsia" w:ascii="宋体" w:hAnsi="宋体" w:eastAsia="宋体" w:cs="宋体"/>
        </w:rPr>
      </w:pPr>
      <w:r>
        <w:rPr>
          <w:rFonts w:hint="eastAsia"/>
          <w:b/>
        </w:rPr>
        <w:t>第二十五条</w:t>
      </w:r>
      <w:r>
        <w:rPr>
          <w:rFonts w:hint="eastAsia"/>
        </w:rPr>
        <w:t xml:space="preserve">  本条例</w:t>
      </w:r>
      <w:r>
        <w:rPr>
          <w:rFonts w:hint="eastAsia" w:ascii="宋体" w:hAnsi="宋体" w:eastAsia="宋体" w:cs="宋体"/>
        </w:rPr>
        <w:t>自2000年8月1日起施行。</w:t>
      </w:r>
    </w:p>
    <w:p w14:paraId="52EDA672">
      <w:pPr>
        <w:pStyle w:val="4"/>
        <w:pageBreakBefore/>
      </w:pPr>
      <w:bookmarkStart w:id="2012" w:name="_Toc426467040"/>
      <w:bookmarkStart w:id="2013" w:name="_Toc428780442"/>
      <w:bookmarkStart w:id="2014" w:name="_Toc428781788"/>
      <w:r>
        <w:rPr>
          <w:rFonts w:hint="eastAsia"/>
        </w:rPr>
        <w:t>北京市实行婚前医学检查管理规定</w:t>
      </w:r>
      <w:bookmarkEnd w:id="2012"/>
      <w:bookmarkEnd w:id="2013"/>
      <w:bookmarkEnd w:id="2014"/>
    </w:p>
    <w:p w14:paraId="5E2EDF2D">
      <w:pPr>
        <w:ind w:left="630" w:leftChars="300" w:right="630" w:rightChars="300"/>
        <w:rPr>
          <w:rFonts w:ascii="楷体" w:hAnsi="楷体" w:eastAsia="楷体"/>
        </w:rPr>
      </w:pPr>
      <w:r>
        <w:rPr>
          <w:rFonts w:hint="eastAsia" w:ascii="楷体" w:hAnsi="楷体" w:eastAsia="楷体"/>
        </w:rPr>
        <w:t>（1995年8月10日北京市人民政府第24号令发布　根据1997年12月31日北京市人民政府第12号令第一次修改　根据2004年6月1日北京市人民政府第150号令第二次修改　根据2007年11月23日北京市人民政府第200号令第三次修改  根据2010年11月27日北京市人民政府第226号令第四次修改）</w:t>
      </w:r>
    </w:p>
    <w:p w14:paraId="56A87631">
      <w:pPr>
        <w:ind w:left="630" w:leftChars="300" w:right="630" w:rightChars="300"/>
        <w:rPr>
          <w:rFonts w:ascii="楷体" w:hAnsi="楷体" w:eastAsia="楷体"/>
        </w:rPr>
      </w:pPr>
    </w:p>
    <w:p w14:paraId="16A2187A">
      <w:pPr>
        <w:ind w:firstLine="422"/>
      </w:pPr>
      <w:r>
        <w:rPr>
          <w:rFonts w:hint="eastAsia"/>
          <w:b/>
        </w:rPr>
        <w:t>第一条</w:t>
      </w:r>
      <w:r>
        <w:rPr>
          <w:rFonts w:hint="eastAsia"/>
        </w:rPr>
        <w:t xml:space="preserve">  为实施《中华人民共和国母婴保健法》和《北京市实施〈中华人民共和国母婴保健法〉办法》，制定本规定。</w:t>
      </w:r>
    </w:p>
    <w:p w14:paraId="0A370B52">
      <w:pPr>
        <w:ind w:firstLine="422"/>
      </w:pPr>
      <w:r>
        <w:rPr>
          <w:rFonts w:hint="eastAsia"/>
          <w:b/>
        </w:rPr>
        <w:t>第二条</w:t>
      </w:r>
      <w:r>
        <w:rPr>
          <w:rFonts w:hint="eastAsia"/>
        </w:rPr>
        <w:t xml:space="preserve">  本市行政区域内的婚前医学检查工作，适用本规定。</w:t>
      </w:r>
    </w:p>
    <w:p w14:paraId="160B7258">
      <w:pPr>
        <w:ind w:firstLine="422"/>
      </w:pPr>
      <w:r>
        <w:rPr>
          <w:rFonts w:hint="eastAsia"/>
          <w:b/>
        </w:rPr>
        <w:t>第三条</w:t>
      </w:r>
      <w:r>
        <w:rPr>
          <w:rFonts w:hint="eastAsia"/>
        </w:rPr>
        <w:t xml:space="preserve">  市卫生行政部门主管本市行政区域内的婚前医学检查工作；市妇幼保健机构具体负责婚前医学检查工作的质量监督、人员培训与技术指导。</w:t>
      </w:r>
    </w:p>
    <w:p w14:paraId="01B48721">
      <w:pPr>
        <w:ind w:firstLine="422"/>
      </w:pPr>
      <w:r>
        <w:rPr>
          <w:rFonts w:hint="eastAsia"/>
          <w:b/>
        </w:rPr>
        <w:t>第四条</w:t>
      </w:r>
      <w:r>
        <w:rPr>
          <w:rFonts w:hint="eastAsia"/>
        </w:rPr>
        <w:t xml:space="preserve">  市和区、县妇幼保健机构或者市卫生行政部门指定的医疗保健机构（以下统称婚检单位），负责婚前医学检查工作；涉外婚姻的婚前医学检查工作，按国家有关规定由市民政行政部门会同市卫生行政部门指定的医疗保健机构负责。</w:t>
      </w:r>
    </w:p>
    <w:p w14:paraId="7B06B835">
      <w:r>
        <w:rPr>
          <w:rFonts w:hint="eastAsia"/>
        </w:rPr>
        <w:t>凡在本市从事婚前医学检查的单位和个人应当按照国家法律、法规的规定取得相应的许可证书。</w:t>
      </w:r>
    </w:p>
    <w:p w14:paraId="02CE7285">
      <w:pPr>
        <w:ind w:firstLine="422"/>
      </w:pPr>
      <w:r>
        <w:rPr>
          <w:rFonts w:hint="eastAsia"/>
          <w:b/>
        </w:rPr>
        <w:t>第五条</w:t>
      </w:r>
      <w:r>
        <w:rPr>
          <w:rFonts w:hint="eastAsia"/>
        </w:rPr>
        <w:t xml:space="preserve">  婚前医学检查项目由市卫生行政部门根据国务院卫生行政部门的规定和本市实际情况制定。</w:t>
      </w:r>
    </w:p>
    <w:p w14:paraId="54A01F6B">
      <w:r>
        <w:rPr>
          <w:rFonts w:hint="eastAsia"/>
        </w:rPr>
        <w:t>婚检单位必须执行市卫生行政部门公布的婚前医学检查项目，不得随意增减。</w:t>
      </w:r>
    </w:p>
    <w:p w14:paraId="64F52F8F">
      <w:pPr>
        <w:ind w:firstLine="422"/>
      </w:pPr>
      <w:r>
        <w:rPr>
          <w:rFonts w:hint="eastAsia"/>
          <w:b/>
        </w:rPr>
        <w:t>第六条</w:t>
      </w:r>
      <w:r>
        <w:rPr>
          <w:rFonts w:hint="eastAsia"/>
        </w:rPr>
        <w:t xml:space="preserve">  市卫生行政部门会同市发展改革行政部门、市财政行政部门核定婚前医学检查项目的收费标准。婚检单位必须公布婚前医学检查项目的收费标准，并严格按核定的收费标准收费。</w:t>
      </w:r>
    </w:p>
    <w:p w14:paraId="34954FDA">
      <w:pPr>
        <w:ind w:firstLine="422"/>
      </w:pPr>
      <w:r>
        <w:rPr>
          <w:rFonts w:hint="eastAsia"/>
          <w:b/>
        </w:rPr>
        <w:t>第七条</w:t>
      </w:r>
      <w:r>
        <w:rPr>
          <w:rFonts w:hint="eastAsia"/>
        </w:rPr>
        <w:t xml:space="preserve">  准备结婚的男女双方必须持下列材料到婚检单位进行婚前医学检查：</w:t>
      </w:r>
    </w:p>
    <w:p w14:paraId="44D3505B">
      <w:r>
        <w:rPr>
          <w:rFonts w:hint="eastAsia"/>
        </w:rPr>
        <w:t>（一）居民身份证等户籍证明；</w:t>
      </w:r>
    </w:p>
    <w:p w14:paraId="7662E9F3">
      <w:r>
        <w:rPr>
          <w:rFonts w:hint="eastAsia"/>
        </w:rPr>
        <w:t>（二）近期一寸正面免冠照片三张。</w:t>
      </w:r>
    </w:p>
    <w:p w14:paraId="369C3805">
      <w:pPr>
        <w:ind w:firstLine="422"/>
      </w:pPr>
      <w:r>
        <w:rPr>
          <w:rFonts w:hint="eastAsia"/>
          <w:b/>
        </w:rPr>
        <w:t>第八条</w:t>
      </w:r>
      <w:r>
        <w:rPr>
          <w:rFonts w:hint="eastAsia"/>
        </w:rPr>
        <w:t xml:space="preserve">  从事婚前医学检查工作的人员必须执行婚前医学检查操作规范，恪守职业道德，不得泄漏当事人隐私。</w:t>
      </w:r>
    </w:p>
    <w:p w14:paraId="710E941A">
      <w:pPr>
        <w:ind w:firstLine="422"/>
      </w:pPr>
      <w:r>
        <w:rPr>
          <w:rFonts w:hint="eastAsia"/>
          <w:b/>
        </w:rPr>
        <w:t>第九条</w:t>
      </w:r>
      <w:r>
        <w:rPr>
          <w:rFonts w:hint="eastAsia"/>
        </w:rPr>
        <w:t xml:space="preserve">  从事婚前医学检查工作的人员在检查后，应如实填写《婚前医学检查证明》，任何人不得随意涂改、弄虚作假。</w:t>
      </w:r>
    </w:p>
    <w:p w14:paraId="7F2A156F">
      <w:r>
        <w:rPr>
          <w:rFonts w:hint="eastAsia"/>
        </w:rPr>
        <w:t>《婚前医学检查证明》由主检医师审签并加盖婚检单位专用章后生效，有效期为三个月。</w:t>
      </w:r>
    </w:p>
    <w:p w14:paraId="6A6628B6">
      <w:pPr>
        <w:ind w:firstLine="422"/>
      </w:pPr>
      <w:r>
        <w:rPr>
          <w:rFonts w:hint="eastAsia"/>
          <w:b/>
        </w:rPr>
        <w:t>第十条</w:t>
      </w:r>
      <w:r>
        <w:rPr>
          <w:rFonts w:hint="eastAsia"/>
        </w:rPr>
        <w:t xml:space="preserve">  在检查中发现检查对象患有应暂缓结婚疾病的，主检医师应对其提出医学指导意见，并在《婚前医学检查证明》上注明。</w:t>
      </w:r>
    </w:p>
    <w:p w14:paraId="2638A9F4">
      <w:r>
        <w:rPr>
          <w:rFonts w:hint="eastAsia"/>
        </w:rPr>
        <w:t>婚检单位在检查中发现的严重遗传性疾病患者或者疑似遗传性疾病患者以及不能确诊的其他疾病患者，应转诊到市卫生行政部门指定的医疗保健机构诊断；婚检单位根据诊断结论，出具《婚前医学检查证明》。</w:t>
      </w:r>
    </w:p>
    <w:p w14:paraId="241FEBBB">
      <w:pPr>
        <w:ind w:firstLine="422"/>
      </w:pPr>
      <w:r>
        <w:rPr>
          <w:rFonts w:hint="eastAsia"/>
          <w:b/>
        </w:rPr>
        <w:t>第十一条</w:t>
      </w:r>
      <w:r>
        <w:rPr>
          <w:rFonts w:hint="eastAsia"/>
        </w:rPr>
        <w:t xml:space="preserve">  婚检单位应建立婚前医学检查资料档案，并按照有关规定保存。</w:t>
      </w:r>
    </w:p>
    <w:p w14:paraId="1AC1D23C">
      <w:pPr>
        <w:ind w:firstLine="422"/>
        <w:rPr>
          <w:rFonts w:hint="eastAsia" w:ascii="宋体" w:hAnsi="宋体" w:eastAsia="宋体" w:cs="宋体"/>
        </w:rPr>
      </w:pPr>
      <w:r>
        <w:rPr>
          <w:rFonts w:hint="eastAsia"/>
          <w:b/>
        </w:rPr>
        <w:t>第十二条</w:t>
      </w:r>
      <w:r>
        <w:rPr>
          <w:rFonts w:hint="eastAsia"/>
        </w:rPr>
        <w:t xml:space="preserve">  违反本规定，未取得许可证、合格证，从事婚前医学检查工作或者出具有关医学证明的，由</w:t>
      </w:r>
      <w:r>
        <w:rPr>
          <w:rFonts w:hint="eastAsia" w:ascii="宋体" w:hAnsi="宋体" w:eastAsia="宋体" w:cs="宋体"/>
        </w:rPr>
        <w:t>市或者区、县卫生行政部门给予警告，责令停止违法行为，没收违法所得；违法所得5000元以上的，并处违法所得3倍以上5倍以下的罚款；没有违法所得或者违法所得不足5000元的，并处5000元以上2万元以下的罚款。</w:t>
      </w:r>
    </w:p>
    <w:p w14:paraId="2F9CA027">
      <w:pPr>
        <w:ind w:firstLine="422"/>
      </w:pPr>
      <w:r>
        <w:rPr>
          <w:rFonts w:hint="eastAsia"/>
          <w:b/>
        </w:rPr>
        <w:t>第十三条</w:t>
      </w:r>
      <w:r>
        <w:rPr>
          <w:rFonts w:hint="eastAsia"/>
        </w:rPr>
        <w:t xml:space="preserve">  从事婚前医学检查的医务人员违反本规定，擅自涂改或出具虚假医学检查证明的，由其所在单位或区、县卫生行政部门根据情节轻重给予行政处分；情节严重的，取消执业资格。</w:t>
      </w:r>
    </w:p>
    <w:p w14:paraId="73005B15">
      <w:pPr>
        <w:ind w:firstLine="422"/>
      </w:pPr>
      <w:r>
        <w:rPr>
          <w:rFonts w:hint="eastAsia"/>
          <w:b/>
        </w:rPr>
        <w:t>第十四条</w:t>
      </w:r>
      <w:r>
        <w:rPr>
          <w:rFonts w:hint="eastAsia"/>
        </w:rPr>
        <w:t>　本规定自发布之日起施行。</w:t>
      </w:r>
    </w:p>
    <w:p w14:paraId="64010319">
      <w:pPr>
        <w:pStyle w:val="4"/>
        <w:pageBreakBefore/>
      </w:pPr>
      <w:bookmarkStart w:id="2015" w:name="_Toc428781789"/>
      <w:bookmarkStart w:id="2016" w:name="_Toc428780443"/>
      <w:bookmarkStart w:id="2017" w:name="_Toc426467041"/>
      <w:r>
        <w:rPr>
          <w:rFonts w:hint="eastAsia"/>
        </w:rPr>
        <w:t>北京市拥军优属工作若干规定</w:t>
      </w:r>
      <w:bookmarkEnd w:id="2015"/>
      <w:bookmarkEnd w:id="2016"/>
      <w:bookmarkEnd w:id="2017"/>
    </w:p>
    <w:p w14:paraId="5F2D0611">
      <w:pPr>
        <w:ind w:left="630" w:leftChars="300" w:right="630" w:rightChars="300"/>
        <w:rPr>
          <w:rFonts w:ascii="楷体" w:hAnsi="楷体" w:eastAsia="楷体"/>
        </w:rPr>
      </w:pPr>
      <w:r>
        <w:rPr>
          <w:rFonts w:hint="eastAsia" w:ascii="楷体" w:hAnsi="楷体" w:eastAsia="楷体"/>
        </w:rPr>
        <w:t>（1997年7月25日北京市人民政府第6号令发布　根据2007年11月23日北京市人民政府第200号令修改）</w:t>
      </w:r>
    </w:p>
    <w:p w14:paraId="535C60D6"/>
    <w:p w14:paraId="201F082A">
      <w:pPr>
        <w:ind w:firstLine="422"/>
      </w:pPr>
      <w:r>
        <w:rPr>
          <w:rFonts w:hint="eastAsia"/>
          <w:b/>
        </w:rPr>
        <w:t>第一条</w:t>
      </w:r>
      <w:r>
        <w:rPr>
          <w:rFonts w:hint="eastAsia"/>
        </w:rPr>
        <w:t xml:space="preserve">  为加强拥军优属工作，促进国防建设，根据《中华人民共和国国防法》、《军人抚恤优待条例》等国家有关法律、法规，结合本市实际，制定本规定。</w:t>
      </w:r>
    </w:p>
    <w:p w14:paraId="24C4089A">
      <w:pPr>
        <w:ind w:firstLine="422"/>
      </w:pPr>
      <w:r>
        <w:rPr>
          <w:rFonts w:hint="eastAsia"/>
          <w:b/>
        </w:rPr>
        <w:t>第二条</w:t>
      </w:r>
      <w:r>
        <w:rPr>
          <w:rFonts w:hint="eastAsia"/>
        </w:rPr>
        <w:t xml:space="preserve">  凡在本市行政区域内的国家机关、社会团体、企业事业单位、其他经济组织、城乡基层群众性组织和公民都应当依照本规定履行拥军优属的职责和义务。</w:t>
      </w:r>
    </w:p>
    <w:p w14:paraId="60A4989D">
      <w:r>
        <w:rPr>
          <w:rFonts w:hint="eastAsia"/>
        </w:rPr>
        <w:t>本规定所称拥军优属，是指拥护中国人民解放军和武装警察部队，优待烈属、军属。</w:t>
      </w:r>
    </w:p>
    <w:p w14:paraId="2D42B606">
      <w:pPr>
        <w:ind w:firstLine="422"/>
      </w:pPr>
      <w:r>
        <w:rPr>
          <w:rFonts w:hint="eastAsia"/>
          <w:b/>
        </w:rPr>
        <w:t>第三条</w:t>
      </w:r>
      <w:r>
        <w:rPr>
          <w:rFonts w:hint="eastAsia"/>
        </w:rPr>
        <w:t xml:space="preserve">  本市各级人民政府应当加强拥军优属工作的领导，及时解决拥军优属工作中存在的问题，保证拥军优属工作的落实。</w:t>
      </w:r>
    </w:p>
    <w:p w14:paraId="473C19DA">
      <w:pPr>
        <w:ind w:firstLine="422"/>
      </w:pPr>
      <w:r>
        <w:rPr>
          <w:rFonts w:hint="eastAsia"/>
          <w:b/>
        </w:rPr>
        <w:t>第四条</w:t>
      </w:r>
      <w:r>
        <w:rPr>
          <w:rFonts w:hint="eastAsia"/>
        </w:rPr>
        <w:t xml:space="preserve">  市拥军优属、拥政爱民（以下简称双拥）工作领导小组负责指导和协调全市的双拥工作，组织研究制定有关政策、规划、措施；协调处理军地关系中的重大问题；组织交流情况，推广先进经验。</w:t>
      </w:r>
    </w:p>
    <w:p w14:paraId="7C84268C">
      <w:r>
        <w:rPr>
          <w:rFonts w:hint="eastAsia"/>
        </w:rPr>
        <w:t>市民政局是市人民政府拥军优属工作的主管部门，负责本规定的具体实施。</w:t>
      </w:r>
    </w:p>
    <w:p w14:paraId="5C2EA6EB">
      <w:pPr>
        <w:ind w:firstLine="422"/>
      </w:pPr>
      <w:r>
        <w:rPr>
          <w:rFonts w:hint="eastAsia"/>
          <w:b/>
        </w:rPr>
        <w:t>第五条</w:t>
      </w:r>
      <w:r>
        <w:rPr>
          <w:rFonts w:hint="eastAsia"/>
        </w:rPr>
        <w:t xml:space="preserve">  本市各级人民政府应当将拥军优属的宣传教育工作纳入爱国主义教育、全民国防教育和法制教育规划。</w:t>
      </w:r>
    </w:p>
    <w:p w14:paraId="0E1D41E8">
      <w:r>
        <w:rPr>
          <w:rFonts w:hint="eastAsia"/>
        </w:rPr>
        <w:t>教育、文化、新闻、出版、广播、电影、电视等部门和单位应当密切配合，采取多种形式开展拥军优属宣传教育，不断提高全民国防观念，培育拥军优属的良好社会风尚。</w:t>
      </w:r>
    </w:p>
    <w:p w14:paraId="648E6D96">
      <w:pPr>
        <w:ind w:firstLine="422"/>
      </w:pPr>
      <w:r>
        <w:rPr>
          <w:rFonts w:hint="eastAsia"/>
          <w:b/>
        </w:rPr>
        <w:t>第六条</w:t>
      </w:r>
      <w:r>
        <w:rPr>
          <w:rFonts w:hint="eastAsia"/>
        </w:rPr>
        <w:t xml:space="preserve">  区、县人民政府应当积极开展创建双拥模范区（县）活动，不断推进拥军优属工作。双拥模范区（县）应当符合下列条件：</w:t>
      </w:r>
    </w:p>
    <w:p w14:paraId="34EA1191">
      <w:r>
        <w:rPr>
          <w:rFonts w:hint="eastAsia"/>
        </w:rPr>
        <w:t>（一）组织领导坚强有力；</w:t>
      </w:r>
    </w:p>
    <w:p w14:paraId="112621C3">
      <w:r>
        <w:rPr>
          <w:rFonts w:hint="eastAsia"/>
        </w:rPr>
        <w:t>（二）国防教育广泛深入；</w:t>
      </w:r>
    </w:p>
    <w:p w14:paraId="27B8A2E1">
      <w:r>
        <w:rPr>
          <w:rFonts w:hint="eastAsia"/>
        </w:rPr>
        <w:t>（三）双拥活动坚持经常；</w:t>
      </w:r>
    </w:p>
    <w:p w14:paraId="3F83C411">
      <w:r>
        <w:rPr>
          <w:rFonts w:hint="eastAsia"/>
        </w:rPr>
        <w:t>（四）军民共建富有成效；</w:t>
      </w:r>
    </w:p>
    <w:p w14:paraId="4121814E">
      <w:r>
        <w:rPr>
          <w:rFonts w:hint="eastAsia"/>
        </w:rPr>
        <w:t>（五）政策法规落到实处；</w:t>
      </w:r>
    </w:p>
    <w:p w14:paraId="6FC68BE1">
      <w:r>
        <w:rPr>
          <w:rFonts w:hint="eastAsia"/>
        </w:rPr>
        <w:t>（六）军政军民关系融洽。</w:t>
      </w:r>
    </w:p>
    <w:p w14:paraId="1475F0D1">
      <w:r>
        <w:rPr>
          <w:rFonts w:hint="eastAsia"/>
        </w:rPr>
        <w:t>双拥模范区（县）按照国家规定评选命名。凡符合规定条件的，由命名机关命名。</w:t>
      </w:r>
    </w:p>
    <w:p w14:paraId="5C861305">
      <w:pPr>
        <w:ind w:firstLine="422"/>
      </w:pPr>
      <w:r>
        <w:rPr>
          <w:rFonts w:hint="eastAsia"/>
          <w:b/>
        </w:rPr>
        <w:t>第七条</w:t>
      </w:r>
      <w:r>
        <w:rPr>
          <w:rFonts w:hint="eastAsia"/>
        </w:rPr>
        <w:t xml:space="preserve">  本市设立首都拥军优属拥政爱民模范奖，对拥军优属工作成绩显著的集体予以表彰奖励。</w:t>
      </w:r>
    </w:p>
    <w:p w14:paraId="3E777FA9">
      <w:pPr>
        <w:ind w:firstLine="422"/>
      </w:pPr>
      <w:r>
        <w:rPr>
          <w:rFonts w:hint="eastAsia"/>
          <w:b/>
        </w:rPr>
        <w:t>第八条</w:t>
      </w:r>
      <w:r>
        <w:rPr>
          <w:rFonts w:hint="eastAsia"/>
        </w:rPr>
        <w:t xml:space="preserve">  获得双拥模范区（县）或者首都拥军优属拥政爱民模范奖的集体严重影响军政军民团结，失去模范作用的，按照命名权限撤销其荣誉称号。</w:t>
      </w:r>
    </w:p>
    <w:p w14:paraId="37E8FD1B">
      <w:pPr>
        <w:ind w:firstLine="422"/>
      </w:pPr>
      <w:r>
        <w:rPr>
          <w:rFonts w:hint="eastAsia"/>
          <w:b/>
        </w:rPr>
        <w:t>第九条</w:t>
      </w:r>
      <w:r>
        <w:rPr>
          <w:rFonts w:hint="eastAsia"/>
        </w:rPr>
        <w:t xml:space="preserve">  本市政府各有关部门应当从工商行政、税收、资金、能源、技术、信息等方面积极扶持驻军和优抚对象发展生产经营。</w:t>
      </w:r>
    </w:p>
    <w:p w14:paraId="507EB284">
      <w:pPr>
        <w:ind w:firstLine="422"/>
      </w:pPr>
      <w:r>
        <w:rPr>
          <w:rFonts w:hint="eastAsia"/>
          <w:b/>
        </w:rPr>
        <w:t>第十条</w:t>
      </w:r>
      <w:r>
        <w:rPr>
          <w:rFonts w:hint="eastAsia"/>
        </w:rPr>
        <w:t xml:space="preserve">  本市教育、劳动、人事等部门应当积极开展智力拥军活动，有针对性地开设文化补习班和职业技能培训班，协助驻军培养军地两用人才。</w:t>
      </w:r>
    </w:p>
    <w:p w14:paraId="0A90DE1E">
      <w:pPr>
        <w:ind w:firstLine="422"/>
      </w:pPr>
      <w:r>
        <w:rPr>
          <w:rFonts w:hint="eastAsia"/>
          <w:b/>
        </w:rPr>
        <w:t>第十一条</w:t>
      </w:r>
      <w:r>
        <w:rPr>
          <w:rFonts w:hint="eastAsia"/>
        </w:rPr>
        <w:t xml:space="preserve">  本市积极支持和配合军队开展争创先进连队和争当优秀士兵活动。对从本市入伍的优秀士兵及立功受奖人员，由区、县人民政府给予奖励。</w:t>
      </w:r>
    </w:p>
    <w:p w14:paraId="1C389872">
      <w:pPr>
        <w:ind w:firstLine="422"/>
      </w:pPr>
      <w:r>
        <w:rPr>
          <w:rFonts w:hint="eastAsia"/>
          <w:b/>
        </w:rPr>
        <w:t>第十二条</w:t>
      </w:r>
      <w:r>
        <w:rPr>
          <w:rFonts w:hint="eastAsia"/>
        </w:rPr>
        <w:t xml:space="preserve">  本市行政区域内的各种公路、桥梁、渡口、隧道和各类停车场，对军车免收通行费和停车费。</w:t>
      </w:r>
    </w:p>
    <w:p w14:paraId="237CD3B5">
      <w:pPr>
        <w:ind w:firstLine="422"/>
      </w:pPr>
      <w:r>
        <w:rPr>
          <w:rFonts w:hint="eastAsia"/>
          <w:b/>
        </w:rPr>
        <w:t>第十三条</w:t>
      </w:r>
      <w:r>
        <w:rPr>
          <w:rFonts w:hint="eastAsia"/>
        </w:rPr>
        <w:t xml:space="preserve">  本市服务行业对军人优先服务。铁路、公路客运站对军人优先售票，有条件的设立军人售票窗口。</w:t>
      </w:r>
    </w:p>
    <w:p w14:paraId="2B9AB33B">
      <w:pPr>
        <w:ind w:firstLine="422"/>
      </w:pPr>
      <w:r>
        <w:rPr>
          <w:rFonts w:hint="eastAsia"/>
          <w:b/>
        </w:rPr>
        <w:t>第十四条</w:t>
      </w:r>
      <w:r>
        <w:rPr>
          <w:rFonts w:hint="eastAsia"/>
        </w:rPr>
        <w:t>　本市市属颐和园、天坛公园、北海公园、景山公园、中山公园、香山公园、陶然亭公园、双秀公园、紫竹院公园、玉渊潭公园、劳动人民文化宫等</w:t>
      </w:r>
      <w:r>
        <w:rPr>
          <w:rFonts w:hint="eastAsia" w:ascii="宋体" w:hAnsi="宋体" w:eastAsia="宋体" w:cs="宋体"/>
        </w:rPr>
        <w:t>11个</w:t>
      </w:r>
      <w:r>
        <w:rPr>
          <w:rFonts w:hint="eastAsia"/>
        </w:rPr>
        <w:t>公园对现役军人免收门票。</w:t>
      </w:r>
    </w:p>
    <w:p w14:paraId="5CB28B39">
      <w:r>
        <w:rPr>
          <w:rFonts w:hint="eastAsia"/>
        </w:rPr>
        <w:t>区（县）属公园可以根据实际情况实施对现役军人的优惠办法。</w:t>
      </w:r>
    </w:p>
    <w:p w14:paraId="019F923D">
      <w:pPr>
        <w:ind w:firstLine="422"/>
      </w:pPr>
      <w:r>
        <w:rPr>
          <w:rFonts w:hint="eastAsia"/>
          <w:b/>
        </w:rPr>
        <w:t>第十五条</w:t>
      </w:r>
      <w:r>
        <w:rPr>
          <w:rFonts w:hint="eastAsia"/>
        </w:rPr>
        <w:t>　本市依法保护军事设施，打击破坏军事设施的犯罪分子。</w:t>
      </w:r>
    </w:p>
    <w:p w14:paraId="0CB37D79">
      <w:pPr>
        <w:ind w:firstLine="422"/>
      </w:pPr>
      <w:r>
        <w:rPr>
          <w:rFonts w:hint="eastAsia"/>
          <w:b/>
        </w:rPr>
        <w:t>第十六条</w:t>
      </w:r>
      <w:r>
        <w:rPr>
          <w:rFonts w:hint="eastAsia"/>
        </w:rPr>
        <w:t>　任何部门、单位不得向驻军非法摊派各种费用。</w:t>
      </w:r>
    </w:p>
    <w:p w14:paraId="751A26CB">
      <w:pPr>
        <w:ind w:firstLine="422"/>
      </w:pPr>
      <w:r>
        <w:rPr>
          <w:rFonts w:hint="eastAsia"/>
          <w:b/>
        </w:rPr>
        <w:t>第十七条</w:t>
      </w:r>
      <w:r>
        <w:rPr>
          <w:rFonts w:hint="eastAsia"/>
        </w:rPr>
        <w:t>　优抚对象应当受到全社会的尊重。本市依法保障优抚对象的合法权益。</w:t>
      </w:r>
    </w:p>
    <w:p w14:paraId="6C9DB878">
      <w:pPr>
        <w:ind w:firstLine="422"/>
      </w:pPr>
      <w:r>
        <w:rPr>
          <w:rFonts w:hint="eastAsia"/>
          <w:b/>
        </w:rPr>
        <w:t>第十八条</w:t>
      </w:r>
      <w:r>
        <w:rPr>
          <w:rFonts w:hint="eastAsia"/>
        </w:rPr>
        <w:t>　凡属本市户口的革命烈士家属、因公牺牲军人家属、病故军人家属、义务兵家属、残疾军人、复员军人和带病回乡退伍军人，按照国家和本市有关规定实行抚恤和优待。</w:t>
      </w:r>
    </w:p>
    <w:p w14:paraId="20ADBC9B">
      <w:pPr>
        <w:ind w:firstLine="422"/>
      </w:pPr>
      <w:r>
        <w:rPr>
          <w:rFonts w:hint="eastAsia"/>
          <w:b/>
        </w:rPr>
        <w:t>第十九条</w:t>
      </w:r>
      <w:r>
        <w:rPr>
          <w:rFonts w:hint="eastAsia"/>
        </w:rPr>
        <w:t>　本市实施最低生活保障制度。在计算家庭收入时，优抚对象享受的抚恤金、补助金及其他优待费用不计入家庭收入。</w:t>
      </w:r>
    </w:p>
    <w:p w14:paraId="6198B7AF">
      <w:pPr>
        <w:ind w:firstLine="422"/>
      </w:pPr>
      <w:r>
        <w:rPr>
          <w:rFonts w:hint="eastAsia"/>
          <w:b/>
        </w:rPr>
        <w:t>第二十条</w:t>
      </w:r>
      <w:r>
        <w:rPr>
          <w:rFonts w:hint="eastAsia"/>
        </w:rPr>
        <w:t>　本市民政、财政、卫生等部门按照有关规定做好优抚对象医疗优待工作。区、县人民政府可以根据实际情况，适当提高优待幅度，扩大优待范围。</w:t>
      </w:r>
    </w:p>
    <w:p w14:paraId="01FCC2A3">
      <w:pPr>
        <w:ind w:firstLine="422"/>
      </w:pPr>
      <w:r>
        <w:rPr>
          <w:rFonts w:hint="eastAsia"/>
          <w:b/>
        </w:rPr>
        <w:t>第二十一条</w:t>
      </w:r>
      <w:r>
        <w:rPr>
          <w:rFonts w:hint="eastAsia"/>
        </w:rPr>
        <w:t>　市人民政府按照规定发给革命烈士家属褒扬金。</w:t>
      </w:r>
    </w:p>
    <w:p w14:paraId="06A407FC">
      <w:pPr>
        <w:ind w:firstLine="422"/>
      </w:pPr>
      <w:r>
        <w:rPr>
          <w:rFonts w:hint="eastAsia"/>
          <w:b/>
        </w:rPr>
        <w:t>第二十二条</w:t>
      </w:r>
      <w:r>
        <w:rPr>
          <w:rFonts w:hint="eastAsia"/>
        </w:rPr>
        <w:t>　各单位在劳动人事制度改革中，应当优先安置好烈属、军属、残疾军人的工作。</w:t>
      </w:r>
    </w:p>
    <w:p w14:paraId="37C6E212">
      <w:pPr>
        <w:ind w:firstLine="422"/>
      </w:pPr>
      <w:r>
        <w:rPr>
          <w:rFonts w:hint="eastAsia"/>
          <w:b/>
        </w:rPr>
        <w:t>第二十三条</w:t>
      </w:r>
      <w:r>
        <w:rPr>
          <w:rFonts w:hint="eastAsia"/>
        </w:rPr>
        <w:t>　各单位必须接收当地人民政府分配的城镇退伍义务兵和转业志愿兵。对拒不接收的单位，主管部门应当责成其从接到安置任务之日起，发给安置人员该单位职工的平均工资，直至上岗工作。</w:t>
      </w:r>
    </w:p>
    <w:p w14:paraId="219F4B5E">
      <w:r>
        <w:rPr>
          <w:rFonts w:hint="eastAsia"/>
        </w:rPr>
        <w:t>对国家规定需要安排工作的因战、因公残疾退伍军人，应当安排力所能及的工作，其工资、保险、福利等，应当按照国家有关规定与本单位职工享受同等待遇，无特殊理由，不得解除或者中止劳动合同。</w:t>
      </w:r>
    </w:p>
    <w:p w14:paraId="68DDA617">
      <w:pPr>
        <w:ind w:firstLine="422"/>
      </w:pPr>
      <w:r>
        <w:rPr>
          <w:rFonts w:hint="eastAsia"/>
          <w:b/>
        </w:rPr>
        <w:t>第二十四条</w:t>
      </w:r>
      <w:r>
        <w:rPr>
          <w:rFonts w:hint="eastAsia"/>
        </w:rPr>
        <w:t>　本市各有关部门应当按照国家和本市有关规定做好军队转业干部、军队离休退休干部和军队无军籍退休退职职工的接收安置工作。</w:t>
      </w:r>
    </w:p>
    <w:p w14:paraId="125BE157">
      <w:pPr>
        <w:ind w:firstLine="422"/>
      </w:pPr>
      <w:r>
        <w:rPr>
          <w:rFonts w:hint="eastAsia"/>
          <w:b/>
        </w:rPr>
        <w:t>第二十五条</w:t>
      </w:r>
      <w:r>
        <w:rPr>
          <w:rFonts w:hint="eastAsia"/>
        </w:rPr>
        <w:t>　本市各有关部门应当按照国家和本市有关规定积极、妥善地做好随军、随调军人配偶的安置和军人子女入学、入托工作。</w:t>
      </w:r>
    </w:p>
    <w:p w14:paraId="3C63B186">
      <w:pPr>
        <w:ind w:firstLine="422"/>
      </w:pPr>
      <w:r>
        <w:rPr>
          <w:rFonts w:hint="eastAsia"/>
          <w:b/>
        </w:rPr>
        <w:t>第二十六条</w:t>
      </w:r>
      <w:r>
        <w:rPr>
          <w:rFonts w:hint="eastAsia"/>
        </w:rPr>
        <w:t>　本市各级人民政府要动员和依靠社会力量根据本地实际情况建立拥军优属保障金。对拥军优属保障金要严格管理，专款专用。</w:t>
      </w:r>
    </w:p>
    <w:p w14:paraId="7F4B0FF8">
      <w:pPr>
        <w:ind w:firstLine="422"/>
      </w:pPr>
      <w:r>
        <w:rPr>
          <w:rFonts w:hint="eastAsia"/>
          <w:b/>
        </w:rPr>
        <w:t>第二十七条</w:t>
      </w:r>
      <w:r>
        <w:rPr>
          <w:rFonts w:hint="eastAsia"/>
        </w:rPr>
        <w:t>　对违反本规定的单位和个人，市和区、县人民政府或者主管部门根据情节轻重予以批评教育、纪律处分；构成犯罪的，依法追究刑事责任。</w:t>
      </w:r>
    </w:p>
    <w:p w14:paraId="39956C7C">
      <w:pPr>
        <w:ind w:firstLine="422"/>
      </w:pPr>
      <w:r>
        <w:rPr>
          <w:rFonts w:hint="eastAsia"/>
          <w:b/>
        </w:rPr>
        <w:t>第二十八条</w:t>
      </w:r>
      <w:r>
        <w:rPr>
          <w:rFonts w:hint="eastAsia"/>
        </w:rPr>
        <w:t>　本规定</w:t>
      </w:r>
      <w:r>
        <w:rPr>
          <w:rFonts w:hint="eastAsia" w:ascii="宋体" w:hAnsi="宋体" w:eastAsia="宋体" w:cs="宋体"/>
        </w:rPr>
        <w:t>自1997年8月1日起施</w:t>
      </w:r>
      <w:r>
        <w:rPr>
          <w:rFonts w:hint="eastAsia"/>
        </w:rPr>
        <w:t>行。</w:t>
      </w:r>
    </w:p>
    <w:p w14:paraId="0906B628">
      <w:pPr>
        <w:pStyle w:val="4"/>
        <w:pageBreakBefore/>
      </w:pPr>
      <w:bookmarkStart w:id="2018" w:name="_Toc426467042"/>
      <w:bookmarkStart w:id="2019" w:name="_Toc428781790"/>
      <w:bookmarkStart w:id="2020" w:name="_Toc428780444"/>
      <w:r>
        <w:rPr>
          <w:rFonts w:hint="eastAsia"/>
        </w:rPr>
        <w:t>《北京市见义勇为人员奖励和保护条例》实施办法</w:t>
      </w:r>
      <w:bookmarkEnd w:id="2018"/>
      <w:bookmarkEnd w:id="2019"/>
      <w:bookmarkEnd w:id="2020"/>
    </w:p>
    <w:p w14:paraId="520D60F7">
      <w:pPr>
        <w:ind w:left="630" w:leftChars="300" w:right="630" w:rightChars="300"/>
        <w:rPr>
          <w:rFonts w:ascii="楷体" w:hAnsi="楷体" w:eastAsia="楷体"/>
        </w:rPr>
      </w:pPr>
      <w:r>
        <w:rPr>
          <w:rFonts w:hint="eastAsia" w:ascii="楷体" w:hAnsi="楷体" w:eastAsia="楷体"/>
        </w:rPr>
        <w:t>（2000年7月24日北京市人民政府第60号令发布  根据2014年6月19日北京市人民政府第255号令修改）</w:t>
      </w:r>
    </w:p>
    <w:p w14:paraId="1DDC199C">
      <w:pPr>
        <w:ind w:left="630" w:leftChars="300" w:right="630" w:rightChars="300"/>
        <w:rPr>
          <w:rFonts w:ascii="楷体" w:hAnsi="楷体" w:eastAsia="楷体"/>
        </w:rPr>
      </w:pPr>
    </w:p>
    <w:p w14:paraId="4FDDBA71">
      <w:pPr>
        <w:ind w:firstLine="0" w:firstLineChars="0"/>
        <w:jc w:val="center"/>
        <w:rPr>
          <w:b/>
          <w:sz w:val="28"/>
        </w:rPr>
      </w:pPr>
      <w:r>
        <w:rPr>
          <w:rFonts w:hint="eastAsia"/>
          <w:b/>
          <w:sz w:val="28"/>
        </w:rPr>
        <w:t>第一章　总　则</w:t>
      </w:r>
    </w:p>
    <w:p w14:paraId="65392656"/>
    <w:p w14:paraId="5758AB49">
      <w:pPr>
        <w:ind w:firstLine="422"/>
      </w:pPr>
      <w:r>
        <w:rPr>
          <w:rFonts w:hint="eastAsia"/>
          <w:b/>
        </w:rPr>
        <w:t>第一条</w:t>
      </w:r>
      <w:r>
        <w:rPr>
          <w:rFonts w:hint="eastAsia"/>
        </w:rPr>
        <w:t xml:space="preserve">  为实施《北京市见义勇为人员奖励和保护条例》（以下简称《条例》），制定本办法。</w:t>
      </w:r>
    </w:p>
    <w:p w14:paraId="3918FB88">
      <w:pPr>
        <w:ind w:firstLine="422"/>
      </w:pPr>
      <w:r>
        <w:rPr>
          <w:rFonts w:hint="eastAsia"/>
          <w:b/>
        </w:rPr>
        <w:t>第二条</w:t>
      </w:r>
      <w:r>
        <w:rPr>
          <w:rFonts w:hint="eastAsia"/>
        </w:rPr>
        <w:t xml:space="preserve">  市和区、县民政部门负责本办法的组织实施。</w:t>
      </w:r>
    </w:p>
    <w:p w14:paraId="7740A0CA">
      <w:r>
        <w:rPr>
          <w:rFonts w:hint="eastAsia"/>
        </w:rPr>
        <w:t>公安、财政、精神文明、劳动和社会保障、人事、教育、卫生、工商、税务等部门应当按照各自职责权限，做好对见义勇为人员的奖励和保护工作。</w:t>
      </w:r>
    </w:p>
    <w:p w14:paraId="3BE274CF">
      <w:pPr>
        <w:ind w:firstLine="422"/>
      </w:pPr>
      <w:r>
        <w:rPr>
          <w:rFonts w:hint="eastAsia"/>
          <w:b/>
        </w:rPr>
        <w:t>第三条</w:t>
      </w:r>
      <w:r>
        <w:rPr>
          <w:rFonts w:hint="eastAsia"/>
        </w:rPr>
        <w:t xml:space="preserve">  新闻宣传部门应当及时、客观报道见义勇为事迹，大力弘扬社会正气；对见义勇为人员及其家属要求保密的情况，应当予以保密。</w:t>
      </w:r>
    </w:p>
    <w:p w14:paraId="56010B49"/>
    <w:p w14:paraId="1D967DC5">
      <w:pPr>
        <w:ind w:firstLine="0" w:firstLineChars="0"/>
        <w:jc w:val="center"/>
        <w:rPr>
          <w:b/>
          <w:sz w:val="28"/>
        </w:rPr>
      </w:pPr>
      <w:r>
        <w:rPr>
          <w:rFonts w:hint="eastAsia"/>
          <w:b/>
          <w:sz w:val="28"/>
        </w:rPr>
        <w:t>第二章　见义勇为的确认</w:t>
      </w:r>
    </w:p>
    <w:p w14:paraId="76656D2C"/>
    <w:p w14:paraId="77BA0AA4">
      <w:pPr>
        <w:ind w:firstLine="422"/>
      </w:pPr>
      <w:r>
        <w:rPr>
          <w:rFonts w:hint="eastAsia"/>
          <w:b/>
        </w:rPr>
        <w:t>第四条</w:t>
      </w:r>
      <w:r>
        <w:rPr>
          <w:rFonts w:hint="eastAsia"/>
        </w:rPr>
        <w:t xml:space="preserve">  下列行为应当确认为见义勇为行为：</w:t>
      </w:r>
    </w:p>
    <w:p w14:paraId="7E8337B2">
      <w:r>
        <w:rPr>
          <w:rFonts w:hint="eastAsia"/>
        </w:rPr>
        <w:t>（一）同正在进行的侵犯国家、集体财产或者他人人身、财产安全的违法犯罪行为作斗争的；</w:t>
      </w:r>
    </w:p>
    <w:p w14:paraId="0B48A715">
      <w:r>
        <w:rPr>
          <w:rFonts w:hint="eastAsia"/>
        </w:rPr>
        <w:t>（二）同正在进行的危害国家安全、妨害公共安全或者扰乱公共秩序的违法犯罪行为作斗争的；</w:t>
      </w:r>
    </w:p>
    <w:p w14:paraId="2D78FB6B">
      <w:r>
        <w:rPr>
          <w:rFonts w:hint="eastAsia"/>
        </w:rPr>
        <w:t>（三）在抢险救灾中，不顾个人安危，抢救国家、集体财产或者他人生命财产的；</w:t>
      </w:r>
    </w:p>
    <w:p w14:paraId="601B765B">
      <w:r>
        <w:rPr>
          <w:rFonts w:hint="eastAsia"/>
        </w:rPr>
        <w:t>（四）其他为保护国家、集体利益或者他人生命财产安全免受正在遭受的侵害，不顾个人安危，挺身救助的行为。</w:t>
      </w:r>
    </w:p>
    <w:p w14:paraId="5017AE08">
      <w:pPr>
        <w:ind w:firstLine="422"/>
      </w:pPr>
      <w:r>
        <w:rPr>
          <w:rFonts w:hint="eastAsia"/>
          <w:b/>
        </w:rPr>
        <w:t>第五条</w:t>
      </w:r>
      <w:r>
        <w:rPr>
          <w:rFonts w:hint="eastAsia"/>
        </w:rPr>
        <w:t xml:space="preserve">  见义勇为由行为发生地的区、县民政部门确认；本市居民在本市行政区域外见义勇为的，由其户籍所在地的区、县民政部门确认。</w:t>
      </w:r>
    </w:p>
    <w:p w14:paraId="14B64924">
      <w:r>
        <w:rPr>
          <w:rFonts w:hint="eastAsia"/>
        </w:rPr>
        <w:t>对区、县民政部门确认有困难或者有争议的，有确认权的区、县民政部门可以移交市民政部门确认。</w:t>
      </w:r>
    </w:p>
    <w:p w14:paraId="4863D8EC">
      <w:r>
        <w:rPr>
          <w:rFonts w:hint="eastAsia"/>
        </w:rPr>
        <w:t>在确认过程中，民政部门可以组织公安、劳动和社会保障、卫生等有关部门、专家进行确认或者邀请市民代表参加。</w:t>
      </w:r>
    </w:p>
    <w:p w14:paraId="773C00FB">
      <w:pPr>
        <w:ind w:firstLine="422"/>
      </w:pPr>
      <w:r>
        <w:rPr>
          <w:rFonts w:hint="eastAsia"/>
          <w:b/>
        </w:rPr>
        <w:t>第六条</w:t>
      </w:r>
      <w:r>
        <w:rPr>
          <w:rFonts w:hint="eastAsia"/>
        </w:rPr>
        <w:t xml:space="preserve">  申请确认见义勇为的，应当向行为发生地的区、县民政部门提交以下材料：</w:t>
      </w:r>
    </w:p>
    <w:p w14:paraId="7A2D1043">
      <w:r>
        <w:rPr>
          <w:rFonts w:hint="eastAsia"/>
        </w:rPr>
        <w:t>（一）书面申请或者情况说明，包括行为发生的时间、地点、主要事实经过等；</w:t>
      </w:r>
    </w:p>
    <w:p w14:paraId="05006EDA">
      <w:bookmarkStart w:id="2021" w:name="_Toc428780445"/>
      <w:r>
        <w:rPr>
          <w:rFonts w:hint="eastAsia"/>
        </w:rPr>
        <w:t>（二）行为人、行为人的法定代理人、委托代理人的身份证明；</w:t>
      </w:r>
      <w:bookmarkEnd w:id="2021"/>
    </w:p>
    <w:p w14:paraId="720A6461">
      <w:r>
        <w:rPr>
          <w:rFonts w:hint="eastAsia"/>
        </w:rPr>
        <w:t>（三）处理违法犯罪、抢险救灾等相关部门提供的证明或者受益人和证人提供的证明；</w:t>
      </w:r>
    </w:p>
    <w:p w14:paraId="717346BA">
      <w:r>
        <w:rPr>
          <w:rFonts w:hint="eastAsia"/>
        </w:rPr>
        <w:t>（四）其他可以证明事实的相关材料。</w:t>
      </w:r>
    </w:p>
    <w:p w14:paraId="4683A356">
      <w:r>
        <w:rPr>
          <w:rFonts w:hint="eastAsia"/>
        </w:rPr>
        <w:t>自然人、法人或者其他组织可以向民政部门提供见义勇为行为的线索。</w:t>
      </w:r>
    </w:p>
    <w:p w14:paraId="1C644718">
      <w:r>
        <w:rPr>
          <w:rFonts w:hint="eastAsia"/>
        </w:rPr>
        <w:t>民政部门应当自接到反映或者申请之日起</w:t>
      </w:r>
      <w:r>
        <w:rPr>
          <w:rFonts w:hint="eastAsia" w:ascii="宋体" w:hAnsi="宋体" w:eastAsia="宋体" w:cs="宋体"/>
        </w:rPr>
        <w:t>90</w:t>
      </w:r>
      <w:r>
        <w:rPr>
          <w:rFonts w:hint="eastAsia"/>
        </w:rPr>
        <w:t>个工作日内调查核实，并作出书面确认结论；对需要以公安、司法等部门的处理结论为依据的，民政部门应当自公安、司法等部门作出处理结论之日起</w:t>
      </w:r>
      <w:r>
        <w:rPr>
          <w:rFonts w:hint="eastAsia" w:ascii="宋体" w:hAnsi="宋体" w:eastAsia="宋体" w:cs="宋体"/>
        </w:rPr>
        <w:t>30</w:t>
      </w:r>
      <w:r>
        <w:rPr>
          <w:rFonts w:hint="eastAsia"/>
        </w:rPr>
        <w:t>个工作日内作出书面确认结论。</w:t>
      </w:r>
    </w:p>
    <w:p w14:paraId="4A680D3C">
      <w:pPr>
        <w:ind w:firstLine="422"/>
      </w:pPr>
      <w:r>
        <w:rPr>
          <w:rFonts w:hint="eastAsia"/>
          <w:b/>
        </w:rPr>
        <w:t>第七条</w:t>
      </w:r>
      <w:r>
        <w:rPr>
          <w:rFonts w:hint="eastAsia"/>
        </w:rPr>
        <w:t xml:space="preserve">  确认见义勇为应当做到行为事实清楚、证明材料充分。</w:t>
      </w:r>
    </w:p>
    <w:p w14:paraId="29433A22">
      <w:r>
        <w:rPr>
          <w:rFonts w:hint="eastAsia"/>
        </w:rPr>
        <w:t>下列材料经民政部门调查核实，可以作为确认见义勇为的依据：</w:t>
      </w:r>
    </w:p>
    <w:p w14:paraId="5694C95A">
      <w:bookmarkStart w:id="2022" w:name="_Toc428780446"/>
      <w:r>
        <w:rPr>
          <w:rFonts w:hint="eastAsia"/>
        </w:rPr>
        <w:t>（一）公安、司法等部门提供的证明；</w:t>
      </w:r>
      <w:bookmarkEnd w:id="2022"/>
    </w:p>
    <w:p w14:paraId="38EBD35C">
      <w:r>
        <w:rPr>
          <w:rFonts w:hint="eastAsia"/>
        </w:rPr>
        <w:t>（二）街道办事处、乡镇人民政府或者居民委员会、村民委员会提供的证明；</w:t>
      </w:r>
    </w:p>
    <w:p w14:paraId="0596DB6B">
      <w:r>
        <w:rPr>
          <w:rFonts w:hint="eastAsia"/>
        </w:rPr>
        <w:t>（三）受益人提供的证明；</w:t>
      </w:r>
    </w:p>
    <w:p w14:paraId="60CE4065">
      <w:r>
        <w:rPr>
          <w:rFonts w:hint="eastAsia"/>
        </w:rPr>
        <w:t>（四）外省市县级以上人民政府提供的证明；</w:t>
      </w:r>
    </w:p>
    <w:p w14:paraId="5156F87C">
      <w:r>
        <w:rPr>
          <w:rFonts w:hint="eastAsia"/>
        </w:rPr>
        <w:t>（五）其他单位或者个人提供的证明。</w:t>
      </w:r>
    </w:p>
    <w:p w14:paraId="0366CDE4">
      <w:pPr>
        <w:ind w:firstLine="422"/>
      </w:pPr>
      <w:r>
        <w:rPr>
          <w:rFonts w:hint="eastAsia"/>
          <w:b/>
        </w:rPr>
        <w:t>第八条</w:t>
      </w:r>
      <w:r>
        <w:rPr>
          <w:rFonts w:hint="eastAsia"/>
        </w:rPr>
        <w:t xml:space="preserve">  确认为见义勇为的，民政部门应当自作出确认结论之日起</w:t>
      </w:r>
      <w:r>
        <w:rPr>
          <w:rFonts w:hint="eastAsia" w:ascii="宋体" w:hAnsi="宋体" w:eastAsia="宋体" w:cs="宋体"/>
        </w:rPr>
        <w:t>7</w:t>
      </w:r>
      <w:r>
        <w:rPr>
          <w:rFonts w:hint="eastAsia"/>
        </w:rPr>
        <w:t>个工作日内，书面通知见义勇为人员所在单位、户籍所在地的区、县民政部门和街道办事处或者乡、镇人民政府。</w:t>
      </w:r>
    </w:p>
    <w:p w14:paraId="0B95A116"/>
    <w:p w14:paraId="55E895CA">
      <w:pPr>
        <w:ind w:firstLine="0" w:firstLineChars="0"/>
        <w:jc w:val="center"/>
        <w:rPr>
          <w:b/>
          <w:sz w:val="28"/>
        </w:rPr>
      </w:pPr>
      <w:r>
        <w:rPr>
          <w:rFonts w:hint="eastAsia"/>
          <w:b/>
          <w:sz w:val="28"/>
        </w:rPr>
        <w:t>第三章　见义勇为基金和基金会</w:t>
      </w:r>
    </w:p>
    <w:p w14:paraId="561196E1"/>
    <w:p w14:paraId="574CE3C6">
      <w:pPr>
        <w:ind w:firstLine="422"/>
      </w:pPr>
      <w:r>
        <w:rPr>
          <w:rFonts w:hint="eastAsia"/>
          <w:b/>
        </w:rPr>
        <w:t>第九条</w:t>
      </w:r>
      <w:r>
        <w:rPr>
          <w:rFonts w:hint="eastAsia"/>
        </w:rPr>
        <w:t xml:space="preserve">  市和区、县人民政府设立见义勇为基金（以下简称基金）。</w:t>
      </w:r>
    </w:p>
    <w:p w14:paraId="3AED9430">
      <w:r>
        <w:rPr>
          <w:rFonts w:hint="eastAsia"/>
        </w:rPr>
        <w:t>基金是由政府拨款的专项经费，各级财政部门应当予以保障，并列入财政预算。</w:t>
      </w:r>
    </w:p>
    <w:p w14:paraId="5BED4A24">
      <w:pPr>
        <w:ind w:firstLine="422"/>
      </w:pPr>
      <w:r>
        <w:rPr>
          <w:rFonts w:hint="eastAsia"/>
          <w:b/>
        </w:rPr>
        <w:t>第十条</w:t>
      </w:r>
      <w:r>
        <w:rPr>
          <w:rFonts w:hint="eastAsia"/>
        </w:rPr>
        <w:t xml:space="preserve">  市级基金的用途：</w:t>
      </w:r>
    </w:p>
    <w:p w14:paraId="610EDB56">
      <w:bookmarkStart w:id="2023" w:name="_Toc428780447"/>
      <w:r>
        <w:rPr>
          <w:rFonts w:hint="eastAsia"/>
        </w:rPr>
        <w:t>（一）市政府对见义勇为人员的表彰和奖励；</w:t>
      </w:r>
      <w:bookmarkEnd w:id="2023"/>
    </w:p>
    <w:p w14:paraId="63832401">
      <w:r>
        <w:rPr>
          <w:rFonts w:hint="eastAsia"/>
        </w:rPr>
        <w:t>（二）对影响较大的突发性的见义勇为人员表彰和慰问；</w:t>
      </w:r>
    </w:p>
    <w:p w14:paraId="5AE54504">
      <w:r>
        <w:rPr>
          <w:rFonts w:hint="eastAsia"/>
        </w:rPr>
        <w:t>（三）市民政部门核定的其他开支。</w:t>
      </w:r>
    </w:p>
    <w:p w14:paraId="736882A0">
      <w:pPr>
        <w:ind w:firstLine="422"/>
      </w:pPr>
      <w:r>
        <w:rPr>
          <w:rFonts w:hint="eastAsia"/>
          <w:b/>
        </w:rPr>
        <w:t>第十一条</w:t>
      </w:r>
      <w:r>
        <w:rPr>
          <w:rFonts w:hint="eastAsia"/>
        </w:rPr>
        <w:t xml:space="preserve">  区、县基金的用途：</w:t>
      </w:r>
    </w:p>
    <w:p w14:paraId="7E080E35">
      <w:r>
        <w:rPr>
          <w:rFonts w:hint="eastAsia"/>
        </w:rPr>
        <w:t>（一）对见义勇为人员的评比、表彰和奖励；</w:t>
      </w:r>
    </w:p>
    <w:p w14:paraId="7DC21546">
      <w:r>
        <w:rPr>
          <w:rFonts w:hint="eastAsia"/>
        </w:rPr>
        <w:t>（二）见义勇为人员的医疗费用；</w:t>
      </w:r>
    </w:p>
    <w:p w14:paraId="11D153BC">
      <w:r>
        <w:rPr>
          <w:rFonts w:hint="eastAsia"/>
        </w:rPr>
        <w:t>（三）见义勇为人员及其家属的生活困难补助；</w:t>
      </w:r>
    </w:p>
    <w:p w14:paraId="2E174D0D">
      <w:r>
        <w:rPr>
          <w:rFonts w:hint="eastAsia"/>
        </w:rPr>
        <w:t>（四）区、县民政部门核定的其他开支。</w:t>
      </w:r>
    </w:p>
    <w:p w14:paraId="540E739C">
      <w:pPr>
        <w:ind w:firstLine="422"/>
      </w:pPr>
      <w:r>
        <w:rPr>
          <w:rFonts w:hint="eastAsia"/>
          <w:b/>
        </w:rPr>
        <w:t>第十二条</w:t>
      </w:r>
      <w:r>
        <w:rPr>
          <w:rFonts w:hint="eastAsia"/>
        </w:rPr>
        <w:t xml:space="preserve">  基金应当严格管理，专款专用，接受财政、审计部门的监督。</w:t>
      </w:r>
    </w:p>
    <w:p w14:paraId="4EEEB413">
      <w:pPr>
        <w:ind w:firstLine="422"/>
      </w:pPr>
      <w:r>
        <w:rPr>
          <w:rFonts w:hint="eastAsia"/>
          <w:b/>
        </w:rPr>
        <w:t>第十三条</w:t>
      </w:r>
      <w:r>
        <w:rPr>
          <w:rFonts w:hint="eastAsia"/>
        </w:rPr>
        <w:t xml:space="preserve">  本市依法设立见义勇为基金会（以下简称基金会），基金会是依法成立的社会团体法人。</w:t>
      </w:r>
    </w:p>
    <w:p w14:paraId="6437512A">
      <w:pPr>
        <w:ind w:firstLine="422"/>
      </w:pPr>
      <w:r>
        <w:rPr>
          <w:rFonts w:hint="eastAsia"/>
          <w:b/>
        </w:rPr>
        <w:t>第十四条</w:t>
      </w:r>
      <w:r>
        <w:rPr>
          <w:rFonts w:hint="eastAsia"/>
        </w:rPr>
        <w:t>　基金会可以依法向社会募集基金，用于对见义勇为人员的奖励和保护。</w:t>
      </w:r>
    </w:p>
    <w:p w14:paraId="08FDAE27">
      <w:pPr>
        <w:ind w:firstLine="422"/>
      </w:pPr>
      <w:r>
        <w:rPr>
          <w:rFonts w:hint="eastAsia"/>
          <w:b/>
        </w:rPr>
        <w:t>第十五条</w:t>
      </w:r>
      <w:r>
        <w:rPr>
          <w:rFonts w:hint="eastAsia"/>
        </w:rPr>
        <w:t>　基金会应当建立、健全基金的使用和管理的规章制度，并由理事会行使基金的使用权和管理权。</w:t>
      </w:r>
    </w:p>
    <w:p w14:paraId="4CDE05D0">
      <w:r>
        <w:rPr>
          <w:rFonts w:hint="eastAsia"/>
        </w:rPr>
        <w:t>基金会应当实行民主管理，建立严格的资金筹集、管理、使用制度，定期公布账目。</w:t>
      </w:r>
    </w:p>
    <w:p w14:paraId="3C9211C5"/>
    <w:p w14:paraId="6D64018E">
      <w:pPr>
        <w:ind w:firstLine="0" w:firstLineChars="0"/>
        <w:jc w:val="center"/>
        <w:rPr>
          <w:b/>
          <w:sz w:val="28"/>
        </w:rPr>
      </w:pPr>
      <w:r>
        <w:rPr>
          <w:rFonts w:hint="eastAsia"/>
          <w:b/>
          <w:sz w:val="28"/>
        </w:rPr>
        <w:t>第四章　奖励和保护</w:t>
      </w:r>
    </w:p>
    <w:p w14:paraId="5EA87818"/>
    <w:p w14:paraId="46C8A37B">
      <w:pPr>
        <w:ind w:firstLine="422"/>
      </w:pPr>
      <w:r>
        <w:rPr>
          <w:rFonts w:hint="eastAsia"/>
          <w:b/>
        </w:rPr>
        <w:t>第十六条</w:t>
      </w:r>
      <w:r>
        <w:rPr>
          <w:rFonts w:hint="eastAsia"/>
        </w:rPr>
        <w:t>　对见义勇为人员及其家属的奖励和保护，由行为发生地和见义勇为人员及其家属户籍所在地的区、县人民政府，按照本办法分别负责。</w:t>
      </w:r>
    </w:p>
    <w:p w14:paraId="319067C7">
      <w:pPr>
        <w:ind w:firstLine="422"/>
      </w:pPr>
      <w:r>
        <w:rPr>
          <w:rFonts w:hint="eastAsia"/>
          <w:b/>
        </w:rPr>
        <w:t>第十七条</w:t>
      </w:r>
      <w:r>
        <w:rPr>
          <w:rFonts w:hint="eastAsia"/>
        </w:rPr>
        <w:t>　对见义勇为人员的表彰和奖励办法按照相关法规和本市有关规定执行。</w:t>
      </w:r>
    </w:p>
    <w:p w14:paraId="739151DD">
      <w:r>
        <w:rPr>
          <w:rFonts w:hint="eastAsia"/>
        </w:rPr>
        <w:t>对见义勇为人员的奖金免征个人所得税。</w:t>
      </w:r>
    </w:p>
    <w:p w14:paraId="19BE58AF">
      <w:pPr>
        <w:ind w:firstLine="422"/>
      </w:pPr>
      <w:r>
        <w:rPr>
          <w:rFonts w:hint="eastAsia"/>
          <w:b/>
        </w:rPr>
        <w:t>第十八条</w:t>
      </w:r>
      <w:r>
        <w:rPr>
          <w:rFonts w:hint="eastAsia"/>
        </w:rPr>
        <w:t>　医疗机构对见义勇为负伤人员应当及时组织抢救，不得延误救治；在治疗过程中精心护理，提供良好服务；医疗费用应当适当减免。</w:t>
      </w:r>
    </w:p>
    <w:p w14:paraId="68AB35A1">
      <w:pPr>
        <w:ind w:firstLine="422"/>
      </w:pPr>
      <w:r>
        <w:rPr>
          <w:rFonts w:hint="eastAsia"/>
          <w:b/>
        </w:rPr>
        <w:t>第十九条</w:t>
      </w:r>
      <w:r>
        <w:rPr>
          <w:rFonts w:hint="eastAsia"/>
        </w:rPr>
        <w:t>　见义勇为负伤人员的医疗费用，有加害人或者责任人的，由加害人或者责任人依法承担；无加害人或者责任人以及加害人或者责任人不明的，按照以下办法解决：</w:t>
      </w:r>
    </w:p>
    <w:p w14:paraId="62349C67">
      <w:r>
        <w:rPr>
          <w:rFonts w:hint="eastAsia"/>
        </w:rPr>
        <w:t>（一）参加社会保险的，由保险机构按规定支付；不足部分由行为发生地的区、县民政部门从基金中支付；</w:t>
      </w:r>
    </w:p>
    <w:p w14:paraId="75640EF7">
      <w:r>
        <w:rPr>
          <w:rFonts w:hint="eastAsia"/>
        </w:rPr>
        <w:t>（二）无工作单位或者有工作单位未参加社会保险的，由行为发生地的区、县民政部门从基金中支付；</w:t>
      </w:r>
    </w:p>
    <w:p w14:paraId="4FAC38F2">
      <w:r>
        <w:rPr>
          <w:rFonts w:hint="eastAsia"/>
        </w:rPr>
        <w:t>（三）非本市人员在本市见义勇为的，其医疗费用由行为发生地的区、县民政部门从基金中支付。</w:t>
      </w:r>
    </w:p>
    <w:p w14:paraId="5E240B25">
      <w:pPr>
        <w:ind w:firstLine="422"/>
      </w:pPr>
      <w:r>
        <w:rPr>
          <w:rFonts w:hint="eastAsia"/>
          <w:b/>
        </w:rPr>
        <w:t>第二十条</w:t>
      </w:r>
      <w:r>
        <w:rPr>
          <w:rFonts w:hint="eastAsia"/>
        </w:rPr>
        <w:t>　无工作单位见义勇为负伤人员在医疗期间，由行为发生地的区、县民政部门从基金中给予不低于本市当时城镇居民最低生活保障标准的经济补助。</w:t>
      </w:r>
    </w:p>
    <w:p w14:paraId="27001FA5">
      <w:pPr>
        <w:ind w:firstLine="422"/>
      </w:pPr>
      <w:r>
        <w:rPr>
          <w:rFonts w:hint="eastAsia"/>
          <w:b/>
        </w:rPr>
        <w:t>第二十一条</w:t>
      </w:r>
      <w:r>
        <w:rPr>
          <w:rFonts w:hint="eastAsia"/>
        </w:rPr>
        <w:t>　对见义勇为致残人员，凡符合享受工伤保险待遇条件的，依据《工伤保险条例》落实相应待遇；不符合享受工伤保险待遇条件的，按照《伤残抚恤管理办法》及有关规定，由民政部门评定伤残等级并落实相应待遇。</w:t>
      </w:r>
    </w:p>
    <w:p w14:paraId="73089B69">
      <w:r>
        <w:rPr>
          <w:rFonts w:hint="eastAsia"/>
        </w:rPr>
        <w:t>在评残过程中，卫生、医疗机构等部门应当积极配合。</w:t>
      </w:r>
    </w:p>
    <w:p w14:paraId="00E759E5">
      <w:pPr>
        <w:ind w:firstLine="422"/>
      </w:pPr>
      <w:r>
        <w:rPr>
          <w:rFonts w:hint="eastAsia"/>
          <w:b/>
        </w:rPr>
        <w:t>第二十二条</w:t>
      </w:r>
      <w:r>
        <w:rPr>
          <w:rFonts w:hint="eastAsia"/>
        </w:rPr>
        <w:t>　因见义勇为牺牲的，其抚恤按照国家有关因公（工）死亡规定办理；国家没有规定的，由户籍所在地的区、县民政部门从基金中给予一次性抚恤金。</w:t>
      </w:r>
    </w:p>
    <w:p w14:paraId="4FA60505">
      <w:pPr>
        <w:ind w:firstLine="422"/>
      </w:pPr>
      <w:r>
        <w:rPr>
          <w:rFonts w:hint="eastAsia"/>
          <w:b/>
        </w:rPr>
        <w:t>第二十三条</w:t>
      </w:r>
      <w:r>
        <w:rPr>
          <w:rFonts w:hint="eastAsia"/>
        </w:rPr>
        <w:t>　见义勇为人员受伤致残后尚有一定劳动能力而无工作单位的，应当依据《中华人民共和国残疾人保障法》和本市有关规定解决就业；生活不能自理且家庭供养困难的，经本人申请，所在区、县民政部门批准，可以安置到社会福利机构。</w:t>
      </w:r>
    </w:p>
    <w:p w14:paraId="548E9A30">
      <w:pPr>
        <w:ind w:firstLine="422"/>
      </w:pPr>
      <w:r>
        <w:rPr>
          <w:rFonts w:hint="eastAsia"/>
          <w:b/>
        </w:rPr>
        <w:t>第二十四条</w:t>
      </w:r>
      <w:r>
        <w:rPr>
          <w:rFonts w:hint="eastAsia"/>
        </w:rPr>
        <w:t>　因见义勇为牺牲或者致残丧失劳动能力的人员，其家属没有生活来源的，由人事、劳动和社会保障部门在同等条件下优先推荐就业；愿意从事个体经营的，由工商、税务等部门给予优先办理证照、减免有关税费等照顾。</w:t>
      </w:r>
    </w:p>
    <w:p w14:paraId="50739E75">
      <w:pPr>
        <w:ind w:firstLine="422"/>
      </w:pPr>
      <w:r>
        <w:rPr>
          <w:rFonts w:hint="eastAsia"/>
          <w:b/>
        </w:rPr>
        <w:t>第二十五条</w:t>
      </w:r>
      <w:r>
        <w:rPr>
          <w:rFonts w:hint="eastAsia"/>
        </w:rPr>
        <w:t>　见义勇为牺牲人员家属、致残人员及其家属，在支付住房租金、医疗费、子女上学费等方面有实际困难的，经区、县民政部门调查核实，由户籍所在地的区、县民政部门从基金中给予经济补助，有关部门应当适当减免费用。</w:t>
      </w:r>
    </w:p>
    <w:p w14:paraId="69710927">
      <w:pPr>
        <w:ind w:firstLine="422"/>
      </w:pPr>
      <w:r>
        <w:rPr>
          <w:rFonts w:hint="eastAsia"/>
          <w:b/>
        </w:rPr>
        <w:t>第二十六条</w:t>
      </w:r>
      <w:r>
        <w:rPr>
          <w:rFonts w:hint="eastAsia"/>
        </w:rPr>
        <w:t>　对获得区、县级以上人民政府见义勇为荣誉称号的人员，由人事、劳动和社会保障部门优先推荐就业；由教育部门在普通、各类成人高等学校统一招生和研究生招生中的录取分数线等方面给予照顾，具体办法由教育部门另行规定。</w:t>
      </w:r>
    </w:p>
    <w:p w14:paraId="27E9F1D6">
      <w:pPr>
        <w:ind w:firstLine="422"/>
      </w:pPr>
      <w:r>
        <w:rPr>
          <w:rFonts w:hint="eastAsia"/>
          <w:b/>
        </w:rPr>
        <w:t>第二十七条</w:t>
      </w:r>
      <w:r>
        <w:rPr>
          <w:rFonts w:hint="eastAsia"/>
        </w:rPr>
        <w:t>　见义勇为人员及其家属需要法律援助的，法律援助机构应当积极给予帮助。</w:t>
      </w:r>
    </w:p>
    <w:p w14:paraId="6D163AC7">
      <w:pPr>
        <w:ind w:firstLine="422"/>
      </w:pPr>
      <w:r>
        <w:rPr>
          <w:rFonts w:hint="eastAsia"/>
          <w:b/>
        </w:rPr>
        <w:t>第二十八条</w:t>
      </w:r>
      <w:r>
        <w:rPr>
          <w:rFonts w:hint="eastAsia"/>
        </w:rPr>
        <w:t>　对奖励和保护见义勇为人员工作成绩突出的单位，市和区、县人民政府应当给予表彰。</w:t>
      </w:r>
    </w:p>
    <w:p w14:paraId="00F06CC3">
      <w:pPr>
        <w:spacing w:line="300" w:lineRule="exact"/>
      </w:pPr>
    </w:p>
    <w:p w14:paraId="737F50B8">
      <w:pPr>
        <w:ind w:firstLine="0" w:firstLineChars="0"/>
        <w:jc w:val="center"/>
        <w:rPr>
          <w:b/>
          <w:sz w:val="28"/>
        </w:rPr>
      </w:pPr>
      <w:r>
        <w:rPr>
          <w:rFonts w:hint="eastAsia"/>
          <w:b/>
          <w:sz w:val="28"/>
        </w:rPr>
        <w:t>第五章　附  则</w:t>
      </w:r>
    </w:p>
    <w:p w14:paraId="1AC7BD7A">
      <w:pPr>
        <w:spacing w:line="300" w:lineRule="exact"/>
        <w:ind w:firstLine="0" w:firstLineChars="0"/>
        <w:jc w:val="center"/>
        <w:rPr>
          <w:b/>
          <w:sz w:val="28"/>
        </w:rPr>
      </w:pPr>
    </w:p>
    <w:p w14:paraId="48024E84">
      <w:pPr>
        <w:ind w:firstLine="422"/>
      </w:pPr>
      <w:r>
        <w:rPr>
          <w:rFonts w:hint="eastAsia"/>
          <w:b/>
        </w:rPr>
        <w:t>第二十九条</w:t>
      </w:r>
      <w:r>
        <w:rPr>
          <w:rFonts w:hint="eastAsia"/>
        </w:rPr>
        <w:t>　非本市人员在本市行政区域内见义勇为，或者本市居民在本市行政区域外见义勇为，《条例》中规定的奖励和保护措施应当由本市有关单位落实的，按照《条例》和本办法执行。</w:t>
      </w:r>
    </w:p>
    <w:p w14:paraId="27DD15F2">
      <w:pPr>
        <w:ind w:firstLine="422"/>
        <w:rPr>
          <w:rFonts w:hint="eastAsia" w:ascii="宋体" w:hAnsi="宋体" w:eastAsia="宋体" w:cs="宋体"/>
        </w:rPr>
      </w:pPr>
      <w:r>
        <w:rPr>
          <w:rFonts w:hint="eastAsia"/>
          <w:b/>
        </w:rPr>
        <w:t>第三十条</w:t>
      </w:r>
      <w:r>
        <w:rPr>
          <w:rFonts w:hint="eastAsia"/>
        </w:rPr>
        <w:t xml:space="preserve">  本办</w:t>
      </w:r>
      <w:r>
        <w:rPr>
          <w:rFonts w:hint="eastAsia" w:ascii="宋体" w:hAnsi="宋体" w:eastAsia="宋体" w:cs="宋体"/>
        </w:rPr>
        <w:t>法自2000年8月1日起施行。</w:t>
      </w:r>
    </w:p>
    <w:p w14:paraId="1E8FEFDF">
      <w:pPr>
        <w:pStyle w:val="4"/>
        <w:pageBreakBefore/>
      </w:pPr>
      <w:bookmarkStart w:id="2024" w:name="_Toc426467043"/>
      <w:bookmarkStart w:id="2025" w:name="_Toc428781791"/>
      <w:bookmarkStart w:id="2026" w:name="_Toc428780448"/>
      <w:r>
        <w:rPr>
          <w:rFonts w:hint="eastAsia"/>
        </w:rPr>
        <w:t>北京市实施《婚姻登记条例》若干规定</w:t>
      </w:r>
      <w:bookmarkEnd w:id="2024"/>
      <w:bookmarkEnd w:id="2025"/>
      <w:bookmarkEnd w:id="2026"/>
    </w:p>
    <w:p w14:paraId="45BD1CF2">
      <w:pPr>
        <w:ind w:left="630" w:leftChars="300" w:right="630" w:rightChars="300"/>
        <w:rPr>
          <w:rFonts w:ascii="楷体" w:hAnsi="楷体" w:eastAsia="楷体"/>
        </w:rPr>
      </w:pPr>
      <w:r>
        <w:rPr>
          <w:rFonts w:hint="eastAsia" w:ascii="楷体" w:hAnsi="楷体" w:eastAsia="楷体"/>
        </w:rPr>
        <w:t>（2003年11月17日北京市人民政府第137号令发布　根据2014年7月9日北京市人民政府第259号令修改）</w:t>
      </w:r>
    </w:p>
    <w:p w14:paraId="5D0AB7EE"/>
    <w:p w14:paraId="1687D193">
      <w:pPr>
        <w:ind w:firstLine="422"/>
      </w:pPr>
      <w:r>
        <w:rPr>
          <w:rFonts w:hint="eastAsia"/>
          <w:b/>
        </w:rPr>
        <w:t>第一条</w:t>
      </w:r>
      <w:r>
        <w:rPr>
          <w:rFonts w:hint="eastAsia"/>
        </w:rPr>
        <w:t xml:space="preserve">  为了实施国务院制定的《婚姻登记条例》，结合本市实际情况，制定本规定。</w:t>
      </w:r>
    </w:p>
    <w:p w14:paraId="740C4FFF">
      <w:pPr>
        <w:ind w:firstLine="422"/>
      </w:pPr>
      <w:r>
        <w:rPr>
          <w:rFonts w:hint="eastAsia"/>
          <w:b/>
        </w:rPr>
        <w:t>第二条</w:t>
      </w:r>
      <w:r>
        <w:rPr>
          <w:rFonts w:hint="eastAsia"/>
        </w:rPr>
        <w:t xml:space="preserve">  一方或者双方为本市居民的婚姻登记，由本市区、县民政局办理。</w:t>
      </w:r>
    </w:p>
    <w:p w14:paraId="3392AF2F">
      <w:pPr>
        <w:ind w:firstLine="422"/>
      </w:pPr>
      <w:r>
        <w:rPr>
          <w:rFonts w:hint="eastAsia"/>
          <w:b/>
        </w:rPr>
        <w:t>第三条</w:t>
      </w:r>
      <w:r>
        <w:rPr>
          <w:rFonts w:hint="eastAsia"/>
        </w:rPr>
        <w:t xml:space="preserve">  市和区、县民政局（以下简称婚姻登记机关）应当根据婚姻登记工作的需要，配备专职的婚姻登记人员。</w:t>
      </w:r>
    </w:p>
    <w:p w14:paraId="2AF1CC74">
      <w:r>
        <w:rPr>
          <w:rFonts w:hint="eastAsia"/>
        </w:rPr>
        <w:t>婚姻登记机关应当将与办理婚姻登记有关的依据、条件、程序以及需要提交的全部材料的目录和文书示范文本，在办理婚姻登记的场所公示。</w:t>
      </w:r>
    </w:p>
    <w:p w14:paraId="3B767BFD">
      <w:r>
        <w:rPr>
          <w:rFonts w:hint="eastAsia"/>
        </w:rPr>
        <w:t>婚姻登记机关除按照收费标准向当事人收取婚姻登记证书工本费外，不得收取其他任何费用或者附加其他义务；不得从事任何经营性活动或者谋取其他利益。</w:t>
      </w:r>
    </w:p>
    <w:p w14:paraId="42D77C25">
      <w:pPr>
        <w:ind w:firstLine="422"/>
      </w:pPr>
      <w:r>
        <w:rPr>
          <w:rFonts w:hint="eastAsia"/>
          <w:b/>
        </w:rPr>
        <w:t>第四条</w:t>
      </w:r>
      <w:r>
        <w:rPr>
          <w:rFonts w:hint="eastAsia"/>
        </w:rPr>
        <w:t xml:space="preserve">  婚姻登记工作由经市民政局统一培训、考核合格的人员办理。婚姻登记员应当佩戴标志。</w:t>
      </w:r>
    </w:p>
    <w:p w14:paraId="5B436469">
      <w:pPr>
        <w:ind w:firstLine="422"/>
      </w:pPr>
      <w:r>
        <w:rPr>
          <w:rFonts w:hint="eastAsia"/>
          <w:b/>
        </w:rPr>
        <w:t>第五条</w:t>
      </w:r>
      <w:r>
        <w:rPr>
          <w:rFonts w:hint="eastAsia"/>
        </w:rPr>
        <w:t xml:space="preserve">  当事人办理结婚登记时，应当依照《婚姻登记条例》第五条规定，向婚姻登记机关出具相关证件、证明材料。经公证、认证的声明和证明，自出具之日起六个月内有效。证件、证明材料是外文的，当事人应当同时提交中文翻译文本。</w:t>
      </w:r>
    </w:p>
    <w:p w14:paraId="0A1C27E8">
      <w:r>
        <w:rPr>
          <w:rFonts w:hint="eastAsia"/>
        </w:rPr>
        <w:t>当事人办理结婚登记时，应当提交三张大二寸双方近期半身免冠合影照片，依照《婚姻登记条例》第五条的规定填写声明并签字。当事人签署声明时，应当有婚姻登记员在场。</w:t>
      </w:r>
    </w:p>
    <w:p w14:paraId="439590D8">
      <w:pPr>
        <w:ind w:firstLine="422"/>
      </w:pPr>
      <w:r>
        <w:rPr>
          <w:rFonts w:hint="eastAsia"/>
          <w:b/>
        </w:rPr>
        <w:t>第六条</w:t>
      </w:r>
      <w:r>
        <w:rPr>
          <w:rFonts w:hint="eastAsia"/>
        </w:rPr>
        <w:t xml:space="preserve">  婚姻登记机关应当对结婚登记当事人出具的证件、证明材料进行审查，并询问相关情况。对当事人符合结婚条件的，婚姻登记机关应当当场予以登记，颁发结婚证；对当事人有《婚姻登记条例》第六条规定的情形，不符合结婚条件的，不予登记，并应当以书面形式向当事人说明理由。</w:t>
      </w:r>
    </w:p>
    <w:p w14:paraId="0CD84A8B">
      <w:r>
        <w:rPr>
          <w:rFonts w:hint="eastAsia"/>
        </w:rPr>
        <w:t>婚姻登记机关对不属于本婚姻登记机关管辖的，应当当场告知当事人有权办理婚姻登记的机关；对证件、证明材料不齐全、不一致、损毁或者无效的，应当当场一次性告知当事人需要补充的全部材料。</w:t>
      </w:r>
    </w:p>
    <w:p w14:paraId="45E5F005">
      <w:pPr>
        <w:ind w:firstLine="422"/>
      </w:pPr>
      <w:r>
        <w:rPr>
          <w:rFonts w:hint="eastAsia"/>
          <w:b/>
        </w:rPr>
        <w:t>第七条</w:t>
      </w:r>
      <w:r>
        <w:rPr>
          <w:rFonts w:hint="eastAsia"/>
        </w:rPr>
        <w:t xml:space="preserve">  男女双方补办结婚登记或者办理复婚登记的，适用结婚登记的有关规定。</w:t>
      </w:r>
    </w:p>
    <w:p w14:paraId="4F031981">
      <w:pPr>
        <w:ind w:firstLine="422"/>
      </w:pPr>
      <w:r>
        <w:rPr>
          <w:rFonts w:hint="eastAsia"/>
          <w:b/>
        </w:rPr>
        <w:t>第八条</w:t>
      </w:r>
      <w:r>
        <w:rPr>
          <w:rFonts w:hint="eastAsia"/>
        </w:rPr>
        <w:t xml:space="preserve">  因受胁迫结婚，受胁迫的当事人依据《中华人民共和国婚姻法》第十一条规定请求撤销其婚姻的，当事人应当亲自向原办理结婚登记的婚姻登记机关提出书面请求，并提交下列证件、证明材料：</w:t>
      </w:r>
    </w:p>
    <w:p w14:paraId="2775737D">
      <w:bookmarkStart w:id="2027" w:name="_Toc428780449"/>
      <w:r>
        <w:rPr>
          <w:rFonts w:hint="eastAsia"/>
        </w:rPr>
        <w:t>（一）本人的身份证和结婚证；</w:t>
      </w:r>
      <w:bookmarkEnd w:id="2027"/>
    </w:p>
    <w:p w14:paraId="5FFF6A4B">
      <w:r>
        <w:rPr>
          <w:rFonts w:hint="eastAsia"/>
        </w:rPr>
        <w:t>（二）公安机关出具的解救证明、人民法院作出的有受胁迫结婚内容的判决书或者其他能够证明受胁迫结婚的证明材料。</w:t>
      </w:r>
    </w:p>
    <w:p w14:paraId="7CC85350">
      <w:pPr>
        <w:ind w:firstLine="422"/>
      </w:pPr>
      <w:r>
        <w:rPr>
          <w:rFonts w:hint="eastAsia"/>
          <w:b/>
        </w:rPr>
        <w:t>第九条</w:t>
      </w:r>
      <w:r>
        <w:rPr>
          <w:rFonts w:hint="eastAsia"/>
        </w:rPr>
        <w:t xml:space="preserve">  对有下列情形之一的撤销婚姻请求，婚姻登记机关不予受理，并应当以书面形式向当事人说明理由：</w:t>
      </w:r>
    </w:p>
    <w:p w14:paraId="54516933">
      <w:bookmarkStart w:id="2028" w:name="_Toc428780450"/>
      <w:r>
        <w:rPr>
          <w:rFonts w:hint="eastAsia"/>
        </w:rPr>
        <w:t>（一）不符合《中华人民共和国婚姻法》第十一条规定的请求时效的；</w:t>
      </w:r>
      <w:bookmarkEnd w:id="2028"/>
    </w:p>
    <w:p w14:paraId="60707C84">
      <w:r>
        <w:rPr>
          <w:rFonts w:hint="eastAsia"/>
        </w:rPr>
        <w:t>（二）不能提供本规定第八条规定的证件、证明材料的。</w:t>
      </w:r>
    </w:p>
    <w:p w14:paraId="21812F89">
      <w:r>
        <w:rPr>
          <w:rFonts w:hint="eastAsia"/>
        </w:rPr>
        <w:t>婚姻登记机关在办理撤销婚姻过程中，发现当事人撤销婚姻的请求已被人民法院受理的，应当终止办理。</w:t>
      </w:r>
    </w:p>
    <w:p w14:paraId="1D205C14">
      <w:pPr>
        <w:ind w:firstLine="422"/>
      </w:pPr>
      <w:r>
        <w:rPr>
          <w:rFonts w:hint="eastAsia"/>
          <w:b/>
        </w:rPr>
        <w:t>第十条</w:t>
      </w:r>
      <w:r>
        <w:rPr>
          <w:rFonts w:hint="eastAsia"/>
        </w:rPr>
        <w:t xml:space="preserve">  婚姻登记机关对撤销婚姻的请求，应当自受理之日起三十日内作出决定。婚姻登记机关经审查，认为受胁迫结婚情况属实且不及子女抚养、财产及债务问题的，应当作出撤销婚姻的决定，宣告结婚证作废，并予以公告。公告的期限不少于三十日。</w:t>
      </w:r>
    </w:p>
    <w:p w14:paraId="484724EA">
      <w:pPr>
        <w:ind w:firstLine="422"/>
      </w:pPr>
      <w:r>
        <w:rPr>
          <w:rFonts w:hint="eastAsia"/>
          <w:b/>
        </w:rPr>
        <w:t>第十一条</w:t>
      </w:r>
      <w:r>
        <w:rPr>
          <w:rFonts w:hint="eastAsia"/>
        </w:rPr>
        <w:t xml:space="preserve">  当事人在本市自愿离婚的，男女双方应当依照《婚姻登记条例》第十一条的规定，向婚姻登记机关出具相关证件、证明材料，并同时提交二寸近期半身免冠单人照片各两张。证件、证明材料是外文的，当事人应当同时提交中文翻译文本。</w:t>
      </w:r>
    </w:p>
    <w:p w14:paraId="6009D046">
      <w:r>
        <w:rPr>
          <w:rFonts w:hint="eastAsia"/>
        </w:rPr>
        <w:t>婚姻登记机关应当对离婚登记当事人出具的证件、证明材料进行审查，询问相关情况。对符合《婚姻登记条例》第十三条规定的，婚姻登记机关应当当场予以登记，颁发离婚证，同时注销结婚证。</w:t>
      </w:r>
    </w:p>
    <w:p w14:paraId="5EE15B08">
      <w:pPr>
        <w:ind w:firstLine="422"/>
      </w:pPr>
      <w:r>
        <w:rPr>
          <w:rFonts w:hint="eastAsia"/>
          <w:b/>
        </w:rPr>
        <w:t>第十二条</w:t>
      </w:r>
      <w:r>
        <w:rPr>
          <w:rFonts w:hint="eastAsia"/>
        </w:rPr>
        <w:t xml:space="preserve">  结婚证、离婚证遗失或者损毁的，当事人可以持户口簿、身份证向原办理婚姻登记的机关或者一方当事人常住户口所在地的婚姻登记机关申请补领。婚姻登记机关对当事人的婚姻登记档案进行查证，确认属实的，可以为当事人补发结婚证、离婚证。无档可查或者难以查证当事人婚姻登记档案的，当事人应当提交合法、有效的夫妻关系或者婚姻状况证明材料；当事人无法提交的，婚姻登记机关不予补发结婚证、离婚证。</w:t>
      </w:r>
    </w:p>
    <w:p w14:paraId="23840AC3">
      <w:pPr>
        <w:ind w:firstLine="422"/>
      </w:pPr>
      <w:r>
        <w:rPr>
          <w:rFonts w:hint="eastAsia"/>
          <w:b/>
        </w:rPr>
        <w:t>第十三条</w:t>
      </w:r>
      <w:r>
        <w:rPr>
          <w:rFonts w:hint="eastAsia"/>
        </w:rPr>
        <w:t xml:space="preserve">  婚姻登记机关及其婚姻登记员有下列行为之一的，由有关部门对直接负责的主管人员和其他直接责任人员依法给予行政处分：</w:t>
      </w:r>
    </w:p>
    <w:p w14:paraId="31F3B623">
      <w:bookmarkStart w:id="2029" w:name="_Toc428780451"/>
      <w:r>
        <w:rPr>
          <w:rFonts w:hint="eastAsia"/>
        </w:rPr>
        <w:t>（一）为不符合婚姻登记条件的当事人办理婚姻登记的；</w:t>
      </w:r>
      <w:bookmarkEnd w:id="2029"/>
    </w:p>
    <w:p w14:paraId="11A35632">
      <w:r>
        <w:rPr>
          <w:rFonts w:hint="eastAsia"/>
        </w:rPr>
        <w:t>（二）玩忽职守造成婚姻登记档案遗失或者损毁的；</w:t>
      </w:r>
    </w:p>
    <w:p w14:paraId="503F3D13">
      <w:bookmarkStart w:id="2030" w:name="_Toc428780452"/>
      <w:r>
        <w:rPr>
          <w:rFonts w:hint="eastAsia"/>
        </w:rPr>
        <w:t>（三）违反收费标准收取费用或者附加其他义务的；</w:t>
      </w:r>
      <w:bookmarkEnd w:id="2030"/>
    </w:p>
    <w:p w14:paraId="210AA3A5">
      <w:r>
        <w:rPr>
          <w:rFonts w:hint="eastAsia"/>
        </w:rPr>
        <w:t>（四）从事经营性活动或者谋取其他利益的。</w:t>
      </w:r>
    </w:p>
    <w:p w14:paraId="18A74004">
      <w:r>
        <w:rPr>
          <w:rFonts w:hint="eastAsia"/>
        </w:rPr>
        <w:t>对违反前款第（三）项规定收取的费用，婚姻登记机关应当如数退还当事人。</w:t>
      </w:r>
    </w:p>
    <w:p w14:paraId="47022D82">
      <w:pPr>
        <w:ind w:firstLine="422"/>
        <w:rPr>
          <w:rFonts w:hint="eastAsia" w:ascii="宋体" w:hAnsi="宋体" w:eastAsia="宋体" w:cs="宋体"/>
        </w:rPr>
      </w:pPr>
      <w:r>
        <w:rPr>
          <w:rFonts w:hint="eastAsia"/>
          <w:b/>
        </w:rPr>
        <w:t>第十四条</w:t>
      </w:r>
      <w:r>
        <w:rPr>
          <w:rFonts w:hint="eastAsia"/>
        </w:rPr>
        <w:t>　</w:t>
      </w:r>
      <w:r>
        <w:rPr>
          <w:rFonts w:hint="eastAsia" w:ascii="宋体" w:hAnsi="宋体" w:eastAsia="宋体" w:cs="宋体"/>
        </w:rPr>
        <w:t>本规定自2004年1月1日起施行。1996年3月20日北京市人民政府第4号令发布的《北京市婚姻登记管理办法》同时废止。</w:t>
      </w:r>
    </w:p>
    <w:p w14:paraId="05A5DAE3">
      <w:pPr>
        <w:pStyle w:val="4"/>
        <w:pageBreakBefore/>
      </w:pPr>
      <w:bookmarkStart w:id="2031" w:name="_Toc428781792"/>
      <w:bookmarkStart w:id="2032" w:name="_Toc426467044"/>
      <w:bookmarkStart w:id="2033" w:name="_Toc428780453"/>
      <w:r>
        <w:rPr>
          <w:rFonts w:hint="eastAsia"/>
        </w:rPr>
        <w:t>北京市实施《军人抚恤优待条例》办法</w:t>
      </w:r>
      <w:bookmarkEnd w:id="2031"/>
      <w:bookmarkEnd w:id="2032"/>
      <w:bookmarkEnd w:id="2033"/>
    </w:p>
    <w:p w14:paraId="2DBAA9F2">
      <w:pPr>
        <w:ind w:left="630" w:leftChars="300" w:right="630" w:rightChars="300"/>
        <w:rPr>
          <w:rFonts w:ascii="楷体" w:hAnsi="楷体" w:eastAsia="楷体"/>
        </w:rPr>
      </w:pPr>
      <w:r>
        <w:rPr>
          <w:rFonts w:hint="eastAsia" w:ascii="楷体" w:hAnsi="楷体" w:eastAsia="楷体"/>
        </w:rPr>
        <w:t>（2005年12月30日北京市人民政府第46次常务会议审议通过  2006年1月14日北京市人民政府第167号令公布）</w:t>
      </w:r>
    </w:p>
    <w:p w14:paraId="3D278F5B"/>
    <w:p w14:paraId="19D10731">
      <w:pPr>
        <w:ind w:firstLine="0" w:firstLineChars="0"/>
        <w:jc w:val="center"/>
        <w:rPr>
          <w:b/>
          <w:sz w:val="28"/>
        </w:rPr>
      </w:pPr>
      <w:r>
        <w:rPr>
          <w:rFonts w:hint="eastAsia"/>
          <w:b/>
          <w:sz w:val="28"/>
        </w:rPr>
        <w:t>第一章　总　则</w:t>
      </w:r>
    </w:p>
    <w:p w14:paraId="5B725DDD"/>
    <w:p w14:paraId="57FC2834">
      <w:pPr>
        <w:ind w:firstLine="422"/>
      </w:pPr>
      <w:r>
        <w:rPr>
          <w:rFonts w:hint="eastAsia"/>
          <w:b/>
        </w:rPr>
        <w:t>第一条</w:t>
      </w:r>
      <w:r>
        <w:rPr>
          <w:rFonts w:hint="eastAsia"/>
        </w:rPr>
        <w:t xml:space="preserve">  为了贯彻实施国务院《军人抚恤优待条例》（以下简称《条例》），结合本市实际情况，制定本办法。</w:t>
      </w:r>
    </w:p>
    <w:p w14:paraId="3AB7D611">
      <w:pPr>
        <w:ind w:firstLine="422"/>
      </w:pPr>
      <w:r>
        <w:rPr>
          <w:rFonts w:hint="eastAsia"/>
          <w:b/>
        </w:rPr>
        <w:t>第二条</w:t>
      </w:r>
      <w:r>
        <w:rPr>
          <w:rFonts w:hint="eastAsia"/>
        </w:rPr>
        <w:t xml:space="preserve">  中国人民解放军现役军人（以下简称现役军人）在本市行政区域内，依照《条例》和本办法的规定享受优待。</w:t>
      </w:r>
    </w:p>
    <w:p w14:paraId="4EB83CE2">
      <w:r>
        <w:rPr>
          <w:rFonts w:hint="eastAsia"/>
        </w:rPr>
        <w:t>具有本市户籍的退出现役的残疾军人、复员军人、退伍军人和烈士遗属、因公牺牲军人遗属、病故军人遗属、现役军人家属，在本市行政区域内，依照《条例》和本办法的规定享受抚恤优待。</w:t>
      </w:r>
    </w:p>
    <w:p w14:paraId="2C46F8C9">
      <w:pPr>
        <w:ind w:firstLine="422"/>
      </w:pPr>
      <w:r>
        <w:rPr>
          <w:rFonts w:hint="eastAsia"/>
          <w:b/>
        </w:rPr>
        <w:t>第三条</w:t>
      </w:r>
      <w:r>
        <w:rPr>
          <w:rFonts w:hint="eastAsia"/>
        </w:rPr>
        <w:t xml:space="preserve">  本市各级人民政府应当保障由本市负担的军人抚恤优待所需经费。军人抚恤优待经费应当专款专用，并接受财政、审计部门的监督。</w:t>
      </w:r>
    </w:p>
    <w:p w14:paraId="70D8C90A">
      <w:pPr>
        <w:ind w:firstLine="422"/>
      </w:pPr>
      <w:r>
        <w:rPr>
          <w:rFonts w:hint="eastAsia"/>
          <w:b/>
        </w:rPr>
        <w:t>第四条</w:t>
      </w:r>
      <w:r>
        <w:rPr>
          <w:rFonts w:hint="eastAsia"/>
        </w:rPr>
        <w:t xml:space="preserve">  军人的抚恤优待，实行国家和社会相结合的方针，保障军人的抚恤优待与国民经济和社会发展相适应。本市根据国民经济和社会发展情况，建立抚恤补助优待标准的科学增长机制。</w:t>
      </w:r>
    </w:p>
    <w:p w14:paraId="41B246E5">
      <w:r>
        <w:rPr>
          <w:rFonts w:hint="eastAsia"/>
        </w:rPr>
        <w:t>全社会应当关怀、尊重抚恤优待对象，开展各种形式的拥军优属活动。</w:t>
      </w:r>
    </w:p>
    <w:p w14:paraId="31B32E28">
      <w:pPr>
        <w:ind w:firstLine="422"/>
      </w:pPr>
      <w:r>
        <w:rPr>
          <w:rFonts w:hint="eastAsia"/>
          <w:b/>
        </w:rPr>
        <w:t>第五条</w:t>
      </w:r>
      <w:r>
        <w:rPr>
          <w:rFonts w:hint="eastAsia"/>
        </w:rPr>
        <w:t xml:space="preserve">  市和区、县民政部门是本市军人抚恤优待工作的主管部门。</w:t>
      </w:r>
    </w:p>
    <w:p w14:paraId="3EAA805C">
      <w:r>
        <w:rPr>
          <w:rFonts w:hint="eastAsia"/>
        </w:rPr>
        <w:t>本市财政、劳动和社会保障、卫生、人事等部门应当按照各自职责，做好军人抚恤优待工作。</w:t>
      </w:r>
    </w:p>
    <w:p w14:paraId="29F78ED9"/>
    <w:p w14:paraId="027E2B4C">
      <w:pPr>
        <w:ind w:firstLine="0" w:firstLineChars="0"/>
        <w:jc w:val="center"/>
        <w:rPr>
          <w:b/>
          <w:sz w:val="28"/>
        </w:rPr>
      </w:pPr>
      <w:r>
        <w:rPr>
          <w:rFonts w:hint="eastAsia"/>
          <w:b/>
          <w:sz w:val="28"/>
        </w:rPr>
        <w:t>第二章　死亡抚恤</w:t>
      </w:r>
    </w:p>
    <w:p w14:paraId="1D47A236"/>
    <w:p w14:paraId="549DBBB7">
      <w:pPr>
        <w:ind w:firstLine="422"/>
      </w:pPr>
      <w:r>
        <w:rPr>
          <w:rFonts w:hint="eastAsia"/>
          <w:b/>
        </w:rPr>
        <w:t>第六条</w:t>
      </w:r>
      <w:r>
        <w:rPr>
          <w:rFonts w:hint="eastAsia"/>
        </w:rPr>
        <w:t xml:space="preserve">  现役军人死亡被批准为烈士、被确认为因公牺牲或者病故的，由收到军队通知的区、县民政部门在军人遗属协商确定持证人后，发给《中华人民共和国烈士证明书》、《中华人民共和国军人因公牺牲证明书》、《中华人民共和国军人病故证明书》（以下简称证明书）；协商不成的，按照国家的有关规定发给证明书。</w:t>
      </w:r>
    </w:p>
    <w:p w14:paraId="2ADF8ABF">
      <w:pPr>
        <w:ind w:firstLine="422"/>
      </w:pPr>
      <w:r>
        <w:rPr>
          <w:rFonts w:hint="eastAsia"/>
          <w:b/>
        </w:rPr>
        <w:t>第七条</w:t>
      </w:r>
      <w:r>
        <w:rPr>
          <w:rFonts w:hint="eastAsia"/>
        </w:rPr>
        <w:t xml:space="preserve">  一次性抚恤金由证明书持证人户籍所在地的区、县民政部门按照下列方式发放：</w:t>
      </w:r>
    </w:p>
    <w:p w14:paraId="234E5E80">
      <w:r>
        <w:rPr>
          <w:rFonts w:hint="eastAsia"/>
        </w:rPr>
        <w:t>（一）有父母（抚养人）、配偶、子女且对分配数额协商一致的，按照协商确定的数额发放；协商不成的，按照人数等额发放；</w:t>
      </w:r>
    </w:p>
    <w:p w14:paraId="107242EB">
      <w:r>
        <w:rPr>
          <w:rFonts w:hint="eastAsia"/>
        </w:rPr>
        <w:t>（二）无父母（抚养人）、配偶、子女的，发</w:t>
      </w:r>
      <w:r>
        <w:rPr>
          <w:rFonts w:hint="eastAsia" w:ascii="宋体" w:hAnsi="宋体" w:eastAsia="宋体" w:cs="宋体"/>
        </w:rPr>
        <w:t>给未满18周岁的兄弟姐妹和已满18周岁但无生活费来源且由该军人生前供养的兄弟姐妹。兄弟姐妹为两人以上且对分配数额协商一</w:t>
      </w:r>
      <w:r>
        <w:rPr>
          <w:rFonts w:hint="eastAsia"/>
        </w:rPr>
        <w:t>致的，按照协商确定的数额发放；协商不成的，按照人数等额发放。</w:t>
      </w:r>
    </w:p>
    <w:p w14:paraId="0F4A5B82">
      <w:r>
        <w:rPr>
          <w:rFonts w:hint="eastAsia"/>
        </w:rPr>
        <w:t>无前款规定的遗属的，不发给一次性抚恤金。</w:t>
      </w:r>
    </w:p>
    <w:p w14:paraId="21D4471C">
      <w:pPr>
        <w:ind w:firstLine="422"/>
      </w:pPr>
      <w:r>
        <w:rPr>
          <w:rFonts w:hint="eastAsia"/>
          <w:b/>
        </w:rPr>
        <w:t>第八条</w:t>
      </w:r>
      <w:r>
        <w:rPr>
          <w:rFonts w:hint="eastAsia"/>
        </w:rPr>
        <w:t xml:space="preserve">  要求享受定期抚恤金的遗属，应当到其户籍所在地的区、县民政部门办理登记。区、县民政部门应当自办理登记之日起二十个工作日内进行核实，对符合法定条件的，发给《北京市定期抚恤金领取证》；对不符合法定条件的，不发给《北京市定期抚恤金领取证》，并书面说明理由。</w:t>
      </w:r>
    </w:p>
    <w:p w14:paraId="08D098F5">
      <w:r>
        <w:rPr>
          <w:rFonts w:hint="eastAsia"/>
        </w:rPr>
        <w:t>遗属凭《北京市定期抚恤金领取证》领取定期抚恤金。</w:t>
      </w:r>
    </w:p>
    <w:p w14:paraId="60B3C50D">
      <w:pPr>
        <w:ind w:firstLine="422"/>
      </w:pPr>
      <w:r>
        <w:rPr>
          <w:rFonts w:hint="eastAsia"/>
          <w:b/>
        </w:rPr>
        <w:t>第九条</w:t>
      </w:r>
      <w:r>
        <w:rPr>
          <w:rFonts w:hint="eastAsia"/>
        </w:rPr>
        <w:t xml:space="preserve">  享受定期抚恤金的遗属死亡的，增发</w:t>
      </w:r>
      <w:r>
        <w:rPr>
          <w:rFonts w:hint="eastAsia" w:ascii="宋体" w:hAnsi="宋体" w:eastAsia="宋体" w:cs="宋体"/>
        </w:rPr>
        <w:t>6</w:t>
      </w:r>
      <w:r>
        <w:rPr>
          <w:rFonts w:hint="eastAsia"/>
        </w:rPr>
        <w:t>个月其原享受的定期抚恤金，作为丧葬补助费，区、县民政部门应当注销其《北京市定期抚恤金领取证》。该遗属享受的定期抚恤金自其死亡的次月起停发。</w:t>
      </w:r>
    </w:p>
    <w:p w14:paraId="6DE2F58C"/>
    <w:p w14:paraId="00D0CFB2">
      <w:pPr>
        <w:ind w:firstLine="0" w:firstLineChars="0"/>
        <w:jc w:val="center"/>
        <w:rPr>
          <w:b/>
          <w:sz w:val="28"/>
        </w:rPr>
      </w:pPr>
      <w:r>
        <w:rPr>
          <w:rFonts w:hint="eastAsia"/>
          <w:b/>
          <w:sz w:val="28"/>
        </w:rPr>
        <w:t>第三章　残疾抚恤</w:t>
      </w:r>
    </w:p>
    <w:p w14:paraId="21C2BA6B"/>
    <w:p w14:paraId="6E3E978A">
      <w:pPr>
        <w:ind w:firstLine="422"/>
      </w:pPr>
      <w:r>
        <w:rPr>
          <w:rFonts w:hint="eastAsia"/>
          <w:b/>
        </w:rPr>
        <w:t>第十条</w:t>
      </w:r>
      <w:r>
        <w:rPr>
          <w:rFonts w:hint="eastAsia"/>
        </w:rPr>
        <w:t xml:space="preserve">  残疾军人退出现役的，本人应当持《中华人民共和国残疾军人证》和残疾抚恤转移手续，到户籍所在地的区、县民政部门办理残疾抚恤关系迁入手续，并从次年一月起按照规定享受残疾抚恤金。</w:t>
      </w:r>
    </w:p>
    <w:p w14:paraId="36368021">
      <w:pPr>
        <w:ind w:firstLine="422"/>
      </w:pPr>
      <w:r>
        <w:rPr>
          <w:rFonts w:hint="eastAsia"/>
          <w:b/>
        </w:rPr>
        <w:t>第十一条</w:t>
      </w:r>
      <w:r>
        <w:rPr>
          <w:rFonts w:hint="eastAsia"/>
        </w:rPr>
        <w:t xml:space="preserve">  军人在服现役期间因战、因公致残，且军队未及时认定残疾性质和评定残疾等级的，在退出现役后，可以向市民政部门要求认定残疾性质和补办评定残疾等级。</w:t>
      </w:r>
    </w:p>
    <w:p w14:paraId="17B63DEF">
      <w:pPr>
        <w:ind w:firstLine="422"/>
      </w:pPr>
      <w:r>
        <w:rPr>
          <w:rFonts w:hint="eastAsia"/>
          <w:b/>
        </w:rPr>
        <w:t>第十二条</w:t>
      </w:r>
      <w:r>
        <w:rPr>
          <w:rFonts w:hint="eastAsia"/>
        </w:rPr>
        <w:t xml:space="preserve">  退出现役的军人申请认定残疾性质和补办评定残疾等级的，本人（精神病患者的利害关系人）应当向户籍所在地的区、县民政部门提交下列材料：</w:t>
      </w:r>
    </w:p>
    <w:p w14:paraId="1DDA99F0">
      <w:r>
        <w:rPr>
          <w:rFonts w:hint="eastAsia"/>
        </w:rPr>
        <w:t>（一）认定残疾性质和补办评定残疾等级申请表；</w:t>
      </w:r>
    </w:p>
    <w:p w14:paraId="41E2F3D7">
      <w:r>
        <w:rPr>
          <w:rFonts w:hint="eastAsia"/>
        </w:rPr>
        <w:t>（二）身份证、户口簿；</w:t>
      </w:r>
    </w:p>
    <w:p w14:paraId="24D909DA">
      <w:r>
        <w:rPr>
          <w:rFonts w:hint="eastAsia"/>
        </w:rPr>
        <w:t>（三）退伍证明；</w:t>
      </w:r>
    </w:p>
    <w:p w14:paraId="67A5294F">
      <w:r>
        <w:rPr>
          <w:rFonts w:hint="eastAsia"/>
        </w:rPr>
        <w:t>（四）近期两寸免冠彩色照片；</w:t>
      </w:r>
    </w:p>
    <w:p w14:paraId="004BE003">
      <w:r>
        <w:rPr>
          <w:rFonts w:hint="eastAsia"/>
        </w:rPr>
        <w:t>（五）服现役期间因战、因公致残的档案记载或者军队军级以上单位卫生部门出具的原始医疗证明。</w:t>
      </w:r>
    </w:p>
    <w:p w14:paraId="7EA921D8">
      <w:pPr>
        <w:ind w:firstLine="422"/>
      </w:pPr>
      <w:r>
        <w:rPr>
          <w:rFonts w:hint="eastAsia"/>
          <w:b/>
        </w:rPr>
        <w:t>第十三条</w:t>
      </w:r>
      <w:r>
        <w:rPr>
          <w:rFonts w:hint="eastAsia"/>
        </w:rPr>
        <w:t xml:space="preserve">  区、县民政部门对材料齐全、符合法定形式的，应当在五个工作日内通知本人到指定医院进行残疾情况检查。医院组织医疗卫生专家小组根据军人残疾等级评定标准，出具残疾等级医学鉴定意见。区、县民政部门应当在收到残疾等级医学鉴定意见后的五个工作日内，将全部材料报送市民政部门。</w:t>
      </w:r>
    </w:p>
    <w:p w14:paraId="20E13752">
      <w:r>
        <w:rPr>
          <w:rFonts w:hint="eastAsia"/>
        </w:rPr>
        <w:t>市民政部门应当自收到区、县民政部门报送的材料之日起二十个工作日内，根据残疾等级医学鉴定意见，对符合评定残疾等级条件的认定残疾性质和评定残疾等级，发给《中华人民共和国残疾军人证》；不符合评定残疾等级条件的，书面告知理由。</w:t>
      </w:r>
    </w:p>
    <w:p w14:paraId="1F806397">
      <w:pPr>
        <w:ind w:firstLine="422"/>
      </w:pPr>
      <w:r>
        <w:rPr>
          <w:rFonts w:hint="eastAsia"/>
          <w:b/>
        </w:rPr>
        <w:t>第十四条</w:t>
      </w:r>
      <w:r>
        <w:rPr>
          <w:rFonts w:hint="eastAsia"/>
        </w:rPr>
        <w:t>　退出现役的残疾军人，残疾情况发生严重恶化，原定残疾等级与残疾情况明显不符的，本人（精神病患者的利害关系人）可以向残疾军人户籍所在地的区、县民政部门提出调整残疾等级的申请。</w:t>
      </w:r>
    </w:p>
    <w:p w14:paraId="55EF5983">
      <w:pPr>
        <w:ind w:firstLine="422"/>
      </w:pPr>
      <w:r>
        <w:rPr>
          <w:rFonts w:hint="eastAsia"/>
          <w:b/>
        </w:rPr>
        <w:t>第十五条</w:t>
      </w:r>
      <w:r>
        <w:rPr>
          <w:rFonts w:hint="eastAsia"/>
        </w:rPr>
        <w:t>　退出现役的残疾军人申请调整残疾等级的，本人（精神病患者的利害关系人）应当提交下列材料：</w:t>
      </w:r>
    </w:p>
    <w:p w14:paraId="51B32C8E">
      <w:r>
        <w:rPr>
          <w:rFonts w:hint="eastAsia"/>
        </w:rPr>
        <w:t>（一）调整残疾等级申请表；</w:t>
      </w:r>
    </w:p>
    <w:p w14:paraId="58F9B6E0">
      <w:r>
        <w:rPr>
          <w:rFonts w:hint="eastAsia"/>
        </w:rPr>
        <w:t>（二）身份证、户口簿；</w:t>
      </w:r>
    </w:p>
    <w:p w14:paraId="29937E49">
      <w:r>
        <w:rPr>
          <w:rFonts w:hint="eastAsia"/>
        </w:rPr>
        <w:t>（三）《中华人民共和国残疾军人证》；</w:t>
      </w:r>
    </w:p>
    <w:p w14:paraId="2D0F970D">
      <w:r>
        <w:rPr>
          <w:rFonts w:hint="eastAsia"/>
        </w:rPr>
        <w:t>（四）近期残疾病历材料。</w:t>
      </w:r>
    </w:p>
    <w:p w14:paraId="4BF22FE4">
      <w:pPr>
        <w:ind w:firstLine="422"/>
      </w:pPr>
      <w:r>
        <w:rPr>
          <w:rFonts w:hint="eastAsia"/>
          <w:b/>
        </w:rPr>
        <w:t>第十六条</w:t>
      </w:r>
      <w:r>
        <w:rPr>
          <w:rFonts w:hint="eastAsia"/>
        </w:rPr>
        <w:t>　区、县民政部门对材料齐全、符合法定形式的，应当在五个工作日内通知本人到指定医院进行残疾情况检查。医院组织医疗卫生专家小组根据军人残疾等级评定标准，出具残疾等级医学鉴定意见。区、县民政部门应当在收到残疾等级医学鉴定意见后的五个工作日内，将全部材料报送市民政部门。</w:t>
      </w:r>
    </w:p>
    <w:p w14:paraId="49DD1ED4">
      <w:r>
        <w:rPr>
          <w:rFonts w:hint="eastAsia"/>
        </w:rPr>
        <w:t>市民政部门应当自收到区、县民政部门报送的材料之日起二十个工作日内，根据残疾等级医学鉴定意见，对符合调整残疾等级条件的予以调整残疾等级；不符合调整残疾等级条件的，书面告知理由。</w:t>
      </w:r>
    </w:p>
    <w:p w14:paraId="6E1B196C">
      <w:pPr>
        <w:ind w:firstLine="422"/>
      </w:pPr>
      <w:r>
        <w:rPr>
          <w:rFonts w:hint="eastAsia"/>
          <w:b/>
        </w:rPr>
        <w:t>第十七条</w:t>
      </w:r>
      <w:r>
        <w:rPr>
          <w:rFonts w:hint="eastAsia"/>
        </w:rPr>
        <w:t>　残疾抚恤金由残疾军人户籍所在地的区、县民政部门按照下列规定发放：</w:t>
      </w:r>
    </w:p>
    <w:p w14:paraId="0781D2BC">
      <w:r>
        <w:rPr>
          <w:rFonts w:hint="eastAsia"/>
        </w:rPr>
        <w:t>（一）残疾军人退出现役的，自办结残疾抚恤关系转移手续的次年一月起计发；</w:t>
      </w:r>
    </w:p>
    <w:p w14:paraId="32CDC059">
      <w:r>
        <w:rPr>
          <w:rFonts w:hint="eastAsia"/>
        </w:rPr>
        <w:t>（二）在本市补办评定残疾等级的，自作出评定残疾等级决定的当月起计发；</w:t>
      </w:r>
    </w:p>
    <w:p w14:paraId="17DCB4DD">
      <w:r>
        <w:rPr>
          <w:rFonts w:hint="eastAsia"/>
        </w:rPr>
        <w:t>（三）在本市调整残疾等级的，自作出变更残疾等级决定的当月起计发。</w:t>
      </w:r>
    </w:p>
    <w:p w14:paraId="6F3E21DE">
      <w:pPr>
        <w:ind w:firstLine="422"/>
      </w:pPr>
      <w:r>
        <w:rPr>
          <w:rFonts w:hint="eastAsia"/>
          <w:b/>
        </w:rPr>
        <w:t>第十八条</w:t>
      </w:r>
      <w:r>
        <w:rPr>
          <w:rFonts w:hint="eastAsia"/>
        </w:rPr>
        <w:t>　残疾军人死亡的，由市民政部门注销其持有的《中华人民共和国残疾军人证》，区、县民政部门自残疾军人死亡的次月起停发残疾抚恤金。</w:t>
      </w:r>
    </w:p>
    <w:p w14:paraId="21252F68">
      <w:r>
        <w:rPr>
          <w:rFonts w:hint="eastAsia"/>
        </w:rPr>
        <w:t>退出现役的因战、因公致残的残疾军人因旧伤复发死亡的，由发给其残疾抚恤金的区、县民政部门按照因公牺牲军人的抚恤金标准发给其遗属一次性抚恤金，其遗属享受因公牺牲军人遗属抚恤待遇。</w:t>
      </w:r>
    </w:p>
    <w:p w14:paraId="1F05015A">
      <w:r>
        <w:rPr>
          <w:rFonts w:hint="eastAsia"/>
        </w:rPr>
        <w:t>退出现役的因战、因公、因病致残的残疾军人因病死亡的，由发给其残疾抚恤金的区、县民政部门对其遗属增发</w:t>
      </w:r>
      <w:r>
        <w:rPr>
          <w:rFonts w:hint="eastAsia" w:ascii="宋体" w:hAnsi="宋体" w:eastAsia="宋体" w:cs="宋体"/>
        </w:rPr>
        <w:t>12</w:t>
      </w:r>
      <w:r>
        <w:rPr>
          <w:rFonts w:hint="eastAsia"/>
        </w:rPr>
        <w:t>个月的残疾抚恤金，作为丧葬补助费；因战、因公致残的一级至四级残疾军人因病死亡的，其遗属享受病故军人遗属抚恤待遇。</w:t>
      </w:r>
    </w:p>
    <w:p w14:paraId="2D227E23">
      <w:pPr>
        <w:ind w:firstLine="422"/>
      </w:pPr>
      <w:r>
        <w:rPr>
          <w:rFonts w:hint="eastAsia"/>
          <w:b/>
        </w:rPr>
        <w:t>第十九条</w:t>
      </w:r>
      <w:r>
        <w:rPr>
          <w:rFonts w:hint="eastAsia"/>
        </w:rPr>
        <w:t>　本市分散安置的退出现役的一级至四级残疾军人的护理费，由其户籍所在地的区、县民政部门按照《条例》规定的标准发放。</w:t>
      </w:r>
    </w:p>
    <w:p w14:paraId="5DCB9FE2">
      <w:r>
        <w:rPr>
          <w:rFonts w:hint="eastAsia"/>
        </w:rPr>
        <w:t>对享受工伤保险待遇的一级至四级残疾军人，其护理费按照工伤保险的有关规定执行；工伤保险支付的护理费标准低于民政部门的护理费标准的，其差额部分由残疾军人户籍所在地的区、县民政部门补足。</w:t>
      </w:r>
    </w:p>
    <w:p w14:paraId="63B51FC9"/>
    <w:p w14:paraId="5DB51191">
      <w:pPr>
        <w:ind w:firstLine="0" w:firstLineChars="0"/>
        <w:jc w:val="center"/>
        <w:rPr>
          <w:b/>
          <w:sz w:val="28"/>
        </w:rPr>
      </w:pPr>
      <w:r>
        <w:rPr>
          <w:rFonts w:hint="eastAsia"/>
          <w:b/>
          <w:sz w:val="28"/>
        </w:rPr>
        <w:t>第四章　优　待</w:t>
      </w:r>
    </w:p>
    <w:p w14:paraId="0E8B3784"/>
    <w:p w14:paraId="0A87D6A3">
      <w:pPr>
        <w:ind w:firstLine="422"/>
      </w:pPr>
      <w:r>
        <w:rPr>
          <w:rFonts w:hint="eastAsia"/>
          <w:b/>
        </w:rPr>
        <w:t>第二十条</w:t>
      </w:r>
      <w:r>
        <w:rPr>
          <w:rFonts w:hint="eastAsia"/>
        </w:rPr>
        <w:t>　在本市入伍的义务兵以及考入外省市全日制高等院校的本市户籍大学生在当地入伍的义务兵服现役期间，其家庭享受优待金。</w:t>
      </w:r>
    </w:p>
    <w:p w14:paraId="524FD9A2">
      <w:r>
        <w:rPr>
          <w:rFonts w:hint="eastAsia"/>
        </w:rPr>
        <w:t>优待金标准和发放管理办法由市民政部门会同市财政部门制定。</w:t>
      </w:r>
    </w:p>
    <w:p w14:paraId="31BE7A2B">
      <w:pPr>
        <w:ind w:firstLine="422"/>
      </w:pPr>
      <w:r>
        <w:rPr>
          <w:rFonts w:hint="eastAsia"/>
          <w:b/>
        </w:rPr>
        <w:t>第二十一条</w:t>
      </w:r>
      <w:r>
        <w:rPr>
          <w:rFonts w:hint="eastAsia"/>
        </w:rPr>
        <w:t>　复员军人生活困难的，由其户籍所在地的区、县民政部门依法给予定期定量补助；对依靠定期抚恤金生活仍有困难的烈士遗属、因公牺牲军人遗属、病故军人遗属，对依靠残疾抚恤金生活仍有困难的残疾军人和生活困难的带病回乡退伍军人，区、县民政部门可以增发抚恤补助金或者采取其他方式予以补助，保障抚恤优待对象生活水平不低于当地的平均生活水平。</w:t>
      </w:r>
    </w:p>
    <w:p w14:paraId="74432499">
      <w:r>
        <w:rPr>
          <w:rFonts w:hint="eastAsia"/>
        </w:rPr>
        <w:t>享受定期定量补助的复员军人和生活困难享受补助的带病回乡退伍军人死亡的，补发</w:t>
      </w:r>
      <w:r>
        <w:rPr>
          <w:rFonts w:hint="eastAsia" w:ascii="宋体" w:hAnsi="宋体" w:eastAsia="宋体" w:cs="宋体"/>
        </w:rPr>
        <w:t>6</w:t>
      </w:r>
      <w:r>
        <w:rPr>
          <w:rFonts w:hint="eastAsia"/>
        </w:rPr>
        <w:t>个月其原享受的补助，作为丧葬补助费。</w:t>
      </w:r>
    </w:p>
    <w:p w14:paraId="711D16F9">
      <w:pPr>
        <w:ind w:firstLine="422"/>
      </w:pPr>
      <w:r>
        <w:rPr>
          <w:rFonts w:hint="eastAsia"/>
          <w:b/>
        </w:rPr>
        <w:t>第二十二条</w:t>
      </w:r>
      <w:r>
        <w:rPr>
          <w:rFonts w:hint="eastAsia"/>
        </w:rPr>
        <w:t>　下列抚恤优待对象可以享受医疗优惠待遇：</w:t>
      </w:r>
    </w:p>
    <w:p w14:paraId="3CDF4ACE">
      <w:r>
        <w:rPr>
          <w:rFonts w:hint="eastAsia"/>
        </w:rPr>
        <w:t>（一）享受定期抚恤金的烈士遗属、因公牺牲军人遗属、病故军人遗属；</w:t>
      </w:r>
    </w:p>
    <w:p w14:paraId="4ABAA1A9">
      <w:bookmarkStart w:id="2034" w:name="_Toc428780454"/>
      <w:r>
        <w:rPr>
          <w:rFonts w:hint="eastAsia"/>
        </w:rPr>
        <w:t>（二）享受定期定量补助金的复员军人；</w:t>
      </w:r>
      <w:bookmarkEnd w:id="2034"/>
    </w:p>
    <w:p w14:paraId="7182635F">
      <w:r>
        <w:rPr>
          <w:rFonts w:hint="eastAsia"/>
        </w:rPr>
        <w:t>（三）长期享受补助的退出现役的七级至十级残疾军人、带病回乡退伍军人。</w:t>
      </w:r>
    </w:p>
    <w:p w14:paraId="2F044458">
      <w:r>
        <w:rPr>
          <w:rFonts w:hint="eastAsia"/>
        </w:rPr>
        <w:t>需要享受医疗优惠待遇的抚恤优待对象应当到户籍所在地的区、县民政部门办理登记，区、县民政部门核实后发给由市民政部门统一印制的医疗优惠凭证。</w:t>
      </w:r>
    </w:p>
    <w:p w14:paraId="42E9A22C">
      <w:r>
        <w:rPr>
          <w:rFonts w:hint="eastAsia"/>
        </w:rPr>
        <w:t>享受医疗优惠待遇的对象应当到区、县人民政府指定的医疗机构就诊，所发生的基本医疗费用由区、县民政部门按照本市规定标准予以支付。</w:t>
      </w:r>
    </w:p>
    <w:p w14:paraId="157843A0">
      <w:pPr>
        <w:ind w:firstLine="422"/>
      </w:pPr>
      <w:r>
        <w:rPr>
          <w:rFonts w:hint="eastAsia"/>
          <w:b/>
        </w:rPr>
        <w:t>第二十三条</w:t>
      </w:r>
      <w:r>
        <w:rPr>
          <w:rFonts w:hint="eastAsia"/>
        </w:rPr>
        <w:t>　现役军人凭有效证件、残疾军人凭《中华人民共和国残疾军人证》优先购票乘坐火车、轮船、长途车以及民航班机；残疾军人享受正常票</w:t>
      </w:r>
      <w:r>
        <w:rPr>
          <w:rFonts w:hint="eastAsia" w:ascii="宋体" w:hAnsi="宋体" w:eastAsia="宋体" w:cs="宋体"/>
        </w:rPr>
        <w:t>价50%</w:t>
      </w:r>
      <w:r>
        <w:rPr>
          <w:rFonts w:hint="eastAsia"/>
        </w:rPr>
        <w:t>的优待</w:t>
      </w:r>
      <w:r>
        <w:rPr>
          <w:rFonts w:hint="eastAsia"/>
          <w:lang w:val="en-US" w:eastAsia="zh-CN"/>
        </w:rPr>
        <w:t xml:space="preserve"> </w:t>
      </w:r>
    </w:p>
    <w:p w14:paraId="7E8056D4">
      <w:r>
        <w:rPr>
          <w:rFonts w:hint="eastAsia"/>
        </w:rPr>
        <w:t>残疾军人凭《中华人民共和国残疾军人证》、义务兵凭《中国人民解放军士兵证》免费乘坐市内公共汽车、电车和轨道交通工具。</w:t>
      </w:r>
    </w:p>
    <w:p w14:paraId="5A5D8EBA">
      <w:pPr>
        <w:ind w:firstLine="422"/>
      </w:pPr>
      <w:r>
        <w:rPr>
          <w:rFonts w:hint="eastAsia"/>
          <w:b/>
        </w:rPr>
        <w:t>第二十四条</w:t>
      </w:r>
      <w:r>
        <w:rPr>
          <w:rFonts w:hint="eastAsia"/>
        </w:rPr>
        <w:t>　现役军人、残疾军人凭有效证件游览本市行政区域内的公园的，免收门票。</w:t>
      </w:r>
    </w:p>
    <w:p w14:paraId="47D98788">
      <w:r>
        <w:rPr>
          <w:rFonts w:hint="eastAsia"/>
        </w:rPr>
        <w:t>残疾军人凭《中华人民共和国残疾军人证》、义务兵凭《中国人民解放军士兵证》参观游览本市所属的博物馆、名胜古迹的，免收门票。</w:t>
      </w:r>
    </w:p>
    <w:p w14:paraId="7B5579B5">
      <w:pPr>
        <w:ind w:firstLine="422"/>
      </w:pPr>
      <w:r>
        <w:rPr>
          <w:rFonts w:hint="eastAsia"/>
          <w:b/>
        </w:rPr>
        <w:t>第二十五条</w:t>
      </w:r>
      <w:r>
        <w:rPr>
          <w:rFonts w:hint="eastAsia"/>
        </w:rPr>
        <w:t>　退役士兵、残疾军人、烈士子女、因公牺牲军人子女、一级至四级残疾军人的子女、现役军人子女，按照《条例》和有关规定享受教育优待。</w:t>
      </w:r>
    </w:p>
    <w:p w14:paraId="1C50E335">
      <w:pPr>
        <w:ind w:firstLine="422"/>
      </w:pPr>
      <w:r>
        <w:rPr>
          <w:rFonts w:hint="eastAsia"/>
          <w:b/>
        </w:rPr>
        <w:t>第二十六条</w:t>
      </w:r>
      <w:r>
        <w:rPr>
          <w:rFonts w:hint="eastAsia"/>
        </w:rPr>
        <w:t>　城镇抚恤优待对象住房有困难的，按照本市有关规定享受廉租住房待遇。</w:t>
      </w:r>
    </w:p>
    <w:p w14:paraId="532194FF">
      <w:r>
        <w:rPr>
          <w:rFonts w:hint="eastAsia"/>
        </w:rPr>
        <w:t>农村抚恤优待对象住房困难、本人无能力改建现有危房的，市和区、县人民政府帮助解决。</w:t>
      </w:r>
    </w:p>
    <w:p w14:paraId="491633A9">
      <w:pPr>
        <w:ind w:firstLine="422"/>
      </w:pPr>
      <w:r>
        <w:rPr>
          <w:rFonts w:hint="eastAsia"/>
          <w:b/>
        </w:rPr>
        <w:t>第二十七条</w:t>
      </w:r>
      <w:r>
        <w:rPr>
          <w:rFonts w:hint="eastAsia"/>
        </w:rPr>
        <w:t>　本市兴办光荣院，集中供养孤老和生活不能自理的抚恤优待对象。</w:t>
      </w:r>
    </w:p>
    <w:p w14:paraId="740D2B9A">
      <w:r>
        <w:rPr>
          <w:rFonts w:hint="eastAsia"/>
        </w:rPr>
        <w:t>各类社会福利机构应当优先接收抚恤优待对象。对社会力量举办的社会福利机构接收抚恤优待对象的，本市各级人民政府应当给予鼓励和支持。</w:t>
      </w:r>
    </w:p>
    <w:p w14:paraId="196AD3B7">
      <w:pPr>
        <w:spacing w:line="300" w:lineRule="exact"/>
      </w:pPr>
    </w:p>
    <w:p w14:paraId="77412326">
      <w:pPr>
        <w:ind w:firstLine="0" w:firstLineChars="0"/>
        <w:jc w:val="center"/>
        <w:rPr>
          <w:b/>
          <w:sz w:val="28"/>
        </w:rPr>
      </w:pPr>
      <w:r>
        <w:rPr>
          <w:rFonts w:hint="eastAsia"/>
          <w:b/>
          <w:sz w:val="28"/>
        </w:rPr>
        <w:t>第五章　附　则</w:t>
      </w:r>
    </w:p>
    <w:p w14:paraId="6C6AC9FC">
      <w:pPr>
        <w:spacing w:line="300" w:lineRule="exact"/>
      </w:pPr>
    </w:p>
    <w:p w14:paraId="719EB1C4">
      <w:pPr>
        <w:ind w:firstLine="422"/>
      </w:pPr>
      <w:r>
        <w:rPr>
          <w:rFonts w:hint="eastAsia"/>
          <w:b/>
        </w:rPr>
        <w:t>第二十八条</w:t>
      </w:r>
      <w:r>
        <w:rPr>
          <w:rFonts w:hint="eastAsia"/>
        </w:rPr>
        <w:t>　本市抚恤优待对象在迁移户籍时，应当同时办理抚恤优待关系转移手续。迁出地的区、县民政部门负责发放当年的抚恤补助金，迁入地的区、县民政部门自抚恤优待关系转移后次年起发给抚恤补助金。</w:t>
      </w:r>
    </w:p>
    <w:p w14:paraId="331EA62B">
      <w:pPr>
        <w:ind w:firstLine="422"/>
      </w:pPr>
      <w:r>
        <w:rPr>
          <w:rFonts w:hint="eastAsia"/>
          <w:b/>
        </w:rPr>
        <w:t>第二十九条</w:t>
      </w:r>
      <w:r>
        <w:rPr>
          <w:rFonts w:hint="eastAsia"/>
        </w:rPr>
        <w:t>　本办法适用于中国人民武装警察部队。</w:t>
      </w:r>
    </w:p>
    <w:p w14:paraId="7751BD35">
      <w:r>
        <w:rPr>
          <w:rFonts w:hint="eastAsia"/>
        </w:rPr>
        <w:t>军队离休、退休干部的抚恤优待，按照本办法有关现役军人抚恤优待的规定执行。</w:t>
      </w:r>
    </w:p>
    <w:p w14:paraId="13BB6866">
      <w:r>
        <w:rPr>
          <w:rFonts w:hint="eastAsia"/>
        </w:rPr>
        <w:t>因参战伤亡的民兵、民工的抚恤，因参加军事演习、军事训练和执行军事勤务伤亡的预备役人员、民兵、民工以及其他人员的抚恤，参照本办法的有关规定办理。</w:t>
      </w:r>
    </w:p>
    <w:p w14:paraId="06C1D2B5">
      <w:pPr>
        <w:ind w:firstLine="422"/>
      </w:pPr>
      <w:r>
        <w:rPr>
          <w:rFonts w:hint="eastAsia"/>
          <w:b/>
        </w:rPr>
        <w:t>第三十条</w:t>
      </w:r>
      <w:r>
        <w:rPr>
          <w:rFonts w:hint="eastAsia"/>
        </w:rPr>
        <w:t>　本办</w:t>
      </w:r>
      <w:r>
        <w:rPr>
          <w:rFonts w:hint="eastAsia" w:ascii="宋体" w:hAnsi="宋体" w:eastAsia="宋体" w:cs="宋体"/>
        </w:rPr>
        <w:t>法自2006年3月1日起施行。1990年5月30日</w:t>
      </w:r>
      <w:r>
        <w:rPr>
          <w:rFonts w:hint="eastAsia"/>
        </w:rPr>
        <w:t>发布的《北京市实施〈军人抚恤优待条例〉若干规定》同时废止。</w:t>
      </w:r>
    </w:p>
    <w:p w14:paraId="5A0A18C7">
      <w:pPr>
        <w:pStyle w:val="4"/>
        <w:pageBreakBefore/>
      </w:pPr>
      <w:bookmarkStart w:id="2035" w:name="_Toc426467045"/>
      <w:bookmarkStart w:id="2036" w:name="_Toc428780455"/>
      <w:bookmarkStart w:id="2037" w:name="_Toc428781793"/>
      <w:r>
        <w:rPr>
          <w:rFonts w:hint="eastAsia"/>
        </w:rPr>
        <w:t>北京市实施《农村五保供养工作条例》办法</w:t>
      </w:r>
      <w:bookmarkEnd w:id="2035"/>
      <w:bookmarkEnd w:id="2036"/>
      <w:bookmarkEnd w:id="2037"/>
    </w:p>
    <w:p w14:paraId="0B969398">
      <w:pPr>
        <w:ind w:left="630" w:leftChars="300" w:right="630" w:rightChars="300"/>
        <w:rPr>
          <w:rFonts w:ascii="楷体" w:hAnsi="楷体" w:eastAsia="楷体"/>
        </w:rPr>
      </w:pPr>
      <w:r>
        <w:rPr>
          <w:rFonts w:hint="eastAsia" w:ascii="楷体" w:hAnsi="楷体" w:eastAsia="楷体"/>
        </w:rPr>
        <w:t>（2008年3月24日北京市人民政府第2次常务会议审议通过  2008年3月31日北京市人民政府第202号令公布）</w:t>
      </w:r>
    </w:p>
    <w:p w14:paraId="33EEBF54"/>
    <w:p w14:paraId="6F18A32E">
      <w:pPr>
        <w:ind w:firstLine="422"/>
      </w:pPr>
      <w:r>
        <w:rPr>
          <w:rFonts w:hint="eastAsia"/>
          <w:b/>
        </w:rPr>
        <w:t>第一条</w:t>
      </w:r>
      <w:r>
        <w:rPr>
          <w:rFonts w:hint="eastAsia"/>
        </w:rPr>
        <w:t xml:space="preserve">  为了实施国务院《农村五保供养工作条例》，结合本市实际情况，制定本办法。</w:t>
      </w:r>
    </w:p>
    <w:p w14:paraId="6E884264">
      <w:pPr>
        <w:ind w:firstLine="422"/>
      </w:pPr>
      <w:r>
        <w:rPr>
          <w:rFonts w:hint="eastAsia"/>
          <w:b/>
        </w:rPr>
        <w:t>第二条</w:t>
      </w:r>
      <w:r>
        <w:rPr>
          <w:rFonts w:hint="eastAsia"/>
        </w:rPr>
        <w:t xml:space="preserve">  市民政部门主管本市的农村五保供养工作。</w:t>
      </w:r>
    </w:p>
    <w:p w14:paraId="4BEC1E40">
      <w:r>
        <w:rPr>
          <w:rFonts w:hint="eastAsia"/>
        </w:rPr>
        <w:t>区、县人民政府负责本行政区域内的农村五保供养工作，区、县民政部门具体负责本行政区域内农村五保供养工作的指导、监督和管理。</w:t>
      </w:r>
    </w:p>
    <w:p w14:paraId="22B562A4">
      <w:r>
        <w:rPr>
          <w:rFonts w:hint="eastAsia"/>
        </w:rPr>
        <w:t>乡、镇人民政府管理本行政区域内的农村五保供养工作。</w:t>
      </w:r>
    </w:p>
    <w:p w14:paraId="24D72019">
      <w:r>
        <w:rPr>
          <w:rFonts w:hint="eastAsia"/>
        </w:rPr>
        <w:t>村民委员会协助乡、镇人民政府开展农村五保供养工作。</w:t>
      </w:r>
    </w:p>
    <w:p w14:paraId="57D99B4D">
      <w:pPr>
        <w:ind w:firstLine="422"/>
      </w:pPr>
      <w:r>
        <w:rPr>
          <w:rFonts w:hint="eastAsia"/>
          <w:b/>
        </w:rPr>
        <w:t>第三条</w:t>
      </w:r>
      <w:r>
        <w:rPr>
          <w:rFonts w:hint="eastAsia"/>
        </w:rPr>
        <w:t xml:space="preserve">  财政、发展改革、卫生、教育、劳动保障、统计、农村工作等有关行政部门应当按照各自职责，依法做好农村五保供养相关工作。</w:t>
      </w:r>
    </w:p>
    <w:p w14:paraId="745A52C1">
      <w:pPr>
        <w:ind w:firstLine="422"/>
      </w:pPr>
      <w:r>
        <w:rPr>
          <w:rFonts w:hint="eastAsia"/>
          <w:b/>
        </w:rPr>
        <w:t>第四条</w:t>
      </w:r>
      <w:r>
        <w:rPr>
          <w:rFonts w:hint="eastAsia"/>
        </w:rPr>
        <w:t xml:space="preserve">  区、县人民政府应当将农村五保供养资金列入财政预算。市人民政府对财政困难的区、县给予适当的资金补助。</w:t>
      </w:r>
    </w:p>
    <w:p w14:paraId="5D1722DB">
      <w:r>
        <w:rPr>
          <w:rFonts w:hint="eastAsia"/>
        </w:rPr>
        <w:t>农村集体经济组织有经营收入的，可以从经营收入中安排资金，用于补助和改善农村五保供养对象的生活。</w:t>
      </w:r>
    </w:p>
    <w:p w14:paraId="3C858396">
      <w:pPr>
        <w:ind w:firstLine="422"/>
      </w:pPr>
      <w:r>
        <w:rPr>
          <w:rFonts w:hint="eastAsia"/>
          <w:b/>
        </w:rPr>
        <w:t>第五条</w:t>
      </w:r>
      <w:r>
        <w:rPr>
          <w:rFonts w:hint="eastAsia"/>
        </w:rPr>
        <w:t xml:space="preserve">  新闻、出版、广播、电视等单位应当加强农村五保供养工作的宣传，提高全社会关爱农村五保供养对象的意识。</w:t>
      </w:r>
    </w:p>
    <w:p w14:paraId="4D648460">
      <w:pPr>
        <w:ind w:firstLine="422"/>
      </w:pPr>
      <w:r>
        <w:rPr>
          <w:rFonts w:hint="eastAsia"/>
          <w:b/>
        </w:rPr>
        <w:t>第六条</w:t>
      </w:r>
      <w:r>
        <w:rPr>
          <w:rFonts w:hint="eastAsia"/>
        </w:rPr>
        <w:t xml:space="preserve">  本市提倡单位和个人为农村五保供养对象提供生活照料等志愿服务。</w:t>
      </w:r>
    </w:p>
    <w:p w14:paraId="3D6D12C6">
      <w:pPr>
        <w:ind w:firstLine="422"/>
      </w:pPr>
      <w:r>
        <w:rPr>
          <w:rFonts w:hint="eastAsia"/>
          <w:b/>
        </w:rPr>
        <w:t>第七条</w:t>
      </w:r>
      <w:r>
        <w:rPr>
          <w:rFonts w:hint="eastAsia"/>
        </w:rPr>
        <w:t xml:space="preserve">  具有本市农业户口的老年、残疾或者未</w:t>
      </w:r>
      <w:r>
        <w:rPr>
          <w:rFonts w:hint="eastAsia" w:ascii="宋体" w:hAnsi="宋体" w:eastAsia="宋体" w:cs="宋体"/>
        </w:rPr>
        <w:t>满16周岁</w:t>
      </w:r>
      <w:r>
        <w:rPr>
          <w:rFonts w:hint="eastAsia"/>
        </w:rPr>
        <w:t>的居民，无劳动能力、无生活来源又无法定赡养、抚养、扶养义务人，或者其法定赡养、抚养、扶养义务人无赡养、抚养、扶养能力的，享受农村五保供养待遇。</w:t>
      </w:r>
    </w:p>
    <w:p w14:paraId="1765EBF7">
      <w:pPr>
        <w:ind w:firstLine="422"/>
      </w:pPr>
      <w:r>
        <w:rPr>
          <w:rFonts w:hint="eastAsia"/>
          <w:b/>
        </w:rPr>
        <w:t>第八条</w:t>
      </w:r>
      <w:r>
        <w:rPr>
          <w:rFonts w:hint="eastAsia"/>
        </w:rPr>
        <w:t xml:space="preserve">  申请享受农村五保供养待遇的，由本人向户口所在地的村民委员会提出申请。因年幼或者智力残疾等原因无法表达意愿的，由村民小组或者其他村民代为提出申请。</w:t>
      </w:r>
    </w:p>
    <w:p w14:paraId="67C5B3DB">
      <w:r>
        <w:rPr>
          <w:rFonts w:hint="eastAsia"/>
        </w:rPr>
        <w:t>申请时，应当填写《北京市农村五保供养申请表》，并提交居民身份证、户口簿及其他相关证明材料。</w:t>
      </w:r>
    </w:p>
    <w:p w14:paraId="3DDAF01C">
      <w:pPr>
        <w:ind w:firstLine="422"/>
      </w:pPr>
      <w:r>
        <w:rPr>
          <w:rFonts w:hint="eastAsia"/>
          <w:b/>
        </w:rPr>
        <w:t>第九条</w:t>
      </w:r>
      <w:r>
        <w:rPr>
          <w:rFonts w:hint="eastAsia"/>
        </w:rPr>
        <w:t xml:space="preserve">  村民委员会应当自收到申请材料之</w:t>
      </w:r>
      <w:r>
        <w:rPr>
          <w:rFonts w:hint="eastAsia" w:ascii="宋体" w:hAnsi="宋体" w:eastAsia="宋体" w:cs="宋体"/>
        </w:rPr>
        <w:t>日起10日内组织民主评议，评议结束后将申请人的基本情况和评议意见在本村范围内公告10日；公告期满后10日内将</w:t>
      </w:r>
      <w:r>
        <w:rPr>
          <w:rFonts w:hint="eastAsia"/>
        </w:rPr>
        <w:t>申请材料、评议意见和公告情况报送乡、镇人民政府。</w:t>
      </w:r>
    </w:p>
    <w:p w14:paraId="6F2BE87D">
      <w:pPr>
        <w:ind w:firstLine="422"/>
        <w:rPr>
          <w:rFonts w:hint="eastAsia" w:ascii="宋体" w:hAnsi="宋体" w:eastAsia="宋体" w:cs="宋体"/>
        </w:rPr>
      </w:pPr>
      <w:r>
        <w:rPr>
          <w:rFonts w:hint="eastAsia"/>
          <w:b/>
        </w:rPr>
        <w:t>第十条</w:t>
      </w:r>
      <w:r>
        <w:rPr>
          <w:rFonts w:hint="eastAsia"/>
        </w:rPr>
        <w:t xml:space="preserve">  乡、镇人民政府应当自收到评议意见和有关材</w:t>
      </w:r>
      <w:r>
        <w:rPr>
          <w:rFonts w:hint="eastAsia" w:ascii="宋体" w:hAnsi="宋体" w:eastAsia="宋体" w:cs="宋体"/>
        </w:rPr>
        <w:t>料之日起15日内提出审核意见，并将审核意见和有关材料报送区、县民政部门审批。</w:t>
      </w:r>
    </w:p>
    <w:p w14:paraId="309CF214">
      <w:r>
        <w:rPr>
          <w:rFonts w:hint="eastAsia"/>
        </w:rPr>
        <w:t>区、县民政部门应当自收到审核意见和有关材料之日</w:t>
      </w:r>
      <w:r>
        <w:rPr>
          <w:rFonts w:hint="eastAsia" w:ascii="宋体" w:hAnsi="宋体" w:eastAsia="宋体" w:cs="宋体"/>
        </w:rPr>
        <w:t>起15日内作出审批</w:t>
      </w:r>
      <w:r>
        <w:rPr>
          <w:rFonts w:hint="eastAsia"/>
        </w:rPr>
        <w:t>决定。对符合条件批准给予农村五保供养待遇的，发给《农村五保供养证》；对不符合条件不予批准的，应当书面说明理由。</w:t>
      </w:r>
    </w:p>
    <w:p w14:paraId="5AF13E9E">
      <w:r>
        <w:rPr>
          <w:rFonts w:hint="eastAsia"/>
        </w:rPr>
        <w:t>乡、镇人民政府应当对申请人的家庭状况和经济条件进行调查核实；必要时，区、县民政部门可以进行复核。申请人、有关组织或者个人应当配合、接受调查，如实提供有关情况。</w:t>
      </w:r>
    </w:p>
    <w:p w14:paraId="761F8608">
      <w:pPr>
        <w:ind w:firstLine="422"/>
      </w:pPr>
      <w:r>
        <w:rPr>
          <w:rFonts w:hint="eastAsia"/>
          <w:b/>
        </w:rPr>
        <w:t>第十一条</w:t>
      </w:r>
      <w:r>
        <w:rPr>
          <w:rFonts w:hint="eastAsia"/>
        </w:rPr>
        <w:t xml:space="preserve">  区、县民政部门应当向社会公告农村五保供养待遇的申请条件、程序、农村五保供养的内容和本区、县的农村五保供养标准。</w:t>
      </w:r>
    </w:p>
    <w:p w14:paraId="31AFB61E">
      <w:pPr>
        <w:ind w:firstLine="422"/>
      </w:pPr>
      <w:r>
        <w:rPr>
          <w:rFonts w:hint="eastAsia"/>
          <w:b/>
        </w:rPr>
        <w:t>第十二条</w:t>
      </w:r>
      <w:r>
        <w:rPr>
          <w:rFonts w:hint="eastAsia"/>
        </w:rPr>
        <w:t xml:space="preserve">  农村五保供养标准不得低于区、县农村居民的平均生活水平。区、县人民政府确定农村五保供养标准，并报市人民政府备案后公布执行。农村五保供养标准的具体确定办法，由市民政部门会同市财政、统计等行政部门制定。</w:t>
      </w:r>
    </w:p>
    <w:p w14:paraId="41C5A03E">
      <w:pPr>
        <w:ind w:firstLine="422"/>
      </w:pPr>
      <w:r>
        <w:rPr>
          <w:rFonts w:hint="eastAsia"/>
          <w:b/>
        </w:rPr>
        <w:t>第十三条</w:t>
      </w:r>
      <w:r>
        <w:rPr>
          <w:rFonts w:hint="eastAsia"/>
        </w:rPr>
        <w:t xml:space="preserve">  农村五保供养包括下列供养内容：</w:t>
      </w:r>
    </w:p>
    <w:p w14:paraId="5B9FA08A">
      <w:r>
        <w:rPr>
          <w:rFonts w:hint="eastAsia"/>
        </w:rPr>
        <w:t>（一）供给粮油、副食品和生活用燃料；</w:t>
      </w:r>
    </w:p>
    <w:p w14:paraId="2D14DE8B">
      <w:r>
        <w:rPr>
          <w:rFonts w:hint="eastAsia"/>
        </w:rPr>
        <w:t>（二）供给服装、被褥等生活用品和零用钱；</w:t>
      </w:r>
    </w:p>
    <w:p w14:paraId="6EBB6755">
      <w:r>
        <w:rPr>
          <w:rFonts w:hint="eastAsia"/>
        </w:rPr>
        <w:t>（三）提供符合基本居住条件的住房；</w:t>
      </w:r>
    </w:p>
    <w:p w14:paraId="01E5B189">
      <w:r>
        <w:rPr>
          <w:rFonts w:hint="eastAsia"/>
        </w:rPr>
        <w:t>（四）提供疾病治疗，对生活不能自理的给予照料；</w:t>
      </w:r>
    </w:p>
    <w:p w14:paraId="4DDED52C">
      <w:r>
        <w:rPr>
          <w:rFonts w:hint="eastAsia"/>
        </w:rPr>
        <w:t>（五）办理丧葬事宜。</w:t>
      </w:r>
    </w:p>
    <w:p w14:paraId="46429F2B">
      <w:r>
        <w:rPr>
          <w:rFonts w:hint="eastAsia"/>
        </w:rPr>
        <w:t>本市对接受义务教育的农村五保供养对象，按照有关规定保障其接受义务教育所需费用；对接受高中和中等职业教育、高等教育的农村五保供养对象，按照本市有关规定给予教育救助。</w:t>
      </w:r>
    </w:p>
    <w:p w14:paraId="4C563006">
      <w:r>
        <w:rPr>
          <w:rFonts w:hint="eastAsia"/>
        </w:rPr>
        <w:t>本市按照有关规定，保障符合条件的农村五保供养对象参加农村社会养老保险。具体办法由市民政部门会同市劳动保障、财政等行政部门制定。</w:t>
      </w:r>
    </w:p>
    <w:p w14:paraId="4312090B">
      <w:pPr>
        <w:ind w:firstLine="422"/>
      </w:pPr>
      <w:r>
        <w:rPr>
          <w:rFonts w:hint="eastAsia"/>
          <w:b/>
        </w:rPr>
        <w:t>第十四条</w:t>
      </w:r>
      <w:r>
        <w:rPr>
          <w:rFonts w:hint="eastAsia"/>
        </w:rPr>
        <w:t>　农村五保供养形式分为集中供养和分散供养，农村五保供养对象可以自行选择供养形式。</w:t>
      </w:r>
    </w:p>
    <w:p w14:paraId="7296B0DF">
      <w:r>
        <w:rPr>
          <w:rFonts w:hint="eastAsia"/>
        </w:rPr>
        <w:t>集中供养的农村五保供养对象，由户口所在区、县的农村五保供养服务机构提供供养服务；分散供养的农村五保供养对象，可以由村民委员会指定专人提供照料，也可以由农村五保供养服务机构提供有关供养服务。</w:t>
      </w:r>
    </w:p>
    <w:p w14:paraId="40460955">
      <w:pPr>
        <w:ind w:firstLine="422"/>
      </w:pPr>
      <w:r>
        <w:rPr>
          <w:rFonts w:hint="eastAsia"/>
          <w:b/>
        </w:rPr>
        <w:t>第十五条</w:t>
      </w:r>
      <w:r>
        <w:rPr>
          <w:rFonts w:hint="eastAsia"/>
        </w:rPr>
        <w:t>　乡、镇人民政府应当与农村五保供养服务机构或者村民委员会签订农村五保供养服务协议，并报区、县民政部门备案。</w:t>
      </w:r>
    </w:p>
    <w:p w14:paraId="2439CE93">
      <w:r>
        <w:rPr>
          <w:rFonts w:hint="eastAsia"/>
        </w:rPr>
        <w:t>农村五保供养服务协议应当包括下列主要内容：</w:t>
      </w:r>
    </w:p>
    <w:p w14:paraId="281982C5">
      <w:r>
        <w:rPr>
          <w:rFonts w:hint="eastAsia"/>
        </w:rPr>
        <w:t>（一）农村五保供养对象的基本情况；</w:t>
      </w:r>
    </w:p>
    <w:p w14:paraId="18E3456D">
      <w:r>
        <w:rPr>
          <w:rFonts w:hint="eastAsia"/>
        </w:rPr>
        <w:t>（二）农村五保供养内容；</w:t>
      </w:r>
    </w:p>
    <w:p w14:paraId="0441B5EE">
      <w:r>
        <w:rPr>
          <w:rFonts w:hint="eastAsia"/>
        </w:rPr>
        <w:t>（三）农村五保供养服务规范；</w:t>
      </w:r>
    </w:p>
    <w:p w14:paraId="6535262C">
      <w:r>
        <w:rPr>
          <w:rFonts w:hint="eastAsia"/>
        </w:rPr>
        <w:t>（四）协议解除的条件和法律后果；</w:t>
      </w:r>
    </w:p>
    <w:p w14:paraId="36485280">
      <w:r>
        <w:rPr>
          <w:rFonts w:hint="eastAsia"/>
        </w:rPr>
        <w:t>（五）其他约定的事项。</w:t>
      </w:r>
    </w:p>
    <w:p w14:paraId="3A29F579">
      <w:r>
        <w:rPr>
          <w:rFonts w:hint="eastAsia"/>
        </w:rPr>
        <w:t>农村五保供养服务协议的格式文本由市民政部门提供。</w:t>
      </w:r>
    </w:p>
    <w:p w14:paraId="292C4CA4">
      <w:pPr>
        <w:ind w:firstLine="422"/>
      </w:pPr>
      <w:r>
        <w:rPr>
          <w:rFonts w:hint="eastAsia"/>
          <w:b/>
        </w:rPr>
        <w:t>第十六条</w:t>
      </w:r>
      <w:r>
        <w:rPr>
          <w:rFonts w:hint="eastAsia"/>
        </w:rPr>
        <w:t>　区、县民政部门应当定期检查本行政区域内农村五保供养对象居住的房屋，对需要翻建、修缮的房屋，及时组织翻建、修缮，确保住房安全。</w:t>
      </w:r>
    </w:p>
    <w:p w14:paraId="57D9C05B">
      <w:pPr>
        <w:ind w:firstLine="422"/>
      </w:pPr>
      <w:r>
        <w:rPr>
          <w:rFonts w:hint="eastAsia"/>
          <w:b/>
        </w:rPr>
        <w:t>第十七条</w:t>
      </w:r>
      <w:r>
        <w:rPr>
          <w:rFonts w:hint="eastAsia"/>
        </w:rPr>
        <w:t>　农村五保供养对象患病需要治疗的，由农村五保供养服务机构和村民委员会按照农村五保供养服务协议，及时协助农村五保供养对象到定点医疗机构、农村五保供养服务机构的医务室就诊。</w:t>
      </w:r>
    </w:p>
    <w:p w14:paraId="61406333">
      <w:r>
        <w:rPr>
          <w:rFonts w:hint="eastAsia"/>
        </w:rPr>
        <w:t>农村五保供养对象参加本市新型农村合作医疗的费用由财政负担，其医疗费用的结算，按照本市新型农村合作医疗制度和农村医疗救助制度等规定执行。</w:t>
      </w:r>
    </w:p>
    <w:p w14:paraId="42BD0A46">
      <w:pPr>
        <w:ind w:firstLine="422"/>
      </w:pPr>
      <w:r>
        <w:rPr>
          <w:rFonts w:hint="eastAsia"/>
          <w:b/>
        </w:rPr>
        <w:t>第十八条</w:t>
      </w:r>
      <w:r>
        <w:rPr>
          <w:rFonts w:hint="eastAsia"/>
        </w:rPr>
        <w:t>　农村五保供养服务机构应当遵守国家和本市制定的服务规范，建立健全内部管理和服务制度。</w:t>
      </w:r>
    </w:p>
    <w:p w14:paraId="363E675A">
      <w:r>
        <w:rPr>
          <w:rFonts w:hint="eastAsia"/>
        </w:rPr>
        <w:t>农村五保供养服务机构的工作人员应当经过岗前培训，掌握与岗位相适应的知识和技能。</w:t>
      </w:r>
    </w:p>
    <w:p w14:paraId="5EF545A9">
      <w:pPr>
        <w:ind w:firstLine="422"/>
      </w:pPr>
      <w:r>
        <w:rPr>
          <w:rFonts w:hint="eastAsia"/>
          <w:b/>
        </w:rPr>
        <w:t>第十九条</w:t>
      </w:r>
      <w:r>
        <w:rPr>
          <w:rFonts w:hint="eastAsia"/>
        </w:rPr>
        <w:t>　农村五保供养服务机构和村民委员会应当关注农村五保供养对象的心理健康，提供相应的精神卫生宣传和咨询服务，组织开展文化娱乐活动。</w:t>
      </w:r>
    </w:p>
    <w:p w14:paraId="7E06860E">
      <w:pPr>
        <w:ind w:firstLine="422"/>
      </w:pPr>
      <w:r>
        <w:rPr>
          <w:rFonts w:hint="eastAsia"/>
          <w:b/>
        </w:rPr>
        <w:t>第二十条</w:t>
      </w:r>
      <w:r>
        <w:rPr>
          <w:rFonts w:hint="eastAsia"/>
        </w:rPr>
        <w:t>　农村五保供养服务机构和村民委员会应当为农村五保供养对象建立个人档案，并如实记录供养服务和照料情况。</w:t>
      </w:r>
    </w:p>
    <w:p w14:paraId="02DD93A3">
      <w:pPr>
        <w:ind w:firstLine="422"/>
      </w:pPr>
      <w:r>
        <w:rPr>
          <w:rFonts w:hint="eastAsia"/>
          <w:b/>
        </w:rPr>
        <w:t>第二十一条</w:t>
      </w:r>
      <w:r>
        <w:rPr>
          <w:rFonts w:hint="eastAsia"/>
        </w:rPr>
        <w:t>　农村五保供养对象不再符合本办法第七条规定条件的，农村五保供养服务机构或者村民委员会应当及时向乡、镇人民政府报告，乡、镇人民政府审核后报区、县民政部门核准，区、县民政部门审查后作出书面决定，核销其《农村五保供养证》，停止农村五保供养待遇。</w:t>
      </w:r>
    </w:p>
    <w:p w14:paraId="1764BDC3">
      <w:pPr>
        <w:ind w:firstLine="422"/>
      </w:pPr>
      <w:r>
        <w:rPr>
          <w:rFonts w:hint="eastAsia"/>
          <w:b/>
        </w:rPr>
        <w:t>第二十二条</w:t>
      </w:r>
      <w:r>
        <w:rPr>
          <w:rFonts w:hint="eastAsia"/>
        </w:rPr>
        <w:t>　农村五保供养对象死亡的，由提供供养服务的农村五保供养服务机构或者提供照料的村民委员会负责办理丧葬事宜，并办理《农村五保供养证》核销手续。</w:t>
      </w:r>
    </w:p>
    <w:p w14:paraId="71A6D4E3">
      <w:pPr>
        <w:ind w:firstLine="422"/>
      </w:pPr>
      <w:r>
        <w:rPr>
          <w:rFonts w:hint="eastAsia"/>
          <w:b/>
        </w:rPr>
        <w:t>第二十三条</w:t>
      </w:r>
      <w:r>
        <w:rPr>
          <w:rFonts w:hint="eastAsia"/>
        </w:rPr>
        <w:t>　区、县民政部门和乡、镇人民政府应当对农村五保供养对象登记造册。市民政部门负责建立健全农村五保供养对象基本情况数据库，并将农村五保供养工作纳入全市社会救助信息管理服务系统，依法做好农村五保供养工作的信息公开。</w:t>
      </w:r>
    </w:p>
    <w:p w14:paraId="757AA99F">
      <w:pPr>
        <w:ind w:firstLine="422"/>
      </w:pPr>
      <w:r>
        <w:rPr>
          <w:rFonts w:hint="eastAsia"/>
          <w:b/>
        </w:rPr>
        <w:t>第二十四条</w:t>
      </w:r>
      <w:r>
        <w:rPr>
          <w:rFonts w:hint="eastAsia"/>
        </w:rPr>
        <w:t>　财政部门应当按时足额拨付农村五保供养资金。农村五保供养资金应当专门用于保障农村五保供养对象的生活。</w:t>
      </w:r>
    </w:p>
    <w:p w14:paraId="7DDDFBA0">
      <w:r>
        <w:rPr>
          <w:rFonts w:hint="eastAsia"/>
        </w:rPr>
        <w:t>审计机关应当依法加强对农村五保供养资金使用情况的审计。</w:t>
      </w:r>
    </w:p>
    <w:p w14:paraId="447CA960">
      <w:pPr>
        <w:ind w:firstLine="422"/>
      </w:pPr>
      <w:r>
        <w:rPr>
          <w:rFonts w:hint="eastAsia"/>
          <w:b/>
        </w:rPr>
        <w:t>第二十五条</w:t>
      </w:r>
      <w:r>
        <w:rPr>
          <w:rFonts w:hint="eastAsia"/>
        </w:rPr>
        <w:t>　市民政部门应当会同有关行政部门制定本市的农村五保供养服务规范，定期对区、县的农村五保供养工作进行监督检查，并将监督检查的情况向社会公告。</w:t>
      </w:r>
    </w:p>
    <w:p w14:paraId="28C254F1">
      <w:pPr>
        <w:ind w:firstLine="422"/>
      </w:pPr>
      <w:r>
        <w:rPr>
          <w:rFonts w:hint="eastAsia"/>
          <w:b/>
        </w:rPr>
        <w:t>第二十六条</w:t>
      </w:r>
      <w:r>
        <w:rPr>
          <w:rFonts w:hint="eastAsia"/>
        </w:rPr>
        <w:t>　对违反本办法规定的行为，按照《农村五保供养工作条例》的规定处理。</w:t>
      </w:r>
    </w:p>
    <w:p w14:paraId="4BDA78F7">
      <w:pPr>
        <w:ind w:firstLine="422"/>
      </w:pPr>
      <w:r>
        <w:rPr>
          <w:rFonts w:hint="eastAsia"/>
          <w:b/>
        </w:rPr>
        <w:t>第二十七条</w:t>
      </w:r>
      <w:r>
        <w:rPr>
          <w:rFonts w:hint="eastAsia"/>
        </w:rPr>
        <w:t>　本办法自</w:t>
      </w:r>
      <w:r>
        <w:rPr>
          <w:rFonts w:hint="eastAsia" w:ascii="宋体" w:hAnsi="宋体" w:eastAsia="宋体" w:cs="宋体"/>
        </w:rPr>
        <w:t>2008年5月1日起实</w:t>
      </w:r>
      <w:r>
        <w:rPr>
          <w:rFonts w:hint="eastAsia"/>
        </w:rPr>
        <w:t>施。</w:t>
      </w:r>
    </w:p>
    <w:p w14:paraId="3F616BBD">
      <w:pPr>
        <w:pStyle w:val="3"/>
        <w:pageBreakBefore/>
      </w:pPr>
      <w:bookmarkStart w:id="2038" w:name="_Toc428781794"/>
      <w:bookmarkStart w:id="2039" w:name="_Toc428780456"/>
      <w:bookmarkStart w:id="2040" w:name="_Toc426467046"/>
      <w:r>
        <w:rPr>
          <w:rFonts w:hint="eastAsia"/>
        </w:rPr>
        <w:t>（四）社会组织</w:t>
      </w:r>
      <w:bookmarkEnd w:id="2038"/>
      <w:bookmarkEnd w:id="2039"/>
      <w:bookmarkEnd w:id="2040"/>
    </w:p>
    <w:p w14:paraId="2C95618D"/>
    <w:p w14:paraId="2EB0D398">
      <w:pPr>
        <w:pStyle w:val="4"/>
      </w:pPr>
      <w:bookmarkStart w:id="2041" w:name="_Toc426467047"/>
      <w:bookmarkStart w:id="2042" w:name="_Toc428781795"/>
      <w:bookmarkStart w:id="2043" w:name="_Toc428780457"/>
      <w:r>
        <w:rPr>
          <w:rFonts w:hint="eastAsia"/>
        </w:rPr>
        <w:t>北京市实施《中华人民共和国红十字会法》办法</w:t>
      </w:r>
      <w:bookmarkEnd w:id="2041"/>
      <w:bookmarkEnd w:id="2042"/>
      <w:bookmarkEnd w:id="2043"/>
    </w:p>
    <w:p w14:paraId="56C01373">
      <w:pPr>
        <w:ind w:left="630" w:leftChars="300" w:right="630" w:rightChars="300"/>
        <w:rPr>
          <w:rFonts w:ascii="楷体" w:hAnsi="楷体" w:eastAsia="楷体"/>
        </w:rPr>
      </w:pPr>
      <w:r>
        <w:rPr>
          <w:rFonts w:hint="eastAsia" w:ascii="楷体" w:hAnsi="楷体" w:eastAsia="楷体"/>
        </w:rPr>
        <w:t>（1994年10月19日北京市第十届人民代表大会常务委员会第十三次会议通过  1994年10月19日北京市人民代表大会常务委员会公告第32号公布施行）</w:t>
      </w:r>
    </w:p>
    <w:p w14:paraId="7A8E29D5"/>
    <w:p w14:paraId="27295231">
      <w:pPr>
        <w:ind w:firstLine="422"/>
      </w:pPr>
      <w:r>
        <w:rPr>
          <w:rFonts w:hint="eastAsia"/>
          <w:b/>
        </w:rPr>
        <w:t>第一条</w:t>
      </w:r>
      <w:r>
        <w:rPr>
          <w:rFonts w:hint="eastAsia"/>
        </w:rPr>
        <w:t xml:space="preserve">  为实施《中华人民共和国红十字会法》，结合本市实际，制定本办法。</w:t>
      </w:r>
    </w:p>
    <w:p w14:paraId="0FBF67CA">
      <w:pPr>
        <w:ind w:firstLine="422"/>
      </w:pPr>
      <w:r>
        <w:rPr>
          <w:rFonts w:hint="eastAsia"/>
          <w:b/>
        </w:rPr>
        <w:t>第二条</w:t>
      </w:r>
      <w:r>
        <w:rPr>
          <w:rFonts w:hint="eastAsia"/>
        </w:rPr>
        <w:t xml:space="preserve">  北京市红十字会发扬人道主义精神，保护人的生命和健康，为促进和平进步事业和首都经济发展服务。</w:t>
      </w:r>
    </w:p>
    <w:p w14:paraId="2E5417BB">
      <w:r>
        <w:rPr>
          <w:rFonts w:hint="eastAsia"/>
        </w:rPr>
        <w:t>全社会都应当关心和支持红十字事业。</w:t>
      </w:r>
    </w:p>
    <w:p w14:paraId="6E050A42">
      <w:pPr>
        <w:ind w:firstLine="422"/>
      </w:pPr>
      <w:r>
        <w:rPr>
          <w:rFonts w:hint="eastAsia"/>
          <w:b/>
        </w:rPr>
        <w:t>第三条</w:t>
      </w:r>
      <w:r>
        <w:rPr>
          <w:rFonts w:hint="eastAsia"/>
        </w:rPr>
        <w:t xml:space="preserve">  市和区、县红十字会是中国红十字会的地方组织，是从事人道主义工作的社会救助团体，依法取得社会团体法人资格，独立自主地开展工作。</w:t>
      </w:r>
    </w:p>
    <w:p w14:paraId="24DF7481">
      <w:pPr>
        <w:ind w:firstLine="422"/>
      </w:pPr>
      <w:r>
        <w:rPr>
          <w:rFonts w:hint="eastAsia"/>
          <w:b/>
        </w:rPr>
        <w:t>第四条</w:t>
      </w:r>
      <w:r>
        <w:rPr>
          <w:rFonts w:hint="eastAsia"/>
        </w:rPr>
        <w:t xml:space="preserve">  本市按行政区域建立市和区、县红十字会，配备专职工作人员。</w:t>
      </w:r>
    </w:p>
    <w:p w14:paraId="025B02DE">
      <w:r>
        <w:rPr>
          <w:rFonts w:hint="eastAsia"/>
        </w:rPr>
        <w:t>街道、乡镇建立红十字会，根据实际工作需要配备专职或者兼职工作人员。</w:t>
      </w:r>
    </w:p>
    <w:p w14:paraId="5F527328">
      <w:r>
        <w:rPr>
          <w:rFonts w:hint="eastAsia"/>
        </w:rPr>
        <w:t>机关、团体、企业、事业单位根据需要建立基层红十字会组织。</w:t>
      </w:r>
    </w:p>
    <w:p w14:paraId="0ED829EC">
      <w:r>
        <w:rPr>
          <w:rFonts w:hint="eastAsia"/>
        </w:rPr>
        <w:t>上级红十字会指导下级红十字会的工作。</w:t>
      </w:r>
    </w:p>
    <w:p w14:paraId="729661F1">
      <w:pPr>
        <w:ind w:firstLine="422"/>
      </w:pPr>
      <w:r>
        <w:rPr>
          <w:rFonts w:hint="eastAsia"/>
          <w:b/>
        </w:rPr>
        <w:t>第五条</w:t>
      </w:r>
      <w:r>
        <w:rPr>
          <w:rFonts w:hint="eastAsia"/>
        </w:rPr>
        <w:t xml:space="preserve">  本市红十字会会员分为个人会员和团体会员。个人会员由本人申请，基层红十字会发给会员证；团体会员由单位申请，所在地地方红十字会发给团体会员证。</w:t>
      </w:r>
    </w:p>
    <w:p w14:paraId="15D5A30F">
      <w:r>
        <w:rPr>
          <w:rFonts w:hint="eastAsia"/>
        </w:rPr>
        <w:t>红十字会会员应遵守《中华人民共和国红十字会法》和本办法，热心红十字事业，享受会员的合法权益，履行会员的义务。</w:t>
      </w:r>
    </w:p>
    <w:p w14:paraId="470604E3">
      <w:pPr>
        <w:ind w:firstLine="422"/>
      </w:pPr>
      <w:r>
        <w:rPr>
          <w:rFonts w:hint="eastAsia"/>
          <w:b/>
        </w:rPr>
        <w:t>第六条</w:t>
      </w:r>
      <w:r>
        <w:rPr>
          <w:rFonts w:hint="eastAsia"/>
        </w:rPr>
        <w:t xml:space="preserve">  市和区、县红十字会设名誉会长和名誉副会长。名誉会长和名誉副会长由同级红十字会理事会聘请。</w:t>
      </w:r>
    </w:p>
    <w:p w14:paraId="482B235A">
      <w:pPr>
        <w:ind w:firstLine="422"/>
      </w:pPr>
      <w:r>
        <w:rPr>
          <w:rFonts w:hint="eastAsia"/>
          <w:b/>
        </w:rPr>
        <w:t>第七条</w:t>
      </w:r>
      <w:r>
        <w:rPr>
          <w:rFonts w:hint="eastAsia"/>
        </w:rPr>
        <w:t xml:space="preserve">  本市红十字会除履行《中华人民共和国红十字会法》规定的职责外，履行下列职责：</w:t>
      </w:r>
    </w:p>
    <w:p w14:paraId="77C05AB5">
      <w:r>
        <w:rPr>
          <w:rFonts w:hint="eastAsia"/>
        </w:rPr>
        <w:t>（一）宣传、贯彻《中华人民共和国红十字会法》和本办法。</w:t>
      </w:r>
    </w:p>
    <w:p w14:paraId="1F0165D1">
      <w:r>
        <w:rPr>
          <w:rFonts w:hint="eastAsia"/>
        </w:rPr>
        <w:t>（二）依据红十字会章程吸收会员，发展组织。</w:t>
      </w:r>
    </w:p>
    <w:p w14:paraId="5C168BEF">
      <w:r>
        <w:rPr>
          <w:rFonts w:hint="eastAsia"/>
        </w:rPr>
        <w:t>（三）对容易发生意外伤害的单位进行初级卫生救护培训和组织群众参加现场救护工作。</w:t>
      </w:r>
    </w:p>
    <w:p w14:paraId="0C27A45E">
      <w:r>
        <w:rPr>
          <w:rFonts w:hint="eastAsia"/>
        </w:rPr>
        <w:t>（四）参与无偿献血的宣传和组织工作。</w:t>
      </w:r>
    </w:p>
    <w:p w14:paraId="2CF17B89">
      <w:r>
        <w:rPr>
          <w:rFonts w:hint="eastAsia"/>
        </w:rPr>
        <w:t>（五）兴办街道红十字卫生站等符合红十字会宗旨的社会福利事业。</w:t>
      </w:r>
    </w:p>
    <w:p w14:paraId="3E63E484">
      <w:r>
        <w:rPr>
          <w:rFonts w:hint="eastAsia"/>
        </w:rPr>
        <w:t>（六）完成各级人民政府委托事宜。</w:t>
      </w:r>
    </w:p>
    <w:p w14:paraId="23617671">
      <w:pPr>
        <w:ind w:firstLine="422"/>
      </w:pPr>
      <w:r>
        <w:rPr>
          <w:rFonts w:hint="eastAsia"/>
          <w:b/>
        </w:rPr>
        <w:t>第八条</w:t>
      </w:r>
      <w:r>
        <w:rPr>
          <w:rFonts w:hint="eastAsia"/>
        </w:rPr>
        <w:t xml:space="preserve">  各级人民政府对红十字会工作给予支持和资助，并保障红十字会依法独立自主地开展工作。</w:t>
      </w:r>
    </w:p>
    <w:p w14:paraId="5D3441CD">
      <w:r>
        <w:rPr>
          <w:rFonts w:hint="eastAsia"/>
        </w:rPr>
        <w:t>各级红十字会接受同级人民政府的检查监督；基层红十字会组织接受所在单位的检查监督。</w:t>
      </w:r>
    </w:p>
    <w:p w14:paraId="74D92101">
      <w:pPr>
        <w:ind w:firstLine="422"/>
      </w:pPr>
      <w:r>
        <w:rPr>
          <w:rFonts w:hint="eastAsia"/>
          <w:b/>
        </w:rPr>
        <w:t>第九条</w:t>
      </w:r>
      <w:r>
        <w:rPr>
          <w:rFonts w:hint="eastAsia"/>
        </w:rPr>
        <w:t xml:space="preserve">  红十字会兴办的与其宗旨相符的社会福利事业，按照国家有关规定享受减税、免税待遇，有关行政管理部门减收、免收管理费。</w:t>
      </w:r>
    </w:p>
    <w:p w14:paraId="14752DF1">
      <w:pPr>
        <w:ind w:firstLine="422"/>
      </w:pPr>
      <w:r>
        <w:rPr>
          <w:rFonts w:hint="eastAsia"/>
          <w:b/>
        </w:rPr>
        <w:t>第十条</w:t>
      </w:r>
      <w:r>
        <w:rPr>
          <w:rFonts w:hint="eastAsia"/>
        </w:rPr>
        <w:t xml:space="preserve">  红十字会接受境外援助或者捐赠的物资、设备，海关按照国家规定优先办理有关手续，并依法给予减免税待遇。</w:t>
      </w:r>
    </w:p>
    <w:p w14:paraId="01AD128C">
      <w:r>
        <w:rPr>
          <w:rFonts w:hint="eastAsia"/>
        </w:rPr>
        <w:t>红十字会接受的款物应当用于红十字事业，任何组织和个人不得侵占和挪用。</w:t>
      </w:r>
    </w:p>
    <w:p w14:paraId="1EDB6F93">
      <w:pPr>
        <w:ind w:firstLine="422"/>
      </w:pPr>
      <w:r>
        <w:rPr>
          <w:rFonts w:hint="eastAsia"/>
          <w:b/>
        </w:rPr>
        <w:t>第十一条</w:t>
      </w:r>
      <w:r>
        <w:rPr>
          <w:rFonts w:hint="eastAsia"/>
        </w:rPr>
        <w:t xml:space="preserve">  红十字会经费的主要来源：</w:t>
      </w:r>
    </w:p>
    <w:p w14:paraId="0B9CB470">
      <w:r>
        <w:rPr>
          <w:rFonts w:hint="eastAsia"/>
        </w:rPr>
        <w:t>（一）红十字会会员按照规定缴纳的会费；</w:t>
      </w:r>
    </w:p>
    <w:p w14:paraId="00BFCFC4">
      <w:r>
        <w:rPr>
          <w:rFonts w:hint="eastAsia"/>
        </w:rPr>
        <w:t>（二）接受国内外组织和个人捐赠的款物；</w:t>
      </w:r>
    </w:p>
    <w:p w14:paraId="3ABB3F3E">
      <w:r>
        <w:rPr>
          <w:rFonts w:hint="eastAsia"/>
        </w:rPr>
        <w:t>（三）红十字会的动产、不动产和所属企业、事业单位上缴的收入；</w:t>
      </w:r>
    </w:p>
    <w:p w14:paraId="002F53BF">
      <w:r>
        <w:rPr>
          <w:rFonts w:hint="eastAsia"/>
        </w:rPr>
        <w:t>（四）各级人民政府的拨款。财政部门将红十字会经费列入年度预算，专款专用，并根据需要和可能增拨专项经费；</w:t>
      </w:r>
    </w:p>
    <w:p w14:paraId="78D1B55E">
      <w:r>
        <w:rPr>
          <w:rFonts w:hint="eastAsia"/>
        </w:rPr>
        <w:t>（五）基层红十字会所在单位的资助。</w:t>
      </w:r>
    </w:p>
    <w:p w14:paraId="5B4F5EEC">
      <w:pPr>
        <w:ind w:firstLine="422"/>
      </w:pPr>
      <w:r>
        <w:rPr>
          <w:rFonts w:hint="eastAsia"/>
          <w:b/>
        </w:rPr>
        <w:t>第十二条</w:t>
      </w:r>
      <w:r>
        <w:rPr>
          <w:rFonts w:hint="eastAsia"/>
        </w:rPr>
        <w:t xml:space="preserve">  市红十字会依法设立北京市红十字基金会，所筹资金用于发展本市红十字事业。</w:t>
      </w:r>
    </w:p>
    <w:p w14:paraId="00A39B02">
      <w:pPr>
        <w:ind w:firstLine="422"/>
      </w:pPr>
      <w:r>
        <w:rPr>
          <w:rFonts w:hint="eastAsia"/>
          <w:b/>
        </w:rPr>
        <w:t>第十三条</w:t>
      </w:r>
      <w:r>
        <w:rPr>
          <w:rFonts w:hint="eastAsia"/>
        </w:rPr>
        <w:t xml:space="preserve">  红十字会为开展救助工作，可以进行社会募捐活动。</w:t>
      </w:r>
    </w:p>
    <w:p w14:paraId="7BB140D5">
      <w:r>
        <w:rPr>
          <w:rFonts w:hint="eastAsia"/>
        </w:rPr>
        <w:t>红十字会可以在机场、宾馆、饭店、公园等公共场所设置红十字募捐箱，进行募捐。</w:t>
      </w:r>
    </w:p>
    <w:p w14:paraId="629FBF3F">
      <w:r>
        <w:rPr>
          <w:rFonts w:hint="eastAsia"/>
        </w:rPr>
        <w:t>红十字募捐工作，由市红十字会统一管理。</w:t>
      </w:r>
    </w:p>
    <w:p w14:paraId="08425513">
      <w:pPr>
        <w:ind w:firstLine="422"/>
      </w:pPr>
      <w:r>
        <w:rPr>
          <w:rFonts w:hint="eastAsia"/>
          <w:b/>
        </w:rPr>
        <w:t>第十四条</w:t>
      </w:r>
      <w:r>
        <w:rPr>
          <w:rFonts w:hint="eastAsia"/>
        </w:rPr>
        <w:t>　各级红十字会应当建立经费收支、财产管理和所办社会福利单位经济活动的审查监督制度，并每年向理事会报告。</w:t>
      </w:r>
    </w:p>
    <w:p w14:paraId="6C0BF8E3">
      <w:pPr>
        <w:ind w:firstLine="422"/>
      </w:pPr>
      <w:r>
        <w:rPr>
          <w:rFonts w:hint="eastAsia"/>
          <w:b/>
        </w:rPr>
        <w:t>第十五条</w:t>
      </w:r>
      <w:r>
        <w:rPr>
          <w:rFonts w:hint="eastAsia"/>
        </w:rPr>
        <w:t>　市红十字会对在红十字事业中做出突出贡献的志愿工作者和社会各界人士，授予荣誉称号和颁发荣誉证书、证章。</w:t>
      </w:r>
    </w:p>
    <w:p w14:paraId="7EB94563">
      <w:r>
        <w:rPr>
          <w:rFonts w:hint="eastAsia"/>
        </w:rPr>
        <w:t>各级红十字会对在红十字工作中做出显著成绩的单位和工作人员及会员，给予表彰和奖励。</w:t>
      </w:r>
    </w:p>
    <w:p w14:paraId="24D3FD90">
      <w:pPr>
        <w:ind w:firstLine="422"/>
      </w:pPr>
      <w:r>
        <w:rPr>
          <w:rFonts w:hint="eastAsia"/>
          <w:b/>
        </w:rPr>
        <w:t>第十六条</w:t>
      </w:r>
      <w:r>
        <w:rPr>
          <w:rFonts w:hint="eastAsia"/>
        </w:rPr>
        <w:t>　本办法自公布之日起施行。</w:t>
      </w:r>
    </w:p>
    <w:p w14:paraId="7BB0A20E">
      <w:pPr>
        <w:pStyle w:val="4"/>
        <w:pageBreakBefore/>
      </w:pPr>
      <w:bookmarkStart w:id="2044" w:name="_Toc428780458"/>
      <w:bookmarkStart w:id="2045" w:name="_Toc426467048"/>
      <w:bookmarkStart w:id="2046" w:name="_Toc428781796"/>
      <w:r>
        <w:rPr>
          <w:rFonts w:hint="eastAsia"/>
        </w:rPr>
        <w:t>北京市实施《中华人民共和国工会法》办法</w:t>
      </w:r>
      <w:bookmarkEnd w:id="2044"/>
      <w:bookmarkEnd w:id="2045"/>
      <w:bookmarkEnd w:id="2046"/>
    </w:p>
    <w:p w14:paraId="48535879">
      <w:pPr>
        <w:ind w:left="630" w:leftChars="300" w:right="630" w:rightChars="300"/>
        <w:rPr>
          <w:rFonts w:ascii="楷体" w:hAnsi="楷体" w:eastAsia="楷体"/>
        </w:rPr>
      </w:pPr>
      <w:r>
        <w:rPr>
          <w:rFonts w:hint="eastAsia" w:ascii="楷体" w:hAnsi="楷体" w:eastAsia="楷体"/>
        </w:rPr>
        <w:t>（1994年9月8日北京市第十届人民代表大会常务委员会第十二次会议通过　2002年7月18日北京市第十一届人民代表大会常务委员会第三十五次会议修订）</w:t>
      </w:r>
    </w:p>
    <w:p w14:paraId="0E53421E"/>
    <w:p w14:paraId="5B2E4421">
      <w:pPr>
        <w:ind w:firstLine="0" w:firstLineChars="0"/>
        <w:jc w:val="center"/>
        <w:rPr>
          <w:b/>
          <w:sz w:val="28"/>
        </w:rPr>
      </w:pPr>
      <w:r>
        <w:rPr>
          <w:rFonts w:hint="eastAsia"/>
          <w:b/>
          <w:sz w:val="28"/>
        </w:rPr>
        <w:t>第一章　总　则</w:t>
      </w:r>
    </w:p>
    <w:p w14:paraId="2A6224DE"/>
    <w:p w14:paraId="6D99739A">
      <w:pPr>
        <w:ind w:firstLine="422"/>
      </w:pPr>
      <w:r>
        <w:rPr>
          <w:rFonts w:hint="eastAsia"/>
          <w:b/>
        </w:rPr>
        <w:t>第一条</w:t>
      </w:r>
      <w:r>
        <w:rPr>
          <w:rFonts w:hint="eastAsia"/>
        </w:rPr>
        <w:t xml:space="preserve">  为实施《中华人民共和国工会法》，结合本市实际情况，制定本办法。</w:t>
      </w:r>
    </w:p>
    <w:p w14:paraId="70D9B23E">
      <w:pPr>
        <w:ind w:firstLine="422"/>
      </w:pPr>
      <w:r>
        <w:rPr>
          <w:rFonts w:hint="eastAsia"/>
          <w:b/>
        </w:rPr>
        <w:t>第二条</w:t>
      </w:r>
      <w:r>
        <w:rPr>
          <w:rFonts w:hint="eastAsia"/>
        </w:rPr>
        <w:t xml:space="preserve">  维护职工合法权益是工会的基本职责。本市各级工会组织代表职工的利益，依法维护职工的合法权益。</w:t>
      </w:r>
    </w:p>
    <w:p w14:paraId="04E7BECD">
      <w:pPr>
        <w:ind w:firstLine="422"/>
      </w:pPr>
      <w:r>
        <w:rPr>
          <w:rFonts w:hint="eastAsia"/>
          <w:b/>
        </w:rPr>
        <w:t>第三条</w:t>
      </w:r>
      <w:r>
        <w:rPr>
          <w:rFonts w:hint="eastAsia"/>
        </w:rPr>
        <w:t xml:space="preserve">  本市的企业、事业单位、机关以及其他组织中以工资收入为主要生活来源的体力劳动者和脑力劳动者，不分民族、种族、性别、职业、宗教信仰、教育程度，都有依法参加和组织工会的权利。</w:t>
      </w:r>
    </w:p>
    <w:p w14:paraId="568AE4E2">
      <w:r>
        <w:rPr>
          <w:rFonts w:hint="eastAsia"/>
        </w:rPr>
        <w:t>企业、事业单位、机关以及其他组织应当对职工参加和组织工会给予支持。</w:t>
      </w:r>
    </w:p>
    <w:p w14:paraId="32984FD2">
      <w:r>
        <w:rPr>
          <w:rFonts w:hint="eastAsia"/>
        </w:rPr>
        <w:t>任何组织和个人不得以职工户籍、就业期限、就业形式等为由，以解除劳动合同、降低工资、不缴纳社会保险费等手段，阻挠和限制职工参加和组织工会；不得对参加和组织工会的职工进行打击报复。</w:t>
      </w:r>
    </w:p>
    <w:p w14:paraId="5EDC876D">
      <w:pPr>
        <w:ind w:firstLine="422"/>
      </w:pPr>
      <w:r>
        <w:rPr>
          <w:rFonts w:hint="eastAsia"/>
          <w:b/>
        </w:rPr>
        <w:t>第四条</w:t>
      </w:r>
      <w:r>
        <w:rPr>
          <w:rFonts w:hint="eastAsia"/>
        </w:rPr>
        <w:t xml:space="preserve">  工会通过平等协商和集体合同制度，协调劳动关系，维护职工的劳动权益和物质利益。</w:t>
      </w:r>
    </w:p>
    <w:p w14:paraId="6AE3C670">
      <w:r>
        <w:rPr>
          <w:rFonts w:hint="eastAsia"/>
        </w:rPr>
        <w:t>工会通过职工代表大会或者其他形式，组织职工参与本单位的民主决策、民主管理和民主监督，保障职工民主权利的实现。</w:t>
      </w:r>
    </w:p>
    <w:p w14:paraId="26F15195">
      <w:r>
        <w:rPr>
          <w:rFonts w:hint="eastAsia"/>
        </w:rPr>
        <w:t>工会通过劳动法律监督制度和劳动争议处理制度，监督单位执行劳动法律、法规，参与劳动争议处理，为职工提供法律服务，保障职工的合法权益不受侵害。</w:t>
      </w:r>
    </w:p>
    <w:p w14:paraId="2B4B0832">
      <w:r>
        <w:rPr>
          <w:rFonts w:hint="eastAsia"/>
        </w:rPr>
        <w:t>工会通过多种方式和途径，开展职工互助合作，帮助困难职工群体，促进就业和社会保障制度的完善。</w:t>
      </w:r>
    </w:p>
    <w:p w14:paraId="65BB7179">
      <w:r>
        <w:rPr>
          <w:rFonts w:hint="eastAsia"/>
        </w:rPr>
        <w:t>工会及其工作人员应当认真履行职责，密切联系职工，听取和反映职工的意见和要求，依靠职工开展工会工作，全心全意为职工服务。</w:t>
      </w:r>
    </w:p>
    <w:p w14:paraId="69877CD0">
      <w:pPr>
        <w:ind w:firstLine="422"/>
      </w:pPr>
      <w:r>
        <w:rPr>
          <w:rFonts w:hint="eastAsia"/>
          <w:b/>
        </w:rPr>
        <w:t>第五条</w:t>
      </w:r>
      <w:r>
        <w:rPr>
          <w:rFonts w:hint="eastAsia"/>
        </w:rPr>
        <w:t xml:space="preserve">  工会动员和组织职工积极参加经济建设，努力完成生产任务和工作任务。鼓励职工开展群众性的合理化建议、技术革新、技术协作等活动，教育职工不断提高思想道德、科学文化和技术业务素质，建设有理想、有道德、有文化、有纪律的职工队伍。</w:t>
      </w:r>
    </w:p>
    <w:p w14:paraId="44ACE909"/>
    <w:p w14:paraId="351BA7D8">
      <w:pPr>
        <w:ind w:firstLine="0" w:firstLineChars="0"/>
        <w:jc w:val="center"/>
        <w:rPr>
          <w:b/>
          <w:sz w:val="28"/>
        </w:rPr>
      </w:pPr>
      <w:r>
        <w:rPr>
          <w:rFonts w:hint="eastAsia"/>
          <w:b/>
          <w:sz w:val="28"/>
        </w:rPr>
        <w:t>第二章　工会组织</w:t>
      </w:r>
    </w:p>
    <w:p w14:paraId="68466CFE"/>
    <w:p w14:paraId="5ADDB6C2">
      <w:pPr>
        <w:ind w:firstLine="422"/>
      </w:pPr>
      <w:r>
        <w:rPr>
          <w:rFonts w:hint="eastAsia"/>
          <w:b/>
        </w:rPr>
        <w:t>第六条</w:t>
      </w:r>
      <w:r>
        <w:rPr>
          <w:rFonts w:hint="eastAsia"/>
        </w:rPr>
        <w:t xml:space="preserve">  本市工会各级组织的建立实行民主集中制原则。</w:t>
      </w:r>
    </w:p>
    <w:p w14:paraId="470E3E39">
      <w:r>
        <w:rPr>
          <w:rFonts w:hint="eastAsia"/>
        </w:rPr>
        <w:t>各级工会委员会、工会联合会及工会主席、副主席经民主选举产生。</w:t>
      </w:r>
    </w:p>
    <w:p w14:paraId="76B959DE">
      <w:pPr>
        <w:ind w:firstLine="422"/>
        <w:rPr>
          <w:rFonts w:hint="eastAsia" w:ascii="宋体" w:hAnsi="宋体" w:eastAsia="宋体" w:cs="宋体"/>
        </w:rPr>
      </w:pPr>
      <w:r>
        <w:rPr>
          <w:rFonts w:hint="eastAsia"/>
          <w:b/>
        </w:rPr>
        <w:t>第七条</w:t>
      </w:r>
      <w:r>
        <w:rPr>
          <w:rFonts w:hint="eastAsia"/>
        </w:rPr>
        <w:t xml:space="preserve">  企业、事</w:t>
      </w:r>
      <w:r>
        <w:rPr>
          <w:rFonts w:hint="eastAsia" w:ascii="宋体" w:hAnsi="宋体" w:eastAsia="宋体" w:cs="宋体"/>
        </w:rPr>
        <w:t>业单位、机关以及其他组织有会员25人以上的，应当建立基层工会委员会；不足25人的，可以单独建立基层工会委员会，也可以由两个以上单位的会员联合建立基层工会委员会，也可以选举组织员1人，组织会员开展活动。</w:t>
      </w:r>
    </w:p>
    <w:p w14:paraId="1AF7C929">
      <w:pPr>
        <w:rPr>
          <w:rFonts w:hint="eastAsia" w:ascii="宋体" w:hAnsi="宋体" w:eastAsia="宋体" w:cs="宋体"/>
        </w:rPr>
      </w:pPr>
      <w:r>
        <w:rPr>
          <w:rFonts w:hint="eastAsia"/>
        </w:rPr>
        <w:t>女职工人数在</w:t>
      </w:r>
      <w:r>
        <w:rPr>
          <w:rFonts w:hint="eastAsia" w:ascii="宋体" w:hAnsi="宋体" w:eastAsia="宋体" w:cs="宋体"/>
        </w:rPr>
        <w:t>25人以上的，应当建立工会女职工委员会，在同级工会领导下开展工作；女职工人数在25人以下的，应当在工会委员会中设女职工委员。女职工委员会、女职工委员代表和维护女职工的特殊权益。</w:t>
      </w:r>
    </w:p>
    <w:p w14:paraId="2CEBA6A8">
      <w:pPr>
        <w:ind w:firstLine="422"/>
      </w:pPr>
      <w:r>
        <w:rPr>
          <w:rFonts w:hint="eastAsia"/>
          <w:b/>
        </w:rPr>
        <w:t>第八条</w:t>
      </w:r>
      <w:r>
        <w:rPr>
          <w:rFonts w:hint="eastAsia"/>
        </w:rPr>
        <w:t xml:space="preserve">  市和区、县建立地方总工会。乡镇、街道建立工会委员会、工会联合会或者工会工作委员会。社区、村内企业较多的，企业基层工会可以建立联合会。</w:t>
      </w:r>
    </w:p>
    <w:p w14:paraId="35B20D92">
      <w:r>
        <w:rPr>
          <w:rFonts w:hint="eastAsia"/>
        </w:rPr>
        <w:t>同一行业或者性质相近的几个行业，根据需要建立产业工会或者区域性的工会联合会。</w:t>
      </w:r>
    </w:p>
    <w:p w14:paraId="51FAEE9E">
      <w:pPr>
        <w:ind w:firstLine="422"/>
      </w:pPr>
      <w:r>
        <w:rPr>
          <w:rFonts w:hint="eastAsia"/>
          <w:b/>
        </w:rPr>
        <w:t>第九条</w:t>
      </w:r>
      <w:r>
        <w:rPr>
          <w:rFonts w:hint="eastAsia"/>
        </w:rPr>
        <w:t xml:space="preserve">  工会组织的建立，必须报上一级工会批准。</w:t>
      </w:r>
    </w:p>
    <w:p w14:paraId="563222BD">
      <w:r>
        <w:rPr>
          <w:rFonts w:hint="eastAsia"/>
        </w:rPr>
        <w:t>上级工会可以派员帮助和指导企业、事业单位以及其他组织的职工组建工会，任何组织和个人不得阻挠。</w:t>
      </w:r>
    </w:p>
    <w:p w14:paraId="73AC14A7">
      <w:r>
        <w:rPr>
          <w:rFonts w:hint="eastAsia"/>
        </w:rPr>
        <w:t>企业、事业单位以及其他组织开业或者成立半年尚未组建工会的，上级工会应当派员帮助和指导职工组建工会。</w:t>
      </w:r>
    </w:p>
    <w:p w14:paraId="4C92B381">
      <w:pPr>
        <w:ind w:firstLine="422"/>
      </w:pPr>
      <w:r>
        <w:rPr>
          <w:rFonts w:hint="eastAsia"/>
          <w:b/>
        </w:rPr>
        <w:t>第十条</w:t>
      </w:r>
      <w:r>
        <w:rPr>
          <w:rFonts w:hint="eastAsia"/>
        </w:rPr>
        <w:t xml:space="preserve">  市和区、县总工会以及产业工会，从成立之日起具有社会团体法人资格。</w:t>
      </w:r>
    </w:p>
    <w:p w14:paraId="1ABB69CA">
      <w:r>
        <w:rPr>
          <w:rFonts w:hint="eastAsia"/>
        </w:rPr>
        <w:t>基层工会组织具备民法通则规定的法人条件的，按照中华全国总工会的有关规定，经办理法人资格登记，取得社会团体法人资格。</w:t>
      </w:r>
    </w:p>
    <w:p w14:paraId="2CF0EA3B">
      <w:pPr>
        <w:ind w:firstLine="422"/>
        <w:rPr>
          <w:rFonts w:hint="eastAsia" w:ascii="宋体" w:hAnsi="宋体" w:eastAsia="宋体" w:cs="宋体"/>
        </w:rPr>
      </w:pPr>
      <w:r>
        <w:rPr>
          <w:rFonts w:hint="eastAsia"/>
          <w:b/>
        </w:rPr>
        <w:t>第十一条</w:t>
      </w:r>
      <w:r>
        <w:rPr>
          <w:rFonts w:hint="eastAsia"/>
        </w:rPr>
        <w:t xml:space="preserve">  市和区、</w:t>
      </w:r>
      <w:r>
        <w:rPr>
          <w:rFonts w:hint="eastAsia" w:ascii="宋体" w:hAnsi="宋体" w:eastAsia="宋体" w:cs="宋体"/>
        </w:rPr>
        <w:t>县总工会委员会以及产业工会委员会每届任期5年。基层工会委员会每届任期3年或者5年，期限届满仍未进行换届的，上级工会有权责令其限期进行换届。</w:t>
      </w:r>
    </w:p>
    <w:p w14:paraId="54C6CBFE">
      <w:pPr>
        <w:ind w:firstLine="422"/>
      </w:pPr>
      <w:r>
        <w:rPr>
          <w:rFonts w:hint="eastAsia"/>
          <w:b/>
        </w:rPr>
        <w:t>第十二条</w:t>
      </w:r>
      <w:r>
        <w:rPr>
          <w:rFonts w:hint="eastAsia"/>
        </w:rPr>
        <w:t xml:space="preserve">  工会主席、副主席不得由本企业的法定代表人兼任，也不宜由分管劳动、工资、人事的企业负责人兼任。</w:t>
      </w:r>
    </w:p>
    <w:p w14:paraId="3D167635">
      <w:r>
        <w:rPr>
          <w:rFonts w:hint="eastAsia"/>
        </w:rPr>
        <w:t>企业主要负责人的近亲属不得作为本企业基层工会委员会的成员。</w:t>
      </w:r>
    </w:p>
    <w:p w14:paraId="7432F67A">
      <w:pPr>
        <w:ind w:firstLine="422"/>
      </w:pPr>
      <w:r>
        <w:rPr>
          <w:rFonts w:hint="eastAsia"/>
          <w:b/>
        </w:rPr>
        <w:t>第十三条</w:t>
      </w:r>
      <w:r>
        <w:rPr>
          <w:rFonts w:hint="eastAsia"/>
        </w:rPr>
        <w:t xml:space="preserve">  工会应当对新当选的工会主席、副主席、委员以及配备的专职工作人员进行上岗培训。</w:t>
      </w:r>
    </w:p>
    <w:p w14:paraId="3F87F3CF">
      <w:pPr>
        <w:ind w:firstLine="422"/>
      </w:pPr>
      <w:r>
        <w:rPr>
          <w:rFonts w:hint="eastAsia"/>
          <w:b/>
        </w:rPr>
        <w:t>第十四条</w:t>
      </w:r>
      <w:r>
        <w:rPr>
          <w:rFonts w:hint="eastAsia"/>
        </w:rPr>
        <w:t>　任何组织和个人不得随意撤销、合并工会组织。</w:t>
      </w:r>
    </w:p>
    <w:p w14:paraId="4A84F377">
      <w:r>
        <w:rPr>
          <w:rFonts w:hint="eastAsia"/>
        </w:rPr>
        <w:t>基层工会所在单位终止或者被撤销，该工会组织相应撤销，并报告上一级工会。</w:t>
      </w:r>
    </w:p>
    <w:p w14:paraId="77C02A5A">
      <w:pPr>
        <w:ind w:firstLine="422"/>
      </w:pPr>
      <w:r>
        <w:rPr>
          <w:rFonts w:hint="eastAsia"/>
          <w:b/>
        </w:rPr>
        <w:t>第十五条</w:t>
      </w:r>
      <w:r>
        <w:rPr>
          <w:rFonts w:hint="eastAsia"/>
        </w:rPr>
        <w:t>　职工</w:t>
      </w:r>
      <w:r>
        <w:rPr>
          <w:rFonts w:hint="eastAsia" w:ascii="宋体" w:hAnsi="宋体" w:eastAsia="宋体" w:cs="宋体"/>
        </w:rPr>
        <w:t>200人以上</w:t>
      </w:r>
      <w:r>
        <w:rPr>
          <w:rFonts w:hint="eastAsia"/>
        </w:rPr>
        <w:t>的企业、事业单位以及其他组织的工会，可以设专职工会主席或者副主席；工会应当根据工作需要，设工会专职工作人员，具体人数由工会与单位协商确定。</w:t>
      </w:r>
    </w:p>
    <w:p w14:paraId="126D8A54">
      <w:r>
        <w:rPr>
          <w:rFonts w:hint="eastAsia"/>
        </w:rPr>
        <w:t>乡镇、街道工会可以设专职工会主席或者副主席；乡镇、街道职工人数较多的，应当根据工作需要，设工会专职工作人员。</w:t>
      </w:r>
    </w:p>
    <w:p w14:paraId="4A307FEB">
      <w:pPr>
        <w:ind w:firstLine="422"/>
      </w:pPr>
      <w:r>
        <w:rPr>
          <w:rFonts w:hint="eastAsia"/>
          <w:b/>
        </w:rPr>
        <w:t>第十六条</w:t>
      </w:r>
      <w:r>
        <w:rPr>
          <w:rFonts w:hint="eastAsia"/>
        </w:rPr>
        <w:t>　基层工会专职主席、副主席或者委员自任职之日起，其劳动合同期限自动延长，延长期限相当于其任职期间；非专职主席、副主席或者委员自任职之日起，其尚未履行的劳动合同期限短于任期的，劳动合同期限自动延长至任期期满。但是，任职期间本人有严重过失或者达到法定退休年龄的除外。</w:t>
      </w:r>
    </w:p>
    <w:p w14:paraId="0BE946CB">
      <w:r>
        <w:rPr>
          <w:rFonts w:hint="eastAsia"/>
        </w:rPr>
        <w:t>工会主席、副主席任期未满，单位不得随意变更其工作岗位或者调动其工作。因工作需要变更工作岗位或者调动时，应当事先征得本级工会委员会和上一级工会的同意。</w:t>
      </w:r>
    </w:p>
    <w:p w14:paraId="2BD32365">
      <w:pPr>
        <w:ind w:firstLine="422"/>
      </w:pPr>
      <w:r>
        <w:rPr>
          <w:rFonts w:hint="eastAsia"/>
          <w:b/>
        </w:rPr>
        <w:t>第十七条</w:t>
      </w:r>
      <w:r>
        <w:rPr>
          <w:rFonts w:hint="eastAsia"/>
        </w:rPr>
        <w:t>　罢免工会主席、副主席必须由工会召开会员大会或者会员代表大会讨论，非经会员大会全体会员或者会员代表大会全体代表过半数通过，不得罢免。</w:t>
      </w:r>
    </w:p>
    <w:p w14:paraId="66D2CB11">
      <w:pPr>
        <w:ind w:firstLine="0" w:firstLineChars="0"/>
        <w:jc w:val="center"/>
        <w:rPr>
          <w:b/>
          <w:sz w:val="28"/>
        </w:rPr>
      </w:pPr>
    </w:p>
    <w:p w14:paraId="2A1D4205">
      <w:pPr>
        <w:ind w:firstLine="0" w:firstLineChars="0"/>
        <w:jc w:val="center"/>
        <w:rPr>
          <w:b/>
          <w:sz w:val="28"/>
        </w:rPr>
      </w:pPr>
    </w:p>
    <w:p w14:paraId="003930E1">
      <w:pPr>
        <w:ind w:firstLine="0" w:firstLineChars="0"/>
        <w:jc w:val="center"/>
        <w:rPr>
          <w:b/>
          <w:sz w:val="28"/>
        </w:rPr>
      </w:pPr>
      <w:r>
        <w:rPr>
          <w:rFonts w:hint="eastAsia"/>
          <w:b/>
          <w:sz w:val="28"/>
        </w:rPr>
        <w:t>第三章　工会的权利和义务</w:t>
      </w:r>
    </w:p>
    <w:p w14:paraId="5096BB59"/>
    <w:p w14:paraId="206684CC">
      <w:pPr>
        <w:ind w:firstLine="422"/>
      </w:pPr>
      <w:r>
        <w:rPr>
          <w:rFonts w:hint="eastAsia"/>
          <w:b/>
        </w:rPr>
        <w:t>第十八条</w:t>
      </w:r>
      <w:r>
        <w:rPr>
          <w:rFonts w:hint="eastAsia"/>
        </w:rPr>
        <w:t>　企业、事业单位以及其他组织违反职工代表大会制度和其他民主管理制度，工会有权要求纠正，保障职工依法行使民主管理的权利。</w:t>
      </w:r>
    </w:p>
    <w:p w14:paraId="32DB568B">
      <w:r>
        <w:rPr>
          <w:rFonts w:hint="eastAsia"/>
        </w:rPr>
        <w:t>法律、法规规定应当提交职工代表大会或者职工大会审议、通过、决定的事项，企业、事业单位应当依法办理。</w:t>
      </w:r>
    </w:p>
    <w:p w14:paraId="1A01C120">
      <w:r>
        <w:rPr>
          <w:rFonts w:hint="eastAsia"/>
        </w:rPr>
        <w:t>国有企业、国有控股企业、集体企业、集体控股企业以及事业单位改革、改制方案，兼并、破产方案，重大技术改造方案，职工裁员、分流、安置方案等重大决策问题应当提交职工代表大会审议；社会保障基金缴纳情况、企业安全生产工作情况等涉及职工切身利益的事项应当提交职工代表大会审议通过；职工福利基金使用方案等涉及职工福利的重大事项应当提交职工代表大会审议决定。</w:t>
      </w:r>
    </w:p>
    <w:p w14:paraId="448C2E70">
      <w:pPr>
        <w:ind w:firstLine="422"/>
      </w:pPr>
      <w:r>
        <w:rPr>
          <w:rFonts w:hint="eastAsia"/>
          <w:b/>
        </w:rPr>
        <w:t>第十九条</w:t>
      </w:r>
      <w:r>
        <w:rPr>
          <w:rFonts w:hint="eastAsia"/>
        </w:rPr>
        <w:t>　各级工会应当建立劳动法律监督组织，设立工会劳动法律监督员，对企业贯彻实施劳动法律、法规的情况进行监督。企业违反劳动法律、法规，工会劳动法律监督员应当以书面形式提出意见和建议；拒不改正的，可以提请劳动行政部门依法作出处理。</w:t>
      </w:r>
    </w:p>
    <w:p w14:paraId="2ECF97E9">
      <w:pPr>
        <w:ind w:firstLine="422"/>
      </w:pPr>
      <w:r>
        <w:rPr>
          <w:rFonts w:hint="eastAsia"/>
          <w:b/>
        </w:rPr>
        <w:t>第二十条</w:t>
      </w:r>
      <w:r>
        <w:rPr>
          <w:rFonts w:hint="eastAsia"/>
        </w:rPr>
        <w:t>　工会帮助、指导职工与企业、实行企业化管理的事业单位以及其他组织签订劳动合同，对劳动合同的订立、履行、变更、解除、终止以及续订情况进行监督。</w:t>
      </w:r>
    </w:p>
    <w:p w14:paraId="012A4947">
      <w:pPr>
        <w:ind w:firstLine="422"/>
      </w:pPr>
      <w:r>
        <w:rPr>
          <w:rFonts w:hint="eastAsia"/>
          <w:b/>
        </w:rPr>
        <w:t>第二十一条</w:t>
      </w:r>
      <w:r>
        <w:rPr>
          <w:rFonts w:hint="eastAsia"/>
        </w:rPr>
        <w:t>　企业以及实行企业化管理的事业单位单方面解除职工劳动合同时，应当事先将理由通知工会，工会认为其违反法律、法规和劳动合同，应当及时提出改正意见或者建议；工会要求重新处理时，单位应当研究工会的意见，并将处理结果书面通知工会。</w:t>
      </w:r>
    </w:p>
    <w:p w14:paraId="3F4FAC2C">
      <w:r>
        <w:rPr>
          <w:rFonts w:hint="eastAsia"/>
        </w:rPr>
        <w:t>企业濒临破产进行法定整顿期间、因防治工业污染源搬迁或者生产经营发生严重困难，确需裁减人员时，应当提前</w:t>
      </w:r>
      <w:r>
        <w:rPr>
          <w:rFonts w:hint="eastAsia" w:ascii="宋体" w:hAnsi="宋体" w:eastAsia="宋体" w:cs="宋体"/>
        </w:rPr>
        <w:t>30日向工会或者全体职工说明情况，听取工会或者职工的意见。企业自裁员之日起，6个月内录用人员的，</w:t>
      </w:r>
      <w:r>
        <w:rPr>
          <w:rFonts w:hint="eastAsia"/>
        </w:rPr>
        <w:t>应当优先录用被裁减的人员。</w:t>
      </w:r>
    </w:p>
    <w:p w14:paraId="4CA062E3">
      <w:pPr>
        <w:ind w:firstLine="422"/>
      </w:pPr>
      <w:r>
        <w:rPr>
          <w:rFonts w:hint="eastAsia"/>
          <w:b/>
        </w:rPr>
        <w:t>第二十二条</w:t>
      </w:r>
      <w:r>
        <w:rPr>
          <w:rFonts w:hint="eastAsia"/>
        </w:rPr>
        <w:t>　工会代表职工与企业、实行企业化管理的事业单位以及其他组织建立平等协商机制，就劳动标准的确定、劳动关系的调整、重大劳动争议的处理以及集体合同的签订等事项进行平等协商，任何一方无正当理由不得拒绝或者拖延。</w:t>
      </w:r>
    </w:p>
    <w:p w14:paraId="6FDBF3E4">
      <w:pPr>
        <w:ind w:firstLine="422"/>
      </w:pPr>
      <w:r>
        <w:rPr>
          <w:rFonts w:hint="eastAsia"/>
          <w:b/>
        </w:rPr>
        <w:t>第二十三条</w:t>
      </w:r>
      <w:r>
        <w:rPr>
          <w:rFonts w:hint="eastAsia"/>
        </w:rPr>
        <w:t>　工会代表职工与企业、实行企业化管理的事业单位以及其他组织就劳动报酬、工作时间、休息休假、保险福利、劳动安全卫生以及职业培训等事项签订集体合同。</w:t>
      </w:r>
    </w:p>
    <w:p w14:paraId="479CD299">
      <w:r>
        <w:rPr>
          <w:rFonts w:hint="eastAsia"/>
        </w:rPr>
        <w:t>区域性、行业性工会组织代表职工与相应的企业组织或者企业就前款事项签订集体合同。</w:t>
      </w:r>
    </w:p>
    <w:p w14:paraId="13DE854D">
      <w:r>
        <w:rPr>
          <w:rFonts w:hint="eastAsia"/>
        </w:rPr>
        <w:t>集体合同草案应当提交职工代表大会、职工大会或者职工代表会议审议通过。</w:t>
      </w:r>
    </w:p>
    <w:p w14:paraId="19D4A363">
      <w:r>
        <w:rPr>
          <w:rFonts w:hint="eastAsia"/>
        </w:rPr>
        <w:t>工会代表职工与企业、实行企业化管理的事业单位以及其他组织的代表依法就工资分配制度、工资分配形式、工资收入水平等事项进行协商，在协商一致的基础上，签订工资协议。</w:t>
      </w:r>
    </w:p>
    <w:p w14:paraId="651F7CEC">
      <w:pPr>
        <w:ind w:firstLine="422"/>
      </w:pPr>
      <w:r>
        <w:rPr>
          <w:rFonts w:hint="eastAsia"/>
          <w:b/>
        </w:rPr>
        <w:t>第二十四条</w:t>
      </w:r>
      <w:r>
        <w:rPr>
          <w:rFonts w:hint="eastAsia"/>
        </w:rPr>
        <w:t>　代表职工一方参加集体合同、工资协议协商的代表为职工协商代表。职工协商代表由工会委派或者由职工民主选举产生。</w:t>
      </w:r>
    </w:p>
    <w:p w14:paraId="6555A58E">
      <w:r>
        <w:rPr>
          <w:rFonts w:hint="eastAsia"/>
        </w:rPr>
        <w:t>职工协商代表在本人劳动合同期限内，单位不得与其解除劳动合同；在任期内劳动合同期满的，单位应当与其续签劳动合同至任期届满。但本人有严重过失或者达到法定退休年龄的除外。</w:t>
      </w:r>
    </w:p>
    <w:p w14:paraId="3D7DC899">
      <w:r>
        <w:rPr>
          <w:rFonts w:hint="eastAsia"/>
        </w:rPr>
        <w:t>职工协商代表因参加协商占用生产或者工作时间，其工资照发，其他待遇不受影响。</w:t>
      </w:r>
    </w:p>
    <w:p w14:paraId="3ED6E8F6">
      <w:pPr>
        <w:ind w:firstLine="422"/>
      </w:pPr>
      <w:r>
        <w:rPr>
          <w:rFonts w:hint="eastAsia"/>
          <w:b/>
        </w:rPr>
        <w:t>第二十五条</w:t>
      </w:r>
      <w:r>
        <w:rPr>
          <w:rFonts w:hint="eastAsia"/>
        </w:rPr>
        <w:t>　企业、事业单位以及其他组织发生有关人员非法扣留职工合法证件以及对职工非法搜身、侮辱、虐待、体罚等侵害职工人身权的情况时，工会应当予以制止，要求纠正；情形严重的，提请有关部门依法处理或者支持职工依法提起诉讼。</w:t>
      </w:r>
    </w:p>
    <w:p w14:paraId="7CE11434">
      <w:pPr>
        <w:ind w:firstLine="422"/>
      </w:pPr>
      <w:r>
        <w:rPr>
          <w:rFonts w:hint="eastAsia"/>
          <w:b/>
        </w:rPr>
        <w:t>第二十六条</w:t>
      </w:r>
      <w:r>
        <w:rPr>
          <w:rFonts w:hint="eastAsia"/>
        </w:rPr>
        <w:t>　企业、事业单位以及其他组织违反劳动法律、法规规定，有下列侵犯职工劳动权益情形之一的，工会应当代表职工与其交涉，要求停止侵害，采取措施予以改正；单位应当予以研究处理，并</w:t>
      </w:r>
      <w:r>
        <w:rPr>
          <w:rFonts w:hint="eastAsia" w:ascii="宋体" w:hAnsi="宋体" w:eastAsia="宋体" w:cs="宋体"/>
        </w:rPr>
        <w:t>在15日内向工会</w:t>
      </w:r>
      <w:r>
        <w:rPr>
          <w:rFonts w:hint="eastAsia"/>
        </w:rPr>
        <w:t>作出书面答复；逾期不予答复又不改正的，工会有权提请劳动行政部门或者劳动安全卫生监察部门依法处理：</w:t>
      </w:r>
    </w:p>
    <w:p w14:paraId="15D404AA">
      <w:bookmarkStart w:id="2047" w:name="_Toc428780459"/>
      <w:r>
        <w:rPr>
          <w:rFonts w:hint="eastAsia"/>
        </w:rPr>
        <w:t>（一）克扣或者拖欠职工工资的；</w:t>
      </w:r>
      <w:bookmarkEnd w:id="2047"/>
    </w:p>
    <w:p w14:paraId="190BD496">
      <w:r>
        <w:rPr>
          <w:rFonts w:hint="eastAsia"/>
        </w:rPr>
        <w:t>（二）不提供劳动安全卫生设施、条件或者劳动安全卫生设施、条件不符合国家规定的；</w:t>
      </w:r>
    </w:p>
    <w:p w14:paraId="028493F5">
      <w:bookmarkStart w:id="2048" w:name="_Toc428780460"/>
      <w:r>
        <w:rPr>
          <w:rFonts w:hint="eastAsia"/>
        </w:rPr>
        <w:t>（三）超出国家规定随意延长劳动时间的或者不支付加班工资的；</w:t>
      </w:r>
      <w:bookmarkEnd w:id="2048"/>
    </w:p>
    <w:p w14:paraId="4CE3AE7E">
      <w:r>
        <w:rPr>
          <w:rFonts w:hint="eastAsia"/>
        </w:rPr>
        <w:t>（四）未依法为职工缴纳社会保险费的；</w:t>
      </w:r>
    </w:p>
    <w:p w14:paraId="4C61EEC0">
      <w:r>
        <w:rPr>
          <w:rFonts w:hint="eastAsia"/>
        </w:rPr>
        <w:t>（五）侵犯女职工或者未成年工特殊权益的；</w:t>
      </w:r>
    </w:p>
    <w:p w14:paraId="21115890">
      <w:r>
        <w:rPr>
          <w:rFonts w:hint="eastAsia"/>
        </w:rPr>
        <w:t>（六）其他严重侵犯职工劳动权益的。</w:t>
      </w:r>
    </w:p>
    <w:p w14:paraId="257D1862">
      <w:pPr>
        <w:ind w:firstLine="422"/>
      </w:pPr>
      <w:r>
        <w:rPr>
          <w:rFonts w:hint="eastAsia"/>
          <w:b/>
        </w:rPr>
        <w:t>第二十七条</w:t>
      </w:r>
      <w:r>
        <w:rPr>
          <w:rFonts w:hint="eastAsia"/>
        </w:rPr>
        <w:t>　工会对企业、事业单位以及其他组织侵犯职工合法权益的问题进行调查时，有权向有关单位或者知情人了解情况，查阅、复制与侵权事实有关的资料，有关单位应当予以协助，提供便利条件，不得设置障碍，阻挠或者拒绝调查。</w:t>
      </w:r>
    </w:p>
    <w:p w14:paraId="6B80E845">
      <w:pPr>
        <w:ind w:firstLine="422"/>
      </w:pPr>
      <w:r>
        <w:rPr>
          <w:rFonts w:hint="eastAsia"/>
          <w:b/>
        </w:rPr>
        <w:t>第二十八条</w:t>
      </w:r>
      <w:r>
        <w:rPr>
          <w:rFonts w:hint="eastAsia"/>
        </w:rPr>
        <w:t>　企业、事业单位以及其他组织处分职工，工会认为不适当的，有权提出意见，企业、事业单位以及其他组织应当及时研究，并以书面形式答复工会。</w:t>
      </w:r>
    </w:p>
    <w:p w14:paraId="02DD6ABA">
      <w:pPr>
        <w:ind w:firstLine="422"/>
      </w:pPr>
      <w:r>
        <w:rPr>
          <w:rFonts w:hint="eastAsia"/>
          <w:b/>
        </w:rPr>
        <w:t>第二十九条</w:t>
      </w:r>
      <w:r>
        <w:rPr>
          <w:rFonts w:hint="eastAsia"/>
        </w:rPr>
        <w:t>　各级工会建立劳动保护监督组织，设立劳动保护监督检查员。劳动保护监督检查员依法对企业安全生产情况进行监督检查，企业应当予以协助，不得妨碍或者阻挠。</w:t>
      </w:r>
    </w:p>
    <w:p w14:paraId="0AFD935C">
      <w:pPr>
        <w:ind w:firstLine="422"/>
      </w:pPr>
      <w:r>
        <w:rPr>
          <w:rFonts w:hint="eastAsia"/>
          <w:b/>
        </w:rPr>
        <w:t>第三十条</w:t>
      </w:r>
      <w:r>
        <w:rPr>
          <w:rFonts w:hint="eastAsia"/>
        </w:rPr>
        <w:t>　工会依照国家规定，对新建、扩建企业和技术改造工程中的劳动条件和安全卫生设施与主体工程同时设计、同时施工、同时投产使用进行监督。企业或者主管部门应当依照国家规定通知相关工会参加劳动条件、安全卫生设施的设计审查、竣工验收工作。尚未建立工会组织的，由其上一级工会或者企业所在地工会实施监督，参加验收。企业或者主管部门对工会提出的意见应当认真处理，并将处理结果书面通知工会。</w:t>
      </w:r>
    </w:p>
    <w:p w14:paraId="6D5D3673">
      <w:pPr>
        <w:ind w:firstLine="422"/>
      </w:pPr>
      <w:r>
        <w:rPr>
          <w:rFonts w:hint="eastAsia"/>
          <w:b/>
        </w:rPr>
        <w:t>第三十一条</w:t>
      </w:r>
      <w:r>
        <w:rPr>
          <w:rFonts w:hint="eastAsia"/>
        </w:rPr>
        <w:t>　工会发现企业违章指挥、强令工人冒险作业，或者生产过程中发现事故隐患和职业危害，有权提出解决的建议，督促并协助企业消除隐患和危害，企业应当及时研究答复和处理；发现危及职工生命安全的情况时，工会有权向企业建议组织职工撤离危险现场，企业必须及时作出处理。</w:t>
      </w:r>
    </w:p>
    <w:p w14:paraId="1330F840">
      <w:r>
        <w:rPr>
          <w:rFonts w:hint="eastAsia"/>
        </w:rPr>
        <w:t>企业未能采取措施及时作出处理，对职工生命安全、身体健康造成伤害的，工会应当向有关部门提出检举和控告，支持和帮助职工维护其合法权益。</w:t>
      </w:r>
    </w:p>
    <w:p w14:paraId="3DD2BF28">
      <w:pPr>
        <w:ind w:firstLine="422"/>
      </w:pPr>
      <w:r>
        <w:rPr>
          <w:rFonts w:hint="eastAsia"/>
          <w:b/>
        </w:rPr>
        <w:t>第三十二条</w:t>
      </w:r>
      <w:r>
        <w:rPr>
          <w:rFonts w:hint="eastAsia"/>
        </w:rPr>
        <w:t>　企业发生职工因工伤亡事故和职业病危害事故时，应当立即报告有关部门并通报同级工会；重大伤亡事故，同时报市总工会。对于隐瞒不报、谎报或者拖延报告的，工会有权提请劳动安全卫生监察部门依法作出处理。</w:t>
      </w:r>
    </w:p>
    <w:p w14:paraId="1062C6F4">
      <w:r>
        <w:rPr>
          <w:rFonts w:hint="eastAsia"/>
        </w:rPr>
        <w:t>职工因工伤亡事故和其他严重危害职工健康问题的调查处理，必须有工会参加。工会应当向有关部门提出处理意见，并有权要求追究直接负责的主管人员和有关责任人员的责任。有关部门对工会提出的意见，应当及时研究，给予答复。</w:t>
      </w:r>
    </w:p>
    <w:p w14:paraId="65483964">
      <w:pPr>
        <w:ind w:firstLine="422"/>
      </w:pPr>
      <w:r>
        <w:rPr>
          <w:rFonts w:hint="eastAsia"/>
          <w:b/>
        </w:rPr>
        <w:t>第三十三条</w:t>
      </w:r>
      <w:r>
        <w:rPr>
          <w:rFonts w:hint="eastAsia"/>
        </w:rPr>
        <w:t>　企业、事业单位以及其他组织发生停工、怠工事件，工会应当代表职工与企业、事业单位以及其他组织或者有关方面协商，反映职工的意见和要求并提出解决意见。企业、事业单位以及其他组织对职工的合理要求，应当予以解决；不予解决的，工会应当立即向上级工会报告。上级工会应当及时会同劳动行政部门、有关主管部门了解情况，共同协商处理，尽快恢复生产、工作秩序。</w:t>
      </w:r>
    </w:p>
    <w:p w14:paraId="3227DC17">
      <w:pPr>
        <w:ind w:firstLine="422"/>
      </w:pPr>
      <w:r>
        <w:rPr>
          <w:rFonts w:hint="eastAsia"/>
          <w:b/>
        </w:rPr>
        <w:t>第三十四条</w:t>
      </w:r>
      <w:r>
        <w:rPr>
          <w:rFonts w:hint="eastAsia"/>
        </w:rPr>
        <w:t>　企业工会应当参加劳动争议调解委员会，设立劳动争议调解员，主持劳动争议调解工作。</w:t>
      </w:r>
    </w:p>
    <w:p w14:paraId="29E3E361">
      <w:r>
        <w:rPr>
          <w:rFonts w:hint="eastAsia"/>
        </w:rPr>
        <w:t>本市乡镇、街道以上工会可以建立劳动争议调解指导委员会，帮助、指导所属劳动争议调解组织开展调解工作。</w:t>
      </w:r>
    </w:p>
    <w:p w14:paraId="1A6B827A">
      <w:r>
        <w:rPr>
          <w:rFonts w:hint="eastAsia"/>
        </w:rPr>
        <w:t>市和区、县总工会建立兼职劳动争议仲裁员队伍，参加同级劳动争议仲裁委员会的仲裁工作。</w:t>
      </w:r>
    </w:p>
    <w:p w14:paraId="1EAE24CA">
      <w:pPr>
        <w:ind w:firstLine="422"/>
      </w:pPr>
      <w:r>
        <w:rPr>
          <w:rFonts w:hint="eastAsia"/>
          <w:b/>
        </w:rPr>
        <w:t>第三十五条</w:t>
      </w:r>
      <w:r>
        <w:rPr>
          <w:rFonts w:hint="eastAsia"/>
        </w:rPr>
        <w:t>　市和区、县总工会可以建立法律服务机构，为基层工会和职工供法律服务。</w:t>
      </w:r>
    </w:p>
    <w:p w14:paraId="29F8C8BE">
      <w:pPr>
        <w:ind w:firstLine="422"/>
      </w:pPr>
      <w:r>
        <w:rPr>
          <w:rFonts w:hint="eastAsia"/>
          <w:b/>
        </w:rPr>
        <w:t>第三十六条</w:t>
      </w:r>
      <w:r>
        <w:rPr>
          <w:rFonts w:hint="eastAsia"/>
        </w:rPr>
        <w:t>　市和区、县总工会参与监督社会保险基金的管理、使用以及职工最低生活保障标准的实施。</w:t>
      </w:r>
    </w:p>
    <w:p w14:paraId="5D09FCFC">
      <w:r>
        <w:rPr>
          <w:rFonts w:hint="eastAsia"/>
        </w:rPr>
        <w:t>基层工会应当监督本单位依法为职工缴纳社会保险费，督促本单位按照国家和本市的规定为职工建立养老、医疗等补充保险。</w:t>
      </w:r>
    </w:p>
    <w:p w14:paraId="41030EB0">
      <w:r>
        <w:rPr>
          <w:rFonts w:hint="eastAsia"/>
        </w:rPr>
        <w:t>企业、事业单位以及其他组织应当支持工会组织职工开展互助补充保险、消费合作社和特殊群体生活服务等互助互济活动。</w:t>
      </w:r>
    </w:p>
    <w:p w14:paraId="38FA463C">
      <w:pPr>
        <w:ind w:firstLine="422"/>
      </w:pPr>
      <w:r>
        <w:rPr>
          <w:rFonts w:hint="eastAsia"/>
          <w:b/>
        </w:rPr>
        <w:t>第三十七条</w:t>
      </w:r>
      <w:r>
        <w:rPr>
          <w:rFonts w:hint="eastAsia"/>
        </w:rPr>
        <w:t>　工会根据人民政府的委托，与有关部门共同做好劳动模范、先进生产者以及先进工作者的评选、表彰、培养和管理工作。</w:t>
      </w:r>
    </w:p>
    <w:p w14:paraId="687CAACE">
      <w:pPr>
        <w:ind w:firstLine="422"/>
      </w:pPr>
      <w:r>
        <w:rPr>
          <w:rFonts w:hint="eastAsia"/>
          <w:b/>
        </w:rPr>
        <w:t>第三十八条</w:t>
      </w:r>
      <w:r>
        <w:rPr>
          <w:rFonts w:hint="eastAsia"/>
        </w:rPr>
        <w:t>　本市有关国家机关组织起草或者修改法规、规章以及制定国民经济和社会发展计划时，对涉及职工利益的重大问题，应当听取工会的意见；组织监督检查直接涉及职工切身利益的法律、法规、规章的贯彻执行情况时，应当吸收工会参加。</w:t>
      </w:r>
    </w:p>
    <w:p w14:paraId="4A52D17E">
      <w:r>
        <w:rPr>
          <w:rFonts w:hint="eastAsia"/>
        </w:rPr>
        <w:t>市和区、县人民政府及其有关部门研究制定劳动就业、工资、劳动安全卫生、社会保险等涉及职工切身利益的政策、措施时，应当吸收同级工会参加研究，听取工会的意见。</w:t>
      </w:r>
    </w:p>
    <w:p w14:paraId="218D34E3">
      <w:pPr>
        <w:ind w:firstLine="422"/>
      </w:pPr>
      <w:r>
        <w:rPr>
          <w:rFonts w:hint="eastAsia"/>
          <w:b/>
        </w:rPr>
        <w:t>第三十九条</w:t>
      </w:r>
      <w:r>
        <w:rPr>
          <w:rFonts w:hint="eastAsia"/>
        </w:rPr>
        <w:t>　市和区、县人民政府建立政府与工会的联席会议制度，向同级工会通报政府的重要工作部署和与职工有关的行政措施，研究解决工会反映的涉及职工重大利益的问题以及职工群众的意见和要求。</w:t>
      </w:r>
    </w:p>
    <w:p w14:paraId="38B9C672">
      <w:pPr>
        <w:ind w:firstLine="422"/>
      </w:pPr>
      <w:r>
        <w:rPr>
          <w:rFonts w:hint="eastAsia"/>
          <w:b/>
        </w:rPr>
        <w:t>第四十条</w:t>
      </w:r>
      <w:r>
        <w:rPr>
          <w:rFonts w:hint="eastAsia"/>
        </w:rPr>
        <w:t>　市和区、县人民政府劳动行政部门应当会同同级工会和企业方面代表、建立劳动关系三方协商制度。具备条件的乡镇、街道，也可以建立劳动关系三方协商制度。</w:t>
      </w:r>
    </w:p>
    <w:p w14:paraId="2A339146">
      <w:r>
        <w:rPr>
          <w:rFonts w:hint="eastAsia"/>
        </w:rPr>
        <w:t>三方应当定期召开协调会议，就劳动规章、政策的制定，劳动标准的确定，集体劳动争议和职工突发事件的处理等进行研究、分析，协商解决涉及劳动关系的各项重大问题。</w:t>
      </w:r>
    </w:p>
    <w:p w14:paraId="03C482A1">
      <w:r>
        <w:rPr>
          <w:rFonts w:hint="eastAsia"/>
        </w:rPr>
        <w:t>三方形成的协议或者决定，各方应当组织贯彻实施。</w:t>
      </w:r>
    </w:p>
    <w:p w14:paraId="23358BFE">
      <w:pPr>
        <w:spacing w:line="300" w:lineRule="exact"/>
      </w:pPr>
    </w:p>
    <w:p w14:paraId="00C8893C">
      <w:pPr>
        <w:ind w:firstLine="0" w:firstLineChars="0"/>
        <w:jc w:val="center"/>
        <w:rPr>
          <w:b/>
          <w:sz w:val="28"/>
        </w:rPr>
      </w:pPr>
      <w:r>
        <w:rPr>
          <w:rFonts w:hint="eastAsia"/>
          <w:b/>
          <w:sz w:val="28"/>
        </w:rPr>
        <w:t>第四章  基层工会</w:t>
      </w:r>
    </w:p>
    <w:p w14:paraId="2068496C">
      <w:pPr>
        <w:spacing w:line="300" w:lineRule="exact"/>
      </w:pPr>
    </w:p>
    <w:p w14:paraId="3E6235E3">
      <w:pPr>
        <w:ind w:firstLine="422"/>
      </w:pPr>
      <w:r>
        <w:rPr>
          <w:rFonts w:hint="eastAsia"/>
          <w:b/>
        </w:rPr>
        <w:t>第四十一条</w:t>
      </w:r>
      <w:r>
        <w:rPr>
          <w:rFonts w:hint="eastAsia"/>
        </w:rPr>
        <w:t>　国有企业、国有控股企业、集体企业、集体控股企业以及事业单位的职工通过职工代表大会或者职工大会，依法行使民主管理的权利。工会负责职工代表大会或者职工大会的日常工作。</w:t>
      </w:r>
    </w:p>
    <w:p w14:paraId="393EE2AC">
      <w:r>
        <w:rPr>
          <w:rFonts w:hint="eastAsia"/>
        </w:rPr>
        <w:t>前款规定以外的企业及其他组织的工会可以通过职工代表大会、职工大会或者其他民主管理形式，组织职工参与民主管理，保障职工民主管理权利的实现。</w:t>
      </w:r>
    </w:p>
    <w:p w14:paraId="07D73E8A">
      <w:pPr>
        <w:ind w:firstLine="422"/>
      </w:pPr>
      <w:r>
        <w:rPr>
          <w:rFonts w:hint="eastAsia"/>
          <w:b/>
        </w:rPr>
        <w:t>第四十二条</w:t>
      </w:r>
      <w:r>
        <w:rPr>
          <w:rFonts w:hint="eastAsia"/>
        </w:rPr>
        <w:t>　工会应当在职工代表大会或者职工大会召开前广泛听取职工意见和建议，征集议案，提出议题的建议，提请大会审议。</w:t>
      </w:r>
    </w:p>
    <w:p w14:paraId="6D407C58">
      <w:r>
        <w:rPr>
          <w:rFonts w:hint="eastAsia"/>
        </w:rPr>
        <w:t>企业、事业单位准备提交职工代表大会或者职工大会审议、通过、决定的事项，应当于会议召开7日前以书面形式提交工会。</w:t>
      </w:r>
    </w:p>
    <w:p w14:paraId="00D8738D">
      <w:pPr>
        <w:ind w:firstLine="422"/>
      </w:pPr>
      <w:r>
        <w:rPr>
          <w:rFonts w:hint="eastAsia"/>
          <w:b/>
        </w:rPr>
        <w:t>第四十三条</w:t>
      </w:r>
      <w:r>
        <w:rPr>
          <w:rFonts w:hint="eastAsia"/>
        </w:rPr>
        <w:t>　工会应当监督、检查职工代表大会或者职工大会决议的执行，对发现的问题应当向企业行政方面提出意见或者建议，并报告上级工会。</w:t>
      </w:r>
    </w:p>
    <w:p w14:paraId="50F92848">
      <w:pPr>
        <w:ind w:firstLine="422"/>
      </w:pPr>
      <w:r>
        <w:rPr>
          <w:rFonts w:hint="eastAsia"/>
          <w:b/>
        </w:rPr>
        <w:t>第四十四条</w:t>
      </w:r>
      <w:r>
        <w:rPr>
          <w:rFonts w:hint="eastAsia"/>
        </w:rPr>
        <w:t>　企业、事业单位以及其他组织研究经营管理和发展的重大问题应当听取工会的意见；召开讨论有关工资、福利、劳动安全卫生、社会保险等涉及职工切身利益的会议，必须有工会代表参加。</w:t>
      </w:r>
    </w:p>
    <w:p w14:paraId="48A7B56F">
      <w:r>
        <w:rPr>
          <w:rFonts w:hint="eastAsia"/>
        </w:rPr>
        <w:t>企业、事业单位以及其他组织应当支持工会依法开展工作，工会应当支持企业、事业单位以及其他组织依法行使经营管理权。</w:t>
      </w:r>
    </w:p>
    <w:p w14:paraId="7B57027A">
      <w:pPr>
        <w:ind w:firstLine="422"/>
      </w:pPr>
      <w:r>
        <w:rPr>
          <w:rFonts w:hint="eastAsia"/>
          <w:b/>
        </w:rPr>
        <w:t>第四十五条</w:t>
      </w:r>
      <w:r>
        <w:rPr>
          <w:rFonts w:hint="eastAsia"/>
        </w:rPr>
        <w:t>　国有独资公司和国有控股公司的董事会、监事会中应当有职工代表。</w:t>
      </w:r>
    </w:p>
    <w:p w14:paraId="70305ADD">
      <w:r>
        <w:rPr>
          <w:rFonts w:hint="eastAsia"/>
        </w:rPr>
        <w:t>董事会、监事会中的职工代表由公司的工会委员会提名，经职工代表大会或者职工大会选举产生。</w:t>
      </w:r>
    </w:p>
    <w:p w14:paraId="6D45A01B">
      <w:pPr>
        <w:ind w:firstLine="422"/>
      </w:pPr>
      <w:r>
        <w:rPr>
          <w:rFonts w:hint="eastAsia"/>
          <w:b/>
        </w:rPr>
        <w:t>第四十六条</w:t>
      </w:r>
      <w:r>
        <w:rPr>
          <w:rFonts w:hint="eastAsia"/>
        </w:rPr>
        <w:t>　国有独资公司和国有控股公司以外的其他公司在监事会中应当有职工代表，在董事会中可以有职工代表。</w:t>
      </w:r>
    </w:p>
    <w:p w14:paraId="217626D8">
      <w:r>
        <w:rPr>
          <w:rFonts w:hint="eastAsia"/>
        </w:rPr>
        <w:t>董事会、监事会中的职工代表由公司职工结合本公司实际情况，采取与公司相适应的民主形式选举产生。</w:t>
      </w:r>
    </w:p>
    <w:p w14:paraId="610F6E9F">
      <w:pPr>
        <w:ind w:firstLine="422"/>
      </w:pPr>
      <w:r>
        <w:rPr>
          <w:rFonts w:hint="eastAsia"/>
          <w:b/>
        </w:rPr>
        <w:t>第四十七条</w:t>
      </w:r>
      <w:r>
        <w:rPr>
          <w:rFonts w:hint="eastAsia"/>
        </w:rPr>
        <w:t>　公司的工会主席、副主席经民主选举可以作为董事会、监事会中的职工代表。</w:t>
      </w:r>
    </w:p>
    <w:p w14:paraId="145FCE68">
      <w:pPr>
        <w:ind w:firstLine="422"/>
      </w:pPr>
      <w:r>
        <w:rPr>
          <w:rFonts w:hint="eastAsia"/>
          <w:b/>
        </w:rPr>
        <w:t>第四十八条</w:t>
      </w:r>
      <w:r>
        <w:rPr>
          <w:rFonts w:hint="eastAsia"/>
        </w:rPr>
        <w:t>　董事会、监事会中的职工代表行使各项职权时，应当表达职工的意愿，并定期向职工代表大会或者职工大会报告工作，主动接受职工的监督。职工可以通过职工代表大会、职工大会或者其他相应的民主形式，罢免、撤换由其选举的董事会、监事会中不履行职责的职工代表。</w:t>
      </w:r>
    </w:p>
    <w:p w14:paraId="3100C256">
      <w:r>
        <w:rPr>
          <w:rFonts w:hint="eastAsia"/>
        </w:rPr>
        <w:t>公司工会应当维护董事会、监事会中的职工代表的合法权益，支持其参与决策，履行职责。</w:t>
      </w:r>
    </w:p>
    <w:p w14:paraId="2C1F7D8D">
      <w:pPr>
        <w:ind w:firstLine="422"/>
      </w:pPr>
      <w:r>
        <w:rPr>
          <w:rFonts w:hint="eastAsia"/>
          <w:b/>
        </w:rPr>
        <w:t>第四十九条</w:t>
      </w:r>
      <w:r>
        <w:rPr>
          <w:rFonts w:hint="eastAsia"/>
        </w:rPr>
        <w:t>　基层工会委员会召开会议或者组织活动，应当在生产或者工作时间以外进行，需要占用生产或者工作时间的，应当事先征得单位的同意。</w:t>
      </w:r>
    </w:p>
    <w:p w14:paraId="5D8D9359">
      <w:pPr>
        <w:rPr>
          <w:rFonts w:hint="eastAsia" w:ascii="宋体" w:hAnsi="宋体" w:eastAsia="宋体" w:cs="宋体"/>
        </w:rPr>
      </w:pPr>
      <w:r>
        <w:rPr>
          <w:rFonts w:hint="eastAsia"/>
        </w:rPr>
        <w:t>基层工会的非专职委员占用生产或者工作时间参加工会组织的会议、活动或者从事工会工作，每月不超</w:t>
      </w:r>
      <w:r>
        <w:rPr>
          <w:rFonts w:hint="eastAsia" w:ascii="宋体" w:hAnsi="宋体" w:eastAsia="宋体" w:cs="宋体"/>
        </w:rPr>
        <w:t>过3个工作日，其工资照发，其他待遇不受影响。</w:t>
      </w:r>
    </w:p>
    <w:p w14:paraId="7B34055D">
      <w:pPr>
        <w:rPr>
          <w:rFonts w:hint="eastAsia" w:ascii="宋体" w:hAnsi="宋体" w:eastAsia="宋体" w:cs="宋体"/>
        </w:rPr>
      </w:pPr>
      <w:r>
        <w:rPr>
          <w:rFonts w:hint="eastAsia" w:ascii="宋体" w:hAnsi="宋体" w:eastAsia="宋体" w:cs="宋体"/>
        </w:rPr>
        <w:t>基层工会的劳动法律监督员、劳动保护监督检查员、劳动争议调解员依法行使职权时，不受每月3个工作日的限制。</w:t>
      </w:r>
    </w:p>
    <w:p w14:paraId="283A468A">
      <w:pPr>
        <w:ind w:firstLine="422"/>
      </w:pPr>
      <w:r>
        <w:rPr>
          <w:rFonts w:hint="eastAsia"/>
          <w:b/>
        </w:rPr>
        <w:t>第五十条</w:t>
      </w:r>
      <w:r>
        <w:rPr>
          <w:rFonts w:hint="eastAsia"/>
        </w:rPr>
        <w:t>　企业、事业单位、机关以及其他组织工会委员会的专职工作人员的工资、奖励、补贴，由所在单位支付；社会保险和其他福利待遇等，享受本单位职工同等待遇。</w:t>
      </w:r>
    </w:p>
    <w:p w14:paraId="46604608">
      <w:r>
        <w:rPr>
          <w:rFonts w:hint="eastAsia"/>
        </w:rPr>
        <w:t>企业、事业单位、机关以及其他组织对依法履行职责的工会工作人员，无正当理由不得调动工作岗位，不得进行打击报复。</w:t>
      </w:r>
    </w:p>
    <w:p w14:paraId="3D09EB24"/>
    <w:p w14:paraId="690AE2E8">
      <w:pPr>
        <w:ind w:firstLine="0" w:firstLineChars="0"/>
        <w:jc w:val="center"/>
        <w:rPr>
          <w:rFonts w:hint="eastAsia"/>
          <w:b/>
          <w:sz w:val="28"/>
        </w:rPr>
      </w:pPr>
    </w:p>
    <w:p w14:paraId="009135B1">
      <w:pPr>
        <w:ind w:firstLine="0" w:firstLineChars="0"/>
        <w:jc w:val="center"/>
        <w:rPr>
          <w:b/>
          <w:sz w:val="28"/>
        </w:rPr>
      </w:pPr>
      <w:r>
        <w:rPr>
          <w:rFonts w:hint="eastAsia"/>
          <w:b/>
          <w:sz w:val="28"/>
        </w:rPr>
        <w:t>第五章  工会的经费和财产</w:t>
      </w:r>
    </w:p>
    <w:p w14:paraId="47899242"/>
    <w:p w14:paraId="63769B56">
      <w:pPr>
        <w:ind w:firstLine="422"/>
      </w:pPr>
      <w:r>
        <w:rPr>
          <w:rFonts w:hint="eastAsia"/>
          <w:b/>
        </w:rPr>
        <w:t>第五十一条</w:t>
      </w:r>
      <w:r>
        <w:rPr>
          <w:rFonts w:hint="eastAsia"/>
        </w:rPr>
        <w:t>　工会会员按月缴纳会费，会费标准按照中华全国总工会有关规定执行。</w:t>
      </w:r>
    </w:p>
    <w:p w14:paraId="1BEFFD7B">
      <w:pPr>
        <w:rPr>
          <w:rFonts w:hint="eastAsia" w:ascii="宋体" w:hAnsi="宋体" w:eastAsia="宋体" w:cs="宋体"/>
        </w:rPr>
      </w:pPr>
      <w:r>
        <w:rPr>
          <w:rFonts w:hint="eastAsia"/>
        </w:rPr>
        <w:t>建立工会组织的企业、事业单位、机关以及其他组织，应当于每月</w:t>
      </w:r>
      <w:r>
        <w:rPr>
          <w:rFonts w:hint="eastAsia" w:ascii="宋体" w:hAnsi="宋体" w:eastAsia="宋体" w:cs="宋体"/>
        </w:rPr>
        <w:t>15日前，按照全部职工上月工资总额的2%向工会拨缴经费。逾期未缴或者少缴的，应当及时补缴，并按照欠缴金额日5‰缴纳滞纳金。</w:t>
      </w:r>
    </w:p>
    <w:p w14:paraId="70EBAC09">
      <w:r>
        <w:rPr>
          <w:rFonts w:hint="eastAsia"/>
        </w:rPr>
        <w:t>企业、事业单位以及其他组织拨缴的工会经费在税前列支。</w:t>
      </w:r>
    </w:p>
    <w:p w14:paraId="3D28C5EA">
      <w:pPr>
        <w:ind w:firstLine="422"/>
      </w:pPr>
      <w:r>
        <w:rPr>
          <w:rFonts w:hint="eastAsia"/>
          <w:b/>
        </w:rPr>
        <w:t>第五十二条</w:t>
      </w:r>
      <w:r>
        <w:rPr>
          <w:rFonts w:hint="eastAsia"/>
        </w:rPr>
        <w:t>　上级工会有权对下级工会所在的企业、事业单位以及其他组织拨缴工会经费的情况进行检查，有关部门应当予以协助。</w:t>
      </w:r>
    </w:p>
    <w:p w14:paraId="193B145C">
      <w:pPr>
        <w:ind w:firstLine="422"/>
      </w:pPr>
      <w:r>
        <w:rPr>
          <w:rFonts w:hint="eastAsia"/>
          <w:b/>
        </w:rPr>
        <w:t>第五十三条</w:t>
      </w:r>
      <w:r>
        <w:rPr>
          <w:rFonts w:hint="eastAsia"/>
        </w:rPr>
        <w:t>　企业、事业单位以及其他组织少缴、无正当理由拖延或者拒不拨缴工会经费的，基层工会或者上级工会应当催缴。经催缴仍不缴纳的，基层工会或者上级工会可以按照民事诉讼法的有关规定向人民法院申请支付令；拒不执行支付令的，工会可以依法申请人民法院强制执行。</w:t>
      </w:r>
    </w:p>
    <w:p w14:paraId="10DDDA00">
      <w:pPr>
        <w:ind w:firstLine="422"/>
      </w:pPr>
      <w:r>
        <w:rPr>
          <w:rFonts w:hint="eastAsia"/>
          <w:b/>
        </w:rPr>
        <w:t>第五十四条</w:t>
      </w:r>
      <w:r>
        <w:rPr>
          <w:rFonts w:hint="eastAsia"/>
        </w:rPr>
        <w:t>　建立一级工会财务管理的工会组织，应当由工会会员代表大会或者会员大会选举产生工会经费审查委员会。</w:t>
      </w:r>
    </w:p>
    <w:p w14:paraId="05B21BDD">
      <w:r>
        <w:rPr>
          <w:rFonts w:hint="eastAsia"/>
        </w:rPr>
        <w:t>各级工会经费审查委员会依照法律和有关规定，对本级工会经费年度预算和预算执行情况，工会资产管理和各项专用基金使用情况等进行审查监督，并定期向会员代表大会或者会员大会报告，接受监督。工会会员代表大会或者会员大会有权对经费使用情况提出意见。</w:t>
      </w:r>
    </w:p>
    <w:p w14:paraId="0CF8BC9C">
      <w:r>
        <w:rPr>
          <w:rFonts w:hint="eastAsia"/>
        </w:rPr>
        <w:t>下级工会经费审查委员会接受上级工会经费审查委员会的业务指导和监督检查。</w:t>
      </w:r>
    </w:p>
    <w:p w14:paraId="65A58D19">
      <w:r>
        <w:rPr>
          <w:rFonts w:hint="eastAsia"/>
        </w:rPr>
        <w:t>工会主席任期届满或者在任期内离任的，工会应当按照规定对其进行经济责任审查。</w:t>
      </w:r>
    </w:p>
    <w:p w14:paraId="6A2BC13B">
      <w:pPr>
        <w:ind w:firstLine="422"/>
      </w:pPr>
      <w:r>
        <w:rPr>
          <w:rFonts w:hint="eastAsia"/>
          <w:b/>
        </w:rPr>
        <w:t>第五十五条</w:t>
      </w:r>
      <w:r>
        <w:rPr>
          <w:rFonts w:hint="eastAsia"/>
        </w:rPr>
        <w:t>　本市各级人民政府和企业、事业单位、机关以及其他组织，应当为同级工会和本单位工会办公、开展活动提供必要的设施、活动场所以及其他物质条件，并提供上述设施、活动场所重建、改建、扩建、维护时所需的费用和其他帮助。</w:t>
      </w:r>
    </w:p>
    <w:p w14:paraId="10F7D4DA">
      <w:pPr>
        <w:ind w:firstLine="422"/>
      </w:pPr>
      <w:r>
        <w:rPr>
          <w:rFonts w:hint="eastAsia"/>
          <w:b/>
        </w:rPr>
        <w:t>第五十六条</w:t>
      </w:r>
      <w:r>
        <w:rPr>
          <w:rFonts w:hint="eastAsia"/>
        </w:rPr>
        <w:t>　工会财产、经费和国家拨给工会使用的不动产受法律保护，任何组织和个人不得侵占、挪用和任意调拨。</w:t>
      </w:r>
    </w:p>
    <w:p w14:paraId="5F26FA83">
      <w:r>
        <w:rPr>
          <w:rFonts w:hint="eastAsia"/>
        </w:rPr>
        <w:t>工会合并、分立、撤销、解散前，其财产、经费应当在上级工会的指导下进行审计。工会合并，其财产、经费归合并后的工会所有；工会分立，其财产、经费由原工会合理分配；工会撤销或者解散，其财产、经费由上级工会处置。</w:t>
      </w:r>
    </w:p>
    <w:p w14:paraId="17D9CB26">
      <w:pPr>
        <w:ind w:firstLine="422"/>
      </w:pPr>
      <w:r>
        <w:rPr>
          <w:rFonts w:hint="eastAsia"/>
          <w:b/>
        </w:rPr>
        <w:t>第五十七条</w:t>
      </w:r>
      <w:r>
        <w:rPr>
          <w:rFonts w:hint="eastAsia"/>
        </w:rPr>
        <w:t>　市和区、县总工会以及企业、事业单位工会所属的为职工服务的企业、事业单位，其隶属关系不得随意改变。</w:t>
      </w:r>
    </w:p>
    <w:p w14:paraId="10428562">
      <w:pPr>
        <w:ind w:firstLine="422"/>
      </w:pPr>
      <w:r>
        <w:rPr>
          <w:rFonts w:hint="eastAsia"/>
          <w:b/>
        </w:rPr>
        <w:t>第五十八条</w:t>
      </w:r>
      <w:r>
        <w:rPr>
          <w:rFonts w:hint="eastAsia"/>
        </w:rPr>
        <w:t>　市和区、县总工会的离休、退休人员的待遇，与国家机关工作人员同等对待，所需费用由同级财政负担。</w:t>
      </w:r>
    </w:p>
    <w:p w14:paraId="4DFE46B3">
      <w:pPr>
        <w:spacing w:line="300" w:lineRule="exact"/>
      </w:pPr>
    </w:p>
    <w:p w14:paraId="035D22E3">
      <w:pPr>
        <w:ind w:firstLine="0" w:firstLineChars="0"/>
        <w:jc w:val="center"/>
        <w:rPr>
          <w:b/>
          <w:sz w:val="28"/>
        </w:rPr>
      </w:pPr>
      <w:r>
        <w:rPr>
          <w:rFonts w:hint="eastAsia"/>
          <w:b/>
          <w:sz w:val="28"/>
        </w:rPr>
        <w:t>第六章  法律责任</w:t>
      </w:r>
    </w:p>
    <w:p w14:paraId="62A14151">
      <w:pPr>
        <w:spacing w:line="300" w:lineRule="exact"/>
      </w:pPr>
    </w:p>
    <w:p w14:paraId="7539F426">
      <w:pPr>
        <w:ind w:firstLine="422"/>
      </w:pPr>
      <w:r>
        <w:rPr>
          <w:rFonts w:hint="eastAsia"/>
          <w:b/>
        </w:rPr>
        <w:t>第五十九条</w:t>
      </w:r>
      <w:r>
        <w:rPr>
          <w:rFonts w:hint="eastAsia"/>
        </w:rPr>
        <w:t>　工会对违反本办法规定侵犯其合法权益的，有权提请本市各级人民政府或者有关部门采取责令改正、通报批评、行政处分等措施予以处理，或者向人民法院提起诉讼。</w:t>
      </w:r>
    </w:p>
    <w:p w14:paraId="5FB100A4">
      <w:pPr>
        <w:ind w:firstLine="422"/>
      </w:pPr>
      <w:r>
        <w:rPr>
          <w:rFonts w:hint="eastAsia"/>
          <w:b/>
        </w:rPr>
        <w:t>第六十条</w:t>
      </w:r>
      <w:r>
        <w:rPr>
          <w:rFonts w:hint="eastAsia"/>
        </w:rPr>
        <w:t>　企业有下列情形之一的，由劳动行政部门责令其限期改正；拒不改正的，由劳动行政部门提请市和区、县人民政府处理：</w:t>
      </w:r>
    </w:p>
    <w:p w14:paraId="2424040A">
      <w:r>
        <w:rPr>
          <w:rFonts w:hint="eastAsia"/>
        </w:rPr>
        <w:t>（一）违反本办法第三条第三款的规定，阻挠、限制职工参加和组织工会或者对参加和组织工会的职工实施打击报复的；</w:t>
      </w:r>
    </w:p>
    <w:p w14:paraId="55515980">
      <w:r>
        <w:rPr>
          <w:rFonts w:hint="eastAsia"/>
        </w:rPr>
        <w:t>（二）违反本办法第九条第二款的规定，阻挠上级工会派员帮助和指导职工组建工会的。</w:t>
      </w:r>
    </w:p>
    <w:p w14:paraId="210DB177">
      <w:r>
        <w:rPr>
          <w:rFonts w:hint="eastAsia"/>
        </w:rPr>
        <w:t>以暴力、威胁等手段阻挠造成严重后果，构成犯罪的，依法追究其刑事责任；尚未构成犯罪的，由公安机关依照治安管理处罚条例的规定处罚。</w:t>
      </w:r>
    </w:p>
    <w:p w14:paraId="3DF01304">
      <w:pPr>
        <w:ind w:firstLine="422"/>
      </w:pPr>
      <w:r>
        <w:rPr>
          <w:rFonts w:hint="eastAsia"/>
          <w:b/>
        </w:rPr>
        <w:t>第六十一条</w:t>
      </w:r>
      <w:r>
        <w:rPr>
          <w:rFonts w:hint="eastAsia"/>
        </w:rPr>
        <w:t>　职工因参加工会活动或者工会工作人员因履行本办法规定的职责而被解除劳动合同的，由劳动行政部门责令单位恢复其工作，按照解除劳动合同前正常工作期间的劳动报酬和福利待遇标准补发应得的报酬。</w:t>
      </w:r>
    </w:p>
    <w:p w14:paraId="100FC810">
      <w:r>
        <w:rPr>
          <w:rFonts w:hint="eastAsia"/>
        </w:rPr>
        <w:t>职工或者工会工作人员因前款原因被解除劳动合同而又不愿意恢复工作的，由劳动行政部门责令单位给予本人年收入两倍的赔偿，按照解除劳动合同的有关规定给予经济补偿。</w:t>
      </w:r>
    </w:p>
    <w:p w14:paraId="5E86DCC8">
      <w:pPr>
        <w:ind w:firstLine="422"/>
      </w:pPr>
      <w:r>
        <w:rPr>
          <w:rFonts w:hint="eastAsia"/>
          <w:b/>
        </w:rPr>
        <w:t>第六十二条</w:t>
      </w:r>
      <w:r>
        <w:rPr>
          <w:rFonts w:hint="eastAsia"/>
        </w:rPr>
        <w:t>　违反本办法规定，有下列情形之一的，由市或者区、县人民政府责令改正，依法处理：</w:t>
      </w:r>
    </w:p>
    <w:p w14:paraId="404CA304">
      <w:r>
        <w:rPr>
          <w:rFonts w:hint="eastAsia"/>
        </w:rPr>
        <w:t>（一）妨碍工会组织职工通过职工代表大会和其他形式依法行使民主权利的；</w:t>
      </w:r>
    </w:p>
    <w:p w14:paraId="7F6981F8">
      <w:bookmarkStart w:id="2049" w:name="_Toc428780461"/>
      <w:r>
        <w:rPr>
          <w:rFonts w:hint="eastAsia"/>
        </w:rPr>
        <w:t>（二）非法撤销、合并工会组织的；</w:t>
      </w:r>
      <w:bookmarkEnd w:id="2049"/>
    </w:p>
    <w:p w14:paraId="2649D15C">
      <w:r>
        <w:rPr>
          <w:rFonts w:hint="eastAsia"/>
        </w:rPr>
        <w:t>（三）妨碍工会参加职工因工伤亡事故以及其他侵犯职工合法权益问题的调查处理的；</w:t>
      </w:r>
    </w:p>
    <w:p w14:paraId="0D47C91B">
      <w:r>
        <w:rPr>
          <w:rFonts w:hint="eastAsia"/>
        </w:rPr>
        <w:t>（四）无正当理由拒绝或者拖延进行平等协商的。</w:t>
      </w:r>
    </w:p>
    <w:p w14:paraId="08325F0B">
      <w:pPr>
        <w:ind w:firstLine="422"/>
      </w:pPr>
      <w:r>
        <w:rPr>
          <w:rFonts w:hint="eastAsia"/>
          <w:b/>
        </w:rPr>
        <w:t>第六十三条</w:t>
      </w:r>
      <w:r>
        <w:rPr>
          <w:rFonts w:hint="eastAsia"/>
        </w:rPr>
        <w:t>　违反本办法第五十六条第一款的规定，侵占工会经费和财产拒不返还的，工会可以向人民法院提起诉讼，要求返还，并赔偿损失。</w:t>
      </w:r>
    </w:p>
    <w:p w14:paraId="024995D5">
      <w:pPr>
        <w:ind w:firstLine="422"/>
      </w:pPr>
      <w:r>
        <w:rPr>
          <w:rFonts w:hint="eastAsia"/>
          <w:b/>
        </w:rPr>
        <w:t>第六十四条</w:t>
      </w:r>
      <w:r>
        <w:rPr>
          <w:rFonts w:hint="eastAsia"/>
        </w:rPr>
        <w:t>　违反本办法规定，对依法履行职责的工会工作人员无正当理由调动工作岗位，进行打击报复的，由劳动行政部门责令改正、恢复原工作；造成损失的，给予赔偿。</w:t>
      </w:r>
    </w:p>
    <w:p w14:paraId="0B8E1D77">
      <w:r>
        <w:rPr>
          <w:rFonts w:hint="eastAsia"/>
        </w:rPr>
        <w:t>对依法履行职责的工会工作人员进行侮辱、诽谤或者进行人身伤害，构成犯罪的，依法追究刑事责任；尚未构成犯罪的，由公安机关依照治安管理处罚条例的规定处罚。</w:t>
      </w:r>
    </w:p>
    <w:p w14:paraId="1519243E">
      <w:pPr>
        <w:ind w:firstLine="422"/>
      </w:pPr>
      <w:r>
        <w:rPr>
          <w:rFonts w:hint="eastAsia"/>
          <w:b/>
        </w:rPr>
        <w:t>第六十五条</w:t>
      </w:r>
      <w:r>
        <w:rPr>
          <w:rFonts w:hint="eastAsia"/>
        </w:rPr>
        <w:t>　工会工作人员不履行本办法规定的职责或者因其他违法行为，损害职工或者工会权益的，由同级工会或者上级工会责令改正，或者予以处分；情节严重的，依照《中国工会章程》予以罢免；造成损失的，应当承担赔偿责任；构成犯罪的，依法追究刑事责任。</w:t>
      </w:r>
    </w:p>
    <w:p w14:paraId="462DB6C7"/>
    <w:p w14:paraId="7D17E0C8">
      <w:pPr>
        <w:ind w:firstLine="0" w:firstLineChars="0"/>
        <w:jc w:val="center"/>
        <w:rPr>
          <w:b/>
          <w:sz w:val="28"/>
        </w:rPr>
      </w:pPr>
      <w:r>
        <w:rPr>
          <w:rFonts w:hint="eastAsia"/>
          <w:b/>
          <w:sz w:val="28"/>
        </w:rPr>
        <w:t>第七章  附  则</w:t>
      </w:r>
    </w:p>
    <w:p w14:paraId="24FE6198"/>
    <w:p w14:paraId="3ACC08ED">
      <w:pPr>
        <w:ind w:firstLine="422"/>
      </w:pPr>
      <w:r>
        <w:rPr>
          <w:rFonts w:hint="eastAsia"/>
          <w:b/>
        </w:rPr>
        <w:t>第六十六条</w:t>
      </w:r>
      <w:r>
        <w:rPr>
          <w:rFonts w:hint="eastAsia"/>
        </w:rPr>
        <w:t>　本办法自</w:t>
      </w:r>
      <w:r>
        <w:rPr>
          <w:rFonts w:hint="eastAsia" w:ascii="宋体" w:hAnsi="宋体" w:eastAsia="宋体" w:cs="宋体"/>
        </w:rPr>
        <w:t>2002年10月1日起施行。1990年11月3日北京市第九届人民代表大会常务委员会第二十三次会议通过的《北京市中外合资企业工会条例》同时废止。</w:t>
      </w:r>
    </w:p>
    <w:p w14:paraId="19821CF9">
      <w:pPr>
        <w:pStyle w:val="4"/>
        <w:pageBreakBefore/>
      </w:pPr>
      <w:bookmarkStart w:id="2050" w:name="_Toc428781797"/>
      <w:bookmarkStart w:id="2051" w:name="_Toc428780462"/>
      <w:bookmarkStart w:id="2052" w:name="_Toc426467049"/>
      <w:r>
        <w:rPr>
          <w:rFonts w:hint="eastAsia"/>
        </w:rPr>
        <w:t>北京市志愿服务促进条例</w:t>
      </w:r>
      <w:bookmarkEnd w:id="2050"/>
      <w:bookmarkEnd w:id="2051"/>
      <w:bookmarkEnd w:id="2052"/>
    </w:p>
    <w:p w14:paraId="5B0A342C">
      <w:pPr>
        <w:ind w:left="630" w:leftChars="300" w:right="630" w:rightChars="300"/>
        <w:rPr>
          <w:rFonts w:ascii="楷体" w:hAnsi="楷体" w:eastAsia="楷体"/>
        </w:rPr>
      </w:pPr>
      <w:r>
        <w:rPr>
          <w:rFonts w:hint="eastAsia" w:ascii="楷体" w:hAnsi="楷体" w:eastAsia="楷体"/>
        </w:rPr>
        <w:t>（2007年9月14日北京市第十二届人民代表大会常务委员会第三十八次会议通过）</w:t>
      </w:r>
    </w:p>
    <w:p w14:paraId="24194FB8"/>
    <w:p w14:paraId="1F2D6534">
      <w:pPr>
        <w:ind w:firstLine="422"/>
      </w:pPr>
      <w:r>
        <w:rPr>
          <w:rFonts w:hint="eastAsia"/>
          <w:b/>
        </w:rPr>
        <w:t>第一条</w:t>
      </w:r>
      <w:r>
        <w:rPr>
          <w:rFonts w:hint="eastAsia"/>
        </w:rPr>
        <w:t xml:space="preserve">  为了弘扬奉献、友爱、互助、进步的志愿服务精神，增强公民的志愿服务意识，规范志愿服务活动，保障志愿者的合法权益，促进志愿服务事业发展，根据本市实际情况，制定本条例。</w:t>
      </w:r>
    </w:p>
    <w:p w14:paraId="5D8EA981">
      <w:pPr>
        <w:ind w:firstLine="422"/>
      </w:pPr>
      <w:r>
        <w:rPr>
          <w:rFonts w:hint="eastAsia"/>
          <w:b/>
        </w:rPr>
        <w:t>第二条</w:t>
      </w:r>
      <w:r>
        <w:rPr>
          <w:rFonts w:hint="eastAsia"/>
        </w:rPr>
        <w:t xml:space="preserve">  本条例适用于本市行政区域内以组织形式实施的志愿服务活动。</w:t>
      </w:r>
    </w:p>
    <w:p w14:paraId="699A6951">
      <w:r>
        <w:rPr>
          <w:rFonts w:hint="eastAsia"/>
        </w:rPr>
        <w:t>法律、行政法规对志愿服务活动另有规定的，依照法律、行政法规的规定执行。</w:t>
      </w:r>
    </w:p>
    <w:p w14:paraId="491DBDA0">
      <w:pPr>
        <w:ind w:firstLine="422"/>
      </w:pPr>
      <w:r>
        <w:rPr>
          <w:rFonts w:hint="eastAsia"/>
          <w:b/>
        </w:rPr>
        <w:t>第三条</w:t>
      </w:r>
      <w:r>
        <w:rPr>
          <w:rFonts w:hint="eastAsia"/>
        </w:rPr>
        <w:t xml:space="preserve">  本条例所称志愿服务是指自愿、无偿地服务他人和社会的公益性活动。</w:t>
      </w:r>
    </w:p>
    <w:p w14:paraId="77C11230">
      <w:r>
        <w:rPr>
          <w:rFonts w:hint="eastAsia"/>
        </w:rPr>
        <w:t>本条例所称志愿者是指不以物质报酬为目的，利用自己的时间、技能等资源，自愿为社会和他人提供服务和帮助的人。</w:t>
      </w:r>
    </w:p>
    <w:p w14:paraId="61D41A90">
      <w:r>
        <w:rPr>
          <w:rFonts w:hint="eastAsia"/>
        </w:rPr>
        <w:t>本条例所称志愿者组织是指市和区、县志愿者协会及各类专业性志愿者协会等依法成立、专门从事志愿服务活动的非营利性社会团体。</w:t>
      </w:r>
    </w:p>
    <w:p w14:paraId="6D409E5C">
      <w:pPr>
        <w:ind w:firstLine="422"/>
      </w:pPr>
      <w:r>
        <w:rPr>
          <w:rFonts w:hint="eastAsia"/>
          <w:b/>
        </w:rPr>
        <w:t>第四条</w:t>
      </w:r>
      <w:r>
        <w:rPr>
          <w:rFonts w:hint="eastAsia"/>
        </w:rPr>
        <w:t xml:space="preserve">  志愿者组织依据章程组织志愿者开展志愿服务活动。</w:t>
      </w:r>
    </w:p>
    <w:p w14:paraId="5F49AAFF">
      <w:r>
        <w:rPr>
          <w:rFonts w:hint="eastAsia"/>
        </w:rPr>
        <w:t>国家机关、人民团体、企业、事业单位、基层群众性自治组织和其他社会组织可以组织本单位、本系统、本社区的志愿者开展志愿服务活动。</w:t>
      </w:r>
    </w:p>
    <w:p w14:paraId="1FD8B024">
      <w:pPr>
        <w:ind w:firstLine="422"/>
      </w:pPr>
      <w:r>
        <w:rPr>
          <w:rFonts w:hint="eastAsia"/>
          <w:b/>
        </w:rPr>
        <w:t>第五条</w:t>
      </w:r>
      <w:r>
        <w:rPr>
          <w:rFonts w:hint="eastAsia"/>
        </w:rPr>
        <w:t xml:space="preserve">  个人可以在志愿者组织登记注册，成为注册志愿者。</w:t>
      </w:r>
    </w:p>
    <w:p w14:paraId="1E07D31B">
      <w:r>
        <w:rPr>
          <w:rFonts w:hint="eastAsia"/>
        </w:rPr>
        <w:t>社会组织符合志愿者组织章程的，可以申请加入，成为志愿者组织的团体会员。</w:t>
      </w:r>
    </w:p>
    <w:p w14:paraId="4320C3CB">
      <w:pPr>
        <w:ind w:firstLine="422"/>
      </w:pPr>
      <w:r>
        <w:rPr>
          <w:rFonts w:hint="eastAsia"/>
          <w:b/>
        </w:rPr>
        <w:t>第六条</w:t>
      </w:r>
      <w:r>
        <w:rPr>
          <w:rFonts w:hint="eastAsia"/>
        </w:rPr>
        <w:t xml:space="preserve">  本市建立志愿服务工作协调机制。</w:t>
      </w:r>
    </w:p>
    <w:p w14:paraId="545A2745">
      <w:r>
        <w:rPr>
          <w:rFonts w:hint="eastAsia"/>
        </w:rPr>
        <w:t>北京志愿者协会负责指导本市志愿者工作的开展。</w:t>
      </w:r>
    </w:p>
    <w:p w14:paraId="1FEDB383">
      <w:pPr>
        <w:ind w:firstLine="422"/>
      </w:pPr>
      <w:r>
        <w:rPr>
          <w:rFonts w:hint="eastAsia"/>
          <w:b/>
        </w:rPr>
        <w:t>第七条</w:t>
      </w:r>
      <w:r>
        <w:rPr>
          <w:rFonts w:hint="eastAsia"/>
        </w:rPr>
        <w:t xml:space="preserve">  志愿服务活动应当遵循自愿、平等、无偿、诚信、合法的原则。</w:t>
      </w:r>
    </w:p>
    <w:p w14:paraId="6938C599">
      <w:pPr>
        <w:ind w:firstLine="422"/>
      </w:pPr>
      <w:r>
        <w:rPr>
          <w:rFonts w:hint="eastAsia"/>
          <w:b/>
        </w:rPr>
        <w:t>第八条</w:t>
      </w:r>
      <w:r>
        <w:rPr>
          <w:rFonts w:hint="eastAsia"/>
        </w:rPr>
        <w:t xml:space="preserve">  全社会应当尊重志愿者的劳动；志愿者的权益受法律保护。</w:t>
      </w:r>
    </w:p>
    <w:p w14:paraId="1EFE8BA3">
      <w:pPr>
        <w:ind w:firstLine="422"/>
      </w:pPr>
      <w:r>
        <w:rPr>
          <w:rFonts w:hint="eastAsia"/>
          <w:b/>
        </w:rPr>
        <w:t>第九条</w:t>
      </w:r>
      <w:r>
        <w:rPr>
          <w:rFonts w:hint="eastAsia"/>
        </w:rPr>
        <w:t xml:space="preserve">  本市鼓励和支持志愿服务事业的发展，提倡在教育、科学、文化、卫生、体育、环境保护等领域和大型社会活动中开展志愿服务活动；提倡为残疾人、未成年人、老年人、失业人员和其他有困难需要帮助的社会群体和个人提供志愿服务。</w:t>
      </w:r>
    </w:p>
    <w:p w14:paraId="1CB6A64F">
      <w:pPr>
        <w:ind w:firstLine="422"/>
      </w:pPr>
      <w:r>
        <w:rPr>
          <w:rFonts w:hint="eastAsia"/>
          <w:b/>
        </w:rPr>
        <w:t>第十条</w:t>
      </w:r>
      <w:r>
        <w:rPr>
          <w:rFonts w:hint="eastAsia"/>
        </w:rPr>
        <w:t xml:space="preserve">  志愿者组织可以向社会招募志愿者；志愿者组织以外的其他组织在本市行政区域内向社会招募志愿者的，应当委托志愿者组织进行。招募境外志愿者依照国家有关规定执行。</w:t>
      </w:r>
    </w:p>
    <w:p w14:paraId="01F4EC25">
      <w:r>
        <w:rPr>
          <w:rFonts w:hint="eastAsia"/>
        </w:rPr>
        <w:t>志愿者组织招募志愿者时，应当公布与志愿服务项目有关的真实、准确、完整的信息，并明确告知在志愿服务过程中可能出现的风险。</w:t>
      </w:r>
    </w:p>
    <w:p w14:paraId="0FFAD5E8">
      <w:pPr>
        <w:ind w:firstLine="422"/>
      </w:pPr>
      <w:r>
        <w:rPr>
          <w:rFonts w:hint="eastAsia"/>
          <w:b/>
        </w:rPr>
        <w:t>第十一条</w:t>
      </w:r>
      <w:r>
        <w:rPr>
          <w:rFonts w:hint="eastAsia"/>
        </w:rPr>
        <w:t xml:space="preserve">  提倡对志愿服务有需求的组织或者个人通过志愿者组织获得志愿服务。</w:t>
      </w:r>
    </w:p>
    <w:p w14:paraId="79901D26">
      <w:pPr>
        <w:ind w:firstLine="422"/>
      </w:pPr>
      <w:r>
        <w:rPr>
          <w:rFonts w:hint="eastAsia"/>
          <w:b/>
        </w:rPr>
        <w:t>第十二条</w:t>
      </w:r>
      <w:r>
        <w:rPr>
          <w:rFonts w:hint="eastAsia"/>
        </w:rPr>
        <w:t xml:space="preserve">  志愿者组织应当加强相互之间的联系和协调，发布有关志愿服务的信息，组织开展培训、咨询、宣传、交流等活动。</w:t>
      </w:r>
    </w:p>
    <w:p w14:paraId="123CD8C1">
      <w:pPr>
        <w:ind w:firstLine="422"/>
      </w:pPr>
      <w:r>
        <w:rPr>
          <w:rFonts w:hint="eastAsia"/>
          <w:b/>
        </w:rPr>
        <w:t>第十三条</w:t>
      </w:r>
      <w:r>
        <w:rPr>
          <w:rFonts w:hint="eastAsia"/>
        </w:rPr>
        <w:t xml:space="preserve">  志愿者组织与志愿者之间、志愿者组织与接受志愿服务的组织或者个人之间，应当就志愿服务的主要内容协商一致。任何一方要求签订书面协议的，应当签订书面协议。</w:t>
      </w:r>
    </w:p>
    <w:p w14:paraId="658B26EC">
      <w:r>
        <w:rPr>
          <w:rFonts w:hint="eastAsia"/>
        </w:rPr>
        <w:t>志愿者组织安排志愿者从事志愿服务活动，有下列情形之一的，应当签订书面志愿服务协议：</w:t>
      </w:r>
    </w:p>
    <w:p w14:paraId="1A092965">
      <w:r>
        <w:rPr>
          <w:rFonts w:hint="eastAsia"/>
        </w:rPr>
        <w:t>（一）对人身安全、身心健康有较高风险的；</w:t>
      </w:r>
    </w:p>
    <w:p w14:paraId="05D45FD6">
      <w:r>
        <w:rPr>
          <w:rFonts w:hint="eastAsia"/>
        </w:rPr>
        <w:t>（二）连续三个月以上专职服务的；</w:t>
      </w:r>
    </w:p>
    <w:p w14:paraId="408FCEA7">
      <w:r>
        <w:rPr>
          <w:rFonts w:hint="eastAsia"/>
        </w:rPr>
        <w:t>（三）为大型社会活动提供志愿服务的；</w:t>
      </w:r>
    </w:p>
    <w:p w14:paraId="7ACA0DF9">
      <w:r>
        <w:rPr>
          <w:rFonts w:hint="eastAsia"/>
        </w:rPr>
        <w:t>（四）组织志愿者在本市行政区域以外开展志愿服务活动的；</w:t>
      </w:r>
    </w:p>
    <w:p w14:paraId="4916B84F">
      <w:r>
        <w:rPr>
          <w:rFonts w:hint="eastAsia"/>
        </w:rPr>
        <w:t>（五）组织境外人员开展志愿服务活动的。</w:t>
      </w:r>
    </w:p>
    <w:p w14:paraId="38035E15">
      <w:pPr>
        <w:ind w:firstLine="422"/>
      </w:pPr>
      <w:r>
        <w:rPr>
          <w:rFonts w:hint="eastAsia"/>
          <w:b/>
        </w:rPr>
        <w:t>第十四条</w:t>
      </w:r>
      <w:r>
        <w:rPr>
          <w:rFonts w:hint="eastAsia"/>
        </w:rPr>
        <w:t>　志愿服务协议应当包括以下主要内容：</w:t>
      </w:r>
    </w:p>
    <w:p w14:paraId="4AE52641">
      <w:r>
        <w:rPr>
          <w:rFonts w:hint="eastAsia"/>
        </w:rPr>
        <w:t>（一）志愿服务内容、时间和地点；</w:t>
      </w:r>
    </w:p>
    <w:p w14:paraId="47936B9B">
      <w:r>
        <w:rPr>
          <w:rFonts w:hint="eastAsia"/>
        </w:rPr>
        <w:t>（二）参加志愿服务的条件；</w:t>
      </w:r>
    </w:p>
    <w:p w14:paraId="4B302116">
      <w:r>
        <w:rPr>
          <w:rFonts w:hint="eastAsia"/>
        </w:rPr>
        <w:t>（三）志愿者的培训；</w:t>
      </w:r>
    </w:p>
    <w:p w14:paraId="74AC9DF6">
      <w:r>
        <w:rPr>
          <w:rFonts w:hint="eastAsia"/>
        </w:rPr>
        <w:t>（四）志愿服务成本的分担；</w:t>
      </w:r>
    </w:p>
    <w:p w14:paraId="419187A6">
      <w:r>
        <w:rPr>
          <w:rFonts w:hint="eastAsia"/>
        </w:rPr>
        <w:t>（五）风险保障措施；</w:t>
      </w:r>
    </w:p>
    <w:p w14:paraId="05381B16">
      <w:r>
        <w:rPr>
          <w:rFonts w:hint="eastAsia"/>
        </w:rPr>
        <w:t>（六）志愿者责任的免除；</w:t>
      </w:r>
    </w:p>
    <w:p w14:paraId="434FE390">
      <w:r>
        <w:rPr>
          <w:rFonts w:hint="eastAsia"/>
        </w:rPr>
        <w:t>（七）协议的变更和解除；</w:t>
      </w:r>
    </w:p>
    <w:p w14:paraId="2AF244FD">
      <w:r>
        <w:rPr>
          <w:rFonts w:hint="eastAsia"/>
        </w:rPr>
        <w:t>（八）争议解决方式；</w:t>
      </w:r>
    </w:p>
    <w:p w14:paraId="69684ACA">
      <w:r>
        <w:rPr>
          <w:rFonts w:hint="eastAsia"/>
        </w:rPr>
        <w:t>（九）需要明确的其他事项。</w:t>
      </w:r>
    </w:p>
    <w:p w14:paraId="5C4D52D3">
      <w:pPr>
        <w:ind w:firstLine="422"/>
      </w:pPr>
      <w:r>
        <w:rPr>
          <w:rFonts w:hint="eastAsia"/>
          <w:b/>
        </w:rPr>
        <w:t>第十五条</w:t>
      </w:r>
      <w:r>
        <w:rPr>
          <w:rFonts w:hint="eastAsia"/>
        </w:rPr>
        <w:t>　志愿者组织和其他开展志愿服务活动的组织为志愿者安排志愿服务活动，应当与志愿者的年龄、身体等条件相适应，与志愿服务项目所要求的知识技能相适应，不得安排志愿者从事超出约定范围的志愿服务活动。</w:t>
      </w:r>
    </w:p>
    <w:p w14:paraId="602B879C">
      <w:r>
        <w:rPr>
          <w:rFonts w:hint="eastAsia"/>
        </w:rPr>
        <w:t>安排未成年人参加志愿服务活动，应当与未成年人的身心特点相适应，并征得未成年人的监护人同意。</w:t>
      </w:r>
    </w:p>
    <w:p w14:paraId="2B10A25D">
      <w:pPr>
        <w:ind w:firstLine="422"/>
      </w:pPr>
      <w:r>
        <w:rPr>
          <w:rFonts w:hint="eastAsia"/>
          <w:b/>
        </w:rPr>
        <w:t>第十六条</w:t>
      </w:r>
      <w:r>
        <w:rPr>
          <w:rFonts w:hint="eastAsia"/>
        </w:rPr>
        <w:t>　志愿者组织和其他开展志愿服务活动的组织应当为志愿者从事志愿服务活动提供必要的安全、卫生、医疗等条件和保障，开展相关的知识和技能培训，为志愿者配发志愿者标志，帮助志愿者解决与志愿服务活动相关的实际困难。</w:t>
      </w:r>
    </w:p>
    <w:p w14:paraId="1D5CD13A">
      <w:pPr>
        <w:ind w:firstLine="422"/>
      </w:pPr>
      <w:r>
        <w:rPr>
          <w:rFonts w:hint="eastAsia"/>
          <w:b/>
        </w:rPr>
        <w:t>第十七条</w:t>
      </w:r>
      <w:r>
        <w:rPr>
          <w:rFonts w:hint="eastAsia"/>
        </w:rPr>
        <w:t>　志愿者组织和其他开展志愿服务活动的组织应当为志愿者建立基本状况和服务情况的档案或者记录卡。未经志愿者本人同意，不得公开档案记载的个人信息或者向第三方提供志愿者的个人信息。</w:t>
      </w:r>
    </w:p>
    <w:p w14:paraId="10B4DEC9">
      <w:r>
        <w:rPr>
          <w:rFonts w:hint="eastAsia"/>
        </w:rPr>
        <w:t>志愿者要求志愿者组织和其他开展志愿服务活动的组织出具志愿服务证明的，志愿者组织和其他开展志愿服务活动的组织应当如实出具证明。</w:t>
      </w:r>
    </w:p>
    <w:p w14:paraId="04E1E66F">
      <w:pPr>
        <w:ind w:firstLine="422"/>
      </w:pPr>
      <w:r>
        <w:rPr>
          <w:rFonts w:hint="eastAsia"/>
          <w:b/>
        </w:rPr>
        <w:t>第十八条</w:t>
      </w:r>
      <w:r>
        <w:rPr>
          <w:rFonts w:hint="eastAsia"/>
        </w:rPr>
        <w:t>　志愿者组织和其他开展志愿服务活动的组织应当与接受志愿服务的组织或者个人协商，根据需要为志愿者办理相应的保险。</w:t>
      </w:r>
    </w:p>
    <w:p w14:paraId="2D29B9CD">
      <w:pPr>
        <w:ind w:firstLine="422"/>
      </w:pPr>
      <w:r>
        <w:rPr>
          <w:rFonts w:hint="eastAsia"/>
          <w:b/>
        </w:rPr>
        <w:t>第十九条</w:t>
      </w:r>
      <w:r>
        <w:rPr>
          <w:rFonts w:hint="eastAsia"/>
        </w:rPr>
        <w:t>　任何组织和个人不得强迫他人从事志愿服务活动。</w:t>
      </w:r>
    </w:p>
    <w:p w14:paraId="6AF7F54C">
      <w:r>
        <w:rPr>
          <w:rFonts w:hint="eastAsia"/>
        </w:rPr>
        <w:t>任何组织和个人不得以志愿服务的名义从事以营利为目的的活动。</w:t>
      </w:r>
    </w:p>
    <w:p w14:paraId="255F306E">
      <w:pPr>
        <w:ind w:firstLine="422"/>
      </w:pPr>
      <w:r>
        <w:rPr>
          <w:rFonts w:hint="eastAsia"/>
          <w:b/>
        </w:rPr>
        <w:t>第二十条</w:t>
      </w:r>
      <w:r>
        <w:rPr>
          <w:rFonts w:hint="eastAsia"/>
        </w:rPr>
        <w:t>　志愿者享有以下权利：</w:t>
      </w:r>
    </w:p>
    <w:p w14:paraId="251F5950">
      <w:r>
        <w:rPr>
          <w:rFonts w:hint="eastAsia"/>
        </w:rPr>
        <w:t>（一）获得志愿服务的真实、准确、完整的信息；</w:t>
      </w:r>
    </w:p>
    <w:p w14:paraId="170AE3E9">
      <w:r>
        <w:rPr>
          <w:rFonts w:hint="eastAsia"/>
        </w:rPr>
        <w:t>（二）获得志愿服务必需的条件和必要的保障；</w:t>
      </w:r>
    </w:p>
    <w:p w14:paraId="3BE12FE9">
      <w:r>
        <w:rPr>
          <w:rFonts w:hint="eastAsia"/>
        </w:rPr>
        <w:t>（三）获得志愿服务活动所需的教育和培训；</w:t>
      </w:r>
    </w:p>
    <w:p w14:paraId="37685075">
      <w:r>
        <w:rPr>
          <w:rFonts w:hint="eastAsia"/>
        </w:rPr>
        <w:t>（四）请求开展志愿服务活动的组织帮助解决在志愿服务活动中遇到的问题；</w:t>
      </w:r>
    </w:p>
    <w:p w14:paraId="49F23233">
      <w:bookmarkStart w:id="2053" w:name="_Toc428780463"/>
      <w:r>
        <w:rPr>
          <w:rFonts w:hint="eastAsia"/>
        </w:rPr>
        <w:t>（五）有困难时优先获得志愿者组织和其他志愿者提供的服务；</w:t>
      </w:r>
      <w:bookmarkEnd w:id="2053"/>
    </w:p>
    <w:p w14:paraId="73A9DDFA">
      <w:r>
        <w:rPr>
          <w:rFonts w:hint="eastAsia"/>
        </w:rPr>
        <w:t>（六）对志愿者组织进行监督，提出批评和建议；</w:t>
      </w:r>
    </w:p>
    <w:p w14:paraId="16B23D19">
      <w:r>
        <w:rPr>
          <w:rFonts w:hint="eastAsia"/>
        </w:rPr>
        <w:t>（七）其他依法享有的权利。</w:t>
      </w:r>
    </w:p>
    <w:p w14:paraId="39DE436B">
      <w:pPr>
        <w:ind w:firstLine="422"/>
      </w:pPr>
      <w:r>
        <w:rPr>
          <w:rFonts w:hint="eastAsia"/>
          <w:b/>
        </w:rPr>
        <w:t>第二十一条</w:t>
      </w:r>
      <w:r>
        <w:rPr>
          <w:rFonts w:hint="eastAsia"/>
        </w:rPr>
        <w:t>　志愿者应当履行下列义务：</w:t>
      </w:r>
    </w:p>
    <w:p w14:paraId="7F4B0354">
      <w:bookmarkStart w:id="2054" w:name="_Toc428780464"/>
      <w:r>
        <w:rPr>
          <w:rFonts w:hint="eastAsia"/>
        </w:rPr>
        <w:t>（一）履行志愿服务承诺或者协议约定的义务，完成志愿服务工作；</w:t>
      </w:r>
      <w:bookmarkEnd w:id="2054"/>
    </w:p>
    <w:p w14:paraId="00972881">
      <w:r>
        <w:rPr>
          <w:rFonts w:hint="eastAsia"/>
        </w:rPr>
        <w:t>（二）退出志愿服务活动时，履行合理告知的义务；</w:t>
      </w:r>
    </w:p>
    <w:p w14:paraId="748169F1">
      <w:r>
        <w:rPr>
          <w:rFonts w:hint="eastAsia"/>
        </w:rPr>
        <w:t>（三）保守在参与志愿服务活动过程中获悉的个人隐私、商业秘密或者其他依法受保护的信息。</w:t>
      </w:r>
    </w:p>
    <w:p w14:paraId="0396345A">
      <w:r>
        <w:rPr>
          <w:rFonts w:hint="eastAsia"/>
        </w:rPr>
        <w:t>志愿者不得向接受志愿服务的组织或者个人索取、变相索取报酬。</w:t>
      </w:r>
    </w:p>
    <w:p w14:paraId="7B8216EE">
      <w:pPr>
        <w:ind w:firstLine="422"/>
      </w:pPr>
      <w:r>
        <w:rPr>
          <w:rFonts w:hint="eastAsia"/>
          <w:b/>
        </w:rPr>
        <w:t>第二十二条</w:t>
      </w:r>
      <w:r>
        <w:rPr>
          <w:rFonts w:hint="eastAsia"/>
        </w:rPr>
        <w:t>　接受志愿服务的组织或者个人应当尊重志愿者的人格尊严，就志愿服务项目对健康及安全构成的风险以及防范这些风险的措施作出必要的告知和说明；有条件和能力的，应当为志愿者提供从事志愿服务活动所需的专业培训和岗位培训、必要的物质保障及安全、卫生条件。</w:t>
      </w:r>
    </w:p>
    <w:p w14:paraId="14B6E64C">
      <w:pPr>
        <w:ind w:firstLine="422"/>
      </w:pPr>
      <w:r>
        <w:rPr>
          <w:rFonts w:hint="eastAsia"/>
          <w:b/>
        </w:rPr>
        <w:t>第二十三条</w:t>
      </w:r>
      <w:r>
        <w:rPr>
          <w:rFonts w:hint="eastAsia"/>
        </w:rPr>
        <w:t>　本市依法设立志愿服务基金会。</w:t>
      </w:r>
    </w:p>
    <w:p w14:paraId="2EC07622">
      <w:r>
        <w:rPr>
          <w:rFonts w:hint="eastAsia"/>
        </w:rPr>
        <w:t>志愿服务基金应当用于：</w:t>
      </w:r>
    </w:p>
    <w:p w14:paraId="2A3DD343">
      <w:bookmarkStart w:id="2055" w:name="_Toc428780465"/>
      <w:r>
        <w:rPr>
          <w:rFonts w:hint="eastAsia"/>
        </w:rPr>
        <w:t>（一）对志愿服务活动的资助；</w:t>
      </w:r>
      <w:bookmarkEnd w:id="2055"/>
    </w:p>
    <w:p w14:paraId="46CEC2F3">
      <w:r>
        <w:rPr>
          <w:rFonts w:hint="eastAsia"/>
        </w:rPr>
        <w:t>（二）对因从事志愿服务活动遇到特殊困难的志愿者的救助；</w:t>
      </w:r>
    </w:p>
    <w:p w14:paraId="741E38B6">
      <w:bookmarkStart w:id="2056" w:name="_Toc428780466"/>
      <w:r>
        <w:rPr>
          <w:rFonts w:hint="eastAsia"/>
        </w:rPr>
        <w:t>（三）对作出突出贡献的开展志愿服务活动的组织和志愿者的奖励；</w:t>
      </w:r>
      <w:bookmarkEnd w:id="2056"/>
    </w:p>
    <w:p w14:paraId="36A02F65">
      <w:r>
        <w:rPr>
          <w:rFonts w:hint="eastAsia"/>
        </w:rPr>
        <w:t>（四）与开展志愿服务活动有关的其他事项。</w:t>
      </w:r>
    </w:p>
    <w:p w14:paraId="7E91E560">
      <w:r>
        <w:rPr>
          <w:rFonts w:hint="eastAsia"/>
        </w:rPr>
        <w:t>基金的使用和管理依法接受有关部门和社会的监督。</w:t>
      </w:r>
    </w:p>
    <w:p w14:paraId="355E2A79">
      <w:r>
        <w:rPr>
          <w:rFonts w:hint="eastAsia"/>
        </w:rPr>
        <w:t>本市鼓励单位和个人向志愿服务基金会捐赠。</w:t>
      </w:r>
    </w:p>
    <w:p w14:paraId="6462AD2D">
      <w:pPr>
        <w:ind w:firstLine="422"/>
      </w:pPr>
      <w:r>
        <w:rPr>
          <w:rFonts w:hint="eastAsia"/>
          <w:b/>
        </w:rPr>
        <w:t>第二十四条</w:t>
      </w:r>
      <w:r>
        <w:rPr>
          <w:rFonts w:hint="eastAsia"/>
        </w:rPr>
        <w:t>　市和区、县人民政府应当将志愿服务事业纳入国民经济和社会发展规划，为志愿服务事业发展提供资金支持，引导、促进志愿服务事业发展。</w:t>
      </w:r>
    </w:p>
    <w:p w14:paraId="13046F57">
      <w:r>
        <w:rPr>
          <w:rFonts w:hint="eastAsia"/>
        </w:rPr>
        <w:t>民政、财政、人事、教育等有关行政管理部门，应当按照各自职责为志愿服务事业发展提供支持和保障。</w:t>
      </w:r>
    </w:p>
    <w:p w14:paraId="40288B9A">
      <w:r>
        <w:rPr>
          <w:rFonts w:hint="eastAsia"/>
        </w:rPr>
        <w:t>乡镇人民政府、街道办事处应当鼓励和支持在本地区开展志愿服务活动。</w:t>
      </w:r>
    </w:p>
    <w:p w14:paraId="51030BB6">
      <w:pPr>
        <w:ind w:firstLine="422"/>
      </w:pPr>
      <w:r>
        <w:rPr>
          <w:rFonts w:hint="eastAsia"/>
          <w:b/>
        </w:rPr>
        <w:t>第二十五条</w:t>
      </w:r>
      <w:r>
        <w:rPr>
          <w:rFonts w:hint="eastAsia"/>
        </w:rPr>
        <w:t>　市和区、县人民政府及其有关部门对表现突出的志愿者组织、志愿者以及对志愿服务事业作出突出贡献的其他组织和个人给予表彰和奖励。</w:t>
      </w:r>
    </w:p>
    <w:p w14:paraId="28C4EAC6">
      <w:pPr>
        <w:ind w:firstLine="422"/>
      </w:pPr>
      <w:r>
        <w:rPr>
          <w:rFonts w:hint="eastAsia"/>
          <w:b/>
        </w:rPr>
        <w:t>第二十六条</w:t>
      </w:r>
      <w:r>
        <w:rPr>
          <w:rFonts w:hint="eastAsia"/>
        </w:rPr>
        <w:t>　鼓励国家机关、企业、事业单位等，在同等条件下优先录用、聘用和录取有志愿服务经历者。</w:t>
      </w:r>
    </w:p>
    <w:p w14:paraId="0A74415A">
      <w:pPr>
        <w:ind w:firstLine="422"/>
      </w:pPr>
      <w:r>
        <w:rPr>
          <w:rFonts w:hint="eastAsia"/>
          <w:b/>
        </w:rPr>
        <w:t>第二十七条</w:t>
      </w:r>
      <w:r>
        <w:rPr>
          <w:rFonts w:hint="eastAsia"/>
        </w:rPr>
        <w:t>　志愿者所在单位应当为志愿者参与志愿服务活动给予支持并提供必要的条件。</w:t>
      </w:r>
    </w:p>
    <w:p w14:paraId="4CD3B0AE">
      <w:pPr>
        <w:ind w:firstLine="422"/>
      </w:pPr>
      <w:r>
        <w:rPr>
          <w:rFonts w:hint="eastAsia"/>
          <w:b/>
        </w:rPr>
        <w:t>第二十八条</w:t>
      </w:r>
      <w:r>
        <w:rPr>
          <w:rFonts w:hint="eastAsia"/>
        </w:rPr>
        <w:t>　教育行政部门、学校和有关社会团体应当将培养青少年志愿服务意识纳入思想品德教育内容，鼓励和支持大学和中学学生利用课余时间参加志愿服务活动。</w:t>
      </w:r>
    </w:p>
    <w:p w14:paraId="2BD537B2">
      <w:pPr>
        <w:ind w:firstLine="422"/>
      </w:pPr>
      <w:r>
        <w:rPr>
          <w:rFonts w:hint="eastAsia"/>
          <w:b/>
        </w:rPr>
        <w:t>第二十九条</w:t>
      </w:r>
      <w:r>
        <w:rPr>
          <w:rFonts w:hint="eastAsia"/>
        </w:rPr>
        <w:t>　广播、电视、报刊、网站等应当积极宣传志愿服务活动。</w:t>
      </w:r>
    </w:p>
    <w:p w14:paraId="7269700C">
      <w:pPr>
        <w:ind w:firstLine="422"/>
      </w:pPr>
      <w:r>
        <w:rPr>
          <w:rFonts w:hint="eastAsia"/>
          <w:b/>
        </w:rPr>
        <w:t>第三十条</w:t>
      </w:r>
      <w:r>
        <w:rPr>
          <w:rFonts w:hint="eastAsia"/>
        </w:rPr>
        <w:t>　志愿服务活动中违反有关法律、法规的，由民政、工商行政管理、劳动和社会保障、公安等相关部门按照职责依法追究法律责任。</w:t>
      </w:r>
    </w:p>
    <w:p w14:paraId="067FA410">
      <w:pPr>
        <w:ind w:firstLine="422"/>
      </w:pPr>
      <w:r>
        <w:rPr>
          <w:rFonts w:hint="eastAsia"/>
          <w:b/>
        </w:rPr>
        <w:t>第三十一条</w:t>
      </w:r>
      <w:r>
        <w:rPr>
          <w:rFonts w:hint="eastAsia"/>
        </w:rPr>
        <w:t>　志愿者、志愿者组织、接受志愿服务的组织或者个人在志愿服务活动中发生争议的，可以协商解决，也可以依法向人民法院提起诉讼。</w:t>
      </w:r>
    </w:p>
    <w:p w14:paraId="7DB347B6">
      <w:pPr>
        <w:ind w:firstLine="422"/>
      </w:pPr>
      <w:r>
        <w:rPr>
          <w:rFonts w:hint="eastAsia"/>
          <w:b/>
        </w:rPr>
        <w:t>第三十二条</w:t>
      </w:r>
      <w:r>
        <w:rPr>
          <w:rFonts w:hint="eastAsia"/>
        </w:rPr>
        <w:t>　本条例</w:t>
      </w:r>
      <w:r>
        <w:rPr>
          <w:rFonts w:hint="eastAsia" w:ascii="宋体" w:hAnsi="宋体" w:eastAsia="宋体" w:cs="宋体"/>
        </w:rPr>
        <w:t>自2007年12月5日起施行。</w:t>
      </w:r>
    </w:p>
    <w:p w14:paraId="56C5F3FD">
      <w:pPr>
        <w:pStyle w:val="4"/>
        <w:pageBreakBefore/>
      </w:pPr>
      <w:bookmarkStart w:id="2057" w:name="_Toc428781798"/>
      <w:bookmarkStart w:id="2058" w:name="_Toc426467050"/>
      <w:bookmarkStart w:id="2059" w:name="_Toc428780467"/>
      <w:r>
        <w:rPr>
          <w:rFonts w:hint="eastAsia"/>
        </w:rPr>
        <w:t>北京市促进慈善事业若干规定</w:t>
      </w:r>
      <w:bookmarkEnd w:id="2057"/>
      <w:bookmarkEnd w:id="2058"/>
      <w:bookmarkEnd w:id="2059"/>
    </w:p>
    <w:p w14:paraId="1B13EC13">
      <w:pPr>
        <w:ind w:left="630" w:leftChars="300" w:right="630" w:rightChars="300"/>
        <w:rPr>
          <w:rFonts w:ascii="楷体" w:hAnsi="楷体" w:eastAsia="楷体"/>
        </w:rPr>
      </w:pPr>
      <w:r>
        <w:rPr>
          <w:rFonts w:hint="eastAsia" w:ascii="楷体" w:hAnsi="楷体" w:eastAsia="楷体"/>
        </w:rPr>
        <w:t>（2013年9月24日北京市人民政府第19次常务会议审议通过  2013年11月4日北京市人民政府第250号令公布）</w:t>
      </w:r>
    </w:p>
    <w:p w14:paraId="352345BB"/>
    <w:p w14:paraId="6C0E293F">
      <w:pPr>
        <w:ind w:firstLine="422"/>
      </w:pPr>
      <w:r>
        <w:rPr>
          <w:rFonts w:hint="eastAsia"/>
          <w:b/>
        </w:rPr>
        <w:t>第一条</w:t>
      </w:r>
      <w:r>
        <w:rPr>
          <w:rFonts w:hint="eastAsia"/>
        </w:rPr>
        <w:t xml:space="preserve">  为了促进慈善事业发展，规范慈善活动，根据有关法律、法规，结合本市实际，制定本规定。</w:t>
      </w:r>
    </w:p>
    <w:p w14:paraId="06499EF7">
      <w:pPr>
        <w:ind w:firstLine="422"/>
      </w:pPr>
      <w:r>
        <w:rPr>
          <w:rFonts w:hint="eastAsia"/>
          <w:b/>
        </w:rPr>
        <w:t>第二条</w:t>
      </w:r>
      <w:r>
        <w:rPr>
          <w:rFonts w:hint="eastAsia"/>
        </w:rPr>
        <w:t xml:space="preserve">  慈善组织接受自然人、法人、其他组织捐赠财产或者以提供服务等方式，在本市行政区域内开展下列慈善活动适用本规定：</w:t>
      </w:r>
    </w:p>
    <w:p w14:paraId="045385C4">
      <w:bookmarkStart w:id="2060" w:name="_Toc428780468"/>
      <w:r>
        <w:rPr>
          <w:rFonts w:hint="eastAsia"/>
        </w:rPr>
        <w:t>（一）救助灾害、救济贫困、扶助困难的社会群体和个人；</w:t>
      </w:r>
      <w:bookmarkEnd w:id="2060"/>
    </w:p>
    <w:p w14:paraId="5ABF7588">
      <w:r>
        <w:rPr>
          <w:rFonts w:hint="eastAsia"/>
        </w:rPr>
        <w:t>（二）支持教育、科学、文化、卫生、体育事业；</w:t>
      </w:r>
    </w:p>
    <w:p w14:paraId="0A6CB4E6">
      <w:r>
        <w:rPr>
          <w:rFonts w:hint="eastAsia"/>
        </w:rPr>
        <w:t>（三）支持环境保护、社会公共设施建设；</w:t>
      </w:r>
    </w:p>
    <w:p w14:paraId="4D6EAA8B">
      <w:r>
        <w:rPr>
          <w:rFonts w:hint="eastAsia"/>
        </w:rPr>
        <w:t>（四）支持促进社会发展和进步的其他社会公共和福利事业。</w:t>
      </w:r>
    </w:p>
    <w:p w14:paraId="34AAFE46">
      <w:r>
        <w:rPr>
          <w:rFonts w:hint="eastAsia"/>
        </w:rPr>
        <w:t>自然人、法人或者其他组织直接开展慈善活动，适用其他有关法律、法规、规章的规定。</w:t>
      </w:r>
    </w:p>
    <w:p w14:paraId="24335E6D">
      <w:r>
        <w:rPr>
          <w:rFonts w:hint="eastAsia"/>
        </w:rPr>
        <w:t>本规定所称慈善组织是指以开展慈善活动为宗旨，依法成立的社会团体、民办非企业单位、基金会等非营利性组织。</w:t>
      </w:r>
    </w:p>
    <w:p w14:paraId="5EE89131">
      <w:pPr>
        <w:ind w:firstLine="422"/>
      </w:pPr>
      <w:r>
        <w:rPr>
          <w:rFonts w:hint="eastAsia"/>
          <w:b/>
        </w:rPr>
        <w:t>第三条</w:t>
      </w:r>
      <w:r>
        <w:rPr>
          <w:rFonts w:hint="eastAsia"/>
        </w:rPr>
        <w:t xml:space="preserve">  发展慈善事业坚持政府引导、社会参与、民间运作、多方协作的方针，提高组织化、专业化水平。</w:t>
      </w:r>
    </w:p>
    <w:p w14:paraId="2BFA5ACF">
      <w:r>
        <w:rPr>
          <w:rFonts w:hint="eastAsia"/>
        </w:rPr>
        <w:t>慈善捐赠应当坚持自愿原则，慈善组织开展慈善活动应当坚持公开、非营利性的原则，不得违背社会公德，不得损害社会公共利益和他人合法权益。</w:t>
      </w:r>
    </w:p>
    <w:p w14:paraId="54E4D668">
      <w:pPr>
        <w:ind w:firstLine="422"/>
      </w:pPr>
      <w:r>
        <w:rPr>
          <w:rFonts w:hint="eastAsia"/>
          <w:b/>
        </w:rPr>
        <w:t>第四条</w:t>
      </w:r>
      <w:r>
        <w:rPr>
          <w:rFonts w:hint="eastAsia"/>
        </w:rPr>
        <w:t xml:space="preserve">  市和区、县人民政府应当支持和促进本行政区域内慈善事业发展，将慈善事业纳入国民经济和社会发展规划并组织实施。</w:t>
      </w:r>
    </w:p>
    <w:p w14:paraId="367E0F09">
      <w:pPr>
        <w:ind w:firstLine="422"/>
      </w:pPr>
      <w:r>
        <w:rPr>
          <w:rFonts w:hint="eastAsia"/>
          <w:b/>
        </w:rPr>
        <w:t>第五条</w:t>
      </w:r>
      <w:r>
        <w:rPr>
          <w:rFonts w:hint="eastAsia"/>
        </w:rPr>
        <w:t xml:space="preserve">  市民政行政部门负责本市行政区域内慈善活动的监督管理。区、县民政行政部门负责本行政区域内慈善活动的监督管理。</w:t>
      </w:r>
    </w:p>
    <w:p w14:paraId="762E82F0">
      <w:r>
        <w:rPr>
          <w:rFonts w:hint="eastAsia"/>
        </w:rPr>
        <w:t>财政、税务、公安、审计、教育、文化、卫生、体育等行政部门在各自职责范围内做好慈善活动管理的相关工作。</w:t>
      </w:r>
    </w:p>
    <w:p w14:paraId="3BA22DC8">
      <w:pPr>
        <w:ind w:firstLine="422"/>
      </w:pPr>
      <w:r>
        <w:rPr>
          <w:rFonts w:hint="eastAsia"/>
          <w:b/>
        </w:rPr>
        <w:t>第六条</w:t>
      </w:r>
      <w:r>
        <w:rPr>
          <w:rFonts w:hint="eastAsia"/>
        </w:rPr>
        <w:t xml:space="preserve">  慈善行业自律组织应当完善行业自律准则，规范行业秩序，维护会员权益，促进行业发展。</w:t>
      </w:r>
    </w:p>
    <w:p w14:paraId="1B022A97">
      <w:pPr>
        <w:ind w:firstLine="422"/>
      </w:pPr>
      <w:r>
        <w:rPr>
          <w:rFonts w:hint="eastAsia"/>
          <w:b/>
        </w:rPr>
        <w:t>第七条</w:t>
      </w:r>
      <w:r>
        <w:rPr>
          <w:rFonts w:hint="eastAsia"/>
        </w:rPr>
        <w:t xml:space="preserve">  对本市慈善事业发展做出突出贡献的自然人、法人或者其他组织，应当给予表彰奖励。</w:t>
      </w:r>
    </w:p>
    <w:p w14:paraId="165D00E8">
      <w:pPr>
        <w:ind w:firstLine="422"/>
      </w:pPr>
      <w:r>
        <w:rPr>
          <w:rFonts w:hint="eastAsia"/>
          <w:b/>
        </w:rPr>
        <w:t>第八条</w:t>
      </w:r>
      <w:r>
        <w:rPr>
          <w:rFonts w:hint="eastAsia"/>
        </w:rPr>
        <w:t xml:space="preserve">  自然人、法人或者其他组织面向社会公众开展演出、比赛、销售、拍卖等经营性活动，承诺将所得财产部分或者全部捐赠用于慈善活动的，应当在举办活动前与慈善组织或者其他受赠人签订捐赠协议，活动结束后应当按照捐赠协议实施捐赠，并将捐赠结果向社会公开。</w:t>
      </w:r>
    </w:p>
    <w:p w14:paraId="30FC0138">
      <w:r>
        <w:rPr>
          <w:rFonts w:hint="eastAsia"/>
        </w:rPr>
        <w:t>前款规定的自然人、法人或者其他组织未履行捐赠承诺的，应当承担相应的法律责任。</w:t>
      </w:r>
    </w:p>
    <w:p w14:paraId="2A4E8E16">
      <w:pPr>
        <w:ind w:firstLine="422"/>
      </w:pPr>
      <w:r>
        <w:rPr>
          <w:rFonts w:hint="eastAsia"/>
          <w:b/>
        </w:rPr>
        <w:t>第九条</w:t>
      </w:r>
      <w:r>
        <w:rPr>
          <w:rFonts w:hint="eastAsia"/>
        </w:rPr>
        <w:t xml:space="preserve">  基金会应当积极发挥在慈善组织运作体系中的枢纽作用，充分利用资金募集和专业化运作优势，支持基金会以外的其他慈善组织开展慈善活动。</w:t>
      </w:r>
    </w:p>
    <w:p w14:paraId="18CC3FB3">
      <w:pPr>
        <w:ind w:firstLine="422"/>
      </w:pPr>
      <w:r>
        <w:rPr>
          <w:rFonts w:hint="eastAsia"/>
          <w:b/>
        </w:rPr>
        <w:t>第十条</w:t>
      </w:r>
      <w:r>
        <w:rPr>
          <w:rFonts w:hint="eastAsia"/>
        </w:rPr>
        <w:t xml:space="preserve">  依法成立的公募基金会以外的其他慈善组织依照章程开展慈善活动确需面向不特定的社会公众公开募集财产的，应当与公募基金会联合开展募捐活动。</w:t>
      </w:r>
    </w:p>
    <w:p w14:paraId="33094DD4">
      <w:r>
        <w:rPr>
          <w:rFonts w:hint="eastAsia"/>
        </w:rPr>
        <w:t>联合募捐活动应当以公募基金会的名义进行，并由公募基金会和其他慈善组织签订联合募捐合作协议，约定募捐方案、募捐财产使用计划、募捐成本分担等内容。</w:t>
      </w:r>
    </w:p>
    <w:p w14:paraId="7F4C4E54">
      <w:r>
        <w:rPr>
          <w:rFonts w:hint="eastAsia"/>
        </w:rPr>
        <w:t>慈善组织开展募捐活动应当向募捐对象出示合法的募捐证明。</w:t>
      </w:r>
    </w:p>
    <w:p w14:paraId="313A3106">
      <w:pPr>
        <w:ind w:firstLine="422"/>
      </w:pPr>
      <w:r>
        <w:rPr>
          <w:rFonts w:hint="eastAsia"/>
          <w:b/>
        </w:rPr>
        <w:t>第十一条</w:t>
      </w:r>
      <w:r>
        <w:rPr>
          <w:rFonts w:hint="eastAsia"/>
        </w:rPr>
        <w:t xml:space="preserve">  基金会利用募集财产支持其他慈善组织开展慈善活动的，应当对慈善组织使用募集财产的情况实施监督管理。基金会实施监督管理，可以采取下列方式：</w:t>
      </w:r>
    </w:p>
    <w:p w14:paraId="116E723D">
      <w:r>
        <w:rPr>
          <w:rFonts w:hint="eastAsia"/>
        </w:rPr>
        <w:t>（一）监督慈善组织严格执行非营利组织财务会计制度，完善收入、费用、资产、负债等项目的会计核算；</w:t>
      </w:r>
    </w:p>
    <w:p w14:paraId="32249817">
      <w:r>
        <w:rPr>
          <w:rFonts w:hint="eastAsia"/>
        </w:rPr>
        <w:t>（二）与慈善组织签订协议，明确募集财产用途和使用方案、工作标准、实施效果、违约责任等内容，并监督实施；</w:t>
      </w:r>
    </w:p>
    <w:p w14:paraId="2802A415">
      <w:r>
        <w:rPr>
          <w:rFonts w:hint="eastAsia"/>
        </w:rPr>
        <w:t>（三）委托具有资质的专业机构对慈善组织开展慈善活动的有关事项进行评估并出具 评估意见；</w:t>
      </w:r>
    </w:p>
    <w:p w14:paraId="70161B0D">
      <w:r>
        <w:rPr>
          <w:rFonts w:hint="eastAsia"/>
        </w:rPr>
        <w:t>（四）要求慈善组织按照信息公开的有关规定向社会公开开展慈善活动的有关信息；</w:t>
      </w:r>
    </w:p>
    <w:p w14:paraId="441A84F7">
      <w:r>
        <w:rPr>
          <w:rFonts w:hint="eastAsia"/>
        </w:rPr>
        <w:t>（五）法律、法规、规章规定以及双方约定的其他监管方式。</w:t>
      </w:r>
    </w:p>
    <w:p w14:paraId="33CC56C8">
      <w:pPr>
        <w:ind w:firstLine="422"/>
      </w:pPr>
      <w:r>
        <w:rPr>
          <w:rFonts w:hint="eastAsia"/>
          <w:b/>
        </w:rPr>
        <w:t>第十二条</w:t>
      </w:r>
      <w:r>
        <w:rPr>
          <w:rFonts w:hint="eastAsia"/>
        </w:rPr>
        <w:t xml:space="preserve">  慈善组织开展慈善活动应当遵守下列规定：</w:t>
      </w:r>
    </w:p>
    <w:p w14:paraId="6694E50C">
      <w:bookmarkStart w:id="2061" w:name="_Toc428780469"/>
      <w:r>
        <w:rPr>
          <w:rFonts w:hint="eastAsia"/>
        </w:rPr>
        <w:t>（一）遵守法律、法规、规章和章程的规定；</w:t>
      </w:r>
      <w:bookmarkEnd w:id="2061"/>
    </w:p>
    <w:p w14:paraId="1E72D326">
      <w:r>
        <w:rPr>
          <w:rFonts w:hint="eastAsia"/>
        </w:rPr>
        <w:t>（二）按照捐赠人的意愿使用捐赠财产，签订捐赠协议的，应当按照协议的用途使用捐赠财产，不得擅自改变捐赠财产用途；</w:t>
      </w:r>
    </w:p>
    <w:p w14:paraId="6B734E8B">
      <w:bookmarkStart w:id="2062" w:name="_Toc428780470"/>
      <w:r>
        <w:rPr>
          <w:rFonts w:hint="eastAsia"/>
        </w:rPr>
        <w:t>（三）加强对财产使用情况的监督管理，保证财产的合法、有效使用；</w:t>
      </w:r>
      <w:bookmarkEnd w:id="2062"/>
    </w:p>
    <w:p w14:paraId="72FB13E9">
      <w:r>
        <w:rPr>
          <w:rFonts w:hint="eastAsia"/>
        </w:rPr>
        <w:t>（四）符合法律、法规规定的强制性公益支出比例，工作人员工资福利和行政办公支出不得超出法律、法规规定的比例；</w:t>
      </w:r>
    </w:p>
    <w:p w14:paraId="3DA5DBE4">
      <w:r>
        <w:rPr>
          <w:rFonts w:hint="eastAsia"/>
        </w:rPr>
        <w:t>（五）为本组织工作人员开展慈善活动提供必要的安全、卫生等保障条件。</w:t>
      </w:r>
    </w:p>
    <w:p w14:paraId="456581C0">
      <w:pPr>
        <w:ind w:firstLine="422"/>
      </w:pPr>
      <w:r>
        <w:rPr>
          <w:rFonts w:hint="eastAsia"/>
          <w:b/>
        </w:rPr>
        <w:t>第十三条</w:t>
      </w:r>
      <w:r>
        <w:rPr>
          <w:rFonts w:hint="eastAsia"/>
        </w:rPr>
        <w:t xml:space="preserve">  慈善组织应当向社会公众公开本规定要求公开的有关信息，接受社会监督。</w:t>
      </w:r>
    </w:p>
    <w:p w14:paraId="313032BF">
      <w:r>
        <w:rPr>
          <w:rFonts w:hint="eastAsia"/>
        </w:rPr>
        <w:t>慈善信息公开应当遵循真实、准确、完整、及时的原则。</w:t>
      </w:r>
    </w:p>
    <w:p w14:paraId="797C5086">
      <w:pPr>
        <w:ind w:firstLine="422"/>
      </w:pPr>
      <w:r>
        <w:rPr>
          <w:rFonts w:hint="eastAsia"/>
          <w:b/>
        </w:rPr>
        <w:t>第十四条</w:t>
      </w:r>
      <w:r>
        <w:rPr>
          <w:rFonts w:hint="eastAsia"/>
        </w:rPr>
        <w:t>　民政行政部门应当制定慈善信息公开规范，明确公开信息的标准、事项、程序等，并监督慈善组织依法公开慈善信息。</w:t>
      </w:r>
    </w:p>
    <w:p w14:paraId="18BCD60B">
      <w:pPr>
        <w:ind w:firstLine="422"/>
      </w:pPr>
      <w:r>
        <w:rPr>
          <w:rFonts w:hint="eastAsia"/>
          <w:b/>
        </w:rPr>
        <w:t>第十五条</w:t>
      </w:r>
      <w:r>
        <w:rPr>
          <w:rFonts w:hint="eastAsia"/>
        </w:rPr>
        <w:t>　慈善组织应当主动向社会公开下列信息，接受社会监督：</w:t>
      </w:r>
    </w:p>
    <w:p w14:paraId="28EDD4B5">
      <w:bookmarkStart w:id="2063" w:name="_Toc428780471"/>
      <w:r>
        <w:rPr>
          <w:rFonts w:hint="eastAsia"/>
        </w:rPr>
        <w:t>（一）组织名称、活动宗旨等组织基本信息；</w:t>
      </w:r>
      <w:bookmarkEnd w:id="2063"/>
    </w:p>
    <w:p w14:paraId="7751A3A5">
      <w:r>
        <w:rPr>
          <w:rFonts w:hint="eastAsia"/>
        </w:rPr>
        <w:t>（二）捐赠财产的来源、种类、价值等接受捐赠信息；</w:t>
      </w:r>
    </w:p>
    <w:p w14:paraId="232607E0">
      <w:bookmarkStart w:id="2064" w:name="_Toc428780472"/>
      <w:r>
        <w:rPr>
          <w:rFonts w:hint="eastAsia"/>
        </w:rPr>
        <w:t>（三）募捐方案、联合募捐协议等募捐活动信息；</w:t>
      </w:r>
      <w:bookmarkEnd w:id="2064"/>
    </w:p>
    <w:p w14:paraId="5B4625C9">
      <w:r>
        <w:rPr>
          <w:rFonts w:hint="eastAsia"/>
        </w:rPr>
        <w:t>（四）捐赠财产用途、使用效果等捐赠财产使用信息；</w:t>
      </w:r>
    </w:p>
    <w:p w14:paraId="5FF1BA21">
      <w:bookmarkStart w:id="2065" w:name="_Toc428780473"/>
      <w:r>
        <w:rPr>
          <w:rFonts w:hint="eastAsia"/>
        </w:rPr>
        <w:t>（五）年度工作报告、审计报告等专项工作报告；</w:t>
      </w:r>
      <w:bookmarkEnd w:id="2065"/>
    </w:p>
    <w:p w14:paraId="58EAA694">
      <w:r>
        <w:rPr>
          <w:rFonts w:hint="eastAsia"/>
        </w:rPr>
        <w:t>（六）法律、法规、规章规定需要公开的其他信息。</w:t>
      </w:r>
    </w:p>
    <w:p w14:paraId="41785C58">
      <w:pPr>
        <w:rPr>
          <w:rFonts w:hint="eastAsia" w:ascii="宋体" w:hAnsi="宋体" w:eastAsia="宋体" w:cs="宋体"/>
        </w:rPr>
      </w:pPr>
      <w:r>
        <w:rPr>
          <w:rFonts w:hint="eastAsia"/>
        </w:rPr>
        <w:t>前款规定的慈善信息，应当自该信息形成或者变更之</w:t>
      </w:r>
      <w:r>
        <w:rPr>
          <w:rFonts w:hint="eastAsia" w:ascii="宋体" w:hAnsi="宋体" w:eastAsia="宋体" w:cs="宋体"/>
        </w:rPr>
        <w:t>日起20个工作日内予以公开。</w:t>
      </w:r>
    </w:p>
    <w:p w14:paraId="172C2EBF">
      <w:r>
        <w:rPr>
          <w:rFonts w:hint="eastAsia" w:ascii="宋体" w:hAnsi="宋体" w:eastAsia="宋体" w:cs="宋体"/>
        </w:rPr>
        <w:t>慈善行业自律组织可以建立统一的慈善信息平台，为慈善组织公开慈善信息</w:t>
      </w:r>
      <w:r>
        <w:rPr>
          <w:rFonts w:hint="eastAsia"/>
        </w:rPr>
        <w:t>提供服务，方便社会公众免费查询。</w:t>
      </w:r>
    </w:p>
    <w:p w14:paraId="5695ED92">
      <w:pPr>
        <w:ind w:firstLine="422"/>
      </w:pPr>
      <w:r>
        <w:rPr>
          <w:rFonts w:hint="eastAsia"/>
          <w:b/>
        </w:rPr>
        <w:t>第十六条</w:t>
      </w:r>
      <w:r>
        <w:rPr>
          <w:rFonts w:hint="eastAsia"/>
        </w:rPr>
        <w:t>　捐赠人可以向接受其捐赠的慈善组织申请获取本规定第十五条第一款规定以外与其相关的其他慈善信息。接受捐赠的慈善组织应当于受理申请之日</w:t>
      </w:r>
      <w:r>
        <w:rPr>
          <w:rFonts w:hint="eastAsia" w:ascii="宋体" w:hAnsi="宋体" w:eastAsia="宋体" w:cs="宋体"/>
        </w:rPr>
        <w:t>起15个</w:t>
      </w:r>
      <w:r>
        <w:rPr>
          <w:rFonts w:hint="eastAsia"/>
        </w:rPr>
        <w:t>工作日内提供有关信息。</w:t>
      </w:r>
    </w:p>
    <w:p w14:paraId="33FA0AAA">
      <w:pPr>
        <w:ind w:firstLine="422"/>
      </w:pPr>
      <w:r>
        <w:rPr>
          <w:rFonts w:hint="eastAsia"/>
          <w:b/>
        </w:rPr>
        <w:t>第十七条</w:t>
      </w:r>
      <w:r>
        <w:rPr>
          <w:rFonts w:hint="eastAsia"/>
        </w:rPr>
        <w:t>　在发生自然灾害时，市和区、县人民政府及其民政行政部门应当组织、协调自然人、法人、其他组织有序开展慈善救灾活动，维护救灾秩序，并为社会开展慈善救灾活动提供下列服务：</w:t>
      </w:r>
    </w:p>
    <w:p w14:paraId="0C3BA45E">
      <w:r>
        <w:rPr>
          <w:rFonts w:hint="eastAsia"/>
        </w:rPr>
        <w:t>（一）根据灾情及时发布救灾需求信息；</w:t>
      </w:r>
    </w:p>
    <w:p w14:paraId="14994BBB">
      <w:r>
        <w:rPr>
          <w:rFonts w:hint="eastAsia"/>
        </w:rPr>
        <w:t>（二）公布具有救灾宗旨的慈善组织名录；</w:t>
      </w:r>
    </w:p>
    <w:p w14:paraId="798874E6">
      <w:r>
        <w:rPr>
          <w:rFonts w:hint="eastAsia"/>
        </w:rPr>
        <w:t>（三）协调慈善组织自主认捐慈善项目；</w:t>
      </w:r>
    </w:p>
    <w:p w14:paraId="32820493">
      <w:r>
        <w:rPr>
          <w:rFonts w:hint="eastAsia"/>
        </w:rPr>
        <w:t>（四）其他有利于开展慈善救灾活动的措施。</w:t>
      </w:r>
    </w:p>
    <w:p w14:paraId="23212CDA">
      <w:pPr>
        <w:ind w:firstLine="422"/>
      </w:pPr>
      <w:r>
        <w:rPr>
          <w:rFonts w:hint="eastAsia"/>
          <w:b/>
        </w:rPr>
        <w:t>第十八条</w:t>
      </w:r>
      <w:r>
        <w:rPr>
          <w:rFonts w:hint="eastAsia"/>
        </w:rPr>
        <w:t>　民政行政部门应当做好本市慈善行业信息统计工作，及时向社会公布慈善信息统计资料，并将慈善行业统计信息作为规划和促进本市慈善事业发展的重要依据。</w:t>
      </w:r>
    </w:p>
    <w:p w14:paraId="2370D98A">
      <w:pPr>
        <w:ind w:firstLine="422"/>
      </w:pPr>
      <w:r>
        <w:rPr>
          <w:rFonts w:hint="eastAsia"/>
          <w:b/>
        </w:rPr>
        <w:t>第十九条</w:t>
      </w:r>
      <w:r>
        <w:rPr>
          <w:rFonts w:hint="eastAsia"/>
        </w:rPr>
        <w:t>　本市建立慈善组织信用信息管理制度。有关行政部门依法对慈善组织开展监督管理的，应当将监督管理信息通报市民政行政部门。市民政行政部门应当对慈善组织管理信息进行归集和分类，并录入慈善组织信用信息管理系统，方便社会公众查询。</w:t>
      </w:r>
    </w:p>
    <w:p w14:paraId="3CD49FD6">
      <w:r>
        <w:rPr>
          <w:rFonts w:hint="eastAsia"/>
        </w:rPr>
        <w:t>慈善组织信用信息管理的具体办法由市民政行政部门会同有关行政部门制定。</w:t>
      </w:r>
    </w:p>
    <w:p w14:paraId="086CDACF">
      <w:pPr>
        <w:ind w:firstLine="422"/>
      </w:pPr>
      <w:r>
        <w:rPr>
          <w:rFonts w:hint="eastAsia"/>
          <w:b/>
        </w:rPr>
        <w:t>第二十条</w:t>
      </w:r>
      <w:r>
        <w:rPr>
          <w:rFonts w:hint="eastAsia"/>
        </w:rPr>
        <w:t>　自然人、法人或者其他组织进行慈善捐赠以及慈善组织依法开展慈善活动，依据有关规定享受税收优惠。税务行政部门应当公开流程，及时办理。</w:t>
      </w:r>
    </w:p>
    <w:p w14:paraId="1AC54245">
      <w:pPr>
        <w:ind w:firstLine="422"/>
      </w:pPr>
      <w:r>
        <w:rPr>
          <w:rFonts w:hint="eastAsia"/>
          <w:b/>
        </w:rPr>
        <w:t>第二十一条</w:t>
      </w:r>
      <w:r>
        <w:rPr>
          <w:rFonts w:hint="eastAsia"/>
        </w:rPr>
        <w:t>　市和区、县人民政府及其有关部门可以通过政府购买服务等方式支持慈善组织提供社会服务。</w:t>
      </w:r>
    </w:p>
    <w:p w14:paraId="067ADDEF">
      <w:r>
        <w:rPr>
          <w:rFonts w:hint="eastAsia"/>
        </w:rPr>
        <w:t>政府购买服务的，应当优先考虑信用记录良好的慈善组织，并将购买服务的项目目录、服务标准、资金预算等信息依法向社会公布。</w:t>
      </w:r>
    </w:p>
    <w:p w14:paraId="5F016B0E">
      <w:r>
        <w:rPr>
          <w:rFonts w:hint="eastAsia"/>
        </w:rPr>
        <w:t>慈善组织提供社会服务的，市和区、县人民政府及其有关部门应当加强指导、监督，并对其进行考核评估。</w:t>
      </w:r>
    </w:p>
    <w:p w14:paraId="0E13E534">
      <w:pPr>
        <w:ind w:firstLine="422"/>
      </w:pPr>
      <w:r>
        <w:rPr>
          <w:rFonts w:hint="eastAsia"/>
          <w:b/>
        </w:rPr>
        <w:t>第二十二条</w:t>
      </w:r>
      <w:r>
        <w:rPr>
          <w:rFonts w:hint="eastAsia"/>
        </w:rPr>
        <w:t>　本市加强慈善文化建设，创造有利于慈善事业发展的社会环境。</w:t>
      </w:r>
    </w:p>
    <w:p w14:paraId="2FCE5CCF">
      <w:r>
        <w:rPr>
          <w:rFonts w:hint="eastAsia"/>
        </w:rPr>
        <w:t>报刊、广播、电视、互联网等媒体应当积极开展慈善宣传，传播慈善文化。</w:t>
      </w:r>
    </w:p>
    <w:p w14:paraId="73617C2B">
      <w:r>
        <w:rPr>
          <w:rFonts w:hint="eastAsia"/>
        </w:rPr>
        <w:t>学校应当通过多种形式向学生普及慈善知识，培养慈善理念。</w:t>
      </w:r>
    </w:p>
    <w:p w14:paraId="2636BA2A">
      <w:pPr>
        <w:ind w:firstLine="422"/>
      </w:pPr>
      <w:r>
        <w:rPr>
          <w:rFonts w:hint="eastAsia"/>
          <w:b/>
        </w:rPr>
        <w:t>第二十三条</w:t>
      </w:r>
      <w:r>
        <w:rPr>
          <w:rFonts w:hint="eastAsia"/>
        </w:rPr>
        <w:t>　慈善组织应当接受民政行政部门等有关行政部门的指导、监督、管理，并依法接受审计监督。</w:t>
      </w:r>
    </w:p>
    <w:p w14:paraId="7E06E5B0">
      <w:r>
        <w:rPr>
          <w:rFonts w:hint="eastAsia"/>
        </w:rPr>
        <w:t>对慈善组织的违法行为，任何单位和个人都有权向民政行政部门等有关行政部门举报；接受举报的行政部门，应当及时调查、处理，并将结果告知举报人。</w:t>
      </w:r>
    </w:p>
    <w:p w14:paraId="2FD71E04">
      <w:r>
        <w:rPr>
          <w:rFonts w:hint="eastAsia"/>
        </w:rPr>
        <w:t>有关行政部门应当保护举报人的合法权益，不得泄漏举报人信息。</w:t>
      </w:r>
    </w:p>
    <w:p w14:paraId="1FB096ED">
      <w:pPr>
        <w:ind w:firstLine="422"/>
      </w:pPr>
      <w:r>
        <w:rPr>
          <w:rFonts w:hint="eastAsia"/>
          <w:b/>
        </w:rPr>
        <w:t>第二十四条</w:t>
      </w:r>
      <w:r>
        <w:rPr>
          <w:rFonts w:hint="eastAsia"/>
        </w:rPr>
        <w:t>　公募基金会以外的其他慈善组织未按照本规定第十条规定，擅自面向不特定的社会公众公开募集财产的，由民政行政部门责令改正，对主要负责人和其他主管人员可</w:t>
      </w:r>
      <w:r>
        <w:rPr>
          <w:rFonts w:hint="eastAsia" w:ascii="宋体" w:hAnsi="宋体" w:eastAsia="宋体" w:cs="宋体"/>
        </w:rPr>
        <w:t>处5000元以上1万元以下罚款，并将非法募集财产限期返还捐赠人；确实无法返还的，由民政行政部门监督其将剩余募集</w:t>
      </w:r>
      <w:r>
        <w:rPr>
          <w:rFonts w:hint="eastAsia"/>
        </w:rPr>
        <w:t>财产用于与捐赠人意愿相同的慈善活动。</w:t>
      </w:r>
    </w:p>
    <w:p w14:paraId="5AA194EE">
      <w:pPr>
        <w:ind w:firstLine="422"/>
      </w:pPr>
      <w:r>
        <w:rPr>
          <w:rFonts w:hint="eastAsia"/>
          <w:b/>
        </w:rPr>
        <w:t>第二十五条</w:t>
      </w:r>
      <w:r>
        <w:rPr>
          <w:rFonts w:hint="eastAsia"/>
        </w:rPr>
        <w:t>　慈善组织违反本规定第十二条第（二）项规定，未征得捐赠人的许可，擅自改变捐赠财产的性质、用途的，由民政行政部门责令改正，给予警告。拒不改正的，经征求捐赠人的意见，由民政行政部门决定将捐赠财产转交与其宗旨相同或者相似的其他慈善组织管理使用。慈善组织拒不转交的，由作出决定的民政行政部门申请人民法院强制执行。</w:t>
      </w:r>
    </w:p>
    <w:p w14:paraId="40264324">
      <w:pPr>
        <w:ind w:firstLine="422"/>
      </w:pPr>
      <w:r>
        <w:rPr>
          <w:rFonts w:hint="eastAsia"/>
          <w:b/>
        </w:rPr>
        <w:t>第二十六条</w:t>
      </w:r>
      <w:r>
        <w:rPr>
          <w:rFonts w:hint="eastAsia"/>
        </w:rPr>
        <w:t>　慈善组织未按照本规定公开慈善信息的，由民政行政部门责令改正，拒不改正的，对主要负责人和其他主管人员可</w:t>
      </w:r>
      <w:r>
        <w:rPr>
          <w:rFonts w:hint="eastAsia" w:ascii="宋体" w:hAnsi="宋体" w:eastAsia="宋体" w:cs="宋体"/>
        </w:rPr>
        <w:t>处5000元以上1万元以下罚款</w:t>
      </w:r>
      <w:r>
        <w:rPr>
          <w:rFonts w:hint="eastAsia"/>
        </w:rPr>
        <w:t>。</w:t>
      </w:r>
    </w:p>
    <w:p w14:paraId="19F46055">
      <w:pPr>
        <w:ind w:firstLine="422"/>
      </w:pPr>
      <w:r>
        <w:rPr>
          <w:rFonts w:hint="eastAsia"/>
          <w:b/>
        </w:rPr>
        <w:t>第二十七条</w:t>
      </w:r>
      <w:r>
        <w:rPr>
          <w:rFonts w:hint="eastAsia"/>
        </w:rPr>
        <w:t>　对违反本规定的行为，其他法律、法规、规章已经规定法律责任的，依照有关法律、法规、规章的规定处理。</w:t>
      </w:r>
    </w:p>
    <w:p w14:paraId="14016665">
      <w:pPr>
        <w:ind w:firstLine="422"/>
      </w:pPr>
      <w:r>
        <w:rPr>
          <w:rFonts w:hint="eastAsia"/>
          <w:b/>
        </w:rPr>
        <w:t>第二十八条</w:t>
      </w:r>
      <w:r>
        <w:rPr>
          <w:rFonts w:hint="eastAsia"/>
        </w:rPr>
        <w:t>　本规定</w:t>
      </w:r>
      <w:r>
        <w:rPr>
          <w:rFonts w:hint="eastAsia" w:ascii="宋体" w:hAnsi="宋体" w:eastAsia="宋体" w:cs="宋体"/>
        </w:rPr>
        <w:t>自2014年1月1日起施行</w:t>
      </w:r>
      <w:r>
        <w:rPr>
          <w:rFonts w:hint="eastAsia"/>
        </w:rPr>
        <w:t>。</w:t>
      </w:r>
    </w:p>
    <w:p w14:paraId="3894B4F6">
      <w:pPr>
        <w:pStyle w:val="3"/>
        <w:pageBreakBefore/>
      </w:pPr>
      <w:bookmarkStart w:id="2066" w:name="_Toc426467051"/>
      <w:bookmarkStart w:id="2067" w:name="_Toc428780474"/>
      <w:bookmarkStart w:id="2068" w:name="_Toc428781799"/>
      <w:r>
        <w:rPr>
          <w:rFonts w:hint="eastAsia"/>
        </w:rPr>
        <w:t>（五）特殊权益保障</w:t>
      </w:r>
      <w:bookmarkEnd w:id="2066"/>
      <w:bookmarkEnd w:id="2067"/>
      <w:bookmarkEnd w:id="2068"/>
    </w:p>
    <w:p w14:paraId="23B7CD6C"/>
    <w:p w14:paraId="42F02881">
      <w:pPr>
        <w:pStyle w:val="4"/>
      </w:pPr>
      <w:bookmarkStart w:id="2069" w:name="_Toc426467052"/>
      <w:bookmarkStart w:id="2070" w:name="_Toc428781800"/>
      <w:bookmarkStart w:id="2071" w:name="_Toc428780475"/>
      <w:r>
        <w:rPr>
          <w:rFonts w:hint="eastAsia"/>
        </w:rPr>
        <w:t>北京市未成年人保护条例</w:t>
      </w:r>
      <w:bookmarkEnd w:id="2069"/>
      <w:bookmarkEnd w:id="2070"/>
      <w:bookmarkEnd w:id="2071"/>
    </w:p>
    <w:p w14:paraId="249027BC">
      <w:pPr>
        <w:ind w:left="630" w:leftChars="300" w:right="630" w:rightChars="300"/>
        <w:rPr>
          <w:rFonts w:ascii="楷体" w:hAnsi="楷体" w:eastAsia="楷体"/>
        </w:rPr>
      </w:pPr>
      <w:r>
        <w:rPr>
          <w:rFonts w:hint="eastAsia" w:ascii="楷体" w:hAnsi="楷体" w:eastAsia="楷体"/>
        </w:rPr>
        <w:t>（1988年10月20日北京市第九届人民代表大会常务委员会第五次会议通过  根据1992年2月14日北京市第九届人民代表大会常务委员会第三十二次会议《关于修改〈北京市未成年人保护条例〉的决定》第一次修正　根据1997年4月16日北京市第十届人民代表大会常务委员会第三十六次会议《关于修改〈北京市未成年人保护条例〉的决定》第二次修正  2003年12月5日北京市第十二届人民代表大会常务委员会第八次会议修订）</w:t>
      </w:r>
    </w:p>
    <w:p w14:paraId="49E77BF4">
      <w:pPr>
        <w:spacing w:line="300" w:lineRule="exact"/>
      </w:pPr>
    </w:p>
    <w:p w14:paraId="586F36BF">
      <w:pPr>
        <w:ind w:firstLine="0" w:firstLineChars="0"/>
        <w:jc w:val="center"/>
        <w:rPr>
          <w:b/>
          <w:sz w:val="28"/>
        </w:rPr>
      </w:pPr>
      <w:r>
        <w:rPr>
          <w:rFonts w:hint="eastAsia"/>
          <w:b/>
          <w:sz w:val="28"/>
        </w:rPr>
        <w:t>第一章　总　则</w:t>
      </w:r>
    </w:p>
    <w:p w14:paraId="133D56E8">
      <w:pPr>
        <w:spacing w:line="300" w:lineRule="exact"/>
      </w:pPr>
    </w:p>
    <w:p w14:paraId="7DE61312">
      <w:pPr>
        <w:ind w:firstLine="422"/>
      </w:pPr>
      <w:r>
        <w:rPr>
          <w:rFonts w:hint="eastAsia"/>
          <w:b/>
        </w:rPr>
        <w:t>第一条</w:t>
      </w:r>
      <w:r>
        <w:rPr>
          <w:rFonts w:hint="eastAsia"/>
        </w:rPr>
        <w:t xml:space="preserve">  为了维护未成年人的合法权益，优化未成年人成长环境，保护未成年人健康成长，根据《中华人民共和国宪法》和《中华人民共和国未成年人保护法》等有关法律、法规，结合本市的实际情况，制定本条例。</w:t>
      </w:r>
    </w:p>
    <w:p w14:paraId="1D2FB754">
      <w:pPr>
        <w:ind w:firstLine="422"/>
      </w:pPr>
      <w:r>
        <w:rPr>
          <w:rFonts w:hint="eastAsia"/>
          <w:b/>
        </w:rPr>
        <w:t>第二条</w:t>
      </w:r>
      <w:r>
        <w:rPr>
          <w:rFonts w:hint="eastAsia"/>
        </w:rPr>
        <w:t xml:space="preserve">  本条例所称未成年人是指未</w:t>
      </w:r>
      <w:r>
        <w:rPr>
          <w:rFonts w:hint="eastAsia" w:ascii="宋体" w:hAnsi="宋体" w:eastAsia="宋体" w:cs="宋体"/>
        </w:rPr>
        <w:t>满18</w:t>
      </w:r>
      <w:r>
        <w:rPr>
          <w:rFonts w:hint="eastAsia"/>
        </w:rPr>
        <w:t>周岁的公民。</w:t>
      </w:r>
    </w:p>
    <w:p w14:paraId="7491B35E">
      <w:pPr>
        <w:ind w:firstLine="422"/>
      </w:pPr>
      <w:r>
        <w:rPr>
          <w:rFonts w:hint="eastAsia"/>
          <w:b/>
        </w:rPr>
        <w:t>第三条</w:t>
      </w:r>
      <w:r>
        <w:rPr>
          <w:rFonts w:hint="eastAsia"/>
        </w:rPr>
        <w:t xml:space="preserve">  本市保障未成年人享有宪法、法律规定的权利不受侵犯；培养未成年人在品德、智力、体质等诸方面全面发展，成为有理想、有道德、有文化、有纪律的社会主义建设者。</w:t>
      </w:r>
    </w:p>
    <w:p w14:paraId="334174F2">
      <w:pPr>
        <w:ind w:firstLine="422"/>
      </w:pPr>
      <w:r>
        <w:rPr>
          <w:rFonts w:hint="eastAsia"/>
          <w:b/>
        </w:rPr>
        <w:t>第四条</w:t>
      </w:r>
      <w:r>
        <w:rPr>
          <w:rFonts w:hint="eastAsia"/>
        </w:rPr>
        <w:t xml:space="preserve">  未成年人依法享受的权利，不因未成年人或者其监护人的民族、性别、家庭出身、宗教信仰、教育程度、财产状况、病残等而有任何差别。</w:t>
      </w:r>
    </w:p>
    <w:p w14:paraId="34A5AF1E">
      <w:pPr>
        <w:ind w:firstLine="422"/>
      </w:pPr>
      <w:r>
        <w:rPr>
          <w:rFonts w:hint="eastAsia"/>
          <w:b/>
        </w:rPr>
        <w:t>第五条</w:t>
      </w:r>
      <w:r>
        <w:rPr>
          <w:rFonts w:hint="eastAsia"/>
        </w:rPr>
        <w:t xml:space="preserve">  未成年人有权对涉及本人利益的事项发表意见。</w:t>
      </w:r>
    </w:p>
    <w:p w14:paraId="06FB2347">
      <w:r>
        <w:rPr>
          <w:rFonts w:hint="eastAsia"/>
        </w:rPr>
        <w:t>任何组织和个人对未成年人的意见应当给予重视；处理与未成年人有关的事务，应当根据未成年人的年龄及智力成熟程度，以其可以理解的方式告知未成年人。</w:t>
      </w:r>
    </w:p>
    <w:p w14:paraId="7E4FA895">
      <w:pPr>
        <w:ind w:firstLine="422"/>
      </w:pPr>
      <w:r>
        <w:rPr>
          <w:rFonts w:hint="eastAsia"/>
          <w:b/>
        </w:rPr>
        <w:t>第六条</w:t>
      </w:r>
      <w:r>
        <w:rPr>
          <w:rFonts w:hint="eastAsia"/>
        </w:rPr>
        <w:t xml:space="preserve">  本市国家机关、学校、社会团体和社会福利机构处理与未成年人有关的具体事务，应当以未成年人的最大利益为一种首要考虑。</w:t>
      </w:r>
    </w:p>
    <w:p w14:paraId="4BDD404B">
      <w:pPr>
        <w:ind w:firstLine="422"/>
      </w:pPr>
      <w:r>
        <w:rPr>
          <w:rFonts w:hint="eastAsia"/>
          <w:b/>
        </w:rPr>
        <w:t>第七条</w:t>
      </w:r>
      <w:r>
        <w:rPr>
          <w:rFonts w:hint="eastAsia"/>
        </w:rPr>
        <w:t xml:space="preserve">  培养、教育和保护未成年人是国家机关、政党、社会团体、部队、企业事业单位、学校、居民委员会、村民委员会以及家庭和每个成年公民的共同责任。</w:t>
      </w:r>
    </w:p>
    <w:p w14:paraId="337DB6CC">
      <w:r>
        <w:rPr>
          <w:rFonts w:hint="eastAsia"/>
        </w:rPr>
        <w:t>对侵犯未成年人合法权益的行为，任何组织和个人都有权予以劝阻、制止，并有权向未成年人保护委员会或者有关部门投诉、举报。</w:t>
      </w:r>
    </w:p>
    <w:p w14:paraId="1E935226">
      <w:pPr>
        <w:ind w:firstLine="422"/>
      </w:pPr>
      <w:r>
        <w:rPr>
          <w:rFonts w:hint="eastAsia"/>
          <w:b/>
        </w:rPr>
        <w:t>第八条</w:t>
      </w:r>
      <w:r>
        <w:rPr>
          <w:rFonts w:hint="eastAsia"/>
        </w:rPr>
        <w:t xml:space="preserve">  未成年人应当奋发向上，自尊、自爱，遵守宪法、法律、法规和社会公德。未成年学生应当遵守学生守则。</w:t>
      </w:r>
    </w:p>
    <w:p w14:paraId="6E3DF70D">
      <w:pPr>
        <w:spacing w:line="300" w:lineRule="exact"/>
      </w:pPr>
    </w:p>
    <w:p w14:paraId="1BE226D8">
      <w:pPr>
        <w:ind w:firstLine="0" w:firstLineChars="0"/>
        <w:jc w:val="center"/>
        <w:rPr>
          <w:b/>
          <w:sz w:val="28"/>
        </w:rPr>
      </w:pPr>
      <w:r>
        <w:rPr>
          <w:rFonts w:hint="eastAsia"/>
          <w:b/>
          <w:sz w:val="28"/>
        </w:rPr>
        <w:t>第二章　未成年人保护委员会</w:t>
      </w:r>
    </w:p>
    <w:p w14:paraId="1E3517C7">
      <w:pPr>
        <w:spacing w:line="300" w:lineRule="exact"/>
      </w:pPr>
    </w:p>
    <w:p w14:paraId="1ED79667">
      <w:pPr>
        <w:ind w:firstLine="422"/>
      </w:pPr>
      <w:r>
        <w:rPr>
          <w:rFonts w:hint="eastAsia"/>
          <w:b/>
        </w:rPr>
        <w:t>第九条</w:t>
      </w:r>
      <w:r>
        <w:rPr>
          <w:rFonts w:hint="eastAsia"/>
        </w:rPr>
        <w:t xml:space="preserve">  市和区、县设立未成年人保护委员会，由人民政府及其有关部门、审判机关、检察机关和工会、共青团委员会、妇女联合会、文学艺术界联合会、科学技术协会、社会科学界联合会、律师协会、红十字会、残疾人联合会等社会团体的负责人及社会知名人士组成。</w:t>
      </w:r>
    </w:p>
    <w:p w14:paraId="0BBFFA3B">
      <w:r>
        <w:rPr>
          <w:rFonts w:hint="eastAsia"/>
        </w:rPr>
        <w:t>委员会的主任委员由人民政府的主要负责人担任。</w:t>
      </w:r>
    </w:p>
    <w:p w14:paraId="3AC250A2">
      <w:r>
        <w:rPr>
          <w:rFonts w:hint="eastAsia"/>
        </w:rPr>
        <w:t>委员会的办事机构由有关部门和共青团委员会的人员组成。</w:t>
      </w:r>
    </w:p>
    <w:p w14:paraId="0A18EFAA">
      <w:pPr>
        <w:ind w:firstLine="422"/>
      </w:pPr>
      <w:r>
        <w:rPr>
          <w:rFonts w:hint="eastAsia"/>
          <w:b/>
        </w:rPr>
        <w:t>第十条</w:t>
      </w:r>
      <w:r>
        <w:rPr>
          <w:rFonts w:hint="eastAsia"/>
        </w:rPr>
        <w:t xml:space="preserve">  乡镇及街道设立未成年人保护委员会。委员会及其办事机构的组成，参照本条例第九条规定。</w:t>
      </w:r>
    </w:p>
    <w:p w14:paraId="07779548">
      <w:pPr>
        <w:ind w:firstLine="422"/>
      </w:pPr>
      <w:r>
        <w:rPr>
          <w:rFonts w:hint="eastAsia"/>
          <w:b/>
        </w:rPr>
        <w:t>第十一条</w:t>
      </w:r>
      <w:r>
        <w:rPr>
          <w:rFonts w:hint="eastAsia"/>
        </w:rPr>
        <w:t xml:space="preserve">  未成年人保护委员会的职责：</w:t>
      </w:r>
    </w:p>
    <w:p w14:paraId="660686FE">
      <w:bookmarkStart w:id="2072" w:name="_Toc428780476"/>
      <w:r>
        <w:rPr>
          <w:rFonts w:hint="eastAsia"/>
        </w:rPr>
        <w:t>（一）宣传国家保护未成年人的法律、法规；</w:t>
      </w:r>
      <w:bookmarkEnd w:id="2072"/>
    </w:p>
    <w:p w14:paraId="7BE64E34">
      <w:r>
        <w:rPr>
          <w:rFonts w:hint="eastAsia"/>
        </w:rPr>
        <w:t>（二）监督国家有关保护未成年人的法律、法规的实施；</w:t>
      </w:r>
    </w:p>
    <w:p w14:paraId="2E2AF3B0">
      <w:bookmarkStart w:id="2073" w:name="_Toc428780477"/>
      <w:r>
        <w:rPr>
          <w:rFonts w:hint="eastAsia"/>
        </w:rPr>
        <w:t>（三）协调有关部门对未成年人的教育保护工作；</w:t>
      </w:r>
      <w:bookmarkEnd w:id="2073"/>
    </w:p>
    <w:p w14:paraId="362B7CC9">
      <w:r>
        <w:rPr>
          <w:rFonts w:hint="eastAsia"/>
        </w:rPr>
        <w:t>（四）接受对侵犯未成年人合法权益行为的投诉、举报，交由有关部门查处，为受害者提供或者寻求法律帮助；</w:t>
      </w:r>
    </w:p>
    <w:p w14:paraId="4B295558">
      <w:r>
        <w:rPr>
          <w:rFonts w:hint="eastAsia"/>
        </w:rPr>
        <w:t>（五）对因国家机关和国家机关工作人员的违法、失职行为致使未成年人合法权益受到严重损害的，有权建议有关机关对责任人员给予行政处分，直至依法追究刑事责任；</w:t>
      </w:r>
    </w:p>
    <w:p w14:paraId="771C5D82">
      <w:r>
        <w:rPr>
          <w:rFonts w:hint="eastAsia"/>
        </w:rPr>
        <w:t>（六）建立完善未成年人保护工作相关制度，研究未成年人保护工作中的重大事项，并可向主管机关和部门提出意见和建议；</w:t>
      </w:r>
    </w:p>
    <w:p w14:paraId="2CEC3D2C">
      <w:r>
        <w:rPr>
          <w:rFonts w:hint="eastAsia"/>
        </w:rPr>
        <w:t>（七）完善未成年人保护工作队伍建设。</w:t>
      </w:r>
    </w:p>
    <w:p w14:paraId="7199F646">
      <w:pPr>
        <w:ind w:firstLine="422"/>
      </w:pPr>
      <w:r>
        <w:rPr>
          <w:rFonts w:hint="eastAsia"/>
          <w:b/>
        </w:rPr>
        <w:t>第十二条</w:t>
      </w:r>
      <w:r>
        <w:rPr>
          <w:rFonts w:hint="eastAsia"/>
        </w:rPr>
        <w:t xml:space="preserve">  居民委员会、村民委员会应当组织居民、村民做好对未成年人的教育、保护工作。</w:t>
      </w:r>
    </w:p>
    <w:p w14:paraId="2D0C238F">
      <w:pPr>
        <w:ind w:firstLine="422"/>
      </w:pPr>
      <w:r>
        <w:rPr>
          <w:rFonts w:hint="eastAsia"/>
          <w:b/>
        </w:rPr>
        <w:t>第十三条</w:t>
      </w:r>
      <w:r>
        <w:rPr>
          <w:rFonts w:hint="eastAsia"/>
        </w:rPr>
        <w:t xml:space="preserve">  未成年人保护专项资金列入市和区县财政预算。</w:t>
      </w:r>
    </w:p>
    <w:p w14:paraId="046471CA"/>
    <w:p w14:paraId="7B186329">
      <w:pPr>
        <w:ind w:firstLine="0" w:firstLineChars="0"/>
        <w:jc w:val="center"/>
        <w:rPr>
          <w:b/>
          <w:sz w:val="28"/>
        </w:rPr>
      </w:pPr>
      <w:r>
        <w:rPr>
          <w:rFonts w:hint="eastAsia"/>
          <w:b/>
          <w:sz w:val="28"/>
        </w:rPr>
        <w:t>第三章　家庭保护和学校保护</w:t>
      </w:r>
    </w:p>
    <w:p w14:paraId="20E9201F"/>
    <w:p w14:paraId="17626C36">
      <w:pPr>
        <w:ind w:firstLine="422"/>
      </w:pPr>
      <w:r>
        <w:rPr>
          <w:rFonts w:hint="eastAsia"/>
          <w:b/>
        </w:rPr>
        <w:t>第十四条</w:t>
      </w:r>
      <w:r>
        <w:rPr>
          <w:rFonts w:hint="eastAsia"/>
        </w:rPr>
        <w:t>　父母、养父母、有抚养关系的继父母（以下通称父母），对未成年的子女、养子女、有抚养关系的继子女（以下通称未成年子女），应当依法履行监护职责，保护他们的人身、财产及其他合法权益。</w:t>
      </w:r>
    </w:p>
    <w:p w14:paraId="478C526F">
      <w:r>
        <w:rPr>
          <w:rFonts w:hint="eastAsia"/>
        </w:rPr>
        <w:t>任何人不得非法处分、侵占未成年人的财产。</w:t>
      </w:r>
    </w:p>
    <w:p w14:paraId="2F8D6783">
      <w:pPr>
        <w:ind w:firstLine="422"/>
      </w:pPr>
      <w:r>
        <w:rPr>
          <w:rFonts w:hint="eastAsia"/>
          <w:b/>
        </w:rPr>
        <w:t>第十五条</w:t>
      </w:r>
      <w:r>
        <w:rPr>
          <w:rFonts w:hint="eastAsia"/>
        </w:rPr>
        <w:t>　父母死亡、丧失监护能力或者监护人监护资格被依法撤销的未成年人，同时具备下列条件的，由民政部门依法担任监护人：</w:t>
      </w:r>
    </w:p>
    <w:p w14:paraId="4043366B">
      <w:r>
        <w:rPr>
          <w:rFonts w:hint="eastAsia"/>
        </w:rPr>
        <w:t>（一）没有祖父母、外祖父母、兄姐，或者祖父母、外祖父母、兄姐不具备监护能力的；</w:t>
      </w:r>
    </w:p>
    <w:p w14:paraId="3243FB8F">
      <w:bookmarkStart w:id="2074" w:name="_Toc428780478"/>
      <w:r>
        <w:rPr>
          <w:rFonts w:hint="eastAsia"/>
        </w:rPr>
        <w:t>（二）没有其他亲属、朋友担任监护人和无人收养的；</w:t>
      </w:r>
      <w:bookmarkEnd w:id="2074"/>
    </w:p>
    <w:p w14:paraId="5A44FCBD">
      <w:r>
        <w:rPr>
          <w:rFonts w:hint="eastAsia"/>
        </w:rPr>
        <w:t>（三）父母所在单位、居民委员会、村民委员会没有监护能力的。</w:t>
      </w:r>
    </w:p>
    <w:p w14:paraId="4D47834E">
      <w:pPr>
        <w:ind w:firstLine="422"/>
      </w:pPr>
      <w:r>
        <w:rPr>
          <w:rFonts w:hint="eastAsia"/>
          <w:b/>
        </w:rPr>
        <w:t>第十六条</w:t>
      </w:r>
      <w:r>
        <w:rPr>
          <w:rFonts w:hint="eastAsia"/>
        </w:rPr>
        <w:t>　父母或者其他监护人必须保证适龄的子女或者其他被监护人依法接受九年制义务教育，不得使其中途退学。因特殊情况不能继续学习的，须经区、县教育行政部门批准。</w:t>
      </w:r>
    </w:p>
    <w:p w14:paraId="22897528">
      <w:pPr>
        <w:ind w:firstLine="422"/>
      </w:pPr>
      <w:r>
        <w:rPr>
          <w:rFonts w:hint="eastAsia"/>
          <w:b/>
        </w:rPr>
        <w:t>第十七条</w:t>
      </w:r>
      <w:r>
        <w:rPr>
          <w:rFonts w:hint="eastAsia"/>
        </w:rPr>
        <w:t>　父母或者其他监护人应当教育制止未成年子女或者其他未成年被监护人的下列行为：</w:t>
      </w:r>
    </w:p>
    <w:p w14:paraId="1CF644B7">
      <w:bookmarkStart w:id="2075" w:name="_Toc428780479"/>
      <w:r>
        <w:rPr>
          <w:rFonts w:hint="eastAsia"/>
        </w:rPr>
        <w:t>（一）擅自夜不归宿；</w:t>
      </w:r>
      <w:bookmarkEnd w:id="2075"/>
    </w:p>
    <w:p w14:paraId="2B1E24D8">
      <w:r>
        <w:rPr>
          <w:rFonts w:hint="eastAsia"/>
        </w:rPr>
        <w:t>（二）不满</w:t>
      </w:r>
      <w:r>
        <w:rPr>
          <w:rFonts w:hint="eastAsia" w:ascii="宋体" w:hAnsi="宋体" w:eastAsia="宋体" w:cs="宋体"/>
        </w:rPr>
        <w:t>16周岁，未经父母或者其他监护人许可于22时以后外</w:t>
      </w:r>
      <w:r>
        <w:rPr>
          <w:rFonts w:hint="eastAsia"/>
        </w:rPr>
        <w:t>出；</w:t>
      </w:r>
    </w:p>
    <w:p w14:paraId="32065E89">
      <w:r>
        <w:rPr>
          <w:rFonts w:hint="eastAsia"/>
        </w:rPr>
        <w:t>（三）未经父母或者其他监护人允许离家远游。</w:t>
      </w:r>
    </w:p>
    <w:p w14:paraId="7DA07279">
      <w:pPr>
        <w:ind w:firstLine="422"/>
      </w:pPr>
      <w:r>
        <w:rPr>
          <w:rFonts w:hint="eastAsia"/>
          <w:b/>
        </w:rPr>
        <w:t>第十八条</w:t>
      </w:r>
      <w:r>
        <w:rPr>
          <w:rFonts w:hint="eastAsia"/>
        </w:rPr>
        <w:t>　父母或者其他监护人和学校教师应当以健康的思想、品行和适当的方法教育未成年人，引导未成年人进行有益身心健康的活动，预防和制止未成年人吸烟、酗酒、流浪以及赌博、吸毒、卖淫等行为。</w:t>
      </w:r>
    </w:p>
    <w:p w14:paraId="5AF7AB10">
      <w:pPr>
        <w:ind w:firstLine="422"/>
      </w:pPr>
      <w:r>
        <w:rPr>
          <w:rFonts w:hint="eastAsia"/>
          <w:b/>
        </w:rPr>
        <w:t>第十九条</w:t>
      </w:r>
      <w:r>
        <w:rPr>
          <w:rFonts w:hint="eastAsia"/>
        </w:rPr>
        <w:t>　学校应当与家庭互相配合，密切联系，共同对未成年人进行理想教育、品德教育、文化知识教育和法制教育。</w:t>
      </w:r>
    </w:p>
    <w:p w14:paraId="6049FBFD">
      <w:r>
        <w:rPr>
          <w:rFonts w:hint="eastAsia"/>
        </w:rPr>
        <w:t>学校应当聘请法制工作者，担任学校专职或者兼职法制辅导员或者法制校长。</w:t>
      </w:r>
    </w:p>
    <w:p w14:paraId="130AC8F8">
      <w:pPr>
        <w:ind w:firstLine="422"/>
      </w:pPr>
      <w:r>
        <w:rPr>
          <w:rFonts w:hint="eastAsia"/>
          <w:b/>
        </w:rPr>
        <w:t>第二十条</w:t>
      </w:r>
      <w:r>
        <w:rPr>
          <w:rFonts w:hint="eastAsia"/>
        </w:rPr>
        <w:t>　学校和家庭应当对未成年人进行自我保护教育，增强未成年人自我保护意识和能力。</w:t>
      </w:r>
    </w:p>
    <w:p w14:paraId="3C61244D">
      <w:pPr>
        <w:ind w:firstLine="422"/>
      </w:pPr>
      <w:r>
        <w:rPr>
          <w:rFonts w:hint="eastAsia"/>
          <w:b/>
        </w:rPr>
        <w:t>第二十一条</w:t>
      </w:r>
      <w:r>
        <w:rPr>
          <w:rFonts w:hint="eastAsia"/>
        </w:rPr>
        <w:t>　学校和教师应当执行国家教育行政部门的有关规定，保证学生必要的休息时间和参加文娱、体育活动的时间。</w:t>
      </w:r>
    </w:p>
    <w:p w14:paraId="49967C47">
      <w:pPr>
        <w:ind w:firstLine="422"/>
      </w:pPr>
      <w:r>
        <w:rPr>
          <w:rFonts w:hint="eastAsia"/>
          <w:b/>
        </w:rPr>
        <w:t>第二十二条</w:t>
      </w:r>
      <w:r>
        <w:rPr>
          <w:rFonts w:hint="eastAsia"/>
        </w:rPr>
        <w:t>　父母或者其他监护人和学校教师对进入青春期的未成年人应当正确地给予生理上、心理上的关心、教育和指导。</w:t>
      </w:r>
    </w:p>
    <w:p w14:paraId="64F4A331">
      <w:r>
        <w:rPr>
          <w:rFonts w:hint="eastAsia"/>
        </w:rPr>
        <w:t>学校应当逐步配备具备法定资质条件的专职或者兼职心理教师，为在校接受教育的未成年人提供心理辅导。</w:t>
      </w:r>
    </w:p>
    <w:p w14:paraId="0AFD529C">
      <w:pPr>
        <w:ind w:firstLine="422"/>
      </w:pPr>
      <w:r>
        <w:rPr>
          <w:rFonts w:hint="eastAsia"/>
          <w:b/>
        </w:rPr>
        <w:t>第二十三条</w:t>
      </w:r>
      <w:r>
        <w:rPr>
          <w:rFonts w:hint="eastAsia"/>
        </w:rPr>
        <w:t>　学校、幼儿园、托儿所教职员应当尊重未成年人的人格尊严，不得对未成年人实施体罚，不得有侮辱、诽谤、歧视、恐吓、贬损等损害未成年人身心健康的言行。</w:t>
      </w:r>
    </w:p>
    <w:p w14:paraId="6C6D4669">
      <w:pPr>
        <w:ind w:firstLine="422"/>
      </w:pPr>
      <w:r>
        <w:rPr>
          <w:rFonts w:hint="eastAsia"/>
          <w:b/>
        </w:rPr>
        <w:t>第二十四条</w:t>
      </w:r>
      <w:r>
        <w:rPr>
          <w:rFonts w:hint="eastAsia"/>
        </w:rPr>
        <w:t>　对旷课、逃学的未成年学生，父母或者其他监护人和学校应当规劝其返校受课。</w:t>
      </w:r>
    </w:p>
    <w:p w14:paraId="4F96876A">
      <w:r>
        <w:rPr>
          <w:rFonts w:hint="eastAsia"/>
        </w:rPr>
        <w:t>学校办理学生转学、复学、退学或者开除学生学籍，不得违反有关规定。</w:t>
      </w:r>
    </w:p>
    <w:p w14:paraId="1F0663E6">
      <w:r>
        <w:rPr>
          <w:rFonts w:hint="eastAsia"/>
        </w:rPr>
        <w:t>学校不得以停课、劝退等方式变相剥夺学生的受教育权。</w:t>
      </w:r>
    </w:p>
    <w:p w14:paraId="7BD0DB59">
      <w:pPr>
        <w:ind w:firstLine="422"/>
      </w:pPr>
      <w:r>
        <w:rPr>
          <w:rFonts w:hint="eastAsia"/>
          <w:b/>
        </w:rPr>
        <w:t>第二十五条</w:t>
      </w:r>
      <w:r>
        <w:rPr>
          <w:rFonts w:hint="eastAsia"/>
        </w:rPr>
        <w:t>　对扰乱学校秩序的或者对学生进行拦截强索财物、侮辱、殴打的，学校、教师应当教育制止，或者向公安机关报告。公安机关应当与学校配合，采取有效措施，维护学校秩序，保护学生的人身安全。</w:t>
      </w:r>
    </w:p>
    <w:p w14:paraId="35F214CD">
      <w:pPr>
        <w:ind w:firstLine="422"/>
      </w:pPr>
      <w:r>
        <w:rPr>
          <w:rFonts w:hint="eastAsia"/>
          <w:b/>
        </w:rPr>
        <w:t>第二十六条</w:t>
      </w:r>
      <w:r>
        <w:rPr>
          <w:rFonts w:hint="eastAsia"/>
        </w:rPr>
        <w:t>　学校应当支持、引导本校共青团、少先队、学生会及其他学生组织开展有利于学生身心健康的活动，听取他们的意见与建议。</w:t>
      </w:r>
    </w:p>
    <w:p w14:paraId="39402B58">
      <w:pPr>
        <w:ind w:firstLine="422"/>
      </w:pPr>
      <w:r>
        <w:rPr>
          <w:rFonts w:hint="eastAsia"/>
          <w:b/>
        </w:rPr>
        <w:t>第二十七条</w:t>
      </w:r>
      <w:r>
        <w:rPr>
          <w:rFonts w:hint="eastAsia"/>
        </w:rPr>
        <w:t>　禁止学校、教师违反国家有关规定向学生收取费用和以罚款手段惩处违反校规的学生。</w:t>
      </w:r>
    </w:p>
    <w:p w14:paraId="44B76524">
      <w:r>
        <w:rPr>
          <w:rFonts w:hint="eastAsia"/>
        </w:rPr>
        <w:t>学校不得强行要求学生捐款捐物。</w:t>
      </w:r>
    </w:p>
    <w:p w14:paraId="14EE3592">
      <w:pPr>
        <w:ind w:firstLine="422"/>
      </w:pPr>
      <w:r>
        <w:rPr>
          <w:rFonts w:hint="eastAsia"/>
          <w:b/>
        </w:rPr>
        <w:t>第二十八条</w:t>
      </w:r>
      <w:r>
        <w:rPr>
          <w:rFonts w:hint="eastAsia"/>
        </w:rPr>
        <w:t>　幼儿园、托儿所应当做好保育、教育工作，组织有利于幼儿健康成长的文化娱乐等活动，促进幼儿在体质、智力、品德等方面和谐发展。组织幼儿活动，应当防止发生人身安全事故。</w:t>
      </w:r>
    </w:p>
    <w:p w14:paraId="4930F49D">
      <w:pPr>
        <w:ind w:firstLine="422"/>
      </w:pPr>
      <w:r>
        <w:rPr>
          <w:rFonts w:hint="eastAsia"/>
          <w:b/>
        </w:rPr>
        <w:t>第二十九条</w:t>
      </w:r>
      <w:r>
        <w:rPr>
          <w:rFonts w:hint="eastAsia"/>
        </w:rPr>
        <w:t>　对有违纪行为的学生，学校应当给予说服、教育和帮助；确须给予处分的，学校应当先向未成年学生及其监护人说明理由并听取意见，按照公平、公正的原则作出处分决定。</w:t>
      </w:r>
    </w:p>
    <w:p w14:paraId="4CCDB991">
      <w:pPr>
        <w:ind w:firstLine="422"/>
      </w:pPr>
      <w:r>
        <w:rPr>
          <w:rFonts w:hint="eastAsia"/>
          <w:b/>
        </w:rPr>
        <w:t>第三十条</w:t>
      </w:r>
      <w:r>
        <w:rPr>
          <w:rFonts w:hint="eastAsia"/>
        </w:rPr>
        <w:t>　对有违法或者轻微犯罪行为的中学生，不宜留在原校学习的，应当按照国家有关规定送工读学校学习。家长应当支持，不得阻拦。</w:t>
      </w:r>
    </w:p>
    <w:p w14:paraId="0F89DAC8">
      <w:r>
        <w:rPr>
          <w:rFonts w:hint="eastAsia"/>
        </w:rPr>
        <w:t>工读学校应当对学生加强管理教育，对接近就业年龄的学生，根据社会需要，进行职业技术培训。</w:t>
      </w:r>
    </w:p>
    <w:p w14:paraId="44DA707D">
      <w:r>
        <w:rPr>
          <w:rFonts w:hint="eastAsia"/>
        </w:rPr>
        <w:t>工读学校的学生在升学、就业等方面，同普通学校的学生享有同等的权利。</w:t>
      </w:r>
    </w:p>
    <w:p w14:paraId="37A99C55"/>
    <w:p w14:paraId="6DB1B30F">
      <w:pPr>
        <w:ind w:firstLine="0" w:firstLineChars="0"/>
        <w:jc w:val="center"/>
        <w:rPr>
          <w:b/>
          <w:sz w:val="28"/>
        </w:rPr>
      </w:pPr>
      <w:r>
        <w:rPr>
          <w:rFonts w:hint="eastAsia"/>
          <w:b/>
          <w:sz w:val="28"/>
        </w:rPr>
        <w:t>第四章　政府保护和社会保护</w:t>
      </w:r>
    </w:p>
    <w:p w14:paraId="669F028E"/>
    <w:p w14:paraId="1AC3E3A9">
      <w:pPr>
        <w:ind w:firstLine="422"/>
      </w:pPr>
      <w:r>
        <w:rPr>
          <w:rFonts w:hint="eastAsia"/>
          <w:b/>
        </w:rPr>
        <w:t>第三十一条</w:t>
      </w:r>
      <w:r>
        <w:rPr>
          <w:rFonts w:hint="eastAsia"/>
        </w:rPr>
        <w:t>　本市各级人民政府对未成年人的保护工作，应当全面规划，组织实施。</w:t>
      </w:r>
    </w:p>
    <w:p w14:paraId="77801060">
      <w:r>
        <w:rPr>
          <w:rFonts w:hint="eastAsia"/>
        </w:rPr>
        <w:t>教育、文化、劳动和社会保障、卫生、民政、公安、工商行政管理等政府部门应当按照各自的职责，贯彻执行法律、法规有关保护未成年人的规定和本条例。</w:t>
      </w:r>
    </w:p>
    <w:p w14:paraId="5C3270D0">
      <w:pPr>
        <w:ind w:firstLine="422"/>
      </w:pPr>
      <w:r>
        <w:rPr>
          <w:rFonts w:hint="eastAsia"/>
          <w:b/>
        </w:rPr>
        <w:t>第三十二条</w:t>
      </w:r>
      <w:r>
        <w:rPr>
          <w:rFonts w:hint="eastAsia"/>
        </w:rPr>
        <w:t>　各级工会、共青团委员会、妇女联合会、残疾人联合会应当发挥各自组织的作用，并动员社会力量，从多方面对未成年人进行培养教育，维护未成年人的合法权益。</w:t>
      </w:r>
    </w:p>
    <w:p w14:paraId="18B3BEFB">
      <w:pPr>
        <w:ind w:firstLine="422"/>
      </w:pPr>
      <w:r>
        <w:rPr>
          <w:rFonts w:hint="eastAsia"/>
          <w:b/>
        </w:rPr>
        <w:t>第三十三条</w:t>
      </w:r>
      <w:r>
        <w:rPr>
          <w:rFonts w:hint="eastAsia"/>
        </w:rPr>
        <w:t>　学校、居民委员会、村民委员会以及未成年犯管教所、劳动教养机关，可以聘请志愿参与未成年人保护工作的公民担任辅导员，对未成年人进行帮助教育。</w:t>
      </w:r>
    </w:p>
    <w:p w14:paraId="1A9B0AB4">
      <w:pPr>
        <w:ind w:firstLine="422"/>
      </w:pPr>
      <w:r>
        <w:rPr>
          <w:rFonts w:hint="eastAsia"/>
          <w:b/>
        </w:rPr>
        <w:t>第三十四条</w:t>
      </w:r>
      <w:r>
        <w:rPr>
          <w:rFonts w:hint="eastAsia"/>
        </w:rPr>
        <w:t>　本市各级人民政府应当支持和鼓励学校、社会组织以及个人兴办家长学校和采取其他形式对家长培养教育未成年人进行指导。</w:t>
      </w:r>
    </w:p>
    <w:p w14:paraId="302FA9A2">
      <w:r>
        <w:rPr>
          <w:rFonts w:hint="eastAsia"/>
        </w:rPr>
        <w:t>本市各级人民政府应当支持和鼓励社会组织为培养教育未成年人开展生理咨询、心理咨询、法律咨询、教育咨询等服务活动。</w:t>
      </w:r>
    </w:p>
    <w:p w14:paraId="72193CCF">
      <w:pPr>
        <w:ind w:firstLine="422"/>
      </w:pPr>
      <w:r>
        <w:rPr>
          <w:rFonts w:hint="eastAsia"/>
          <w:b/>
        </w:rPr>
        <w:t>第三十五条</w:t>
      </w:r>
      <w:r>
        <w:rPr>
          <w:rFonts w:hint="eastAsia"/>
        </w:rPr>
        <w:t>　本市各级人民政府应当关心未成年人的人身安全和身体健康，为未成年人提供必要的卫生保健条件。</w:t>
      </w:r>
    </w:p>
    <w:p w14:paraId="6B6E10F3">
      <w:r>
        <w:rPr>
          <w:rFonts w:hint="eastAsia"/>
        </w:rPr>
        <w:t>对危险校舍必须及时进行维修、翻建；教室采光必须符合视力卫生保健标准；学生使用的课桌椅应当按规格配备。</w:t>
      </w:r>
    </w:p>
    <w:p w14:paraId="1113D66C">
      <w:r>
        <w:rPr>
          <w:rFonts w:hint="eastAsia"/>
        </w:rPr>
        <w:t>定期为中小学生进行体格检查并提供优惠条件。</w:t>
      </w:r>
    </w:p>
    <w:p w14:paraId="0E893A6C">
      <w:pPr>
        <w:ind w:firstLine="422"/>
      </w:pPr>
      <w:r>
        <w:rPr>
          <w:rFonts w:hint="eastAsia"/>
          <w:b/>
        </w:rPr>
        <w:t>第三十六条</w:t>
      </w:r>
      <w:r>
        <w:rPr>
          <w:rFonts w:hint="eastAsia"/>
        </w:rPr>
        <w:t>　本市各级人民政府和有关部门应当创造条件，保障外地来京务工经商人员的未成年子女接受义务教育。</w:t>
      </w:r>
    </w:p>
    <w:p w14:paraId="67DEA231">
      <w:pPr>
        <w:ind w:firstLine="422"/>
      </w:pPr>
      <w:r>
        <w:rPr>
          <w:rFonts w:hint="eastAsia"/>
          <w:b/>
        </w:rPr>
        <w:t>第三十七条</w:t>
      </w:r>
      <w:r>
        <w:rPr>
          <w:rFonts w:hint="eastAsia"/>
        </w:rPr>
        <w:t>　不得在中小学校门前和两侧设置集贸市场、停车场，摆摊设点，堆放杂物。不得在中小学校门前</w:t>
      </w:r>
      <w:r>
        <w:rPr>
          <w:rFonts w:hint="eastAsia" w:ascii="宋体" w:hAnsi="宋体" w:eastAsia="宋体" w:cs="宋体"/>
        </w:rPr>
        <w:t>200</w:t>
      </w:r>
      <w:r>
        <w:rPr>
          <w:rFonts w:hint="eastAsia"/>
        </w:rPr>
        <w:t>米半径内设置台球、电子游戏机营业点。</w:t>
      </w:r>
    </w:p>
    <w:p w14:paraId="072C6D9B">
      <w:pPr>
        <w:ind w:firstLine="422"/>
      </w:pPr>
      <w:r>
        <w:rPr>
          <w:rFonts w:hint="eastAsia"/>
          <w:b/>
        </w:rPr>
        <w:t>第三十八条</w:t>
      </w:r>
      <w:r>
        <w:rPr>
          <w:rFonts w:hint="eastAsia"/>
        </w:rPr>
        <w:t>　本市各级人民政府应当维护并有计划地新建、扩建、改建供青少年文化娱乐、体育、科技等活动的场所。</w:t>
      </w:r>
    </w:p>
    <w:p w14:paraId="1CF954D2">
      <w:r>
        <w:rPr>
          <w:rFonts w:hint="eastAsia"/>
        </w:rPr>
        <w:t>本市各级人民政府应当支持和鼓励企业事业单位及其他社会组织和个人提供或者兴建有利于未成年人健康成长的活动场所及设施。</w:t>
      </w:r>
    </w:p>
    <w:p w14:paraId="7B642980">
      <w:r>
        <w:rPr>
          <w:rFonts w:hint="eastAsia"/>
        </w:rPr>
        <w:t>任何组织和个人不得以任何借口侵占供未成年人活动的场所及设施，不得擅自改变未成年人活动场所和活动设施的用途。</w:t>
      </w:r>
    </w:p>
    <w:p w14:paraId="6FBF3F75">
      <w:pPr>
        <w:ind w:firstLine="422"/>
        <w:rPr>
          <w:rFonts w:hint="eastAsia" w:ascii="宋体" w:hAnsi="宋体" w:eastAsia="宋体" w:cs="宋体"/>
        </w:rPr>
      </w:pPr>
      <w:r>
        <w:rPr>
          <w:rFonts w:hint="eastAsia"/>
          <w:b/>
        </w:rPr>
        <w:t>第三十九条</w:t>
      </w:r>
      <w:r>
        <w:rPr>
          <w:rFonts w:hint="eastAsia"/>
        </w:rPr>
        <w:t>　任何组织和个人不得招用未满</w:t>
      </w:r>
      <w:r>
        <w:rPr>
          <w:rFonts w:hint="eastAsia" w:ascii="宋体" w:hAnsi="宋体" w:eastAsia="宋体" w:cs="宋体"/>
        </w:rPr>
        <w:t>16周岁的未成年人，法律、法规另有规定的除外。</w:t>
      </w:r>
    </w:p>
    <w:p w14:paraId="3836C0E2">
      <w:pPr>
        <w:rPr>
          <w:rFonts w:hint="eastAsia" w:ascii="宋体" w:hAnsi="宋体" w:eastAsia="宋体" w:cs="宋体"/>
        </w:rPr>
      </w:pPr>
      <w:r>
        <w:rPr>
          <w:rFonts w:hint="eastAsia" w:ascii="宋体" w:hAnsi="宋体" w:eastAsia="宋体" w:cs="宋体"/>
        </w:rPr>
        <w:t>依照法律、法规的有关规定招用已满16周岁未满18周岁的未成年人的，应当在工种、劳动时间、劳动强度和保护措施等方面执行国家有关规定，不得安排其从事过重、有毒、有害的劳动或者危险作业。</w:t>
      </w:r>
    </w:p>
    <w:p w14:paraId="2EFE928F">
      <w:pPr>
        <w:ind w:firstLine="422"/>
      </w:pPr>
      <w:r>
        <w:rPr>
          <w:rFonts w:hint="eastAsia"/>
          <w:b/>
        </w:rPr>
        <w:t>第四十条</w:t>
      </w:r>
      <w:r>
        <w:rPr>
          <w:rFonts w:hint="eastAsia"/>
        </w:rPr>
        <w:t>　市和区、县人民政府对完成义务教育不再升学的未成年人，应当统筹安排，由教育、劳动和社会保障等部门组织就业前的职业技术培训。</w:t>
      </w:r>
    </w:p>
    <w:p w14:paraId="04D02452">
      <w:pPr>
        <w:ind w:firstLine="422"/>
      </w:pPr>
      <w:r>
        <w:rPr>
          <w:rFonts w:hint="eastAsia"/>
          <w:b/>
        </w:rPr>
        <w:t>第四十一条</w:t>
      </w:r>
      <w:r>
        <w:rPr>
          <w:rFonts w:hint="eastAsia"/>
        </w:rPr>
        <w:t>　本市各级人民政府应当支持和鼓励科学家、艺术家和作家及其他创作人员，创作有益于未成年人健康成长的科学、技术、文学、艺术等作品。</w:t>
      </w:r>
    </w:p>
    <w:p w14:paraId="7F36C19A">
      <w:pPr>
        <w:ind w:firstLine="422"/>
      </w:pPr>
      <w:r>
        <w:rPr>
          <w:rFonts w:hint="eastAsia"/>
          <w:b/>
        </w:rPr>
        <w:t>第四十二条</w:t>
      </w:r>
      <w:r>
        <w:rPr>
          <w:rFonts w:hint="eastAsia"/>
        </w:rPr>
        <w:t>　新闻出版、广播、电影、电视等单位和文艺团体应当出版、发行、播映、演出有益于未成年人身心健康的书报、杂志、图书、影视、音像制品、电子出版物和文艺节目。</w:t>
      </w:r>
    </w:p>
    <w:p w14:paraId="386425D6">
      <w:r>
        <w:rPr>
          <w:rFonts w:hint="eastAsia"/>
        </w:rPr>
        <w:t>广播电台、电视台应当为未成年人开辟专题节目，并在适宜未成年人收听、收看的时间播出。</w:t>
      </w:r>
    </w:p>
    <w:p w14:paraId="63D3B918">
      <w:pPr>
        <w:ind w:firstLine="422"/>
      </w:pPr>
      <w:r>
        <w:rPr>
          <w:rFonts w:hint="eastAsia"/>
          <w:b/>
        </w:rPr>
        <w:t>第四十三条</w:t>
      </w:r>
      <w:r>
        <w:rPr>
          <w:rFonts w:hint="eastAsia"/>
        </w:rPr>
        <w:t>　图书、报刊、音像制品、电子出版物的出版、发行、经销单位、个体销售摊点和图书管理部门等，不得出版、发行、复制或者以出售、出租等形式传播淫秽、暴力、邪教、迷信、赌博等有害于未成年人身心健康的视听读物。</w:t>
      </w:r>
    </w:p>
    <w:p w14:paraId="6F5821F8">
      <w:r>
        <w:rPr>
          <w:rFonts w:hint="eastAsia"/>
        </w:rPr>
        <w:t>电影、电视节目中不得含有宣扬淫秽、暴力、邪教、迷信、赌博等有害于未成年人身心健康的内容。</w:t>
      </w:r>
    </w:p>
    <w:p w14:paraId="0723EC77">
      <w:pPr>
        <w:ind w:firstLine="422"/>
      </w:pPr>
      <w:r>
        <w:rPr>
          <w:rFonts w:hint="eastAsia"/>
          <w:b/>
        </w:rPr>
        <w:t>第四十四条</w:t>
      </w:r>
      <w:r>
        <w:rPr>
          <w:rFonts w:hint="eastAsia"/>
        </w:rPr>
        <w:t>　学校、家庭、图书馆以及其他互联网上网服务场所应当采取有效的防范措施，避免让未成年人在互联网上接触有害于未成年人身心健康的内容。</w:t>
      </w:r>
    </w:p>
    <w:p w14:paraId="15B3A8F7">
      <w:pPr>
        <w:ind w:firstLine="422"/>
      </w:pPr>
      <w:r>
        <w:rPr>
          <w:rFonts w:hint="eastAsia"/>
          <w:b/>
        </w:rPr>
        <w:t>第四十五条</w:t>
      </w:r>
      <w:r>
        <w:rPr>
          <w:rFonts w:hint="eastAsia"/>
        </w:rPr>
        <w:t>　博物馆、纪念馆、科技馆、文化馆、美术馆、影剧院、体育场（馆）、动物园、公园等场所应当对未成年人优惠开放。</w:t>
      </w:r>
    </w:p>
    <w:p w14:paraId="5E15908B">
      <w:pPr>
        <w:ind w:firstLine="422"/>
      </w:pPr>
      <w:r>
        <w:rPr>
          <w:rFonts w:hint="eastAsia"/>
          <w:b/>
        </w:rPr>
        <w:t>第四十六条</w:t>
      </w:r>
      <w:r>
        <w:rPr>
          <w:rFonts w:hint="eastAsia"/>
        </w:rPr>
        <w:t>　儿童食品、玩具、用具、游乐设施以及公共设施，不得有害于未成年人的人身安全和身心健康。</w:t>
      </w:r>
    </w:p>
    <w:p w14:paraId="00CEF30F">
      <w:r>
        <w:rPr>
          <w:rFonts w:hint="eastAsia"/>
        </w:rPr>
        <w:t>生产、销售的前款所列产品应当标有适应年龄范围或者注意事项等警示标志或者中文警示说明。</w:t>
      </w:r>
    </w:p>
    <w:p w14:paraId="7A37F34A">
      <w:r>
        <w:rPr>
          <w:rFonts w:hint="eastAsia"/>
        </w:rPr>
        <w:t>游乐设施以及其他可能危及未成年人人身安全的设施的经营、管理单位，应当在设施附近的显著位置标明适应年龄范围或者注意事项等警示标志或者中文警示说明。</w:t>
      </w:r>
    </w:p>
    <w:p w14:paraId="405A6C7A">
      <w:pPr>
        <w:ind w:firstLine="422"/>
      </w:pPr>
      <w:r>
        <w:rPr>
          <w:rFonts w:hint="eastAsia"/>
          <w:b/>
        </w:rPr>
        <w:t>第四十七条</w:t>
      </w:r>
      <w:r>
        <w:rPr>
          <w:rFonts w:hint="eastAsia"/>
        </w:rPr>
        <w:t>　法律、法规规定禁止未成年人进入的互联网上网服务营业场所以及营业性舞厅、歌厅等场所，应当在入口处的显著位置设置未成年人禁入标志，不得允许其进入。</w:t>
      </w:r>
    </w:p>
    <w:p w14:paraId="15AFD58E">
      <w:r>
        <w:rPr>
          <w:rFonts w:hint="eastAsia"/>
        </w:rPr>
        <w:t>对难以判明是否已成年的，上述场所的工作人员可以要求其出示有效身份证明。</w:t>
      </w:r>
    </w:p>
    <w:p w14:paraId="4A990EEE">
      <w:pPr>
        <w:ind w:firstLine="422"/>
      </w:pPr>
      <w:r>
        <w:rPr>
          <w:rFonts w:hint="eastAsia"/>
          <w:b/>
        </w:rPr>
        <w:t>第四十八条</w:t>
      </w:r>
      <w:r>
        <w:rPr>
          <w:rFonts w:hint="eastAsia"/>
        </w:rPr>
        <w:t>　任何人不得在中小学、幼儿园、托儿所的教室、寝室、活动室和其他未成年人集中活动的场所吸烟。</w:t>
      </w:r>
    </w:p>
    <w:p w14:paraId="273B56E9">
      <w:pPr>
        <w:ind w:firstLine="422"/>
      </w:pPr>
      <w:r>
        <w:rPr>
          <w:rFonts w:hint="eastAsia"/>
          <w:b/>
        </w:rPr>
        <w:t>第四十九条</w:t>
      </w:r>
      <w:r>
        <w:rPr>
          <w:rFonts w:hint="eastAsia"/>
        </w:rPr>
        <w:t>　任何组织和个人不得披露未成年人的个人隐私。</w:t>
      </w:r>
    </w:p>
    <w:p w14:paraId="08576688">
      <w:r>
        <w:rPr>
          <w:rFonts w:hint="eastAsia"/>
        </w:rPr>
        <w:t>对未成年人的信件，任何组织和个人不得隐匿、毁弃；除因工作需要由司法机关依照法定程序进行检查，或者对无民事行为能力未成年人的信件由其父母或者其他监护人代为开拆外，任何组织或者个人不得开拆。</w:t>
      </w:r>
    </w:p>
    <w:p w14:paraId="55DFC28B">
      <w:r>
        <w:rPr>
          <w:rFonts w:hint="eastAsia"/>
        </w:rPr>
        <w:t>任何组织和个人未经未成年人的监护人同意，不得在互联网上收集、使用、公布未成年人的个人信息。</w:t>
      </w:r>
    </w:p>
    <w:p w14:paraId="2FF59B9A">
      <w:pPr>
        <w:ind w:firstLine="422"/>
      </w:pPr>
      <w:r>
        <w:rPr>
          <w:rFonts w:hint="eastAsia"/>
          <w:b/>
        </w:rPr>
        <w:t>第五十条</w:t>
      </w:r>
      <w:r>
        <w:rPr>
          <w:rFonts w:hint="eastAsia"/>
        </w:rPr>
        <w:t>　卫生部门应当对儿童实行预防接种证制度，积极防治儿童常见病、多发病，加强对传染病防治工作的监督管理和对托儿所、幼儿园卫生保健的业务指导。</w:t>
      </w:r>
    </w:p>
    <w:p w14:paraId="4D3ACB8F">
      <w:pPr>
        <w:spacing w:line="300" w:lineRule="exact"/>
      </w:pPr>
    </w:p>
    <w:p w14:paraId="6BD025F4">
      <w:pPr>
        <w:ind w:firstLine="0" w:firstLineChars="0"/>
        <w:jc w:val="center"/>
        <w:rPr>
          <w:b/>
          <w:sz w:val="28"/>
        </w:rPr>
      </w:pPr>
      <w:r>
        <w:rPr>
          <w:rFonts w:hint="eastAsia"/>
          <w:b/>
          <w:sz w:val="28"/>
        </w:rPr>
        <w:t>第五章　特殊保护</w:t>
      </w:r>
    </w:p>
    <w:p w14:paraId="4BCDA8C7">
      <w:pPr>
        <w:spacing w:line="300" w:lineRule="exact"/>
      </w:pPr>
    </w:p>
    <w:p w14:paraId="651833EC">
      <w:pPr>
        <w:ind w:firstLine="422"/>
      </w:pPr>
      <w:r>
        <w:rPr>
          <w:rFonts w:hint="eastAsia"/>
          <w:b/>
        </w:rPr>
        <w:t>第五十一条</w:t>
      </w:r>
      <w:r>
        <w:rPr>
          <w:rFonts w:hint="eastAsia"/>
        </w:rPr>
        <w:t>　任何组织和个人不得歧视、侮辱、虐待和遗弃残疾未成年人。</w:t>
      </w:r>
    </w:p>
    <w:p w14:paraId="0C2AFAE4">
      <w:pPr>
        <w:ind w:firstLine="422"/>
      </w:pPr>
      <w:r>
        <w:rPr>
          <w:rFonts w:hint="eastAsia"/>
          <w:b/>
        </w:rPr>
        <w:t>第五十二条</w:t>
      </w:r>
      <w:r>
        <w:rPr>
          <w:rFonts w:hint="eastAsia"/>
        </w:rPr>
        <w:t>　市和区、县人民政府的教育、民政、劳动和社会保障等部门以及残疾人联合会应当根据残疾未成年人的不同情况，进行定向培训。对年</w:t>
      </w:r>
      <w:r>
        <w:rPr>
          <w:rFonts w:hint="eastAsia" w:ascii="宋体" w:hAnsi="宋体" w:eastAsia="宋体" w:cs="宋体"/>
        </w:rPr>
        <w:t>满16周</w:t>
      </w:r>
      <w:r>
        <w:rPr>
          <w:rFonts w:hint="eastAsia"/>
        </w:rPr>
        <w:t>岁，具有一定劳动能力的，应当推荐安排就业。</w:t>
      </w:r>
    </w:p>
    <w:p w14:paraId="5E8CE5E1">
      <w:r>
        <w:rPr>
          <w:rFonts w:hint="eastAsia"/>
        </w:rPr>
        <w:t>本市各级人民政府应当支持和鼓励社会组织和个人依法兴办残疾未成年人的福利事业。</w:t>
      </w:r>
    </w:p>
    <w:p w14:paraId="5C2DA935">
      <w:pPr>
        <w:ind w:firstLine="422"/>
      </w:pPr>
      <w:r>
        <w:rPr>
          <w:rFonts w:hint="eastAsia"/>
          <w:b/>
        </w:rPr>
        <w:t>第五十三条</w:t>
      </w:r>
      <w:r>
        <w:rPr>
          <w:rFonts w:hint="eastAsia"/>
        </w:rPr>
        <w:t>　对有特殊天赋或者突出成就的未成年人，有关组织和个人应当为他们的发展创造条件，关心他们的身心健康，保护他们的智力成果或者其他成果不受侵犯。</w:t>
      </w:r>
    </w:p>
    <w:p w14:paraId="71DA72D2">
      <w:pPr>
        <w:ind w:firstLine="422"/>
      </w:pPr>
      <w:r>
        <w:rPr>
          <w:rFonts w:hint="eastAsia"/>
          <w:b/>
        </w:rPr>
        <w:t>第五十四条</w:t>
      </w:r>
      <w:r>
        <w:rPr>
          <w:rFonts w:hint="eastAsia"/>
        </w:rPr>
        <w:t>　未成年女子在入学、就业、劳动报酬等方面同未成年男子享有同等的权利。</w:t>
      </w:r>
    </w:p>
    <w:p w14:paraId="2C1589C4">
      <w:pPr>
        <w:ind w:firstLine="422"/>
      </w:pPr>
      <w:r>
        <w:rPr>
          <w:rFonts w:hint="eastAsia"/>
          <w:b/>
        </w:rPr>
        <w:t>第五十五条</w:t>
      </w:r>
      <w:r>
        <w:rPr>
          <w:rFonts w:hint="eastAsia"/>
        </w:rPr>
        <w:t>　人民法院审理离婚案件、婚姻登记机关办理离婚登记，应当照顾未成年子女的权益，保护他们受抚养、受教育等权利，并对有未成年子女的离婚夫妻进行关于未成年人权益保护方面的教育、指导。</w:t>
      </w:r>
    </w:p>
    <w:p w14:paraId="1C49B127">
      <w:pPr>
        <w:ind w:firstLine="422"/>
      </w:pPr>
      <w:r>
        <w:rPr>
          <w:rFonts w:hint="eastAsia"/>
          <w:b/>
        </w:rPr>
        <w:t>第五十六条</w:t>
      </w:r>
      <w:r>
        <w:rPr>
          <w:rFonts w:hint="eastAsia"/>
        </w:rPr>
        <w:t>　市人民政府设立未成年人紧急救助机构，对因受虐待或者其他家庭问题需要帮助的未成年人提供救助。</w:t>
      </w:r>
    </w:p>
    <w:p w14:paraId="60C042A0">
      <w:pPr>
        <w:ind w:firstLine="422"/>
      </w:pPr>
      <w:r>
        <w:rPr>
          <w:rFonts w:hint="eastAsia"/>
          <w:b/>
        </w:rPr>
        <w:t>第五十七条</w:t>
      </w:r>
      <w:r>
        <w:rPr>
          <w:rFonts w:hint="eastAsia"/>
        </w:rPr>
        <w:t>　对流浪乞讨的未成年人，按照国家的有关规定予以救助。在救助场所内应当与流浪乞讨的成年人分开救助，同时提供心理辅导、短期教育，进行不良行为矫治，并在监护人的带领下可以离开救助场所。</w:t>
      </w:r>
    </w:p>
    <w:p w14:paraId="245B059C"/>
    <w:p w14:paraId="06F637DB">
      <w:pPr>
        <w:ind w:firstLine="0" w:firstLineChars="0"/>
        <w:jc w:val="center"/>
        <w:rPr>
          <w:b/>
          <w:sz w:val="28"/>
        </w:rPr>
      </w:pPr>
      <w:r>
        <w:rPr>
          <w:rFonts w:hint="eastAsia"/>
          <w:b/>
          <w:sz w:val="28"/>
        </w:rPr>
        <w:t>第六章　司法保护</w:t>
      </w:r>
    </w:p>
    <w:p w14:paraId="5AD4CF7F"/>
    <w:p w14:paraId="1CE61741">
      <w:pPr>
        <w:ind w:firstLine="422"/>
      </w:pPr>
      <w:r>
        <w:rPr>
          <w:rFonts w:hint="eastAsia"/>
          <w:b/>
        </w:rPr>
        <w:t>第五十八条</w:t>
      </w:r>
      <w:r>
        <w:rPr>
          <w:rFonts w:hint="eastAsia"/>
        </w:rPr>
        <w:t>　审判机关、检察机关、公安机关、司法行政机关应当依法保护未成年人的合法权益不受侵犯。对侵犯未成年人合法权益行为的投诉、举报应当及时处理。对强奸、拐卖未成年人或者诱骗、胁迫、组织、教唆未成年人进行违法犯罪活动的，必须依法严惩。</w:t>
      </w:r>
    </w:p>
    <w:p w14:paraId="6289E948">
      <w:pPr>
        <w:ind w:firstLine="422"/>
      </w:pPr>
      <w:r>
        <w:rPr>
          <w:rFonts w:hint="eastAsia"/>
          <w:b/>
        </w:rPr>
        <w:t>第五十九条</w:t>
      </w:r>
      <w:r>
        <w:rPr>
          <w:rFonts w:hint="eastAsia"/>
        </w:rPr>
        <w:t>　对未成年人的刑事案件，公安机关、检察机关和审判机关应当分别组成专门的预审组、起诉组、合议庭，采取适合未成年人特点的方式进行讯问、审查、审理。</w:t>
      </w:r>
    </w:p>
    <w:p w14:paraId="48C2F7EA">
      <w:r>
        <w:rPr>
          <w:rFonts w:hint="eastAsia"/>
        </w:rPr>
        <w:t>人民法院</w:t>
      </w:r>
      <w:r>
        <w:rPr>
          <w:rFonts w:hint="eastAsia" w:ascii="宋体" w:hAnsi="宋体" w:eastAsia="宋体" w:cs="宋体"/>
        </w:rPr>
        <w:t>对14周岁以上不满16周岁的未成年人刑事案件一律不公开审理，对16周岁以上不满18周岁的未成年人刑事案件，一</w:t>
      </w:r>
      <w:r>
        <w:rPr>
          <w:rFonts w:hint="eastAsia"/>
        </w:rPr>
        <w:t>般也不公开审理；被告人没有委托辩护人的，人民法院应当为其指定辩护人，并可以通知被告人的法定代理人到场。</w:t>
      </w:r>
    </w:p>
    <w:p w14:paraId="3C085863">
      <w:pPr>
        <w:ind w:firstLine="422"/>
      </w:pPr>
      <w:r>
        <w:rPr>
          <w:rFonts w:hint="eastAsia"/>
          <w:b/>
        </w:rPr>
        <w:t>第六十条</w:t>
      </w:r>
      <w:r>
        <w:rPr>
          <w:rFonts w:hint="eastAsia"/>
        </w:rPr>
        <w:t>　在审理未成年人刑事案件的过程中，各级人民法院可以委托各级未成年人保护委员会或者其他组织聘请社会调查员。</w:t>
      </w:r>
    </w:p>
    <w:p w14:paraId="3E572F2E">
      <w:r>
        <w:rPr>
          <w:rFonts w:hint="eastAsia"/>
        </w:rPr>
        <w:t>社会调查员对未成年被告人性格特点、家庭情况、社会交往、成长经历以及实施被指控的犯罪前后的表现等情况进行调查，并制作书面材料提交司法机关。</w:t>
      </w:r>
    </w:p>
    <w:p w14:paraId="32126C8F">
      <w:pPr>
        <w:ind w:firstLine="422"/>
      </w:pPr>
      <w:r>
        <w:rPr>
          <w:rFonts w:hint="eastAsia"/>
          <w:b/>
        </w:rPr>
        <w:t>第六十一条</w:t>
      </w:r>
      <w:r>
        <w:rPr>
          <w:rFonts w:hint="eastAsia"/>
        </w:rPr>
        <w:t>　对判决前的未成年人刑事案件和其他违法案件，新闻报道、影视节目、公开出版物不得披露其姓名、住所和照片及可能推断出该未成年人的资料。</w:t>
      </w:r>
    </w:p>
    <w:p w14:paraId="774E53DC">
      <w:pPr>
        <w:ind w:firstLine="422"/>
      </w:pPr>
      <w:r>
        <w:rPr>
          <w:rFonts w:hint="eastAsia"/>
          <w:b/>
        </w:rPr>
        <w:t>第六十二条</w:t>
      </w:r>
      <w:r>
        <w:rPr>
          <w:rFonts w:hint="eastAsia"/>
        </w:rPr>
        <w:t>　对羁押或者服刑的未成年人，应当同羁押或者服刑的成年人分押、分管。</w:t>
      </w:r>
    </w:p>
    <w:p w14:paraId="084992E5">
      <w:pPr>
        <w:ind w:firstLine="422"/>
      </w:pPr>
      <w:r>
        <w:rPr>
          <w:rFonts w:hint="eastAsia"/>
          <w:b/>
        </w:rPr>
        <w:t>第六十三条</w:t>
      </w:r>
      <w:r>
        <w:rPr>
          <w:rFonts w:hint="eastAsia"/>
        </w:rPr>
        <w:t>　未成年犯管教所、劳动教养机关与各区、县人民政府之间，应当签订帮教安置协议，对正在服刑和接受收容教养、劳动教养的以及刑满释放、解除收容教养、劳动教养的未成年人进行帮教安置。</w:t>
      </w:r>
    </w:p>
    <w:p w14:paraId="789B6A07">
      <w:r>
        <w:rPr>
          <w:rFonts w:hint="eastAsia"/>
        </w:rPr>
        <w:t>人民检察院不起诉、人民法院免予刑事处罚或者宣告缓刑和刑满释放、被解除收容教养、劳动教养的以及受过公安机关治安管理处罚的未成年人，复学、升学、就业不受歧视。</w:t>
      </w:r>
    </w:p>
    <w:p w14:paraId="22C25C92">
      <w:pPr>
        <w:ind w:firstLine="422"/>
      </w:pPr>
      <w:r>
        <w:rPr>
          <w:rFonts w:hint="eastAsia"/>
          <w:b/>
        </w:rPr>
        <w:t>第六十四条</w:t>
      </w:r>
      <w:r>
        <w:rPr>
          <w:rFonts w:hint="eastAsia"/>
        </w:rPr>
        <w:t>　未成年犯管教所、劳动教养机关应当对正在服刑、接受收容教养、劳动教养的未成年人加强管理教育和思想改造工作，组织他们参加力所能及的劳动，参加文化技术学习，并根据社会需要，定向培训，为他们就学、就业创造条件。</w:t>
      </w:r>
    </w:p>
    <w:p w14:paraId="2D6F4674">
      <w:pPr>
        <w:ind w:firstLine="422"/>
      </w:pPr>
      <w:r>
        <w:rPr>
          <w:rFonts w:hint="eastAsia"/>
          <w:b/>
        </w:rPr>
        <w:t>第六十五条</w:t>
      </w:r>
      <w:r>
        <w:rPr>
          <w:rFonts w:hint="eastAsia"/>
        </w:rPr>
        <w:t>　公安机关、检察机关、审判机关以及未成年犯管教所、劳动教养机关应当依法保护违法犯罪未成年人的合法权益，尊重他们的人格。严禁辱骂、体罚。</w:t>
      </w:r>
    </w:p>
    <w:p w14:paraId="4D1E6B59">
      <w:pPr>
        <w:ind w:firstLine="422"/>
      </w:pPr>
      <w:r>
        <w:rPr>
          <w:rFonts w:hint="eastAsia"/>
          <w:b/>
        </w:rPr>
        <w:t>第六十六条</w:t>
      </w:r>
      <w:r>
        <w:rPr>
          <w:rFonts w:hint="eastAsia"/>
        </w:rPr>
        <w:t>　对监护人侵害未成年人合法权益或者不履行监护职责的案件，未成年人可以直接申请法律援助；与该争议事项无利害关系的其他法定代理人也可以代为申请法律援助。</w:t>
      </w:r>
    </w:p>
    <w:p w14:paraId="60A3FB06">
      <w:r>
        <w:rPr>
          <w:rFonts w:hint="eastAsia"/>
        </w:rPr>
        <w:t>未成年人保护委员会、学校或者居民委员会、村民委员会、妇女联合会、残疾人联合会等社会组织以及未成年人的亲属、邻居等可以帮助未成年人申请法律援助，或者支持未成年人提起诉讼。</w:t>
      </w:r>
    </w:p>
    <w:p w14:paraId="733E21F5">
      <w:pPr>
        <w:ind w:firstLine="422"/>
      </w:pPr>
      <w:r>
        <w:rPr>
          <w:rFonts w:hint="eastAsia"/>
          <w:b/>
        </w:rPr>
        <w:t>第六十七条</w:t>
      </w:r>
      <w:r>
        <w:rPr>
          <w:rFonts w:hint="eastAsia"/>
        </w:rPr>
        <w:t>　对被害人为未成年人的性侵害案件，公安机关、检察机关、审判机关在侦查、审查起诉、审判时，应当采取措施保护未成年人的隐私权和名誉权。</w:t>
      </w:r>
    </w:p>
    <w:p w14:paraId="5AB69534">
      <w:r>
        <w:rPr>
          <w:rFonts w:hint="eastAsia"/>
        </w:rPr>
        <w:t>公安机关、医疗机构、未成年人保护委员会、学校、家庭等应当及时采取救助措施，减轻未成年被害人生理、心理上的伤害。</w:t>
      </w:r>
    </w:p>
    <w:p w14:paraId="2961C5AD"/>
    <w:p w14:paraId="492E4CD0">
      <w:pPr>
        <w:ind w:firstLine="0" w:firstLineChars="0"/>
        <w:jc w:val="center"/>
        <w:rPr>
          <w:b/>
          <w:sz w:val="28"/>
        </w:rPr>
      </w:pPr>
      <w:r>
        <w:rPr>
          <w:rFonts w:hint="eastAsia"/>
          <w:b/>
          <w:sz w:val="28"/>
        </w:rPr>
        <w:t>第七章　奖励与处罚</w:t>
      </w:r>
    </w:p>
    <w:p w14:paraId="564FC6D4"/>
    <w:p w14:paraId="1B0E53D0">
      <w:pPr>
        <w:ind w:firstLine="422"/>
      </w:pPr>
      <w:r>
        <w:rPr>
          <w:rFonts w:hint="eastAsia"/>
          <w:b/>
        </w:rPr>
        <w:t>第六十八条</w:t>
      </w:r>
      <w:r>
        <w:rPr>
          <w:rFonts w:hint="eastAsia"/>
        </w:rPr>
        <w:t>　市和区、县人民政府以及有关部门，对有下列情形之一成绩显著的单位或者个人，给予精神鼓励、物质奖励：</w:t>
      </w:r>
    </w:p>
    <w:p w14:paraId="2132B8E2">
      <w:bookmarkStart w:id="2076" w:name="_Toc428780480"/>
      <w:r>
        <w:rPr>
          <w:rFonts w:hint="eastAsia"/>
        </w:rPr>
        <w:t>（一）保护未成年人合法权益免受不法侵害的；</w:t>
      </w:r>
      <w:bookmarkEnd w:id="2076"/>
    </w:p>
    <w:p w14:paraId="2C0406A7">
      <w:r>
        <w:rPr>
          <w:rFonts w:hint="eastAsia"/>
        </w:rPr>
        <w:t>（二）组织、指导未成年人开展文化、体育、科技活动的；</w:t>
      </w:r>
    </w:p>
    <w:p w14:paraId="1E30C980">
      <w:bookmarkStart w:id="2077" w:name="_Toc428780481"/>
      <w:r>
        <w:rPr>
          <w:rFonts w:hint="eastAsia"/>
        </w:rPr>
        <w:t>（三）创作有利于未成年人健康成长的优秀精神产品的；</w:t>
      </w:r>
      <w:bookmarkEnd w:id="2077"/>
    </w:p>
    <w:p w14:paraId="0FF4D830">
      <w:r>
        <w:rPr>
          <w:rFonts w:hint="eastAsia"/>
        </w:rPr>
        <w:t>（四）为未成年人提供、兴建活动场所及设施或者提供经济资助的；</w:t>
      </w:r>
    </w:p>
    <w:p w14:paraId="03B8257C">
      <w:r>
        <w:rPr>
          <w:rFonts w:hint="eastAsia"/>
        </w:rPr>
        <w:t>（五）对违法犯罪的未成年人进行教育、挽救的；</w:t>
      </w:r>
    </w:p>
    <w:p w14:paraId="029F40B3">
      <w:r>
        <w:rPr>
          <w:rFonts w:hint="eastAsia"/>
        </w:rPr>
        <w:t>（六）培训、安置残疾未成年人就学、就业的；</w:t>
      </w:r>
    </w:p>
    <w:p w14:paraId="4D695EC3">
      <w:r>
        <w:rPr>
          <w:rFonts w:hint="eastAsia"/>
        </w:rPr>
        <w:t>（七）培训、安置工读学校毕业生就学、就业的；</w:t>
      </w:r>
    </w:p>
    <w:p w14:paraId="336C09A7">
      <w:r>
        <w:rPr>
          <w:rFonts w:hint="eastAsia"/>
        </w:rPr>
        <w:t>（八）培训、安置刑满释放、解除收容教养、劳动教养的未成年人就学、就业的；</w:t>
      </w:r>
    </w:p>
    <w:p w14:paraId="4B87C1E4">
      <w:r>
        <w:rPr>
          <w:rFonts w:hint="eastAsia"/>
        </w:rPr>
        <w:t>（九）其他维护未成年人合法权益的。</w:t>
      </w:r>
    </w:p>
    <w:p w14:paraId="29410AEA">
      <w:pPr>
        <w:ind w:firstLine="422"/>
      </w:pPr>
      <w:r>
        <w:rPr>
          <w:rFonts w:hint="eastAsia"/>
          <w:b/>
        </w:rPr>
        <w:t>第六十九条</w:t>
      </w:r>
      <w:r>
        <w:rPr>
          <w:rFonts w:hint="eastAsia"/>
        </w:rPr>
        <w:t>　违反本条例第十六条规定，剥夺未成年人接受义务教育权利的，由教育行政部门给予批评教育，责令改正，并可以处</w:t>
      </w:r>
      <w:r>
        <w:rPr>
          <w:rFonts w:hint="eastAsia" w:ascii="宋体" w:hAnsi="宋体" w:eastAsia="宋体" w:cs="宋体"/>
        </w:rPr>
        <w:t>200元以上5000元以下</w:t>
      </w:r>
      <w:r>
        <w:rPr>
          <w:rFonts w:hint="eastAsia"/>
        </w:rPr>
        <w:t xml:space="preserve">罚款。 </w:t>
      </w:r>
    </w:p>
    <w:p w14:paraId="46BA6C38">
      <w:pPr>
        <w:ind w:firstLine="422"/>
      </w:pPr>
      <w:r>
        <w:rPr>
          <w:rFonts w:hint="eastAsia"/>
          <w:b/>
        </w:rPr>
        <w:t>第七十条</w:t>
      </w:r>
      <w:r>
        <w:rPr>
          <w:rFonts w:hint="eastAsia"/>
        </w:rPr>
        <w:t>　违反本条例第二十三条规定，对未成年人实施体罚或者有侮辱、诽谤、歧视、恐吓、贬损等言行的，视情节轻重，由其所在单位或者上级机关给予批评教育、行政处分或者解聘。</w:t>
      </w:r>
    </w:p>
    <w:p w14:paraId="3BE1BD81">
      <w:pPr>
        <w:ind w:firstLine="422"/>
      </w:pPr>
      <w:r>
        <w:rPr>
          <w:rFonts w:hint="eastAsia"/>
          <w:b/>
        </w:rPr>
        <w:t>第七十一条</w:t>
      </w:r>
      <w:r>
        <w:rPr>
          <w:rFonts w:hint="eastAsia"/>
        </w:rPr>
        <w:t>　违反本条例第二十七条第一款规定，学校、教师违反国家有关规定向学生收取费用和以罚款手段惩处违反校规的学生的，由教育行政部门责令退还所收费用；对直接负责的主管人员和其他直接责任人员，依法给予行政处分。</w:t>
      </w:r>
    </w:p>
    <w:p w14:paraId="0DDD21E5">
      <w:pPr>
        <w:ind w:firstLine="422"/>
      </w:pPr>
      <w:r>
        <w:rPr>
          <w:rFonts w:hint="eastAsia"/>
          <w:b/>
        </w:rPr>
        <w:t>第七十二条</w:t>
      </w:r>
      <w:r>
        <w:rPr>
          <w:rFonts w:hint="eastAsia"/>
        </w:rPr>
        <w:t>　违反本条例第三十九条规定，招用未成年人的，依照《中华人民共和国劳动法》和国务院颁布的《禁止使用童工的规定》予以处罚。</w:t>
      </w:r>
    </w:p>
    <w:p w14:paraId="750DD31C">
      <w:pPr>
        <w:ind w:firstLine="422"/>
      </w:pPr>
      <w:r>
        <w:rPr>
          <w:rFonts w:hint="eastAsia"/>
          <w:b/>
        </w:rPr>
        <w:t>第七十三条</w:t>
      </w:r>
      <w:r>
        <w:rPr>
          <w:rFonts w:hint="eastAsia"/>
        </w:rPr>
        <w:t>　违反本条例第四十三条第一款规定，出版、发行、复制或者以出售、出租等形式传播淫秽、暴力、邪教、迷信、赌博等有害于未成年人身心健康的视听读物的，依照《出版管理条例》的有关规定予以处罚。</w:t>
      </w:r>
    </w:p>
    <w:p w14:paraId="661CA708">
      <w:pPr>
        <w:ind w:firstLine="422"/>
      </w:pPr>
      <w:r>
        <w:rPr>
          <w:rFonts w:hint="eastAsia"/>
          <w:b/>
        </w:rPr>
        <w:t>第七十四条</w:t>
      </w:r>
      <w:r>
        <w:rPr>
          <w:rFonts w:hint="eastAsia"/>
        </w:rPr>
        <w:t>　违反本条例第四十六条第二款规定，生产、销售的产品没有警示标志或者中文警示说明的，由产品质量监督部门或者工商行政管理部门责令改正；情节严重的，依照《中华人民共和国产品质量法》的有关规定予以处罚。</w:t>
      </w:r>
    </w:p>
    <w:p w14:paraId="695D1A36">
      <w:pPr>
        <w:ind w:firstLine="422"/>
      </w:pPr>
      <w:r>
        <w:rPr>
          <w:rFonts w:hint="eastAsia"/>
          <w:b/>
        </w:rPr>
        <w:t>第七十五条</w:t>
      </w:r>
      <w:r>
        <w:rPr>
          <w:rFonts w:hint="eastAsia"/>
        </w:rPr>
        <w:t>　违反本条例第四十七条的规定，法律、法规规定禁止未成年人进入的互联网上网服务营业场所以及营业性舞厅、歌厅等场所，不设未成年人禁入标志或者允许未成年人进入的，依照《中华人民共和国预防未成年人犯罪法》、《娱乐市场管理条例》、《互联网上网服务营业场所管理条例》的有关规定予以处罚。</w:t>
      </w:r>
    </w:p>
    <w:p w14:paraId="3A3EEE7E">
      <w:pPr>
        <w:ind w:firstLine="422"/>
      </w:pPr>
      <w:r>
        <w:rPr>
          <w:rFonts w:hint="eastAsia"/>
          <w:b/>
        </w:rPr>
        <w:t>第七十六条</w:t>
      </w:r>
      <w:r>
        <w:rPr>
          <w:rFonts w:hint="eastAsia"/>
        </w:rPr>
        <w:t>　侵犯未成年人的合法权益，对其造成财产损失或者其他损失、损害的，应当依法赔偿或者承担其他民事责任，属于违反治安管理的行为，依照《中华人民共和国治安管理处罚条例》予以处罚；构成犯罪的，依法追究刑事责任。</w:t>
      </w:r>
    </w:p>
    <w:p w14:paraId="376F1E3B"/>
    <w:p w14:paraId="039401A0">
      <w:pPr>
        <w:ind w:firstLine="0" w:firstLineChars="0"/>
        <w:jc w:val="center"/>
        <w:rPr>
          <w:b/>
          <w:sz w:val="28"/>
        </w:rPr>
      </w:pPr>
      <w:r>
        <w:rPr>
          <w:rFonts w:hint="eastAsia"/>
          <w:b/>
          <w:sz w:val="28"/>
        </w:rPr>
        <w:t>第八章  附  则</w:t>
      </w:r>
    </w:p>
    <w:p w14:paraId="577F2EF0"/>
    <w:p w14:paraId="21CB5F9E">
      <w:pPr>
        <w:ind w:firstLine="422"/>
      </w:pPr>
      <w:r>
        <w:rPr>
          <w:rFonts w:hint="eastAsia"/>
          <w:b/>
        </w:rPr>
        <w:t>第七十七条</w:t>
      </w:r>
      <w:r>
        <w:rPr>
          <w:rFonts w:hint="eastAsia"/>
        </w:rPr>
        <w:t>　本条例</w:t>
      </w:r>
      <w:r>
        <w:rPr>
          <w:rFonts w:hint="eastAsia" w:ascii="宋体" w:hAnsi="宋体" w:eastAsia="宋体" w:cs="宋体"/>
        </w:rPr>
        <w:t>自2004年1月1日起施</w:t>
      </w:r>
      <w:r>
        <w:rPr>
          <w:rFonts w:hint="eastAsia"/>
        </w:rPr>
        <w:t>行。</w:t>
      </w:r>
    </w:p>
    <w:p w14:paraId="34D78331">
      <w:pPr>
        <w:pStyle w:val="4"/>
        <w:pageBreakBefore/>
      </w:pPr>
      <w:bookmarkStart w:id="2078" w:name="_Toc428781801"/>
      <w:bookmarkStart w:id="2079" w:name="_Toc428780482"/>
      <w:bookmarkStart w:id="2080" w:name="_Toc426467053"/>
      <w:r>
        <w:rPr>
          <w:rFonts w:hint="eastAsia"/>
        </w:rPr>
        <w:t>北京市实施《中华人民共和国</w:t>
      </w:r>
      <w:bookmarkEnd w:id="2078"/>
      <w:bookmarkEnd w:id="2079"/>
      <w:bookmarkEnd w:id="2080"/>
    </w:p>
    <w:p w14:paraId="52139C46">
      <w:pPr>
        <w:pStyle w:val="4"/>
      </w:pPr>
      <w:bookmarkStart w:id="2081" w:name="_Toc428781802"/>
      <w:bookmarkStart w:id="2082" w:name="_Toc426467054"/>
      <w:bookmarkStart w:id="2083" w:name="_Toc428780483"/>
      <w:r>
        <w:rPr>
          <w:rFonts w:hint="eastAsia"/>
        </w:rPr>
        <w:t>归侨侨眷权益保护法》办法</w:t>
      </w:r>
      <w:bookmarkEnd w:id="2081"/>
      <w:bookmarkEnd w:id="2082"/>
      <w:bookmarkEnd w:id="2083"/>
    </w:p>
    <w:p w14:paraId="5F0A69AB">
      <w:pPr>
        <w:ind w:left="630" w:leftChars="300" w:right="630" w:rightChars="300"/>
        <w:rPr>
          <w:rFonts w:ascii="楷体" w:hAnsi="楷体" w:eastAsia="楷体"/>
        </w:rPr>
      </w:pPr>
      <w:r>
        <w:rPr>
          <w:rFonts w:hint="eastAsia" w:ascii="楷体" w:hAnsi="楷体" w:eastAsia="楷体"/>
        </w:rPr>
        <w:t>（1994年1月14日北京市第十届人民代表大会常务委员会第八次会议通过　根据2005年10月20日北京市第十二届人民代表大会常务委员会第二十三次会议《关于修改〈北京市实施中华人民共和国归侨侨眷权益保护法办法〉的决定》修正）</w:t>
      </w:r>
    </w:p>
    <w:p w14:paraId="228C311A"/>
    <w:p w14:paraId="2EEEE42E">
      <w:pPr>
        <w:ind w:firstLine="422"/>
      </w:pPr>
      <w:r>
        <w:rPr>
          <w:rFonts w:hint="eastAsia"/>
          <w:b/>
        </w:rPr>
        <w:t>第一条</w:t>
      </w:r>
      <w:r>
        <w:rPr>
          <w:rFonts w:hint="eastAsia"/>
        </w:rPr>
        <w:t xml:space="preserve">  为了保护归侨、侨眷的合法权益，根据《中华人民共和国归侨侨眷权益保护法》和《中华人民共和国归侨侨眷权益保护法实施办法》，结合本市实际情况，制定本办法。</w:t>
      </w:r>
    </w:p>
    <w:p w14:paraId="6658FA66">
      <w:pPr>
        <w:ind w:firstLine="422"/>
      </w:pPr>
      <w:r>
        <w:rPr>
          <w:rFonts w:hint="eastAsia"/>
          <w:b/>
        </w:rPr>
        <w:t>第二条</w:t>
      </w:r>
      <w:r>
        <w:rPr>
          <w:rFonts w:hint="eastAsia"/>
        </w:rPr>
        <w:t xml:space="preserve">  归侨、侨眷享有宪法和法律赋予的公民的权利，履行宪法和法律规定的公民的义务，任何组织和个人不得歧视。</w:t>
      </w:r>
    </w:p>
    <w:p w14:paraId="2310D7E9">
      <w:pPr>
        <w:ind w:firstLine="422"/>
      </w:pPr>
      <w:r>
        <w:rPr>
          <w:rFonts w:hint="eastAsia"/>
          <w:b/>
        </w:rPr>
        <w:t>第三条</w:t>
      </w:r>
      <w:r>
        <w:rPr>
          <w:rFonts w:hint="eastAsia"/>
        </w:rPr>
        <w:t xml:space="preserve">  市和区、县人民政府应当重视和加强归侨、侨眷合法权益的保护工作。</w:t>
      </w:r>
    </w:p>
    <w:p w14:paraId="33F6FBAB">
      <w:r>
        <w:rPr>
          <w:rFonts w:hint="eastAsia"/>
        </w:rPr>
        <w:t>市和区、县人民政府负责侨务工作的机构应当组织协调有关部门做好保护归侨、侨眷合法权益的工作，并组织开展本行政区域内归侨、侨眷权益保护的法律、法规执行情况的监督、检查。</w:t>
      </w:r>
    </w:p>
    <w:p w14:paraId="0377815B">
      <w:r>
        <w:rPr>
          <w:rFonts w:hint="eastAsia"/>
        </w:rPr>
        <w:t>市和区、县人民政府的有关部门应当在各自的职责范围内做好归侨、侨眷合法权益的保护工作。</w:t>
      </w:r>
    </w:p>
    <w:p w14:paraId="75B5B92F">
      <w:pPr>
        <w:ind w:firstLine="422"/>
      </w:pPr>
      <w:r>
        <w:rPr>
          <w:rFonts w:hint="eastAsia"/>
          <w:b/>
        </w:rPr>
        <w:t>第四条</w:t>
      </w:r>
      <w:r>
        <w:rPr>
          <w:rFonts w:hint="eastAsia"/>
        </w:rPr>
        <w:t xml:space="preserve">  归侨是指回国定居的华侨。华侨是指定居在国外的中国公民。</w:t>
      </w:r>
    </w:p>
    <w:p w14:paraId="0E662DDB">
      <w:r>
        <w:rPr>
          <w:rFonts w:hint="eastAsia"/>
        </w:rPr>
        <w:t>侨眷是指华侨、归侨在国内的眷属。</w:t>
      </w:r>
    </w:p>
    <w:p w14:paraId="6ABAD9CE">
      <w:r>
        <w:rPr>
          <w:rFonts w:hint="eastAsia"/>
        </w:rPr>
        <w:t>本办法所称侨眷包括：华侨、归侨的配偶，父母，子女及其配偶，兄弟姐妹，祖父母、外祖父母，孙子女、外孙子女，以及同华侨、归侨有</w:t>
      </w:r>
      <w:r>
        <w:rPr>
          <w:rFonts w:hint="eastAsia" w:ascii="宋体" w:hAnsi="宋体" w:eastAsia="宋体" w:cs="宋体"/>
        </w:rPr>
        <w:t>5</w:t>
      </w:r>
      <w:r>
        <w:rPr>
          <w:rFonts w:hint="eastAsia"/>
        </w:rPr>
        <w:t>年以上扶养关系的其他亲属。</w:t>
      </w:r>
    </w:p>
    <w:p w14:paraId="7588ED9F">
      <w:r>
        <w:rPr>
          <w:rFonts w:hint="eastAsia"/>
        </w:rPr>
        <w:t>本市归侨、侨眷的身份，由其常住户口所在地的区、县人民政府侨务工作机构根据本人申请审核认定。必要时，可以由市人民政府侨务工作机构认定。</w:t>
      </w:r>
    </w:p>
    <w:p w14:paraId="1C31D5A5">
      <w:pPr>
        <w:ind w:firstLine="422"/>
      </w:pPr>
      <w:r>
        <w:rPr>
          <w:rFonts w:hint="eastAsia"/>
          <w:b/>
        </w:rPr>
        <w:t>第五条</w:t>
      </w:r>
      <w:r>
        <w:rPr>
          <w:rFonts w:hint="eastAsia"/>
        </w:rPr>
        <w:t xml:space="preserve">  市人民代表大会和归侨、侨眷人数较多的区、县的人民代表大会应当有适当名额的归侨、侨眷代表。</w:t>
      </w:r>
    </w:p>
    <w:p w14:paraId="3FFF7B45">
      <w:pPr>
        <w:ind w:firstLine="422"/>
      </w:pPr>
      <w:r>
        <w:rPr>
          <w:rFonts w:hint="eastAsia"/>
          <w:b/>
        </w:rPr>
        <w:t>第六条</w:t>
      </w:r>
      <w:r>
        <w:rPr>
          <w:rFonts w:hint="eastAsia"/>
        </w:rPr>
        <w:t xml:space="preserve">  北京市归国华侨联合会及其各级组织是本市归侨、侨眷组成的人民团体，按照其章程进行活动，维护归侨、侨眷的合法权益。</w:t>
      </w:r>
    </w:p>
    <w:p w14:paraId="68C9A14C">
      <w:r>
        <w:rPr>
          <w:rFonts w:hint="eastAsia"/>
        </w:rPr>
        <w:t>归侨、侨眷可以依法组织其他社会团体。</w:t>
      </w:r>
    </w:p>
    <w:p w14:paraId="427588A9">
      <w:pPr>
        <w:ind w:firstLine="422"/>
      </w:pPr>
      <w:r>
        <w:rPr>
          <w:rFonts w:hint="eastAsia"/>
          <w:b/>
        </w:rPr>
        <w:t>第七条</w:t>
      </w:r>
      <w:r>
        <w:rPr>
          <w:rFonts w:hint="eastAsia"/>
        </w:rPr>
        <w:t xml:space="preserve">  本市各级人民政府对归侨、侨眷投资兴办的企业，应当给予支持，对其遇到的特殊困难，侨务工作机构应当会同有关部门协助解决。任何单位和个人不得侵犯或者干预企业经营自主权。</w:t>
      </w:r>
    </w:p>
    <w:p w14:paraId="5927C180">
      <w:pPr>
        <w:ind w:firstLine="422"/>
      </w:pPr>
      <w:r>
        <w:rPr>
          <w:rFonts w:hint="eastAsia"/>
          <w:b/>
        </w:rPr>
        <w:t>第八条</w:t>
      </w:r>
      <w:r>
        <w:rPr>
          <w:rFonts w:hint="eastAsia"/>
        </w:rPr>
        <w:t xml:space="preserve">  归侨、侨眷在本市依法兴办医院、托幼园所、敬老院等公益事业，各级人民政府和有关部门应当给予支持，其合法权益受法律保护。</w:t>
      </w:r>
    </w:p>
    <w:p w14:paraId="30F06C4C">
      <w:r>
        <w:rPr>
          <w:rFonts w:hint="eastAsia"/>
        </w:rPr>
        <w:t>归侨、侨眷境外亲友捐赠的物资用于国内公益事业的，依照法律、行政法规的规定减征或者免征关税和进口环节的增值税。用于公益事业的捐赠物资、款项的使用，应当尊重捐赠人的意愿，不得随意挪用或者改变使用性质。</w:t>
      </w:r>
    </w:p>
    <w:p w14:paraId="0E9A88EE">
      <w:pPr>
        <w:ind w:firstLine="422"/>
      </w:pPr>
      <w:r>
        <w:rPr>
          <w:rFonts w:hint="eastAsia"/>
          <w:b/>
        </w:rPr>
        <w:t>第九条</w:t>
      </w:r>
      <w:r>
        <w:rPr>
          <w:rFonts w:hint="eastAsia"/>
        </w:rPr>
        <w:t xml:space="preserve">  侨汇是归侨、侨眷的合法收入，其所有权受法律保护，依法享受有关免税的待遇；归侨、侨眷有使用侨汇的自由，任何单位和个人不得侵占、克扣、延迟支付、强行借贷或者非法冻结、没收。</w:t>
      </w:r>
    </w:p>
    <w:p w14:paraId="74DB8ED4">
      <w:pPr>
        <w:ind w:firstLine="422"/>
      </w:pPr>
      <w:r>
        <w:rPr>
          <w:rFonts w:hint="eastAsia"/>
          <w:b/>
        </w:rPr>
        <w:t>第十条</w:t>
      </w:r>
      <w:r>
        <w:rPr>
          <w:rFonts w:hint="eastAsia"/>
        </w:rPr>
        <w:t xml:space="preserve">  归侨、侨眷在本市私有房屋的所有权受国家保护。归侨、侨眷对其私有房屋，享有占有、使用、收益和处分的权利，任何单位和个人不得侵犯。</w:t>
      </w:r>
    </w:p>
    <w:p w14:paraId="3C3EA5EE">
      <w:r>
        <w:rPr>
          <w:rFonts w:hint="eastAsia"/>
        </w:rPr>
        <w:t>租赁归侨、侨眷的私有房屋，租赁双方应当按照国家有关规定签订租赁合同，并到房屋所在地的房产管理部门登记备案。租赁双方必须认真履行租赁合同。租赁合同终止时，出租人有权收回出租房屋。</w:t>
      </w:r>
    </w:p>
    <w:p w14:paraId="7FD0E12B">
      <w:pPr>
        <w:ind w:firstLine="422"/>
      </w:pPr>
      <w:r>
        <w:rPr>
          <w:rFonts w:hint="eastAsia"/>
          <w:b/>
        </w:rPr>
        <w:t>第十一条</w:t>
      </w:r>
      <w:r>
        <w:rPr>
          <w:rFonts w:hint="eastAsia"/>
        </w:rPr>
        <w:t xml:space="preserve">  依法征用、拆迁归侨、侨眷私有房屋的，建设单位应当按照国家和本市的规定给予相应补偿和妥善安置，并给予适当照顾。</w:t>
      </w:r>
    </w:p>
    <w:p w14:paraId="3D5BC437">
      <w:pPr>
        <w:ind w:firstLine="422"/>
      </w:pPr>
      <w:r>
        <w:rPr>
          <w:rFonts w:hint="eastAsia"/>
          <w:b/>
        </w:rPr>
        <w:t>第十二条</w:t>
      </w:r>
      <w:r>
        <w:rPr>
          <w:rFonts w:hint="eastAsia"/>
        </w:rPr>
        <w:t xml:space="preserve">  对在社会主义建设中有突出贡献的归侨、侨眷，对维护归侨、侨眷合法权益做出显著成绩的单位和个人，人民政府应当给予表彰和奖励。</w:t>
      </w:r>
    </w:p>
    <w:p w14:paraId="7A796E9E">
      <w:pPr>
        <w:ind w:firstLine="422"/>
      </w:pPr>
      <w:r>
        <w:rPr>
          <w:rFonts w:hint="eastAsia"/>
          <w:b/>
        </w:rPr>
        <w:t>第十三条</w:t>
      </w:r>
      <w:r>
        <w:rPr>
          <w:rFonts w:hint="eastAsia"/>
        </w:rPr>
        <w:t xml:space="preserve">  市和区、县人民政府的有关部门对归侨、侨眷贫困户给予帮助，对其生产、就业给予扶持。对无劳动能力又无其他经济来源或者生活确有困难的归侨、侨眷，由民政、侨务部门给予救济、照顾，妥善安置。</w:t>
      </w:r>
    </w:p>
    <w:p w14:paraId="1CEB17EC">
      <w:pPr>
        <w:ind w:firstLine="422"/>
      </w:pPr>
      <w:r>
        <w:rPr>
          <w:rFonts w:hint="eastAsia"/>
          <w:b/>
        </w:rPr>
        <w:t>第十四条</w:t>
      </w:r>
      <w:r>
        <w:rPr>
          <w:rFonts w:hint="eastAsia"/>
        </w:rPr>
        <w:t>　本市的归侨学生、归侨子女和华侨在国内的子女报考本市行政区域内非义务教育的各级各类学校，按照招生的有关规定，给予照顾。</w:t>
      </w:r>
    </w:p>
    <w:p w14:paraId="4D12E1CC">
      <w:pPr>
        <w:ind w:firstLine="422"/>
      </w:pPr>
      <w:r>
        <w:rPr>
          <w:rFonts w:hint="eastAsia"/>
          <w:b/>
        </w:rPr>
        <w:t>第十五条</w:t>
      </w:r>
      <w:r>
        <w:rPr>
          <w:rFonts w:hint="eastAsia"/>
        </w:rPr>
        <w:t>　华侨学生要求来本市上中小学的，由其常住户口在本市的监护人提出申请，有关部门按照国家和本市的规定办理手续。</w:t>
      </w:r>
    </w:p>
    <w:p w14:paraId="29C1DA4A">
      <w:pPr>
        <w:ind w:firstLine="422"/>
      </w:pPr>
      <w:r>
        <w:rPr>
          <w:rFonts w:hint="eastAsia"/>
          <w:b/>
        </w:rPr>
        <w:t>第十六条</w:t>
      </w:r>
      <w:r>
        <w:rPr>
          <w:rFonts w:hint="eastAsia"/>
        </w:rPr>
        <w:t>　国家机关、社会团体和国有企业、事业单位招用职工时，在同等条件下，应当优先录用归侨学生、归侨子女和华侨在国内的子女。</w:t>
      </w:r>
    </w:p>
    <w:p w14:paraId="742A1F1D">
      <w:r>
        <w:rPr>
          <w:rFonts w:hint="eastAsia"/>
        </w:rPr>
        <w:t>归侨学生、归侨子女和华侨在国内的子女组织起来就业和自谋职业的，有关部门应当给予扶持。</w:t>
      </w:r>
    </w:p>
    <w:p w14:paraId="713E72E4">
      <w:pPr>
        <w:ind w:firstLine="422"/>
      </w:pPr>
      <w:r>
        <w:rPr>
          <w:rFonts w:hint="eastAsia"/>
          <w:b/>
        </w:rPr>
        <w:t>第十七条</w:t>
      </w:r>
      <w:r>
        <w:rPr>
          <w:rFonts w:hint="eastAsia"/>
        </w:rPr>
        <w:t>　归侨、侨眷申请自费出国留学，其所在单位或者院校应当在该申请人取得留学国家入境签证后，按照国家以及本市规定为其办理离职或者离校手续。</w:t>
      </w:r>
    </w:p>
    <w:p w14:paraId="4B7A73D5">
      <w:r>
        <w:rPr>
          <w:rFonts w:hint="eastAsia"/>
        </w:rPr>
        <w:t>在校学生获准自费出国留学的，保留学籍一年；在职人员获准自费出国留学的，从办理离职手续的下一个月起停发工资，保留公职一年。保留学籍或者保留公职的时间，均从办理离校或者离职手续之日算起。</w:t>
      </w:r>
    </w:p>
    <w:p w14:paraId="35A542CA">
      <w:r>
        <w:rPr>
          <w:rFonts w:hint="eastAsia"/>
        </w:rPr>
        <w:t>归侨、侨眷自费留学人员学成回国来京工作的，按照同类同等学历公派出国学习人员的有关规定办理。</w:t>
      </w:r>
    </w:p>
    <w:p w14:paraId="01493570">
      <w:pPr>
        <w:ind w:firstLine="422"/>
      </w:pPr>
      <w:r>
        <w:rPr>
          <w:rFonts w:hint="eastAsia"/>
          <w:b/>
        </w:rPr>
        <w:t>第十八条</w:t>
      </w:r>
      <w:r>
        <w:rPr>
          <w:rFonts w:hint="eastAsia"/>
        </w:rPr>
        <w:t>　归侨、侨眷出境定居，公安机关应当按照规定办理手续;其所在单位或者学校应当在该申请人取得定居国家入境签证后，按照国家和本市的规定办理离职或者退学手续。</w:t>
      </w:r>
    </w:p>
    <w:p w14:paraId="601C16F6">
      <w:pPr>
        <w:ind w:firstLine="422"/>
      </w:pPr>
      <w:r>
        <w:rPr>
          <w:rFonts w:hint="eastAsia"/>
          <w:b/>
        </w:rPr>
        <w:t>第十九条</w:t>
      </w:r>
      <w:r>
        <w:rPr>
          <w:rFonts w:hint="eastAsia"/>
        </w:rPr>
        <w:t>　本市有关部门和单位应当保障归侨、侨眷享受国家规定的出境探亲权利，不得附加国家规定以外的任何条件，限制、损害归侨、侨眷的合法权利。</w:t>
      </w:r>
    </w:p>
    <w:p w14:paraId="4577DDF9">
      <w:r>
        <w:rPr>
          <w:rFonts w:hint="eastAsia"/>
        </w:rPr>
        <w:t>父母均已去世的归侨，出境探望其兄弟姐妹的，按照已婚归侨探望父母的规定执行。</w:t>
      </w:r>
    </w:p>
    <w:p w14:paraId="010338DB">
      <w:r>
        <w:rPr>
          <w:rFonts w:hint="eastAsia"/>
        </w:rPr>
        <w:t>年老的归侨探亲时，其享受的探亲待遇可以适当照顾。</w:t>
      </w:r>
    </w:p>
    <w:p w14:paraId="2D189F98">
      <w:r>
        <w:rPr>
          <w:rFonts w:hint="eastAsia"/>
        </w:rPr>
        <w:t>归侨、侨眷职工不能出国探亲，其配偶或者父母又不能回国会亲时，可以改探国内的抚养人、配偶的父母，或者改为会见国外回来会亲的兄弟姐妹，其探亲待遇按照国家和本市有关规定执行。</w:t>
      </w:r>
    </w:p>
    <w:p w14:paraId="69278F1B">
      <w:pPr>
        <w:ind w:firstLine="422"/>
      </w:pPr>
      <w:r>
        <w:rPr>
          <w:rFonts w:hint="eastAsia"/>
          <w:b/>
        </w:rPr>
        <w:t>第二十条</w:t>
      </w:r>
      <w:r>
        <w:rPr>
          <w:rFonts w:hint="eastAsia"/>
        </w:rPr>
        <w:t>　归侨、侨眷与境外亲友的联系和往来、通信自由和秘密以及互相馈赠受法律保护，任何组织或者个人不得限制和干涉。</w:t>
      </w:r>
    </w:p>
    <w:p w14:paraId="7889B93C">
      <w:pPr>
        <w:ind w:firstLine="422"/>
      </w:pPr>
      <w:r>
        <w:rPr>
          <w:rFonts w:hint="eastAsia"/>
          <w:b/>
        </w:rPr>
        <w:t>第二十一条</w:t>
      </w:r>
      <w:r>
        <w:rPr>
          <w:rFonts w:hint="eastAsia"/>
        </w:rPr>
        <w:t>　归侨、侨眷继承国外亲友遗产、接受国外亲友遗赠或者赠与以及处分其在境外的财产，按照国家规定予以保护。</w:t>
      </w:r>
    </w:p>
    <w:p w14:paraId="1E1ED220">
      <w:r>
        <w:rPr>
          <w:rFonts w:hint="eastAsia"/>
        </w:rPr>
        <w:t>归侨、侨眷接受或者处分境外财产，以及在国外有养老金、退休金、抚恤金等需要领取的，有关单位应当按照国家规定给予协助。归侨、侨眷确需出境办理上述事宜的，有关单位应当按照出境的规定从速给予批准。</w:t>
      </w:r>
    </w:p>
    <w:p w14:paraId="0EEFC32E">
      <w:r>
        <w:rPr>
          <w:rFonts w:hint="eastAsia"/>
        </w:rPr>
        <w:t>归侨、侨眷在国外拥有的财产，本人要求调回国内的，按照国家规定办理。其财产转换成外汇调入国内的，依法享受有关免税的待遇。</w:t>
      </w:r>
    </w:p>
    <w:p w14:paraId="4B6952BB">
      <w:pPr>
        <w:ind w:firstLine="422"/>
      </w:pPr>
      <w:r>
        <w:rPr>
          <w:rFonts w:hint="eastAsia"/>
          <w:b/>
        </w:rPr>
        <w:t>第二十二条</w:t>
      </w:r>
      <w:r>
        <w:rPr>
          <w:rFonts w:hint="eastAsia"/>
        </w:rPr>
        <w:t>　本市有关部门和单位在办理归侨、侨眷出境、自费留学、探亲、升学等手续时，不得收取国家和本市规定以外的费用。</w:t>
      </w:r>
    </w:p>
    <w:p w14:paraId="1B06EE19">
      <w:pPr>
        <w:ind w:firstLine="422"/>
      </w:pPr>
      <w:r>
        <w:rPr>
          <w:rFonts w:hint="eastAsia"/>
          <w:b/>
        </w:rPr>
        <w:t>第二十三条</w:t>
      </w:r>
      <w:r>
        <w:rPr>
          <w:rFonts w:hint="eastAsia"/>
        </w:rPr>
        <w:t>　归侨、侨眷合法权益受到侵犯时，有权要求有关主管部门依法处理，或者依法向人民法院提起诉讼。任何组织和个人不得压制或者阻挠。</w:t>
      </w:r>
    </w:p>
    <w:p w14:paraId="510B586C">
      <w:r>
        <w:rPr>
          <w:rFonts w:hint="eastAsia"/>
        </w:rPr>
        <w:t>对归侨、侨眷提出的意见、建议、投诉请求，有关行政主管部门应当按照国家和本市的有关规定依法及时处理。</w:t>
      </w:r>
    </w:p>
    <w:p w14:paraId="6869BC4F">
      <w:pPr>
        <w:ind w:firstLine="422"/>
      </w:pPr>
      <w:r>
        <w:rPr>
          <w:rFonts w:hint="eastAsia"/>
          <w:b/>
        </w:rPr>
        <w:t>第二十四条</w:t>
      </w:r>
      <w:r>
        <w:rPr>
          <w:rFonts w:hint="eastAsia"/>
        </w:rPr>
        <w:t>　国家机关工作人员侵害归侨、侨眷合法权益的，其所在工作单位或者有关主管机关应当责令其停止侵害，限期改正，并视其情节轻重，给予批评教育或者行政处分；造成经济损失的，应当依法给予赔偿；构成犯罪的，依法追究刑事责任。</w:t>
      </w:r>
    </w:p>
    <w:p w14:paraId="1E610E6D">
      <w:pPr>
        <w:ind w:firstLine="422"/>
      </w:pPr>
      <w:r>
        <w:rPr>
          <w:rFonts w:hint="eastAsia"/>
          <w:b/>
        </w:rPr>
        <w:t>第二十五条</w:t>
      </w:r>
      <w:r>
        <w:rPr>
          <w:rFonts w:hint="eastAsia"/>
        </w:rPr>
        <w:t>　本办法自公布之日起施行。</w:t>
      </w:r>
    </w:p>
    <w:p w14:paraId="11236049">
      <w:pPr>
        <w:pStyle w:val="4"/>
        <w:pageBreakBefore/>
      </w:pPr>
      <w:bookmarkStart w:id="2084" w:name="_Toc426467055"/>
      <w:bookmarkStart w:id="2085" w:name="_Toc428780484"/>
      <w:bookmarkStart w:id="2086" w:name="_Toc428781803"/>
      <w:r>
        <w:rPr>
          <w:rFonts w:hint="eastAsia"/>
        </w:rPr>
        <w:t>北京市实施《中华人民共和国妇女权益保障法》办法</w:t>
      </w:r>
      <w:bookmarkEnd w:id="2084"/>
      <w:bookmarkEnd w:id="2085"/>
      <w:bookmarkEnd w:id="2086"/>
    </w:p>
    <w:p w14:paraId="30922CEC">
      <w:pPr>
        <w:ind w:left="630" w:leftChars="300" w:right="630" w:rightChars="300"/>
        <w:rPr>
          <w:rFonts w:ascii="楷体" w:hAnsi="楷体" w:eastAsia="楷体"/>
        </w:rPr>
      </w:pPr>
      <w:r>
        <w:rPr>
          <w:rFonts w:hint="eastAsia" w:ascii="楷体" w:hAnsi="楷体" w:eastAsia="楷体"/>
        </w:rPr>
        <w:t>（1994年5月21日北京市第十届人民代表大会常务委员会第十次会议通过　2009年9月25日北京市第十三届人民代表大会常务委员会第十三次会议修订）</w:t>
      </w:r>
    </w:p>
    <w:p w14:paraId="57593A34"/>
    <w:p w14:paraId="2B13531D">
      <w:pPr>
        <w:ind w:firstLine="0" w:firstLineChars="0"/>
        <w:jc w:val="center"/>
        <w:rPr>
          <w:b/>
          <w:sz w:val="28"/>
        </w:rPr>
      </w:pPr>
      <w:r>
        <w:rPr>
          <w:rFonts w:hint="eastAsia"/>
          <w:b/>
          <w:sz w:val="28"/>
        </w:rPr>
        <w:t>第一章　总　则</w:t>
      </w:r>
    </w:p>
    <w:p w14:paraId="77584C85"/>
    <w:p w14:paraId="37E63167">
      <w:pPr>
        <w:ind w:firstLine="422"/>
      </w:pPr>
      <w:r>
        <w:rPr>
          <w:rFonts w:hint="eastAsia"/>
          <w:b/>
        </w:rPr>
        <w:t>第一条</w:t>
      </w:r>
      <w:r>
        <w:rPr>
          <w:rFonts w:hint="eastAsia"/>
        </w:rPr>
        <w:t xml:space="preserve">  为了实施《中华人民共和国妇女权益保障法》，结合本市实际情况，制定本办法。</w:t>
      </w:r>
    </w:p>
    <w:p w14:paraId="4F993661">
      <w:pPr>
        <w:ind w:firstLine="422"/>
      </w:pPr>
      <w:r>
        <w:rPr>
          <w:rFonts w:hint="eastAsia"/>
          <w:b/>
        </w:rPr>
        <w:t>第二条</w:t>
      </w:r>
      <w:r>
        <w:rPr>
          <w:rFonts w:hint="eastAsia"/>
        </w:rPr>
        <w:t xml:space="preserve">  本市国家机关、社会团体、企业事业单位、城乡基层群众性自治组织、其他组织和公民，应当依照《中华人民共和国妇女权益保障法》、有关法律法规和本办法的规定，保障妇女权益。</w:t>
      </w:r>
    </w:p>
    <w:p w14:paraId="71EC518A">
      <w:pPr>
        <w:ind w:firstLine="422"/>
      </w:pPr>
      <w:r>
        <w:rPr>
          <w:rFonts w:hint="eastAsia"/>
          <w:b/>
        </w:rPr>
        <w:t>第三条</w:t>
      </w:r>
      <w:r>
        <w:rPr>
          <w:rFonts w:hint="eastAsia"/>
        </w:rPr>
        <w:t xml:space="preserve">  妇女在政治、经济、文化、社会和家庭生活等各方面享有同男子平等的权利。</w:t>
      </w:r>
    </w:p>
    <w:p w14:paraId="233F743E">
      <w:r>
        <w:rPr>
          <w:rFonts w:hint="eastAsia"/>
        </w:rPr>
        <w:t>实行男女平等是国家的基本国策。本市采取必要措施，逐步完善保障妇女权益的各项制度，消除对妇女一切形式的歧视。</w:t>
      </w:r>
    </w:p>
    <w:p w14:paraId="3C314AA7">
      <w:pPr>
        <w:ind w:firstLine="422"/>
      </w:pPr>
      <w:r>
        <w:rPr>
          <w:rFonts w:hint="eastAsia"/>
          <w:b/>
        </w:rPr>
        <w:t>第四条</w:t>
      </w:r>
      <w:r>
        <w:rPr>
          <w:rFonts w:hint="eastAsia"/>
        </w:rPr>
        <w:t xml:space="preserve">  本市鼓励妇女自尊、自信、自立、自强，运用法律维护自身权益。</w:t>
      </w:r>
    </w:p>
    <w:p w14:paraId="045067D6">
      <w:r>
        <w:rPr>
          <w:rFonts w:hint="eastAsia"/>
        </w:rPr>
        <w:t>妇女应当遵守国家法律，尊重社会公德，履行法律所规定的义务。</w:t>
      </w:r>
    </w:p>
    <w:p w14:paraId="4AB714B6">
      <w:pPr>
        <w:ind w:firstLine="422"/>
      </w:pPr>
      <w:r>
        <w:rPr>
          <w:rFonts w:hint="eastAsia"/>
          <w:b/>
        </w:rPr>
        <w:t>第五条</w:t>
      </w:r>
      <w:r>
        <w:rPr>
          <w:rFonts w:hint="eastAsia"/>
        </w:rPr>
        <w:t xml:space="preserve">  市和区、县人民政府应当重视和加强妇女权益保障工作，制定本行政区域妇女发展规划，并将其纳入国民经济和社会发展规划；妇女权益保障工作的经费应当列入本级财政预算。</w:t>
      </w:r>
    </w:p>
    <w:p w14:paraId="6C26EFFB">
      <w:r>
        <w:rPr>
          <w:rFonts w:hint="eastAsia"/>
        </w:rPr>
        <w:t>市和区、县人民政府的妇女工作机构，负责组织、协调、指导、督促有关部门做好妇女权益保障工作，其主要职责是：</w:t>
      </w:r>
    </w:p>
    <w:p w14:paraId="6A7077DF">
      <w:bookmarkStart w:id="2087" w:name="_Toc428780485"/>
      <w:r>
        <w:rPr>
          <w:rFonts w:hint="eastAsia"/>
        </w:rPr>
        <w:t>（一）组织宣传男女平等基本国策及保障妇女权益的法律、法规；</w:t>
      </w:r>
      <w:bookmarkEnd w:id="2087"/>
    </w:p>
    <w:p w14:paraId="694DE2CD">
      <w:r>
        <w:rPr>
          <w:rFonts w:hint="eastAsia"/>
        </w:rPr>
        <w:t>（二）组织实施保障妇女权益的法律、法规和妇女发展纲要、规划；</w:t>
      </w:r>
    </w:p>
    <w:p w14:paraId="29480265">
      <w:bookmarkStart w:id="2088" w:name="_Toc428780486"/>
      <w:r>
        <w:rPr>
          <w:rFonts w:hint="eastAsia"/>
        </w:rPr>
        <w:t>（三）研究解决妇女权益保障工作中的重大问题；</w:t>
      </w:r>
      <w:bookmarkEnd w:id="2088"/>
    </w:p>
    <w:p w14:paraId="74D8BCCB">
      <w:r>
        <w:rPr>
          <w:rFonts w:hint="eastAsia"/>
        </w:rPr>
        <w:t>（四）督促有关部门依法查处侵害妇女权益的行为；</w:t>
      </w:r>
    </w:p>
    <w:p w14:paraId="4E4A1E1E">
      <w:bookmarkStart w:id="2089" w:name="_Toc428780487"/>
      <w:r>
        <w:rPr>
          <w:rFonts w:hint="eastAsia"/>
        </w:rPr>
        <w:t>（五）表彰、奖励在妇女权益保障工作中成绩显著的组织和个人；</w:t>
      </w:r>
      <w:bookmarkEnd w:id="2089"/>
    </w:p>
    <w:p w14:paraId="23BBCD86">
      <w:r>
        <w:rPr>
          <w:rFonts w:hint="eastAsia"/>
        </w:rPr>
        <w:t>（六）协调办理其他妇女权益保障工作的事项。</w:t>
      </w:r>
    </w:p>
    <w:p w14:paraId="3256FA91">
      <w:pPr>
        <w:ind w:firstLine="422"/>
      </w:pPr>
      <w:r>
        <w:rPr>
          <w:rFonts w:hint="eastAsia"/>
          <w:b/>
        </w:rPr>
        <w:t>第六条</w:t>
      </w:r>
      <w:r>
        <w:rPr>
          <w:rFonts w:hint="eastAsia"/>
        </w:rPr>
        <w:t xml:space="preserve">  市和区、县人民政府所属的教育、公安、民政、司法行政、人力资源和社会保障、卫生、人口和计划生育、统计等有关行政部门，应当在各自职责范围内做好妇女权益保障工作，并做好妇女发展规划的实施监测、评估工作和分性别的统计工作。</w:t>
      </w:r>
    </w:p>
    <w:p w14:paraId="68838E81">
      <w:r>
        <w:rPr>
          <w:rFonts w:hint="eastAsia"/>
        </w:rPr>
        <w:t>乡、镇人民政府和街道办事处应当明确相关机构和人员负责妇女权益保障工作。</w:t>
      </w:r>
    </w:p>
    <w:p w14:paraId="28A73349">
      <w:pPr>
        <w:ind w:firstLine="422"/>
      </w:pPr>
      <w:r>
        <w:rPr>
          <w:rFonts w:hint="eastAsia"/>
          <w:b/>
        </w:rPr>
        <w:t>第七条</w:t>
      </w:r>
      <w:r>
        <w:rPr>
          <w:rFonts w:hint="eastAsia"/>
        </w:rPr>
        <w:t xml:space="preserve">  本市各级妇女联合会依照法律、法规，代表和维护各族各界妇女的利益，听取和反映妇女的意见和要求，教育、引导妇女全面提高素质，树立依法维权意识，为权益遭受侵害的妇女提供帮助；发挥社会监督职能，支持、协助本市各级人民政府及其有关部门做好维护妇女权益的工作。</w:t>
      </w:r>
    </w:p>
    <w:p w14:paraId="38AB8D46">
      <w:r>
        <w:rPr>
          <w:rFonts w:hint="eastAsia"/>
        </w:rPr>
        <w:t>工会、共产主义青年团、残疾人联合会等社会团体应当在各自的工作范围内，做好维护妇女权益的工作。</w:t>
      </w:r>
    </w:p>
    <w:p w14:paraId="31574383">
      <w:r>
        <w:rPr>
          <w:rFonts w:hint="eastAsia"/>
        </w:rPr>
        <w:t>鼓励志愿者组织以心理咨询、法律援助、教育培训等方式开展妇女权益保障工作。</w:t>
      </w:r>
    </w:p>
    <w:p w14:paraId="417EF748">
      <w:pPr>
        <w:ind w:firstLine="422"/>
      </w:pPr>
      <w:r>
        <w:rPr>
          <w:rFonts w:hint="eastAsia"/>
          <w:b/>
        </w:rPr>
        <w:t>第八条</w:t>
      </w:r>
      <w:r>
        <w:rPr>
          <w:rFonts w:hint="eastAsia"/>
        </w:rPr>
        <w:t xml:space="preserve">  居民委员会、村民委员会应当在人民政府的指导下做好妇女权益保障工作。</w:t>
      </w:r>
    </w:p>
    <w:p w14:paraId="34EF3C76">
      <w:r>
        <w:rPr>
          <w:rFonts w:hint="eastAsia"/>
        </w:rPr>
        <w:t>居民委员会、村民委员会制定自治章程、居民公约、村规民约和居民会议、村民会议或者居民代表、村民代表讨论决定事项，应当贯彻男女平等原则，维护妇女权益。</w:t>
      </w:r>
    </w:p>
    <w:p w14:paraId="1974B1FD">
      <w:pPr>
        <w:ind w:firstLine="422"/>
      </w:pPr>
      <w:r>
        <w:rPr>
          <w:rFonts w:hint="eastAsia"/>
          <w:b/>
        </w:rPr>
        <w:t>第九条</w:t>
      </w:r>
      <w:r>
        <w:rPr>
          <w:rFonts w:hint="eastAsia"/>
        </w:rPr>
        <w:t xml:space="preserve">  新闻、出版、广播、电视等单位应当进行男女平等基本国策和维护妇女权益方面的宣传、教育，营造维护妇女权益的良好氛围。</w:t>
      </w:r>
    </w:p>
    <w:p w14:paraId="0062FCCF">
      <w:pPr>
        <w:ind w:firstLine="422"/>
      </w:pPr>
      <w:r>
        <w:rPr>
          <w:rFonts w:hint="eastAsia"/>
          <w:b/>
        </w:rPr>
        <w:t>第十条</w:t>
      </w:r>
      <w:r>
        <w:rPr>
          <w:rFonts w:hint="eastAsia"/>
        </w:rPr>
        <w:t xml:space="preserve">  对保障妇女权益成绩显著的组织和个人，本市各级人民政府和有关部门应当给予表彰和奖励。</w:t>
      </w:r>
    </w:p>
    <w:p w14:paraId="69806978"/>
    <w:p w14:paraId="20937FC5">
      <w:pPr>
        <w:ind w:firstLine="0" w:firstLineChars="0"/>
        <w:jc w:val="center"/>
        <w:rPr>
          <w:b/>
          <w:sz w:val="28"/>
        </w:rPr>
      </w:pPr>
      <w:r>
        <w:rPr>
          <w:rFonts w:hint="eastAsia"/>
          <w:b/>
          <w:sz w:val="28"/>
        </w:rPr>
        <w:t>第二章　政治权利</w:t>
      </w:r>
    </w:p>
    <w:p w14:paraId="554EE7DC"/>
    <w:p w14:paraId="0DBB5F92">
      <w:pPr>
        <w:ind w:firstLine="422"/>
      </w:pPr>
      <w:r>
        <w:rPr>
          <w:rFonts w:hint="eastAsia"/>
          <w:b/>
        </w:rPr>
        <w:t>第十一条</w:t>
      </w:r>
      <w:r>
        <w:rPr>
          <w:rFonts w:hint="eastAsia"/>
        </w:rPr>
        <w:t xml:space="preserve">  本市制定地方性法规、政府规章和公共政策时，对涉及妇女权益的重大问题，应当听取妇女联合会的意见。</w:t>
      </w:r>
    </w:p>
    <w:p w14:paraId="6B4296BB">
      <w:r>
        <w:rPr>
          <w:rFonts w:hint="eastAsia"/>
        </w:rPr>
        <w:t>本市国家机关、社会团体、企业事业单位、居民委员会、村民委员会，应当为妇女依法参与国家事务、经济和文化事务及社会事务的管理创造条件。</w:t>
      </w:r>
    </w:p>
    <w:p w14:paraId="53DBC428">
      <w:r>
        <w:rPr>
          <w:rFonts w:hint="eastAsia"/>
        </w:rPr>
        <w:t>妇女和妇女组织有权向有关国家机关提出妇女权益保障方面的意见和建议。</w:t>
      </w:r>
    </w:p>
    <w:p w14:paraId="07AC4F67">
      <w:pPr>
        <w:ind w:firstLine="422"/>
      </w:pPr>
      <w:r>
        <w:rPr>
          <w:rFonts w:hint="eastAsia"/>
          <w:b/>
        </w:rPr>
        <w:t>第十二条</w:t>
      </w:r>
      <w:r>
        <w:rPr>
          <w:rFonts w:hint="eastAsia"/>
        </w:rPr>
        <w:t xml:space="preserve">  妇女享有与男子平等的选举权和被选举权。</w:t>
      </w:r>
    </w:p>
    <w:p w14:paraId="1C64CDC4">
      <w:r>
        <w:rPr>
          <w:rFonts w:hint="eastAsia"/>
        </w:rPr>
        <w:t>本市各级人民代表大会代表候选人中，妇女应当占有适当比例；本市采取措施逐步提高女代表候选人的比例。</w:t>
      </w:r>
    </w:p>
    <w:p w14:paraId="73D15FB5">
      <w:r>
        <w:rPr>
          <w:rFonts w:hint="eastAsia"/>
        </w:rPr>
        <w:t>居民委员会、村民委员会成员中和居民代表会议、村民代表会议中，妇女应当有适当的名额。</w:t>
      </w:r>
    </w:p>
    <w:p w14:paraId="497612BF">
      <w:r>
        <w:rPr>
          <w:rFonts w:hint="eastAsia"/>
        </w:rPr>
        <w:t>各单位职工代表大会中女代表的比例应当与本单位女职工占职工总人数的比例相适应。</w:t>
      </w:r>
    </w:p>
    <w:p w14:paraId="644756DB">
      <w:pPr>
        <w:ind w:firstLine="422"/>
      </w:pPr>
      <w:r>
        <w:rPr>
          <w:rFonts w:hint="eastAsia"/>
          <w:b/>
        </w:rPr>
        <w:t>第十三条</w:t>
      </w:r>
      <w:r>
        <w:rPr>
          <w:rFonts w:hint="eastAsia"/>
        </w:rPr>
        <w:t xml:space="preserve">  本市国家机关、社会团体、企业事业单位培养、选拔、任用干部，应当坚持男女平等的原则。</w:t>
      </w:r>
    </w:p>
    <w:p w14:paraId="56D5F282">
      <w:r>
        <w:rPr>
          <w:rFonts w:hint="eastAsia"/>
        </w:rPr>
        <w:t>本市有关部门在制定干部规划时，应当重视女干部的培养、选拔，确定女干部的比例并逐步提高；采取组织措施对女干部进行培养和交流，全面提高女干部的能力。</w:t>
      </w:r>
    </w:p>
    <w:p w14:paraId="0A41FB48">
      <w:r>
        <w:rPr>
          <w:rFonts w:hint="eastAsia"/>
        </w:rPr>
        <w:t>本市国家机关、社会团体、企业事业单位领导成员中，妇女应当有适当数量；女性比较集中的，领导成员中女性成员的比例应当逐步提高。</w:t>
      </w:r>
    </w:p>
    <w:p w14:paraId="401900E7">
      <w:r>
        <w:rPr>
          <w:rFonts w:hint="eastAsia"/>
        </w:rPr>
        <w:t>本市逐步完善女干部培养、选拔机制。各级妇女联合会及其团体会员可以向国家机关、社会团体、企业事业单位推荐女干部。</w:t>
      </w:r>
    </w:p>
    <w:p w14:paraId="3E18E392"/>
    <w:p w14:paraId="2AB58EE3">
      <w:pPr>
        <w:ind w:firstLine="0" w:firstLineChars="0"/>
        <w:jc w:val="center"/>
        <w:rPr>
          <w:b/>
          <w:sz w:val="28"/>
        </w:rPr>
      </w:pPr>
      <w:r>
        <w:rPr>
          <w:rFonts w:hint="eastAsia"/>
          <w:b/>
          <w:sz w:val="28"/>
        </w:rPr>
        <w:t>第三章　文化教育权益</w:t>
      </w:r>
    </w:p>
    <w:p w14:paraId="08CB964B"/>
    <w:p w14:paraId="33927F23">
      <w:pPr>
        <w:ind w:firstLine="422"/>
      </w:pPr>
      <w:r>
        <w:rPr>
          <w:rFonts w:hint="eastAsia"/>
          <w:b/>
        </w:rPr>
        <w:t>第十四条</w:t>
      </w:r>
      <w:r>
        <w:rPr>
          <w:rFonts w:hint="eastAsia"/>
        </w:rPr>
        <w:t>　本市保障妇女享有与男子平等的文化教育权利。</w:t>
      </w:r>
    </w:p>
    <w:p w14:paraId="335BE533">
      <w:r>
        <w:rPr>
          <w:rFonts w:hint="eastAsia"/>
        </w:rPr>
        <w:t>妇女享有从事科学、技术、文学、艺术和其他文化活动的权利，任何单位和个人不得非法干涉。</w:t>
      </w:r>
    </w:p>
    <w:p w14:paraId="303ECE6A">
      <w:pPr>
        <w:ind w:firstLine="422"/>
      </w:pPr>
      <w:r>
        <w:rPr>
          <w:rFonts w:hint="eastAsia"/>
          <w:b/>
        </w:rPr>
        <w:t>第十五条</w:t>
      </w:r>
      <w:r>
        <w:rPr>
          <w:rFonts w:hint="eastAsia"/>
        </w:rPr>
        <w:t>　学校在录取学生时应当坚持男女平等的原则，除国家规定的特殊专业外，不得以性别为由拒绝录取女性或者提高对女性的录取标准。</w:t>
      </w:r>
    </w:p>
    <w:p w14:paraId="049C0A57">
      <w:r>
        <w:rPr>
          <w:rFonts w:hint="eastAsia"/>
        </w:rPr>
        <w:t>学校应当进行男女平等基本国策教育，并根据女性青少年特点，进行青春期的心理、生理卫生教育，开展适合女性青少年特点的体育、文化娱乐活动，保障女性青少年身心健康发展。</w:t>
      </w:r>
    </w:p>
    <w:p w14:paraId="564D4507">
      <w:pPr>
        <w:ind w:firstLine="422"/>
      </w:pPr>
      <w:r>
        <w:rPr>
          <w:rFonts w:hint="eastAsia"/>
          <w:b/>
        </w:rPr>
        <w:t>第十六条</w:t>
      </w:r>
      <w:r>
        <w:rPr>
          <w:rFonts w:hint="eastAsia"/>
        </w:rPr>
        <w:t>　市和区、县人民政府应当建立、健全妇女教育培训制度，根据经济社会发展需要和城乡妇女的不同特点，利用学校、现代远程学习平台、图书馆等教育资源，开展相应的职业教育、文化教育、劳动技能培训。</w:t>
      </w:r>
    </w:p>
    <w:p w14:paraId="0F901C98">
      <w:r>
        <w:rPr>
          <w:rFonts w:hint="eastAsia"/>
        </w:rPr>
        <w:t>用人单位应当有计划地对女职工进行职业教育和岗位技能培训；重视培养女性专业人才，在评审科研项目、派出学习深造、安排继续教育等方面，应当坚持男女平等原则，不得歧视女性。</w:t>
      </w:r>
    </w:p>
    <w:p w14:paraId="254C1856">
      <w:r>
        <w:rPr>
          <w:rFonts w:hint="eastAsia"/>
        </w:rPr>
        <w:t>居民委员会、村民委员会应当协助人民政府及其有关部门开展面向妇女的法律知识教育和健康的文化娱乐活动。</w:t>
      </w:r>
    </w:p>
    <w:p w14:paraId="766595AC"/>
    <w:p w14:paraId="4742D852">
      <w:pPr>
        <w:ind w:firstLine="0" w:firstLineChars="0"/>
        <w:jc w:val="center"/>
        <w:rPr>
          <w:b/>
          <w:sz w:val="28"/>
        </w:rPr>
      </w:pPr>
      <w:r>
        <w:rPr>
          <w:rFonts w:hint="eastAsia"/>
          <w:b/>
          <w:sz w:val="28"/>
        </w:rPr>
        <w:t>第四章　劳动和社会保障权益</w:t>
      </w:r>
    </w:p>
    <w:p w14:paraId="50E757BA"/>
    <w:p w14:paraId="18F82776">
      <w:pPr>
        <w:ind w:firstLine="422"/>
      </w:pPr>
      <w:r>
        <w:rPr>
          <w:rFonts w:hint="eastAsia"/>
          <w:b/>
        </w:rPr>
        <w:t>第十七条</w:t>
      </w:r>
      <w:r>
        <w:rPr>
          <w:rFonts w:hint="eastAsia"/>
        </w:rPr>
        <w:t>　本市各级人民政府应当采取多种措施，促进妇女就业，鼓励、支持妇女自主创业；通过多种途径开展面向妇女的岗位培训、职业技能培训和实用技术培训，拓展妇女就业渠道，为就业困难的单亲家庭、低收入家庭中的妇女及残疾、失地等妇女提供就业援助。</w:t>
      </w:r>
    </w:p>
    <w:p w14:paraId="45FD4C0F">
      <w:r>
        <w:rPr>
          <w:rFonts w:hint="eastAsia"/>
        </w:rPr>
        <w:t>人力资源和社会保障行政部门及其他有关部门应当为妇女就业提供必要的指导和帮助。</w:t>
      </w:r>
    </w:p>
    <w:p w14:paraId="35F536B5">
      <w:pPr>
        <w:ind w:firstLine="422"/>
      </w:pPr>
      <w:r>
        <w:rPr>
          <w:rFonts w:hint="eastAsia"/>
          <w:b/>
        </w:rPr>
        <w:t>第十八条</w:t>
      </w:r>
      <w:r>
        <w:rPr>
          <w:rFonts w:hint="eastAsia"/>
        </w:rPr>
        <w:t>　用人单位在招用职工时，除国家规定的不适合妇女的工种或者岗位外，不得以性别为由拒绝招用妇女或者提高对妇女的招用标准。</w:t>
      </w:r>
    </w:p>
    <w:p w14:paraId="4CA68F8F">
      <w:r>
        <w:rPr>
          <w:rFonts w:hint="eastAsia"/>
        </w:rPr>
        <w:t>用人单位的招聘广告、规章制度中不得含有歧视妇女的内容。</w:t>
      </w:r>
    </w:p>
    <w:p w14:paraId="5A8957ED">
      <w:r>
        <w:rPr>
          <w:rFonts w:hint="eastAsia"/>
        </w:rPr>
        <w:t>用人单位在招用女职工时，应当依法与其签订劳动合同或者聘用合同。合同中应当约定女职工的岗位、劳动报酬、劳动安全卫生、社会保险等事项，不得含有限制女职工结婚、生育等歧视性内容。</w:t>
      </w:r>
    </w:p>
    <w:p w14:paraId="2C440CFC">
      <w:pPr>
        <w:ind w:firstLine="422"/>
      </w:pPr>
      <w:r>
        <w:rPr>
          <w:rFonts w:hint="eastAsia"/>
          <w:b/>
        </w:rPr>
        <w:t>第十九条</w:t>
      </w:r>
      <w:r>
        <w:rPr>
          <w:rFonts w:hint="eastAsia"/>
        </w:rPr>
        <w:t>　本市实行男女同工同酬。妇女在享受福利待遇方面享有与男子平等的权利。</w:t>
      </w:r>
    </w:p>
    <w:p w14:paraId="5D61556D">
      <w:r>
        <w:rPr>
          <w:rFonts w:hint="eastAsia"/>
        </w:rPr>
        <w:t>用人单位和有关部门在晋职、晋级、评定专业技术职务等方面，应当坚持男女平等的原则，不得歧视妇女。</w:t>
      </w:r>
    </w:p>
    <w:p w14:paraId="14E3B4A0">
      <w:pPr>
        <w:ind w:firstLine="422"/>
      </w:pPr>
      <w:r>
        <w:rPr>
          <w:rFonts w:hint="eastAsia"/>
          <w:b/>
        </w:rPr>
        <w:t>第二十条</w:t>
      </w:r>
      <w:r>
        <w:rPr>
          <w:rFonts w:hint="eastAsia"/>
        </w:rPr>
        <w:t>　职工一方与用人单位经平等协商，可以就女职工的特殊保护签订专项集体合同，或者将女职工的特殊保护纳入集体合同。</w:t>
      </w:r>
    </w:p>
    <w:p w14:paraId="62A4B992">
      <w:r>
        <w:rPr>
          <w:rFonts w:hint="eastAsia"/>
        </w:rPr>
        <w:t>区域或者行业工会与相应的企业组织可以按照国家和本市有关规定，签订区域性或者行业性的女职工特殊保护的集体合同。</w:t>
      </w:r>
    </w:p>
    <w:p w14:paraId="26533EAE">
      <w:r>
        <w:rPr>
          <w:rFonts w:hint="eastAsia"/>
        </w:rPr>
        <w:t>协商、签订集体合同，职工一方的协商代表中一般应当有女职工委员会成员或者女职工代表。</w:t>
      </w:r>
    </w:p>
    <w:p w14:paraId="0DEF728F">
      <w:pPr>
        <w:ind w:firstLine="422"/>
      </w:pPr>
      <w:r>
        <w:rPr>
          <w:rFonts w:hint="eastAsia"/>
          <w:b/>
        </w:rPr>
        <w:t>第二十一条</w:t>
      </w:r>
      <w:r>
        <w:rPr>
          <w:rFonts w:hint="eastAsia"/>
        </w:rPr>
        <w:t>　用人单位应当严格执行有关女职工劳动保护的法律、法规，保护女职工的安全和健康。</w:t>
      </w:r>
    </w:p>
    <w:p w14:paraId="5D682DE0">
      <w:r>
        <w:rPr>
          <w:rFonts w:hint="eastAsia"/>
        </w:rPr>
        <w:t>女职工在经期、孕期、产期和哺乳期享受特殊保护。女职工因怀孕或者哺乳不能适应工作岗位的，经本人申请，用人单位应当与本人协商调整工作岗位或者改善相应的工作条件。</w:t>
      </w:r>
    </w:p>
    <w:p w14:paraId="4FE5C5C6">
      <w:r>
        <w:rPr>
          <w:rFonts w:hint="eastAsia"/>
        </w:rPr>
        <w:t>用人单位应当执行国家和本市的有关规定，不得取消或者减少女职工的产假、哺乳时间。</w:t>
      </w:r>
    </w:p>
    <w:p w14:paraId="3B2A8D75">
      <w:r>
        <w:rPr>
          <w:rFonts w:hint="eastAsia"/>
        </w:rPr>
        <w:t>在女职工孕期、产期、哺乳期内，除符合法定情形外，用人单位不得变更、解除或者终止与女职工签订的劳动合同或者聘用合同。</w:t>
      </w:r>
    </w:p>
    <w:p w14:paraId="61E58B06">
      <w:r>
        <w:rPr>
          <w:rFonts w:hint="eastAsia"/>
        </w:rPr>
        <w:t>各单位在执行国家退休制度时，不得以性别为由歧视妇女，侵害妇女权益。</w:t>
      </w:r>
    </w:p>
    <w:p w14:paraId="2B941278">
      <w:pPr>
        <w:ind w:firstLine="422"/>
      </w:pPr>
      <w:r>
        <w:rPr>
          <w:rFonts w:hint="eastAsia"/>
          <w:b/>
        </w:rPr>
        <w:t>第二十二条</w:t>
      </w:r>
      <w:r>
        <w:rPr>
          <w:rFonts w:hint="eastAsia"/>
        </w:rPr>
        <w:t>　本市各级人民政府应当按照国家规定发展社会保险、社会救助和社会福利事业，保障妇女享有社会保险、社会救助和社会福利等权益。</w:t>
      </w:r>
    </w:p>
    <w:p w14:paraId="70A9873D">
      <w:r>
        <w:rPr>
          <w:rFonts w:hint="eastAsia"/>
        </w:rPr>
        <w:t>本市建立、健全覆盖城乡居民的基本医疗卫生制度，提高妇女的卫生保健和生殖健康水平。</w:t>
      </w:r>
    </w:p>
    <w:p w14:paraId="4246BE53">
      <w:pPr>
        <w:ind w:firstLine="422"/>
      </w:pPr>
      <w:r>
        <w:rPr>
          <w:rFonts w:hint="eastAsia"/>
          <w:b/>
        </w:rPr>
        <w:t>第二十三条</w:t>
      </w:r>
      <w:r>
        <w:rPr>
          <w:rFonts w:hint="eastAsia"/>
        </w:rPr>
        <w:t>　用人单位应当执行国家和本市有关规定，保障女职工生育费用和生育津贴的落实。</w:t>
      </w:r>
    </w:p>
    <w:p w14:paraId="48573BD3">
      <w:r>
        <w:rPr>
          <w:rFonts w:hint="eastAsia"/>
        </w:rPr>
        <w:t>本市逐步健全生育保险制度，扩大生育保险的社会覆盖面，使适龄妇女享有生育、节育等方面的保障。</w:t>
      </w:r>
    </w:p>
    <w:p w14:paraId="2455C56E">
      <w:pPr>
        <w:ind w:firstLine="422"/>
      </w:pPr>
      <w:r>
        <w:rPr>
          <w:rFonts w:hint="eastAsia"/>
          <w:b/>
        </w:rPr>
        <w:t>第二十四条</w:t>
      </w:r>
      <w:r>
        <w:rPr>
          <w:rFonts w:hint="eastAsia"/>
        </w:rPr>
        <w:t>　本市建立妇女特殊疾病定期普查制度。</w:t>
      </w:r>
    </w:p>
    <w:p w14:paraId="3EFB01BC">
      <w:r>
        <w:rPr>
          <w:rFonts w:hint="eastAsia"/>
        </w:rPr>
        <w:t>女职工进行妇女特殊疾病检查的费用由其所在单位负担；不属于单位职工的妇女的检查费用，由区、县人民政府统筹安排。具体实施办法由市卫生、人力资源和社会保障、财政等行政部门制定。</w:t>
      </w:r>
    </w:p>
    <w:p w14:paraId="4B79F1C8">
      <w:r>
        <w:rPr>
          <w:rFonts w:hint="eastAsia"/>
        </w:rPr>
        <w:t>鼓励单位和个人为妇女特殊疾病普查工作提供帮助和支持。</w:t>
      </w:r>
    </w:p>
    <w:p w14:paraId="320DE9EF"/>
    <w:p w14:paraId="3E308EE6">
      <w:pPr>
        <w:ind w:firstLine="0" w:firstLineChars="0"/>
        <w:jc w:val="center"/>
        <w:rPr>
          <w:b/>
          <w:sz w:val="28"/>
        </w:rPr>
      </w:pPr>
      <w:r>
        <w:rPr>
          <w:rFonts w:hint="eastAsia"/>
          <w:b/>
          <w:sz w:val="28"/>
        </w:rPr>
        <w:t>第五章　财产权益</w:t>
      </w:r>
    </w:p>
    <w:p w14:paraId="597306A2"/>
    <w:p w14:paraId="5BD83746">
      <w:pPr>
        <w:ind w:firstLine="422"/>
      </w:pPr>
      <w:r>
        <w:rPr>
          <w:rFonts w:hint="eastAsia"/>
          <w:b/>
        </w:rPr>
        <w:t>第二十五条</w:t>
      </w:r>
      <w:r>
        <w:rPr>
          <w:rFonts w:hint="eastAsia"/>
        </w:rPr>
        <w:t>　妇女对家庭共有财产享有与男子平等的权利。在处理家庭共有财产时，不得侵害妇女的权益。</w:t>
      </w:r>
    </w:p>
    <w:p w14:paraId="61A5B9BE">
      <w:pPr>
        <w:ind w:firstLine="422"/>
      </w:pPr>
      <w:r>
        <w:rPr>
          <w:rFonts w:hint="eastAsia"/>
          <w:b/>
        </w:rPr>
        <w:t>第二十六条</w:t>
      </w:r>
      <w:r>
        <w:rPr>
          <w:rFonts w:hint="eastAsia"/>
        </w:rPr>
        <w:t>　村民会议制定或者修改村民自治章程、村规民约，以及村民会议或者村民代表讨论决定事项，不得违反宪法、法律、法规和国家政策侵犯妇女财产权益。</w:t>
      </w:r>
    </w:p>
    <w:p w14:paraId="7D1DE1FF">
      <w:pPr>
        <w:ind w:firstLine="422"/>
      </w:pPr>
      <w:r>
        <w:rPr>
          <w:rFonts w:hint="eastAsia"/>
          <w:b/>
        </w:rPr>
        <w:t>第二十七条</w:t>
      </w:r>
      <w:r>
        <w:rPr>
          <w:rFonts w:hint="eastAsia"/>
        </w:rPr>
        <w:t>　农村集体经济组织成员中的妇女与男子享有平等的财产权利、集体福利和保障待遇。</w:t>
      </w:r>
    </w:p>
    <w:p w14:paraId="3C4C4DB9">
      <w:r>
        <w:rPr>
          <w:rFonts w:hint="eastAsia"/>
        </w:rPr>
        <w:t>农村集体经济组织成员中的妇女结婚、离婚或者丧偶的，任何组织和个人不得侵犯其在集体经济组织收益分配、股权分配、宅基地使用及土地征收或者征用补偿费使用等方面依法享有的权益。</w:t>
      </w:r>
    </w:p>
    <w:p w14:paraId="319B4C37">
      <w:pPr>
        <w:ind w:firstLine="422"/>
      </w:pPr>
      <w:r>
        <w:rPr>
          <w:rFonts w:hint="eastAsia"/>
          <w:b/>
        </w:rPr>
        <w:t>第二十八条</w:t>
      </w:r>
      <w:r>
        <w:rPr>
          <w:rFonts w:hint="eastAsia"/>
        </w:rPr>
        <w:t>　在农村土地承包期内，任何组织或者个人不得因妇女结婚、离婚或者丧偶，收回或者侵占其已经取得的承包地。</w:t>
      </w:r>
    </w:p>
    <w:p w14:paraId="16119F27">
      <w:pPr>
        <w:ind w:firstLine="422"/>
      </w:pPr>
      <w:r>
        <w:rPr>
          <w:rFonts w:hint="eastAsia"/>
          <w:b/>
        </w:rPr>
        <w:t>第二十九条</w:t>
      </w:r>
      <w:r>
        <w:rPr>
          <w:rFonts w:hint="eastAsia"/>
        </w:rPr>
        <w:t>　妇女享有与男子平等的财产继承权。在同一顺序的法定继承人中，不得歧视妇女。对生活有特殊困难的缺乏劳动能力的妇女，分配遗产时，应当依法予以照顾。</w:t>
      </w:r>
    </w:p>
    <w:p w14:paraId="49043119">
      <w:r>
        <w:rPr>
          <w:rFonts w:hint="eastAsia"/>
        </w:rPr>
        <w:t>丧偶妇女对公、婆尽了主要赡养义务的，作为公、婆的第一顺序法定继承人，其继承权不受子女代位继承的影响。</w:t>
      </w:r>
    </w:p>
    <w:p w14:paraId="47BEE4BA">
      <w:pPr>
        <w:ind w:firstLine="422"/>
      </w:pPr>
      <w:r>
        <w:rPr>
          <w:rFonts w:hint="eastAsia"/>
          <w:b/>
        </w:rPr>
        <w:t>第三十条</w:t>
      </w:r>
      <w:r>
        <w:rPr>
          <w:rFonts w:hint="eastAsia"/>
        </w:rPr>
        <w:t>　离婚、丧偶妇女有权自主处分本人所有的财产，任何单位或者个人不得以妇女离婚、丧偶、再婚为由侵害其财产权益。</w:t>
      </w:r>
    </w:p>
    <w:p w14:paraId="3C44E488"/>
    <w:p w14:paraId="2B30A0C1"/>
    <w:p w14:paraId="337E748D">
      <w:pPr>
        <w:ind w:firstLine="0" w:firstLineChars="0"/>
        <w:jc w:val="center"/>
        <w:rPr>
          <w:b/>
          <w:sz w:val="28"/>
        </w:rPr>
      </w:pPr>
      <w:r>
        <w:rPr>
          <w:rFonts w:hint="eastAsia"/>
          <w:b/>
          <w:sz w:val="28"/>
        </w:rPr>
        <w:t>第六章　人身权利</w:t>
      </w:r>
    </w:p>
    <w:p w14:paraId="18847EFB"/>
    <w:p w14:paraId="421C2D9D">
      <w:pPr>
        <w:ind w:firstLine="422"/>
      </w:pPr>
      <w:r>
        <w:rPr>
          <w:rFonts w:hint="eastAsia"/>
          <w:b/>
        </w:rPr>
        <w:t>第三十一条</w:t>
      </w:r>
      <w:r>
        <w:rPr>
          <w:rFonts w:hint="eastAsia"/>
        </w:rPr>
        <w:t>　妇女的生命权和健康权不受侵犯。</w:t>
      </w:r>
    </w:p>
    <w:p w14:paraId="64CE43F7">
      <w:r>
        <w:rPr>
          <w:rFonts w:hint="eastAsia"/>
        </w:rPr>
        <w:t>禁止进行非医学需要的胎儿性别鉴定；禁止非医学需要的选择性别的人工终止妊娠。</w:t>
      </w:r>
    </w:p>
    <w:p w14:paraId="2A747A01">
      <w:r>
        <w:rPr>
          <w:rFonts w:hint="eastAsia"/>
        </w:rPr>
        <w:t>禁止溺、弃、残害女婴；禁止歧视、虐待、遗弃生育女婴的妇女和不育的妇女；禁止用迷信、暴力等手段残害妇女；禁止虐待、遗弃病、残妇女和老年妇女。</w:t>
      </w:r>
    </w:p>
    <w:p w14:paraId="566BED72">
      <w:pPr>
        <w:ind w:firstLine="422"/>
      </w:pPr>
      <w:r>
        <w:rPr>
          <w:rFonts w:hint="eastAsia"/>
          <w:b/>
        </w:rPr>
        <w:t>第三十二条</w:t>
      </w:r>
      <w:r>
        <w:rPr>
          <w:rFonts w:hint="eastAsia"/>
        </w:rPr>
        <w:t>　妇女的人身自由不受侵犯。</w:t>
      </w:r>
    </w:p>
    <w:p w14:paraId="0A6AE197">
      <w:r>
        <w:rPr>
          <w:rFonts w:hint="eastAsia"/>
        </w:rPr>
        <w:t>禁止非法剥夺、限制妇女人身自由。依法检查或者搜查妇女身体应当由女性工作人员或者医师进行。</w:t>
      </w:r>
    </w:p>
    <w:p w14:paraId="7B8A8FF3">
      <w:pPr>
        <w:ind w:firstLine="422"/>
      </w:pPr>
      <w:r>
        <w:rPr>
          <w:rFonts w:hint="eastAsia"/>
          <w:b/>
        </w:rPr>
        <w:t>第三十三条</w:t>
      </w:r>
      <w:r>
        <w:rPr>
          <w:rFonts w:hint="eastAsia"/>
        </w:rPr>
        <w:t>　禁止违背妇女意志，以具有性内容或者与性有关的语言、文字、图像、电子信息、肢体行为等形式对妇女实施性骚扰。</w:t>
      </w:r>
    </w:p>
    <w:p w14:paraId="4C0012D8">
      <w:r>
        <w:rPr>
          <w:rFonts w:hint="eastAsia"/>
        </w:rPr>
        <w:t>遭受性骚扰的妇女，可以向本人所在单位、行为人所在单位、本市各级妇女联合会和有关机关投诉，也可以直接向人民法院起诉。所在单位、本市各级妇女联合会和有关机关接到投诉后，应当采取对被投诉人批评教育、对双方进行调解或者支持投诉人起诉等措施。</w:t>
      </w:r>
    </w:p>
    <w:p w14:paraId="561E6813">
      <w:r>
        <w:rPr>
          <w:rFonts w:hint="eastAsia"/>
        </w:rPr>
        <w:t>用人单位、公共场所经营管理单位应当根据情况采取措施，预防和制止对妇女的性骚扰。</w:t>
      </w:r>
    </w:p>
    <w:p w14:paraId="5C15A75B">
      <w:pPr>
        <w:ind w:firstLine="422"/>
      </w:pPr>
      <w:r>
        <w:rPr>
          <w:rFonts w:hint="eastAsia"/>
          <w:b/>
        </w:rPr>
        <w:t>第三十四条</w:t>
      </w:r>
      <w:r>
        <w:rPr>
          <w:rFonts w:hint="eastAsia"/>
        </w:rPr>
        <w:t>　妇女的名誉权、荣誉权、隐私权、肖像权等人格权受法律保护。</w:t>
      </w:r>
    </w:p>
    <w:p w14:paraId="7B53192A">
      <w:r>
        <w:rPr>
          <w:rFonts w:hint="eastAsia"/>
        </w:rPr>
        <w:t>禁止以侮辱、诽谤、宣扬隐私等方式损害妇女的人格尊严。</w:t>
      </w:r>
    </w:p>
    <w:p w14:paraId="079A0B43"/>
    <w:p w14:paraId="6E383147">
      <w:pPr>
        <w:ind w:firstLine="0" w:firstLineChars="0"/>
        <w:jc w:val="center"/>
        <w:rPr>
          <w:b/>
          <w:sz w:val="28"/>
        </w:rPr>
      </w:pPr>
      <w:r>
        <w:rPr>
          <w:rFonts w:hint="eastAsia"/>
          <w:b/>
          <w:sz w:val="28"/>
        </w:rPr>
        <w:t>第七章　婚姻家庭权益</w:t>
      </w:r>
    </w:p>
    <w:p w14:paraId="5566CFA1"/>
    <w:p w14:paraId="2D92207C">
      <w:pPr>
        <w:ind w:firstLine="422"/>
      </w:pPr>
      <w:r>
        <w:rPr>
          <w:rFonts w:hint="eastAsia"/>
          <w:b/>
        </w:rPr>
        <w:t>第三十五条</w:t>
      </w:r>
      <w:r>
        <w:rPr>
          <w:rFonts w:hint="eastAsia"/>
        </w:rPr>
        <w:t>　妇女对夫妻共有财产享有知情权，女方有权了解由男方管理的共有财产的状况。</w:t>
      </w:r>
    </w:p>
    <w:p w14:paraId="140CE2D0">
      <w:pPr>
        <w:ind w:firstLine="422"/>
      </w:pPr>
      <w:r>
        <w:rPr>
          <w:rFonts w:hint="eastAsia"/>
          <w:b/>
        </w:rPr>
        <w:t>第三十六条</w:t>
      </w:r>
      <w:r>
        <w:rPr>
          <w:rFonts w:hint="eastAsia"/>
        </w:rPr>
        <w:t>　夫妻在婚姻关系存续期间取得的财产属于夫妻共有财产，但是法律另有规定或者夫妻双方另有约定的除外。</w:t>
      </w:r>
    </w:p>
    <w:p w14:paraId="1BA735E4">
      <w:r>
        <w:rPr>
          <w:rFonts w:hint="eastAsia"/>
        </w:rPr>
        <w:t>男方处置登记在其名下的夫妻共有财产时，应当征得女方同意。</w:t>
      </w:r>
    </w:p>
    <w:p w14:paraId="6E4D1212">
      <w:r>
        <w:rPr>
          <w:rFonts w:hint="eastAsia"/>
        </w:rPr>
        <w:t>夫妻在申请办理房屋及其他所有权、国有土地使用权、农村土地承包经营权、林权登记时，可以申请联名登记；申请联名登记的，登记机构应当予以登记。</w:t>
      </w:r>
    </w:p>
    <w:p w14:paraId="11E51CD9">
      <w:pPr>
        <w:ind w:firstLine="422"/>
      </w:pPr>
      <w:r>
        <w:rPr>
          <w:rFonts w:hint="eastAsia"/>
          <w:b/>
        </w:rPr>
        <w:t>第三十七条</w:t>
      </w:r>
      <w:r>
        <w:rPr>
          <w:rFonts w:hint="eastAsia"/>
        </w:rPr>
        <w:t>　婚姻关系依法解除后，男方不得干扰女方的人身自由、财产权利及其正常生活。</w:t>
      </w:r>
    </w:p>
    <w:p w14:paraId="15F186CD">
      <w:pPr>
        <w:ind w:firstLine="422"/>
      </w:pPr>
      <w:r>
        <w:rPr>
          <w:rFonts w:hint="eastAsia"/>
          <w:b/>
        </w:rPr>
        <w:t>第三十八条</w:t>
      </w:r>
      <w:r>
        <w:rPr>
          <w:rFonts w:hint="eastAsia"/>
        </w:rPr>
        <w:t>　禁止对女性家庭成员施加或者威胁施加使其身体、心理遭受伤害或者痛苦的家庭暴力行为。</w:t>
      </w:r>
    </w:p>
    <w:p w14:paraId="328DF7D0">
      <w:r>
        <w:rPr>
          <w:rFonts w:hint="eastAsia"/>
        </w:rPr>
        <w:t>遭受家庭暴力的妇女，有权向公安机关、民政部门、司法行政部门、妇女联合会、居民委员会、村民委员会及其所在单位提出救助请求，有关部门和单位应当提供救助，必要时依法提供法律援助。</w:t>
      </w:r>
    </w:p>
    <w:p w14:paraId="173BE09D">
      <w:pPr>
        <w:ind w:firstLine="422"/>
      </w:pPr>
      <w:r>
        <w:rPr>
          <w:rFonts w:hint="eastAsia"/>
          <w:b/>
        </w:rPr>
        <w:t>第三十九条</w:t>
      </w:r>
      <w:r>
        <w:rPr>
          <w:rFonts w:hint="eastAsia"/>
        </w:rPr>
        <w:t>　居民委员会、村民委员会和有关单位对正在实施的家庭暴力应当及时予以制止，参与对家庭暴力的调解，并可以根据受害妇女的请求出具证明或者提供帮助。</w:t>
      </w:r>
    </w:p>
    <w:p w14:paraId="012F578B">
      <w:r>
        <w:rPr>
          <w:rFonts w:hint="eastAsia"/>
        </w:rPr>
        <w:t>公安机关应当将家庭暴力报警纳入出警工作范围，并按照有关规定对家庭暴力求助投诉及时进行处理。</w:t>
      </w:r>
    </w:p>
    <w:p w14:paraId="68E98A89">
      <w:r>
        <w:rPr>
          <w:rFonts w:hint="eastAsia"/>
        </w:rPr>
        <w:t>市和区、县民政部门救助管理机构应当开展家庭暴力救助工作，为遭受家庭暴力暂时不能归家的妇女提供庇护和其他必要的临时性救助；会同司法行政、卫生、妇联等有关方面建立工作协调机制，为接受庇护的妇女提供法律服务、医疗救治、心理咨询。</w:t>
      </w:r>
    </w:p>
    <w:p w14:paraId="756137EE"/>
    <w:p w14:paraId="6F6EE023">
      <w:pPr>
        <w:ind w:firstLine="0" w:firstLineChars="0"/>
        <w:jc w:val="center"/>
        <w:rPr>
          <w:b/>
          <w:sz w:val="28"/>
        </w:rPr>
      </w:pPr>
      <w:r>
        <w:rPr>
          <w:rFonts w:hint="eastAsia"/>
          <w:b/>
          <w:sz w:val="28"/>
        </w:rPr>
        <w:t>第八章　法律救济与法律责任</w:t>
      </w:r>
    </w:p>
    <w:p w14:paraId="6A6EE851"/>
    <w:p w14:paraId="71B692B7">
      <w:pPr>
        <w:ind w:firstLine="422"/>
      </w:pPr>
      <w:r>
        <w:rPr>
          <w:rFonts w:hint="eastAsia"/>
          <w:b/>
        </w:rPr>
        <w:t>第四十条</w:t>
      </w:r>
      <w:r>
        <w:rPr>
          <w:rFonts w:hint="eastAsia"/>
        </w:rPr>
        <w:t>　妇女在权益受到侵害时，有权要求有关部门依法处理，或者依法向仲裁机构申请仲裁，或者向人民法院起诉。</w:t>
      </w:r>
    </w:p>
    <w:p w14:paraId="0D3D4289">
      <w:r>
        <w:rPr>
          <w:rFonts w:hint="eastAsia"/>
        </w:rPr>
        <w:t>对有经济困难需要法律援助或者司法救助的妇女，法律援助机构或者人民法院应当给予帮助，依法为其提供法律援助或者司法救助。</w:t>
      </w:r>
    </w:p>
    <w:p w14:paraId="03705B06">
      <w:pPr>
        <w:ind w:firstLine="422"/>
      </w:pPr>
      <w:r>
        <w:rPr>
          <w:rFonts w:hint="eastAsia"/>
          <w:b/>
        </w:rPr>
        <w:t>第四十一条</w:t>
      </w:r>
      <w:r>
        <w:rPr>
          <w:rFonts w:hint="eastAsia"/>
        </w:rPr>
        <w:t>　妇女在权益受到侵害时，可以向妇女组织投诉。妇女组织应当为权益受侵害的妇女提供法律咨询和指导，对于受害妇女进行诉讼需要帮助的，应当给予支持。</w:t>
      </w:r>
    </w:p>
    <w:p w14:paraId="0A316266">
      <w:r>
        <w:rPr>
          <w:rFonts w:hint="eastAsia"/>
        </w:rPr>
        <w:t>妇女组织有权要求有关部门或者单位查处侵害妇女权益的行为，有关部门或者单位应当依法查处，并予以答复。</w:t>
      </w:r>
    </w:p>
    <w:p w14:paraId="768D73AB">
      <w:pPr>
        <w:ind w:firstLine="422"/>
      </w:pPr>
      <w:r>
        <w:rPr>
          <w:rFonts w:hint="eastAsia"/>
          <w:b/>
        </w:rPr>
        <w:t>第四十二条</w:t>
      </w:r>
      <w:r>
        <w:rPr>
          <w:rFonts w:hint="eastAsia"/>
        </w:rPr>
        <w:t>　妇女联合会或者相关妇女组织对侵害特定妇女群体利益的行为，可以通过大众传播媒介揭露、批评，并有权要求有关部门依法查处。</w:t>
      </w:r>
    </w:p>
    <w:p w14:paraId="2D59AC97">
      <w:pPr>
        <w:ind w:firstLine="422"/>
      </w:pPr>
      <w:r>
        <w:rPr>
          <w:rFonts w:hint="eastAsia"/>
          <w:b/>
        </w:rPr>
        <w:t>第四十三条</w:t>
      </w:r>
      <w:r>
        <w:rPr>
          <w:rFonts w:hint="eastAsia"/>
        </w:rPr>
        <w:t>　任何单位和个人对于侵害妇女权益的行为，都可以向有关部门检举、控告，有关部门应当依法查处。</w:t>
      </w:r>
    </w:p>
    <w:p w14:paraId="70B06FB0">
      <w:pPr>
        <w:ind w:firstLine="422"/>
      </w:pPr>
      <w:r>
        <w:rPr>
          <w:rFonts w:hint="eastAsia"/>
          <w:b/>
        </w:rPr>
        <w:t>第四十四条</w:t>
      </w:r>
      <w:r>
        <w:rPr>
          <w:rFonts w:hint="eastAsia"/>
        </w:rPr>
        <w:t>　违反本办法第十五条第一款和第十六条第二款规定，对在录取学生、评审科研项目、派出学习深造、安排继续教育等方面，违反男女平等原则，侵害妇女文化教育权益的，由其所在单位或者上级机关责令改正，直接负责的主管人员和其他直接责任人员属于国家工作人员的，由其所在单位或者上级机关依法给予行政处分。</w:t>
      </w:r>
    </w:p>
    <w:p w14:paraId="64898D36">
      <w:pPr>
        <w:ind w:firstLine="422"/>
      </w:pPr>
      <w:r>
        <w:rPr>
          <w:rFonts w:hint="eastAsia"/>
          <w:b/>
        </w:rPr>
        <w:t>第四十五条</w:t>
      </w:r>
      <w:r>
        <w:rPr>
          <w:rFonts w:hint="eastAsia"/>
        </w:rPr>
        <w:t>　违反本办法第十八条第一款、第二十一条第四款规定，对无法定理由拒绝招用妇女、对妇女提高招用标准，违法变更、解除或者终止与女职工签订的劳动合同或者聘用合同，侵害妇女劳动权益的，由其所在单位或者上级机关责令改正，直接负责的主管人员和其他直接责任人员属于国家工作人员的，由其所在单位或者上级机关依法给予行政处分。</w:t>
      </w:r>
    </w:p>
    <w:p w14:paraId="72958286">
      <w:pPr>
        <w:ind w:firstLine="422"/>
      </w:pPr>
      <w:r>
        <w:rPr>
          <w:rFonts w:hint="eastAsia"/>
          <w:b/>
        </w:rPr>
        <w:t>第四十六条</w:t>
      </w:r>
      <w:r>
        <w:rPr>
          <w:rFonts w:hint="eastAsia"/>
        </w:rPr>
        <w:t>　违反本办法第二十六条规定，村民会议制定或者修改村民自治章程、村规民约，以及村民会议或者村民代表讨论决定事项违反宪法、法律、法规和国家政策侵害妇女财产权益的，受侵害的妇女可以向乡、镇人民政府申请调解，也可以依法向人民法院提起诉讼。</w:t>
      </w:r>
    </w:p>
    <w:p w14:paraId="76B8C655">
      <w:pPr>
        <w:ind w:firstLine="422"/>
      </w:pPr>
      <w:r>
        <w:rPr>
          <w:rFonts w:hint="eastAsia"/>
          <w:b/>
        </w:rPr>
        <w:t>第四十七条</w:t>
      </w:r>
      <w:r>
        <w:rPr>
          <w:rFonts w:hint="eastAsia"/>
        </w:rPr>
        <w:t>　违反本办法规定，对侵害妇女权益的申诉、控告、检举，推诿、拖延、压制不予查处的，或者对提出申诉、控告、检举的人进行打击报复的，由其所在单位、主管部门或者上级机关责令改正，并依法对直接负责的主管人员和其他直接责任人员给予行政处分。</w:t>
      </w:r>
    </w:p>
    <w:p w14:paraId="0B70B10E">
      <w:r>
        <w:rPr>
          <w:rFonts w:hint="eastAsia"/>
        </w:rPr>
        <w:t>本市国家机关及其工作人员未依法履行职责，对侵害妇女权益的行为未及时制止或者未给予受害妇女必要帮助，造成严重后果的，由其所在单位或者上级机关依法对直接负责的主管人员和其他直接责任人员给予行政处分。</w:t>
      </w:r>
    </w:p>
    <w:p w14:paraId="1735162F">
      <w:pPr>
        <w:ind w:firstLine="422"/>
      </w:pPr>
      <w:r>
        <w:rPr>
          <w:rFonts w:hint="eastAsia"/>
          <w:b/>
        </w:rPr>
        <w:t>第四十八条</w:t>
      </w:r>
      <w:r>
        <w:rPr>
          <w:rFonts w:hint="eastAsia"/>
        </w:rPr>
        <w:t>　对侵害妇女权益的其他行为，有关法律、法规已规定法律责任的，依照其规定。</w:t>
      </w:r>
    </w:p>
    <w:p w14:paraId="1F7787CF"/>
    <w:p w14:paraId="3D314344">
      <w:pPr>
        <w:ind w:firstLine="0" w:firstLineChars="0"/>
        <w:jc w:val="center"/>
        <w:rPr>
          <w:b/>
          <w:sz w:val="28"/>
        </w:rPr>
      </w:pPr>
      <w:r>
        <w:rPr>
          <w:rFonts w:hint="eastAsia"/>
          <w:b/>
          <w:sz w:val="28"/>
        </w:rPr>
        <w:t>第九章　附　则</w:t>
      </w:r>
    </w:p>
    <w:p w14:paraId="73AA5B4D"/>
    <w:p w14:paraId="08B6127C">
      <w:pPr>
        <w:ind w:firstLine="422"/>
      </w:pPr>
      <w:r>
        <w:rPr>
          <w:rFonts w:hint="eastAsia"/>
          <w:b/>
        </w:rPr>
        <w:t>第四十九条</w:t>
      </w:r>
      <w:r>
        <w:rPr>
          <w:rFonts w:hint="eastAsia"/>
        </w:rPr>
        <w:t>　本办法自</w:t>
      </w:r>
      <w:r>
        <w:rPr>
          <w:rFonts w:hint="eastAsia" w:ascii="宋体" w:hAnsi="宋体" w:eastAsia="宋体" w:cs="宋体"/>
        </w:rPr>
        <w:t>2009年11月1日</w:t>
      </w:r>
      <w:r>
        <w:rPr>
          <w:rFonts w:hint="eastAsia"/>
        </w:rPr>
        <w:t>起施行。</w:t>
      </w:r>
    </w:p>
    <w:p w14:paraId="7AAA232D">
      <w:pPr>
        <w:pStyle w:val="4"/>
        <w:pageBreakBefore/>
      </w:pPr>
      <w:bookmarkStart w:id="2090" w:name="_Toc428781804"/>
      <w:bookmarkStart w:id="2091" w:name="_Toc428780488"/>
      <w:bookmarkStart w:id="2092" w:name="_Toc426467056"/>
      <w:r>
        <w:rPr>
          <w:rFonts w:hint="eastAsia"/>
        </w:rPr>
        <w:t>北京市实施《中华人民共和国残疾人保障法》办法</w:t>
      </w:r>
      <w:bookmarkEnd w:id="2090"/>
      <w:bookmarkEnd w:id="2091"/>
      <w:bookmarkEnd w:id="2092"/>
    </w:p>
    <w:p w14:paraId="666EC2D4">
      <w:pPr>
        <w:ind w:left="630" w:leftChars="300" w:right="630" w:rightChars="300"/>
        <w:rPr>
          <w:rFonts w:ascii="楷体" w:hAnsi="楷体" w:eastAsia="楷体"/>
        </w:rPr>
      </w:pPr>
      <w:r>
        <w:rPr>
          <w:rFonts w:hint="eastAsia" w:ascii="楷体" w:hAnsi="楷体" w:eastAsia="楷体"/>
        </w:rPr>
        <w:t>（1994年7月22日北京市第十届人民代表大会常务委员会第十一次会议通过　2011年11月18日北京市第十三届人民代表大会常务委员会第二十八次会议修订）</w:t>
      </w:r>
    </w:p>
    <w:p w14:paraId="10A24276"/>
    <w:p w14:paraId="43E40A8F">
      <w:pPr>
        <w:ind w:firstLine="0" w:firstLineChars="0"/>
        <w:jc w:val="center"/>
        <w:rPr>
          <w:b/>
          <w:sz w:val="28"/>
        </w:rPr>
      </w:pPr>
      <w:r>
        <w:rPr>
          <w:rFonts w:hint="eastAsia"/>
          <w:b/>
          <w:sz w:val="28"/>
        </w:rPr>
        <w:t>第一章　总　则</w:t>
      </w:r>
    </w:p>
    <w:p w14:paraId="44592A82">
      <w:pPr>
        <w:ind w:firstLine="0" w:firstLineChars="0"/>
        <w:jc w:val="center"/>
        <w:rPr>
          <w:b/>
          <w:sz w:val="28"/>
        </w:rPr>
      </w:pPr>
    </w:p>
    <w:p w14:paraId="33D638A1">
      <w:pPr>
        <w:ind w:firstLine="422"/>
      </w:pPr>
      <w:r>
        <w:rPr>
          <w:rFonts w:hint="eastAsia"/>
          <w:b/>
        </w:rPr>
        <w:t>第一条</w:t>
      </w:r>
      <w:r>
        <w:rPr>
          <w:rFonts w:hint="eastAsia"/>
        </w:rPr>
        <w:t xml:space="preserve">  为了实施《中华人民共和国残疾人保障法》，结合本市实际情况，制定本办法。</w:t>
      </w:r>
    </w:p>
    <w:p w14:paraId="04DEF48E">
      <w:pPr>
        <w:ind w:firstLine="422"/>
      </w:pPr>
      <w:r>
        <w:rPr>
          <w:rFonts w:hint="eastAsia"/>
          <w:b/>
        </w:rPr>
        <w:t>第二条</w:t>
      </w:r>
      <w:r>
        <w:rPr>
          <w:rFonts w:hint="eastAsia"/>
        </w:rPr>
        <w:t xml:space="preserve">  残疾人在政治、经济、文化、社会和家庭生活等方面享有与其他公民平等的权利。</w:t>
      </w:r>
    </w:p>
    <w:p w14:paraId="2288B3CC">
      <w:r>
        <w:rPr>
          <w:rFonts w:hint="eastAsia"/>
        </w:rPr>
        <w:t>残疾人的公民权利和人格尊严受法律保护。</w:t>
      </w:r>
    </w:p>
    <w:p w14:paraId="0DEDCEE8">
      <w:r>
        <w:rPr>
          <w:rFonts w:hint="eastAsia"/>
        </w:rPr>
        <w:t>禁止基于残疾的歧视。禁止侮辱、虐待、遗弃、侵害残疾人。禁止通过大众传播媒介或者其他方式贬低损害残疾人人格。</w:t>
      </w:r>
    </w:p>
    <w:p w14:paraId="54196B0A">
      <w:pPr>
        <w:ind w:firstLine="422"/>
      </w:pPr>
      <w:r>
        <w:rPr>
          <w:rFonts w:hint="eastAsia"/>
          <w:b/>
        </w:rPr>
        <w:t>第三条</w:t>
      </w:r>
      <w:r>
        <w:rPr>
          <w:rFonts w:hint="eastAsia"/>
        </w:rPr>
        <w:t xml:space="preserve">  本市推进残疾人社会保障体系和服务体系建设，对残疾人给予特别扶助，减轻或者消除残疾影响和外界障碍，保障残疾人权利的实现，提升为残疾人服务的水平。</w:t>
      </w:r>
    </w:p>
    <w:p w14:paraId="0C94A9CA">
      <w:pPr>
        <w:ind w:firstLine="422"/>
      </w:pPr>
      <w:r>
        <w:rPr>
          <w:rFonts w:hint="eastAsia"/>
          <w:b/>
        </w:rPr>
        <w:t>第四条</w:t>
      </w:r>
      <w:r>
        <w:rPr>
          <w:rFonts w:hint="eastAsia"/>
        </w:rPr>
        <w:t xml:space="preserve">  市和区、县人民政府应当加强对残疾人事业的领导，制定专项发展规划，将残疾人事业纳入国民经济和社会发展规划，将残疾人事业所需经费列入财政预算并随国民经济发展和财政收入增长逐步增加，促进残疾人事业与经济、社会协调发展。</w:t>
      </w:r>
    </w:p>
    <w:p w14:paraId="0F084114">
      <w:r>
        <w:rPr>
          <w:rFonts w:hint="eastAsia"/>
        </w:rPr>
        <w:t>市和区、县人民政府残疾人工作机构应当组织、协调、指导、督促有关部门做好残疾人事业的工作，监督检查有关法律、法规、政策、规划的实施，建立和完善残疾人基础数据信息系统，研究解决残疾人工作中的重大问题。</w:t>
      </w:r>
    </w:p>
    <w:p w14:paraId="68B10324">
      <w:r>
        <w:rPr>
          <w:rFonts w:hint="eastAsia"/>
        </w:rPr>
        <w:t>发展改革、民政、卫生、教育、财政、人力资源和社会保障、统计等政府有关部门应当按照各自的职责开展残疾人权益保障工作，做好残疾人事业发展规划的实施监测、评估和残疾人的统计工作。</w:t>
      </w:r>
    </w:p>
    <w:p w14:paraId="2591E66E">
      <w:r>
        <w:rPr>
          <w:rFonts w:hint="eastAsia"/>
        </w:rPr>
        <w:t>乡镇人民政府和街道办事处应当明确相关机构和人员负责本辖区内残疾人权益保障工作。</w:t>
      </w:r>
    </w:p>
    <w:p w14:paraId="1D5CC9EE">
      <w:pPr>
        <w:ind w:firstLine="422"/>
      </w:pPr>
      <w:r>
        <w:rPr>
          <w:rFonts w:hint="eastAsia"/>
          <w:b/>
        </w:rPr>
        <w:t>第五条</w:t>
      </w:r>
      <w:r>
        <w:rPr>
          <w:rFonts w:hint="eastAsia"/>
        </w:rPr>
        <w:t xml:space="preserve">  本市各级残疾人联合会代表残疾人共同利益，维护残疾人合法权益，团结教育残疾人，为残疾人服务。</w:t>
      </w:r>
    </w:p>
    <w:p w14:paraId="604A9435">
      <w:r>
        <w:rPr>
          <w:rFonts w:hint="eastAsia"/>
        </w:rPr>
        <w:t>残疾人联合会依照法律、法规、章程或者接受政府委托开展残疾人工作，参与与残疾人事业有关的社会管理和公共服务，动员社会力量，发展残疾人事业。</w:t>
      </w:r>
    </w:p>
    <w:p w14:paraId="26FA4206">
      <w:r>
        <w:rPr>
          <w:rFonts w:hint="eastAsia"/>
        </w:rPr>
        <w:t>市和区、县残疾人联合会根据政府授权负责联系、指导、管理面向残疾人服务的社会组织，提供相关服务，做好残疾人工作。</w:t>
      </w:r>
    </w:p>
    <w:p w14:paraId="22DF8C44">
      <w:pPr>
        <w:ind w:firstLine="422"/>
      </w:pPr>
      <w:r>
        <w:rPr>
          <w:rFonts w:hint="eastAsia"/>
          <w:b/>
        </w:rPr>
        <w:t>第六条</w:t>
      </w:r>
      <w:r>
        <w:rPr>
          <w:rFonts w:hint="eastAsia"/>
        </w:rPr>
        <w:t xml:space="preserve">  居民委员会、村民委员会应当协助政府及有关部门开展残疾人权益保障和服务工作，反映残疾人的特殊需求，组织残疾人开展文化体育等有益活动。</w:t>
      </w:r>
    </w:p>
    <w:p w14:paraId="6F046B9F">
      <w:pPr>
        <w:ind w:firstLine="422"/>
      </w:pPr>
      <w:r>
        <w:rPr>
          <w:rFonts w:hint="eastAsia"/>
          <w:b/>
        </w:rPr>
        <w:t>第七条</w:t>
      </w:r>
      <w:r>
        <w:rPr>
          <w:rFonts w:hint="eastAsia"/>
        </w:rPr>
        <w:t xml:space="preserve">  本市各级人民政府应当保障残疾人依法参与管理国家事务，管理经济和文化事业，管理社会事务。</w:t>
      </w:r>
    </w:p>
    <w:p w14:paraId="665C8518">
      <w:r>
        <w:rPr>
          <w:rFonts w:hint="eastAsia"/>
        </w:rPr>
        <w:t>本市各级人民代表大会代表候选人中应当有残疾人或者残疾人工作者。</w:t>
      </w:r>
    </w:p>
    <w:p w14:paraId="17A4634D">
      <w:r>
        <w:rPr>
          <w:rFonts w:hint="eastAsia"/>
        </w:rPr>
        <w:t>残疾人和残疾人组织有权向本市各级国家机关提出残疾人权益保障、残疾人事业发展等方面的意见和建议。制定地方性法规、规章和公共政策时，对涉及残疾人权益和残疾人事业的重大问题，应当听取残疾人和残疾人组织的意见。</w:t>
      </w:r>
    </w:p>
    <w:p w14:paraId="73399E48">
      <w:r>
        <w:rPr>
          <w:rFonts w:hint="eastAsia"/>
        </w:rPr>
        <w:t>本市逐步建立和完善残疾人干部培养、选拔机制。</w:t>
      </w:r>
    </w:p>
    <w:p w14:paraId="794D792B">
      <w:pPr>
        <w:ind w:firstLine="422"/>
      </w:pPr>
      <w:r>
        <w:rPr>
          <w:rFonts w:hint="eastAsia"/>
          <w:b/>
        </w:rPr>
        <w:t>第八条</w:t>
      </w:r>
      <w:r>
        <w:rPr>
          <w:rFonts w:hint="eastAsia"/>
        </w:rPr>
        <w:t xml:space="preserve">  全社会应当发扬人道主义精神，理解、尊重、关心、帮助残疾人，支持残疾人事业。</w:t>
      </w:r>
    </w:p>
    <w:p w14:paraId="07C4F5AC">
      <w:r>
        <w:rPr>
          <w:rFonts w:hint="eastAsia"/>
        </w:rPr>
        <w:t>本市采取公办民营、民办公助、政府补贴和政府购买服务等方式，鼓励和支持各类社会组织、企业、个人兴办残疾人康复、教育、托养、无障碍信息交流等服务机构和项目，发展残疾人服务业。</w:t>
      </w:r>
    </w:p>
    <w:p w14:paraId="4D1E3D3C">
      <w:r>
        <w:rPr>
          <w:rFonts w:hint="eastAsia"/>
        </w:rPr>
        <w:t>鼓励社会组织和个人以向残疾人福利基金会等慈善机构捐赠等形式参与残疾人事业，开展社会公益活动，为残疾人提供便利和服务。</w:t>
      </w:r>
    </w:p>
    <w:p w14:paraId="5E301D4A">
      <w:r>
        <w:rPr>
          <w:rFonts w:hint="eastAsia"/>
        </w:rPr>
        <w:t>彩票公益金应当按照国家和本市规定用于发展残疾人事业。</w:t>
      </w:r>
    </w:p>
    <w:p w14:paraId="07763B73">
      <w:r>
        <w:rPr>
          <w:rFonts w:hint="eastAsia"/>
        </w:rPr>
        <w:t>支持志愿服务组织参与残疾人事业，鼓励志愿者学习、掌握相应的知识和技能，为残疾人提供志愿服务。志愿者可以依照有关规定享受志愿者权益。</w:t>
      </w:r>
    </w:p>
    <w:p w14:paraId="3677B6D3">
      <w:pPr>
        <w:ind w:firstLine="422"/>
      </w:pPr>
      <w:r>
        <w:rPr>
          <w:rFonts w:hint="eastAsia"/>
          <w:b/>
        </w:rPr>
        <w:t>第九条</w:t>
      </w:r>
      <w:r>
        <w:rPr>
          <w:rFonts w:hint="eastAsia"/>
        </w:rPr>
        <w:t xml:space="preserve">  鼓励残疾人自尊、自信、自强、自立，为社会主义建设贡献力量。</w:t>
      </w:r>
    </w:p>
    <w:p w14:paraId="4022B13C">
      <w:r>
        <w:rPr>
          <w:rFonts w:hint="eastAsia"/>
        </w:rPr>
        <w:t>残疾人应当遵守法律、法规，履行应尽的义务，遵守公共秩序，尊重社会公德。</w:t>
      </w:r>
    </w:p>
    <w:p w14:paraId="63C1ACAB">
      <w:pPr>
        <w:ind w:firstLine="422"/>
      </w:pPr>
      <w:r>
        <w:rPr>
          <w:rFonts w:hint="eastAsia"/>
          <w:b/>
        </w:rPr>
        <w:t>第十条</w:t>
      </w:r>
      <w:r>
        <w:rPr>
          <w:rFonts w:hint="eastAsia"/>
        </w:rPr>
        <w:t xml:space="preserve">  本市各级人民政府应当建立健全出生缺陷和残疾预防体系，有计划地开展残疾预防工作，宣传普及母婴保健和预防残疾的知识，完善产前检查制度，针对遗传、疾病、药物、事故、灾害、环境污染和其他致残因素，组织和动员社会力量，采取措施，预防残疾的发生和发展。</w:t>
      </w:r>
    </w:p>
    <w:p w14:paraId="4D469600">
      <w:pPr>
        <w:ind w:firstLine="422"/>
        <w:rPr>
          <w:b/>
        </w:rPr>
      </w:pPr>
      <w:r>
        <w:rPr>
          <w:rFonts w:hint="eastAsia"/>
          <w:b/>
        </w:rPr>
        <w:t xml:space="preserve">第十一条  </w:t>
      </w:r>
      <w:r>
        <w:rPr>
          <w:rFonts w:hint="eastAsia"/>
        </w:rPr>
        <w:t>申请残疾评定的人员应当按照本市有关规定到户籍所在地居民委员会或者村民委员会领取残疾评定申请表，并到区、县卫生行政部门会同残疾人联合会确定的医疗机构进行医学诊断；区、县残疾评定委员会根据医学诊断结果作出残疾评定结论。申请残疾评定人员对区、县残疾评定委员会作出的残疾评定结论有异议的，可以向市残疾评定委员会申请复查。经评定符合国务院规定的残疾标准的人员，由区、县残疾人联合会核发残疾人证。</w:t>
      </w:r>
    </w:p>
    <w:p w14:paraId="4BF96E2D">
      <w:r>
        <w:t>居民委员会、村民委员会、有关医疗机构及残疾人联合会应当为残疾人申请残疾评定提供便利和服务。</w:t>
      </w:r>
    </w:p>
    <w:p w14:paraId="16A70F5B">
      <w:r>
        <w:t>残疾人凭残疾人证享受国家和本市规定的相关福利待遇。</w:t>
      </w:r>
    </w:p>
    <w:p w14:paraId="3B7ADD5C">
      <w:pPr>
        <w:ind w:firstLine="422"/>
        <w:rPr>
          <w:b/>
        </w:rPr>
      </w:pPr>
      <w:r>
        <w:rPr>
          <w:b/>
        </w:rPr>
        <w:t>第十二条</w:t>
      </w:r>
      <w:r>
        <w:rPr>
          <w:rFonts w:hint="eastAsia"/>
          <w:b/>
        </w:rPr>
        <w:t xml:space="preserve">  </w:t>
      </w:r>
      <w:r>
        <w:t>本市各级人民政府和有关部门对在社会主义建设中做出显著成绩的残疾人，以及在维护残疾人合法权益、发展残疾人事业、为残疾人服务等方面取得显著成绩的单位和个人，给予表彰和奖励。</w:t>
      </w:r>
    </w:p>
    <w:p w14:paraId="0A316E80">
      <w:pPr>
        <w:ind w:firstLine="422"/>
        <w:rPr>
          <w:b/>
        </w:rPr>
      </w:pPr>
    </w:p>
    <w:p w14:paraId="32E846B5">
      <w:pPr>
        <w:ind w:firstLine="0" w:firstLineChars="0"/>
        <w:jc w:val="center"/>
        <w:rPr>
          <w:b/>
          <w:sz w:val="28"/>
        </w:rPr>
      </w:pPr>
      <w:r>
        <w:rPr>
          <w:rFonts w:hint="eastAsia"/>
          <w:b/>
          <w:sz w:val="28"/>
        </w:rPr>
        <w:t>第二章  康  复</w:t>
      </w:r>
    </w:p>
    <w:p w14:paraId="4F872FE9">
      <w:pPr>
        <w:ind w:firstLine="422"/>
        <w:rPr>
          <w:b/>
        </w:rPr>
      </w:pPr>
    </w:p>
    <w:p w14:paraId="16E3821E">
      <w:r>
        <w:t>第十三条</w:t>
      </w:r>
      <w:r>
        <w:rPr>
          <w:rFonts w:hint="eastAsia"/>
        </w:rPr>
        <w:t xml:space="preserve">  </w:t>
      </w:r>
      <w:r>
        <w:t>各级人民政府和有关部门应当将残疾人康复纳入基本医疗卫生制度和基层医疗卫生服务体系，建立和完善以社区康复为基础、康复机构为骨干、残疾人家庭为依托的残疾人康复服务体系，保障残疾人享有康复服务的权利。</w:t>
      </w:r>
    </w:p>
    <w:p w14:paraId="626E7E98">
      <w:r>
        <w:t>市卫生、民政、教育、质量技术监督等行政部门和残疾人联合会应当制定和完善残疾人康复技术和服务规范，实行规范化管理，保障残疾人得到有效的康复服务。</w:t>
      </w:r>
    </w:p>
    <w:p w14:paraId="1AF1DAB1">
      <w:pPr>
        <w:ind w:firstLine="422"/>
      </w:pPr>
      <w:r>
        <w:rPr>
          <w:b/>
        </w:rPr>
        <w:t>第十四条</w:t>
      </w:r>
      <w:r>
        <w:rPr>
          <w:rFonts w:hint="eastAsia"/>
          <w:b/>
        </w:rPr>
        <w:t xml:space="preserve">  </w:t>
      </w:r>
      <w:r>
        <w:t>社区卫生服务机构应当按照设置标准配备康复基本设施和专业人员，开展康复工作。卫生等相关部门负责对社区康复工作进行检查、指导和评估。</w:t>
      </w:r>
    </w:p>
    <w:p w14:paraId="414C6BCA">
      <w:r>
        <w:t>民政、人口计生行政部门和残疾人联合会应当指导社区服务组织、计划生育服务站、社区残疾人组织、残疾人家庭和其他社会力量，为残疾人提供社区康复服务。</w:t>
      </w:r>
    </w:p>
    <w:p w14:paraId="4C91A75D">
      <w:pPr>
        <w:ind w:firstLine="422"/>
      </w:pPr>
      <w:r>
        <w:rPr>
          <w:b/>
        </w:rPr>
        <w:t>第十五条</w:t>
      </w:r>
      <w:r>
        <w:rPr>
          <w:rFonts w:hint="eastAsia"/>
          <w:b/>
        </w:rPr>
        <w:t xml:space="preserve">  </w:t>
      </w:r>
      <w:r>
        <w:t>市和区、县人民政府应当组织卫生等行政部门和残疾人联合会编制康复机构建设发展计划，建立公益性康复机构；鼓励、扶持社会组织和个人兴办残疾人康复机构。</w:t>
      </w:r>
    </w:p>
    <w:p w14:paraId="6918068C">
      <w:r>
        <w:t>卫生行政部门应当指导医疗机构设立康复医学科室，开展康复医疗与训练、人员培训、技术指导、科学研究等工作。</w:t>
      </w:r>
    </w:p>
    <w:p w14:paraId="7CF8B4FE">
      <w:pPr>
        <w:rPr>
          <w:b/>
        </w:rPr>
      </w:pPr>
      <w:r>
        <w:t>残疾人教育机构、福利性单位和其他为残疾人服务的机构应当创造条件，开展康复训练活动。</w:t>
      </w:r>
    </w:p>
    <w:p w14:paraId="0BC3EBB3">
      <w:pPr>
        <w:ind w:firstLine="422"/>
        <w:rPr>
          <w:b/>
        </w:rPr>
      </w:pPr>
      <w:r>
        <w:rPr>
          <w:b/>
        </w:rPr>
        <w:t>第十六条</w:t>
      </w:r>
      <w:r>
        <w:rPr>
          <w:rFonts w:hint="eastAsia"/>
          <w:b/>
        </w:rPr>
        <w:t xml:space="preserve">  </w:t>
      </w:r>
      <w:r>
        <w:t>从事康复工作的机构应当具备与开展康复服务相适应的场地、设备、设施和专业人员，并按照残疾人康复技术服务规范开展康复服务。</w:t>
      </w:r>
    </w:p>
    <w:p w14:paraId="3AFFF84D">
      <w:pPr>
        <w:ind w:firstLine="422"/>
        <w:rPr>
          <w:b/>
        </w:rPr>
      </w:pPr>
      <w:r>
        <w:rPr>
          <w:b/>
        </w:rPr>
        <w:t>第十七条</w:t>
      </w:r>
      <w:r>
        <w:rPr>
          <w:rFonts w:hint="eastAsia"/>
          <w:b/>
        </w:rPr>
        <w:t xml:space="preserve">  </w:t>
      </w:r>
      <w:r>
        <w:t>公益性康复机构、社区卫生服务机构等康复机构应当对实施家庭康复的残疾人及其家属、志愿者给予技术指导、培训和支持。</w:t>
      </w:r>
    </w:p>
    <w:p w14:paraId="5AD007C8">
      <w:pPr>
        <w:ind w:firstLine="422"/>
      </w:pPr>
      <w:r>
        <w:rPr>
          <w:b/>
        </w:rPr>
        <w:t>第十八条</w:t>
      </w:r>
      <w:r>
        <w:rPr>
          <w:rFonts w:hint="eastAsia"/>
          <w:b/>
        </w:rPr>
        <w:t xml:space="preserve"> </w:t>
      </w:r>
      <w:r>
        <w:rPr>
          <w:rFonts w:hint="eastAsia"/>
        </w:rPr>
        <w:t xml:space="preserve"> </w:t>
      </w:r>
      <w:r>
        <w:t>各级人民政府应当创造条件，优先开展残疾儿童抢救性治疗和康复。</w:t>
      </w:r>
    </w:p>
    <w:p w14:paraId="58D1CF2D">
      <w:pPr>
        <w:rPr>
          <w:b/>
        </w:rPr>
      </w:pPr>
      <w:r>
        <w:t>卫生行政部门应当将儿童残疾的早期监测、发现、转诊和干预纳入市和区、县及基层卫生服务机构三级保健网，组织医疗机构建立儿童残疾早期报告制度。</w:t>
      </w:r>
    </w:p>
    <w:p w14:paraId="549F2329">
      <w:r>
        <w:t>对零至六周岁残疾儿童免费提供早期筛查、诊断、康复训练、辅助器具适配等抢救性康复服务。</w:t>
      </w:r>
    </w:p>
    <w:p w14:paraId="104D8B4D">
      <w:pPr>
        <w:ind w:firstLine="422"/>
      </w:pPr>
      <w:r>
        <w:rPr>
          <w:b/>
        </w:rPr>
        <w:t>第十九条</w:t>
      </w:r>
      <w:r>
        <w:rPr>
          <w:rFonts w:hint="eastAsia"/>
          <w:b/>
        </w:rPr>
        <w:t xml:space="preserve">  </w:t>
      </w:r>
      <w:r>
        <w:t>市和区、县人民政府应当建立健全残疾人辅助器具服务体系，支持辅助器具产品研发和产业发展。</w:t>
      </w:r>
    </w:p>
    <w:p w14:paraId="279B9147">
      <w:r>
        <w:t>残疾人辅助器具服务机构应当组织开展辅助器具的适配评估、供应、配发、维修、改造和信息咨询等服务。</w:t>
      </w:r>
    </w:p>
    <w:p w14:paraId="342774F8">
      <w:pPr>
        <w:ind w:firstLine="422"/>
      </w:pPr>
      <w:r>
        <w:rPr>
          <w:b/>
        </w:rPr>
        <w:t>第二十条</w:t>
      </w:r>
      <w:r>
        <w:rPr>
          <w:rFonts w:hint="eastAsia"/>
          <w:b/>
        </w:rPr>
        <w:t xml:space="preserve">  </w:t>
      </w:r>
      <w:r>
        <w:t>市人民政府应当根据国家有关规定和本市实际情况确定向残疾人免费提供的基本公共卫生服务项目。</w:t>
      </w:r>
    </w:p>
    <w:p w14:paraId="5B40986B">
      <w:r>
        <w:t>残疾人医疗康复服务按照国家和本市有关规定纳入基本医疗保障范围。</w:t>
      </w:r>
    </w:p>
    <w:p w14:paraId="3F95E529">
      <w:r>
        <w:t>残疾人接受基本康复服务，配置和更换辅助器具，按照本市有关规定享受救助或者补贴。</w:t>
      </w:r>
    </w:p>
    <w:p w14:paraId="0D693C87">
      <w:r>
        <w:t>对重性精神疾病患者实行基本药物免费制度。重性精神疾病患者基本药物费用中由基本医疗保险基金支付以外的个人负担部分，由政府给予全额补贴。具体办法由市卫生行政部门会同财政、人力资源和社会保障、民政等行政部门和市残疾人联合会制定。</w:t>
      </w:r>
    </w:p>
    <w:p w14:paraId="47B98C47">
      <w:pPr>
        <w:ind w:firstLine="422"/>
      </w:pPr>
      <w:r>
        <w:rPr>
          <w:b/>
        </w:rPr>
        <w:t>第二十一条</w:t>
      </w:r>
      <w:r>
        <w:rPr>
          <w:rFonts w:hint="eastAsia"/>
          <w:b/>
        </w:rPr>
        <w:t xml:space="preserve">  </w:t>
      </w:r>
      <w:r>
        <w:t>卫生、民政、教育等行政部门和残疾人联合会应当完善培养机制，采取多种形式培养各类康复专业人才，对从事康复工作的人员定期进行技术培训，鼓励卫生专业人员和社会工作者从事残疾人康复工作。</w:t>
      </w:r>
    </w:p>
    <w:p w14:paraId="658F049F">
      <w:r>
        <w:t>教育行政部门应当指导各类医学院校和其他有关院校增设康复课程，设置相关专业，开展康复科学研究与教学。</w:t>
      </w:r>
    </w:p>
    <w:p w14:paraId="68881AED">
      <w:pPr>
        <w:spacing w:line="300" w:lineRule="exact"/>
      </w:pPr>
    </w:p>
    <w:p w14:paraId="5E738D51">
      <w:pPr>
        <w:ind w:firstLine="0" w:firstLineChars="0"/>
        <w:jc w:val="center"/>
        <w:rPr>
          <w:b/>
          <w:sz w:val="28"/>
        </w:rPr>
      </w:pPr>
      <w:r>
        <w:rPr>
          <w:rFonts w:hint="eastAsia"/>
          <w:b/>
          <w:sz w:val="28"/>
        </w:rPr>
        <w:t>第三章  教  育</w:t>
      </w:r>
    </w:p>
    <w:p w14:paraId="059D8C5D">
      <w:pPr>
        <w:spacing w:line="300" w:lineRule="exact"/>
        <w:ind w:firstLine="422"/>
        <w:rPr>
          <w:b/>
        </w:rPr>
      </w:pPr>
    </w:p>
    <w:p w14:paraId="3237FDE6">
      <w:pPr>
        <w:ind w:firstLine="422"/>
      </w:pPr>
      <w:r>
        <w:rPr>
          <w:b/>
        </w:rPr>
        <w:t>第二十二条</w:t>
      </w:r>
      <w:r>
        <w:rPr>
          <w:rFonts w:hint="eastAsia"/>
          <w:b/>
        </w:rPr>
        <w:t xml:space="preserve">  </w:t>
      </w:r>
      <w:r>
        <w:t>市和区、县人民政府应当将残疾人教育作为本市教育事业的组成部分，统一规划，采取措施，完善残疾人教育体系，加强残疾人学前教育、高级中等以上教育机构建设，开展教育督导和评估，保障残疾人享有平等接受教育的权利。</w:t>
      </w:r>
    </w:p>
    <w:p w14:paraId="001B01BF">
      <w:pPr>
        <w:ind w:firstLine="422"/>
      </w:pPr>
      <w:r>
        <w:rPr>
          <w:b/>
        </w:rPr>
        <w:t>第二十三条</w:t>
      </w:r>
      <w:r>
        <w:rPr>
          <w:rFonts w:hint="eastAsia"/>
          <w:b/>
        </w:rPr>
        <w:t xml:space="preserve">  </w:t>
      </w:r>
      <w:r>
        <w:t>市和区、县教育、规划行政部门和残疾人联合会应当会同发展改革、民政、财政、人力资源和社会保障、卫生等行政部门制定残疾人教育规划并组织实施。</w:t>
      </w:r>
    </w:p>
    <w:p w14:paraId="66441B3A">
      <w:r>
        <w:t>市教育行政部门应当制定和完善特殊教育机构的办学标准和残疾人教育评估标准。</w:t>
      </w:r>
    </w:p>
    <w:p w14:paraId="0622C912">
      <w:r>
        <w:t>随班就读残疾学生生均公用经费标准按照特殊教育学校生均标准执行。</w:t>
      </w:r>
    </w:p>
    <w:p w14:paraId="4BEDAF74">
      <w:pPr>
        <w:ind w:firstLine="422"/>
      </w:pPr>
      <w:r>
        <w:rPr>
          <w:b/>
        </w:rPr>
        <w:t>第二十四条</w:t>
      </w:r>
      <w:r>
        <w:rPr>
          <w:rFonts w:hint="eastAsia"/>
          <w:b/>
        </w:rPr>
        <w:t xml:space="preserve">  </w:t>
      </w:r>
      <w:r>
        <w:t>本市普通幼儿教育机构应当接收能适应其生活的残疾儿童。</w:t>
      </w:r>
    </w:p>
    <w:p w14:paraId="68B512EB">
      <w:r>
        <w:t>市和区、县人民政府应当支持特殊教育机构设立残疾儿童学前班。</w:t>
      </w:r>
    </w:p>
    <w:p w14:paraId="752824BD">
      <w:r>
        <w:t>支持、鼓励社会公益性组织兴办招收残疾儿童的幼儿园、启智班等，对残疾儿童进行心理康复、智力开发、行走定向及听力、视力、言语、肢体等功能训练。</w:t>
      </w:r>
    </w:p>
    <w:p w14:paraId="5539E43F">
      <w:r>
        <w:t>残疾人康复机构、社会福利机构应当保障机构内的残疾儿童接受学前教育。</w:t>
      </w:r>
    </w:p>
    <w:p w14:paraId="69EB3592">
      <w:pPr>
        <w:ind w:firstLine="422"/>
        <w:rPr>
          <w:b/>
        </w:rPr>
      </w:pPr>
      <w:r>
        <w:rPr>
          <w:b/>
        </w:rPr>
        <w:t>第二十五条</w:t>
      </w:r>
      <w:r>
        <w:rPr>
          <w:rFonts w:hint="eastAsia"/>
          <w:b/>
        </w:rPr>
        <w:t xml:space="preserve">  </w:t>
      </w:r>
      <w:r>
        <w:t>实施义务教育的学校必须招收能适应学校学习生活的残疾儿童、少年入学。对不能随班就读的残疾儿童、少年，教育行政部门应当根据需要在普通学校附设特殊教育班或者组织到特殊教育学校就读。对义务教育年龄段内不能到学校就读的重度和多重残疾儿童、少年，教育行政部门应当建立统一的学籍管理制度，组织开展送教上门服务。</w:t>
      </w:r>
    </w:p>
    <w:p w14:paraId="09B53D97">
      <w:pPr>
        <w:ind w:firstLine="422"/>
      </w:pPr>
      <w:r>
        <w:rPr>
          <w:b/>
        </w:rPr>
        <w:t>第二十六条</w:t>
      </w:r>
      <w:r>
        <w:rPr>
          <w:rFonts w:hint="eastAsia"/>
          <w:b/>
        </w:rPr>
        <w:t xml:space="preserve">  </w:t>
      </w:r>
      <w:r>
        <w:t>普通高级中等学校、中等职业学校和高等院校应当按照国家和本市有关规定，允许符合条件的残疾人报考，对达到录取标准的，必须录取，不得拒收。</w:t>
      </w:r>
    </w:p>
    <w:p w14:paraId="1DA6EE3C">
      <w:r>
        <w:t>普通高级中等学校、中等职业学校和高等院校应当通过随班就读或者附设的特殊教育班，对残疾人实施文化教育和职业教育。</w:t>
      </w:r>
    </w:p>
    <w:p w14:paraId="1FB1BA36">
      <w:r>
        <w:t>高级中等以上特殊教育机构应当根据残疾人特点开展职业教育。</w:t>
      </w:r>
    </w:p>
    <w:p w14:paraId="69CA5E70">
      <w:pPr>
        <w:ind w:firstLine="422"/>
      </w:pPr>
      <w:r>
        <w:rPr>
          <w:b/>
        </w:rPr>
        <w:t>第二十七条</w:t>
      </w:r>
      <w:r>
        <w:rPr>
          <w:rFonts w:hint="eastAsia"/>
          <w:b/>
        </w:rPr>
        <w:t xml:space="preserve">  </w:t>
      </w:r>
      <w:r>
        <w:t>各级人民政府和有关部门应当健全和完善扶残助学制度，对残疾学生及经济困难的残疾人家庭的子女接受学校教育给予资助。</w:t>
      </w:r>
    </w:p>
    <w:p w14:paraId="49EE834F">
      <w:r>
        <w:t>本市逐步实行残疾人免费接受高级中等普通教育和职业教育。</w:t>
      </w:r>
    </w:p>
    <w:p w14:paraId="5E58A77B">
      <w:pPr>
        <w:ind w:firstLine="422"/>
      </w:pPr>
      <w:r>
        <w:rPr>
          <w:b/>
        </w:rPr>
        <w:t>第二十八条</w:t>
      </w:r>
      <w:r>
        <w:rPr>
          <w:rFonts w:hint="eastAsia"/>
          <w:b/>
        </w:rPr>
        <w:t xml:space="preserve">  </w:t>
      </w:r>
      <w:r>
        <w:t>对残疾人实施教育的机构应当根据需要聘用专业教师，配备必要的康复、技术设备和无障碍设施，方便残疾学生学习和生活。</w:t>
      </w:r>
    </w:p>
    <w:p w14:paraId="2EB650B5">
      <w:r>
        <w:t>教育行政部门应当根据实际情况为残疾人参加国家各类升学考试提供大字试卷、盲文试卷等便利条件或者组织专门服务人员予以协助；鼓励和支持教育机构通过远程教育等方式为残疾人接受教育提供便利。</w:t>
      </w:r>
    </w:p>
    <w:p w14:paraId="7D8C64B6">
      <w:pPr>
        <w:ind w:firstLine="422"/>
      </w:pPr>
      <w:r>
        <w:rPr>
          <w:b/>
        </w:rPr>
        <w:t>第二十九条</w:t>
      </w:r>
      <w:r>
        <w:rPr>
          <w:rFonts w:hint="eastAsia"/>
          <w:b/>
        </w:rPr>
        <w:t xml:space="preserve">  </w:t>
      </w:r>
      <w:r>
        <w:t>教育行政部门应当有计划地举办特殊教育师范院校，在普通师范院校开设特殊教育专业，培养、培训特殊教育师资。普通师范院校应当开设特殊教育课程，使普通教师掌握必要的特殊教育知识。</w:t>
      </w:r>
    </w:p>
    <w:p w14:paraId="33FE0D60">
      <w:r>
        <w:t>从事特殊教育的教师及从事聋人手语、盲文翻译的专业工作人员，按照国家和本市的有关规定给予特殊教育津贴。对承担随班就读工作的教师给予岗位补助。对从事特殊教育满十年的，发给荣誉证书，累计十五年以上并从特殊教育岗位退休的，其享受的特殊教育津贴计入退休费的计算基数。</w:t>
      </w:r>
    </w:p>
    <w:p w14:paraId="1E42E46E">
      <w:r>
        <w:t>本市建立和完善特殊教育教师持证上岗、培训考核、职称评定和表彰奖励制度。</w:t>
      </w:r>
    </w:p>
    <w:p w14:paraId="01406477">
      <w:pPr>
        <w:ind w:firstLine="422"/>
        <w:rPr>
          <w:b/>
        </w:rPr>
      </w:pPr>
    </w:p>
    <w:p w14:paraId="29EFB192">
      <w:pPr>
        <w:ind w:firstLine="422"/>
        <w:rPr>
          <w:b/>
        </w:rPr>
      </w:pPr>
    </w:p>
    <w:p w14:paraId="0DAF3591">
      <w:pPr>
        <w:ind w:firstLine="0" w:firstLineChars="0"/>
        <w:jc w:val="center"/>
        <w:rPr>
          <w:b/>
          <w:sz w:val="28"/>
        </w:rPr>
      </w:pPr>
      <w:r>
        <w:rPr>
          <w:rFonts w:hint="eastAsia"/>
          <w:b/>
          <w:sz w:val="28"/>
        </w:rPr>
        <w:t>第四章  劳动就业</w:t>
      </w:r>
    </w:p>
    <w:p w14:paraId="03F9509B">
      <w:pPr>
        <w:ind w:firstLine="422"/>
        <w:rPr>
          <w:b/>
        </w:rPr>
      </w:pPr>
    </w:p>
    <w:p w14:paraId="52150874">
      <w:pPr>
        <w:ind w:firstLine="422"/>
      </w:pPr>
      <w:r>
        <w:rPr>
          <w:b/>
        </w:rPr>
        <w:t>第三十条</w:t>
      </w:r>
      <w:r>
        <w:rPr>
          <w:rFonts w:hint="eastAsia"/>
          <w:b/>
        </w:rPr>
        <w:t xml:space="preserve">  </w:t>
      </w:r>
      <w:r>
        <w:t>各级人民政府应当将有劳动能力和就业愿望的残疾人纳入就业困难群体范围，按照集中与分散相结合的方针，给予优惠扶持和特殊保护，创新就业方式，多渠道、多层次、多种形式促进残疾人就业，保障残疾人的劳动权利。</w:t>
      </w:r>
    </w:p>
    <w:p w14:paraId="240B43BD">
      <w:r>
        <w:t>市和区、县人民政府残疾人工作机构应当统筹协调人力资源和社会保障、民政、农村工作等行政部门及残疾人联合会制定和实施残疾人就业规划，加强对残疾人就业情况的监督，做好残疾人就业工作。</w:t>
      </w:r>
    </w:p>
    <w:p w14:paraId="16C8A1C4">
      <w:pPr>
        <w:ind w:firstLine="422"/>
      </w:pPr>
      <w:r>
        <w:rPr>
          <w:b/>
        </w:rPr>
        <w:t>第三十一条</w:t>
      </w:r>
      <w:r>
        <w:rPr>
          <w:rFonts w:hint="eastAsia"/>
          <w:b/>
        </w:rPr>
        <w:t xml:space="preserve">  </w:t>
      </w:r>
      <w:r>
        <w:t>机关、团体、企业事业单位、民办非企业单位等各类用人单位应当根据国家和本市有关规定履行安排残疾人就业的义务，按照不少于本单位在职职工总数</w:t>
      </w:r>
      <w:r>
        <w:rPr>
          <w:rFonts w:hint="eastAsia" w:ascii="宋体" w:hAnsi="宋体" w:eastAsia="宋体" w:cs="宋体"/>
        </w:rPr>
        <w:t>1.7%</w:t>
      </w:r>
      <w:r>
        <w:t>的比例安排残疾人就业。</w:t>
      </w:r>
    </w:p>
    <w:p w14:paraId="48C984A8">
      <w:r>
        <w:t>本市国家机关、事业单位、国有及国有控股企业安排残疾人就业未达到规定比例的，招录工作人员时应当单列一定数量的岗位，依照公开、平等、竞争、择优的原则和程序定向招录符合岗位要求的残疾人。</w:t>
      </w:r>
    </w:p>
    <w:p w14:paraId="7013F225">
      <w:r>
        <w:t>用人单位应当按照有关规定定期向所在区、县残疾人就业服务机构申报安排残疾人就业情况。达不到规定比例的用人单位，应当缴纳残疾人就业保障金。</w:t>
      </w:r>
    </w:p>
    <w:p w14:paraId="65FD58B5">
      <w:r>
        <w:t>残疾人就业保障金应当用于残疾人职业培训及为残疾人提供就业服务和就业援助。残疾人就业保障金的征缴、管理、使用，按照国家和本市有关规定执行。</w:t>
      </w:r>
    </w:p>
    <w:p w14:paraId="671E8EC7">
      <w:pPr>
        <w:ind w:firstLine="422"/>
      </w:pPr>
      <w:r>
        <w:rPr>
          <w:b/>
        </w:rPr>
        <w:t>第三十二条</w:t>
      </w:r>
      <w:r>
        <w:rPr>
          <w:rFonts w:hint="eastAsia"/>
          <w:b/>
        </w:rPr>
        <w:t xml:space="preserve">  </w:t>
      </w:r>
      <w:r>
        <w:t>政府和社会举办残疾人福利企业、盲人按摩机构等残疾人福利性单位，集中安排残疾人就业。</w:t>
      </w:r>
    </w:p>
    <w:p w14:paraId="22571465">
      <w:r>
        <w:t>民政部门及有关行政部门应当组织确定适合残疾人生产、经营的产品、项目，由残疾人福利性单位优先生产或者经营，并根据生产特点确定某些产品由其专产。</w:t>
      </w:r>
    </w:p>
    <w:p w14:paraId="59243712">
      <w:r>
        <w:t>政府采购在同等条件下优先购买残疾人福利性单位的产品或者服务。</w:t>
      </w:r>
    </w:p>
    <w:p w14:paraId="294035A5">
      <w:r>
        <w:t>鼓励社会组织和个人购买残疾人福利性单位的产品或者服务。</w:t>
      </w:r>
    </w:p>
    <w:p w14:paraId="616B7352">
      <w:pPr>
        <w:ind w:firstLine="422"/>
      </w:pPr>
      <w:r>
        <w:rPr>
          <w:b/>
        </w:rPr>
        <w:t>第三十三条</w:t>
      </w:r>
      <w:r>
        <w:rPr>
          <w:rFonts w:hint="eastAsia"/>
          <w:b/>
        </w:rPr>
        <w:t xml:space="preserve">  </w:t>
      </w:r>
      <w:r>
        <w:t>本市对安排残疾人就业达到、超过规定比例的用人单位或者集中安排残疾人就业的残疾人福利性单位和从事个体经营的残疾人，符合国家和本市有关规定的，给予税收优惠；区、县人民政府和民政、规划等有关行政部门应当在生产、经营、技术、资金、物资、场地等方面给予协调和扶持。</w:t>
      </w:r>
    </w:p>
    <w:p w14:paraId="3C924C3E">
      <w:r>
        <w:t>用人单位安排残疾人就业的，按照规定享受岗位补贴和社会保险补贴。对安排残疾人就业超过规定比例的用人单位，按照规定给予奖励。</w:t>
      </w:r>
    </w:p>
    <w:p w14:paraId="70D04487">
      <w:r>
        <w:t>残疾人自主创业从事经营活动的，享受资金扶持、社会保险补贴和信贷支持。</w:t>
      </w:r>
    </w:p>
    <w:p w14:paraId="63A5AB9A">
      <w:pPr>
        <w:ind w:firstLine="422"/>
      </w:pPr>
      <w:r>
        <w:rPr>
          <w:b/>
        </w:rPr>
        <w:t>第三十四条</w:t>
      </w:r>
      <w:r>
        <w:rPr>
          <w:rFonts w:hint="eastAsia"/>
          <w:b/>
        </w:rPr>
        <w:t xml:space="preserve">  </w:t>
      </w:r>
      <w:r>
        <w:t>由政府投资或者扶持开发的公益性岗位，应当根据岗位性质和残疾人特点，优先安排残疾人就业。</w:t>
      </w:r>
    </w:p>
    <w:p w14:paraId="2D38AF9F">
      <w:r>
        <w:t>各级人民政府和有关部门应当开发适合残疾人特点的公益性岗位，按照合理、就近、便利的原则安置残疾人就业。</w:t>
      </w:r>
    </w:p>
    <w:p w14:paraId="0A2B5EE5">
      <w:pPr>
        <w:ind w:firstLine="422"/>
      </w:pPr>
      <w:r>
        <w:rPr>
          <w:b/>
        </w:rPr>
        <w:t>第三十五条</w:t>
      </w:r>
      <w:r>
        <w:rPr>
          <w:rFonts w:hint="eastAsia"/>
          <w:b/>
        </w:rPr>
        <w:t xml:space="preserve">  </w:t>
      </w:r>
      <w:r>
        <w:t>各级人民政府和有关部门、农村基层组织应当采取措施，扶持农村残疾人开展生产劳动，在生产服务、技术指导、农用物资供应、农副产品销售和信贷等方面给予帮助。</w:t>
      </w:r>
    </w:p>
    <w:p w14:paraId="4E8D2733">
      <w:r>
        <w:t>鼓励有条件的经济实体或者农村经济合作组织，采取建设助残基地等多种形式，扶持农村残疾人开展生产劳动。</w:t>
      </w:r>
    </w:p>
    <w:p w14:paraId="13AE24C9">
      <w:pPr>
        <w:ind w:firstLine="422"/>
      </w:pPr>
      <w:r>
        <w:rPr>
          <w:b/>
        </w:rPr>
        <w:t>第三十六条</w:t>
      </w:r>
      <w:r>
        <w:rPr>
          <w:rFonts w:hint="eastAsia"/>
          <w:b/>
        </w:rPr>
        <w:t xml:space="preserve">  </w:t>
      </w:r>
      <w:r>
        <w:t>市和区、县人民政府应当统一规划，在社区组织建设残疾人职业康复劳动服务设施和庇护性劳动场所，安置智力残疾人、稳定期的精神残疾人。</w:t>
      </w:r>
    </w:p>
    <w:p w14:paraId="3E505DEA">
      <w:r>
        <w:t>支持社会组织和个人兴办残疾人职业康复劳动设施或者为残疾人提供合适的职业康复劳动项目。</w:t>
      </w:r>
    </w:p>
    <w:p w14:paraId="3BBA1609">
      <w:r>
        <w:t>残疾人进行职业康复劳动和其他庇护性劳动的机构和场所应当建立安全管理制度，聘用的工作人员应当经过岗前业务培训，具备相应的专业知识。</w:t>
      </w:r>
    </w:p>
    <w:p w14:paraId="25DF892A">
      <w:pPr>
        <w:ind w:firstLine="422"/>
      </w:pPr>
      <w:r>
        <w:rPr>
          <w:b/>
        </w:rPr>
        <w:t>第三十七条</w:t>
      </w:r>
      <w:r>
        <w:rPr>
          <w:rFonts w:hint="eastAsia"/>
          <w:b/>
        </w:rPr>
        <w:t xml:space="preserve">  </w:t>
      </w:r>
      <w:r>
        <w:t>用人单位应当合理安排残疾职工的工种和岗位，创造适合残疾人工作的无障碍环境，提供残疾职工必需的安全生产条件，对确需调整工种或者岗位的残疾职工应当妥善安置。</w:t>
      </w:r>
    </w:p>
    <w:p w14:paraId="75CD8F9A">
      <w:pPr>
        <w:ind w:firstLine="422"/>
      </w:pPr>
      <w:r>
        <w:rPr>
          <w:b/>
        </w:rPr>
        <w:t>第三十八条</w:t>
      </w:r>
      <w:r>
        <w:rPr>
          <w:rFonts w:hint="eastAsia"/>
          <w:b/>
        </w:rPr>
        <w:t xml:space="preserve">  </w:t>
      </w:r>
      <w:r>
        <w:t>用人单位录用残疾职工，应当签订劳动合同或者聘用合同。</w:t>
      </w:r>
    </w:p>
    <w:p w14:paraId="4A00AF0C">
      <w:r>
        <w:t>职工一方与用人单位经平等协商，可以就残疾职工的特殊保障签订集体合同。</w:t>
      </w:r>
    </w:p>
    <w:p w14:paraId="1049B6EF">
      <w:pPr>
        <w:ind w:firstLine="422"/>
      </w:pPr>
      <w:r>
        <w:rPr>
          <w:b/>
        </w:rPr>
        <w:t>第三十九条</w:t>
      </w:r>
      <w:r>
        <w:rPr>
          <w:rFonts w:hint="eastAsia"/>
          <w:b/>
        </w:rPr>
        <w:t xml:space="preserve">  </w:t>
      </w:r>
      <w:r>
        <w:t>本市健全残疾人职业能力评估、职业培训、职业介绍等就业服务制度。</w:t>
      </w:r>
    </w:p>
    <w:p w14:paraId="709B3DED">
      <w:r>
        <w:t>政府举办的公共就业服务机构和各级残疾人联合会所属的残疾人就业服务机构应当免费为残疾人提供职业培训、岗位推荐等就业服务，并为用人单位提供残疾人就业信息，指导、帮助用人单位安排残疾人就业。鼓励、支持社会就业服务机构为残疾人提供职业介绍等服务。</w:t>
      </w:r>
    </w:p>
    <w:p w14:paraId="4494BE54">
      <w:r>
        <w:t>用人单位应当根据本单位残疾职工的实际情况，对残疾职工进行上岗、在岗、转岗等培训，提高其劳动技能和技术水平。在职残疾人参加职业培训按照有关规定享受补贴。</w:t>
      </w:r>
    </w:p>
    <w:p w14:paraId="09756C49">
      <w:pPr>
        <w:ind w:firstLine="422"/>
        <w:rPr>
          <w:b/>
        </w:rPr>
      </w:pPr>
    </w:p>
    <w:p w14:paraId="73BB28B1">
      <w:pPr>
        <w:ind w:firstLine="0" w:firstLineChars="0"/>
        <w:jc w:val="center"/>
        <w:rPr>
          <w:b/>
          <w:sz w:val="28"/>
        </w:rPr>
      </w:pPr>
      <w:r>
        <w:rPr>
          <w:rFonts w:hint="eastAsia"/>
          <w:b/>
          <w:sz w:val="28"/>
        </w:rPr>
        <w:t>第五章  文化生活</w:t>
      </w:r>
    </w:p>
    <w:p w14:paraId="747D089B">
      <w:pPr>
        <w:ind w:firstLine="422"/>
        <w:rPr>
          <w:b/>
        </w:rPr>
      </w:pPr>
    </w:p>
    <w:p w14:paraId="459B5C14">
      <w:pPr>
        <w:ind w:firstLine="422"/>
      </w:pPr>
      <w:r>
        <w:rPr>
          <w:b/>
        </w:rPr>
        <w:t>第四十条</w:t>
      </w:r>
      <w:r>
        <w:rPr>
          <w:rFonts w:hint="eastAsia"/>
          <w:b/>
        </w:rPr>
        <w:t xml:space="preserve">  </w:t>
      </w:r>
      <w:r>
        <w:t>各级人民政府和有关部门应当创造条件，鼓励、帮助残疾人参加各种文化、体育、娱乐活动，保障残疾人基本公共文化权益。</w:t>
      </w:r>
    </w:p>
    <w:p w14:paraId="264F1CF3">
      <w:r>
        <w:t>政府应当提供适应残疾人特殊需要的公共文化服务和产品。</w:t>
      </w:r>
    </w:p>
    <w:p w14:paraId="6005B633">
      <w:pPr>
        <w:ind w:firstLine="422"/>
      </w:pPr>
      <w:r>
        <w:rPr>
          <w:b/>
        </w:rPr>
        <w:t>第四十一条</w:t>
      </w:r>
      <w:r>
        <w:rPr>
          <w:rFonts w:hint="eastAsia"/>
          <w:b/>
        </w:rPr>
        <w:t xml:space="preserve">  </w:t>
      </w:r>
      <w:r>
        <w:t>政府和社会采取下列措施，丰富残疾人精神文化生活：</w:t>
      </w:r>
    </w:p>
    <w:p w14:paraId="055C619F">
      <w:r>
        <w:t>（一）组织和扶持盲人读物、盲人有声读物及其他残疾人读物的编写和出版，根据盲人的实际需要在公共图书馆设立盲人读物、盲人有声读物图书室。</w:t>
      </w:r>
    </w:p>
    <w:p w14:paraId="2D8485BB">
      <w:r>
        <w:t>（二）公共媒体设置反映残疾人事业发展、残疾人生活的栏目，安排促进残疾人事业的公益广告。开办电视手语节目，开办残疾人专题广播栏目，推进电视栏目、影视作品加配字幕、解说。</w:t>
      </w:r>
    </w:p>
    <w:p w14:paraId="4D9A9B3D">
      <w:r>
        <w:t>（三）开发推广残疾人群众性文化、体育项目，举办特殊艺术演出和残疾人运动会。</w:t>
      </w:r>
    </w:p>
    <w:p w14:paraId="4D2E5324">
      <w:r>
        <w:t>（四）文化、体育、娱乐和其他公共活动场所应当为残疾人参与活动提供方便和照顾。</w:t>
      </w:r>
    </w:p>
    <w:p w14:paraId="5337D3F5">
      <w:r>
        <w:t>（五）公园、旅游景点、图书馆、美术馆、展览馆、博物馆、纪念馆、文化馆、体育场馆等公共文化体育场所，应当按照规定免费向残疾人开放，并提供辅助性服务。</w:t>
      </w:r>
    </w:p>
    <w:p w14:paraId="50A70E95">
      <w:pPr>
        <w:ind w:firstLine="422"/>
      </w:pPr>
      <w:r>
        <w:rPr>
          <w:b/>
        </w:rPr>
        <w:t>第四十二条</w:t>
      </w:r>
      <w:r>
        <w:rPr>
          <w:rFonts w:hint="eastAsia"/>
          <w:b/>
        </w:rPr>
        <w:t xml:space="preserve">  </w:t>
      </w:r>
      <w:r>
        <w:t>鼓励和支持残疾人进行文化、艺术、科技等方面的创作、发明，扶持残疾人文化艺术产品生产。</w:t>
      </w:r>
    </w:p>
    <w:p w14:paraId="554E83DF">
      <w:pPr>
        <w:ind w:firstLine="422"/>
      </w:pPr>
      <w:r>
        <w:rPr>
          <w:b/>
        </w:rPr>
        <w:t>第四十三条</w:t>
      </w:r>
      <w:r>
        <w:rPr>
          <w:rFonts w:hint="eastAsia"/>
          <w:b/>
        </w:rPr>
        <w:t xml:space="preserve">  </w:t>
      </w:r>
      <w:r>
        <w:t>机关、团体、企业事业单位应当支持、鼓励、组织本单位残疾人参加文化、体育、娱乐活动。残疾人参加区、县级以上组织的文艺、体育活动，所在单位应当支持，保证其工资和福利待遇不受影响；无工作单位的，由组织单位给予适当补助。</w:t>
      </w:r>
    </w:p>
    <w:p w14:paraId="1A0AD0EB">
      <w:pPr>
        <w:ind w:firstLine="422"/>
        <w:rPr>
          <w:b/>
        </w:rPr>
      </w:pPr>
    </w:p>
    <w:p w14:paraId="1CD19A76">
      <w:pPr>
        <w:ind w:firstLine="0" w:firstLineChars="0"/>
        <w:jc w:val="center"/>
        <w:rPr>
          <w:b/>
          <w:sz w:val="28"/>
        </w:rPr>
      </w:pPr>
      <w:r>
        <w:rPr>
          <w:rFonts w:hint="eastAsia"/>
          <w:b/>
          <w:sz w:val="28"/>
        </w:rPr>
        <w:t>第六章  社会保障</w:t>
      </w:r>
    </w:p>
    <w:p w14:paraId="6C144D2E">
      <w:pPr>
        <w:ind w:firstLine="422"/>
        <w:rPr>
          <w:b/>
        </w:rPr>
      </w:pPr>
    </w:p>
    <w:p w14:paraId="505BF01A">
      <w:pPr>
        <w:ind w:firstLine="422"/>
      </w:pPr>
      <w:r>
        <w:rPr>
          <w:b/>
        </w:rPr>
        <w:t>第四十四条</w:t>
      </w:r>
      <w:r>
        <w:rPr>
          <w:rFonts w:hint="eastAsia"/>
          <w:b/>
        </w:rPr>
        <w:t xml:space="preserve">  </w:t>
      </w:r>
      <w:r>
        <w:t>本市按照重点保障和特别扶助的原则，完善残疾人社会保障，改善残疾人生活。</w:t>
      </w:r>
    </w:p>
    <w:p w14:paraId="352193EC">
      <w:pPr>
        <w:ind w:firstLine="422"/>
      </w:pPr>
      <w:r>
        <w:rPr>
          <w:b/>
        </w:rPr>
        <w:t>第四十五条</w:t>
      </w:r>
      <w:r>
        <w:rPr>
          <w:rFonts w:hint="eastAsia"/>
          <w:b/>
        </w:rPr>
        <w:t xml:space="preserve">  </w:t>
      </w:r>
      <w:r>
        <w:t>残疾职工及其所在单位应当依法参加社会保险。</w:t>
      </w:r>
    </w:p>
    <w:p w14:paraId="0BDB0CB9">
      <w:r>
        <w:t>本市对残疾人参加城乡居民养老保险、城镇居民基本医疗保险、新型农村合作医疗给予补贴。</w:t>
      </w:r>
    </w:p>
    <w:p w14:paraId="05CF5F14">
      <w:pPr>
        <w:ind w:firstLine="422"/>
        <w:rPr>
          <w:b/>
        </w:rPr>
      </w:pPr>
      <w:r>
        <w:rPr>
          <w:b/>
        </w:rPr>
        <w:t>第四十六条</w:t>
      </w:r>
      <w:r>
        <w:rPr>
          <w:rFonts w:hint="eastAsia"/>
          <w:b/>
        </w:rPr>
        <w:t xml:space="preserve">  </w:t>
      </w:r>
      <w:r>
        <w:t>本市建立对残疾人参加公共活动和接受公共服务的意外伤害保险制度。</w:t>
      </w:r>
    </w:p>
    <w:p w14:paraId="276CDA18">
      <w:pPr>
        <w:ind w:firstLine="422"/>
      </w:pPr>
      <w:r>
        <w:rPr>
          <w:b/>
        </w:rPr>
        <w:t>第四十七条</w:t>
      </w:r>
      <w:r>
        <w:rPr>
          <w:rFonts w:hint="eastAsia"/>
          <w:b/>
        </w:rPr>
        <w:t xml:space="preserve">  </w:t>
      </w:r>
      <w:r>
        <w:t>市和区、县人民政府及有关部门对城乡低收入家庭中的残疾人在生活、教育、住房等方面遇到的困难，给予及时救助。</w:t>
      </w:r>
    </w:p>
    <w:p w14:paraId="7412D421">
      <w:r>
        <w:t>本市完善城乡最低生活保障制度，按照分类救助原则，适当提高城乡重度残疾、一户多残、老残一体等特殊困难对象的救助标准。</w:t>
      </w:r>
    </w:p>
    <w:p w14:paraId="686F8977">
      <w:r>
        <w:t>对符合条件的重度残疾人家庭优先配租、配售保障性住房，并对行动不便的残疾人家庭予以照顾。在保障性住房项目中应当有无障碍设计并专门设计建造部分适合残疾人生活、居住的住房。实施农村住房救助时，应当优先安排符合救助条件的农村残疾人家庭。</w:t>
      </w:r>
    </w:p>
    <w:p w14:paraId="7D228CAC">
      <w:r>
        <w:t>规范和完善临时救助政策，对城乡经济困难家庭中的残疾人在生活、医疗、教育等方面遇到的困难给予及时救助。</w:t>
      </w:r>
    </w:p>
    <w:p w14:paraId="7AD617D0">
      <w:pPr>
        <w:ind w:firstLine="422"/>
      </w:pPr>
      <w:r>
        <w:rPr>
          <w:b/>
        </w:rPr>
        <w:t>第四十八条</w:t>
      </w:r>
      <w:r>
        <w:rPr>
          <w:rFonts w:hint="eastAsia"/>
          <w:b/>
        </w:rPr>
        <w:t xml:space="preserve">  </w:t>
      </w:r>
      <w:r>
        <w:t>各级人民政府应当积极发展残疾人社会福利事业，建设残疾人福利服务设施，根据本地区经济社会发展水平，逐步提高残疾人福利水平。</w:t>
      </w:r>
    </w:p>
    <w:p w14:paraId="5A0A2DD7">
      <w:r>
        <w:t>本市根据残疾人的残疾程度和就业及收入状况，建立残疾人生活补贴制度。</w:t>
      </w:r>
    </w:p>
    <w:p w14:paraId="068E5724">
      <w:r>
        <w:t>对生活不能自理的残疾人，市和区、县人民政府根据实际情况给予护理补贴。</w:t>
      </w:r>
    </w:p>
    <w:p w14:paraId="749E00CF">
      <w:pPr>
        <w:ind w:firstLine="422"/>
      </w:pPr>
      <w:r>
        <w:rPr>
          <w:b/>
        </w:rPr>
        <w:t>第四十九条</w:t>
      </w:r>
      <w:r>
        <w:rPr>
          <w:rFonts w:hint="eastAsia"/>
          <w:b/>
        </w:rPr>
        <w:t xml:space="preserve">  </w:t>
      </w:r>
      <w:r>
        <w:t>各级人民政府和有关部门应当统一规划，整合资源，利用社会福利机构为残疾人提供托养服务，并有计划地设立专门的残疾人托养机构。</w:t>
      </w:r>
    </w:p>
    <w:p w14:paraId="3C682C5F">
      <w:r>
        <w:t>乡镇人民政府、街道办事处应当利用社区资源建立综合服务平台，为残疾人提供就业、康复、日间照料、文化娱乐、体育健身等服务。</w:t>
      </w:r>
    </w:p>
    <w:p w14:paraId="5CC0BCD1">
      <w:r>
        <w:t>民政、社会建设部门和残疾人联合会可以通过购买服务等方式为残疾人提供生活照料、家政服务、康复护理等居家服务。</w:t>
      </w:r>
    </w:p>
    <w:p w14:paraId="381EA346">
      <w:pPr>
        <w:ind w:firstLine="422"/>
        <w:rPr>
          <w:b/>
        </w:rPr>
      </w:pPr>
      <w:r>
        <w:rPr>
          <w:b/>
        </w:rPr>
        <w:t>第五十条</w:t>
      </w:r>
      <w:r>
        <w:rPr>
          <w:rFonts w:hint="eastAsia"/>
          <w:b/>
        </w:rPr>
        <w:t xml:space="preserve">  </w:t>
      </w:r>
      <w:r>
        <w:t>市人民政府及有关部门在制定老年人优待政策时，应当充分考虑老年残疾人的特殊需要，在托养、医疗、居家服务等方面给予照顾和特别扶助。</w:t>
      </w:r>
    </w:p>
    <w:p w14:paraId="61209388">
      <w:pPr>
        <w:ind w:firstLine="422"/>
      </w:pPr>
      <w:r>
        <w:rPr>
          <w:b/>
        </w:rPr>
        <w:t>第五十一条</w:t>
      </w:r>
      <w:r>
        <w:rPr>
          <w:rFonts w:hint="eastAsia"/>
          <w:b/>
        </w:rPr>
        <w:t xml:space="preserve">  </w:t>
      </w:r>
      <w:r>
        <w:t>铁路、民航、公路等交通部门和卫生医疗机构、公用事业、商业等单位应当为残疾人提供优先服务和辅助性服务。</w:t>
      </w:r>
    </w:p>
    <w:p w14:paraId="6F66A02D">
      <w:r>
        <w:t>残疾人持有效证件免费乘坐本市公共汽车、电车，盲人持有效证件免费乘坐本市公共汽车、电车、地铁。残疾人搭乘公共交通工具，其随身必备的辅助器具可以免费携带。盲人读物邮件免费寄递。</w:t>
      </w:r>
    </w:p>
    <w:p w14:paraId="7152261A">
      <w:r>
        <w:t>鼓励和支持提供电信、广播电视服务的单位对盲人、听力残疾人、言语残疾人给予优惠。</w:t>
      </w:r>
    </w:p>
    <w:p w14:paraId="1F3E1B8D">
      <w:pPr>
        <w:ind w:firstLine="0" w:firstLineChars="0"/>
        <w:jc w:val="center"/>
        <w:rPr>
          <w:b/>
          <w:sz w:val="28"/>
        </w:rPr>
      </w:pPr>
      <w:r>
        <w:rPr>
          <w:rFonts w:hint="eastAsia"/>
          <w:b/>
          <w:sz w:val="28"/>
        </w:rPr>
        <w:t>第七章  无障碍环境</w:t>
      </w:r>
    </w:p>
    <w:p w14:paraId="6D1B1697">
      <w:pPr>
        <w:ind w:firstLine="422"/>
        <w:rPr>
          <w:b/>
        </w:rPr>
      </w:pPr>
    </w:p>
    <w:p w14:paraId="4B2B4AF8">
      <w:pPr>
        <w:ind w:firstLine="422"/>
      </w:pPr>
      <w:r>
        <w:rPr>
          <w:b/>
        </w:rPr>
        <w:t>第五十二条</w:t>
      </w:r>
      <w:r>
        <w:rPr>
          <w:rFonts w:hint="eastAsia"/>
          <w:b/>
        </w:rPr>
        <w:t xml:space="preserve">  </w:t>
      </w:r>
      <w:r>
        <w:t>各级人民政府应当对无障碍环境建设进行统筹规划和管理，逐步推进无障碍环境建设的系统化、科学化；鼓励和支持无障碍技术产品的研发、推广和应用。</w:t>
      </w:r>
    </w:p>
    <w:p w14:paraId="7B2385BD">
      <w:pPr>
        <w:ind w:firstLine="422"/>
      </w:pPr>
      <w:r>
        <w:rPr>
          <w:b/>
        </w:rPr>
        <w:t>第五十三条</w:t>
      </w:r>
      <w:r>
        <w:rPr>
          <w:rFonts w:hint="eastAsia"/>
          <w:b/>
        </w:rPr>
        <w:t xml:space="preserve">  </w:t>
      </w:r>
      <w:r>
        <w:t>本市新建、扩建和改建公共建筑、居住建筑、城市道路和居住区内道路、公共服务设施的建设单位，应当按照国家和本市有关规定建设无障碍设施。</w:t>
      </w:r>
    </w:p>
    <w:p w14:paraId="385195DA">
      <w:r>
        <w:t>各级人民政府和有关部门应当有计划地在残疾人集中的企业、学校、居住区、公共服务机构进行无障碍设施改造，支持残疾人家庭进行无障碍设施改造。</w:t>
      </w:r>
    </w:p>
    <w:p w14:paraId="2A1D2DE9">
      <w:r>
        <w:t>有关部门和单位应当加强无障碍设施的管理、保护和维修，保证设施完好和安全使用。</w:t>
      </w:r>
    </w:p>
    <w:p w14:paraId="1759759B">
      <w:pPr>
        <w:ind w:firstLine="422"/>
      </w:pPr>
      <w:r>
        <w:rPr>
          <w:b/>
        </w:rPr>
        <w:t>第五十四条</w:t>
      </w:r>
      <w:r>
        <w:rPr>
          <w:rFonts w:hint="eastAsia"/>
          <w:b/>
        </w:rPr>
        <w:t xml:space="preserve">  </w:t>
      </w:r>
      <w:r>
        <w:t>政府应当推动适合残疾人使用的信息交流无障碍技术和产品研发。</w:t>
      </w:r>
    </w:p>
    <w:p w14:paraId="4291471C">
      <w:r>
        <w:t>政府及有关部门公开政务信息应当采取信息无障碍措施，方便残疾人获取信息。</w:t>
      </w:r>
    </w:p>
    <w:p w14:paraId="6171C17B">
      <w:pPr>
        <w:rPr>
          <w:b/>
        </w:rPr>
      </w:pPr>
      <w:r>
        <w:t>公共服务机构、公共场所应当在必要的服务区域创造条件，为残疾人提供语音和文字提示等信息交流服务；有条件的应当提供手语服务。</w:t>
      </w:r>
    </w:p>
    <w:p w14:paraId="53F3094B">
      <w:pPr>
        <w:ind w:firstLine="422"/>
      </w:pPr>
      <w:r>
        <w:rPr>
          <w:b/>
        </w:rPr>
        <w:t>第五十五条</w:t>
      </w:r>
      <w:r>
        <w:rPr>
          <w:rFonts w:hint="eastAsia"/>
          <w:b/>
        </w:rPr>
        <w:t xml:space="preserve">  </w:t>
      </w:r>
      <w:r>
        <w:t>政府有关部门应当逐步增加无障碍公交车、出租车的数量，为残疾人出行提供方便。公交车应当配备字幕、语音报站系统并保持正常使用。运营单位购置、改装无障碍公交车、出租车的，政府有关部门应当给予支持。</w:t>
      </w:r>
    </w:p>
    <w:p w14:paraId="42CE3F69">
      <w:pPr>
        <w:ind w:firstLine="422"/>
      </w:pPr>
      <w:r>
        <w:rPr>
          <w:b/>
        </w:rPr>
        <w:t>第五十六条</w:t>
      </w:r>
      <w:r>
        <w:rPr>
          <w:rFonts w:hint="eastAsia"/>
          <w:b/>
        </w:rPr>
        <w:t xml:space="preserve">  </w:t>
      </w:r>
      <w:r>
        <w:t>各级人民政府和有关部门应当依法为残疾人办理各项车务手续、使用残疾人专用车辆提供便利。</w:t>
      </w:r>
    </w:p>
    <w:p w14:paraId="766051BF">
      <w:r>
        <w:t>公共停车场应当依据城市道路和建筑物无障碍设计规范，在方便通行的区域按照停车位总</w:t>
      </w:r>
      <w:r>
        <w:rPr>
          <w:rFonts w:hint="eastAsia" w:ascii="宋体" w:hAnsi="宋体" w:eastAsia="宋体" w:cs="宋体"/>
        </w:rPr>
        <w:t>数2%</w:t>
      </w:r>
      <w:r>
        <w:t>的比例设置无障碍停车位，比例不足一个的至少应当设置</w:t>
      </w:r>
      <w:r>
        <w:rPr>
          <w:rFonts w:hint="eastAsia" w:ascii="宋体" w:hAnsi="宋体" w:eastAsia="宋体" w:cs="宋体"/>
        </w:rPr>
        <w:t>1</w:t>
      </w:r>
      <w:r>
        <w:t>个无障碍停车位。公共停车场应当设置无障碍停车位显著标志，并采取必要措施加强对无障碍停车位使用的管理。公共停车场管理人员在残疾人停放机动车时，应当进行引导，并提供必要的便利服务。</w:t>
      </w:r>
    </w:p>
    <w:p w14:paraId="5D75447E">
      <w:r>
        <w:t>残疾人持公安机关交通管理部门核发的残疾人专用通行证驾驶残疾人本人专用车辆在本市各类非居住区停车场停放时，免收停车费。</w:t>
      </w:r>
    </w:p>
    <w:p w14:paraId="26AE8024">
      <w:pPr>
        <w:ind w:firstLine="422"/>
        <w:rPr>
          <w:b/>
        </w:rPr>
      </w:pPr>
    </w:p>
    <w:p w14:paraId="1123A368">
      <w:pPr>
        <w:ind w:firstLine="0" w:firstLineChars="0"/>
        <w:jc w:val="center"/>
        <w:rPr>
          <w:b/>
          <w:sz w:val="28"/>
        </w:rPr>
      </w:pPr>
      <w:r>
        <w:rPr>
          <w:rFonts w:hint="eastAsia"/>
          <w:b/>
          <w:sz w:val="28"/>
        </w:rPr>
        <w:t>第八章  法律责任</w:t>
      </w:r>
    </w:p>
    <w:p w14:paraId="4A4FA046">
      <w:pPr>
        <w:ind w:firstLine="422"/>
        <w:rPr>
          <w:b/>
        </w:rPr>
      </w:pPr>
    </w:p>
    <w:p w14:paraId="1AFEFFE1">
      <w:pPr>
        <w:ind w:firstLine="422"/>
        <w:rPr>
          <w:b/>
        </w:rPr>
      </w:pPr>
      <w:r>
        <w:rPr>
          <w:b/>
        </w:rPr>
        <w:t>第五十七条</w:t>
      </w:r>
      <w:r>
        <w:rPr>
          <w:rFonts w:hint="eastAsia"/>
          <w:b/>
        </w:rPr>
        <w:t xml:space="preserve">  </w:t>
      </w:r>
      <w:r>
        <w:t>残疾人联合会对有关单位未依法履行残疾人权益保障义务的行为，应当向有关部门提出意见或者建议。有关部门对残疾人联合会提出的意见或者建议应当按照规定调查处理，并及时将处理情况书面告知残疾人联合会。</w:t>
      </w:r>
    </w:p>
    <w:p w14:paraId="0F716C79">
      <w:pPr>
        <w:ind w:firstLine="422"/>
        <w:rPr>
          <w:b/>
        </w:rPr>
      </w:pPr>
      <w:r>
        <w:rPr>
          <w:b/>
        </w:rPr>
        <w:t>第五十八条</w:t>
      </w:r>
      <w:r>
        <w:rPr>
          <w:rFonts w:hint="eastAsia"/>
          <w:b/>
        </w:rPr>
        <w:t xml:space="preserve"> </w:t>
      </w:r>
      <w:r>
        <w:rPr>
          <w:rFonts w:hint="eastAsia"/>
        </w:rPr>
        <w:t xml:space="preserve"> </w:t>
      </w:r>
      <w:r>
        <w:t>行政机关及其工作人员未按照本办法规定履行法定职责或者滥用职权的，由上级行政机关或者监察部门责令改正；对直接负责的主管人员和其他直接责任人员依法给予行政处分；构成犯罪的，依法追究刑事责任。</w:t>
      </w:r>
    </w:p>
    <w:p w14:paraId="46CD4122">
      <w:pPr>
        <w:ind w:firstLine="422"/>
        <w:rPr>
          <w:b/>
        </w:rPr>
      </w:pPr>
      <w:r>
        <w:rPr>
          <w:b/>
        </w:rPr>
        <w:t>第五十九条</w:t>
      </w:r>
      <w:r>
        <w:rPr>
          <w:rFonts w:hint="eastAsia"/>
          <w:b/>
        </w:rPr>
        <w:t xml:space="preserve">  </w:t>
      </w:r>
      <w:r>
        <w:t>对在残疾评定过程中弄虚作假或者不依法核发残疾人证的，由所在单位或者主管部门予以批评教育或者行政处分；违反行政管理规定的，依法给予行政处罚；构成犯罪的，依法追究刑事责任。</w:t>
      </w:r>
    </w:p>
    <w:p w14:paraId="34EE49A6">
      <w:pPr>
        <w:ind w:firstLine="422"/>
        <w:rPr>
          <w:b/>
        </w:rPr>
      </w:pPr>
      <w:r>
        <w:rPr>
          <w:b/>
        </w:rPr>
        <w:t>第六十条</w:t>
      </w:r>
      <w:r>
        <w:rPr>
          <w:rFonts w:hint="eastAsia"/>
          <w:b/>
        </w:rPr>
        <w:t xml:space="preserve">  </w:t>
      </w:r>
      <w:r>
        <w:t>拒不招收符合条件的残疾人入学，在国家规定的录取标准以外附加条件限制残疾学生入学或者其他侵犯残疾人受教育权的，由上级机关或者有关主管部门对责任单位给予批评教育并责令限期改正；对拒不改正的，由其上级机关或者所在单位给予直接责任者行政处分。</w:t>
      </w:r>
    </w:p>
    <w:p w14:paraId="5B78C16D">
      <w:pPr>
        <w:ind w:firstLine="422"/>
      </w:pPr>
      <w:r>
        <w:rPr>
          <w:b/>
        </w:rPr>
        <w:t>第六十一条</w:t>
      </w:r>
      <w:r>
        <w:rPr>
          <w:rFonts w:hint="eastAsia"/>
          <w:b/>
        </w:rPr>
        <w:t xml:space="preserve">  </w:t>
      </w:r>
      <w:r>
        <w:t>用人单位违反本办法，有下列情形之一的，由人力资源和社会保障等行政部门责令改正，并依法承担相应的法律责任：</w:t>
      </w:r>
    </w:p>
    <w:p w14:paraId="6EDD8765">
      <w:bookmarkStart w:id="2093" w:name="_Toc428780489"/>
      <w:r>
        <w:t>（一）无正当理由拒不安排残疾人就业的；</w:t>
      </w:r>
      <w:bookmarkEnd w:id="2093"/>
    </w:p>
    <w:p w14:paraId="7CAEE019">
      <w:r>
        <w:t>（二）无正当理由解除或者终止与残疾职工签订的劳动合同、聘用合同的；</w:t>
      </w:r>
    </w:p>
    <w:p w14:paraId="5BDCE5F7">
      <w:r>
        <w:t>（三）未依法为残疾人缴纳社会保险费的；</w:t>
      </w:r>
    </w:p>
    <w:p w14:paraId="472EC400">
      <w:r>
        <w:t>（四）其他侵犯残疾人劳动权益的。</w:t>
      </w:r>
    </w:p>
    <w:p w14:paraId="59693762">
      <w:pPr>
        <w:ind w:firstLine="422"/>
      </w:pPr>
      <w:r>
        <w:rPr>
          <w:b/>
        </w:rPr>
        <w:t>第六十二条</w:t>
      </w:r>
      <w:r>
        <w:rPr>
          <w:rFonts w:hint="eastAsia"/>
          <w:b/>
        </w:rPr>
        <w:t xml:space="preserve">  </w:t>
      </w:r>
      <w:r>
        <w:t>用人单位未按照规定缴纳残疾人就业保障金的，由财政部门给予警告，责令限期缴纳；逾期仍不缴纳的，除应当补缴欠缴数额外，还应当自欠缴之日起，按日缴纳</w:t>
      </w:r>
      <w:r>
        <w:rPr>
          <w:rFonts w:hint="eastAsia" w:ascii="宋体" w:hAnsi="宋体" w:cs="宋体"/>
          <w:lang w:val="en-US" w:eastAsia="zh-CN"/>
        </w:rPr>
        <w:t>5%</w:t>
      </w:r>
      <w:r>
        <w:t>的滞纳金。</w:t>
      </w:r>
    </w:p>
    <w:p w14:paraId="0B5058B7">
      <w:pPr>
        <w:rPr>
          <w:b/>
        </w:rPr>
      </w:pPr>
      <w:r>
        <w:t>对未按规定履行按比例安排残疾人就业和缴纳残疾人就业保障金义务的，由市人民政府残疾人工作机构建立用人单位信用信息系统，并根据规定向社会公示。</w:t>
      </w:r>
    </w:p>
    <w:p w14:paraId="584D3E45">
      <w:pPr>
        <w:ind w:firstLine="422"/>
      </w:pPr>
      <w:r>
        <w:rPr>
          <w:b/>
        </w:rPr>
        <w:t>第六十三条</w:t>
      </w:r>
      <w:r>
        <w:rPr>
          <w:rFonts w:hint="eastAsia"/>
          <w:b/>
        </w:rPr>
        <w:t xml:space="preserve">  </w:t>
      </w:r>
      <w:r>
        <w:t>违反本办法规定侵犯残疾人的合法权益，其他法律、法规规定行政处罚的，从其规定；造成财产损失或者其他损害的，依法承担民事责任；构成犯罪的，依法追究刑事责任。</w:t>
      </w:r>
    </w:p>
    <w:p w14:paraId="3B455DA3">
      <w:pPr>
        <w:ind w:firstLine="422"/>
        <w:rPr>
          <w:b/>
        </w:rPr>
      </w:pPr>
    </w:p>
    <w:p w14:paraId="7F7EF936">
      <w:pPr>
        <w:ind w:firstLine="0" w:firstLineChars="0"/>
        <w:jc w:val="center"/>
        <w:rPr>
          <w:b/>
          <w:sz w:val="28"/>
        </w:rPr>
      </w:pPr>
      <w:r>
        <w:rPr>
          <w:rFonts w:hint="eastAsia"/>
          <w:b/>
          <w:sz w:val="28"/>
        </w:rPr>
        <w:t>第九章  附  则</w:t>
      </w:r>
    </w:p>
    <w:p w14:paraId="09FB6E37">
      <w:pPr>
        <w:ind w:firstLine="422"/>
        <w:rPr>
          <w:b/>
        </w:rPr>
      </w:pPr>
    </w:p>
    <w:p w14:paraId="0E558494">
      <w:pPr>
        <w:ind w:firstLine="422"/>
        <w:rPr>
          <w:b/>
        </w:rPr>
      </w:pPr>
      <w:r>
        <w:rPr>
          <w:b/>
        </w:rPr>
        <w:t>第六十四条</w:t>
      </w:r>
      <w:r>
        <w:rPr>
          <w:rFonts w:hint="eastAsia"/>
          <w:b/>
        </w:rPr>
        <w:t xml:space="preserve">  </w:t>
      </w:r>
      <w:r>
        <w:t>实施本条例需要制定配套规章或者其他具体办法的，由市人民政府或者有关行政部门研究制定并发布实施。</w:t>
      </w:r>
    </w:p>
    <w:p w14:paraId="7421770A">
      <w:pPr>
        <w:ind w:firstLine="422"/>
      </w:pPr>
      <w:r>
        <w:rPr>
          <w:b/>
        </w:rPr>
        <w:t>第六十五条</w:t>
      </w:r>
      <w:r>
        <w:rPr>
          <w:rFonts w:hint="eastAsia"/>
          <w:b/>
        </w:rPr>
        <w:t xml:space="preserve">  </w:t>
      </w:r>
      <w:r>
        <w:t>本办法自</w:t>
      </w:r>
      <w:r>
        <w:rPr>
          <w:rFonts w:hint="eastAsia" w:ascii="宋体" w:hAnsi="宋体" w:eastAsia="宋体" w:cs="宋体"/>
        </w:rPr>
        <w:t>2012年3月1</w:t>
      </w:r>
      <w:r>
        <w:t>日起施行。</w:t>
      </w:r>
    </w:p>
    <w:p w14:paraId="34294C6E">
      <w:pPr>
        <w:pStyle w:val="4"/>
        <w:pageBreakBefore/>
      </w:pPr>
      <w:bookmarkStart w:id="2094" w:name="_Toc428780490"/>
      <w:bookmarkStart w:id="2095" w:name="_Toc426467057"/>
      <w:bookmarkStart w:id="2096" w:name="_Toc428781805"/>
      <w:r>
        <w:rPr>
          <w:rFonts w:hint="eastAsia"/>
        </w:rPr>
        <w:t>北京市实施《中华人民共和国</w:t>
      </w:r>
      <w:bookmarkEnd w:id="2094"/>
      <w:bookmarkEnd w:id="2095"/>
      <w:bookmarkEnd w:id="2096"/>
    </w:p>
    <w:p w14:paraId="661700BA">
      <w:pPr>
        <w:pStyle w:val="4"/>
      </w:pPr>
      <w:bookmarkStart w:id="2097" w:name="_Toc428780491"/>
      <w:bookmarkStart w:id="2098" w:name="_Toc428781806"/>
      <w:bookmarkStart w:id="2099" w:name="_Toc426467058"/>
      <w:r>
        <w:rPr>
          <w:rFonts w:hint="eastAsia"/>
        </w:rPr>
        <w:t>消费者权益保护法》办法</w:t>
      </w:r>
      <w:bookmarkEnd w:id="2097"/>
      <w:bookmarkEnd w:id="2098"/>
      <w:bookmarkEnd w:id="2099"/>
    </w:p>
    <w:p w14:paraId="7726CE33">
      <w:pPr>
        <w:ind w:left="630" w:leftChars="300" w:right="630" w:rightChars="300"/>
        <w:rPr>
          <w:rFonts w:ascii="楷体" w:hAnsi="楷体" w:eastAsia="楷体"/>
        </w:rPr>
      </w:pPr>
      <w:r>
        <w:rPr>
          <w:rFonts w:hint="eastAsia" w:ascii="楷体" w:hAnsi="楷体" w:eastAsia="楷体"/>
        </w:rPr>
        <w:t>（1995年6月8日北京市第十届人民代表大会常务委员会第十七次会议通过　根据1997年9月5日北京市第十届人民代表大会常务委员会第三十九次会议《关于修改〈北京市实施中华人民共和国消费者权益保护法办法〉的决定》修正）</w:t>
      </w:r>
    </w:p>
    <w:p w14:paraId="37C3E6E6"/>
    <w:p w14:paraId="0AD39F57">
      <w:pPr>
        <w:ind w:firstLine="422"/>
      </w:pPr>
      <w:r>
        <w:rPr>
          <w:rFonts w:hint="eastAsia"/>
          <w:b/>
        </w:rPr>
        <w:t>第一条</w:t>
      </w:r>
      <w:r>
        <w:rPr>
          <w:rFonts w:hint="eastAsia"/>
        </w:rPr>
        <w:t xml:space="preserve">  为了实施《中华人民共和国消费者权益保护法》（以下简称《消费者权益保护法》），结合本市实际情况，制定本办法。</w:t>
      </w:r>
    </w:p>
    <w:p w14:paraId="13DBE47D">
      <w:pPr>
        <w:ind w:firstLine="422"/>
      </w:pPr>
      <w:r>
        <w:rPr>
          <w:rFonts w:hint="eastAsia"/>
          <w:b/>
        </w:rPr>
        <w:t>第二条</w:t>
      </w:r>
      <w:r>
        <w:rPr>
          <w:rFonts w:hint="eastAsia"/>
        </w:rPr>
        <w:t xml:space="preserve">  市和区、县人民政府建立消费者权益保护办公会议制度，负责组织、协调、督促有关行政部门做好保护消费者合法权益的工作。</w:t>
      </w:r>
    </w:p>
    <w:p w14:paraId="407A15BC">
      <w:r>
        <w:rPr>
          <w:rFonts w:hint="eastAsia"/>
        </w:rPr>
        <w:t>本市工商行政管理部门和技术监督、卫生、物价等有关行政部门在各自职权范围内，依法加强对经营者的管理和监督，保护消费者的合法权益。</w:t>
      </w:r>
    </w:p>
    <w:p w14:paraId="72979D16">
      <w:pPr>
        <w:ind w:firstLine="422"/>
      </w:pPr>
      <w:r>
        <w:rPr>
          <w:rFonts w:hint="eastAsia"/>
          <w:b/>
        </w:rPr>
        <w:t>第三条</w:t>
      </w:r>
      <w:r>
        <w:rPr>
          <w:rFonts w:hint="eastAsia"/>
        </w:rPr>
        <w:t xml:space="preserve">  市和区、县消费者协会依法开展对商品和服务的社会监督，可以在乡镇、街道、集贸市场、商业网点、企业等建立基层组织，方便消费者投诉。</w:t>
      </w:r>
    </w:p>
    <w:p w14:paraId="0DC2BE1E">
      <w:r>
        <w:rPr>
          <w:rFonts w:hint="eastAsia"/>
        </w:rPr>
        <w:t>市和区、县人民政府应当支持消费者协会的工作，保障其职能的正常履行和必要的经费。</w:t>
      </w:r>
    </w:p>
    <w:p w14:paraId="24A9E61B">
      <w:pPr>
        <w:ind w:firstLine="422"/>
      </w:pPr>
      <w:r>
        <w:rPr>
          <w:rFonts w:hint="eastAsia"/>
          <w:b/>
        </w:rPr>
        <w:t>第四条</w:t>
      </w:r>
      <w:r>
        <w:rPr>
          <w:rFonts w:hint="eastAsia"/>
        </w:rPr>
        <w:t xml:space="preserve">  本市鼓励、支持一切组织和个人对损害消费者合法权益的行为进行社会监督。</w:t>
      </w:r>
    </w:p>
    <w:p w14:paraId="5199F0DB">
      <w:r>
        <w:rPr>
          <w:rFonts w:hint="eastAsia"/>
        </w:rPr>
        <w:t>大众传播媒介应当做好维护消费者合法权益的宣传，对损害消费者合法权益的行为予以揭露、批评。任何单位和个人不得干涉、压制有关保护消费者合法权益的真实报道。</w:t>
      </w:r>
    </w:p>
    <w:p w14:paraId="25034C2A">
      <w:pPr>
        <w:ind w:firstLine="422"/>
      </w:pPr>
      <w:r>
        <w:rPr>
          <w:rFonts w:hint="eastAsia"/>
          <w:b/>
        </w:rPr>
        <w:t>第五条</w:t>
      </w:r>
      <w:r>
        <w:rPr>
          <w:rFonts w:hint="eastAsia"/>
        </w:rPr>
        <w:t xml:space="preserve">  经营者从事经营活动应当悬挂营业执照。</w:t>
      </w:r>
    </w:p>
    <w:p w14:paraId="016315AB">
      <w:r>
        <w:rPr>
          <w:rFonts w:hint="eastAsia"/>
        </w:rPr>
        <w:t>经营者应当在经营场所的显著位置标明其真实名称和标记；租赁他人柜台或者场地从事经营活动的，应当标明其自身的真实名称和标记。</w:t>
      </w:r>
    </w:p>
    <w:p w14:paraId="681CF544">
      <w:r>
        <w:rPr>
          <w:rFonts w:hint="eastAsia"/>
        </w:rPr>
        <w:t>展销会举办者、场地和柜台提供者应当加强管理，督促参展者和场地、柜台的使用者悬挂营业执照并标明其真实名称和标记。</w:t>
      </w:r>
    </w:p>
    <w:p w14:paraId="24F83888">
      <w:pPr>
        <w:ind w:firstLine="422"/>
      </w:pPr>
      <w:r>
        <w:rPr>
          <w:rFonts w:hint="eastAsia"/>
          <w:b/>
        </w:rPr>
        <w:t>第六条</w:t>
      </w:r>
      <w:r>
        <w:rPr>
          <w:rFonts w:hint="eastAsia"/>
        </w:rPr>
        <w:t xml:space="preserve">  经营者提供的商品存在质量问题的，应当按照消费者的要求负责修理、更换或者退货，并不得收取任何费用。法律、法规对修理、更换、退货另有规定的除外。</w:t>
      </w:r>
    </w:p>
    <w:p w14:paraId="33180DCA">
      <w:r>
        <w:rPr>
          <w:rFonts w:hint="eastAsia"/>
        </w:rPr>
        <w:t>商品存在质量问题，消费者有权在下列期限内提出修理、更换、退货的要求，经营者应当按照前款规定办理：</w:t>
      </w:r>
    </w:p>
    <w:p w14:paraId="60D8337F">
      <w:bookmarkStart w:id="2100" w:name="_Toc428780492"/>
      <w:r>
        <w:rPr>
          <w:rFonts w:hint="eastAsia"/>
        </w:rPr>
        <w:t>（一）法律、法规有规定期限的，按照规定执行；</w:t>
      </w:r>
      <w:bookmarkEnd w:id="2100"/>
    </w:p>
    <w:p w14:paraId="56EB4DC7">
      <w:pPr>
        <w:rPr>
          <w:rFonts w:hint="eastAsia" w:ascii="宋体" w:hAnsi="宋体" w:eastAsia="宋体" w:cs="宋体"/>
        </w:rPr>
      </w:pPr>
      <w:r>
        <w:rPr>
          <w:rFonts w:hint="eastAsia"/>
        </w:rPr>
        <w:t>（二）法律、法规没有规定期限的，经营者可以与消费者约定，其中经营者采用格式合同、店堂告示等方式与消费者约定的，期限不得少</w:t>
      </w:r>
      <w:r>
        <w:rPr>
          <w:rFonts w:hint="eastAsia" w:ascii="宋体" w:hAnsi="宋体" w:eastAsia="宋体" w:cs="宋体"/>
        </w:rPr>
        <w:t>于3个月；</w:t>
      </w:r>
    </w:p>
    <w:p w14:paraId="5DAFFA5E">
      <w:r>
        <w:rPr>
          <w:rFonts w:hint="eastAsia" w:ascii="宋体" w:hAnsi="宋体" w:eastAsia="宋体" w:cs="宋体"/>
        </w:rPr>
        <w:t>（三）法律、法规没有规定期限，经营者与消费者也没有约定期限的，为6</w:t>
      </w:r>
      <w:r>
        <w:rPr>
          <w:rFonts w:hint="eastAsia"/>
        </w:rPr>
        <w:t>个月。</w:t>
      </w:r>
    </w:p>
    <w:p w14:paraId="34431535">
      <w:r>
        <w:rPr>
          <w:rFonts w:hint="eastAsia"/>
        </w:rPr>
        <w:t>商品非因质量问题的修理、更换、退货，由经营者与消费者约定。</w:t>
      </w:r>
    </w:p>
    <w:p w14:paraId="78FE1F3F">
      <w:pPr>
        <w:ind w:firstLine="422"/>
      </w:pPr>
      <w:r>
        <w:rPr>
          <w:rFonts w:hint="eastAsia"/>
          <w:b/>
        </w:rPr>
        <w:t>第七条</w:t>
      </w:r>
      <w:r>
        <w:rPr>
          <w:rFonts w:hint="eastAsia"/>
        </w:rPr>
        <w:t xml:space="preserve">  实行保修的商品，在保修期内没有保修点或者保修点已经撤销的，商品的销售者应当按照消费者的要求负责修理、更换或者退货。</w:t>
      </w:r>
    </w:p>
    <w:p w14:paraId="267C4D6E">
      <w:pPr>
        <w:ind w:firstLine="422"/>
      </w:pPr>
      <w:r>
        <w:rPr>
          <w:rFonts w:hint="eastAsia"/>
          <w:b/>
        </w:rPr>
        <w:t>第八条</w:t>
      </w:r>
      <w:r>
        <w:rPr>
          <w:rFonts w:hint="eastAsia"/>
        </w:rPr>
        <w:t xml:space="preserve">  大件商品因存在质量问题在保修期内需要修理、更换、退货的，经营者应当承担必要的运输费用，也可以主动上门服务或者提供运输工具。</w:t>
      </w:r>
    </w:p>
    <w:p w14:paraId="20A5DA51">
      <w:r>
        <w:rPr>
          <w:rFonts w:hint="eastAsia"/>
        </w:rPr>
        <w:t>前款所称大件商品的标准和目录由市工商行政管理局会同市技术监督局制定发布。</w:t>
      </w:r>
    </w:p>
    <w:p w14:paraId="6AEC5044">
      <w:pPr>
        <w:ind w:firstLine="422"/>
      </w:pPr>
      <w:r>
        <w:rPr>
          <w:rFonts w:hint="eastAsia"/>
          <w:b/>
        </w:rPr>
        <w:t>第九条</w:t>
      </w:r>
      <w:r>
        <w:rPr>
          <w:rFonts w:hint="eastAsia"/>
        </w:rPr>
        <w:t xml:space="preserve">  经营者提供的商品或者服务存在质量问题，消费者因修理、更换、退货以及为解决纠纷耽误时间的，经营者应当给予赔偿。赔偿标准参照市统计局提供的上年度本市职工平均工资计算。</w:t>
      </w:r>
    </w:p>
    <w:p w14:paraId="318E0318">
      <w:pPr>
        <w:ind w:firstLine="422"/>
      </w:pPr>
      <w:r>
        <w:rPr>
          <w:rFonts w:hint="eastAsia"/>
          <w:b/>
        </w:rPr>
        <w:t>第十条</w:t>
      </w:r>
      <w:r>
        <w:rPr>
          <w:rFonts w:hint="eastAsia"/>
        </w:rPr>
        <w:t xml:space="preserve">  因商品存在质量问题，消费者要求退货的，遇价格下降时，按原价格退还货款；价格上涨时，按新价格退还货款。法律、法规另有规定或者当事人双方另有约定的除外。</w:t>
      </w:r>
    </w:p>
    <w:p w14:paraId="5891565E">
      <w:pPr>
        <w:ind w:firstLine="422"/>
      </w:pPr>
      <w:r>
        <w:rPr>
          <w:rFonts w:hint="eastAsia"/>
          <w:b/>
        </w:rPr>
        <w:t>第十一条</w:t>
      </w:r>
      <w:r>
        <w:rPr>
          <w:rFonts w:hint="eastAsia"/>
        </w:rPr>
        <w:t xml:space="preserve">  消费者与经营者因商品质量或者服务质量发生纠纷，由双方约定送检测机构检测，双方不能就检测机构达成一致意见的，可以由受理案件的机构指定。检测结果证明商品或者服务存在质量问题的，检测费用由经营者承担；检测结果证明商品或者服务不存在质量问题的，检测费用由消费者承担。对于难以检测的，经营者应当提供自己无过错的证据；不能提供无过错证据的，应当承担责任。</w:t>
      </w:r>
    </w:p>
    <w:p w14:paraId="0204104A">
      <w:pPr>
        <w:ind w:firstLine="422"/>
      </w:pPr>
      <w:r>
        <w:rPr>
          <w:rFonts w:hint="eastAsia"/>
          <w:b/>
        </w:rPr>
        <w:t>第十二条</w:t>
      </w:r>
      <w:r>
        <w:rPr>
          <w:rFonts w:hint="eastAsia"/>
        </w:rPr>
        <w:t xml:space="preserve">  从事服务业的经营者，应当明示服务项目，标明服务价格，保证服务质量。</w:t>
      </w:r>
    </w:p>
    <w:p w14:paraId="1321B9F7">
      <w:r>
        <w:rPr>
          <w:rFonts w:hint="eastAsia"/>
        </w:rPr>
        <w:t>从事服务业的经营者在提供服务的过程中给消费者造成损失的，应当赔偿消费者受到的直接损失。</w:t>
      </w:r>
    </w:p>
    <w:p w14:paraId="4946A24E">
      <w:pPr>
        <w:ind w:firstLine="422"/>
      </w:pPr>
      <w:r>
        <w:rPr>
          <w:rFonts w:hint="eastAsia"/>
          <w:b/>
        </w:rPr>
        <w:t>第十三条</w:t>
      </w:r>
      <w:r>
        <w:rPr>
          <w:rFonts w:hint="eastAsia"/>
        </w:rPr>
        <w:t xml:space="preserve">  经营者明示公告的内容不得违反法律、法规，对消费者作出不公平、不合理的规定。</w:t>
      </w:r>
    </w:p>
    <w:p w14:paraId="553E629A">
      <w:r>
        <w:rPr>
          <w:rFonts w:hint="eastAsia"/>
        </w:rPr>
        <w:t>经营者、展销会举办者、场地和柜台的提供者，应当在交易场所的显著位置公布监督投诉机构的电话、地址。</w:t>
      </w:r>
    </w:p>
    <w:p w14:paraId="56D9CC23">
      <w:r>
        <w:rPr>
          <w:rFonts w:hint="eastAsia"/>
        </w:rPr>
        <w:t>有关行政部门和消费者协会可以在交易场所、公共场所或者通过其他途径公布监督投诉机构的电话、地址。</w:t>
      </w:r>
    </w:p>
    <w:p w14:paraId="24703037">
      <w:pPr>
        <w:ind w:firstLine="422"/>
      </w:pPr>
      <w:r>
        <w:rPr>
          <w:rFonts w:hint="eastAsia"/>
          <w:b/>
        </w:rPr>
        <w:t>第十四条</w:t>
      </w:r>
      <w:r>
        <w:rPr>
          <w:rFonts w:hint="eastAsia"/>
        </w:rPr>
        <w:t>　经营者提供商品或者服务有下列欺诈行为之一的，当按照消费者的要求增加赔偿其受到的损失，增加赔偿的金额为消费者购买商品的价款或者接受服务的费用的一倍：</w:t>
      </w:r>
    </w:p>
    <w:p w14:paraId="4592C3A2">
      <w:r>
        <w:rPr>
          <w:rFonts w:hint="eastAsia"/>
        </w:rPr>
        <w:t>（一）雇佣他人进行欺骗性的销售诱导的；</w:t>
      </w:r>
    </w:p>
    <w:p w14:paraId="4CD1F494">
      <w:r>
        <w:rPr>
          <w:rFonts w:hint="eastAsia"/>
        </w:rPr>
        <w:t>（二）作虚假的现场演示和说明的；</w:t>
      </w:r>
    </w:p>
    <w:p w14:paraId="6959067C">
      <w:r>
        <w:rPr>
          <w:rFonts w:hint="eastAsia"/>
        </w:rPr>
        <w:t>（三）在商品中掺杂、掺假，以假充真，以次充好，或者销售明知是失效、变质、受污染商品的；</w:t>
      </w:r>
    </w:p>
    <w:p w14:paraId="21037CCD">
      <w:bookmarkStart w:id="2101" w:name="_Toc428780493"/>
      <w:r>
        <w:rPr>
          <w:rFonts w:hint="eastAsia"/>
        </w:rPr>
        <w:t>（四）销售国家明令禁止销售的商品的；</w:t>
      </w:r>
      <w:bookmarkEnd w:id="2101"/>
    </w:p>
    <w:p w14:paraId="3784BF5D">
      <w:r>
        <w:rPr>
          <w:rFonts w:hint="eastAsia"/>
        </w:rPr>
        <w:t>（五）采取短尺少秤等手段，变相提高商品价格的；</w:t>
      </w:r>
    </w:p>
    <w:p w14:paraId="32158DDC">
      <w:r>
        <w:rPr>
          <w:rFonts w:hint="eastAsia"/>
        </w:rPr>
        <w:t>（六）采取虚假的清仓价、甩卖价、最低价、优惠价等欺骗性价格表示的；</w:t>
      </w:r>
    </w:p>
    <w:p w14:paraId="037409D7">
      <w:bookmarkStart w:id="2102" w:name="_Toc428780494"/>
      <w:r>
        <w:rPr>
          <w:rFonts w:hint="eastAsia"/>
        </w:rPr>
        <w:t>（七）对修理的商品，故意损坏或者更换不需要更换的零配件的；</w:t>
      </w:r>
      <w:bookmarkEnd w:id="2102"/>
    </w:p>
    <w:p w14:paraId="355232D1">
      <w:r>
        <w:rPr>
          <w:rFonts w:hint="eastAsia"/>
        </w:rPr>
        <w:t>（八）以虚假的商品说明、商品标准、实物样品等方式销售商品或者提供服务的；</w:t>
      </w:r>
    </w:p>
    <w:p w14:paraId="66E19CCF">
      <w:bookmarkStart w:id="2103" w:name="_Toc428780495"/>
      <w:r>
        <w:rPr>
          <w:rFonts w:hint="eastAsia"/>
        </w:rPr>
        <w:t>（九）伪造商品的产地，伪造或者冒用他人的厂名、厂址的；</w:t>
      </w:r>
      <w:bookmarkEnd w:id="2103"/>
    </w:p>
    <w:p w14:paraId="5A5CB8B8">
      <w:r>
        <w:rPr>
          <w:rFonts w:hint="eastAsia"/>
        </w:rPr>
        <w:t>（十）销售“处理品”、“残次品”、“等外品”等商品而不予标明的；</w:t>
      </w:r>
    </w:p>
    <w:p w14:paraId="41F2A143">
      <w:bookmarkStart w:id="2104" w:name="_Toc428780496"/>
      <w:r>
        <w:rPr>
          <w:rFonts w:hint="eastAsia"/>
        </w:rPr>
        <w:t>（十一）销售假冒他人注册商标的商品的；</w:t>
      </w:r>
      <w:bookmarkEnd w:id="2104"/>
    </w:p>
    <w:p w14:paraId="43AC108E">
      <w:r>
        <w:rPr>
          <w:rFonts w:hint="eastAsia"/>
        </w:rPr>
        <w:t>（十二）伪造或者冒用认证标志、名优标志等质量标志的；</w:t>
      </w:r>
    </w:p>
    <w:p w14:paraId="6115A381">
      <w:bookmarkStart w:id="2105" w:name="_Toc428780497"/>
      <w:r>
        <w:rPr>
          <w:rFonts w:hint="eastAsia"/>
        </w:rPr>
        <w:t>（十三）不以真实名称和标记从事经营活动，损害消费者合法权益的；</w:t>
      </w:r>
      <w:bookmarkEnd w:id="2105"/>
    </w:p>
    <w:p w14:paraId="78CAB15A">
      <w:r>
        <w:rPr>
          <w:rFonts w:hint="eastAsia"/>
        </w:rPr>
        <w:t>（十四）发布虚假广告，欺骗和误导消费者，使购买商品或者接受服务的消费者的合法权益受到损害的；</w:t>
      </w:r>
    </w:p>
    <w:p w14:paraId="5C68F76B">
      <w:r>
        <w:rPr>
          <w:rFonts w:hint="eastAsia"/>
        </w:rPr>
        <w:t>（十五）其他法律、法规规定为欺诈行为的。</w:t>
      </w:r>
    </w:p>
    <w:p w14:paraId="06078A16">
      <w:r>
        <w:rPr>
          <w:rFonts w:hint="eastAsia"/>
        </w:rPr>
        <w:t>欺诈行为属生产者或者其他经营者所为的，由销售者先行向消费者赔偿；赔偿后，销售者可以依法向实施欺诈行为的生产者或者其他经营者追偿。</w:t>
      </w:r>
    </w:p>
    <w:p w14:paraId="6D150457">
      <w:pPr>
        <w:ind w:firstLine="422"/>
      </w:pPr>
      <w:r>
        <w:rPr>
          <w:rFonts w:hint="eastAsia"/>
          <w:b/>
        </w:rPr>
        <w:t>第十五条</w:t>
      </w:r>
      <w:r>
        <w:rPr>
          <w:rFonts w:hint="eastAsia"/>
        </w:rPr>
        <w:t>　经营者应当遵守公平、自愿原则，不得强行销售、强行服务、强迫消费者接受其规定的价格及其他不合理的条件。</w:t>
      </w:r>
    </w:p>
    <w:p w14:paraId="28946DCF">
      <w:pPr>
        <w:ind w:firstLine="422"/>
      </w:pPr>
      <w:r>
        <w:rPr>
          <w:rFonts w:hint="eastAsia"/>
          <w:b/>
        </w:rPr>
        <w:t>第十六条</w:t>
      </w:r>
      <w:r>
        <w:rPr>
          <w:rFonts w:hint="eastAsia"/>
        </w:rPr>
        <w:t>　消费者协会受理消费者的投诉后，应当对投诉事项进行调查、调解，经营者应当积极配合。经营者不接受调解或者不履行调解协议的，消费者协会可以根据消费者的要求，将案件移送有关行政部门处理。</w:t>
      </w:r>
    </w:p>
    <w:p w14:paraId="375E8906">
      <w:r>
        <w:rPr>
          <w:rFonts w:hint="eastAsia"/>
        </w:rPr>
        <w:t>有关行政部门对消费者的申诉或者消费者协会提请处理的案件，应当在接到申诉书或者消费者协会的建议</w:t>
      </w:r>
      <w:r>
        <w:rPr>
          <w:rFonts w:hint="eastAsia" w:ascii="宋体" w:hAnsi="宋体" w:eastAsia="宋体" w:cs="宋体"/>
        </w:rPr>
        <w:t>书后10日内，作出是否受理的决定。决定受理的，应当在45日</w:t>
      </w:r>
      <w:r>
        <w:rPr>
          <w:rFonts w:hint="eastAsia"/>
        </w:rPr>
        <w:t>内作出处理决定。</w:t>
      </w:r>
    </w:p>
    <w:p w14:paraId="47A2622F">
      <w:r>
        <w:rPr>
          <w:rFonts w:hint="eastAsia"/>
        </w:rPr>
        <w:t>对损害消费者合法权益的重大案件，有关行政部门可以公布处理结果。</w:t>
      </w:r>
    </w:p>
    <w:p w14:paraId="179BACB3">
      <w:pPr>
        <w:ind w:firstLine="422"/>
      </w:pPr>
      <w:r>
        <w:rPr>
          <w:rFonts w:hint="eastAsia"/>
          <w:b/>
        </w:rPr>
        <w:t>第十七条</w:t>
      </w:r>
      <w:r>
        <w:rPr>
          <w:rFonts w:hint="eastAsia"/>
        </w:rPr>
        <w:t>　违反本办法第五条规定，经营者不悬挂营业执照或者不标明其真实名称和标记的，展销会举办者、场地和柜台提供者不督促参展者和场地、柜台的使用者悬挂营业执照并标明其真实名称和标记的，由工商行政管理部门责令改正，并按照工商行政管理的有关法律、法规的规定予以处理。</w:t>
      </w:r>
    </w:p>
    <w:p w14:paraId="1CD3FEE4">
      <w:pPr>
        <w:ind w:firstLine="422"/>
      </w:pPr>
      <w:r>
        <w:rPr>
          <w:rFonts w:hint="eastAsia"/>
          <w:b/>
        </w:rPr>
        <w:t>第十八条</w:t>
      </w:r>
      <w:r>
        <w:rPr>
          <w:rFonts w:hint="eastAsia"/>
        </w:rPr>
        <w:t>　从事服务业的经营者违反本办法第十二条第一款规定，不标明服务价格的，由物价管理部门按照国家有关价格管理的规定予以处罚。</w:t>
      </w:r>
    </w:p>
    <w:p w14:paraId="5585D318">
      <w:pPr>
        <w:ind w:firstLine="422"/>
      </w:pPr>
      <w:r>
        <w:rPr>
          <w:rFonts w:hint="eastAsia"/>
          <w:b/>
        </w:rPr>
        <w:t>第十九条</w:t>
      </w:r>
      <w:r>
        <w:rPr>
          <w:rFonts w:hint="eastAsia"/>
        </w:rPr>
        <w:t>　经营者违反本办法第十三条第一款规定的，经营者、展销会举办者、场地和柜台的提供者违反本办法第十三条第二款规定的，由工商行政管理部门责令改正。</w:t>
      </w:r>
    </w:p>
    <w:p w14:paraId="21BCA7C4">
      <w:pPr>
        <w:ind w:firstLine="422"/>
      </w:pPr>
      <w:r>
        <w:rPr>
          <w:rFonts w:hint="eastAsia"/>
          <w:b/>
        </w:rPr>
        <w:t>第二十条</w:t>
      </w:r>
      <w:r>
        <w:rPr>
          <w:rFonts w:hint="eastAsia"/>
        </w:rPr>
        <w:t>　经营者有本办法第十四条所列行为之一的，按照《消费者权益保护法》第五十条的规定处罚。</w:t>
      </w:r>
    </w:p>
    <w:p w14:paraId="1E9E4877">
      <w:pPr>
        <w:ind w:firstLine="422"/>
      </w:pPr>
      <w:r>
        <w:rPr>
          <w:rFonts w:hint="eastAsia"/>
          <w:b/>
        </w:rPr>
        <w:t>第二十一条</w:t>
      </w:r>
      <w:r>
        <w:rPr>
          <w:rFonts w:hint="eastAsia"/>
        </w:rPr>
        <w:t>　经营者违反本办法第十五条规定的，应当按照消费者购买商品的价款或者接受服务的费用的两倍支付赔偿金。由工商行政管理部门或者物价管理部门责令其改正并公开向消费者道歉，按照工商行政管理的有关法律、法规或者国家有关价格管理的规定予以处罚。</w:t>
      </w:r>
    </w:p>
    <w:p w14:paraId="1F82DBDB">
      <w:pPr>
        <w:ind w:firstLine="422"/>
      </w:pPr>
      <w:r>
        <w:rPr>
          <w:rFonts w:hint="eastAsia"/>
          <w:b/>
        </w:rPr>
        <w:t>第二十二条</w:t>
      </w:r>
      <w:r>
        <w:rPr>
          <w:rFonts w:hint="eastAsia"/>
        </w:rPr>
        <w:t>　经营者提供商品或者服务，造成消费者或者其他受害人人身伤害或者死亡的，按照《消费者权益保护法》第四十一条、第四十二条的规定承担法律责任。</w:t>
      </w:r>
    </w:p>
    <w:p w14:paraId="7BFF2480">
      <w:pPr>
        <w:ind w:firstLine="422"/>
      </w:pPr>
      <w:r>
        <w:rPr>
          <w:rFonts w:hint="eastAsia"/>
          <w:b/>
        </w:rPr>
        <w:t>第二十三条</w:t>
      </w:r>
      <w:r>
        <w:rPr>
          <w:rFonts w:hint="eastAsia"/>
        </w:rPr>
        <w:t>　本办法所称商品存在质量问题，是指经营者为消费者提供的商品不符合《中华人民共和国产品质量法》规定的产品质量要求。</w:t>
      </w:r>
    </w:p>
    <w:p w14:paraId="563A687B">
      <w:pPr>
        <w:ind w:firstLine="422"/>
      </w:pPr>
      <w:r>
        <w:rPr>
          <w:rFonts w:hint="eastAsia"/>
          <w:b/>
        </w:rPr>
        <w:t>第二十四条</w:t>
      </w:r>
      <w:r>
        <w:rPr>
          <w:rFonts w:hint="eastAsia"/>
        </w:rPr>
        <w:t>　当事人对行政处罚决定不服的，可以依法申请行政复议或者提起行政诉讼。</w:t>
      </w:r>
    </w:p>
    <w:p w14:paraId="19156D59">
      <w:pPr>
        <w:ind w:firstLine="422"/>
      </w:pPr>
      <w:r>
        <w:rPr>
          <w:rFonts w:hint="eastAsia"/>
          <w:b/>
        </w:rPr>
        <w:t>第二十五条</w:t>
      </w:r>
      <w:r>
        <w:rPr>
          <w:rFonts w:hint="eastAsia"/>
        </w:rPr>
        <w:t>　本办法具体应用中的问题，由市人民政府负责解释。</w:t>
      </w:r>
    </w:p>
    <w:p w14:paraId="50A0714D">
      <w:pPr>
        <w:ind w:firstLine="422"/>
      </w:pPr>
      <w:r>
        <w:rPr>
          <w:rFonts w:hint="eastAsia"/>
          <w:b/>
        </w:rPr>
        <w:t>第二十六条</w:t>
      </w:r>
      <w:r>
        <w:rPr>
          <w:rFonts w:hint="eastAsia"/>
        </w:rPr>
        <w:t>　本办法自</w:t>
      </w:r>
      <w:r>
        <w:rPr>
          <w:rFonts w:hint="eastAsia" w:ascii="宋体" w:hAnsi="宋体" w:eastAsia="宋体" w:cs="宋体"/>
        </w:rPr>
        <w:t>1995年9月1日起施行。1988年12月23日</w:t>
      </w:r>
      <w:r>
        <w:rPr>
          <w:rFonts w:hint="eastAsia"/>
        </w:rPr>
        <w:t>北京市第九届人民代表大会常务委员会第七次会议通过的《北京市保护消费者合法权益条例》同时废止。</w:t>
      </w:r>
    </w:p>
    <w:p w14:paraId="791D0818">
      <w:pPr>
        <w:pStyle w:val="4"/>
        <w:pageBreakBefore/>
      </w:pPr>
      <w:bookmarkStart w:id="2106" w:name="_Toc426467059"/>
      <w:bookmarkStart w:id="2107" w:name="_Toc428780498"/>
      <w:bookmarkStart w:id="2108" w:name="_Toc428781807"/>
      <w:r>
        <w:rPr>
          <w:rFonts w:hint="eastAsia"/>
        </w:rPr>
        <w:t>北京市老年人权益保障条例</w:t>
      </w:r>
      <w:bookmarkEnd w:id="2106"/>
      <w:bookmarkEnd w:id="2107"/>
      <w:bookmarkEnd w:id="2108"/>
    </w:p>
    <w:p w14:paraId="037FBF98">
      <w:pPr>
        <w:ind w:left="630" w:leftChars="300" w:right="630" w:rightChars="300"/>
        <w:rPr>
          <w:rFonts w:ascii="楷体" w:hAnsi="楷体" w:eastAsia="楷体"/>
        </w:rPr>
      </w:pPr>
      <w:r>
        <w:rPr>
          <w:rFonts w:hint="eastAsia" w:ascii="楷体" w:hAnsi="楷体" w:eastAsia="楷体"/>
        </w:rPr>
        <w:t>（1995年9月22日北京市第十届人民代表大会常务委员会第二十次会议通过  1995年9月22日北京市人民代表大会常务委员会公告第47号公布1996年1月1日起施行）</w:t>
      </w:r>
    </w:p>
    <w:p w14:paraId="0A849FC8"/>
    <w:p w14:paraId="4A488130">
      <w:pPr>
        <w:ind w:firstLine="0" w:firstLineChars="0"/>
        <w:jc w:val="center"/>
        <w:rPr>
          <w:b/>
          <w:sz w:val="28"/>
        </w:rPr>
      </w:pPr>
      <w:r>
        <w:rPr>
          <w:rFonts w:hint="eastAsia"/>
          <w:b/>
          <w:sz w:val="28"/>
        </w:rPr>
        <w:t>第一章　总　则</w:t>
      </w:r>
    </w:p>
    <w:p w14:paraId="19664B19"/>
    <w:p w14:paraId="698408C1">
      <w:pPr>
        <w:ind w:firstLine="422"/>
      </w:pPr>
      <w:r>
        <w:rPr>
          <w:rFonts w:hint="eastAsia"/>
          <w:b/>
        </w:rPr>
        <w:t>第一条</w:t>
      </w:r>
      <w:r>
        <w:rPr>
          <w:rFonts w:hint="eastAsia"/>
        </w:rPr>
        <w:t xml:space="preserve">  为了保障老年人的合法权益，弘扬中华民族敬老、养老的传统美德，根据宪法和有关法律，结合本市实际情况，制定本条例。</w:t>
      </w:r>
    </w:p>
    <w:p w14:paraId="046116B8">
      <w:pPr>
        <w:ind w:firstLine="422"/>
      </w:pPr>
      <w:r>
        <w:rPr>
          <w:rFonts w:hint="eastAsia"/>
          <w:b/>
        </w:rPr>
        <w:t>第二条</w:t>
      </w:r>
      <w:r>
        <w:rPr>
          <w:rFonts w:hint="eastAsia"/>
        </w:rPr>
        <w:t xml:space="preserve">  本条例所称的老年人是指</w:t>
      </w:r>
      <w:r>
        <w:rPr>
          <w:rFonts w:hint="eastAsia" w:ascii="宋体" w:hAnsi="宋体" w:eastAsia="宋体" w:cs="宋体"/>
        </w:rPr>
        <w:t>60</w:t>
      </w:r>
      <w:r>
        <w:rPr>
          <w:rFonts w:hint="eastAsia"/>
        </w:rPr>
        <w:t>周岁以上的公民。</w:t>
      </w:r>
    </w:p>
    <w:p w14:paraId="267FE323">
      <w:pPr>
        <w:ind w:firstLine="422"/>
      </w:pPr>
      <w:r>
        <w:rPr>
          <w:rFonts w:hint="eastAsia"/>
          <w:b/>
        </w:rPr>
        <w:t>第三条</w:t>
      </w:r>
      <w:r>
        <w:rPr>
          <w:rFonts w:hint="eastAsia"/>
        </w:rPr>
        <w:t xml:space="preserve">  老年人在政治、经济、文化、社会和家庭生活等方面的合法权益受法律保护，任何单位和个人不得侵犯。</w:t>
      </w:r>
    </w:p>
    <w:p w14:paraId="293C8E9E">
      <w:r>
        <w:rPr>
          <w:rFonts w:hint="eastAsia"/>
        </w:rPr>
        <w:t>禁止侮辱、诽谤、殴打、虐待和遗弃老年人。</w:t>
      </w:r>
    </w:p>
    <w:p w14:paraId="216B9A55">
      <w:pPr>
        <w:ind w:firstLine="422"/>
      </w:pPr>
      <w:r>
        <w:rPr>
          <w:rFonts w:hint="eastAsia"/>
          <w:b/>
        </w:rPr>
        <w:t>第四条</w:t>
      </w:r>
      <w:r>
        <w:rPr>
          <w:rFonts w:hint="eastAsia"/>
        </w:rPr>
        <w:t xml:space="preserve">  各级人民政府应当将老龄事业纳入国民经济和社会发展计划，使老龄事业与经济、社会协调发展。</w:t>
      </w:r>
    </w:p>
    <w:p w14:paraId="7D4B1AE3">
      <w:pPr>
        <w:ind w:firstLine="422"/>
      </w:pPr>
      <w:r>
        <w:rPr>
          <w:rFonts w:hint="eastAsia"/>
          <w:b/>
        </w:rPr>
        <w:t>第五条</w:t>
      </w:r>
      <w:r>
        <w:rPr>
          <w:rFonts w:hint="eastAsia"/>
        </w:rPr>
        <w:t xml:space="preserve">  市人民政府老龄工作领导小组负责对本市老龄事业发展中的重大问题进行调查研究，协调解决需要由有关部门共同参与解决的综合性问题，监督、检查有关维护老年人合法权益的法律、法规的实施。其办事机构设在市老龄协会。</w:t>
      </w:r>
    </w:p>
    <w:p w14:paraId="0A703FAE">
      <w:r>
        <w:rPr>
          <w:rFonts w:hint="eastAsia"/>
        </w:rPr>
        <w:t>各区、县人民政府老龄工作机构的设置，参照前款规定。</w:t>
      </w:r>
    </w:p>
    <w:p w14:paraId="4897C8BE">
      <w:pPr>
        <w:ind w:firstLine="422"/>
      </w:pPr>
      <w:r>
        <w:rPr>
          <w:rFonts w:hint="eastAsia"/>
          <w:b/>
        </w:rPr>
        <w:t>第六条</w:t>
      </w:r>
      <w:r>
        <w:rPr>
          <w:rFonts w:hint="eastAsia"/>
        </w:rPr>
        <w:t xml:space="preserve">  保障老年人合法权益是全社会的共同责任。</w:t>
      </w:r>
    </w:p>
    <w:p w14:paraId="067A9456">
      <w:r>
        <w:rPr>
          <w:rFonts w:hint="eastAsia"/>
        </w:rPr>
        <w:t>本市国家机关、社会团体、企业事业单位应当按照各自的职责，做好老年人合法权益的保障工作。</w:t>
      </w:r>
    </w:p>
    <w:p w14:paraId="6B9E11BD">
      <w:r>
        <w:rPr>
          <w:rFonts w:hint="eastAsia"/>
        </w:rPr>
        <w:t>居民委员会、村民委员会和基层老年人群众组织应当反映老年人的要求，维护老年人的合法权益，热心为老年人服务。</w:t>
      </w:r>
    </w:p>
    <w:p w14:paraId="0979BA43">
      <w:pPr>
        <w:ind w:firstLine="422"/>
      </w:pPr>
      <w:r>
        <w:rPr>
          <w:rFonts w:hint="eastAsia"/>
          <w:b/>
        </w:rPr>
        <w:t>第七条</w:t>
      </w:r>
      <w:r>
        <w:rPr>
          <w:rFonts w:hint="eastAsia"/>
        </w:rPr>
        <w:t xml:space="preserve">  全社会要广泛开展敬老、养老宣传教育活动，提倡尊重、关心、帮助老年人的社会风尚。</w:t>
      </w:r>
    </w:p>
    <w:p w14:paraId="743E4753">
      <w:r>
        <w:rPr>
          <w:rFonts w:hint="eastAsia"/>
        </w:rPr>
        <w:t>青少年组织、学校和幼儿园应当对青少年和儿童进行孝敬父母、敬老养老的道德教育和法制教育。</w:t>
      </w:r>
    </w:p>
    <w:p w14:paraId="5ADEE22D">
      <w:pPr>
        <w:ind w:firstLine="422"/>
      </w:pPr>
      <w:r>
        <w:rPr>
          <w:rFonts w:hint="eastAsia"/>
          <w:b/>
        </w:rPr>
        <w:t>第八条</w:t>
      </w:r>
      <w:r>
        <w:rPr>
          <w:rFonts w:hint="eastAsia"/>
        </w:rPr>
        <w:t xml:space="preserve">  各级人民政府对保护老年人合法权益和敬老、养老成绩显著的单位、家庭和个人以及在从事社会劳动和公益事业中做出突出贡献的老年人予以表彰和奖励。</w:t>
      </w:r>
    </w:p>
    <w:p w14:paraId="68D2B7AB">
      <w:pPr>
        <w:ind w:firstLine="422"/>
      </w:pPr>
      <w:r>
        <w:rPr>
          <w:rFonts w:hint="eastAsia"/>
          <w:b/>
        </w:rPr>
        <w:t>第九条</w:t>
      </w:r>
      <w:r>
        <w:rPr>
          <w:rFonts w:hint="eastAsia"/>
        </w:rPr>
        <w:t xml:space="preserve">  每年农历九月初九重阳节为本市敬老日。</w:t>
      </w:r>
    </w:p>
    <w:p w14:paraId="5BEB855A"/>
    <w:p w14:paraId="6ABC8240">
      <w:pPr>
        <w:ind w:firstLine="0" w:firstLineChars="0"/>
        <w:jc w:val="center"/>
        <w:rPr>
          <w:b/>
          <w:sz w:val="28"/>
        </w:rPr>
      </w:pPr>
      <w:r>
        <w:rPr>
          <w:rFonts w:hint="eastAsia"/>
          <w:b/>
          <w:sz w:val="28"/>
        </w:rPr>
        <w:t>第二章　家庭保障</w:t>
      </w:r>
    </w:p>
    <w:p w14:paraId="1EDF14E6"/>
    <w:p w14:paraId="43F5621D">
      <w:pPr>
        <w:ind w:firstLine="422"/>
      </w:pPr>
      <w:r>
        <w:rPr>
          <w:rFonts w:hint="eastAsia"/>
          <w:b/>
        </w:rPr>
        <w:t>第十条</w:t>
      </w:r>
      <w:r>
        <w:rPr>
          <w:rFonts w:hint="eastAsia"/>
        </w:rPr>
        <w:t xml:space="preserve">  老年人在家庭生活中依法享有受赡养扶助的权利。</w:t>
      </w:r>
    </w:p>
    <w:p w14:paraId="55730EF5">
      <w:r>
        <w:rPr>
          <w:rFonts w:hint="eastAsia"/>
        </w:rPr>
        <w:t>赡养人必须履行对老年人经济供养、生活照料和精神慰藉的义务，保障老年人的生活标准不低于家庭其他成员，并照顾老年人的特殊需要。</w:t>
      </w:r>
    </w:p>
    <w:p w14:paraId="42493569">
      <w:r>
        <w:rPr>
          <w:rFonts w:hint="eastAsia"/>
        </w:rPr>
        <w:t>赡养人不得强行将有配偶的老年人分开赡养，不得以放弃继承权或者其他理由，拒绝履行赡养义务；不得要求老年人承担力不能及的劳动。</w:t>
      </w:r>
    </w:p>
    <w:p w14:paraId="6434D430">
      <w:r>
        <w:rPr>
          <w:rFonts w:hint="eastAsia"/>
        </w:rPr>
        <w:t>赡养人与老年人不在一起生活的，应当对老年人的生活给予妥善安排。</w:t>
      </w:r>
    </w:p>
    <w:p w14:paraId="675F6648">
      <w:pPr>
        <w:ind w:firstLine="422"/>
      </w:pPr>
      <w:r>
        <w:rPr>
          <w:rFonts w:hint="eastAsia"/>
          <w:b/>
        </w:rPr>
        <w:t>第十一条</w:t>
      </w:r>
      <w:r>
        <w:rPr>
          <w:rFonts w:hint="eastAsia"/>
        </w:rPr>
        <w:t xml:space="preserve">  赡养人有义务耕种、照管老年人的口粮田、自留地、林木和牲畜等，收益由老年人支配。</w:t>
      </w:r>
    </w:p>
    <w:p w14:paraId="0981BE8A">
      <w:pPr>
        <w:ind w:firstLine="422"/>
      </w:pPr>
      <w:r>
        <w:rPr>
          <w:rFonts w:hint="eastAsia"/>
          <w:b/>
        </w:rPr>
        <w:t>第十二条</w:t>
      </w:r>
      <w:r>
        <w:rPr>
          <w:rFonts w:hint="eastAsia"/>
        </w:rPr>
        <w:t xml:space="preserve">  赡养人对患病的老年人有提供医疗费用和护理的义务。</w:t>
      </w:r>
    </w:p>
    <w:p w14:paraId="7D9C2522">
      <w:pPr>
        <w:ind w:firstLine="422"/>
      </w:pPr>
      <w:r>
        <w:rPr>
          <w:rFonts w:hint="eastAsia"/>
          <w:b/>
        </w:rPr>
        <w:t>第十三条</w:t>
      </w:r>
      <w:r>
        <w:rPr>
          <w:rFonts w:hint="eastAsia"/>
        </w:rPr>
        <w:t xml:space="preserve">  老年人可以与赡养人就如何履行赡养义务签订协议，居民委员会、村民委员会和基层老年人群众组织监督协议的执行。</w:t>
      </w:r>
    </w:p>
    <w:p w14:paraId="111EA8EC">
      <w:pPr>
        <w:ind w:firstLine="422"/>
      </w:pPr>
      <w:r>
        <w:rPr>
          <w:rFonts w:hint="eastAsia"/>
          <w:b/>
        </w:rPr>
        <w:t>第十四条</w:t>
      </w:r>
      <w:r>
        <w:rPr>
          <w:rFonts w:hint="eastAsia"/>
        </w:rPr>
        <w:t>　老年人的婚姻自由受法律保护。子女或者其他亲属对老年人再婚不得阻止和歧视，不得干涉老年人再婚后的家庭生活和对自有财产的处置。</w:t>
      </w:r>
    </w:p>
    <w:p w14:paraId="5250895D">
      <w:pPr>
        <w:ind w:firstLine="422"/>
      </w:pPr>
      <w:r>
        <w:rPr>
          <w:rFonts w:hint="eastAsia"/>
          <w:b/>
        </w:rPr>
        <w:t>第十五条</w:t>
      </w:r>
      <w:r>
        <w:rPr>
          <w:rFonts w:hint="eastAsia"/>
        </w:rPr>
        <w:t>　老年人的房产权、房屋租赁权和居住权受法律保护。</w:t>
      </w:r>
    </w:p>
    <w:p w14:paraId="04B98413">
      <w:r>
        <w:rPr>
          <w:rFonts w:hint="eastAsia"/>
        </w:rPr>
        <w:t>产权属于老年人的房屋，未经老年人同意或者授权，子女或者其他亲属不得强占、出卖、出租、转让或者拆除。经老年人同意由子女或者其他亲属出资翻建的，应当明确老年人享有的产权和居住权。</w:t>
      </w:r>
    </w:p>
    <w:p w14:paraId="158ABCC9">
      <w:r>
        <w:rPr>
          <w:rFonts w:hint="eastAsia"/>
        </w:rPr>
        <w:t>老年人承租的住房，子女或者其他亲属不得挤占，不得擅自改变租赁关系。</w:t>
      </w:r>
    </w:p>
    <w:p w14:paraId="762576BD">
      <w:pPr>
        <w:ind w:firstLine="422"/>
      </w:pPr>
      <w:r>
        <w:rPr>
          <w:rFonts w:hint="eastAsia"/>
          <w:b/>
        </w:rPr>
        <w:t>第十六条</w:t>
      </w:r>
      <w:r>
        <w:rPr>
          <w:rFonts w:hint="eastAsia"/>
        </w:rPr>
        <w:t>　老年人的财产依法由老年人自主支配，子女或者其他亲属不得向老年人强行索取。</w:t>
      </w:r>
    </w:p>
    <w:p w14:paraId="5CC15587">
      <w:pPr>
        <w:ind w:firstLine="422"/>
      </w:pPr>
      <w:r>
        <w:rPr>
          <w:rFonts w:hint="eastAsia"/>
          <w:b/>
        </w:rPr>
        <w:t>第十七条</w:t>
      </w:r>
      <w:r>
        <w:rPr>
          <w:rFonts w:hint="eastAsia"/>
        </w:rPr>
        <w:t>　老年人有依法继承配偶、父母、子女及其他亲属的遗产和接受遗赠的权利。</w:t>
      </w:r>
    </w:p>
    <w:p w14:paraId="71D2FCE5"/>
    <w:p w14:paraId="377D87DC">
      <w:pPr>
        <w:ind w:firstLine="0" w:firstLineChars="0"/>
        <w:jc w:val="center"/>
        <w:rPr>
          <w:b/>
          <w:sz w:val="28"/>
        </w:rPr>
      </w:pPr>
      <w:r>
        <w:rPr>
          <w:rFonts w:hint="eastAsia"/>
          <w:b/>
          <w:sz w:val="28"/>
        </w:rPr>
        <w:t>第三章　社会保障</w:t>
      </w:r>
    </w:p>
    <w:p w14:paraId="0AFC954F"/>
    <w:p w14:paraId="4D450D90">
      <w:pPr>
        <w:ind w:firstLine="422"/>
      </w:pPr>
      <w:r>
        <w:rPr>
          <w:rFonts w:hint="eastAsia"/>
          <w:b/>
        </w:rPr>
        <w:t>第十八条</w:t>
      </w:r>
      <w:r>
        <w:rPr>
          <w:rFonts w:hint="eastAsia"/>
        </w:rPr>
        <w:t>　本市逐步完善职工养老保险制度，保障老年人的基本生活。</w:t>
      </w:r>
    </w:p>
    <w:p w14:paraId="4EC0EFDE">
      <w:pPr>
        <w:ind w:firstLine="422"/>
      </w:pPr>
      <w:r>
        <w:rPr>
          <w:rFonts w:hint="eastAsia"/>
          <w:b/>
        </w:rPr>
        <w:t>第十九条</w:t>
      </w:r>
      <w:r>
        <w:rPr>
          <w:rFonts w:hint="eastAsia"/>
        </w:rPr>
        <w:t>　市人民政府应当逐步完善离退休人员基本养老金的正常调整制度，根据本市经济发展和职工工资增长情况，调整基本养老金。</w:t>
      </w:r>
    </w:p>
    <w:p w14:paraId="55DEC85D">
      <w:pPr>
        <w:ind w:firstLine="422"/>
      </w:pPr>
      <w:r>
        <w:rPr>
          <w:rFonts w:hint="eastAsia"/>
          <w:b/>
        </w:rPr>
        <w:t>第二十条</w:t>
      </w:r>
      <w:r>
        <w:rPr>
          <w:rFonts w:hint="eastAsia"/>
        </w:rPr>
        <w:t>　有关部门和单位应当按时支付老年人依法享有的养老金和各项补贴，不得拖延、克扣和挪用。</w:t>
      </w:r>
    </w:p>
    <w:p w14:paraId="74191440">
      <w:pPr>
        <w:ind w:firstLine="422"/>
      </w:pPr>
      <w:r>
        <w:rPr>
          <w:rFonts w:hint="eastAsia"/>
          <w:b/>
        </w:rPr>
        <w:t>第二十一条</w:t>
      </w:r>
      <w:r>
        <w:rPr>
          <w:rFonts w:hint="eastAsia"/>
        </w:rPr>
        <w:t>　参加养老保险社会统筹和大病医疗费用社会统筹的企业，在亏损或者破产后，应当依法缴纳或者清偿社会保险费用。其退休老年人的基本养老保险待遇和患大病的医疗费用，由社会保险部门按规定予以支付。</w:t>
      </w:r>
    </w:p>
    <w:p w14:paraId="2F53ED11">
      <w:pPr>
        <w:ind w:firstLine="422"/>
      </w:pPr>
      <w:r>
        <w:rPr>
          <w:rFonts w:hint="eastAsia"/>
          <w:b/>
        </w:rPr>
        <w:t>第二十二条</w:t>
      </w:r>
      <w:r>
        <w:rPr>
          <w:rFonts w:hint="eastAsia"/>
        </w:rPr>
        <w:t>　本市农村逐步推行社会养老保险制度，保障与改善农村老年人的生活。</w:t>
      </w:r>
    </w:p>
    <w:p w14:paraId="0EB5C515">
      <w:pPr>
        <w:ind w:firstLine="422"/>
      </w:pPr>
      <w:r>
        <w:rPr>
          <w:rFonts w:hint="eastAsia"/>
          <w:b/>
        </w:rPr>
        <w:t>第二十三条</w:t>
      </w:r>
      <w:r>
        <w:rPr>
          <w:rFonts w:hint="eastAsia"/>
        </w:rPr>
        <w:t>　农村的老年人，无劳动能力、无生活来源、无法定扶养义务人或者虽有法定扶养义务人但无扶养能力的，在吃、穿、住、医、葬方面，由乡、镇人民政府负责组织实行五保供养。</w:t>
      </w:r>
    </w:p>
    <w:p w14:paraId="700C1AD8">
      <w:r>
        <w:rPr>
          <w:rFonts w:hint="eastAsia"/>
        </w:rPr>
        <w:t>城市的老年人，无劳动能力、无生活来源、无法定扶养义务人或者虽有法定扶养义务人但无扶养能力的，由当地人民政府按照规定的标准给予社会救济。</w:t>
      </w:r>
    </w:p>
    <w:p w14:paraId="55D76097">
      <w:pPr>
        <w:ind w:firstLine="422"/>
      </w:pPr>
      <w:r>
        <w:rPr>
          <w:rFonts w:hint="eastAsia"/>
          <w:b/>
        </w:rPr>
        <w:t>第二十四条</w:t>
      </w:r>
      <w:r>
        <w:rPr>
          <w:rFonts w:hint="eastAsia"/>
        </w:rPr>
        <w:t>　本市改革和完善社会医疗保险制度，逐步形成完整的医疗保障体系。各单位应当依照有关规定参加医疗保险，保证老年人按规定享受的医疗待遇。</w:t>
      </w:r>
    </w:p>
    <w:p w14:paraId="1198B25B">
      <w:pPr>
        <w:ind w:firstLine="422"/>
      </w:pPr>
      <w:r>
        <w:rPr>
          <w:rFonts w:hint="eastAsia"/>
          <w:b/>
        </w:rPr>
        <w:t>第二十五条</w:t>
      </w:r>
      <w:r>
        <w:rPr>
          <w:rFonts w:hint="eastAsia"/>
        </w:rPr>
        <w:t>　各级医疗卫生部门应当为老年人就医提供方便，实行老年人就医优先的制度，并开展老年病防治的医学科学研究。各级医疗单位应当逐步设立老年病门诊、家庭病床，为行动不便的老年人提供必要的医疗服务。</w:t>
      </w:r>
    </w:p>
    <w:p w14:paraId="3BF87575">
      <w:r>
        <w:rPr>
          <w:rFonts w:hint="eastAsia"/>
        </w:rPr>
        <w:t>各级卫生行政部门应当采取措施，有计划地设立老年病医院、老年医疗康复中心以及其他形式的老年医疗保健机构。</w:t>
      </w:r>
    </w:p>
    <w:p w14:paraId="598FFD9F">
      <w:pPr>
        <w:ind w:firstLine="422"/>
      </w:pPr>
      <w:r>
        <w:rPr>
          <w:rFonts w:hint="eastAsia"/>
          <w:b/>
        </w:rPr>
        <w:t>第二十六条</w:t>
      </w:r>
      <w:r>
        <w:rPr>
          <w:rFonts w:hint="eastAsia"/>
        </w:rPr>
        <w:t>　各级卫生、体育部门，应当加强老年人自我保健和疾病防治的健康教育，支持老年人建立群众性的健身组织，广泛开展老年人健身活动。</w:t>
      </w:r>
    </w:p>
    <w:p w14:paraId="7118864D">
      <w:pPr>
        <w:ind w:firstLine="422"/>
      </w:pPr>
      <w:r>
        <w:rPr>
          <w:rFonts w:hint="eastAsia"/>
          <w:b/>
        </w:rPr>
        <w:t>第二十七条</w:t>
      </w:r>
      <w:r>
        <w:rPr>
          <w:rFonts w:hint="eastAsia"/>
        </w:rPr>
        <w:t>　各级人民政府和有关单位以及社会组织应当重视发挥老年人的专长和作用。</w:t>
      </w:r>
    </w:p>
    <w:p w14:paraId="1BFDC742">
      <w:r>
        <w:rPr>
          <w:rFonts w:hint="eastAsia"/>
        </w:rPr>
        <w:t>各级劳动、人事部门应当开展老年人社会劳动咨询服务、老年人人才开发等工作，为老年人参与社会劳动提供方便。</w:t>
      </w:r>
    </w:p>
    <w:p w14:paraId="63219BAD">
      <w:r>
        <w:rPr>
          <w:rFonts w:hint="eastAsia"/>
        </w:rPr>
        <w:t>老年人从事社会劳动和公益事业的合法收入受法律保护。</w:t>
      </w:r>
    </w:p>
    <w:p w14:paraId="120CB70E">
      <w:pPr>
        <w:ind w:firstLine="422"/>
      </w:pPr>
      <w:r>
        <w:rPr>
          <w:rFonts w:hint="eastAsia"/>
          <w:b/>
        </w:rPr>
        <w:t>第二十八条</w:t>
      </w:r>
      <w:r>
        <w:rPr>
          <w:rFonts w:hint="eastAsia"/>
        </w:rPr>
        <w:t>　对老年人兴办的社会公益事业和以积累老年福利基金为目的的生产经营企业，政府应当给予支持和帮助。</w:t>
      </w:r>
    </w:p>
    <w:p w14:paraId="5673E8DB">
      <w:pPr>
        <w:ind w:firstLine="422"/>
      </w:pPr>
      <w:r>
        <w:rPr>
          <w:rFonts w:hint="eastAsia"/>
          <w:b/>
        </w:rPr>
        <w:t>第二十九条</w:t>
      </w:r>
      <w:r>
        <w:rPr>
          <w:rFonts w:hint="eastAsia"/>
        </w:rPr>
        <w:t>　本市鼓励和支持兴办各类老年学校，为老年人参加学习创造条件。</w:t>
      </w:r>
    </w:p>
    <w:p w14:paraId="156542C7">
      <w:pPr>
        <w:ind w:firstLine="422"/>
      </w:pPr>
      <w:r>
        <w:rPr>
          <w:rFonts w:hint="eastAsia"/>
          <w:b/>
        </w:rPr>
        <w:t>第三十条</w:t>
      </w:r>
      <w:r>
        <w:rPr>
          <w:rFonts w:hint="eastAsia"/>
        </w:rPr>
        <w:t>　各有关部门和单位应当积极组织和支持老年人开展群众性文化、娱乐、体育活动。</w:t>
      </w:r>
    </w:p>
    <w:p w14:paraId="2D1C290D">
      <w:r>
        <w:rPr>
          <w:rFonts w:hint="eastAsia"/>
        </w:rPr>
        <w:t>文化、娱乐、体育和其他公共场所的管理部门和经营单位应当为老年人开展活动提供优惠服务。</w:t>
      </w:r>
    </w:p>
    <w:p w14:paraId="08F5FB2A">
      <w:pPr>
        <w:ind w:firstLine="422"/>
      </w:pPr>
      <w:r>
        <w:rPr>
          <w:rFonts w:hint="eastAsia"/>
          <w:b/>
        </w:rPr>
        <w:t>第三十一条</w:t>
      </w:r>
      <w:r>
        <w:rPr>
          <w:rFonts w:hint="eastAsia"/>
        </w:rPr>
        <w:t>　报刊、广播、电视、电影等部门，应当积极宣传敬老、养老的传统美德，反映老年人的生活，批评侵犯老年人合法权益的行为。</w:t>
      </w:r>
    </w:p>
    <w:p w14:paraId="2E0D64AA">
      <w:pPr>
        <w:ind w:firstLine="422"/>
      </w:pPr>
      <w:r>
        <w:rPr>
          <w:rFonts w:hint="eastAsia"/>
          <w:b/>
        </w:rPr>
        <w:t>第三十二条</w:t>
      </w:r>
      <w:r>
        <w:rPr>
          <w:rFonts w:hint="eastAsia"/>
        </w:rPr>
        <w:t>　各级人民政府应当逐步增加对老年人福利事业的投入，依照规定多种渠道筹集资金，兴办敬老院、抚老所、福利院、老年公寓等福利设施，并加强管理。</w:t>
      </w:r>
    </w:p>
    <w:p w14:paraId="7EE0175A">
      <w:pPr>
        <w:ind w:firstLine="422"/>
      </w:pPr>
      <w:r>
        <w:rPr>
          <w:rFonts w:hint="eastAsia"/>
          <w:b/>
        </w:rPr>
        <w:t>第三十三条</w:t>
      </w:r>
      <w:r>
        <w:rPr>
          <w:rFonts w:hint="eastAsia"/>
        </w:rPr>
        <w:t>　社区服务中心应当设置适应老年人需要的生活服务、疾病护理等服务项目。</w:t>
      </w:r>
    </w:p>
    <w:p w14:paraId="0883E087">
      <w:r>
        <w:rPr>
          <w:rFonts w:hint="eastAsia"/>
        </w:rPr>
        <w:t>鼓励和提倡社会组织和个人为老年人义务服务。</w:t>
      </w:r>
    </w:p>
    <w:p w14:paraId="65E04A94">
      <w:pPr>
        <w:ind w:firstLine="422"/>
      </w:pPr>
      <w:r>
        <w:rPr>
          <w:rFonts w:hint="eastAsia"/>
          <w:b/>
        </w:rPr>
        <w:t>第三十四条</w:t>
      </w:r>
      <w:r>
        <w:rPr>
          <w:rFonts w:hint="eastAsia"/>
        </w:rPr>
        <w:t>　规划、设计、建设部门，在规划、设计和建设城乡公共设施和居住区时，应当根据老年人的特殊需要，安排和建设老年人生活服务设施和活动场所。</w:t>
      </w:r>
    </w:p>
    <w:p w14:paraId="382B97A3">
      <w:pPr>
        <w:ind w:firstLine="422"/>
      </w:pPr>
      <w:r>
        <w:rPr>
          <w:rFonts w:hint="eastAsia"/>
          <w:b/>
        </w:rPr>
        <w:t>第三十五条</w:t>
      </w:r>
      <w:r>
        <w:rPr>
          <w:rFonts w:hint="eastAsia"/>
        </w:rPr>
        <w:t>　铁路、交通、民航等运输部门应当为老年人乘车、乘船、乘机提供方便。</w:t>
      </w:r>
    </w:p>
    <w:p w14:paraId="2A62B54A">
      <w:pPr>
        <w:ind w:firstLine="422"/>
      </w:pPr>
      <w:r>
        <w:rPr>
          <w:rFonts w:hint="eastAsia"/>
          <w:b/>
        </w:rPr>
        <w:t>第三十六条</w:t>
      </w:r>
      <w:r>
        <w:rPr>
          <w:rFonts w:hint="eastAsia"/>
        </w:rPr>
        <w:t>　法律咨询、服务机构和法律工作者，应当为维护老年人合法权益提供及时的服务。</w:t>
      </w:r>
    </w:p>
    <w:p w14:paraId="3EF4F66F">
      <w:r>
        <w:rPr>
          <w:rFonts w:hint="eastAsia"/>
        </w:rPr>
        <w:t>经济上有困难的老年人在需要法律服务时，有依法获得社会法律援助的权利。</w:t>
      </w:r>
    </w:p>
    <w:p w14:paraId="7585BD68">
      <w:pPr>
        <w:ind w:firstLine="422"/>
      </w:pPr>
      <w:r>
        <w:rPr>
          <w:rFonts w:hint="eastAsia"/>
          <w:b/>
        </w:rPr>
        <w:t>第三十七条</w:t>
      </w:r>
      <w:r>
        <w:rPr>
          <w:rFonts w:hint="eastAsia"/>
        </w:rPr>
        <w:t>　本市对七十周岁以上的高龄老年人实行社会敬老优待服务，具体办法由市人民政府制定。</w:t>
      </w:r>
    </w:p>
    <w:p w14:paraId="0C3ABC48"/>
    <w:p w14:paraId="6D7B7268">
      <w:pPr>
        <w:ind w:firstLine="0" w:firstLineChars="0"/>
        <w:jc w:val="center"/>
        <w:rPr>
          <w:b/>
          <w:sz w:val="28"/>
        </w:rPr>
      </w:pPr>
      <w:r>
        <w:rPr>
          <w:rFonts w:hint="eastAsia"/>
          <w:b/>
          <w:sz w:val="28"/>
        </w:rPr>
        <w:t>第四章　法律责任</w:t>
      </w:r>
    </w:p>
    <w:p w14:paraId="7451EFA3"/>
    <w:p w14:paraId="5CB7967A">
      <w:pPr>
        <w:ind w:firstLine="422"/>
      </w:pPr>
      <w:r>
        <w:rPr>
          <w:rFonts w:hint="eastAsia"/>
          <w:b/>
        </w:rPr>
        <w:t>第三十八条</w:t>
      </w:r>
      <w:r>
        <w:rPr>
          <w:rFonts w:hint="eastAsia"/>
        </w:rPr>
        <w:t>　老年人的合法权益受到侵害，被侵害人或者其代理人有权要求有关部门予以处理，或者依法向人民法院提起诉讼。</w:t>
      </w:r>
    </w:p>
    <w:p w14:paraId="79DF3513">
      <w:pPr>
        <w:ind w:firstLine="422"/>
      </w:pPr>
      <w:r>
        <w:rPr>
          <w:rFonts w:hint="eastAsia"/>
          <w:b/>
        </w:rPr>
        <w:t>第三十九条</w:t>
      </w:r>
      <w:r>
        <w:rPr>
          <w:rFonts w:hint="eastAsia"/>
        </w:rPr>
        <w:t>　老年人的合法权益受到侵害，被侵害人或者其代理人可以向本市各级老龄工作机构投诉，各级老龄工作机构应当要求有关部门或者单位查处。</w:t>
      </w:r>
    </w:p>
    <w:p w14:paraId="098ED5C6">
      <w:pPr>
        <w:ind w:firstLine="422"/>
      </w:pPr>
      <w:r>
        <w:rPr>
          <w:rFonts w:hint="eastAsia"/>
          <w:b/>
        </w:rPr>
        <w:t>第四十条</w:t>
      </w:r>
      <w:r>
        <w:rPr>
          <w:rFonts w:hint="eastAsia"/>
        </w:rPr>
        <w:t>　赡养人不履行赡养义务的，由乡、镇人民政府、街道办事处或者赡养人所在单位给予批评教育，限期改正。逾期不改的，乡、镇人民政府、街道办事处或者赡养人所在单位可以支持被赡养人或者其代理人依法向人民法院提起诉讼。</w:t>
      </w:r>
    </w:p>
    <w:p w14:paraId="57064160">
      <w:pPr>
        <w:ind w:firstLine="422"/>
      </w:pPr>
      <w:r>
        <w:rPr>
          <w:rFonts w:hint="eastAsia"/>
          <w:b/>
        </w:rPr>
        <w:t>第四十一条</w:t>
      </w:r>
      <w:r>
        <w:rPr>
          <w:rFonts w:hint="eastAsia"/>
        </w:rPr>
        <w:t>　对不履行保护老年人合法权益职责的部门和单位，由其上级主管部门给予批评教育，责令改正。</w:t>
      </w:r>
    </w:p>
    <w:p w14:paraId="15FB555B">
      <w:r>
        <w:rPr>
          <w:rFonts w:hint="eastAsia"/>
        </w:rPr>
        <w:t>国家工作人员因失职致使老年人合法权益受到损害的，由其所在单位或者上级机关责令改正，或者给予处分。</w:t>
      </w:r>
    </w:p>
    <w:p w14:paraId="751EB907">
      <w:pPr>
        <w:ind w:firstLine="422"/>
      </w:pPr>
      <w:r>
        <w:rPr>
          <w:rFonts w:hint="eastAsia"/>
          <w:b/>
        </w:rPr>
        <w:t>第四十二条</w:t>
      </w:r>
      <w:r>
        <w:rPr>
          <w:rFonts w:hint="eastAsia"/>
        </w:rPr>
        <w:t>　侵害老年人的房屋、储蓄、收入、生产资料等合法财产和知识产权的，依法承担民事责任。</w:t>
      </w:r>
    </w:p>
    <w:p w14:paraId="34EE5AF4">
      <w:pPr>
        <w:ind w:firstLine="422"/>
      </w:pPr>
      <w:r>
        <w:rPr>
          <w:rFonts w:hint="eastAsia"/>
          <w:b/>
        </w:rPr>
        <w:t>第四十三条</w:t>
      </w:r>
      <w:r>
        <w:rPr>
          <w:rFonts w:hint="eastAsia"/>
        </w:rPr>
        <w:t>　侵犯老年人合法权益，违反治安管理的，由公安机关依照治安管理处罚条例处罚；构成犯罪的，依法追究刑事责任。</w:t>
      </w:r>
    </w:p>
    <w:p w14:paraId="46BAF1F1"/>
    <w:p w14:paraId="4F13982A">
      <w:pPr>
        <w:ind w:firstLine="0" w:firstLineChars="0"/>
        <w:jc w:val="center"/>
        <w:rPr>
          <w:b/>
          <w:sz w:val="28"/>
        </w:rPr>
      </w:pPr>
      <w:r>
        <w:rPr>
          <w:rFonts w:hint="eastAsia"/>
          <w:b/>
          <w:sz w:val="28"/>
        </w:rPr>
        <w:t>第五章　附　则</w:t>
      </w:r>
    </w:p>
    <w:p w14:paraId="49A1C8EF"/>
    <w:p w14:paraId="10D6EB30">
      <w:pPr>
        <w:ind w:firstLine="422"/>
      </w:pPr>
      <w:r>
        <w:rPr>
          <w:rFonts w:hint="eastAsia"/>
          <w:b/>
        </w:rPr>
        <w:t>第四十四条</w:t>
      </w:r>
      <w:r>
        <w:rPr>
          <w:rFonts w:hint="eastAsia"/>
        </w:rPr>
        <w:t>　本条例具体应用中的问题由市人民政府负责解释。</w:t>
      </w:r>
    </w:p>
    <w:p w14:paraId="2CBF1AC8">
      <w:pPr>
        <w:ind w:firstLine="422"/>
        <w:rPr>
          <w:rFonts w:hint="eastAsia" w:ascii="宋体" w:hAnsi="宋体" w:eastAsia="宋体" w:cs="宋体"/>
        </w:rPr>
      </w:pPr>
      <w:r>
        <w:rPr>
          <w:rFonts w:hint="eastAsia"/>
          <w:b/>
        </w:rPr>
        <w:t>第四十五条</w:t>
      </w:r>
      <w:r>
        <w:rPr>
          <w:rFonts w:hint="eastAsia"/>
        </w:rPr>
        <w:t>　本</w:t>
      </w:r>
      <w:r>
        <w:rPr>
          <w:rFonts w:hint="eastAsia" w:ascii="宋体" w:hAnsi="宋体" w:eastAsia="宋体" w:cs="宋体"/>
        </w:rPr>
        <w:t>条例自1996年1月1日起施行。</w:t>
      </w:r>
    </w:p>
    <w:p w14:paraId="616E2C8C">
      <w:pPr>
        <w:pStyle w:val="4"/>
        <w:pageBreakBefore/>
      </w:pPr>
      <w:bookmarkStart w:id="2109" w:name="_Toc428781808"/>
      <w:bookmarkStart w:id="2110" w:name="_Toc428780499"/>
      <w:bookmarkStart w:id="2111" w:name="_Toc426467060"/>
      <w:r>
        <w:rPr>
          <w:rFonts w:hint="eastAsia"/>
        </w:rPr>
        <w:t>北京市实施《女职工劳动保护规定》的若干规定</w:t>
      </w:r>
      <w:bookmarkEnd w:id="2109"/>
      <w:bookmarkEnd w:id="2110"/>
      <w:bookmarkEnd w:id="2111"/>
    </w:p>
    <w:p w14:paraId="7E2AF649">
      <w:pPr>
        <w:ind w:left="630" w:leftChars="300" w:right="630" w:rightChars="300"/>
        <w:jc w:val="center"/>
        <w:rPr>
          <w:rFonts w:ascii="楷体" w:hAnsi="楷体" w:eastAsia="楷体"/>
        </w:rPr>
      </w:pPr>
      <w:r>
        <w:rPr>
          <w:rFonts w:hint="eastAsia" w:ascii="楷体" w:hAnsi="楷体" w:eastAsia="楷体"/>
        </w:rPr>
        <w:t>（1989年12月21日北京市人民政府第40号令发布）</w:t>
      </w:r>
    </w:p>
    <w:p w14:paraId="566D94A2"/>
    <w:p w14:paraId="42F0D181">
      <w:pPr>
        <w:ind w:firstLine="422"/>
      </w:pPr>
      <w:r>
        <w:rPr>
          <w:rFonts w:hint="eastAsia"/>
          <w:b/>
        </w:rPr>
        <w:t>第一条</w:t>
      </w:r>
      <w:r>
        <w:rPr>
          <w:rFonts w:hint="eastAsia"/>
        </w:rPr>
        <w:t xml:space="preserve">  为实施国务院《女职工劳动保护规定》（以下简称《规定》），根据本市实际情况，制定本规定。</w:t>
      </w:r>
    </w:p>
    <w:p w14:paraId="37BE66A0">
      <w:pPr>
        <w:ind w:firstLine="422"/>
      </w:pPr>
      <w:r>
        <w:rPr>
          <w:rFonts w:hint="eastAsia"/>
          <w:b/>
        </w:rPr>
        <w:t>第二条</w:t>
      </w:r>
      <w:r>
        <w:rPr>
          <w:rFonts w:hint="eastAsia"/>
        </w:rPr>
        <w:t xml:space="preserve">  本市行政区域内机关、团体、企业、事业单位（以下统称单位）女职工和个体工商户雇用女工（以下统称女职工）的劳动保护，均应全面执行《规定》和本规定。</w:t>
      </w:r>
    </w:p>
    <w:p w14:paraId="5BCA09DD">
      <w:pPr>
        <w:ind w:firstLine="422"/>
      </w:pPr>
      <w:r>
        <w:rPr>
          <w:rFonts w:hint="eastAsia"/>
          <w:b/>
        </w:rPr>
        <w:t>第三条</w:t>
      </w:r>
      <w:r>
        <w:rPr>
          <w:rFonts w:hint="eastAsia"/>
        </w:rPr>
        <w:t xml:space="preserve">  市劳动局是本市女职工劳动保护工作的主管机关；区、县劳动局是本区、县女职工劳动保护工作的主管机关。</w:t>
      </w:r>
    </w:p>
    <w:p w14:paraId="50991045">
      <w:r>
        <w:rPr>
          <w:rFonts w:hint="eastAsia"/>
        </w:rPr>
        <w:t>街道办事处和乡、镇人民政府负责本辖区街道和乡镇企业女职工劳动保护工作。</w:t>
      </w:r>
    </w:p>
    <w:p w14:paraId="70BF17C5">
      <w:r>
        <w:rPr>
          <w:rFonts w:hint="eastAsia"/>
        </w:rPr>
        <w:t xml:space="preserve">各级卫生部门和工会、妇联组织有权对《规定》和本规定的具体执行情况进行监督。    </w:t>
      </w:r>
      <w:r>
        <w:rPr>
          <w:rFonts w:hint="eastAsia"/>
          <w:b/>
        </w:rPr>
        <w:t>第四条</w:t>
      </w:r>
      <w:r>
        <w:rPr>
          <w:rFonts w:hint="eastAsia"/>
        </w:rPr>
        <w:t xml:space="preserve">  单位应当根据《规定》和本规定，建立健全女职工劳动保护管理制度，逐步建设女职工卫生、保健、托幼等设施。</w:t>
      </w:r>
    </w:p>
    <w:p w14:paraId="206E7509">
      <w:pPr>
        <w:ind w:firstLine="422"/>
      </w:pPr>
      <w:r>
        <w:rPr>
          <w:rFonts w:hint="eastAsia"/>
          <w:b/>
        </w:rPr>
        <w:t>第五条</w:t>
      </w:r>
      <w:r>
        <w:rPr>
          <w:rFonts w:hint="eastAsia"/>
        </w:rPr>
        <w:t xml:space="preserve">  单位应当根据怀孕女职工的具体情况核减其劳动定额。怀孕女职工依照医务部门的要求在劳动时间内进行产前检查，应当算作劳动时间，按出勤对待。</w:t>
      </w:r>
    </w:p>
    <w:p w14:paraId="48FBAD62">
      <w:pPr>
        <w:rPr>
          <w:rFonts w:hint="eastAsia" w:ascii="宋体" w:hAnsi="宋体" w:eastAsia="宋体" w:cs="宋体"/>
        </w:rPr>
      </w:pPr>
      <w:r>
        <w:rPr>
          <w:rFonts w:hint="eastAsia"/>
        </w:rPr>
        <w:t>对怀</w:t>
      </w:r>
      <w:r>
        <w:rPr>
          <w:rFonts w:hint="eastAsia" w:ascii="宋体" w:hAnsi="宋体" w:eastAsia="宋体" w:cs="宋体"/>
        </w:rPr>
        <w:t>孕7个月以上（含7个月）的女职工，应当根据具体情况在劳动时间内适当安排休息时间，不得安排从当日22时至次日6时之间夜班劳动。对怀孕7个月以上（含7个月）的汽车、天车及各种客货运输车辆的女司机、女售票员、纺织挡车女工，应当暂时调离原岗位，安排其他不影响孕妇健康的劳动。</w:t>
      </w:r>
    </w:p>
    <w:p w14:paraId="0412CF97">
      <w:pPr>
        <w:ind w:firstLine="422"/>
        <w:rPr>
          <w:rFonts w:hint="eastAsia" w:ascii="宋体" w:hAnsi="宋体" w:eastAsia="宋体" w:cs="宋体"/>
        </w:rPr>
      </w:pPr>
      <w:r>
        <w:rPr>
          <w:rFonts w:hint="eastAsia"/>
          <w:b/>
        </w:rPr>
        <w:t>第六条</w:t>
      </w:r>
      <w:r>
        <w:rPr>
          <w:rFonts w:hint="eastAsia"/>
        </w:rPr>
        <w:t xml:space="preserve">  女职工产假</w:t>
      </w:r>
      <w:r>
        <w:rPr>
          <w:rFonts w:hint="eastAsia" w:ascii="宋体" w:hAnsi="宋体" w:eastAsia="宋体" w:cs="宋体"/>
        </w:rPr>
        <w:t>为90天，其中产前休假15天；难产的，增加产假15天；多胞胎生育的，每多生育1个婴儿，增加产假15天。</w:t>
      </w:r>
    </w:p>
    <w:p w14:paraId="655FEBE9">
      <w:pPr>
        <w:rPr>
          <w:rFonts w:hint="eastAsia" w:ascii="宋体" w:hAnsi="宋体" w:eastAsia="宋体" w:cs="宋体"/>
        </w:rPr>
      </w:pPr>
      <w:r>
        <w:rPr>
          <w:rFonts w:hint="eastAsia" w:ascii="宋体" w:hAnsi="宋体" w:eastAsia="宋体" w:cs="宋体"/>
        </w:rPr>
        <w:t>女职工怀孕流产的，根据医务部门的证明，妊娠不满4个月的，产假为15天至30天；妊娠4个月以上的，产假为42天。</w:t>
      </w:r>
    </w:p>
    <w:p w14:paraId="52BC90F1">
      <w:r>
        <w:rPr>
          <w:rFonts w:hint="eastAsia"/>
        </w:rPr>
        <w:t>产假期间，工资照发。</w:t>
      </w:r>
    </w:p>
    <w:p w14:paraId="54F58459">
      <w:pPr>
        <w:ind w:firstLine="422"/>
      </w:pPr>
      <w:r>
        <w:rPr>
          <w:rFonts w:hint="eastAsia"/>
          <w:b/>
        </w:rPr>
        <w:t>第七条</w:t>
      </w:r>
      <w:r>
        <w:rPr>
          <w:rFonts w:hint="eastAsia"/>
        </w:rPr>
        <w:t xml:space="preserve">  女职工哺乳（包括人工喂养</w:t>
      </w:r>
      <w:r>
        <w:rPr>
          <w:rFonts w:hint="eastAsia" w:ascii="宋体" w:hAnsi="宋体" w:eastAsia="宋体" w:cs="宋体"/>
        </w:rPr>
        <w:t>）1周</w:t>
      </w:r>
      <w:r>
        <w:rPr>
          <w:rFonts w:hint="eastAsia"/>
        </w:rPr>
        <w:t>岁以内婴儿的，单位应当按照《规定》的要求，安排其哺乳时间。</w:t>
      </w:r>
    </w:p>
    <w:p w14:paraId="25862FAC">
      <w:r>
        <w:rPr>
          <w:rFonts w:hint="eastAsia"/>
        </w:rPr>
        <w:t>女职工哺乳婴儿满一周岁后，一般不得延长哺乳期。婴儿身体特别虚弱的，经医务部门证明，可根据具体情况，适当延长哺乳期。哺乳期满时正值夏季的，哺乳期可以延</w:t>
      </w:r>
      <w:r>
        <w:rPr>
          <w:rFonts w:hint="eastAsia" w:ascii="宋体" w:hAnsi="宋体" w:eastAsia="宋体" w:cs="宋体"/>
        </w:rPr>
        <w:t>长1</w:t>
      </w:r>
      <w:r>
        <w:rPr>
          <w:rFonts w:hint="eastAsia"/>
        </w:rPr>
        <w:t>个月至</w:t>
      </w:r>
      <w:r>
        <w:rPr>
          <w:rFonts w:hint="eastAsia" w:ascii="宋体" w:hAnsi="宋体" w:eastAsia="宋体" w:cs="宋体"/>
        </w:rPr>
        <w:t>2</w:t>
      </w:r>
      <w:r>
        <w:rPr>
          <w:rFonts w:hint="eastAsia"/>
        </w:rPr>
        <w:t>个月。</w:t>
      </w:r>
    </w:p>
    <w:p w14:paraId="046F5D64">
      <w:pPr>
        <w:ind w:firstLine="422"/>
      </w:pPr>
      <w:r>
        <w:rPr>
          <w:rFonts w:hint="eastAsia"/>
          <w:b/>
        </w:rPr>
        <w:t>第八条</w:t>
      </w:r>
      <w:r>
        <w:rPr>
          <w:rFonts w:hint="eastAsia"/>
        </w:rPr>
        <w:t xml:space="preserve">  女职工在休产假和哺乳假期间影响工资晋级的，在产假、哺乳假期满后，经单位考核并试工合格的，应当予以晋级，补足晋级工资；经单位考核或试工不合格的，由单位安排适当的工作，保留原工资等级。</w:t>
      </w:r>
    </w:p>
    <w:p w14:paraId="3FEDC582">
      <w:pPr>
        <w:ind w:firstLine="422"/>
      </w:pPr>
      <w:r>
        <w:rPr>
          <w:rFonts w:hint="eastAsia"/>
          <w:b/>
        </w:rPr>
        <w:t>第九条</w:t>
      </w:r>
      <w:r>
        <w:rPr>
          <w:rFonts w:hint="eastAsia"/>
        </w:rPr>
        <w:t xml:space="preserve">  单位应当建立女职工生理卫生保健制度，并与医务部门联系，定期为女职工进行妇科检查。</w:t>
      </w:r>
    </w:p>
    <w:p w14:paraId="42976E28">
      <w:r>
        <w:rPr>
          <w:rFonts w:hint="eastAsia"/>
        </w:rPr>
        <w:t>女职工患痛经，不能坚持正常工作、生产的，经医务部门证明，可以在经期休息</w:t>
      </w:r>
      <w:r>
        <w:rPr>
          <w:rFonts w:hint="eastAsia" w:ascii="宋体" w:hAnsi="宋体" w:eastAsia="宋体" w:cs="宋体"/>
        </w:rPr>
        <w:t>1</w:t>
      </w:r>
      <w:r>
        <w:rPr>
          <w:rFonts w:hint="eastAsia"/>
        </w:rPr>
        <w:t>天，算作劳动时间。</w:t>
      </w:r>
    </w:p>
    <w:p w14:paraId="71D89133">
      <w:pPr>
        <w:ind w:firstLine="422"/>
      </w:pPr>
      <w:r>
        <w:rPr>
          <w:rFonts w:hint="eastAsia"/>
          <w:b/>
        </w:rPr>
        <w:t>第十条</w:t>
      </w:r>
      <w:r>
        <w:rPr>
          <w:rFonts w:hint="eastAsia"/>
        </w:rPr>
        <w:t xml:space="preserve">  经县以上医务部门确诊患更年期综合症的女职工，不适合继续从事原工作的，单位可以适当减轻其工作量或暂时安排其他适宜的工作。</w:t>
      </w:r>
    </w:p>
    <w:p w14:paraId="1740DF23">
      <w:pPr>
        <w:ind w:firstLine="422"/>
      </w:pPr>
      <w:r>
        <w:rPr>
          <w:rFonts w:hint="eastAsia"/>
          <w:b/>
        </w:rPr>
        <w:t>第十一条</w:t>
      </w:r>
      <w:r>
        <w:rPr>
          <w:rFonts w:hint="eastAsia"/>
        </w:rPr>
        <w:t xml:space="preserve">  女职工执行计划生育政策应享受奖励或违反计划生育规定应予处罚的，其怀孕、生育期间的待遇，按照计划生育的有关规定处理。</w:t>
      </w:r>
    </w:p>
    <w:p w14:paraId="3A70BB9B">
      <w:pPr>
        <w:ind w:firstLine="422"/>
      </w:pPr>
      <w:r>
        <w:rPr>
          <w:rFonts w:hint="eastAsia"/>
          <w:b/>
        </w:rPr>
        <w:t>第十二条</w:t>
      </w:r>
      <w:r>
        <w:rPr>
          <w:rFonts w:hint="eastAsia"/>
        </w:rPr>
        <w:t xml:space="preserve">  女职工禁忌从事劳动的范围和职业安全卫生标准，由市劳动保护监察机关根据《规定》和劳动部的有关规定，另行制定。</w:t>
      </w:r>
    </w:p>
    <w:p w14:paraId="420EAB53">
      <w:pPr>
        <w:ind w:firstLine="422"/>
      </w:pPr>
      <w:r>
        <w:rPr>
          <w:rFonts w:hint="eastAsia"/>
          <w:b/>
        </w:rPr>
        <w:t>第十三条</w:t>
      </w:r>
      <w:r>
        <w:rPr>
          <w:rFonts w:hint="eastAsia"/>
        </w:rPr>
        <w:t xml:space="preserve">  本规定执行中的具体问题，由市劳动局负责解释。</w:t>
      </w:r>
    </w:p>
    <w:p w14:paraId="3B2101C2">
      <w:pPr>
        <w:ind w:firstLine="422"/>
      </w:pPr>
      <w:r>
        <w:rPr>
          <w:rFonts w:hint="eastAsia"/>
          <w:b/>
        </w:rPr>
        <w:t>第十四条</w:t>
      </w:r>
      <w:r>
        <w:rPr>
          <w:rFonts w:hint="eastAsia"/>
        </w:rPr>
        <w:t>　本规定自</w:t>
      </w:r>
      <w:r>
        <w:rPr>
          <w:rFonts w:hint="eastAsia" w:ascii="宋体" w:hAnsi="宋体" w:eastAsia="宋体" w:cs="宋体"/>
        </w:rPr>
        <w:t>1990年1月1日起施行。1983年12月28日</w:t>
      </w:r>
      <w:r>
        <w:rPr>
          <w:rFonts w:hint="eastAsia"/>
        </w:rPr>
        <w:t>市人民政府转发的市劳动局《北京市企业女工劳动保护若干问题的暂行规定》同时废止。</w:t>
      </w:r>
    </w:p>
    <w:p w14:paraId="1794143E">
      <w:pPr>
        <w:pStyle w:val="4"/>
        <w:pageBreakBefore/>
      </w:pPr>
      <w:bookmarkStart w:id="2112" w:name="_Toc428781809"/>
      <w:bookmarkStart w:id="2113" w:name="_Toc426467061"/>
      <w:bookmarkStart w:id="2114" w:name="_Toc428780500"/>
      <w:r>
        <w:rPr>
          <w:rFonts w:hint="eastAsia"/>
        </w:rPr>
        <w:t>北京市按比例安排残疾人就业办法</w:t>
      </w:r>
      <w:bookmarkEnd w:id="2112"/>
      <w:bookmarkEnd w:id="2113"/>
      <w:bookmarkEnd w:id="2114"/>
    </w:p>
    <w:p w14:paraId="3935928A">
      <w:pPr>
        <w:ind w:left="630" w:leftChars="300" w:right="630" w:rightChars="300"/>
        <w:rPr>
          <w:rFonts w:ascii="楷体" w:hAnsi="楷体" w:eastAsia="楷体"/>
        </w:rPr>
      </w:pPr>
      <w:r>
        <w:rPr>
          <w:rFonts w:hint="eastAsia" w:ascii="楷体" w:hAnsi="楷体" w:eastAsia="楷体"/>
        </w:rPr>
        <w:t>（1994年5月13日北京市人民政府常务会第32次会议通过　1994年6月20日北京市人民政府第10号令发布）</w:t>
      </w:r>
    </w:p>
    <w:p w14:paraId="00E9D30B"/>
    <w:p w14:paraId="7623025E">
      <w:pPr>
        <w:ind w:firstLine="422"/>
      </w:pPr>
      <w:r>
        <w:rPr>
          <w:rFonts w:hint="eastAsia"/>
          <w:b/>
        </w:rPr>
        <w:t>第一条</w:t>
      </w:r>
      <w:r>
        <w:rPr>
          <w:rFonts w:hint="eastAsia"/>
        </w:rPr>
        <w:t xml:space="preserve">  为了保障残疾人的劳动权利，根据《中华人民共和国残疾人保障法》和《北京市残疾人保护条例》，制定本办法。</w:t>
      </w:r>
    </w:p>
    <w:p w14:paraId="734AB53B">
      <w:pPr>
        <w:ind w:firstLine="422"/>
      </w:pPr>
      <w:r>
        <w:rPr>
          <w:rFonts w:hint="eastAsia"/>
          <w:b/>
        </w:rPr>
        <w:t>第二条</w:t>
      </w:r>
      <w:r>
        <w:rPr>
          <w:rFonts w:hint="eastAsia"/>
        </w:rPr>
        <w:t xml:space="preserve">  本办法所称残疾人，系指持有北京市残疾人联合会统一制发的《残疾人证》，达到法定劳动年龄，有一定劳动能力，自愿劳动就业的本市城镇居民。</w:t>
      </w:r>
    </w:p>
    <w:p w14:paraId="470D0C49">
      <w:pPr>
        <w:ind w:firstLine="422"/>
      </w:pPr>
      <w:r>
        <w:rPr>
          <w:rFonts w:hint="eastAsia"/>
          <w:b/>
        </w:rPr>
        <w:t>第三条</w:t>
      </w:r>
      <w:r>
        <w:rPr>
          <w:rFonts w:hint="eastAsia"/>
        </w:rPr>
        <w:t xml:space="preserve">  提倡、支持和鼓励残疾人就业。</w:t>
      </w:r>
    </w:p>
    <w:p w14:paraId="4EA11D29">
      <w:r>
        <w:rPr>
          <w:rFonts w:hint="eastAsia"/>
        </w:rPr>
        <w:t>各部门、各单位有责任、有义务安排残疾人就业。</w:t>
      </w:r>
    </w:p>
    <w:p w14:paraId="30C24650">
      <w:pPr>
        <w:ind w:firstLine="422"/>
      </w:pPr>
      <w:r>
        <w:rPr>
          <w:rFonts w:hint="eastAsia"/>
          <w:b/>
        </w:rPr>
        <w:t>第四条</w:t>
      </w:r>
      <w:r>
        <w:rPr>
          <w:rFonts w:hint="eastAsia"/>
        </w:rPr>
        <w:t xml:space="preserve">  北京市人民政府残疾人工作协调委员会负责协调本市按比例安排残疾人就业的规划、计划的制订和实施工作。</w:t>
      </w:r>
    </w:p>
    <w:p w14:paraId="6865B9AF">
      <w:r>
        <w:rPr>
          <w:rFonts w:hint="eastAsia"/>
        </w:rPr>
        <w:t>市和区、县残疾人联合会所属的残疾人劳动就业服务机构，负责实施按比例安排残疾人就业的组织、管理和服务工作，业务上受同级劳动、人事部门指导。</w:t>
      </w:r>
    </w:p>
    <w:p w14:paraId="6CF1E91E">
      <w:pPr>
        <w:ind w:firstLine="422"/>
        <w:rPr>
          <w:rFonts w:hint="eastAsia" w:ascii="宋体" w:hAnsi="宋体" w:eastAsia="宋体" w:cs="宋体"/>
        </w:rPr>
      </w:pPr>
      <w:r>
        <w:rPr>
          <w:rFonts w:hint="eastAsia"/>
          <w:b/>
        </w:rPr>
        <w:t>第五条</w:t>
      </w:r>
      <w:r>
        <w:rPr>
          <w:rFonts w:hint="eastAsia"/>
        </w:rPr>
        <w:t xml:space="preserve">  本市行政区域内的机关、团体、企业（福利企业除外）、事业单位都应当按照不少于本单位在职职工总数</w:t>
      </w:r>
      <w:r>
        <w:rPr>
          <w:rFonts w:hint="eastAsia" w:ascii="宋体" w:hAnsi="宋体" w:eastAsia="宋体" w:cs="宋体"/>
        </w:rPr>
        <w:t>1.7%的比例安排残疾人就业。</w:t>
      </w:r>
    </w:p>
    <w:p w14:paraId="5AD5AE03">
      <w:pPr>
        <w:rPr>
          <w:rFonts w:hint="eastAsia" w:ascii="宋体" w:hAnsi="宋体" w:eastAsia="宋体" w:cs="宋体"/>
        </w:rPr>
      </w:pPr>
      <w:r>
        <w:rPr>
          <w:rFonts w:hint="eastAsia" w:ascii="宋体" w:hAnsi="宋体" w:eastAsia="宋体" w:cs="宋体"/>
        </w:rPr>
        <w:t>按上述比例计算，应当安排残疾人就业的比例人数在0.5至0.9人之间的，按安排1名残疾人就业计算；安排1名视力残疾人就业的，按安排2名残疾人就业计算。</w:t>
      </w:r>
    </w:p>
    <w:p w14:paraId="74CF704C">
      <w:pPr>
        <w:ind w:firstLine="422"/>
      </w:pPr>
      <w:r>
        <w:rPr>
          <w:rFonts w:hint="eastAsia"/>
          <w:b/>
        </w:rPr>
        <w:t>第六条</w:t>
      </w:r>
      <w:r>
        <w:rPr>
          <w:rFonts w:hint="eastAsia"/>
        </w:rPr>
        <w:t xml:space="preserve">  各单位必须在每年年底前，向残疾人劳动就业服务机构交报《单位职工情况表》，如实填写本单位在职职工人数、安排残疾人就业人数等情况。</w:t>
      </w:r>
    </w:p>
    <w:p w14:paraId="720C75DB">
      <w:pPr>
        <w:ind w:firstLine="422"/>
      </w:pPr>
      <w:r>
        <w:rPr>
          <w:rFonts w:hint="eastAsia"/>
          <w:b/>
        </w:rPr>
        <w:t>第七条</w:t>
      </w:r>
      <w:r>
        <w:rPr>
          <w:rFonts w:hint="eastAsia"/>
        </w:rPr>
        <w:t xml:space="preserve">  安排残疾人就业达不到规定比例的单位，应当按照差额人数和残疾人劳动就业服务机构缴纳残疾人就业保障金。</w:t>
      </w:r>
    </w:p>
    <w:p w14:paraId="1E76B75F">
      <w:r>
        <w:rPr>
          <w:rFonts w:hint="eastAsia"/>
        </w:rPr>
        <w:t>残疾人劳动就业服务机构根据市统计局公布的上年度本市职工年平均工资和各单位填写的《单位职工情况表》，确定应缴纳残疾人就业保障金的单位名单及其应缴纳的数额，发出《残疾人就业保障金缴款通知书》。</w:t>
      </w:r>
    </w:p>
    <w:p w14:paraId="3872A15F">
      <w:r>
        <w:rPr>
          <w:rFonts w:hint="eastAsia"/>
        </w:rPr>
        <w:t>无正当理由逾期不缴纳或者不足额缴纳残疾人就业保障金的，由残疾人劳动就业服务机构对逾期缴纳的部分，按每日</w:t>
      </w:r>
      <w:r>
        <w:rPr>
          <w:rFonts w:hint="eastAsia" w:ascii="宋体" w:hAnsi="宋体" w:eastAsia="宋体" w:cs="宋体"/>
        </w:rPr>
        <w:t>5‰计</w:t>
      </w:r>
      <w:r>
        <w:rPr>
          <w:rFonts w:hint="eastAsia"/>
        </w:rPr>
        <w:t>收滞纳金。</w:t>
      </w:r>
    </w:p>
    <w:p w14:paraId="6609A2E3">
      <w:pPr>
        <w:ind w:firstLine="422"/>
      </w:pPr>
      <w:r>
        <w:rPr>
          <w:rFonts w:hint="eastAsia"/>
          <w:b/>
        </w:rPr>
        <w:t>第八条</w:t>
      </w:r>
      <w:r>
        <w:rPr>
          <w:rFonts w:hint="eastAsia"/>
        </w:rPr>
        <w:t xml:space="preserve">  因亏损等原因需缓缴或减免残疾人就业保障金的单位，须凭同级财政、税务部门核定的企业年度财务结算或决算报表，报所在地的区、县人民政府残疾人工作协调委员会审核，并经市人民政府残疾人工作协调委员会批准。</w:t>
      </w:r>
    </w:p>
    <w:p w14:paraId="6037E3F9">
      <w:pPr>
        <w:ind w:firstLine="422"/>
      </w:pPr>
      <w:r>
        <w:rPr>
          <w:rFonts w:hint="eastAsia"/>
          <w:b/>
        </w:rPr>
        <w:t>第九条</w:t>
      </w:r>
      <w:r>
        <w:rPr>
          <w:rFonts w:hint="eastAsia"/>
        </w:rPr>
        <w:t xml:space="preserve">  残疾人就业保障金的使用范围：</w:t>
      </w:r>
    </w:p>
    <w:p w14:paraId="0A66AD45">
      <w:r>
        <w:rPr>
          <w:rFonts w:hint="eastAsia"/>
        </w:rPr>
        <w:t>（一）补贴残疾人待业期间基本生活费用；</w:t>
      </w:r>
    </w:p>
    <w:p w14:paraId="4ABB30D0">
      <w:r>
        <w:rPr>
          <w:rFonts w:hint="eastAsia"/>
        </w:rPr>
        <w:t>（二）补贴残疾人职业培训费用；</w:t>
      </w:r>
    </w:p>
    <w:p w14:paraId="586D941C">
      <w:r>
        <w:rPr>
          <w:rFonts w:hint="eastAsia"/>
        </w:rPr>
        <w:t>（三）奖励超比例安排残疾人就业的部门、单位；</w:t>
      </w:r>
    </w:p>
    <w:p w14:paraId="2F54BE3D">
      <w:r>
        <w:rPr>
          <w:rFonts w:hint="eastAsia"/>
        </w:rPr>
        <w:t>（四）扶持残疾人集体从业或者个体经营；</w:t>
      </w:r>
    </w:p>
    <w:p w14:paraId="3DB31533">
      <w:r>
        <w:rPr>
          <w:rFonts w:hint="eastAsia"/>
        </w:rPr>
        <w:t>（五）残疾人劳动就业服务机构经费开支。</w:t>
      </w:r>
    </w:p>
    <w:p w14:paraId="67C1D1B2">
      <w:pPr>
        <w:ind w:firstLine="422"/>
      </w:pPr>
      <w:r>
        <w:rPr>
          <w:rFonts w:hint="eastAsia"/>
          <w:b/>
        </w:rPr>
        <w:t>第十条</w:t>
      </w:r>
      <w:r>
        <w:rPr>
          <w:rFonts w:hint="eastAsia"/>
        </w:rPr>
        <w:t xml:space="preserve">  残疾人劳动就业服务机构所收的残疾人就业保障金全部上缴财政，实行专户存储，专款专用，其收支情况由财政、审计部门监督和检查。</w:t>
      </w:r>
    </w:p>
    <w:p w14:paraId="4D2D9BFE">
      <w:r>
        <w:rPr>
          <w:rFonts w:hint="eastAsia"/>
        </w:rPr>
        <w:t>保障金的具体收缴、管理和使用办法，由市人民政府残疾人工作协调委员会和市财政局制定。</w:t>
      </w:r>
    </w:p>
    <w:p w14:paraId="361669D8">
      <w:pPr>
        <w:ind w:firstLine="422"/>
      </w:pPr>
      <w:r>
        <w:rPr>
          <w:rFonts w:hint="eastAsia"/>
          <w:b/>
        </w:rPr>
        <w:t>第十一条</w:t>
      </w:r>
      <w:r>
        <w:rPr>
          <w:rFonts w:hint="eastAsia"/>
        </w:rPr>
        <w:t xml:space="preserve">  对安排残疾人就业超过规定比例的单位，经残疾人劳动就业服务机构核定，由市和区、县人民政府残疾人工作协调委员会给予表彰和奖励。</w:t>
      </w:r>
    </w:p>
    <w:p w14:paraId="47F258DB">
      <w:pPr>
        <w:ind w:firstLine="422"/>
      </w:pPr>
      <w:r>
        <w:rPr>
          <w:rFonts w:hint="eastAsia"/>
          <w:b/>
        </w:rPr>
        <w:t>第十二条</w:t>
      </w:r>
      <w:r>
        <w:rPr>
          <w:rFonts w:hint="eastAsia"/>
        </w:rPr>
        <w:t xml:space="preserve">  本办法执行中的具体问题，由北京市人民政府残疾人工作协调委员会负责解释。</w:t>
      </w:r>
    </w:p>
    <w:p w14:paraId="72F0F3B7">
      <w:pPr>
        <w:ind w:firstLine="422"/>
      </w:pPr>
      <w:r>
        <w:rPr>
          <w:rFonts w:hint="eastAsia"/>
          <w:b/>
        </w:rPr>
        <w:t>第十三条</w:t>
      </w:r>
      <w:r>
        <w:rPr>
          <w:rFonts w:hint="eastAsia"/>
        </w:rPr>
        <w:t xml:space="preserve">  本办法自</w:t>
      </w:r>
      <w:r>
        <w:rPr>
          <w:rFonts w:hint="eastAsia" w:ascii="宋体" w:hAnsi="宋体" w:eastAsia="宋体" w:cs="宋体"/>
        </w:rPr>
        <w:t>1994年7月1日</w:t>
      </w:r>
      <w:r>
        <w:rPr>
          <w:rFonts w:hint="eastAsia"/>
        </w:rPr>
        <w:t>起施行。</w:t>
      </w:r>
    </w:p>
    <w:p w14:paraId="35CF1F96">
      <w:pPr>
        <w:pStyle w:val="4"/>
        <w:pageBreakBefore/>
      </w:pPr>
      <w:bookmarkStart w:id="2115" w:name="_Toc428780501"/>
      <w:bookmarkStart w:id="2116" w:name="_Toc426467062"/>
      <w:bookmarkStart w:id="2117" w:name="_Toc428781810"/>
      <w:r>
        <w:rPr>
          <w:rFonts w:hint="eastAsia"/>
        </w:rPr>
        <w:t>北京市实施《城市居民最低生活保障条例》办法</w:t>
      </w:r>
      <w:bookmarkEnd w:id="2115"/>
      <w:bookmarkEnd w:id="2116"/>
      <w:bookmarkEnd w:id="2117"/>
    </w:p>
    <w:p w14:paraId="2250AA74">
      <w:pPr>
        <w:ind w:left="630" w:leftChars="300" w:right="630" w:rightChars="300"/>
        <w:jc w:val="center"/>
        <w:rPr>
          <w:rFonts w:ascii="楷体" w:hAnsi="楷体" w:eastAsia="楷体"/>
        </w:rPr>
      </w:pPr>
      <w:r>
        <w:rPr>
          <w:rFonts w:hint="eastAsia" w:ascii="楷体" w:hAnsi="楷体" w:eastAsia="楷体"/>
        </w:rPr>
        <w:t>（2000年6月27日北京市人民政府第58号令发布）</w:t>
      </w:r>
    </w:p>
    <w:p w14:paraId="339819B4"/>
    <w:p w14:paraId="22E6C42A">
      <w:pPr>
        <w:ind w:firstLine="422"/>
      </w:pPr>
      <w:r>
        <w:rPr>
          <w:rFonts w:hint="eastAsia"/>
          <w:b/>
        </w:rPr>
        <w:t>第一条</w:t>
      </w:r>
      <w:r>
        <w:rPr>
          <w:rFonts w:hint="eastAsia"/>
        </w:rPr>
        <w:t xml:space="preserve">  根据国务院《城市居民最低生活保障条例》，结合我市实际情况，制定本办法。</w:t>
      </w:r>
    </w:p>
    <w:p w14:paraId="7FE7C594">
      <w:pPr>
        <w:ind w:firstLine="422"/>
      </w:pPr>
      <w:r>
        <w:rPr>
          <w:rFonts w:hint="eastAsia"/>
          <w:b/>
        </w:rPr>
        <w:t>第二条</w:t>
      </w:r>
      <w:r>
        <w:rPr>
          <w:rFonts w:hint="eastAsia"/>
        </w:rPr>
        <w:t xml:space="preserve">  市民政局是本市城市居民最低生活保障工作的主管部门。各区、县民政局负责本行政区域内城市居民最低生活保障的管理和审批工作。</w:t>
      </w:r>
    </w:p>
    <w:p w14:paraId="57FE9398">
      <w:r>
        <w:rPr>
          <w:rFonts w:hint="eastAsia"/>
        </w:rPr>
        <w:t>财政、统计、物价、审计、劳动保障、人事等部门分工负责，按照各自职责权限做好城市居民最低生活保障的有关工作。</w:t>
      </w:r>
    </w:p>
    <w:p w14:paraId="14C73D70">
      <w:pPr>
        <w:ind w:firstLine="422"/>
      </w:pPr>
      <w:r>
        <w:rPr>
          <w:rFonts w:hint="eastAsia"/>
          <w:b/>
        </w:rPr>
        <w:t>第三条</w:t>
      </w:r>
      <w:r>
        <w:rPr>
          <w:rFonts w:hint="eastAsia"/>
        </w:rPr>
        <w:t xml:space="preserve">  实施城市居民最低生活保障制度所需资金，列入各区、县财政预算，纳入社会救济专项资金支出科目，专帐管理，专款专用。</w:t>
      </w:r>
    </w:p>
    <w:p w14:paraId="76D65DCD">
      <w:pPr>
        <w:ind w:firstLine="422"/>
      </w:pPr>
      <w:r>
        <w:rPr>
          <w:rFonts w:hint="eastAsia"/>
          <w:b/>
        </w:rPr>
        <w:t>第四条</w:t>
      </w:r>
      <w:r>
        <w:rPr>
          <w:rFonts w:hint="eastAsia"/>
        </w:rPr>
        <w:t xml:space="preserve">  持有本市非农业户口的城市居民，共同生活的家庭成员月人均收入低于本市当年城市居民最低生活保障标准的，可以申请享受本市最低生活保障待遇。</w:t>
      </w:r>
    </w:p>
    <w:p w14:paraId="36FD184D">
      <w:r>
        <w:rPr>
          <w:rFonts w:hint="eastAsia"/>
        </w:rPr>
        <w:t>家庭成员包括下列人员：</w:t>
      </w:r>
    </w:p>
    <w:p w14:paraId="7B6DE64F">
      <w:r>
        <w:rPr>
          <w:rFonts w:hint="eastAsia"/>
        </w:rPr>
        <w:t>（一）配偶；</w:t>
      </w:r>
    </w:p>
    <w:p w14:paraId="758F367B">
      <w:r>
        <w:rPr>
          <w:rFonts w:hint="eastAsia"/>
        </w:rPr>
        <w:t>（二）未成年子女；</w:t>
      </w:r>
    </w:p>
    <w:p w14:paraId="70A5D21A">
      <w:r>
        <w:rPr>
          <w:rFonts w:hint="eastAsia"/>
        </w:rPr>
        <w:t>（三）已成年但不能独立生活的子女；</w:t>
      </w:r>
    </w:p>
    <w:p w14:paraId="630E7ABD">
      <w:r>
        <w:rPr>
          <w:rFonts w:hint="eastAsia"/>
        </w:rPr>
        <w:t>（四）户口所在地相同的未婚子女；</w:t>
      </w:r>
    </w:p>
    <w:p w14:paraId="1AA71150">
      <w:r>
        <w:rPr>
          <w:rFonts w:hint="eastAsia"/>
        </w:rPr>
        <w:t>（五）父母双亡且由祖父母或者外祖父母作为监护人的未成年或者已成年但不能独立生活的孙子女和外孙子女；</w:t>
      </w:r>
    </w:p>
    <w:p w14:paraId="642D9AC6">
      <w:r>
        <w:rPr>
          <w:rFonts w:hint="eastAsia"/>
        </w:rPr>
        <w:t>（六）民政部门根据本条原则和有关程序认定的其他人员。</w:t>
      </w:r>
    </w:p>
    <w:p w14:paraId="64949AF5">
      <w:pPr>
        <w:ind w:firstLine="422"/>
      </w:pPr>
      <w:r>
        <w:rPr>
          <w:rFonts w:hint="eastAsia"/>
          <w:b/>
        </w:rPr>
        <w:t>第五条</w:t>
      </w:r>
      <w:r>
        <w:rPr>
          <w:rFonts w:hint="eastAsia"/>
        </w:rPr>
        <w:t xml:space="preserve">  家庭收入是指家庭成员的全部货币收入和实物收入的总和，包括下列内容：</w:t>
      </w:r>
    </w:p>
    <w:p w14:paraId="0207432D">
      <w:r>
        <w:rPr>
          <w:rFonts w:hint="eastAsia"/>
        </w:rPr>
        <w:t>（一）工资、奖金、津贴、补贴及其他劳动收入；</w:t>
      </w:r>
    </w:p>
    <w:p w14:paraId="5A809BD6">
      <w:r>
        <w:rPr>
          <w:rFonts w:hint="eastAsia"/>
        </w:rPr>
        <w:t>（二）离退休费及领取的各类保险金；</w:t>
      </w:r>
    </w:p>
    <w:p w14:paraId="10FA5C14">
      <w:r>
        <w:rPr>
          <w:rFonts w:hint="eastAsia"/>
        </w:rPr>
        <w:t>（三）储蓄存款、股票等有价证券及孳息；</w:t>
      </w:r>
    </w:p>
    <w:p w14:paraId="3AF2A62E">
      <w:r>
        <w:rPr>
          <w:rFonts w:hint="eastAsia"/>
        </w:rPr>
        <w:t>（四）出租或者变卖家庭资产获得的收入；</w:t>
      </w:r>
    </w:p>
    <w:p w14:paraId="49A015C2">
      <w:r>
        <w:rPr>
          <w:rFonts w:hint="eastAsia"/>
        </w:rPr>
        <w:t>（五）法定赡养人、扶养人或者抚养人应当给付的赡养、扶养或者抚养费；</w:t>
      </w:r>
    </w:p>
    <w:p w14:paraId="1D923A14">
      <w:r>
        <w:rPr>
          <w:rFonts w:hint="eastAsia"/>
        </w:rPr>
        <w:t>（六）继承的遗产和接受的赠与；</w:t>
      </w:r>
    </w:p>
    <w:p w14:paraId="1D6667BE">
      <w:r>
        <w:rPr>
          <w:rFonts w:hint="eastAsia"/>
        </w:rPr>
        <w:t>（七）其他应当计入的家庭收入。</w:t>
      </w:r>
    </w:p>
    <w:p w14:paraId="41881D1F">
      <w:pPr>
        <w:ind w:firstLine="422"/>
      </w:pPr>
      <w:r>
        <w:rPr>
          <w:rFonts w:hint="eastAsia"/>
          <w:b/>
        </w:rPr>
        <w:t>第六条</w:t>
      </w:r>
      <w:r>
        <w:rPr>
          <w:rFonts w:hint="eastAsia"/>
        </w:rPr>
        <w:t xml:space="preserve">  下列金额不计入家庭收入；</w:t>
      </w:r>
    </w:p>
    <w:p w14:paraId="25C2687F">
      <w:r>
        <w:rPr>
          <w:rFonts w:hint="eastAsia"/>
        </w:rPr>
        <w:t>（一）对国家、社会和人民做出特殊贡献，政府给予的奖励金；市级以上劳动模范退休后享受的荣誉津贴；</w:t>
      </w:r>
    </w:p>
    <w:p w14:paraId="25F31AC9">
      <w:bookmarkStart w:id="2118" w:name="_Toc428780502"/>
      <w:r>
        <w:rPr>
          <w:rFonts w:hint="eastAsia"/>
        </w:rPr>
        <w:t>（二）优抚对象享受的抚恤金、补助金、护理费及保健金；</w:t>
      </w:r>
      <w:bookmarkEnd w:id="2118"/>
    </w:p>
    <w:p w14:paraId="3BA68EDD">
      <w:r>
        <w:rPr>
          <w:rFonts w:hint="eastAsia"/>
        </w:rPr>
        <w:t>（三）为解决在校学生就学困难，由政府和社会给予的补助金；</w:t>
      </w:r>
    </w:p>
    <w:p w14:paraId="76A0CF54">
      <w:bookmarkStart w:id="2119" w:name="_Toc428780503"/>
      <w:r>
        <w:rPr>
          <w:rFonts w:hint="eastAsia"/>
        </w:rPr>
        <w:t>（四）社会组织和个人给予的临时性生活救助金；</w:t>
      </w:r>
      <w:bookmarkEnd w:id="2119"/>
    </w:p>
    <w:p w14:paraId="5153D3A6">
      <w:r>
        <w:rPr>
          <w:rFonts w:hint="eastAsia"/>
        </w:rPr>
        <w:t>（五）因工（公）负伤职工的护理费及死亡职工的亲属享受的一次性抚恤金；</w:t>
      </w:r>
    </w:p>
    <w:p w14:paraId="6B36BE54">
      <w:bookmarkStart w:id="2120" w:name="_Toc428780504"/>
      <w:r>
        <w:rPr>
          <w:rFonts w:hint="eastAsia"/>
        </w:rPr>
        <w:t>（六）因公致残返城知青的护理费；</w:t>
      </w:r>
      <w:bookmarkEnd w:id="2120"/>
    </w:p>
    <w:p w14:paraId="6F5CA7DF">
      <w:r>
        <w:rPr>
          <w:rFonts w:hint="eastAsia"/>
        </w:rPr>
        <w:t>（七）在职人员按规定由所在单位代缴的住房公积金及各项社会保险统筹费。</w:t>
      </w:r>
    </w:p>
    <w:p w14:paraId="359850D1">
      <w:pPr>
        <w:ind w:firstLine="422"/>
      </w:pPr>
      <w:r>
        <w:rPr>
          <w:rFonts w:hint="eastAsia"/>
          <w:b/>
        </w:rPr>
        <w:t>第七条</w:t>
      </w:r>
      <w:r>
        <w:rPr>
          <w:rFonts w:hint="eastAsia"/>
        </w:rPr>
        <w:t xml:space="preserve">  城市居民最低生活保障标准，按照维持本市城市居民基本生活所必需的衣、食、住费用，并适当考虑水电燃煤（燃气）费用以及未成年人的义务教育费用确定；并根据本市经济发展水平和财政承受能力，随着本市生活必需品的价格变化和人民生活水平的提高适时调整。</w:t>
      </w:r>
    </w:p>
    <w:p w14:paraId="76DBE54C">
      <w:pPr>
        <w:ind w:firstLine="422"/>
        <w:rPr>
          <w:rFonts w:hint="eastAsia"/>
        </w:rPr>
      </w:pPr>
      <w:r>
        <w:rPr>
          <w:rFonts w:hint="eastAsia"/>
          <w:b/>
        </w:rPr>
        <w:t>第八条</w:t>
      </w:r>
      <w:r>
        <w:rPr>
          <w:rFonts w:hint="eastAsia"/>
        </w:rPr>
        <w:t xml:space="preserve">  城市居民最低生活保障标准的确定和调整，由市民政局会同市财政、统计、物价、劳动保障、人事等部门研究制定，报市人民政府批准后，由市民政局向社会公布。</w:t>
      </w:r>
    </w:p>
    <w:p w14:paraId="413A5AFD">
      <w:r>
        <w:rPr>
          <w:rFonts w:hint="eastAsia"/>
          <w:b/>
        </w:rPr>
        <w:t>第九条</w:t>
      </w:r>
      <w:r>
        <w:rPr>
          <w:rFonts w:hint="eastAsia"/>
        </w:rPr>
        <w:t xml:space="preserve">  城市居民申请享受最低生活保障待遇应当提交下列材料：</w:t>
      </w:r>
    </w:p>
    <w:p w14:paraId="5B00C2F1">
      <w:r>
        <w:rPr>
          <w:rFonts w:hint="eastAsia"/>
        </w:rPr>
        <w:t>（一）申请书；</w:t>
      </w:r>
    </w:p>
    <w:p w14:paraId="3540EFAD">
      <w:r>
        <w:rPr>
          <w:rFonts w:hint="eastAsia"/>
        </w:rPr>
        <w:t>（二）户口簿、居民身份证；</w:t>
      </w:r>
    </w:p>
    <w:p w14:paraId="2ED9879F">
      <w:r>
        <w:rPr>
          <w:rFonts w:hint="eastAsia"/>
        </w:rPr>
        <w:t>（三）收入证明；</w:t>
      </w:r>
    </w:p>
    <w:p w14:paraId="4619BCCC">
      <w:r>
        <w:rPr>
          <w:rFonts w:hint="eastAsia"/>
        </w:rPr>
        <w:t>（四）其他相关证明材料。</w:t>
      </w:r>
    </w:p>
    <w:p w14:paraId="1D9E146F">
      <w:r>
        <w:rPr>
          <w:rFonts w:hint="eastAsia"/>
        </w:rPr>
        <w:t>机关、企事业单位和社会团体有义务为本单位困难职工出具真实、准确的收入证明。</w:t>
      </w:r>
    </w:p>
    <w:p w14:paraId="7E92E28C">
      <w:pPr>
        <w:ind w:firstLine="422"/>
      </w:pPr>
      <w:r>
        <w:rPr>
          <w:rFonts w:hint="eastAsia"/>
          <w:b/>
        </w:rPr>
        <w:t>第十条</w:t>
      </w:r>
      <w:r>
        <w:rPr>
          <w:rFonts w:hint="eastAsia"/>
        </w:rPr>
        <w:t xml:space="preserve">  申请人持第九条所列材料向户口所在地的居（家）、村委会提出申请，填写《北京市城市居民最低生活保障待遇审批表》；居（家）、村委会采取适当形式公布，征求群众意见，核实后上报街道办事处或者乡（镇）人民政府。未成立居（家）委会的新建居民小区内的申请人，可以直接向户口所在地的街道办事处或者乡（镇）人民政府提出申请。</w:t>
      </w:r>
    </w:p>
    <w:p w14:paraId="725B89BB">
      <w:r>
        <w:rPr>
          <w:rFonts w:hint="eastAsia"/>
        </w:rPr>
        <w:t>街道办事处或者乡（镇）人民政府对上报材料进行审查，对申请家庭的经济状况和生活水平进行调查，将有关材料和初审意见报区、县民政局。</w:t>
      </w:r>
    </w:p>
    <w:p w14:paraId="2663BC7A">
      <w:r>
        <w:rPr>
          <w:rFonts w:hint="eastAsia"/>
        </w:rPr>
        <w:t>区、县民政局对申请享受城市居民最低生活保障待遇的家庭进行审批，自接到申请人提出申请之日起</w:t>
      </w:r>
      <w:r>
        <w:rPr>
          <w:rFonts w:hint="eastAsia" w:ascii="宋体" w:hAnsi="宋体" w:eastAsia="宋体" w:cs="宋体"/>
        </w:rPr>
        <w:t>30</w:t>
      </w:r>
      <w:r>
        <w:rPr>
          <w:rFonts w:hint="eastAsia"/>
        </w:rPr>
        <w:t>日内办结审批手续；对不符合条件的申请人员，应当在</w:t>
      </w:r>
      <w:r>
        <w:rPr>
          <w:rFonts w:hint="eastAsia" w:ascii="宋体" w:hAnsi="宋体" w:eastAsia="宋体" w:cs="宋体"/>
        </w:rPr>
        <w:t>30</w:t>
      </w:r>
      <w:r>
        <w:rPr>
          <w:rFonts w:hint="eastAsia"/>
        </w:rPr>
        <w:t>日内书面通知申请人并说明理由。</w:t>
      </w:r>
    </w:p>
    <w:p w14:paraId="2FDD9834">
      <w:pPr>
        <w:ind w:firstLine="422"/>
      </w:pPr>
      <w:r>
        <w:rPr>
          <w:rFonts w:hint="eastAsia"/>
          <w:b/>
        </w:rPr>
        <w:t>第十一条</w:t>
      </w:r>
      <w:r>
        <w:rPr>
          <w:rFonts w:hint="eastAsia"/>
        </w:rPr>
        <w:t xml:space="preserve">  符合享受城市居民最低生活保障待遇条件的家庭，区分下列不同情况享受城市居民最低生活保障待遇：</w:t>
      </w:r>
    </w:p>
    <w:p w14:paraId="11E13E85">
      <w:r>
        <w:rPr>
          <w:rFonts w:hint="eastAsia"/>
        </w:rPr>
        <w:t>（一）对无生活来源，无劳动能力又无法定赡养人、扶养人或者抚养人，以及虽有法定赡养人、扶养人或者抚养人但其无赡养、扶养或者抚养能力的城市居民，批准其家庭按照本市当年城市居民最低生活保障标准全额享受。</w:t>
      </w:r>
    </w:p>
    <w:p w14:paraId="143512D3">
      <w:r>
        <w:rPr>
          <w:rFonts w:hint="eastAsia"/>
        </w:rPr>
        <w:t>（二）对尚有一定收入的城市居民，批准其按照家庭人均收入低于本市当年城市居民最低生活保障标准的差额享受。</w:t>
      </w:r>
    </w:p>
    <w:p w14:paraId="7EC74894">
      <w:pPr>
        <w:ind w:firstLine="422"/>
      </w:pPr>
      <w:r>
        <w:rPr>
          <w:rFonts w:hint="eastAsia"/>
          <w:b/>
        </w:rPr>
        <w:t>第十二条</w:t>
      </w:r>
      <w:r>
        <w:rPr>
          <w:rFonts w:hint="eastAsia"/>
        </w:rPr>
        <w:t xml:space="preserve">  城市居民最低生活保障待遇由各街道办事处和乡（镇）人民政府以货币形式按月发放；必要时，经区、县民政局批准也可以给付实物。</w:t>
      </w:r>
    </w:p>
    <w:p w14:paraId="1E3543A3">
      <w:r>
        <w:rPr>
          <w:rFonts w:hint="eastAsia"/>
        </w:rPr>
        <w:t>享受城市居民最低生活保障待遇的对象持有关证件按期到指定地点领取。</w:t>
      </w:r>
    </w:p>
    <w:p w14:paraId="14506962">
      <w:pPr>
        <w:ind w:firstLine="422"/>
      </w:pPr>
      <w:r>
        <w:rPr>
          <w:rFonts w:hint="eastAsia"/>
          <w:b/>
        </w:rPr>
        <w:t>第十三条</w:t>
      </w:r>
      <w:r>
        <w:rPr>
          <w:rFonts w:hint="eastAsia"/>
        </w:rPr>
        <w:t xml:space="preserve">  保障对象在享受城市居民最低生活保障待遇期间，应当履行下列义务：</w:t>
      </w:r>
    </w:p>
    <w:p w14:paraId="6126616E">
      <w:bookmarkStart w:id="2121" w:name="_Toc428780505"/>
      <w:r>
        <w:rPr>
          <w:rFonts w:hint="eastAsia"/>
        </w:rPr>
        <w:t>（一）及时通报家庭人员及收入变化情况，接受定期复审；</w:t>
      </w:r>
      <w:bookmarkEnd w:id="2121"/>
    </w:p>
    <w:p w14:paraId="5BDFEE30">
      <w:r>
        <w:rPr>
          <w:rFonts w:hint="eastAsia"/>
        </w:rPr>
        <w:t>（二）在就业年龄内的有劳动能力者应当主动就业或者接受有关部门介绍的工作；每季度向街道办事处或者乡（镇）人民政府提供有关部门出具的就业状况证明，汇报就业情况；</w:t>
      </w:r>
    </w:p>
    <w:p w14:paraId="137D0757">
      <w:r>
        <w:rPr>
          <w:rFonts w:hint="eastAsia"/>
        </w:rPr>
        <w:t>（三）在就业年龄内、有劳动能力且尚未就业者，应当参加其所在的居（家）、村委会组织的公益性社区服务劳动。</w:t>
      </w:r>
    </w:p>
    <w:p w14:paraId="256D14C0">
      <w:pPr>
        <w:ind w:firstLine="422"/>
      </w:pPr>
      <w:r>
        <w:rPr>
          <w:rFonts w:hint="eastAsia"/>
          <w:b/>
        </w:rPr>
        <w:t>第十四条</w:t>
      </w:r>
      <w:r>
        <w:rPr>
          <w:rFonts w:hint="eastAsia"/>
        </w:rPr>
        <w:t>　享受城市居民最低生活保障待遇家庭的人口及收入状况发生变化时，应当按原审批程序办理变更手续；户口迁移时，应当在</w:t>
      </w:r>
      <w:r>
        <w:rPr>
          <w:rFonts w:hint="eastAsia" w:ascii="宋体" w:hAnsi="宋体" w:eastAsia="宋体" w:cs="宋体"/>
        </w:rPr>
        <w:t>30</w:t>
      </w:r>
      <w:r>
        <w:rPr>
          <w:rFonts w:hint="eastAsia"/>
        </w:rPr>
        <w:t>日内到原户口所在地的区、县民政局办理保障待遇变更手续，逾期不办者重新申请。</w:t>
      </w:r>
    </w:p>
    <w:p w14:paraId="21725CDD">
      <w:pPr>
        <w:ind w:firstLine="422"/>
      </w:pPr>
      <w:r>
        <w:rPr>
          <w:rFonts w:hint="eastAsia"/>
          <w:b/>
        </w:rPr>
        <w:t>第十五条</w:t>
      </w:r>
      <w:r>
        <w:rPr>
          <w:rFonts w:hint="eastAsia"/>
        </w:rPr>
        <w:t>　对经批准享受城市居民最低生活保障待遇的家庭，由街道办事处或者乡（镇）人民政府在其户口所在地居（家）、村委会张榜公布。</w:t>
      </w:r>
    </w:p>
    <w:p w14:paraId="6BCA87FE">
      <w:r>
        <w:rPr>
          <w:rFonts w:hint="eastAsia"/>
        </w:rPr>
        <w:t>单位和个人对享受城市居民最低生活保障待遇的家庭有异议的，可以向街道办事处、乡（镇）人民政府或者区、县民政局提出。街道办事处、乡（镇）人民政府或者区、县民政局应当自接到异议之日起</w:t>
      </w:r>
      <w:r>
        <w:rPr>
          <w:rFonts w:hint="eastAsia" w:ascii="宋体" w:hAnsi="宋体" w:eastAsia="宋体" w:cs="宋体"/>
        </w:rPr>
        <w:t>30</w:t>
      </w:r>
      <w:r>
        <w:rPr>
          <w:rFonts w:hint="eastAsia"/>
        </w:rPr>
        <w:t>日内核查完毕，情况属实的予以纠正。</w:t>
      </w:r>
    </w:p>
    <w:p w14:paraId="4497DE84">
      <w:pPr>
        <w:ind w:firstLine="422"/>
      </w:pPr>
      <w:r>
        <w:rPr>
          <w:rFonts w:hint="eastAsia"/>
          <w:b/>
        </w:rPr>
        <w:t>第十六条</w:t>
      </w:r>
      <w:r>
        <w:rPr>
          <w:rFonts w:hint="eastAsia"/>
        </w:rPr>
        <w:t>　本办法</w:t>
      </w:r>
      <w:r>
        <w:rPr>
          <w:rFonts w:hint="eastAsia" w:ascii="宋体" w:hAnsi="宋体" w:eastAsia="宋体" w:cs="宋体"/>
        </w:rPr>
        <w:t>自2000年7月1</w:t>
      </w:r>
      <w:r>
        <w:rPr>
          <w:rFonts w:hint="eastAsia"/>
        </w:rPr>
        <w:t>日起施行。</w:t>
      </w:r>
    </w:p>
    <w:p w14:paraId="0A8E2D07">
      <w:pPr>
        <w:pStyle w:val="3"/>
        <w:pageBreakBefore/>
      </w:pPr>
      <w:bookmarkStart w:id="2122" w:name="_Toc426467063"/>
      <w:bookmarkStart w:id="2123" w:name="_Toc428780506"/>
      <w:bookmarkStart w:id="2124" w:name="_Toc428781811"/>
      <w:r>
        <w:rPr>
          <w:rFonts w:hint="eastAsia"/>
        </w:rPr>
        <w:t>（六）劳动用工</w:t>
      </w:r>
      <w:bookmarkEnd w:id="2122"/>
      <w:bookmarkEnd w:id="2123"/>
      <w:bookmarkEnd w:id="2124"/>
    </w:p>
    <w:p w14:paraId="7B6EB489"/>
    <w:p w14:paraId="51F9FC75">
      <w:pPr>
        <w:pStyle w:val="4"/>
      </w:pPr>
      <w:bookmarkStart w:id="2125" w:name="_Toc428781812"/>
      <w:bookmarkStart w:id="2126" w:name="_Toc426467064"/>
      <w:bookmarkStart w:id="2127" w:name="_Toc428780507"/>
      <w:r>
        <w:rPr>
          <w:rFonts w:hint="eastAsia"/>
        </w:rPr>
        <w:t>北京市人才市场管理条例</w:t>
      </w:r>
      <w:bookmarkEnd w:id="2125"/>
      <w:bookmarkEnd w:id="2126"/>
      <w:bookmarkEnd w:id="2127"/>
    </w:p>
    <w:p w14:paraId="75F786F1">
      <w:pPr>
        <w:ind w:left="630" w:leftChars="300" w:right="630" w:rightChars="300"/>
        <w:rPr>
          <w:rFonts w:ascii="楷体" w:hAnsi="楷体" w:eastAsia="楷体"/>
        </w:rPr>
      </w:pPr>
      <w:r>
        <w:rPr>
          <w:rFonts w:hint="eastAsia" w:ascii="楷体" w:hAnsi="楷体" w:eastAsia="楷体"/>
        </w:rPr>
        <w:t>（1997年10月16日北京市第十届人民代表大会常务委员会第四十次会议通过　根据2002年3月29日北京市第十一届人民代表大会常务委员会第三十三次会议通过的《北京市人才市场管理条例修正案》修订）</w:t>
      </w:r>
    </w:p>
    <w:p w14:paraId="107175D9"/>
    <w:p w14:paraId="671BC28E">
      <w:pPr>
        <w:ind w:firstLine="0" w:firstLineChars="0"/>
        <w:jc w:val="center"/>
        <w:rPr>
          <w:b/>
          <w:sz w:val="32"/>
        </w:rPr>
      </w:pPr>
      <w:r>
        <w:rPr>
          <w:rFonts w:hint="eastAsia"/>
          <w:b/>
          <w:sz w:val="28"/>
        </w:rPr>
        <w:t>第一章　总　则</w:t>
      </w:r>
    </w:p>
    <w:p w14:paraId="5F9B34F6"/>
    <w:p w14:paraId="2F649909">
      <w:pPr>
        <w:ind w:firstLine="422"/>
      </w:pPr>
      <w:r>
        <w:rPr>
          <w:rFonts w:hint="eastAsia"/>
          <w:b/>
        </w:rPr>
        <w:t>第一条</w:t>
      </w:r>
      <w:r>
        <w:rPr>
          <w:rFonts w:hint="eastAsia"/>
        </w:rPr>
        <w:t xml:space="preserve">  为了加强人才市场管理，保护用人单位、人才以及人才市场中介服务机构的合法权益，维护人才市场秩序，促进人才市场的健康发展，制定本条例。</w:t>
      </w:r>
    </w:p>
    <w:p w14:paraId="22B6C68B">
      <w:pPr>
        <w:ind w:firstLine="422"/>
      </w:pPr>
      <w:r>
        <w:rPr>
          <w:rFonts w:hint="eastAsia"/>
          <w:b/>
        </w:rPr>
        <w:t>第二条</w:t>
      </w:r>
      <w:r>
        <w:rPr>
          <w:rFonts w:hint="eastAsia"/>
        </w:rPr>
        <w:t xml:space="preserve">  本市行政区域内通过人才市场进行的招聘应聘活动、中介服务活动以及对人才市场的行政管理活动均应遵守本条例。</w:t>
      </w:r>
    </w:p>
    <w:p w14:paraId="69CEAAFE">
      <w:r>
        <w:rPr>
          <w:rFonts w:hint="eastAsia"/>
        </w:rPr>
        <w:t>本条例所称人才是指具有专业技术职务任职资格或者中专以上学历的专业技术人员以及各类管理人员。</w:t>
      </w:r>
    </w:p>
    <w:p w14:paraId="1F822D24">
      <w:pPr>
        <w:ind w:firstLine="422"/>
      </w:pPr>
      <w:r>
        <w:rPr>
          <w:rFonts w:hint="eastAsia"/>
          <w:b/>
        </w:rPr>
        <w:t>第三条</w:t>
      </w:r>
      <w:r>
        <w:rPr>
          <w:rFonts w:hint="eastAsia"/>
        </w:rPr>
        <w:t xml:space="preserve">  市和区、县人民政府应当根据建立社会主义市场经济体制的要求，积极培育和发展人才市场，充分利用和开发人才资源，为经济建设和各项事业的发展服务。</w:t>
      </w:r>
    </w:p>
    <w:p w14:paraId="31932FD0">
      <w:pPr>
        <w:ind w:firstLine="422"/>
      </w:pPr>
      <w:r>
        <w:rPr>
          <w:rFonts w:hint="eastAsia"/>
          <w:b/>
        </w:rPr>
        <w:t>第四条</w:t>
      </w:r>
      <w:r>
        <w:rPr>
          <w:rFonts w:hint="eastAsia"/>
        </w:rPr>
        <w:t xml:space="preserve">  市人事局是本市人才市场的主管部门，负责本条例的组织实施。</w:t>
      </w:r>
    </w:p>
    <w:p w14:paraId="7C97E1DA">
      <w:r>
        <w:rPr>
          <w:rFonts w:hint="eastAsia"/>
        </w:rPr>
        <w:t>区、县人事局负责本行政区域内人才市场的管理。</w:t>
      </w:r>
    </w:p>
    <w:p w14:paraId="7EE1C0C2">
      <w:pPr>
        <w:ind w:firstLine="422"/>
      </w:pPr>
      <w:r>
        <w:rPr>
          <w:rFonts w:hint="eastAsia"/>
          <w:b/>
        </w:rPr>
        <w:t>第五条</w:t>
      </w:r>
      <w:r>
        <w:rPr>
          <w:rFonts w:hint="eastAsia"/>
        </w:rPr>
        <w:t xml:space="preserve">  市工商行政管理、财政、物价、公安等部门按照各自的职责，负责做好人才市场管理的有关工作。</w:t>
      </w:r>
    </w:p>
    <w:p w14:paraId="34CED7E7"/>
    <w:p w14:paraId="1CE7C4C4">
      <w:pPr>
        <w:ind w:firstLine="0" w:firstLineChars="0"/>
        <w:jc w:val="center"/>
        <w:rPr>
          <w:b/>
          <w:sz w:val="28"/>
        </w:rPr>
      </w:pPr>
      <w:r>
        <w:rPr>
          <w:rFonts w:hint="eastAsia"/>
          <w:b/>
          <w:sz w:val="28"/>
        </w:rPr>
        <w:t>第二章　人才市场中介服务机构</w:t>
      </w:r>
    </w:p>
    <w:p w14:paraId="721E634E"/>
    <w:p w14:paraId="1CDF6E9E">
      <w:pPr>
        <w:ind w:firstLine="422"/>
      </w:pPr>
      <w:r>
        <w:rPr>
          <w:rFonts w:hint="eastAsia"/>
          <w:b/>
        </w:rPr>
        <w:t>第六条</w:t>
      </w:r>
      <w:r>
        <w:rPr>
          <w:rFonts w:hint="eastAsia"/>
        </w:rPr>
        <w:t xml:space="preserve">  设立人才市场中介服务机构（含兼营人才市场中介服务业务的单位，下同），应当符合下列条件：</w:t>
      </w:r>
    </w:p>
    <w:p w14:paraId="6276F86A">
      <w:r>
        <w:rPr>
          <w:rFonts w:hint="eastAsia"/>
        </w:rPr>
        <w:t>（一）有与申请业务相适应的固定场所和开展人才市场中介服务业务必备的经费、设施等；</w:t>
      </w:r>
    </w:p>
    <w:p w14:paraId="454F1D99">
      <w:r>
        <w:rPr>
          <w:rFonts w:hint="eastAsia"/>
        </w:rPr>
        <w:t>（二）专职工作人员不少于五人，其中从事人才市场中介服务业务的人员需要具有大专以上学历，并接受过系统的人事管理专业培训；</w:t>
      </w:r>
    </w:p>
    <w:p w14:paraId="531F70CE">
      <w:r>
        <w:rPr>
          <w:rFonts w:hint="eastAsia"/>
        </w:rPr>
        <w:t>（三）有健全可行的工作规则；</w:t>
      </w:r>
    </w:p>
    <w:p w14:paraId="5722AB76">
      <w:r>
        <w:rPr>
          <w:rFonts w:hint="eastAsia"/>
        </w:rPr>
        <w:t>（四）国家和本市规定的其他条件。</w:t>
      </w:r>
    </w:p>
    <w:p w14:paraId="1E0C1531">
      <w:r>
        <w:rPr>
          <w:rFonts w:hint="eastAsia"/>
        </w:rPr>
        <w:t>个人不得设立人才市场中介服务机构。</w:t>
      </w:r>
    </w:p>
    <w:p w14:paraId="75EAF2B7">
      <w:pPr>
        <w:ind w:firstLine="422"/>
      </w:pPr>
      <w:r>
        <w:rPr>
          <w:rFonts w:hint="eastAsia"/>
          <w:b/>
        </w:rPr>
        <w:t>第七条</w:t>
      </w:r>
      <w:r>
        <w:rPr>
          <w:rFonts w:hint="eastAsia"/>
        </w:rPr>
        <w:t xml:space="preserve">  设立人才市场中介服务机构须经市人事局批准。</w:t>
      </w:r>
    </w:p>
    <w:p w14:paraId="6104B1B1">
      <w:r>
        <w:rPr>
          <w:rFonts w:hint="eastAsia"/>
        </w:rPr>
        <w:t>区、县所属单位以及民营单位设立人才市场中介服务机构，应当由所在区、县人事局初审后报市人事局审批。国家另有规定的，从其规定。</w:t>
      </w:r>
    </w:p>
    <w:p w14:paraId="07DBAE94">
      <w:pPr>
        <w:ind w:firstLine="422"/>
      </w:pPr>
      <w:r>
        <w:rPr>
          <w:rFonts w:hint="eastAsia"/>
          <w:b/>
        </w:rPr>
        <w:t>第八条</w:t>
      </w:r>
      <w:r>
        <w:rPr>
          <w:rFonts w:hint="eastAsia"/>
        </w:rPr>
        <w:t xml:space="preserve">  市人事局应当在接到申请之日起三十日内对经审核符合规定条件的单位，予以批准，发给《北京市人才市场中介服务许可证》（以下简称《许可证》）；对不符合规定条件的单位不予批准，并向申请单位说明理由。</w:t>
      </w:r>
    </w:p>
    <w:p w14:paraId="44EDF166">
      <w:r>
        <w:rPr>
          <w:rFonts w:hint="eastAsia"/>
        </w:rPr>
        <w:t>本市对《许可证》实行年审制度。</w:t>
      </w:r>
    </w:p>
    <w:p w14:paraId="19D23FE7">
      <w:pPr>
        <w:ind w:firstLine="422"/>
      </w:pPr>
      <w:r>
        <w:rPr>
          <w:rFonts w:hint="eastAsia"/>
          <w:b/>
        </w:rPr>
        <w:t>第九条</w:t>
      </w:r>
      <w:r>
        <w:rPr>
          <w:rFonts w:hint="eastAsia"/>
        </w:rPr>
        <w:t xml:space="preserve">  人才市场中介服务机构在取得《许可证》后，应当按照有关管理规定，到工商行政管理等有关部门办理相应手续。</w:t>
      </w:r>
    </w:p>
    <w:p w14:paraId="0B662C7D">
      <w:pPr>
        <w:ind w:firstLine="422"/>
      </w:pPr>
      <w:r>
        <w:rPr>
          <w:rFonts w:hint="eastAsia"/>
          <w:b/>
        </w:rPr>
        <w:t>第十条</w:t>
      </w:r>
      <w:r>
        <w:rPr>
          <w:rFonts w:hint="eastAsia"/>
        </w:rPr>
        <w:t xml:space="preserve">  人才市场中介服务机构经核准可以从事下列业务：</w:t>
      </w:r>
    </w:p>
    <w:p w14:paraId="50711C9D">
      <w:r>
        <w:rPr>
          <w:rFonts w:hint="eastAsia"/>
        </w:rPr>
        <w:t>（一）人才供求信息的收集、发布和咨询服务；</w:t>
      </w:r>
    </w:p>
    <w:p w14:paraId="1B8EBACD">
      <w:r>
        <w:rPr>
          <w:rFonts w:hint="eastAsia"/>
        </w:rPr>
        <w:t>（二）人才的登记、推荐服务；</w:t>
      </w:r>
    </w:p>
    <w:p w14:paraId="78078B0D">
      <w:r>
        <w:rPr>
          <w:rFonts w:hint="eastAsia"/>
        </w:rPr>
        <w:t>（三）开展人才素质测评、智力开发服务；</w:t>
      </w:r>
    </w:p>
    <w:p w14:paraId="5485613F">
      <w:r>
        <w:rPr>
          <w:rFonts w:hint="eastAsia"/>
        </w:rPr>
        <w:t>（四）组织人才培训；</w:t>
      </w:r>
    </w:p>
    <w:p w14:paraId="34F9505A">
      <w:r>
        <w:rPr>
          <w:rFonts w:hint="eastAsia"/>
        </w:rPr>
        <w:t>（五）法律、法规允许的其他有关业务。</w:t>
      </w:r>
    </w:p>
    <w:p w14:paraId="76549502">
      <w:pPr>
        <w:ind w:firstLine="422"/>
      </w:pPr>
      <w:r>
        <w:rPr>
          <w:rFonts w:hint="eastAsia"/>
          <w:b/>
        </w:rPr>
        <w:t>第十一条</w:t>
      </w:r>
      <w:r>
        <w:rPr>
          <w:rFonts w:hint="eastAsia"/>
        </w:rPr>
        <w:t xml:space="preserve">  市和区、县人事局设立的人才市场中介服务机构，按照国家有关规定可以从事流动人员人事档案管理及其相关业务。其他人才市场中介服务机构不得从事流动人员人事档案管理及其相关业务。</w:t>
      </w:r>
    </w:p>
    <w:p w14:paraId="74EA74B2">
      <w:pPr>
        <w:ind w:firstLine="422"/>
      </w:pPr>
      <w:r>
        <w:rPr>
          <w:rFonts w:hint="eastAsia"/>
          <w:b/>
        </w:rPr>
        <w:t>第十二条</w:t>
      </w:r>
      <w:r>
        <w:rPr>
          <w:rFonts w:hint="eastAsia"/>
        </w:rPr>
        <w:t xml:space="preserve">  人才市场中介服务机构必须依法开展经营业务活动，不得超越《许可证》核准的业务范围经营；不得提供虚假信息;不得作出虚假承诺；不得违反规定擅自向外公布、泄露流动人员人事档案的内容。</w:t>
      </w:r>
    </w:p>
    <w:p w14:paraId="5250B123">
      <w:r>
        <w:rPr>
          <w:rFonts w:hint="eastAsia"/>
        </w:rPr>
        <w:t>人才市场中介服务机构提供服务应当在服务场所公开服务内容和程序，公布收费项目和标准。收取服务费的项目和标准，应当符合国家和本市的有关规定。</w:t>
      </w:r>
    </w:p>
    <w:p w14:paraId="637C62A6"/>
    <w:p w14:paraId="4F566E9A">
      <w:pPr>
        <w:ind w:firstLine="0" w:firstLineChars="0"/>
        <w:jc w:val="center"/>
        <w:rPr>
          <w:b/>
          <w:sz w:val="28"/>
        </w:rPr>
      </w:pPr>
      <w:r>
        <w:rPr>
          <w:rFonts w:hint="eastAsia"/>
          <w:b/>
          <w:sz w:val="28"/>
        </w:rPr>
        <w:t>第三章　人才招聘</w:t>
      </w:r>
    </w:p>
    <w:p w14:paraId="55D19448"/>
    <w:p w14:paraId="31940804">
      <w:pPr>
        <w:ind w:firstLine="422"/>
      </w:pPr>
      <w:r>
        <w:rPr>
          <w:rFonts w:hint="eastAsia"/>
          <w:b/>
        </w:rPr>
        <w:t>第十三条</w:t>
      </w:r>
      <w:r>
        <w:rPr>
          <w:rFonts w:hint="eastAsia"/>
        </w:rPr>
        <w:t xml:space="preserve">  用人单位通过人才市场公开招聘人才可以选择下列方式：</w:t>
      </w:r>
    </w:p>
    <w:p w14:paraId="64788A72">
      <w:r>
        <w:rPr>
          <w:rFonts w:hint="eastAsia"/>
        </w:rPr>
        <w:t>（一）委托人才市场中介服务机构招聘；</w:t>
      </w:r>
    </w:p>
    <w:p w14:paraId="3908BDD3">
      <w:r>
        <w:rPr>
          <w:rFonts w:hint="eastAsia"/>
        </w:rPr>
        <w:t>（二）通过人才招聘洽谈会现场招聘；</w:t>
      </w:r>
    </w:p>
    <w:p w14:paraId="54D986F3">
      <w:r>
        <w:rPr>
          <w:rFonts w:hint="eastAsia"/>
        </w:rPr>
        <w:t>（三）在新闻媒介上刊播启事招聘；</w:t>
      </w:r>
    </w:p>
    <w:p w14:paraId="77331BE8">
      <w:r>
        <w:rPr>
          <w:rFonts w:hint="eastAsia"/>
        </w:rPr>
        <w:t>（四）通过人才信息网络查询招聘；</w:t>
      </w:r>
    </w:p>
    <w:p w14:paraId="1FEF925D">
      <w:r>
        <w:rPr>
          <w:rFonts w:hint="eastAsia"/>
        </w:rPr>
        <w:t>（五）法律、法规允许的其他方式。</w:t>
      </w:r>
    </w:p>
    <w:p w14:paraId="77D2ABF4">
      <w:r>
        <w:rPr>
          <w:rFonts w:hint="eastAsia"/>
        </w:rPr>
        <w:t>委托人才市场中介服务机构代理招聘，应当与代理机构签订明确双方权利义务的合同。</w:t>
      </w:r>
    </w:p>
    <w:p w14:paraId="37874BDB">
      <w:pPr>
        <w:ind w:firstLine="422"/>
      </w:pPr>
      <w:r>
        <w:rPr>
          <w:rFonts w:hint="eastAsia"/>
          <w:b/>
        </w:rPr>
        <w:t>第十四条</w:t>
      </w:r>
      <w:r>
        <w:rPr>
          <w:rFonts w:hint="eastAsia"/>
        </w:rPr>
        <w:t>　举办人才招聘洽谈会，主办单位必须是持有《许可证》并具有此项业务的人才市场中介服务机构，其名称、内容必须符合主办单位的业务范围以及国家和本市的有关规定。</w:t>
      </w:r>
    </w:p>
    <w:p w14:paraId="5BAD37DC">
      <w:pPr>
        <w:ind w:firstLine="422"/>
      </w:pPr>
      <w:r>
        <w:rPr>
          <w:rFonts w:hint="eastAsia"/>
          <w:b/>
        </w:rPr>
        <w:t>第十五条</w:t>
      </w:r>
      <w:r>
        <w:rPr>
          <w:rFonts w:hint="eastAsia"/>
        </w:rPr>
        <w:t>　举办人才招聘洽谈会，主办单位应当向市人事局提出书面申请，申请书中应当写明洽谈会的名称、地点、时间、规模和内容。市人事局应当在接到申请之日起十日内作出决定。经审查批准的，发给《人才招聘洽谈会批准书》；不予批准的，应当向申请单位说明理由。</w:t>
      </w:r>
    </w:p>
    <w:p w14:paraId="030F7D66">
      <w:r>
        <w:rPr>
          <w:rFonts w:hint="eastAsia"/>
        </w:rPr>
        <w:t>举办人才招聘洽谈会，主办单位应当持《人才招聘洽谈会批准书》向市公安局报送安全保卫工作方案。对符合条件的，市公安局应当在接到安全保卫工作方案之日起十日内作出批准决定；对不符合条件的不予批准，并向报送单位说明理由。</w:t>
      </w:r>
    </w:p>
    <w:p w14:paraId="0E97C0D2">
      <w:pPr>
        <w:ind w:firstLine="422"/>
      </w:pPr>
      <w:r>
        <w:rPr>
          <w:rFonts w:hint="eastAsia"/>
          <w:b/>
        </w:rPr>
        <w:t>第十六条</w:t>
      </w:r>
      <w:r>
        <w:rPr>
          <w:rFonts w:hint="eastAsia"/>
        </w:rPr>
        <w:t>　人才招聘洽谈会的主办单位必须对参会单位的法人资格、招聘行为的合法性进行审查，全面负责会前、会中的组织以及善后工作。</w:t>
      </w:r>
    </w:p>
    <w:p w14:paraId="3415D51A">
      <w:pPr>
        <w:ind w:firstLine="422"/>
      </w:pPr>
      <w:r>
        <w:rPr>
          <w:rFonts w:hint="eastAsia"/>
          <w:b/>
        </w:rPr>
        <w:t>第十七条</w:t>
      </w:r>
      <w:r>
        <w:rPr>
          <w:rFonts w:hint="eastAsia"/>
        </w:rPr>
        <w:t>　刊播人才招聘洽谈会启事，新闻单位应当向人才招聘洽谈会的主办单位索取市人事局出具的批准文件。未经批准的人才招聘洽谈会，新闻单位不得为其刊登、播放启事。</w:t>
      </w:r>
    </w:p>
    <w:p w14:paraId="7CC6E01B">
      <w:r>
        <w:rPr>
          <w:rFonts w:hint="eastAsia"/>
        </w:rPr>
        <w:t>招聘启事的内容必须真实，不得有虚假承诺，不得有性别歧视等违反法律、法规的内容。</w:t>
      </w:r>
    </w:p>
    <w:p w14:paraId="5B7C05EA">
      <w:pPr>
        <w:ind w:firstLine="422"/>
      </w:pPr>
      <w:r>
        <w:rPr>
          <w:rFonts w:hint="eastAsia"/>
          <w:b/>
        </w:rPr>
        <w:t>第十八条</w:t>
      </w:r>
      <w:r>
        <w:rPr>
          <w:rFonts w:hint="eastAsia"/>
        </w:rPr>
        <w:t>　经市人事局批准，本市单位可以通过人才市场从外省市招聘本市紧缺、急需的人才。</w:t>
      </w:r>
    </w:p>
    <w:p w14:paraId="6B498831">
      <w:r>
        <w:rPr>
          <w:rFonts w:hint="eastAsia"/>
        </w:rPr>
        <w:t>国际人才交流和涉外人才招聘按照国家和本市的有关规定执行。</w:t>
      </w:r>
    </w:p>
    <w:p w14:paraId="683FDC34">
      <w:pPr>
        <w:ind w:firstLine="422"/>
      </w:pPr>
      <w:r>
        <w:rPr>
          <w:rFonts w:hint="eastAsia"/>
          <w:b/>
        </w:rPr>
        <w:t>第十九条</w:t>
      </w:r>
      <w:r>
        <w:rPr>
          <w:rFonts w:hint="eastAsia"/>
        </w:rPr>
        <w:t>　用人单位在招聘人才时必须如实公布拟招聘人才的岗位、数量、条件、待遇等。招聘单位与应聘个人确定聘用关系时，应当在平等自愿的基础上依法签订劳动合同或者聘用合同，约定双方的权利和义务。</w:t>
      </w:r>
    </w:p>
    <w:p w14:paraId="0785176B">
      <w:pPr>
        <w:ind w:firstLine="422"/>
      </w:pPr>
      <w:r>
        <w:rPr>
          <w:rFonts w:hint="eastAsia"/>
          <w:b/>
        </w:rPr>
        <w:t>第二十条</w:t>
      </w:r>
      <w:r>
        <w:rPr>
          <w:rFonts w:hint="eastAsia"/>
        </w:rPr>
        <w:t>　招聘单位在招聘活动中不得向求职应聘人员收取任何费用，不得以招聘为名谋取不正当利益，不得侵犯其他单位的合法权益。</w:t>
      </w:r>
    </w:p>
    <w:p w14:paraId="611DD5EE">
      <w:pPr>
        <w:ind w:firstLine="422"/>
      </w:pPr>
      <w:r>
        <w:rPr>
          <w:rFonts w:hint="eastAsia"/>
          <w:b/>
        </w:rPr>
        <w:t>第二十一条</w:t>
      </w:r>
      <w:r>
        <w:rPr>
          <w:rFonts w:hint="eastAsia"/>
        </w:rPr>
        <w:t>　招聘单位在招聘活动中不得聘用下列人员：</w:t>
      </w:r>
    </w:p>
    <w:p w14:paraId="72A2845C">
      <w:r>
        <w:rPr>
          <w:rFonts w:hint="eastAsia"/>
        </w:rPr>
        <w:t>（一）从事国家机密工作或者曾经从事国家机密工作尚在规定的保密期限内的；</w:t>
      </w:r>
    </w:p>
    <w:p w14:paraId="7D823B26">
      <w:bookmarkStart w:id="2128" w:name="_Toc428780508"/>
      <w:r>
        <w:rPr>
          <w:rFonts w:hint="eastAsia"/>
        </w:rPr>
        <w:t>（二）有违法、违纪嫌疑正在依法接受审查尚未结案的；</w:t>
      </w:r>
      <w:bookmarkEnd w:id="2128"/>
    </w:p>
    <w:p w14:paraId="309D45F1">
      <w:r>
        <w:rPr>
          <w:rFonts w:hint="eastAsia"/>
        </w:rPr>
        <w:t>（三）国家和本市重点工程、重点科研项目的主要技术人员和管理人员，尚未完成规定任务前，未经单位同意的；</w:t>
      </w:r>
    </w:p>
    <w:p w14:paraId="66033D85">
      <w:r>
        <w:rPr>
          <w:rFonts w:hint="eastAsia"/>
        </w:rPr>
        <w:t>（四）由上级主管部门任命、委派的管理人员、专业技术人员在任期内未经主管部门同意的；</w:t>
      </w:r>
    </w:p>
    <w:p w14:paraId="4484321C">
      <w:bookmarkStart w:id="2129" w:name="_Toc428780509"/>
      <w:r>
        <w:rPr>
          <w:rFonts w:hint="eastAsia"/>
        </w:rPr>
        <w:t>（五）尚未与原单位解除合同或者办理合法辞职、调动手续的；</w:t>
      </w:r>
      <w:bookmarkEnd w:id="2129"/>
    </w:p>
    <w:p w14:paraId="608378DB">
      <w:r>
        <w:rPr>
          <w:rFonts w:hint="eastAsia"/>
        </w:rPr>
        <w:t>（六）法律、法规规定不能流动的其他人员。</w:t>
      </w:r>
    </w:p>
    <w:p w14:paraId="22FE8197"/>
    <w:p w14:paraId="1E2EBE20">
      <w:pPr>
        <w:ind w:firstLine="0" w:firstLineChars="0"/>
        <w:jc w:val="center"/>
        <w:rPr>
          <w:b/>
          <w:sz w:val="28"/>
        </w:rPr>
      </w:pPr>
      <w:r>
        <w:rPr>
          <w:rFonts w:hint="eastAsia"/>
          <w:b/>
          <w:sz w:val="28"/>
        </w:rPr>
        <w:t>第四章　人才应聘</w:t>
      </w:r>
    </w:p>
    <w:p w14:paraId="73C3E45D"/>
    <w:p w14:paraId="69913ADB">
      <w:pPr>
        <w:ind w:firstLine="422"/>
      </w:pPr>
      <w:r>
        <w:rPr>
          <w:rFonts w:hint="eastAsia"/>
          <w:b/>
        </w:rPr>
        <w:t>第二十二条</w:t>
      </w:r>
      <w:r>
        <w:rPr>
          <w:rFonts w:hint="eastAsia"/>
        </w:rPr>
        <w:t>　求职应聘人员应当提前向所在单位提出书面申请，所在单位应当在收到申请之日起三十日内予以答复。对符合国家和本市有关规定，没有合同纠纷的应当予以同意，并自同意之日起三十日内予以办理相关手续；对需要提前解除合同或者辞职的，逾期不予答复的视为同意，所在单位应当予以办理相关手续。法律、法规另有规定的，从其规定。</w:t>
      </w:r>
    </w:p>
    <w:p w14:paraId="36E5F1ED">
      <w:pPr>
        <w:ind w:firstLine="422"/>
      </w:pPr>
      <w:r>
        <w:rPr>
          <w:rFonts w:hint="eastAsia"/>
          <w:b/>
        </w:rPr>
        <w:t>第二十三条</w:t>
      </w:r>
      <w:r>
        <w:rPr>
          <w:rFonts w:hint="eastAsia"/>
        </w:rPr>
        <w:t>　求职应聘人员与所在单位发生争议时，可以向市和区、县人事局依法申请调解或者裁决。</w:t>
      </w:r>
    </w:p>
    <w:p w14:paraId="5A8474CD">
      <w:pPr>
        <w:ind w:firstLine="422"/>
      </w:pPr>
      <w:r>
        <w:rPr>
          <w:rFonts w:hint="eastAsia"/>
          <w:b/>
        </w:rPr>
        <w:t>第二十四条</w:t>
      </w:r>
      <w:r>
        <w:rPr>
          <w:rFonts w:hint="eastAsia"/>
        </w:rPr>
        <w:t>　求职应聘人员必须如实介绍本人有关情况和要求，并提供必要的证明文件和其他相关材料。</w:t>
      </w:r>
    </w:p>
    <w:p w14:paraId="1F1B8527">
      <w:pPr>
        <w:ind w:firstLine="422"/>
      </w:pPr>
      <w:r>
        <w:rPr>
          <w:rFonts w:hint="eastAsia"/>
          <w:b/>
        </w:rPr>
        <w:t>第二十五条</w:t>
      </w:r>
      <w:r>
        <w:rPr>
          <w:rFonts w:hint="eastAsia"/>
        </w:rPr>
        <w:t>　求职应聘人员离开原单位时，应当按照与原单位签订的合同或者协议的约定处理好有关事宜。</w:t>
      </w:r>
    </w:p>
    <w:p w14:paraId="1BDD3480">
      <w:r>
        <w:rPr>
          <w:rFonts w:hint="eastAsia"/>
        </w:rPr>
        <w:t>求职应聘人员不得擅自离职；不得泄露原单位的商业秘密和技术秘密；不得侵犯原单位的知识产权。</w:t>
      </w:r>
    </w:p>
    <w:p w14:paraId="17930CE5">
      <w:pPr>
        <w:ind w:firstLine="422"/>
      </w:pPr>
      <w:r>
        <w:rPr>
          <w:rFonts w:hint="eastAsia"/>
          <w:b/>
        </w:rPr>
        <w:t>第二十六条</w:t>
      </w:r>
      <w:r>
        <w:rPr>
          <w:rFonts w:hint="eastAsia"/>
        </w:rPr>
        <w:t>　人才流动时应当按照规定办理转递人事档案和人事关系等手续。</w:t>
      </w:r>
    </w:p>
    <w:p w14:paraId="0D8770BA">
      <w:r>
        <w:rPr>
          <w:rFonts w:hint="eastAsia"/>
        </w:rPr>
        <w:t>有关单位必须如实为求职应聘人员提供证明文件以及相关材料，严禁出具虚假证明、档案材料。</w:t>
      </w:r>
    </w:p>
    <w:p w14:paraId="26410B1D"/>
    <w:p w14:paraId="4F11D0CD">
      <w:pPr>
        <w:ind w:firstLine="0" w:firstLineChars="0"/>
        <w:jc w:val="center"/>
        <w:rPr>
          <w:b/>
          <w:sz w:val="28"/>
        </w:rPr>
      </w:pPr>
      <w:r>
        <w:rPr>
          <w:rFonts w:hint="eastAsia"/>
          <w:b/>
          <w:sz w:val="28"/>
        </w:rPr>
        <w:t>第五章　法律责任</w:t>
      </w:r>
    </w:p>
    <w:p w14:paraId="667CB167"/>
    <w:p w14:paraId="4A01E621">
      <w:pPr>
        <w:ind w:firstLine="422"/>
      </w:pPr>
      <w:r>
        <w:rPr>
          <w:rFonts w:hint="eastAsia"/>
          <w:b/>
        </w:rPr>
        <w:t>第二十七条</w:t>
      </w:r>
      <w:r>
        <w:rPr>
          <w:rFonts w:hint="eastAsia"/>
        </w:rPr>
        <w:t>　违反本条例的下列行为，由市或者区、县人事局按照下列规定处罚：</w:t>
      </w:r>
    </w:p>
    <w:p w14:paraId="6E36A223">
      <w:pPr>
        <w:rPr>
          <w:rFonts w:hint="eastAsia" w:ascii="宋体" w:hAnsi="宋体" w:eastAsia="宋体" w:cs="宋体"/>
        </w:rPr>
      </w:pPr>
      <w:r>
        <w:rPr>
          <w:rFonts w:hint="eastAsia"/>
        </w:rPr>
        <w:t>（一）无《</w:t>
      </w:r>
      <w:r>
        <w:rPr>
          <w:rFonts w:hint="eastAsia" w:ascii="宋体" w:hAnsi="宋体" w:eastAsia="宋体" w:cs="宋体"/>
        </w:rPr>
        <w:t>许可证》从事人才市场中介服务活动的，责令立即停止活动，没收违法所得，并可处以1万元以上5万元以下的罚款；</w:t>
      </w:r>
    </w:p>
    <w:p w14:paraId="6164EECC">
      <w:pPr>
        <w:rPr>
          <w:rFonts w:hint="eastAsia" w:ascii="宋体" w:hAnsi="宋体" w:eastAsia="宋体" w:cs="宋体"/>
        </w:rPr>
      </w:pPr>
      <w:r>
        <w:rPr>
          <w:rFonts w:hint="eastAsia" w:ascii="宋体" w:hAnsi="宋体" w:eastAsia="宋体" w:cs="宋体"/>
        </w:rPr>
        <w:t>（二）未经批准举办人才招聘洽谈会的，责令停办，没收违法所得，并可处以2000元以上1万元以下的罚款，情节严重的吊销《许可证》；</w:t>
      </w:r>
    </w:p>
    <w:p w14:paraId="7A2F3E73">
      <w:pPr>
        <w:rPr>
          <w:rFonts w:hint="eastAsia" w:ascii="宋体" w:hAnsi="宋体" w:eastAsia="宋体" w:cs="宋体"/>
        </w:rPr>
      </w:pPr>
      <w:r>
        <w:rPr>
          <w:rFonts w:hint="eastAsia" w:ascii="宋体" w:hAnsi="宋体" w:eastAsia="宋体" w:cs="宋体"/>
        </w:rPr>
        <w:t>（三）人才市场中介服务机构超越《许可证》核准的业务范围经营、提供虚假信息、作出虚假承诺、违反规定从事流动人员人事档案管理及其相关业务的，予以警告，没收违法所得，并可处以2000元以上1万元以下的罚款，情节严重的吊销《许可证》；</w:t>
      </w:r>
    </w:p>
    <w:p w14:paraId="5F30F54B">
      <w:pPr>
        <w:rPr>
          <w:rFonts w:hint="eastAsia" w:ascii="宋体" w:hAnsi="宋体" w:eastAsia="宋体" w:cs="宋体"/>
        </w:rPr>
      </w:pPr>
      <w:r>
        <w:rPr>
          <w:rFonts w:hint="eastAsia" w:ascii="宋体" w:hAnsi="宋体" w:eastAsia="宋体" w:cs="宋体"/>
        </w:rPr>
        <w:t>（四）招聘单位在招聘活动中向求职应聘人员收费的，予以警告，责令退还违法收取的费用，无法退还的予以没收，情节严重的，可以处以1000元以上5000元以下的罚款；</w:t>
      </w:r>
    </w:p>
    <w:p w14:paraId="2C35A4BB">
      <w:pPr>
        <w:rPr>
          <w:rFonts w:hint="eastAsia" w:ascii="宋体" w:hAnsi="宋体" w:eastAsia="宋体" w:cs="宋体"/>
        </w:rPr>
      </w:pPr>
      <w:r>
        <w:rPr>
          <w:rFonts w:hint="eastAsia" w:ascii="宋体" w:hAnsi="宋体" w:eastAsia="宋体" w:cs="宋体"/>
        </w:rPr>
        <w:t>（五）招聘单位聘用本条例第二十一条规定的不得聘用的人员的，予以警告，并可处以1万元以上5万以下的罚款。</w:t>
      </w:r>
    </w:p>
    <w:p w14:paraId="7CC657EB">
      <w:r>
        <w:rPr>
          <w:rFonts w:hint="eastAsia"/>
        </w:rPr>
        <w:t>违反本条例规定，属于工商行政管理、物价、公安等管理职权的，由工商行政管理、物价、公安等管理机关依照有关规定处理。</w:t>
      </w:r>
    </w:p>
    <w:p w14:paraId="7BD200BE">
      <w:pPr>
        <w:ind w:firstLine="422"/>
      </w:pPr>
      <w:r>
        <w:rPr>
          <w:rFonts w:hint="eastAsia"/>
          <w:b/>
        </w:rPr>
        <w:t>第二十八条</w:t>
      </w:r>
      <w:r>
        <w:rPr>
          <w:rFonts w:hint="eastAsia"/>
        </w:rPr>
        <w:t>　违反本条例的下列行为，当事人应当按规定承担民事责任；构成犯罪的，依法追究刑事责任：</w:t>
      </w:r>
    </w:p>
    <w:p w14:paraId="105040DD">
      <w:r>
        <w:rPr>
          <w:rFonts w:hint="eastAsia"/>
        </w:rPr>
        <w:t>（一）新闻单位刊登、播放未经批准的人才招聘洽谈会启事，给当事人造成损失的，应当承担连带赔偿责任；</w:t>
      </w:r>
    </w:p>
    <w:p w14:paraId="3881A6CF">
      <w:r>
        <w:rPr>
          <w:rFonts w:hint="eastAsia"/>
        </w:rPr>
        <w:t>（二）招聘单位在人才招聘洽谈会以及与招聘洽谈会相关的招聘活动中违反有关规定，使应聘个人合法权益受到损害的，在招聘单位无法查找时，应聘个人可以向主办单位要求赔偿，主办单位应当承担连带赔偿责任；</w:t>
      </w:r>
    </w:p>
    <w:p w14:paraId="4BDF90FD">
      <w:r>
        <w:rPr>
          <w:rFonts w:hint="eastAsia"/>
        </w:rPr>
        <w:t>（三）招聘单位在招聘活动中侵犯其他单位的合法权益，给原用人单位造成经济损失的；</w:t>
      </w:r>
    </w:p>
    <w:p w14:paraId="7C44A41A">
      <w:r>
        <w:rPr>
          <w:rFonts w:hint="eastAsia"/>
        </w:rPr>
        <w:t>（四）求职应聘人员向招聘单位提供虚假情况和证明材料，给招聘单位造成损失的；</w:t>
      </w:r>
    </w:p>
    <w:p w14:paraId="352D8FE5">
      <w:r>
        <w:rPr>
          <w:rFonts w:hint="eastAsia"/>
        </w:rPr>
        <w:t>（五）求职应聘人员擅自离职或者泄露原单位商业秘密和技术秘密或者侵犯原单位知识产权，给原单位造成损失的；</w:t>
      </w:r>
    </w:p>
    <w:p w14:paraId="659CA1CC">
      <w:r>
        <w:rPr>
          <w:rFonts w:hint="eastAsia"/>
        </w:rPr>
        <w:t>（六）单位无正当理由拒绝为要求流动的人员办理手续，给个人造成损失的。</w:t>
      </w:r>
    </w:p>
    <w:p w14:paraId="4D300EF4">
      <w:pPr>
        <w:ind w:firstLine="422"/>
      </w:pPr>
      <w:r>
        <w:rPr>
          <w:rFonts w:hint="eastAsia"/>
          <w:b/>
        </w:rPr>
        <w:t>第二十九条</w:t>
      </w:r>
      <w:r>
        <w:rPr>
          <w:rFonts w:hint="eastAsia"/>
        </w:rPr>
        <w:t>　对违反本条例规定的个人和单位负责人，市和区、县人事局可以提请其所在单位或者上级主管部门给予行政处分。</w:t>
      </w:r>
    </w:p>
    <w:p w14:paraId="61C253B3">
      <w:pPr>
        <w:ind w:firstLine="422"/>
      </w:pPr>
      <w:r>
        <w:rPr>
          <w:rFonts w:hint="eastAsia"/>
          <w:b/>
        </w:rPr>
        <w:t>第三十条</w:t>
      </w:r>
      <w:r>
        <w:rPr>
          <w:rFonts w:hint="eastAsia"/>
        </w:rPr>
        <w:t>　人才市场管理部门工作人员在人才市场管理工作中玩忽职守、滥用职权、徇私舞弊的，由其所在单位或者上级主管部门给予行政处分；构成犯罪的，依法追究刑事责任。</w:t>
      </w:r>
    </w:p>
    <w:p w14:paraId="23B7C0E6">
      <w:pPr>
        <w:ind w:firstLine="0" w:firstLineChars="0"/>
        <w:jc w:val="center"/>
        <w:rPr>
          <w:b/>
          <w:sz w:val="28"/>
        </w:rPr>
      </w:pPr>
      <w:r>
        <w:rPr>
          <w:rFonts w:hint="eastAsia"/>
          <w:b/>
          <w:sz w:val="28"/>
        </w:rPr>
        <w:t>第六章　附　则</w:t>
      </w:r>
    </w:p>
    <w:p w14:paraId="0044E933"/>
    <w:p w14:paraId="25945C11">
      <w:pPr>
        <w:ind w:firstLine="422"/>
      </w:pPr>
      <w:r>
        <w:rPr>
          <w:rFonts w:hint="eastAsia"/>
          <w:b/>
        </w:rPr>
        <w:t>第三十一条</w:t>
      </w:r>
      <w:r>
        <w:rPr>
          <w:rFonts w:hint="eastAsia"/>
        </w:rPr>
        <w:t>　本条例具体应用中的问题，由市人事局负责解释。</w:t>
      </w:r>
    </w:p>
    <w:p w14:paraId="4C418872">
      <w:pPr>
        <w:ind w:firstLine="422"/>
      </w:pPr>
      <w:r>
        <w:rPr>
          <w:rFonts w:hint="eastAsia"/>
          <w:b/>
        </w:rPr>
        <w:t>第三十二条</w:t>
      </w:r>
      <w:r>
        <w:rPr>
          <w:rFonts w:hint="eastAsia"/>
        </w:rPr>
        <w:t>　本条</w:t>
      </w:r>
      <w:r>
        <w:rPr>
          <w:rFonts w:hint="eastAsia" w:ascii="宋体" w:hAnsi="宋体" w:eastAsia="宋体" w:cs="宋体"/>
        </w:rPr>
        <w:t>例自1998年1月1日起施行。1995年2月5日北京</w:t>
      </w:r>
      <w:r>
        <w:rPr>
          <w:rFonts w:hint="eastAsia"/>
        </w:rPr>
        <w:t>市人民政府发布的《北京市人才市场管理若干规定》同时废止。</w:t>
      </w:r>
    </w:p>
    <w:p w14:paraId="2E62C101">
      <w:pPr>
        <w:pStyle w:val="4"/>
        <w:pageBreakBefore/>
      </w:pPr>
      <w:bookmarkStart w:id="2130" w:name="_Toc426467065"/>
      <w:bookmarkStart w:id="2131" w:name="_Toc428781813"/>
      <w:bookmarkStart w:id="2132" w:name="_Toc428780510"/>
      <w:r>
        <w:rPr>
          <w:rFonts w:hint="eastAsia"/>
        </w:rPr>
        <w:t>北京市劳动力市场管理条例</w:t>
      </w:r>
      <w:bookmarkEnd w:id="2130"/>
      <w:bookmarkEnd w:id="2131"/>
      <w:bookmarkEnd w:id="2132"/>
    </w:p>
    <w:p w14:paraId="45B4BE94">
      <w:pPr>
        <w:ind w:left="630" w:leftChars="300" w:right="630" w:rightChars="300"/>
        <w:rPr>
          <w:rFonts w:ascii="楷体" w:hAnsi="楷体" w:eastAsia="楷体"/>
        </w:rPr>
      </w:pPr>
      <w:r>
        <w:rPr>
          <w:rFonts w:hint="eastAsia" w:ascii="楷体" w:hAnsi="楷体" w:eastAsia="楷体"/>
        </w:rPr>
        <w:t>（1998年7月31日北京市第十一届人民代表大会常务委员会第四次会议通过）</w:t>
      </w:r>
    </w:p>
    <w:p w14:paraId="1F21D44F"/>
    <w:p w14:paraId="3B53A6F1">
      <w:pPr>
        <w:ind w:firstLine="0" w:firstLineChars="0"/>
        <w:jc w:val="center"/>
        <w:rPr>
          <w:b/>
          <w:sz w:val="28"/>
        </w:rPr>
      </w:pPr>
      <w:r>
        <w:rPr>
          <w:rFonts w:hint="eastAsia"/>
          <w:b/>
          <w:sz w:val="28"/>
        </w:rPr>
        <w:t>第一章　总　则</w:t>
      </w:r>
    </w:p>
    <w:p w14:paraId="451BB409"/>
    <w:p w14:paraId="4D960808">
      <w:pPr>
        <w:ind w:firstLine="422"/>
      </w:pPr>
      <w:r>
        <w:rPr>
          <w:rFonts w:hint="eastAsia"/>
          <w:b/>
        </w:rPr>
        <w:t>第一条</w:t>
      </w:r>
      <w:r>
        <w:rPr>
          <w:rFonts w:hint="eastAsia"/>
        </w:rPr>
        <w:t xml:space="preserve">  为了加强劳动力市场管理，规范职业介绍行为，保护劳动力供需双方合法权益，促进就业，合理配置劳动力资源，根据本市实际情况，制定本条例。</w:t>
      </w:r>
    </w:p>
    <w:p w14:paraId="00946CAD">
      <w:pPr>
        <w:ind w:firstLine="422"/>
      </w:pPr>
      <w:r>
        <w:rPr>
          <w:rFonts w:hint="eastAsia"/>
          <w:b/>
        </w:rPr>
        <w:t>第二条</w:t>
      </w:r>
      <w:r>
        <w:rPr>
          <w:rFonts w:hint="eastAsia"/>
        </w:rPr>
        <w:t xml:space="preserve">  凡在本市行政区域内劳动力市场进行的择业求职、招聘用人、职业介绍活动，均应当遵守本条例。</w:t>
      </w:r>
    </w:p>
    <w:p w14:paraId="476FC9CB">
      <w:pPr>
        <w:ind w:firstLine="422"/>
      </w:pPr>
      <w:r>
        <w:rPr>
          <w:rFonts w:hint="eastAsia"/>
          <w:b/>
        </w:rPr>
        <w:t>第三条</w:t>
      </w:r>
      <w:r>
        <w:rPr>
          <w:rFonts w:hint="eastAsia"/>
        </w:rPr>
        <w:t xml:space="preserve">  本市各级人民政府应当积极推动经济发展，拓宽就业渠道，健全社会保障体系，促进劳动力市场的健康发展，维护社会稳定。</w:t>
      </w:r>
    </w:p>
    <w:p w14:paraId="73D901AF">
      <w:r>
        <w:rPr>
          <w:rFonts w:hint="eastAsia"/>
        </w:rPr>
        <w:t>劳动力市场的管理应当遵循市场配置资源的规律，坚持统筹规划、规范管理、有利于平等竞争和促进劳动力有序流动的原则。</w:t>
      </w:r>
    </w:p>
    <w:p w14:paraId="1420869C">
      <w:pPr>
        <w:ind w:firstLine="422"/>
      </w:pPr>
      <w:r>
        <w:rPr>
          <w:rFonts w:hint="eastAsia"/>
          <w:b/>
        </w:rPr>
        <w:t>第四条</w:t>
      </w:r>
      <w:r>
        <w:rPr>
          <w:rFonts w:hint="eastAsia"/>
        </w:rPr>
        <w:t xml:space="preserve">  市劳动行政部门主管本市劳动力市场的管理工作；区、县劳动行政部门负责本辖区内劳动力市场的管理工作。</w:t>
      </w:r>
    </w:p>
    <w:p w14:paraId="26BBA3D8">
      <w:pPr>
        <w:ind w:firstLine="422"/>
      </w:pPr>
      <w:r>
        <w:rPr>
          <w:rFonts w:hint="eastAsia"/>
          <w:b/>
        </w:rPr>
        <w:t>第五条</w:t>
      </w:r>
      <w:r>
        <w:rPr>
          <w:rFonts w:hint="eastAsia"/>
        </w:rPr>
        <w:t xml:space="preserve">  本市鼓励、支持和保护一切组织和个人对劳动力市场中的择业求职、招聘用人、职业介绍和行政管理活动进行监督，对违法行为进行检举和控告。</w:t>
      </w:r>
    </w:p>
    <w:p w14:paraId="7F2E6BE0"/>
    <w:p w14:paraId="4180FDCC">
      <w:pPr>
        <w:ind w:firstLine="0" w:firstLineChars="0"/>
        <w:jc w:val="center"/>
        <w:rPr>
          <w:b/>
          <w:sz w:val="28"/>
        </w:rPr>
      </w:pPr>
      <w:r>
        <w:rPr>
          <w:rFonts w:hint="eastAsia"/>
          <w:b/>
          <w:sz w:val="28"/>
        </w:rPr>
        <w:t>第二章　择业求职</w:t>
      </w:r>
    </w:p>
    <w:p w14:paraId="796CB6C0"/>
    <w:p w14:paraId="13061CC8">
      <w:pPr>
        <w:ind w:firstLine="422"/>
      </w:pPr>
      <w:r>
        <w:rPr>
          <w:rFonts w:hint="eastAsia"/>
          <w:b/>
        </w:rPr>
        <w:t>第六条</w:t>
      </w:r>
      <w:r>
        <w:rPr>
          <w:rFonts w:hint="eastAsia"/>
        </w:rPr>
        <w:t xml:space="preserve">  劳动者依法享有平等就业和选择职业的权利，不因民族、种族、性别、宗教信仰不同而受歧视。</w:t>
      </w:r>
    </w:p>
    <w:p w14:paraId="40ED4370">
      <w:pPr>
        <w:ind w:firstLine="422"/>
      </w:pPr>
      <w:r>
        <w:rPr>
          <w:rFonts w:hint="eastAsia"/>
          <w:b/>
        </w:rPr>
        <w:t>第七条</w:t>
      </w:r>
      <w:r>
        <w:rPr>
          <w:rFonts w:hint="eastAsia"/>
        </w:rPr>
        <w:t xml:space="preserve">  达到法定年龄，具有劳动能力的劳动者，可以通过职业介绍机构或者其他合法的渠道求职就业。</w:t>
      </w:r>
    </w:p>
    <w:p w14:paraId="346715C1">
      <w:pPr>
        <w:ind w:firstLine="422"/>
      </w:pPr>
      <w:r>
        <w:rPr>
          <w:rFonts w:hint="eastAsia"/>
          <w:b/>
        </w:rPr>
        <w:t>第八条</w:t>
      </w:r>
      <w:r>
        <w:rPr>
          <w:rFonts w:hint="eastAsia"/>
        </w:rPr>
        <w:t xml:space="preserve">  求职者职业技能未达到职业需求的，应当接受职业指导，参加职业技能培训，提高就业能力。</w:t>
      </w:r>
    </w:p>
    <w:p w14:paraId="1996AEFE">
      <w:pPr>
        <w:ind w:firstLine="422"/>
      </w:pPr>
      <w:r>
        <w:rPr>
          <w:rFonts w:hint="eastAsia"/>
          <w:b/>
        </w:rPr>
        <w:t>第九条</w:t>
      </w:r>
      <w:r>
        <w:rPr>
          <w:rFonts w:hint="eastAsia"/>
        </w:rPr>
        <w:t xml:space="preserve">  求职者应当如实介绍本人的有关情况，提供相应的证明文件和材料；其中与原单位签订了劳动合同的，应当按照合同约定妥善处理有关事宜。</w:t>
      </w:r>
    </w:p>
    <w:p w14:paraId="132B5BF3">
      <w:pPr>
        <w:ind w:firstLine="422"/>
      </w:pPr>
      <w:r>
        <w:rPr>
          <w:rFonts w:hint="eastAsia"/>
          <w:b/>
        </w:rPr>
        <w:t>第十条</w:t>
      </w:r>
      <w:r>
        <w:rPr>
          <w:rFonts w:hint="eastAsia"/>
        </w:rPr>
        <w:t xml:space="preserve">  失业人员和下岗人员应当按照劳动行政部门的规定办理登记手续，分别领取《北京市城镇失业人员求职证》（以下简称《求职证》）和《北京市企业职工下岗证》（以下简称《下岗证》）。</w:t>
      </w:r>
    </w:p>
    <w:p w14:paraId="1899176E">
      <w:r>
        <w:rPr>
          <w:rFonts w:hint="eastAsia"/>
        </w:rPr>
        <w:t>凭《求职证》或者《下岗证》求职的，可以享受有关待遇。</w:t>
      </w:r>
    </w:p>
    <w:p w14:paraId="278890D4">
      <w:pPr>
        <w:spacing w:line="280" w:lineRule="exact"/>
      </w:pPr>
    </w:p>
    <w:p w14:paraId="1418BB61">
      <w:pPr>
        <w:ind w:firstLine="0" w:firstLineChars="0"/>
        <w:jc w:val="center"/>
        <w:rPr>
          <w:b/>
          <w:sz w:val="28"/>
        </w:rPr>
      </w:pPr>
      <w:r>
        <w:rPr>
          <w:rFonts w:hint="eastAsia"/>
          <w:b/>
          <w:sz w:val="28"/>
        </w:rPr>
        <w:t>第三章　招聘用人</w:t>
      </w:r>
    </w:p>
    <w:p w14:paraId="2FCA3123">
      <w:pPr>
        <w:spacing w:line="280" w:lineRule="exact"/>
      </w:pPr>
    </w:p>
    <w:p w14:paraId="0FCD9774">
      <w:pPr>
        <w:ind w:firstLine="422"/>
      </w:pPr>
      <w:r>
        <w:rPr>
          <w:rFonts w:hint="eastAsia"/>
          <w:b/>
        </w:rPr>
        <w:t>第十一条</w:t>
      </w:r>
      <w:r>
        <w:rPr>
          <w:rFonts w:hint="eastAsia"/>
        </w:rPr>
        <w:t xml:space="preserve">  用人单位依法享有招聘用人自主权。</w:t>
      </w:r>
    </w:p>
    <w:p w14:paraId="20C4B2AB">
      <w:r>
        <w:rPr>
          <w:rFonts w:hint="eastAsia"/>
        </w:rPr>
        <w:t>新建单位在筹备建立期间招聘人员，必须经市劳动行政部门批准。</w:t>
      </w:r>
    </w:p>
    <w:p w14:paraId="263E8100">
      <w:pPr>
        <w:ind w:firstLine="422"/>
      </w:pPr>
      <w:r>
        <w:rPr>
          <w:rFonts w:hint="eastAsia"/>
          <w:b/>
        </w:rPr>
        <w:t>第十二条</w:t>
      </w:r>
      <w:r>
        <w:rPr>
          <w:rFonts w:hint="eastAsia"/>
        </w:rPr>
        <w:t xml:space="preserve">  招聘人员可以选择下列方式：</w:t>
      </w:r>
    </w:p>
    <w:p w14:paraId="31F19C8A">
      <w:r>
        <w:rPr>
          <w:rFonts w:hint="eastAsia"/>
        </w:rPr>
        <w:t>（一）委托职业介绍机构；</w:t>
      </w:r>
    </w:p>
    <w:p w14:paraId="37DDCEE0">
      <w:r>
        <w:rPr>
          <w:rFonts w:hint="eastAsia"/>
        </w:rPr>
        <w:t>（二）参加招聘洽谈会；</w:t>
      </w:r>
    </w:p>
    <w:p w14:paraId="2EBB4F9B">
      <w:r>
        <w:rPr>
          <w:rFonts w:hint="eastAsia"/>
        </w:rPr>
        <w:t>（三）通过新闻媒体刊登、播放启事；</w:t>
      </w:r>
    </w:p>
    <w:p w14:paraId="3F7A0E87">
      <w:r>
        <w:rPr>
          <w:rFonts w:hint="eastAsia"/>
        </w:rPr>
        <w:t>（四）查询职业介绍信息网络；</w:t>
      </w:r>
    </w:p>
    <w:p w14:paraId="2368459D">
      <w:r>
        <w:rPr>
          <w:rFonts w:hint="eastAsia"/>
        </w:rPr>
        <w:t>（五）法律、法规允许的其他方式。</w:t>
      </w:r>
    </w:p>
    <w:p w14:paraId="7FF97364">
      <w:pPr>
        <w:ind w:firstLine="422"/>
      </w:pPr>
      <w:r>
        <w:rPr>
          <w:rFonts w:hint="eastAsia"/>
          <w:b/>
        </w:rPr>
        <w:t>第十三条</w:t>
      </w:r>
      <w:r>
        <w:rPr>
          <w:rFonts w:hint="eastAsia"/>
        </w:rPr>
        <w:t xml:space="preserve">  用人单位向社会公开招聘人员，应当公布招聘简章。招聘简章应当包括用人单位基本情况、招聘岗位类别、用人条件和数量、工资和福利待遇等内容。</w:t>
      </w:r>
    </w:p>
    <w:p w14:paraId="298F4A49">
      <w:r>
        <w:rPr>
          <w:rFonts w:hint="eastAsia"/>
        </w:rPr>
        <w:t>用人单位应当与被聘用人员依法签订劳动合同。</w:t>
      </w:r>
    </w:p>
    <w:p w14:paraId="6FB95B19">
      <w:pPr>
        <w:ind w:firstLine="422"/>
      </w:pPr>
      <w:r>
        <w:rPr>
          <w:rFonts w:hint="eastAsia"/>
          <w:b/>
        </w:rPr>
        <w:t>第十四条</w:t>
      </w:r>
      <w:r>
        <w:rPr>
          <w:rFonts w:hint="eastAsia"/>
        </w:rPr>
        <w:t>　用人单位招聘国家规定必须持证上岗的技术工种、特种作业工种的人员，应当从具有相应职业资格证书的人员中聘用。</w:t>
      </w:r>
    </w:p>
    <w:p w14:paraId="6C4DD682">
      <w:pPr>
        <w:ind w:firstLine="422"/>
      </w:pPr>
      <w:r>
        <w:rPr>
          <w:rFonts w:hint="eastAsia"/>
          <w:b/>
        </w:rPr>
        <w:t>第十五条</w:t>
      </w:r>
      <w:r>
        <w:rPr>
          <w:rFonts w:hint="eastAsia"/>
        </w:rPr>
        <w:t>　用人单位招聘失业人员和初次就业人员，应当自与聘用人员确立劳动关系之日起</w:t>
      </w:r>
      <w:r>
        <w:rPr>
          <w:rFonts w:hint="eastAsia" w:ascii="宋体" w:hAnsi="宋体" w:eastAsia="宋体" w:cs="宋体"/>
        </w:rPr>
        <w:t>30</w:t>
      </w:r>
      <w:r>
        <w:rPr>
          <w:rFonts w:hint="eastAsia"/>
        </w:rPr>
        <w:t>日内，到市劳动行政部门或者所在区、县劳动行政部门办理备案手续。</w:t>
      </w:r>
    </w:p>
    <w:p w14:paraId="133BA862">
      <w:pPr>
        <w:ind w:firstLine="422"/>
      </w:pPr>
      <w:r>
        <w:rPr>
          <w:rFonts w:hint="eastAsia"/>
          <w:b/>
        </w:rPr>
        <w:t>第十六条</w:t>
      </w:r>
      <w:r>
        <w:rPr>
          <w:rFonts w:hint="eastAsia"/>
        </w:rPr>
        <w:t>　禁止用人单位的下列行为：</w:t>
      </w:r>
    </w:p>
    <w:p w14:paraId="6E905633">
      <w:r>
        <w:rPr>
          <w:rFonts w:hint="eastAsia"/>
        </w:rPr>
        <w:t>（一）提供虚假用人信息；</w:t>
      </w:r>
    </w:p>
    <w:p w14:paraId="78569081">
      <w:r>
        <w:rPr>
          <w:rFonts w:hint="eastAsia"/>
        </w:rPr>
        <w:t>（二）向求职者收取费用；</w:t>
      </w:r>
    </w:p>
    <w:p w14:paraId="283860B4">
      <w:r>
        <w:rPr>
          <w:rFonts w:hint="eastAsia"/>
        </w:rPr>
        <w:t>（三）以招聘为名侵害他人合法权益；</w:t>
      </w:r>
    </w:p>
    <w:p w14:paraId="17B86A07">
      <w:r>
        <w:rPr>
          <w:rFonts w:hint="eastAsia"/>
        </w:rPr>
        <w:t>（四）法律、法规禁止的其他行为。</w:t>
      </w:r>
    </w:p>
    <w:p w14:paraId="3B07FF5B"/>
    <w:p w14:paraId="4EB4E6F9">
      <w:pPr>
        <w:ind w:firstLine="0" w:firstLineChars="0"/>
        <w:jc w:val="center"/>
        <w:rPr>
          <w:b/>
          <w:sz w:val="28"/>
        </w:rPr>
      </w:pPr>
      <w:r>
        <w:rPr>
          <w:rFonts w:hint="eastAsia"/>
          <w:b/>
          <w:sz w:val="28"/>
        </w:rPr>
        <w:t>第四章　职业介绍</w:t>
      </w:r>
    </w:p>
    <w:p w14:paraId="766EB5C0"/>
    <w:p w14:paraId="4BD54F63">
      <w:pPr>
        <w:ind w:firstLine="422"/>
      </w:pPr>
      <w:r>
        <w:rPr>
          <w:rFonts w:hint="eastAsia"/>
          <w:b/>
        </w:rPr>
        <w:t>第十七条</w:t>
      </w:r>
      <w:r>
        <w:rPr>
          <w:rFonts w:hint="eastAsia"/>
        </w:rPr>
        <w:t>　法人、其他组织和公民可以依法开办职业介绍机构。</w:t>
      </w:r>
    </w:p>
    <w:p w14:paraId="13BB9D08">
      <w:pPr>
        <w:ind w:firstLine="422"/>
      </w:pPr>
      <w:r>
        <w:rPr>
          <w:rFonts w:hint="eastAsia"/>
          <w:b/>
        </w:rPr>
        <w:t>第十八条</w:t>
      </w:r>
      <w:r>
        <w:rPr>
          <w:rFonts w:hint="eastAsia"/>
        </w:rPr>
        <w:t>　开办职业介绍机构应当具备下列条件：</w:t>
      </w:r>
    </w:p>
    <w:p w14:paraId="6BD3AD6A">
      <w:bookmarkStart w:id="2133" w:name="_Toc428780511"/>
      <w:r>
        <w:rPr>
          <w:rFonts w:hint="eastAsia"/>
        </w:rPr>
        <w:t>（一）有明确的职业介绍业务范围；</w:t>
      </w:r>
      <w:bookmarkEnd w:id="2133"/>
    </w:p>
    <w:p w14:paraId="7566306F">
      <w:r>
        <w:rPr>
          <w:rFonts w:hint="eastAsia"/>
        </w:rPr>
        <w:t>（二）有与业务相适应的固定场所、办公设施、经费和专职工作人员；</w:t>
      </w:r>
    </w:p>
    <w:p w14:paraId="38666684">
      <w:r>
        <w:rPr>
          <w:rFonts w:hint="eastAsia"/>
        </w:rPr>
        <w:t>（三）有熟悉有关法律、法规、劳动政策，取得劳动行政部门核发的岗位资格证书的从事职业介绍的业务人员；</w:t>
      </w:r>
    </w:p>
    <w:p w14:paraId="267C24BA">
      <w:r>
        <w:rPr>
          <w:rFonts w:hint="eastAsia"/>
        </w:rPr>
        <w:t>（四）有规范的职业介绍管理制度；</w:t>
      </w:r>
    </w:p>
    <w:p w14:paraId="44EBD15E">
      <w:r>
        <w:rPr>
          <w:rFonts w:hint="eastAsia"/>
        </w:rPr>
        <w:t>（五）法律、法规规定的其他条件。</w:t>
      </w:r>
    </w:p>
    <w:p w14:paraId="66207A57">
      <w:pPr>
        <w:ind w:firstLine="422"/>
      </w:pPr>
      <w:r>
        <w:rPr>
          <w:rFonts w:hint="eastAsia"/>
          <w:b/>
        </w:rPr>
        <w:t>第十九条</w:t>
      </w:r>
      <w:r>
        <w:rPr>
          <w:rFonts w:hint="eastAsia"/>
        </w:rPr>
        <w:t>　开办职业介绍机构，必须向市劳动行政部门提出申请。</w:t>
      </w:r>
    </w:p>
    <w:p w14:paraId="37C1063E">
      <w:r>
        <w:rPr>
          <w:rFonts w:hint="eastAsia"/>
        </w:rPr>
        <w:t>市劳动行政部门自接到申请之日起</w:t>
      </w:r>
      <w:r>
        <w:rPr>
          <w:rFonts w:hint="eastAsia" w:ascii="宋体" w:hAnsi="宋体" w:eastAsia="宋体" w:cs="宋体"/>
        </w:rPr>
        <w:t>30</w:t>
      </w:r>
      <w:r>
        <w:rPr>
          <w:rFonts w:hint="eastAsia"/>
        </w:rPr>
        <w:t>日内，对符合规定条件的予以批准，发给《北京市职业介绍许可证》（以下简称《许可证》）；对不符合规定条件的不予批准，并说明理由。《许可证》由市劳动行政部门统一制作。</w:t>
      </w:r>
    </w:p>
    <w:p w14:paraId="70138E80">
      <w:pPr>
        <w:ind w:firstLine="422"/>
      </w:pPr>
      <w:r>
        <w:rPr>
          <w:rFonts w:hint="eastAsia"/>
          <w:b/>
        </w:rPr>
        <w:t>第二十条</w:t>
      </w:r>
      <w:r>
        <w:rPr>
          <w:rFonts w:hint="eastAsia"/>
        </w:rPr>
        <w:t>　市劳动行政部门对《许可证》实行年审制度。</w:t>
      </w:r>
    </w:p>
    <w:p w14:paraId="13151CEA">
      <w:r>
        <w:rPr>
          <w:rFonts w:hint="eastAsia"/>
        </w:rPr>
        <w:t>职业介绍业务终止或者《许可证》变更，应当到原发证机关办理有关手续。</w:t>
      </w:r>
    </w:p>
    <w:p w14:paraId="407D26C8">
      <w:pPr>
        <w:ind w:firstLine="422"/>
      </w:pPr>
      <w:r>
        <w:rPr>
          <w:rFonts w:hint="eastAsia"/>
          <w:b/>
        </w:rPr>
        <w:t>第二十一条</w:t>
      </w:r>
      <w:r>
        <w:rPr>
          <w:rFonts w:hint="eastAsia"/>
        </w:rPr>
        <w:t>　职业介绍机构可以从事下列业务：</w:t>
      </w:r>
    </w:p>
    <w:p w14:paraId="0EEC4E29">
      <w:r>
        <w:rPr>
          <w:rFonts w:hint="eastAsia"/>
        </w:rPr>
        <w:t>（一）求职、用人登记，用人推荐；</w:t>
      </w:r>
    </w:p>
    <w:p w14:paraId="796F44DA">
      <w:r>
        <w:rPr>
          <w:rFonts w:hint="eastAsia"/>
        </w:rPr>
        <w:t>（二）职业指导、咨询服务；</w:t>
      </w:r>
    </w:p>
    <w:p w14:paraId="73B8E8DD">
      <w:r>
        <w:rPr>
          <w:rFonts w:hint="eastAsia"/>
        </w:rPr>
        <w:t>（三）职业供求、职业培训信息的收集和发布；</w:t>
      </w:r>
    </w:p>
    <w:p w14:paraId="42C8C63C">
      <w:r>
        <w:rPr>
          <w:rFonts w:hint="eastAsia"/>
        </w:rPr>
        <w:t>（四）组织职业招聘洽谈会；</w:t>
      </w:r>
    </w:p>
    <w:p w14:paraId="493CDB8B">
      <w:r>
        <w:rPr>
          <w:rFonts w:hint="eastAsia"/>
        </w:rPr>
        <w:t>（五）介绍地区之间、单位之间的劳务输出与输入；</w:t>
      </w:r>
    </w:p>
    <w:p w14:paraId="122365DE">
      <w:r>
        <w:rPr>
          <w:rFonts w:hint="eastAsia"/>
        </w:rPr>
        <w:t>（六）介绍家政服务人员；</w:t>
      </w:r>
    </w:p>
    <w:p w14:paraId="665E5851">
      <w:r>
        <w:rPr>
          <w:rFonts w:hint="eastAsia"/>
        </w:rPr>
        <w:t>（七）与职业介绍有关的其他业务。</w:t>
      </w:r>
    </w:p>
    <w:p w14:paraId="4ED110CE">
      <w:r>
        <w:rPr>
          <w:rFonts w:hint="eastAsia"/>
        </w:rPr>
        <w:t>职业介绍机构从事的业务范围，必须与劳动行政部门批准的业务范围相一致。</w:t>
      </w:r>
    </w:p>
    <w:p w14:paraId="465E992A">
      <w:pPr>
        <w:ind w:firstLine="422"/>
      </w:pPr>
      <w:r>
        <w:rPr>
          <w:rFonts w:hint="eastAsia"/>
          <w:b/>
        </w:rPr>
        <w:t>第二十二条</w:t>
      </w:r>
      <w:r>
        <w:rPr>
          <w:rFonts w:hint="eastAsia"/>
        </w:rPr>
        <w:t>　市和区、县劳动行政部门指定的职业介绍机构，可以从事人事档案管理及相关业务。</w:t>
      </w:r>
    </w:p>
    <w:p w14:paraId="6AF7F7F6">
      <w:pPr>
        <w:ind w:firstLine="422"/>
        <w:rPr>
          <w:rFonts w:hint="eastAsia" w:ascii="宋体" w:hAnsi="宋体" w:eastAsia="宋体" w:cs="宋体"/>
        </w:rPr>
      </w:pPr>
      <w:r>
        <w:rPr>
          <w:rFonts w:hint="eastAsia"/>
          <w:b/>
        </w:rPr>
        <w:t>第二十三条</w:t>
      </w:r>
      <w:r>
        <w:rPr>
          <w:rFonts w:hint="eastAsia"/>
        </w:rPr>
        <w:t>　职业介绍机构组织各</w:t>
      </w:r>
      <w:r>
        <w:rPr>
          <w:rFonts w:hint="eastAsia" w:ascii="宋体" w:hAnsi="宋体" w:eastAsia="宋体" w:cs="宋体"/>
        </w:rPr>
        <w:t>类职业招聘洽谈会，应当向市劳动行政部门提出书面申请，市劳动行政部门自接到申请之日起10日内作出批准或者不予批准的决定；批准的，发给《招聘洽谈会批准书》；不予批准的，说明理由。</w:t>
      </w:r>
    </w:p>
    <w:p w14:paraId="56F0305F">
      <w:r>
        <w:rPr>
          <w:rFonts w:hint="eastAsia" w:ascii="宋体" w:hAnsi="宋体" w:eastAsia="宋体" w:cs="宋体"/>
        </w:rPr>
        <w:t>职业介绍机构应当持《招聘洽谈会批准书》向市公安部门报送安全保卫方案，市公安部门自接到安全保卫方案之日起10日内，对符合条件的予以批准；对不符</w:t>
      </w:r>
      <w:r>
        <w:rPr>
          <w:rFonts w:hint="eastAsia"/>
        </w:rPr>
        <w:t>合条件的不予批准，并说明理由。</w:t>
      </w:r>
    </w:p>
    <w:p w14:paraId="65C5DD48">
      <w:r>
        <w:rPr>
          <w:rFonts w:hint="eastAsia"/>
        </w:rPr>
        <w:t>未经劳动行政部门和公安部门批准，职业介绍机构不得举办职业招聘洽谈会，也不得通过新闻媒体刊登、播放职业招聘洽谈会启事。</w:t>
      </w:r>
    </w:p>
    <w:p w14:paraId="3CB785E4">
      <w:pPr>
        <w:ind w:firstLine="422"/>
      </w:pPr>
      <w:r>
        <w:rPr>
          <w:rFonts w:hint="eastAsia"/>
          <w:b/>
        </w:rPr>
        <w:t>第二十四条</w:t>
      </w:r>
      <w:r>
        <w:rPr>
          <w:rFonts w:hint="eastAsia"/>
        </w:rPr>
        <w:t>　职业介绍机构应当在服务场所的明显位置悬挂《许可证》，公开服务内容、程序和管理制度，公布收费项目和标准。</w:t>
      </w:r>
    </w:p>
    <w:p w14:paraId="76C8A4B1">
      <w:pPr>
        <w:ind w:firstLine="422"/>
      </w:pPr>
      <w:r>
        <w:rPr>
          <w:rFonts w:hint="eastAsia"/>
          <w:b/>
        </w:rPr>
        <w:t>第二十五条</w:t>
      </w:r>
      <w:r>
        <w:rPr>
          <w:rFonts w:hint="eastAsia"/>
        </w:rPr>
        <w:t>　禁止职业介绍机构的下列行为：</w:t>
      </w:r>
    </w:p>
    <w:p w14:paraId="5E6391E4">
      <w:r>
        <w:rPr>
          <w:rFonts w:hint="eastAsia"/>
        </w:rPr>
        <w:t>（一）超许可范围经营；</w:t>
      </w:r>
    </w:p>
    <w:p w14:paraId="7B6F7F13">
      <w:r>
        <w:rPr>
          <w:rFonts w:hint="eastAsia"/>
        </w:rPr>
        <w:t>（二）提供虚假信息；</w:t>
      </w:r>
    </w:p>
    <w:p w14:paraId="67A9E592">
      <w:r>
        <w:rPr>
          <w:rFonts w:hint="eastAsia"/>
        </w:rPr>
        <w:t>（三）作虚假承诺；</w:t>
      </w:r>
    </w:p>
    <w:p w14:paraId="3983FFC9">
      <w:r>
        <w:rPr>
          <w:rFonts w:hint="eastAsia"/>
        </w:rPr>
        <w:t>（四）擅自设置收费项目、提高收费标准；</w:t>
      </w:r>
    </w:p>
    <w:p w14:paraId="62A1B917">
      <w:r>
        <w:rPr>
          <w:rFonts w:hint="eastAsia"/>
        </w:rPr>
        <w:t>（五）出租、出借、转让、涂改《许可证）。</w:t>
      </w:r>
    </w:p>
    <w:p w14:paraId="49C02E42"/>
    <w:p w14:paraId="04D95595">
      <w:pPr>
        <w:ind w:firstLine="0" w:firstLineChars="0"/>
        <w:jc w:val="center"/>
        <w:rPr>
          <w:b/>
          <w:sz w:val="28"/>
        </w:rPr>
      </w:pPr>
      <w:r>
        <w:rPr>
          <w:rFonts w:hint="eastAsia"/>
          <w:b/>
          <w:sz w:val="28"/>
        </w:rPr>
        <w:t>第五章　调控市场与促进就业</w:t>
      </w:r>
    </w:p>
    <w:p w14:paraId="306EC2E3"/>
    <w:p w14:paraId="4A2CDFA3">
      <w:pPr>
        <w:ind w:firstLine="422"/>
      </w:pPr>
      <w:r>
        <w:rPr>
          <w:rFonts w:hint="eastAsia"/>
          <w:b/>
        </w:rPr>
        <w:t>第二十六条</w:t>
      </w:r>
      <w:r>
        <w:rPr>
          <w:rFonts w:hint="eastAsia"/>
        </w:rPr>
        <w:t>　本市各级人民政府应当加强对劳动力市场的调控，制定政策，鼓励用人单位聘用下岗、失业人员，支持下岗、失业人员自愿组织起来就业和自谋职业。</w:t>
      </w:r>
    </w:p>
    <w:p w14:paraId="5BE77756">
      <w:pPr>
        <w:ind w:firstLine="422"/>
      </w:pPr>
      <w:r>
        <w:rPr>
          <w:rFonts w:hint="eastAsia"/>
          <w:b/>
        </w:rPr>
        <w:t>第二十七条</w:t>
      </w:r>
      <w:r>
        <w:rPr>
          <w:rFonts w:hint="eastAsia"/>
        </w:rPr>
        <w:t>　劳动行政部门应当实行劳动力供需报告制度，加强劳动力市场信息网络的建设和管理，组织开展职业供需预测，发布职业供需信息，引导劳动力合理流动。</w:t>
      </w:r>
    </w:p>
    <w:p w14:paraId="718D3E11">
      <w:pPr>
        <w:ind w:firstLine="422"/>
      </w:pPr>
      <w:r>
        <w:rPr>
          <w:rFonts w:hint="eastAsia"/>
          <w:b/>
        </w:rPr>
        <w:t>第二十八条</w:t>
      </w:r>
      <w:r>
        <w:rPr>
          <w:rFonts w:hint="eastAsia"/>
        </w:rPr>
        <w:t>　本市各级人民政府应当加强劳动力市场的建设，发展多种类型的职业介绍机构，为劳动者就业提供服务。</w:t>
      </w:r>
    </w:p>
    <w:p w14:paraId="3BE2B63C">
      <w:r>
        <w:rPr>
          <w:rFonts w:hint="eastAsia"/>
        </w:rPr>
        <w:t>劳动行政部门指定的职业介绍机构对持有《求职证》、《下岗证》的人员，免费提供职业咨询、职业指导和职业介绍。</w:t>
      </w:r>
    </w:p>
    <w:p w14:paraId="16B528BA">
      <w:pPr>
        <w:ind w:firstLine="422"/>
      </w:pPr>
      <w:r>
        <w:rPr>
          <w:rFonts w:hint="eastAsia"/>
          <w:b/>
        </w:rPr>
        <w:t>第二十九条</w:t>
      </w:r>
      <w:r>
        <w:rPr>
          <w:rFonts w:hint="eastAsia"/>
        </w:rPr>
        <w:t>　本市各级人民政府应当支持和鼓励社会各方面依法开办职业培训机构，为劳动者提高就业能力服务。</w:t>
      </w:r>
    </w:p>
    <w:p w14:paraId="4C41696B">
      <w:r>
        <w:rPr>
          <w:rFonts w:hint="eastAsia"/>
        </w:rPr>
        <w:t>劳动行政部门指定的职业培训机构对持有《求职证》、《下岗证》的人员，免费提供一次职业培训；对培训结业的人员，由劳动行政部门指定的职业技能鉴定机构免费为其进行职业技能鉴定。</w:t>
      </w:r>
    </w:p>
    <w:p w14:paraId="727D0F7E">
      <w:pPr>
        <w:ind w:firstLine="422"/>
      </w:pPr>
      <w:r>
        <w:rPr>
          <w:rFonts w:hint="eastAsia"/>
          <w:b/>
        </w:rPr>
        <w:t>第三十条</w:t>
      </w:r>
      <w:r>
        <w:rPr>
          <w:rFonts w:hint="eastAsia"/>
        </w:rPr>
        <w:t>　本市各级人民政府应当支持和鼓励有下岗职工的国有企业建立再就业服务机构，以保障下岗职工的基本生活，组织下岗职工进行职业培训，提供就业指导，帮助下岗职工实现再就业。</w:t>
      </w:r>
    </w:p>
    <w:p w14:paraId="7D051B8B">
      <w:pPr>
        <w:ind w:firstLine="422"/>
      </w:pPr>
      <w:r>
        <w:rPr>
          <w:rFonts w:hint="eastAsia"/>
          <w:b/>
        </w:rPr>
        <w:t>第三十一条</w:t>
      </w:r>
      <w:r>
        <w:rPr>
          <w:rFonts w:hint="eastAsia"/>
        </w:rPr>
        <w:t>　市人民政府应当根据就业形势的需要，制定促进就业的政策，对在就业工作中作出显著成绩的单位和个人，给予表彰和奖励。</w:t>
      </w:r>
    </w:p>
    <w:p w14:paraId="6CBD3848"/>
    <w:p w14:paraId="1179C7B9">
      <w:pPr>
        <w:ind w:firstLine="0" w:firstLineChars="0"/>
        <w:jc w:val="center"/>
        <w:rPr>
          <w:b/>
          <w:sz w:val="28"/>
        </w:rPr>
      </w:pPr>
      <w:r>
        <w:rPr>
          <w:rFonts w:hint="eastAsia"/>
          <w:b/>
          <w:sz w:val="28"/>
        </w:rPr>
        <w:t>第六章　法律责任</w:t>
      </w:r>
    </w:p>
    <w:p w14:paraId="13BE7F06"/>
    <w:p w14:paraId="1F37AD19">
      <w:pPr>
        <w:ind w:firstLine="422"/>
      </w:pPr>
      <w:r>
        <w:rPr>
          <w:rFonts w:hint="eastAsia"/>
          <w:b/>
        </w:rPr>
        <w:t>第三十二条</w:t>
      </w:r>
      <w:r>
        <w:rPr>
          <w:rFonts w:hint="eastAsia"/>
        </w:rPr>
        <w:t>　违反本条例第十一条第二款规定，新建单位在筹备建立期间未经批准擅自招聘人员的，由劳动行政部门责令限期改正；逾期不</w:t>
      </w:r>
      <w:r>
        <w:rPr>
          <w:rFonts w:hint="eastAsia" w:ascii="宋体" w:hAnsi="宋体" w:eastAsia="宋体" w:cs="宋体"/>
        </w:rPr>
        <w:t>改正的，处以2000元以上1</w:t>
      </w:r>
      <w:r>
        <w:rPr>
          <w:rFonts w:hint="eastAsia"/>
        </w:rPr>
        <w:t>万元以下的罚款。</w:t>
      </w:r>
    </w:p>
    <w:p w14:paraId="3CA66E68">
      <w:pPr>
        <w:ind w:firstLine="422"/>
      </w:pPr>
      <w:r>
        <w:rPr>
          <w:rFonts w:hint="eastAsia"/>
          <w:b/>
        </w:rPr>
        <w:t>第三十三条</w:t>
      </w:r>
      <w:r>
        <w:rPr>
          <w:rFonts w:hint="eastAsia"/>
        </w:rPr>
        <w:t>　违反本条例第十五条规定，招聘失业人员和初次就业人员未按期办理备案手续的，由劳动行政部门责令限期改正；逾期不改正的，处以</w:t>
      </w:r>
      <w:r>
        <w:rPr>
          <w:rFonts w:hint="eastAsia" w:ascii="宋体" w:hAnsi="宋体" w:eastAsia="宋体" w:cs="宋体"/>
        </w:rPr>
        <w:t>2000元以下的罚</w:t>
      </w:r>
      <w:r>
        <w:rPr>
          <w:rFonts w:hint="eastAsia"/>
        </w:rPr>
        <w:t>款。</w:t>
      </w:r>
    </w:p>
    <w:p w14:paraId="160EF39E">
      <w:pPr>
        <w:ind w:firstLine="422"/>
      </w:pPr>
      <w:r>
        <w:rPr>
          <w:rFonts w:hint="eastAsia"/>
          <w:b/>
        </w:rPr>
        <w:t>第三十四条</w:t>
      </w:r>
      <w:r>
        <w:rPr>
          <w:rFonts w:hint="eastAsia"/>
        </w:rPr>
        <w:t>　违反本条例第十六条第（一）项、第（二）项、第（三）项规定的禁止行为的，由劳动行政部门没收违法所得，并可处</w:t>
      </w:r>
      <w:r>
        <w:rPr>
          <w:rFonts w:hint="eastAsia" w:ascii="宋体" w:hAnsi="宋体" w:eastAsia="宋体" w:cs="宋体"/>
        </w:rPr>
        <w:t>以2000元以上1万元以下的罚</w:t>
      </w:r>
      <w:r>
        <w:rPr>
          <w:rFonts w:hint="eastAsia"/>
        </w:rPr>
        <w:t>款。</w:t>
      </w:r>
    </w:p>
    <w:p w14:paraId="54C476E7">
      <w:pPr>
        <w:ind w:firstLine="422"/>
      </w:pPr>
      <w:r>
        <w:rPr>
          <w:rFonts w:hint="eastAsia"/>
          <w:b/>
        </w:rPr>
        <w:t>第三十五条</w:t>
      </w:r>
      <w:r>
        <w:rPr>
          <w:rFonts w:hint="eastAsia"/>
        </w:rPr>
        <w:t>　违反本条例第十九条规定，未取得《许可证》从事职业介绍活动的，由劳动行政部门责令停止职业介绍活动，没收违法所得，并可处以</w:t>
      </w:r>
      <w:r>
        <w:rPr>
          <w:rFonts w:hint="eastAsia" w:ascii="宋体" w:hAnsi="宋体" w:eastAsia="宋体" w:cs="宋体"/>
        </w:rPr>
        <w:t>1万元以上5万元</w:t>
      </w:r>
      <w:r>
        <w:rPr>
          <w:rFonts w:hint="eastAsia"/>
        </w:rPr>
        <w:t>以下的罚款。</w:t>
      </w:r>
    </w:p>
    <w:p w14:paraId="2200BC67">
      <w:pPr>
        <w:ind w:firstLine="422"/>
      </w:pPr>
      <w:r>
        <w:rPr>
          <w:rFonts w:hint="eastAsia"/>
          <w:b/>
        </w:rPr>
        <w:t>第三十六条</w:t>
      </w:r>
      <w:r>
        <w:rPr>
          <w:rFonts w:hint="eastAsia"/>
        </w:rPr>
        <w:t>　违反本条例第二十条第二款规定，《许可证》变更未办理手续的，由劳动行政部门责令限期改正；逾期不改正的，处</w:t>
      </w:r>
      <w:r>
        <w:rPr>
          <w:rFonts w:hint="eastAsia" w:ascii="宋体" w:hAnsi="宋体" w:eastAsia="宋体" w:cs="宋体"/>
        </w:rPr>
        <w:t>以2000元以上1万</w:t>
      </w:r>
      <w:r>
        <w:rPr>
          <w:rFonts w:hint="eastAsia"/>
        </w:rPr>
        <w:t>元以下的罚款。</w:t>
      </w:r>
    </w:p>
    <w:p w14:paraId="39C72D1B">
      <w:pPr>
        <w:ind w:firstLine="422"/>
        <w:rPr>
          <w:rFonts w:hint="eastAsia" w:ascii="宋体" w:hAnsi="宋体" w:eastAsia="宋体" w:cs="宋体"/>
        </w:rPr>
      </w:pPr>
      <w:r>
        <w:rPr>
          <w:rFonts w:hint="eastAsia"/>
          <w:b/>
        </w:rPr>
        <w:t>第三十七条</w:t>
      </w:r>
      <w:r>
        <w:rPr>
          <w:rFonts w:hint="eastAsia"/>
        </w:rPr>
        <w:t>　违反本条例第二十三条规定，未经劳动行政部门和公安部门批准举办各类职业招聘洽谈会的，由劳动行政部门或者公安部</w:t>
      </w:r>
      <w:r>
        <w:rPr>
          <w:rFonts w:hint="eastAsia" w:ascii="宋体" w:hAnsi="宋体" w:eastAsia="宋体" w:cs="宋体"/>
        </w:rPr>
        <w:t>门责令停办，没收违法所得，并可处以2000元以上1万元以下的罚款；情节严重的，由劳动行政部门吊销《许可证》。</w:t>
      </w:r>
    </w:p>
    <w:p w14:paraId="264A3A72">
      <w:pPr>
        <w:rPr>
          <w:rFonts w:hint="eastAsia" w:ascii="宋体" w:hAnsi="宋体" w:eastAsia="宋体" w:cs="宋体"/>
        </w:rPr>
      </w:pPr>
      <w:r>
        <w:rPr>
          <w:rFonts w:hint="eastAsia" w:ascii="宋体" w:hAnsi="宋体" w:eastAsia="宋体" w:cs="宋体"/>
        </w:rPr>
        <w:t>未经劳动行政部门批准，通过新闻媒体刊登、播放招聘洽谈会启事的，由劳动行政部门处以2000元以下的罚款。</w:t>
      </w:r>
    </w:p>
    <w:p w14:paraId="3BF480DE">
      <w:pPr>
        <w:ind w:firstLine="422"/>
      </w:pPr>
      <w:r>
        <w:rPr>
          <w:rFonts w:hint="eastAsia"/>
          <w:b/>
        </w:rPr>
        <w:t>第三十八条</w:t>
      </w:r>
      <w:r>
        <w:rPr>
          <w:rFonts w:hint="eastAsia"/>
        </w:rPr>
        <w:t>　违反本条例第二十五条规定的禁止行为的，由劳动行政部门予以警告，没收违法所得，并可处</w:t>
      </w:r>
      <w:r>
        <w:rPr>
          <w:rFonts w:hint="eastAsia" w:ascii="宋体" w:hAnsi="宋体" w:eastAsia="宋体" w:cs="宋体"/>
        </w:rPr>
        <w:t>以2000元以上1万元以下的罚款；情节严重的，吊销《许可证》</w:t>
      </w:r>
      <w:r>
        <w:rPr>
          <w:rFonts w:hint="eastAsia"/>
        </w:rPr>
        <w:t>。</w:t>
      </w:r>
    </w:p>
    <w:p w14:paraId="23DF739F">
      <w:pPr>
        <w:ind w:firstLine="422"/>
      </w:pPr>
      <w:r>
        <w:rPr>
          <w:rFonts w:hint="eastAsia"/>
          <w:b/>
        </w:rPr>
        <w:t>第三十九条</w:t>
      </w:r>
      <w:r>
        <w:rPr>
          <w:rFonts w:hint="eastAsia"/>
        </w:rPr>
        <w:t>　违反本条例规定，给他人民事权益造成损害的，依法承担民事责任。</w:t>
      </w:r>
    </w:p>
    <w:p w14:paraId="1299A26B">
      <w:pPr>
        <w:ind w:firstLine="422"/>
      </w:pPr>
      <w:r>
        <w:rPr>
          <w:rFonts w:hint="eastAsia"/>
          <w:b/>
        </w:rPr>
        <w:t>第四十条</w:t>
      </w:r>
      <w:r>
        <w:rPr>
          <w:rFonts w:hint="eastAsia"/>
        </w:rPr>
        <w:t>　从事劳动力市场管理的国家工作人员玩忽职守、滥用职权、徇私舞弊、索贿受贿，构成犯罪的，依法追究刑事责任；不构成犯罪的，给予行政处分。</w:t>
      </w:r>
    </w:p>
    <w:p w14:paraId="5CB19BD7">
      <w:pPr>
        <w:ind w:firstLine="422"/>
      </w:pPr>
      <w:r>
        <w:rPr>
          <w:rFonts w:hint="eastAsia"/>
          <w:b/>
        </w:rPr>
        <w:t>第四十一条</w:t>
      </w:r>
      <w:r>
        <w:rPr>
          <w:rFonts w:hint="eastAsia"/>
        </w:rPr>
        <w:t>　求职者、用人单位、职业介绍机构之间发生争议，可以协商解决，或者向劳动行政部门申请调解，也可以直接向人民法院提起诉讼。</w:t>
      </w:r>
    </w:p>
    <w:p w14:paraId="37B9549F"/>
    <w:p w14:paraId="3811D272">
      <w:pPr>
        <w:ind w:firstLine="0" w:firstLineChars="0"/>
        <w:jc w:val="center"/>
        <w:rPr>
          <w:b/>
          <w:sz w:val="28"/>
        </w:rPr>
      </w:pPr>
      <w:r>
        <w:rPr>
          <w:rFonts w:hint="eastAsia"/>
          <w:b/>
          <w:sz w:val="28"/>
        </w:rPr>
        <w:t>第七章　附　则</w:t>
      </w:r>
    </w:p>
    <w:p w14:paraId="0FA78B3E">
      <w:pPr>
        <w:ind w:firstLine="0" w:firstLineChars="0"/>
        <w:jc w:val="center"/>
        <w:rPr>
          <w:b/>
          <w:sz w:val="28"/>
        </w:rPr>
      </w:pPr>
    </w:p>
    <w:p w14:paraId="75A7FDE9">
      <w:pPr>
        <w:ind w:firstLine="422"/>
      </w:pPr>
      <w:r>
        <w:rPr>
          <w:rFonts w:hint="eastAsia"/>
          <w:b/>
        </w:rPr>
        <w:t>第四十二条</w:t>
      </w:r>
      <w:r>
        <w:rPr>
          <w:rFonts w:hint="eastAsia"/>
        </w:rPr>
        <w:t>　港、澳、台人员和外籍人员的就业，按照国家有关规定执行。</w:t>
      </w:r>
    </w:p>
    <w:p w14:paraId="7268EDF7">
      <w:r>
        <w:rPr>
          <w:rFonts w:hint="eastAsia"/>
        </w:rPr>
        <w:t>未成年人、残疾人就业和本市用人单位招用外埠人员，除适用本条例外，还应当按照国家和本市其他有关规定执行。</w:t>
      </w:r>
    </w:p>
    <w:p w14:paraId="04D47B33">
      <w:r>
        <w:rPr>
          <w:rFonts w:hint="eastAsia"/>
        </w:rPr>
        <w:t>对人才市场的管理，按照《北京市人才市场管理条例》执行。</w:t>
      </w:r>
    </w:p>
    <w:p w14:paraId="21C745FE">
      <w:pPr>
        <w:ind w:firstLine="422"/>
      </w:pPr>
      <w:r>
        <w:rPr>
          <w:rFonts w:hint="eastAsia"/>
          <w:b/>
        </w:rPr>
        <w:t>第四十三条</w:t>
      </w:r>
      <w:r>
        <w:rPr>
          <w:rFonts w:hint="eastAsia"/>
        </w:rPr>
        <w:t>　本条例具体应用中的问题，由市劳动行政部门负责解释。</w:t>
      </w:r>
    </w:p>
    <w:p w14:paraId="13303B32">
      <w:pPr>
        <w:ind w:firstLine="422"/>
      </w:pPr>
      <w:r>
        <w:rPr>
          <w:rFonts w:hint="eastAsia"/>
          <w:b/>
        </w:rPr>
        <w:t>第四十四条</w:t>
      </w:r>
      <w:r>
        <w:rPr>
          <w:rFonts w:hint="eastAsia"/>
        </w:rPr>
        <w:t>　本条例</w:t>
      </w:r>
      <w:r>
        <w:rPr>
          <w:rFonts w:hint="eastAsia" w:ascii="宋体" w:hAnsi="宋体" w:eastAsia="宋体" w:cs="宋体"/>
        </w:rPr>
        <w:t>自1998年9月1日起施行。1991年1月8日北京市</w:t>
      </w:r>
      <w:r>
        <w:rPr>
          <w:rFonts w:hint="eastAsia"/>
        </w:rPr>
        <w:t>人民政府发布的《北京市劳务市场管理暂行办法》同时废止。</w:t>
      </w:r>
    </w:p>
    <w:p w14:paraId="32F002AA">
      <w:pPr>
        <w:pStyle w:val="4"/>
        <w:pageBreakBefore/>
      </w:pPr>
      <w:bookmarkStart w:id="2134" w:name="_Toc426467066"/>
      <w:bookmarkStart w:id="2135" w:name="_Toc428780512"/>
      <w:bookmarkStart w:id="2136" w:name="_Toc428781814"/>
      <w:r>
        <w:rPr>
          <w:rFonts w:hint="eastAsia"/>
        </w:rPr>
        <w:t>北京市集体合同条例</w:t>
      </w:r>
      <w:bookmarkEnd w:id="2134"/>
      <w:bookmarkEnd w:id="2135"/>
      <w:bookmarkEnd w:id="2136"/>
    </w:p>
    <w:p w14:paraId="46B3B5D1">
      <w:pPr>
        <w:ind w:left="630" w:leftChars="300" w:right="630" w:rightChars="300"/>
        <w:rPr>
          <w:rFonts w:ascii="楷体" w:hAnsi="楷体" w:eastAsia="楷体"/>
        </w:rPr>
      </w:pPr>
      <w:r>
        <w:rPr>
          <w:rFonts w:hint="eastAsia" w:ascii="楷体" w:hAnsi="楷体" w:eastAsia="楷体"/>
        </w:rPr>
        <w:t>（2005年7月22日北京市第十二届人民代表大会常务委员会第二十一次会议通过）</w:t>
      </w:r>
    </w:p>
    <w:p w14:paraId="424055AF">
      <w:pPr>
        <w:ind w:left="630" w:leftChars="300" w:right="630" w:rightChars="300"/>
        <w:rPr>
          <w:rFonts w:ascii="楷体" w:hAnsi="楷体" w:eastAsia="楷体"/>
        </w:rPr>
      </w:pPr>
    </w:p>
    <w:p w14:paraId="2E4B0F90">
      <w:pPr>
        <w:ind w:firstLine="0" w:firstLineChars="0"/>
        <w:jc w:val="center"/>
        <w:rPr>
          <w:b/>
          <w:sz w:val="28"/>
        </w:rPr>
      </w:pPr>
      <w:r>
        <w:rPr>
          <w:rFonts w:hint="eastAsia"/>
          <w:b/>
          <w:sz w:val="28"/>
        </w:rPr>
        <w:t>第一章　总　则</w:t>
      </w:r>
    </w:p>
    <w:p w14:paraId="2C6EF5F4"/>
    <w:p w14:paraId="3D8B9641">
      <w:pPr>
        <w:ind w:firstLine="422"/>
      </w:pPr>
      <w:r>
        <w:rPr>
          <w:rFonts w:hint="eastAsia"/>
          <w:b/>
        </w:rPr>
        <w:t>第一条</w:t>
      </w:r>
      <w:r>
        <w:rPr>
          <w:rFonts w:hint="eastAsia"/>
        </w:rPr>
        <w:t xml:space="preserve">  为了规范集体协商和签订、履行集体合同的行为，维护劳动者和用人单位的合法权益，建立和谐稳定的劳动关系，根据《中华人民共和国劳动法》和《中华人民共和国工会法》，结合本市实际情况，制定本条例。</w:t>
      </w:r>
    </w:p>
    <w:p w14:paraId="5F1BE3A8">
      <w:pPr>
        <w:ind w:firstLine="422"/>
      </w:pPr>
      <w:r>
        <w:rPr>
          <w:rFonts w:hint="eastAsia"/>
          <w:b/>
        </w:rPr>
        <w:t>第二条</w:t>
      </w:r>
      <w:r>
        <w:rPr>
          <w:rFonts w:hint="eastAsia"/>
        </w:rPr>
        <w:t xml:space="preserve">  本市行政区域内的企业、实行企业化管理的事业单位和民办非企业单位（以下统称用人单位）与本单位职工进行集体协商，签订和履行集体合同，适用本条例。</w:t>
      </w:r>
    </w:p>
    <w:p w14:paraId="229C748C">
      <w:pPr>
        <w:ind w:firstLine="422"/>
      </w:pPr>
      <w:r>
        <w:rPr>
          <w:rFonts w:hint="eastAsia"/>
          <w:b/>
        </w:rPr>
        <w:t>第三条</w:t>
      </w:r>
      <w:r>
        <w:rPr>
          <w:rFonts w:hint="eastAsia"/>
        </w:rPr>
        <w:t xml:space="preserve">  本条例所称集体合同，是指职工一方与用人单位，通过选派代表进行集体协商，就劳动报酬、工作时间、休息休假、劳动安全卫生、职业培训、保险福利等事项签订的书面协议。</w:t>
      </w:r>
    </w:p>
    <w:p w14:paraId="505E76DE">
      <w:pPr>
        <w:ind w:firstLine="422"/>
      </w:pPr>
      <w:r>
        <w:rPr>
          <w:rFonts w:hint="eastAsia"/>
          <w:b/>
        </w:rPr>
        <w:t>第四条</w:t>
      </w:r>
      <w:r>
        <w:rPr>
          <w:rFonts w:hint="eastAsia"/>
        </w:rPr>
        <w:t xml:space="preserve">  进行集体协商，签订、履行集体合同，应当遵守法律、法规、规章及国家有关规定，并遵循相互尊重、平等协商、诚实守信、公平合作、兼顾双方合法权益的原则。</w:t>
      </w:r>
    </w:p>
    <w:p w14:paraId="75F43AD0">
      <w:pPr>
        <w:ind w:firstLine="422"/>
      </w:pPr>
      <w:r>
        <w:rPr>
          <w:rFonts w:hint="eastAsia"/>
          <w:b/>
        </w:rPr>
        <w:t>第五条</w:t>
      </w:r>
      <w:r>
        <w:rPr>
          <w:rFonts w:hint="eastAsia"/>
        </w:rPr>
        <w:t xml:space="preserve">  依法订立的集体合同，对用人单位和本单位的全体职工具有法律约束力。</w:t>
      </w:r>
    </w:p>
    <w:p w14:paraId="5962E416">
      <w:r>
        <w:rPr>
          <w:rFonts w:hint="eastAsia"/>
        </w:rPr>
        <w:t>用人单位与职工签订的劳动合同中约定的劳动条件和劳动报酬等标准，不得低于集体合同的规定。</w:t>
      </w:r>
    </w:p>
    <w:p w14:paraId="5806889B">
      <w:pPr>
        <w:ind w:firstLine="422"/>
      </w:pPr>
      <w:r>
        <w:rPr>
          <w:rFonts w:hint="eastAsia"/>
          <w:b/>
        </w:rPr>
        <w:t>第六条</w:t>
      </w:r>
      <w:r>
        <w:rPr>
          <w:rFonts w:hint="eastAsia"/>
        </w:rPr>
        <w:t xml:space="preserve">  市和区、县劳动和社会保障行政部门（以下简称劳动保障行政部门）对本行政区域内的用人单位与本单位职工开展集体协商，签订、履行集体合同的情况进行指导和监督。</w:t>
      </w:r>
    </w:p>
    <w:p w14:paraId="656D39AE"/>
    <w:p w14:paraId="691F6BF7">
      <w:pPr>
        <w:ind w:firstLine="0" w:firstLineChars="0"/>
        <w:jc w:val="center"/>
        <w:rPr>
          <w:b/>
          <w:sz w:val="28"/>
        </w:rPr>
      </w:pPr>
      <w:r>
        <w:rPr>
          <w:rFonts w:hint="eastAsia"/>
          <w:b/>
          <w:sz w:val="28"/>
        </w:rPr>
        <w:t>第二章　集体协商代表</w:t>
      </w:r>
    </w:p>
    <w:p w14:paraId="54070686"/>
    <w:p w14:paraId="256B5549">
      <w:pPr>
        <w:ind w:firstLine="422"/>
      </w:pPr>
      <w:r>
        <w:rPr>
          <w:rFonts w:hint="eastAsia"/>
          <w:b/>
        </w:rPr>
        <w:t>第七条</w:t>
      </w:r>
      <w:r>
        <w:rPr>
          <w:rFonts w:hint="eastAsia"/>
        </w:rPr>
        <w:t xml:space="preserve">  本条例所称集体协商代表（以下简称协商代表）是指按照法定程序产生并有权代表本方利益进行集体协商的人员。</w:t>
      </w:r>
    </w:p>
    <w:p w14:paraId="15C176C5">
      <w:r>
        <w:rPr>
          <w:rFonts w:hint="eastAsia"/>
        </w:rPr>
        <w:t>集体协商双方的代表人数对等，一般为三至十人，并各自确定一名首席代表。</w:t>
      </w:r>
    </w:p>
    <w:p w14:paraId="68797934">
      <w:pPr>
        <w:ind w:firstLine="422"/>
      </w:pPr>
      <w:r>
        <w:rPr>
          <w:rFonts w:hint="eastAsia"/>
          <w:b/>
        </w:rPr>
        <w:t>第八条</w:t>
      </w:r>
      <w:r>
        <w:rPr>
          <w:rFonts w:hint="eastAsia"/>
        </w:rPr>
        <w:t xml:space="preserve">  职工一方的协商代表由本单位工会征求职工意见后选派。未建立工会的，由本单位职工民主推荐，并经半数以上职工同意。</w:t>
      </w:r>
    </w:p>
    <w:p w14:paraId="22153D49">
      <w:r>
        <w:rPr>
          <w:rFonts w:hint="eastAsia"/>
        </w:rPr>
        <w:t>职工一方的首席代表由本单位工会主席担任或者由其书面委托的其他协商代表担任；工会主席空缺的，首席代表由工会主要负责人担任。未建立工会的，职工一方的首席代表由协商代表民主推举产生。</w:t>
      </w:r>
    </w:p>
    <w:p w14:paraId="49D180AE">
      <w:pPr>
        <w:ind w:firstLine="422"/>
      </w:pPr>
      <w:r>
        <w:rPr>
          <w:rFonts w:hint="eastAsia"/>
          <w:b/>
        </w:rPr>
        <w:t>第九条</w:t>
      </w:r>
      <w:r>
        <w:rPr>
          <w:rFonts w:hint="eastAsia"/>
        </w:rPr>
        <w:t xml:space="preserve">  用人单位一方的协商代表由用人单位法定代表人委派。</w:t>
      </w:r>
    </w:p>
    <w:p w14:paraId="666E01E7">
      <w:r>
        <w:rPr>
          <w:rFonts w:hint="eastAsia"/>
        </w:rPr>
        <w:t>用人单位一方的首席代表由单位法定代表人担任或者由其书面委托的其他协商代表担任。</w:t>
      </w:r>
    </w:p>
    <w:p w14:paraId="45F7B384">
      <w:pPr>
        <w:ind w:firstLine="422"/>
      </w:pPr>
      <w:r>
        <w:rPr>
          <w:rFonts w:hint="eastAsia"/>
          <w:b/>
        </w:rPr>
        <w:t>第十条</w:t>
      </w:r>
      <w:r>
        <w:rPr>
          <w:rFonts w:hint="eastAsia"/>
        </w:rPr>
        <w:t xml:space="preserve">  用人单位和职工一方可以委托本单位以外的有关专业人员作为本方协商代表参加协商，委托人数不得超过本方协商代表的三分之一。</w:t>
      </w:r>
    </w:p>
    <w:p w14:paraId="1AF29E88">
      <w:r>
        <w:rPr>
          <w:rFonts w:hint="eastAsia"/>
        </w:rPr>
        <w:t>首席代表不得由非本单位人员担任。</w:t>
      </w:r>
    </w:p>
    <w:p w14:paraId="3D3D0C6B">
      <w:pPr>
        <w:ind w:firstLine="422"/>
      </w:pPr>
      <w:r>
        <w:rPr>
          <w:rFonts w:hint="eastAsia"/>
          <w:b/>
        </w:rPr>
        <w:t>第十一条</w:t>
      </w:r>
      <w:r>
        <w:rPr>
          <w:rFonts w:hint="eastAsia"/>
        </w:rPr>
        <w:t xml:space="preserve">  协商代表产生后，应当在集体协商前在本单位公布。</w:t>
      </w:r>
    </w:p>
    <w:p w14:paraId="4A7E08FC">
      <w:pPr>
        <w:ind w:firstLine="422"/>
      </w:pPr>
      <w:r>
        <w:rPr>
          <w:rFonts w:hint="eastAsia"/>
          <w:b/>
        </w:rPr>
        <w:t>第十二条</w:t>
      </w:r>
      <w:r>
        <w:rPr>
          <w:rFonts w:hint="eastAsia"/>
        </w:rPr>
        <w:t xml:space="preserve">  协商代表履行职责的期限由被代表方确定。</w:t>
      </w:r>
    </w:p>
    <w:p w14:paraId="1C272DFA">
      <w:pPr>
        <w:ind w:firstLine="422"/>
      </w:pPr>
      <w:r>
        <w:rPr>
          <w:rFonts w:hint="eastAsia"/>
          <w:b/>
        </w:rPr>
        <w:t>第十三条</w:t>
      </w:r>
      <w:r>
        <w:rPr>
          <w:rFonts w:hint="eastAsia"/>
        </w:rPr>
        <w:t xml:space="preserve">  协商代表应当履行下列职责：</w:t>
      </w:r>
    </w:p>
    <w:p w14:paraId="0505654A">
      <w:bookmarkStart w:id="2137" w:name="_Toc428780513"/>
      <w:r>
        <w:rPr>
          <w:rFonts w:hint="eastAsia"/>
        </w:rPr>
        <w:t>（一）参加集体协商，真实反映本方意愿，维护合法利益；</w:t>
      </w:r>
      <w:bookmarkEnd w:id="2137"/>
    </w:p>
    <w:p w14:paraId="5E7F2FE1">
      <w:r>
        <w:rPr>
          <w:rFonts w:hint="eastAsia"/>
        </w:rPr>
        <w:t>（二）接受本方人员质询，及时向本方人员公布协商情况并征求意见；</w:t>
      </w:r>
    </w:p>
    <w:p w14:paraId="132FEF22">
      <w:r>
        <w:rPr>
          <w:rFonts w:hint="eastAsia"/>
        </w:rPr>
        <w:t>（三）提供与集体协商有关的情况和资料；</w:t>
      </w:r>
    </w:p>
    <w:p w14:paraId="4551579C">
      <w:r>
        <w:rPr>
          <w:rFonts w:hint="eastAsia"/>
        </w:rPr>
        <w:t>（四）参加集体协商争议的处理；</w:t>
      </w:r>
    </w:p>
    <w:p w14:paraId="2A3E58F9">
      <w:r>
        <w:rPr>
          <w:rFonts w:hint="eastAsia"/>
        </w:rPr>
        <w:t>（五）及时向本方全体人员公布生效的集体合同；</w:t>
      </w:r>
    </w:p>
    <w:p w14:paraId="7C6480E9">
      <w:r>
        <w:rPr>
          <w:rFonts w:hint="eastAsia"/>
        </w:rPr>
        <w:t>（六）监督集体合同的履行；</w:t>
      </w:r>
    </w:p>
    <w:p w14:paraId="7E89DCD3">
      <w:r>
        <w:rPr>
          <w:rFonts w:hint="eastAsia"/>
        </w:rPr>
        <w:t>（七）法律、法规和规章规定的其他职责。</w:t>
      </w:r>
    </w:p>
    <w:p w14:paraId="4022DDF6">
      <w:pPr>
        <w:ind w:firstLine="422"/>
      </w:pPr>
      <w:r>
        <w:rPr>
          <w:rFonts w:hint="eastAsia"/>
          <w:b/>
        </w:rPr>
        <w:t>第十四条</w:t>
      </w:r>
      <w:r>
        <w:rPr>
          <w:rFonts w:hint="eastAsia"/>
        </w:rPr>
        <w:t>　集体协商双方应当避免采取过激行为。协商代表有义务维护本单位正常的生产、工作秩序。</w:t>
      </w:r>
    </w:p>
    <w:p w14:paraId="67090485">
      <w:r>
        <w:rPr>
          <w:rFonts w:hint="eastAsia"/>
        </w:rPr>
        <w:t>协商代表应当保守在集体协商过程中知悉的用人单位的商业秘密。</w:t>
      </w:r>
    </w:p>
    <w:p w14:paraId="45783327">
      <w:pPr>
        <w:ind w:firstLine="422"/>
      </w:pPr>
      <w:r>
        <w:rPr>
          <w:rFonts w:hint="eastAsia"/>
          <w:b/>
        </w:rPr>
        <w:t>第十五条</w:t>
      </w:r>
      <w:r>
        <w:rPr>
          <w:rFonts w:hint="eastAsia"/>
        </w:rPr>
        <w:t>　集体协商双方均可以更换本方的协商代表。协商代表的更换应当按照代表产生的程序进行。</w:t>
      </w:r>
    </w:p>
    <w:p w14:paraId="506D973F">
      <w:pPr>
        <w:ind w:firstLine="422"/>
      </w:pPr>
      <w:r>
        <w:rPr>
          <w:rFonts w:hint="eastAsia"/>
          <w:b/>
        </w:rPr>
        <w:t>第十六条</w:t>
      </w:r>
      <w:r>
        <w:rPr>
          <w:rFonts w:hint="eastAsia"/>
        </w:rPr>
        <w:t>　用人单位应当保障协商代表履行职责所必需的工作条件和工作时间。协商代表参加集体协商占用工作时间的，视为提供正常劳动。</w:t>
      </w:r>
    </w:p>
    <w:p w14:paraId="1785ED67">
      <w:pPr>
        <w:ind w:firstLine="422"/>
      </w:pPr>
      <w:r>
        <w:rPr>
          <w:rFonts w:hint="eastAsia"/>
          <w:b/>
        </w:rPr>
        <w:t>第十七条</w:t>
      </w:r>
      <w:r>
        <w:rPr>
          <w:rFonts w:hint="eastAsia"/>
        </w:rPr>
        <w:t>　职工一方的协商代表履行协商代表职责期间，用人单位不得随意变更职工协商代表的工作岗位。因工作需要确需变更协商代表的工作岗位，应当事先征求本单位工会的意见，并征得职工本人同意。</w:t>
      </w:r>
    </w:p>
    <w:p w14:paraId="7FF415C9">
      <w:pPr>
        <w:ind w:firstLine="422"/>
      </w:pPr>
      <w:r>
        <w:rPr>
          <w:rFonts w:hint="eastAsia"/>
          <w:b/>
        </w:rPr>
        <w:t>第十八条</w:t>
      </w:r>
      <w:r>
        <w:rPr>
          <w:rFonts w:hint="eastAsia"/>
        </w:rPr>
        <w:t>　职工一方的协商代表在履行协商代表职责期间，劳动合同期限届满，协商代表本人要求顺延劳动合同期限的，用人单位应当将其劳动合同期限顺延至完成履行协商代表职责之时。</w:t>
      </w:r>
    </w:p>
    <w:p w14:paraId="7AF1C2E2">
      <w:pPr>
        <w:ind w:firstLine="422"/>
      </w:pPr>
      <w:r>
        <w:rPr>
          <w:rFonts w:hint="eastAsia"/>
          <w:b/>
        </w:rPr>
        <w:t>第十九条</w:t>
      </w:r>
      <w:r>
        <w:rPr>
          <w:rFonts w:hint="eastAsia"/>
        </w:rPr>
        <w:t>　职工一方协商代表在履行协商代表职责期间，用人单位不得解除其劳动合同，但有下列情形的除外：</w:t>
      </w:r>
    </w:p>
    <w:p w14:paraId="6F1AFFED">
      <w:bookmarkStart w:id="2138" w:name="_Toc428780514"/>
      <w:r>
        <w:rPr>
          <w:rFonts w:hint="eastAsia"/>
        </w:rPr>
        <w:t>（一）严重违反劳动纪律或者用人单位依法制定的规章制度的；</w:t>
      </w:r>
      <w:bookmarkEnd w:id="2138"/>
    </w:p>
    <w:p w14:paraId="6EAAD48A">
      <w:r>
        <w:rPr>
          <w:rFonts w:hint="eastAsia"/>
        </w:rPr>
        <w:t>（二）严重失职、营私舞弊，对用人单位利益造成重大损害的；</w:t>
      </w:r>
    </w:p>
    <w:p w14:paraId="4B6FCD98">
      <w:r>
        <w:rPr>
          <w:rFonts w:hint="eastAsia"/>
        </w:rPr>
        <w:t>（三）被依法追究刑事责任的。</w:t>
      </w:r>
    </w:p>
    <w:p w14:paraId="4B424422"/>
    <w:p w14:paraId="24588EE4">
      <w:pPr>
        <w:ind w:firstLine="0" w:firstLineChars="0"/>
        <w:jc w:val="center"/>
        <w:rPr>
          <w:b/>
          <w:sz w:val="28"/>
        </w:rPr>
      </w:pPr>
      <w:r>
        <w:rPr>
          <w:rFonts w:hint="eastAsia"/>
          <w:b/>
          <w:sz w:val="28"/>
        </w:rPr>
        <w:t>第三章　集体协商内容</w:t>
      </w:r>
    </w:p>
    <w:p w14:paraId="2BAEA6CA"/>
    <w:p w14:paraId="3BF903DC">
      <w:pPr>
        <w:ind w:firstLine="422"/>
      </w:pPr>
      <w:r>
        <w:rPr>
          <w:rFonts w:hint="eastAsia"/>
          <w:b/>
        </w:rPr>
        <w:t>第二十条</w:t>
      </w:r>
      <w:r>
        <w:rPr>
          <w:rFonts w:hint="eastAsia"/>
        </w:rPr>
        <w:t>　集体协商双方可以就下列一项或者多项内容，通过集体协商签订集体合同：</w:t>
      </w:r>
    </w:p>
    <w:p w14:paraId="66A7C4C8">
      <w:r>
        <w:rPr>
          <w:rFonts w:hint="eastAsia"/>
        </w:rPr>
        <w:t>（一）劳动报酬；</w:t>
      </w:r>
    </w:p>
    <w:p w14:paraId="18DBEDDC">
      <w:r>
        <w:rPr>
          <w:rFonts w:hint="eastAsia"/>
        </w:rPr>
        <w:t>（二）工作时间；</w:t>
      </w:r>
    </w:p>
    <w:p w14:paraId="5007C13E">
      <w:r>
        <w:rPr>
          <w:rFonts w:hint="eastAsia"/>
        </w:rPr>
        <w:t>（三）休息休假；</w:t>
      </w:r>
    </w:p>
    <w:p w14:paraId="5DC88642">
      <w:r>
        <w:rPr>
          <w:rFonts w:hint="eastAsia"/>
        </w:rPr>
        <w:t>（四）劳动定额；</w:t>
      </w:r>
    </w:p>
    <w:p w14:paraId="7196685D">
      <w:r>
        <w:rPr>
          <w:rFonts w:hint="eastAsia"/>
        </w:rPr>
        <w:t>（五）劳动安全与卫生；</w:t>
      </w:r>
    </w:p>
    <w:p w14:paraId="5DE2F75E">
      <w:r>
        <w:rPr>
          <w:rFonts w:hint="eastAsia"/>
        </w:rPr>
        <w:t>（六）补充保险和福利；</w:t>
      </w:r>
    </w:p>
    <w:p w14:paraId="2342FF39">
      <w:r>
        <w:rPr>
          <w:rFonts w:hint="eastAsia"/>
        </w:rPr>
        <w:t>（七）女职工和未成年工特殊保护；</w:t>
      </w:r>
    </w:p>
    <w:p w14:paraId="535B62BD">
      <w:r>
        <w:rPr>
          <w:rFonts w:hint="eastAsia"/>
        </w:rPr>
        <w:t>（八）职业技能培训；</w:t>
      </w:r>
    </w:p>
    <w:p w14:paraId="785BA1DA">
      <w:r>
        <w:rPr>
          <w:rFonts w:hint="eastAsia"/>
        </w:rPr>
        <w:t>（九）劳动合同管理；</w:t>
      </w:r>
    </w:p>
    <w:p w14:paraId="0EF5C166">
      <w:r>
        <w:rPr>
          <w:rFonts w:hint="eastAsia"/>
        </w:rPr>
        <w:t>（十）规章制度；</w:t>
      </w:r>
    </w:p>
    <w:p w14:paraId="1BBA22CF">
      <w:r>
        <w:rPr>
          <w:rFonts w:hint="eastAsia"/>
        </w:rPr>
        <w:t>（十一）职工就业保障;</w:t>
      </w:r>
    </w:p>
    <w:p w14:paraId="1EF4FB42">
      <w:r>
        <w:rPr>
          <w:rFonts w:hint="eastAsia"/>
        </w:rPr>
        <w:t>（十二）集体合同期限；</w:t>
      </w:r>
    </w:p>
    <w:p w14:paraId="79D0A499">
      <w:r>
        <w:rPr>
          <w:rFonts w:hint="eastAsia"/>
        </w:rPr>
        <w:t>（十三）变更、解除、终止集体合同的条件；</w:t>
      </w:r>
    </w:p>
    <w:p w14:paraId="08CC90FB">
      <w:r>
        <w:rPr>
          <w:rFonts w:hint="eastAsia"/>
        </w:rPr>
        <w:t>（十四）履行集体合同发生争议时的协商处理办法；</w:t>
      </w:r>
    </w:p>
    <w:p w14:paraId="1445961D">
      <w:r>
        <w:rPr>
          <w:rFonts w:hint="eastAsia"/>
        </w:rPr>
        <w:t>（十五）违反集体合同的责任；</w:t>
      </w:r>
    </w:p>
    <w:p w14:paraId="1958EF74">
      <w:r>
        <w:rPr>
          <w:rFonts w:hint="eastAsia"/>
        </w:rPr>
        <w:t>（十六）履行集体合同的监督检查制度；</w:t>
      </w:r>
    </w:p>
    <w:p w14:paraId="4BFECCB6">
      <w:r>
        <w:rPr>
          <w:rFonts w:hint="eastAsia"/>
        </w:rPr>
        <w:t>（十七）双方认为应当协商的其他内容。</w:t>
      </w:r>
    </w:p>
    <w:p w14:paraId="14EBB2B4">
      <w:pPr>
        <w:ind w:firstLine="422"/>
      </w:pPr>
      <w:r>
        <w:rPr>
          <w:rFonts w:hint="eastAsia"/>
          <w:b/>
        </w:rPr>
        <w:t>第二十一条</w:t>
      </w:r>
      <w:r>
        <w:rPr>
          <w:rFonts w:hint="eastAsia"/>
        </w:rPr>
        <w:t>　劳动报酬协商内容主要包括：</w:t>
      </w:r>
    </w:p>
    <w:p w14:paraId="26AA1CA7">
      <w:r>
        <w:rPr>
          <w:rFonts w:hint="eastAsia"/>
        </w:rPr>
        <w:t>（一）工资水平及调整办法；</w:t>
      </w:r>
    </w:p>
    <w:p w14:paraId="2A8263E7">
      <w:r>
        <w:rPr>
          <w:rFonts w:hint="eastAsia"/>
        </w:rPr>
        <w:t>（二）工资支付制度；</w:t>
      </w:r>
    </w:p>
    <w:p w14:paraId="424616C8">
      <w:r>
        <w:rPr>
          <w:rFonts w:hint="eastAsia"/>
        </w:rPr>
        <w:t>（三）加班工资基数、病假工资、休假工资等特殊情况的工资支付；</w:t>
      </w:r>
    </w:p>
    <w:p w14:paraId="4528A1FD">
      <w:r>
        <w:rPr>
          <w:rFonts w:hint="eastAsia"/>
        </w:rPr>
        <w:t>（四）其他分配办法。</w:t>
      </w:r>
    </w:p>
    <w:p w14:paraId="72919D5F">
      <w:pPr>
        <w:ind w:firstLine="422"/>
      </w:pPr>
      <w:r>
        <w:rPr>
          <w:rFonts w:hint="eastAsia"/>
          <w:b/>
        </w:rPr>
        <w:t>第二十二条</w:t>
      </w:r>
      <w:r>
        <w:rPr>
          <w:rFonts w:hint="eastAsia"/>
        </w:rPr>
        <w:t>　工作时间协商内容主要包括：</w:t>
      </w:r>
    </w:p>
    <w:p w14:paraId="3036086F">
      <w:r>
        <w:rPr>
          <w:rFonts w:hint="eastAsia"/>
        </w:rPr>
        <w:t>（一）工时制度；</w:t>
      </w:r>
    </w:p>
    <w:p w14:paraId="03653D56">
      <w:r>
        <w:rPr>
          <w:rFonts w:hint="eastAsia"/>
        </w:rPr>
        <w:t>（二）加班、加点办法；</w:t>
      </w:r>
    </w:p>
    <w:p w14:paraId="2302E9D9">
      <w:r>
        <w:rPr>
          <w:rFonts w:hint="eastAsia"/>
        </w:rPr>
        <w:t>（三）特殊岗位的工作时间。</w:t>
      </w:r>
    </w:p>
    <w:p w14:paraId="1D3556B3">
      <w:pPr>
        <w:ind w:firstLine="422"/>
      </w:pPr>
      <w:r>
        <w:rPr>
          <w:rFonts w:hint="eastAsia"/>
          <w:b/>
        </w:rPr>
        <w:t>第二十三条</w:t>
      </w:r>
      <w:r>
        <w:rPr>
          <w:rFonts w:hint="eastAsia"/>
        </w:rPr>
        <w:t>　休息休假协商内容主要包括：</w:t>
      </w:r>
    </w:p>
    <w:p w14:paraId="6010CE46">
      <w:r>
        <w:rPr>
          <w:rFonts w:hint="eastAsia"/>
        </w:rPr>
        <w:t>（一）周休息日安排；</w:t>
      </w:r>
    </w:p>
    <w:p w14:paraId="1558AA26">
      <w:r>
        <w:rPr>
          <w:rFonts w:hint="eastAsia"/>
        </w:rPr>
        <w:t>（二）实行非标准工时制职工的休息日安排；</w:t>
      </w:r>
    </w:p>
    <w:p w14:paraId="4C0E9279">
      <w:r>
        <w:rPr>
          <w:rFonts w:hint="eastAsia"/>
        </w:rPr>
        <w:t>（三）带薪年休假及其他假期。</w:t>
      </w:r>
    </w:p>
    <w:p w14:paraId="5C43BD48">
      <w:pPr>
        <w:ind w:firstLine="422"/>
      </w:pPr>
      <w:r>
        <w:rPr>
          <w:rFonts w:hint="eastAsia"/>
          <w:b/>
        </w:rPr>
        <w:t>第二十四条</w:t>
      </w:r>
      <w:r>
        <w:rPr>
          <w:rFonts w:hint="eastAsia"/>
        </w:rPr>
        <w:t>　劳动定额标准协商内容主要包括：</w:t>
      </w:r>
    </w:p>
    <w:p w14:paraId="734AB48F">
      <w:r>
        <w:rPr>
          <w:rFonts w:hint="eastAsia"/>
        </w:rPr>
        <w:t>（一）生产定额的确定及调整；</w:t>
      </w:r>
    </w:p>
    <w:p w14:paraId="16E97A97">
      <w:r>
        <w:rPr>
          <w:rFonts w:hint="eastAsia"/>
        </w:rPr>
        <w:t>（二）计件工资标准的确定。</w:t>
      </w:r>
    </w:p>
    <w:p w14:paraId="4CCF3639">
      <w:pPr>
        <w:ind w:firstLine="422"/>
      </w:pPr>
      <w:r>
        <w:rPr>
          <w:rFonts w:hint="eastAsia"/>
          <w:b/>
        </w:rPr>
        <w:t>第二十五条</w:t>
      </w:r>
      <w:r>
        <w:rPr>
          <w:rFonts w:hint="eastAsia"/>
        </w:rPr>
        <w:t>　劳动安全与卫生协商内容主要包括：</w:t>
      </w:r>
    </w:p>
    <w:p w14:paraId="504E156B">
      <w:r>
        <w:rPr>
          <w:rFonts w:hint="eastAsia"/>
        </w:rPr>
        <w:t>（一）劳动安全卫生责任制；</w:t>
      </w:r>
    </w:p>
    <w:p w14:paraId="1FC125B8">
      <w:r>
        <w:rPr>
          <w:rFonts w:hint="eastAsia"/>
        </w:rPr>
        <w:t>（二）劳动条件和安全技术措施；</w:t>
      </w:r>
    </w:p>
    <w:p w14:paraId="240EEFB2">
      <w:r>
        <w:rPr>
          <w:rFonts w:hint="eastAsia"/>
        </w:rPr>
        <w:t>（三）安全操作规程；</w:t>
      </w:r>
    </w:p>
    <w:p w14:paraId="1F3283BA">
      <w:r>
        <w:rPr>
          <w:rFonts w:hint="eastAsia"/>
        </w:rPr>
        <w:t>（四）劳动保护用品发放标准；</w:t>
      </w:r>
    </w:p>
    <w:p w14:paraId="23D8D0CA">
      <w:r>
        <w:rPr>
          <w:rFonts w:hint="eastAsia"/>
        </w:rPr>
        <w:t>（五）职业健康体检。</w:t>
      </w:r>
    </w:p>
    <w:p w14:paraId="179A78F9">
      <w:pPr>
        <w:ind w:firstLine="422"/>
      </w:pPr>
      <w:r>
        <w:rPr>
          <w:rFonts w:hint="eastAsia"/>
          <w:b/>
        </w:rPr>
        <w:t>第二十六条</w:t>
      </w:r>
      <w:r>
        <w:rPr>
          <w:rFonts w:hint="eastAsia"/>
        </w:rPr>
        <w:t>　补充保险和福利协商内容主要包括：</w:t>
      </w:r>
    </w:p>
    <w:p w14:paraId="4093B3E3">
      <w:r>
        <w:rPr>
          <w:rFonts w:hint="eastAsia"/>
        </w:rPr>
        <w:t>（一）补充保险的种类、范围、标准；</w:t>
      </w:r>
    </w:p>
    <w:p w14:paraId="5038E909">
      <w:r>
        <w:rPr>
          <w:rFonts w:hint="eastAsia"/>
        </w:rPr>
        <w:t>（二）福利制度和设施；</w:t>
      </w:r>
    </w:p>
    <w:p w14:paraId="0CFC3185">
      <w:r>
        <w:rPr>
          <w:rFonts w:hint="eastAsia"/>
        </w:rPr>
        <w:t>（三）职工健康体检；</w:t>
      </w:r>
    </w:p>
    <w:p w14:paraId="0F79F5CD">
      <w:r>
        <w:rPr>
          <w:rFonts w:hint="eastAsia"/>
        </w:rPr>
        <w:t>（四）医疗期、停工留薪期的延长及其待遇；</w:t>
      </w:r>
    </w:p>
    <w:p w14:paraId="2A650589">
      <w:r>
        <w:rPr>
          <w:rFonts w:hint="eastAsia"/>
        </w:rPr>
        <w:t>（五）职工亲属福利制度；</w:t>
      </w:r>
    </w:p>
    <w:p w14:paraId="7E0B558C">
      <w:r>
        <w:rPr>
          <w:rFonts w:hint="eastAsia"/>
        </w:rPr>
        <w:t>（六）法定公益金、福利费的使用方案。</w:t>
      </w:r>
    </w:p>
    <w:p w14:paraId="2BA1B0EE">
      <w:pPr>
        <w:ind w:firstLine="422"/>
      </w:pPr>
      <w:r>
        <w:rPr>
          <w:rFonts w:hint="eastAsia"/>
          <w:b/>
        </w:rPr>
        <w:t>第二十七条</w:t>
      </w:r>
      <w:r>
        <w:rPr>
          <w:rFonts w:hint="eastAsia"/>
        </w:rPr>
        <w:t>　女职工和未成年工特殊保护协商内容主要包括：</w:t>
      </w:r>
    </w:p>
    <w:p w14:paraId="384E09F0">
      <w:bookmarkStart w:id="2139" w:name="_Toc428780515"/>
      <w:r>
        <w:rPr>
          <w:rFonts w:hint="eastAsia"/>
        </w:rPr>
        <w:t>（一）女职工和未成年工禁忌从事的劳动；</w:t>
      </w:r>
      <w:bookmarkEnd w:id="2139"/>
    </w:p>
    <w:p w14:paraId="4CE09BF8">
      <w:r>
        <w:rPr>
          <w:rFonts w:hint="eastAsia"/>
        </w:rPr>
        <w:t>（二）女职工的经期、孕期、产期和哺乳期的劳动保护；</w:t>
      </w:r>
    </w:p>
    <w:p w14:paraId="5C84A02C">
      <w:r>
        <w:rPr>
          <w:rFonts w:hint="eastAsia"/>
        </w:rPr>
        <w:t>（三）女职工、未成年工定期健康检查。</w:t>
      </w:r>
    </w:p>
    <w:p w14:paraId="31C920D4">
      <w:pPr>
        <w:ind w:firstLine="422"/>
      </w:pPr>
      <w:r>
        <w:rPr>
          <w:rFonts w:hint="eastAsia"/>
          <w:b/>
        </w:rPr>
        <w:t>第二十八条</w:t>
      </w:r>
      <w:r>
        <w:rPr>
          <w:rFonts w:hint="eastAsia"/>
        </w:rPr>
        <w:t>　职业技能培训协商内容主要包括：</w:t>
      </w:r>
    </w:p>
    <w:p w14:paraId="1FF9FFC9">
      <w:r>
        <w:rPr>
          <w:rFonts w:hint="eastAsia"/>
        </w:rPr>
        <w:t>（一）职业技能培训项目规划；</w:t>
      </w:r>
    </w:p>
    <w:p w14:paraId="122A2A10">
      <w:r>
        <w:rPr>
          <w:rFonts w:hint="eastAsia"/>
        </w:rPr>
        <w:t>（二）职业技能培训费用的提取和使用；</w:t>
      </w:r>
    </w:p>
    <w:p w14:paraId="18626D7D">
      <w:r>
        <w:rPr>
          <w:rFonts w:hint="eastAsia"/>
        </w:rPr>
        <w:t>（三）保障和改善职业技能培训的措施。</w:t>
      </w:r>
    </w:p>
    <w:p w14:paraId="58822995">
      <w:pPr>
        <w:ind w:firstLine="422"/>
      </w:pPr>
      <w:r>
        <w:rPr>
          <w:rFonts w:hint="eastAsia"/>
          <w:b/>
        </w:rPr>
        <w:t>第二十九条</w:t>
      </w:r>
      <w:r>
        <w:rPr>
          <w:rFonts w:hint="eastAsia"/>
        </w:rPr>
        <w:t>　劳动合同管理协商内容主要包括：</w:t>
      </w:r>
    </w:p>
    <w:p w14:paraId="373674E3">
      <w:r>
        <w:rPr>
          <w:rFonts w:hint="eastAsia"/>
        </w:rPr>
        <w:t>（一）试用期的条件和期限；</w:t>
      </w:r>
    </w:p>
    <w:p w14:paraId="753014C8">
      <w:r>
        <w:rPr>
          <w:rFonts w:hint="eastAsia"/>
        </w:rPr>
        <w:t>（二）确定劳动合同期限的条件；</w:t>
      </w:r>
    </w:p>
    <w:p w14:paraId="48C913B8">
      <w:r>
        <w:rPr>
          <w:rFonts w:hint="eastAsia"/>
        </w:rPr>
        <w:t>（三）无固定期限劳动合同的终止条件；</w:t>
      </w:r>
    </w:p>
    <w:p w14:paraId="628F2361">
      <w:r>
        <w:rPr>
          <w:rFonts w:hint="eastAsia"/>
        </w:rPr>
        <w:t>（四）变更、解除劳动合同的条件和程序；</w:t>
      </w:r>
    </w:p>
    <w:p w14:paraId="147A41B8">
      <w:r>
        <w:rPr>
          <w:rFonts w:hint="eastAsia"/>
        </w:rPr>
        <w:t>（五）续订劳动合同的条件和程序。</w:t>
      </w:r>
    </w:p>
    <w:p w14:paraId="3F6107E4">
      <w:pPr>
        <w:ind w:firstLine="422"/>
      </w:pPr>
      <w:r>
        <w:rPr>
          <w:rFonts w:hint="eastAsia"/>
          <w:b/>
        </w:rPr>
        <w:t>第三十条</w:t>
      </w:r>
      <w:r>
        <w:rPr>
          <w:rFonts w:hint="eastAsia"/>
        </w:rPr>
        <w:t>　规章制度协商内容主要包括：</w:t>
      </w:r>
    </w:p>
    <w:p w14:paraId="66EA6309">
      <w:r>
        <w:rPr>
          <w:rFonts w:hint="eastAsia"/>
        </w:rPr>
        <w:t>（一）劳动纪律；</w:t>
      </w:r>
    </w:p>
    <w:p w14:paraId="528F9997">
      <w:r>
        <w:rPr>
          <w:rFonts w:hint="eastAsia"/>
        </w:rPr>
        <w:t>（二）考核制度；</w:t>
      </w:r>
    </w:p>
    <w:p w14:paraId="77B189FD">
      <w:r>
        <w:rPr>
          <w:rFonts w:hint="eastAsia"/>
        </w:rPr>
        <w:t>（三）奖惩制度。</w:t>
      </w:r>
    </w:p>
    <w:p w14:paraId="585EC4C2">
      <w:pPr>
        <w:ind w:firstLine="422"/>
      </w:pPr>
      <w:r>
        <w:rPr>
          <w:rFonts w:hint="eastAsia"/>
          <w:b/>
        </w:rPr>
        <w:t>第三十一条</w:t>
      </w:r>
      <w:r>
        <w:rPr>
          <w:rFonts w:hint="eastAsia"/>
        </w:rPr>
        <w:t>　职工就业保障协商内容主要包括：</w:t>
      </w:r>
    </w:p>
    <w:p w14:paraId="52051FE4">
      <w:r>
        <w:rPr>
          <w:rFonts w:hint="eastAsia"/>
        </w:rPr>
        <w:t>（一）招收录用人员的程序；</w:t>
      </w:r>
    </w:p>
    <w:p w14:paraId="7E8FAA9D">
      <w:r>
        <w:rPr>
          <w:rFonts w:hint="eastAsia"/>
        </w:rPr>
        <w:t>（二）裁减人员的条件和程序。</w:t>
      </w:r>
    </w:p>
    <w:p w14:paraId="6CEDB746"/>
    <w:p w14:paraId="0E4C2E85">
      <w:pPr>
        <w:ind w:firstLine="0" w:firstLineChars="0"/>
        <w:jc w:val="center"/>
        <w:rPr>
          <w:b/>
          <w:sz w:val="28"/>
        </w:rPr>
      </w:pPr>
      <w:r>
        <w:rPr>
          <w:rFonts w:hint="eastAsia"/>
          <w:b/>
          <w:sz w:val="28"/>
        </w:rPr>
        <w:t>第四章　集体合同订立</w:t>
      </w:r>
    </w:p>
    <w:p w14:paraId="2CCE2C9A"/>
    <w:p w14:paraId="7CD1FE7C">
      <w:pPr>
        <w:ind w:firstLine="422"/>
      </w:pPr>
      <w:r>
        <w:rPr>
          <w:rFonts w:hint="eastAsia"/>
          <w:b/>
        </w:rPr>
        <w:t>第三十二条</w:t>
      </w:r>
      <w:r>
        <w:rPr>
          <w:rFonts w:hint="eastAsia"/>
        </w:rPr>
        <w:t>　集体协商双方的任何一方均可就签订集体合同相关事宜，以书面形式向对方提出集体协商要求。</w:t>
      </w:r>
    </w:p>
    <w:p w14:paraId="2403C343">
      <w:r>
        <w:rPr>
          <w:rFonts w:hint="eastAsia"/>
        </w:rPr>
        <w:t>一方提出集体协商要求，另一方应当在收到集体协商要求之日起二十日内给以书面答复，无正当理由不得拒绝或者拖延集体协商；一方就劳动报酬、劳动条件、裁减人员等事项要求集体协商的，另一方不得拒绝或者拖延。</w:t>
      </w:r>
    </w:p>
    <w:p w14:paraId="60DB5910">
      <w:pPr>
        <w:ind w:firstLine="422"/>
      </w:pPr>
      <w:r>
        <w:rPr>
          <w:rFonts w:hint="eastAsia"/>
          <w:b/>
        </w:rPr>
        <w:t>第三十三条</w:t>
      </w:r>
      <w:r>
        <w:rPr>
          <w:rFonts w:hint="eastAsia"/>
        </w:rPr>
        <w:t>　集体协商双方的协商代表在协商前应当进行下列准备工作：</w:t>
      </w:r>
    </w:p>
    <w:p w14:paraId="68CEBC5D">
      <w:r>
        <w:rPr>
          <w:rFonts w:hint="eastAsia"/>
        </w:rPr>
        <w:t>（一）拟定集体协商议题。集体协商的议题可由提出协商的一方起草，也可由双方指派的代表共同起草；</w:t>
      </w:r>
    </w:p>
    <w:p w14:paraId="46CA65CA">
      <w:bookmarkStart w:id="2140" w:name="_Toc428780516"/>
      <w:r>
        <w:rPr>
          <w:rFonts w:hint="eastAsia"/>
        </w:rPr>
        <w:t>（二）协商确定集体协商的时间、地点；</w:t>
      </w:r>
      <w:bookmarkEnd w:id="2140"/>
    </w:p>
    <w:p w14:paraId="18713515">
      <w:r>
        <w:rPr>
          <w:rFonts w:hint="eastAsia"/>
        </w:rPr>
        <w:t>（三）了解与集体协商内容有关的法律、法规、规章和制度，收集用人单位和职工对协商议题的意见；</w:t>
      </w:r>
    </w:p>
    <w:p w14:paraId="0AAC9FBB">
      <w:bookmarkStart w:id="2141" w:name="_Toc428780517"/>
      <w:r>
        <w:rPr>
          <w:rFonts w:hint="eastAsia"/>
        </w:rPr>
        <w:t>（四）收集与集体协商内容有关的情况和资料；</w:t>
      </w:r>
      <w:bookmarkEnd w:id="2141"/>
    </w:p>
    <w:p w14:paraId="0CDB9621">
      <w:r>
        <w:rPr>
          <w:rFonts w:hint="eastAsia"/>
        </w:rPr>
        <w:t>（五）协商确定一名非协商代表担任集体协商记录员。</w:t>
      </w:r>
    </w:p>
    <w:p w14:paraId="214535B4">
      <w:pPr>
        <w:ind w:firstLine="422"/>
      </w:pPr>
      <w:r>
        <w:rPr>
          <w:rFonts w:hint="eastAsia"/>
          <w:b/>
        </w:rPr>
        <w:t>第三十四条</w:t>
      </w:r>
      <w:r>
        <w:rPr>
          <w:rFonts w:hint="eastAsia"/>
        </w:rPr>
        <w:t>　集体协商会议由双方首席代表轮流主持。</w:t>
      </w:r>
    </w:p>
    <w:p w14:paraId="345F6896">
      <w:pPr>
        <w:ind w:firstLine="422"/>
      </w:pPr>
      <w:r>
        <w:rPr>
          <w:rFonts w:hint="eastAsia"/>
          <w:b/>
        </w:rPr>
        <w:t>第三十五条</w:t>
      </w:r>
      <w:r>
        <w:rPr>
          <w:rFonts w:hint="eastAsia"/>
        </w:rPr>
        <w:t>　集体协商会议按照下列议程进行：</w:t>
      </w:r>
    </w:p>
    <w:p w14:paraId="107D7E31">
      <w:bookmarkStart w:id="2142" w:name="_Toc428780518"/>
      <w:r>
        <w:rPr>
          <w:rFonts w:hint="eastAsia"/>
        </w:rPr>
        <w:t>（一）宣布会议议题和会议纪律；</w:t>
      </w:r>
      <w:bookmarkEnd w:id="2142"/>
    </w:p>
    <w:p w14:paraId="77AC7F01">
      <w:r>
        <w:rPr>
          <w:rFonts w:hint="eastAsia"/>
        </w:rPr>
        <w:t>（二）提出议题一方的代表，就议题的具体内容和要求作出说明；</w:t>
      </w:r>
    </w:p>
    <w:p w14:paraId="109A27A2">
      <w:r>
        <w:rPr>
          <w:rFonts w:hint="eastAsia"/>
        </w:rPr>
        <w:t>（三）协商双方就协商事项开展讨论；</w:t>
      </w:r>
    </w:p>
    <w:p w14:paraId="51EB4FE0">
      <w:r>
        <w:rPr>
          <w:rFonts w:hint="eastAsia"/>
        </w:rPr>
        <w:t>（四）双方首席代表归纳讨论意见；</w:t>
      </w:r>
    </w:p>
    <w:p w14:paraId="4B96AEDF">
      <w:r>
        <w:rPr>
          <w:rFonts w:hint="eastAsia"/>
        </w:rPr>
        <w:t>（五）双方首席代表在集体协商会议记录上签字。</w:t>
      </w:r>
    </w:p>
    <w:p w14:paraId="41340635">
      <w:r>
        <w:rPr>
          <w:rFonts w:hint="eastAsia"/>
        </w:rPr>
        <w:t>集体协商过程中的临时提议，取得对方同意后，可以列入协商程序。</w:t>
      </w:r>
    </w:p>
    <w:p w14:paraId="2B960246">
      <w:pPr>
        <w:ind w:firstLine="422"/>
      </w:pPr>
      <w:r>
        <w:rPr>
          <w:rFonts w:hint="eastAsia"/>
          <w:b/>
        </w:rPr>
        <w:t>第三十六条</w:t>
      </w:r>
      <w:r>
        <w:rPr>
          <w:rFonts w:hint="eastAsia"/>
        </w:rPr>
        <w:t>　集体合同期限一般为三年。</w:t>
      </w:r>
    </w:p>
    <w:p w14:paraId="6F3A693B">
      <w:pPr>
        <w:ind w:firstLine="422"/>
      </w:pPr>
      <w:r>
        <w:rPr>
          <w:rFonts w:hint="eastAsia"/>
          <w:b/>
        </w:rPr>
        <w:t>第三十七条</w:t>
      </w:r>
      <w:r>
        <w:rPr>
          <w:rFonts w:hint="eastAsia"/>
        </w:rPr>
        <w:t>　集体协商未达成一致意见或者出现事先未预料的情形时，可以中止协商，双方应当协商确定下次协商的时间、地点、内容。中止协商期限不得超过六十日。</w:t>
      </w:r>
    </w:p>
    <w:p w14:paraId="38863B12">
      <w:pPr>
        <w:ind w:firstLine="422"/>
      </w:pPr>
      <w:r>
        <w:rPr>
          <w:rFonts w:hint="eastAsia"/>
          <w:b/>
        </w:rPr>
        <w:t>第三十八条</w:t>
      </w:r>
      <w:r>
        <w:rPr>
          <w:rFonts w:hint="eastAsia"/>
        </w:rPr>
        <w:t>　经集体协商双方协商一致的，形成集体合同草案。集体合同草案应当提交职工代表大会、职工大会或者职工代表会议讨论。</w:t>
      </w:r>
    </w:p>
    <w:p w14:paraId="09998048">
      <w:r>
        <w:rPr>
          <w:rFonts w:hint="eastAsia"/>
        </w:rPr>
        <w:t>职工代表大会、职工大会或者职工代表会议讨论集体合同草案，应当有三分之二以上职工代表或者职工出席，并经全体职工代表半数以上或者全体职工半数以上同意，集体合同草案方获通过。</w:t>
      </w:r>
    </w:p>
    <w:p w14:paraId="5F877485">
      <w:pPr>
        <w:ind w:firstLine="422"/>
      </w:pPr>
      <w:r>
        <w:rPr>
          <w:rFonts w:hint="eastAsia"/>
          <w:b/>
        </w:rPr>
        <w:t>第三十九条</w:t>
      </w:r>
      <w:r>
        <w:rPr>
          <w:rFonts w:hint="eastAsia"/>
        </w:rPr>
        <w:t>　集体合同草案经职工代表大会、职工大会或者职工代表会议审议通过后，由集体协商双方的首席代表签字，并自双方签字之日起十日内，由用人单位向所在地的区、县劳动保障行政部门备案。自备案之日起十五日内劳动保障行政部门未提出异议的，集体合同即行生效。</w:t>
      </w:r>
    </w:p>
    <w:p w14:paraId="2BFD5FE3"/>
    <w:p w14:paraId="753C8880">
      <w:pPr>
        <w:ind w:firstLine="0" w:firstLineChars="0"/>
        <w:jc w:val="center"/>
        <w:rPr>
          <w:b/>
          <w:sz w:val="28"/>
        </w:rPr>
      </w:pPr>
      <w:r>
        <w:rPr>
          <w:rFonts w:hint="eastAsia"/>
          <w:b/>
          <w:sz w:val="28"/>
        </w:rPr>
        <w:t>第五章　集体合同履行</w:t>
      </w:r>
    </w:p>
    <w:p w14:paraId="378099DD"/>
    <w:p w14:paraId="01A419F4">
      <w:pPr>
        <w:ind w:firstLine="422"/>
      </w:pPr>
      <w:r>
        <w:rPr>
          <w:rFonts w:hint="eastAsia"/>
          <w:b/>
        </w:rPr>
        <w:t>第四十条</w:t>
      </w:r>
      <w:r>
        <w:rPr>
          <w:rFonts w:hint="eastAsia"/>
        </w:rPr>
        <w:t>　集体合同一经生效，集体合同双方应当履行。</w:t>
      </w:r>
    </w:p>
    <w:p w14:paraId="03FC30BB">
      <w:r>
        <w:rPr>
          <w:rFonts w:hint="eastAsia"/>
        </w:rPr>
        <w:t>履行集体合同过程中发现的问题，及时向对方通报，协商处理。</w:t>
      </w:r>
    </w:p>
    <w:p w14:paraId="608E6878">
      <w:pPr>
        <w:ind w:firstLine="422"/>
      </w:pPr>
      <w:r>
        <w:rPr>
          <w:rFonts w:hint="eastAsia"/>
          <w:b/>
        </w:rPr>
        <w:t>第四十一条</w:t>
      </w:r>
      <w:r>
        <w:rPr>
          <w:rFonts w:hint="eastAsia"/>
        </w:rPr>
        <w:t>　集体合同双方应当建立集体合同履行情况的监督检查制度。集体合同一方或者双方每年至少向职工代表大会、职工大会或者职工代表会议报告一次集体合同履行情况。</w:t>
      </w:r>
    </w:p>
    <w:p w14:paraId="097F886E">
      <w:pPr>
        <w:ind w:firstLine="422"/>
      </w:pPr>
      <w:r>
        <w:rPr>
          <w:rFonts w:hint="eastAsia"/>
          <w:b/>
        </w:rPr>
        <w:t>第四十二条</w:t>
      </w:r>
      <w:r>
        <w:rPr>
          <w:rFonts w:hint="eastAsia"/>
        </w:rPr>
        <w:t>　符合下列情形之一的，可以变更或者解除集体合同：</w:t>
      </w:r>
    </w:p>
    <w:p w14:paraId="1F967E2E">
      <w:r>
        <w:rPr>
          <w:rFonts w:hint="eastAsia"/>
        </w:rPr>
        <w:t>（一）双方协商一致的；</w:t>
      </w:r>
    </w:p>
    <w:p w14:paraId="1B73DB17">
      <w:r>
        <w:rPr>
          <w:rFonts w:hint="eastAsia"/>
        </w:rPr>
        <w:t>（二）集体合同约定的变更或者解除条件出现的；</w:t>
      </w:r>
    </w:p>
    <w:p w14:paraId="224C1847">
      <w:r>
        <w:rPr>
          <w:rFonts w:hint="eastAsia"/>
        </w:rPr>
        <w:t>（三）订立集体合同时所依据的客观情况发生重大变化，致使集体合同无法履行的；</w:t>
      </w:r>
    </w:p>
    <w:p w14:paraId="04052D66">
      <w:r>
        <w:rPr>
          <w:rFonts w:hint="eastAsia"/>
        </w:rPr>
        <w:t>（四）因不可抗力致使集体合同无法履行的；</w:t>
      </w:r>
    </w:p>
    <w:p w14:paraId="380A1725">
      <w:r>
        <w:rPr>
          <w:rFonts w:hint="eastAsia"/>
        </w:rPr>
        <w:t>（五）法律、法规、规章规定的其他情形。</w:t>
      </w:r>
    </w:p>
    <w:p w14:paraId="1A709C6B">
      <w:r>
        <w:rPr>
          <w:rFonts w:hint="eastAsia"/>
        </w:rPr>
        <w:t>变更或者解除集体合同适用本条例规定的集体协商程序。</w:t>
      </w:r>
    </w:p>
    <w:p w14:paraId="4A4E5DB3">
      <w:pPr>
        <w:ind w:firstLine="422"/>
      </w:pPr>
      <w:r>
        <w:rPr>
          <w:rFonts w:hint="eastAsia"/>
          <w:b/>
        </w:rPr>
        <w:t>第四十三条</w:t>
      </w:r>
      <w:r>
        <w:rPr>
          <w:rFonts w:hint="eastAsia"/>
        </w:rPr>
        <w:t>　集体合同期满前三个月内，任何一方均可向对方提出续订的要求，双方同意续订集体合同的，协商续订集体合同。</w:t>
      </w:r>
    </w:p>
    <w:p w14:paraId="797170BA">
      <w:r>
        <w:rPr>
          <w:rFonts w:hint="eastAsia"/>
        </w:rPr>
        <w:t>续订集体合同适用本条例规定的集体协商和集体合同订立程序。</w:t>
      </w:r>
    </w:p>
    <w:p w14:paraId="46B25B08">
      <w:pPr>
        <w:ind w:firstLine="422"/>
      </w:pPr>
      <w:r>
        <w:rPr>
          <w:rFonts w:hint="eastAsia"/>
          <w:b/>
        </w:rPr>
        <w:t>第四十四条</w:t>
      </w:r>
      <w:r>
        <w:rPr>
          <w:rFonts w:hint="eastAsia"/>
        </w:rPr>
        <w:t>　有下列情形之一的，集体合同终止：</w:t>
      </w:r>
    </w:p>
    <w:p w14:paraId="78BC3357">
      <w:bookmarkStart w:id="2143" w:name="_Toc428780519"/>
      <w:r>
        <w:rPr>
          <w:rFonts w:hint="eastAsia"/>
        </w:rPr>
        <w:t>（一）用人单位依法破产、解散的；</w:t>
      </w:r>
      <w:bookmarkEnd w:id="2143"/>
    </w:p>
    <w:p w14:paraId="5453B386">
      <w:r>
        <w:rPr>
          <w:rFonts w:hint="eastAsia"/>
        </w:rPr>
        <w:t>（二）集体合同期满或者双方约定的终止条件出现的；</w:t>
      </w:r>
    </w:p>
    <w:p w14:paraId="25F436D9">
      <w:r>
        <w:rPr>
          <w:rFonts w:hint="eastAsia"/>
        </w:rPr>
        <w:t>（三）集体合同期满后，一方不同意续订集体合同的。</w:t>
      </w:r>
    </w:p>
    <w:p w14:paraId="65E052D5">
      <w:pPr>
        <w:ind w:firstLine="422"/>
      </w:pPr>
      <w:r>
        <w:rPr>
          <w:rFonts w:hint="eastAsia"/>
          <w:b/>
        </w:rPr>
        <w:t>第四十五条</w:t>
      </w:r>
      <w:r>
        <w:rPr>
          <w:rFonts w:hint="eastAsia"/>
        </w:rPr>
        <w:t>　因履行集体合同发生的争议，当事人协商解决不成的，可以依法向劳动争议仲裁委员会申请仲裁。</w:t>
      </w:r>
    </w:p>
    <w:p w14:paraId="3D85A005"/>
    <w:p w14:paraId="4DC06C8F">
      <w:pPr>
        <w:ind w:firstLine="0" w:firstLineChars="0"/>
        <w:jc w:val="center"/>
        <w:rPr>
          <w:b/>
          <w:sz w:val="28"/>
        </w:rPr>
      </w:pPr>
      <w:r>
        <w:rPr>
          <w:rFonts w:hint="eastAsia"/>
          <w:b/>
          <w:sz w:val="28"/>
        </w:rPr>
        <w:t>第六章　管理和监督</w:t>
      </w:r>
    </w:p>
    <w:p w14:paraId="734BD378"/>
    <w:p w14:paraId="70BDABA5">
      <w:pPr>
        <w:ind w:firstLine="422"/>
      </w:pPr>
      <w:r>
        <w:rPr>
          <w:rFonts w:hint="eastAsia"/>
          <w:b/>
        </w:rPr>
        <w:t>第四十六条</w:t>
      </w:r>
      <w:r>
        <w:rPr>
          <w:rFonts w:hint="eastAsia"/>
        </w:rPr>
        <w:t>　用人单位报送集体合同备案时，应当提交以下材料：</w:t>
      </w:r>
    </w:p>
    <w:p w14:paraId="6C0FFE5C">
      <w:r>
        <w:rPr>
          <w:rFonts w:hint="eastAsia"/>
        </w:rPr>
        <w:t>（一）首席代表和协商代表的姓名、性别、年龄、工作单位、职务、居民身份证号码；</w:t>
      </w:r>
    </w:p>
    <w:p w14:paraId="1B3945D8">
      <w:r>
        <w:rPr>
          <w:rFonts w:hint="eastAsia"/>
        </w:rPr>
        <w:t>（二）职工代表大会、职工大会或者职工代表会议通过集体合同的决议；</w:t>
      </w:r>
    </w:p>
    <w:p w14:paraId="23919C54">
      <w:r>
        <w:rPr>
          <w:rFonts w:hint="eastAsia"/>
        </w:rPr>
        <w:t>（三）集体合同正式文本；</w:t>
      </w:r>
    </w:p>
    <w:p w14:paraId="2E29728C">
      <w:r>
        <w:rPr>
          <w:rFonts w:hint="eastAsia"/>
        </w:rPr>
        <w:t>（四）注册登记证明。</w:t>
      </w:r>
    </w:p>
    <w:p w14:paraId="04A8CC4E">
      <w:pPr>
        <w:ind w:firstLine="422"/>
      </w:pPr>
      <w:r>
        <w:rPr>
          <w:rFonts w:hint="eastAsia"/>
          <w:b/>
        </w:rPr>
        <w:t>第四十七条</w:t>
      </w:r>
      <w:r>
        <w:rPr>
          <w:rFonts w:hint="eastAsia"/>
        </w:rPr>
        <w:t>　集体合同双方经协商变更集体合同相关内容的，应当按照本条例第四十六条的规定报送劳动保障行政部门。</w:t>
      </w:r>
    </w:p>
    <w:p w14:paraId="7E8EF524">
      <w:pPr>
        <w:ind w:firstLine="422"/>
      </w:pPr>
      <w:r>
        <w:rPr>
          <w:rFonts w:hint="eastAsia"/>
          <w:b/>
        </w:rPr>
        <w:t>第四十八条</w:t>
      </w:r>
      <w:r>
        <w:rPr>
          <w:rFonts w:hint="eastAsia"/>
        </w:rPr>
        <w:t>　集体合同双方依法解除、终止集体合同，应当自解除、终止集体合同之日起十日内报送用人单位所在地的区、县劳动保障行政部门备案。</w:t>
      </w:r>
    </w:p>
    <w:p w14:paraId="64EDC671">
      <w:pPr>
        <w:ind w:firstLine="422"/>
      </w:pPr>
      <w:r>
        <w:rPr>
          <w:rFonts w:hint="eastAsia"/>
          <w:b/>
        </w:rPr>
        <w:t>第四十九条</w:t>
      </w:r>
      <w:r>
        <w:rPr>
          <w:rFonts w:hint="eastAsia"/>
        </w:rPr>
        <w:t>　集体协商过程中发生争议，当事人不能协商解决的，当事人一方或者双方可以向用人单位所在地的区、县劳动保障行政部门提出协调处理的书面申请；涉及调整劳动关系的重大问题，由劳动保障行政部门会同同级工会和企业组织协调处理。</w:t>
      </w:r>
    </w:p>
    <w:p w14:paraId="52032558">
      <w:pPr>
        <w:ind w:firstLine="422"/>
      </w:pPr>
      <w:r>
        <w:rPr>
          <w:rFonts w:hint="eastAsia"/>
          <w:b/>
        </w:rPr>
        <w:t>第五十条</w:t>
      </w:r>
      <w:r>
        <w:rPr>
          <w:rFonts w:hint="eastAsia"/>
        </w:rPr>
        <w:t>　劳动保障行政部门自受理协调处理集体协商争议申请之日起三十日内应当结束协调处理工作。遇有特殊情况，可以适当延长协调期限，但延长期限不得超过十五日。</w:t>
      </w:r>
    </w:p>
    <w:p w14:paraId="69271E16">
      <w:pPr>
        <w:ind w:firstLine="422"/>
      </w:pPr>
      <w:r>
        <w:rPr>
          <w:rFonts w:hint="eastAsia"/>
          <w:b/>
        </w:rPr>
        <w:t>第五十一条</w:t>
      </w:r>
      <w:r>
        <w:rPr>
          <w:rFonts w:hint="eastAsia"/>
        </w:rPr>
        <w:t>　劳动保障行政部门协调处理集体协商争议应当制作协调处理协议书，双方当事人就某些协商事项不能达成一致的，应将继续协商的有关事项予以载明。</w:t>
      </w:r>
    </w:p>
    <w:p w14:paraId="4DF01A72"/>
    <w:p w14:paraId="78392075">
      <w:pPr>
        <w:ind w:firstLine="0" w:firstLineChars="0"/>
        <w:jc w:val="center"/>
        <w:rPr>
          <w:b/>
          <w:sz w:val="28"/>
        </w:rPr>
      </w:pPr>
      <w:r>
        <w:rPr>
          <w:rFonts w:hint="eastAsia"/>
          <w:b/>
          <w:sz w:val="28"/>
        </w:rPr>
        <w:t>第七章　法律责任</w:t>
      </w:r>
    </w:p>
    <w:p w14:paraId="06A3A976"/>
    <w:p w14:paraId="6044E8EE">
      <w:pPr>
        <w:ind w:firstLine="422"/>
      </w:pPr>
      <w:r>
        <w:rPr>
          <w:rFonts w:hint="eastAsia"/>
          <w:b/>
        </w:rPr>
        <w:t>第五十二条</w:t>
      </w:r>
      <w:r>
        <w:rPr>
          <w:rFonts w:hint="eastAsia"/>
        </w:rPr>
        <w:t>　用人单位违反本条例第十七条规定变更职工一方协商代表工作岗位的，应当恢复其原工作；造成损害的，应当承担赔偿责任。</w:t>
      </w:r>
    </w:p>
    <w:p w14:paraId="149A30F2">
      <w:pPr>
        <w:ind w:firstLine="422"/>
      </w:pPr>
      <w:r>
        <w:rPr>
          <w:rFonts w:hint="eastAsia"/>
          <w:b/>
        </w:rPr>
        <w:t>第五十三条</w:t>
      </w:r>
      <w:r>
        <w:rPr>
          <w:rFonts w:hint="eastAsia"/>
        </w:rPr>
        <w:t>　用人单位违反本条例第十九条规定解除职工一方协商代表劳动合同的，原劳动合同应当继续履行；给职工一方协商代表造成损害的，应当承担赔偿责任。由此引发的劳动争议，可以向劳动争议仲裁委员会申请仲裁。</w:t>
      </w:r>
    </w:p>
    <w:p w14:paraId="6931C5DA">
      <w:pPr>
        <w:ind w:firstLine="422"/>
      </w:pPr>
      <w:r>
        <w:rPr>
          <w:rFonts w:hint="eastAsia"/>
          <w:b/>
        </w:rPr>
        <w:t>第五十四条</w:t>
      </w:r>
      <w:r>
        <w:rPr>
          <w:rFonts w:hint="eastAsia"/>
        </w:rPr>
        <w:t>　违反本条例第三十二条第二款规定，拒绝或者拖延进行集体协商的，按照《中华人民共和国工会法》及有关法律、法规的规定处理。</w:t>
      </w:r>
    </w:p>
    <w:p w14:paraId="7E500638">
      <w:pPr>
        <w:ind w:firstLine="422"/>
      </w:pPr>
      <w:r>
        <w:rPr>
          <w:rFonts w:hint="eastAsia"/>
          <w:b/>
        </w:rPr>
        <w:t>第五十五条</w:t>
      </w:r>
      <w:r>
        <w:rPr>
          <w:rFonts w:hint="eastAsia"/>
        </w:rPr>
        <w:t>　因集体合同当事人一方的过错导致集体合同无法履行的，有过错的一方应当及时改正，集体合同继续履行；给另一方造成损失的，应当按照法律、法规、规章的规定和集体合同的约定承担相应责任。</w:t>
      </w:r>
    </w:p>
    <w:p w14:paraId="2132D58E">
      <w:pPr>
        <w:ind w:firstLine="422"/>
      </w:pPr>
      <w:r>
        <w:rPr>
          <w:rFonts w:hint="eastAsia"/>
          <w:b/>
        </w:rPr>
        <w:t>第五十六条</w:t>
      </w:r>
      <w:r>
        <w:rPr>
          <w:rFonts w:hint="eastAsia"/>
        </w:rPr>
        <w:t>　劳动保障行政部门和其他有关部门的工作人员在管理和监督集体合同工作中，滥用职权、玩忽职守的，由上级主管部门追究责任人的责任；构成犯罪的，依法追究刑事责任。</w:t>
      </w:r>
    </w:p>
    <w:p w14:paraId="6C0FC084"/>
    <w:p w14:paraId="2BC31D7C">
      <w:pPr>
        <w:ind w:firstLine="0" w:firstLineChars="0"/>
        <w:jc w:val="center"/>
        <w:rPr>
          <w:b/>
          <w:sz w:val="28"/>
        </w:rPr>
      </w:pPr>
      <w:r>
        <w:rPr>
          <w:rFonts w:hint="eastAsia"/>
          <w:b/>
          <w:sz w:val="28"/>
        </w:rPr>
        <w:t>第八章　附　则</w:t>
      </w:r>
    </w:p>
    <w:p w14:paraId="6209C19A"/>
    <w:p w14:paraId="2A757B21">
      <w:pPr>
        <w:ind w:firstLine="422"/>
      </w:pPr>
      <w:r>
        <w:rPr>
          <w:rFonts w:hint="eastAsia"/>
          <w:b/>
        </w:rPr>
        <w:t>第五十七条</w:t>
      </w:r>
      <w:r>
        <w:rPr>
          <w:rFonts w:hint="eastAsia"/>
        </w:rPr>
        <w:t>　区域、行业工会组织代表职工与相应的用人单位推选的代表进行集体协商，签订区域、行业集体合同的，参照本条例执行。</w:t>
      </w:r>
    </w:p>
    <w:p w14:paraId="0BBEBA39">
      <w:pPr>
        <w:ind w:firstLine="422"/>
      </w:pPr>
      <w:r>
        <w:rPr>
          <w:rFonts w:hint="eastAsia"/>
          <w:b/>
        </w:rPr>
        <w:t>第五十八条</w:t>
      </w:r>
      <w:r>
        <w:rPr>
          <w:rFonts w:hint="eastAsia"/>
        </w:rPr>
        <w:t>　本条例</w:t>
      </w:r>
      <w:r>
        <w:rPr>
          <w:rFonts w:hint="eastAsia" w:ascii="宋体" w:hAnsi="宋体" w:eastAsia="宋体" w:cs="宋体"/>
        </w:rPr>
        <w:t>自2005年11月1日</w:t>
      </w:r>
      <w:r>
        <w:rPr>
          <w:rFonts w:hint="eastAsia"/>
        </w:rPr>
        <w:t>起施行。</w:t>
      </w:r>
    </w:p>
    <w:p w14:paraId="110C3AAC">
      <w:pPr>
        <w:pStyle w:val="4"/>
        <w:pageBreakBefore/>
      </w:pPr>
      <w:bookmarkStart w:id="2144" w:name="_Toc426467067"/>
      <w:bookmarkStart w:id="2145" w:name="_Toc428781815"/>
      <w:bookmarkStart w:id="2146" w:name="_Toc428780520"/>
      <w:r>
        <w:rPr>
          <w:rFonts w:hint="eastAsia"/>
        </w:rPr>
        <w:t>北京市工人技师考评和聘任暂行办法</w:t>
      </w:r>
      <w:bookmarkEnd w:id="2144"/>
      <w:bookmarkEnd w:id="2145"/>
      <w:bookmarkEnd w:id="2146"/>
    </w:p>
    <w:p w14:paraId="55B63D56">
      <w:pPr>
        <w:ind w:left="630" w:leftChars="300" w:right="630" w:rightChars="300"/>
        <w:rPr>
          <w:rFonts w:ascii="楷体" w:hAnsi="楷体" w:eastAsia="楷体"/>
        </w:rPr>
      </w:pPr>
      <w:r>
        <w:rPr>
          <w:rFonts w:hint="eastAsia" w:ascii="楷体" w:hAnsi="楷体" w:eastAsia="楷体"/>
        </w:rPr>
        <w:t>（1987年9月24日北京市人民政府京政发[1987]117号文件发布　根据2004年6月1日北京市人民政府第150号令修改）</w:t>
      </w:r>
    </w:p>
    <w:p w14:paraId="52DFF425"/>
    <w:p w14:paraId="5D16B956">
      <w:pPr>
        <w:ind w:firstLine="422"/>
      </w:pPr>
      <w:r>
        <w:rPr>
          <w:rFonts w:hint="eastAsia"/>
          <w:b/>
        </w:rPr>
        <w:t>第一条</w:t>
      </w:r>
      <w:r>
        <w:rPr>
          <w:rFonts w:hint="eastAsia"/>
        </w:rPr>
        <w:t xml:space="preserve">  为鼓励工人学习技术、钻研业务，提高技术工人队伍的素质，制定本办法。</w:t>
      </w:r>
    </w:p>
    <w:p w14:paraId="04700236">
      <w:pPr>
        <w:ind w:firstLine="422"/>
      </w:pPr>
      <w:r>
        <w:rPr>
          <w:rFonts w:hint="eastAsia"/>
          <w:b/>
        </w:rPr>
        <w:t>第二条</w:t>
      </w:r>
      <w:r>
        <w:rPr>
          <w:rFonts w:hint="eastAsia"/>
        </w:rPr>
        <w:t xml:space="preserve">  凡本市所属的企业、事业单位、机关、团体考评和聘任工人技师（以下简称技师），均适用本办法。</w:t>
      </w:r>
    </w:p>
    <w:p w14:paraId="3ACC80A0">
      <w:r>
        <w:rPr>
          <w:rFonts w:hint="eastAsia"/>
        </w:rPr>
        <w:t>本市只在经国务院主管部、委提出，经劳动部核定设置技师的工种内考评、聘任技师。技术特别复杂的工种，技师可分为若干等级，最高等级为高级技师。</w:t>
      </w:r>
    </w:p>
    <w:p w14:paraId="63444582">
      <w:pPr>
        <w:ind w:firstLine="422"/>
      </w:pPr>
      <w:r>
        <w:rPr>
          <w:rFonts w:hint="eastAsia"/>
          <w:b/>
        </w:rPr>
        <w:t>第三条</w:t>
      </w:r>
      <w:r>
        <w:rPr>
          <w:rFonts w:hint="eastAsia"/>
        </w:rPr>
        <w:t xml:space="preserve">  市劳动局主管全市技师考评和聘任工作，负责监督本办法的实施。</w:t>
      </w:r>
    </w:p>
    <w:p w14:paraId="703353C0">
      <w:pPr>
        <w:ind w:firstLine="422"/>
      </w:pPr>
      <w:r>
        <w:rPr>
          <w:rFonts w:hint="eastAsia"/>
          <w:b/>
        </w:rPr>
        <w:t>第四条</w:t>
      </w:r>
      <w:r>
        <w:rPr>
          <w:rFonts w:hint="eastAsia"/>
        </w:rPr>
        <w:t xml:space="preserve">  经市劳动局同意，市各行业主管部门成立本行业技师考评委员会（以下简称行业考评委员会），负责本行业技师考评、审批和发证工作。</w:t>
      </w:r>
    </w:p>
    <w:p w14:paraId="036965EC">
      <w:r>
        <w:rPr>
          <w:rFonts w:hint="eastAsia"/>
        </w:rPr>
        <w:t>经区、县、局（总公司）劳动部门同意，企业、事业单位、机关、团体，可以成立本单位的技师考评委员会（以下简称单位考评委员会），负责本单位技师考评工作。没有条件成立技师考评委员会的单位，可委托行业考评委员会考评本单位的技师。</w:t>
      </w:r>
    </w:p>
    <w:p w14:paraId="619421EF">
      <w:r>
        <w:rPr>
          <w:rFonts w:hint="eastAsia"/>
        </w:rPr>
        <w:t>各级考评委员会由主管领导、专业技术干部、技师，劳动工资、职工教育、技术等部门和工会的负责人组成；其中专业技术干部和技师的人数，应占考评委员会全体成员半数以上。</w:t>
      </w:r>
    </w:p>
    <w:p w14:paraId="1C7D6BDF">
      <w:pPr>
        <w:ind w:firstLine="422"/>
      </w:pPr>
      <w:r>
        <w:rPr>
          <w:rFonts w:hint="eastAsia"/>
          <w:b/>
        </w:rPr>
        <w:t>第五条</w:t>
      </w:r>
      <w:r>
        <w:rPr>
          <w:rFonts w:hint="eastAsia"/>
        </w:rPr>
        <w:t xml:space="preserve">  凡符合下列条件的技术工人，由本人提出申请，单位推荐，经单位考评委员会审核同意后，方可报考技师：</w:t>
      </w:r>
    </w:p>
    <w:p w14:paraId="51A14A64">
      <w:bookmarkStart w:id="2147" w:name="_Toc428780521"/>
      <w:r>
        <w:rPr>
          <w:rFonts w:hint="eastAsia"/>
        </w:rPr>
        <w:t>（一）遵守国家法律、法规、规章和劳动纪律，有良好的职业道德；</w:t>
      </w:r>
      <w:bookmarkEnd w:id="2147"/>
    </w:p>
    <w:p w14:paraId="3B070043">
      <w:pPr>
        <w:rPr>
          <w:rFonts w:hint="eastAsia" w:ascii="宋体" w:hAnsi="宋体" w:eastAsia="宋体" w:cs="宋体"/>
        </w:rPr>
      </w:pPr>
      <w:r>
        <w:rPr>
          <w:rFonts w:hint="eastAsia"/>
        </w:rPr>
        <w:t>（二）具有高</w:t>
      </w:r>
      <w:r>
        <w:rPr>
          <w:rFonts w:hint="eastAsia" w:ascii="宋体" w:hAnsi="宋体" w:eastAsia="宋体" w:cs="宋体"/>
        </w:rPr>
        <w:t>中（相当高中）或技工学校毕业以上文化水平（1937年底以前出生，从事本专业生产30年以上的除外）；</w:t>
      </w:r>
    </w:p>
    <w:p w14:paraId="26A73205">
      <w:pPr>
        <w:rPr>
          <w:rFonts w:hint="eastAsia" w:ascii="宋体" w:hAnsi="宋体" w:eastAsia="宋体" w:cs="宋体"/>
        </w:rPr>
      </w:pPr>
      <w:bookmarkStart w:id="2148" w:name="_Toc428780522"/>
      <w:r>
        <w:rPr>
          <w:rFonts w:hint="eastAsia" w:ascii="宋体" w:hAnsi="宋体" w:eastAsia="宋体" w:cs="宋体"/>
        </w:rPr>
        <w:t>（三）连续从事本专业生产15年以上（有特殊技艺者除外）；</w:t>
      </w:r>
      <w:bookmarkEnd w:id="2148"/>
    </w:p>
    <w:p w14:paraId="551723D4">
      <w:r>
        <w:rPr>
          <w:rFonts w:hint="eastAsia" w:ascii="宋体" w:hAnsi="宋体" w:eastAsia="宋体" w:cs="宋体"/>
        </w:rPr>
        <w:t>（四）实际技术水平已达到本工种高级工技术等级标准，同时掌</w:t>
      </w:r>
      <w:r>
        <w:rPr>
          <w:rFonts w:hint="eastAsia"/>
        </w:rPr>
        <w:t>握与本工种相关的两个以上工种的实际操作技能，并达到中级工技术水平；</w:t>
      </w:r>
    </w:p>
    <w:p w14:paraId="08CDA924">
      <w:r>
        <w:rPr>
          <w:rFonts w:hint="eastAsia"/>
        </w:rPr>
        <w:t>（五）技术更新能力强，平时能够出色完成产量、质量、设备保养、安全生产等指标；</w:t>
      </w:r>
    </w:p>
    <w:p w14:paraId="4B49C300">
      <w:r>
        <w:rPr>
          <w:rFonts w:hint="eastAsia"/>
        </w:rPr>
        <w:t>（六）身体健康，能够坚持正常工作。</w:t>
      </w:r>
    </w:p>
    <w:p w14:paraId="2BEA20FC">
      <w:r>
        <w:rPr>
          <w:rFonts w:hint="eastAsia"/>
        </w:rPr>
        <w:t>报考高级技师的，必须是已获得技师证书者。</w:t>
      </w:r>
    </w:p>
    <w:p w14:paraId="0A9DF430">
      <w:pPr>
        <w:ind w:firstLine="422"/>
      </w:pPr>
      <w:r>
        <w:rPr>
          <w:rFonts w:hint="eastAsia"/>
          <w:b/>
        </w:rPr>
        <w:t>第六条</w:t>
      </w:r>
      <w:r>
        <w:rPr>
          <w:rFonts w:hint="eastAsia"/>
        </w:rPr>
        <w:t xml:space="preserve">  对报考技师的技术工人，经市行业主管部门同意，由单位考评委员会按照国务院主管部、委颁发的技师技术标准进行专业技术理论和实际操作技能考核。试题须经行业考评委员会审定。</w:t>
      </w:r>
    </w:p>
    <w:p w14:paraId="08BCD168">
      <w:r>
        <w:rPr>
          <w:rFonts w:hint="eastAsia"/>
        </w:rPr>
        <w:t>没有部颁技师技术标准的，由市行业主管部门制定暂行标准，报国务院主管部、委审定后执行。</w:t>
      </w:r>
    </w:p>
    <w:p w14:paraId="0788FFD5">
      <w:pPr>
        <w:ind w:firstLine="422"/>
      </w:pPr>
      <w:r>
        <w:rPr>
          <w:rFonts w:hint="eastAsia"/>
          <w:b/>
        </w:rPr>
        <w:t>第七条</w:t>
      </w:r>
      <w:r>
        <w:rPr>
          <w:rFonts w:hint="eastAsia"/>
        </w:rPr>
        <w:t xml:space="preserve">  对经专业技术理论和实际操作技能考核均达到技师技术标准的，由单位考评委员会进行评审，具备下列条件之一的，可评为技师，报行业考评委员会审批：</w:t>
      </w:r>
    </w:p>
    <w:p w14:paraId="1EA623D0">
      <w:r>
        <w:rPr>
          <w:rFonts w:hint="eastAsia"/>
        </w:rPr>
        <w:t>（一）掌握本工种一般高级工掌握不了的特殊技能，并能解决生产或设备维修等方面的技术难题的；</w:t>
      </w:r>
    </w:p>
    <w:p w14:paraId="047F0756">
      <w:r>
        <w:rPr>
          <w:rFonts w:hint="eastAsia"/>
        </w:rPr>
        <w:t>（二）近</w:t>
      </w:r>
      <w:r>
        <w:rPr>
          <w:rFonts w:hint="eastAsia" w:ascii="宋体" w:hAnsi="宋体" w:eastAsia="宋体" w:cs="宋体"/>
        </w:rPr>
        <w:t>3</w:t>
      </w:r>
      <w:r>
        <w:rPr>
          <w:rFonts w:hint="eastAsia"/>
        </w:rPr>
        <w:t>年内解决两项以上本工种关键性操作技术和生产中的工艺难题，或对设备、工艺、工具设计等方面提出一项以上较重要的革新建议，并取得明显经济效益的；</w:t>
      </w:r>
    </w:p>
    <w:p w14:paraId="6BB5A07B">
      <w:r>
        <w:rPr>
          <w:rFonts w:hint="eastAsia"/>
        </w:rPr>
        <w:t>（三）著有关于本工种专业技术理论或实际操作技能的论著，并正式出版发行，对本工种的生产或培训技术工人具有指导作用的；</w:t>
      </w:r>
    </w:p>
    <w:p w14:paraId="6CD53E61">
      <w:bookmarkStart w:id="2149" w:name="_Toc428780523"/>
      <w:r>
        <w:rPr>
          <w:rFonts w:hint="eastAsia"/>
        </w:rPr>
        <w:t>（四）培训中、高级技术工人做出突出贡献的；</w:t>
      </w:r>
      <w:bookmarkEnd w:id="2149"/>
    </w:p>
    <w:p w14:paraId="7DC6A9C5">
      <w:r>
        <w:rPr>
          <w:rFonts w:hint="eastAsia"/>
        </w:rPr>
        <w:t>（五）高级技师必须是在本行业中技术特别精湛，并为本行业高级技工和技师所公认的；</w:t>
      </w:r>
    </w:p>
    <w:p w14:paraId="361704A6">
      <w:pPr>
        <w:ind w:firstLine="422"/>
      </w:pPr>
      <w:r>
        <w:rPr>
          <w:rFonts w:hint="eastAsia"/>
          <w:b/>
        </w:rPr>
        <w:t>第八条</w:t>
      </w:r>
      <w:r>
        <w:rPr>
          <w:rFonts w:hint="eastAsia"/>
        </w:rPr>
        <w:t xml:space="preserve">  技师由行业考评委员会审核批准，授予市劳动局统一印制的技师证书。</w:t>
      </w:r>
    </w:p>
    <w:p w14:paraId="4BABAAD0">
      <w:pPr>
        <w:ind w:firstLine="422"/>
      </w:pPr>
      <w:r>
        <w:rPr>
          <w:rFonts w:hint="eastAsia"/>
          <w:b/>
        </w:rPr>
        <w:t>第九条</w:t>
      </w:r>
      <w:r>
        <w:rPr>
          <w:rFonts w:hint="eastAsia"/>
        </w:rPr>
        <w:t xml:space="preserve">  技师因违法乱纪被单位辞退、除名、开除以及造成重大责任事故的，由单位考评委员会或劳动部门收回技师证书，并报行业考评委员会备案。</w:t>
      </w:r>
    </w:p>
    <w:p w14:paraId="51713BC6">
      <w:pPr>
        <w:ind w:firstLine="422"/>
      </w:pPr>
      <w:r>
        <w:rPr>
          <w:rFonts w:hint="eastAsia"/>
          <w:b/>
        </w:rPr>
        <w:t>第十条</w:t>
      </w:r>
      <w:r>
        <w:rPr>
          <w:rFonts w:hint="eastAsia"/>
        </w:rPr>
        <w:t xml:space="preserve">  各级考评委员会必须严格按照本办法和技师技术标准考评技师。对弄虚作假，徇私舞弊，滥用职权的，由其所在单位或其上级主管部门按照有关规定给予行政处分；已授予技师证书的，由行业考评委员会收回其技师证书。</w:t>
      </w:r>
    </w:p>
    <w:p w14:paraId="7465E7CC">
      <w:pPr>
        <w:ind w:firstLine="422"/>
      </w:pPr>
      <w:r>
        <w:rPr>
          <w:rFonts w:hint="eastAsia"/>
          <w:b/>
        </w:rPr>
        <w:t>第十一条</w:t>
      </w:r>
      <w:r>
        <w:rPr>
          <w:rFonts w:hint="eastAsia"/>
        </w:rPr>
        <w:t xml:space="preserve">  市各行业主管部门可根据本办法，结合本行业特点，制定实施细则，并报市劳动局备案。</w:t>
      </w:r>
    </w:p>
    <w:p w14:paraId="011009F1">
      <w:pPr>
        <w:ind w:firstLine="422"/>
      </w:pPr>
      <w:r>
        <w:rPr>
          <w:rFonts w:hint="eastAsia"/>
          <w:b/>
        </w:rPr>
        <w:t>第十二条</w:t>
      </w:r>
      <w:r>
        <w:rPr>
          <w:rFonts w:hint="eastAsia"/>
        </w:rPr>
        <w:t xml:space="preserve">  本办法执行中的问题，由市劳动局负责解释。</w:t>
      </w:r>
    </w:p>
    <w:p w14:paraId="3E712D3F">
      <w:pPr>
        <w:ind w:firstLine="422"/>
      </w:pPr>
      <w:r>
        <w:rPr>
          <w:rFonts w:hint="eastAsia"/>
          <w:b/>
        </w:rPr>
        <w:t>第十三条</w:t>
      </w:r>
      <w:r>
        <w:rPr>
          <w:rFonts w:hint="eastAsia"/>
        </w:rPr>
        <w:t xml:space="preserve">  本办法自</w:t>
      </w:r>
      <w:r>
        <w:rPr>
          <w:rFonts w:hint="eastAsia" w:ascii="宋体" w:hAnsi="宋体" w:eastAsia="宋体" w:cs="宋体"/>
        </w:rPr>
        <w:t>1987年10月1日</w:t>
      </w:r>
      <w:r>
        <w:rPr>
          <w:rFonts w:hint="eastAsia"/>
        </w:rPr>
        <w:t>起施行。</w:t>
      </w:r>
    </w:p>
    <w:p w14:paraId="277B28FB">
      <w:pPr>
        <w:pStyle w:val="4"/>
        <w:pageBreakBefore/>
      </w:pPr>
      <w:bookmarkStart w:id="2150" w:name="_Toc428780524"/>
      <w:bookmarkStart w:id="2151" w:name="_Toc426467068"/>
      <w:bookmarkStart w:id="2152" w:name="_Toc428781816"/>
      <w:r>
        <w:rPr>
          <w:rFonts w:hint="eastAsia"/>
        </w:rPr>
        <w:t>北京市人民政府关于外国企业常驻代表</w:t>
      </w:r>
      <w:bookmarkEnd w:id="2150"/>
      <w:bookmarkEnd w:id="2151"/>
      <w:bookmarkEnd w:id="2152"/>
    </w:p>
    <w:p w14:paraId="06700283">
      <w:pPr>
        <w:pStyle w:val="4"/>
      </w:pPr>
      <w:bookmarkStart w:id="2153" w:name="_Toc428781817"/>
      <w:bookmarkStart w:id="2154" w:name="_Toc426467069"/>
      <w:bookmarkStart w:id="2155" w:name="_Toc428780525"/>
      <w:r>
        <w:rPr>
          <w:rFonts w:hint="eastAsia"/>
        </w:rPr>
        <w:t>机构聘用中国雇员的管理规定</w:t>
      </w:r>
      <w:bookmarkEnd w:id="2153"/>
      <w:bookmarkEnd w:id="2154"/>
      <w:bookmarkEnd w:id="2155"/>
    </w:p>
    <w:p w14:paraId="2065CDD6">
      <w:pPr>
        <w:ind w:left="630" w:leftChars="300" w:right="630" w:rightChars="300"/>
        <w:rPr>
          <w:rFonts w:ascii="楷体" w:hAnsi="楷体" w:eastAsia="楷体"/>
        </w:rPr>
      </w:pPr>
      <w:r>
        <w:rPr>
          <w:rFonts w:hint="eastAsia" w:ascii="楷体" w:hAnsi="楷体" w:eastAsia="楷体"/>
        </w:rPr>
        <w:t>（1996年5月14日北京市人民政府第6号令发布  根据1997年12月31日北京市人民政府第12号令修改）</w:t>
      </w:r>
    </w:p>
    <w:p w14:paraId="475E3804"/>
    <w:p w14:paraId="44F5FCAE">
      <w:pPr>
        <w:ind w:firstLine="422"/>
      </w:pPr>
      <w:r>
        <w:rPr>
          <w:rFonts w:hint="eastAsia"/>
          <w:b/>
        </w:rPr>
        <w:t>第一条</w:t>
      </w:r>
      <w:r>
        <w:rPr>
          <w:rFonts w:hint="eastAsia"/>
        </w:rPr>
        <w:t xml:space="preserve">  为保护外国企业常驻代表机构和中国雇员的合法权益，维护外事服务工作秩序，促进对外开放的顺利进行，根据国家有关规定，结合本市实际情况，制定本规定。</w:t>
      </w:r>
    </w:p>
    <w:p w14:paraId="342F6FA8">
      <w:pPr>
        <w:ind w:firstLine="422"/>
      </w:pPr>
      <w:r>
        <w:rPr>
          <w:rFonts w:hint="eastAsia"/>
          <w:b/>
        </w:rPr>
        <w:t>第二条</w:t>
      </w:r>
      <w:r>
        <w:rPr>
          <w:rFonts w:hint="eastAsia"/>
        </w:rPr>
        <w:t xml:space="preserve">  本规定适用于本市行政区域内的下列单位和个人：</w:t>
      </w:r>
    </w:p>
    <w:p w14:paraId="1B2E1ABF">
      <w:bookmarkStart w:id="2156" w:name="_Toc428780526"/>
      <w:r>
        <w:rPr>
          <w:rFonts w:hint="eastAsia"/>
        </w:rPr>
        <w:t>（一）招聘中国雇员的外国企业常驻代表机构；</w:t>
      </w:r>
      <w:bookmarkEnd w:id="2156"/>
    </w:p>
    <w:p w14:paraId="3950C793">
      <w:r>
        <w:rPr>
          <w:rFonts w:hint="eastAsia"/>
        </w:rPr>
        <w:t>（二）向外国企业常驻代表机构求职应聘（包括首席代表或者代表）或者以业务合作、培训、交流等方式到外国企业常驻代表机构工作的中国公民（以下统称中国雇员）；</w:t>
      </w:r>
    </w:p>
    <w:p w14:paraId="5F0444DF">
      <w:r>
        <w:rPr>
          <w:rFonts w:hint="eastAsia"/>
        </w:rPr>
        <w:t>（三）经国家有关部门批准的向外国企业常驻代表机构提供中国雇员的外事服务单位（以下简称外事服务单位）。</w:t>
      </w:r>
    </w:p>
    <w:p w14:paraId="79544CB6">
      <w:pPr>
        <w:ind w:firstLine="422"/>
      </w:pPr>
      <w:r>
        <w:rPr>
          <w:rFonts w:hint="eastAsia"/>
          <w:b/>
        </w:rPr>
        <w:t>第三条</w:t>
      </w:r>
      <w:r>
        <w:rPr>
          <w:rFonts w:hint="eastAsia"/>
        </w:rPr>
        <w:t xml:space="preserve">  市人民政府外事办公室是本市外事服务工作的归口管理机关。</w:t>
      </w:r>
    </w:p>
    <w:p w14:paraId="535FB7C9">
      <w:r>
        <w:rPr>
          <w:rFonts w:hint="eastAsia"/>
        </w:rPr>
        <w:t>市对外经济贸易委员会、市工商行政管理局、市人事局、市劳动局、市公安局、市国家税务局、市地方税务局等有关行政管理机关应当依照各自的职责权限，依法对外事服务工作进行监督管理。</w:t>
      </w:r>
    </w:p>
    <w:p w14:paraId="47CE8CCF">
      <w:pPr>
        <w:ind w:firstLine="422"/>
      </w:pPr>
      <w:r>
        <w:rPr>
          <w:rFonts w:hint="eastAsia"/>
          <w:b/>
        </w:rPr>
        <w:t>第四条</w:t>
      </w:r>
      <w:r>
        <w:rPr>
          <w:rFonts w:hint="eastAsia"/>
        </w:rPr>
        <w:t xml:space="preserve">  外事服务单位经国家有关部门批准后，可以在本市行政区域内从事向外国企业常驻代表机构提供中国雇员的业务；未经批准，任何单位和个人均不得从事向外国企业常驻代表机构提供中国雇员的业务。</w:t>
      </w:r>
    </w:p>
    <w:p w14:paraId="0C452BC2">
      <w:pPr>
        <w:ind w:firstLine="422"/>
      </w:pPr>
      <w:r>
        <w:rPr>
          <w:rFonts w:hint="eastAsia"/>
          <w:b/>
        </w:rPr>
        <w:t>第五条</w:t>
      </w:r>
      <w:r>
        <w:rPr>
          <w:rFonts w:hint="eastAsia"/>
        </w:rPr>
        <w:t xml:space="preserve">  外国企业常驻代表机构招聘中国雇员，必须委托外事服务单位办理，不得私自或者委托其他单位、个人招聘中国雇员。</w:t>
      </w:r>
    </w:p>
    <w:p w14:paraId="104C557A">
      <w:pPr>
        <w:ind w:firstLine="422"/>
      </w:pPr>
      <w:r>
        <w:rPr>
          <w:rFonts w:hint="eastAsia"/>
          <w:b/>
        </w:rPr>
        <w:t>第六条</w:t>
      </w:r>
      <w:r>
        <w:rPr>
          <w:rFonts w:hint="eastAsia"/>
        </w:rPr>
        <w:t xml:space="preserve">  中国公民必须通过外事服务单位向外国企业常驻代表机构求职应聘，不得私自或者通过其他单位、个人到外国企业常驻代表机构求职应聘。</w:t>
      </w:r>
    </w:p>
    <w:p w14:paraId="403F9BF6">
      <w:pPr>
        <w:ind w:firstLine="422"/>
      </w:pPr>
      <w:r>
        <w:rPr>
          <w:rFonts w:hint="eastAsia"/>
          <w:b/>
        </w:rPr>
        <w:t>第七条</w:t>
      </w:r>
      <w:r>
        <w:rPr>
          <w:rFonts w:hint="eastAsia"/>
        </w:rPr>
        <w:t xml:space="preserve">  外事服务单位向外国企业常驻代表机构提供的中国雇员，必须符合下列条件：    （一）具有本市常住户口或者已取得本市公安机关核发的《暂住证》；</w:t>
      </w:r>
    </w:p>
    <w:p w14:paraId="2D5F7589">
      <w:r>
        <w:rPr>
          <w:rFonts w:hint="eastAsia"/>
        </w:rPr>
        <w:t>（二）符合有关法律、法规的其他规定。</w:t>
      </w:r>
    </w:p>
    <w:p w14:paraId="2543B02F">
      <w:pPr>
        <w:ind w:firstLine="422"/>
      </w:pPr>
      <w:r>
        <w:rPr>
          <w:rFonts w:hint="eastAsia"/>
          <w:b/>
        </w:rPr>
        <w:t>第八条</w:t>
      </w:r>
      <w:r>
        <w:rPr>
          <w:rFonts w:hint="eastAsia"/>
        </w:rPr>
        <w:t xml:space="preserve">  外事服务单位应当按照《中华人民共和国劳动法》的规定与中国雇员签订劳动合同，并依法为中国雇员缴纳社会保险费用。</w:t>
      </w:r>
    </w:p>
    <w:p w14:paraId="66C92E4A">
      <w:r>
        <w:rPr>
          <w:rFonts w:hint="eastAsia"/>
        </w:rPr>
        <w:t>外事服务单位与中国雇员发生劳动争议，应当按照《中华人民共和国劳动法》的规定处理。</w:t>
      </w:r>
    </w:p>
    <w:p w14:paraId="2F00D3C7">
      <w:pPr>
        <w:ind w:firstLine="422"/>
      </w:pPr>
      <w:r>
        <w:rPr>
          <w:rFonts w:hint="eastAsia"/>
          <w:b/>
        </w:rPr>
        <w:t>第九条</w:t>
      </w:r>
      <w:r>
        <w:rPr>
          <w:rFonts w:hint="eastAsia"/>
        </w:rPr>
        <w:t xml:space="preserve">  外事服务单位应当自签订劳动合同之日</w:t>
      </w:r>
      <w:r>
        <w:rPr>
          <w:rFonts w:hint="eastAsia" w:ascii="宋体" w:hAnsi="宋体" w:eastAsia="宋体" w:cs="宋体"/>
        </w:rPr>
        <w:t>起15</w:t>
      </w:r>
      <w:r>
        <w:rPr>
          <w:rFonts w:hint="eastAsia"/>
        </w:rPr>
        <w:t>日内向市工商行政管理局申请领取《雇员证》或者《代表证》，办理登记，并向市公安局备案。</w:t>
      </w:r>
    </w:p>
    <w:p w14:paraId="756818BA">
      <w:r>
        <w:rPr>
          <w:rFonts w:hint="eastAsia"/>
        </w:rPr>
        <w:t>《雇员证》和《代表证》是中国雇员在外国企业常驻代表机构中工作的合法凭证。未取得《雇员证》或者《代表证》的中国公民，不得在外国企业常驻代表机构中工作。</w:t>
      </w:r>
    </w:p>
    <w:p w14:paraId="5D971064">
      <w:pPr>
        <w:ind w:firstLine="422"/>
      </w:pPr>
      <w:r>
        <w:rPr>
          <w:rFonts w:hint="eastAsia"/>
          <w:b/>
        </w:rPr>
        <w:t>第十条</w:t>
      </w:r>
      <w:r>
        <w:rPr>
          <w:rFonts w:hint="eastAsia"/>
        </w:rPr>
        <w:t xml:space="preserve">  外事服务单位采取通过大众传播媒体或者举办招聘会、洽谈会、交流会等方式为外国企业常驻代表机构招聘中国雇员提供服务的，必须依照本市的有关规定，到市人事局、市劳动局办理审批手续。</w:t>
      </w:r>
    </w:p>
    <w:p w14:paraId="2D86B125">
      <w:pPr>
        <w:ind w:firstLine="422"/>
      </w:pPr>
      <w:r>
        <w:rPr>
          <w:rFonts w:hint="eastAsia"/>
          <w:b/>
        </w:rPr>
        <w:t>第十一条</w:t>
      </w:r>
      <w:r>
        <w:rPr>
          <w:rFonts w:hint="eastAsia"/>
        </w:rPr>
        <w:t xml:space="preserve">  对违反本规定的行为，按下列规定视情节轻重予以处罚：</w:t>
      </w:r>
    </w:p>
    <w:p w14:paraId="3183786C">
      <w:pPr>
        <w:rPr>
          <w:rFonts w:hint="eastAsia" w:ascii="宋体" w:hAnsi="宋体" w:eastAsia="宋体" w:cs="宋体"/>
        </w:rPr>
      </w:pPr>
      <w:r>
        <w:rPr>
          <w:rFonts w:hint="eastAsia"/>
        </w:rPr>
        <w:t>（一）对违反本规定第四条的规定</w:t>
      </w:r>
      <w:r>
        <w:rPr>
          <w:rFonts w:hint="eastAsia" w:ascii="宋体" w:hAnsi="宋体" w:eastAsia="宋体" w:cs="宋体"/>
        </w:rPr>
        <w:t>向外国企业常驻代表机构提供中国雇员的，由市工商行政管理局责令限期改正，并处以1万元以上3万元以下罚款；</w:t>
      </w:r>
    </w:p>
    <w:p w14:paraId="6C63792B">
      <w:pPr>
        <w:rPr>
          <w:rFonts w:hint="eastAsia" w:ascii="宋体" w:hAnsi="宋体" w:eastAsia="宋体" w:cs="宋体"/>
        </w:rPr>
      </w:pPr>
      <w:r>
        <w:rPr>
          <w:rFonts w:hint="eastAsia" w:ascii="宋体" w:hAnsi="宋体" w:eastAsia="宋体" w:cs="宋体"/>
        </w:rPr>
        <w:t>（二）对私自招聘中国雇员的外国企业常驻代表机构，由市工商行政管理局责令限期改正，并处以1万元以上3万元以下罚款；</w:t>
      </w:r>
    </w:p>
    <w:p w14:paraId="6303C39E">
      <w:pPr>
        <w:rPr>
          <w:rFonts w:hint="eastAsia" w:ascii="宋体" w:hAnsi="宋体" w:eastAsia="宋体" w:cs="宋体"/>
        </w:rPr>
      </w:pPr>
      <w:r>
        <w:rPr>
          <w:rFonts w:hint="eastAsia" w:ascii="宋体" w:hAnsi="宋体" w:eastAsia="宋体" w:cs="宋体"/>
        </w:rPr>
        <w:t>（三）对无《雇员证》或者《代表证》私自到外国企业常驻代表机构工作的中国公民，由市工商行政管理局责令限期改正，并处以5000元罚款；</w:t>
      </w:r>
    </w:p>
    <w:p w14:paraId="4CDB15DD">
      <w:pPr>
        <w:rPr>
          <w:rFonts w:hint="eastAsia" w:ascii="宋体" w:hAnsi="宋体" w:eastAsia="宋体" w:cs="宋体"/>
        </w:rPr>
      </w:pPr>
      <w:r>
        <w:rPr>
          <w:rFonts w:hint="eastAsia" w:ascii="宋体" w:hAnsi="宋体" w:eastAsia="宋体" w:cs="宋体"/>
        </w:rPr>
        <w:t>（四）外事服务单位违反本规定第七条的规定向外国企业常驻代表机构提供中国雇员的或者不按规定向市工商行政管理局领取《雇员证》、《代表证》或者办理登记、变更手续的，由市工商行政管理局处以5000元以上3万元以下罚款；</w:t>
      </w:r>
    </w:p>
    <w:p w14:paraId="25AA5414">
      <w:pPr>
        <w:rPr>
          <w:rFonts w:hint="eastAsia" w:ascii="宋体" w:hAnsi="宋体" w:eastAsia="宋体" w:cs="宋体"/>
        </w:rPr>
      </w:pPr>
      <w:r>
        <w:rPr>
          <w:rFonts w:hint="eastAsia" w:ascii="宋体" w:hAnsi="宋体" w:eastAsia="宋体" w:cs="宋体"/>
        </w:rPr>
        <w:t>（五）外事服务单位违反法律、法规和规章，影响外事服务工作秩序的，由市人民政府外事办公室责令改正，并由有关管理部门按照规定予以处理；情节严重的，经市人民政府批准，报请国家有关部门取消其在本市行政区域内从事向外国企业常驻代表机构提供中国雇员的业务资格。</w:t>
      </w:r>
    </w:p>
    <w:p w14:paraId="71E9C4DF">
      <w:pPr>
        <w:ind w:firstLine="422"/>
      </w:pPr>
      <w:r>
        <w:rPr>
          <w:rFonts w:hint="eastAsia"/>
          <w:b/>
        </w:rPr>
        <w:t>第十二条</w:t>
      </w:r>
      <w:r>
        <w:rPr>
          <w:rFonts w:hint="eastAsia"/>
        </w:rPr>
        <w:t xml:space="preserve">  华侨和香港、澳门、台湾同胞在境外设立的公司、企业和其他经济组织，其驻京代表机构参照本规定执行。</w:t>
      </w:r>
    </w:p>
    <w:p w14:paraId="728D7FCA">
      <w:pPr>
        <w:ind w:firstLine="422"/>
      </w:pPr>
      <w:r>
        <w:rPr>
          <w:rFonts w:hint="eastAsia"/>
          <w:b/>
        </w:rPr>
        <w:t>第十三条</w:t>
      </w:r>
      <w:r>
        <w:rPr>
          <w:rFonts w:hint="eastAsia"/>
        </w:rPr>
        <w:t xml:space="preserve">  本规定执行中的具体问题，由市人民政府外事办公室负责解释。</w:t>
      </w:r>
    </w:p>
    <w:p w14:paraId="414CA158">
      <w:pPr>
        <w:ind w:firstLine="422"/>
      </w:pPr>
      <w:r>
        <w:rPr>
          <w:rFonts w:hint="eastAsia"/>
          <w:b/>
        </w:rPr>
        <w:t>第十四条</w:t>
      </w:r>
      <w:r>
        <w:rPr>
          <w:rFonts w:hint="eastAsia"/>
        </w:rPr>
        <w:t>　本规定自</w:t>
      </w:r>
      <w:r>
        <w:rPr>
          <w:rFonts w:hint="eastAsia" w:ascii="宋体" w:hAnsi="宋体" w:eastAsia="宋体" w:cs="宋体"/>
        </w:rPr>
        <w:t>1996年6月15日</w:t>
      </w:r>
      <w:r>
        <w:rPr>
          <w:rFonts w:hint="eastAsia"/>
        </w:rPr>
        <w:t>起施行。</w:t>
      </w:r>
    </w:p>
    <w:p w14:paraId="3DA033A7">
      <w:pPr>
        <w:pStyle w:val="4"/>
        <w:pageBreakBefore/>
      </w:pPr>
      <w:bookmarkStart w:id="2157" w:name="_Toc428781818"/>
      <w:bookmarkStart w:id="2158" w:name="_Toc426467070"/>
      <w:bookmarkStart w:id="2159" w:name="_Toc428780527"/>
      <w:r>
        <w:rPr>
          <w:rFonts w:hint="eastAsia"/>
        </w:rPr>
        <w:t>北京市人才招聘管理办法</w:t>
      </w:r>
      <w:bookmarkEnd w:id="2157"/>
      <w:bookmarkEnd w:id="2158"/>
      <w:bookmarkEnd w:id="2159"/>
    </w:p>
    <w:p w14:paraId="5278B6F5">
      <w:pPr>
        <w:ind w:left="630" w:leftChars="300" w:right="630" w:rightChars="300"/>
        <w:rPr>
          <w:rFonts w:ascii="楷体" w:hAnsi="楷体" w:eastAsia="楷体"/>
        </w:rPr>
      </w:pPr>
      <w:r>
        <w:rPr>
          <w:rFonts w:hint="eastAsia" w:ascii="楷体" w:hAnsi="楷体" w:eastAsia="楷体"/>
        </w:rPr>
        <w:t>（1998年9月11日北京市人民政府第12号令发布　根据2004年6月1日北京市人民政府第150号令第一次修改　根据2014年7月9日北京市人民政府第259号令第二次修改）</w:t>
      </w:r>
    </w:p>
    <w:p w14:paraId="747A99EF"/>
    <w:p w14:paraId="28DFB940">
      <w:pPr>
        <w:ind w:firstLine="422"/>
      </w:pPr>
      <w:r>
        <w:rPr>
          <w:rFonts w:hint="eastAsia"/>
          <w:b/>
        </w:rPr>
        <w:t>第一条</w:t>
      </w:r>
      <w:r>
        <w:rPr>
          <w:rFonts w:hint="eastAsia"/>
        </w:rPr>
        <w:t xml:space="preserve">  为实施《北京市人才市场管理条例》（以下简称《条例》），制定本办法。</w:t>
      </w:r>
    </w:p>
    <w:p w14:paraId="592BF5B3">
      <w:pPr>
        <w:ind w:firstLine="422"/>
      </w:pPr>
      <w:r>
        <w:rPr>
          <w:rFonts w:hint="eastAsia"/>
          <w:b/>
        </w:rPr>
        <w:t>第二条</w:t>
      </w:r>
      <w:r>
        <w:rPr>
          <w:rFonts w:hint="eastAsia"/>
        </w:rPr>
        <w:t xml:space="preserve">  用人单位在人才招聘活动中必须遵守下列规定：</w:t>
      </w:r>
    </w:p>
    <w:p w14:paraId="06A9E4E9">
      <w:bookmarkStart w:id="2160" w:name="_Toc428780528"/>
      <w:r>
        <w:rPr>
          <w:rFonts w:hint="eastAsia"/>
        </w:rPr>
        <w:t>（一）如实公布拟招聘人才的岗位、数量、条件、待遇等相关信息；</w:t>
      </w:r>
      <w:bookmarkEnd w:id="2160"/>
    </w:p>
    <w:p w14:paraId="36FCF99B">
      <w:r>
        <w:rPr>
          <w:rFonts w:hint="eastAsia"/>
        </w:rPr>
        <w:t>（二）不得超越业务范围招聘；</w:t>
      </w:r>
    </w:p>
    <w:p w14:paraId="6B81FFB6">
      <w:r>
        <w:rPr>
          <w:rFonts w:hint="eastAsia"/>
        </w:rPr>
        <w:t>（三）不得招聘法律、法规规定不得流动的人员；</w:t>
      </w:r>
    </w:p>
    <w:p w14:paraId="23900E81">
      <w:r>
        <w:rPr>
          <w:rFonts w:hint="eastAsia"/>
        </w:rPr>
        <w:t>（四）不得侵犯其他单位以及求职应聘人员的合法权益或者以不正当手段招聘人才；</w:t>
      </w:r>
    </w:p>
    <w:p w14:paraId="1F7BF246">
      <w:bookmarkStart w:id="2161" w:name="_Toc428780529"/>
      <w:r>
        <w:rPr>
          <w:rFonts w:hint="eastAsia"/>
        </w:rPr>
        <w:t>（五）不得以人才招聘为名谋取不正当利益；</w:t>
      </w:r>
      <w:bookmarkEnd w:id="2161"/>
    </w:p>
    <w:p w14:paraId="739496BE">
      <w:r>
        <w:rPr>
          <w:rFonts w:hint="eastAsia"/>
        </w:rPr>
        <w:t>（六）不得以任何名义向求职应聘人员收取任何费用，不得要求求职应聘人员以其财产、证件作抵押；</w:t>
      </w:r>
    </w:p>
    <w:p w14:paraId="3D8E9416">
      <w:r>
        <w:rPr>
          <w:rFonts w:hint="eastAsia"/>
        </w:rPr>
        <w:t>（七）未经应聘个人同意，不得擅自发布、泄露求职应聘人员的资料和信息；</w:t>
      </w:r>
    </w:p>
    <w:p w14:paraId="6384206A">
      <w:r>
        <w:rPr>
          <w:rFonts w:hint="eastAsia"/>
        </w:rPr>
        <w:t>（八）不得擅自使用求职应聘人员的技术、智力成果。</w:t>
      </w:r>
    </w:p>
    <w:p w14:paraId="362E1494">
      <w:pPr>
        <w:ind w:firstLine="422"/>
      </w:pPr>
      <w:r>
        <w:rPr>
          <w:rFonts w:hint="eastAsia"/>
          <w:b/>
        </w:rPr>
        <w:t>第三条</w:t>
      </w:r>
      <w:r>
        <w:rPr>
          <w:rFonts w:hint="eastAsia"/>
        </w:rPr>
        <w:t xml:space="preserve">  用人单位在与应聘个人确定聘用关系时，应当在平等自愿、协商一致的基础上依法签订劳动合同或聘用合同，约定双方的权利和义务。</w:t>
      </w:r>
    </w:p>
    <w:p w14:paraId="41F65453">
      <w:pPr>
        <w:ind w:firstLine="422"/>
      </w:pPr>
      <w:r>
        <w:rPr>
          <w:rFonts w:hint="eastAsia"/>
          <w:b/>
        </w:rPr>
        <w:t>第四条</w:t>
      </w:r>
      <w:r>
        <w:rPr>
          <w:rFonts w:hint="eastAsia"/>
        </w:rPr>
        <w:t xml:space="preserve">  未经用人单位同意，任何单位不得擅自转发、公布其招聘信息，不得强行向用人单位推荐求职应聘人员，干扰用人单位的正常招聘工作。</w:t>
      </w:r>
    </w:p>
    <w:p w14:paraId="369C0F45">
      <w:pPr>
        <w:ind w:firstLine="422"/>
      </w:pPr>
      <w:r>
        <w:rPr>
          <w:rFonts w:hint="eastAsia"/>
          <w:b/>
        </w:rPr>
        <w:t>第五条</w:t>
      </w:r>
      <w:r>
        <w:rPr>
          <w:rFonts w:hint="eastAsia"/>
        </w:rPr>
        <w:t xml:space="preserve">  人才市场中介服务机构为用人单位代理招聘人才，必须取得用人单位的委托或者许可；用人单位必须与中介服务机构签订明确双方权利义务的合同或者协议。</w:t>
      </w:r>
    </w:p>
    <w:p w14:paraId="09EF7E6E">
      <w:pPr>
        <w:ind w:firstLine="422"/>
      </w:pPr>
      <w:r>
        <w:rPr>
          <w:rFonts w:hint="eastAsia"/>
          <w:b/>
        </w:rPr>
        <w:t>第六条</w:t>
      </w:r>
      <w:r>
        <w:rPr>
          <w:rFonts w:hint="eastAsia"/>
        </w:rPr>
        <w:t xml:space="preserve">  用人单位在人才信息网络及人才市场中介服务机构的营业场所中发布招聘信息，信息发布者必须按本办法的规定对招聘信息的真实性、合法性、时效性进行审查。</w:t>
      </w:r>
    </w:p>
    <w:p w14:paraId="342BEF71">
      <w:pPr>
        <w:ind w:firstLine="422"/>
      </w:pPr>
      <w:r>
        <w:rPr>
          <w:rFonts w:hint="eastAsia"/>
          <w:b/>
        </w:rPr>
        <w:t>第七条</w:t>
      </w:r>
      <w:r>
        <w:rPr>
          <w:rFonts w:hint="eastAsia"/>
        </w:rPr>
        <w:t xml:space="preserve">  用人单位所需人才本市不能满足需要时，经市人力资源和社会保障行政部门批准，可招聘外地人才到本市工作。申请时须提交下列材料：</w:t>
      </w:r>
    </w:p>
    <w:p w14:paraId="61390519">
      <w:r>
        <w:rPr>
          <w:rFonts w:hint="eastAsia"/>
        </w:rPr>
        <w:t>（一）书面申请：申请中应写明单位性质、主要业务、确需招聘外地人才的理由、招聘的专业、职位、数量、聘用期限、待遇、招聘地区及招聘方式等；</w:t>
      </w:r>
    </w:p>
    <w:p w14:paraId="3A3D871D">
      <w:r>
        <w:rPr>
          <w:rFonts w:hint="eastAsia"/>
        </w:rPr>
        <w:t>（二）证明用人单位法人资格的有效文件；</w:t>
      </w:r>
    </w:p>
    <w:p w14:paraId="5D22DE0B">
      <w:r>
        <w:rPr>
          <w:rFonts w:hint="eastAsia"/>
        </w:rPr>
        <w:t>（三）聘用合同样本；</w:t>
      </w:r>
    </w:p>
    <w:p w14:paraId="0B3D32EB">
      <w:r>
        <w:rPr>
          <w:rFonts w:hint="eastAsia"/>
        </w:rPr>
        <w:t>（四）用人单位能为外地人才提供食宿等基本生活条件的证明材料。</w:t>
      </w:r>
    </w:p>
    <w:p w14:paraId="44024AB3">
      <w:pPr>
        <w:ind w:firstLine="422"/>
      </w:pPr>
      <w:r>
        <w:rPr>
          <w:rFonts w:hint="eastAsia"/>
          <w:b/>
        </w:rPr>
        <w:t>第八条</w:t>
      </w:r>
      <w:r>
        <w:rPr>
          <w:rFonts w:hint="eastAsia"/>
        </w:rPr>
        <w:t xml:space="preserve">  市和区、县人力资源和社会保障行政部门对用人单位的申请进行审核。符合以下条件的，由市人力资源和社会保障行政部门核发《招聘外地人才批准书》：</w:t>
      </w:r>
    </w:p>
    <w:p w14:paraId="03EA071C">
      <w:bookmarkStart w:id="2162" w:name="_Toc428780530"/>
      <w:r>
        <w:rPr>
          <w:rFonts w:hint="eastAsia"/>
        </w:rPr>
        <w:t>（一）本市人才资源不能满足用人单位需要；</w:t>
      </w:r>
      <w:bookmarkEnd w:id="2162"/>
    </w:p>
    <w:p w14:paraId="7AFF9924">
      <w:r>
        <w:rPr>
          <w:rFonts w:hint="eastAsia"/>
        </w:rPr>
        <w:t>（二）拟招聘的人才不属于法律、法规限制流动的人员。</w:t>
      </w:r>
    </w:p>
    <w:p w14:paraId="6949A813">
      <w:pPr>
        <w:ind w:firstLine="422"/>
      </w:pPr>
      <w:r>
        <w:rPr>
          <w:rFonts w:hint="eastAsia"/>
          <w:b/>
        </w:rPr>
        <w:t>第九条</w:t>
      </w:r>
      <w:r>
        <w:rPr>
          <w:rFonts w:hint="eastAsia"/>
        </w:rPr>
        <w:t xml:space="preserve">  用人单位未经批准擅自招聘外地人才的，由市或者区、县人力资源和社会保障行政部门责令其清退非法聘用的人员。</w:t>
      </w:r>
    </w:p>
    <w:p w14:paraId="19E24245">
      <w:pPr>
        <w:ind w:firstLine="422"/>
      </w:pPr>
      <w:r>
        <w:rPr>
          <w:rFonts w:hint="eastAsia"/>
          <w:b/>
        </w:rPr>
        <w:t>第十条</w:t>
      </w:r>
      <w:r>
        <w:rPr>
          <w:rFonts w:hint="eastAsia"/>
        </w:rPr>
        <w:t xml:space="preserve">  违反本办法的，按《条例》的有关规定予以处罚。</w:t>
      </w:r>
    </w:p>
    <w:p w14:paraId="064C2F62">
      <w:pPr>
        <w:ind w:firstLine="422"/>
      </w:pPr>
      <w:r>
        <w:rPr>
          <w:rFonts w:hint="eastAsia"/>
          <w:b/>
        </w:rPr>
        <w:t>第十一条</w:t>
      </w:r>
      <w:r>
        <w:rPr>
          <w:rFonts w:hint="eastAsia"/>
        </w:rPr>
        <w:t xml:space="preserve">  本办法</w:t>
      </w:r>
      <w:r>
        <w:rPr>
          <w:rFonts w:hint="eastAsia" w:ascii="宋体" w:hAnsi="宋体" w:eastAsia="宋体" w:cs="宋体"/>
        </w:rPr>
        <w:t>自1998年10月15日起</w:t>
      </w:r>
      <w:r>
        <w:rPr>
          <w:rFonts w:hint="eastAsia"/>
        </w:rPr>
        <w:t>施行。</w:t>
      </w:r>
    </w:p>
    <w:p w14:paraId="6BBA1280">
      <w:pPr>
        <w:pStyle w:val="4"/>
        <w:pageBreakBefore/>
      </w:pPr>
      <w:bookmarkStart w:id="2163" w:name="_Toc428781819"/>
      <w:bookmarkStart w:id="2164" w:name="_Toc428780531"/>
      <w:bookmarkStart w:id="2165" w:name="_Toc426467071"/>
      <w:r>
        <w:rPr>
          <w:rFonts w:hint="eastAsia"/>
        </w:rPr>
        <w:t>北京市人才市场中介服务机构管理办法</w:t>
      </w:r>
      <w:bookmarkEnd w:id="2163"/>
      <w:bookmarkEnd w:id="2164"/>
      <w:bookmarkEnd w:id="2165"/>
    </w:p>
    <w:p w14:paraId="2704CF46">
      <w:pPr>
        <w:ind w:left="630" w:leftChars="300" w:right="630" w:rightChars="300"/>
        <w:jc w:val="center"/>
        <w:rPr>
          <w:rFonts w:ascii="楷体" w:hAnsi="楷体" w:eastAsia="楷体"/>
        </w:rPr>
      </w:pPr>
      <w:r>
        <w:rPr>
          <w:rFonts w:hint="eastAsia" w:ascii="楷体" w:hAnsi="楷体" w:eastAsia="楷体"/>
        </w:rPr>
        <w:t>（1998年9月11日北京市人民政府第13号令发布）</w:t>
      </w:r>
    </w:p>
    <w:p w14:paraId="777ADAF4"/>
    <w:p w14:paraId="2E3B8A2E">
      <w:pPr>
        <w:ind w:firstLine="422"/>
      </w:pPr>
      <w:r>
        <w:rPr>
          <w:rFonts w:hint="eastAsia"/>
          <w:b/>
        </w:rPr>
        <w:t>第一条</w:t>
      </w:r>
      <w:r>
        <w:rPr>
          <w:rFonts w:hint="eastAsia"/>
        </w:rPr>
        <w:t xml:space="preserve">  为实施《北京市人才市场管理条例》（以下简称《条例》），制定本办法。</w:t>
      </w:r>
    </w:p>
    <w:p w14:paraId="47F2CEE2">
      <w:pPr>
        <w:ind w:firstLine="422"/>
      </w:pPr>
      <w:r>
        <w:rPr>
          <w:rFonts w:hint="eastAsia"/>
          <w:b/>
        </w:rPr>
        <w:t>第二条</w:t>
      </w:r>
      <w:r>
        <w:rPr>
          <w:rFonts w:hint="eastAsia"/>
        </w:rPr>
        <w:t xml:space="preserve">  申请设立人才市场中介服务机构，应当提交以下材料：</w:t>
      </w:r>
    </w:p>
    <w:p w14:paraId="1EFD1DD8">
      <w:r>
        <w:rPr>
          <w:rFonts w:hint="eastAsia"/>
        </w:rPr>
        <w:t>（一）《北京市人才市场中介服务机构登记申请书》。</w:t>
      </w:r>
    </w:p>
    <w:p w14:paraId="5CE3C149">
      <w:r>
        <w:rPr>
          <w:rFonts w:hint="eastAsia"/>
        </w:rPr>
        <w:t>（二）办公和服务场所证明。自有场所，应当提交房产证明；租赁场所，应当提交不少于1年租赁期的租赁协议和出租方房产证明。</w:t>
      </w:r>
    </w:p>
    <w:p w14:paraId="3182A7F7">
      <w:r>
        <w:rPr>
          <w:rFonts w:hint="eastAsia"/>
        </w:rPr>
        <w:t>（三）资产证明。由有关部门出具的开展人才市场中介服务必备经费的出资验资证明文件。</w:t>
      </w:r>
    </w:p>
    <w:p w14:paraId="6EBB050E">
      <w:r>
        <w:rPr>
          <w:rFonts w:hint="eastAsia"/>
        </w:rPr>
        <w:t>（四）不少</w:t>
      </w:r>
      <w:r>
        <w:rPr>
          <w:rFonts w:hint="eastAsia" w:ascii="宋体" w:hAnsi="宋体" w:eastAsia="宋体" w:cs="宋体"/>
        </w:rPr>
        <w:t>于5名专职工作</w:t>
      </w:r>
      <w:r>
        <w:rPr>
          <w:rFonts w:hint="eastAsia"/>
        </w:rPr>
        <w:t>人员的相关材料和法定代表人（负责人）的任职证明。</w:t>
      </w:r>
    </w:p>
    <w:p w14:paraId="2DCAB598">
      <w:r>
        <w:rPr>
          <w:rFonts w:hint="eastAsia"/>
        </w:rPr>
        <w:t>（五）健全可行的工作规则。包括开展服务的方式、方法和内部管理规章及工作制度。</w:t>
      </w:r>
    </w:p>
    <w:p w14:paraId="7B76195E">
      <w:r>
        <w:rPr>
          <w:rFonts w:hint="eastAsia"/>
        </w:rPr>
        <w:t>（六）服务内容、程序、收费项目和标准。</w:t>
      </w:r>
    </w:p>
    <w:p w14:paraId="460D8740">
      <w:r>
        <w:rPr>
          <w:rFonts w:hint="eastAsia"/>
        </w:rPr>
        <w:t>（七）市、区、县人事局要求提交的其他材料。</w:t>
      </w:r>
    </w:p>
    <w:p w14:paraId="222A437A">
      <w:pPr>
        <w:ind w:firstLine="422"/>
      </w:pPr>
      <w:r>
        <w:rPr>
          <w:rFonts w:hint="eastAsia"/>
          <w:b/>
        </w:rPr>
        <w:t>第三条</w:t>
      </w:r>
      <w:r>
        <w:rPr>
          <w:rFonts w:hint="eastAsia"/>
        </w:rPr>
        <w:t xml:space="preserve">  市、区、县人事局应在接到有关</w:t>
      </w:r>
      <w:r>
        <w:rPr>
          <w:rFonts w:hint="eastAsia" w:ascii="宋体" w:hAnsi="宋体" w:eastAsia="宋体" w:cs="宋体"/>
        </w:rPr>
        <w:t>申请之日起30日内作出决</w:t>
      </w:r>
      <w:r>
        <w:rPr>
          <w:rFonts w:hint="eastAsia"/>
        </w:rPr>
        <w:t>定，对符合规定条件的，予以批准，并由市人事局发给《北京市人才市场中介服务许可证》（以下简称《许可证》）；对不符合规定条件的，不予批准，并向申请单位说明理由。</w:t>
      </w:r>
    </w:p>
    <w:p w14:paraId="5DAF8630">
      <w:pPr>
        <w:ind w:firstLine="422"/>
      </w:pPr>
      <w:r>
        <w:rPr>
          <w:rFonts w:hint="eastAsia"/>
          <w:b/>
        </w:rPr>
        <w:t>第四条</w:t>
      </w:r>
      <w:r>
        <w:rPr>
          <w:rFonts w:hint="eastAsia"/>
        </w:rPr>
        <w:t xml:space="preserve">  人才中介服务机构在取得《许可证》后，应当按照有关规定，到有关部门办理相应手续。</w:t>
      </w:r>
    </w:p>
    <w:p w14:paraId="601B15E1">
      <w:pPr>
        <w:ind w:firstLine="422"/>
      </w:pPr>
      <w:r>
        <w:rPr>
          <w:rFonts w:hint="eastAsia"/>
          <w:b/>
        </w:rPr>
        <w:t>第五条</w:t>
      </w:r>
      <w:r>
        <w:rPr>
          <w:rFonts w:hint="eastAsia"/>
        </w:rPr>
        <w:t xml:space="preserve">  人才市场中介服务机构变更登记事项，应当到原审批机关或者登记机关办理变更手续。</w:t>
      </w:r>
    </w:p>
    <w:p w14:paraId="6E3300A9">
      <w:r>
        <w:rPr>
          <w:rFonts w:hint="eastAsia"/>
        </w:rPr>
        <w:t>已取得《许可证》的中介服务机构，应当每年按期向市人事局申报核验，参加年审。</w:t>
      </w:r>
    </w:p>
    <w:p w14:paraId="20246968">
      <w:r>
        <w:rPr>
          <w:rFonts w:hint="eastAsia"/>
        </w:rPr>
        <w:t>禁止涂改、转借、伪造、出租《许可证》。</w:t>
      </w:r>
    </w:p>
    <w:p w14:paraId="637EEE4E">
      <w:pPr>
        <w:ind w:firstLine="422"/>
      </w:pPr>
      <w:r>
        <w:rPr>
          <w:rFonts w:hint="eastAsia"/>
          <w:b/>
        </w:rPr>
        <w:t>第六条</w:t>
      </w:r>
      <w:r>
        <w:rPr>
          <w:rFonts w:hint="eastAsia"/>
        </w:rPr>
        <w:t xml:space="preserve">  有下列情形之一的，按无《许可证》从事人才市场中介服务活动予以处罚：</w:t>
      </w:r>
    </w:p>
    <w:p w14:paraId="4DE84F40">
      <w:r>
        <w:rPr>
          <w:rFonts w:hint="eastAsia"/>
        </w:rPr>
        <w:t>（一）伪造《许可证》或者采取其他欺骗手段取得《许可证》的。</w:t>
      </w:r>
    </w:p>
    <w:p w14:paraId="07E57075">
      <w:pPr>
        <w:rPr>
          <w:rFonts w:hint="eastAsia" w:ascii="宋体" w:hAnsi="宋体" w:eastAsia="宋体" w:cs="宋体"/>
        </w:rPr>
      </w:pPr>
      <w:r>
        <w:rPr>
          <w:rFonts w:hint="eastAsia"/>
        </w:rPr>
        <w:t>（二）年审不合格或者未参加年审，仍</w:t>
      </w:r>
      <w:r>
        <w:rPr>
          <w:rFonts w:hint="eastAsia" w:ascii="宋体" w:hAnsi="宋体" w:eastAsia="宋体" w:cs="宋体"/>
        </w:rPr>
        <w:t>继续从事人才市场中介服务活动的。</w:t>
      </w:r>
    </w:p>
    <w:p w14:paraId="5863C99E">
      <w:pPr>
        <w:ind w:firstLine="422"/>
      </w:pPr>
      <w:r>
        <w:rPr>
          <w:rFonts w:hint="eastAsia" w:ascii="宋体" w:hAnsi="宋体" w:eastAsia="宋体" w:cs="宋体"/>
          <w:b/>
        </w:rPr>
        <w:t>第七条</w:t>
      </w:r>
      <w:r>
        <w:rPr>
          <w:rFonts w:hint="eastAsia" w:ascii="宋体" w:hAnsi="宋体" w:eastAsia="宋体" w:cs="宋体"/>
        </w:rPr>
        <w:t xml:space="preserve">  本办法实施前已经成立的人才市场中介服务机构，应在本办法实施后3个</w:t>
      </w:r>
      <w:r>
        <w:rPr>
          <w:rFonts w:hint="eastAsia"/>
        </w:rPr>
        <w:t>月内重新办理《许可证》；逾期未办理的，不得继续从事人才市场中介服务活动。</w:t>
      </w:r>
    </w:p>
    <w:p w14:paraId="414D9A80">
      <w:pPr>
        <w:ind w:firstLine="422"/>
      </w:pPr>
      <w:r>
        <w:rPr>
          <w:rFonts w:hint="eastAsia"/>
          <w:b/>
        </w:rPr>
        <w:t>第八条</w:t>
      </w:r>
      <w:r>
        <w:rPr>
          <w:rFonts w:hint="eastAsia"/>
        </w:rPr>
        <w:t xml:space="preserve">  违反本办法的，按《条例》的有关规定予以处罚。</w:t>
      </w:r>
    </w:p>
    <w:p w14:paraId="1D7D5C56">
      <w:pPr>
        <w:ind w:firstLine="422"/>
      </w:pPr>
      <w:r>
        <w:rPr>
          <w:rFonts w:hint="eastAsia"/>
          <w:b/>
        </w:rPr>
        <w:t>第九条</w:t>
      </w:r>
      <w:r>
        <w:rPr>
          <w:rFonts w:hint="eastAsia"/>
        </w:rPr>
        <w:t xml:space="preserve">  本办法自</w:t>
      </w:r>
      <w:r>
        <w:rPr>
          <w:rFonts w:hint="eastAsia" w:ascii="宋体" w:hAnsi="宋体" w:eastAsia="宋体" w:cs="宋体"/>
        </w:rPr>
        <w:t>1998年10月15</w:t>
      </w:r>
      <w:r>
        <w:rPr>
          <w:rFonts w:hint="eastAsia"/>
        </w:rPr>
        <w:t>日起施行。</w:t>
      </w:r>
    </w:p>
    <w:p w14:paraId="01786458">
      <w:pPr>
        <w:pStyle w:val="4"/>
        <w:pageBreakBefore/>
      </w:pPr>
      <w:bookmarkStart w:id="2166" w:name="_Toc426467072"/>
      <w:bookmarkStart w:id="2167" w:name="_Toc428780532"/>
      <w:bookmarkStart w:id="2168" w:name="_Toc428781820"/>
      <w:r>
        <w:rPr>
          <w:rFonts w:hint="eastAsia"/>
        </w:rPr>
        <w:t>北京市人才招聘洽谈会管理办法</w:t>
      </w:r>
      <w:bookmarkEnd w:id="2166"/>
      <w:bookmarkEnd w:id="2167"/>
      <w:bookmarkEnd w:id="2168"/>
    </w:p>
    <w:p w14:paraId="0BD86F60">
      <w:pPr>
        <w:ind w:left="630" w:leftChars="300" w:right="630" w:rightChars="300"/>
        <w:rPr>
          <w:rFonts w:ascii="楷体" w:hAnsi="楷体" w:eastAsia="楷体"/>
        </w:rPr>
      </w:pPr>
      <w:r>
        <w:rPr>
          <w:rFonts w:hint="eastAsia" w:ascii="楷体" w:hAnsi="楷体" w:eastAsia="楷体"/>
        </w:rPr>
        <w:t>（1998年9月16日北京市人民政府第14号令发布　根据2001年8月27日北京市人民政府第82号令第一次修改　根据2014年7月9日北京市人民政府第259号令第二次修改）</w:t>
      </w:r>
    </w:p>
    <w:p w14:paraId="485B313B"/>
    <w:p w14:paraId="63F05939">
      <w:pPr>
        <w:ind w:firstLine="422"/>
      </w:pPr>
      <w:r>
        <w:rPr>
          <w:rFonts w:hint="eastAsia"/>
          <w:b/>
        </w:rPr>
        <w:t>第一条</w:t>
      </w:r>
      <w:r>
        <w:rPr>
          <w:rFonts w:hint="eastAsia"/>
        </w:rPr>
        <w:t xml:space="preserve">  为实施《北京市人才市场管理条例》（以下简称《条例》），制定本办法。</w:t>
      </w:r>
    </w:p>
    <w:p w14:paraId="3AC06212">
      <w:pPr>
        <w:ind w:firstLine="422"/>
      </w:pPr>
      <w:r>
        <w:rPr>
          <w:rFonts w:hint="eastAsia"/>
          <w:b/>
        </w:rPr>
        <w:t>第二条</w:t>
      </w:r>
      <w:r>
        <w:rPr>
          <w:rFonts w:hint="eastAsia"/>
        </w:rPr>
        <w:t xml:space="preserve">  凡举办名称冠以“人才”字样，或以招聘专业技术人员、管理人员、应届大中专毕业生、毕业研究生为主要内容的人才招聘洽谈会，应当遵守《条例》和本办法。</w:t>
      </w:r>
    </w:p>
    <w:p w14:paraId="44353AC3">
      <w:pPr>
        <w:ind w:firstLine="422"/>
      </w:pPr>
      <w:r>
        <w:rPr>
          <w:rFonts w:hint="eastAsia"/>
          <w:b/>
        </w:rPr>
        <w:t>第三条</w:t>
      </w:r>
      <w:r>
        <w:rPr>
          <w:rFonts w:hint="eastAsia"/>
        </w:rPr>
        <w:t xml:space="preserve">  举办人才招聘洽谈会必须符合下列条件：</w:t>
      </w:r>
    </w:p>
    <w:p w14:paraId="0EB2C79B">
      <w:r>
        <w:rPr>
          <w:rFonts w:hint="eastAsia"/>
        </w:rPr>
        <w:t>（一）主办单位必须是持有《北京市人才市场中介服务许可证》并具有此项业务的人才市场中介服务机构；</w:t>
      </w:r>
    </w:p>
    <w:p w14:paraId="31B3E7F6">
      <w:r>
        <w:rPr>
          <w:rFonts w:hint="eastAsia"/>
        </w:rPr>
        <w:t>（二）人才招聘洽谈会的名称、内容必须符合主办单位的业务范围以及国家和本市的有关规定；</w:t>
      </w:r>
    </w:p>
    <w:p w14:paraId="4B9250FD">
      <w:r>
        <w:rPr>
          <w:rFonts w:hint="eastAsia"/>
        </w:rPr>
        <w:t>（三）有严密的组织方案和安全保卫方案；</w:t>
      </w:r>
    </w:p>
    <w:p w14:paraId="79079A14">
      <w:r>
        <w:rPr>
          <w:rFonts w:hint="eastAsia"/>
        </w:rPr>
        <w:t>（四）有与洽谈会规模相适应的场所。</w:t>
      </w:r>
    </w:p>
    <w:p w14:paraId="389D3875">
      <w:pPr>
        <w:ind w:firstLine="422"/>
      </w:pPr>
      <w:r>
        <w:rPr>
          <w:rFonts w:hint="eastAsia"/>
          <w:b/>
        </w:rPr>
        <w:t>第四条</w:t>
      </w:r>
      <w:r>
        <w:rPr>
          <w:rFonts w:hint="eastAsia"/>
        </w:rPr>
        <w:t xml:space="preserve">  申请举办人才招聘洽谈会，主办单位应当向市人力资源和社会保障行政部门提交下列材料：</w:t>
      </w:r>
    </w:p>
    <w:p w14:paraId="51DD8785">
      <w:bookmarkStart w:id="2169" w:name="_Toc428780533"/>
      <w:r>
        <w:rPr>
          <w:rFonts w:hint="eastAsia"/>
        </w:rPr>
        <w:t>（一）举办人才招聘洽谈会申请表；</w:t>
      </w:r>
      <w:bookmarkEnd w:id="2169"/>
    </w:p>
    <w:p w14:paraId="47690A93">
      <w:r>
        <w:rPr>
          <w:rFonts w:hint="eastAsia"/>
        </w:rPr>
        <w:t>（二）主办单位与合办、协办、承办单位的合作协议；</w:t>
      </w:r>
    </w:p>
    <w:p w14:paraId="25852BBB">
      <w:r>
        <w:rPr>
          <w:rFonts w:hint="eastAsia"/>
        </w:rPr>
        <w:t>（三）洽谈会组织方案及会场平面图；</w:t>
      </w:r>
    </w:p>
    <w:p w14:paraId="3B4F45AF">
      <w:r>
        <w:rPr>
          <w:rFonts w:hint="eastAsia"/>
        </w:rPr>
        <w:t>（四）拟刊播的启事文稿（一式三份）；</w:t>
      </w:r>
    </w:p>
    <w:p w14:paraId="30F38A29">
      <w:r>
        <w:rPr>
          <w:rFonts w:hint="eastAsia"/>
        </w:rPr>
        <w:t>（五）主办单位介绍信和经办人员身份证。</w:t>
      </w:r>
    </w:p>
    <w:p w14:paraId="2866B21F">
      <w:pPr>
        <w:ind w:firstLine="422"/>
      </w:pPr>
      <w:r>
        <w:rPr>
          <w:rFonts w:hint="eastAsia"/>
          <w:b/>
        </w:rPr>
        <w:t>第五条</w:t>
      </w:r>
      <w:r>
        <w:rPr>
          <w:rFonts w:hint="eastAsia"/>
        </w:rPr>
        <w:t xml:space="preserve">  主办单位应当持有关材料向市人力资源和社会保障行政部门申领《人才招聘洽谈会批准书》（以下简称《批准书》）；持《批准书》向公安机关报送安全保卫工作方案，经公安机关批准并发给《举办大型活动许可通知书》（以下简称《通知书》）。</w:t>
      </w:r>
    </w:p>
    <w:p w14:paraId="7BC6B532">
      <w:r>
        <w:rPr>
          <w:rFonts w:hint="eastAsia"/>
        </w:rPr>
        <w:t>主办单位凭《批准书》、《通知书》和核准的启事文稿刊播启事。</w:t>
      </w:r>
    </w:p>
    <w:p w14:paraId="7946EE47">
      <w:r>
        <w:rPr>
          <w:rFonts w:hint="eastAsia"/>
        </w:rPr>
        <w:t>启事文稿一经核准不得擅自改动。</w:t>
      </w:r>
    </w:p>
    <w:p w14:paraId="05C2A9F4">
      <w:pPr>
        <w:ind w:firstLine="422"/>
      </w:pPr>
      <w:r>
        <w:rPr>
          <w:rFonts w:hint="eastAsia"/>
          <w:b/>
        </w:rPr>
        <w:t>第六条</w:t>
      </w:r>
      <w:r>
        <w:rPr>
          <w:rFonts w:hint="eastAsia"/>
        </w:rPr>
        <w:t xml:space="preserve">  申请举办人才招聘洽谈会获准后，如需变更内容，主办单位必须向市人力资源和社会保障行政部门提出书面变更申请；申请中应当写明变更项目及理由，并附有关证明材料。变更申请未获批准的，必须按原方案组织实施。擅自变更洽谈会项目的，按未经批准举办人才招聘洽谈会处理。</w:t>
      </w:r>
    </w:p>
    <w:p w14:paraId="2900C38D">
      <w:r>
        <w:rPr>
          <w:rFonts w:hint="eastAsia"/>
        </w:rPr>
        <w:t>洽谈会项目变更或因故不能如期举办的，主办单位必须提前刊播启事声明，并负责妥善处理有关事项。</w:t>
      </w:r>
    </w:p>
    <w:p w14:paraId="6F141DD2">
      <w:pPr>
        <w:ind w:firstLine="422"/>
      </w:pPr>
      <w:r>
        <w:rPr>
          <w:rFonts w:hint="eastAsia"/>
          <w:b/>
        </w:rPr>
        <w:t>第七条</w:t>
      </w:r>
      <w:r>
        <w:rPr>
          <w:rFonts w:hint="eastAsia"/>
        </w:rPr>
        <w:t xml:space="preserve">  举办涉外人才招聘洽谈会必须由政府指定的外事服务机构向市人力资源和社会保障行政部门申请批准。</w:t>
      </w:r>
    </w:p>
    <w:p w14:paraId="70702596">
      <w:pPr>
        <w:ind w:firstLine="422"/>
      </w:pPr>
      <w:r>
        <w:rPr>
          <w:rFonts w:hint="eastAsia"/>
          <w:b/>
        </w:rPr>
        <w:t>第八条</w:t>
      </w:r>
      <w:r>
        <w:rPr>
          <w:rFonts w:hint="eastAsia"/>
        </w:rPr>
        <w:t xml:space="preserve">  人才招聘洽谈会的主办单位必须对参会单位的合法资格、工作人员的身份进行审查，凡未取得合法资格的企业、事业单位不得参会招聘。</w:t>
      </w:r>
    </w:p>
    <w:p w14:paraId="56EDECC1">
      <w:pPr>
        <w:ind w:firstLine="422"/>
      </w:pPr>
      <w:r>
        <w:rPr>
          <w:rFonts w:hint="eastAsia"/>
          <w:b/>
        </w:rPr>
        <w:t>第九条</w:t>
      </w:r>
      <w:r>
        <w:rPr>
          <w:rFonts w:hint="eastAsia"/>
        </w:rPr>
        <w:t xml:space="preserve">  人才招聘洽谈会的主办单位在组织洽谈会期间，必须如实填写《人才招聘洽谈会招聘单位备案表》，并于洽谈会结</w:t>
      </w:r>
      <w:r>
        <w:rPr>
          <w:rFonts w:hint="eastAsia" w:ascii="宋体" w:hAnsi="宋体" w:eastAsia="宋体" w:cs="宋体"/>
        </w:rPr>
        <w:t>束后5日内连</w:t>
      </w:r>
      <w:r>
        <w:rPr>
          <w:rFonts w:hint="eastAsia"/>
        </w:rPr>
        <w:t>同洽谈会组织情况的书面报告交市人力资源和社会保障行政部门备案。</w:t>
      </w:r>
    </w:p>
    <w:p w14:paraId="18A75C2D">
      <w:pPr>
        <w:ind w:firstLine="422"/>
      </w:pPr>
      <w:r>
        <w:rPr>
          <w:rFonts w:hint="eastAsia"/>
          <w:b/>
        </w:rPr>
        <w:t>第十条</w:t>
      </w:r>
      <w:r>
        <w:rPr>
          <w:rFonts w:hint="eastAsia"/>
        </w:rPr>
        <w:t xml:space="preserve">  市或者区、县人力资源和社会保障行政部门对人才招聘洽谈会的组织情况进行监督、检查和评价。</w:t>
      </w:r>
    </w:p>
    <w:p w14:paraId="41F77C4E">
      <w:pPr>
        <w:ind w:firstLine="422"/>
      </w:pPr>
      <w:r>
        <w:rPr>
          <w:rFonts w:hint="eastAsia"/>
          <w:b/>
        </w:rPr>
        <w:t>第十一条</w:t>
      </w:r>
      <w:r>
        <w:rPr>
          <w:rFonts w:hint="eastAsia"/>
        </w:rPr>
        <w:t xml:space="preserve">  违反本办法的，按《条例》的有关规定予以处罚。</w:t>
      </w:r>
    </w:p>
    <w:p w14:paraId="238E4E38">
      <w:pPr>
        <w:ind w:firstLine="422"/>
      </w:pPr>
      <w:r>
        <w:rPr>
          <w:rFonts w:hint="eastAsia"/>
          <w:b/>
        </w:rPr>
        <w:t>第十二条</w:t>
      </w:r>
      <w:r>
        <w:rPr>
          <w:rFonts w:hint="eastAsia"/>
        </w:rPr>
        <w:t xml:space="preserve">  本办法</w:t>
      </w:r>
      <w:r>
        <w:rPr>
          <w:rFonts w:hint="eastAsia" w:ascii="宋体" w:hAnsi="宋体" w:eastAsia="宋体" w:cs="宋体"/>
        </w:rPr>
        <w:t>自1998年10月15日</w:t>
      </w:r>
      <w:r>
        <w:rPr>
          <w:rFonts w:hint="eastAsia"/>
        </w:rPr>
        <w:t>起施行。</w:t>
      </w:r>
    </w:p>
    <w:p w14:paraId="36A840BA">
      <w:pPr>
        <w:pStyle w:val="4"/>
        <w:pageBreakBefore/>
      </w:pPr>
      <w:bookmarkStart w:id="2170" w:name="_Toc426467073"/>
      <w:bookmarkStart w:id="2171" w:name="_Toc428781821"/>
      <w:bookmarkStart w:id="2172" w:name="_Toc428780534"/>
      <w:r>
        <w:rPr>
          <w:rFonts w:hint="eastAsia"/>
        </w:rPr>
        <w:t>北京市职业介绍管理规定</w:t>
      </w:r>
      <w:bookmarkEnd w:id="2170"/>
      <w:bookmarkEnd w:id="2171"/>
      <w:bookmarkEnd w:id="2172"/>
    </w:p>
    <w:p w14:paraId="565D714F">
      <w:pPr>
        <w:ind w:left="630" w:leftChars="300" w:right="630" w:rightChars="300"/>
        <w:rPr>
          <w:rFonts w:ascii="楷体" w:hAnsi="楷体" w:eastAsia="楷体"/>
        </w:rPr>
      </w:pPr>
      <w:r>
        <w:rPr>
          <w:rFonts w:hint="eastAsia" w:ascii="楷体" w:hAnsi="楷体" w:eastAsia="楷体"/>
        </w:rPr>
        <w:t>（2000年6月18日北京市人民政府第57号令发布　根据2004年6月1日北京市人民政府第150号令第一次修改　根据2014年7月9日北京市人民政府第259号令第二次修改）</w:t>
      </w:r>
    </w:p>
    <w:p w14:paraId="649EB6EA"/>
    <w:p w14:paraId="0A060FD3">
      <w:pPr>
        <w:ind w:firstLine="422"/>
      </w:pPr>
      <w:r>
        <w:rPr>
          <w:rFonts w:hint="eastAsia"/>
          <w:b/>
        </w:rPr>
        <w:t>第一条</w:t>
      </w:r>
      <w:r>
        <w:rPr>
          <w:rFonts w:hint="eastAsia"/>
        </w:rPr>
        <w:t xml:space="preserve">  为加强对职业介绍机构的管理，规范职业介绍活动，促进本市职业介绍工作的开展，根据《北京市劳动力市场管理条例》（以下简称《条例》），制定本规定。</w:t>
      </w:r>
    </w:p>
    <w:p w14:paraId="1E2DFE4D">
      <w:pPr>
        <w:ind w:firstLine="422"/>
      </w:pPr>
      <w:r>
        <w:rPr>
          <w:rFonts w:hint="eastAsia"/>
          <w:b/>
        </w:rPr>
        <w:t>第二条</w:t>
      </w:r>
      <w:r>
        <w:rPr>
          <w:rFonts w:hint="eastAsia"/>
        </w:rPr>
        <w:t xml:space="preserve">  凡在本市行政区域内开办职业介绍机构以及进行其他职业介绍活动，均须遵守《条例》和本规定。</w:t>
      </w:r>
    </w:p>
    <w:p w14:paraId="52165C42">
      <w:r>
        <w:rPr>
          <w:rFonts w:hint="eastAsia"/>
        </w:rPr>
        <w:t>本规定所称职业介绍是指为满足求职者就业和用人单位招用人员所提供的中介服务以及相关服务的活动，包括介绍家庭服务员、介绍医疗陪护、劳务派遣以及提供相关的信息服务业务。</w:t>
      </w:r>
    </w:p>
    <w:p w14:paraId="5E58B404">
      <w:pPr>
        <w:ind w:firstLine="422"/>
      </w:pPr>
      <w:r>
        <w:rPr>
          <w:rFonts w:hint="eastAsia"/>
          <w:b/>
        </w:rPr>
        <w:t>第三条</w:t>
      </w:r>
      <w:r>
        <w:rPr>
          <w:rFonts w:hint="eastAsia"/>
        </w:rPr>
        <w:t xml:space="preserve">  市人力资源和社会保障行政部门负责本市职业介绍机构以及其他职业介绍活动的管理、监督工作。</w:t>
      </w:r>
    </w:p>
    <w:p w14:paraId="2C248F04">
      <w:r>
        <w:rPr>
          <w:rFonts w:hint="eastAsia"/>
        </w:rPr>
        <w:t>市和区、县人力资源和社会保障行政部门应当加强对职业介绍机构开展职业介绍活动的监督检查。</w:t>
      </w:r>
    </w:p>
    <w:p w14:paraId="53056A1C">
      <w:r>
        <w:rPr>
          <w:rFonts w:hint="eastAsia"/>
        </w:rPr>
        <w:t>有关部门应当按照各自职责加强对中介服务机构开展各类职业介绍活动的管理和监督。</w:t>
      </w:r>
    </w:p>
    <w:p w14:paraId="544A3519">
      <w:pPr>
        <w:ind w:firstLine="422"/>
      </w:pPr>
      <w:r>
        <w:rPr>
          <w:rFonts w:hint="eastAsia"/>
          <w:b/>
        </w:rPr>
        <w:t>第四条</w:t>
      </w:r>
      <w:r>
        <w:rPr>
          <w:rFonts w:hint="eastAsia"/>
        </w:rPr>
        <w:t xml:space="preserve">  法人、其他组织和公民可以依法开办职业介绍机构。</w:t>
      </w:r>
    </w:p>
    <w:p w14:paraId="7F89C81B">
      <w:pPr>
        <w:ind w:firstLine="422"/>
      </w:pPr>
      <w:r>
        <w:rPr>
          <w:rFonts w:hint="eastAsia"/>
          <w:b/>
        </w:rPr>
        <w:t>第五条</w:t>
      </w:r>
      <w:r>
        <w:rPr>
          <w:rFonts w:hint="eastAsia"/>
        </w:rPr>
        <w:t xml:space="preserve">  开办以职业介绍为主营业务的职业介绍机构应当具备下列条件：</w:t>
      </w:r>
    </w:p>
    <w:p w14:paraId="05511ED6">
      <w:bookmarkStart w:id="2173" w:name="_Toc428780535"/>
      <w:r>
        <w:rPr>
          <w:rFonts w:hint="eastAsia"/>
        </w:rPr>
        <w:t>（一）有明确的职业介绍服务对象、方式、内容等业务范围；</w:t>
      </w:r>
      <w:bookmarkEnd w:id="2173"/>
    </w:p>
    <w:p w14:paraId="276B2F69">
      <w:pPr>
        <w:rPr>
          <w:rFonts w:hint="eastAsia" w:ascii="宋体" w:hAnsi="宋体" w:eastAsia="宋体" w:cs="宋体"/>
        </w:rPr>
      </w:pPr>
      <w:r>
        <w:rPr>
          <w:rFonts w:hint="eastAsia"/>
        </w:rPr>
        <w:t>（二）有与业</w:t>
      </w:r>
      <w:r>
        <w:rPr>
          <w:rFonts w:hint="eastAsia" w:ascii="宋体" w:hAnsi="宋体" w:eastAsia="宋体" w:cs="宋体"/>
        </w:rPr>
        <w:t>务范围相适应的使用面积不少于50平方米的固定场所和办公设施；</w:t>
      </w:r>
    </w:p>
    <w:p w14:paraId="1FB7150A">
      <w:pPr>
        <w:rPr>
          <w:rFonts w:hint="eastAsia" w:ascii="宋体" w:hAnsi="宋体" w:eastAsia="宋体" w:cs="宋体"/>
        </w:rPr>
      </w:pPr>
      <w:r>
        <w:rPr>
          <w:rFonts w:hint="eastAsia" w:ascii="宋体" w:hAnsi="宋体" w:eastAsia="宋体" w:cs="宋体"/>
        </w:rPr>
        <w:t>（三）有不少于10万元的资金；</w:t>
      </w:r>
    </w:p>
    <w:p w14:paraId="28AE85B8">
      <w:pPr>
        <w:rPr>
          <w:rFonts w:hint="eastAsia" w:ascii="宋体" w:hAnsi="宋体" w:eastAsia="宋体" w:cs="宋体"/>
        </w:rPr>
      </w:pPr>
      <w:r>
        <w:rPr>
          <w:rFonts w:hint="eastAsia" w:ascii="宋体" w:hAnsi="宋体" w:eastAsia="宋体" w:cs="宋体"/>
        </w:rPr>
        <w:t>（四）有不少于5人的专职工作人员；</w:t>
      </w:r>
    </w:p>
    <w:p w14:paraId="33833964">
      <w:r>
        <w:rPr>
          <w:rFonts w:hint="eastAsia" w:ascii="宋体" w:hAnsi="宋体" w:eastAsia="宋体" w:cs="宋体"/>
        </w:rPr>
        <w:t>（五）法律、法规规定的其他应当具备的</w:t>
      </w:r>
      <w:r>
        <w:rPr>
          <w:rFonts w:hint="eastAsia"/>
        </w:rPr>
        <w:t>条件。</w:t>
      </w:r>
    </w:p>
    <w:p w14:paraId="368C944C">
      <w:r>
        <w:rPr>
          <w:rFonts w:hint="eastAsia"/>
        </w:rPr>
        <w:t>兼营职业介绍业务的机构除应当具备规定的条件外，申办的职业介绍业务范围应当与主营业务相关。</w:t>
      </w:r>
    </w:p>
    <w:p w14:paraId="0A77E062">
      <w:pPr>
        <w:ind w:firstLine="422"/>
      </w:pPr>
      <w:r>
        <w:rPr>
          <w:rFonts w:hint="eastAsia"/>
          <w:b/>
        </w:rPr>
        <w:t>第六条</w:t>
      </w:r>
      <w:r>
        <w:rPr>
          <w:rFonts w:hint="eastAsia"/>
        </w:rPr>
        <w:t xml:space="preserve">  开办职业介绍机构的单位或者公民应当向市人力资源和社会保障行政部门提出申请，并提供下列资料：</w:t>
      </w:r>
    </w:p>
    <w:p w14:paraId="1F4E603D">
      <w:bookmarkStart w:id="2174" w:name="_Toc428780536"/>
      <w:r>
        <w:rPr>
          <w:rFonts w:hint="eastAsia"/>
        </w:rPr>
        <w:t>（一）开办职业介绍机构申请文书；</w:t>
      </w:r>
      <w:bookmarkEnd w:id="2174"/>
    </w:p>
    <w:p w14:paraId="34D8A2F5">
      <w:r>
        <w:rPr>
          <w:rFonts w:hint="eastAsia"/>
        </w:rPr>
        <w:t>（二）开办职业介绍机构的可行性分析报告和实施方案；</w:t>
      </w:r>
    </w:p>
    <w:p w14:paraId="41155F91">
      <w:bookmarkStart w:id="2175" w:name="_Toc428780537"/>
      <w:r>
        <w:rPr>
          <w:rFonts w:hint="eastAsia"/>
        </w:rPr>
        <w:t>（三）职业介绍机构章程和管理制度；</w:t>
      </w:r>
      <w:bookmarkEnd w:id="2175"/>
    </w:p>
    <w:p w14:paraId="1C577ADB">
      <w:r>
        <w:rPr>
          <w:rFonts w:hint="eastAsia"/>
        </w:rPr>
        <w:t>（四）办公和服务场所证明：自有场所，应当提交房产证明；租赁场所，应当提供不少于</w:t>
      </w:r>
      <w:r>
        <w:rPr>
          <w:rFonts w:hint="eastAsia" w:ascii="宋体" w:hAnsi="宋体" w:eastAsia="宋体" w:cs="宋体"/>
        </w:rPr>
        <w:t>1</w:t>
      </w:r>
      <w:r>
        <w:rPr>
          <w:rFonts w:hint="eastAsia"/>
        </w:rPr>
        <w:t>年租赁期的租赁协议和出租方的房产证明；</w:t>
      </w:r>
    </w:p>
    <w:p w14:paraId="0D1B07C7">
      <w:bookmarkStart w:id="2176" w:name="_Toc428780538"/>
      <w:r>
        <w:rPr>
          <w:rFonts w:hint="eastAsia"/>
        </w:rPr>
        <w:t>（五）有关部门出具的开办职业介绍机构必备资金的出资、验资证明；</w:t>
      </w:r>
      <w:bookmarkEnd w:id="2176"/>
    </w:p>
    <w:p w14:paraId="68C7A6B8">
      <w:r>
        <w:rPr>
          <w:rFonts w:hint="eastAsia"/>
        </w:rPr>
        <w:t>（六）工作人员的相关资料和法定代表人（负责人）的任职证明；</w:t>
      </w:r>
    </w:p>
    <w:p w14:paraId="04790D8F">
      <w:r>
        <w:rPr>
          <w:rFonts w:hint="eastAsia"/>
        </w:rPr>
        <w:t>（七）市人力资源和社会保障行政部门要求提供的其他资料。</w:t>
      </w:r>
    </w:p>
    <w:p w14:paraId="35BF0DC9">
      <w:pPr>
        <w:ind w:firstLine="422"/>
      </w:pPr>
      <w:r>
        <w:rPr>
          <w:rFonts w:hint="eastAsia"/>
          <w:b/>
        </w:rPr>
        <w:t>第七条</w:t>
      </w:r>
      <w:r>
        <w:rPr>
          <w:rFonts w:hint="eastAsia"/>
        </w:rPr>
        <w:t xml:space="preserve">  市人力资源和社会保障行政部门自接到申请之日</w:t>
      </w:r>
      <w:r>
        <w:rPr>
          <w:rFonts w:hint="eastAsia" w:ascii="宋体" w:hAnsi="宋体" w:eastAsia="宋体" w:cs="宋体"/>
        </w:rPr>
        <w:t>起30日内，对</w:t>
      </w:r>
      <w:r>
        <w:rPr>
          <w:rFonts w:hint="eastAsia"/>
        </w:rPr>
        <w:t>符合规定条件的予以批准，发给《北京市职业介绍许可证》（以下简称《许可证》），并向社会公告。对不符合规定条件的不予批准，并说明理由。</w:t>
      </w:r>
    </w:p>
    <w:p w14:paraId="19F13791">
      <w:pPr>
        <w:ind w:firstLine="422"/>
      </w:pPr>
      <w:r>
        <w:rPr>
          <w:rFonts w:hint="eastAsia"/>
          <w:b/>
        </w:rPr>
        <w:t>第八条</w:t>
      </w:r>
      <w:r>
        <w:rPr>
          <w:rFonts w:hint="eastAsia"/>
        </w:rPr>
        <w:t xml:space="preserve">  申办者取得《许可证》和国家法律、法规规定的证照后，方可从事职业介绍活动。</w:t>
      </w:r>
    </w:p>
    <w:p w14:paraId="52BB2EE9">
      <w:r>
        <w:rPr>
          <w:rFonts w:hint="eastAsia"/>
        </w:rPr>
        <w:t>职业介绍机构申请开办分支机构，应当按照规定程序报送相关资料。</w:t>
      </w:r>
    </w:p>
    <w:p w14:paraId="3E73A9A1">
      <w:pPr>
        <w:ind w:firstLine="422"/>
      </w:pPr>
      <w:r>
        <w:rPr>
          <w:rFonts w:hint="eastAsia"/>
          <w:b/>
        </w:rPr>
        <w:t>第九条</w:t>
      </w:r>
      <w:r>
        <w:rPr>
          <w:rFonts w:hint="eastAsia"/>
        </w:rPr>
        <w:t xml:space="preserve">  职业介绍机构变更经营地点、业务范围等应当报市人力资源和社会保障行政部门批准，并办理变更手续。</w:t>
      </w:r>
    </w:p>
    <w:p w14:paraId="2DB731EC">
      <w:pPr>
        <w:ind w:firstLine="422"/>
      </w:pPr>
      <w:r>
        <w:rPr>
          <w:rFonts w:hint="eastAsia"/>
          <w:b/>
        </w:rPr>
        <w:t>第十条</w:t>
      </w:r>
      <w:r>
        <w:rPr>
          <w:rFonts w:hint="eastAsia"/>
        </w:rPr>
        <w:t xml:space="preserve">  职业介绍机构中从事职业介绍工作的人员必须接受市人力资源和社会保障行政部门组织的资格考核，取得全市统一的《北京市职业介绍员资格证书》后，方可从事职业介绍业务工作。</w:t>
      </w:r>
    </w:p>
    <w:p w14:paraId="6ED5BE5A">
      <w:pPr>
        <w:ind w:firstLine="422"/>
      </w:pPr>
      <w:r>
        <w:rPr>
          <w:rFonts w:hint="eastAsia"/>
          <w:b/>
        </w:rPr>
        <w:t>第十一条</w:t>
      </w:r>
      <w:r>
        <w:rPr>
          <w:rFonts w:hint="eastAsia"/>
        </w:rPr>
        <w:t xml:space="preserve">  市人力资源和社会保障行政部门对《许可证》实行年审制度。</w:t>
      </w:r>
    </w:p>
    <w:p w14:paraId="374B7416">
      <w:pPr>
        <w:ind w:firstLine="422"/>
      </w:pPr>
      <w:r>
        <w:rPr>
          <w:rFonts w:hint="eastAsia"/>
          <w:b/>
        </w:rPr>
        <w:t>第十二条</w:t>
      </w:r>
      <w:r>
        <w:rPr>
          <w:rFonts w:hint="eastAsia"/>
        </w:rPr>
        <w:t xml:space="preserve">  职业介绍机构举办招聘会应当由主办单位向市人力资源和社会保障行政部门提交以下材料（一式两份）：</w:t>
      </w:r>
    </w:p>
    <w:p w14:paraId="2A7AEB18">
      <w:r>
        <w:rPr>
          <w:rFonts w:hint="eastAsia"/>
        </w:rPr>
        <w:t>（一）主办单位的《许可证》副本原件及复印件；</w:t>
      </w:r>
    </w:p>
    <w:p w14:paraId="4F996A34">
      <w:r>
        <w:rPr>
          <w:rFonts w:hint="eastAsia"/>
        </w:rPr>
        <w:t>（二）组织招聘会的申请书；</w:t>
      </w:r>
    </w:p>
    <w:p w14:paraId="226C3BA9">
      <w:r>
        <w:rPr>
          <w:rFonts w:hint="eastAsia"/>
        </w:rPr>
        <w:t>（三）主办单位与合办、协办单位的合作协议；</w:t>
      </w:r>
    </w:p>
    <w:p w14:paraId="0750DF3A">
      <w:r>
        <w:rPr>
          <w:rFonts w:hint="eastAsia"/>
        </w:rPr>
        <w:t>（四）举办招聘会地点的租用合同、协议或其他证明招聘会期间合法使用场地的文件；</w:t>
      </w:r>
    </w:p>
    <w:p w14:paraId="65F57604">
      <w:r>
        <w:rPr>
          <w:rFonts w:hint="eastAsia"/>
        </w:rPr>
        <w:t>（五）招聘会的组织方案和会场平面图；</w:t>
      </w:r>
    </w:p>
    <w:p w14:paraId="1A29A006">
      <w:r>
        <w:rPr>
          <w:rFonts w:hint="eastAsia"/>
        </w:rPr>
        <w:t>（六）主办单位介绍信及经办人员身份证明。</w:t>
      </w:r>
    </w:p>
    <w:p w14:paraId="14E676C7">
      <w:pPr>
        <w:ind w:firstLine="422"/>
      </w:pPr>
      <w:r>
        <w:rPr>
          <w:rFonts w:hint="eastAsia"/>
          <w:b/>
        </w:rPr>
        <w:t>第十三条</w:t>
      </w:r>
      <w:r>
        <w:rPr>
          <w:rFonts w:hint="eastAsia"/>
        </w:rPr>
        <w:t xml:space="preserve">  市人力资源和社会保障行政部门自接到主办单位申请之日起</w:t>
      </w:r>
      <w:r>
        <w:rPr>
          <w:rFonts w:hint="eastAsia" w:ascii="宋体" w:hAnsi="宋体" w:eastAsia="宋体" w:cs="宋体"/>
        </w:rPr>
        <w:t>10</w:t>
      </w:r>
      <w:r>
        <w:rPr>
          <w:rFonts w:hint="eastAsia"/>
        </w:rPr>
        <w:t>日内作出批准或者不予批准的决定。批准的，发给《职业招聘洽谈会批准书》（以下简称《批准书》）；不予批准的，说明理由。</w:t>
      </w:r>
    </w:p>
    <w:p w14:paraId="2245129D">
      <w:r>
        <w:rPr>
          <w:rFonts w:hint="eastAsia"/>
        </w:rPr>
        <w:t>主办单位持《批准书》向市公安部门报送安全保卫方案。市公安部门自接到安全保卫方案之日起</w:t>
      </w:r>
      <w:r>
        <w:rPr>
          <w:rFonts w:hint="eastAsia" w:ascii="宋体" w:hAnsi="宋体" w:eastAsia="宋体" w:cs="宋体"/>
        </w:rPr>
        <w:t>10日内，</w:t>
      </w:r>
      <w:r>
        <w:rPr>
          <w:rFonts w:hint="eastAsia"/>
        </w:rPr>
        <w:t>对符合条件的予以批准；对不符合条件的不予批准，并说明理由。</w:t>
      </w:r>
    </w:p>
    <w:p w14:paraId="379E26F8">
      <w:pPr>
        <w:ind w:firstLine="422"/>
      </w:pPr>
      <w:r>
        <w:rPr>
          <w:rFonts w:hint="eastAsia"/>
          <w:b/>
        </w:rPr>
        <w:t>第十四条</w:t>
      </w:r>
      <w:r>
        <w:rPr>
          <w:rFonts w:hint="eastAsia"/>
        </w:rPr>
        <w:t>　拟发布的招聘会广告内容应当包括：</w:t>
      </w:r>
    </w:p>
    <w:p w14:paraId="65CB66FE">
      <w:r>
        <w:rPr>
          <w:rFonts w:hint="eastAsia"/>
        </w:rPr>
        <w:t>（一）招聘会主办单位、协办单位；</w:t>
      </w:r>
    </w:p>
    <w:p w14:paraId="52CB9977">
      <w:r>
        <w:rPr>
          <w:rFonts w:hint="eastAsia"/>
        </w:rPr>
        <w:t>（二）招聘会名称及举办的时间、地点；</w:t>
      </w:r>
    </w:p>
    <w:p w14:paraId="5E82E3F8">
      <w:r>
        <w:rPr>
          <w:rFonts w:hint="eastAsia"/>
        </w:rPr>
        <w:t>（三）招聘会的规模（如展位设置情况、参会单位数量等）；</w:t>
      </w:r>
    </w:p>
    <w:p w14:paraId="2972BCEF">
      <w:r>
        <w:rPr>
          <w:rFonts w:hint="eastAsia"/>
        </w:rPr>
        <w:t>（四）招聘会的服务内容；</w:t>
      </w:r>
    </w:p>
    <w:p w14:paraId="2F76F955">
      <w:r>
        <w:rPr>
          <w:rFonts w:hint="eastAsia"/>
        </w:rPr>
        <w:t>（五）参会办法；</w:t>
      </w:r>
    </w:p>
    <w:p w14:paraId="282D84A2">
      <w:r>
        <w:rPr>
          <w:rFonts w:hint="eastAsia"/>
        </w:rPr>
        <w:t>（六）报名地址及联系电话。</w:t>
      </w:r>
    </w:p>
    <w:p w14:paraId="74AAB546">
      <w:pPr>
        <w:ind w:firstLine="422"/>
      </w:pPr>
      <w:r>
        <w:rPr>
          <w:rFonts w:hint="eastAsia"/>
          <w:b/>
        </w:rPr>
        <w:t>第十五条</w:t>
      </w:r>
      <w:r>
        <w:rPr>
          <w:rFonts w:hint="eastAsia"/>
        </w:rPr>
        <w:t>　获准举办招聘会的单位，擅自变更招聘会内容的，视同未经批准举办招聘会。如确需变更有关内容，应当向市人力资源和社会保障行政部门提出申请，说明变更项目及理由，并附有关证明材料。</w:t>
      </w:r>
    </w:p>
    <w:p w14:paraId="45AAD51E">
      <w:r>
        <w:rPr>
          <w:rFonts w:hint="eastAsia"/>
        </w:rPr>
        <w:t>招聘会内容变更或因故不能如期举办的，主办单位必须提前发布启示声明，并负责妥善处理有关事项。</w:t>
      </w:r>
    </w:p>
    <w:p w14:paraId="118E0BE4">
      <w:pPr>
        <w:ind w:firstLine="422"/>
      </w:pPr>
      <w:r>
        <w:rPr>
          <w:rFonts w:hint="eastAsia"/>
          <w:b/>
        </w:rPr>
        <w:t>第十六条</w:t>
      </w:r>
      <w:r>
        <w:rPr>
          <w:rFonts w:hint="eastAsia"/>
        </w:rPr>
        <w:t>　招聘会举办单位应当对参会的招聘单位进行资格审查，审查的材料包括：</w:t>
      </w:r>
    </w:p>
    <w:p w14:paraId="14AB3C8B">
      <w:bookmarkStart w:id="2177" w:name="_Toc428780539"/>
      <w:r>
        <w:rPr>
          <w:rFonts w:hint="eastAsia"/>
        </w:rPr>
        <w:t>（一）招聘单位法人营业执照；</w:t>
      </w:r>
      <w:bookmarkEnd w:id="2177"/>
    </w:p>
    <w:p w14:paraId="378AE785">
      <w:r>
        <w:rPr>
          <w:rFonts w:hint="eastAsia"/>
        </w:rPr>
        <w:t>（二）招聘单位法人代表签署的招用人员的批件及招聘简章；</w:t>
      </w:r>
    </w:p>
    <w:p w14:paraId="00564770">
      <w:r>
        <w:rPr>
          <w:rFonts w:hint="eastAsia"/>
        </w:rPr>
        <w:t>（三）招聘单位介绍信和办事人员的身份证明。</w:t>
      </w:r>
    </w:p>
    <w:p w14:paraId="1385B07A">
      <w:r>
        <w:rPr>
          <w:rFonts w:hint="eastAsia"/>
        </w:rPr>
        <w:t>招聘会举办单位应当保障参加招聘会的招聘单位和求职人员的合法权益，对招聘中的各项活动进行监督。</w:t>
      </w:r>
    </w:p>
    <w:p w14:paraId="535B008C">
      <w:r>
        <w:rPr>
          <w:rFonts w:hint="eastAsia"/>
        </w:rPr>
        <w:t>招聘会举办单位应于招聘会结束之日</w:t>
      </w:r>
      <w:r>
        <w:rPr>
          <w:rFonts w:hint="eastAsia" w:ascii="宋体" w:hAnsi="宋体" w:eastAsia="宋体" w:cs="宋体"/>
        </w:rPr>
        <w:t>起5日内</w:t>
      </w:r>
      <w:r>
        <w:rPr>
          <w:rFonts w:hint="eastAsia"/>
        </w:rPr>
        <w:t>，将招聘会情况报告交市人力资源和社会保障行政部门备案。</w:t>
      </w:r>
    </w:p>
    <w:p w14:paraId="5235DECC">
      <w:pPr>
        <w:ind w:firstLine="422"/>
      </w:pPr>
      <w:r>
        <w:rPr>
          <w:rFonts w:hint="eastAsia"/>
          <w:b/>
        </w:rPr>
        <w:t>第十七条</w:t>
      </w:r>
      <w:r>
        <w:rPr>
          <w:rFonts w:hint="eastAsia"/>
        </w:rPr>
        <w:t>　任何单位和个人不得在招聘会场外进行招聘活动。</w:t>
      </w:r>
    </w:p>
    <w:p w14:paraId="3F68979B">
      <w:pPr>
        <w:ind w:firstLine="422"/>
      </w:pPr>
      <w:r>
        <w:rPr>
          <w:rFonts w:hint="eastAsia"/>
          <w:b/>
        </w:rPr>
        <w:t>第十八条</w:t>
      </w:r>
      <w:r>
        <w:rPr>
          <w:rFonts w:hint="eastAsia"/>
        </w:rPr>
        <w:t>　在固定地点举办日常定期小型招聘会（参展单</w:t>
      </w:r>
      <w:r>
        <w:rPr>
          <w:rFonts w:hint="eastAsia" w:ascii="宋体" w:hAnsi="宋体" w:eastAsia="宋体" w:cs="宋体"/>
        </w:rPr>
        <w:t>位200家</w:t>
      </w:r>
      <w:r>
        <w:rPr>
          <w:rFonts w:hint="eastAsia"/>
        </w:rPr>
        <w:t>以下），应当向市人力资源和社会保障行政部门提出申请，经批准后方可举办。</w:t>
      </w:r>
    </w:p>
    <w:p w14:paraId="259CBD4F">
      <w:r>
        <w:rPr>
          <w:rFonts w:hint="eastAsia"/>
        </w:rPr>
        <w:t>定期小型招聘会的主办单位，要严格按照批准的规模、时间、地点、频率举办招聘会，未经市人力资源和社会保障行政部门许可，不得擅自更改。</w:t>
      </w:r>
    </w:p>
    <w:p w14:paraId="7F31E9FD">
      <w:pPr>
        <w:ind w:firstLine="422"/>
      </w:pPr>
      <w:r>
        <w:rPr>
          <w:rFonts w:hint="eastAsia"/>
          <w:b/>
        </w:rPr>
        <w:t>第十九条</w:t>
      </w:r>
      <w:r>
        <w:rPr>
          <w:rFonts w:hint="eastAsia"/>
        </w:rPr>
        <w:t>　市人力资源和社会保障行政部门对招聘会的组织情况进行监督、检查。凡未按组织方案实施的，视同未经批准举办招聘会。</w:t>
      </w:r>
    </w:p>
    <w:p w14:paraId="4E0B7B01">
      <w:pPr>
        <w:ind w:firstLine="422"/>
      </w:pPr>
      <w:r>
        <w:rPr>
          <w:rFonts w:hint="eastAsia"/>
          <w:b/>
        </w:rPr>
        <w:t>第二十条</w:t>
      </w:r>
      <w:r>
        <w:rPr>
          <w:rFonts w:hint="eastAsia"/>
        </w:rPr>
        <w:t>　职业介绍机构及用人单位发布、刊播、张贴招工、招聘广告，需经市和区、县人力资源和社会保障行政部门核准后按有关规定办理。</w:t>
      </w:r>
    </w:p>
    <w:p w14:paraId="49588E3F">
      <w:pPr>
        <w:ind w:firstLine="422"/>
      </w:pPr>
      <w:r>
        <w:rPr>
          <w:rFonts w:hint="eastAsia"/>
          <w:b/>
        </w:rPr>
        <w:t>第二十一条</w:t>
      </w:r>
      <w:r>
        <w:rPr>
          <w:rFonts w:hint="eastAsia"/>
        </w:rPr>
        <w:t>　违反本规定的，依据《条例》的有关规定进行处罚。</w:t>
      </w:r>
    </w:p>
    <w:p w14:paraId="5A5C8C5B">
      <w:pPr>
        <w:ind w:firstLine="422"/>
      </w:pPr>
      <w:r>
        <w:rPr>
          <w:rFonts w:hint="eastAsia"/>
          <w:b/>
        </w:rPr>
        <w:t>第二十二条</w:t>
      </w:r>
      <w:r>
        <w:rPr>
          <w:rFonts w:hint="eastAsia"/>
        </w:rPr>
        <w:t>　本规定自发布之日起实施。</w:t>
      </w:r>
    </w:p>
    <w:p w14:paraId="2CF925DE">
      <w:pPr>
        <w:pStyle w:val="4"/>
        <w:pageBreakBefore/>
      </w:pPr>
      <w:bookmarkStart w:id="2178" w:name="_Toc428781822"/>
      <w:bookmarkStart w:id="2179" w:name="_Toc426467074"/>
      <w:bookmarkStart w:id="2180" w:name="_Toc428780540"/>
      <w:r>
        <w:rPr>
          <w:rFonts w:hint="eastAsia"/>
        </w:rPr>
        <w:t>中关村科技园区接收非北京生源高校毕业生办法</w:t>
      </w:r>
      <w:bookmarkEnd w:id="2178"/>
      <w:bookmarkEnd w:id="2179"/>
      <w:bookmarkEnd w:id="2180"/>
    </w:p>
    <w:p w14:paraId="3C6EB75F">
      <w:pPr>
        <w:ind w:left="630" w:leftChars="300" w:right="630" w:rightChars="300"/>
        <w:rPr>
          <w:rFonts w:ascii="楷体" w:hAnsi="楷体" w:eastAsia="楷体"/>
        </w:rPr>
      </w:pPr>
      <w:r>
        <w:rPr>
          <w:rFonts w:hint="eastAsia" w:ascii="楷体" w:hAnsi="楷体" w:eastAsia="楷体"/>
        </w:rPr>
        <w:t>（2001年2月13日北京市人民政府第32次常务会议审议通过  2001年3月2日北京市人民政府第71号令发布）</w:t>
      </w:r>
    </w:p>
    <w:p w14:paraId="0D58A042"/>
    <w:p w14:paraId="4DBDF9B3">
      <w:pPr>
        <w:ind w:firstLine="422"/>
      </w:pPr>
      <w:r>
        <w:rPr>
          <w:rFonts w:hint="eastAsia"/>
          <w:b/>
        </w:rPr>
        <w:t>第一条</w:t>
      </w:r>
      <w:r>
        <w:rPr>
          <w:rFonts w:hint="eastAsia"/>
        </w:rPr>
        <w:t xml:space="preserve">  为实施《中关村科技园区条例》，满足中关村科技园区高新技术企业发展对人才的需要，促进中关村科技园区的建设和可持续发展，结合本市实际情况，制定本办法。</w:t>
      </w:r>
    </w:p>
    <w:p w14:paraId="1839BBBE">
      <w:pPr>
        <w:ind w:firstLine="422"/>
      </w:pPr>
      <w:r>
        <w:rPr>
          <w:rFonts w:hint="eastAsia"/>
          <w:b/>
        </w:rPr>
        <w:t>第二条</w:t>
      </w:r>
      <w:r>
        <w:rPr>
          <w:rFonts w:hint="eastAsia"/>
        </w:rPr>
        <w:t xml:space="preserve">  本办法适用于中关村科技园区内的高新技术企业（以下简称高新技术企业）接收北京地区普通高等学校和科研机构非北京生源的获得学士及学士以上学位的应届毕业生（以下简称非北京生源高校毕业生）。</w:t>
      </w:r>
    </w:p>
    <w:p w14:paraId="7CA4CC3B">
      <w:pPr>
        <w:ind w:firstLine="422"/>
      </w:pPr>
      <w:r>
        <w:rPr>
          <w:rFonts w:hint="eastAsia"/>
          <w:b/>
        </w:rPr>
        <w:t>第三条</w:t>
      </w:r>
      <w:r>
        <w:rPr>
          <w:rFonts w:hint="eastAsia"/>
        </w:rPr>
        <w:t xml:space="preserve">  高新技术企业接收非北京生源高校毕业生，应当遵循学用一致、人尽其才的原则，不得弄虚作假或者非法牟利。</w:t>
      </w:r>
    </w:p>
    <w:p w14:paraId="63D09999">
      <w:pPr>
        <w:ind w:firstLine="422"/>
      </w:pPr>
      <w:r>
        <w:rPr>
          <w:rFonts w:hint="eastAsia"/>
          <w:b/>
        </w:rPr>
        <w:t>第四条</w:t>
      </w:r>
      <w:r>
        <w:rPr>
          <w:rFonts w:hint="eastAsia"/>
        </w:rPr>
        <w:t xml:space="preserve">  高新技术企业接收非北京生源高校毕业生，应当向市人事局报送下列材料：</w:t>
      </w:r>
    </w:p>
    <w:p w14:paraId="0062EAF7">
      <w:bookmarkStart w:id="2181" w:name="_Toc428780541"/>
      <w:r>
        <w:rPr>
          <w:rFonts w:hint="eastAsia"/>
        </w:rPr>
        <w:t>（一）《非北京生源毕业生进京审批表》一式二份；</w:t>
      </w:r>
      <w:bookmarkEnd w:id="2181"/>
    </w:p>
    <w:p w14:paraId="39154662">
      <w:r>
        <w:rPr>
          <w:rFonts w:hint="eastAsia"/>
        </w:rPr>
        <w:t>（二）高新技术企业与非北京生源高校毕业生签订的正式劳动合同或者就业协议书；</w:t>
      </w:r>
    </w:p>
    <w:p w14:paraId="5C2132F9">
      <w:bookmarkStart w:id="2182" w:name="_Toc428780542"/>
      <w:r>
        <w:rPr>
          <w:rFonts w:hint="eastAsia"/>
        </w:rPr>
        <w:t>（三）高新技术企业证书及其复印件；</w:t>
      </w:r>
      <w:bookmarkEnd w:id="2182"/>
    </w:p>
    <w:p w14:paraId="7156B904">
      <w:r>
        <w:rPr>
          <w:rFonts w:hint="eastAsia"/>
        </w:rPr>
        <w:t>（四）非北京生源高校毕业生所在学校校一级毕业生就业工作部门出具的推荐材料；</w:t>
      </w:r>
    </w:p>
    <w:p w14:paraId="123607AB">
      <w:r>
        <w:rPr>
          <w:rFonts w:hint="eastAsia"/>
        </w:rPr>
        <w:t>（五）非北京生源高校毕业生的毕业证书、学位证书或者在校已修全部课程的成绩单。</w:t>
      </w:r>
    </w:p>
    <w:p w14:paraId="7D1F93A7">
      <w:pPr>
        <w:ind w:firstLine="422"/>
      </w:pPr>
      <w:r>
        <w:rPr>
          <w:rFonts w:hint="eastAsia"/>
          <w:b/>
        </w:rPr>
        <w:t>第五条</w:t>
      </w:r>
      <w:r>
        <w:rPr>
          <w:rFonts w:hint="eastAsia"/>
        </w:rPr>
        <w:t xml:space="preserve">  对于材料齐全、符合《中关村科技园区条例》规定条件的，市人事局应当</w:t>
      </w:r>
      <w:r>
        <w:rPr>
          <w:rFonts w:hint="eastAsia" w:ascii="宋体" w:hAnsi="宋体" w:eastAsia="宋体" w:cs="宋体"/>
        </w:rPr>
        <w:t>在5</w:t>
      </w:r>
      <w:r>
        <w:rPr>
          <w:rFonts w:hint="eastAsia"/>
        </w:rPr>
        <w:t>个工作日内为其开具《报户口介绍信》，到所在区、县公安机关办理落户手续。</w:t>
      </w:r>
    </w:p>
    <w:p w14:paraId="4238A860">
      <w:r>
        <w:rPr>
          <w:rFonts w:hint="eastAsia"/>
        </w:rPr>
        <w:t>对于符合《中关村科技园区条例》规定条件，但尚未取得毕业证书或者学位证书的，市人事局应当为其出具留京接收函，待其取得毕业证书和学位证书后再按照前款规定办理有关手续。</w:t>
      </w:r>
    </w:p>
    <w:p w14:paraId="37BB437A">
      <w:pPr>
        <w:ind w:firstLine="422"/>
      </w:pPr>
      <w:r>
        <w:rPr>
          <w:rFonts w:hint="eastAsia"/>
          <w:b/>
        </w:rPr>
        <w:t>第六条</w:t>
      </w:r>
      <w:r>
        <w:rPr>
          <w:rFonts w:hint="eastAsia"/>
        </w:rPr>
        <w:t xml:space="preserve">  市人事局办理非北京生源本科毕业生进京审批时间</w:t>
      </w:r>
      <w:r>
        <w:rPr>
          <w:rFonts w:hint="eastAsia" w:ascii="宋体" w:hAnsi="宋体" w:eastAsia="宋体" w:cs="宋体"/>
        </w:rPr>
        <w:t>，至学生毕业年度的7月30日止；办理非北京生源研究生进京审批时间，至学生毕业年度的12月30日止。</w:t>
      </w:r>
    </w:p>
    <w:p w14:paraId="14D6D12A">
      <w:pPr>
        <w:ind w:firstLine="422"/>
      </w:pPr>
      <w:r>
        <w:rPr>
          <w:rFonts w:hint="eastAsia"/>
          <w:b/>
        </w:rPr>
        <w:t>第七条</w:t>
      </w:r>
      <w:r>
        <w:rPr>
          <w:rFonts w:hint="eastAsia"/>
        </w:rPr>
        <w:t xml:space="preserve">  被接收的非北京生源高校毕业生应当按照户籍管理规定落户；接收单位没有集体户口，又无法在其他地方落户的，可以在北京市毕业生就业服务中心落集体户口。</w:t>
      </w:r>
    </w:p>
    <w:p w14:paraId="55997663">
      <w:pPr>
        <w:ind w:firstLine="422"/>
      </w:pPr>
      <w:r>
        <w:rPr>
          <w:rFonts w:hint="eastAsia"/>
          <w:b/>
        </w:rPr>
        <w:t>第八条</w:t>
      </w:r>
      <w:r>
        <w:rPr>
          <w:rFonts w:hint="eastAsia"/>
        </w:rPr>
        <w:t xml:space="preserve">  高新技术企业在接收非北京生源高校毕业生过程中，有弄虚作假或者牟利行为的，由市人事局处</w:t>
      </w:r>
      <w:r>
        <w:rPr>
          <w:rFonts w:hint="eastAsia" w:ascii="宋体" w:hAnsi="宋体" w:eastAsia="宋体" w:cs="宋体"/>
        </w:rPr>
        <w:t>以5000元以上，3万元以下罚款，并</w:t>
      </w:r>
      <w:r>
        <w:rPr>
          <w:rFonts w:hint="eastAsia"/>
        </w:rPr>
        <w:t>且取消其依照本办法接收非北京生源高校毕业生资格；有违法所得的，责令退还。</w:t>
      </w:r>
    </w:p>
    <w:p w14:paraId="6F81F350">
      <w:pPr>
        <w:ind w:firstLine="422"/>
      </w:pPr>
      <w:r>
        <w:rPr>
          <w:rFonts w:hint="eastAsia"/>
          <w:b/>
        </w:rPr>
        <w:t>第九条</w:t>
      </w:r>
      <w:r>
        <w:rPr>
          <w:rFonts w:hint="eastAsia"/>
        </w:rPr>
        <w:t xml:space="preserve">  在办理非北京生源高校毕业生进京审批手续过程中，有关行政主管部门工作人员徇私舞弊，玩忽职守的，由其所在单位或者上级主管部门对直接责任人予以行政处分；构成犯罪的，依法追究刑事责任。</w:t>
      </w:r>
    </w:p>
    <w:p w14:paraId="32CDF9F4">
      <w:pPr>
        <w:ind w:firstLine="422"/>
      </w:pPr>
      <w:r>
        <w:rPr>
          <w:rFonts w:hint="eastAsia"/>
          <w:b/>
        </w:rPr>
        <w:t>第十条</w:t>
      </w:r>
      <w:r>
        <w:rPr>
          <w:rFonts w:hint="eastAsia"/>
        </w:rPr>
        <w:t xml:space="preserve">  本办法自发布之日起实施。</w:t>
      </w:r>
    </w:p>
    <w:p w14:paraId="0E758699">
      <w:pPr>
        <w:pStyle w:val="4"/>
        <w:pageBreakBefore/>
      </w:pPr>
      <w:bookmarkStart w:id="2183" w:name="_Toc428780543"/>
      <w:bookmarkStart w:id="2184" w:name="_Toc426467075"/>
      <w:bookmarkStart w:id="2185" w:name="_Toc428781823"/>
      <w:r>
        <w:rPr>
          <w:rFonts w:hint="eastAsia"/>
        </w:rPr>
        <w:t>北京市劳动合同规定</w:t>
      </w:r>
      <w:bookmarkEnd w:id="2183"/>
      <w:bookmarkEnd w:id="2184"/>
      <w:bookmarkEnd w:id="2185"/>
    </w:p>
    <w:p w14:paraId="3D77AB04">
      <w:pPr>
        <w:ind w:left="630" w:leftChars="300" w:right="630" w:rightChars="300"/>
        <w:rPr>
          <w:rFonts w:ascii="楷体" w:hAnsi="楷体" w:eastAsia="楷体"/>
        </w:rPr>
      </w:pPr>
      <w:r>
        <w:rPr>
          <w:rFonts w:hint="eastAsia" w:ascii="楷体" w:hAnsi="楷体" w:eastAsia="楷体"/>
        </w:rPr>
        <w:t>（2001年12月13日北京市人民政府第43次常务会议通过　2001年12月24日北京市人民政府第91号令发布）</w:t>
      </w:r>
    </w:p>
    <w:p w14:paraId="7DE3E51C"/>
    <w:p w14:paraId="0F1E5498">
      <w:pPr>
        <w:ind w:firstLine="0" w:firstLineChars="0"/>
        <w:jc w:val="center"/>
        <w:rPr>
          <w:b/>
          <w:sz w:val="28"/>
        </w:rPr>
      </w:pPr>
      <w:r>
        <w:rPr>
          <w:rFonts w:hint="eastAsia"/>
          <w:b/>
          <w:sz w:val="28"/>
        </w:rPr>
        <w:t>第一章　总　则</w:t>
      </w:r>
    </w:p>
    <w:p w14:paraId="09F65563"/>
    <w:p w14:paraId="43EBED63">
      <w:pPr>
        <w:ind w:firstLine="422"/>
      </w:pPr>
      <w:r>
        <w:rPr>
          <w:rFonts w:hint="eastAsia"/>
          <w:b/>
        </w:rPr>
        <w:t>第一条</w:t>
      </w:r>
      <w:r>
        <w:rPr>
          <w:rFonts w:hint="eastAsia"/>
        </w:rPr>
        <w:t xml:space="preserve">  为了规范劳动合同制度，保护劳动者及用人单位的合法权益，根据《中华人民共和国劳动法》及有关规定，结合本市实际，制定本规定。</w:t>
      </w:r>
    </w:p>
    <w:p w14:paraId="6CA421CC">
      <w:pPr>
        <w:ind w:firstLine="422"/>
      </w:pPr>
      <w:r>
        <w:rPr>
          <w:rFonts w:hint="eastAsia"/>
          <w:b/>
        </w:rPr>
        <w:t>第二条</w:t>
      </w:r>
      <w:r>
        <w:rPr>
          <w:rFonts w:hint="eastAsia"/>
        </w:rPr>
        <w:t xml:space="preserve">  本市行政区域内的企业、个体工商户及民办非企业单位（以下统称为用人单位）与劳动者建立劳动关系，应当依据本规定订立劳动合同。</w:t>
      </w:r>
    </w:p>
    <w:p w14:paraId="62EF3FAD">
      <w:r>
        <w:rPr>
          <w:rFonts w:hint="eastAsia"/>
        </w:rPr>
        <w:t>国家机关、事业单位、社会团体与劳动者建立劳动合同关系，依照本规定执行。</w:t>
      </w:r>
    </w:p>
    <w:p w14:paraId="07B1DFBA">
      <w:pPr>
        <w:ind w:firstLine="422"/>
      </w:pPr>
      <w:r>
        <w:rPr>
          <w:rFonts w:hint="eastAsia"/>
          <w:b/>
        </w:rPr>
        <w:t>第三条</w:t>
      </w:r>
      <w:r>
        <w:rPr>
          <w:rFonts w:hint="eastAsia"/>
        </w:rPr>
        <w:t xml:space="preserve">  劳动合同是劳动者与用人单位确立劳动关系，明确双方权利和义务的协议。</w:t>
      </w:r>
    </w:p>
    <w:p w14:paraId="1DDFDF09">
      <w:pPr>
        <w:ind w:firstLine="422"/>
      </w:pPr>
      <w:r>
        <w:rPr>
          <w:rFonts w:hint="eastAsia"/>
          <w:b/>
        </w:rPr>
        <w:t>第四条</w:t>
      </w:r>
      <w:r>
        <w:rPr>
          <w:rFonts w:hint="eastAsia"/>
        </w:rPr>
        <w:t xml:space="preserve">  订立和变更劳动合同，应当遵循平等自愿、协商一致的原则；劳动合同的订立、变更、解除、终止和续订，不得违反法律、法规、规章的规定。</w:t>
      </w:r>
    </w:p>
    <w:p w14:paraId="1093D98A">
      <w:r>
        <w:rPr>
          <w:rFonts w:hint="eastAsia"/>
        </w:rPr>
        <w:t>劳动合同依法订立即具有法律约束力，当事人必须履行劳动合同规定的义务。</w:t>
      </w:r>
    </w:p>
    <w:p w14:paraId="5583938D">
      <w:pPr>
        <w:ind w:firstLine="422"/>
      </w:pPr>
      <w:r>
        <w:rPr>
          <w:rFonts w:hint="eastAsia"/>
          <w:b/>
        </w:rPr>
        <w:t>第五条</w:t>
      </w:r>
      <w:r>
        <w:rPr>
          <w:rFonts w:hint="eastAsia"/>
        </w:rPr>
        <w:t xml:space="preserve">  市和区、县劳动和社会保障行政部门负责劳动合同制度实施的监督管理。</w:t>
      </w:r>
    </w:p>
    <w:p w14:paraId="5ECC6666">
      <w:pPr>
        <w:ind w:firstLine="422"/>
      </w:pPr>
      <w:r>
        <w:rPr>
          <w:rFonts w:hint="eastAsia"/>
          <w:b/>
        </w:rPr>
        <w:t>第六条</w:t>
      </w:r>
      <w:r>
        <w:rPr>
          <w:rFonts w:hint="eastAsia"/>
        </w:rPr>
        <w:t xml:space="preserve">  用人单位应当依法建立和完善有关工作时间、劳动报酬、休息休假、职业培训、安全卫生、保险和福利、劳动纪律等方面的劳动规章制度，保护劳动者的合法权益。</w:t>
      </w:r>
    </w:p>
    <w:p w14:paraId="32FEBBDC">
      <w:pPr>
        <w:ind w:firstLine="422"/>
      </w:pPr>
      <w:r>
        <w:rPr>
          <w:rFonts w:hint="eastAsia"/>
          <w:b/>
        </w:rPr>
        <w:t>第七条</w:t>
      </w:r>
      <w:r>
        <w:rPr>
          <w:rFonts w:hint="eastAsia"/>
        </w:rPr>
        <w:t xml:space="preserve">  工会依法帮助、指导劳动者订立和履行劳动合同，并对用人单位订立和履行劳动合同的情况进行监督。用人单位违反劳动法律、法规、规章和劳动合同的，工会有权提出意见或者要求重新处理；劳动者申请仲裁或者提起诉讼的，工会依法给予支持和帮助。</w:t>
      </w:r>
    </w:p>
    <w:p w14:paraId="2EA9C465"/>
    <w:p w14:paraId="7E2383E3">
      <w:pPr>
        <w:ind w:firstLine="0" w:firstLineChars="0"/>
        <w:jc w:val="center"/>
        <w:rPr>
          <w:b/>
          <w:sz w:val="28"/>
        </w:rPr>
      </w:pPr>
      <w:r>
        <w:rPr>
          <w:rFonts w:hint="eastAsia"/>
          <w:b/>
          <w:sz w:val="28"/>
        </w:rPr>
        <w:t>第二章　劳动合同的订立</w:t>
      </w:r>
    </w:p>
    <w:p w14:paraId="2D07A93A"/>
    <w:p w14:paraId="0EAA6C86">
      <w:pPr>
        <w:ind w:firstLine="422"/>
      </w:pPr>
      <w:r>
        <w:rPr>
          <w:rFonts w:hint="eastAsia"/>
          <w:b/>
        </w:rPr>
        <w:t>第八条</w:t>
      </w:r>
      <w:r>
        <w:rPr>
          <w:rFonts w:hint="eastAsia"/>
        </w:rPr>
        <w:t xml:space="preserve">  用人单位自用工之日起即与劳动者建立劳动关系。建立劳动关系应当订立劳动合同。</w:t>
      </w:r>
    </w:p>
    <w:p w14:paraId="254240FA">
      <w:pPr>
        <w:ind w:firstLine="422"/>
      </w:pPr>
      <w:r>
        <w:rPr>
          <w:rFonts w:hint="eastAsia"/>
          <w:b/>
        </w:rPr>
        <w:t>第九条</w:t>
      </w:r>
      <w:r>
        <w:rPr>
          <w:rFonts w:hint="eastAsia"/>
        </w:rPr>
        <w:t xml:space="preserve">  用人单位应当依法成立，能够依法支付工资、缴纳社会保险费、提供劳动保护条件，并能够承担相应的民事责任。</w:t>
      </w:r>
    </w:p>
    <w:p w14:paraId="709AD018">
      <w:r>
        <w:rPr>
          <w:rFonts w:hint="eastAsia"/>
        </w:rPr>
        <w:t>劳动者应当达到法定就业年龄，具有与履行劳动合同义务相适应的能力。</w:t>
      </w:r>
    </w:p>
    <w:p w14:paraId="17D93E10">
      <w:r>
        <w:rPr>
          <w:rFonts w:hint="eastAsia"/>
        </w:rPr>
        <w:t>用人单位招用未成年人或者外地来京务工人员，应当符合国家和本市有关规定。</w:t>
      </w:r>
    </w:p>
    <w:p w14:paraId="7DB6F888">
      <w:pPr>
        <w:ind w:firstLine="422"/>
      </w:pPr>
      <w:r>
        <w:rPr>
          <w:rFonts w:hint="eastAsia"/>
          <w:b/>
        </w:rPr>
        <w:t>第十条</w:t>
      </w:r>
      <w:r>
        <w:rPr>
          <w:rFonts w:hint="eastAsia"/>
        </w:rPr>
        <w:t xml:space="preserve">  用人单位应当如实向劳动者说明岗位用人要求、工作内容、工作时间、劳动报酬、劳动条件、社会保险等情况；劳动者有权了解用人单位的有关情况，并应当如实向用人单位提供本人的身份证和学历、就业状况、工作经历、职业技能等证明。</w:t>
      </w:r>
    </w:p>
    <w:p w14:paraId="38BE05B1">
      <w:pPr>
        <w:ind w:firstLine="422"/>
      </w:pPr>
      <w:r>
        <w:rPr>
          <w:rFonts w:hint="eastAsia"/>
          <w:b/>
        </w:rPr>
        <w:t>第十一条</w:t>
      </w:r>
      <w:r>
        <w:rPr>
          <w:rFonts w:hint="eastAsia"/>
        </w:rPr>
        <w:t xml:space="preserve">  劳动合同应当以书面形式订立。劳动合同一式两份，双方当事人各执一份。</w:t>
      </w:r>
    </w:p>
    <w:p w14:paraId="0F4D5921">
      <w:pPr>
        <w:ind w:firstLine="422"/>
      </w:pPr>
      <w:r>
        <w:rPr>
          <w:rFonts w:hint="eastAsia"/>
          <w:b/>
        </w:rPr>
        <w:t>第十二条</w:t>
      </w:r>
      <w:r>
        <w:rPr>
          <w:rFonts w:hint="eastAsia"/>
        </w:rPr>
        <w:t xml:space="preserve">  劳动合同应当载明用人单位的名称、地址和劳动者的姓名、性别、年龄等基本情况，并具备以下条款：</w:t>
      </w:r>
    </w:p>
    <w:p w14:paraId="02A91F4F">
      <w:r>
        <w:rPr>
          <w:rFonts w:hint="eastAsia"/>
        </w:rPr>
        <w:t>（一）劳动合同期限；</w:t>
      </w:r>
    </w:p>
    <w:p w14:paraId="6FA219C5">
      <w:r>
        <w:rPr>
          <w:rFonts w:hint="eastAsia"/>
        </w:rPr>
        <w:t>（二）工作内容；</w:t>
      </w:r>
    </w:p>
    <w:p w14:paraId="7745FE80">
      <w:r>
        <w:rPr>
          <w:rFonts w:hint="eastAsia"/>
        </w:rPr>
        <w:t>（三）劳动保护和劳动条件；</w:t>
      </w:r>
    </w:p>
    <w:p w14:paraId="026D4B7E">
      <w:r>
        <w:rPr>
          <w:rFonts w:hint="eastAsia"/>
        </w:rPr>
        <w:t>（四）劳动报酬；</w:t>
      </w:r>
    </w:p>
    <w:p w14:paraId="2BB39D15">
      <w:r>
        <w:rPr>
          <w:rFonts w:hint="eastAsia"/>
        </w:rPr>
        <w:t>（五）社会保险；</w:t>
      </w:r>
    </w:p>
    <w:p w14:paraId="67018028">
      <w:r>
        <w:rPr>
          <w:rFonts w:hint="eastAsia"/>
        </w:rPr>
        <w:t>（六）劳动纪律；</w:t>
      </w:r>
    </w:p>
    <w:p w14:paraId="09BA7598">
      <w:r>
        <w:rPr>
          <w:rFonts w:hint="eastAsia"/>
        </w:rPr>
        <w:t>（七）劳动合同的终止条件；</w:t>
      </w:r>
    </w:p>
    <w:p w14:paraId="6DDE54CD">
      <w:r>
        <w:rPr>
          <w:rFonts w:hint="eastAsia"/>
        </w:rPr>
        <w:t>（八）违反劳动合同的责任。</w:t>
      </w:r>
    </w:p>
    <w:p w14:paraId="201846C9">
      <w:pPr>
        <w:ind w:firstLine="422"/>
      </w:pPr>
      <w:r>
        <w:rPr>
          <w:rFonts w:hint="eastAsia"/>
          <w:b/>
        </w:rPr>
        <w:t>第十三条</w:t>
      </w:r>
      <w:r>
        <w:rPr>
          <w:rFonts w:hint="eastAsia"/>
        </w:rPr>
        <w:t xml:space="preserve">  除本规定第十二条规定的条款外，经当事人协商一致，还可以在劳动合同中约定下列内容：</w:t>
      </w:r>
    </w:p>
    <w:p w14:paraId="28C34671">
      <w:r>
        <w:rPr>
          <w:rFonts w:hint="eastAsia"/>
        </w:rPr>
        <w:t>（一）试用期；</w:t>
      </w:r>
    </w:p>
    <w:p w14:paraId="05B6B1C3">
      <w:r>
        <w:rPr>
          <w:rFonts w:hint="eastAsia"/>
        </w:rPr>
        <w:t>（二）培训；</w:t>
      </w:r>
    </w:p>
    <w:p w14:paraId="1A28C5F4">
      <w:r>
        <w:rPr>
          <w:rFonts w:hint="eastAsia"/>
        </w:rPr>
        <w:t>（三）保守商业秘密；</w:t>
      </w:r>
    </w:p>
    <w:p w14:paraId="4CD6EFCE">
      <w:r>
        <w:rPr>
          <w:rFonts w:hint="eastAsia"/>
        </w:rPr>
        <w:t>（四）补充保险和福利待遇；</w:t>
      </w:r>
    </w:p>
    <w:p w14:paraId="15E59F94">
      <w:r>
        <w:rPr>
          <w:rFonts w:hint="eastAsia"/>
        </w:rPr>
        <w:t>（五）其他事项。</w:t>
      </w:r>
    </w:p>
    <w:p w14:paraId="7B214C37">
      <w:pPr>
        <w:ind w:firstLine="422"/>
      </w:pPr>
      <w:r>
        <w:rPr>
          <w:rFonts w:hint="eastAsia"/>
          <w:b/>
        </w:rPr>
        <w:t>第十四条</w:t>
      </w:r>
      <w:r>
        <w:rPr>
          <w:rFonts w:hint="eastAsia"/>
        </w:rPr>
        <w:t xml:space="preserve">  劳动合同的期限分为有固定期限、无固定期限和以完成一定的工作为期限。</w:t>
      </w:r>
    </w:p>
    <w:p w14:paraId="66A26B0D">
      <w:pPr>
        <w:ind w:firstLine="422"/>
      </w:pPr>
      <w:r>
        <w:rPr>
          <w:rFonts w:hint="eastAsia"/>
          <w:b/>
        </w:rPr>
        <w:t>第十五条</w:t>
      </w:r>
      <w:r>
        <w:rPr>
          <w:rFonts w:hint="eastAsia"/>
        </w:rPr>
        <w:t xml:space="preserve">  有下列情形之一，劳动者要求订立无固定期限劳动合同的，用人单位应当订立无固定期限劳动合同：</w:t>
      </w:r>
    </w:p>
    <w:p w14:paraId="3407EA50">
      <w:bookmarkStart w:id="2186" w:name="_Toc428780544"/>
      <w:r>
        <w:rPr>
          <w:rFonts w:hint="eastAsia"/>
        </w:rPr>
        <w:t>（一）全国劳动模范、先进工作者或者五一劳动奖章获得者；</w:t>
      </w:r>
      <w:bookmarkEnd w:id="2186"/>
    </w:p>
    <w:p w14:paraId="1BEDDE3A">
      <w:r>
        <w:rPr>
          <w:rFonts w:hint="eastAsia"/>
        </w:rPr>
        <w:t>（二）复员、转业退伍军人初次分配工作的；</w:t>
      </w:r>
    </w:p>
    <w:p w14:paraId="3509AFF2">
      <w:r>
        <w:rPr>
          <w:rFonts w:hint="eastAsia"/>
        </w:rPr>
        <w:t>（三）建设征地农转工人员初次分配工作的；</w:t>
      </w:r>
    </w:p>
    <w:p w14:paraId="726AADD4">
      <w:pPr>
        <w:rPr>
          <w:rFonts w:hint="eastAsia" w:ascii="宋体" w:hAnsi="宋体" w:eastAsia="宋体" w:cs="宋体"/>
        </w:rPr>
      </w:pPr>
      <w:r>
        <w:rPr>
          <w:rFonts w:hint="eastAsia"/>
        </w:rPr>
        <w:t>（四）尚未实行</w:t>
      </w:r>
      <w:r>
        <w:rPr>
          <w:rFonts w:hint="eastAsia" w:ascii="宋体" w:hAnsi="宋体" w:eastAsia="宋体" w:cs="宋体"/>
        </w:rPr>
        <w:t>劳动合同制度的用人单位初次实行劳动合同制度时，劳动者连续工龄满10年，且距法定退休年龄10年以内的；</w:t>
      </w:r>
    </w:p>
    <w:p w14:paraId="2AB22621">
      <w:r>
        <w:rPr>
          <w:rFonts w:hint="eastAsia"/>
        </w:rPr>
        <w:t>（五）国家和本市规定的其他情形。</w:t>
      </w:r>
    </w:p>
    <w:p w14:paraId="7874480A">
      <w:pPr>
        <w:ind w:firstLine="422"/>
        <w:rPr>
          <w:rFonts w:hint="eastAsia" w:ascii="宋体" w:hAnsi="宋体" w:eastAsia="宋体" w:cs="宋体"/>
        </w:rPr>
      </w:pPr>
      <w:r>
        <w:rPr>
          <w:rFonts w:hint="eastAsia"/>
          <w:b/>
        </w:rPr>
        <w:t>第十六条</w:t>
      </w:r>
      <w:r>
        <w:rPr>
          <w:rFonts w:hint="eastAsia"/>
        </w:rPr>
        <w:t xml:space="preserve">  劳动合同可以约定试</w:t>
      </w:r>
      <w:r>
        <w:rPr>
          <w:rFonts w:hint="eastAsia" w:ascii="宋体" w:hAnsi="宋体" w:eastAsia="宋体" w:cs="宋体"/>
        </w:rPr>
        <w:t>用期。劳动合同期限在6个月以内的，试用期不得超过15日；劳动合同期限在6个月以上1年以内的，试用期不得超过30日；劳动合同期限在1年以上2年以内的，试用期不得超过60日；劳动合同期限在2年以上的，试用期不得超过6个月。</w:t>
      </w:r>
    </w:p>
    <w:p w14:paraId="70F2B40C">
      <w:r>
        <w:rPr>
          <w:rFonts w:hint="eastAsia"/>
        </w:rPr>
        <w:t>试用期包括在劳动合同期限内。</w:t>
      </w:r>
    </w:p>
    <w:p w14:paraId="369E3A0E">
      <w:pPr>
        <w:ind w:firstLine="422"/>
      </w:pPr>
      <w:r>
        <w:rPr>
          <w:rFonts w:hint="eastAsia"/>
          <w:b/>
        </w:rPr>
        <w:t>第十七条</w:t>
      </w:r>
      <w:r>
        <w:rPr>
          <w:rFonts w:hint="eastAsia"/>
        </w:rPr>
        <w:t xml:space="preserve">  劳动合同的试用期超过本规定第十六条规定期限的，劳动者可以要求变更相应的劳动合同期限，或者要求用人单位对超过的期限，按照非试用期工资标准支付工资。用人单位应当及时变更劳动合同期限，或者按照非试用期的工资标准支付工资。</w:t>
      </w:r>
    </w:p>
    <w:p w14:paraId="1D5D05D8">
      <w:r>
        <w:rPr>
          <w:rFonts w:hint="eastAsia"/>
        </w:rPr>
        <w:t>劳动合同只约定试用期，未约定劳动合同期限，劳动者要求约定期限的，用人单位应当与劳动者协商确定劳动合同期限。双方当事人就劳动合同期限协商不一致的，按照本规定第十六条的规定确定劳动合同期限。</w:t>
      </w:r>
    </w:p>
    <w:p w14:paraId="3EFEEBFA">
      <w:pPr>
        <w:ind w:firstLine="422"/>
      </w:pPr>
      <w:r>
        <w:rPr>
          <w:rFonts w:hint="eastAsia"/>
          <w:b/>
        </w:rPr>
        <w:t>第十八条</w:t>
      </w:r>
      <w:r>
        <w:rPr>
          <w:rFonts w:hint="eastAsia"/>
        </w:rPr>
        <w:t xml:space="preserve">  用人单位在与按照岗位要求需要保守用人单位商业秘密的劳动者订立劳动合同时，可以协商约定解除劳动合同的提前通知期。提前通知期最长不得</w:t>
      </w:r>
      <w:r>
        <w:rPr>
          <w:rFonts w:hint="eastAsia" w:ascii="宋体" w:hAnsi="宋体" w:eastAsia="宋体" w:cs="宋体"/>
        </w:rPr>
        <w:t>超过6个月，在</w:t>
      </w:r>
      <w:r>
        <w:rPr>
          <w:rFonts w:hint="eastAsia"/>
        </w:rPr>
        <w:t>此期间，用人单位可以采取相应的脱密措施。</w:t>
      </w:r>
    </w:p>
    <w:p w14:paraId="22C318BE">
      <w:pPr>
        <w:ind w:firstLine="422"/>
      </w:pPr>
      <w:r>
        <w:rPr>
          <w:rFonts w:hint="eastAsia"/>
          <w:b/>
        </w:rPr>
        <w:t>第十九条</w:t>
      </w:r>
      <w:r>
        <w:rPr>
          <w:rFonts w:hint="eastAsia"/>
        </w:rPr>
        <w:t xml:space="preserve">  订立劳动合同可以约定劳动者提前解除劳动合同的违约责任，劳动者向用人单位支付的违约金最多不得超过本人解除劳动</w:t>
      </w:r>
      <w:r>
        <w:rPr>
          <w:rFonts w:hint="eastAsia" w:ascii="宋体" w:hAnsi="宋体" w:eastAsia="宋体" w:cs="宋体"/>
        </w:rPr>
        <w:t>合同前12个月的工资总额。</w:t>
      </w:r>
      <w:r>
        <w:rPr>
          <w:rFonts w:hint="eastAsia"/>
        </w:rPr>
        <w:t>但劳动者与用人单位协商一致解除劳动合同的除外。</w:t>
      </w:r>
    </w:p>
    <w:p w14:paraId="099DB14A">
      <w:pPr>
        <w:ind w:firstLine="422"/>
      </w:pPr>
      <w:r>
        <w:rPr>
          <w:rFonts w:hint="eastAsia"/>
          <w:b/>
        </w:rPr>
        <w:t>第二十条</w:t>
      </w:r>
      <w:r>
        <w:rPr>
          <w:rFonts w:hint="eastAsia"/>
        </w:rPr>
        <w:t xml:space="preserve">  订立劳动合同可以约定生效时间。没有约定的，以当事人签字或者盖章的时间为生效时间。当事人签字或者盖章时间不一致的，以最后一方签字或者盖章的时间为准。</w:t>
      </w:r>
    </w:p>
    <w:p w14:paraId="3861D868">
      <w:pPr>
        <w:ind w:firstLine="422"/>
      </w:pPr>
      <w:r>
        <w:rPr>
          <w:rFonts w:hint="eastAsia"/>
          <w:b/>
        </w:rPr>
        <w:t>第二十一条</w:t>
      </w:r>
      <w:r>
        <w:rPr>
          <w:rFonts w:hint="eastAsia"/>
        </w:rPr>
        <w:t xml:space="preserve">  用人单位的法定代表人（负责人）或者其书面委托的代理人代表用人单位与劳动者签订劳动合同。劳动合同由双方分别签字或者盖章，并加盖用人单位印章。</w:t>
      </w:r>
    </w:p>
    <w:p w14:paraId="30C93102">
      <w:pPr>
        <w:ind w:firstLine="422"/>
      </w:pPr>
      <w:r>
        <w:rPr>
          <w:rFonts w:hint="eastAsia"/>
          <w:b/>
        </w:rPr>
        <w:t>第二十二条</w:t>
      </w:r>
      <w:r>
        <w:rPr>
          <w:rFonts w:hint="eastAsia"/>
        </w:rPr>
        <w:t xml:space="preserve">  下列劳动合同无效：</w:t>
      </w:r>
    </w:p>
    <w:p w14:paraId="3BD1CFA9">
      <w:r>
        <w:rPr>
          <w:rFonts w:hint="eastAsia"/>
        </w:rPr>
        <w:t>（一）违反劳动法律、法规的；</w:t>
      </w:r>
    </w:p>
    <w:p w14:paraId="368BBC8F">
      <w:r>
        <w:rPr>
          <w:rFonts w:hint="eastAsia"/>
        </w:rPr>
        <w:t>（二）采取欺诈、胁迫等手段订立的；</w:t>
      </w:r>
    </w:p>
    <w:p w14:paraId="4F038BDB">
      <w:r>
        <w:rPr>
          <w:rFonts w:hint="eastAsia"/>
        </w:rPr>
        <w:t>（三）内容显失公平的；</w:t>
      </w:r>
    </w:p>
    <w:p w14:paraId="0E253E46">
      <w:r>
        <w:rPr>
          <w:rFonts w:hint="eastAsia"/>
        </w:rPr>
        <w:t>（四）有关劳动报酬和劳动条件等标准低于集体合同规定的。</w:t>
      </w:r>
    </w:p>
    <w:p w14:paraId="0A068BF2">
      <w:r>
        <w:rPr>
          <w:rFonts w:hint="eastAsia"/>
        </w:rPr>
        <w:t>劳动合同的无效，由劳动争议仲裁委员会或者人民法院确认。无效的劳动合同，从订立之时起，就没有法律约束力。确认部分无效的劳动合同，如果不影响其余部分的效力，其余部分仍然有效。</w:t>
      </w:r>
    </w:p>
    <w:p w14:paraId="4E3316E1">
      <w:r>
        <w:rPr>
          <w:rFonts w:hint="eastAsia"/>
        </w:rPr>
        <w:t>劳动合同被确认为无效，劳动者已履行劳动合同的，用人单位应当支付相应的劳动报酬，提供相应的待遇。</w:t>
      </w:r>
    </w:p>
    <w:p w14:paraId="542B3F95">
      <w:pPr>
        <w:ind w:firstLine="422"/>
      </w:pPr>
      <w:r>
        <w:rPr>
          <w:rFonts w:hint="eastAsia"/>
          <w:b/>
        </w:rPr>
        <w:t>第二十三条</w:t>
      </w:r>
      <w:r>
        <w:rPr>
          <w:rFonts w:hint="eastAsia"/>
        </w:rPr>
        <w:t xml:space="preserve">  用人单位与劳动者存在劳动关系未订立劳动合同，劳动者要求签订劳动合同的，用人单位不得解除劳动关系，并应当与劳动者签订劳动合同。双方当事人就劳动合同期限协商不一致的，劳动合同期限从签字之日起不得少于</w:t>
      </w:r>
      <w:r>
        <w:rPr>
          <w:rFonts w:hint="eastAsia" w:ascii="宋体" w:hAnsi="宋体" w:eastAsia="宋体" w:cs="宋体"/>
        </w:rPr>
        <w:t>1年</w:t>
      </w:r>
      <w:r>
        <w:rPr>
          <w:rFonts w:hint="eastAsia"/>
        </w:rPr>
        <w:t>。</w:t>
      </w:r>
    </w:p>
    <w:p w14:paraId="12A2C2EB">
      <w:pPr>
        <w:ind w:firstLine="422"/>
      </w:pPr>
      <w:r>
        <w:rPr>
          <w:rFonts w:hint="eastAsia"/>
          <w:b/>
        </w:rPr>
        <w:t>第二十四条</w:t>
      </w:r>
      <w:r>
        <w:rPr>
          <w:rFonts w:hint="eastAsia"/>
        </w:rPr>
        <w:t xml:space="preserve">  订立劳动合同，用人单位不得以任何形式收取抵押金、抵押物、保证金、定金及其他费用，也不得扣押劳动者身份证及其他证明。</w:t>
      </w:r>
    </w:p>
    <w:p w14:paraId="4F4E09F8"/>
    <w:p w14:paraId="27E0BE61">
      <w:pPr>
        <w:ind w:firstLine="0" w:firstLineChars="0"/>
        <w:jc w:val="center"/>
        <w:rPr>
          <w:b/>
          <w:sz w:val="28"/>
        </w:rPr>
      </w:pPr>
      <w:r>
        <w:rPr>
          <w:rFonts w:hint="eastAsia"/>
          <w:b/>
          <w:sz w:val="28"/>
        </w:rPr>
        <w:t>第三章　劳动合同的变更</w:t>
      </w:r>
    </w:p>
    <w:p w14:paraId="4B1ADCF3"/>
    <w:p w14:paraId="40A0B4E6">
      <w:pPr>
        <w:ind w:firstLine="422"/>
      </w:pPr>
      <w:r>
        <w:rPr>
          <w:rFonts w:hint="eastAsia"/>
          <w:b/>
        </w:rPr>
        <w:t>第二十五条</w:t>
      </w:r>
      <w:r>
        <w:rPr>
          <w:rFonts w:hint="eastAsia"/>
        </w:rPr>
        <w:t xml:space="preserve">  劳动合同当事人协商一致，可以变更劳动合同。</w:t>
      </w:r>
    </w:p>
    <w:p w14:paraId="1A3C7A63">
      <w:pPr>
        <w:ind w:firstLine="422"/>
      </w:pPr>
      <w:r>
        <w:rPr>
          <w:rFonts w:hint="eastAsia"/>
          <w:b/>
        </w:rPr>
        <w:t>第二十六条</w:t>
      </w:r>
      <w:r>
        <w:rPr>
          <w:rFonts w:hint="eastAsia"/>
        </w:rPr>
        <w:t xml:space="preserve">  订立劳动合同时所依据的法律、法规、规章发生变化的，应当依法变更劳动合同的相关内容。</w:t>
      </w:r>
    </w:p>
    <w:p w14:paraId="0B24BFE8">
      <w:pPr>
        <w:ind w:firstLine="422"/>
      </w:pPr>
      <w:r>
        <w:rPr>
          <w:rFonts w:hint="eastAsia"/>
          <w:b/>
        </w:rPr>
        <w:t>第二十七条</w:t>
      </w:r>
      <w:r>
        <w:rPr>
          <w:rFonts w:hint="eastAsia"/>
        </w:rPr>
        <w:t xml:space="preserve">  用人单位发生合并或者分立等情况，原劳动合同继续有效，劳动合同由继承权利义务的用人单位继续履行。用人单位变更名称的，应当变更劳动合同的用人单位名称。</w:t>
      </w:r>
    </w:p>
    <w:p w14:paraId="51DC6143">
      <w:pPr>
        <w:ind w:firstLine="422"/>
      </w:pPr>
      <w:r>
        <w:rPr>
          <w:rFonts w:hint="eastAsia"/>
          <w:b/>
        </w:rPr>
        <w:t>第二十八条</w:t>
      </w:r>
      <w:r>
        <w:rPr>
          <w:rFonts w:hint="eastAsia"/>
        </w:rPr>
        <w:t xml:space="preserve">  订立劳动合同时所依据的客观情况发生重大变化，致使原劳动合同无法履行，当事人一方要求变更其相关内容的，应当将变更要求以书面形式送交另一方，另一方应当在15日内答复，逾期不答复的，视为不同意变更劳动合同。</w:t>
      </w:r>
    </w:p>
    <w:p w14:paraId="51E9548C"/>
    <w:p w14:paraId="7498297E">
      <w:pPr>
        <w:ind w:firstLine="0" w:firstLineChars="0"/>
        <w:jc w:val="center"/>
        <w:rPr>
          <w:b/>
          <w:sz w:val="28"/>
        </w:rPr>
      </w:pPr>
      <w:r>
        <w:rPr>
          <w:rFonts w:hint="eastAsia"/>
          <w:b/>
          <w:sz w:val="28"/>
        </w:rPr>
        <w:t>第四章　劳动合同的解除</w:t>
      </w:r>
    </w:p>
    <w:p w14:paraId="0762B1E3"/>
    <w:p w14:paraId="2F864B33">
      <w:pPr>
        <w:ind w:firstLine="422"/>
      </w:pPr>
      <w:r>
        <w:rPr>
          <w:rFonts w:hint="eastAsia"/>
          <w:b/>
        </w:rPr>
        <w:t>第二十九条</w:t>
      </w:r>
      <w:r>
        <w:rPr>
          <w:rFonts w:hint="eastAsia"/>
        </w:rPr>
        <w:t xml:space="preserve">  劳动合同当事人协商一致，可以解除劳动合同。</w:t>
      </w:r>
    </w:p>
    <w:p w14:paraId="4D2B4DD9">
      <w:pPr>
        <w:ind w:firstLine="422"/>
      </w:pPr>
      <w:r>
        <w:rPr>
          <w:rFonts w:hint="eastAsia"/>
          <w:b/>
        </w:rPr>
        <w:t>第三十条</w:t>
      </w:r>
      <w:r>
        <w:rPr>
          <w:rFonts w:hint="eastAsia"/>
        </w:rPr>
        <w:t xml:space="preserve">  劳动者有下列情形之一的，用人单位可以解除劳动合同：</w:t>
      </w:r>
    </w:p>
    <w:p w14:paraId="18843F02">
      <w:bookmarkStart w:id="2187" w:name="_Toc428780545"/>
      <w:r>
        <w:rPr>
          <w:rFonts w:hint="eastAsia"/>
        </w:rPr>
        <w:t>（一）在试用期内被证明不符合录用条件的；</w:t>
      </w:r>
      <w:bookmarkEnd w:id="2187"/>
    </w:p>
    <w:p w14:paraId="3BC9A96F">
      <w:r>
        <w:rPr>
          <w:rFonts w:hint="eastAsia"/>
        </w:rPr>
        <w:t>（二）严重违反劳动纪律或者用人单位规章制度，按照用人单位规定或者劳动合同约定可以解除劳动合同的。但用人单位的规章制度与法律、法规、规章相抵触的除外；</w:t>
      </w:r>
    </w:p>
    <w:p w14:paraId="5D294DDB">
      <w:bookmarkStart w:id="2188" w:name="_Toc428780546"/>
      <w:r>
        <w:rPr>
          <w:rFonts w:hint="eastAsia"/>
        </w:rPr>
        <w:t>（三）严重失职、营私舞弊，对用人单位利益造成重大损害的；</w:t>
      </w:r>
      <w:bookmarkEnd w:id="2188"/>
    </w:p>
    <w:p w14:paraId="6D551651">
      <w:r>
        <w:rPr>
          <w:rFonts w:hint="eastAsia"/>
        </w:rPr>
        <w:t>（四）被依法追究刑事责任的。</w:t>
      </w:r>
    </w:p>
    <w:p w14:paraId="7ADAADDB">
      <w:pPr>
        <w:ind w:firstLine="422"/>
      </w:pPr>
      <w:r>
        <w:rPr>
          <w:rFonts w:hint="eastAsia"/>
          <w:b/>
        </w:rPr>
        <w:t>第三十一条</w:t>
      </w:r>
      <w:r>
        <w:rPr>
          <w:rFonts w:hint="eastAsia"/>
        </w:rPr>
        <w:t xml:space="preserve">  有下列情形之一的，用人单位可以</w:t>
      </w:r>
      <w:r>
        <w:rPr>
          <w:rFonts w:hint="eastAsia" w:ascii="宋体" w:hAnsi="宋体" w:eastAsia="宋体" w:cs="宋体"/>
        </w:rPr>
        <w:t>解除劳动合同，但应当提前30日以</w:t>
      </w:r>
      <w:r>
        <w:rPr>
          <w:rFonts w:hint="eastAsia"/>
        </w:rPr>
        <w:t>书面形式通知劳动者本人：</w:t>
      </w:r>
    </w:p>
    <w:p w14:paraId="03D8C69C">
      <w:r>
        <w:rPr>
          <w:rFonts w:hint="eastAsia"/>
        </w:rPr>
        <w:t>（一）劳动者患病或者非因工负伤，医疗期满后不能从事原工作，也不能从事由用人单位另行安排的工作或者不符合国家和本市从事有关行业、工种岗位规定，用人单位无法另行安排工作的；</w:t>
      </w:r>
    </w:p>
    <w:p w14:paraId="050007D5">
      <w:r>
        <w:rPr>
          <w:rFonts w:hint="eastAsia"/>
        </w:rPr>
        <w:t>（二）劳动者不能胜任工作，经过培训或者调整工作岗位，仍不能胜任工作的；</w:t>
      </w:r>
    </w:p>
    <w:p w14:paraId="0CEAEF36">
      <w:r>
        <w:rPr>
          <w:rFonts w:hint="eastAsia"/>
        </w:rPr>
        <w:t>（三）劳动合同订立时所依据的客观情况发生重大变化，致使原劳动合同无法履行，经当事人协商不能就变更劳动合同达成协议的。</w:t>
      </w:r>
    </w:p>
    <w:p w14:paraId="349BF3E7">
      <w:pPr>
        <w:ind w:firstLine="422"/>
      </w:pPr>
      <w:r>
        <w:rPr>
          <w:rFonts w:hint="eastAsia"/>
          <w:b/>
        </w:rPr>
        <w:t>第三十二条</w:t>
      </w:r>
      <w:r>
        <w:rPr>
          <w:rFonts w:hint="eastAsia"/>
        </w:rPr>
        <w:t xml:space="preserve">  用人单位有下列情形之一，确需裁减人员的，应</w:t>
      </w:r>
      <w:r>
        <w:rPr>
          <w:rFonts w:hint="eastAsia" w:ascii="宋体" w:hAnsi="宋体" w:eastAsia="宋体" w:cs="宋体"/>
        </w:rPr>
        <w:t>当提前30日向工会或者</w:t>
      </w:r>
      <w:r>
        <w:rPr>
          <w:rFonts w:hint="eastAsia"/>
        </w:rPr>
        <w:t>全体职工说明情况，听取工会或者职工的意见，经向劳动和社会保障行政部门报告后，可以裁减人员：</w:t>
      </w:r>
    </w:p>
    <w:p w14:paraId="27CBADA1">
      <w:r>
        <w:rPr>
          <w:rFonts w:hint="eastAsia"/>
        </w:rPr>
        <w:t>（一）濒临破产进行法定整顿期间的；</w:t>
      </w:r>
    </w:p>
    <w:p w14:paraId="4C0C24AA">
      <w:r>
        <w:rPr>
          <w:rFonts w:hint="eastAsia"/>
        </w:rPr>
        <w:t>（二）因防治工业污染源搬迁的；</w:t>
      </w:r>
    </w:p>
    <w:p w14:paraId="1B653AE1">
      <w:r>
        <w:rPr>
          <w:rFonts w:hint="eastAsia"/>
        </w:rPr>
        <w:t>（三）生产经营发生严重困难的。</w:t>
      </w:r>
    </w:p>
    <w:p w14:paraId="252ACAEA">
      <w:r>
        <w:rPr>
          <w:rFonts w:hint="eastAsia"/>
        </w:rPr>
        <w:t>用人单位依据前款规定裁减人员，</w:t>
      </w:r>
      <w:r>
        <w:rPr>
          <w:rFonts w:hint="eastAsia" w:ascii="宋体" w:hAnsi="宋体" w:eastAsia="宋体" w:cs="宋体"/>
        </w:rPr>
        <w:t>在6个</w:t>
      </w:r>
      <w:r>
        <w:rPr>
          <w:rFonts w:hint="eastAsia"/>
        </w:rPr>
        <w:t>月内录用人员的，应当优先录用被裁减人员。</w:t>
      </w:r>
    </w:p>
    <w:p w14:paraId="0F156118">
      <w:pPr>
        <w:ind w:firstLine="422"/>
      </w:pPr>
      <w:r>
        <w:rPr>
          <w:rFonts w:hint="eastAsia"/>
          <w:b/>
        </w:rPr>
        <w:t>第三十三条</w:t>
      </w:r>
      <w:r>
        <w:rPr>
          <w:rFonts w:hint="eastAsia"/>
        </w:rPr>
        <w:t xml:space="preserve">  劳动者有下列情形之一的，用人单位不得依据本规定第三十一条、第三十二条规定解除劳动合同：</w:t>
      </w:r>
    </w:p>
    <w:p w14:paraId="6E03ACF1">
      <w:bookmarkStart w:id="2189" w:name="_Toc428780547"/>
      <w:r>
        <w:rPr>
          <w:rFonts w:hint="eastAsia"/>
        </w:rPr>
        <w:t>（一）患职业病或者因工负伤并被确认达到伤残等级的；</w:t>
      </w:r>
      <w:bookmarkEnd w:id="2189"/>
    </w:p>
    <w:p w14:paraId="31A88850">
      <w:r>
        <w:rPr>
          <w:rFonts w:hint="eastAsia"/>
        </w:rPr>
        <w:t>（二）患病或者负伤，在规定的医疗期内的；</w:t>
      </w:r>
    </w:p>
    <w:p w14:paraId="306A62E8">
      <w:r>
        <w:rPr>
          <w:rFonts w:hint="eastAsia"/>
        </w:rPr>
        <w:t>（三）女职工在孕期、产期、哺乳期内的；</w:t>
      </w:r>
    </w:p>
    <w:p w14:paraId="4684AA99">
      <w:r>
        <w:rPr>
          <w:rFonts w:hint="eastAsia"/>
        </w:rPr>
        <w:t>（四）应征入伍，在义务服兵役期间的；</w:t>
      </w:r>
    </w:p>
    <w:p w14:paraId="7185CD43">
      <w:pPr>
        <w:rPr>
          <w:rFonts w:hint="eastAsia" w:ascii="宋体" w:hAnsi="宋体" w:eastAsia="宋体" w:cs="宋体"/>
        </w:rPr>
      </w:pPr>
      <w:r>
        <w:rPr>
          <w:rFonts w:hint="eastAsia"/>
        </w:rPr>
        <w:t>（五）复员、转业退伍军人退伍后初次参加</w:t>
      </w:r>
      <w:r>
        <w:rPr>
          <w:rFonts w:hint="eastAsia" w:ascii="宋体" w:hAnsi="宋体" w:eastAsia="宋体" w:cs="宋体"/>
        </w:rPr>
        <w:t>工作未满3年的；</w:t>
      </w:r>
    </w:p>
    <w:p w14:paraId="1E376321">
      <w:pPr>
        <w:rPr>
          <w:rFonts w:hint="eastAsia" w:ascii="宋体" w:hAnsi="宋体" w:eastAsia="宋体" w:cs="宋体"/>
        </w:rPr>
      </w:pPr>
      <w:bookmarkStart w:id="2190" w:name="_Toc428780548"/>
      <w:r>
        <w:rPr>
          <w:rFonts w:hint="eastAsia" w:ascii="宋体" w:hAnsi="宋体" w:eastAsia="宋体" w:cs="宋体"/>
        </w:rPr>
        <w:t>（六）建设征地农转工人员初次参加工作未满3年的；</w:t>
      </w:r>
      <w:bookmarkEnd w:id="2190"/>
    </w:p>
    <w:p w14:paraId="0B5635DF">
      <w:pPr>
        <w:rPr>
          <w:rFonts w:hint="eastAsia" w:ascii="宋体" w:hAnsi="宋体" w:eastAsia="宋体" w:cs="宋体"/>
        </w:rPr>
      </w:pPr>
      <w:r>
        <w:rPr>
          <w:rFonts w:hint="eastAsia" w:ascii="宋体" w:hAnsi="宋体" w:eastAsia="宋体" w:cs="宋体"/>
        </w:rPr>
        <w:t>（七）在同一单位连续工作满10年以上，且距法定退休年龄5年以内的；</w:t>
      </w:r>
    </w:p>
    <w:p w14:paraId="5252BC14">
      <w:pPr>
        <w:rPr>
          <w:rFonts w:hint="eastAsia" w:ascii="宋体" w:hAnsi="宋体" w:eastAsia="宋体" w:cs="宋体"/>
        </w:rPr>
      </w:pPr>
      <w:r>
        <w:rPr>
          <w:rFonts w:hint="eastAsia" w:ascii="宋体" w:hAnsi="宋体" w:eastAsia="宋体" w:cs="宋体"/>
        </w:rPr>
        <w:t>（八）实行集体合同制度的企业，职工一方协商代表在劳动合同期限内自担任代表之日起5年以内的；</w:t>
      </w:r>
    </w:p>
    <w:p w14:paraId="50247309">
      <w:pPr>
        <w:rPr>
          <w:rFonts w:hint="eastAsia" w:ascii="宋体" w:hAnsi="宋体" w:eastAsia="宋体" w:cs="宋体"/>
        </w:rPr>
      </w:pPr>
      <w:r>
        <w:rPr>
          <w:rFonts w:hint="eastAsia" w:ascii="宋体" w:hAnsi="宋体" w:eastAsia="宋体" w:cs="宋体"/>
        </w:rPr>
        <w:t>（九）国家和本市规定的其他情形。</w:t>
      </w:r>
    </w:p>
    <w:p w14:paraId="162D7C73">
      <w:pPr>
        <w:ind w:firstLine="422"/>
      </w:pPr>
      <w:r>
        <w:rPr>
          <w:rFonts w:hint="eastAsia"/>
          <w:b/>
        </w:rPr>
        <w:t>第三十四条</w:t>
      </w:r>
      <w:r>
        <w:rPr>
          <w:rFonts w:hint="eastAsia"/>
        </w:rPr>
        <w:t xml:space="preserve">  劳动者解除劳动合同，应当提</w:t>
      </w:r>
      <w:r>
        <w:rPr>
          <w:rFonts w:hint="eastAsia" w:ascii="宋体" w:hAnsi="宋体" w:eastAsia="宋体" w:cs="宋体"/>
        </w:rPr>
        <w:t>前30日</w:t>
      </w:r>
      <w:r>
        <w:rPr>
          <w:rFonts w:hint="eastAsia"/>
        </w:rPr>
        <w:t>或者按照劳动合同约定的提前通知期，以书面形式通知用人单位。</w:t>
      </w:r>
    </w:p>
    <w:p w14:paraId="4ADCEB9D">
      <w:r>
        <w:rPr>
          <w:rFonts w:hint="eastAsia"/>
        </w:rPr>
        <w:t>劳动者给用人单位造成经济损失尚未处理完毕或者未按照劳动合同约定承担违约责任的，不得依据前款规定解除劳动合同。</w:t>
      </w:r>
    </w:p>
    <w:p w14:paraId="3330BA02">
      <w:pPr>
        <w:ind w:firstLine="422"/>
      </w:pPr>
      <w:r>
        <w:rPr>
          <w:rFonts w:hint="eastAsia"/>
          <w:b/>
        </w:rPr>
        <w:t>第三十五条</w:t>
      </w:r>
      <w:r>
        <w:rPr>
          <w:rFonts w:hint="eastAsia"/>
        </w:rPr>
        <w:t xml:space="preserve">  有下列情形之一的，劳动者可以随时通知用人单位解除劳动合同，用人单位应当支付劳动者相应的劳动报酬并依法缴纳社会保险费：</w:t>
      </w:r>
    </w:p>
    <w:p w14:paraId="0F7BD467">
      <w:bookmarkStart w:id="2191" w:name="_Toc428780549"/>
      <w:r>
        <w:rPr>
          <w:rFonts w:hint="eastAsia"/>
        </w:rPr>
        <w:t>（一）在试用期内的；</w:t>
      </w:r>
      <w:bookmarkEnd w:id="2191"/>
    </w:p>
    <w:p w14:paraId="0C9096F5">
      <w:r>
        <w:rPr>
          <w:rFonts w:hint="eastAsia"/>
        </w:rPr>
        <w:t>（二）用人单位以暴力、威胁或者非法限制人身自由的手段强迫劳动的；</w:t>
      </w:r>
    </w:p>
    <w:p w14:paraId="32ADF8D3">
      <w:r>
        <w:rPr>
          <w:rFonts w:hint="eastAsia"/>
        </w:rPr>
        <w:t>（三）用人单位未按照劳动合同约定支付劳动报酬或者提供劳动条件的；</w:t>
      </w:r>
    </w:p>
    <w:p w14:paraId="0D9E20ED">
      <w:r>
        <w:rPr>
          <w:rFonts w:hint="eastAsia"/>
        </w:rPr>
        <w:t>（四）用人单位未依法为劳动者缴纳社会保险费的。</w:t>
      </w:r>
    </w:p>
    <w:p w14:paraId="566E3434">
      <w:pPr>
        <w:ind w:firstLine="422"/>
      </w:pPr>
      <w:r>
        <w:rPr>
          <w:rFonts w:hint="eastAsia"/>
          <w:b/>
        </w:rPr>
        <w:t>第三十六条</w:t>
      </w:r>
      <w:r>
        <w:rPr>
          <w:rFonts w:hint="eastAsia"/>
        </w:rPr>
        <w:t xml:space="preserve">  当事人依据本规定解除劳动合同的，用人单位应当向劳动者出具解除劳动合同的书面证明，并办理有关手续。</w:t>
      </w:r>
    </w:p>
    <w:p w14:paraId="051993E0">
      <w:pPr>
        <w:ind w:firstLine="422"/>
      </w:pPr>
      <w:r>
        <w:rPr>
          <w:rFonts w:hint="eastAsia"/>
          <w:b/>
        </w:rPr>
        <w:t>第三十七条</w:t>
      </w:r>
      <w:r>
        <w:rPr>
          <w:rFonts w:hint="eastAsia"/>
        </w:rPr>
        <w:t xml:space="preserve">  劳动者违反提</w:t>
      </w:r>
      <w:r>
        <w:rPr>
          <w:rFonts w:hint="eastAsia" w:ascii="宋体" w:hAnsi="宋体" w:eastAsia="宋体" w:cs="宋体"/>
        </w:rPr>
        <w:t>前30日或者约</w:t>
      </w:r>
      <w:r>
        <w:rPr>
          <w:rFonts w:hint="eastAsia"/>
        </w:rPr>
        <w:t>定的提前通知期要求与用人单位解除劳动合同的，用人单位可以不予办理解除劳动合同手续。</w:t>
      </w:r>
    </w:p>
    <w:p w14:paraId="057C1A06">
      <w:pPr>
        <w:ind w:firstLine="422"/>
      </w:pPr>
      <w:r>
        <w:rPr>
          <w:rFonts w:hint="eastAsia"/>
          <w:b/>
        </w:rPr>
        <w:t>第三十八条</w:t>
      </w:r>
      <w:r>
        <w:rPr>
          <w:rFonts w:hint="eastAsia"/>
        </w:rPr>
        <w:t xml:space="preserve">  用人单位依据本规定第二十九条、第三十一条、第三十二条规定解除劳动合同的，应当依照国家及本市有关规定给予劳动者经济补偿；依据本规定第三十一条第（一）项规定解除劳动合同的，还应当依照国家及本市有关规定支付医疗补助费。</w:t>
      </w:r>
    </w:p>
    <w:p w14:paraId="11B76B59">
      <w:pPr>
        <w:rPr>
          <w:rFonts w:hint="eastAsia" w:ascii="宋体" w:hAnsi="宋体" w:eastAsia="宋体" w:cs="宋体"/>
        </w:rPr>
      </w:pPr>
      <w:r>
        <w:rPr>
          <w:rFonts w:hint="eastAsia"/>
        </w:rPr>
        <w:t>劳动者依据本规定第三十五条第</w:t>
      </w:r>
      <w:r>
        <w:rPr>
          <w:rFonts w:hint="eastAsia" w:ascii="宋体" w:hAnsi="宋体" w:eastAsia="宋体" w:cs="宋体"/>
        </w:rPr>
        <w:t>（二）项规定解除劳动合同的，用人单位应当按照劳动者在本单位连续工作年限，每满1年发给劳动者1个月工资的经济补偿金，工作年限不满1年的按照1年计算。经济补偿金按照本市上一年企业平均工资计算。</w:t>
      </w:r>
    </w:p>
    <w:p w14:paraId="208142C7"/>
    <w:p w14:paraId="10DFC554">
      <w:pPr>
        <w:ind w:firstLine="0" w:firstLineChars="0"/>
        <w:jc w:val="center"/>
        <w:rPr>
          <w:b/>
          <w:sz w:val="28"/>
        </w:rPr>
      </w:pPr>
      <w:r>
        <w:rPr>
          <w:rFonts w:hint="eastAsia"/>
          <w:b/>
          <w:sz w:val="28"/>
        </w:rPr>
        <w:t>第五章　劳动合同的终止与续订</w:t>
      </w:r>
    </w:p>
    <w:p w14:paraId="1FDBB912"/>
    <w:p w14:paraId="5E7B908D">
      <w:pPr>
        <w:ind w:firstLine="422"/>
      </w:pPr>
      <w:r>
        <w:rPr>
          <w:rFonts w:hint="eastAsia"/>
          <w:b/>
        </w:rPr>
        <w:t>第三十九条</w:t>
      </w:r>
      <w:r>
        <w:rPr>
          <w:rFonts w:hint="eastAsia"/>
        </w:rPr>
        <w:t xml:space="preserve">  符合下列条件之一的，劳动合同即行终止：</w:t>
      </w:r>
    </w:p>
    <w:p w14:paraId="27C919F7">
      <w:r>
        <w:rPr>
          <w:rFonts w:hint="eastAsia"/>
        </w:rPr>
        <w:t>（一）劳动合同期限届满的；</w:t>
      </w:r>
    </w:p>
    <w:p w14:paraId="7B72F821">
      <w:r>
        <w:rPr>
          <w:rFonts w:hint="eastAsia"/>
        </w:rPr>
        <w:t>（二）劳动合同约定的终止条件出现的；</w:t>
      </w:r>
    </w:p>
    <w:p w14:paraId="6F781250">
      <w:r>
        <w:rPr>
          <w:rFonts w:hint="eastAsia"/>
        </w:rPr>
        <w:t>（三）劳动者达到法定退休条件的；</w:t>
      </w:r>
    </w:p>
    <w:p w14:paraId="7FBF2D9D">
      <w:r>
        <w:rPr>
          <w:rFonts w:hint="eastAsia"/>
        </w:rPr>
        <w:t>（四）劳动者死亡或者被人民法院宣告失踪、死亡的；</w:t>
      </w:r>
    </w:p>
    <w:p w14:paraId="75694DB3">
      <w:r>
        <w:rPr>
          <w:rFonts w:hint="eastAsia"/>
        </w:rPr>
        <w:t>（五）用人单位依法破产、解散的。</w:t>
      </w:r>
    </w:p>
    <w:p w14:paraId="0553BB81">
      <w:pPr>
        <w:ind w:firstLine="422"/>
      </w:pPr>
      <w:r>
        <w:rPr>
          <w:rFonts w:hint="eastAsia"/>
          <w:b/>
        </w:rPr>
        <w:t>第四十条</w:t>
      </w:r>
      <w:r>
        <w:rPr>
          <w:rFonts w:hint="eastAsia"/>
        </w:rPr>
        <w:t xml:space="preserve">  劳动合同期限届满前，用人单位应</w:t>
      </w:r>
      <w:r>
        <w:rPr>
          <w:rFonts w:hint="eastAsia" w:ascii="宋体" w:hAnsi="宋体" w:eastAsia="宋体" w:cs="宋体"/>
        </w:rPr>
        <w:t>当提前30日将终</w:t>
      </w:r>
      <w:r>
        <w:rPr>
          <w:rFonts w:hint="eastAsia"/>
        </w:rPr>
        <w:t>止或者续订劳动合同意向以书面形式通知劳动者，经协商办理终止或者续订劳动合同手续。</w:t>
      </w:r>
    </w:p>
    <w:p w14:paraId="28C143E2">
      <w:pPr>
        <w:ind w:firstLine="422"/>
      </w:pPr>
      <w:r>
        <w:rPr>
          <w:rFonts w:hint="eastAsia"/>
          <w:b/>
        </w:rPr>
        <w:t>第四十一条</w:t>
      </w:r>
      <w:r>
        <w:rPr>
          <w:rFonts w:hint="eastAsia"/>
        </w:rPr>
        <w:t xml:space="preserve">  用人单位依据本规定第三十九条第（一）项、第（二）项、第（五）项规定终止劳动合同的，用人单位应当向劳动者出具终止劳动合同的书面证明，并办理有关手续。</w:t>
      </w:r>
    </w:p>
    <w:p w14:paraId="121ED54D">
      <w:pPr>
        <w:ind w:firstLine="422"/>
      </w:pPr>
      <w:r>
        <w:rPr>
          <w:rFonts w:hint="eastAsia"/>
          <w:b/>
        </w:rPr>
        <w:t>第四十二条</w:t>
      </w:r>
      <w:r>
        <w:rPr>
          <w:rFonts w:hint="eastAsia"/>
        </w:rPr>
        <w:t xml:space="preserve">  劳动合同当事人协商一致，可以续订劳动合同。</w:t>
      </w:r>
    </w:p>
    <w:p w14:paraId="699D65B1">
      <w:r>
        <w:rPr>
          <w:rFonts w:hint="eastAsia"/>
        </w:rPr>
        <w:t>续订劳动合同不得约定试用期。</w:t>
      </w:r>
    </w:p>
    <w:p w14:paraId="33DCABC9">
      <w:r>
        <w:rPr>
          <w:rFonts w:hint="eastAsia"/>
        </w:rPr>
        <w:t>劳动者在同一用人单位连续工作</w:t>
      </w:r>
      <w:r>
        <w:rPr>
          <w:rFonts w:hint="eastAsia" w:ascii="宋体" w:hAnsi="宋体" w:eastAsia="宋体" w:cs="宋体"/>
        </w:rPr>
        <w:t>满10年</w:t>
      </w:r>
      <w:r>
        <w:rPr>
          <w:rFonts w:hint="eastAsia"/>
        </w:rPr>
        <w:t>以上，当事人双方同意续延劳动合同的，如果劳动者提出订立无固定期限劳动合同，用人单位应当与劳动者订立无固定期限劳动合同。</w:t>
      </w:r>
    </w:p>
    <w:p w14:paraId="36169E20">
      <w:pPr>
        <w:ind w:firstLine="422"/>
      </w:pPr>
      <w:r>
        <w:rPr>
          <w:rFonts w:hint="eastAsia"/>
          <w:b/>
        </w:rPr>
        <w:t>第四十三条</w:t>
      </w:r>
      <w:r>
        <w:rPr>
          <w:rFonts w:hint="eastAsia"/>
        </w:rPr>
        <w:t xml:space="preserve">  劳动者患职业病或者因工负伤并被确认达到伤残等级，要求续订劳动合同的，用人单位应当续订劳动合同。</w:t>
      </w:r>
    </w:p>
    <w:p w14:paraId="00D01AB2">
      <w:pPr>
        <w:ind w:firstLine="422"/>
      </w:pPr>
      <w:r>
        <w:rPr>
          <w:rFonts w:hint="eastAsia"/>
          <w:b/>
        </w:rPr>
        <w:t>第四十四条</w:t>
      </w:r>
      <w:r>
        <w:rPr>
          <w:rFonts w:hint="eastAsia"/>
        </w:rPr>
        <w:t xml:space="preserve">  劳动者在规定的医疗期内或者女职工在孕期、产期、哺乳期内，劳动合同期限届满时，用人单位应当将劳动合同的期限顺延至医疗期、孕期、产期、哺乳期期满为止。</w:t>
      </w:r>
    </w:p>
    <w:p w14:paraId="7B797E57">
      <w:pPr>
        <w:ind w:firstLine="422"/>
      </w:pPr>
      <w:r>
        <w:rPr>
          <w:rFonts w:hint="eastAsia"/>
          <w:b/>
        </w:rPr>
        <w:t>第四十五条</w:t>
      </w:r>
      <w:r>
        <w:rPr>
          <w:rFonts w:hint="eastAsia"/>
        </w:rPr>
        <w:t xml:space="preserve">  劳动合同期限届满，因用人单位的原因未办理终止劳动合同手续，劳动者与用人单位仍存在劳动关系的，视为续延劳动合同，用人单位应当与劳动者续订劳动合同。当事人就劳动合同期限协商不一致的，其续订的劳动合同期限从签字之日起不得少于</w:t>
      </w:r>
      <w:r>
        <w:rPr>
          <w:rFonts w:hint="eastAsia" w:ascii="宋体" w:hAnsi="宋体" w:eastAsia="宋体" w:cs="宋体"/>
        </w:rPr>
        <w:t>1</w:t>
      </w:r>
      <w:r>
        <w:rPr>
          <w:rFonts w:hint="eastAsia"/>
        </w:rPr>
        <w:t>年；劳动者在用人单位连续工作</w:t>
      </w:r>
      <w:r>
        <w:rPr>
          <w:rFonts w:hint="eastAsia" w:ascii="宋体" w:hAnsi="宋体" w:eastAsia="宋体" w:cs="宋体"/>
        </w:rPr>
        <w:t>满10年</w:t>
      </w:r>
      <w:r>
        <w:rPr>
          <w:rFonts w:hint="eastAsia"/>
        </w:rPr>
        <w:t>以上，劳动者要求续订无固定期限劳动合同的，用人单位应当与其续订无固定期限劳动合同。</w:t>
      </w:r>
    </w:p>
    <w:p w14:paraId="4678380C">
      <w:r>
        <w:rPr>
          <w:rFonts w:hint="eastAsia"/>
        </w:rPr>
        <w:t>用人单位经与劳动者协商一致，可以解除劳动关系，并向劳动者支付经济补偿金；劳动者要求解除劳动关系的，劳动关系即行解除，用人单位可以不支付经济补偿金。</w:t>
      </w:r>
    </w:p>
    <w:p w14:paraId="24321680"/>
    <w:p w14:paraId="54C80555">
      <w:pPr>
        <w:ind w:firstLine="0" w:firstLineChars="0"/>
        <w:jc w:val="center"/>
        <w:rPr>
          <w:b/>
          <w:sz w:val="28"/>
        </w:rPr>
      </w:pPr>
      <w:r>
        <w:rPr>
          <w:rFonts w:hint="eastAsia"/>
          <w:b/>
          <w:sz w:val="28"/>
        </w:rPr>
        <w:t>第六章　法律责任</w:t>
      </w:r>
    </w:p>
    <w:p w14:paraId="019A35CB"/>
    <w:p w14:paraId="4257087B">
      <w:pPr>
        <w:ind w:firstLine="422"/>
      </w:pPr>
      <w:r>
        <w:rPr>
          <w:rFonts w:hint="eastAsia"/>
          <w:b/>
        </w:rPr>
        <w:t>第四十六条</w:t>
      </w:r>
      <w:r>
        <w:rPr>
          <w:rFonts w:hint="eastAsia"/>
        </w:rPr>
        <w:t xml:space="preserve">  用人单位有下列情形之一，给劳动者造成损害的，应当支付赔偿金：</w:t>
      </w:r>
    </w:p>
    <w:p w14:paraId="798B0141">
      <w:r>
        <w:rPr>
          <w:rFonts w:hint="eastAsia"/>
        </w:rPr>
        <w:t>（一）招用劳动者未订立劳动合同，或者劳动合同期限届满后存在劳动关系而未续订劳动合同的；</w:t>
      </w:r>
    </w:p>
    <w:p w14:paraId="65E47F0E">
      <w:bookmarkStart w:id="2192" w:name="_Toc428780550"/>
      <w:r>
        <w:rPr>
          <w:rFonts w:hint="eastAsia"/>
        </w:rPr>
        <w:t>（二）由于用人单位的原因订立的劳动合同无效或者部分无效的；</w:t>
      </w:r>
      <w:bookmarkEnd w:id="2192"/>
    </w:p>
    <w:p w14:paraId="04012A82">
      <w:r>
        <w:rPr>
          <w:rFonts w:hint="eastAsia"/>
        </w:rPr>
        <w:t>（三）违反本规定或者劳动合同约定解除劳动合同的；</w:t>
      </w:r>
    </w:p>
    <w:p w14:paraId="4AD6F02E">
      <w:bookmarkStart w:id="2193" w:name="_Toc428780551"/>
      <w:r>
        <w:rPr>
          <w:rFonts w:hint="eastAsia"/>
        </w:rPr>
        <w:t>（四）解除劳动合同未按照规定支付劳动者经济补偿金的；</w:t>
      </w:r>
      <w:bookmarkEnd w:id="2193"/>
    </w:p>
    <w:p w14:paraId="546DAEA7">
      <w:r>
        <w:rPr>
          <w:rFonts w:hint="eastAsia"/>
        </w:rPr>
        <w:t>（五）用人单位违反有关规定或者劳动合同约定侵害女职工或者未成年工合法权益的；</w:t>
      </w:r>
    </w:p>
    <w:p w14:paraId="20D562DE">
      <w:r>
        <w:rPr>
          <w:rFonts w:hint="eastAsia"/>
        </w:rPr>
        <w:t>（六）用人单位以暴力、威胁或者非法限制人身自由的手段强迫劳动的；</w:t>
      </w:r>
    </w:p>
    <w:p w14:paraId="7FFCF8DF">
      <w:r>
        <w:rPr>
          <w:rFonts w:hint="eastAsia"/>
        </w:rPr>
        <w:t>（七）法律、法规规定的其他情形。</w:t>
      </w:r>
    </w:p>
    <w:p w14:paraId="66B868D8">
      <w:r>
        <w:rPr>
          <w:rFonts w:hint="eastAsia"/>
        </w:rPr>
        <w:t>赔偿金标准按照国家和本市有关规定执行。</w:t>
      </w:r>
    </w:p>
    <w:p w14:paraId="2D8175E7">
      <w:pPr>
        <w:ind w:firstLine="422"/>
        <w:rPr>
          <w:rFonts w:hint="eastAsia" w:ascii="宋体" w:hAnsi="宋体" w:eastAsia="宋体" w:cs="宋体"/>
        </w:rPr>
      </w:pPr>
      <w:r>
        <w:rPr>
          <w:rFonts w:hint="eastAsia"/>
          <w:b/>
        </w:rPr>
        <w:t>第四十七条</w:t>
      </w:r>
      <w:r>
        <w:rPr>
          <w:rFonts w:hint="eastAsia"/>
        </w:rPr>
        <w:t xml:space="preserve">  用人单位违反本规定第四十条规定，终止</w:t>
      </w:r>
      <w:r>
        <w:rPr>
          <w:rFonts w:hint="eastAsia" w:ascii="宋体" w:hAnsi="宋体" w:eastAsia="宋体" w:cs="宋体"/>
        </w:rPr>
        <w:t>劳动合同未提前30日通知劳动者的，以劳动者上月日平均工资为标准，每延迟1日支付劳动者1日工资的赔偿金。</w:t>
      </w:r>
    </w:p>
    <w:p w14:paraId="3401B7E3">
      <w:pPr>
        <w:ind w:firstLine="422"/>
      </w:pPr>
      <w:r>
        <w:rPr>
          <w:rFonts w:hint="eastAsia"/>
          <w:b/>
        </w:rPr>
        <w:t>第四十八条</w:t>
      </w:r>
      <w:r>
        <w:rPr>
          <w:rFonts w:hint="eastAsia"/>
        </w:rPr>
        <w:t xml:space="preserve">  用人单位招用尚未解除劳动合同的劳动者，对原用人单位造成经济损失的，除劳动者承担直接赔偿责任外，该用人单位应当依法承担连带赔偿责任。</w:t>
      </w:r>
    </w:p>
    <w:p w14:paraId="0571C64A">
      <w:pPr>
        <w:ind w:firstLine="422"/>
      </w:pPr>
      <w:r>
        <w:rPr>
          <w:rFonts w:hint="eastAsia"/>
          <w:b/>
        </w:rPr>
        <w:t>第四十九条</w:t>
      </w:r>
      <w:r>
        <w:rPr>
          <w:rFonts w:hint="eastAsia"/>
        </w:rPr>
        <w:t xml:space="preserve">  劳动者违反本规定或者劳动合同约定解除劳动合同，对用人单位造成损失的，应当赔偿下列损失：</w:t>
      </w:r>
    </w:p>
    <w:p w14:paraId="18064CA2">
      <w:r>
        <w:rPr>
          <w:rFonts w:hint="eastAsia"/>
        </w:rPr>
        <w:t>（一）用人单位为录用劳动者直接支付的费用；</w:t>
      </w:r>
    </w:p>
    <w:p w14:paraId="36705333">
      <w:r>
        <w:rPr>
          <w:rFonts w:hint="eastAsia"/>
        </w:rPr>
        <w:t>（二）用人单位为劳动者支付的培训费用；</w:t>
      </w:r>
    </w:p>
    <w:p w14:paraId="35B0A134">
      <w:r>
        <w:rPr>
          <w:rFonts w:hint="eastAsia"/>
        </w:rPr>
        <w:t>（三）对生产、经营和工作造成的直接经济损失。</w:t>
      </w:r>
    </w:p>
    <w:p w14:paraId="667EB6D0">
      <w:pPr>
        <w:ind w:firstLine="422"/>
      </w:pPr>
      <w:r>
        <w:rPr>
          <w:rFonts w:hint="eastAsia"/>
          <w:b/>
        </w:rPr>
        <w:t>第五十条</w:t>
      </w:r>
      <w:r>
        <w:rPr>
          <w:rFonts w:hint="eastAsia"/>
        </w:rPr>
        <w:t xml:space="preserve">  因劳动者存在本规定第三十条第（二）项、第（三）项规定的情形，被用人单位解除合同，且给用人单位造成损失的，应当承担赔偿责任。</w:t>
      </w:r>
    </w:p>
    <w:p w14:paraId="4DE95514">
      <w:pPr>
        <w:ind w:firstLine="422"/>
      </w:pPr>
      <w:r>
        <w:rPr>
          <w:rFonts w:hint="eastAsia"/>
          <w:b/>
        </w:rPr>
        <w:t>第五十一条</w:t>
      </w:r>
      <w:r>
        <w:rPr>
          <w:rFonts w:hint="eastAsia"/>
        </w:rPr>
        <w:t xml:space="preserve">  用人单位违反本规定第八条规定，未与劳动者订立劳动合同的，由劳动和社会保障行政部门责令限期改正，逾期不改的，按照未签订劳动合同的人数，对用人单位处以每</w:t>
      </w:r>
      <w:r>
        <w:rPr>
          <w:rFonts w:hint="eastAsia" w:ascii="宋体" w:hAnsi="宋体" w:eastAsia="宋体" w:cs="宋体"/>
        </w:rPr>
        <w:t>人500元罚款</w:t>
      </w:r>
      <w:r>
        <w:rPr>
          <w:rFonts w:hint="eastAsia"/>
        </w:rPr>
        <w:t>。</w:t>
      </w:r>
    </w:p>
    <w:p w14:paraId="6ECF514E">
      <w:pPr>
        <w:ind w:firstLine="422"/>
      </w:pPr>
      <w:r>
        <w:rPr>
          <w:rFonts w:hint="eastAsia"/>
          <w:b/>
        </w:rPr>
        <w:t>第五十二条</w:t>
      </w:r>
      <w:r>
        <w:rPr>
          <w:rFonts w:hint="eastAsia"/>
        </w:rPr>
        <w:t xml:space="preserve">  用人单</w:t>
      </w:r>
      <w:r>
        <w:rPr>
          <w:rFonts w:hint="eastAsia" w:ascii="宋体" w:hAnsi="宋体" w:eastAsia="宋体" w:cs="宋体"/>
        </w:rPr>
        <w:t>位违反本规定第二十四条规定的，由劳动和社会保障行政部门责令改正，并可以对用人单位处以1000元以上3万元以下罚款</w:t>
      </w:r>
      <w:r>
        <w:rPr>
          <w:rFonts w:hint="eastAsia"/>
        </w:rPr>
        <w:t>。</w:t>
      </w:r>
    </w:p>
    <w:p w14:paraId="2812841B"/>
    <w:p w14:paraId="11E28E14">
      <w:pPr>
        <w:ind w:firstLine="0" w:firstLineChars="0"/>
        <w:jc w:val="center"/>
        <w:rPr>
          <w:b/>
          <w:sz w:val="28"/>
        </w:rPr>
      </w:pPr>
      <w:r>
        <w:rPr>
          <w:rFonts w:hint="eastAsia"/>
          <w:b/>
          <w:sz w:val="28"/>
        </w:rPr>
        <w:t>第七章  附  则</w:t>
      </w:r>
    </w:p>
    <w:p w14:paraId="59F68240"/>
    <w:p w14:paraId="1FBA2BFC">
      <w:pPr>
        <w:ind w:firstLine="422"/>
      </w:pPr>
      <w:r>
        <w:rPr>
          <w:rFonts w:hint="eastAsia"/>
          <w:b/>
        </w:rPr>
        <w:t>第五十三条</w:t>
      </w:r>
      <w:r>
        <w:rPr>
          <w:rFonts w:hint="eastAsia"/>
        </w:rPr>
        <w:t xml:space="preserve">  本规定</w:t>
      </w:r>
      <w:r>
        <w:rPr>
          <w:rFonts w:hint="eastAsia" w:ascii="宋体" w:hAnsi="宋体" w:eastAsia="宋体" w:cs="宋体"/>
        </w:rPr>
        <w:t>自2002年2月1日起施行。1995年2月5日市人民政府第1号</w:t>
      </w:r>
      <w:r>
        <w:rPr>
          <w:rFonts w:hint="eastAsia"/>
        </w:rPr>
        <w:t>令发布的《北京市实施劳动合同制度的若干规定》同时废止。</w:t>
      </w:r>
    </w:p>
    <w:p w14:paraId="533B45FE">
      <w:pPr>
        <w:pStyle w:val="3"/>
        <w:pageBreakBefore/>
      </w:pPr>
      <w:bookmarkStart w:id="2194" w:name="_Toc428780552"/>
      <w:bookmarkStart w:id="2195" w:name="_Toc428781824"/>
      <w:bookmarkStart w:id="2196" w:name="_Toc426467076"/>
      <w:r>
        <w:rPr>
          <w:rFonts w:hint="eastAsia"/>
        </w:rPr>
        <w:t>（七）社会保险</w:t>
      </w:r>
      <w:bookmarkEnd w:id="2194"/>
      <w:bookmarkEnd w:id="2195"/>
      <w:bookmarkEnd w:id="2196"/>
    </w:p>
    <w:p w14:paraId="28AF0F44"/>
    <w:p w14:paraId="15BD3A83">
      <w:pPr>
        <w:pStyle w:val="4"/>
      </w:pPr>
      <w:bookmarkStart w:id="2197" w:name="_Toc428781825"/>
      <w:bookmarkStart w:id="2198" w:name="_Toc426467077"/>
      <w:bookmarkStart w:id="2199" w:name="_Toc428780553"/>
      <w:r>
        <w:rPr>
          <w:rFonts w:hint="eastAsia"/>
        </w:rPr>
        <w:t>北京市就业援助规定</w:t>
      </w:r>
      <w:bookmarkEnd w:id="2197"/>
      <w:bookmarkEnd w:id="2198"/>
      <w:bookmarkEnd w:id="2199"/>
    </w:p>
    <w:p w14:paraId="250CE25F">
      <w:pPr>
        <w:ind w:left="630" w:leftChars="300" w:right="630" w:rightChars="300"/>
        <w:rPr>
          <w:rFonts w:ascii="楷体" w:hAnsi="楷体" w:eastAsia="楷体"/>
        </w:rPr>
      </w:pPr>
      <w:r>
        <w:rPr>
          <w:rFonts w:hint="eastAsia" w:ascii="楷体" w:hAnsi="楷体" w:eastAsia="楷体"/>
        </w:rPr>
        <w:t>（2011年12月23日北京市第十三届人民代表大会常务委员会第二十九次会议通过  2012年5月1日起施行）</w:t>
      </w:r>
    </w:p>
    <w:p w14:paraId="64451613"/>
    <w:p w14:paraId="3A171710">
      <w:pPr>
        <w:ind w:firstLine="422"/>
      </w:pPr>
      <w:r>
        <w:rPr>
          <w:rFonts w:hint="eastAsia"/>
          <w:b/>
        </w:rPr>
        <w:t>第一条</w:t>
      </w:r>
      <w:r>
        <w:rPr>
          <w:rFonts w:hint="eastAsia"/>
        </w:rPr>
        <w:t xml:space="preserve">  为了促进就业困难人员就业，规范就业援助工作，根据《中华人民共和国就业促进法》等相关法律法规，结合本市实际情况，制定本规定。</w:t>
      </w:r>
    </w:p>
    <w:p w14:paraId="31B85AD5">
      <w:pPr>
        <w:ind w:firstLine="422"/>
      </w:pPr>
      <w:r>
        <w:rPr>
          <w:rFonts w:hint="eastAsia"/>
          <w:b/>
        </w:rPr>
        <w:t>第二条</w:t>
      </w:r>
      <w:r>
        <w:rPr>
          <w:rFonts w:hint="eastAsia"/>
        </w:rPr>
        <w:t xml:space="preserve">  本规定适用于对本市就业困难人员的就业援助。</w:t>
      </w:r>
    </w:p>
    <w:p w14:paraId="2E355654">
      <w:r>
        <w:rPr>
          <w:rFonts w:hint="eastAsia"/>
        </w:rPr>
        <w:t>本规定所称就业困难人员，是指在法定劳动年龄内，有劳动能力和就业愿望，处于无业状态并难以实现就业的本市城乡劳动者，具体范围包括：</w:t>
      </w:r>
    </w:p>
    <w:p w14:paraId="5A6F5891">
      <w:r>
        <w:rPr>
          <w:rFonts w:hint="eastAsia"/>
        </w:rPr>
        <w:t>（一）属于零就业家庭成员的；</w:t>
      </w:r>
    </w:p>
    <w:p w14:paraId="1DD23FF0">
      <w:r>
        <w:rPr>
          <w:rFonts w:hint="eastAsia"/>
        </w:rPr>
        <w:t>（二）享受城乡居民最低生活保障待遇的；</w:t>
      </w:r>
    </w:p>
    <w:p w14:paraId="4E7AF0AF">
      <w:r>
        <w:rPr>
          <w:rFonts w:hint="eastAsia"/>
        </w:rPr>
        <w:t>（三）女满四十周岁以上、男满五十周岁以上的；</w:t>
      </w:r>
    </w:p>
    <w:p w14:paraId="3D4340F5">
      <w:r>
        <w:rPr>
          <w:rFonts w:hint="eastAsia"/>
        </w:rPr>
        <w:t>（四）经残疾评定机构评定为残疾的；</w:t>
      </w:r>
    </w:p>
    <w:p w14:paraId="3EF65D52">
      <w:r>
        <w:rPr>
          <w:rFonts w:hint="eastAsia"/>
        </w:rPr>
        <w:t>（五）连续失业一年以上的；</w:t>
      </w:r>
    </w:p>
    <w:p w14:paraId="51BB2E24">
      <w:r>
        <w:rPr>
          <w:rFonts w:hint="eastAsia"/>
        </w:rPr>
        <w:t>（六）市人民政府规定的其他情形。</w:t>
      </w:r>
    </w:p>
    <w:p w14:paraId="39B97C28">
      <w:r>
        <w:rPr>
          <w:rFonts w:hint="eastAsia"/>
        </w:rPr>
        <w:t>本市绿化隔离、矿山关闭、资源枯竭或者受保护性限制等地区的农村劳动力，进行转移就业登记后，纳入本市就业困难人员范围。</w:t>
      </w:r>
    </w:p>
    <w:p w14:paraId="0844AA80">
      <w:pPr>
        <w:ind w:firstLine="422"/>
      </w:pPr>
      <w:r>
        <w:rPr>
          <w:rFonts w:hint="eastAsia"/>
          <w:b/>
        </w:rPr>
        <w:t>第三条</w:t>
      </w:r>
      <w:r>
        <w:rPr>
          <w:rFonts w:hint="eastAsia"/>
        </w:rPr>
        <w:t xml:space="preserve">  本规定第二条第二款、第三款所列范围内的人员可以按照本市有关规定，到住所地街道、乡镇公共就业服务机构进行失业登记或者转移就业登记，申请就业困难人员认定。</w:t>
      </w:r>
    </w:p>
    <w:p w14:paraId="70FF5209">
      <w:pPr>
        <w:rPr>
          <w:rFonts w:hint="eastAsia" w:ascii="宋体" w:hAnsi="宋体" w:eastAsia="宋体" w:cs="宋体"/>
        </w:rPr>
      </w:pPr>
      <w:r>
        <w:rPr>
          <w:rFonts w:hint="eastAsia"/>
        </w:rPr>
        <w:t>街道、乡镇公共就业服务机构应当自受理就业困难人员认定申请之日起</w:t>
      </w:r>
      <w:r>
        <w:rPr>
          <w:rFonts w:hint="eastAsia" w:ascii="宋体" w:hAnsi="宋体" w:eastAsia="宋体" w:cs="宋体"/>
        </w:rPr>
        <w:t>5个工作日内完成审查认定，对符合法定条件属于就业困难人员的，应当依法给予就业援助。</w:t>
      </w:r>
    </w:p>
    <w:p w14:paraId="1EEE4645">
      <w:r>
        <w:rPr>
          <w:rFonts w:hint="eastAsia" w:ascii="宋体" w:hAnsi="宋体" w:eastAsia="宋体" w:cs="宋体"/>
        </w:rPr>
        <w:t>申请人对认定结果有异议的，可以自收到认定结果之日起15个工作日内向作出认</w:t>
      </w:r>
      <w:r>
        <w:rPr>
          <w:rFonts w:hint="eastAsia"/>
        </w:rPr>
        <w:t>定结果的公共就业服务机构所在区、县人力资源和社会保障行政部门申请复核。</w:t>
      </w:r>
    </w:p>
    <w:p w14:paraId="21B859AB">
      <w:r>
        <w:rPr>
          <w:rFonts w:hint="eastAsia"/>
        </w:rPr>
        <w:t>就业困难人员认定、复核的具体程序由市人力资源和社会保障行政部门制定并向社会公布。</w:t>
      </w:r>
    </w:p>
    <w:p w14:paraId="748D6637">
      <w:pPr>
        <w:ind w:firstLine="422"/>
      </w:pPr>
      <w:r>
        <w:rPr>
          <w:rFonts w:hint="eastAsia"/>
          <w:b/>
        </w:rPr>
        <w:t>第四条</w:t>
      </w:r>
      <w:r>
        <w:rPr>
          <w:rFonts w:hint="eastAsia"/>
        </w:rPr>
        <w:t xml:space="preserve">  本市就业援助工作坚持政府主导、市场调节、城乡统筹、属地管理的原则，对就业困难的城乡劳动者实行优先扶持和重点帮助。</w:t>
      </w:r>
    </w:p>
    <w:p w14:paraId="76223D54">
      <w:r>
        <w:rPr>
          <w:rFonts w:hint="eastAsia"/>
        </w:rPr>
        <w:t>本市倡导就业困难人员树立正确的择业观念，鼓励就业困难人员提高就业能力和创业能力，自主择业，通过多种方式实现就业。</w:t>
      </w:r>
    </w:p>
    <w:p w14:paraId="3E225DCB">
      <w:pPr>
        <w:ind w:firstLine="422"/>
      </w:pPr>
      <w:r>
        <w:rPr>
          <w:rFonts w:hint="eastAsia"/>
          <w:b/>
        </w:rPr>
        <w:t>第五条</w:t>
      </w:r>
      <w:r>
        <w:rPr>
          <w:rFonts w:hint="eastAsia"/>
        </w:rPr>
        <w:t xml:space="preserve">  市和区、县人民政府应当将就业援助工作纳入促进就业中长期规划和年度工作计划，制定援助就业困难人员就业的具体措施，将就业援助工作纳入促进就业的目标责任制考核评价制度；在就业专项资金中统筹安排资金，用于就业援助工作；建立健全就业援助服务体系，加强基层就业援助服务工作，扶持和帮助就业困难人员就业。</w:t>
      </w:r>
    </w:p>
    <w:p w14:paraId="5A494F42">
      <w:r>
        <w:rPr>
          <w:rFonts w:hint="eastAsia"/>
        </w:rPr>
        <w:t>市和区、县人力资源和社会保障行政部门具体负责本行政区域内就业援助工作的组织实施和检查。</w:t>
      </w:r>
    </w:p>
    <w:p w14:paraId="45A34842">
      <w:r>
        <w:rPr>
          <w:rFonts w:hint="eastAsia"/>
        </w:rPr>
        <w:t>乡镇人民政府、街道办事处应当落实国家和本市有关就业援助的政策和措施，组织开展基层就业援助服务工作。</w:t>
      </w:r>
    </w:p>
    <w:p w14:paraId="7C651248">
      <w:pPr>
        <w:ind w:firstLine="422"/>
      </w:pPr>
      <w:r>
        <w:rPr>
          <w:rFonts w:hint="eastAsia"/>
          <w:b/>
        </w:rPr>
        <w:t>第六条</w:t>
      </w:r>
      <w:r>
        <w:rPr>
          <w:rFonts w:hint="eastAsia"/>
        </w:rPr>
        <w:t xml:space="preserve">  市和区、县人民政府建立健全促进就业工作协调机制，统筹就业援助工作，协调解决就业援助工作中的重大问题。</w:t>
      </w:r>
    </w:p>
    <w:p w14:paraId="682D2CC0">
      <w:pPr>
        <w:ind w:firstLine="422"/>
      </w:pPr>
      <w:r>
        <w:rPr>
          <w:rFonts w:hint="eastAsia"/>
          <w:b/>
        </w:rPr>
        <w:t>第七条</w:t>
      </w:r>
      <w:r>
        <w:rPr>
          <w:rFonts w:hint="eastAsia"/>
        </w:rPr>
        <w:t xml:space="preserve">  市和区、县人民政府在调整产业结构时，应当统筹协调产业政策与就业政策；安排政府投资和确定重大建设项目时，应当进行就业需求预测，增加就业岗位。</w:t>
      </w:r>
    </w:p>
    <w:p w14:paraId="43148C3A">
      <w:r>
        <w:rPr>
          <w:rFonts w:hint="eastAsia"/>
        </w:rPr>
        <w:t>政府投资和以政府投资为主的建设项目的建设、施工或者运营管理单位应当优先招用符合岗位要求的就业困难人员。</w:t>
      </w:r>
    </w:p>
    <w:p w14:paraId="65EAB922">
      <w:pPr>
        <w:ind w:firstLine="422"/>
      </w:pPr>
      <w:r>
        <w:rPr>
          <w:rFonts w:hint="eastAsia"/>
          <w:b/>
        </w:rPr>
        <w:t>第八条</w:t>
      </w:r>
      <w:r>
        <w:rPr>
          <w:rFonts w:hint="eastAsia"/>
        </w:rPr>
        <w:t xml:space="preserve">  对因城市区域功能定位或者区域经济结构调整原因造成就业矛盾突出的地区，市人民政府在岗位开发、跨地区就业、技能培训等方面给予扶持和帮助。</w:t>
      </w:r>
    </w:p>
    <w:p w14:paraId="5C0174A3">
      <w:pPr>
        <w:ind w:firstLine="422"/>
      </w:pPr>
      <w:r>
        <w:rPr>
          <w:rFonts w:hint="eastAsia"/>
          <w:b/>
        </w:rPr>
        <w:t>第九条</w:t>
      </w:r>
      <w:r>
        <w:rPr>
          <w:rFonts w:hint="eastAsia"/>
        </w:rPr>
        <w:t xml:space="preserve">  各级人民政府及有关部门应当根据经济社会发展状况和就业援助需要，通过投资、购买等方式开发适合就业困难人员的公益性岗位，定向安排就业困难人员就业。</w:t>
      </w:r>
    </w:p>
    <w:p w14:paraId="77B3B3EA">
      <w:pPr>
        <w:ind w:firstLine="422"/>
      </w:pPr>
      <w:r>
        <w:rPr>
          <w:rFonts w:hint="eastAsia"/>
          <w:b/>
        </w:rPr>
        <w:t>第十条</w:t>
      </w:r>
      <w:r>
        <w:rPr>
          <w:rFonts w:hint="eastAsia"/>
        </w:rPr>
        <w:t xml:space="preserve">  各级人民政府设立的公共就业服务机构应当建立和完善就业援助工作制度，制定就业援助计划，配备专门人员，采取多种方式宣传就业援助法律、法规、政策，免费为就业困难人员提供就业咨询、职业指导、职业培训、创业培训、职业技能鉴定、职业介绍、档案管理等专业化的就业援助服务，扶持和帮助就业困难人员实现就业。</w:t>
      </w:r>
    </w:p>
    <w:p w14:paraId="49A82936">
      <w:r>
        <w:rPr>
          <w:rFonts w:hint="eastAsia"/>
        </w:rPr>
        <w:t>街道、乡镇公共就业服务机构应当对辖区内的就业困难人员进行登记，建立专门台账，实行就业困难人员认定、退出动态管理制度和援助责任制度，为就业困难人员提供及时、有效的就业援助服务。</w:t>
      </w:r>
    </w:p>
    <w:p w14:paraId="6AD4F445">
      <w:r>
        <w:rPr>
          <w:rFonts w:hint="eastAsia"/>
        </w:rPr>
        <w:t>公共就业服务机构应当按照公共就业服务标准开展就业援助服务，公开服务流程、服务内容，简化办事程序，提高办事效率，接受社会监督。</w:t>
      </w:r>
    </w:p>
    <w:p w14:paraId="66885AFD">
      <w:pPr>
        <w:ind w:firstLine="422"/>
      </w:pPr>
      <w:r>
        <w:rPr>
          <w:rFonts w:hint="eastAsia"/>
          <w:b/>
        </w:rPr>
        <w:t>第十一条</w:t>
      </w:r>
      <w:r>
        <w:rPr>
          <w:rFonts w:hint="eastAsia"/>
        </w:rPr>
        <w:t xml:space="preserve">  就业困难人员有权向公共就业服务机构了解有关就业援助的法律、法规、政策和办事程序，免费享受公共就业服务机构提供的就业服务。</w:t>
      </w:r>
    </w:p>
    <w:p w14:paraId="2945FA3D">
      <w:r>
        <w:rPr>
          <w:rFonts w:hint="eastAsia"/>
        </w:rPr>
        <w:t>就业困难人员应当积极参加公共就业服务机构安排的职业培训，接受公共就业服务机构提供的职业指导和岗位推荐等就业服务。</w:t>
      </w:r>
    </w:p>
    <w:p w14:paraId="341C7CFE">
      <w:pPr>
        <w:ind w:firstLine="422"/>
      </w:pPr>
      <w:r>
        <w:rPr>
          <w:rFonts w:hint="eastAsia"/>
          <w:b/>
        </w:rPr>
        <w:t>第十二条</w:t>
      </w:r>
      <w:r>
        <w:rPr>
          <w:rFonts w:hint="eastAsia"/>
        </w:rPr>
        <w:t xml:space="preserve">  市人民政府及有关部门应当做好就业援助制度与失业保险制度、最低生活保障制度和最低工资制度之间的衔接，鼓励和引导就业困难人员积极主动就业。</w:t>
      </w:r>
    </w:p>
    <w:p w14:paraId="062D6175">
      <w:pPr>
        <w:ind w:firstLine="422"/>
      </w:pPr>
      <w:r>
        <w:rPr>
          <w:rFonts w:hint="eastAsia"/>
          <w:b/>
        </w:rPr>
        <w:t>第十三条</w:t>
      </w:r>
      <w:r>
        <w:rPr>
          <w:rFonts w:hint="eastAsia"/>
        </w:rPr>
        <w:t xml:space="preserve">  本市鼓励用人单位向公共就业服务机构提供岗位空缺信息，用人单位提供的岗位空缺信息应当真实准确。</w:t>
      </w:r>
    </w:p>
    <w:p w14:paraId="0F4C80C4">
      <w:r>
        <w:rPr>
          <w:rFonts w:hint="eastAsia"/>
        </w:rPr>
        <w:t>公共就业服务机构应当优先为提供岗位空缺信息的用人单位提供服务，对符合该用人单位需求并适合就业困难人员就业的岗位，优先推荐就业困难人员。</w:t>
      </w:r>
    </w:p>
    <w:p w14:paraId="69E15336">
      <w:pPr>
        <w:ind w:firstLine="422"/>
      </w:pPr>
      <w:r>
        <w:rPr>
          <w:rFonts w:hint="eastAsia"/>
          <w:b/>
        </w:rPr>
        <w:t>第十四条</w:t>
      </w:r>
      <w:r>
        <w:rPr>
          <w:rFonts w:hint="eastAsia"/>
        </w:rPr>
        <w:t>　本市鼓励公共就业服务机构以外的职业中介机构、职业技能培训机构和职业技能鉴定机构免费为就业困难人员提供服务。</w:t>
      </w:r>
    </w:p>
    <w:p w14:paraId="101205F6">
      <w:r>
        <w:rPr>
          <w:rFonts w:hint="eastAsia"/>
        </w:rPr>
        <w:t>免费为就业困难人员提供职业介绍、职业指导等服务的职业中介机构，按照国家和本市有关规定享受职业介绍补贴。</w:t>
      </w:r>
    </w:p>
    <w:p w14:paraId="433BAA00">
      <w:r>
        <w:rPr>
          <w:rFonts w:hint="eastAsia"/>
        </w:rPr>
        <w:t>免费为就业困难人员提供职业技能培训、创业培训、技能鉴定的职业技能培训机构、职业技能鉴定机构，按照国家和本市有关规定享受培训补贴、鉴定补贴。</w:t>
      </w:r>
    </w:p>
    <w:p w14:paraId="432449CB">
      <w:pPr>
        <w:ind w:firstLine="422"/>
      </w:pPr>
      <w:r>
        <w:rPr>
          <w:rFonts w:hint="eastAsia"/>
          <w:b/>
        </w:rPr>
        <w:t>第十五条</w:t>
      </w:r>
      <w:r>
        <w:rPr>
          <w:rFonts w:hint="eastAsia"/>
        </w:rPr>
        <w:t>　用人单位招用就业困难人员的，按照国家和本市有关规定享受营业税、企业所得税等税费减免，贷款贴息，养老、医疗、失业等社会保险补贴和岗位补贴。</w:t>
      </w:r>
    </w:p>
    <w:p w14:paraId="6F61AB1B">
      <w:r>
        <w:rPr>
          <w:rFonts w:hint="eastAsia"/>
        </w:rPr>
        <w:t>就业困难人员自主创业、自谋职业的，按照国家和本市有关规定享受营业税、个人所得税等税费减免，贷款贴息，养老、医疗、失业等社会保险补贴，各级人民政府及有关部门应当在经营场地等方面给予照顾。</w:t>
      </w:r>
    </w:p>
    <w:p w14:paraId="6B52B8AA">
      <w:r>
        <w:rPr>
          <w:rFonts w:hint="eastAsia"/>
        </w:rPr>
        <w:t>就业困难人员灵活就业的，按照国家和本市有关规定享受养老、医疗、失业等社会保险补贴。</w:t>
      </w:r>
    </w:p>
    <w:p w14:paraId="2AFC8B29">
      <w:pPr>
        <w:ind w:firstLine="422"/>
      </w:pPr>
      <w:r>
        <w:rPr>
          <w:rFonts w:hint="eastAsia"/>
          <w:b/>
        </w:rPr>
        <w:t>第十六条</w:t>
      </w:r>
      <w:r>
        <w:rPr>
          <w:rFonts w:hint="eastAsia"/>
        </w:rPr>
        <w:t>　本市失业保险基金按照国家和本市有关规定，可以用于就业援助工作。</w:t>
      </w:r>
    </w:p>
    <w:p w14:paraId="6D5E51CC">
      <w:pPr>
        <w:ind w:firstLine="422"/>
      </w:pPr>
      <w:r>
        <w:rPr>
          <w:rFonts w:hint="eastAsia"/>
          <w:b/>
        </w:rPr>
        <w:t>第十七条</w:t>
      </w:r>
      <w:r>
        <w:rPr>
          <w:rFonts w:hint="eastAsia"/>
        </w:rPr>
        <w:t>　市和区、县人民政府及有关部门对在就业援助等促进就业工作中作出显著成绩的单位和个人，给予表彰和奖励。</w:t>
      </w:r>
    </w:p>
    <w:p w14:paraId="2FC8AC3A">
      <w:pPr>
        <w:ind w:firstLine="422"/>
      </w:pPr>
      <w:r>
        <w:rPr>
          <w:rFonts w:hint="eastAsia"/>
          <w:b/>
        </w:rPr>
        <w:t>第十八条</w:t>
      </w:r>
      <w:r>
        <w:rPr>
          <w:rFonts w:hint="eastAsia"/>
        </w:rPr>
        <w:t>　有关行政部门、公共就业服务机构及其工作人员违反本规定，滥用职权、玩忽职守、徇私舞弊的，对直接负责的主管人员和其他直接责任人员依法给予处分。</w:t>
      </w:r>
    </w:p>
    <w:p w14:paraId="14E704A6">
      <w:r>
        <w:rPr>
          <w:rFonts w:hint="eastAsia"/>
        </w:rPr>
        <w:t>公共就业服务机构未按照服务标准提供就业援助服务，侵害就业困难人员合法权益的，就业困难人员有权向所在区、县人力资源和社会保障行政部门提出申诉。</w:t>
      </w:r>
    </w:p>
    <w:p w14:paraId="55AAE27E">
      <w:pPr>
        <w:ind w:firstLine="422"/>
      </w:pPr>
      <w:r>
        <w:rPr>
          <w:rFonts w:hint="eastAsia"/>
          <w:b/>
        </w:rPr>
        <w:t>第十九条</w:t>
      </w:r>
      <w:r>
        <w:rPr>
          <w:rFonts w:hint="eastAsia"/>
        </w:rPr>
        <w:t>　职业中介机构、职业技能培训机构、职业技能鉴定机构、用人单位违反本规定，以欺诈、伪造证明材料或者其他手段骗取补贴的，由人力资源和社会保障行政部门责令退回骗取的补贴，</w:t>
      </w:r>
      <w:r>
        <w:rPr>
          <w:rFonts w:hint="eastAsia" w:ascii="宋体" w:hAnsi="宋体" w:eastAsia="宋体" w:cs="宋体"/>
        </w:rPr>
        <w:t>并处1万元以上5万元以下罚款，</w:t>
      </w:r>
      <w:r>
        <w:rPr>
          <w:rFonts w:hint="eastAsia"/>
        </w:rPr>
        <w:t>同时将违法行为信息记入企业信用信息系统。</w:t>
      </w:r>
    </w:p>
    <w:p w14:paraId="6AF86C20">
      <w:pPr>
        <w:ind w:firstLine="422"/>
      </w:pPr>
      <w:r>
        <w:rPr>
          <w:rFonts w:hint="eastAsia"/>
          <w:b/>
        </w:rPr>
        <w:t>第二十条</w:t>
      </w:r>
      <w:r>
        <w:rPr>
          <w:rFonts w:hint="eastAsia"/>
        </w:rPr>
        <w:t>　有关人员违反本规定，以欺诈、伪造证明材料或者其他手段骗取就业援助相关补贴的，由人力资源和社会保障行政部门责令退回骗取的相关补贴，并处骗取</w:t>
      </w:r>
      <w:r>
        <w:rPr>
          <w:rFonts w:hint="eastAsia" w:ascii="宋体" w:hAnsi="宋体" w:eastAsia="宋体" w:cs="宋体"/>
        </w:rPr>
        <w:t>金额2</w:t>
      </w:r>
      <w:r>
        <w:rPr>
          <w:rFonts w:hint="eastAsia"/>
        </w:rPr>
        <w:t>倍以上5倍以下罚款，同时将违法行为信息记入有关个人信用信息系统。</w:t>
      </w:r>
    </w:p>
    <w:p w14:paraId="628A69BB">
      <w:pPr>
        <w:ind w:firstLine="422"/>
      </w:pPr>
      <w:r>
        <w:rPr>
          <w:rFonts w:hint="eastAsia"/>
          <w:b/>
        </w:rPr>
        <w:t>第二十一条</w:t>
      </w:r>
      <w:r>
        <w:rPr>
          <w:rFonts w:hint="eastAsia"/>
        </w:rPr>
        <w:t>　单位和个人违反本规定，其他法律、法规、规章规定有法律责任的，从其规定。</w:t>
      </w:r>
    </w:p>
    <w:p w14:paraId="178D37EE">
      <w:pPr>
        <w:ind w:firstLine="422"/>
        <w:rPr>
          <w:rFonts w:hint="eastAsia" w:ascii="宋体" w:hAnsi="宋体" w:eastAsia="宋体" w:cs="宋体"/>
        </w:rPr>
      </w:pPr>
      <w:r>
        <w:rPr>
          <w:rFonts w:hint="eastAsia"/>
          <w:b/>
        </w:rPr>
        <w:t>第二十二条</w:t>
      </w:r>
      <w:r>
        <w:rPr>
          <w:rFonts w:hint="eastAsia"/>
        </w:rPr>
        <w:t>　本</w:t>
      </w:r>
      <w:r>
        <w:rPr>
          <w:rFonts w:hint="eastAsia" w:ascii="宋体" w:hAnsi="宋体" w:eastAsia="宋体" w:cs="宋体"/>
        </w:rPr>
        <w:t>规定自2012年5月1日起施行。</w:t>
      </w:r>
    </w:p>
    <w:p w14:paraId="27FE8527">
      <w:pPr>
        <w:pStyle w:val="4"/>
        <w:pageBreakBefore/>
      </w:pPr>
      <w:bookmarkStart w:id="2200" w:name="_Toc428780554"/>
      <w:bookmarkStart w:id="2201" w:name="_Toc426467078"/>
      <w:bookmarkStart w:id="2202" w:name="_Toc428781826"/>
      <w:r>
        <w:rPr>
          <w:rFonts w:hint="eastAsia"/>
        </w:rPr>
        <w:t>北京市失业保险规定</w:t>
      </w:r>
      <w:bookmarkEnd w:id="2200"/>
      <w:bookmarkEnd w:id="2201"/>
      <w:bookmarkEnd w:id="2202"/>
    </w:p>
    <w:p w14:paraId="485889D8">
      <w:pPr>
        <w:ind w:left="630" w:leftChars="300" w:right="630" w:rightChars="300"/>
        <w:rPr>
          <w:rFonts w:ascii="楷体" w:hAnsi="楷体" w:eastAsia="楷体"/>
        </w:rPr>
      </w:pPr>
      <w:r>
        <w:rPr>
          <w:rFonts w:hint="eastAsia" w:ascii="楷体" w:hAnsi="楷体" w:eastAsia="楷体"/>
        </w:rPr>
        <w:t>（1999年9月14日北京市人民政府第38号令发布　根据2007年6月14日北京市人民政府第190号令修改）</w:t>
      </w:r>
    </w:p>
    <w:p w14:paraId="49499CAF"/>
    <w:p w14:paraId="27AFF7DA">
      <w:pPr>
        <w:ind w:firstLine="0" w:firstLineChars="0"/>
        <w:jc w:val="center"/>
        <w:rPr>
          <w:b/>
          <w:sz w:val="28"/>
        </w:rPr>
      </w:pPr>
      <w:r>
        <w:rPr>
          <w:rFonts w:hint="eastAsia"/>
          <w:b/>
          <w:sz w:val="28"/>
        </w:rPr>
        <w:t>第一章　总　则</w:t>
      </w:r>
    </w:p>
    <w:p w14:paraId="228B38FB"/>
    <w:p w14:paraId="3FDCCC83">
      <w:pPr>
        <w:ind w:firstLine="422"/>
      </w:pPr>
      <w:r>
        <w:rPr>
          <w:rFonts w:hint="eastAsia"/>
          <w:b/>
        </w:rPr>
        <w:t>第一条</w:t>
      </w:r>
      <w:r>
        <w:rPr>
          <w:rFonts w:hint="eastAsia"/>
        </w:rPr>
        <w:t xml:space="preserve">  为了保障失业人员失业期间的基本生活，促进其再就业，根据国务院《失业保险条例》，结合本市实际，制定本规定。</w:t>
      </w:r>
    </w:p>
    <w:p w14:paraId="24FB5914">
      <w:pPr>
        <w:ind w:firstLine="422"/>
      </w:pPr>
      <w:r>
        <w:rPr>
          <w:rFonts w:hint="eastAsia"/>
          <w:b/>
        </w:rPr>
        <w:t>第二条</w:t>
      </w:r>
      <w:r>
        <w:rPr>
          <w:rFonts w:hint="eastAsia"/>
        </w:rPr>
        <w:t xml:space="preserve">  本市行政区域内的城镇企业、事业单位和城镇企业、事业单位职工按照本规定缴纳失业保险费。</w:t>
      </w:r>
    </w:p>
    <w:p w14:paraId="5E7EDD15">
      <w:r>
        <w:rPr>
          <w:rFonts w:hint="eastAsia"/>
        </w:rPr>
        <w:t>城镇企业、事业单位的失业人员依照本规定，享受失业保险待遇。</w:t>
      </w:r>
    </w:p>
    <w:p w14:paraId="5FB6484A">
      <w:r>
        <w:rPr>
          <w:rFonts w:hint="eastAsia"/>
        </w:rPr>
        <w:t>本规定所称城镇企业，包括国有企业、城镇集体企业、股份制企业及各类联营企业、外商投资企业和港、澳、台商投资企业、城镇私营企业和其他城镇企业。</w:t>
      </w:r>
    </w:p>
    <w:p w14:paraId="6540A133">
      <w:pPr>
        <w:ind w:firstLine="422"/>
      </w:pPr>
      <w:r>
        <w:rPr>
          <w:rFonts w:hint="eastAsia"/>
          <w:b/>
        </w:rPr>
        <w:t>第三条</w:t>
      </w:r>
      <w:r>
        <w:rPr>
          <w:rFonts w:hint="eastAsia"/>
        </w:rPr>
        <w:t xml:space="preserve">  市劳动保障行政部门主管全市失业保险工作。区（县）劳动保障行政部门主管本行政区域内的失业保险工作。劳动保障行政部门按照规定设立的经办失业保险业务的社会保险经办机构，具体承办失业保险工作。</w:t>
      </w:r>
    </w:p>
    <w:p w14:paraId="45AF31FF">
      <w:pPr>
        <w:ind w:firstLine="422"/>
      </w:pPr>
      <w:r>
        <w:rPr>
          <w:rFonts w:hint="eastAsia"/>
          <w:b/>
        </w:rPr>
        <w:t>第四条</w:t>
      </w:r>
      <w:r>
        <w:rPr>
          <w:rFonts w:hint="eastAsia"/>
        </w:rPr>
        <w:t xml:space="preserve">  失业保险工作应与职业培训、职业介绍等就业服务工作紧密结合，统筹安排。</w:t>
      </w:r>
    </w:p>
    <w:p w14:paraId="0880EDB3"/>
    <w:p w14:paraId="27EDF9BF">
      <w:pPr>
        <w:ind w:firstLine="0" w:firstLineChars="0"/>
        <w:jc w:val="center"/>
        <w:rPr>
          <w:b/>
          <w:sz w:val="28"/>
        </w:rPr>
      </w:pPr>
      <w:r>
        <w:rPr>
          <w:rFonts w:hint="eastAsia"/>
          <w:b/>
          <w:sz w:val="28"/>
        </w:rPr>
        <w:t>第二章　失业保险基金</w:t>
      </w:r>
    </w:p>
    <w:p w14:paraId="63FC231C"/>
    <w:p w14:paraId="282925F9">
      <w:pPr>
        <w:ind w:firstLine="422"/>
      </w:pPr>
      <w:r>
        <w:rPr>
          <w:rFonts w:hint="eastAsia"/>
          <w:b/>
        </w:rPr>
        <w:t>第五条</w:t>
      </w:r>
      <w:r>
        <w:rPr>
          <w:rFonts w:hint="eastAsia"/>
        </w:rPr>
        <w:t xml:space="preserve">  失业保险基金由下列各项构成：</w:t>
      </w:r>
    </w:p>
    <w:p w14:paraId="031FA618">
      <w:r>
        <w:rPr>
          <w:rFonts w:hint="eastAsia"/>
        </w:rPr>
        <w:t>（一）单位缴纳的失业保险费；</w:t>
      </w:r>
    </w:p>
    <w:p w14:paraId="7C4AA9F3">
      <w:r>
        <w:rPr>
          <w:rFonts w:hint="eastAsia"/>
        </w:rPr>
        <w:t>（二）职工个人缴纳的失业保险费；</w:t>
      </w:r>
    </w:p>
    <w:p w14:paraId="7A5C9711">
      <w:r>
        <w:rPr>
          <w:rFonts w:hint="eastAsia"/>
        </w:rPr>
        <w:t>（三）失业保险基金的利息；</w:t>
      </w:r>
    </w:p>
    <w:p w14:paraId="390DCAEE">
      <w:r>
        <w:rPr>
          <w:rFonts w:hint="eastAsia"/>
        </w:rPr>
        <w:t>（四）失业保险费滞纳金；</w:t>
      </w:r>
    </w:p>
    <w:p w14:paraId="5643CEC9">
      <w:r>
        <w:rPr>
          <w:rFonts w:hint="eastAsia"/>
        </w:rPr>
        <w:t>（五）财政补贴；</w:t>
      </w:r>
    </w:p>
    <w:p w14:paraId="4293B07E">
      <w:r>
        <w:rPr>
          <w:rFonts w:hint="eastAsia"/>
        </w:rPr>
        <w:t>（六）依法纳入失业保险基金的其他资金。</w:t>
      </w:r>
    </w:p>
    <w:p w14:paraId="5E730BA8">
      <w:pPr>
        <w:ind w:firstLine="422"/>
      </w:pPr>
      <w:r>
        <w:rPr>
          <w:rFonts w:hint="eastAsia"/>
          <w:b/>
        </w:rPr>
        <w:t>第六条</w:t>
      </w:r>
      <w:r>
        <w:rPr>
          <w:rFonts w:hint="eastAsia"/>
        </w:rPr>
        <w:t xml:space="preserve">  用人单位和职工个人应当按月足额缴纳失业保险费。</w:t>
      </w:r>
    </w:p>
    <w:p w14:paraId="33237E8C">
      <w:r>
        <w:rPr>
          <w:rFonts w:hint="eastAsia"/>
        </w:rPr>
        <w:t>用人单位应缴纳的失业保险费，由社会保险经办机构委托用人单位的开户银行按月代为扣缴。</w:t>
      </w:r>
    </w:p>
    <w:p w14:paraId="33D7C56A">
      <w:r>
        <w:rPr>
          <w:rFonts w:hint="eastAsia"/>
        </w:rPr>
        <w:t>职工个人应缴纳的失业保险费，由用人单位代为扣缴。</w:t>
      </w:r>
    </w:p>
    <w:p w14:paraId="244B1EB5">
      <w:pPr>
        <w:ind w:firstLine="422"/>
      </w:pPr>
      <w:r>
        <w:rPr>
          <w:rFonts w:hint="eastAsia"/>
          <w:b/>
        </w:rPr>
        <w:t>第七条</w:t>
      </w:r>
      <w:r>
        <w:rPr>
          <w:rFonts w:hint="eastAsia"/>
        </w:rPr>
        <w:t xml:space="preserve">  失业保险费缴纳标准：</w:t>
      </w:r>
    </w:p>
    <w:p w14:paraId="5B8115EF">
      <w:pPr>
        <w:rPr>
          <w:rFonts w:hint="eastAsia" w:ascii="宋体" w:hAnsi="宋体" w:eastAsia="宋体" w:cs="宋体"/>
        </w:rPr>
      </w:pPr>
      <w:r>
        <w:rPr>
          <w:rFonts w:hint="eastAsia"/>
        </w:rPr>
        <w:t>（一）国有企业、城镇集体企</w:t>
      </w:r>
      <w:r>
        <w:rPr>
          <w:rFonts w:hint="eastAsia" w:ascii="宋体" w:hAnsi="宋体" w:eastAsia="宋体" w:cs="宋体"/>
        </w:rPr>
        <w:t>业、股份制企业及各类联营企业、私营企业和事业单位，按本单位上年职工月平均工资总额的1.5%缴纳失业保险费；</w:t>
      </w:r>
    </w:p>
    <w:p w14:paraId="402FA383">
      <w:pPr>
        <w:rPr>
          <w:rFonts w:hint="eastAsia" w:ascii="宋体" w:hAnsi="宋体" w:eastAsia="宋体" w:cs="宋体"/>
        </w:rPr>
      </w:pPr>
      <w:r>
        <w:rPr>
          <w:rFonts w:hint="eastAsia" w:ascii="宋体" w:hAnsi="宋体" w:eastAsia="宋体" w:cs="宋体"/>
        </w:rPr>
        <w:t>（二）外商投资企业和港、澳、台商投资企业按本单位中方职工上年月平均工资总额的1.5%缴纳失业保险费；</w:t>
      </w:r>
    </w:p>
    <w:p w14:paraId="4B4EAE1C">
      <w:r>
        <w:rPr>
          <w:rFonts w:hint="eastAsia" w:ascii="宋体" w:hAnsi="宋体" w:eastAsia="宋体" w:cs="宋体"/>
        </w:rPr>
        <w:t>（三）职工个人按本人上年月平均工资的0.5%缴纳失业保险费。职工本人月平均工资高于上一年本市职工月平均工资300%以上的部分，不作为缴纳失业保险费的基数</w:t>
      </w:r>
      <w:r>
        <w:rPr>
          <w:rFonts w:hint="eastAsia"/>
        </w:rPr>
        <w:t>；</w:t>
      </w:r>
    </w:p>
    <w:p w14:paraId="1BBAF46D">
      <w:r>
        <w:rPr>
          <w:rFonts w:hint="eastAsia"/>
        </w:rPr>
        <w:t>（四）用人单位招用的农民合同制工人本人不缴纳失业保险费。</w:t>
      </w:r>
    </w:p>
    <w:p w14:paraId="00BD9870">
      <w:pPr>
        <w:ind w:firstLine="422"/>
      </w:pPr>
      <w:r>
        <w:rPr>
          <w:rFonts w:hint="eastAsia"/>
          <w:b/>
        </w:rPr>
        <w:t>第八条</w:t>
      </w:r>
      <w:r>
        <w:rPr>
          <w:rFonts w:hint="eastAsia"/>
        </w:rPr>
        <w:t xml:space="preserve">  失业保险费收缴费率需要调整时，由市劳动保障行政部门会同市财政部门提出，报市人民政府同意，国务院批准后执行。</w:t>
      </w:r>
    </w:p>
    <w:p w14:paraId="41958436">
      <w:pPr>
        <w:ind w:firstLine="422"/>
      </w:pPr>
      <w:r>
        <w:rPr>
          <w:rFonts w:hint="eastAsia"/>
          <w:b/>
        </w:rPr>
        <w:t>第九条</w:t>
      </w:r>
      <w:r>
        <w:rPr>
          <w:rFonts w:hint="eastAsia"/>
        </w:rPr>
        <w:t xml:space="preserve">  用人单位缴纳的失业保险费在缴纳所得税前列支，职工个人缴纳的失业保险费不计入个人当期的工资薪金收入，免征个人所得税。</w:t>
      </w:r>
    </w:p>
    <w:p w14:paraId="69003481">
      <w:r>
        <w:rPr>
          <w:rFonts w:hint="eastAsia"/>
        </w:rPr>
        <w:t>失业保险基金不计征税、费。</w:t>
      </w:r>
    </w:p>
    <w:p w14:paraId="3C64FCE7">
      <w:pPr>
        <w:ind w:firstLine="422"/>
      </w:pPr>
      <w:r>
        <w:rPr>
          <w:rFonts w:hint="eastAsia"/>
          <w:b/>
        </w:rPr>
        <w:t>第十条</w:t>
      </w:r>
      <w:r>
        <w:rPr>
          <w:rFonts w:hint="eastAsia"/>
        </w:rPr>
        <w:t xml:space="preserve">  失业保险基金用于下列开支：</w:t>
      </w:r>
    </w:p>
    <w:p w14:paraId="27858C79">
      <w:r>
        <w:rPr>
          <w:rFonts w:hint="eastAsia"/>
        </w:rPr>
        <w:t>（一）失业保险金；</w:t>
      </w:r>
    </w:p>
    <w:p w14:paraId="2204CBBD">
      <w:r>
        <w:rPr>
          <w:rFonts w:hint="eastAsia"/>
        </w:rPr>
        <w:t>（二）领取失业保险金期间的医疗补助金；</w:t>
      </w:r>
    </w:p>
    <w:p w14:paraId="48D29A8D">
      <w:r>
        <w:rPr>
          <w:rFonts w:hint="eastAsia"/>
        </w:rPr>
        <w:t>（三）领取失业保险金期间死亡的失业人员的丧葬补助金和其供养的配偶、直系亲属的抚恤金；</w:t>
      </w:r>
    </w:p>
    <w:p w14:paraId="048BF03F">
      <w:r>
        <w:rPr>
          <w:rFonts w:hint="eastAsia"/>
        </w:rPr>
        <w:t>（四）职业培训补贴、职业介绍补贴、社会保险补贴、岗位补贴等国家规定的支出项目；</w:t>
      </w:r>
    </w:p>
    <w:p w14:paraId="4A3BD760">
      <w:r>
        <w:rPr>
          <w:rFonts w:hint="eastAsia"/>
        </w:rPr>
        <w:t>（五）按照国家有关规定，经市人民政府批准并报国务院备案的与失业保险有关的其他支出项目。</w:t>
      </w:r>
    </w:p>
    <w:p w14:paraId="28D70601">
      <w:pPr>
        <w:ind w:firstLine="422"/>
      </w:pPr>
      <w:r>
        <w:rPr>
          <w:rFonts w:hint="eastAsia"/>
          <w:b/>
        </w:rPr>
        <w:t>第十一条</w:t>
      </w:r>
      <w:r>
        <w:rPr>
          <w:rFonts w:hint="eastAsia"/>
        </w:rPr>
        <w:t xml:space="preserve">  失业保险基金实行全市统筹。失业保险基金必须存入财政部门在国有商业银行开设的社会保障基金财政专户，实行收支两条线管理，由财政部门依法进行监督。</w:t>
      </w:r>
    </w:p>
    <w:p w14:paraId="1552587E">
      <w:r>
        <w:rPr>
          <w:rFonts w:hint="eastAsia"/>
        </w:rPr>
        <w:t>存入银行和按照国家规定购买国债的失业保险基金，分别按照城乡居民同期存款利率和国债利息计息。失业保险基金的利息并入失业保险基金。</w:t>
      </w:r>
    </w:p>
    <w:p w14:paraId="322C1A7F">
      <w:r>
        <w:rPr>
          <w:rFonts w:hint="eastAsia"/>
        </w:rPr>
        <w:t>失业保险基金专款专用，不得挪作他用，不得用于平衡财政收支。</w:t>
      </w:r>
    </w:p>
    <w:p w14:paraId="687F293D">
      <w:pPr>
        <w:ind w:firstLine="422"/>
      </w:pPr>
      <w:r>
        <w:rPr>
          <w:rFonts w:hint="eastAsia"/>
          <w:b/>
        </w:rPr>
        <w:t>第十二条</w:t>
      </w:r>
      <w:r>
        <w:rPr>
          <w:rFonts w:hint="eastAsia"/>
        </w:rPr>
        <w:t xml:space="preserve">  失业保险基金收支的预算、决算，由市社会保险经办机构编制，经市劳动保障行政部门复核、市财政部门审核，报市人民政府批准。</w:t>
      </w:r>
    </w:p>
    <w:p w14:paraId="5769BDC7">
      <w:r>
        <w:rPr>
          <w:rFonts w:hint="eastAsia"/>
        </w:rPr>
        <w:t>失业保险基金的财务制度和会计制度按照国家有关规定执行。</w:t>
      </w:r>
    </w:p>
    <w:p w14:paraId="0A5C871C"/>
    <w:p w14:paraId="2FA91ED9">
      <w:pPr>
        <w:ind w:firstLine="0" w:firstLineChars="0"/>
        <w:jc w:val="center"/>
        <w:rPr>
          <w:b/>
          <w:sz w:val="28"/>
        </w:rPr>
      </w:pPr>
      <w:r>
        <w:rPr>
          <w:rFonts w:hint="eastAsia"/>
          <w:b/>
          <w:sz w:val="28"/>
        </w:rPr>
        <w:t>第三章　失业保险待遇</w:t>
      </w:r>
    </w:p>
    <w:p w14:paraId="65636C84"/>
    <w:p w14:paraId="511AF3F5">
      <w:pPr>
        <w:ind w:firstLine="422"/>
      </w:pPr>
      <w:r>
        <w:rPr>
          <w:rFonts w:hint="eastAsia"/>
          <w:b/>
        </w:rPr>
        <w:t>第十三条</w:t>
      </w:r>
      <w:r>
        <w:rPr>
          <w:rFonts w:hint="eastAsia"/>
        </w:rPr>
        <w:t xml:space="preserve">  具备下列条件的失业人员，可以领取失业保险金：</w:t>
      </w:r>
    </w:p>
    <w:p w14:paraId="786CA390">
      <w:r>
        <w:rPr>
          <w:rFonts w:hint="eastAsia"/>
        </w:rPr>
        <w:t>（一）按照规定参加失业保险，所在单位和本人已按规定履行缴费义</w:t>
      </w:r>
      <w:r>
        <w:rPr>
          <w:rFonts w:hint="eastAsia" w:ascii="宋体" w:hAnsi="宋体" w:eastAsia="宋体" w:cs="宋体"/>
        </w:rPr>
        <w:t>务满1年的</w:t>
      </w:r>
      <w:r>
        <w:rPr>
          <w:rFonts w:hint="eastAsia"/>
        </w:rPr>
        <w:t>；</w:t>
      </w:r>
    </w:p>
    <w:p w14:paraId="75FA4A0B">
      <w:r>
        <w:rPr>
          <w:rFonts w:hint="eastAsia"/>
        </w:rPr>
        <w:t>（二）非因本人意愿中断就业的；</w:t>
      </w:r>
    </w:p>
    <w:p w14:paraId="2652E901">
      <w:r>
        <w:rPr>
          <w:rFonts w:hint="eastAsia"/>
        </w:rPr>
        <w:t>（三）已办理失业登记，并有求职要求的。</w:t>
      </w:r>
    </w:p>
    <w:p w14:paraId="571A1FAC">
      <w:r>
        <w:rPr>
          <w:rFonts w:hint="eastAsia"/>
        </w:rPr>
        <w:t>失业人员在领取失业保险金期间，按照规定同时享受其他失业保险待遇。</w:t>
      </w:r>
    </w:p>
    <w:p w14:paraId="61991415">
      <w:pPr>
        <w:ind w:firstLine="422"/>
      </w:pPr>
      <w:r>
        <w:rPr>
          <w:rFonts w:hint="eastAsia"/>
          <w:b/>
        </w:rPr>
        <w:t>第十四条</w:t>
      </w:r>
      <w:r>
        <w:rPr>
          <w:rFonts w:hint="eastAsia"/>
        </w:rPr>
        <w:t>　失业人员在领取失业保险金期间有下列情形之一的，停止领取失业保险金，并同时停止享受其他失业保险待遇：</w:t>
      </w:r>
    </w:p>
    <w:p w14:paraId="0D3E081A">
      <w:r>
        <w:rPr>
          <w:rFonts w:hint="eastAsia"/>
        </w:rPr>
        <w:t>（一）重新就业的；</w:t>
      </w:r>
    </w:p>
    <w:p w14:paraId="5BA1C4C3">
      <w:r>
        <w:rPr>
          <w:rFonts w:hint="eastAsia"/>
        </w:rPr>
        <w:t>（二）应征服兵役的；</w:t>
      </w:r>
    </w:p>
    <w:p w14:paraId="4C2F42DD">
      <w:r>
        <w:rPr>
          <w:rFonts w:hint="eastAsia"/>
        </w:rPr>
        <w:t>（三）移居境外的；</w:t>
      </w:r>
    </w:p>
    <w:p w14:paraId="2811A2BD">
      <w:r>
        <w:rPr>
          <w:rFonts w:hint="eastAsia"/>
        </w:rPr>
        <w:t>（四）享受基本养老保险待遇的；</w:t>
      </w:r>
    </w:p>
    <w:p w14:paraId="5406A60C">
      <w:r>
        <w:rPr>
          <w:rFonts w:hint="eastAsia"/>
        </w:rPr>
        <w:t>（五）被判刑收监执行或者被劳动教养的；</w:t>
      </w:r>
    </w:p>
    <w:p w14:paraId="6B3C4FB4">
      <w:r>
        <w:rPr>
          <w:rFonts w:hint="eastAsia"/>
        </w:rPr>
        <w:t>（六）无正当理由，拒不接受劳动保障行政部门指定的职业介绍服务机构介绍的工作的；</w:t>
      </w:r>
    </w:p>
    <w:p w14:paraId="6167CD1A">
      <w:r>
        <w:rPr>
          <w:rFonts w:hint="eastAsia"/>
        </w:rPr>
        <w:t>（七）有法律、行政法规规定的其他情形的。</w:t>
      </w:r>
    </w:p>
    <w:p w14:paraId="64245E53">
      <w:pPr>
        <w:ind w:firstLine="422"/>
      </w:pPr>
      <w:r>
        <w:rPr>
          <w:rFonts w:hint="eastAsia"/>
          <w:b/>
        </w:rPr>
        <w:t>第十五条</w:t>
      </w:r>
      <w:r>
        <w:rPr>
          <w:rFonts w:hint="eastAsia"/>
        </w:rPr>
        <w:t>　用人单位与职工终止、解除劳动（聘用）或工作关系之日</w:t>
      </w:r>
      <w:r>
        <w:rPr>
          <w:rFonts w:hint="eastAsia" w:ascii="宋体" w:hAnsi="宋体" w:eastAsia="宋体" w:cs="宋体"/>
        </w:rPr>
        <w:t>起7日</w:t>
      </w:r>
      <w:r>
        <w:rPr>
          <w:rFonts w:hint="eastAsia"/>
        </w:rPr>
        <w:t>内将失业人员的名单报户口所在地区（县）社会保险经办机构备案，自终止、解除劳动（聘用）或工作关系之日</w:t>
      </w:r>
      <w:r>
        <w:rPr>
          <w:rFonts w:hint="eastAsia" w:ascii="宋体" w:hAnsi="宋体" w:eastAsia="宋体" w:cs="宋体"/>
        </w:rPr>
        <w:t>起20日内，</w:t>
      </w:r>
      <w:r>
        <w:rPr>
          <w:rFonts w:hint="eastAsia"/>
        </w:rPr>
        <w:t>持缴纳失业保险的有关材料将职工的档案转移到职工户口所在地区（县）社会保险经办机构。</w:t>
      </w:r>
    </w:p>
    <w:p w14:paraId="7BADCB9B">
      <w:r>
        <w:rPr>
          <w:rFonts w:hint="eastAsia"/>
        </w:rPr>
        <w:t>用人单位应当及时为失业人员出具终止或者解除劳动（聘用）或工作关系的证明，并书面告知其按照规定享受失业保险待遇的权利。</w:t>
      </w:r>
    </w:p>
    <w:p w14:paraId="16C3008D">
      <w:pPr>
        <w:ind w:firstLine="422"/>
      </w:pPr>
      <w:r>
        <w:rPr>
          <w:rFonts w:hint="eastAsia"/>
          <w:b/>
        </w:rPr>
        <w:t>第十六条</w:t>
      </w:r>
      <w:r>
        <w:rPr>
          <w:rFonts w:hint="eastAsia"/>
        </w:rPr>
        <w:t>　失业人员应当在终止、解除劳动（聘用）或者工作关系之日起</w:t>
      </w:r>
      <w:r>
        <w:rPr>
          <w:rFonts w:hint="eastAsia" w:ascii="宋体" w:hAnsi="宋体" w:eastAsia="宋体" w:cs="宋体"/>
        </w:rPr>
        <w:t>60</w:t>
      </w:r>
      <w:r>
        <w:rPr>
          <w:rFonts w:hint="eastAsia"/>
        </w:rPr>
        <w:t>日内，持用人单位开具的终止、解除劳动（聘用）或者工作关系证明及有关证明材料到户口所在地的社会保险经办机构办理失业登记，符合领取失业保险金条件的同时办理领取失业保险金手续。失业保险金自办理失业登记之日起计算。</w:t>
      </w:r>
    </w:p>
    <w:p w14:paraId="4A64FAAC">
      <w:r>
        <w:rPr>
          <w:rFonts w:hint="eastAsia"/>
        </w:rPr>
        <w:t>在职期间被劳动教养或者判刑收监执行，被解除劳动教养或者刑满释放的失业人员应当在回京落户之日起</w:t>
      </w:r>
      <w:r>
        <w:rPr>
          <w:rFonts w:hint="eastAsia" w:ascii="宋体" w:hAnsi="宋体" w:eastAsia="宋体" w:cs="宋体"/>
        </w:rPr>
        <w:t>60</w:t>
      </w:r>
      <w:r>
        <w:rPr>
          <w:rFonts w:hint="eastAsia"/>
        </w:rPr>
        <w:t>日内，按照本规定办理失业登记和失业保险金领取手续。</w:t>
      </w:r>
    </w:p>
    <w:p w14:paraId="685A6780">
      <w:pPr>
        <w:ind w:firstLine="422"/>
      </w:pPr>
      <w:r>
        <w:rPr>
          <w:rFonts w:hint="eastAsia"/>
          <w:b/>
        </w:rPr>
        <w:t>第十七条</w:t>
      </w:r>
      <w:r>
        <w:rPr>
          <w:rFonts w:hint="eastAsia"/>
        </w:rPr>
        <w:t>　失业人员领取失业保险金的期限，根据失业人员失业前累计缴费时间确定：</w:t>
      </w:r>
    </w:p>
    <w:p w14:paraId="1F5A6E75">
      <w:pPr>
        <w:rPr>
          <w:rFonts w:hint="eastAsia" w:ascii="宋体" w:hAnsi="宋体" w:eastAsia="宋体" w:cs="宋体"/>
        </w:rPr>
      </w:pPr>
      <w:r>
        <w:rPr>
          <w:rFonts w:hint="eastAsia"/>
        </w:rPr>
        <w:t>（一）累计缴</w:t>
      </w:r>
      <w:r>
        <w:rPr>
          <w:rFonts w:hint="eastAsia" w:ascii="宋体" w:hAnsi="宋体" w:eastAsia="宋体" w:cs="宋体"/>
        </w:rPr>
        <w:t>费时间1年以上不满2年的，可以领取3个月失业保险金；</w:t>
      </w:r>
    </w:p>
    <w:p w14:paraId="53185DE4">
      <w:pPr>
        <w:rPr>
          <w:rFonts w:hint="eastAsia" w:ascii="宋体" w:hAnsi="宋体" w:eastAsia="宋体" w:cs="宋体"/>
        </w:rPr>
      </w:pPr>
      <w:r>
        <w:rPr>
          <w:rFonts w:hint="eastAsia" w:ascii="宋体" w:hAnsi="宋体" w:eastAsia="宋体" w:cs="宋体"/>
        </w:rPr>
        <w:t>（二）累计缴费时间2年以上不满3年的，可以领取6个月失业保险金；</w:t>
      </w:r>
    </w:p>
    <w:p w14:paraId="45602837">
      <w:pPr>
        <w:rPr>
          <w:rFonts w:hint="eastAsia" w:ascii="宋体" w:hAnsi="宋体" w:eastAsia="宋体" w:cs="宋体"/>
        </w:rPr>
      </w:pPr>
      <w:r>
        <w:rPr>
          <w:rFonts w:hint="eastAsia" w:ascii="宋体" w:hAnsi="宋体" w:eastAsia="宋体" w:cs="宋体"/>
        </w:rPr>
        <w:t>（三）累计缴费时间3年以上不满4年的，可以领取9个月失业保险金；</w:t>
      </w:r>
    </w:p>
    <w:p w14:paraId="65FC39F7">
      <w:pPr>
        <w:rPr>
          <w:rFonts w:hint="eastAsia" w:ascii="宋体" w:hAnsi="宋体" w:eastAsia="宋体" w:cs="宋体"/>
        </w:rPr>
      </w:pPr>
      <w:r>
        <w:rPr>
          <w:rFonts w:hint="eastAsia" w:ascii="宋体" w:hAnsi="宋体" w:eastAsia="宋体" w:cs="宋体"/>
        </w:rPr>
        <w:t>（四）累计缴费时间4年以上不满5年的，可以领取12个月失业保险金；</w:t>
      </w:r>
    </w:p>
    <w:p w14:paraId="05577311">
      <w:pPr>
        <w:rPr>
          <w:rFonts w:hint="eastAsia" w:ascii="宋体" w:hAnsi="宋体" w:eastAsia="宋体" w:cs="宋体"/>
        </w:rPr>
      </w:pPr>
      <w:r>
        <w:rPr>
          <w:rFonts w:hint="eastAsia" w:ascii="宋体" w:hAnsi="宋体" w:eastAsia="宋体" w:cs="宋体"/>
        </w:rPr>
        <w:t>（五）累计缴费时间5年以上的，按每满一年增发一个月失业保险金的办法计算，确定增发的月数。领取失业保险金的期限最长不得超过24个月。</w:t>
      </w:r>
    </w:p>
    <w:p w14:paraId="13272F54">
      <w:pPr>
        <w:rPr>
          <w:rFonts w:hint="eastAsia" w:ascii="宋体" w:hAnsi="宋体" w:eastAsia="宋体" w:cs="宋体"/>
        </w:rPr>
      </w:pPr>
      <w:r>
        <w:rPr>
          <w:rFonts w:hint="eastAsia" w:ascii="宋体" w:hAnsi="宋体" w:eastAsia="宋体" w:cs="宋体"/>
        </w:rPr>
        <w:t>失业保险费缴费时间按用人单位和职工个人缴纳失业保险费的时间累计计算。</w:t>
      </w:r>
    </w:p>
    <w:p w14:paraId="633E40D6">
      <w:pPr>
        <w:rPr>
          <w:rFonts w:hint="eastAsia" w:ascii="宋体" w:hAnsi="宋体" w:eastAsia="宋体" w:cs="宋体"/>
        </w:rPr>
      </w:pPr>
      <w:r>
        <w:rPr>
          <w:rFonts w:hint="eastAsia" w:ascii="宋体" w:hAnsi="宋体" w:eastAsia="宋体" w:cs="宋体"/>
        </w:rPr>
        <w:t>本市实行个人缴纳失业保险费前，按国家规定计算的连续工龄视同缴费时间，计发失业保险金时合并计算。</w:t>
      </w:r>
    </w:p>
    <w:p w14:paraId="4A9C1FFD">
      <w:pPr>
        <w:rPr>
          <w:rFonts w:hint="eastAsia" w:ascii="宋体" w:hAnsi="宋体" w:eastAsia="宋体" w:cs="宋体"/>
        </w:rPr>
      </w:pPr>
      <w:r>
        <w:rPr>
          <w:rFonts w:hint="eastAsia" w:ascii="宋体" w:hAnsi="宋体" w:eastAsia="宋体" w:cs="宋体"/>
        </w:rPr>
        <w:t>不属于1994年北京市人民政府发布的《北京市企业职工失业保险规定》实施范围，按照本规定新参加失业保险的单位的职工，本规定实施前，按国家规定计算的连续工龄视同缴费时间，计发失业保险金时合并计算。</w:t>
      </w:r>
    </w:p>
    <w:p w14:paraId="59AA5954">
      <w:pPr>
        <w:ind w:firstLine="422"/>
      </w:pPr>
      <w:r>
        <w:rPr>
          <w:rFonts w:hint="eastAsia"/>
          <w:b/>
        </w:rPr>
        <w:t>第十八条</w:t>
      </w:r>
      <w:r>
        <w:rPr>
          <w:rFonts w:hint="eastAsia"/>
        </w:rPr>
        <w:t>　失业人员领取失业保险金期限内，重新就业后再次失业的，缴费时间重新计算，领取失业保险金的期限可以与前次失业应领取而尚未领取的失业保险金的期限合并计算，但是最长不得超</w:t>
      </w:r>
      <w:r>
        <w:rPr>
          <w:rFonts w:hint="eastAsia" w:ascii="宋体" w:hAnsi="宋体" w:eastAsia="宋体" w:cs="宋体"/>
        </w:rPr>
        <w:t>过24个月</w:t>
      </w:r>
      <w:r>
        <w:rPr>
          <w:rFonts w:hint="eastAsia"/>
        </w:rPr>
        <w:t>。</w:t>
      </w:r>
    </w:p>
    <w:p w14:paraId="4CE3469A">
      <w:pPr>
        <w:ind w:firstLine="422"/>
      </w:pPr>
      <w:r>
        <w:rPr>
          <w:rFonts w:hint="eastAsia"/>
          <w:b/>
        </w:rPr>
        <w:t>第十九条</w:t>
      </w:r>
      <w:r>
        <w:rPr>
          <w:rFonts w:hint="eastAsia"/>
        </w:rPr>
        <w:t>　失业保险金标准的确定及调整，根据失业人员失业前缴纳失业保险费的年限，按照低于本市最低工资标准、高于城市居民最低生活保障标准的原则，结合本市经济发展状况及居民生活水平等因素，由市劳动保障行政部门会同财政部门提出，报市人民政府批准并公布后执行。</w:t>
      </w:r>
    </w:p>
    <w:p w14:paraId="04B03B8E">
      <w:pPr>
        <w:ind w:firstLine="422"/>
      </w:pPr>
      <w:r>
        <w:rPr>
          <w:rFonts w:hint="eastAsia"/>
          <w:b/>
        </w:rPr>
        <w:t>第二十条</w:t>
      </w:r>
      <w:r>
        <w:rPr>
          <w:rFonts w:hint="eastAsia"/>
        </w:rPr>
        <w:t>　失业人员在领取失业保险金期间从事个体经营、兴办企业，凭其营业执照，社会保险经办机构可以将其应领取的失业保险金一次性发给本人。</w:t>
      </w:r>
    </w:p>
    <w:p w14:paraId="3DFC1D46">
      <w:pPr>
        <w:ind w:firstLine="422"/>
      </w:pPr>
      <w:r>
        <w:rPr>
          <w:rFonts w:hint="eastAsia"/>
          <w:b/>
        </w:rPr>
        <w:t>第二十一条</w:t>
      </w:r>
      <w:r>
        <w:rPr>
          <w:rFonts w:hint="eastAsia"/>
        </w:rPr>
        <w:t>　城镇企业、事业单位成建制跨统筹地区转移，失业人员跨统筹地区流动的，失业保险关系按有关规定转移。</w:t>
      </w:r>
    </w:p>
    <w:p w14:paraId="2D6E0A4C">
      <w:pPr>
        <w:ind w:firstLine="422"/>
      </w:pPr>
      <w:r>
        <w:rPr>
          <w:rFonts w:hint="eastAsia"/>
          <w:b/>
        </w:rPr>
        <w:t>第二十二条</w:t>
      </w:r>
      <w:r>
        <w:rPr>
          <w:rFonts w:hint="eastAsia"/>
        </w:rPr>
        <w:t>　用人单位招用的农民合同制工人，劳动合同期满未续订或者提前解除劳动合同的，由社会保险经办机构根据用人单位为其连续缴费的时间，对其支付一次性生活补助，</w:t>
      </w:r>
      <w:r>
        <w:rPr>
          <w:rFonts w:hint="eastAsia" w:ascii="宋体" w:hAnsi="宋体" w:eastAsia="宋体" w:cs="宋体"/>
        </w:rPr>
        <w:t>每满1年发给1个月生活补助，最长不得超过12个月。其标准由市劳动保</w:t>
      </w:r>
      <w:r>
        <w:rPr>
          <w:rFonts w:hint="eastAsia"/>
        </w:rPr>
        <w:t>障行政部门会同财政部门提出，报市人民政府批准并公布后执行。</w:t>
      </w:r>
    </w:p>
    <w:p w14:paraId="57390CC6">
      <w:pPr>
        <w:ind w:firstLine="422"/>
        <w:rPr>
          <w:rFonts w:hint="eastAsia" w:ascii="宋体" w:hAnsi="宋体" w:eastAsia="宋体" w:cs="宋体"/>
        </w:rPr>
      </w:pPr>
      <w:r>
        <w:rPr>
          <w:rFonts w:hint="eastAsia"/>
          <w:b/>
        </w:rPr>
        <w:t>第二十三条</w:t>
      </w:r>
      <w:r>
        <w:rPr>
          <w:rFonts w:hint="eastAsia"/>
        </w:rPr>
        <w:t>　失业人员在领取失业保险金期间，患病（不含因打架斗殴或交通事故等行为致伤、致残的）到社会保险经办机构指定的医院就诊的，可以补助本人应领取失业保险金</w:t>
      </w:r>
      <w:r>
        <w:rPr>
          <w:rFonts w:hint="eastAsia" w:ascii="宋体" w:hAnsi="宋体" w:eastAsia="宋体" w:cs="宋体"/>
        </w:rPr>
        <w:t>总额60%至80%的医疗补助金，具体标准为：</w:t>
      </w:r>
    </w:p>
    <w:p w14:paraId="57814E7F">
      <w:pPr>
        <w:rPr>
          <w:rFonts w:hint="eastAsia" w:ascii="宋体" w:hAnsi="宋体" w:eastAsia="宋体" w:cs="宋体"/>
        </w:rPr>
      </w:pPr>
      <w:r>
        <w:rPr>
          <w:rFonts w:hint="eastAsia" w:ascii="宋体" w:hAnsi="宋体" w:eastAsia="宋体" w:cs="宋体"/>
        </w:rPr>
        <w:t>（一）累计缴费时间不满5年的，其医疗费补助比例为60%；累计医疗补助金不超过本人应领取失业保险金总额的60%。</w:t>
      </w:r>
    </w:p>
    <w:p w14:paraId="62754A69">
      <w:pPr>
        <w:rPr>
          <w:rFonts w:hint="eastAsia" w:ascii="宋体" w:hAnsi="宋体" w:eastAsia="宋体" w:cs="宋体"/>
        </w:rPr>
      </w:pPr>
      <w:r>
        <w:rPr>
          <w:rFonts w:hint="eastAsia" w:ascii="宋体" w:hAnsi="宋体" w:eastAsia="宋体" w:cs="宋体"/>
        </w:rPr>
        <w:t>（二）累计缴费时间满5年不满10年的，其医疗费补助比例为65%；累计医疗补助金不超过本人应领取失业保险金总额的65%。</w:t>
      </w:r>
    </w:p>
    <w:p w14:paraId="24CAA45C">
      <w:pPr>
        <w:rPr>
          <w:rFonts w:hint="eastAsia" w:ascii="宋体" w:hAnsi="宋体" w:eastAsia="宋体" w:cs="宋体"/>
        </w:rPr>
      </w:pPr>
      <w:r>
        <w:rPr>
          <w:rFonts w:hint="eastAsia" w:ascii="宋体" w:hAnsi="宋体" w:eastAsia="宋体" w:cs="宋体"/>
        </w:rPr>
        <w:t>（三）累计缴费时间满10年不满15年的，其医疗费补助比例为70%；累计医疗补助金不超过本人应领取失业保险金总额的70%。</w:t>
      </w:r>
    </w:p>
    <w:p w14:paraId="4A933896">
      <w:pPr>
        <w:rPr>
          <w:rFonts w:hint="eastAsia" w:ascii="宋体" w:hAnsi="宋体" w:eastAsia="宋体" w:cs="宋体"/>
        </w:rPr>
      </w:pPr>
      <w:r>
        <w:rPr>
          <w:rFonts w:hint="eastAsia" w:ascii="宋体" w:hAnsi="宋体" w:eastAsia="宋体" w:cs="宋体"/>
        </w:rPr>
        <w:t>（四）累计缴费时间满15年不满20年的，其医疗费补助比例为75%；累计医疗补助金不超过本人应领取失业保险金总额的75%。</w:t>
      </w:r>
    </w:p>
    <w:p w14:paraId="74D78FB0">
      <w:pPr>
        <w:rPr>
          <w:rFonts w:hint="eastAsia" w:ascii="宋体" w:hAnsi="宋体" w:eastAsia="宋体" w:cs="宋体"/>
        </w:rPr>
      </w:pPr>
      <w:r>
        <w:rPr>
          <w:rFonts w:hint="eastAsia" w:ascii="宋体" w:hAnsi="宋体" w:eastAsia="宋体" w:cs="宋体"/>
        </w:rPr>
        <w:t>（五）累计缴费时间满20年以上的，其医疗费补助比例为80%；累计医疗补助金不超过本人应领取失业保险金总额的80%。</w:t>
      </w:r>
    </w:p>
    <w:p w14:paraId="36C5FA54">
      <w:pPr>
        <w:rPr>
          <w:rFonts w:hint="eastAsia" w:ascii="宋体" w:hAnsi="宋体" w:eastAsia="宋体" w:cs="宋体"/>
        </w:rPr>
      </w:pPr>
      <w:r>
        <w:rPr>
          <w:rFonts w:hint="eastAsia" w:ascii="宋体" w:hAnsi="宋体" w:eastAsia="宋体" w:cs="宋体"/>
        </w:rPr>
        <w:t>失业人员在领取失业保险金期间患危重病，按前款规定给予补助后，</w:t>
      </w:r>
      <w:r>
        <w:rPr>
          <w:rFonts w:hint="eastAsia"/>
        </w:rPr>
        <w:t>个人及其家庭负担医疗费仍确有困难的，由本人申请，区（县）社会保险经办机构审查，报市社会保险经办机构批准，可给予一次性补助。但补助标准不得超过本人应领失业保</w:t>
      </w:r>
      <w:r>
        <w:rPr>
          <w:rFonts w:hint="eastAsia" w:ascii="宋体" w:hAnsi="宋体" w:eastAsia="宋体" w:cs="宋体"/>
        </w:rPr>
        <w:t>险金总额的200%。</w:t>
      </w:r>
    </w:p>
    <w:p w14:paraId="76E15C1D">
      <w:r>
        <w:rPr>
          <w:rFonts w:hint="eastAsia"/>
        </w:rPr>
        <w:t>失业人员在领取失业保险金期间，符合国家计划生育规定生育或采取计划生育措施的，可按国家有关规定给予补助。</w:t>
      </w:r>
    </w:p>
    <w:p w14:paraId="38BDB87A">
      <w:pPr>
        <w:ind w:firstLine="422"/>
        <w:rPr>
          <w:rFonts w:hint="eastAsia" w:ascii="宋体" w:hAnsi="宋体" w:eastAsia="宋体" w:cs="宋体"/>
        </w:rPr>
      </w:pPr>
      <w:r>
        <w:rPr>
          <w:rFonts w:hint="eastAsia"/>
          <w:b/>
        </w:rPr>
        <w:t>第二十四条</w:t>
      </w:r>
      <w:r>
        <w:rPr>
          <w:rFonts w:hint="eastAsia"/>
        </w:rPr>
        <w:t>　失业人员在领取失业保险金期间死亡的，参照本市在职职工社会保险有关规定发给丧葬补助金。有供养直系亲属的，发给一次性抚</w:t>
      </w:r>
      <w:r>
        <w:rPr>
          <w:rFonts w:hint="eastAsia" w:ascii="宋体" w:hAnsi="宋体" w:eastAsia="宋体" w:cs="宋体"/>
        </w:rPr>
        <w:t>恤金，抚恤金标准按失业人员死亡当月领取失业保险金的数额和供养人数发给。供养一人的，给付6个月；供养两人的，给付9个月；供养三人或三人以上的，给付12个月。</w:t>
      </w:r>
    </w:p>
    <w:p w14:paraId="42CC67B5">
      <w:pPr>
        <w:ind w:firstLine="422"/>
      </w:pPr>
      <w:r>
        <w:rPr>
          <w:rFonts w:hint="eastAsia"/>
          <w:b/>
        </w:rPr>
        <w:t>第二十五条</w:t>
      </w:r>
      <w:r>
        <w:rPr>
          <w:rFonts w:hint="eastAsia"/>
        </w:rPr>
        <w:t>　失业人员符合城镇居民最低生活保障条件的，可以按照规定享受本市城镇居民最低生活保障待遇。</w:t>
      </w:r>
    </w:p>
    <w:p w14:paraId="5DBDA9A0"/>
    <w:p w14:paraId="5ED40CC3">
      <w:pPr>
        <w:ind w:firstLine="0" w:firstLineChars="0"/>
        <w:jc w:val="center"/>
        <w:rPr>
          <w:b/>
          <w:sz w:val="28"/>
        </w:rPr>
      </w:pPr>
      <w:r>
        <w:rPr>
          <w:rFonts w:hint="eastAsia"/>
          <w:b/>
          <w:sz w:val="28"/>
        </w:rPr>
        <w:t>第四章　管理和监督</w:t>
      </w:r>
    </w:p>
    <w:p w14:paraId="6F5D1A38"/>
    <w:p w14:paraId="4A2C2EF7">
      <w:pPr>
        <w:ind w:firstLine="422"/>
      </w:pPr>
      <w:r>
        <w:rPr>
          <w:rFonts w:hint="eastAsia"/>
          <w:b/>
        </w:rPr>
        <w:t>第二十六条</w:t>
      </w:r>
      <w:r>
        <w:rPr>
          <w:rFonts w:hint="eastAsia"/>
        </w:rPr>
        <w:t>　市、区（县）劳动保障行政部门主管失业保险工作，履行下列职责：</w:t>
      </w:r>
    </w:p>
    <w:p w14:paraId="3A32AF44">
      <w:r>
        <w:rPr>
          <w:rFonts w:hint="eastAsia"/>
        </w:rPr>
        <w:t>（一）贯彻实施失业保险法律、法规；</w:t>
      </w:r>
    </w:p>
    <w:p w14:paraId="19AE99F4">
      <w:r>
        <w:rPr>
          <w:rFonts w:hint="eastAsia"/>
        </w:rPr>
        <w:t>（二）监控、发布失业率，制定促进就业政策；</w:t>
      </w:r>
    </w:p>
    <w:p w14:paraId="4C031496">
      <w:r>
        <w:rPr>
          <w:rFonts w:hint="eastAsia"/>
        </w:rPr>
        <w:t>（三）指导社会保险经办机构的工作；</w:t>
      </w:r>
    </w:p>
    <w:p w14:paraId="4F6AC032">
      <w:r>
        <w:rPr>
          <w:rFonts w:hint="eastAsia"/>
        </w:rPr>
        <w:t>（四）对失业保险费的征收和失业保险待遇的支付进行监督检查。</w:t>
      </w:r>
    </w:p>
    <w:p w14:paraId="1748A15A">
      <w:pPr>
        <w:ind w:firstLine="422"/>
      </w:pPr>
      <w:r>
        <w:rPr>
          <w:rFonts w:hint="eastAsia"/>
          <w:b/>
        </w:rPr>
        <w:t>第二十七条</w:t>
      </w:r>
      <w:r>
        <w:rPr>
          <w:rFonts w:hint="eastAsia"/>
        </w:rPr>
        <w:t>　社会保险经办机构具体承办失业保险工作，履行下列职责：</w:t>
      </w:r>
    </w:p>
    <w:p w14:paraId="0CABD3D8">
      <w:bookmarkStart w:id="2203" w:name="_Toc428780555"/>
      <w:r>
        <w:rPr>
          <w:rFonts w:hint="eastAsia"/>
        </w:rPr>
        <w:t>（一）负责失业人员的登记、管理、调查、统计；</w:t>
      </w:r>
      <w:bookmarkEnd w:id="2203"/>
    </w:p>
    <w:p w14:paraId="1A54BB2C">
      <w:r>
        <w:rPr>
          <w:rFonts w:hint="eastAsia"/>
        </w:rPr>
        <w:t>（二）按照规定负责失业保险基金的核定、收缴、支付和管理；</w:t>
      </w:r>
    </w:p>
    <w:p w14:paraId="770F23F1">
      <w:bookmarkStart w:id="2204" w:name="_Toc428780556"/>
      <w:r>
        <w:rPr>
          <w:rFonts w:hint="eastAsia"/>
        </w:rPr>
        <w:t>（三）按照规定核定发放失业保险金及其他失业保险待遇；</w:t>
      </w:r>
      <w:bookmarkEnd w:id="2204"/>
    </w:p>
    <w:p w14:paraId="4B734F2A">
      <w:r>
        <w:rPr>
          <w:rFonts w:hint="eastAsia"/>
        </w:rPr>
        <w:t>（四）拨付失业人员职业培训、职业介绍等就业服务补贴费用；</w:t>
      </w:r>
    </w:p>
    <w:p w14:paraId="05E5972D">
      <w:r>
        <w:rPr>
          <w:rFonts w:hint="eastAsia"/>
        </w:rPr>
        <w:t>（五）为失业人员提供免费咨询和就业服务；</w:t>
      </w:r>
    </w:p>
    <w:p w14:paraId="4A5400C9">
      <w:r>
        <w:rPr>
          <w:rFonts w:hint="eastAsia"/>
        </w:rPr>
        <w:t>（六）国家和本市规定由其履行的其他职责。</w:t>
      </w:r>
    </w:p>
    <w:p w14:paraId="6E4B5437">
      <w:pPr>
        <w:ind w:firstLine="422"/>
      </w:pPr>
      <w:r>
        <w:rPr>
          <w:rFonts w:hint="eastAsia"/>
          <w:b/>
        </w:rPr>
        <w:t>第二十八条</w:t>
      </w:r>
      <w:r>
        <w:rPr>
          <w:rFonts w:hint="eastAsia"/>
        </w:rPr>
        <w:t>　社会保险经办机构所需经费列入预算，由财政拨付。</w:t>
      </w:r>
    </w:p>
    <w:p w14:paraId="528B4CD0">
      <w:pPr>
        <w:ind w:firstLine="422"/>
      </w:pPr>
      <w:r>
        <w:rPr>
          <w:rFonts w:hint="eastAsia"/>
          <w:b/>
        </w:rPr>
        <w:t>第二十九条</w:t>
      </w:r>
      <w:r>
        <w:rPr>
          <w:rFonts w:hint="eastAsia"/>
        </w:rPr>
        <w:t>　社会保险监督委员会负责监督失业保险政策、法规的执行和失业保险基金的管理工作。</w:t>
      </w:r>
    </w:p>
    <w:p w14:paraId="63AA03F7">
      <w:pPr>
        <w:ind w:firstLine="422"/>
      </w:pPr>
      <w:r>
        <w:rPr>
          <w:rFonts w:hint="eastAsia"/>
          <w:b/>
        </w:rPr>
        <w:t>第三十条</w:t>
      </w:r>
      <w:r>
        <w:rPr>
          <w:rFonts w:hint="eastAsia"/>
        </w:rPr>
        <w:t>　财政部门和审计部门依法对失业保险基金的收支、管理情况进行监督。</w:t>
      </w:r>
    </w:p>
    <w:p w14:paraId="0EFC4ABF"/>
    <w:p w14:paraId="7447C225">
      <w:pPr>
        <w:ind w:firstLine="0" w:firstLineChars="0"/>
        <w:jc w:val="center"/>
        <w:rPr>
          <w:b/>
          <w:sz w:val="28"/>
        </w:rPr>
      </w:pPr>
      <w:r>
        <w:rPr>
          <w:rFonts w:hint="eastAsia"/>
          <w:b/>
          <w:sz w:val="28"/>
        </w:rPr>
        <w:t>第五章　法律责任</w:t>
      </w:r>
    </w:p>
    <w:p w14:paraId="469907FB"/>
    <w:p w14:paraId="0E20F984">
      <w:pPr>
        <w:ind w:firstLine="422"/>
      </w:pPr>
      <w:r>
        <w:rPr>
          <w:rFonts w:hint="eastAsia"/>
          <w:b/>
        </w:rPr>
        <w:t>第三十一条</w:t>
      </w:r>
      <w:r>
        <w:rPr>
          <w:rFonts w:hint="eastAsia"/>
        </w:rPr>
        <w:t>　用人单位不按规定缴纳失业保险费或不按规定及时为失业人员转移档案关系，致使失业人员不能享受失业保险待遇或影响其再就业的，用人单位应当赔偿由此给失业人员造成的损失。</w:t>
      </w:r>
    </w:p>
    <w:p w14:paraId="464614F9">
      <w:pPr>
        <w:ind w:firstLine="422"/>
      </w:pPr>
      <w:r>
        <w:rPr>
          <w:rFonts w:hint="eastAsia"/>
          <w:b/>
        </w:rPr>
        <w:t>第三十二条</w:t>
      </w:r>
      <w:r>
        <w:rPr>
          <w:rFonts w:hint="eastAsia"/>
        </w:rPr>
        <w:t>　用人单位不按规定参加失业保险和缴纳失业保险费的，由市、区（县）劳动保障行政部门按照国务院《社会保险费征缴暂行条例》的规定进行处罚。</w:t>
      </w:r>
    </w:p>
    <w:p w14:paraId="12F0A5DB">
      <w:pPr>
        <w:ind w:firstLine="422"/>
      </w:pPr>
      <w:r>
        <w:rPr>
          <w:rFonts w:hint="eastAsia"/>
          <w:b/>
        </w:rPr>
        <w:t>第三十三条</w:t>
      </w:r>
      <w:r>
        <w:rPr>
          <w:rFonts w:hint="eastAsia"/>
        </w:rPr>
        <w:t>　不符合享受失业保险待遇条件，骗取失业保险金和其他失业保险待遇的，由社会保险经办机构责令退还；情节严重的，由市、区（县）劳动保障行政部门处骗取金额</w:t>
      </w:r>
      <w:r>
        <w:rPr>
          <w:rFonts w:hint="eastAsia" w:ascii="宋体" w:hAnsi="宋体" w:eastAsia="宋体" w:cs="宋体"/>
        </w:rPr>
        <w:t>1倍以上3倍以</w:t>
      </w:r>
      <w:r>
        <w:rPr>
          <w:rFonts w:hint="eastAsia"/>
        </w:rPr>
        <w:t>下的罚款。</w:t>
      </w:r>
    </w:p>
    <w:p w14:paraId="4F45851A">
      <w:pPr>
        <w:ind w:firstLine="422"/>
      </w:pPr>
      <w:r>
        <w:rPr>
          <w:rFonts w:hint="eastAsia"/>
          <w:b/>
        </w:rPr>
        <w:t>第三十四条</w:t>
      </w:r>
      <w:r>
        <w:rPr>
          <w:rFonts w:hint="eastAsia"/>
        </w:rPr>
        <w:t>　社会保险经办机构工作人员违反规定向失业人员开具领取失业保险金或者享受其他失业保险待遇单证，致使失业保险基金损失的，由市、区（县）劳动保障行政部门责令其追回；情节严重的，依法给予行政处分。</w:t>
      </w:r>
    </w:p>
    <w:p w14:paraId="23555024">
      <w:pPr>
        <w:ind w:firstLine="422"/>
      </w:pPr>
      <w:r>
        <w:rPr>
          <w:rFonts w:hint="eastAsia"/>
          <w:b/>
        </w:rPr>
        <w:t>第三十五条</w:t>
      </w:r>
      <w:r>
        <w:rPr>
          <w:rFonts w:hint="eastAsia"/>
        </w:rPr>
        <w:t>　社会保险经办机构的工作人员不履行职责、不按规定向失业人员发放失业保险金的，由市、区（县）劳动保障行政部门对其进行批评，并责令其改正，造成严重后果的，依法给予行政处分。</w:t>
      </w:r>
    </w:p>
    <w:p w14:paraId="7D97D436">
      <w:pPr>
        <w:ind w:firstLine="422"/>
      </w:pPr>
      <w:r>
        <w:rPr>
          <w:rFonts w:hint="eastAsia"/>
          <w:b/>
        </w:rPr>
        <w:t>第三十六条</w:t>
      </w:r>
      <w:r>
        <w:rPr>
          <w:rFonts w:hint="eastAsia"/>
        </w:rPr>
        <w:t>　劳动保障行政部门和社会保险经办机构的工作人员滥用职权、徇私舞弊、玩忽职守，造成失业保险基金损失的，由劳动保障行政部门追回损失的失业保险基金；构成犯罪的，依法追究刑事责任；尚不构成犯罪的，依法给予行政处分。</w:t>
      </w:r>
    </w:p>
    <w:p w14:paraId="642D0AC1">
      <w:pPr>
        <w:ind w:firstLine="422"/>
      </w:pPr>
      <w:r>
        <w:rPr>
          <w:rFonts w:hint="eastAsia"/>
          <w:b/>
        </w:rPr>
        <w:t>第三十七条</w:t>
      </w:r>
      <w:r>
        <w:rPr>
          <w:rFonts w:hint="eastAsia"/>
        </w:rPr>
        <w:t>　任何单位、个人挪用失业保险基金的，追回挪用的失业保险基金；有违法所得的，没收违法所得，并入失业保险基金；构成犯罪的，依法追究刑事责任；尚不构成犯罪的，对直接负责的主管人员和其他直接责任人员依法给予行政处分。</w:t>
      </w:r>
    </w:p>
    <w:p w14:paraId="76218680"/>
    <w:p w14:paraId="76339430">
      <w:pPr>
        <w:ind w:firstLine="0" w:firstLineChars="0"/>
        <w:jc w:val="center"/>
        <w:rPr>
          <w:b/>
          <w:sz w:val="28"/>
        </w:rPr>
      </w:pPr>
      <w:r>
        <w:rPr>
          <w:rFonts w:hint="eastAsia"/>
          <w:b/>
          <w:sz w:val="28"/>
        </w:rPr>
        <w:t>第六章　附　则</w:t>
      </w:r>
    </w:p>
    <w:p w14:paraId="3B4E7176"/>
    <w:p w14:paraId="4C1741CD">
      <w:pPr>
        <w:ind w:firstLine="422"/>
      </w:pPr>
      <w:r>
        <w:rPr>
          <w:rFonts w:hint="eastAsia"/>
          <w:b/>
        </w:rPr>
        <w:t>第三十八条</w:t>
      </w:r>
      <w:r>
        <w:rPr>
          <w:rFonts w:hint="eastAsia"/>
        </w:rPr>
        <w:t>　本市行政区域内的社会团体及其专职人员、民办非企业单位及其职工、有合同制工人的国家机关及其合同制工人、有城镇职工的乡镇企业及其城镇职工、有雇工的城镇个体工商户及其雇工，依照本规定执行。</w:t>
      </w:r>
    </w:p>
    <w:p w14:paraId="42930077">
      <w:pPr>
        <w:ind w:firstLine="422"/>
      </w:pPr>
      <w:r>
        <w:rPr>
          <w:rFonts w:hint="eastAsia"/>
          <w:b/>
        </w:rPr>
        <w:t>第三十九条</w:t>
      </w:r>
      <w:r>
        <w:rPr>
          <w:rFonts w:hint="eastAsia"/>
        </w:rPr>
        <w:t>　本规定执行中的具体问题由市劳动保障行政部门负责解释。</w:t>
      </w:r>
    </w:p>
    <w:p w14:paraId="7AA3CCA2">
      <w:pPr>
        <w:ind w:firstLine="422"/>
        <w:rPr>
          <w:rFonts w:hint="eastAsia" w:ascii="宋体" w:hAnsi="宋体" w:eastAsia="宋体" w:cs="宋体"/>
        </w:rPr>
      </w:pPr>
      <w:r>
        <w:rPr>
          <w:rFonts w:hint="eastAsia"/>
          <w:b/>
        </w:rPr>
        <w:t>第四十条</w:t>
      </w:r>
      <w:r>
        <w:rPr>
          <w:rFonts w:hint="eastAsia"/>
        </w:rPr>
        <w:t>　本规定自</w:t>
      </w:r>
      <w:r>
        <w:rPr>
          <w:rFonts w:hint="eastAsia" w:ascii="宋体" w:hAnsi="宋体" w:eastAsia="宋体" w:cs="宋体"/>
        </w:rPr>
        <w:t>1999年11月1日起施行。1994年6月6日北京市人民政府发布的《北京市企业职工失业保险规定》同时废止。</w:t>
      </w:r>
    </w:p>
    <w:p w14:paraId="12CD0E10">
      <w:pPr>
        <w:pStyle w:val="4"/>
        <w:pageBreakBefore/>
      </w:pPr>
      <w:bookmarkStart w:id="2205" w:name="_Toc428780557"/>
      <w:bookmarkStart w:id="2206" w:name="_Toc428781827"/>
      <w:bookmarkStart w:id="2207" w:name="_Toc426467079"/>
      <w:r>
        <w:rPr>
          <w:rFonts w:hint="eastAsia"/>
        </w:rPr>
        <w:t>北京市养老服务机构管理办法</w:t>
      </w:r>
      <w:bookmarkEnd w:id="2205"/>
      <w:bookmarkEnd w:id="2206"/>
      <w:bookmarkEnd w:id="2207"/>
    </w:p>
    <w:p w14:paraId="7346970E">
      <w:pPr>
        <w:ind w:left="630" w:leftChars="300" w:right="630" w:rightChars="300"/>
        <w:rPr>
          <w:rFonts w:ascii="楷体" w:hAnsi="楷体" w:eastAsia="楷体"/>
        </w:rPr>
      </w:pPr>
      <w:r>
        <w:rPr>
          <w:rFonts w:hint="eastAsia" w:ascii="楷体" w:hAnsi="楷体" w:eastAsia="楷体"/>
        </w:rPr>
        <w:t>（2000年9月19日北京市人民政府第27号常务会议通过　2000年10月13日北京市人民政府第63号令公布）</w:t>
      </w:r>
    </w:p>
    <w:p w14:paraId="3491E6A3"/>
    <w:p w14:paraId="70E22B9F">
      <w:pPr>
        <w:ind w:firstLine="0" w:firstLineChars="0"/>
        <w:jc w:val="center"/>
        <w:rPr>
          <w:b/>
          <w:sz w:val="28"/>
        </w:rPr>
      </w:pPr>
      <w:r>
        <w:rPr>
          <w:rFonts w:hint="eastAsia"/>
          <w:b/>
          <w:sz w:val="28"/>
        </w:rPr>
        <w:t>第一章　总　则</w:t>
      </w:r>
    </w:p>
    <w:p w14:paraId="22C3D215"/>
    <w:p w14:paraId="534CBF98">
      <w:pPr>
        <w:ind w:firstLine="422"/>
      </w:pPr>
      <w:r>
        <w:rPr>
          <w:rFonts w:hint="eastAsia"/>
          <w:b/>
        </w:rPr>
        <w:t>第一条</w:t>
      </w:r>
      <w:r>
        <w:rPr>
          <w:rFonts w:hint="eastAsia"/>
        </w:rPr>
        <w:t xml:space="preserve">  为了加强本市养老服务机构的管理，促进社会福利事业的发展，根据国家有关规定，结合本市实际情况，制定本办法。</w:t>
      </w:r>
    </w:p>
    <w:p w14:paraId="42820B0C">
      <w:pPr>
        <w:ind w:firstLine="422"/>
      </w:pPr>
      <w:r>
        <w:rPr>
          <w:rFonts w:hint="eastAsia"/>
          <w:b/>
        </w:rPr>
        <w:t>第二条</w:t>
      </w:r>
      <w:r>
        <w:rPr>
          <w:rFonts w:hint="eastAsia"/>
        </w:rPr>
        <w:t xml:space="preserve">  本市行政区域内的养老服务机构的设置、服务与监督管理，适用本办法。</w:t>
      </w:r>
    </w:p>
    <w:p w14:paraId="52E958A1">
      <w:r>
        <w:rPr>
          <w:rFonts w:hint="eastAsia"/>
        </w:rPr>
        <w:t>本办法所称养老服务机构，是指为老年人提供养护、康复等综合性服务的机构。</w:t>
      </w:r>
    </w:p>
    <w:p w14:paraId="3F4EA573">
      <w:pPr>
        <w:ind w:firstLine="422"/>
      </w:pPr>
      <w:r>
        <w:rPr>
          <w:rFonts w:hint="eastAsia"/>
          <w:b/>
        </w:rPr>
        <w:t>第三条</w:t>
      </w:r>
      <w:r>
        <w:rPr>
          <w:rFonts w:hint="eastAsia"/>
        </w:rPr>
        <w:t xml:space="preserve">  本市扶持养老服务机构的建设和发展，鼓励企业事业单位、社会团体、其他组织和个人以多种形式兴办养老服务机构。</w:t>
      </w:r>
    </w:p>
    <w:p w14:paraId="69638DE5">
      <w:r>
        <w:rPr>
          <w:rFonts w:hint="eastAsia"/>
        </w:rPr>
        <w:t>养老服务机构在建设用地、城市建设费用征收和公用事业收费等方面享受国家和本市的优惠政策。具体办法由市人民政府另行规定。</w:t>
      </w:r>
    </w:p>
    <w:p w14:paraId="5EE889F0">
      <w:r>
        <w:rPr>
          <w:rFonts w:hint="eastAsia"/>
        </w:rPr>
        <w:t>鼓励社会捐资、捐助支持养老服务机构的发展。</w:t>
      </w:r>
    </w:p>
    <w:p w14:paraId="47663630">
      <w:pPr>
        <w:ind w:firstLine="422"/>
      </w:pPr>
      <w:r>
        <w:rPr>
          <w:rFonts w:hint="eastAsia"/>
          <w:b/>
        </w:rPr>
        <w:t>第四条</w:t>
      </w:r>
      <w:r>
        <w:rPr>
          <w:rFonts w:hint="eastAsia"/>
        </w:rPr>
        <w:t xml:space="preserve">  养老服务机构应当依法保护收养的老年人的合法权益。</w:t>
      </w:r>
    </w:p>
    <w:p w14:paraId="4FEB0D92">
      <w:pPr>
        <w:ind w:firstLine="422"/>
      </w:pPr>
      <w:r>
        <w:rPr>
          <w:rFonts w:hint="eastAsia"/>
          <w:b/>
        </w:rPr>
        <w:t>第五条</w:t>
      </w:r>
      <w:r>
        <w:rPr>
          <w:rFonts w:hint="eastAsia"/>
        </w:rPr>
        <w:t xml:space="preserve">  本市根据社会经济发展和社会化养老服务的需求，制定养老服务机构设置规划，并将其纳入本市国民经济和社会发展计划。</w:t>
      </w:r>
    </w:p>
    <w:p w14:paraId="4E89B607">
      <w:pPr>
        <w:ind w:firstLine="422"/>
      </w:pPr>
      <w:r>
        <w:rPr>
          <w:rFonts w:hint="eastAsia"/>
          <w:b/>
        </w:rPr>
        <w:t>第六条</w:t>
      </w:r>
      <w:r>
        <w:rPr>
          <w:rFonts w:hint="eastAsia"/>
        </w:rPr>
        <w:t xml:space="preserve">  市民政局是本市养老服务事业的行政主管部门，负责对养老服务机构进行管理。区、县民政局负责本行政区域内养老服务机构的日常管理。</w:t>
      </w:r>
    </w:p>
    <w:p w14:paraId="56CB8B3F">
      <w:r>
        <w:rPr>
          <w:rFonts w:hint="eastAsia"/>
        </w:rPr>
        <w:t>规划、计划、财政、税务、工商行政管理、物价等部门，按照各自的职责，做好养老服务机构的管理工作。</w:t>
      </w:r>
    </w:p>
    <w:p w14:paraId="52A4F62D"/>
    <w:p w14:paraId="3CCA8BF5">
      <w:pPr>
        <w:ind w:firstLine="0" w:firstLineChars="0"/>
        <w:jc w:val="center"/>
        <w:rPr>
          <w:b/>
          <w:sz w:val="28"/>
        </w:rPr>
      </w:pPr>
      <w:r>
        <w:rPr>
          <w:rFonts w:hint="eastAsia"/>
          <w:b/>
          <w:sz w:val="28"/>
        </w:rPr>
        <w:t>第二章  机构的设置</w:t>
      </w:r>
    </w:p>
    <w:p w14:paraId="5402999E"/>
    <w:p w14:paraId="60C8D30A">
      <w:pPr>
        <w:ind w:firstLine="422"/>
      </w:pPr>
      <w:r>
        <w:rPr>
          <w:rFonts w:hint="eastAsia"/>
          <w:b/>
        </w:rPr>
        <w:t>第七条</w:t>
      </w:r>
      <w:r>
        <w:rPr>
          <w:rFonts w:hint="eastAsia"/>
        </w:rPr>
        <w:t xml:space="preserve">  设置养老服务机构应当具备以下条件：</w:t>
      </w:r>
    </w:p>
    <w:p w14:paraId="6C110155">
      <w:bookmarkStart w:id="2208" w:name="_Toc428780558"/>
      <w:r>
        <w:rPr>
          <w:rFonts w:hint="eastAsia"/>
        </w:rPr>
        <w:t>（一）申办组织具备法人资格；申办个人具有完全民事行为能力；</w:t>
      </w:r>
      <w:bookmarkEnd w:id="2208"/>
    </w:p>
    <w:p w14:paraId="11A3D0FF">
      <w:r>
        <w:rPr>
          <w:rFonts w:hint="eastAsia"/>
        </w:rPr>
        <w:t>（二）符合养老服务机构的设置规划；</w:t>
      </w:r>
    </w:p>
    <w:p w14:paraId="2FB815D5">
      <w:pPr>
        <w:rPr>
          <w:rFonts w:hint="eastAsia" w:ascii="宋体" w:hAnsi="宋体" w:eastAsia="宋体" w:cs="宋体"/>
        </w:rPr>
      </w:pPr>
      <w:r>
        <w:rPr>
          <w:rFonts w:hint="eastAsia"/>
        </w:rPr>
        <w:t>（三）有符合规定的固定场所和设施；其中床位</w:t>
      </w:r>
      <w:r>
        <w:rPr>
          <w:rFonts w:hint="eastAsia" w:ascii="宋体" w:hAnsi="宋体" w:eastAsia="宋体" w:cs="宋体"/>
        </w:rPr>
        <w:t>不得少于30张，收养的老年人的人均居住面积不得少于5平方米；</w:t>
      </w:r>
    </w:p>
    <w:p w14:paraId="0627A695">
      <w:r>
        <w:rPr>
          <w:rFonts w:hint="eastAsia"/>
        </w:rPr>
        <w:t>（四）有与其规模和服务相适应的资金。</w:t>
      </w:r>
    </w:p>
    <w:p w14:paraId="375A2987">
      <w:pPr>
        <w:ind w:firstLine="422"/>
      </w:pPr>
      <w:r>
        <w:rPr>
          <w:rFonts w:hint="eastAsia"/>
          <w:b/>
        </w:rPr>
        <w:t>第八条</w:t>
      </w:r>
      <w:r>
        <w:rPr>
          <w:rFonts w:hint="eastAsia"/>
        </w:rPr>
        <w:t xml:space="preserve">  申请设置养老服务机构应当向主管部门提交下列材料：</w:t>
      </w:r>
    </w:p>
    <w:p w14:paraId="2C72F6F5">
      <w:r>
        <w:rPr>
          <w:rFonts w:hint="eastAsia"/>
        </w:rPr>
        <w:t>（一）申办者及主要负责人的资格证明文件；</w:t>
      </w:r>
    </w:p>
    <w:p w14:paraId="11DE20CB">
      <w:r>
        <w:rPr>
          <w:rFonts w:hint="eastAsia"/>
        </w:rPr>
        <w:t>（二）拟设养老服务机构的名称；</w:t>
      </w:r>
    </w:p>
    <w:p w14:paraId="1F0444BE">
      <w:r>
        <w:rPr>
          <w:rFonts w:hint="eastAsia"/>
        </w:rPr>
        <w:t>（三）申请书及可行性研究报告；</w:t>
      </w:r>
    </w:p>
    <w:p w14:paraId="17E81864">
      <w:r>
        <w:rPr>
          <w:rFonts w:hint="eastAsia"/>
        </w:rPr>
        <w:t>（四）资金来源证明文件；</w:t>
      </w:r>
    </w:p>
    <w:p w14:paraId="14D72701">
      <w:r>
        <w:rPr>
          <w:rFonts w:hint="eastAsia"/>
        </w:rPr>
        <w:t>（五）固定场所使用或者土地使用证明文件；</w:t>
      </w:r>
    </w:p>
    <w:p w14:paraId="437FE7EE">
      <w:r>
        <w:rPr>
          <w:rFonts w:hint="eastAsia"/>
        </w:rPr>
        <w:t>（六）固定设施平面图或建筑设计平面图；</w:t>
      </w:r>
    </w:p>
    <w:p w14:paraId="49611990">
      <w:r>
        <w:rPr>
          <w:rFonts w:hint="eastAsia"/>
        </w:rPr>
        <w:t>（七）机构章程及管理制度；</w:t>
      </w:r>
    </w:p>
    <w:p w14:paraId="5DEA8DD5">
      <w:r>
        <w:rPr>
          <w:rFonts w:hint="eastAsia"/>
        </w:rPr>
        <w:t>（八）租用设施的相应担保证明。</w:t>
      </w:r>
    </w:p>
    <w:p w14:paraId="7FBEB8F6">
      <w:pPr>
        <w:ind w:firstLine="422"/>
      </w:pPr>
      <w:r>
        <w:rPr>
          <w:rFonts w:hint="eastAsia"/>
          <w:b/>
        </w:rPr>
        <w:t>第九条</w:t>
      </w:r>
      <w:r>
        <w:rPr>
          <w:rFonts w:hint="eastAsia"/>
        </w:rPr>
        <w:t xml:space="preserve">  申请设置养老服务机构，应当向机构所在地区、县民政部门提出申请。</w:t>
      </w:r>
    </w:p>
    <w:p w14:paraId="08B7FA37">
      <w:r>
        <w:rPr>
          <w:rFonts w:hint="eastAsia"/>
        </w:rPr>
        <w:t>香港、澳门、台湾地区的组织和个人、华侨以及国外的组织和个人申请在本市以合资、合作方式设置养老服务机构的，应当向市民政部门提出申请，并报外经贸部门审核。</w:t>
      </w:r>
    </w:p>
    <w:p w14:paraId="7A8B9EE1">
      <w:pPr>
        <w:ind w:firstLine="422"/>
      </w:pPr>
      <w:r>
        <w:rPr>
          <w:rFonts w:hint="eastAsia"/>
          <w:b/>
        </w:rPr>
        <w:t>第十条</w:t>
      </w:r>
      <w:r>
        <w:rPr>
          <w:rFonts w:hint="eastAsia"/>
        </w:rPr>
        <w:t xml:space="preserve">  民政部门应当在接到申请之</w:t>
      </w:r>
      <w:r>
        <w:rPr>
          <w:rFonts w:hint="eastAsia" w:ascii="宋体" w:hAnsi="宋体" w:eastAsia="宋体" w:cs="宋体"/>
        </w:rPr>
        <w:t>日起10个工作日</w:t>
      </w:r>
      <w:r>
        <w:rPr>
          <w:rFonts w:hint="eastAsia"/>
        </w:rPr>
        <w:t>内作出审批决定。对符合条件的，发给《北京市养老服务机构设置批准书》；对不符合条件的，书面通知申办者。</w:t>
      </w:r>
    </w:p>
    <w:p w14:paraId="36A043E2">
      <w:pPr>
        <w:ind w:firstLine="422"/>
      </w:pPr>
      <w:r>
        <w:rPr>
          <w:rFonts w:hint="eastAsia"/>
          <w:b/>
        </w:rPr>
        <w:t>第十一条</w:t>
      </w:r>
      <w:r>
        <w:rPr>
          <w:rFonts w:hint="eastAsia"/>
        </w:rPr>
        <w:t xml:space="preserve">  养老服务机构在开业前应当向核发《北京市养老服务机构设置批准书》的民政部门提出验收申请，使用新、改、扩建的服务设施的，还应当提供工程验收报告和消防、卫生、环保等部门的验收文件。</w:t>
      </w:r>
    </w:p>
    <w:p w14:paraId="2BE9640F">
      <w:pPr>
        <w:ind w:firstLine="422"/>
      </w:pPr>
      <w:r>
        <w:rPr>
          <w:rFonts w:hint="eastAsia"/>
          <w:b/>
        </w:rPr>
        <w:t>第十二条</w:t>
      </w:r>
      <w:r>
        <w:rPr>
          <w:rFonts w:hint="eastAsia"/>
        </w:rPr>
        <w:t xml:space="preserve">  民政部门应当在收到验收申请之日</w:t>
      </w:r>
      <w:r>
        <w:rPr>
          <w:rFonts w:hint="eastAsia" w:ascii="宋体" w:hAnsi="宋体" w:eastAsia="宋体" w:cs="宋体"/>
        </w:rPr>
        <w:t>起10个</w:t>
      </w:r>
      <w:r>
        <w:rPr>
          <w:rFonts w:hint="eastAsia"/>
        </w:rPr>
        <w:t>工作日内对养老服务机构进行验收，对符合条件的，发给《北京市养老服务机构执业许可证》；对不符合条件的，应当提出改进意见并书面通知申请者。</w:t>
      </w:r>
    </w:p>
    <w:p w14:paraId="65D55D87">
      <w:r>
        <w:rPr>
          <w:rFonts w:hint="eastAsia"/>
        </w:rPr>
        <w:t>未取得《北京市养老服务机构执业许可证》的，不得开展服务活动。</w:t>
      </w:r>
    </w:p>
    <w:p w14:paraId="04FA14A6">
      <w:r>
        <w:rPr>
          <w:rFonts w:hint="eastAsia"/>
        </w:rPr>
        <w:t>养老服务机构在取得《北京市养老服务机构执业许可证》后，应当按照有关规定到相关部门办理注册登记手续。</w:t>
      </w:r>
    </w:p>
    <w:p w14:paraId="76D78843">
      <w:r>
        <w:rPr>
          <w:rFonts w:hint="eastAsia"/>
        </w:rPr>
        <w:t>《北京市养老服务机构执业许可证》由市民政部门统一印制，不得伪造、涂改、出借或者转让。</w:t>
      </w:r>
    </w:p>
    <w:p w14:paraId="41E68AE1">
      <w:pPr>
        <w:ind w:firstLine="422"/>
      </w:pPr>
      <w:r>
        <w:rPr>
          <w:rFonts w:hint="eastAsia"/>
          <w:b/>
        </w:rPr>
        <w:t>第十三条</w:t>
      </w:r>
      <w:r>
        <w:rPr>
          <w:rFonts w:hint="eastAsia"/>
        </w:rPr>
        <w:t xml:space="preserve">  养老服务机构变更名称或者法定代表人，应当报原设置审批部门备案，并到注册登记机关办理相关手续。</w:t>
      </w:r>
    </w:p>
    <w:p w14:paraId="53947E6D">
      <w:pPr>
        <w:ind w:firstLine="422"/>
      </w:pPr>
      <w:r>
        <w:rPr>
          <w:rFonts w:hint="eastAsia"/>
          <w:b/>
        </w:rPr>
        <w:t>第十四条</w:t>
      </w:r>
      <w:r>
        <w:rPr>
          <w:rFonts w:hint="eastAsia"/>
        </w:rPr>
        <w:t xml:space="preserve">  养老服务机构解散，应当提</w:t>
      </w:r>
      <w:r>
        <w:rPr>
          <w:rFonts w:hint="eastAsia" w:ascii="宋体" w:hAnsi="宋体" w:eastAsia="宋体" w:cs="宋体"/>
        </w:rPr>
        <w:t>前3个月向</w:t>
      </w:r>
      <w:r>
        <w:rPr>
          <w:rFonts w:hint="eastAsia"/>
        </w:rPr>
        <w:t>设置审批部门提出申请，妥善安置收养的老年人，依法进行财产清算，并交回执业证书。</w:t>
      </w:r>
    </w:p>
    <w:p w14:paraId="689C3748"/>
    <w:p w14:paraId="2C749689">
      <w:pPr>
        <w:ind w:firstLine="0" w:firstLineChars="0"/>
        <w:jc w:val="center"/>
        <w:rPr>
          <w:b/>
          <w:sz w:val="28"/>
        </w:rPr>
      </w:pPr>
      <w:r>
        <w:rPr>
          <w:rFonts w:hint="eastAsia"/>
          <w:b/>
          <w:sz w:val="28"/>
        </w:rPr>
        <w:t>第三章  服务与监督管理</w:t>
      </w:r>
    </w:p>
    <w:p w14:paraId="7F61E5A4"/>
    <w:p w14:paraId="3F6F16D7">
      <w:pPr>
        <w:ind w:firstLine="422"/>
      </w:pPr>
      <w:r>
        <w:rPr>
          <w:rFonts w:hint="eastAsia"/>
          <w:b/>
        </w:rPr>
        <w:t>第十五条</w:t>
      </w:r>
      <w:r>
        <w:rPr>
          <w:rFonts w:hint="eastAsia"/>
        </w:rPr>
        <w:t xml:space="preserve">  养老服务机构应当按照本市规定的服务标准，为收养的老年人提供生活、教育、护理和康复等服务。</w:t>
      </w:r>
    </w:p>
    <w:p w14:paraId="57BCDB97">
      <w:r>
        <w:rPr>
          <w:rFonts w:hint="eastAsia"/>
        </w:rPr>
        <w:t>本市养老服务机构的服务标准由市民政局拟定，报市质量技术监督局批准，并向社会公布。</w:t>
      </w:r>
    </w:p>
    <w:p w14:paraId="5D03C0B9">
      <w:pPr>
        <w:ind w:firstLine="422"/>
      </w:pPr>
      <w:r>
        <w:rPr>
          <w:rFonts w:hint="eastAsia"/>
          <w:b/>
        </w:rPr>
        <w:t>第十六条</w:t>
      </w:r>
      <w:r>
        <w:rPr>
          <w:rFonts w:hint="eastAsia"/>
        </w:rPr>
        <w:t xml:space="preserve">  养老服务机构应当与收养的老年人及其近亲属或者送养单位（以下统称送养人）签订收养服务合同。收养服务合同应当载明下列主要内容：</w:t>
      </w:r>
    </w:p>
    <w:p w14:paraId="0E4ED637">
      <w:r>
        <w:rPr>
          <w:rFonts w:hint="eastAsia"/>
        </w:rPr>
        <w:t>（一）送养人、养老服务机构以及收养的老年人的姓名（名称）和地址；</w:t>
      </w:r>
    </w:p>
    <w:p w14:paraId="1B3A0322">
      <w:r>
        <w:rPr>
          <w:rFonts w:hint="eastAsia"/>
        </w:rPr>
        <w:t>（二）服务内容和方式；</w:t>
      </w:r>
    </w:p>
    <w:p w14:paraId="15FBCDCF">
      <w:r>
        <w:rPr>
          <w:rFonts w:hint="eastAsia"/>
        </w:rPr>
        <w:t>（三）服务收费标准及费用支付方式；</w:t>
      </w:r>
    </w:p>
    <w:p w14:paraId="79299664">
      <w:r>
        <w:rPr>
          <w:rFonts w:hint="eastAsia"/>
        </w:rPr>
        <w:t>（四）服务期限和地点；</w:t>
      </w:r>
    </w:p>
    <w:p w14:paraId="045A74ED">
      <w:r>
        <w:rPr>
          <w:rFonts w:hint="eastAsia"/>
        </w:rPr>
        <w:t>（五）送养人、养老服务机构以及被养护人的权利和义务；</w:t>
      </w:r>
    </w:p>
    <w:p w14:paraId="29731C11">
      <w:r>
        <w:rPr>
          <w:rFonts w:hint="eastAsia"/>
        </w:rPr>
        <w:t>（六）合同变更、解除与终止的条件；</w:t>
      </w:r>
    </w:p>
    <w:p w14:paraId="21D5016F">
      <w:r>
        <w:rPr>
          <w:rFonts w:hint="eastAsia"/>
        </w:rPr>
        <w:t>（七）违约责任；</w:t>
      </w:r>
    </w:p>
    <w:p w14:paraId="095BB6BB">
      <w:r>
        <w:rPr>
          <w:rFonts w:hint="eastAsia"/>
        </w:rPr>
        <w:t>（八）当事人双方约定的其他事项。</w:t>
      </w:r>
    </w:p>
    <w:p w14:paraId="03CC26F9">
      <w:pPr>
        <w:ind w:firstLine="422"/>
      </w:pPr>
      <w:r>
        <w:rPr>
          <w:rFonts w:hint="eastAsia"/>
          <w:b/>
        </w:rPr>
        <w:t>第十七条</w:t>
      </w:r>
      <w:r>
        <w:rPr>
          <w:rFonts w:hint="eastAsia"/>
        </w:rPr>
        <w:t xml:space="preserve">  养老服务机构收养老年人应当要求其提供有效的身份证明和体检证明，不得接收传染病人和精神病患者。</w:t>
      </w:r>
    </w:p>
    <w:p w14:paraId="16127553">
      <w:r>
        <w:rPr>
          <w:rFonts w:hint="eastAsia"/>
        </w:rPr>
        <w:t>养老服务机构应当为收养的老年人建立健康档案，与社区医疗机构建立联系，定期为老年人检查身体，做好疾病预防工作。发现患传染病的老年人，养老服务机构应当及时向卫生防疫部门报告，并通知其送养人。</w:t>
      </w:r>
    </w:p>
    <w:p w14:paraId="755B37C9">
      <w:r>
        <w:rPr>
          <w:rFonts w:hint="eastAsia"/>
        </w:rPr>
        <w:t>养老服务机构应当开展适合老年人特点的康复活动。</w:t>
      </w:r>
    </w:p>
    <w:p w14:paraId="79866042">
      <w:pPr>
        <w:ind w:firstLine="422"/>
      </w:pPr>
      <w:r>
        <w:rPr>
          <w:rFonts w:hint="eastAsia"/>
          <w:b/>
        </w:rPr>
        <w:t>第十八条</w:t>
      </w:r>
      <w:r>
        <w:rPr>
          <w:rFonts w:hint="eastAsia"/>
        </w:rPr>
        <w:t xml:space="preserve">  养老服务机构应当配备相应的护理服务人员，根据收养的老年人的生活自理能力和护理等级规范，开展护理服务。</w:t>
      </w:r>
    </w:p>
    <w:p w14:paraId="45F5102F">
      <w:r>
        <w:rPr>
          <w:rFonts w:hint="eastAsia"/>
        </w:rPr>
        <w:t>养老服务机构应当编制老年人营养平衡的食谱，合理配置适宜老年人食用的膳食。老年人的膳食制作和用餐应当与工作人员分开。</w:t>
      </w:r>
    </w:p>
    <w:p w14:paraId="0B0ABCE9">
      <w:pPr>
        <w:ind w:firstLine="422"/>
      </w:pPr>
      <w:r>
        <w:rPr>
          <w:rFonts w:hint="eastAsia"/>
          <w:b/>
        </w:rPr>
        <w:t>第十九条</w:t>
      </w:r>
      <w:r>
        <w:rPr>
          <w:rFonts w:hint="eastAsia"/>
        </w:rPr>
        <w:t xml:space="preserve">  养老服务机构应当建立卫生消毒制度，定期给老年人使用的餐具消毒，定期清洗老年人的被褥和衣服。</w:t>
      </w:r>
    </w:p>
    <w:p w14:paraId="4DB74F6D">
      <w:pPr>
        <w:ind w:firstLine="422"/>
      </w:pPr>
      <w:r>
        <w:rPr>
          <w:rFonts w:hint="eastAsia"/>
          <w:b/>
        </w:rPr>
        <w:t>第二十条</w:t>
      </w:r>
      <w:r>
        <w:rPr>
          <w:rFonts w:hint="eastAsia"/>
        </w:rPr>
        <w:t xml:space="preserve">  养老服务机构应当配置符合老年人特点的文化体育活动设施，组织有益于老年人身心健康的文化体育活动。</w:t>
      </w:r>
    </w:p>
    <w:p w14:paraId="63E56D2E">
      <w:pPr>
        <w:ind w:firstLine="422"/>
      </w:pPr>
      <w:r>
        <w:rPr>
          <w:rFonts w:hint="eastAsia"/>
          <w:b/>
        </w:rPr>
        <w:t>第二十一条</w:t>
      </w:r>
      <w:r>
        <w:rPr>
          <w:rFonts w:hint="eastAsia"/>
        </w:rPr>
        <w:t xml:space="preserve">  养老服务机构应当建立夜间值班制度，做好老年人夜间监护工作。</w:t>
      </w:r>
    </w:p>
    <w:p w14:paraId="2F295AAB">
      <w:pPr>
        <w:ind w:firstLine="422"/>
      </w:pPr>
      <w:r>
        <w:rPr>
          <w:rFonts w:hint="eastAsia"/>
          <w:b/>
        </w:rPr>
        <w:t>第二十二条</w:t>
      </w:r>
      <w:r>
        <w:rPr>
          <w:rFonts w:hint="eastAsia"/>
        </w:rPr>
        <w:t xml:space="preserve">  养老服务机构的专业技术人员，应当持有关部门颁发的专业技术等级证书上岗，非技术人员应当经过相应的培训，经考核合格后方可上岗。</w:t>
      </w:r>
    </w:p>
    <w:p w14:paraId="2CEC8757">
      <w:pPr>
        <w:ind w:firstLine="422"/>
      </w:pPr>
      <w:r>
        <w:rPr>
          <w:rFonts w:hint="eastAsia"/>
          <w:b/>
        </w:rPr>
        <w:t>第二十三条</w:t>
      </w:r>
      <w:r>
        <w:rPr>
          <w:rFonts w:hint="eastAsia"/>
        </w:rPr>
        <w:t xml:space="preserve">  养老服务机构应当公示各类服务项目的收费标准。</w:t>
      </w:r>
    </w:p>
    <w:p w14:paraId="5A7F9DF6">
      <w:r>
        <w:rPr>
          <w:rFonts w:hint="eastAsia"/>
        </w:rPr>
        <w:t>养老服务机构的收费标准，由市民政部门会同财政、物价部门按照养老服务机构的不同类别制定。</w:t>
      </w:r>
    </w:p>
    <w:p w14:paraId="79C9D705">
      <w:pPr>
        <w:ind w:firstLine="422"/>
      </w:pPr>
      <w:r>
        <w:rPr>
          <w:rFonts w:hint="eastAsia"/>
          <w:b/>
        </w:rPr>
        <w:t>第二十四条</w:t>
      </w:r>
      <w:r>
        <w:rPr>
          <w:rFonts w:hint="eastAsia"/>
        </w:rPr>
        <w:t xml:space="preserve">  养老服务机构应当建立财务、会计制度，定期制作财务会计报告，接受审计监督。</w:t>
      </w:r>
    </w:p>
    <w:p w14:paraId="770C6828">
      <w:pPr>
        <w:ind w:firstLine="422"/>
      </w:pPr>
      <w:r>
        <w:rPr>
          <w:rFonts w:hint="eastAsia"/>
          <w:b/>
        </w:rPr>
        <w:t>第二十五条</w:t>
      </w:r>
      <w:r>
        <w:rPr>
          <w:rFonts w:hint="eastAsia"/>
        </w:rPr>
        <w:t xml:space="preserve">  养老服务机构不得以该机构的房屋、土地、设备等作其他用途的抵押。</w:t>
      </w:r>
    </w:p>
    <w:p w14:paraId="52C2B29F">
      <w:pPr>
        <w:ind w:firstLine="422"/>
      </w:pPr>
      <w:r>
        <w:rPr>
          <w:rFonts w:hint="eastAsia"/>
          <w:b/>
        </w:rPr>
        <w:t>第二十六条</w:t>
      </w:r>
      <w:r>
        <w:rPr>
          <w:rFonts w:hint="eastAsia"/>
        </w:rPr>
        <w:t xml:space="preserve">  养老服务机构不得改变其主要场地和设施的用途。改变用途的，不再享受相关的优惠政策，由有关部门追缴已减免的相关费用。</w:t>
      </w:r>
    </w:p>
    <w:p w14:paraId="76A88F65">
      <w:pPr>
        <w:ind w:firstLine="422"/>
      </w:pPr>
      <w:r>
        <w:rPr>
          <w:rFonts w:hint="eastAsia"/>
          <w:b/>
        </w:rPr>
        <w:t>第二十七条</w:t>
      </w:r>
      <w:r>
        <w:rPr>
          <w:rFonts w:hint="eastAsia"/>
        </w:rPr>
        <w:t xml:space="preserve">  养老服务机构应当对老年人膳食经费建立专门</w:t>
      </w:r>
      <w:r>
        <w:rPr>
          <w:rFonts w:hint="eastAsia"/>
          <w:lang w:eastAsia="zh-CN"/>
        </w:rPr>
        <w:t>账户</w:t>
      </w:r>
      <w:r>
        <w:rPr>
          <w:rFonts w:hint="eastAsia"/>
        </w:rPr>
        <w:t>，并定期向老年人及其家属公开</w:t>
      </w:r>
      <w:r>
        <w:rPr>
          <w:rFonts w:hint="eastAsia"/>
          <w:lang w:eastAsia="zh-CN"/>
        </w:rPr>
        <w:t>账目</w:t>
      </w:r>
      <w:r>
        <w:rPr>
          <w:rFonts w:hint="eastAsia"/>
        </w:rPr>
        <w:t>。</w:t>
      </w:r>
    </w:p>
    <w:p w14:paraId="629999A3">
      <w:pPr>
        <w:ind w:firstLine="422"/>
      </w:pPr>
      <w:r>
        <w:rPr>
          <w:rFonts w:hint="eastAsia"/>
          <w:b/>
        </w:rPr>
        <w:t>第二十八条</w:t>
      </w:r>
      <w:r>
        <w:rPr>
          <w:rFonts w:hint="eastAsia"/>
        </w:rPr>
        <w:t xml:space="preserve">  市和区、县民政部门应当对养老服务机构的服务范围、服务质量以及服务费用的收支情况等进行监督和检查，并定期通报监督检查结果。</w:t>
      </w:r>
    </w:p>
    <w:p w14:paraId="2E1EC370">
      <w:pPr>
        <w:ind w:firstLine="422"/>
      </w:pPr>
      <w:r>
        <w:rPr>
          <w:rFonts w:hint="eastAsia"/>
          <w:b/>
        </w:rPr>
        <w:t>第二十九条</w:t>
      </w:r>
      <w:r>
        <w:rPr>
          <w:rFonts w:hint="eastAsia"/>
        </w:rPr>
        <w:t xml:space="preserve">  本市对养老服务机构实行年检制度。养老服务机构应当在市和区、县民政部门规定的期限内，向市或者区、县民政部门办理年检手续。</w:t>
      </w:r>
    </w:p>
    <w:p w14:paraId="7C5BC79C">
      <w:r>
        <w:rPr>
          <w:rFonts w:hint="eastAsia"/>
        </w:rPr>
        <w:t>养老服务机构年检不符合条件或者逾期不办理年检手续的，不得继续开展服务活动，由民政部门收回其执业证书。</w:t>
      </w:r>
    </w:p>
    <w:p w14:paraId="40EC9559"/>
    <w:p w14:paraId="596A8576">
      <w:pPr>
        <w:ind w:firstLine="0" w:firstLineChars="0"/>
        <w:jc w:val="center"/>
        <w:rPr>
          <w:b/>
          <w:sz w:val="28"/>
        </w:rPr>
      </w:pPr>
      <w:r>
        <w:rPr>
          <w:rFonts w:hint="eastAsia"/>
          <w:b/>
          <w:sz w:val="28"/>
        </w:rPr>
        <w:t>第四章  法律责任</w:t>
      </w:r>
    </w:p>
    <w:p w14:paraId="0AA24AE5">
      <w:pPr>
        <w:ind w:firstLine="0" w:firstLineChars="0"/>
        <w:jc w:val="center"/>
        <w:rPr>
          <w:b/>
          <w:sz w:val="28"/>
        </w:rPr>
      </w:pPr>
    </w:p>
    <w:p w14:paraId="65A54457">
      <w:pPr>
        <w:ind w:firstLine="422"/>
      </w:pPr>
      <w:r>
        <w:rPr>
          <w:rFonts w:hint="eastAsia"/>
          <w:b/>
        </w:rPr>
        <w:t>第三十条</w:t>
      </w:r>
      <w:r>
        <w:rPr>
          <w:rFonts w:hint="eastAsia"/>
        </w:rPr>
        <w:t xml:space="preserve">  对未取得养老服务机构执业证书擅自开展养护服务的，由市或者区、县民政部门予以取缔，处</w:t>
      </w:r>
      <w:r>
        <w:rPr>
          <w:rFonts w:hint="eastAsia" w:ascii="宋体" w:hAnsi="宋体" w:eastAsia="宋体" w:cs="宋体"/>
        </w:rPr>
        <w:t>以1000元以上3万元以下的罚</w:t>
      </w:r>
      <w:r>
        <w:rPr>
          <w:rFonts w:hint="eastAsia"/>
        </w:rPr>
        <w:t>款，并责令其做好善后工作。</w:t>
      </w:r>
    </w:p>
    <w:p w14:paraId="1E0D1076">
      <w:pPr>
        <w:ind w:firstLine="422"/>
        <w:rPr>
          <w:rFonts w:hint="eastAsia" w:ascii="宋体" w:hAnsi="宋体" w:eastAsia="宋体" w:cs="宋体"/>
        </w:rPr>
      </w:pPr>
      <w:r>
        <w:rPr>
          <w:rFonts w:hint="eastAsia"/>
          <w:b/>
        </w:rPr>
        <w:t>第三十一条</w:t>
      </w:r>
      <w:r>
        <w:rPr>
          <w:rFonts w:hint="eastAsia"/>
        </w:rPr>
        <w:t xml:space="preserve">  对违反本办法规定，有下列行为之一的，由市或者区、县民政部门责令限期改正；逾期不改的，可处以</w:t>
      </w:r>
      <w:r>
        <w:rPr>
          <w:rFonts w:hint="eastAsia" w:ascii="宋体" w:hAnsi="宋体" w:eastAsia="宋体" w:cs="宋体"/>
        </w:rPr>
        <w:t>1000元以上3万元以下的罚款：</w:t>
      </w:r>
    </w:p>
    <w:p w14:paraId="116DAF53">
      <w:r>
        <w:rPr>
          <w:rFonts w:hint="eastAsia"/>
        </w:rPr>
        <w:t>（一）养老服务机构未向设置审批部门提出申请擅自解散的。</w:t>
      </w:r>
    </w:p>
    <w:p w14:paraId="0CE27311">
      <w:r>
        <w:rPr>
          <w:rFonts w:hint="eastAsia"/>
        </w:rPr>
        <w:t>（二）养老服务机构以该机构的房屋、土地、设备等作其他用途的抵押的。</w:t>
      </w:r>
    </w:p>
    <w:p w14:paraId="258F36BD">
      <w:r>
        <w:rPr>
          <w:rFonts w:hint="eastAsia"/>
        </w:rPr>
        <w:t>（三）养老服务机构改变其主要场地和设施用途的。</w:t>
      </w:r>
    </w:p>
    <w:p w14:paraId="200936E9">
      <w:pPr>
        <w:ind w:firstLine="422"/>
        <w:rPr>
          <w:rFonts w:hint="eastAsia" w:ascii="宋体" w:hAnsi="宋体" w:eastAsia="宋体" w:cs="宋体"/>
        </w:rPr>
      </w:pPr>
      <w:r>
        <w:rPr>
          <w:rFonts w:hint="eastAsia"/>
          <w:b/>
        </w:rPr>
        <w:t>第三十二条</w:t>
      </w:r>
      <w:r>
        <w:rPr>
          <w:rFonts w:hint="eastAsia"/>
        </w:rPr>
        <w:t xml:space="preserve">  对违反本办法规定，有下列行为之一的，由市或者区、县民政部门责令限期改正，可处以</w:t>
      </w:r>
      <w:r>
        <w:rPr>
          <w:rFonts w:hint="eastAsia" w:ascii="宋体" w:hAnsi="宋体" w:eastAsia="宋体" w:cs="宋体"/>
        </w:rPr>
        <w:t>500元以上1000元以下的罚款：</w:t>
      </w:r>
    </w:p>
    <w:p w14:paraId="3F491715">
      <w:pPr>
        <w:rPr>
          <w:rFonts w:hint="eastAsia" w:ascii="宋体" w:hAnsi="宋体" w:eastAsia="宋体" w:cs="宋体"/>
        </w:rPr>
      </w:pPr>
      <w:r>
        <w:rPr>
          <w:rFonts w:hint="eastAsia" w:ascii="宋体" w:hAnsi="宋体" w:eastAsia="宋体" w:cs="宋体"/>
        </w:rPr>
        <w:t>（一）养老服务机构变更名称或者法定代表人未按规定办理备案手续的。</w:t>
      </w:r>
    </w:p>
    <w:p w14:paraId="6ED8FAD1">
      <w:r>
        <w:rPr>
          <w:rFonts w:hint="eastAsia" w:ascii="宋体" w:hAnsi="宋体" w:eastAsia="宋体" w:cs="宋体"/>
        </w:rPr>
        <w:t>（二）涂改、出借或者转让《北京市养老服务机构执业许可证》的。</w:t>
      </w:r>
    </w:p>
    <w:p w14:paraId="5D33AC82">
      <w:pPr>
        <w:ind w:firstLine="422"/>
      </w:pPr>
      <w:r>
        <w:rPr>
          <w:rFonts w:hint="eastAsia"/>
          <w:b/>
        </w:rPr>
        <w:t>第三十三条</w:t>
      </w:r>
      <w:r>
        <w:rPr>
          <w:rFonts w:hint="eastAsia"/>
        </w:rPr>
        <w:t xml:space="preserve">  养老服务机构未执行本办法规定的服务规范、不符合本市规定的服务标准的，由市或者区、县民政部门予以警告，责令限期改正，并可处</w:t>
      </w:r>
      <w:r>
        <w:rPr>
          <w:rFonts w:hint="eastAsia" w:ascii="宋体" w:hAnsi="宋体" w:eastAsia="宋体" w:cs="宋体"/>
        </w:rPr>
        <w:t>以1000元以上1万元以下</w:t>
      </w:r>
      <w:r>
        <w:rPr>
          <w:rFonts w:hint="eastAsia"/>
        </w:rPr>
        <w:t>的罚款。</w:t>
      </w:r>
    </w:p>
    <w:p w14:paraId="1704B4DB">
      <w:pPr>
        <w:ind w:firstLine="422"/>
      </w:pPr>
      <w:r>
        <w:rPr>
          <w:rFonts w:hint="eastAsia"/>
          <w:b/>
        </w:rPr>
        <w:t>第三十四条</w:t>
      </w:r>
      <w:r>
        <w:rPr>
          <w:rFonts w:hint="eastAsia"/>
        </w:rPr>
        <w:t xml:space="preserve">  对违反本办法规定，属于违反其他法律、法规行为的，由有关部门按照相关法律、法规予以处理。</w:t>
      </w:r>
    </w:p>
    <w:p w14:paraId="75F3491C">
      <w:pPr>
        <w:ind w:firstLine="422"/>
      </w:pPr>
      <w:r>
        <w:rPr>
          <w:rFonts w:hint="eastAsia"/>
          <w:b/>
        </w:rPr>
        <w:t>第三十五条</w:t>
      </w:r>
      <w:r>
        <w:rPr>
          <w:rFonts w:hint="eastAsia"/>
        </w:rPr>
        <w:t xml:space="preserve">  养老服务机构违反收养服务合同、侵害收养的老年人的合法权益的，被侵害人及其家属可以依法向人民法院提起民事诉讼。</w:t>
      </w:r>
    </w:p>
    <w:p w14:paraId="5E8E39F5">
      <w:pPr>
        <w:ind w:firstLine="422"/>
      </w:pPr>
      <w:r>
        <w:rPr>
          <w:rFonts w:hint="eastAsia"/>
          <w:b/>
        </w:rPr>
        <w:t>第三十六条</w:t>
      </w:r>
      <w:r>
        <w:rPr>
          <w:rFonts w:hint="eastAsia"/>
        </w:rPr>
        <w:t xml:space="preserve">  市和区、县民政部门工作人员玩忽职守、滥用职权、徇私舞弊的，由其所在单位给予行政处分；构成犯罪的，依法追究刑事责任。</w:t>
      </w:r>
    </w:p>
    <w:p w14:paraId="38A435A0"/>
    <w:p w14:paraId="3F66EB00">
      <w:pPr>
        <w:ind w:firstLine="0" w:firstLineChars="0"/>
        <w:jc w:val="center"/>
        <w:rPr>
          <w:b/>
          <w:sz w:val="28"/>
        </w:rPr>
      </w:pPr>
      <w:r>
        <w:rPr>
          <w:rFonts w:hint="eastAsia"/>
          <w:b/>
          <w:sz w:val="28"/>
        </w:rPr>
        <w:t>第五章  附　则</w:t>
      </w:r>
    </w:p>
    <w:p w14:paraId="6861CD47"/>
    <w:p w14:paraId="1088AB83">
      <w:pPr>
        <w:ind w:firstLine="422"/>
      </w:pPr>
      <w:r>
        <w:rPr>
          <w:rFonts w:hint="eastAsia"/>
          <w:b/>
        </w:rPr>
        <w:t>第三十七条</w:t>
      </w:r>
      <w:r>
        <w:rPr>
          <w:rFonts w:hint="eastAsia"/>
        </w:rPr>
        <w:t xml:space="preserve">  现已执业的养老服务机构，应当</w:t>
      </w:r>
      <w:r>
        <w:rPr>
          <w:rFonts w:hint="eastAsia" w:ascii="宋体" w:hAnsi="宋体" w:eastAsia="宋体" w:cs="宋体"/>
        </w:rPr>
        <w:t>在本办法施行之日起6个月</w:t>
      </w:r>
      <w:r>
        <w:rPr>
          <w:rFonts w:hint="eastAsia"/>
        </w:rPr>
        <w:t>内，到民政部门补办执业许可证。对不符合条件的，民政部门应当责令其限期整改。</w:t>
      </w:r>
    </w:p>
    <w:p w14:paraId="28751AD3">
      <w:pPr>
        <w:ind w:firstLine="422"/>
      </w:pPr>
      <w:r>
        <w:rPr>
          <w:rFonts w:hint="eastAsia"/>
          <w:b/>
        </w:rPr>
        <w:t>第三十八条</w:t>
      </w:r>
      <w:r>
        <w:rPr>
          <w:rFonts w:hint="eastAsia"/>
        </w:rPr>
        <w:t xml:space="preserve">  本办法自</w:t>
      </w:r>
      <w:r>
        <w:rPr>
          <w:rFonts w:hint="eastAsia" w:ascii="宋体" w:hAnsi="宋体" w:eastAsia="宋体" w:cs="宋体"/>
        </w:rPr>
        <w:t>2001年1月1日起施</w:t>
      </w:r>
      <w:r>
        <w:rPr>
          <w:rFonts w:hint="eastAsia"/>
        </w:rPr>
        <w:t>行。</w:t>
      </w:r>
    </w:p>
    <w:p w14:paraId="116D60E2">
      <w:pPr>
        <w:pStyle w:val="4"/>
        <w:pageBreakBefore/>
      </w:pPr>
      <w:bookmarkStart w:id="2209" w:name="_Toc428780559"/>
      <w:bookmarkStart w:id="2210" w:name="_Toc428781828"/>
      <w:bookmarkStart w:id="2211" w:name="_Toc426467080"/>
      <w:r>
        <w:rPr>
          <w:rFonts w:hint="eastAsia"/>
        </w:rPr>
        <w:t>北京市基本医疗保险规定</w:t>
      </w:r>
      <w:bookmarkEnd w:id="2209"/>
      <w:bookmarkEnd w:id="2210"/>
      <w:bookmarkEnd w:id="2211"/>
    </w:p>
    <w:p w14:paraId="33A2A1B6">
      <w:pPr>
        <w:ind w:left="630" w:leftChars="300" w:right="630" w:rightChars="300"/>
        <w:rPr>
          <w:rFonts w:ascii="楷体" w:hAnsi="楷体" w:eastAsia="楷体"/>
        </w:rPr>
      </w:pPr>
      <w:r>
        <w:rPr>
          <w:rFonts w:hint="eastAsia" w:ascii="楷体" w:hAnsi="楷体" w:eastAsia="楷体"/>
        </w:rPr>
        <w:t>（2001年2月20日北京市人民政府第68号令公布　根据2003年12月1日北京市人民政府第141号令第一次修改　根据2005年6月6日北京市人民政府第158号令第二次修改）</w:t>
      </w:r>
    </w:p>
    <w:p w14:paraId="20E6AD2E"/>
    <w:p w14:paraId="5101B065">
      <w:pPr>
        <w:ind w:firstLine="0" w:firstLineChars="0"/>
        <w:jc w:val="center"/>
        <w:rPr>
          <w:b/>
          <w:sz w:val="28"/>
        </w:rPr>
      </w:pPr>
      <w:r>
        <w:rPr>
          <w:rFonts w:hint="eastAsia"/>
          <w:b/>
          <w:sz w:val="28"/>
        </w:rPr>
        <w:t>第一章　总　则</w:t>
      </w:r>
    </w:p>
    <w:p w14:paraId="4B621BBE"/>
    <w:p w14:paraId="15D71ECA">
      <w:pPr>
        <w:ind w:firstLine="422"/>
      </w:pPr>
      <w:r>
        <w:rPr>
          <w:rFonts w:hint="eastAsia"/>
          <w:b/>
        </w:rPr>
        <w:t>第一条</w:t>
      </w:r>
      <w:r>
        <w:rPr>
          <w:rFonts w:hint="eastAsia"/>
        </w:rPr>
        <w:t xml:space="preserve">  为了保障职工和退休人员患病时得到基本医疗，享受医疗保险待遇，根据国家有关规定，结合本市实际情况，制定本规定。</w:t>
      </w:r>
    </w:p>
    <w:p w14:paraId="2747A826">
      <w:pPr>
        <w:ind w:firstLine="422"/>
      </w:pPr>
      <w:r>
        <w:rPr>
          <w:rFonts w:hint="eastAsia"/>
          <w:b/>
        </w:rPr>
        <w:t>第二条</w:t>
      </w:r>
      <w:r>
        <w:rPr>
          <w:rFonts w:hint="eastAsia"/>
        </w:rPr>
        <w:t xml:space="preserve">  本市行政区域内的城镇所有用人单位，包括企业、机关、事业单位、社会团体、民办非企业单位（以下简称用人单位）及其职工和退休人员适用本规定。</w:t>
      </w:r>
    </w:p>
    <w:p w14:paraId="4646569B">
      <w:r>
        <w:rPr>
          <w:rFonts w:hint="eastAsia"/>
        </w:rPr>
        <w:t>用人单位及其职工和退休人员参加基本医疗保险的具体时间由市劳动和社会保障行政部门（以下简称市劳动保障行政部门）规定。</w:t>
      </w:r>
    </w:p>
    <w:p w14:paraId="07F1943E">
      <w:pPr>
        <w:ind w:firstLine="422"/>
      </w:pPr>
      <w:r>
        <w:rPr>
          <w:rFonts w:hint="eastAsia"/>
          <w:b/>
        </w:rPr>
        <w:t>第三条</w:t>
      </w:r>
      <w:r>
        <w:rPr>
          <w:rFonts w:hint="eastAsia"/>
        </w:rPr>
        <w:t xml:space="preserve">  市劳动保障行政部门主管全市医疗保险工作，组织实施医疗保险制度，负责医疗保险工作的管理和监督检查。</w:t>
      </w:r>
    </w:p>
    <w:p w14:paraId="09FD77C8">
      <w:r>
        <w:rPr>
          <w:rFonts w:hint="eastAsia"/>
        </w:rPr>
        <w:t>区、县劳动保障行政部门负责本行政区域内医疗保险工作的管理和监督检查。</w:t>
      </w:r>
    </w:p>
    <w:p w14:paraId="7F550E56">
      <w:r>
        <w:rPr>
          <w:rFonts w:hint="eastAsia"/>
        </w:rPr>
        <w:t>市和区、县劳动保障行政部门设立的社会保险经办机构，具体经办医疗保险工作。</w:t>
      </w:r>
    </w:p>
    <w:p w14:paraId="64AA5493">
      <w:pPr>
        <w:ind w:firstLine="422"/>
      </w:pPr>
      <w:r>
        <w:rPr>
          <w:rFonts w:hint="eastAsia"/>
          <w:b/>
        </w:rPr>
        <w:t>第四条</w:t>
      </w:r>
      <w:r>
        <w:rPr>
          <w:rFonts w:hint="eastAsia"/>
        </w:rPr>
        <w:t xml:space="preserve">  基本医疗保险费实行用人单位和职工个人双方负担、共同缴纳、全市统筹的原则。基本医疗保险基金实行社会统筹和个人</w:t>
      </w:r>
      <w:r>
        <w:rPr>
          <w:rFonts w:hint="eastAsia"/>
          <w:lang w:eastAsia="zh-CN"/>
        </w:rPr>
        <w:t>账户</w:t>
      </w:r>
      <w:r>
        <w:rPr>
          <w:rFonts w:hint="eastAsia"/>
        </w:rPr>
        <w:t>相结合的原则。基本医疗保险的保障水平应当与本市社会生产力发展水平以及财政、用人单位和个人的承受能力相适应。</w:t>
      </w:r>
    </w:p>
    <w:p w14:paraId="187E1F9F">
      <w:pPr>
        <w:ind w:firstLine="422"/>
      </w:pPr>
      <w:r>
        <w:rPr>
          <w:rFonts w:hint="eastAsia"/>
          <w:b/>
        </w:rPr>
        <w:t>第五条</w:t>
      </w:r>
      <w:r>
        <w:rPr>
          <w:rFonts w:hint="eastAsia"/>
        </w:rPr>
        <w:t xml:space="preserve">  本市在实行基本医疗保险的基础上，建立大额医疗费用互助制度，实行国家公务员医疗补助办法，企业和事业单位可以建立补充医疗保险，鼓励用人单位和个人参加商业医疗保险。</w:t>
      </w:r>
    </w:p>
    <w:p w14:paraId="20D39295">
      <w:pPr>
        <w:ind w:firstLine="422"/>
      </w:pPr>
      <w:r>
        <w:rPr>
          <w:rFonts w:hint="eastAsia"/>
          <w:b/>
        </w:rPr>
        <w:t>第六条</w:t>
      </w:r>
      <w:r>
        <w:rPr>
          <w:rFonts w:hint="eastAsia"/>
        </w:rPr>
        <w:t xml:space="preserve">  结合基本医疗保险制度的建立，积极推进城镇医药卫生体制改革，用比较低廉的费用，为职工和退休人员提供比较优质的医疗服务，满足广大人民群众基本医疗服务的需要。</w:t>
      </w:r>
    </w:p>
    <w:p w14:paraId="63FC71BF"/>
    <w:p w14:paraId="15B838C2">
      <w:pPr>
        <w:ind w:firstLine="0" w:firstLineChars="0"/>
        <w:jc w:val="center"/>
        <w:rPr>
          <w:b/>
          <w:sz w:val="28"/>
        </w:rPr>
      </w:pPr>
      <w:r>
        <w:rPr>
          <w:rFonts w:hint="eastAsia"/>
          <w:b/>
          <w:sz w:val="28"/>
        </w:rPr>
        <w:t>第二章  基本医疗保险基金</w:t>
      </w:r>
    </w:p>
    <w:p w14:paraId="1A8E7689"/>
    <w:p w14:paraId="1E57DB65">
      <w:pPr>
        <w:ind w:firstLine="422"/>
      </w:pPr>
      <w:r>
        <w:rPr>
          <w:rFonts w:hint="eastAsia"/>
          <w:b/>
        </w:rPr>
        <w:t>第七条</w:t>
      </w:r>
      <w:r>
        <w:rPr>
          <w:rFonts w:hint="eastAsia"/>
        </w:rPr>
        <w:t xml:space="preserve">  基本医疗保险基金应当以收定支，收支平衡。</w:t>
      </w:r>
    </w:p>
    <w:p w14:paraId="6E260F26">
      <w:pPr>
        <w:ind w:firstLine="422"/>
      </w:pPr>
      <w:r>
        <w:rPr>
          <w:rFonts w:hint="eastAsia"/>
          <w:b/>
        </w:rPr>
        <w:t>第八条</w:t>
      </w:r>
      <w:r>
        <w:rPr>
          <w:rFonts w:hint="eastAsia"/>
        </w:rPr>
        <w:t xml:space="preserve">  基本医疗保险基金由下列各项构成：</w:t>
      </w:r>
    </w:p>
    <w:p w14:paraId="36EE8E4C">
      <w:r>
        <w:rPr>
          <w:rFonts w:hint="eastAsia"/>
        </w:rPr>
        <w:t>（一）用人单位缴纳的基本医疗保险费；</w:t>
      </w:r>
    </w:p>
    <w:p w14:paraId="6EA01E61">
      <w:r>
        <w:rPr>
          <w:rFonts w:hint="eastAsia"/>
        </w:rPr>
        <w:t>（二）职工个人缴纳的基本医疗保险费；</w:t>
      </w:r>
    </w:p>
    <w:p w14:paraId="4C42AFFE">
      <w:r>
        <w:rPr>
          <w:rFonts w:hint="eastAsia"/>
        </w:rPr>
        <w:t>（三）基本医疗保险费的利息；</w:t>
      </w:r>
    </w:p>
    <w:p w14:paraId="049083DE">
      <w:r>
        <w:rPr>
          <w:rFonts w:hint="eastAsia"/>
        </w:rPr>
        <w:t>（四）基本医疗保险费的滞纳金；</w:t>
      </w:r>
    </w:p>
    <w:p w14:paraId="12BCD7D2">
      <w:r>
        <w:rPr>
          <w:rFonts w:hint="eastAsia"/>
        </w:rPr>
        <w:t>（五）依法纳入基本医疗保险基金的其他资金。</w:t>
      </w:r>
    </w:p>
    <w:p w14:paraId="023E653B">
      <w:pPr>
        <w:ind w:firstLine="422"/>
      </w:pPr>
      <w:r>
        <w:rPr>
          <w:rFonts w:hint="eastAsia"/>
          <w:b/>
        </w:rPr>
        <w:t>第九条</w:t>
      </w:r>
      <w:r>
        <w:rPr>
          <w:rFonts w:hint="eastAsia"/>
        </w:rPr>
        <w:t xml:space="preserve">  基本医疗保险费由用人单位和职工个人共同缴纳。用人单位和职工应当按时足额缴纳基本医疗保险费。不按时足额缴纳的，不计个人</w:t>
      </w:r>
      <w:r>
        <w:rPr>
          <w:rFonts w:hint="eastAsia"/>
          <w:lang w:eastAsia="zh-CN"/>
        </w:rPr>
        <w:t>账户</w:t>
      </w:r>
      <w:r>
        <w:rPr>
          <w:rFonts w:hint="eastAsia"/>
        </w:rPr>
        <w:t>，基本医疗保险统筹基金不予支付其医疗费用。</w:t>
      </w:r>
    </w:p>
    <w:p w14:paraId="32515492">
      <w:pPr>
        <w:ind w:firstLine="422"/>
        <w:rPr>
          <w:rFonts w:hint="eastAsia" w:ascii="宋体" w:hAnsi="宋体" w:eastAsia="宋体" w:cs="宋体"/>
        </w:rPr>
      </w:pPr>
      <w:r>
        <w:rPr>
          <w:rFonts w:hint="eastAsia"/>
          <w:b/>
        </w:rPr>
        <w:t>第十条</w:t>
      </w:r>
      <w:r>
        <w:rPr>
          <w:rFonts w:hint="eastAsia"/>
        </w:rPr>
        <w:t xml:space="preserve">  职工按本人上一年月平均工资</w:t>
      </w:r>
      <w:r>
        <w:rPr>
          <w:rFonts w:hint="eastAsia" w:ascii="宋体" w:hAnsi="宋体" w:eastAsia="宋体" w:cs="宋体"/>
        </w:rPr>
        <w:t>的2%缴纳基本医疗保险费。</w:t>
      </w:r>
    </w:p>
    <w:p w14:paraId="7AA0AEBF">
      <w:pPr>
        <w:rPr>
          <w:rFonts w:hint="eastAsia" w:ascii="宋体" w:hAnsi="宋体" w:eastAsia="宋体" w:cs="宋体"/>
        </w:rPr>
      </w:pPr>
      <w:r>
        <w:rPr>
          <w:rFonts w:hint="eastAsia" w:ascii="宋体" w:hAnsi="宋体" w:eastAsia="宋体" w:cs="宋体"/>
        </w:rPr>
        <w:t>职工本人上一年月平均工资低于上一年本市职工月平均工资60%的，以上一年本市职工月平均工资的60%为缴费工资基数，缴纳基本医疗保险费。</w:t>
      </w:r>
    </w:p>
    <w:p w14:paraId="11CDE178">
      <w:r>
        <w:rPr>
          <w:rFonts w:hint="eastAsia" w:ascii="宋体" w:hAnsi="宋体" w:eastAsia="宋体" w:cs="宋体"/>
        </w:rPr>
        <w:t>职工本人上一年月平均工资高于上一年本市职工月平均工资300%以上的部分，不</w:t>
      </w:r>
      <w:r>
        <w:rPr>
          <w:rFonts w:hint="eastAsia"/>
        </w:rPr>
        <w:t>作为缴费工资基数，不缴纳基本医疗保险费。</w:t>
      </w:r>
    </w:p>
    <w:p w14:paraId="08E361DA">
      <w:r>
        <w:rPr>
          <w:rFonts w:hint="eastAsia"/>
        </w:rPr>
        <w:t>无法确定职工本人上一年月平均工资的，以上一年本市职工月平均工资为缴费工资基数，缴纳基本医疗保险费。</w:t>
      </w:r>
    </w:p>
    <w:p w14:paraId="12F763F8">
      <w:pPr>
        <w:ind w:firstLine="422"/>
      </w:pPr>
      <w:r>
        <w:rPr>
          <w:rFonts w:hint="eastAsia"/>
          <w:b/>
        </w:rPr>
        <w:t>第十一条</w:t>
      </w:r>
      <w:r>
        <w:rPr>
          <w:rFonts w:hint="eastAsia"/>
        </w:rPr>
        <w:t xml:space="preserve">  本规定施行前已退休的人员不缴纳基本医疗保险费。</w:t>
      </w:r>
    </w:p>
    <w:p w14:paraId="5791A77F">
      <w:r>
        <w:rPr>
          <w:rFonts w:hint="eastAsia"/>
        </w:rPr>
        <w:t>本规定施行后参加工作，累计缴纳基本医疗保险费</w:t>
      </w:r>
      <w:r>
        <w:rPr>
          <w:rFonts w:hint="eastAsia" w:ascii="宋体" w:hAnsi="宋体" w:eastAsia="宋体" w:cs="宋体"/>
        </w:rPr>
        <w:t>男满25年、女满20年的，按照国</w:t>
      </w:r>
      <w:r>
        <w:rPr>
          <w:rFonts w:hint="eastAsia"/>
        </w:rPr>
        <w:t>家规定办理了退休手续，按月领取基本养老金或者退休费的人员，享受退休人员的基本医疗保险待遇，不再缴纳基本医疗保险费。</w:t>
      </w:r>
    </w:p>
    <w:p w14:paraId="3EE70CFD">
      <w:r>
        <w:rPr>
          <w:rFonts w:hint="eastAsia"/>
        </w:rPr>
        <w:t>本规定施行前参加工作施行后退休，缴纳基本医疗保险费不满前款规定年限的，由本人一次性补足应当由用人单位和个人缴纳的基本医疗保险费后，享受退休人员的基本医疗保险待遇，不再缴纳基本医疗保险费。经劳动保障行政部门认定，职工的连续工龄或者工作年限符合国家规定的，视同基本医疗保险缴费年限。</w:t>
      </w:r>
    </w:p>
    <w:p w14:paraId="37B6DA2B">
      <w:pPr>
        <w:ind w:firstLine="422"/>
      </w:pPr>
      <w:r>
        <w:rPr>
          <w:rFonts w:hint="eastAsia"/>
          <w:b/>
        </w:rPr>
        <w:t>第十二条</w:t>
      </w:r>
      <w:r>
        <w:rPr>
          <w:rFonts w:hint="eastAsia"/>
        </w:rPr>
        <w:t xml:space="preserve">  用人单位按全部职工缴费工资基数</w:t>
      </w:r>
      <w:r>
        <w:rPr>
          <w:rFonts w:hint="eastAsia" w:ascii="宋体" w:hAnsi="宋体" w:eastAsia="宋体" w:cs="宋体"/>
        </w:rPr>
        <w:t>之和的9%缴纳基本</w:t>
      </w:r>
      <w:r>
        <w:rPr>
          <w:rFonts w:hint="eastAsia"/>
        </w:rPr>
        <w:t>医疗保险费。</w:t>
      </w:r>
    </w:p>
    <w:p w14:paraId="4CF8C347">
      <w:pPr>
        <w:ind w:firstLine="422"/>
      </w:pPr>
      <w:r>
        <w:rPr>
          <w:rFonts w:hint="eastAsia"/>
          <w:b/>
        </w:rPr>
        <w:t>第十三条</w:t>
      </w:r>
      <w:r>
        <w:rPr>
          <w:rFonts w:hint="eastAsia"/>
        </w:rPr>
        <w:t xml:space="preserve">  基本医疗保险费缴费比例需要调整时，由市劳动保障行政部门会同市财政部门提出，报市人民政府批准。</w:t>
      </w:r>
    </w:p>
    <w:p w14:paraId="0B6DF7C5">
      <w:pPr>
        <w:ind w:firstLine="422"/>
      </w:pPr>
      <w:r>
        <w:rPr>
          <w:rFonts w:hint="eastAsia"/>
          <w:b/>
        </w:rPr>
        <w:t>第十四条</w:t>
      </w:r>
      <w:r>
        <w:rPr>
          <w:rFonts w:hint="eastAsia"/>
        </w:rPr>
        <w:t xml:space="preserve">  用人单位应当按时向社会保险经办机构如实申报职工上一年月平均工资，社会保险经办机构按照规定核定基本医疗保险缴费工资基数。</w:t>
      </w:r>
    </w:p>
    <w:p w14:paraId="69A26BA3">
      <w:pPr>
        <w:ind w:firstLine="422"/>
      </w:pPr>
      <w:r>
        <w:rPr>
          <w:rFonts w:hint="eastAsia"/>
          <w:b/>
        </w:rPr>
        <w:t>第十五条</w:t>
      </w:r>
      <w:r>
        <w:rPr>
          <w:rFonts w:hint="eastAsia"/>
        </w:rPr>
        <w:t xml:space="preserve">  用人单位应缴纳的基本医疗保险费，由社会保险经办机构委托用人单位的开户银行以“委托银行收款（无付款期）”的结算方式按月扣缴。</w:t>
      </w:r>
    </w:p>
    <w:p w14:paraId="394F2475">
      <w:r>
        <w:rPr>
          <w:rFonts w:hint="eastAsia"/>
        </w:rPr>
        <w:t>职工个人应缴纳的基本医疗保险费，由用人单位按月从本人工资中代扣代缴。</w:t>
      </w:r>
    </w:p>
    <w:p w14:paraId="47586712">
      <w:pPr>
        <w:ind w:firstLine="422"/>
      </w:pPr>
      <w:r>
        <w:rPr>
          <w:rFonts w:hint="eastAsia"/>
          <w:b/>
        </w:rPr>
        <w:t>第十六条</w:t>
      </w:r>
      <w:r>
        <w:rPr>
          <w:rFonts w:hint="eastAsia"/>
        </w:rPr>
        <w:t xml:space="preserve">  基本医疗保险基金实行全市统筹，分级管理，全部纳入社会保障基金财政专户，实行收支两条线管理。</w:t>
      </w:r>
    </w:p>
    <w:p w14:paraId="49734AE0">
      <w:r>
        <w:rPr>
          <w:rFonts w:hint="eastAsia"/>
        </w:rPr>
        <w:t>基本医疗保险基金要专款专用，不得挤占或者挪用，不得用于平衡财政收支。</w:t>
      </w:r>
    </w:p>
    <w:p w14:paraId="21AD1871">
      <w:pPr>
        <w:ind w:firstLine="422"/>
      </w:pPr>
      <w:r>
        <w:rPr>
          <w:rFonts w:hint="eastAsia"/>
          <w:b/>
        </w:rPr>
        <w:t>第十七条</w:t>
      </w:r>
      <w:r>
        <w:rPr>
          <w:rFonts w:hint="eastAsia"/>
        </w:rPr>
        <w:t xml:space="preserve">  基本医疗保险基金当年筹集的部分，按银行活期存款利率计息；上年结转的基金本息，</w:t>
      </w:r>
      <w:r>
        <w:rPr>
          <w:rFonts w:hint="eastAsia" w:ascii="宋体" w:hAnsi="宋体" w:eastAsia="宋体" w:cs="宋体"/>
        </w:rPr>
        <w:t>按3个月期整存整取银行存款利率计息；存入社会保障基金财政专户的沉淀基金，比照3年期零存整取</w:t>
      </w:r>
      <w:r>
        <w:rPr>
          <w:rFonts w:hint="eastAsia"/>
        </w:rPr>
        <w:t>储蓄存款利率计息，并不低于该档次利率水平。</w:t>
      </w:r>
    </w:p>
    <w:p w14:paraId="52349561">
      <w:pPr>
        <w:ind w:firstLine="422"/>
      </w:pPr>
      <w:r>
        <w:rPr>
          <w:rFonts w:hint="eastAsia"/>
          <w:b/>
        </w:rPr>
        <w:t>第十八条</w:t>
      </w:r>
      <w:r>
        <w:rPr>
          <w:rFonts w:hint="eastAsia"/>
        </w:rPr>
        <w:t xml:space="preserve">  基本医疗保险基金执行统一的社会保险预决算制度、财务会计制度和内部审计制度。</w:t>
      </w:r>
    </w:p>
    <w:p w14:paraId="39E2D243"/>
    <w:p w14:paraId="5D56CD84">
      <w:pPr>
        <w:ind w:firstLine="0" w:firstLineChars="0"/>
        <w:jc w:val="center"/>
        <w:rPr>
          <w:rFonts w:hint="eastAsia" w:eastAsia="宋体"/>
          <w:b/>
          <w:sz w:val="28"/>
          <w:lang w:eastAsia="zh-CN"/>
        </w:rPr>
      </w:pPr>
      <w:r>
        <w:rPr>
          <w:rFonts w:hint="eastAsia"/>
          <w:b/>
          <w:sz w:val="28"/>
        </w:rPr>
        <w:t>第三章  基本医疗保险个人</w:t>
      </w:r>
      <w:r>
        <w:rPr>
          <w:rFonts w:hint="eastAsia"/>
          <w:b/>
          <w:sz w:val="28"/>
          <w:lang w:eastAsia="zh-CN"/>
        </w:rPr>
        <w:t>账户</w:t>
      </w:r>
    </w:p>
    <w:p w14:paraId="5624FC97"/>
    <w:p w14:paraId="08274BA8">
      <w:pPr>
        <w:ind w:firstLine="422"/>
      </w:pPr>
      <w:r>
        <w:rPr>
          <w:rFonts w:hint="eastAsia"/>
          <w:b/>
        </w:rPr>
        <w:t>第十九条</w:t>
      </w:r>
      <w:r>
        <w:rPr>
          <w:rFonts w:hint="eastAsia"/>
        </w:rPr>
        <w:t xml:space="preserve">  社会保险经办机构应当为职工和退休人员建立基本医疗保险个人</w:t>
      </w:r>
      <w:r>
        <w:rPr>
          <w:rFonts w:hint="eastAsia"/>
          <w:lang w:eastAsia="zh-CN"/>
        </w:rPr>
        <w:t>账户</w:t>
      </w:r>
      <w:r>
        <w:rPr>
          <w:rFonts w:hint="eastAsia"/>
        </w:rPr>
        <w:t>（以下简称个人</w:t>
      </w:r>
      <w:r>
        <w:rPr>
          <w:rFonts w:hint="eastAsia"/>
          <w:lang w:eastAsia="zh-CN"/>
        </w:rPr>
        <w:t>账户</w:t>
      </w:r>
      <w:r>
        <w:rPr>
          <w:rFonts w:hint="eastAsia"/>
        </w:rPr>
        <w:t>）。</w:t>
      </w:r>
    </w:p>
    <w:p w14:paraId="0B93A443">
      <w:pPr>
        <w:ind w:firstLine="422"/>
      </w:pPr>
      <w:r>
        <w:rPr>
          <w:rFonts w:hint="eastAsia"/>
          <w:b/>
        </w:rPr>
        <w:t>第二十条</w:t>
      </w:r>
      <w:r>
        <w:rPr>
          <w:rFonts w:hint="eastAsia"/>
        </w:rPr>
        <w:t xml:space="preserve">  个人</w:t>
      </w:r>
      <w:r>
        <w:rPr>
          <w:rFonts w:hint="eastAsia"/>
          <w:lang w:eastAsia="zh-CN"/>
        </w:rPr>
        <w:t>账户</w:t>
      </w:r>
      <w:r>
        <w:rPr>
          <w:rFonts w:hint="eastAsia"/>
        </w:rPr>
        <w:t>由下列各项构成：</w:t>
      </w:r>
    </w:p>
    <w:p w14:paraId="3CCD2453">
      <w:bookmarkStart w:id="2212" w:name="_Toc428780560"/>
      <w:r>
        <w:rPr>
          <w:rFonts w:hint="eastAsia"/>
        </w:rPr>
        <w:t>（一）职工个人缴纳的基本医疗保险费；</w:t>
      </w:r>
      <w:bookmarkEnd w:id="2212"/>
    </w:p>
    <w:p w14:paraId="5EAB7209">
      <w:r>
        <w:rPr>
          <w:rFonts w:hint="eastAsia"/>
        </w:rPr>
        <w:t>（二）按照规定划入个人</w:t>
      </w:r>
      <w:r>
        <w:rPr>
          <w:rFonts w:hint="eastAsia"/>
          <w:lang w:eastAsia="zh-CN"/>
        </w:rPr>
        <w:t>账户</w:t>
      </w:r>
      <w:r>
        <w:rPr>
          <w:rFonts w:hint="eastAsia"/>
        </w:rPr>
        <w:t>的用人单位缴纳的基本医疗保险费；</w:t>
      </w:r>
    </w:p>
    <w:p w14:paraId="58343281">
      <w:r>
        <w:rPr>
          <w:rFonts w:hint="eastAsia"/>
        </w:rPr>
        <w:t>（三）个人</w:t>
      </w:r>
      <w:r>
        <w:rPr>
          <w:rFonts w:hint="eastAsia"/>
          <w:lang w:eastAsia="zh-CN"/>
        </w:rPr>
        <w:t>账户</w:t>
      </w:r>
      <w:r>
        <w:rPr>
          <w:rFonts w:hint="eastAsia"/>
        </w:rPr>
        <w:t>存储额的利息；</w:t>
      </w:r>
    </w:p>
    <w:p w14:paraId="4C96991E">
      <w:r>
        <w:rPr>
          <w:rFonts w:hint="eastAsia"/>
        </w:rPr>
        <w:t>（四）依法纳入个人</w:t>
      </w:r>
      <w:r>
        <w:rPr>
          <w:rFonts w:hint="eastAsia"/>
          <w:lang w:eastAsia="zh-CN"/>
        </w:rPr>
        <w:t>账户</w:t>
      </w:r>
      <w:r>
        <w:rPr>
          <w:rFonts w:hint="eastAsia"/>
        </w:rPr>
        <w:t>的其他资金。</w:t>
      </w:r>
    </w:p>
    <w:p w14:paraId="2C208A4B">
      <w:pPr>
        <w:ind w:firstLine="422"/>
        <w:rPr>
          <w:rFonts w:hint="eastAsia" w:ascii="宋体" w:hAnsi="宋体" w:eastAsia="宋体" w:cs="宋体"/>
        </w:rPr>
      </w:pPr>
      <w:r>
        <w:rPr>
          <w:rFonts w:hint="eastAsia"/>
          <w:b/>
        </w:rPr>
        <w:t>第二十一条</w:t>
      </w:r>
      <w:r>
        <w:rPr>
          <w:rFonts w:hint="eastAsia"/>
        </w:rPr>
        <w:t xml:space="preserve">  </w:t>
      </w:r>
      <w:r>
        <w:rPr>
          <w:rFonts w:hint="eastAsia" w:ascii="宋体" w:hAnsi="宋体" w:eastAsia="宋体" w:cs="宋体"/>
        </w:rPr>
        <w:t>用人单位缴纳的基本医疗保险费的一部分按照下列标准划入个人</w:t>
      </w:r>
      <w:r>
        <w:rPr>
          <w:rFonts w:hint="eastAsia" w:ascii="宋体" w:hAnsi="宋体" w:cs="宋体"/>
          <w:lang w:eastAsia="zh-CN"/>
        </w:rPr>
        <w:t>账户</w:t>
      </w:r>
      <w:r>
        <w:rPr>
          <w:rFonts w:hint="eastAsia" w:ascii="宋体" w:hAnsi="宋体" w:eastAsia="宋体" w:cs="宋体"/>
        </w:rPr>
        <w:t>：</w:t>
      </w:r>
    </w:p>
    <w:p w14:paraId="3C3D0F86">
      <w:pPr>
        <w:rPr>
          <w:rFonts w:hint="eastAsia" w:ascii="宋体" w:hAnsi="宋体" w:eastAsia="宋体" w:cs="宋体"/>
        </w:rPr>
      </w:pPr>
      <w:r>
        <w:rPr>
          <w:rFonts w:hint="eastAsia" w:ascii="宋体" w:hAnsi="宋体" w:eastAsia="宋体" w:cs="宋体"/>
        </w:rPr>
        <w:t>（一）不满35周岁的职工按本人月缴费工资基数的0.8%划入个人</w:t>
      </w:r>
      <w:r>
        <w:rPr>
          <w:rFonts w:hint="eastAsia" w:ascii="宋体" w:hAnsi="宋体" w:cs="宋体"/>
          <w:lang w:eastAsia="zh-CN"/>
        </w:rPr>
        <w:t>账户</w:t>
      </w:r>
      <w:r>
        <w:rPr>
          <w:rFonts w:hint="eastAsia" w:ascii="宋体" w:hAnsi="宋体" w:eastAsia="宋体" w:cs="宋体"/>
        </w:rPr>
        <w:t>；</w:t>
      </w:r>
    </w:p>
    <w:p w14:paraId="5F4E8DCD">
      <w:pPr>
        <w:rPr>
          <w:rFonts w:hint="eastAsia" w:ascii="宋体" w:hAnsi="宋体" w:eastAsia="宋体" w:cs="宋体"/>
        </w:rPr>
      </w:pPr>
      <w:r>
        <w:rPr>
          <w:rFonts w:hint="eastAsia" w:ascii="宋体" w:hAnsi="宋体" w:eastAsia="宋体" w:cs="宋体"/>
        </w:rPr>
        <w:t>（二）35周岁以上不满45周岁的职工按本人月缴费工资基数的1%划入个人</w:t>
      </w:r>
      <w:r>
        <w:rPr>
          <w:rFonts w:hint="eastAsia" w:ascii="宋体" w:hAnsi="宋体" w:cs="宋体"/>
          <w:lang w:eastAsia="zh-CN"/>
        </w:rPr>
        <w:t>账户</w:t>
      </w:r>
      <w:r>
        <w:rPr>
          <w:rFonts w:hint="eastAsia" w:ascii="宋体" w:hAnsi="宋体" w:eastAsia="宋体" w:cs="宋体"/>
        </w:rPr>
        <w:t>；</w:t>
      </w:r>
    </w:p>
    <w:p w14:paraId="1270376D">
      <w:pPr>
        <w:rPr>
          <w:rFonts w:hint="eastAsia" w:ascii="宋体" w:hAnsi="宋体" w:eastAsia="宋体" w:cs="宋体"/>
        </w:rPr>
      </w:pPr>
      <w:bookmarkStart w:id="2213" w:name="_Toc428780561"/>
      <w:r>
        <w:rPr>
          <w:rFonts w:hint="eastAsia" w:ascii="宋体" w:hAnsi="宋体" w:eastAsia="宋体" w:cs="宋体"/>
        </w:rPr>
        <w:t>（三）45周岁以上的职工按本人月缴费工资基数的2%划入个人</w:t>
      </w:r>
      <w:r>
        <w:rPr>
          <w:rFonts w:hint="eastAsia" w:ascii="宋体" w:hAnsi="宋体" w:cs="宋体"/>
          <w:lang w:eastAsia="zh-CN"/>
        </w:rPr>
        <w:t>账户</w:t>
      </w:r>
      <w:r>
        <w:rPr>
          <w:rFonts w:hint="eastAsia" w:ascii="宋体" w:hAnsi="宋体" w:eastAsia="宋体" w:cs="宋体"/>
        </w:rPr>
        <w:t>；</w:t>
      </w:r>
      <w:bookmarkEnd w:id="2213"/>
    </w:p>
    <w:p w14:paraId="16AFBB7F">
      <w:pPr>
        <w:rPr>
          <w:rFonts w:hint="eastAsia" w:ascii="宋体" w:hAnsi="宋体" w:eastAsia="宋体" w:cs="宋体"/>
        </w:rPr>
      </w:pPr>
      <w:r>
        <w:rPr>
          <w:rFonts w:hint="eastAsia" w:ascii="宋体" w:hAnsi="宋体" w:eastAsia="宋体" w:cs="宋体"/>
        </w:rPr>
        <w:t>（四）不满70周岁的退休人员按上一年本市职工月平均工资的4.3%划入个人</w:t>
      </w:r>
      <w:r>
        <w:rPr>
          <w:rFonts w:hint="eastAsia" w:ascii="宋体" w:hAnsi="宋体" w:cs="宋体"/>
          <w:lang w:eastAsia="zh-CN"/>
        </w:rPr>
        <w:t>账户</w:t>
      </w:r>
      <w:r>
        <w:rPr>
          <w:rFonts w:hint="eastAsia" w:ascii="宋体" w:hAnsi="宋体" w:eastAsia="宋体" w:cs="宋体"/>
        </w:rPr>
        <w:t>；</w:t>
      </w:r>
    </w:p>
    <w:p w14:paraId="02E80C3B">
      <w:r>
        <w:rPr>
          <w:rFonts w:hint="eastAsia" w:ascii="宋体" w:hAnsi="宋体" w:eastAsia="宋体" w:cs="宋体"/>
        </w:rPr>
        <w:t>（五）70周岁以上的退休人员按上一年本市职工月平均工资的4.8%</w:t>
      </w:r>
      <w:r>
        <w:rPr>
          <w:rFonts w:hint="eastAsia"/>
        </w:rPr>
        <w:t>划入个人</w:t>
      </w:r>
      <w:r>
        <w:rPr>
          <w:rFonts w:hint="eastAsia"/>
          <w:lang w:eastAsia="zh-CN"/>
        </w:rPr>
        <w:t>账户</w:t>
      </w:r>
      <w:r>
        <w:rPr>
          <w:rFonts w:hint="eastAsia"/>
        </w:rPr>
        <w:t>。</w:t>
      </w:r>
    </w:p>
    <w:p w14:paraId="6B948952">
      <w:r>
        <w:rPr>
          <w:rFonts w:hint="eastAsia"/>
        </w:rPr>
        <w:t>前款所列标准根据社会经济发展和基金收支情况需要调整时，由市劳动保障行政部门会同市财政部门提出调整方案，报市人民政府批准后公布施行。</w:t>
      </w:r>
    </w:p>
    <w:p w14:paraId="7EB919C2">
      <w:pPr>
        <w:ind w:firstLine="422"/>
      </w:pPr>
      <w:r>
        <w:rPr>
          <w:rFonts w:hint="eastAsia"/>
          <w:b/>
        </w:rPr>
        <w:t>第二十二条</w:t>
      </w:r>
      <w:r>
        <w:rPr>
          <w:rFonts w:hint="eastAsia"/>
        </w:rPr>
        <w:t xml:space="preserve">  个人</w:t>
      </w:r>
      <w:r>
        <w:rPr>
          <w:rFonts w:hint="eastAsia"/>
          <w:lang w:eastAsia="zh-CN"/>
        </w:rPr>
        <w:t>账户</w:t>
      </w:r>
      <w:r>
        <w:rPr>
          <w:rFonts w:hint="eastAsia"/>
        </w:rPr>
        <w:t>存储额每年参照银行同期居民活期存款利率计息。</w:t>
      </w:r>
    </w:p>
    <w:p w14:paraId="40FE64D5">
      <w:pPr>
        <w:ind w:firstLine="422"/>
      </w:pPr>
      <w:r>
        <w:rPr>
          <w:rFonts w:hint="eastAsia"/>
          <w:b/>
        </w:rPr>
        <w:t>第二十三条</w:t>
      </w:r>
      <w:r>
        <w:rPr>
          <w:rFonts w:hint="eastAsia"/>
        </w:rPr>
        <w:t xml:space="preserve">  个人</w:t>
      </w:r>
      <w:r>
        <w:rPr>
          <w:rFonts w:hint="eastAsia"/>
          <w:lang w:eastAsia="zh-CN"/>
        </w:rPr>
        <w:t>账户</w:t>
      </w:r>
      <w:r>
        <w:rPr>
          <w:rFonts w:hint="eastAsia"/>
        </w:rPr>
        <w:t>的本金和利息为个人所有，只能用于基本医疗保险，但可以结转使用和继承。</w:t>
      </w:r>
    </w:p>
    <w:p w14:paraId="373C7BF6">
      <w:r>
        <w:rPr>
          <w:rFonts w:hint="eastAsia"/>
        </w:rPr>
        <w:t>职工和退休人员死亡时，其个人</w:t>
      </w:r>
      <w:r>
        <w:rPr>
          <w:rFonts w:hint="eastAsia"/>
          <w:lang w:eastAsia="zh-CN"/>
        </w:rPr>
        <w:t>账户</w:t>
      </w:r>
      <w:r>
        <w:rPr>
          <w:rFonts w:hint="eastAsia"/>
        </w:rPr>
        <w:t>存储额划入其继承人的个人</w:t>
      </w:r>
      <w:r>
        <w:rPr>
          <w:rFonts w:hint="eastAsia"/>
          <w:lang w:eastAsia="zh-CN"/>
        </w:rPr>
        <w:t>账户</w:t>
      </w:r>
      <w:r>
        <w:rPr>
          <w:rFonts w:hint="eastAsia"/>
        </w:rPr>
        <w:t>；继承人未参加基本医疗保险的，个人</w:t>
      </w:r>
      <w:r>
        <w:rPr>
          <w:rFonts w:hint="eastAsia"/>
          <w:lang w:eastAsia="zh-CN"/>
        </w:rPr>
        <w:t>账户</w:t>
      </w:r>
      <w:r>
        <w:rPr>
          <w:rFonts w:hint="eastAsia"/>
        </w:rPr>
        <w:t>存储额可一次性支付给继承人；没有继承人的，个人</w:t>
      </w:r>
      <w:r>
        <w:rPr>
          <w:rFonts w:hint="eastAsia"/>
          <w:lang w:eastAsia="zh-CN"/>
        </w:rPr>
        <w:t>账户</w:t>
      </w:r>
      <w:r>
        <w:rPr>
          <w:rFonts w:hint="eastAsia"/>
        </w:rPr>
        <w:t>存储额纳入基本医疗保险统筹基金。</w:t>
      </w:r>
    </w:p>
    <w:p w14:paraId="430647CC">
      <w:pPr>
        <w:ind w:firstLine="422"/>
      </w:pPr>
      <w:r>
        <w:rPr>
          <w:rFonts w:hint="eastAsia"/>
          <w:b/>
        </w:rPr>
        <w:t>第二十四条</w:t>
      </w:r>
      <w:r>
        <w:rPr>
          <w:rFonts w:hint="eastAsia"/>
        </w:rPr>
        <w:t xml:space="preserve">  失业人员不缴纳基本医疗保险费，个人</w:t>
      </w:r>
      <w:r>
        <w:rPr>
          <w:rFonts w:hint="eastAsia"/>
          <w:lang w:eastAsia="zh-CN"/>
        </w:rPr>
        <w:t>账户</w:t>
      </w:r>
      <w:r>
        <w:rPr>
          <w:rFonts w:hint="eastAsia"/>
        </w:rPr>
        <w:t>停止计入，余额可继续使用。失业人员在领取失业保险金期间，按照失业保险规定享受医疗补助待遇。</w:t>
      </w:r>
    </w:p>
    <w:p w14:paraId="69C182AC">
      <w:pPr>
        <w:ind w:firstLine="422"/>
      </w:pPr>
      <w:r>
        <w:rPr>
          <w:rFonts w:hint="eastAsia"/>
          <w:b/>
        </w:rPr>
        <w:t>第二十五条</w:t>
      </w:r>
      <w:r>
        <w:rPr>
          <w:rFonts w:hint="eastAsia"/>
        </w:rPr>
        <w:t xml:space="preserve">  参加基本医疗保险的人员在参保的区、县内流动时，只转移基本医疗保险关系，不转移个人</w:t>
      </w:r>
      <w:r>
        <w:rPr>
          <w:rFonts w:hint="eastAsia"/>
          <w:lang w:eastAsia="zh-CN"/>
        </w:rPr>
        <w:t>账户</w:t>
      </w:r>
      <w:r>
        <w:rPr>
          <w:rFonts w:hint="eastAsia"/>
        </w:rPr>
        <w:t>存储额；跨区、县或者跨统筹地区流动时，转移基本医疗保险关系，同时转移个人</w:t>
      </w:r>
      <w:r>
        <w:rPr>
          <w:rFonts w:hint="eastAsia"/>
          <w:lang w:eastAsia="zh-CN"/>
        </w:rPr>
        <w:t>账户</w:t>
      </w:r>
      <w:r>
        <w:rPr>
          <w:rFonts w:hint="eastAsia"/>
        </w:rPr>
        <w:t>存储额。</w:t>
      </w:r>
    </w:p>
    <w:p w14:paraId="01E42753"/>
    <w:p w14:paraId="0CC7D24E">
      <w:pPr>
        <w:ind w:firstLine="0" w:firstLineChars="0"/>
        <w:jc w:val="center"/>
        <w:rPr>
          <w:b/>
          <w:sz w:val="28"/>
        </w:rPr>
      </w:pPr>
      <w:r>
        <w:rPr>
          <w:rFonts w:hint="eastAsia"/>
          <w:b/>
          <w:sz w:val="28"/>
        </w:rPr>
        <w:t>第四章  基本医疗保险待遇</w:t>
      </w:r>
    </w:p>
    <w:p w14:paraId="21152742"/>
    <w:p w14:paraId="5B1BB01A">
      <w:pPr>
        <w:ind w:firstLine="422"/>
      </w:pPr>
      <w:r>
        <w:rPr>
          <w:rFonts w:hint="eastAsia"/>
          <w:b/>
        </w:rPr>
        <w:t>第二十六条</w:t>
      </w:r>
      <w:r>
        <w:rPr>
          <w:rFonts w:hint="eastAsia"/>
        </w:rPr>
        <w:t xml:space="preserve">  基本医疗保险统筹基金和个人</w:t>
      </w:r>
      <w:r>
        <w:rPr>
          <w:rFonts w:hint="eastAsia"/>
          <w:lang w:eastAsia="zh-CN"/>
        </w:rPr>
        <w:t>账户</w:t>
      </w:r>
      <w:r>
        <w:rPr>
          <w:rFonts w:hint="eastAsia"/>
        </w:rPr>
        <w:t>划定各自支付范围，分别核算，不得互相挤占。符合基本医疗保险基金支付范围的医疗费用，由基本医疗保险统筹基金和个人</w:t>
      </w:r>
      <w:r>
        <w:rPr>
          <w:rFonts w:hint="eastAsia"/>
          <w:lang w:eastAsia="zh-CN"/>
        </w:rPr>
        <w:t>账户</w:t>
      </w:r>
      <w:r>
        <w:rPr>
          <w:rFonts w:hint="eastAsia"/>
        </w:rPr>
        <w:t>分别支付。</w:t>
      </w:r>
    </w:p>
    <w:p w14:paraId="160AB683">
      <w:pPr>
        <w:ind w:firstLine="422"/>
      </w:pPr>
      <w:r>
        <w:rPr>
          <w:rFonts w:hint="eastAsia"/>
          <w:b/>
        </w:rPr>
        <w:t>第二十七条</w:t>
      </w:r>
      <w:r>
        <w:rPr>
          <w:rFonts w:hint="eastAsia"/>
        </w:rPr>
        <w:t xml:space="preserve">  基本医疗保险基金支付职工和退休人员的医疗费用，应当符合本市规定的基本医疗保险药品目录、诊疗项目目录以及服务设施范围和支付标准。</w:t>
      </w:r>
    </w:p>
    <w:p w14:paraId="34473662">
      <w:r>
        <w:rPr>
          <w:rFonts w:hint="eastAsia"/>
        </w:rPr>
        <w:t>基本医疗保险药品目录、诊疗项目目录以及医疗服务设施范围和支付标准的具体办法，由市劳动保障行政部门会同有关部门另行制定。</w:t>
      </w:r>
    </w:p>
    <w:p w14:paraId="21FD7D99">
      <w:pPr>
        <w:ind w:firstLine="422"/>
      </w:pPr>
      <w:r>
        <w:rPr>
          <w:rFonts w:hint="eastAsia"/>
          <w:b/>
        </w:rPr>
        <w:t>第二十八条</w:t>
      </w:r>
      <w:r>
        <w:rPr>
          <w:rFonts w:hint="eastAsia"/>
        </w:rPr>
        <w:t xml:space="preserve">  个人</w:t>
      </w:r>
      <w:r>
        <w:rPr>
          <w:rFonts w:hint="eastAsia"/>
          <w:lang w:eastAsia="zh-CN"/>
        </w:rPr>
        <w:t>账户</w:t>
      </w:r>
      <w:r>
        <w:rPr>
          <w:rFonts w:hint="eastAsia"/>
        </w:rPr>
        <w:t>支付下列医疗费用：</w:t>
      </w:r>
    </w:p>
    <w:p w14:paraId="12D6B733">
      <w:r>
        <w:rPr>
          <w:rFonts w:hint="eastAsia"/>
        </w:rPr>
        <w:t>（一）门诊、急诊的医疗费用；</w:t>
      </w:r>
    </w:p>
    <w:p w14:paraId="2671DFCD">
      <w:r>
        <w:rPr>
          <w:rFonts w:hint="eastAsia"/>
        </w:rPr>
        <w:t>（二）到定点零售药店购药的费用；</w:t>
      </w:r>
    </w:p>
    <w:p w14:paraId="35BF33F0">
      <w:r>
        <w:rPr>
          <w:rFonts w:hint="eastAsia"/>
        </w:rPr>
        <w:t>（三）基本医疗保险统筹基金起付标准以下的医疗费用；</w:t>
      </w:r>
    </w:p>
    <w:p w14:paraId="55BD17CC">
      <w:r>
        <w:rPr>
          <w:rFonts w:hint="eastAsia"/>
        </w:rPr>
        <w:t>（四）超过基本医疗保险统筹基金起付标准，按照比例应当由个人负担的医疗费用。</w:t>
      </w:r>
    </w:p>
    <w:p w14:paraId="19DDE8A5">
      <w:r>
        <w:rPr>
          <w:rFonts w:hint="eastAsia"/>
        </w:rPr>
        <w:t>个人</w:t>
      </w:r>
      <w:r>
        <w:rPr>
          <w:rFonts w:hint="eastAsia"/>
          <w:lang w:eastAsia="zh-CN"/>
        </w:rPr>
        <w:t>账户</w:t>
      </w:r>
      <w:r>
        <w:rPr>
          <w:rFonts w:hint="eastAsia"/>
        </w:rPr>
        <w:t>不足支付部分由本人自付。</w:t>
      </w:r>
    </w:p>
    <w:p w14:paraId="7A31CA17">
      <w:pPr>
        <w:ind w:firstLine="422"/>
      </w:pPr>
      <w:r>
        <w:rPr>
          <w:rFonts w:hint="eastAsia"/>
          <w:b/>
        </w:rPr>
        <w:t>第二十九条</w:t>
      </w:r>
      <w:r>
        <w:rPr>
          <w:rFonts w:hint="eastAsia"/>
        </w:rPr>
        <w:t xml:space="preserve">  基本医疗保险统筹基金支付下列医疗费用：</w:t>
      </w:r>
    </w:p>
    <w:p w14:paraId="3D94ED77">
      <w:bookmarkStart w:id="2214" w:name="_Toc428780562"/>
      <w:r>
        <w:rPr>
          <w:rFonts w:hint="eastAsia"/>
        </w:rPr>
        <w:t>（一）住院治疗的医疗费用；</w:t>
      </w:r>
      <w:bookmarkEnd w:id="2214"/>
    </w:p>
    <w:p w14:paraId="17679C7C">
      <w:r>
        <w:rPr>
          <w:rFonts w:hint="eastAsia"/>
        </w:rPr>
        <w:t>（二）急诊抢救留观并收入住院治疗的，其住院前留观</w:t>
      </w:r>
      <w:r>
        <w:rPr>
          <w:rFonts w:hint="eastAsia" w:ascii="宋体" w:hAnsi="宋体" w:eastAsia="宋体" w:cs="宋体"/>
        </w:rPr>
        <w:t>7</w:t>
      </w:r>
      <w:r>
        <w:rPr>
          <w:rFonts w:hint="eastAsia"/>
        </w:rPr>
        <w:t>日内的医疗费用；</w:t>
      </w:r>
    </w:p>
    <w:p w14:paraId="51D0150C">
      <w:r>
        <w:rPr>
          <w:rFonts w:hint="eastAsia"/>
        </w:rPr>
        <w:t>（三）恶性肿瘤放射治疗和化学治疗、肾透析、肾移植后服抗排异药的门诊医疗费用。</w:t>
      </w:r>
    </w:p>
    <w:p w14:paraId="6445B5D1">
      <w:pPr>
        <w:ind w:firstLine="422"/>
      </w:pPr>
      <w:r>
        <w:rPr>
          <w:rFonts w:hint="eastAsia"/>
          <w:b/>
        </w:rPr>
        <w:t>第三十条</w:t>
      </w:r>
      <w:r>
        <w:rPr>
          <w:rFonts w:hint="eastAsia"/>
        </w:rPr>
        <w:t xml:space="preserve">  基本医疗保险基金不予支付下列医疗费用：</w:t>
      </w:r>
    </w:p>
    <w:p w14:paraId="4C4742AE">
      <w:bookmarkStart w:id="2215" w:name="_Toc428780563"/>
      <w:r>
        <w:rPr>
          <w:rFonts w:hint="eastAsia"/>
        </w:rPr>
        <w:t>（一）在非本人定点医疗机构就诊的，但急诊除外；</w:t>
      </w:r>
      <w:bookmarkEnd w:id="2215"/>
    </w:p>
    <w:p w14:paraId="5F51C936">
      <w:r>
        <w:rPr>
          <w:rFonts w:hint="eastAsia"/>
        </w:rPr>
        <w:t>（二）在非定点零售药店购药的；</w:t>
      </w:r>
    </w:p>
    <w:p w14:paraId="3C835B99">
      <w:bookmarkStart w:id="2216" w:name="_Toc428780564"/>
      <w:r>
        <w:rPr>
          <w:rFonts w:hint="eastAsia"/>
        </w:rPr>
        <w:t>（三）因交通事故、医疗事故或者其他责任事故造成伤害的；</w:t>
      </w:r>
      <w:bookmarkEnd w:id="2216"/>
    </w:p>
    <w:p w14:paraId="6F894ACA">
      <w:r>
        <w:rPr>
          <w:rFonts w:hint="eastAsia"/>
        </w:rPr>
        <w:t>（四）因本人吸毒、打架斗殴或者因其他违法行为造成伤害的；</w:t>
      </w:r>
    </w:p>
    <w:p w14:paraId="09E65213">
      <w:bookmarkStart w:id="2217" w:name="_Toc428780565"/>
      <w:r>
        <w:rPr>
          <w:rFonts w:hint="eastAsia"/>
        </w:rPr>
        <w:t>（五）因自杀、自残、酗酒等原因进行治疗的；</w:t>
      </w:r>
      <w:bookmarkEnd w:id="2217"/>
    </w:p>
    <w:p w14:paraId="46E9C812">
      <w:r>
        <w:rPr>
          <w:rFonts w:hint="eastAsia"/>
        </w:rPr>
        <w:t>（六）在国外或者香港、澳门特别行政区以及台湾地区治疗的；</w:t>
      </w:r>
    </w:p>
    <w:p w14:paraId="3F97E136">
      <w:r>
        <w:rPr>
          <w:rFonts w:hint="eastAsia"/>
        </w:rPr>
        <w:t>（七）按照国家和本市规定应当由个人自付的。</w:t>
      </w:r>
    </w:p>
    <w:p w14:paraId="14BE0EEA">
      <w:pPr>
        <w:ind w:firstLine="422"/>
      </w:pPr>
      <w:r>
        <w:rPr>
          <w:rFonts w:hint="eastAsia"/>
          <w:b/>
        </w:rPr>
        <w:t>第三十一条</w:t>
      </w:r>
      <w:r>
        <w:rPr>
          <w:rFonts w:hint="eastAsia"/>
        </w:rPr>
        <w:t xml:space="preserve">  企业职工因工负伤、患职业病的医疗费用，按照工伤保险的有关规定执行。女职工生育的医疗费用，按照国家和本市的有关规定执行。</w:t>
      </w:r>
    </w:p>
    <w:p w14:paraId="1DC7F660">
      <w:pPr>
        <w:ind w:firstLine="422"/>
      </w:pPr>
      <w:r>
        <w:rPr>
          <w:rFonts w:hint="eastAsia"/>
          <w:b/>
        </w:rPr>
        <w:t>第三十二条</w:t>
      </w:r>
      <w:r>
        <w:rPr>
          <w:rFonts w:hint="eastAsia"/>
        </w:rPr>
        <w:t xml:space="preserve">  基本医疗保险统筹基金支付的起付标准按上一年本市职工平均工资的10%左右确定。个人在一个年度内第二次以及以后住院发生的医疗费用，基本医疗保险统筹基金支付的起付标准按上一年本市职工平均工资</w:t>
      </w:r>
      <w:r>
        <w:rPr>
          <w:rFonts w:hint="eastAsia" w:ascii="宋体" w:hAnsi="宋体" w:eastAsia="宋体" w:cs="宋体"/>
        </w:rPr>
        <w:t>的5%</w:t>
      </w:r>
      <w:r>
        <w:rPr>
          <w:rFonts w:hint="eastAsia"/>
        </w:rPr>
        <w:t>左右确定。</w:t>
      </w:r>
    </w:p>
    <w:p w14:paraId="0ACBB4A4">
      <w:pPr>
        <w:ind w:firstLine="422"/>
      </w:pPr>
      <w:r>
        <w:rPr>
          <w:rFonts w:hint="eastAsia"/>
          <w:b/>
        </w:rPr>
        <w:t>第三十三条</w:t>
      </w:r>
      <w:r>
        <w:rPr>
          <w:rFonts w:hint="eastAsia"/>
        </w:rPr>
        <w:t xml:space="preserve">  基本医疗保险统筹基金在一个年度内支付职工和退休人员的医疗费用累计最高支付限额按上一年本市职工平均工资</w:t>
      </w:r>
      <w:r>
        <w:rPr>
          <w:rFonts w:hint="eastAsia" w:ascii="宋体" w:hAnsi="宋体" w:eastAsia="宋体" w:cs="宋体"/>
        </w:rPr>
        <w:t>的4倍</w:t>
      </w:r>
      <w:r>
        <w:rPr>
          <w:rFonts w:hint="eastAsia"/>
        </w:rPr>
        <w:t>左右确定。</w:t>
      </w:r>
    </w:p>
    <w:p w14:paraId="21E9970B">
      <w:pPr>
        <w:ind w:firstLine="422"/>
      </w:pPr>
      <w:r>
        <w:rPr>
          <w:rFonts w:hint="eastAsia"/>
          <w:b/>
        </w:rPr>
        <w:t>第三十四条</w:t>
      </w:r>
      <w:r>
        <w:rPr>
          <w:rFonts w:hint="eastAsia"/>
        </w:rPr>
        <w:t xml:space="preserve">  基本医疗保险统筹基金支付的起付标准和最高支付限额需要调整时，由市劳动保障行政部门会同市财政部门提出，报市人民政府批准后，由市劳动保障行政部门发布。</w:t>
      </w:r>
    </w:p>
    <w:p w14:paraId="1D40DD42">
      <w:pPr>
        <w:ind w:firstLine="422"/>
      </w:pPr>
      <w:r>
        <w:rPr>
          <w:rFonts w:hint="eastAsia"/>
          <w:b/>
        </w:rPr>
        <w:t>第三十五条</w:t>
      </w:r>
      <w:r>
        <w:rPr>
          <w:rFonts w:hint="eastAsia"/>
        </w:rPr>
        <w:t xml:space="preserve">  基本医疗保险统筹基金支付医疗费用设定结算期。</w:t>
      </w:r>
    </w:p>
    <w:p w14:paraId="536937A2">
      <w:r>
        <w:rPr>
          <w:rFonts w:hint="eastAsia"/>
        </w:rPr>
        <w:t>结算期按职工和退休人员住院治疗的时间，恶性肿瘤放射治疗和化学治疗、肾透析、肾移植后服抗排异药门诊治疗的时间设定。</w:t>
      </w:r>
    </w:p>
    <w:p w14:paraId="1DB6A07E">
      <w:pPr>
        <w:ind w:firstLine="422"/>
      </w:pPr>
      <w:r>
        <w:rPr>
          <w:rFonts w:hint="eastAsia"/>
          <w:b/>
        </w:rPr>
        <w:t>第三十六条</w:t>
      </w:r>
      <w:r>
        <w:rPr>
          <w:rFonts w:hint="eastAsia"/>
        </w:rPr>
        <w:t xml:space="preserve">  在一个结算期内职工和退休人员发生的医疗费用，按医院等级和费用数额采取分段计算、累加支付的办法，由基本医疗保险统筹基金和个人按照以下比例分担：</w:t>
      </w:r>
    </w:p>
    <w:p w14:paraId="578BD575">
      <w:r>
        <w:rPr>
          <w:rFonts w:hint="eastAsia"/>
        </w:rPr>
        <w:t>（一）在三级医院发生的医疗费用：</w:t>
      </w:r>
    </w:p>
    <w:p w14:paraId="0C5D788E">
      <w:bookmarkStart w:id="2218" w:name="_Toc428780566"/>
      <w:r>
        <w:rPr>
          <w:rFonts w:hint="eastAsia"/>
        </w:rPr>
        <w:t>1．起付标准至</w:t>
      </w:r>
      <w:r>
        <w:rPr>
          <w:rFonts w:hint="eastAsia" w:ascii="宋体" w:hAnsi="宋体" w:eastAsia="宋体" w:cs="宋体"/>
        </w:rPr>
        <w:t>3万元的部分，统筹基金支付85%，职工支付15%</w:t>
      </w:r>
      <w:r>
        <w:rPr>
          <w:rFonts w:hint="eastAsia"/>
        </w:rPr>
        <w:t>；</w:t>
      </w:r>
      <w:bookmarkEnd w:id="2218"/>
    </w:p>
    <w:p w14:paraId="59547506">
      <w:r>
        <w:rPr>
          <w:rFonts w:hint="eastAsia"/>
        </w:rPr>
        <w:t>2．超过</w:t>
      </w:r>
      <w:r>
        <w:rPr>
          <w:rFonts w:hint="eastAsia" w:ascii="宋体" w:hAnsi="宋体" w:eastAsia="宋体" w:cs="宋体"/>
        </w:rPr>
        <w:t>3万元至4万元的部分，统筹基金支付90%，职工支付10%；</w:t>
      </w:r>
    </w:p>
    <w:p w14:paraId="43EF6156">
      <w:r>
        <w:rPr>
          <w:rFonts w:hint="eastAsia"/>
        </w:rPr>
        <w:t>3．超过</w:t>
      </w:r>
      <w:r>
        <w:rPr>
          <w:rFonts w:hint="eastAsia" w:ascii="宋体" w:hAnsi="宋体" w:eastAsia="宋体" w:cs="宋体"/>
        </w:rPr>
        <w:t>4万元的部分，统筹基金支付95%，职工支付5%。</w:t>
      </w:r>
    </w:p>
    <w:p w14:paraId="7A2E54AB">
      <w:r>
        <w:rPr>
          <w:rFonts w:hint="eastAsia"/>
        </w:rPr>
        <w:t>（二）在二级医院发生的医疗费用：</w:t>
      </w:r>
    </w:p>
    <w:p w14:paraId="3D86862B">
      <w:pPr>
        <w:rPr>
          <w:rFonts w:hint="eastAsia" w:ascii="宋体" w:hAnsi="宋体" w:eastAsia="宋体" w:cs="宋体"/>
        </w:rPr>
      </w:pPr>
      <w:bookmarkStart w:id="2219" w:name="_Toc428780567"/>
      <w:r>
        <w:rPr>
          <w:rFonts w:hint="eastAsia"/>
        </w:rPr>
        <w:t>1．起付标准至</w:t>
      </w:r>
      <w:r>
        <w:rPr>
          <w:rFonts w:hint="eastAsia" w:ascii="宋体" w:hAnsi="宋体" w:eastAsia="宋体" w:cs="宋体"/>
        </w:rPr>
        <w:t>3万元的部分，统筹基金支付87%，职工支付13%；</w:t>
      </w:r>
      <w:bookmarkEnd w:id="2219"/>
    </w:p>
    <w:p w14:paraId="3D5E764A">
      <w:pPr>
        <w:rPr>
          <w:rFonts w:hint="eastAsia" w:ascii="宋体" w:hAnsi="宋体" w:eastAsia="宋体" w:cs="宋体"/>
        </w:rPr>
      </w:pPr>
      <w:r>
        <w:rPr>
          <w:rFonts w:hint="eastAsia"/>
        </w:rPr>
        <w:t>2．超</w:t>
      </w:r>
      <w:r>
        <w:rPr>
          <w:rFonts w:hint="eastAsia" w:ascii="宋体" w:hAnsi="宋体" w:eastAsia="宋体" w:cs="宋体"/>
        </w:rPr>
        <w:t>过3万元至4万元的部分，统筹基金支付92%，职工支付8%；</w:t>
      </w:r>
    </w:p>
    <w:p w14:paraId="68458AF8">
      <w:r>
        <w:rPr>
          <w:rFonts w:hint="eastAsia"/>
        </w:rPr>
        <w:t>3．超过</w:t>
      </w:r>
      <w:r>
        <w:rPr>
          <w:rFonts w:hint="eastAsia" w:ascii="宋体" w:hAnsi="宋体" w:eastAsia="宋体" w:cs="宋体"/>
        </w:rPr>
        <w:t>4万元的部分，统筹基金支付97%，职工支付3%。</w:t>
      </w:r>
    </w:p>
    <w:p w14:paraId="6BB51C66">
      <w:r>
        <w:rPr>
          <w:rFonts w:hint="eastAsia"/>
        </w:rPr>
        <w:t>（三）在一级医院以及家庭病床发生的医疗费用：</w:t>
      </w:r>
    </w:p>
    <w:p w14:paraId="5AC37D18">
      <w:bookmarkStart w:id="2220" w:name="_Toc428780568"/>
      <w:r>
        <w:rPr>
          <w:rFonts w:hint="eastAsia"/>
        </w:rPr>
        <w:t>1．起付标</w:t>
      </w:r>
      <w:r>
        <w:rPr>
          <w:rFonts w:hint="eastAsia" w:ascii="宋体" w:hAnsi="宋体" w:eastAsia="宋体" w:cs="宋体"/>
        </w:rPr>
        <w:t>准至3万元的部分，统筹基金支付90%，职工支付10%；</w:t>
      </w:r>
      <w:bookmarkEnd w:id="2220"/>
    </w:p>
    <w:p w14:paraId="7C8BA422">
      <w:pPr>
        <w:rPr>
          <w:rFonts w:hint="eastAsia" w:ascii="宋体" w:hAnsi="宋体" w:eastAsia="宋体" w:cs="宋体"/>
        </w:rPr>
      </w:pPr>
      <w:r>
        <w:rPr>
          <w:rFonts w:hint="eastAsia"/>
        </w:rPr>
        <w:t>2．超过</w:t>
      </w:r>
      <w:r>
        <w:rPr>
          <w:rFonts w:hint="eastAsia" w:ascii="宋体" w:hAnsi="宋体" w:eastAsia="宋体" w:cs="宋体"/>
        </w:rPr>
        <w:t>3万元至4万元的部分，统筹基金支付95%，职工支付5%；</w:t>
      </w:r>
    </w:p>
    <w:p w14:paraId="3686EC8B">
      <w:r>
        <w:rPr>
          <w:rFonts w:hint="eastAsia"/>
        </w:rPr>
        <w:t>3．超</w:t>
      </w:r>
      <w:r>
        <w:rPr>
          <w:rFonts w:hint="eastAsia" w:ascii="宋体" w:hAnsi="宋体" w:eastAsia="宋体" w:cs="宋体"/>
        </w:rPr>
        <w:t>过4万元的部分，统筹基金支付97%，职工支付3%。</w:t>
      </w:r>
    </w:p>
    <w:p w14:paraId="2463FCA7">
      <w:r>
        <w:rPr>
          <w:rFonts w:hint="eastAsia"/>
        </w:rPr>
        <w:t>（四）退休人员个人支付比例为职工支付比例的</w:t>
      </w:r>
      <w:r>
        <w:rPr>
          <w:rFonts w:hint="eastAsia" w:ascii="宋体" w:hAnsi="宋体" w:eastAsia="宋体" w:cs="宋体"/>
        </w:rPr>
        <w:t>60%。</w:t>
      </w:r>
    </w:p>
    <w:p w14:paraId="44991EB7">
      <w:r>
        <w:rPr>
          <w:rFonts w:hint="eastAsia"/>
        </w:rPr>
        <w:t>但基本医疗保险统筹基金按照比例支付的最高数额不得超过本规定第三十三条规定的最高支付限额。</w:t>
      </w:r>
    </w:p>
    <w:p w14:paraId="19279FBB">
      <w:r>
        <w:rPr>
          <w:rFonts w:hint="eastAsia"/>
        </w:rPr>
        <w:t>本条第一款所列基本医疗保险统筹基金支付比例需要调整时，由市劳动保障行政部门会同市财政部门提出调整方案，报市人民政府批准后公布施行。</w:t>
      </w:r>
    </w:p>
    <w:p w14:paraId="29795973"/>
    <w:p w14:paraId="491FFC42">
      <w:pPr>
        <w:ind w:firstLine="0" w:firstLineChars="0"/>
        <w:jc w:val="center"/>
        <w:rPr>
          <w:b/>
          <w:sz w:val="28"/>
        </w:rPr>
      </w:pPr>
      <w:r>
        <w:rPr>
          <w:rFonts w:hint="eastAsia"/>
          <w:b/>
          <w:sz w:val="28"/>
        </w:rPr>
        <w:t>第五章  补充医疗保险</w:t>
      </w:r>
    </w:p>
    <w:p w14:paraId="04965BD6"/>
    <w:p w14:paraId="3A5A9494">
      <w:pPr>
        <w:ind w:firstLine="422"/>
      </w:pPr>
      <w:r>
        <w:rPr>
          <w:rFonts w:hint="eastAsia"/>
          <w:b/>
        </w:rPr>
        <w:t>第三十七条</w:t>
      </w:r>
      <w:r>
        <w:rPr>
          <w:rFonts w:hint="eastAsia"/>
        </w:rPr>
        <w:t xml:space="preserve">  建立大额医疗费用互助制度。大额医疗费用互助资金按比例支付职工和退休人员在一个年度内累计超过一定数额的门诊、急诊医疗费用和超过基本医疗保险统筹基金最高支付限额（不含起付标准以下以及个人负担部分）的医疗费用。参加基本医疗保险的用人单位及其职工和退休人员应当参加大额医疗费用互助，但实行国家公务员医疗补助办法的用人单位及其职工和退休人员除外。</w:t>
      </w:r>
    </w:p>
    <w:p w14:paraId="44F4BEA1">
      <w:r>
        <w:rPr>
          <w:rFonts w:hint="eastAsia"/>
        </w:rPr>
        <w:t>大额医疗费用互助办法由市劳动保障行政部门会同市财政部门制定。</w:t>
      </w:r>
    </w:p>
    <w:p w14:paraId="507D5ADA">
      <w:pPr>
        <w:ind w:firstLine="422"/>
      </w:pPr>
      <w:r>
        <w:rPr>
          <w:rFonts w:hint="eastAsia"/>
          <w:b/>
        </w:rPr>
        <w:t>第三十八条</w:t>
      </w:r>
      <w:r>
        <w:rPr>
          <w:rFonts w:hint="eastAsia"/>
        </w:rPr>
        <w:t xml:space="preserve">  大额医疗费用互助资金由用人单位和个人共同缴纳。用人单位按全部职工缴费工资基数之和的</w:t>
      </w:r>
      <w:r>
        <w:rPr>
          <w:rFonts w:hint="eastAsia" w:ascii="宋体" w:hAnsi="宋体" w:eastAsia="宋体" w:cs="宋体"/>
        </w:rPr>
        <w:t>1%</w:t>
      </w:r>
      <w:r>
        <w:rPr>
          <w:rFonts w:hint="eastAsia"/>
        </w:rPr>
        <w:t>缴纳，职工和退休人员个人按每月</w:t>
      </w:r>
      <w:r>
        <w:rPr>
          <w:rFonts w:hint="eastAsia" w:ascii="宋体" w:hAnsi="宋体" w:eastAsia="宋体" w:cs="宋体"/>
        </w:rPr>
        <w:t>3</w:t>
      </w:r>
      <w:r>
        <w:rPr>
          <w:rFonts w:hint="eastAsia"/>
        </w:rPr>
        <w:t>元缴纳。大额医疗费用互助资金在每月缴纳基本医疗保险费时一并缴纳。</w:t>
      </w:r>
    </w:p>
    <w:p w14:paraId="31839609">
      <w:r>
        <w:rPr>
          <w:rFonts w:hint="eastAsia"/>
        </w:rPr>
        <w:t>大额医疗费用互助资金不足支付时，财政给予适当补贴。</w:t>
      </w:r>
    </w:p>
    <w:p w14:paraId="5803307D">
      <w:r>
        <w:rPr>
          <w:rFonts w:hint="eastAsia"/>
        </w:rPr>
        <w:t>大额医疗费用互助资金缴费比例、缴费金额需要调整时，由市劳动保障行政部门会同市财政部门提出，报市人民政府批准。</w:t>
      </w:r>
    </w:p>
    <w:p w14:paraId="1723C7E5">
      <w:pPr>
        <w:ind w:firstLine="422"/>
      </w:pPr>
      <w:r>
        <w:rPr>
          <w:rFonts w:hint="eastAsia"/>
          <w:b/>
        </w:rPr>
        <w:t>第三十九条</w:t>
      </w:r>
      <w:r>
        <w:rPr>
          <w:rFonts w:hint="eastAsia"/>
        </w:rPr>
        <w:t xml:space="preserve">  大额医疗费用互助资金实行全市统筹，单独列帐，纳入社会保障基金财政专户，按照基本医疗保险基金计息办法计息。</w:t>
      </w:r>
    </w:p>
    <w:p w14:paraId="69F9C587">
      <w:r>
        <w:rPr>
          <w:rFonts w:hint="eastAsia"/>
        </w:rPr>
        <w:t>大额医疗费用互助资金由社会保险经办机构负责统一筹集、管理和使用。</w:t>
      </w:r>
    </w:p>
    <w:p w14:paraId="76FC3174">
      <w:pPr>
        <w:ind w:firstLine="422"/>
      </w:pPr>
      <w:r>
        <w:rPr>
          <w:rFonts w:hint="eastAsia"/>
          <w:b/>
        </w:rPr>
        <w:t>第四十条</w:t>
      </w:r>
      <w:r>
        <w:rPr>
          <w:rFonts w:hint="eastAsia"/>
        </w:rPr>
        <w:t xml:space="preserve">  大额医疗费用互助资金对符合基本医疗保险规定的大额医疗费用按照下列办法支付：</w:t>
      </w:r>
    </w:p>
    <w:p w14:paraId="252E7261">
      <w:pPr>
        <w:rPr>
          <w:rFonts w:hint="eastAsia" w:ascii="宋体" w:hAnsi="宋体" w:eastAsia="宋体" w:cs="宋体"/>
        </w:rPr>
      </w:pPr>
      <w:r>
        <w:rPr>
          <w:rFonts w:hint="eastAsia"/>
        </w:rPr>
        <w:t>（一）职工在一个年度内</w:t>
      </w:r>
      <w:r>
        <w:rPr>
          <w:rFonts w:hint="eastAsia" w:ascii="宋体" w:hAnsi="宋体" w:eastAsia="宋体" w:cs="宋体"/>
        </w:rPr>
        <w:t>门诊、急诊医疗费用累计超过2000元的部分，大额医疗费用互助资金支付50%，个人支付50%。</w:t>
      </w:r>
    </w:p>
    <w:p w14:paraId="01B1B57D">
      <w:pPr>
        <w:rPr>
          <w:rFonts w:hint="eastAsia" w:ascii="宋体" w:hAnsi="宋体" w:eastAsia="宋体" w:cs="宋体"/>
        </w:rPr>
      </w:pPr>
      <w:r>
        <w:rPr>
          <w:rFonts w:hint="eastAsia" w:ascii="宋体" w:hAnsi="宋体" w:eastAsia="宋体" w:cs="宋体"/>
        </w:rPr>
        <w:t>（二）退休人员在一个年度内门诊、急诊医疗费用累计超过1300元的部分，不满70周岁的退休人员，大额医疗费用互助资金支付70%，个人支付30%；70周岁以上的退休人员，大额医疗费用互助资金支付80%，个人支付20%。</w:t>
      </w:r>
    </w:p>
    <w:p w14:paraId="35A73F88">
      <w:pPr>
        <w:rPr>
          <w:rFonts w:hint="eastAsia" w:ascii="宋体" w:hAnsi="宋体" w:eastAsia="宋体" w:cs="宋体"/>
        </w:rPr>
      </w:pPr>
      <w:r>
        <w:rPr>
          <w:rFonts w:hint="eastAsia" w:ascii="宋体" w:hAnsi="宋体" w:eastAsia="宋体" w:cs="宋体"/>
        </w:rPr>
        <w:t>（三）大额医疗费用互助资金在一个年度内累计支付职工和退休人员门诊、急诊医疗费用的最高数额为2万元。</w:t>
      </w:r>
    </w:p>
    <w:p w14:paraId="7843B971">
      <w:pPr>
        <w:rPr>
          <w:rFonts w:hint="eastAsia" w:ascii="宋体" w:hAnsi="宋体" w:eastAsia="宋体" w:cs="宋体"/>
        </w:rPr>
      </w:pPr>
      <w:r>
        <w:rPr>
          <w:rFonts w:hint="eastAsia"/>
        </w:rPr>
        <w:t>（四）职工和退休人员在一个年度内超过基本医疗保险统筹基金最高支付限额（不含起付标准以下以及个人负担部分）的住院医疗费用，恶性肿瘤放射治疗和化学治疗、肾透析、肾移植后服抗排异药的门诊医疗费用，大额医疗费用互助资</w:t>
      </w:r>
      <w:r>
        <w:rPr>
          <w:rFonts w:hint="eastAsia" w:ascii="宋体" w:hAnsi="宋体" w:eastAsia="宋体" w:cs="宋体"/>
        </w:rPr>
        <w:t>金支付70%，个人支付30%。但大额医疗费用互助资金在一个年度内累计支付最高数额为10万元。</w:t>
      </w:r>
    </w:p>
    <w:p w14:paraId="0F829E51">
      <w:r>
        <w:rPr>
          <w:rFonts w:hint="eastAsia"/>
        </w:rPr>
        <w:t>大额医疗费用互助资金起付标准、支付比例、最高支付限额需要调整时，由市劳动保障行政部门会同市财政部门提出，报市人民政府批准。</w:t>
      </w:r>
    </w:p>
    <w:p w14:paraId="485060B5">
      <w:pPr>
        <w:ind w:firstLine="422"/>
      </w:pPr>
      <w:r>
        <w:rPr>
          <w:rFonts w:hint="eastAsia"/>
          <w:b/>
        </w:rPr>
        <w:t>第四十一条</w:t>
      </w:r>
      <w:r>
        <w:rPr>
          <w:rFonts w:hint="eastAsia"/>
        </w:rPr>
        <w:t xml:space="preserve">  参加基本医疗保险的企业和事业单位可以建立补充医疗保险。企业补充医疗保险费在本企业职工工资总额</w:t>
      </w:r>
      <w:r>
        <w:rPr>
          <w:rFonts w:hint="eastAsia" w:ascii="宋体" w:hAnsi="宋体" w:eastAsia="宋体" w:cs="宋体"/>
        </w:rPr>
        <w:t>4%以内的</w:t>
      </w:r>
      <w:r>
        <w:rPr>
          <w:rFonts w:hint="eastAsia"/>
        </w:rPr>
        <w:t>部分，列入成本。</w:t>
      </w:r>
    </w:p>
    <w:p w14:paraId="324F8F4B">
      <w:r>
        <w:rPr>
          <w:rFonts w:hint="eastAsia"/>
        </w:rPr>
        <w:t>补充医疗保险办法由市劳动保障行政部门会同市财政部门制定。</w:t>
      </w:r>
    </w:p>
    <w:p w14:paraId="2B40412A">
      <w:pPr>
        <w:ind w:firstLine="422"/>
      </w:pPr>
      <w:r>
        <w:rPr>
          <w:rFonts w:hint="eastAsia"/>
          <w:b/>
        </w:rPr>
        <w:t>第四十二条</w:t>
      </w:r>
      <w:r>
        <w:rPr>
          <w:rFonts w:hint="eastAsia"/>
        </w:rPr>
        <w:t xml:space="preserve">  国家公务员在参加基本医疗保险的基础上，享受医疗补助待遇，具体办法由市劳动保障行政部门会同市财政部门提出，报市人民政府批准后施行。</w:t>
      </w:r>
    </w:p>
    <w:p w14:paraId="2F5713CE">
      <w:pPr>
        <w:ind w:firstLine="422"/>
      </w:pPr>
      <w:r>
        <w:rPr>
          <w:rFonts w:hint="eastAsia"/>
          <w:b/>
        </w:rPr>
        <w:t>第四十三条</w:t>
      </w:r>
      <w:r>
        <w:rPr>
          <w:rFonts w:hint="eastAsia"/>
        </w:rPr>
        <w:t xml:space="preserve">  对于享受本市城镇居民家庭最低生活保障的职工和退休人员，在个人负担的医疗费用上给予照顾。</w:t>
      </w:r>
    </w:p>
    <w:p w14:paraId="1D979A88">
      <w:r>
        <w:rPr>
          <w:rFonts w:hint="eastAsia"/>
        </w:rPr>
        <w:t>本市设立特困人员医疗救助资金，有关部门应当采取措施，多方筹集资金，解决特困人员因医疗费支出过大造成的困难。</w:t>
      </w:r>
    </w:p>
    <w:p w14:paraId="3A8B6978"/>
    <w:p w14:paraId="4CA8FC4A">
      <w:pPr>
        <w:ind w:firstLine="0" w:firstLineChars="0"/>
        <w:jc w:val="center"/>
        <w:rPr>
          <w:b/>
          <w:sz w:val="28"/>
        </w:rPr>
      </w:pPr>
      <w:r>
        <w:rPr>
          <w:rFonts w:hint="eastAsia"/>
          <w:b/>
          <w:sz w:val="28"/>
        </w:rPr>
        <w:t>第六章  医疗管理</w:t>
      </w:r>
    </w:p>
    <w:p w14:paraId="4C3B1042"/>
    <w:p w14:paraId="4EA5FD20">
      <w:pPr>
        <w:ind w:firstLine="422"/>
      </w:pPr>
      <w:r>
        <w:rPr>
          <w:rFonts w:hint="eastAsia"/>
          <w:b/>
        </w:rPr>
        <w:t>第四十四条</w:t>
      </w:r>
      <w:r>
        <w:rPr>
          <w:rFonts w:hint="eastAsia"/>
        </w:rPr>
        <w:t xml:space="preserve">  本市医疗保险实行定点医疗制度。按照“就近就医、方便管理”的原则，职工和退休人员</w:t>
      </w:r>
      <w:r>
        <w:rPr>
          <w:rFonts w:hint="eastAsia" w:ascii="宋体" w:hAnsi="宋体" w:eastAsia="宋体" w:cs="宋体"/>
        </w:rPr>
        <w:t>可选择3至5家定点医疗机构，由所在单位汇总后，报单位所在地区、县社会保险经办机构，由社会保险经办机构统</w:t>
      </w:r>
      <w:r>
        <w:rPr>
          <w:rFonts w:hint="eastAsia"/>
        </w:rPr>
        <w:t>筹确定。定点专科医疗机构和定点中医医疗机构为全体参保职工和退休人员共同的定点医疗机构。</w:t>
      </w:r>
    </w:p>
    <w:p w14:paraId="2AF89599">
      <w:r>
        <w:rPr>
          <w:rFonts w:hint="eastAsia"/>
        </w:rPr>
        <w:t>职工和退休人员患病时，按照规定持医疗保险凭证到本人定点医疗机构就诊，也可凭定点医疗机构经治医师开具的处方到定点零售药店购药。</w:t>
      </w:r>
    </w:p>
    <w:p w14:paraId="4E12BE8F">
      <w:pPr>
        <w:ind w:firstLine="422"/>
      </w:pPr>
      <w:r>
        <w:rPr>
          <w:rFonts w:hint="eastAsia"/>
          <w:b/>
        </w:rPr>
        <w:t>第四十五条</w:t>
      </w:r>
      <w:r>
        <w:rPr>
          <w:rFonts w:hint="eastAsia"/>
        </w:rPr>
        <w:t xml:space="preserve">  愿意承担基本医疗保险定点服务的医疗机构和零售药店，可以向劳动保障行政部门提出申请，对符合条件的，由市劳动保障行政部门认定为定点医疗机构和定点零售药店，核发资格证书，并向社会公布。取得定点资格并被确定为定点医疗机构、定点零售药店的，与社会保险经办机构签定协议。</w:t>
      </w:r>
    </w:p>
    <w:p w14:paraId="24E43FB3">
      <w:r>
        <w:rPr>
          <w:rFonts w:hint="eastAsia"/>
        </w:rPr>
        <w:t>定点医疗机构、定点零售药店的管理办法，由市劳动保障行政部门会同市财政、卫生、中医管理和药品监督等部门制定。</w:t>
      </w:r>
    </w:p>
    <w:p w14:paraId="0097618D">
      <w:pPr>
        <w:ind w:firstLine="422"/>
      </w:pPr>
      <w:r>
        <w:rPr>
          <w:rFonts w:hint="eastAsia"/>
          <w:b/>
        </w:rPr>
        <w:t>第四十六条</w:t>
      </w:r>
      <w:r>
        <w:rPr>
          <w:rFonts w:hint="eastAsia"/>
        </w:rPr>
        <w:t xml:space="preserve">  有关部门对定点医疗机构和定点零售药店要实行动态管理。定点医疗机构、定点零售药店要严格执行国家和本市规定的价格政策和标准，执行基本医疗保险制度的有关规定，建立与基本医疗保险管理相适应的内部管理制度。</w:t>
      </w:r>
    </w:p>
    <w:p w14:paraId="6BEF37F3">
      <w:pPr>
        <w:ind w:firstLine="422"/>
      </w:pPr>
      <w:r>
        <w:rPr>
          <w:rFonts w:hint="eastAsia"/>
          <w:b/>
        </w:rPr>
        <w:t>第四十七条</w:t>
      </w:r>
      <w:r>
        <w:rPr>
          <w:rFonts w:hint="eastAsia"/>
        </w:rPr>
        <w:t xml:space="preserve">  定点医疗机构应当设立专门机构或者设置专职人员负责基本医疗保险的具体工作，严格执行国家和本市有关医疗服务的管理规定和标准，制定并执行常见病诊疗常规，建立医疗质量效益综合评估标准，准确提供参加基本医疗保险人员门诊、急诊、住院和单病种等有关资料。</w:t>
      </w:r>
    </w:p>
    <w:p w14:paraId="524CE2F3">
      <w:pPr>
        <w:ind w:firstLine="422"/>
      </w:pPr>
      <w:r>
        <w:rPr>
          <w:rFonts w:hint="eastAsia"/>
          <w:b/>
        </w:rPr>
        <w:t>第四十八条</w:t>
      </w:r>
      <w:r>
        <w:rPr>
          <w:rFonts w:hint="eastAsia"/>
        </w:rPr>
        <w:t xml:space="preserve">  定点零售药店应当配备人员负责基本医疗保险的具体工作，遵守国家和本市有关药品管理的规定，建立药品质量保证制度，做到供药安全、有效。</w:t>
      </w:r>
    </w:p>
    <w:p w14:paraId="4C52D1FF">
      <w:pPr>
        <w:ind w:firstLine="422"/>
      </w:pPr>
      <w:r>
        <w:rPr>
          <w:rFonts w:hint="eastAsia"/>
          <w:b/>
        </w:rPr>
        <w:t>第四十九条</w:t>
      </w:r>
      <w:r>
        <w:rPr>
          <w:rFonts w:hint="eastAsia"/>
        </w:rPr>
        <w:t xml:space="preserve">  门诊、急诊医疗费用和住院医疗费用中由个人支付的部分，以及在定点零售药店购药的费用，由个人与定点医疗机构、定点零售药店直接结算；基本医疗保险统筹基金支付的医疗费用，由社会保险经办机构审核后与定点医疗机构进行结算。具体办法由市劳动保障行政部门会同市财政、卫生部门另行制定。</w:t>
      </w:r>
    </w:p>
    <w:p w14:paraId="2F6BA3A2">
      <w:pPr>
        <w:ind w:firstLine="422"/>
      </w:pPr>
      <w:r>
        <w:rPr>
          <w:rFonts w:hint="eastAsia"/>
          <w:b/>
        </w:rPr>
        <w:t>第五十条</w:t>
      </w:r>
      <w:r>
        <w:rPr>
          <w:rFonts w:hint="eastAsia"/>
        </w:rPr>
        <w:t xml:space="preserve">  改革城镇医疗卫生服务体系，大力发展社区卫生服务，方便人民群众就医。通过引入竞争机制，抑制医疗费用的过快增长，减轻人民群众和社会的负担。建立新的医疗机构分类管理制度，实行医药分开核算、分别管理和药品集中招标采购制度，加强对医疗服务和药品价格的监管。</w:t>
      </w:r>
    </w:p>
    <w:p w14:paraId="42721928"/>
    <w:p w14:paraId="151F5C2B">
      <w:pPr>
        <w:ind w:firstLine="0" w:firstLineChars="0"/>
        <w:jc w:val="center"/>
        <w:rPr>
          <w:b/>
          <w:sz w:val="28"/>
        </w:rPr>
      </w:pPr>
      <w:r>
        <w:rPr>
          <w:rFonts w:hint="eastAsia"/>
          <w:b/>
          <w:sz w:val="28"/>
        </w:rPr>
        <w:t>第七章  组织管理和监督</w:t>
      </w:r>
    </w:p>
    <w:p w14:paraId="7E40974F"/>
    <w:p w14:paraId="24CB1F1D">
      <w:pPr>
        <w:ind w:firstLine="422"/>
      </w:pPr>
      <w:r>
        <w:rPr>
          <w:rFonts w:hint="eastAsia"/>
          <w:b/>
        </w:rPr>
        <w:t>第五十一条</w:t>
      </w:r>
      <w:r>
        <w:rPr>
          <w:rFonts w:hint="eastAsia"/>
        </w:rPr>
        <w:t xml:space="preserve">  本市医疗保险实行行政管理、基金管理与事务经办分开管理的体制。</w:t>
      </w:r>
    </w:p>
    <w:p w14:paraId="2A749014">
      <w:pPr>
        <w:ind w:firstLine="422"/>
      </w:pPr>
      <w:r>
        <w:rPr>
          <w:rFonts w:hint="eastAsia"/>
          <w:b/>
        </w:rPr>
        <w:t>第五十二条</w:t>
      </w:r>
      <w:r>
        <w:rPr>
          <w:rFonts w:hint="eastAsia"/>
        </w:rPr>
        <w:t xml:space="preserve">  劳动保障行政部门的职责是：</w:t>
      </w:r>
    </w:p>
    <w:p w14:paraId="0E655372">
      <w:bookmarkStart w:id="2221" w:name="_Toc428780569"/>
      <w:r>
        <w:rPr>
          <w:rFonts w:hint="eastAsia"/>
        </w:rPr>
        <w:t>（一）贯彻执行医疗保险的法律、法规和有关规定；</w:t>
      </w:r>
      <w:bookmarkEnd w:id="2221"/>
    </w:p>
    <w:p w14:paraId="2A635B51">
      <w:r>
        <w:rPr>
          <w:rFonts w:hint="eastAsia"/>
        </w:rPr>
        <w:t>（二）组织实施医疗保险制度；</w:t>
      </w:r>
    </w:p>
    <w:p w14:paraId="78A6EE57">
      <w:r>
        <w:rPr>
          <w:rFonts w:hint="eastAsia"/>
        </w:rPr>
        <w:t>（三）研究制定医疗保险的政策和发展规划；</w:t>
      </w:r>
    </w:p>
    <w:p w14:paraId="43C48DE0">
      <w:r>
        <w:rPr>
          <w:rFonts w:hint="eastAsia"/>
        </w:rPr>
        <w:t>（四）指导社会保险经办机构的工作；</w:t>
      </w:r>
    </w:p>
    <w:p w14:paraId="0CAC3CF1">
      <w:r>
        <w:rPr>
          <w:rFonts w:hint="eastAsia"/>
        </w:rPr>
        <w:t>（五）监督检查医疗保险费的征缴和医疗保险基金的支付；</w:t>
      </w:r>
    </w:p>
    <w:p w14:paraId="23FD6B54">
      <w:r>
        <w:rPr>
          <w:rFonts w:hint="eastAsia"/>
        </w:rPr>
        <w:t>（六）监督检查定点医疗机构、定点零售药店执行基本医疗保险规定的情况。</w:t>
      </w:r>
    </w:p>
    <w:p w14:paraId="047AADC1">
      <w:pPr>
        <w:ind w:firstLine="422"/>
      </w:pPr>
      <w:r>
        <w:rPr>
          <w:rFonts w:hint="eastAsia"/>
          <w:b/>
        </w:rPr>
        <w:t>第五十三条</w:t>
      </w:r>
      <w:r>
        <w:rPr>
          <w:rFonts w:hint="eastAsia"/>
        </w:rPr>
        <w:t xml:space="preserve">  社会保险经办机构的职责是：</w:t>
      </w:r>
    </w:p>
    <w:p w14:paraId="7CDEFB05">
      <w:bookmarkStart w:id="2222" w:name="_Toc428780570"/>
      <w:r>
        <w:rPr>
          <w:rFonts w:hint="eastAsia"/>
        </w:rPr>
        <w:t>（一）按照规定负责医疗保险费的收缴和医疗保险基金的支付和管理；</w:t>
      </w:r>
      <w:bookmarkEnd w:id="2222"/>
    </w:p>
    <w:p w14:paraId="50C622C6">
      <w:r>
        <w:rPr>
          <w:rFonts w:hint="eastAsia"/>
        </w:rPr>
        <w:t>（二）编制医疗保险基金预算、决算；</w:t>
      </w:r>
    </w:p>
    <w:p w14:paraId="448ED0F8">
      <w:bookmarkStart w:id="2223" w:name="_Toc428780571"/>
      <w:r>
        <w:rPr>
          <w:rFonts w:hint="eastAsia"/>
        </w:rPr>
        <w:t>（三）按照规定建立和管理基本医疗保险个人</w:t>
      </w:r>
      <w:r>
        <w:rPr>
          <w:rFonts w:hint="eastAsia"/>
          <w:lang w:eastAsia="zh-CN"/>
        </w:rPr>
        <w:t>账户</w:t>
      </w:r>
      <w:r>
        <w:rPr>
          <w:rFonts w:hint="eastAsia"/>
        </w:rPr>
        <w:t>；</w:t>
      </w:r>
      <w:bookmarkEnd w:id="2223"/>
    </w:p>
    <w:p w14:paraId="320D304F">
      <w:r>
        <w:rPr>
          <w:rFonts w:hint="eastAsia"/>
        </w:rPr>
        <w:t>（四）按照规定与定点医疗机构、定点零售药店签订协议，审核支付医疗保险费用，对定点医疗机构、定点零售药店的医疗保险工作进行指导；</w:t>
      </w:r>
    </w:p>
    <w:p w14:paraId="0858F08F">
      <w:r>
        <w:rPr>
          <w:rFonts w:hint="eastAsia"/>
        </w:rPr>
        <w:t>（五）提供医疗保险查询、咨询服务；</w:t>
      </w:r>
    </w:p>
    <w:p w14:paraId="69EE27FE">
      <w:r>
        <w:rPr>
          <w:rFonts w:hint="eastAsia"/>
        </w:rPr>
        <w:t>（六）国家和本市规定的其他职责。</w:t>
      </w:r>
    </w:p>
    <w:p w14:paraId="5ED45D75">
      <w:pPr>
        <w:ind w:firstLine="422"/>
      </w:pPr>
      <w:r>
        <w:rPr>
          <w:rFonts w:hint="eastAsia"/>
          <w:b/>
        </w:rPr>
        <w:t>第五十四条</w:t>
      </w:r>
      <w:r>
        <w:rPr>
          <w:rFonts w:hint="eastAsia"/>
        </w:rPr>
        <w:t xml:space="preserve">  社会保险经办机构所需经费，列入财政预算，由财政拨付。</w:t>
      </w:r>
    </w:p>
    <w:p w14:paraId="7ACA15D6">
      <w:pPr>
        <w:ind w:firstLine="422"/>
      </w:pPr>
      <w:r>
        <w:rPr>
          <w:rFonts w:hint="eastAsia"/>
          <w:b/>
        </w:rPr>
        <w:t>第五十五条</w:t>
      </w:r>
      <w:r>
        <w:rPr>
          <w:rFonts w:hint="eastAsia"/>
        </w:rPr>
        <w:t xml:space="preserve">  劳动保障、卫生、中医管理、药品监督、物价等部门应当加强对用人单位和参加医疗保险的个人、定点医疗机构、定点零售药店的管理和监督检查。</w:t>
      </w:r>
    </w:p>
    <w:p w14:paraId="74D5B662">
      <w:r>
        <w:rPr>
          <w:rFonts w:hint="eastAsia"/>
        </w:rPr>
        <w:t>用人单位和参加医疗保险的个人、定点医疗机构、定点零售药店发生违反本规定、骗取医疗保险基金行为的，由劳动保障行政部门将其记入医疗保险信用信息系统，实施重点监督检查。在重点监督检查期间可以采取必要的限制措施。</w:t>
      </w:r>
    </w:p>
    <w:p w14:paraId="78C7F3AD">
      <w:pPr>
        <w:ind w:firstLine="422"/>
      </w:pPr>
      <w:r>
        <w:rPr>
          <w:rFonts w:hint="eastAsia"/>
          <w:b/>
        </w:rPr>
        <w:t>第五十六条</w:t>
      </w:r>
      <w:r>
        <w:rPr>
          <w:rFonts w:hint="eastAsia"/>
        </w:rPr>
        <w:t xml:space="preserve">  财政、审计部门依法负责对社会保险经办机构的医疗保险基金收支情况和管理情况进行监督。</w:t>
      </w:r>
    </w:p>
    <w:p w14:paraId="21FEB602">
      <w:pPr>
        <w:ind w:firstLine="422"/>
      </w:pPr>
      <w:r>
        <w:rPr>
          <w:rFonts w:hint="eastAsia"/>
          <w:b/>
        </w:rPr>
        <w:t>第五十七条</w:t>
      </w:r>
      <w:r>
        <w:rPr>
          <w:rFonts w:hint="eastAsia"/>
        </w:rPr>
        <w:t xml:space="preserve">  社会保险监督委员会按照有关规定负责监督有关法律、法规和政策的执行情况以及医疗保险基金的管理情况。</w:t>
      </w:r>
    </w:p>
    <w:p w14:paraId="6BE725A6">
      <w:pPr>
        <w:spacing w:line="300" w:lineRule="exact"/>
      </w:pPr>
    </w:p>
    <w:p w14:paraId="39EAAECC">
      <w:pPr>
        <w:ind w:firstLine="0" w:firstLineChars="0"/>
        <w:jc w:val="center"/>
        <w:rPr>
          <w:b/>
          <w:sz w:val="28"/>
        </w:rPr>
      </w:pPr>
      <w:r>
        <w:rPr>
          <w:rFonts w:hint="eastAsia"/>
          <w:b/>
          <w:sz w:val="28"/>
        </w:rPr>
        <w:t>第八章  法律责任</w:t>
      </w:r>
    </w:p>
    <w:p w14:paraId="1B2F2E2D">
      <w:pPr>
        <w:spacing w:line="300" w:lineRule="exact"/>
      </w:pPr>
    </w:p>
    <w:p w14:paraId="7C1C90CD">
      <w:pPr>
        <w:ind w:firstLine="422"/>
      </w:pPr>
      <w:r>
        <w:rPr>
          <w:rFonts w:hint="eastAsia"/>
          <w:b/>
        </w:rPr>
        <w:t>第五十八条</w:t>
      </w:r>
      <w:r>
        <w:rPr>
          <w:rFonts w:hint="eastAsia"/>
        </w:rPr>
        <w:t xml:space="preserve">  用人单位不按照规定缴纳基本医疗保险费或者大额医疗费用互助资金，致使基本医疗保险基金未能按照规定划入个人</w:t>
      </w:r>
      <w:r>
        <w:rPr>
          <w:rFonts w:hint="eastAsia"/>
          <w:lang w:eastAsia="zh-CN"/>
        </w:rPr>
        <w:t>账户</w:t>
      </w:r>
      <w:r>
        <w:rPr>
          <w:rFonts w:hint="eastAsia"/>
        </w:rPr>
        <w:t>，职工和退休人员不能享受相关医疗保险待遇的，用人单位应当赔偿职工和退休人员由此造成的损失。</w:t>
      </w:r>
    </w:p>
    <w:p w14:paraId="03BB5C26">
      <w:pPr>
        <w:ind w:firstLine="422"/>
      </w:pPr>
      <w:r>
        <w:rPr>
          <w:rFonts w:hint="eastAsia"/>
          <w:b/>
        </w:rPr>
        <w:t>第五十九条</w:t>
      </w:r>
      <w:r>
        <w:rPr>
          <w:rFonts w:hint="eastAsia"/>
        </w:rPr>
        <w:t xml:space="preserve">  用人单位不按照规定缴纳基本医疗保险费或者不按照规定申报基本医疗保险缴费工资基数，致使基本医疗保险费漏缴、少缴，或者不按照规定代扣代缴基本医疗保险费的，由劳动保障行政部门责令限期缴纳；逾期仍不缴纳的，除补缴欠缴数额外，从欠缴之日起，按日加收千分之二的滞纳金。</w:t>
      </w:r>
    </w:p>
    <w:p w14:paraId="38414EC8">
      <w:pPr>
        <w:ind w:firstLine="422"/>
      </w:pPr>
      <w:r>
        <w:rPr>
          <w:rFonts w:hint="eastAsia"/>
          <w:b/>
        </w:rPr>
        <w:t>第六十条</w:t>
      </w:r>
      <w:r>
        <w:rPr>
          <w:rFonts w:hint="eastAsia"/>
        </w:rPr>
        <w:t xml:space="preserve">  用人单位不按照规定参加基本医疗保险和缴纳基本医疗保险费的，由劳动保障行政部门按照国务院《社会保险费征缴暂行条例》的规定进行处罚。</w:t>
      </w:r>
    </w:p>
    <w:p w14:paraId="714507EF">
      <w:pPr>
        <w:ind w:firstLine="422"/>
      </w:pPr>
      <w:r>
        <w:rPr>
          <w:rFonts w:hint="eastAsia"/>
          <w:b/>
        </w:rPr>
        <w:t>第六十一条</w:t>
      </w:r>
      <w:r>
        <w:rPr>
          <w:rFonts w:hint="eastAsia"/>
        </w:rPr>
        <w:t xml:space="preserve">  用人单位骗取医疗保险基金支出的，由社会保险经办机构追回被骗取的基金，并由劳动保障行政部门对该用人单位处骗取金</w:t>
      </w:r>
      <w:r>
        <w:rPr>
          <w:rFonts w:hint="eastAsia" w:ascii="宋体" w:hAnsi="宋体" w:eastAsia="宋体" w:cs="宋体"/>
        </w:rPr>
        <w:t>额1倍以上3倍以下罚款；</w:t>
      </w:r>
      <w:r>
        <w:rPr>
          <w:rFonts w:hint="eastAsia"/>
        </w:rPr>
        <w:t>情节严重构成犯罪的，依法追究刑事责任。</w:t>
      </w:r>
    </w:p>
    <w:p w14:paraId="17B3AE37">
      <w:pPr>
        <w:ind w:firstLine="422"/>
      </w:pPr>
      <w:r>
        <w:rPr>
          <w:rFonts w:hint="eastAsia"/>
          <w:b/>
        </w:rPr>
        <w:t>第六十二条</w:t>
      </w:r>
      <w:r>
        <w:rPr>
          <w:rFonts w:hint="eastAsia"/>
        </w:rPr>
        <w:t xml:space="preserve">  参加医疗保险的个人弄虚作假骗取医疗保险待遇，或者转卖医疗保险基金报销的药品谋取不当利益，造成医疗保险基金损失的，由劳动保障行政部门责令退还，并对该个人处骗取医疗保险基金</w:t>
      </w:r>
      <w:r>
        <w:rPr>
          <w:rFonts w:hint="eastAsia" w:ascii="宋体" w:hAnsi="宋体" w:eastAsia="宋体" w:cs="宋体"/>
        </w:rPr>
        <w:t>额1倍以上3倍以下罚款；情节严重构</w:t>
      </w:r>
      <w:r>
        <w:rPr>
          <w:rFonts w:hint="eastAsia"/>
        </w:rPr>
        <w:t>成犯罪的，依法追究刑事责任。</w:t>
      </w:r>
    </w:p>
    <w:p w14:paraId="71A8429D">
      <w:r>
        <w:rPr>
          <w:rFonts w:hint="eastAsia"/>
        </w:rPr>
        <w:t>前款行为未造成医疗保险基金损失的，劳动保障行政部门可以对该个人</w:t>
      </w:r>
      <w:r>
        <w:rPr>
          <w:rFonts w:hint="eastAsia" w:ascii="宋体" w:hAnsi="宋体" w:eastAsia="宋体" w:cs="宋体"/>
        </w:rPr>
        <w:t>处1000</w:t>
      </w:r>
      <w:r>
        <w:rPr>
          <w:rFonts w:hint="eastAsia"/>
        </w:rPr>
        <w:t>元以下罚款。</w:t>
      </w:r>
    </w:p>
    <w:p w14:paraId="54275FCE">
      <w:pPr>
        <w:ind w:firstLine="422"/>
      </w:pPr>
      <w:r>
        <w:rPr>
          <w:rFonts w:hint="eastAsia"/>
          <w:b/>
        </w:rPr>
        <w:t>第六十三条</w:t>
      </w:r>
      <w:r>
        <w:rPr>
          <w:rFonts w:hint="eastAsia"/>
        </w:rPr>
        <w:t xml:space="preserve">  定点医疗机构有下列行为之一，造成基本医疗保险基金损失的，应当赔偿损失，由劳动保障行政部门责令改正，可以</w:t>
      </w:r>
      <w:r>
        <w:rPr>
          <w:rFonts w:hint="eastAsia" w:ascii="宋体" w:hAnsi="宋体" w:eastAsia="宋体" w:cs="宋体"/>
        </w:rPr>
        <w:t>并处5000元以上2万元以</w:t>
      </w:r>
      <w:r>
        <w:rPr>
          <w:rFonts w:hint="eastAsia"/>
        </w:rPr>
        <w:t>下的罚款；情节严重的，取消基本医疗保险定点医疗机构资格：</w:t>
      </w:r>
    </w:p>
    <w:p w14:paraId="7BB11853">
      <w:r>
        <w:rPr>
          <w:rFonts w:hint="eastAsia"/>
        </w:rPr>
        <w:t>（一）将未参加医疗保险人员的医疗费用由基本医疗保险统筹基金或者大额医疗费用互助资金支付的；</w:t>
      </w:r>
    </w:p>
    <w:p w14:paraId="7EE49136">
      <w:r>
        <w:rPr>
          <w:rFonts w:hint="eastAsia"/>
        </w:rPr>
        <w:t>（二）将应由个人负担的医疗费用由基本医疗保险统筹基金或者大额医疗费用互助资金支付的；</w:t>
      </w:r>
    </w:p>
    <w:p w14:paraId="1999939A">
      <w:bookmarkStart w:id="2224" w:name="_Toc428780572"/>
      <w:r>
        <w:rPr>
          <w:rFonts w:hint="eastAsia"/>
        </w:rPr>
        <w:t>（三）将非急诊、抢救病人的费用列入急诊、抢救项目支付的；</w:t>
      </w:r>
      <w:bookmarkEnd w:id="2224"/>
    </w:p>
    <w:p w14:paraId="0434BD6B">
      <w:r>
        <w:rPr>
          <w:rFonts w:hint="eastAsia"/>
        </w:rPr>
        <w:t>（四）将不符合住院标准的病人进行住院治疗，或者故意延长病人住院时间，或者挂名住院、作假病历的；</w:t>
      </w:r>
    </w:p>
    <w:p w14:paraId="355D7143">
      <w:r>
        <w:rPr>
          <w:rFonts w:hint="eastAsia"/>
        </w:rPr>
        <w:t>（五）挪用他人个人</w:t>
      </w:r>
      <w:r>
        <w:rPr>
          <w:rFonts w:hint="eastAsia"/>
          <w:lang w:eastAsia="zh-CN"/>
        </w:rPr>
        <w:t>账户</w:t>
      </w:r>
      <w:r>
        <w:rPr>
          <w:rFonts w:hint="eastAsia"/>
        </w:rPr>
        <w:t>的；</w:t>
      </w:r>
    </w:p>
    <w:p w14:paraId="50FE2925">
      <w:r>
        <w:rPr>
          <w:rFonts w:hint="eastAsia"/>
        </w:rPr>
        <w:t>（六）弄虚作假、调换药品的；</w:t>
      </w:r>
    </w:p>
    <w:p w14:paraId="2B876461">
      <w:r>
        <w:rPr>
          <w:rFonts w:hint="eastAsia"/>
        </w:rPr>
        <w:t>（七）采取其他手段骗取医疗保险金的。</w:t>
      </w:r>
    </w:p>
    <w:p w14:paraId="52D0FF96">
      <w:r>
        <w:rPr>
          <w:rFonts w:hint="eastAsia"/>
        </w:rPr>
        <w:t>有前款行为之一，但未造成医疗保险基金损失的，劳动保障行政部门可以对该定点医疗机构处</w:t>
      </w:r>
      <w:r>
        <w:rPr>
          <w:rFonts w:hint="eastAsia" w:ascii="宋体" w:hAnsi="宋体" w:eastAsia="宋体" w:cs="宋体"/>
        </w:rPr>
        <w:t>5000</w:t>
      </w:r>
      <w:r>
        <w:rPr>
          <w:rFonts w:hint="eastAsia"/>
        </w:rPr>
        <w:t>元以下罚款。</w:t>
      </w:r>
    </w:p>
    <w:p w14:paraId="596EC3C0">
      <w:pPr>
        <w:ind w:firstLine="422"/>
      </w:pPr>
      <w:r>
        <w:rPr>
          <w:rFonts w:hint="eastAsia"/>
          <w:b/>
        </w:rPr>
        <w:t>第六十四条</w:t>
      </w:r>
      <w:r>
        <w:rPr>
          <w:rFonts w:hint="eastAsia"/>
        </w:rPr>
        <w:t xml:space="preserve">  定点零售药店有下列行为之一的，由劳动保障行政部门处</w:t>
      </w:r>
      <w:r>
        <w:rPr>
          <w:rFonts w:hint="eastAsia" w:ascii="宋体" w:hAnsi="宋体" w:eastAsia="宋体" w:cs="宋体"/>
        </w:rPr>
        <w:t>以1000元</w:t>
      </w:r>
      <w:r>
        <w:rPr>
          <w:rFonts w:hint="eastAsia"/>
        </w:rPr>
        <w:t>以上</w:t>
      </w:r>
      <w:r>
        <w:rPr>
          <w:rFonts w:hint="eastAsia" w:ascii="宋体" w:hAnsi="宋体" w:eastAsia="宋体" w:cs="宋体"/>
        </w:rPr>
        <w:t>2</w:t>
      </w:r>
      <w:r>
        <w:rPr>
          <w:rFonts w:hint="eastAsia"/>
        </w:rPr>
        <w:t>万元以下的罚款；情节严重的，取消其定点零售药店资格：</w:t>
      </w:r>
    </w:p>
    <w:p w14:paraId="00E56486">
      <w:r>
        <w:rPr>
          <w:rFonts w:hint="eastAsia"/>
        </w:rPr>
        <w:t>（一）不按照外配处方出售药品的；</w:t>
      </w:r>
    </w:p>
    <w:p w14:paraId="6AFB49D6">
      <w:r>
        <w:rPr>
          <w:rFonts w:hint="eastAsia"/>
        </w:rPr>
        <w:t>（二）不按照外配处方剂量配药的；</w:t>
      </w:r>
    </w:p>
    <w:p w14:paraId="68977B06">
      <w:r>
        <w:rPr>
          <w:rFonts w:hint="eastAsia"/>
        </w:rPr>
        <w:t>（三）将外配处方用药换成其他物品的。</w:t>
      </w:r>
    </w:p>
    <w:p w14:paraId="571D2880">
      <w:pPr>
        <w:ind w:firstLine="422"/>
      </w:pPr>
      <w:r>
        <w:rPr>
          <w:rFonts w:hint="eastAsia"/>
          <w:b/>
        </w:rPr>
        <w:t>第六十五条</w:t>
      </w:r>
      <w:r>
        <w:rPr>
          <w:rFonts w:hint="eastAsia"/>
        </w:rPr>
        <w:t xml:space="preserve">  定点医疗机构、定点零售药店违反医疗、药品、物价等管理规定的，劳动保障行政部门应当提请有关部门处理；情节严重的，取消其定点资格。</w:t>
      </w:r>
    </w:p>
    <w:p w14:paraId="48CE28A0">
      <w:pPr>
        <w:ind w:firstLine="422"/>
      </w:pPr>
      <w:r>
        <w:rPr>
          <w:rFonts w:hint="eastAsia"/>
          <w:b/>
        </w:rPr>
        <w:t>第六十六条</w:t>
      </w:r>
      <w:r>
        <w:rPr>
          <w:rFonts w:hint="eastAsia"/>
        </w:rPr>
        <w:t xml:space="preserve">  社会保险经办机构的工作人员违反医疗保险规定，致使医疗保险基金损失的，由劳动保障行政部门责令其追回；情节严重的，依法给予行政处分。</w:t>
      </w:r>
    </w:p>
    <w:p w14:paraId="5558FB9C">
      <w:pPr>
        <w:ind w:firstLine="422"/>
      </w:pPr>
      <w:r>
        <w:rPr>
          <w:rFonts w:hint="eastAsia"/>
          <w:b/>
        </w:rPr>
        <w:t>第六十七条</w:t>
      </w:r>
      <w:r>
        <w:rPr>
          <w:rFonts w:hint="eastAsia"/>
        </w:rPr>
        <w:t xml:space="preserve">  社会保险经办机构的工作人员不履行职责、不按照规定支付医疗保险待遇的，由劳动保障行政部门对其进行批评，并责令其改正；造成严重后果的，依法给予行政处分。</w:t>
      </w:r>
    </w:p>
    <w:p w14:paraId="762CD525">
      <w:pPr>
        <w:ind w:firstLine="422"/>
      </w:pPr>
      <w:r>
        <w:rPr>
          <w:rFonts w:hint="eastAsia"/>
          <w:b/>
        </w:rPr>
        <w:t>第六十八条</w:t>
      </w:r>
      <w:r>
        <w:rPr>
          <w:rFonts w:hint="eastAsia"/>
        </w:rPr>
        <w:t xml:space="preserve">  劳动保障行政部门、社会保险经办机构的工作人员滥用职权、徇私舞弊、玩忽职守，造成医疗保险基金损失的，由劳动保障行政部门追回损失的医疗保险基金；构成犯罪的，依法追究刑事责任；尚未构成犯罪的，依法给予行政处分。</w:t>
      </w:r>
    </w:p>
    <w:p w14:paraId="1853F148">
      <w:pPr>
        <w:ind w:firstLine="422"/>
      </w:pPr>
      <w:r>
        <w:rPr>
          <w:rFonts w:hint="eastAsia"/>
          <w:b/>
        </w:rPr>
        <w:t>第六十九条</w:t>
      </w:r>
      <w:r>
        <w:rPr>
          <w:rFonts w:hint="eastAsia"/>
        </w:rPr>
        <w:t xml:space="preserve">  单位或者个人挪用医疗保险基金的，按照国务院《社会保险费征缴暂行条例》第二十八条的规定处理。</w:t>
      </w:r>
    </w:p>
    <w:p w14:paraId="32E737AA"/>
    <w:p w14:paraId="7E888A81">
      <w:pPr>
        <w:ind w:firstLine="0" w:firstLineChars="0"/>
        <w:jc w:val="center"/>
        <w:rPr>
          <w:b/>
          <w:sz w:val="28"/>
        </w:rPr>
      </w:pPr>
      <w:r>
        <w:rPr>
          <w:rFonts w:hint="eastAsia"/>
          <w:b/>
          <w:sz w:val="28"/>
        </w:rPr>
        <w:t>第九章  附  则</w:t>
      </w:r>
    </w:p>
    <w:p w14:paraId="0663441A"/>
    <w:p w14:paraId="0163F99C">
      <w:pPr>
        <w:ind w:firstLine="422"/>
      </w:pPr>
      <w:r>
        <w:rPr>
          <w:rFonts w:hint="eastAsia"/>
          <w:b/>
        </w:rPr>
        <w:t>第七十条</w:t>
      </w:r>
      <w:r>
        <w:rPr>
          <w:rFonts w:hint="eastAsia"/>
        </w:rPr>
        <w:t xml:space="preserve">  离休人员、老红军、二等乙级以上革命伤残军人医疗待遇不变，医疗费用按原资金渠道解决。具体办法由市劳动保障行政部门会同有关部门制定，报市人民政府批准。</w:t>
      </w:r>
    </w:p>
    <w:p w14:paraId="5761E996">
      <w:pPr>
        <w:ind w:firstLine="422"/>
      </w:pPr>
      <w:r>
        <w:rPr>
          <w:rFonts w:hint="eastAsia"/>
          <w:b/>
        </w:rPr>
        <w:t>第七十一条</w:t>
      </w:r>
      <w:r>
        <w:rPr>
          <w:rFonts w:hint="eastAsia"/>
        </w:rPr>
        <w:t xml:space="preserve">  城镇个体工商户及其雇工参照本规定执行。</w:t>
      </w:r>
    </w:p>
    <w:p w14:paraId="5BDF9720">
      <w:pPr>
        <w:ind w:firstLine="422"/>
      </w:pPr>
      <w:r>
        <w:rPr>
          <w:rFonts w:hint="eastAsia"/>
          <w:b/>
        </w:rPr>
        <w:t>第七十二条</w:t>
      </w:r>
      <w:r>
        <w:rPr>
          <w:rFonts w:hint="eastAsia"/>
        </w:rPr>
        <w:t xml:space="preserve">  本规定</w:t>
      </w:r>
      <w:r>
        <w:rPr>
          <w:rFonts w:hint="eastAsia" w:ascii="宋体" w:hAnsi="宋体" w:eastAsia="宋体" w:cs="宋体"/>
        </w:rPr>
        <w:t>自2001年4月1日</w:t>
      </w:r>
      <w:r>
        <w:rPr>
          <w:rFonts w:hint="eastAsia"/>
        </w:rPr>
        <w:t>起施行。</w:t>
      </w:r>
    </w:p>
    <w:p w14:paraId="02591AFE">
      <w:pPr>
        <w:pStyle w:val="4"/>
        <w:pageBreakBefore/>
      </w:pPr>
      <w:bookmarkStart w:id="2225" w:name="_Toc426467081"/>
      <w:bookmarkStart w:id="2226" w:name="_Toc428780573"/>
      <w:bookmarkStart w:id="2227" w:name="_Toc428781829"/>
      <w:r>
        <w:rPr>
          <w:rFonts w:hint="eastAsia"/>
        </w:rPr>
        <w:t>北京市社会保险费征缴若干规定</w:t>
      </w:r>
      <w:bookmarkEnd w:id="2225"/>
      <w:bookmarkEnd w:id="2226"/>
      <w:bookmarkEnd w:id="2227"/>
    </w:p>
    <w:p w14:paraId="7984510A">
      <w:pPr>
        <w:ind w:left="630" w:leftChars="300" w:right="630" w:rightChars="300"/>
        <w:rPr>
          <w:rFonts w:ascii="楷体" w:hAnsi="楷体" w:eastAsia="楷体"/>
        </w:rPr>
      </w:pPr>
      <w:r>
        <w:rPr>
          <w:rFonts w:hint="eastAsia" w:ascii="楷体" w:hAnsi="楷体" w:eastAsia="楷体"/>
        </w:rPr>
        <w:t>（2003年7月29日市人民政府第11次常务会议审议通过  2003年8月4日北京市人民政府第130号令发布  根据2007年11月23日北京市人民政府第200号令修改）</w:t>
      </w:r>
    </w:p>
    <w:p w14:paraId="7A199032"/>
    <w:p w14:paraId="70B8225D">
      <w:pPr>
        <w:ind w:firstLine="422"/>
      </w:pPr>
      <w:r>
        <w:rPr>
          <w:rFonts w:hint="eastAsia"/>
          <w:b/>
        </w:rPr>
        <w:t>第一条</w:t>
      </w:r>
      <w:r>
        <w:rPr>
          <w:rFonts w:hint="eastAsia"/>
        </w:rPr>
        <w:t xml:space="preserve">  为了加强和规范社会保险费征缴工作，根据国务院《社会保险费征缴暂行条例》，结合本市实际情况，制定本规定。</w:t>
      </w:r>
    </w:p>
    <w:p w14:paraId="573919BA">
      <w:pPr>
        <w:ind w:firstLine="422"/>
      </w:pPr>
      <w:r>
        <w:rPr>
          <w:rFonts w:hint="eastAsia"/>
          <w:b/>
        </w:rPr>
        <w:t>第二条</w:t>
      </w:r>
      <w:r>
        <w:rPr>
          <w:rFonts w:hint="eastAsia"/>
        </w:rPr>
        <w:t xml:space="preserve">  本市行政区域内基本养老保险费、基本医疗保险费、失业保险费、工伤保险费、生育保险费（以下统称社会保险费）的征收和缴纳，适用本规定。</w:t>
      </w:r>
    </w:p>
    <w:p w14:paraId="1FBBDD1B">
      <w:pPr>
        <w:ind w:firstLine="422"/>
      </w:pPr>
      <w:r>
        <w:rPr>
          <w:rFonts w:hint="eastAsia"/>
          <w:b/>
        </w:rPr>
        <w:t>第三条</w:t>
      </w:r>
      <w:r>
        <w:rPr>
          <w:rFonts w:hint="eastAsia"/>
        </w:rPr>
        <w:t xml:space="preserve">  区、县人民政府领导和组织有关部门做好本地区社会保险费征缴工作。</w:t>
      </w:r>
    </w:p>
    <w:p w14:paraId="355BD547">
      <w:pPr>
        <w:ind w:firstLine="422"/>
      </w:pPr>
      <w:r>
        <w:rPr>
          <w:rFonts w:hint="eastAsia"/>
          <w:b/>
        </w:rPr>
        <w:t>第四条</w:t>
      </w:r>
      <w:r>
        <w:rPr>
          <w:rFonts w:hint="eastAsia"/>
        </w:rPr>
        <w:t xml:space="preserve">  市和区、县劳动保障行政部门负责本行政区域内的社会保险费征缴管理和监督检查工作。</w:t>
      </w:r>
    </w:p>
    <w:p w14:paraId="6D017FBE">
      <w:r>
        <w:rPr>
          <w:rFonts w:hint="eastAsia"/>
        </w:rPr>
        <w:t>工商行政管理、行构编制、民政等部门依照本规定，配合劳动保障行政部门做好社会保险费征缴工作。</w:t>
      </w:r>
    </w:p>
    <w:p w14:paraId="4CAF9ED5">
      <w:pPr>
        <w:ind w:firstLine="422"/>
      </w:pPr>
      <w:r>
        <w:rPr>
          <w:rFonts w:hint="eastAsia"/>
          <w:b/>
        </w:rPr>
        <w:t>第五条</w:t>
      </w:r>
      <w:r>
        <w:rPr>
          <w:rFonts w:hint="eastAsia"/>
        </w:rPr>
        <w:t xml:space="preserve">  社会保险费由市和区、县劳动保障行政部门设立的社会保险经办机构集中、统一征收。</w:t>
      </w:r>
    </w:p>
    <w:p w14:paraId="6A3C5676">
      <w:r>
        <w:rPr>
          <w:rFonts w:hint="eastAsia"/>
        </w:rPr>
        <w:t>社会保险费的征缴范围、缴费基数和费率依照国家和本市有关规定执行。</w:t>
      </w:r>
    </w:p>
    <w:p w14:paraId="0EFC255C">
      <w:pPr>
        <w:ind w:firstLine="422"/>
      </w:pPr>
      <w:r>
        <w:rPr>
          <w:rFonts w:hint="eastAsia"/>
          <w:b/>
        </w:rPr>
        <w:t>第六条</w:t>
      </w:r>
      <w:r>
        <w:rPr>
          <w:rFonts w:hint="eastAsia"/>
        </w:rPr>
        <w:t xml:space="preserve">  各级工会组织依法对缴费单位参加社会保险、缴纳社会保险费的情况进行监督。</w:t>
      </w:r>
    </w:p>
    <w:p w14:paraId="458460F6">
      <w:r>
        <w:rPr>
          <w:rFonts w:hint="eastAsia"/>
        </w:rPr>
        <w:t>私营个体经济协会协助劳动保障行政部门做好社会保障费征缴工作。</w:t>
      </w:r>
    </w:p>
    <w:p w14:paraId="643E1511">
      <w:pPr>
        <w:ind w:firstLine="422"/>
      </w:pPr>
      <w:r>
        <w:rPr>
          <w:rFonts w:hint="eastAsia"/>
          <w:b/>
        </w:rPr>
        <w:t>第七条</w:t>
      </w:r>
      <w:r>
        <w:rPr>
          <w:rFonts w:hint="eastAsia"/>
        </w:rPr>
        <w:t xml:space="preserve">  缴费单位应当自领取营业执照或者登记证书之日起</w:t>
      </w:r>
      <w:r>
        <w:rPr>
          <w:rFonts w:hint="eastAsia" w:ascii="宋体" w:hAnsi="宋体" w:eastAsia="宋体" w:cs="宋体"/>
        </w:rPr>
        <w:t>30</w:t>
      </w:r>
      <w:r>
        <w:rPr>
          <w:rFonts w:hint="eastAsia"/>
        </w:rPr>
        <w:t>日内，到其所在地的区、县社会保险经办机构申请办理社会保险登记。</w:t>
      </w:r>
    </w:p>
    <w:p w14:paraId="6047CF09">
      <w:pPr>
        <w:rPr>
          <w:rFonts w:hint="eastAsia" w:ascii="宋体" w:hAnsi="宋体" w:eastAsia="宋体" w:cs="宋体"/>
        </w:rPr>
      </w:pPr>
      <w:r>
        <w:rPr>
          <w:rFonts w:hint="eastAsia"/>
        </w:rPr>
        <w:t>缴费单位申请办理社会保险登记，应当填写社会保险登记表，出示营业执照或者登记证书以及组织机构代码证书。</w:t>
      </w:r>
    </w:p>
    <w:p w14:paraId="5BA57710">
      <w:pPr>
        <w:ind w:firstLine="422"/>
        <w:rPr>
          <w:rFonts w:hint="eastAsia" w:ascii="宋体" w:hAnsi="宋体" w:eastAsia="宋体" w:cs="宋体"/>
        </w:rPr>
      </w:pPr>
      <w:r>
        <w:rPr>
          <w:rFonts w:hint="eastAsia" w:ascii="宋体" w:hAnsi="宋体" w:eastAsia="宋体" w:cs="宋体"/>
          <w:b/>
        </w:rPr>
        <w:t>第八条</w:t>
      </w:r>
      <w:r>
        <w:rPr>
          <w:rFonts w:hint="eastAsia" w:ascii="宋体" w:hAnsi="宋体" w:eastAsia="宋体" w:cs="宋体"/>
        </w:rPr>
        <w:t xml:space="preserve">  社会保险经办机构收到缴费单位申请后，应当在5个工作日内进行审核，对符合规定的，发给社会保险登记证书。</w:t>
      </w:r>
    </w:p>
    <w:p w14:paraId="6CEDFDFC">
      <w:r>
        <w:rPr>
          <w:rFonts w:hint="eastAsia" w:ascii="宋体" w:hAnsi="宋体" w:eastAsia="宋体" w:cs="宋体"/>
        </w:rPr>
        <w:t>缴费单位依法终止或者社会保险登记事项发生变更的，应当自终止或者变更之日起30</w:t>
      </w:r>
      <w:r>
        <w:rPr>
          <w:rFonts w:hint="eastAsia"/>
        </w:rPr>
        <w:t>日内，到社会保险经办机构办理注销或者变更手续。</w:t>
      </w:r>
    </w:p>
    <w:p w14:paraId="18A6329F">
      <w:r>
        <w:rPr>
          <w:rFonts w:hint="eastAsia"/>
        </w:rPr>
        <w:t>缴费单位在办理注销手续时，应当结清应缴纳的社会保险费、利息、滞纳金和罚款。</w:t>
      </w:r>
    </w:p>
    <w:p w14:paraId="1B66BBC3">
      <w:pPr>
        <w:ind w:firstLine="422"/>
      </w:pPr>
      <w:r>
        <w:rPr>
          <w:rFonts w:hint="eastAsia"/>
          <w:b/>
        </w:rPr>
        <w:t>第九条</w:t>
      </w:r>
      <w:r>
        <w:rPr>
          <w:rFonts w:hint="eastAsia"/>
        </w:rPr>
        <w:t xml:space="preserve">  缴费单位应当按月向社会保险经办机构申报本月应当缴纳的社会保险费数额，经社会保险经办机构核定后，以货币形式足额缴纳社会保险费。</w:t>
      </w:r>
    </w:p>
    <w:p w14:paraId="414781BE">
      <w:r>
        <w:rPr>
          <w:rFonts w:hint="eastAsia"/>
        </w:rPr>
        <w:t>社会保险经办机构定期对缴费单位缴纳社会保险费的情况进行稽核。</w:t>
      </w:r>
    </w:p>
    <w:p w14:paraId="7238C197">
      <w:pPr>
        <w:ind w:firstLine="422"/>
      </w:pPr>
      <w:r>
        <w:rPr>
          <w:rFonts w:hint="eastAsia"/>
          <w:b/>
        </w:rPr>
        <w:t>第十条</w:t>
      </w:r>
      <w:r>
        <w:rPr>
          <w:rFonts w:hint="eastAsia"/>
        </w:rPr>
        <w:t xml:space="preserve">  缴费单位不按时足额缴纳社会保险费的，由劳动保障行政部门责令限期补缴，并缴纳相应的利息；逾期仍不缴纳的，从欠缴之日起，按日加收千分之二的滞纳金。</w:t>
      </w:r>
    </w:p>
    <w:p w14:paraId="30C25373">
      <w:r>
        <w:rPr>
          <w:rFonts w:hint="eastAsia"/>
        </w:rPr>
        <w:t>利息按照补缴之日银行活期存款利率计算。</w:t>
      </w:r>
    </w:p>
    <w:p w14:paraId="31580DFE">
      <w:pPr>
        <w:ind w:firstLine="422"/>
      </w:pPr>
      <w:r>
        <w:rPr>
          <w:rFonts w:hint="eastAsia"/>
          <w:b/>
        </w:rPr>
        <w:t>第十一条</w:t>
      </w:r>
      <w:r>
        <w:rPr>
          <w:rFonts w:hint="eastAsia"/>
        </w:rPr>
        <w:t xml:space="preserve">  社会保险经办机构对缴费单位的社会保险费缴费基数每年核定一次。核定时间由市社会保险经办机构确定并公布。</w:t>
      </w:r>
    </w:p>
    <w:p w14:paraId="43868820">
      <w:pPr>
        <w:ind w:firstLine="422"/>
      </w:pPr>
      <w:r>
        <w:rPr>
          <w:rFonts w:hint="eastAsia"/>
          <w:b/>
        </w:rPr>
        <w:t>第十二条</w:t>
      </w:r>
      <w:r>
        <w:rPr>
          <w:rFonts w:hint="eastAsia"/>
        </w:rPr>
        <w:t xml:space="preserve">  社会保险经办机构应当每季度将社会保险费征收情况向社会公布。</w:t>
      </w:r>
    </w:p>
    <w:p w14:paraId="699E6002">
      <w:r>
        <w:rPr>
          <w:rFonts w:hint="eastAsia"/>
        </w:rPr>
        <w:t>缴费单位和缴费个人有权向社会保险经办机构查询缴费记录。</w:t>
      </w:r>
    </w:p>
    <w:p w14:paraId="1591D831">
      <w:pPr>
        <w:ind w:firstLine="422"/>
      </w:pPr>
      <w:r>
        <w:rPr>
          <w:rFonts w:hint="eastAsia"/>
          <w:b/>
        </w:rPr>
        <w:t>第十三条</w:t>
      </w:r>
      <w:r>
        <w:rPr>
          <w:rFonts w:hint="eastAsia"/>
        </w:rPr>
        <w:t>　劳动保障行政部门可以委托会计师事务所对缴费单位缴纳社会保险费的情况进行审核。</w:t>
      </w:r>
    </w:p>
    <w:p w14:paraId="5F8BEBCF">
      <w:r>
        <w:t>缴费单位不得拒绝劳动保障行政部门委托的会计师事务所的审核，并应当如实提供与缴纳社会保险费有关的用人情况以及工资、财务报表等资料。会计师事务所应当对缴费单位提供的有关资料保密。</w:t>
      </w:r>
    </w:p>
    <w:p w14:paraId="0D242FA4">
      <w:pPr>
        <w:ind w:firstLine="422"/>
      </w:pPr>
      <w:r>
        <w:rPr>
          <w:b/>
        </w:rPr>
        <w:t>第十四条</w:t>
      </w:r>
      <w:r>
        <w:t>　工商行政管理、机构编制和民政部门在进行企业、事业单位、社会团体以及民办非企业单位（以下统称单位）年度检验时，应当配合劳动保障行政部门做好《社会保险费征缴暂行条例》和本规定的宣传工作，对未参加社会保险或者未缴纳社会保险费的单位，督促其依法参加社会保险，缴纳社会保险费。</w:t>
      </w:r>
    </w:p>
    <w:p w14:paraId="37E27844">
      <w:pPr>
        <w:ind w:firstLine="422"/>
      </w:pPr>
      <w:r>
        <w:rPr>
          <w:b/>
        </w:rPr>
        <w:t>第十五条</w:t>
      </w:r>
      <w:r>
        <w:t>　缴费单位违反本规定第七条第一款、第八条第二款、第九条第一款规定，不按时办理社会保险登记、注销、变更手续或者不按时申报应当缴纳的社会保险费数额的，由劳动保障行政部门责令限期改正，依照《社会保险费征缴暂行条例》予以处罚，并将其违法行为的信息，依法记入本市企业信用信息系统。</w:t>
      </w:r>
    </w:p>
    <w:p w14:paraId="66177FCA">
      <w:pPr>
        <w:ind w:firstLine="422"/>
      </w:pPr>
      <w:r>
        <w:rPr>
          <w:b/>
        </w:rPr>
        <w:t>第十六条</w:t>
      </w:r>
      <w:r>
        <w:t>　缴费单位违反本规定第十三条第二款规定，拒绝会计师事务所审核或者不如实提供与缴纳社会保险费有关的用人情况以及工资、财务报表等资料的，由劳动保障行政部门责令改正，可以</w:t>
      </w:r>
      <w:r>
        <w:rPr>
          <w:rFonts w:hint="eastAsia" w:ascii="宋体" w:hAnsi="宋体" w:eastAsia="宋体" w:cs="宋体"/>
        </w:rPr>
        <w:t>处1</w:t>
      </w:r>
      <w:r>
        <w:t>万元以下罚款。</w:t>
      </w:r>
    </w:p>
    <w:p w14:paraId="627C0216">
      <w:pPr>
        <w:ind w:firstLine="422"/>
      </w:pPr>
      <w:r>
        <w:rPr>
          <w:b/>
        </w:rPr>
        <w:t>第十七条</w:t>
      </w:r>
      <w:r>
        <w:t>　劳动保障行政部门及其社会保险经办机构对举报不及时调查处理、故意不征、少征社会保险费、伪造或者篡改缴费单位、缴费个人参加社会保险、缴纳社会保险费有关情况的，对有关责任人员由其所在单位或者上级机关依法予以行政处分。</w:t>
      </w:r>
    </w:p>
    <w:p w14:paraId="0F80F8B4">
      <w:pPr>
        <w:ind w:firstLine="422"/>
        <w:rPr>
          <w:rFonts w:hint="eastAsia" w:ascii="宋体" w:hAnsi="宋体" w:eastAsia="宋体" w:cs="宋体"/>
        </w:rPr>
      </w:pPr>
      <w:r>
        <w:rPr>
          <w:b/>
        </w:rPr>
        <w:t>第十八条</w:t>
      </w:r>
      <w:r>
        <w:t>　本规定</w:t>
      </w:r>
      <w:r>
        <w:rPr>
          <w:rFonts w:hint="eastAsia" w:ascii="宋体" w:hAnsi="宋体" w:eastAsia="宋体" w:cs="宋体"/>
        </w:rPr>
        <w:t>自2003年10月1日起施行。</w:t>
      </w:r>
    </w:p>
    <w:p w14:paraId="1EB6D30A">
      <w:pPr>
        <w:pStyle w:val="4"/>
        <w:pageBreakBefore/>
      </w:pPr>
      <w:bookmarkStart w:id="2228" w:name="_Toc428781830"/>
      <w:bookmarkStart w:id="2229" w:name="_Toc426467082"/>
      <w:bookmarkStart w:id="2230" w:name="_Toc428780574"/>
      <w:r>
        <w:rPr>
          <w:rFonts w:hint="eastAsia"/>
        </w:rPr>
        <w:t>北京市企业职工生育保险规定</w:t>
      </w:r>
      <w:bookmarkEnd w:id="2228"/>
      <w:bookmarkEnd w:id="2229"/>
      <w:bookmarkEnd w:id="2230"/>
    </w:p>
    <w:p w14:paraId="5D6C1737">
      <w:pPr>
        <w:ind w:left="630" w:leftChars="300" w:right="630" w:rightChars="300"/>
        <w:rPr>
          <w:rFonts w:ascii="楷体" w:hAnsi="楷体" w:eastAsia="楷体"/>
        </w:rPr>
      </w:pPr>
      <w:r>
        <w:rPr>
          <w:rFonts w:hint="eastAsia" w:ascii="楷体" w:hAnsi="楷体" w:eastAsia="楷体"/>
        </w:rPr>
        <w:t>（2004年12月28日市人民政府第35次常务会议审议通过　2005年1月5日北京市人民政府第154号令发布）</w:t>
      </w:r>
    </w:p>
    <w:p w14:paraId="611D663A"/>
    <w:p w14:paraId="7F597E4F">
      <w:pPr>
        <w:ind w:firstLine="0" w:firstLineChars="0"/>
        <w:jc w:val="center"/>
        <w:rPr>
          <w:b/>
          <w:sz w:val="28"/>
        </w:rPr>
      </w:pPr>
      <w:r>
        <w:rPr>
          <w:rFonts w:hint="eastAsia"/>
          <w:b/>
          <w:sz w:val="28"/>
        </w:rPr>
        <w:t>第一章　总　则</w:t>
      </w:r>
    </w:p>
    <w:p w14:paraId="292ABBE9"/>
    <w:p w14:paraId="25CF54D1">
      <w:pPr>
        <w:ind w:firstLine="422"/>
      </w:pPr>
      <w:r>
        <w:rPr>
          <w:rFonts w:hint="eastAsia"/>
          <w:b/>
        </w:rPr>
        <w:t>第一条</w:t>
      </w:r>
      <w:r>
        <w:rPr>
          <w:rFonts w:hint="eastAsia"/>
        </w:rPr>
        <w:t xml:space="preserve">  为保障企业职工生育期间得到必要的经济补偿和医疗保障，根据《中华人民共和国劳动法》和有关法律、法规，结合本市实际情况，制定本规定。</w:t>
      </w:r>
    </w:p>
    <w:p w14:paraId="2C41C4B5">
      <w:pPr>
        <w:ind w:firstLine="422"/>
      </w:pPr>
      <w:r>
        <w:rPr>
          <w:rFonts w:hint="eastAsia"/>
          <w:b/>
        </w:rPr>
        <w:t>第二条</w:t>
      </w:r>
      <w:r>
        <w:rPr>
          <w:rFonts w:hint="eastAsia"/>
        </w:rPr>
        <w:t xml:space="preserve">  本规定适用于本市行政区域内的城镇各类企业和与之形成劳动关系的具有本市常住户口的职工。</w:t>
      </w:r>
    </w:p>
    <w:p w14:paraId="5CB69F99">
      <w:pPr>
        <w:ind w:firstLine="422"/>
      </w:pPr>
      <w:r>
        <w:rPr>
          <w:rFonts w:hint="eastAsia"/>
          <w:b/>
        </w:rPr>
        <w:t>第三条</w:t>
      </w:r>
      <w:r>
        <w:rPr>
          <w:rFonts w:hint="eastAsia"/>
        </w:rPr>
        <w:t xml:space="preserve">  市劳动保障行政部门负责全市生育保险工作。</w:t>
      </w:r>
    </w:p>
    <w:p w14:paraId="6AA197F3">
      <w:r>
        <w:rPr>
          <w:rFonts w:hint="eastAsia"/>
        </w:rPr>
        <w:t>区、县劳动保障行政部门负责本行政区域内的生育保险工作。</w:t>
      </w:r>
    </w:p>
    <w:p w14:paraId="306A66C9">
      <w:r>
        <w:rPr>
          <w:rFonts w:hint="eastAsia"/>
        </w:rPr>
        <w:t>市和区、县劳动保障行政部门设立的社会保险经办机构具体承办生育保险事务。</w:t>
      </w:r>
    </w:p>
    <w:p w14:paraId="360160C9">
      <w:pPr>
        <w:ind w:firstLine="422"/>
      </w:pPr>
      <w:r>
        <w:rPr>
          <w:rFonts w:hint="eastAsia"/>
          <w:b/>
        </w:rPr>
        <w:t>第四条</w:t>
      </w:r>
      <w:r>
        <w:rPr>
          <w:rFonts w:hint="eastAsia"/>
        </w:rPr>
        <w:t xml:space="preserve">  财政、审计部门依法对生育保险基金的收支、管理情况进行监督。</w:t>
      </w:r>
    </w:p>
    <w:p w14:paraId="4C3C36C9">
      <w:r>
        <w:rPr>
          <w:rFonts w:hint="eastAsia"/>
        </w:rPr>
        <w:t>卫生、药品监督、价格、计划生育等部门在各自职责范围内，协助劳动保障行政部门做好生育保险工作。</w:t>
      </w:r>
    </w:p>
    <w:p w14:paraId="61FE20EF"/>
    <w:p w14:paraId="5BD6CF69">
      <w:pPr>
        <w:ind w:firstLine="0" w:firstLineChars="0"/>
        <w:jc w:val="center"/>
        <w:rPr>
          <w:b/>
          <w:sz w:val="28"/>
        </w:rPr>
      </w:pPr>
      <w:r>
        <w:rPr>
          <w:rFonts w:hint="eastAsia"/>
          <w:b/>
          <w:sz w:val="28"/>
        </w:rPr>
        <w:t>第二章  生育保险基金</w:t>
      </w:r>
    </w:p>
    <w:p w14:paraId="074A99D2"/>
    <w:p w14:paraId="0A24C7EC">
      <w:pPr>
        <w:ind w:firstLine="422"/>
      </w:pPr>
      <w:r>
        <w:rPr>
          <w:rFonts w:hint="eastAsia"/>
          <w:b/>
        </w:rPr>
        <w:t>第五条</w:t>
      </w:r>
      <w:r>
        <w:rPr>
          <w:rFonts w:hint="eastAsia"/>
        </w:rPr>
        <w:t xml:space="preserve">  生育保险基金按照以支定收，收支平衡的原则统一筹集，纳入财政专户，实行收支两条线管理。</w:t>
      </w:r>
    </w:p>
    <w:p w14:paraId="607A5B17">
      <w:pPr>
        <w:ind w:firstLine="422"/>
      </w:pPr>
      <w:r>
        <w:rPr>
          <w:rFonts w:hint="eastAsia"/>
          <w:b/>
        </w:rPr>
        <w:t>第六条</w:t>
      </w:r>
      <w:r>
        <w:rPr>
          <w:rFonts w:hint="eastAsia"/>
        </w:rPr>
        <w:t xml:space="preserve">  生育保险基金由下列各项构成：</w:t>
      </w:r>
    </w:p>
    <w:p w14:paraId="30341FBE">
      <w:r>
        <w:rPr>
          <w:rFonts w:hint="eastAsia"/>
        </w:rPr>
        <w:t>（一）企业缴纳的生育保险费；</w:t>
      </w:r>
    </w:p>
    <w:p w14:paraId="09E56094">
      <w:r>
        <w:rPr>
          <w:rFonts w:hint="eastAsia"/>
        </w:rPr>
        <w:t>（二）基金的利息；</w:t>
      </w:r>
    </w:p>
    <w:p w14:paraId="5F9BB149">
      <w:r>
        <w:rPr>
          <w:rFonts w:hint="eastAsia"/>
        </w:rPr>
        <w:t>（三）滞纳金；</w:t>
      </w:r>
    </w:p>
    <w:p w14:paraId="67A2A21F">
      <w:r>
        <w:rPr>
          <w:rFonts w:hint="eastAsia"/>
        </w:rPr>
        <w:t>（四）依法纳入生育保险基金的其他资金。</w:t>
      </w:r>
    </w:p>
    <w:p w14:paraId="04EBD26C">
      <w:pPr>
        <w:ind w:firstLine="422"/>
      </w:pPr>
      <w:r>
        <w:rPr>
          <w:rFonts w:hint="eastAsia"/>
          <w:b/>
        </w:rPr>
        <w:t>第七条</w:t>
      </w:r>
      <w:r>
        <w:rPr>
          <w:rFonts w:hint="eastAsia"/>
        </w:rPr>
        <w:t xml:space="preserve">  生育保险费由企业按月缴纳。职工个人不缴纳生育保险费。</w:t>
      </w:r>
    </w:p>
    <w:p w14:paraId="314AC413">
      <w:pPr>
        <w:rPr>
          <w:rFonts w:hint="eastAsia" w:ascii="宋体" w:hAnsi="宋体" w:eastAsia="宋体" w:cs="宋体"/>
        </w:rPr>
      </w:pPr>
      <w:r>
        <w:rPr>
          <w:rFonts w:hint="eastAsia"/>
        </w:rPr>
        <w:t>企业按照其缴费总基</w:t>
      </w:r>
      <w:r>
        <w:rPr>
          <w:rFonts w:hint="eastAsia" w:ascii="宋体" w:hAnsi="宋体" w:eastAsia="宋体" w:cs="宋体"/>
        </w:rPr>
        <w:t>数的0.8%缴纳生育保险费。企业缴费总基数为本企业符合条件的职工缴费基数之和。</w:t>
      </w:r>
    </w:p>
    <w:p w14:paraId="1A515A87">
      <w:pPr>
        <w:rPr>
          <w:rFonts w:hint="eastAsia" w:ascii="宋体" w:hAnsi="宋体" w:eastAsia="宋体" w:cs="宋体"/>
        </w:rPr>
      </w:pPr>
      <w:r>
        <w:rPr>
          <w:rFonts w:hint="eastAsia" w:ascii="宋体" w:hAnsi="宋体" w:eastAsia="宋体" w:cs="宋体"/>
        </w:rPr>
        <w:t>职工缴费基数按照本人上一年月平均工资计算；低于上一年本市职工月平均工资60%的，按照上一年本市职工月平均工资的60%计算；高于上一年本市职工月平均工资3倍以上的，按照上一年本市职工月平均工资的3倍计算；本人上一年月平均工资无法确定的，按照上一年本市职工月平均工资计算。</w:t>
      </w:r>
    </w:p>
    <w:p w14:paraId="5E866821">
      <w:pPr>
        <w:ind w:firstLine="422"/>
      </w:pPr>
      <w:r>
        <w:rPr>
          <w:rFonts w:hint="eastAsia"/>
          <w:b/>
        </w:rPr>
        <w:t>第八条</w:t>
      </w:r>
      <w:r>
        <w:rPr>
          <w:rFonts w:hint="eastAsia"/>
        </w:rPr>
        <w:t xml:space="preserve">  生育保险费缴费标准需要调整时，由市劳动保障行政部门会同市财政部门提出调整方案，报市人民政府批准后公布施行。</w:t>
      </w:r>
    </w:p>
    <w:p w14:paraId="1F086E35">
      <w:pPr>
        <w:ind w:firstLine="422"/>
      </w:pPr>
      <w:r>
        <w:rPr>
          <w:rFonts w:hint="eastAsia"/>
          <w:b/>
        </w:rPr>
        <w:t>第九条</w:t>
      </w:r>
      <w:r>
        <w:rPr>
          <w:rFonts w:hint="eastAsia"/>
        </w:rPr>
        <w:t xml:space="preserve">  企业缴纳的生育保险费，由社会保险经办机构委托企业的开户银行以“委托银行收款（无付款期）”的结算方式按月扣缴。</w:t>
      </w:r>
    </w:p>
    <w:p w14:paraId="503FFA4A">
      <w:r>
        <w:rPr>
          <w:rFonts w:hint="eastAsia"/>
        </w:rPr>
        <w:t>社会保险经办机构应当为企业和职工建立缴费记录。</w:t>
      </w:r>
    </w:p>
    <w:p w14:paraId="7B051878">
      <w:pPr>
        <w:ind w:firstLine="422"/>
      </w:pPr>
      <w:r>
        <w:rPr>
          <w:rFonts w:hint="eastAsia"/>
          <w:b/>
        </w:rPr>
        <w:t>第十条</w:t>
      </w:r>
      <w:r>
        <w:rPr>
          <w:rFonts w:hint="eastAsia"/>
        </w:rPr>
        <w:t xml:space="preserve">  生育保险费的征缴按照国务院《社会保险费征缴暂行条例》和《北京市社会保险费征缴若干规定》的规定执行。</w:t>
      </w:r>
    </w:p>
    <w:p w14:paraId="6FBA09BE"/>
    <w:p w14:paraId="27379415">
      <w:pPr>
        <w:ind w:firstLine="0" w:firstLineChars="0"/>
        <w:jc w:val="center"/>
        <w:rPr>
          <w:b/>
          <w:sz w:val="28"/>
        </w:rPr>
      </w:pPr>
      <w:r>
        <w:rPr>
          <w:rFonts w:hint="eastAsia"/>
          <w:b/>
          <w:sz w:val="28"/>
        </w:rPr>
        <w:t>第三章  生育保险待遇</w:t>
      </w:r>
    </w:p>
    <w:p w14:paraId="3C38BA81"/>
    <w:p w14:paraId="0D991E7B">
      <w:pPr>
        <w:ind w:firstLine="422"/>
      </w:pPr>
      <w:r>
        <w:rPr>
          <w:rFonts w:hint="eastAsia"/>
          <w:b/>
        </w:rPr>
        <w:t>第十一条</w:t>
      </w:r>
      <w:r>
        <w:rPr>
          <w:rFonts w:hint="eastAsia"/>
        </w:rPr>
        <w:t xml:space="preserve">  职工享受生育保险待遇，应当符合国家和本市计划生育的有关规定。</w:t>
      </w:r>
    </w:p>
    <w:p w14:paraId="50F77287">
      <w:pPr>
        <w:ind w:firstLine="422"/>
      </w:pPr>
      <w:r>
        <w:rPr>
          <w:rFonts w:hint="eastAsia"/>
          <w:b/>
        </w:rPr>
        <w:t>第十二条</w:t>
      </w:r>
      <w:r>
        <w:rPr>
          <w:rFonts w:hint="eastAsia"/>
        </w:rPr>
        <w:t xml:space="preserve">  生育保险基金支付范围包括：</w:t>
      </w:r>
    </w:p>
    <w:p w14:paraId="358D96A6">
      <w:r>
        <w:rPr>
          <w:rFonts w:hint="eastAsia"/>
        </w:rPr>
        <w:t>（一）生育津贴；</w:t>
      </w:r>
    </w:p>
    <w:p w14:paraId="46F8C209">
      <w:r>
        <w:rPr>
          <w:rFonts w:hint="eastAsia"/>
        </w:rPr>
        <w:t>（二）生育医疗费用；</w:t>
      </w:r>
    </w:p>
    <w:p w14:paraId="51A33E61">
      <w:r>
        <w:rPr>
          <w:rFonts w:hint="eastAsia"/>
        </w:rPr>
        <w:t>（三）计划生育手术医疗费用；</w:t>
      </w:r>
    </w:p>
    <w:p w14:paraId="0F81531C">
      <w:r>
        <w:rPr>
          <w:rFonts w:hint="eastAsia"/>
        </w:rPr>
        <w:t>（四）国家和本市规定的其他费用。</w:t>
      </w:r>
    </w:p>
    <w:p w14:paraId="7C507EBF">
      <w:pPr>
        <w:ind w:firstLine="422"/>
      </w:pPr>
      <w:r>
        <w:rPr>
          <w:rFonts w:hint="eastAsia"/>
          <w:b/>
        </w:rPr>
        <w:t>第十三条</w:t>
      </w:r>
      <w:r>
        <w:rPr>
          <w:rFonts w:hint="eastAsia"/>
        </w:rPr>
        <w:t xml:space="preserve">  生育保险基金支付标准需要调整时，由市劳动保障行政部门会同市财政部门提出调整方案，报市人民政府批准后公布施行。</w:t>
      </w:r>
    </w:p>
    <w:p w14:paraId="0A345BBF">
      <w:pPr>
        <w:ind w:firstLine="422"/>
        <w:rPr>
          <w:rFonts w:hint="eastAsia" w:ascii="宋体" w:hAnsi="宋体" w:eastAsia="宋体" w:cs="宋体"/>
        </w:rPr>
      </w:pPr>
      <w:r>
        <w:rPr>
          <w:rFonts w:hint="eastAsia"/>
          <w:b/>
        </w:rPr>
        <w:t>第十四条</w:t>
      </w:r>
      <w:r>
        <w:rPr>
          <w:rFonts w:hint="eastAsia"/>
        </w:rPr>
        <w:t xml:space="preserve">  女职</w:t>
      </w:r>
      <w:r>
        <w:rPr>
          <w:rFonts w:hint="eastAsia" w:ascii="宋体" w:hAnsi="宋体" w:eastAsia="宋体" w:cs="宋体"/>
        </w:rPr>
        <w:t>工正常生育的产假为90天；难产的增加15天，多胞胎生育的每多生育1个婴儿增加15天，晚育的增加30天。</w:t>
      </w:r>
    </w:p>
    <w:p w14:paraId="34E70C7E">
      <w:pPr>
        <w:rPr>
          <w:rFonts w:hint="eastAsia" w:ascii="宋体" w:hAnsi="宋体" w:eastAsia="宋体" w:cs="宋体"/>
        </w:rPr>
      </w:pPr>
      <w:r>
        <w:rPr>
          <w:rFonts w:hint="eastAsia" w:ascii="宋体" w:hAnsi="宋体" w:eastAsia="宋体" w:cs="宋体"/>
        </w:rPr>
        <w:t>女职工妊娠不满4个月流产的产假为15天至30天，妊娠满4个月以上流产的产假为42天。</w:t>
      </w:r>
    </w:p>
    <w:p w14:paraId="24B4EC6A">
      <w:pPr>
        <w:ind w:firstLine="422"/>
      </w:pPr>
      <w:r>
        <w:rPr>
          <w:rFonts w:hint="eastAsia"/>
          <w:b/>
        </w:rPr>
        <w:t>第十五条</w:t>
      </w:r>
      <w:r>
        <w:rPr>
          <w:rFonts w:hint="eastAsia"/>
        </w:rPr>
        <w:t xml:space="preserve">  生育津贴按照女职工本人生育当月的缴费基数除</w:t>
      </w:r>
      <w:r>
        <w:rPr>
          <w:rFonts w:hint="eastAsia" w:ascii="宋体" w:hAnsi="宋体" w:eastAsia="宋体" w:cs="宋体"/>
        </w:rPr>
        <w:t>以30</w:t>
      </w:r>
      <w:r>
        <w:rPr>
          <w:rFonts w:hint="eastAsia"/>
        </w:rPr>
        <w:t>再乘以产假天数计算。</w:t>
      </w:r>
    </w:p>
    <w:p w14:paraId="27C1B579">
      <w:r>
        <w:rPr>
          <w:rFonts w:hint="eastAsia"/>
        </w:rPr>
        <w:t>生育津贴为女职工产假期间的工资，生育津贴低于本人工资标准的，差额部分由企业补足。</w:t>
      </w:r>
    </w:p>
    <w:p w14:paraId="24ECAB78">
      <w:pPr>
        <w:ind w:firstLine="422"/>
      </w:pPr>
      <w:r>
        <w:rPr>
          <w:rFonts w:hint="eastAsia"/>
          <w:b/>
        </w:rPr>
        <w:t>第十六条</w:t>
      </w:r>
      <w:r>
        <w:rPr>
          <w:rFonts w:hint="eastAsia"/>
        </w:rPr>
        <w:t xml:space="preserve">  生育医疗费用包括女职工因怀孕、生育发生的医疗检查费、接生费、手术费、住院费和药品费。</w:t>
      </w:r>
    </w:p>
    <w:p w14:paraId="28409C22">
      <w:r>
        <w:rPr>
          <w:rFonts w:hint="eastAsia"/>
        </w:rPr>
        <w:t>计划生育手术医疗费用包括职工因计划生育实施放置（取出）宫内节育器、流产术、引产术、绝育及复通手术所发生的医疗费用。</w:t>
      </w:r>
    </w:p>
    <w:p w14:paraId="1BB0BAC1">
      <w:r>
        <w:rPr>
          <w:rFonts w:hint="eastAsia"/>
        </w:rPr>
        <w:t>生育、计划生育手术医疗费用符合本市基本医疗保险药品目录、诊疗项目和医疗服务设施项目规定的，由生育保险基金支付。</w:t>
      </w:r>
    </w:p>
    <w:p w14:paraId="294A4C71">
      <w:pPr>
        <w:ind w:firstLine="422"/>
      </w:pPr>
      <w:r>
        <w:rPr>
          <w:rFonts w:hint="eastAsia"/>
          <w:b/>
        </w:rPr>
        <w:t>第十七条</w:t>
      </w:r>
      <w:r>
        <w:rPr>
          <w:rFonts w:hint="eastAsia"/>
        </w:rPr>
        <w:t xml:space="preserve">  生育保险基金支付生育、计划生育手术医疗费用的结算办法，由市劳动保障行政部门制定。</w:t>
      </w:r>
    </w:p>
    <w:p w14:paraId="6D0C0310">
      <w:pPr>
        <w:ind w:firstLine="422"/>
      </w:pPr>
      <w:r>
        <w:rPr>
          <w:rFonts w:hint="eastAsia"/>
          <w:b/>
        </w:rPr>
        <w:t>第十八条</w:t>
      </w:r>
      <w:r>
        <w:rPr>
          <w:rFonts w:hint="eastAsia"/>
        </w:rPr>
        <w:t xml:space="preserve">  职工生育、实施计划生育手术应当按照本市基本医疗保险就医的规定到具有助产、计划生育手术资质的基本医疗保险定点医疗机构（以下简称定点医疗机构）就医。</w:t>
      </w:r>
    </w:p>
    <w:p w14:paraId="18EEFC66">
      <w:r>
        <w:rPr>
          <w:rFonts w:hint="eastAsia"/>
        </w:rPr>
        <w:t>职工就医应当出示《北京市医疗保险手册》；需住院治疗的，在办理住院手续时应当同时出示《北京市生育服务证》，并由定点医疗机构留存复印件。</w:t>
      </w:r>
    </w:p>
    <w:p w14:paraId="33E4CCD0">
      <w:pPr>
        <w:ind w:firstLine="422"/>
      </w:pPr>
      <w:r>
        <w:rPr>
          <w:rFonts w:hint="eastAsia"/>
          <w:b/>
        </w:rPr>
        <w:t>第十九条</w:t>
      </w:r>
      <w:r>
        <w:rPr>
          <w:rFonts w:hint="eastAsia"/>
        </w:rPr>
        <w:t xml:space="preserve">  下列生育、计划生育手术医疗费用生育保险基金不予支付：</w:t>
      </w:r>
    </w:p>
    <w:p w14:paraId="4F05AA8C">
      <w:r>
        <w:rPr>
          <w:rFonts w:hint="eastAsia"/>
        </w:rPr>
        <w:t>（一）不符合国家或者本市计划生育规定的；</w:t>
      </w:r>
    </w:p>
    <w:p w14:paraId="3A9AD546">
      <w:r>
        <w:rPr>
          <w:rFonts w:hint="eastAsia"/>
        </w:rPr>
        <w:t>（二）不符合本市基本医疗保险就医规定的；</w:t>
      </w:r>
    </w:p>
    <w:p w14:paraId="677394CA">
      <w:r>
        <w:rPr>
          <w:rFonts w:hint="eastAsia"/>
        </w:rPr>
        <w:t>（三）不符合本市基本医疗保险药品目录、诊疗项目和医疗服务设施项目规定的；</w:t>
      </w:r>
    </w:p>
    <w:p w14:paraId="324605B5">
      <w:r>
        <w:rPr>
          <w:rFonts w:hint="eastAsia"/>
        </w:rPr>
        <w:t>（四）在国外或者香港、澳门特别行政区以及台湾地区发生的医疗费用；</w:t>
      </w:r>
    </w:p>
    <w:p w14:paraId="7A271C0C">
      <w:r>
        <w:rPr>
          <w:rFonts w:hint="eastAsia"/>
        </w:rPr>
        <w:t>（五）因医疗事故发生的医疗费用；</w:t>
      </w:r>
    </w:p>
    <w:p w14:paraId="411937CC">
      <w:r>
        <w:rPr>
          <w:rFonts w:hint="eastAsia"/>
        </w:rPr>
        <w:t>（六）治疗生育合并症的费用；</w:t>
      </w:r>
    </w:p>
    <w:p w14:paraId="76A2F744">
      <w:r>
        <w:rPr>
          <w:rFonts w:hint="eastAsia"/>
        </w:rPr>
        <w:t>（七）按照国家或者本市规定应当由个人负担的费用。</w:t>
      </w:r>
    </w:p>
    <w:p w14:paraId="6CE5DE76">
      <w:pPr>
        <w:ind w:firstLine="422"/>
      </w:pPr>
      <w:r>
        <w:rPr>
          <w:rFonts w:hint="eastAsia"/>
          <w:b/>
        </w:rPr>
        <w:t>第二十条</w:t>
      </w:r>
      <w:r>
        <w:rPr>
          <w:rFonts w:hint="eastAsia"/>
        </w:rPr>
        <w:t xml:space="preserve">  申领生育津贴以及报销产前检查、计划生育手术门诊医疗费用，由企业负责到其参加生育保险的社会保险经办机构办理手续。</w:t>
      </w:r>
    </w:p>
    <w:p w14:paraId="0B2A611A">
      <w:r>
        <w:rPr>
          <w:rFonts w:hint="eastAsia"/>
        </w:rPr>
        <w:t>办理手续时，企业应当提交职工的《北京市医疗保险手册》、《北京市生育服务证》以及定点医疗机构出具的婴儿出生、死亡或者流产证明、计划生育手术证明和收费凭证等。</w:t>
      </w:r>
    </w:p>
    <w:p w14:paraId="1EAFCABB">
      <w:pPr>
        <w:ind w:firstLine="422"/>
      </w:pPr>
      <w:r>
        <w:rPr>
          <w:rFonts w:hint="eastAsia"/>
          <w:b/>
        </w:rPr>
        <w:t>第二十一条</w:t>
      </w:r>
      <w:r>
        <w:rPr>
          <w:rFonts w:hint="eastAsia"/>
        </w:rPr>
        <w:t xml:space="preserve">  生育、计划生育手术住院医疗费用，由定点医疗机构向企业参加生育保险的社会保险经办机构办理结算手续。</w:t>
      </w:r>
    </w:p>
    <w:p w14:paraId="43F81818">
      <w:pPr>
        <w:ind w:firstLine="422"/>
      </w:pPr>
      <w:r>
        <w:rPr>
          <w:rFonts w:hint="eastAsia"/>
          <w:b/>
        </w:rPr>
        <w:t>第二十二条</w:t>
      </w:r>
      <w:r>
        <w:rPr>
          <w:rFonts w:hint="eastAsia"/>
        </w:rPr>
        <w:t xml:space="preserve">  社会保险经办机构在收到企业申领生育津贴以及报销产前检查、计划生育手术门诊医疗费用，或者定点医疗机构结算生育、计划生育手术住院医疗费用的申请后，对于符合条件的，应当</w:t>
      </w:r>
      <w:r>
        <w:rPr>
          <w:rFonts w:hint="eastAsia" w:ascii="宋体" w:hAnsi="宋体" w:eastAsia="宋体" w:cs="宋体"/>
        </w:rPr>
        <w:t>在20日</w:t>
      </w:r>
      <w:r>
        <w:rPr>
          <w:rFonts w:hint="eastAsia"/>
        </w:rPr>
        <w:t>内审核结算完毕；对于不符合条件的，应当在</w:t>
      </w:r>
      <w:r>
        <w:rPr>
          <w:rFonts w:hint="eastAsia" w:ascii="宋体" w:hAnsi="宋体" w:eastAsia="宋体" w:cs="宋体"/>
        </w:rPr>
        <w:t>20</w:t>
      </w:r>
      <w:r>
        <w:rPr>
          <w:rFonts w:hint="eastAsia"/>
        </w:rPr>
        <w:t>日内书面告知申请人。</w:t>
      </w:r>
    </w:p>
    <w:p w14:paraId="6D357752"/>
    <w:p w14:paraId="29095E6F">
      <w:pPr>
        <w:ind w:firstLine="0" w:firstLineChars="0"/>
        <w:jc w:val="center"/>
        <w:rPr>
          <w:b/>
          <w:sz w:val="28"/>
        </w:rPr>
      </w:pPr>
      <w:r>
        <w:rPr>
          <w:rFonts w:hint="eastAsia"/>
          <w:b/>
          <w:sz w:val="28"/>
        </w:rPr>
        <w:t>第四章  法律责任</w:t>
      </w:r>
    </w:p>
    <w:p w14:paraId="7D8607A9"/>
    <w:p w14:paraId="20375E9F">
      <w:pPr>
        <w:ind w:firstLine="422"/>
      </w:pPr>
      <w:r>
        <w:rPr>
          <w:rFonts w:hint="eastAsia"/>
          <w:b/>
        </w:rPr>
        <w:t>第二十三条</w:t>
      </w:r>
      <w:r>
        <w:rPr>
          <w:rFonts w:hint="eastAsia"/>
        </w:rPr>
        <w:t xml:space="preserve">  企业未按照本规定参加生育保险的，职工生育保险待遇由企业按照本规定的标准支付。</w:t>
      </w:r>
    </w:p>
    <w:p w14:paraId="1A7F73E7">
      <w:r>
        <w:rPr>
          <w:rFonts w:hint="eastAsia"/>
        </w:rPr>
        <w:t>企业欠缴生育保险费的，欠缴期间职工生育保险待遇由企业按照本规定的标准支付。</w:t>
      </w:r>
    </w:p>
    <w:p w14:paraId="135E63A5">
      <w:pPr>
        <w:ind w:firstLine="422"/>
      </w:pPr>
      <w:r>
        <w:rPr>
          <w:rFonts w:hint="eastAsia"/>
          <w:b/>
        </w:rPr>
        <w:t>第二十四条</w:t>
      </w:r>
      <w:r>
        <w:rPr>
          <w:rFonts w:hint="eastAsia"/>
        </w:rPr>
        <w:t xml:space="preserve">  企业向社会保险经办机构申报应缴纳的生育保险费数额时，瞒报工资额或者参保职工人数的，由劳动保障行政部门责令改正，并处瞒报工资</w:t>
      </w:r>
      <w:r>
        <w:rPr>
          <w:rFonts w:hint="eastAsia" w:ascii="宋体" w:hAnsi="宋体" w:eastAsia="宋体" w:cs="宋体"/>
        </w:rPr>
        <w:t>额1倍以上3倍以下罚</w:t>
      </w:r>
      <w:r>
        <w:rPr>
          <w:rFonts w:hint="eastAsia"/>
        </w:rPr>
        <w:t>款。</w:t>
      </w:r>
    </w:p>
    <w:p w14:paraId="28BC269F">
      <w:pPr>
        <w:ind w:firstLine="422"/>
      </w:pPr>
      <w:r>
        <w:rPr>
          <w:rFonts w:hint="eastAsia"/>
          <w:b/>
        </w:rPr>
        <w:t>第二十五条</w:t>
      </w:r>
      <w:r>
        <w:rPr>
          <w:rFonts w:hint="eastAsia"/>
        </w:rPr>
        <w:t xml:space="preserve">  定点医疗机构有下列行为之一，造成生育保险基金损失的，应当赔偿损失，劳动保障行政部门对其可以处</w:t>
      </w:r>
      <w:r>
        <w:rPr>
          <w:rFonts w:hint="eastAsia" w:ascii="宋体" w:hAnsi="宋体" w:eastAsia="宋体" w:cs="宋体"/>
        </w:rPr>
        <w:t>5000元以上2万元以下</w:t>
      </w:r>
      <w:r>
        <w:rPr>
          <w:rFonts w:hint="eastAsia"/>
        </w:rPr>
        <w:t>罚款；情节严重的，取消其基本医疗保险定点医疗机构资格：</w:t>
      </w:r>
    </w:p>
    <w:p w14:paraId="50AA43CF">
      <w:bookmarkStart w:id="2231" w:name="_Toc428780575"/>
      <w:r>
        <w:rPr>
          <w:rFonts w:hint="eastAsia"/>
        </w:rPr>
        <w:t>（一）将未参加生育保险人员医疗费用列入生育保险基金支付的；</w:t>
      </w:r>
      <w:bookmarkEnd w:id="2231"/>
    </w:p>
    <w:p w14:paraId="4DEEE075">
      <w:r>
        <w:rPr>
          <w:rFonts w:hint="eastAsia"/>
        </w:rPr>
        <w:t>（二）将不属于生育保险支付的费用列入生育保险基金支付的；</w:t>
      </w:r>
    </w:p>
    <w:p w14:paraId="25949122">
      <w:r>
        <w:rPr>
          <w:rFonts w:hint="eastAsia"/>
        </w:rPr>
        <w:t>（三）出具虚假证明或虚假收费凭证的；</w:t>
      </w:r>
    </w:p>
    <w:p w14:paraId="1B3FD95B">
      <w:r>
        <w:rPr>
          <w:rFonts w:hint="eastAsia"/>
        </w:rPr>
        <w:t>（四）违反医疗、药品、价格等管理规定的。</w:t>
      </w:r>
    </w:p>
    <w:p w14:paraId="320091BA">
      <w:pPr>
        <w:ind w:firstLine="422"/>
      </w:pPr>
      <w:r>
        <w:rPr>
          <w:rFonts w:hint="eastAsia"/>
          <w:b/>
        </w:rPr>
        <w:t>第二十六条</w:t>
      </w:r>
      <w:r>
        <w:rPr>
          <w:rFonts w:hint="eastAsia"/>
        </w:rPr>
        <w:t xml:space="preserve">  骗取生育保险待遇或者骗取生育保险基金支出的，由劳动保障行政部门责令退还，并处骗取金</w:t>
      </w:r>
      <w:r>
        <w:rPr>
          <w:rFonts w:hint="eastAsia" w:ascii="宋体" w:hAnsi="宋体" w:eastAsia="宋体" w:cs="宋体"/>
        </w:rPr>
        <w:t>额1倍以上3倍以下罚</w:t>
      </w:r>
      <w:r>
        <w:rPr>
          <w:rFonts w:hint="eastAsia"/>
        </w:rPr>
        <w:t>款。</w:t>
      </w:r>
    </w:p>
    <w:p w14:paraId="2040E9EA">
      <w:pPr>
        <w:ind w:firstLine="422"/>
      </w:pPr>
      <w:r>
        <w:rPr>
          <w:rFonts w:hint="eastAsia"/>
          <w:b/>
        </w:rPr>
        <w:t>第二十七条</w:t>
      </w:r>
      <w:r>
        <w:rPr>
          <w:rFonts w:hint="eastAsia"/>
        </w:rPr>
        <w:t xml:space="preserve">  劳动保障行政部门、社会保险经办机构的工作人员违反本规定造成基金损失的，由劳动保障行政部门追回损失，尚未构成犯罪的，依法给予行政处分；构成犯罪的，依法追究刑事责任。</w:t>
      </w:r>
    </w:p>
    <w:p w14:paraId="0B4138EF">
      <w:pPr>
        <w:spacing w:line="300" w:lineRule="exact"/>
      </w:pPr>
    </w:p>
    <w:p w14:paraId="59580D56">
      <w:pPr>
        <w:ind w:firstLine="0" w:firstLineChars="0"/>
        <w:jc w:val="center"/>
        <w:rPr>
          <w:b/>
          <w:sz w:val="28"/>
        </w:rPr>
      </w:pPr>
      <w:r>
        <w:rPr>
          <w:rFonts w:hint="eastAsia"/>
          <w:b/>
          <w:sz w:val="28"/>
        </w:rPr>
        <w:t>第五章  附  则</w:t>
      </w:r>
    </w:p>
    <w:p w14:paraId="1235E4D9">
      <w:pPr>
        <w:spacing w:line="300" w:lineRule="exact"/>
      </w:pPr>
    </w:p>
    <w:p w14:paraId="51775B3E">
      <w:pPr>
        <w:ind w:firstLine="422"/>
      </w:pPr>
      <w:r>
        <w:rPr>
          <w:rFonts w:hint="eastAsia"/>
          <w:b/>
        </w:rPr>
        <w:t>第二十八条</w:t>
      </w:r>
      <w:r>
        <w:rPr>
          <w:rFonts w:hint="eastAsia"/>
        </w:rPr>
        <w:t xml:space="preserve">  本市行政区域内的民办非企业单位、实行企业化管理的事业单位和与之形成劳动关系且具有本市常住户口的职工参照本规定执行。</w:t>
      </w:r>
    </w:p>
    <w:p w14:paraId="03BF538A">
      <w:pPr>
        <w:ind w:firstLine="422"/>
        <w:rPr>
          <w:rFonts w:hint="eastAsia" w:ascii="宋体" w:hAnsi="宋体" w:eastAsia="宋体" w:cs="宋体"/>
        </w:rPr>
      </w:pPr>
      <w:r>
        <w:rPr>
          <w:rFonts w:hint="eastAsia"/>
          <w:b/>
        </w:rPr>
        <w:t>第二十九条</w:t>
      </w:r>
      <w:r>
        <w:rPr>
          <w:rFonts w:hint="eastAsia"/>
        </w:rPr>
        <w:t>　本规定</w:t>
      </w:r>
      <w:r>
        <w:rPr>
          <w:rFonts w:hint="eastAsia" w:ascii="宋体" w:hAnsi="宋体" w:eastAsia="宋体" w:cs="宋体"/>
        </w:rPr>
        <w:t>自2005年7月1日起施行。</w:t>
      </w:r>
    </w:p>
    <w:p w14:paraId="74B70DFE">
      <w:pPr>
        <w:pStyle w:val="4"/>
        <w:pageBreakBefore/>
      </w:pPr>
      <w:bookmarkStart w:id="2232" w:name="_Toc426467083"/>
      <w:bookmarkStart w:id="2233" w:name="_Toc428781831"/>
      <w:bookmarkStart w:id="2234" w:name="_Toc428780576"/>
      <w:r>
        <w:rPr>
          <w:rFonts w:hint="eastAsia"/>
        </w:rPr>
        <w:t>北京市基本养老保险规定</w:t>
      </w:r>
      <w:bookmarkEnd w:id="2232"/>
      <w:bookmarkEnd w:id="2233"/>
      <w:bookmarkEnd w:id="2234"/>
    </w:p>
    <w:p w14:paraId="57B991B0">
      <w:pPr>
        <w:ind w:left="630" w:leftChars="300" w:right="630" w:rightChars="300"/>
        <w:rPr>
          <w:rFonts w:ascii="楷体" w:hAnsi="楷体" w:eastAsia="楷体"/>
        </w:rPr>
      </w:pPr>
      <w:r>
        <w:rPr>
          <w:rFonts w:hint="eastAsia" w:ascii="楷体" w:hAnsi="楷体" w:eastAsia="楷体"/>
        </w:rPr>
        <w:t>（2006年12月4日北京市人民政府第57次常务会议审议通过  2006年12月14日北京市人民政府第183号令发布）</w:t>
      </w:r>
    </w:p>
    <w:p w14:paraId="58559FE0"/>
    <w:p w14:paraId="4736063D">
      <w:pPr>
        <w:ind w:firstLine="0" w:firstLineChars="0"/>
        <w:jc w:val="center"/>
        <w:rPr>
          <w:b/>
          <w:sz w:val="28"/>
        </w:rPr>
      </w:pPr>
      <w:r>
        <w:rPr>
          <w:rFonts w:hint="eastAsia"/>
          <w:b/>
          <w:sz w:val="28"/>
        </w:rPr>
        <w:t>第一章　总　则</w:t>
      </w:r>
    </w:p>
    <w:p w14:paraId="4E8CDD27"/>
    <w:p w14:paraId="07648658">
      <w:pPr>
        <w:ind w:firstLine="422"/>
      </w:pPr>
      <w:r>
        <w:rPr>
          <w:rFonts w:hint="eastAsia"/>
          <w:b/>
        </w:rPr>
        <w:t>第一条</w:t>
      </w:r>
      <w:r>
        <w:rPr>
          <w:rFonts w:hint="eastAsia"/>
        </w:rPr>
        <w:t xml:space="preserve">  为了保障劳动者退休后的基本生活，完善基本养老保险制度，根据《中华人民共和国劳动法》和国家有关规定，结合本市实际情况，制定本规定。</w:t>
      </w:r>
    </w:p>
    <w:p w14:paraId="10ACBAB8">
      <w:pPr>
        <w:ind w:firstLine="422"/>
      </w:pPr>
      <w:r>
        <w:rPr>
          <w:rFonts w:hint="eastAsia"/>
          <w:b/>
        </w:rPr>
        <w:t>第二条</w:t>
      </w:r>
      <w:r>
        <w:rPr>
          <w:rFonts w:hint="eastAsia"/>
        </w:rPr>
        <w:t xml:space="preserve">  本市行政区域内的企业和与之形成劳动关系的城镇职工，城镇个体工商户和灵活就业人员，应当按照本规定参加基本养老保险。</w:t>
      </w:r>
    </w:p>
    <w:p w14:paraId="1D234144">
      <w:r>
        <w:rPr>
          <w:rFonts w:hint="eastAsia"/>
        </w:rPr>
        <w:t>参加基本养老保险的城镇职工、个体工商户和灵活就业人员，以下统称为被保险人。</w:t>
      </w:r>
    </w:p>
    <w:p w14:paraId="611A8392">
      <w:pPr>
        <w:ind w:firstLine="422"/>
      </w:pPr>
      <w:r>
        <w:rPr>
          <w:rFonts w:hint="eastAsia"/>
          <w:b/>
        </w:rPr>
        <w:t>第三条</w:t>
      </w:r>
      <w:r>
        <w:rPr>
          <w:rFonts w:hint="eastAsia"/>
        </w:rPr>
        <w:t xml:space="preserve">  基本养老保险制度坚持覆盖广泛、水平适当、结构合理、基金平衡的原则。</w:t>
      </w:r>
    </w:p>
    <w:p w14:paraId="583D9AE2">
      <w:pPr>
        <w:ind w:firstLine="422"/>
      </w:pPr>
      <w:r>
        <w:rPr>
          <w:rFonts w:hint="eastAsia"/>
          <w:b/>
        </w:rPr>
        <w:t>第四条</w:t>
      </w:r>
      <w:r>
        <w:rPr>
          <w:rFonts w:hint="eastAsia"/>
        </w:rPr>
        <w:t xml:space="preserve">  市劳动保障行政部门负责组织、指导、监督和管理全市基本养老保险工作；区、县劳动保障行政部门负责监督和管理本行政区域内的基本养老保险工作。</w:t>
      </w:r>
    </w:p>
    <w:p w14:paraId="24AA650F">
      <w:r>
        <w:rPr>
          <w:rFonts w:hint="eastAsia"/>
        </w:rPr>
        <w:t>市和区、县劳动保障行政部门设立的社会保险经办机构，依法负责登记、征收、支付和稽核等基本养老保险的具体工作；市社会保险经办机构负责制定具体管理制度，规范业务流程。</w:t>
      </w:r>
    </w:p>
    <w:p w14:paraId="5DB20F5D">
      <w:pPr>
        <w:ind w:firstLine="422"/>
      </w:pPr>
      <w:r>
        <w:rPr>
          <w:rFonts w:hint="eastAsia"/>
          <w:b/>
        </w:rPr>
        <w:t>第五条</w:t>
      </w:r>
      <w:r>
        <w:rPr>
          <w:rFonts w:hint="eastAsia"/>
        </w:rPr>
        <w:t xml:space="preserve">  财政部门负责基本养老保险基金的财务监督和管理工作；审计机关负责对基本养老保险基金的收支和管理情况进行监督。</w:t>
      </w:r>
    </w:p>
    <w:p w14:paraId="79E294A7">
      <w:pPr>
        <w:ind w:firstLine="422"/>
      </w:pPr>
      <w:r>
        <w:rPr>
          <w:rFonts w:hint="eastAsia"/>
          <w:b/>
        </w:rPr>
        <w:t>第六条</w:t>
      </w:r>
      <w:r>
        <w:rPr>
          <w:rFonts w:hint="eastAsia"/>
        </w:rPr>
        <w:t xml:space="preserve">  北京市社会保险监督委员会负责对基本养老保险法律、法规、规章和政策的执行情况以及基本养老保险基金的管理工作进行监督。</w:t>
      </w:r>
    </w:p>
    <w:p w14:paraId="143CDA7D">
      <w:r>
        <w:rPr>
          <w:rFonts w:hint="eastAsia"/>
        </w:rPr>
        <w:t>北京市社会保险监督委员会由政府代表、企业代表、工会代表和离退休人员代表组成。</w:t>
      </w:r>
    </w:p>
    <w:p w14:paraId="7E14E081">
      <w:pPr>
        <w:ind w:firstLine="422"/>
      </w:pPr>
      <w:r>
        <w:rPr>
          <w:rFonts w:hint="eastAsia"/>
          <w:b/>
        </w:rPr>
        <w:t>第七条</w:t>
      </w:r>
      <w:r>
        <w:rPr>
          <w:rFonts w:hint="eastAsia"/>
        </w:rPr>
        <w:t xml:space="preserve">  市劳动保障行政部门会同有关部门做好企业退休人员社会化管理工作，为退休人员提供社会化服务。</w:t>
      </w:r>
    </w:p>
    <w:p w14:paraId="72946331">
      <w:pPr>
        <w:ind w:firstLine="422"/>
      </w:pPr>
      <w:r>
        <w:rPr>
          <w:rFonts w:hint="eastAsia"/>
          <w:b/>
        </w:rPr>
        <w:t>第八条</w:t>
      </w:r>
      <w:r>
        <w:rPr>
          <w:rFonts w:hint="eastAsia"/>
        </w:rPr>
        <w:t xml:space="preserve">  鼓励企业在参加基本养老保险的基础上建立企业年金，提倡被保险人参加个人储蓄性养老保险。</w:t>
      </w:r>
    </w:p>
    <w:p w14:paraId="18EF8C13"/>
    <w:p w14:paraId="75919A9C">
      <w:pPr>
        <w:ind w:firstLine="0" w:firstLineChars="0"/>
        <w:jc w:val="center"/>
        <w:rPr>
          <w:b/>
          <w:sz w:val="28"/>
        </w:rPr>
      </w:pPr>
      <w:r>
        <w:rPr>
          <w:rFonts w:hint="eastAsia"/>
          <w:b/>
          <w:sz w:val="28"/>
        </w:rPr>
        <w:t>第二章  基本养老保险基金</w:t>
      </w:r>
    </w:p>
    <w:p w14:paraId="0B9CA02C"/>
    <w:p w14:paraId="2450CF30">
      <w:pPr>
        <w:ind w:firstLine="422"/>
      </w:pPr>
      <w:r>
        <w:rPr>
          <w:rFonts w:hint="eastAsia"/>
          <w:b/>
        </w:rPr>
        <w:t>第九条</w:t>
      </w:r>
      <w:r>
        <w:rPr>
          <w:rFonts w:hint="eastAsia"/>
        </w:rPr>
        <w:t xml:space="preserve">  基本养老保险基金由下列部分构成：</w:t>
      </w:r>
    </w:p>
    <w:p w14:paraId="01E0727C">
      <w:r>
        <w:rPr>
          <w:rFonts w:hint="eastAsia"/>
        </w:rPr>
        <w:t>（一）企业和被保险人缴纳的基本养老保险费；</w:t>
      </w:r>
    </w:p>
    <w:p w14:paraId="5DF95B72">
      <w:r>
        <w:rPr>
          <w:rFonts w:hint="eastAsia"/>
        </w:rPr>
        <w:t>（二）基本养老保险费利息和其他收益；</w:t>
      </w:r>
    </w:p>
    <w:p w14:paraId="28D3EC62">
      <w:r>
        <w:rPr>
          <w:rFonts w:hint="eastAsia"/>
        </w:rPr>
        <w:t>（三）财政补贴；</w:t>
      </w:r>
    </w:p>
    <w:p w14:paraId="1BEDBEAC">
      <w:r>
        <w:rPr>
          <w:rFonts w:hint="eastAsia"/>
        </w:rPr>
        <w:t>（四）滞纳金；</w:t>
      </w:r>
    </w:p>
    <w:p w14:paraId="5540F948">
      <w:r>
        <w:rPr>
          <w:rFonts w:hint="eastAsia"/>
        </w:rPr>
        <w:t>（五）其他可以纳入基本养老保险基金的资金。</w:t>
      </w:r>
    </w:p>
    <w:p w14:paraId="3B8CBBF2">
      <w:pPr>
        <w:ind w:firstLine="422"/>
      </w:pPr>
      <w:r>
        <w:rPr>
          <w:rFonts w:hint="eastAsia"/>
          <w:b/>
        </w:rPr>
        <w:t>第十条</w:t>
      </w:r>
      <w:r>
        <w:rPr>
          <w:rFonts w:hint="eastAsia"/>
        </w:rPr>
        <w:t xml:space="preserve">  基本养老保险基金纳入社会保险基金财政专户，实行收支两条线管理。</w:t>
      </w:r>
    </w:p>
    <w:p w14:paraId="44AD9906">
      <w:pPr>
        <w:ind w:firstLine="422"/>
      </w:pPr>
      <w:r>
        <w:rPr>
          <w:rFonts w:hint="eastAsia"/>
          <w:b/>
        </w:rPr>
        <w:t>第十一条</w:t>
      </w:r>
      <w:r>
        <w:rPr>
          <w:rFonts w:hint="eastAsia"/>
        </w:rPr>
        <w:t xml:space="preserve">  企业和被保险人应当按时、足额缴纳基本养老保险费。</w:t>
      </w:r>
    </w:p>
    <w:p w14:paraId="040082C6">
      <w:r>
        <w:rPr>
          <w:rFonts w:hint="eastAsia"/>
        </w:rPr>
        <w:t>城镇职工缴纳的基本养老保险费，由所在企业从其本人工资中代扣代缴。企业以货币形式全额缴纳基本养老保险费。城镇个体工商户和灵活就业人员按照本规定确定的缴费基数和缴费比例按月缴纳。</w:t>
      </w:r>
    </w:p>
    <w:p w14:paraId="28C4DA66">
      <w:pPr>
        <w:ind w:firstLine="422"/>
      </w:pPr>
      <w:r>
        <w:rPr>
          <w:rFonts w:hint="eastAsia"/>
          <w:b/>
        </w:rPr>
        <w:t>第十二条</w:t>
      </w:r>
      <w:r>
        <w:rPr>
          <w:rFonts w:hint="eastAsia"/>
        </w:rPr>
        <w:t xml:space="preserve">  城镇职工以本人上一年度月平均工资为缴费工资基数，按照</w:t>
      </w:r>
      <w:r>
        <w:rPr>
          <w:rFonts w:hint="eastAsia" w:ascii="宋体" w:hAnsi="宋体" w:eastAsia="宋体" w:cs="宋体"/>
        </w:rPr>
        <w:t>8%的比</w:t>
      </w:r>
      <w:r>
        <w:rPr>
          <w:rFonts w:hint="eastAsia"/>
        </w:rPr>
        <w:t>例缴纳基本养老保险费，全额计入个人账户。</w:t>
      </w:r>
    </w:p>
    <w:p w14:paraId="0D4EC478">
      <w:r>
        <w:rPr>
          <w:rFonts w:hint="eastAsia"/>
        </w:rPr>
        <w:t>缴费工资基数低于本市上一年度职工月平均</w:t>
      </w:r>
      <w:r>
        <w:rPr>
          <w:rFonts w:hint="eastAsia" w:ascii="宋体" w:hAnsi="宋体" w:eastAsia="宋体" w:cs="宋体"/>
        </w:rPr>
        <w:t>工资60%的，以本市上一年度职工月平均工资的60%作为缴费工资基数；超过本市上一年度职工月平均工资300%的部分，不</w:t>
      </w:r>
      <w:r>
        <w:rPr>
          <w:rFonts w:hint="eastAsia"/>
        </w:rPr>
        <w:t>计入缴费工资基数，不作为计发基本养老金的基数。</w:t>
      </w:r>
    </w:p>
    <w:p w14:paraId="2FE4C969">
      <w:pPr>
        <w:ind w:firstLine="422"/>
      </w:pPr>
      <w:r>
        <w:rPr>
          <w:rFonts w:hint="eastAsia"/>
          <w:b/>
        </w:rPr>
        <w:t>第十三条</w:t>
      </w:r>
      <w:r>
        <w:rPr>
          <w:rFonts w:hint="eastAsia"/>
        </w:rPr>
        <w:t xml:space="preserve">  企业以全部城镇职工缴费工资基数之和作为企业缴费工资</w:t>
      </w:r>
      <w:r>
        <w:rPr>
          <w:rFonts w:hint="eastAsia" w:ascii="宋体" w:hAnsi="宋体" w:eastAsia="宋体" w:cs="宋体"/>
        </w:rPr>
        <w:t>基数，按照20%</w:t>
      </w:r>
      <w:r>
        <w:rPr>
          <w:rFonts w:hint="eastAsia"/>
        </w:rPr>
        <w:t>的比例缴纳基本养老保险费。企业缴纳的基本养老保险费在税前列支。</w:t>
      </w:r>
    </w:p>
    <w:p w14:paraId="21536A87">
      <w:pPr>
        <w:ind w:firstLine="422"/>
      </w:pPr>
      <w:r>
        <w:rPr>
          <w:rFonts w:hint="eastAsia"/>
          <w:b/>
        </w:rPr>
        <w:t>第十四条</w:t>
      </w:r>
      <w:r>
        <w:rPr>
          <w:rFonts w:hint="eastAsia"/>
        </w:rPr>
        <w:t xml:space="preserve">  城镇个体工商户和灵活就业人员以本市上一年度职工月平均工资作为缴费基数，按</w:t>
      </w:r>
      <w:r>
        <w:rPr>
          <w:rFonts w:hint="eastAsia" w:ascii="宋体" w:hAnsi="宋体" w:eastAsia="宋体" w:cs="宋体"/>
        </w:rPr>
        <w:t>照20%的比例缴纳基本养老保险费，其中8%计入个人</w:t>
      </w:r>
      <w:r>
        <w:rPr>
          <w:rFonts w:hint="eastAsia"/>
        </w:rPr>
        <w:t>账户。</w:t>
      </w:r>
    </w:p>
    <w:p w14:paraId="1C6F897F">
      <w:pPr>
        <w:ind w:firstLine="422"/>
      </w:pPr>
      <w:r>
        <w:rPr>
          <w:rFonts w:hint="eastAsia"/>
          <w:b/>
        </w:rPr>
        <w:t>第十五条</w:t>
      </w:r>
      <w:r>
        <w:rPr>
          <w:rFonts w:hint="eastAsia"/>
        </w:rPr>
        <w:t xml:space="preserve">  社会保险经办机构应当对企业和被保险人缴纳的基本养老保险费建立缴费记录，并负责保存，保证其完整、安全。</w:t>
      </w:r>
    </w:p>
    <w:p w14:paraId="3D8E2E42">
      <w:r>
        <w:rPr>
          <w:rFonts w:hint="eastAsia"/>
        </w:rPr>
        <w:t>企业和被保险人有权查询缴费记录。</w:t>
      </w:r>
    </w:p>
    <w:p w14:paraId="3A6DD84C">
      <w:pPr>
        <w:ind w:firstLine="422"/>
      </w:pPr>
      <w:r>
        <w:rPr>
          <w:rFonts w:hint="eastAsia"/>
          <w:b/>
        </w:rPr>
        <w:t>第十六条</w:t>
      </w:r>
      <w:r>
        <w:rPr>
          <w:rFonts w:hint="eastAsia"/>
        </w:rPr>
        <w:t xml:space="preserve">  企业应当每年向本单位职工公布上一年度缴纳基本养老保险费情况。</w:t>
      </w:r>
    </w:p>
    <w:p w14:paraId="4356DF75">
      <w:r>
        <w:rPr>
          <w:rFonts w:hint="eastAsia"/>
        </w:rPr>
        <w:t>市社会保险经办机构应当在</w:t>
      </w:r>
      <w:r>
        <w:rPr>
          <w:rFonts w:hint="eastAsia" w:ascii="宋体" w:hAnsi="宋体" w:eastAsia="宋体" w:cs="宋体"/>
        </w:rPr>
        <w:t>每年4月30日前发布核</w:t>
      </w:r>
      <w:r>
        <w:rPr>
          <w:rFonts w:hint="eastAsia"/>
        </w:rPr>
        <w:t>对被保险人上一年度缴费记录的公告，并在公告中确定核对缴费基数和补缴基本养老保险费的时间。</w:t>
      </w:r>
    </w:p>
    <w:p w14:paraId="2038AE74">
      <w:r>
        <w:rPr>
          <w:rFonts w:hint="eastAsia"/>
        </w:rPr>
        <w:t>补缴基本养老保险费的具体办法，由市劳动保障行政部门制定。</w:t>
      </w:r>
    </w:p>
    <w:p w14:paraId="2B6AFDF8"/>
    <w:p w14:paraId="6C6C7F3C">
      <w:pPr>
        <w:ind w:firstLine="0" w:firstLineChars="0"/>
        <w:jc w:val="center"/>
        <w:rPr>
          <w:b/>
          <w:sz w:val="28"/>
        </w:rPr>
      </w:pPr>
      <w:r>
        <w:rPr>
          <w:rFonts w:hint="eastAsia"/>
          <w:b/>
          <w:sz w:val="28"/>
        </w:rPr>
        <w:t>第三章  基本养老保险个人账户</w:t>
      </w:r>
    </w:p>
    <w:p w14:paraId="4738E4E8"/>
    <w:p w14:paraId="34584C1B">
      <w:pPr>
        <w:ind w:firstLine="422"/>
      </w:pPr>
      <w:r>
        <w:rPr>
          <w:rFonts w:hint="eastAsia"/>
          <w:b/>
        </w:rPr>
        <w:t>第十七条</w:t>
      </w:r>
      <w:r>
        <w:rPr>
          <w:rFonts w:hint="eastAsia"/>
        </w:rPr>
        <w:t xml:space="preserve">  社会保险经办机构应当按照国家有关规定为被保险人建立基本养老保险个人账户（以下简称为个人账户）。</w:t>
      </w:r>
    </w:p>
    <w:p w14:paraId="10ABB253">
      <w:pPr>
        <w:ind w:firstLine="422"/>
      </w:pPr>
      <w:r>
        <w:rPr>
          <w:rFonts w:hint="eastAsia"/>
          <w:b/>
        </w:rPr>
        <w:t>第十八条</w:t>
      </w:r>
      <w:r>
        <w:rPr>
          <w:rFonts w:hint="eastAsia"/>
        </w:rPr>
        <w:t xml:space="preserve">  个人账户由被保险人缴纳的基本养老保险费和个人账户储存额的利息构成。</w:t>
      </w:r>
    </w:p>
    <w:p w14:paraId="6A59EB13">
      <w:r>
        <w:rPr>
          <w:rFonts w:hint="eastAsia"/>
        </w:rPr>
        <w:t>个人账户储存额每年参考银行同期居民存款利率计算利息。</w:t>
      </w:r>
    </w:p>
    <w:p w14:paraId="0C5E3404">
      <w:pPr>
        <w:ind w:firstLine="422"/>
      </w:pPr>
      <w:r>
        <w:rPr>
          <w:rFonts w:hint="eastAsia"/>
          <w:b/>
        </w:rPr>
        <w:t>第十九条</w:t>
      </w:r>
      <w:r>
        <w:rPr>
          <w:rFonts w:hint="eastAsia"/>
        </w:rPr>
        <w:t xml:space="preserve">  个人账户储存额只能用于被保险人养老，不得提前支取。被保险人死亡后，个人账户储存额或者余额中个人缴纳的基本养老保险费及其利息可以依法继承，其余部分并入基本养老保险基金。</w:t>
      </w:r>
    </w:p>
    <w:p w14:paraId="2BFBAFB4">
      <w:pPr>
        <w:ind w:firstLine="422"/>
      </w:pPr>
      <w:r>
        <w:rPr>
          <w:rFonts w:hint="eastAsia"/>
          <w:b/>
        </w:rPr>
        <w:t>第二十条</w:t>
      </w:r>
      <w:r>
        <w:rPr>
          <w:rFonts w:hint="eastAsia"/>
        </w:rPr>
        <w:t xml:space="preserve">  被保险人在本市统筹范围内或者跨统筹范围流动时，其基本养老保险关系和个人账户的转移，按照国家和本市有关规定办理。</w:t>
      </w:r>
    </w:p>
    <w:p w14:paraId="4EDDFBA5"/>
    <w:p w14:paraId="2CA1C422">
      <w:pPr>
        <w:ind w:firstLine="0" w:firstLineChars="0"/>
        <w:jc w:val="center"/>
        <w:rPr>
          <w:b/>
          <w:sz w:val="28"/>
        </w:rPr>
      </w:pPr>
      <w:r>
        <w:rPr>
          <w:rFonts w:hint="eastAsia"/>
          <w:b/>
          <w:sz w:val="28"/>
        </w:rPr>
        <w:t>第四章  基本养老保险待遇</w:t>
      </w:r>
    </w:p>
    <w:p w14:paraId="531834A8"/>
    <w:p w14:paraId="0B976A0F">
      <w:pPr>
        <w:ind w:firstLine="422"/>
      </w:pPr>
      <w:r>
        <w:rPr>
          <w:rFonts w:hint="eastAsia"/>
          <w:b/>
        </w:rPr>
        <w:t>第二十一条</w:t>
      </w:r>
      <w:r>
        <w:rPr>
          <w:rFonts w:hint="eastAsia"/>
        </w:rPr>
        <w:t xml:space="preserve">  基本养老保险基金支付下列基本养老保险待遇：</w:t>
      </w:r>
    </w:p>
    <w:p w14:paraId="72BADFF6">
      <w:r>
        <w:rPr>
          <w:rFonts w:hint="eastAsia"/>
        </w:rPr>
        <w:t>（一）被保险人的基本养老金；</w:t>
      </w:r>
    </w:p>
    <w:p w14:paraId="050BDECB">
      <w:r>
        <w:rPr>
          <w:rFonts w:hint="eastAsia"/>
        </w:rPr>
        <w:t>（二）被保险人退休后死亡的丧葬补助费；</w:t>
      </w:r>
    </w:p>
    <w:p w14:paraId="3DE850A4">
      <w:r>
        <w:rPr>
          <w:rFonts w:hint="eastAsia"/>
        </w:rPr>
        <w:t>（三）国家和本市规定的其他支付项目的费用。</w:t>
      </w:r>
    </w:p>
    <w:p w14:paraId="5D857BE7">
      <w:r>
        <w:rPr>
          <w:rFonts w:hint="eastAsia"/>
        </w:rPr>
        <w:t>基本养老保险基金发生支付困难时，由市财政部门予以支持。</w:t>
      </w:r>
    </w:p>
    <w:p w14:paraId="0E01C2CF">
      <w:pPr>
        <w:ind w:firstLine="422"/>
      </w:pPr>
      <w:r>
        <w:rPr>
          <w:rFonts w:hint="eastAsia"/>
          <w:b/>
        </w:rPr>
        <w:t>第二十二条</w:t>
      </w:r>
      <w:r>
        <w:rPr>
          <w:rFonts w:hint="eastAsia"/>
        </w:rPr>
        <w:t xml:space="preserve">  被保险人符合下列条件的，自劳动保障行政部门核准后的次月起，按月领取基本养老金：</w:t>
      </w:r>
    </w:p>
    <w:p w14:paraId="6A1AC876">
      <w:bookmarkStart w:id="2235" w:name="_Toc428780577"/>
      <w:r>
        <w:rPr>
          <w:rFonts w:hint="eastAsia"/>
        </w:rPr>
        <w:t>（一）达到国家规定的退休条件并办理相关手续的；</w:t>
      </w:r>
      <w:bookmarkEnd w:id="2235"/>
    </w:p>
    <w:p w14:paraId="53165CD1">
      <w:r>
        <w:rPr>
          <w:rFonts w:hint="eastAsia"/>
        </w:rPr>
        <w:t>（二）按规定缴纳基本养老保险费累计缴费年限</w:t>
      </w:r>
      <w:r>
        <w:rPr>
          <w:rFonts w:hint="eastAsia" w:ascii="宋体" w:hAnsi="宋体" w:eastAsia="宋体" w:cs="宋体"/>
        </w:rPr>
        <w:t>满15年</w:t>
      </w:r>
      <w:r>
        <w:rPr>
          <w:rFonts w:hint="eastAsia"/>
        </w:rPr>
        <w:t>的。</w:t>
      </w:r>
    </w:p>
    <w:p w14:paraId="2666A113">
      <w:r>
        <w:rPr>
          <w:rFonts w:hint="eastAsia"/>
        </w:rPr>
        <w:t>基本养老金由社会保险经办机构负责发放。</w:t>
      </w:r>
    </w:p>
    <w:p w14:paraId="31AD0C31">
      <w:pPr>
        <w:ind w:firstLine="422"/>
        <w:rPr>
          <w:rFonts w:hint="eastAsia" w:ascii="宋体" w:hAnsi="宋体" w:eastAsia="宋体" w:cs="宋体"/>
        </w:rPr>
      </w:pPr>
      <w:r>
        <w:rPr>
          <w:rFonts w:hint="eastAsia"/>
          <w:b/>
        </w:rPr>
        <w:t>第二十三条</w:t>
      </w:r>
      <w:r>
        <w:rPr>
          <w:rFonts w:hint="eastAsia"/>
        </w:rPr>
        <w:t xml:space="preserve">  </w:t>
      </w:r>
      <w:r>
        <w:rPr>
          <w:rFonts w:hint="eastAsia" w:ascii="宋体" w:hAnsi="宋体" w:eastAsia="宋体" w:cs="宋体"/>
        </w:rPr>
        <w:t>1998年7月1日以后参加工作，符合按月领取基本养老金条件的被保险人，其基本养老金由基础养老金和个人账户养老金组成。</w:t>
      </w:r>
    </w:p>
    <w:p w14:paraId="21FB6E5B">
      <w:pPr>
        <w:rPr>
          <w:rFonts w:hint="eastAsia" w:ascii="宋体" w:hAnsi="宋体" w:eastAsia="宋体" w:cs="宋体"/>
        </w:rPr>
      </w:pPr>
      <w:r>
        <w:rPr>
          <w:rFonts w:hint="eastAsia" w:ascii="宋体" w:hAnsi="宋体" w:eastAsia="宋体" w:cs="宋体"/>
        </w:rPr>
        <w:t>基础养老金月标准以本市上一年度职工月平均工资和本人指数化月平均缴费工资的平均值为基数，缴费每满1年发给1%。</w:t>
      </w:r>
    </w:p>
    <w:p w14:paraId="61E6B5A1">
      <w:r>
        <w:rPr>
          <w:rFonts w:hint="eastAsia" w:ascii="宋体" w:hAnsi="宋体" w:eastAsia="宋体" w:cs="宋体"/>
        </w:rPr>
        <w:t>个人账户养老金月标准为个人账户储存额除以国家</w:t>
      </w:r>
      <w:r>
        <w:rPr>
          <w:rFonts w:hint="eastAsia"/>
        </w:rPr>
        <w:t>规定的计发月数。</w:t>
      </w:r>
    </w:p>
    <w:p w14:paraId="0F8B47F6">
      <w:pPr>
        <w:ind w:firstLine="422"/>
      </w:pPr>
      <w:r>
        <w:rPr>
          <w:rFonts w:hint="eastAsia"/>
          <w:b/>
        </w:rPr>
        <w:t>第二十四条</w:t>
      </w:r>
      <w:r>
        <w:rPr>
          <w:rFonts w:hint="eastAsia"/>
        </w:rPr>
        <w:t xml:space="preserve">  </w:t>
      </w:r>
      <w:r>
        <w:rPr>
          <w:rFonts w:hint="eastAsia" w:ascii="宋体" w:hAnsi="宋体" w:eastAsia="宋体" w:cs="宋体"/>
        </w:rPr>
        <w:t>1998年6月30日以前参加工作，2006年1月1日以后符合按月领取基本养老金条件的被保险人，除按月领取基础养老金和个人账户养老金外，再发给过</w:t>
      </w:r>
      <w:r>
        <w:rPr>
          <w:rFonts w:hint="eastAsia"/>
        </w:rPr>
        <w:t>渡性养老金。具体过渡办法由市劳动保障行政部门制定，报市人民政府批准后施行。</w:t>
      </w:r>
    </w:p>
    <w:p w14:paraId="697820D6">
      <w:pPr>
        <w:ind w:firstLine="422"/>
      </w:pPr>
      <w:r>
        <w:rPr>
          <w:rFonts w:hint="eastAsia"/>
          <w:b/>
        </w:rPr>
        <w:t>第二十五条</w:t>
      </w:r>
      <w:r>
        <w:rPr>
          <w:rFonts w:hint="eastAsia"/>
        </w:rPr>
        <w:t xml:space="preserve"> </w:t>
      </w:r>
      <w:r>
        <w:rPr>
          <w:rFonts w:hint="eastAsia" w:ascii="宋体" w:hAnsi="宋体" w:eastAsia="宋体" w:cs="宋体"/>
        </w:rPr>
        <w:t xml:space="preserve"> 2006年1月1日以后达到</w:t>
      </w:r>
      <w:r>
        <w:rPr>
          <w:rFonts w:hint="eastAsia"/>
        </w:rPr>
        <w:t>退休年龄但个人累计缴费年限不满</w:t>
      </w:r>
      <w:r>
        <w:rPr>
          <w:rFonts w:hint="eastAsia" w:ascii="宋体" w:hAnsi="宋体" w:eastAsia="宋体" w:cs="宋体"/>
        </w:rPr>
        <w:t>15</w:t>
      </w:r>
      <w:r>
        <w:rPr>
          <w:rFonts w:hint="eastAsia"/>
        </w:rPr>
        <w:t>年的被保险人，不发给基础养老金；个人账户储存额一次性支付给本人，同时发给一次性养老补偿金，终止基本养老保险关系。</w:t>
      </w:r>
    </w:p>
    <w:p w14:paraId="29D54FC4">
      <w:pPr>
        <w:ind w:firstLine="422"/>
      </w:pPr>
      <w:r>
        <w:rPr>
          <w:rFonts w:hint="eastAsia"/>
          <w:b/>
        </w:rPr>
        <w:t>第二十六条</w:t>
      </w:r>
      <w:r>
        <w:rPr>
          <w:rFonts w:hint="eastAsia"/>
        </w:rPr>
        <w:t xml:space="preserve">  </w:t>
      </w:r>
      <w:r>
        <w:rPr>
          <w:rFonts w:hint="eastAsia" w:ascii="宋体" w:hAnsi="宋体" w:eastAsia="宋体" w:cs="宋体"/>
        </w:rPr>
        <w:t>2005年12月31日</w:t>
      </w:r>
      <w:r>
        <w:rPr>
          <w:rFonts w:hint="eastAsia"/>
        </w:rPr>
        <w:t>前已经离退休的人员，仍按照原国家和本市规定的标准发给基本养老金，并执行基本养老金正常调整办法。</w:t>
      </w:r>
    </w:p>
    <w:p w14:paraId="75E81B27">
      <w:pPr>
        <w:ind w:firstLine="422"/>
      </w:pPr>
      <w:r>
        <w:rPr>
          <w:rFonts w:hint="eastAsia"/>
          <w:b/>
        </w:rPr>
        <w:t>第二十七条</w:t>
      </w:r>
      <w:r>
        <w:rPr>
          <w:rFonts w:hint="eastAsia"/>
        </w:rPr>
        <w:t xml:space="preserve">  被保险人死亡后，按照国家规定享受丧葬补助费和供养直系亲属救济费。</w:t>
      </w:r>
    </w:p>
    <w:p w14:paraId="4693A5EA">
      <w:pPr>
        <w:ind w:firstLine="422"/>
      </w:pPr>
      <w:r>
        <w:rPr>
          <w:rFonts w:hint="eastAsia"/>
          <w:b/>
        </w:rPr>
        <w:t>第二十八条</w:t>
      </w:r>
      <w:r>
        <w:rPr>
          <w:rFonts w:hint="eastAsia"/>
        </w:rPr>
        <w:t xml:space="preserve">  被保险人领取基本养老金的最低标准，由市劳动保障行政部门会同有关部门拟定，报市人民政府批准后向社会公布。基本养老金最低标准，随本市经济发展和居民消费价格指数变动情况适时调整。</w:t>
      </w:r>
    </w:p>
    <w:p w14:paraId="186993AB">
      <w:r>
        <w:rPr>
          <w:rFonts w:hint="eastAsia"/>
        </w:rPr>
        <w:t>被保险人领取的基本养老金低于最低标准的，按照基本养老金最低标准发给。</w:t>
      </w:r>
    </w:p>
    <w:p w14:paraId="1F24034C">
      <w:pPr>
        <w:ind w:firstLine="422"/>
      </w:pPr>
      <w:r>
        <w:rPr>
          <w:rFonts w:hint="eastAsia"/>
          <w:b/>
        </w:rPr>
        <w:t>第二十九条</w:t>
      </w:r>
      <w:r>
        <w:rPr>
          <w:rFonts w:hint="eastAsia"/>
        </w:rPr>
        <w:t xml:space="preserve">  基本养老金实行正常调整制度。具体调整方案由市劳动保障行政部门会同有关部门拟定，经市人民政府同意后，报国家有关部门批准执行。</w:t>
      </w:r>
    </w:p>
    <w:p w14:paraId="35266528"/>
    <w:p w14:paraId="4EAFFAEF">
      <w:pPr>
        <w:ind w:firstLine="0" w:firstLineChars="0"/>
        <w:jc w:val="center"/>
        <w:rPr>
          <w:b/>
          <w:sz w:val="28"/>
        </w:rPr>
      </w:pPr>
      <w:r>
        <w:rPr>
          <w:rFonts w:hint="eastAsia"/>
          <w:b/>
          <w:sz w:val="28"/>
        </w:rPr>
        <w:t>第五章  法律责任</w:t>
      </w:r>
    </w:p>
    <w:p w14:paraId="5907F75D"/>
    <w:p w14:paraId="33206576">
      <w:pPr>
        <w:ind w:firstLine="422"/>
      </w:pPr>
      <w:r>
        <w:rPr>
          <w:rFonts w:hint="eastAsia"/>
          <w:b/>
        </w:rPr>
        <w:t>第三十条</w:t>
      </w:r>
      <w:r>
        <w:rPr>
          <w:rFonts w:hint="eastAsia"/>
        </w:rPr>
        <w:t xml:space="preserve">  企业不参加基本养老保险或者不按时足额缴纳基本养老保险费的，由劳动保障行政部门责令限期改正，按照国务院《社会保险费征缴暂行条例》的规定予以行政处罚，并将企业违法行为的信息依法计入本市企业信用信息系统；企业给被保险人享受基本养老保险待遇造成损失的，被保险人有权要求企业赔偿。</w:t>
      </w:r>
    </w:p>
    <w:p w14:paraId="67589145">
      <w:pPr>
        <w:ind w:firstLine="422"/>
      </w:pPr>
      <w:r>
        <w:rPr>
          <w:rFonts w:hint="eastAsia"/>
          <w:b/>
        </w:rPr>
        <w:t>第三十一条</w:t>
      </w:r>
      <w:r>
        <w:rPr>
          <w:rFonts w:hint="eastAsia"/>
        </w:rPr>
        <w:t xml:space="preserve">  企业和被保险人或者其他人员采用多领、冒领等手段骗取基本养老保险基金的，由劳动保障行政部门责令退还，按照国务院《劳动保障监察条例》的规定，处骗取金额的</w:t>
      </w:r>
      <w:r>
        <w:rPr>
          <w:rFonts w:hint="eastAsia" w:ascii="宋体" w:hAnsi="宋体" w:eastAsia="宋体" w:cs="宋体"/>
        </w:rPr>
        <w:t>1倍以上3倍以</w:t>
      </w:r>
      <w:r>
        <w:rPr>
          <w:rFonts w:hint="eastAsia"/>
        </w:rPr>
        <w:t>下罚款；构成犯罪的，依法追究刑事责任。</w:t>
      </w:r>
    </w:p>
    <w:p w14:paraId="0199285F">
      <w:pPr>
        <w:ind w:firstLine="422"/>
      </w:pPr>
      <w:r>
        <w:rPr>
          <w:rFonts w:hint="eastAsia"/>
          <w:b/>
        </w:rPr>
        <w:t>第三十二条</w:t>
      </w:r>
      <w:r>
        <w:rPr>
          <w:rFonts w:hint="eastAsia"/>
        </w:rPr>
        <w:t xml:space="preserve">  社会保险经办机构、养老保险基金划拨机构及其工作人员滥用职权、徇私舞弊、玩忽职守，致使基本养老金不能按时足额发放或者造成基本养老保险基金流失的，由劳动保障行政部门责令改正，并由有关部门对直接负责的主管人员和其他直接责任人员给予行政处分；构成犯罪的，依法追究刑事责任。</w:t>
      </w:r>
    </w:p>
    <w:p w14:paraId="7FD793DF"/>
    <w:p w14:paraId="3E5C5BAF">
      <w:pPr>
        <w:ind w:firstLine="0" w:firstLineChars="0"/>
        <w:jc w:val="center"/>
        <w:rPr>
          <w:b/>
          <w:sz w:val="28"/>
        </w:rPr>
      </w:pPr>
      <w:r>
        <w:rPr>
          <w:rFonts w:hint="eastAsia"/>
          <w:b/>
          <w:sz w:val="28"/>
        </w:rPr>
        <w:t>第六章  附　则</w:t>
      </w:r>
    </w:p>
    <w:p w14:paraId="46C5A96C"/>
    <w:p w14:paraId="4DD7DE6B">
      <w:pPr>
        <w:ind w:firstLine="422"/>
      </w:pPr>
      <w:r>
        <w:rPr>
          <w:rFonts w:hint="eastAsia"/>
          <w:b/>
        </w:rPr>
        <w:t>第三十三条</w:t>
      </w:r>
      <w:r>
        <w:rPr>
          <w:rFonts w:hint="eastAsia"/>
        </w:rPr>
        <w:t xml:space="preserve">  个人账户规模和基本养老金计发办法自</w:t>
      </w:r>
      <w:r>
        <w:rPr>
          <w:rFonts w:hint="eastAsia" w:ascii="宋体" w:hAnsi="宋体" w:eastAsia="宋体" w:cs="宋体"/>
        </w:rPr>
        <w:t>2006年1月1日起调整。</w:t>
      </w:r>
    </w:p>
    <w:p w14:paraId="535E2F37">
      <w:pPr>
        <w:ind w:firstLine="422"/>
      </w:pPr>
      <w:r>
        <w:rPr>
          <w:rFonts w:hint="eastAsia"/>
          <w:b/>
        </w:rPr>
        <w:t>第三十四条</w:t>
      </w:r>
      <w:r>
        <w:rPr>
          <w:rFonts w:hint="eastAsia"/>
        </w:rPr>
        <w:t xml:space="preserve">  城镇职工最低缴费工资基数、城镇个体工商户和灵活就业人员缴费基数逐步调整到位。具体调整办法由市劳动保障行政部门制定，报市人民政府批准后施行。</w:t>
      </w:r>
    </w:p>
    <w:p w14:paraId="73A26FAB">
      <w:pPr>
        <w:ind w:firstLine="422"/>
      </w:pPr>
      <w:r>
        <w:rPr>
          <w:rFonts w:hint="eastAsia"/>
          <w:b/>
        </w:rPr>
        <w:t>第三十五条</w:t>
      </w:r>
      <w:r>
        <w:rPr>
          <w:rFonts w:hint="eastAsia"/>
        </w:rPr>
        <w:t xml:space="preserve">  本规定所称的缴费年限是指企业和城镇职工共同缴纳基本养老保险费的年限。本市实行个人缴纳基本养老保险费前，按照国家规定计算的连续工龄视同缴费年限。城镇个体工商户和灵活就业人员的缴费年限按照实际缴费年度计算。</w:t>
      </w:r>
    </w:p>
    <w:p w14:paraId="0F9D9654">
      <w:pPr>
        <w:ind w:firstLine="422"/>
      </w:pPr>
      <w:r>
        <w:rPr>
          <w:rFonts w:hint="eastAsia"/>
          <w:b/>
        </w:rPr>
        <w:t>第三十六条</w:t>
      </w:r>
      <w:r>
        <w:rPr>
          <w:rFonts w:hint="eastAsia"/>
        </w:rPr>
        <w:t xml:space="preserve">  已经参加本市基本养老保险的自收自支事业单位及其工作人员参照执行本规定。</w:t>
      </w:r>
    </w:p>
    <w:p w14:paraId="34E841BC">
      <w:pPr>
        <w:ind w:firstLine="422"/>
      </w:pPr>
      <w:r>
        <w:rPr>
          <w:rFonts w:hint="eastAsia"/>
          <w:b/>
        </w:rPr>
        <w:t>第三十七条</w:t>
      </w:r>
      <w:r>
        <w:rPr>
          <w:rFonts w:hint="eastAsia"/>
        </w:rPr>
        <w:t xml:space="preserve">  本规定</w:t>
      </w:r>
      <w:r>
        <w:rPr>
          <w:rFonts w:hint="eastAsia" w:ascii="宋体" w:hAnsi="宋体" w:eastAsia="宋体" w:cs="宋体"/>
        </w:rPr>
        <w:t>自2007年1月1日起施行。1998年4月6日北京市人民政府发布的《北京市企业城镇劳动者养老保险规定》（北京市人民政府第2号令）同</w:t>
      </w:r>
      <w:r>
        <w:rPr>
          <w:rFonts w:hint="eastAsia"/>
        </w:rPr>
        <w:t>时废止。</w:t>
      </w:r>
    </w:p>
    <w:p w14:paraId="7A7CEDB0">
      <w:pPr>
        <w:pStyle w:val="4"/>
        <w:pageBreakBefore/>
      </w:pPr>
      <w:bookmarkStart w:id="2236" w:name="_Toc428781832"/>
      <w:bookmarkStart w:id="2237" w:name="_Toc428780578"/>
      <w:bookmarkStart w:id="2238" w:name="_Toc426467084"/>
      <w:r>
        <w:rPr>
          <w:rFonts w:hint="eastAsia"/>
        </w:rPr>
        <w:t>北京市实施《工伤保险条例》若干规定</w:t>
      </w:r>
      <w:bookmarkEnd w:id="2236"/>
      <w:bookmarkEnd w:id="2237"/>
      <w:bookmarkEnd w:id="2238"/>
    </w:p>
    <w:p w14:paraId="241106B8">
      <w:pPr>
        <w:ind w:left="630" w:leftChars="300" w:right="630" w:rightChars="300"/>
        <w:rPr>
          <w:rFonts w:ascii="楷体" w:hAnsi="楷体" w:eastAsia="楷体"/>
        </w:rPr>
      </w:pPr>
      <w:r>
        <w:rPr>
          <w:rFonts w:ascii="楷体" w:hAnsi="楷体" w:eastAsia="楷体"/>
        </w:rPr>
        <w:t>（2011年11月28日北京市人民政府第110次常务会议审议通过  2011年12月5日北京市人民政府第242号令发布）</w:t>
      </w:r>
    </w:p>
    <w:p w14:paraId="5ED8B806"/>
    <w:p w14:paraId="39E19C15">
      <w:pPr>
        <w:ind w:firstLine="422"/>
      </w:pPr>
      <w:r>
        <w:rPr>
          <w:rFonts w:hint="eastAsia"/>
          <w:b/>
        </w:rPr>
        <w:t>第一条</w:t>
      </w:r>
      <w:r>
        <w:rPr>
          <w:rFonts w:hint="eastAsia"/>
        </w:rPr>
        <w:t xml:space="preserve">  为实施国务院《工伤保险条例》，结合本市实际情况，制定本规定。</w:t>
      </w:r>
    </w:p>
    <w:p w14:paraId="57DFA048">
      <w:pPr>
        <w:ind w:firstLine="422"/>
      </w:pPr>
      <w:r>
        <w:rPr>
          <w:rFonts w:hint="eastAsia"/>
          <w:b/>
        </w:rPr>
        <w:t>第二条</w:t>
      </w:r>
      <w:r>
        <w:rPr>
          <w:rFonts w:hint="eastAsia"/>
        </w:rPr>
        <w:t xml:space="preserve">  本市行政区域内的用人单位应当依照《工伤保险条例》（以下简称《条例》）和本规定参加工伤保险，为本单位职工缴纳工伤保险费。用人单位的职工有依照《条例》和本规定享受工伤保险待遇的权利。</w:t>
      </w:r>
    </w:p>
    <w:p w14:paraId="53E881F7">
      <w:pPr>
        <w:ind w:firstLine="422"/>
      </w:pPr>
      <w:r>
        <w:rPr>
          <w:rFonts w:hint="eastAsia"/>
          <w:b/>
        </w:rPr>
        <w:t>第三条</w:t>
      </w:r>
      <w:r>
        <w:rPr>
          <w:rFonts w:hint="eastAsia"/>
        </w:rPr>
        <w:t xml:space="preserve">  市和区、县社会保险行政部门负责本行政区域内的工伤保险工作。市和区、县社会保险经办机构具体承办工伤保险事务。</w:t>
      </w:r>
    </w:p>
    <w:p w14:paraId="21C4FC02">
      <w:r>
        <w:rPr>
          <w:rFonts w:hint="eastAsia"/>
        </w:rPr>
        <w:t>财政、卫生等部门按照职责分工，负责工伤保险有关工作。</w:t>
      </w:r>
    </w:p>
    <w:p w14:paraId="7BA525DF">
      <w:pPr>
        <w:ind w:firstLine="422"/>
      </w:pPr>
      <w:r>
        <w:rPr>
          <w:rFonts w:hint="eastAsia"/>
          <w:b/>
        </w:rPr>
        <w:t>第四条</w:t>
      </w:r>
      <w:r>
        <w:rPr>
          <w:rFonts w:hint="eastAsia"/>
        </w:rPr>
        <w:t xml:space="preserve">  市社会保险行政部门应当根据有关法律法规规章的规定，制定工伤保险具体政策和管理制度，规划、选择并公布工伤医疗机构、康复机构和辅助器具配置机构。</w:t>
      </w:r>
    </w:p>
    <w:p w14:paraId="38523F85">
      <w:r>
        <w:rPr>
          <w:rFonts w:hint="eastAsia"/>
        </w:rPr>
        <w:t>市社会保险经办机构负责征收工伤保险费，核定和支付工伤保险待遇，以及与工伤医疗机构、康复机构和辅助器具配置机构签订书面协议等工作。</w:t>
      </w:r>
    </w:p>
    <w:p w14:paraId="6F51BA9D">
      <w:pPr>
        <w:ind w:firstLine="422"/>
      </w:pPr>
      <w:r>
        <w:rPr>
          <w:rFonts w:hint="eastAsia"/>
          <w:b/>
        </w:rPr>
        <w:t>第五条</w:t>
      </w:r>
      <w:r>
        <w:rPr>
          <w:rFonts w:hint="eastAsia"/>
        </w:rPr>
        <w:t xml:space="preserve">  市社会保险行政部门根据国家公布的行业差别费率及行业内费率档次，结合本市工伤保险费收支情况，确定并公布本市适用的行业内费率浮动档次。</w:t>
      </w:r>
    </w:p>
    <w:p w14:paraId="2AAAA279">
      <w:r>
        <w:rPr>
          <w:rFonts w:hint="eastAsia"/>
        </w:rPr>
        <w:t>市社会保险经办机构根据用人单位工伤保险费使用、工伤发生率等情况，在所属行业适用的费率浮动档次内，确定用人单位缴费费率。</w:t>
      </w:r>
    </w:p>
    <w:p w14:paraId="1EABD359">
      <w:pPr>
        <w:ind w:firstLine="422"/>
      </w:pPr>
      <w:r>
        <w:rPr>
          <w:rFonts w:hint="eastAsia"/>
          <w:b/>
        </w:rPr>
        <w:t>第六条</w:t>
      </w:r>
      <w:r>
        <w:rPr>
          <w:rFonts w:hint="eastAsia"/>
        </w:rPr>
        <w:t xml:space="preserve">  工伤保险基金实行全市统筹。</w:t>
      </w:r>
    </w:p>
    <w:p w14:paraId="64DE019B">
      <w:r>
        <w:rPr>
          <w:rFonts w:hint="eastAsia"/>
        </w:rPr>
        <w:t>工伤保险基金存入社会保障基金财政专户，按照《条例》的规定用于工伤保险待遇，劳动能力鉴定，工伤预防的宣传、培训等费用，以及法律法规规定的用于工伤保险的其他费用的支付。</w:t>
      </w:r>
    </w:p>
    <w:p w14:paraId="5C3F4057">
      <w:r>
        <w:rPr>
          <w:rFonts w:hint="eastAsia"/>
        </w:rPr>
        <w:t>市社会保险行政部门会同财政部门根据《条例》的有关规定，拟订工伤保险基金的具体支付项目和标准，报市人民政府批准后施行。</w:t>
      </w:r>
    </w:p>
    <w:p w14:paraId="51A414AB">
      <w:pPr>
        <w:ind w:firstLine="422"/>
      </w:pPr>
      <w:r>
        <w:rPr>
          <w:rFonts w:hint="eastAsia"/>
          <w:b/>
        </w:rPr>
        <w:t>第七条</w:t>
      </w:r>
      <w:r>
        <w:rPr>
          <w:rFonts w:hint="eastAsia"/>
        </w:rPr>
        <w:t xml:space="preserve">  用人单位、职工或者其近亲属、工会组织（以下统称申请人）要求认定工伤的，应当按照《条例》规定的时限，向用人单位登记地的区、县社会保险行政部门提出工伤认定申请。</w:t>
      </w:r>
    </w:p>
    <w:p w14:paraId="373927D8">
      <w:pPr>
        <w:ind w:firstLine="422"/>
      </w:pPr>
      <w:r>
        <w:rPr>
          <w:rFonts w:hint="eastAsia"/>
          <w:b/>
        </w:rPr>
        <w:t>第八条</w:t>
      </w:r>
      <w:r>
        <w:rPr>
          <w:rFonts w:hint="eastAsia"/>
        </w:rPr>
        <w:t xml:space="preserve">  申请人提出工伤认定申请，应当按照《条例》第十八条的规定提交材料，并按照下列规定附具相关证明：</w:t>
      </w:r>
    </w:p>
    <w:p w14:paraId="12315AE0">
      <w:r>
        <w:rPr>
          <w:rFonts w:hint="eastAsia"/>
        </w:rPr>
        <w:t>（一）属于《条例》第十四条第（一）、（二）、（五）项情形的，附具伤害事故证明或者下落不明的事故证明；</w:t>
      </w:r>
    </w:p>
    <w:p w14:paraId="496DCABD">
      <w:r>
        <w:rPr>
          <w:rFonts w:hint="eastAsia"/>
        </w:rPr>
        <w:t>（二）属于《条例》第十四条第（三）项情形的，附具意外伤害证明或者司法机关出具的相关法律文书；</w:t>
      </w:r>
    </w:p>
    <w:p w14:paraId="13A78332">
      <w:r>
        <w:rPr>
          <w:rFonts w:hint="eastAsia"/>
        </w:rPr>
        <w:t>（三）属于《条例》第十四条第（六）项情形的，附具司法机关、公安机关交通管理、交通运输、铁道等部门或者法律、行政法规授权组织出具的相关法律文书；</w:t>
      </w:r>
    </w:p>
    <w:p w14:paraId="42B57884">
      <w:r>
        <w:rPr>
          <w:rFonts w:hint="eastAsia"/>
        </w:rPr>
        <w:t>（四）属于《条例》第十五条第一款第（一）项情形的，附具医疗机构出具的抢救记录；</w:t>
      </w:r>
    </w:p>
    <w:p w14:paraId="16499401">
      <w:r>
        <w:rPr>
          <w:rFonts w:hint="eastAsia"/>
        </w:rPr>
        <w:t>（五）属于《条例》第十五条第一款第（二）项情形的，附具相关单位出具的证明；</w:t>
      </w:r>
    </w:p>
    <w:p w14:paraId="5834CA6E">
      <w:r>
        <w:rPr>
          <w:rFonts w:hint="eastAsia"/>
        </w:rPr>
        <w:t>（六）属于《条例》第十五条第一款第（三）项情形的，附具革命伤残军人证及医疗机构出具的旧伤复发诊断证明。</w:t>
      </w:r>
    </w:p>
    <w:p w14:paraId="159FAB6F">
      <w:r>
        <w:rPr>
          <w:rFonts w:hint="eastAsia"/>
        </w:rPr>
        <w:t>职工死亡的，应当同时附具死亡证明。</w:t>
      </w:r>
    </w:p>
    <w:p w14:paraId="66100B26">
      <w:pPr>
        <w:ind w:firstLine="422"/>
      </w:pPr>
      <w:r>
        <w:rPr>
          <w:rFonts w:hint="eastAsia"/>
          <w:b/>
        </w:rPr>
        <w:t>第九条</w:t>
      </w:r>
      <w:r>
        <w:rPr>
          <w:rFonts w:hint="eastAsia"/>
        </w:rPr>
        <w:t xml:space="preserve">  因确认劳动关系发生争议影响工伤认定的，应当在申请工伤认定前依法解决劳动争议。解决劳动争议的时间，不计算在工伤认定申请时限内。</w:t>
      </w:r>
    </w:p>
    <w:p w14:paraId="1151CA14">
      <w:pPr>
        <w:ind w:firstLine="422"/>
      </w:pPr>
      <w:r>
        <w:rPr>
          <w:rFonts w:hint="eastAsia"/>
          <w:b/>
        </w:rPr>
        <w:t>第十条</w:t>
      </w:r>
      <w:r>
        <w:rPr>
          <w:rFonts w:hint="eastAsia"/>
        </w:rPr>
        <w:t xml:space="preserve">  医疗机构、职业病诊断鉴定机构出具的诊断证明书、病历、职业病诊断证明书或者职业病诊断鉴定书等医学文件，应当符合国家和本市规定的要求。对不符合要求的，区、县社会保险行政部门可以要求有关机构重新出具。</w:t>
      </w:r>
    </w:p>
    <w:p w14:paraId="3AE6C3AE">
      <w:pPr>
        <w:ind w:firstLine="422"/>
      </w:pPr>
      <w:r>
        <w:rPr>
          <w:rFonts w:hint="eastAsia"/>
          <w:b/>
        </w:rPr>
        <w:t>第十一条</w:t>
      </w:r>
      <w:r>
        <w:rPr>
          <w:rFonts w:hint="eastAsia"/>
        </w:rPr>
        <w:t xml:space="preserve">  区、县社会保险行政部门收到工伤认定申请，材料完整的，应当在</w:t>
      </w:r>
      <w:r>
        <w:rPr>
          <w:rFonts w:hint="eastAsia" w:ascii="宋体" w:hAnsi="宋体" w:eastAsia="宋体" w:cs="宋体"/>
        </w:rPr>
        <w:t>5</w:t>
      </w:r>
      <w:r>
        <w:rPr>
          <w:rFonts w:hint="eastAsia"/>
        </w:rPr>
        <w:t>个工作日内作出受理或者不予受理的决定；材料不完整的，应当一次性书面告知申请人需要补正的全部材料。申请人应当在《条例》规定的工伤认定申请时限内补正全部材料。</w:t>
      </w:r>
    </w:p>
    <w:p w14:paraId="025AF496">
      <w:r>
        <w:rPr>
          <w:rFonts w:hint="eastAsia"/>
        </w:rPr>
        <w:t>区、县社会保险行政部门认为工伤认定申请不属于本辖区管辖的，应当及时报请市社会保险行政部门指定管辖。</w:t>
      </w:r>
    </w:p>
    <w:p w14:paraId="7299253C">
      <w:pPr>
        <w:ind w:firstLine="422"/>
      </w:pPr>
      <w:r>
        <w:rPr>
          <w:rFonts w:hint="eastAsia"/>
          <w:b/>
        </w:rPr>
        <w:t>第十二条</w:t>
      </w:r>
      <w:r>
        <w:rPr>
          <w:rFonts w:hint="eastAsia"/>
        </w:rPr>
        <w:t xml:space="preserve">  区、县社会保险行政部门受理工伤认定申请后，申请人撤回工伤认定申请的，工伤认定程序终止。</w:t>
      </w:r>
    </w:p>
    <w:p w14:paraId="2668EE83">
      <w:r>
        <w:rPr>
          <w:rFonts w:hint="eastAsia"/>
        </w:rPr>
        <w:t>工伤认定程序终止的，申请人在《条例》规定的工伤认定申请时限内，有权再次提出工伤认定申请。</w:t>
      </w:r>
    </w:p>
    <w:p w14:paraId="3F045E4F">
      <w:pPr>
        <w:ind w:firstLine="422"/>
      </w:pPr>
      <w:r>
        <w:rPr>
          <w:rFonts w:hint="eastAsia"/>
          <w:b/>
        </w:rPr>
        <w:t>第十三条</w:t>
      </w:r>
      <w:r>
        <w:rPr>
          <w:rFonts w:hint="eastAsia"/>
        </w:rPr>
        <w:t xml:space="preserve">  区、县社会保险行政部门受理工伤认定申请后，根据需要可以采取下列措施进行调查核实：</w:t>
      </w:r>
    </w:p>
    <w:p w14:paraId="7AEFD1FC">
      <w:bookmarkStart w:id="2239" w:name="_Toc428780579"/>
      <w:r>
        <w:rPr>
          <w:rFonts w:hint="eastAsia"/>
        </w:rPr>
        <w:t>（一）进入有关单位和事故现场；</w:t>
      </w:r>
      <w:bookmarkEnd w:id="2239"/>
    </w:p>
    <w:p w14:paraId="1250E678">
      <w:r>
        <w:rPr>
          <w:rFonts w:hint="eastAsia"/>
        </w:rPr>
        <w:t>（二）查阅与工伤认定有关的资料，询问有关人员并制作笔录；</w:t>
      </w:r>
    </w:p>
    <w:p w14:paraId="2D916A22">
      <w:r>
        <w:rPr>
          <w:rFonts w:hint="eastAsia"/>
        </w:rPr>
        <w:t>（三）采用记录、复印、录音、录像等方式复制与工伤认定有关的资料。</w:t>
      </w:r>
    </w:p>
    <w:p w14:paraId="7B557BD5">
      <w:r>
        <w:rPr>
          <w:rFonts w:hint="eastAsia"/>
        </w:rPr>
        <w:t>社会保险行政部门进行调查核实，执法人员不得少于两人，并应当出示执法证件。</w:t>
      </w:r>
    </w:p>
    <w:p w14:paraId="4581B1E7">
      <w:pPr>
        <w:ind w:firstLine="422"/>
      </w:pPr>
      <w:r>
        <w:rPr>
          <w:rFonts w:hint="eastAsia"/>
          <w:b/>
        </w:rPr>
        <w:t>第十四条</w:t>
      </w:r>
      <w:r>
        <w:rPr>
          <w:rFonts w:hint="eastAsia"/>
        </w:rPr>
        <w:t>　区、县社会保险行政部门进行调查核实，用人单位、职工、工会组织、医疗机构以及有关部门应当予以协助，如实提供相关情况和证明材料。</w:t>
      </w:r>
    </w:p>
    <w:p w14:paraId="0DE607C9">
      <w:pPr>
        <w:ind w:firstLine="422"/>
      </w:pPr>
      <w:r>
        <w:rPr>
          <w:rFonts w:hint="eastAsia"/>
          <w:b/>
        </w:rPr>
        <w:t>第十五条</w:t>
      </w:r>
      <w:r>
        <w:rPr>
          <w:rFonts w:hint="eastAsia"/>
        </w:rPr>
        <w:t>　职工或者其近亲属认为是工伤，用人单位不认为是工伤的，由用人单位承担举证责任。该用人单位不承担举证责任的，区、县社会保险行政部门可以根据职工或者其近亲属提供的证据，或者自行调查取得的证据，依法作出决定。</w:t>
      </w:r>
    </w:p>
    <w:p w14:paraId="04591047">
      <w:pPr>
        <w:ind w:firstLine="422"/>
      </w:pPr>
      <w:r>
        <w:rPr>
          <w:rFonts w:hint="eastAsia"/>
          <w:b/>
        </w:rPr>
        <w:t>第十六条</w:t>
      </w:r>
      <w:r>
        <w:rPr>
          <w:rFonts w:hint="eastAsia"/>
        </w:rPr>
        <w:t>　区、县社会保险行政部门应当根据申请人提供的诊断证明书等医学文件或者调查取得的证据，在工伤认定决定中载明伤害部位。</w:t>
      </w:r>
    </w:p>
    <w:p w14:paraId="146F8755">
      <w:r>
        <w:rPr>
          <w:rFonts w:hint="eastAsia"/>
        </w:rPr>
        <w:t>工伤职工认为工伤或者职业病直接导致其他疾病并提供工伤医疗机构出具的工伤或者职业病直接导致疾病的诊断证明书的，区、县社会保险行政部门应当在工伤认定决定中予以明确。</w:t>
      </w:r>
    </w:p>
    <w:p w14:paraId="32CCEDC6">
      <w:pPr>
        <w:ind w:firstLine="422"/>
      </w:pPr>
      <w:r>
        <w:rPr>
          <w:rFonts w:hint="eastAsia"/>
          <w:b/>
        </w:rPr>
        <w:t>第十七条</w:t>
      </w:r>
      <w:r>
        <w:rPr>
          <w:rFonts w:hint="eastAsia"/>
        </w:rPr>
        <w:t>　本市逐步建立先康复后鉴定、医疗和康复并重的工伤康复制度。</w:t>
      </w:r>
    </w:p>
    <w:p w14:paraId="2B53A144">
      <w:pPr>
        <w:ind w:firstLine="422"/>
      </w:pPr>
      <w:r>
        <w:rPr>
          <w:rFonts w:hint="eastAsia"/>
          <w:b/>
        </w:rPr>
        <w:t>第十八条</w:t>
      </w:r>
      <w:r>
        <w:rPr>
          <w:rFonts w:hint="eastAsia"/>
        </w:rPr>
        <w:t>　工伤职工认为伤情相对稳定后，用人单位、工伤职工或者其近亲属可以向用人单位登记地的区、县劳动能力鉴定委员会提出劳动能力鉴定的书面申请，并按规定提供相关证明材料。</w:t>
      </w:r>
    </w:p>
    <w:p w14:paraId="74FDAE52">
      <w:pPr>
        <w:ind w:firstLine="422"/>
      </w:pPr>
      <w:r>
        <w:rPr>
          <w:rFonts w:hint="eastAsia"/>
          <w:b/>
        </w:rPr>
        <w:t>第十九条</w:t>
      </w:r>
      <w:r>
        <w:rPr>
          <w:rFonts w:hint="eastAsia"/>
        </w:rPr>
        <w:t>　劳动能力鉴定委员会认为工伤职工需要进一步做医学检查的，可以要求工伤职工到工伤医疗机构进行相关医学检查。检查时间不计算在劳动能力鉴定时限内。</w:t>
      </w:r>
    </w:p>
    <w:p w14:paraId="2C55859F">
      <w:pPr>
        <w:ind w:firstLine="422"/>
      </w:pPr>
      <w:r>
        <w:rPr>
          <w:rFonts w:hint="eastAsia"/>
          <w:b/>
        </w:rPr>
        <w:t>第二十条</w:t>
      </w:r>
      <w:r>
        <w:rPr>
          <w:rFonts w:hint="eastAsia"/>
        </w:rPr>
        <w:t>　工伤职工因日常生活或者就业需要，经区、县劳动能力鉴定委员会确认，可以安装、配置辅助器具的，应当到工伤辅助器具配置机构安装、配置，所需费用按照国家规定的标准从工伤保险基金支付。具体安装、配置标准由市社会保险行政部门制定并公布。</w:t>
      </w:r>
    </w:p>
    <w:p w14:paraId="1C41382B">
      <w:pPr>
        <w:ind w:firstLine="422"/>
      </w:pPr>
      <w:r>
        <w:rPr>
          <w:rFonts w:hint="eastAsia"/>
          <w:b/>
        </w:rPr>
        <w:t>第二十一条</w:t>
      </w:r>
      <w:r>
        <w:rPr>
          <w:rFonts w:hint="eastAsia"/>
        </w:rPr>
        <w:t>　工伤职工需要暂停工作接受工伤医疗的，在停工留薪期内，原工资福利待遇不变，由所在单位按月支付。工伤职工停工留</w:t>
      </w:r>
      <w:r>
        <w:rPr>
          <w:rFonts w:hint="eastAsia" w:ascii="宋体" w:hAnsi="宋体" w:eastAsia="宋体" w:cs="宋体"/>
        </w:rPr>
        <w:t>薪期一般不超过12个月，按照《条例》规定有正当理由的可以适当延长，但延长不得超过12个月。停工留薪</w:t>
      </w:r>
      <w:r>
        <w:rPr>
          <w:rFonts w:hint="eastAsia"/>
        </w:rPr>
        <w:t>期具体时限按照本市有关规定执行。</w:t>
      </w:r>
    </w:p>
    <w:p w14:paraId="698C2A39">
      <w:pPr>
        <w:ind w:firstLine="422"/>
      </w:pPr>
      <w:r>
        <w:rPr>
          <w:rFonts w:hint="eastAsia"/>
          <w:b/>
        </w:rPr>
        <w:t>第二十二条</w:t>
      </w:r>
      <w:r>
        <w:rPr>
          <w:rFonts w:hint="eastAsia"/>
        </w:rPr>
        <w:t>　申请供养亲属抚恤金的，应当向用人单位登记地的区、县社会保险经办机构提交供养亲属身份证明、经济状况证明、劳动能力鉴定结论、因工死亡职工与供养亲属的关系证明、因工死亡职工工资证明等相关材料。</w:t>
      </w:r>
    </w:p>
    <w:p w14:paraId="189075E2">
      <w:pPr>
        <w:ind w:firstLine="422"/>
      </w:pPr>
      <w:r>
        <w:rPr>
          <w:rFonts w:hint="eastAsia"/>
          <w:b/>
        </w:rPr>
        <w:t>第二十三条</w:t>
      </w:r>
      <w:r>
        <w:rPr>
          <w:rFonts w:hint="eastAsia"/>
        </w:rPr>
        <w:t>　参加工伤保险的用人单位破产、解散的，其一级至四级伤残职工、享受供养亲属抚恤金待遇的人员、退休的工伤人员享受的由工伤保险基金支付的工伤待遇，由街道办事处或者乡、镇人民政府设立的社会保障事务机构发放。</w:t>
      </w:r>
    </w:p>
    <w:p w14:paraId="773CE450">
      <w:pPr>
        <w:ind w:firstLine="422"/>
      </w:pPr>
      <w:r>
        <w:rPr>
          <w:rFonts w:hint="eastAsia"/>
          <w:b/>
        </w:rPr>
        <w:t>第二十四条</w:t>
      </w:r>
      <w:r>
        <w:rPr>
          <w:rFonts w:hint="eastAsia"/>
        </w:rPr>
        <w:t>　工伤职工与用人单位的劳动关系依法解除或者终止的，该用人单位应当按照《条例》的规定向该工伤职工支付一次性伤残就业补助金。</w:t>
      </w:r>
    </w:p>
    <w:p w14:paraId="2CB02338">
      <w:r>
        <w:rPr>
          <w:rFonts w:hint="eastAsia"/>
        </w:rPr>
        <w:t>新的用人单位与工伤职工建立劳动关系，并且同意支付一次性伤残就业补助金的，原用人单位和新用人单位应当及时到社会保险经办机构办理工伤保险关系转移手续。</w:t>
      </w:r>
    </w:p>
    <w:p w14:paraId="60D0136D">
      <w:pPr>
        <w:ind w:firstLine="422"/>
      </w:pPr>
      <w:r>
        <w:rPr>
          <w:rFonts w:hint="eastAsia"/>
          <w:b/>
        </w:rPr>
        <w:t>第二十五条</w:t>
      </w:r>
      <w:r>
        <w:rPr>
          <w:rFonts w:hint="eastAsia"/>
        </w:rPr>
        <w:t>　未依法参加工伤保险的用人单位职工发生工伤的，由该用人单位按照《条例》和本规定规定的工伤保险待遇项目和标准支付费用。</w:t>
      </w:r>
    </w:p>
    <w:p w14:paraId="5CC119CA">
      <w:pPr>
        <w:ind w:firstLine="422"/>
      </w:pPr>
      <w:r>
        <w:rPr>
          <w:rFonts w:hint="eastAsia"/>
          <w:b/>
        </w:rPr>
        <w:t>第二十六条</w:t>
      </w:r>
      <w:r>
        <w:rPr>
          <w:rFonts w:hint="eastAsia"/>
        </w:rPr>
        <w:t>　用人单位中断缴费的，中断缴费期间职工发生工伤的，由用人单位按照《条例》和本规定规定的工伤保险待遇项目和标准支付费用；已经享受工伤保险待遇的工伤职工，按照原渠道享受工伤保险待遇。</w:t>
      </w:r>
    </w:p>
    <w:p w14:paraId="18C88126">
      <w:pPr>
        <w:ind w:firstLine="422"/>
      </w:pPr>
      <w:r>
        <w:rPr>
          <w:rFonts w:hint="eastAsia"/>
          <w:b/>
        </w:rPr>
        <w:t>第二十七条</w:t>
      </w:r>
      <w:r>
        <w:rPr>
          <w:rFonts w:hint="eastAsia"/>
        </w:rPr>
        <w:t>　用人单位未足额缴纳工伤保险费，造成工伤职工享受的工伤保险待遇降低的，降低部分由该用人单位支付。</w:t>
      </w:r>
    </w:p>
    <w:p w14:paraId="02DB02E9">
      <w:pPr>
        <w:ind w:firstLine="422"/>
      </w:pPr>
      <w:r>
        <w:rPr>
          <w:rFonts w:hint="eastAsia"/>
          <w:b/>
        </w:rPr>
        <w:t>第二十八条</w:t>
      </w:r>
      <w:r>
        <w:rPr>
          <w:rFonts w:hint="eastAsia"/>
        </w:rPr>
        <w:t>　被诊断或者鉴定为职业病的职工，现用人单位参加工伤保险的，由现用人单位按照《条例》和本规定规定的工伤保险待遇项目和标准支付费用；现用人单位未参加工伤保险的，职工的工伤保险待遇按照《中华人民共和国职业病防治法》的有关规定执行。</w:t>
      </w:r>
    </w:p>
    <w:p w14:paraId="544C8F75">
      <w:pPr>
        <w:ind w:firstLine="422"/>
      </w:pPr>
      <w:r>
        <w:rPr>
          <w:rFonts w:hint="eastAsia"/>
          <w:b/>
        </w:rPr>
        <w:t>第二十九条</w:t>
      </w:r>
      <w:r>
        <w:rPr>
          <w:rFonts w:hint="eastAsia"/>
        </w:rPr>
        <w:t>　用人单位或者医疗机构拒绝提供或者未如实提供相关情况和证明材料的，由社会保险行政部门或者卫生行政部门责令改正，可</w:t>
      </w:r>
      <w:r>
        <w:rPr>
          <w:rFonts w:hint="eastAsia" w:ascii="宋体" w:hAnsi="宋体" w:eastAsia="宋体" w:cs="宋体"/>
        </w:rPr>
        <w:t>处2000元以上20000元以</w:t>
      </w:r>
      <w:r>
        <w:rPr>
          <w:rFonts w:hint="eastAsia"/>
        </w:rPr>
        <w:t>下罚款。</w:t>
      </w:r>
    </w:p>
    <w:p w14:paraId="6AEFC60F">
      <w:pPr>
        <w:ind w:firstLine="422"/>
      </w:pPr>
      <w:r>
        <w:rPr>
          <w:rFonts w:hint="eastAsia"/>
          <w:b/>
        </w:rPr>
        <w:t>第三十条</w:t>
      </w:r>
      <w:r>
        <w:rPr>
          <w:rFonts w:hint="eastAsia"/>
        </w:rPr>
        <w:t>　用人单位、工伤职工或者其近亲属、工伤医疗机构、康复机构、辅助器具配置机构有下列行为之一，造成工伤保险基金损失的，由社会保险行政部门责令退还，并处基金损失</w:t>
      </w:r>
      <w:r>
        <w:rPr>
          <w:rFonts w:hint="eastAsia" w:ascii="宋体" w:hAnsi="宋体" w:eastAsia="宋体" w:cs="宋体"/>
        </w:rPr>
        <w:t>金额2倍以上5倍以</w:t>
      </w:r>
      <w:r>
        <w:rPr>
          <w:rFonts w:hint="eastAsia"/>
        </w:rPr>
        <w:t>下罚款：</w:t>
      </w:r>
    </w:p>
    <w:p w14:paraId="3A971028">
      <w:bookmarkStart w:id="2240" w:name="_Toc428780580"/>
      <w:r>
        <w:rPr>
          <w:rFonts w:hint="eastAsia"/>
        </w:rPr>
        <w:t>（一）冒用参保职工骗取工伤保险待遇的；</w:t>
      </w:r>
      <w:bookmarkEnd w:id="2240"/>
    </w:p>
    <w:p w14:paraId="5AA3DEA8">
      <w:r>
        <w:rPr>
          <w:rFonts w:hint="eastAsia"/>
        </w:rPr>
        <w:t>（二）编造住院、康复、配置事实，制作虚假病历、档案的；</w:t>
      </w:r>
    </w:p>
    <w:p w14:paraId="34E9C1D0">
      <w:r>
        <w:rPr>
          <w:rFonts w:hint="eastAsia"/>
        </w:rPr>
        <w:t>（三）将不符合基金支付的药品或者诊疗、康复服务、配置项目纳入基金结算的；</w:t>
      </w:r>
    </w:p>
    <w:p w14:paraId="4ED57C04">
      <w:r>
        <w:rPr>
          <w:rFonts w:hint="eastAsia"/>
        </w:rPr>
        <w:t>（四）采取其他方式骗取工伤保险待遇或者工伤保险基金支出的。</w:t>
      </w:r>
    </w:p>
    <w:p w14:paraId="34F2C21C">
      <w:r>
        <w:rPr>
          <w:rFonts w:hint="eastAsia"/>
        </w:rPr>
        <w:t>违反本条前款规定，市社会保险经办机构可以与工伤医疗机构、康复机构、辅助器具配置机构解除服务协议</w:t>
      </w:r>
      <w:r>
        <w:rPr>
          <w:rFonts w:hint="eastAsia" w:ascii="宋体" w:hAnsi="宋体" w:eastAsia="宋体" w:cs="宋体"/>
        </w:rPr>
        <w:t>，5年之内</w:t>
      </w:r>
      <w:r>
        <w:rPr>
          <w:rFonts w:hint="eastAsia"/>
        </w:rPr>
        <w:t>不得与其签订服务协议。</w:t>
      </w:r>
    </w:p>
    <w:p w14:paraId="0B541158">
      <w:pPr>
        <w:ind w:firstLine="422"/>
      </w:pPr>
      <w:r>
        <w:rPr>
          <w:rFonts w:hint="eastAsia"/>
          <w:b/>
        </w:rPr>
        <w:t>第三十一条</w:t>
      </w:r>
      <w:r>
        <w:rPr>
          <w:rFonts w:hint="eastAsia"/>
        </w:rPr>
        <w:t>　用人单位克扣工伤保险基金支付给工伤职工或者其供养亲属工伤保险待遇的，由社会保险行政部门责令限期改正；逾期不改的，处以</w:t>
      </w:r>
      <w:r>
        <w:rPr>
          <w:rFonts w:hint="eastAsia" w:ascii="宋体" w:hAnsi="宋体" w:eastAsia="宋体" w:cs="宋体"/>
        </w:rPr>
        <w:t>3000元以上30000元</w:t>
      </w:r>
      <w:r>
        <w:rPr>
          <w:rFonts w:hint="eastAsia"/>
        </w:rPr>
        <w:t>以下罚款，并可以通知社会保险经办机构直接支付。</w:t>
      </w:r>
    </w:p>
    <w:p w14:paraId="55E4D793">
      <w:r>
        <w:rPr>
          <w:rFonts w:hint="eastAsia"/>
        </w:rPr>
        <w:t>社会保险经办机构按照前款规定，直接支付工伤保险待遇的，有权向用人单位追偿。</w:t>
      </w:r>
    </w:p>
    <w:p w14:paraId="5ABB7A7E">
      <w:pPr>
        <w:ind w:firstLine="422"/>
      </w:pPr>
      <w:r>
        <w:rPr>
          <w:rFonts w:hint="eastAsia"/>
          <w:b/>
        </w:rPr>
        <w:t>第三十二条</w:t>
      </w:r>
      <w:r>
        <w:rPr>
          <w:rFonts w:hint="eastAsia"/>
        </w:rPr>
        <w:t>　单位和个人违反本规定，《条例》规定有法律责任的，按照其规定执行。</w:t>
      </w:r>
    </w:p>
    <w:p w14:paraId="71E00F66">
      <w:pPr>
        <w:ind w:firstLine="422"/>
      </w:pPr>
      <w:r>
        <w:rPr>
          <w:rFonts w:hint="eastAsia"/>
          <w:b/>
        </w:rPr>
        <w:t>第三十三条</w:t>
      </w:r>
      <w:r>
        <w:rPr>
          <w:rFonts w:hint="eastAsia"/>
        </w:rPr>
        <w:t>　本市国家机关和参照公务员法管理的事业单位、社会团体参加工伤保险的，参照《条例》和本规定执行。</w:t>
      </w:r>
    </w:p>
    <w:p w14:paraId="3AE0F7F0">
      <w:pPr>
        <w:ind w:firstLine="422"/>
      </w:pPr>
      <w:r>
        <w:rPr>
          <w:rFonts w:hint="eastAsia"/>
          <w:b/>
        </w:rPr>
        <w:t>第三十四条</w:t>
      </w:r>
      <w:r>
        <w:rPr>
          <w:rFonts w:hint="eastAsia"/>
        </w:rPr>
        <w:t>　本规定自公布之日起施行。</w:t>
      </w:r>
      <w:r>
        <w:rPr>
          <w:rFonts w:hint="eastAsia" w:ascii="宋体" w:hAnsi="宋体" w:eastAsia="宋体" w:cs="宋体"/>
        </w:rPr>
        <w:t>2003年12月1日北京市人民政府第140号</w:t>
      </w:r>
      <w:r>
        <w:rPr>
          <w:rFonts w:hint="eastAsia"/>
        </w:rPr>
        <w:t>令发布的《北京市实施〈工伤保险条例〉办法》同时废止。</w:t>
      </w:r>
    </w:p>
    <w:p w14:paraId="70A7E030">
      <w:pPr>
        <w:pStyle w:val="3"/>
        <w:pageBreakBefore/>
      </w:pPr>
      <w:bookmarkStart w:id="2241" w:name="_Toc428780581"/>
      <w:bookmarkStart w:id="2242" w:name="_Toc426467085"/>
      <w:bookmarkStart w:id="2243" w:name="_Toc428781833"/>
      <w:r>
        <w:rPr>
          <w:rFonts w:hint="eastAsia"/>
        </w:rPr>
        <w:t>（八）工  资</w:t>
      </w:r>
      <w:bookmarkEnd w:id="2241"/>
      <w:bookmarkEnd w:id="2242"/>
      <w:bookmarkEnd w:id="2243"/>
    </w:p>
    <w:p w14:paraId="44672EC6"/>
    <w:p w14:paraId="34D5E2DE">
      <w:pPr>
        <w:pStyle w:val="4"/>
      </w:pPr>
      <w:bookmarkStart w:id="2244" w:name="_Toc428780582"/>
      <w:bookmarkStart w:id="2245" w:name="_Toc426467086"/>
      <w:bookmarkStart w:id="2246" w:name="_Toc428781834"/>
      <w:r>
        <w:rPr>
          <w:rFonts w:hint="eastAsia"/>
        </w:rPr>
        <w:t>北京市最低工资规定</w:t>
      </w:r>
      <w:bookmarkEnd w:id="2244"/>
      <w:bookmarkEnd w:id="2245"/>
      <w:bookmarkEnd w:id="2246"/>
    </w:p>
    <w:p w14:paraId="34B8DB0C">
      <w:pPr>
        <w:ind w:left="630" w:leftChars="300" w:right="630" w:rightChars="300"/>
        <w:rPr>
          <w:rFonts w:ascii="楷体" w:hAnsi="楷体" w:eastAsia="楷体"/>
        </w:rPr>
      </w:pPr>
      <w:r>
        <w:rPr>
          <w:rFonts w:hint="eastAsia" w:ascii="楷体" w:hAnsi="楷体" w:eastAsia="楷体"/>
        </w:rPr>
        <w:t>（1994年11月16日北京市人民政府第25号令发布　根据1997年12月31日北京市人民政府第12号令第一次修改　根据2003年12月22日北京市人民政府第142号令第二次修改）</w:t>
      </w:r>
    </w:p>
    <w:p w14:paraId="2413B3BB"/>
    <w:p w14:paraId="34B78DC7">
      <w:pPr>
        <w:ind w:firstLine="422"/>
      </w:pPr>
      <w:r>
        <w:rPr>
          <w:rFonts w:hint="eastAsia"/>
          <w:b/>
        </w:rPr>
        <w:t>第一条</w:t>
      </w:r>
      <w:r>
        <w:rPr>
          <w:rFonts w:hint="eastAsia"/>
        </w:rPr>
        <w:t xml:space="preserve">  为了保障劳动者的基本生活，维护劳动者合法权益，根据《中华人民共和国劳动法》的有关规定，结合本市具体情况，制定本规定。</w:t>
      </w:r>
    </w:p>
    <w:p w14:paraId="1B2C6127">
      <w:pPr>
        <w:ind w:firstLine="422"/>
      </w:pPr>
      <w:r>
        <w:rPr>
          <w:rFonts w:hint="eastAsia"/>
          <w:b/>
        </w:rPr>
        <w:t>第二条</w:t>
      </w:r>
      <w:r>
        <w:rPr>
          <w:rFonts w:hint="eastAsia"/>
        </w:rPr>
        <w:t xml:space="preserve">  在本市行政区域内的企业、雇工的个体工商户和其他有用工行为的经济组织（以下统称企业）中工作的劳动者，适用本规定。</w:t>
      </w:r>
    </w:p>
    <w:p w14:paraId="6AB772AE">
      <w:pPr>
        <w:ind w:firstLine="422"/>
      </w:pPr>
      <w:r>
        <w:rPr>
          <w:rFonts w:hint="eastAsia"/>
          <w:b/>
        </w:rPr>
        <w:t>第三条</w:t>
      </w:r>
      <w:r>
        <w:rPr>
          <w:rFonts w:hint="eastAsia"/>
        </w:rPr>
        <w:t xml:space="preserve">  市劳动局统一管理并监督检查本规定的实施。</w:t>
      </w:r>
    </w:p>
    <w:p w14:paraId="5FB909B2">
      <w:r>
        <w:rPr>
          <w:rFonts w:hint="eastAsia"/>
        </w:rPr>
        <w:t>区、县劳动局在本区、县行政区域内对本规定的实施进行监督检查。</w:t>
      </w:r>
    </w:p>
    <w:p w14:paraId="24B63E86">
      <w:r>
        <w:rPr>
          <w:rFonts w:hint="eastAsia"/>
        </w:rPr>
        <w:t>各级工会为维护劳动者的合法权益，可以根据《中华人民共和国工会法》对企业执行本规定的情况进行监督。</w:t>
      </w:r>
    </w:p>
    <w:p w14:paraId="04904870">
      <w:r>
        <w:rPr>
          <w:rFonts w:hint="eastAsia"/>
        </w:rPr>
        <w:t>劳动者对企业违反本规定的行为，有权检举、控告。</w:t>
      </w:r>
    </w:p>
    <w:p w14:paraId="2D173451">
      <w:pPr>
        <w:ind w:firstLine="422"/>
      </w:pPr>
      <w:r>
        <w:rPr>
          <w:rFonts w:hint="eastAsia"/>
          <w:b/>
        </w:rPr>
        <w:t>第四条</w:t>
      </w:r>
      <w:r>
        <w:rPr>
          <w:rFonts w:hint="eastAsia"/>
        </w:rPr>
        <w:t xml:space="preserve">  劳动者在法定工作时间内为企业工作，企业支付给劳动者的工资不得低于本市规定的最低工资标准。</w:t>
      </w:r>
    </w:p>
    <w:p w14:paraId="335A17A7">
      <w:r>
        <w:rPr>
          <w:rFonts w:hint="eastAsia"/>
        </w:rPr>
        <w:t>劳动者个人工资收入低于最低工资标准的，企业必须及时补足。</w:t>
      </w:r>
    </w:p>
    <w:p w14:paraId="3234D0BA">
      <w:pPr>
        <w:ind w:firstLine="422"/>
      </w:pPr>
      <w:r>
        <w:rPr>
          <w:rFonts w:hint="eastAsia"/>
          <w:b/>
        </w:rPr>
        <w:t>第五条</w:t>
      </w:r>
      <w:r>
        <w:rPr>
          <w:rFonts w:hint="eastAsia"/>
        </w:rPr>
        <w:t xml:space="preserve">  最低工资标准按小时、月确定，每小时不低</w:t>
      </w:r>
      <w:r>
        <w:rPr>
          <w:rFonts w:hint="eastAsia" w:ascii="宋体" w:hAnsi="宋体" w:eastAsia="宋体" w:cs="宋体"/>
        </w:rPr>
        <w:t>于1.1元人民币，每月不低于210</w:t>
      </w:r>
      <w:r>
        <w:rPr>
          <w:rFonts w:hint="eastAsia"/>
        </w:rPr>
        <w:t>元人民币。</w:t>
      </w:r>
    </w:p>
    <w:p w14:paraId="2C2E8790">
      <w:r>
        <w:rPr>
          <w:rFonts w:hint="eastAsia"/>
        </w:rPr>
        <w:t xml:space="preserve">实行计件工资或者提成工资等工资形式的，必须进行合理折算，其相应的折算额不得低于最低工资标准。 </w:t>
      </w:r>
    </w:p>
    <w:p w14:paraId="45406572">
      <w:pPr>
        <w:ind w:firstLine="422"/>
      </w:pPr>
      <w:r>
        <w:rPr>
          <w:rFonts w:hint="eastAsia"/>
          <w:b/>
        </w:rPr>
        <w:t>第六条</w:t>
      </w:r>
      <w:r>
        <w:rPr>
          <w:rFonts w:hint="eastAsia"/>
        </w:rPr>
        <w:t xml:space="preserve">  最低工资标准包括按国家统计局规定应列入工资总额统计的工资、奖金、补贴等各项收入。</w:t>
      </w:r>
    </w:p>
    <w:p w14:paraId="69F634DA">
      <w:r>
        <w:rPr>
          <w:rFonts w:hint="eastAsia"/>
        </w:rPr>
        <w:t>下列各项收入不计入最低工资标准：</w:t>
      </w:r>
    </w:p>
    <w:p w14:paraId="719AEC1B">
      <w:r>
        <w:rPr>
          <w:rFonts w:hint="eastAsia"/>
        </w:rPr>
        <w:t>（一）劳动者在国家规定的高温、低温、井下、有毒有害等特殊环境条件下工作领取的津贴；</w:t>
      </w:r>
    </w:p>
    <w:p w14:paraId="2EE007CC">
      <w:r>
        <w:rPr>
          <w:rFonts w:hint="eastAsia"/>
        </w:rPr>
        <w:t>（二）劳动者在节假日或者超过法定工作时间从事劳动所得的加班、加点工资；</w:t>
      </w:r>
    </w:p>
    <w:p w14:paraId="1FBDB334">
      <w:bookmarkStart w:id="2247" w:name="_Toc428780583"/>
      <w:r>
        <w:rPr>
          <w:rFonts w:hint="eastAsia"/>
        </w:rPr>
        <w:t>（三）劳动者依法享受的保险福利待遇；</w:t>
      </w:r>
      <w:bookmarkEnd w:id="2247"/>
    </w:p>
    <w:p w14:paraId="7E009A23">
      <w:r>
        <w:rPr>
          <w:rFonts w:hint="eastAsia"/>
        </w:rPr>
        <w:t>（四）根据国家和本市规定不计入最低工资标准的其他收入。</w:t>
      </w:r>
    </w:p>
    <w:p w14:paraId="732F7A62">
      <w:pPr>
        <w:ind w:firstLine="422"/>
      </w:pPr>
      <w:r>
        <w:rPr>
          <w:rFonts w:hint="eastAsia"/>
          <w:b/>
        </w:rPr>
        <w:t>第七条</w:t>
      </w:r>
      <w:r>
        <w:rPr>
          <w:rFonts w:hint="eastAsia"/>
        </w:rPr>
        <w:t xml:space="preserve">  市劳动局根据本市就业者及其赡养人口的最低生活费用、社会平均工资水平、劳动生产率、就业状况和经济发展水平等因素的变动情况，商有关部门后，可以提出调整本市最低工资标准的意见，报市人民政府批准后发布实施。</w:t>
      </w:r>
    </w:p>
    <w:p w14:paraId="49ECC709">
      <w:pPr>
        <w:ind w:firstLine="422"/>
      </w:pPr>
      <w:r>
        <w:rPr>
          <w:rFonts w:hint="eastAsia"/>
          <w:b/>
        </w:rPr>
        <w:t>第八条</w:t>
      </w:r>
      <w:r>
        <w:rPr>
          <w:rFonts w:hint="eastAsia"/>
        </w:rPr>
        <w:t xml:space="preserve">  劳动者在国家规定的探亲、结婚、生育、直系亲属死亡等的休假期间以及依法参加社会活动期间的工资待遇，按国家和本市的有关规定执行。</w:t>
      </w:r>
    </w:p>
    <w:p w14:paraId="7D86D787">
      <w:pPr>
        <w:ind w:firstLine="422"/>
      </w:pPr>
      <w:r>
        <w:rPr>
          <w:rFonts w:hint="eastAsia"/>
          <w:b/>
        </w:rPr>
        <w:t xml:space="preserve">第九条  </w:t>
      </w:r>
      <w:r>
        <w:rPr>
          <w:rFonts w:hint="eastAsia"/>
        </w:rPr>
        <w:t>劳动者在见习期、熟练期、学徒期、试用期内的工资待遇，按国家和本市的有关规定执行。</w:t>
      </w:r>
    </w:p>
    <w:p w14:paraId="166CDAEA">
      <w:pPr>
        <w:ind w:firstLine="422"/>
      </w:pPr>
      <w:r>
        <w:rPr>
          <w:rFonts w:hint="eastAsia"/>
          <w:b/>
        </w:rPr>
        <w:t>第十条</w:t>
      </w:r>
      <w:r>
        <w:rPr>
          <w:rFonts w:hint="eastAsia"/>
        </w:rPr>
        <w:t xml:space="preserve">  企业应当规定每月支付工资的日期，并向全体劳动者公布。</w:t>
      </w:r>
    </w:p>
    <w:p w14:paraId="7D4935DE">
      <w:r>
        <w:rPr>
          <w:rFonts w:hint="eastAsia"/>
        </w:rPr>
        <w:t>企业应当以货币形式按时支付劳动者工资。</w:t>
      </w:r>
    </w:p>
    <w:p w14:paraId="1B564A24">
      <w:pPr>
        <w:ind w:firstLine="422"/>
      </w:pPr>
      <w:r>
        <w:rPr>
          <w:rFonts w:hint="eastAsia"/>
          <w:b/>
        </w:rPr>
        <w:t>第十一条</w:t>
      </w:r>
      <w:r>
        <w:rPr>
          <w:rFonts w:hint="eastAsia"/>
        </w:rPr>
        <w:t xml:space="preserve">  企业支付劳动者工资低于最低工资标准的，劳动者有权要求补足，并可以按下列标准请求企业支付赔偿金：</w:t>
      </w:r>
    </w:p>
    <w:p w14:paraId="7FDCC7EF">
      <w:pPr>
        <w:rPr>
          <w:rFonts w:hint="eastAsia" w:ascii="宋体" w:hAnsi="宋体" w:eastAsia="宋体" w:cs="宋体"/>
        </w:rPr>
      </w:pPr>
      <w:r>
        <w:rPr>
          <w:rFonts w:hint="eastAsia"/>
        </w:rPr>
        <w:t>（一）</w:t>
      </w:r>
      <w:r>
        <w:rPr>
          <w:rFonts w:hint="eastAsia" w:ascii="宋体" w:hAnsi="宋体" w:eastAsia="宋体" w:cs="宋体"/>
        </w:rPr>
        <w:t>欠付6日以上（不含6日）1个月以内的，支付所欠最低工资部分20%的赔偿金；</w:t>
      </w:r>
    </w:p>
    <w:p w14:paraId="2E9B85CB">
      <w:pPr>
        <w:rPr>
          <w:rFonts w:hint="eastAsia" w:ascii="宋体" w:hAnsi="宋体" w:eastAsia="宋体" w:cs="宋体"/>
        </w:rPr>
      </w:pPr>
      <w:r>
        <w:rPr>
          <w:rFonts w:hint="eastAsia" w:ascii="宋体" w:hAnsi="宋体" w:eastAsia="宋体" w:cs="宋体"/>
        </w:rPr>
        <w:t>（二）连续欠付1个月以上3个月以内的，支付所欠最低工资部分50%的赔偿金；</w:t>
      </w:r>
    </w:p>
    <w:p w14:paraId="6CF94555">
      <w:r>
        <w:rPr>
          <w:rFonts w:hint="eastAsia" w:ascii="宋体" w:hAnsi="宋体" w:eastAsia="宋体" w:cs="宋体"/>
        </w:rPr>
        <w:t>（三）欠付3个月以上的，支付所欠最低工资部分100%的赔偿金</w:t>
      </w:r>
      <w:r>
        <w:rPr>
          <w:rFonts w:hint="eastAsia"/>
        </w:rPr>
        <w:t>。</w:t>
      </w:r>
    </w:p>
    <w:p w14:paraId="612F05F3">
      <w:pPr>
        <w:ind w:firstLine="422"/>
      </w:pPr>
      <w:r>
        <w:rPr>
          <w:rFonts w:hint="eastAsia"/>
          <w:b/>
        </w:rPr>
        <w:t>第十二条</w:t>
      </w:r>
      <w:r>
        <w:rPr>
          <w:rFonts w:hint="eastAsia"/>
        </w:rPr>
        <w:t xml:space="preserve">  劳动者与企业因最低工资问题发生的劳动争议，依照《中华人民共和国企业劳动争议处理条例》及有关规定处理。</w:t>
      </w:r>
    </w:p>
    <w:p w14:paraId="1C7D70DC">
      <w:pPr>
        <w:ind w:firstLine="422"/>
      </w:pPr>
      <w:r>
        <w:rPr>
          <w:rFonts w:hint="eastAsia"/>
          <w:b/>
        </w:rPr>
        <w:t>第十三条</w:t>
      </w:r>
      <w:r>
        <w:rPr>
          <w:rFonts w:hint="eastAsia"/>
        </w:rPr>
        <w:t xml:space="preserve">  本规定执行中的具体问题，由市劳动局负责解释。</w:t>
      </w:r>
    </w:p>
    <w:p w14:paraId="50976973">
      <w:pPr>
        <w:ind w:firstLine="422"/>
        <w:rPr>
          <w:rFonts w:hint="eastAsia" w:ascii="宋体" w:hAnsi="宋体" w:eastAsia="宋体" w:cs="宋体"/>
        </w:rPr>
      </w:pPr>
      <w:r>
        <w:rPr>
          <w:rFonts w:hint="eastAsia"/>
          <w:b/>
        </w:rPr>
        <w:t>第十四条</w:t>
      </w:r>
      <w:r>
        <w:rPr>
          <w:rFonts w:hint="eastAsia"/>
        </w:rPr>
        <w:t xml:space="preserve">  本规定自</w:t>
      </w:r>
      <w:r>
        <w:rPr>
          <w:rFonts w:hint="eastAsia" w:ascii="宋体" w:hAnsi="宋体" w:eastAsia="宋体" w:cs="宋体"/>
        </w:rPr>
        <w:t>1994年12月1日起施行。</w:t>
      </w:r>
    </w:p>
    <w:p w14:paraId="3BFFD661">
      <w:pPr>
        <w:pStyle w:val="4"/>
        <w:pageBreakBefore/>
      </w:pPr>
      <w:bookmarkStart w:id="2248" w:name="_Toc428780584"/>
      <w:bookmarkStart w:id="2249" w:name="_Toc426467087"/>
      <w:bookmarkStart w:id="2250" w:name="_Toc428781835"/>
      <w:r>
        <w:rPr>
          <w:rFonts w:hint="eastAsia"/>
        </w:rPr>
        <w:t>北京市工资支付规定</w:t>
      </w:r>
      <w:bookmarkEnd w:id="2248"/>
      <w:bookmarkEnd w:id="2249"/>
      <w:bookmarkEnd w:id="2250"/>
    </w:p>
    <w:p w14:paraId="61D4660D">
      <w:pPr>
        <w:ind w:left="630" w:leftChars="300" w:right="630" w:rightChars="300"/>
        <w:rPr>
          <w:rFonts w:ascii="楷体" w:hAnsi="楷体" w:eastAsia="楷体"/>
        </w:rPr>
      </w:pPr>
      <w:r>
        <w:rPr>
          <w:rFonts w:hint="eastAsia" w:ascii="楷体" w:hAnsi="楷体" w:eastAsia="楷体"/>
        </w:rPr>
        <w:t>（2003年12月16日北京市人民政府第18次常务会议审议通过  2003年12月22日北京市人民政府第142号令发布  根据2007年11月23日北京市人民政府第200号令修改）</w:t>
      </w:r>
    </w:p>
    <w:p w14:paraId="4C3793D1"/>
    <w:p w14:paraId="0C67020B">
      <w:pPr>
        <w:ind w:firstLine="0" w:firstLineChars="0"/>
        <w:jc w:val="center"/>
        <w:rPr>
          <w:b/>
          <w:sz w:val="28"/>
        </w:rPr>
      </w:pPr>
      <w:r>
        <w:rPr>
          <w:rFonts w:hint="eastAsia"/>
          <w:b/>
          <w:sz w:val="28"/>
        </w:rPr>
        <w:t>第一章　总　则</w:t>
      </w:r>
    </w:p>
    <w:p w14:paraId="5FCBD8BA"/>
    <w:p w14:paraId="10CE72D5">
      <w:pPr>
        <w:ind w:firstLine="422"/>
      </w:pPr>
      <w:r>
        <w:rPr>
          <w:rFonts w:hint="eastAsia"/>
          <w:b/>
        </w:rPr>
        <w:t>第一条</w:t>
      </w:r>
      <w:r>
        <w:rPr>
          <w:rFonts w:hint="eastAsia"/>
        </w:rPr>
        <w:t xml:space="preserve">  为规范工资支付行为，维护劳动者的合法权益，根据《中华人民共和国劳动法》及有关法律、法规的规定，结合本市实际情况，制定本规定。</w:t>
      </w:r>
    </w:p>
    <w:p w14:paraId="333D163C">
      <w:pPr>
        <w:ind w:firstLine="422"/>
      </w:pPr>
      <w:r>
        <w:rPr>
          <w:rFonts w:hint="eastAsia"/>
          <w:b/>
        </w:rPr>
        <w:t>第二条</w:t>
      </w:r>
      <w:r>
        <w:rPr>
          <w:rFonts w:hint="eastAsia"/>
        </w:rPr>
        <w:t xml:space="preserve">  本规定适用于本市行政区域内的企业、个体工商户以及民办非企业单位（以下统称用人单位）和与之形成劳动关系的劳动者。</w:t>
      </w:r>
    </w:p>
    <w:p w14:paraId="6DD2642C">
      <w:r>
        <w:rPr>
          <w:rFonts w:hint="eastAsia"/>
        </w:rPr>
        <w:t>本市国家机关、事业单位、社会团体和与之建立劳动合同关系的劳动者，依照本规定执行。</w:t>
      </w:r>
    </w:p>
    <w:p w14:paraId="5CF742C2">
      <w:pPr>
        <w:ind w:firstLine="422"/>
      </w:pPr>
      <w:r>
        <w:rPr>
          <w:rFonts w:hint="eastAsia"/>
          <w:b/>
        </w:rPr>
        <w:t>第三条</w:t>
      </w:r>
      <w:r>
        <w:rPr>
          <w:rFonts w:hint="eastAsia"/>
        </w:rPr>
        <w:t xml:space="preserve">  政府根据本市社会经济发展和劳动力供求状况，及时制定和发布本市工资水平宏观指导政策。</w:t>
      </w:r>
    </w:p>
    <w:p w14:paraId="2B425E75">
      <w:r>
        <w:rPr>
          <w:rFonts w:hint="eastAsia"/>
        </w:rPr>
        <w:t>用人单位根据政府宏观指导政策和本单位的经济效益，在与劳动者平等协商的基础上，合理确定和调整工资支付水平。</w:t>
      </w:r>
    </w:p>
    <w:p w14:paraId="6676EB0F">
      <w:pPr>
        <w:ind w:firstLine="422"/>
      </w:pPr>
      <w:r>
        <w:rPr>
          <w:rFonts w:hint="eastAsia"/>
          <w:b/>
        </w:rPr>
        <w:t>第四条</w:t>
      </w:r>
      <w:r>
        <w:rPr>
          <w:rFonts w:hint="eastAsia"/>
        </w:rPr>
        <w:t xml:space="preserve">  市和区、县劳动和社会保障行政部门（以下简称劳动保障部门）负责本行政区域内工资支付的管理和监督检查工作。</w:t>
      </w:r>
    </w:p>
    <w:p w14:paraId="5C45B65A">
      <w:r>
        <w:rPr>
          <w:rFonts w:hint="eastAsia"/>
        </w:rPr>
        <w:t>市和区、县人事部门按照职责，依法对本市国家机关、事业单位和社会团体的工资支付进行管理和监督。</w:t>
      </w:r>
    </w:p>
    <w:p w14:paraId="56264D64">
      <w:pPr>
        <w:ind w:firstLine="422"/>
      </w:pPr>
      <w:r>
        <w:rPr>
          <w:rFonts w:hint="eastAsia"/>
          <w:b/>
        </w:rPr>
        <w:t>第五条</w:t>
      </w:r>
      <w:r>
        <w:rPr>
          <w:rFonts w:hint="eastAsia"/>
        </w:rPr>
        <w:t xml:space="preserve">  各级工会组织依法对用人单位遵守有关工资支付法律、法规、规章的情况进行监督，有权对用人单位违法支付工资行为提出意见或者向有关部门反映，并支持和帮助劳动者依法维护其合法权益。</w:t>
      </w:r>
    </w:p>
    <w:p w14:paraId="662452D9"/>
    <w:p w14:paraId="5AC38A56">
      <w:pPr>
        <w:ind w:firstLine="0" w:firstLineChars="0"/>
        <w:jc w:val="center"/>
        <w:rPr>
          <w:b/>
          <w:sz w:val="28"/>
        </w:rPr>
      </w:pPr>
      <w:r>
        <w:rPr>
          <w:rFonts w:hint="eastAsia"/>
          <w:b/>
          <w:sz w:val="28"/>
        </w:rPr>
        <w:t>第二章　一般规定</w:t>
      </w:r>
    </w:p>
    <w:p w14:paraId="5EDCAB20"/>
    <w:p w14:paraId="26E32BED">
      <w:pPr>
        <w:ind w:firstLine="422"/>
      </w:pPr>
      <w:r>
        <w:rPr>
          <w:rFonts w:hint="eastAsia"/>
          <w:b/>
        </w:rPr>
        <w:t>第六条</w:t>
      </w:r>
      <w:r>
        <w:rPr>
          <w:rFonts w:hint="eastAsia"/>
        </w:rPr>
        <w:t xml:space="preserve">  用人单位应当依法制定本单位的工资支付制度；制定工资支付制度应当征求工会或者职工代表的意见，并向本单位的全体劳动者公布。</w:t>
      </w:r>
    </w:p>
    <w:p w14:paraId="03481353">
      <w:r>
        <w:rPr>
          <w:rFonts w:hint="eastAsia"/>
        </w:rPr>
        <w:t>工资支付制度应当主要规定下列事项：</w:t>
      </w:r>
    </w:p>
    <w:p w14:paraId="2667099D">
      <w:r>
        <w:rPr>
          <w:rFonts w:hint="eastAsia"/>
        </w:rPr>
        <w:t>（一）工资支付的项目、标准和形式；</w:t>
      </w:r>
    </w:p>
    <w:p w14:paraId="5A37D56E">
      <w:r>
        <w:rPr>
          <w:rFonts w:hint="eastAsia"/>
        </w:rPr>
        <w:t>（二）工资支付的周期和日期；</w:t>
      </w:r>
    </w:p>
    <w:p w14:paraId="64193E87">
      <w:r>
        <w:rPr>
          <w:rFonts w:hint="eastAsia"/>
        </w:rPr>
        <w:t>（三）工资扣除事项。</w:t>
      </w:r>
    </w:p>
    <w:p w14:paraId="50EDE5E6">
      <w:pPr>
        <w:ind w:firstLine="422"/>
      </w:pPr>
      <w:r>
        <w:rPr>
          <w:rFonts w:hint="eastAsia"/>
          <w:b/>
        </w:rPr>
        <w:t>第七条</w:t>
      </w:r>
      <w:r>
        <w:rPr>
          <w:rFonts w:hint="eastAsia"/>
        </w:rPr>
        <w:t xml:space="preserve">  用人单位与劳动者应当在劳动合同中约定工资标准；工资标准可以根据劳动者所在岗位或者所从事的工作确定。</w:t>
      </w:r>
    </w:p>
    <w:p w14:paraId="63E74A09">
      <w:r>
        <w:rPr>
          <w:rFonts w:hint="eastAsia"/>
        </w:rPr>
        <w:t>用人单位与劳动者可以在劳动合同中约定有关工资标准调整、变更的事项。</w:t>
      </w:r>
    </w:p>
    <w:p w14:paraId="0C432D3D">
      <w:r>
        <w:rPr>
          <w:rFonts w:hint="eastAsia"/>
        </w:rPr>
        <w:t>用人单位与工会或者职工代表可以在集体合同中约定工资支付事项。</w:t>
      </w:r>
    </w:p>
    <w:p w14:paraId="1020650A">
      <w:pPr>
        <w:ind w:firstLine="422"/>
      </w:pPr>
      <w:r>
        <w:rPr>
          <w:rFonts w:hint="eastAsia"/>
          <w:b/>
        </w:rPr>
        <w:t>第八条</w:t>
      </w:r>
      <w:r>
        <w:rPr>
          <w:rFonts w:hint="eastAsia"/>
        </w:rPr>
        <w:t xml:space="preserve">  用人单位应当以货币形式支付工资，不得以实物、有价证券等代替货币支付。</w:t>
      </w:r>
    </w:p>
    <w:p w14:paraId="6D0882E5">
      <w:r>
        <w:rPr>
          <w:rFonts w:hint="eastAsia"/>
        </w:rPr>
        <w:t>用人单位应当将工资直接支付给劳动者本人。本市鼓励和逐步推行用人单位为劳动者在银行开立个人账户，通过银行按月支付给劳动者工资。</w:t>
      </w:r>
    </w:p>
    <w:p w14:paraId="282DA354">
      <w:r>
        <w:rPr>
          <w:rFonts w:hint="eastAsia"/>
        </w:rPr>
        <w:t>用人单位支付劳动者工资应当向其提供一份其本人的工资支付清单。</w:t>
      </w:r>
    </w:p>
    <w:p w14:paraId="52949070">
      <w:pPr>
        <w:ind w:firstLine="422"/>
      </w:pPr>
      <w:r>
        <w:rPr>
          <w:rFonts w:hint="eastAsia"/>
          <w:b/>
        </w:rPr>
        <w:t>第九条</w:t>
      </w:r>
      <w:r>
        <w:rPr>
          <w:rFonts w:hint="eastAsia"/>
        </w:rPr>
        <w:t xml:space="preserve">  用人单位应当自用工之日起计算劳动者工资。</w:t>
      </w:r>
    </w:p>
    <w:p w14:paraId="440EA537">
      <w:r>
        <w:rPr>
          <w:rFonts w:hint="eastAsia"/>
        </w:rPr>
        <w:t>用人单位可以按照小时、日、周、月为周期支付工资。以完成一定工作任务计发工资的，应当在工作任务完成后即时支付劳动者工资。但用人单位应当至少每月向劳动者支付一次工资。</w:t>
      </w:r>
    </w:p>
    <w:p w14:paraId="139512BE">
      <w:r>
        <w:rPr>
          <w:rFonts w:hint="eastAsia"/>
        </w:rPr>
        <w:t>用人单位支付劳动者工资应当按照规定的日期足额支付，不得克扣或者无故拖欠。工资支付日期遇法定休假日或者休息日的，应当提前在最近的工作日支付。</w:t>
      </w:r>
    </w:p>
    <w:p w14:paraId="6DE36E7F">
      <w:pPr>
        <w:ind w:firstLine="422"/>
      </w:pPr>
      <w:r>
        <w:rPr>
          <w:rFonts w:hint="eastAsia"/>
          <w:b/>
        </w:rPr>
        <w:t>第十条</w:t>
      </w:r>
      <w:r>
        <w:rPr>
          <w:rFonts w:hint="eastAsia"/>
        </w:rPr>
        <w:t xml:space="preserve">  用人单位应当遵守本市最低工资的规定，支付劳动者工资不得低于最低工资标准。</w:t>
      </w:r>
    </w:p>
    <w:p w14:paraId="117B0DB1">
      <w:pPr>
        <w:ind w:firstLine="422"/>
      </w:pPr>
      <w:r>
        <w:rPr>
          <w:rFonts w:hint="eastAsia"/>
          <w:b/>
        </w:rPr>
        <w:t>第十一条</w:t>
      </w:r>
      <w:r>
        <w:rPr>
          <w:rFonts w:hint="eastAsia"/>
        </w:rPr>
        <w:t xml:space="preserve">  用人单位不得随意扣除劳动者工资。</w:t>
      </w:r>
    </w:p>
    <w:p w14:paraId="055C02F0">
      <w:r>
        <w:rPr>
          <w:rFonts w:hint="eastAsia"/>
        </w:rPr>
        <w:t>除法律、法规、规章规定的事项外，用人单位扣除劳动者工资应当符合集体合同、劳动合同的约定或者本单位规章制度的规定。</w:t>
      </w:r>
    </w:p>
    <w:p w14:paraId="52DE278A">
      <w:r>
        <w:rPr>
          <w:rFonts w:hint="eastAsia"/>
        </w:rPr>
        <w:t>因劳动者本人原因给用人单位造成经济损失，用人单位按照前款规定扣除劳动者工资的，扣除后的余额不得低于本市最低工资标准。</w:t>
      </w:r>
    </w:p>
    <w:p w14:paraId="18E03055">
      <w:pPr>
        <w:ind w:firstLine="422"/>
      </w:pPr>
      <w:r>
        <w:rPr>
          <w:rFonts w:hint="eastAsia"/>
          <w:b/>
        </w:rPr>
        <w:t>第十二条</w:t>
      </w:r>
      <w:r>
        <w:rPr>
          <w:rFonts w:hint="eastAsia"/>
        </w:rPr>
        <w:t xml:space="preserve">  用人单位与劳动者双方依法终止、解除劳动合同的，用人单位应当一次性付清劳动者工资。</w:t>
      </w:r>
    </w:p>
    <w:p w14:paraId="118E837F">
      <w:pPr>
        <w:ind w:firstLine="422"/>
      </w:pPr>
      <w:r>
        <w:rPr>
          <w:rFonts w:hint="eastAsia"/>
          <w:b/>
        </w:rPr>
        <w:t>第十三条</w:t>
      </w:r>
      <w:r>
        <w:rPr>
          <w:rFonts w:hint="eastAsia"/>
        </w:rPr>
        <w:t xml:space="preserve">  用人单位应当按照工资支付周期编制工资支付记录表，并至少保存二年备查。工资支付记录表应当主要包括用人单位名称、劳动者姓名、支付时间以及支付项目和金额、加班工资金额、应发金额、扣除项目和金额、实发金额等事项。</w:t>
      </w:r>
    </w:p>
    <w:p w14:paraId="5D5D2196">
      <w:r>
        <w:rPr>
          <w:rFonts w:hint="eastAsia"/>
        </w:rPr>
        <w:t>劳动者有权查询本人的工资支付记录。</w:t>
      </w:r>
    </w:p>
    <w:p w14:paraId="4B2F0632"/>
    <w:p w14:paraId="56AD8957">
      <w:pPr>
        <w:ind w:firstLine="0" w:firstLineChars="0"/>
        <w:jc w:val="center"/>
        <w:rPr>
          <w:b/>
          <w:sz w:val="28"/>
        </w:rPr>
      </w:pPr>
      <w:r>
        <w:rPr>
          <w:rFonts w:hint="eastAsia"/>
          <w:b/>
          <w:sz w:val="28"/>
        </w:rPr>
        <w:t>第三章　特别规定</w:t>
      </w:r>
    </w:p>
    <w:p w14:paraId="34311373"/>
    <w:p w14:paraId="384CBE2B">
      <w:pPr>
        <w:ind w:firstLine="422"/>
      </w:pPr>
      <w:r>
        <w:rPr>
          <w:rFonts w:hint="eastAsia"/>
          <w:b/>
        </w:rPr>
        <w:t>第十四条</w:t>
      </w:r>
      <w:r>
        <w:rPr>
          <w:rFonts w:hint="eastAsia"/>
        </w:rPr>
        <w:t>　用人单位依法安排劳动者在标准工作时间以外工作的，应当按照下列标准支付劳动者加班工资：</w:t>
      </w:r>
    </w:p>
    <w:p w14:paraId="51E23015">
      <w:r>
        <w:rPr>
          <w:rFonts w:hint="eastAsia"/>
        </w:rPr>
        <w:t>（一）在日标准工作时间以外延长工作时间的，按照不低于小时工资基数的</w:t>
      </w:r>
      <w:r>
        <w:rPr>
          <w:rFonts w:hint="eastAsia" w:ascii="宋体" w:hAnsi="宋体" w:eastAsia="宋体" w:cs="宋体"/>
        </w:rPr>
        <w:t>150%</w:t>
      </w:r>
      <w:r>
        <w:rPr>
          <w:rFonts w:hint="eastAsia"/>
        </w:rPr>
        <w:t>支付加班工资；</w:t>
      </w:r>
    </w:p>
    <w:p w14:paraId="29998F89">
      <w:r>
        <w:rPr>
          <w:rFonts w:hint="eastAsia"/>
        </w:rPr>
        <w:t>（二）在休息日工作的，应当安排其同等时间的补休，不能安排补休的，按照不低于日或者小时工资基数的</w:t>
      </w:r>
      <w:r>
        <w:rPr>
          <w:rFonts w:hint="eastAsia" w:ascii="宋体" w:hAnsi="宋体" w:eastAsia="宋体" w:cs="宋体"/>
        </w:rPr>
        <w:t>200%</w:t>
      </w:r>
      <w:r>
        <w:rPr>
          <w:rFonts w:hint="eastAsia"/>
        </w:rPr>
        <w:t>支付加班工资；</w:t>
      </w:r>
    </w:p>
    <w:p w14:paraId="0BD04474">
      <w:r>
        <w:rPr>
          <w:rFonts w:hint="eastAsia"/>
        </w:rPr>
        <w:t>（三）在法定休假日工作的，应当按照不低于日或者小时工资基数的</w:t>
      </w:r>
      <w:r>
        <w:rPr>
          <w:rFonts w:hint="eastAsia" w:ascii="宋体" w:hAnsi="宋体" w:eastAsia="宋体" w:cs="宋体"/>
        </w:rPr>
        <w:t>300%</w:t>
      </w:r>
      <w:r>
        <w:rPr>
          <w:rFonts w:hint="eastAsia"/>
        </w:rPr>
        <w:t>支付加班工资。</w:t>
      </w:r>
    </w:p>
    <w:p w14:paraId="58005D96">
      <w:pPr>
        <w:ind w:firstLine="422"/>
      </w:pPr>
      <w:r>
        <w:rPr>
          <w:rFonts w:hint="eastAsia"/>
          <w:b/>
        </w:rPr>
        <w:t>第十五条</w:t>
      </w:r>
      <w:r>
        <w:rPr>
          <w:rFonts w:hint="eastAsia"/>
        </w:rPr>
        <w:t>　实行计件工资制的，劳动者在完成计件定额任务后，用人单位安排其在标准工作时间以外工作的，应当根据本规定第十四条的原则，分别按照不低于计件单价的</w:t>
      </w:r>
      <w:r>
        <w:rPr>
          <w:rFonts w:hint="eastAsia" w:ascii="宋体" w:hAnsi="宋体" w:eastAsia="宋体" w:cs="宋体"/>
        </w:rPr>
        <w:t>150%</w:t>
      </w:r>
      <w:r>
        <w:rPr>
          <w:rFonts w:hint="eastAsia"/>
        </w:rPr>
        <w:t>、</w:t>
      </w:r>
      <w:r>
        <w:rPr>
          <w:rFonts w:hint="eastAsia" w:ascii="宋体" w:hAnsi="宋体" w:eastAsia="宋体" w:cs="宋体"/>
        </w:rPr>
        <w:t>200%、300%</w:t>
      </w:r>
      <w:r>
        <w:rPr>
          <w:rFonts w:hint="eastAsia"/>
        </w:rPr>
        <w:t>支付加班工资。</w:t>
      </w:r>
    </w:p>
    <w:p w14:paraId="0994CB97">
      <w:pPr>
        <w:ind w:firstLine="422"/>
      </w:pPr>
      <w:r>
        <w:rPr>
          <w:rFonts w:hint="eastAsia"/>
          <w:b/>
        </w:rPr>
        <w:t>第十六条</w:t>
      </w:r>
      <w:r>
        <w:rPr>
          <w:rFonts w:hint="eastAsia"/>
        </w:rPr>
        <w:t>　用人单位经批准实行综合计算工时工作制的，在综合计算工时周期内，用人单位应当按照劳动者实际工作时间计算其工资；劳动者总实际工作时间超过总标准工作时间的部分，视为延长工作时间，应当按照本规定第十四条第（一）项的规定支付加班工资；安排劳动者在法定休假日工作的，应当按照本规定第十四条第（三）项的规定支付加班工资。</w:t>
      </w:r>
    </w:p>
    <w:p w14:paraId="1D86F1D0">
      <w:pPr>
        <w:ind w:firstLine="422"/>
      </w:pPr>
      <w:r>
        <w:rPr>
          <w:rFonts w:hint="eastAsia"/>
          <w:b/>
        </w:rPr>
        <w:t>第十七条</w:t>
      </w:r>
      <w:r>
        <w:rPr>
          <w:rFonts w:hint="eastAsia"/>
        </w:rPr>
        <w:t>　用人单位经批准实行不定时工作制度的，不适用本规定第十四条的规定。</w:t>
      </w:r>
    </w:p>
    <w:p w14:paraId="48CD94F8">
      <w:pPr>
        <w:ind w:firstLine="422"/>
      </w:pPr>
      <w:r>
        <w:rPr>
          <w:rFonts w:hint="eastAsia"/>
          <w:b/>
        </w:rPr>
        <w:t>第十八条</w:t>
      </w:r>
      <w:r>
        <w:rPr>
          <w:rFonts w:hint="eastAsia"/>
        </w:rPr>
        <w:t>　从事非全日制工作的劳动者，实行小时工资制。小时工资由用人单位与劳动者协商确定，但不得低于本市规定的非全日制从业人员小时最低工资标准。</w:t>
      </w:r>
    </w:p>
    <w:p w14:paraId="32B3BD7B">
      <w:r>
        <w:rPr>
          <w:rFonts w:hint="eastAsia"/>
        </w:rPr>
        <w:t>用人单位招用非全日制工作的劳动者，可以不执行本规定第十四条的规定，但用人单位安排其在法定休假日工作的，其小时工资不得低于本市规定的非全日制从业人员法定休假日小时最低工资标准。</w:t>
      </w:r>
    </w:p>
    <w:p w14:paraId="6A149288">
      <w:r>
        <w:rPr>
          <w:rFonts w:hint="eastAsia"/>
        </w:rPr>
        <w:t>非全日制从业人员小时最低工资标准和法定休假日小时最低工资标准由市劳动保障部门确定、调整和公布。</w:t>
      </w:r>
    </w:p>
    <w:p w14:paraId="63CF188A">
      <w:pPr>
        <w:ind w:firstLine="422"/>
      </w:pPr>
      <w:r>
        <w:rPr>
          <w:rFonts w:hint="eastAsia"/>
          <w:b/>
        </w:rPr>
        <w:t>第十九条</w:t>
      </w:r>
      <w:r>
        <w:rPr>
          <w:rFonts w:hint="eastAsia"/>
        </w:rPr>
        <w:t>　劳动者依法享受年休假、探亲假、婚假、丧假等休假期间，用人单位应当支付其工资。</w:t>
      </w:r>
    </w:p>
    <w:p w14:paraId="39D721A6">
      <w:pPr>
        <w:ind w:firstLine="422"/>
      </w:pPr>
      <w:r>
        <w:rPr>
          <w:rFonts w:hint="eastAsia"/>
          <w:b/>
        </w:rPr>
        <w:t>第二十条</w:t>
      </w:r>
      <w:r>
        <w:rPr>
          <w:rFonts w:hint="eastAsia"/>
        </w:rPr>
        <w:t>　妇女节、青年节等部分公民节日期间，用人单位安排劳动者休息、参加节日活动的，应当视同其正常劳动支付工资；劳动者照常工作的，可以不支付加班工资。</w:t>
      </w:r>
    </w:p>
    <w:p w14:paraId="3BC42CA1">
      <w:pPr>
        <w:ind w:firstLine="422"/>
      </w:pPr>
      <w:r>
        <w:rPr>
          <w:rFonts w:hint="eastAsia"/>
          <w:b/>
        </w:rPr>
        <w:t>第二十一条</w:t>
      </w:r>
      <w:r>
        <w:rPr>
          <w:rFonts w:hint="eastAsia"/>
        </w:rPr>
        <w:t>　劳动者患病或者非因工负伤的，在病休期间，用人单位应当根据劳动合同或集体合同的约定支付病假工资。用人单位支付病假工资不得低于本市最低工资标准的80%。</w:t>
      </w:r>
    </w:p>
    <w:p w14:paraId="7C70513C">
      <w:pPr>
        <w:ind w:firstLine="422"/>
      </w:pPr>
      <w:r>
        <w:rPr>
          <w:rFonts w:hint="eastAsia"/>
          <w:b/>
        </w:rPr>
        <w:t>第二十二条</w:t>
      </w:r>
      <w:r>
        <w:rPr>
          <w:rFonts w:hint="eastAsia"/>
        </w:rPr>
        <w:t>　劳动者在事假期间，用人单位可以不支付其工资。</w:t>
      </w:r>
    </w:p>
    <w:p w14:paraId="4B6C86CB">
      <w:pPr>
        <w:ind w:firstLine="422"/>
      </w:pPr>
      <w:r>
        <w:rPr>
          <w:rFonts w:hint="eastAsia"/>
          <w:b/>
        </w:rPr>
        <w:t>第二十三条</w:t>
      </w:r>
      <w:r>
        <w:rPr>
          <w:rFonts w:hint="eastAsia"/>
        </w:rPr>
        <w:t>　劳动者生育或者施行计划生育手术依法享受休假期间，用人单位应当支付其工资。</w:t>
      </w:r>
    </w:p>
    <w:p w14:paraId="0B655D04">
      <w:r>
        <w:rPr>
          <w:rFonts w:hint="eastAsia"/>
        </w:rPr>
        <w:t>劳动者因产前检查和哺乳依法休假的，用人单位应当视同其正常劳动支付工资。</w:t>
      </w:r>
    </w:p>
    <w:p w14:paraId="4FF95F45">
      <w:pPr>
        <w:ind w:firstLine="422"/>
      </w:pPr>
      <w:r>
        <w:rPr>
          <w:rFonts w:hint="eastAsia"/>
          <w:b/>
        </w:rPr>
        <w:t>第二十四条</w:t>
      </w:r>
      <w:r>
        <w:rPr>
          <w:rFonts w:hint="eastAsia"/>
        </w:rPr>
        <w:t>　劳动者在工作时间内依法参加社会活动，或者担任集体协商代表履行代表职责、参加集体协商活动期间，用人单位应当视同其正常劳动支付工资。</w:t>
      </w:r>
    </w:p>
    <w:p w14:paraId="1715C1BA">
      <w:pPr>
        <w:ind w:firstLine="422"/>
      </w:pPr>
      <w:r>
        <w:rPr>
          <w:rFonts w:hint="eastAsia"/>
          <w:b/>
        </w:rPr>
        <w:t>第二十五条</w:t>
      </w:r>
      <w:r>
        <w:rPr>
          <w:rFonts w:hint="eastAsia"/>
        </w:rPr>
        <w:t>　劳动者被人民法院判处管制或者拘役适用缓刑、有期徒刑适用缓刑或者被假释、监外执行、取保候审期间，用人单位未与其解除劳动合同，劳动者继续在原单位正常劳动的，用人单位应当按照劳动合同的约定以及本单位规章制度的规定支付其工资。</w:t>
      </w:r>
    </w:p>
    <w:p w14:paraId="74A0174A">
      <w:pPr>
        <w:ind w:firstLine="422"/>
        <w:rPr>
          <w:rFonts w:hint="eastAsia" w:ascii="宋体" w:hAnsi="宋体" w:eastAsia="宋体" w:cs="宋体"/>
        </w:rPr>
      </w:pPr>
      <w:r>
        <w:rPr>
          <w:rFonts w:hint="eastAsia"/>
          <w:b/>
        </w:rPr>
        <w:t>第二十六条</w:t>
      </w:r>
      <w:r>
        <w:rPr>
          <w:rFonts w:hint="eastAsia"/>
        </w:rPr>
        <w:t>　用人单位因生产经营困难暂时无法按</w:t>
      </w:r>
      <w:r>
        <w:rPr>
          <w:rFonts w:hint="eastAsia" w:ascii="宋体" w:hAnsi="宋体" w:eastAsia="宋体" w:cs="宋体"/>
        </w:rPr>
        <w:t>时支付工资的，应当向劳动者说明情况，并经与工会或者职工代表协商一致后，可以延期支付工资，但最长不得超过30日。</w:t>
      </w:r>
    </w:p>
    <w:p w14:paraId="242789B6">
      <w:pPr>
        <w:ind w:firstLine="422"/>
        <w:rPr>
          <w:rFonts w:hint="eastAsia" w:ascii="宋体" w:hAnsi="宋体" w:eastAsia="宋体" w:cs="宋体"/>
        </w:rPr>
      </w:pPr>
      <w:r>
        <w:rPr>
          <w:rFonts w:hint="eastAsia" w:ascii="宋体" w:hAnsi="宋体" w:eastAsia="宋体" w:cs="宋体"/>
          <w:b/>
        </w:rPr>
        <w:t>第二十七条</w:t>
      </w:r>
      <w:r>
        <w:rPr>
          <w:rFonts w:hint="eastAsia" w:ascii="宋体" w:hAnsi="宋体" w:eastAsia="宋体" w:cs="宋体"/>
        </w:rPr>
        <w:t>　非因劳动者本人原因造成用人单位停工、停业的，在一个工资支付周期内，用人单位应当按照提供正常劳动支付劳动者工资；超过一个工资支付周期的，可以根据劳动者提供的劳动，按照双方新约定的标准支付工资，但不得低于本市最低工资标准；用人单位没有安排劳动者工作的，应当按照不低于本市最低工资标准的70%支付劳动者基本生活费。国家或者本市另有规定的从其规定。</w:t>
      </w:r>
    </w:p>
    <w:p w14:paraId="0CDD2B6C">
      <w:pPr>
        <w:ind w:firstLine="422"/>
      </w:pPr>
      <w:r>
        <w:rPr>
          <w:rFonts w:hint="eastAsia" w:ascii="宋体" w:hAnsi="宋体" w:eastAsia="宋体" w:cs="宋体"/>
          <w:b/>
        </w:rPr>
        <w:t>第二十八条</w:t>
      </w:r>
      <w:r>
        <w:rPr>
          <w:rFonts w:hint="eastAsia" w:ascii="宋体" w:hAnsi="宋体" w:eastAsia="宋体" w:cs="宋体"/>
        </w:rPr>
        <w:t>　用人单位破产、终止或者解散的，经依法清算后的财产应当按照有关法</w:t>
      </w:r>
      <w:r>
        <w:rPr>
          <w:rFonts w:hint="eastAsia"/>
        </w:rPr>
        <w:t>律、法规、规章的规定优先用于支付欠付的劳动者工资和社会保险费。</w:t>
      </w:r>
    </w:p>
    <w:p w14:paraId="551648DD">
      <w:pPr>
        <w:ind w:firstLine="422"/>
      </w:pPr>
      <w:r>
        <w:rPr>
          <w:rFonts w:hint="eastAsia"/>
          <w:b/>
        </w:rPr>
        <w:t>第二十九条</w:t>
      </w:r>
      <w:r>
        <w:rPr>
          <w:rFonts w:hint="eastAsia"/>
        </w:rPr>
        <w:t>　建设单位、施工总承包企业、专业承包企业（以下统称为发包单位）或者劳务分包企业，有发包、分包或者转包给不具备用工主体资格的组织或者个人的违法行为，该组织或者个人拖欠劳动者工资时，发包单位或者劳务分包企业应当直接向劳动者支付所拖欠的工资。</w:t>
      </w:r>
    </w:p>
    <w:p w14:paraId="07FDD1EC">
      <w:r>
        <w:rPr>
          <w:rFonts w:hint="eastAsia"/>
        </w:rPr>
        <w:t>建设单位、施工总承包企业或者专业承包企业未按合同约定支付工程款或者分包价款，专业承包企业或者劳务分包企业拖欠劳动者工资的，在拖欠的工程款或者分包价款支付后，专业承包企业和劳务分包企业应当将所得款项优先用于支付拖欠的劳动者工资。</w:t>
      </w:r>
    </w:p>
    <w:p w14:paraId="41BFB59A"/>
    <w:p w14:paraId="2DEC98ED">
      <w:pPr>
        <w:ind w:firstLine="0" w:firstLineChars="0"/>
        <w:jc w:val="center"/>
        <w:rPr>
          <w:b/>
          <w:sz w:val="28"/>
        </w:rPr>
      </w:pPr>
      <w:r>
        <w:rPr>
          <w:rFonts w:hint="eastAsia"/>
          <w:b/>
          <w:sz w:val="28"/>
        </w:rPr>
        <w:t>第四章　保障与救济</w:t>
      </w:r>
    </w:p>
    <w:p w14:paraId="2890264D"/>
    <w:p w14:paraId="7DF30C13">
      <w:pPr>
        <w:ind w:firstLine="422"/>
      </w:pPr>
      <w:r>
        <w:rPr>
          <w:rFonts w:hint="eastAsia"/>
          <w:b/>
        </w:rPr>
        <w:t>第三十条</w:t>
      </w:r>
      <w:r>
        <w:rPr>
          <w:rFonts w:hint="eastAsia"/>
        </w:rPr>
        <w:t>　本市建立企业欠薪应急保障制度。在本市重点行业的企业中试行设立工资预留账户制度，企业预留部分资金专项用于发生欠薪时支付劳动者工资的应急保障。</w:t>
      </w:r>
    </w:p>
    <w:p w14:paraId="115C0B43">
      <w:r>
        <w:rPr>
          <w:rFonts w:hint="eastAsia"/>
        </w:rPr>
        <w:t>试行设立工资预留账户的行业由市人民政府批准，具体管理办法由市劳动保障部门会同有关行政主管部门制定并公布。</w:t>
      </w:r>
    </w:p>
    <w:p w14:paraId="56F2584E">
      <w:pPr>
        <w:ind w:firstLine="422"/>
      </w:pPr>
      <w:r>
        <w:rPr>
          <w:rFonts w:hint="eastAsia"/>
          <w:b/>
        </w:rPr>
        <w:t>第三十一条</w:t>
      </w:r>
      <w:r>
        <w:rPr>
          <w:rFonts w:hint="eastAsia"/>
        </w:rPr>
        <w:t>　用人单位有下列情形之一的，劳动者有权向劳动保障部门举报，也可以依法申请调解、仲裁和提起诉讼：</w:t>
      </w:r>
    </w:p>
    <w:p w14:paraId="29B12E45">
      <w:r>
        <w:rPr>
          <w:rFonts w:hint="eastAsia"/>
        </w:rPr>
        <w:t>（一）未按照约定支付工资的；</w:t>
      </w:r>
    </w:p>
    <w:p w14:paraId="5C26F04C">
      <w:r>
        <w:rPr>
          <w:rFonts w:hint="eastAsia"/>
        </w:rPr>
        <w:t>（二）低于本市最低工资标准支付工资的；</w:t>
      </w:r>
    </w:p>
    <w:p w14:paraId="7C83208E">
      <w:r>
        <w:rPr>
          <w:rFonts w:hint="eastAsia"/>
        </w:rPr>
        <w:t>（三）克扣或者无故拖欠工资的；</w:t>
      </w:r>
    </w:p>
    <w:p w14:paraId="5AE79226">
      <w:r>
        <w:rPr>
          <w:rFonts w:hint="eastAsia"/>
        </w:rPr>
        <w:t>（四）拒不支付或者不按规定支付加班工资的；</w:t>
      </w:r>
    </w:p>
    <w:p w14:paraId="169CD101">
      <w:r>
        <w:rPr>
          <w:rFonts w:hint="eastAsia"/>
        </w:rPr>
        <w:t>（五）违反工资支付规定的其他情形。</w:t>
      </w:r>
    </w:p>
    <w:p w14:paraId="6A74A85B">
      <w:r>
        <w:rPr>
          <w:rFonts w:hint="eastAsia"/>
        </w:rPr>
        <w:t>本市国家机关、事业单位和社会团体与劳动者发生有关工资支付争议申请仲裁的，由人事争议仲裁机构受理并依法裁决；对其裁决不服的，可以依法向人民法院提起诉讼。</w:t>
      </w:r>
    </w:p>
    <w:p w14:paraId="096F2E9D">
      <w:pPr>
        <w:ind w:firstLine="422"/>
      </w:pPr>
      <w:r>
        <w:rPr>
          <w:rFonts w:hint="eastAsia"/>
          <w:b/>
        </w:rPr>
        <w:t>第三十二条</w:t>
      </w:r>
      <w:r>
        <w:rPr>
          <w:rFonts w:hint="eastAsia"/>
        </w:rPr>
        <w:t>　劳动保障部门应当建立健全工资支付违法行为的举报处理制度，公布举报电话，为劳动者举报提供便利条件。</w:t>
      </w:r>
    </w:p>
    <w:p w14:paraId="3FB771EB">
      <w:r>
        <w:rPr>
          <w:rFonts w:hint="eastAsia"/>
        </w:rPr>
        <w:t>劳动保障部门接到举报后</w:t>
      </w:r>
      <w:r>
        <w:rPr>
          <w:rFonts w:hint="eastAsia" w:ascii="宋体" w:hAnsi="宋体" w:eastAsia="宋体" w:cs="宋体"/>
        </w:rPr>
        <w:t>，应当在7个工作日内作出是否立案的决定；立案后应当及时依法调查处理，并在60日内将处理结果告知举报人</w:t>
      </w:r>
      <w:r>
        <w:rPr>
          <w:rFonts w:hint="eastAsia"/>
        </w:rPr>
        <w:t>。</w:t>
      </w:r>
    </w:p>
    <w:p w14:paraId="180594C5">
      <w:pPr>
        <w:ind w:firstLine="422"/>
      </w:pPr>
      <w:r>
        <w:rPr>
          <w:rFonts w:hint="eastAsia"/>
          <w:b/>
        </w:rPr>
        <w:t>第三十三条</w:t>
      </w:r>
      <w:r>
        <w:rPr>
          <w:rFonts w:hint="eastAsia"/>
        </w:rPr>
        <w:t>　劳动争议仲裁委员会审理劳动争议案件时，对其中工资支付争议事实清楚且不及时支付会造成劳动者生活困难的，可以部分裁决先予支付。</w:t>
      </w:r>
    </w:p>
    <w:p w14:paraId="354C170D">
      <w:pPr>
        <w:ind w:firstLine="422"/>
      </w:pPr>
      <w:r>
        <w:rPr>
          <w:rFonts w:hint="eastAsia"/>
          <w:b/>
        </w:rPr>
        <w:t>第三十四条</w:t>
      </w:r>
      <w:r>
        <w:rPr>
          <w:rFonts w:hint="eastAsia"/>
        </w:rPr>
        <w:t>　市劳动保障行政部门和有关行政管理部门应当按照《北京市行政机关归集和公布企业信用信息管理办法》的规定，将用人单位及其主要负责人克扣、拖欠劳动者工资以及严重干扰、阻挠、抗拒监督检查等违法行为和处理情况，记入北京市企业信用信息系统。</w:t>
      </w:r>
    </w:p>
    <w:p w14:paraId="35375797"/>
    <w:p w14:paraId="10DF2F04">
      <w:pPr>
        <w:ind w:firstLine="0" w:firstLineChars="0"/>
        <w:jc w:val="center"/>
        <w:rPr>
          <w:b/>
          <w:sz w:val="28"/>
        </w:rPr>
      </w:pPr>
      <w:r>
        <w:rPr>
          <w:rFonts w:hint="eastAsia"/>
          <w:b/>
          <w:sz w:val="28"/>
        </w:rPr>
        <w:t>第五章　法律责任</w:t>
      </w:r>
    </w:p>
    <w:p w14:paraId="30F871AA"/>
    <w:p w14:paraId="29CD71FB">
      <w:pPr>
        <w:ind w:firstLine="422"/>
        <w:rPr>
          <w:rFonts w:hint="eastAsia" w:ascii="宋体" w:hAnsi="宋体" w:eastAsia="宋体" w:cs="宋体"/>
        </w:rPr>
      </w:pPr>
      <w:r>
        <w:rPr>
          <w:rFonts w:hint="eastAsia"/>
          <w:b/>
        </w:rPr>
        <w:t>第三十五条</w:t>
      </w:r>
      <w:r>
        <w:rPr>
          <w:rFonts w:hint="eastAsia"/>
        </w:rPr>
        <w:t>　用人单位违反本规定有下列侵害劳动者合法权益情形之一的，由劳动保障部门责令用人单位全额支付劳动者应得工资；逾期不支付的，责令用人单位按照应付金额</w:t>
      </w:r>
      <w:r>
        <w:rPr>
          <w:rFonts w:hint="eastAsia" w:ascii="宋体" w:hAnsi="宋体" w:eastAsia="宋体" w:cs="宋体"/>
        </w:rPr>
        <w:t>50%以上100%以下的标准向劳动者加付赔偿金：</w:t>
      </w:r>
    </w:p>
    <w:p w14:paraId="5BEB02BB">
      <w:r>
        <w:rPr>
          <w:rFonts w:hint="eastAsia"/>
        </w:rPr>
        <w:t>（一）克扣或者无故拖欠劳动者工资的；</w:t>
      </w:r>
    </w:p>
    <w:p w14:paraId="5DA644D3">
      <w:r>
        <w:rPr>
          <w:rFonts w:hint="eastAsia"/>
        </w:rPr>
        <w:t>（二）拒不支付劳动者加班工资的；</w:t>
      </w:r>
    </w:p>
    <w:p w14:paraId="0EBF44F5">
      <w:r>
        <w:rPr>
          <w:rFonts w:hint="eastAsia"/>
        </w:rPr>
        <w:t>（三）低于本市规定的非全日制从业人员小时最低工资标准和法定休假日小时最低工资标准支付工资的。</w:t>
      </w:r>
    </w:p>
    <w:p w14:paraId="7BA83FEE">
      <w:pPr>
        <w:ind w:firstLine="422"/>
      </w:pPr>
      <w:r>
        <w:rPr>
          <w:rFonts w:hint="eastAsia"/>
          <w:b/>
        </w:rPr>
        <w:t>第三十六条</w:t>
      </w:r>
      <w:r>
        <w:rPr>
          <w:rFonts w:hint="eastAsia"/>
        </w:rPr>
        <w:t>　用人单位制定工资支付制度违反法律、法规、规章规定的，由劳动保障部门给予警告，并责令改正；给劳动者造成损失的，应当承担赔偿责任。</w:t>
      </w:r>
    </w:p>
    <w:p w14:paraId="1F19F42E">
      <w:pPr>
        <w:ind w:firstLine="422"/>
      </w:pPr>
      <w:r>
        <w:rPr>
          <w:rFonts w:hint="eastAsia"/>
          <w:b/>
        </w:rPr>
        <w:t>第三十七条</w:t>
      </w:r>
      <w:r>
        <w:rPr>
          <w:rFonts w:hint="eastAsia"/>
        </w:rPr>
        <w:t>　用人单位违反本规定，低于本市最低工资标准支付劳动者工资的，按照《北京市最低工资规定》处理。</w:t>
      </w:r>
    </w:p>
    <w:p w14:paraId="155647ED">
      <w:pPr>
        <w:ind w:firstLine="422"/>
      </w:pPr>
      <w:r>
        <w:rPr>
          <w:rFonts w:hint="eastAsia"/>
          <w:b/>
        </w:rPr>
        <w:t>第三十八条</w:t>
      </w:r>
      <w:r>
        <w:rPr>
          <w:rFonts w:hint="eastAsia"/>
        </w:rPr>
        <w:t>　用人单位在接受劳动保障部门监督检查时，隐瞒事实真相，出具虚假工资报表，隐匿、毁灭工资支付记录、拒绝提供相关资料，以及其他严重干扰、阻挠、抗拒劳动保障部门监督检查的，劳动保障部门视其情节轻重，可以处</w:t>
      </w:r>
      <w:r>
        <w:rPr>
          <w:rFonts w:hint="eastAsia" w:ascii="宋体" w:hAnsi="宋体" w:eastAsia="宋体" w:cs="宋体"/>
        </w:rPr>
        <w:t>1000元以上1万元以下的罚款；</w:t>
      </w:r>
      <w:r>
        <w:rPr>
          <w:rFonts w:hint="eastAsia"/>
        </w:rPr>
        <w:t>构成犯罪的，依法追究刑事责任。</w:t>
      </w:r>
    </w:p>
    <w:p w14:paraId="468ABA02">
      <w:pPr>
        <w:ind w:firstLine="422"/>
      </w:pPr>
      <w:r>
        <w:rPr>
          <w:rFonts w:hint="eastAsia"/>
          <w:b/>
        </w:rPr>
        <w:t>第三十九条</w:t>
      </w:r>
      <w:r>
        <w:rPr>
          <w:rFonts w:hint="eastAsia"/>
        </w:rPr>
        <w:t>　劳动保障部门工作人员接到举报或者对用人单位违反工资支付规定、侵害劳动者权益的行为不及时查处，玩忽职守、徇私舞弊，给劳动者造成损失的，按照国家和本市有关规定给予行政处分；构成犯罪的，依法追究刑事责任。</w:t>
      </w:r>
    </w:p>
    <w:p w14:paraId="265205E7"/>
    <w:p w14:paraId="78EC9C52">
      <w:pPr>
        <w:ind w:firstLine="0" w:firstLineChars="0"/>
        <w:jc w:val="center"/>
        <w:rPr>
          <w:b/>
          <w:sz w:val="28"/>
        </w:rPr>
      </w:pPr>
      <w:r>
        <w:rPr>
          <w:rFonts w:hint="eastAsia"/>
          <w:b/>
          <w:sz w:val="28"/>
        </w:rPr>
        <w:t>第六章　附　则</w:t>
      </w:r>
    </w:p>
    <w:p w14:paraId="6661B45E"/>
    <w:p w14:paraId="68D48B2A">
      <w:pPr>
        <w:ind w:firstLine="422"/>
      </w:pPr>
      <w:r>
        <w:rPr>
          <w:rFonts w:hint="eastAsia"/>
          <w:b/>
        </w:rPr>
        <w:t>第四十条</w:t>
      </w:r>
      <w:r>
        <w:rPr>
          <w:rFonts w:hint="eastAsia"/>
        </w:rPr>
        <w:t>　本规定所称工资是指用人单位以货币形式支付给劳动者的劳动报酬，包括计时工资、计件工资、奖金、津贴和补贴、加班工资以及特殊情况下支付的工资等。</w:t>
      </w:r>
    </w:p>
    <w:p w14:paraId="0C61CD82">
      <w:pPr>
        <w:ind w:firstLine="422"/>
      </w:pPr>
      <w:r>
        <w:rPr>
          <w:rFonts w:hint="eastAsia"/>
          <w:b/>
        </w:rPr>
        <w:t>第四十一条</w:t>
      </w:r>
      <w:r>
        <w:rPr>
          <w:rFonts w:hint="eastAsia"/>
        </w:rPr>
        <w:t>　本规定中所称正常劳动是指劳动者按照劳动合同的约定，在法定工作时间内从事的劳动。</w:t>
      </w:r>
    </w:p>
    <w:p w14:paraId="066DA11A">
      <w:pPr>
        <w:ind w:firstLine="422"/>
      </w:pPr>
      <w:r>
        <w:rPr>
          <w:rFonts w:hint="eastAsia"/>
          <w:b/>
        </w:rPr>
        <w:t>第四十二条</w:t>
      </w:r>
      <w:r>
        <w:rPr>
          <w:rFonts w:hint="eastAsia"/>
        </w:rPr>
        <w:t>　克扣工资是指除本规定第十一条规定的行为外，用人单位扣减劳动者工资的行为。</w:t>
      </w:r>
    </w:p>
    <w:p w14:paraId="26DFC945">
      <w:r>
        <w:rPr>
          <w:rFonts w:hint="eastAsia"/>
        </w:rPr>
        <w:t>无故拖欠工资是指除自然灾害、战争等不可抗力以及本规定第二十六条规定情形以外，用人单位延期支付工资的行为。</w:t>
      </w:r>
    </w:p>
    <w:p w14:paraId="7EDE2ACD">
      <w:pPr>
        <w:ind w:firstLine="422"/>
        <w:rPr>
          <w:rFonts w:hint="eastAsia" w:ascii="宋体" w:hAnsi="宋体" w:eastAsia="宋体" w:cs="宋体"/>
        </w:rPr>
      </w:pPr>
      <w:r>
        <w:rPr>
          <w:rFonts w:hint="eastAsia"/>
          <w:b/>
        </w:rPr>
        <w:t>第四十三条</w:t>
      </w:r>
      <w:r>
        <w:rPr>
          <w:rFonts w:hint="eastAsia"/>
        </w:rPr>
        <w:t>　劳动者的日工资按照国家工时制度的规定，每月以平均工作时</w:t>
      </w:r>
      <w:r>
        <w:rPr>
          <w:rFonts w:hint="eastAsia" w:ascii="宋体" w:hAnsi="宋体" w:eastAsia="宋体" w:cs="宋体"/>
        </w:rPr>
        <w:t>间20.92天折算，小时工资按日工资除以8小时折算。</w:t>
      </w:r>
    </w:p>
    <w:p w14:paraId="515FAE56">
      <w:pPr>
        <w:ind w:firstLine="422"/>
      </w:pPr>
      <w:r>
        <w:rPr>
          <w:rFonts w:hint="eastAsia"/>
          <w:b/>
        </w:rPr>
        <w:t>第四十四条</w:t>
      </w:r>
      <w:r>
        <w:rPr>
          <w:rFonts w:hint="eastAsia"/>
        </w:rPr>
        <w:t>　根据本规定第十四条计算加班工资的日或者小时工资基数、根据第十九条支付劳动者休假期间工资，以及根据第二十三条第一款支付劳动者产假、计划生育手术假期间工资，应当按照下列原则确定：</w:t>
      </w:r>
    </w:p>
    <w:p w14:paraId="18350E22">
      <w:bookmarkStart w:id="2251" w:name="_Toc428780585"/>
      <w:r>
        <w:rPr>
          <w:rFonts w:hint="eastAsia"/>
        </w:rPr>
        <w:t>（一）按照劳动合同约定的劳动者本人工资标准确定；</w:t>
      </w:r>
      <w:bookmarkEnd w:id="2251"/>
    </w:p>
    <w:p w14:paraId="57A1D25F">
      <w:r>
        <w:rPr>
          <w:rFonts w:hint="eastAsia"/>
        </w:rPr>
        <w:t>（二）劳动合同没有约定的，按照集体合同约定的加班工资基数以及休假期间工资标准确定；</w:t>
      </w:r>
    </w:p>
    <w:p w14:paraId="43BE66CB">
      <w:r>
        <w:rPr>
          <w:rFonts w:hint="eastAsia"/>
        </w:rPr>
        <w:t>（三）劳动合同、集体合同均未约定的，按照劳动者本人正常劳动应得的工资确定。</w:t>
      </w:r>
    </w:p>
    <w:p w14:paraId="07368FE7">
      <w:r>
        <w:rPr>
          <w:rFonts w:hint="eastAsia"/>
        </w:rPr>
        <w:t>依照前款确定的加班工资基数以及各种假期工资不得低于本市规定的最低工资标准。</w:t>
      </w:r>
    </w:p>
    <w:p w14:paraId="0F449973">
      <w:pPr>
        <w:ind w:firstLine="422"/>
        <w:rPr>
          <w:rFonts w:hint="eastAsia" w:ascii="宋体" w:hAnsi="宋体" w:eastAsia="宋体" w:cs="宋体"/>
        </w:rPr>
      </w:pPr>
      <w:r>
        <w:rPr>
          <w:rFonts w:hint="eastAsia"/>
          <w:b/>
        </w:rPr>
        <w:t>第四十五条</w:t>
      </w:r>
      <w:r>
        <w:rPr>
          <w:rFonts w:hint="eastAsia"/>
        </w:rPr>
        <w:t>　本规</w:t>
      </w:r>
      <w:r>
        <w:rPr>
          <w:rFonts w:hint="eastAsia" w:ascii="宋体" w:hAnsi="宋体" w:eastAsia="宋体" w:cs="宋体"/>
        </w:rPr>
        <w:t>定自2004年1月22日起施行。1994年11月16日市人民政府第25号令发布、根据1997年12月31日市人民政府第12号令修改的《北京市最低工资规定》第九条同时废止。</w:t>
      </w:r>
    </w:p>
    <w:p w14:paraId="4F935872">
      <w:pPr>
        <w:pStyle w:val="3"/>
        <w:pageBreakBefore/>
      </w:pPr>
      <w:bookmarkStart w:id="2252" w:name="_Toc428781836"/>
      <w:bookmarkStart w:id="2253" w:name="_Toc426467088"/>
      <w:bookmarkStart w:id="2254" w:name="_Toc428780586"/>
      <w:r>
        <w:rPr>
          <w:rFonts w:hint="eastAsia"/>
        </w:rPr>
        <w:t>（九）城市管理</w:t>
      </w:r>
      <w:bookmarkEnd w:id="2252"/>
      <w:bookmarkEnd w:id="2253"/>
      <w:bookmarkEnd w:id="2254"/>
    </w:p>
    <w:p w14:paraId="5EB07068"/>
    <w:p w14:paraId="5E5D0137">
      <w:pPr>
        <w:pStyle w:val="4"/>
      </w:pPr>
      <w:bookmarkStart w:id="2255" w:name="_Toc428780587"/>
      <w:bookmarkStart w:id="2256" w:name="_Toc426467089"/>
      <w:bookmarkStart w:id="2257" w:name="_Toc428781837"/>
      <w:r>
        <w:rPr>
          <w:rFonts w:hint="eastAsia"/>
        </w:rPr>
        <w:t>北京市市容环境卫生条例</w:t>
      </w:r>
      <w:bookmarkEnd w:id="2255"/>
      <w:bookmarkEnd w:id="2256"/>
      <w:bookmarkEnd w:id="2257"/>
    </w:p>
    <w:p w14:paraId="0F4D86ED">
      <w:pPr>
        <w:ind w:left="630" w:leftChars="300" w:right="630" w:rightChars="300"/>
        <w:rPr>
          <w:rFonts w:ascii="楷体" w:hAnsi="楷体" w:eastAsia="楷体"/>
        </w:rPr>
      </w:pPr>
      <w:r>
        <w:rPr>
          <w:rFonts w:hint="eastAsia" w:ascii="楷体" w:hAnsi="楷体" w:eastAsia="楷体"/>
        </w:rPr>
        <w:t>（2002年9月6日北京市第十一届人民代表大会常务委员会第三十六次会议通过　根据2006年12月8日北京市第十二届人民代表大会常务委员会第三十三次会议《关于修改〈北京市市容环境卫生条例〉的决定》修正）</w:t>
      </w:r>
    </w:p>
    <w:p w14:paraId="18AC7BA8"/>
    <w:p w14:paraId="3E760760">
      <w:pPr>
        <w:ind w:firstLine="0" w:firstLineChars="0"/>
        <w:jc w:val="center"/>
        <w:rPr>
          <w:b/>
          <w:sz w:val="28"/>
        </w:rPr>
      </w:pPr>
      <w:r>
        <w:rPr>
          <w:rFonts w:hint="eastAsia"/>
          <w:b/>
          <w:sz w:val="28"/>
        </w:rPr>
        <w:t>第一章　总　则</w:t>
      </w:r>
    </w:p>
    <w:p w14:paraId="40B3D57E"/>
    <w:p w14:paraId="729E4B11">
      <w:pPr>
        <w:ind w:firstLine="422"/>
      </w:pPr>
      <w:r>
        <w:rPr>
          <w:rFonts w:hint="eastAsia"/>
          <w:b/>
        </w:rPr>
        <w:t>第一条</w:t>
      </w:r>
      <w:r>
        <w:rPr>
          <w:rFonts w:hint="eastAsia"/>
        </w:rPr>
        <w:t xml:space="preserve">  为了加强市容环境卫生工作，创造整洁、优美、文明的生活和工作环境，保障人民身体健康，根据国家有关法律、法规，结合本市实际情况，制定本条例。</w:t>
      </w:r>
    </w:p>
    <w:p w14:paraId="758D2295">
      <w:pPr>
        <w:ind w:firstLine="422"/>
      </w:pPr>
      <w:r>
        <w:rPr>
          <w:rFonts w:hint="eastAsia"/>
          <w:b/>
        </w:rPr>
        <w:t>第二条</w:t>
      </w:r>
      <w:r>
        <w:rPr>
          <w:rFonts w:hint="eastAsia"/>
        </w:rPr>
        <w:t xml:space="preserve">  本市行政区域内市容环境卫生工作适用本条例。</w:t>
      </w:r>
    </w:p>
    <w:p w14:paraId="7A91C9CF">
      <w:r>
        <w:rPr>
          <w:rFonts w:hint="eastAsia"/>
        </w:rPr>
        <w:t>本条例所称城镇地区，是指《北京城市总体规划》确定的中心城、新城、建制镇。</w:t>
      </w:r>
    </w:p>
    <w:p w14:paraId="74E95D84">
      <w:pPr>
        <w:ind w:firstLine="422"/>
      </w:pPr>
      <w:r>
        <w:rPr>
          <w:rFonts w:hint="eastAsia"/>
          <w:b/>
        </w:rPr>
        <w:t>第三条</w:t>
      </w:r>
      <w:r>
        <w:rPr>
          <w:rFonts w:hint="eastAsia"/>
        </w:rPr>
        <w:t xml:space="preserve">  本市各级人民政府应当加强对市容环境卫生工作的领导、组织、协调和监督。</w:t>
      </w:r>
    </w:p>
    <w:p w14:paraId="13206E28">
      <w:r>
        <w:rPr>
          <w:rFonts w:hint="eastAsia"/>
        </w:rPr>
        <w:t>本市各级人民政府应当将市容环境卫生事业纳入国民经济和社会发展计划，保证市容环境卫生事业发展的需要，使市容环境卫生事业与本市经济和社会发展相适应。</w:t>
      </w:r>
    </w:p>
    <w:p w14:paraId="7FBE27EC">
      <w:pPr>
        <w:ind w:firstLine="422"/>
      </w:pPr>
      <w:r>
        <w:rPr>
          <w:rFonts w:hint="eastAsia"/>
          <w:b/>
        </w:rPr>
        <w:t>第四条</w:t>
      </w:r>
      <w:r>
        <w:rPr>
          <w:rFonts w:hint="eastAsia"/>
        </w:rPr>
        <w:t xml:space="preserve">  市市政管理行政部门主管本市市容环境卫生工作，负责本条例的组织实施。</w:t>
      </w:r>
    </w:p>
    <w:p w14:paraId="61BCBC4F">
      <w:r>
        <w:rPr>
          <w:rFonts w:hint="eastAsia"/>
        </w:rPr>
        <w:t>区、县市政管理行政部门负责本行政区域内的市容环境卫生管理工作。</w:t>
      </w:r>
    </w:p>
    <w:p w14:paraId="3A021561">
      <w:r>
        <w:rPr>
          <w:rFonts w:hint="eastAsia"/>
        </w:rPr>
        <w:t>乡、民族乡、镇人民政府和街道办事处负责本辖区的市容环境卫生管理工作。</w:t>
      </w:r>
    </w:p>
    <w:p w14:paraId="17B15876">
      <w:r>
        <w:rPr>
          <w:rFonts w:hint="eastAsia"/>
        </w:rPr>
        <w:t>本市各级人民政府的有关行政管理部门按照规定的职责，依法对市容环境卫生工作进行管理。</w:t>
      </w:r>
    </w:p>
    <w:p w14:paraId="37723AF5">
      <w:pPr>
        <w:ind w:firstLine="422"/>
      </w:pPr>
      <w:r>
        <w:rPr>
          <w:rFonts w:hint="eastAsia"/>
          <w:b/>
        </w:rPr>
        <w:t>第五条</w:t>
      </w:r>
      <w:r>
        <w:rPr>
          <w:rFonts w:hint="eastAsia"/>
        </w:rPr>
        <w:t xml:space="preserve">  本市市容环境卫生工作实行统一领导、区县为主、分级管理和公众参与、社会监督的原则。</w:t>
      </w:r>
    </w:p>
    <w:p w14:paraId="2AC7AE63">
      <w:pPr>
        <w:ind w:firstLine="422"/>
      </w:pPr>
      <w:r>
        <w:rPr>
          <w:rFonts w:hint="eastAsia"/>
          <w:b/>
        </w:rPr>
        <w:t>第六条</w:t>
      </w:r>
      <w:r>
        <w:rPr>
          <w:rFonts w:hint="eastAsia"/>
        </w:rPr>
        <w:t xml:space="preserve">  市政管理行政部门和广播电视、新闻出版、教育、文化、卫生等部门，应当加强市容环境卫生宣传教育工作，不断提高公民的市容环境卫生意识。</w:t>
      </w:r>
    </w:p>
    <w:p w14:paraId="3D67F532">
      <w:r>
        <w:rPr>
          <w:rFonts w:hint="eastAsia"/>
        </w:rPr>
        <w:t>广播、电视、报刊等宣传媒体和公共场所的广告应当安排市容环境卫生方面的公益性宣传内容。</w:t>
      </w:r>
    </w:p>
    <w:p w14:paraId="5FAA8428">
      <w:pPr>
        <w:ind w:firstLine="422"/>
      </w:pPr>
      <w:r>
        <w:rPr>
          <w:rFonts w:hint="eastAsia"/>
          <w:b/>
        </w:rPr>
        <w:t>第七条</w:t>
      </w:r>
      <w:r>
        <w:rPr>
          <w:rFonts w:hint="eastAsia"/>
        </w:rPr>
        <w:t xml:space="preserve">  维护市容环境卫生，是全社会的共同责任。</w:t>
      </w:r>
    </w:p>
    <w:p w14:paraId="48EA2B43">
      <w:r>
        <w:rPr>
          <w:rFonts w:hint="eastAsia"/>
        </w:rPr>
        <w:t>任何单位和个人都有享受整洁优美市容环境的权利，同时负有维护市容环境卫生、爱护环境卫生设施的义务；对损害、破坏市容环境卫生的行为有权劝阻和举报。</w:t>
      </w:r>
    </w:p>
    <w:p w14:paraId="085BA13C">
      <w:pPr>
        <w:ind w:firstLine="422"/>
      </w:pPr>
      <w:r>
        <w:rPr>
          <w:rFonts w:hint="eastAsia"/>
          <w:b/>
        </w:rPr>
        <w:t>第八条</w:t>
      </w:r>
      <w:r>
        <w:rPr>
          <w:rFonts w:hint="eastAsia"/>
        </w:rPr>
        <w:t xml:space="preserve">  本市提倡和鼓励居（村）民委员会组织居（村）民制定维护市容环境卫生的公约，动员居（村）民积极参加市容环境卫生治理工作，创建整洁、优美、文明的环境。</w:t>
      </w:r>
    </w:p>
    <w:p w14:paraId="124F24E0">
      <w:pPr>
        <w:ind w:firstLine="422"/>
      </w:pPr>
      <w:r>
        <w:rPr>
          <w:rFonts w:hint="eastAsia"/>
          <w:b/>
        </w:rPr>
        <w:t>第九条</w:t>
      </w:r>
      <w:r>
        <w:rPr>
          <w:rFonts w:hint="eastAsia"/>
        </w:rPr>
        <w:t xml:space="preserve">  本市对在市容环境卫生工作中作出显著成绩的单位和个人给予表彰和奖励。</w:t>
      </w:r>
    </w:p>
    <w:p w14:paraId="5AB01F88">
      <w:pPr>
        <w:ind w:firstLine="422"/>
      </w:pPr>
      <w:r>
        <w:rPr>
          <w:rFonts w:hint="eastAsia"/>
          <w:b/>
        </w:rPr>
        <w:t>第十条</w:t>
      </w:r>
      <w:r>
        <w:rPr>
          <w:rFonts w:hint="eastAsia"/>
        </w:rPr>
        <w:t xml:space="preserve">  本市城市管理综合执法部门按照授权的范围，依法对本条例规定的市容环境卫生违法行为实施行政处罚。</w:t>
      </w:r>
    </w:p>
    <w:p w14:paraId="2E71B452">
      <w:pPr>
        <w:ind w:firstLine="422"/>
      </w:pPr>
      <w:r>
        <w:rPr>
          <w:rFonts w:hint="eastAsia"/>
          <w:b/>
        </w:rPr>
        <w:t>第十一条</w:t>
      </w:r>
      <w:r>
        <w:rPr>
          <w:rFonts w:hint="eastAsia"/>
        </w:rPr>
        <w:t xml:space="preserve">  行政管理部门和城市管理综合执法部门及其工作人员应当依法行政，行政行为应当符合法定职权和法定程序。</w:t>
      </w:r>
    </w:p>
    <w:p w14:paraId="5A3522DB">
      <w:r>
        <w:rPr>
          <w:rFonts w:hint="eastAsia"/>
        </w:rPr>
        <w:t>行政管理部门和城市管理综合执法部门实行执法责任制度和过错追究制度。</w:t>
      </w:r>
    </w:p>
    <w:p w14:paraId="68E575F7">
      <w:r>
        <w:rPr>
          <w:rFonts w:hint="eastAsia"/>
        </w:rPr>
        <w:t>本市各级人民政府监察机关依法对行政管理部门和城市管理综合执法部门及其工作人员实施行政监察。</w:t>
      </w:r>
    </w:p>
    <w:p w14:paraId="45678DB4">
      <w:pPr>
        <w:ind w:firstLine="422"/>
      </w:pPr>
      <w:r>
        <w:rPr>
          <w:rFonts w:hint="eastAsia"/>
          <w:b/>
        </w:rPr>
        <w:t>第十二条</w:t>
      </w:r>
      <w:r>
        <w:rPr>
          <w:rFonts w:hint="eastAsia"/>
        </w:rPr>
        <w:t xml:space="preserve">  行政管理部门和城市管理综合执法部门及其工作人员应当积极履行管理和监督职责；对于单位和个人举报或者投诉的损害市容环境卫生的行为，应当依法及时处理。</w:t>
      </w:r>
    </w:p>
    <w:p w14:paraId="0A33E5F5">
      <w:r>
        <w:rPr>
          <w:rFonts w:hint="eastAsia"/>
        </w:rPr>
        <w:t>不履行法定职责的，由所在单位或者上级主管部门对直接负责的主管人员和其他直接责任人员依法给予行政处分。</w:t>
      </w:r>
    </w:p>
    <w:p w14:paraId="59C81AB5">
      <w:pPr>
        <w:ind w:firstLine="422"/>
      </w:pPr>
      <w:r>
        <w:rPr>
          <w:rFonts w:hint="eastAsia"/>
          <w:b/>
        </w:rPr>
        <w:t>第十三条</w:t>
      </w:r>
      <w:r>
        <w:rPr>
          <w:rFonts w:hint="eastAsia"/>
        </w:rPr>
        <w:t xml:space="preserve">  行政管理部门和城市管理综合执法部门及其工作人员在市容环境卫生管理工作中不得滥用职权，损害公民、法人或者其他组织的合法权益。</w:t>
      </w:r>
    </w:p>
    <w:p w14:paraId="071EAC64">
      <w:r>
        <w:rPr>
          <w:rFonts w:hint="eastAsia"/>
        </w:rPr>
        <w:t>违反前款规定的，由所在单位或者上级主管部门对直接负责的主管人员和其他直接责任人员依法给予行政处分；给当事人造成损失的，应当依法给予赔偿；构成犯罪的，依法追究刑事责任。</w:t>
      </w:r>
    </w:p>
    <w:p w14:paraId="31F6F29E"/>
    <w:p w14:paraId="3393CB15">
      <w:pPr>
        <w:ind w:firstLine="0" w:firstLineChars="0"/>
        <w:jc w:val="center"/>
        <w:rPr>
          <w:b/>
          <w:sz w:val="28"/>
        </w:rPr>
      </w:pPr>
      <w:r>
        <w:rPr>
          <w:rFonts w:hint="eastAsia"/>
          <w:b/>
          <w:sz w:val="28"/>
        </w:rPr>
        <w:t>第二章  市容环境卫生事业发展</w:t>
      </w:r>
    </w:p>
    <w:p w14:paraId="02276BB7"/>
    <w:p w14:paraId="4BC24A56">
      <w:pPr>
        <w:ind w:firstLine="422"/>
      </w:pPr>
      <w:r>
        <w:rPr>
          <w:rFonts w:hint="eastAsia"/>
          <w:b/>
        </w:rPr>
        <w:t>第十四条</w:t>
      </w:r>
      <w:r>
        <w:rPr>
          <w:rFonts w:hint="eastAsia"/>
        </w:rPr>
        <w:t>　本市按照保护历史文化名城和建设现代化国际大都市的要求，确定市容环境卫生事业的发展目标，建立科学、完备的管理体系、基础设施体系和专业作业服务体系，健全信息化城市管理系统。</w:t>
      </w:r>
    </w:p>
    <w:p w14:paraId="0148D4F9">
      <w:r>
        <w:rPr>
          <w:rFonts w:hint="eastAsia"/>
        </w:rPr>
        <w:t xml:space="preserve">市容环境卫生事业应当逐步实现环境卫生设施建设和专业作业服务的市场化、社会化。    </w:t>
      </w:r>
      <w:r>
        <w:rPr>
          <w:rFonts w:hint="eastAsia"/>
          <w:b/>
        </w:rPr>
        <w:t>第十五条</w:t>
      </w:r>
      <w:r>
        <w:rPr>
          <w:rFonts w:hint="eastAsia"/>
        </w:rPr>
        <w:t>　市市政管理行政部门应当会同市人民政府有关部门，根据《北京城市总体规划》，组织编制市容环境卫生设施建设专业规划、环境卫生设施建设定额指标和设置标准，报市人民政府批准后实施。</w:t>
      </w:r>
    </w:p>
    <w:p w14:paraId="27F56AF4">
      <w:pPr>
        <w:ind w:firstLine="422"/>
      </w:pPr>
      <w:r>
        <w:rPr>
          <w:rFonts w:hint="eastAsia"/>
          <w:b/>
        </w:rPr>
        <w:t>第十六条</w:t>
      </w:r>
      <w:r>
        <w:rPr>
          <w:rFonts w:hint="eastAsia"/>
        </w:rPr>
        <w:t>　市市政管理行政部门应当会同有关部门，根据实际需要，制定本市的环境建设规划、容貌景观标准和环境卫生标准，报市人民政府批准后实施。</w:t>
      </w:r>
    </w:p>
    <w:p w14:paraId="0FF00F9C">
      <w:r>
        <w:rPr>
          <w:rFonts w:hint="eastAsia"/>
        </w:rPr>
        <w:t>对市容环境卫生有特殊要求的道路和地区，区、县人民政府可以制定严于本市规定的容貌景观标准和环境卫生标准，并公布实施。</w:t>
      </w:r>
    </w:p>
    <w:p w14:paraId="4A172358">
      <w:pPr>
        <w:ind w:firstLine="422"/>
      </w:pPr>
      <w:r>
        <w:rPr>
          <w:rFonts w:hint="eastAsia"/>
          <w:b/>
        </w:rPr>
        <w:t>第十七条</w:t>
      </w:r>
      <w:r>
        <w:rPr>
          <w:rFonts w:hint="eastAsia"/>
        </w:rPr>
        <w:t>　本市各级人民政府应当支持市容环境卫生事业的科学技术研究，鼓励市容环境卫生科学技术和先进管理经验的推广、应用，改善市容环境卫生劳动作业条件，提高市容环境卫生水平。</w:t>
      </w:r>
    </w:p>
    <w:p w14:paraId="009D0654">
      <w:pPr>
        <w:ind w:firstLine="422"/>
      </w:pPr>
      <w:r>
        <w:rPr>
          <w:rFonts w:hint="eastAsia"/>
          <w:b/>
        </w:rPr>
        <w:t>第十八条</w:t>
      </w:r>
      <w:r>
        <w:rPr>
          <w:rFonts w:hint="eastAsia"/>
        </w:rPr>
        <w:t>　市人民政府应当制定积极的产业政策和措施，推动环境卫生产业的发展。</w:t>
      </w:r>
    </w:p>
    <w:p w14:paraId="18A6FAB3">
      <w:pPr>
        <w:ind w:firstLine="422"/>
      </w:pPr>
      <w:r>
        <w:rPr>
          <w:rFonts w:hint="eastAsia"/>
          <w:b/>
        </w:rPr>
        <w:t>第十九条</w:t>
      </w:r>
      <w:r>
        <w:rPr>
          <w:rFonts w:hint="eastAsia"/>
        </w:rPr>
        <w:t>　本市市容环境卫生设施建设应当以政府投资为基础，鼓励公民、法人或者其他组织投资，建立多元化的投资融资机制，并依法保障投资者的合法权益。</w:t>
      </w:r>
    </w:p>
    <w:p w14:paraId="22497799">
      <w:pPr>
        <w:spacing w:line="300" w:lineRule="exact"/>
        <w:ind w:firstLine="0" w:firstLineChars="0"/>
      </w:pPr>
    </w:p>
    <w:p w14:paraId="13130216">
      <w:pPr>
        <w:ind w:firstLine="0" w:firstLineChars="0"/>
        <w:jc w:val="center"/>
        <w:rPr>
          <w:b/>
          <w:sz w:val="28"/>
        </w:rPr>
      </w:pPr>
      <w:r>
        <w:rPr>
          <w:rFonts w:hint="eastAsia"/>
          <w:b/>
          <w:sz w:val="28"/>
        </w:rPr>
        <w:t>第三章  市容环境卫生责任</w:t>
      </w:r>
    </w:p>
    <w:p w14:paraId="0AEBE3B9">
      <w:pPr>
        <w:spacing w:line="300" w:lineRule="exact"/>
        <w:ind w:firstLine="0" w:firstLineChars="0"/>
      </w:pPr>
    </w:p>
    <w:p w14:paraId="3BE68DFD">
      <w:pPr>
        <w:ind w:firstLine="422"/>
      </w:pPr>
      <w:r>
        <w:rPr>
          <w:rFonts w:hint="eastAsia"/>
          <w:b/>
        </w:rPr>
        <w:t>第二十条</w:t>
      </w:r>
      <w:r>
        <w:rPr>
          <w:rFonts w:hint="eastAsia"/>
        </w:rPr>
        <w:t>　市和区、县市政管理行政部门应当履行下列职责：</w:t>
      </w:r>
    </w:p>
    <w:p w14:paraId="1C37ABD5">
      <w:bookmarkStart w:id="2258" w:name="_Toc428780588"/>
      <w:r>
        <w:rPr>
          <w:rFonts w:hint="eastAsia"/>
        </w:rPr>
        <w:t>（一）编制本行政区域内的市容环境卫生工作计划；</w:t>
      </w:r>
      <w:bookmarkEnd w:id="2258"/>
    </w:p>
    <w:p w14:paraId="764091A1">
      <w:r>
        <w:rPr>
          <w:rFonts w:hint="eastAsia"/>
        </w:rPr>
        <w:t>（二）制定环境卫生专业作业标准和规范；</w:t>
      </w:r>
    </w:p>
    <w:p w14:paraId="06480DDB">
      <w:r>
        <w:rPr>
          <w:rFonts w:hint="eastAsia"/>
        </w:rPr>
        <w:t>（三）组织落实市容环境卫生工作；</w:t>
      </w:r>
    </w:p>
    <w:p w14:paraId="4FB52602">
      <w:r>
        <w:rPr>
          <w:rFonts w:hint="eastAsia"/>
        </w:rPr>
        <w:t>（四）组织市容环境卫生的监督检查工作。</w:t>
      </w:r>
    </w:p>
    <w:p w14:paraId="7E86E201">
      <w:pPr>
        <w:ind w:firstLine="422"/>
      </w:pPr>
      <w:r>
        <w:rPr>
          <w:rFonts w:hint="eastAsia"/>
          <w:b/>
        </w:rPr>
        <w:t>第二十一条</w:t>
      </w:r>
      <w:r>
        <w:rPr>
          <w:rFonts w:hint="eastAsia"/>
        </w:rPr>
        <w:t>　本市实行市容环境卫生责任制度。单位和个人应当做好市容环境卫生责任区内的市容环境卫生工作。</w:t>
      </w:r>
    </w:p>
    <w:p w14:paraId="42FB6F12">
      <w:r>
        <w:rPr>
          <w:rFonts w:hint="eastAsia"/>
        </w:rPr>
        <w:t>市容环境卫生责任区是指单位和个人所有、使用或者管理的建筑物、构筑物或者其他设施、场所及其一定范围内的区域。</w:t>
      </w:r>
    </w:p>
    <w:p w14:paraId="55C960E5">
      <w:pPr>
        <w:ind w:firstLine="422"/>
      </w:pPr>
      <w:r>
        <w:rPr>
          <w:rFonts w:hint="eastAsia"/>
          <w:b/>
        </w:rPr>
        <w:t>第二十二条</w:t>
      </w:r>
      <w:r>
        <w:rPr>
          <w:rFonts w:hint="eastAsia"/>
        </w:rPr>
        <w:t>　市容环境卫生责任人的确定原则是：建筑物、构筑物或者设施、场所由所有权人负责；所有权人、管理人、使用人之间约定管理责任的，由约定的责任人负责。</w:t>
      </w:r>
    </w:p>
    <w:p w14:paraId="4FF21BEA">
      <w:r>
        <w:rPr>
          <w:rFonts w:hint="eastAsia"/>
        </w:rPr>
        <w:t>下列区域的责任人按照如下规定确定：</w:t>
      </w:r>
    </w:p>
    <w:p w14:paraId="43B84447">
      <w:r>
        <w:rPr>
          <w:rFonts w:hint="eastAsia"/>
        </w:rPr>
        <w:t>（一）城市道路及其人行过街桥、人行地下过街通道等附属设施由道路维修养护单位和清扫专业作业单位根据职责分工负责；其中新建、改建、扩建施工中的和未经验收边施工边通车的道路，由建设单位负责。</w:t>
      </w:r>
    </w:p>
    <w:p w14:paraId="5F99CCA9">
      <w:r>
        <w:rPr>
          <w:rFonts w:hint="eastAsia"/>
        </w:rPr>
        <w:t>（二）居住地区，包括胡同、街巷、住宅小区等，由街道办事处或者乡镇人民政府负责；实行物业管理的，由物业管理单位负责。居民应当按照规定交纳保洁费用。</w:t>
      </w:r>
    </w:p>
    <w:p w14:paraId="0831DE40">
      <w:r>
        <w:rPr>
          <w:rFonts w:hint="eastAsia"/>
        </w:rPr>
        <w:t>（三）集贸市场、展览展销等场所，由经营管理单位负责。</w:t>
      </w:r>
    </w:p>
    <w:p w14:paraId="6188E607">
      <w:r>
        <w:rPr>
          <w:rFonts w:hint="eastAsia"/>
        </w:rPr>
        <w:t>（四）公路、铁路及其管理范围，由经营管理单位负责。</w:t>
      </w:r>
    </w:p>
    <w:p w14:paraId="34189529">
      <w:r>
        <w:rPr>
          <w:rFonts w:hint="eastAsia"/>
        </w:rPr>
        <w:t>（五）河湖及其管理范围，由河湖管理单位负责。</w:t>
      </w:r>
    </w:p>
    <w:p w14:paraId="12687926">
      <w:r>
        <w:rPr>
          <w:rFonts w:hint="eastAsia"/>
        </w:rPr>
        <w:t>（六）建设工地的施工现场由施工单位负责；尚未施工的，由建设单位负责。</w:t>
      </w:r>
    </w:p>
    <w:p w14:paraId="7C8653E6">
      <w:r>
        <w:rPr>
          <w:rFonts w:hint="eastAsia"/>
        </w:rPr>
        <w:t>（七）城市绿地由管理养护单位负责。</w:t>
      </w:r>
    </w:p>
    <w:p w14:paraId="614E4C9B">
      <w:r>
        <w:rPr>
          <w:rFonts w:hint="eastAsia"/>
        </w:rPr>
        <w:t>（八）风景名胜区由管理单位负责。</w:t>
      </w:r>
    </w:p>
    <w:p w14:paraId="3A448B6D">
      <w:r>
        <w:rPr>
          <w:rFonts w:hint="eastAsia"/>
        </w:rPr>
        <w:t>（九）机关、团体、部队、学校和企事业单位的周边区域，由本单位负责。</w:t>
      </w:r>
    </w:p>
    <w:p w14:paraId="77B63E18">
      <w:r>
        <w:rPr>
          <w:rFonts w:hint="eastAsia"/>
        </w:rPr>
        <w:t>市容环境卫生责任人不明确的，由所在的区、县人民政府确定；跨区、县的，由市人民政府确定。</w:t>
      </w:r>
    </w:p>
    <w:p w14:paraId="424CADF2">
      <w:r>
        <w:rPr>
          <w:rFonts w:hint="eastAsia"/>
        </w:rPr>
        <w:t>市容环境卫生责任区的具体范围，按照市人民政府的有关规定划定。</w:t>
      </w:r>
    </w:p>
    <w:p w14:paraId="7577A5C6">
      <w:pPr>
        <w:ind w:firstLine="422"/>
      </w:pPr>
      <w:r>
        <w:rPr>
          <w:rFonts w:hint="eastAsia"/>
          <w:b/>
        </w:rPr>
        <w:t>第二十三条</w:t>
      </w:r>
      <w:r>
        <w:rPr>
          <w:rFonts w:hint="eastAsia"/>
        </w:rPr>
        <w:t>　城镇地区内市容环境卫生责任区的责任标准是：</w:t>
      </w:r>
    </w:p>
    <w:p w14:paraId="2BD6BE71">
      <w:r>
        <w:rPr>
          <w:rFonts w:hint="eastAsia"/>
        </w:rPr>
        <w:t>（一）保持市容整洁，无乱设摊、乱搭建、乱张贴、乱涂写、乱刻画、乱吊挂、乱堆放等行为；</w:t>
      </w:r>
    </w:p>
    <w:p w14:paraId="5E2ADED5">
      <w:r>
        <w:rPr>
          <w:rFonts w:hint="eastAsia"/>
        </w:rPr>
        <w:t>（二）保持环境卫生整洁，无暴露垃圾、粪便、污水，无污迹，无渣土，按照规定扫雪铲冰；</w:t>
      </w:r>
    </w:p>
    <w:p w14:paraId="04B25AD7">
      <w:r>
        <w:rPr>
          <w:rFonts w:hint="eastAsia"/>
        </w:rPr>
        <w:t>（三）保持环境卫生设施的整洁、完好。</w:t>
      </w:r>
    </w:p>
    <w:p w14:paraId="3B4DB8E5">
      <w:r>
        <w:rPr>
          <w:rFonts w:hint="eastAsia"/>
        </w:rPr>
        <w:t>农村地区市容环境卫生责任区的责任标准由市市政管理行政部门会同市农村工作等有关行政部门制定。</w:t>
      </w:r>
    </w:p>
    <w:p w14:paraId="54D8BCBD">
      <w:r>
        <w:rPr>
          <w:rFonts w:hint="eastAsia"/>
        </w:rPr>
        <w:t>责任人对在市容环境卫生责任区内发生的损害、破坏市容环境卫生的行为，有权予以劝阻、制止并要求城市管理综合执法部门查处。</w:t>
      </w:r>
    </w:p>
    <w:p w14:paraId="5E335436">
      <w:pPr>
        <w:ind w:firstLine="422"/>
      </w:pPr>
      <w:r>
        <w:rPr>
          <w:rFonts w:hint="eastAsia"/>
          <w:b/>
        </w:rPr>
        <w:t>第二十四条</w:t>
      </w:r>
      <w:r>
        <w:rPr>
          <w:rFonts w:hint="eastAsia"/>
        </w:rPr>
        <w:t>　市容环境卫生责任区的具体范围和责任要求，由区、县市政管理行政部门书面告知责任人。</w:t>
      </w:r>
    </w:p>
    <w:p w14:paraId="0B702C53">
      <w:pPr>
        <w:rPr>
          <w:rFonts w:hint="eastAsia" w:ascii="宋体" w:hAnsi="宋体" w:eastAsia="宋体" w:cs="宋体"/>
        </w:rPr>
      </w:pPr>
      <w:r>
        <w:rPr>
          <w:rFonts w:hint="eastAsia"/>
        </w:rPr>
        <w:t>市容环境卫生责任人应当按照规定的要求履行维护市容环境卫生责任。违反规定的，责令改正</w:t>
      </w:r>
      <w:r>
        <w:rPr>
          <w:rFonts w:hint="eastAsia" w:ascii="宋体" w:hAnsi="宋体" w:eastAsia="宋体" w:cs="宋体"/>
        </w:rPr>
        <w:t>，并处200元以上1000元以下罚款。</w:t>
      </w:r>
    </w:p>
    <w:p w14:paraId="36F11423">
      <w:pPr>
        <w:ind w:firstLine="422"/>
      </w:pPr>
      <w:r>
        <w:rPr>
          <w:rFonts w:hint="eastAsia"/>
          <w:b/>
        </w:rPr>
        <w:t>第二十五条</w:t>
      </w:r>
      <w:r>
        <w:rPr>
          <w:rFonts w:hint="eastAsia"/>
        </w:rPr>
        <w:t>　市政管理行政部门应当建立市容环境卫生责任的考评制度，并组织检查。</w:t>
      </w:r>
    </w:p>
    <w:p w14:paraId="1BAA0B03"/>
    <w:p w14:paraId="2F4F677C">
      <w:pPr>
        <w:ind w:firstLine="0" w:firstLineChars="0"/>
        <w:jc w:val="center"/>
        <w:rPr>
          <w:b/>
          <w:sz w:val="28"/>
        </w:rPr>
      </w:pPr>
      <w:r>
        <w:rPr>
          <w:rFonts w:hint="eastAsia"/>
          <w:b/>
          <w:sz w:val="28"/>
        </w:rPr>
        <w:t>第四章  城市容貌</w:t>
      </w:r>
    </w:p>
    <w:p w14:paraId="531A307E">
      <w:pPr>
        <w:ind w:firstLine="0" w:firstLineChars="0"/>
        <w:jc w:val="center"/>
        <w:rPr>
          <w:b/>
          <w:sz w:val="28"/>
        </w:rPr>
      </w:pPr>
    </w:p>
    <w:p w14:paraId="33D09AD2">
      <w:pPr>
        <w:ind w:firstLine="0" w:firstLineChars="0"/>
        <w:jc w:val="center"/>
        <w:rPr>
          <w:sz w:val="28"/>
        </w:rPr>
      </w:pPr>
      <w:r>
        <w:rPr>
          <w:rFonts w:hint="eastAsia"/>
          <w:sz w:val="28"/>
        </w:rPr>
        <w:t>第一节  建筑物、构筑物</w:t>
      </w:r>
    </w:p>
    <w:p w14:paraId="7A0A2F31"/>
    <w:p w14:paraId="2A9BEBE1">
      <w:pPr>
        <w:ind w:firstLine="422"/>
      </w:pPr>
      <w:r>
        <w:rPr>
          <w:rFonts w:hint="eastAsia"/>
          <w:b/>
        </w:rPr>
        <w:t>第二十六条</w:t>
      </w:r>
      <w:r>
        <w:rPr>
          <w:rFonts w:hint="eastAsia"/>
        </w:rPr>
        <w:t>　建筑物、构筑物的容貌应当符合以下规定：</w:t>
      </w:r>
    </w:p>
    <w:p w14:paraId="21CAB473">
      <w:r>
        <w:rPr>
          <w:rFonts w:hint="eastAsia"/>
        </w:rPr>
        <w:t>（一）建筑物、构筑物的体量、造型、色调和风格应当与周围景观相协调。</w:t>
      </w:r>
    </w:p>
    <w:p w14:paraId="0593900F">
      <w:r>
        <w:rPr>
          <w:rFonts w:hint="eastAsia"/>
        </w:rPr>
        <w:t>（二）不得擅自改变建筑物原设计风格、色调。</w:t>
      </w:r>
    </w:p>
    <w:p w14:paraId="62C06371">
      <w:r>
        <w:rPr>
          <w:rFonts w:hint="eastAsia"/>
        </w:rPr>
        <w:t>（三）不得擅自在临街的建筑物上插挂彩旗、加装灯饰以及其他装饰物。</w:t>
      </w:r>
    </w:p>
    <w:p w14:paraId="6F52589D">
      <w:r>
        <w:rPr>
          <w:rFonts w:hint="eastAsia"/>
        </w:rPr>
        <w:t>（四）建筑物、构筑物外立面应当保持整洁和完好，并按照本市有关规定定期粉刷、修饰。</w:t>
      </w:r>
    </w:p>
    <w:p w14:paraId="4BE1FB2B">
      <w:r>
        <w:rPr>
          <w:rFonts w:hint="eastAsia"/>
        </w:rPr>
        <w:t>（五）建筑物顶部、外走廊等应保持整洁、无堆物堆料；主要街道两侧和重点地区的建筑物的顶部、阳台外和窗外不得设置不符合容貌景观标准的设施，不得吊挂、晾晒和摆放物品，平台、阳台内堆放的物品不得超出护栏的高度，并保持整洁。主要街道和重点地区的范围由市人民政府确定并公布。</w:t>
      </w:r>
    </w:p>
    <w:p w14:paraId="5927091E">
      <w:r>
        <w:rPr>
          <w:rFonts w:hint="eastAsia"/>
        </w:rPr>
        <w:t>（六）新建、改建建筑物，应当按照设计标准统一设置阳台和窗户的护栏、空调设备托架、公用电视接收系统等设施；现有建筑物设置的护栏、空调设备托架、公用电视接收系统等设施没有达到要求的，应当逐步改装或者拆除。</w:t>
      </w:r>
    </w:p>
    <w:p w14:paraId="6CDD5FD1">
      <w:r>
        <w:rPr>
          <w:rFonts w:hint="eastAsia"/>
        </w:rPr>
        <w:t>违反前款第（三）项、第（五）项规定的，责令限期改正；逾期不改正的，强制拆除或者清除，并可</w:t>
      </w:r>
      <w:r>
        <w:rPr>
          <w:rFonts w:hint="eastAsia" w:ascii="宋体" w:hAnsi="宋体" w:eastAsia="宋体" w:cs="宋体"/>
        </w:rPr>
        <w:t>处50元以上500元以下罚款。违反前</w:t>
      </w:r>
      <w:r>
        <w:rPr>
          <w:rFonts w:hint="eastAsia"/>
        </w:rPr>
        <w:t>款第（四）项规定的，由区、县人民政府责令限期改正；逾期不改正的，委托专业企业按照规定代为粉刷、修饰，所需费用由责任人承担；对不支付费用的，可以依法申请人民法院执行。</w:t>
      </w:r>
    </w:p>
    <w:p w14:paraId="756915CD">
      <w:pPr>
        <w:ind w:firstLine="422"/>
        <w:rPr>
          <w:rFonts w:hint="eastAsia" w:ascii="宋体" w:hAnsi="宋体" w:eastAsia="宋体" w:cs="宋体"/>
        </w:rPr>
      </w:pPr>
      <w:r>
        <w:rPr>
          <w:rFonts w:hint="eastAsia"/>
          <w:b/>
        </w:rPr>
        <w:t>第二十七条</w:t>
      </w:r>
      <w:r>
        <w:rPr>
          <w:rFonts w:hint="eastAsia"/>
        </w:rPr>
        <w:t>　对未经批准建设的影响市容的建筑物、构筑物或者其他设施，由城市管理综合执法部门责令限期拆除；逾期未拆除的，经市或者区、县人民政府批准后，予以强制拆除，并可对建筑物按照建筑面积处每平</w:t>
      </w:r>
      <w:r>
        <w:rPr>
          <w:rFonts w:hint="eastAsia" w:ascii="宋体" w:hAnsi="宋体" w:eastAsia="宋体" w:cs="宋体"/>
        </w:rPr>
        <w:t>方米300元以上3000元以下罚款，可对构筑物、其他设施处工程造价1倍的罚款。</w:t>
      </w:r>
    </w:p>
    <w:p w14:paraId="077495CA">
      <w:r>
        <w:rPr>
          <w:rFonts w:hint="eastAsia" w:ascii="宋体" w:hAnsi="宋体" w:eastAsia="宋体" w:cs="宋体"/>
        </w:rPr>
        <w:t>对未经批准正在建设的影响市容的建筑物、构筑物或者其他设施，城</w:t>
      </w:r>
      <w:r>
        <w:rPr>
          <w:rFonts w:hint="eastAsia"/>
        </w:rPr>
        <w:t>市管理综合执法部门可以查封、暂扣其施工工具和设备，并依照前款规定予以处理。</w:t>
      </w:r>
    </w:p>
    <w:p w14:paraId="1D5501C0">
      <w:r>
        <w:rPr>
          <w:rFonts w:hint="eastAsia"/>
        </w:rPr>
        <w:t>未经批准建设的影响市容的建筑物、构筑物或者其他设施，无法确定其所有人和管理人的，城市管理综合执法部门应当在公共媒体以及建筑物、构筑物或者其他设施的所在地发布公告，督促所有权人或者管理人改正违法行为。公告期间不得少于</w:t>
      </w:r>
      <w:r>
        <w:rPr>
          <w:rFonts w:hint="eastAsia" w:ascii="宋体" w:hAnsi="宋体" w:eastAsia="宋体" w:cs="宋体"/>
        </w:rPr>
        <w:t>15</w:t>
      </w:r>
      <w:r>
        <w:rPr>
          <w:rFonts w:hint="eastAsia"/>
        </w:rPr>
        <w:t>日。公告期间届满，未改正违法行为的，由城市管理综合执法部门报经市或者区、县人民政府批准后予以强制拆除。</w:t>
      </w:r>
    </w:p>
    <w:p w14:paraId="159E4190">
      <w:r>
        <w:rPr>
          <w:rFonts w:hint="eastAsia"/>
        </w:rPr>
        <w:t>对未经批准建设的影响市容的建筑物、构筑物或者其他设施，供水、供电、供气、供热等企业不得提供服务；从事经营活动的，有关主管部门不得办理相关证照。对参与建设的工程设计单位和施工单位，由规划、建设行政主管部门依照有关规定予以处理。</w:t>
      </w:r>
    </w:p>
    <w:p w14:paraId="0F74007F">
      <w:pPr>
        <w:ind w:firstLine="422"/>
      </w:pPr>
      <w:r>
        <w:rPr>
          <w:rFonts w:hint="eastAsia"/>
          <w:b/>
        </w:rPr>
        <w:t>第二十八条</w:t>
      </w:r>
      <w:r>
        <w:rPr>
          <w:rFonts w:hint="eastAsia"/>
        </w:rPr>
        <w:t>　在主要道路及其他公共场所设置建筑小品、雕塑等建筑景观的，应当与周围景观相协调，并按照规定定期维护。出现破旧、污损的，应当及时粉刷、修饰。</w:t>
      </w:r>
    </w:p>
    <w:p w14:paraId="4DA7C367">
      <w:pPr>
        <w:ind w:firstLine="422"/>
      </w:pPr>
      <w:r>
        <w:rPr>
          <w:rFonts w:hint="eastAsia"/>
          <w:b/>
        </w:rPr>
        <w:t>第二十九条</w:t>
      </w:r>
      <w:r>
        <w:rPr>
          <w:rFonts w:hint="eastAsia"/>
        </w:rPr>
        <w:t>　街道两侧的建筑物前，应当按照本市容貌景观标准的要求，选用透景、半透景的围墙、栅栏或者绿篱、花坛（池）、草坪等作为分界并保持整洁、美观。</w:t>
      </w:r>
    </w:p>
    <w:p w14:paraId="5C20B93F"/>
    <w:p w14:paraId="754365A3">
      <w:pPr>
        <w:ind w:firstLine="0" w:firstLineChars="0"/>
        <w:jc w:val="center"/>
        <w:rPr>
          <w:sz w:val="28"/>
        </w:rPr>
      </w:pPr>
      <w:r>
        <w:rPr>
          <w:rFonts w:hint="eastAsia"/>
          <w:sz w:val="28"/>
        </w:rPr>
        <w:t>第二节  道路及其相关设施</w:t>
      </w:r>
    </w:p>
    <w:p w14:paraId="5A264718"/>
    <w:p w14:paraId="372B52BC">
      <w:pPr>
        <w:ind w:firstLine="422"/>
      </w:pPr>
      <w:r>
        <w:rPr>
          <w:rFonts w:hint="eastAsia"/>
          <w:b/>
        </w:rPr>
        <w:t>第三十条</w:t>
      </w:r>
      <w:r>
        <w:rPr>
          <w:rFonts w:hint="eastAsia"/>
        </w:rPr>
        <w:t>　道路及其附属设施的容貌应当符合下列规定：</w:t>
      </w:r>
    </w:p>
    <w:p w14:paraId="6158C120">
      <w:r>
        <w:rPr>
          <w:rFonts w:hint="eastAsia"/>
        </w:rPr>
        <w:t>（一）保持道路路面和人行步道平整，保持道缘石、无障碍设施完好；出现破损、短缺的，应当及时修复。</w:t>
      </w:r>
    </w:p>
    <w:p w14:paraId="742A3DC6">
      <w:r>
        <w:rPr>
          <w:rFonts w:hint="eastAsia"/>
        </w:rPr>
        <w:t>（二）保持立交桥、人行过街桥、人行地下过街通道整洁、完好。</w:t>
      </w:r>
    </w:p>
    <w:p w14:paraId="62524ED7">
      <w:r>
        <w:rPr>
          <w:rFonts w:hint="eastAsia"/>
        </w:rPr>
        <w:t>（三）保持道路和桥梁上设置的隔离墩、防护栏、防护墙、隔音板和照明、排水等设施整洁、完好、有效；出现破旧、污损的，应当及时清洗、修复、更换。</w:t>
      </w:r>
    </w:p>
    <w:p w14:paraId="1B94DF41">
      <w:pPr>
        <w:ind w:firstLine="422"/>
      </w:pPr>
      <w:r>
        <w:rPr>
          <w:rFonts w:hint="eastAsia"/>
          <w:b/>
        </w:rPr>
        <w:t>第三十一条</w:t>
      </w:r>
      <w:r>
        <w:rPr>
          <w:rFonts w:hint="eastAsia"/>
        </w:rPr>
        <w:t>　在道路上设置的井盖、雨箅，应当保持完好。出现损坏、丢失、移位的，所有权人或者维护管理单位应当立即采取设置警示标志、护栏等临时防护措施并及时维修、更换。</w:t>
      </w:r>
    </w:p>
    <w:p w14:paraId="7E5EC7C4">
      <w:r>
        <w:rPr>
          <w:rFonts w:hint="eastAsia"/>
        </w:rPr>
        <w:t>违反前款规定的，责令改正，并可</w:t>
      </w:r>
      <w:r>
        <w:rPr>
          <w:rFonts w:hint="eastAsia" w:ascii="宋体" w:hAnsi="宋体" w:eastAsia="宋体" w:cs="宋体"/>
        </w:rPr>
        <w:t>处200元以上2000元以</w:t>
      </w:r>
      <w:r>
        <w:rPr>
          <w:rFonts w:hint="eastAsia"/>
        </w:rPr>
        <w:t>下罚款。公路范围内违法行为的行政处罚由交通行政管理部门依法负责实施。</w:t>
      </w:r>
    </w:p>
    <w:p w14:paraId="0382C0CB">
      <w:pPr>
        <w:ind w:firstLine="422"/>
      </w:pPr>
      <w:r>
        <w:rPr>
          <w:rFonts w:hint="eastAsia"/>
          <w:b/>
        </w:rPr>
        <w:t>第三十二条</w:t>
      </w:r>
      <w:r>
        <w:rPr>
          <w:rFonts w:hint="eastAsia"/>
        </w:rPr>
        <w:t>　在道路及其他公共场所设置的各类设施，应当协调美观。</w:t>
      </w:r>
    </w:p>
    <w:p w14:paraId="39383386">
      <w:r>
        <w:rPr>
          <w:rFonts w:hint="eastAsia"/>
        </w:rPr>
        <w:t>市市政管理行政部门应当会同规划、公安交通、路政、园林绿化、电信、邮政等有关部门，制定公共场所各类设施的设置规划和设置标准，报市人民政府批准后实施。</w:t>
      </w:r>
    </w:p>
    <w:p w14:paraId="568BAE7E">
      <w:pPr>
        <w:ind w:firstLine="422"/>
      </w:pPr>
      <w:r>
        <w:rPr>
          <w:rFonts w:hint="eastAsia"/>
          <w:b/>
        </w:rPr>
        <w:t>第三十三条</w:t>
      </w:r>
      <w:r>
        <w:rPr>
          <w:rFonts w:hint="eastAsia"/>
        </w:rPr>
        <w:t>　需要在道路及其他公共场所设置邮政、电信、信息、环境卫生等设施的，应当向市政管理行政部门提出申请，经市政管理行政部门组织有关部门审查批准后，方可设置。设施的目录，由市市政管理行政部门向社会公布。</w:t>
      </w:r>
    </w:p>
    <w:p w14:paraId="27C208A6">
      <w:r>
        <w:rPr>
          <w:rFonts w:hint="eastAsia"/>
        </w:rPr>
        <w:t>现有设施不符合规划的，市政管理行政部门应当会同有关部门制定改造方案，逐步达到规定标准。</w:t>
      </w:r>
    </w:p>
    <w:p w14:paraId="4B04D70C">
      <w:r>
        <w:rPr>
          <w:rFonts w:hint="eastAsia"/>
        </w:rPr>
        <w:t>违反第一款规定，未经批准或者未按照批准的要求在公共场所设置各类设施的，由城市管理综合执法部门责令限期拆除，逾期未拆除的，报经市或者区、县人民政府批准后，强制拆除。</w:t>
      </w:r>
    </w:p>
    <w:p w14:paraId="7C488509">
      <w:pPr>
        <w:ind w:firstLine="422"/>
      </w:pPr>
      <w:r>
        <w:rPr>
          <w:rFonts w:hint="eastAsia"/>
          <w:b/>
        </w:rPr>
        <w:t>第三十四条</w:t>
      </w:r>
      <w:r>
        <w:rPr>
          <w:rFonts w:hint="eastAsia"/>
        </w:rPr>
        <w:t>　在道路及其他公共场所设置的交通、电信、邮政、电力、环境卫生等各类设施，应当保持完好和整洁美观。出现破旧、污损或者丢失的，所有权人或者维护单位应当及时维修、更换、清洗或者补设。违反规定的，责令限期改正，</w:t>
      </w:r>
      <w:r>
        <w:rPr>
          <w:rFonts w:hint="eastAsia" w:ascii="宋体" w:hAnsi="宋体" w:eastAsia="宋体" w:cs="宋体"/>
        </w:rPr>
        <w:t>并可处500元以上5000</w:t>
      </w:r>
      <w:r>
        <w:rPr>
          <w:rFonts w:hint="eastAsia"/>
        </w:rPr>
        <w:t>元以下罚款。</w:t>
      </w:r>
    </w:p>
    <w:p w14:paraId="5ADC9C39">
      <w:pPr>
        <w:ind w:firstLine="422"/>
      </w:pPr>
      <w:r>
        <w:rPr>
          <w:rFonts w:hint="eastAsia"/>
          <w:b/>
        </w:rPr>
        <w:t>第三十五条</w:t>
      </w:r>
      <w:r>
        <w:rPr>
          <w:rFonts w:hint="eastAsia"/>
        </w:rPr>
        <w:t>　任何单位和个人不得擅自占用城市道路、人行过街桥、人行地下过街通道及其他公共场所堆物堆料、摆摊设点，影响市容环境卫生。</w:t>
      </w:r>
    </w:p>
    <w:p w14:paraId="5C3E21C6">
      <w:r>
        <w:rPr>
          <w:rFonts w:hint="eastAsia"/>
        </w:rPr>
        <w:t>经批准临时占用城市道路、广场等公共场所举办文化、商业等活动的，应当保持公共场所整洁，举办单位应当按照要求设置环境卫生设施，及时清除产生的垃圾等废弃物；举办活动结束，应当及时清除设置的设施。</w:t>
      </w:r>
    </w:p>
    <w:p w14:paraId="4EF29E58">
      <w:r>
        <w:rPr>
          <w:rFonts w:hint="eastAsia"/>
        </w:rPr>
        <w:t>临街的商业、饮食业等行业的经营者不得超出门、窗进行店外经营。</w:t>
      </w:r>
    </w:p>
    <w:p w14:paraId="56FC5022">
      <w:r>
        <w:rPr>
          <w:rFonts w:hint="eastAsia"/>
        </w:rPr>
        <w:t>机动车、非机动车辆应当按照规定停放。</w:t>
      </w:r>
    </w:p>
    <w:p w14:paraId="44F8562B">
      <w:pPr>
        <w:rPr>
          <w:rFonts w:hint="eastAsia" w:ascii="宋体" w:hAnsi="宋体" w:eastAsia="宋体" w:cs="宋体"/>
        </w:rPr>
      </w:pPr>
      <w:r>
        <w:rPr>
          <w:rFonts w:hint="eastAsia"/>
        </w:rPr>
        <w:t>违反第一款规定的，责令改正，没收违法所得和非法财物，并可</w:t>
      </w:r>
      <w:r>
        <w:rPr>
          <w:rFonts w:hint="eastAsia" w:ascii="宋体" w:hAnsi="宋体" w:eastAsia="宋体" w:cs="宋体"/>
        </w:rPr>
        <w:t>处500元以上5000元以下的罚款；对在城市道路及其他公共场所堆放的影响市容的物品无法确认其所有人和管理人的，城市管理综合执法部门应当在公共媒体以及物品所在地发布公告，督促物品所有人或者管理人履行责任。公告期间不得少于7日。公告期间届满无人认领的，城市管理综合执法部门可以对违法堆放的物品予以清除。违反第二款规定的，责令改正，并可处1000元以上1万元以下罚款。违反第三款规定的，责令改正，并可处300元以上3000元以下罚款。</w:t>
      </w:r>
    </w:p>
    <w:p w14:paraId="4389573D">
      <w:pPr>
        <w:ind w:firstLine="422"/>
      </w:pPr>
      <w:r>
        <w:rPr>
          <w:rFonts w:hint="eastAsia"/>
          <w:b/>
        </w:rPr>
        <w:t>第三十六条</w:t>
      </w:r>
      <w:r>
        <w:rPr>
          <w:rFonts w:hint="eastAsia"/>
        </w:rPr>
        <w:t>　未经批准不得在城市道路上空或者建筑物、构筑物之间架设管线设施。</w:t>
      </w:r>
    </w:p>
    <w:p w14:paraId="646B26D4">
      <w:r>
        <w:rPr>
          <w:rFonts w:hint="eastAsia"/>
        </w:rPr>
        <w:t>禁止在城市道路及其他公共场所的护栏、电线杆、树木、绿篱等处晾晒衣物或者吊挂物品。</w:t>
      </w:r>
    </w:p>
    <w:p w14:paraId="42BBC961">
      <w:r>
        <w:rPr>
          <w:rFonts w:hint="eastAsia"/>
        </w:rPr>
        <w:t>违反第一款规定的，责令限期</w:t>
      </w:r>
      <w:r>
        <w:rPr>
          <w:rFonts w:hint="eastAsia" w:ascii="宋体" w:hAnsi="宋体" w:eastAsia="宋体" w:cs="宋体"/>
        </w:rPr>
        <w:t>改正，并可处300元以上3000元以下罚款；违反第二款规定的，责令改正，并可处20元以上50元以下罚款。公路范</w:t>
      </w:r>
      <w:r>
        <w:rPr>
          <w:rFonts w:hint="eastAsia"/>
        </w:rPr>
        <w:t>围内违法行为的行政处罚由交通行政管理部门依法负责实施。</w:t>
      </w:r>
    </w:p>
    <w:p w14:paraId="134F77FF">
      <w:pPr>
        <w:ind w:firstLine="422"/>
      </w:pPr>
      <w:r>
        <w:rPr>
          <w:rFonts w:hint="eastAsia"/>
          <w:b/>
        </w:rPr>
        <w:t>第三十七条</w:t>
      </w:r>
      <w:r>
        <w:rPr>
          <w:rFonts w:hint="eastAsia"/>
        </w:rPr>
        <w:t>　禁止擅自挖掘道路。</w:t>
      </w:r>
    </w:p>
    <w:p w14:paraId="03DE5269">
      <w:r>
        <w:rPr>
          <w:rFonts w:hint="eastAsia"/>
        </w:rPr>
        <w:t>经批准挖掘道路的，应当按照规定的时间和要求施工，不得擅自延长工期，竣工后应当及时清理现场，恢复原状。</w:t>
      </w:r>
    </w:p>
    <w:p w14:paraId="2ECDC5FF"/>
    <w:p w14:paraId="3F8ED6B6">
      <w:pPr>
        <w:ind w:firstLine="0" w:firstLineChars="0"/>
        <w:jc w:val="center"/>
        <w:rPr>
          <w:sz w:val="28"/>
        </w:rPr>
      </w:pPr>
      <w:r>
        <w:rPr>
          <w:rFonts w:hint="eastAsia"/>
          <w:sz w:val="28"/>
        </w:rPr>
        <w:t>第三节  户外广告和牌匾标识</w:t>
      </w:r>
    </w:p>
    <w:p w14:paraId="0409C921"/>
    <w:p w14:paraId="2CB060B3">
      <w:pPr>
        <w:ind w:firstLine="422"/>
      </w:pPr>
      <w:r>
        <w:rPr>
          <w:rFonts w:hint="eastAsia"/>
          <w:b/>
        </w:rPr>
        <w:t>第三十八条</w:t>
      </w:r>
      <w:r>
        <w:rPr>
          <w:rFonts w:hint="eastAsia"/>
        </w:rPr>
        <w:t>　本市对户外广告设施实行统一规划。户外广告应当按照设置专业规划的规定进行设置，并应当符合户外广告设施安全技术标准。</w:t>
      </w:r>
    </w:p>
    <w:p w14:paraId="60333EF5">
      <w:r>
        <w:rPr>
          <w:rFonts w:hint="eastAsia"/>
        </w:rPr>
        <w:t>违反规定的，由城市管理综合执法部门责令限期拆除，逾期未拆除的，强制拆除，并可处</w:t>
      </w:r>
      <w:r>
        <w:rPr>
          <w:rFonts w:hint="eastAsia" w:ascii="宋体" w:hAnsi="宋体" w:eastAsia="宋体" w:cs="宋体"/>
        </w:rPr>
        <w:t>1万元以上10万元以下罚款。无法确定其所有人和管理人的，城市管理综合执法部门应当在公共媒体以及户外广告的所在地发布公告，督促所有权人或者管理人改正违法行为。公告期间不得少于15日。公告期间届满，</w:t>
      </w:r>
      <w:r>
        <w:rPr>
          <w:rFonts w:hint="eastAsia"/>
        </w:rPr>
        <w:t>未改正违法行为的，由城市管理综合执法部门予以强制拆除。</w:t>
      </w:r>
    </w:p>
    <w:p w14:paraId="355A845E">
      <w:pPr>
        <w:ind w:firstLine="422"/>
      </w:pPr>
      <w:r>
        <w:rPr>
          <w:rFonts w:hint="eastAsia"/>
          <w:b/>
        </w:rPr>
        <w:t>第三十九条</w:t>
      </w:r>
      <w:r>
        <w:rPr>
          <w:rFonts w:hint="eastAsia"/>
        </w:rPr>
        <w:t>　设置户外广告，应当遵守以下规定：</w:t>
      </w:r>
    </w:p>
    <w:p w14:paraId="2CE2EC23">
      <w:r>
        <w:rPr>
          <w:rFonts w:hint="eastAsia"/>
        </w:rPr>
        <w:t>（一）保持安全牢固、完好整洁，无空置，无破损、污迹和严重褪色等；</w:t>
      </w:r>
    </w:p>
    <w:p w14:paraId="0D1563F2">
      <w:r>
        <w:rPr>
          <w:rFonts w:hint="eastAsia"/>
        </w:rPr>
        <w:t>（二）保持霓虹灯、电子显示屏（牌）、灯箱等载体形式的户外广告显示完整，不断亮、不残损。</w:t>
      </w:r>
    </w:p>
    <w:p w14:paraId="31B46247">
      <w:r>
        <w:rPr>
          <w:rFonts w:hint="eastAsia"/>
        </w:rPr>
        <w:t>违反前款规定的，责令限期改</w:t>
      </w:r>
      <w:r>
        <w:rPr>
          <w:rFonts w:hint="eastAsia" w:ascii="宋体" w:hAnsi="宋体" w:eastAsia="宋体" w:cs="宋体"/>
        </w:rPr>
        <w:t>正，并可处500元以上5000元以下罚款；霓虹灯</w:t>
      </w:r>
      <w:r>
        <w:rPr>
          <w:rFonts w:hint="eastAsia"/>
        </w:rPr>
        <w:t>、电子显示屏、灯箱等断亮、残损的，在修复前应当停止使用。</w:t>
      </w:r>
    </w:p>
    <w:p w14:paraId="7CDFA631">
      <w:pPr>
        <w:ind w:firstLine="422"/>
      </w:pPr>
      <w:r>
        <w:rPr>
          <w:rFonts w:hint="eastAsia"/>
          <w:b/>
        </w:rPr>
        <w:t>第四十条</w:t>
      </w:r>
      <w:r>
        <w:rPr>
          <w:rFonts w:hint="eastAsia"/>
        </w:rPr>
        <w:t>　机关、团体、部队、院校、企事业单位和其他组织及个体工商户的名称、字号、标志等牌匾标识，应当按照本市牌匾标识设置规范规定的位置、体量、数量等要求进行设置，与周围景观相协调。违反规定的，由城市管理综合执法部门责令限期改正，逾期不改正的，予以强制拆除，并可</w:t>
      </w:r>
      <w:r>
        <w:rPr>
          <w:rFonts w:hint="eastAsia" w:ascii="宋体" w:hAnsi="宋体" w:eastAsia="宋体" w:cs="宋体"/>
        </w:rPr>
        <w:t>处500元以上5000元以下</w:t>
      </w:r>
      <w:r>
        <w:rPr>
          <w:rFonts w:hint="eastAsia"/>
        </w:rPr>
        <w:t>罚款。</w:t>
      </w:r>
    </w:p>
    <w:p w14:paraId="7515F4EF">
      <w:r>
        <w:rPr>
          <w:rFonts w:hint="eastAsia"/>
        </w:rPr>
        <w:t>牌匾标识的设置应牢固安全、整洁美观，照明和显亮设施功能完好，不断亮、不残损。牌匾标识画面污损、字体残缺、灯光显示不完整等影响市容的，应当及时维修或者更换。违反规定的，责令停止使用，限期修复，并可处</w:t>
      </w:r>
      <w:r>
        <w:rPr>
          <w:rFonts w:hint="eastAsia" w:ascii="宋体" w:hAnsi="宋体" w:eastAsia="宋体" w:cs="宋体"/>
        </w:rPr>
        <w:t>500元以上5000</w:t>
      </w:r>
      <w:r>
        <w:rPr>
          <w:rFonts w:hint="eastAsia"/>
        </w:rPr>
        <w:t>元以下罚款。</w:t>
      </w:r>
    </w:p>
    <w:p w14:paraId="0C9752F5"/>
    <w:p w14:paraId="76097024">
      <w:pPr>
        <w:ind w:firstLine="0" w:firstLineChars="0"/>
        <w:jc w:val="center"/>
        <w:rPr>
          <w:sz w:val="28"/>
        </w:rPr>
      </w:pPr>
      <w:r>
        <w:rPr>
          <w:rFonts w:hint="eastAsia"/>
          <w:sz w:val="28"/>
        </w:rPr>
        <w:t>第四节  标语和宣传品</w:t>
      </w:r>
    </w:p>
    <w:p w14:paraId="1EDD9F35"/>
    <w:p w14:paraId="675A677B">
      <w:pPr>
        <w:ind w:firstLine="422"/>
      </w:pPr>
      <w:r>
        <w:rPr>
          <w:rFonts w:hint="eastAsia"/>
          <w:b/>
        </w:rPr>
        <w:t>第四十一条</w:t>
      </w:r>
      <w:r>
        <w:rPr>
          <w:rFonts w:hint="eastAsia"/>
        </w:rPr>
        <w:t>　在公共场所设置标语、宣传品的，应当按照市政管理行政部门批准的范围、地点、数量、规格、内容和期限设置。</w:t>
      </w:r>
    </w:p>
    <w:p w14:paraId="189DB5EF">
      <w:r>
        <w:rPr>
          <w:rFonts w:hint="eastAsia"/>
        </w:rPr>
        <w:t>禁止在重要地区利用交通、照明、电力、通信、邮政等公用设施设置标语、宣传品，但在国家政治、外交和举办重大活动期间需要设置的，由市人民政府决定。重要地区的范围由市人民政府确定并公布。</w:t>
      </w:r>
    </w:p>
    <w:p w14:paraId="65AD6D69">
      <w:r>
        <w:rPr>
          <w:rFonts w:hint="eastAsia"/>
        </w:rPr>
        <w:t>违反第一款、第二款规定的，责令限期改正，并可</w:t>
      </w:r>
      <w:r>
        <w:rPr>
          <w:rFonts w:hint="eastAsia" w:ascii="宋体" w:hAnsi="宋体" w:eastAsia="宋体" w:cs="宋体"/>
        </w:rPr>
        <w:t>处500元以上5000</w:t>
      </w:r>
      <w:r>
        <w:rPr>
          <w:rFonts w:hint="eastAsia"/>
        </w:rPr>
        <w:t>以下罚款。</w:t>
      </w:r>
    </w:p>
    <w:p w14:paraId="540ACF5F">
      <w:pPr>
        <w:ind w:firstLine="422"/>
      </w:pPr>
      <w:r>
        <w:rPr>
          <w:rFonts w:hint="eastAsia"/>
          <w:b/>
        </w:rPr>
        <w:t>第四十二条</w:t>
      </w:r>
      <w:r>
        <w:rPr>
          <w:rFonts w:hint="eastAsia"/>
        </w:rPr>
        <w:t>　乡镇人民政府和街道办事处应当在胡同、街巷和住宅小区等处选择适当地点组织设置公共信息栏，为发布信息者提供方便，并负责管理和保洁。</w:t>
      </w:r>
    </w:p>
    <w:p w14:paraId="00A3008B">
      <w:pPr>
        <w:ind w:firstLine="422"/>
        <w:rPr>
          <w:rFonts w:hint="eastAsia" w:ascii="宋体" w:hAnsi="宋体" w:eastAsia="宋体" w:cs="宋体"/>
        </w:rPr>
      </w:pPr>
      <w:r>
        <w:rPr>
          <w:rFonts w:hint="eastAsia"/>
          <w:b/>
        </w:rPr>
        <w:t>第四十三条</w:t>
      </w:r>
      <w:r>
        <w:rPr>
          <w:rFonts w:hint="eastAsia"/>
        </w:rPr>
        <w:t>　任何人不得擅自在公共场所散发、悬挂、张贴宣传品、广告，不得在建筑物、构筑物等处刻画、涂写、喷涂标语及宣传品、广告。违反规定的，责令清除，没收非法财物和违法所得，并</w:t>
      </w:r>
      <w:r>
        <w:rPr>
          <w:rFonts w:hint="eastAsia" w:ascii="宋体" w:hAnsi="宋体" w:eastAsia="宋体" w:cs="宋体"/>
        </w:rPr>
        <w:t>处100元以上1000元以下罚款；情节严重的，处1000元以上1万元以下罚款。</w:t>
      </w:r>
    </w:p>
    <w:p w14:paraId="5CBD9A26">
      <w:pPr>
        <w:rPr>
          <w:rFonts w:hint="eastAsia" w:ascii="宋体" w:hAnsi="宋体" w:eastAsia="宋体" w:cs="宋体"/>
        </w:rPr>
      </w:pPr>
      <w:r>
        <w:rPr>
          <w:rFonts w:hint="eastAsia"/>
        </w:rPr>
        <w:t>擅自利用或者组织张贴、涂写、刻画、喷涂、散发标语、宣传品和广告进行宣传的，没收非法财物和违法所得，并</w:t>
      </w:r>
      <w:r>
        <w:rPr>
          <w:rFonts w:hint="eastAsia" w:ascii="宋体" w:hAnsi="宋体" w:eastAsia="宋体" w:cs="宋体"/>
        </w:rPr>
        <w:t>处1万元以上10万元以下罚款；情节严重的，处10万元以上50万元以下罚款。</w:t>
      </w:r>
    </w:p>
    <w:p w14:paraId="27605C8E">
      <w:r>
        <w:rPr>
          <w:rFonts w:hint="eastAsia" w:ascii="宋体" w:hAnsi="宋体" w:eastAsia="宋体" w:cs="宋体"/>
        </w:rPr>
        <w:t>在违法张挂、张贴、涂写、刻画、喷涂、散发的标语、宣传品和广告中标明其通信工具</w:t>
      </w:r>
      <w:r>
        <w:rPr>
          <w:rFonts w:hint="eastAsia"/>
        </w:rPr>
        <w:t>号码的，城市管理综合执法部门通知违法行为人到指定地点接受处理，并通知电信部门暂停该通信工具号码的使用，有关电信部门应当在接到通知后予以暂停使用。违法行为人接受处理的，城市管理综合执法部门应当及时通知有关电信部门予以恢复使用。暂停及重新开通号码等所需费用由违法行为人承担。</w:t>
      </w:r>
    </w:p>
    <w:p w14:paraId="0D0E77D7">
      <w:r>
        <w:rPr>
          <w:rFonts w:hint="eastAsia"/>
        </w:rPr>
        <w:t>标语、宣传品和广告的内容违反公安、工商行政、卫生等方面法律、法规的，城市管理综合执法部门的执法人员应当及时移送主管部门进行处理。</w:t>
      </w:r>
    </w:p>
    <w:p w14:paraId="3C089DF7">
      <w:r>
        <w:rPr>
          <w:rFonts w:hint="eastAsia"/>
        </w:rPr>
        <w:t>公安、工商行政、卫生等行政管理部门对于标语、宣传品和广告的内容违反法律、法规的，应当依法处理；构成犯罪的，依法追究刑事责任。</w:t>
      </w:r>
    </w:p>
    <w:p w14:paraId="372914C1"/>
    <w:p w14:paraId="4219532F">
      <w:pPr>
        <w:ind w:firstLine="0" w:firstLineChars="0"/>
        <w:jc w:val="center"/>
        <w:rPr>
          <w:sz w:val="28"/>
        </w:rPr>
      </w:pPr>
      <w:r>
        <w:rPr>
          <w:rFonts w:hint="eastAsia"/>
          <w:sz w:val="28"/>
        </w:rPr>
        <w:t>第五节  夜景照明</w:t>
      </w:r>
    </w:p>
    <w:p w14:paraId="497E2D77"/>
    <w:p w14:paraId="264B9987">
      <w:pPr>
        <w:ind w:firstLine="422"/>
      </w:pPr>
      <w:r>
        <w:rPr>
          <w:rFonts w:hint="eastAsia"/>
          <w:b/>
        </w:rPr>
        <w:t>第四十四条</w:t>
      </w:r>
      <w:r>
        <w:rPr>
          <w:rFonts w:hint="eastAsia"/>
        </w:rPr>
        <w:t xml:space="preserve">　本市夜景照明总体规划和实施方案，由市市政管理行政部门会同市规划行政管理部门共同制定，报市人民政府批准后组织实施。 </w:t>
      </w:r>
    </w:p>
    <w:p w14:paraId="02B52F49">
      <w:r>
        <w:rPr>
          <w:rFonts w:hint="eastAsia"/>
        </w:rPr>
        <w:t>区、县夜景照明规划应当根据本市夜景照明总体规划制定，并报市市政管理行政部门备案。</w:t>
      </w:r>
    </w:p>
    <w:p w14:paraId="141EC513">
      <w:pPr>
        <w:ind w:firstLine="422"/>
      </w:pPr>
      <w:r>
        <w:rPr>
          <w:rFonts w:hint="eastAsia"/>
          <w:b/>
        </w:rPr>
        <w:t>第四十五条</w:t>
      </w:r>
      <w:r>
        <w:rPr>
          <w:rFonts w:hint="eastAsia"/>
        </w:rPr>
        <w:t>　本市夜景照明规划区域内的建筑物、构筑物、道路、广场、绿地等，应当按照规划要求建设夜景照明设施夜景照明建设方案，应当按照规定经市或者区、县市政管理行政部门审核同意后，方可实施。</w:t>
      </w:r>
    </w:p>
    <w:p w14:paraId="7E76CB43">
      <w:r>
        <w:rPr>
          <w:rFonts w:hint="eastAsia"/>
        </w:rPr>
        <w:t>本市对夜景照明设施实行供用电优惠政策，鼓励夜景照明设施的建设和开启。</w:t>
      </w:r>
    </w:p>
    <w:p w14:paraId="673DAA78">
      <w:r>
        <w:rPr>
          <w:rFonts w:hint="eastAsia"/>
        </w:rPr>
        <w:t>违反第一款、第二款规定，未按照规划要求建设夜景照明设施、夜景照明建设方案未经行政许可或者夜景照明设施未按照许可要求进行设置的，责令限期改正，逾期不改正的，处</w:t>
      </w:r>
      <w:r>
        <w:rPr>
          <w:rFonts w:hint="eastAsia" w:ascii="宋体" w:hAnsi="宋体" w:eastAsia="宋体" w:cs="宋体"/>
        </w:rPr>
        <w:t>500元以上5000元</w:t>
      </w:r>
      <w:r>
        <w:rPr>
          <w:rFonts w:hint="eastAsia"/>
        </w:rPr>
        <w:t>以下罚款。</w:t>
      </w:r>
    </w:p>
    <w:p w14:paraId="3BE515C0">
      <w:pPr>
        <w:ind w:firstLine="422"/>
      </w:pPr>
      <w:r>
        <w:rPr>
          <w:rFonts w:hint="eastAsia"/>
          <w:b/>
        </w:rPr>
        <w:t>第四十六条</w:t>
      </w:r>
      <w:r>
        <w:rPr>
          <w:rFonts w:hint="eastAsia"/>
        </w:rPr>
        <w:t>　夜景照明和路灯照明的设置单位或者管理单位应当加强照明设施的维护管理，做到整洁美观、使用安全，并达到规定的标准和要求。</w:t>
      </w:r>
    </w:p>
    <w:p w14:paraId="43CDD21C">
      <w:r>
        <w:rPr>
          <w:rFonts w:hint="eastAsia"/>
        </w:rPr>
        <w:t>夜景照明和路灯照明设施损坏、断亮的，应当及时维修或者更换。夜景照明和路灯照明的设置单位或者管理单位应当按照规定开闭夜景照明和路灯照明设施。违反规定的，责令限期改正；逾期不改正的，</w:t>
      </w:r>
      <w:r>
        <w:rPr>
          <w:rFonts w:hint="eastAsia" w:ascii="宋体" w:hAnsi="宋体" w:eastAsia="宋体" w:cs="宋体"/>
        </w:rPr>
        <w:t>可处500元以上1000元以下罚</w:t>
      </w:r>
      <w:r>
        <w:rPr>
          <w:rFonts w:hint="eastAsia"/>
        </w:rPr>
        <w:t>款。</w:t>
      </w:r>
    </w:p>
    <w:p w14:paraId="2F27EA0F"/>
    <w:p w14:paraId="36FDC085">
      <w:pPr>
        <w:ind w:firstLine="0" w:firstLineChars="0"/>
        <w:jc w:val="center"/>
        <w:rPr>
          <w:b/>
          <w:sz w:val="28"/>
        </w:rPr>
      </w:pPr>
      <w:r>
        <w:rPr>
          <w:rFonts w:hint="eastAsia"/>
          <w:b/>
          <w:sz w:val="28"/>
        </w:rPr>
        <w:t>第五章  环境卫生</w:t>
      </w:r>
    </w:p>
    <w:p w14:paraId="7A26FF02">
      <w:pPr>
        <w:ind w:firstLine="0" w:firstLineChars="0"/>
        <w:jc w:val="center"/>
        <w:rPr>
          <w:b/>
          <w:sz w:val="28"/>
        </w:rPr>
      </w:pPr>
    </w:p>
    <w:p w14:paraId="0919CDAD">
      <w:pPr>
        <w:ind w:firstLine="0" w:firstLineChars="0"/>
        <w:jc w:val="center"/>
        <w:rPr>
          <w:sz w:val="28"/>
        </w:rPr>
      </w:pPr>
      <w:r>
        <w:rPr>
          <w:rFonts w:hint="eastAsia"/>
          <w:sz w:val="28"/>
        </w:rPr>
        <w:t>第一节  清扫保洁</w:t>
      </w:r>
    </w:p>
    <w:p w14:paraId="741A5D5F"/>
    <w:p w14:paraId="65AE7595">
      <w:pPr>
        <w:ind w:firstLine="422"/>
        <w:rPr>
          <w:rFonts w:hint="eastAsia" w:ascii="宋体" w:hAnsi="宋体" w:eastAsia="宋体" w:cs="宋体"/>
        </w:rPr>
      </w:pPr>
      <w:r>
        <w:rPr>
          <w:rFonts w:hint="eastAsia"/>
          <w:b/>
        </w:rPr>
        <w:t>第四十七条</w:t>
      </w:r>
      <w:r>
        <w:rPr>
          <w:rFonts w:hint="eastAsia"/>
        </w:rPr>
        <w:t>　道路及其他公共场所的专业清扫保洁责任单位应当按照作业规范和环境卫生标准要求，定时清扫，及时保洁。违反规定的，责令改正，</w:t>
      </w:r>
      <w:r>
        <w:rPr>
          <w:rFonts w:hint="eastAsia" w:ascii="宋体" w:hAnsi="宋体" w:eastAsia="宋体" w:cs="宋体"/>
        </w:rPr>
        <w:t>并可处100元以上1000元以下罚款。</w:t>
      </w:r>
    </w:p>
    <w:p w14:paraId="6A51CCD3">
      <w:pPr>
        <w:ind w:firstLine="422"/>
      </w:pPr>
      <w:r>
        <w:rPr>
          <w:rFonts w:hint="eastAsia"/>
          <w:b/>
        </w:rPr>
        <w:t>第四十八条</w:t>
      </w:r>
      <w:r>
        <w:rPr>
          <w:rFonts w:hint="eastAsia"/>
        </w:rPr>
        <w:t>　城镇地区内新建、改建、扩建建设工程应当按照规定设置围挡、临时厕所和垃圾收集设施。建设工程施工或者拆除作业期间，应当采取措施防止尘土飞扬、污水流溢；产生的建筑垃圾应当日产日清；对需要回填的土方，应当进行苫盖。建设工程竣工后，施工单位或者建设单位应当及时清除弃物弃料和围挡、临时厕所、垃圾收集设施及其他临时建筑设施。违反规定的，责令限期改正，并处</w:t>
      </w:r>
      <w:r>
        <w:rPr>
          <w:rFonts w:hint="eastAsia" w:ascii="宋体" w:hAnsi="宋体" w:eastAsia="宋体" w:cs="宋体"/>
        </w:rPr>
        <w:t>2000元以上2万</w:t>
      </w:r>
      <w:r>
        <w:rPr>
          <w:rFonts w:hint="eastAsia"/>
        </w:rPr>
        <w:t>元以下罚款。</w:t>
      </w:r>
    </w:p>
    <w:p w14:paraId="6D9C92DD">
      <w:pPr>
        <w:ind w:firstLine="422"/>
      </w:pPr>
      <w:r>
        <w:rPr>
          <w:rFonts w:hint="eastAsia"/>
          <w:b/>
        </w:rPr>
        <w:t>第四十九条</w:t>
      </w:r>
      <w:r>
        <w:rPr>
          <w:rFonts w:hint="eastAsia"/>
        </w:rPr>
        <w:t>　维修、清疏排水管道、沟渠，维修、更换路灯、电线杆及其他公共设施所产生的废弃物，作业单位应当按照规定及时清除，不得乱堆乱放。违反规定的，责令限期清理，并可处</w:t>
      </w:r>
      <w:r>
        <w:rPr>
          <w:rFonts w:hint="eastAsia" w:ascii="宋体" w:hAnsi="宋体" w:eastAsia="宋体" w:cs="宋体"/>
        </w:rPr>
        <w:t>500元以上5000元</w:t>
      </w:r>
      <w:r>
        <w:rPr>
          <w:rFonts w:hint="eastAsia"/>
        </w:rPr>
        <w:t>以下罚款。</w:t>
      </w:r>
    </w:p>
    <w:p w14:paraId="09ED5091">
      <w:pPr>
        <w:ind w:firstLine="422"/>
      </w:pPr>
      <w:r>
        <w:rPr>
          <w:rFonts w:hint="eastAsia"/>
          <w:b/>
        </w:rPr>
        <w:t>第五十条</w:t>
      </w:r>
      <w:r>
        <w:rPr>
          <w:rFonts w:hint="eastAsia"/>
        </w:rPr>
        <w:t>　城市绿地管理养护单位应当保持绿地整洁。在道路两侧栽培、修剪树木或者花卉等作业所产生的枝叶、泥土，作业单位应当及时清除，不得乱堆乱放。违反规定的，责令限期改正，并可</w:t>
      </w:r>
      <w:r>
        <w:rPr>
          <w:rFonts w:hint="eastAsia" w:ascii="宋体" w:hAnsi="宋体" w:eastAsia="宋体" w:cs="宋体"/>
        </w:rPr>
        <w:t>处500元以上5000元以</w:t>
      </w:r>
      <w:r>
        <w:rPr>
          <w:rFonts w:hint="eastAsia"/>
        </w:rPr>
        <w:t>下罚款。</w:t>
      </w:r>
    </w:p>
    <w:p w14:paraId="3748648B">
      <w:pPr>
        <w:ind w:firstLine="422"/>
      </w:pPr>
      <w:r>
        <w:rPr>
          <w:rFonts w:hint="eastAsia"/>
          <w:b/>
        </w:rPr>
        <w:t>第五十一条</w:t>
      </w:r>
      <w:r>
        <w:rPr>
          <w:rFonts w:hint="eastAsia"/>
        </w:rPr>
        <w:t>　在道路上行驶的机动车辆应当保持车身整洁和外观良好。</w:t>
      </w:r>
    </w:p>
    <w:p w14:paraId="4ED381B6">
      <w:r>
        <w:rPr>
          <w:rFonts w:hint="eastAsia"/>
        </w:rPr>
        <w:t>车身不整洁或者破损的，应当及时清洗、维修。</w:t>
      </w:r>
    </w:p>
    <w:p w14:paraId="2B28DEB2">
      <w:pPr>
        <w:ind w:firstLine="422"/>
      </w:pPr>
      <w:r>
        <w:rPr>
          <w:rFonts w:hint="eastAsia"/>
          <w:b/>
        </w:rPr>
        <w:t>第五十二条</w:t>
      </w:r>
      <w:r>
        <w:rPr>
          <w:rFonts w:hint="eastAsia"/>
        </w:rPr>
        <w:t>　不得占用道路、绿地等公共场所从事车辆清洗、维修等业务。</w:t>
      </w:r>
    </w:p>
    <w:p w14:paraId="72087FE3">
      <w:r>
        <w:rPr>
          <w:rFonts w:hint="eastAsia"/>
        </w:rPr>
        <w:t>进行车辆清洗、维修的，应当保持场所整洁，采取措施防止污水流溢、废弃物向外散落。</w:t>
      </w:r>
    </w:p>
    <w:p w14:paraId="6B538A0E">
      <w:r>
        <w:rPr>
          <w:rFonts w:hint="eastAsia"/>
        </w:rPr>
        <w:t>违反第一款、第二款规定的，责令改正</w:t>
      </w:r>
      <w:r>
        <w:rPr>
          <w:rFonts w:hint="eastAsia" w:ascii="宋体" w:hAnsi="宋体" w:eastAsia="宋体" w:cs="宋体"/>
        </w:rPr>
        <w:t>，并处50元以上300元</w:t>
      </w:r>
      <w:r>
        <w:rPr>
          <w:rFonts w:hint="eastAsia"/>
        </w:rPr>
        <w:t>以下罚款；情节严重的，处</w:t>
      </w:r>
      <w:r>
        <w:rPr>
          <w:rFonts w:hint="eastAsia" w:ascii="宋体" w:hAnsi="宋体" w:eastAsia="宋体" w:cs="宋体"/>
        </w:rPr>
        <w:t>300元以上3000</w:t>
      </w:r>
      <w:r>
        <w:rPr>
          <w:rFonts w:hint="eastAsia"/>
        </w:rPr>
        <w:t>元以下罚款。</w:t>
      </w:r>
    </w:p>
    <w:p w14:paraId="5DF2AC9E">
      <w:pPr>
        <w:ind w:firstLine="422"/>
      </w:pPr>
      <w:r>
        <w:rPr>
          <w:rFonts w:hint="eastAsia"/>
          <w:b/>
        </w:rPr>
        <w:t>第五十三条</w:t>
      </w:r>
      <w:r>
        <w:rPr>
          <w:rFonts w:hint="eastAsia"/>
        </w:rPr>
        <w:t>　收购废旧物品的经营者应当保持收购场所整洁，不得乱堆乱放、焚烧废旧物品。废旧物品存储场所的经营者应当对收购废旧物品采取围挡、遮盖等措施，不得污染周围环境。违反规定的，责令限期改正，并处</w:t>
      </w:r>
      <w:r>
        <w:rPr>
          <w:rFonts w:hint="eastAsia" w:ascii="宋体" w:hAnsi="宋体" w:eastAsia="宋体" w:cs="宋体"/>
        </w:rPr>
        <w:t>300元以上3000元以</w:t>
      </w:r>
      <w:r>
        <w:rPr>
          <w:rFonts w:hint="eastAsia"/>
        </w:rPr>
        <w:t>下罚款。</w:t>
      </w:r>
    </w:p>
    <w:p w14:paraId="6C157897">
      <w:pPr>
        <w:ind w:firstLine="422"/>
      </w:pPr>
      <w:r>
        <w:rPr>
          <w:rFonts w:hint="eastAsia"/>
          <w:b/>
        </w:rPr>
        <w:t>第五十四条</w:t>
      </w:r>
      <w:r>
        <w:rPr>
          <w:rFonts w:hint="eastAsia"/>
        </w:rPr>
        <w:t>　在公共场所禁止下列影响市容环境卫生的行为：</w:t>
      </w:r>
    </w:p>
    <w:p w14:paraId="074B313C">
      <w:bookmarkStart w:id="2259" w:name="_Toc428780589"/>
      <w:r>
        <w:rPr>
          <w:rFonts w:hint="eastAsia"/>
        </w:rPr>
        <w:t>（一）随地吐痰、便溺；</w:t>
      </w:r>
      <w:bookmarkEnd w:id="2259"/>
    </w:p>
    <w:p w14:paraId="22AC2CA8">
      <w:r>
        <w:rPr>
          <w:rFonts w:hint="eastAsia"/>
        </w:rPr>
        <w:t>（二）乱丢瓜果皮核、烟头、纸屑、口香糖、塑料袋、包装物等废弃物；</w:t>
      </w:r>
    </w:p>
    <w:p w14:paraId="74607B2A">
      <w:r>
        <w:rPr>
          <w:rFonts w:hint="eastAsia"/>
        </w:rPr>
        <w:t>（三）乱倒污水、垃圾，焚烧树叶、垃圾；</w:t>
      </w:r>
    </w:p>
    <w:p w14:paraId="4876245A">
      <w:r>
        <w:rPr>
          <w:rFonts w:hint="eastAsia"/>
        </w:rPr>
        <w:t>（四）其他影响市容环境卫生的行为。</w:t>
      </w:r>
    </w:p>
    <w:p w14:paraId="7522237A">
      <w:r>
        <w:rPr>
          <w:rFonts w:hint="eastAsia"/>
        </w:rPr>
        <w:t>违反前款规定的，责令改正，</w:t>
      </w:r>
      <w:r>
        <w:rPr>
          <w:rFonts w:hint="eastAsia" w:ascii="宋体" w:hAnsi="宋体" w:eastAsia="宋体" w:cs="宋体"/>
        </w:rPr>
        <w:t>并可处20元以上50</w:t>
      </w:r>
      <w:r>
        <w:rPr>
          <w:rFonts w:hint="eastAsia"/>
        </w:rPr>
        <w:t>元以下罚款。</w:t>
      </w:r>
    </w:p>
    <w:p w14:paraId="2511DA5C">
      <w:pPr>
        <w:ind w:firstLine="422"/>
      </w:pPr>
      <w:r>
        <w:rPr>
          <w:rFonts w:hint="eastAsia"/>
          <w:b/>
        </w:rPr>
        <w:t>第五十五条</w:t>
      </w:r>
      <w:r>
        <w:rPr>
          <w:rFonts w:hint="eastAsia"/>
        </w:rPr>
        <w:t>　禁止在城镇地区饲养鸡、鸭、鹅、兔、羊、猪等家禽家畜；因教学、科研以及其他特殊需要饲养的，按照有关规定执行。违反规定的，责令限期改正，并可按照每只（头）处</w:t>
      </w:r>
      <w:r>
        <w:rPr>
          <w:rFonts w:hint="eastAsia" w:ascii="宋体" w:hAnsi="宋体" w:eastAsia="宋体" w:cs="宋体"/>
        </w:rPr>
        <w:t>20元以上50元以下</w:t>
      </w:r>
      <w:r>
        <w:rPr>
          <w:rFonts w:hint="eastAsia"/>
        </w:rPr>
        <w:t>罚款。</w:t>
      </w:r>
    </w:p>
    <w:p w14:paraId="44564428">
      <w:r>
        <w:rPr>
          <w:rFonts w:hint="eastAsia"/>
        </w:rPr>
        <w:t>禁止在居民住宅楼房的顶部、阳台外和窗外搭建鸽舍。饲养鸽子应当采取有效措施防止影响市容环境卫生。影响市容环境卫生的，责令限期改正，并</w:t>
      </w:r>
      <w:r>
        <w:rPr>
          <w:rFonts w:hint="eastAsia" w:ascii="宋体" w:hAnsi="宋体" w:eastAsia="宋体" w:cs="宋体"/>
        </w:rPr>
        <w:t>处50元以上500元以下</w:t>
      </w:r>
      <w:r>
        <w:rPr>
          <w:rFonts w:hint="eastAsia"/>
        </w:rPr>
        <w:t>罚款；严重影响市容环境卫生和周围居民正常生活的，可以责令拆除鸽舍。</w:t>
      </w:r>
    </w:p>
    <w:p w14:paraId="34E7270B"/>
    <w:p w14:paraId="03E30392">
      <w:pPr>
        <w:ind w:firstLine="0" w:firstLineChars="0"/>
        <w:jc w:val="center"/>
        <w:rPr>
          <w:sz w:val="28"/>
        </w:rPr>
      </w:pPr>
      <w:r>
        <w:rPr>
          <w:rFonts w:hint="eastAsia"/>
          <w:sz w:val="28"/>
        </w:rPr>
        <w:t>第二节  垃圾等废弃物的收集、清运和处理</w:t>
      </w:r>
    </w:p>
    <w:p w14:paraId="77830794"/>
    <w:p w14:paraId="1FEA89B4">
      <w:pPr>
        <w:ind w:firstLine="422"/>
      </w:pPr>
      <w:r>
        <w:rPr>
          <w:rFonts w:hint="eastAsia"/>
          <w:b/>
        </w:rPr>
        <w:t>第五十六条</w:t>
      </w:r>
      <w:r>
        <w:rPr>
          <w:rFonts w:hint="eastAsia"/>
        </w:rPr>
        <w:t>　本市按照减量化、资源化和无害化的原则对生活垃圾等废弃物进行处理，采取有效措施减少生活垃圾等废弃物的产生，积极开展生活垃圾分类收集和综合利用，提高生活垃圾等废弃物的无害化处理水平。</w:t>
      </w:r>
    </w:p>
    <w:p w14:paraId="1DD8A08B">
      <w:r>
        <w:rPr>
          <w:rFonts w:hint="eastAsia"/>
        </w:rPr>
        <w:t>按照垃圾产生者负有垃圾处理义务的原则，由垃圾产生者按照规定缴纳生活垃圾处理费。本市对农村地区另有规定的，按照规定办理。</w:t>
      </w:r>
    </w:p>
    <w:p w14:paraId="2DB1CCA7">
      <w:pPr>
        <w:ind w:firstLine="422"/>
      </w:pPr>
      <w:r>
        <w:rPr>
          <w:rFonts w:hint="eastAsia"/>
          <w:b/>
        </w:rPr>
        <w:t>第五十七条</w:t>
      </w:r>
      <w:r>
        <w:rPr>
          <w:rFonts w:hint="eastAsia"/>
        </w:rPr>
        <w:t>　本市应当对生活垃圾等废弃物按照规定分类收集、分类运输和分类处理。</w:t>
      </w:r>
    </w:p>
    <w:p w14:paraId="7D94D5C6">
      <w:pPr>
        <w:ind w:firstLine="422"/>
      </w:pPr>
      <w:r>
        <w:rPr>
          <w:rFonts w:hint="eastAsia"/>
          <w:b/>
        </w:rPr>
        <w:t>第五十八条</w:t>
      </w:r>
      <w:r>
        <w:rPr>
          <w:rFonts w:hint="eastAsia"/>
        </w:rPr>
        <w:t>　单位和个体工商户应当配置密闭式垃圾收集容器，收集垃圾。</w:t>
      </w:r>
    </w:p>
    <w:p w14:paraId="061BEDA1">
      <w:r>
        <w:rPr>
          <w:rFonts w:hint="eastAsia"/>
        </w:rPr>
        <w:t>城镇地区内单位和个人应当按照规定的时间、地点和方式倾倒生活垃圾。</w:t>
      </w:r>
    </w:p>
    <w:p w14:paraId="3041D6DE">
      <w:r>
        <w:rPr>
          <w:rFonts w:hint="eastAsia"/>
        </w:rPr>
        <w:t>城镇地区内生活垃圾应当做到日产日清、密闭运输，并清运到指定的垃圾消纳场所，不得乱堆乱倒。</w:t>
      </w:r>
    </w:p>
    <w:p w14:paraId="49B30BD9">
      <w:pPr>
        <w:rPr>
          <w:rFonts w:hint="eastAsia" w:ascii="宋体" w:hAnsi="宋体" w:eastAsia="宋体" w:cs="宋体"/>
        </w:rPr>
      </w:pPr>
      <w:r>
        <w:rPr>
          <w:rFonts w:hint="eastAsia"/>
        </w:rPr>
        <w:t>城镇地区内因施工或者其他作业影响垃圾清运的，施工单位或者作业单位应当事先告知所在区、县的市政管理行政部门，并在采取妥</w:t>
      </w:r>
      <w:r>
        <w:rPr>
          <w:rFonts w:hint="eastAsia" w:ascii="宋体" w:hAnsi="宋体" w:eastAsia="宋体" w:cs="宋体"/>
        </w:rPr>
        <w:t>善解决措施后，方可施工或者作业。</w:t>
      </w:r>
    </w:p>
    <w:p w14:paraId="2EBA946D">
      <w:pPr>
        <w:rPr>
          <w:rFonts w:hint="eastAsia" w:ascii="宋体" w:hAnsi="宋体" w:eastAsia="宋体" w:cs="宋体"/>
        </w:rPr>
      </w:pPr>
      <w:r>
        <w:rPr>
          <w:rFonts w:hint="eastAsia" w:ascii="宋体" w:hAnsi="宋体" w:eastAsia="宋体" w:cs="宋体"/>
        </w:rPr>
        <w:t>违反第二款、第三款、第四款规定的，责令限期改正，并对个人处20元以上200元以下罚款；对单位处500元以上3000元以下罚款，其中对单位随意倾倒或者堆放生活垃圾的，处5000元以上5万元以下罚款。</w:t>
      </w:r>
    </w:p>
    <w:p w14:paraId="07A7DEA8">
      <w:pPr>
        <w:ind w:firstLine="422"/>
      </w:pPr>
      <w:r>
        <w:rPr>
          <w:rFonts w:hint="eastAsia"/>
          <w:b/>
        </w:rPr>
        <w:t>第五十九条</w:t>
      </w:r>
      <w:r>
        <w:rPr>
          <w:rFonts w:hint="eastAsia"/>
        </w:rPr>
        <w:t>　因建设施工、拆除建筑物和房屋修缮、装修等产生的建筑垃圾、渣土等废弃物应当单独堆放，不得倒入生活垃圾收集站。</w:t>
      </w:r>
    </w:p>
    <w:p w14:paraId="04941C40">
      <w:r>
        <w:rPr>
          <w:rFonts w:hint="eastAsia"/>
        </w:rPr>
        <w:t>产生建筑垃圾、渣土的单位和个人应当到市政管理行政部门办理渣土消纳许可证。</w:t>
      </w:r>
    </w:p>
    <w:p w14:paraId="3C2893C8">
      <w:r>
        <w:rPr>
          <w:rFonts w:hint="eastAsia"/>
        </w:rPr>
        <w:t>产生建筑垃圾、渣土的单位、个人或者其委托的环境卫生专业作业企业，应当按照许可规定的时间、路线和要求，将建筑垃圾、渣土清运到指定的处置场所。</w:t>
      </w:r>
    </w:p>
    <w:p w14:paraId="0000FF13">
      <w:pPr>
        <w:rPr>
          <w:rFonts w:hint="eastAsia" w:ascii="宋体" w:hAnsi="宋体" w:eastAsia="宋体" w:cs="宋体"/>
        </w:rPr>
      </w:pPr>
      <w:r>
        <w:rPr>
          <w:rFonts w:hint="eastAsia"/>
        </w:rPr>
        <w:t>违反第一款、第二款、第三款规</w:t>
      </w:r>
      <w:r>
        <w:rPr>
          <w:rFonts w:hint="eastAsia" w:ascii="宋体" w:hAnsi="宋体" w:eastAsia="宋体" w:cs="宋体"/>
        </w:rPr>
        <w:t>定的，责令限期改正，并对个人处50元以上200元以下罚款；对单位处2000元以上2万元以下罚款，其中对单位随意倾倒或者堆放建筑垃圾、渣土的，处5000元以上5万元以下罚款。</w:t>
      </w:r>
    </w:p>
    <w:p w14:paraId="709DAD70">
      <w:pPr>
        <w:ind w:firstLine="422"/>
      </w:pPr>
      <w:r>
        <w:rPr>
          <w:rFonts w:hint="eastAsia"/>
          <w:b/>
        </w:rPr>
        <w:t>第六十条</w:t>
      </w:r>
      <w:r>
        <w:rPr>
          <w:rFonts w:hint="eastAsia"/>
        </w:rPr>
        <w:t>　运输垃圾、渣土、砂石、土方、灰浆等流体、散装货物的车辆应当符合本市环保要求，具有市政管理行政部门核发的准运证件。</w:t>
      </w:r>
    </w:p>
    <w:p w14:paraId="43507988">
      <w:r>
        <w:rPr>
          <w:rFonts w:hint="eastAsia"/>
        </w:rPr>
        <w:t>城镇地区内流体、散装货物应当实行密闭运输。运输车辆的密闭装置应当符合规定的标准，并保持牢固、无破损、无渗漏。运输车辆不得车轮带泥行驶，不得沿途泄漏、遗撒。</w:t>
      </w:r>
    </w:p>
    <w:p w14:paraId="24C835B0">
      <w:pPr>
        <w:rPr>
          <w:rFonts w:hint="eastAsia" w:ascii="宋体" w:hAnsi="宋体" w:eastAsia="宋体" w:cs="宋体"/>
        </w:rPr>
      </w:pPr>
      <w:r>
        <w:rPr>
          <w:rFonts w:hint="eastAsia"/>
        </w:rPr>
        <w:t>违反第一款、第二款规定，使用无准运证件或者不符合要求的车辆从事运输的，责令改正，并</w:t>
      </w:r>
      <w:r>
        <w:rPr>
          <w:rFonts w:hint="eastAsia" w:ascii="宋体" w:hAnsi="宋体" w:eastAsia="宋体" w:cs="宋体"/>
        </w:rPr>
        <w:t>处500元以上3000元以下罚款；运输车辆泄漏、遗撒的，责令清除，处5000元以上5万元以下罚款。</w:t>
      </w:r>
    </w:p>
    <w:p w14:paraId="11F07A69">
      <w:r>
        <w:rPr>
          <w:rFonts w:hint="eastAsia"/>
        </w:rPr>
        <w:t>对于城市道路上的泄漏、遗撒物，当事人拒不清除或者没有条件清除的，城市管理综合执法部门可以代为委托市容环境卫生专业作业企业清除，所需费用由当事人承担，对不支付费用的，可以依法申请人民法院执行。</w:t>
      </w:r>
    </w:p>
    <w:p w14:paraId="46E9CA09">
      <w:pPr>
        <w:ind w:firstLine="422"/>
      </w:pPr>
      <w:r>
        <w:rPr>
          <w:rFonts w:hint="eastAsia"/>
          <w:b/>
        </w:rPr>
        <w:t>第六十一条</w:t>
      </w:r>
      <w:r>
        <w:rPr>
          <w:rFonts w:hint="eastAsia"/>
        </w:rPr>
        <w:t>　从事生活垃圾经营性清扫、收集、运输、处理服务的，应当向市政管理行政部门提出申请，经批准后，方可经营。违反规定的，责令改正，并</w:t>
      </w:r>
      <w:r>
        <w:rPr>
          <w:rFonts w:hint="eastAsia" w:ascii="宋体" w:hAnsi="宋体" w:eastAsia="宋体" w:cs="宋体"/>
        </w:rPr>
        <w:t>处5000元以上1万元</w:t>
      </w:r>
      <w:r>
        <w:rPr>
          <w:rFonts w:hint="eastAsia"/>
        </w:rPr>
        <w:t>以下罚款。</w:t>
      </w:r>
    </w:p>
    <w:p w14:paraId="703E24B1">
      <w:pPr>
        <w:ind w:firstLine="422"/>
      </w:pPr>
      <w:r>
        <w:rPr>
          <w:rFonts w:hint="eastAsia"/>
          <w:b/>
        </w:rPr>
        <w:t>第六十二条</w:t>
      </w:r>
      <w:r>
        <w:rPr>
          <w:rFonts w:hint="eastAsia"/>
        </w:rPr>
        <w:t>　对工业垃圾、医疗卫生垃圾及其他易燃、易爆、剧毒、放射性等有毒、有害废弃物，应当按照国家规定妥善处置，不得混入生活垃圾收集站和垃圾消纳场。违反规定的，按照国家有关法律、法规处理。</w:t>
      </w:r>
    </w:p>
    <w:p w14:paraId="7C098226">
      <w:pPr>
        <w:ind w:firstLine="422"/>
      </w:pPr>
      <w:r>
        <w:rPr>
          <w:rFonts w:hint="eastAsia"/>
          <w:b/>
        </w:rPr>
        <w:t>第六十三条</w:t>
      </w:r>
      <w:r>
        <w:rPr>
          <w:rFonts w:hint="eastAsia"/>
        </w:rPr>
        <w:t>　对厕所的粪便应当排入污水处理系统或者贮（化）粪池。</w:t>
      </w:r>
    </w:p>
    <w:p w14:paraId="200B2057">
      <w:r>
        <w:rPr>
          <w:rFonts w:hint="eastAsia"/>
        </w:rPr>
        <w:t>城镇地区内负有清掏粪便责任的单位应当及时清掏，对清掏的粪便密闭运输，并倾倒在指定的消纳场所。</w:t>
      </w:r>
    </w:p>
    <w:p w14:paraId="2E20209D">
      <w:pPr>
        <w:rPr>
          <w:rFonts w:hint="eastAsia" w:ascii="宋体" w:hAnsi="宋体" w:eastAsia="宋体" w:cs="宋体"/>
        </w:rPr>
      </w:pPr>
      <w:r>
        <w:rPr>
          <w:rFonts w:hint="eastAsia"/>
        </w:rPr>
        <w:t>违反第一款、第二款规定的，责令改</w:t>
      </w:r>
      <w:r>
        <w:rPr>
          <w:rFonts w:hint="eastAsia" w:ascii="宋体" w:hAnsi="宋体" w:eastAsia="宋体" w:cs="宋体"/>
        </w:rPr>
        <w:t>正，并处1000元以上2000元以下罚款；其中违反第二款规定，随意倾倒粪便的，处5000元以上5万元以下罚款。</w:t>
      </w:r>
    </w:p>
    <w:p w14:paraId="6EF58D8B">
      <w:pPr>
        <w:ind w:firstLine="422"/>
      </w:pPr>
      <w:r>
        <w:rPr>
          <w:rFonts w:hint="eastAsia"/>
          <w:b/>
        </w:rPr>
        <w:t>第六十四条</w:t>
      </w:r>
      <w:r>
        <w:rPr>
          <w:rFonts w:hint="eastAsia"/>
        </w:rPr>
        <w:t>　餐厨垃圾不得排入雨水、污水排水管道、河道、公共厕所，不得与其他垃圾混倒。</w:t>
      </w:r>
    </w:p>
    <w:p w14:paraId="63222EAB">
      <w:r>
        <w:rPr>
          <w:rFonts w:hint="eastAsia"/>
        </w:rPr>
        <w:t>城镇地区内宾馆、饭店、餐馆和机关、部队、院校企业事业单位应当按照要求设置餐厨垃圾的收集、贮存设施。</w:t>
      </w:r>
    </w:p>
    <w:p w14:paraId="3A5C8F4F">
      <w:r>
        <w:rPr>
          <w:rFonts w:hint="eastAsia"/>
        </w:rPr>
        <w:t>餐厨垃圾产生者可以自行清运或者委托专业清运单位对餐厨垃圾进行清运；清运单位应当将餐厨垃圾运输到规定的地点处理。产生者自行处理餐厨垃圾的，其处理设施应当符合相应标准。</w:t>
      </w:r>
    </w:p>
    <w:p w14:paraId="54732481">
      <w:pPr>
        <w:rPr>
          <w:rFonts w:hint="eastAsia" w:ascii="宋体" w:hAnsi="宋体" w:eastAsia="宋体" w:cs="宋体"/>
        </w:rPr>
      </w:pPr>
      <w:r>
        <w:rPr>
          <w:rFonts w:hint="eastAsia"/>
        </w:rPr>
        <w:t>违反第一款、第二款、第三款规定</w:t>
      </w:r>
      <w:r>
        <w:rPr>
          <w:rFonts w:hint="eastAsia" w:ascii="宋体" w:hAnsi="宋体" w:eastAsia="宋体" w:cs="宋体"/>
        </w:rPr>
        <w:t>的，责令改正，并处500元以上3000元以下罚款；情节严重的，处3000元以上3万元以下罚款，其中对单位随意倾倒或者运输车辆泄漏、遗撒餐厨垃圾的，责令清除，处5000元以上5万元以下罚款。</w:t>
      </w:r>
    </w:p>
    <w:p w14:paraId="3656E78F"/>
    <w:p w14:paraId="6B9A487B">
      <w:pPr>
        <w:ind w:firstLine="0" w:firstLineChars="0"/>
        <w:jc w:val="center"/>
        <w:rPr>
          <w:b/>
        </w:rPr>
      </w:pPr>
      <w:r>
        <w:rPr>
          <w:rFonts w:hint="eastAsia"/>
          <w:b/>
          <w:sz w:val="28"/>
        </w:rPr>
        <w:t>第六章  环境卫生设施建设和管理</w:t>
      </w:r>
    </w:p>
    <w:p w14:paraId="1FCB0353"/>
    <w:p w14:paraId="518A6CBD">
      <w:pPr>
        <w:ind w:firstLine="422"/>
      </w:pPr>
      <w:r>
        <w:rPr>
          <w:rFonts w:hint="eastAsia"/>
          <w:b/>
        </w:rPr>
        <w:t>第六十五条</w:t>
      </w:r>
      <w:r>
        <w:rPr>
          <w:rFonts w:hint="eastAsia"/>
        </w:rPr>
        <w:t>　本市生活垃圾等废弃物处理设施的建设，由市政管理行政部门按照规划统一组织实施。</w:t>
      </w:r>
    </w:p>
    <w:p w14:paraId="6DF937C0">
      <w:r>
        <w:rPr>
          <w:rFonts w:hint="eastAsia"/>
        </w:rPr>
        <w:t>建设生活垃圾等废弃物处理设施，应当符合环境保护的要求和技术标准。</w:t>
      </w:r>
    </w:p>
    <w:p w14:paraId="699E4644">
      <w:pPr>
        <w:ind w:firstLine="422"/>
      </w:pPr>
      <w:r>
        <w:rPr>
          <w:rFonts w:hint="eastAsia"/>
          <w:b/>
        </w:rPr>
        <w:t>第六十六条</w:t>
      </w:r>
      <w:r>
        <w:rPr>
          <w:rFonts w:hint="eastAsia"/>
        </w:rPr>
        <w:t>　设置建筑垃圾、渣土消纳场所的，应当向市政管理行政部门提出申请，经许可后，方可设置。违反规定的，责令改正，并</w:t>
      </w:r>
      <w:r>
        <w:rPr>
          <w:rFonts w:hint="eastAsia" w:ascii="宋体" w:hAnsi="宋体" w:eastAsia="宋体" w:cs="宋体"/>
        </w:rPr>
        <w:t>处5000元以上1万元</w:t>
      </w:r>
      <w:r>
        <w:rPr>
          <w:rFonts w:hint="eastAsia"/>
        </w:rPr>
        <w:t>以下罚款。</w:t>
      </w:r>
    </w:p>
    <w:p w14:paraId="6588BAE3">
      <w:pPr>
        <w:ind w:firstLine="422"/>
      </w:pPr>
      <w:r>
        <w:rPr>
          <w:rFonts w:hint="eastAsia"/>
          <w:b/>
        </w:rPr>
        <w:t>第六十七条</w:t>
      </w:r>
      <w:r>
        <w:rPr>
          <w:rFonts w:hint="eastAsia"/>
        </w:rPr>
        <w:t>　新建、改建住宅区，开发建设单位应当按照规划要求配套建设公共厕所、密闭式垃圾收集站和其他环境卫生设施。</w:t>
      </w:r>
    </w:p>
    <w:p w14:paraId="106123D7">
      <w:r>
        <w:rPr>
          <w:rFonts w:hint="eastAsia"/>
        </w:rPr>
        <w:t>新建、改建、扩建道路以及商业、文化、体育、医疗、交通等公共建筑和场所，建设单位应当按照规划要求配套建设公共厕所。</w:t>
      </w:r>
    </w:p>
    <w:p w14:paraId="607066E7">
      <w:r>
        <w:rPr>
          <w:rFonts w:hint="eastAsia"/>
        </w:rPr>
        <w:t>城乡接壤地区的公共厕所、密闭式垃圾收集站和其他环境卫生设施，由区、县人民政府组织建设。</w:t>
      </w:r>
    </w:p>
    <w:p w14:paraId="7F3DA232">
      <w:pPr>
        <w:ind w:firstLine="422"/>
      </w:pPr>
      <w:r>
        <w:rPr>
          <w:rFonts w:hint="eastAsia"/>
          <w:b/>
        </w:rPr>
        <w:t>第六十八条</w:t>
      </w:r>
      <w:r>
        <w:rPr>
          <w:rFonts w:hint="eastAsia"/>
        </w:rPr>
        <w:t>　新建、改建、扩建公共厕所，应当符合本市环境卫生设施建设定额指标的规定和公共厕所建设标准。现有公共厕所不符合公共厕所建设标准的，由所在地区、县人民政府负责制定改造方案，逐步达到规定标准。</w:t>
      </w:r>
    </w:p>
    <w:p w14:paraId="5C310140">
      <w:r>
        <w:rPr>
          <w:rFonts w:hint="eastAsia"/>
        </w:rPr>
        <w:t>公共厕所的维护管理责任人，应当按照国家和本市的有关标准对公共厕所进行维护和管理，确保公共厕所正常使用。违反规定，不能保证公共厕所正常使用的，责令限期改正，并可</w:t>
      </w:r>
      <w:r>
        <w:rPr>
          <w:rFonts w:hint="eastAsia" w:ascii="宋体" w:hAnsi="宋体" w:eastAsia="宋体" w:cs="宋体"/>
        </w:rPr>
        <w:t>处500元以上3000元以</w:t>
      </w:r>
      <w:r>
        <w:rPr>
          <w:rFonts w:hint="eastAsia"/>
        </w:rPr>
        <w:t>下罚款。</w:t>
      </w:r>
    </w:p>
    <w:p w14:paraId="14554E13">
      <w:r>
        <w:rPr>
          <w:rFonts w:hint="eastAsia"/>
        </w:rPr>
        <w:t>本市鼓励商场、饭店、旅馆、体育场（馆）、停车场等公共建筑和公共场所的附属式公共厕所对外开放。</w:t>
      </w:r>
    </w:p>
    <w:p w14:paraId="55E2C58D">
      <w:pPr>
        <w:ind w:firstLine="422"/>
      </w:pPr>
      <w:r>
        <w:rPr>
          <w:rFonts w:hint="eastAsia"/>
          <w:b/>
        </w:rPr>
        <w:t>第六十九条</w:t>
      </w:r>
      <w:r>
        <w:rPr>
          <w:rFonts w:hint="eastAsia"/>
        </w:rPr>
        <w:t>　按照环境卫生设施建设定额指标和设置标准配套建设的环境卫生设施，应当与建设项目主体工程同时设计、同时施工、同时验收、同时投入使用，所需资金应当纳入建设项目总投资。</w:t>
      </w:r>
    </w:p>
    <w:p w14:paraId="0EBAE2D8">
      <w:pPr>
        <w:ind w:firstLine="422"/>
      </w:pPr>
      <w:r>
        <w:rPr>
          <w:rFonts w:hint="eastAsia"/>
          <w:b/>
        </w:rPr>
        <w:t>第七十条</w:t>
      </w:r>
      <w:r>
        <w:rPr>
          <w:rFonts w:hint="eastAsia"/>
        </w:rPr>
        <w:t>　建设环境卫生设施应当严格按照规划批准的内容进行，保证工程质量。规划管理行政部门审批时，应当征求市政管理行政部门的意见。</w:t>
      </w:r>
    </w:p>
    <w:p w14:paraId="1EB4420E">
      <w:r>
        <w:rPr>
          <w:rFonts w:hint="eastAsia"/>
        </w:rPr>
        <w:t>新建、改建、扩建建设工程竣工后，其配套环境卫生设施应当由市政管理行政部门验收；验收合格后，方可投入使用。</w:t>
      </w:r>
    </w:p>
    <w:p w14:paraId="200AFA47">
      <w:r>
        <w:rPr>
          <w:rFonts w:hint="eastAsia"/>
        </w:rPr>
        <w:t>违反第二款规定，环境卫生设施未经验收或者验收不合格擅自投入使用的，责令限期改正，并</w:t>
      </w:r>
      <w:r>
        <w:rPr>
          <w:rFonts w:hint="eastAsia" w:ascii="宋体" w:hAnsi="宋体" w:eastAsia="宋体" w:cs="宋体"/>
        </w:rPr>
        <w:t>处5000元以上3万</w:t>
      </w:r>
      <w:r>
        <w:rPr>
          <w:rFonts w:hint="eastAsia"/>
        </w:rPr>
        <w:t>元以下罚款。</w:t>
      </w:r>
    </w:p>
    <w:p w14:paraId="5B6021A5">
      <w:pPr>
        <w:ind w:firstLine="422"/>
      </w:pPr>
      <w:r>
        <w:rPr>
          <w:rFonts w:hint="eastAsia"/>
          <w:b/>
        </w:rPr>
        <w:t>第七十一条</w:t>
      </w:r>
      <w:r>
        <w:rPr>
          <w:rFonts w:hint="eastAsia"/>
        </w:rPr>
        <w:t>　禁止任何单位和个人占用、损毁环境卫生设施。</w:t>
      </w:r>
    </w:p>
    <w:p w14:paraId="1530ADE8">
      <w:r>
        <w:rPr>
          <w:rFonts w:hint="eastAsia"/>
        </w:rPr>
        <w:t>任何单位和个人不得擅自拆除、迁移、改建、停用环境卫生设施和改变环境卫生设施用途。因市政工程、房屋拆迁等确需拆除、迁移或者停用环境卫生设施的，应当提前报告市政管理行政部门，并按照规定重建或者补建。</w:t>
      </w:r>
    </w:p>
    <w:p w14:paraId="10CD0708">
      <w:pPr>
        <w:rPr>
          <w:rFonts w:hint="eastAsia" w:ascii="宋体" w:hAnsi="宋体" w:eastAsia="宋体" w:cs="宋体"/>
        </w:rPr>
      </w:pPr>
      <w:r>
        <w:rPr>
          <w:rFonts w:hint="eastAsia"/>
        </w:rPr>
        <w:t>违反第一款规定的，责令恢复原状或者赔偿损失，</w:t>
      </w:r>
      <w:r>
        <w:rPr>
          <w:rFonts w:hint="eastAsia" w:ascii="宋体" w:hAnsi="宋体" w:eastAsia="宋体" w:cs="宋体"/>
        </w:rPr>
        <w:t>并处500元以上3000元以下罚款；违反第二款规定的，责令改正，并可处5000元以上5万元以下罚款。</w:t>
      </w:r>
    </w:p>
    <w:p w14:paraId="223E92C6"/>
    <w:p w14:paraId="0B24251A">
      <w:pPr>
        <w:ind w:firstLine="0" w:firstLineChars="0"/>
        <w:jc w:val="center"/>
        <w:rPr>
          <w:b/>
          <w:sz w:val="28"/>
        </w:rPr>
      </w:pPr>
      <w:r>
        <w:rPr>
          <w:rFonts w:hint="eastAsia"/>
          <w:b/>
          <w:sz w:val="28"/>
        </w:rPr>
        <w:t>第七章  市容环境卫生专业作业</w:t>
      </w:r>
    </w:p>
    <w:p w14:paraId="29F1AB82"/>
    <w:p w14:paraId="6CC2165E">
      <w:pPr>
        <w:ind w:firstLine="422"/>
      </w:pPr>
      <w:r>
        <w:rPr>
          <w:rFonts w:hint="eastAsia"/>
          <w:b/>
        </w:rPr>
        <w:t>第七十二条</w:t>
      </w:r>
      <w:r>
        <w:rPr>
          <w:rFonts w:hint="eastAsia"/>
        </w:rPr>
        <w:t>　本市鼓励单位和个人兴办市容环境卫生专业作业企业。</w:t>
      </w:r>
    </w:p>
    <w:p w14:paraId="54A20311">
      <w:r>
        <w:rPr>
          <w:rFonts w:hint="eastAsia"/>
        </w:rPr>
        <w:t>市容环境卫生专业作业企业应当具备规定的专业技术条件。</w:t>
      </w:r>
    </w:p>
    <w:p w14:paraId="73D6CD4D">
      <w:pPr>
        <w:ind w:firstLine="422"/>
      </w:pPr>
      <w:r>
        <w:rPr>
          <w:rFonts w:hint="eastAsia"/>
          <w:b/>
        </w:rPr>
        <w:t>第七十三条</w:t>
      </w:r>
      <w:r>
        <w:rPr>
          <w:rFonts w:hint="eastAsia"/>
        </w:rPr>
        <w:t>　市容环境卫生专业作业服务项目的承揽单位，可以由有关管理部门或者单位采取招标、委托等方式确定。</w:t>
      </w:r>
    </w:p>
    <w:p w14:paraId="79557463">
      <w:r>
        <w:rPr>
          <w:rFonts w:hint="eastAsia"/>
        </w:rPr>
        <w:t>招标单位或者委托单位可以提出高于本市城市容貌标准和环境卫生标准的作业服务标准。</w:t>
      </w:r>
    </w:p>
    <w:p w14:paraId="3179E483">
      <w:r>
        <w:rPr>
          <w:rFonts w:hint="eastAsia"/>
        </w:rPr>
        <w:t>中标或者接受委托的市容环境卫生专业作业企业应当按照规定或者约定的要求，完成清扫、收集、运输和处理废弃物的工作。</w:t>
      </w:r>
    </w:p>
    <w:p w14:paraId="4FAD72DC">
      <w:r>
        <w:rPr>
          <w:rFonts w:hint="eastAsia"/>
        </w:rPr>
        <w:t>中标或者接受委托的市容环境卫生专业作业企业不得将服务项目转让或者再委托给他人。</w:t>
      </w:r>
    </w:p>
    <w:p w14:paraId="3712454C">
      <w:pPr>
        <w:ind w:firstLine="422"/>
      </w:pPr>
      <w:r>
        <w:rPr>
          <w:rFonts w:hint="eastAsia"/>
          <w:b/>
        </w:rPr>
        <w:t>第七十四条</w:t>
      </w:r>
      <w:r>
        <w:rPr>
          <w:rFonts w:hint="eastAsia"/>
        </w:rPr>
        <w:t>　市容环境卫生专业作业企业应当遵守专业作业规范，达到城市容貌标准和环境卫生标准规定的要求，按照方便、周到的原则，不断拓展服务领域，提高服务水平。</w:t>
      </w:r>
    </w:p>
    <w:p w14:paraId="710AAF7B">
      <w:r>
        <w:rPr>
          <w:rFonts w:hint="eastAsia"/>
        </w:rPr>
        <w:t>市容环境卫生专业作业企业应当接受行政主管部门的监督检查。</w:t>
      </w:r>
    </w:p>
    <w:p w14:paraId="74D7803E">
      <w:pPr>
        <w:ind w:firstLine="422"/>
      </w:pPr>
      <w:r>
        <w:rPr>
          <w:rFonts w:hint="eastAsia"/>
          <w:b/>
        </w:rPr>
        <w:t>第七十五条</w:t>
      </w:r>
      <w:r>
        <w:rPr>
          <w:rFonts w:hint="eastAsia"/>
        </w:rPr>
        <w:t>　侮辱、殴打市容环境卫生专业作业人员，妨碍其正常工作或者阻碍城市管理综合执法部门工作人员依法执行职务，构成违反治安管理行为的，由公安机关依照《中华人民共和国治安管理处罚法》予以处罚；构成犯罪的，依法追究刑事责任。</w:t>
      </w:r>
    </w:p>
    <w:p w14:paraId="1B543B4E"/>
    <w:p w14:paraId="4F044DE0">
      <w:pPr>
        <w:ind w:firstLine="0" w:firstLineChars="0"/>
        <w:jc w:val="center"/>
        <w:rPr>
          <w:b/>
          <w:sz w:val="28"/>
        </w:rPr>
      </w:pPr>
      <w:r>
        <w:rPr>
          <w:rFonts w:hint="eastAsia"/>
          <w:b/>
          <w:sz w:val="28"/>
        </w:rPr>
        <w:t>第八章  附  则</w:t>
      </w:r>
    </w:p>
    <w:p w14:paraId="66676D9D"/>
    <w:p w14:paraId="64EA9761">
      <w:pPr>
        <w:ind w:firstLine="422"/>
      </w:pPr>
      <w:r>
        <w:rPr>
          <w:rFonts w:hint="eastAsia"/>
          <w:b/>
        </w:rPr>
        <w:t>第七十六条</w:t>
      </w:r>
      <w:r>
        <w:rPr>
          <w:rFonts w:hint="eastAsia"/>
        </w:rPr>
        <w:t>　市人民政府可以依据本条例制定本市农村地区市容环境卫生管理规定。</w:t>
      </w:r>
    </w:p>
    <w:p w14:paraId="138A0A84">
      <w:pPr>
        <w:ind w:firstLine="422"/>
        <w:rPr>
          <w:rFonts w:hint="eastAsia" w:ascii="宋体" w:hAnsi="宋体" w:eastAsia="宋体" w:cs="宋体"/>
        </w:rPr>
      </w:pPr>
      <w:r>
        <w:rPr>
          <w:rFonts w:hint="eastAsia"/>
          <w:b/>
        </w:rPr>
        <w:t>第七十七条</w:t>
      </w:r>
      <w:r>
        <w:rPr>
          <w:rFonts w:hint="eastAsia"/>
        </w:rPr>
        <w:t>　本条例</w:t>
      </w:r>
      <w:r>
        <w:rPr>
          <w:rFonts w:hint="eastAsia" w:ascii="宋体" w:hAnsi="宋体" w:eastAsia="宋体" w:cs="宋体"/>
        </w:rPr>
        <w:t>自2002年10月1日起施行。</w:t>
      </w:r>
    </w:p>
    <w:p w14:paraId="4C1DCA12">
      <w:pPr>
        <w:rPr>
          <w:rFonts w:hint="eastAsia" w:ascii="宋体" w:hAnsi="宋体" w:eastAsia="宋体" w:cs="宋体"/>
        </w:rPr>
      </w:pPr>
      <w:r>
        <w:rPr>
          <w:rFonts w:hint="eastAsia" w:ascii="宋体" w:hAnsi="宋体" w:eastAsia="宋体" w:cs="宋体"/>
        </w:rPr>
        <w:t>1993年9月17日市第十届人民代表大会常务委员会第五次会议通过、根据1997年4月16日市第十届人民代表大会常务委员会第三十六次会议《关于修改〈北京市城市市容环境卫生条例〉的决定》修正的《北京市市容环境卫生条例》，1994年8月17日市人民政府第17号令发布、根据1997年12月31日市人民政府第12号令修改的《违反〈北京市城市市容环境卫生条例〉行政处罚办法》，1985年11月30日市人民政府京政发[1985]167号文件发布、根据1994年9月5日市人民政府第20号令修改的《北京市人民政府关于加强新建、改建居住区环境卫生管理的规定》，1986年10月29日市人民政府京政发[1986]148号文件发布、根据1994年9月5日市人民政府第20号令第一次修改、根据1997年12月31日市人民政府第12号令第二次修改的《北京市人民政府关于维护楼房阳台整洁的规定》同时废止。</w:t>
      </w:r>
    </w:p>
    <w:p w14:paraId="16ACB67A">
      <w:pPr>
        <w:pStyle w:val="4"/>
        <w:pageBreakBefore/>
      </w:pPr>
      <w:bookmarkStart w:id="2260" w:name="_Toc428780590"/>
      <w:bookmarkStart w:id="2261" w:name="_Toc426467090"/>
      <w:bookmarkStart w:id="2262" w:name="_Toc428781838"/>
      <w:r>
        <w:rPr>
          <w:rFonts w:hint="eastAsia"/>
        </w:rPr>
        <w:t>北京市无障碍设施建设和管理条例</w:t>
      </w:r>
      <w:bookmarkEnd w:id="2260"/>
      <w:bookmarkEnd w:id="2261"/>
      <w:bookmarkEnd w:id="2262"/>
    </w:p>
    <w:p w14:paraId="1C8CB45A">
      <w:pPr>
        <w:ind w:left="630" w:leftChars="300" w:right="630" w:rightChars="300"/>
        <w:rPr>
          <w:rFonts w:ascii="楷体" w:hAnsi="楷体" w:eastAsia="楷体"/>
        </w:rPr>
      </w:pPr>
      <w:r>
        <w:rPr>
          <w:rFonts w:hint="eastAsia" w:ascii="楷体" w:hAnsi="楷体" w:eastAsia="楷体"/>
        </w:rPr>
        <w:t>（2004年4月1日北京市第十二届人民代表大会常务委员会第十次会议通过）</w:t>
      </w:r>
    </w:p>
    <w:p w14:paraId="34D588AF"/>
    <w:p w14:paraId="6A3859ED">
      <w:pPr>
        <w:ind w:firstLine="422"/>
      </w:pPr>
      <w:r>
        <w:rPr>
          <w:rFonts w:hint="eastAsia"/>
          <w:b/>
        </w:rPr>
        <w:t>第一条</w:t>
      </w:r>
      <w:r>
        <w:rPr>
          <w:rFonts w:hint="eastAsia"/>
        </w:rPr>
        <w:t xml:space="preserve">  为了加强本市无障碍设施建设和管理，根据本市实际情况，制定本条例。</w:t>
      </w:r>
    </w:p>
    <w:p w14:paraId="2C37A0E8">
      <w:pPr>
        <w:ind w:firstLine="422"/>
      </w:pPr>
      <w:r>
        <w:rPr>
          <w:rFonts w:hint="eastAsia"/>
          <w:b/>
        </w:rPr>
        <w:t>第二条</w:t>
      </w:r>
      <w:r>
        <w:rPr>
          <w:rFonts w:hint="eastAsia"/>
        </w:rPr>
        <w:t xml:space="preserve">  本市行政区域内的无障碍设施的建设和管理，适用本条例。</w:t>
      </w:r>
    </w:p>
    <w:p w14:paraId="78112BFF">
      <w:r>
        <w:rPr>
          <w:rFonts w:hint="eastAsia"/>
        </w:rPr>
        <w:t>本条例所称无障碍设施是指为了保障残疾人、老年人、儿童及其他行动不便者在居住、出行、工作、休闲娱乐和参加其他社会活动时，能够自主、安全、方便地通行和使用所建设的物质环境。</w:t>
      </w:r>
    </w:p>
    <w:p w14:paraId="0543B628">
      <w:pPr>
        <w:ind w:firstLine="422"/>
      </w:pPr>
      <w:r>
        <w:rPr>
          <w:rFonts w:hint="eastAsia"/>
          <w:b/>
        </w:rPr>
        <w:t>第三条</w:t>
      </w:r>
      <w:r>
        <w:rPr>
          <w:rFonts w:hint="eastAsia"/>
        </w:rPr>
        <w:t xml:space="preserve">  市和区、县人民政府应当将无障碍设施建设纳入国民经济和社会发展计划，保障无障碍设施建设与本市经济和社会发展相适应。</w:t>
      </w:r>
    </w:p>
    <w:p w14:paraId="18643C0B">
      <w:pPr>
        <w:ind w:firstLine="422"/>
      </w:pPr>
      <w:r>
        <w:rPr>
          <w:rFonts w:hint="eastAsia"/>
          <w:b/>
        </w:rPr>
        <w:t>第四条</w:t>
      </w:r>
      <w:r>
        <w:rPr>
          <w:rFonts w:hint="eastAsia"/>
        </w:rPr>
        <w:t xml:space="preserve">  市人民政府对本市无障碍设施建设和管理工作实行统一领导。</w:t>
      </w:r>
    </w:p>
    <w:p w14:paraId="1D103A70">
      <w:r>
        <w:rPr>
          <w:rFonts w:hint="eastAsia"/>
        </w:rPr>
        <w:t>区、县人民政府负责本行政区域内无障碍设施的组织建设、改造和监督管理工作。</w:t>
      </w:r>
    </w:p>
    <w:p w14:paraId="2404ACC4">
      <w:r>
        <w:rPr>
          <w:rFonts w:hint="eastAsia"/>
        </w:rPr>
        <w:t>规划、建设、市政管理、交通、公安、质量技术监督、旅游、园林、国土房管、商务、金融、邮政、电信、文化、教育、体育、卫生等有关行政主管部门依照各自职责负责无障碍设施建设、改造、管理和监督工作。</w:t>
      </w:r>
    </w:p>
    <w:p w14:paraId="118FA1AC">
      <w:r>
        <w:rPr>
          <w:rFonts w:hint="eastAsia"/>
        </w:rPr>
        <w:t>城市管理综合执法组织应当依法对城市道路范围内无障碍设施的正常使用实施监督管理。</w:t>
      </w:r>
    </w:p>
    <w:p w14:paraId="1469C15C">
      <w:r>
        <w:rPr>
          <w:rFonts w:hint="eastAsia"/>
        </w:rPr>
        <w:t>乡镇人民政府和街道办事处负责本辖区内的无障碍设施的监督管理工作。</w:t>
      </w:r>
    </w:p>
    <w:p w14:paraId="31648C14">
      <w:pPr>
        <w:ind w:firstLine="422"/>
      </w:pPr>
      <w:r>
        <w:rPr>
          <w:rFonts w:hint="eastAsia"/>
          <w:b/>
        </w:rPr>
        <w:t>第五条</w:t>
      </w:r>
      <w:r>
        <w:rPr>
          <w:rFonts w:hint="eastAsia"/>
        </w:rPr>
        <w:t xml:space="preserve">  残疾人联合会、老龄工作委员会、妇女联合会等社会团体应当对无障碍设施建设、改造和管理进行监督，向有关行政主管部门提出意见和建议，有关行政主管部门应当研究办理并答复。</w:t>
      </w:r>
    </w:p>
    <w:p w14:paraId="0528A270">
      <w:pPr>
        <w:ind w:firstLine="422"/>
      </w:pPr>
      <w:r>
        <w:rPr>
          <w:rFonts w:hint="eastAsia"/>
          <w:b/>
        </w:rPr>
        <w:t>第六条</w:t>
      </w:r>
      <w:r>
        <w:rPr>
          <w:rFonts w:hint="eastAsia"/>
        </w:rPr>
        <w:t xml:space="preserve">  本市对在无障碍设施建设和管理工作中作出显著成绩的单位和个人给予表彰和奖励。</w:t>
      </w:r>
    </w:p>
    <w:p w14:paraId="12D63ECD">
      <w:pPr>
        <w:ind w:firstLine="422"/>
      </w:pPr>
      <w:r>
        <w:rPr>
          <w:rFonts w:hint="eastAsia"/>
          <w:b/>
        </w:rPr>
        <w:t>第七条</w:t>
      </w:r>
      <w:r>
        <w:rPr>
          <w:rFonts w:hint="eastAsia"/>
        </w:rPr>
        <w:t xml:space="preserve">  本市各级人民政府应当支持无障碍设施的科学技术研究，鼓励无障碍相关产品的研发应用。</w:t>
      </w:r>
    </w:p>
    <w:p w14:paraId="3F10DE10">
      <w:pPr>
        <w:ind w:firstLine="422"/>
      </w:pPr>
      <w:r>
        <w:rPr>
          <w:rFonts w:hint="eastAsia"/>
          <w:b/>
        </w:rPr>
        <w:t>第八条</w:t>
      </w:r>
      <w:r>
        <w:rPr>
          <w:rFonts w:hint="eastAsia"/>
        </w:rPr>
        <w:t xml:space="preserve">  无障碍设施主要包括：</w:t>
      </w:r>
    </w:p>
    <w:p w14:paraId="7BBA6FF4">
      <w:r>
        <w:rPr>
          <w:rFonts w:hint="eastAsia"/>
        </w:rPr>
        <w:t>（一）坡道、缘石坡道、盲道；</w:t>
      </w:r>
    </w:p>
    <w:p w14:paraId="10645A1F">
      <w:r>
        <w:rPr>
          <w:rFonts w:hint="eastAsia"/>
        </w:rPr>
        <w:t>（二）无障碍垂直电梯、升降台等升降装置；</w:t>
      </w:r>
    </w:p>
    <w:p w14:paraId="5151305C">
      <w:r>
        <w:rPr>
          <w:rFonts w:hint="eastAsia"/>
        </w:rPr>
        <w:t>（三）警示信号、提示音响、指示装置；</w:t>
      </w:r>
    </w:p>
    <w:p w14:paraId="6675CCB8">
      <w:r>
        <w:rPr>
          <w:rFonts w:hint="eastAsia"/>
        </w:rPr>
        <w:t>（四）低位装置、专用停车位、专用观众席、安全扶手；</w:t>
      </w:r>
    </w:p>
    <w:p w14:paraId="3B39C293">
      <w:r>
        <w:rPr>
          <w:rFonts w:hint="eastAsia"/>
        </w:rPr>
        <w:t>（五）无障碍厕所、厕位；</w:t>
      </w:r>
    </w:p>
    <w:p w14:paraId="7E9894CE">
      <w:r>
        <w:rPr>
          <w:rFonts w:hint="eastAsia"/>
        </w:rPr>
        <w:t>（六）无障碍标志；</w:t>
      </w:r>
    </w:p>
    <w:p w14:paraId="5FC59803">
      <w:r>
        <w:rPr>
          <w:rFonts w:hint="eastAsia"/>
        </w:rPr>
        <w:t>（七）其他便于残疾人、老年人、儿童及其他行动不便者使用的设施。</w:t>
      </w:r>
    </w:p>
    <w:p w14:paraId="070FA8AF">
      <w:pPr>
        <w:ind w:firstLine="422"/>
      </w:pPr>
      <w:r>
        <w:rPr>
          <w:rFonts w:hint="eastAsia"/>
          <w:b/>
        </w:rPr>
        <w:t>第九条</w:t>
      </w:r>
      <w:r>
        <w:rPr>
          <w:rFonts w:hint="eastAsia"/>
        </w:rPr>
        <w:t xml:space="preserve">  本市新建、扩建和改建公共建筑、居住建筑、城市道路和居住区内道路、公共绿地、公共服务设施的建设单位，必须按照国家《城市道路和建筑物无障碍设计规范》（以下简称《设计规范》）的要求和本市有关规定建设无障碍设施。</w:t>
      </w:r>
    </w:p>
    <w:p w14:paraId="2D6AFB9C">
      <w:r>
        <w:rPr>
          <w:rFonts w:hint="eastAsia"/>
        </w:rPr>
        <w:t>本市根据实际需要，制定有关无障碍设施的规范和地方标准。</w:t>
      </w:r>
    </w:p>
    <w:p w14:paraId="5C126C6D">
      <w:r>
        <w:rPr>
          <w:rFonts w:hint="eastAsia"/>
        </w:rPr>
        <w:t>建设项目的无障碍设施必须与主体工程同时设计、同时施工、同时交付使用。</w:t>
      </w:r>
    </w:p>
    <w:p w14:paraId="7E0ECE5D">
      <w:pPr>
        <w:ind w:firstLine="422"/>
      </w:pPr>
      <w:r>
        <w:rPr>
          <w:rFonts w:hint="eastAsia"/>
          <w:b/>
        </w:rPr>
        <w:t>第十条</w:t>
      </w:r>
      <w:r>
        <w:rPr>
          <w:rFonts w:hint="eastAsia"/>
        </w:rPr>
        <w:t xml:space="preserve">  建设无障碍设施应当符合安全、可达、可用、便利的基本要求，并遵守下列规定：</w:t>
      </w:r>
    </w:p>
    <w:p w14:paraId="00AB754E">
      <w:r>
        <w:rPr>
          <w:rFonts w:hint="eastAsia"/>
        </w:rPr>
        <w:t>（一）人行步道、公共建筑的地面平整、防滑。</w:t>
      </w:r>
    </w:p>
    <w:p w14:paraId="0F345B5B">
      <w:r>
        <w:rPr>
          <w:rFonts w:hint="eastAsia"/>
        </w:rPr>
        <w:t>（二）铺设盲道保持连续，盲道上不得有电线杆、拉线、地下检查井、树木等障碍物，并与周边的公共交通停靠站、过街天桥、地下通道、公共建筑的无障碍设施相连接。</w:t>
      </w:r>
    </w:p>
    <w:p w14:paraId="7C08C3B7">
      <w:r>
        <w:rPr>
          <w:rFonts w:hint="eastAsia"/>
        </w:rPr>
        <w:t>（三）人行步道、公共建筑的出入口设置缘石坡道或者坡道。</w:t>
      </w:r>
    </w:p>
    <w:p w14:paraId="563EB361">
      <w:r>
        <w:rPr>
          <w:rFonts w:hint="eastAsia"/>
        </w:rPr>
        <w:t>（四）公共交通停靠站设置盲文站牌的，盲文站牌的位置、高度、颜色、形式和内容方便视力残疾者使用。</w:t>
      </w:r>
    </w:p>
    <w:p w14:paraId="1C11B6E6">
      <w:r>
        <w:rPr>
          <w:rFonts w:hint="eastAsia"/>
        </w:rPr>
        <w:t>（五）为公众提供服务的区域或者场所设置服务台、电话的，同时设置低位服务台、低位电话。</w:t>
      </w:r>
    </w:p>
    <w:p w14:paraId="006C75EC">
      <w:r>
        <w:rPr>
          <w:rFonts w:hint="eastAsia"/>
        </w:rPr>
        <w:t>（六）公共建筑的玻璃门、玻璃墙、楼梯口、电梯口、通道等处，设置警示性标志或者提示性设施。</w:t>
      </w:r>
    </w:p>
    <w:p w14:paraId="7CA779C4">
      <w:r>
        <w:rPr>
          <w:rFonts w:hint="eastAsia"/>
        </w:rPr>
        <w:t>（七）无障碍设施颜色鲜明，与周围环境有明显区别。</w:t>
      </w:r>
    </w:p>
    <w:p w14:paraId="3E8FD10B">
      <w:r>
        <w:rPr>
          <w:rFonts w:hint="eastAsia"/>
        </w:rPr>
        <w:t>（八）有无障碍设施的，在显著位置设置符合规范和标准的无障碍标志。</w:t>
      </w:r>
    </w:p>
    <w:p w14:paraId="482DE8E0">
      <w:pPr>
        <w:ind w:firstLine="422"/>
      </w:pPr>
      <w:r>
        <w:rPr>
          <w:rFonts w:hint="eastAsia"/>
          <w:b/>
        </w:rPr>
        <w:t>第十一条</w:t>
      </w:r>
      <w:r>
        <w:rPr>
          <w:rFonts w:hint="eastAsia"/>
        </w:rPr>
        <w:t xml:space="preserve">  设计单位在进行建设工程设计时，应当按照《设计规范》和本市有关规定设计无障碍设施。建设工程设计总说明书中应当包括无障碍设施设计内容。</w:t>
      </w:r>
    </w:p>
    <w:p w14:paraId="7A3D26F6">
      <w:pPr>
        <w:ind w:firstLine="422"/>
      </w:pPr>
      <w:r>
        <w:rPr>
          <w:rFonts w:hint="eastAsia"/>
          <w:b/>
        </w:rPr>
        <w:t>第十二条</w:t>
      </w:r>
      <w:r>
        <w:rPr>
          <w:rFonts w:hint="eastAsia"/>
        </w:rPr>
        <w:t xml:space="preserve">  建设单位编制的施工图设计文件未经施工图设计文件审查机构审查合格的，建设行政主管部门不得办理施工许可证件。</w:t>
      </w:r>
    </w:p>
    <w:p w14:paraId="2F1069E1">
      <w:pPr>
        <w:ind w:firstLine="422"/>
      </w:pPr>
      <w:r>
        <w:rPr>
          <w:rFonts w:hint="eastAsia"/>
          <w:b/>
        </w:rPr>
        <w:t>第十三条</w:t>
      </w:r>
      <w:r>
        <w:rPr>
          <w:rFonts w:hint="eastAsia"/>
        </w:rPr>
        <w:t xml:space="preserve">  施工单位应当按照审查合格的施工图设计文件和国家及本市有关施工技术标准和规范进行无障碍设施的施工。</w:t>
      </w:r>
    </w:p>
    <w:p w14:paraId="3E922D83">
      <w:pPr>
        <w:ind w:firstLine="422"/>
      </w:pPr>
      <w:r>
        <w:rPr>
          <w:rFonts w:hint="eastAsia"/>
          <w:b/>
        </w:rPr>
        <w:t>第十四条</w:t>
      </w:r>
      <w:r>
        <w:rPr>
          <w:rFonts w:hint="eastAsia"/>
        </w:rPr>
        <w:t xml:space="preserve">  新建、扩建和改建建设项目的建设单位在组织建设工程竣工验收时，应当同时对无障碍设施进行验收。未按规定进行验收或者验收不合格的，建设行政主管部门不得办理竣工验收备案手续。</w:t>
      </w:r>
    </w:p>
    <w:p w14:paraId="3C5DD38D">
      <w:pPr>
        <w:ind w:firstLine="422"/>
      </w:pPr>
      <w:r>
        <w:rPr>
          <w:rFonts w:hint="eastAsia"/>
          <w:b/>
        </w:rPr>
        <w:t>第十五条</w:t>
      </w:r>
      <w:r>
        <w:rPr>
          <w:rFonts w:hint="eastAsia"/>
        </w:rPr>
        <w:t xml:space="preserve">  对本条例施行前已经建成的公共建筑、居住建筑、城市道路和居住区没有建设无障碍设施或者无障碍设施建设不符合《设计规范》和其他有关规定的，应当按照《设计规范》和其他有关规定进行改造。</w:t>
      </w:r>
    </w:p>
    <w:p w14:paraId="505CBA70">
      <w:pPr>
        <w:ind w:firstLine="422"/>
      </w:pPr>
      <w:r>
        <w:rPr>
          <w:rFonts w:hint="eastAsia"/>
          <w:b/>
        </w:rPr>
        <w:t>第十六条</w:t>
      </w:r>
      <w:r>
        <w:rPr>
          <w:rFonts w:hint="eastAsia"/>
        </w:rPr>
        <w:t xml:space="preserve">  市规划行政主管部门应当会同市交通、公安交通、市政管理、商务、旅游、园林、国土房管、金融、邮政、电信、文化、教育、体育、卫生等有关行政主管部门和区、县人民政府编制本市无障碍设施改造计划，报市人民政府批准。</w:t>
      </w:r>
    </w:p>
    <w:p w14:paraId="6B319700">
      <w:r>
        <w:rPr>
          <w:rFonts w:hint="eastAsia"/>
        </w:rPr>
        <w:t>本市国家机关的对外办公场所、医院、邮局、银行、空港航站、火车站、公共交通停靠站、公共厕所、公园和规模较大的商业、服务业单位的营业、服务场所等公共建筑、城市道路应当优先进行改造。</w:t>
      </w:r>
    </w:p>
    <w:p w14:paraId="470C921D">
      <w:pPr>
        <w:ind w:firstLine="422"/>
      </w:pPr>
      <w:r>
        <w:rPr>
          <w:rFonts w:hint="eastAsia"/>
          <w:b/>
        </w:rPr>
        <w:t>第十七条</w:t>
      </w:r>
      <w:r>
        <w:rPr>
          <w:rFonts w:hint="eastAsia"/>
        </w:rPr>
        <w:t xml:space="preserve">  市交通、公安交通、市政管理、商务、旅游、园林、国土房管、金融、邮政、电信、文化、教育、体育、卫生等有关行政主管部门和区、县人民政府应当根据改造计划组织改造责任人制定改造项目的实施方案。</w:t>
      </w:r>
    </w:p>
    <w:p w14:paraId="57F964D5">
      <w:r>
        <w:rPr>
          <w:rFonts w:hint="eastAsia"/>
        </w:rPr>
        <w:t>前款所称改造责任人是指公共建筑、居住建筑、城市道路和居住区的所有权人；所有权人、管理人和使用人之间约定改造责任的，由约定的责任人负责。</w:t>
      </w:r>
    </w:p>
    <w:p w14:paraId="3FBC918A">
      <w:pPr>
        <w:ind w:firstLine="422"/>
      </w:pPr>
      <w:r>
        <w:rPr>
          <w:rFonts w:hint="eastAsia"/>
          <w:b/>
        </w:rPr>
        <w:t>第十八条</w:t>
      </w:r>
      <w:r>
        <w:rPr>
          <w:rFonts w:hint="eastAsia"/>
        </w:rPr>
        <w:t xml:space="preserve">  改造责任人应当根据实施方案依法组织设计、施工和工程监理。</w:t>
      </w:r>
    </w:p>
    <w:p w14:paraId="3513723B">
      <w:r>
        <w:rPr>
          <w:rFonts w:hint="eastAsia"/>
        </w:rPr>
        <w:t>改造责任人完成无障碍设施改造后，应当组织设计、施工、工程监理等有关单位进行竣工验收。市和区、县建设行政主管部门对本行政区域内的建设工程质量实施监督管理。</w:t>
      </w:r>
    </w:p>
    <w:p w14:paraId="6B357F5C">
      <w:pPr>
        <w:ind w:firstLine="422"/>
      </w:pPr>
      <w:r>
        <w:rPr>
          <w:rFonts w:hint="eastAsia"/>
          <w:b/>
        </w:rPr>
        <w:t>第十九条</w:t>
      </w:r>
      <w:r>
        <w:rPr>
          <w:rFonts w:hint="eastAsia"/>
        </w:rPr>
        <w:t>　被列入改造计划的公共建筑、居住建筑、城市道路和居住区的改造责任人未完成改造任务的，该责任人就同一项目申请扩建或者改建时，规划行政主管部门不得办理有关手续。</w:t>
      </w:r>
    </w:p>
    <w:p w14:paraId="206F50BE">
      <w:pPr>
        <w:ind w:firstLine="422"/>
      </w:pPr>
      <w:r>
        <w:rPr>
          <w:rFonts w:hint="eastAsia"/>
          <w:b/>
        </w:rPr>
        <w:t>第二十条</w:t>
      </w:r>
      <w:r>
        <w:rPr>
          <w:rFonts w:hint="eastAsia"/>
        </w:rPr>
        <w:t xml:space="preserve">  无障碍设的维护管理责任人应当对无障碍设施进行维护和管理，确保无障碍设施正常使用。无障碍设施无法正常使用的，责任人应当及时修复。</w:t>
      </w:r>
    </w:p>
    <w:p w14:paraId="388FA487">
      <w:r>
        <w:rPr>
          <w:rFonts w:hint="eastAsia"/>
        </w:rPr>
        <w:t>前款所称维护管理责任人是指公共建筑、居住建筑、城市道路和居住区内道路、公共绿地、公共服务设施的所有权人；所有权人、管理人和使用人之间约定维护管理责任的，由约定的责任人负责。</w:t>
      </w:r>
    </w:p>
    <w:p w14:paraId="4A83CF31">
      <w:pPr>
        <w:ind w:firstLine="422"/>
      </w:pPr>
      <w:r>
        <w:rPr>
          <w:rFonts w:hint="eastAsia"/>
          <w:b/>
        </w:rPr>
        <w:t>第二十一条</w:t>
      </w:r>
      <w:r>
        <w:rPr>
          <w:rFonts w:hint="eastAsia"/>
        </w:rPr>
        <w:t xml:space="preserve">  本市公共交通运营企业应当按照本市有关规定和市交通行政主管部门的要求，在运营线路上逐步配置无障碍车辆。</w:t>
      </w:r>
    </w:p>
    <w:p w14:paraId="63B4EBCD">
      <w:r>
        <w:rPr>
          <w:rFonts w:hint="eastAsia"/>
        </w:rPr>
        <w:t>本市公共交通运营企业应当在运营车辆上配备字幕报站和语音报站系统并保持正常使用；已配置的运营标志、标识应当保持醒目，便于识别。</w:t>
      </w:r>
    </w:p>
    <w:p w14:paraId="05D29982">
      <w:pPr>
        <w:ind w:firstLine="422"/>
      </w:pPr>
      <w:r>
        <w:rPr>
          <w:rFonts w:hint="eastAsia"/>
          <w:b/>
        </w:rPr>
        <w:t>第二十二条</w:t>
      </w:r>
      <w:r>
        <w:rPr>
          <w:rFonts w:hint="eastAsia"/>
        </w:rPr>
        <w:t xml:space="preserve">  火警、匪警、医疗急救、交通事故等紧急呼叫系统应当具备文字信息报警、呼叫功能，保障听力、言语残疾者报警和急救需要。</w:t>
      </w:r>
    </w:p>
    <w:p w14:paraId="585CA150">
      <w:pPr>
        <w:ind w:firstLine="422"/>
      </w:pPr>
      <w:r>
        <w:rPr>
          <w:rFonts w:hint="eastAsia"/>
          <w:b/>
        </w:rPr>
        <w:t>第二十三条</w:t>
      </w:r>
      <w:r>
        <w:rPr>
          <w:rFonts w:hint="eastAsia"/>
        </w:rPr>
        <w:t xml:space="preserve">  任何单位和个人都应当爱护无障碍设施，不得损毁、违法占用无障碍设施或者改变其用途；对破坏无障碍设施的行为有权劝阻和举报。</w:t>
      </w:r>
    </w:p>
    <w:p w14:paraId="104426B7">
      <w:pPr>
        <w:ind w:firstLine="422"/>
      </w:pPr>
      <w:r>
        <w:rPr>
          <w:rFonts w:hint="eastAsia"/>
          <w:b/>
        </w:rPr>
        <w:t>第二十四条</w:t>
      </w:r>
      <w:r>
        <w:rPr>
          <w:rFonts w:hint="eastAsia"/>
        </w:rPr>
        <w:t xml:space="preserve">  违反本条例第十一条规定，设计单位未按照国家和本市有关无障碍设施设计的规范、标准设计无障碍设施的，由规划行政主管部门责令限期改</w:t>
      </w:r>
      <w:r>
        <w:rPr>
          <w:rFonts w:hint="eastAsia" w:ascii="宋体" w:hAnsi="宋体" w:eastAsia="宋体" w:cs="宋体"/>
        </w:rPr>
        <w:t>正，处10万元以上30</w:t>
      </w:r>
      <w:r>
        <w:rPr>
          <w:rFonts w:hint="eastAsia"/>
        </w:rPr>
        <w:t>万元以下的罚款。</w:t>
      </w:r>
    </w:p>
    <w:p w14:paraId="1CBAC32F">
      <w:pPr>
        <w:ind w:firstLine="422"/>
      </w:pPr>
      <w:r>
        <w:rPr>
          <w:rFonts w:hint="eastAsia"/>
          <w:b/>
        </w:rPr>
        <w:t>第二十五条</w:t>
      </w:r>
      <w:r>
        <w:rPr>
          <w:rFonts w:hint="eastAsia"/>
        </w:rPr>
        <w:t xml:space="preserve">  违反本条例第十三条规定，施工单位未按照审查合格的施工图设计文件和国家及本市有关施工规范、标准，进行无障碍设施施工的，由建设行政主管部门责令限期改正，处工程合同价款</w:t>
      </w:r>
      <w:r>
        <w:rPr>
          <w:rFonts w:hint="eastAsia" w:ascii="宋体" w:hAnsi="宋体" w:eastAsia="宋体" w:cs="宋体"/>
        </w:rPr>
        <w:t>2%以上4%</w:t>
      </w:r>
      <w:r>
        <w:rPr>
          <w:rFonts w:hint="eastAsia"/>
        </w:rPr>
        <w:t>以下的罚款。</w:t>
      </w:r>
    </w:p>
    <w:p w14:paraId="71E37CD4">
      <w:pPr>
        <w:ind w:firstLine="422"/>
      </w:pPr>
      <w:r>
        <w:rPr>
          <w:rFonts w:hint="eastAsia"/>
          <w:b/>
        </w:rPr>
        <w:t>第二十六条</w:t>
      </w:r>
      <w:r>
        <w:rPr>
          <w:rFonts w:hint="eastAsia"/>
        </w:rPr>
        <w:t xml:space="preserve">  违反本条例第十四条规定，建设单位未按规定对建设的无障碍设施进行验收的或者建设的无障碍设施验收不合格即交付使用的，由建设行政主管部门责令改正，处工程合同价</w:t>
      </w:r>
      <w:r>
        <w:rPr>
          <w:rFonts w:hint="eastAsia" w:ascii="宋体" w:hAnsi="宋体" w:eastAsia="宋体" w:cs="宋体"/>
        </w:rPr>
        <w:t>款2%以上4%以</w:t>
      </w:r>
      <w:r>
        <w:rPr>
          <w:rFonts w:hint="eastAsia"/>
        </w:rPr>
        <w:t>下的罚款。</w:t>
      </w:r>
    </w:p>
    <w:p w14:paraId="592588F7">
      <w:pPr>
        <w:ind w:firstLine="422"/>
      </w:pPr>
      <w:r>
        <w:rPr>
          <w:rFonts w:hint="eastAsia"/>
          <w:b/>
        </w:rPr>
        <w:t>第二十七条</w:t>
      </w:r>
      <w:r>
        <w:rPr>
          <w:rFonts w:hint="eastAsia"/>
        </w:rPr>
        <w:t xml:space="preserve">  违反本条例第二十三条规定，损毁、违法占用无障碍设施或者改变无障碍设施用途的，由有关行政主管部门责令停止侵害、恢复原状或者赔偿损失，并可以按照下列规定予以处罚：</w:t>
      </w:r>
    </w:p>
    <w:p w14:paraId="2CD00517">
      <w:r>
        <w:rPr>
          <w:rFonts w:hint="eastAsia"/>
        </w:rPr>
        <w:t>（一）对侵占、挪用或者停止使用公共建筑、居住建筑和居住区内的无障碍设施的，由规划行政主管部</w:t>
      </w:r>
      <w:r>
        <w:rPr>
          <w:rFonts w:hint="eastAsia" w:ascii="宋体" w:hAnsi="宋体" w:eastAsia="宋体" w:cs="宋体"/>
        </w:rPr>
        <w:t>门处3000元以上3万元以</w:t>
      </w:r>
      <w:r>
        <w:rPr>
          <w:rFonts w:hint="eastAsia"/>
        </w:rPr>
        <w:t>下罚款。</w:t>
      </w:r>
    </w:p>
    <w:p w14:paraId="4B95E85B">
      <w:pPr>
        <w:rPr>
          <w:rFonts w:hint="eastAsia" w:ascii="宋体" w:hAnsi="宋体" w:eastAsia="宋体" w:cs="宋体"/>
        </w:rPr>
      </w:pPr>
      <w:r>
        <w:rPr>
          <w:rFonts w:hint="eastAsia"/>
        </w:rPr>
        <w:t>（二）对损毁城市道路范围内无障碍设施的，由城市管理综合执法组织</w:t>
      </w:r>
      <w:r>
        <w:rPr>
          <w:rFonts w:hint="eastAsia" w:ascii="宋体" w:hAnsi="宋体" w:eastAsia="宋体" w:cs="宋体"/>
        </w:rPr>
        <w:t>处500元以上3000元以下罚款。</w:t>
      </w:r>
    </w:p>
    <w:p w14:paraId="551AF9A5">
      <w:r>
        <w:rPr>
          <w:rFonts w:hint="eastAsia"/>
        </w:rPr>
        <w:t>（三）在城市道路上违反规定停放机动车占用无障碍设施的，由公安交通管理部门依照道路交通安全法律法规的有关规定予以处罚；其他违法占用城市道路范围内无障碍设施的，由城市管理综合执法组织依照《北京市市容环境卫生条例》的有关规定予以处罚。</w:t>
      </w:r>
    </w:p>
    <w:p w14:paraId="267A2399">
      <w:r>
        <w:rPr>
          <w:rFonts w:hint="eastAsia"/>
        </w:rPr>
        <w:t>（四）损毁无障碍交通标志和信号设施的，由公安交通管理部门依照道路交通安全法律法规的有关规定予以处罚。</w:t>
      </w:r>
    </w:p>
    <w:p w14:paraId="0FAD41A6">
      <w:pPr>
        <w:ind w:firstLine="422"/>
      </w:pPr>
      <w:r>
        <w:rPr>
          <w:rFonts w:hint="eastAsia"/>
          <w:b/>
        </w:rPr>
        <w:t>第二十八条</w:t>
      </w:r>
      <w:r>
        <w:rPr>
          <w:rFonts w:hint="eastAsia"/>
        </w:rPr>
        <w:t>　行政机关及其工作人员违反本条例规定，不履行法定职责或者滥用职权的，由上级行政机关或者有关部门责令改正，对直接负责的主管人员和其他责任人员依法给予行政处分；构成犯罪的，依法追究刑事责任。</w:t>
      </w:r>
    </w:p>
    <w:p w14:paraId="28784BDF">
      <w:pPr>
        <w:ind w:firstLine="422"/>
        <w:rPr>
          <w:rFonts w:hint="eastAsia" w:ascii="宋体" w:hAnsi="宋体" w:eastAsia="宋体" w:cs="宋体"/>
        </w:rPr>
      </w:pPr>
      <w:r>
        <w:rPr>
          <w:rFonts w:hint="eastAsia"/>
          <w:b/>
        </w:rPr>
        <w:t>第二十九条</w:t>
      </w:r>
      <w:r>
        <w:rPr>
          <w:rFonts w:hint="eastAsia"/>
        </w:rPr>
        <w:t xml:space="preserve">  本条例</w:t>
      </w:r>
      <w:r>
        <w:rPr>
          <w:rFonts w:hint="eastAsia" w:ascii="宋体" w:hAnsi="宋体" w:eastAsia="宋体" w:cs="宋体"/>
        </w:rPr>
        <w:t>自2004年5月16日起施行。2000年5月18日市人民政府发布的《北京市无障碍设施建设管理规定》同时废止。</w:t>
      </w:r>
    </w:p>
    <w:p w14:paraId="32FAC343">
      <w:pPr>
        <w:pStyle w:val="4"/>
        <w:pageBreakBefore/>
      </w:pPr>
      <w:bookmarkStart w:id="2263" w:name="_Toc426467091"/>
      <w:bookmarkStart w:id="2264" w:name="_Toc428781839"/>
      <w:bookmarkStart w:id="2265" w:name="_Toc428780591"/>
      <w:r>
        <w:rPr>
          <w:rFonts w:hint="eastAsia"/>
        </w:rPr>
        <w:t>北京市生活垃圾管理条例</w:t>
      </w:r>
      <w:bookmarkEnd w:id="2263"/>
      <w:bookmarkEnd w:id="2264"/>
      <w:bookmarkEnd w:id="2265"/>
    </w:p>
    <w:p w14:paraId="680DBFC4">
      <w:pPr>
        <w:ind w:left="630" w:leftChars="300" w:right="630" w:rightChars="300"/>
        <w:rPr>
          <w:rFonts w:ascii="楷体" w:hAnsi="楷体" w:eastAsia="楷体"/>
        </w:rPr>
      </w:pPr>
      <w:r>
        <w:rPr>
          <w:rFonts w:hint="eastAsia" w:ascii="楷体" w:hAnsi="楷体" w:eastAsia="楷体"/>
        </w:rPr>
        <w:t>（2011年11月18日北京市第十三届人民代表大会常务委员会第二十八次会议通过）</w:t>
      </w:r>
    </w:p>
    <w:p w14:paraId="38D709D8"/>
    <w:p w14:paraId="764C32FE">
      <w:pPr>
        <w:ind w:firstLine="0" w:firstLineChars="0"/>
        <w:jc w:val="center"/>
        <w:rPr>
          <w:b/>
          <w:sz w:val="28"/>
        </w:rPr>
      </w:pPr>
      <w:r>
        <w:rPr>
          <w:rFonts w:hint="eastAsia"/>
          <w:b/>
          <w:sz w:val="28"/>
        </w:rPr>
        <w:t>第一章　总　则</w:t>
      </w:r>
    </w:p>
    <w:p w14:paraId="23E07976"/>
    <w:p w14:paraId="225B33CA">
      <w:pPr>
        <w:ind w:firstLine="422"/>
      </w:pPr>
      <w:r>
        <w:rPr>
          <w:rFonts w:hint="eastAsia"/>
          <w:b/>
        </w:rPr>
        <w:t>第一条</w:t>
      </w:r>
      <w:r>
        <w:rPr>
          <w:rFonts w:hint="eastAsia"/>
        </w:rPr>
        <w:t xml:space="preserve">  为了加强生活垃圾管理，改善城乡环境，保障人体健康，维护生态安全，促进首都经济社会可持续发展，依据国家有关法律、法规，结合本市实际情况，制定本条例。</w:t>
      </w:r>
    </w:p>
    <w:p w14:paraId="7518F1AF">
      <w:pPr>
        <w:ind w:firstLine="422"/>
      </w:pPr>
      <w:r>
        <w:rPr>
          <w:rFonts w:hint="eastAsia"/>
          <w:b/>
        </w:rPr>
        <w:t>第二条</w:t>
      </w:r>
      <w:r>
        <w:rPr>
          <w:rFonts w:hint="eastAsia"/>
        </w:rPr>
        <w:t xml:space="preserve">  本市行政区域内生活垃圾的管理活动适用本条例。</w:t>
      </w:r>
    </w:p>
    <w:p w14:paraId="208D6BE2">
      <w:r>
        <w:rPr>
          <w:rFonts w:hint="eastAsia"/>
        </w:rPr>
        <w:t>本条例所称生活垃圾，包括单位和个人在日常生活中或者为日常生活提供服务的活动中产生的固体废物，以及法律、行政法规规定视为生活垃圾的建筑垃圾等固体废物。</w:t>
      </w:r>
    </w:p>
    <w:p w14:paraId="5C78D937">
      <w:r>
        <w:rPr>
          <w:rFonts w:hint="eastAsia"/>
        </w:rPr>
        <w:t>危险废物、医疗废物、废弃电器电子产品按照国家相关法律、法规和本市其他有关规定进行管理。</w:t>
      </w:r>
    </w:p>
    <w:p w14:paraId="60138AC3">
      <w:pPr>
        <w:ind w:firstLine="422"/>
      </w:pPr>
      <w:r>
        <w:rPr>
          <w:rFonts w:hint="eastAsia"/>
          <w:b/>
        </w:rPr>
        <w:t>第三条</w:t>
      </w:r>
      <w:r>
        <w:rPr>
          <w:rFonts w:hint="eastAsia"/>
        </w:rPr>
        <w:t xml:space="preserve">  生活垃圾处理是关系民生的基础性公益事业。加强生活垃圾管理，维护公共环境和节约资源是全社会共同的责任。</w:t>
      </w:r>
    </w:p>
    <w:p w14:paraId="00D89A43">
      <w:r>
        <w:rPr>
          <w:rFonts w:hint="eastAsia"/>
        </w:rPr>
        <w:t>本市生活垃圾管理工作遵循减量化、资源化、无害化的方针和城乡统筹、科学规划、综合利用的原则，坚持政府主导、社会参与、全市统筹和属地负责，逐步建立和完善生活垃圾处理的社会服务体系。</w:t>
      </w:r>
    </w:p>
    <w:p w14:paraId="294B08BF">
      <w:pPr>
        <w:ind w:firstLine="422"/>
      </w:pPr>
      <w:r>
        <w:rPr>
          <w:rFonts w:hint="eastAsia"/>
          <w:b/>
        </w:rPr>
        <w:t>第四条</w:t>
      </w:r>
      <w:r>
        <w:rPr>
          <w:rFonts w:hint="eastAsia"/>
        </w:rPr>
        <w:t xml:space="preserve">  生活垃圾管理是本市各级人民政府的重要职责。</w:t>
      </w:r>
    </w:p>
    <w:p w14:paraId="1A958649">
      <w:r>
        <w:rPr>
          <w:rFonts w:hint="eastAsia"/>
        </w:rPr>
        <w:t>市人民政府统一领导全市生活垃圾管理工作，将生活垃圾管理事业纳入本市国民经济和社会发展规划，确定生活垃圾管理目标，统筹设施规划布局，制定促进生活垃圾减量化、资源化、无害化的经济、技术政策和措施，保障生活垃圾治理的资金投入。</w:t>
      </w:r>
    </w:p>
    <w:p w14:paraId="70FC9C07">
      <w:r>
        <w:rPr>
          <w:rFonts w:hint="eastAsia"/>
        </w:rPr>
        <w:t>区、县人民政府负责本行政区域内的生活垃圾管理工作，将生活垃圾管理事业纳入区、县国民经济和社会发展规划，保障生活垃圾治理的资金投入，组织落实市人民政府确定的生活垃圾管理目标。</w:t>
      </w:r>
    </w:p>
    <w:p w14:paraId="07EA908F">
      <w:r>
        <w:rPr>
          <w:rFonts w:hint="eastAsia"/>
        </w:rPr>
        <w:t>乡镇人民政府和街道办事处负责本辖区内生活垃圾的日常管理工作，指导村民委员会、居民委员会组织动员辖区内单位和个人参与生活垃圾减量、分类工作。</w:t>
      </w:r>
    </w:p>
    <w:p w14:paraId="0CF5491F">
      <w:pPr>
        <w:ind w:firstLine="422"/>
      </w:pPr>
      <w:r>
        <w:rPr>
          <w:rFonts w:hint="eastAsia"/>
          <w:b/>
        </w:rPr>
        <w:t>第五条</w:t>
      </w:r>
      <w:r>
        <w:rPr>
          <w:rFonts w:hint="eastAsia"/>
        </w:rPr>
        <w:t xml:space="preserve">  市政市容行政主管部门负责本行政区域内生活垃圾管理工作的综合协调、督促指导、检查考核和生活垃圾投放、收集、运输、处理的监督管理。</w:t>
      </w:r>
    </w:p>
    <w:p w14:paraId="4B841351">
      <w:r>
        <w:rPr>
          <w:rFonts w:hint="eastAsia"/>
        </w:rPr>
        <w:t>发展改革、财政、国土资源、环境保护、规划、住房城乡建设、交通、农村工作、商务、卫生、工商、园林绿化、公安、城管执法等部门，按照法律、法规、规章和本级人民政府确定的职责，相互协调配合，做好生活垃圾管理的相关工作。</w:t>
      </w:r>
    </w:p>
    <w:p w14:paraId="3CB00D78">
      <w:pPr>
        <w:ind w:firstLine="422"/>
      </w:pPr>
      <w:r>
        <w:rPr>
          <w:rFonts w:hint="eastAsia"/>
          <w:b/>
        </w:rPr>
        <w:t>第六条</w:t>
      </w:r>
      <w:r>
        <w:rPr>
          <w:rFonts w:hint="eastAsia"/>
        </w:rPr>
        <w:t xml:space="preserve">  单位和个人应当遵守国家和本市生活垃圾管理的规定，依法履行生活垃圾产生者的责任，减少生活垃圾产生，分类投放生活垃圾，并有权对违反生活垃圾管理的行为进行检举和控告。</w:t>
      </w:r>
    </w:p>
    <w:p w14:paraId="1DDF23E9">
      <w:pPr>
        <w:ind w:firstLine="422"/>
      </w:pPr>
      <w:r>
        <w:rPr>
          <w:rFonts w:hint="eastAsia"/>
          <w:b/>
        </w:rPr>
        <w:t>第七条</w:t>
      </w:r>
      <w:r>
        <w:rPr>
          <w:rFonts w:hint="eastAsia"/>
        </w:rPr>
        <w:t xml:space="preserve">  从事生活垃圾清扫、收集、运输、处理服务的企业事业单位应当按照作业标准以及相关规定，提供安全并符合环境保护要求的服务。</w:t>
      </w:r>
    </w:p>
    <w:p w14:paraId="62DE276F">
      <w:r>
        <w:rPr>
          <w:rFonts w:hint="eastAsia"/>
        </w:rPr>
        <w:t>本市制定鼓励政策，引导社会投资进入生活垃圾清扫、收集、运输、处理及循环利用等领域。</w:t>
      </w:r>
    </w:p>
    <w:p w14:paraId="7F9374BD">
      <w:pPr>
        <w:ind w:firstLine="422"/>
      </w:pPr>
      <w:r>
        <w:rPr>
          <w:rFonts w:hint="eastAsia"/>
          <w:b/>
        </w:rPr>
        <w:t>第八条</w:t>
      </w:r>
      <w:r>
        <w:rPr>
          <w:rFonts w:hint="eastAsia"/>
        </w:rPr>
        <w:t xml:space="preserve">  本市按照多排放多付费、少排放少付费，混合垃圾多付费、分类垃圾少付费的原则，逐步建立计量收费、分类计价、易于收缴的生活垃圾处理收费制度，加强收费管理，促进生活垃圾减量、分类和资源化利用。具体办法由市人民政府制定。</w:t>
      </w:r>
    </w:p>
    <w:p w14:paraId="6C82E990">
      <w:r>
        <w:rPr>
          <w:rFonts w:hint="eastAsia"/>
        </w:rPr>
        <w:t>产生生活垃圾的单位和个人应当按照规定缴纳生活垃圾处理费。</w:t>
      </w:r>
    </w:p>
    <w:p w14:paraId="06812CD7">
      <w:pPr>
        <w:ind w:firstLine="422"/>
      </w:pPr>
      <w:r>
        <w:rPr>
          <w:rFonts w:hint="eastAsia"/>
          <w:b/>
        </w:rPr>
        <w:t>第九条</w:t>
      </w:r>
      <w:r>
        <w:rPr>
          <w:rFonts w:hint="eastAsia"/>
        </w:rPr>
        <w:t xml:space="preserve">  本市坚持高标准建设、高水平运行生活垃圾处理设施，采用先进技术，因地制宜，综合运用焚烧、生化处理、卫生填埋等方法处理生活垃圾，逐步减少生活垃圾填埋量。</w:t>
      </w:r>
    </w:p>
    <w:p w14:paraId="7E683219">
      <w:r>
        <w:rPr>
          <w:rFonts w:hint="eastAsia"/>
        </w:rPr>
        <w:t>本市支持生活垃圾处理的科技创新，促进生活垃圾减量化、资源化、无害化先进技术、工艺的研究开发与转化应用，提高生活垃圾再利用和资源化的科技水平。</w:t>
      </w:r>
    </w:p>
    <w:p w14:paraId="1ABC25CF">
      <w:r>
        <w:rPr>
          <w:rFonts w:hint="eastAsia"/>
        </w:rPr>
        <w:t>本市鼓励单位和个人使用再利用产品、再生产品以及其他有利于生活垃圾减量化、资源化的产品。</w:t>
      </w:r>
    </w:p>
    <w:p w14:paraId="7F5E3C2E">
      <w:pPr>
        <w:ind w:firstLine="422"/>
      </w:pPr>
      <w:r>
        <w:rPr>
          <w:rFonts w:hint="eastAsia"/>
          <w:b/>
        </w:rPr>
        <w:t>第十条</w:t>
      </w:r>
      <w:r>
        <w:rPr>
          <w:rFonts w:hint="eastAsia"/>
        </w:rPr>
        <w:t xml:space="preserve">  报刊、广播、电视和网络等媒体应当加强对生活垃圾管理的宣传，普及相关知识，增强社会公众的生活垃圾减量、分类意识。</w:t>
      </w:r>
    </w:p>
    <w:p w14:paraId="5CB4A1EB">
      <w:r>
        <w:rPr>
          <w:rFonts w:hint="eastAsia"/>
        </w:rPr>
        <w:t>市政市容行政主管部门应当组织生活垃圾集中收集、运输、处理设施对公众开放，建立生活垃圾管理宣传教育基地。</w:t>
      </w:r>
    </w:p>
    <w:p w14:paraId="3F9B6571">
      <w:r>
        <w:rPr>
          <w:rFonts w:hint="eastAsia"/>
        </w:rPr>
        <w:t>教育行政主管部门应当将生活垃圾减量、分类、处理的知识，纳入中小学校课程。</w:t>
      </w:r>
    </w:p>
    <w:p w14:paraId="6020DAA5">
      <w:pPr>
        <w:ind w:firstLine="422"/>
      </w:pPr>
      <w:r>
        <w:rPr>
          <w:rFonts w:hint="eastAsia"/>
          <w:b/>
        </w:rPr>
        <w:t>第十一条</w:t>
      </w:r>
      <w:r>
        <w:rPr>
          <w:rFonts w:hint="eastAsia"/>
        </w:rPr>
        <w:t xml:space="preserve">  本市对在生活垃圾管理工作中做出突出贡献和取得优异成绩的单位和个人给予奖励。</w:t>
      </w:r>
    </w:p>
    <w:p w14:paraId="1289FFC1"/>
    <w:p w14:paraId="7843A766">
      <w:pPr>
        <w:ind w:firstLine="0" w:firstLineChars="0"/>
        <w:jc w:val="center"/>
        <w:rPr>
          <w:b/>
          <w:sz w:val="28"/>
        </w:rPr>
      </w:pPr>
      <w:r>
        <w:rPr>
          <w:rFonts w:hint="eastAsia"/>
          <w:b/>
          <w:sz w:val="28"/>
        </w:rPr>
        <w:t>第二章　规划与建设</w:t>
      </w:r>
    </w:p>
    <w:p w14:paraId="0ED79362"/>
    <w:p w14:paraId="2094C601">
      <w:pPr>
        <w:ind w:firstLine="422"/>
      </w:pPr>
      <w:r>
        <w:rPr>
          <w:rFonts w:hint="eastAsia"/>
          <w:b/>
        </w:rPr>
        <w:t>第十二条</w:t>
      </w:r>
      <w:r>
        <w:rPr>
          <w:rFonts w:hint="eastAsia"/>
        </w:rPr>
        <w:t xml:space="preserve">  市市政市容行政主管部门应当会同市政府有关部门，组织编制市生活垃圾处理规划，报市人民政府批准后实施。涉及设施规划布局和用地的，纳入本市城乡规划和土地利用规划。</w:t>
      </w:r>
    </w:p>
    <w:p w14:paraId="75A0AC44">
      <w:r>
        <w:rPr>
          <w:rFonts w:hint="eastAsia"/>
        </w:rPr>
        <w:t>本市生活垃圾处理规划应当明确生活垃圾处理体系，确定设施总体布局，统筹生活垃圾处理流向、流量。</w:t>
      </w:r>
    </w:p>
    <w:p w14:paraId="67DF01A3">
      <w:pPr>
        <w:ind w:firstLine="422"/>
      </w:pPr>
      <w:r>
        <w:rPr>
          <w:rFonts w:hint="eastAsia"/>
          <w:b/>
        </w:rPr>
        <w:t>第十三条</w:t>
      </w:r>
      <w:r>
        <w:rPr>
          <w:rFonts w:hint="eastAsia"/>
        </w:rPr>
        <w:t xml:space="preserve">  区、县人民政府应当根据市生活垃圾处理规划，组织编制本区、县生活垃圾处理规划，报市市政市容行政主管部门备案。涉及设施建设的，应当与所在地的控制性详细规划相衔接。</w:t>
      </w:r>
    </w:p>
    <w:p w14:paraId="5587734D">
      <w:r>
        <w:rPr>
          <w:rFonts w:hint="eastAsia"/>
        </w:rPr>
        <w:t>区、县生活垃圾处理规划应当明确本区、县生活垃圾的处理方式，确定生活垃圾设施的布局和处理工艺、能力。</w:t>
      </w:r>
    </w:p>
    <w:p w14:paraId="6D9A86A0">
      <w:pPr>
        <w:ind w:firstLine="422"/>
      </w:pPr>
      <w:r>
        <w:rPr>
          <w:rFonts w:hint="eastAsia"/>
          <w:b/>
        </w:rPr>
        <w:t>第十四条</w:t>
      </w:r>
      <w:r>
        <w:rPr>
          <w:rFonts w:hint="eastAsia"/>
        </w:rPr>
        <w:t>　编制涉及生活垃圾处理设施建设的城乡规划，组织编制机关应当依法征求专家和公众的意见。规划草案报送审批前，应当依法予以公告，公告的时间不得少于</w:t>
      </w:r>
      <w:r>
        <w:rPr>
          <w:rFonts w:hint="eastAsia" w:ascii="宋体" w:hAnsi="宋体" w:eastAsia="宋体" w:cs="宋体"/>
        </w:rPr>
        <w:t>30</w:t>
      </w:r>
      <w:r>
        <w:rPr>
          <w:rFonts w:hint="eastAsia"/>
        </w:rPr>
        <w:t>日，报送审批的材料中附意见采纳情况及理由。</w:t>
      </w:r>
    </w:p>
    <w:p w14:paraId="7E72D9EA">
      <w:pPr>
        <w:ind w:firstLine="422"/>
      </w:pPr>
      <w:r>
        <w:rPr>
          <w:rFonts w:hint="eastAsia"/>
          <w:b/>
        </w:rPr>
        <w:t>第十五条</w:t>
      </w:r>
      <w:r>
        <w:rPr>
          <w:rFonts w:hint="eastAsia"/>
        </w:rPr>
        <w:t>　本市有关部门编制城乡规划年度实施计划、年度投资计划、年度土地供应计划时，应当统筹安排重点生活垃圾集中转运、处理设施的建设。</w:t>
      </w:r>
    </w:p>
    <w:p w14:paraId="2A186CAD">
      <w:r>
        <w:rPr>
          <w:rFonts w:hint="eastAsia"/>
        </w:rPr>
        <w:t>区、县人民政府应当根据本市的统筹安排，制定年度生活垃圾集中收集、转运、处理设施的建设工作计划并组织实施，保障生活垃圾集中收集、转运、处理设施的建设与运行。</w:t>
      </w:r>
    </w:p>
    <w:p w14:paraId="0F3C7619">
      <w:pPr>
        <w:ind w:firstLine="422"/>
      </w:pPr>
      <w:r>
        <w:rPr>
          <w:rFonts w:hint="eastAsia"/>
          <w:b/>
        </w:rPr>
        <w:t>第十六条</w:t>
      </w:r>
      <w:r>
        <w:rPr>
          <w:rFonts w:hint="eastAsia"/>
        </w:rPr>
        <w:t>　按照城乡规划、土地利用规划确定的生活垃圾集中收集、转运、处理设施建设用地，未经法定程序，不得改变用途。</w:t>
      </w:r>
    </w:p>
    <w:p w14:paraId="6489E5E0">
      <w:r>
        <w:rPr>
          <w:rFonts w:hint="eastAsia"/>
        </w:rPr>
        <w:t>规划行政主管部门应当会同市政市容、环境保护等有关部门编制生活垃圾处理设施规划管理技术标准，根据设施的工艺和规模，对设施周边地区实施规划控制。</w:t>
      </w:r>
    </w:p>
    <w:p w14:paraId="31DDD8EA">
      <w:pPr>
        <w:ind w:firstLine="422"/>
      </w:pPr>
      <w:r>
        <w:rPr>
          <w:rFonts w:hint="eastAsia"/>
          <w:b/>
        </w:rPr>
        <w:t>第十七条</w:t>
      </w:r>
      <w:r>
        <w:rPr>
          <w:rFonts w:hint="eastAsia"/>
        </w:rPr>
        <w:t>　本市对生活垃圾集中转运、处理设施建设、运行及周边环境保护建设，给予资金、土地等方面的支持与保障。</w:t>
      </w:r>
    </w:p>
    <w:p w14:paraId="4392AA9E">
      <w:pPr>
        <w:ind w:firstLine="422"/>
      </w:pPr>
      <w:r>
        <w:rPr>
          <w:rFonts w:hint="eastAsia"/>
          <w:b/>
        </w:rPr>
        <w:t>第十八条</w:t>
      </w:r>
      <w:r>
        <w:rPr>
          <w:rFonts w:hint="eastAsia"/>
        </w:rPr>
        <w:t>　新建、改建、扩建生活垃圾集中收集、转运、处理设施应当符合生活垃圾处理规划。</w:t>
      </w:r>
    </w:p>
    <w:p w14:paraId="03B715A5">
      <w:r>
        <w:rPr>
          <w:rFonts w:hint="eastAsia"/>
        </w:rPr>
        <w:t>发展改革部门批准、核准生活垃圾集中转运、处理设施建设项目时，应当就项目处理工艺、规模、服务范围等内容征求市政市容行政主管部门的意见，市政市容行政主管部门应当及时提供相关意见。</w:t>
      </w:r>
    </w:p>
    <w:p w14:paraId="6078C9FD">
      <w:pPr>
        <w:ind w:firstLine="422"/>
      </w:pPr>
      <w:r>
        <w:rPr>
          <w:rFonts w:hint="eastAsia"/>
          <w:b/>
        </w:rPr>
        <w:t>第十九条</w:t>
      </w:r>
      <w:r>
        <w:rPr>
          <w:rFonts w:hint="eastAsia"/>
        </w:rPr>
        <w:t>　建设生活垃圾集中转运、处理设施，应当依法进行环境影响评价，分析、预测和评估可能对周围环境造成的影响，并提出环境保护措施。建设单位应当将环境影响评价结论向社会公示。</w:t>
      </w:r>
    </w:p>
    <w:p w14:paraId="0832A005">
      <w:r>
        <w:rPr>
          <w:rFonts w:hint="eastAsia"/>
        </w:rPr>
        <w:t>建设单位在报批环境影响文件前，应当征求有关单位、专家和公众的意见。报送环境影响文件时，应当附具对有关单位、专家和公众的意见采纳或者不采纳的说明。</w:t>
      </w:r>
    </w:p>
    <w:p w14:paraId="4811B58D">
      <w:r>
        <w:rPr>
          <w:rFonts w:hint="eastAsia"/>
        </w:rPr>
        <w:t>生活垃圾集中收集、转运、处理设施建设应当符合国家和本市有关标准，采取密闭、渗沥液处理、防臭、防渗、防尘、防噪声、防遗撒等污染防控措施；现有设施达不到标准要求的，应当制定治理计划，限期进行改造，达到环境保护要求。</w:t>
      </w:r>
    </w:p>
    <w:p w14:paraId="2C5D8915">
      <w:pPr>
        <w:ind w:firstLine="422"/>
      </w:pPr>
      <w:r>
        <w:rPr>
          <w:rFonts w:hint="eastAsia"/>
          <w:b/>
        </w:rPr>
        <w:t>第二十条</w:t>
      </w:r>
      <w:r>
        <w:rPr>
          <w:rFonts w:hint="eastAsia"/>
        </w:rPr>
        <w:t>　市市政市容行政主管部门应当会同市规划、发展改革、住房城乡建设等行政主管部门，组织编制建设工程配套生活垃圾分类设施建设标准。</w:t>
      </w:r>
    </w:p>
    <w:p w14:paraId="73C26A52">
      <w:r>
        <w:rPr>
          <w:rFonts w:hint="eastAsia"/>
        </w:rPr>
        <w:t>市规划行政主管部门应当将建设工程配套生活垃圾分类设施建设标准中的有关内容，纳入本市建设项目公共服务设施配套建设指标，并在对公共建筑项目进行行政许可审查时，就生活垃圾分类设施的配套建设征求市政市容行政主管部门的意见。</w:t>
      </w:r>
    </w:p>
    <w:p w14:paraId="3E8F2177">
      <w:pPr>
        <w:ind w:firstLine="422"/>
      </w:pPr>
      <w:r>
        <w:rPr>
          <w:rFonts w:hint="eastAsia"/>
          <w:b/>
        </w:rPr>
        <w:t>第二十一条</w:t>
      </w:r>
      <w:r>
        <w:rPr>
          <w:rFonts w:hint="eastAsia"/>
        </w:rPr>
        <w:t>　新建、改建、扩建建设项目，应当按照标准配套建设生活垃圾分类设施，建设工程设计方案应当包括配套生活垃圾分类设施的用地平面图并标明用地面积、位置和功能。</w:t>
      </w:r>
    </w:p>
    <w:p w14:paraId="3797745E">
      <w:r>
        <w:rPr>
          <w:rFonts w:hint="eastAsia"/>
        </w:rPr>
        <w:t>建设工程配套生活垃圾分类设施应当与建设项目主体工程同步设计、同步建设、同步交付使用，建设费用纳入建设工程总投资；建设工程竣工后，建设单位应当向市政市容行政主管部门申请验收配套生活垃圾分类设施。</w:t>
      </w:r>
    </w:p>
    <w:p w14:paraId="51EBB481">
      <w:r>
        <w:rPr>
          <w:rFonts w:hint="eastAsia"/>
        </w:rPr>
        <w:t>新建住宅建设项目，建设单位应当在销售场所公示配套生活垃圾分类设施的设置位置、功能等内容，并在房屋买卖合同中明示。</w:t>
      </w:r>
    </w:p>
    <w:p w14:paraId="79346B20">
      <w:pPr>
        <w:ind w:firstLine="422"/>
      </w:pPr>
      <w:r>
        <w:rPr>
          <w:rFonts w:hint="eastAsia"/>
          <w:b/>
        </w:rPr>
        <w:t>第二十二条</w:t>
      </w:r>
      <w:r>
        <w:rPr>
          <w:rFonts w:hint="eastAsia"/>
        </w:rPr>
        <w:t>　任何单位和个人不得擅自拆除、迁移、改建、停用生活垃圾集中收集、转运、处理设施或者改变其用途。确需拆除、迁移、改建、停用生活垃圾集中收集、转运、处理设施的，应当经市政市容行政主管部门和环境保护行政主管部门核准，并按照规定先行重建、补建或者提供替代设施。</w:t>
      </w:r>
    </w:p>
    <w:p w14:paraId="778BD814">
      <w:pPr>
        <w:ind w:firstLine="422"/>
      </w:pPr>
      <w:r>
        <w:rPr>
          <w:rFonts w:hint="eastAsia"/>
          <w:b/>
        </w:rPr>
        <w:t>第二十三条</w:t>
      </w:r>
      <w:r>
        <w:rPr>
          <w:rFonts w:hint="eastAsia"/>
        </w:rPr>
        <w:t>　生活垃圾填埋场停止使用的，运行管理单位应当按照国家和本市相关标准、规定实施封场工程，并做好封场后的维护管理工作。</w:t>
      </w:r>
    </w:p>
    <w:p w14:paraId="49428C84">
      <w:pPr>
        <w:ind w:firstLine="0" w:firstLineChars="0"/>
        <w:jc w:val="center"/>
        <w:rPr>
          <w:b/>
          <w:sz w:val="28"/>
        </w:rPr>
      </w:pPr>
      <w:r>
        <w:rPr>
          <w:rFonts w:hint="eastAsia"/>
          <w:b/>
          <w:sz w:val="28"/>
        </w:rPr>
        <w:t>第三章　减量与分类</w:t>
      </w:r>
    </w:p>
    <w:p w14:paraId="3A09310E"/>
    <w:p w14:paraId="3AD9C3A4">
      <w:pPr>
        <w:ind w:firstLine="422"/>
      </w:pPr>
      <w:r>
        <w:rPr>
          <w:rFonts w:hint="eastAsia"/>
          <w:b/>
        </w:rPr>
        <w:t>第二十四条</w:t>
      </w:r>
      <w:r>
        <w:rPr>
          <w:rFonts w:hint="eastAsia"/>
        </w:rPr>
        <w:t>　生产者、销售者应当严格执行国家和本市对限制产品过度包装的标准和要求，减少包装材料的过度使用和包装性废物的产生；对列入国家强制回收目录的产品和包装物按照规定予以标注，并进行回收。</w:t>
      </w:r>
    </w:p>
    <w:p w14:paraId="50EBD3F5">
      <w:pPr>
        <w:ind w:firstLine="422"/>
      </w:pPr>
      <w:r>
        <w:rPr>
          <w:rFonts w:hint="eastAsia"/>
          <w:b/>
        </w:rPr>
        <w:t>第二十五条</w:t>
      </w:r>
      <w:r>
        <w:rPr>
          <w:rFonts w:hint="eastAsia"/>
        </w:rPr>
        <w:t>　单位和个人应当减少使用或者按照规定不使用一次性用品，优先采购可重复使用和再利用产品。</w:t>
      </w:r>
    </w:p>
    <w:p w14:paraId="6E46DBE8">
      <w:r>
        <w:rPr>
          <w:rFonts w:hint="eastAsia"/>
        </w:rPr>
        <w:t>本市鼓励净菜上市，提倡有条件的居住区、家庭安装符合标准的厨余垃圾处理装置。</w:t>
      </w:r>
    </w:p>
    <w:p w14:paraId="05993316">
      <w:pPr>
        <w:ind w:firstLine="422"/>
      </w:pPr>
      <w:r>
        <w:rPr>
          <w:rFonts w:hint="eastAsia"/>
          <w:b/>
        </w:rPr>
        <w:t>第二十六条</w:t>
      </w:r>
      <w:r>
        <w:rPr>
          <w:rFonts w:hint="eastAsia"/>
        </w:rPr>
        <w:t>　餐饮经营单位应当在餐饮服务场所设置不剩餐的醒目标识，在服务过程中提示消费者合理消费，适量点餐。</w:t>
      </w:r>
    </w:p>
    <w:p w14:paraId="19D7A374">
      <w:r>
        <w:rPr>
          <w:rFonts w:hint="eastAsia"/>
        </w:rPr>
        <w:t>餐饮行业协会应当在餐厨垃圾减量化工作中发挥行业自律和服务作用，引导企业行为，推广先进技术，督促落实本市餐厨垃圾管理的有关规定。</w:t>
      </w:r>
    </w:p>
    <w:p w14:paraId="1365EC26">
      <w:pPr>
        <w:ind w:firstLine="422"/>
      </w:pPr>
      <w:r>
        <w:rPr>
          <w:rFonts w:hint="eastAsia"/>
          <w:b/>
        </w:rPr>
        <w:t>第二十七条</w:t>
      </w:r>
      <w:r>
        <w:rPr>
          <w:rFonts w:hint="eastAsia"/>
        </w:rPr>
        <w:t>　市和区县人民政府应当加快建筑垃圾资源化处理设施建设，提高处理能力，并制定建筑垃圾综合管理循环利用政策，促进建筑垃圾排放减量化、运输规范化、处置资源化以及再生产品利用规模化。</w:t>
      </w:r>
    </w:p>
    <w:p w14:paraId="3A8800B4">
      <w:r>
        <w:rPr>
          <w:rFonts w:hint="eastAsia"/>
        </w:rPr>
        <w:t>本市市政市容、住房城乡建设等相关行政主管部门应当加强对建筑垃圾的全程控制和管理，制定建筑垃圾再生产品质量标准、应用技术规程，采取措施鼓励建设工程选用建筑垃圾再生产品和可回收利用的建筑材料，支持建筑垃圾再生产品的生产企业发展。</w:t>
      </w:r>
    </w:p>
    <w:p w14:paraId="0F5133C8">
      <w:r>
        <w:rPr>
          <w:rFonts w:hint="eastAsia"/>
        </w:rPr>
        <w:t>建设单位、施工单位应当根据建筑垃圾减排处理和绿色施工有关规定，采取措施减少建筑垃圾的产生，对施工工地的建筑垃圾实施集中分类管理；具备条件的，对工程施工中产生的建筑垃圾进行综合利用。</w:t>
      </w:r>
    </w:p>
    <w:p w14:paraId="217E99DC">
      <w:pPr>
        <w:ind w:firstLine="422"/>
      </w:pPr>
      <w:r>
        <w:rPr>
          <w:rFonts w:hint="eastAsia"/>
          <w:b/>
        </w:rPr>
        <w:t>第二十八条</w:t>
      </w:r>
      <w:r>
        <w:rPr>
          <w:rFonts w:hint="eastAsia"/>
        </w:rPr>
        <w:t>　市商务行政主管部门应当会同有关部门编制再生资源回收体系建设规划，建立健全再生资源回收体系，合理布局再生资源回收网点，规范再生资源回收市场秩序，加强服务与管理。</w:t>
      </w:r>
    </w:p>
    <w:p w14:paraId="3F33543C">
      <w:pPr>
        <w:ind w:firstLine="422"/>
      </w:pPr>
      <w:r>
        <w:rPr>
          <w:rFonts w:hint="eastAsia"/>
          <w:b/>
        </w:rPr>
        <w:t>第二十九条</w:t>
      </w:r>
      <w:r>
        <w:rPr>
          <w:rFonts w:hint="eastAsia"/>
        </w:rPr>
        <w:t>　可回收物应当交由经商务行政主管部门备案的再生资源回收经营者处置，或者投入可回收物收集容器中。</w:t>
      </w:r>
    </w:p>
    <w:p w14:paraId="02821ABC">
      <w:r>
        <w:rPr>
          <w:rFonts w:hint="eastAsia"/>
        </w:rPr>
        <w:t>市商务行政主管部门应当会同有关部门制定并公布可回收目录，将回收统计数据纳入生活垃圾统计内容。</w:t>
      </w:r>
    </w:p>
    <w:p w14:paraId="09552B20">
      <w:pPr>
        <w:ind w:firstLine="422"/>
      </w:pPr>
      <w:r>
        <w:rPr>
          <w:rFonts w:hint="eastAsia"/>
          <w:b/>
        </w:rPr>
        <w:t>第三十条</w:t>
      </w:r>
      <w:r>
        <w:rPr>
          <w:rFonts w:hint="eastAsia"/>
        </w:rPr>
        <w:t>　再生资源回收经营者应当到区县商务行政主管部门备案，并遵守下列规定：</w:t>
      </w:r>
    </w:p>
    <w:p w14:paraId="66337738">
      <w:bookmarkStart w:id="2266" w:name="_Toc428780592"/>
      <w:r>
        <w:rPr>
          <w:rFonts w:hint="eastAsia"/>
        </w:rPr>
        <w:t>（一）在服务范围内，公示可回收物目录，公布回收价格及服务电话；</w:t>
      </w:r>
      <w:bookmarkEnd w:id="2266"/>
    </w:p>
    <w:p w14:paraId="3FC398F4">
      <w:r>
        <w:rPr>
          <w:rFonts w:hint="eastAsia"/>
        </w:rPr>
        <w:t>（二）根据可回收物目录，扩大收集渠道，做到应收尽收；</w:t>
      </w:r>
    </w:p>
    <w:p w14:paraId="2C974AD5">
      <w:bookmarkStart w:id="2267" w:name="_Toc428780593"/>
      <w:r>
        <w:rPr>
          <w:rFonts w:hint="eastAsia"/>
        </w:rPr>
        <w:t>（三）配备相应的贮存设施设备，不同种类的物品应当分类贮存；</w:t>
      </w:r>
      <w:bookmarkEnd w:id="2267"/>
    </w:p>
    <w:p w14:paraId="01B850E2">
      <w:r>
        <w:rPr>
          <w:rFonts w:hint="eastAsia"/>
        </w:rPr>
        <w:t>（四）运输可回收物品，采取措施防止扬散、渗漏；</w:t>
      </w:r>
    </w:p>
    <w:p w14:paraId="5F6429AB">
      <w:r>
        <w:rPr>
          <w:rFonts w:hint="eastAsia"/>
        </w:rPr>
        <w:t>（五）消防、环境保护和市容环境卫生等法律、法规、规章的其他规定。</w:t>
      </w:r>
    </w:p>
    <w:p w14:paraId="671C8F54">
      <w:r>
        <w:rPr>
          <w:rFonts w:hint="eastAsia"/>
        </w:rPr>
        <w:t>再生资源回收经营者可以采取固定站点回收、定时定点回收、上门回收等方式，开展回收服务，方便单位和个人交售可回收物品。</w:t>
      </w:r>
    </w:p>
    <w:p w14:paraId="51FFB90E">
      <w:pPr>
        <w:ind w:firstLine="422"/>
      </w:pPr>
      <w:r>
        <w:rPr>
          <w:rFonts w:hint="eastAsia"/>
          <w:b/>
        </w:rPr>
        <w:t>第三十一条</w:t>
      </w:r>
      <w:r>
        <w:rPr>
          <w:rFonts w:hint="eastAsia"/>
        </w:rPr>
        <w:t>　本市按照全程管理、系统衔接、科学分类、适应处理的原则建立生活垃圾分类制度，对生活垃圾实行分类投放、分类收集、分类运输、分类处理。具体办法由市人民政府制定。</w:t>
      </w:r>
    </w:p>
    <w:p w14:paraId="41F4D884">
      <w:r>
        <w:rPr>
          <w:rFonts w:hint="eastAsia"/>
        </w:rPr>
        <w:t>市市政市容行政主管部门应当会同有关部门根据有利于减量化、资源化和便于识别、便于分类投放的原则，以及本市生活垃圾的特性、处理方式，制定生活垃圾分类标准向社会公布，并根据生活垃圾处理结构的变化进行调整。</w:t>
      </w:r>
    </w:p>
    <w:p w14:paraId="3B63787B">
      <w:r>
        <w:rPr>
          <w:rFonts w:hint="eastAsia"/>
        </w:rPr>
        <w:t>产生生活垃圾的单位和个人应当按照下列规定分类投放生活垃圾：</w:t>
      </w:r>
    </w:p>
    <w:p w14:paraId="7D045E46">
      <w:r>
        <w:rPr>
          <w:rFonts w:hint="eastAsia"/>
        </w:rPr>
        <w:t>（一）餐厨垃圾、厨余垃圾、可回收物、其他垃圾分别投入相应标识的收集容器；</w:t>
      </w:r>
    </w:p>
    <w:p w14:paraId="63AEB678">
      <w:r>
        <w:rPr>
          <w:rFonts w:hint="eastAsia"/>
        </w:rPr>
        <w:t>（二）废旧家具等体积较大的废弃物品，单独堆放在生活垃圾分类管理责任人指定的地点；</w:t>
      </w:r>
    </w:p>
    <w:p w14:paraId="52DBAD80">
      <w:r>
        <w:rPr>
          <w:rFonts w:hint="eastAsia"/>
        </w:rPr>
        <w:t>（三）建筑垃圾按照生活垃圾分类管理责任人指定的时间、地点和要求单独堆放；</w:t>
      </w:r>
    </w:p>
    <w:p w14:paraId="61E8874A">
      <w:r>
        <w:rPr>
          <w:rFonts w:hint="eastAsia"/>
        </w:rPr>
        <w:t>（四）农村村民日常生活中产生的灰土单独投放在相应的容器或者分类管理责任人指定的地点；</w:t>
      </w:r>
    </w:p>
    <w:p w14:paraId="71F8D591">
      <w:r>
        <w:rPr>
          <w:rFonts w:hint="eastAsia"/>
        </w:rPr>
        <w:t>（五）国家和本市有关生活垃圾分类投放的其他规定。</w:t>
      </w:r>
    </w:p>
    <w:p w14:paraId="32716E29">
      <w:r>
        <w:rPr>
          <w:rFonts w:hint="eastAsia"/>
        </w:rPr>
        <w:t>危险废物、医疗废物、废弃电器电子产品应当单独收集，不得混入生活垃圾。</w:t>
      </w:r>
    </w:p>
    <w:p w14:paraId="7F2729DC">
      <w:pPr>
        <w:ind w:firstLine="422"/>
      </w:pPr>
      <w:r>
        <w:rPr>
          <w:rFonts w:hint="eastAsia"/>
          <w:b/>
        </w:rPr>
        <w:t>第三十二条</w:t>
      </w:r>
      <w:r>
        <w:rPr>
          <w:rFonts w:hint="eastAsia"/>
        </w:rPr>
        <w:t>　本市实行生活垃圾分类管理责任人制度。生活垃圾分类管理责任人按照下列规定确定：</w:t>
      </w:r>
    </w:p>
    <w:p w14:paraId="085FCC3D">
      <w:r>
        <w:rPr>
          <w:rFonts w:hint="eastAsia"/>
        </w:rPr>
        <w:t>（一）城市居住地区，包括住宅小区、胡同、街巷等，实行物业管理的，由物业管理单位负责；单位自管的，由自管的单位负责。</w:t>
      </w:r>
    </w:p>
    <w:p w14:paraId="1F7D75F7">
      <w:r>
        <w:rPr>
          <w:rFonts w:hint="eastAsia"/>
        </w:rPr>
        <w:t>（二）农村居住地区，由村民委员会负责。</w:t>
      </w:r>
    </w:p>
    <w:p w14:paraId="79653E40">
      <w:r>
        <w:rPr>
          <w:rFonts w:hint="eastAsia"/>
        </w:rPr>
        <w:t>（三）机关、部队、企业事业单位、社会团体及其他组织的办公管理区域，由本单位负责。</w:t>
      </w:r>
    </w:p>
    <w:p w14:paraId="0FA6ACF7">
      <w:r>
        <w:rPr>
          <w:rFonts w:hint="eastAsia"/>
        </w:rPr>
        <w:t>（四）公共建筑，由所有权人负责；所有权人委托管理单位管理的，由管理单位负责。</w:t>
      </w:r>
    </w:p>
    <w:p w14:paraId="6452CD28">
      <w:r>
        <w:rPr>
          <w:rFonts w:hint="eastAsia"/>
        </w:rPr>
        <w:t>（五）建设工程的施工现场，由建设单位负责。</w:t>
      </w:r>
    </w:p>
    <w:p w14:paraId="269BE7C3">
      <w:r>
        <w:rPr>
          <w:rFonts w:hint="eastAsia"/>
        </w:rPr>
        <w:t>（六）集贸市场、商场、展览展销、餐饮服务、沿街商铺等经营场所，由经营管理单位负责。</w:t>
      </w:r>
    </w:p>
    <w:p w14:paraId="6862CBB0">
      <w:r>
        <w:rPr>
          <w:rFonts w:hint="eastAsia"/>
        </w:rPr>
        <w:t>（七）机场、火车站、长途客运站、公交场站、轨道交通车站，由管理单位负责。</w:t>
      </w:r>
    </w:p>
    <w:p w14:paraId="69F5C6C6">
      <w:r>
        <w:rPr>
          <w:rFonts w:hint="eastAsia"/>
        </w:rPr>
        <w:t>（八）河湖及其管理范围，由河湖管理单位负责。</w:t>
      </w:r>
    </w:p>
    <w:p w14:paraId="63DCC7A9">
      <w:r>
        <w:rPr>
          <w:rFonts w:hint="eastAsia"/>
        </w:rPr>
        <w:t>（九）公园、风景名胜区、旅游景点，由管理单位负责。</w:t>
      </w:r>
    </w:p>
    <w:p w14:paraId="18414BC1">
      <w:r>
        <w:rPr>
          <w:rFonts w:hint="eastAsia"/>
        </w:rPr>
        <w:t>（十）城市道路、公路及其人行过街桥、人行地下过街通道等附属设施，由清扫保洁单位负责。</w:t>
      </w:r>
    </w:p>
    <w:p w14:paraId="51E2F246">
      <w:r>
        <w:rPr>
          <w:rFonts w:hint="eastAsia"/>
        </w:rPr>
        <w:t>按照前款规定不能确定生活垃圾分类管理责任人的，由所在地街道办事处或者乡镇人民政府负责。</w:t>
      </w:r>
    </w:p>
    <w:p w14:paraId="61622292">
      <w:pPr>
        <w:ind w:firstLine="422"/>
      </w:pPr>
      <w:r>
        <w:rPr>
          <w:rFonts w:hint="eastAsia"/>
          <w:b/>
        </w:rPr>
        <w:t>第三十三条</w:t>
      </w:r>
      <w:r>
        <w:rPr>
          <w:rFonts w:hint="eastAsia"/>
        </w:rPr>
        <w:t xml:space="preserve">  生活垃圾分类管理责任人应当遵守下列规定：</w:t>
      </w:r>
    </w:p>
    <w:p w14:paraId="71CA4329">
      <w:bookmarkStart w:id="2268" w:name="_Toc428780594"/>
      <w:r>
        <w:rPr>
          <w:rFonts w:hint="eastAsia"/>
        </w:rPr>
        <w:t>（一）建立生活垃圾分类日常管理制度；</w:t>
      </w:r>
      <w:bookmarkEnd w:id="2268"/>
    </w:p>
    <w:p w14:paraId="1BE90E50">
      <w:r>
        <w:rPr>
          <w:rFonts w:hint="eastAsia"/>
        </w:rPr>
        <w:t>（二）在责任范围内开展生活垃圾分类知识宣传，指导、监督单位和个人进行生活垃圾分类；</w:t>
      </w:r>
    </w:p>
    <w:p w14:paraId="02229D03">
      <w:r>
        <w:rPr>
          <w:rFonts w:hint="eastAsia"/>
        </w:rPr>
        <w:t>（三）根据生活垃圾产生量和分类方法，按照相关规定设置生活垃圾分类收集容器，并保持生活垃圾分类收集容器完好和整洁美观，出现破旧、污损或者数量不足的，及时维修、更换、清洗或者补设；</w:t>
      </w:r>
    </w:p>
    <w:p w14:paraId="1F0FA923">
      <w:r>
        <w:rPr>
          <w:rFonts w:hint="eastAsia"/>
        </w:rPr>
        <w:t>（四）明确不同种类生活垃圾的投放时间、地点，分类收集、贮存生活垃圾；</w:t>
      </w:r>
    </w:p>
    <w:p w14:paraId="6BF91AEA">
      <w:r>
        <w:rPr>
          <w:rFonts w:hint="eastAsia"/>
        </w:rPr>
        <w:t>（五）将生活垃圾交由有资质的单位收集运输，并签订生活垃圾收集运输服务合同，合同示范文本由市市政市容行政主管部门会同相关部门制定并公布；</w:t>
      </w:r>
    </w:p>
    <w:p w14:paraId="77B137C2">
      <w:bookmarkStart w:id="2269" w:name="_Toc428780595"/>
      <w:r>
        <w:rPr>
          <w:rFonts w:hint="eastAsia"/>
        </w:rPr>
        <w:t>（六）及时制止翻拣混合已分类的生活垃圾的行为；</w:t>
      </w:r>
      <w:bookmarkEnd w:id="2269"/>
    </w:p>
    <w:p w14:paraId="3D4969DD">
      <w:r>
        <w:rPr>
          <w:rFonts w:hint="eastAsia"/>
        </w:rPr>
        <w:t>（七）国家和本市的其他规定。</w:t>
      </w:r>
    </w:p>
    <w:p w14:paraId="517C2814">
      <w:pPr>
        <w:ind w:firstLine="422"/>
      </w:pPr>
      <w:r>
        <w:rPr>
          <w:rFonts w:hint="eastAsia"/>
          <w:b/>
        </w:rPr>
        <w:t>第三十四条</w:t>
      </w:r>
      <w:r>
        <w:rPr>
          <w:rFonts w:hint="eastAsia"/>
        </w:rPr>
        <w:t>　生活垃圾分类管理责任人应当按照规定，向所在地的街道办事处或者乡镇人民政府进行生活垃圾排放登记，并提供生活垃圾收集运输服务合同。</w:t>
      </w:r>
    </w:p>
    <w:p w14:paraId="0CE1A531">
      <w:r>
        <w:rPr>
          <w:rFonts w:hint="eastAsia"/>
        </w:rPr>
        <w:t>生活垃圾分类管理责任人应当建立生活垃圾管理台账，记录责任范围内实际产生的生活垃圾的种类、数量、运输者、去向等情况，并定期向所在地的街道办事处或者乡镇人民政府报告。</w:t>
      </w:r>
    </w:p>
    <w:p w14:paraId="5E174C36">
      <w:r>
        <w:rPr>
          <w:rFonts w:hint="eastAsia"/>
        </w:rPr>
        <w:t>街道办事处和乡镇人民政府应当及时将数据汇总录入生活垃圾管理信息系统。</w:t>
      </w:r>
    </w:p>
    <w:p w14:paraId="093B2C69">
      <w:pPr>
        <w:ind w:firstLine="422"/>
      </w:pPr>
      <w:r>
        <w:rPr>
          <w:rFonts w:hint="eastAsia"/>
          <w:b/>
        </w:rPr>
        <w:t>第三十五条</w:t>
      </w:r>
      <w:r>
        <w:rPr>
          <w:rFonts w:hint="eastAsia"/>
        </w:rPr>
        <w:t>　新建、改建、扩建建设项目的建设单位，建筑物、构筑物等拆除工程和城市道路、公路等施工工程的承担单位应当在施工前，依法办理渣土消纳许可。渣土消纳许可应当在施工现场公示。</w:t>
      </w:r>
    </w:p>
    <w:p w14:paraId="7DB10066">
      <w:r>
        <w:rPr>
          <w:rFonts w:hint="eastAsia"/>
        </w:rPr>
        <w:t>拆除工程的承担单位向住房城乡建设行政主管部门办理拆除工程施工备案时，堆放、清除废弃物的措施资料中应当包含渣土消纳许可证。</w:t>
      </w:r>
    </w:p>
    <w:p w14:paraId="7CE4E8C4">
      <w:pPr>
        <w:ind w:firstLine="422"/>
      </w:pPr>
      <w:r>
        <w:rPr>
          <w:rFonts w:hint="eastAsia"/>
          <w:b/>
        </w:rPr>
        <w:t>第三十六条</w:t>
      </w:r>
      <w:r>
        <w:rPr>
          <w:rFonts w:hint="eastAsia"/>
        </w:rPr>
        <w:t xml:space="preserve">  居民在装饰装修过程中产生建筑垃圾，应当按照生活垃圾分类管理责任人规定的时间、地点和要求单独堆放，并承担处理费用；生活垃圾分类管理责任人应当依法办理渣土消纳许可。</w:t>
      </w:r>
    </w:p>
    <w:p w14:paraId="73426027">
      <w:pPr>
        <w:ind w:firstLine="422"/>
      </w:pPr>
      <w:r>
        <w:rPr>
          <w:rFonts w:hint="eastAsia"/>
          <w:b/>
        </w:rPr>
        <w:t>第三十七条</w:t>
      </w:r>
      <w:r>
        <w:rPr>
          <w:rFonts w:hint="eastAsia"/>
        </w:rPr>
        <w:t xml:space="preserve">  单位和个人应当按照生活垃圾分类管理责任人公示的时间、地点投放生活垃圾，不得随意丢弃、抛撒生活垃圾。</w:t>
      </w:r>
    </w:p>
    <w:p w14:paraId="607689CA"/>
    <w:p w14:paraId="2278F132">
      <w:pPr>
        <w:ind w:firstLine="0" w:firstLineChars="0"/>
        <w:jc w:val="center"/>
        <w:rPr>
          <w:b/>
          <w:sz w:val="28"/>
        </w:rPr>
      </w:pPr>
      <w:r>
        <w:rPr>
          <w:rFonts w:hint="eastAsia"/>
          <w:b/>
          <w:sz w:val="28"/>
        </w:rPr>
        <w:t>第四章　收集、运输与处理</w:t>
      </w:r>
    </w:p>
    <w:p w14:paraId="0D0330B1"/>
    <w:p w14:paraId="7739084A">
      <w:pPr>
        <w:ind w:firstLine="422"/>
      </w:pPr>
      <w:r>
        <w:rPr>
          <w:rFonts w:hint="eastAsia"/>
          <w:b/>
        </w:rPr>
        <w:t>第三十八条</w:t>
      </w:r>
      <w:r>
        <w:rPr>
          <w:rFonts w:hint="eastAsia"/>
        </w:rPr>
        <w:t>　从事生活垃圾收集、运输服务的企业，应当取得生活垃圾收集、运输经营许可。</w:t>
      </w:r>
    </w:p>
    <w:p w14:paraId="613AE3F3">
      <w:pPr>
        <w:ind w:firstLine="422"/>
      </w:pPr>
      <w:r>
        <w:rPr>
          <w:rFonts w:hint="eastAsia"/>
          <w:b/>
        </w:rPr>
        <w:t>第三十九条</w:t>
      </w:r>
      <w:r>
        <w:rPr>
          <w:rFonts w:hint="eastAsia"/>
        </w:rPr>
        <w:t>　运输生活垃圾的车辆应当取得生活垃圾准运证。运输餐厨垃圾或渣土、砂石、土方、灰浆等建筑垃圾，应当专车专用并符合相关规定。</w:t>
      </w:r>
    </w:p>
    <w:p w14:paraId="5ECD4ACC">
      <w:pPr>
        <w:ind w:firstLine="422"/>
      </w:pPr>
      <w:r>
        <w:rPr>
          <w:rFonts w:hint="eastAsia"/>
          <w:b/>
        </w:rPr>
        <w:t>第四十条</w:t>
      </w:r>
      <w:r>
        <w:rPr>
          <w:rFonts w:hint="eastAsia"/>
        </w:rPr>
        <w:t>　收集、运输生活垃圾的单位应当遵守下列规定：</w:t>
      </w:r>
    </w:p>
    <w:p w14:paraId="5EB782B8">
      <w:r>
        <w:rPr>
          <w:rFonts w:hint="eastAsia"/>
        </w:rPr>
        <w:t>（一）按时、分类收集、运输不同种类的生活垃圾，根据生活垃圾收集量、分类方法、作业时间等因素，配备符合标准的收集工具、运输车辆以及符合要求的人员；</w:t>
      </w:r>
    </w:p>
    <w:p w14:paraId="29D1DDF0">
      <w:r>
        <w:rPr>
          <w:rFonts w:hint="eastAsia"/>
        </w:rPr>
        <w:t>（二）将生活垃圾分类运输至集中收集设施或者符合规定的转运、处理设施，不得混装混运，不得随意倾倒、丢弃、遗撒、堆放；</w:t>
      </w:r>
    </w:p>
    <w:p w14:paraId="2DBD3D01">
      <w:r>
        <w:rPr>
          <w:rFonts w:hint="eastAsia"/>
        </w:rPr>
        <w:t>（三）建立生活垃圾管理台账，记录生活垃圾来源、种类、数量、去向等情况，并向区、县市政市容行政主管部门报告；</w:t>
      </w:r>
    </w:p>
    <w:p w14:paraId="5B6A6C15">
      <w:r>
        <w:rPr>
          <w:rFonts w:hint="eastAsia"/>
        </w:rPr>
        <w:t>（四）国家和本市的其他规定。</w:t>
      </w:r>
    </w:p>
    <w:p w14:paraId="042FA2F8">
      <w:pPr>
        <w:ind w:firstLine="422"/>
      </w:pPr>
      <w:r>
        <w:rPr>
          <w:rFonts w:hint="eastAsia"/>
          <w:b/>
        </w:rPr>
        <w:t>第四十一条</w:t>
      </w:r>
      <w:r>
        <w:rPr>
          <w:rFonts w:hint="eastAsia"/>
        </w:rPr>
        <w:t>　生活垃圾集中转运、处理设施的运行管理单位应当按照要求接收生活垃圾，并进行分类处理。</w:t>
      </w:r>
    </w:p>
    <w:p w14:paraId="77E14F79">
      <w:r>
        <w:rPr>
          <w:rFonts w:hint="eastAsia"/>
        </w:rPr>
        <w:t>从事生活垃圾经营性处理服务的企业，应当取得市政市容行政主管部门核发的生活垃圾处理经营许可。</w:t>
      </w:r>
    </w:p>
    <w:p w14:paraId="5A7E388F">
      <w:r>
        <w:rPr>
          <w:rFonts w:hint="eastAsia"/>
        </w:rPr>
        <w:t>设置建筑垃圾消纳场所的，应当取得市政市容行政主管部门核发的建筑垃圾消纳场所设置许可。</w:t>
      </w:r>
    </w:p>
    <w:p w14:paraId="66627948">
      <w:pPr>
        <w:ind w:firstLine="422"/>
      </w:pPr>
      <w:r>
        <w:rPr>
          <w:rFonts w:hint="eastAsia"/>
          <w:b/>
        </w:rPr>
        <w:t>第四十二条</w:t>
      </w:r>
      <w:r>
        <w:rPr>
          <w:rFonts w:hint="eastAsia"/>
        </w:rPr>
        <w:t>　建设单位应当将建筑垃圾交由有资质的运输单位，按照渣土消纳许可确定的时间、路线和要求，运输至符合规定的渣土消纳场所。实施建筑垃圾就地资源化处置的，应当采用符合建筑垃圾资源化处理要求的设备或者方式。</w:t>
      </w:r>
    </w:p>
    <w:p w14:paraId="6588AB40">
      <w:r>
        <w:rPr>
          <w:rFonts w:hint="eastAsia"/>
        </w:rPr>
        <w:t>建设单位应当将实际产生的建筑垃圾的种类、数量、运输者、去向等情况，及时告知渣土消纳场所。渣土消纳场所发现与实际接收的数量不符的，应当及时报告市政市容行政主管部门。</w:t>
      </w:r>
    </w:p>
    <w:p w14:paraId="6144D78F">
      <w:pPr>
        <w:ind w:firstLine="422"/>
      </w:pPr>
      <w:r>
        <w:rPr>
          <w:rFonts w:hint="eastAsia"/>
          <w:b/>
        </w:rPr>
        <w:t>第四十三条</w:t>
      </w:r>
      <w:r>
        <w:rPr>
          <w:rFonts w:hint="eastAsia"/>
        </w:rPr>
        <w:t>　市和区县人民政府应当加快餐厨垃圾集中处理设施建设，提高处理能力，并按照集中与分散处理相结合的原则，推进餐厨垃圾源头就地处理，对餐厨垃圾就地处理设施的建设、运行给予指导和经济补助。具体办法由市人民政府制定。</w:t>
      </w:r>
    </w:p>
    <w:p w14:paraId="2AC062A1">
      <w:r>
        <w:rPr>
          <w:rFonts w:hint="eastAsia"/>
        </w:rPr>
        <w:t>餐饮服务单位应当单独收集餐厨垃圾，并委托有资质的生活垃圾收集、运输、处理专业服务单位进行集中处理；达到一定规模并具备就地处理条件的，应当按照本市有关规定建设符合标准的餐厨垃圾就地处理设施，对餐厨垃圾进行就地处理和资源化利用。</w:t>
      </w:r>
    </w:p>
    <w:p w14:paraId="48E9788C">
      <w:r>
        <w:rPr>
          <w:rFonts w:hint="eastAsia"/>
        </w:rPr>
        <w:t>禁止使用未经无害化处理的餐厨垃圾饲养畜禽；禁止生产、销售、使用以餐厨废弃食用油脂为原料的食用油；禁止无资质的单位和个人收集、运输餐厨垃圾。</w:t>
      </w:r>
    </w:p>
    <w:p w14:paraId="36887FB7">
      <w:pPr>
        <w:ind w:firstLine="422"/>
      </w:pPr>
      <w:r>
        <w:rPr>
          <w:rFonts w:hint="eastAsia"/>
          <w:b/>
        </w:rPr>
        <w:t>第四十四条</w:t>
      </w:r>
      <w:r>
        <w:rPr>
          <w:rFonts w:hint="eastAsia"/>
        </w:rPr>
        <w:t>　大型蔬菜果品批发市场、物流配送中心的经营管理单位应当按照要求建设处理设施，集中处理废弃蔬菜、果品。</w:t>
      </w:r>
    </w:p>
    <w:p w14:paraId="73B76D83">
      <w:r>
        <w:rPr>
          <w:rFonts w:hint="eastAsia"/>
        </w:rPr>
        <w:t>园林绿化行政主管部门应当组织建设处理设施，集中处理园林、公共绿地、公园中废弃的枝叶、花卉。</w:t>
      </w:r>
    </w:p>
    <w:p w14:paraId="41665971">
      <w:pPr>
        <w:ind w:firstLine="422"/>
      </w:pPr>
      <w:r>
        <w:rPr>
          <w:rFonts w:hint="eastAsia"/>
          <w:b/>
        </w:rPr>
        <w:t>第四十五条</w:t>
      </w:r>
      <w:r>
        <w:rPr>
          <w:rFonts w:hint="eastAsia"/>
        </w:rPr>
        <w:t>　区、县人民政府可以建立农村地区生活垃圾收集运输队伍，或者通过公开招标投标等方式委托具备专业技术条件的单位，负责农村地区的生活垃圾分类收集、运输。</w:t>
      </w:r>
    </w:p>
    <w:p w14:paraId="0F1B4E55">
      <w:r>
        <w:rPr>
          <w:rFonts w:hint="eastAsia"/>
        </w:rPr>
        <w:t>农村地区产生的厨余垃圾，应当按照农业废弃物资源化的要求，采用生化处理等技术就地或者集中处理。</w:t>
      </w:r>
    </w:p>
    <w:p w14:paraId="77F623ED">
      <w:r>
        <w:rPr>
          <w:rFonts w:hint="eastAsia"/>
        </w:rPr>
        <w:t>农村村民日常生活中产生的灰土，应当选择在远离水源和居住地的适宜地点，采用填坑造地等方式处理。</w:t>
      </w:r>
    </w:p>
    <w:p w14:paraId="2B6F2DAA">
      <w:pPr>
        <w:ind w:firstLine="422"/>
      </w:pPr>
      <w:r>
        <w:rPr>
          <w:rFonts w:hint="eastAsia"/>
          <w:b/>
        </w:rPr>
        <w:t>第四十六条</w:t>
      </w:r>
      <w:r>
        <w:rPr>
          <w:rFonts w:hint="eastAsia"/>
        </w:rPr>
        <w:t>　本市建立生活垃圾异地处理经济补偿机制。产生生活垃圾的区县跨区域处理生活垃圾的，区县人民政府应当根据跨区域处理的生活垃圾量，交纳生活垃圾异地处理经济补偿费用。</w:t>
      </w:r>
    </w:p>
    <w:p w14:paraId="3F2F12D6">
      <w:pPr>
        <w:ind w:firstLine="422"/>
      </w:pPr>
      <w:r>
        <w:rPr>
          <w:rFonts w:hint="eastAsia"/>
          <w:b/>
        </w:rPr>
        <w:t>第四十七条</w:t>
      </w:r>
      <w:r>
        <w:rPr>
          <w:rFonts w:hint="eastAsia"/>
        </w:rPr>
        <w:t>　生活垃圾集中转运、处理设施的运行管理单位应当遵守下列规定：</w:t>
      </w:r>
    </w:p>
    <w:p w14:paraId="0240D3B8">
      <w:bookmarkStart w:id="2270" w:name="_Toc428780596"/>
      <w:r>
        <w:rPr>
          <w:rFonts w:hint="eastAsia"/>
        </w:rPr>
        <w:t>（一）按照有关规定和技术标准处理生活垃圾；</w:t>
      </w:r>
      <w:bookmarkEnd w:id="2270"/>
    </w:p>
    <w:p w14:paraId="79E7E808">
      <w:r>
        <w:rPr>
          <w:rFonts w:hint="eastAsia"/>
        </w:rPr>
        <w:t>（二）按照规定处置生活垃圾处理过程中产生的污水、废气、废渣、粉尘等，保证生活垃圾集中转运、处理设施的排放达到国家和本市有关标准；</w:t>
      </w:r>
    </w:p>
    <w:p w14:paraId="6594C300">
      <w:r>
        <w:rPr>
          <w:rFonts w:hint="eastAsia"/>
        </w:rPr>
        <w:t>（三）设置化验室或者委托专业化验机构，对生活垃圾、渗沥液等处理过程中常规参数进行检测，并建立检测档案；</w:t>
      </w:r>
    </w:p>
    <w:p w14:paraId="492F6E5E">
      <w:r>
        <w:rPr>
          <w:rFonts w:hint="eastAsia"/>
        </w:rPr>
        <w:t>（四）按照要求建设在线监管系统，对生活垃圾处理设施相关指标进行检测，并将数据传送至生活垃圾管理信息系统；</w:t>
      </w:r>
    </w:p>
    <w:p w14:paraId="3C2971FF">
      <w:r>
        <w:rPr>
          <w:rFonts w:hint="eastAsia"/>
        </w:rPr>
        <w:t>（五）建立生活垃圾处理台账，并按照要求向相关管理部门报送数据、报表以及相关情况；</w:t>
      </w:r>
    </w:p>
    <w:p w14:paraId="5B652705">
      <w:bookmarkStart w:id="2271" w:name="_Toc428780597"/>
      <w:r>
        <w:rPr>
          <w:rFonts w:hint="eastAsia"/>
        </w:rPr>
        <w:t>（六）按照要求公开设施污染控制监测指标和处理设施运行数据；</w:t>
      </w:r>
      <w:bookmarkEnd w:id="2271"/>
    </w:p>
    <w:p w14:paraId="751E0681">
      <w:r>
        <w:rPr>
          <w:rFonts w:hint="eastAsia"/>
        </w:rPr>
        <w:t>（七）配套建设相应的参观、宣传设施，在规定的公众开放日接待社会公众参观、访问；</w:t>
      </w:r>
    </w:p>
    <w:p w14:paraId="1260DD78">
      <w:r>
        <w:rPr>
          <w:rFonts w:hint="eastAsia"/>
        </w:rPr>
        <w:t>（八）国家和本市的其他规定。</w:t>
      </w:r>
    </w:p>
    <w:p w14:paraId="4293AEBC"/>
    <w:p w14:paraId="52DA99F3">
      <w:pPr>
        <w:ind w:firstLine="0" w:firstLineChars="0"/>
        <w:jc w:val="center"/>
        <w:rPr>
          <w:b/>
          <w:sz w:val="28"/>
        </w:rPr>
      </w:pPr>
      <w:r>
        <w:rPr>
          <w:rFonts w:hint="eastAsia"/>
          <w:b/>
          <w:sz w:val="28"/>
        </w:rPr>
        <w:t>第五章　监督管理</w:t>
      </w:r>
    </w:p>
    <w:p w14:paraId="3FD8D923"/>
    <w:p w14:paraId="077046F9">
      <w:pPr>
        <w:ind w:firstLine="422"/>
      </w:pPr>
      <w:r>
        <w:rPr>
          <w:rFonts w:hint="eastAsia"/>
          <w:b/>
        </w:rPr>
        <w:t>第四十八条</w:t>
      </w:r>
      <w:r>
        <w:rPr>
          <w:rFonts w:hint="eastAsia"/>
        </w:rPr>
        <w:t>　本市各级人民政府应当建立和完善生活垃圾管理的综合考核制度，并纳入政府考核指标。</w:t>
      </w:r>
    </w:p>
    <w:p w14:paraId="1AFF174F">
      <w:pPr>
        <w:ind w:firstLine="422"/>
      </w:pPr>
      <w:r>
        <w:rPr>
          <w:rFonts w:hint="eastAsia"/>
          <w:b/>
        </w:rPr>
        <w:t>第四十九条</w:t>
      </w:r>
      <w:r>
        <w:rPr>
          <w:rFonts w:hint="eastAsia"/>
        </w:rPr>
        <w:t>　市政市容行政主管部门应当建立和完善有关生活垃圾排放全过程管理制度，建立生活垃圾投放、收集、运输、处理管理信息系统。</w:t>
      </w:r>
    </w:p>
    <w:p w14:paraId="0AD81726">
      <w:pPr>
        <w:ind w:firstLine="422"/>
      </w:pPr>
      <w:r>
        <w:rPr>
          <w:rFonts w:hint="eastAsia"/>
          <w:b/>
        </w:rPr>
        <w:t>第五十条</w:t>
      </w:r>
      <w:r>
        <w:rPr>
          <w:rFonts w:hint="eastAsia"/>
        </w:rPr>
        <w:t>　市政市容行政主管部门应当会同有关部门加强对生活垃圾分类投放、分类收集、分类运输、分类处理的全过程监管，实行联单制度；发现不符合规定的，及时督促改正。</w:t>
      </w:r>
    </w:p>
    <w:p w14:paraId="15EA9479">
      <w:r>
        <w:rPr>
          <w:rFonts w:hint="eastAsia"/>
        </w:rPr>
        <w:t>环境保护行政主管部门应当定期对生活垃圾集中转运、处理设施的污染物排放情况进行监测，并按照规定发布监测信息。</w:t>
      </w:r>
    </w:p>
    <w:p w14:paraId="28EC0045">
      <w:r>
        <w:rPr>
          <w:rFonts w:hint="eastAsia"/>
        </w:rPr>
        <w:t>监督检查过程中需要对生活垃圾处理数量、质量和环境影响情况进行监测的，相关行政管理部门可以委托具有相应资格的第三方机构进行。</w:t>
      </w:r>
    </w:p>
    <w:p w14:paraId="76DE6E14">
      <w:pPr>
        <w:ind w:firstLine="422"/>
      </w:pPr>
      <w:r>
        <w:rPr>
          <w:rFonts w:hint="eastAsia"/>
          <w:b/>
        </w:rPr>
        <w:t>第五十一条</w:t>
      </w:r>
      <w:r>
        <w:rPr>
          <w:rFonts w:hint="eastAsia"/>
        </w:rPr>
        <w:t>　本市应当建立健全对餐厨垃圾的全程监管和执法联动机制，并按照属地负责的原则纳入网格化管理。</w:t>
      </w:r>
    </w:p>
    <w:p w14:paraId="635A978C">
      <w:r>
        <w:rPr>
          <w:rFonts w:hint="eastAsia"/>
        </w:rPr>
        <w:t xml:space="preserve">卫生、工商、环境保护、城管执法等部门应当将餐厨垃圾的排放和流向纳入对餐饮服务单位的日常监督管理范围；城管执法部门、公安机关交通管理部门应当加强对收运餐厨垃圾车辆的执法检查。 </w:t>
      </w:r>
    </w:p>
    <w:p w14:paraId="167E357A">
      <w:r>
        <w:rPr>
          <w:rFonts w:hint="eastAsia"/>
        </w:rPr>
        <w:t>市政市容行政主管部门应当会同环保等有关部门对餐厨垃圾就地处理设施建设、运行和环境保护等情况进行监督管理。</w:t>
      </w:r>
    </w:p>
    <w:p w14:paraId="65DED7D2">
      <w:pPr>
        <w:ind w:firstLine="422"/>
      </w:pPr>
      <w:r>
        <w:rPr>
          <w:rFonts w:hint="eastAsia"/>
          <w:b/>
        </w:rPr>
        <w:t>第五十二条</w:t>
      </w:r>
      <w:r>
        <w:rPr>
          <w:rFonts w:hint="eastAsia"/>
        </w:rPr>
        <w:t>　市政市容行政主管部门应当向社会公布举报和投诉电话、信箱和电子邮件地址，依法处理有关生活垃圾管理方面的举报和投诉。</w:t>
      </w:r>
    </w:p>
    <w:p w14:paraId="61A098A5">
      <w:r>
        <w:rPr>
          <w:rFonts w:hint="eastAsia"/>
        </w:rPr>
        <w:t>举报违反生活垃圾管理行为，经查证属实的，对举报人给予奖励。具体办法由市市政市容行政主管部门制定并向社会公布。</w:t>
      </w:r>
    </w:p>
    <w:p w14:paraId="002D3A01">
      <w:pPr>
        <w:ind w:firstLine="422"/>
      </w:pPr>
      <w:r>
        <w:rPr>
          <w:rFonts w:hint="eastAsia"/>
          <w:b/>
        </w:rPr>
        <w:t>第五十三条</w:t>
      </w:r>
      <w:r>
        <w:rPr>
          <w:rFonts w:hint="eastAsia"/>
        </w:rPr>
        <w:t>　市政市容行政主管部门应当会同有关部门建立生活垃圾监督管理和执法工作的协调配合机制，定期通报情况，实现生活垃圾监督管理信息、数据的及时互通和共享。</w:t>
      </w:r>
    </w:p>
    <w:p w14:paraId="502B2A24">
      <w:pPr>
        <w:ind w:firstLine="422"/>
      </w:pPr>
      <w:r>
        <w:rPr>
          <w:rFonts w:hint="eastAsia"/>
          <w:b/>
        </w:rPr>
        <w:t>第五十四条</w:t>
      </w:r>
      <w:r>
        <w:rPr>
          <w:rFonts w:hint="eastAsia"/>
        </w:rPr>
        <w:t>　街道办事处和乡镇人民政府可以组织辖区内的居民委员会、村民委员会在居住区设立生活垃圾减量分类指导员，宣传生活垃圾分类知识，指导居民正确开展生活垃圾分类。</w:t>
      </w:r>
    </w:p>
    <w:p w14:paraId="6B820F3C">
      <w:r>
        <w:rPr>
          <w:rFonts w:hint="eastAsia"/>
        </w:rPr>
        <w:t>街道办事处、乡镇人民政府和生活垃圾分类管理责任人可以通过奖励、表彰、积分等方式，鼓励单位和个人开展生活垃圾减量和分类。</w:t>
      </w:r>
    </w:p>
    <w:p w14:paraId="2F4C9662">
      <w:pPr>
        <w:ind w:firstLine="422"/>
      </w:pPr>
      <w:r>
        <w:rPr>
          <w:rFonts w:hint="eastAsia"/>
          <w:b/>
        </w:rPr>
        <w:t>第五十五条</w:t>
      </w:r>
      <w:r>
        <w:rPr>
          <w:rFonts w:hint="eastAsia"/>
        </w:rPr>
        <w:t>　本市实行生活垃圾处理社会监督员制度。</w:t>
      </w:r>
    </w:p>
    <w:p w14:paraId="22FF5173">
      <w:r>
        <w:rPr>
          <w:rFonts w:hint="eastAsia"/>
        </w:rPr>
        <w:t>市和区、县市政市容行政主管部门向社会公开选择一定数量的生活垃圾处理社会监督员，参与生活垃圾集中处理设施的监督管理工作。社会监督员中应当有周边居民代表。</w:t>
      </w:r>
    </w:p>
    <w:p w14:paraId="0C1C556E">
      <w:r>
        <w:rPr>
          <w:rFonts w:hint="eastAsia"/>
        </w:rPr>
        <w:t>社会监督员有权监督生活垃圾集中处理设施运行，进入相关场所，了解污染控制的措施及实施情况，查阅环境监测数据，并遵守相关安全管理规范。运行管理单位应当予以配合、协助。</w:t>
      </w:r>
    </w:p>
    <w:p w14:paraId="1569CF97"/>
    <w:p w14:paraId="18138A05">
      <w:pPr>
        <w:ind w:firstLine="0" w:firstLineChars="0"/>
        <w:jc w:val="center"/>
        <w:rPr>
          <w:b/>
          <w:sz w:val="28"/>
        </w:rPr>
      </w:pPr>
      <w:r>
        <w:rPr>
          <w:rFonts w:hint="eastAsia"/>
          <w:b/>
          <w:sz w:val="28"/>
        </w:rPr>
        <w:t>第六章　法律责任</w:t>
      </w:r>
    </w:p>
    <w:p w14:paraId="0883A61F"/>
    <w:p w14:paraId="1F8DEADF">
      <w:pPr>
        <w:ind w:firstLine="422"/>
      </w:pPr>
      <w:r>
        <w:rPr>
          <w:rFonts w:hint="eastAsia"/>
          <w:b/>
        </w:rPr>
        <w:t>第五十六条</w:t>
      </w:r>
      <w:r>
        <w:rPr>
          <w:rFonts w:hint="eastAsia"/>
        </w:rPr>
        <w:t>　本市各级行政主管部门、执法部门及其工作人员不依法或者不正当履行生活垃圾管理职责的，由其上级行政机关或者监察机关责令改正，对直接负责的主管人员和其他直接责任人员依法给予行政处分；构成犯罪的，依法追究刑事责任。</w:t>
      </w:r>
    </w:p>
    <w:p w14:paraId="0D2834E7">
      <w:pPr>
        <w:ind w:firstLine="422"/>
      </w:pPr>
      <w:r>
        <w:rPr>
          <w:rFonts w:hint="eastAsia"/>
          <w:b/>
        </w:rPr>
        <w:t>第五十七条</w:t>
      </w:r>
      <w:r>
        <w:rPr>
          <w:rFonts w:hint="eastAsia"/>
        </w:rPr>
        <w:t>　违反本条例第二十一条第一款规定，建设单位未按照标准配套建设生活垃圾分类设施的，由规划行政主管部门按照城乡规划法律、法规中未按照建设工程规划许可证许可内容进行建设的违法行为进行处罚。</w:t>
      </w:r>
    </w:p>
    <w:p w14:paraId="672A644B">
      <w:pPr>
        <w:ind w:firstLine="422"/>
      </w:pPr>
      <w:r>
        <w:rPr>
          <w:rFonts w:hint="eastAsia"/>
          <w:b/>
        </w:rPr>
        <w:t>第五十八条</w:t>
      </w:r>
      <w:r>
        <w:rPr>
          <w:rFonts w:hint="eastAsia"/>
        </w:rPr>
        <w:t>　违反本条例第三十条规定，再生资源回收经营者未公示可回收物目录或者未分类贮存物品的，由区县商务行政主管部门给予警告，责令限期改正；逾期不改正的，可处</w:t>
      </w:r>
      <w:r>
        <w:rPr>
          <w:rFonts w:hint="eastAsia" w:ascii="宋体" w:hAnsi="宋体" w:eastAsia="宋体" w:cs="宋体"/>
        </w:rPr>
        <w:t>1000元以上1</w:t>
      </w:r>
      <w:r>
        <w:rPr>
          <w:rFonts w:hint="eastAsia"/>
        </w:rPr>
        <w:t>万元以下罚款。</w:t>
      </w:r>
    </w:p>
    <w:p w14:paraId="7B16D8DA">
      <w:pPr>
        <w:ind w:firstLine="422"/>
      </w:pPr>
      <w:r>
        <w:rPr>
          <w:rFonts w:hint="eastAsia"/>
          <w:b/>
        </w:rPr>
        <w:t>第五十九条</w:t>
      </w:r>
      <w:r>
        <w:rPr>
          <w:rFonts w:hint="eastAsia"/>
        </w:rPr>
        <w:t xml:space="preserve">  违反本条例第三十三条第（一）、（三）、（四）项规定的，由城市管理综合执法部门责令限期改正；逾期不改正的，</w:t>
      </w:r>
      <w:r>
        <w:rPr>
          <w:rFonts w:hint="eastAsia" w:ascii="宋体" w:hAnsi="宋体" w:eastAsia="宋体" w:cs="宋体"/>
        </w:rPr>
        <w:t>处1000元以上1万</w:t>
      </w:r>
      <w:r>
        <w:rPr>
          <w:rFonts w:hint="eastAsia"/>
        </w:rPr>
        <w:t>元以下罚款。</w:t>
      </w:r>
    </w:p>
    <w:p w14:paraId="540A701E">
      <w:r>
        <w:rPr>
          <w:rFonts w:hint="eastAsia"/>
        </w:rPr>
        <w:t>违反本条例第三十三条第（五）项规定的，生活垃圾分类管理责任人将生活垃圾交由未经许可或者备案的企业和个人进行处置的，由城市管理综合执法部门责令限期改正，并处</w:t>
      </w:r>
      <w:r>
        <w:rPr>
          <w:rFonts w:hint="eastAsia" w:ascii="宋体" w:hAnsi="宋体" w:eastAsia="宋体" w:cs="宋体"/>
        </w:rPr>
        <w:t>5000元以上5万元</w:t>
      </w:r>
      <w:r>
        <w:rPr>
          <w:rFonts w:hint="eastAsia"/>
        </w:rPr>
        <w:t>以下罚款。</w:t>
      </w:r>
    </w:p>
    <w:p w14:paraId="108152AF">
      <w:pPr>
        <w:ind w:firstLine="422"/>
      </w:pPr>
      <w:r>
        <w:rPr>
          <w:rFonts w:hint="eastAsia"/>
          <w:b/>
        </w:rPr>
        <w:t>第六十条</w:t>
      </w:r>
      <w:r>
        <w:rPr>
          <w:rFonts w:hint="eastAsia"/>
        </w:rPr>
        <w:t>　违反本条例第三十四条第一款规定，生活垃圾分类管理责任人未办理生活垃圾排放登记或者登记信息虚假的，由城市管理综合执法部门责令限期改正；逾期不改正的，可</w:t>
      </w:r>
      <w:r>
        <w:rPr>
          <w:rFonts w:hint="eastAsia" w:ascii="宋体" w:hAnsi="宋体" w:eastAsia="宋体" w:cs="宋体"/>
        </w:rPr>
        <w:t>处1000元</w:t>
      </w:r>
      <w:r>
        <w:rPr>
          <w:rFonts w:hint="eastAsia"/>
        </w:rPr>
        <w:t>罚款。</w:t>
      </w:r>
    </w:p>
    <w:p w14:paraId="7F3B0210">
      <w:pPr>
        <w:rPr>
          <w:rFonts w:hint="eastAsia" w:ascii="宋体" w:hAnsi="宋体" w:eastAsia="宋体" w:cs="宋体"/>
        </w:rPr>
      </w:pPr>
      <w:r>
        <w:rPr>
          <w:rFonts w:hint="eastAsia"/>
        </w:rPr>
        <w:t>违反本条例第三十四条第二款规定，生活垃圾分类管理责任人未建立生活垃圾管理台账，或者不如实记录责任范围内生活垃圾排放情况的，由城市管理综合执法部门责令改正，并处</w:t>
      </w:r>
      <w:r>
        <w:rPr>
          <w:rFonts w:hint="eastAsia" w:ascii="宋体" w:hAnsi="宋体" w:eastAsia="宋体" w:cs="宋体"/>
        </w:rPr>
        <w:t>1000元以上1万元以下罚款。</w:t>
      </w:r>
    </w:p>
    <w:p w14:paraId="67C61993">
      <w:pPr>
        <w:ind w:firstLine="422"/>
        <w:rPr>
          <w:rFonts w:hint="eastAsia" w:ascii="宋体" w:hAnsi="宋体" w:eastAsia="宋体" w:cs="宋体"/>
        </w:rPr>
      </w:pPr>
      <w:r>
        <w:rPr>
          <w:rFonts w:hint="eastAsia"/>
          <w:b/>
        </w:rPr>
        <w:t>第六十一条</w:t>
      </w:r>
      <w:r>
        <w:rPr>
          <w:rFonts w:hint="eastAsia"/>
        </w:rPr>
        <w:t>　违反本条例第四十条（一）项规定的，由城市管理综合执法部门责令限期改正，并处</w:t>
      </w:r>
      <w:r>
        <w:rPr>
          <w:rFonts w:hint="eastAsia" w:ascii="宋体" w:hAnsi="宋体" w:eastAsia="宋体" w:cs="宋体"/>
        </w:rPr>
        <w:t>500元以上3000元以下罚款；情节严重的，由原发证机关吊销生活垃圾收集、运输经营许可证。</w:t>
      </w:r>
    </w:p>
    <w:p w14:paraId="7821128C">
      <w:pPr>
        <w:rPr>
          <w:rFonts w:hint="eastAsia" w:ascii="宋体" w:hAnsi="宋体" w:eastAsia="宋体" w:cs="宋体"/>
        </w:rPr>
      </w:pPr>
      <w:r>
        <w:rPr>
          <w:rFonts w:hint="eastAsia" w:ascii="宋体" w:hAnsi="宋体" w:eastAsia="宋体" w:cs="宋体"/>
        </w:rPr>
        <w:t>违反本条例第四十条第（二）项规定的，由城市管理综合执法部门责令清除，并处5000元以上5万元以下罚款；情节严重的，由原发证机关吊销生活垃圾收集、运输经营许可证。</w:t>
      </w:r>
    </w:p>
    <w:p w14:paraId="7A8FFAE2">
      <w:pPr>
        <w:rPr>
          <w:rFonts w:hint="eastAsia" w:ascii="宋体" w:hAnsi="宋体" w:eastAsia="宋体" w:cs="宋体"/>
        </w:rPr>
      </w:pPr>
      <w:r>
        <w:rPr>
          <w:rFonts w:hint="eastAsia" w:ascii="宋体" w:hAnsi="宋体" w:eastAsia="宋体" w:cs="宋体"/>
        </w:rPr>
        <w:t>违反本条例第四十条第（三）项规定的，由城市管理综合执法部门责令限期改正，并处1000元以上1万元以下罚款；情节严重的，由原发证机关吊销生活垃圾收集、运输经营许可证。</w:t>
      </w:r>
    </w:p>
    <w:p w14:paraId="597BDAEF">
      <w:pPr>
        <w:ind w:firstLine="422"/>
      </w:pPr>
      <w:r>
        <w:rPr>
          <w:rFonts w:hint="eastAsia"/>
          <w:b/>
        </w:rPr>
        <w:t>第六十二条</w:t>
      </w:r>
      <w:r>
        <w:rPr>
          <w:rFonts w:hint="eastAsia"/>
        </w:rPr>
        <w:t>　违反本条例第四十一条第一款规定，生活垃圾集中转运、处理设施未按照要求接收生活垃圾，或者未进行分类处理的，由城市管理综合执法部门责令限期改正，并处</w:t>
      </w:r>
      <w:r>
        <w:rPr>
          <w:rFonts w:hint="eastAsia" w:ascii="宋体" w:hAnsi="宋体" w:eastAsia="宋体" w:cs="宋体"/>
        </w:rPr>
        <w:t>5万元以上10万元以下</w:t>
      </w:r>
      <w:r>
        <w:rPr>
          <w:rFonts w:hint="eastAsia"/>
        </w:rPr>
        <w:t>罚款；情节严重的，由原发证机关吊销生活垃圾处理经营许可证或者渣土消纳场所许可证。</w:t>
      </w:r>
    </w:p>
    <w:p w14:paraId="1237F263">
      <w:pPr>
        <w:ind w:firstLine="422"/>
      </w:pPr>
      <w:r>
        <w:rPr>
          <w:rFonts w:hint="eastAsia"/>
          <w:b/>
        </w:rPr>
        <w:t>第六十三条</w:t>
      </w:r>
      <w:r>
        <w:rPr>
          <w:rFonts w:hint="eastAsia"/>
        </w:rPr>
        <w:t>　建设工程的建设单位、拆除工程的承担单位违反本条例第四十二条第一款规定处理建筑垃圾的，由城市管理综合执法部门责令</w:t>
      </w:r>
      <w:r>
        <w:rPr>
          <w:rFonts w:hint="eastAsia" w:ascii="宋体" w:hAnsi="宋体" w:eastAsia="宋体" w:cs="宋体"/>
        </w:rPr>
        <w:t>限期改正，处1万元以上10万元以下</w:t>
      </w:r>
      <w:r>
        <w:rPr>
          <w:rFonts w:hint="eastAsia"/>
        </w:rPr>
        <w:t>罚款。</w:t>
      </w:r>
    </w:p>
    <w:p w14:paraId="62316E4C">
      <w:pPr>
        <w:ind w:firstLine="422"/>
      </w:pPr>
      <w:r>
        <w:rPr>
          <w:rFonts w:hint="eastAsia"/>
          <w:b/>
        </w:rPr>
        <w:t>第六十四条</w:t>
      </w:r>
      <w:r>
        <w:rPr>
          <w:rFonts w:hint="eastAsia"/>
        </w:rPr>
        <w:t>　餐饮服务单位违反本条例第四十三条第二款规定收集、处理餐厨垃圾的，由城市管理综合执法部门责令停业整顿，并</w:t>
      </w:r>
      <w:r>
        <w:rPr>
          <w:rFonts w:hint="eastAsia" w:ascii="宋体" w:hAnsi="宋体" w:eastAsia="宋体" w:cs="宋体"/>
        </w:rPr>
        <w:t>可处5000元以上5万元以下罚款</w:t>
      </w:r>
      <w:r>
        <w:rPr>
          <w:rFonts w:hint="eastAsia"/>
        </w:rPr>
        <w:t>。</w:t>
      </w:r>
    </w:p>
    <w:p w14:paraId="6906CA0C">
      <w:r>
        <w:rPr>
          <w:rFonts w:hint="eastAsia"/>
        </w:rPr>
        <w:t>违反本条例第四十三条第三款规定，使用未经无害化处理的餐厨垃圾饲养畜禽，或者生产、销售、使用以餐厨废弃食用油脂为原料的食用油的，由农业、质量技术监督、工商行政管理、卫生等行政主管部门依据各自职责依法予以查处；构成犯罪的，依法追究刑事责任。</w:t>
      </w:r>
    </w:p>
    <w:p w14:paraId="033E63A5">
      <w:r>
        <w:rPr>
          <w:rFonts w:hint="eastAsia"/>
        </w:rPr>
        <w:t>无资质的单位和个人违反本条例第四十三条第三款规定收集、运输餐厨垃圾的，由城市管理综合执法部门暂扣其车辆，没收违法收运的餐厨垃圾，并可处</w:t>
      </w:r>
      <w:r>
        <w:rPr>
          <w:rFonts w:hint="eastAsia" w:ascii="宋体" w:hAnsi="宋体" w:eastAsia="宋体" w:cs="宋体"/>
        </w:rPr>
        <w:t>5000元以上5万元</w:t>
      </w:r>
      <w:r>
        <w:rPr>
          <w:rFonts w:hint="eastAsia"/>
        </w:rPr>
        <w:t>以下的罚款。违反道路交通安全法律、法规关于道路通行规定，上道路行驶的车辆，由公安机关交通管理部门依法予以查处。</w:t>
      </w:r>
    </w:p>
    <w:p w14:paraId="7AD89C98">
      <w:pPr>
        <w:ind w:firstLine="422"/>
        <w:rPr>
          <w:rFonts w:hint="eastAsia" w:ascii="宋体" w:hAnsi="宋体" w:eastAsia="宋体" w:cs="宋体"/>
        </w:rPr>
      </w:pPr>
      <w:r>
        <w:rPr>
          <w:rFonts w:hint="eastAsia"/>
          <w:b/>
        </w:rPr>
        <w:t>第六十五条</w:t>
      </w:r>
      <w:r>
        <w:rPr>
          <w:rFonts w:hint="eastAsia"/>
        </w:rPr>
        <w:t>　违反本条例第四十七条第（一）项、第（二）项规定的，由城市管理综合执法部门责令限期改正，并可处</w:t>
      </w:r>
      <w:r>
        <w:rPr>
          <w:rFonts w:hint="eastAsia" w:ascii="宋体" w:hAnsi="宋体" w:eastAsia="宋体" w:cs="宋体"/>
        </w:rPr>
        <w:t>3万元以上10万元以下罚款；情节严重的，由原发证机关吊销生活垃圾处理经营许可证；由于排放未达到标准，给单位和个人造成损失的，应当依法进行赔偿。</w:t>
      </w:r>
    </w:p>
    <w:p w14:paraId="17A32AF3">
      <w:pPr>
        <w:rPr>
          <w:rFonts w:hint="eastAsia" w:ascii="宋体" w:hAnsi="宋体" w:eastAsia="宋体" w:cs="宋体"/>
        </w:rPr>
      </w:pPr>
      <w:r>
        <w:rPr>
          <w:rFonts w:hint="eastAsia" w:ascii="宋体" w:hAnsi="宋体" w:eastAsia="宋体" w:cs="宋体"/>
        </w:rPr>
        <w:t>违反本条例第四十七条第（三）项、第（四）项规定，未按照要求进行检测的，由城市管理综合执法部门责令限期改正，并可处3万元以上10万元以下罚款；未将数据传送至市政市容行政主管部门的生活垃圾处理设施运行监督管理信息系统的，由城市管理综合执法部门责令限期改正，并可处2000元以上2万元以下罚款。</w:t>
      </w:r>
    </w:p>
    <w:p w14:paraId="42E38771">
      <w:r>
        <w:rPr>
          <w:rFonts w:hint="eastAsia" w:ascii="宋体" w:hAnsi="宋体" w:eastAsia="宋体" w:cs="宋体"/>
        </w:rPr>
        <w:t>违反本条例第四十七条第（五）项规定的，由城市管理综合执法部门责令限期改正，并处1000元以上1万元以下罚款；情节严重的，由原发证机关吊</w:t>
      </w:r>
      <w:r>
        <w:rPr>
          <w:rFonts w:hint="eastAsia"/>
        </w:rPr>
        <w:t>销生活垃圾处理经营许可证。</w:t>
      </w:r>
    </w:p>
    <w:p w14:paraId="5948CE36">
      <w:r>
        <w:rPr>
          <w:rFonts w:hint="eastAsia"/>
        </w:rPr>
        <w:t>违反本条例第四十七条第（六）、（七）项规定，生活垃圾集中转运、处理设施的运行管理单位未按照要求公开设施污染控制监测指标和处理设施运行数据或者对外开放设施的，由城市管理综合执法部门责令限期改正；逾期不改正的，</w:t>
      </w:r>
      <w:r>
        <w:rPr>
          <w:rFonts w:hint="eastAsia" w:ascii="宋体" w:hAnsi="宋体" w:eastAsia="宋体" w:cs="宋体"/>
        </w:rPr>
        <w:t>处3万</w:t>
      </w:r>
      <w:r>
        <w:rPr>
          <w:rFonts w:hint="eastAsia"/>
        </w:rPr>
        <w:t>元罚款。</w:t>
      </w:r>
    </w:p>
    <w:p w14:paraId="263DD1B4">
      <w:pPr>
        <w:ind w:firstLine="422"/>
      </w:pPr>
      <w:r>
        <w:rPr>
          <w:rFonts w:hint="eastAsia"/>
          <w:b/>
        </w:rPr>
        <w:t>第六十六条</w:t>
      </w:r>
      <w:r>
        <w:rPr>
          <w:rFonts w:hint="eastAsia"/>
        </w:rPr>
        <w:t>　违反本条例的行为，《北京市市容环境卫生条例》已有处理规定的，由城市管理综合执法部门依据《北京市市容环境卫生条例》的规定予以处理。</w:t>
      </w:r>
    </w:p>
    <w:p w14:paraId="3AEB77AA">
      <w:pPr>
        <w:ind w:firstLine="422"/>
      </w:pPr>
      <w:r>
        <w:rPr>
          <w:rFonts w:hint="eastAsia"/>
          <w:b/>
        </w:rPr>
        <w:t>第六十七条</w:t>
      </w:r>
      <w:r>
        <w:rPr>
          <w:rFonts w:hint="eastAsia"/>
        </w:rPr>
        <w:t>　违反本条例，妨碍、阻挠生活垃圾管理监督检查人员依法执行职务，或者围堵生活垃圾收集、处理设施和运输车辆，或者阻碍生活垃圾处理设施建设和正常运行，违反治安管理规定的，由公安机关依照《中华人民共和国治安管理处罚法》处理。</w:t>
      </w:r>
    </w:p>
    <w:p w14:paraId="3EBBB432">
      <w:pPr>
        <w:spacing w:line="300" w:lineRule="exact"/>
      </w:pPr>
    </w:p>
    <w:p w14:paraId="4067F978">
      <w:pPr>
        <w:ind w:firstLine="0" w:firstLineChars="0"/>
        <w:jc w:val="center"/>
        <w:rPr>
          <w:b/>
          <w:sz w:val="28"/>
        </w:rPr>
      </w:pPr>
      <w:r>
        <w:rPr>
          <w:rFonts w:hint="eastAsia"/>
          <w:b/>
          <w:sz w:val="28"/>
        </w:rPr>
        <w:t>第七章　附　则</w:t>
      </w:r>
    </w:p>
    <w:p w14:paraId="2C0CAA53">
      <w:pPr>
        <w:spacing w:line="300" w:lineRule="exact"/>
      </w:pPr>
    </w:p>
    <w:p w14:paraId="3B64ADB6">
      <w:pPr>
        <w:ind w:firstLine="422"/>
      </w:pPr>
      <w:r>
        <w:rPr>
          <w:rFonts w:hint="eastAsia"/>
          <w:b/>
        </w:rPr>
        <w:t>第六十八条</w:t>
      </w:r>
      <w:r>
        <w:rPr>
          <w:rFonts w:hint="eastAsia"/>
        </w:rPr>
        <w:t>　本条例中有关用语的含义：</w:t>
      </w:r>
    </w:p>
    <w:p w14:paraId="363060C8">
      <w:r>
        <w:rPr>
          <w:rFonts w:hint="eastAsia"/>
        </w:rPr>
        <w:t>（一）建设工程配套生活垃圾分类设施，包括垃圾分类投放站（间）、垃圾分类收集房、密闭式垃圾分类清洁站等设施设备。</w:t>
      </w:r>
    </w:p>
    <w:p w14:paraId="54D731D1">
      <w:r>
        <w:rPr>
          <w:rFonts w:hint="eastAsia"/>
        </w:rPr>
        <w:t>（二）可回收物，是指在日常生活中或者为日常生活提供服务的活动中产生的，已经失去原有全部或者部分使用价值，回收后经过再加工可以成为生产原料或者经过整理可以再利用的物品，主要包括废纸类、塑料类、玻璃类、金属类、电子废弃物类、织物类等。</w:t>
      </w:r>
    </w:p>
    <w:p w14:paraId="706B0DFE">
      <w:r>
        <w:rPr>
          <w:rFonts w:hint="eastAsia"/>
        </w:rPr>
        <w:t>（三）建筑垃圾，是指建设单位、施工单位新建、改建、扩建、拆除各类建筑物、构筑物和城市道路、公路施工等以及居民装饰装修房屋过程中所产生的弃土、弃料以及其他废弃物，视为生活垃圾进行管理。</w:t>
      </w:r>
    </w:p>
    <w:p w14:paraId="4ED09ECA">
      <w:r>
        <w:rPr>
          <w:rFonts w:hint="eastAsia"/>
        </w:rPr>
        <w:t>（四）餐厨垃圾，是指从事餐饮经营活动的企业和机关、部队、学校、企事业等单位集体食堂在食品加工、饮食服务、单位供餐等活动中产生的食物残渣、食品加工废料和废弃食用油脂。其中，废弃食用油脂是指不可再食用的动植物油脂和油水混合物。</w:t>
      </w:r>
    </w:p>
    <w:p w14:paraId="79A61D80">
      <w:r>
        <w:rPr>
          <w:rFonts w:hint="eastAsia"/>
        </w:rPr>
        <w:t>（五）厨余垃圾，是指家庭中产生的菜帮菜叶、瓜果皮核、剩菜剩饭、废弃食物等易腐性垃圾。</w:t>
      </w:r>
    </w:p>
    <w:p w14:paraId="02C58F9B">
      <w:r>
        <w:rPr>
          <w:rFonts w:hint="eastAsia"/>
        </w:rPr>
        <w:t>（六）餐饮服务单位，是指从事餐饮经营活动的企业和机关、部队、学校、企事业等单位的集体食堂。</w:t>
      </w:r>
    </w:p>
    <w:p w14:paraId="2555A629">
      <w:r>
        <w:rPr>
          <w:rFonts w:hint="eastAsia"/>
        </w:rPr>
        <w:t>（七）生活垃圾收集运输专业服务单位，包括取得从事生活垃圾经营性收集、运输许可的企业和承担环境卫生作业的事业单位。</w:t>
      </w:r>
    </w:p>
    <w:p w14:paraId="4926DC77">
      <w:pPr>
        <w:ind w:firstLine="422"/>
      </w:pPr>
      <w:r>
        <w:rPr>
          <w:rFonts w:hint="eastAsia"/>
          <w:b/>
        </w:rPr>
        <w:t>第六十九条</w:t>
      </w:r>
      <w:r>
        <w:rPr>
          <w:rFonts w:hint="eastAsia"/>
        </w:rPr>
        <w:t>　本条例</w:t>
      </w:r>
      <w:r>
        <w:rPr>
          <w:rFonts w:hint="eastAsia" w:ascii="宋体" w:hAnsi="宋体" w:eastAsia="宋体" w:cs="宋体"/>
        </w:rPr>
        <w:t>自2012年3月1日起</w:t>
      </w:r>
      <w:r>
        <w:rPr>
          <w:rFonts w:hint="eastAsia"/>
        </w:rPr>
        <w:t>施行。</w:t>
      </w:r>
    </w:p>
    <w:p w14:paraId="6D4BBB8F">
      <w:pPr>
        <w:pStyle w:val="4"/>
        <w:pageBreakBefore/>
      </w:pPr>
      <w:bookmarkStart w:id="2272" w:name="_Toc428780598"/>
      <w:bookmarkStart w:id="2273" w:name="_Toc426467092"/>
      <w:bookmarkStart w:id="2274" w:name="_Toc428781840"/>
      <w:r>
        <w:rPr>
          <w:rFonts w:hint="eastAsia"/>
        </w:rPr>
        <w:t>北京市中水设施建设管理试行办法</w:t>
      </w:r>
      <w:bookmarkEnd w:id="2272"/>
      <w:bookmarkEnd w:id="2273"/>
      <w:bookmarkEnd w:id="2274"/>
    </w:p>
    <w:p w14:paraId="1DDE8747">
      <w:pPr>
        <w:ind w:left="630" w:leftChars="300" w:right="630" w:rightChars="300"/>
        <w:rPr>
          <w:rFonts w:ascii="楷体" w:hAnsi="楷体" w:eastAsia="楷体"/>
        </w:rPr>
      </w:pPr>
      <w:r>
        <w:rPr>
          <w:rFonts w:hint="eastAsia" w:ascii="楷体" w:hAnsi="楷体" w:eastAsia="楷体"/>
        </w:rPr>
        <w:t>（1987年5月10日北京市人民政府京政发60号文件发布　根据2010年11月27日北京市人民政府第226号令修改）</w:t>
      </w:r>
    </w:p>
    <w:p w14:paraId="2DD6EE4E">
      <w:pPr>
        <w:ind w:left="630" w:leftChars="300" w:right="630" w:rightChars="300"/>
        <w:rPr>
          <w:rFonts w:ascii="楷体" w:hAnsi="楷体" w:eastAsia="楷体"/>
        </w:rPr>
      </w:pPr>
    </w:p>
    <w:p w14:paraId="7E5F61BB">
      <w:pPr>
        <w:ind w:firstLine="422"/>
      </w:pPr>
      <w:r>
        <w:rPr>
          <w:rFonts w:hint="eastAsia"/>
          <w:b/>
        </w:rPr>
        <w:t>第一条</w:t>
      </w:r>
      <w:r>
        <w:rPr>
          <w:rFonts w:hint="eastAsia"/>
        </w:rPr>
        <w:t xml:space="preserve">  为推动城市污水的综合利用，进一步节约用水，根据北京城市总体规划和本市有关规定，制定本办法。</w:t>
      </w:r>
    </w:p>
    <w:p w14:paraId="3AA670E4">
      <w:pPr>
        <w:ind w:firstLine="422"/>
      </w:pPr>
      <w:r>
        <w:rPr>
          <w:rFonts w:hint="eastAsia"/>
          <w:b/>
        </w:rPr>
        <w:t>第二条</w:t>
      </w:r>
      <w:r>
        <w:rPr>
          <w:rFonts w:hint="eastAsia"/>
        </w:rPr>
        <w:t xml:space="preserve">  本办法所称中水，是指生活污水经过处理后，达到规定的水质标准，可在一定范围内重复使用的非饮用水。所称中水设施，是指中水的水处理、集水、供水以及计量、检测等设施。</w:t>
      </w:r>
    </w:p>
    <w:p w14:paraId="6F4B731E">
      <w:r>
        <w:rPr>
          <w:rFonts w:hint="eastAsia"/>
        </w:rPr>
        <w:t>中水主要用于厕所冲洗、园林灌溉、道路保洁、汽车洗刷以及喷水池、冷却设备补充用水等。</w:t>
      </w:r>
    </w:p>
    <w:p w14:paraId="0FABB574">
      <w:pPr>
        <w:ind w:firstLine="422"/>
        <w:rPr>
          <w:rFonts w:hint="eastAsia" w:ascii="宋体" w:hAnsi="宋体" w:eastAsia="宋体" w:cs="宋体"/>
        </w:rPr>
      </w:pPr>
      <w:r>
        <w:rPr>
          <w:rFonts w:hint="eastAsia"/>
          <w:b/>
        </w:rPr>
        <w:t>第三条</w:t>
      </w:r>
      <w:r>
        <w:rPr>
          <w:rFonts w:hint="eastAsia"/>
        </w:rPr>
        <w:t xml:space="preserve">  凡在</w:t>
      </w:r>
      <w:r>
        <w:rPr>
          <w:rFonts w:hint="eastAsia" w:ascii="宋体" w:hAnsi="宋体" w:eastAsia="宋体" w:cs="宋体"/>
        </w:rPr>
        <w:t>本市行政区域内新建下列工程，应按规定配套建设中水设施：</w:t>
      </w:r>
    </w:p>
    <w:p w14:paraId="7A4D9694">
      <w:pPr>
        <w:rPr>
          <w:rFonts w:hint="eastAsia" w:ascii="宋体" w:hAnsi="宋体" w:eastAsia="宋体" w:cs="宋体"/>
        </w:rPr>
      </w:pPr>
      <w:r>
        <w:rPr>
          <w:rFonts w:hint="eastAsia" w:ascii="宋体" w:hAnsi="宋体" w:eastAsia="宋体" w:cs="宋体"/>
        </w:rPr>
        <w:t>（一）建筑面积2万平方米以上的旅馆、饭店、公寓等。</w:t>
      </w:r>
    </w:p>
    <w:p w14:paraId="653C657A">
      <w:pPr>
        <w:rPr>
          <w:rFonts w:hint="eastAsia" w:ascii="宋体" w:hAnsi="宋体" w:eastAsia="宋体" w:cs="宋体"/>
        </w:rPr>
      </w:pPr>
      <w:r>
        <w:rPr>
          <w:rFonts w:hint="eastAsia" w:ascii="宋体" w:hAnsi="宋体" w:eastAsia="宋体" w:cs="宋体"/>
        </w:rPr>
        <w:t>（二）建筑面积3万平方米以上的机关、科研单位、大专院校和大型文化、体育等建筑。</w:t>
      </w:r>
    </w:p>
    <w:p w14:paraId="7BA90C64">
      <w:r>
        <w:rPr>
          <w:rFonts w:hint="eastAsia" w:ascii="宋体" w:hAnsi="宋体" w:eastAsia="宋体" w:cs="宋体"/>
        </w:rPr>
        <w:t>（三）按规划应配套建设中水设施的住宅小区</w:t>
      </w:r>
      <w:r>
        <w:rPr>
          <w:rFonts w:hint="eastAsia"/>
        </w:rPr>
        <w:t>、集中建筑区等。</w:t>
      </w:r>
    </w:p>
    <w:p w14:paraId="21867118">
      <w:r>
        <w:rPr>
          <w:rFonts w:hint="eastAsia"/>
        </w:rPr>
        <w:t>现有建筑属上述第（一）、（二）项规定范围内的，可根据条件，逐步配建中水设施。</w:t>
      </w:r>
    </w:p>
    <w:p w14:paraId="73C1C341">
      <w:pPr>
        <w:ind w:firstLine="422"/>
      </w:pPr>
      <w:r>
        <w:rPr>
          <w:rFonts w:hint="eastAsia"/>
          <w:b/>
        </w:rPr>
        <w:t>第四条</w:t>
      </w:r>
      <w:r>
        <w:rPr>
          <w:rFonts w:hint="eastAsia"/>
        </w:rPr>
        <w:t xml:space="preserve">  中水设施由建设单位负责设计和建设，并与主体建筑工程同时设计、同时施工、同时交付使用。中水设施的建设投资纳入主体工程预、决算。</w:t>
      </w:r>
    </w:p>
    <w:p w14:paraId="08E7FE30">
      <w:pPr>
        <w:ind w:firstLine="422"/>
      </w:pPr>
      <w:r>
        <w:rPr>
          <w:rFonts w:hint="eastAsia"/>
          <w:b/>
        </w:rPr>
        <w:t>第五条</w:t>
      </w:r>
      <w:r>
        <w:rPr>
          <w:rFonts w:hint="eastAsia"/>
        </w:rPr>
        <w:t xml:space="preserve">  中水管道、水箱等设备外部应涂成浅绿色。中水管道、水箱等严禁与自来水管道、水箱直接连接。</w:t>
      </w:r>
    </w:p>
    <w:p w14:paraId="4C898B29">
      <w:pPr>
        <w:ind w:firstLine="422"/>
      </w:pPr>
      <w:r>
        <w:rPr>
          <w:rFonts w:hint="eastAsia"/>
          <w:b/>
        </w:rPr>
        <w:t>第六条</w:t>
      </w:r>
      <w:r>
        <w:rPr>
          <w:rFonts w:hint="eastAsia"/>
        </w:rPr>
        <w:t xml:space="preserve">  中水设施的设计审查和工程验收，应按国家和本市有关规定执行，并有市节水办公室参加。经审查或验收合格的，方可进行施工或投入运行。</w:t>
      </w:r>
    </w:p>
    <w:p w14:paraId="5A1D0E85">
      <w:pPr>
        <w:ind w:firstLine="422"/>
      </w:pPr>
      <w:r>
        <w:rPr>
          <w:rFonts w:hint="eastAsia"/>
          <w:b/>
        </w:rPr>
        <w:t>第七条</w:t>
      </w:r>
      <w:r>
        <w:rPr>
          <w:rFonts w:hint="eastAsia"/>
        </w:rPr>
        <w:t xml:space="preserve">  中水水质必须达到本办法附表所列各项水质标准。</w:t>
      </w:r>
    </w:p>
    <w:p w14:paraId="39FB9EF5">
      <w:pPr>
        <w:ind w:firstLine="422"/>
      </w:pPr>
      <w:r>
        <w:rPr>
          <w:rFonts w:hint="eastAsia"/>
          <w:b/>
        </w:rPr>
        <w:t>第八条</w:t>
      </w:r>
      <w:r>
        <w:rPr>
          <w:rFonts w:hint="eastAsia"/>
        </w:rPr>
        <w:t xml:space="preserve">  中水设施交付使用后，由房屋管理单位负责日常管理与维修。房屋管理单位应制定管理制度和工作规程，保持中水设施运行的完好状态，定期化验中水水质，保证达到规定的水质标准。</w:t>
      </w:r>
    </w:p>
    <w:p w14:paraId="275A8E88">
      <w:r>
        <w:rPr>
          <w:rFonts w:hint="eastAsia"/>
        </w:rPr>
        <w:t>中水设施的管理人员必须经过专门培训，并经市节水办公室考核，领取合格证后，方可从事管理工作。</w:t>
      </w:r>
    </w:p>
    <w:p w14:paraId="2BE029EB">
      <w:pPr>
        <w:ind w:firstLine="422"/>
      </w:pPr>
      <w:r>
        <w:rPr>
          <w:rFonts w:hint="eastAsia"/>
          <w:b/>
        </w:rPr>
        <w:t>第九条</w:t>
      </w:r>
      <w:r>
        <w:rPr>
          <w:rFonts w:hint="eastAsia"/>
        </w:rPr>
        <w:t xml:space="preserve">  属本办法第三条所列建筑工程，不按规定设计和建设中水设施的，规划部门不发给建设工程许可证，节水办公室不发给计划用水许可证，供水部门不予供水。</w:t>
      </w:r>
    </w:p>
    <w:p w14:paraId="2FBF8689">
      <w:r>
        <w:rPr>
          <w:rFonts w:hint="eastAsia"/>
        </w:rPr>
        <w:t>中水设施因管理不善停用或中水水质达不到规定标准的，由节水办公室限期恢复使用或限期达到水质标准；逾期仍不恢复使用或达不到水质标准的，依照有关规定予以处罚。</w:t>
      </w:r>
    </w:p>
    <w:p w14:paraId="419CE37E">
      <w:pPr>
        <w:ind w:firstLine="422"/>
      </w:pPr>
      <w:r>
        <w:rPr>
          <w:rFonts w:hint="eastAsia"/>
          <w:b/>
        </w:rPr>
        <w:t>第十条</w:t>
      </w:r>
      <w:r>
        <w:rPr>
          <w:rFonts w:hint="eastAsia"/>
        </w:rPr>
        <w:t xml:space="preserve">  认真执行本办法，中水设施管理和节约用水成绩突出、效果显著的，依照本市节约用水的有关规定给以奖励。</w:t>
      </w:r>
    </w:p>
    <w:p w14:paraId="2ACC0607">
      <w:pPr>
        <w:ind w:firstLine="422"/>
      </w:pPr>
      <w:r>
        <w:rPr>
          <w:rFonts w:hint="eastAsia"/>
          <w:b/>
        </w:rPr>
        <w:t>第十一条</w:t>
      </w:r>
      <w:r>
        <w:rPr>
          <w:rFonts w:hint="eastAsia"/>
        </w:rPr>
        <w:t xml:space="preserve">  本办法由市水行政主管部门负责监督实施。</w:t>
      </w:r>
    </w:p>
    <w:p w14:paraId="466F5A8D">
      <w:pPr>
        <w:ind w:firstLine="422"/>
      </w:pPr>
      <w:r>
        <w:rPr>
          <w:rFonts w:hint="eastAsia"/>
          <w:b/>
        </w:rPr>
        <w:t>第十二条</w:t>
      </w:r>
      <w:r>
        <w:rPr>
          <w:rFonts w:hint="eastAsia"/>
        </w:rPr>
        <w:t xml:space="preserve">  本办法经市人民政府批准，</w:t>
      </w:r>
      <w:r>
        <w:rPr>
          <w:rFonts w:hint="eastAsia" w:ascii="宋体" w:hAnsi="宋体" w:eastAsia="宋体" w:cs="宋体"/>
        </w:rPr>
        <w:t>自1987年6月1日起试</w:t>
      </w:r>
      <w:r>
        <w:rPr>
          <w:rFonts w:hint="eastAsia"/>
        </w:rPr>
        <w:t>行。</w:t>
      </w:r>
    </w:p>
    <w:p w14:paraId="79F563C9">
      <w:pPr>
        <w:ind w:firstLine="0" w:firstLineChars="0"/>
        <w:rPr>
          <w:b/>
          <w:sz w:val="24"/>
        </w:rPr>
      </w:pPr>
    </w:p>
    <w:p w14:paraId="3BCCC7EB">
      <w:pPr>
        <w:ind w:firstLine="0" w:firstLineChars="0"/>
        <w:rPr>
          <w:b/>
          <w:sz w:val="24"/>
        </w:rPr>
      </w:pPr>
    </w:p>
    <w:p w14:paraId="553C6B6F">
      <w:pPr>
        <w:ind w:firstLine="0" w:firstLineChars="0"/>
        <w:rPr>
          <w:b/>
          <w:sz w:val="24"/>
        </w:rPr>
      </w:pPr>
      <w:r>
        <w:rPr>
          <w:rFonts w:hint="eastAsia"/>
          <w:b/>
          <w:sz w:val="24"/>
        </w:rPr>
        <w:t>附表：</w:t>
      </w:r>
    </w:p>
    <w:p w14:paraId="2C119AE0">
      <w:pPr>
        <w:ind w:firstLine="0" w:firstLineChars="0"/>
        <w:jc w:val="center"/>
        <w:rPr>
          <w:sz w:val="28"/>
        </w:rPr>
      </w:pPr>
      <w:r>
        <w:rPr>
          <w:rFonts w:hint="eastAsia"/>
          <w:sz w:val="28"/>
        </w:rPr>
        <w:t>中水水质标准</w:t>
      </w:r>
    </w:p>
    <w:p w14:paraId="6386A65B">
      <w:pPr>
        <w:ind w:firstLine="0" w:firstLineChars="0"/>
        <w:jc w:val="center"/>
        <w:rPr>
          <w:sz w:val="28"/>
        </w:rPr>
      </w:pPr>
    </w:p>
    <w:tbl>
      <w:tblPr>
        <w:tblStyle w:val="23"/>
        <w:tblW w:w="8528"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59"/>
        <w:gridCol w:w="3827"/>
        <w:gridCol w:w="3742"/>
      </w:tblGrid>
      <w:tr w14:paraId="2DB9D20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bottom w:val="single" w:color="auto" w:sz="4" w:space="0"/>
              <w:right w:val="single" w:color="auto" w:sz="4" w:space="0"/>
            </w:tcBorders>
            <w:vAlign w:val="center"/>
          </w:tcPr>
          <w:p w14:paraId="11CF0293">
            <w:pPr>
              <w:spacing w:line="240" w:lineRule="exact"/>
              <w:ind w:firstLine="0" w:firstLineChars="0"/>
              <w:jc w:val="center"/>
              <w:rPr>
                <w:sz w:val="18"/>
              </w:rPr>
            </w:pPr>
            <w:r>
              <w:rPr>
                <w:rFonts w:hint="eastAsia"/>
                <w:sz w:val="18"/>
              </w:rPr>
              <w:t>编号</w:t>
            </w:r>
          </w:p>
        </w:tc>
        <w:tc>
          <w:tcPr>
            <w:tcW w:w="3827" w:type="dxa"/>
            <w:tcBorders>
              <w:top w:val="single" w:color="auto" w:sz="12" w:space="0"/>
              <w:left w:val="single" w:color="auto" w:sz="4" w:space="0"/>
              <w:bottom w:val="single" w:color="auto" w:sz="4" w:space="0"/>
              <w:right w:val="single" w:color="auto" w:sz="4" w:space="0"/>
            </w:tcBorders>
            <w:vAlign w:val="center"/>
          </w:tcPr>
          <w:p w14:paraId="6C5DDCB9">
            <w:pPr>
              <w:spacing w:line="240" w:lineRule="exact"/>
              <w:ind w:firstLine="0" w:firstLineChars="0"/>
              <w:jc w:val="center"/>
              <w:rPr>
                <w:sz w:val="18"/>
              </w:rPr>
            </w:pPr>
            <w:r>
              <w:rPr>
                <w:rFonts w:hint="eastAsia"/>
                <w:sz w:val="18"/>
              </w:rPr>
              <w:t>项目</w:t>
            </w:r>
          </w:p>
        </w:tc>
        <w:tc>
          <w:tcPr>
            <w:tcW w:w="3742" w:type="dxa"/>
            <w:tcBorders>
              <w:left w:val="single" w:color="auto" w:sz="4" w:space="0"/>
              <w:bottom w:val="single" w:color="auto" w:sz="4" w:space="0"/>
            </w:tcBorders>
            <w:vAlign w:val="center"/>
          </w:tcPr>
          <w:p w14:paraId="719EEA79">
            <w:pPr>
              <w:spacing w:line="240" w:lineRule="exact"/>
              <w:ind w:firstLine="0" w:firstLineChars="0"/>
              <w:jc w:val="center"/>
              <w:rPr>
                <w:sz w:val="18"/>
              </w:rPr>
            </w:pPr>
            <w:r>
              <w:rPr>
                <w:rFonts w:hint="eastAsia"/>
                <w:sz w:val="18"/>
              </w:rPr>
              <w:t>标准</w:t>
            </w:r>
          </w:p>
        </w:tc>
      </w:tr>
      <w:tr w14:paraId="0B9E62A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top w:val="single" w:color="auto" w:sz="4" w:space="0"/>
              <w:right w:val="single" w:color="auto" w:sz="4" w:space="0"/>
            </w:tcBorders>
            <w:vAlign w:val="center"/>
          </w:tcPr>
          <w:p w14:paraId="7FD4C351">
            <w:pPr>
              <w:spacing w:line="240" w:lineRule="exact"/>
              <w:ind w:firstLine="0" w:firstLineChars="0"/>
              <w:jc w:val="center"/>
              <w:rPr>
                <w:sz w:val="18"/>
              </w:rPr>
            </w:pPr>
            <w:r>
              <w:rPr>
                <w:rFonts w:hint="eastAsia"/>
                <w:sz w:val="18"/>
              </w:rPr>
              <w:t>1</w:t>
            </w:r>
          </w:p>
        </w:tc>
        <w:tc>
          <w:tcPr>
            <w:tcW w:w="3827" w:type="dxa"/>
            <w:tcBorders>
              <w:top w:val="single" w:color="auto" w:sz="4" w:space="0"/>
              <w:left w:val="single" w:color="auto" w:sz="4" w:space="0"/>
              <w:right w:val="single" w:color="auto" w:sz="4" w:space="0"/>
            </w:tcBorders>
            <w:vAlign w:val="center"/>
          </w:tcPr>
          <w:p w14:paraId="1860450F">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色</w:t>
            </w:r>
          </w:p>
        </w:tc>
        <w:tc>
          <w:tcPr>
            <w:tcW w:w="3742" w:type="dxa"/>
            <w:tcBorders>
              <w:top w:val="single" w:color="auto" w:sz="4" w:space="0"/>
              <w:left w:val="single" w:color="auto" w:sz="4" w:space="0"/>
            </w:tcBorders>
            <w:vAlign w:val="center"/>
          </w:tcPr>
          <w:p w14:paraId="08A5E70E">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色度不超过40度</w:t>
            </w:r>
          </w:p>
        </w:tc>
      </w:tr>
      <w:tr w14:paraId="2E13849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right w:val="single" w:color="auto" w:sz="4" w:space="0"/>
            </w:tcBorders>
            <w:vAlign w:val="center"/>
          </w:tcPr>
          <w:p w14:paraId="7CB5564E">
            <w:pPr>
              <w:spacing w:line="240" w:lineRule="exact"/>
              <w:ind w:firstLine="0" w:firstLineChars="0"/>
              <w:jc w:val="center"/>
              <w:rPr>
                <w:sz w:val="18"/>
              </w:rPr>
            </w:pPr>
            <w:r>
              <w:rPr>
                <w:rFonts w:hint="eastAsia"/>
                <w:sz w:val="18"/>
              </w:rPr>
              <w:t>2</w:t>
            </w:r>
          </w:p>
        </w:tc>
        <w:tc>
          <w:tcPr>
            <w:tcW w:w="3827" w:type="dxa"/>
            <w:tcBorders>
              <w:left w:val="single" w:color="auto" w:sz="4" w:space="0"/>
              <w:right w:val="single" w:color="auto" w:sz="4" w:space="0"/>
            </w:tcBorders>
            <w:vAlign w:val="center"/>
          </w:tcPr>
          <w:p w14:paraId="35B9E1E5">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嗅</w:t>
            </w:r>
          </w:p>
        </w:tc>
        <w:tc>
          <w:tcPr>
            <w:tcW w:w="3742" w:type="dxa"/>
            <w:tcBorders>
              <w:left w:val="single" w:color="auto" w:sz="4" w:space="0"/>
            </w:tcBorders>
            <w:vAlign w:val="center"/>
          </w:tcPr>
          <w:p w14:paraId="73291168">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无不快感觉</w:t>
            </w:r>
          </w:p>
        </w:tc>
      </w:tr>
      <w:tr w14:paraId="36BB011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right w:val="single" w:color="auto" w:sz="4" w:space="0"/>
            </w:tcBorders>
            <w:vAlign w:val="center"/>
          </w:tcPr>
          <w:p w14:paraId="5C572F1E">
            <w:pPr>
              <w:spacing w:line="240" w:lineRule="exact"/>
              <w:ind w:firstLine="0" w:firstLineChars="0"/>
              <w:jc w:val="center"/>
              <w:rPr>
                <w:sz w:val="18"/>
              </w:rPr>
            </w:pPr>
            <w:r>
              <w:rPr>
                <w:rFonts w:hint="eastAsia"/>
                <w:sz w:val="18"/>
              </w:rPr>
              <w:t>3</w:t>
            </w:r>
          </w:p>
        </w:tc>
        <w:tc>
          <w:tcPr>
            <w:tcW w:w="3827" w:type="dxa"/>
            <w:tcBorders>
              <w:left w:val="single" w:color="auto" w:sz="4" w:space="0"/>
              <w:right w:val="single" w:color="auto" w:sz="4" w:space="0"/>
            </w:tcBorders>
            <w:vAlign w:val="center"/>
          </w:tcPr>
          <w:p w14:paraId="2179275F">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PH</w:t>
            </w:r>
          </w:p>
        </w:tc>
        <w:tc>
          <w:tcPr>
            <w:tcW w:w="3742" w:type="dxa"/>
            <w:tcBorders>
              <w:left w:val="single" w:color="auto" w:sz="4" w:space="0"/>
            </w:tcBorders>
            <w:vAlign w:val="center"/>
          </w:tcPr>
          <w:p w14:paraId="53355190">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6.5－9.0</w:t>
            </w:r>
          </w:p>
        </w:tc>
      </w:tr>
      <w:tr w14:paraId="5A1238C2">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right w:val="single" w:color="auto" w:sz="4" w:space="0"/>
            </w:tcBorders>
            <w:vAlign w:val="center"/>
          </w:tcPr>
          <w:p w14:paraId="71E35A74">
            <w:pPr>
              <w:spacing w:line="240" w:lineRule="exact"/>
              <w:ind w:firstLine="0" w:firstLineChars="0"/>
              <w:jc w:val="center"/>
              <w:rPr>
                <w:sz w:val="18"/>
              </w:rPr>
            </w:pPr>
            <w:r>
              <w:rPr>
                <w:rFonts w:hint="eastAsia"/>
                <w:sz w:val="18"/>
              </w:rPr>
              <w:t>4</w:t>
            </w:r>
          </w:p>
        </w:tc>
        <w:tc>
          <w:tcPr>
            <w:tcW w:w="3827" w:type="dxa"/>
            <w:tcBorders>
              <w:left w:val="single" w:color="auto" w:sz="4" w:space="0"/>
              <w:right w:val="single" w:color="auto" w:sz="4" w:space="0"/>
            </w:tcBorders>
            <w:vAlign w:val="center"/>
          </w:tcPr>
          <w:p w14:paraId="2CF45D0D">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悬浮物</w:t>
            </w:r>
          </w:p>
        </w:tc>
        <w:tc>
          <w:tcPr>
            <w:tcW w:w="3742" w:type="dxa"/>
            <w:tcBorders>
              <w:left w:val="single" w:color="auto" w:sz="4" w:space="0"/>
            </w:tcBorders>
            <w:vAlign w:val="center"/>
          </w:tcPr>
          <w:p w14:paraId="115D2802">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不超过10毫克／升</w:t>
            </w:r>
          </w:p>
        </w:tc>
      </w:tr>
      <w:tr w14:paraId="1609C05D">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right w:val="single" w:color="auto" w:sz="4" w:space="0"/>
            </w:tcBorders>
            <w:vAlign w:val="center"/>
          </w:tcPr>
          <w:p w14:paraId="028E00E2">
            <w:pPr>
              <w:spacing w:line="240" w:lineRule="exact"/>
              <w:ind w:firstLine="0" w:firstLineChars="0"/>
              <w:jc w:val="center"/>
              <w:rPr>
                <w:sz w:val="18"/>
              </w:rPr>
            </w:pPr>
            <w:r>
              <w:rPr>
                <w:rFonts w:hint="eastAsia"/>
                <w:sz w:val="18"/>
              </w:rPr>
              <w:t>5</w:t>
            </w:r>
          </w:p>
        </w:tc>
        <w:tc>
          <w:tcPr>
            <w:tcW w:w="3827" w:type="dxa"/>
            <w:tcBorders>
              <w:left w:val="single" w:color="auto" w:sz="4" w:space="0"/>
              <w:right w:val="single" w:color="auto" w:sz="4" w:space="0"/>
            </w:tcBorders>
            <w:vAlign w:val="center"/>
          </w:tcPr>
          <w:p w14:paraId="3EF6CE8C">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生化需氧量（五天20℃）</w:t>
            </w:r>
          </w:p>
        </w:tc>
        <w:tc>
          <w:tcPr>
            <w:tcW w:w="3742" w:type="dxa"/>
            <w:tcBorders>
              <w:left w:val="single" w:color="auto" w:sz="4" w:space="0"/>
            </w:tcBorders>
            <w:vAlign w:val="center"/>
          </w:tcPr>
          <w:p w14:paraId="223B5BC6">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不超过10毫克／升</w:t>
            </w:r>
          </w:p>
        </w:tc>
      </w:tr>
      <w:tr w14:paraId="592D9AB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right w:val="single" w:color="auto" w:sz="4" w:space="0"/>
            </w:tcBorders>
            <w:vAlign w:val="center"/>
          </w:tcPr>
          <w:p w14:paraId="3D342665">
            <w:pPr>
              <w:spacing w:line="240" w:lineRule="exact"/>
              <w:ind w:firstLine="0" w:firstLineChars="0"/>
              <w:jc w:val="center"/>
              <w:rPr>
                <w:sz w:val="18"/>
              </w:rPr>
            </w:pPr>
            <w:r>
              <w:rPr>
                <w:rFonts w:hint="eastAsia"/>
                <w:sz w:val="18"/>
              </w:rPr>
              <w:t>6</w:t>
            </w:r>
          </w:p>
        </w:tc>
        <w:tc>
          <w:tcPr>
            <w:tcW w:w="3827" w:type="dxa"/>
            <w:tcBorders>
              <w:left w:val="single" w:color="auto" w:sz="4" w:space="0"/>
              <w:right w:val="single" w:color="auto" w:sz="4" w:space="0"/>
            </w:tcBorders>
            <w:vAlign w:val="center"/>
          </w:tcPr>
          <w:p w14:paraId="3111EA8C">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化学耗氧量（重铬酸钾法）</w:t>
            </w:r>
          </w:p>
        </w:tc>
        <w:tc>
          <w:tcPr>
            <w:tcW w:w="3742" w:type="dxa"/>
            <w:tcBorders>
              <w:left w:val="single" w:color="auto" w:sz="4" w:space="0"/>
            </w:tcBorders>
            <w:vAlign w:val="center"/>
          </w:tcPr>
          <w:p w14:paraId="2B3C3AD1">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不超过50毫克／升</w:t>
            </w:r>
          </w:p>
        </w:tc>
      </w:tr>
      <w:tr w14:paraId="0960B5E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right w:val="single" w:color="auto" w:sz="4" w:space="0"/>
            </w:tcBorders>
            <w:vAlign w:val="center"/>
          </w:tcPr>
          <w:p w14:paraId="16ABBD13">
            <w:pPr>
              <w:spacing w:line="240" w:lineRule="exact"/>
              <w:ind w:firstLine="0" w:firstLineChars="0"/>
              <w:jc w:val="center"/>
              <w:rPr>
                <w:sz w:val="18"/>
              </w:rPr>
            </w:pPr>
            <w:r>
              <w:rPr>
                <w:rFonts w:hint="eastAsia"/>
                <w:sz w:val="18"/>
              </w:rPr>
              <w:t>7</w:t>
            </w:r>
          </w:p>
        </w:tc>
        <w:tc>
          <w:tcPr>
            <w:tcW w:w="3827" w:type="dxa"/>
            <w:tcBorders>
              <w:left w:val="single" w:color="auto" w:sz="4" w:space="0"/>
              <w:right w:val="single" w:color="auto" w:sz="4" w:space="0"/>
            </w:tcBorders>
            <w:vAlign w:val="center"/>
          </w:tcPr>
          <w:p w14:paraId="37505461">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阴离子合成洗涤剂</w:t>
            </w:r>
          </w:p>
        </w:tc>
        <w:tc>
          <w:tcPr>
            <w:tcW w:w="3742" w:type="dxa"/>
            <w:tcBorders>
              <w:left w:val="single" w:color="auto" w:sz="4" w:space="0"/>
            </w:tcBorders>
            <w:vAlign w:val="center"/>
          </w:tcPr>
          <w:p w14:paraId="415D33CC">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不超过2毫克／升</w:t>
            </w:r>
          </w:p>
        </w:tc>
      </w:tr>
      <w:tr w14:paraId="3C5EEB4F">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right w:val="single" w:color="auto" w:sz="4" w:space="0"/>
            </w:tcBorders>
            <w:vAlign w:val="center"/>
          </w:tcPr>
          <w:p w14:paraId="25405405">
            <w:pPr>
              <w:spacing w:line="240" w:lineRule="exact"/>
              <w:ind w:firstLine="0" w:firstLineChars="0"/>
              <w:jc w:val="center"/>
              <w:rPr>
                <w:sz w:val="18"/>
              </w:rPr>
            </w:pPr>
            <w:r>
              <w:rPr>
                <w:rFonts w:hint="eastAsia"/>
                <w:sz w:val="18"/>
              </w:rPr>
              <w:t>8</w:t>
            </w:r>
          </w:p>
        </w:tc>
        <w:tc>
          <w:tcPr>
            <w:tcW w:w="3827" w:type="dxa"/>
            <w:tcBorders>
              <w:left w:val="single" w:color="auto" w:sz="4" w:space="0"/>
              <w:right w:val="single" w:color="auto" w:sz="4" w:space="0"/>
            </w:tcBorders>
            <w:vAlign w:val="center"/>
          </w:tcPr>
          <w:p w14:paraId="2B273213">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细菌总数</w:t>
            </w:r>
          </w:p>
        </w:tc>
        <w:tc>
          <w:tcPr>
            <w:tcW w:w="3742" w:type="dxa"/>
            <w:tcBorders>
              <w:left w:val="single" w:color="auto" w:sz="4" w:space="0"/>
            </w:tcBorders>
            <w:vAlign w:val="center"/>
          </w:tcPr>
          <w:p w14:paraId="4E74F598">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1毫升水中不超过100个</w:t>
            </w:r>
          </w:p>
        </w:tc>
      </w:tr>
      <w:tr w14:paraId="65E6693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right w:val="single" w:color="auto" w:sz="4" w:space="0"/>
            </w:tcBorders>
            <w:vAlign w:val="center"/>
          </w:tcPr>
          <w:p w14:paraId="231C95C5">
            <w:pPr>
              <w:spacing w:line="240" w:lineRule="exact"/>
              <w:ind w:firstLine="0" w:firstLineChars="0"/>
              <w:jc w:val="center"/>
              <w:rPr>
                <w:sz w:val="18"/>
              </w:rPr>
            </w:pPr>
            <w:r>
              <w:rPr>
                <w:rFonts w:hint="eastAsia"/>
                <w:sz w:val="18"/>
              </w:rPr>
              <w:t>9</w:t>
            </w:r>
          </w:p>
        </w:tc>
        <w:tc>
          <w:tcPr>
            <w:tcW w:w="3827" w:type="dxa"/>
            <w:tcBorders>
              <w:left w:val="single" w:color="auto" w:sz="4" w:space="0"/>
              <w:right w:val="single" w:color="auto" w:sz="4" w:space="0"/>
            </w:tcBorders>
            <w:vAlign w:val="center"/>
          </w:tcPr>
          <w:p w14:paraId="47C749BE">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总大肠菌群</w:t>
            </w:r>
          </w:p>
        </w:tc>
        <w:tc>
          <w:tcPr>
            <w:tcW w:w="3742" w:type="dxa"/>
            <w:tcBorders>
              <w:left w:val="single" w:color="auto" w:sz="4" w:space="0"/>
            </w:tcBorders>
            <w:vAlign w:val="center"/>
          </w:tcPr>
          <w:p w14:paraId="2A89F665">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1升水中不超过3个</w:t>
            </w:r>
          </w:p>
        </w:tc>
      </w:tr>
      <w:tr w14:paraId="1AB3B23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959" w:type="dxa"/>
            <w:tcBorders>
              <w:right w:val="single" w:color="auto" w:sz="4" w:space="0"/>
            </w:tcBorders>
            <w:vAlign w:val="center"/>
          </w:tcPr>
          <w:p w14:paraId="68FC8B1A">
            <w:pPr>
              <w:spacing w:line="240" w:lineRule="exact"/>
              <w:ind w:firstLine="0" w:firstLineChars="0"/>
              <w:jc w:val="center"/>
              <w:rPr>
                <w:sz w:val="18"/>
              </w:rPr>
            </w:pPr>
            <w:r>
              <w:rPr>
                <w:rFonts w:hint="eastAsia"/>
                <w:sz w:val="18"/>
              </w:rPr>
              <w:t>10</w:t>
            </w:r>
          </w:p>
        </w:tc>
        <w:tc>
          <w:tcPr>
            <w:tcW w:w="3827" w:type="dxa"/>
            <w:tcBorders>
              <w:left w:val="single" w:color="auto" w:sz="4" w:space="0"/>
              <w:right w:val="single" w:color="auto" w:sz="4" w:space="0"/>
            </w:tcBorders>
            <w:vAlign w:val="center"/>
          </w:tcPr>
          <w:p w14:paraId="6E1012B8">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游离余氯</w:t>
            </w:r>
          </w:p>
        </w:tc>
        <w:tc>
          <w:tcPr>
            <w:tcW w:w="3742" w:type="dxa"/>
            <w:tcBorders>
              <w:left w:val="single" w:color="auto" w:sz="4" w:space="0"/>
            </w:tcBorders>
            <w:vAlign w:val="center"/>
          </w:tcPr>
          <w:p w14:paraId="43BE69B0">
            <w:pPr>
              <w:spacing w:line="240" w:lineRule="exact"/>
              <w:ind w:firstLine="0" w:firstLineChars="0"/>
              <w:jc w:val="center"/>
              <w:rPr>
                <w:rFonts w:hint="eastAsia" w:ascii="宋体" w:hAnsi="宋体" w:eastAsia="宋体" w:cs="宋体"/>
                <w:sz w:val="18"/>
              </w:rPr>
            </w:pPr>
            <w:r>
              <w:rPr>
                <w:rFonts w:hint="eastAsia" w:ascii="宋体" w:hAnsi="宋体" w:eastAsia="宋体" w:cs="宋体"/>
                <w:sz w:val="18"/>
              </w:rPr>
              <w:t>管网末端不低于0.2毫克／升</w:t>
            </w:r>
          </w:p>
        </w:tc>
      </w:tr>
    </w:tbl>
    <w:p w14:paraId="5FF2790D">
      <w:pPr>
        <w:ind w:firstLine="0" w:firstLineChars="0"/>
      </w:pPr>
      <w:r>
        <w:rPr>
          <w:rFonts w:hint="eastAsia"/>
        </w:rPr>
        <w:t>注:</w:t>
      </w:r>
      <w:r>
        <w:rPr>
          <w:rFonts w:hint="eastAsia"/>
          <w:lang w:val="en-US" w:eastAsia="zh-CN"/>
        </w:rPr>
        <w:t xml:space="preserve"> </w:t>
      </w:r>
      <w:r>
        <w:rPr>
          <w:rFonts w:hint="eastAsia"/>
        </w:rPr>
        <w:t>1、中水其他理化指标，视不同用途，应达到国家的有关水质标准及用水设备本身的要求。</w:t>
      </w:r>
    </w:p>
    <w:p w14:paraId="602DD0D4">
      <w:pPr>
        <w:ind w:firstLine="315" w:firstLineChars="150"/>
      </w:pPr>
      <w:r>
        <w:rPr>
          <w:rFonts w:hint="eastAsia"/>
        </w:rPr>
        <w:t>2、本表所列标准第</w:t>
      </w:r>
      <w:r>
        <w:rPr>
          <w:rFonts w:hint="eastAsia" w:ascii="宋体" w:hAnsi="宋体" w:eastAsia="宋体" w:cs="宋体"/>
        </w:rPr>
        <w:t>1、2、3、7、8、9、10</w:t>
      </w:r>
      <w:r>
        <w:rPr>
          <w:rFonts w:hint="eastAsia"/>
        </w:rPr>
        <w:t>项按国家生活饮用水标准检验法检测，其他项目按国家规定的泼水检验方法检测。</w:t>
      </w:r>
    </w:p>
    <w:p w14:paraId="701711F7">
      <w:pPr>
        <w:pStyle w:val="4"/>
        <w:pageBreakBefore/>
      </w:pPr>
      <w:bookmarkStart w:id="2275" w:name="_Toc428780599"/>
      <w:bookmarkStart w:id="2276" w:name="_Toc426467093"/>
      <w:bookmarkStart w:id="2277" w:name="_Toc428781841"/>
      <w:r>
        <w:rPr>
          <w:rFonts w:hint="eastAsia"/>
        </w:rPr>
        <w:t>北京市人民政府关于加强建设</w:t>
      </w:r>
      <w:bookmarkEnd w:id="2275"/>
      <w:bookmarkEnd w:id="2276"/>
      <w:bookmarkEnd w:id="2277"/>
    </w:p>
    <w:p w14:paraId="4C0B335C">
      <w:pPr>
        <w:pStyle w:val="4"/>
      </w:pPr>
      <w:bookmarkStart w:id="2278" w:name="_Toc426467094"/>
      <w:bookmarkStart w:id="2279" w:name="_Toc428780600"/>
      <w:bookmarkStart w:id="2280" w:name="_Toc428781842"/>
      <w:r>
        <w:rPr>
          <w:rFonts w:hint="eastAsia"/>
        </w:rPr>
        <w:t>单位代征的城市绿化用地管理的若干规定</w:t>
      </w:r>
      <w:bookmarkEnd w:id="2278"/>
      <w:bookmarkEnd w:id="2279"/>
      <w:bookmarkEnd w:id="2280"/>
    </w:p>
    <w:p w14:paraId="26546FFA">
      <w:pPr>
        <w:ind w:left="630" w:leftChars="300" w:right="630" w:rightChars="300"/>
        <w:rPr>
          <w:rFonts w:ascii="楷体" w:hAnsi="楷体" w:eastAsia="楷体"/>
        </w:rPr>
      </w:pPr>
      <w:r>
        <w:rPr>
          <w:rFonts w:hint="eastAsia" w:ascii="楷体" w:hAnsi="楷体" w:eastAsia="楷体"/>
        </w:rPr>
        <w:t>（1987年7月24日北京市人民政府京政发94号文件发布  1987年8月1日起施行  根据1994年1月17日北京市人民政府批准修改）</w:t>
      </w:r>
    </w:p>
    <w:p w14:paraId="01E42FBF"/>
    <w:p w14:paraId="2FC7D968">
      <w:r>
        <w:rPr>
          <w:rFonts w:hint="eastAsia"/>
        </w:rPr>
        <w:t>为加强由建设单位代征的城市绿化用地的管理，确保城市绿化事业的发展，特作如下规定：</w:t>
      </w:r>
    </w:p>
    <w:p w14:paraId="04ED76BD">
      <w:pPr>
        <w:ind w:firstLine="422"/>
      </w:pPr>
      <w:r>
        <w:rPr>
          <w:rFonts w:hint="eastAsia"/>
          <w:b/>
        </w:rPr>
        <w:t>一、</w:t>
      </w:r>
      <w:r>
        <w:rPr>
          <w:rFonts w:hint="eastAsia"/>
        </w:rPr>
        <w:t>凡根据城市规划批准由建设单位代征的城市绿化用地（以下统称代征绿地），均按本规定管理。</w:t>
      </w:r>
    </w:p>
    <w:p w14:paraId="7D83F181">
      <w:pPr>
        <w:ind w:firstLine="422"/>
      </w:pPr>
      <w:r>
        <w:rPr>
          <w:rFonts w:hint="eastAsia"/>
          <w:b/>
        </w:rPr>
        <w:t>二、</w:t>
      </w:r>
      <w:r>
        <w:rPr>
          <w:rFonts w:hint="eastAsia"/>
        </w:rPr>
        <w:t>建设单位按照建设用地规划许可证核准的代征绿地数量和范围，完成征用、拆迁工作后，须在两个月内将代征绿地交所在区、县的园林管理部门统一管理。</w:t>
      </w:r>
    </w:p>
    <w:p w14:paraId="17892FBD">
      <w:r>
        <w:rPr>
          <w:rFonts w:hint="eastAsia"/>
        </w:rPr>
        <w:t>城市建设综合开发区内的绿化用地，由开发区的建设单位按照《北京市城市绿化条例》的要求完成绿化后，交所在区、县的园林管理部门管护或由园林管理部门安排责任单位进行管护。</w:t>
      </w:r>
    </w:p>
    <w:p w14:paraId="5EA0EE66">
      <w:pPr>
        <w:ind w:firstLine="422"/>
      </w:pPr>
      <w:r>
        <w:rPr>
          <w:rFonts w:hint="eastAsia"/>
          <w:b/>
        </w:rPr>
        <w:t>三、</w:t>
      </w:r>
      <w:r>
        <w:rPr>
          <w:rFonts w:hint="eastAsia"/>
        </w:rPr>
        <w:t>建设单位因建设工程需要，临时占用代征绿地或在代征绿地内建设临时建筑工程的，应先征得所在区、县园林管理部门的同意，再按规划管理的有关规定申报审批。批准占用期满后，由建设单位负责及时恢复原状，交所在区、县的园林管理部门安排绿化。</w:t>
      </w:r>
    </w:p>
    <w:p w14:paraId="5D56EA99">
      <w:pPr>
        <w:ind w:firstLine="422"/>
      </w:pPr>
      <w:r>
        <w:rPr>
          <w:rFonts w:hint="eastAsia"/>
          <w:b/>
        </w:rPr>
        <w:t>四、</w:t>
      </w:r>
      <w:r>
        <w:rPr>
          <w:rFonts w:hint="eastAsia"/>
        </w:rPr>
        <w:t>建设单位根据城市规划或建设工程需要在代征绿地内进行道路或其他市政建设工程的，应同绿化统筹安排、协调施工。</w:t>
      </w:r>
    </w:p>
    <w:p w14:paraId="2B7CBE1A">
      <w:pPr>
        <w:ind w:firstLine="422"/>
      </w:pPr>
      <w:r>
        <w:rPr>
          <w:rFonts w:hint="eastAsia"/>
          <w:b/>
        </w:rPr>
        <w:t>五、</w:t>
      </w:r>
      <w:r>
        <w:rPr>
          <w:rFonts w:hint="eastAsia"/>
        </w:rPr>
        <w:t>区、县园林管理部门对接管的代征绿地，应按照《北京市城市绿化条例》和有关规定，交所属单位或安排责任单位进行绿化和管护。完成绿化的时间，不得迟于接管后的第二个绿化季节。</w:t>
      </w:r>
    </w:p>
    <w:p w14:paraId="6ED55C03">
      <w:pPr>
        <w:ind w:firstLine="422"/>
      </w:pPr>
      <w:r>
        <w:rPr>
          <w:rFonts w:hint="eastAsia"/>
          <w:b/>
        </w:rPr>
        <w:t>六、</w:t>
      </w:r>
      <w:r>
        <w:rPr>
          <w:rFonts w:hint="eastAsia"/>
        </w:rPr>
        <w:t>建设单位对代征绿地不按规定交给园林管理部门或擅自占用、改变用途的，以及乱搭乱建的，由园林管理部门会同城市规划行政主管部门按违法建设或损害绿化的行为论处。</w:t>
      </w:r>
    </w:p>
    <w:p w14:paraId="16F5CD19">
      <w:pPr>
        <w:ind w:firstLine="422"/>
      </w:pPr>
      <w:r>
        <w:rPr>
          <w:rFonts w:hint="eastAsia"/>
          <w:b/>
        </w:rPr>
        <w:t>七、</w:t>
      </w:r>
      <w:r>
        <w:rPr>
          <w:rFonts w:hint="eastAsia"/>
        </w:rPr>
        <w:t>本规定由市城市规划管理局和市园林局监督实施。具体执行中的问题，有关规划管理的，由市城市规划管理局负责解释；有关绿化管理的，由市园林局负责解释。</w:t>
      </w:r>
    </w:p>
    <w:p w14:paraId="56F6E6CD">
      <w:pPr>
        <w:ind w:firstLine="422"/>
      </w:pPr>
      <w:r>
        <w:rPr>
          <w:rFonts w:hint="eastAsia"/>
          <w:b/>
        </w:rPr>
        <w:t>八、</w:t>
      </w:r>
      <w:r>
        <w:rPr>
          <w:rFonts w:hint="eastAsia"/>
        </w:rPr>
        <w:t>本规定自</w:t>
      </w:r>
      <w:r>
        <w:rPr>
          <w:rFonts w:hint="eastAsia" w:ascii="宋体" w:hAnsi="宋体" w:eastAsia="宋体" w:cs="宋体"/>
        </w:rPr>
        <w:t>1987年8月11</w:t>
      </w:r>
      <w:r>
        <w:rPr>
          <w:rFonts w:hint="eastAsia"/>
        </w:rPr>
        <w:t>日起施行。</w:t>
      </w:r>
    </w:p>
    <w:p w14:paraId="46F845E9">
      <w:pPr>
        <w:pStyle w:val="4"/>
        <w:pageBreakBefore/>
      </w:pPr>
      <w:bookmarkStart w:id="2281" w:name="_Toc428781843"/>
      <w:bookmarkStart w:id="2282" w:name="_Toc426467095"/>
      <w:bookmarkStart w:id="2283" w:name="_Toc428780601"/>
      <w:r>
        <w:rPr>
          <w:rFonts w:hint="eastAsia"/>
        </w:rPr>
        <w:t>北京市用水单位水量平衡测试管理规定</w:t>
      </w:r>
      <w:bookmarkEnd w:id="2281"/>
      <w:bookmarkEnd w:id="2282"/>
      <w:bookmarkEnd w:id="2283"/>
    </w:p>
    <w:p w14:paraId="4CBC9866">
      <w:pPr>
        <w:ind w:left="630" w:leftChars="300" w:right="630" w:rightChars="300"/>
        <w:rPr>
          <w:rFonts w:ascii="楷体" w:hAnsi="楷体" w:eastAsia="楷体"/>
        </w:rPr>
      </w:pPr>
      <w:r>
        <w:rPr>
          <w:rFonts w:hint="eastAsia" w:ascii="楷体" w:hAnsi="楷体" w:eastAsia="楷体"/>
        </w:rPr>
        <w:t>（1988年5月14日北京市人民政府京政办发47号文件发布　根据2010年11月27日北京市人民政府第226号令修改）</w:t>
      </w:r>
    </w:p>
    <w:p w14:paraId="6B1A7B37"/>
    <w:p w14:paraId="1FA9AF36">
      <w:r>
        <w:rPr>
          <w:rFonts w:hint="eastAsia"/>
        </w:rPr>
        <w:t>为加强用水的科学管理，促进节约用水，特作以下规定：</w:t>
      </w:r>
    </w:p>
    <w:p w14:paraId="60B0AB27">
      <w:pPr>
        <w:ind w:firstLine="422"/>
        <w:rPr>
          <w:rFonts w:hint="eastAsia" w:ascii="宋体" w:hAnsi="宋体" w:eastAsia="宋体" w:cs="宋体"/>
        </w:rPr>
      </w:pPr>
      <w:r>
        <w:rPr>
          <w:rFonts w:hint="eastAsia"/>
          <w:b/>
        </w:rPr>
        <w:t>一、</w:t>
      </w:r>
      <w:r>
        <w:rPr>
          <w:rFonts w:hint="eastAsia"/>
        </w:rPr>
        <w:t>凡本市行政区域内实行计划供水、月均取水量</w:t>
      </w:r>
      <w:r>
        <w:rPr>
          <w:rFonts w:hint="eastAsia" w:ascii="宋体" w:hAnsi="宋体" w:eastAsia="宋体" w:cs="宋体"/>
        </w:rPr>
        <w:t>在2000吨以上（含2000吨）的用水单位，均应按照本规定进行水量平衡测试。</w:t>
      </w:r>
    </w:p>
    <w:p w14:paraId="5DBC26D0">
      <w:r>
        <w:rPr>
          <w:rFonts w:hint="eastAsia" w:ascii="宋体" w:hAnsi="宋体" w:eastAsia="宋体" w:cs="宋体"/>
        </w:rPr>
        <w:t>月均取水量在2000吨以下的用水单位，应进行合理用水分析</w:t>
      </w:r>
      <w:r>
        <w:rPr>
          <w:rFonts w:hint="eastAsia"/>
        </w:rPr>
        <w:t>工作。</w:t>
      </w:r>
    </w:p>
    <w:p w14:paraId="0CAC4A9D">
      <w:pPr>
        <w:ind w:firstLine="422"/>
      </w:pPr>
      <w:r>
        <w:rPr>
          <w:rFonts w:hint="eastAsia"/>
          <w:b/>
        </w:rPr>
        <w:t>二、</w:t>
      </w:r>
      <w:r>
        <w:rPr>
          <w:rFonts w:hint="eastAsia"/>
        </w:rPr>
        <w:t>市节约用水办公室主管本市用水单位水量平衡测试工作，负责对用水单位的水量平衡测试和验收进行管理监督。</w:t>
      </w:r>
    </w:p>
    <w:p w14:paraId="4A886FC3">
      <w:pPr>
        <w:ind w:firstLine="422"/>
      </w:pPr>
      <w:r>
        <w:rPr>
          <w:rFonts w:hint="eastAsia"/>
          <w:b/>
        </w:rPr>
        <w:t>三、</w:t>
      </w:r>
      <w:r>
        <w:rPr>
          <w:rFonts w:hint="eastAsia"/>
        </w:rPr>
        <w:t>本规定所称水量平衡测试，是指用水单位对本单位用水体系进行实际测试，根据其输入水量与输出水量之间的平衡关系进行分析的工作。</w:t>
      </w:r>
    </w:p>
    <w:p w14:paraId="15FDC730">
      <w:r>
        <w:rPr>
          <w:rFonts w:hint="eastAsia"/>
        </w:rPr>
        <w:t>水量平衡测试应按国家制定的标准执行，具体实施办法和技术规范由市节约用水办公室规定。</w:t>
      </w:r>
    </w:p>
    <w:p w14:paraId="1BBA5406">
      <w:pPr>
        <w:ind w:firstLine="422"/>
      </w:pPr>
      <w:r>
        <w:rPr>
          <w:rFonts w:hint="eastAsia"/>
          <w:b/>
        </w:rPr>
        <w:t>四、</w:t>
      </w:r>
      <w:r>
        <w:rPr>
          <w:rFonts w:hint="eastAsia"/>
        </w:rPr>
        <w:t>用水单位应通过水量平衡测试，完善节水措施，制订合理用水规划，加强用水的科学管理，实现节约用水。在水量平衡测试中发现浪费用水，必须及时采取措施，进行整治改进。</w:t>
      </w:r>
    </w:p>
    <w:p w14:paraId="48C46990">
      <w:pPr>
        <w:ind w:firstLine="422"/>
      </w:pPr>
      <w:r>
        <w:rPr>
          <w:rFonts w:hint="eastAsia"/>
          <w:b/>
        </w:rPr>
        <w:t>五、</w:t>
      </w:r>
      <w:r>
        <w:rPr>
          <w:rFonts w:hint="eastAsia"/>
        </w:rPr>
        <w:t>用水单位水量平衡测试结束后，应向上级主管部门报送测试资料，申请验收。验收合格的，由市节约用水办公室发给水量平衡测试合格证书。</w:t>
      </w:r>
    </w:p>
    <w:p w14:paraId="514E11CF">
      <w:r>
        <w:rPr>
          <w:rFonts w:hint="eastAsia"/>
        </w:rPr>
        <w:t>水量平衡测试合格的用水单位，应每隔</w:t>
      </w:r>
      <w:r>
        <w:rPr>
          <w:rFonts w:hint="eastAsia" w:ascii="宋体" w:hAnsi="宋体" w:eastAsia="宋体" w:cs="宋体"/>
        </w:rPr>
        <w:t>3－5</w:t>
      </w:r>
      <w:r>
        <w:rPr>
          <w:rFonts w:hint="eastAsia"/>
        </w:rPr>
        <w:t>年复测一次，并将复测结果报送原验收部门。</w:t>
      </w:r>
    </w:p>
    <w:p w14:paraId="7AA6850E">
      <w:pPr>
        <w:ind w:firstLine="422"/>
      </w:pPr>
      <w:r>
        <w:rPr>
          <w:rFonts w:hint="eastAsia"/>
          <w:b/>
        </w:rPr>
        <w:t>六、</w:t>
      </w:r>
      <w:r>
        <w:rPr>
          <w:rFonts w:hint="eastAsia"/>
        </w:rPr>
        <w:t>水量平衡测试实行分级验收：</w:t>
      </w:r>
    </w:p>
    <w:p w14:paraId="0E7DEB35">
      <w:pPr>
        <w:rPr>
          <w:rFonts w:hint="eastAsia" w:ascii="宋体" w:hAnsi="宋体" w:eastAsia="宋体" w:cs="宋体"/>
        </w:rPr>
      </w:pPr>
      <w:r>
        <w:rPr>
          <w:rFonts w:hint="eastAsia"/>
        </w:rPr>
        <w:t>（一）月均取水量在</w:t>
      </w:r>
      <w:r>
        <w:rPr>
          <w:rFonts w:hint="eastAsia" w:ascii="宋体" w:hAnsi="宋体" w:eastAsia="宋体" w:cs="宋体"/>
        </w:rPr>
        <w:t>85000吨以上（含85000吨）的用水单位，由市节约用水办公室会同用水单位的上级主管部门验收。</w:t>
      </w:r>
    </w:p>
    <w:p w14:paraId="47B517EC">
      <w:pPr>
        <w:rPr>
          <w:rFonts w:hint="eastAsia" w:ascii="宋体" w:hAnsi="宋体" w:eastAsia="宋体" w:cs="宋体"/>
        </w:rPr>
      </w:pPr>
      <w:r>
        <w:rPr>
          <w:rFonts w:hint="eastAsia" w:ascii="宋体" w:hAnsi="宋体" w:eastAsia="宋体" w:cs="宋体"/>
        </w:rPr>
        <w:t>（二）月均取水量在85000吨以下的用水单位，由其上级主管部门验收。</w:t>
      </w:r>
    </w:p>
    <w:p w14:paraId="149FDFD5">
      <w:r>
        <w:rPr>
          <w:rFonts w:hint="eastAsia" w:ascii="宋体" w:hAnsi="宋体" w:eastAsia="宋体" w:cs="宋体"/>
        </w:rPr>
        <w:t>（三）由区、县节约用水办公室下达计划供水指标的</w:t>
      </w:r>
      <w:r>
        <w:rPr>
          <w:rFonts w:hint="eastAsia"/>
        </w:rPr>
        <w:t>单位，由区、县节约用水办公室验收。</w:t>
      </w:r>
    </w:p>
    <w:p w14:paraId="7434FFE1">
      <w:pPr>
        <w:ind w:firstLine="422"/>
      </w:pPr>
      <w:r>
        <w:rPr>
          <w:rFonts w:hint="eastAsia"/>
          <w:b/>
        </w:rPr>
        <w:t>七、</w:t>
      </w:r>
      <w:r>
        <w:rPr>
          <w:rFonts w:hint="eastAsia"/>
        </w:rPr>
        <w:t>用水单位通过水量平衡测试促进合理用水、节约用水成绩显著的，按照本市节约用水的有关规定给予表彰和奖励。</w:t>
      </w:r>
    </w:p>
    <w:p w14:paraId="73AE9C1D">
      <w:pPr>
        <w:ind w:firstLine="422"/>
      </w:pPr>
      <w:r>
        <w:rPr>
          <w:rFonts w:hint="eastAsia"/>
          <w:b/>
        </w:rPr>
        <w:t>八、</w:t>
      </w:r>
      <w:r>
        <w:rPr>
          <w:rFonts w:hint="eastAsia"/>
        </w:rPr>
        <w:t>不按本规定进行水量平衡测试，或在测试中发现浪费用水不整治改进的，按照本市节约用水的有关规定处罚。</w:t>
      </w:r>
    </w:p>
    <w:p w14:paraId="19AEBB47">
      <w:pPr>
        <w:ind w:firstLine="422"/>
      </w:pPr>
      <w:r>
        <w:rPr>
          <w:rFonts w:hint="eastAsia"/>
          <w:b/>
        </w:rPr>
        <w:t>九、</w:t>
      </w:r>
      <w:r>
        <w:rPr>
          <w:rFonts w:hint="eastAsia"/>
        </w:rPr>
        <w:t>本规定执行中的具体问题，由市节约用水办公室负责解释。</w:t>
      </w:r>
    </w:p>
    <w:p w14:paraId="7364296A">
      <w:pPr>
        <w:ind w:firstLine="422"/>
      </w:pPr>
      <w:r>
        <w:rPr>
          <w:rFonts w:hint="eastAsia"/>
          <w:b/>
        </w:rPr>
        <w:t>十、</w:t>
      </w:r>
      <w:r>
        <w:rPr>
          <w:rFonts w:hint="eastAsia"/>
        </w:rPr>
        <w:t>本规定经市人民政府批准，自</w:t>
      </w:r>
      <w:r>
        <w:rPr>
          <w:rFonts w:hint="eastAsia" w:ascii="宋体" w:hAnsi="宋体" w:eastAsia="宋体" w:cs="宋体"/>
        </w:rPr>
        <w:t>1988年6月1</w:t>
      </w:r>
      <w:r>
        <w:rPr>
          <w:rFonts w:hint="eastAsia"/>
        </w:rPr>
        <w:t>日起施行。</w:t>
      </w:r>
    </w:p>
    <w:p w14:paraId="49AECA3B">
      <w:pPr>
        <w:pStyle w:val="4"/>
        <w:pageBreakBefore/>
      </w:pPr>
      <w:bookmarkStart w:id="2284" w:name="_Toc426467096"/>
      <w:bookmarkStart w:id="2285" w:name="_Toc428781844"/>
      <w:bookmarkStart w:id="2286" w:name="_Toc428780602"/>
      <w:r>
        <w:rPr>
          <w:rFonts w:hint="eastAsia"/>
        </w:rPr>
        <w:t>北京市城市雕塑建设管理暂行规定</w:t>
      </w:r>
      <w:bookmarkEnd w:id="2284"/>
      <w:bookmarkEnd w:id="2285"/>
      <w:bookmarkEnd w:id="2286"/>
    </w:p>
    <w:p w14:paraId="798F548C">
      <w:pPr>
        <w:ind w:left="630" w:leftChars="300" w:right="630" w:rightChars="300"/>
        <w:rPr>
          <w:rFonts w:ascii="楷体" w:hAnsi="楷体" w:eastAsia="楷体"/>
        </w:rPr>
      </w:pPr>
      <w:r>
        <w:rPr>
          <w:rFonts w:hint="eastAsia" w:ascii="楷体" w:hAnsi="楷体" w:eastAsia="楷体"/>
        </w:rPr>
        <w:t>（1988年12月6日北京市人民政府京政发111号文件发布　根据1994年1月17日北京市人民政府批准第一次修改　根据2007年11月23日北京市人民政府第200号令第二次修改）</w:t>
      </w:r>
    </w:p>
    <w:p w14:paraId="26C95D6B"/>
    <w:p w14:paraId="7747919A">
      <w:pPr>
        <w:ind w:firstLine="422"/>
      </w:pPr>
      <w:r>
        <w:rPr>
          <w:rFonts w:hint="eastAsia"/>
          <w:b/>
        </w:rPr>
        <w:t>第一条</w:t>
      </w:r>
      <w:r>
        <w:rPr>
          <w:rFonts w:hint="eastAsia"/>
        </w:rPr>
        <w:t xml:space="preserve">  为加强城市雕塑的建设管理，使城市雕塑建设符合北京城市总体规划的要求，根据国家和本市有关规定，制定本规定。</w:t>
      </w:r>
    </w:p>
    <w:p w14:paraId="1066B88A">
      <w:pPr>
        <w:ind w:firstLine="422"/>
      </w:pPr>
      <w:r>
        <w:rPr>
          <w:rFonts w:hint="eastAsia"/>
          <w:b/>
        </w:rPr>
        <w:t>第二条</w:t>
      </w:r>
      <w:r>
        <w:rPr>
          <w:rFonts w:hint="eastAsia"/>
        </w:rPr>
        <w:t xml:space="preserve">  凡在本市行政区域内的城市道路、公路干线两侧、广场、公园、风景名胜区和其他公共场所建设城市雕塑，均按本规定管理。</w:t>
      </w:r>
    </w:p>
    <w:p w14:paraId="644B145F">
      <w:pPr>
        <w:ind w:firstLine="422"/>
      </w:pPr>
      <w:r>
        <w:rPr>
          <w:rFonts w:hint="eastAsia"/>
          <w:b/>
        </w:rPr>
        <w:t>第三条</w:t>
      </w:r>
      <w:r>
        <w:rPr>
          <w:rFonts w:hint="eastAsia"/>
        </w:rPr>
        <w:t xml:space="preserve">  城市规划行政主管部门是城市雕塑建设管理工作的主管机关，负责贯彻实施本规定。</w:t>
      </w:r>
    </w:p>
    <w:p w14:paraId="572A6C2C">
      <w:pPr>
        <w:ind w:firstLine="422"/>
      </w:pPr>
      <w:r>
        <w:rPr>
          <w:rFonts w:hint="eastAsia"/>
          <w:b/>
        </w:rPr>
        <w:t>第四条</w:t>
      </w:r>
      <w:r>
        <w:rPr>
          <w:rFonts w:hint="eastAsia"/>
        </w:rPr>
        <w:t xml:space="preserve">  建设城市雕塑，由建设城市雕塑的单位（以下简称建设单位）将拟建雕塑的题材、体量、建设地点、雕塑模型、环境设计和上级主管部门的审查意见，报城市规划行政主管部门审批；在公共绿地内建设城市雕塑，须先征得市园林绿化部门同意后，再报城市规划行政主管部门审批。经城市规划行政主管部门审查批准，发给城市雕塑建设工程规划许可证后，方可建设。</w:t>
      </w:r>
    </w:p>
    <w:p w14:paraId="32AB25A6">
      <w:pPr>
        <w:ind w:firstLine="422"/>
      </w:pPr>
      <w:r>
        <w:rPr>
          <w:rFonts w:hint="eastAsia"/>
          <w:b/>
        </w:rPr>
        <w:t>第五条</w:t>
      </w:r>
      <w:r>
        <w:rPr>
          <w:rFonts w:hint="eastAsia"/>
        </w:rPr>
        <w:t xml:space="preserve">  城市雕塑的设计，须由持有城市雕塑创作设计资格证书的合格的设计人员承担，未持有设计资格证书的，不得承担城市雕塑设计工作。</w:t>
      </w:r>
    </w:p>
    <w:p w14:paraId="5AB05FFC">
      <w:pPr>
        <w:ind w:firstLine="422"/>
      </w:pPr>
      <w:r>
        <w:rPr>
          <w:rFonts w:hint="eastAsia"/>
          <w:b/>
        </w:rPr>
        <w:t>第六条</w:t>
      </w:r>
      <w:r>
        <w:rPr>
          <w:rFonts w:hint="eastAsia"/>
        </w:rPr>
        <w:t xml:space="preserve">  城市雕塑的施工单位应按批准的设计施工，并保证施工质量，不得擅自修改设计。</w:t>
      </w:r>
    </w:p>
    <w:p w14:paraId="64A2FD8F">
      <w:pPr>
        <w:ind w:firstLine="422"/>
      </w:pPr>
      <w:r>
        <w:rPr>
          <w:rFonts w:hint="eastAsia"/>
          <w:b/>
        </w:rPr>
        <w:t>第七条</w:t>
      </w:r>
      <w:r>
        <w:rPr>
          <w:rFonts w:hint="eastAsia"/>
        </w:rPr>
        <w:t xml:space="preserve">  城市雕塑建设工程竣工后，建设单位须报原批准的城市规划行政主管部门组织验收。对不按批准的设计施工或施工质量低劣的，由城市规划行政主管部门责令其返工或拆除，造成恶劣影响的，提请其上级主管部门追究责任人员的行政责任。</w:t>
      </w:r>
    </w:p>
    <w:p w14:paraId="043A263B">
      <w:pPr>
        <w:ind w:firstLine="422"/>
      </w:pPr>
      <w:r>
        <w:rPr>
          <w:rFonts w:hint="eastAsia"/>
          <w:b/>
        </w:rPr>
        <w:t>第八条</w:t>
      </w:r>
      <w:r>
        <w:rPr>
          <w:rFonts w:hint="eastAsia"/>
        </w:rPr>
        <w:t xml:space="preserve">  城市雕塑建成后，由建设单位负责维护和管理，保持城市雕塑的完好和整洁。</w:t>
      </w:r>
    </w:p>
    <w:p w14:paraId="4DEFFADE">
      <w:pPr>
        <w:ind w:firstLine="422"/>
      </w:pPr>
      <w:r>
        <w:rPr>
          <w:rFonts w:hint="eastAsia"/>
          <w:b/>
        </w:rPr>
        <w:t>第九条</w:t>
      </w:r>
      <w:r>
        <w:rPr>
          <w:rFonts w:hint="eastAsia"/>
        </w:rPr>
        <w:t xml:space="preserve">  未取得城市雕塑建设工程规划许可证或者未按照城市雕塑建设工程规划许可证的规定建设城市雕塑的，按照违法建设处理。</w:t>
      </w:r>
    </w:p>
    <w:p w14:paraId="7A05E081">
      <w:pPr>
        <w:ind w:firstLine="422"/>
      </w:pPr>
      <w:r>
        <w:rPr>
          <w:rFonts w:hint="eastAsia"/>
          <w:b/>
        </w:rPr>
        <w:t>第十条</w:t>
      </w:r>
      <w:r>
        <w:rPr>
          <w:rFonts w:hint="eastAsia"/>
        </w:rPr>
        <w:t xml:space="preserve">  公民有爱护城市雕塑的义务。故意损毁城市雕塑的，由公安机关依据《中华人民共和国治安管理处罚条例》予以处罚。</w:t>
      </w:r>
    </w:p>
    <w:p w14:paraId="74D8A97A">
      <w:pPr>
        <w:ind w:firstLine="422"/>
      </w:pPr>
      <w:r>
        <w:rPr>
          <w:rFonts w:hint="eastAsia"/>
          <w:b/>
        </w:rPr>
        <w:t>第十一条</w:t>
      </w:r>
      <w:r>
        <w:rPr>
          <w:rFonts w:hint="eastAsia"/>
        </w:rPr>
        <w:t xml:space="preserve">  本规定自</w:t>
      </w:r>
      <w:r>
        <w:rPr>
          <w:rFonts w:hint="eastAsia" w:ascii="宋体" w:hAnsi="宋体" w:eastAsia="宋体" w:cs="宋体"/>
        </w:rPr>
        <w:t>1988年12月15日</w:t>
      </w:r>
      <w:r>
        <w:rPr>
          <w:rFonts w:hint="eastAsia"/>
        </w:rPr>
        <w:t>起施行。</w:t>
      </w:r>
    </w:p>
    <w:p w14:paraId="1BA857D4">
      <w:pPr>
        <w:pStyle w:val="4"/>
        <w:pageBreakBefore/>
      </w:pPr>
      <w:bookmarkStart w:id="2287" w:name="_Toc426467097"/>
      <w:bookmarkStart w:id="2288" w:name="_Toc428781845"/>
      <w:bookmarkStart w:id="2289" w:name="_Toc428780603"/>
      <w:r>
        <w:rPr>
          <w:rFonts w:hint="eastAsia"/>
        </w:rPr>
        <w:t>北京市城市道路和公共场所</w:t>
      </w:r>
      <w:bookmarkEnd w:id="2287"/>
      <w:bookmarkEnd w:id="2288"/>
      <w:bookmarkEnd w:id="2289"/>
    </w:p>
    <w:p w14:paraId="517351E8">
      <w:pPr>
        <w:pStyle w:val="4"/>
      </w:pPr>
      <w:bookmarkStart w:id="2290" w:name="_Toc428780604"/>
      <w:bookmarkStart w:id="2291" w:name="_Toc426467098"/>
      <w:bookmarkStart w:id="2292" w:name="_Toc428781846"/>
      <w:r>
        <w:rPr>
          <w:rFonts w:hint="eastAsia"/>
        </w:rPr>
        <w:t>环境卫生管理若干规定</w:t>
      </w:r>
      <w:bookmarkEnd w:id="2290"/>
      <w:bookmarkEnd w:id="2291"/>
      <w:bookmarkEnd w:id="2292"/>
    </w:p>
    <w:p w14:paraId="7471375D">
      <w:pPr>
        <w:ind w:left="630" w:leftChars="300" w:right="630" w:rightChars="300"/>
        <w:rPr>
          <w:rFonts w:ascii="楷体" w:hAnsi="楷体" w:eastAsia="楷体"/>
        </w:rPr>
      </w:pPr>
      <w:r>
        <w:rPr>
          <w:rFonts w:hint="eastAsia" w:ascii="楷体" w:hAnsi="楷体" w:eastAsia="楷体"/>
        </w:rPr>
        <w:t>（1989年11月5日北京市人民政府第32号令发布　根据1994年9月5日北京市人民政府第20号令第一次修改　根据1997年12月31日北京市人民政府第12号令第二次修改　根据2002年11月18日北京市人民政府第113号令第三次修改　根据2007年11月23日北京市人民政府第200号令第四次修改）</w:t>
      </w:r>
    </w:p>
    <w:p w14:paraId="363B7050"/>
    <w:p w14:paraId="30C8DE70">
      <w:pPr>
        <w:ind w:firstLine="422"/>
      </w:pPr>
      <w:r>
        <w:rPr>
          <w:rFonts w:hint="eastAsia"/>
          <w:b/>
        </w:rPr>
        <w:t>第一条</w:t>
      </w:r>
      <w:r>
        <w:rPr>
          <w:rFonts w:hint="eastAsia"/>
        </w:rPr>
        <w:t xml:space="preserve">  为了加强本市城市道路和公共场所的环境卫生管理，保持和维护市容环境整洁，根据《北京市市容环境卫生条例》，制定本规定。</w:t>
      </w:r>
    </w:p>
    <w:p w14:paraId="613901A1">
      <w:pPr>
        <w:ind w:firstLine="422"/>
      </w:pPr>
      <w:r>
        <w:rPr>
          <w:rFonts w:hint="eastAsia"/>
          <w:b/>
        </w:rPr>
        <w:t>第二条</w:t>
      </w:r>
      <w:r>
        <w:rPr>
          <w:rFonts w:hint="eastAsia"/>
        </w:rPr>
        <w:t xml:space="preserve">  本市行政区域内的城市道路和公共场所环境卫生，按照本规定管理。</w:t>
      </w:r>
    </w:p>
    <w:p w14:paraId="14B48E82">
      <w:pPr>
        <w:ind w:firstLine="422"/>
      </w:pPr>
      <w:r>
        <w:rPr>
          <w:rFonts w:hint="eastAsia"/>
          <w:b/>
        </w:rPr>
        <w:t>第三条</w:t>
      </w:r>
      <w:r>
        <w:rPr>
          <w:rFonts w:hint="eastAsia"/>
        </w:rPr>
        <w:t xml:space="preserve">  市和区、县市政管理委员会按照规定的职责，负责城市道路和公共场所环境卫生的组织、管理和监督检查工作。</w:t>
      </w:r>
    </w:p>
    <w:p w14:paraId="496FD464">
      <w:pPr>
        <w:ind w:firstLine="422"/>
      </w:pPr>
      <w:r>
        <w:rPr>
          <w:rFonts w:hint="eastAsia"/>
          <w:b/>
        </w:rPr>
        <w:t>第四条</w:t>
      </w:r>
      <w:r>
        <w:rPr>
          <w:rFonts w:hint="eastAsia"/>
        </w:rPr>
        <w:t xml:space="preserve">  城市道路和公共场所的清扫保洁责任区域，按照《北京市市容环境卫生条例》第二十二条规定执行。</w:t>
      </w:r>
    </w:p>
    <w:p w14:paraId="470C395A">
      <w:r>
        <w:rPr>
          <w:rFonts w:hint="eastAsia"/>
        </w:rPr>
        <w:t>城市道路和公共场所设置的交通、电信、邮政、电力、环境卫生等各类设施的清洗保洁责任，按照《北京市市容环境卫生条例》第三十四条规定执行。</w:t>
      </w:r>
    </w:p>
    <w:p w14:paraId="4734EF79">
      <w:pPr>
        <w:ind w:firstLine="422"/>
      </w:pPr>
      <w:r>
        <w:rPr>
          <w:rFonts w:hint="eastAsia"/>
          <w:b/>
        </w:rPr>
        <w:t>第五条</w:t>
      </w:r>
      <w:r>
        <w:rPr>
          <w:rFonts w:hint="eastAsia"/>
        </w:rPr>
        <w:t xml:space="preserve">  环境卫生清扫、清洗保洁的具体范围和责任要求，由区、县市政管理委员会书面告知责任人。</w:t>
      </w:r>
    </w:p>
    <w:p w14:paraId="77AFFDCF">
      <w:pPr>
        <w:ind w:firstLine="422"/>
      </w:pPr>
      <w:r>
        <w:rPr>
          <w:rFonts w:hint="eastAsia"/>
          <w:b/>
        </w:rPr>
        <w:t>第六条</w:t>
      </w:r>
      <w:r>
        <w:rPr>
          <w:rFonts w:hint="eastAsia"/>
        </w:rPr>
        <w:t xml:space="preserve">  负责城市道路及其相关设施和公共场所清扫、清洗保洁工作的环境卫生专业作业单位、责任人必须按照作业规范和环境卫生标准要求，遵守下列规定：</w:t>
      </w:r>
    </w:p>
    <w:p w14:paraId="27FB322D">
      <w:pPr>
        <w:rPr>
          <w:rFonts w:hint="eastAsia" w:ascii="宋体" w:hAnsi="宋体" w:eastAsia="宋体" w:cs="宋体"/>
        </w:rPr>
      </w:pPr>
      <w:r>
        <w:rPr>
          <w:rFonts w:hint="eastAsia"/>
        </w:rPr>
        <w:t>（一）每日清扫作业时间</w:t>
      </w:r>
      <w:r>
        <w:rPr>
          <w:rFonts w:hint="eastAsia" w:ascii="宋体" w:hAnsi="宋体" w:eastAsia="宋体" w:cs="宋体"/>
        </w:rPr>
        <w:t>为21：00时至次日6：00时（冬季7：30时，下同）。环境卫生专业作业单位应当实行夜间清扫，白天保洁。</w:t>
      </w:r>
    </w:p>
    <w:p w14:paraId="423C4C39">
      <w:pPr>
        <w:rPr>
          <w:rFonts w:hint="eastAsia" w:ascii="宋体" w:hAnsi="宋体" w:eastAsia="宋体" w:cs="宋体"/>
        </w:rPr>
      </w:pPr>
      <w:r>
        <w:rPr>
          <w:rFonts w:hint="eastAsia" w:ascii="宋体" w:hAnsi="宋体" w:eastAsia="宋体" w:cs="宋体"/>
        </w:rPr>
        <w:t>（二）做好保洁工作，保持环境卫生整洁，无暴露垃圾、污物和废弃物。主要道路、重点地区、人行过街桥和公共场所的保洁工作应当从6：30时至21：00时。一般道路、街巷、胡同的保洁工作从6：00时至19：00时（夏季21：00）。遇有特殊天气和重大活动期间，清扫和保洁时间可适当延长。</w:t>
      </w:r>
    </w:p>
    <w:p w14:paraId="3FF0F3E7">
      <w:pPr>
        <w:rPr>
          <w:rFonts w:hint="eastAsia" w:ascii="宋体" w:hAnsi="宋体" w:eastAsia="宋体" w:cs="宋体"/>
        </w:rPr>
      </w:pPr>
      <w:r>
        <w:rPr>
          <w:rFonts w:hint="eastAsia" w:ascii="宋体" w:hAnsi="宋体" w:eastAsia="宋体" w:cs="宋体"/>
        </w:rPr>
        <w:t>（三）在城市道路上清扫保洁作业应当避开交通高峰时段（6：00时至9：00时、17：00时－21：00时）。作业车辆不得违章调头，造成交通阻塞。遇有特殊情况除外。</w:t>
      </w:r>
    </w:p>
    <w:p w14:paraId="09B5ECF7">
      <w:r>
        <w:rPr>
          <w:rFonts w:hint="eastAsia"/>
        </w:rPr>
        <w:t>（四）城市道路实行机械清扫保洁、冲刷清洗和喷雾压尘作业，主要道路和重点地区的人行步道实行定期清洗作业。</w:t>
      </w:r>
    </w:p>
    <w:p w14:paraId="112CA09A">
      <w:r>
        <w:rPr>
          <w:rFonts w:hint="eastAsia"/>
        </w:rPr>
        <w:t>（五）清扫的垃圾、污物和废弃物，必须及时倒入垃圾收集站或者垃圾收集容器，不得露天堆放，不得扫入绿地内和道路的雨水口内。</w:t>
      </w:r>
    </w:p>
    <w:p w14:paraId="5D319F08">
      <w:r>
        <w:rPr>
          <w:rFonts w:hint="eastAsia"/>
        </w:rPr>
        <w:t>（六）果皮箱、垃圾箱，必须及时清理，保持箱体和箱体周围整洁。</w:t>
      </w:r>
    </w:p>
    <w:p w14:paraId="077517F6">
      <w:r>
        <w:rPr>
          <w:rFonts w:hint="eastAsia"/>
        </w:rPr>
        <w:t>（七）城市道路和公共场所上的遗撒物，清扫保洁责任单位应当及时清运干净。</w:t>
      </w:r>
    </w:p>
    <w:p w14:paraId="1CB7C99A">
      <w:pPr>
        <w:ind w:firstLine="422"/>
      </w:pPr>
      <w:r>
        <w:rPr>
          <w:rFonts w:hint="eastAsia"/>
          <w:b/>
        </w:rPr>
        <w:t>第七条</w:t>
      </w:r>
      <w:r>
        <w:rPr>
          <w:rFonts w:hint="eastAsia"/>
        </w:rPr>
        <w:t xml:space="preserve">  在城市道路上进行维修、清疏排水管道、沟渠，维修、更换路灯、电线杆及其他公共设施所产生的废弃物，栽培、修剪树木或者花卉等作业，应当在不干扰居民的情况下，尽可能安排在夜间或者避开交通高峰时段。</w:t>
      </w:r>
    </w:p>
    <w:p w14:paraId="0E2EABE4">
      <w:r>
        <w:rPr>
          <w:rFonts w:hint="eastAsia"/>
        </w:rPr>
        <w:t>维修、清疏排水管道、沟渠，维修、更换路灯、电线杆及其他公共设施所产生的废弃物，栽培、修剪树木或者花卉等作业所产生的枝叶、泥土，由作业单位随时清扫保洁，并</w:t>
      </w:r>
      <w:r>
        <w:rPr>
          <w:rFonts w:hint="eastAsia" w:ascii="宋体" w:hAnsi="宋体" w:eastAsia="宋体" w:cs="宋体"/>
        </w:rPr>
        <w:t>在12</w:t>
      </w:r>
      <w:r>
        <w:rPr>
          <w:rFonts w:hint="eastAsia"/>
        </w:rPr>
        <w:t>小时内清运干净。</w:t>
      </w:r>
    </w:p>
    <w:p w14:paraId="4EA88BEB">
      <w:pPr>
        <w:ind w:firstLine="422"/>
      </w:pPr>
      <w:r>
        <w:rPr>
          <w:rFonts w:hint="eastAsia"/>
          <w:b/>
        </w:rPr>
        <w:t>第八条</w:t>
      </w:r>
      <w:r>
        <w:rPr>
          <w:rFonts w:hint="eastAsia"/>
        </w:rPr>
        <w:t xml:space="preserve">  在城市道路和公共场所新建、改建、扩建建设工程应当按照规定设置围挡，做好施工期间的压尘和清扫保洁工作，施工产生的垃圾渣土，应当随时清运。建设工程施工后，施工单位或者建设单位应当及时将弃物弃料和围挡清除干净。</w:t>
      </w:r>
    </w:p>
    <w:p w14:paraId="0CE38FDF">
      <w:pPr>
        <w:ind w:firstLine="422"/>
      </w:pPr>
      <w:r>
        <w:rPr>
          <w:rFonts w:hint="eastAsia"/>
          <w:b/>
        </w:rPr>
        <w:t>第九条</w:t>
      </w:r>
      <w:r>
        <w:rPr>
          <w:rFonts w:hint="eastAsia"/>
        </w:rPr>
        <w:t xml:space="preserve">  新建、改建、扩建城市道路及其人行过街桥、人行地下过街通道竣工后，清扫保洁工作的交接，由市或者区、县市政管理行政部门负责组织落实、监督执行。</w:t>
      </w:r>
    </w:p>
    <w:p w14:paraId="58B62884">
      <w:pPr>
        <w:ind w:firstLine="422"/>
      </w:pPr>
      <w:r>
        <w:rPr>
          <w:rFonts w:hint="eastAsia"/>
          <w:b/>
        </w:rPr>
        <w:t>第十条</w:t>
      </w:r>
      <w:r>
        <w:rPr>
          <w:rFonts w:hint="eastAsia"/>
        </w:rPr>
        <w:t xml:space="preserve">  违反本规定有下列行为之一的，由城市管理综合执法部门给予处罚：</w:t>
      </w:r>
    </w:p>
    <w:p w14:paraId="702BB452">
      <w:pPr>
        <w:rPr>
          <w:rFonts w:hint="eastAsia" w:ascii="宋体" w:hAnsi="宋体" w:eastAsia="宋体" w:cs="宋体"/>
        </w:rPr>
      </w:pPr>
      <w:r>
        <w:rPr>
          <w:rFonts w:hint="eastAsia"/>
        </w:rPr>
        <w:t>（一）未按照规定的时间完成清扫工作的，或者未按照作业规范要求清扫保洁的，或者未按照环境卫生标准要求清扫保洁的，责令改正，</w:t>
      </w:r>
      <w:r>
        <w:rPr>
          <w:rFonts w:hint="eastAsia" w:ascii="宋体" w:hAnsi="宋体" w:eastAsia="宋体" w:cs="宋体"/>
        </w:rPr>
        <w:t>并可处100元以上1000元以下罚款。</w:t>
      </w:r>
    </w:p>
    <w:p w14:paraId="6077C2BE">
      <w:pPr>
        <w:rPr>
          <w:rFonts w:hint="eastAsia" w:ascii="宋体" w:hAnsi="宋体" w:eastAsia="宋体" w:cs="宋体"/>
        </w:rPr>
      </w:pPr>
      <w:r>
        <w:rPr>
          <w:rFonts w:hint="eastAsia" w:ascii="宋体" w:hAnsi="宋体" w:eastAsia="宋体" w:cs="宋体"/>
        </w:rPr>
        <w:t>（二）不及时清理果皮箱、垃圾箱的，或者未保持果皮箱、垃圾箱体整洁的，或者果皮箱、垃圾箱体周围严重脏乱的，责令改正，并可处500元以上5000元以下罚款。</w:t>
      </w:r>
    </w:p>
    <w:p w14:paraId="62EEC38A">
      <w:pPr>
        <w:rPr>
          <w:rFonts w:hint="eastAsia" w:ascii="宋体" w:hAnsi="宋体" w:eastAsia="宋体" w:cs="宋体"/>
        </w:rPr>
      </w:pPr>
      <w:r>
        <w:rPr>
          <w:rFonts w:hint="eastAsia" w:ascii="宋体" w:hAnsi="宋体" w:eastAsia="宋体" w:cs="宋体"/>
        </w:rPr>
        <w:t>（三）未及时清除因作业产生的废弃物、枝叶、泥土的，责令限期清理，并可处500元以上5000元以下罚款。</w:t>
      </w:r>
    </w:p>
    <w:p w14:paraId="0A75F7EC">
      <w:pPr>
        <w:rPr>
          <w:rFonts w:hint="eastAsia" w:ascii="宋体" w:hAnsi="宋体" w:eastAsia="宋体" w:cs="宋体"/>
        </w:rPr>
      </w:pPr>
      <w:r>
        <w:rPr>
          <w:rFonts w:hint="eastAsia" w:ascii="宋体" w:hAnsi="宋体" w:eastAsia="宋体" w:cs="宋体"/>
        </w:rPr>
        <w:t>（四）未做好施工期间压尘和清扫保洁的，或者在建设工程竣工后未及时清除弃物弃料和围挡的，责令限期改正，并处2000元以上2万元以下罚款。</w:t>
      </w:r>
    </w:p>
    <w:p w14:paraId="09D45B4C">
      <w:pPr>
        <w:ind w:firstLine="422"/>
      </w:pPr>
      <w:r>
        <w:rPr>
          <w:rFonts w:hint="eastAsia"/>
          <w:b/>
        </w:rPr>
        <w:t>第十一条</w:t>
      </w:r>
      <w:r>
        <w:rPr>
          <w:rFonts w:hint="eastAsia"/>
        </w:rPr>
        <w:t xml:space="preserve">  本规</w:t>
      </w:r>
      <w:r>
        <w:rPr>
          <w:rFonts w:hint="eastAsia" w:ascii="宋体" w:hAnsi="宋体" w:eastAsia="宋体" w:cs="宋体"/>
        </w:rPr>
        <w:t>定自1989年11月15日起施</w:t>
      </w:r>
      <w:r>
        <w:rPr>
          <w:rFonts w:hint="eastAsia"/>
        </w:rPr>
        <w:t>行。</w:t>
      </w:r>
    </w:p>
    <w:p w14:paraId="060014BD">
      <w:pPr>
        <w:pStyle w:val="4"/>
        <w:pageBreakBefore/>
      </w:pPr>
      <w:bookmarkStart w:id="2293" w:name="_Toc426467099"/>
      <w:bookmarkStart w:id="2294" w:name="_Toc428780605"/>
      <w:bookmarkStart w:id="2295" w:name="_Toc428781847"/>
      <w:r>
        <w:rPr>
          <w:rFonts w:hint="eastAsia"/>
        </w:rPr>
        <w:t>北京市地下设施检查井井盖管理规定</w:t>
      </w:r>
      <w:bookmarkEnd w:id="2293"/>
      <w:bookmarkEnd w:id="2294"/>
      <w:bookmarkEnd w:id="2295"/>
    </w:p>
    <w:p w14:paraId="1BC8C53B">
      <w:pPr>
        <w:ind w:left="630" w:leftChars="300" w:right="630" w:rightChars="300"/>
        <w:rPr>
          <w:rFonts w:ascii="楷体" w:hAnsi="楷体" w:eastAsia="楷体"/>
        </w:rPr>
      </w:pPr>
      <w:r>
        <w:rPr>
          <w:rFonts w:hint="eastAsia" w:ascii="楷体" w:hAnsi="楷体" w:eastAsia="楷体"/>
        </w:rPr>
        <w:t>（1990年8月27日北京市人民政府第28号令公布　根据2007年11月23日北京市人民政府第200号令修改）</w:t>
      </w:r>
    </w:p>
    <w:p w14:paraId="0CD8B45B"/>
    <w:p w14:paraId="18FE57B6">
      <w:pPr>
        <w:ind w:firstLine="422"/>
      </w:pPr>
      <w:r>
        <w:rPr>
          <w:rFonts w:hint="eastAsia"/>
          <w:b/>
        </w:rPr>
        <w:t>第一条</w:t>
      </w:r>
      <w:r>
        <w:rPr>
          <w:rFonts w:hint="eastAsia"/>
        </w:rPr>
        <w:t xml:space="preserve">  为加强城市地下设施检查井井盖的维护和管理，保护地下设施，保障交通安全，制定本规定。</w:t>
      </w:r>
    </w:p>
    <w:p w14:paraId="17FDC600">
      <w:pPr>
        <w:ind w:firstLine="422"/>
      </w:pPr>
      <w:r>
        <w:rPr>
          <w:rFonts w:hint="eastAsia"/>
          <w:b/>
        </w:rPr>
        <w:t>第二条</w:t>
      </w:r>
      <w:r>
        <w:rPr>
          <w:rFonts w:hint="eastAsia"/>
        </w:rPr>
        <w:t xml:space="preserve">  本市行政区域内的城市道路、公路和公共场所范围内铺装的电力、电信、燃气、热力、自来水、排水、环境卫生等各种地下设施检查井、阀门井、消火栓、雨污水口等（以下统称检查井）的井盖，均按本规定管理。</w:t>
      </w:r>
    </w:p>
    <w:p w14:paraId="3F97C915">
      <w:pPr>
        <w:ind w:firstLine="422"/>
      </w:pPr>
      <w:r>
        <w:rPr>
          <w:rFonts w:hint="eastAsia"/>
          <w:b/>
        </w:rPr>
        <w:t>第三条</w:t>
      </w:r>
      <w:r>
        <w:rPr>
          <w:rFonts w:hint="eastAsia"/>
        </w:rPr>
        <w:t xml:space="preserve">  市市政管理行政部门负责本市地下设施检查井井盖综合协调管理，并组织实施本规定。</w:t>
      </w:r>
    </w:p>
    <w:p w14:paraId="06885890">
      <w:r>
        <w:rPr>
          <w:rFonts w:hint="eastAsia"/>
        </w:rPr>
        <w:t>区、县市政管理行政部门根据管理职责对辖区内地下设施检查井井盖进行监督管理。</w:t>
      </w:r>
    </w:p>
    <w:p w14:paraId="2879DD4D">
      <w:r>
        <w:rPr>
          <w:rFonts w:hint="eastAsia"/>
        </w:rPr>
        <w:t>本市燃气、供热、供水、雨水、污水、中水、电力、照明、通信、信息、交通、公安交通、广播电视等主管部门按照各自职责，实施监督管理。</w:t>
      </w:r>
    </w:p>
    <w:p w14:paraId="4888D8B2">
      <w:pPr>
        <w:ind w:firstLine="422"/>
      </w:pPr>
      <w:r>
        <w:rPr>
          <w:rFonts w:hint="eastAsia"/>
          <w:b/>
        </w:rPr>
        <w:t>第四条</w:t>
      </w:r>
      <w:r>
        <w:rPr>
          <w:rFonts w:hint="eastAsia"/>
        </w:rPr>
        <w:t xml:space="preserve">  地下设施检查井井盖和雨箅（以下统称井盖），由其权属单位负责维修、养护管理。所有权人、管理人、使用人之间约定管理责任的，由约定的责任人负责维修、养护管理。</w:t>
      </w:r>
    </w:p>
    <w:p w14:paraId="27EC4EA3">
      <w:r>
        <w:rPr>
          <w:rFonts w:hint="eastAsia"/>
        </w:rPr>
        <w:t>地下管线或者涉及地下管线的施工工地、拆迁地区或未经竣工验收确定维护管理单位的井盖，由建设单位负责维修、养护管理。</w:t>
      </w:r>
    </w:p>
    <w:p w14:paraId="5B74997E">
      <w:r>
        <w:rPr>
          <w:rFonts w:hint="eastAsia"/>
        </w:rPr>
        <w:t>变更管理责任的，当事人双方应当按照要求办理交接。</w:t>
      </w:r>
    </w:p>
    <w:p w14:paraId="41FAEDDB">
      <w:pPr>
        <w:ind w:firstLine="422"/>
      </w:pPr>
      <w:r>
        <w:rPr>
          <w:rFonts w:hint="eastAsia"/>
          <w:b/>
        </w:rPr>
        <w:t>第五条</w:t>
      </w:r>
      <w:r>
        <w:rPr>
          <w:rFonts w:hint="eastAsia"/>
        </w:rPr>
        <w:t xml:space="preserve">  维护井盖的完好，人人有责。任何人发现井盖丢失、损坏等情况，都有义务及时向市政工程、公路管理部门或井盖管理单位报告。</w:t>
      </w:r>
    </w:p>
    <w:p w14:paraId="3F920367">
      <w:pPr>
        <w:ind w:firstLine="422"/>
      </w:pPr>
      <w:r>
        <w:rPr>
          <w:rFonts w:hint="eastAsia"/>
          <w:b/>
        </w:rPr>
        <w:t>第六条</w:t>
      </w:r>
      <w:r>
        <w:rPr>
          <w:rFonts w:hint="eastAsia"/>
        </w:rPr>
        <w:t xml:space="preserve">  井盖必须符合国家或本市地方产品标准。安装工程的设计和施工，必须执行本市有关的设计和施工技术规范。</w:t>
      </w:r>
    </w:p>
    <w:p w14:paraId="35460013">
      <w:r>
        <w:rPr>
          <w:rFonts w:hint="eastAsia"/>
        </w:rPr>
        <w:t>在城市道路或公路范围内的井盖安装工程竣工，分别由市政工程管理部门或公路管理部门验收；其他地区，按照检查井的使用性质，由井盖管理单位验收。对不符合设计和施工技术规范的工程或使用不合标准的井盖的，不予验收。</w:t>
      </w:r>
    </w:p>
    <w:p w14:paraId="29A8AD1B">
      <w:pPr>
        <w:ind w:firstLine="422"/>
      </w:pPr>
      <w:r>
        <w:rPr>
          <w:rFonts w:hint="eastAsia"/>
          <w:b/>
        </w:rPr>
        <w:t>第七条</w:t>
      </w:r>
      <w:r>
        <w:rPr>
          <w:rFonts w:hint="eastAsia"/>
        </w:rPr>
        <w:t xml:space="preserve">  井盖必须有标明检查井使用性质的标志。没有标志的，应由井盖管理单位负责更换。禁止不同类别的井盖混用。</w:t>
      </w:r>
    </w:p>
    <w:p w14:paraId="5E11149C">
      <w:pPr>
        <w:ind w:firstLine="422"/>
      </w:pPr>
      <w:r>
        <w:rPr>
          <w:rFonts w:hint="eastAsia"/>
          <w:b/>
        </w:rPr>
        <w:t>第八条</w:t>
      </w:r>
      <w:r>
        <w:rPr>
          <w:rFonts w:hint="eastAsia"/>
        </w:rPr>
        <w:t xml:space="preserve">  市政工程或公路管理部门分别负责指派专人对城市道路和公路上的井盖经常巡查，对其他公共场所的井盖定期检查。</w:t>
      </w:r>
    </w:p>
    <w:p w14:paraId="52E03C3A">
      <w:r>
        <w:rPr>
          <w:rFonts w:hint="eastAsia"/>
        </w:rPr>
        <w:t>在保护市政设施安全和保证车辆和行人通行安全的紧急情况下，市政工程或公路管理部门应对丢失、损坏的井盖先行补装、更换或采取其他安全措施。所需的费用，由负有管理责任的单位承担。</w:t>
      </w:r>
    </w:p>
    <w:p w14:paraId="6396A4FA">
      <w:pPr>
        <w:ind w:firstLine="422"/>
      </w:pPr>
      <w:r>
        <w:rPr>
          <w:rFonts w:hint="eastAsia"/>
          <w:b/>
        </w:rPr>
        <w:t>第九条</w:t>
      </w:r>
      <w:r>
        <w:rPr>
          <w:rFonts w:hint="eastAsia"/>
        </w:rPr>
        <w:t xml:space="preserve">  井盖管理单位和公共场所，应建立管理制度，指派专人对井盖经常巡查，并接受市政工程或公路管理部门的监督检查。</w:t>
      </w:r>
    </w:p>
    <w:p w14:paraId="1DBCCF53">
      <w:r>
        <w:rPr>
          <w:rFonts w:hint="eastAsia"/>
        </w:rPr>
        <w:t>井盖应保持完好，车辆、行人通过时不坏、不动、不响。发现井盖丢失、损坏、移位、震响等情况，责任单位应立即补装、维修或更换。</w:t>
      </w:r>
    </w:p>
    <w:p w14:paraId="1508E9D4">
      <w:pPr>
        <w:ind w:firstLine="422"/>
      </w:pPr>
      <w:r>
        <w:rPr>
          <w:rFonts w:hint="eastAsia"/>
          <w:b/>
        </w:rPr>
        <w:t>第十条</w:t>
      </w:r>
      <w:r>
        <w:rPr>
          <w:rFonts w:hint="eastAsia"/>
        </w:rPr>
        <w:t xml:space="preserve">  任何单位和个人不得擅自移动井盖。</w:t>
      </w:r>
    </w:p>
    <w:p w14:paraId="32FC8A33">
      <w:r>
        <w:rPr>
          <w:rFonts w:hint="eastAsia"/>
        </w:rPr>
        <w:t>巡查、维修人员打开井盖进行检查、养护、维修等作业时，应按规定在井口周围设置护栏、标志或采取其他安全措施。施工结束应及时清理现场，恢复原状。</w:t>
      </w:r>
    </w:p>
    <w:p w14:paraId="65FB6722">
      <w:pPr>
        <w:ind w:firstLine="422"/>
      </w:pPr>
      <w:r>
        <w:rPr>
          <w:rFonts w:hint="eastAsia"/>
          <w:b/>
        </w:rPr>
        <w:t>第十一条</w:t>
      </w:r>
      <w:r>
        <w:rPr>
          <w:rFonts w:hint="eastAsia"/>
        </w:rPr>
        <w:t xml:space="preserve">  违反本规定第九条、第十条规定的，由城市管理综合执法部门责令限期改正，并可</w:t>
      </w:r>
      <w:r>
        <w:rPr>
          <w:rFonts w:hint="eastAsia" w:ascii="宋体" w:hAnsi="宋体" w:eastAsia="宋体" w:cs="宋体"/>
        </w:rPr>
        <w:t>处200元以上2000元以下</w:t>
      </w:r>
      <w:r>
        <w:rPr>
          <w:rFonts w:hint="eastAsia"/>
        </w:rPr>
        <w:t>罚款。公路范围内违法行为的行政处罚由交通行政管理部门依法负责实施。</w:t>
      </w:r>
    </w:p>
    <w:p w14:paraId="737DD7F3">
      <w:r>
        <w:rPr>
          <w:rFonts w:hint="eastAsia"/>
        </w:rPr>
        <w:t>由于井盖丢失、损坏、位移和擅自移动井盖而造成事故的，由井盖所有权人或者维护管理单位依法赔偿经济损失。井盖所有权人或者维护管理单位赔偿损失后，有权向造成井盖丢失、损坏和擅自移动井盖的直接责任人追偿。</w:t>
      </w:r>
    </w:p>
    <w:p w14:paraId="296F7C3E">
      <w:r>
        <w:rPr>
          <w:rFonts w:hint="eastAsia"/>
        </w:rPr>
        <w:t>赔偿或者追偿发生纠纷的，当事人可以向人民法院起诉，也可申请市政管理行政部门调解；当事人对调解结果不服的，可向人民法院起诉。</w:t>
      </w:r>
    </w:p>
    <w:p w14:paraId="7EA33A83">
      <w:r>
        <w:rPr>
          <w:rFonts w:hint="eastAsia"/>
        </w:rPr>
        <w:t>违反交通、消防管理规定的，由公安交通、消防监督机关按照有关规定处理。</w:t>
      </w:r>
    </w:p>
    <w:p w14:paraId="6DA47AEF">
      <w:pPr>
        <w:ind w:firstLine="422"/>
      </w:pPr>
      <w:r>
        <w:rPr>
          <w:rFonts w:hint="eastAsia"/>
          <w:b/>
        </w:rPr>
        <w:t>第十二条</w:t>
      </w:r>
      <w:r>
        <w:rPr>
          <w:rFonts w:hint="eastAsia"/>
        </w:rPr>
        <w:t xml:space="preserve">  故意损毁或盗窃井盖的，由公安机关依法处理。</w:t>
      </w:r>
    </w:p>
    <w:p w14:paraId="0C985280">
      <w:pPr>
        <w:ind w:firstLine="422"/>
        <w:rPr>
          <w:rFonts w:hint="eastAsia" w:ascii="宋体" w:hAnsi="宋体" w:eastAsia="宋体" w:cs="宋体"/>
        </w:rPr>
      </w:pPr>
      <w:r>
        <w:rPr>
          <w:rFonts w:hint="eastAsia"/>
          <w:b/>
        </w:rPr>
        <w:t>第十三条</w:t>
      </w:r>
      <w:r>
        <w:rPr>
          <w:rFonts w:hint="eastAsia"/>
        </w:rPr>
        <w:t xml:space="preserve">  本规</w:t>
      </w:r>
      <w:r>
        <w:rPr>
          <w:rFonts w:hint="eastAsia" w:ascii="宋体" w:hAnsi="宋体" w:eastAsia="宋体" w:cs="宋体"/>
        </w:rPr>
        <w:t>定自1990年9月1日起施行。</w:t>
      </w:r>
    </w:p>
    <w:p w14:paraId="179F8D32">
      <w:pPr>
        <w:pStyle w:val="4"/>
        <w:pageBreakBefore/>
      </w:pPr>
      <w:bookmarkStart w:id="2296" w:name="_Toc428780606"/>
      <w:bookmarkStart w:id="2297" w:name="_Toc426467100"/>
      <w:bookmarkStart w:id="2298" w:name="_Toc428781848"/>
      <w:r>
        <w:rPr>
          <w:rFonts w:hint="eastAsia"/>
        </w:rPr>
        <w:t>北京市城市公共供水管理办法</w:t>
      </w:r>
      <w:bookmarkEnd w:id="2296"/>
      <w:bookmarkEnd w:id="2297"/>
      <w:bookmarkEnd w:id="2298"/>
    </w:p>
    <w:p w14:paraId="7CAE2632">
      <w:pPr>
        <w:ind w:left="630" w:leftChars="300" w:right="630" w:rightChars="300"/>
        <w:rPr>
          <w:rFonts w:ascii="楷体" w:hAnsi="楷体" w:eastAsia="楷体"/>
        </w:rPr>
      </w:pPr>
      <w:r>
        <w:rPr>
          <w:rFonts w:hint="eastAsia" w:ascii="楷体" w:hAnsi="楷体" w:eastAsia="楷体"/>
        </w:rPr>
        <w:t>（1992年12月8日北京市人民政府第22号令公布　根据1997年12月31日北京市人民政府第12号令第一次修改　根据2002年2月11日北京市人民政府第92号令第二次修改　根据2010年11月27日北京市人民政府第226号令第三次修改）</w:t>
      </w:r>
    </w:p>
    <w:p w14:paraId="7ADDC76B"/>
    <w:p w14:paraId="5B378A34">
      <w:pPr>
        <w:ind w:firstLine="0" w:firstLineChars="0"/>
        <w:jc w:val="center"/>
        <w:rPr>
          <w:b/>
          <w:sz w:val="28"/>
        </w:rPr>
      </w:pPr>
      <w:r>
        <w:rPr>
          <w:rFonts w:hint="eastAsia"/>
          <w:b/>
          <w:sz w:val="28"/>
        </w:rPr>
        <w:t>第一章　总　则</w:t>
      </w:r>
    </w:p>
    <w:p w14:paraId="7794212D"/>
    <w:p w14:paraId="7EB85303">
      <w:pPr>
        <w:ind w:firstLine="422"/>
      </w:pPr>
      <w:r>
        <w:rPr>
          <w:rFonts w:hint="eastAsia"/>
          <w:b/>
        </w:rPr>
        <w:t>第一条</w:t>
      </w:r>
      <w:r>
        <w:rPr>
          <w:rFonts w:hint="eastAsia"/>
        </w:rPr>
        <w:t xml:space="preserve">  为了维护城市公共供水工作秩序，保障城市生活、生产和其他各项建设的正常用水，根据国家和本市有关规定，制定本办法。</w:t>
      </w:r>
    </w:p>
    <w:p w14:paraId="7FB0D28C">
      <w:pPr>
        <w:ind w:firstLine="422"/>
      </w:pPr>
      <w:r>
        <w:rPr>
          <w:rFonts w:hint="eastAsia"/>
          <w:b/>
        </w:rPr>
        <w:t>第二条</w:t>
      </w:r>
      <w:r>
        <w:rPr>
          <w:rFonts w:hint="eastAsia"/>
        </w:rPr>
        <w:t xml:space="preserve">  本办法适用于本市行政区域内公共供水和供水设施的管理。</w:t>
      </w:r>
    </w:p>
    <w:p w14:paraId="1101E76F">
      <w:r>
        <w:rPr>
          <w:rFonts w:hint="eastAsia"/>
        </w:rPr>
        <w:t>本办法所称城市公共供水，是指供水企业通过公共供水管网向单位或者居民（以下简称用户）提供生活、生产和其他各项建设用水。</w:t>
      </w:r>
    </w:p>
    <w:p w14:paraId="7EB0F1EC">
      <w:r>
        <w:rPr>
          <w:rFonts w:hint="eastAsia"/>
        </w:rPr>
        <w:t>本办法所称公共供水设施，是指供水企业所属的水源井、输水渠道、取水口构筑物、泵站、专用供电通讯线路和输配水管网、消火栓、阀门、计量仪表等。</w:t>
      </w:r>
    </w:p>
    <w:p w14:paraId="228C98AF">
      <w:pPr>
        <w:ind w:firstLine="422"/>
      </w:pPr>
      <w:r>
        <w:rPr>
          <w:rFonts w:hint="eastAsia"/>
          <w:b/>
        </w:rPr>
        <w:t>第三条</w:t>
      </w:r>
      <w:r>
        <w:rPr>
          <w:rFonts w:hint="eastAsia"/>
        </w:rPr>
        <w:t xml:space="preserve">  市水行政主管部门是本市城市公共供水工作的主管机关，负责本办法的组织实施。</w:t>
      </w:r>
    </w:p>
    <w:p w14:paraId="495B7940">
      <w:r>
        <w:rPr>
          <w:rFonts w:hint="eastAsia"/>
        </w:rPr>
        <w:t>区、县水行政主管部门，负责本行政区域内的城市公共供水工作。</w:t>
      </w:r>
    </w:p>
    <w:p w14:paraId="055B79AB"/>
    <w:p w14:paraId="50FA7845">
      <w:pPr>
        <w:ind w:firstLine="0" w:firstLineChars="0"/>
        <w:jc w:val="center"/>
        <w:rPr>
          <w:b/>
          <w:sz w:val="28"/>
        </w:rPr>
      </w:pPr>
      <w:r>
        <w:rPr>
          <w:rFonts w:hint="eastAsia"/>
          <w:b/>
          <w:sz w:val="28"/>
        </w:rPr>
        <w:t>第二章　供水、用水管理</w:t>
      </w:r>
    </w:p>
    <w:p w14:paraId="7055F281"/>
    <w:p w14:paraId="6297D024">
      <w:pPr>
        <w:ind w:firstLine="422"/>
      </w:pPr>
      <w:r>
        <w:rPr>
          <w:rFonts w:hint="eastAsia"/>
          <w:b/>
        </w:rPr>
        <w:t>第四条</w:t>
      </w:r>
      <w:r>
        <w:rPr>
          <w:rFonts w:hint="eastAsia"/>
        </w:rPr>
        <w:t xml:space="preserve">  供水企业必须遵守下列规定：</w:t>
      </w:r>
    </w:p>
    <w:p w14:paraId="12B46ADF">
      <w:bookmarkStart w:id="2299" w:name="_Toc428780607"/>
      <w:r>
        <w:rPr>
          <w:rFonts w:hint="eastAsia"/>
        </w:rPr>
        <w:t>（一）保证供水水质符合国家生活饮用水卫生标准；</w:t>
      </w:r>
      <w:bookmarkEnd w:id="2299"/>
    </w:p>
    <w:p w14:paraId="3E1E9A1F">
      <w:r>
        <w:rPr>
          <w:rFonts w:hint="eastAsia"/>
        </w:rPr>
        <w:t>（二）在正常供水状态下，保证公共供水达到国家规定的压力标准，并保持不间断供水；</w:t>
      </w:r>
    </w:p>
    <w:p w14:paraId="2A7A3FB5">
      <w:r>
        <w:rPr>
          <w:rFonts w:hint="eastAsia"/>
        </w:rPr>
        <w:t>（三）依照国家和本市规定的计量标准和水价标准，对用户用水进行计量、收费；</w:t>
      </w:r>
    </w:p>
    <w:p w14:paraId="4BB82575">
      <w:r>
        <w:rPr>
          <w:rFonts w:hint="eastAsia"/>
        </w:rPr>
        <w:t>（四）建立健全管理制度，定期检查、维护公共供水设施，及时排除公共供水设施故障，保障正常供水；</w:t>
      </w:r>
    </w:p>
    <w:p w14:paraId="312951E7">
      <w:r>
        <w:rPr>
          <w:rFonts w:hint="eastAsia"/>
        </w:rPr>
        <w:t>（五）接受公共供水主管机关和卫生、质量技术监督、物价等有关行政执法机关的监督检查。</w:t>
      </w:r>
    </w:p>
    <w:p w14:paraId="1EC39F2B">
      <w:pPr>
        <w:ind w:firstLine="422"/>
      </w:pPr>
      <w:r>
        <w:rPr>
          <w:rFonts w:hint="eastAsia"/>
          <w:b/>
        </w:rPr>
        <w:t>第五条</w:t>
      </w:r>
      <w:r>
        <w:rPr>
          <w:rFonts w:hint="eastAsia"/>
        </w:rPr>
        <w:t xml:space="preserve">  用户必须遵守下列规定：</w:t>
      </w:r>
    </w:p>
    <w:p w14:paraId="4B0C63C7">
      <w:r>
        <w:rPr>
          <w:rFonts w:hint="eastAsia"/>
        </w:rPr>
        <w:t>（一）节约用水；</w:t>
      </w:r>
    </w:p>
    <w:p w14:paraId="19818094">
      <w:r>
        <w:rPr>
          <w:rFonts w:hint="eastAsia"/>
        </w:rPr>
        <w:t>（二）按照规定交纳水费，不得拖欠或者拒付；</w:t>
      </w:r>
    </w:p>
    <w:p w14:paraId="4FE505AD">
      <w:r>
        <w:rPr>
          <w:rFonts w:hint="eastAsia"/>
        </w:rPr>
        <w:t>（三）变更户名、改变用水性质等，必须事先到供水企业办理变更手续；</w:t>
      </w:r>
    </w:p>
    <w:p w14:paraId="163D91F8">
      <w:bookmarkStart w:id="2300" w:name="_Toc428780608"/>
      <w:r>
        <w:rPr>
          <w:rFonts w:hint="eastAsia"/>
        </w:rPr>
        <w:t>（四）不得利用公共供水设施转售用水；</w:t>
      </w:r>
      <w:bookmarkEnd w:id="2300"/>
    </w:p>
    <w:p w14:paraId="5D2F2EDA">
      <w:r>
        <w:rPr>
          <w:rFonts w:hint="eastAsia"/>
        </w:rPr>
        <w:t>（五）保护供水设施，发现公共供水设施损坏或者跑水等情况，应立即告知供水企业；</w:t>
      </w:r>
    </w:p>
    <w:p w14:paraId="487D59D3">
      <w:r>
        <w:rPr>
          <w:rFonts w:hint="eastAsia"/>
        </w:rPr>
        <w:t>（六）协助供水企业检查、维修或者抢修公共供水设施。</w:t>
      </w:r>
    </w:p>
    <w:p w14:paraId="2FFCACB9">
      <w:pPr>
        <w:ind w:firstLine="422"/>
      </w:pPr>
      <w:r>
        <w:rPr>
          <w:rFonts w:hint="eastAsia"/>
          <w:b/>
        </w:rPr>
        <w:t>第六条</w:t>
      </w:r>
      <w:r>
        <w:rPr>
          <w:rFonts w:hint="eastAsia"/>
        </w:rPr>
        <w:t xml:space="preserve">  因施工或者检查、维修公共供水设施，需暂停供水或者降压供水时，供水企业应当提前通知用户。暂停供水时间</w:t>
      </w:r>
      <w:r>
        <w:rPr>
          <w:rFonts w:hint="eastAsia" w:ascii="宋体" w:hAnsi="宋体" w:eastAsia="宋体" w:cs="宋体"/>
        </w:rPr>
        <w:t>超过3天的，由</w:t>
      </w:r>
      <w:r>
        <w:rPr>
          <w:rFonts w:hint="eastAsia"/>
        </w:rPr>
        <w:t>供水企业采取临时供水措施。</w:t>
      </w:r>
    </w:p>
    <w:p w14:paraId="7B9F18C8">
      <w:r>
        <w:rPr>
          <w:rFonts w:hint="eastAsia"/>
        </w:rPr>
        <w:t>大范围暂停供水或者暂停供水、降压供水可能对生产、生活造成重大影响的，供水企业必须在暂停供水前报经城市公共供水工作的主管机关批准。</w:t>
      </w:r>
    </w:p>
    <w:p w14:paraId="22F0FE2A">
      <w:pPr>
        <w:ind w:firstLine="422"/>
      </w:pPr>
      <w:r>
        <w:rPr>
          <w:rFonts w:hint="eastAsia"/>
          <w:b/>
        </w:rPr>
        <w:t>第七条</w:t>
      </w:r>
      <w:r>
        <w:rPr>
          <w:rFonts w:hint="eastAsia"/>
        </w:rPr>
        <w:t xml:space="preserve">  需在城市公共供水管网上接装管道或者用水设施，临时使用公共供水（以下简称临时用水）的，应经供水企业同意，方可用水。</w:t>
      </w:r>
    </w:p>
    <w:p w14:paraId="5B81EB3E">
      <w:pPr>
        <w:ind w:firstLine="422"/>
      </w:pPr>
      <w:r>
        <w:rPr>
          <w:rFonts w:hint="eastAsia"/>
          <w:b/>
        </w:rPr>
        <w:t>第八条</w:t>
      </w:r>
      <w:r>
        <w:rPr>
          <w:rFonts w:hint="eastAsia"/>
        </w:rPr>
        <w:t xml:space="preserve">  供水企业与用户应当签订供用水合同，明确双方的权利、义务以及违约责任。供水企业与用户对用水计量、收费等发生争议时，可以申请城市公共供水主管机关处理。</w:t>
      </w:r>
    </w:p>
    <w:p w14:paraId="703EEE05"/>
    <w:p w14:paraId="6958A567">
      <w:pPr>
        <w:ind w:firstLine="0" w:firstLineChars="0"/>
        <w:jc w:val="center"/>
        <w:rPr>
          <w:b/>
          <w:sz w:val="28"/>
        </w:rPr>
      </w:pPr>
      <w:r>
        <w:rPr>
          <w:rFonts w:hint="eastAsia"/>
          <w:b/>
          <w:sz w:val="28"/>
        </w:rPr>
        <w:t>第三章　供水设施管理</w:t>
      </w:r>
    </w:p>
    <w:p w14:paraId="0B3A10A8"/>
    <w:p w14:paraId="4C0FFD41">
      <w:pPr>
        <w:ind w:firstLine="422"/>
      </w:pPr>
      <w:r>
        <w:rPr>
          <w:rFonts w:hint="eastAsia"/>
          <w:b/>
        </w:rPr>
        <w:t>第九条</w:t>
      </w:r>
      <w:r>
        <w:rPr>
          <w:rFonts w:hint="eastAsia"/>
        </w:rPr>
        <w:t xml:space="preserve">  公共供水设施和用户供水设施的建设，必须与城市公共供水能力相适应，符合城市公共供水的统一技术要求。</w:t>
      </w:r>
    </w:p>
    <w:p w14:paraId="6E5072AC">
      <w:r>
        <w:rPr>
          <w:rFonts w:hint="eastAsia"/>
        </w:rPr>
        <w:t>供水设施工程的规划、建设、施工等，必须符合国家和本市的有关规定。</w:t>
      </w:r>
    </w:p>
    <w:p w14:paraId="6FD70923">
      <w:pPr>
        <w:ind w:firstLine="422"/>
      </w:pPr>
      <w:r>
        <w:rPr>
          <w:rFonts w:hint="eastAsia"/>
          <w:b/>
        </w:rPr>
        <w:t>第十条</w:t>
      </w:r>
      <w:r>
        <w:rPr>
          <w:rFonts w:hint="eastAsia"/>
        </w:rPr>
        <w:t xml:space="preserve">  用户自行投资新建、改建户内供水设施（以下简称用户供水设施），应向供水企业提出书面申请，提供相应的资料，经供水企业同意后，方可按照有关规定进行供水设施工程的设计和施工。</w:t>
      </w:r>
    </w:p>
    <w:p w14:paraId="4211C5F7">
      <w:pPr>
        <w:ind w:firstLine="422"/>
      </w:pPr>
      <w:r>
        <w:rPr>
          <w:rFonts w:hint="eastAsia"/>
          <w:b/>
        </w:rPr>
        <w:t>第十一条</w:t>
      </w:r>
      <w:r>
        <w:rPr>
          <w:rFonts w:hint="eastAsia"/>
        </w:rPr>
        <w:t xml:space="preserve">  从事用户供水设施工程设计和施工的单位，必须持有主管部门核发的资格证书，按照资格证书确定的资格等级承担设计和施工任务。</w:t>
      </w:r>
    </w:p>
    <w:p w14:paraId="29F328D9">
      <w:r>
        <w:rPr>
          <w:rFonts w:hint="eastAsia"/>
        </w:rPr>
        <w:t>用户供水设施工程的设计、供水设施设备的选用和施工，必须严格按照批准的设计文件和有关的设计、施工技术标准、规范等进行。</w:t>
      </w:r>
    </w:p>
    <w:p w14:paraId="29E6895D">
      <w:pPr>
        <w:ind w:firstLine="422"/>
      </w:pPr>
      <w:r>
        <w:rPr>
          <w:rFonts w:hint="eastAsia"/>
          <w:b/>
        </w:rPr>
        <w:t>第十二条</w:t>
      </w:r>
      <w:r>
        <w:rPr>
          <w:rFonts w:hint="eastAsia"/>
        </w:rPr>
        <w:t xml:space="preserve">  用户供水设施工程竣工后，必须经供水企业验收。验收合格的，由供水企业办理用户立户手续，安装计费水表，经测试水质、水压等合格，方可正式供水。用户供水设施工程未经验收或者经验收不合格的，供水企业不予供水。</w:t>
      </w:r>
    </w:p>
    <w:p w14:paraId="2203660F">
      <w:pPr>
        <w:ind w:firstLine="422"/>
      </w:pPr>
      <w:r>
        <w:rPr>
          <w:rFonts w:hint="eastAsia"/>
          <w:b/>
        </w:rPr>
        <w:t>第十三条</w:t>
      </w:r>
      <w:r>
        <w:rPr>
          <w:rFonts w:hint="eastAsia"/>
        </w:rPr>
        <w:t xml:space="preserve">  用户供水设施工程竣工并经验收合格后，其计费总表以外的户外管道及附属设施并入公共供水管网，交由供水企业统一维护和管理。</w:t>
      </w:r>
    </w:p>
    <w:p w14:paraId="22BF8FFF">
      <w:pPr>
        <w:ind w:firstLine="422"/>
      </w:pPr>
      <w:r>
        <w:rPr>
          <w:rFonts w:hint="eastAsia"/>
          <w:b/>
        </w:rPr>
        <w:t>第十四条</w:t>
      </w:r>
      <w:r>
        <w:rPr>
          <w:rFonts w:hint="eastAsia"/>
        </w:rPr>
        <w:t>　供水企业安装的计费水表，由供水企业负责统一管理和维护，任何单位和个人不得擅自拆卸、启封。计费水表在用户地域内的，由用户负责保护。</w:t>
      </w:r>
    </w:p>
    <w:p w14:paraId="4A10548D">
      <w:pPr>
        <w:ind w:firstLine="422"/>
      </w:pPr>
      <w:r>
        <w:rPr>
          <w:rFonts w:hint="eastAsia"/>
          <w:b/>
        </w:rPr>
        <w:t>第十五条</w:t>
      </w:r>
      <w:r>
        <w:rPr>
          <w:rFonts w:hint="eastAsia"/>
        </w:rPr>
        <w:t>　公用消火栓由供水企业负责维修管理，公安机关消防机构负责监督检查。除发生火灾时，任何单位和个人不得动用。</w:t>
      </w:r>
    </w:p>
    <w:p w14:paraId="67A9F20D">
      <w:r>
        <w:rPr>
          <w:rFonts w:hint="eastAsia"/>
        </w:rPr>
        <w:t>用户安装的无表消火栓，除发生火灾时，平时使用须事先征得供水企业同意。</w:t>
      </w:r>
    </w:p>
    <w:p w14:paraId="6E954427">
      <w:pPr>
        <w:ind w:firstLine="422"/>
      </w:pPr>
      <w:r>
        <w:rPr>
          <w:rFonts w:hint="eastAsia"/>
          <w:b/>
        </w:rPr>
        <w:t>第十六条</w:t>
      </w:r>
      <w:r>
        <w:rPr>
          <w:rFonts w:hint="eastAsia"/>
        </w:rPr>
        <w:t>　各类建设工程开工前，建设单位或者施工单位应到供水企业查明地下公共供水管线情况。施工影响公共供水设施安全的，建设单位或者施工单位应与供水企业商定相应的保护措施，并由施工单位保证按照措施实施。</w:t>
      </w:r>
    </w:p>
    <w:p w14:paraId="39776550">
      <w:pPr>
        <w:ind w:firstLine="422"/>
      </w:pPr>
      <w:r>
        <w:rPr>
          <w:rFonts w:hint="eastAsia"/>
          <w:b/>
        </w:rPr>
        <w:t>第十七条</w:t>
      </w:r>
      <w:r>
        <w:rPr>
          <w:rFonts w:hint="eastAsia"/>
        </w:rPr>
        <w:t>　禁止下列行为：</w:t>
      </w:r>
    </w:p>
    <w:p w14:paraId="00AC7B19">
      <w:bookmarkStart w:id="2301" w:name="_Toc428780609"/>
      <w:r>
        <w:rPr>
          <w:rFonts w:hint="eastAsia"/>
        </w:rPr>
        <w:t>（一）擅自接装、改装公共供水设施；</w:t>
      </w:r>
      <w:bookmarkEnd w:id="2301"/>
    </w:p>
    <w:p w14:paraId="4139F171">
      <w:r>
        <w:rPr>
          <w:rFonts w:hint="eastAsia"/>
        </w:rPr>
        <w:t>（二）擅自在水表井内安装水管或者穿插其他管道；</w:t>
      </w:r>
    </w:p>
    <w:p w14:paraId="5D5CD400">
      <w:r>
        <w:rPr>
          <w:rFonts w:hint="eastAsia"/>
        </w:rPr>
        <w:t>（三）擅自启动、拆卸、挪动公共供水设施；</w:t>
      </w:r>
    </w:p>
    <w:p w14:paraId="78CF1868">
      <w:r>
        <w:rPr>
          <w:rFonts w:hint="eastAsia"/>
        </w:rPr>
        <w:t>（四）在城市公共供水管网上直抽加压；</w:t>
      </w:r>
    </w:p>
    <w:p w14:paraId="6BC6A17B">
      <w:r>
        <w:rPr>
          <w:rFonts w:hint="eastAsia"/>
        </w:rPr>
        <w:t>（五）将自备水源管道、加压设备等与公共供水设施接通；</w:t>
      </w:r>
    </w:p>
    <w:p w14:paraId="7552048D">
      <w:r>
        <w:rPr>
          <w:rFonts w:hint="eastAsia"/>
        </w:rPr>
        <w:t>（六）在埋设公共供水设施的地面上及两侧安全间距内，挖坑、取土、植树、埋杆、倾倒废渣废液；</w:t>
      </w:r>
    </w:p>
    <w:p w14:paraId="6F76849B">
      <w:r>
        <w:rPr>
          <w:rFonts w:hint="eastAsia"/>
        </w:rPr>
        <w:t>（七）在埋设公共供水设施的地面上及两侧安全间距内，修建与供水无关的建筑物、构筑物，或者堆物、堆料；</w:t>
      </w:r>
    </w:p>
    <w:p w14:paraId="480D11D1">
      <w:r>
        <w:rPr>
          <w:rFonts w:hint="eastAsia"/>
        </w:rPr>
        <w:t>（八）其他危及公共供水设施安全的行为。</w:t>
      </w:r>
    </w:p>
    <w:p w14:paraId="68347458"/>
    <w:p w14:paraId="56EA9F9B">
      <w:pPr>
        <w:ind w:firstLine="0" w:firstLineChars="0"/>
        <w:jc w:val="center"/>
        <w:rPr>
          <w:b/>
          <w:sz w:val="28"/>
        </w:rPr>
      </w:pPr>
      <w:r>
        <w:rPr>
          <w:rFonts w:hint="eastAsia"/>
          <w:b/>
          <w:sz w:val="28"/>
        </w:rPr>
        <w:t>第四章　法律责任</w:t>
      </w:r>
    </w:p>
    <w:p w14:paraId="14E46A2B"/>
    <w:p w14:paraId="54CAFF5D">
      <w:pPr>
        <w:ind w:firstLine="422"/>
      </w:pPr>
      <w:r>
        <w:rPr>
          <w:rFonts w:hint="eastAsia"/>
          <w:b/>
        </w:rPr>
        <w:t>第十八条</w:t>
      </w:r>
      <w:r>
        <w:rPr>
          <w:rFonts w:hint="eastAsia"/>
        </w:rPr>
        <w:t>　供水企业违反本办法的行为，由城市公共供水工作的主管机关按照下列规定给予处罚，对负有直接责任的主管人员和其他直接责任人员，其所在单位或者上级机关可以给予行政处分：</w:t>
      </w:r>
    </w:p>
    <w:p w14:paraId="1C4A8C54">
      <w:pPr>
        <w:rPr>
          <w:rFonts w:hint="eastAsia" w:ascii="宋体" w:hAnsi="宋体" w:eastAsia="宋体" w:cs="宋体"/>
        </w:rPr>
      </w:pPr>
      <w:r>
        <w:rPr>
          <w:rFonts w:hint="eastAsia"/>
        </w:rPr>
        <w:t>（一）在正常供水状态下，公共供水达不到国家规定的压力标准或者间断供水的，处</w:t>
      </w:r>
      <w:r>
        <w:rPr>
          <w:rFonts w:hint="eastAsia" w:ascii="宋体" w:hAnsi="宋体" w:eastAsia="宋体" w:cs="宋体"/>
        </w:rPr>
        <w:t>2000元以下罚款。</w:t>
      </w:r>
    </w:p>
    <w:p w14:paraId="12D55C96">
      <w:pPr>
        <w:rPr>
          <w:rFonts w:hint="eastAsia" w:ascii="宋体" w:hAnsi="宋体" w:eastAsia="宋体" w:cs="宋体"/>
        </w:rPr>
      </w:pPr>
      <w:r>
        <w:rPr>
          <w:rFonts w:hint="eastAsia" w:ascii="宋体" w:hAnsi="宋体" w:eastAsia="宋体" w:cs="宋体"/>
        </w:rPr>
        <w:t>（二）对公共供水设施不做定期检查、维护，造成公共供水设施损坏或者发生供水事故的，处3000元以下罚款。</w:t>
      </w:r>
    </w:p>
    <w:p w14:paraId="24047308">
      <w:r>
        <w:rPr>
          <w:rFonts w:hint="eastAsia" w:ascii="宋体" w:hAnsi="宋体" w:eastAsia="宋体" w:cs="宋体"/>
        </w:rPr>
        <w:t>（三）供水设施发生故障，影响正常供水，不及时抢修的，处5000元以下罚</w:t>
      </w:r>
      <w:r>
        <w:rPr>
          <w:rFonts w:hint="eastAsia"/>
        </w:rPr>
        <w:t>款。给用户造成经济损失的，由供水企业赔偿直接经济损失。</w:t>
      </w:r>
    </w:p>
    <w:p w14:paraId="58A50714">
      <w:r>
        <w:rPr>
          <w:rFonts w:hint="eastAsia"/>
        </w:rPr>
        <w:t>供水企业违反卫生、质量技术监督、物价等管理规定的，按照有关法律、法规、规章的规定予以行政处罚。</w:t>
      </w:r>
    </w:p>
    <w:p w14:paraId="641ECDC9">
      <w:pPr>
        <w:ind w:firstLine="422"/>
      </w:pPr>
      <w:r>
        <w:rPr>
          <w:rFonts w:hint="eastAsia"/>
          <w:b/>
        </w:rPr>
        <w:t>第十九条</w:t>
      </w:r>
      <w:r>
        <w:rPr>
          <w:rFonts w:hint="eastAsia"/>
        </w:rPr>
        <w:t>　对违反本办法的其他行为，由城市公共供水工作的主管机关按照下列规定给予处罚：</w:t>
      </w:r>
    </w:p>
    <w:p w14:paraId="5AF3B1A8">
      <w:r>
        <w:rPr>
          <w:rFonts w:hint="eastAsia"/>
        </w:rPr>
        <w:t>（一）利用公共供水设施转售用水的，责令改正，</w:t>
      </w:r>
      <w:r>
        <w:rPr>
          <w:rFonts w:hint="eastAsia" w:ascii="宋体" w:hAnsi="宋体" w:eastAsia="宋体" w:cs="宋体"/>
        </w:rPr>
        <w:t>处3000元</w:t>
      </w:r>
      <w:r>
        <w:rPr>
          <w:rFonts w:hint="eastAsia"/>
        </w:rPr>
        <w:t>以下罚款，情节严重的，可以依法停止供水；</w:t>
      </w:r>
    </w:p>
    <w:p w14:paraId="60FFA310">
      <w:pPr>
        <w:rPr>
          <w:rFonts w:hint="eastAsia" w:ascii="宋体" w:hAnsi="宋体" w:eastAsia="宋体" w:cs="宋体"/>
        </w:rPr>
      </w:pPr>
      <w:r>
        <w:rPr>
          <w:rFonts w:hint="eastAsia"/>
        </w:rPr>
        <w:t>（二）擅自接装、改装公共供水设施或者在水表井安装水管管线、穿插其他管道的，责令拆除，处责任单位</w:t>
      </w:r>
      <w:r>
        <w:rPr>
          <w:rFonts w:hint="eastAsia" w:ascii="宋体" w:hAnsi="宋体" w:eastAsia="宋体" w:cs="宋体"/>
        </w:rPr>
        <w:t>3000元以下罚款；</w:t>
      </w:r>
    </w:p>
    <w:p w14:paraId="6CB65F77">
      <w:pPr>
        <w:rPr>
          <w:rFonts w:hint="eastAsia" w:ascii="宋体" w:hAnsi="宋体" w:eastAsia="宋体" w:cs="宋体"/>
        </w:rPr>
      </w:pPr>
      <w:r>
        <w:rPr>
          <w:rFonts w:hint="eastAsia" w:ascii="宋体" w:hAnsi="宋体" w:eastAsia="宋体" w:cs="宋体"/>
        </w:rPr>
        <w:t>（三）将自备水源管道与公共供水设施接通或者在公共供水管网上直抽加压的，责令拆除，处责任单位3000元以下罚款；</w:t>
      </w:r>
    </w:p>
    <w:p w14:paraId="77DD459E">
      <w:pPr>
        <w:rPr>
          <w:rFonts w:hint="eastAsia" w:ascii="宋体" w:hAnsi="宋体" w:eastAsia="宋体" w:cs="宋体"/>
        </w:rPr>
      </w:pPr>
      <w:r>
        <w:rPr>
          <w:rFonts w:hint="eastAsia" w:ascii="宋体" w:hAnsi="宋体" w:eastAsia="宋体" w:cs="宋体"/>
        </w:rPr>
        <w:t>（四）擅自拆卸、挪动公共供水设施的，或者擅自动用消火栓，除发生火灾紧急需要外的，责令恢复原状，处责任单位1000元以下罚款；</w:t>
      </w:r>
    </w:p>
    <w:p w14:paraId="1980D78C">
      <w:pPr>
        <w:rPr>
          <w:rFonts w:hint="eastAsia" w:ascii="宋体" w:hAnsi="宋体" w:eastAsia="宋体" w:cs="宋体"/>
        </w:rPr>
      </w:pPr>
      <w:r>
        <w:rPr>
          <w:rFonts w:hint="eastAsia" w:ascii="宋体" w:hAnsi="宋体" w:eastAsia="宋体" w:cs="宋体"/>
        </w:rPr>
        <w:t>（五）在埋设公共供水设施的地面上及两侧安全间距内，挖坑、取土、植树、埋杆、倾倒废渣废液的，责令改正，恢复原状，处责任单位3000元以下罚款；</w:t>
      </w:r>
    </w:p>
    <w:p w14:paraId="04203316">
      <w:r>
        <w:rPr>
          <w:rFonts w:hint="eastAsia" w:ascii="宋体" w:hAnsi="宋体" w:eastAsia="宋体" w:cs="宋体"/>
        </w:rPr>
        <w:t>（六）在埋设公共供水设施的地面上及两侧安全间距内修建与公共供水无关的建筑物、构筑物，或者堆物、堆料的，限期拆除或者清除，处责任单位5000元以下罚款</w:t>
      </w:r>
      <w:r>
        <w:rPr>
          <w:rFonts w:hint="eastAsia"/>
        </w:rPr>
        <w:t>；</w:t>
      </w:r>
    </w:p>
    <w:p w14:paraId="62E3C014">
      <w:r>
        <w:rPr>
          <w:rFonts w:hint="eastAsia"/>
        </w:rPr>
        <w:t>（七）施工造成公共供水设施损坏或者供水事故的，由责任单位依法赔偿损失。</w:t>
      </w:r>
    </w:p>
    <w:p w14:paraId="4A24BCB9">
      <w:pPr>
        <w:ind w:firstLine="422"/>
        <w:rPr>
          <w:rFonts w:hint="eastAsia" w:ascii="宋体" w:hAnsi="宋体" w:eastAsia="宋体" w:cs="宋体"/>
        </w:rPr>
      </w:pPr>
      <w:r>
        <w:rPr>
          <w:rFonts w:hint="eastAsia"/>
          <w:b/>
        </w:rPr>
        <w:t>第二十条</w:t>
      </w:r>
      <w:r>
        <w:rPr>
          <w:rFonts w:hint="eastAsia"/>
        </w:rPr>
        <w:t>　用户不按规定交纳</w:t>
      </w:r>
      <w:r>
        <w:rPr>
          <w:rFonts w:hint="eastAsia" w:ascii="宋体" w:hAnsi="宋体" w:eastAsia="宋体" w:cs="宋体"/>
        </w:rPr>
        <w:t>水费或者拒付水费、擅自改变用水性质、临时用水违反本办法规定的，应当向供水企业交纳所欠水费，并由供水企业按日加收所欠水费0.1%的滞纳金。逾期4个月不交纳水费的，可依法停止供水。</w:t>
      </w:r>
    </w:p>
    <w:p w14:paraId="6E41183A"/>
    <w:p w14:paraId="631DF4AA">
      <w:pPr>
        <w:ind w:firstLine="0" w:firstLineChars="0"/>
        <w:jc w:val="center"/>
        <w:rPr>
          <w:b/>
          <w:sz w:val="28"/>
        </w:rPr>
      </w:pPr>
      <w:r>
        <w:rPr>
          <w:rFonts w:hint="eastAsia"/>
          <w:b/>
          <w:sz w:val="28"/>
        </w:rPr>
        <w:t>第五章　附　则</w:t>
      </w:r>
    </w:p>
    <w:p w14:paraId="7FB789EA"/>
    <w:p w14:paraId="44AD994E">
      <w:pPr>
        <w:ind w:firstLine="422"/>
      </w:pPr>
      <w:r>
        <w:rPr>
          <w:rFonts w:hint="eastAsia"/>
          <w:b/>
        </w:rPr>
        <w:t>第二十一条</w:t>
      </w:r>
      <w:r>
        <w:rPr>
          <w:rFonts w:hint="eastAsia"/>
        </w:rPr>
        <w:t>　本办法自</w:t>
      </w:r>
      <w:r>
        <w:rPr>
          <w:rFonts w:hint="eastAsia" w:ascii="宋体" w:hAnsi="宋体" w:eastAsia="宋体" w:cs="宋体"/>
        </w:rPr>
        <w:t>1992年12月20日起施行。1987年10月27日北京市人</w:t>
      </w:r>
      <w:r>
        <w:rPr>
          <w:rFonts w:hint="eastAsia"/>
        </w:rPr>
        <w:t>民政府发布的《北京市城市公用供水设施管理暂行规定》同时废止。</w:t>
      </w:r>
    </w:p>
    <w:p w14:paraId="20315401">
      <w:pPr>
        <w:pStyle w:val="4"/>
        <w:pageBreakBefore/>
      </w:pPr>
      <w:bookmarkStart w:id="2302" w:name="_Toc426467101"/>
      <w:bookmarkStart w:id="2303" w:name="_Toc428781849"/>
      <w:bookmarkStart w:id="2304" w:name="_Toc428780610"/>
      <w:r>
        <w:rPr>
          <w:rFonts w:hint="eastAsia"/>
        </w:rPr>
        <w:t>北京市人民政府关于扫雪铲冰管理的规定</w:t>
      </w:r>
      <w:bookmarkEnd w:id="2302"/>
      <w:bookmarkEnd w:id="2303"/>
      <w:bookmarkEnd w:id="2304"/>
    </w:p>
    <w:p w14:paraId="3A29AE2C">
      <w:pPr>
        <w:ind w:left="630" w:leftChars="300" w:right="630" w:rightChars="300"/>
        <w:rPr>
          <w:rFonts w:ascii="楷体" w:hAnsi="楷体" w:eastAsia="楷体"/>
        </w:rPr>
      </w:pPr>
      <w:r>
        <w:rPr>
          <w:rFonts w:hint="eastAsia" w:ascii="楷体" w:hAnsi="楷体" w:eastAsia="楷体"/>
        </w:rPr>
        <w:t>（1994年3月1日北京市人民政府第3号令发布　根据2002年11月12日北京市人民政府第112号令第一次修改　根据2007年11月23日北京市人民政府第200号令第二次修改）</w:t>
      </w:r>
    </w:p>
    <w:p w14:paraId="5DC3397B"/>
    <w:p w14:paraId="1D450487">
      <w:pPr>
        <w:ind w:firstLine="422"/>
      </w:pPr>
      <w:r>
        <w:rPr>
          <w:rFonts w:hint="eastAsia"/>
          <w:b/>
        </w:rPr>
        <w:t>第一条</w:t>
      </w:r>
      <w:r>
        <w:rPr>
          <w:rFonts w:hint="eastAsia"/>
        </w:rPr>
        <w:t xml:space="preserve">  为了保证降雪天气以及降雪后车辆、行人通行安全和市容环境整洁，根据《北京市市容环境卫生条例》，制定本规定。</w:t>
      </w:r>
    </w:p>
    <w:p w14:paraId="75E8C0BC">
      <w:pPr>
        <w:ind w:firstLine="422"/>
      </w:pPr>
      <w:r>
        <w:rPr>
          <w:rFonts w:hint="eastAsia"/>
          <w:b/>
        </w:rPr>
        <w:t>第二条</w:t>
      </w:r>
      <w:r>
        <w:rPr>
          <w:rFonts w:hint="eastAsia"/>
        </w:rPr>
        <w:t xml:space="preserve">  市和区、县市政管理委员会负责扫雪铲冰工作的组织落实和监督检查。</w:t>
      </w:r>
    </w:p>
    <w:p w14:paraId="45122E79">
      <w:r>
        <w:rPr>
          <w:rFonts w:hint="eastAsia"/>
        </w:rPr>
        <w:t>市气象管理部门应当及时提供雪情及天气预报。市公安交通管理部门应当及时疏导道路交通，并保障除雪作业车辆和公共交通车辆通行。</w:t>
      </w:r>
    </w:p>
    <w:p w14:paraId="3D3AB238">
      <w:pPr>
        <w:ind w:firstLine="422"/>
      </w:pPr>
      <w:r>
        <w:rPr>
          <w:rFonts w:hint="eastAsia"/>
          <w:b/>
        </w:rPr>
        <w:t>第三条</w:t>
      </w:r>
      <w:r>
        <w:rPr>
          <w:rFonts w:hint="eastAsia"/>
        </w:rPr>
        <w:t xml:space="preserve">  遇降雪天气，单位和个人应当承担责任地段的扫雪铲冰工作。</w:t>
      </w:r>
    </w:p>
    <w:p w14:paraId="41DC7056">
      <w:r>
        <w:rPr>
          <w:rFonts w:hint="eastAsia"/>
        </w:rPr>
        <w:t>居民居住地区，包括胡同、街巷、住宅小区等，由乡镇人民政府或者街道办事处组织居民做好扫雪铲冰工作。实行物业管理的，由物业管理单位负责。</w:t>
      </w:r>
    </w:p>
    <w:p w14:paraId="622E43F7">
      <w:pPr>
        <w:ind w:firstLine="422"/>
      </w:pPr>
      <w:r>
        <w:rPr>
          <w:rFonts w:hint="eastAsia"/>
          <w:b/>
        </w:rPr>
        <w:t>第四条</w:t>
      </w:r>
      <w:r>
        <w:rPr>
          <w:rFonts w:hint="eastAsia"/>
        </w:rPr>
        <w:t xml:space="preserve">  昼间降雪的，单位、个人以及环境卫生专业作业单位应当随时清扫。夜间降雪的，主要道路的冰雪，环境卫生专业作业单</w:t>
      </w:r>
      <w:r>
        <w:rPr>
          <w:rFonts w:hint="eastAsia" w:ascii="宋体" w:hAnsi="宋体" w:eastAsia="宋体" w:cs="宋体"/>
        </w:rPr>
        <w:t>位应当在次日7：30时前清扫干净；其他责任地段的冰雪，单位和个人应当在次日10时前清扫干净。清除的冰雪，应当整齐堆放在不妨碍交通的向阳处所，保证责任地段内车辆和行人安全通行。含</w:t>
      </w:r>
      <w:r>
        <w:rPr>
          <w:rFonts w:hint="eastAsia"/>
        </w:rPr>
        <w:t>有融雪剂的冰雪不得堆放在树坑和绿地内。</w:t>
      </w:r>
    </w:p>
    <w:p w14:paraId="5D882925">
      <w:pPr>
        <w:ind w:firstLine="422"/>
      </w:pPr>
      <w:r>
        <w:rPr>
          <w:rFonts w:hint="eastAsia"/>
          <w:b/>
        </w:rPr>
        <w:t>第五条</w:t>
      </w:r>
      <w:r>
        <w:rPr>
          <w:rFonts w:hint="eastAsia"/>
        </w:rPr>
        <w:t xml:space="preserve">  环境卫生专业作业单位对主要道路除雪时，应当使用符合有关规定标准的融雪剂产品除雪，防止车辆在主要道路上因冰雪打滑形成堵塞，并协助责任地段的单位做好扫雪铲冰工作，及时清运清除冰雪，维护市容环境整洁。</w:t>
      </w:r>
    </w:p>
    <w:p w14:paraId="3D1B9351">
      <w:pPr>
        <w:ind w:firstLine="422"/>
      </w:pPr>
      <w:r>
        <w:rPr>
          <w:rFonts w:hint="eastAsia"/>
          <w:b/>
        </w:rPr>
        <w:t>第六条</w:t>
      </w:r>
      <w:r>
        <w:rPr>
          <w:rFonts w:hint="eastAsia"/>
        </w:rPr>
        <w:t xml:space="preserve">  未按照规定完成责任地段扫雪铲冰工作的，由城市管理综合执法部门责令改正，并处责任单</w:t>
      </w:r>
      <w:r>
        <w:rPr>
          <w:rFonts w:hint="eastAsia" w:ascii="宋体" w:hAnsi="宋体" w:eastAsia="宋体" w:cs="宋体"/>
        </w:rPr>
        <w:t>位200元以上1000元以</w:t>
      </w:r>
      <w:r>
        <w:rPr>
          <w:rFonts w:hint="eastAsia"/>
        </w:rPr>
        <w:t>下罚款。</w:t>
      </w:r>
    </w:p>
    <w:p w14:paraId="0B9BE10F">
      <w:pPr>
        <w:ind w:firstLine="422"/>
      </w:pPr>
      <w:r>
        <w:rPr>
          <w:rFonts w:hint="eastAsia"/>
          <w:b/>
        </w:rPr>
        <w:t>第七条</w:t>
      </w:r>
      <w:r>
        <w:rPr>
          <w:rFonts w:hint="eastAsia"/>
        </w:rPr>
        <w:t xml:space="preserve">  本规定自发布之日起施行。</w:t>
      </w:r>
    </w:p>
    <w:p w14:paraId="2D809157">
      <w:pPr>
        <w:pStyle w:val="4"/>
        <w:pageBreakBefore/>
      </w:pPr>
      <w:bookmarkStart w:id="2305" w:name="_Toc426467102"/>
      <w:bookmarkStart w:id="2306" w:name="_Toc428780611"/>
      <w:bookmarkStart w:id="2307" w:name="_Toc428781850"/>
      <w:r>
        <w:rPr>
          <w:rFonts w:hint="eastAsia"/>
        </w:rPr>
        <w:t>北京市人民政府关于加强垃圾渣土管理的规定</w:t>
      </w:r>
      <w:bookmarkEnd w:id="2305"/>
      <w:bookmarkEnd w:id="2306"/>
      <w:bookmarkEnd w:id="2307"/>
    </w:p>
    <w:p w14:paraId="2E060839">
      <w:pPr>
        <w:ind w:left="630" w:leftChars="300" w:right="630" w:rightChars="300"/>
        <w:rPr>
          <w:rFonts w:ascii="楷体" w:hAnsi="楷体" w:eastAsia="楷体"/>
        </w:rPr>
      </w:pPr>
      <w:r>
        <w:rPr>
          <w:rFonts w:hint="eastAsia" w:ascii="楷体" w:hAnsi="楷体" w:eastAsia="楷体"/>
        </w:rPr>
        <w:t>（1994年8月17日北京市人民政府第16号令发布　根据1997年12月31日北京市人民政府第12号令第一次修改　根据2002年11月18日北京市人民政府第115号令第二次修改　根据2007年11月23日北京市人民政府第200号令第三次修改）</w:t>
      </w:r>
    </w:p>
    <w:p w14:paraId="4194B97A"/>
    <w:p w14:paraId="38200082">
      <w:pPr>
        <w:ind w:firstLine="422"/>
      </w:pPr>
      <w:r>
        <w:rPr>
          <w:rFonts w:hint="eastAsia"/>
          <w:b/>
        </w:rPr>
        <w:t>第一条</w:t>
      </w:r>
      <w:r>
        <w:rPr>
          <w:rFonts w:hint="eastAsia"/>
        </w:rPr>
        <w:t xml:space="preserve">  为了加强垃圾渣土的管理，根据《北京市市容环境卫生条例》，制定本规定。</w:t>
      </w:r>
    </w:p>
    <w:p w14:paraId="367B73D2">
      <w:pPr>
        <w:ind w:firstLine="422"/>
      </w:pPr>
      <w:r>
        <w:rPr>
          <w:rFonts w:hint="eastAsia"/>
          <w:b/>
        </w:rPr>
        <w:t>第二条</w:t>
      </w:r>
      <w:r>
        <w:rPr>
          <w:rFonts w:hint="eastAsia"/>
        </w:rPr>
        <w:t xml:space="preserve">  本市行政区域内垃圾渣土的收集、清运和处理，按照本规定管理。</w:t>
      </w:r>
    </w:p>
    <w:p w14:paraId="1CEF67A5">
      <w:r>
        <w:rPr>
          <w:rFonts w:hint="eastAsia"/>
        </w:rPr>
        <w:t>本规定所称垃圾渣土包括生活垃圾、建设施工拆除建筑物或者房屋修缮、装修等产生的建筑垃圾以及施工弃土。</w:t>
      </w:r>
    </w:p>
    <w:p w14:paraId="72D64516">
      <w:pPr>
        <w:ind w:firstLine="422"/>
      </w:pPr>
      <w:r>
        <w:rPr>
          <w:rFonts w:hint="eastAsia"/>
          <w:b/>
        </w:rPr>
        <w:t>第三条</w:t>
      </w:r>
      <w:r>
        <w:rPr>
          <w:rFonts w:hint="eastAsia"/>
        </w:rPr>
        <w:t xml:space="preserve">  市和区、县市政管理行政部门主管垃圾渣土的收集、清运和处理的管理工作。</w:t>
      </w:r>
    </w:p>
    <w:p w14:paraId="5A47E0C2">
      <w:pPr>
        <w:ind w:firstLine="422"/>
      </w:pPr>
      <w:r>
        <w:rPr>
          <w:rFonts w:hint="eastAsia"/>
          <w:b/>
        </w:rPr>
        <w:t>第四条</w:t>
      </w:r>
      <w:r>
        <w:rPr>
          <w:rFonts w:hint="eastAsia"/>
        </w:rPr>
        <w:t xml:space="preserve">  新建、改建住宅区，开发建设单位应当按照规划要求配套建设密闭式垃圾收集站。</w:t>
      </w:r>
    </w:p>
    <w:p w14:paraId="08FD08DB">
      <w:r>
        <w:rPr>
          <w:rFonts w:hint="eastAsia"/>
        </w:rPr>
        <w:t>居民居住区的密闭式垃圾收集站，由区、县市政管理行政部门会同街道办事处或者乡、镇人民政府统筹设置。</w:t>
      </w:r>
    </w:p>
    <w:p w14:paraId="03A9EBB3">
      <w:r>
        <w:rPr>
          <w:rFonts w:hint="eastAsia"/>
        </w:rPr>
        <w:t>单位和个体工商户应当配置密闭式垃圾容器，收集垃圾。</w:t>
      </w:r>
    </w:p>
    <w:p w14:paraId="72115725">
      <w:r>
        <w:rPr>
          <w:rFonts w:hint="eastAsia"/>
        </w:rPr>
        <w:t>产生垃圾较少的单位，与垃圾清运单位协议，可以在清运单位负责的垃圾收集站倾倒垃圾，并按照规定标准向垃圾清运单位交纳服务费用。</w:t>
      </w:r>
    </w:p>
    <w:p w14:paraId="68F4FD05">
      <w:r>
        <w:rPr>
          <w:rFonts w:hint="eastAsia"/>
        </w:rPr>
        <w:t>城乡接壤地区的密闭式垃圾收集站，由街道办事处或者乡人民政府会同所在区市政管理行政部门统筹布局、建设。</w:t>
      </w:r>
    </w:p>
    <w:p w14:paraId="4A17AD97">
      <w:pPr>
        <w:ind w:firstLine="422"/>
      </w:pPr>
      <w:r>
        <w:rPr>
          <w:rFonts w:hint="eastAsia"/>
          <w:b/>
        </w:rPr>
        <w:t>第五条</w:t>
      </w:r>
      <w:r>
        <w:rPr>
          <w:rFonts w:hint="eastAsia"/>
        </w:rPr>
        <w:t xml:space="preserve">  密闭式垃圾收集站和垃圾容器的所有权人或者维护管理单位应当建立保洁管理责任制，保持垃圾收集站的整洁和垃圾容器的完好。出现破旧、污损或者丢失的，所有权人或者维护管理单位应当及时维修、更换、清洗或者补设。</w:t>
      </w:r>
    </w:p>
    <w:p w14:paraId="62243CD6">
      <w:pPr>
        <w:ind w:firstLine="422"/>
      </w:pPr>
      <w:r>
        <w:rPr>
          <w:rFonts w:hint="eastAsia"/>
          <w:b/>
        </w:rPr>
        <w:t>第六条</w:t>
      </w:r>
      <w:r>
        <w:rPr>
          <w:rFonts w:hint="eastAsia"/>
        </w:rPr>
        <w:t xml:space="preserve">  密闭式垃圾收集站、垃圾容器的设置应当便于使用和清运，不妨碍交通，不影响市容。有条件的，可以采用先进设备和技术建成分类收集的垃圾收集站。</w:t>
      </w:r>
    </w:p>
    <w:p w14:paraId="28224F78">
      <w:pPr>
        <w:ind w:firstLine="422"/>
      </w:pPr>
      <w:r>
        <w:rPr>
          <w:rFonts w:hint="eastAsia"/>
          <w:b/>
        </w:rPr>
        <w:t>第七条</w:t>
      </w:r>
      <w:r>
        <w:rPr>
          <w:rFonts w:hint="eastAsia"/>
        </w:rPr>
        <w:t xml:space="preserve">  对本市产生的生活垃圾应当逐步推行分类收集、分类运输和分类处理，配套建设密闭式垃圾分类收集站、配置统一标志的垃圾分类收集容器和垃圾处理设备。</w:t>
      </w:r>
    </w:p>
    <w:p w14:paraId="3484765F">
      <w:pPr>
        <w:ind w:firstLine="422"/>
      </w:pPr>
      <w:r>
        <w:rPr>
          <w:rFonts w:hint="eastAsia"/>
          <w:b/>
        </w:rPr>
        <w:t>第八条</w:t>
      </w:r>
      <w:r>
        <w:rPr>
          <w:rFonts w:hint="eastAsia"/>
        </w:rPr>
        <w:t xml:space="preserve">  倾倒垃圾必须遵守下列规定：</w:t>
      </w:r>
    </w:p>
    <w:p w14:paraId="5A94E42C">
      <w:r>
        <w:rPr>
          <w:rFonts w:hint="eastAsia"/>
        </w:rPr>
        <w:t>（一）应当按照市政管理行政部门规定的时间、地点和方式收集、倾倒垃圾，不得乱堆乱倒。</w:t>
      </w:r>
    </w:p>
    <w:p w14:paraId="606649CF">
      <w:r>
        <w:rPr>
          <w:rFonts w:hint="eastAsia"/>
        </w:rPr>
        <w:t>（二）禁止在垃圾收集站和垃圾容器内倾倒污水、粪尿和渣土；秸秆、箱筐等体积超出垃圾容器容量的长、大废弃物，应当破碎后再倾倒。</w:t>
      </w:r>
    </w:p>
    <w:p w14:paraId="340FD103">
      <w:r>
        <w:rPr>
          <w:rFonts w:hint="eastAsia"/>
        </w:rPr>
        <w:t>（三）爱护并合理使用垃圾容器等设施，不准拆移、损毁或者在垃圾容器内焚烧废弃物等。</w:t>
      </w:r>
    </w:p>
    <w:p w14:paraId="3C2A3BCA">
      <w:pPr>
        <w:ind w:firstLine="422"/>
      </w:pPr>
      <w:r>
        <w:rPr>
          <w:rFonts w:hint="eastAsia"/>
          <w:b/>
        </w:rPr>
        <w:t>第九条</w:t>
      </w:r>
      <w:r>
        <w:rPr>
          <w:rFonts w:hint="eastAsia"/>
        </w:rPr>
        <w:t xml:space="preserve">  单位或者个人因需要在街巷、道路两侧临时堆放渣土，必须报当地公安交通管理机关批准，并严格按照批准的地点、面积、期限堆放。渣土较多，占地面积较大的渣土堆放现场，应当由堆放渣土的单位设立明显标志，并派人管理。</w:t>
      </w:r>
    </w:p>
    <w:p w14:paraId="035F0DD5">
      <w:pPr>
        <w:ind w:firstLine="422"/>
      </w:pPr>
      <w:r>
        <w:rPr>
          <w:rFonts w:hint="eastAsia"/>
          <w:b/>
        </w:rPr>
        <w:t>第十条</w:t>
      </w:r>
      <w:r>
        <w:rPr>
          <w:rFonts w:hint="eastAsia"/>
        </w:rPr>
        <w:t xml:space="preserve">  城镇地区生活垃圾应当做到按日清理，密闭运输，并清运到指定的垃圾消纳场所，不得乱堆乱倒。</w:t>
      </w:r>
    </w:p>
    <w:p w14:paraId="14A33DF9">
      <w:r>
        <w:rPr>
          <w:rFonts w:hint="eastAsia"/>
        </w:rPr>
        <w:t>单位自行清运生活垃圾的，应当使用符合专业技术标准的运输车辆，应当按照规定标准向垃圾消纳场所交纳管理费。</w:t>
      </w:r>
    </w:p>
    <w:p w14:paraId="661E2B29">
      <w:r>
        <w:rPr>
          <w:rFonts w:hint="eastAsia"/>
        </w:rPr>
        <w:t>餐厨垃圾的收集、清运、处理，按照《北京市市容环境卫生条例》第六十四条的规定执行。</w:t>
      </w:r>
    </w:p>
    <w:p w14:paraId="73FC14D0">
      <w:pPr>
        <w:ind w:firstLine="422"/>
      </w:pPr>
      <w:r>
        <w:rPr>
          <w:rFonts w:hint="eastAsia"/>
          <w:b/>
        </w:rPr>
        <w:t>第十一条</w:t>
      </w:r>
      <w:r>
        <w:rPr>
          <w:rFonts w:hint="eastAsia"/>
        </w:rPr>
        <w:t xml:space="preserve">  单位或者个人因建设施工、拆除建筑物和房屋修缮、装修等产生的建筑垃圾、渣土等废弃物应当单独堆放或者进行综合处置，不得倒入生活垃圾收集站。</w:t>
      </w:r>
    </w:p>
    <w:p w14:paraId="1AE54AB9">
      <w:r>
        <w:rPr>
          <w:rFonts w:hint="eastAsia"/>
        </w:rPr>
        <w:t>产生建筑垃圾、渣土的建设单位应当到区、县市政管理行政部门办理渣土消纳许可证；跨区、县的工程或者市重点工程产生渣土的单位，应当到市市政管理行政部门办理渣土消纳许可证；产生房屋修缮、装修的建筑垃圾和渣土的个人，应当到区、县市政管理行政部门办理渣土消纳许可证。</w:t>
      </w:r>
    </w:p>
    <w:p w14:paraId="4B816C4E">
      <w:r>
        <w:rPr>
          <w:rFonts w:hint="eastAsia"/>
        </w:rPr>
        <w:t>产生建筑垃圾、渣土的建设单位应当持工程图纸等有关材料，向审批部门提出申请并填写渣土消纳登记表。</w:t>
      </w:r>
    </w:p>
    <w:p w14:paraId="37AFA557">
      <w:pPr>
        <w:ind w:firstLine="422"/>
      </w:pPr>
      <w:r>
        <w:rPr>
          <w:rFonts w:hint="eastAsia"/>
          <w:b/>
        </w:rPr>
        <w:t>第十二条</w:t>
      </w:r>
      <w:r>
        <w:rPr>
          <w:rFonts w:hint="eastAsia"/>
        </w:rPr>
        <w:t xml:space="preserve">  审批部门自接到申请之日起</w:t>
      </w:r>
      <w:r>
        <w:rPr>
          <w:rFonts w:hint="eastAsia" w:ascii="宋体" w:hAnsi="宋体" w:eastAsia="宋体" w:cs="宋体"/>
        </w:rPr>
        <w:t>3</w:t>
      </w:r>
      <w:r>
        <w:rPr>
          <w:rFonts w:hint="eastAsia"/>
        </w:rPr>
        <w:t>日内核发渣土消纳许可证。</w:t>
      </w:r>
    </w:p>
    <w:p w14:paraId="11E7D6A6">
      <w:r>
        <w:rPr>
          <w:rFonts w:hint="eastAsia"/>
        </w:rPr>
        <w:t>清运渣土的单位或者个人应当按照规定的标准交纳渣土消纳场所管理费。</w:t>
      </w:r>
    </w:p>
    <w:p w14:paraId="56165C72">
      <w:pPr>
        <w:ind w:firstLine="422"/>
      </w:pPr>
      <w:r>
        <w:rPr>
          <w:rFonts w:hint="eastAsia"/>
          <w:b/>
        </w:rPr>
        <w:t>第十三条</w:t>
      </w:r>
      <w:r>
        <w:rPr>
          <w:rFonts w:hint="eastAsia"/>
        </w:rPr>
        <w:t xml:space="preserve">  单位或者个人产生的建筑垃圾渣土，应当按照规定的时间、路线和要求自行清运，也可以委托环境卫生专业作业企业清运。</w:t>
      </w:r>
    </w:p>
    <w:p w14:paraId="1EE36313">
      <w:pPr>
        <w:ind w:firstLine="422"/>
      </w:pPr>
      <w:r>
        <w:rPr>
          <w:rFonts w:hint="eastAsia"/>
          <w:b/>
        </w:rPr>
        <w:t>第十四条</w:t>
      </w:r>
      <w:r>
        <w:rPr>
          <w:rFonts w:hint="eastAsia"/>
        </w:rPr>
        <w:t xml:space="preserve">  市市政管理行政部门应当按照《北京市市容环境卫生条例》的有关规定，对垃圾渣土消纳处理场所进行监督管理，并可根据实际情况需要进行调配。</w:t>
      </w:r>
    </w:p>
    <w:p w14:paraId="3F09B407">
      <w:pPr>
        <w:ind w:firstLine="422"/>
      </w:pPr>
      <w:r>
        <w:rPr>
          <w:rFonts w:hint="eastAsia"/>
          <w:b/>
        </w:rPr>
        <w:t>第十五条</w:t>
      </w:r>
      <w:r>
        <w:rPr>
          <w:rFonts w:hint="eastAsia"/>
        </w:rPr>
        <w:t xml:space="preserve">  城镇地区运输垃圾、渣土的车辆实行密闭运输。运输车辆不得车轮带泥行驶，不得沿途泄漏、遗撒。</w:t>
      </w:r>
    </w:p>
    <w:p w14:paraId="50F30C37">
      <w:pPr>
        <w:ind w:firstLine="422"/>
      </w:pPr>
      <w:r>
        <w:rPr>
          <w:rFonts w:hint="eastAsia"/>
          <w:b/>
        </w:rPr>
        <w:t>第十六条</w:t>
      </w:r>
      <w:r>
        <w:rPr>
          <w:rFonts w:hint="eastAsia"/>
        </w:rPr>
        <w:t xml:space="preserve">  工业垃圾、医疗卫生垃圾及其他易燃、易爆、剧毒、放射性等有毒、有害废弃物，应当按照国家有关规定妥善处理，不得混入生活垃圾收集站和垃圾、渣土消纳场所。</w:t>
      </w:r>
    </w:p>
    <w:p w14:paraId="6F4D8D9A">
      <w:pPr>
        <w:ind w:firstLine="422"/>
      </w:pPr>
      <w:r>
        <w:rPr>
          <w:rFonts w:hint="eastAsia"/>
          <w:b/>
        </w:rPr>
        <w:t>第十七条</w:t>
      </w:r>
      <w:r>
        <w:rPr>
          <w:rFonts w:hint="eastAsia"/>
        </w:rPr>
        <w:t xml:space="preserve">  违反本规定的，由城市管理综合执法部门责令改正，并视情节轻重给予处罚：</w:t>
      </w:r>
    </w:p>
    <w:p w14:paraId="1B844EB2">
      <w:pPr>
        <w:rPr>
          <w:rFonts w:hint="eastAsia" w:ascii="宋体" w:hAnsi="宋体" w:eastAsia="宋体" w:cs="宋体"/>
        </w:rPr>
      </w:pPr>
      <w:r>
        <w:rPr>
          <w:rFonts w:hint="eastAsia"/>
        </w:rPr>
        <w:t>（一）未按照规定及时维修、更换、清洗或者补设在道路及其他公共场所设置的垃圾容器的，责令限期改正，并可处</w:t>
      </w:r>
      <w:r>
        <w:rPr>
          <w:rFonts w:hint="eastAsia" w:ascii="宋体" w:hAnsi="宋体" w:eastAsia="宋体" w:cs="宋体"/>
        </w:rPr>
        <w:t>500元以上5000元以下罚款。</w:t>
      </w:r>
    </w:p>
    <w:p w14:paraId="0D29361B">
      <w:pPr>
        <w:rPr>
          <w:rFonts w:hint="eastAsia" w:ascii="宋体" w:hAnsi="宋体" w:eastAsia="宋体" w:cs="宋体"/>
        </w:rPr>
      </w:pPr>
      <w:r>
        <w:rPr>
          <w:rFonts w:hint="eastAsia" w:ascii="宋体" w:hAnsi="宋体" w:eastAsia="宋体" w:cs="宋体"/>
        </w:rPr>
        <w:t>（二）城镇地区内单位和个人未按照规定的时间、地点和方式倾倒生活垃圾的，责令限期改正，并对个人处20元以上200元以下罚款，对单位处500元以上3000元以下罚款，其中对单位随意倾倒或者堆放生活垃圾的，处5000元以上5万元以下罚款。</w:t>
      </w:r>
    </w:p>
    <w:p w14:paraId="4D604BB1">
      <w:pPr>
        <w:rPr>
          <w:rFonts w:hint="eastAsia" w:ascii="宋体" w:hAnsi="宋体" w:eastAsia="宋体" w:cs="宋体"/>
        </w:rPr>
      </w:pPr>
      <w:r>
        <w:rPr>
          <w:rFonts w:hint="eastAsia" w:ascii="宋体" w:hAnsi="宋体" w:eastAsia="宋体" w:cs="宋体"/>
        </w:rPr>
        <w:t>（三）城镇地区内单位和个人未按照规定清运生活垃圾的，责令限期改正，并对个人处20元以上200元以下罚款，对单位处500元以上3000元以下罚款。</w:t>
      </w:r>
    </w:p>
    <w:p w14:paraId="725C51B7">
      <w:pPr>
        <w:rPr>
          <w:rFonts w:hint="eastAsia" w:ascii="宋体" w:hAnsi="宋体" w:eastAsia="宋体" w:cs="宋体"/>
        </w:rPr>
      </w:pPr>
      <w:r>
        <w:rPr>
          <w:rFonts w:hint="eastAsia" w:ascii="宋体" w:hAnsi="宋体" w:eastAsia="宋体" w:cs="宋体"/>
        </w:rPr>
        <w:t>（四）未按照规定清运建筑垃圾、渣土的，责令限期改正，并对个人处50元以上200元以下罚款；对单位处2000元以上2万元以下罚款，其中对单位随意倾倒或者堆放建筑垃圾、渣土的，处5000元以上5万元以下罚款。</w:t>
      </w:r>
    </w:p>
    <w:p w14:paraId="529E6DF8">
      <w:pPr>
        <w:rPr>
          <w:rFonts w:hint="eastAsia" w:ascii="宋体" w:hAnsi="宋体" w:eastAsia="宋体" w:cs="宋体"/>
        </w:rPr>
      </w:pPr>
      <w:r>
        <w:rPr>
          <w:rFonts w:hint="eastAsia" w:ascii="宋体" w:hAnsi="宋体" w:eastAsia="宋体" w:cs="宋体"/>
        </w:rPr>
        <w:t>（五）建筑垃圾、渣土未单独堆放或者倒入生活垃圾收集站的，对个人处50元以上200元以下罚款，对单位处5000元以上5万元以下罚款。</w:t>
      </w:r>
    </w:p>
    <w:p w14:paraId="05A0A602">
      <w:pPr>
        <w:ind w:firstLine="422"/>
        <w:rPr>
          <w:rFonts w:hint="eastAsia" w:ascii="宋体" w:hAnsi="宋体" w:eastAsia="宋体" w:cs="宋体"/>
        </w:rPr>
      </w:pPr>
      <w:r>
        <w:rPr>
          <w:rFonts w:hint="eastAsia"/>
          <w:b/>
        </w:rPr>
        <w:t>第十八条</w:t>
      </w:r>
      <w:r>
        <w:rPr>
          <w:rFonts w:hint="eastAsia"/>
        </w:rPr>
        <w:t xml:space="preserve">  本</w:t>
      </w:r>
      <w:r>
        <w:rPr>
          <w:rFonts w:hint="eastAsia" w:ascii="宋体" w:hAnsi="宋体" w:eastAsia="宋体" w:cs="宋体"/>
        </w:rPr>
        <w:t>规定自1994年9月1日起施行。1987年10月27日京政发134号文件发布的《北京市人民政府关于加强垃圾渣土管理的规定》和1990年12月15日京政发80号文件发布的《北京市人民政府关于修改〈关于加强垃圾渣土管理的规定〉若干条款的决定》同时废止。</w:t>
      </w:r>
    </w:p>
    <w:p w14:paraId="0141267E">
      <w:pPr>
        <w:pStyle w:val="4"/>
        <w:pageBreakBefore/>
      </w:pPr>
      <w:bookmarkStart w:id="2308" w:name="_Toc428781851"/>
      <w:bookmarkStart w:id="2309" w:name="_Toc428780612"/>
      <w:bookmarkStart w:id="2310" w:name="_Toc426467103"/>
      <w:r>
        <w:rPr>
          <w:rFonts w:hint="eastAsia"/>
        </w:rPr>
        <w:t>北京市“门前三包”责任制管理办法</w:t>
      </w:r>
      <w:bookmarkEnd w:id="2308"/>
      <w:bookmarkEnd w:id="2309"/>
      <w:bookmarkEnd w:id="2310"/>
    </w:p>
    <w:p w14:paraId="66DC00E4">
      <w:pPr>
        <w:ind w:left="630" w:leftChars="300" w:right="630" w:rightChars="300"/>
        <w:jc w:val="center"/>
        <w:rPr>
          <w:rFonts w:ascii="楷体" w:hAnsi="楷体" w:eastAsia="楷体"/>
        </w:rPr>
      </w:pPr>
      <w:r>
        <w:rPr>
          <w:rFonts w:hint="eastAsia" w:ascii="楷体" w:hAnsi="楷体" w:eastAsia="楷体"/>
        </w:rPr>
        <w:t>（1999年3月18日北京市人民政府令第24号令发布）</w:t>
      </w:r>
    </w:p>
    <w:p w14:paraId="74EB857B"/>
    <w:p w14:paraId="762F3F4C">
      <w:pPr>
        <w:ind w:firstLine="422"/>
      </w:pPr>
      <w:r>
        <w:rPr>
          <w:rFonts w:hint="eastAsia"/>
          <w:b/>
        </w:rPr>
        <w:t>第一条</w:t>
      </w:r>
      <w:r>
        <w:rPr>
          <w:rFonts w:hint="eastAsia"/>
        </w:rPr>
        <w:t xml:space="preserve">  为提高城市管理水平，创造清洁、优美的城市环境和良好的社会秩序，健全和完善“门前三包”责任制，结合本市实际情况，制定本办法。</w:t>
      </w:r>
    </w:p>
    <w:p w14:paraId="5087E623">
      <w:pPr>
        <w:ind w:firstLine="422"/>
      </w:pPr>
      <w:r>
        <w:rPr>
          <w:rFonts w:hint="eastAsia"/>
          <w:b/>
        </w:rPr>
        <w:t>第二条</w:t>
      </w:r>
      <w:r>
        <w:rPr>
          <w:rFonts w:hint="eastAsia"/>
        </w:rPr>
        <w:t xml:space="preserve">  凡本市城区、近郊区和远郊区县的建制镇、开发区、风景名胜区内的机关、团体、部队、企事业单位和集贸市场、建筑施工现场、停车场、存车处的管理单位以及个体工商户（以下统称单位），均须遵守本办法。</w:t>
      </w:r>
    </w:p>
    <w:p w14:paraId="421E9C4C">
      <w:r>
        <w:rPr>
          <w:rFonts w:hint="eastAsia"/>
        </w:rPr>
        <w:t>街道办事处和乡、镇人民政府负责组织指导居民委员会、村民委员会通过制定居民公约或者村规民约等形式，动员本居住地区的居民、村民搞好住宅门前的环境卫生、绿化美化和协助维护社会秩序。</w:t>
      </w:r>
    </w:p>
    <w:p w14:paraId="53CE1A77">
      <w:r>
        <w:rPr>
          <w:rFonts w:hint="eastAsia"/>
        </w:rPr>
        <w:t>在本市居住和生活的公民，均有参加“门前三包”责任制工作，维护良好城市环境的义务。</w:t>
      </w:r>
    </w:p>
    <w:p w14:paraId="019C534E">
      <w:pPr>
        <w:ind w:firstLine="422"/>
      </w:pPr>
      <w:r>
        <w:rPr>
          <w:rFonts w:hint="eastAsia"/>
          <w:b/>
        </w:rPr>
        <w:t>第三条</w:t>
      </w:r>
      <w:r>
        <w:rPr>
          <w:rFonts w:hint="eastAsia"/>
        </w:rPr>
        <w:t xml:space="preserve">  本市“门前三包”责任制管理遵循专业管理和群众管理相结合的原则。各单位应当承担以下“门前三包”责任：</w:t>
      </w:r>
    </w:p>
    <w:p w14:paraId="592CC6E1">
      <w:r>
        <w:rPr>
          <w:rFonts w:hint="eastAsia"/>
        </w:rPr>
        <w:t>（一）包环境卫生。负责划定的责任区内环境整洁，清扫地面，清除痰迹、污物、废弃物和积水积雪，制止随地吐痰、乱扔乱倒废弃物和乱贴乱挂。</w:t>
      </w:r>
    </w:p>
    <w:p w14:paraId="3EDBC483">
      <w:r>
        <w:rPr>
          <w:rFonts w:hint="eastAsia"/>
        </w:rPr>
        <w:t>（二）包绿化。在划定的责任区内，按照园林管理部门的规划布置，种植并管护树木花草，维护绿化设施。</w:t>
      </w:r>
    </w:p>
    <w:p w14:paraId="032C515E">
      <w:r>
        <w:rPr>
          <w:rFonts w:hint="eastAsia"/>
        </w:rPr>
        <w:t>（三）包社会秩序。在划定的责任区内，不乱堆乱放杂物，不乱设摊点，不私搭乱建，不乱停车辆。发现其他单位或者个人违反规定的，或者发生打架斗殴等违反治安管理规定的，有权予以劝阻、制止，并应当向有关行政管理部门报告。</w:t>
      </w:r>
    </w:p>
    <w:p w14:paraId="0C564E6A">
      <w:pPr>
        <w:ind w:firstLine="422"/>
      </w:pPr>
      <w:r>
        <w:rPr>
          <w:rFonts w:hint="eastAsia"/>
          <w:b/>
        </w:rPr>
        <w:t>第四条</w:t>
      </w:r>
      <w:r>
        <w:rPr>
          <w:rFonts w:hint="eastAsia"/>
        </w:rPr>
        <w:t xml:space="preserve">  各单位“门前三包”责任区按照下列原则划定：</w:t>
      </w:r>
    </w:p>
    <w:p w14:paraId="7E37AB26">
      <w:r>
        <w:rPr>
          <w:rFonts w:hint="eastAsia"/>
        </w:rPr>
        <w:t>（一）各单位“门前三包”责任区，由所在地街道办事处或者乡、镇人民政府划定。其中地处城市道路两侧临街的单位，其责任区是本单位临街一侧房基线（有护拦或者围墙的，从护栏或者围墙起算）至便道道牙；无便道的，至道路中心线；无毗邻单位的，从本单位四周房基线起算（有护栏或者围墙的，从护拦或者围墙起算）。</w:t>
      </w:r>
    </w:p>
    <w:p w14:paraId="56D265F4">
      <w:r>
        <w:rPr>
          <w:rFonts w:hint="eastAsia"/>
        </w:rPr>
        <w:t>（二）各单位“门前三包”责任区内有经批准的集贸市场、停车场、存车处和零散摊位等的，由集贸市场、停车场、存车处的管理单位和零散摊位的经营者按照批准或者规定的范围，承担相应的责任。</w:t>
      </w:r>
    </w:p>
    <w:p w14:paraId="45838184">
      <w:pPr>
        <w:ind w:firstLine="422"/>
      </w:pPr>
      <w:r>
        <w:rPr>
          <w:rFonts w:hint="eastAsia"/>
          <w:b/>
        </w:rPr>
        <w:t>第五条</w:t>
      </w:r>
      <w:r>
        <w:rPr>
          <w:rFonts w:hint="eastAsia"/>
        </w:rPr>
        <w:t xml:space="preserve">  各单位按照本办法承担“门前三包”责任应当遵守下列规定：</w:t>
      </w:r>
    </w:p>
    <w:p w14:paraId="38A7A116">
      <w:r>
        <w:rPr>
          <w:rFonts w:hint="eastAsia"/>
        </w:rPr>
        <w:t>（一）接受市和区、县有关管理部门以及街道办事处和乡、镇人民政府的监督检查。</w:t>
      </w:r>
    </w:p>
    <w:p w14:paraId="5B60D498">
      <w:r>
        <w:rPr>
          <w:rFonts w:hint="eastAsia"/>
        </w:rPr>
        <w:t>（二）确定专人并配备必要的工具，负责“门前三包”责任区内的日常维护管理，做到地面无痰迹、烟头、纸屑，无散落或者悬挂的塑料袋等废弃物，无污水污物，无乱堆乱放，无乱停车辆，无私搭乱建，无乱贴乱挂，绿地内无废弃物，树木花草管护良好，树木上无拴、钉、刻、划，绿化设施保持完好。</w:t>
      </w:r>
    </w:p>
    <w:p w14:paraId="30F440A8">
      <w:pPr>
        <w:ind w:firstLine="422"/>
      </w:pPr>
      <w:r>
        <w:rPr>
          <w:rFonts w:hint="eastAsia"/>
          <w:b/>
        </w:rPr>
        <w:t>第六条</w:t>
      </w:r>
      <w:r>
        <w:rPr>
          <w:rFonts w:hint="eastAsia"/>
        </w:rPr>
        <w:t xml:space="preserve">  本市“门前三包”责任制管理工作由市市政管理委员会主管，各区、县人民政府负责组织实施。</w:t>
      </w:r>
    </w:p>
    <w:p w14:paraId="7E57724A">
      <w:r>
        <w:rPr>
          <w:rFonts w:hint="eastAsia"/>
        </w:rPr>
        <w:t>街道办事处和乡、镇人民政府具体负责“门前三包”责任制工作的落实，按照年度与辖区内各单位签订“门前三包”责任书。</w:t>
      </w:r>
    </w:p>
    <w:p w14:paraId="2177C21E">
      <w:pPr>
        <w:ind w:firstLine="422"/>
      </w:pPr>
      <w:r>
        <w:rPr>
          <w:rFonts w:hint="eastAsia"/>
          <w:b/>
        </w:rPr>
        <w:t>第七条</w:t>
      </w:r>
      <w:r>
        <w:rPr>
          <w:rFonts w:hint="eastAsia"/>
        </w:rPr>
        <w:t xml:space="preserve">  各区、县人民政府负责对街道办事处和乡、镇人民政府“门前三包”责任制落实工作的监督检查。</w:t>
      </w:r>
    </w:p>
    <w:p w14:paraId="389667B7">
      <w:r>
        <w:rPr>
          <w:rFonts w:hint="eastAsia"/>
        </w:rPr>
        <w:t>城区、近郊区城市管理监察大队对各单位违反“门前三包”责任制管理的行为进行处罚。</w:t>
      </w:r>
    </w:p>
    <w:p w14:paraId="105BECE7">
      <w:r>
        <w:rPr>
          <w:rFonts w:hint="eastAsia"/>
        </w:rPr>
        <w:t>远郊区、县人民政府应当确定有关的管理部门，对违反“门前三包”责任制管理的行为进行处罚。</w:t>
      </w:r>
    </w:p>
    <w:p w14:paraId="6DCB58C2">
      <w:r>
        <w:rPr>
          <w:rFonts w:hint="eastAsia"/>
        </w:rPr>
        <w:t>城市规划、市容环境卫生、园林、工商行政管理部门按照各自的职责，对违反城市规划、市容环境卫生、城市绿化、风景名胜区管理、工商行政管理等法律、法规和规章的行为，依法予以处罚。</w:t>
      </w:r>
    </w:p>
    <w:p w14:paraId="5CE47724">
      <w:pPr>
        <w:ind w:firstLine="422"/>
        <w:rPr>
          <w:rFonts w:hint="eastAsia" w:ascii="宋体" w:hAnsi="宋体" w:eastAsia="宋体" w:cs="宋体"/>
        </w:rPr>
      </w:pPr>
      <w:r>
        <w:rPr>
          <w:rFonts w:hint="eastAsia"/>
          <w:b/>
        </w:rPr>
        <w:t>第八条</w:t>
      </w:r>
      <w:r>
        <w:rPr>
          <w:rFonts w:hint="eastAsia"/>
        </w:rPr>
        <w:t xml:space="preserve">  对违反本办法的单位应当责令改正，并</w:t>
      </w:r>
      <w:r>
        <w:rPr>
          <w:rFonts w:hint="eastAsia" w:ascii="宋体" w:hAnsi="宋体" w:eastAsia="宋体" w:cs="宋体"/>
        </w:rPr>
        <w:t>视情节轻重，处200元以上1000元以下的罚款，并对单位负责人处20元以上50元以下的罚款。</w:t>
      </w:r>
    </w:p>
    <w:p w14:paraId="21857696">
      <w:pPr>
        <w:ind w:firstLine="422"/>
      </w:pPr>
      <w:r>
        <w:rPr>
          <w:rFonts w:hint="eastAsia"/>
          <w:b/>
        </w:rPr>
        <w:t>第九条</w:t>
      </w:r>
      <w:r>
        <w:rPr>
          <w:rFonts w:hint="eastAsia"/>
        </w:rPr>
        <w:t xml:space="preserve">  本办法执行中的具体问题，由市市政管理委员会负责解释。</w:t>
      </w:r>
    </w:p>
    <w:p w14:paraId="102E685B">
      <w:pPr>
        <w:ind w:firstLine="422"/>
      </w:pPr>
      <w:r>
        <w:rPr>
          <w:rFonts w:hint="eastAsia"/>
          <w:b/>
        </w:rPr>
        <w:t>第十条</w:t>
      </w:r>
      <w:r>
        <w:rPr>
          <w:rFonts w:hint="eastAsia"/>
        </w:rPr>
        <w:t xml:space="preserve">  本办法自</w:t>
      </w:r>
      <w:r>
        <w:rPr>
          <w:rFonts w:hint="eastAsia" w:ascii="宋体" w:hAnsi="宋体" w:eastAsia="宋体" w:cs="宋体"/>
        </w:rPr>
        <w:t>1999年4月1日起施行。1985年12月17日</w:t>
      </w:r>
      <w:r>
        <w:rPr>
          <w:rFonts w:hint="eastAsia"/>
        </w:rPr>
        <w:t>市人民政府发布的《北京市“门前三包”责任制管理办法》同时废止。</w:t>
      </w:r>
    </w:p>
    <w:p w14:paraId="1B19A5DD">
      <w:pPr>
        <w:pStyle w:val="4"/>
        <w:pageBreakBefore/>
      </w:pPr>
      <w:bookmarkStart w:id="2311" w:name="_Toc428780613"/>
      <w:bookmarkStart w:id="2312" w:name="_Toc428781852"/>
      <w:bookmarkStart w:id="2313" w:name="_Toc426467104"/>
      <w:r>
        <w:rPr>
          <w:rFonts w:hint="eastAsia"/>
        </w:rPr>
        <w:t>北京市城市建筑物外立面保持整洁管理规定</w:t>
      </w:r>
      <w:bookmarkEnd w:id="2311"/>
      <w:bookmarkEnd w:id="2312"/>
      <w:bookmarkEnd w:id="2313"/>
    </w:p>
    <w:p w14:paraId="47D99A15">
      <w:pPr>
        <w:ind w:left="630" w:leftChars="300" w:right="630" w:rightChars="300"/>
        <w:rPr>
          <w:rFonts w:ascii="楷体" w:hAnsi="楷体" w:eastAsia="楷体"/>
        </w:rPr>
      </w:pPr>
      <w:r>
        <w:rPr>
          <w:rFonts w:hint="eastAsia" w:ascii="楷体" w:hAnsi="楷体" w:eastAsia="楷体"/>
        </w:rPr>
        <w:t>（2000年5月31日北京市人民政府第56号令发布　根据2002年11月18日北京市人民政府第114号令第一次修改　根据2007年11月23日北京市人民政府第200号令第二次修改）</w:t>
      </w:r>
    </w:p>
    <w:p w14:paraId="24809A68"/>
    <w:p w14:paraId="51285F02">
      <w:pPr>
        <w:ind w:firstLine="422"/>
      </w:pPr>
      <w:r>
        <w:rPr>
          <w:rFonts w:hint="eastAsia"/>
          <w:b/>
        </w:rPr>
        <w:t>第一条</w:t>
      </w:r>
      <w:r>
        <w:rPr>
          <w:rFonts w:hint="eastAsia"/>
        </w:rPr>
        <w:t xml:space="preserve">  为了保持建筑物、构筑物外立面的整洁、美观和完好，根据《北京市市容环境卫生条例》，制定本规定。</w:t>
      </w:r>
    </w:p>
    <w:p w14:paraId="6BD11B0A">
      <w:pPr>
        <w:ind w:firstLine="422"/>
      </w:pPr>
      <w:r>
        <w:rPr>
          <w:rFonts w:hint="eastAsia"/>
          <w:b/>
        </w:rPr>
        <w:t>第二条</w:t>
      </w:r>
      <w:r>
        <w:rPr>
          <w:rFonts w:hint="eastAsia"/>
        </w:rPr>
        <w:t xml:space="preserve">  本市行政区域内城市建筑物、构筑物外立面，应当按照本规定保持整洁。</w:t>
      </w:r>
    </w:p>
    <w:p w14:paraId="0BF456AD">
      <w:pPr>
        <w:ind w:firstLine="422"/>
      </w:pPr>
      <w:r>
        <w:rPr>
          <w:rFonts w:hint="eastAsia"/>
          <w:b/>
        </w:rPr>
        <w:t>第三条</w:t>
      </w:r>
      <w:r>
        <w:rPr>
          <w:rFonts w:hint="eastAsia"/>
        </w:rPr>
        <w:t xml:space="preserve">  市市政管理委员会主管本市建筑物、构筑物外立面保持整洁工作，负责本规定的组织实施。</w:t>
      </w:r>
    </w:p>
    <w:p w14:paraId="2C6A7D99">
      <w:r>
        <w:rPr>
          <w:rFonts w:hint="eastAsia"/>
        </w:rPr>
        <w:t>区、县市政管理委员会负责管理本辖区建筑物、构筑物外立面保持整洁工作。</w:t>
      </w:r>
    </w:p>
    <w:p w14:paraId="0A601784">
      <w:r>
        <w:rPr>
          <w:rFonts w:hint="eastAsia"/>
        </w:rPr>
        <w:t>规划、建设等管理机关，应当按照各自的职责，对建筑物、构筑物外立面保持整洁工作实施监督和管理。</w:t>
      </w:r>
    </w:p>
    <w:p w14:paraId="071FBE5A">
      <w:pPr>
        <w:ind w:firstLine="422"/>
      </w:pPr>
      <w:r>
        <w:rPr>
          <w:rFonts w:hint="eastAsia"/>
          <w:b/>
        </w:rPr>
        <w:t>第四条</w:t>
      </w:r>
      <w:r>
        <w:rPr>
          <w:rFonts w:hint="eastAsia"/>
        </w:rPr>
        <w:t xml:space="preserve">  建筑物、构筑物外立面应当保持整洁，无明显污迹，无残损、脱落、严重变色等。建筑物顶部应当保持整洁，无堆物堆料，不得擅自设置设施、设备。建筑物附着物和周边可能对建筑物造成影响的构筑物，其外立面必须与建筑物的色调、造型和建筑设计风格相协调。</w:t>
      </w:r>
    </w:p>
    <w:p w14:paraId="6428D25A">
      <w:pPr>
        <w:ind w:firstLine="422"/>
      </w:pPr>
      <w:r>
        <w:rPr>
          <w:rFonts w:hint="eastAsia"/>
          <w:b/>
        </w:rPr>
        <w:t>第五条</w:t>
      </w:r>
      <w:r>
        <w:rPr>
          <w:rFonts w:hint="eastAsia"/>
        </w:rPr>
        <w:t xml:space="preserve">  本市建筑物、构筑物外立面整洁的标准，由市市政管理委员会会同市规划委员会制定并向社会公布。</w:t>
      </w:r>
    </w:p>
    <w:p w14:paraId="51FAAC85">
      <w:pPr>
        <w:ind w:firstLine="422"/>
      </w:pPr>
      <w:r>
        <w:rPr>
          <w:rFonts w:hint="eastAsia"/>
          <w:b/>
        </w:rPr>
        <w:t>第六条</w:t>
      </w:r>
      <w:r>
        <w:rPr>
          <w:rFonts w:hint="eastAsia"/>
        </w:rPr>
        <w:t xml:space="preserve">  建筑物、构筑物外立面为玻璃幕墙的，至少每年清洗一次；外立面为水刷石、干粘石和喷涂材料的，应当定期清洗并至少每五年粉饰一次；外立面为其他材质的，视材质情况定期清洗或者粉饰。</w:t>
      </w:r>
    </w:p>
    <w:p w14:paraId="1397777C">
      <w:r>
        <w:rPr>
          <w:rFonts w:hint="eastAsia"/>
        </w:rPr>
        <w:t>因施工等原因致使建筑物、构筑物外立面有明显污迹的，应当及时进行清洗、粉饰。</w:t>
      </w:r>
    </w:p>
    <w:p w14:paraId="0D9D72CC">
      <w:r>
        <w:rPr>
          <w:rFonts w:hint="eastAsia"/>
        </w:rPr>
        <w:t>建筑物、构筑物外立面残损、脱落的，应当进行修补或者重新装饰、装修。</w:t>
      </w:r>
    </w:p>
    <w:p w14:paraId="1A187486">
      <w:pPr>
        <w:ind w:firstLine="422"/>
      </w:pPr>
      <w:r>
        <w:rPr>
          <w:rFonts w:hint="eastAsia"/>
          <w:b/>
        </w:rPr>
        <w:t>第七条</w:t>
      </w:r>
      <w:r>
        <w:rPr>
          <w:rFonts w:hint="eastAsia"/>
        </w:rPr>
        <w:t xml:space="preserve">  本市遇重大庆典或者举办国际性、全国性大型活动等特殊情况需要时，应当按照市人民政府的统一要求对建筑物、构筑物外立面进行清洗、粉饰。</w:t>
      </w:r>
    </w:p>
    <w:p w14:paraId="761F1861">
      <w:pPr>
        <w:ind w:firstLine="422"/>
      </w:pPr>
      <w:r>
        <w:rPr>
          <w:rFonts w:hint="eastAsia"/>
          <w:b/>
        </w:rPr>
        <w:t>第八条</w:t>
      </w:r>
      <w:r>
        <w:rPr>
          <w:rFonts w:hint="eastAsia"/>
        </w:rPr>
        <w:t xml:space="preserve">  对建筑物、构筑物的外立面进行粉饰或者重新装饰、装修，应当保持原建筑物、构筑物的色调、造型和建筑设计风格。改变原建筑物、构筑物色调、造型或者建筑设计风格的，应当先依照城市规划管理规定申报批准后再进行。</w:t>
      </w:r>
    </w:p>
    <w:p w14:paraId="7246F44E">
      <w:pPr>
        <w:ind w:firstLine="422"/>
      </w:pPr>
      <w:r>
        <w:rPr>
          <w:rFonts w:hint="eastAsia"/>
          <w:b/>
        </w:rPr>
        <w:t>第九条</w:t>
      </w:r>
      <w:r>
        <w:rPr>
          <w:rFonts w:hint="eastAsia"/>
        </w:rPr>
        <w:t xml:space="preserve">  对建筑物、构筑物外立面进行粉饰或者重新装饰、装修时，应当使用符合国家和本市产品质量标准和环境保护要求的建筑涂料和装饰、装修材料。保证工程质量，在规定的期间内不出现严重变色、褪色和脱落现象。</w:t>
      </w:r>
    </w:p>
    <w:p w14:paraId="6D2433A3">
      <w:pPr>
        <w:ind w:firstLine="422"/>
      </w:pPr>
      <w:r>
        <w:rPr>
          <w:rFonts w:hint="eastAsia"/>
          <w:b/>
        </w:rPr>
        <w:t>第十条</w:t>
      </w:r>
      <w:r>
        <w:rPr>
          <w:rFonts w:hint="eastAsia"/>
        </w:rPr>
        <w:t xml:space="preserve">  应当承担建筑物、构筑物外立面保持整洁责任的责任人，不履行责任的，由区、县人民政府责令限期改正，逾期不改正的，委托专业企业按照规定代为粉刷、修饰，所需费用由建筑物、构筑物外立面保持整洁的责任人承担。对不支付费用的，可以依法申请人民法院执行。</w:t>
      </w:r>
    </w:p>
    <w:p w14:paraId="19A60A29">
      <w:pPr>
        <w:ind w:firstLine="422"/>
      </w:pPr>
      <w:r>
        <w:rPr>
          <w:rFonts w:hint="eastAsia"/>
          <w:b/>
        </w:rPr>
        <w:t>第十一条</w:t>
      </w:r>
      <w:r>
        <w:rPr>
          <w:rFonts w:hint="eastAsia"/>
        </w:rPr>
        <w:t xml:space="preserve">  对建筑物、构筑物外立面保持整洁负有管理责任的行政机关及其工作人员，应当认真履行职责。对玩忽职守、推诿扯皮，造成建筑物、构筑物外立面保持整洁工作不落实的，由其上级机关或者监察机关依法追究主管领导和直接责任人的行政责任。</w:t>
      </w:r>
    </w:p>
    <w:p w14:paraId="409A5B03">
      <w:pPr>
        <w:ind w:firstLine="422"/>
      </w:pPr>
      <w:r>
        <w:rPr>
          <w:rFonts w:hint="eastAsia"/>
          <w:b/>
        </w:rPr>
        <w:t>第十二条</w:t>
      </w:r>
      <w:r>
        <w:rPr>
          <w:rFonts w:hint="eastAsia"/>
        </w:rPr>
        <w:t xml:space="preserve">  本规定</w:t>
      </w:r>
      <w:r>
        <w:rPr>
          <w:rFonts w:hint="eastAsia" w:ascii="宋体" w:hAnsi="宋体" w:eastAsia="宋体" w:cs="宋体"/>
        </w:rPr>
        <w:t>自2000年8月1</w:t>
      </w:r>
      <w:r>
        <w:rPr>
          <w:rFonts w:hint="eastAsia"/>
        </w:rPr>
        <w:t>日起施行。</w:t>
      </w:r>
    </w:p>
    <w:p w14:paraId="3E0ABDE5">
      <w:r>
        <w:rPr>
          <w:rFonts w:hint="eastAsia"/>
        </w:rPr>
        <w:t>本规定实施后，依照本规定第二条确定的建筑物、构筑物，外立面达不到整洁标准的，均须进行清洗、粉饰等作业。</w:t>
      </w:r>
    </w:p>
    <w:p w14:paraId="05B8F784">
      <w:pPr>
        <w:pStyle w:val="4"/>
        <w:pageBreakBefore/>
      </w:pPr>
      <w:bookmarkStart w:id="2314" w:name="_Toc426467105"/>
      <w:bookmarkStart w:id="2315" w:name="_Toc428780614"/>
      <w:bookmarkStart w:id="2316" w:name="_Toc428781853"/>
      <w:r>
        <w:rPr>
          <w:rFonts w:hint="eastAsia"/>
        </w:rPr>
        <w:t>北京市禁止露天烧烤食品的规定</w:t>
      </w:r>
      <w:bookmarkEnd w:id="2314"/>
      <w:bookmarkEnd w:id="2315"/>
      <w:bookmarkEnd w:id="2316"/>
    </w:p>
    <w:p w14:paraId="72E4DE95">
      <w:pPr>
        <w:ind w:left="630" w:leftChars="300" w:right="630" w:rightChars="300"/>
        <w:rPr>
          <w:rFonts w:ascii="楷体" w:hAnsi="楷体" w:eastAsia="楷体"/>
        </w:rPr>
      </w:pPr>
      <w:r>
        <w:rPr>
          <w:rFonts w:hint="eastAsia" w:ascii="楷体" w:hAnsi="楷体" w:eastAsia="楷体"/>
        </w:rPr>
        <w:t>（2000年9月25日北京市人民政府第62号令发布  根据2007年11月23日北京市人民政府第200号令修改）</w:t>
      </w:r>
    </w:p>
    <w:p w14:paraId="6C0E321F"/>
    <w:p w14:paraId="2365097C">
      <w:pPr>
        <w:ind w:firstLine="422"/>
      </w:pPr>
      <w:r>
        <w:rPr>
          <w:rFonts w:hint="eastAsia"/>
          <w:b/>
        </w:rPr>
        <w:t>第一条</w:t>
      </w:r>
      <w:r>
        <w:rPr>
          <w:rFonts w:hint="eastAsia"/>
        </w:rPr>
        <w:t xml:space="preserve">  为改善首都大气环境质量，维护城市市容环境卫生，禁止在本市城区和近郊区城镇地区的街道、胡同、广场、居住小区、公共绿地等公共场所露天烧烤食品。</w:t>
      </w:r>
    </w:p>
    <w:p w14:paraId="47E4FA29">
      <w:r>
        <w:rPr>
          <w:rFonts w:hint="eastAsia"/>
        </w:rPr>
        <w:t>远郊区、县城镇地区禁止露天烧烤的具体范围，由远郊区、县人民政府划定。</w:t>
      </w:r>
    </w:p>
    <w:p w14:paraId="062781F3">
      <w:pPr>
        <w:ind w:firstLine="422"/>
      </w:pPr>
      <w:r>
        <w:rPr>
          <w:rFonts w:hint="eastAsia"/>
          <w:b/>
        </w:rPr>
        <w:t>第二条</w:t>
      </w:r>
      <w:r>
        <w:rPr>
          <w:rFonts w:hint="eastAsia"/>
        </w:rPr>
        <w:t xml:space="preserve">  对违反规定露天烧烤食品的，责令停止违法行</w:t>
      </w:r>
      <w:r>
        <w:rPr>
          <w:rFonts w:hint="eastAsia" w:ascii="宋体" w:hAnsi="宋体" w:eastAsia="宋体" w:cs="宋体"/>
        </w:rPr>
        <w:t>为，处5000元以</w:t>
      </w:r>
      <w:r>
        <w:rPr>
          <w:rFonts w:hint="eastAsia"/>
        </w:rPr>
        <w:t>下罚款；对无照经营从事露天烧烤食品的，依照《城乡个体工商户管理暂行条例》第二十二条的规定并处没收非法所得。</w:t>
      </w:r>
    </w:p>
    <w:p w14:paraId="2534050F">
      <w:r>
        <w:rPr>
          <w:rFonts w:hint="eastAsia"/>
        </w:rPr>
        <w:t>构成违反治安管理行为的，由公安机关依照《中华人民共和国治安管理处罚法》的有关规定予以处罚。</w:t>
      </w:r>
    </w:p>
    <w:p w14:paraId="13012391">
      <w:pPr>
        <w:ind w:firstLine="422"/>
      </w:pPr>
      <w:r>
        <w:rPr>
          <w:rFonts w:hint="eastAsia"/>
          <w:b/>
        </w:rPr>
        <w:t>第三条</w:t>
      </w:r>
      <w:r>
        <w:rPr>
          <w:rFonts w:hint="eastAsia"/>
        </w:rPr>
        <w:t xml:space="preserve">  “门前三包”责任单位对在责任区内进行露天烧烤食品的，应当劝阻制止并向城市管理综合执法部门报告。对“门前三包”责任单位不劝阻制止也不向城市管理综合执法部门报告的，依照《北京市“门前三包”责任制管理办法》的规定予以处罚。</w:t>
      </w:r>
    </w:p>
    <w:p w14:paraId="4CA130AF">
      <w:pPr>
        <w:ind w:firstLine="422"/>
      </w:pPr>
      <w:r>
        <w:rPr>
          <w:rFonts w:hint="eastAsia"/>
          <w:b/>
        </w:rPr>
        <w:t>第四条</w:t>
      </w:r>
      <w:r>
        <w:rPr>
          <w:rFonts w:hint="eastAsia"/>
        </w:rPr>
        <w:t xml:space="preserve">  生活消费品、生产资料市场的开办单位应当加强监督检查，制止在市场内露天烧烤食品。对开办单位不制止市场内露天烧烤食品的，由工商行政管理部门</w:t>
      </w:r>
      <w:r>
        <w:rPr>
          <w:rFonts w:hint="eastAsia" w:ascii="宋体" w:hAnsi="宋体" w:eastAsia="宋体" w:cs="宋体"/>
        </w:rPr>
        <w:t>处5000</w:t>
      </w:r>
      <w:r>
        <w:rPr>
          <w:rFonts w:hint="eastAsia"/>
        </w:rPr>
        <w:t>元以下罚款。</w:t>
      </w:r>
    </w:p>
    <w:p w14:paraId="52642362">
      <w:pPr>
        <w:ind w:firstLine="422"/>
      </w:pPr>
      <w:r>
        <w:rPr>
          <w:rFonts w:hint="eastAsia"/>
          <w:b/>
        </w:rPr>
        <w:t>第五条</w:t>
      </w:r>
      <w:r>
        <w:rPr>
          <w:rFonts w:hint="eastAsia"/>
        </w:rPr>
        <w:t xml:space="preserve">  本规定中的行政处罚除第四条外，均由城市管理综合执法部门负责实施。</w:t>
      </w:r>
    </w:p>
    <w:p w14:paraId="6926EAD7">
      <w:pPr>
        <w:ind w:firstLine="422"/>
      </w:pPr>
      <w:r>
        <w:rPr>
          <w:rFonts w:hint="eastAsia"/>
          <w:b/>
        </w:rPr>
        <w:t>第六条</w:t>
      </w:r>
      <w:r>
        <w:rPr>
          <w:rFonts w:hint="eastAsia"/>
        </w:rPr>
        <w:t xml:space="preserve">  本规定</w:t>
      </w:r>
      <w:r>
        <w:rPr>
          <w:rFonts w:hint="eastAsia" w:ascii="宋体" w:hAnsi="宋体" w:eastAsia="宋体" w:cs="宋体"/>
        </w:rPr>
        <w:t>自2000年10月1日起</w:t>
      </w:r>
      <w:r>
        <w:rPr>
          <w:rFonts w:hint="eastAsia"/>
        </w:rPr>
        <w:t>施行。</w:t>
      </w:r>
    </w:p>
    <w:p w14:paraId="73BF6D92">
      <w:pPr>
        <w:pStyle w:val="4"/>
        <w:pageBreakBefore/>
      </w:pPr>
      <w:bookmarkStart w:id="2317" w:name="_Toc428780615"/>
      <w:bookmarkStart w:id="2318" w:name="_Toc428781854"/>
      <w:bookmarkStart w:id="2319" w:name="_Toc426467106"/>
      <w:r>
        <w:rPr>
          <w:rFonts w:hint="eastAsia"/>
        </w:rPr>
        <w:t>北京市标语宣传品设置管理规定</w:t>
      </w:r>
      <w:bookmarkEnd w:id="2317"/>
      <w:bookmarkEnd w:id="2318"/>
      <w:bookmarkEnd w:id="2319"/>
    </w:p>
    <w:p w14:paraId="0215F3C6">
      <w:pPr>
        <w:ind w:left="630" w:leftChars="300" w:right="630" w:rightChars="300"/>
        <w:rPr>
          <w:rFonts w:ascii="楷体" w:hAnsi="楷体" w:eastAsia="楷体"/>
        </w:rPr>
      </w:pPr>
      <w:r>
        <w:rPr>
          <w:rFonts w:hint="eastAsia" w:ascii="楷体" w:hAnsi="楷体" w:eastAsia="楷体"/>
        </w:rPr>
        <w:t>（2005年12月30日北京市人民政府第46次常务会议审议通过  2006年1月13日北京市人民政府第166号令公布  根据2007年11月23日北京市人民政府第200号令修改）</w:t>
      </w:r>
    </w:p>
    <w:p w14:paraId="37506561"/>
    <w:p w14:paraId="68E7131D">
      <w:pPr>
        <w:ind w:firstLine="422"/>
      </w:pPr>
      <w:r>
        <w:rPr>
          <w:rFonts w:hint="eastAsia"/>
          <w:b/>
        </w:rPr>
        <w:t>第一条</w:t>
      </w:r>
      <w:r>
        <w:rPr>
          <w:rFonts w:hint="eastAsia"/>
        </w:rPr>
        <w:t xml:space="preserve">  为了加强本市标语宣传品的设置管理，维护城市容貌和城市环境的整洁、优美，根据《北京市市容环境卫生条例》，制定本规定。</w:t>
      </w:r>
    </w:p>
    <w:p w14:paraId="55D85180">
      <w:pPr>
        <w:ind w:firstLine="422"/>
      </w:pPr>
      <w:r>
        <w:rPr>
          <w:rFonts w:hint="eastAsia"/>
          <w:b/>
        </w:rPr>
        <w:t>第二条</w:t>
      </w:r>
      <w:r>
        <w:rPr>
          <w:rFonts w:hint="eastAsia"/>
        </w:rPr>
        <w:t xml:space="preserve">  凡在本市行政区域内的道路、广场、车站等公共场所和临街建筑物、构筑物上设置标语宣传品的，适用本规定。</w:t>
      </w:r>
    </w:p>
    <w:p w14:paraId="1EE8B225">
      <w:pPr>
        <w:ind w:firstLine="422"/>
      </w:pPr>
      <w:r>
        <w:rPr>
          <w:rFonts w:hint="eastAsia"/>
          <w:b/>
        </w:rPr>
        <w:t>第三条</w:t>
      </w:r>
      <w:r>
        <w:rPr>
          <w:rFonts w:hint="eastAsia"/>
        </w:rPr>
        <w:t xml:space="preserve">  市市政管理行政部门主管本市标语宣传品设置管理工作，区、县市政管理行政部门按照分工负责本行政区域内标语宣传品设置管理工作。</w:t>
      </w:r>
    </w:p>
    <w:p w14:paraId="200B6C16">
      <w:r>
        <w:rPr>
          <w:rFonts w:hint="eastAsia"/>
        </w:rPr>
        <w:t>交通、公安、规划等行政管理部门应当按照各自的职责，依法做好相应的管理工作。</w:t>
      </w:r>
    </w:p>
    <w:p w14:paraId="7757FFB5">
      <w:pPr>
        <w:ind w:firstLine="422"/>
      </w:pPr>
      <w:r>
        <w:rPr>
          <w:rFonts w:hint="eastAsia"/>
          <w:b/>
        </w:rPr>
        <w:t>第四条</w:t>
      </w:r>
      <w:r>
        <w:rPr>
          <w:rFonts w:hint="eastAsia"/>
        </w:rPr>
        <w:t xml:space="preserve">  标语宣传品不得有商业广告内容。禁止改变固定宣传设施的使用性质用于商业广告。</w:t>
      </w:r>
    </w:p>
    <w:p w14:paraId="7F93978D">
      <w:pPr>
        <w:ind w:firstLine="422"/>
      </w:pPr>
      <w:r>
        <w:rPr>
          <w:rFonts w:hint="eastAsia"/>
          <w:b/>
        </w:rPr>
        <w:t>第五条</w:t>
      </w:r>
      <w:r>
        <w:rPr>
          <w:rFonts w:hint="eastAsia"/>
        </w:rPr>
        <w:t xml:space="preserve">  固定宣传设施应当按照规划统一设置。固定宣传设施规划纳入户外广告设置规划，由市政管理行政部门会同规划、交通等行政管理部门统筹编制。</w:t>
      </w:r>
    </w:p>
    <w:p w14:paraId="71E92C7E">
      <w:r>
        <w:rPr>
          <w:rFonts w:hint="eastAsia"/>
        </w:rPr>
        <w:t>固定宣传设施包括宣传牌、灯箱、电子显示屏等。</w:t>
      </w:r>
    </w:p>
    <w:p w14:paraId="064203ED">
      <w:pPr>
        <w:ind w:firstLine="422"/>
      </w:pPr>
      <w:r>
        <w:rPr>
          <w:rFonts w:hint="eastAsia"/>
          <w:b/>
        </w:rPr>
        <w:t>第六条</w:t>
      </w:r>
      <w:r>
        <w:rPr>
          <w:rFonts w:hint="eastAsia"/>
        </w:rPr>
        <w:t xml:space="preserve">  禁止在下列地区利用交通、照明、电力、通信、邮政等公用设施设置标语宣传品，但在国家政治、外交和举办重大活动期间需要设置的，由市人民政府决定：</w:t>
      </w:r>
    </w:p>
    <w:p w14:paraId="322AF388">
      <w:bookmarkStart w:id="2320" w:name="_Toc428780616"/>
      <w:r>
        <w:rPr>
          <w:rFonts w:hint="eastAsia"/>
        </w:rPr>
        <w:t>（一）天安门广场地区；</w:t>
      </w:r>
      <w:bookmarkEnd w:id="2320"/>
    </w:p>
    <w:p w14:paraId="51B500C7">
      <w:r>
        <w:rPr>
          <w:rFonts w:hint="eastAsia"/>
        </w:rPr>
        <w:t>（二）中南海办公区周边北起文津街府右街路口、南至府右街长安街路段的沿街地区，西起文津街府右街路口、东至文津街北长街的沿街地区，北起文津街北长街路口、南至南长街长安街路段的沿街地区；</w:t>
      </w:r>
    </w:p>
    <w:p w14:paraId="7245B0B8">
      <w:r>
        <w:rPr>
          <w:rFonts w:hint="eastAsia"/>
        </w:rPr>
        <w:t>（三）长安街（即东起建国门西至复兴门路段，下同）、二环路、高速公路。</w:t>
      </w:r>
    </w:p>
    <w:p w14:paraId="76FEF4E3">
      <w:pPr>
        <w:ind w:firstLine="422"/>
      </w:pPr>
      <w:r>
        <w:rPr>
          <w:rFonts w:hint="eastAsia"/>
          <w:b/>
        </w:rPr>
        <w:t>第七条</w:t>
      </w:r>
      <w:r>
        <w:rPr>
          <w:rFonts w:hint="eastAsia"/>
        </w:rPr>
        <w:t xml:space="preserve">  设置标语宣传品，应当主要利用固定宣传设施。举办活动确有需要的，可以在活动场所及其周边地区利用气球条幅、充气式装置、宣传旗帜、展板等载体形式设置临时标语宣传品；没有活动场所的，不得设置临时标语宣传品。</w:t>
      </w:r>
    </w:p>
    <w:p w14:paraId="6D0F3897">
      <w:r>
        <w:rPr>
          <w:rFonts w:hint="eastAsia"/>
        </w:rPr>
        <w:t>设置临时标语宣传品，设置期限不超出活动期间；活动期间长于一个月的，设置期限不超出一个月。</w:t>
      </w:r>
    </w:p>
    <w:p w14:paraId="66F8EF3B">
      <w:pPr>
        <w:ind w:firstLine="422"/>
      </w:pPr>
      <w:r>
        <w:rPr>
          <w:rFonts w:hint="eastAsia"/>
          <w:b/>
        </w:rPr>
        <w:t>第八条</w:t>
      </w:r>
      <w:r>
        <w:rPr>
          <w:rFonts w:hint="eastAsia"/>
        </w:rPr>
        <w:t xml:space="preserve">  固定宣传设施的设置，依照《北京市户外广告牌技术规范》执行。</w:t>
      </w:r>
    </w:p>
    <w:p w14:paraId="05EE727D">
      <w:r>
        <w:rPr>
          <w:rFonts w:hint="eastAsia"/>
        </w:rPr>
        <w:t>临时标语宣传品的规格、材质、形式等应当符合规定的设置标准。具体设置标准由市市政管理行政部门制定并公布实施。</w:t>
      </w:r>
    </w:p>
    <w:p w14:paraId="05F1023C">
      <w:pPr>
        <w:ind w:firstLine="422"/>
      </w:pPr>
      <w:r>
        <w:rPr>
          <w:rFonts w:hint="eastAsia"/>
          <w:b/>
        </w:rPr>
        <w:t>第九条</w:t>
      </w:r>
      <w:r>
        <w:rPr>
          <w:rFonts w:hint="eastAsia"/>
        </w:rPr>
        <w:t xml:space="preserve">  设置标语宣传品，应当取得市政管理行政部门的批准。但国家政治、外交活动和国家机关宣传贯彻法律、法规活动除外。</w:t>
      </w:r>
    </w:p>
    <w:p w14:paraId="6887C3AF">
      <w:pPr>
        <w:ind w:firstLine="422"/>
      </w:pPr>
      <w:r>
        <w:rPr>
          <w:rFonts w:hint="eastAsia"/>
          <w:b/>
        </w:rPr>
        <w:t>第十条</w:t>
      </w:r>
      <w:r>
        <w:rPr>
          <w:rFonts w:hint="eastAsia"/>
        </w:rPr>
        <w:t xml:space="preserve">  设置标语宣传品，应当具备下列条件：</w:t>
      </w:r>
    </w:p>
    <w:p w14:paraId="2195CBA7">
      <w:r>
        <w:rPr>
          <w:rFonts w:hint="eastAsia"/>
        </w:rPr>
        <w:t>（一）符合规定的设置标准；</w:t>
      </w:r>
    </w:p>
    <w:p w14:paraId="554E6DFE">
      <w:r>
        <w:rPr>
          <w:rFonts w:hint="eastAsia"/>
        </w:rPr>
        <w:t>（二）与周围市容环境相协调；</w:t>
      </w:r>
    </w:p>
    <w:p w14:paraId="54549130">
      <w:r>
        <w:rPr>
          <w:rFonts w:hint="eastAsia"/>
        </w:rPr>
        <w:t>（三）内容符合法律、法规、规章规定和社会公德要求；</w:t>
      </w:r>
    </w:p>
    <w:p w14:paraId="78E8893C">
      <w:bookmarkStart w:id="2321" w:name="_Toc428780617"/>
      <w:r>
        <w:rPr>
          <w:rFonts w:hint="eastAsia"/>
        </w:rPr>
        <w:t>（四）举办的宣传活动依法应当经有关部门批准的，应当获得批准；</w:t>
      </w:r>
      <w:bookmarkEnd w:id="2321"/>
    </w:p>
    <w:p w14:paraId="3968BEA6">
      <w:r>
        <w:rPr>
          <w:rFonts w:hint="eastAsia"/>
        </w:rPr>
        <w:t>（五）法律、法规、规章规定的其他条件。</w:t>
      </w:r>
    </w:p>
    <w:p w14:paraId="485C1686">
      <w:pPr>
        <w:ind w:firstLine="422"/>
      </w:pPr>
      <w:r>
        <w:rPr>
          <w:rFonts w:hint="eastAsia"/>
          <w:b/>
        </w:rPr>
        <w:t>第十一条</w:t>
      </w:r>
      <w:r>
        <w:rPr>
          <w:rFonts w:hint="eastAsia"/>
        </w:rPr>
        <w:t xml:space="preserve">  在两个和两个以上的区、县范围内设置标语宣传品和在下列地区设置标语宣传品的，由市市政管理行政部门负责审查批准：</w:t>
      </w:r>
    </w:p>
    <w:p w14:paraId="2E4A945A">
      <w:r>
        <w:rPr>
          <w:rFonts w:hint="eastAsia"/>
        </w:rPr>
        <w:t>（一）天安门广场地区；</w:t>
      </w:r>
    </w:p>
    <w:p w14:paraId="71C827B3">
      <w:r>
        <w:rPr>
          <w:rFonts w:hint="eastAsia"/>
        </w:rPr>
        <w:t>（二）长安街、各环路、高速公路；</w:t>
      </w:r>
    </w:p>
    <w:p w14:paraId="436D8C2B">
      <w:r>
        <w:rPr>
          <w:rFonts w:hint="eastAsia"/>
        </w:rPr>
        <w:t>（三）首都机场、北京西站。</w:t>
      </w:r>
    </w:p>
    <w:p w14:paraId="5227CF04">
      <w:pPr>
        <w:rPr>
          <w:rFonts w:hint="eastAsia"/>
        </w:rPr>
      </w:pPr>
      <w:r>
        <w:rPr>
          <w:rFonts w:hint="eastAsia"/>
        </w:rPr>
        <w:t xml:space="preserve">前款规定以外的标语宣传品设置审批，由设置地的区、县市政管理行政部门负责实施。    </w:t>
      </w:r>
    </w:p>
    <w:p w14:paraId="56C35F47">
      <w:r>
        <w:rPr>
          <w:rFonts w:hint="eastAsia"/>
          <w:b/>
        </w:rPr>
        <w:t>第十二条</w:t>
      </w:r>
      <w:r>
        <w:rPr>
          <w:rFonts w:hint="eastAsia"/>
        </w:rPr>
        <w:t xml:space="preserve">  申请设置标语宣传品的，应当提交下列申请材料：</w:t>
      </w:r>
    </w:p>
    <w:p w14:paraId="5FC51D34">
      <w:r>
        <w:rPr>
          <w:rFonts w:hint="eastAsia"/>
        </w:rPr>
        <w:t>（一）《设置标语宣传品申请表》；</w:t>
      </w:r>
    </w:p>
    <w:p w14:paraId="4E58E79C">
      <w:r>
        <w:rPr>
          <w:rFonts w:hint="eastAsia"/>
        </w:rPr>
        <w:t>（二）标语宣传品的彩色效果图；</w:t>
      </w:r>
    </w:p>
    <w:p w14:paraId="4D567F86">
      <w:r>
        <w:rPr>
          <w:rFonts w:hint="eastAsia"/>
        </w:rPr>
        <w:t>（三）活动方案和经认定的宣传方案；</w:t>
      </w:r>
    </w:p>
    <w:p w14:paraId="246FB866">
      <w:r>
        <w:rPr>
          <w:rFonts w:hint="eastAsia"/>
        </w:rPr>
        <w:t>（四）符合本规定第十条第（一）、（四）、（五）项规定的证明材料。</w:t>
      </w:r>
    </w:p>
    <w:p w14:paraId="25FFC1BE">
      <w:r>
        <w:rPr>
          <w:rFonts w:hint="eastAsia"/>
        </w:rPr>
        <w:t>市政管理行政部门收到申请后，对申请材料齐全且符合规定形式的，应当即时受理；对材料不齐全或者不符合规定形式的，应当一次性告知申请人需要补正的全部内容。</w:t>
      </w:r>
    </w:p>
    <w:p w14:paraId="1A38BC4D">
      <w:pPr>
        <w:ind w:firstLine="422"/>
      </w:pPr>
      <w:r>
        <w:rPr>
          <w:rFonts w:hint="eastAsia"/>
          <w:b/>
        </w:rPr>
        <w:t>第十三条</w:t>
      </w:r>
      <w:r>
        <w:rPr>
          <w:rFonts w:hint="eastAsia"/>
        </w:rPr>
        <w:t xml:space="preserve">  市政管理行政部门应当自受理之日</w:t>
      </w:r>
      <w:r>
        <w:rPr>
          <w:rFonts w:hint="eastAsia" w:ascii="宋体" w:hAnsi="宋体" w:eastAsia="宋体" w:cs="宋体"/>
        </w:rPr>
        <w:t>起15个工作日内作出批准或者不予批准的决定。准予设置的，应当自作出批准决定之日起2个工作</w:t>
      </w:r>
      <w:r>
        <w:rPr>
          <w:rFonts w:hint="eastAsia"/>
        </w:rPr>
        <w:t>日内将决定书送达申请人；不予批准的，应当书面说明理由。</w:t>
      </w:r>
    </w:p>
    <w:p w14:paraId="6F167DEF">
      <w:r>
        <w:rPr>
          <w:rFonts w:hint="eastAsia"/>
        </w:rPr>
        <w:t>准予设置的决定，应当予以公开。</w:t>
      </w:r>
    </w:p>
    <w:p w14:paraId="277519C5">
      <w:pPr>
        <w:ind w:firstLine="422"/>
      </w:pPr>
      <w:r>
        <w:rPr>
          <w:rFonts w:hint="eastAsia"/>
          <w:b/>
        </w:rPr>
        <w:t>第十四条</w:t>
      </w:r>
      <w:r>
        <w:rPr>
          <w:rFonts w:hint="eastAsia"/>
        </w:rPr>
        <w:t>　经审查准予设置标语宣传品的，被批准人应当按照批准的范围、地点、数量、规格、内容和期限设置。</w:t>
      </w:r>
    </w:p>
    <w:p w14:paraId="591607C6">
      <w:pPr>
        <w:ind w:firstLine="422"/>
      </w:pPr>
      <w:r>
        <w:rPr>
          <w:rFonts w:hint="eastAsia"/>
          <w:b/>
        </w:rPr>
        <w:t>第十五条</w:t>
      </w:r>
      <w:r>
        <w:rPr>
          <w:rFonts w:hint="eastAsia"/>
        </w:rPr>
        <w:t>　设置宣传设施的，应当保证设施的安全、牢固和正常使用；设置标语宣传品的，应当保持标语宣传品整洁美观、无破损、无残缺。</w:t>
      </w:r>
    </w:p>
    <w:p w14:paraId="69CFC003">
      <w:r>
        <w:rPr>
          <w:rFonts w:hint="eastAsia"/>
        </w:rPr>
        <w:t>设置期限届满或者节日、活动结束后，应当及时撤除标语宣传品。</w:t>
      </w:r>
    </w:p>
    <w:p w14:paraId="76B3BFB7">
      <w:pPr>
        <w:ind w:firstLine="422"/>
      </w:pPr>
      <w:r>
        <w:rPr>
          <w:rFonts w:hint="eastAsia"/>
          <w:b/>
        </w:rPr>
        <w:t>第十六条</w:t>
      </w:r>
      <w:r>
        <w:rPr>
          <w:rFonts w:hint="eastAsia"/>
        </w:rPr>
        <w:t>　设置标语宣传品不得采取在建筑物、构筑物等处刻画、涂写、喷涂以及其他影响城市容貌和环境卫生的方式；不得影响交通、照明、电力、通信等公用设施的使用安全。</w:t>
      </w:r>
    </w:p>
    <w:p w14:paraId="70998F8F">
      <w:pPr>
        <w:ind w:firstLine="422"/>
      </w:pPr>
      <w:r>
        <w:rPr>
          <w:rFonts w:hint="eastAsia"/>
          <w:b/>
        </w:rPr>
        <w:t>第十七条</w:t>
      </w:r>
      <w:r>
        <w:rPr>
          <w:rFonts w:hint="eastAsia"/>
        </w:rPr>
        <w:t>　市政管理行政部门和城市管理综合执法部门及其工作人员应当依法履行职责，及时核实、处理检举和举报。</w:t>
      </w:r>
    </w:p>
    <w:p w14:paraId="53A16C9E">
      <w:pPr>
        <w:ind w:firstLine="422"/>
      </w:pPr>
      <w:r>
        <w:rPr>
          <w:rFonts w:hint="eastAsia"/>
          <w:b/>
        </w:rPr>
        <w:t>第十八条</w:t>
      </w:r>
      <w:r>
        <w:rPr>
          <w:rFonts w:hint="eastAsia"/>
        </w:rPr>
        <w:t>　违反本规定第四条规定，标语宣传品含有商业广告内容或者改变固定宣传设施的使用性质用于商业广告的，由城市管理综合执法部门责令改正，</w:t>
      </w:r>
      <w:r>
        <w:rPr>
          <w:rFonts w:hint="eastAsia" w:ascii="宋体" w:hAnsi="宋体" w:eastAsia="宋体" w:cs="宋体"/>
        </w:rPr>
        <w:t>处1000元以上万</w:t>
      </w:r>
      <w:r>
        <w:rPr>
          <w:rFonts w:hint="eastAsia"/>
        </w:rPr>
        <w:t>元以下罚款。</w:t>
      </w:r>
    </w:p>
    <w:p w14:paraId="0286B418">
      <w:pPr>
        <w:ind w:firstLine="422"/>
      </w:pPr>
      <w:r>
        <w:rPr>
          <w:rFonts w:hint="eastAsia"/>
          <w:b/>
        </w:rPr>
        <w:t>第十九条</w:t>
      </w:r>
      <w:r>
        <w:rPr>
          <w:rFonts w:hint="eastAsia"/>
        </w:rPr>
        <w:t>　违反本规定第九条、第十四条规定，未经批准或者不按照批准的范围、地点、数量、规格、内容和期限设置标语宣传品的，由城市管理综合执法部门责令限期改正，并可处</w:t>
      </w:r>
      <w:r>
        <w:rPr>
          <w:rFonts w:hint="eastAsia" w:ascii="宋体" w:hAnsi="宋体" w:eastAsia="宋体" w:cs="宋体"/>
        </w:rPr>
        <w:t>500元以上5000</w:t>
      </w:r>
      <w:r>
        <w:rPr>
          <w:rFonts w:hint="eastAsia"/>
        </w:rPr>
        <w:t>元以下罚款。</w:t>
      </w:r>
    </w:p>
    <w:p w14:paraId="714E1CED">
      <w:pPr>
        <w:ind w:firstLine="422"/>
      </w:pPr>
      <w:r>
        <w:rPr>
          <w:rFonts w:hint="eastAsia"/>
          <w:b/>
        </w:rPr>
        <w:t>第二十条</w:t>
      </w:r>
      <w:r>
        <w:rPr>
          <w:rFonts w:hint="eastAsia"/>
        </w:rPr>
        <w:t>　违反本规定第十五条规定，宣传设施不安全、不牢固，标语宣传品破损、残缺、不整洁美观，设置期限届满或者节日、活动结束后不及时撤除的，由城市管理综合执法部门责令限期改正，可处</w:t>
      </w:r>
      <w:r>
        <w:rPr>
          <w:rFonts w:hint="eastAsia" w:ascii="宋体" w:hAnsi="宋体" w:eastAsia="宋体" w:cs="宋体"/>
        </w:rPr>
        <w:t>100元以上1000元</w:t>
      </w:r>
      <w:r>
        <w:rPr>
          <w:rFonts w:hint="eastAsia"/>
        </w:rPr>
        <w:t>以下罚款。</w:t>
      </w:r>
    </w:p>
    <w:p w14:paraId="3993387A">
      <w:r>
        <w:rPr>
          <w:rFonts w:hint="eastAsia"/>
        </w:rPr>
        <w:t>对依法应当撤除的标语宣传品，责任人应当在城市管理综合执法部门规定的期限内撤除；逾期不撤除的，由城市管理综合执法部门委托专业企业按照规定代为撤除，所需费用由责任人承担；对不支付费用的，可以依法申请人民法院执行。</w:t>
      </w:r>
    </w:p>
    <w:p w14:paraId="4CEAB45B">
      <w:pPr>
        <w:ind w:firstLine="422"/>
      </w:pPr>
      <w:r>
        <w:rPr>
          <w:rFonts w:hint="eastAsia"/>
          <w:b/>
        </w:rPr>
        <w:t>第二十一条</w:t>
      </w:r>
      <w:r>
        <w:rPr>
          <w:rFonts w:hint="eastAsia"/>
        </w:rPr>
        <w:t>　本规定</w:t>
      </w:r>
      <w:r>
        <w:rPr>
          <w:rFonts w:hint="eastAsia" w:ascii="宋体" w:hAnsi="宋体" w:eastAsia="宋体" w:cs="宋体"/>
        </w:rPr>
        <w:t>自2006年3月1日起施行。1990年8月30日</w:t>
      </w:r>
      <w:r>
        <w:rPr>
          <w:rFonts w:hint="eastAsia"/>
        </w:rPr>
        <w:t>市人民政府发布的《北京市张挂标语张贴宣传品管理规定》同时废止。</w:t>
      </w:r>
    </w:p>
    <w:p w14:paraId="66ADB70F">
      <w:pPr>
        <w:pStyle w:val="4"/>
        <w:pageBreakBefore/>
      </w:pPr>
      <w:bookmarkStart w:id="2322" w:name="_Toc428780618"/>
      <w:bookmarkStart w:id="2323" w:name="_Toc426467107"/>
      <w:bookmarkStart w:id="2324" w:name="_Toc428781855"/>
      <w:r>
        <w:rPr>
          <w:rFonts w:hint="eastAsia"/>
        </w:rPr>
        <w:t>北京市自建设施供水管理办法</w:t>
      </w:r>
      <w:bookmarkEnd w:id="2322"/>
      <w:bookmarkEnd w:id="2323"/>
      <w:bookmarkEnd w:id="2324"/>
    </w:p>
    <w:p w14:paraId="47B9EA1A">
      <w:pPr>
        <w:ind w:left="630" w:leftChars="300" w:right="630" w:rightChars="300"/>
        <w:rPr>
          <w:rFonts w:ascii="楷体" w:hAnsi="楷体" w:eastAsia="楷体"/>
        </w:rPr>
      </w:pPr>
      <w:r>
        <w:rPr>
          <w:rFonts w:hint="eastAsia" w:ascii="楷体" w:hAnsi="楷体" w:eastAsia="楷体"/>
        </w:rPr>
        <w:t>（2006年12月26日市人民政府第58次常务会议审议通过  2007年1月15日北京市人民政府第186号令公布）</w:t>
      </w:r>
    </w:p>
    <w:p w14:paraId="389E1C46"/>
    <w:p w14:paraId="1FC21D1B">
      <w:pPr>
        <w:ind w:firstLine="422"/>
      </w:pPr>
      <w:r>
        <w:rPr>
          <w:rFonts w:hint="eastAsia"/>
          <w:b/>
        </w:rPr>
        <w:t>第一条</w:t>
      </w:r>
      <w:r>
        <w:rPr>
          <w:rFonts w:hint="eastAsia"/>
        </w:rPr>
        <w:t xml:space="preserve">  为了加强自建设施供水管理，保障供水安全，科学合理利用水资源，根据《中华人民共和国水法》等法律、法规，结合本市实际情况，制定本办法。</w:t>
      </w:r>
    </w:p>
    <w:p w14:paraId="1B99A36B">
      <w:pPr>
        <w:ind w:firstLine="422"/>
      </w:pPr>
      <w:r>
        <w:rPr>
          <w:rFonts w:hint="eastAsia"/>
          <w:b/>
        </w:rPr>
        <w:t>第二条</w:t>
      </w:r>
      <w:r>
        <w:rPr>
          <w:rFonts w:hint="eastAsia"/>
        </w:rPr>
        <w:t xml:space="preserve">  在本市行政区域内从事自建设施供水活动，应当遵守本办法。</w:t>
      </w:r>
    </w:p>
    <w:p w14:paraId="73725A91">
      <w:r>
        <w:rPr>
          <w:rFonts w:hint="eastAsia"/>
        </w:rPr>
        <w:t>本办法所称自建设施供水，是指以自行建设的地下水取水设施、供水管道及其附属设施向本单位或者附带向周边单位、城镇居民提供生活、生产用水和其他各项建设用水。</w:t>
      </w:r>
    </w:p>
    <w:p w14:paraId="11046BCF">
      <w:pPr>
        <w:ind w:firstLine="422"/>
      </w:pPr>
      <w:r>
        <w:rPr>
          <w:rFonts w:hint="eastAsia"/>
          <w:b/>
        </w:rPr>
        <w:t>第三条</w:t>
      </w:r>
      <w:r>
        <w:rPr>
          <w:rFonts w:hint="eastAsia"/>
        </w:rPr>
        <w:t xml:space="preserve">  市水行政主管部门统一监督管理本市自建设施供水工作。</w:t>
      </w:r>
    </w:p>
    <w:p w14:paraId="13C50B27">
      <w:r>
        <w:rPr>
          <w:rFonts w:hint="eastAsia"/>
        </w:rPr>
        <w:t>区、县水行政主管部门按照规定的权限，做好本行政区域内自建设施供水的监督管理工作。</w:t>
      </w:r>
    </w:p>
    <w:p w14:paraId="3F9428B8">
      <w:r>
        <w:rPr>
          <w:rFonts w:hint="eastAsia"/>
        </w:rPr>
        <w:t>卫生、环境保护、规划、建设等有关行政主管部门依照职责分工做好自建设施供水的相关工作。</w:t>
      </w:r>
    </w:p>
    <w:p w14:paraId="6C42C3DD">
      <w:pPr>
        <w:ind w:firstLine="422"/>
      </w:pPr>
      <w:r>
        <w:rPr>
          <w:rFonts w:hint="eastAsia"/>
          <w:b/>
        </w:rPr>
        <w:t>第四条</w:t>
      </w:r>
      <w:r>
        <w:rPr>
          <w:rFonts w:hint="eastAsia"/>
        </w:rPr>
        <w:t xml:space="preserve">  自建供水设施取水或者已建成的自建供水设施增加取水量的，应当按照国务院《取水许可和水资源费征收管理条例》的规定到有管辖权的水行政主管部门办理取水许可手续。</w:t>
      </w:r>
    </w:p>
    <w:p w14:paraId="40E0A15D">
      <w:r>
        <w:rPr>
          <w:rFonts w:hint="eastAsia"/>
        </w:rPr>
        <w:t>取用基岩水的自建供水设施、申报年取水量</w:t>
      </w:r>
      <w:r>
        <w:rPr>
          <w:rFonts w:hint="eastAsia" w:ascii="宋体" w:hAnsi="宋体" w:eastAsia="宋体" w:cs="宋体"/>
        </w:rPr>
        <w:t>100万</w:t>
      </w:r>
      <w:r>
        <w:rPr>
          <w:rFonts w:hint="eastAsia"/>
        </w:rPr>
        <w:t>立方米以上的自建供水设施和位于中心城区的自建供水设施，由市水行政主管部门办理取水许可手续；其他的自建供水设施，由其所在地的区、县水行政主管部门办理取水许可手续。</w:t>
      </w:r>
    </w:p>
    <w:p w14:paraId="18C64E4D">
      <w:r>
        <w:rPr>
          <w:rFonts w:hint="eastAsia"/>
        </w:rPr>
        <w:t>取水许可的实施程序按照国务院《取水许可和水资源费征收管理条例》的规定执行。</w:t>
      </w:r>
    </w:p>
    <w:p w14:paraId="7FEB1274">
      <w:pPr>
        <w:ind w:firstLine="422"/>
      </w:pPr>
      <w:r>
        <w:rPr>
          <w:rFonts w:hint="eastAsia"/>
          <w:b/>
        </w:rPr>
        <w:t>第五条</w:t>
      </w:r>
      <w:r>
        <w:rPr>
          <w:rFonts w:hint="eastAsia"/>
        </w:rPr>
        <w:t xml:space="preserve">  水行政主管部门审批自建供水设施取水许可，应当遵守以下规定：</w:t>
      </w:r>
    </w:p>
    <w:p w14:paraId="07B8DDCE">
      <w:bookmarkStart w:id="2325" w:name="_Toc428780619"/>
      <w:r>
        <w:rPr>
          <w:rFonts w:hint="eastAsia"/>
        </w:rPr>
        <w:t>（一）符合水资源综合规划、水中长期供求规划和水功能区划；</w:t>
      </w:r>
      <w:bookmarkEnd w:id="2325"/>
    </w:p>
    <w:p w14:paraId="59E52859">
      <w:r>
        <w:rPr>
          <w:rFonts w:hint="eastAsia"/>
        </w:rPr>
        <w:t>（二）符合批准的水量分配方案；</w:t>
      </w:r>
    </w:p>
    <w:p w14:paraId="7E01392C">
      <w:bookmarkStart w:id="2326" w:name="_Toc428780620"/>
      <w:r>
        <w:rPr>
          <w:rFonts w:hint="eastAsia"/>
        </w:rPr>
        <w:t>（三）不得对第三者或者社会公共利益产生重大损害；</w:t>
      </w:r>
      <w:bookmarkEnd w:id="2326"/>
    </w:p>
    <w:p w14:paraId="17040D32">
      <w:r>
        <w:rPr>
          <w:rFonts w:hint="eastAsia"/>
        </w:rPr>
        <w:t>（四）符合法律、法规、规章规定的其他条件。</w:t>
      </w:r>
    </w:p>
    <w:p w14:paraId="10BC294A">
      <w:pPr>
        <w:ind w:firstLine="422"/>
      </w:pPr>
      <w:r>
        <w:rPr>
          <w:rFonts w:hint="eastAsia"/>
          <w:b/>
        </w:rPr>
        <w:t>第六条</w:t>
      </w:r>
      <w:r>
        <w:rPr>
          <w:rFonts w:hint="eastAsia"/>
        </w:rPr>
        <w:t xml:space="preserve">  禁止在地下水严重超采区、集中供水管网覆盖范围地区新建自建供水设施。在地下水严重超采区已建成的自建供水设施，因群众生活饮用需要增加取水量的，由市水行政主管部门组织专家进行论证。</w:t>
      </w:r>
    </w:p>
    <w:p w14:paraId="5AA17694">
      <w:r>
        <w:rPr>
          <w:rFonts w:hint="eastAsia"/>
        </w:rPr>
        <w:t>严格限制在地下水超采区、水厂核心区以外的水源保护区、水工程保护区、文物保护区等特定区域新建自建供水设施或者已建成的自建供水设施增加取水量。</w:t>
      </w:r>
    </w:p>
    <w:p w14:paraId="1CB08F55">
      <w:r>
        <w:rPr>
          <w:rFonts w:hint="eastAsia"/>
        </w:rPr>
        <w:t>严格限制开采基岩水，确需开采的，应当符合水资源综合规划，并经组织专家论证。</w:t>
      </w:r>
    </w:p>
    <w:p w14:paraId="3AF9837C">
      <w:pPr>
        <w:ind w:firstLine="422"/>
      </w:pPr>
      <w:r>
        <w:rPr>
          <w:rFonts w:hint="eastAsia"/>
          <w:b/>
        </w:rPr>
        <w:t>第七条</w:t>
      </w:r>
      <w:r>
        <w:rPr>
          <w:rFonts w:hint="eastAsia"/>
        </w:rPr>
        <w:t xml:space="preserve">  自建设施供水开凿水源井，应当向受理该项目取水许可的水行政主管部门申请凿井许可，审批机关应当自受理凿井许可申请之日起</w:t>
      </w:r>
      <w:r>
        <w:rPr>
          <w:rFonts w:hint="eastAsia" w:ascii="宋体" w:hAnsi="宋体" w:eastAsia="宋体" w:cs="宋体"/>
        </w:rPr>
        <w:t>20日</w:t>
      </w:r>
      <w:r>
        <w:rPr>
          <w:rFonts w:hint="eastAsia"/>
        </w:rPr>
        <w:t>内做出批准或者不予批准的决定。</w:t>
      </w:r>
    </w:p>
    <w:p w14:paraId="36898CDC">
      <w:pPr>
        <w:ind w:firstLine="422"/>
      </w:pPr>
      <w:r>
        <w:rPr>
          <w:rFonts w:hint="eastAsia"/>
          <w:b/>
        </w:rPr>
        <w:t>第八条</w:t>
      </w:r>
      <w:r>
        <w:rPr>
          <w:rFonts w:hint="eastAsia"/>
        </w:rPr>
        <w:t xml:space="preserve">  自建设施供水工程竣工后，应当将自建设施供水工程的有关技术资料报原批准的水行政主管部门备案。</w:t>
      </w:r>
    </w:p>
    <w:p w14:paraId="58E524C5">
      <w:pPr>
        <w:ind w:firstLine="422"/>
      </w:pPr>
      <w:r>
        <w:rPr>
          <w:rFonts w:hint="eastAsia"/>
          <w:b/>
        </w:rPr>
        <w:t>第九条</w:t>
      </w:r>
      <w:r>
        <w:rPr>
          <w:rFonts w:hint="eastAsia"/>
        </w:rPr>
        <w:t xml:space="preserve">  农业灌溉、农村集体经济组织及其成员生活用井整体或者部分改为自建设施供水水源井的，所有权人、管理人或者使用人应当到水行政主管部门办理变更手续，申请取水许可和用水指标，经批准后分类计量并按照自建供水设施进行管理。</w:t>
      </w:r>
    </w:p>
    <w:p w14:paraId="0EA8612A">
      <w:pPr>
        <w:ind w:firstLine="422"/>
      </w:pPr>
      <w:r>
        <w:rPr>
          <w:rFonts w:hint="eastAsia"/>
          <w:b/>
        </w:rPr>
        <w:t>第十条</w:t>
      </w:r>
      <w:r>
        <w:rPr>
          <w:rFonts w:hint="eastAsia"/>
        </w:rPr>
        <w:t xml:space="preserve">  提供生活饮用水的自建设施供水单位，应当严格遵守国家和本市关于生活饮用水卫生管理的规定，并依法取得卫生行政主管部门颁发的卫生许可证。</w:t>
      </w:r>
    </w:p>
    <w:p w14:paraId="7F6BFB56">
      <w:pPr>
        <w:ind w:firstLine="422"/>
      </w:pPr>
      <w:r>
        <w:rPr>
          <w:rFonts w:hint="eastAsia"/>
          <w:b/>
        </w:rPr>
        <w:t>第十一条</w:t>
      </w:r>
      <w:r>
        <w:rPr>
          <w:rFonts w:hint="eastAsia"/>
        </w:rPr>
        <w:t xml:space="preserve">  提供生活饮用水的自建设施供水单位必须遵守下列规定：</w:t>
      </w:r>
    </w:p>
    <w:p w14:paraId="7374A203">
      <w:r>
        <w:rPr>
          <w:rFonts w:hint="eastAsia"/>
        </w:rPr>
        <w:t>（一）配备供水管理人员，建立管理制度，定期检查、维护自建供水设施，及时排除供水设施故障，保证以正常水压不间断供水；</w:t>
      </w:r>
    </w:p>
    <w:p w14:paraId="587C0EF8">
      <w:bookmarkStart w:id="2327" w:name="_Toc428780621"/>
      <w:r>
        <w:rPr>
          <w:rFonts w:hint="eastAsia"/>
        </w:rPr>
        <w:t>（二）有水质消毒设备，保证饮用水符合国家卫生标准；</w:t>
      </w:r>
      <w:bookmarkEnd w:id="2327"/>
    </w:p>
    <w:p w14:paraId="33643F55">
      <w:r>
        <w:rPr>
          <w:rFonts w:hint="eastAsia"/>
        </w:rPr>
        <w:t>（三）有细菌总数、大肠杆菌群、嗅味、浑浊度的水质检测能力，建立对水源水、管网水、末梢水的水质检测制度，按时向卫生行政主管部门报送检测结果；</w:t>
      </w:r>
    </w:p>
    <w:p w14:paraId="2CC658A5">
      <w:bookmarkStart w:id="2328" w:name="_Toc428780622"/>
      <w:r>
        <w:rPr>
          <w:rFonts w:hint="eastAsia"/>
        </w:rPr>
        <w:t>（四）依照国家和本市规定的计量和水价标准计量、收费；</w:t>
      </w:r>
      <w:bookmarkEnd w:id="2328"/>
    </w:p>
    <w:p w14:paraId="0A895673">
      <w:r>
        <w:rPr>
          <w:rFonts w:hint="eastAsia"/>
        </w:rPr>
        <w:t>（五）接受水行政主管部门和卫生、质量技术监督、价格等有关行政主管部门的监督检查。</w:t>
      </w:r>
    </w:p>
    <w:p w14:paraId="7ED82D03">
      <w:pPr>
        <w:ind w:firstLine="422"/>
      </w:pPr>
      <w:r>
        <w:rPr>
          <w:rFonts w:hint="eastAsia"/>
          <w:b/>
        </w:rPr>
        <w:t>第十二条</w:t>
      </w:r>
      <w:r>
        <w:rPr>
          <w:rFonts w:hint="eastAsia"/>
        </w:rPr>
        <w:t xml:space="preserve">  卫生行政主管部门应当对自建设施供生活饮用的水源水、管网水、末梢水进行定期检测，并将有关检测结果与水行政主管部门共享。</w:t>
      </w:r>
    </w:p>
    <w:p w14:paraId="52E7E0B3">
      <w:pPr>
        <w:ind w:firstLine="422"/>
      </w:pPr>
      <w:r>
        <w:rPr>
          <w:rFonts w:hint="eastAsia"/>
          <w:b/>
        </w:rPr>
        <w:t>第十三条</w:t>
      </w:r>
      <w:r>
        <w:rPr>
          <w:rFonts w:hint="eastAsia"/>
        </w:rPr>
        <w:t xml:space="preserve">  提供生活饮用水的自建设施供水单位应当制定安全供水应急预案。由于工程施工、设备维修等原因确需停止供水的，应当提前</w:t>
      </w:r>
      <w:r>
        <w:rPr>
          <w:rFonts w:hint="eastAsia" w:ascii="宋体" w:hAnsi="宋体" w:eastAsia="宋体" w:cs="宋体"/>
        </w:rPr>
        <w:t>24小</w:t>
      </w:r>
      <w:r>
        <w:rPr>
          <w:rFonts w:hint="eastAsia"/>
        </w:rPr>
        <w:t>时通知用水单位和个人；因紧急情况不能提前通知的，应当采取措施向用水单位和个人发出停水通告，并及时报告水行政主管部门。</w:t>
      </w:r>
    </w:p>
    <w:p w14:paraId="597CF5F0">
      <w:r>
        <w:rPr>
          <w:rFonts w:hint="eastAsia"/>
        </w:rPr>
        <w:t>停止供水</w:t>
      </w:r>
      <w:r>
        <w:rPr>
          <w:rFonts w:hint="eastAsia" w:ascii="宋体" w:hAnsi="宋体" w:eastAsia="宋体" w:cs="宋体"/>
        </w:rPr>
        <w:t>24</w:t>
      </w:r>
      <w:r>
        <w:rPr>
          <w:rFonts w:hint="eastAsia"/>
        </w:rPr>
        <w:t>小时内不能恢复供水的，自建设施供水单位应当采取临时供水措施。</w:t>
      </w:r>
    </w:p>
    <w:p w14:paraId="25BA635F">
      <w:pPr>
        <w:ind w:firstLine="422"/>
      </w:pPr>
      <w:r>
        <w:rPr>
          <w:rFonts w:hint="eastAsia"/>
          <w:b/>
        </w:rPr>
        <w:t>第十四条</w:t>
      </w:r>
      <w:r>
        <w:rPr>
          <w:rFonts w:hint="eastAsia"/>
        </w:rPr>
        <w:t xml:space="preserve">  供生活饮用的自建设施供水浅层水水源井周围半径</w:t>
      </w:r>
      <w:r>
        <w:rPr>
          <w:rFonts w:hint="eastAsia" w:ascii="宋体" w:hAnsi="宋体" w:eastAsia="宋体" w:cs="宋体"/>
        </w:rPr>
        <w:t>50</w:t>
      </w:r>
      <w:r>
        <w:rPr>
          <w:rFonts w:hint="eastAsia"/>
        </w:rPr>
        <w:t>米范围内和承压水水源井半径</w:t>
      </w:r>
      <w:r>
        <w:rPr>
          <w:rFonts w:hint="eastAsia" w:ascii="宋体" w:hAnsi="宋体" w:eastAsia="宋体" w:cs="宋体"/>
        </w:rPr>
        <w:t>30</w:t>
      </w:r>
      <w:r>
        <w:rPr>
          <w:rFonts w:hint="eastAsia"/>
        </w:rPr>
        <w:t>米范围内禁止下列行为：</w:t>
      </w:r>
    </w:p>
    <w:p w14:paraId="1E8A0C18">
      <w:bookmarkStart w:id="2329" w:name="_Toc428780623"/>
      <w:r>
        <w:rPr>
          <w:rFonts w:hint="eastAsia"/>
        </w:rPr>
        <w:t>（一）新建、改建、扩建除取水构筑物以外的建筑项目；</w:t>
      </w:r>
      <w:bookmarkEnd w:id="2329"/>
    </w:p>
    <w:p w14:paraId="65B97355">
      <w:r>
        <w:rPr>
          <w:rFonts w:hint="eastAsia"/>
        </w:rPr>
        <w:t>（二）堆放垃圾等废弃物；</w:t>
      </w:r>
    </w:p>
    <w:p w14:paraId="7EEEE645">
      <w:bookmarkStart w:id="2330" w:name="_Toc428780624"/>
      <w:r>
        <w:rPr>
          <w:rFonts w:hint="eastAsia"/>
        </w:rPr>
        <w:t>（三）挖砂，取土，挖设渗坑、渗井，铺设污水渠道、管道；</w:t>
      </w:r>
      <w:bookmarkEnd w:id="2330"/>
    </w:p>
    <w:p w14:paraId="11B74918">
      <w:r>
        <w:rPr>
          <w:rFonts w:hint="eastAsia"/>
        </w:rPr>
        <w:t>（四）其他污染地下水源的行为。</w:t>
      </w:r>
    </w:p>
    <w:p w14:paraId="0B39D2F9">
      <w:pPr>
        <w:ind w:firstLine="422"/>
      </w:pPr>
      <w:r>
        <w:rPr>
          <w:rFonts w:hint="eastAsia"/>
          <w:b/>
        </w:rPr>
        <w:t>第十五条</w:t>
      </w:r>
      <w:r>
        <w:rPr>
          <w:rFonts w:hint="eastAsia"/>
        </w:rPr>
        <w:t xml:space="preserve">  在集中供水管网覆盖地区内的自建设施供水，按照全市供水规划逐步由公共供水替代。</w:t>
      </w:r>
    </w:p>
    <w:p w14:paraId="2CD2A695">
      <w:r>
        <w:rPr>
          <w:rFonts w:hint="eastAsia"/>
        </w:rPr>
        <w:t>由公共供水替代的原自建设施供水水源井由市水行政主管部门统一管理，合理利用。</w:t>
      </w:r>
    </w:p>
    <w:p w14:paraId="0BEEF9F2">
      <w:pPr>
        <w:ind w:firstLine="422"/>
      </w:pPr>
      <w:r>
        <w:rPr>
          <w:rFonts w:hint="eastAsia"/>
          <w:b/>
        </w:rPr>
        <w:t>第十六条</w:t>
      </w:r>
      <w:r>
        <w:rPr>
          <w:rFonts w:hint="eastAsia"/>
        </w:rPr>
        <w:t xml:space="preserve">  自建设施供水单位应当按月向有管辖权的水行政主管部门报送用水量，按照规定缴纳水资源费。</w:t>
      </w:r>
    </w:p>
    <w:p w14:paraId="31919CC5">
      <w:r>
        <w:rPr>
          <w:rFonts w:hint="eastAsia"/>
        </w:rPr>
        <w:t>用水单位和个人应当按照规定缴纳水费。</w:t>
      </w:r>
    </w:p>
    <w:p w14:paraId="48A07C7D">
      <w:pPr>
        <w:ind w:firstLine="422"/>
      </w:pPr>
      <w:r>
        <w:rPr>
          <w:rFonts w:hint="eastAsia"/>
          <w:b/>
        </w:rPr>
        <w:t>第十七条</w:t>
      </w:r>
      <w:r>
        <w:rPr>
          <w:rFonts w:hint="eastAsia"/>
        </w:rPr>
        <w:t xml:space="preserve">  自建设施供水水源井报废的，水源井的所有权人、管理人或者使用人应当向原审批的水行政主管部门备案，并按照国家和本市有关规定对水源井采取相应的保护措施，防止地下水污染。</w:t>
      </w:r>
    </w:p>
    <w:p w14:paraId="0AD90133">
      <w:pPr>
        <w:ind w:firstLine="422"/>
      </w:pPr>
      <w:r>
        <w:rPr>
          <w:rFonts w:hint="eastAsia"/>
          <w:b/>
        </w:rPr>
        <w:t>第十八条</w:t>
      </w:r>
      <w:r>
        <w:rPr>
          <w:rFonts w:hint="eastAsia"/>
        </w:rPr>
        <w:t xml:space="preserve">  自建设施供水单位发生变更的，自建供水设施的所有权人、管理人或者使用人应当到原审批的水行政主管部门办理变更手续。</w:t>
      </w:r>
    </w:p>
    <w:p w14:paraId="2ABC8640">
      <w:pPr>
        <w:ind w:firstLine="422"/>
      </w:pPr>
      <w:r>
        <w:rPr>
          <w:rFonts w:hint="eastAsia"/>
          <w:b/>
        </w:rPr>
        <w:t>第十九条</w:t>
      </w:r>
      <w:r>
        <w:rPr>
          <w:rFonts w:hint="eastAsia"/>
        </w:rPr>
        <w:t xml:space="preserve">  违反本办法，有下列行为之一的，按照《北京市实施〈中华人民共和国水法〉办法》的规定予以处罚：</w:t>
      </w:r>
    </w:p>
    <w:p w14:paraId="660500B3">
      <w:bookmarkStart w:id="2331" w:name="_Toc428780625"/>
      <w:r>
        <w:rPr>
          <w:rFonts w:hint="eastAsia"/>
        </w:rPr>
        <w:t>（一）未取得取水许可证或者不按照取水许可规定的条件取水的；</w:t>
      </w:r>
      <w:bookmarkEnd w:id="2331"/>
    </w:p>
    <w:p w14:paraId="161B12A3">
      <w:r>
        <w:rPr>
          <w:rFonts w:hint="eastAsia"/>
        </w:rPr>
        <w:t>（二）未经许可或者不按照许可的要求开凿自建设施供水水源井的；</w:t>
      </w:r>
    </w:p>
    <w:p w14:paraId="1FD935D7">
      <w:r>
        <w:rPr>
          <w:rFonts w:hint="eastAsia"/>
        </w:rPr>
        <w:t>（三）农业灌溉、农村集体经济组织及其成员生活用井未经许可整体或者部分改为自建设施供水水源井的。</w:t>
      </w:r>
    </w:p>
    <w:p w14:paraId="5C6EE6C0">
      <w:pPr>
        <w:ind w:firstLine="422"/>
      </w:pPr>
      <w:r>
        <w:rPr>
          <w:rFonts w:hint="eastAsia"/>
          <w:b/>
        </w:rPr>
        <w:t>第二十条</w:t>
      </w:r>
      <w:r>
        <w:rPr>
          <w:rFonts w:hint="eastAsia"/>
        </w:rPr>
        <w:t xml:space="preserve">  违反本办法，向周边单位、居民供水的自建设施供水单位有下列行为之一的，责令限期改正，并可</w:t>
      </w:r>
      <w:r>
        <w:rPr>
          <w:rFonts w:hint="eastAsia" w:ascii="宋体" w:hAnsi="宋体" w:eastAsia="宋体" w:cs="宋体"/>
        </w:rPr>
        <w:t>处1000元以上5000元以下</w:t>
      </w:r>
      <w:r>
        <w:rPr>
          <w:rFonts w:hint="eastAsia"/>
        </w:rPr>
        <w:t>的罚款：</w:t>
      </w:r>
    </w:p>
    <w:p w14:paraId="20F34916">
      <w:r>
        <w:rPr>
          <w:rFonts w:hint="eastAsia"/>
        </w:rPr>
        <w:t>（一）供水水压不符合国家规定标准的；</w:t>
      </w:r>
    </w:p>
    <w:p w14:paraId="6E6EE93E">
      <w:r>
        <w:rPr>
          <w:rFonts w:hint="eastAsia"/>
        </w:rPr>
        <w:t>（二）擅自停止供水或者未履行停水通知义务的；</w:t>
      </w:r>
    </w:p>
    <w:p w14:paraId="2E205D55">
      <w:r>
        <w:rPr>
          <w:rFonts w:hint="eastAsia"/>
        </w:rPr>
        <w:t>（三）未按照规定检查、维护自建供水设施，未及时排除供水设施故障的。</w:t>
      </w:r>
    </w:p>
    <w:p w14:paraId="3B1B8551">
      <w:pPr>
        <w:ind w:firstLine="422"/>
      </w:pPr>
      <w:r>
        <w:rPr>
          <w:rFonts w:hint="eastAsia"/>
          <w:b/>
        </w:rPr>
        <w:t>第二十一条</w:t>
      </w:r>
      <w:r>
        <w:rPr>
          <w:rFonts w:hint="eastAsia"/>
        </w:rPr>
        <w:t xml:space="preserve">  单位或者个人未经自建设施供水单位同意擅自拆除、改装、迁移或者毁坏向周边单位、居民供水的自建供水设施的，应当承担相应的民事责任，并可处</w:t>
      </w:r>
      <w:r>
        <w:rPr>
          <w:rFonts w:hint="eastAsia" w:ascii="宋体" w:hAnsi="宋体" w:eastAsia="宋体" w:cs="宋体"/>
        </w:rPr>
        <w:t>1000</w:t>
      </w:r>
      <w:r>
        <w:rPr>
          <w:rFonts w:hint="eastAsia"/>
        </w:rPr>
        <w:t>元以上5000元以下的罚款。</w:t>
      </w:r>
    </w:p>
    <w:p w14:paraId="77D4A49C">
      <w:pPr>
        <w:ind w:firstLine="422"/>
      </w:pPr>
      <w:r>
        <w:rPr>
          <w:rFonts w:hint="eastAsia"/>
          <w:b/>
        </w:rPr>
        <w:t>第二十二条</w:t>
      </w:r>
      <w:r>
        <w:rPr>
          <w:rFonts w:hint="eastAsia"/>
        </w:rPr>
        <w:t xml:space="preserve">  违反本办法，按照卫生、环境保护、规划等有关法律、法规、规章应当予以行政处罚的，由有关行政主管部门依法执行。</w:t>
      </w:r>
    </w:p>
    <w:p w14:paraId="5AA647A8">
      <w:pPr>
        <w:ind w:firstLine="422"/>
      </w:pPr>
      <w:r>
        <w:rPr>
          <w:rFonts w:hint="eastAsia"/>
          <w:b/>
        </w:rPr>
        <w:t>第二十三条</w:t>
      </w:r>
      <w:r>
        <w:rPr>
          <w:rFonts w:hint="eastAsia"/>
        </w:rPr>
        <w:t xml:space="preserve">  本办法第十九条、第二十条、第二十一条规定的行政处罚，由水行政主管部门和城市管理综合执法组织按照各自的职责实施。</w:t>
      </w:r>
    </w:p>
    <w:p w14:paraId="238A738C">
      <w:pPr>
        <w:ind w:firstLine="422"/>
      </w:pPr>
      <w:r>
        <w:rPr>
          <w:rFonts w:hint="eastAsia"/>
          <w:b/>
        </w:rPr>
        <w:t>第二十四条</w:t>
      </w:r>
      <w:r>
        <w:rPr>
          <w:rFonts w:hint="eastAsia"/>
        </w:rPr>
        <w:t xml:space="preserve">  本办法</w:t>
      </w:r>
      <w:r>
        <w:rPr>
          <w:rFonts w:hint="eastAsia" w:ascii="宋体" w:hAnsi="宋体" w:eastAsia="宋体" w:cs="宋体"/>
        </w:rPr>
        <w:t>自2007年3月1日起</w:t>
      </w:r>
      <w:r>
        <w:rPr>
          <w:rFonts w:hint="eastAsia"/>
        </w:rPr>
        <w:t>施行。</w:t>
      </w:r>
    </w:p>
    <w:p w14:paraId="5307C2D0">
      <w:pPr>
        <w:pStyle w:val="4"/>
        <w:pageBreakBefore/>
      </w:pPr>
      <w:bookmarkStart w:id="2332" w:name="_Toc426467108"/>
      <w:bookmarkStart w:id="2333" w:name="_Toc428781856"/>
      <w:bookmarkStart w:id="2334" w:name="_Toc428780626"/>
      <w:r>
        <w:rPr>
          <w:rFonts w:hint="eastAsia"/>
        </w:rPr>
        <w:t>北京市实施城市管理相对集中</w:t>
      </w:r>
      <w:bookmarkEnd w:id="2332"/>
      <w:bookmarkEnd w:id="2333"/>
      <w:bookmarkEnd w:id="2334"/>
    </w:p>
    <w:p w14:paraId="2F56B555">
      <w:pPr>
        <w:pStyle w:val="4"/>
      </w:pPr>
      <w:bookmarkStart w:id="2335" w:name="_Toc428780627"/>
      <w:bookmarkStart w:id="2336" w:name="_Toc428781857"/>
      <w:bookmarkStart w:id="2337" w:name="_Toc426467109"/>
      <w:r>
        <w:rPr>
          <w:rFonts w:hint="eastAsia"/>
        </w:rPr>
        <w:t>行政处罚权办法</w:t>
      </w:r>
      <w:bookmarkEnd w:id="2335"/>
      <w:bookmarkEnd w:id="2336"/>
      <w:bookmarkEnd w:id="2337"/>
    </w:p>
    <w:p w14:paraId="7B8B9CD1">
      <w:pPr>
        <w:ind w:left="630" w:leftChars="300" w:right="630" w:rightChars="300"/>
        <w:rPr>
          <w:rFonts w:ascii="楷体" w:hAnsi="楷体" w:eastAsia="楷体"/>
        </w:rPr>
      </w:pPr>
      <w:r>
        <w:rPr>
          <w:rFonts w:hint="eastAsia" w:ascii="楷体" w:hAnsi="楷体" w:eastAsia="楷体"/>
        </w:rPr>
        <w:t>（2007年11月13日市人民政府第75次常务会议审议通过　2007年11月18日北京市人民政府第197号令公布）</w:t>
      </w:r>
    </w:p>
    <w:p w14:paraId="06929045"/>
    <w:p w14:paraId="2633DF05">
      <w:pPr>
        <w:ind w:firstLine="422"/>
      </w:pPr>
      <w:r>
        <w:rPr>
          <w:rFonts w:hint="eastAsia"/>
          <w:b/>
        </w:rPr>
        <w:t>第一条</w:t>
      </w:r>
      <w:r>
        <w:rPr>
          <w:rFonts w:hint="eastAsia"/>
        </w:rPr>
        <w:t xml:space="preserve">  为实施城市管理相对集中行政处罚权，加强城市管理，提高行政执法水平和执法效能，促进依法行政，维护公民、法人和其他组织的合法权益，根据《中华人民共和国行政处罚法》和国家有关规定，结合本市实际，制定本办法。</w:t>
      </w:r>
    </w:p>
    <w:p w14:paraId="2A96A94F">
      <w:pPr>
        <w:ind w:firstLine="422"/>
      </w:pPr>
      <w:r>
        <w:rPr>
          <w:rFonts w:hint="eastAsia"/>
          <w:b/>
        </w:rPr>
        <w:t>第二条</w:t>
      </w:r>
      <w:r>
        <w:rPr>
          <w:rFonts w:hint="eastAsia"/>
        </w:rPr>
        <w:t xml:space="preserve">  本市行政区域内实施城市管理相对集中行政处罚权（以下简称相对集中处罚权），适用本办法。</w:t>
      </w:r>
    </w:p>
    <w:p w14:paraId="15E8D913">
      <w:pPr>
        <w:ind w:firstLine="422"/>
      </w:pPr>
      <w:r>
        <w:rPr>
          <w:rFonts w:hint="eastAsia"/>
          <w:b/>
        </w:rPr>
        <w:t>第三条</w:t>
      </w:r>
      <w:r>
        <w:rPr>
          <w:rFonts w:hint="eastAsia"/>
        </w:rPr>
        <w:t xml:space="preserve">  市和区、县人民政府应当加强相对集中处罚权实施工作的领导、组织、协调和监督。</w:t>
      </w:r>
    </w:p>
    <w:p w14:paraId="16B2E0AC">
      <w:r>
        <w:rPr>
          <w:rFonts w:hint="eastAsia"/>
        </w:rPr>
        <w:t>城市管理综合行政执法机关（以下简称城管执法机关）是本级人民政府领导的行使相对集中处罚权的行政机关。市城管执法机关负责对本市相对集中处罚权行政执法工作进行组织指导、指挥调度、统筹协调和督促检查，并根据职责权限行使相对集中处罚权。区、县城管执法机关负责本辖区相对集中处罚权行政执法工作。</w:t>
      </w:r>
    </w:p>
    <w:p w14:paraId="79C622FA">
      <w:pPr>
        <w:ind w:firstLine="422"/>
      </w:pPr>
      <w:r>
        <w:rPr>
          <w:rFonts w:hint="eastAsia"/>
          <w:b/>
        </w:rPr>
        <w:t>第四条</w:t>
      </w:r>
      <w:r>
        <w:rPr>
          <w:rFonts w:hint="eastAsia"/>
        </w:rPr>
        <w:t xml:space="preserve">  相对集中处罚权的行使，应当遵循合法、公正、公开的原则，坚持行政执法和管理服务相结合、处罚与教育相结合，推行行政指导，引导公众参与并自觉接受社会监督。</w:t>
      </w:r>
    </w:p>
    <w:p w14:paraId="12CF1E0C">
      <w:pPr>
        <w:ind w:firstLine="422"/>
      </w:pPr>
      <w:r>
        <w:rPr>
          <w:rFonts w:hint="eastAsia"/>
          <w:b/>
        </w:rPr>
        <w:t>第五条</w:t>
      </w:r>
      <w:r>
        <w:rPr>
          <w:rFonts w:hint="eastAsia"/>
        </w:rPr>
        <w:t xml:space="preserve">  城管执法机关根据国务院和市人民政府关于相对集中处罚权的决定，行使法律、法规、规章规定的以下行政处罚权（以下简称处罚权）：</w:t>
      </w:r>
    </w:p>
    <w:p w14:paraId="3A1A2AC1">
      <w:r>
        <w:rPr>
          <w:rFonts w:hint="eastAsia"/>
        </w:rPr>
        <w:t>（一）市容环境卫生管理方面的处罚权；</w:t>
      </w:r>
    </w:p>
    <w:p w14:paraId="110CE7D2">
      <w:r>
        <w:rPr>
          <w:rFonts w:hint="eastAsia"/>
        </w:rPr>
        <w:t>（二）市政管理方面的处罚权；</w:t>
      </w:r>
    </w:p>
    <w:p w14:paraId="0D5A6CAC">
      <w:r>
        <w:rPr>
          <w:rFonts w:hint="eastAsia"/>
        </w:rPr>
        <w:t>（三）公用事业管理方面的处罚权；</w:t>
      </w:r>
    </w:p>
    <w:p w14:paraId="6D3F370F">
      <w:r>
        <w:rPr>
          <w:rFonts w:hint="eastAsia"/>
        </w:rPr>
        <w:t>（四）城市节水管理方面的处罚权；</w:t>
      </w:r>
    </w:p>
    <w:p w14:paraId="4DE50DB6">
      <w:r>
        <w:rPr>
          <w:rFonts w:hint="eastAsia"/>
        </w:rPr>
        <w:t>（五）园林绿化管理方面的有关处罚权；</w:t>
      </w:r>
    </w:p>
    <w:p w14:paraId="0B5A20FD">
      <w:r>
        <w:rPr>
          <w:rFonts w:hint="eastAsia"/>
        </w:rPr>
        <w:t>（六）环境保护管理方面的有关处罚权；</w:t>
      </w:r>
    </w:p>
    <w:p w14:paraId="3BAC1DC6">
      <w:r>
        <w:rPr>
          <w:rFonts w:hint="eastAsia"/>
        </w:rPr>
        <w:t>（七）城市河湖管理方面的有关处罚权；</w:t>
      </w:r>
    </w:p>
    <w:p w14:paraId="726A8B38">
      <w:r>
        <w:rPr>
          <w:rFonts w:hint="eastAsia"/>
        </w:rPr>
        <w:t>（八）施工现场管理方面的有关处罚权；</w:t>
      </w:r>
    </w:p>
    <w:p w14:paraId="51390359">
      <w:r>
        <w:rPr>
          <w:rFonts w:hint="eastAsia"/>
        </w:rPr>
        <w:t>（九）城市停车管理方面的有关处罚权；</w:t>
      </w:r>
    </w:p>
    <w:p w14:paraId="50B14229">
      <w:r>
        <w:rPr>
          <w:rFonts w:hint="eastAsia"/>
        </w:rPr>
        <w:t>（十）交通运输管理方面的有关处罚权；</w:t>
      </w:r>
    </w:p>
    <w:p w14:paraId="6E759A61">
      <w:r>
        <w:rPr>
          <w:rFonts w:hint="eastAsia"/>
        </w:rPr>
        <w:t>（十一）工商行政管理方面对流动无照经营行为的处罚权；</w:t>
      </w:r>
    </w:p>
    <w:p w14:paraId="4B01C86C">
      <w:bookmarkStart w:id="2338" w:name="_Toc428780628"/>
      <w:r>
        <w:rPr>
          <w:rFonts w:hint="eastAsia"/>
        </w:rPr>
        <w:t>（十二）城市规划管理方面对违法建设的有关处罚权；</w:t>
      </w:r>
      <w:bookmarkEnd w:id="2338"/>
    </w:p>
    <w:p w14:paraId="41557B4A">
      <w:r>
        <w:rPr>
          <w:rFonts w:hint="eastAsia"/>
        </w:rPr>
        <w:t>（十三）旅游管理方面对无导游证从事导游活动行为的处罚权；</w:t>
      </w:r>
    </w:p>
    <w:p w14:paraId="4751448A">
      <w:r>
        <w:rPr>
          <w:rFonts w:hint="eastAsia"/>
        </w:rPr>
        <w:t>（十四）市人民政府决定由城管执法机关集中行使的其他处罚权。</w:t>
      </w:r>
    </w:p>
    <w:p w14:paraId="4650F0B9">
      <w:pPr>
        <w:ind w:firstLine="422"/>
      </w:pPr>
      <w:r>
        <w:rPr>
          <w:rFonts w:hint="eastAsia"/>
          <w:b/>
        </w:rPr>
        <w:t>第六条</w:t>
      </w:r>
      <w:r>
        <w:rPr>
          <w:rFonts w:hint="eastAsia"/>
        </w:rPr>
        <w:t xml:space="preserve">  相对集中处罚权权限范围的确定和调整，由市人民政府决定。权限范围的确定和调整，应当根据城市管理发展的需要，坚持精简、统一、效能和权责一致的原则。</w:t>
      </w:r>
    </w:p>
    <w:p w14:paraId="238BBE42">
      <w:r>
        <w:rPr>
          <w:rFonts w:hint="eastAsia"/>
        </w:rPr>
        <w:t>城管执法机关和相关部门不得擅自对相对集中处罚权的权限范围进行调整、变更。</w:t>
      </w:r>
    </w:p>
    <w:p w14:paraId="005B346E">
      <w:r>
        <w:rPr>
          <w:rFonts w:hint="eastAsia"/>
        </w:rPr>
        <w:t>城管执法机关集中行使的处罚权，原职能部门不得再行使。</w:t>
      </w:r>
    </w:p>
    <w:p w14:paraId="3BAE7AAF">
      <w:pPr>
        <w:ind w:firstLine="422"/>
      </w:pPr>
      <w:r>
        <w:rPr>
          <w:rFonts w:hint="eastAsia"/>
          <w:b/>
        </w:rPr>
        <w:t>第七条</w:t>
      </w:r>
      <w:r>
        <w:rPr>
          <w:rFonts w:hint="eastAsia"/>
        </w:rPr>
        <w:t xml:space="preserve">  公民、法人或者其他组织违反城市管理秩序，按照权限范围应当由城管执法机关给予行政处罚的，由违法行为行为发生地的城管执法机关管辖。</w:t>
      </w:r>
    </w:p>
    <w:p w14:paraId="571F4933">
      <w:r>
        <w:rPr>
          <w:rFonts w:hint="eastAsia"/>
        </w:rPr>
        <w:t>执法区域相邻的城管执法机关对流动状态下发生的违法行为可以约定在适当的区域范围内共同管辖。共同管辖区域范围内的违法行为由首先发现的城管执法机关查处，其他城管执法机关予以配合。约定共同管辖应当向上一级城管执法机关和本级人民政府备案。</w:t>
      </w:r>
    </w:p>
    <w:p w14:paraId="2977F359">
      <w:r>
        <w:rPr>
          <w:rFonts w:hint="eastAsia"/>
        </w:rPr>
        <w:t>管辖权发生异议的，可以报请共同上级城管执法机关指定管辖。</w:t>
      </w:r>
    </w:p>
    <w:p w14:paraId="6D16B8F8">
      <w:r>
        <w:rPr>
          <w:rFonts w:hint="eastAsia"/>
        </w:rPr>
        <w:t>上级城管执法机关有权管辖下级城管执法机关管辖的案件，也可以把自己管辖的案件移交下级城管执法机关进行管辖。</w:t>
      </w:r>
    </w:p>
    <w:p w14:paraId="73448D3B">
      <w:pPr>
        <w:ind w:firstLine="422"/>
      </w:pPr>
      <w:r>
        <w:rPr>
          <w:rFonts w:hint="eastAsia"/>
          <w:b/>
        </w:rPr>
        <w:t>第八条</w:t>
      </w:r>
      <w:r>
        <w:rPr>
          <w:rFonts w:hint="eastAsia"/>
        </w:rPr>
        <w:t xml:space="preserve">  城管执法机关及其城市管理综合行政执法人员（以下简称城管执法人员）在查处违法行为时，可以依法采取下列措施：</w:t>
      </w:r>
    </w:p>
    <w:p w14:paraId="262F1804">
      <w:bookmarkStart w:id="2339" w:name="_Toc428780629"/>
      <w:r>
        <w:rPr>
          <w:rFonts w:hint="eastAsia"/>
        </w:rPr>
        <w:t>（一）进入被检查单位或者现场进行调查、检查；</w:t>
      </w:r>
      <w:bookmarkEnd w:id="2339"/>
    </w:p>
    <w:p w14:paraId="63ECD309">
      <w:r>
        <w:rPr>
          <w:rFonts w:hint="eastAsia"/>
        </w:rPr>
        <w:t>（二）查阅、调阅、复制、拍摄、录制有关证据材料，抽样取证或者先行登记保存有关证据；</w:t>
      </w:r>
    </w:p>
    <w:p w14:paraId="13E402AF">
      <w:r>
        <w:rPr>
          <w:rFonts w:hint="eastAsia"/>
        </w:rPr>
        <w:t>（三）查封、扣押与违法行为有关的财物；</w:t>
      </w:r>
    </w:p>
    <w:p w14:paraId="2B0BE5EF">
      <w:r>
        <w:rPr>
          <w:rFonts w:hint="eastAsia"/>
        </w:rPr>
        <w:t>（四）法律、法规、规章规定的其他措施。</w:t>
      </w:r>
    </w:p>
    <w:p w14:paraId="357461CC">
      <w:pPr>
        <w:ind w:firstLine="422"/>
      </w:pPr>
      <w:r>
        <w:rPr>
          <w:rFonts w:hint="eastAsia"/>
          <w:b/>
        </w:rPr>
        <w:t>第九条</w:t>
      </w:r>
      <w:r>
        <w:rPr>
          <w:rFonts w:hint="eastAsia"/>
        </w:rPr>
        <w:t xml:space="preserve">  城管执法机关应当妥善保管先行登记保存、扣押的财物，不得使用或者损毁；对于易腐烂变质的物品，城管执法机关应当妥善处置。</w:t>
      </w:r>
    </w:p>
    <w:p w14:paraId="7E14334E">
      <w:r>
        <w:rPr>
          <w:rFonts w:hint="eastAsia"/>
        </w:rPr>
        <w:t>先行登记保存、扣押的财物需要返还给当事人的，城管执法机关应当通知权利人领取；权利人不明的，应当发布招领公告；权利人拒绝领取或者公告期满后无人认领的，由城管执法机关依法处理。</w:t>
      </w:r>
    </w:p>
    <w:p w14:paraId="3591A705">
      <w:pPr>
        <w:ind w:firstLine="422"/>
      </w:pPr>
      <w:r>
        <w:rPr>
          <w:rFonts w:hint="eastAsia"/>
          <w:b/>
        </w:rPr>
        <w:t>第十条</w:t>
      </w:r>
      <w:r>
        <w:rPr>
          <w:rFonts w:hint="eastAsia"/>
        </w:rPr>
        <w:t xml:space="preserve">  城管执法机关作出行政处罚决定（以下简称处罚决定）应当以事实为依据，与违法行为的事实、性质、情节以及社会危害程度相当。</w:t>
      </w:r>
    </w:p>
    <w:p w14:paraId="599B8F3B">
      <w:r>
        <w:rPr>
          <w:rFonts w:hint="eastAsia"/>
        </w:rPr>
        <w:t>城管执法机关作出处罚决定前，应当告知当事人作出处罚决定的事实、理由及依据，并应当告知当事人依法享有的权利，听取当事人的陈述、申辩。当事人陈述、申辩所提出的事实、理由以及证据成立的，城管执法机关应当采纳。城管执法机关不得因当事人陈述、申辩而加重处罚。当事人要求听证且符合听证要求的，城管执法机关应当依法组织听证。</w:t>
      </w:r>
    </w:p>
    <w:p w14:paraId="2DCA8324">
      <w:pPr>
        <w:ind w:firstLine="422"/>
      </w:pPr>
      <w:r>
        <w:rPr>
          <w:rFonts w:hint="eastAsia"/>
          <w:b/>
        </w:rPr>
        <w:t>第十一条</w:t>
      </w:r>
      <w:r>
        <w:rPr>
          <w:rFonts w:hint="eastAsia"/>
        </w:rPr>
        <w:t xml:space="preserve">  城管执法机关作出处罚决定，应当在宣告后将相关文书当场交付当事人；当事人不在场的，城管执法机关应当依照民事诉讼法的有关规定，采取直接送达、留置送达、委托送达、邮寄送达、公告送达等方式将相关文书送达当事人。</w:t>
      </w:r>
    </w:p>
    <w:p w14:paraId="5EF1F4CD">
      <w:pPr>
        <w:ind w:firstLine="422"/>
      </w:pPr>
      <w:r>
        <w:rPr>
          <w:rFonts w:hint="eastAsia"/>
          <w:b/>
        </w:rPr>
        <w:t>第十二条</w:t>
      </w:r>
      <w:r>
        <w:rPr>
          <w:rFonts w:hint="eastAsia"/>
        </w:rPr>
        <w:t xml:space="preserve">  除依法可以当场收缴罚款的情形外，作出罚款处罚决定的城管执法机关及其城管执法人员不得自行收缴罚款；当事人应当到指定银行缴纳罚款。</w:t>
      </w:r>
    </w:p>
    <w:p w14:paraId="2F14FAB2">
      <w:pPr>
        <w:ind w:firstLine="422"/>
      </w:pPr>
      <w:r>
        <w:rPr>
          <w:rFonts w:hint="eastAsia"/>
          <w:b/>
        </w:rPr>
        <w:t>第十三条</w:t>
      </w:r>
      <w:r>
        <w:rPr>
          <w:rFonts w:hint="eastAsia"/>
        </w:rPr>
        <w:t xml:space="preserve">  城管执法人员应当具备行政处罚执法资格，在查处违法行为时，应当统一着装，佩戴城管执法标志，出示行政执法证件，并保持仪容严整、举止端庄、语言文明、规范执法。</w:t>
      </w:r>
    </w:p>
    <w:p w14:paraId="728A7C00">
      <w:r>
        <w:rPr>
          <w:rFonts w:hint="eastAsia"/>
        </w:rPr>
        <w:t>城管执法人员依法执行公务，受法律保护。</w:t>
      </w:r>
    </w:p>
    <w:p w14:paraId="0DF03DB5">
      <w:pPr>
        <w:ind w:firstLine="422"/>
      </w:pPr>
      <w:r>
        <w:rPr>
          <w:rFonts w:hint="eastAsia"/>
          <w:b/>
        </w:rPr>
        <w:t>第十四条</w:t>
      </w:r>
      <w:r>
        <w:rPr>
          <w:rFonts w:hint="eastAsia"/>
        </w:rPr>
        <w:t>　城管执法人员与案件当事人有直接利害关系或者其他关系，可能影响案件公正处理的，应当回避。</w:t>
      </w:r>
    </w:p>
    <w:p w14:paraId="05EDFF78">
      <w:r>
        <w:rPr>
          <w:rFonts w:hint="eastAsia"/>
        </w:rPr>
        <w:t>城管执法人员的回避，由所属城管执法机关负责人决定。</w:t>
      </w:r>
    </w:p>
    <w:p w14:paraId="21927DC0">
      <w:pPr>
        <w:ind w:firstLine="422"/>
      </w:pPr>
      <w:r>
        <w:rPr>
          <w:rFonts w:hint="eastAsia"/>
          <w:b/>
        </w:rPr>
        <w:t>第十五条</w:t>
      </w:r>
      <w:r>
        <w:rPr>
          <w:rFonts w:hint="eastAsia"/>
        </w:rPr>
        <w:t>　本市建立相对集中处罚权的领导协调机制，加强城管执法机关与相关部门之间的行政执法协调工作。协调的事项包括：</w:t>
      </w:r>
    </w:p>
    <w:p w14:paraId="11C5F70E">
      <w:r>
        <w:rPr>
          <w:rFonts w:hint="eastAsia"/>
        </w:rPr>
        <w:t>（一）相对集中处罚权权限范围的争议；</w:t>
      </w:r>
    </w:p>
    <w:p w14:paraId="48125099">
      <w:r>
        <w:rPr>
          <w:rFonts w:hint="eastAsia"/>
        </w:rPr>
        <w:t>（二）相对集中处罚权执法依据适用的争议；</w:t>
      </w:r>
    </w:p>
    <w:p w14:paraId="6D93C680">
      <w:r>
        <w:rPr>
          <w:rFonts w:hint="eastAsia"/>
        </w:rPr>
        <w:t>（三）案件移送、信息共享、工作配合等履行行政执法职责过程中的衔接和配合；</w:t>
      </w:r>
    </w:p>
    <w:p w14:paraId="61B82452">
      <w:r>
        <w:rPr>
          <w:rFonts w:hint="eastAsia"/>
        </w:rPr>
        <w:t>（四）其他事项。</w:t>
      </w:r>
    </w:p>
    <w:p w14:paraId="78B2370A">
      <w:pPr>
        <w:ind w:firstLine="422"/>
      </w:pPr>
      <w:r>
        <w:rPr>
          <w:rFonts w:hint="eastAsia"/>
          <w:b/>
        </w:rPr>
        <w:t>第十六条</w:t>
      </w:r>
      <w:r>
        <w:rPr>
          <w:rFonts w:hint="eastAsia"/>
        </w:rPr>
        <w:t>　城管执法机关负有相对集中处罚权行政执法协调工作的主动协调责任，相关部门负有配合协调责任。</w:t>
      </w:r>
    </w:p>
    <w:p w14:paraId="1A3C138E">
      <w:r>
        <w:rPr>
          <w:rFonts w:hint="eastAsia"/>
        </w:rPr>
        <w:t>城管执法机关与相关部门之间协调达成一致意见的，应当制作书面的协调意见，报送同级人民政府备案。协调意见的内容应当包括相关依据和工作方案、具体措施等。</w:t>
      </w:r>
    </w:p>
    <w:p w14:paraId="6C9B3F8E">
      <w:r>
        <w:rPr>
          <w:rFonts w:hint="eastAsia"/>
        </w:rPr>
        <w:t>城管执法机关与相关部门之间协调不能达成一致意见的，应当按照本市行政执法协调工作的相关规定处理。</w:t>
      </w:r>
    </w:p>
    <w:p w14:paraId="1CFBDBC0">
      <w:pPr>
        <w:ind w:firstLine="422"/>
      </w:pPr>
      <w:r>
        <w:rPr>
          <w:rFonts w:hint="eastAsia"/>
          <w:b/>
        </w:rPr>
        <w:t>第十七条</w:t>
      </w:r>
      <w:r>
        <w:rPr>
          <w:rFonts w:hint="eastAsia"/>
        </w:rPr>
        <w:t>　城管执法机关和有关部门在查处违法行为时，发现案件不属于本部门主管或者管辖的，应当及时移送有管辖权的部门处理；移送案件时应当提供必要的证据材料，被移送部门应当将案件办理情况及时反馈移送部门。</w:t>
      </w:r>
    </w:p>
    <w:p w14:paraId="74C9F7E1">
      <w:pPr>
        <w:ind w:firstLine="422"/>
      </w:pPr>
      <w:r>
        <w:rPr>
          <w:rFonts w:hint="eastAsia"/>
          <w:b/>
        </w:rPr>
        <w:t>第十八条</w:t>
      </w:r>
      <w:r>
        <w:rPr>
          <w:rFonts w:hint="eastAsia"/>
        </w:rPr>
        <w:t>　城管执法机关与相关部门应当确定具体工作机构，负责行政执法协调工作的日常联系，定期通报情况，实现城市管理信息、数据的及时互通和共享。</w:t>
      </w:r>
    </w:p>
    <w:p w14:paraId="00F4319A">
      <w:pPr>
        <w:ind w:firstLine="422"/>
      </w:pPr>
      <w:r>
        <w:rPr>
          <w:rFonts w:hint="eastAsia"/>
          <w:b/>
        </w:rPr>
        <w:t>第十九条</w:t>
      </w:r>
      <w:r>
        <w:rPr>
          <w:rFonts w:hint="eastAsia"/>
        </w:rPr>
        <w:t>　城管执法机关和有关部门根据城市管理工作的需要，可以实施联合执法。实施联合执法应当经各参与部门的负责人批准，并制定工作方案、应急预案。</w:t>
      </w:r>
    </w:p>
    <w:p w14:paraId="49C0CF7B">
      <w:pPr>
        <w:ind w:firstLine="422"/>
      </w:pPr>
      <w:r>
        <w:rPr>
          <w:rFonts w:hint="eastAsia"/>
          <w:b/>
        </w:rPr>
        <w:t>第二十条</w:t>
      </w:r>
      <w:r>
        <w:rPr>
          <w:rFonts w:hint="eastAsia"/>
        </w:rPr>
        <w:t>　城管执法机关执法时，需要相关部门就专业和技术问题作出解释或者提供其他协助的，相关部门应当按照各自职责或者根据政府决定、协调意见予以配合。</w:t>
      </w:r>
    </w:p>
    <w:p w14:paraId="50BD17C4">
      <w:pPr>
        <w:ind w:firstLine="422"/>
      </w:pPr>
      <w:r>
        <w:rPr>
          <w:rFonts w:hint="eastAsia"/>
          <w:b/>
        </w:rPr>
        <w:t>第二十一条</w:t>
      </w:r>
      <w:r>
        <w:rPr>
          <w:rFonts w:hint="eastAsia"/>
        </w:rPr>
        <w:t>　城管执法机关应当加强执法队伍规范化、制度化的建设和管理，加强宣传和法制工作，提高信息化和装备建设水平，按照《中华人民共和国公务员法》的规定，建立完善录用、考核、培训、交流与回避等制度。</w:t>
      </w:r>
    </w:p>
    <w:p w14:paraId="4BD7EC3F">
      <w:pPr>
        <w:ind w:firstLine="422"/>
      </w:pPr>
      <w:r>
        <w:rPr>
          <w:rFonts w:hint="eastAsia"/>
          <w:b/>
        </w:rPr>
        <w:t>第二十二条</w:t>
      </w:r>
      <w:r>
        <w:rPr>
          <w:rFonts w:hint="eastAsia"/>
        </w:rPr>
        <w:t>　市人民政府有关部门和区、县人民政府应当加强对城管执法机关行使相对集中处罚权的监督检查，对城管执法机关不履行、违法履行或者不当履行行政执法职权的行为（以下统称违法执法行为），应当责令改正并追究行政执法责任。</w:t>
      </w:r>
    </w:p>
    <w:p w14:paraId="46892876">
      <w:r>
        <w:rPr>
          <w:rFonts w:hint="eastAsia"/>
        </w:rPr>
        <w:t>城管执法机关应当建立完善行使相对集中处罚权的层级监督制度。上级城管执法机关发现下级城管执法机关的违法执法行为，应当责令改正；下级城管执法机关拒不改正的，上级城管执法机关可以依法予以纠正，或者建议所属人民政府责令其改正并追究行政执法责任。</w:t>
      </w:r>
    </w:p>
    <w:p w14:paraId="3CC588A1">
      <w:r>
        <w:rPr>
          <w:rFonts w:hint="eastAsia"/>
        </w:rPr>
        <w:t>公民、法人或者其他组织对城管执法机关的违法执法行为，有权申诉或者检举。对于申诉或者检举，城管执法机关应当认真审查，发现错误的应当主动及时改正。</w:t>
      </w:r>
    </w:p>
    <w:p w14:paraId="76DD9BE2">
      <w:pPr>
        <w:ind w:firstLine="422"/>
      </w:pPr>
      <w:r>
        <w:rPr>
          <w:rFonts w:hint="eastAsia"/>
          <w:b/>
        </w:rPr>
        <w:t>第二十三条</w:t>
      </w:r>
      <w:r>
        <w:rPr>
          <w:rFonts w:hint="eastAsia"/>
        </w:rPr>
        <w:t>　公民、法人或者其他组织认为城管执法机关的具体行政行为侵犯其合法权益的，可以依法申请行政复议、提起行政诉讼。</w:t>
      </w:r>
    </w:p>
    <w:p w14:paraId="1BD56663">
      <w:r>
        <w:rPr>
          <w:rFonts w:hint="eastAsia"/>
        </w:rPr>
        <w:t>城管执法机关违法行使职权，侵犯公民、法人或者其他组织合法权益造成损害的，应当依法予以赔偿。</w:t>
      </w:r>
    </w:p>
    <w:p w14:paraId="25331C6A">
      <w:pPr>
        <w:ind w:firstLine="422"/>
      </w:pPr>
      <w:r>
        <w:rPr>
          <w:rFonts w:hint="eastAsia"/>
          <w:b/>
        </w:rPr>
        <w:t>第二十四条</w:t>
      </w:r>
      <w:r>
        <w:rPr>
          <w:rFonts w:hint="eastAsia"/>
        </w:rPr>
        <w:t>　城管执法人员有下列违法执法行为的，应当追究行政执法责任：</w:t>
      </w:r>
    </w:p>
    <w:p w14:paraId="268B7B3D">
      <w:bookmarkStart w:id="2340" w:name="_Toc428780630"/>
      <w:r>
        <w:rPr>
          <w:rFonts w:hint="eastAsia"/>
        </w:rPr>
        <w:t>（一）没有法定依据或者不遵守法定程序实施行政处罚；</w:t>
      </w:r>
      <w:bookmarkEnd w:id="2340"/>
    </w:p>
    <w:p w14:paraId="5EAC6C69">
      <w:r>
        <w:rPr>
          <w:rFonts w:hint="eastAsia"/>
        </w:rPr>
        <w:t>（二）滥用职权、玩忽职守、徇私舞弊；</w:t>
      </w:r>
    </w:p>
    <w:p w14:paraId="6B4BFD4D">
      <w:bookmarkStart w:id="2341" w:name="_Toc428780631"/>
      <w:r>
        <w:rPr>
          <w:rFonts w:hint="eastAsia"/>
        </w:rPr>
        <w:t>（三）无法定事由或者违反法定程序擅自改变已作出的行政处罚决定；</w:t>
      </w:r>
      <w:bookmarkEnd w:id="2341"/>
    </w:p>
    <w:p w14:paraId="54C313F0">
      <w:r>
        <w:rPr>
          <w:rFonts w:hint="eastAsia"/>
        </w:rPr>
        <w:t>（四）实施处罚未制作法律文书、使用合法票据；</w:t>
      </w:r>
    </w:p>
    <w:p w14:paraId="6C9CAD2C">
      <w:bookmarkStart w:id="2342" w:name="_Toc428780632"/>
      <w:r>
        <w:rPr>
          <w:rFonts w:hint="eastAsia"/>
        </w:rPr>
        <w:t>（五）刁难、谩骂、殴打或者唆使他人殴打当事人；</w:t>
      </w:r>
      <w:bookmarkEnd w:id="2342"/>
    </w:p>
    <w:p w14:paraId="2DD2209C">
      <w:r>
        <w:rPr>
          <w:rFonts w:hint="eastAsia"/>
        </w:rPr>
        <w:t>（六）截留、挪用、私分或者变相私分查封、扣押、没收的财物；</w:t>
      </w:r>
    </w:p>
    <w:p w14:paraId="40293A4F">
      <w:r>
        <w:rPr>
          <w:rFonts w:hint="eastAsia"/>
        </w:rPr>
        <w:t>（七）索要、收受当事人及其家属的财物或者接受当事人及其家属的宴请；</w:t>
      </w:r>
    </w:p>
    <w:p w14:paraId="164198B6">
      <w:r>
        <w:rPr>
          <w:rFonts w:hint="eastAsia"/>
        </w:rPr>
        <w:t>（八）要求当事人承担非法定义务；</w:t>
      </w:r>
    </w:p>
    <w:p w14:paraId="166198FC">
      <w:r>
        <w:rPr>
          <w:rFonts w:hint="eastAsia"/>
        </w:rPr>
        <w:t>（九）其他违法执法行为。</w:t>
      </w:r>
    </w:p>
    <w:p w14:paraId="59FC601B">
      <w:pPr>
        <w:ind w:firstLine="422"/>
      </w:pPr>
      <w:r>
        <w:rPr>
          <w:rFonts w:hint="eastAsia"/>
          <w:b/>
        </w:rPr>
        <w:t>第二十五条</w:t>
      </w:r>
      <w:r>
        <w:rPr>
          <w:rFonts w:hint="eastAsia"/>
        </w:rPr>
        <w:t xml:space="preserve">  本办法自</w:t>
      </w:r>
      <w:r>
        <w:rPr>
          <w:rFonts w:hint="eastAsia" w:ascii="宋体" w:hAnsi="宋体" w:eastAsia="宋体" w:cs="宋体"/>
        </w:rPr>
        <w:t>2008年1月1</w:t>
      </w:r>
      <w:r>
        <w:rPr>
          <w:rFonts w:hint="eastAsia"/>
        </w:rPr>
        <w:t>日起施行。</w:t>
      </w:r>
    </w:p>
    <w:p w14:paraId="15D31C3A">
      <w:pPr>
        <w:pStyle w:val="4"/>
        <w:pageBreakBefore/>
      </w:pPr>
      <w:bookmarkStart w:id="2343" w:name="_Toc428781858"/>
      <w:bookmarkStart w:id="2344" w:name="_Toc428780633"/>
      <w:bookmarkStart w:id="2345" w:name="_Toc426467110"/>
      <w:r>
        <w:rPr>
          <w:rFonts w:hint="eastAsia"/>
        </w:rPr>
        <w:t>北京市公共厕所管理办法</w:t>
      </w:r>
      <w:bookmarkEnd w:id="2343"/>
      <w:bookmarkEnd w:id="2344"/>
      <w:bookmarkEnd w:id="2345"/>
    </w:p>
    <w:p w14:paraId="11631ACD">
      <w:pPr>
        <w:ind w:left="630" w:leftChars="300" w:right="630" w:rightChars="300"/>
        <w:rPr>
          <w:rFonts w:ascii="楷体" w:hAnsi="楷体" w:eastAsia="楷体"/>
        </w:rPr>
      </w:pPr>
      <w:r>
        <w:rPr>
          <w:rFonts w:hint="eastAsia" w:ascii="楷体" w:hAnsi="楷体" w:eastAsia="楷体"/>
        </w:rPr>
        <w:t>（2008年4月29日市人民政府第5次常务会议审议通过　2008年5月7日北京市人民政府第2008号令公布）</w:t>
      </w:r>
    </w:p>
    <w:p w14:paraId="572AA2F6"/>
    <w:p w14:paraId="4100CA16">
      <w:pPr>
        <w:ind w:firstLine="422"/>
      </w:pPr>
      <w:r>
        <w:rPr>
          <w:rFonts w:hint="eastAsia"/>
          <w:b/>
        </w:rPr>
        <w:t>第一条</w:t>
      </w:r>
      <w:r>
        <w:rPr>
          <w:rFonts w:hint="eastAsia"/>
        </w:rPr>
        <w:t xml:space="preserve">  为加强公共厕所管理，提高市容环境卫生水平，方便群众使用，根据《北京市市容环境卫生条例》，制定本办法。</w:t>
      </w:r>
    </w:p>
    <w:p w14:paraId="61D715F6">
      <w:pPr>
        <w:ind w:firstLine="422"/>
      </w:pPr>
      <w:r>
        <w:rPr>
          <w:rFonts w:hint="eastAsia"/>
          <w:b/>
        </w:rPr>
        <w:t>第二条</w:t>
      </w:r>
      <w:r>
        <w:rPr>
          <w:rFonts w:hint="eastAsia"/>
        </w:rPr>
        <w:t xml:space="preserve">  本市行政区域内公共厕所的管理工作适用本办法。</w:t>
      </w:r>
    </w:p>
    <w:p w14:paraId="4D1B7340">
      <w:r>
        <w:rPr>
          <w:rFonts w:hint="eastAsia"/>
        </w:rPr>
        <w:t>本办法所称公共厕所，是指在道路、广场、住宅区、园林绿地、旅游景点等公共场所独立设置，或者附设于其他建筑物，供社会公众使用的厕所。</w:t>
      </w:r>
    </w:p>
    <w:p w14:paraId="76ABF109">
      <w:pPr>
        <w:ind w:firstLine="422"/>
      </w:pPr>
      <w:r>
        <w:rPr>
          <w:rFonts w:hint="eastAsia"/>
          <w:b/>
        </w:rPr>
        <w:t>第三条</w:t>
      </w:r>
      <w:r>
        <w:rPr>
          <w:rFonts w:hint="eastAsia"/>
        </w:rPr>
        <w:t xml:space="preserve">  本市公共厕所的管理坚持统一规划、合理布局、方便适用、文明卫生、环保节能的原则。</w:t>
      </w:r>
    </w:p>
    <w:p w14:paraId="49ED652E">
      <w:r>
        <w:rPr>
          <w:rFonts w:hint="eastAsia"/>
        </w:rPr>
        <w:t>农村地区公共厕所的规划、建设和维护管理应当与农村地区的发展与需求等实际情况相适应。区、县人民政府可以根据本办法和有关规定制定具体管理办法。</w:t>
      </w:r>
    </w:p>
    <w:p w14:paraId="766096EB">
      <w:pPr>
        <w:ind w:firstLine="422"/>
      </w:pPr>
      <w:r>
        <w:rPr>
          <w:rFonts w:hint="eastAsia"/>
          <w:b/>
        </w:rPr>
        <w:t>第四条</w:t>
      </w:r>
      <w:r>
        <w:rPr>
          <w:rFonts w:hint="eastAsia"/>
        </w:rPr>
        <w:t xml:space="preserve">  市市政管理行政部门负责本市公共厕所建设规划、建设标准和维护管理标准的编制和监督管理。</w:t>
      </w:r>
    </w:p>
    <w:p w14:paraId="03F04A9E">
      <w:r>
        <w:rPr>
          <w:rFonts w:hint="eastAsia"/>
        </w:rPr>
        <w:t>区、县人民政府负责本辖区内公共厕所管理的组织实施。区、县市政管理行政部门具体负责公共厕所管理和监督工作。</w:t>
      </w:r>
    </w:p>
    <w:p w14:paraId="27336E2F">
      <w:r>
        <w:rPr>
          <w:rFonts w:hint="eastAsia"/>
        </w:rPr>
        <w:t>乡、镇人民政府和街道办事处负责本辖区内公共厕所的管理工作。</w:t>
      </w:r>
    </w:p>
    <w:p w14:paraId="45251C61">
      <w:r>
        <w:rPr>
          <w:rFonts w:hint="eastAsia"/>
        </w:rPr>
        <w:t>规划、建设、交通、卫生、水务、旅游、商务、园林绿化、环境保护、农村工作以及城市管理综合执法等有关行政管理部门按照各自的职责，依法做好相关工作。</w:t>
      </w:r>
    </w:p>
    <w:p w14:paraId="6BACBC6F">
      <w:pPr>
        <w:ind w:firstLine="422"/>
      </w:pPr>
      <w:r>
        <w:rPr>
          <w:rFonts w:hint="eastAsia"/>
          <w:b/>
        </w:rPr>
        <w:t>第五条</w:t>
      </w:r>
      <w:r>
        <w:rPr>
          <w:rFonts w:hint="eastAsia"/>
        </w:rPr>
        <w:t xml:space="preserve">  公共厕所的建设应当符合公共厕所建设规划。公共厕所建设规划是市容环境卫生设施建设专业规划的组成部分，纳入本市城乡规划体系。</w:t>
      </w:r>
    </w:p>
    <w:p w14:paraId="02BA618D">
      <w:r>
        <w:rPr>
          <w:rFonts w:hint="eastAsia"/>
        </w:rPr>
        <w:t>区、县人民政府应当根据公共厕所建设规划，结合本区、县实际情况，制定本辖区内的公共厕所的新建、改建、扩建计划，并组织实施。</w:t>
      </w:r>
    </w:p>
    <w:p w14:paraId="0DF4C5ED">
      <w:pPr>
        <w:ind w:firstLine="422"/>
      </w:pPr>
      <w:r>
        <w:rPr>
          <w:rFonts w:hint="eastAsia"/>
          <w:b/>
        </w:rPr>
        <w:t>第六条</w:t>
      </w:r>
      <w:r>
        <w:rPr>
          <w:rFonts w:hint="eastAsia"/>
        </w:rPr>
        <w:t xml:space="preserve">  新建、改建、扩建公共厕所，应当按照本市环境卫生设施建设定额指标和公共厕所建设标准的规定执行，并符合以下要求：</w:t>
      </w:r>
    </w:p>
    <w:p w14:paraId="110F7458">
      <w:r>
        <w:rPr>
          <w:rFonts w:hint="eastAsia"/>
        </w:rPr>
        <w:t>（一）采用节水、节电、除臭、无障碍等有利于节约资源、保护环境和行动不便者使用的技术和设备；</w:t>
      </w:r>
    </w:p>
    <w:p w14:paraId="5C4E6965">
      <w:r>
        <w:rPr>
          <w:rFonts w:hint="eastAsia"/>
        </w:rPr>
        <w:t>（二）地面、墙裙、蹲台面、便器等采用防滑、防渗、耐腐蚀、易清洗的材料；</w:t>
      </w:r>
    </w:p>
    <w:p w14:paraId="355DBAB6">
      <w:bookmarkStart w:id="2346" w:name="_Toc428780634"/>
      <w:r>
        <w:rPr>
          <w:rFonts w:hint="eastAsia"/>
        </w:rPr>
        <w:t>（三）提供照明、通风设备以及防蝇、防蛆、防鼠设施；</w:t>
      </w:r>
      <w:bookmarkEnd w:id="2346"/>
    </w:p>
    <w:p w14:paraId="763D0B1D">
      <w:pPr>
        <w:rPr>
          <w:rFonts w:hint="eastAsia"/>
        </w:rPr>
      </w:pPr>
      <w:r>
        <w:rPr>
          <w:rFonts w:hint="eastAsia"/>
        </w:rPr>
        <w:t>（四）实现粪便排放无害化，具备排入污水管条件的，应当纳入城市污水管网。</w:t>
      </w:r>
    </w:p>
    <w:p w14:paraId="589579DB">
      <w:r>
        <w:rPr>
          <w:rFonts w:hint="eastAsia"/>
        </w:rPr>
        <w:t xml:space="preserve"> 本办法施行前已经建成的公共厕所，不符合公共厕所建设标准的，应当逐步改造达到标准。</w:t>
      </w:r>
    </w:p>
    <w:p w14:paraId="71B5CEFD">
      <w:pPr>
        <w:ind w:firstLine="422"/>
      </w:pPr>
      <w:r>
        <w:rPr>
          <w:rFonts w:hint="eastAsia"/>
          <w:b/>
        </w:rPr>
        <w:t>第七条</w:t>
      </w:r>
      <w:r>
        <w:rPr>
          <w:rFonts w:hint="eastAsia"/>
        </w:rPr>
        <w:t xml:space="preserve">  按照规划要求配套建设的公共厕所，应当与建设项目主体工程同时设计、同时施工、同时验收、同时投入使用，所需资金纳入建设项目总投资。</w:t>
      </w:r>
    </w:p>
    <w:p w14:paraId="14382077">
      <w:pPr>
        <w:ind w:firstLine="422"/>
      </w:pPr>
      <w:r>
        <w:rPr>
          <w:rFonts w:hint="eastAsia"/>
          <w:b/>
        </w:rPr>
        <w:t>第八条</w:t>
      </w:r>
      <w:r>
        <w:rPr>
          <w:rFonts w:hint="eastAsia"/>
        </w:rPr>
        <w:t xml:space="preserve">  按照规划要求应当建设公共厕所的，规划管理行政部门在审批时，应当征求市政管理行政部门的意见。</w:t>
      </w:r>
    </w:p>
    <w:p w14:paraId="5B88502D">
      <w:pPr>
        <w:ind w:firstLine="422"/>
      </w:pPr>
      <w:r>
        <w:rPr>
          <w:rFonts w:hint="eastAsia"/>
          <w:b/>
        </w:rPr>
        <w:t>第九条</w:t>
      </w:r>
      <w:r>
        <w:rPr>
          <w:rFonts w:hint="eastAsia"/>
        </w:rPr>
        <w:t xml:space="preserve">  按照规划要求应当配套建设公共厕所的建设工程竣工后，建设单位应当向市政管理行政部门申请验收；市政管理行政部门应当在受理</w:t>
      </w:r>
      <w:r>
        <w:rPr>
          <w:rFonts w:hint="eastAsia" w:ascii="宋体" w:hAnsi="宋体" w:eastAsia="宋体" w:cs="宋体"/>
        </w:rPr>
        <w:t>后20</w:t>
      </w:r>
      <w:r>
        <w:rPr>
          <w:rFonts w:hint="eastAsia"/>
        </w:rPr>
        <w:t>个工作日内，对建设工程配套建设的公共厕所进行验收；经验收合格的，方可投入使用。</w:t>
      </w:r>
    </w:p>
    <w:p w14:paraId="04B1C63B">
      <w:pPr>
        <w:ind w:firstLine="422"/>
      </w:pPr>
      <w:r>
        <w:rPr>
          <w:rFonts w:hint="eastAsia"/>
          <w:b/>
        </w:rPr>
        <w:t>第十条</w:t>
      </w:r>
      <w:r>
        <w:rPr>
          <w:rFonts w:hint="eastAsia"/>
        </w:rPr>
        <w:t xml:space="preserve">  区、县市政管理行政部门应当在人流量大、公共厕所数量不足且难以补建的地区，组织设置活动式公共厕所，满足公众用厕需求。</w:t>
      </w:r>
    </w:p>
    <w:p w14:paraId="53B4BED7">
      <w:pPr>
        <w:ind w:firstLine="422"/>
      </w:pPr>
      <w:r>
        <w:rPr>
          <w:rFonts w:hint="eastAsia"/>
          <w:b/>
        </w:rPr>
        <w:t>第十一条</w:t>
      </w:r>
      <w:r>
        <w:rPr>
          <w:rFonts w:hint="eastAsia"/>
        </w:rPr>
        <w:t xml:space="preserve">  举办大型商业、文化、公益等活动，所在地现有公共厕所不能满足用厕需求的，举办单位应当按照要求设置临时厕所，按照标准做好保洁服务，并在活动结束后及时清除。</w:t>
      </w:r>
    </w:p>
    <w:p w14:paraId="4EF41E2B">
      <w:pPr>
        <w:ind w:firstLine="422"/>
      </w:pPr>
      <w:r>
        <w:rPr>
          <w:rFonts w:hint="eastAsia"/>
          <w:b/>
        </w:rPr>
        <w:t>第十二条</w:t>
      </w:r>
      <w:r>
        <w:rPr>
          <w:rFonts w:hint="eastAsia"/>
        </w:rPr>
        <w:t xml:space="preserve">  任何单位和个人不得擅自拆除、停用公共厕所或者改变公共厕所用途。</w:t>
      </w:r>
    </w:p>
    <w:p w14:paraId="7E1A6251">
      <w:r>
        <w:rPr>
          <w:rFonts w:hint="eastAsia"/>
        </w:rPr>
        <w:t>确需拆除公共厕所的，应当在拆除公共厕所</w:t>
      </w:r>
      <w:r>
        <w:rPr>
          <w:rFonts w:hint="eastAsia" w:ascii="宋体" w:hAnsi="宋体" w:eastAsia="宋体" w:cs="宋体"/>
        </w:rPr>
        <w:t>15日前报告区、县市政管理行政部门，并按照规定予以重建或者补建。重建或者补建期间，拆</w:t>
      </w:r>
      <w:r>
        <w:rPr>
          <w:rFonts w:hint="eastAsia"/>
        </w:rPr>
        <w:t>除单位应当采取必要的措施，满足用厕需求。</w:t>
      </w:r>
    </w:p>
    <w:p w14:paraId="23C0FBC6">
      <w:pPr>
        <w:ind w:firstLine="422"/>
      </w:pPr>
      <w:r>
        <w:rPr>
          <w:rFonts w:hint="eastAsia"/>
          <w:b/>
        </w:rPr>
        <w:t>第十三条</w:t>
      </w:r>
      <w:r>
        <w:rPr>
          <w:rFonts w:hint="eastAsia"/>
        </w:rPr>
        <w:t xml:space="preserve">  市市政管理行政部门应当根据国家和本市的有关规定，制定并公布本市城镇和农村公共厕所维护管理标准。</w:t>
      </w:r>
    </w:p>
    <w:p w14:paraId="1D688B30">
      <w:pPr>
        <w:ind w:firstLine="422"/>
      </w:pPr>
      <w:r>
        <w:rPr>
          <w:rFonts w:hint="eastAsia"/>
          <w:b/>
        </w:rPr>
        <w:t>第十四条</w:t>
      </w:r>
      <w:r>
        <w:rPr>
          <w:rFonts w:hint="eastAsia"/>
        </w:rPr>
        <w:t>　公共厕所的维护管理由产权人负责，产权人、管理人、使用人之间约定维护管理责任的，由约定的责任人负责。</w:t>
      </w:r>
    </w:p>
    <w:p w14:paraId="2FB9D01E">
      <w:r>
        <w:rPr>
          <w:rFonts w:hint="eastAsia"/>
        </w:rPr>
        <w:t>公共厕所的维护管理责任人应当按照标准对公共厕所进行维护管理，使公共厕所符合下列要求：</w:t>
      </w:r>
    </w:p>
    <w:p w14:paraId="30C1555A">
      <w:r>
        <w:rPr>
          <w:rFonts w:hint="eastAsia"/>
        </w:rPr>
        <w:t>（一）外立面保持完好、整洁；</w:t>
      </w:r>
    </w:p>
    <w:p w14:paraId="416AC8D8">
      <w:r>
        <w:rPr>
          <w:rFonts w:hint="eastAsia"/>
        </w:rPr>
        <w:t>（二）各类设施、设备齐全、完好；</w:t>
      </w:r>
    </w:p>
    <w:p w14:paraId="4EE95D6C">
      <w:r>
        <w:rPr>
          <w:rFonts w:hint="eastAsia"/>
        </w:rPr>
        <w:t>（三）采光、通风良好；</w:t>
      </w:r>
    </w:p>
    <w:p w14:paraId="051E4F3B">
      <w:r>
        <w:rPr>
          <w:rFonts w:hint="eastAsia"/>
        </w:rPr>
        <w:t>（四）保持卫生，按规定进行卫生消毒处理；</w:t>
      </w:r>
    </w:p>
    <w:p w14:paraId="78D76638">
      <w:r>
        <w:rPr>
          <w:rFonts w:hint="eastAsia"/>
        </w:rPr>
        <w:t>（五）公共厕所内无蝇虫，基本无臭味，地面无积水、痰迹或者烟头、纸屑等杂物，</w:t>
      </w:r>
    </w:p>
    <w:p w14:paraId="1A18DD44">
      <w:r>
        <w:rPr>
          <w:rFonts w:hint="eastAsia"/>
        </w:rPr>
        <w:t>便器内无污垢、杂物、积存粪便，墙壁、顶棚无积灰、污迹、蛛网等。</w:t>
      </w:r>
    </w:p>
    <w:p w14:paraId="417BB6E5">
      <w:r>
        <w:rPr>
          <w:rFonts w:hint="eastAsia"/>
        </w:rPr>
        <w:t>公共厕所的维护管理责任人应当公示服务标准、监督电话，便于公众监督。</w:t>
      </w:r>
    </w:p>
    <w:p w14:paraId="34B3766D">
      <w:pPr>
        <w:ind w:firstLine="422"/>
      </w:pPr>
      <w:r>
        <w:rPr>
          <w:rFonts w:hint="eastAsia"/>
          <w:b/>
        </w:rPr>
        <w:t>第十五条</w:t>
      </w:r>
      <w:r>
        <w:rPr>
          <w:rFonts w:hint="eastAsia"/>
        </w:rPr>
        <w:t>　本市应当建立公共厕所导向牌、电子地图等指引服务系统，方便社会公众使用公共厕所。</w:t>
      </w:r>
    </w:p>
    <w:p w14:paraId="02C3CE0A">
      <w:r>
        <w:rPr>
          <w:rFonts w:hint="eastAsia"/>
        </w:rPr>
        <w:t>公共厕所的建设单位或者维护管理责任人应当按照规定设置公共厕所标识，并保持公共厕所标识安全牢固、完好整洁。</w:t>
      </w:r>
    </w:p>
    <w:p w14:paraId="2123421D">
      <w:pPr>
        <w:ind w:firstLine="422"/>
      </w:pPr>
      <w:r>
        <w:rPr>
          <w:rFonts w:hint="eastAsia"/>
          <w:b/>
        </w:rPr>
        <w:t>第十六条</w:t>
      </w:r>
      <w:r>
        <w:rPr>
          <w:rFonts w:hint="eastAsia"/>
        </w:rPr>
        <w:t>　公共厕所因设施故障等原因确需临时停用的，维护管理责任人应当公示停用期限，并及时维修。停用时间超过</w:t>
      </w:r>
      <w:r>
        <w:rPr>
          <w:rFonts w:hint="eastAsia" w:ascii="宋体" w:hAnsi="宋体" w:eastAsia="宋体" w:cs="宋体"/>
        </w:rPr>
        <w:t>24</w:t>
      </w:r>
      <w:r>
        <w:rPr>
          <w:rFonts w:hint="eastAsia"/>
        </w:rPr>
        <w:t>小时的，维护管理责任人应当采取必要的措施满足用厕需求。</w:t>
      </w:r>
    </w:p>
    <w:p w14:paraId="515BC76A">
      <w:pPr>
        <w:ind w:firstLine="422"/>
      </w:pPr>
      <w:r>
        <w:rPr>
          <w:rFonts w:hint="eastAsia"/>
          <w:b/>
        </w:rPr>
        <w:t>第十七条</w:t>
      </w:r>
      <w:r>
        <w:rPr>
          <w:rFonts w:hint="eastAsia"/>
        </w:rPr>
        <w:t>　由政府投资建设的公共厕所对社会公众免费开放。</w:t>
      </w:r>
    </w:p>
    <w:p w14:paraId="2134CC60">
      <w:r>
        <w:rPr>
          <w:rFonts w:hint="eastAsia"/>
        </w:rPr>
        <w:t>平房住宅区设置的公共厕所应</w:t>
      </w:r>
      <w:r>
        <w:rPr>
          <w:rFonts w:hint="eastAsia" w:ascii="宋体" w:hAnsi="宋体" w:eastAsia="宋体" w:cs="宋体"/>
        </w:rPr>
        <w:t>当24</w:t>
      </w:r>
      <w:r>
        <w:rPr>
          <w:rFonts w:hint="eastAsia"/>
        </w:rPr>
        <w:t>小时开放。</w:t>
      </w:r>
    </w:p>
    <w:p w14:paraId="3773BE3C">
      <w:r>
        <w:rPr>
          <w:rFonts w:hint="eastAsia"/>
        </w:rPr>
        <w:t>商业、文化、体育、医疗、交通等公共建筑和场所设置的供服务对象使用的厕所，社会公众在服务时间内可以使用，使用时应当遵守设置单位的管理要求。</w:t>
      </w:r>
    </w:p>
    <w:p w14:paraId="2E236937">
      <w:pPr>
        <w:ind w:firstLine="422"/>
      </w:pPr>
      <w:r>
        <w:rPr>
          <w:rFonts w:hint="eastAsia"/>
          <w:b/>
        </w:rPr>
        <w:t>第十八条</w:t>
      </w:r>
      <w:r>
        <w:rPr>
          <w:rFonts w:hint="eastAsia"/>
        </w:rPr>
        <w:t>　公共厕所应当文明使用。公共厕所内禁止下列行为：</w:t>
      </w:r>
    </w:p>
    <w:p w14:paraId="5A172E87">
      <w:r>
        <w:rPr>
          <w:rFonts w:hint="eastAsia"/>
        </w:rPr>
        <w:t>（一）随地吐痰、乱扔杂物；</w:t>
      </w:r>
    </w:p>
    <w:p w14:paraId="5FA31C69">
      <w:r>
        <w:rPr>
          <w:rFonts w:hint="eastAsia"/>
        </w:rPr>
        <w:t>（二）在便器外便溺；</w:t>
      </w:r>
    </w:p>
    <w:p w14:paraId="70ABF1CC">
      <w:r>
        <w:rPr>
          <w:rFonts w:hint="eastAsia"/>
        </w:rPr>
        <w:t>（三）向便器、粪井内排倒污水、污物、废弃物；</w:t>
      </w:r>
    </w:p>
    <w:p w14:paraId="0592F6D1">
      <w:r>
        <w:rPr>
          <w:rFonts w:hint="eastAsia"/>
        </w:rPr>
        <w:t>（四）在公共厕所内的墙壁、设施上乱涂抹、乱张贴、乱刻画；</w:t>
      </w:r>
    </w:p>
    <w:p w14:paraId="03E93CA6">
      <w:bookmarkStart w:id="2347" w:name="_Toc428780635"/>
      <w:r>
        <w:rPr>
          <w:rFonts w:hint="eastAsia"/>
        </w:rPr>
        <w:t>（五）毁损公共厕所内的设施、设备或者将其移作他用；</w:t>
      </w:r>
      <w:bookmarkEnd w:id="2347"/>
    </w:p>
    <w:p w14:paraId="48B1AF16">
      <w:r>
        <w:rPr>
          <w:rFonts w:hint="eastAsia"/>
        </w:rPr>
        <w:t>（六）其他影响环境卫生和公共厕所正常使用的行为。</w:t>
      </w:r>
    </w:p>
    <w:p w14:paraId="7C19D40A">
      <w:pPr>
        <w:ind w:firstLine="422"/>
      </w:pPr>
      <w:r>
        <w:rPr>
          <w:rFonts w:hint="eastAsia"/>
          <w:b/>
        </w:rPr>
        <w:t>第十九条</w:t>
      </w:r>
      <w:r>
        <w:rPr>
          <w:rFonts w:hint="eastAsia"/>
        </w:rPr>
        <w:t>　各级市政管理行政部门应当建立健全对公共厕所建设和维护管理的监督检查和考核制度，并组织落实。</w:t>
      </w:r>
    </w:p>
    <w:p w14:paraId="0067F539">
      <w:r>
        <w:rPr>
          <w:rFonts w:hint="eastAsia"/>
        </w:rPr>
        <w:t>各有关行政管理部门应当加强对本行业内公共厕所维护管理情况的监督检查。</w:t>
      </w:r>
    </w:p>
    <w:p w14:paraId="16DC111B">
      <w:pPr>
        <w:ind w:firstLine="422"/>
      </w:pPr>
      <w:r>
        <w:rPr>
          <w:rFonts w:hint="eastAsia"/>
          <w:b/>
        </w:rPr>
        <w:t>第二十条</w:t>
      </w:r>
      <w:r>
        <w:rPr>
          <w:rFonts w:hint="eastAsia"/>
        </w:rPr>
        <w:t>　有关行政管理部门及其工作人员违反本办法，不履行监督管理职责的，由所在单位或者上级主管部门对直接负责的主管人员和其他直接责任人员依法给予行政处分。</w:t>
      </w:r>
    </w:p>
    <w:p w14:paraId="3B870452">
      <w:r>
        <w:rPr>
          <w:rFonts w:hint="eastAsia"/>
        </w:rPr>
        <w:t>设计单位、施工单位、建设单位未按照有关规定设计、施工、验收公共厕所的，由规划、建设管理行政部门依照有关法规、规章予以处罚。</w:t>
      </w:r>
    </w:p>
    <w:p w14:paraId="25BB303B">
      <w:r>
        <w:rPr>
          <w:rFonts w:hint="eastAsia"/>
        </w:rPr>
        <w:t>单位或者个人违反本办法，影响市容环境卫生和公共厕所正常使用的，由城市管理综合执法部门依照《北京市市容环境卫生条例》的规定予以处罚。</w:t>
      </w:r>
    </w:p>
    <w:p w14:paraId="377952DF">
      <w:pPr>
        <w:ind w:firstLine="422"/>
        <w:rPr>
          <w:rFonts w:hint="eastAsia" w:ascii="宋体" w:hAnsi="宋体" w:eastAsia="宋体" w:cs="宋体"/>
        </w:rPr>
      </w:pPr>
      <w:r>
        <w:rPr>
          <w:rFonts w:hint="eastAsia"/>
          <w:b/>
        </w:rPr>
        <w:t>第二十一条</w:t>
      </w:r>
      <w:r>
        <w:rPr>
          <w:rFonts w:hint="eastAsia"/>
        </w:rPr>
        <w:t>　本办</w:t>
      </w:r>
      <w:r>
        <w:rPr>
          <w:rFonts w:hint="eastAsia" w:ascii="宋体" w:hAnsi="宋体" w:eastAsia="宋体" w:cs="宋体"/>
        </w:rPr>
        <w:t>法自2008年7月1日起施行。1989年4月20日市人民政府第11号令发布、1994年9月5日市人民政府第20号令第一次修改、1997年12月31日市人民政府第12号令第二次修改的《北京市公共厕所管理暂行办法》同时废止。</w:t>
      </w:r>
    </w:p>
    <w:p w14:paraId="2F009530">
      <w:pPr>
        <w:pStyle w:val="4"/>
        <w:pageBreakBefore/>
      </w:pPr>
      <w:bookmarkStart w:id="2348" w:name="_Toc428781859"/>
      <w:bookmarkStart w:id="2349" w:name="_Toc426467111"/>
      <w:bookmarkStart w:id="2350" w:name="_Toc428780636"/>
      <w:r>
        <w:rPr>
          <w:rFonts w:hint="eastAsia"/>
        </w:rPr>
        <w:t>北京市排水和再生水管理办法</w:t>
      </w:r>
      <w:bookmarkEnd w:id="2348"/>
      <w:bookmarkEnd w:id="2349"/>
      <w:bookmarkEnd w:id="2350"/>
    </w:p>
    <w:p w14:paraId="459BFB10">
      <w:pPr>
        <w:ind w:left="630" w:leftChars="300" w:right="630" w:rightChars="300"/>
        <w:rPr>
          <w:rFonts w:ascii="楷体" w:hAnsi="楷体" w:eastAsia="楷体"/>
        </w:rPr>
      </w:pPr>
      <w:r>
        <w:rPr>
          <w:rFonts w:hint="eastAsia" w:ascii="楷体" w:hAnsi="楷体" w:eastAsia="楷体"/>
        </w:rPr>
        <w:t>（2009年11月10日第52次市政府常务会议通过　2009年11月26日北京市人民政府第215号令公布）</w:t>
      </w:r>
    </w:p>
    <w:p w14:paraId="6C79AB7E"/>
    <w:p w14:paraId="1BD09ACB">
      <w:pPr>
        <w:ind w:firstLine="0" w:firstLineChars="0"/>
        <w:jc w:val="center"/>
        <w:rPr>
          <w:b/>
          <w:sz w:val="28"/>
        </w:rPr>
      </w:pPr>
      <w:r>
        <w:rPr>
          <w:rFonts w:hint="eastAsia"/>
          <w:b/>
          <w:sz w:val="28"/>
        </w:rPr>
        <w:t>第一章　总　则</w:t>
      </w:r>
    </w:p>
    <w:p w14:paraId="26D13008"/>
    <w:p w14:paraId="5D6494B4">
      <w:pPr>
        <w:ind w:firstLine="422"/>
      </w:pPr>
      <w:r>
        <w:rPr>
          <w:rFonts w:hint="eastAsia"/>
          <w:b/>
        </w:rPr>
        <w:t>第一条</w:t>
      </w:r>
      <w:r>
        <w:rPr>
          <w:rFonts w:hint="eastAsia"/>
        </w:rPr>
        <w:t xml:space="preserve">  为了加强本市排水和再生水管理，保证排水和再生水设施正常运行，实现水资源可持续利用，根据有关法律、法规，结合本市实际情况，制定本办法。</w:t>
      </w:r>
    </w:p>
    <w:p w14:paraId="74874B3C">
      <w:pPr>
        <w:ind w:firstLine="422"/>
      </w:pPr>
      <w:r>
        <w:rPr>
          <w:rFonts w:hint="eastAsia"/>
          <w:b/>
        </w:rPr>
        <w:t>第二条</w:t>
      </w:r>
      <w:r>
        <w:rPr>
          <w:rFonts w:hint="eastAsia"/>
        </w:rPr>
        <w:t xml:space="preserve">  本市行政区域内排水和再生水规划，排水和再生水设施的建设、运营、使用、保护和相关管理活动，适用本办法。</w:t>
      </w:r>
    </w:p>
    <w:p w14:paraId="1D8A947B">
      <w:pPr>
        <w:ind w:firstLine="422"/>
      </w:pPr>
      <w:r>
        <w:rPr>
          <w:rFonts w:hint="eastAsia"/>
          <w:b/>
        </w:rPr>
        <w:t>第三条</w:t>
      </w:r>
      <w:r>
        <w:rPr>
          <w:rFonts w:hint="eastAsia"/>
        </w:rPr>
        <w:t xml:space="preserve">  市和区（县）水行政主管部门组织编制本行政区域排水和再生水规划与建设计划并组织实施，负责排水和再生水的监督和管理工作。</w:t>
      </w:r>
    </w:p>
    <w:p w14:paraId="2752D1F6">
      <w:r>
        <w:rPr>
          <w:rFonts w:hint="eastAsia"/>
        </w:rPr>
        <w:t>发展改革、环境保护、规划、住房和城乡建设、市政市容、园林绿化、交通等部门按照各自职责，做好排水和再生水的相关工作。</w:t>
      </w:r>
    </w:p>
    <w:p w14:paraId="54DE4C50">
      <w:pPr>
        <w:ind w:firstLine="422"/>
      </w:pPr>
      <w:r>
        <w:rPr>
          <w:rFonts w:hint="eastAsia"/>
          <w:b/>
        </w:rPr>
        <w:t>第四条</w:t>
      </w:r>
      <w:r>
        <w:rPr>
          <w:rFonts w:hint="eastAsia"/>
        </w:rPr>
        <w:t xml:space="preserve">  排水和再生水设施运营单位应当依法履行维护管理职责，保证设施安全正常运行，及时处置排水和再生水突发事件。</w:t>
      </w:r>
    </w:p>
    <w:p w14:paraId="6871CF5B">
      <w:r>
        <w:rPr>
          <w:rFonts w:hint="eastAsia"/>
        </w:rPr>
        <w:t>排水和再生水设施运营单位可以委托作业单位承担具体的养护事项，委托应当签订书面协议。</w:t>
      </w:r>
    </w:p>
    <w:p w14:paraId="0B989629">
      <w:r>
        <w:rPr>
          <w:rFonts w:hint="eastAsia"/>
        </w:rPr>
        <w:t>排水和再生水设施运营单位有权了解用户使用排水和再生水设施的情况，制止破坏排水和再生水设施的行为，并依法享有获得赔偿的权利。</w:t>
      </w:r>
    </w:p>
    <w:p w14:paraId="105ACCCB">
      <w:pPr>
        <w:ind w:firstLine="422"/>
      </w:pPr>
      <w:r>
        <w:rPr>
          <w:rFonts w:hint="eastAsia"/>
          <w:b/>
        </w:rPr>
        <w:t>第五条</w:t>
      </w:r>
      <w:r>
        <w:rPr>
          <w:rFonts w:hint="eastAsia"/>
        </w:rPr>
        <w:t xml:space="preserve">  本市鼓励、支持排水和再生水科学研究和技术开发，加快技术成果转化和产业化，引进和推广新技术、新工艺、新材料，提高污水、污泥的再利用和资源化水平。</w:t>
      </w:r>
    </w:p>
    <w:p w14:paraId="79B0B2EC"/>
    <w:p w14:paraId="78559A88">
      <w:pPr>
        <w:ind w:firstLine="0" w:firstLineChars="0"/>
        <w:jc w:val="center"/>
        <w:rPr>
          <w:b/>
          <w:sz w:val="28"/>
        </w:rPr>
      </w:pPr>
      <w:r>
        <w:rPr>
          <w:rFonts w:hint="eastAsia"/>
          <w:b/>
          <w:sz w:val="28"/>
        </w:rPr>
        <w:t>第二章  规划与建设</w:t>
      </w:r>
    </w:p>
    <w:p w14:paraId="0AEA74BD"/>
    <w:p w14:paraId="4FF6491C">
      <w:pPr>
        <w:ind w:firstLine="422"/>
      </w:pPr>
      <w:r>
        <w:rPr>
          <w:rFonts w:hint="eastAsia"/>
          <w:b/>
        </w:rPr>
        <w:t>第六条</w:t>
      </w:r>
      <w:r>
        <w:rPr>
          <w:rFonts w:hint="eastAsia"/>
        </w:rPr>
        <w:t xml:space="preserve">  全市排水和再生水规划、中心城排水和再生水规划由市水行政主管部门组织编制，经市规划行政主管部门审查后，报市人民政府批准实施。中心城以外地区的区（县）排水和再生水规划，由区（县）水行政主管部门组织编制，经市水行政主管部门会同规划行政主管部门审核后，报本区（县）人民政府批准实施。中心城、区（县）的排水和再生水规划，应当符合全市排水和再生水规划。</w:t>
      </w:r>
    </w:p>
    <w:p w14:paraId="2AFF55C7">
      <w:r>
        <w:rPr>
          <w:rFonts w:hint="eastAsia"/>
        </w:rPr>
        <w:t>排水和再生水规划应当包括现状分析、排水量预测、排水模式、污水处理原则、设施布局和规模、再生水利用目标、污泥处置和资源化等内容。</w:t>
      </w:r>
    </w:p>
    <w:p w14:paraId="7CD2F6BE">
      <w:r>
        <w:rPr>
          <w:rFonts w:hint="eastAsia"/>
        </w:rPr>
        <w:t>排水和再生水规划应当与国民经济和社会发展规划以及土地利用总体规划、城市总体规划、环境保护规划、水资源规划和防洪规划等相协调。</w:t>
      </w:r>
    </w:p>
    <w:p w14:paraId="6B1A0F4D">
      <w:pPr>
        <w:ind w:firstLine="422"/>
      </w:pPr>
      <w:r>
        <w:rPr>
          <w:rFonts w:hint="eastAsia"/>
          <w:b/>
        </w:rPr>
        <w:t>第七条</w:t>
      </w:r>
      <w:r>
        <w:rPr>
          <w:rFonts w:hint="eastAsia"/>
        </w:rPr>
        <w:t xml:space="preserve">  市和区（县）水行政主管部门应当根据排水和再生水规划以及区域发展的需要，组织制定排水和再生水设施建设计划。</w:t>
      </w:r>
    </w:p>
    <w:p w14:paraId="48A130E4">
      <w:pPr>
        <w:ind w:firstLine="422"/>
      </w:pPr>
      <w:r>
        <w:rPr>
          <w:rFonts w:hint="eastAsia"/>
          <w:b/>
        </w:rPr>
        <w:t>第八条</w:t>
      </w:r>
      <w:r>
        <w:rPr>
          <w:rFonts w:hint="eastAsia"/>
        </w:rPr>
        <w:t xml:space="preserve">  城镇地区应当统一规划建设公共排水和再生水设施，做到雨污分流、厂网配套、管网优先，并与道路建设相协调。管网建设应当保证系统性。</w:t>
      </w:r>
    </w:p>
    <w:p w14:paraId="6F7513E3">
      <w:r>
        <w:rPr>
          <w:rFonts w:hint="eastAsia"/>
        </w:rPr>
        <w:t>农村地区应当根据实际情况，因地制宜建设排水和再生水设施。</w:t>
      </w:r>
    </w:p>
    <w:p w14:paraId="7CBAD931">
      <w:pPr>
        <w:ind w:firstLine="422"/>
      </w:pPr>
      <w:r>
        <w:rPr>
          <w:rFonts w:hint="eastAsia"/>
          <w:b/>
        </w:rPr>
        <w:t>第九条</w:t>
      </w:r>
      <w:r>
        <w:rPr>
          <w:rFonts w:hint="eastAsia"/>
        </w:rPr>
        <w:t xml:space="preserve">  新建、改建、扩建建设工程中涉及公共排水设施利用和保护的，规划行政主管部门在审查项目规划设计时，应当通知水行政主管部门参加审查。</w:t>
      </w:r>
    </w:p>
    <w:p w14:paraId="36EE485D">
      <w:pPr>
        <w:ind w:firstLine="422"/>
      </w:pPr>
      <w:r>
        <w:rPr>
          <w:rFonts w:hint="eastAsia"/>
          <w:b/>
        </w:rPr>
        <w:t>第十条</w:t>
      </w:r>
      <w:r>
        <w:rPr>
          <w:rFonts w:hint="eastAsia"/>
        </w:rPr>
        <w:t xml:space="preserve">  专用排水和再生水设施建设资金应当纳入建设项目总投资，由建设单位按照项目建设规划要求组织建设，并与主体工程同时设计、同时施工、同时验收、同时投入使用。</w:t>
      </w:r>
    </w:p>
    <w:p w14:paraId="1E59796D">
      <w:r>
        <w:rPr>
          <w:rFonts w:hint="eastAsia"/>
        </w:rPr>
        <w:t>公共排水管网覆盖范围以外地区，新建、改建、扩建建设工程达到规模要求的，建设单位应当按照有关规定建设污水处理和再生水设施。</w:t>
      </w:r>
    </w:p>
    <w:p w14:paraId="14E0FA94">
      <w:pPr>
        <w:ind w:firstLine="422"/>
      </w:pPr>
      <w:r>
        <w:rPr>
          <w:rFonts w:hint="eastAsia"/>
          <w:b/>
        </w:rPr>
        <w:t>第十一条</w:t>
      </w:r>
      <w:r>
        <w:rPr>
          <w:rFonts w:hint="eastAsia"/>
        </w:rPr>
        <w:t xml:space="preserve">  公共排水设施完成竣工验收备案后，建设单位应当将设施移交给水行政主管部门确定的运营单位。运营单位应当予以接收，并承担设施的运行养护、安全管理责任。</w:t>
      </w:r>
    </w:p>
    <w:p w14:paraId="02C53622">
      <w:r>
        <w:rPr>
          <w:rFonts w:hint="eastAsia"/>
        </w:rPr>
        <w:t>移交双方应当共同对移交的设施进行检查，签订移交协议，并办理设施档案移交手续。移交协议应当包括设施检查结果等内容。</w:t>
      </w:r>
    </w:p>
    <w:p w14:paraId="6D12FE17"/>
    <w:p w14:paraId="2415E855">
      <w:pPr>
        <w:ind w:firstLine="0" w:firstLineChars="0"/>
        <w:jc w:val="center"/>
        <w:rPr>
          <w:b/>
          <w:sz w:val="28"/>
        </w:rPr>
      </w:pPr>
      <w:r>
        <w:rPr>
          <w:rFonts w:hint="eastAsia"/>
          <w:b/>
          <w:sz w:val="28"/>
        </w:rPr>
        <w:t>第三章  运营与养护</w:t>
      </w:r>
    </w:p>
    <w:p w14:paraId="652CF3FD"/>
    <w:p w14:paraId="694B5B22">
      <w:pPr>
        <w:ind w:firstLine="422"/>
      </w:pPr>
      <w:r>
        <w:rPr>
          <w:rFonts w:hint="eastAsia"/>
          <w:b/>
        </w:rPr>
        <w:t>第十二条</w:t>
      </w:r>
      <w:r>
        <w:rPr>
          <w:rFonts w:hint="eastAsia"/>
        </w:rPr>
        <w:t xml:space="preserve">  城镇地区公共排水和再生水设施运营单位，由水行政主管部门会同有关部门确定。</w:t>
      </w:r>
    </w:p>
    <w:p w14:paraId="3F9F06B3">
      <w:r>
        <w:rPr>
          <w:rFonts w:hint="eastAsia"/>
        </w:rPr>
        <w:t>专用排水和再生水设施由所有权人负责运营和养护，并承担相应资金。其中，住宅区实行物业管理的，由业主或者其委托的物业服务企业负责；有住宅管理单位的，由住宅管理单位负责。</w:t>
      </w:r>
    </w:p>
    <w:p w14:paraId="3400DC40">
      <w:r>
        <w:rPr>
          <w:rFonts w:hint="eastAsia"/>
        </w:rPr>
        <w:t>镇（乡）、村庄公用排水和再生水设施由所在地镇（乡）人民政府组织运营和养护；公路范围内附属排水设施由交通部门组织运营和养护。</w:t>
      </w:r>
    </w:p>
    <w:p w14:paraId="6DDEA047">
      <w:pPr>
        <w:ind w:firstLine="422"/>
      </w:pPr>
      <w:r>
        <w:rPr>
          <w:rFonts w:hint="eastAsia"/>
          <w:b/>
        </w:rPr>
        <w:t>第十三条</w:t>
      </w:r>
      <w:r>
        <w:rPr>
          <w:rFonts w:hint="eastAsia"/>
        </w:rPr>
        <w:t xml:space="preserve">  排水和再生水设施运营单位应当具备必要的人员、技术和设备条件，并履行以下职责：</w:t>
      </w:r>
    </w:p>
    <w:p w14:paraId="68622452">
      <w:bookmarkStart w:id="2351" w:name="_Toc428780637"/>
      <w:r>
        <w:rPr>
          <w:rFonts w:hint="eastAsia"/>
        </w:rPr>
        <w:t>（一）建立健全各项管理制度，保证设施正常运行；</w:t>
      </w:r>
      <w:bookmarkEnd w:id="2351"/>
    </w:p>
    <w:p w14:paraId="6F30F697">
      <w:r>
        <w:rPr>
          <w:rFonts w:hint="eastAsia"/>
        </w:rPr>
        <w:t>（二）制定年度养护计划，并按照计划对设施进行巡查、养护、维护；</w:t>
      </w:r>
    </w:p>
    <w:p w14:paraId="369B49DE">
      <w:r>
        <w:rPr>
          <w:rFonts w:hint="eastAsia"/>
        </w:rPr>
        <w:t>（三）完好保存设施建设资料和巡查、养护、维护记录等档案，逐步实现档案的信息化管理；</w:t>
      </w:r>
    </w:p>
    <w:p w14:paraId="59D8AA20">
      <w:bookmarkStart w:id="2352" w:name="_Toc428780638"/>
      <w:r>
        <w:rPr>
          <w:rFonts w:hint="eastAsia"/>
        </w:rPr>
        <w:t>（四）对运行操作人员进行专业技能和安全生产教育培训；</w:t>
      </w:r>
      <w:bookmarkEnd w:id="2352"/>
    </w:p>
    <w:p w14:paraId="01C22639">
      <w:r>
        <w:rPr>
          <w:rFonts w:hint="eastAsia"/>
        </w:rPr>
        <w:t>（五）落实安全管理制度，遵守各项安全操作规程，进入排水和再生水设施有限空间实施作业的，应当采取有效的安全防护措施。</w:t>
      </w:r>
    </w:p>
    <w:p w14:paraId="4E80964F">
      <w:pPr>
        <w:ind w:firstLine="422"/>
      </w:pPr>
      <w:r>
        <w:rPr>
          <w:rFonts w:hint="eastAsia"/>
          <w:b/>
        </w:rPr>
        <w:t>第十四条</w:t>
      </w:r>
      <w:r>
        <w:rPr>
          <w:rFonts w:hint="eastAsia"/>
        </w:rPr>
        <w:t xml:space="preserve">  公共排水和再生水设施运营单位除履行本办法第十三条规定的职责外，还应当遵守下列规定：</w:t>
      </w:r>
    </w:p>
    <w:p w14:paraId="7CA81F30">
      <w:r>
        <w:rPr>
          <w:rFonts w:hint="eastAsia"/>
        </w:rPr>
        <w:t>（一）按照规定将年度养护计划和设施运行维护资料报水行政主管部门备案；</w:t>
      </w:r>
    </w:p>
    <w:p w14:paraId="7C50FA31">
      <w:bookmarkStart w:id="2353" w:name="_Toc428780639"/>
      <w:r>
        <w:rPr>
          <w:rFonts w:hint="eastAsia"/>
        </w:rPr>
        <w:t>（二）定期巡查、维护排水和再生水井盖、雨水箅子；</w:t>
      </w:r>
      <w:bookmarkEnd w:id="2353"/>
    </w:p>
    <w:p w14:paraId="7A716367">
      <w:r>
        <w:rPr>
          <w:rFonts w:hint="eastAsia"/>
        </w:rPr>
        <w:t>（三）按照规定向建设单位提供施工现场排水和再生水管线的信息。</w:t>
      </w:r>
    </w:p>
    <w:p w14:paraId="34E3F085">
      <w:pPr>
        <w:ind w:firstLine="422"/>
      </w:pPr>
      <w:r>
        <w:rPr>
          <w:rFonts w:hint="eastAsia"/>
          <w:b/>
        </w:rPr>
        <w:t>第十五条</w:t>
      </w:r>
      <w:r>
        <w:rPr>
          <w:rFonts w:hint="eastAsia"/>
        </w:rPr>
        <w:t xml:space="preserve">  排水和再生水设施运营单位应当制定排水和再生水设施突发事件应急预案并按照规定进行演练。专用排水和再生水设施运营单位不具备应急抢修能力的，应当事先与具备抢修能力的单位签订抢修协议，共同制定应急预案并进行演练。</w:t>
      </w:r>
    </w:p>
    <w:p w14:paraId="52F74A8C">
      <w:r>
        <w:rPr>
          <w:rFonts w:hint="eastAsia"/>
        </w:rPr>
        <w:t>公共排水和再生水设施发生突发事件时，运营单位应当启动应急预案，迅速到达事故现场抢修；可能影响公共安全的，应当及时告知受影响的单位和公众，同时向水行政主管部门报告。</w:t>
      </w:r>
    </w:p>
    <w:p w14:paraId="7BBEBAA7">
      <w:pPr>
        <w:ind w:firstLine="422"/>
      </w:pPr>
      <w:r>
        <w:rPr>
          <w:rFonts w:hint="eastAsia"/>
          <w:b/>
        </w:rPr>
        <w:t>第十六条</w:t>
      </w:r>
      <w:r>
        <w:rPr>
          <w:rFonts w:hint="eastAsia"/>
        </w:rPr>
        <w:t xml:space="preserve">  专用排水管线按照规划接入公共排水管网的，专用排水管线建设单位或者个人在取得排水许可后，应当到公共排水管网运营单位办理接入手续。</w:t>
      </w:r>
    </w:p>
    <w:p w14:paraId="41E22436">
      <w:r>
        <w:rPr>
          <w:rFonts w:hint="eastAsia"/>
        </w:rPr>
        <w:t>专用排水管线接入公共排水管网应当符合国家标准规范，并在连接点处预留检查井。接入公共排水管网的餐饮服务排水户应当设置符合标准的隔油设施，并保持设施正常运行。</w:t>
      </w:r>
    </w:p>
    <w:p w14:paraId="75331EEF">
      <w:pPr>
        <w:ind w:firstLine="422"/>
      </w:pPr>
      <w:r>
        <w:rPr>
          <w:rFonts w:hint="eastAsia"/>
          <w:b/>
        </w:rPr>
        <w:t>第十七条</w:t>
      </w:r>
      <w:r>
        <w:rPr>
          <w:rFonts w:hint="eastAsia"/>
        </w:rPr>
        <w:t xml:space="preserve">  在排水和再生水设施周边进行施工作业可能影响排水和再生水设施安全运营的，施工组织设计中应当包括设施保护方案，并在实施方案时通知运营单位；建设工程需要拆改、迁移、废除排水和再生水设施的，开工前应当到运营单位办理手续。</w:t>
      </w:r>
    </w:p>
    <w:p w14:paraId="1AFF66F9">
      <w:r>
        <w:rPr>
          <w:rFonts w:hint="eastAsia"/>
        </w:rPr>
        <w:t>施工作业损坏设施的，施工单位应当立即报告运营单位和事故发生地水行政主管部门及有关部门，并采取应急保护措施。</w:t>
      </w:r>
    </w:p>
    <w:p w14:paraId="742A1DDA">
      <w:pPr>
        <w:ind w:firstLine="422"/>
      </w:pPr>
      <w:r>
        <w:rPr>
          <w:rFonts w:hint="eastAsia"/>
          <w:b/>
        </w:rPr>
        <w:t>第十八条</w:t>
      </w:r>
      <w:r>
        <w:rPr>
          <w:rFonts w:hint="eastAsia"/>
        </w:rPr>
        <w:t xml:space="preserve">  禁止下列损害排水和再生水设施的行为：</w:t>
      </w:r>
    </w:p>
    <w:p w14:paraId="239E927A">
      <w:r>
        <w:rPr>
          <w:rFonts w:hint="eastAsia"/>
        </w:rPr>
        <w:t>（一）擅自占压、拆卸、移动排水和再生水设施；</w:t>
      </w:r>
    </w:p>
    <w:p w14:paraId="3CD539E8">
      <w:r>
        <w:rPr>
          <w:rFonts w:hint="eastAsia"/>
        </w:rPr>
        <w:t>（二）穿凿、堵塞排水和再生水设施；</w:t>
      </w:r>
    </w:p>
    <w:p w14:paraId="0DE9CC69">
      <w:r>
        <w:rPr>
          <w:rFonts w:hint="eastAsia"/>
        </w:rPr>
        <w:t>（三）向排水和再生水设施倾倒垃圾、粪便、渣土、施工废料、污水处理产生的污泥等废弃物；</w:t>
      </w:r>
    </w:p>
    <w:p w14:paraId="53144731">
      <w:bookmarkStart w:id="2354" w:name="_Toc428780640"/>
      <w:r>
        <w:rPr>
          <w:rFonts w:hint="eastAsia"/>
        </w:rPr>
        <w:t>（四）向排水管网排放超标污水、有毒有害及易燃易爆物质；</w:t>
      </w:r>
      <w:bookmarkEnd w:id="2354"/>
    </w:p>
    <w:p w14:paraId="675F6AF2">
      <w:r>
        <w:rPr>
          <w:rFonts w:hint="eastAsia"/>
        </w:rPr>
        <w:t>（五）在排水和再生水设施用地范围内取土、爆破、埋杆、堆物；</w:t>
      </w:r>
    </w:p>
    <w:p w14:paraId="17048BDF">
      <w:r>
        <w:rPr>
          <w:rFonts w:hint="eastAsia"/>
        </w:rPr>
        <w:t>（六）擅自接入公共排水和再生水管网；</w:t>
      </w:r>
    </w:p>
    <w:p w14:paraId="4BDFB740">
      <w:r>
        <w:rPr>
          <w:rFonts w:hint="eastAsia"/>
        </w:rPr>
        <w:t>（七）住宅区再生水设施处理粪便水和重污染水；</w:t>
      </w:r>
    </w:p>
    <w:p w14:paraId="1DBDE81E">
      <w:r>
        <w:rPr>
          <w:rFonts w:hint="eastAsia"/>
        </w:rPr>
        <w:t>（八）其他损害排水和再生水设施的行为。</w:t>
      </w:r>
    </w:p>
    <w:p w14:paraId="7C7937D5">
      <w:pPr>
        <w:ind w:firstLine="422"/>
      </w:pPr>
      <w:r>
        <w:rPr>
          <w:rFonts w:hint="eastAsia"/>
          <w:b/>
        </w:rPr>
        <w:t>第十九条</w:t>
      </w:r>
      <w:r>
        <w:rPr>
          <w:rFonts w:hint="eastAsia"/>
        </w:rPr>
        <w:t xml:space="preserve">  镇（乡）、村庄公用排水和再生水设施的运营和养护，参照本章的规定执行。</w:t>
      </w:r>
    </w:p>
    <w:p w14:paraId="6FD7260F">
      <w:r>
        <w:rPr>
          <w:rFonts w:hint="eastAsia"/>
        </w:rPr>
        <w:t>村民应当按照村规民约使用和保护镇（乡）、村庄公用排水和再生水设施。</w:t>
      </w:r>
    </w:p>
    <w:p w14:paraId="250FEA93">
      <w:r>
        <w:rPr>
          <w:rFonts w:hint="eastAsia"/>
        </w:rPr>
        <w:t>损害镇（乡）、村庄公用排水和再生水设施的，应当依法赔偿并由村民委员会按照村规民约处理。</w:t>
      </w:r>
    </w:p>
    <w:p w14:paraId="49459F36"/>
    <w:p w14:paraId="04EC3D64">
      <w:pPr>
        <w:ind w:firstLine="0" w:firstLineChars="0"/>
        <w:jc w:val="center"/>
        <w:rPr>
          <w:b/>
        </w:rPr>
      </w:pPr>
      <w:r>
        <w:rPr>
          <w:rFonts w:hint="eastAsia"/>
          <w:b/>
          <w:sz w:val="28"/>
        </w:rPr>
        <w:t>第四章  污水处理</w:t>
      </w:r>
    </w:p>
    <w:p w14:paraId="774B12DB"/>
    <w:p w14:paraId="145D6423">
      <w:pPr>
        <w:ind w:firstLine="422"/>
      </w:pPr>
      <w:r>
        <w:rPr>
          <w:rFonts w:hint="eastAsia"/>
          <w:b/>
        </w:rPr>
        <w:t>第二十条</w:t>
      </w:r>
      <w:r>
        <w:rPr>
          <w:rFonts w:hint="eastAsia"/>
        </w:rPr>
        <w:t xml:space="preserve">  公共污水处理设施应当安装符合国家规范要求的进出水计量装置、水质监测装置，加强水质在线监测。各项装置应当定期校核，确保数据真实准确。</w:t>
      </w:r>
    </w:p>
    <w:p w14:paraId="1CEFA0A0">
      <w:r>
        <w:rPr>
          <w:rFonts w:hint="eastAsia"/>
        </w:rPr>
        <w:t>污水处理运营单位应当按照规定定期检测进出水水质，检测项目应当符合国家规范、规程要求。</w:t>
      </w:r>
    </w:p>
    <w:p w14:paraId="0C5377F7">
      <w:pPr>
        <w:ind w:firstLine="422"/>
      </w:pPr>
      <w:r>
        <w:rPr>
          <w:rFonts w:hint="eastAsia"/>
          <w:b/>
        </w:rPr>
        <w:t>第二十一条</w:t>
      </w:r>
      <w:r>
        <w:rPr>
          <w:rFonts w:hint="eastAsia"/>
        </w:rPr>
        <w:t xml:space="preserve">  污水处理运营单位应当定期向水行政主管部门报告进出水水质、水量情况，以及特许经营协议、服务协议规定的报告项目。出现进出水水质、水量异常以及影响设施正常运行的突发情况，应当及时采取补救措施并向水行政主管部门报告。</w:t>
      </w:r>
    </w:p>
    <w:p w14:paraId="43C6992B">
      <w:r>
        <w:rPr>
          <w:rFonts w:hint="eastAsia"/>
        </w:rPr>
        <w:t>污水处理运营单位因设施检修造成设施处理能力下降或者设施部分停运的，应当提前</w:t>
      </w:r>
      <w:r>
        <w:rPr>
          <w:rFonts w:hint="eastAsia" w:ascii="宋体" w:hAnsi="宋体" w:eastAsia="宋体" w:cs="宋体"/>
        </w:rPr>
        <w:t>30</w:t>
      </w:r>
      <w:r>
        <w:rPr>
          <w:rFonts w:hint="eastAsia"/>
        </w:rPr>
        <w:t>日向水行政主管部门报告，并按照协议经水行政主管部门批准后方可实施检修。</w:t>
      </w:r>
    </w:p>
    <w:p w14:paraId="2690805E">
      <w:pPr>
        <w:ind w:firstLine="422"/>
      </w:pPr>
      <w:r>
        <w:rPr>
          <w:rFonts w:hint="eastAsia"/>
          <w:b/>
        </w:rPr>
        <w:t>第二十二条</w:t>
      </w:r>
      <w:r>
        <w:rPr>
          <w:rFonts w:hint="eastAsia"/>
        </w:rPr>
        <w:t xml:space="preserve">  污水处理运营单位不得排放未经处理或者未达到规定处理标准的污水。</w:t>
      </w:r>
    </w:p>
    <w:p w14:paraId="27EB2144">
      <w:r>
        <w:rPr>
          <w:rFonts w:hint="eastAsia"/>
        </w:rPr>
        <w:t>污水处理运营单位应当对污水处理过程中产生的污泥进行脱水处理，并按照固体废弃物污染防治法律、法规的规定，对污泥进行处置，防止再次污染。</w:t>
      </w:r>
    </w:p>
    <w:p w14:paraId="3D2FBA22">
      <w:r>
        <w:rPr>
          <w:rFonts w:hint="eastAsia"/>
        </w:rPr>
        <w:t>本市鼓励污泥干化、污泥堆肥等项目建设。在农林、建材等生产领域利用经无害化处理污泥的，享受国家和本市资源综合利用相关优惠政策。</w:t>
      </w:r>
    </w:p>
    <w:p w14:paraId="402BAF0D">
      <w:pPr>
        <w:ind w:firstLine="422"/>
      </w:pPr>
      <w:r>
        <w:rPr>
          <w:rFonts w:hint="eastAsia"/>
          <w:b/>
        </w:rPr>
        <w:t>第二十三条</w:t>
      </w:r>
      <w:r>
        <w:rPr>
          <w:rFonts w:hint="eastAsia"/>
        </w:rPr>
        <w:t xml:space="preserve">  用水单位和个人应当交纳污水处理费。污水处理费应当包括污水管网维护管理、污水处理、污泥处置等费用。</w:t>
      </w:r>
    </w:p>
    <w:p w14:paraId="614D43F3">
      <w:r>
        <w:rPr>
          <w:rFonts w:hint="eastAsia"/>
        </w:rPr>
        <w:t>污水处理费的征收标准由市价格行政主管部门会同市财政部门依照国家和本市有关规定制定并公布。污水处理费应当用于公共排水和污水处理设施的养护、运行、保护和建设。</w:t>
      </w:r>
    </w:p>
    <w:p w14:paraId="730AF7A5"/>
    <w:p w14:paraId="79318D92">
      <w:pPr>
        <w:ind w:firstLine="0" w:firstLineChars="0"/>
        <w:jc w:val="center"/>
        <w:rPr>
          <w:b/>
          <w:sz w:val="28"/>
        </w:rPr>
      </w:pPr>
      <w:r>
        <w:rPr>
          <w:rFonts w:hint="eastAsia"/>
          <w:b/>
          <w:sz w:val="28"/>
        </w:rPr>
        <w:t>第五章  再生水利用</w:t>
      </w:r>
    </w:p>
    <w:p w14:paraId="7071EAED"/>
    <w:p w14:paraId="6AB942E4">
      <w:pPr>
        <w:ind w:firstLine="422"/>
      </w:pPr>
      <w:r>
        <w:rPr>
          <w:rFonts w:hint="eastAsia"/>
          <w:b/>
        </w:rPr>
        <w:t>第二十四条</w:t>
      </w:r>
      <w:r>
        <w:rPr>
          <w:rFonts w:hint="eastAsia"/>
        </w:rPr>
        <w:t xml:space="preserve">  本市将再生水纳入水资源统一配置，实行地表水、地下水、再生水等联合调度、总量控制。</w:t>
      </w:r>
    </w:p>
    <w:p w14:paraId="1D29241B">
      <w:pPr>
        <w:ind w:firstLine="422"/>
      </w:pPr>
      <w:r>
        <w:rPr>
          <w:rFonts w:hint="eastAsia"/>
          <w:b/>
        </w:rPr>
        <w:t>第二十五条</w:t>
      </w:r>
      <w:r>
        <w:rPr>
          <w:rFonts w:hint="eastAsia"/>
        </w:rPr>
        <w:t xml:space="preserve">  再生水主要用于工业、农业、环境等用水领域。</w:t>
      </w:r>
    </w:p>
    <w:p w14:paraId="7016126E">
      <w:r>
        <w:rPr>
          <w:rFonts w:hint="eastAsia"/>
        </w:rPr>
        <w:t>新建、改建工业企业、农田灌溉应当优先使用再生水；河道、湖泊、景观补充水优先使用再生水；再生水供水区域内的施工、洗车、降尘、园林绿化、道路清扫和其他市政杂用用水应当使用再生水。</w:t>
      </w:r>
    </w:p>
    <w:p w14:paraId="2B938446">
      <w:pPr>
        <w:ind w:firstLine="422"/>
      </w:pPr>
      <w:r>
        <w:rPr>
          <w:rFonts w:hint="eastAsia"/>
          <w:b/>
        </w:rPr>
        <w:t>第二十六条</w:t>
      </w:r>
      <w:r>
        <w:rPr>
          <w:rFonts w:hint="eastAsia"/>
        </w:rPr>
        <w:t xml:space="preserve">  再生水供水企业供水应当与用户签订合同，供水水质、水压应当符合国家和本市的相关标准，不得擅自间断供水或者停止供水。因工程施工、设备维修等原因需要停止向用户供水的，应当提前</w:t>
      </w:r>
      <w:r>
        <w:rPr>
          <w:rFonts w:hint="eastAsia" w:ascii="宋体" w:hAnsi="宋体" w:eastAsia="宋体" w:cs="宋体"/>
        </w:rPr>
        <w:t>24</w:t>
      </w:r>
      <w:r>
        <w:rPr>
          <w:rFonts w:hint="eastAsia"/>
        </w:rPr>
        <w:t>小时通知用户。发生灾害或者事故、突发事件的，再生水供水企业应当及时组织抢修，并通知再生水用户，报告水行政主管部门。</w:t>
      </w:r>
    </w:p>
    <w:p w14:paraId="7C34886E">
      <w:r>
        <w:rPr>
          <w:rFonts w:hint="eastAsia"/>
        </w:rPr>
        <w:t>发现再生水水质超标情况时，再生水供水企业应当停止供水，及时通知再生水用户并向水行政主管部门报告。</w:t>
      </w:r>
    </w:p>
    <w:p w14:paraId="7465ACC9">
      <w:pPr>
        <w:ind w:firstLine="422"/>
      </w:pPr>
      <w:r>
        <w:rPr>
          <w:rFonts w:hint="eastAsia"/>
          <w:b/>
        </w:rPr>
        <w:t>第二十七条</w:t>
      </w:r>
      <w:r>
        <w:rPr>
          <w:rFonts w:hint="eastAsia"/>
        </w:rPr>
        <w:t xml:space="preserve">  再生水用户内部再生水供水系统和自来水供水系统应当相互独立，再生水设施和管线应当有明显标识，不得擅自改动使用性质，室外取水口应当有防护措施，保证用水安全。</w:t>
      </w:r>
    </w:p>
    <w:p w14:paraId="1ED99856">
      <w:r>
        <w:rPr>
          <w:rFonts w:hint="eastAsia"/>
        </w:rPr>
        <w:t>有特殊水质要求的，再生水用户应当根据再生水水质特点，制定相应的使用规程，采取必要的水质处理与维护措施，保证再生水使用安全。</w:t>
      </w:r>
    </w:p>
    <w:p w14:paraId="0B363EA4">
      <w:pPr>
        <w:ind w:firstLine="422"/>
      </w:pPr>
      <w:r>
        <w:rPr>
          <w:rFonts w:hint="eastAsia"/>
          <w:b/>
        </w:rPr>
        <w:t>第二十八条</w:t>
      </w:r>
      <w:r>
        <w:rPr>
          <w:rFonts w:hint="eastAsia"/>
        </w:rPr>
        <w:t xml:space="preserve">  本市再生水价格由市价格行政主管部门会同有关部门制定并公布。</w:t>
      </w:r>
    </w:p>
    <w:p w14:paraId="16F8E80A"/>
    <w:p w14:paraId="3A649D6F">
      <w:pPr>
        <w:ind w:firstLine="0" w:firstLineChars="0"/>
        <w:jc w:val="center"/>
        <w:rPr>
          <w:b/>
          <w:sz w:val="28"/>
        </w:rPr>
      </w:pPr>
      <w:r>
        <w:rPr>
          <w:rFonts w:hint="eastAsia"/>
          <w:b/>
          <w:sz w:val="28"/>
        </w:rPr>
        <w:t>第六章  监督与管理</w:t>
      </w:r>
    </w:p>
    <w:p w14:paraId="76C10741"/>
    <w:p w14:paraId="257FAF86">
      <w:pPr>
        <w:ind w:firstLine="422"/>
      </w:pPr>
      <w:r>
        <w:rPr>
          <w:rFonts w:hint="eastAsia"/>
          <w:b/>
        </w:rPr>
        <w:t>第二十九条</w:t>
      </w:r>
      <w:r>
        <w:rPr>
          <w:rFonts w:hint="eastAsia"/>
        </w:rPr>
        <w:t xml:space="preserve">  市和区（县）有关部门应当在本级人民政府统一领导下，按照职责分工做好排水和再生水的监督管理工作。</w:t>
      </w:r>
    </w:p>
    <w:p w14:paraId="41F0F90F">
      <w:pPr>
        <w:ind w:firstLine="422"/>
      </w:pPr>
      <w:r>
        <w:rPr>
          <w:rFonts w:hint="eastAsia"/>
          <w:b/>
        </w:rPr>
        <w:t>第三十条</w:t>
      </w:r>
      <w:r>
        <w:rPr>
          <w:rFonts w:hint="eastAsia"/>
        </w:rPr>
        <w:t xml:space="preserve">  水行政主管部门组织起草或者制定排水和再生水设施建设、运行、管理的标准、规范和规程，建立公共排水和再生水设施监督管理体系，对设施的运行情况进行监督检查，对排水水质和再生水水质、水量进行监测。</w:t>
      </w:r>
    </w:p>
    <w:p w14:paraId="29E9A194">
      <w:pPr>
        <w:ind w:firstLine="422"/>
      </w:pPr>
      <w:r>
        <w:rPr>
          <w:rFonts w:hint="eastAsia"/>
          <w:b/>
        </w:rPr>
        <w:t>第三十一条</w:t>
      </w:r>
      <w:r>
        <w:rPr>
          <w:rFonts w:hint="eastAsia"/>
        </w:rPr>
        <w:t xml:space="preserve">  排水户需要向公共排水管网排放污水的，应当按照有关规定依法到水行政主管部门办理排水许可。建设工程施工降水应当根据本市有关规定进行降水方案评估，通过评估后办理排水许可。</w:t>
      </w:r>
    </w:p>
    <w:p w14:paraId="1B446DAD">
      <w:r>
        <w:rPr>
          <w:rFonts w:hint="eastAsia"/>
        </w:rPr>
        <w:t>已经向公共排水管网排放污水但尚未办理排水许可的排水户，应当在本办法实施后</w:t>
      </w:r>
      <w:r>
        <w:rPr>
          <w:rFonts w:hint="eastAsia" w:ascii="宋体" w:hAnsi="宋体" w:eastAsia="宋体" w:cs="宋体"/>
        </w:rPr>
        <w:t>6</w:t>
      </w:r>
      <w:r>
        <w:rPr>
          <w:rFonts w:hint="eastAsia"/>
        </w:rPr>
        <w:t>个月内到水行政主管部门进行登记。水行政主管部门应当及时核发排水许可证。</w:t>
      </w:r>
    </w:p>
    <w:p w14:paraId="0FB113E6">
      <w:pPr>
        <w:ind w:firstLine="422"/>
      </w:pPr>
      <w:r>
        <w:rPr>
          <w:rFonts w:hint="eastAsia"/>
          <w:b/>
        </w:rPr>
        <w:t>第三十二条</w:t>
      </w:r>
      <w:r>
        <w:rPr>
          <w:rFonts w:hint="eastAsia"/>
        </w:rPr>
        <w:t xml:space="preserve">  市水行政主管部门应当会同有关部门编制全市排水和再生水设施突发事件应急预案，报市人民政府批准后组织实施。</w:t>
      </w:r>
    </w:p>
    <w:p w14:paraId="3CFA1E14">
      <w:r>
        <w:rPr>
          <w:rFonts w:hint="eastAsia"/>
        </w:rPr>
        <w:t>区（县）人民政府应当组织编制本行政区域的排水和再生水设施突发事件应急预案，并报市水行政主管部门备案。</w:t>
      </w:r>
    </w:p>
    <w:p w14:paraId="21201F7C">
      <w:pPr>
        <w:ind w:firstLine="422"/>
      </w:pPr>
      <w:r>
        <w:rPr>
          <w:rFonts w:hint="eastAsia"/>
          <w:b/>
        </w:rPr>
        <w:t>第三十三条</w:t>
      </w:r>
      <w:r>
        <w:rPr>
          <w:rFonts w:hint="eastAsia"/>
        </w:rPr>
        <w:t xml:space="preserve">  市水行政主管部门应当依据天气预报发布汛情预警，市和区（县）水行政主管部门应当根据实际情况及时组织运营单位和有关单位提前启动应急抽、排水工作，保证道路、立交桥等设施的防汛排涝安全。</w:t>
      </w:r>
    </w:p>
    <w:p w14:paraId="2FD42CF1">
      <w:pPr>
        <w:ind w:firstLine="422"/>
      </w:pPr>
      <w:r>
        <w:rPr>
          <w:rFonts w:hint="eastAsia"/>
          <w:b/>
        </w:rPr>
        <w:t>第三十四条</w:t>
      </w:r>
      <w:r>
        <w:rPr>
          <w:rFonts w:hint="eastAsia"/>
        </w:rPr>
        <w:t xml:space="preserve">  排水和再生水设施行政执法和监督检查人员行使监督检查职责时，应当文明执法，并有权采取下列措施：</w:t>
      </w:r>
    </w:p>
    <w:p w14:paraId="0AAAF07E">
      <w:bookmarkStart w:id="2355" w:name="_Toc428780641"/>
      <w:r>
        <w:rPr>
          <w:rFonts w:hint="eastAsia"/>
        </w:rPr>
        <w:t>（一）进入现场开展检查，调查了解有关情况；</w:t>
      </w:r>
      <w:bookmarkEnd w:id="2355"/>
    </w:p>
    <w:p w14:paraId="64BD53E9">
      <w:r>
        <w:rPr>
          <w:rFonts w:hint="eastAsia"/>
        </w:rPr>
        <w:t>（二）要求被检查单位和个人提供并有权查阅、复制有关文件、证照、资料；</w:t>
      </w:r>
    </w:p>
    <w:p w14:paraId="208311E3">
      <w:r>
        <w:rPr>
          <w:rFonts w:hint="eastAsia"/>
        </w:rPr>
        <w:t>（三）责令被检查单位和个人停止违法行为，履行法定义务。</w:t>
      </w:r>
    </w:p>
    <w:p w14:paraId="7CBB2BF9">
      <w:r>
        <w:rPr>
          <w:rFonts w:hint="eastAsia"/>
        </w:rPr>
        <w:t>接受监督检查的单位和人员应当配合监督检查工作，不得拒绝、阻挠、妨碍监督检查人员依法执行公务。</w:t>
      </w:r>
    </w:p>
    <w:p w14:paraId="42EEB0D7">
      <w:pPr>
        <w:ind w:firstLine="422"/>
      </w:pPr>
      <w:r>
        <w:rPr>
          <w:rFonts w:hint="eastAsia"/>
          <w:b/>
        </w:rPr>
        <w:t>第三十五条</w:t>
      </w:r>
      <w:r>
        <w:rPr>
          <w:rFonts w:hint="eastAsia"/>
        </w:rPr>
        <w:t xml:space="preserve">  镇（乡）人民政府和街道办事处发现本辖区内发生违反本办法行为的，有权予以制止，并向有关部门或者机构报告。</w:t>
      </w:r>
    </w:p>
    <w:p w14:paraId="570AC075">
      <w:r>
        <w:rPr>
          <w:rFonts w:hint="eastAsia"/>
        </w:rPr>
        <w:t>村民委员会、居民委员会发现本辖区内发生违反本办法行为的，应当向所在镇（乡）人民政府、街道办事处、有关部门或者机构报告。有关部门或者机构应当及时处理投诉和举报。</w:t>
      </w:r>
    </w:p>
    <w:p w14:paraId="10E089D2"/>
    <w:p w14:paraId="681545AB">
      <w:pPr>
        <w:ind w:firstLine="0" w:firstLineChars="0"/>
        <w:jc w:val="center"/>
        <w:rPr>
          <w:b/>
          <w:sz w:val="28"/>
        </w:rPr>
      </w:pPr>
      <w:r>
        <w:rPr>
          <w:rFonts w:hint="eastAsia"/>
          <w:b/>
          <w:sz w:val="28"/>
        </w:rPr>
        <w:t>第七章  法律责任</w:t>
      </w:r>
    </w:p>
    <w:p w14:paraId="3586CE6A"/>
    <w:p w14:paraId="418DD81F">
      <w:pPr>
        <w:ind w:firstLine="422"/>
      </w:pPr>
      <w:r>
        <w:rPr>
          <w:rFonts w:hint="eastAsia"/>
          <w:b/>
        </w:rPr>
        <w:t>第三十六条</w:t>
      </w:r>
      <w:r>
        <w:rPr>
          <w:rFonts w:hint="eastAsia"/>
        </w:rPr>
        <w:t xml:space="preserve">  违反本办法第十六条第二款规定，餐饮服务排水户未设置隔油设施或者隔油设施不能正常使用的，责令限期改正；逾期不改正的</w:t>
      </w:r>
      <w:r>
        <w:rPr>
          <w:rFonts w:hint="eastAsia" w:ascii="宋体" w:hAnsi="宋体" w:eastAsia="宋体" w:cs="宋体"/>
        </w:rPr>
        <w:t>，处1000元以上5000</w:t>
      </w:r>
      <w:r>
        <w:rPr>
          <w:rFonts w:hint="eastAsia"/>
        </w:rPr>
        <w:t>元以下罚款。</w:t>
      </w:r>
    </w:p>
    <w:p w14:paraId="5A2295A8">
      <w:pPr>
        <w:ind w:firstLine="422"/>
      </w:pPr>
      <w:r>
        <w:rPr>
          <w:rFonts w:hint="eastAsia"/>
          <w:b/>
        </w:rPr>
        <w:t>第三十七条</w:t>
      </w:r>
      <w:r>
        <w:rPr>
          <w:rFonts w:hint="eastAsia"/>
        </w:rPr>
        <w:t xml:space="preserve">  排水和再生水设施运营单位违反本办法规定，有下列行为之一的，给予警告，责令限期改正，并可</w:t>
      </w:r>
      <w:r>
        <w:rPr>
          <w:rFonts w:hint="eastAsia" w:ascii="宋体" w:hAnsi="宋体" w:eastAsia="宋体" w:cs="宋体"/>
        </w:rPr>
        <w:t>处1万元以上3</w:t>
      </w:r>
      <w:r>
        <w:rPr>
          <w:rFonts w:hint="eastAsia"/>
        </w:rPr>
        <w:t>万元以下罚款：</w:t>
      </w:r>
    </w:p>
    <w:p w14:paraId="240ED153">
      <w:r>
        <w:rPr>
          <w:rFonts w:hint="eastAsia"/>
        </w:rPr>
        <w:t>（一）未履行巡查、养护和维护职责的；</w:t>
      </w:r>
    </w:p>
    <w:p w14:paraId="68362F23">
      <w:r>
        <w:rPr>
          <w:rFonts w:hint="eastAsia"/>
        </w:rPr>
        <w:t>（二）再生水水质、水压不符合标准的；</w:t>
      </w:r>
    </w:p>
    <w:p w14:paraId="09015082">
      <w:r>
        <w:rPr>
          <w:rFonts w:hint="eastAsia"/>
        </w:rPr>
        <w:t>（三）伪造、篡改、瞒报进出水水质、水量等数据的。</w:t>
      </w:r>
    </w:p>
    <w:p w14:paraId="0EE66608">
      <w:pPr>
        <w:ind w:firstLine="422"/>
      </w:pPr>
      <w:r>
        <w:rPr>
          <w:rFonts w:hint="eastAsia"/>
          <w:b/>
        </w:rPr>
        <w:t>第三十八条</w:t>
      </w:r>
      <w:r>
        <w:rPr>
          <w:rFonts w:hint="eastAsia"/>
        </w:rPr>
        <w:t xml:space="preserve">  违反本办法第十八条规定，损害排水和再生水设施的，责令限期改正，并可按照下列标准予以罚款；给他人造成损失的，依法承担赔偿责任：</w:t>
      </w:r>
    </w:p>
    <w:p w14:paraId="6E19B0E9">
      <w:r>
        <w:rPr>
          <w:rFonts w:hint="eastAsia"/>
        </w:rPr>
        <w:t>（一）违反第（一）项、第（二）项、第（三）项、第（四）项、第（七）项规定的，</w:t>
      </w:r>
      <w:r>
        <w:rPr>
          <w:rFonts w:hint="eastAsia" w:ascii="宋体" w:hAnsi="宋体" w:eastAsia="宋体" w:cs="宋体"/>
        </w:rPr>
        <w:t>处1万元以上3万元以下</w:t>
      </w:r>
      <w:r>
        <w:rPr>
          <w:rFonts w:hint="eastAsia"/>
        </w:rPr>
        <w:t>罚款；</w:t>
      </w:r>
    </w:p>
    <w:p w14:paraId="6BBFA01A">
      <w:r>
        <w:rPr>
          <w:rFonts w:hint="eastAsia"/>
        </w:rPr>
        <w:t>（二）违反第（五）项、第（六）项、第（八）项规定的</w:t>
      </w:r>
      <w:r>
        <w:rPr>
          <w:rFonts w:hint="eastAsia" w:ascii="宋体" w:hAnsi="宋体" w:eastAsia="宋体" w:cs="宋体"/>
        </w:rPr>
        <w:t>，处3000元以上1万</w:t>
      </w:r>
      <w:r>
        <w:rPr>
          <w:rFonts w:hint="eastAsia"/>
        </w:rPr>
        <w:t>元以下罚款。</w:t>
      </w:r>
    </w:p>
    <w:p w14:paraId="3C7B1D0B">
      <w:pPr>
        <w:ind w:firstLine="422"/>
      </w:pPr>
      <w:r>
        <w:rPr>
          <w:rFonts w:hint="eastAsia"/>
          <w:b/>
        </w:rPr>
        <w:t>第三十九条</w:t>
      </w:r>
      <w:r>
        <w:rPr>
          <w:rFonts w:hint="eastAsia"/>
        </w:rPr>
        <w:t xml:space="preserve">  违反本办法的规定，依照环境保护、城市河湖等法律、法规的规定应当予以行政处罚的，依照有关法律、法规执行。</w:t>
      </w:r>
    </w:p>
    <w:p w14:paraId="326AF726">
      <w:pPr>
        <w:ind w:firstLine="422"/>
      </w:pPr>
      <w:r>
        <w:rPr>
          <w:rFonts w:hint="eastAsia"/>
          <w:b/>
        </w:rPr>
        <w:t>第四十条</w:t>
      </w:r>
      <w:r>
        <w:rPr>
          <w:rFonts w:hint="eastAsia"/>
        </w:rPr>
        <w:t xml:space="preserve">  本章规定的行政处罚由水行政主管部门执行；市人民政府决定由城市综合管理执法组织执行的，从其规定。</w:t>
      </w:r>
    </w:p>
    <w:p w14:paraId="1DEAD9B1"/>
    <w:p w14:paraId="62FE026D">
      <w:pPr>
        <w:ind w:firstLine="0" w:firstLineChars="0"/>
        <w:jc w:val="center"/>
        <w:rPr>
          <w:b/>
          <w:sz w:val="28"/>
        </w:rPr>
      </w:pPr>
      <w:r>
        <w:rPr>
          <w:rFonts w:hint="eastAsia"/>
          <w:b/>
          <w:sz w:val="28"/>
        </w:rPr>
        <w:t>第八章  附  则</w:t>
      </w:r>
    </w:p>
    <w:p w14:paraId="6FD9D571"/>
    <w:p w14:paraId="4A0446B5">
      <w:pPr>
        <w:ind w:firstLine="422"/>
      </w:pPr>
      <w:r>
        <w:rPr>
          <w:rFonts w:hint="eastAsia"/>
          <w:b/>
        </w:rPr>
        <w:t>第四十一条</w:t>
      </w:r>
      <w:r>
        <w:rPr>
          <w:rFonts w:hint="eastAsia"/>
        </w:rPr>
        <w:t xml:space="preserve">  本办法中下列用语的含义：</w:t>
      </w:r>
    </w:p>
    <w:p w14:paraId="6069B141">
      <w:r>
        <w:rPr>
          <w:rFonts w:hint="eastAsia"/>
        </w:rPr>
        <w:t>（一）排水设施，是指排水管网（雨水、污水和雨污合流管网）、污水处理设施和污泥处理处置设施。排水管网包括排水管道及其泵站、检查井、闸井、倒虹吸、进出水口、井盖和雨水箅子等附属设施。</w:t>
      </w:r>
    </w:p>
    <w:p w14:paraId="7AA0D316">
      <w:r>
        <w:rPr>
          <w:rFonts w:hint="eastAsia"/>
        </w:rPr>
        <w:t>（二）再生水设施，是指再生水处理设施和再生水输配设施。输配设施包括再生水管道、泵站、附属构筑物及供电、计量、取水等配套设施。</w:t>
      </w:r>
    </w:p>
    <w:p w14:paraId="6D7AA35D">
      <w:r>
        <w:rPr>
          <w:rFonts w:hint="eastAsia"/>
        </w:rPr>
        <w:t>（三）公共排水和再生水设施，是指城镇地区承担公共服务功能的设施；专用排水和再生水设施，是指为建设项目内部用户服务的设施。</w:t>
      </w:r>
    </w:p>
    <w:p w14:paraId="20067873">
      <w:r>
        <w:rPr>
          <w:rFonts w:hint="eastAsia"/>
        </w:rPr>
        <w:t>（四）排水户，是指因从事制造、建筑、电力和燃气生产、科研、卫生、住宿餐饮、娱乐经营、居民服务和其他服务等活动，向城市排水管网及其附属设施排放污水的单位和个体经营者。</w:t>
      </w:r>
    </w:p>
    <w:p w14:paraId="0DBF94EC">
      <w:pPr>
        <w:ind w:firstLine="422"/>
      </w:pPr>
      <w:r>
        <w:rPr>
          <w:rFonts w:hint="eastAsia"/>
          <w:b/>
        </w:rPr>
        <w:t>第四十二条</w:t>
      </w:r>
      <w:r>
        <w:rPr>
          <w:rFonts w:hint="eastAsia"/>
        </w:rPr>
        <w:t xml:space="preserve">  本办法自</w:t>
      </w:r>
      <w:r>
        <w:rPr>
          <w:rFonts w:hint="eastAsia" w:ascii="宋体" w:hAnsi="宋体" w:eastAsia="宋体" w:cs="宋体"/>
        </w:rPr>
        <w:t>2010年1月1日起施行。1986年1月24</w:t>
      </w:r>
      <w:r>
        <w:rPr>
          <w:rFonts w:hint="eastAsia"/>
        </w:rPr>
        <w:t>日市人民政府发布的《北京市城市市政排水设施管理暂行办法》同时废止。</w:t>
      </w:r>
    </w:p>
    <w:p w14:paraId="32DCD8C0">
      <w:pPr>
        <w:pStyle w:val="4"/>
        <w:pageBreakBefore/>
      </w:pPr>
      <w:bookmarkStart w:id="2356" w:name="_Toc428780642"/>
      <w:bookmarkStart w:id="2357" w:name="_Toc426467112"/>
      <w:bookmarkStart w:id="2358" w:name="_Toc428781860"/>
      <w:r>
        <w:rPr>
          <w:rFonts w:hint="eastAsia"/>
        </w:rPr>
        <w:t>北京市供热采暖管理办法</w:t>
      </w:r>
      <w:bookmarkEnd w:id="2356"/>
      <w:bookmarkEnd w:id="2357"/>
      <w:bookmarkEnd w:id="2358"/>
    </w:p>
    <w:p w14:paraId="42388D00">
      <w:pPr>
        <w:ind w:left="630" w:leftChars="300" w:right="630" w:rightChars="300"/>
        <w:rPr>
          <w:rFonts w:ascii="楷体" w:hAnsi="楷体" w:eastAsia="楷体"/>
        </w:rPr>
      </w:pPr>
      <w:r>
        <w:rPr>
          <w:rFonts w:hint="eastAsia" w:ascii="楷体" w:hAnsi="楷体" w:eastAsia="楷体"/>
        </w:rPr>
        <w:t>（2009年11月10日市人民政府第52次常务会议审议通过　2009年12月12日北京市人民政府第216号令公布）</w:t>
      </w:r>
    </w:p>
    <w:p w14:paraId="02FB11FC"/>
    <w:p w14:paraId="3516AC7E">
      <w:pPr>
        <w:ind w:firstLine="422"/>
      </w:pPr>
      <w:r>
        <w:rPr>
          <w:rFonts w:hint="eastAsia"/>
          <w:b/>
        </w:rPr>
        <w:t>第一条</w:t>
      </w:r>
      <w:r>
        <w:rPr>
          <w:rFonts w:hint="eastAsia"/>
        </w:rPr>
        <w:t xml:space="preserve">  为保障本市城乡居民冬季采暖，规范供热采暖行为，合理利用资源，推动节能减排，促进供热事业可持续发展，根据有关法律、法规，结合本市实际情况，制定本办法。</w:t>
      </w:r>
    </w:p>
    <w:p w14:paraId="6240A665">
      <w:pPr>
        <w:ind w:firstLine="422"/>
      </w:pPr>
      <w:r>
        <w:rPr>
          <w:rFonts w:hint="eastAsia"/>
          <w:b/>
        </w:rPr>
        <w:t>第二条</w:t>
      </w:r>
      <w:r>
        <w:rPr>
          <w:rFonts w:hint="eastAsia"/>
        </w:rPr>
        <w:t xml:space="preserve">  本市行政区域内的供热采暖以及相关管理活动适用本办法。</w:t>
      </w:r>
    </w:p>
    <w:p w14:paraId="3E3D97CD">
      <w:pPr>
        <w:ind w:firstLine="422"/>
      </w:pPr>
      <w:r>
        <w:rPr>
          <w:rFonts w:hint="eastAsia"/>
          <w:b/>
        </w:rPr>
        <w:t>第三条</w:t>
      </w:r>
      <w:r>
        <w:rPr>
          <w:rFonts w:hint="eastAsia"/>
        </w:rPr>
        <w:t xml:space="preserve">  冬季采暖是本市城乡居民的基本生活需求，供热事业是直接关系公众利益的基础性公共事业。</w:t>
      </w:r>
    </w:p>
    <w:p w14:paraId="3A95E8BE">
      <w:r>
        <w:rPr>
          <w:rFonts w:hint="eastAsia"/>
        </w:rPr>
        <w:t>本市供热管理遵循统一规划、属地管理、保障安全、规范服务、促进节能环保和优化资源配置的原则。</w:t>
      </w:r>
    </w:p>
    <w:p w14:paraId="090AD99A">
      <w:r>
        <w:rPr>
          <w:rFonts w:hint="eastAsia"/>
        </w:rPr>
        <w:t>本市建立并完善供热能源保障、采暖救助、应急处置等安全供热保障体系。</w:t>
      </w:r>
    </w:p>
    <w:p w14:paraId="3386B614">
      <w:pPr>
        <w:ind w:firstLine="422"/>
      </w:pPr>
      <w:r>
        <w:rPr>
          <w:rFonts w:hint="eastAsia"/>
          <w:b/>
        </w:rPr>
        <w:t>第四条</w:t>
      </w:r>
      <w:r>
        <w:rPr>
          <w:rFonts w:hint="eastAsia"/>
        </w:rPr>
        <w:t xml:space="preserve">  市市政管理行政部门主管本市供热采暖管理工作。</w:t>
      </w:r>
    </w:p>
    <w:p w14:paraId="08D04FBE">
      <w:r>
        <w:rPr>
          <w:rFonts w:hint="eastAsia"/>
        </w:rPr>
        <w:t>区、县市政管理行政部门负责本行政区域内的供热采暖管理工作。</w:t>
      </w:r>
    </w:p>
    <w:p w14:paraId="34762078">
      <w:r>
        <w:rPr>
          <w:rFonts w:hint="eastAsia"/>
        </w:rPr>
        <w:t>市和区县人民政府有关部门按照本办法和各自的职责，做好相关工作。</w:t>
      </w:r>
    </w:p>
    <w:p w14:paraId="3CE29C98">
      <w:r>
        <w:rPr>
          <w:rFonts w:hint="eastAsia"/>
        </w:rPr>
        <w:t>乡镇人民政府、街道办事处配合市政管理行政部门做好本辖区内的供热采暖管理工作。</w:t>
      </w:r>
    </w:p>
    <w:p w14:paraId="4CE40BEB">
      <w:pPr>
        <w:ind w:firstLine="422"/>
      </w:pPr>
      <w:r>
        <w:rPr>
          <w:rFonts w:hint="eastAsia"/>
          <w:b/>
        </w:rPr>
        <w:t>第五条</w:t>
      </w:r>
      <w:r>
        <w:rPr>
          <w:rFonts w:hint="eastAsia"/>
        </w:rPr>
        <w:t xml:space="preserve">  鼓励、支持相关行业组织、中介机构参与供热行业管理和技术服务、宣传培训等工作。</w:t>
      </w:r>
    </w:p>
    <w:p w14:paraId="6FDD3717">
      <w:r>
        <w:rPr>
          <w:rFonts w:hint="eastAsia"/>
        </w:rPr>
        <w:t>鼓励利用清洁能源和可再生能源，推广应用节能、高效、环保、安全的供热新技术、新工艺、新设备、新材料，对节能效率高和环境效益好的供热技术和项目给予支持，对在供热工作中做出显著成绩的单位予以表彰或者奖励。</w:t>
      </w:r>
    </w:p>
    <w:p w14:paraId="71F46D44">
      <w:pPr>
        <w:ind w:firstLine="422"/>
      </w:pPr>
      <w:r>
        <w:rPr>
          <w:rFonts w:hint="eastAsia"/>
          <w:b/>
        </w:rPr>
        <w:t>第六条</w:t>
      </w:r>
      <w:r>
        <w:rPr>
          <w:rFonts w:hint="eastAsia"/>
        </w:rPr>
        <w:t xml:space="preserve">  市市政管理行政部门应当组织有关部门，按照规定程序编制本市供热规划，报市人民政府批准后组织实施。涉及供热事业发展的，纳入本市国民经济和社会发展规划；涉及城市空间资源利用的，纳入本市城乡规划。</w:t>
      </w:r>
    </w:p>
    <w:p w14:paraId="59C81A0A">
      <w:r>
        <w:rPr>
          <w:rFonts w:hint="eastAsia"/>
        </w:rPr>
        <w:t>区县市政管理行政部门应当会同有关部门，根据市供热规划，编制本行政区域的供热规划，经区、县人民政府批准后组织实施，并报市市政管理行政部门备案。</w:t>
      </w:r>
    </w:p>
    <w:p w14:paraId="1BA54A79">
      <w:r>
        <w:rPr>
          <w:rFonts w:hint="eastAsia"/>
        </w:rPr>
        <w:t>经批准的供热规划未经法定程序调整，不得擅自变更。</w:t>
      </w:r>
    </w:p>
    <w:p w14:paraId="313F1C84">
      <w:pPr>
        <w:ind w:firstLine="422"/>
      </w:pPr>
      <w:r>
        <w:rPr>
          <w:rFonts w:hint="eastAsia"/>
          <w:b/>
        </w:rPr>
        <w:t>第七条</w:t>
      </w:r>
      <w:r>
        <w:rPr>
          <w:rFonts w:hint="eastAsia"/>
        </w:rPr>
        <w:t xml:space="preserve">  本市新建、改建、扩建供热设施，应当符合供热规划。列入规划的供热设施建设用地，未经法定程序调整规划，不得改变用途。</w:t>
      </w:r>
    </w:p>
    <w:p w14:paraId="2213DAB6">
      <w:r>
        <w:rPr>
          <w:rFonts w:hint="eastAsia"/>
        </w:rPr>
        <w:t>规划行政管理部门在对建设项目提出规划条件时，涉及热源设施建设的，应当征求市政管理行政部门的意见。</w:t>
      </w:r>
    </w:p>
    <w:p w14:paraId="22A72DFA">
      <w:r>
        <w:rPr>
          <w:rFonts w:hint="eastAsia"/>
        </w:rPr>
        <w:t>居住建设项目竣工验收时，建设单位应当组织供热单位参加，供热单位应当查验是否具备供热条件。在竣工验收后，建设单位应当向供热单位提供有关工程档案资料。</w:t>
      </w:r>
    </w:p>
    <w:p w14:paraId="7EBEE732">
      <w:pPr>
        <w:ind w:firstLine="422"/>
      </w:pPr>
      <w:r>
        <w:rPr>
          <w:rFonts w:hint="eastAsia"/>
          <w:b/>
        </w:rPr>
        <w:t>第八条</w:t>
      </w:r>
      <w:r>
        <w:rPr>
          <w:rFonts w:hint="eastAsia"/>
        </w:rPr>
        <w:t xml:space="preserve">  本市应当优化配置热源设施，在城市管网、区域锅炉供热管网供热能力范围内，不再新建热源设施；既有分散热源设施，应当按照合理配置的原则，逐步纳入城市管网、区域锅炉供热管网，应用新能源、新技术的除外。供热单位有条件供热的，应当向接入其管网的用户提供普遍服务。</w:t>
      </w:r>
    </w:p>
    <w:p w14:paraId="74657C8D">
      <w:pPr>
        <w:ind w:firstLine="422"/>
      </w:pPr>
      <w:r>
        <w:rPr>
          <w:rFonts w:hint="eastAsia"/>
          <w:b/>
        </w:rPr>
        <w:t>第九条</w:t>
      </w:r>
      <w:r>
        <w:rPr>
          <w:rFonts w:hint="eastAsia"/>
        </w:rPr>
        <w:t xml:space="preserve">  本市应当加强供热节能管理，逐步实行按照用热量计量收费。</w:t>
      </w:r>
    </w:p>
    <w:p w14:paraId="000B81E5">
      <w:r>
        <w:rPr>
          <w:rFonts w:hint="eastAsia"/>
        </w:rPr>
        <w:t>新建建筑物应当执行建筑节能标准，具备热计量及室温调控功能。不符合现行国家住宅设计规范温度要求的住宅，应当逐步进行建筑节能改造和供热系统改造。</w:t>
      </w:r>
    </w:p>
    <w:p w14:paraId="35FC7FED">
      <w:r>
        <w:rPr>
          <w:rFonts w:hint="eastAsia"/>
        </w:rPr>
        <w:t>建筑物进行节能改造的，应当与热计量和供热系统节能改造同步实施。</w:t>
      </w:r>
    </w:p>
    <w:p w14:paraId="755E1530">
      <w:pPr>
        <w:ind w:firstLine="422"/>
      </w:pPr>
      <w:r>
        <w:rPr>
          <w:rFonts w:hint="eastAsia"/>
          <w:b/>
        </w:rPr>
        <w:t>第十条</w:t>
      </w:r>
      <w:r>
        <w:rPr>
          <w:rFonts w:hint="eastAsia"/>
        </w:rPr>
        <w:t xml:space="preserve">  供热单位应当到市政管理行政部门备案，并提交以下材料：</w:t>
      </w:r>
    </w:p>
    <w:p w14:paraId="5DCAC3B8">
      <w:r>
        <w:rPr>
          <w:rFonts w:hint="eastAsia"/>
        </w:rPr>
        <w:t>（一）单位基本情况；</w:t>
      </w:r>
    </w:p>
    <w:p w14:paraId="6AF87C56">
      <w:r>
        <w:rPr>
          <w:rFonts w:hint="eastAsia"/>
        </w:rPr>
        <w:t>（二）供热区域及规模、用户类别及数量；</w:t>
      </w:r>
    </w:p>
    <w:p w14:paraId="5C1232A8">
      <w:r>
        <w:rPr>
          <w:rFonts w:hint="eastAsia"/>
        </w:rPr>
        <w:t>（三）供热设施及其折旧管理基本情况；</w:t>
      </w:r>
    </w:p>
    <w:p w14:paraId="31A85BFC">
      <w:r>
        <w:rPr>
          <w:rFonts w:hint="eastAsia"/>
        </w:rPr>
        <w:t>（四）运营管理制度及人员基本情况；</w:t>
      </w:r>
    </w:p>
    <w:p w14:paraId="2C49BC7E">
      <w:r>
        <w:rPr>
          <w:rFonts w:hint="eastAsia"/>
        </w:rPr>
        <w:t>（五）供热突发事件应急预案。</w:t>
      </w:r>
    </w:p>
    <w:p w14:paraId="6D8D0387">
      <w:r>
        <w:rPr>
          <w:rFonts w:hint="eastAsia"/>
        </w:rPr>
        <w:t>供热单位应当保证提交的备案材料真实准确，在备案内容发生改变时，应当及时办理变更手续。</w:t>
      </w:r>
    </w:p>
    <w:p w14:paraId="5CBD7AEF">
      <w:r>
        <w:rPr>
          <w:rFonts w:hint="eastAsia"/>
        </w:rPr>
        <w:t>市政管理行政部门应当将备案的有关情况向社会公示。</w:t>
      </w:r>
    </w:p>
    <w:p w14:paraId="4A2F0113">
      <w:pPr>
        <w:ind w:firstLine="422"/>
      </w:pPr>
      <w:r>
        <w:rPr>
          <w:rFonts w:hint="eastAsia"/>
          <w:b/>
        </w:rPr>
        <w:t>第十一条</w:t>
      </w:r>
      <w:r>
        <w:rPr>
          <w:rFonts w:hint="eastAsia"/>
        </w:rPr>
        <w:t xml:space="preserve">  供热单位与用户订立供热采暖合同应当符合国家和本市的有关规定。未签订书面供热采暖合同，供热单位已经向用户供热一个或者一个以上采暖期的，用户与供热单位之间视为存在事实供热采暖合同关系。</w:t>
      </w:r>
    </w:p>
    <w:p w14:paraId="6557DB4C">
      <w:pPr>
        <w:ind w:firstLine="422"/>
      </w:pPr>
      <w:r>
        <w:rPr>
          <w:rFonts w:hint="eastAsia"/>
          <w:b/>
        </w:rPr>
        <w:t>第十二条</w:t>
      </w:r>
      <w:r>
        <w:rPr>
          <w:rFonts w:hint="eastAsia"/>
        </w:rPr>
        <w:t xml:space="preserve">  本市采暖期为当年</w:t>
      </w:r>
      <w:r>
        <w:rPr>
          <w:rFonts w:hint="eastAsia" w:ascii="宋体" w:hAnsi="宋体" w:eastAsia="宋体" w:cs="宋体"/>
        </w:rPr>
        <w:t>11月15日至次年3月15日。市</w:t>
      </w:r>
      <w:r>
        <w:rPr>
          <w:rFonts w:hint="eastAsia"/>
        </w:rPr>
        <w:t>人民政府可以根据气象等实际情况调整采暖期时间。</w:t>
      </w:r>
    </w:p>
    <w:p w14:paraId="4CEB220C">
      <w:r>
        <w:rPr>
          <w:rFonts w:hint="eastAsia"/>
        </w:rPr>
        <w:t>采暖期内，对符合现行国家住宅设计规范要求的住宅，供热单位应当保证住宅用户卧室、起居室（厅）的室温符合现行国家住宅设计规范的温度要求，但因突发事件或者用户责任影响正常供热采暖的除外。</w:t>
      </w:r>
    </w:p>
    <w:p w14:paraId="1EC195BE">
      <w:r>
        <w:rPr>
          <w:rFonts w:hint="eastAsia"/>
        </w:rPr>
        <w:t>用户对采暖期时间、采暖温度有特殊要求的，可以与供热单位另行约定。</w:t>
      </w:r>
    </w:p>
    <w:p w14:paraId="0F8F21D4">
      <w:pPr>
        <w:ind w:firstLine="422"/>
      </w:pPr>
      <w:r>
        <w:rPr>
          <w:rFonts w:hint="eastAsia"/>
          <w:b/>
        </w:rPr>
        <w:t>第十三条</w:t>
      </w:r>
      <w:r>
        <w:rPr>
          <w:rFonts w:hint="eastAsia"/>
        </w:rPr>
        <w:t xml:space="preserve">  供热单位应当按照国家和本市的相关标准、规范，向用户提供安全、稳定、质量合格的供热服务，建立健全供热运营管理制度、服务规范和安全操作规程，遵守下列规定：</w:t>
      </w:r>
    </w:p>
    <w:p w14:paraId="358A420F">
      <w:r>
        <w:rPr>
          <w:rFonts w:hint="eastAsia"/>
        </w:rPr>
        <w:t>（一）建立供热设施巡检制度，对管理范围内的供热设施进行检查，并作好记录。发现共用供热设施存在隐患的，应当及时消除；发现用户自用采暖设施存在隐患的，应当书面告知用户及时消除。</w:t>
      </w:r>
    </w:p>
    <w:p w14:paraId="310630FB">
      <w:r>
        <w:rPr>
          <w:rFonts w:hint="eastAsia"/>
        </w:rPr>
        <w:t>（二）供热前应当进行供热系统充水、试压、排气、试运行等工作，并提前在供热范围内进行公告。</w:t>
      </w:r>
    </w:p>
    <w:p w14:paraId="54B21A9B">
      <w:r>
        <w:rPr>
          <w:rFonts w:hint="eastAsia"/>
        </w:rPr>
        <w:t>（三）建立用户采暖温度抽测制度，定期对用户室温进行检测，测温记录应当有用户或者其他证明人签字。</w:t>
      </w:r>
    </w:p>
    <w:p w14:paraId="4504407A">
      <w:r>
        <w:rPr>
          <w:rFonts w:hint="eastAsia"/>
        </w:rPr>
        <w:t>（四）采暖期内实</w:t>
      </w:r>
      <w:r>
        <w:rPr>
          <w:rFonts w:hint="eastAsia" w:ascii="宋体" w:hAnsi="宋体" w:eastAsia="宋体" w:cs="宋体"/>
        </w:rPr>
        <w:t>行24</w:t>
      </w:r>
      <w:r>
        <w:rPr>
          <w:rFonts w:hint="eastAsia"/>
        </w:rPr>
        <w:t>小时服务，并及时处理和回复用户反映的问题。</w:t>
      </w:r>
    </w:p>
    <w:p w14:paraId="76FA66B3">
      <w:pPr>
        <w:ind w:firstLine="422"/>
      </w:pPr>
      <w:r>
        <w:rPr>
          <w:rFonts w:hint="eastAsia"/>
          <w:b/>
        </w:rPr>
        <w:t>第十四条</w:t>
      </w:r>
      <w:r>
        <w:rPr>
          <w:rFonts w:hint="eastAsia"/>
        </w:rPr>
        <w:t xml:space="preserve">  供热单位和用户对室温是否达标存在争议的，可以委托具备室温检测资质的第三方机构进行检测。室温检测具体办法由市市政管理行政部门、市标准化行政主管部门制定。</w:t>
      </w:r>
    </w:p>
    <w:p w14:paraId="00DBCC43">
      <w:r>
        <w:rPr>
          <w:rFonts w:hint="eastAsia"/>
        </w:rPr>
        <w:t>发生供热纠纷的，可以由市政管理行政部门或者相关部门协调解决，当事人也可以直接依法提起诉讼或者申请仲裁。</w:t>
      </w:r>
    </w:p>
    <w:p w14:paraId="5C827F65">
      <w:pPr>
        <w:ind w:firstLine="422"/>
      </w:pPr>
      <w:r>
        <w:rPr>
          <w:rFonts w:hint="eastAsia"/>
          <w:b/>
        </w:rPr>
        <w:t>第十五条</w:t>
      </w:r>
      <w:r>
        <w:rPr>
          <w:rFonts w:hint="eastAsia"/>
        </w:rPr>
        <w:t xml:space="preserve">  采暖期内，供热单位不得推迟、中止供热或者提前结束供热，不得退出或者部分退出供热经营活动；向供热单位供应水、电力、燃气、燃油、煤炭和热能的单位，应当保障供应，不得擅自中断。</w:t>
      </w:r>
    </w:p>
    <w:p w14:paraId="2CCE0F1A">
      <w:r>
        <w:rPr>
          <w:rFonts w:hint="eastAsia"/>
        </w:rPr>
        <w:t>非采暖期内，供热单位确需退出或者部分退出供热经营活动的，应当对供热范围内相关用户、设施管护以及采暖费等事宜作出妥善安排，并在当</w:t>
      </w:r>
      <w:r>
        <w:rPr>
          <w:rFonts w:hint="eastAsia" w:ascii="宋体" w:hAnsi="宋体" w:eastAsia="宋体" w:cs="宋体"/>
        </w:rPr>
        <w:t>年7月15日之</w:t>
      </w:r>
      <w:r>
        <w:rPr>
          <w:rFonts w:hint="eastAsia"/>
        </w:rPr>
        <w:t>前，与承接的供热单位完成供热设施及技术档案、用户资料、采暖费等事项的交接工作，同时书面告知原备案机关。用户的采暖权益不能得到有效保障时，供热单位不得退出或者部分退出供热经营活动。</w:t>
      </w:r>
    </w:p>
    <w:p w14:paraId="5F1ACE0A">
      <w:pPr>
        <w:ind w:firstLine="422"/>
      </w:pPr>
      <w:r>
        <w:rPr>
          <w:rFonts w:hint="eastAsia"/>
          <w:b/>
        </w:rPr>
        <w:t>第十六条</w:t>
      </w:r>
      <w:r>
        <w:rPr>
          <w:rFonts w:hint="eastAsia"/>
        </w:rPr>
        <w:t xml:space="preserve">  供热单位应当直接向用户收取采暖费。供热单位委托金融机构或者其他服务单位代收采暖费的，应当向用户公告受委托的收费单位，受委托单位不得向用户收取任何额外费用；未经供热单位委托，任何单位和个人不得向用户收取采暖费。</w:t>
      </w:r>
    </w:p>
    <w:p w14:paraId="3A083A87">
      <w:r>
        <w:rPr>
          <w:rFonts w:hint="eastAsia"/>
        </w:rPr>
        <w:t>收取采暖费应当提供本市国税机关统一印制的发票。</w:t>
      </w:r>
    </w:p>
    <w:p w14:paraId="11B2DA90">
      <w:pPr>
        <w:ind w:firstLine="422"/>
      </w:pPr>
      <w:r>
        <w:rPr>
          <w:rFonts w:hint="eastAsia"/>
          <w:b/>
        </w:rPr>
        <w:t>第十七条</w:t>
      </w:r>
      <w:r>
        <w:rPr>
          <w:rFonts w:hint="eastAsia"/>
        </w:rPr>
        <w:t xml:space="preserve">  用户与供热单位签订合同的，由合同约定的交费人支付采暖费。未签订合同的，由房屋所有权人或者承租政府规定租金标准公有住房的承租人按照规定支付采暖费。</w:t>
      </w:r>
    </w:p>
    <w:p w14:paraId="2B3654F7">
      <w:r>
        <w:rPr>
          <w:rFonts w:hint="eastAsia"/>
        </w:rPr>
        <w:t>采暖费由用户所在单位负担的，单位应当负担。</w:t>
      </w:r>
    </w:p>
    <w:p w14:paraId="5BB09EE1">
      <w:pPr>
        <w:ind w:firstLine="422"/>
      </w:pPr>
      <w:r>
        <w:rPr>
          <w:rFonts w:hint="eastAsia"/>
          <w:b/>
        </w:rPr>
        <w:t>第十八条</w:t>
      </w:r>
      <w:r>
        <w:rPr>
          <w:rFonts w:hint="eastAsia"/>
        </w:rPr>
        <w:t xml:space="preserve">  具备分户独立采暖系统型式的用户，在不影响其他用户正常采暖及共用供热设施安全的前提下，经与供热单位协商，就暂停供热时间、交纳基本费用等事项达成一致后，可以由供热单位暂停供热。</w:t>
      </w:r>
    </w:p>
    <w:p w14:paraId="40420254">
      <w:pPr>
        <w:ind w:firstLine="422"/>
      </w:pPr>
      <w:r>
        <w:rPr>
          <w:rFonts w:hint="eastAsia"/>
          <w:b/>
        </w:rPr>
        <w:t>第十九条</w:t>
      </w:r>
      <w:r>
        <w:rPr>
          <w:rFonts w:hint="eastAsia"/>
        </w:rPr>
        <w:t xml:space="preserve">  市政管理行政部门和城市管理综合行政执法机关对供热采暖行为进行监督检查时，供热单位、用户以及相关单位应当积极配合。</w:t>
      </w:r>
    </w:p>
    <w:p w14:paraId="124FD4E1">
      <w:r>
        <w:rPr>
          <w:rFonts w:hint="eastAsia"/>
        </w:rPr>
        <w:t>供热单位进行供热设施维护、抢修作业以及室温检测、查表及收费等工作时，用户和物业服务企业应当予以配合。</w:t>
      </w:r>
    </w:p>
    <w:p w14:paraId="2D5FFCD2">
      <w:pPr>
        <w:ind w:firstLine="422"/>
      </w:pPr>
      <w:r>
        <w:rPr>
          <w:rFonts w:hint="eastAsia"/>
          <w:b/>
        </w:rPr>
        <w:t>第二十条</w:t>
      </w:r>
      <w:r>
        <w:rPr>
          <w:rFonts w:hint="eastAsia"/>
        </w:rPr>
        <w:t xml:space="preserve">  供热单位应当对供热范围内住宅用户的室外供热设施和室内共用供热设施承担管理、维护、抢修和更新改造的责任，机关、部队、企事业单位的后勤服务部门提供社会供热服务的，可以按照规定委托专业企业承担。</w:t>
      </w:r>
    </w:p>
    <w:p w14:paraId="5A909D23">
      <w:r>
        <w:rPr>
          <w:rFonts w:hint="eastAsia"/>
        </w:rPr>
        <w:t>住宅用户发现室内供热采暖设施异常、泄漏等情况时，应当及时向供热单位报修，并承担室内自用采暖设施维修、更新的相关费用。</w:t>
      </w:r>
    </w:p>
    <w:p w14:paraId="197D8E64">
      <w:r>
        <w:rPr>
          <w:rFonts w:hint="eastAsia"/>
        </w:rPr>
        <w:t>非住宅用户供热采暖设施的维护、管理以及更新改造，由供热单位与用户在合同中约定。</w:t>
      </w:r>
    </w:p>
    <w:p w14:paraId="706D7AA6">
      <w:r>
        <w:rPr>
          <w:rFonts w:hint="eastAsia"/>
        </w:rPr>
        <w:t>建设单位应当依法承担供热采暖设施保修期内的保修责任。</w:t>
      </w:r>
    </w:p>
    <w:p w14:paraId="386CD170">
      <w:pPr>
        <w:ind w:firstLine="422"/>
      </w:pPr>
      <w:r>
        <w:rPr>
          <w:rFonts w:hint="eastAsia"/>
          <w:b/>
        </w:rPr>
        <w:t>第二十一条</w:t>
      </w:r>
      <w:r>
        <w:rPr>
          <w:rFonts w:hint="eastAsia"/>
        </w:rPr>
        <w:t xml:space="preserve">  用户不得拆改室内共用供热设施、扩大采暖面积或者增加散热设备。用户装饰装修房屋不得影响供热效果或者妨碍对设施进行正常维修养护。</w:t>
      </w:r>
    </w:p>
    <w:p w14:paraId="7AE21989">
      <w:r>
        <w:rPr>
          <w:rFonts w:hint="eastAsia"/>
        </w:rPr>
        <w:t>用户拆改室内自用采暖设施的，应当经供热单位确认不影响其他用户正常采暖和不妨碍设施维修养护。</w:t>
      </w:r>
    </w:p>
    <w:p w14:paraId="708D3FB5">
      <w:r>
        <w:rPr>
          <w:rFonts w:hint="eastAsia"/>
        </w:rPr>
        <w:t>用户因拆改室内供热采暖设施造成他人损失的，应当承担相应责任。</w:t>
      </w:r>
    </w:p>
    <w:p w14:paraId="2D9847BF">
      <w:pPr>
        <w:ind w:firstLine="422"/>
      </w:pPr>
      <w:r>
        <w:rPr>
          <w:rFonts w:hint="eastAsia"/>
          <w:b/>
        </w:rPr>
        <w:t>第二十二条</w:t>
      </w:r>
      <w:r>
        <w:rPr>
          <w:rFonts w:hint="eastAsia"/>
        </w:rPr>
        <w:t xml:space="preserve">  供热单位应当保证管理范围内供热设施在规定的使用期限内完好，并按照规定计提供热设施折旧费，按期对供热设施进行更新改造。</w:t>
      </w:r>
    </w:p>
    <w:p w14:paraId="6C96DEA5">
      <w:pPr>
        <w:ind w:firstLine="422"/>
      </w:pPr>
      <w:r>
        <w:rPr>
          <w:rFonts w:hint="eastAsia"/>
          <w:b/>
        </w:rPr>
        <w:t>第二十三条</w:t>
      </w:r>
      <w:r>
        <w:rPr>
          <w:rFonts w:hint="eastAsia"/>
        </w:rPr>
        <w:t xml:space="preserve">  任何单位和个人不得擅自拆除、迁移、改建、变卖热源设施。</w:t>
      </w:r>
    </w:p>
    <w:p w14:paraId="23505DC5">
      <w:r>
        <w:rPr>
          <w:rFonts w:hint="eastAsia"/>
        </w:rPr>
        <w:t>拆除、迁移、改建、变卖热源设施，影响用户采暖的，应当提前向市政管理行政部门书面报告，提供替代热源设施，保障用户的采暖权益。</w:t>
      </w:r>
    </w:p>
    <w:p w14:paraId="33289E5D">
      <w:pPr>
        <w:ind w:firstLine="422"/>
      </w:pPr>
      <w:r>
        <w:rPr>
          <w:rFonts w:hint="eastAsia"/>
          <w:b/>
        </w:rPr>
        <w:t>第二十四条</w:t>
      </w:r>
      <w:r>
        <w:rPr>
          <w:rFonts w:hint="eastAsia"/>
        </w:rPr>
        <w:t xml:space="preserve">  禁止实施下列危害供热安全的行为：</w:t>
      </w:r>
    </w:p>
    <w:p w14:paraId="6D2C1876">
      <w:bookmarkStart w:id="2359" w:name="_Toc428780643"/>
      <w:r>
        <w:rPr>
          <w:rFonts w:hint="eastAsia"/>
        </w:rPr>
        <w:t>（一）在规定的地下热力管道安全间距范围内修筑建筑物、构筑物；</w:t>
      </w:r>
      <w:bookmarkEnd w:id="2359"/>
    </w:p>
    <w:p w14:paraId="3DD8B420">
      <w:r>
        <w:rPr>
          <w:rFonts w:hint="eastAsia"/>
        </w:rPr>
        <w:t>（二）在规定的地下热力管道安全间距范围内堆放物品，或者进行挖掘、取土、钻探、打桩、埋杆、栽植深根性植物和爆破作业；</w:t>
      </w:r>
    </w:p>
    <w:p w14:paraId="679EF977">
      <w:r>
        <w:rPr>
          <w:rFonts w:hint="eastAsia"/>
        </w:rPr>
        <w:t>（三）向供热管沟内排放有毒、有害、易燃、易爆、易堵塞物品及雨水、污水、工业废液、垃圾；</w:t>
      </w:r>
    </w:p>
    <w:p w14:paraId="7D462179">
      <w:bookmarkStart w:id="2360" w:name="_Toc428780644"/>
      <w:r>
        <w:rPr>
          <w:rFonts w:hint="eastAsia"/>
        </w:rPr>
        <w:t>（四）擅自接入供热管网；</w:t>
      </w:r>
      <w:bookmarkEnd w:id="2360"/>
    </w:p>
    <w:p w14:paraId="06BFC15D">
      <w:r>
        <w:rPr>
          <w:rFonts w:hint="eastAsia"/>
        </w:rPr>
        <w:t>（五）擅自在室内采暖系统上安装危害系统安全的设备；</w:t>
      </w:r>
    </w:p>
    <w:p w14:paraId="59D9A1A6">
      <w:r>
        <w:rPr>
          <w:rFonts w:hint="eastAsia"/>
        </w:rPr>
        <w:t>（六）擅自排放或者取用管道内热水或蒸汽；</w:t>
      </w:r>
    </w:p>
    <w:p w14:paraId="080D799C">
      <w:r>
        <w:rPr>
          <w:rFonts w:hint="eastAsia"/>
        </w:rPr>
        <w:t>（七）擅自拆除、毁损警示标志；</w:t>
      </w:r>
    </w:p>
    <w:p w14:paraId="72D012E1">
      <w:r>
        <w:rPr>
          <w:rFonts w:hint="eastAsia"/>
        </w:rPr>
        <w:t>（八）擅自操作、拆除共用供热阀门，损坏共用阀门的铅封，改动或者损坏供热计量仪表及其附件等；</w:t>
      </w:r>
    </w:p>
    <w:p w14:paraId="6EB8B563">
      <w:r>
        <w:rPr>
          <w:rFonts w:hint="eastAsia"/>
        </w:rPr>
        <w:t>（九）其他危害、损坏供热设施的行为。</w:t>
      </w:r>
    </w:p>
    <w:p w14:paraId="6D9D31D0">
      <w:pPr>
        <w:ind w:firstLine="422"/>
      </w:pPr>
      <w:r>
        <w:rPr>
          <w:rFonts w:hint="eastAsia"/>
          <w:b/>
        </w:rPr>
        <w:t>第二十五条</w:t>
      </w:r>
      <w:r>
        <w:rPr>
          <w:rFonts w:hint="eastAsia"/>
        </w:rPr>
        <w:t xml:space="preserve">  市和区县市政管理行政部门应当按照国家和本市的有关规定，组织实施供热突发事件应急预案。</w:t>
      </w:r>
    </w:p>
    <w:p w14:paraId="1E5F000A">
      <w:r>
        <w:rPr>
          <w:rFonts w:hint="eastAsia"/>
        </w:rPr>
        <w:t>市和区县人民政府设置应对供热突发事件专项准备资金，保障供热突发事件应对工作所需经费。</w:t>
      </w:r>
    </w:p>
    <w:p w14:paraId="3E8D61E6">
      <w:r>
        <w:rPr>
          <w:rFonts w:hint="eastAsia"/>
        </w:rPr>
        <w:t>供热单位应当建立与保障供热安全相适应的应急抢修队伍，配备应急抢修设备、物资、车辆以及通讯设备，在采暖期内实行</w:t>
      </w:r>
      <w:r>
        <w:rPr>
          <w:rFonts w:hint="eastAsia" w:ascii="宋体" w:hAnsi="宋体" w:eastAsia="宋体" w:cs="宋体"/>
        </w:rPr>
        <w:t>24小</w:t>
      </w:r>
      <w:r>
        <w:rPr>
          <w:rFonts w:hint="eastAsia"/>
        </w:rPr>
        <w:t>时应急备勤。</w:t>
      </w:r>
    </w:p>
    <w:p w14:paraId="6F543F41">
      <w:pPr>
        <w:ind w:firstLine="422"/>
      </w:pPr>
      <w:r>
        <w:rPr>
          <w:rFonts w:hint="eastAsia"/>
          <w:b/>
        </w:rPr>
        <w:t>第二十六条</w:t>
      </w:r>
      <w:r>
        <w:rPr>
          <w:rFonts w:hint="eastAsia"/>
        </w:rPr>
        <w:t xml:space="preserve">  供热设施发生突发性故障，应当立即抢修的，供热单位可以先行采取必要的应急措施进行抢修，相关单位和用户应当予以配合。</w:t>
      </w:r>
    </w:p>
    <w:p w14:paraId="366F9D62">
      <w:r>
        <w:rPr>
          <w:rFonts w:hint="eastAsia"/>
        </w:rPr>
        <w:t>发生供热设施泄漏等紧急情况时，供热单位必须采取紧急避险措施，实施入户抢险、抢修作业的，当地公安机关应当予以配合。</w:t>
      </w:r>
    </w:p>
    <w:p w14:paraId="75B65A59">
      <w:pPr>
        <w:ind w:firstLine="422"/>
      </w:pPr>
      <w:r>
        <w:rPr>
          <w:rFonts w:hint="eastAsia"/>
          <w:b/>
        </w:rPr>
        <w:t>第二十七条</w:t>
      </w:r>
      <w:r>
        <w:rPr>
          <w:rFonts w:hint="eastAsia"/>
        </w:rPr>
        <w:t xml:space="preserve">  供热单位无法保障安全稳定供热，严重影响公共利益，市政管理行政部门协调、督促后仍无效的，经市或者区县人民政府批准，市或者区县市政管理行政部门可以委托符合条件的供热单位对该供热单位的供热设施实施应急接管。</w:t>
      </w:r>
    </w:p>
    <w:p w14:paraId="2AA2FF2A">
      <w:r>
        <w:rPr>
          <w:rFonts w:hint="eastAsia"/>
        </w:rPr>
        <w:t>对供热单位的供热设施实施应急接管的，应当听取被接管单位的陈述申辩，并在供热范围内公告。当地公安机关、乡镇人民政府或者街道办事处、物业服务企业等单位应当予以配合。</w:t>
      </w:r>
    </w:p>
    <w:p w14:paraId="627A2246">
      <w:pPr>
        <w:ind w:firstLine="422"/>
      </w:pPr>
      <w:r>
        <w:rPr>
          <w:rFonts w:hint="eastAsia"/>
          <w:b/>
        </w:rPr>
        <w:t>第二十八条</w:t>
      </w:r>
      <w:r>
        <w:rPr>
          <w:rFonts w:hint="eastAsia"/>
        </w:rPr>
        <w:t xml:space="preserve">  接管运营期间，接管单位应当向用户提供安全稳定的供热服务，对接管项目的收支情况单独记账，独立核算，接受有关部门的监督。</w:t>
      </w:r>
    </w:p>
    <w:p w14:paraId="4F5E38B2">
      <w:r>
        <w:rPr>
          <w:rFonts w:hint="eastAsia"/>
        </w:rPr>
        <w:t>接管单位为保障基本供热服务所产生的运行费用，由接管单位临时垫付，被接管单位负责足额偿还。接管单位接管期间临时垫付资金经审核后发生的净损失，经市人民政府批准，市、区两级财政给予一次性补助，具体办法由市财政部门和市市政管理行政部门制定。</w:t>
      </w:r>
    </w:p>
    <w:p w14:paraId="0AB9F683">
      <w:pPr>
        <w:ind w:firstLine="422"/>
      </w:pPr>
      <w:r>
        <w:rPr>
          <w:rFonts w:hint="eastAsia"/>
          <w:b/>
        </w:rPr>
        <w:t>第二十九条</w:t>
      </w:r>
      <w:r>
        <w:rPr>
          <w:rFonts w:hint="eastAsia"/>
        </w:rPr>
        <w:t xml:space="preserve">  市政管理行政部门应当建立健全监督管理制度，依法对供热单位进行监督检查。</w:t>
      </w:r>
    </w:p>
    <w:p w14:paraId="0022C6D9">
      <w:r>
        <w:rPr>
          <w:rFonts w:hint="eastAsia"/>
        </w:rPr>
        <w:t>市市政管理行政部门应当会同市标准化行政主管部门等相关部门组织制定有关供热公共安全、服务的标准。</w:t>
      </w:r>
    </w:p>
    <w:p w14:paraId="07E77881">
      <w:pPr>
        <w:ind w:firstLine="422"/>
      </w:pPr>
      <w:r>
        <w:rPr>
          <w:rFonts w:hint="eastAsia"/>
          <w:b/>
        </w:rPr>
        <w:t>第三十条</w:t>
      </w:r>
      <w:r>
        <w:rPr>
          <w:rFonts w:hint="eastAsia"/>
        </w:rPr>
        <w:t xml:space="preserve">  供热单位违反本办法第十条规定，未办理备案或者备案变更手续的，由城市管理综合行政执法机关责令限期改正，逾期未改正的，</w:t>
      </w:r>
      <w:r>
        <w:rPr>
          <w:rFonts w:hint="eastAsia" w:ascii="宋体" w:hAnsi="宋体" w:eastAsia="宋体" w:cs="宋体"/>
        </w:rPr>
        <w:t>处3万元罚款；提交的备案材料失实的，由城市管理综合行政执法机关责令改正，情节严重的，可以处1万元以上3万元以</w:t>
      </w:r>
      <w:r>
        <w:rPr>
          <w:rFonts w:hint="eastAsia"/>
        </w:rPr>
        <w:t>下的罚款。</w:t>
      </w:r>
    </w:p>
    <w:p w14:paraId="7416403A">
      <w:pPr>
        <w:ind w:firstLine="422"/>
        <w:rPr>
          <w:rFonts w:hint="eastAsia" w:ascii="宋体" w:hAnsi="宋体" w:eastAsia="宋体" w:cs="宋体"/>
        </w:rPr>
      </w:pPr>
      <w:r>
        <w:rPr>
          <w:rFonts w:hint="eastAsia"/>
          <w:b/>
        </w:rPr>
        <w:t>第三十一条</w:t>
      </w:r>
      <w:r>
        <w:rPr>
          <w:rFonts w:hint="eastAsia"/>
        </w:rPr>
        <w:t xml:space="preserve">  供热单位违反本办法第十三条第（一）项规定，未实施供热设施安全巡检制度的，由城市管理综合行政执法机关予以警告，警</w:t>
      </w:r>
      <w:r>
        <w:rPr>
          <w:rFonts w:hint="eastAsia" w:ascii="宋体" w:hAnsi="宋体" w:eastAsia="宋体" w:cs="宋体"/>
        </w:rPr>
        <w:t>告两次的，处2万元罚款。</w:t>
      </w:r>
    </w:p>
    <w:p w14:paraId="1B779D6F">
      <w:pPr>
        <w:rPr>
          <w:rFonts w:hint="eastAsia" w:ascii="宋体" w:hAnsi="宋体" w:eastAsia="宋体" w:cs="宋体"/>
        </w:rPr>
      </w:pPr>
      <w:r>
        <w:rPr>
          <w:rFonts w:hint="eastAsia" w:ascii="宋体" w:hAnsi="宋体" w:eastAsia="宋体" w:cs="宋体"/>
        </w:rPr>
        <w:t>供热单位违反本办法第十三条第（二）项规定，未提前在供热范围内进行公告的，由城市管理综合行政执法机关责令改正，并处1000元罚款。</w:t>
      </w:r>
    </w:p>
    <w:p w14:paraId="441A0F42">
      <w:pPr>
        <w:ind w:firstLine="422"/>
        <w:rPr>
          <w:rFonts w:hint="eastAsia" w:ascii="宋体" w:hAnsi="宋体" w:eastAsia="宋体" w:cs="宋体"/>
        </w:rPr>
      </w:pPr>
      <w:r>
        <w:rPr>
          <w:rFonts w:hint="eastAsia"/>
          <w:b/>
        </w:rPr>
        <w:t>第三十二条</w:t>
      </w:r>
      <w:r>
        <w:rPr>
          <w:rFonts w:hint="eastAsia"/>
        </w:rPr>
        <w:t xml:space="preserve">  供热单位违反本办法第十五条第一款规定，在采暖期内，推迟、中止供热或者提前结束供热的，由城市管理综合行政执法机关责令改正，可以处</w:t>
      </w:r>
      <w:r>
        <w:rPr>
          <w:rFonts w:hint="eastAsia" w:ascii="宋体" w:hAnsi="宋体" w:eastAsia="宋体" w:cs="宋体"/>
        </w:rPr>
        <w:t>5000元以上3万元以下罚款。</w:t>
      </w:r>
    </w:p>
    <w:p w14:paraId="43E697B4">
      <w:pPr>
        <w:rPr>
          <w:rFonts w:hint="eastAsia" w:ascii="宋体" w:hAnsi="宋体" w:eastAsia="宋体" w:cs="宋体"/>
        </w:rPr>
      </w:pPr>
      <w:r>
        <w:rPr>
          <w:rFonts w:hint="eastAsia" w:ascii="宋体" w:hAnsi="宋体" w:eastAsia="宋体" w:cs="宋体"/>
        </w:rPr>
        <w:t>供热单位违反本办法第十五条第一款规定，在采暖期内退出或者部分退出供热经营活动的，由城市管理综合行政执法机关责令改正，并对供热单位处5万元以上10万元以下罚款，对供热单位法定代表人处1万元罚款。</w:t>
      </w:r>
    </w:p>
    <w:p w14:paraId="0D7210A5">
      <w:pPr>
        <w:rPr>
          <w:rFonts w:hint="eastAsia" w:ascii="宋体" w:hAnsi="宋体" w:eastAsia="宋体" w:cs="宋体"/>
        </w:rPr>
      </w:pPr>
      <w:r>
        <w:rPr>
          <w:rFonts w:hint="eastAsia" w:ascii="宋体" w:hAnsi="宋体" w:eastAsia="宋体" w:cs="宋体"/>
        </w:rPr>
        <w:t>供热单位违反本办法第十五条第二款规定，在非采暖期内擅自退出或者部分退出供热经营活动，影响用户采暖的，由城市管理综合行政执法机关责令限期改正，逾期未改正的，对供热单位处3万元罚款，对供热单位法定代表人处5000元罚款。</w:t>
      </w:r>
    </w:p>
    <w:p w14:paraId="18056138">
      <w:pPr>
        <w:ind w:firstLine="422"/>
      </w:pPr>
      <w:r>
        <w:rPr>
          <w:rFonts w:hint="eastAsia"/>
          <w:b/>
        </w:rPr>
        <w:t>第三十三条</w:t>
      </w:r>
      <w:r>
        <w:rPr>
          <w:rFonts w:hint="eastAsia"/>
        </w:rPr>
        <w:t xml:space="preserve">  用户违反本办法第二十一条第一款规定，拆改室内共用供热设施、扩大采暖面积、增加散热设备或者装饰装修房屋妨碍对设施进行正常维修养护的，由城市管理综合行政执法机关责令限期改正，逾期未改正的，可以</w:t>
      </w:r>
      <w:r>
        <w:rPr>
          <w:rFonts w:hint="eastAsia" w:ascii="宋体" w:hAnsi="宋体" w:eastAsia="宋体" w:cs="宋体"/>
        </w:rPr>
        <w:t>处500元以上5000元以下</w:t>
      </w:r>
      <w:r>
        <w:rPr>
          <w:rFonts w:hint="eastAsia"/>
        </w:rPr>
        <w:t>罚款。</w:t>
      </w:r>
    </w:p>
    <w:p w14:paraId="3158DD55">
      <w:pPr>
        <w:ind w:firstLine="422"/>
      </w:pPr>
      <w:r>
        <w:rPr>
          <w:rFonts w:hint="eastAsia"/>
          <w:b/>
        </w:rPr>
        <w:t>第三十四条</w:t>
      </w:r>
      <w:r>
        <w:rPr>
          <w:rFonts w:hint="eastAsia"/>
        </w:rPr>
        <w:t xml:space="preserve">  违反本办法第二十三条规定，擅自拆除、迁移、改建、变卖热源设施，未提供替代热源设施，影响用户采暖的，由城市管理综合行政执法机关责令限期改正，</w:t>
      </w:r>
      <w:r>
        <w:rPr>
          <w:rFonts w:hint="eastAsia" w:ascii="宋体" w:hAnsi="宋体" w:eastAsia="宋体" w:cs="宋体"/>
        </w:rPr>
        <w:t>并处5</w:t>
      </w:r>
      <w:r>
        <w:rPr>
          <w:rFonts w:hint="eastAsia"/>
        </w:rPr>
        <w:t>万元以</w:t>
      </w:r>
      <w:r>
        <w:rPr>
          <w:rFonts w:hint="eastAsia" w:ascii="宋体" w:hAnsi="宋体" w:eastAsia="宋体" w:cs="宋体"/>
        </w:rPr>
        <w:t>上10万</w:t>
      </w:r>
      <w:r>
        <w:rPr>
          <w:rFonts w:hint="eastAsia"/>
        </w:rPr>
        <w:t>元以下罚款。</w:t>
      </w:r>
    </w:p>
    <w:p w14:paraId="44B5F908">
      <w:pPr>
        <w:ind w:firstLine="422"/>
      </w:pPr>
      <w:r>
        <w:rPr>
          <w:rFonts w:hint="eastAsia"/>
          <w:b/>
        </w:rPr>
        <w:t>第三十五条</w:t>
      </w:r>
      <w:r>
        <w:rPr>
          <w:rFonts w:hint="eastAsia"/>
        </w:rPr>
        <w:t xml:space="preserve">  违反本办法第二十四条第（一）项规定的，由有关部门依照相关法律、法规和规章进行处理。</w:t>
      </w:r>
    </w:p>
    <w:p w14:paraId="0F7515B3">
      <w:r>
        <w:rPr>
          <w:rFonts w:hint="eastAsia"/>
        </w:rPr>
        <w:t>违反本办法第二十四条第（二）、（三）、（四）、（五）、（六）、（九）项规定的，由城市管理综合行政执法机关责令改正，严重影响供热设施安全的，可以</w:t>
      </w:r>
      <w:r>
        <w:rPr>
          <w:rFonts w:hint="eastAsia" w:ascii="宋体" w:hAnsi="宋体" w:eastAsia="宋体" w:cs="宋体"/>
        </w:rPr>
        <w:t>处5000元以上3万元以下</w:t>
      </w:r>
      <w:r>
        <w:rPr>
          <w:rFonts w:hint="eastAsia"/>
        </w:rPr>
        <w:t>罚款。</w:t>
      </w:r>
    </w:p>
    <w:p w14:paraId="19A9C7AC">
      <w:r>
        <w:rPr>
          <w:rFonts w:hint="eastAsia"/>
        </w:rPr>
        <w:t>违反本办法第二十四条第（七）、（八）项规定的，由城市管理综合行政执法机关责令改正，可以</w:t>
      </w:r>
      <w:r>
        <w:rPr>
          <w:rFonts w:hint="eastAsia" w:ascii="宋体" w:hAnsi="宋体" w:eastAsia="宋体" w:cs="宋体"/>
        </w:rPr>
        <w:t>处500元以上1000元以下罚</w:t>
      </w:r>
      <w:r>
        <w:rPr>
          <w:rFonts w:hint="eastAsia"/>
        </w:rPr>
        <w:t>款。</w:t>
      </w:r>
    </w:p>
    <w:p w14:paraId="325A7EA5">
      <w:pPr>
        <w:ind w:firstLine="422"/>
      </w:pPr>
      <w:r>
        <w:rPr>
          <w:rFonts w:hint="eastAsia"/>
          <w:b/>
        </w:rPr>
        <w:t>第三十六条</w:t>
      </w:r>
      <w:r>
        <w:rPr>
          <w:rFonts w:hint="eastAsia"/>
        </w:rPr>
        <w:t xml:space="preserve">  本办法中有关用语的含义：</w:t>
      </w:r>
    </w:p>
    <w:p w14:paraId="7D29E77A">
      <w:r>
        <w:rPr>
          <w:rFonts w:hint="eastAsia"/>
        </w:rPr>
        <w:t>（一）供热是指供热单位依靠稳定热源，通过管道系统有偿为用户提供采暖用热以及相关服务的行为。</w:t>
      </w:r>
    </w:p>
    <w:p w14:paraId="069A324A">
      <w:r>
        <w:rPr>
          <w:rFonts w:hint="eastAsia"/>
        </w:rPr>
        <w:t>（二）用户是指有偿使用供热单位提供的热能用于采暖的单位和个人。</w:t>
      </w:r>
    </w:p>
    <w:p w14:paraId="690B9217">
      <w:r>
        <w:rPr>
          <w:rFonts w:hint="eastAsia"/>
        </w:rPr>
        <w:t>（三）室内自用采暖设施是指室内支管、散热器及其附属设备。</w:t>
      </w:r>
    </w:p>
    <w:p w14:paraId="49E27DE4">
      <w:r>
        <w:rPr>
          <w:rFonts w:hint="eastAsia"/>
        </w:rPr>
        <w:t>（四）热源设施是指用于生产、交换热能的设施，包括各类锅炉房、热交换站等。</w:t>
      </w:r>
    </w:p>
    <w:p w14:paraId="58F6E55B">
      <w:pPr>
        <w:ind w:firstLine="422"/>
        <w:rPr>
          <w:rFonts w:hint="eastAsia" w:ascii="宋体" w:hAnsi="宋体" w:eastAsia="宋体" w:cs="宋体"/>
        </w:rPr>
      </w:pPr>
      <w:r>
        <w:rPr>
          <w:rFonts w:hint="eastAsia"/>
          <w:b/>
        </w:rPr>
        <w:t>第三十七条</w:t>
      </w:r>
      <w:r>
        <w:rPr>
          <w:rFonts w:hint="eastAsia"/>
        </w:rPr>
        <w:t xml:space="preserve">  本办法</w:t>
      </w:r>
      <w:r>
        <w:rPr>
          <w:rFonts w:hint="eastAsia" w:ascii="宋体" w:hAnsi="宋体" w:eastAsia="宋体" w:cs="宋体"/>
        </w:rPr>
        <w:t>自2010年4月1日起施行。</w:t>
      </w:r>
    </w:p>
    <w:p w14:paraId="55CBD7F6">
      <w:pPr>
        <w:rPr>
          <w:rFonts w:hint="eastAsia" w:ascii="宋体" w:hAnsi="宋体" w:eastAsia="宋体" w:cs="宋体"/>
        </w:rPr>
      </w:pPr>
      <w:r>
        <w:rPr>
          <w:rFonts w:hint="eastAsia" w:ascii="宋体" w:hAnsi="宋体" w:eastAsia="宋体" w:cs="宋体"/>
        </w:rPr>
        <w:t>1994年8月3日市人民政府第15号令公布、根据2004年6月1日市人民政府第150号令修改的《北京市住宅锅炉供暖管理规定》，1986年11月15日市人民政府京政办发  〔1986〕141号文件发布、根据2004年6月1日市人民政府第150号令修改的《北京市城市公用热力设施管理暂行规定》同时废止。</w:t>
      </w:r>
    </w:p>
    <w:p w14:paraId="7C5A1D99">
      <w:pPr>
        <w:pStyle w:val="4"/>
        <w:pageBreakBefore/>
      </w:pPr>
      <w:bookmarkStart w:id="2361" w:name="_Toc428780645"/>
      <w:bookmarkStart w:id="2362" w:name="_Toc426467113"/>
      <w:bookmarkStart w:id="2363" w:name="_Toc428781861"/>
      <w:r>
        <w:rPr>
          <w:rFonts w:hint="eastAsia"/>
        </w:rPr>
        <w:t>北京市架空线管理若干规定</w:t>
      </w:r>
      <w:bookmarkEnd w:id="2361"/>
      <w:bookmarkEnd w:id="2362"/>
      <w:bookmarkEnd w:id="2363"/>
    </w:p>
    <w:p w14:paraId="4CB049C5">
      <w:pPr>
        <w:ind w:left="630" w:leftChars="300" w:right="630" w:rightChars="300"/>
        <w:rPr>
          <w:rFonts w:ascii="楷体" w:hAnsi="楷体" w:eastAsia="楷体"/>
        </w:rPr>
      </w:pPr>
      <w:r>
        <w:rPr>
          <w:rFonts w:hint="eastAsia" w:ascii="楷体" w:hAnsi="楷体" w:eastAsia="楷体"/>
        </w:rPr>
        <w:t>（2011年5月19日北京市人民政府第93次常务会议审议通过  2011年5月31日北京市人民政府第232号令公布）</w:t>
      </w:r>
    </w:p>
    <w:p w14:paraId="52FB438A"/>
    <w:p w14:paraId="12C9D243">
      <w:pPr>
        <w:ind w:firstLine="422"/>
      </w:pPr>
      <w:r>
        <w:rPr>
          <w:rFonts w:hint="eastAsia"/>
          <w:b/>
        </w:rPr>
        <w:t>第一条</w:t>
      </w:r>
      <w:r>
        <w:rPr>
          <w:rFonts w:hint="eastAsia"/>
        </w:rPr>
        <w:t xml:space="preserve">  为了加强本市架空线管理，保障城市基础设施运行安全，美化市容环境，根据《北京市市容环境卫生条例》和相关法律、法规，制定本规定。</w:t>
      </w:r>
    </w:p>
    <w:p w14:paraId="7CF9E0BE">
      <w:pPr>
        <w:ind w:firstLine="422"/>
      </w:pPr>
      <w:r>
        <w:rPr>
          <w:rFonts w:hint="eastAsia"/>
          <w:b/>
        </w:rPr>
        <w:t>第二条</w:t>
      </w:r>
      <w:r>
        <w:rPr>
          <w:rFonts w:hint="eastAsia"/>
        </w:rPr>
        <w:t xml:space="preserve">  本市行政区域内架空线的设置、埋设入地以及相关管理活动适用本规定。</w:t>
      </w:r>
    </w:p>
    <w:p w14:paraId="47F04E78">
      <w:r>
        <w:rPr>
          <w:rFonts w:hint="eastAsia"/>
        </w:rPr>
        <w:t>本规定所称架空线，包括设置在城市道路上空或者建筑物、构筑物之间的信息传输线缆、10千伏以下配电线缆、电车供电馈线线缆、城市道路照明供电线缆及其杆架。</w:t>
      </w:r>
    </w:p>
    <w:p w14:paraId="66454DBD">
      <w:pPr>
        <w:ind w:firstLine="422"/>
      </w:pPr>
      <w:r>
        <w:rPr>
          <w:rFonts w:hint="eastAsia"/>
          <w:b/>
        </w:rPr>
        <w:t>第三条</w:t>
      </w:r>
      <w:r>
        <w:rPr>
          <w:rFonts w:hint="eastAsia"/>
        </w:rPr>
        <w:t xml:space="preserve">  市政市容行政管理部门负责架空线的监督管理工作。</w:t>
      </w:r>
    </w:p>
    <w:p w14:paraId="3C2FAF13">
      <w:r>
        <w:rPr>
          <w:rFonts w:hint="eastAsia"/>
        </w:rPr>
        <w:t>架空线的设置、埋设入地以及相关管理活动有关的行政管理部门按照各自职责做好相关工作。</w:t>
      </w:r>
    </w:p>
    <w:p w14:paraId="0C9B2071">
      <w:pPr>
        <w:ind w:firstLine="422"/>
      </w:pPr>
      <w:r>
        <w:rPr>
          <w:rFonts w:hint="eastAsia"/>
          <w:b/>
        </w:rPr>
        <w:t>第四条</w:t>
      </w:r>
      <w:r>
        <w:rPr>
          <w:rFonts w:hint="eastAsia"/>
        </w:rPr>
        <w:t xml:space="preserve">  本市架空线管理遵循统一规划、分区控制、逐步入地的原则。</w:t>
      </w:r>
    </w:p>
    <w:p w14:paraId="6E1E0677">
      <w:pPr>
        <w:ind w:firstLine="422"/>
      </w:pPr>
      <w:r>
        <w:rPr>
          <w:rFonts w:hint="eastAsia"/>
          <w:b/>
        </w:rPr>
        <w:t>第五条</w:t>
      </w:r>
      <w:r>
        <w:rPr>
          <w:rFonts w:hint="eastAsia"/>
        </w:rPr>
        <w:t xml:space="preserve">  设置架空线，应当经市政市容行政管理部门批准。依法需要取得规划、施工等行政许可的，应当办理有关手续。</w:t>
      </w:r>
    </w:p>
    <w:p w14:paraId="26B81AB4">
      <w:pPr>
        <w:ind w:firstLine="422"/>
      </w:pPr>
      <w:r>
        <w:rPr>
          <w:rFonts w:hint="eastAsia"/>
          <w:b/>
        </w:rPr>
        <w:t>第六条</w:t>
      </w:r>
      <w:r>
        <w:rPr>
          <w:rFonts w:hint="eastAsia"/>
        </w:rPr>
        <w:t xml:space="preserve">  向市政市容行政管理部门申请设置架空线行政许可，应当提交下列材料：</w:t>
      </w:r>
    </w:p>
    <w:p w14:paraId="0316F555">
      <w:bookmarkStart w:id="2364" w:name="_Toc428780646"/>
      <w:r>
        <w:rPr>
          <w:rFonts w:hint="eastAsia"/>
        </w:rPr>
        <w:t>（一）架空线设置用途、期限、地点、路由、长度等的说明；</w:t>
      </w:r>
      <w:bookmarkEnd w:id="2364"/>
    </w:p>
    <w:p w14:paraId="3CE1FAA0">
      <w:r>
        <w:rPr>
          <w:rFonts w:hint="eastAsia"/>
        </w:rPr>
        <w:t>（二）设计图纸和施工方案；</w:t>
      </w:r>
    </w:p>
    <w:p w14:paraId="3EC46414">
      <w:r>
        <w:rPr>
          <w:rFonts w:hint="eastAsia"/>
        </w:rPr>
        <w:t>（三）在他人所有的杆架上搭挂线缆的，应当提交与杆架管理人签订的使用和安全维护协议；</w:t>
      </w:r>
    </w:p>
    <w:p w14:paraId="69CA9636">
      <w:r>
        <w:rPr>
          <w:rFonts w:hint="eastAsia"/>
        </w:rPr>
        <w:t>（四）应当先行取得的其他行政许可证件。</w:t>
      </w:r>
    </w:p>
    <w:p w14:paraId="5A90E7D8">
      <w:pPr>
        <w:ind w:firstLine="422"/>
      </w:pPr>
      <w:r>
        <w:rPr>
          <w:rFonts w:hint="eastAsia"/>
          <w:b/>
        </w:rPr>
        <w:t>第七条</w:t>
      </w:r>
      <w:r>
        <w:rPr>
          <w:rFonts w:hint="eastAsia"/>
        </w:rPr>
        <w:t xml:space="preserve">  市政市容行政管理部门应当审查申请设置的期限、地点、路由、长度等是否符合环境建设规划、本市架空线埋设入地规划和年度实施计划、容貌景观标准，图纸和施工方案是否符合相关标准、规范，并</w:t>
      </w:r>
      <w:r>
        <w:rPr>
          <w:rFonts w:hint="eastAsia" w:ascii="宋体" w:hAnsi="宋体" w:eastAsia="宋体" w:cs="宋体"/>
        </w:rPr>
        <w:t>在20</w:t>
      </w:r>
      <w:r>
        <w:rPr>
          <w:rFonts w:hint="eastAsia"/>
        </w:rPr>
        <w:t>日内依法作出是否准予设置架空线的书面行政许可决定。</w:t>
      </w:r>
    </w:p>
    <w:p w14:paraId="3F7FDE55">
      <w:pPr>
        <w:ind w:firstLine="422"/>
      </w:pPr>
      <w:r>
        <w:rPr>
          <w:rFonts w:hint="eastAsia"/>
          <w:b/>
        </w:rPr>
        <w:t>第八条</w:t>
      </w:r>
      <w:r>
        <w:rPr>
          <w:rFonts w:hint="eastAsia"/>
        </w:rPr>
        <w:t xml:space="preserve">  在五环路以内城市道路、规划新城范围内城市道路以及市人民政府确定的其他区域（以下简称埋设入地区域），不得新设置架空线。确因工程建设、临时活动或者地下管道资源不足等特殊情况需要临时设置的，可以按照本规定申请行政许可。市政市容行政管理部门应当严格控制在埋设入地区域新设置架空线。</w:t>
      </w:r>
    </w:p>
    <w:p w14:paraId="6BFBBDDA">
      <w:pPr>
        <w:ind w:firstLine="422"/>
      </w:pPr>
      <w:r>
        <w:rPr>
          <w:rFonts w:hint="eastAsia"/>
          <w:b/>
        </w:rPr>
        <w:t>第九条</w:t>
      </w:r>
      <w:r>
        <w:rPr>
          <w:rFonts w:hint="eastAsia"/>
        </w:rPr>
        <w:t xml:space="preserve">  设置架空线应当符合设置架空线行政许可决定确定的地点、路由、长度、设计图纸和施工方案。</w:t>
      </w:r>
    </w:p>
    <w:p w14:paraId="4A973A4F">
      <w:r>
        <w:rPr>
          <w:rFonts w:hint="eastAsia"/>
        </w:rPr>
        <w:t>申请延续设置架空线行政许可有效期的，应当在有效期届</w:t>
      </w:r>
      <w:r>
        <w:rPr>
          <w:rFonts w:hint="eastAsia" w:ascii="宋体" w:hAnsi="宋体" w:eastAsia="宋体" w:cs="宋体"/>
        </w:rPr>
        <w:t>满30</w:t>
      </w:r>
      <w:r>
        <w:rPr>
          <w:rFonts w:hint="eastAsia"/>
        </w:rPr>
        <w:t>日前向市政市容行政管理部门提出。设置架空线的行政许可有效期届满的，应当清除架空线。</w:t>
      </w:r>
    </w:p>
    <w:p w14:paraId="58E17C84">
      <w:pPr>
        <w:ind w:firstLine="422"/>
      </w:pPr>
      <w:r>
        <w:rPr>
          <w:rFonts w:hint="eastAsia"/>
          <w:b/>
        </w:rPr>
        <w:t>第十条</w:t>
      </w:r>
      <w:r>
        <w:rPr>
          <w:rFonts w:hint="eastAsia"/>
        </w:rPr>
        <w:t xml:space="preserve">  架空线的所有权人和依照规定或者约定承担管理责任的单位（以下简称架空线管理人）应当履行以下维护管理义务：</w:t>
      </w:r>
    </w:p>
    <w:p w14:paraId="0968732F">
      <w:r>
        <w:rPr>
          <w:rFonts w:hint="eastAsia"/>
        </w:rPr>
        <w:t>（一）在架空线的显著位置设置标识，标明架空线管理人名称和联系方式、类别、路由、行政许可有效期等基本信息；</w:t>
      </w:r>
    </w:p>
    <w:p w14:paraId="1DEA351F">
      <w:bookmarkStart w:id="2365" w:name="_Toc428780647"/>
      <w:r>
        <w:rPr>
          <w:rFonts w:hint="eastAsia"/>
        </w:rPr>
        <w:t>（二）定期进行巡查和维护；</w:t>
      </w:r>
      <w:bookmarkEnd w:id="2365"/>
    </w:p>
    <w:p w14:paraId="57BBDF7B">
      <w:r>
        <w:rPr>
          <w:rFonts w:hint="eastAsia"/>
        </w:rPr>
        <w:t>（三）及时向信息化城市管理系统管理单位提供设置信息；</w:t>
      </w:r>
    </w:p>
    <w:p w14:paraId="55E8D43A">
      <w:r>
        <w:rPr>
          <w:rFonts w:hint="eastAsia"/>
        </w:rPr>
        <w:t>（四）发现架空线有折断、垂落、松动、倒塌、倾斜等影响安全或者市容景观的情况，立即进行处理；</w:t>
      </w:r>
    </w:p>
    <w:p w14:paraId="426988BC">
      <w:bookmarkStart w:id="2366" w:name="_Toc428780648"/>
      <w:r>
        <w:rPr>
          <w:rFonts w:hint="eastAsia"/>
        </w:rPr>
        <w:t>（五）及时清除废弃架空线；</w:t>
      </w:r>
      <w:bookmarkEnd w:id="2366"/>
    </w:p>
    <w:p w14:paraId="3F30F8F2">
      <w:r>
        <w:rPr>
          <w:rFonts w:hint="eastAsia"/>
        </w:rPr>
        <w:t>（六）发现在其杆架上出现擅自搭挂的线缆，应当及时采取措施清除；不能清除的，</w:t>
      </w:r>
    </w:p>
    <w:p w14:paraId="26036A9C">
      <w:r>
        <w:rPr>
          <w:rFonts w:hint="eastAsia"/>
        </w:rPr>
        <w:t>应当向市政市容行政管理部门报告。</w:t>
      </w:r>
    </w:p>
    <w:p w14:paraId="24B58513">
      <w:pPr>
        <w:ind w:firstLine="422"/>
      </w:pPr>
      <w:r>
        <w:rPr>
          <w:rFonts w:hint="eastAsia"/>
          <w:b/>
        </w:rPr>
        <w:t>第十一条</w:t>
      </w:r>
      <w:r>
        <w:rPr>
          <w:rFonts w:hint="eastAsia"/>
        </w:rPr>
        <w:t xml:space="preserve">  市政市容行政管理部门接到报告或者发现架空线出现折断、垂落、松动、倒塌、倾斜等情况后，应当督促架空线管理人及时抢修，恢复架空线的正常状态；情况紧急的，市政市容行政管理部门应当组织有关部门、单位采取应急处置措施，消除安全隐患。</w:t>
      </w:r>
    </w:p>
    <w:p w14:paraId="556021A1">
      <w:pPr>
        <w:ind w:firstLine="422"/>
      </w:pPr>
      <w:r>
        <w:rPr>
          <w:rFonts w:hint="eastAsia"/>
          <w:b/>
        </w:rPr>
        <w:t>第十二条</w:t>
      </w:r>
      <w:r>
        <w:rPr>
          <w:rFonts w:hint="eastAsia"/>
        </w:rPr>
        <w:t xml:space="preserve">  埋设入地区域内已经设置的架空线，应当逐步埋设入地。</w:t>
      </w:r>
    </w:p>
    <w:p w14:paraId="031AE78E">
      <w:r>
        <w:rPr>
          <w:rFonts w:hint="eastAsia"/>
        </w:rPr>
        <w:t>市市政市容行政管理部门应当会同发展改革、经济信息化、规划、建设、公安、交通、园林绿化、广播电视、通信等行政管理部门和有关单位，编制本市架空线埋设入地规划和年度实施计划，报市人民政府批准后公布实施。架空线埋设入地规划和年度实施计划应当与城市道路路网规划和城市道路年度建设计划、城市道路大修计划相衔接。</w:t>
      </w:r>
    </w:p>
    <w:p w14:paraId="475A014F">
      <w:pPr>
        <w:ind w:firstLine="422"/>
      </w:pPr>
      <w:r>
        <w:rPr>
          <w:rFonts w:hint="eastAsia"/>
          <w:b/>
        </w:rPr>
        <w:t>第十三条</w:t>
      </w:r>
      <w:r>
        <w:rPr>
          <w:rFonts w:hint="eastAsia"/>
        </w:rPr>
        <w:t xml:space="preserve">  市政市容行政管理部门负责组织实施架空线埋设入地年度实施计划，明确地下管道建设单位、道路建设单位、架空线管理人任务，并负责协调、指导、督促任务落实。</w:t>
      </w:r>
    </w:p>
    <w:p w14:paraId="134078D8">
      <w:r>
        <w:rPr>
          <w:rFonts w:hint="eastAsia"/>
        </w:rPr>
        <w:t>地下管道建设单位、道路建设单位、架空线管理人应当按照市政市容行政管理部门确定的任务，实施架空线埋设入地工作。</w:t>
      </w:r>
    </w:p>
    <w:p w14:paraId="489D8E42">
      <w:pPr>
        <w:ind w:firstLine="422"/>
      </w:pPr>
      <w:r>
        <w:rPr>
          <w:rFonts w:hint="eastAsia"/>
          <w:b/>
        </w:rPr>
        <w:t>第十四条</w:t>
      </w:r>
      <w:r>
        <w:rPr>
          <w:rFonts w:hint="eastAsia"/>
        </w:rPr>
        <w:t>　在埋设入地区域内，新建、改建、扩建城市道路或者实施城市道路大修工程的，应当同步建设各类相关地下管道设施，沿途架空线同步埋设入地。</w:t>
      </w:r>
    </w:p>
    <w:p w14:paraId="4D6357ED">
      <w:pPr>
        <w:ind w:firstLine="422"/>
      </w:pPr>
      <w:r>
        <w:rPr>
          <w:rFonts w:hint="eastAsia"/>
          <w:b/>
        </w:rPr>
        <w:t>第十五条</w:t>
      </w:r>
      <w:r>
        <w:rPr>
          <w:rFonts w:hint="eastAsia"/>
        </w:rPr>
        <w:t>　实施架空线埋设入地的，应当对线路进行整合，有效利用地下管道资源。</w:t>
      </w:r>
    </w:p>
    <w:p w14:paraId="2C76ED94">
      <w:r>
        <w:rPr>
          <w:rFonts w:hint="eastAsia"/>
        </w:rPr>
        <w:t>增值电信业务运营商应当利用基础电信业务运营商提供的公共网络基础设施开展服务业务。</w:t>
      </w:r>
    </w:p>
    <w:p w14:paraId="4C81E84C">
      <w:pPr>
        <w:ind w:firstLine="422"/>
      </w:pPr>
      <w:r>
        <w:rPr>
          <w:rFonts w:hint="eastAsia"/>
          <w:b/>
        </w:rPr>
        <w:t>第十六条</w:t>
      </w:r>
      <w:r>
        <w:rPr>
          <w:rFonts w:hint="eastAsia"/>
        </w:rPr>
        <w:t>　地下通信管道设施的所有权人应当为通信线缆所有权人提供开放、公平的管道服务。</w:t>
      </w:r>
    </w:p>
    <w:p w14:paraId="3DDFE562">
      <w:r>
        <w:rPr>
          <w:rFonts w:hint="eastAsia"/>
        </w:rPr>
        <w:t>不同权属的地下通信管道之间在保障网络和信息安全的前提下，应当按照技术可行、经济合理、公平公正、相互配合的原则，实现互联互通。</w:t>
      </w:r>
    </w:p>
    <w:p w14:paraId="1B75E8F6">
      <w:pPr>
        <w:ind w:firstLine="422"/>
      </w:pPr>
      <w:r>
        <w:rPr>
          <w:rFonts w:hint="eastAsia"/>
          <w:b/>
        </w:rPr>
        <w:t>第十七条</w:t>
      </w:r>
      <w:r>
        <w:rPr>
          <w:rFonts w:hint="eastAsia"/>
        </w:rPr>
        <w:t>　市政市容行政管理部门应当对架空线入地信息进行记录，并纳入城市地下管线信息管理系统，并与发展改革、经济信息化、规划、建设、公安、交通、园林绿化、广播电视、通信等相关行政管理部门和单位实现信息共享。</w:t>
      </w:r>
    </w:p>
    <w:p w14:paraId="653C7641">
      <w:r>
        <w:rPr>
          <w:rFonts w:hint="eastAsia"/>
        </w:rPr>
        <w:t>相关信息的管理应当符合保密工作规定。</w:t>
      </w:r>
    </w:p>
    <w:p w14:paraId="74E50C8D">
      <w:pPr>
        <w:ind w:firstLine="422"/>
      </w:pPr>
      <w:r>
        <w:rPr>
          <w:rFonts w:hint="eastAsia"/>
          <w:b/>
        </w:rPr>
        <w:t>第十八条</w:t>
      </w:r>
      <w:r>
        <w:rPr>
          <w:rFonts w:hint="eastAsia"/>
        </w:rPr>
        <w:t>　违反本规定第五条，本规定实施后，未经市政市容行政管理部门批准设置架空线的，由城市管理综合行政执法机关责令限期改正，可以处</w:t>
      </w:r>
      <w:r>
        <w:rPr>
          <w:rFonts w:hint="eastAsia" w:ascii="宋体" w:hAnsi="宋体" w:eastAsia="宋体" w:cs="宋体"/>
        </w:rPr>
        <w:t>300元以上3000</w:t>
      </w:r>
      <w:r>
        <w:rPr>
          <w:rFonts w:hint="eastAsia"/>
        </w:rPr>
        <w:t>元以下罚款。逾期不改正的，由区县市政市容行政管理部门组织清除。</w:t>
      </w:r>
    </w:p>
    <w:p w14:paraId="1A87751D">
      <w:r>
        <w:rPr>
          <w:rFonts w:hint="eastAsia"/>
        </w:rPr>
        <w:t>无法确定架空线管理人的，区县市政市容行政管理部门可以通过在公共媒体以及架空线所在地发布公告的形式督促架空线管理人改正违法行为，公告期间不得少于</w:t>
      </w:r>
      <w:r>
        <w:rPr>
          <w:rFonts w:hint="eastAsia" w:ascii="宋体" w:hAnsi="宋体" w:eastAsia="宋体" w:cs="宋体"/>
        </w:rPr>
        <w:t>15</w:t>
      </w:r>
      <w:r>
        <w:rPr>
          <w:rFonts w:hint="eastAsia"/>
        </w:rPr>
        <w:t>日。公告期间届满，未改正违法行为的，由区县市政市容行政管理部门组织清除。</w:t>
      </w:r>
    </w:p>
    <w:p w14:paraId="4A711870">
      <w:pPr>
        <w:ind w:firstLine="422"/>
        <w:rPr>
          <w:rFonts w:hint="eastAsia" w:ascii="宋体" w:hAnsi="宋体" w:eastAsia="宋体" w:cs="宋体"/>
        </w:rPr>
      </w:pPr>
      <w:r>
        <w:rPr>
          <w:rFonts w:hint="eastAsia"/>
          <w:b/>
        </w:rPr>
        <w:t>第十九条</w:t>
      </w:r>
      <w:r>
        <w:rPr>
          <w:rFonts w:hint="eastAsia"/>
        </w:rPr>
        <w:t>　违反本规定第九条第一款，设置架空线不符合设置架空线行政许可决定的，由城市管理综合行政执法机关责令限期改正，可以</w:t>
      </w:r>
      <w:r>
        <w:rPr>
          <w:rFonts w:hint="eastAsia" w:ascii="宋体" w:hAnsi="宋体" w:eastAsia="宋体" w:cs="宋体"/>
        </w:rPr>
        <w:t>处200元以上2000元以下罚款。</w:t>
      </w:r>
    </w:p>
    <w:p w14:paraId="1C02FA83">
      <w:r>
        <w:rPr>
          <w:rFonts w:hint="eastAsia" w:ascii="宋体" w:hAnsi="宋体" w:eastAsia="宋体" w:cs="宋体"/>
        </w:rPr>
        <w:t>违反本规定第九条第二款，设置架空线的行政许可有效期届满未清除架空线的，由城市管理综合行政执法机关责令限期改正，可以处300元以上3000元</w:t>
      </w:r>
      <w:r>
        <w:rPr>
          <w:rFonts w:hint="eastAsia"/>
        </w:rPr>
        <w:t>以下罚款。逾期不改正的，由区县市政市容行政管理部门组织清除。</w:t>
      </w:r>
    </w:p>
    <w:p w14:paraId="4A7C0257">
      <w:pPr>
        <w:ind w:firstLine="422"/>
        <w:rPr>
          <w:rFonts w:hint="eastAsia" w:ascii="宋体" w:hAnsi="宋体" w:eastAsia="宋体" w:cs="宋体"/>
        </w:rPr>
      </w:pPr>
      <w:r>
        <w:rPr>
          <w:rFonts w:hint="eastAsia"/>
          <w:b/>
        </w:rPr>
        <w:t>第二十条</w:t>
      </w:r>
      <w:r>
        <w:rPr>
          <w:rFonts w:hint="eastAsia"/>
        </w:rPr>
        <w:t>　违反本规定第十条第（一）、（四）、（六）项的，由城市管理综合行政执法机关责令限期改正，可以</w:t>
      </w:r>
      <w:r>
        <w:rPr>
          <w:rFonts w:hint="eastAsia" w:ascii="宋体" w:hAnsi="宋体" w:eastAsia="宋体" w:cs="宋体"/>
        </w:rPr>
        <w:t>处200元以上2000元以下罚款。</w:t>
      </w:r>
    </w:p>
    <w:p w14:paraId="3420ACC2">
      <w:r>
        <w:rPr>
          <w:rFonts w:hint="eastAsia" w:ascii="宋体" w:hAnsi="宋体" w:eastAsia="宋体" w:cs="宋体"/>
        </w:rPr>
        <w:t>违反本规定第十条第（五）项的，由城市管理综合行政执法机关责令限期改正，可以处300元以上3000元以下罚款。逾期不改正的，由区县市政市</w:t>
      </w:r>
      <w:r>
        <w:rPr>
          <w:rFonts w:hint="eastAsia"/>
        </w:rPr>
        <w:t>容行政管理部门组织清除。</w:t>
      </w:r>
    </w:p>
    <w:p w14:paraId="0207CCBA">
      <w:pPr>
        <w:ind w:firstLine="422"/>
      </w:pPr>
      <w:r>
        <w:rPr>
          <w:rFonts w:hint="eastAsia"/>
          <w:b/>
        </w:rPr>
        <w:t>第二十一条</w:t>
      </w:r>
      <w:r>
        <w:rPr>
          <w:rFonts w:hint="eastAsia"/>
        </w:rPr>
        <w:t>　违反本规定第十三条第二款，地下管道建设单位、道路建设单位、架空线管理人不按照市政市容行政管理部门依法确定的任务实施架空线埋设入地工作的，由城市管理综合行政执法机关责令限期改正，可以处</w:t>
      </w:r>
      <w:r>
        <w:rPr>
          <w:rFonts w:hint="eastAsia" w:ascii="宋体" w:hAnsi="宋体" w:eastAsia="宋体" w:cs="宋体"/>
        </w:rPr>
        <w:t>3000元以上3万元</w:t>
      </w:r>
      <w:r>
        <w:rPr>
          <w:rFonts w:hint="eastAsia"/>
        </w:rPr>
        <w:t>以下罚款。架空线管理人逾期不改正的，由区县市政市容行政管理部门组织清除。</w:t>
      </w:r>
    </w:p>
    <w:p w14:paraId="4ED2FCA5">
      <w:pPr>
        <w:ind w:firstLine="422"/>
      </w:pPr>
      <w:r>
        <w:rPr>
          <w:rFonts w:hint="eastAsia"/>
          <w:b/>
        </w:rPr>
        <w:t>第二十二条</w:t>
      </w:r>
      <w:r>
        <w:rPr>
          <w:rFonts w:hint="eastAsia"/>
        </w:rPr>
        <w:t>　区县市政市容行政管理部门按照本规定第十八条、第十九条、第二十一条组织清除架空线的，应当公告并制定工作方案、应急预案，保障正常生产生活秩序。工作方案、应急预案应当报经区县人民政府批准。委托专业单位实施清除的，相关费用由违法行为人承担。</w:t>
      </w:r>
    </w:p>
    <w:p w14:paraId="63E3CE55">
      <w:pPr>
        <w:ind w:firstLine="422"/>
      </w:pPr>
      <w:r>
        <w:rPr>
          <w:rFonts w:hint="eastAsia"/>
          <w:b/>
        </w:rPr>
        <w:t>第二十三条</w:t>
      </w:r>
      <w:r>
        <w:rPr>
          <w:rFonts w:hint="eastAsia"/>
        </w:rPr>
        <w:t>　违反本规定，按照规划、建设、交通、水务、安全生产、电力、通信等法律、法规和规章的规定应当给予行政处罚的，由各有关部门依法给予处罚。</w:t>
      </w:r>
    </w:p>
    <w:p w14:paraId="3EFE4E1B">
      <w:pPr>
        <w:ind w:firstLine="422"/>
      </w:pPr>
      <w:r>
        <w:rPr>
          <w:rFonts w:hint="eastAsia"/>
          <w:b/>
        </w:rPr>
        <w:t>第二十四条</w:t>
      </w:r>
      <w:r>
        <w:rPr>
          <w:rFonts w:hint="eastAsia"/>
        </w:rPr>
        <w:t>　市政市容行政管理部门等行政机关不依法履行监督职责或者监督不力，造成严重后果的，由监察机关责令改正，对直接负责的主管人员和其他直接责任人员依法给予行政处分。</w:t>
      </w:r>
    </w:p>
    <w:p w14:paraId="3D323BF4">
      <w:pPr>
        <w:ind w:firstLine="422"/>
      </w:pPr>
      <w:r>
        <w:rPr>
          <w:rFonts w:hint="eastAsia"/>
          <w:b/>
        </w:rPr>
        <w:t>第二十五条</w:t>
      </w:r>
      <w:r>
        <w:rPr>
          <w:rFonts w:hint="eastAsia"/>
        </w:rPr>
        <w:t>　本规定实施前未经市政市容行政管理部门批准设置的架空线，架空线管理人应当在市市政市容行政管理部门规定期限内申请补办手续。</w:t>
      </w:r>
    </w:p>
    <w:p w14:paraId="238FAB0E">
      <w:pPr>
        <w:ind w:firstLine="422"/>
      </w:pPr>
      <w:r>
        <w:rPr>
          <w:rFonts w:hint="eastAsia"/>
          <w:b/>
        </w:rPr>
        <w:t>第二十六条</w:t>
      </w:r>
      <w:r>
        <w:rPr>
          <w:rFonts w:hint="eastAsia"/>
        </w:rPr>
        <w:t>　本规</w:t>
      </w:r>
      <w:r>
        <w:rPr>
          <w:rFonts w:hint="eastAsia" w:ascii="宋体" w:hAnsi="宋体" w:eastAsia="宋体" w:cs="宋体"/>
        </w:rPr>
        <w:t>定自2011年8月1日起</w:t>
      </w:r>
      <w:r>
        <w:rPr>
          <w:rFonts w:hint="eastAsia"/>
        </w:rPr>
        <w:t>施行。</w:t>
      </w:r>
    </w:p>
    <w:p w14:paraId="1DD976B4">
      <w:pPr>
        <w:pStyle w:val="4"/>
        <w:pageBreakBefore/>
      </w:pPr>
      <w:bookmarkStart w:id="2367" w:name="_Toc426467114"/>
      <w:bookmarkStart w:id="2368" w:name="_Toc428781862"/>
      <w:bookmarkStart w:id="2369" w:name="_Toc428780649"/>
      <w:r>
        <w:rPr>
          <w:rFonts w:hint="eastAsia"/>
        </w:rPr>
        <w:t>北京市门楼牌管理办法</w:t>
      </w:r>
      <w:bookmarkEnd w:id="2367"/>
      <w:bookmarkEnd w:id="2368"/>
      <w:bookmarkEnd w:id="2369"/>
    </w:p>
    <w:p w14:paraId="10B9BFAF">
      <w:pPr>
        <w:ind w:left="630" w:leftChars="300" w:right="630" w:rightChars="300"/>
        <w:rPr>
          <w:rFonts w:ascii="楷体" w:hAnsi="楷体" w:eastAsia="楷体"/>
        </w:rPr>
      </w:pPr>
      <w:r>
        <w:rPr>
          <w:rFonts w:hint="eastAsia" w:ascii="楷体" w:hAnsi="楷体" w:eastAsia="楷体"/>
        </w:rPr>
        <w:t>（2014年5月21日北京市人民政府第42次常务会议审议通过  2014年6月6日北京市人民政府第254号令公布）</w:t>
      </w:r>
    </w:p>
    <w:p w14:paraId="01417FFC"/>
    <w:p w14:paraId="544AB68A">
      <w:pPr>
        <w:ind w:firstLine="422"/>
      </w:pPr>
      <w:r>
        <w:rPr>
          <w:rFonts w:hint="eastAsia"/>
          <w:b/>
        </w:rPr>
        <w:t>第一条</w:t>
      </w:r>
      <w:r>
        <w:rPr>
          <w:rFonts w:hint="eastAsia"/>
        </w:rPr>
        <w:t xml:space="preserve">  为了规范本市门楼牌管理工作，满足城市建设管理和市民生产、生活需要，根据国家有关法律、法规，结合本市实际，制定本办法。</w:t>
      </w:r>
    </w:p>
    <w:p w14:paraId="6DF46128">
      <w:pPr>
        <w:ind w:firstLine="422"/>
      </w:pPr>
      <w:r>
        <w:rPr>
          <w:rFonts w:hint="eastAsia"/>
          <w:b/>
        </w:rPr>
        <w:t>第二条</w:t>
      </w:r>
      <w:r>
        <w:rPr>
          <w:rFonts w:hint="eastAsia"/>
        </w:rPr>
        <w:t xml:space="preserve">  本市行政区域内建筑物门楼牌号的编制以及门楼牌的设置、使用、维护、管理，适用本办法。</w:t>
      </w:r>
    </w:p>
    <w:p w14:paraId="0B904641">
      <w:r>
        <w:rPr>
          <w:rFonts w:hint="eastAsia"/>
        </w:rPr>
        <w:t>本办法所称门楼牌，包括门牌、楼牌、单元牌、户（室）牌。</w:t>
      </w:r>
    </w:p>
    <w:p w14:paraId="68BA7C06">
      <w:pPr>
        <w:ind w:firstLine="422"/>
      </w:pPr>
      <w:r>
        <w:rPr>
          <w:rFonts w:hint="eastAsia"/>
          <w:b/>
        </w:rPr>
        <w:t>第三条</w:t>
      </w:r>
      <w:r>
        <w:rPr>
          <w:rFonts w:hint="eastAsia"/>
        </w:rPr>
        <w:t xml:space="preserve">  市公安机关是本市门楼牌管理工作的主管机关，负责组织、协调、监督、指导本市行政区域内门楼牌管理工作。区、县公安机关具体负责本行政区域内门楼牌管理，所需经费纳入同级财政预算。</w:t>
      </w:r>
    </w:p>
    <w:p w14:paraId="755CD3F1">
      <w:r>
        <w:rPr>
          <w:rFonts w:hint="eastAsia"/>
        </w:rPr>
        <w:t>规划、住房和城乡建设、国土资源、民政、交通、质量技术监督、财政等行政部门在本部门的职责范围内做好门楼牌管理的相关工作。</w:t>
      </w:r>
    </w:p>
    <w:p w14:paraId="4E23CE35">
      <w:pPr>
        <w:ind w:firstLine="422"/>
      </w:pPr>
      <w:r>
        <w:rPr>
          <w:rFonts w:hint="eastAsia"/>
          <w:b/>
        </w:rPr>
        <w:t>第四条</w:t>
      </w:r>
      <w:r>
        <w:rPr>
          <w:rFonts w:hint="eastAsia"/>
        </w:rPr>
        <w:t xml:space="preserve">  本市行政区域内依法建设的建筑物应当按照国家和本市的门楼牌设置规范编制门楼牌号，设置门楼牌。</w:t>
      </w:r>
    </w:p>
    <w:p w14:paraId="76D598FE">
      <w:r>
        <w:rPr>
          <w:rFonts w:hint="eastAsia"/>
        </w:rPr>
        <w:t>门楼牌标注的地址信息，应当以地名行政主管部门依法公布的标准地名为依据。</w:t>
      </w:r>
    </w:p>
    <w:p w14:paraId="08A16533">
      <w:r>
        <w:rPr>
          <w:rFonts w:hint="eastAsia"/>
        </w:rPr>
        <w:t>门牌、楼牌由公安机关设置，单元牌、户（室）牌由建设单位、产权人设置。</w:t>
      </w:r>
    </w:p>
    <w:p w14:paraId="5DDCA15C">
      <w:r>
        <w:rPr>
          <w:rFonts w:hint="eastAsia"/>
        </w:rPr>
        <w:t>市公安机关会同质量技术监督、规划、民政、交通、住房和城乡建设、国土资源等有关行政部门，制定本市门楼牌设置规范；门楼牌设置规范由质量技术监督部门向社会公布。</w:t>
      </w:r>
    </w:p>
    <w:p w14:paraId="38B6C622">
      <w:pPr>
        <w:ind w:firstLine="422"/>
      </w:pPr>
      <w:r>
        <w:rPr>
          <w:rFonts w:hint="eastAsia"/>
          <w:b/>
        </w:rPr>
        <w:t>第五条</w:t>
      </w:r>
      <w:r>
        <w:rPr>
          <w:rFonts w:hint="eastAsia"/>
        </w:rPr>
        <w:t xml:space="preserve">  公安机关依法编制的门楼牌地址信息是建筑物的标准地址信息。户籍管理、产权登记、工商登记、社会保险管理、住房公积金管理等公共管理活动需要使用地址的，应当使用标准地址信息。</w:t>
      </w:r>
    </w:p>
    <w:p w14:paraId="7A8CC8C1">
      <w:pPr>
        <w:ind w:firstLine="422"/>
      </w:pPr>
      <w:r>
        <w:rPr>
          <w:rFonts w:hint="eastAsia"/>
          <w:b/>
        </w:rPr>
        <w:t>第六条</w:t>
      </w:r>
      <w:r>
        <w:rPr>
          <w:rFonts w:hint="eastAsia"/>
        </w:rPr>
        <w:t xml:space="preserve">  建设单位进行建设工程规划设计时，应当按照门楼牌设置规范对建设工程门牌、楼牌进行预编号，并在申请建设工程规划许可的附图上进行标注；对单元牌、户（室）牌进行预编号，编制编排表。</w:t>
      </w:r>
    </w:p>
    <w:p w14:paraId="32D5B5B6">
      <w:r>
        <w:rPr>
          <w:rFonts w:hint="eastAsia"/>
        </w:rPr>
        <w:t>建设单位编制门楼牌预编号，可以向建设工程所在地的区、县公安机关申请编号指导，公安机关应当自受理申请之日起</w:t>
      </w:r>
      <w:r>
        <w:rPr>
          <w:rFonts w:hint="eastAsia" w:ascii="宋体" w:hAnsi="宋体" w:eastAsia="宋体" w:cs="宋体"/>
        </w:rPr>
        <w:t>5</w:t>
      </w:r>
      <w:r>
        <w:rPr>
          <w:rFonts w:hint="eastAsia"/>
        </w:rPr>
        <w:t>个工作日内出具编号指导意见。</w:t>
      </w:r>
    </w:p>
    <w:p w14:paraId="44466CBC">
      <w:r>
        <w:rPr>
          <w:rFonts w:hint="eastAsia"/>
        </w:rPr>
        <w:t>建设单位依法调整建设工程规划设计的，应当及时修改门楼牌预编号，并可以按照前款规定重新申请编号指导。</w:t>
      </w:r>
    </w:p>
    <w:p w14:paraId="275499AC">
      <w:pPr>
        <w:ind w:firstLine="422"/>
      </w:pPr>
      <w:r>
        <w:rPr>
          <w:rFonts w:hint="eastAsia"/>
          <w:b/>
        </w:rPr>
        <w:t>第七条</w:t>
      </w:r>
      <w:r>
        <w:rPr>
          <w:rFonts w:hint="eastAsia"/>
        </w:rPr>
        <w:t xml:space="preserve">  建设单位申请房屋预售许可前，按照相关规定委托房产测绘单位出具测绘成果的，测绘成果记载的门楼牌编号应当与预编号一致。</w:t>
      </w:r>
    </w:p>
    <w:p w14:paraId="166C41BF">
      <w:r>
        <w:rPr>
          <w:rFonts w:hint="eastAsia"/>
        </w:rPr>
        <w:t>建设单位未按照本办法第六条第二款、第三款申请编号指导的，应当在房屋预售时告知购买人，房屋正式编号以公安机关依据本办法第八条出具的门楼牌编号审核意见确认的编号为准。</w:t>
      </w:r>
    </w:p>
    <w:p w14:paraId="1B674BAB">
      <w:pPr>
        <w:ind w:firstLine="422"/>
      </w:pPr>
      <w:r>
        <w:rPr>
          <w:rFonts w:hint="eastAsia"/>
          <w:b/>
        </w:rPr>
        <w:t>第八条</w:t>
      </w:r>
      <w:r>
        <w:rPr>
          <w:rFonts w:hint="eastAsia"/>
        </w:rPr>
        <w:t xml:space="preserve">  在建设工程规划验收后至竣工验收前的合理期限内，建设单位应当向建设工程所在地的区、县公安机关申请编制门楼牌号。</w:t>
      </w:r>
    </w:p>
    <w:p w14:paraId="50833D14">
      <w:r>
        <w:rPr>
          <w:rFonts w:hint="eastAsia"/>
        </w:rPr>
        <w:t>建设单位申请编制门楼牌号，应当提交下列材料：</w:t>
      </w:r>
    </w:p>
    <w:p w14:paraId="42578592">
      <w:bookmarkStart w:id="2370" w:name="_Toc428780650"/>
      <w:r>
        <w:rPr>
          <w:rFonts w:hint="eastAsia"/>
        </w:rPr>
        <w:t>（一）编号申请书；</w:t>
      </w:r>
      <w:bookmarkEnd w:id="2370"/>
    </w:p>
    <w:p w14:paraId="25C284FD">
      <w:r>
        <w:rPr>
          <w:rFonts w:hint="eastAsia"/>
        </w:rPr>
        <w:t>（二）建设工程规划许可证以及规划验收合格的证明；</w:t>
      </w:r>
    </w:p>
    <w:p w14:paraId="2881C70E">
      <w:r>
        <w:rPr>
          <w:rFonts w:hint="eastAsia"/>
        </w:rPr>
        <w:t>（三）标注门牌、楼牌预编号的建设工程规划许可证附图和单元牌、户（室）牌预编号编排表。</w:t>
      </w:r>
    </w:p>
    <w:p w14:paraId="751A307B">
      <w:r>
        <w:rPr>
          <w:rFonts w:hint="eastAsia"/>
        </w:rPr>
        <w:t>建设工程所在地的区、县公安机关应当自受理申请之日</w:t>
      </w:r>
      <w:r>
        <w:rPr>
          <w:rFonts w:hint="eastAsia" w:ascii="宋体" w:hAnsi="宋体" w:eastAsia="宋体" w:cs="宋体"/>
        </w:rPr>
        <w:t>起15</w:t>
      </w:r>
      <w:r>
        <w:rPr>
          <w:rFonts w:hint="eastAsia"/>
        </w:rPr>
        <w:t>个工作日内，对建设工程进行实地勘察，完成对前款规定材料的审核，出具编号审核意见。</w:t>
      </w:r>
    </w:p>
    <w:p w14:paraId="079A64B9">
      <w:pPr>
        <w:ind w:firstLine="422"/>
      </w:pPr>
      <w:r>
        <w:rPr>
          <w:rFonts w:hint="eastAsia"/>
          <w:b/>
        </w:rPr>
        <w:t>第九条</w:t>
      </w:r>
      <w:r>
        <w:rPr>
          <w:rFonts w:hint="eastAsia"/>
        </w:rPr>
        <w:t xml:space="preserve">  建设工程所在地的区、县公安机关应当按照国家和本市有关地名标志产品质量监督管理的规定和政府采购的相关规定，确定具备生产条件的生产单位，委托其制作、安装门牌、楼牌，并将生产单位的名称、地址、联系方式等告知提出申请的建设单位。</w:t>
      </w:r>
    </w:p>
    <w:p w14:paraId="27583249">
      <w:r>
        <w:rPr>
          <w:rFonts w:hint="eastAsia"/>
        </w:rPr>
        <w:t>建设工程竣工验收前，区、县公安机关委托的生产单位应当完成门牌、楼牌的制作、安装。建设单位应当在竣工验收前的合理期限内与生产单位协商确定安装门牌、楼牌的有关事项。</w:t>
      </w:r>
    </w:p>
    <w:p w14:paraId="5865BF90">
      <w:r>
        <w:rPr>
          <w:rFonts w:hint="eastAsia"/>
        </w:rPr>
        <w:t>建设单位应当在建设工程竣工验收前，按照公安机关出具的编号审核意见设置单元牌、户（室）牌。</w:t>
      </w:r>
    </w:p>
    <w:p w14:paraId="2C4A84EE">
      <w:pPr>
        <w:ind w:firstLine="422"/>
      </w:pPr>
      <w:r>
        <w:rPr>
          <w:rFonts w:hint="eastAsia"/>
          <w:b/>
        </w:rPr>
        <w:t>第十条</w:t>
      </w:r>
      <w:r>
        <w:rPr>
          <w:rFonts w:hint="eastAsia"/>
        </w:rPr>
        <w:t xml:space="preserve">  建设单位办理房屋产权初始登记前，应当根据公布的标准地名向建设工程所在地的区、县公安机关申领门楼牌地址、编号证明。公安机关应当根据已确定的门楼牌地址信息和编号审核意见出具证明。</w:t>
      </w:r>
    </w:p>
    <w:p w14:paraId="3BBF681E">
      <w:r>
        <w:rPr>
          <w:rFonts w:hint="eastAsia"/>
        </w:rPr>
        <w:t>建设单位、产权人申请地址信息变更登记前，应当到建设工程或者房屋所在地的区、县公安机关申领门楼牌地址证明。</w:t>
      </w:r>
    </w:p>
    <w:p w14:paraId="60E07C00">
      <w:r>
        <w:rPr>
          <w:rFonts w:hint="eastAsia"/>
        </w:rPr>
        <w:t>房屋登记机构应当按照公安机关出具的地址、编号证明记载的地址信息进行登记，发放权属证明。</w:t>
      </w:r>
    </w:p>
    <w:p w14:paraId="6B60F0D6">
      <w:pPr>
        <w:ind w:firstLine="422"/>
      </w:pPr>
      <w:r>
        <w:rPr>
          <w:rFonts w:hint="eastAsia"/>
          <w:b/>
        </w:rPr>
        <w:t>第十一条</w:t>
      </w:r>
      <w:r>
        <w:rPr>
          <w:rFonts w:hint="eastAsia"/>
        </w:rPr>
        <w:t xml:space="preserve">  村民依法利用宅基地建造村民住房的，施工完成后，应当向宅基地所在地的区、县公安机关提交宅基地批准文件，申请设置门楼牌。</w:t>
      </w:r>
    </w:p>
    <w:p w14:paraId="4F9E08F0">
      <w:r>
        <w:rPr>
          <w:rFonts w:hint="eastAsia"/>
        </w:rPr>
        <w:t>公安机关应当自受理申请之日起</w:t>
      </w:r>
      <w:r>
        <w:rPr>
          <w:rFonts w:hint="eastAsia" w:ascii="宋体" w:hAnsi="宋体" w:eastAsia="宋体" w:cs="宋体"/>
        </w:rPr>
        <w:t>15</w:t>
      </w:r>
      <w:r>
        <w:rPr>
          <w:rFonts w:hint="eastAsia"/>
        </w:rPr>
        <w:t>个工作日内对宅基地上建造的村民住房进行实地勘察，编制门楼牌号。</w:t>
      </w:r>
    </w:p>
    <w:p w14:paraId="4E4BA570">
      <w:r>
        <w:rPr>
          <w:rFonts w:hint="eastAsia"/>
        </w:rPr>
        <w:t>门楼牌号编制完成后，公安机关应当按照本办法第九条的规定制作、安装门楼牌。</w:t>
      </w:r>
    </w:p>
    <w:p w14:paraId="2BDF598C">
      <w:pPr>
        <w:ind w:firstLine="422"/>
      </w:pPr>
      <w:r>
        <w:rPr>
          <w:rFonts w:hint="eastAsia"/>
          <w:b/>
        </w:rPr>
        <w:t>第十二条</w:t>
      </w:r>
      <w:r>
        <w:rPr>
          <w:rFonts w:hint="eastAsia"/>
        </w:rPr>
        <w:t xml:space="preserve">  对本办法第四条第一款规定以外的其他建筑物，所在地的区、县公安机关可以进行统一编号，并设置临时标志牌。</w:t>
      </w:r>
    </w:p>
    <w:p w14:paraId="654AECF1">
      <w:r>
        <w:rPr>
          <w:rFonts w:hint="eastAsia"/>
        </w:rPr>
        <w:t>临时标志牌仅用于标识建筑物地址信息，不作为该建筑物本身合法性的证明以及产权登记信息凭证使用。</w:t>
      </w:r>
    </w:p>
    <w:p w14:paraId="37EFC9DB">
      <w:pPr>
        <w:ind w:firstLine="422"/>
      </w:pPr>
      <w:r>
        <w:rPr>
          <w:rFonts w:hint="eastAsia"/>
          <w:b/>
        </w:rPr>
        <w:t>第十三条</w:t>
      </w:r>
      <w:r>
        <w:rPr>
          <w:rFonts w:hint="eastAsia"/>
        </w:rPr>
        <w:t xml:space="preserve">  地名行政主管部门依法确定新地名或者批准变更地名的，应当自确定或者批准变更之日起</w:t>
      </w:r>
      <w:r>
        <w:rPr>
          <w:rFonts w:hint="eastAsia" w:ascii="宋体" w:hAnsi="宋体" w:eastAsia="宋体" w:cs="宋体"/>
        </w:rPr>
        <w:t>15个</w:t>
      </w:r>
      <w:r>
        <w:rPr>
          <w:rFonts w:hint="eastAsia"/>
        </w:rPr>
        <w:t>工作日内通知市公安机关和所在地的区、县公安机关。收到通知的公安机关应当依据新地名或者变更后的地名开展门楼牌地址编号管理工作。</w:t>
      </w:r>
    </w:p>
    <w:p w14:paraId="2308E27F">
      <w:pPr>
        <w:ind w:firstLine="422"/>
      </w:pPr>
      <w:r>
        <w:rPr>
          <w:rFonts w:hint="eastAsia"/>
          <w:b/>
        </w:rPr>
        <w:t>第十四条</w:t>
      </w:r>
      <w:r>
        <w:rPr>
          <w:rFonts w:hint="eastAsia"/>
        </w:rPr>
        <w:t>　因地名变更需要更换门楼牌的，由建筑物所在地的区、县公安机关统一组织更换。</w:t>
      </w:r>
    </w:p>
    <w:p w14:paraId="17EE7F25">
      <w:r>
        <w:rPr>
          <w:rFonts w:hint="eastAsia"/>
        </w:rPr>
        <w:t>因地名变更，户籍管理、产权登记、工商登记、社会保险管理、住房公积金管理等公共管理活动确需办理地址登记事项变更的，办理相关事项的单位应当免费为当事人办理。</w:t>
      </w:r>
    </w:p>
    <w:p w14:paraId="3AFBA82A">
      <w:pPr>
        <w:ind w:firstLine="422"/>
      </w:pPr>
      <w:r>
        <w:rPr>
          <w:rFonts w:hint="eastAsia"/>
          <w:b/>
        </w:rPr>
        <w:t>第十五条</w:t>
      </w:r>
      <w:r>
        <w:rPr>
          <w:rFonts w:hint="eastAsia"/>
        </w:rPr>
        <w:t>　区、县公安机关应当加强对本行政区域内门楼牌的巡视、管理工作，发现未按照本办法规定设置门楼牌或者门牌、楼牌出现松动、遮挡、破损、丢失等情况的，应当及时纠正、维护或者更换。</w:t>
      </w:r>
    </w:p>
    <w:p w14:paraId="58372EC4">
      <w:r>
        <w:rPr>
          <w:rFonts w:hint="eastAsia"/>
        </w:rPr>
        <w:t>建筑物产权人或者管理人发现门牌、楼牌出现松动、遮挡、破损、丢失等情况，应当及时报告建筑物所在地的区、县公安机关予以维护或者更换。</w:t>
      </w:r>
    </w:p>
    <w:p w14:paraId="0CB4CB13">
      <w:pPr>
        <w:ind w:firstLine="422"/>
        <w:rPr>
          <w:rFonts w:hint="eastAsia" w:ascii="宋体" w:hAnsi="宋体" w:eastAsia="宋体" w:cs="宋体"/>
        </w:rPr>
      </w:pPr>
      <w:r>
        <w:rPr>
          <w:rFonts w:hint="eastAsia"/>
          <w:b/>
        </w:rPr>
        <w:t>第十六条</w:t>
      </w:r>
      <w:r>
        <w:rPr>
          <w:rFonts w:hint="eastAsia"/>
        </w:rPr>
        <w:t>　任何单位和个人违反本办法规定，擅自编制门楼牌地址信息设置门牌、楼牌的，由公安机关责令限期改正；拒不改正的，</w:t>
      </w:r>
      <w:r>
        <w:rPr>
          <w:rFonts w:hint="eastAsia" w:ascii="宋体" w:hAnsi="宋体" w:eastAsia="宋体" w:cs="宋体"/>
        </w:rPr>
        <w:t>处5000元以上3万元以下罚款。</w:t>
      </w:r>
    </w:p>
    <w:p w14:paraId="2A691566">
      <w:pPr>
        <w:rPr>
          <w:rFonts w:hint="eastAsia" w:ascii="宋体" w:hAnsi="宋体" w:eastAsia="宋体" w:cs="宋体"/>
        </w:rPr>
      </w:pPr>
      <w:r>
        <w:rPr>
          <w:rFonts w:hint="eastAsia" w:ascii="宋体" w:hAnsi="宋体" w:eastAsia="宋体" w:cs="宋体"/>
        </w:rPr>
        <w:t>任何单位和个人擅自更改、移动、拆除、损毁公安机关依法设置的门牌、楼牌的，由公安机关责令限期改正；拒不改正的，处500元以上3000元以下罚款。</w:t>
      </w:r>
    </w:p>
    <w:p w14:paraId="48F32212">
      <w:pPr>
        <w:ind w:firstLine="422"/>
      </w:pPr>
      <w:r>
        <w:rPr>
          <w:rFonts w:hint="eastAsia"/>
          <w:b/>
        </w:rPr>
        <w:t>第十七条</w:t>
      </w:r>
      <w:r>
        <w:rPr>
          <w:rFonts w:hint="eastAsia"/>
        </w:rPr>
        <w:t>　公安机关以及有关行政部门工作人员在门楼牌管理工作中不依法履行职责，有下列行为之一的，依法给予行政处分：</w:t>
      </w:r>
    </w:p>
    <w:p w14:paraId="6A9DD537">
      <w:r>
        <w:rPr>
          <w:rFonts w:hint="eastAsia"/>
        </w:rPr>
        <w:t>（一）无故拖延编号指导、编号审核、制作安装等工作流程和时限，拒不履行相关职责的；</w:t>
      </w:r>
    </w:p>
    <w:p w14:paraId="0A66D757">
      <w:bookmarkStart w:id="2371" w:name="_Toc428780651"/>
      <w:r>
        <w:rPr>
          <w:rFonts w:hint="eastAsia"/>
        </w:rPr>
        <w:t>（二）未按照本办法规定编制门楼牌号和设置门牌、楼牌的；</w:t>
      </w:r>
      <w:bookmarkEnd w:id="2371"/>
    </w:p>
    <w:p w14:paraId="18D90672">
      <w:r>
        <w:rPr>
          <w:rFonts w:hint="eastAsia"/>
        </w:rPr>
        <w:t>（三）委托不符合条件的单位制作、安装门牌、楼牌的；</w:t>
      </w:r>
    </w:p>
    <w:p w14:paraId="41A31D89">
      <w:r>
        <w:rPr>
          <w:rFonts w:hint="eastAsia"/>
        </w:rPr>
        <w:t>（四）发现门楼牌松动、遮挡、破损、丢失等情况或者接到有关情况的报告未及时纠正、维护或者更换的。</w:t>
      </w:r>
    </w:p>
    <w:p w14:paraId="4F38FD9C">
      <w:pPr>
        <w:ind w:firstLine="422"/>
      </w:pPr>
      <w:r>
        <w:rPr>
          <w:rFonts w:hint="eastAsia"/>
          <w:b/>
        </w:rPr>
        <w:t>第十八条</w:t>
      </w:r>
      <w:r>
        <w:rPr>
          <w:rFonts w:hint="eastAsia"/>
        </w:rPr>
        <w:t>　本办法所称地名行政主管部门，是指根据《地名管理条例》等有关地名管理法律、法规、规章，负责承办行政区划名称、居住区名称、城市道路和乡村道路名称等地名拟制、变更、报批、公布等事项的行政部门。</w:t>
      </w:r>
    </w:p>
    <w:p w14:paraId="7FDDD81D">
      <w:pPr>
        <w:ind w:firstLine="422"/>
      </w:pPr>
      <w:r>
        <w:rPr>
          <w:rFonts w:hint="eastAsia"/>
          <w:b/>
        </w:rPr>
        <w:t>第十九条</w:t>
      </w:r>
      <w:r>
        <w:rPr>
          <w:rFonts w:hint="eastAsia"/>
        </w:rPr>
        <w:t>　本办法实施过程中，发生与执法职责有关的问题，相关部门经协调不能达成一致意见，涉及公安机关的，由公安机关负责执行；不涉及公安机关的，由相关部门按照本市有关行政执法协调的有关规定执行。</w:t>
      </w:r>
    </w:p>
    <w:p w14:paraId="47F77814">
      <w:pPr>
        <w:ind w:firstLine="422"/>
        <w:rPr>
          <w:rFonts w:hint="eastAsia" w:ascii="宋体" w:hAnsi="宋体" w:eastAsia="宋体" w:cs="宋体"/>
        </w:rPr>
      </w:pPr>
      <w:r>
        <w:rPr>
          <w:rFonts w:hint="eastAsia"/>
          <w:b/>
        </w:rPr>
        <w:t>第二十条</w:t>
      </w:r>
      <w:r>
        <w:rPr>
          <w:rFonts w:hint="eastAsia"/>
        </w:rPr>
        <w:t>　本办法自</w:t>
      </w:r>
      <w:r>
        <w:rPr>
          <w:rFonts w:hint="eastAsia" w:ascii="宋体" w:hAnsi="宋体" w:eastAsia="宋体" w:cs="宋体"/>
        </w:rPr>
        <w:t>2014年9月1日起施行。1986年5月21日市人民政府京政办发49号文件发布，根据2010年11月27日北京市人民政府第226号令修改的《北京市门牌、楼牌管理暂行办法》同时废止。</w:t>
      </w:r>
    </w:p>
    <w:p w14:paraId="7B9B38C1">
      <w:pPr>
        <w:pStyle w:val="3"/>
        <w:pageBreakBefore/>
      </w:pPr>
      <w:bookmarkStart w:id="2372" w:name="_Toc428780652"/>
      <w:bookmarkStart w:id="2373" w:name="_Toc428781863"/>
      <w:bookmarkStart w:id="2374" w:name="_Toc426467115"/>
      <w:r>
        <w:rPr>
          <w:rFonts w:hint="eastAsia"/>
        </w:rPr>
        <w:t>（十）医药卫生</w:t>
      </w:r>
      <w:bookmarkEnd w:id="2372"/>
      <w:bookmarkEnd w:id="2373"/>
      <w:bookmarkEnd w:id="2374"/>
    </w:p>
    <w:p w14:paraId="0CD7C812"/>
    <w:p w14:paraId="4EC9C826">
      <w:pPr>
        <w:pStyle w:val="4"/>
      </w:pPr>
      <w:bookmarkStart w:id="2375" w:name="_Toc428780653"/>
      <w:bookmarkStart w:id="2376" w:name="_Toc426467116"/>
      <w:bookmarkStart w:id="2377" w:name="_Toc428781864"/>
      <w:r>
        <w:rPr>
          <w:rFonts w:hint="eastAsia"/>
        </w:rPr>
        <w:t>北京市实施《中华人民共和国母婴保健法》办法</w:t>
      </w:r>
      <w:bookmarkEnd w:id="2375"/>
      <w:bookmarkEnd w:id="2376"/>
      <w:bookmarkEnd w:id="2377"/>
    </w:p>
    <w:p w14:paraId="27B2CBC1">
      <w:pPr>
        <w:ind w:left="630" w:leftChars="300" w:right="630" w:rightChars="300"/>
        <w:rPr>
          <w:rFonts w:ascii="楷体" w:hAnsi="楷体" w:eastAsia="楷体"/>
        </w:rPr>
      </w:pPr>
      <w:r>
        <w:rPr>
          <w:rFonts w:hint="eastAsia" w:ascii="楷体" w:hAnsi="楷体" w:eastAsia="楷体"/>
        </w:rPr>
        <w:t>（1995年4月14日北京市第十届人民代表大会常务委员会第十六次会议通过　根据2010年12月23日北京市第十三届人民代表大会常务委员会第二十二次会议《关于修改部分地方性法规的决定》修正）</w:t>
      </w:r>
    </w:p>
    <w:p w14:paraId="498D8FDE"/>
    <w:p w14:paraId="423E7EAF">
      <w:pPr>
        <w:ind w:firstLine="0" w:firstLineChars="0"/>
        <w:jc w:val="center"/>
        <w:rPr>
          <w:b/>
          <w:sz w:val="28"/>
        </w:rPr>
      </w:pPr>
      <w:r>
        <w:rPr>
          <w:rFonts w:hint="eastAsia"/>
          <w:b/>
          <w:sz w:val="28"/>
        </w:rPr>
        <w:t>第一章　总　则</w:t>
      </w:r>
    </w:p>
    <w:p w14:paraId="555FE7B5"/>
    <w:p w14:paraId="0637A5A7">
      <w:pPr>
        <w:ind w:firstLine="422"/>
      </w:pPr>
      <w:r>
        <w:rPr>
          <w:rFonts w:hint="eastAsia"/>
          <w:b/>
        </w:rPr>
        <w:t>第一条</w:t>
      </w:r>
      <w:r>
        <w:rPr>
          <w:rFonts w:hint="eastAsia"/>
        </w:rPr>
        <w:t xml:space="preserve">  为了实施《中华人民共和国母婴保健法》，结合本市实际情况，制定本办法。</w:t>
      </w:r>
    </w:p>
    <w:p w14:paraId="11B35229">
      <w:pPr>
        <w:ind w:firstLine="422"/>
      </w:pPr>
      <w:r>
        <w:rPr>
          <w:rFonts w:hint="eastAsia"/>
          <w:b/>
        </w:rPr>
        <w:t>第二条</w:t>
      </w:r>
      <w:r>
        <w:rPr>
          <w:rFonts w:hint="eastAsia"/>
        </w:rPr>
        <w:t xml:space="preserve">  母婴保健工作必须坚持预防为主的方针，实行防治结合和医疗保健服务与自我保健相结合的原则，推广先进、实用技术，积极开展科学研究，加强宣传教育，普及母婴保健卫生知识。</w:t>
      </w:r>
    </w:p>
    <w:p w14:paraId="24372ECB">
      <w:pPr>
        <w:ind w:firstLine="422"/>
      </w:pPr>
      <w:r>
        <w:rPr>
          <w:rFonts w:hint="eastAsia"/>
          <w:b/>
        </w:rPr>
        <w:t>第三条</w:t>
      </w:r>
      <w:r>
        <w:rPr>
          <w:rFonts w:hint="eastAsia"/>
        </w:rPr>
        <w:t xml:space="preserve">  市和区、县人民政府应当加强对母婴保健工作的领导，将母婴保健事业纳入本地区经济和社会发展计划，增加投入，发展全市母婴保健事业。</w:t>
      </w:r>
    </w:p>
    <w:p w14:paraId="2EBF0145">
      <w:r>
        <w:rPr>
          <w:rFonts w:hint="eastAsia"/>
        </w:rPr>
        <w:t>本市扶持边远山区的母婴保健工作。</w:t>
      </w:r>
    </w:p>
    <w:p w14:paraId="7F133628">
      <w:r>
        <w:rPr>
          <w:rFonts w:hint="eastAsia"/>
        </w:rPr>
        <w:t>本市鼓励实行母婴保健保偿责任制。</w:t>
      </w:r>
    </w:p>
    <w:p w14:paraId="6994CB48">
      <w:pPr>
        <w:ind w:firstLine="422"/>
      </w:pPr>
      <w:r>
        <w:rPr>
          <w:rFonts w:hint="eastAsia"/>
          <w:b/>
        </w:rPr>
        <w:t>第四条</w:t>
      </w:r>
      <w:r>
        <w:rPr>
          <w:rFonts w:hint="eastAsia"/>
        </w:rPr>
        <w:t xml:space="preserve">  市和区、县卫生行政部门主管本行政区域内的母婴保健工作。</w:t>
      </w:r>
    </w:p>
    <w:p w14:paraId="4574483D">
      <w:r>
        <w:rPr>
          <w:rFonts w:hint="eastAsia"/>
        </w:rPr>
        <w:t>民政、计划生育等部门按照各自职责配合卫生行政部门做好母婴保健工作。</w:t>
      </w:r>
    </w:p>
    <w:p w14:paraId="5307F87A">
      <w:r>
        <w:rPr>
          <w:rFonts w:hint="eastAsia"/>
        </w:rPr>
        <w:t>妇联、工会等组织协助卫生行政部门做好母婴保健工作。</w:t>
      </w:r>
    </w:p>
    <w:p w14:paraId="165DB3EF">
      <w:pPr>
        <w:ind w:firstLine="422"/>
      </w:pPr>
      <w:r>
        <w:rPr>
          <w:rFonts w:hint="eastAsia"/>
          <w:b/>
        </w:rPr>
        <w:t>第五条</w:t>
      </w:r>
      <w:r>
        <w:rPr>
          <w:rFonts w:hint="eastAsia"/>
        </w:rPr>
        <w:t xml:space="preserve">  保障母亲和婴儿健康，提高出生人口素质是全社会的共同责任；公民应当自觉履行母婴保健法和本办法规定的义务。</w:t>
      </w:r>
    </w:p>
    <w:p w14:paraId="3A297ECD"/>
    <w:p w14:paraId="6A0D0418">
      <w:pPr>
        <w:ind w:firstLine="0" w:firstLineChars="0"/>
        <w:jc w:val="center"/>
        <w:rPr>
          <w:b/>
          <w:sz w:val="28"/>
        </w:rPr>
      </w:pPr>
      <w:r>
        <w:rPr>
          <w:rFonts w:hint="eastAsia"/>
          <w:b/>
          <w:sz w:val="28"/>
        </w:rPr>
        <w:t>第二章　婚前保健</w:t>
      </w:r>
    </w:p>
    <w:p w14:paraId="507E30A7"/>
    <w:p w14:paraId="43D67165">
      <w:pPr>
        <w:ind w:firstLine="422"/>
      </w:pPr>
      <w:r>
        <w:rPr>
          <w:rFonts w:hint="eastAsia"/>
          <w:b/>
        </w:rPr>
        <w:t>第六条</w:t>
      </w:r>
      <w:r>
        <w:rPr>
          <w:rFonts w:hint="eastAsia"/>
        </w:rPr>
        <w:t xml:space="preserve">  准备结婚的男女双方应当依照母婴保健法和本办法的规定到区、县级以上妇幼保健机构或者市卫生行政部门指定的医疗保健机构（以下统称婚检单位）进行婚前医学检查。</w:t>
      </w:r>
    </w:p>
    <w:p w14:paraId="2252DB8F">
      <w:r>
        <w:rPr>
          <w:rFonts w:hint="eastAsia"/>
        </w:rPr>
        <w:t>市卫生行政部门应当将婚检单位的名单送市民政部门备案。</w:t>
      </w:r>
    </w:p>
    <w:p w14:paraId="4262DACA">
      <w:r>
        <w:rPr>
          <w:rFonts w:hint="eastAsia"/>
        </w:rPr>
        <w:t>区、县级妇幼保健机构对婚前医学检查中不能确诊的病例，应当转到市卫生行政部门指定的医疗保健机构诊断。</w:t>
      </w:r>
    </w:p>
    <w:p w14:paraId="22F01D5C">
      <w:pPr>
        <w:ind w:firstLine="422"/>
      </w:pPr>
      <w:r>
        <w:rPr>
          <w:rFonts w:hint="eastAsia"/>
          <w:b/>
        </w:rPr>
        <w:t>第七条</w:t>
      </w:r>
      <w:r>
        <w:rPr>
          <w:rFonts w:hint="eastAsia"/>
        </w:rPr>
        <w:t xml:space="preserve">  婚检单位及其工作人员必须执行市人民政府制定的婚前医学检查的规定，不得随意增减婚检项目。</w:t>
      </w:r>
    </w:p>
    <w:p w14:paraId="44B24AD2">
      <w:pPr>
        <w:ind w:firstLine="422"/>
      </w:pPr>
      <w:r>
        <w:rPr>
          <w:rFonts w:hint="eastAsia"/>
          <w:b/>
        </w:rPr>
        <w:t>第八条</w:t>
      </w:r>
      <w:r>
        <w:rPr>
          <w:rFonts w:hint="eastAsia"/>
        </w:rPr>
        <w:t xml:space="preserve">  婚检单位对接受婚前医学检查者应当出具婚前医学检查证明；对患有医学上认为不宜生育的严重遗传性疾病的，应当在婚前医学检查证明上写明医学意见。</w:t>
      </w:r>
    </w:p>
    <w:p w14:paraId="00D3AAC3">
      <w:pPr>
        <w:ind w:firstLine="422"/>
      </w:pPr>
      <w:r>
        <w:rPr>
          <w:rFonts w:hint="eastAsia"/>
          <w:b/>
        </w:rPr>
        <w:t>第九条</w:t>
      </w:r>
      <w:r>
        <w:rPr>
          <w:rFonts w:hint="eastAsia"/>
        </w:rPr>
        <w:t xml:space="preserve">  市和区、县妇幼保健机构应当在边远山区开展婚前巡回保健服务。</w:t>
      </w:r>
    </w:p>
    <w:p w14:paraId="6FFE87CE">
      <w:pPr>
        <w:ind w:firstLine="422"/>
      </w:pPr>
      <w:r>
        <w:rPr>
          <w:rFonts w:hint="eastAsia"/>
          <w:b/>
        </w:rPr>
        <w:t>第十条</w:t>
      </w:r>
      <w:r>
        <w:rPr>
          <w:rFonts w:hint="eastAsia"/>
        </w:rPr>
        <w:t xml:space="preserve">  男女双方在结婚登记时，必须持有婚前医学检查证明。经婚前医学检查认为不宜生育的，男女双方同意采取长效避孕措施或者施行结扎手术后，方可办理结婚登记。</w:t>
      </w:r>
    </w:p>
    <w:p w14:paraId="15E5C267"/>
    <w:p w14:paraId="69F4EB6B">
      <w:pPr>
        <w:ind w:firstLine="0" w:firstLineChars="0"/>
        <w:jc w:val="center"/>
        <w:rPr>
          <w:b/>
          <w:sz w:val="28"/>
        </w:rPr>
      </w:pPr>
      <w:r>
        <w:rPr>
          <w:rFonts w:hint="eastAsia"/>
          <w:b/>
          <w:sz w:val="28"/>
        </w:rPr>
        <w:t>第三章　孕产期保健</w:t>
      </w:r>
    </w:p>
    <w:p w14:paraId="39FAAF7F"/>
    <w:p w14:paraId="555EA638">
      <w:pPr>
        <w:ind w:firstLine="422"/>
      </w:pPr>
      <w:r>
        <w:rPr>
          <w:rFonts w:hint="eastAsia"/>
          <w:b/>
        </w:rPr>
        <w:t>第十一条</w:t>
      </w:r>
      <w:r>
        <w:rPr>
          <w:rFonts w:hint="eastAsia"/>
        </w:rPr>
        <w:t xml:space="preserve">  医疗保健机构除执行母婴保健法第十四条规定外，还应当提供下列服务：</w:t>
      </w:r>
    </w:p>
    <w:p w14:paraId="39E88843">
      <w:r>
        <w:rPr>
          <w:rFonts w:hint="eastAsia"/>
        </w:rPr>
        <w:t>（一）建立围产保健档案；</w:t>
      </w:r>
    </w:p>
    <w:p w14:paraId="14E5ACA7">
      <w:r>
        <w:rPr>
          <w:rFonts w:hint="eastAsia"/>
        </w:rPr>
        <w:t>（二）对高危孕妇实行重点监护；</w:t>
      </w:r>
    </w:p>
    <w:p w14:paraId="50325194">
      <w:r>
        <w:rPr>
          <w:rFonts w:hint="eastAsia"/>
        </w:rPr>
        <w:t>（三）定期产后访视。</w:t>
      </w:r>
    </w:p>
    <w:p w14:paraId="69803EE1">
      <w:r>
        <w:rPr>
          <w:rFonts w:hint="eastAsia"/>
        </w:rPr>
        <w:t>边远山区的乡、镇级以上医疗保健机构应当为孕妇提供住院分娩的必要条件。</w:t>
      </w:r>
    </w:p>
    <w:p w14:paraId="4D007152">
      <w:pPr>
        <w:ind w:firstLine="422"/>
      </w:pPr>
      <w:r>
        <w:rPr>
          <w:rFonts w:hint="eastAsia"/>
          <w:b/>
        </w:rPr>
        <w:t>第十二条</w:t>
      </w:r>
      <w:r>
        <w:rPr>
          <w:rFonts w:hint="eastAsia"/>
        </w:rPr>
        <w:t xml:space="preserve">  严禁擅自进行胎儿性别鉴定。医疗保健机构认为医学上确需进行胎儿性别鉴定的，必须报市卫生行政部门批准。</w:t>
      </w:r>
    </w:p>
    <w:p w14:paraId="7CB3AF52">
      <w:pPr>
        <w:ind w:firstLine="422"/>
      </w:pPr>
      <w:r>
        <w:rPr>
          <w:rFonts w:hint="eastAsia"/>
          <w:b/>
        </w:rPr>
        <w:t>第十三条</w:t>
      </w:r>
      <w:r>
        <w:rPr>
          <w:rFonts w:hint="eastAsia"/>
        </w:rPr>
        <w:t xml:space="preserve">  医疗保健机构对新出生的婴儿必须按照有关规定，出具卫生行政部门统一印制并盖有专用章的出生医学证明。</w:t>
      </w:r>
    </w:p>
    <w:p w14:paraId="1EFF8258">
      <w:pPr>
        <w:ind w:firstLine="422"/>
      </w:pPr>
      <w:r>
        <w:rPr>
          <w:rFonts w:hint="eastAsia"/>
          <w:b/>
        </w:rPr>
        <w:t>第十四条</w:t>
      </w:r>
      <w:r>
        <w:rPr>
          <w:rFonts w:hint="eastAsia"/>
        </w:rPr>
        <w:t>　医疗保健机构应当建立孕产妇死亡和婴儿、围产儿死亡统计报告制度，并做好孕产妇、围产儿的死亡评审。</w:t>
      </w:r>
    </w:p>
    <w:p w14:paraId="0FF6545E">
      <w:r>
        <w:rPr>
          <w:rFonts w:hint="eastAsia"/>
        </w:rPr>
        <w:t>医疗保健机构应当建立出生和出生缺陷监测报告制度。</w:t>
      </w:r>
    </w:p>
    <w:p w14:paraId="4A615A25">
      <w:pPr>
        <w:ind w:firstLine="422"/>
      </w:pPr>
      <w:r>
        <w:rPr>
          <w:rFonts w:hint="eastAsia"/>
          <w:b/>
        </w:rPr>
        <w:t>第十五条</w:t>
      </w:r>
      <w:r>
        <w:rPr>
          <w:rFonts w:hint="eastAsia"/>
        </w:rPr>
        <w:t>　接触致畸物质的已婚未孕或者怀孕的女职工，其所在单位应当按照有关规定安排定期检查身体。</w:t>
      </w:r>
    </w:p>
    <w:p w14:paraId="4D38EEDE">
      <w:r>
        <w:rPr>
          <w:rFonts w:hint="eastAsia"/>
        </w:rPr>
        <w:t>妇幼保健机构根据其检查结果或者职业病防治机构对有害作业场所致畸物质的监测报告，提出孕前和孕期的医学指导意见。女职工所在单位应当根据医学指导意见安排怀孕女职工从事禁忌范围以外的劳动。</w:t>
      </w:r>
    </w:p>
    <w:p w14:paraId="78FC6682">
      <w:pPr>
        <w:ind w:firstLine="422"/>
      </w:pPr>
      <w:r>
        <w:rPr>
          <w:rFonts w:hint="eastAsia"/>
          <w:b/>
        </w:rPr>
        <w:t>第十六条</w:t>
      </w:r>
      <w:r>
        <w:rPr>
          <w:rFonts w:hint="eastAsia"/>
        </w:rPr>
        <w:t>　生育过严重缺陷患儿的妇女再次妊娠前，夫妻双方必须到市卫生行政部门指定的医疗保健机构进行医学检查。</w:t>
      </w:r>
    </w:p>
    <w:p w14:paraId="16BC5E27">
      <w:r>
        <w:rPr>
          <w:rFonts w:hint="eastAsia"/>
        </w:rPr>
        <w:t>医疗保健机构对前款规定的医学检查，应当出具诊断证明，并书面通知女方户口所在地的计划生育部门。</w:t>
      </w:r>
    </w:p>
    <w:p w14:paraId="505D799B"/>
    <w:p w14:paraId="59EF091E">
      <w:pPr>
        <w:ind w:firstLine="0" w:firstLineChars="0"/>
        <w:jc w:val="center"/>
        <w:rPr>
          <w:b/>
          <w:sz w:val="28"/>
        </w:rPr>
      </w:pPr>
      <w:r>
        <w:rPr>
          <w:rFonts w:hint="eastAsia"/>
          <w:b/>
          <w:sz w:val="28"/>
        </w:rPr>
        <w:t>第四章　婴儿保健</w:t>
      </w:r>
    </w:p>
    <w:p w14:paraId="05837765"/>
    <w:p w14:paraId="0D8107F4">
      <w:pPr>
        <w:ind w:firstLine="422"/>
      </w:pPr>
      <w:r>
        <w:rPr>
          <w:rFonts w:hint="eastAsia"/>
          <w:b/>
        </w:rPr>
        <w:t>第十七条</w:t>
      </w:r>
      <w:r>
        <w:rPr>
          <w:rFonts w:hint="eastAsia"/>
        </w:rPr>
        <w:t>　提倡母乳喂养。</w:t>
      </w:r>
    </w:p>
    <w:p w14:paraId="5E970CA9">
      <w:r>
        <w:rPr>
          <w:rFonts w:hint="eastAsia"/>
        </w:rPr>
        <w:t>医疗保健机构应当采取措施，提高婴儿的母乳喂养率。</w:t>
      </w:r>
    </w:p>
    <w:p w14:paraId="6D28E808">
      <w:r>
        <w:rPr>
          <w:rFonts w:hint="eastAsia"/>
        </w:rPr>
        <w:t>各单位不得安排哺乳期女职工从事乳母禁忌的有害作业，并按照规定为女职工哺乳提供条件。</w:t>
      </w:r>
    </w:p>
    <w:p w14:paraId="7918D0E0">
      <w:pPr>
        <w:ind w:firstLine="422"/>
      </w:pPr>
      <w:r>
        <w:rPr>
          <w:rFonts w:hint="eastAsia"/>
          <w:b/>
        </w:rPr>
        <w:t>第十八条</w:t>
      </w:r>
      <w:r>
        <w:rPr>
          <w:rFonts w:hint="eastAsia"/>
        </w:rPr>
        <w:t>　新生儿出院或者出生后一周内，抚养人必须到产妇户口所在地的医疗保健机构进行登记；医疗保健机构应当按照规定建立儿童保健手册制度。</w:t>
      </w:r>
    </w:p>
    <w:p w14:paraId="570C3B68">
      <w:pPr>
        <w:ind w:firstLine="422"/>
      </w:pPr>
      <w:r>
        <w:rPr>
          <w:rFonts w:hint="eastAsia"/>
          <w:b/>
        </w:rPr>
        <w:t>第十九条</w:t>
      </w:r>
      <w:r>
        <w:rPr>
          <w:rFonts w:hint="eastAsia"/>
        </w:rPr>
        <w:t>　医疗保健机构应当按照儿童保健工作常规对新生儿进行家庭访视，对婴儿进行定期健康检查和预防接种，并提供有关母乳喂养、合理膳食等科学育儿的知识。</w:t>
      </w:r>
    </w:p>
    <w:p w14:paraId="4E148E52">
      <w:pPr>
        <w:ind w:firstLine="422"/>
      </w:pPr>
      <w:r>
        <w:rPr>
          <w:rFonts w:hint="eastAsia"/>
          <w:b/>
        </w:rPr>
        <w:t>第二十条</w:t>
      </w:r>
      <w:r>
        <w:rPr>
          <w:rFonts w:hint="eastAsia"/>
        </w:rPr>
        <w:t>　本市开展新生儿疾病筛查。</w:t>
      </w:r>
    </w:p>
    <w:p w14:paraId="2F5EFF3F">
      <w:r>
        <w:rPr>
          <w:rFonts w:hint="eastAsia"/>
        </w:rPr>
        <w:t>有产科的医疗保健机构负责新生儿疾病筛查的取样和送检工作；新生儿疾病筛查机构负责新生儿疾病筛查工作，并对医疗保健机构的取样、送检进行质量监控和业务指导。</w:t>
      </w:r>
    </w:p>
    <w:p w14:paraId="2792EADA">
      <w:pPr>
        <w:ind w:firstLine="422"/>
      </w:pPr>
      <w:r>
        <w:rPr>
          <w:rFonts w:hint="eastAsia"/>
          <w:b/>
        </w:rPr>
        <w:t>第二十一条</w:t>
      </w:r>
      <w:r>
        <w:rPr>
          <w:rFonts w:hint="eastAsia"/>
        </w:rPr>
        <w:t>　医疗保健机构应当开展婴儿常见病、多发病的防治工作，并提供眼、耳、口腔保健服务和与促进婴儿神经、精神发育相关的服务。</w:t>
      </w:r>
    </w:p>
    <w:p w14:paraId="7781EF1A">
      <w:pPr>
        <w:ind w:firstLine="422"/>
      </w:pPr>
      <w:r>
        <w:rPr>
          <w:rFonts w:hint="eastAsia"/>
          <w:b/>
        </w:rPr>
        <w:t>第二十二条</w:t>
      </w:r>
      <w:r>
        <w:rPr>
          <w:rFonts w:hint="eastAsia"/>
        </w:rPr>
        <w:t>　从事看护婴儿职业的人员，必须每年到区、县级以上医疗保健机构检查身体，领取健康合格证。</w:t>
      </w:r>
    </w:p>
    <w:p w14:paraId="3E7C0413"/>
    <w:p w14:paraId="63E7C5FB">
      <w:pPr>
        <w:ind w:firstLine="0" w:firstLineChars="0"/>
        <w:jc w:val="center"/>
        <w:rPr>
          <w:b/>
          <w:sz w:val="28"/>
        </w:rPr>
      </w:pPr>
      <w:r>
        <w:rPr>
          <w:rFonts w:hint="eastAsia"/>
          <w:b/>
          <w:sz w:val="28"/>
        </w:rPr>
        <w:t>第五章　医学技术鉴定</w:t>
      </w:r>
    </w:p>
    <w:p w14:paraId="6A44C408"/>
    <w:p w14:paraId="2A29D91C">
      <w:pPr>
        <w:ind w:firstLine="422"/>
      </w:pPr>
      <w:r>
        <w:rPr>
          <w:rFonts w:hint="eastAsia"/>
          <w:b/>
        </w:rPr>
        <w:t>第二十三条</w:t>
      </w:r>
      <w:r>
        <w:rPr>
          <w:rFonts w:hint="eastAsia"/>
        </w:rPr>
        <w:t>　市和区、县人民政府设立母婴保健医学技术鉴定委员会，其成员由卫生行政部门提名报同级人民政府聘任。</w:t>
      </w:r>
    </w:p>
    <w:p w14:paraId="56E2853B">
      <w:r>
        <w:rPr>
          <w:rFonts w:hint="eastAsia"/>
        </w:rPr>
        <w:t>母婴保健医学技术鉴定委员会成员必须具有副主任医师以上专业技术职务。</w:t>
      </w:r>
    </w:p>
    <w:p w14:paraId="613004BE">
      <w:pPr>
        <w:ind w:firstLine="422"/>
      </w:pPr>
      <w:r>
        <w:rPr>
          <w:rFonts w:hint="eastAsia"/>
          <w:b/>
        </w:rPr>
        <w:t>第二十四条</w:t>
      </w:r>
      <w:r>
        <w:rPr>
          <w:rFonts w:hint="eastAsia"/>
        </w:rPr>
        <w:t>　当事人对医疗保健机构出具的婚前医学检查结果、遗传病诊断、产前诊断持有异议的，可以向所在地母婴保健医学技术鉴定委员会申请鉴定。</w:t>
      </w:r>
    </w:p>
    <w:p w14:paraId="6E3742A2">
      <w:r>
        <w:rPr>
          <w:rFonts w:hint="eastAsia"/>
        </w:rPr>
        <w:t>对区、县级母婴保健医学技术鉴定委员会鉴定结论持有异议的，可以向市鉴定委员会申请鉴定。</w:t>
      </w:r>
    </w:p>
    <w:p w14:paraId="2E7C8307">
      <w:pPr>
        <w:ind w:firstLine="422"/>
      </w:pPr>
      <w:r>
        <w:rPr>
          <w:rFonts w:hint="eastAsia"/>
          <w:b/>
        </w:rPr>
        <w:t>第二十五条</w:t>
      </w:r>
      <w:r>
        <w:rPr>
          <w:rFonts w:hint="eastAsia"/>
        </w:rPr>
        <w:t>　当事人申请鉴定应当向鉴定委员会提出书面申请，提供与鉴定有关的材料。鉴定收费办法由市卫生行政部门会同有关部门制定。</w:t>
      </w:r>
    </w:p>
    <w:p w14:paraId="04D2AF05">
      <w:r>
        <w:rPr>
          <w:rFonts w:hint="eastAsia"/>
        </w:rPr>
        <w:t>母婴保健医学技术鉴定委员会应当在接到申请之日起</w:t>
      </w:r>
      <w:r>
        <w:rPr>
          <w:rFonts w:hint="eastAsia" w:ascii="宋体" w:hAnsi="宋体" w:eastAsia="宋体" w:cs="宋体"/>
        </w:rPr>
        <w:t>30</w:t>
      </w:r>
      <w:r>
        <w:rPr>
          <w:rFonts w:hint="eastAsia"/>
        </w:rPr>
        <w:t>日内作出鉴定结论，并将鉴定书送达当事人。</w:t>
      </w:r>
    </w:p>
    <w:p w14:paraId="59F61D52">
      <w:pPr>
        <w:ind w:firstLine="422"/>
      </w:pPr>
      <w:r>
        <w:rPr>
          <w:rFonts w:hint="eastAsia"/>
          <w:b/>
        </w:rPr>
        <w:t>第二十六条</w:t>
      </w:r>
      <w:r>
        <w:rPr>
          <w:rFonts w:hint="eastAsia"/>
        </w:rPr>
        <w:t>　母婴保健医学技术鉴定委员会的鉴定结论必须由组成人员的半数以上同意，对鉴定委员会成员提出的与鉴定结论不同的意见，应当如实记录在案。</w:t>
      </w:r>
    </w:p>
    <w:p w14:paraId="1AAE363C">
      <w:r>
        <w:rPr>
          <w:rFonts w:hint="eastAsia"/>
        </w:rPr>
        <w:t>鉴定结论应当有参加鉴定的委员签名，并加盖鉴定委员会公章。</w:t>
      </w:r>
    </w:p>
    <w:p w14:paraId="7791A5CD">
      <w:r>
        <w:rPr>
          <w:rFonts w:hint="eastAsia"/>
        </w:rPr>
        <w:t>鉴定材料和鉴定结论原件必须立卷存档，严禁涂改、伪造、隐匿、销毁。</w:t>
      </w:r>
    </w:p>
    <w:p w14:paraId="5E8C4536"/>
    <w:p w14:paraId="1CD8D820">
      <w:pPr>
        <w:ind w:firstLine="0" w:firstLineChars="0"/>
        <w:jc w:val="center"/>
        <w:rPr>
          <w:b/>
          <w:sz w:val="28"/>
        </w:rPr>
      </w:pPr>
      <w:r>
        <w:rPr>
          <w:rFonts w:hint="eastAsia"/>
          <w:b/>
          <w:sz w:val="28"/>
        </w:rPr>
        <w:t>第六章　监督管理</w:t>
      </w:r>
    </w:p>
    <w:p w14:paraId="4E28B0EA"/>
    <w:p w14:paraId="32989EE0">
      <w:pPr>
        <w:ind w:firstLine="422"/>
      </w:pPr>
      <w:r>
        <w:rPr>
          <w:rFonts w:hint="eastAsia"/>
          <w:b/>
        </w:rPr>
        <w:t>第二十七条</w:t>
      </w:r>
      <w:r>
        <w:rPr>
          <w:rFonts w:hint="eastAsia"/>
        </w:rPr>
        <w:t>　市和区、县卫生行政部门的母婴保健监督管理机构，具体负责本行政区域内母婴保健的监督管理工作。</w:t>
      </w:r>
    </w:p>
    <w:p w14:paraId="51047C4C">
      <w:pPr>
        <w:ind w:firstLine="422"/>
      </w:pPr>
      <w:r>
        <w:rPr>
          <w:rFonts w:hint="eastAsia"/>
          <w:b/>
        </w:rPr>
        <w:t>第二十八条</w:t>
      </w:r>
      <w:r>
        <w:rPr>
          <w:rFonts w:hint="eastAsia"/>
        </w:rPr>
        <w:t>　本市实行母婴保健监督员和检查员制度。</w:t>
      </w:r>
    </w:p>
    <w:p w14:paraId="56F60824">
      <w:r>
        <w:rPr>
          <w:rFonts w:hint="eastAsia"/>
        </w:rPr>
        <w:t>母婴保健监督管理机构设监督员，负责母婴保健工作的指导、监督和检查。监督员由市卫生行政部门任命。</w:t>
      </w:r>
    </w:p>
    <w:p w14:paraId="2DD5806E">
      <w:r>
        <w:rPr>
          <w:rFonts w:hint="eastAsia"/>
        </w:rPr>
        <w:t>医疗保健单位设母婴保健检查员，协助监督员做好母婴保健检查工作。检查员由区、县卫生行政部门任命。</w:t>
      </w:r>
    </w:p>
    <w:p w14:paraId="28514451">
      <w:pPr>
        <w:ind w:firstLine="422"/>
      </w:pPr>
      <w:r>
        <w:rPr>
          <w:rFonts w:hint="eastAsia"/>
          <w:b/>
        </w:rPr>
        <w:t>第二十九条</w:t>
      </w:r>
      <w:r>
        <w:rPr>
          <w:rFonts w:hint="eastAsia"/>
        </w:rPr>
        <w:t>　各级医疗保健机构应当加强母婴保健专业队伍建设，根据所承担的任务配备专职母婴保健业务人员。村民委员会配备兼职母婴保健人员，负责母婴保健工作。</w:t>
      </w:r>
    </w:p>
    <w:p w14:paraId="23EFF805">
      <w:pPr>
        <w:ind w:firstLine="422"/>
      </w:pPr>
      <w:r>
        <w:rPr>
          <w:rFonts w:hint="eastAsia"/>
          <w:b/>
        </w:rPr>
        <w:t>第三十条</w:t>
      </w:r>
      <w:r>
        <w:rPr>
          <w:rFonts w:hint="eastAsia"/>
        </w:rPr>
        <w:t>　从事母婴保健法规定的婚前医学检查、遗传病诊断、产前诊断的单位，必须经市卫生行政部门批准，并领取专项技术服务许可证，其专业技术人员必须领取专项技术服务合格证。</w:t>
      </w:r>
    </w:p>
    <w:p w14:paraId="23EE3FE0">
      <w:r>
        <w:rPr>
          <w:rFonts w:hint="eastAsia"/>
        </w:rPr>
        <w:t>从事母婴保健法规定的结扎手术、终止妊娠手术的单位必须经所在区、县卫生行政部门批准，并领取专项技术服务许可证，其专业技术人员和从事家庭接生工作的个人，必须领取专项技术服务合格证。</w:t>
      </w:r>
    </w:p>
    <w:p w14:paraId="2740CA67">
      <w:pPr>
        <w:ind w:firstLine="422"/>
      </w:pPr>
      <w:r>
        <w:rPr>
          <w:rFonts w:hint="eastAsia"/>
          <w:b/>
        </w:rPr>
        <w:t>第三十一条</w:t>
      </w:r>
      <w:r>
        <w:rPr>
          <w:rFonts w:hint="eastAsia"/>
        </w:rPr>
        <w:t>　市和区、县妇幼保健机构负责本行政区域内的母婴保健的质量监测和技术指导。</w:t>
      </w:r>
    </w:p>
    <w:p w14:paraId="3BEBC2F5"/>
    <w:p w14:paraId="56BA7FDC">
      <w:pPr>
        <w:ind w:firstLine="0" w:firstLineChars="0"/>
        <w:jc w:val="center"/>
        <w:rPr>
          <w:b/>
          <w:sz w:val="28"/>
        </w:rPr>
      </w:pPr>
      <w:r>
        <w:rPr>
          <w:rFonts w:hint="eastAsia"/>
          <w:b/>
          <w:sz w:val="28"/>
        </w:rPr>
        <w:t>第七章　经　费</w:t>
      </w:r>
    </w:p>
    <w:p w14:paraId="7B3B8AD7"/>
    <w:p w14:paraId="1965AFB1">
      <w:pPr>
        <w:ind w:firstLine="422"/>
      </w:pPr>
      <w:r>
        <w:rPr>
          <w:rFonts w:hint="eastAsia"/>
          <w:b/>
        </w:rPr>
        <w:t>第三十二条</w:t>
      </w:r>
      <w:r>
        <w:rPr>
          <w:rFonts w:hint="eastAsia"/>
        </w:rPr>
        <w:t>　边远山区公民进行婚前医学检查，交费确有困难的，其检查费用由所在乡、镇人民政府解决；乡、镇人民政府解决确有困难的，由区、县人民政府给予补助。</w:t>
      </w:r>
    </w:p>
    <w:p w14:paraId="6ACCBE4F">
      <w:pPr>
        <w:ind w:firstLine="422"/>
      </w:pPr>
      <w:r>
        <w:rPr>
          <w:rFonts w:hint="eastAsia"/>
          <w:b/>
        </w:rPr>
        <w:t>第三十三条</w:t>
      </w:r>
      <w:r>
        <w:rPr>
          <w:rFonts w:hint="eastAsia"/>
        </w:rPr>
        <w:t>　依照母婴保健法和本办法规定施行终止妊娠或者结扎手术的，其费用由劳保医疗或者公费医疗负担；不享受劳保医疗或者公费医疗的，由区、县人民政府解决。</w:t>
      </w:r>
    </w:p>
    <w:p w14:paraId="5A7E84BB">
      <w:pPr>
        <w:ind w:firstLine="422"/>
      </w:pPr>
      <w:r>
        <w:rPr>
          <w:rFonts w:hint="eastAsia"/>
          <w:b/>
        </w:rPr>
        <w:t>第三十四条</w:t>
      </w:r>
      <w:r>
        <w:rPr>
          <w:rFonts w:hint="eastAsia"/>
        </w:rPr>
        <w:t>　乡、镇医疗保健机构的母婴保健业务人员的收入，不低于所在医疗保健机构临床医务人员的平均水平。</w:t>
      </w:r>
    </w:p>
    <w:p w14:paraId="45AE4C8C">
      <w:r>
        <w:rPr>
          <w:rFonts w:hint="eastAsia"/>
        </w:rPr>
        <w:t>村民委员会应当合理解决村母婴保健人员的补贴、奖励和待遇，村民委员会解决确有困难的，由乡、镇人民政府帮助解决。</w:t>
      </w:r>
    </w:p>
    <w:p w14:paraId="7F3B12BF"/>
    <w:p w14:paraId="0BEF138A">
      <w:pPr>
        <w:ind w:firstLine="0" w:firstLineChars="0"/>
        <w:jc w:val="center"/>
        <w:rPr>
          <w:b/>
          <w:sz w:val="28"/>
        </w:rPr>
      </w:pPr>
      <w:r>
        <w:rPr>
          <w:rFonts w:hint="eastAsia"/>
          <w:b/>
          <w:sz w:val="28"/>
        </w:rPr>
        <w:t>第八章　奖励与处罚</w:t>
      </w:r>
    </w:p>
    <w:p w14:paraId="3CF43A27"/>
    <w:p w14:paraId="67A5CEC1">
      <w:pPr>
        <w:ind w:firstLine="422"/>
      </w:pPr>
      <w:r>
        <w:rPr>
          <w:rFonts w:hint="eastAsia"/>
          <w:b/>
        </w:rPr>
        <w:t>第三十五条</w:t>
      </w:r>
      <w:r>
        <w:rPr>
          <w:rFonts w:hint="eastAsia"/>
        </w:rPr>
        <w:t>　市和区、县人民政府或者卫生行政部门对有下列情形之一的单位和个人给予表彰或者奖励：</w:t>
      </w:r>
    </w:p>
    <w:p w14:paraId="7EBC00F5">
      <w:r>
        <w:rPr>
          <w:rFonts w:hint="eastAsia"/>
        </w:rPr>
        <w:t>（一）在母婴保健的组织领导、监督管理和服务工作中做出显著成绩的；</w:t>
      </w:r>
    </w:p>
    <w:p w14:paraId="0EA9446C">
      <w:r>
        <w:rPr>
          <w:rFonts w:hint="eastAsia"/>
        </w:rPr>
        <w:t>（二）在研究推广母婴保健先进实用技术、普及母婴保健知识和宣传教育中做出突出贡献的；</w:t>
      </w:r>
    </w:p>
    <w:p w14:paraId="1D89F5B4">
      <w:r>
        <w:rPr>
          <w:rFonts w:hint="eastAsia"/>
        </w:rPr>
        <w:t>（三）从事母婴保健工</w:t>
      </w:r>
      <w:r>
        <w:rPr>
          <w:rFonts w:hint="eastAsia" w:ascii="宋体" w:hAnsi="宋体" w:eastAsia="宋体" w:cs="宋体"/>
        </w:rPr>
        <w:t>作20年</w:t>
      </w:r>
      <w:r>
        <w:rPr>
          <w:rFonts w:hint="eastAsia"/>
        </w:rPr>
        <w:t>以上并尽职尽责的。</w:t>
      </w:r>
    </w:p>
    <w:p w14:paraId="4D9D4F04">
      <w:pPr>
        <w:ind w:firstLine="422"/>
      </w:pPr>
      <w:r>
        <w:rPr>
          <w:rFonts w:hint="eastAsia"/>
          <w:b/>
        </w:rPr>
        <w:t>第三十六条</w:t>
      </w:r>
      <w:r>
        <w:rPr>
          <w:rFonts w:hint="eastAsia"/>
        </w:rPr>
        <w:t>　医疗保健机构及其工作人员不按照母婴保健法和本办法规定开展母婴保健工作的，由市或者区、县卫生行政部门给予警告或者责令限期改正；对拒不改正的，由其所在单位或者上级主管部门对单位负责人和直接责任人给予行政处分。</w:t>
      </w:r>
    </w:p>
    <w:p w14:paraId="697D3107">
      <w:pPr>
        <w:ind w:firstLine="422"/>
      </w:pPr>
      <w:r>
        <w:rPr>
          <w:rFonts w:hint="eastAsia"/>
          <w:b/>
        </w:rPr>
        <w:t>第三十七条</w:t>
      </w:r>
      <w:r>
        <w:rPr>
          <w:rFonts w:hint="eastAsia"/>
        </w:rPr>
        <w:t>　未取得市和区、县卫生行政部门颁发的有关合格证书，有母婴保健法第三十五条所列行为之一的，由市和区、县卫生行政部门给予警告，责令停止违法行为，没收违法所得；违法所</w:t>
      </w:r>
      <w:r>
        <w:rPr>
          <w:rFonts w:hint="eastAsia" w:ascii="宋体" w:hAnsi="宋体" w:eastAsia="宋体" w:cs="宋体"/>
        </w:rPr>
        <w:t>得5000元以上的，并处违法所得3倍以上5倍以下的罚款；没有违法所得或者违法所得不足5000元的，并处5000元以上2万元以下</w:t>
      </w:r>
      <w:r>
        <w:rPr>
          <w:rFonts w:hint="eastAsia"/>
        </w:rPr>
        <w:t>的罚款。</w:t>
      </w:r>
    </w:p>
    <w:p w14:paraId="7ADFCE6D">
      <w:pPr>
        <w:ind w:firstLine="422"/>
      </w:pPr>
      <w:r>
        <w:rPr>
          <w:rFonts w:hint="eastAsia"/>
          <w:b/>
        </w:rPr>
        <w:t>第三十八条</w:t>
      </w:r>
      <w:r>
        <w:rPr>
          <w:rFonts w:hint="eastAsia"/>
        </w:rPr>
        <w:t>　卫生行政、婚姻登记管理和计划生育部门的国家工作人员，在母婴保健工作中滥用职权、玩忽职守、徇私舞弊的，由所在单位或者上级主管部门给予行政处分；构成犯罪的，依法追究刑事责任。</w:t>
      </w:r>
    </w:p>
    <w:p w14:paraId="69962803">
      <w:pPr>
        <w:ind w:firstLine="422"/>
      </w:pPr>
      <w:r>
        <w:rPr>
          <w:rFonts w:hint="eastAsia"/>
          <w:b/>
        </w:rPr>
        <w:t>第三十九条</w:t>
      </w:r>
      <w:r>
        <w:rPr>
          <w:rFonts w:hint="eastAsia"/>
        </w:rPr>
        <w:t>　当事人对行政处罚决定不服的，可以依法申请行政复议或者提起行政诉讼。</w:t>
      </w:r>
    </w:p>
    <w:p w14:paraId="2CBD5A4F">
      <w:r>
        <w:rPr>
          <w:rFonts w:hint="eastAsia"/>
        </w:rPr>
        <w:t>当事人逾期不申请行政复议又不提起行政诉讼，也不履行处罚决定的，由作出处罚决定的卫生行政部门申请人民法院强制执行。</w:t>
      </w:r>
    </w:p>
    <w:p w14:paraId="50026DF2"/>
    <w:p w14:paraId="765FE835">
      <w:pPr>
        <w:ind w:firstLine="0" w:firstLineChars="0"/>
        <w:jc w:val="center"/>
        <w:rPr>
          <w:b/>
          <w:sz w:val="28"/>
        </w:rPr>
      </w:pPr>
      <w:r>
        <w:rPr>
          <w:rFonts w:hint="eastAsia"/>
          <w:b/>
          <w:sz w:val="28"/>
        </w:rPr>
        <w:t>第九章　附　则</w:t>
      </w:r>
    </w:p>
    <w:p w14:paraId="67A0B776"/>
    <w:p w14:paraId="11C8265A">
      <w:pPr>
        <w:ind w:firstLine="422"/>
      </w:pPr>
      <w:r>
        <w:rPr>
          <w:rFonts w:hint="eastAsia"/>
          <w:b/>
        </w:rPr>
        <w:t>第四十条</w:t>
      </w:r>
      <w:r>
        <w:rPr>
          <w:rFonts w:hint="eastAsia"/>
        </w:rPr>
        <w:t>　本办法具体应用中的问题，由市卫生行政部门负责解释。</w:t>
      </w:r>
    </w:p>
    <w:p w14:paraId="2383A5B1">
      <w:pPr>
        <w:ind w:firstLine="422"/>
      </w:pPr>
      <w:r>
        <w:rPr>
          <w:rFonts w:hint="eastAsia"/>
          <w:b/>
        </w:rPr>
        <w:t>第四十一条</w:t>
      </w:r>
      <w:r>
        <w:rPr>
          <w:rFonts w:hint="eastAsia"/>
        </w:rPr>
        <w:t>　本办法自</w:t>
      </w:r>
      <w:r>
        <w:rPr>
          <w:rFonts w:hint="eastAsia" w:ascii="宋体" w:hAnsi="宋体" w:eastAsia="宋体" w:cs="宋体"/>
        </w:rPr>
        <w:t>1995年6月1</w:t>
      </w:r>
      <w:r>
        <w:rPr>
          <w:rFonts w:hint="eastAsia"/>
        </w:rPr>
        <w:t>日起施行。</w:t>
      </w:r>
    </w:p>
    <w:p w14:paraId="668BDDDB">
      <w:pPr>
        <w:pStyle w:val="4"/>
        <w:pageBreakBefore/>
      </w:pPr>
      <w:bookmarkStart w:id="2378" w:name="_Toc428780654"/>
      <w:bookmarkStart w:id="2379" w:name="_Toc426467117"/>
      <w:bookmarkStart w:id="2380" w:name="_Toc428781865"/>
      <w:r>
        <w:rPr>
          <w:rFonts w:hint="eastAsia"/>
        </w:rPr>
        <w:t>北京市生活饮用水卫生监督管理条例</w:t>
      </w:r>
      <w:bookmarkEnd w:id="2378"/>
      <w:bookmarkEnd w:id="2379"/>
      <w:bookmarkEnd w:id="2380"/>
    </w:p>
    <w:p w14:paraId="5FE8B29C">
      <w:pPr>
        <w:ind w:left="630" w:leftChars="300" w:right="630" w:rightChars="300"/>
        <w:rPr>
          <w:rFonts w:ascii="楷体" w:hAnsi="楷体" w:eastAsia="楷体"/>
        </w:rPr>
      </w:pPr>
      <w:r>
        <w:rPr>
          <w:rFonts w:hint="eastAsia" w:ascii="楷体" w:hAnsi="楷体" w:eastAsia="楷体"/>
        </w:rPr>
        <w:t>（1997年4月16日北京市第十届人民代表大会常务委员会第三十六次会议通过  1997年4月16日北京市人民代表大会常务委员会公告第79号公布1997年7月1日施行）</w:t>
      </w:r>
    </w:p>
    <w:p w14:paraId="5D15DFBD"/>
    <w:p w14:paraId="41EA8D8F">
      <w:pPr>
        <w:ind w:firstLine="0" w:firstLineChars="0"/>
        <w:jc w:val="center"/>
        <w:rPr>
          <w:b/>
          <w:sz w:val="28"/>
        </w:rPr>
      </w:pPr>
      <w:r>
        <w:rPr>
          <w:rFonts w:hint="eastAsia"/>
          <w:b/>
          <w:sz w:val="28"/>
        </w:rPr>
        <w:t>第一章　总　则</w:t>
      </w:r>
    </w:p>
    <w:p w14:paraId="1E877B54"/>
    <w:p w14:paraId="33E52B29">
      <w:pPr>
        <w:ind w:firstLine="422"/>
      </w:pPr>
      <w:r>
        <w:rPr>
          <w:rFonts w:hint="eastAsia"/>
          <w:b/>
        </w:rPr>
        <w:t>第一条</w:t>
      </w:r>
      <w:r>
        <w:rPr>
          <w:rFonts w:hint="eastAsia"/>
        </w:rPr>
        <w:t xml:space="preserve">  为了保证生活饮用水（以下简称饮用水）卫生，防止饮用水污染和有害因素对人体的危害，保障人民身体健康，制定本条例。</w:t>
      </w:r>
    </w:p>
    <w:p w14:paraId="5B630D0A">
      <w:pPr>
        <w:ind w:firstLine="422"/>
      </w:pPr>
      <w:r>
        <w:rPr>
          <w:rFonts w:hint="eastAsia"/>
          <w:b/>
        </w:rPr>
        <w:t>第二条</w:t>
      </w:r>
      <w:r>
        <w:rPr>
          <w:rFonts w:hint="eastAsia"/>
        </w:rPr>
        <w:t xml:space="preserve">  本条例适用于集中式供水（包括城镇公共供水、自备水源供水和农村简易自来水供水）、二次供水的饮用水，供水的设备及用品，也适用于供水的场所、设施和环境。</w:t>
      </w:r>
    </w:p>
    <w:p w14:paraId="66F95D7D">
      <w:r>
        <w:rPr>
          <w:rFonts w:hint="eastAsia"/>
        </w:rPr>
        <w:t>本市行政区域内的任何单位和个人都必须遵守本条例。</w:t>
      </w:r>
    </w:p>
    <w:p w14:paraId="11A987BC">
      <w:pPr>
        <w:ind w:firstLine="422"/>
      </w:pPr>
      <w:r>
        <w:rPr>
          <w:rFonts w:hint="eastAsia"/>
          <w:b/>
        </w:rPr>
        <w:t>第三条</w:t>
      </w:r>
      <w:r>
        <w:rPr>
          <w:rFonts w:hint="eastAsia"/>
        </w:rPr>
        <w:t xml:space="preserve">  饮用水卫生工作应当贯彻预防为主的方针，实行防治结合、分类管理的原则。积极开展饮用水卫生的宣传教育，普及饮用水卫生知识，提高公民的自我保护意识。</w:t>
      </w:r>
    </w:p>
    <w:p w14:paraId="33D89427">
      <w:pPr>
        <w:ind w:firstLine="422"/>
      </w:pPr>
      <w:r>
        <w:rPr>
          <w:rFonts w:hint="eastAsia"/>
          <w:b/>
        </w:rPr>
        <w:t>第四条</w:t>
      </w:r>
      <w:r>
        <w:rPr>
          <w:rFonts w:hint="eastAsia"/>
        </w:rPr>
        <w:t xml:space="preserve">  市和区、县人民政府应当将饮用水卫生工作纳入本地区国民经济和社会发展规划，并组织实施。</w:t>
      </w:r>
    </w:p>
    <w:p w14:paraId="547B8564">
      <w:r>
        <w:rPr>
          <w:rFonts w:hint="eastAsia"/>
        </w:rPr>
        <w:t>市卫生行政部门主管全市饮用水的卫生监督工作。</w:t>
      </w:r>
    </w:p>
    <w:p w14:paraId="36CA83F8">
      <w:r>
        <w:rPr>
          <w:rFonts w:hint="eastAsia"/>
        </w:rPr>
        <w:t>市政管理、城乡建设、规划、环境保护等有关部门在各自的职责范围内负责饮用水的卫生管理工作。</w:t>
      </w:r>
    </w:p>
    <w:p w14:paraId="4555A11A">
      <w:pPr>
        <w:ind w:firstLine="422"/>
      </w:pPr>
      <w:r>
        <w:rPr>
          <w:rFonts w:hint="eastAsia"/>
          <w:b/>
        </w:rPr>
        <w:t>第五条</w:t>
      </w:r>
      <w:r>
        <w:rPr>
          <w:rFonts w:hint="eastAsia"/>
        </w:rPr>
        <w:t xml:space="preserve">  本市鼓励对饮用水卫生的社会监督。对违反本条例的行为，任何单位和个人都有权检举和控告。</w:t>
      </w:r>
    </w:p>
    <w:p w14:paraId="6E74F9DC"/>
    <w:p w14:paraId="79FB9F89">
      <w:pPr>
        <w:ind w:firstLine="0" w:firstLineChars="0"/>
        <w:jc w:val="center"/>
        <w:rPr>
          <w:b/>
          <w:sz w:val="28"/>
        </w:rPr>
      </w:pPr>
      <w:r>
        <w:rPr>
          <w:rFonts w:hint="eastAsia"/>
          <w:b/>
          <w:sz w:val="28"/>
        </w:rPr>
        <w:t>第二章　饮用水的卫生</w:t>
      </w:r>
    </w:p>
    <w:p w14:paraId="1D34E746"/>
    <w:p w14:paraId="4243EE37">
      <w:pPr>
        <w:ind w:firstLine="422"/>
      </w:pPr>
      <w:r>
        <w:rPr>
          <w:rFonts w:hint="eastAsia"/>
          <w:b/>
        </w:rPr>
        <w:t>第六条</w:t>
      </w:r>
      <w:r>
        <w:rPr>
          <w:rFonts w:hint="eastAsia"/>
        </w:rPr>
        <w:t xml:space="preserve">  饮用水必须符合国家卫生标准。有下列情形之一的，禁止供给饮用：</w:t>
      </w:r>
    </w:p>
    <w:p w14:paraId="07184189">
      <w:r>
        <w:rPr>
          <w:rFonts w:hint="eastAsia"/>
        </w:rPr>
        <w:t>（一）混有异物，出现异色、异味或者其他感官性状异常，可能对人体健康有害的；</w:t>
      </w:r>
    </w:p>
    <w:p w14:paraId="6BAB1B39">
      <w:bookmarkStart w:id="2381" w:name="_Toc428780655"/>
      <w:r>
        <w:rPr>
          <w:rFonts w:hint="eastAsia"/>
        </w:rPr>
        <w:t>（二）有毒、有害物质含量超过国家卫生标准的；</w:t>
      </w:r>
      <w:bookmarkEnd w:id="2381"/>
    </w:p>
    <w:p w14:paraId="76A25DE2">
      <w:r>
        <w:rPr>
          <w:rFonts w:hint="eastAsia"/>
        </w:rPr>
        <w:t>（三）含有寄生虫、微生物等，有可能引起疾病的；</w:t>
      </w:r>
    </w:p>
    <w:p w14:paraId="0CBD88DD">
      <w:r>
        <w:rPr>
          <w:rFonts w:hint="eastAsia"/>
        </w:rPr>
        <w:t>（四）与不符合卫生标准和卫生管理要求的供水设施及用品直接接触的；</w:t>
      </w:r>
    </w:p>
    <w:p w14:paraId="380F0299">
      <w:bookmarkStart w:id="2382" w:name="_Toc428780656"/>
      <w:r>
        <w:rPr>
          <w:rFonts w:hint="eastAsia"/>
        </w:rPr>
        <w:t>（五）未经卫生检验的；</w:t>
      </w:r>
      <w:bookmarkEnd w:id="2382"/>
    </w:p>
    <w:p w14:paraId="49722844">
      <w:r>
        <w:rPr>
          <w:rFonts w:hint="eastAsia"/>
        </w:rPr>
        <w:t>（六）因防病等特殊需要，经市或者区、县人民政府批准停止供水的；</w:t>
      </w:r>
    </w:p>
    <w:p w14:paraId="5B94A554">
      <w:pPr>
        <w:ind w:firstLine="422"/>
      </w:pPr>
      <w:r>
        <w:rPr>
          <w:rFonts w:hint="eastAsia"/>
          <w:b/>
        </w:rPr>
        <w:t>第七条</w:t>
      </w:r>
      <w:r>
        <w:rPr>
          <w:rFonts w:hint="eastAsia"/>
        </w:rPr>
        <w:t xml:space="preserve">  饮用水的供水过程必须符合下列卫生要求：</w:t>
      </w:r>
    </w:p>
    <w:p w14:paraId="157E438E">
      <w:r>
        <w:rPr>
          <w:rFonts w:hint="eastAsia"/>
        </w:rPr>
        <w:t>（一）保持供水设施和周围环境清洁，与有毒有害场所或者污染源保持规定的防护距离；</w:t>
      </w:r>
    </w:p>
    <w:p w14:paraId="20FB5A07">
      <w:bookmarkStart w:id="2383" w:name="_Toc428780657"/>
      <w:r>
        <w:rPr>
          <w:rFonts w:hint="eastAsia"/>
        </w:rPr>
        <w:t>（二）自备水源供水设施与城镇公共供水管网不得有任何连接；</w:t>
      </w:r>
      <w:bookmarkEnd w:id="2383"/>
    </w:p>
    <w:p w14:paraId="110652EF">
      <w:r>
        <w:rPr>
          <w:rFonts w:hint="eastAsia"/>
        </w:rPr>
        <w:t>（三）二次供水设施与城镇公共供水管网不得直接连接；</w:t>
      </w:r>
    </w:p>
    <w:p w14:paraId="3F9197C2">
      <w:bookmarkStart w:id="2384" w:name="_Toc428780658"/>
      <w:r>
        <w:rPr>
          <w:rFonts w:hint="eastAsia"/>
        </w:rPr>
        <w:t>（四）供水设施与非饮用水不得相通；</w:t>
      </w:r>
      <w:bookmarkEnd w:id="2384"/>
    </w:p>
    <w:p w14:paraId="5820B637">
      <w:r>
        <w:rPr>
          <w:rFonts w:hint="eastAsia"/>
        </w:rPr>
        <w:t>（五）供水设施必须安全密闭，有必要的卫生防护设施；</w:t>
      </w:r>
    </w:p>
    <w:p w14:paraId="59DAA197">
      <w:bookmarkStart w:id="2385" w:name="_Toc428780659"/>
      <w:r>
        <w:rPr>
          <w:rFonts w:hint="eastAsia"/>
        </w:rPr>
        <w:t>（六）供水设备应当按照卫生行政部门规定的期限清洗、消毒；</w:t>
      </w:r>
      <w:bookmarkEnd w:id="2385"/>
    </w:p>
    <w:p w14:paraId="55667F7B">
      <w:r>
        <w:rPr>
          <w:rFonts w:hint="eastAsia"/>
        </w:rPr>
        <w:t>（七）新设备、新管网使用前或者旧设备、旧管网修复后，必须严格清洗、消毒；</w:t>
      </w:r>
    </w:p>
    <w:p w14:paraId="67BB1C4B">
      <w:bookmarkStart w:id="2386" w:name="_Toc428780660"/>
      <w:r>
        <w:rPr>
          <w:rFonts w:hint="eastAsia"/>
        </w:rPr>
        <w:t>（八）集中式供水必须有水质消毒设备；</w:t>
      </w:r>
      <w:bookmarkEnd w:id="2386"/>
    </w:p>
    <w:p w14:paraId="7AFCE766">
      <w:r>
        <w:rPr>
          <w:rFonts w:hint="eastAsia"/>
        </w:rPr>
        <w:t>（九）凡与饮用水直接接触的供水设备及用品，应当无毒无害，不得污染水质；</w:t>
      </w:r>
    </w:p>
    <w:p w14:paraId="32799187">
      <w:r>
        <w:rPr>
          <w:rFonts w:hint="eastAsia"/>
        </w:rPr>
        <w:t>（十）直接从事供水、管水或者供水设施清洗、消毒等卫生维护工作的人员上岗时应当保持个人卫生；有碍水质卫生疾病的患者和病原携带者，不得直接从事供水、管水或者供水设施清洗、消毒等卫生维护工作；</w:t>
      </w:r>
    </w:p>
    <w:p w14:paraId="43120233">
      <w:r>
        <w:rPr>
          <w:rFonts w:hint="eastAsia"/>
        </w:rPr>
        <w:t>（十一）国家和本市有关饮用水供水过程的其他卫生要求。</w:t>
      </w:r>
    </w:p>
    <w:p w14:paraId="4AE8069D"/>
    <w:p w14:paraId="1E675C09">
      <w:pPr>
        <w:ind w:firstLine="0" w:firstLineChars="0"/>
        <w:jc w:val="center"/>
        <w:rPr>
          <w:b/>
          <w:sz w:val="28"/>
        </w:rPr>
      </w:pPr>
      <w:r>
        <w:rPr>
          <w:rFonts w:hint="eastAsia"/>
          <w:b/>
          <w:sz w:val="28"/>
        </w:rPr>
        <w:t>第三章　卫生管理</w:t>
      </w:r>
    </w:p>
    <w:p w14:paraId="04F14EF7"/>
    <w:p w14:paraId="09205246">
      <w:pPr>
        <w:ind w:firstLine="422"/>
      </w:pPr>
      <w:r>
        <w:rPr>
          <w:rFonts w:hint="eastAsia"/>
          <w:b/>
        </w:rPr>
        <w:t>第八条</w:t>
      </w:r>
      <w:r>
        <w:rPr>
          <w:rFonts w:hint="eastAsia"/>
        </w:rPr>
        <w:t xml:space="preserve">  供水设施的规划、设计和安装，应当符合卫生要求。</w:t>
      </w:r>
    </w:p>
    <w:p w14:paraId="09A3F32B">
      <w:r>
        <w:rPr>
          <w:rFonts w:hint="eastAsia"/>
        </w:rPr>
        <w:t>新建、扩建、改建供水设施工程的选址、设计审查和竣工验收，必须有卫生行政部门参加。</w:t>
      </w:r>
    </w:p>
    <w:p w14:paraId="1EE76386">
      <w:pPr>
        <w:ind w:firstLine="422"/>
      </w:pPr>
      <w:r>
        <w:rPr>
          <w:rFonts w:hint="eastAsia"/>
          <w:b/>
        </w:rPr>
        <w:t>第九条</w:t>
      </w:r>
      <w:r>
        <w:rPr>
          <w:rFonts w:hint="eastAsia"/>
        </w:rPr>
        <w:t xml:space="preserve">  供水设施的产权单位或其委托的单位是供水设施管理责任单位，负责供水设施的日常卫生管理。</w:t>
      </w:r>
    </w:p>
    <w:p w14:paraId="45C6E098">
      <w:pPr>
        <w:ind w:firstLine="422"/>
      </w:pPr>
      <w:r>
        <w:rPr>
          <w:rFonts w:hint="eastAsia"/>
          <w:b/>
        </w:rPr>
        <w:t>第十条</w:t>
      </w:r>
      <w:r>
        <w:rPr>
          <w:rFonts w:hint="eastAsia"/>
        </w:rPr>
        <w:t xml:space="preserve">  集中式供水、二次供水设施的管理责任单位和从事供水设施的清洗、消毒等卫生维护工作的单位必须取得卫生行政部门的卫生许可证后，方可供水或者从事清洗、消毒等卫生维护工作。</w:t>
      </w:r>
    </w:p>
    <w:p w14:paraId="3C74B958">
      <w:r>
        <w:rPr>
          <w:rFonts w:hint="eastAsia"/>
        </w:rPr>
        <w:t>卫生许可证由卫生行政部门定期复验。</w:t>
      </w:r>
    </w:p>
    <w:p w14:paraId="763ECD48">
      <w:pPr>
        <w:ind w:firstLine="422"/>
      </w:pPr>
      <w:r>
        <w:rPr>
          <w:rFonts w:hint="eastAsia"/>
          <w:b/>
        </w:rPr>
        <w:t>第十一条</w:t>
      </w:r>
      <w:r>
        <w:rPr>
          <w:rFonts w:hint="eastAsia"/>
        </w:rPr>
        <w:t xml:space="preserve">  供水设施的管理责任单位应当建立健全饮用水卫生管理制度，配备专职或者兼职卫生管理人员，组织从业人员进行卫生知识培训和健康检查。</w:t>
      </w:r>
    </w:p>
    <w:p w14:paraId="0A604113">
      <w:pPr>
        <w:ind w:firstLine="422"/>
      </w:pPr>
      <w:r>
        <w:rPr>
          <w:rFonts w:hint="eastAsia"/>
          <w:b/>
        </w:rPr>
        <w:t>第十二条</w:t>
      </w:r>
      <w:r>
        <w:rPr>
          <w:rFonts w:hint="eastAsia"/>
        </w:rPr>
        <w:t xml:space="preserve">  农村简易自来水，由乡、镇人民政府确定机构或者专人负责卫生管理工作。村民委员会应当确定卫生管理人员具体负责水源的卫生防护、供水设施的维护和水质定期消毒等日常管理工作。</w:t>
      </w:r>
    </w:p>
    <w:p w14:paraId="3A2D54B5">
      <w:pPr>
        <w:ind w:firstLine="422"/>
      </w:pPr>
      <w:r>
        <w:rPr>
          <w:rFonts w:hint="eastAsia"/>
          <w:b/>
        </w:rPr>
        <w:t>第十三条</w:t>
      </w:r>
      <w:r>
        <w:rPr>
          <w:rFonts w:hint="eastAsia"/>
        </w:rPr>
        <w:t xml:space="preserve">  城镇公共供水设施的管理责任单位应当配备水质检验人员和设备，建立健全对水源水、出厂水、末梢水的水质检验制度，按时将水质检验结果报所在地卫生行政部门备案。</w:t>
      </w:r>
    </w:p>
    <w:p w14:paraId="23F52C0A">
      <w:pPr>
        <w:ind w:firstLine="422"/>
      </w:pPr>
      <w:r>
        <w:rPr>
          <w:rFonts w:hint="eastAsia"/>
          <w:b/>
        </w:rPr>
        <w:t>第十四条</w:t>
      </w:r>
      <w:r>
        <w:rPr>
          <w:rFonts w:hint="eastAsia"/>
        </w:rPr>
        <w:t>　直接从事供水、管水和供水设施清洗、消毒等卫生维护工作的人员，每年必须进行一次健康检查；新参加工作和临时参加工作的人员必须进行健康检查，取得健康合格证后，方可上岗；健康检查由市卫生行政部门确定的医疗卫生机构负责。</w:t>
      </w:r>
    </w:p>
    <w:p w14:paraId="114725EE">
      <w:pPr>
        <w:ind w:firstLine="422"/>
      </w:pPr>
      <w:r>
        <w:rPr>
          <w:rFonts w:hint="eastAsia"/>
          <w:b/>
        </w:rPr>
        <w:t>第十五条</w:t>
      </w:r>
      <w:r>
        <w:rPr>
          <w:rFonts w:hint="eastAsia"/>
        </w:rPr>
        <w:t>　利用新材料制作供水设备及用品，必须经市卫生行政部门批准；销售利用新材料制作的供水设备及用品，必须有省级以上卫生行政部门的批准证明；供水设施的管理责任单位不得使用未经批准的上述设备及用品。</w:t>
      </w:r>
    </w:p>
    <w:p w14:paraId="09990278">
      <w:pPr>
        <w:spacing w:line="300" w:lineRule="exact"/>
      </w:pPr>
    </w:p>
    <w:p w14:paraId="71EB8A98">
      <w:pPr>
        <w:ind w:firstLine="0" w:firstLineChars="0"/>
        <w:jc w:val="center"/>
        <w:rPr>
          <w:b/>
          <w:sz w:val="28"/>
        </w:rPr>
      </w:pPr>
      <w:r>
        <w:rPr>
          <w:rFonts w:hint="eastAsia"/>
          <w:b/>
          <w:sz w:val="28"/>
        </w:rPr>
        <w:t>第四章　卫生监督</w:t>
      </w:r>
    </w:p>
    <w:p w14:paraId="5FE270EE">
      <w:pPr>
        <w:spacing w:line="300" w:lineRule="exact"/>
      </w:pPr>
    </w:p>
    <w:p w14:paraId="3B27336E">
      <w:pPr>
        <w:ind w:firstLine="422"/>
      </w:pPr>
      <w:r>
        <w:rPr>
          <w:rFonts w:hint="eastAsia"/>
          <w:b/>
        </w:rPr>
        <w:t>第十六条</w:t>
      </w:r>
      <w:r>
        <w:rPr>
          <w:rFonts w:hint="eastAsia"/>
        </w:rPr>
        <w:t>　市和区、县卫生行政部门负责本行政区的饮用水卫生监督工作。</w:t>
      </w:r>
    </w:p>
    <w:p w14:paraId="0AB231B1">
      <w:pPr>
        <w:ind w:firstLine="422"/>
      </w:pPr>
      <w:r>
        <w:rPr>
          <w:rFonts w:hint="eastAsia"/>
          <w:b/>
        </w:rPr>
        <w:t>第十七条</w:t>
      </w:r>
      <w:r>
        <w:rPr>
          <w:rFonts w:hint="eastAsia"/>
        </w:rPr>
        <w:t>　市和区、县卫生行政部门设立饮用水卫生监督员，执行卫生行政部门交付的任务。</w:t>
      </w:r>
    </w:p>
    <w:p w14:paraId="3CC86D92">
      <w:r>
        <w:rPr>
          <w:rFonts w:hint="eastAsia"/>
        </w:rPr>
        <w:t>卫生监督员在执行任务时，可以向供水设施的管理责任单位了解情况，索取必要的资料，对供水场所和设施进行检查和采样检验。供水设施的管理责任单位及其工作人员不得拒绝或者隐瞒。</w:t>
      </w:r>
    </w:p>
    <w:p w14:paraId="12DA3B31">
      <w:pPr>
        <w:ind w:firstLine="422"/>
      </w:pPr>
      <w:r>
        <w:rPr>
          <w:rFonts w:hint="eastAsia"/>
          <w:b/>
        </w:rPr>
        <w:t>第十八条</w:t>
      </w:r>
      <w:r>
        <w:rPr>
          <w:rFonts w:hint="eastAsia"/>
        </w:rPr>
        <w:t>　市卫生行政部门确定的卫生防疫机构负责对本辖区的饮用水进行卫生检验并出具检验报告。</w:t>
      </w:r>
    </w:p>
    <w:p w14:paraId="77F36E20">
      <w:pPr>
        <w:ind w:firstLine="422"/>
      </w:pPr>
      <w:r>
        <w:rPr>
          <w:rFonts w:hint="eastAsia"/>
          <w:b/>
        </w:rPr>
        <w:t>第十九条</w:t>
      </w:r>
      <w:r>
        <w:rPr>
          <w:rFonts w:hint="eastAsia"/>
        </w:rPr>
        <w:t>　发生饮用水污染的供水设施的管理责任单位、污染责任单位和收治病人的医疗单位，除采取紧急措施外，应当根据国家和本市有关规定，及时向所在地卫生行政部门和相关部门报告。</w:t>
      </w:r>
    </w:p>
    <w:p w14:paraId="5B7782B2">
      <w:r>
        <w:rPr>
          <w:rFonts w:hint="eastAsia"/>
        </w:rPr>
        <w:t>卫生行政部门接到报告后，应当及时调查处理。</w:t>
      </w:r>
    </w:p>
    <w:p w14:paraId="3008B172">
      <w:pPr>
        <w:ind w:firstLine="422"/>
      </w:pPr>
      <w:r>
        <w:rPr>
          <w:rFonts w:hint="eastAsia"/>
          <w:b/>
        </w:rPr>
        <w:t>第二十条</w:t>
      </w:r>
      <w:r>
        <w:rPr>
          <w:rFonts w:hint="eastAsia"/>
        </w:rPr>
        <w:t>　市和区、县卫生行政部门对已造成或者有证据证明可能导致饮用水污染的供水设施的管理责任单位、污染责任单位采取下列临时控制措施：</w:t>
      </w:r>
    </w:p>
    <w:p w14:paraId="7CD0C083">
      <w:r>
        <w:rPr>
          <w:rFonts w:hint="eastAsia"/>
        </w:rPr>
        <w:t>（一）责令停止供水；</w:t>
      </w:r>
    </w:p>
    <w:p w14:paraId="27C191F8">
      <w:r>
        <w:rPr>
          <w:rFonts w:hint="eastAsia"/>
        </w:rPr>
        <w:t>（二）封闭供水设施，并责令进行清洗、消毒；</w:t>
      </w:r>
    </w:p>
    <w:p w14:paraId="356F0158">
      <w:r>
        <w:rPr>
          <w:rFonts w:hint="eastAsia"/>
        </w:rPr>
        <w:t>（三）责令控制、排除污染源；</w:t>
      </w:r>
    </w:p>
    <w:p w14:paraId="27BB4B7C">
      <w:r>
        <w:rPr>
          <w:rFonts w:hint="eastAsia"/>
        </w:rPr>
        <w:t>（四）封存有关供水设备及用品；</w:t>
      </w:r>
    </w:p>
    <w:p w14:paraId="02229D67">
      <w:r>
        <w:rPr>
          <w:rFonts w:hint="eastAsia"/>
        </w:rPr>
        <w:t>停止供水期间由污染责任单位采取措施解决临时供水；停止城镇公共供水必须报市或者区、县人民政府批准。</w:t>
      </w:r>
    </w:p>
    <w:p w14:paraId="735EDC04"/>
    <w:p w14:paraId="400A6DB0">
      <w:pPr>
        <w:ind w:firstLine="0" w:firstLineChars="0"/>
        <w:jc w:val="center"/>
        <w:rPr>
          <w:b/>
          <w:sz w:val="28"/>
        </w:rPr>
      </w:pPr>
      <w:r>
        <w:rPr>
          <w:rFonts w:hint="eastAsia"/>
          <w:b/>
          <w:sz w:val="28"/>
        </w:rPr>
        <w:t>第五章　法律责任</w:t>
      </w:r>
    </w:p>
    <w:p w14:paraId="7A375865"/>
    <w:p w14:paraId="2A861BF1">
      <w:pPr>
        <w:ind w:firstLine="422"/>
      </w:pPr>
      <w:r>
        <w:rPr>
          <w:rFonts w:hint="eastAsia"/>
          <w:b/>
        </w:rPr>
        <w:t>第二十一条</w:t>
      </w:r>
      <w:r>
        <w:rPr>
          <w:rFonts w:hint="eastAsia"/>
        </w:rPr>
        <w:t>　违反本条例规定，有下列行为之一的，由卫生行政部门责令限期改正，给予警告，并可处</w:t>
      </w:r>
      <w:r>
        <w:rPr>
          <w:rFonts w:hint="eastAsia" w:ascii="宋体" w:hAnsi="宋体" w:eastAsia="宋体" w:cs="宋体"/>
        </w:rPr>
        <w:t>以500元以上5000元以下</w:t>
      </w:r>
      <w:r>
        <w:rPr>
          <w:rFonts w:hint="eastAsia"/>
        </w:rPr>
        <w:t>的罚款：</w:t>
      </w:r>
    </w:p>
    <w:p w14:paraId="285D132A">
      <w:r>
        <w:rPr>
          <w:rFonts w:hint="eastAsia"/>
        </w:rPr>
        <w:t>（一）安排未取得健康合格证或者未经饮用水卫生知识培训的人员直接从事供水、管水或者供水设施卫生维护工作的；</w:t>
      </w:r>
    </w:p>
    <w:p w14:paraId="1F004161">
      <w:r>
        <w:rPr>
          <w:rFonts w:hint="eastAsia"/>
        </w:rPr>
        <w:t>（二）发生饮用水污染的供水设施的管理责任单位和污染责任单位未按规定报告的；</w:t>
      </w:r>
    </w:p>
    <w:p w14:paraId="6E1B7E71">
      <w:r>
        <w:rPr>
          <w:rFonts w:hint="eastAsia"/>
        </w:rPr>
        <w:t>（三）城镇公共供水设施的管理责任单位未配备水质检验人员和设备或者未按规定进行水质检验和报告的；</w:t>
      </w:r>
    </w:p>
    <w:p w14:paraId="61E3B9D8">
      <w:r>
        <w:rPr>
          <w:rFonts w:hint="eastAsia"/>
        </w:rPr>
        <w:t>（四）未按规定建立饮用水卫生管理制度或者未按规定配备饮用水卫生管理人员的。</w:t>
      </w:r>
    </w:p>
    <w:p w14:paraId="6E8AF350">
      <w:pPr>
        <w:ind w:firstLine="422"/>
      </w:pPr>
      <w:r>
        <w:rPr>
          <w:rFonts w:hint="eastAsia"/>
          <w:b/>
        </w:rPr>
        <w:t>第二十二条</w:t>
      </w:r>
      <w:r>
        <w:rPr>
          <w:rFonts w:hint="eastAsia"/>
        </w:rPr>
        <w:t>　违反本条例规定，有下列行为之一的，由卫生行政部门责令限期改正，给予警告，并可处</w:t>
      </w:r>
      <w:r>
        <w:rPr>
          <w:rFonts w:hint="eastAsia" w:ascii="宋体" w:hAnsi="宋体" w:eastAsia="宋体" w:cs="宋体"/>
        </w:rPr>
        <w:t>以5000元以上3万</w:t>
      </w:r>
      <w:r>
        <w:rPr>
          <w:rFonts w:hint="eastAsia"/>
        </w:rPr>
        <w:t>元以下的罚款：</w:t>
      </w:r>
    </w:p>
    <w:p w14:paraId="0A2AF7B9">
      <w:r>
        <w:rPr>
          <w:rFonts w:hint="eastAsia"/>
        </w:rPr>
        <w:t>（一）新建、扩建、改建供水设施的工程设计未经卫生行政部门审查，或者竣工未经卫生行政部门验收，擅自供水的；</w:t>
      </w:r>
    </w:p>
    <w:p w14:paraId="6C629013">
      <w:r>
        <w:rPr>
          <w:rFonts w:hint="eastAsia"/>
        </w:rPr>
        <w:t>（二）未按规定取得卫生许可证或者卫生许可证未按规定复验，从事供水的或者清洗、消毒等卫生维护工作的；</w:t>
      </w:r>
    </w:p>
    <w:p w14:paraId="3EE34BCD">
      <w:r>
        <w:rPr>
          <w:rFonts w:hint="eastAsia"/>
        </w:rPr>
        <w:t>（三）供水过程不符合卫生要求的或者供给禁止供给饮用的水的。</w:t>
      </w:r>
    </w:p>
    <w:p w14:paraId="7F01C936">
      <w:r>
        <w:rPr>
          <w:rFonts w:hint="eastAsia"/>
        </w:rPr>
        <w:t>（四）造成饮用水污染的供水设施的管理责任单位、污染责任单位对卫生行政部门所采取的临时控制措施拒不执行的；</w:t>
      </w:r>
    </w:p>
    <w:p w14:paraId="7BA59EEC">
      <w:r>
        <w:rPr>
          <w:rFonts w:hint="eastAsia"/>
        </w:rPr>
        <w:t>（五）未按规定生产、销售或者使用利用新材料制作的供水设备及用品的。</w:t>
      </w:r>
    </w:p>
    <w:p w14:paraId="0FE467FE">
      <w:pPr>
        <w:ind w:firstLine="422"/>
        <w:rPr>
          <w:rFonts w:hint="eastAsia" w:ascii="宋体" w:hAnsi="宋体" w:eastAsia="宋体" w:cs="宋体"/>
        </w:rPr>
      </w:pPr>
      <w:r>
        <w:rPr>
          <w:rFonts w:hint="eastAsia"/>
          <w:b/>
        </w:rPr>
        <w:t>第二十三条</w:t>
      </w:r>
      <w:r>
        <w:rPr>
          <w:rFonts w:hint="eastAsia"/>
        </w:rPr>
        <w:t>　违反本条例规定，造成饮用水污染的，由卫生行政部</w:t>
      </w:r>
      <w:r>
        <w:rPr>
          <w:rFonts w:hint="eastAsia" w:ascii="宋体" w:hAnsi="宋体" w:eastAsia="宋体" w:cs="宋体"/>
        </w:rPr>
        <w:t>门处以1万元以上5万元以下罚款，并可以暂扣或者吊销卫生许可证；情节严重的，由卫生行政部门处以5万元以上10万元以下罚款，并吊销卫生许可证；构成犯罪的，依法追究刑事责任。</w:t>
      </w:r>
    </w:p>
    <w:p w14:paraId="491671E7">
      <w:pPr>
        <w:ind w:firstLine="422"/>
      </w:pPr>
      <w:r>
        <w:rPr>
          <w:rFonts w:hint="eastAsia"/>
          <w:b/>
        </w:rPr>
        <w:t>第二十四条</w:t>
      </w:r>
      <w:r>
        <w:rPr>
          <w:rFonts w:hint="eastAsia"/>
        </w:rPr>
        <w:t>　违反本条例规定，造成饮用水污染，给他人造成损害的，应当依法承担民事责任。</w:t>
      </w:r>
    </w:p>
    <w:p w14:paraId="7A01EECE">
      <w:pPr>
        <w:ind w:firstLine="422"/>
      </w:pPr>
      <w:r>
        <w:rPr>
          <w:rFonts w:hint="eastAsia"/>
          <w:b/>
        </w:rPr>
        <w:t>第二十五条</w:t>
      </w:r>
      <w:r>
        <w:rPr>
          <w:rFonts w:hint="eastAsia"/>
        </w:rPr>
        <w:t>　饮用水卫生管理和监督人员滥用职权、玩忽职守、徇私舞弊的，由所在单位或者上级主管部门给予行政处分；构成犯罪的，依法追究刑事责任。</w:t>
      </w:r>
    </w:p>
    <w:p w14:paraId="20C00354">
      <w:pPr>
        <w:ind w:firstLine="422"/>
      </w:pPr>
      <w:r>
        <w:rPr>
          <w:rFonts w:hint="eastAsia"/>
          <w:b/>
        </w:rPr>
        <w:t>第二十六条</w:t>
      </w:r>
      <w:r>
        <w:rPr>
          <w:rFonts w:hint="eastAsia"/>
        </w:rPr>
        <w:t>　拒绝、阻碍饮用水卫生监督人员依法执行职务的，由公安机关依照治安管理处罚条例的规定处罚；构成犯罪的，依法追究刑事责任。</w:t>
      </w:r>
    </w:p>
    <w:p w14:paraId="34ECA265"/>
    <w:p w14:paraId="2ED56260">
      <w:pPr>
        <w:ind w:firstLine="0" w:firstLineChars="0"/>
        <w:jc w:val="center"/>
        <w:rPr>
          <w:b/>
          <w:sz w:val="28"/>
        </w:rPr>
      </w:pPr>
      <w:r>
        <w:rPr>
          <w:rFonts w:hint="eastAsia"/>
          <w:b/>
          <w:sz w:val="28"/>
        </w:rPr>
        <w:t>第六章　附　则</w:t>
      </w:r>
    </w:p>
    <w:p w14:paraId="507B2328"/>
    <w:p w14:paraId="08B6C8CB">
      <w:pPr>
        <w:ind w:firstLine="422"/>
      </w:pPr>
      <w:r>
        <w:rPr>
          <w:rFonts w:hint="eastAsia"/>
          <w:b/>
        </w:rPr>
        <w:t>第二十七条</w:t>
      </w:r>
      <w:r>
        <w:rPr>
          <w:rFonts w:hint="eastAsia"/>
        </w:rPr>
        <w:t>　农村分散式供水的卫生管理，参照本条例第十二条的规定执行。</w:t>
      </w:r>
    </w:p>
    <w:p w14:paraId="5DED4432">
      <w:pPr>
        <w:ind w:firstLine="422"/>
      </w:pPr>
      <w:r>
        <w:rPr>
          <w:rFonts w:hint="eastAsia"/>
          <w:b/>
        </w:rPr>
        <w:t>第二十八条</w:t>
      </w:r>
      <w:r>
        <w:rPr>
          <w:rFonts w:hint="eastAsia"/>
        </w:rPr>
        <w:t>　本条例用语含义如下：</w:t>
      </w:r>
    </w:p>
    <w:p w14:paraId="2A1F674A">
      <w:r>
        <w:rPr>
          <w:rFonts w:hint="eastAsia"/>
        </w:rPr>
        <w:t>集中式供水：由水源集中取水，经统一净化处理和消毒后，由输水管网送至用户的供水方式。</w:t>
      </w:r>
    </w:p>
    <w:p w14:paraId="4CAD6976">
      <w:r>
        <w:rPr>
          <w:rFonts w:hint="eastAsia"/>
        </w:rPr>
        <w:t>二次供水：将来自集中式供水的管道水另行加压、贮存，再送至用户的供水方式。</w:t>
      </w:r>
    </w:p>
    <w:p w14:paraId="13F487B3">
      <w:r>
        <w:rPr>
          <w:rFonts w:hint="eastAsia"/>
        </w:rPr>
        <w:t>农村分散式供水：包括农村手压机井、大口井及山泉等供水方式。</w:t>
      </w:r>
    </w:p>
    <w:p w14:paraId="6418FC34">
      <w:r>
        <w:rPr>
          <w:rFonts w:hint="eastAsia"/>
        </w:rPr>
        <w:t>供水设备及用品：指在饮用水供水过程中与饮用水直接接触的设备及各种管材、管件、防护涂料、净水剂、除垢剂、水质处理器等材料、化学物质及用具。</w:t>
      </w:r>
    </w:p>
    <w:p w14:paraId="5F59BC6D">
      <w:pPr>
        <w:ind w:firstLine="422"/>
      </w:pPr>
      <w:r>
        <w:rPr>
          <w:rFonts w:hint="eastAsia"/>
          <w:b/>
        </w:rPr>
        <w:t>第二十九条</w:t>
      </w:r>
      <w:r>
        <w:rPr>
          <w:rFonts w:hint="eastAsia"/>
        </w:rPr>
        <w:t>　本条例具体应用中的问题，由市卫生行政部门负责解释。</w:t>
      </w:r>
    </w:p>
    <w:p w14:paraId="4FDD7CEC">
      <w:pPr>
        <w:ind w:firstLine="422"/>
      </w:pPr>
      <w:r>
        <w:rPr>
          <w:rFonts w:hint="eastAsia"/>
          <w:b/>
        </w:rPr>
        <w:t>第三十条</w:t>
      </w:r>
      <w:r>
        <w:rPr>
          <w:rFonts w:hint="eastAsia"/>
        </w:rPr>
        <w:t>　本条例自</w:t>
      </w:r>
      <w:r>
        <w:rPr>
          <w:rFonts w:hint="eastAsia" w:ascii="宋体" w:hAnsi="宋体" w:eastAsia="宋体" w:cs="宋体"/>
        </w:rPr>
        <w:t>1997年7月1日起施行。1986年7月14日市人民政府发布的  《北京市人民政府关于生活饮用水卫生监督管理的暂行规定》 和1990年4月26日市人</w:t>
      </w:r>
      <w:r>
        <w:rPr>
          <w:rFonts w:hint="eastAsia"/>
        </w:rPr>
        <w:t>民政府发布的《北京市高层建筑生活饮用水卫生监督管理办法》同时废止。</w:t>
      </w:r>
    </w:p>
    <w:p w14:paraId="15BB901D">
      <w:pPr>
        <w:pStyle w:val="4"/>
        <w:pageBreakBefore/>
      </w:pPr>
      <w:bookmarkStart w:id="2387" w:name="_Toc426467118"/>
      <w:bookmarkStart w:id="2388" w:name="_Toc428781866"/>
      <w:bookmarkStart w:id="2389" w:name="_Toc428780661"/>
      <w:r>
        <w:rPr>
          <w:rFonts w:hint="eastAsia"/>
        </w:rPr>
        <w:t>北京市发展中医条例</w:t>
      </w:r>
      <w:bookmarkEnd w:id="2387"/>
      <w:bookmarkEnd w:id="2388"/>
      <w:bookmarkEnd w:id="2389"/>
    </w:p>
    <w:p w14:paraId="07D60A91">
      <w:pPr>
        <w:ind w:left="630" w:leftChars="300" w:right="630" w:rightChars="300"/>
        <w:rPr>
          <w:rFonts w:ascii="楷体" w:hAnsi="楷体" w:eastAsia="楷体"/>
        </w:rPr>
      </w:pPr>
      <w:r>
        <w:rPr>
          <w:rFonts w:hint="eastAsia" w:ascii="楷体" w:hAnsi="楷体" w:eastAsia="楷体"/>
        </w:rPr>
        <w:t>（2001年6月22日北京市第十一届人民代表大会常务委员会第二十七次会议通过）</w:t>
      </w:r>
    </w:p>
    <w:p w14:paraId="45D75439"/>
    <w:p w14:paraId="21DBEEC3">
      <w:pPr>
        <w:ind w:firstLine="0" w:firstLineChars="0"/>
        <w:jc w:val="center"/>
        <w:rPr>
          <w:b/>
          <w:sz w:val="28"/>
        </w:rPr>
      </w:pPr>
      <w:r>
        <w:rPr>
          <w:rFonts w:hint="eastAsia"/>
          <w:b/>
          <w:sz w:val="28"/>
        </w:rPr>
        <w:t>第一章　总　则</w:t>
      </w:r>
    </w:p>
    <w:p w14:paraId="0EBA7D80"/>
    <w:p w14:paraId="1FDA514E">
      <w:pPr>
        <w:ind w:firstLine="422"/>
      </w:pPr>
      <w:r>
        <w:rPr>
          <w:rFonts w:hint="eastAsia"/>
          <w:b/>
        </w:rPr>
        <w:t>第一条</w:t>
      </w:r>
      <w:r>
        <w:rPr>
          <w:rFonts w:hint="eastAsia"/>
        </w:rPr>
        <w:t xml:space="preserve">  为了继承和发扬中医药学，保障和促进中医药事业发展，适应人民群众对中医医疗保健的需求，根据国家有关法律、法规，结合本市实际情况，制定本条例。</w:t>
      </w:r>
    </w:p>
    <w:p w14:paraId="123AE0BE">
      <w:pPr>
        <w:ind w:firstLine="422"/>
      </w:pPr>
      <w:r>
        <w:rPr>
          <w:rFonts w:hint="eastAsia"/>
          <w:b/>
        </w:rPr>
        <w:t>第二条</w:t>
      </w:r>
      <w:r>
        <w:rPr>
          <w:rFonts w:hint="eastAsia"/>
        </w:rPr>
        <w:t xml:space="preserve">  在本市行政区域内从事中医（包括中西医结合和民族医）医疗、预防、保健、康复以及中医药教育、科研和对外交流等活动，适用本条例。</w:t>
      </w:r>
    </w:p>
    <w:p w14:paraId="0D9B4C6C">
      <w:pPr>
        <w:ind w:firstLine="422"/>
      </w:pPr>
      <w:r>
        <w:rPr>
          <w:rFonts w:hint="eastAsia"/>
          <w:b/>
        </w:rPr>
        <w:t>第三条</w:t>
      </w:r>
      <w:r>
        <w:rPr>
          <w:rFonts w:hint="eastAsia"/>
        </w:rPr>
        <w:t xml:space="preserve">  发展中医事业应当坚持中西医并重的方针，按照继承、保护、扶持、发展中医的原则，发挥中医特色与优势，运用现代科学技术，促进中医理论和实践的发展，推进中医药现代化。</w:t>
      </w:r>
    </w:p>
    <w:p w14:paraId="131D4678">
      <w:pPr>
        <w:ind w:firstLine="422"/>
      </w:pPr>
      <w:r>
        <w:rPr>
          <w:rFonts w:hint="eastAsia"/>
          <w:b/>
        </w:rPr>
        <w:t>第四条</w:t>
      </w:r>
      <w:r>
        <w:rPr>
          <w:rFonts w:hint="eastAsia"/>
        </w:rPr>
        <w:t xml:space="preserve">  本市各级人民政府应当加强对中医工作的领导，将发展中医事业纳入国民经济和社会发展计划，并且采取措施为发展中医事业提供条件和保障。</w:t>
      </w:r>
    </w:p>
    <w:p w14:paraId="22C6174B">
      <w:pPr>
        <w:ind w:firstLine="422"/>
      </w:pPr>
      <w:r>
        <w:rPr>
          <w:rFonts w:hint="eastAsia"/>
          <w:b/>
        </w:rPr>
        <w:t>第五条</w:t>
      </w:r>
      <w:r>
        <w:rPr>
          <w:rFonts w:hint="eastAsia"/>
        </w:rPr>
        <w:t xml:space="preserve">  市中医行政管理部门主管全市中医工作。</w:t>
      </w:r>
    </w:p>
    <w:p w14:paraId="44C29BD5">
      <w:r>
        <w:rPr>
          <w:rFonts w:hint="eastAsia"/>
        </w:rPr>
        <w:t>区、县卫生行政部门负责本辖区的中医工作。</w:t>
      </w:r>
    </w:p>
    <w:p w14:paraId="3F330279">
      <w:r>
        <w:rPr>
          <w:rFonts w:hint="eastAsia"/>
        </w:rPr>
        <w:t>市和区、县有关行政主管部门应当按照各自职责，共同促进和保障中医事业发展。</w:t>
      </w:r>
    </w:p>
    <w:p w14:paraId="222C19E2">
      <w:pPr>
        <w:ind w:firstLine="422"/>
      </w:pPr>
      <w:r>
        <w:rPr>
          <w:rFonts w:hint="eastAsia"/>
          <w:b/>
        </w:rPr>
        <w:t>第六条</w:t>
      </w:r>
      <w:r>
        <w:rPr>
          <w:rFonts w:hint="eastAsia"/>
        </w:rPr>
        <w:t xml:space="preserve">  对本市中医事业发展有突出贡献的单位和个人，市和区、县人民政府或者市中医行政管理部门应当给予表彰和奖励。</w:t>
      </w:r>
    </w:p>
    <w:p w14:paraId="170BE360"/>
    <w:p w14:paraId="08C5674F">
      <w:pPr>
        <w:ind w:firstLine="0" w:firstLineChars="0"/>
        <w:jc w:val="center"/>
        <w:rPr>
          <w:b/>
          <w:sz w:val="28"/>
        </w:rPr>
      </w:pPr>
      <w:r>
        <w:rPr>
          <w:rFonts w:hint="eastAsia"/>
          <w:b/>
          <w:sz w:val="28"/>
        </w:rPr>
        <w:t>第二章  扶持和保障</w:t>
      </w:r>
    </w:p>
    <w:p w14:paraId="5742F4F2"/>
    <w:p w14:paraId="7C512A3A">
      <w:pPr>
        <w:ind w:firstLine="422"/>
      </w:pPr>
      <w:r>
        <w:rPr>
          <w:rFonts w:hint="eastAsia"/>
          <w:b/>
        </w:rPr>
        <w:t>第七条</w:t>
      </w:r>
      <w:r>
        <w:rPr>
          <w:rFonts w:hint="eastAsia"/>
        </w:rPr>
        <w:t xml:space="preserve">  本市各级人民政府应当逐步增加对中医事业的投入。中医事业经费的增长幅度，应当高于卫生事业经费的增长幅度。</w:t>
      </w:r>
    </w:p>
    <w:p w14:paraId="62EEF0BC">
      <w:r>
        <w:rPr>
          <w:rFonts w:hint="eastAsia"/>
        </w:rPr>
        <w:t>财政部门应当合理安排中医专项经费，用于支持重点学科建设、科学技术成果转化、人才培养、农村中医发展等。</w:t>
      </w:r>
    </w:p>
    <w:p w14:paraId="7CA546F3">
      <w:r>
        <w:rPr>
          <w:rFonts w:hint="eastAsia"/>
        </w:rPr>
        <w:t>科学技术行政部门在安排科技经费时，应当对中医项目给予重点支持。</w:t>
      </w:r>
    </w:p>
    <w:p w14:paraId="2A612B53">
      <w:pPr>
        <w:ind w:firstLine="422"/>
      </w:pPr>
      <w:r>
        <w:rPr>
          <w:rFonts w:hint="eastAsia"/>
          <w:b/>
        </w:rPr>
        <w:t>第八条</w:t>
      </w:r>
      <w:r>
        <w:rPr>
          <w:rFonts w:hint="eastAsia"/>
        </w:rPr>
        <w:t xml:space="preserve">  本市各级人民政府应当保护野生中草药资源，支持人工种植中草药和野生中草药代用品的研究与开发。</w:t>
      </w:r>
    </w:p>
    <w:p w14:paraId="3174FEF5">
      <w:pPr>
        <w:ind w:firstLine="422"/>
      </w:pPr>
      <w:r>
        <w:rPr>
          <w:rFonts w:hint="eastAsia"/>
          <w:b/>
        </w:rPr>
        <w:t>第九条</w:t>
      </w:r>
      <w:r>
        <w:rPr>
          <w:rFonts w:hint="eastAsia"/>
        </w:rPr>
        <w:t xml:space="preserve">  鼓励利用境外资金，通过合资、合作等多种形式，发展中医事业。</w:t>
      </w:r>
    </w:p>
    <w:p w14:paraId="2E8A39D2">
      <w:r>
        <w:rPr>
          <w:rFonts w:hint="eastAsia"/>
        </w:rPr>
        <w:t>境内外的组织和个人通过捐赠、资助或者其他方式扶持中医事业的发展，享受国家规定的有关优惠政策。</w:t>
      </w:r>
    </w:p>
    <w:p w14:paraId="19640340">
      <w:r>
        <w:rPr>
          <w:rFonts w:hint="eastAsia"/>
        </w:rPr>
        <w:t>鼓励医疗机构和具有中医执业资格的公民到境外开展中医医疗活动以及其他形式的国际合作与交流。</w:t>
      </w:r>
    </w:p>
    <w:p w14:paraId="302C3081">
      <w:pPr>
        <w:ind w:firstLine="422"/>
      </w:pPr>
      <w:r>
        <w:rPr>
          <w:rFonts w:hint="eastAsia"/>
          <w:b/>
        </w:rPr>
        <w:t>第十条</w:t>
      </w:r>
      <w:r>
        <w:rPr>
          <w:rFonts w:hint="eastAsia"/>
        </w:rPr>
        <w:t xml:space="preserve">  参加本市基本医疗保险的人员除按照规定数量选择定点医疗机构外，还可以任意选择定点中医医疗机构就诊。中医诊疗技术应当纳入基本医疗保险诊疗项目目录的评选范围；定点医疗机构配制的中药制剂经有关部门批准，可以在指定的医疗机构之间调剂使用，并应当纳入基本医疗保险药品目录的评选范围。</w:t>
      </w:r>
    </w:p>
    <w:p w14:paraId="3FF1736F">
      <w:pPr>
        <w:ind w:firstLine="422"/>
      </w:pPr>
      <w:r>
        <w:rPr>
          <w:rFonts w:hint="eastAsia"/>
          <w:b/>
        </w:rPr>
        <w:t>第十一条</w:t>
      </w:r>
      <w:r>
        <w:rPr>
          <w:rFonts w:hint="eastAsia"/>
        </w:rPr>
        <w:t xml:space="preserve">  医疗机构应当积极推行价格低廉、疗效显著的中医诊疗技术。</w:t>
      </w:r>
    </w:p>
    <w:p w14:paraId="7DF3953C">
      <w:r>
        <w:rPr>
          <w:rFonts w:hint="eastAsia"/>
        </w:rPr>
        <w:t>参加本市基本医疗保险的人员，选用列入基本医疗保险诊疗项目目录的部分中医诊疗技术，可以享受优惠政策。具体办法由市劳动和社会保障行政部门与市中医行政管理部门另行制定。</w:t>
      </w:r>
    </w:p>
    <w:p w14:paraId="175462EE">
      <w:pPr>
        <w:ind w:firstLine="422"/>
      </w:pPr>
      <w:r>
        <w:rPr>
          <w:rFonts w:hint="eastAsia"/>
          <w:b/>
        </w:rPr>
        <w:t>第十二条</w:t>
      </w:r>
      <w:r>
        <w:rPr>
          <w:rFonts w:hint="eastAsia"/>
        </w:rPr>
        <w:t xml:space="preserve">  中医技术服务收费标准的确定，应当考虑中医特色，体现中医技术价值。</w:t>
      </w:r>
    </w:p>
    <w:p w14:paraId="29DCBA86"/>
    <w:p w14:paraId="0E6A19C8">
      <w:pPr>
        <w:ind w:firstLine="0" w:firstLineChars="0"/>
        <w:jc w:val="center"/>
        <w:rPr>
          <w:b/>
        </w:rPr>
      </w:pPr>
      <w:r>
        <w:rPr>
          <w:rFonts w:hint="eastAsia"/>
          <w:b/>
          <w:sz w:val="28"/>
        </w:rPr>
        <w:t>第三章  中医医疗机构和医疗服务</w:t>
      </w:r>
    </w:p>
    <w:p w14:paraId="7A513464"/>
    <w:p w14:paraId="24657889">
      <w:pPr>
        <w:ind w:firstLine="422"/>
      </w:pPr>
      <w:r>
        <w:rPr>
          <w:rFonts w:hint="eastAsia"/>
          <w:b/>
        </w:rPr>
        <w:t>第十三条</w:t>
      </w:r>
      <w:r>
        <w:rPr>
          <w:rFonts w:hint="eastAsia"/>
        </w:rPr>
        <w:t xml:space="preserve">  本市各级人民政府应当根据人民群众对中医的需求，调整、完善中医医疗机构的布局。</w:t>
      </w:r>
    </w:p>
    <w:p w14:paraId="486C6B58">
      <w:r>
        <w:rPr>
          <w:rFonts w:hint="eastAsia"/>
        </w:rPr>
        <w:t>每个区、县至少应当有一所非营利性中医医疗机构。综合医院应当加强中医科、室建设，乡、镇卫生院应当建立和完善中医科、室。</w:t>
      </w:r>
    </w:p>
    <w:p w14:paraId="60942721">
      <w:r>
        <w:rPr>
          <w:rFonts w:hint="eastAsia"/>
        </w:rPr>
        <w:t>在医疗机构合并、合作过程中，应当充分利用中医资源，发挥中医作用。</w:t>
      </w:r>
    </w:p>
    <w:p w14:paraId="5B9F7AD8">
      <w:pPr>
        <w:ind w:firstLine="422"/>
      </w:pPr>
      <w:r>
        <w:rPr>
          <w:rFonts w:hint="eastAsia"/>
          <w:b/>
        </w:rPr>
        <w:t>第十四条</w:t>
      </w:r>
      <w:r>
        <w:rPr>
          <w:rFonts w:hint="eastAsia"/>
        </w:rPr>
        <w:t xml:space="preserve">  鼓励公民、法人和其他组织依法设立合作、合资和其他形式的中医医疗机构。</w:t>
      </w:r>
    </w:p>
    <w:p w14:paraId="0A75B82B">
      <w:r>
        <w:rPr>
          <w:rFonts w:hint="eastAsia"/>
        </w:rPr>
        <w:t>鼓励有长期临床实践经验的中医人员个体开业行医，依法从事相关的诊疗活动。</w:t>
      </w:r>
    </w:p>
    <w:p w14:paraId="574827D3">
      <w:pPr>
        <w:ind w:firstLine="422"/>
      </w:pPr>
      <w:r>
        <w:rPr>
          <w:rFonts w:hint="eastAsia"/>
          <w:b/>
        </w:rPr>
        <w:t>第十五条</w:t>
      </w:r>
      <w:r>
        <w:rPr>
          <w:rFonts w:hint="eastAsia"/>
        </w:rPr>
        <w:t xml:space="preserve">  中医医疗机构应当坚持以中医为主体的服务方向，加强特色专科建设，发挥中医药诊治疾病的优势，提高医疗技术水平和综合服务能力。</w:t>
      </w:r>
    </w:p>
    <w:p w14:paraId="051C47E9">
      <w:pPr>
        <w:ind w:firstLine="422"/>
      </w:pPr>
      <w:r>
        <w:rPr>
          <w:rFonts w:hint="eastAsia"/>
          <w:b/>
        </w:rPr>
        <w:t>第十六条</w:t>
      </w:r>
      <w:r>
        <w:rPr>
          <w:rFonts w:hint="eastAsia"/>
        </w:rPr>
        <w:t xml:space="preserve">  中医医疗机构应当加强对中医药人员的业务培训和职业道德教育，严格执行有关规章制度和操作规程。</w:t>
      </w:r>
    </w:p>
    <w:p w14:paraId="04C2CD0A">
      <w:r>
        <w:rPr>
          <w:rFonts w:hint="eastAsia"/>
        </w:rPr>
        <w:t>中医药人员应当遵守职业道德规范，弘扬高尚的医德医风，提高服务质量和业务水平。</w:t>
      </w:r>
    </w:p>
    <w:p w14:paraId="6FC20D8A">
      <w:pPr>
        <w:ind w:firstLine="422"/>
      </w:pPr>
      <w:r>
        <w:rPr>
          <w:rFonts w:hint="eastAsia"/>
          <w:b/>
        </w:rPr>
        <w:t>第十七条</w:t>
      </w:r>
      <w:r>
        <w:rPr>
          <w:rFonts w:hint="eastAsia"/>
        </w:rPr>
        <w:t xml:space="preserve">  社区卫生服务应当引入中医诊疗技术，为人民群众提供中医医疗、预防、保健、康复等综合服务。</w:t>
      </w:r>
    </w:p>
    <w:p w14:paraId="0E120C1C">
      <w:pPr>
        <w:ind w:firstLine="422"/>
      </w:pPr>
      <w:r>
        <w:rPr>
          <w:rFonts w:hint="eastAsia"/>
          <w:b/>
        </w:rPr>
        <w:t>第十八条</w:t>
      </w:r>
      <w:r>
        <w:rPr>
          <w:rFonts w:hint="eastAsia"/>
        </w:rPr>
        <w:t xml:space="preserve">  农村防病、治病工作应当注意发挥中医的优势和作用。</w:t>
      </w:r>
    </w:p>
    <w:p w14:paraId="436E6A2B">
      <w:r>
        <w:rPr>
          <w:rFonts w:hint="eastAsia"/>
        </w:rPr>
        <w:t>加强对乡村医生中医理论和诊疗技术的培训，提高乡村医生的中医诊疗水平。</w:t>
      </w:r>
    </w:p>
    <w:p w14:paraId="186ECE12">
      <w:r>
        <w:rPr>
          <w:rFonts w:hint="eastAsia"/>
        </w:rPr>
        <w:t>鼓励城镇中医药人员和医学院校中医药专业毕业生到农村工作或者开展多种形式的中医技术协作，推动农村中医事业的发展。</w:t>
      </w:r>
    </w:p>
    <w:p w14:paraId="6719E103"/>
    <w:p w14:paraId="409A58D2">
      <w:pPr>
        <w:ind w:firstLine="0" w:firstLineChars="0"/>
        <w:jc w:val="center"/>
        <w:rPr>
          <w:b/>
          <w:sz w:val="28"/>
        </w:rPr>
      </w:pPr>
      <w:r>
        <w:rPr>
          <w:rFonts w:hint="eastAsia"/>
          <w:b/>
          <w:sz w:val="28"/>
        </w:rPr>
        <w:t>第四章  教育与科研</w:t>
      </w:r>
    </w:p>
    <w:p w14:paraId="55B77047"/>
    <w:p w14:paraId="206531C0">
      <w:pPr>
        <w:ind w:firstLine="422"/>
      </w:pPr>
      <w:r>
        <w:rPr>
          <w:rFonts w:hint="eastAsia"/>
          <w:b/>
        </w:rPr>
        <w:t>第十九条</w:t>
      </w:r>
      <w:r>
        <w:rPr>
          <w:rFonts w:hint="eastAsia"/>
        </w:rPr>
        <w:t xml:space="preserve">  鼓励多渠道、多形式发展中医药教育，加快建立、健全规模适宜、专业适当、结构合理的中医药教育体系，并且建立与之相应的临床教学基地。</w:t>
      </w:r>
    </w:p>
    <w:p w14:paraId="4803BA35">
      <w:pPr>
        <w:ind w:firstLine="422"/>
      </w:pPr>
      <w:r>
        <w:rPr>
          <w:rFonts w:hint="eastAsia"/>
          <w:b/>
        </w:rPr>
        <w:t>第二十条</w:t>
      </w:r>
      <w:r>
        <w:rPr>
          <w:rFonts w:hint="eastAsia"/>
        </w:rPr>
        <w:t xml:space="preserve">  市中医行政管理部门应当根据中医事业发展的需要，制定中医药人才培养规划，重视培养中医药学科带头人和中青年业务骨干。</w:t>
      </w:r>
    </w:p>
    <w:p w14:paraId="3C2AA624">
      <w:pPr>
        <w:ind w:firstLine="422"/>
      </w:pPr>
      <w:r>
        <w:rPr>
          <w:rFonts w:hint="eastAsia"/>
          <w:b/>
        </w:rPr>
        <w:t>第二十一条</w:t>
      </w:r>
      <w:r>
        <w:rPr>
          <w:rFonts w:hint="eastAsia"/>
        </w:rPr>
        <w:t xml:space="preserve">  中医药高等院校应当加强中医药基础理论教育，重视中医临床教学；其他医学高等院校应当设置中医药基础理论和基本技能课程。</w:t>
      </w:r>
    </w:p>
    <w:p w14:paraId="7B79F457">
      <w:r>
        <w:rPr>
          <w:rFonts w:hint="eastAsia"/>
        </w:rPr>
        <w:t>鼓励医学高等院校和有关科研院所有计划地培养中医或者中西医结合学科高层次人才。</w:t>
      </w:r>
    </w:p>
    <w:p w14:paraId="3AE85A8F">
      <w:pPr>
        <w:ind w:firstLine="422"/>
      </w:pPr>
      <w:r>
        <w:rPr>
          <w:rFonts w:hint="eastAsia"/>
          <w:b/>
        </w:rPr>
        <w:t>第二十二条</w:t>
      </w:r>
      <w:r>
        <w:rPr>
          <w:rFonts w:hint="eastAsia"/>
        </w:rPr>
        <w:t xml:space="preserve">  市中医行政管理部门和中医医疗机构应当依法对中医药人员进行继续教育，对全科医生、乡村医生进行继续教育，应当安排一定比例的中医教学内容。</w:t>
      </w:r>
    </w:p>
    <w:p w14:paraId="4081ECF7">
      <w:r>
        <w:rPr>
          <w:rFonts w:hint="eastAsia"/>
        </w:rPr>
        <w:t>中医药人员应当学习运用现代科学技术，促进中医药学的继承和发展；鼓励西医和其他相关学科人员学习研究中医理论和诊疗技术。</w:t>
      </w:r>
    </w:p>
    <w:p w14:paraId="1E659E6D">
      <w:pPr>
        <w:ind w:firstLine="422"/>
      </w:pPr>
      <w:r>
        <w:rPr>
          <w:rFonts w:hint="eastAsia"/>
          <w:b/>
        </w:rPr>
        <w:t>第二十三条</w:t>
      </w:r>
      <w:r>
        <w:rPr>
          <w:rFonts w:hint="eastAsia"/>
        </w:rPr>
        <w:t xml:space="preserve">  尊重和保护名中医药专家。</w:t>
      </w:r>
    </w:p>
    <w:p w14:paraId="03D1ADEB">
      <w:r>
        <w:rPr>
          <w:rFonts w:hint="eastAsia"/>
        </w:rPr>
        <w:t>鼓励具有较高学术水平和丰富临床经验的名中医药专家带徒授业，开展师承教育。鼓励高等医药院校毕业生或者优秀中青年中医药人员总结和继承名中医药专家的学术思想和临床经验。具体实施办法，由市中医行政管理部门会同市人事部门另行制定。</w:t>
      </w:r>
    </w:p>
    <w:p w14:paraId="7CE3C2F8">
      <w:pPr>
        <w:ind w:firstLine="422"/>
      </w:pPr>
      <w:r>
        <w:rPr>
          <w:rFonts w:hint="eastAsia"/>
          <w:b/>
        </w:rPr>
        <w:t>第二十四条</w:t>
      </w:r>
      <w:r>
        <w:rPr>
          <w:rFonts w:hint="eastAsia"/>
        </w:rPr>
        <w:t xml:space="preserve">  市中医行政管理部门应当会同市科学技术行政部门制定本市中医科学技术研究发展规划，加强中医科研机构和重点学科的建设，做好中医药科技情报和信息工作。支持开展中医药理论研究、临床研究和技术创新，促进中医药科技成果的转化和推广。</w:t>
      </w:r>
    </w:p>
    <w:p w14:paraId="09200F98">
      <w:pPr>
        <w:ind w:firstLine="422"/>
      </w:pPr>
      <w:r>
        <w:rPr>
          <w:rFonts w:hint="eastAsia"/>
          <w:b/>
        </w:rPr>
        <w:t>第二十五条</w:t>
      </w:r>
      <w:r>
        <w:rPr>
          <w:rFonts w:hint="eastAsia"/>
        </w:rPr>
        <w:t xml:space="preserve">  依法保护中医药知识产权。</w:t>
      </w:r>
    </w:p>
    <w:p w14:paraId="2A172230">
      <w:r>
        <w:rPr>
          <w:rFonts w:hint="eastAsia"/>
        </w:rPr>
        <w:t>有关部门应当为中医药专利、商标注册申请人及时办理专利申请和商标注册。</w:t>
      </w:r>
    </w:p>
    <w:p w14:paraId="3883CAFA">
      <w:r>
        <w:rPr>
          <w:rFonts w:hint="eastAsia"/>
        </w:rPr>
        <w:t>公民、法人和其他组织可以以中医秘方、验方、专门技术和科研成果等智力要素作价出资，参与分配。</w:t>
      </w:r>
    </w:p>
    <w:p w14:paraId="41024E1D">
      <w:pPr>
        <w:ind w:firstLine="422"/>
      </w:pPr>
      <w:r>
        <w:rPr>
          <w:rFonts w:hint="eastAsia"/>
          <w:b/>
        </w:rPr>
        <w:t>第二十六条</w:t>
      </w:r>
      <w:r>
        <w:rPr>
          <w:rFonts w:hint="eastAsia"/>
        </w:rPr>
        <w:t xml:space="preserve">  市中医行政管理部门应当会同有关部门做好中医药资源的开发、挖掘、整理和保护工作；鼓励捐献有价值的中医药文献和有独特疗效的民间中医诊疗技术和方药。</w:t>
      </w:r>
    </w:p>
    <w:p w14:paraId="15448869">
      <w:r>
        <w:rPr>
          <w:rFonts w:hint="eastAsia"/>
        </w:rPr>
        <w:t>卫生、财政、科学技术等行政主管部门应当从资金或者其他方面资助有较高学术价值的中医药著作出版。</w:t>
      </w:r>
    </w:p>
    <w:p w14:paraId="5A05D4C3">
      <w:pPr>
        <w:ind w:firstLine="422"/>
      </w:pPr>
      <w:r>
        <w:rPr>
          <w:rFonts w:hint="eastAsia"/>
          <w:b/>
        </w:rPr>
        <w:t>第二十七条</w:t>
      </w:r>
      <w:r>
        <w:rPr>
          <w:rFonts w:hint="eastAsia"/>
        </w:rPr>
        <w:t xml:space="preserve">  中医药学术团体应当有计划地开展学术交流，组织中医药咨询服务，宣传中医药知识，组织或者协助有关部门开展中医药人员在职培训和继续教育等活动。</w:t>
      </w:r>
    </w:p>
    <w:p w14:paraId="19E44F82"/>
    <w:p w14:paraId="3B4EB29B">
      <w:pPr>
        <w:ind w:firstLine="0" w:firstLineChars="0"/>
        <w:jc w:val="center"/>
        <w:rPr>
          <w:b/>
          <w:sz w:val="28"/>
        </w:rPr>
      </w:pPr>
      <w:r>
        <w:rPr>
          <w:rFonts w:hint="eastAsia"/>
          <w:b/>
          <w:sz w:val="28"/>
        </w:rPr>
        <w:t>第五章  监督管理</w:t>
      </w:r>
    </w:p>
    <w:p w14:paraId="7DC650B1"/>
    <w:p w14:paraId="4891A034">
      <w:pPr>
        <w:ind w:firstLine="422"/>
      </w:pPr>
      <w:r>
        <w:rPr>
          <w:rFonts w:hint="eastAsia"/>
          <w:b/>
        </w:rPr>
        <w:t>第二十八条</w:t>
      </w:r>
      <w:r>
        <w:rPr>
          <w:rFonts w:hint="eastAsia"/>
        </w:rPr>
        <w:t xml:space="preserve">  设置中医医疗机构，应当按照《医疗机构管理条例》的有关规定进行审批、执业登记。市中医行政管理部门和区、县卫生行政部门对中医医疗机构执业活动进行检查、指导。</w:t>
      </w:r>
    </w:p>
    <w:p w14:paraId="025EAD28">
      <w:r>
        <w:rPr>
          <w:rFonts w:hint="eastAsia"/>
        </w:rPr>
        <w:t>非营利性中医医疗机构撤销、合并或者改变中医医疗性质的，应当经原批准部门同意。其中，经区、县卫生行政部门批准设置的中医医疗机构撤销、合并或者改变中医医疗性质还应当报市中医行政管理部门备案。</w:t>
      </w:r>
    </w:p>
    <w:p w14:paraId="160D0619">
      <w:pPr>
        <w:ind w:firstLine="422"/>
      </w:pPr>
      <w:r>
        <w:rPr>
          <w:rFonts w:hint="eastAsia"/>
          <w:b/>
        </w:rPr>
        <w:t>第二十九条</w:t>
      </w:r>
      <w:r>
        <w:rPr>
          <w:rFonts w:hint="eastAsia"/>
        </w:rPr>
        <w:t xml:space="preserve">  中医医师资格认定、执业登记注册以及传统医学师承和确有专长人员申请参加医师资格考试的资格评价和认定，按照《中华人民共和国执业医师法》及有关规定办理。</w:t>
      </w:r>
    </w:p>
    <w:p w14:paraId="6ACD80D8">
      <w:pPr>
        <w:ind w:firstLine="422"/>
      </w:pPr>
      <w:r>
        <w:rPr>
          <w:rFonts w:hint="eastAsia"/>
          <w:b/>
        </w:rPr>
        <w:t>第三十条</w:t>
      </w:r>
      <w:r>
        <w:rPr>
          <w:rFonts w:hint="eastAsia"/>
        </w:rPr>
        <w:t xml:space="preserve">  下列工作应当以中医专家为主进行：</w:t>
      </w:r>
    </w:p>
    <w:p w14:paraId="318543B0">
      <w:r>
        <w:rPr>
          <w:rFonts w:hint="eastAsia"/>
        </w:rPr>
        <w:t>（一）中医科研课题立项和成果鉴定；</w:t>
      </w:r>
    </w:p>
    <w:p w14:paraId="4C74B065">
      <w:r>
        <w:rPr>
          <w:rFonts w:hint="eastAsia"/>
        </w:rPr>
        <w:t>（二）中医专业技术职称资格评审；</w:t>
      </w:r>
    </w:p>
    <w:p w14:paraId="22236993">
      <w:r>
        <w:rPr>
          <w:rFonts w:hint="eastAsia"/>
        </w:rPr>
        <w:t>（三）中医医疗、教育和科研机构的评审、评估；</w:t>
      </w:r>
    </w:p>
    <w:p w14:paraId="66823865">
      <w:r>
        <w:rPr>
          <w:rFonts w:hint="eastAsia"/>
        </w:rPr>
        <w:t>（四）中医医疗事故技术鉴定。</w:t>
      </w:r>
    </w:p>
    <w:p w14:paraId="659B0248">
      <w:pPr>
        <w:ind w:firstLine="422"/>
      </w:pPr>
      <w:r>
        <w:rPr>
          <w:rFonts w:hint="eastAsia"/>
          <w:b/>
        </w:rPr>
        <w:t>第三十一条</w:t>
      </w:r>
      <w:r>
        <w:rPr>
          <w:rFonts w:hint="eastAsia"/>
        </w:rPr>
        <w:t xml:space="preserve">  中医医疗广告的内容应当真实、合法。</w:t>
      </w:r>
    </w:p>
    <w:p w14:paraId="0CE5BEC7">
      <w:r>
        <w:rPr>
          <w:rFonts w:hint="eastAsia"/>
        </w:rPr>
        <w:t>本市工商行政管理部门是中医医疗广告的监督管理机关。</w:t>
      </w:r>
    </w:p>
    <w:p w14:paraId="4AB259D6">
      <w:r>
        <w:rPr>
          <w:rFonts w:hint="eastAsia"/>
        </w:rPr>
        <w:t>发布中医医疗广告应当由市中医行政管理部门出具中医疗广告证明。广告经营者、发布者不得设计、制作、代理、发布未取得中医医疗广告证明或者与中医医疗广告证明核定内容不相符的中医医疗广告。</w:t>
      </w:r>
    </w:p>
    <w:p w14:paraId="6EE75DA1">
      <w:pPr>
        <w:ind w:firstLine="422"/>
      </w:pPr>
      <w:r>
        <w:rPr>
          <w:rFonts w:hint="eastAsia"/>
          <w:b/>
        </w:rPr>
        <w:t>第三十二条</w:t>
      </w:r>
      <w:r>
        <w:rPr>
          <w:rFonts w:hint="eastAsia"/>
        </w:rPr>
        <w:t xml:space="preserve">  中医事业经费和中医专项经费应当专款专用，禁止挪用、截留。</w:t>
      </w:r>
    </w:p>
    <w:p w14:paraId="6D76BD1D">
      <w:pPr>
        <w:ind w:firstLine="422"/>
      </w:pPr>
      <w:r>
        <w:rPr>
          <w:rFonts w:hint="eastAsia"/>
          <w:b/>
        </w:rPr>
        <w:t>第三十三条</w:t>
      </w:r>
      <w:r>
        <w:rPr>
          <w:rFonts w:hint="eastAsia"/>
        </w:rPr>
        <w:t xml:space="preserve">  市中医行政管理部门应当促进中医行业组织的建设，指导中医行业组织的活动。</w:t>
      </w:r>
    </w:p>
    <w:p w14:paraId="48D96DBB">
      <w:r>
        <w:rPr>
          <w:rFonts w:hint="eastAsia"/>
        </w:rPr>
        <w:t>中医行业组织应当按照其章程实行自律管理，维护自身的合法权益，促进中医事业发展。</w:t>
      </w:r>
    </w:p>
    <w:p w14:paraId="04EF51BF"/>
    <w:p w14:paraId="6B3E37A2">
      <w:pPr>
        <w:ind w:firstLine="0" w:firstLineChars="0"/>
        <w:jc w:val="center"/>
        <w:rPr>
          <w:b/>
          <w:sz w:val="28"/>
        </w:rPr>
      </w:pPr>
      <w:r>
        <w:rPr>
          <w:rFonts w:hint="eastAsia"/>
          <w:b/>
          <w:sz w:val="28"/>
        </w:rPr>
        <w:t>第六章  法律责任</w:t>
      </w:r>
    </w:p>
    <w:p w14:paraId="3EC8A558"/>
    <w:p w14:paraId="4166C411">
      <w:pPr>
        <w:ind w:firstLine="422"/>
      </w:pPr>
      <w:r>
        <w:rPr>
          <w:rFonts w:hint="eastAsia"/>
          <w:b/>
        </w:rPr>
        <w:t>第三十四条</w:t>
      </w:r>
      <w:r>
        <w:rPr>
          <w:rFonts w:hint="eastAsia"/>
        </w:rPr>
        <w:t xml:space="preserve">  违反本条例第二十八条第一款规定，未经批准擅自开办中医医疗机构行医或者非医师行医的，由市中医行政管理部门或者区、县卫生行政部门予以取缔，没收其违法所得及其药品、器械，并处</w:t>
      </w:r>
      <w:r>
        <w:rPr>
          <w:rFonts w:hint="eastAsia" w:ascii="宋体" w:hAnsi="宋体" w:eastAsia="宋体" w:cs="宋体"/>
        </w:rPr>
        <w:t>10</w:t>
      </w:r>
      <w:r>
        <w:rPr>
          <w:rFonts w:hint="eastAsia"/>
        </w:rPr>
        <w:t>万元以下罚款，对医师吊销其执业证书；给患者造成损害的，依法承担赔偿责任；构成犯罪的，依法追究刑事责任。</w:t>
      </w:r>
    </w:p>
    <w:p w14:paraId="6985BE9F">
      <w:pPr>
        <w:ind w:firstLine="422"/>
      </w:pPr>
      <w:r>
        <w:rPr>
          <w:rFonts w:hint="eastAsia"/>
          <w:b/>
        </w:rPr>
        <w:t>第三十五条</w:t>
      </w:r>
      <w:r>
        <w:rPr>
          <w:rFonts w:hint="eastAsia"/>
        </w:rPr>
        <w:t xml:space="preserve">  违反本条例第三十一条规定，未经批准擅自发布中医医疗广告，或者发布的广告内容与批准的广告内容不符的，由工商行政管理部门依据《中华人民共和国广告法》的有关规定，对负有责任的广告主、广告发布者、广告经营者予以处罚。</w:t>
      </w:r>
    </w:p>
    <w:p w14:paraId="7F9E2BBB">
      <w:pPr>
        <w:ind w:firstLine="422"/>
      </w:pPr>
      <w:r>
        <w:rPr>
          <w:rFonts w:hint="eastAsia"/>
          <w:b/>
        </w:rPr>
        <w:t>第三十六条</w:t>
      </w:r>
      <w:r>
        <w:rPr>
          <w:rFonts w:hint="eastAsia"/>
        </w:rPr>
        <w:t xml:space="preserve">  违反本条例第三十二条规定，挪用、截留中医事业经费或者中医专项经费的，由上级行政机关责令限期归还，对直接责任人由其所在单位或者上级主管部门给予行政处分；构成犯罪的，依法追究刑事责任。</w:t>
      </w:r>
    </w:p>
    <w:p w14:paraId="2686477E">
      <w:pPr>
        <w:ind w:firstLine="422"/>
      </w:pPr>
      <w:r>
        <w:rPr>
          <w:rFonts w:hint="eastAsia"/>
          <w:b/>
        </w:rPr>
        <w:t>第三十七条</w:t>
      </w:r>
      <w:r>
        <w:rPr>
          <w:rFonts w:hint="eastAsia"/>
        </w:rPr>
        <w:t xml:space="preserve">  市中医行政管理部门或者卫生行政部门工作人员有下列行为之一的，依法给予行政处分；构成犯罪的，依法追究刑事责任：</w:t>
      </w:r>
    </w:p>
    <w:p w14:paraId="6B7100BA">
      <w:bookmarkStart w:id="2390" w:name="_Toc428780662"/>
      <w:r>
        <w:rPr>
          <w:rFonts w:hint="eastAsia"/>
        </w:rPr>
        <w:t>（一）批准不符合条件的单位或者个人开办中医医疗机构的；</w:t>
      </w:r>
      <w:bookmarkEnd w:id="2390"/>
    </w:p>
    <w:p w14:paraId="4C848276">
      <w:r>
        <w:rPr>
          <w:rFonts w:hint="eastAsia"/>
        </w:rPr>
        <w:t>（二）出具虚假中医医疗广告证明的；</w:t>
      </w:r>
    </w:p>
    <w:p w14:paraId="3B67FBE9">
      <w:r>
        <w:rPr>
          <w:rFonts w:hint="eastAsia"/>
        </w:rPr>
        <w:t>（三）其他玩忽职守、滥用职权、徇私舞弊的。</w:t>
      </w:r>
    </w:p>
    <w:p w14:paraId="619502E6"/>
    <w:p w14:paraId="36701845">
      <w:pPr>
        <w:ind w:firstLine="0" w:firstLineChars="0"/>
        <w:jc w:val="center"/>
        <w:rPr>
          <w:b/>
          <w:sz w:val="28"/>
        </w:rPr>
      </w:pPr>
      <w:r>
        <w:rPr>
          <w:rFonts w:hint="eastAsia"/>
          <w:b/>
          <w:sz w:val="28"/>
        </w:rPr>
        <w:t>第七章  附  则</w:t>
      </w:r>
    </w:p>
    <w:p w14:paraId="18CE1E2B"/>
    <w:p w14:paraId="1B465729">
      <w:pPr>
        <w:ind w:firstLine="422"/>
      </w:pPr>
      <w:r>
        <w:rPr>
          <w:rFonts w:hint="eastAsia"/>
          <w:b/>
        </w:rPr>
        <w:t>第三十八条</w:t>
      </w:r>
      <w:r>
        <w:rPr>
          <w:rFonts w:hint="eastAsia"/>
        </w:rPr>
        <w:t xml:space="preserve">  本条例自</w:t>
      </w:r>
      <w:r>
        <w:rPr>
          <w:rFonts w:hint="eastAsia" w:ascii="宋体" w:hAnsi="宋体" w:eastAsia="宋体" w:cs="宋体"/>
        </w:rPr>
        <w:t>2001年10月1日</w:t>
      </w:r>
      <w:r>
        <w:rPr>
          <w:rFonts w:hint="eastAsia"/>
        </w:rPr>
        <w:t>起施行。</w:t>
      </w:r>
    </w:p>
    <w:p w14:paraId="1D306036">
      <w:pPr>
        <w:pStyle w:val="4"/>
        <w:pageBreakBefore/>
      </w:pPr>
      <w:bookmarkStart w:id="2391" w:name="_Toc426467119"/>
      <w:bookmarkStart w:id="2392" w:name="_Toc428780663"/>
      <w:bookmarkStart w:id="2393" w:name="_Toc428781867"/>
      <w:r>
        <w:rPr>
          <w:rFonts w:hint="eastAsia"/>
        </w:rPr>
        <w:t>北京市人口与计划生育条例</w:t>
      </w:r>
      <w:bookmarkEnd w:id="2391"/>
      <w:bookmarkEnd w:id="2392"/>
      <w:bookmarkEnd w:id="2393"/>
    </w:p>
    <w:p w14:paraId="2C983AB3">
      <w:pPr>
        <w:ind w:left="630" w:leftChars="300" w:right="630" w:rightChars="300"/>
        <w:rPr>
          <w:rFonts w:ascii="楷体" w:hAnsi="楷体" w:eastAsia="楷体"/>
        </w:rPr>
      </w:pPr>
      <w:r>
        <w:rPr>
          <w:rFonts w:hint="eastAsia" w:ascii="楷体" w:hAnsi="楷体" w:eastAsia="楷体"/>
        </w:rPr>
        <w:t>（2003年7月18日北京市第十二届人民代表大会常务委员会第五次会议通过　根据2014年2月21日北京市第十四届人民代表大会常务委员会第九次会议通过的《北京市人口与计划生育条例修正案》修正）</w:t>
      </w:r>
    </w:p>
    <w:p w14:paraId="0236F985"/>
    <w:p w14:paraId="7C7AD532">
      <w:pPr>
        <w:ind w:firstLine="0" w:firstLineChars="0"/>
        <w:jc w:val="center"/>
        <w:rPr>
          <w:b/>
          <w:sz w:val="28"/>
        </w:rPr>
      </w:pPr>
      <w:r>
        <w:rPr>
          <w:rFonts w:hint="eastAsia"/>
          <w:b/>
          <w:sz w:val="28"/>
        </w:rPr>
        <w:t>第一章  总  则</w:t>
      </w:r>
    </w:p>
    <w:p w14:paraId="7EB74A80"/>
    <w:p w14:paraId="4007F90B">
      <w:pPr>
        <w:ind w:firstLine="422"/>
      </w:pPr>
      <w:r>
        <w:rPr>
          <w:rFonts w:hint="eastAsia"/>
          <w:b/>
        </w:rPr>
        <w:t>第一条</w:t>
      </w:r>
      <w:r>
        <w:rPr>
          <w:rFonts w:hint="eastAsia"/>
        </w:rPr>
        <w:t xml:space="preserve">  为了实施《中华人民共和国人口与计划生育法》，结合本市实际情况，制定本条例。</w:t>
      </w:r>
    </w:p>
    <w:p w14:paraId="4641DB39">
      <w:pPr>
        <w:ind w:firstLine="422"/>
      </w:pPr>
      <w:r>
        <w:rPr>
          <w:rFonts w:hint="eastAsia"/>
          <w:b/>
        </w:rPr>
        <w:t>第二条</w:t>
      </w:r>
      <w:r>
        <w:rPr>
          <w:rFonts w:hint="eastAsia"/>
        </w:rPr>
        <w:t xml:space="preserve">  本市各级人民政府应当采取综合措施，控制人口数量，提高人口素质，改善人口结构和分布。</w:t>
      </w:r>
    </w:p>
    <w:p w14:paraId="0EFE0BBB">
      <w:pPr>
        <w:ind w:firstLine="422"/>
      </w:pPr>
      <w:r>
        <w:rPr>
          <w:rFonts w:hint="eastAsia"/>
          <w:b/>
        </w:rPr>
        <w:t>第三条</w:t>
      </w:r>
      <w:r>
        <w:rPr>
          <w:rFonts w:hint="eastAsia"/>
        </w:rPr>
        <w:t xml:space="preserve">  市和区、县人民政府领导本行政区域内的人口与计划生育工作。</w:t>
      </w:r>
    </w:p>
    <w:p w14:paraId="4971E24C">
      <w:r>
        <w:rPr>
          <w:rFonts w:hint="eastAsia"/>
        </w:rPr>
        <w:t>市和区、县计划生育行政部门负责本行政区域内的计划生育和与计划生育有关的人口工作。</w:t>
      </w:r>
    </w:p>
    <w:p w14:paraId="7F1B52A0">
      <w:r>
        <w:rPr>
          <w:rFonts w:hint="eastAsia"/>
        </w:rPr>
        <w:t>市和区、县人民政府其他有关部门在各自的职责范围内，负责有关的人口与计划生育工作。</w:t>
      </w:r>
    </w:p>
    <w:p w14:paraId="586CFE64">
      <w:r>
        <w:rPr>
          <w:rFonts w:hint="eastAsia"/>
        </w:rPr>
        <w:t>乡镇人民政府和街道办事处负责本辖区内的人口与计划生育工作。</w:t>
      </w:r>
    </w:p>
    <w:p w14:paraId="7A3EEF37">
      <w:pPr>
        <w:ind w:firstLine="422"/>
      </w:pPr>
      <w:r>
        <w:rPr>
          <w:rFonts w:hint="eastAsia"/>
          <w:b/>
        </w:rPr>
        <w:t>第四条</w:t>
      </w:r>
      <w:r>
        <w:rPr>
          <w:rFonts w:hint="eastAsia"/>
        </w:rPr>
        <w:t xml:space="preserve">  工会、共产主义青年团、妇女联合会以及计划生育协会等社会团体、企业事业组织和公民，应当协助本市各级人民政府开展人口与计划生育工作。</w:t>
      </w:r>
    </w:p>
    <w:p w14:paraId="76D0E96E">
      <w:r>
        <w:rPr>
          <w:rFonts w:hint="eastAsia"/>
        </w:rPr>
        <w:t>村民委员会、居民委员会应当依法做好计划生育工作。</w:t>
      </w:r>
    </w:p>
    <w:p w14:paraId="5673BE67">
      <w:pPr>
        <w:ind w:firstLine="422"/>
      </w:pPr>
      <w:r>
        <w:rPr>
          <w:rFonts w:hint="eastAsia"/>
          <w:b/>
        </w:rPr>
        <w:t>第五条</w:t>
      </w:r>
      <w:r>
        <w:rPr>
          <w:rFonts w:hint="eastAsia"/>
        </w:rPr>
        <w:t xml:space="preserve">  本市各级人民政府应当把人口与计划生育经费纳入财政预算，逐步提高人口与计划生育经费投入，保证人口与计划生育工作的开展。</w:t>
      </w:r>
    </w:p>
    <w:p w14:paraId="2C629DB9">
      <w:r>
        <w:rPr>
          <w:rFonts w:hint="eastAsia"/>
        </w:rPr>
        <w:t>任何单位和个人不得截留、克扣、挪用人口与计划生育工作费用。</w:t>
      </w:r>
    </w:p>
    <w:p w14:paraId="20C195B8">
      <w:pPr>
        <w:ind w:firstLine="422"/>
      </w:pPr>
      <w:r>
        <w:rPr>
          <w:rFonts w:hint="eastAsia"/>
          <w:b/>
        </w:rPr>
        <w:t>第六条</w:t>
      </w:r>
      <w:r>
        <w:rPr>
          <w:rFonts w:hint="eastAsia"/>
        </w:rPr>
        <w:t xml:space="preserve">  本市各级人民政府或者计划生育行政部门对在人口与计划生育工作中做出成绩的机关、社会团体、企业事业组织和公民给予表彰和奖励。</w:t>
      </w:r>
    </w:p>
    <w:p w14:paraId="1BF92518"/>
    <w:p w14:paraId="4306D761">
      <w:pPr>
        <w:ind w:firstLine="0" w:firstLineChars="0"/>
        <w:jc w:val="center"/>
        <w:rPr>
          <w:b/>
          <w:sz w:val="28"/>
        </w:rPr>
      </w:pPr>
      <w:r>
        <w:rPr>
          <w:rFonts w:hint="eastAsia"/>
          <w:b/>
          <w:sz w:val="28"/>
        </w:rPr>
        <w:t>第二章  人口规划与管理</w:t>
      </w:r>
    </w:p>
    <w:p w14:paraId="441E1DCA"/>
    <w:p w14:paraId="75EF0918">
      <w:pPr>
        <w:ind w:firstLine="422"/>
      </w:pPr>
      <w:r>
        <w:rPr>
          <w:rFonts w:hint="eastAsia"/>
          <w:b/>
        </w:rPr>
        <w:t>第七条</w:t>
      </w:r>
      <w:r>
        <w:rPr>
          <w:rFonts w:hint="eastAsia"/>
        </w:rPr>
        <w:t xml:space="preserve">  市和区、县人民政府应当根据上一级人民政府的人口发展规划，结合本地实际，编制本行政区域人口发展的中、长期规划，并将其纳入国民经济和社会发展计划。</w:t>
      </w:r>
    </w:p>
    <w:p w14:paraId="5F68B8F0">
      <w:pPr>
        <w:ind w:firstLine="422"/>
      </w:pPr>
      <w:r>
        <w:rPr>
          <w:rFonts w:hint="eastAsia"/>
          <w:b/>
        </w:rPr>
        <w:t>第八条</w:t>
      </w:r>
      <w:r>
        <w:rPr>
          <w:rFonts w:hint="eastAsia"/>
        </w:rPr>
        <w:t xml:space="preserve">  市和区、县人民政府应当根据人口发展的中、长期规划，制定本行政区域人口与计划生育实施方案并组织实施。</w:t>
      </w:r>
    </w:p>
    <w:p w14:paraId="5F3991D5">
      <w:r>
        <w:rPr>
          <w:rFonts w:hint="eastAsia"/>
        </w:rPr>
        <w:t>市和区、县计划生育行政部门负责本行政区域人口与计划生育实施方案的日常工作。</w:t>
      </w:r>
    </w:p>
    <w:p w14:paraId="5755146F">
      <w:r>
        <w:rPr>
          <w:rFonts w:hint="eastAsia"/>
        </w:rPr>
        <w:t>乡镇人民政府和街道办事处负责人口与计划生育实施方案在本辖区内的贯彻落实工作。</w:t>
      </w:r>
    </w:p>
    <w:p w14:paraId="1B3E1AFF">
      <w:pPr>
        <w:ind w:firstLine="422"/>
      </w:pPr>
      <w:r>
        <w:rPr>
          <w:rFonts w:hint="eastAsia"/>
          <w:b/>
        </w:rPr>
        <w:t>第九条</w:t>
      </w:r>
      <w:r>
        <w:rPr>
          <w:rFonts w:hint="eastAsia"/>
        </w:rPr>
        <w:t xml:space="preserve">  本市建立和完善有利于合理调控人口数量、人口年龄结构、人口分布的政策及制度，使人口状况与本市经济、社会发展水平和资源、环境的承载能力相适应。</w:t>
      </w:r>
    </w:p>
    <w:p w14:paraId="3AD73E86">
      <w:pPr>
        <w:ind w:firstLine="422"/>
      </w:pPr>
      <w:r>
        <w:rPr>
          <w:rFonts w:hint="eastAsia"/>
          <w:b/>
        </w:rPr>
        <w:t>第十条</w:t>
      </w:r>
      <w:r>
        <w:rPr>
          <w:rFonts w:hint="eastAsia"/>
        </w:rPr>
        <w:t xml:space="preserve">  市和区、县人民政府应当建立和完善人口与计划生育综合信息系统，负责人口与计划生育综合信息的汇集和管理工作，开展人口总量、人口结构、人口出生和死亡、人口迁移等人口变动和发展趋势的中、长期预测工作。</w:t>
      </w:r>
    </w:p>
    <w:p w14:paraId="2B9C2915">
      <w:r>
        <w:rPr>
          <w:rFonts w:hint="eastAsia"/>
        </w:rPr>
        <w:t>本市各级计划生育、公安、卫生、民政、统计、劳动和社会保障等行政部门应当建立信息通报制度，促进人口信息资源的综合开发和利用，实现人口信息共享。</w:t>
      </w:r>
    </w:p>
    <w:p w14:paraId="566B2CFF">
      <w:pPr>
        <w:ind w:firstLine="422"/>
      </w:pPr>
      <w:r>
        <w:rPr>
          <w:rFonts w:hint="eastAsia"/>
          <w:b/>
        </w:rPr>
        <w:t>第十一条</w:t>
      </w:r>
      <w:r>
        <w:rPr>
          <w:rFonts w:hint="eastAsia"/>
        </w:rPr>
        <w:t xml:space="preserve">  人口与计划生育工作实行目标管理责任制。上一级人民政府应当每年对下一级人民政府下达人口与计划生育目标管理责任，并对执行情况进行考核、评估和奖惩。</w:t>
      </w:r>
    </w:p>
    <w:p w14:paraId="01BBC80C">
      <w:r>
        <w:rPr>
          <w:rFonts w:hint="eastAsia"/>
        </w:rPr>
        <w:t>机关、社会团体、企业事业组织应当与计划生育行政部门签订计划生育责任书，接受计划生育行政部门的指导、监督、检查；其法定代表人或者负责人对本单位计划生育工作负主要责任。</w:t>
      </w:r>
    </w:p>
    <w:p w14:paraId="5EDE7CC8">
      <w:pPr>
        <w:ind w:firstLine="422"/>
      </w:pPr>
      <w:r>
        <w:rPr>
          <w:rFonts w:hint="eastAsia"/>
          <w:b/>
        </w:rPr>
        <w:t>第十二条</w:t>
      </w:r>
      <w:r>
        <w:rPr>
          <w:rFonts w:hint="eastAsia"/>
        </w:rPr>
        <w:t xml:space="preserve">  公安部门应当根据人口与计划生育工作的要求，做好户籍人口和流动人口的管理工作。</w:t>
      </w:r>
    </w:p>
    <w:p w14:paraId="31F432CB">
      <w:r>
        <w:rPr>
          <w:rFonts w:hint="eastAsia"/>
        </w:rPr>
        <w:t>民政部门应当配合计划生育行政部门在婚姻登记工作中做好宣传教育工作；将计划生育服务、管理纳入社区服务工作中。</w:t>
      </w:r>
    </w:p>
    <w:p w14:paraId="4B8872D9">
      <w:r>
        <w:rPr>
          <w:rFonts w:hint="eastAsia"/>
        </w:rPr>
        <w:t>卫生行政部门应当会同计划生育行政部门做好计划生育技术服务指导、质量监督及技术人员培训工作；按照国家规定开展生育、节育、不育、生殖保健知识的宣传；指导医疗、保健机构开展计划生育技术服务。</w:t>
      </w:r>
    </w:p>
    <w:p w14:paraId="0E549828">
      <w:r>
        <w:rPr>
          <w:rFonts w:hint="eastAsia"/>
        </w:rPr>
        <w:t>劳动和社会保障行政部门应当根据人口与计划生育工作的要求，制定相关的劳动就业和社会保障政策。</w:t>
      </w:r>
    </w:p>
    <w:p w14:paraId="4157B71E">
      <w:r>
        <w:rPr>
          <w:rFonts w:hint="eastAsia"/>
        </w:rPr>
        <w:t>农业行政部门应当在农村经济政策方面支持计划生育家庭发展经济。</w:t>
      </w:r>
    </w:p>
    <w:p w14:paraId="3FFFA649">
      <w:r>
        <w:rPr>
          <w:rFonts w:hint="eastAsia"/>
        </w:rPr>
        <w:t>教育行政部门应当指导学校以符合受教育者特征的适当方式，在学生中有计划地开展人口基础知识教育、青春期教育和性健康教育。</w:t>
      </w:r>
    </w:p>
    <w:p w14:paraId="5F052380">
      <w:r>
        <w:rPr>
          <w:rFonts w:hint="eastAsia"/>
        </w:rPr>
        <w:t>科技、文化、新闻出版、广播电视等行政部门应当组织开展人口与计划生育的宣传教育。</w:t>
      </w:r>
    </w:p>
    <w:p w14:paraId="72A487E2">
      <w:r>
        <w:rPr>
          <w:rFonts w:hint="eastAsia"/>
        </w:rPr>
        <w:t>大众传媒应当开展人口与计划生育的社会公益性宣传。</w:t>
      </w:r>
    </w:p>
    <w:p w14:paraId="16804761">
      <w:pPr>
        <w:ind w:firstLine="422"/>
      </w:pPr>
      <w:r>
        <w:rPr>
          <w:rFonts w:hint="eastAsia"/>
          <w:b/>
        </w:rPr>
        <w:t>第十三条</w:t>
      </w:r>
      <w:r>
        <w:rPr>
          <w:rFonts w:hint="eastAsia"/>
        </w:rPr>
        <w:t xml:space="preserve">  村（居）民委员会应当将人口与计划生育工作纳入村（居）规民约，积极开展人口与计划生育宣传教育，实行村（居）民计划生育自我教育、自我管理、自我服务，协助计划生育行政部门及有关部门做好计划生育管理和服务工作。</w:t>
      </w:r>
    </w:p>
    <w:p w14:paraId="193DCC9D">
      <w:pPr>
        <w:ind w:firstLine="422"/>
      </w:pPr>
      <w:r>
        <w:rPr>
          <w:rFonts w:hint="eastAsia"/>
          <w:b/>
        </w:rPr>
        <w:t>第十四条</w:t>
      </w:r>
      <w:r>
        <w:rPr>
          <w:rFonts w:hint="eastAsia"/>
        </w:rPr>
        <w:t>　流动人口的计划生育工作，由其户籍所在地和现居住地的人民政府共同负责管理，以现居住地为主。</w:t>
      </w:r>
    </w:p>
    <w:p w14:paraId="070A1333">
      <w:r>
        <w:rPr>
          <w:rFonts w:hint="eastAsia"/>
        </w:rPr>
        <w:t>流动人口的计划生育工作，按照《流动人口计划生育工作管理办法》和本市有关规定执行。</w:t>
      </w:r>
    </w:p>
    <w:p w14:paraId="130D27A6"/>
    <w:p w14:paraId="5F2D7350">
      <w:pPr>
        <w:ind w:firstLine="0" w:firstLineChars="0"/>
        <w:jc w:val="center"/>
        <w:rPr>
          <w:b/>
          <w:sz w:val="28"/>
        </w:rPr>
      </w:pPr>
      <w:r>
        <w:rPr>
          <w:rFonts w:hint="eastAsia"/>
          <w:b/>
          <w:sz w:val="28"/>
        </w:rPr>
        <w:t>第三章  生育调节</w:t>
      </w:r>
    </w:p>
    <w:p w14:paraId="28384DB6"/>
    <w:p w14:paraId="5A69ECD9">
      <w:pPr>
        <w:ind w:firstLine="422"/>
      </w:pPr>
      <w:r>
        <w:rPr>
          <w:rFonts w:hint="eastAsia"/>
          <w:b/>
        </w:rPr>
        <w:t>第十五条</w:t>
      </w:r>
      <w:r>
        <w:rPr>
          <w:rFonts w:hint="eastAsia"/>
        </w:rPr>
        <w:t>　公民有生育的权利，也有依法实行计划生育的义务，夫妻双方在实行计划生育中负有共同的责任。</w:t>
      </w:r>
    </w:p>
    <w:p w14:paraId="74A31AB6">
      <w:r>
        <w:rPr>
          <w:rFonts w:hint="eastAsia"/>
        </w:rPr>
        <w:t>公民实行计划生育的合法权益受法律保护。</w:t>
      </w:r>
    </w:p>
    <w:p w14:paraId="539E32A7">
      <w:pPr>
        <w:ind w:firstLine="422"/>
      </w:pPr>
      <w:r>
        <w:rPr>
          <w:rFonts w:hint="eastAsia"/>
          <w:b/>
        </w:rPr>
        <w:t>第十六条</w:t>
      </w:r>
      <w:r>
        <w:rPr>
          <w:rFonts w:hint="eastAsia"/>
        </w:rPr>
        <w:t>　鼓励公民晚婚、晚育。</w:t>
      </w:r>
    </w:p>
    <w:p w14:paraId="21B0F202">
      <w:r>
        <w:rPr>
          <w:rFonts w:hint="eastAsia"/>
        </w:rPr>
        <w:t>女年满二十三周岁、男年满二十五周岁初婚的为晚婚。已婚妇女年满二十四周岁初育的为晚育。</w:t>
      </w:r>
    </w:p>
    <w:p w14:paraId="2BBEDF4D">
      <w:pPr>
        <w:ind w:firstLine="422"/>
      </w:pPr>
      <w:r>
        <w:rPr>
          <w:rFonts w:hint="eastAsia"/>
          <w:b/>
        </w:rPr>
        <w:t>第十七条</w:t>
      </w:r>
      <w:r>
        <w:rPr>
          <w:rFonts w:hint="eastAsia"/>
        </w:rPr>
        <w:t>　一对夫妻生育一个子女。</w:t>
      </w:r>
    </w:p>
    <w:p w14:paraId="0455D9AF">
      <w:r>
        <w:rPr>
          <w:rFonts w:hint="eastAsia"/>
        </w:rPr>
        <w:t>有下列情形之一的，由夫妻双方申请，经区、县级以上计划生育行政部门批准，可以生育第二个子女：</w:t>
      </w:r>
    </w:p>
    <w:p w14:paraId="2A84922C">
      <w:r>
        <w:rPr>
          <w:rFonts w:hint="eastAsia"/>
        </w:rPr>
        <w:t>（一）只有一个子女，经指定医疗机构诊断证明为非遗传性病残，不能成长为正常劳动力的；</w:t>
      </w:r>
    </w:p>
    <w:p w14:paraId="2286477E">
      <w:bookmarkStart w:id="2394" w:name="_Toc428780664"/>
      <w:r>
        <w:rPr>
          <w:rFonts w:hint="eastAsia"/>
        </w:rPr>
        <w:t>（二）夫妻一方为独生子女，并且只有一个子女的；</w:t>
      </w:r>
      <w:bookmarkEnd w:id="2394"/>
    </w:p>
    <w:p w14:paraId="46788B13">
      <w:r>
        <w:rPr>
          <w:rFonts w:hint="eastAsia"/>
        </w:rPr>
        <w:t>（三）婚后五年以上不育，经指定医疗机构诊断证明为不孕症，依法收养一个子女后又怀孕的；</w:t>
      </w:r>
    </w:p>
    <w:p w14:paraId="068BD02B">
      <w:bookmarkStart w:id="2395" w:name="_Toc428780665"/>
      <w:r>
        <w:rPr>
          <w:rFonts w:hint="eastAsia"/>
        </w:rPr>
        <w:t>（四）再婚夫妻双方只有一个子女的；</w:t>
      </w:r>
      <w:bookmarkEnd w:id="2395"/>
    </w:p>
    <w:p w14:paraId="452FC470">
      <w:r>
        <w:rPr>
          <w:rFonts w:hint="eastAsia"/>
        </w:rPr>
        <w:t>（五）从边疆调入本市工作的少数民族职工，调入前经当地县级以上计划生育行政部门批准允许生育第二个子女的；</w:t>
      </w:r>
    </w:p>
    <w:p w14:paraId="7579A5BF">
      <w:r>
        <w:rPr>
          <w:rFonts w:hint="eastAsia"/>
        </w:rPr>
        <w:t>（六）兄弟二人或者二人以上均系农村居民，只有一对夫妻有生育能力，又只生育一个子女，其他兄弟不收养他人子女的；</w:t>
      </w:r>
    </w:p>
    <w:p w14:paraId="20C77039">
      <w:r>
        <w:rPr>
          <w:rFonts w:hint="eastAsia"/>
        </w:rPr>
        <w:t>（七）男性农村居民到有女无儿家结婚落户并书面表示自愿赡养老人的（女方家姐妹数人只照顾一人）；</w:t>
      </w:r>
    </w:p>
    <w:p w14:paraId="283AEC0C">
      <w:r>
        <w:rPr>
          <w:rFonts w:hint="eastAsia"/>
        </w:rPr>
        <w:t>（八）远郊区、县农村居民，夫妻一方为二等乙级以上伤残军人，或者一方残疾基本丧失劳动能力的；</w:t>
      </w:r>
    </w:p>
    <w:p w14:paraId="31285391">
      <w:r>
        <w:rPr>
          <w:rFonts w:hint="eastAsia"/>
        </w:rPr>
        <w:t>（九）在深山区长期居住并以农业生产为主要生活来源的农村居民，只有一个女孩，生活有实际困难的。</w:t>
      </w:r>
    </w:p>
    <w:p w14:paraId="12831968">
      <w:r>
        <w:rPr>
          <w:rFonts w:hint="eastAsia"/>
        </w:rPr>
        <w:t>有其他特殊情形要求再生育一个子女的，需经市计划生育行政部门批准。</w:t>
      </w:r>
    </w:p>
    <w:p w14:paraId="55271580">
      <w:pPr>
        <w:ind w:firstLine="422"/>
      </w:pPr>
      <w:r>
        <w:rPr>
          <w:rFonts w:hint="eastAsia"/>
          <w:b/>
        </w:rPr>
        <w:t>第十八条</w:t>
      </w:r>
      <w:r>
        <w:rPr>
          <w:rFonts w:hint="eastAsia"/>
        </w:rPr>
        <w:t>　依照本条例规定允许生育第二个子女的，生育间隔不少于四年，或者女方年龄不低于二十八周岁。</w:t>
      </w:r>
    </w:p>
    <w:p w14:paraId="1AB2D447">
      <w:pPr>
        <w:ind w:firstLine="422"/>
      </w:pPr>
      <w:r>
        <w:rPr>
          <w:rFonts w:hint="eastAsia"/>
          <w:b/>
        </w:rPr>
        <w:t>第十九条</w:t>
      </w:r>
      <w:r>
        <w:rPr>
          <w:rFonts w:hint="eastAsia"/>
        </w:rPr>
        <w:t>　育龄夫妻生育子女，实行《生育服务证》管理，具体管理办法由市人民政府制定。</w:t>
      </w:r>
    </w:p>
    <w:p w14:paraId="053E0BFE"/>
    <w:p w14:paraId="7312804E">
      <w:pPr>
        <w:ind w:firstLine="0" w:firstLineChars="0"/>
        <w:jc w:val="center"/>
        <w:rPr>
          <w:b/>
          <w:sz w:val="28"/>
        </w:rPr>
      </w:pPr>
      <w:r>
        <w:rPr>
          <w:rFonts w:hint="eastAsia"/>
          <w:b/>
          <w:sz w:val="28"/>
        </w:rPr>
        <w:t>第四章  奖励与社会保障</w:t>
      </w:r>
    </w:p>
    <w:p w14:paraId="33797DF9"/>
    <w:p w14:paraId="440C258D">
      <w:pPr>
        <w:ind w:firstLine="422"/>
      </w:pPr>
      <w:r>
        <w:rPr>
          <w:rFonts w:hint="eastAsia"/>
          <w:b/>
        </w:rPr>
        <w:t>第二十条</w:t>
      </w:r>
      <w:r>
        <w:rPr>
          <w:rFonts w:hint="eastAsia"/>
        </w:rPr>
        <w:t>　机关、社会团体、企业事业组织的职工晚婚的，除享受国家规定的婚假外，增加奖励假</w:t>
      </w:r>
      <w:r>
        <w:rPr>
          <w:rFonts w:hint="eastAsia" w:ascii="宋体" w:hAnsi="宋体" w:eastAsia="宋体" w:cs="宋体"/>
        </w:rPr>
        <w:t>7</w:t>
      </w:r>
      <w:r>
        <w:rPr>
          <w:rFonts w:hint="eastAsia"/>
        </w:rPr>
        <w:t>天。晚育的女职工，除享受国家规定的产假外，增加奖励</w:t>
      </w:r>
      <w:r>
        <w:rPr>
          <w:rFonts w:hint="eastAsia" w:ascii="宋体" w:hAnsi="宋体" w:eastAsia="宋体" w:cs="宋体"/>
        </w:rPr>
        <w:t>假30</w:t>
      </w:r>
      <w:r>
        <w:rPr>
          <w:rFonts w:hint="eastAsia"/>
        </w:rPr>
        <w:t>天，奖励假也可以由男方享受，休假期间不得降低其基本工资或者解除劳动合同；不休奖励假的，按照女方一个月基本工资的标准给予奖励。</w:t>
      </w:r>
    </w:p>
    <w:p w14:paraId="0DE22B89">
      <w:r>
        <w:rPr>
          <w:rFonts w:hint="eastAsia"/>
        </w:rPr>
        <w:t>个体工商户的雇工晚婚、晚育的，由雇主按照本条前款规定奖励。</w:t>
      </w:r>
    </w:p>
    <w:p w14:paraId="68A0CC01">
      <w:r>
        <w:rPr>
          <w:rFonts w:hint="eastAsia"/>
        </w:rPr>
        <w:t>农村居民、城镇无业居民和个体工商户晚婚、晚育的，由乡镇人民政府、街道办事处给予适当奖励。</w:t>
      </w:r>
    </w:p>
    <w:p w14:paraId="1FB0BBC6">
      <w:pPr>
        <w:keepNext w:val="0"/>
        <w:keepLines w:val="0"/>
        <w:widowControl/>
        <w:suppressLineNumbers w:val="0"/>
        <w:jc w:val="left"/>
      </w:pPr>
      <w:r>
        <w:rPr>
          <w:rFonts w:hint="eastAsia"/>
          <w:b/>
        </w:rPr>
        <w:t>第二十一条</w:t>
      </w:r>
      <w:r>
        <w:rPr>
          <w:rFonts w:hint="eastAsia"/>
        </w:rPr>
        <w:t>　</w:t>
      </w:r>
      <w:r>
        <w:rPr>
          <w:rFonts w:ascii="宋体" w:hAnsi="宋体" w:eastAsia="宋体" w:cs="宋体"/>
          <w:kern w:val="0"/>
          <w:sz w:val="21"/>
          <w:szCs w:val="21"/>
          <w:lang w:val="en-US" w:eastAsia="zh-CN" w:bidi="ar"/>
        </w:rPr>
        <w:t>一对夫妻生育（包括依法收养）一个子女后不再生育，其子女在十八周岁以内的，由夫妻双方申请，经所在单位核实（没有单位的和农村居民，经户籍所在地居民委员会或者村民委员会核实），由女方户籍所在地乡镇人民政府或者街道办事处发给《独生子女父母光荣证》，凭证享受以下奖励和优待：</w:t>
      </w:r>
      <w:r>
        <w:rPr>
          <w:rFonts w:ascii="宋体" w:hAnsi="宋体" w:eastAsia="宋体" w:cs="宋体"/>
          <w:kern w:val="0"/>
          <w:sz w:val="24"/>
          <w:szCs w:val="24"/>
          <w:lang w:val="en-US" w:eastAsia="zh-CN" w:bidi="ar"/>
        </w:rPr>
        <w:t xml:space="preserve"> </w:t>
      </w:r>
    </w:p>
    <w:p w14:paraId="26BC67E7">
      <w:r>
        <w:rPr>
          <w:rFonts w:hint="eastAsia"/>
        </w:rPr>
        <w:t>（一）每月发给</w:t>
      </w:r>
      <w:r>
        <w:rPr>
          <w:rFonts w:hint="eastAsia" w:ascii="宋体" w:hAnsi="宋体" w:eastAsia="宋体" w:cs="宋体"/>
        </w:rPr>
        <w:t>10</w:t>
      </w:r>
      <w:r>
        <w:rPr>
          <w:rFonts w:hint="eastAsia"/>
        </w:rPr>
        <w:t>元独生子女父母奖励费，奖励费自领取《独生子女父母光荣证》之月起发至其独生子女满十八周岁止；</w:t>
      </w:r>
    </w:p>
    <w:p w14:paraId="16CA7F5E">
      <w:r>
        <w:rPr>
          <w:rFonts w:hint="eastAsia"/>
        </w:rPr>
        <w:t>（二）女职工除享受本条例第二十条规定的休假外，经所在单位批准，可以再增加产假三个月，但减免三年独生子女父母奖励费；</w:t>
      </w:r>
    </w:p>
    <w:p w14:paraId="3BE6DA13">
      <w:r>
        <w:rPr>
          <w:rFonts w:hint="eastAsia"/>
        </w:rPr>
        <w:t>（三）独生子女的托幼管理费和十八周岁之前的医药费，由夫妻双方所在单位依照有关规定报销；</w:t>
      </w:r>
    </w:p>
    <w:p w14:paraId="5FE40C3F">
      <w:r>
        <w:rPr>
          <w:rFonts w:hint="eastAsia"/>
        </w:rPr>
        <w:t>（四）独生子女父母，女方年满五十五周岁，男方年满六十周岁的，每人享受不少于</w:t>
      </w:r>
      <w:r>
        <w:rPr>
          <w:rFonts w:hint="eastAsia" w:ascii="宋体" w:hAnsi="宋体" w:eastAsia="宋体" w:cs="宋体"/>
        </w:rPr>
        <w:t>1000</w:t>
      </w:r>
      <w:r>
        <w:rPr>
          <w:rFonts w:hint="eastAsia"/>
        </w:rPr>
        <w:t>元的一次性奖励；</w:t>
      </w:r>
    </w:p>
    <w:p w14:paraId="0E0ACCE3">
      <w:r>
        <w:rPr>
          <w:rFonts w:hint="eastAsia"/>
        </w:rPr>
        <w:t>（五）农村在推行养老保险制度时，应当为独生子女父母优先办理养老保险。农村安排宅基地，对独生子女父母应当给予优先和照顾；</w:t>
      </w:r>
    </w:p>
    <w:p w14:paraId="3C00FE0D">
      <w:r>
        <w:rPr>
          <w:rFonts w:hint="eastAsia"/>
        </w:rPr>
        <w:t>（六）乡镇人民政府和农村集体经济组织应当扶持独生子女家庭发展生产。</w:t>
      </w:r>
    </w:p>
    <w:p w14:paraId="2DC184D7">
      <w:r>
        <w:rPr>
          <w:rFonts w:hint="eastAsia"/>
        </w:rPr>
        <w:t>第一胎生育双胞或者多胞的夫妻，不领取《独生子女父母光荣证》，凭女方户籍所在地乡镇人民政府或者街道办事处出具的证明，享受前款第（四）项规定以外的奖励和优待，但只享受一份独生子女奖励待遇。</w:t>
      </w:r>
    </w:p>
    <w:p w14:paraId="2EEA2FAF">
      <w:pPr>
        <w:ind w:firstLine="422"/>
      </w:pPr>
      <w:r>
        <w:rPr>
          <w:rFonts w:hint="eastAsia"/>
          <w:b/>
        </w:rPr>
        <w:t>第二十二条</w:t>
      </w:r>
      <w:r>
        <w:rPr>
          <w:rFonts w:hint="eastAsia"/>
        </w:rPr>
        <w:t>　已婚育龄夫妻按照规定可以生育第二个子女，但书面表示不再生育的，由各自所在单位或者乡镇人民政府、街道办事处给予表彰，并给予每人不少于</w:t>
      </w:r>
      <w:r>
        <w:rPr>
          <w:rFonts w:hint="eastAsia" w:ascii="宋体" w:hAnsi="宋体" w:eastAsia="宋体" w:cs="宋体"/>
        </w:rPr>
        <w:t>500元</w:t>
      </w:r>
      <w:r>
        <w:rPr>
          <w:rFonts w:hint="eastAsia"/>
        </w:rPr>
        <w:t>的一次性奖励。</w:t>
      </w:r>
    </w:p>
    <w:p w14:paraId="2266A98E">
      <w:pPr>
        <w:ind w:firstLine="422"/>
      </w:pPr>
      <w:r>
        <w:rPr>
          <w:rFonts w:hint="eastAsia"/>
          <w:b/>
        </w:rPr>
        <w:t>第二十三条</w:t>
      </w:r>
      <w:r>
        <w:rPr>
          <w:rFonts w:hint="eastAsia"/>
        </w:rPr>
        <w:t>　独生子女发生意外伤残致使基本丧失劳动能力或者死亡，其父母不再生育或者收养子女的，女方年满五十五周岁，男方年满六十周岁的，所在区、县人民政府应当给予每人不少于</w:t>
      </w:r>
      <w:r>
        <w:rPr>
          <w:rFonts w:hint="eastAsia" w:ascii="宋体" w:hAnsi="宋体" w:eastAsia="宋体" w:cs="宋体"/>
        </w:rPr>
        <w:t>5000</w:t>
      </w:r>
      <w:r>
        <w:rPr>
          <w:rFonts w:hint="eastAsia"/>
        </w:rPr>
        <w:t>元的一次性经济帮助。</w:t>
      </w:r>
    </w:p>
    <w:p w14:paraId="1D05327D">
      <w:pPr>
        <w:ind w:firstLine="422"/>
      </w:pPr>
      <w:r>
        <w:rPr>
          <w:rFonts w:hint="eastAsia"/>
          <w:b/>
        </w:rPr>
        <w:t>第二十四条</w:t>
      </w:r>
      <w:r>
        <w:rPr>
          <w:rFonts w:hint="eastAsia"/>
        </w:rPr>
        <w:t>　本市各级人民政府和各有关部门应当制定和完善有利于独生子女父母的老年保障制度和措施。</w:t>
      </w:r>
    </w:p>
    <w:p w14:paraId="7265EBBE">
      <w:r>
        <w:rPr>
          <w:rFonts w:hint="eastAsia"/>
        </w:rPr>
        <w:t>本市有条件的乡镇，可以根据政府引导、农民自愿的原则，实行多种形式的养老保障办法。</w:t>
      </w:r>
    </w:p>
    <w:p w14:paraId="4A117AC4">
      <w:pPr>
        <w:ind w:firstLine="422"/>
      </w:pPr>
      <w:r>
        <w:rPr>
          <w:rFonts w:hint="eastAsia"/>
          <w:b/>
        </w:rPr>
        <w:t>第二十五条</w:t>
      </w:r>
      <w:r>
        <w:rPr>
          <w:rFonts w:hint="eastAsia"/>
        </w:rPr>
        <w:t>　本市各级人民政府对农村实行计划生育的家庭发展经济，给予资金、技术、培训等方面的支持和优惠；对实行计划生育的贫困家庭在扶贫贷款、扶贫项目、以工代赈和社会救济等方面给予优先照顾。</w:t>
      </w:r>
    </w:p>
    <w:p w14:paraId="4EBF5990">
      <w:pPr>
        <w:ind w:firstLine="422"/>
      </w:pPr>
      <w:r>
        <w:rPr>
          <w:rFonts w:hint="eastAsia"/>
          <w:b/>
        </w:rPr>
        <w:t>第二十六条</w:t>
      </w:r>
      <w:r>
        <w:rPr>
          <w:rFonts w:hint="eastAsia"/>
        </w:rPr>
        <w:t>　区、县人民政府可以根据本地区的实际情况，制定有利于推行计划生育的奖励、优惠政策。</w:t>
      </w:r>
    </w:p>
    <w:p w14:paraId="5CFD2FA5">
      <w:pPr>
        <w:ind w:firstLine="422"/>
      </w:pPr>
      <w:r>
        <w:rPr>
          <w:rFonts w:hint="eastAsia"/>
          <w:b/>
        </w:rPr>
        <w:t>第二十七条</w:t>
      </w:r>
      <w:r>
        <w:rPr>
          <w:rFonts w:hint="eastAsia"/>
        </w:rPr>
        <w:t>　本条例规定的奖励费发放和经济帮助的具体办法，由市计划生育行政部门会同有关部门制定。</w:t>
      </w:r>
    </w:p>
    <w:p w14:paraId="4BCBA1AC"/>
    <w:p w14:paraId="4899B365">
      <w:pPr>
        <w:ind w:firstLine="0" w:firstLineChars="0"/>
        <w:jc w:val="center"/>
        <w:rPr>
          <w:b/>
          <w:sz w:val="28"/>
        </w:rPr>
      </w:pPr>
      <w:r>
        <w:rPr>
          <w:rFonts w:hint="eastAsia"/>
          <w:b/>
          <w:sz w:val="28"/>
        </w:rPr>
        <w:t>第五章  计划生育技术服务</w:t>
      </w:r>
    </w:p>
    <w:p w14:paraId="4B41E73C"/>
    <w:p w14:paraId="6CB8648B">
      <w:pPr>
        <w:ind w:firstLine="422"/>
      </w:pPr>
      <w:r>
        <w:rPr>
          <w:rFonts w:hint="eastAsia"/>
          <w:b/>
        </w:rPr>
        <w:t>第二十八条</w:t>
      </w:r>
      <w:r>
        <w:rPr>
          <w:rFonts w:hint="eastAsia"/>
        </w:rPr>
        <w:t>　本市建立婚前保健、孕产期保健制度，防止或者减少出生缺陷，提高出生婴儿的健康水平。</w:t>
      </w:r>
    </w:p>
    <w:p w14:paraId="72CF7F7E">
      <w:pPr>
        <w:ind w:firstLine="422"/>
      </w:pPr>
      <w:r>
        <w:rPr>
          <w:rFonts w:hint="eastAsia"/>
          <w:b/>
        </w:rPr>
        <w:t>第二十九条</w:t>
      </w:r>
      <w:r>
        <w:rPr>
          <w:rFonts w:hint="eastAsia"/>
        </w:rPr>
        <w:t>　市和区、县人民政府应当合理配置、综合利用卫生资源，建立健全由计划生育技术服务机构和从事计划生育技术服务的医疗、保健机构组成的计划生育技术服务网络，改善技术服务设施和条件，提高技术服务水平。</w:t>
      </w:r>
    </w:p>
    <w:p w14:paraId="1711CFE5">
      <w:pPr>
        <w:ind w:firstLine="422"/>
      </w:pPr>
      <w:r>
        <w:rPr>
          <w:rFonts w:hint="eastAsia"/>
          <w:b/>
        </w:rPr>
        <w:t>第三十条</w:t>
      </w:r>
      <w:r>
        <w:rPr>
          <w:rFonts w:hint="eastAsia"/>
        </w:rPr>
        <w:t>　从事计划生育技术服务的机构应当在各自的职责范围内，针对育龄人群开展婚前教育和优生指导，对已婚育龄妇女开展孕情检查、随访服务，承担计划生育及生殖保健的咨询、指导和技术服务。</w:t>
      </w:r>
    </w:p>
    <w:p w14:paraId="71DB86AD">
      <w:pPr>
        <w:ind w:firstLine="422"/>
      </w:pPr>
      <w:r>
        <w:rPr>
          <w:rFonts w:hint="eastAsia"/>
          <w:b/>
        </w:rPr>
        <w:t>第三十一条</w:t>
      </w:r>
      <w:r>
        <w:rPr>
          <w:rFonts w:hint="eastAsia"/>
        </w:rPr>
        <w:t>　政府免费向已婚育龄夫妻提供避孕药具，避孕药具由村民委员会、居民委员会、机关、社会团体、企业事业组织或者计划生育技术服务机构负责发放，计划生育行政部门应当加强监督和管理。</w:t>
      </w:r>
    </w:p>
    <w:p w14:paraId="58CC4903">
      <w:pPr>
        <w:ind w:firstLine="422"/>
      </w:pPr>
      <w:r>
        <w:rPr>
          <w:rFonts w:hint="eastAsia"/>
          <w:b/>
        </w:rPr>
        <w:t>第三十二条</w:t>
      </w:r>
      <w:r>
        <w:rPr>
          <w:rFonts w:hint="eastAsia"/>
        </w:rPr>
        <w:t>　本市各级人民政府应当创造条件，保障公民享有计划生育技术服务，保障公民知情选择安全、有效、适宜的避孕节育措施。</w:t>
      </w:r>
    </w:p>
    <w:p w14:paraId="25966D60">
      <w:pPr>
        <w:ind w:firstLine="422"/>
      </w:pPr>
      <w:r>
        <w:rPr>
          <w:rFonts w:hint="eastAsia"/>
          <w:b/>
        </w:rPr>
        <w:t>第三十三条</w:t>
      </w:r>
      <w:r>
        <w:rPr>
          <w:rFonts w:hint="eastAsia"/>
        </w:rPr>
        <w:t>　育龄夫妻应当落实计划生育避孕、节育措施，接受计划生育技术服务指导，预防和减少非意愿妊娠。提倡已生育子女的夫妻选择长效避孕措施。</w:t>
      </w:r>
    </w:p>
    <w:p w14:paraId="3BEE13C2">
      <w:pPr>
        <w:ind w:firstLine="422"/>
      </w:pPr>
      <w:r>
        <w:rPr>
          <w:rFonts w:hint="eastAsia"/>
          <w:b/>
        </w:rPr>
        <w:t>第三十四条</w:t>
      </w:r>
      <w:r>
        <w:rPr>
          <w:rFonts w:hint="eastAsia"/>
        </w:rPr>
        <w:t>　实行计划生育的育龄夫妻免费享受国家规定的基本项目的计划生育技术服务。</w:t>
      </w:r>
    </w:p>
    <w:p w14:paraId="5DC704F4">
      <w:pPr>
        <w:ind w:firstLine="422"/>
      </w:pPr>
      <w:r>
        <w:rPr>
          <w:rFonts w:hint="eastAsia"/>
          <w:b/>
        </w:rPr>
        <w:t>第三十五条</w:t>
      </w:r>
      <w:r>
        <w:rPr>
          <w:rFonts w:hint="eastAsia"/>
        </w:rPr>
        <w:t>　接受节育手术的，机关、社会团体、企业事业组织的职工凭医疗单位证明，享受国家规定的休假，休假期间视为劳动时间；农村居民由农村集体经济组织给予照顾。</w:t>
      </w:r>
    </w:p>
    <w:p w14:paraId="6A5F6411">
      <w:pPr>
        <w:ind w:firstLine="422"/>
      </w:pPr>
      <w:r>
        <w:rPr>
          <w:rFonts w:hint="eastAsia"/>
          <w:b/>
        </w:rPr>
        <w:t>第三十六条</w:t>
      </w:r>
      <w:r>
        <w:rPr>
          <w:rFonts w:hint="eastAsia"/>
        </w:rPr>
        <w:t>　实施避孕、节育手术应当保证受术者的安全。</w:t>
      </w:r>
    </w:p>
    <w:p w14:paraId="0CE623D1">
      <w:r>
        <w:rPr>
          <w:rFonts w:hint="eastAsia"/>
        </w:rPr>
        <w:t>个体医疗机构不得从事计划生育手术。</w:t>
      </w:r>
    </w:p>
    <w:p w14:paraId="5F85B4D1">
      <w:pPr>
        <w:ind w:firstLine="422"/>
      </w:pPr>
      <w:r>
        <w:rPr>
          <w:rFonts w:hint="eastAsia"/>
          <w:b/>
        </w:rPr>
        <w:t>第三十七条</w:t>
      </w:r>
      <w:r>
        <w:rPr>
          <w:rFonts w:hint="eastAsia"/>
        </w:rPr>
        <w:t>　严禁利用超声技术和其他技术手段进行非医学需要的胎儿性别鉴定；严禁非医学需要的选择性别的人工终止妊娠。</w:t>
      </w:r>
    </w:p>
    <w:p w14:paraId="0A78B3CE"/>
    <w:p w14:paraId="2953A914">
      <w:pPr>
        <w:ind w:firstLine="0" w:firstLineChars="0"/>
        <w:jc w:val="center"/>
        <w:rPr>
          <w:b/>
          <w:sz w:val="28"/>
        </w:rPr>
      </w:pPr>
      <w:r>
        <w:rPr>
          <w:rFonts w:hint="eastAsia"/>
          <w:b/>
          <w:sz w:val="28"/>
        </w:rPr>
        <w:t>第六章  法律责任</w:t>
      </w:r>
    </w:p>
    <w:p w14:paraId="766DDA67"/>
    <w:p w14:paraId="7F057E6F">
      <w:pPr>
        <w:ind w:firstLine="422"/>
      </w:pPr>
      <w:r>
        <w:rPr>
          <w:rFonts w:hint="eastAsia"/>
          <w:b/>
        </w:rPr>
        <w:t>第三十八条</w:t>
      </w:r>
      <w:r>
        <w:rPr>
          <w:rFonts w:hint="eastAsia"/>
        </w:rPr>
        <w:t>　违反本条例的行为，法律、法规已有规定的，依照相关规定处理。</w:t>
      </w:r>
    </w:p>
    <w:p w14:paraId="2E8792E3">
      <w:pPr>
        <w:ind w:firstLine="422"/>
      </w:pPr>
      <w:r>
        <w:rPr>
          <w:rFonts w:hint="eastAsia"/>
          <w:b/>
        </w:rPr>
        <w:t>第三十九条</w:t>
      </w:r>
      <w:r>
        <w:rPr>
          <w:rFonts w:hint="eastAsia"/>
        </w:rPr>
        <w:t>　违反本条例规定生育子女的夫妻，应当依法缴纳社会抚养费。征收社会抚养费的具体办法，由市人民政府制定。</w:t>
      </w:r>
    </w:p>
    <w:p w14:paraId="47C6F7DA">
      <w:r>
        <w:rPr>
          <w:rFonts w:hint="eastAsia"/>
        </w:rPr>
        <w:t>已享受本条例第二十一条、第二十二条规定的各项奖励和优待的夫妻，再生育一个子女的，停止其奖励和优待，退还已领取的奖励费，收回《独生子女父母光荣证》。</w:t>
      </w:r>
    </w:p>
    <w:p w14:paraId="2F636294">
      <w:pPr>
        <w:ind w:firstLine="422"/>
      </w:pPr>
      <w:r>
        <w:rPr>
          <w:rFonts w:hint="eastAsia"/>
          <w:b/>
        </w:rPr>
        <w:t>第四十条</w:t>
      </w:r>
      <w:r>
        <w:rPr>
          <w:rFonts w:hint="eastAsia"/>
        </w:rPr>
        <w:t>　机关、社会团体、企业事业组织的职工违反本条例规定生育的，由其所在单位给予行政处分或者纪律处分；分娩的住院费和医药费自理，产假期间停止其工资福利待遇；三年内不得被评为先进个人、不得提职，并取消一次调级。</w:t>
      </w:r>
    </w:p>
    <w:p w14:paraId="46D1E4B5">
      <w:r>
        <w:rPr>
          <w:rFonts w:hint="eastAsia"/>
        </w:rPr>
        <w:t>农村居民违反本条例规定生育的，在给予农村福利时予以适当限制；聘任为干部的，应予解聘。</w:t>
      </w:r>
    </w:p>
    <w:p w14:paraId="0D44C7B6">
      <w:pPr>
        <w:ind w:firstLine="422"/>
      </w:pPr>
      <w:r>
        <w:rPr>
          <w:rFonts w:hint="eastAsia"/>
          <w:b/>
        </w:rPr>
        <w:t>第四十一条</w:t>
      </w:r>
      <w:r>
        <w:rPr>
          <w:rFonts w:hint="eastAsia"/>
        </w:rPr>
        <w:t>　育龄夫妻一方或者双方为外省市户口，违反规定生育的，夫妻本人及其子女的户口不予批准进京。</w:t>
      </w:r>
    </w:p>
    <w:p w14:paraId="2F3FFBA9">
      <w:pPr>
        <w:ind w:firstLine="422"/>
      </w:pPr>
      <w:r>
        <w:rPr>
          <w:rFonts w:hint="eastAsia"/>
          <w:b/>
        </w:rPr>
        <w:t>第四十二条</w:t>
      </w:r>
      <w:r>
        <w:rPr>
          <w:rFonts w:hint="eastAsia"/>
        </w:rPr>
        <w:t>　对没有完成计划生育目标管理责任的机关、社会团体、企业事业组织，当年不得评为先进（文明）单位，并按照目标管理责任制的规定处理。</w:t>
      </w:r>
    </w:p>
    <w:p w14:paraId="75224AE6">
      <w:pPr>
        <w:ind w:firstLine="422"/>
      </w:pPr>
      <w:r>
        <w:rPr>
          <w:rFonts w:hint="eastAsia"/>
          <w:b/>
        </w:rPr>
        <w:t>第四十三条</w:t>
      </w:r>
      <w:r>
        <w:rPr>
          <w:rFonts w:hint="eastAsia"/>
        </w:rPr>
        <w:t>　对机关、社会团体、企业事业组织不落实本条例规定的计划生育奖励和优待政策，有关当事人可以向计划生育行政部门举报；计划生育行政部门应当督促落实，并对当事人维护合法权益予以支持。</w:t>
      </w:r>
    </w:p>
    <w:p w14:paraId="6529DD6B">
      <w:pPr>
        <w:ind w:firstLine="0" w:firstLineChars="0"/>
        <w:jc w:val="center"/>
        <w:rPr>
          <w:b/>
          <w:sz w:val="28"/>
        </w:rPr>
      </w:pPr>
      <w:r>
        <w:rPr>
          <w:rFonts w:hint="eastAsia"/>
          <w:b/>
          <w:sz w:val="28"/>
        </w:rPr>
        <w:t>第七章  附  则</w:t>
      </w:r>
    </w:p>
    <w:p w14:paraId="1C609F71"/>
    <w:p w14:paraId="6B51A7AA">
      <w:pPr>
        <w:ind w:firstLine="422"/>
        <w:rPr>
          <w:rFonts w:hint="eastAsia" w:ascii="宋体" w:hAnsi="宋体" w:eastAsia="宋体" w:cs="宋体"/>
        </w:rPr>
      </w:pPr>
      <w:r>
        <w:rPr>
          <w:rFonts w:hint="eastAsia"/>
          <w:b/>
        </w:rPr>
        <w:t>第四十四条</w:t>
      </w:r>
      <w:r>
        <w:rPr>
          <w:rFonts w:hint="eastAsia"/>
        </w:rPr>
        <w:t>　本条</w:t>
      </w:r>
      <w:r>
        <w:rPr>
          <w:rFonts w:hint="eastAsia" w:ascii="宋体" w:hAnsi="宋体" w:eastAsia="宋体" w:cs="宋体"/>
        </w:rPr>
        <w:t>例自2003年9月1日起施行。1991年1月15日北京市第九届人民代表大会常务委员会第二十五次会议通过、1999年5月14日北京市第十一届人民代表大会常务委员会第十次会议修订的《北京市计划生育条例》，1991年5月16日市人民政府发布、2000年3月8日市人民政府修订的《北京市计划生育奖励实施办法》和《北京市违反〈计划生育条例〉处罚办法》同时废止。</w:t>
      </w:r>
    </w:p>
    <w:p w14:paraId="0A5A7843">
      <w:pPr>
        <w:pStyle w:val="4"/>
        <w:pageBreakBefore/>
      </w:pPr>
      <w:bookmarkStart w:id="2396" w:name="_Toc426467120"/>
      <w:bookmarkStart w:id="2397" w:name="_Toc428781868"/>
      <w:bookmarkStart w:id="2398" w:name="_Toc428780666"/>
      <w:r>
        <w:rPr>
          <w:rFonts w:hint="eastAsia"/>
        </w:rPr>
        <w:t>北京市精神卫生条例</w:t>
      </w:r>
      <w:bookmarkEnd w:id="2396"/>
      <w:bookmarkEnd w:id="2397"/>
      <w:bookmarkEnd w:id="2398"/>
    </w:p>
    <w:p w14:paraId="15D51C09">
      <w:pPr>
        <w:ind w:left="630" w:leftChars="300" w:right="630" w:rightChars="300"/>
        <w:rPr>
          <w:rFonts w:ascii="楷体" w:hAnsi="楷体" w:eastAsia="楷体"/>
        </w:rPr>
      </w:pPr>
      <w:r>
        <w:rPr>
          <w:rFonts w:hint="eastAsia" w:ascii="楷体" w:hAnsi="楷体" w:eastAsia="楷体"/>
        </w:rPr>
        <w:t>（2006年12月8日北京市第十二届人民代表大会常务委员会第三十三次会议通过）</w:t>
      </w:r>
    </w:p>
    <w:p w14:paraId="70A10F80"/>
    <w:p w14:paraId="0EF9B892">
      <w:pPr>
        <w:ind w:firstLine="0" w:firstLineChars="0"/>
        <w:jc w:val="center"/>
        <w:rPr>
          <w:b/>
          <w:sz w:val="28"/>
        </w:rPr>
      </w:pPr>
      <w:r>
        <w:rPr>
          <w:rFonts w:hint="eastAsia"/>
          <w:b/>
          <w:sz w:val="28"/>
        </w:rPr>
        <w:t>第一章　总　则</w:t>
      </w:r>
    </w:p>
    <w:p w14:paraId="5D41E527"/>
    <w:p w14:paraId="3FA44E3C">
      <w:pPr>
        <w:ind w:firstLine="422"/>
      </w:pPr>
      <w:r>
        <w:rPr>
          <w:rFonts w:hint="eastAsia"/>
          <w:b/>
        </w:rPr>
        <w:t>第一条</w:t>
      </w:r>
      <w:r>
        <w:rPr>
          <w:rFonts w:hint="eastAsia"/>
        </w:rPr>
        <w:t xml:space="preserve">  为了加强精神卫生工作，提高公民的精神健康水平，保障精神疾病患者的合法权益，促进社会的和谐稳定，根据有关法律、法规，结合本市实际情况，制定本条例。</w:t>
      </w:r>
    </w:p>
    <w:p w14:paraId="6187C367">
      <w:pPr>
        <w:ind w:firstLine="422"/>
      </w:pPr>
      <w:r>
        <w:rPr>
          <w:rFonts w:hint="eastAsia"/>
          <w:b/>
        </w:rPr>
        <w:t>第二条</w:t>
      </w:r>
      <w:r>
        <w:rPr>
          <w:rFonts w:hint="eastAsia"/>
        </w:rPr>
        <w:t xml:space="preserve">  本条例适用于本市行政区域内的精神健康促进和精神疾病的预防、诊断、治疗、康复等精神卫生服务以及相关的行政管理活动。</w:t>
      </w:r>
    </w:p>
    <w:p w14:paraId="1819E8E1">
      <w:pPr>
        <w:ind w:firstLine="422"/>
      </w:pPr>
      <w:r>
        <w:rPr>
          <w:rFonts w:hint="eastAsia"/>
          <w:b/>
        </w:rPr>
        <w:t>第三条</w:t>
      </w:r>
      <w:r>
        <w:rPr>
          <w:rFonts w:hint="eastAsia"/>
        </w:rPr>
        <w:t xml:space="preserve">  本市精神卫生工作遵循属地管理原则，坚持预防为主、防治结合、重点干预、广泛覆盖、依法管理的方针，建立政府领导、部门合作、社会参与的工作机制。</w:t>
      </w:r>
    </w:p>
    <w:p w14:paraId="0FFEB70D">
      <w:pPr>
        <w:ind w:firstLine="422"/>
      </w:pPr>
      <w:r>
        <w:rPr>
          <w:rFonts w:hint="eastAsia"/>
          <w:b/>
        </w:rPr>
        <w:t>第四条</w:t>
      </w:r>
      <w:r>
        <w:rPr>
          <w:rFonts w:hint="eastAsia"/>
        </w:rPr>
        <w:t xml:space="preserve">  精神卫生工作是本市公共卫生体系建设的重要组成部分，应当纳入国民经济和社会发展规划。</w:t>
      </w:r>
    </w:p>
    <w:p w14:paraId="0BD29E4B">
      <w:r>
        <w:rPr>
          <w:rFonts w:hint="eastAsia"/>
        </w:rPr>
        <w:t>本市根据经济社会发展水平和精神卫生工作需要，建立精神卫生工作经费保障制度，完善精神卫生服务网络，推动精神卫生事业的发展。</w:t>
      </w:r>
    </w:p>
    <w:p w14:paraId="7FE58C76">
      <w:pPr>
        <w:ind w:firstLine="422"/>
      </w:pPr>
      <w:r>
        <w:rPr>
          <w:rFonts w:hint="eastAsia"/>
          <w:b/>
        </w:rPr>
        <w:t>第五条</w:t>
      </w:r>
      <w:r>
        <w:rPr>
          <w:rFonts w:hint="eastAsia"/>
        </w:rPr>
        <w:t xml:space="preserve">  市和区、县人民政府统一组织领导本行政区域内的精神卫生工作。</w:t>
      </w:r>
    </w:p>
    <w:p w14:paraId="5C92ED03">
      <w:r>
        <w:rPr>
          <w:rFonts w:hint="eastAsia"/>
        </w:rPr>
        <w:t>市和区、县卫生行政部门是精神卫生工作的主管部门，负责组织制定和实施精神卫生工作规划，对精神卫生工作进行监督管理。</w:t>
      </w:r>
    </w:p>
    <w:p w14:paraId="659B2508">
      <w:r>
        <w:rPr>
          <w:rFonts w:hint="eastAsia"/>
        </w:rPr>
        <w:t>民政、公安、财政、人事、教育、发展改革、司法行政、工商、劳动和社会保障等行政部门和街道办事处、乡镇人民政府，应当在各自的职责范围内做好精神卫生相关工作。</w:t>
      </w:r>
    </w:p>
    <w:p w14:paraId="2EB4714E">
      <w:r>
        <w:rPr>
          <w:rFonts w:hint="eastAsia"/>
        </w:rPr>
        <w:t>工会、共青团、妇联、残联以及老龄委等社会团体和居民委员会、村民委员会，应当按照本条例的规定协助做好精神卫生工作。</w:t>
      </w:r>
    </w:p>
    <w:p w14:paraId="594D8E55">
      <w:pPr>
        <w:ind w:firstLine="422"/>
      </w:pPr>
      <w:r>
        <w:rPr>
          <w:rFonts w:hint="eastAsia"/>
          <w:b/>
        </w:rPr>
        <w:t>第六条</w:t>
      </w:r>
      <w:r>
        <w:rPr>
          <w:rFonts w:hint="eastAsia"/>
        </w:rPr>
        <w:t xml:space="preserve">  精神疾病患者的合法权益受法律保护。</w:t>
      </w:r>
    </w:p>
    <w:p w14:paraId="6016DAC4">
      <w:r>
        <w:rPr>
          <w:rFonts w:hint="eastAsia"/>
        </w:rPr>
        <w:t>禁止歧视、侮辱精神疾病患者及其家庭成员；禁止虐待、遗弃精神疾病患者。</w:t>
      </w:r>
    </w:p>
    <w:p w14:paraId="307FF2EA">
      <w:pPr>
        <w:ind w:firstLine="422"/>
      </w:pPr>
      <w:r>
        <w:rPr>
          <w:rFonts w:hint="eastAsia"/>
          <w:b/>
        </w:rPr>
        <w:t>第七条</w:t>
      </w:r>
      <w:r>
        <w:rPr>
          <w:rFonts w:hint="eastAsia"/>
        </w:rPr>
        <w:t xml:space="preserve">  精神卫生从业人员的合法权益受法律保护。</w:t>
      </w:r>
    </w:p>
    <w:p w14:paraId="52DC89DE">
      <w:r>
        <w:rPr>
          <w:rFonts w:hint="eastAsia"/>
        </w:rPr>
        <w:t>全社会应当尊重和理解精神卫生从业人员。任何单位和个人不得干扰精神卫生机构及其从业人员的正常执业活动。</w:t>
      </w:r>
    </w:p>
    <w:p w14:paraId="1C08BA8F">
      <w:r>
        <w:rPr>
          <w:rFonts w:hint="eastAsia"/>
        </w:rPr>
        <w:t>本市各级人民政府及其有关部门应当采取措施加强精神卫生从业人员的职业保护。</w:t>
      </w:r>
    </w:p>
    <w:p w14:paraId="0C293103">
      <w:pPr>
        <w:ind w:firstLine="422"/>
      </w:pPr>
      <w:r>
        <w:rPr>
          <w:rFonts w:hint="eastAsia"/>
          <w:b/>
        </w:rPr>
        <w:t>第八条</w:t>
      </w:r>
      <w:r>
        <w:rPr>
          <w:rFonts w:hint="eastAsia"/>
        </w:rPr>
        <w:t xml:space="preserve">  本市鼓励单位和个人关心、帮助精神疾病患者及其家庭，以提供资助、志愿服务等多种形式支持精神卫生事业的发展。</w:t>
      </w:r>
    </w:p>
    <w:p w14:paraId="07B651AB">
      <w:r>
        <w:rPr>
          <w:rFonts w:hint="eastAsia"/>
        </w:rPr>
        <w:t>本市对在精神卫生工作中做出突出贡献的单位和个人给予表彰或者奖励。</w:t>
      </w:r>
    </w:p>
    <w:p w14:paraId="64489EB1"/>
    <w:p w14:paraId="248CD59C">
      <w:pPr>
        <w:ind w:firstLine="0" w:firstLineChars="0"/>
        <w:jc w:val="center"/>
        <w:rPr>
          <w:b/>
          <w:sz w:val="28"/>
        </w:rPr>
      </w:pPr>
      <w:r>
        <w:rPr>
          <w:rFonts w:hint="eastAsia"/>
          <w:b/>
          <w:sz w:val="28"/>
        </w:rPr>
        <w:t>第二章  精神健康促进与精神疾病预防</w:t>
      </w:r>
    </w:p>
    <w:p w14:paraId="517EB5A7"/>
    <w:p w14:paraId="6589F922">
      <w:pPr>
        <w:ind w:firstLine="422"/>
      </w:pPr>
      <w:r>
        <w:rPr>
          <w:rFonts w:hint="eastAsia"/>
          <w:b/>
        </w:rPr>
        <w:t>第九条</w:t>
      </w:r>
      <w:r>
        <w:rPr>
          <w:rFonts w:hint="eastAsia"/>
        </w:rPr>
        <w:t xml:space="preserve">  本市建立以精神疾病预防控制机构为主体、医疗机构为骨干、社区为基础、家庭为依托的精神疾病预防控制体系。具体办法由市卫生行政部门另行制定。</w:t>
      </w:r>
    </w:p>
    <w:p w14:paraId="16F8BB2B">
      <w:pPr>
        <w:ind w:firstLine="422"/>
      </w:pPr>
      <w:r>
        <w:rPr>
          <w:rFonts w:hint="eastAsia"/>
          <w:b/>
        </w:rPr>
        <w:t>第十条</w:t>
      </w:r>
      <w:r>
        <w:rPr>
          <w:rFonts w:hint="eastAsia"/>
        </w:rPr>
        <w:t xml:space="preserve">  本市建立精神疾病信息报告制度。</w:t>
      </w:r>
    </w:p>
    <w:p w14:paraId="1B9F062A">
      <w:r>
        <w:rPr>
          <w:rFonts w:hint="eastAsia"/>
        </w:rPr>
        <w:t>市卫生行政部门应当建立精神疾病信息分类报告和管理系统。</w:t>
      </w:r>
    </w:p>
    <w:p w14:paraId="09A6E7F0">
      <w:r>
        <w:rPr>
          <w:rFonts w:hint="eastAsia"/>
        </w:rPr>
        <w:t>医疗机构应当按照市卫生行政部门规定的内容、程序、时限和方式将确诊患有精神疾病的患者情况，向该医疗机构所在区、县的精神疾病预防控制机构报告。区、县精神疾病预防控制机构应当对信息进行核实，并向市精神疾病预防控制机构报告。</w:t>
      </w:r>
    </w:p>
    <w:p w14:paraId="7F12296D">
      <w:pPr>
        <w:ind w:firstLine="422"/>
      </w:pPr>
      <w:r>
        <w:rPr>
          <w:rFonts w:hint="eastAsia"/>
          <w:b/>
        </w:rPr>
        <w:t>第十一条</w:t>
      </w:r>
      <w:r>
        <w:rPr>
          <w:rFonts w:hint="eastAsia"/>
        </w:rPr>
        <w:t xml:space="preserve">  区、县精神疾病预防控制机构应当对重性精神疾病患者建立档案，并将重性精神疾病患者信息通报社区卫生服务机构和街道办事处、乡镇人民政府。街道办事处、乡镇人民政府应当及时了解本辖区重性精神疾病患者的情况，并与精神疾病预防控制机构建立患者信息沟通机制。</w:t>
      </w:r>
    </w:p>
    <w:p w14:paraId="62C85C95">
      <w:r>
        <w:rPr>
          <w:rFonts w:hint="eastAsia"/>
        </w:rPr>
        <w:t>区、县精神疾病预防控制机构和社区卫生服务机构应当定期访视重性精神疾病患者。居民委员会、村民委员会应当协助进行定期访视，并根据精神疾病患者的病情需要，协助其进行治疗。</w:t>
      </w:r>
    </w:p>
    <w:p w14:paraId="509289DC">
      <w:pPr>
        <w:ind w:firstLine="422"/>
      </w:pPr>
      <w:r>
        <w:rPr>
          <w:rFonts w:hint="eastAsia"/>
          <w:b/>
        </w:rPr>
        <w:t>第十二条</w:t>
      </w:r>
      <w:r>
        <w:rPr>
          <w:rFonts w:hint="eastAsia"/>
        </w:rPr>
        <w:t xml:space="preserve">  市和区、县人民政府应当将重大灾害的心理危机干预工作列入突发公共事件的应急预案。卫生行政部门应当组织开展心理危机干预的业务培训。</w:t>
      </w:r>
    </w:p>
    <w:p w14:paraId="25577EFC">
      <w:r>
        <w:rPr>
          <w:rFonts w:hint="eastAsia"/>
        </w:rPr>
        <w:t>市和区、县人民政府及其有关部门在重大灾害处理过程中，应当组织开展心理危机干预工作，降低重大灾害发生后精神疾病的发病率。</w:t>
      </w:r>
    </w:p>
    <w:p w14:paraId="7E0DDD7A">
      <w:pPr>
        <w:ind w:firstLine="422"/>
      </w:pPr>
      <w:r>
        <w:rPr>
          <w:rFonts w:hint="eastAsia"/>
          <w:b/>
        </w:rPr>
        <w:t>第十三条</w:t>
      </w:r>
      <w:r>
        <w:rPr>
          <w:rFonts w:hint="eastAsia"/>
        </w:rPr>
        <w:t xml:space="preserve">  市和区、行政部门应当组织开展精神健康教育工作，普及精神卫生知识，提高公民的精神健康水平，预防精神疾病的发生。</w:t>
      </w:r>
    </w:p>
    <w:p w14:paraId="19C9870A">
      <w:r>
        <w:rPr>
          <w:rFonts w:hint="eastAsia"/>
        </w:rPr>
        <w:t>市和区、县卫生行政部门应当加强对精神卫生专业人员的在职培训，提高其业务水平和工作能力；加强对医疗机构中非精神卫生专业人员的培训和教育，提高其识别精神疾病的能力；为公安、司法行政、民政、教育等行政部门以及相关社会团体开展精神卫生知识培训提供技术支持。</w:t>
      </w:r>
    </w:p>
    <w:p w14:paraId="3EE3ADDC">
      <w:pPr>
        <w:ind w:firstLine="422"/>
      </w:pPr>
      <w:r>
        <w:rPr>
          <w:rFonts w:hint="eastAsia"/>
          <w:b/>
        </w:rPr>
        <w:t>第十四条</w:t>
      </w:r>
      <w:r>
        <w:rPr>
          <w:rFonts w:hint="eastAsia"/>
        </w:rPr>
        <w:t xml:space="preserve">  教育、卫生行政部门应当对教师进行精神卫生知识培训，提高其促进学生精神健康的能力。学校应当为教师接受精神卫生知识培训提供必要条件。</w:t>
      </w:r>
    </w:p>
    <w:p w14:paraId="4ADDD1BA">
      <w:r>
        <w:rPr>
          <w:rFonts w:hint="eastAsia"/>
        </w:rPr>
        <w:t>学校应当将精神健康教育纳入教学计划，针对不同年龄阶段学生的特点，开展精神健康教育、咨询、辅导，创造有利于学生精神健康的学习环境，促进学生身心健康。高等学校和有条件的中小学校应当配备专业人员，为学生提供心理咨询服务。</w:t>
      </w:r>
    </w:p>
    <w:p w14:paraId="26D7C36B">
      <w:pPr>
        <w:ind w:firstLine="422"/>
      </w:pPr>
      <w:r>
        <w:rPr>
          <w:rFonts w:hint="eastAsia"/>
          <w:b/>
        </w:rPr>
        <w:t>第十五条</w:t>
      </w:r>
      <w:r>
        <w:rPr>
          <w:rFonts w:hint="eastAsia"/>
        </w:rPr>
        <w:t xml:space="preserve">  公安、司法行政等部门应当创造条件，加强对看守所、劳动教养场所、监狱内监管工作人员精神卫生知识的培训。</w:t>
      </w:r>
    </w:p>
    <w:p w14:paraId="3567F3B7">
      <w:r>
        <w:rPr>
          <w:rFonts w:hint="eastAsia"/>
        </w:rPr>
        <w:t>看守所、劳动教养场所、监狱应当对被监管人员加强精神卫生知识的宣传和教育，针对不同类型的被监管人员，提供心理咨询服务。</w:t>
      </w:r>
    </w:p>
    <w:p w14:paraId="02D31220">
      <w:pPr>
        <w:ind w:firstLine="422"/>
      </w:pPr>
      <w:r>
        <w:rPr>
          <w:rFonts w:hint="eastAsia"/>
          <w:b/>
        </w:rPr>
        <w:t>第十六条</w:t>
      </w:r>
      <w:r>
        <w:rPr>
          <w:rFonts w:hint="eastAsia"/>
        </w:rPr>
        <w:t xml:space="preserve">  科技行政部门应当加强经费投入，鼓励和支持科研院所、高等学校和医疗卫生机构开展精神卫生的基础研究和临床研究，提高精神疾病预防、诊断、治疗和康复的科学技术水平。</w:t>
      </w:r>
    </w:p>
    <w:p w14:paraId="3FB8FDB6">
      <w:pPr>
        <w:ind w:firstLine="422"/>
      </w:pPr>
      <w:r>
        <w:rPr>
          <w:rFonts w:hint="eastAsia"/>
          <w:b/>
        </w:rPr>
        <w:t>第十七条</w:t>
      </w:r>
      <w:r>
        <w:rPr>
          <w:rFonts w:hint="eastAsia"/>
        </w:rPr>
        <w:t xml:space="preserve">  街道办事处、乡镇人民政府应当宣传精神卫生知识，指导居民委员会、村民委员会组织居民开展健康有益的活动，营造有利于居民身心健康的生活环境。</w:t>
      </w:r>
    </w:p>
    <w:p w14:paraId="4F20940D">
      <w:pPr>
        <w:ind w:firstLine="422"/>
      </w:pPr>
      <w:r>
        <w:rPr>
          <w:rFonts w:hint="eastAsia"/>
          <w:b/>
        </w:rPr>
        <w:t>第十八条</w:t>
      </w:r>
      <w:r>
        <w:rPr>
          <w:rFonts w:hint="eastAsia"/>
        </w:rPr>
        <w:t xml:space="preserve">  医疗机构应当向就医者宣传精神卫生知识、提供心理咨询服务，为社会开展精神卫生知识宣传和服务提供技术指导。</w:t>
      </w:r>
    </w:p>
    <w:p w14:paraId="0E777B44">
      <w:pPr>
        <w:ind w:firstLine="422"/>
      </w:pPr>
      <w:r>
        <w:rPr>
          <w:rFonts w:hint="eastAsia"/>
          <w:b/>
        </w:rPr>
        <w:t>第十九条</w:t>
      </w:r>
      <w:r>
        <w:rPr>
          <w:rFonts w:hint="eastAsia"/>
        </w:rPr>
        <w:t xml:space="preserve">  残联、妇联、共青团、老龄委等社会团体应当针对残疾人、妇女、儿童、青少年、老年人等人群的特点，开展精神卫生知识的宣传、普及工作。</w:t>
      </w:r>
    </w:p>
    <w:p w14:paraId="029E2FD7">
      <w:pPr>
        <w:ind w:firstLine="422"/>
      </w:pPr>
      <w:r>
        <w:rPr>
          <w:rFonts w:hint="eastAsia"/>
          <w:b/>
        </w:rPr>
        <w:t>第二十条</w:t>
      </w:r>
      <w:r>
        <w:rPr>
          <w:rFonts w:hint="eastAsia"/>
        </w:rPr>
        <w:t xml:space="preserve">  广播、电视、报刊等新闻媒体应当向公众开展精神卫生知识的公益性宣传。</w:t>
      </w:r>
    </w:p>
    <w:p w14:paraId="0B57FED7">
      <w:pPr>
        <w:ind w:firstLine="422"/>
      </w:pPr>
      <w:r>
        <w:rPr>
          <w:rFonts w:hint="eastAsia"/>
          <w:b/>
        </w:rPr>
        <w:t>第二十一条</w:t>
      </w:r>
      <w:r>
        <w:rPr>
          <w:rFonts w:hint="eastAsia"/>
        </w:rPr>
        <w:t xml:space="preserve">  国家机关、社会团体、企业事业单位及其他组织应当关心职工的精神健康，普及精神卫生知识，创造有利于职工身心健康的工作环境，提高职工的精神健康水平。</w:t>
      </w:r>
    </w:p>
    <w:p w14:paraId="23A808F7">
      <w:pPr>
        <w:ind w:firstLine="422"/>
      </w:pPr>
      <w:r>
        <w:rPr>
          <w:rFonts w:hint="eastAsia"/>
          <w:b/>
        </w:rPr>
        <w:t>第二十二条</w:t>
      </w:r>
      <w:r>
        <w:rPr>
          <w:rFonts w:hint="eastAsia"/>
        </w:rPr>
        <w:t xml:space="preserve">  设立营利性心理咨询机构应当向工商行政管理部门依法登记，领取营业执照；设立非营利性心理咨询机构应当向民政部门登记，取得《民办非企业单位登记证书》。</w:t>
      </w:r>
    </w:p>
    <w:p w14:paraId="39FFEF75">
      <w:r>
        <w:rPr>
          <w:rFonts w:hint="eastAsia"/>
        </w:rPr>
        <w:t>心理咨询机构不得从事精神疾病的诊断、治疗。</w:t>
      </w:r>
    </w:p>
    <w:p w14:paraId="6CB6E9EF">
      <w:pPr>
        <w:ind w:firstLine="422"/>
      </w:pPr>
      <w:r>
        <w:rPr>
          <w:rFonts w:hint="eastAsia"/>
          <w:b/>
        </w:rPr>
        <w:t>第二十三条</w:t>
      </w:r>
      <w:r>
        <w:rPr>
          <w:rFonts w:hint="eastAsia"/>
        </w:rPr>
        <w:t xml:space="preserve">  心理咨询机构的心理咨询人员应当从下列人员中聘用：</w:t>
      </w:r>
    </w:p>
    <w:p w14:paraId="66548CE5">
      <w:r>
        <w:rPr>
          <w:rFonts w:hint="eastAsia"/>
        </w:rPr>
        <w:t>（一）具有心理学专业学历证书的人员；</w:t>
      </w:r>
    </w:p>
    <w:p w14:paraId="37239FD7">
      <w:r>
        <w:rPr>
          <w:rFonts w:hint="eastAsia"/>
        </w:rPr>
        <w:t>（二）具有心理咨询国家职业资格证书的人员；</w:t>
      </w:r>
    </w:p>
    <w:p w14:paraId="33E6AE73">
      <w:r>
        <w:rPr>
          <w:rFonts w:hint="eastAsia"/>
        </w:rPr>
        <w:t>（三）具有精神科执业医师资格的人员。</w:t>
      </w:r>
    </w:p>
    <w:p w14:paraId="47AA57EC">
      <w:r>
        <w:rPr>
          <w:rFonts w:hint="eastAsia"/>
        </w:rPr>
        <w:t>心理咨询机构及其从业人员的执业规范，由市卫生、劳动和社会保障、人事等行政部门共同制定。</w:t>
      </w:r>
    </w:p>
    <w:p w14:paraId="05D3D986"/>
    <w:p w14:paraId="180C045F">
      <w:pPr>
        <w:ind w:firstLine="0" w:firstLineChars="0"/>
        <w:jc w:val="center"/>
        <w:rPr>
          <w:b/>
          <w:sz w:val="28"/>
        </w:rPr>
      </w:pPr>
      <w:r>
        <w:rPr>
          <w:rFonts w:hint="eastAsia"/>
          <w:b/>
          <w:sz w:val="28"/>
        </w:rPr>
        <w:t>第三章  精神疾病的诊断与治疗</w:t>
      </w:r>
    </w:p>
    <w:p w14:paraId="03DE016E"/>
    <w:p w14:paraId="42E779B2">
      <w:pPr>
        <w:ind w:firstLine="422"/>
      </w:pPr>
      <w:r>
        <w:rPr>
          <w:rFonts w:hint="eastAsia"/>
          <w:b/>
        </w:rPr>
        <w:t>第二十四条</w:t>
      </w:r>
      <w:r>
        <w:rPr>
          <w:rFonts w:hint="eastAsia"/>
        </w:rPr>
        <w:t xml:space="preserve">  精神疾病的诊断、治疗机构应当取得卫生行政部门核发的《医疗机构执业许可证》，具备与开展精神疾病诊断和治疗相适应的设备、设施以及专业技术人员，建立健全管理制度。</w:t>
      </w:r>
    </w:p>
    <w:p w14:paraId="655EA204">
      <w:pPr>
        <w:ind w:firstLine="422"/>
      </w:pPr>
      <w:r>
        <w:rPr>
          <w:rFonts w:hint="eastAsia"/>
          <w:b/>
        </w:rPr>
        <w:t>第二十五条</w:t>
      </w:r>
      <w:r>
        <w:rPr>
          <w:rFonts w:hint="eastAsia"/>
        </w:rPr>
        <w:t xml:space="preserve">  本市三级综合性医疗机构应当开设从事精神卫生服务的专科门诊；社区卫生服务机构应当根据精神卫生工作的需求，开展相关精神卫生服务。</w:t>
      </w:r>
    </w:p>
    <w:p w14:paraId="107AB72E">
      <w:pPr>
        <w:ind w:firstLine="422"/>
      </w:pPr>
      <w:r>
        <w:rPr>
          <w:rFonts w:hint="eastAsia"/>
          <w:b/>
        </w:rPr>
        <w:t>第二十六条</w:t>
      </w:r>
      <w:r>
        <w:rPr>
          <w:rFonts w:hint="eastAsia"/>
        </w:rPr>
        <w:t xml:space="preserve">  从事精神疾病诊断、治疗的人员应当具有医师执业证书；重性精神疾病的诊断应当由具有二年以上精神疾病诊断、治疗工作经验的精神科医师作出。</w:t>
      </w:r>
    </w:p>
    <w:p w14:paraId="548DA817">
      <w:r>
        <w:rPr>
          <w:rFonts w:hint="eastAsia"/>
        </w:rPr>
        <w:t>精神疾病的诊断、治疗应当严格遵守相关法律、法规和精神疾病诊断标准、诊疗规范。</w:t>
      </w:r>
    </w:p>
    <w:p w14:paraId="6E8DB46F">
      <w:pPr>
        <w:ind w:firstLine="422"/>
      </w:pPr>
      <w:r>
        <w:rPr>
          <w:rFonts w:hint="eastAsia"/>
          <w:b/>
        </w:rPr>
        <w:t>第二十七条</w:t>
      </w:r>
      <w:r>
        <w:rPr>
          <w:rFonts w:hint="eastAsia"/>
        </w:rPr>
        <w:t xml:space="preserve">  被诊断患有精神疾病的患者或者其监护人、近亲属对诊断结论有异议的，可以向作出诊断的医疗机构申请诊断复核。医疗机构应当在收到申请之日起三个月内完成诊断复核。诊断复核结论应当由具有副主任医师以上职称的精神科医师作出。</w:t>
      </w:r>
    </w:p>
    <w:p w14:paraId="2E0504DA">
      <w:r>
        <w:rPr>
          <w:rFonts w:hint="eastAsia"/>
        </w:rPr>
        <w:t>对经诊断复核未能确诊或者对诊断复核结论有异议的，医疗机构应当组织会诊。</w:t>
      </w:r>
    </w:p>
    <w:p w14:paraId="5F6D94B6">
      <w:pPr>
        <w:ind w:firstLine="422"/>
      </w:pPr>
      <w:r>
        <w:rPr>
          <w:rFonts w:hint="eastAsia"/>
          <w:b/>
        </w:rPr>
        <w:t>第二十八条</w:t>
      </w:r>
      <w:r>
        <w:rPr>
          <w:rFonts w:hint="eastAsia"/>
        </w:rPr>
        <w:t xml:space="preserve">  与精神疾病患者有人身或者财产利害关系的医师，不得为其进行诊断、诊断复核、会诊和治疗。</w:t>
      </w:r>
    </w:p>
    <w:p w14:paraId="6B84723D">
      <w:r>
        <w:rPr>
          <w:rFonts w:hint="eastAsia"/>
        </w:rPr>
        <w:t>对精神疾病进行诊断的医师，不得为同一精神疾病患者进行诊断复核和会诊。</w:t>
      </w:r>
    </w:p>
    <w:p w14:paraId="7D28CC78">
      <w:pPr>
        <w:ind w:firstLine="422"/>
      </w:pPr>
      <w:r>
        <w:rPr>
          <w:rFonts w:hint="eastAsia"/>
          <w:b/>
        </w:rPr>
        <w:t>第二十九条</w:t>
      </w:r>
      <w:r>
        <w:rPr>
          <w:rFonts w:hint="eastAsia"/>
        </w:rPr>
        <w:t xml:space="preserve">  精神疾病患者自愿到医疗机构接受治疗的，由本人或者其监护人、近亲属办理就医手续。</w:t>
      </w:r>
    </w:p>
    <w:p w14:paraId="49054459">
      <w:r>
        <w:rPr>
          <w:rFonts w:hint="eastAsia"/>
        </w:rPr>
        <w:t>自愿住院接受治疗的精神疾病患者，可以自行决定出院；精神科医师认为不宜出院的，应当告知理由，由其监护人或者近亲属决定是否出院，并由医疗机构在病历中记录。</w:t>
      </w:r>
    </w:p>
    <w:p w14:paraId="4367C750">
      <w:pPr>
        <w:ind w:firstLine="422"/>
      </w:pPr>
      <w:r>
        <w:rPr>
          <w:rFonts w:hint="eastAsia"/>
          <w:b/>
        </w:rPr>
        <w:t>第三十条</w:t>
      </w:r>
      <w:r>
        <w:rPr>
          <w:rFonts w:hint="eastAsia"/>
        </w:rPr>
        <w:t xml:space="preserve">  经诊断患有重性精神疾病的患者，诊断医师应当提出医学保护性住院的建议。</w:t>
      </w:r>
    </w:p>
    <w:p w14:paraId="4AA8541C">
      <w:r>
        <w:rPr>
          <w:rFonts w:hint="eastAsia"/>
        </w:rPr>
        <w:t>医学保护性住院由重性精神疾病患者的监护人或者近亲属办理住院手续。监护人或者近亲属拒绝重性精神疾病患者接受医学保护性住院治疗的，应当说明理由，并由医疗机构在病历中记录。</w:t>
      </w:r>
    </w:p>
    <w:p w14:paraId="48F5DDBC">
      <w:r>
        <w:rPr>
          <w:rFonts w:hint="eastAsia"/>
        </w:rPr>
        <w:t>经二名具有主治医师以上职称的精神科医师诊断，认为重性精神疾病患者可以出院的，由精神科医师出具出院通知书，重性精神疾病患者的监护人或者近亲属办理出院手续；重性精神疾病患者要求出院，但精神科医师认为患者不宜出院的，应当告知理由，由其监护人或者近亲属决定是否出院，并由医疗机构在病历中记录。</w:t>
      </w:r>
    </w:p>
    <w:p w14:paraId="1E576B0A">
      <w:pPr>
        <w:ind w:firstLine="422"/>
      </w:pPr>
      <w:r>
        <w:rPr>
          <w:rFonts w:hint="eastAsia"/>
          <w:b/>
        </w:rPr>
        <w:t>第三十一条</w:t>
      </w:r>
      <w:r>
        <w:rPr>
          <w:rFonts w:hint="eastAsia"/>
        </w:rPr>
        <w:t xml:space="preserve">  精神疾病患者有危害或者严重威胁公共安全或者他人人身、财产安全的行为的，公安机关可以将其送至精神卫生医疗机构，并及时通知其监护人或者近亲属；单位和个人发现上述情形的，可以制止并应当及时向公安机关报告。具体办法由市公安局会同有关部门制定。</w:t>
      </w:r>
    </w:p>
    <w:p w14:paraId="0E322A7F">
      <w:pPr>
        <w:ind w:firstLine="422"/>
      </w:pPr>
      <w:r>
        <w:rPr>
          <w:rFonts w:hint="eastAsia"/>
          <w:b/>
        </w:rPr>
        <w:t>第三十二条</w:t>
      </w:r>
      <w:r>
        <w:rPr>
          <w:rFonts w:hint="eastAsia"/>
        </w:rPr>
        <w:t xml:space="preserve">  对公安机关送来的精神疾病患者，应当由二名具有主治医师以上职称的精神科医师对其进行诊断。经诊断认为不需要住院治疗的，由医疗机构及时通知公安机关将精神疾病患者接回，交给其监护人或者近亲属；经诊断认为需要住院治疗的，由公安机关通知精神疾病患者的监护人或者近亲属办理住院手续。对无法通知到精神疾病患者监护人、近亲属的或者监护人、近亲属拒绝办理住院手续的，公安机关可以先行办理，并由医疗机构在病历中记录。</w:t>
      </w:r>
    </w:p>
    <w:p w14:paraId="4CBDBFC2">
      <w:r>
        <w:rPr>
          <w:rFonts w:hint="eastAsia"/>
        </w:rPr>
        <w:t>经二名具有主治医师以上职称的精神科医师诊断，认为精神疾病患者可以出院的，由公安机关通知精神疾病患者的监护人或者近亲属办理出院手续。监护人、近亲属拒绝办理出院手续的，由公安机关办理，将其交给监护人或者近亲属，并由医疗机构在病历中记录。</w:t>
      </w:r>
    </w:p>
    <w:p w14:paraId="147370D1">
      <w:pPr>
        <w:ind w:firstLine="422"/>
      </w:pPr>
      <w:r>
        <w:rPr>
          <w:rFonts w:hint="eastAsia"/>
          <w:b/>
        </w:rPr>
        <w:t>第三十三条</w:t>
      </w:r>
      <w:r>
        <w:rPr>
          <w:rFonts w:hint="eastAsia"/>
        </w:rPr>
        <w:t xml:space="preserve">  精神疾病患者的监护人或者近亲属应当履行下列职责：</w:t>
      </w:r>
    </w:p>
    <w:p w14:paraId="5310AC3A">
      <w:r>
        <w:rPr>
          <w:rFonts w:hint="eastAsia"/>
        </w:rPr>
        <w:t>（一）妥善看管、照顾精神疾病患者，防止其伤害自身、危害他人或者社会；</w:t>
      </w:r>
    </w:p>
    <w:p w14:paraId="41860B97">
      <w:r>
        <w:rPr>
          <w:rFonts w:hint="eastAsia"/>
        </w:rPr>
        <w:t>（二）根据医嘱，督促精神疾病患者接受治疗，为需要住院治疗的患者办理住院手；</w:t>
      </w:r>
    </w:p>
    <w:p w14:paraId="5A39D545">
      <w:bookmarkStart w:id="2399" w:name="_Toc428780667"/>
      <w:r>
        <w:rPr>
          <w:rFonts w:hint="eastAsia"/>
        </w:rPr>
        <w:t>（三）为经诊断可以出院的精神疾病患者办理出院手续；</w:t>
      </w:r>
      <w:bookmarkEnd w:id="2399"/>
    </w:p>
    <w:p w14:paraId="7A85F7F0">
      <w:r>
        <w:rPr>
          <w:rFonts w:hint="eastAsia"/>
        </w:rPr>
        <w:t>（四）帮助精神疾病患者接受康复治疗或者职业技能培训；</w:t>
      </w:r>
    </w:p>
    <w:p w14:paraId="769F01C7">
      <w:r>
        <w:rPr>
          <w:rFonts w:hint="eastAsia"/>
        </w:rPr>
        <w:t>（五）法律、法规规定的其他职责。</w:t>
      </w:r>
    </w:p>
    <w:p w14:paraId="08A1B429"/>
    <w:p w14:paraId="7DA7D1E8">
      <w:pPr>
        <w:ind w:firstLine="0" w:firstLineChars="0"/>
        <w:jc w:val="center"/>
        <w:rPr>
          <w:b/>
          <w:sz w:val="28"/>
        </w:rPr>
      </w:pPr>
      <w:r>
        <w:rPr>
          <w:rFonts w:hint="eastAsia"/>
          <w:b/>
          <w:sz w:val="28"/>
        </w:rPr>
        <w:t>第四章  精神疾病的康复</w:t>
      </w:r>
    </w:p>
    <w:p w14:paraId="5AA56C52"/>
    <w:p w14:paraId="3BCF3F0F">
      <w:pPr>
        <w:ind w:firstLine="422"/>
      </w:pPr>
      <w:r>
        <w:rPr>
          <w:rFonts w:hint="eastAsia"/>
          <w:b/>
        </w:rPr>
        <w:t>第三十四条</w:t>
      </w:r>
      <w:r>
        <w:rPr>
          <w:rFonts w:hint="eastAsia"/>
        </w:rPr>
        <w:t xml:space="preserve">  本市逐步建立以社区康复为基础、家庭康复为依托、精神卫生机构提供专业技术指导的精神疾病康复体系。</w:t>
      </w:r>
    </w:p>
    <w:p w14:paraId="51E6C5B4">
      <w:pPr>
        <w:ind w:firstLine="422"/>
      </w:pPr>
      <w:r>
        <w:rPr>
          <w:rFonts w:hint="eastAsia"/>
          <w:b/>
        </w:rPr>
        <w:t>第三十五条</w:t>
      </w:r>
      <w:r>
        <w:rPr>
          <w:rFonts w:hint="eastAsia"/>
        </w:rPr>
        <w:t xml:space="preserve">  区、县人民政府应当根据本辖区的实际需要，规划和建设社会福利性质的社区康复机构，为精神疾病患者提供康复服务。</w:t>
      </w:r>
    </w:p>
    <w:p w14:paraId="6D358693">
      <w:r>
        <w:rPr>
          <w:rFonts w:hint="eastAsia"/>
        </w:rPr>
        <w:t>市和区、县民政、卫生等行政部门以及残联，应当在技术指导、资金投入等方面对社区康复机构给予支持。</w:t>
      </w:r>
    </w:p>
    <w:p w14:paraId="4145FD4E">
      <w:pPr>
        <w:ind w:firstLine="422"/>
      </w:pPr>
      <w:r>
        <w:rPr>
          <w:rFonts w:hint="eastAsia"/>
          <w:b/>
        </w:rPr>
        <w:t>第三十六条</w:t>
      </w:r>
      <w:r>
        <w:rPr>
          <w:rFonts w:hint="eastAsia"/>
        </w:rPr>
        <w:t xml:space="preserve">  社区康复机构应当安排精神疾病患者参加有利于康复的活动。有条件的社区康复机构，应当组织精神疾病患者从事职业康复活动，提高其生活自理能力和社会适应能力。</w:t>
      </w:r>
    </w:p>
    <w:p w14:paraId="52489188">
      <w:r>
        <w:rPr>
          <w:rFonts w:hint="eastAsia"/>
        </w:rPr>
        <w:t>鼓励企业将适合精神疾病患者生产的产品安排给社区康复机构生产。</w:t>
      </w:r>
    </w:p>
    <w:p w14:paraId="1BA75644">
      <w:pPr>
        <w:ind w:firstLine="422"/>
      </w:pPr>
      <w:r>
        <w:rPr>
          <w:rFonts w:hint="eastAsia"/>
          <w:b/>
        </w:rPr>
        <w:t>第三十七条</w:t>
      </w:r>
      <w:r>
        <w:rPr>
          <w:rFonts w:hint="eastAsia"/>
        </w:rPr>
        <w:t xml:space="preserve">  精神卫生医疗机构应当安排适当的人员和场地，为住院治疗的精神疾病患者提供医疗康复服务；精神疾病患者的监护人或者近亲属应当协助住院治疗的精神疾病患者进行康复训练，使其恢复社会适应能力，协助其回归社会。</w:t>
      </w:r>
    </w:p>
    <w:p w14:paraId="4105637D">
      <w:pPr>
        <w:ind w:firstLine="422"/>
      </w:pPr>
      <w:r>
        <w:rPr>
          <w:rFonts w:hint="eastAsia"/>
          <w:b/>
        </w:rPr>
        <w:t>第三十八条</w:t>
      </w:r>
      <w:r>
        <w:rPr>
          <w:rFonts w:hint="eastAsia"/>
        </w:rPr>
        <w:t xml:space="preserve">  精神疾病患者的家庭成员应当营造有利于精神疾病患者康复的环境，协助其进行家庭治疗以及生活自理能力、社会适应能力等方面的康复训练。</w:t>
      </w:r>
    </w:p>
    <w:p w14:paraId="41D68CF7">
      <w:pPr>
        <w:ind w:firstLine="422"/>
      </w:pPr>
      <w:r>
        <w:rPr>
          <w:rFonts w:hint="eastAsia"/>
          <w:b/>
        </w:rPr>
        <w:t>第三十九条</w:t>
      </w:r>
      <w:r>
        <w:rPr>
          <w:rFonts w:hint="eastAsia"/>
        </w:rPr>
        <w:t xml:space="preserve">  精神疾病预防控制机构、精神卫生医疗机构和社区卫生服务机构，应当指导社区康复机构和精神疾病患者家庭开展精神疾病的康复治疗，向精神疾病患者或者其监护人、近亲属传授康复方法、普及康复知识。</w:t>
      </w:r>
    </w:p>
    <w:p w14:paraId="3B00DA59"/>
    <w:p w14:paraId="4F536E7A">
      <w:pPr>
        <w:ind w:firstLine="0" w:firstLineChars="0"/>
        <w:jc w:val="center"/>
        <w:rPr>
          <w:b/>
          <w:sz w:val="28"/>
        </w:rPr>
      </w:pPr>
      <w:r>
        <w:rPr>
          <w:rFonts w:hint="eastAsia"/>
          <w:b/>
          <w:sz w:val="28"/>
        </w:rPr>
        <w:t>第五章  精神疾病患者的权益保障</w:t>
      </w:r>
    </w:p>
    <w:p w14:paraId="73285737"/>
    <w:p w14:paraId="47ED5635">
      <w:pPr>
        <w:ind w:firstLine="422"/>
      </w:pPr>
      <w:r>
        <w:rPr>
          <w:rFonts w:hint="eastAsia"/>
          <w:b/>
        </w:rPr>
        <w:t>第四十条</w:t>
      </w:r>
      <w:r>
        <w:rPr>
          <w:rFonts w:hint="eastAsia"/>
        </w:rPr>
        <w:t xml:space="preserve">  任何单位和个人不得非法限制精神疾病患者的人身自由。</w:t>
      </w:r>
    </w:p>
    <w:p w14:paraId="146F697F">
      <w:pPr>
        <w:ind w:firstLine="422"/>
      </w:pPr>
      <w:r>
        <w:rPr>
          <w:rFonts w:hint="eastAsia"/>
          <w:b/>
        </w:rPr>
        <w:t>第四十一条</w:t>
      </w:r>
      <w:r>
        <w:rPr>
          <w:rFonts w:hint="eastAsia"/>
        </w:rPr>
        <w:t xml:space="preserve">  精神疾病患者享有参加与其身体、精神状况相适应的生产劳动并取得相应劳动报酬的权利。任何单位和个人不得强迫精神疾病患者参加生产劳动。</w:t>
      </w:r>
    </w:p>
    <w:p w14:paraId="22781F00">
      <w:pPr>
        <w:ind w:firstLine="422"/>
      </w:pPr>
      <w:r>
        <w:rPr>
          <w:rFonts w:hint="eastAsia"/>
          <w:b/>
        </w:rPr>
        <w:t>第四十二条</w:t>
      </w:r>
      <w:r>
        <w:rPr>
          <w:rFonts w:hint="eastAsia"/>
        </w:rPr>
        <w:t xml:space="preserve">  政府部门、医疗机构、与精神卫生工作相关的其他单位其人员应当依法保护精神疾病患者的隐私权。</w:t>
      </w:r>
    </w:p>
    <w:p w14:paraId="16480484">
      <w:r>
        <w:rPr>
          <w:rFonts w:hint="eastAsia"/>
        </w:rPr>
        <w:t>未经精神疾病患者或者其监护人、近亲属书面同意，不得对该精神疾病患者进行录音、录像、摄影或者播放与该精神疾病患者有关的视听资料。</w:t>
      </w:r>
    </w:p>
    <w:p w14:paraId="12BFC6DD">
      <w:r>
        <w:rPr>
          <w:rFonts w:hint="eastAsia"/>
        </w:rPr>
        <w:t>因学术交流等原因需要在一定场合公开精神疾病患者病情资料的，应当隐去能够识别该精神疾病患者身份的内容。</w:t>
      </w:r>
    </w:p>
    <w:p w14:paraId="31D442CC">
      <w:pPr>
        <w:ind w:firstLine="422"/>
      </w:pPr>
      <w:r>
        <w:rPr>
          <w:rFonts w:hint="eastAsia"/>
          <w:b/>
        </w:rPr>
        <w:t>第四十三条</w:t>
      </w:r>
      <w:r>
        <w:rPr>
          <w:rFonts w:hint="eastAsia"/>
        </w:rPr>
        <w:t xml:space="preserve">  精神疾病患者及其监护人或者近亲属有权了解患者病情、诊断结论、治疗方法以及可能产生的后果。</w:t>
      </w:r>
    </w:p>
    <w:p w14:paraId="025A07F3">
      <w:r>
        <w:rPr>
          <w:rFonts w:hint="eastAsia"/>
        </w:rPr>
        <w:t>医疗或者教学机构需要精神疾病患者参与医学教学、科研或者接受新药、新治疗方法的临床试验的，应当书面告知本人或者其监护人、近亲属教学、科研和试验的目的、方法以及可能产生的后果，并取得精神疾病患者或者其监护人、近亲属的书面同意。</w:t>
      </w:r>
    </w:p>
    <w:p w14:paraId="2B733084">
      <w:pPr>
        <w:ind w:firstLine="422"/>
      </w:pPr>
      <w:r>
        <w:rPr>
          <w:rFonts w:hint="eastAsia"/>
          <w:b/>
        </w:rPr>
        <w:t>第四十四条</w:t>
      </w:r>
      <w:r>
        <w:rPr>
          <w:rFonts w:hint="eastAsia"/>
        </w:rPr>
        <w:t xml:space="preserve">  精神疾病患者享有通讯、会见来访者、处理私人财物等合法权益；因病情或者治疗等原因需要限制住院精神疾病患者上述权益时，医师或者护士应当将理由告知该精神疾病患者或者其监护人、近亲属，并由医疗机构在病历中记录。</w:t>
      </w:r>
    </w:p>
    <w:p w14:paraId="61CFB3E9">
      <w:pPr>
        <w:ind w:firstLine="422"/>
      </w:pPr>
      <w:r>
        <w:rPr>
          <w:rFonts w:hint="eastAsia"/>
          <w:b/>
        </w:rPr>
        <w:t>第四十五条</w:t>
      </w:r>
      <w:r>
        <w:rPr>
          <w:rFonts w:hint="eastAsia"/>
        </w:rPr>
        <w:t xml:space="preserve">  精神疾病患者康复后，依法享有受教育、就业等方面的权利。</w:t>
      </w:r>
    </w:p>
    <w:p w14:paraId="373AD5B6">
      <w:r>
        <w:rPr>
          <w:rFonts w:hint="eastAsia"/>
        </w:rPr>
        <w:t>精神疾病患者康复后，有权参加职业技能培训，提高就业能力，劳动和社会保障部门、残联应当推动其就业培训、安置等工作。</w:t>
      </w:r>
    </w:p>
    <w:p w14:paraId="2E204C3D">
      <w:r>
        <w:rPr>
          <w:rFonts w:hint="eastAsia"/>
        </w:rPr>
        <w:t>在劳动关系存续期间或者聘用合同期内，用人单位不得在规定的医疗期内以罹患精神疾病为由解除与精神疾病患者的劳动关系或者聘用关系；精神疾病患者康复后，在劳动关系存续期间或者聘用合同期内，其所在单位应当为其安排适当的工作，在待遇和福利等方面不得歧视。</w:t>
      </w:r>
    </w:p>
    <w:p w14:paraId="5EB8EB1F">
      <w:pPr>
        <w:ind w:firstLine="422"/>
      </w:pPr>
      <w:r>
        <w:rPr>
          <w:rFonts w:hint="eastAsia"/>
          <w:b/>
        </w:rPr>
        <w:t>第四十六条</w:t>
      </w:r>
      <w:r>
        <w:rPr>
          <w:rFonts w:hint="eastAsia"/>
        </w:rPr>
        <w:t xml:space="preserve">  参加本市基本医疗保险的精神疾病患者的医疗费用，按照国家和本市基本医疗保险的规定执行。农村精神疾病患者的医疗费用，按照新型农村合作医疗制度的规定执行。</w:t>
      </w:r>
    </w:p>
    <w:p w14:paraId="1531BE1B">
      <w:pPr>
        <w:ind w:firstLine="422"/>
      </w:pPr>
      <w:r>
        <w:rPr>
          <w:rFonts w:hint="eastAsia"/>
          <w:b/>
        </w:rPr>
        <w:t>第四十七条</w:t>
      </w:r>
      <w:r>
        <w:rPr>
          <w:rFonts w:hint="eastAsia"/>
        </w:rPr>
        <w:t xml:space="preserve">  具有本市户籍，无生活来源和劳动能力，又无法定赡养人、抚（扶）养人，或者法定赡养人、抚（扶）养人没有赡养、抚（扶）养能力的精神疾病患者，由民政部门指定的精神卫生医疗机构收治，医疗费用按照有关规定执行。</w:t>
      </w:r>
    </w:p>
    <w:p w14:paraId="4374E4DF">
      <w:r>
        <w:rPr>
          <w:rFonts w:hint="eastAsia"/>
        </w:rPr>
        <w:t>服现役期间罹患精神疾病的具有本市户籍的退伍、转业军人，其精神疾病的医疗费用，按照有关规定执行。</w:t>
      </w:r>
    </w:p>
    <w:p w14:paraId="1C91E329">
      <w:pPr>
        <w:ind w:firstLine="422"/>
      </w:pPr>
      <w:r>
        <w:rPr>
          <w:rFonts w:hint="eastAsia"/>
          <w:b/>
        </w:rPr>
        <w:t>第四十八条</w:t>
      </w:r>
      <w:r>
        <w:rPr>
          <w:rFonts w:hint="eastAsia"/>
        </w:rPr>
        <w:t xml:space="preserve">  市和区、县人民政府应当制定相关政策，对具有本市户籍、生活困难的精神疾病患者的医疗、康复费用给予资助。</w:t>
      </w:r>
    </w:p>
    <w:p w14:paraId="2465239E"/>
    <w:p w14:paraId="2B6232C1">
      <w:pPr>
        <w:ind w:firstLine="0" w:firstLineChars="0"/>
        <w:jc w:val="center"/>
        <w:rPr>
          <w:b/>
          <w:sz w:val="28"/>
        </w:rPr>
      </w:pPr>
      <w:r>
        <w:rPr>
          <w:rFonts w:hint="eastAsia"/>
          <w:b/>
          <w:sz w:val="28"/>
        </w:rPr>
        <w:t>第六章  法律责任</w:t>
      </w:r>
    </w:p>
    <w:p w14:paraId="7DB28B93"/>
    <w:p w14:paraId="7DBA4201">
      <w:pPr>
        <w:ind w:firstLine="422"/>
      </w:pPr>
      <w:r>
        <w:rPr>
          <w:rFonts w:hint="eastAsia"/>
          <w:b/>
        </w:rPr>
        <w:t>第四十九条</w:t>
      </w:r>
      <w:r>
        <w:rPr>
          <w:rFonts w:hint="eastAsia"/>
        </w:rPr>
        <w:t xml:space="preserve">  违反本条例的规定，擅自设立心理咨询服务机构的，擅自从事精神疾病的诊断、治疗工作的，依照有关法律、法规的规定予以处罚。</w:t>
      </w:r>
    </w:p>
    <w:p w14:paraId="6CEAC8D2">
      <w:pPr>
        <w:ind w:firstLine="422"/>
      </w:pPr>
      <w:r>
        <w:rPr>
          <w:rFonts w:hint="eastAsia"/>
          <w:b/>
        </w:rPr>
        <w:t>第五十条</w:t>
      </w:r>
      <w:r>
        <w:rPr>
          <w:rFonts w:hint="eastAsia"/>
        </w:rPr>
        <w:t xml:space="preserve">  违反本条例的规定，医疗机构有下列行为之一的，由卫生行政部门责令改正，可以并</w:t>
      </w:r>
      <w:r>
        <w:rPr>
          <w:rFonts w:hint="eastAsia" w:ascii="宋体" w:hAnsi="宋体" w:eastAsia="宋体" w:cs="宋体"/>
        </w:rPr>
        <w:t>处3000元以上3万元</w:t>
      </w:r>
      <w:r>
        <w:rPr>
          <w:rFonts w:hint="eastAsia"/>
        </w:rPr>
        <w:t>以下罚款；造成精神疾病患者人身损害、财产损失的，依法承担民事责任；构成犯罪的，依法追究相关责任人的刑事责任：</w:t>
      </w:r>
    </w:p>
    <w:p w14:paraId="435CFCB4">
      <w:r>
        <w:rPr>
          <w:rFonts w:hint="eastAsia"/>
        </w:rPr>
        <w:t>（一）安排不具备相应资格的医师进行精神疾病诊断、诊断复核、会诊及治疗，或者未及时进行诊断复核的；</w:t>
      </w:r>
    </w:p>
    <w:p w14:paraId="24FDCA13">
      <w:r>
        <w:rPr>
          <w:rFonts w:hint="eastAsia"/>
        </w:rPr>
        <w:t>（二）对经诊断复核未能确诊或者对诊断复核结论有异议，医疗机构未组织会诊的；</w:t>
      </w:r>
    </w:p>
    <w:p w14:paraId="76370D3F">
      <w:r>
        <w:rPr>
          <w:rFonts w:hint="eastAsia"/>
        </w:rPr>
        <w:t>（三）擅自安排精神疾病患者参与医学教学、科研或者接受新药、新治疗方法临床试验的；</w:t>
      </w:r>
    </w:p>
    <w:p w14:paraId="717DCEF8">
      <w:bookmarkStart w:id="2400" w:name="_Toc428780668"/>
      <w:r>
        <w:rPr>
          <w:rFonts w:hint="eastAsia"/>
        </w:rPr>
        <w:t>（四）泄露精神疾病患者隐私的；</w:t>
      </w:r>
      <w:bookmarkEnd w:id="2400"/>
    </w:p>
    <w:p w14:paraId="2E32717F">
      <w:r>
        <w:rPr>
          <w:rFonts w:hint="eastAsia"/>
        </w:rPr>
        <w:t>（五）未经精神疾病患者本人或者其监护人、近亲属书面同意，对精神疾病患者进行录音、录像、摄影或者播放与该精神疾病患者有关的视听资料的。</w:t>
      </w:r>
    </w:p>
    <w:p w14:paraId="21B2FF9F">
      <w:pPr>
        <w:ind w:firstLine="422"/>
      </w:pPr>
      <w:r>
        <w:rPr>
          <w:rFonts w:hint="eastAsia"/>
          <w:b/>
        </w:rPr>
        <w:t>第五十一条</w:t>
      </w:r>
      <w:r>
        <w:rPr>
          <w:rFonts w:hint="eastAsia"/>
        </w:rPr>
        <w:t xml:space="preserve">  精神卫生医疗机构从业人员违反本条例规定，不遵守精神疾病诊断标准、诊疗规范，造成严重后果的，由卫生行政部门给予警告或者责令暂停六个月以上一年以下执业活动；情节特别严重的，吊销其执业证书。</w:t>
      </w:r>
    </w:p>
    <w:p w14:paraId="77D9FD7C">
      <w:pPr>
        <w:ind w:firstLine="422"/>
      </w:pPr>
      <w:r>
        <w:rPr>
          <w:rFonts w:hint="eastAsia"/>
          <w:b/>
        </w:rPr>
        <w:t>第五十二条</w:t>
      </w:r>
      <w:r>
        <w:rPr>
          <w:rFonts w:hint="eastAsia"/>
        </w:rPr>
        <w:t xml:space="preserve">  违反本条例的规定，有下列行为之一，给精神疾病患者的人身、财产造成损害的，应当依法承担民事责任；构成犯罪的，依法追究刑事责任：</w:t>
      </w:r>
    </w:p>
    <w:p w14:paraId="2A40880F">
      <w:r>
        <w:rPr>
          <w:rFonts w:hint="eastAsia"/>
        </w:rPr>
        <w:t>（一）歧视、侮辱精神疾病患者及其家庭成员，虐待、遗弃精神疾病患者的；</w:t>
      </w:r>
    </w:p>
    <w:p w14:paraId="03FB6890">
      <w:r>
        <w:rPr>
          <w:rFonts w:hint="eastAsia"/>
        </w:rPr>
        <w:t>（二）监护人未履行职责的；</w:t>
      </w:r>
    </w:p>
    <w:p w14:paraId="36FF0651">
      <w:r>
        <w:rPr>
          <w:rFonts w:hint="eastAsia"/>
        </w:rPr>
        <w:t>（三）非法限制精神疾病患者的人身自由的；</w:t>
      </w:r>
    </w:p>
    <w:p w14:paraId="533ED291">
      <w:r>
        <w:rPr>
          <w:rFonts w:hint="eastAsia"/>
        </w:rPr>
        <w:t>（四）非法侵害精神疾病患者的隐私权和通讯、会见等权益的。</w:t>
      </w:r>
    </w:p>
    <w:p w14:paraId="66D33109">
      <w:pPr>
        <w:ind w:firstLine="422"/>
      </w:pPr>
      <w:r>
        <w:rPr>
          <w:rFonts w:hint="eastAsia"/>
          <w:b/>
        </w:rPr>
        <w:t>第五十三条</w:t>
      </w:r>
      <w:r>
        <w:rPr>
          <w:rFonts w:hint="eastAsia"/>
        </w:rPr>
        <w:t xml:space="preserve">  精神卫生工作的相关行政部门及其工作人员有玩忽职守、徇私舞弊、滥用职权等违法行为的，由有关部门责令改正，对直接责任人给予行政处分，构成犯罪的，依法追究刑事责任。</w:t>
      </w:r>
    </w:p>
    <w:p w14:paraId="06488C9D">
      <w:pPr>
        <w:spacing w:line="300" w:lineRule="exact"/>
      </w:pPr>
    </w:p>
    <w:p w14:paraId="4C67598E">
      <w:pPr>
        <w:ind w:firstLine="0" w:firstLineChars="0"/>
        <w:jc w:val="center"/>
        <w:rPr>
          <w:b/>
          <w:sz w:val="32"/>
        </w:rPr>
      </w:pPr>
      <w:r>
        <w:rPr>
          <w:rFonts w:hint="eastAsia"/>
          <w:b/>
          <w:sz w:val="28"/>
        </w:rPr>
        <w:t>第七章  附  则</w:t>
      </w:r>
    </w:p>
    <w:p w14:paraId="6E1477C3">
      <w:pPr>
        <w:spacing w:line="300" w:lineRule="exact"/>
      </w:pPr>
    </w:p>
    <w:p w14:paraId="025E1275">
      <w:pPr>
        <w:ind w:firstLine="422"/>
      </w:pPr>
      <w:r>
        <w:rPr>
          <w:rFonts w:hint="eastAsia"/>
          <w:b/>
        </w:rPr>
        <w:t>第五十四条</w:t>
      </w:r>
      <w:r>
        <w:rPr>
          <w:rFonts w:hint="eastAsia"/>
        </w:rPr>
        <w:t xml:space="preserve">  本条例所称精神健康促进，是指通过普及精神卫生知识、处置心理问题和干预心理危机等方式，提高公民的心理健康水平。</w:t>
      </w:r>
    </w:p>
    <w:p w14:paraId="5C17AF98">
      <w:r>
        <w:rPr>
          <w:rFonts w:hint="eastAsia"/>
        </w:rPr>
        <w:t>本条例所称精神疾病，是指在各种生物学、心理学以及社会环境因素影响下人的大脑功能失调，导致认知、情感、意志和行为等精神活动出现不同程度障碍的疾病。</w:t>
      </w:r>
    </w:p>
    <w:p w14:paraId="2B1ACA3C">
      <w:r>
        <w:rPr>
          <w:rFonts w:hint="eastAsia"/>
        </w:rPr>
        <w:t>本条例所称重性精神疾病，是指精神活动严重受损，导致对自身健康状况或者客观现实不能完整辨认，或者不能控制自身行为的精神疾病。</w:t>
      </w:r>
    </w:p>
    <w:p w14:paraId="45898115">
      <w:pPr>
        <w:ind w:firstLine="422"/>
      </w:pPr>
      <w:r>
        <w:rPr>
          <w:rFonts w:hint="eastAsia"/>
          <w:b/>
        </w:rPr>
        <w:t>第五十五条</w:t>
      </w:r>
      <w:r>
        <w:rPr>
          <w:rFonts w:hint="eastAsia"/>
        </w:rPr>
        <w:t xml:space="preserve">  本条例自</w:t>
      </w:r>
      <w:r>
        <w:rPr>
          <w:rFonts w:hint="eastAsia" w:ascii="宋体" w:hAnsi="宋体" w:eastAsia="宋体" w:cs="宋体"/>
        </w:rPr>
        <w:t>2007年3月1</w:t>
      </w:r>
      <w:r>
        <w:rPr>
          <w:rFonts w:hint="eastAsia"/>
        </w:rPr>
        <w:t>日起施行。</w:t>
      </w:r>
    </w:p>
    <w:p w14:paraId="3ECB06AC">
      <w:pPr>
        <w:pStyle w:val="4"/>
        <w:pageBreakBefore/>
      </w:pPr>
      <w:bookmarkStart w:id="2401" w:name="_Toc428781869"/>
      <w:bookmarkStart w:id="2402" w:name="_Toc426467121"/>
      <w:bookmarkStart w:id="2403" w:name="_Toc428780669"/>
      <w:r>
        <w:rPr>
          <w:rFonts w:hint="eastAsia"/>
        </w:rPr>
        <w:t>北京市控制吸烟条例</w:t>
      </w:r>
      <w:bookmarkEnd w:id="2401"/>
      <w:bookmarkEnd w:id="2402"/>
      <w:bookmarkEnd w:id="2403"/>
    </w:p>
    <w:p w14:paraId="599B092B">
      <w:pPr>
        <w:ind w:left="630" w:leftChars="300" w:right="630" w:rightChars="300"/>
        <w:rPr>
          <w:rFonts w:ascii="楷体" w:hAnsi="楷体" w:eastAsia="楷体"/>
        </w:rPr>
      </w:pPr>
      <w:r>
        <w:rPr>
          <w:rFonts w:hint="eastAsia" w:ascii="楷体" w:hAnsi="楷体" w:eastAsia="楷体"/>
        </w:rPr>
        <w:t>（2014年11月28日北京市第十四届人民代表大会常务委员会第十五次会议通过）</w:t>
      </w:r>
    </w:p>
    <w:p w14:paraId="1834D3F5"/>
    <w:p w14:paraId="30CD2211">
      <w:pPr>
        <w:ind w:firstLine="422"/>
      </w:pPr>
      <w:r>
        <w:rPr>
          <w:rFonts w:hint="eastAsia"/>
          <w:b/>
        </w:rPr>
        <w:t>第一条</w:t>
      </w:r>
      <w:r>
        <w:rPr>
          <w:rFonts w:hint="eastAsia"/>
        </w:rPr>
        <w:t xml:space="preserve">  为了减少吸烟造成的危害，维护公众健康权益，创造良好公共环境，提高城市文明水平，根据有关法律、行政法规，结合本市实际情况，制定本条例。</w:t>
      </w:r>
    </w:p>
    <w:p w14:paraId="4BBC36BC">
      <w:pPr>
        <w:ind w:firstLine="422"/>
      </w:pPr>
      <w:r>
        <w:rPr>
          <w:rFonts w:hint="eastAsia"/>
          <w:b/>
        </w:rPr>
        <w:t>第二条</w:t>
      </w:r>
      <w:r>
        <w:rPr>
          <w:rFonts w:hint="eastAsia"/>
        </w:rPr>
        <w:t xml:space="preserve">  本条例适用于本市行政区域内控制吸烟工作。</w:t>
      </w:r>
    </w:p>
    <w:p w14:paraId="5D4EFBFC">
      <w:r>
        <w:rPr>
          <w:rFonts w:hint="eastAsia"/>
        </w:rPr>
        <w:t>对吸烟可能危害公共安全的，按照相关法律法规执行。</w:t>
      </w:r>
    </w:p>
    <w:p w14:paraId="6EFBFCE3">
      <w:pPr>
        <w:ind w:firstLine="422"/>
      </w:pPr>
      <w:r>
        <w:rPr>
          <w:rFonts w:hint="eastAsia"/>
          <w:b/>
        </w:rPr>
        <w:t>第三条</w:t>
      </w:r>
      <w:r>
        <w:rPr>
          <w:rFonts w:hint="eastAsia"/>
        </w:rPr>
        <w:t xml:space="preserve">  本市控制吸烟工作坚持政府与社会共同治理、管理与自律相互结合，实行政府管理、单位负责、个人守法、社会监督的原则。</w:t>
      </w:r>
    </w:p>
    <w:p w14:paraId="543D56FC">
      <w:pPr>
        <w:ind w:firstLine="422"/>
      </w:pPr>
      <w:r>
        <w:rPr>
          <w:rFonts w:hint="eastAsia"/>
          <w:b/>
        </w:rPr>
        <w:t>第四条</w:t>
      </w:r>
      <w:r>
        <w:rPr>
          <w:rFonts w:hint="eastAsia"/>
        </w:rPr>
        <w:t xml:space="preserve">  市和区、县人民政府加强对控制吸烟工作的领导，将控制吸烟工作纳入国民经济和社会发展规划，保障控制吸烟工作的财政投入，推进控制吸烟工作体系建设。</w:t>
      </w:r>
    </w:p>
    <w:p w14:paraId="7F752730">
      <w:pPr>
        <w:ind w:firstLine="422"/>
      </w:pPr>
      <w:r>
        <w:rPr>
          <w:rFonts w:hint="eastAsia"/>
          <w:b/>
        </w:rPr>
        <w:t>第五条</w:t>
      </w:r>
      <w:r>
        <w:rPr>
          <w:rFonts w:hint="eastAsia"/>
        </w:rPr>
        <w:t xml:space="preserve">  本市各级爱国卫生运动委员会在本级人民政府领导下，负责组织、协调、指导相关行政部门的控制吸烟工作，组织社会组织和个人开展社会监督，开展控制吸烟工作的宣传教育培训，监测、评估单位的控制吸烟工作并定期向社会公布，对在控制吸烟工作中做出突出贡献的单位和个人给予表彰、奖励。</w:t>
      </w:r>
    </w:p>
    <w:p w14:paraId="0EF76462">
      <w:pPr>
        <w:ind w:firstLine="422"/>
      </w:pPr>
      <w:r>
        <w:rPr>
          <w:rFonts w:hint="eastAsia"/>
          <w:b/>
        </w:rPr>
        <w:t>第六条</w:t>
      </w:r>
      <w:r>
        <w:rPr>
          <w:rFonts w:hint="eastAsia"/>
        </w:rPr>
        <w:t xml:space="preserve">  市和区、县卫生计生行政部门是控制吸烟工作的主管部门，负责组织制定控制吸烟的政策、措施，开展控制吸烟的卫生监督管理，受理违法吸烟的举报投诉，依法查处违法行为，并定期向社会公示查处情况。</w:t>
      </w:r>
    </w:p>
    <w:p w14:paraId="3465157B">
      <w:r>
        <w:rPr>
          <w:rFonts w:hint="eastAsia"/>
        </w:rPr>
        <w:t>教育、文化、体育、旅游、交通、工商、公安、园林绿化、食品药品监督、市政市容、城市管理综合执法、烟草专卖等相关行政部门按照各自职责，对本行业或者领域内的控制吸烟工作进行监督管理，制定管理制度，开展宣传培训，组织监督检查。</w:t>
      </w:r>
    </w:p>
    <w:p w14:paraId="06EF17F5">
      <w:pPr>
        <w:ind w:firstLine="422"/>
      </w:pPr>
      <w:r>
        <w:rPr>
          <w:rFonts w:hint="eastAsia"/>
          <w:b/>
        </w:rPr>
        <w:t>第七条</w:t>
      </w:r>
      <w:r>
        <w:rPr>
          <w:rFonts w:hint="eastAsia"/>
        </w:rPr>
        <w:t xml:space="preserve">  乡镇人民政府和街道办事处按照属地管理原则，做好本辖区内的控制吸烟工作。</w:t>
      </w:r>
    </w:p>
    <w:p w14:paraId="1585F67C">
      <w:pPr>
        <w:ind w:firstLine="422"/>
      </w:pPr>
      <w:r>
        <w:rPr>
          <w:rFonts w:hint="eastAsia"/>
          <w:b/>
        </w:rPr>
        <w:t>第八条</w:t>
      </w:r>
      <w:r>
        <w:rPr>
          <w:rFonts w:hint="eastAsia"/>
        </w:rPr>
        <w:t xml:space="preserve">  本市将控制吸烟工作纳入全市群众性精神文明创建活动。</w:t>
      </w:r>
    </w:p>
    <w:p w14:paraId="6B0203B0">
      <w:r>
        <w:rPr>
          <w:rFonts w:hint="eastAsia"/>
        </w:rPr>
        <w:t>广播、电视、报纸、网络等新闻媒体应当开展控制吸烟的公益宣传，加强舆论监督。</w:t>
      </w:r>
    </w:p>
    <w:p w14:paraId="0E046BD4">
      <w:pPr>
        <w:ind w:firstLine="422"/>
      </w:pPr>
      <w:r>
        <w:rPr>
          <w:rFonts w:hint="eastAsia"/>
          <w:b/>
        </w:rPr>
        <w:t>第九条</w:t>
      </w:r>
      <w:r>
        <w:rPr>
          <w:rFonts w:hint="eastAsia"/>
        </w:rPr>
        <w:t xml:space="preserve">  公共场所、工作场所的室内区域以及公共交通工具内禁止吸烟。</w:t>
      </w:r>
    </w:p>
    <w:p w14:paraId="4A5A41CF">
      <w:pPr>
        <w:ind w:firstLine="422"/>
      </w:pPr>
      <w:r>
        <w:rPr>
          <w:rFonts w:hint="eastAsia"/>
          <w:b/>
        </w:rPr>
        <w:t>第十条</w:t>
      </w:r>
      <w:r>
        <w:rPr>
          <w:rFonts w:hint="eastAsia"/>
        </w:rPr>
        <w:t xml:space="preserve">  下列公共场所、工作场所的室外区域禁止吸烟：</w:t>
      </w:r>
    </w:p>
    <w:p w14:paraId="480C0730">
      <w:r>
        <w:rPr>
          <w:rFonts w:hint="eastAsia"/>
        </w:rPr>
        <w:t>（一）幼儿园、中小学校、少年宫、儿童福利机构等以未成年人为主要活动人群的场所；</w:t>
      </w:r>
    </w:p>
    <w:p w14:paraId="7A4F6840">
      <w:r>
        <w:rPr>
          <w:rFonts w:hint="eastAsia"/>
        </w:rPr>
        <w:t>（二）对社会开放的文物保护单位；</w:t>
      </w:r>
    </w:p>
    <w:p w14:paraId="7CA9EE50">
      <w:r>
        <w:rPr>
          <w:rFonts w:hint="eastAsia"/>
        </w:rPr>
        <w:t>（三）体育场、健身场的比赛区和坐席区；</w:t>
      </w:r>
    </w:p>
    <w:p w14:paraId="0B97C36A">
      <w:r>
        <w:rPr>
          <w:rFonts w:hint="eastAsia"/>
        </w:rPr>
        <w:t>（四）妇幼保健机构、儿童医院。</w:t>
      </w:r>
    </w:p>
    <w:p w14:paraId="5450734F">
      <w:r>
        <w:rPr>
          <w:rFonts w:hint="eastAsia"/>
        </w:rPr>
        <w:t>市人民政府可以根据举办大型活动的需要，临时划定禁止吸烟的室外区域。</w:t>
      </w:r>
    </w:p>
    <w:p w14:paraId="220783B3">
      <w:pPr>
        <w:ind w:firstLine="422"/>
      </w:pPr>
      <w:r>
        <w:rPr>
          <w:rFonts w:hint="eastAsia"/>
          <w:b/>
        </w:rPr>
        <w:t>第十一条</w:t>
      </w:r>
      <w:r>
        <w:rPr>
          <w:rFonts w:hint="eastAsia"/>
        </w:rPr>
        <w:t xml:space="preserve">  除本条例第十条规定以外的其他公共场所、工作场所的室外区域，可以划定吸烟区。</w:t>
      </w:r>
    </w:p>
    <w:p w14:paraId="6034F1C9">
      <w:r>
        <w:rPr>
          <w:rFonts w:hint="eastAsia"/>
        </w:rPr>
        <w:t>吸烟区的划定应当遵守下列规定：</w:t>
      </w:r>
    </w:p>
    <w:p w14:paraId="7E6092C8">
      <w:bookmarkStart w:id="2404" w:name="_Toc428780670"/>
      <w:r>
        <w:rPr>
          <w:rFonts w:hint="eastAsia"/>
        </w:rPr>
        <w:t>（一）设置明显的指示标志和吸烟有害健康的警示标识；</w:t>
      </w:r>
      <w:bookmarkEnd w:id="2404"/>
    </w:p>
    <w:p w14:paraId="783874D8">
      <w:r>
        <w:rPr>
          <w:rFonts w:hint="eastAsia"/>
        </w:rPr>
        <w:t>（二）远离人员密集区域和行人必经的主要通道；</w:t>
      </w:r>
    </w:p>
    <w:p w14:paraId="3EE37099">
      <w:r>
        <w:rPr>
          <w:rFonts w:hint="eastAsia"/>
        </w:rPr>
        <w:t>（三）符合消防安全要求。</w:t>
      </w:r>
    </w:p>
    <w:p w14:paraId="01EDC374">
      <w:pPr>
        <w:ind w:firstLine="422"/>
      </w:pPr>
      <w:r>
        <w:rPr>
          <w:rFonts w:hint="eastAsia"/>
          <w:b/>
        </w:rPr>
        <w:t>第十二条</w:t>
      </w:r>
      <w:r>
        <w:rPr>
          <w:rFonts w:hint="eastAsia"/>
        </w:rPr>
        <w:t xml:space="preserve">  国家机关、企事业单位、社会团体和其他社会组织应当将控制吸烟工作纳入本单位日常管理，依法划定禁止吸烟区域，制止违法吸烟和不文明吸烟行为；其法定代表人或者主要负责人负责本单位的控制吸烟工作。</w:t>
      </w:r>
    </w:p>
    <w:p w14:paraId="3EE95833">
      <w:r>
        <w:rPr>
          <w:rFonts w:hint="eastAsia"/>
        </w:rPr>
        <w:t>鼓励国家机关、企事业单位、社会团体和其他社会组织自行实施全面禁烟。</w:t>
      </w:r>
    </w:p>
    <w:p w14:paraId="014FE8D8">
      <w:pPr>
        <w:ind w:firstLine="422"/>
      </w:pPr>
      <w:r>
        <w:rPr>
          <w:rFonts w:hint="eastAsia"/>
          <w:b/>
        </w:rPr>
        <w:t>第十三条</w:t>
      </w:r>
      <w:r>
        <w:rPr>
          <w:rFonts w:hint="eastAsia"/>
        </w:rPr>
        <w:t xml:space="preserve">  禁止吸烟场所的经营者、管理者负有下列责任：</w:t>
      </w:r>
    </w:p>
    <w:p w14:paraId="27929895">
      <w:bookmarkStart w:id="2405" w:name="_Toc428780671"/>
      <w:r>
        <w:rPr>
          <w:rFonts w:hint="eastAsia"/>
        </w:rPr>
        <w:t>（一）建立禁止吸烟管理制度，做好宣传教育工作；</w:t>
      </w:r>
      <w:bookmarkEnd w:id="2405"/>
    </w:p>
    <w:p w14:paraId="66A01BDE">
      <w:r>
        <w:rPr>
          <w:rFonts w:hint="eastAsia"/>
        </w:rPr>
        <w:t>（二）在禁止吸烟场所设置明显的禁止吸烟标志和举报投诉电话号码标识；</w:t>
      </w:r>
    </w:p>
    <w:p w14:paraId="4ECBD9AB">
      <w:bookmarkStart w:id="2406" w:name="_Toc428780672"/>
      <w:r>
        <w:rPr>
          <w:rFonts w:hint="eastAsia"/>
        </w:rPr>
        <w:t>（三）不得在禁止吸烟场所提供烟具和附有烟草广告的物品；</w:t>
      </w:r>
      <w:bookmarkEnd w:id="2406"/>
    </w:p>
    <w:p w14:paraId="1E343197">
      <w:r>
        <w:rPr>
          <w:rFonts w:hint="eastAsia"/>
        </w:rPr>
        <w:t>（四）开展禁止吸烟检查工作，制作并留存相关记录；</w:t>
      </w:r>
    </w:p>
    <w:p w14:paraId="057C62ED">
      <w:r>
        <w:rPr>
          <w:rFonts w:hint="eastAsia"/>
        </w:rPr>
        <w:t>（五）对在禁止吸烟场所内的吸烟者予以劝阻，对不听劝阻的要求其离开；对不听劝阻且不离开的，向卫生计生行政部门投诉举报。</w:t>
      </w:r>
    </w:p>
    <w:p w14:paraId="2F5B9939">
      <w:r>
        <w:rPr>
          <w:rFonts w:hint="eastAsia"/>
        </w:rPr>
        <w:t>禁止吸烟场所的经营者、管理者可以利用烟雾报警、浓度监测、视频图像采集等技术手段监控吸烟行为，加强对禁止吸烟场所的管理。</w:t>
      </w:r>
    </w:p>
    <w:p w14:paraId="1E1FBBF2">
      <w:pPr>
        <w:ind w:firstLine="422"/>
      </w:pPr>
      <w:r>
        <w:rPr>
          <w:rFonts w:hint="eastAsia"/>
          <w:b/>
        </w:rPr>
        <w:t>第十四条</w:t>
      </w:r>
      <w:r>
        <w:rPr>
          <w:rFonts w:hint="eastAsia"/>
        </w:rPr>
        <w:t xml:space="preserve">  个人应当遵守法律法规的规定，不得在禁止吸烟场所和排队等候队伍中吸烟；在非禁止吸烟场所吸烟的，应当合理避让不吸烟者，不乱弹烟灰，不乱扔烟头。</w:t>
      </w:r>
    </w:p>
    <w:p w14:paraId="60AF03D8">
      <w:pPr>
        <w:ind w:firstLine="422"/>
      </w:pPr>
      <w:r>
        <w:rPr>
          <w:rFonts w:hint="eastAsia"/>
          <w:b/>
        </w:rPr>
        <w:t>第十五条</w:t>
      </w:r>
      <w:r>
        <w:rPr>
          <w:rFonts w:hint="eastAsia"/>
        </w:rPr>
        <w:t xml:space="preserve">  个人在禁止吸烟场所内发现吸烟行为的，可以行使下列权利：</w:t>
      </w:r>
    </w:p>
    <w:p w14:paraId="28A6C082">
      <w:bookmarkStart w:id="2407" w:name="_Toc428780673"/>
      <w:r>
        <w:rPr>
          <w:rFonts w:hint="eastAsia"/>
        </w:rPr>
        <w:t>（一）劝阻吸烟者停止吸烟；</w:t>
      </w:r>
      <w:bookmarkEnd w:id="2407"/>
    </w:p>
    <w:p w14:paraId="74D3E87F">
      <w:r>
        <w:rPr>
          <w:rFonts w:hint="eastAsia"/>
        </w:rPr>
        <w:t>（二）要求该场所的经营者、管理者劝阻吸烟者停止吸烟；</w:t>
      </w:r>
    </w:p>
    <w:p w14:paraId="767672D6">
      <w:r>
        <w:rPr>
          <w:rFonts w:hint="eastAsia"/>
        </w:rPr>
        <w:t>（三）向卫生计生行政部门投诉举报。</w:t>
      </w:r>
    </w:p>
    <w:p w14:paraId="6CCA4802">
      <w:pPr>
        <w:ind w:firstLine="422"/>
      </w:pPr>
      <w:r>
        <w:rPr>
          <w:rFonts w:hint="eastAsia"/>
          <w:b/>
        </w:rPr>
        <w:t>第十六条</w:t>
      </w:r>
      <w:r>
        <w:rPr>
          <w:rFonts w:hint="eastAsia"/>
        </w:rPr>
        <w:t xml:space="preserve">  市卫生计生行政部门应当公布吸烟违法行为投诉举报电话；对投诉举报的违法行为，市或者区、县卫生计生行政部门应当及时处理，建立投诉举报及处理情况登记。</w:t>
      </w:r>
    </w:p>
    <w:p w14:paraId="38B6A26D">
      <w:pPr>
        <w:ind w:firstLine="422"/>
      </w:pPr>
      <w:r>
        <w:rPr>
          <w:rFonts w:hint="eastAsia"/>
          <w:b/>
        </w:rPr>
        <w:t>第十七条</w:t>
      </w:r>
      <w:r>
        <w:rPr>
          <w:rFonts w:hint="eastAsia"/>
        </w:rPr>
        <w:t xml:space="preserve">  本市提倡减少和戒除吸烟行为。市和区、县卫生计生行政部门应当组织开展对吸烟行为的干预工作，设立咨询热线，开展控制吸烟咨询服务，指导医疗卫生机构开展戒烟服务。</w:t>
      </w:r>
    </w:p>
    <w:p w14:paraId="23B89B15">
      <w:pPr>
        <w:ind w:firstLine="422"/>
      </w:pPr>
      <w:r>
        <w:rPr>
          <w:rFonts w:hint="eastAsia"/>
          <w:b/>
        </w:rPr>
        <w:t>第十八条</w:t>
      </w:r>
      <w:r>
        <w:rPr>
          <w:rFonts w:hint="eastAsia"/>
        </w:rPr>
        <w:t xml:space="preserve">  全社会都应当支持控制吸烟工作。</w:t>
      </w:r>
    </w:p>
    <w:p w14:paraId="50C1AC40">
      <w:r>
        <w:rPr>
          <w:rFonts w:hint="eastAsia"/>
        </w:rPr>
        <w:t>鼓励、支持志愿者组织、其他社会组织和个人开展控制吸烟宣传教育、劝阻违法吸烟行为、监督场所的经营者和管理者开展控制吸烟工作、提供戒烟服务等活动。</w:t>
      </w:r>
    </w:p>
    <w:p w14:paraId="1BE11409">
      <w:pPr>
        <w:ind w:firstLine="422"/>
      </w:pPr>
      <w:r>
        <w:rPr>
          <w:rFonts w:hint="eastAsia"/>
          <w:b/>
        </w:rPr>
        <w:t>第十九条</w:t>
      </w:r>
      <w:r>
        <w:rPr>
          <w:rFonts w:hint="eastAsia"/>
        </w:rPr>
        <w:t xml:space="preserve">  学校应当采取措施预防学生吸烟，对学生开展吸烟有害健康的宣传教育，帮助吸烟的学生戒烟。</w:t>
      </w:r>
    </w:p>
    <w:p w14:paraId="425B4D14">
      <w:r>
        <w:rPr>
          <w:rFonts w:hint="eastAsia"/>
        </w:rPr>
        <w:t>教师不得在中小学生面前吸烟。</w:t>
      </w:r>
    </w:p>
    <w:p w14:paraId="60A246CF">
      <w:pPr>
        <w:ind w:firstLine="422"/>
      </w:pPr>
      <w:r>
        <w:rPr>
          <w:rFonts w:hint="eastAsia"/>
          <w:b/>
        </w:rPr>
        <w:t>第二十条</w:t>
      </w:r>
      <w:r>
        <w:rPr>
          <w:rFonts w:hint="eastAsia"/>
        </w:rPr>
        <w:t xml:space="preserve">  烟草制品销售者应当在销售场所的显著位置设置吸烟有害健康和不向未成年人出售烟草制品的明显标识。</w:t>
      </w:r>
    </w:p>
    <w:p w14:paraId="4D95EBBB">
      <w:r>
        <w:rPr>
          <w:rFonts w:hint="eastAsia"/>
        </w:rPr>
        <w:t>禁止烟草制品销售者从事下列行为：</w:t>
      </w:r>
    </w:p>
    <w:p w14:paraId="0F017C97">
      <w:bookmarkStart w:id="2408" w:name="_Toc428780674"/>
      <w:r>
        <w:rPr>
          <w:rFonts w:hint="eastAsia"/>
        </w:rPr>
        <w:t>（一）向未成年人出售烟草制品；</w:t>
      </w:r>
      <w:bookmarkEnd w:id="2408"/>
    </w:p>
    <w:p w14:paraId="63CBFCC7">
      <w:r>
        <w:rPr>
          <w:rFonts w:hint="eastAsia"/>
        </w:rPr>
        <w:t>（二）在幼儿园、中小学校、少年宫及其周边</w:t>
      </w:r>
      <w:r>
        <w:rPr>
          <w:rFonts w:hint="eastAsia" w:ascii="宋体" w:hAnsi="宋体" w:eastAsia="宋体" w:cs="宋体"/>
        </w:rPr>
        <w:t>100</w:t>
      </w:r>
      <w:r>
        <w:rPr>
          <w:rFonts w:hint="eastAsia"/>
        </w:rPr>
        <w:t>米内销售烟草制品；</w:t>
      </w:r>
    </w:p>
    <w:p w14:paraId="2C9B63D9">
      <w:r>
        <w:rPr>
          <w:rFonts w:hint="eastAsia"/>
        </w:rPr>
        <w:t>（三）通过自动售货机或者移动通信、互联网等信息网络非法销售烟草制品。</w:t>
      </w:r>
    </w:p>
    <w:p w14:paraId="22AB29C6">
      <w:pPr>
        <w:ind w:firstLine="422"/>
      </w:pPr>
      <w:r>
        <w:rPr>
          <w:rFonts w:hint="eastAsia"/>
          <w:b/>
        </w:rPr>
        <w:t>第二十一条</w:t>
      </w:r>
      <w:r>
        <w:rPr>
          <w:rFonts w:hint="eastAsia"/>
        </w:rPr>
        <w:t xml:space="preserve">  禁止从事下列行为：</w:t>
      </w:r>
    </w:p>
    <w:p w14:paraId="1546E731">
      <w:r>
        <w:rPr>
          <w:rFonts w:hint="eastAsia"/>
        </w:rPr>
        <w:t>（一）利用广播、电影、电视、报纸、期刊、图书、音像制品、电子出版物、移动通信、互联网等大众传播媒介发布或者变相发布烟草广告；</w:t>
      </w:r>
    </w:p>
    <w:p w14:paraId="153D9FD0">
      <w:r>
        <w:rPr>
          <w:rFonts w:hint="eastAsia"/>
        </w:rPr>
        <w:t>（二）在公共场所和公共交通工具设置烟草广告；</w:t>
      </w:r>
    </w:p>
    <w:p w14:paraId="2F8E5AFF">
      <w:r>
        <w:rPr>
          <w:rFonts w:hint="eastAsia"/>
        </w:rPr>
        <w:t>（三）设置户外烟草广告；</w:t>
      </w:r>
    </w:p>
    <w:p w14:paraId="00CF09A5">
      <w:r>
        <w:rPr>
          <w:rFonts w:hint="eastAsia"/>
        </w:rPr>
        <w:t>（四）各种形式的烟草促销、冠名赞助活动。</w:t>
      </w:r>
    </w:p>
    <w:p w14:paraId="7CA15393">
      <w:pPr>
        <w:ind w:firstLine="422"/>
      </w:pPr>
      <w:r>
        <w:rPr>
          <w:rFonts w:hint="eastAsia"/>
          <w:b/>
        </w:rPr>
        <w:t>第二十二条</w:t>
      </w:r>
      <w:r>
        <w:rPr>
          <w:rFonts w:hint="eastAsia"/>
        </w:rPr>
        <w:t xml:space="preserve">  市和区、县卫生计生行政部门依法开展控制吸烟卫生监督管理工作，有权进入相关场所并向有关单位和个人进行调查核实，有权查看相关场所的监控、监测、公共安全图像信息等证据材料。有关单位和个人应当协助配合并如实反映情况。</w:t>
      </w:r>
    </w:p>
    <w:p w14:paraId="6468A098">
      <w:pPr>
        <w:ind w:firstLine="422"/>
      </w:pPr>
      <w:r>
        <w:rPr>
          <w:rFonts w:hint="eastAsia"/>
          <w:b/>
        </w:rPr>
        <w:t>第二十三条</w:t>
      </w:r>
      <w:r>
        <w:rPr>
          <w:rFonts w:hint="eastAsia"/>
        </w:rPr>
        <w:t xml:space="preserve">  场所的经营者、管理者违反本条例第十一条第二款规定的，按照下列规定处罚：</w:t>
      </w:r>
    </w:p>
    <w:p w14:paraId="2C8404EF">
      <w:r>
        <w:rPr>
          <w:rFonts w:hint="eastAsia"/>
        </w:rPr>
        <w:t>（一）违反本条例第十一条第二款第一项、第二项规定的，由市或者区、县卫生计生行政部门责令限期改正。</w:t>
      </w:r>
    </w:p>
    <w:p w14:paraId="233C7D2C">
      <w:r>
        <w:rPr>
          <w:rFonts w:hint="eastAsia"/>
        </w:rPr>
        <w:t>（二）违反本条例第十一条第二款第三项规定的，由公安机关消防机构依法查处。</w:t>
      </w:r>
    </w:p>
    <w:p w14:paraId="484EC350">
      <w:pPr>
        <w:ind w:firstLine="422"/>
      </w:pPr>
      <w:r>
        <w:rPr>
          <w:rFonts w:hint="eastAsia"/>
          <w:b/>
        </w:rPr>
        <w:t>第二十四条</w:t>
      </w:r>
      <w:r>
        <w:rPr>
          <w:rFonts w:hint="eastAsia"/>
        </w:rPr>
        <w:t xml:space="preserve">  场所的经营者、管理者违反本条例第十三条第一款规定的，按照下列规定处罚：</w:t>
      </w:r>
    </w:p>
    <w:p w14:paraId="09296EA7">
      <w:pPr>
        <w:rPr>
          <w:rFonts w:hint="eastAsia" w:ascii="宋体" w:hAnsi="宋体" w:eastAsia="宋体" w:cs="宋体"/>
        </w:rPr>
      </w:pPr>
      <w:r>
        <w:rPr>
          <w:rFonts w:hint="eastAsia"/>
        </w:rPr>
        <w:t>（一）违反本条例第十三条第一款第一项至第四项规定的，由市或者区、县卫生计生行政部门责令限期改正；拒不改正的，</w:t>
      </w:r>
      <w:r>
        <w:rPr>
          <w:rFonts w:hint="eastAsia" w:ascii="宋体" w:hAnsi="宋体" w:eastAsia="宋体" w:cs="宋体"/>
        </w:rPr>
        <w:t>处2000元以上5000元以下罚款。</w:t>
      </w:r>
    </w:p>
    <w:p w14:paraId="10DF301C">
      <w:pPr>
        <w:rPr>
          <w:rFonts w:hint="eastAsia" w:ascii="宋体" w:hAnsi="宋体" w:eastAsia="宋体" w:cs="宋体"/>
        </w:rPr>
      </w:pPr>
      <w:r>
        <w:rPr>
          <w:rFonts w:hint="eastAsia" w:ascii="宋体" w:hAnsi="宋体" w:eastAsia="宋体" w:cs="宋体"/>
        </w:rPr>
        <w:t>（二）违反本条例第十三条第一款第五项规定的，由市或者区、县卫生计生行政部门处5000元以上1万元以下罚款。</w:t>
      </w:r>
    </w:p>
    <w:p w14:paraId="00BA3E12">
      <w:pPr>
        <w:ind w:firstLine="422"/>
      </w:pPr>
      <w:r>
        <w:rPr>
          <w:rFonts w:hint="eastAsia"/>
          <w:b/>
        </w:rPr>
        <w:t>第二十五条</w:t>
      </w:r>
      <w:r>
        <w:rPr>
          <w:rFonts w:hint="eastAsia"/>
        </w:rPr>
        <w:t xml:space="preserve">  个人违反本条例第十四条规定，在禁止吸烟场所或者排队等候队伍中吸烟的，由市或者区、县卫生计生行政部门责令改正，</w:t>
      </w:r>
      <w:r>
        <w:rPr>
          <w:rFonts w:hint="eastAsia" w:ascii="宋体" w:hAnsi="宋体" w:eastAsia="宋体" w:cs="宋体"/>
        </w:rPr>
        <w:t>可以处50元罚款；拒不改正的，处200</w:t>
      </w:r>
      <w:r>
        <w:rPr>
          <w:rFonts w:hint="eastAsia"/>
        </w:rPr>
        <w:t>元罚款。</w:t>
      </w:r>
    </w:p>
    <w:p w14:paraId="007E93EE">
      <w:r>
        <w:rPr>
          <w:rFonts w:hint="eastAsia"/>
        </w:rPr>
        <w:t>个人违反本条例第十四条规定，乱扔烟头的，由城市管理综合执法部门按照市容环境管理的相关法规予以处罚。</w:t>
      </w:r>
    </w:p>
    <w:p w14:paraId="436A2F3B">
      <w:pPr>
        <w:ind w:firstLine="422"/>
      </w:pPr>
      <w:r>
        <w:rPr>
          <w:rFonts w:hint="eastAsia"/>
          <w:b/>
        </w:rPr>
        <w:t>第二十六条</w:t>
      </w:r>
      <w:r>
        <w:rPr>
          <w:rFonts w:hint="eastAsia"/>
        </w:rPr>
        <w:t xml:space="preserve">  烟草制品销售者违反本条例第二十条第一款规定的，由烟草专卖部门责令改正；拒不改正的，</w:t>
      </w:r>
      <w:r>
        <w:rPr>
          <w:rFonts w:hint="eastAsia" w:ascii="宋体" w:hAnsi="宋体" w:eastAsia="宋体" w:cs="宋体"/>
        </w:rPr>
        <w:t>处5000元以上1万元以下</w:t>
      </w:r>
      <w:r>
        <w:rPr>
          <w:rFonts w:hint="eastAsia"/>
        </w:rPr>
        <w:t>罚款。</w:t>
      </w:r>
    </w:p>
    <w:p w14:paraId="4EDB01D7">
      <w:r>
        <w:rPr>
          <w:rFonts w:hint="eastAsia"/>
        </w:rPr>
        <w:t>烟草制品销售者违反本条例第二十条第二款第一项规定的，由烟草专卖部门处1万元以上</w:t>
      </w:r>
      <w:r>
        <w:rPr>
          <w:rFonts w:hint="eastAsia" w:ascii="宋体" w:hAnsi="宋体" w:eastAsia="宋体" w:cs="宋体"/>
        </w:rPr>
        <w:t>3</w:t>
      </w:r>
      <w:r>
        <w:rPr>
          <w:rFonts w:hint="eastAsia"/>
        </w:rPr>
        <w:t>万元以下罚款。</w:t>
      </w:r>
    </w:p>
    <w:p w14:paraId="6AC32EEF">
      <w:r>
        <w:rPr>
          <w:rFonts w:hint="eastAsia"/>
        </w:rPr>
        <w:t>烟草制品销售者违反本条例第二十条第二款第二项规定的，由工商行政管理部门依照烟草专卖的相关法律法规予以处罚。</w:t>
      </w:r>
    </w:p>
    <w:p w14:paraId="03570885">
      <w:r>
        <w:rPr>
          <w:rFonts w:hint="eastAsia"/>
        </w:rPr>
        <w:t>烟草制品销售者违反本条例第二十条第二款第三项规定，通过自动售货机销售烟草制品的，由工商行政管理部门责令改正，并</w:t>
      </w:r>
      <w:r>
        <w:rPr>
          <w:rFonts w:hint="eastAsia" w:ascii="宋体" w:hAnsi="宋体" w:eastAsia="宋体" w:cs="宋体"/>
        </w:rPr>
        <w:t>处2万元以上5万元以下罚款；通过信息网络非法销售烟草制品的，由工商行政管理部门责令改正，并处5万元以上20万元以下罚款</w:t>
      </w:r>
      <w:r>
        <w:rPr>
          <w:rFonts w:hint="eastAsia"/>
        </w:rPr>
        <w:t>。</w:t>
      </w:r>
    </w:p>
    <w:p w14:paraId="28F5043D">
      <w:pPr>
        <w:ind w:firstLine="422"/>
      </w:pPr>
      <w:r>
        <w:rPr>
          <w:rFonts w:hint="eastAsia"/>
          <w:b/>
        </w:rPr>
        <w:t>第二十七条</w:t>
      </w:r>
      <w:r>
        <w:rPr>
          <w:rFonts w:hint="eastAsia"/>
        </w:rPr>
        <w:t xml:space="preserve">  违反本条例第二十一条第一项至第三项规定的，由工商行政管理部门依照广告管理的相关法律法规予以处罚。</w:t>
      </w:r>
    </w:p>
    <w:p w14:paraId="6A8976AD">
      <w:r>
        <w:rPr>
          <w:rFonts w:hint="eastAsia"/>
        </w:rPr>
        <w:t>违反本条例第二十一条第四项规定的，由工商行政管理部门责令停止违法行为，并处</w:t>
      </w:r>
      <w:r>
        <w:rPr>
          <w:rFonts w:hint="eastAsia" w:ascii="宋体" w:hAnsi="宋体" w:eastAsia="宋体" w:cs="宋体"/>
        </w:rPr>
        <w:t>5</w:t>
      </w:r>
      <w:r>
        <w:rPr>
          <w:rFonts w:hint="eastAsia"/>
        </w:rPr>
        <w:t>万元以上</w:t>
      </w:r>
      <w:r>
        <w:rPr>
          <w:rFonts w:hint="eastAsia" w:ascii="宋体" w:hAnsi="宋体" w:eastAsia="宋体" w:cs="宋体"/>
        </w:rPr>
        <w:t>10</w:t>
      </w:r>
      <w:r>
        <w:rPr>
          <w:rFonts w:hint="eastAsia"/>
        </w:rPr>
        <w:t>万元以下罚款。</w:t>
      </w:r>
    </w:p>
    <w:p w14:paraId="10D753E8">
      <w:pPr>
        <w:ind w:firstLine="422"/>
      </w:pPr>
      <w:r>
        <w:rPr>
          <w:rFonts w:hint="eastAsia"/>
          <w:b/>
        </w:rPr>
        <w:t>第二十八条</w:t>
      </w:r>
      <w:r>
        <w:rPr>
          <w:rFonts w:hint="eastAsia"/>
        </w:rPr>
        <w:t xml:space="preserve">  在禁止吸烟场所吸烟不听劝阻，构成扰乱社会秩序或者阻碍有关部门依法执行职务等违反治安管理行为的，由公安部门依法予以处罚；构成犯罪的，依法追究刑事责任。</w:t>
      </w:r>
    </w:p>
    <w:p w14:paraId="53F4702B">
      <w:pPr>
        <w:ind w:firstLine="422"/>
      </w:pPr>
      <w:r>
        <w:rPr>
          <w:rFonts w:hint="eastAsia"/>
          <w:b/>
        </w:rPr>
        <w:t>第二十九条</w:t>
      </w:r>
      <w:r>
        <w:rPr>
          <w:rFonts w:hint="eastAsia"/>
        </w:rPr>
        <w:t xml:space="preserve">  政府有关部门及其工作人员不依法履行控制吸烟职责，或者滥用职权、谋取私利的，由其上级机关或者监察机关依法追究直接负责的主管人员和其他直接责任人员的行政责任；构成犯罪的，依法追究刑事责任。</w:t>
      </w:r>
    </w:p>
    <w:p w14:paraId="526A0478">
      <w:pPr>
        <w:ind w:firstLine="422"/>
      </w:pPr>
      <w:r>
        <w:rPr>
          <w:rFonts w:hint="eastAsia"/>
          <w:b/>
        </w:rPr>
        <w:t>第三十条</w:t>
      </w:r>
      <w:r>
        <w:rPr>
          <w:rFonts w:hint="eastAsia"/>
        </w:rPr>
        <w:t xml:space="preserve">  本条</w:t>
      </w:r>
      <w:r>
        <w:rPr>
          <w:rFonts w:hint="eastAsia" w:ascii="宋体" w:hAnsi="宋体" w:eastAsia="宋体" w:cs="宋体"/>
        </w:rPr>
        <w:t>例自2015年6月1日起施行。1995年12月21日</w:t>
      </w:r>
      <w:r>
        <w:rPr>
          <w:rFonts w:hint="eastAsia"/>
        </w:rPr>
        <w:t>北京市第十届人民代表大会常务委员会第二十三次会议通过的《北京市公共场所禁止吸烟的规定》同时废止。</w:t>
      </w:r>
    </w:p>
    <w:p w14:paraId="3F4C4823">
      <w:pPr>
        <w:pStyle w:val="4"/>
        <w:pageBreakBefore/>
      </w:pPr>
      <w:bookmarkStart w:id="2409" w:name="_Toc426467122"/>
      <w:bookmarkStart w:id="2410" w:name="_Toc428781870"/>
      <w:bookmarkStart w:id="2411" w:name="_Toc428780675"/>
      <w:r>
        <w:rPr>
          <w:rFonts w:hint="eastAsia"/>
        </w:rPr>
        <w:t>北京市暂住人口计划生育管理办法</w:t>
      </w:r>
      <w:bookmarkEnd w:id="2409"/>
      <w:bookmarkEnd w:id="2410"/>
      <w:bookmarkEnd w:id="2411"/>
    </w:p>
    <w:p w14:paraId="5129F687">
      <w:pPr>
        <w:ind w:left="630" w:leftChars="300" w:right="630" w:rightChars="300"/>
        <w:jc w:val="center"/>
        <w:rPr>
          <w:rFonts w:ascii="楷体" w:hAnsi="楷体" w:eastAsia="楷体"/>
        </w:rPr>
      </w:pPr>
      <w:r>
        <w:rPr>
          <w:rFonts w:hint="eastAsia" w:ascii="楷体" w:hAnsi="楷体" w:eastAsia="楷体"/>
        </w:rPr>
        <w:t>（1991年5月16日北京市人民政府第16号令发布）</w:t>
      </w:r>
    </w:p>
    <w:p w14:paraId="12A1DF9B"/>
    <w:p w14:paraId="7495457C">
      <w:pPr>
        <w:ind w:firstLine="422"/>
      </w:pPr>
      <w:r>
        <w:rPr>
          <w:rFonts w:hint="eastAsia"/>
          <w:b/>
        </w:rPr>
        <w:t>第一条</w:t>
      </w:r>
      <w:r>
        <w:rPr>
          <w:rFonts w:hint="eastAsia"/>
        </w:rPr>
        <w:t xml:space="preserve">  为加强对暂住人口计划生育的管理，根据市人民代表大会常务委员会颁布的《北京市计划生育条例》，制定本办法。</w:t>
      </w:r>
    </w:p>
    <w:p w14:paraId="50E0B1FC">
      <w:pPr>
        <w:ind w:firstLine="422"/>
      </w:pPr>
      <w:r>
        <w:rPr>
          <w:rFonts w:hint="eastAsia"/>
          <w:b/>
        </w:rPr>
        <w:t>第二条</w:t>
      </w:r>
      <w:r>
        <w:rPr>
          <w:rFonts w:hint="eastAsia"/>
        </w:rPr>
        <w:t xml:space="preserve">  外地的育龄妇女来本市</w:t>
      </w:r>
      <w:r>
        <w:rPr>
          <w:rFonts w:hint="eastAsia" w:ascii="宋体" w:hAnsi="宋体" w:eastAsia="宋体" w:cs="宋体"/>
        </w:rPr>
        <w:t>暂住3个月以上，或具有本市常住户口的育龄妇女（有工作单位的除外，下同）离开户籍所在地异地暂住3个月以上的（以下</w:t>
      </w:r>
      <w:r>
        <w:rPr>
          <w:rFonts w:hint="eastAsia"/>
        </w:rPr>
        <w:t>简称暂住人口），均适用本办法。</w:t>
      </w:r>
    </w:p>
    <w:p w14:paraId="0D31E8D8">
      <w:pPr>
        <w:ind w:firstLine="422"/>
      </w:pPr>
      <w:r>
        <w:rPr>
          <w:rFonts w:hint="eastAsia"/>
          <w:b/>
        </w:rPr>
        <w:t>第三条</w:t>
      </w:r>
      <w:r>
        <w:rPr>
          <w:rFonts w:hint="eastAsia"/>
        </w:rPr>
        <w:t xml:space="preserve">  外地来本市暂住人口的计划生育宣传教育、咨询服务和管理工作，由暂住地的计划生育主管机关负责。</w:t>
      </w:r>
    </w:p>
    <w:p w14:paraId="2C7EADA6">
      <w:r>
        <w:rPr>
          <w:rFonts w:hint="eastAsia"/>
        </w:rPr>
        <w:t>本市暂住人口的计划生育宣传教育、咨询服务和管理工作，由其暂住地和户籍所在地的计划生育主管机关建立联系制度，共同负责。</w:t>
      </w:r>
    </w:p>
    <w:p w14:paraId="1B8C7AA6">
      <w:pPr>
        <w:ind w:firstLine="422"/>
      </w:pPr>
      <w:r>
        <w:rPr>
          <w:rFonts w:hint="eastAsia"/>
          <w:b/>
        </w:rPr>
        <w:t>第四条</w:t>
      </w:r>
      <w:r>
        <w:rPr>
          <w:rFonts w:hint="eastAsia"/>
        </w:rPr>
        <w:t xml:space="preserve">  接收暂住人口从业或居住的单位和个人，须与暂住人口暂住地的计划生育主管机关依法签订责任书，按责任书的规定，负责暂住人口的计划生育宣传、管理和避孕节育服务工作。不履行责任书的，按责任书的规定承担责任。</w:t>
      </w:r>
    </w:p>
    <w:p w14:paraId="5938C309">
      <w:pPr>
        <w:ind w:firstLine="422"/>
      </w:pPr>
      <w:r>
        <w:rPr>
          <w:rFonts w:hint="eastAsia"/>
          <w:b/>
        </w:rPr>
        <w:t>第五条</w:t>
      </w:r>
      <w:r>
        <w:rPr>
          <w:rFonts w:hint="eastAsia"/>
        </w:rPr>
        <w:t xml:space="preserve">  暂住人口向公安机关办理暂住登记时，须出示户籍所在地乡（镇）人民政府或街道办事处计划生育主管机关开具的婚育证明。对未出示婚育证明的，公安机关应在办理暂住登记时注明情况，并及时通知暂住地的计划生育主管机关。</w:t>
      </w:r>
    </w:p>
    <w:p w14:paraId="72143B57">
      <w:r>
        <w:rPr>
          <w:rFonts w:hint="eastAsia"/>
        </w:rPr>
        <w:t>暂住人口来本市务工、经商、生活的，须凭婚育证明，向暂住地乡（镇）人民政府、街道办事处计划生育主管机关登记，领取《北京市暂住人口计划生育证》后，劳动、工商行政管理机关和接收其从业或居住的单位、个人方可办理务工、经商或房屋租赁手续。</w:t>
      </w:r>
    </w:p>
    <w:p w14:paraId="4A334DD3">
      <w:pPr>
        <w:ind w:firstLine="422"/>
      </w:pPr>
      <w:r>
        <w:rPr>
          <w:rFonts w:hint="eastAsia"/>
          <w:b/>
        </w:rPr>
        <w:t>第六条</w:t>
      </w:r>
      <w:r>
        <w:rPr>
          <w:rFonts w:hint="eastAsia"/>
        </w:rPr>
        <w:t xml:space="preserve">  暂住人口在暂住地生育子女的，须持户籍所在地乡（镇）人民政府或街道办事处计划生育主管机关开具的生育证明，到暂住地的计划生育主管机关办理登记。</w:t>
      </w:r>
    </w:p>
    <w:p w14:paraId="7790DCE6">
      <w:pPr>
        <w:ind w:firstLine="422"/>
      </w:pPr>
      <w:r>
        <w:rPr>
          <w:rFonts w:hint="eastAsia"/>
          <w:b/>
        </w:rPr>
        <w:t>第七条</w:t>
      </w:r>
      <w:r>
        <w:rPr>
          <w:rFonts w:hint="eastAsia"/>
        </w:rPr>
        <w:t xml:space="preserve">  具有本市常住户口的育龄妇女异地暂住的，须在外出前与计划生育主管机关签订计划生育责任书，由计划生育主管机关出具婚育证明。</w:t>
      </w:r>
    </w:p>
    <w:p w14:paraId="4043BC58">
      <w:r>
        <w:rPr>
          <w:rFonts w:hint="eastAsia"/>
        </w:rPr>
        <w:t>对未落实可靠节育措施或因超计划生育受到处罚尚未执行完的，计划生育主管机关不予出具婚育证明，有关部门不得出具相应的务工、经商等有关证明。</w:t>
      </w:r>
    </w:p>
    <w:p w14:paraId="07D90C14">
      <w:pPr>
        <w:ind w:firstLine="422"/>
      </w:pPr>
      <w:r>
        <w:rPr>
          <w:rFonts w:hint="eastAsia"/>
          <w:b/>
        </w:rPr>
        <w:t>第八条</w:t>
      </w:r>
      <w:r>
        <w:rPr>
          <w:rFonts w:hint="eastAsia"/>
        </w:rPr>
        <w:t xml:space="preserve">  医疗单位应积极协助计划生育主管机关做好暂住人口的计划生育管理工作。对未持生育证明的孕妇，应动员其终止妊娠，并立即通知暂住地计划生育主管机关。</w:t>
      </w:r>
    </w:p>
    <w:p w14:paraId="4EDB3C5C">
      <w:pPr>
        <w:ind w:firstLine="422"/>
      </w:pPr>
      <w:r>
        <w:rPr>
          <w:rFonts w:hint="eastAsia"/>
          <w:b/>
        </w:rPr>
        <w:t>第九条</w:t>
      </w:r>
      <w:r>
        <w:rPr>
          <w:rFonts w:hint="eastAsia"/>
        </w:rPr>
        <w:t xml:space="preserve">  外地暂住人口无生育证明怀孕的，限期终止妊娠，逾期不终止妊娠的，务工、经商的，由劳动、工商行政管理机关暂扣务工证、营业执照，直至其终止妊娠。</w:t>
      </w:r>
    </w:p>
    <w:p w14:paraId="59155FF4">
      <w:r>
        <w:rPr>
          <w:rFonts w:hint="eastAsia"/>
        </w:rPr>
        <w:t>外地暂住人口超计划生育的，由暂住地计划生育主管机关按《北京市违反〈计划生育条例〉处罚办法》第四条规定的社会抚育费标准处以罚款，由劳动、工商行政管理、公安机关吊销务工、经商证照和暂住证，动员其离开本市。</w:t>
      </w:r>
    </w:p>
    <w:p w14:paraId="4B66862B">
      <w:pPr>
        <w:ind w:firstLine="422"/>
        <w:rPr>
          <w:rFonts w:hint="eastAsia" w:ascii="宋体" w:hAnsi="宋体" w:eastAsia="宋体" w:cs="宋体"/>
        </w:rPr>
      </w:pPr>
      <w:r>
        <w:rPr>
          <w:rFonts w:hint="eastAsia"/>
          <w:b/>
        </w:rPr>
        <w:t>第十条</w:t>
      </w:r>
      <w:r>
        <w:rPr>
          <w:rFonts w:hint="eastAsia"/>
        </w:rPr>
        <w:t xml:space="preserve">  对违反本办法第五条、第六条、第七条第一款规定的，由计划生育主管机关视情节轻重给予警告、</w:t>
      </w:r>
      <w:r>
        <w:rPr>
          <w:rFonts w:hint="eastAsia" w:ascii="宋体" w:hAnsi="宋体" w:eastAsia="宋体" w:cs="宋体"/>
        </w:rPr>
        <w:t>处200元以上500元以下罚款。</w:t>
      </w:r>
    </w:p>
    <w:p w14:paraId="2D18A9C3">
      <w:r>
        <w:rPr>
          <w:rFonts w:hint="eastAsia" w:ascii="宋体" w:hAnsi="宋体" w:eastAsia="宋体" w:cs="宋体"/>
        </w:rPr>
        <w:t>对伪造、涂改或以欺骗手段骗取计划生育证明的，处500元以上2000元以下罚</w:t>
      </w:r>
      <w:r>
        <w:rPr>
          <w:rFonts w:hint="eastAsia"/>
        </w:rPr>
        <w:t>款，其非法取得的证明无效。</w:t>
      </w:r>
    </w:p>
    <w:p w14:paraId="14DC7898">
      <w:pPr>
        <w:ind w:firstLine="422"/>
      </w:pPr>
      <w:r>
        <w:rPr>
          <w:rFonts w:hint="eastAsia"/>
          <w:b/>
        </w:rPr>
        <w:t>第十一条</w:t>
      </w:r>
      <w:r>
        <w:rPr>
          <w:rFonts w:hint="eastAsia"/>
        </w:rPr>
        <w:t xml:space="preserve">  属本市常住户口异地暂住的暂住人口违反计划生育管理规定的处罚，由其户籍所在地乡（镇）人民政府、街道办事处计划生育主管机关决定，由暂住地的乡（镇）人民政府、街道办事处计划生育主管机关协助执行。</w:t>
      </w:r>
    </w:p>
    <w:p w14:paraId="38A4250B">
      <w:pPr>
        <w:ind w:firstLine="422"/>
      </w:pPr>
      <w:r>
        <w:rPr>
          <w:rFonts w:hint="eastAsia"/>
          <w:b/>
        </w:rPr>
        <w:t>第十二条</w:t>
      </w:r>
      <w:r>
        <w:rPr>
          <w:rFonts w:hint="eastAsia"/>
        </w:rPr>
        <w:t xml:space="preserve">  各级公安、工商、劳动、卫生等行政管理机关和计划生育主管机关，应在同级人民政府的统一领导下，共同做好暂住人口的计划生育管理工作。有关行政管理机关、计划生育主管机关的工作人员，不依法履行职责、徇私舞弊的，由其所在单位或上级机关给予行政处分。</w:t>
      </w:r>
    </w:p>
    <w:p w14:paraId="298F8DB9">
      <w:pPr>
        <w:ind w:firstLine="422"/>
      </w:pPr>
      <w:r>
        <w:rPr>
          <w:rFonts w:hint="eastAsia"/>
          <w:b/>
        </w:rPr>
        <w:t>第十三条</w:t>
      </w:r>
      <w:r>
        <w:rPr>
          <w:rFonts w:hint="eastAsia"/>
        </w:rPr>
        <w:t xml:space="preserve">  本办法执行中的具体问题，由市计划生育委员会负责解释。</w:t>
      </w:r>
    </w:p>
    <w:p w14:paraId="1AC977B9">
      <w:r>
        <w:rPr>
          <w:rFonts w:hint="eastAsia"/>
        </w:rPr>
        <w:t>区、县人民政府可根据本办法制定实施细则。</w:t>
      </w:r>
    </w:p>
    <w:p w14:paraId="6D57311B">
      <w:pPr>
        <w:ind w:firstLine="422"/>
        <w:rPr>
          <w:rFonts w:hint="eastAsia" w:ascii="宋体" w:hAnsi="宋体" w:eastAsia="宋体" w:cs="宋体"/>
        </w:rPr>
      </w:pPr>
      <w:r>
        <w:rPr>
          <w:rFonts w:hint="eastAsia"/>
          <w:b/>
        </w:rPr>
        <w:t>第十四条</w:t>
      </w:r>
      <w:r>
        <w:rPr>
          <w:rFonts w:hint="eastAsia"/>
        </w:rPr>
        <w:t>　本办法</w:t>
      </w:r>
      <w:r>
        <w:rPr>
          <w:rFonts w:hint="eastAsia" w:ascii="宋体" w:hAnsi="宋体" w:eastAsia="宋体" w:cs="宋体"/>
        </w:rPr>
        <w:t>自1991年6月1日起施行。</w:t>
      </w:r>
    </w:p>
    <w:p w14:paraId="3CCBA8D6">
      <w:pPr>
        <w:pStyle w:val="4"/>
        <w:pageBreakBefore/>
      </w:pPr>
      <w:bookmarkStart w:id="2412" w:name="_Toc426467123"/>
      <w:bookmarkStart w:id="2413" w:name="_Toc428781871"/>
      <w:bookmarkStart w:id="2414" w:name="_Toc428780676"/>
      <w:r>
        <w:rPr>
          <w:rFonts w:hint="eastAsia"/>
        </w:rPr>
        <w:t>北京市实施《食盐加碘消除碘缺乏</w:t>
      </w:r>
      <w:bookmarkEnd w:id="2412"/>
      <w:bookmarkEnd w:id="2413"/>
      <w:bookmarkEnd w:id="2414"/>
    </w:p>
    <w:p w14:paraId="7C1C15F0">
      <w:pPr>
        <w:pStyle w:val="4"/>
      </w:pPr>
      <w:bookmarkStart w:id="2415" w:name="_Toc428781872"/>
      <w:bookmarkStart w:id="2416" w:name="_Toc426467124"/>
      <w:bookmarkStart w:id="2417" w:name="_Toc428780677"/>
      <w:r>
        <w:rPr>
          <w:rFonts w:hint="eastAsia"/>
        </w:rPr>
        <w:t>危害管理条例》办法</w:t>
      </w:r>
      <w:bookmarkEnd w:id="2415"/>
      <w:bookmarkEnd w:id="2416"/>
      <w:bookmarkEnd w:id="2417"/>
    </w:p>
    <w:p w14:paraId="4557E635">
      <w:pPr>
        <w:ind w:left="630" w:leftChars="300" w:right="630" w:rightChars="300"/>
        <w:jc w:val="center"/>
        <w:rPr>
          <w:rFonts w:ascii="楷体" w:hAnsi="楷体" w:eastAsia="楷体"/>
        </w:rPr>
      </w:pPr>
      <w:r>
        <w:rPr>
          <w:rFonts w:hint="eastAsia" w:ascii="楷体" w:hAnsi="楷体" w:eastAsia="楷体"/>
        </w:rPr>
        <w:t>（1996年6月5日北京市人民政府第7号令发布）</w:t>
      </w:r>
    </w:p>
    <w:p w14:paraId="305A0DD3"/>
    <w:p w14:paraId="43B49B26">
      <w:pPr>
        <w:ind w:firstLine="422"/>
      </w:pPr>
      <w:r>
        <w:rPr>
          <w:rFonts w:hint="eastAsia"/>
          <w:b/>
        </w:rPr>
        <w:t>第一条</w:t>
      </w:r>
      <w:r>
        <w:rPr>
          <w:rFonts w:hint="eastAsia"/>
        </w:rPr>
        <w:t xml:space="preserve">  为实施国务院发布的《食盐加碘消除碘缺乏危害管理条例》（以下简称 《条例》），结合本市实际情况，制定本办法。</w:t>
      </w:r>
    </w:p>
    <w:p w14:paraId="2A9F0BEB">
      <w:pPr>
        <w:ind w:firstLine="422"/>
      </w:pPr>
      <w:r>
        <w:rPr>
          <w:rFonts w:hint="eastAsia"/>
          <w:b/>
        </w:rPr>
        <w:t>第二条</w:t>
      </w:r>
      <w:r>
        <w:rPr>
          <w:rFonts w:hint="eastAsia"/>
        </w:rPr>
        <w:t xml:space="preserve">  凡在本市行政区域内从事食盐生产加工、经营和使用，均须遵守《条例》和本办法。</w:t>
      </w:r>
    </w:p>
    <w:p w14:paraId="5BA924D8">
      <w:pPr>
        <w:ind w:firstLine="422"/>
      </w:pPr>
      <w:r>
        <w:rPr>
          <w:rFonts w:hint="eastAsia"/>
          <w:b/>
        </w:rPr>
        <w:t>第三条</w:t>
      </w:r>
      <w:r>
        <w:rPr>
          <w:rFonts w:hint="eastAsia"/>
        </w:rPr>
        <w:t xml:space="preserve">  市卫生局负责本市碘缺乏危害防治和碘盐的卫生监督管理工作。区、县卫生局负责本辖区内碘缺乏危害防治和碘盐的卫生监督管理工作。</w:t>
      </w:r>
    </w:p>
    <w:p w14:paraId="0B0BF5CA">
      <w:r>
        <w:rPr>
          <w:rFonts w:hint="eastAsia"/>
        </w:rPr>
        <w:t>市商业委员会（以下简称市商委）是本市的盐业行政主管部门，负责本市碘盐生产加工、市场供应的日常监督管理工作。</w:t>
      </w:r>
    </w:p>
    <w:p w14:paraId="29B1DDAC">
      <w:r>
        <w:rPr>
          <w:rFonts w:hint="eastAsia"/>
        </w:rPr>
        <w:t>工商行政管理、技术监督等部门应当按照各自的职责做好食盐加碘消除碘缺乏危害工作。</w:t>
      </w:r>
    </w:p>
    <w:p w14:paraId="6668233E">
      <w:pPr>
        <w:ind w:firstLine="422"/>
      </w:pPr>
      <w:r>
        <w:rPr>
          <w:rFonts w:hint="eastAsia"/>
          <w:b/>
        </w:rPr>
        <w:t>第四条</w:t>
      </w:r>
      <w:r>
        <w:rPr>
          <w:rFonts w:hint="eastAsia"/>
        </w:rPr>
        <w:t xml:space="preserve">  在本市批发、零售的碘盐必须达到国家规定的含碘量，严禁销售非碘盐和不合格碘盐。</w:t>
      </w:r>
    </w:p>
    <w:p w14:paraId="60F3B629">
      <w:pPr>
        <w:ind w:firstLine="422"/>
      </w:pPr>
      <w:r>
        <w:rPr>
          <w:rFonts w:hint="eastAsia"/>
          <w:b/>
        </w:rPr>
        <w:t>第五条</w:t>
      </w:r>
      <w:r>
        <w:rPr>
          <w:rFonts w:hint="eastAsia"/>
        </w:rPr>
        <w:t xml:space="preserve">  从事碘盐批发业务的单位不得向零售单位批发、供应散装碘盐。零售碘盐的单位销售的碘盐应当为小包装，包装标识须符合国家有关规定。</w:t>
      </w:r>
    </w:p>
    <w:p w14:paraId="51C25874">
      <w:pPr>
        <w:ind w:firstLine="422"/>
      </w:pPr>
      <w:r>
        <w:rPr>
          <w:rFonts w:hint="eastAsia"/>
          <w:b/>
        </w:rPr>
        <w:t>第六条</w:t>
      </w:r>
      <w:r>
        <w:rPr>
          <w:rFonts w:hint="eastAsia"/>
        </w:rPr>
        <w:t xml:space="preserve">  在本市生产、加工食品和副食品，凡需添加食盐的，必须使用碘盐。</w:t>
      </w:r>
    </w:p>
    <w:p w14:paraId="653C1953">
      <w:pPr>
        <w:ind w:firstLine="422"/>
      </w:pPr>
      <w:r>
        <w:rPr>
          <w:rFonts w:hint="eastAsia"/>
          <w:b/>
        </w:rPr>
        <w:t>第七条</w:t>
      </w:r>
      <w:r>
        <w:rPr>
          <w:rFonts w:hint="eastAsia"/>
        </w:rPr>
        <w:t xml:space="preserve">  经市卫生局指定的医疗机构证明因病不宜食用碘盐的，到市商委指定的单位购买非碘盐。</w:t>
      </w:r>
    </w:p>
    <w:p w14:paraId="4EE4AD34">
      <w:pPr>
        <w:ind w:firstLine="422"/>
      </w:pPr>
      <w:r>
        <w:rPr>
          <w:rFonts w:hint="eastAsia"/>
          <w:b/>
        </w:rPr>
        <w:t>第八条</w:t>
      </w:r>
      <w:r>
        <w:rPr>
          <w:rFonts w:hint="eastAsia"/>
        </w:rPr>
        <w:t xml:space="preserve">  碘盐的生产、批发单位要建立健全碘盐检测制度，对每批进出库的碘盐必须进行登记和检测碘含量，并定期向市卫生局报告。</w:t>
      </w:r>
    </w:p>
    <w:p w14:paraId="18D080E8">
      <w:pPr>
        <w:ind w:firstLine="422"/>
      </w:pPr>
      <w:r>
        <w:rPr>
          <w:rFonts w:hint="eastAsia"/>
          <w:b/>
        </w:rPr>
        <w:t>第九条</w:t>
      </w:r>
      <w:r>
        <w:rPr>
          <w:rFonts w:hint="eastAsia"/>
        </w:rPr>
        <w:t xml:space="preserve">  市和区、县卫生局负责定期对生产、加工、批发及零售的碘盐进行监测；对使用的碘盐进行抽测；对缺碘地区的居民还要开展不定期的健康监测，评估防治效果，及时采取改进措施。</w:t>
      </w:r>
    </w:p>
    <w:p w14:paraId="5ABD88FD">
      <w:pPr>
        <w:ind w:firstLine="422"/>
      </w:pPr>
      <w:r>
        <w:rPr>
          <w:rFonts w:hint="eastAsia"/>
          <w:b/>
        </w:rPr>
        <w:t>第十条</w:t>
      </w:r>
      <w:r>
        <w:rPr>
          <w:rFonts w:hint="eastAsia"/>
        </w:rPr>
        <w:t xml:space="preserve">  违反《条例》和本办法的规定，有下列行为之一的，由市或者区、县卫生局责令改正，可以并处该盐产品价值3倍以下的罚款：</w:t>
      </w:r>
    </w:p>
    <w:p w14:paraId="74317430">
      <w:bookmarkStart w:id="2418" w:name="_Toc428780678"/>
      <w:r>
        <w:rPr>
          <w:rFonts w:hint="eastAsia"/>
        </w:rPr>
        <w:t>（一）在碘盐的加工、运输、经营过程中不符合国家卫生标准的；</w:t>
      </w:r>
      <w:bookmarkEnd w:id="2418"/>
    </w:p>
    <w:p w14:paraId="6E919A88">
      <w:r>
        <w:rPr>
          <w:rFonts w:hint="eastAsia"/>
        </w:rPr>
        <w:t>（二）出厂碘盐未予包装或者包装不符合国家卫生标准的。</w:t>
      </w:r>
    </w:p>
    <w:p w14:paraId="76D3556C">
      <w:pPr>
        <w:ind w:firstLine="422"/>
      </w:pPr>
      <w:r>
        <w:rPr>
          <w:rFonts w:hint="eastAsia"/>
          <w:b/>
        </w:rPr>
        <w:t>第十一条</w:t>
      </w:r>
      <w:r>
        <w:rPr>
          <w:rFonts w:hint="eastAsia"/>
        </w:rPr>
        <w:t xml:space="preserve">  违反《条例》和本办法的规定，在生产、销售的食品和副食品中添加非碘盐的，由市或者区、县卫生局责令改正，没收违法所得，可以并处该产品价值</w:t>
      </w:r>
      <w:r>
        <w:rPr>
          <w:rFonts w:hint="eastAsia" w:ascii="宋体" w:hAnsi="宋体" w:eastAsia="宋体" w:cs="宋体"/>
        </w:rPr>
        <w:t>1倍</w:t>
      </w:r>
      <w:r>
        <w:rPr>
          <w:rFonts w:hint="eastAsia"/>
        </w:rPr>
        <w:t>以下的罚款。</w:t>
      </w:r>
    </w:p>
    <w:p w14:paraId="26D5EB10">
      <w:pPr>
        <w:ind w:firstLine="422"/>
      </w:pPr>
      <w:r>
        <w:rPr>
          <w:rFonts w:hint="eastAsia"/>
          <w:b/>
        </w:rPr>
        <w:t>第十二条</w:t>
      </w:r>
      <w:r>
        <w:rPr>
          <w:rFonts w:hint="eastAsia"/>
        </w:rPr>
        <w:t xml:space="preserve">  违反《条例》和本办法的规定，擅自开办碘盐加工企业或者未经批准从事碘盐批发业务的，由市商委责令停止加工或者批发碘盐，没收全部碘盐和违法所得，可以并处该盐产品价值</w:t>
      </w:r>
      <w:r>
        <w:rPr>
          <w:rFonts w:hint="eastAsia" w:ascii="宋体" w:hAnsi="宋体" w:eastAsia="宋体" w:cs="宋体"/>
        </w:rPr>
        <w:t>3</w:t>
      </w:r>
      <w:r>
        <w:rPr>
          <w:rFonts w:hint="eastAsia"/>
        </w:rPr>
        <w:t>倍以下的罚款。</w:t>
      </w:r>
    </w:p>
    <w:p w14:paraId="00D8C313">
      <w:pPr>
        <w:ind w:firstLine="422"/>
      </w:pPr>
      <w:r>
        <w:rPr>
          <w:rFonts w:hint="eastAsia"/>
          <w:b/>
        </w:rPr>
        <w:t>第十三条</w:t>
      </w:r>
      <w:r>
        <w:rPr>
          <w:rFonts w:hint="eastAsia"/>
        </w:rPr>
        <w:t xml:space="preserve">  碘盐的加工企业、批发企业违反《条例》和本办法的规定，加工、批发不合格碘盐的，由市商委责令停止出售，并责令责任者按照国家规定标准对食盐补碘，没收违法所得，可以并处该盐产品价值</w:t>
      </w:r>
      <w:r>
        <w:rPr>
          <w:rFonts w:hint="eastAsia" w:ascii="宋体" w:hAnsi="宋体" w:eastAsia="宋体" w:cs="宋体"/>
        </w:rPr>
        <w:t>3</w:t>
      </w:r>
      <w:r>
        <w:rPr>
          <w:rFonts w:hint="eastAsia"/>
        </w:rPr>
        <w:t>倍以下的罚款。情节严重的，对加工企业，由市商委报请国务院盐业主管机构批准后，取消其碘盐加工资格；对批发企业，由市商委取消其碘盐批发资格。</w:t>
      </w:r>
    </w:p>
    <w:p w14:paraId="0CC4023F">
      <w:pPr>
        <w:ind w:firstLine="422"/>
      </w:pPr>
      <w:r>
        <w:rPr>
          <w:rFonts w:hint="eastAsia"/>
          <w:b/>
        </w:rPr>
        <w:t>第十四条</w:t>
      </w:r>
      <w:r>
        <w:rPr>
          <w:rFonts w:hint="eastAsia"/>
        </w:rPr>
        <w:t>　违反《条例》和本办法的规定，在本市食用盐市场销售不合格碘盐或者擅自销售非碘盐的，由市商委没收其经营的全部盐产品和违法所得，可以并处该盐产品价值</w:t>
      </w:r>
      <w:r>
        <w:rPr>
          <w:rFonts w:hint="eastAsia" w:ascii="宋体" w:hAnsi="宋体" w:eastAsia="宋体" w:cs="宋体"/>
        </w:rPr>
        <w:t>3</w:t>
      </w:r>
      <w:r>
        <w:rPr>
          <w:rFonts w:hint="eastAsia"/>
        </w:rPr>
        <w:t>倍以下的罚款；情节严重，构成犯罪的，依法追究刑事责任。</w:t>
      </w:r>
    </w:p>
    <w:p w14:paraId="111B5ED6">
      <w:pPr>
        <w:ind w:firstLine="422"/>
      </w:pPr>
      <w:r>
        <w:rPr>
          <w:rFonts w:hint="eastAsia"/>
          <w:b/>
        </w:rPr>
        <w:t>第十五条</w:t>
      </w:r>
      <w:r>
        <w:rPr>
          <w:rFonts w:hint="eastAsia"/>
        </w:rPr>
        <w:t>　本办法执行中的具体问题，由市卫生局和市商委按照各自职责负责解释。</w:t>
      </w:r>
    </w:p>
    <w:p w14:paraId="3682C5FA">
      <w:pPr>
        <w:ind w:firstLine="422"/>
      </w:pPr>
      <w:r>
        <w:rPr>
          <w:rFonts w:hint="eastAsia"/>
          <w:b/>
        </w:rPr>
        <w:t>第十六条</w:t>
      </w:r>
      <w:r>
        <w:rPr>
          <w:rFonts w:hint="eastAsia"/>
        </w:rPr>
        <w:t>　本办法自</w:t>
      </w:r>
      <w:r>
        <w:rPr>
          <w:rFonts w:hint="eastAsia" w:ascii="宋体" w:hAnsi="宋体" w:eastAsia="宋体" w:cs="宋体"/>
        </w:rPr>
        <w:t>1996年7月1</w:t>
      </w:r>
      <w:r>
        <w:rPr>
          <w:rFonts w:hint="eastAsia"/>
        </w:rPr>
        <w:t>日起施行。</w:t>
      </w:r>
    </w:p>
    <w:p w14:paraId="0DBD97E6">
      <w:pPr>
        <w:pStyle w:val="4"/>
        <w:pageBreakBefore/>
      </w:pPr>
      <w:bookmarkStart w:id="2419" w:name="_Toc428781873"/>
      <w:bookmarkStart w:id="2420" w:name="_Toc428780679"/>
      <w:bookmarkStart w:id="2421" w:name="_Toc426467125"/>
      <w:r>
        <w:rPr>
          <w:rFonts w:hint="eastAsia"/>
        </w:rPr>
        <w:t>北京市除四害工作管理规定</w:t>
      </w:r>
      <w:bookmarkEnd w:id="2419"/>
      <w:bookmarkEnd w:id="2420"/>
      <w:bookmarkEnd w:id="2421"/>
    </w:p>
    <w:p w14:paraId="43D56AD4">
      <w:pPr>
        <w:ind w:left="630" w:leftChars="300" w:right="630" w:rightChars="300"/>
        <w:rPr>
          <w:rFonts w:ascii="楷体" w:hAnsi="楷体" w:eastAsia="楷体"/>
        </w:rPr>
      </w:pPr>
      <w:r>
        <w:rPr>
          <w:rFonts w:hint="eastAsia" w:ascii="楷体" w:hAnsi="楷体" w:eastAsia="楷体"/>
        </w:rPr>
        <w:t>（1999年8月24日北京市人民政府第34号令发布　根据2014年7月9日北京市人民政府第259号令修改）</w:t>
      </w:r>
    </w:p>
    <w:p w14:paraId="45E8F416"/>
    <w:p w14:paraId="13499F10">
      <w:pPr>
        <w:ind w:firstLine="422"/>
      </w:pPr>
      <w:r>
        <w:rPr>
          <w:rFonts w:hint="eastAsia"/>
          <w:b/>
        </w:rPr>
        <w:t>第一条</w:t>
      </w:r>
      <w:r>
        <w:rPr>
          <w:rFonts w:hint="eastAsia"/>
        </w:rPr>
        <w:t xml:space="preserve">  为了预防、控制和消除鼠、蚊、蝇、蟑害（以下简称四害），防止疾病传播，保障人民身体健康，根据国家有关法律、法规，结合本市实际，制定本规定。</w:t>
      </w:r>
    </w:p>
    <w:p w14:paraId="166BB581">
      <w:pPr>
        <w:ind w:firstLine="422"/>
      </w:pPr>
      <w:r>
        <w:rPr>
          <w:rFonts w:hint="eastAsia"/>
          <w:b/>
        </w:rPr>
        <w:t>第二条</w:t>
      </w:r>
      <w:r>
        <w:rPr>
          <w:rFonts w:hint="eastAsia"/>
        </w:rPr>
        <w:t xml:space="preserve">  本市行政区域内的国家机关、部队、社会团体、企业事业单位和其他组织（以下统称单位）以及个人，均应遵守本规定。</w:t>
      </w:r>
    </w:p>
    <w:p w14:paraId="2C068D4C">
      <w:pPr>
        <w:ind w:firstLine="422"/>
      </w:pPr>
      <w:r>
        <w:rPr>
          <w:rFonts w:hint="eastAsia"/>
          <w:b/>
        </w:rPr>
        <w:t>第三条</w:t>
      </w:r>
      <w:r>
        <w:rPr>
          <w:rFonts w:hint="eastAsia"/>
        </w:rPr>
        <w:t xml:space="preserve">  除四害工作应当贯彻预防为主、专群结合的方针。推行治理环境为主、药械控制为辅的综合性除四害措施。</w:t>
      </w:r>
    </w:p>
    <w:p w14:paraId="3F15F1E7">
      <w:pPr>
        <w:ind w:firstLine="422"/>
      </w:pPr>
      <w:r>
        <w:rPr>
          <w:rFonts w:hint="eastAsia"/>
          <w:b/>
        </w:rPr>
        <w:t>第四条</w:t>
      </w:r>
      <w:r>
        <w:rPr>
          <w:rFonts w:hint="eastAsia"/>
        </w:rPr>
        <w:t xml:space="preserve">  市和区、县爱国卫生运动委员会负责组织、协调本行政区域的除四害工作。各级爱国卫生运动委员会办公室负责本规定的具体实施。</w:t>
      </w:r>
    </w:p>
    <w:p w14:paraId="6CE2BE9F">
      <w:r>
        <w:rPr>
          <w:rFonts w:hint="eastAsia"/>
        </w:rPr>
        <w:t>各级卫生防疫部门负责除四害技术指导和四害密度监测。</w:t>
      </w:r>
    </w:p>
    <w:p w14:paraId="40CC582F">
      <w:r>
        <w:rPr>
          <w:rFonts w:hint="eastAsia"/>
        </w:rPr>
        <w:t>有关行政部门在各自的职责范围内做好除四害工作。</w:t>
      </w:r>
    </w:p>
    <w:p w14:paraId="012E8E10">
      <w:r>
        <w:rPr>
          <w:rFonts w:hint="eastAsia"/>
        </w:rPr>
        <w:t>街道办事处和乡、镇人民政府负责组织指导居民（家属）委员会、村民委员会通过制定居民公约或者村规民约等形式，动员本居住地区的住户做好除四害工作。</w:t>
      </w:r>
    </w:p>
    <w:p w14:paraId="6A7C0E00">
      <w:pPr>
        <w:ind w:firstLine="422"/>
      </w:pPr>
      <w:r>
        <w:rPr>
          <w:rFonts w:hint="eastAsia"/>
          <w:b/>
        </w:rPr>
        <w:t>第五条</w:t>
      </w:r>
      <w:r>
        <w:rPr>
          <w:rFonts w:hint="eastAsia"/>
        </w:rPr>
        <w:t xml:space="preserve">  各级财政应当保证除四害经费，对公共环境以及全市或者全区（县）性临时除四害活动经费予以补贴。</w:t>
      </w:r>
    </w:p>
    <w:p w14:paraId="1E37B078">
      <w:pPr>
        <w:ind w:firstLine="422"/>
      </w:pPr>
      <w:r>
        <w:rPr>
          <w:rFonts w:hint="eastAsia"/>
          <w:b/>
        </w:rPr>
        <w:t>第六条</w:t>
      </w:r>
      <w:r>
        <w:rPr>
          <w:rFonts w:hint="eastAsia"/>
        </w:rPr>
        <w:t xml:space="preserve">  单位负责本单位内及门前三包责任区内的除四害工作；住户负责所居房屋及院落的除四害工作；街道办事处负责辖区内街巷的除四害工作。</w:t>
      </w:r>
    </w:p>
    <w:p w14:paraId="4A133600">
      <w:r>
        <w:rPr>
          <w:rFonts w:hint="eastAsia"/>
        </w:rPr>
        <w:t>未划入门前三包责任区的其他公共环境的除四害工作由该公共环境的管理部门负责。</w:t>
      </w:r>
    </w:p>
    <w:p w14:paraId="06805135">
      <w:pPr>
        <w:ind w:firstLine="422"/>
      </w:pPr>
      <w:r>
        <w:rPr>
          <w:rFonts w:hint="eastAsia"/>
          <w:b/>
        </w:rPr>
        <w:t>第七条</w:t>
      </w:r>
      <w:r>
        <w:rPr>
          <w:rFonts w:hint="eastAsia"/>
        </w:rPr>
        <w:t xml:space="preserve">  各单位应当建立健全除四害的规章制度，其上级主管部门应当对其除四害工作进行监督。</w:t>
      </w:r>
    </w:p>
    <w:p w14:paraId="4F2BC725">
      <w:pPr>
        <w:ind w:firstLine="422"/>
      </w:pPr>
      <w:r>
        <w:rPr>
          <w:rFonts w:hint="eastAsia"/>
          <w:b/>
        </w:rPr>
        <w:t>第八条</w:t>
      </w:r>
      <w:r>
        <w:rPr>
          <w:rFonts w:hint="eastAsia"/>
        </w:rPr>
        <w:t xml:space="preserve">  单位和住户应当采取清除鼠迹、堵塞鼠洞、添设防范设施等措施及毒杀、诱捕等方法消灭老鼠，使鼠密度等指标符合国家控制标准。</w:t>
      </w:r>
    </w:p>
    <w:p w14:paraId="71FB1470">
      <w:pPr>
        <w:ind w:firstLine="422"/>
      </w:pPr>
      <w:r>
        <w:rPr>
          <w:rFonts w:hint="eastAsia"/>
          <w:b/>
        </w:rPr>
        <w:t>第九条</w:t>
      </w:r>
      <w:r>
        <w:rPr>
          <w:rFonts w:hint="eastAsia"/>
        </w:rPr>
        <w:t xml:space="preserve">  单位和住户必须按照下列规定清除蚊蝇孳生地并运用化学、物理、生物等方法消灭蚊蝇及其幼虫，使蚊蝇密度等指标符合国家控制标准。</w:t>
      </w:r>
    </w:p>
    <w:p w14:paraId="3BFF92B1">
      <w:r>
        <w:rPr>
          <w:rFonts w:hint="eastAsia"/>
        </w:rPr>
        <w:t>（一）对厕所、下水道口、垃圾桶（箱）、污物容器、雨水污水蓄积地等一切易于孳生和聚集蚊蝇的场所，必须分别采取冲洗、消毒、打扫、平整等卫生措施，防止蚊蝇孳生、聚集，及时消灭蚊蝇和蚊蝇幼虫。</w:t>
      </w:r>
    </w:p>
    <w:p w14:paraId="4F1CF384">
      <w:r>
        <w:rPr>
          <w:rFonts w:hint="eastAsia"/>
        </w:rPr>
        <w:t>（二）保持单位责任区域、住宅院落公共卫生和家庭卫生，做到室外无蚊蝇孳生地，室内无蚊蝇。</w:t>
      </w:r>
    </w:p>
    <w:p w14:paraId="2F4E495B">
      <w:r>
        <w:rPr>
          <w:rFonts w:hint="eastAsia"/>
        </w:rPr>
        <w:t>（三）农村集体经济组织和农户饲养禽畜，应搞好饲养场所及其周围的环境卫生，清除蚊蝇孳生条件。农村菜区堆肥场由乡、镇人民政府统一规划设置，垃圾处理场、粪库、粪池等由其所有者或者管理、使用者做好卫生保洁工作，粪库、粪池应加盖予以密封。在蚊蝇孳生季节，应当对上述场所定期喷洒低毒杀虫药。</w:t>
      </w:r>
    </w:p>
    <w:p w14:paraId="3E7BCF84">
      <w:pPr>
        <w:ind w:firstLine="422"/>
      </w:pPr>
      <w:r>
        <w:rPr>
          <w:rFonts w:hint="eastAsia"/>
          <w:b/>
        </w:rPr>
        <w:t>第十条</w:t>
      </w:r>
      <w:r>
        <w:rPr>
          <w:rFonts w:hint="eastAsia"/>
        </w:rPr>
        <w:t xml:space="preserve">  单位和住户发现蟑螂应当及时采取灭杀措施，使蟑螂密度等指标符合国家控制标准。</w:t>
      </w:r>
    </w:p>
    <w:p w14:paraId="4CC80571">
      <w:pPr>
        <w:ind w:firstLine="422"/>
      </w:pPr>
      <w:r>
        <w:rPr>
          <w:rFonts w:hint="eastAsia"/>
          <w:b/>
        </w:rPr>
        <w:t>第十一条</w:t>
      </w:r>
      <w:r>
        <w:rPr>
          <w:rFonts w:hint="eastAsia"/>
        </w:rPr>
        <w:t xml:space="preserve">  单位或者个人应当在所管理的食品生产经营场所和宾馆（饭店）、招待所、集贸市场、医院、机场、火车站、长途汽车站、废品收购站、动物园及公厕、垃圾转运站、垃圾处理场等场所配置相应的四害防治设施，并有人负责除四害工作。</w:t>
      </w:r>
    </w:p>
    <w:p w14:paraId="0FEED992">
      <w:pPr>
        <w:ind w:firstLine="422"/>
      </w:pPr>
      <w:r>
        <w:rPr>
          <w:rFonts w:hint="eastAsia"/>
          <w:b/>
        </w:rPr>
        <w:t>第十二条</w:t>
      </w:r>
      <w:r>
        <w:rPr>
          <w:rFonts w:hint="eastAsia"/>
        </w:rPr>
        <w:t xml:space="preserve">  在全市或者全区（县）性的除四害统一行动中，单位和住户应当按照市或者区（县）爱国卫生运动委员会的部署，使用统一方法、指定的药物及相关器械，实行有效的除四害措施。</w:t>
      </w:r>
    </w:p>
    <w:p w14:paraId="1FD9FE06">
      <w:pPr>
        <w:ind w:firstLine="422"/>
      </w:pPr>
      <w:r>
        <w:rPr>
          <w:rFonts w:hint="eastAsia"/>
          <w:b/>
        </w:rPr>
        <w:t>第十三条</w:t>
      </w:r>
      <w:r>
        <w:rPr>
          <w:rFonts w:hint="eastAsia"/>
        </w:rPr>
        <w:t xml:space="preserve">  任何单位和个人不得在本市生产、销售或者使用国家禁止的除四害药物及器械。</w:t>
      </w:r>
    </w:p>
    <w:p w14:paraId="7D04FB6D">
      <w:pPr>
        <w:ind w:firstLine="422"/>
      </w:pPr>
      <w:r>
        <w:rPr>
          <w:rFonts w:hint="eastAsia"/>
          <w:b/>
        </w:rPr>
        <w:t>第十四条</w:t>
      </w:r>
      <w:r>
        <w:rPr>
          <w:rFonts w:hint="eastAsia"/>
        </w:rPr>
        <w:t>　设立除四害服务机构，应当按照国家有关规定办理相关手续，接受卫生防疫部门的业务指导，并向所在区、县爱国卫生运动委员会办公室备案。</w:t>
      </w:r>
    </w:p>
    <w:p w14:paraId="0B4F2D18">
      <w:pPr>
        <w:ind w:firstLine="422"/>
      </w:pPr>
      <w:r>
        <w:rPr>
          <w:rFonts w:hint="eastAsia"/>
          <w:b/>
        </w:rPr>
        <w:t>第十五条</w:t>
      </w:r>
      <w:r>
        <w:rPr>
          <w:rFonts w:hint="eastAsia"/>
        </w:rPr>
        <w:t>　对在除四害工作中取得显著成绩的单位和个人，市和区、县爱国卫生运动委员会应当予以表彰或者奖励。</w:t>
      </w:r>
    </w:p>
    <w:p w14:paraId="76B64228">
      <w:pPr>
        <w:ind w:firstLine="422"/>
      </w:pPr>
      <w:r>
        <w:rPr>
          <w:rFonts w:hint="eastAsia"/>
          <w:b/>
        </w:rPr>
        <w:t>第十六条</w:t>
      </w:r>
      <w:r>
        <w:rPr>
          <w:rFonts w:hint="eastAsia"/>
        </w:rPr>
        <w:t>　对违反本规定的下列行为，由市或者区、县爱国卫生运动委员会办公室予以处罚：</w:t>
      </w:r>
    </w:p>
    <w:p w14:paraId="30827EC4">
      <w:pPr>
        <w:rPr>
          <w:rFonts w:hint="eastAsia" w:ascii="宋体" w:hAnsi="宋体" w:eastAsia="宋体" w:cs="宋体"/>
        </w:rPr>
      </w:pPr>
      <w:r>
        <w:rPr>
          <w:rFonts w:hint="eastAsia"/>
        </w:rPr>
        <w:t>（一）未按照第八条、第九条、第十条规定采取有效除四害措施，致使四害密度等指标超过国家控制标准的，予以警告，责</w:t>
      </w:r>
      <w:r>
        <w:rPr>
          <w:rFonts w:hint="eastAsia" w:ascii="宋体" w:hAnsi="宋体" w:eastAsia="宋体" w:cs="宋体"/>
        </w:rPr>
        <w:t>令限期改正，并可处以20元以上500元以下罚款；情节严重的，处以500元以上1000元以下罚款。</w:t>
      </w:r>
    </w:p>
    <w:p w14:paraId="587A2CAB">
      <w:pPr>
        <w:rPr>
          <w:rFonts w:hint="eastAsia" w:ascii="宋体" w:hAnsi="宋体" w:eastAsia="宋体" w:cs="宋体"/>
        </w:rPr>
      </w:pPr>
      <w:r>
        <w:rPr>
          <w:rFonts w:hint="eastAsia" w:ascii="宋体" w:hAnsi="宋体" w:eastAsia="宋体" w:cs="宋体"/>
        </w:rPr>
        <w:t>（二）未按照第十一条规定配置相应的四害防治设施或者无人负责除四害工作的，予以警告，责令限期改正，并可处以20元以上1000元以下罚款。</w:t>
      </w:r>
    </w:p>
    <w:p w14:paraId="032D2FE3">
      <w:pPr>
        <w:rPr>
          <w:rFonts w:hint="eastAsia" w:ascii="宋体" w:hAnsi="宋体" w:eastAsia="宋体" w:cs="宋体"/>
        </w:rPr>
      </w:pPr>
      <w:r>
        <w:rPr>
          <w:rFonts w:hint="eastAsia" w:ascii="宋体" w:hAnsi="宋体" w:eastAsia="宋体" w:cs="宋体"/>
        </w:rPr>
        <w:t>（三）未按照第十二条规定采取统一的除四害措施的，给予警告，责令限期改正；逾期不改正的，可处以20元以上1000元以下罚款。</w:t>
      </w:r>
    </w:p>
    <w:p w14:paraId="0E3213DF">
      <w:pPr>
        <w:ind w:firstLine="422"/>
      </w:pPr>
      <w:r>
        <w:rPr>
          <w:rFonts w:hint="eastAsia"/>
          <w:b/>
        </w:rPr>
        <w:t>第十七条</w:t>
      </w:r>
      <w:r>
        <w:rPr>
          <w:rFonts w:hint="eastAsia"/>
        </w:rPr>
        <w:t>　对违反本规定，生产、销售或者使用国家禁止的除四害药物及器械的，由有关机关按照药物及器械管理的法律、法规予以处理。</w:t>
      </w:r>
    </w:p>
    <w:p w14:paraId="5F5E2F6A">
      <w:pPr>
        <w:ind w:firstLine="422"/>
      </w:pPr>
      <w:r>
        <w:rPr>
          <w:rFonts w:hint="eastAsia"/>
          <w:b/>
        </w:rPr>
        <w:t>第十八条</w:t>
      </w:r>
      <w:r>
        <w:rPr>
          <w:rFonts w:hint="eastAsia"/>
        </w:rPr>
        <w:t>　对违反本规定，属于违反市容环境卫生管理或者食品卫生管理的行为，分别由市容环境卫生管理部门或者卫生行政部门按照有关法律、法规予以处理。</w:t>
      </w:r>
    </w:p>
    <w:p w14:paraId="4F0A7464">
      <w:pPr>
        <w:ind w:firstLine="422"/>
        <w:rPr>
          <w:rFonts w:hint="eastAsia" w:ascii="宋体" w:hAnsi="宋体" w:eastAsia="宋体" w:cs="宋体"/>
        </w:rPr>
      </w:pPr>
      <w:r>
        <w:rPr>
          <w:rFonts w:hint="eastAsia"/>
          <w:b/>
        </w:rPr>
        <w:t>第十九条</w:t>
      </w:r>
      <w:r>
        <w:rPr>
          <w:rFonts w:hint="eastAsia"/>
        </w:rPr>
        <w:t>　本规定自</w:t>
      </w:r>
      <w:r>
        <w:rPr>
          <w:rFonts w:hint="eastAsia" w:ascii="宋体" w:hAnsi="宋体" w:eastAsia="宋体" w:cs="宋体"/>
        </w:rPr>
        <w:t>1999年9月1日起施行。1990年8月30日市人民政府发布， 1993年3月9日市人民政府第一次修改，1997年12月31日市人民政府第二次修改的《北京市人民政府关于坚决防治蚊蝇孳生的规定》同时废止。</w:t>
      </w:r>
    </w:p>
    <w:p w14:paraId="2A065FC0"/>
    <w:p w14:paraId="6B2D609F">
      <w:pPr>
        <w:ind w:firstLine="0" w:firstLineChars="0"/>
        <w:rPr>
          <w:b/>
          <w:sz w:val="28"/>
        </w:rPr>
      </w:pPr>
      <w:r>
        <w:rPr>
          <w:rFonts w:hint="eastAsia"/>
          <w:b/>
          <w:sz w:val="28"/>
        </w:rPr>
        <w:t>附：</w:t>
      </w:r>
    </w:p>
    <w:p w14:paraId="6239FD89">
      <w:pPr>
        <w:spacing w:before="260" w:after="260"/>
        <w:ind w:firstLine="0" w:firstLineChars="0"/>
        <w:jc w:val="center"/>
        <w:rPr>
          <w:rFonts w:ascii="黑体" w:hAnsi="黑体" w:eastAsia="黑体"/>
          <w:sz w:val="36"/>
        </w:rPr>
      </w:pPr>
      <w:r>
        <w:rPr>
          <w:rFonts w:hint="eastAsia" w:ascii="黑体" w:hAnsi="黑体" w:eastAsia="黑体"/>
          <w:sz w:val="36"/>
        </w:rPr>
        <w:t>全国爱卫会除四害标准</w:t>
      </w:r>
    </w:p>
    <w:p w14:paraId="0E7FFCC5">
      <w:pPr>
        <w:ind w:firstLine="422"/>
        <w:rPr>
          <w:b/>
        </w:rPr>
      </w:pPr>
      <w:r>
        <w:rPr>
          <w:rFonts w:hint="eastAsia"/>
          <w:b/>
        </w:rPr>
        <w:t>一、灭鼠标准</w:t>
      </w:r>
    </w:p>
    <w:p w14:paraId="2CAFB1C7">
      <w:r>
        <w:rPr>
          <w:rFonts w:hint="eastAsia"/>
        </w:rPr>
        <w:t>1．</w:t>
      </w:r>
      <w:r>
        <w:rPr>
          <w:rFonts w:hint="eastAsia" w:ascii="宋体" w:hAnsi="宋体" w:eastAsia="宋体" w:cs="宋体"/>
        </w:rPr>
        <w:t>15平方米标准房间布放20×20厘米滑石粉块两块，一夜后阳性粉块不超过3%；有鼠洞、鼠粪、鼠咬等痕迹的房间不超过2%；重点单位防鼠设施不合格不超过5%。</w:t>
      </w:r>
    </w:p>
    <w:p w14:paraId="55E746E3">
      <w:r>
        <w:rPr>
          <w:rFonts w:hint="eastAsia"/>
        </w:rPr>
        <w:t>2．不同类型的外环境累计</w:t>
      </w:r>
      <w:r>
        <w:rPr>
          <w:rFonts w:hint="eastAsia" w:ascii="宋体" w:hAnsi="宋体" w:eastAsia="宋体" w:cs="宋体"/>
        </w:rPr>
        <w:t>2000米，鼠迹不超过5处。</w:t>
      </w:r>
    </w:p>
    <w:p w14:paraId="37E4B786">
      <w:pPr>
        <w:ind w:firstLine="422"/>
        <w:rPr>
          <w:b/>
        </w:rPr>
      </w:pPr>
      <w:r>
        <w:rPr>
          <w:rFonts w:hint="eastAsia"/>
          <w:b/>
        </w:rPr>
        <w:t>二、灭蚊标准</w:t>
      </w:r>
    </w:p>
    <w:p w14:paraId="2F1F14A5">
      <w:r>
        <w:rPr>
          <w:rFonts w:hint="eastAsia"/>
        </w:rPr>
        <w:t>1．居民住宅、单位内外环境各种存水容器和积水中，蚊幼虫及蛹的阳性不超过</w:t>
      </w:r>
      <w:r>
        <w:rPr>
          <w:rFonts w:hint="eastAsia" w:ascii="宋体" w:hAnsi="宋体" w:eastAsia="宋体" w:cs="宋体"/>
        </w:rPr>
        <w:t>3%</w:t>
      </w:r>
      <w:r>
        <w:rPr>
          <w:rFonts w:hint="eastAsia"/>
        </w:rPr>
        <w:t>。</w:t>
      </w:r>
    </w:p>
    <w:p w14:paraId="023BB4A3">
      <w:pPr>
        <w:rPr>
          <w:rFonts w:hint="eastAsia" w:ascii="宋体" w:hAnsi="宋体" w:eastAsia="宋体" w:cs="宋体"/>
        </w:rPr>
      </w:pPr>
      <w:r>
        <w:rPr>
          <w:rFonts w:hint="eastAsia"/>
        </w:rPr>
        <w:t>2．用</w:t>
      </w:r>
      <w:r>
        <w:rPr>
          <w:rFonts w:hint="eastAsia" w:ascii="宋体" w:hAnsi="宋体" w:eastAsia="宋体" w:cs="宋体"/>
        </w:rPr>
        <w:t>500ml 收集勺采集城区内大中水体中的蚊幼虫或蛹阳性率不超过3%，阳性勺内幼虫或蛹的平均数不超过5只。</w:t>
      </w:r>
    </w:p>
    <w:p w14:paraId="358C3253">
      <w:pPr>
        <w:rPr>
          <w:rFonts w:hint="eastAsia" w:ascii="宋体" w:hAnsi="宋体" w:eastAsia="宋体" w:cs="宋体"/>
        </w:rPr>
      </w:pPr>
      <w:r>
        <w:rPr>
          <w:rFonts w:hint="eastAsia"/>
        </w:rPr>
        <w:t>3．特殊场所白天人诱</w:t>
      </w:r>
      <w:r>
        <w:rPr>
          <w:rFonts w:hint="eastAsia" w:ascii="宋体" w:hAnsi="宋体" w:eastAsia="宋体" w:cs="宋体"/>
        </w:rPr>
        <w:t>蚊30分钟，平均每人次诱获成功数不超过1只。</w:t>
      </w:r>
    </w:p>
    <w:p w14:paraId="06248C2E">
      <w:pPr>
        <w:ind w:firstLine="422"/>
        <w:rPr>
          <w:b/>
        </w:rPr>
      </w:pPr>
      <w:r>
        <w:rPr>
          <w:rFonts w:hint="eastAsia"/>
          <w:b/>
        </w:rPr>
        <w:t>三、灭蝇标准</w:t>
      </w:r>
    </w:p>
    <w:p w14:paraId="28EDCEBF">
      <w:pPr>
        <w:rPr>
          <w:rFonts w:hint="eastAsia" w:ascii="宋体" w:hAnsi="宋体" w:eastAsia="宋体" w:cs="宋体"/>
        </w:rPr>
      </w:pPr>
      <w:r>
        <w:rPr>
          <w:rFonts w:hint="eastAsia"/>
        </w:rPr>
        <w:t>1．重点单位有蝇</w:t>
      </w:r>
      <w:r>
        <w:rPr>
          <w:rFonts w:hint="eastAsia" w:ascii="宋体" w:hAnsi="宋体" w:eastAsia="宋体" w:cs="宋体"/>
        </w:rPr>
        <w:t>房间不超过1%，其他单位不超过3%，平均每阳性房间不超过3只；重点单位防蝇设施不合格房间不超过5%；加工、销售直接入口食品的场所不得有蝇。</w:t>
      </w:r>
    </w:p>
    <w:p w14:paraId="2466FAC7">
      <w:pPr>
        <w:rPr>
          <w:rFonts w:hint="eastAsia" w:ascii="宋体" w:hAnsi="宋体" w:eastAsia="宋体" w:cs="宋体"/>
        </w:rPr>
      </w:pPr>
      <w:r>
        <w:rPr>
          <w:rFonts w:hint="eastAsia" w:ascii="宋体" w:hAnsi="宋体" w:eastAsia="宋体" w:cs="宋体"/>
        </w:rPr>
        <w:t>2．蝇类孳生地得到有效治理，幼虫和蛹的检出率不超过3%。</w:t>
      </w:r>
    </w:p>
    <w:p w14:paraId="01C9D70A">
      <w:pPr>
        <w:ind w:firstLine="422"/>
        <w:rPr>
          <w:b/>
        </w:rPr>
      </w:pPr>
      <w:r>
        <w:rPr>
          <w:rFonts w:hint="eastAsia"/>
          <w:b/>
        </w:rPr>
        <w:t>四、灭蟑螂标准</w:t>
      </w:r>
    </w:p>
    <w:p w14:paraId="7DE55BDD">
      <w:pPr>
        <w:rPr>
          <w:rFonts w:hint="eastAsia" w:ascii="宋体" w:hAnsi="宋体" w:eastAsia="宋体" w:cs="宋体"/>
        </w:rPr>
      </w:pPr>
      <w:r>
        <w:rPr>
          <w:rFonts w:hint="eastAsia"/>
        </w:rPr>
        <w:t>1．室内有蟑螂成虫或若虫阳性房间不超</w:t>
      </w:r>
      <w:r>
        <w:rPr>
          <w:rFonts w:hint="eastAsia" w:ascii="宋体" w:hAnsi="宋体" w:eastAsia="宋体" w:cs="宋体"/>
        </w:rPr>
        <w:t>过3%，平均每房间大蠊不超过5只，小蠊不超过10只。</w:t>
      </w:r>
    </w:p>
    <w:p w14:paraId="065E1EEB">
      <w:r>
        <w:rPr>
          <w:rFonts w:hint="eastAsia"/>
        </w:rPr>
        <w:t>2．有活蟑螂卵鞘房间不超</w:t>
      </w:r>
      <w:r>
        <w:rPr>
          <w:rFonts w:hint="eastAsia" w:ascii="宋体" w:hAnsi="宋体" w:eastAsia="宋体" w:cs="宋体"/>
        </w:rPr>
        <w:t>过2%，平均每房间不超过4只。</w:t>
      </w:r>
    </w:p>
    <w:p w14:paraId="480EE264">
      <w:r>
        <w:rPr>
          <w:rFonts w:hint="eastAsia"/>
        </w:rPr>
        <w:t>3．有蟑螂粪便蜕皮等蟑迹的房间不超过</w:t>
      </w:r>
      <w:r>
        <w:rPr>
          <w:rFonts w:hint="eastAsia" w:ascii="宋体" w:hAnsi="宋体" w:eastAsia="宋体" w:cs="宋体"/>
        </w:rPr>
        <w:t>5%</w:t>
      </w:r>
      <w:r>
        <w:rPr>
          <w:rFonts w:hint="eastAsia"/>
        </w:rPr>
        <w:t>。</w:t>
      </w:r>
    </w:p>
    <w:p w14:paraId="3AF1C1B5">
      <w:pPr>
        <w:pStyle w:val="4"/>
        <w:pageBreakBefore/>
      </w:pPr>
      <w:bookmarkStart w:id="2422" w:name="_Toc428780680"/>
      <w:bookmarkStart w:id="2423" w:name="_Toc428781874"/>
      <w:bookmarkStart w:id="2424" w:name="_Toc426467126"/>
      <w:r>
        <w:rPr>
          <w:rFonts w:hint="eastAsia"/>
        </w:rPr>
        <w:t>北京市生育服务证管理办法</w:t>
      </w:r>
      <w:bookmarkEnd w:id="2422"/>
      <w:bookmarkEnd w:id="2423"/>
      <w:bookmarkEnd w:id="2424"/>
    </w:p>
    <w:p w14:paraId="29581ED9">
      <w:pPr>
        <w:ind w:left="630" w:leftChars="300" w:right="630" w:rightChars="300"/>
        <w:rPr>
          <w:rFonts w:ascii="楷体" w:hAnsi="楷体" w:eastAsia="楷体"/>
        </w:rPr>
      </w:pPr>
      <w:r>
        <w:rPr>
          <w:rFonts w:hint="eastAsia" w:ascii="楷体" w:hAnsi="楷体" w:eastAsia="楷体"/>
        </w:rPr>
        <w:t>（2000年3月8日北京市人民政府第49号令发布  根据2003年8月7日北京市人民政府第131号令第一次修改　根据2006年4月11日北京市人民政府第170号令第二次修改）</w:t>
      </w:r>
    </w:p>
    <w:p w14:paraId="7D01DFF3"/>
    <w:p w14:paraId="58C79D2B">
      <w:pPr>
        <w:ind w:firstLine="422"/>
      </w:pPr>
      <w:r>
        <w:rPr>
          <w:rFonts w:hint="eastAsia"/>
          <w:b/>
        </w:rPr>
        <w:t>第一条</w:t>
      </w:r>
      <w:r>
        <w:rPr>
          <w:rFonts w:hint="eastAsia"/>
        </w:rPr>
        <w:t xml:space="preserve">  为实施《北京市人口与计划生育条例》（以下简称《条例》），制定本办法。</w:t>
      </w:r>
    </w:p>
    <w:p w14:paraId="0C9FF3D4">
      <w:pPr>
        <w:ind w:firstLine="422"/>
      </w:pPr>
      <w:r>
        <w:rPr>
          <w:rFonts w:hint="eastAsia"/>
          <w:b/>
        </w:rPr>
        <w:t>第二条</w:t>
      </w:r>
      <w:r>
        <w:rPr>
          <w:rFonts w:hint="eastAsia"/>
        </w:rPr>
        <w:t xml:space="preserve">  本市对生育子女实行《生育服务证》管理制度。育龄夫妻符合《条例》规定生育子女的，应当按照本办法规定办理《生育服务证》。</w:t>
      </w:r>
    </w:p>
    <w:p w14:paraId="3A9A7A56">
      <w:pPr>
        <w:ind w:firstLine="422"/>
      </w:pPr>
      <w:r>
        <w:rPr>
          <w:rFonts w:hint="eastAsia"/>
          <w:b/>
        </w:rPr>
        <w:t>第三条</w:t>
      </w:r>
      <w:r>
        <w:rPr>
          <w:rFonts w:hint="eastAsia"/>
        </w:rPr>
        <w:t xml:space="preserve">  各级计划生育行政部门负责《生育服务证》的管理工作。</w:t>
      </w:r>
    </w:p>
    <w:p w14:paraId="0E8D1B0C">
      <w:r>
        <w:rPr>
          <w:rFonts w:hint="eastAsia"/>
        </w:rPr>
        <w:t>卫生、公安、工商行政管理、劳动和社会保障等行政部门配合计划生育行政部门做好《生育服务证》的管理工作。</w:t>
      </w:r>
    </w:p>
    <w:p w14:paraId="2AD7E35B">
      <w:pPr>
        <w:ind w:firstLine="422"/>
      </w:pPr>
      <w:r>
        <w:rPr>
          <w:rFonts w:hint="eastAsia"/>
          <w:b/>
        </w:rPr>
        <w:t>第四条</w:t>
      </w:r>
      <w:r>
        <w:rPr>
          <w:rFonts w:hint="eastAsia"/>
        </w:rPr>
        <w:t xml:space="preserve">  育龄夫妻达到晚育年龄的，可以自行选择生育第一个子女的最佳孕期，但应当在怀孕前或怀孕后三个月内办理《生育服务证》。</w:t>
      </w:r>
    </w:p>
    <w:p w14:paraId="2DEFB1A2">
      <w:r>
        <w:rPr>
          <w:rFonts w:hint="eastAsia"/>
        </w:rPr>
        <w:t>育龄夫妻符合《条例》第十七条和第十八条规定生育第二个子女情况的，应当在怀孕前申请办理生育第二个子女的《生育服务证》。</w:t>
      </w:r>
    </w:p>
    <w:p w14:paraId="3207E7D2">
      <w:pPr>
        <w:ind w:firstLine="422"/>
      </w:pPr>
      <w:r>
        <w:rPr>
          <w:rFonts w:hint="eastAsia"/>
          <w:b/>
        </w:rPr>
        <w:t>第五条</w:t>
      </w:r>
      <w:r>
        <w:rPr>
          <w:rFonts w:hint="eastAsia"/>
        </w:rPr>
        <w:t xml:space="preserve">  育龄夫妻应当按照下列程序办理《生育服务证》：</w:t>
      </w:r>
    </w:p>
    <w:p w14:paraId="794DC9EA">
      <w:r>
        <w:rPr>
          <w:rFonts w:hint="eastAsia"/>
        </w:rPr>
        <w:t>（一）生育第一个子女的，应当到女方工作单位（无工作单位的到户籍所在地居民、村民委员会）领取《生育服务证》，填写夫妻双方基本情况后，由双方工作单位（无工作单位的由户籍所在地居民、村民委员会）签署意见并盖章，由女方户籍所在地乡（镇）人民政府、街道办事处审核批准并对《生育服务证》统一登记、编号、加盖公章后，交由当事人保存。</w:t>
      </w:r>
    </w:p>
    <w:p w14:paraId="519F79F0">
      <w:r>
        <w:rPr>
          <w:rFonts w:hint="eastAsia"/>
        </w:rPr>
        <w:t>男方为本市户籍，女方为非本市户籍，夫妻双方共同决定在本市领取《生育服务证》的，由男方户籍所在地乡（镇）人民政府、街道办事处办理。</w:t>
      </w:r>
    </w:p>
    <w:p w14:paraId="1E9687BC">
      <w:r>
        <w:rPr>
          <w:rFonts w:hint="eastAsia"/>
        </w:rPr>
        <w:t>（二）申请生育第二个子女的，应当按前项规定填报，经乡（镇）人民政府、街道办事处审核后报区（县）计划生育行政部门或者市计划生育行政部门审批，发给生育第二个子女的《生育服务证》，同时收回生育第一个子女的《生育服务证》。</w:t>
      </w:r>
    </w:p>
    <w:p w14:paraId="68A1D562">
      <w:pPr>
        <w:ind w:firstLine="422"/>
      </w:pPr>
      <w:r>
        <w:rPr>
          <w:rFonts w:hint="eastAsia"/>
          <w:b/>
        </w:rPr>
        <w:t>第六条</w:t>
      </w:r>
      <w:r>
        <w:rPr>
          <w:rFonts w:hint="eastAsia"/>
        </w:rPr>
        <w:t xml:space="preserve">  对夫妻达到晚育年龄生育第一个子女的，计划生育行政部门应当及时予以办理《生育服务证》；对未达到晚育年龄的，应当动员其推迟生育时间。</w:t>
      </w:r>
    </w:p>
    <w:p w14:paraId="250F54DC">
      <w:r>
        <w:rPr>
          <w:rFonts w:hint="eastAsia"/>
        </w:rPr>
        <w:t>对申请生育第二个子女有关证明完备的，计划生育行政部门应当在一个月内给予答复；特殊情况应当在两个月内予以答复。对符合《条例》第十七条规定但不符合第十八条规定申请生育第二个子女情况的，计划生育行政部门应当动员其推迟生育时间。</w:t>
      </w:r>
    </w:p>
    <w:p w14:paraId="3C40241C">
      <w:pPr>
        <w:ind w:firstLine="422"/>
      </w:pPr>
      <w:r>
        <w:rPr>
          <w:rFonts w:hint="eastAsia"/>
          <w:b/>
        </w:rPr>
        <w:t>第七条</w:t>
      </w:r>
      <w:r>
        <w:rPr>
          <w:rFonts w:hint="eastAsia"/>
        </w:rPr>
        <w:t xml:space="preserve">  已婚育龄妇女在怀孕三个月内，应当持《生育服务证》接受围产期医疗保健服务。</w:t>
      </w:r>
    </w:p>
    <w:p w14:paraId="751A21DE">
      <w:r>
        <w:rPr>
          <w:rFonts w:hint="eastAsia"/>
        </w:rPr>
        <w:t>计划生育行政部门应当建立与围产期医疗保健部门联系的制度，掌握育龄妇女办理围产期医疗保健及新生儿出生情况。</w:t>
      </w:r>
    </w:p>
    <w:p w14:paraId="6C5B9D0D">
      <w:pPr>
        <w:ind w:firstLine="422"/>
      </w:pPr>
      <w:r>
        <w:rPr>
          <w:rFonts w:hint="eastAsia"/>
          <w:b/>
        </w:rPr>
        <w:t>第八条</w:t>
      </w:r>
      <w:r>
        <w:rPr>
          <w:rFonts w:hint="eastAsia"/>
        </w:rPr>
        <w:t xml:space="preserve">  在婚姻状况无变化的情况下，《生育服务证》在本市范围内长期有效。依照本办法第五条第（一）项规定领取《生育服务证》的当事人在领取了《生育服务证》但尚未生育期间在本市范围内迁移户口的，须持《生育服务证》到新入户所在地乡（镇）人民政府、街道办事处办理变更手续。</w:t>
      </w:r>
    </w:p>
    <w:p w14:paraId="55BA4076">
      <w:r>
        <w:rPr>
          <w:rFonts w:hint="eastAsia"/>
        </w:rPr>
        <w:t>《生育服务证》由市计划生育行政部门统一印制，不得涂改、转借、伪造。</w:t>
      </w:r>
    </w:p>
    <w:p w14:paraId="54107108">
      <w:r>
        <w:rPr>
          <w:rFonts w:hint="eastAsia"/>
        </w:rPr>
        <w:t>领取了《生育服务证》的夫妻，因丢失或不慎损坏等原因需补领的，应当向原发证机关书面申请补办。</w:t>
      </w:r>
    </w:p>
    <w:p w14:paraId="184483EC">
      <w:pPr>
        <w:ind w:firstLine="422"/>
      </w:pPr>
      <w:r>
        <w:rPr>
          <w:rFonts w:hint="eastAsia"/>
          <w:b/>
        </w:rPr>
        <w:t>第九条</w:t>
      </w:r>
      <w:r>
        <w:rPr>
          <w:rFonts w:hint="eastAsia"/>
        </w:rPr>
        <w:t xml:space="preserve">  领取了《生育服务证》的夫妻，在其子女出生后，应当持《生育服务证》和医疗机构出具的《出生医学证明》到户籍部门办理新生儿入户手续。</w:t>
      </w:r>
    </w:p>
    <w:p w14:paraId="75E6AA3C">
      <w:r>
        <w:rPr>
          <w:rFonts w:hint="eastAsia"/>
        </w:rPr>
        <w:t>违反《条例》规定生育子女的公民，应当持县级以上计划生育行政部门出具的缴纳社会抚养费的证明和医疗机构出具的《出生医学证明》到户籍部门办理新生儿入户手续。</w:t>
      </w:r>
    </w:p>
    <w:p w14:paraId="0702E8A2">
      <w:r>
        <w:rPr>
          <w:rFonts w:hint="eastAsia"/>
        </w:rPr>
        <w:t>计划生育行政部门应当加强与户籍部门的联系，双方应建立新生儿入户情况的通报制度。</w:t>
      </w:r>
    </w:p>
    <w:p w14:paraId="5546FF23">
      <w:pPr>
        <w:ind w:firstLine="422"/>
      </w:pPr>
      <w:r>
        <w:rPr>
          <w:rFonts w:hint="eastAsia"/>
          <w:b/>
        </w:rPr>
        <w:t>第十条</w:t>
      </w:r>
      <w:r>
        <w:rPr>
          <w:rFonts w:hint="eastAsia"/>
        </w:rPr>
        <w:t xml:space="preserve">  乡（镇）人民政府、街道办事处应当将审批生育第二个子女的情况通过适当方式予以公布，接受群众监督。</w:t>
      </w:r>
    </w:p>
    <w:p w14:paraId="622CD2ED">
      <w:pPr>
        <w:ind w:firstLine="422"/>
      </w:pPr>
      <w:r>
        <w:rPr>
          <w:rFonts w:hint="eastAsia"/>
          <w:b/>
        </w:rPr>
        <w:t>第十一条</w:t>
      </w:r>
      <w:r>
        <w:rPr>
          <w:rFonts w:hint="eastAsia"/>
        </w:rPr>
        <w:t xml:space="preserve">  计划生育行政部门应当为育龄群众提供有关生殖保健、避孕节育知识的宣传、咨询、培训和服务，育龄夫妻可以根据需要选择参加宣传、咨询、培训，并接受生殖保健、避孕节育服务。计划生育行政部门负责将有关情况登记在《生育服务证》上。</w:t>
      </w:r>
    </w:p>
    <w:p w14:paraId="6ABFA378">
      <w:pPr>
        <w:ind w:firstLine="422"/>
      </w:pPr>
      <w:r>
        <w:rPr>
          <w:rFonts w:hint="eastAsia"/>
          <w:b/>
        </w:rPr>
        <w:t>第十二条</w:t>
      </w:r>
      <w:r>
        <w:rPr>
          <w:rFonts w:hint="eastAsia"/>
        </w:rPr>
        <w:t xml:space="preserve">  育龄夫妻未取得《生育服务证》孕育第二个子女的，经计划生育行政部门审查，对符合《条例》第十七条、第十八条规定的，给予批评教育，准予补办生育第二个子女的《生育服务证》；对只符合《条例》第十七条而不符合第十八条规定的，应当动员其采取补救措施，确有客观原因无法采取补救措施的，在交纳社会抚养费后，给予补办生育第二个子女的《生育服务证》。</w:t>
      </w:r>
    </w:p>
    <w:p w14:paraId="3D1B9E8C">
      <w:pPr>
        <w:ind w:firstLine="422"/>
      </w:pPr>
      <w:r>
        <w:rPr>
          <w:rFonts w:hint="eastAsia"/>
          <w:b/>
        </w:rPr>
        <w:t>第十三条</w:t>
      </w:r>
      <w:r>
        <w:rPr>
          <w:rFonts w:hint="eastAsia"/>
        </w:rPr>
        <w:t xml:space="preserve">  各级计划生育行政部门及其工作人员在《生育服务证》管理工作中，必须严格遵守《条例》和本办法。对滥用职权、徇私舞弊、玩忽职守的，由其所在单位或者上级主管机关追究直接责任人和单位负责人的责任，可给予通报批评、行政处分。构成犯罪的，由司法机关依法追究刑事责任。</w:t>
      </w:r>
    </w:p>
    <w:p w14:paraId="5F143D77">
      <w:pPr>
        <w:ind w:firstLine="422"/>
      </w:pPr>
      <w:r>
        <w:rPr>
          <w:rFonts w:hint="eastAsia"/>
          <w:b/>
        </w:rPr>
        <w:t>第十四条</w:t>
      </w:r>
      <w:r>
        <w:rPr>
          <w:rFonts w:hint="eastAsia"/>
        </w:rPr>
        <w:t xml:space="preserve">  本办法</w:t>
      </w:r>
      <w:r>
        <w:rPr>
          <w:rFonts w:hint="eastAsia" w:ascii="宋体" w:hAnsi="宋体" w:eastAsia="宋体" w:cs="宋体"/>
        </w:rPr>
        <w:t>自2000年4月1日起施行。1991年5月16日市人民政府批准， 1991年5月30日市计划委员会、市计划生育委员会发布，根据1997年12月31日市人民政府第12号令修改的《北京市人口计划与生育指标管理办法》同时废止</w:t>
      </w:r>
      <w:r>
        <w:rPr>
          <w:rFonts w:hint="eastAsia"/>
        </w:rPr>
        <w:t>。</w:t>
      </w:r>
    </w:p>
    <w:p w14:paraId="64216EC0">
      <w:pPr>
        <w:pStyle w:val="4"/>
        <w:pageBreakBefore/>
      </w:pPr>
      <w:bookmarkStart w:id="2425" w:name="_Toc428781875"/>
      <w:bookmarkStart w:id="2426" w:name="_Toc426467127"/>
      <w:bookmarkStart w:id="2427" w:name="_Toc428780681"/>
      <w:r>
        <w:rPr>
          <w:rFonts w:hint="eastAsia"/>
        </w:rPr>
        <w:t>北京市社会抚养费征收管理办法</w:t>
      </w:r>
      <w:bookmarkEnd w:id="2425"/>
      <w:bookmarkEnd w:id="2426"/>
      <w:bookmarkEnd w:id="2427"/>
    </w:p>
    <w:p w14:paraId="45A2EA74">
      <w:pPr>
        <w:ind w:left="630" w:leftChars="300" w:right="630" w:rightChars="300"/>
        <w:rPr>
          <w:rFonts w:ascii="楷体" w:hAnsi="楷体" w:eastAsia="楷体"/>
        </w:rPr>
      </w:pPr>
      <w:r>
        <w:rPr>
          <w:rFonts w:hint="eastAsia" w:ascii="楷体" w:hAnsi="楷体" w:eastAsia="楷体"/>
        </w:rPr>
        <w:t>（2002年11月12日北京市人民政府第111号令公布　根据2010年11月27日北京市人民政府第226号令修改）</w:t>
      </w:r>
    </w:p>
    <w:p w14:paraId="30AC9BD8"/>
    <w:p w14:paraId="745928E3">
      <w:pPr>
        <w:ind w:firstLine="422"/>
      </w:pPr>
      <w:r>
        <w:rPr>
          <w:rFonts w:hint="eastAsia"/>
          <w:b/>
        </w:rPr>
        <w:t>第一条</w:t>
      </w:r>
      <w:r>
        <w:rPr>
          <w:rFonts w:hint="eastAsia"/>
        </w:rPr>
        <w:t xml:space="preserve">  为了规范本市社会抚养费的征收管理，保障人口与计划生育工作顺利开展，根据《中华人民共和国人口与计划生育法》、《社会抚养费征收管理办法》和本市有关规定，结合本市实际情况，制定本办法。</w:t>
      </w:r>
    </w:p>
    <w:p w14:paraId="0260275E">
      <w:pPr>
        <w:ind w:firstLine="422"/>
      </w:pPr>
      <w:r>
        <w:rPr>
          <w:rFonts w:hint="eastAsia"/>
          <w:b/>
        </w:rPr>
        <w:t>第二条</w:t>
      </w:r>
      <w:r>
        <w:rPr>
          <w:rFonts w:hint="eastAsia"/>
        </w:rPr>
        <w:t xml:space="preserve">  市计划生育行政部门主管本市社会抚养费的征收管理工作。区、县计划生育行政部门负责本辖区内社会抚养费的具体征收工作。</w:t>
      </w:r>
    </w:p>
    <w:p w14:paraId="00D3CC93">
      <w:r>
        <w:rPr>
          <w:rFonts w:hint="eastAsia"/>
        </w:rPr>
        <w:t>财政、价格、审计、监察等行政部门按照各自职责，做好社会抚养费征收的相关管理和监督工作。</w:t>
      </w:r>
    </w:p>
    <w:p w14:paraId="66233B5A">
      <w:pPr>
        <w:ind w:firstLine="422"/>
      </w:pPr>
      <w:r>
        <w:rPr>
          <w:rFonts w:hint="eastAsia"/>
          <w:b/>
        </w:rPr>
        <w:t>第三条</w:t>
      </w:r>
      <w:r>
        <w:rPr>
          <w:rFonts w:hint="eastAsia"/>
        </w:rPr>
        <w:t xml:space="preserve">  不符合《中华人民共和国人口与计划生育法》第十八条规定生育子女的公民，应当依法缴纳社会抚养费。</w:t>
      </w:r>
    </w:p>
    <w:p w14:paraId="1B7A3262">
      <w:pPr>
        <w:ind w:firstLine="422"/>
      </w:pPr>
      <w:r>
        <w:rPr>
          <w:rFonts w:hint="eastAsia"/>
          <w:b/>
        </w:rPr>
        <w:t>第四条</w:t>
      </w:r>
      <w:r>
        <w:rPr>
          <w:rFonts w:hint="eastAsia"/>
        </w:rPr>
        <w:t xml:space="preserve">  本市城镇居民和农村居民的社会抚养费征收标准，分别以作出征收社会抚养费决定前一年市统计部门公布的全市城镇居民年人均可支配收入或者农村居民年人均纯收入为基数确定。</w:t>
      </w:r>
    </w:p>
    <w:p w14:paraId="411B28BC">
      <w:r>
        <w:rPr>
          <w:rFonts w:hint="eastAsia"/>
        </w:rPr>
        <w:t>对非本市的公民征收社会抚养费，按照本市居民的征收标准执行。</w:t>
      </w:r>
    </w:p>
    <w:p w14:paraId="635F95ED">
      <w:r>
        <w:rPr>
          <w:rFonts w:hint="eastAsia"/>
        </w:rPr>
        <w:t>对一次生育两个及两个以上子女应当征收社会抚养费的，以生育一个子女计算。</w:t>
      </w:r>
    </w:p>
    <w:p w14:paraId="2C1B5009">
      <w:pPr>
        <w:ind w:firstLine="422"/>
      </w:pPr>
      <w:r>
        <w:rPr>
          <w:rFonts w:hint="eastAsia"/>
          <w:b/>
        </w:rPr>
        <w:t>第五条</w:t>
      </w:r>
      <w:r>
        <w:rPr>
          <w:rFonts w:hint="eastAsia"/>
        </w:rPr>
        <w:t xml:space="preserve">  根据不同情节，社会抚养费按照下列标准征收：</w:t>
      </w:r>
    </w:p>
    <w:p w14:paraId="31EF92F1">
      <w:r>
        <w:rPr>
          <w:rFonts w:hint="eastAsia"/>
        </w:rPr>
        <w:t>（一）对违反规定生育第二个子女的夫妻或者非婚生育子女的公民（以下统称当事人），按照市统计部门公布的城镇居民年人均可支配收入或者农村居民年人均纯收入</w:t>
      </w:r>
      <w:r>
        <w:rPr>
          <w:rFonts w:hint="eastAsia" w:ascii="宋体" w:hAnsi="宋体" w:eastAsia="宋体" w:cs="宋体"/>
        </w:rPr>
        <w:t>的3至10倍</w:t>
      </w:r>
      <w:r>
        <w:rPr>
          <w:rFonts w:hint="eastAsia"/>
        </w:rPr>
        <w:t>征收；</w:t>
      </w:r>
    </w:p>
    <w:p w14:paraId="7B90F099">
      <w:r>
        <w:rPr>
          <w:rFonts w:hint="eastAsia"/>
        </w:rPr>
        <w:t>（二）对违反规定生育第三个子女及三个以上子女的当事人，按照本条第（一）项规定的征收标准加倍征收；</w:t>
      </w:r>
    </w:p>
    <w:p w14:paraId="4B322043">
      <w:r>
        <w:rPr>
          <w:rFonts w:hint="eastAsia"/>
        </w:rPr>
        <w:t>（三）对非婚生育第一个子女的当事人，按照市统计部门公布的城镇居民年人均可支配收入或者农村居民年人均纯收入的</w:t>
      </w:r>
      <w:r>
        <w:rPr>
          <w:rFonts w:hint="eastAsia" w:ascii="宋体" w:hAnsi="宋体" w:eastAsia="宋体" w:cs="宋体"/>
        </w:rPr>
        <w:t>1</w:t>
      </w:r>
      <w:r>
        <w:rPr>
          <w:rFonts w:hint="eastAsia"/>
        </w:rPr>
        <w:t>倍征收；</w:t>
      </w:r>
    </w:p>
    <w:p w14:paraId="31368F88">
      <w:r>
        <w:rPr>
          <w:rFonts w:hint="eastAsia"/>
        </w:rPr>
        <w:t>（四）对符合规定生育第二个子女的当事人，女方生育时不满</w:t>
      </w:r>
      <w:r>
        <w:rPr>
          <w:rFonts w:hint="eastAsia" w:ascii="宋体" w:hAnsi="宋体" w:eastAsia="宋体" w:cs="宋体"/>
        </w:rPr>
        <w:t>28</w:t>
      </w:r>
      <w:r>
        <w:rPr>
          <w:rFonts w:hint="eastAsia"/>
        </w:rPr>
        <w:t>周岁并且距生育第一个子女的间隔不满</w:t>
      </w:r>
      <w:r>
        <w:rPr>
          <w:rFonts w:hint="eastAsia" w:ascii="宋体" w:hAnsi="宋体" w:eastAsia="宋体" w:cs="宋体"/>
        </w:rPr>
        <w:t>4</w:t>
      </w:r>
      <w:r>
        <w:rPr>
          <w:rFonts w:hint="eastAsia"/>
        </w:rPr>
        <w:t>年的，按照市统计部门公布的城镇居民年人均可支配收入或者农村居民年人均纯收入的五分之一征收。</w:t>
      </w:r>
    </w:p>
    <w:p w14:paraId="5D4366BF">
      <w:r>
        <w:rPr>
          <w:rFonts w:hint="eastAsia"/>
        </w:rPr>
        <w:t>对违反规定生育子女的当事人，其前一年实际年人均可支配收入、实际年人均纯收入或者前三年实际人均可支配收入、实际人均纯收入的平均值（以下简称实际收入）高于市统计部门公布的城镇居民年人均可支配收入或者农村居民年人均纯收入的，以其实际收入为基数，按照本条前三项规定的征收标准征收。</w:t>
      </w:r>
    </w:p>
    <w:p w14:paraId="33A22C6D">
      <w:pPr>
        <w:ind w:firstLine="422"/>
      </w:pPr>
      <w:r>
        <w:rPr>
          <w:rFonts w:hint="eastAsia"/>
          <w:b/>
        </w:rPr>
        <w:t>第六条</w:t>
      </w:r>
      <w:r>
        <w:rPr>
          <w:rFonts w:hint="eastAsia"/>
        </w:rPr>
        <w:t xml:space="preserve">  对违反规定收养子女的当事人征收社会抚养费，按照本办法第五条规定的征收标准执行。</w:t>
      </w:r>
    </w:p>
    <w:p w14:paraId="1464D9EF">
      <w:pPr>
        <w:ind w:firstLine="422"/>
      </w:pPr>
      <w:r>
        <w:rPr>
          <w:rFonts w:hint="eastAsia"/>
          <w:b/>
        </w:rPr>
        <w:t>第七条</w:t>
      </w:r>
      <w:r>
        <w:rPr>
          <w:rFonts w:hint="eastAsia"/>
        </w:rPr>
        <w:t xml:space="preserve">  对违反规定生育子女的当事人，有弄虚作假、妨碍执行公务、造成恶劣社会影响等严重情形的，可以按照本办法第五条规定的征收标准加倍征收社会抚养费。</w:t>
      </w:r>
    </w:p>
    <w:p w14:paraId="3059C907">
      <w:pPr>
        <w:ind w:firstLine="422"/>
      </w:pPr>
      <w:r>
        <w:rPr>
          <w:rFonts w:hint="eastAsia"/>
          <w:b/>
        </w:rPr>
        <w:t>第八条</w:t>
      </w:r>
      <w:r>
        <w:rPr>
          <w:rFonts w:hint="eastAsia"/>
        </w:rPr>
        <w:t xml:space="preserve">  社会抚养费由女方户籍所在地的区、县计划生育行政部门征收。区、县计划生育行政部门可以委托乡镇人民政府或者街道办事处征收。</w:t>
      </w:r>
    </w:p>
    <w:p w14:paraId="195AAE77">
      <w:pPr>
        <w:ind w:firstLine="422"/>
      </w:pPr>
      <w:r>
        <w:rPr>
          <w:rFonts w:hint="eastAsia"/>
          <w:b/>
        </w:rPr>
        <w:t>第九条</w:t>
      </w:r>
      <w:r>
        <w:rPr>
          <w:rFonts w:hint="eastAsia"/>
        </w:rPr>
        <w:t xml:space="preserve">  当事人一方为本市户籍、另一方为非本市户籍的，由具有本市户籍一方当事人的户籍所在地的区、县计划生育行政部门征收社会抚养费。</w:t>
      </w:r>
    </w:p>
    <w:p w14:paraId="4DDB1AC6">
      <w:r>
        <w:rPr>
          <w:rFonts w:hint="eastAsia"/>
        </w:rPr>
        <w:t>双方均为非本市户籍的当事人，生育行为发生在本市或者生育行为未发生在本市但由本市现居住地首先发现的，由其现居住地的区、县计划生育行政部门征收社会抚养费。</w:t>
      </w:r>
    </w:p>
    <w:p w14:paraId="17FB46A5">
      <w:pPr>
        <w:ind w:firstLine="422"/>
      </w:pPr>
      <w:r>
        <w:rPr>
          <w:rFonts w:hint="eastAsia"/>
          <w:b/>
        </w:rPr>
        <w:t>第十条</w:t>
      </w:r>
      <w:r>
        <w:rPr>
          <w:rFonts w:hint="eastAsia"/>
        </w:rPr>
        <w:t xml:space="preserve">  社会抚养费的征收部门发现有违法生育行为嫌疑的，应当立案调查，并于违法生育事实确认之日起</w:t>
      </w:r>
      <w:r>
        <w:rPr>
          <w:rFonts w:hint="eastAsia" w:ascii="宋体" w:hAnsi="宋体" w:eastAsia="宋体" w:cs="宋体"/>
        </w:rPr>
        <w:t>30日</w:t>
      </w:r>
      <w:r>
        <w:rPr>
          <w:rFonts w:hint="eastAsia"/>
        </w:rPr>
        <w:t>内作出征收决定，下达《社会抚养费征收决定书》。</w:t>
      </w:r>
    </w:p>
    <w:p w14:paraId="6C00D05B">
      <w:pPr>
        <w:ind w:firstLine="422"/>
      </w:pPr>
      <w:r>
        <w:rPr>
          <w:rFonts w:hint="eastAsia"/>
          <w:b/>
        </w:rPr>
        <w:t>第十一条</w:t>
      </w:r>
      <w:r>
        <w:rPr>
          <w:rFonts w:hint="eastAsia"/>
        </w:rPr>
        <w:t xml:space="preserve">  当事人应当自收到《社会抚养费征收决定书》之日起</w:t>
      </w:r>
      <w:r>
        <w:rPr>
          <w:rFonts w:hint="eastAsia" w:ascii="宋体" w:hAnsi="宋体" w:eastAsia="宋体" w:cs="宋体"/>
        </w:rPr>
        <w:t>30</w:t>
      </w:r>
      <w:r>
        <w:rPr>
          <w:rFonts w:hint="eastAsia"/>
        </w:rPr>
        <w:t>日内一次性缴纳社会抚养费。</w:t>
      </w:r>
    </w:p>
    <w:p w14:paraId="04CE0BBB">
      <w:r>
        <w:rPr>
          <w:rFonts w:hint="eastAsia"/>
        </w:rPr>
        <w:t>当事人一次性缴纳社会抚养费确有困难的，应当自收到《社会抚养费征收决定书》之日起</w:t>
      </w:r>
      <w:r>
        <w:rPr>
          <w:rFonts w:hint="eastAsia" w:ascii="宋体" w:hAnsi="宋体" w:eastAsia="宋体" w:cs="宋体"/>
        </w:rPr>
        <w:t>30</w:t>
      </w:r>
      <w:r>
        <w:rPr>
          <w:rFonts w:hint="eastAsia"/>
        </w:rPr>
        <w:t>日内向作出征收决定的区、县计划生育行政部门提出分期缴纳的书面申请，并提供有关证明材料。区、县计划生育行政部门应当自收到当事人的申请之日起</w:t>
      </w:r>
      <w:r>
        <w:rPr>
          <w:rFonts w:hint="eastAsia" w:ascii="宋体" w:hAnsi="宋体" w:eastAsia="宋体" w:cs="宋体"/>
        </w:rPr>
        <w:t>30</w:t>
      </w:r>
      <w:r>
        <w:rPr>
          <w:rFonts w:hint="eastAsia"/>
        </w:rPr>
        <w:t>日内作出批准或者不予批准分期缴纳的决定，并书面通知当事人。</w:t>
      </w:r>
    </w:p>
    <w:p w14:paraId="76A40536">
      <w:r>
        <w:rPr>
          <w:rFonts w:hint="eastAsia"/>
        </w:rPr>
        <w:t>分期缴纳的期限最长不得超过</w:t>
      </w:r>
      <w:r>
        <w:rPr>
          <w:rFonts w:hint="eastAsia" w:ascii="宋体" w:hAnsi="宋体" w:eastAsia="宋体" w:cs="宋体"/>
        </w:rPr>
        <w:t>3</w:t>
      </w:r>
      <w:r>
        <w:rPr>
          <w:rFonts w:hint="eastAsia"/>
        </w:rPr>
        <w:t>年，第一次缴纳的金额不得低于应征收社会抚养费总金额</w:t>
      </w:r>
      <w:r>
        <w:rPr>
          <w:rFonts w:hint="eastAsia" w:ascii="宋体" w:hAnsi="宋体" w:eastAsia="宋体" w:cs="宋体"/>
        </w:rPr>
        <w:t>的50%。</w:t>
      </w:r>
    </w:p>
    <w:p w14:paraId="6CB1CEC9">
      <w:pPr>
        <w:ind w:firstLine="422"/>
      </w:pPr>
      <w:r>
        <w:rPr>
          <w:rFonts w:hint="eastAsia"/>
          <w:b/>
        </w:rPr>
        <w:t>第十二条</w:t>
      </w:r>
      <w:r>
        <w:rPr>
          <w:rFonts w:hint="eastAsia"/>
        </w:rPr>
        <w:t xml:space="preserve">  当事人未在规定的期限内缴纳社会抚养费的，应当自欠缴之日起每月加收欠缴社会抚养费</w:t>
      </w:r>
      <w:r>
        <w:rPr>
          <w:rFonts w:hint="eastAsia" w:ascii="宋体" w:hAnsi="宋体" w:eastAsia="宋体" w:cs="宋体"/>
        </w:rPr>
        <w:t>2</w:t>
      </w:r>
      <w:r>
        <w:rPr>
          <w:rFonts w:hint="eastAsia" w:ascii="宋体" w:hAnsi="宋体" w:cs="宋体"/>
          <w:lang w:val="en-US" w:eastAsia="zh-CN"/>
        </w:rPr>
        <w:t>%</w:t>
      </w:r>
      <w:r>
        <w:rPr>
          <w:rFonts w:hint="eastAsia" w:ascii="宋体" w:hAnsi="宋体" w:eastAsia="宋体" w:cs="宋体"/>
        </w:rPr>
        <w:t>的</w:t>
      </w:r>
      <w:r>
        <w:rPr>
          <w:rFonts w:hint="eastAsia"/>
        </w:rPr>
        <w:t>滞纳金;仍不缴纳的，由作出征收决定的计划生育行政部门依法申请人民法院执行。</w:t>
      </w:r>
    </w:p>
    <w:p w14:paraId="4BC68CF8">
      <w:pPr>
        <w:ind w:firstLine="422"/>
      </w:pPr>
      <w:r>
        <w:rPr>
          <w:rFonts w:hint="eastAsia"/>
          <w:b/>
        </w:rPr>
        <w:t>第十三条</w:t>
      </w:r>
      <w:r>
        <w:rPr>
          <w:rFonts w:hint="eastAsia"/>
        </w:rPr>
        <w:t xml:space="preserve">  征收社会抚养费，征收人员应当向当事人出示价格主管部门的收费许可证，开具财政部门统一印制的收费票据。</w:t>
      </w:r>
    </w:p>
    <w:p w14:paraId="0F28511B">
      <w:pPr>
        <w:ind w:firstLine="422"/>
      </w:pPr>
      <w:r>
        <w:rPr>
          <w:rFonts w:hint="eastAsia"/>
          <w:b/>
        </w:rPr>
        <w:t>第十四条</w:t>
      </w:r>
      <w:r>
        <w:rPr>
          <w:rFonts w:hint="eastAsia"/>
        </w:rPr>
        <w:t>　社会抚养费以及滞纳金全部上缴国库，按照国家有关规定纳入财政预算管理，任何单位和个人不得截留、挪用、私分。</w:t>
      </w:r>
    </w:p>
    <w:p w14:paraId="048EF817">
      <w:pPr>
        <w:ind w:firstLine="422"/>
      </w:pPr>
      <w:r>
        <w:rPr>
          <w:rFonts w:hint="eastAsia"/>
          <w:b/>
        </w:rPr>
        <w:t>第十五条</w:t>
      </w:r>
      <w:r>
        <w:rPr>
          <w:rFonts w:hint="eastAsia"/>
        </w:rPr>
        <w:t>　当事人所在单位或者居民委员会、村民委员会应当如实提供当事人实际收入状况。职工由其所在单位提供；农村居民由其户籍所在地的村民委员会提供；城镇无固定职业者由其户籍所在地的居民委员会提供；个体工商户由其经营所在地的工商行政管理部门会同税务部门提供。</w:t>
      </w:r>
    </w:p>
    <w:p w14:paraId="3B3EE5D5">
      <w:pPr>
        <w:ind w:firstLine="422"/>
      </w:pPr>
      <w:r>
        <w:rPr>
          <w:rFonts w:hint="eastAsia"/>
          <w:b/>
        </w:rPr>
        <w:t>第十六条</w:t>
      </w:r>
      <w:r>
        <w:rPr>
          <w:rFonts w:hint="eastAsia"/>
        </w:rPr>
        <w:t>　有下列情形之一的，当事人有权拒绝缴纳社会抚养费：</w:t>
      </w:r>
    </w:p>
    <w:p w14:paraId="15C0596D">
      <w:bookmarkStart w:id="2428" w:name="_Toc428780682"/>
      <w:r>
        <w:rPr>
          <w:rFonts w:hint="eastAsia"/>
        </w:rPr>
        <w:t>（一）社会抚养费征收部门未下达《社会抚养费征收决定书》的；</w:t>
      </w:r>
      <w:bookmarkEnd w:id="2428"/>
    </w:p>
    <w:p w14:paraId="31EC57E1">
      <w:r>
        <w:rPr>
          <w:rFonts w:hint="eastAsia"/>
        </w:rPr>
        <w:t>（二）社会抚养费征收人员未出示价格主管部门的收费许可证或者未开具财政部门统一印制的收费票据的。</w:t>
      </w:r>
    </w:p>
    <w:p w14:paraId="5200D98D">
      <w:pPr>
        <w:ind w:firstLine="422"/>
      </w:pPr>
      <w:r>
        <w:rPr>
          <w:rFonts w:hint="eastAsia"/>
          <w:b/>
        </w:rPr>
        <w:t>第十七条</w:t>
      </w:r>
      <w:r>
        <w:rPr>
          <w:rFonts w:hint="eastAsia"/>
        </w:rPr>
        <w:t>　本办法自</w:t>
      </w:r>
      <w:r>
        <w:rPr>
          <w:rFonts w:hint="eastAsia" w:ascii="宋体" w:hAnsi="宋体" w:eastAsia="宋体" w:cs="宋体"/>
        </w:rPr>
        <w:t>2002年12月12</w:t>
      </w:r>
      <w:r>
        <w:rPr>
          <w:rFonts w:hint="eastAsia"/>
        </w:rPr>
        <w:t>日起实施。</w:t>
      </w:r>
    </w:p>
    <w:p w14:paraId="311B8F54">
      <w:pPr>
        <w:pStyle w:val="4"/>
        <w:pageBreakBefore/>
      </w:pPr>
      <w:bookmarkStart w:id="2429" w:name="_Toc428781876"/>
      <w:bookmarkStart w:id="2430" w:name="_Toc428780683"/>
      <w:bookmarkStart w:id="2431" w:name="_Toc426467128"/>
      <w:r>
        <w:rPr>
          <w:rFonts w:hint="eastAsia"/>
        </w:rPr>
        <w:t>北京市流动人口计划生育管理规定</w:t>
      </w:r>
      <w:bookmarkEnd w:id="2429"/>
      <w:bookmarkEnd w:id="2430"/>
      <w:bookmarkEnd w:id="2431"/>
    </w:p>
    <w:p w14:paraId="73920BAE">
      <w:pPr>
        <w:ind w:left="630" w:leftChars="300" w:right="630" w:rightChars="300"/>
        <w:rPr>
          <w:rFonts w:ascii="楷体" w:hAnsi="楷体" w:eastAsia="楷体"/>
        </w:rPr>
      </w:pPr>
      <w:r>
        <w:rPr>
          <w:rFonts w:hint="eastAsia" w:ascii="楷体" w:hAnsi="楷体" w:eastAsia="楷体"/>
        </w:rPr>
        <w:t>（2005年10月25日市人民政府第44次常务会议审议通过　2005年11月5日北京市人民政府161号令发布）</w:t>
      </w:r>
    </w:p>
    <w:p w14:paraId="119C8837"/>
    <w:p w14:paraId="4F9092F9">
      <w:pPr>
        <w:ind w:firstLine="422"/>
      </w:pPr>
      <w:r>
        <w:rPr>
          <w:rFonts w:hint="eastAsia"/>
          <w:b/>
        </w:rPr>
        <w:t>第一条</w:t>
      </w:r>
      <w:r>
        <w:rPr>
          <w:rFonts w:hint="eastAsia"/>
        </w:rPr>
        <w:t xml:space="preserve">  为了加强流动人口计划生育管理工作，维护流动人口的合法权益，根据国家有关法律、法规，结合本市实际情况，制定本规定。</w:t>
      </w:r>
    </w:p>
    <w:p w14:paraId="44AD7F33">
      <w:pPr>
        <w:ind w:firstLine="422"/>
      </w:pPr>
      <w:r>
        <w:rPr>
          <w:rFonts w:hint="eastAsia"/>
          <w:b/>
        </w:rPr>
        <w:t>第二条</w:t>
      </w:r>
      <w:r>
        <w:rPr>
          <w:rFonts w:hint="eastAsia"/>
        </w:rPr>
        <w:t xml:space="preserve">  本规定适用于以工作、居住、生育等为目的从其他省、自治区、直辖市进入本市以及本市外出已婚育龄人员的计划生育管理工作。</w:t>
      </w:r>
    </w:p>
    <w:p w14:paraId="179D2863">
      <w:pPr>
        <w:ind w:firstLine="422"/>
      </w:pPr>
      <w:r>
        <w:rPr>
          <w:rFonts w:hint="eastAsia"/>
          <w:b/>
        </w:rPr>
        <w:t>第三条</w:t>
      </w:r>
      <w:r>
        <w:rPr>
          <w:rFonts w:hint="eastAsia"/>
        </w:rPr>
        <w:t xml:space="preserve">  本市各级人民政府统一领导本行政区域内流动人口的计划生育管理工作。组织、协调有关部门对流动人口计划生育工作实行综合管理。</w:t>
      </w:r>
    </w:p>
    <w:p w14:paraId="5D971BC7">
      <w:r>
        <w:rPr>
          <w:rFonts w:hint="eastAsia"/>
        </w:rPr>
        <w:t>各级人民政府应当将流动人口计划生育管理工作纳入本行政区域内人口和计划生育工作目标管理责任制。</w:t>
      </w:r>
    </w:p>
    <w:p w14:paraId="68B10140">
      <w:pPr>
        <w:ind w:firstLine="422"/>
      </w:pPr>
      <w:r>
        <w:rPr>
          <w:rFonts w:hint="eastAsia"/>
          <w:b/>
        </w:rPr>
        <w:t>第四条</w:t>
      </w:r>
      <w:r>
        <w:rPr>
          <w:rFonts w:hint="eastAsia"/>
        </w:rPr>
        <w:t xml:space="preserve">  市和区、县计划生育行政部门负责本行政区域内流动人口计划生育工作的监督、管理。</w:t>
      </w:r>
    </w:p>
    <w:p w14:paraId="0228A59F">
      <w:r>
        <w:rPr>
          <w:rFonts w:hint="eastAsia"/>
        </w:rPr>
        <w:t>街道办事处和乡、镇人民政府负责本行政区域内流动人口计划生育的日常管理工作。</w:t>
      </w:r>
    </w:p>
    <w:p w14:paraId="71DAF4BF">
      <w:r>
        <w:rPr>
          <w:rFonts w:hint="eastAsia"/>
        </w:rPr>
        <w:t>居民委员会、村民委员会应当协助街道办事处和乡、镇人民政府做好流动人口计划生育管理工作。</w:t>
      </w:r>
    </w:p>
    <w:p w14:paraId="3146F987">
      <w:pPr>
        <w:ind w:firstLine="422"/>
      </w:pPr>
      <w:r>
        <w:rPr>
          <w:rFonts w:hint="eastAsia"/>
          <w:b/>
        </w:rPr>
        <w:t>第五条</w:t>
      </w:r>
      <w:r>
        <w:rPr>
          <w:rFonts w:hint="eastAsia"/>
        </w:rPr>
        <w:t xml:space="preserve">  公安、工商行政管理、劳动和社会保障、卫生、民政、建设等部门应当配合计划生育行政部门，在各自的职责范围内做好流动人口计划生育管理工作。</w:t>
      </w:r>
    </w:p>
    <w:p w14:paraId="0D4AE3C8">
      <w:pPr>
        <w:ind w:firstLine="422"/>
      </w:pPr>
      <w:r>
        <w:rPr>
          <w:rFonts w:hint="eastAsia"/>
          <w:b/>
        </w:rPr>
        <w:t>第六条</w:t>
      </w:r>
      <w:r>
        <w:rPr>
          <w:rFonts w:hint="eastAsia"/>
        </w:rPr>
        <w:t xml:space="preserve">  本市各级计划生育、公安、工商行政管理、劳动和社会保障、卫生、民政、建设等部门应当建立流动人口信息通报制度，实现信息共享。</w:t>
      </w:r>
    </w:p>
    <w:p w14:paraId="3FC67CFF">
      <w:r>
        <w:rPr>
          <w:rFonts w:hint="eastAsia"/>
        </w:rPr>
        <w:t>本市计划生育行政部门应当与流动人口户籍地计划生育行政部门建立信息交流制度，做好流动人口计划生育信息管理工作。</w:t>
      </w:r>
    </w:p>
    <w:p w14:paraId="29F237CB">
      <w:pPr>
        <w:ind w:firstLine="422"/>
      </w:pPr>
      <w:r>
        <w:rPr>
          <w:rFonts w:hint="eastAsia"/>
          <w:b/>
        </w:rPr>
        <w:t>第七条</w:t>
      </w:r>
      <w:r>
        <w:rPr>
          <w:rFonts w:hint="eastAsia"/>
        </w:rPr>
        <w:t xml:space="preserve">  市和区、县计划生育行政部门应当组织开展流动人口计划生育相关法律和科学知识的宣传、教育，引导、支持流动人口开展计划生育自我教育、自我管理、自我服务。</w:t>
      </w:r>
    </w:p>
    <w:p w14:paraId="4B394520">
      <w:pPr>
        <w:ind w:firstLine="422"/>
      </w:pPr>
      <w:r>
        <w:rPr>
          <w:rFonts w:hint="eastAsia"/>
          <w:b/>
        </w:rPr>
        <w:t>第八条</w:t>
      </w:r>
      <w:r>
        <w:rPr>
          <w:rFonts w:hint="eastAsia"/>
        </w:rPr>
        <w:t xml:space="preserve">  街道办事处和乡、镇人民政府对本行政区域内流动人口计划生育工作履行下列职责：</w:t>
      </w:r>
    </w:p>
    <w:p w14:paraId="3C5CADAE">
      <w:r>
        <w:rPr>
          <w:rFonts w:hint="eastAsia"/>
        </w:rPr>
        <w:t>（一）进行人口与计划生育法律、法规、规章及计划生育科学知识的宣传教育；</w:t>
      </w:r>
    </w:p>
    <w:p w14:paraId="7CFF7794">
      <w:r>
        <w:rPr>
          <w:rFonts w:hint="eastAsia"/>
        </w:rPr>
        <w:t>（二）查验、登记进入本市的成年流动人口的《流动人口婚育证明》（以下简称《婚育证明》）；</w:t>
      </w:r>
    </w:p>
    <w:p w14:paraId="6E762477">
      <w:bookmarkStart w:id="2432" w:name="_Toc428780684"/>
      <w:r>
        <w:rPr>
          <w:rFonts w:hint="eastAsia"/>
        </w:rPr>
        <w:t>（三）定期组织对进入本市的已婚育龄妇女进行避孕节育情况检查；</w:t>
      </w:r>
      <w:bookmarkEnd w:id="2432"/>
    </w:p>
    <w:p w14:paraId="3975E5BF">
      <w:r>
        <w:rPr>
          <w:rFonts w:hint="eastAsia"/>
        </w:rPr>
        <w:t>（四）为已婚育龄妇女提供计划生育、生殖保健等服务，指导其知情选择安全、有效、适宜的避孕节育措施，适时提供随访服务；</w:t>
      </w:r>
    </w:p>
    <w:p w14:paraId="63518259">
      <w:r>
        <w:rPr>
          <w:rFonts w:hint="eastAsia"/>
        </w:rPr>
        <w:t>（五）为本市外出成年流动人口办理《婚育证明》，落实计划生育奖励政策；</w:t>
      </w:r>
    </w:p>
    <w:p w14:paraId="38E8BC9D">
      <w:bookmarkStart w:id="2433" w:name="_Toc428780685"/>
      <w:r>
        <w:rPr>
          <w:rFonts w:hint="eastAsia"/>
        </w:rPr>
        <w:t>（六）将流动人口计划生育工作纳入单位计划生育目标管理责任制；</w:t>
      </w:r>
      <w:bookmarkEnd w:id="2433"/>
    </w:p>
    <w:p w14:paraId="3812EFA8">
      <w:r>
        <w:rPr>
          <w:rFonts w:hint="eastAsia"/>
        </w:rPr>
        <w:t>（七）指导居民委员会、村民委员会做好流动人口计划生育宣传教育、日常管理和服务；</w:t>
      </w:r>
    </w:p>
    <w:p w14:paraId="337F6804">
      <w:r>
        <w:rPr>
          <w:rFonts w:hint="eastAsia"/>
        </w:rPr>
        <w:t>（八）开展与户籍地的日常联系、协调工作，做好流动人口婚育情况信息的沟通和反馈；</w:t>
      </w:r>
    </w:p>
    <w:p w14:paraId="7471DABD">
      <w:r>
        <w:rPr>
          <w:rFonts w:hint="eastAsia"/>
        </w:rPr>
        <w:t>（九）法律、法规以及市和区、县人民政府规定的其他职责。</w:t>
      </w:r>
    </w:p>
    <w:p w14:paraId="74E28A9D">
      <w:pPr>
        <w:ind w:firstLine="422"/>
      </w:pPr>
      <w:r>
        <w:rPr>
          <w:rFonts w:hint="eastAsia"/>
          <w:b/>
        </w:rPr>
        <w:t>第九条</w:t>
      </w:r>
      <w:r>
        <w:rPr>
          <w:rFonts w:hint="eastAsia"/>
        </w:rPr>
        <w:t xml:space="preserve">  本市单位和个人招用流动人口，向流动人口出租、出借房屋或者提供经营场所的，应当与所在地街道办事处或者乡、镇人民政府签订计划生育责任书，按照计划生育责任书的规定，协助做好流动人口计划生育的宣传教育、证件查验、药具发放、技术服务、信息反馈等工作。</w:t>
      </w:r>
    </w:p>
    <w:p w14:paraId="018ED491">
      <w:pPr>
        <w:ind w:firstLine="422"/>
      </w:pPr>
      <w:r>
        <w:rPr>
          <w:rFonts w:hint="eastAsia"/>
          <w:b/>
        </w:rPr>
        <w:t>第十条</w:t>
      </w:r>
      <w:r>
        <w:rPr>
          <w:rFonts w:hint="eastAsia"/>
        </w:rPr>
        <w:t xml:space="preserve">  进入本市的成年流动人口到现居住地</w:t>
      </w:r>
      <w:r>
        <w:rPr>
          <w:rFonts w:hint="eastAsia" w:ascii="宋体" w:hAnsi="宋体" w:eastAsia="宋体" w:cs="宋体"/>
        </w:rPr>
        <w:t>15</w:t>
      </w:r>
      <w:r>
        <w:rPr>
          <w:rFonts w:hint="eastAsia"/>
        </w:rPr>
        <w:t>日内，应当向现居住地的街道办事处或者乡、镇人民政府交验《婚育证明》。</w:t>
      </w:r>
    </w:p>
    <w:p w14:paraId="2799A154">
      <w:pPr>
        <w:ind w:firstLine="422"/>
      </w:pPr>
      <w:r>
        <w:rPr>
          <w:rFonts w:hint="eastAsia"/>
          <w:b/>
        </w:rPr>
        <w:t>第十一条</w:t>
      </w:r>
      <w:r>
        <w:rPr>
          <w:rFonts w:hint="eastAsia"/>
        </w:rPr>
        <w:t xml:space="preserve">  未持有《婚育证明》的已婚育龄妇女，符合下列条件的，可以由现居住地街道办事处或者乡、镇人民政府办理《婚育证明》，并将办理情况通报其户籍地：</w:t>
      </w:r>
    </w:p>
    <w:p w14:paraId="649144F7">
      <w:bookmarkStart w:id="2434" w:name="_Toc428780686"/>
      <w:r>
        <w:rPr>
          <w:rFonts w:hint="eastAsia"/>
        </w:rPr>
        <w:t>（一）经核实婚姻、生育信息完整、准确的；</w:t>
      </w:r>
      <w:bookmarkEnd w:id="2434"/>
    </w:p>
    <w:p w14:paraId="4F3B70A1">
      <w:r>
        <w:rPr>
          <w:rFonts w:hint="eastAsia"/>
        </w:rPr>
        <w:t>（二）在现居住地依法办理暂住登记或者居住登记</w:t>
      </w:r>
      <w:r>
        <w:rPr>
          <w:rFonts w:hint="eastAsia" w:ascii="宋体" w:hAnsi="宋体" w:eastAsia="宋体" w:cs="宋体"/>
        </w:rPr>
        <w:t>1</w:t>
      </w:r>
      <w:r>
        <w:rPr>
          <w:rFonts w:hint="eastAsia"/>
        </w:rPr>
        <w:t>年以上，具有稳定职业和住所的；</w:t>
      </w:r>
    </w:p>
    <w:p w14:paraId="244CB4F2">
      <w:r>
        <w:rPr>
          <w:rFonts w:hint="eastAsia"/>
        </w:rPr>
        <w:t>（三）已采取绝育措施的。</w:t>
      </w:r>
    </w:p>
    <w:p w14:paraId="30E7EA56">
      <w:pPr>
        <w:ind w:firstLine="422"/>
      </w:pPr>
      <w:r>
        <w:rPr>
          <w:rFonts w:hint="eastAsia"/>
          <w:b/>
        </w:rPr>
        <w:t>第十二条</w:t>
      </w:r>
      <w:r>
        <w:rPr>
          <w:rFonts w:hint="eastAsia"/>
        </w:rPr>
        <w:t xml:space="preserve">  未持有《婚育证明》的成年育龄妇女，应当在进入本市三个月内到户籍地补办《婚育证明》。在补办期间，应当到现居住地街道办事处或者乡、镇人民政府办理临时婚育证明。</w:t>
      </w:r>
    </w:p>
    <w:p w14:paraId="129D3652">
      <w:pPr>
        <w:ind w:firstLine="422"/>
      </w:pPr>
      <w:r>
        <w:rPr>
          <w:rFonts w:hint="eastAsia"/>
          <w:b/>
        </w:rPr>
        <w:t>第十三条</w:t>
      </w:r>
      <w:r>
        <w:rPr>
          <w:rFonts w:hint="eastAsia"/>
        </w:rPr>
        <w:t xml:space="preserve">  具有本市户籍，拟离开本市三个月以上的成年流动人口，应当到户籍地街道办事处或者乡、镇人民政府办理《婚育证明》，并提交下列证明：</w:t>
      </w:r>
    </w:p>
    <w:p w14:paraId="0A2F5AAF">
      <w:bookmarkStart w:id="2435" w:name="_Toc428780687"/>
      <w:r>
        <w:rPr>
          <w:rFonts w:hint="eastAsia"/>
        </w:rPr>
        <w:t>（一）本人的户籍或者身份证明；</w:t>
      </w:r>
      <w:bookmarkEnd w:id="2435"/>
    </w:p>
    <w:p w14:paraId="173C4E05">
      <w:r>
        <w:rPr>
          <w:rFonts w:hint="eastAsia"/>
        </w:rPr>
        <w:t>（二）本人的人事、档案管理部门或者居民委员会、村民委员会出具的婚育状况证明。</w:t>
      </w:r>
    </w:p>
    <w:p w14:paraId="6B9403B0">
      <w:pPr>
        <w:ind w:firstLine="422"/>
      </w:pPr>
      <w:r>
        <w:rPr>
          <w:rFonts w:hint="eastAsia"/>
          <w:b/>
        </w:rPr>
        <w:t>第十四条</w:t>
      </w:r>
      <w:r>
        <w:rPr>
          <w:rFonts w:hint="eastAsia"/>
        </w:rPr>
        <w:t>　本市计划生育技术服务机构和从事计划生育技术服务的医疗、保健机构应当在各自的职责范围内，为进入本市的成年流动人口提供计划生育技术服务和生殖健康咨询服务。</w:t>
      </w:r>
    </w:p>
    <w:p w14:paraId="37E96443">
      <w:r>
        <w:rPr>
          <w:rFonts w:hint="eastAsia"/>
        </w:rPr>
        <w:t>已婚育龄妇女应当接受避孕节育情况检查，在计划生育技术服务机构进行避孕节育情况检查的，由计划生育技术服务机构出具情况报告。</w:t>
      </w:r>
    </w:p>
    <w:p w14:paraId="7AAF52C9">
      <w:pPr>
        <w:ind w:firstLine="422"/>
      </w:pPr>
      <w:r>
        <w:rPr>
          <w:rFonts w:hint="eastAsia"/>
          <w:b/>
        </w:rPr>
        <w:t>第十五条</w:t>
      </w:r>
      <w:r>
        <w:rPr>
          <w:rFonts w:hint="eastAsia"/>
        </w:rPr>
        <w:t>　在本市居住半年以上、实行计划生育的已婚育龄人员，持《婚育证明》，享受国家和本市规定的基本项目的计划生育免费技术服务。</w:t>
      </w:r>
    </w:p>
    <w:p w14:paraId="1BAF07C6">
      <w:pPr>
        <w:ind w:firstLine="422"/>
      </w:pPr>
      <w:r>
        <w:rPr>
          <w:rFonts w:hint="eastAsia"/>
          <w:b/>
        </w:rPr>
        <w:t>第十六条</w:t>
      </w:r>
      <w:r>
        <w:rPr>
          <w:rFonts w:hint="eastAsia"/>
        </w:rPr>
        <w:t>　进入本市的已婚育龄人员持《婚育证明》可以在用工单位、计划生育技术服务机构、居民委员会、村民委员会或者现居住地街道办事处和乡、镇人民政府免费领取避孕药具。</w:t>
      </w:r>
    </w:p>
    <w:p w14:paraId="635B51FC">
      <w:pPr>
        <w:ind w:firstLine="422"/>
      </w:pPr>
      <w:r>
        <w:rPr>
          <w:rFonts w:hint="eastAsia"/>
          <w:b/>
        </w:rPr>
        <w:t>第十七条</w:t>
      </w:r>
      <w:r>
        <w:rPr>
          <w:rFonts w:hint="eastAsia"/>
        </w:rPr>
        <w:t>　医疗机构对进入本市的已婚育龄妇女提供孕产期医疗保健服务时，应当核查其相关生育证明。对无生育证明的，应当通知其现居住地或者医疗机构所在地的街道办事处或者乡、镇人民政府。</w:t>
      </w:r>
    </w:p>
    <w:p w14:paraId="3DDDC8F6">
      <w:r>
        <w:rPr>
          <w:rFonts w:hint="eastAsia"/>
        </w:rPr>
        <w:t>对无生育证明的，现居住地街道办事处或者乡、镇人民政府应当责令其限期补办；逾期不补办的，应当通报其户籍地计划生育行政部门，共同做好说服教育工作。</w:t>
      </w:r>
    </w:p>
    <w:p w14:paraId="522FF490">
      <w:pPr>
        <w:ind w:firstLine="422"/>
      </w:pPr>
      <w:r>
        <w:rPr>
          <w:rFonts w:hint="eastAsia"/>
          <w:b/>
        </w:rPr>
        <w:t>第十八条</w:t>
      </w:r>
      <w:r>
        <w:rPr>
          <w:rFonts w:hint="eastAsia"/>
        </w:rPr>
        <w:t>　违反本规定有下列行为之一的，由市或者区、县计划生育行政部门予以处罚：</w:t>
      </w:r>
    </w:p>
    <w:p w14:paraId="03C0B164">
      <w:pPr>
        <w:rPr>
          <w:rFonts w:hint="eastAsia" w:ascii="宋体" w:hAnsi="宋体" w:eastAsia="宋体" w:cs="宋体"/>
        </w:rPr>
      </w:pPr>
      <w:r>
        <w:rPr>
          <w:rFonts w:hint="eastAsia"/>
        </w:rPr>
        <w:t>（一）未按规定办理《婚育证明》，经通知后逾期仍拒不补办《婚育证明》的，予以警告，并处</w:t>
      </w:r>
      <w:r>
        <w:rPr>
          <w:rFonts w:hint="eastAsia" w:ascii="宋体" w:hAnsi="宋体" w:eastAsia="宋体" w:cs="宋体"/>
        </w:rPr>
        <w:t>50元罚款。</w:t>
      </w:r>
    </w:p>
    <w:p w14:paraId="3C318473">
      <w:pPr>
        <w:rPr>
          <w:rFonts w:hint="eastAsia" w:ascii="宋体" w:hAnsi="宋体" w:eastAsia="宋体" w:cs="宋体"/>
        </w:rPr>
      </w:pPr>
      <w:r>
        <w:rPr>
          <w:rFonts w:hint="eastAsia" w:ascii="宋体" w:hAnsi="宋体" w:eastAsia="宋体" w:cs="宋体"/>
        </w:rPr>
        <w:t>（二）未按规定交验《婚育证明》的，责令改正，并处50元罚款。</w:t>
      </w:r>
    </w:p>
    <w:p w14:paraId="5EEFD5D9">
      <w:pPr>
        <w:rPr>
          <w:rFonts w:hint="eastAsia" w:ascii="宋体" w:hAnsi="宋体" w:eastAsia="宋体" w:cs="宋体"/>
        </w:rPr>
      </w:pPr>
      <w:r>
        <w:rPr>
          <w:rFonts w:hint="eastAsia" w:ascii="宋体" w:hAnsi="宋体" w:eastAsia="宋体" w:cs="宋体"/>
        </w:rPr>
        <w:t>（三）伪造、变造、买卖流动人口计划生育证明的，没收违法所得，违法所得5000元以上的，处违法所得2倍以上10倍以下的罚款；没有违法所得或者违法所得不足5000元的，处5000元以上2万元以下的罚款；构成犯罪的，依法追究刑事责任。</w:t>
      </w:r>
    </w:p>
    <w:p w14:paraId="6C8AD9BC">
      <w:pPr>
        <w:rPr>
          <w:rFonts w:hint="eastAsia" w:ascii="宋体" w:hAnsi="宋体" w:eastAsia="宋体" w:cs="宋体"/>
        </w:rPr>
      </w:pPr>
      <w:r>
        <w:rPr>
          <w:rFonts w:hint="eastAsia" w:ascii="宋体" w:hAnsi="宋体" w:eastAsia="宋体" w:cs="宋体"/>
        </w:rPr>
        <w:t>以不正当手段取得计划生育证明的，取消其计划生育证明；出具证明的单位有过错的，对直接负责的主管人员和其他直接责任人员依法给予行政处分。</w:t>
      </w:r>
    </w:p>
    <w:p w14:paraId="3AB41B68">
      <w:pPr>
        <w:ind w:firstLine="422"/>
      </w:pPr>
      <w:r>
        <w:rPr>
          <w:rFonts w:hint="eastAsia"/>
          <w:b/>
        </w:rPr>
        <w:t>第十九条</w:t>
      </w:r>
      <w:r>
        <w:rPr>
          <w:rFonts w:hint="eastAsia"/>
        </w:rPr>
        <w:t>　各级计划生育行政部门及其工作人员在流动人口计划生育管理工作中滥用职权、徇私舞弊、玩忽职守的，由其所在单位或者上级主管机关给予行政处分；构成犯罪的，依法追究刑事责任。</w:t>
      </w:r>
    </w:p>
    <w:p w14:paraId="3443D4D7">
      <w:pPr>
        <w:ind w:firstLine="422"/>
      </w:pPr>
      <w:r>
        <w:rPr>
          <w:rFonts w:hint="eastAsia"/>
          <w:b/>
        </w:rPr>
        <w:t>第二十条</w:t>
      </w:r>
      <w:r>
        <w:rPr>
          <w:rFonts w:hint="eastAsia"/>
        </w:rPr>
        <w:t>　本规定</w:t>
      </w:r>
      <w:r>
        <w:rPr>
          <w:rFonts w:hint="eastAsia" w:ascii="宋体" w:hAnsi="宋体" w:eastAsia="宋体" w:cs="宋体"/>
        </w:rPr>
        <w:t>自2006年1月1日起施行。市人民政府2000年3月8日发布的</w:t>
      </w:r>
      <w:r>
        <w:rPr>
          <w:rFonts w:hint="eastAsia"/>
        </w:rPr>
        <w:t>《北京市外地来京人员计划生育管理规定》同时废止。</w:t>
      </w:r>
    </w:p>
    <w:p w14:paraId="4160E765">
      <w:pPr>
        <w:pStyle w:val="4"/>
        <w:pageBreakBefore/>
      </w:pPr>
      <w:bookmarkStart w:id="2436" w:name="_Toc426467129"/>
      <w:bookmarkStart w:id="2437" w:name="_Toc428781877"/>
      <w:bookmarkStart w:id="2438" w:name="_Toc428780688"/>
      <w:r>
        <w:rPr>
          <w:rFonts w:hint="eastAsia"/>
        </w:rPr>
        <w:t>北京市公共场所禁止吸烟范围若干规定</w:t>
      </w:r>
      <w:bookmarkEnd w:id="2436"/>
      <w:bookmarkEnd w:id="2437"/>
      <w:bookmarkEnd w:id="2438"/>
    </w:p>
    <w:p w14:paraId="09BE3013">
      <w:pPr>
        <w:ind w:left="630" w:leftChars="300" w:right="630" w:rightChars="300"/>
        <w:rPr>
          <w:rFonts w:ascii="楷体" w:hAnsi="楷体" w:eastAsia="楷体"/>
        </w:rPr>
      </w:pPr>
      <w:r>
        <w:rPr>
          <w:rFonts w:hint="eastAsia" w:ascii="楷体" w:hAnsi="楷体" w:eastAsia="楷体"/>
        </w:rPr>
        <w:t>（2008年3月24日市人民政府第2次常务会议审议通过　2008年3月31日北京市人民政府第204号令公布）</w:t>
      </w:r>
    </w:p>
    <w:p w14:paraId="4D7D764B"/>
    <w:p w14:paraId="64DAD0F9">
      <w:pPr>
        <w:ind w:firstLine="422"/>
      </w:pPr>
      <w:r>
        <w:rPr>
          <w:rFonts w:hint="eastAsia"/>
          <w:b/>
        </w:rPr>
        <w:t>第一条</w:t>
      </w:r>
      <w:r>
        <w:rPr>
          <w:rFonts w:hint="eastAsia"/>
        </w:rPr>
        <w:t xml:space="preserve">  为了保障人民身体健康，提倡社会公德，减少吸烟造成的危害，根据《北京市公共场所禁止吸烟的规定》，结合本市实际情况，制定本规定。</w:t>
      </w:r>
    </w:p>
    <w:p w14:paraId="2646A781">
      <w:pPr>
        <w:ind w:firstLine="422"/>
      </w:pPr>
      <w:r>
        <w:rPr>
          <w:rFonts w:hint="eastAsia"/>
          <w:b/>
        </w:rPr>
        <w:t>第二条</w:t>
      </w:r>
      <w:r>
        <w:rPr>
          <w:rFonts w:hint="eastAsia"/>
        </w:rPr>
        <w:t xml:space="preserve">  下列公共场所禁止吸烟：</w:t>
      </w:r>
    </w:p>
    <w:p w14:paraId="60C41170">
      <w:r>
        <w:rPr>
          <w:rFonts w:hint="eastAsia"/>
        </w:rPr>
        <w:t>（一）医疗机构的室内区域；</w:t>
      </w:r>
    </w:p>
    <w:p w14:paraId="06A9A8A3">
      <w:r>
        <w:rPr>
          <w:rFonts w:hint="eastAsia"/>
        </w:rPr>
        <w:t>（二）托儿所、幼儿园；</w:t>
      </w:r>
    </w:p>
    <w:p w14:paraId="10DAB105">
      <w:r>
        <w:rPr>
          <w:rFonts w:hint="eastAsia"/>
        </w:rPr>
        <w:t>（三）中、小学校，中等职业学校；</w:t>
      </w:r>
    </w:p>
    <w:p w14:paraId="68A8AB79">
      <w:r>
        <w:rPr>
          <w:rFonts w:hint="eastAsia"/>
        </w:rPr>
        <w:t>（四）高等学校和其他教育、培训机构的教学区域；</w:t>
      </w:r>
    </w:p>
    <w:p w14:paraId="6806C60E">
      <w:r>
        <w:rPr>
          <w:rFonts w:hint="eastAsia"/>
        </w:rPr>
        <w:t>（五）影剧院、音乐厅、展览馆、博物馆、美术馆、图书馆、科技馆、档案馆、少年宫、纪念馆等科教、文化、艺术场所；</w:t>
      </w:r>
    </w:p>
    <w:p w14:paraId="3D7AA784">
      <w:bookmarkStart w:id="2439" w:name="_Toc428780689"/>
      <w:r>
        <w:rPr>
          <w:rFonts w:hint="eastAsia"/>
        </w:rPr>
        <w:t>（六）商业、金融业、邮政业和电信业的营业厅；</w:t>
      </w:r>
      <w:bookmarkEnd w:id="2439"/>
    </w:p>
    <w:p w14:paraId="1617A52B">
      <w:r>
        <w:rPr>
          <w:rFonts w:hint="eastAsia"/>
        </w:rPr>
        <w:t>（七）公共汽车、出租车、轨道交通等公共交通工具内及其售票厅、室内站台；</w:t>
      </w:r>
    </w:p>
    <w:p w14:paraId="321D8F78">
      <w:r>
        <w:rPr>
          <w:rFonts w:hint="eastAsia"/>
        </w:rPr>
        <w:t>（八）对社会开放的文物保护单位；</w:t>
      </w:r>
    </w:p>
    <w:p w14:paraId="5EB5F72F">
      <w:r>
        <w:rPr>
          <w:rFonts w:hint="eastAsia"/>
        </w:rPr>
        <w:t>（九）体育馆、健身馆；</w:t>
      </w:r>
    </w:p>
    <w:p w14:paraId="3277202B">
      <w:r>
        <w:rPr>
          <w:rFonts w:hint="eastAsia"/>
        </w:rPr>
        <w:t>（十）健身场，体育场的比赛区和座席区。</w:t>
      </w:r>
    </w:p>
    <w:p w14:paraId="499F14AA">
      <w:pPr>
        <w:ind w:firstLine="422"/>
      </w:pPr>
      <w:r>
        <w:rPr>
          <w:rFonts w:hint="eastAsia"/>
          <w:b/>
        </w:rPr>
        <w:t>第三条</w:t>
      </w:r>
      <w:r>
        <w:rPr>
          <w:rFonts w:hint="eastAsia"/>
        </w:rPr>
        <w:t xml:space="preserve">  下列公共场所可以设置吸烟室或者划定吸烟区，吸烟室或者吸烟区以外的区域禁止吸烟：</w:t>
      </w:r>
    </w:p>
    <w:p w14:paraId="7A2EF91E">
      <w:bookmarkStart w:id="2440" w:name="_Toc428780690"/>
      <w:r>
        <w:rPr>
          <w:rFonts w:hint="eastAsia"/>
        </w:rPr>
        <w:t>（一）餐饮、互联网上网服务营业场所等经营场所的服务区域；</w:t>
      </w:r>
      <w:bookmarkEnd w:id="2440"/>
    </w:p>
    <w:p w14:paraId="3278D617">
      <w:r>
        <w:rPr>
          <w:rFonts w:hint="eastAsia"/>
        </w:rPr>
        <w:t>（二）公园、游乐场等公共场所；</w:t>
      </w:r>
    </w:p>
    <w:p w14:paraId="11E08F79">
      <w:r>
        <w:rPr>
          <w:rFonts w:hint="eastAsia"/>
        </w:rPr>
        <w:t>（三）飞机、火车、长途汽车等公共交通工具的等候室。</w:t>
      </w:r>
    </w:p>
    <w:p w14:paraId="0BF47129">
      <w:pPr>
        <w:ind w:firstLine="422"/>
      </w:pPr>
      <w:r>
        <w:rPr>
          <w:rFonts w:hint="eastAsia"/>
          <w:b/>
        </w:rPr>
        <w:t>第四条</w:t>
      </w:r>
      <w:r>
        <w:rPr>
          <w:rFonts w:hint="eastAsia"/>
        </w:rPr>
        <w:t xml:space="preserve">  宾馆、旅店、招待所、培训中心、度假村等提供住宿休息服务的经营场所，应当按照规定设置无烟客房或者无烟楼层。</w:t>
      </w:r>
    </w:p>
    <w:p w14:paraId="4B17A5F8">
      <w:pPr>
        <w:ind w:firstLine="422"/>
      </w:pPr>
      <w:r>
        <w:rPr>
          <w:rFonts w:hint="eastAsia"/>
          <w:b/>
        </w:rPr>
        <w:t>第五条</w:t>
      </w:r>
      <w:r>
        <w:rPr>
          <w:rFonts w:hint="eastAsia"/>
        </w:rPr>
        <w:t xml:space="preserve">  机关、团体、企业、事业单位的办公、会议等工作场所和食堂、通道、电梯、卫生间等内部公共场所禁止吸烟。</w:t>
      </w:r>
    </w:p>
    <w:p w14:paraId="47BA2CE5">
      <w:r>
        <w:rPr>
          <w:rFonts w:hint="eastAsia"/>
        </w:rPr>
        <w:t>机关、团体、企业、事业单位可以根据实际情况，确定除前款规定以外的单位内部的禁止吸烟公共场所，并做好相关管理工作。</w:t>
      </w:r>
    </w:p>
    <w:p w14:paraId="7EFF4484">
      <w:r>
        <w:rPr>
          <w:rFonts w:hint="eastAsia"/>
        </w:rPr>
        <w:t>鼓励创建无烟单位。</w:t>
      </w:r>
    </w:p>
    <w:p w14:paraId="57FD7966">
      <w:pPr>
        <w:ind w:firstLine="422"/>
      </w:pPr>
      <w:r>
        <w:rPr>
          <w:rFonts w:hint="eastAsia"/>
          <w:b/>
        </w:rPr>
        <w:t>第六条</w:t>
      </w:r>
      <w:r>
        <w:rPr>
          <w:rFonts w:hint="eastAsia"/>
        </w:rPr>
        <w:t xml:space="preserve">  按照本规定第三条的规定设置吸烟室或者划定吸烟区，应当遵守下列规定：</w:t>
      </w:r>
    </w:p>
    <w:p w14:paraId="20047881">
      <w:r>
        <w:rPr>
          <w:rFonts w:hint="eastAsia"/>
        </w:rPr>
        <w:t>（一）符合消防安全要求；</w:t>
      </w:r>
    </w:p>
    <w:p w14:paraId="42B61876">
      <w:r>
        <w:rPr>
          <w:rFonts w:hint="eastAsia"/>
        </w:rPr>
        <w:t>（二）设置明显的标志；</w:t>
      </w:r>
    </w:p>
    <w:p w14:paraId="3ABA3048">
      <w:r>
        <w:rPr>
          <w:rFonts w:hint="eastAsia"/>
        </w:rPr>
        <w:t>（三）与非吸烟室、非吸烟区隔离；</w:t>
      </w:r>
    </w:p>
    <w:p w14:paraId="22211AD7">
      <w:r>
        <w:rPr>
          <w:rFonts w:hint="eastAsia"/>
        </w:rPr>
        <w:t>（四）远离人员密集区域和行人必经的主要通道。</w:t>
      </w:r>
    </w:p>
    <w:p w14:paraId="36A855A6">
      <w:pPr>
        <w:ind w:firstLine="422"/>
      </w:pPr>
      <w:r>
        <w:rPr>
          <w:rFonts w:hint="eastAsia"/>
          <w:b/>
        </w:rPr>
        <w:t>第七条</w:t>
      </w:r>
      <w:r>
        <w:rPr>
          <w:rFonts w:hint="eastAsia"/>
        </w:rPr>
        <w:t xml:space="preserve">  设置吸烟室或者划定吸烟区的公共场所所在单位，应当加强禁止吸烟的宣传教育，采取有效措施，逐步取消吸烟室或者吸烟区。</w:t>
      </w:r>
    </w:p>
    <w:p w14:paraId="1FF16E18">
      <w:pPr>
        <w:ind w:firstLine="422"/>
      </w:pPr>
      <w:r>
        <w:rPr>
          <w:rFonts w:hint="eastAsia"/>
          <w:b/>
        </w:rPr>
        <w:t>第八条</w:t>
      </w:r>
      <w:r>
        <w:rPr>
          <w:rFonts w:hint="eastAsia"/>
        </w:rPr>
        <w:t xml:space="preserve">  禁止吸烟公共场所的所在单位应当按照规定，在禁止吸烟的公共场所设置明显统一的禁止吸烟标志，加强吸烟有害健康和公共场所禁止吸烟的宣传教育工作，并及时劝阻、制止公共场所内的吸烟行为。</w:t>
      </w:r>
    </w:p>
    <w:p w14:paraId="70B9520A">
      <w:pPr>
        <w:ind w:firstLine="422"/>
      </w:pPr>
      <w:r>
        <w:rPr>
          <w:rFonts w:hint="eastAsia"/>
          <w:b/>
        </w:rPr>
        <w:t>第九条</w:t>
      </w:r>
      <w:r>
        <w:rPr>
          <w:rFonts w:hint="eastAsia"/>
        </w:rPr>
        <w:t xml:space="preserve">  全社会都应当支持公共场所禁止吸烟工作。</w:t>
      </w:r>
    </w:p>
    <w:p w14:paraId="18CDDDB5">
      <w:r>
        <w:rPr>
          <w:rFonts w:hint="eastAsia"/>
        </w:rPr>
        <w:t>广播、电视、报刊等媒体应当采取多种形式，开展烟草危害、吸烟有害健康和公共场所禁止吸烟的宣传教育，提高全社会营造无烟环境的意识。</w:t>
      </w:r>
    </w:p>
    <w:p w14:paraId="66692318">
      <w:pPr>
        <w:ind w:firstLine="422"/>
      </w:pPr>
      <w:r>
        <w:rPr>
          <w:rFonts w:hint="eastAsia"/>
          <w:b/>
        </w:rPr>
        <w:t>第十条</w:t>
      </w:r>
      <w:r>
        <w:rPr>
          <w:rFonts w:hint="eastAsia"/>
        </w:rPr>
        <w:t xml:space="preserve">  禁止吸烟公共场所的所在单位不履行《北京市公共场所禁止吸烟的规定》和本规定确定的职责的，由市或者区、县爱国卫生运动委员会办公室按照《北京市公共场所禁止吸烟的规定》予以处理。</w:t>
      </w:r>
    </w:p>
    <w:p w14:paraId="3AB010B7">
      <w:r>
        <w:rPr>
          <w:rFonts w:hint="eastAsia"/>
        </w:rPr>
        <w:t>市或者区、县爱国卫生运动委员会办公室可以委托市或者区、县卫生局实施前款规定的行政处罚。</w:t>
      </w:r>
    </w:p>
    <w:p w14:paraId="0047683B">
      <w:pPr>
        <w:ind w:firstLine="422"/>
      </w:pPr>
      <w:r>
        <w:rPr>
          <w:rFonts w:hint="eastAsia"/>
          <w:b/>
        </w:rPr>
        <w:t>第十一条</w:t>
      </w:r>
      <w:r>
        <w:rPr>
          <w:rFonts w:hint="eastAsia"/>
        </w:rPr>
        <w:t xml:space="preserve">  本规定自</w:t>
      </w:r>
      <w:r>
        <w:rPr>
          <w:rFonts w:hint="eastAsia" w:ascii="宋体" w:hAnsi="宋体" w:eastAsia="宋体" w:cs="宋体"/>
        </w:rPr>
        <w:t>2008年5月1日</w:t>
      </w:r>
      <w:r>
        <w:rPr>
          <w:rFonts w:hint="eastAsia"/>
        </w:rPr>
        <w:t>起施行。</w:t>
      </w:r>
    </w:p>
    <w:p w14:paraId="063E6600">
      <w:pPr>
        <w:pStyle w:val="4"/>
        <w:pageBreakBefore/>
      </w:pPr>
      <w:bookmarkStart w:id="2441" w:name="_Toc426467130"/>
      <w:bookmarkStart w:id="2442" w:name="_Toc428780691"/>
      <w:bookmarkStart w:id="2443" w:name="_Toc428781878"/>
      <w:r>
        <w:rPr>
          <w:rFonts w:hint="eastAsia"/>
        </w:rPr>
        <w:t>北京市献血管理办法</w:t>
      </w:r>
      <w:bookmarkEnd w:id="2441"/>
      <w:bookmarkEnd w:id="2442"/>
      <w:bookmarkEnd w:id="2443"/>
    </w:p>
    <w:p w14:paraId="1BB33AD9">
      <w:pPr>
        <w:ind w:left="630" w:leftChars="300" w:right="630" w:rightChars="300"/>
        <w:rPr>
          <w:rFonts w:ascii="楷体" w:hAnsi="楷体" w:eastAsia="楷体"/>
        </w:rPr>
      </w:pPr>
      <w:r>
        <w:rPr>
          <w:rFonts w:hint="eastAsia" w:ascii="楷体" w:hAnsi="楷体" w:eastAsia="楷体"/>
        </w:rPr>
        <w:t>（2009年8月27日市人民政府第47次常务会议审议通过　2009年9月7日北京市人民政府第214号令公布）</w:t>
      </w:r>
    </w:p>
    <w:p w14:paraId="584EC6EB"/>
    <w:p w14:paraId="546595E4">
      <w:pPr>
        <w:ind w:firstLine="422"/>
      </w:pPr>
      <w:r>
        <w:rPr>
          <w:rFonts w:hint="eastAsia"/>
          <w:b/>
        </w:rPr>
        <w:t>第一条</w:t>
      </w:r>
      <w:r>
        <w:rPr>
          <w:rFonts w:hint="eastAsia"/>
        </w:rPr>
        <w:t xml:space="preserve">  为了保证医疗临床用血需要和安全，规范和推动献血工作，保障献血者和用血者的身体健康，根据《中华人民共和国献血法》等有关法律、法规，结合本市实际情况，制定本办法。</w:t>
      </w:r>
    </w:p>
    <w:p w14:paraId="7CE4A6FF">
      <w:pPr>
        <w:ind w:firstLine="422"/>
      </w:pPr>
      <w:r>
        <w:rPr>
          <w:rFonts w:hint="eastAsia"/>
          <w:b/>
        </w:rPr>
        <w:t>第二条</w:t>
      </w:r>
      <w:r>
        <w:rPr>
          <w:rFonts w:hint="eastAsia"/>
        </w:rPr>
        <w:t xml:space="preserve">  本市实行无偿献血制度。</w:t>
      </w:r>
    </w:p>
    <w:p w14:paraId="47C4C889">
      <w:r>
        <w:rPr>
          <w:rFonts w:hint="eastAsia"/>
        </w:rPr>
        <w:t>本市提倡十八周岁至五十五周岁的健康个人自愿献血。鼓励国家工作人员、现役军人和高等学校在校学生率先献血。</w:t>
      </w:r>
    </w:p>
    <w:p w14:paraId="0A88C4B5">
      <w:r>
        <w:rPr>
          <w:rFonts w:hint="eastAsia"/>
        </w:rPr>
        <w:t>鼓励捐献机采血小板等成分血，鼓励稀有血型的个人献血。</w:t>
      </w:r>
    </w:p>
    <w:p w14:paraId="5531E664">
      <w:pPr>
        <w:ind w:firstLine="422"/>
      </w:pPr>
      <w:r>
        <w:rPr>
          <w:rFonts w:hint="eastAsia"/>
          <w:b/>
        </w:rPr>
        <w:t>第三条</w:t>
      </w:r>
      <w:r>
        <w:rPr>
          <w:rFonts w:hint="eastAsia"/>
        </w:rPr>
        <w:t xml:space="preserve">  个人临床用血时只交付用于血液的采集、储存、分离、检验等费用；具体收费标准按照国家和本市规定执行。</w:t>
      </w:r>
    </w:p>
    <w:p w14:paraId="7A960865">
      <w:r>
        <w:rPr>
          <w:rFonts w:hint="eastAsia"/>
        </w:rPr>
        <w:t>献血者及其配偶、直系亲属临床用血时，按照下列规定享受免费用血优惠：</w:t>
      </w:r>
    </w:p>
    <w:p w14:paraId="0B7C0289">
      <w:r>
        <w:rPr>
          <w:rFonts w:hint="eastAsia"/>
        </w:rPr>
        <w:t>（一）献血者自献血之日起十年内免费使用献血量五倍的血液，十年后免费使用献血量两倍的血液；</w:t>
      </w:r>
    </w:p>
    <w:p w14:paraId="617FF458">
      <w:bookmarkStart w:id="2444" w:name="_Toc428780692"/>
      <w:r>
        <w:rPr>
          <w:rFonts w:hint="eastAsia"/>
        </w:rPr>
        <w:t>（二）累计献血超过一千毫升的献血者终身无限量免费用血；</w:t>
      </w:r>
      <w:bookmarkEnd w:id="2444"/>
    </w:p>
    <w:p w14:paraId="30A891E7">
      <w:r>
        <w:rPr>
          <w:rFonts w:hint="eastAsia"/>
        </w:rPr>
        <w:t>（三）献血者的配偶、直系亲属自献血者献血之日起十年内可以免费使用献血量等量的血液。</w:t>
      </w:r>
    </w:p>
    <w:p w14:paraId="01CD55EE">
      <w:r>
        <w:rPr>
          <w:rFonts w:hint="eastAsia"/>
        </w:rPr>
        <w:t>献血者捐献机采血小板的，本人及其配偶、直系亲属享受用血优惠时，献血量按照一个机采单位折合全血四百毫升计算。</w:t>
      </w:r>
    </w:p>
    <w:p w14:paraId="3234B044">
      <w:pPr>
        <w:ind w:firstLine="422"/>
      </w:pPr>
      <w:r>
        <w:rPr>
          <w:rFonts w:hint="eastAsia"/>
          <w:b/>
        </w:rPr>
        <w:t>第四条</w:t>
      </w:r>
      <w:r>
        <w:rPr>
          <w:rFonts w:hint="eastAsia"/>
        </w:rPr>
        <w:t xml:space="preserve">  献血者及其配偶、直系亲属临床用血后，可以按照本办法第三条的规定报销相关费用。具体办法由市卫生行政管理部门会同有关部门制定并公布。</w:t>
      </w:r>
    </w:p>
    <w:p w14:paraId="26C0006E">
      <w:r>
        <w:rPr>
          <w:rFonts w:hint="eastAsia"/>
        </w:rPr>
        <w:t>卫生行政管理部门和其他有关部门应当为献血者及其配偶、直系亲属报销用血费用提供便利条件。</w:t>
      </w:r>
    </w:p>
    <w:p w14:paraId="392F9454">
      <w:pPr>
        <w:ind w:firstLine="422"/>
      </w:pPr>
      <w:r>
        <w:rPr>
          <w:rFonts w:hint="eastAsia"/>
          <w:b/>
        </w:rPr>
        <w:t>第五条</w:t>
      </w:r>
      <w:r>
        <w:rPr>
          <w:rFonts w:hint="eastAsia"/>
        </w:rPr>
        <w:t xml:space="preserve">  血站是经卫生行政管理部门依法批准设立的采集、提供临床用血的机构，是不以营利为目的的公益性组织。血站以外的任何个人和单位不得采集、提供临床用血。</w:t>
      </w:r>
    </w:p>
    <w:p w14:paraId="5D840928">
      <w:pPr>
        <w:ind w:firstLine="422"/>
      </w:pPr>
      <w:r>
        <w:rPr>
          <w:rFonts w:hint="eastAsia"/>
          <w:b/>
        </w:rPr>
        <w:t>第六条</w:t>
      </w:r>
      <w:r>
        <w:rPr>
          <w:rFonts w:hint="eastAsia"/>
        </w:rPr>
        <w:t xml:space="preserve">  市卫生行政管理部门应当根据国家采供血机构设置规划指导原则，结合本市行政区域内的人口、医疗资源、临床用血需要等情况，编制血站设置规划，报市人民政府批准后执行。</w:t>
      </w:r>
    </w:p>
    <w:p w14:paraId="45E40C82">
      <w:pPr>
        <w:ind w:firstLine="422"/>
      </w:pPr>
      <w:r>
        <w:rPr>
          <w:rFonts w:hint="eastAsia"/>
          <w:b/>
        </w:rPr>
        <w:t>第七条</w:t>
      </w:r>
      <w:r>
        <w:rPr>
          <w:rFonts w:hint="eastAsia"/>
        </w:rPr>
        <w:t xml:space="preserve">  市卫生行政管理部门应当会同有关部门，根据临床用血需要等情况编制采血点设置指导意见，报市人民政府批准后执行。</w:t>
      </w:r>
    </w:p>
    <w:p w14:paraId="74ED8D7F">
      <w:r>
        <w:rPr>
          <w:rFonts w:hint="eastAsia"/>
        </w:rPr>
        <w:t>血站应当根据采血点设置指导意见设置采血点，并将采血点设置情况向社会公布。</w:t>
      </w:r>
    </w:p>
    <w:p w14:paraId="7C3176DC">
      <w:r>
        <w:rPr>
          <w:rFonts w:hint="eastAsia"/>
        </w:rPr>
        <w:t>公安、市政市容等行政管理部门和社会单位应当对血站设置采血点的工作予以协助、支持。</w:t>
      </w:r>
    </w:p>
    <w:p w14:paraId="0EBFBAB9">
      <w:pPr>
        <w:ind w:firstLine="422"/>
      </w:pPr>
      <w:r>
        <w:rPr>
          <w:rFonts w:hint="eastAsia"/>
          <w:b/>
        </w:rPr>
        <w:t>第八条</w:t>
      </w:r>
      <w:r>
        <w:rPr>
          <w:rFonts w:hint="eastAsia"/>
        </w:rPr>
        <w:t xml:space="preserve">  个人可以到依法设置的采血点献血，也可以在所在单位或者居住地的居民委员会、村民委员会的组织下献血。</w:t>
      </w:r>
    </w:p>
    <w:p w14:paraId="741737E8">
      <w:pPr>
        <w:ind w:firstLine="422"/>
      </w:pPr>
      <w:r>
        <w:rPr>
          <w:rFonts w:hint="eastAsia"/>
          <w:b/>
        </w:rPr>
        <w:t>第九条</w:t>
      </w:r>
      <w:r>
        <w:rPr>
          <w:rFonts w:hint="eastAsia"/>
        </w:rPr>
        <w:t xml:space="preserve">  血站可以按照国家和本市有关规定开展献血者招募工作，对符合条件、有献血意愿的个人登记相关信息，建立稀有血型和常规血型献血者信息数据库。</w:t>
      </w:r>
    </w:p>
    <w:p w14:paraId="46A5A1A5">
      <w:r>
        <w:rPr>
          <w:rFonts w:hint="eastAsia"/>
        </w:rPr>
        <w:t>血站应当根据献血者提出的献血时间等意向或者临床用血需要动员组织其献血。</w:t>
      </w:r>
    </w:p>
    <w:p w14:paraId="1B1853C3">
      <w:pPr>
        <w:ind w:firstLine="422"/>
      </w:pPr>
      <w:r>
        <w:rPr>
          <w:rFonts w:hint="eastAsia"/>
          <w:b/>
        </w:rPr>
        <w:t>第十条</w:t>
      </w:r>
      <w:r>
        <w:rPr>
          <w:rFonts w:hint="eastAsia"/>
        </w:rPr>
        <w:t xml:space="preserve">  本市根据血站库存血液数量和临床用血需要等情况制定临床用血保障预案。</w:t>
      </w:r>
    </w:p>
    <w:p w14:paraId="2A021FF3">
      <w:r>
        <w:rPr>
          <w:rFonts w:hint="eastAsia"/>
        </w:rPr>
        <w:t>在出现血液短缺或者发生应急用血时，按照保障预案的规定采取分级响应措施，保障用血需要。</w:t>
      </w:r>
    </w:p>
    <w:p w14:paraId="48F9FC63">
      <w:r>
        <w:rPr>
          <w:rFonts w:hint="eastAsia"/>
        </w:rPr>
        <w:t>市和区县献血工作机构、乡镇人民政府、街道办事处应当根据临床用血保障预案的规定做好本辖区内献血的组织、动员、协调等工作。</w:t>
      </w:r>
    </w:p>
    <w:p w14:paraId="022FE17C">
      <w:pPr>
        <w:ind w:firstLine="422"/>
      </w:pPr>
      <w:r>
        <w:rPr>
          <w:rFonts w:hint="eastAsia"/>
          <w:b/>
        </w:rPr>
        <w:t>第十一条</w:t>
      </w:r>
      <w:r>
        <w:rPr>
          <w:rFonts w:hint="eastAsia"/>
        </w:rPr>
        <w:t xml:space="preserve">  本市行政区域内的国家机关、部队、社会团体、企业事业组织、居民委员会、村民委员会，应当按照《中华人民共和国献血法》和本市有关规定，动员组织本单位或者本居住区的适龄人员参加献血。</w:t>
      </w:r>
    </w:p>
    <w:p w14:paraId="3FA75D61">
      <w:pPr>
        <w:ind w:firstLine="422"/>
      </w:pPr>
      <w:r>
        <w:rPr>
          <w:rFonts w:hint="eastAsia"/>
          <w:b/>
        </w:rPr>
        <w:t>第十二条</w:t>
      </w:r>
      <w:r>
        <w:rPr>
          <w:rFonts w:hint="eastAsia"/>
        </w:rPr>
        <w:t xml:space="preserve">  血站采集血液应当严格执行有关采血操作规程和制度，并遵守下列规定：</w:t>
      </w:r>
    </w:p>
    <w:p w14:paraId="7210EF11">
      <w:r>
        <w:rPr>
          <w:rFonts w:hint="eastAsia"/>
        </w:rPr>
        <w:t>（一）在采血前按照国务院卫生行政管理部门制定的献血者健康检查标准为献血者进行免费健康检查；对身体状况不符合献血条件的献血者，向其说明情况，不得采集血液。</w:t>
      </w:r>
    </w:p>
    <w:p w14:paraId="5560679D">
      <w:r>
        <w:rPr>
          <w:rFonts w:hint="eastAsia"/>
        </w:rPr>
        <w:t>（二）对献血者每次采集血液量一般为二百毫升，最多不得超过四百毫升；在采血前告知献血者采血量，并征得其同意，禁止超量采血。</w:t>
      </w:r>
    </w:p>
    <w:p w14:paraId="52E4969F">
      <w:r>
        <w:rPr>
          <w:rFonts w:hint="eastAsia"/>
        </w:rPr>
        <w:t>（三）对献血者两次采血间隔期不少于</w:t>
      </w:r>
      <w:r>
        <w:rPr>
          <w:rFonts w:hint="eastAsia" w:ascii="宋体" w:hAnsi="宋体" w:eastAsia="宋体" w:cs="宋体"/>
        </w:rPr>
        <w:t>6个月，采集机采血小板间隔期不少于28</w:t>
      </w:r>
      <w:r>
        <w:rPr>
          <w:rFonts w:hint="eastAsia"/>
        </w:rPr>
        <w:t>天，禁止频繁采血。</w:t>
      </w:r>
    </w:p>
    <w:p w14:paraId="1C7CEA48">
      <w:r>
        <w:rPr>
          <w:rFonts w:hint="eastAsia"/>
        </w:rPr>
        <w:t>（四）接待献血者礼貌、热情、周到、耐心，向献血者提供必要的食品、饮品，为献血者提供安全、卫生的献血环境和便利条件。</w:t>
      </w:r>
    </w:p>
    <w:p w14:paraId="5A8985CD">
      <w:r>
        <w:rPr>
          <w:rFonts w:hint="eastAsia"/>
        </w:rPr>
        <w:t>（五）建立献血者信息保密制度，对献血者个人信息予以保密。</w:t>
      </w:r>
    </w:p>
    <w:p w14:paraId="4F48C04E">
      <w:r>
        <w:rPr>
          <w:rFonts w:hint="eastAsia"/>
        </w:rPr>
        <w:t>血站违反前款规定的，有关个人和单位可以向卫生行政管理部门投诉。卫生行政管理部门应当及时调查处理，并将处理结果向投诉者反馈。</w:t>
      </w:r>
    </w:p>
    <w:p w14:paraId="75A2F260">
      <w:pPr>
        <w:ind w:firstLine="422"/>
      </w:pPr>
      <w:r>
        <w:rPr>
          <w:rFonts w:hint="eastAsia"/>
          <w:b/>
        </w:rPr>
        <w:t>第十三条</w:t>
      </w:r>
      <w:r>
        <w:rPr>
          <w:rFonts w:hint="eastAsia"/>
        </w:rPr>
        <w:t xml:space="preserve">  卫生行政管理部门应当建立健全临床用血制度和技术规范，指导、监督医疗机构科学、合理用血。</w:t>
      </w:r>
    </w:p>
    <w:p w14:paraId="221CD119">
      <w:r>
        <w:rPr>
          <w:rFonts w:hint="eastAsia"/>
        </w:rPr>
        <w:t>医疗机构临床用血应当遵照科学、合理的原则制定用血计划，不得浪费、滥用血液。</w:t>
      </w:r>
    </w:p>
    <w:p w14:paraId="37130B5E">
      <w:pPr>
        <w:ind w:firstLine="422"/>
      </w:pPr>
      <w:r>
        <w:rPr>
          <w:rFonts w:hint="eastAsia"/>
          <w:b/>
        </w:rPr>
        <w:t>第十四条</w:t>
      </w:r>
      <w:r>
        <w:rPr>
          <w:rFonts w:hint="eastAsia"/>
        </w:rPr>
        <w:t xml:space="preserve">  鼓励个人和单位通过捐赠、志愿服务等形式支持、参与献血公益活动。</w:t>
      </w:r>
    </w:p>
    <w:p w14:paraId="42D21070">
      <w:r>
        <w:rPr>
          <w:rFonts w:hint="eastAsia"/>
        </w:rPr>
        <w:t>向献血公益事业捐赠财产，可以依照国家有关规定享受税收优惠。</w:t>
      </w:r>
    </w:p>
    <w:p w14:paraId="1FF76133">
      <w:r>
        <w:rPr>
          <w:rFonts w:hint="eastAsia"/>
        </w:rPr>
        <w:t>参加献血志愿服务的个人可以依照有关规定享受志愿者权益。</w:t>
      </w:r>
    </w:p>
    <w:p w14:paraId="75F90D44">
      <w:pPr>
        <w:ind w:firstLine="422"/>
      </w:pPr>
      <w:r>
        <w:rPr>
          <w:rFonts w:hint="eastAsia"/>
          <w:b/>
        </w:rPr>
        <w:t>第十五条</w:t>
      </w:r>
      <w:r>
        <w:rPr>
          <w:rFonts w:hint="eastAsia"/>
        </w:rPr>
        <w:t xml:space="preserve">  市和区、县献血工作机构负责本辖区内献血工作的组织、协调、宣传、教育等工作。</w:t>
      </w:r>
    </w:p>
    <w:p w14:paraId="7C26085F">
      <w:r>
        <w:rPr>
          <w:rFonts w:hint="eastAsia"/>
        </w:rPr>
        <w:t>市和区、县卫生行政管理部门负责本辖区内献血工作的监督管理。</w:t>
      </w:r>
    </w:p>
    <w:p w14:paraId="4498E327">
      <w:pPr>
        <w:ind w:firstLine="422"/>
      </w:pPr>
      <w:r>
        <w:rPr>
          <w:rFonts w:hint="eastAsia"/>
          <w:b/>
        </w:rPr>
        <w:t>第十六条</w:t>
      </w:r>
      <w:r>
        <w:rPr>
          <w:rFonts w:hint="eastAsia"/>
        </w:rPr>
        <w:t xml:space="preserve">  各级红十字会依法参与、推动献血工作，协助政府及其有关部门开展献血宣传、教育、组织等工作。</w:t>
      </w:r>
    </w:p>
    <w:p w14:paraId="39DEDE1F">
      <w:pPr>
        <w:ind w:firstLine="422"/>
      </w:pPr>
      <w:r>
        <w:rPr>
          <w:rFonts w:hint="eastAsia"/>
          <w:b/>
        </w:rPr>
        <w:t>第十七条</w:t>
      </w:r>
      <w:r>
        <w:rPr>
          <w:rFonts w:hint="eastAsia"/>
        </w:rPr>
        <w:t xml:space="preserve">  新闻媒体和网站应当通过多种形式开展献血公益宣传，配合政府及其有关部门做好献血法律和血液科学知识的宣传普及工作。</w:t>
      </w:r>
    </w:p>
    <w:p w14:paraId="70BC45E7">
      <w:r>
        <w:rPr>
          <w:rFonts w:hint="eastAsia"/>
        </w:rPr>
        <w:t>国家机关、部队、社会团体、企业事业组织、居民委员会、村民委员会应当开展献血法律、法规和血液科学知识的宣传教育工作。</w:t>
      </w:r>
    </w:p>
    <w:p w14:paraId="67948011">
      <w:pPr>
        <w:ind w:firstLine="422"/>
      </w:pPr>
      <w:r>
        <w:rPr>
          <w:rFonts w:hint="eastAsia"/>
          <w:b/>
        </w:rPr>
        <w:t>第十八条</w:t>
      </w:r>
      <w:r>
        <w:rPr>
          <w:rFonts w:hint="eastAsia"/>
        </w:rPr>
        <w:t xml:space="preserve">  本市将献血工作列入精神文明建设活动内容，通过创建文明单位、文明社区等方式推动献血公益事业。</w:t>
      </w:r>
    </w:p>
    <w:p w14:paraId="077229AF">
      <w:pPr>
        <w:ind w:firstLine="422"/>
      </w:pPr>
      <w:r>
        <w:rPr>
          <w:rFonts w:hint="eastAsia"/>
          <w:b/>
        </w:rPr>
        <w:t>第十九条</w:t>
      </w:r>
      <w:r>
        <w:rPr>
          <w:rFonts w:hint="eastAsia"/>
        </w:rPr>
        <w:t xml:space="preserve">  市和区县人民政府及其卫生行政管理部门、红十字会按照国家和本市有关规定，对积极献血或者在献血工作中做出显著成绩的个人和单位给予奖励。</w:t>
      </w:r>
    </w:p>
    <w:p w14:paraId="0C7A390D">
      <w:pPr>
        <w:ind w:firstLine="422"/>
      </w:pPr>
      <w:r>
        <w:rPr>
          <w:rFonts w:hint="eastAsia"/>
          <w:b/>
        </w:rPr>
        <w:t>第二十条</w:t>
      </w:r>
      <w:r>
        <w:rPr>
          <w:rFonts w:hint="eastAsia"/>
        </w:rPr>
        <w:t xml:space="preserve">  血站及其工作人员违反《中华人民共和国献血法》和本办法第十二条第一款第（一）项、第（二）项、第（三）项规定，违反有关操作规程和制度采集血液的，由市或者区、县卫生行政管理部门责令改正；给献血者健康造成损害的，应当依法赔偿，对直接负责的主管人员和其他直接责任人员依法给予行政处分；构成犯罪的，依法追究刑事责任。</w:t>
      </w:r>
    </w:p>
    <w:p w14:paraId="796E71B0">
      <w:pPr>
        <w:ind w:firstLine="422"/>
      </w:pPr>
      <w:r>
        <w:rPr>
          <w:rFonts w:hint="eastAsia"/>
          <w:b/>
        </w:rPr>
        <w:t>第二十一条</w:t>
      </w:r>
      <w:r>
        <w:rPr>
          <w:rFonts w:hint="eastAsia"/>
        </w:rPr>
        <w:t xml:space="preserve">  市和区县献血工作机构、卫生行政管理部门和其他管理部门及其工作人员未按照国家和本市有关规定履行献血管理职责的，由其上级机关责令改正，对直接负责的主管人员和其他直接责任人员依法给予行政处分。</w:t>
      </w:r>
    </w:p>
    <w:p w14:paraId="183C612A">
      <w:pPr>
        <w:ind w:firstLine="422"/>
      </w:pPr>
      <w:r>
        <w:rPr>
          <w:rFonts w:hint="eastAsia"/>
          <w:b/>
        </w:rPr>
        <w:t>第二十二条</w:t>
      </w:r>
      <w:r>
        <w:rPr>
          <w:rFonts w:hint="eastAsia"/>
        </w:rPr>
        <w:t xml:space="preserve">  本办法施行以前已经在本市参加献血的，本人及其配偶、直系亲属在本办法施行以后临床用血的，按照本办法第三条的规定享受用血优惠。</w:t>
      </w:r>
    </w:p>
    <w:p w14:paraId="4B529C66">
      <w:pPr>
        <w:ind w:firstLine="422"/>
      </w:pPr>
      <w:r>
        <w:rPr>
          <w:rFonts w:hint="eastAsia"/>
          <w:b/>
        </w:rPr>
        <w:t>第二十三条</w:t>
      </w:r>
      <w:r>
        <w:rPr>
          <w:rFonts w:hint="eastAsia"/>
        </w:rPr>
        <w:t xml:space="preserve">  本办法自</w:t>
      </w:r>
      <w:r>
        <w:rPr>
          <w:rFonts w:hint="eastAsia" w:ascii="宋体" w:hAnsi="宋体" w:eastAsia="宋体" w:cs="宋体"/>
        </w:rPr>
        <w:t>2009年11月1日起施行。1998年9月30日北京市人民政府第15号令发布的《北京市无偿献血者及其配偶和直系亲属医疗用血管理办法》，1999年11月10日北京市人民政府第45号令发布的《</w:t>
      </w:r>
      <w:r>
        <w:rPr>
          <w:rFonts w:hint="eastAsia"/>
        </w:rPr>
        <w:t>北京市公民献血用血管理办法》同时废止。</w:t>
      </w:r>
    </w:p>
    <w:p w14:paraId="247BC621">
      <w:pPr>
        <w:pStyle w:val="4"/>
        <w:pageBreakBefore/>
      </w:pPr>
      <w:bookmarkStart w:id="2445" w:name="_Toc428780693"/>
      <w:bookmarkStart w:id="2446" w:name="_Toc428781879"/>
      <w:bookmarkStart w:id="2447" w:name="_Toc426467131"/>
      <w:r>
        <w:rPr>
          <w:rFonts w:hint="eastAsia"/>
        </w:rPr>
        <w:t>北京市集中空调通风系统卫生管理办法</w:t>
      </w:r>
      <w:bookmarkEnd w:id="2445"/>
      <w:bookmarkEnd w:id="2446"/>
      <w:bookmarkEnd w:id="2447"/>
    </w:p>
    <w:p w14:paraId="3E5D206B">
      <w:pPr>
        <w:ind w:left="630" w:leftChars="300" w:right="630" w:rightChars="300"/>
        <w:rPr>
          <w:rFonts w:ascii="楷体" w:hAnsi="楷体" w:eastAsia="楷体"/>
        </w:rPr>
      </w:pPr>
      <w:r>
        <w:rPr>
          <w:rFonts w:hint="eastAsia" w:ascii="楷体" w:hAnsi="楷体" w:eastAsia="楷体"/>
        </w:rPr>
        <w:t>（2010年10月19日市人民政府第75次常务会议审议通过　2010年11月27日北京市人民政府第224号令公布）</w:t>
      </w:r>
    </w:p>
    <w:p w14:paraId="1005ED07"/>
    <w:p w14:paraId="0F6B6781">
      <w:pPr>
        <w:ind w:firstLine="422"/>
      </w:pPr>
      <w:r>
        <w:rPr>
          <w:rFonts w:hint="eastAsia"/>
          <w:b/>
        </w:rPr>
        <w:t>第一条</w:t>
      </w:r>
      <w:r>
        <w:rPr>
          <w:rFonts w:hint="eastAsia"/>
        </w:rPr>
        <w:t xml:space="preserve">  为了加强集中空调通风系统卫生管理，预防和控制空气传播性疾病传播，保障公众身体健康，根据有关法律、法规，结合本市实际情况，制定本办法。</w:t>
      </w:r>
    </w:p>
    <w:p w14:paraId="4302151B">
      <w:pPr>
        <w:ind w:firstLine="422"/>
      </w:pPr>
      <w:r>
        <w:rPr>
          <w:rFonts w:hint="eastAsia"/>
          <w:b/>
        </w:rPr>
        <w:t>第二条</w:t>
      </w:r>
      <w:r>
        <w:rPr>
          <w:rFonts w:hint="eastAsia"/>
        </w:rPr>
        <w:t xml:space="preserve">  本办法适用于本市行政区域内下列公共建筑和居住建筑集中空调通风系统的卫生管理：</w:t>
      </w:r>
    </w:p>
    <w:p w14:paraId="36786E47">
      <w:bookmarkStart w:id="2448" w:name="_Toc428780694"/>
      <w:r>
        <w:rPr>
          <w:rFonts w:hint="eastAsia"/>
        </w:rPr>
        <w:t>（一）宾馆、饭店、商场、公寓式酒店等商业建筑；</w:t>
      </w:r>
      <w:bookmarkEnd w:id="2448"/>
    </w:p>
    <w:p w14:paraId="4BA98C5A">
      <w:r>
        <w:rPr>
          <w:rFonts w:hint="eastAsia"/>
        </w:rPr>
        <w:t>（二）行政办公楼、商务写字楼等办公建筑；</w:t>
      </w:r>
    </w:p>
    <w:p w14:paraId="547A38AB">
      <w:r>
        <w:rPr>
          <w:rFonts w:hint="eastAsia"/>
        </w:rPr>
        <w:t>（三）博物馆、图书馆、美术馆、音乐厅、影剧院、游艺厅、歌舞厅等文化娱乐建筑；</w:t>
      </w:r>
    </w:p>
    <w:p w14:paraId="1FD844FA">
      <w:bookmarkStart w:id="2449" w:name="_Toc428780695"/>
      <w:r>
        <w:rPr>
          <w:rFonts w:hint="eastAsia"/>
        </w:rPr>
        <w:t>（四）机场、火车站、长途客运站等交通建筑；</w:t>
      </w:r>
      <w:bookmarkEnd w:id="2449"/>
    </w:p>
    <w:p w14:paraId="3CBA6298">
      <w:r>
        <w:rPr>
          <w:rFonts w:hint="eastAsia"/>
        </w:rPr>
        <w:t>（五）医疗机构、学校、体育馆和其他用于社会公共活动的公共建筑；</w:t>
      </w:r>
    </w:p>
    <w:p w14:paraId="1CC5A289">
      <w:r>
        <w:rPr>
          <w:rFonts w:hint="eastAsia"/>
        </w:rPr>
        <w:t>（六）住宅、公寓等居住建筑。</w:t>
      </w:r>
    </w:p>
    <w:p w14:paraId="1BAB1711">
      <w:r>
        <w:rPr>
          <w:rFonts w:hint="eastAsia"/>
        </w:rPr>
        <w:t>国家对国境口岸、军事设施等使用的集中空调通风系统卫生管理另有规定的，从其规定。</w:t>
      </w:r>
    </w:p>
    <w:p w14:paraId="32664D13">
      <w:r>
        <w:rPr>
          <w:rFonts w:hint="eastAsia"/>
        </w:rPr>
        <w:t>本办法所称集中空调通风系统包括输送、处理空气的通风管、通风口、空气处理机组、风机盘管，处理冷却水的开放式冷却塔等设备设施。</w:t>
      </w:r>
    </w:p>
    <w:p w14:paraId="53D2E49E">
      <w:pPr>
        <w:ind w:firstLine="422"/>
      </w:pPr>
      <w:r>
        <w:rPr>
          <w:rFonts w:hint="eastAsia"/>
          <w:b/>
        </w:rPr>
        <w:t>第三条</w:t>
      </w:r>
      <w:r>
        <w:rPr>
          <w:rFonts w:hint="eastAsia"/>
        </w:rPr>
        <w:t xml:space="preserve">  集中空调通风系统的卫生维护管理由所有权人负责。所有权人应当指定专业人员负责集中空调通风系统日常卫生维护管理，建立健全日常清洗维护、定期检测、安全隐患排查等管理制度和突发公共卫生事件应急处理预案，确保集中空调通风系统卫生质量符合集中空调通风系统卫生管理标准。</w:t>
      </w:r>
    </w:p>
    <w:p w14:paraId="72315A53">
      <w:r>
        <w:rPr>
          <w:rFonts w:hint="eastAsia"/>
        </w:rPr>
        <w:t>所有权人可以委托专业管理单位对集中空调通风系统进行日常卫生维护管理。所有权人委托专业管理单位进行维护管理的，应当签订协议，明确双方权利和义务，并督促专业管理单位落实卫生维护管理职责。</w:t>
      </w:r>
    </w:p>
    <w:p w14:paraId="780A4318">
      <w:pPr>
        <w:ind w:firstLine="422"/>
      </w:pPr>
      <w:r>
        <w:rPr>
          <w:rFonts w:hint="eastAsia"/>
          <w:b/>
        </w:rPr>
        <w:t>第四条</w:t>
      </w:r>
      <w:r>
        <w:rPr>
          <w:rFonts w:hint="eastAsia"/>
        </w:rPr>
        <w:t xml:space="preserve">  集中空调通风系统的所有权人或者其委托的专业管理单位（以下统称管理责任人）应当建立集中空调通风系统的卫生维护管理档案。卫生维护管理档案应当包括下列内容：</w:t>
      </w:r>
    </w:p>
    <w:p w14:paraId="0A5DC21B">
      <w:bookmarkStart w:id="2450" w:name="_Toc428780696"/>
      <w:r>
        <w:rPr>
          <w:rFonts w:hint="eastAsia"/>
        </w:rPr>
        <w:t>（一）集中空调通风系统的竣工图、设计说明书等相关资料；</w:t>
      </w:r>
      <w:bookmarkEnd w:id="2450"/>
    </w:p>
    <w:p w14:paraId="3F97A2E6">
      <w:r>
        <w:rPr>
          <w:rFonts w:hint="eastAsia"/>
        </w:rPr>
        <w:t>（二）专业维护管理人员的基本情况；</w:t>
      </w:r>
    </w:p>
    <w:p w14:paraId="5256A0B9">
      <w:bookmarkStart w:id="2451" w:name="_Toc428780697"/>
      <w:r>
        <w:rPr>
          <w:rFonts w:hint="eastAsia"/>
        </w:rPr>
        <w:t>（三）集中空调通风系统日常卫生检查、检测、清洗维护记录；</w:t>
      </w:r>
      <w:bookmarkEnd w:id="2451"/>
    </w:p>
    <w:p w14:paraId="4E40D0A3">
      <w:r>
        <w:rPr>
          <w:rFonts w:hint="eastAsia"/>
        </w:rPr>
        <w:t>（四）市卫生行政部门规定的其他资料。</w:t>
      </w:r>
    </w:p>
    <w:p w14:paraId="6EBEC5B0">
      <w:pPr>
        <w:ind w:firstLine="422"/>
      </w:pPr>
      <w:r>
        <w:rPr>
          <w:rFonts w:hint="eastAsia"/>
          <w:b/>
        </w:rPr>
        <w:t>第五条</w:t>
      </w:r>
      <w:r>
        <w:rPr>
          <w:rFonts w:hint="eastAsia"/>
        </w:rPr>
        <w:t xml:space="preserve">  集中空调通风系统运行期间，管理责任人应当对开放式冷却塔的冷却水进行持续消毒，并按照集中空调通风系统卫生管理标准进行检测。冷却水中检出嗜肺军团菌等致病微生物，管理责任人应当及时报告所在区、县卫生行政部门，并按照有关规定采取防控措施。</w:t>
      </w:r>
    </w:p>
    <w:p w14:paraId="7C2C7AE2">
      <w:r>
        <w:rPr>
          <w:rFonts w:hint="eastAsia"/>
        </w:rPr>
        <w:t>集中空调通风系统初次启用或者停用一定时间后再次使用的，管理责任人应当按照集中空调通风系统卫生管理标准对开放式冷却塔进行全面清洗消毒。</w:t>
      </w:r>
    </w:p>
    <w:p w14:paraId="12D14168">
      <w:pPr>
        <w:ind w:firstLine="422"/>
      </w:pPr>
      <w:r>
        <w:rPr>
          <w:rFonts w:hint="eastAsia"/>
          <w:b/>
        </w:rPr>
        <w:t>第六条</w:t>
      </w:r>
      <w:r>
        <w:rPr>
          <w:rFonts w:hint="eastAsia"/>
        </w:rPr>
        <w:t xml:space="preserve">  管理责任人应当指定专人负责管理集中空调通风系统机房，确保机房内清洁干燥，不得在机房内存放与集中空调通风系统运行无关的物品。</w:t>
      </w:r>
    </w:p>
    <w:p w14:paraId="7C5521F3">
      <w:pPr>
        <w:ind w:firstLine="422"/>
      </w:pPr>
      <w:r>
        <w:rPr>
          <w:rFonts w:hint="eastAsia"/>
          <w:b/>
        </w:rPr>
        <w:t>第七条</w:t>
      </w:r>
      <w:r>
        <w:rPr>
          <w:rFonts w:hint="eastAsia"/>
        </w:rPr>
        <w:t xml:space="preserve">  管理责任人应当及时对机组、过滤网、通风管、通风口、风机盘管等设备设施的卫生状况进行检查，清除粘附积尘、污物、铁锈、菌斑等污染物，集中收集、排放冷凝水。</w:t>
      </w:r>
    </w:p>
    <w:p w14:paraId="22E79917">
      <w:pPr>
        <w:ind w:firstLine="422"/>
      </w:pPr>
      <w:r>
        <w:rPr>
          <w:rFonts w:hint="eastAsia"/>
          <w:b/>
        </w:rPr>
        <w:t>第八条</w:t>
      </w:r>
      <w:r>
        <w:rPr>
          <w:rFonts w:hint="eastAsia"/>
        </w:rPr>
        <w:t xml:space="preserve">  管理责任人发现建筑物内存在有毒有害气体、粉尘等，可能通过集中空调通风系统扩散的，应当采取关闭通风口等措施，防止通过集中空调通风系统对其他区域造成污染。</w:t>
      </w:r>
    </w:p>
    <w:p w14:paraId="79A34A0C">
      <w:pPr>
        <w:ind w:firstLine="422"/>
      </w:pPr>
      <w:r>
        <w:rPr>
          <w:rFonts w:hint="eastAsia"/>
          <w:b/>
        </w:rPr>
        <w:t>第九条</w:t>
      </w:r>
      <w:r>
        <w:rPr>
          <w:rFonts w:hint="eastAsia"/>
        </w:rPr>
        <w:t xml:space="preserve">  管理责任人应当按照集中空调通风系统卫生管理标准委托具有相应资质的检测机构对集中空调通风系统进行检测，根据检测结果采取相应的卫生处理措施。经检测，集中空调通风系统不符合集中空调通风系统卫生管理标准的，管理责任人应当按照集中空调通风系统清洗规范自行清洗或者委托专业清洗服务机构清洗。</w:t>
      </w:r>
    </w:p>
    <w:p w14:paraId="2F14D3BD">
      <w:r>
        <w:rPr>
          <w:rFonts w:hint="eastAsia"/>
        </w:rPr>
        <w:t>委托清洗的，管理责任人可以委托具有相应资质的检测机构对清洗后的集中空调通风系统进行检测。</w:t>
      </w:r>
    </w:p>
    <w:p w14:paraId="676F3AEE">
      <w:pPr>
        <w:ind w:firstLine="422"/>
      </w:pPr>
      <w:r>
        <w:rPr>
          <w:rFonts w:hint="eastAsia"/>
          <w:b/>
        </w:rPr>
        <w:t>第十条</w:t>
      </w:r>
      <w:r>
        <w:rPr>
          <w:rFonts w:hint="eastAsia"/>
        </w:rPr>
        <w:t xml:space="preserve">  新建、改建、扩建集中空调通风系统的，建设单位应当委托具有相应资质的设计单位进行设计，并使用符合产品质量规定的集中空调通风系统设备设施。</w:t>
      </w:r>
    </w:p>
    <w:p w14:paraId="02AA993C">
      <w:r>
        <w:rPr>
          <w:rFonts w:hint="eastAsia"/>
        </w:rPr>
        <w:t>设计单位应当按照集中空调通风系统卫生管理标准对集中空调通风系统进行设计，施工单位应当按照设计进行施工，确保集中空调通风系统设备设施的设置符合集中空调通风系统卫生管理标准。</w:t>
      </w:r>
    </w:p>
    <w:p w14:paraId="5987998E">
      <w:r>
        <w:rPr>
          <w:rFonts w:hint="eastAsia"/>
        </w:rPr>
        <w:t>集中空调通风系统新建、改建、扩建工程竣工后，建设单位应当对集中空调通风系统设备设施的设置组织竣工验收。</w:t>
      </w:r>
    </w:p>
    <w:p w14:paraId="106A6EF6">
      <w:pPr>
        <w:ind w:firstLine="422"/>
      </w:pPr>
      <w:r>
        <w:rPr>
          <w:rFonts w:hint="eastAsia"/>
          <w:b/>
        </w:rPr>
        <w:t>第十一条</w:t>
      </w:r>
      <w:r>
        <w:rPr>
          <w:rFonts w:hint="eastAsia"/>
        </w:rPr>
        <w:t xml:space="preserve">  管理责任人应当自集中空调通风系统建成并交付使用之日起</w:t>
      </w:r>
      <w:r>
        <w:rPr>
          <w:rFonts w:hint="eastAsia" w:ascii="宋体" w:hAnsi="宋体" w:eastAsia="宋体" w:cs="宋体"/>
        </w:rPr>
        <w:t>2</w:t>
      </w:r>
      <w:r>
        <w:rPr>
          <w:rFonts w:hint="eastAsia"/>
        </w:rPr>
        <w:t>个月内将集中空调通风系统投入使用情况报告所在区、县卫生行政部门。</w:t>
      </w:r>
    </w:p>
    <w:p w14:paraId="4525CE16">
      <w:pPr>
        <w:ind w:firstLine="422"/>
      </w:pPr>
      <w:r>
        <w:rPr>
          <w:rFonts w:hint="eastAsia"/>
          <w:b/>
        </w:rPr>
        <w:t>第十二条</w:t>
      </w:r>
      <w:r>
        <w:rPr>
          <w:rFonts w:hint="eastAsia"/>
        </w:rPr>
        <w:t xml:space="preserve">  市卫生行政部门主管本市集中空调通风系统卫生监督管理工作。</w:t>
      </w:r>
    </w:p>
    <w:p w14:paraId="5174D439">
      <w:r>
        <w:rPr>
          <w:rFonts w:hint="eastAsia"/>
        </w:rPr>
        <w:t>区、县人民政府领导本行政区域内的集中空调通风系统卫生管理工作。区、县卫生行政部门负责本行政区域内集中空调通风系统的日常监督管理工作。</w:t>
      </w:r>
    </w:p>
    <w:p w14:paraId="43C1CCAC">
      <w:r>
        <w:rPr>
          <w:rFonts w:hint="eastAsia"/>
        </w:rPr>
        <w:t>规划、住房和城乡建设、质量技术监督、旅游、商务、体育、交通、教育、文化等行政部门按照各自职责负责集中空调通风系统卫生管理的相关工作。</w:t>
      </w:r>
    </w:p>
    <w:p w14:paraId="43371910">
      <w:pPr>
        <w:ind w:firstLine="422"/>
      </w:pPr>
      <w:r>
        <w:rPr>
          <w:rFonts w:hint="eastAsia"/>
          <w:b/>
        </w:rPr>
        <w:t>第十三条</w:t>
      </w:r>
      <w:r>
        <w:rPr>
          <w:rFonts w:hint="eastAsia"/>
        </w:rPr>
        <w:t xml:space="preserve">  市卫生行政部门应当会同市质量技术监督行政部门组织制定本市集中空调通风系统卫生管理标准并向社会公布。</w:t>
      </w:r>
    </w:p>
    <w:p w14:paraId="3545A4EF">
      <w:pPr>
        <w:ind w:firstLine="422"/>
      </w:pPr>
      <w:r>
        <w:rPr>
          <w:rFonts w:hint="eastAsia"/>
          <w:b/>
        </w:rPr>
        <w:t>第十四条</w:t>
      </w:r>
      <w:r>
        <w:rPr>
          <w:rFonts w:hint="eastAsia"/>
        </w:rPr>
        <w:t>　卫生行政部门应当对本行政区域内的集中空调通风系统存在的卫生安全隐患进行监测、评估，根据使用集中空调通风系统场所的不同情况建立分类管理制度，开展日常巡查、重点抽查等工作，确保每年至少进行一次监督检查。</w:t>
      </w:r>
    </w:p>
    <w:p w14:paraId="01C3E43D">
      <w:r>
        <w:rPr>
          <w:rFonts w:hint="eastAsia"/>
        </w:rPr>
        <w:t>卫生行政部门对集中空调通风系统卫生状况进行监督检查时，有权查阅管理责任人的卫生管理档案等相关资料；发现集中空调通风系统滋生嗜肺军团菌等致病微生物，卫生行政部门有权责令管理责任人立即停止全部或者部分集中空调通风系统运行，采取必要的卫生防控措施，并按照相关规定向同级人民政府报告。</w:t>
      </w:r>
    </w:p>
    <w:p w14:paraId="0B346482">
      <w:pPr>
        <w:ind w:firstLine="422"/>
      </w:pPr>
      <w:r>
        <w:rPr>
          <w:rFonts w:hint="eastAsia"/>
          <w:b/>
        </w:rPr>
        <w:t>第十五条</w:t>
      </w:r>
      <w:r>
        <w:rPr>
          <w:rFonts w:hint="eastAsia"/>
        </w:rPr>
        <w:t>　传染病在本地暴发、流行期间，可能通过集中空调通风系统造成疾病传播的，区、县人民政府报经市人民政府决定，可以采取下列防控措施：</w:t>
      </w:r>
    </w:p>
    <w:p w14:paraId="01D61974">
      <w:bookmarkStart w:id="2452" w:name="_Toc428780698"/>
      <w:r>
        <w:rPr>
          <w:rFonts w:hint="eastAsia"/>
        </w:rPr>
        <w:t>（一）暂停全部或者部分集中空调通风系统运行；</w:t>
      </w:r>
      <w:bookmarkEnd w:id="2452"/>
    </w:p>
    <w:p w14:paraId="5A4BB262">
      <w:r>
        <w:rPr>
          <w:rFonts w:hint="eastAsia"/>
        </w:rPr>
        <w:t>（二）组织专业技术机构对集中空调通风系统及建筑内相关区域进行强制清洗消毒；</w:t>
      </w:r>
    </w:p>
    <w:p w14:paraId="6C5C8C45">
      <w:bookmarkStart w:id="2453" w:name="_Toc428780699"/>
      <w:r>
        <w:rPr>
          <w:rFonts w:hint="eastAsia"/>
        </w:rPr>
        <w:t>（三）限制相关场所内开展人群聚集性活动，限制人员出入相关场所；</w:t>
      </w:r>
      <w:bookmarkEnd w:id="2453"/>
    </w:p>
    <w:p w14:paraId="7AC68EA8">
      <w:r>
        <w:rPr>
          <w:rFonts w:hint="eastAsia"/>
        </w:rPr>
        <w:t>（四）封闭疾病传播的相关场所；</w:t>
      </w:r>
    </w:p>
    <w:p w14:paraId="754B1E8E">
      <w:r>
        <w:rPr>
          <w:rFonts w:hint="eastAsia"/>
        </w:rPr>
        <w:t>（五）法律、法规、规章规定的其他防控措施。</w:t>
      </w:r>
    </w:p>
    <w:p w14:paraId="73ED4315">
      <w:pPr>
        <w:ind w:firstLine="422"/>
      </w:pPr>
      <w:r>
        <w:rPr>
          <w:rFonts w:hint="eastAsia"/>
          <w:b/>
        </w:rPr>
        <w:t>第十六条</w:t>
      </w:r>
      <w:r>
        <w:rPr>
          <w:rFonts w:hint="eastAsia"/>
        </w:rPr>
        <w:t>　卫生、司法行政等有关行政部门应当开展集中空调通风系统卫生知识和有关法律、法规、规章的宣传教育，营造促进社会单位、个人主动加强集中空调通风系统卫生管理的良好环境。</w:t>
      </w:r>
    </w:p>
    <w:p w14:paraId="0664C8B4">
      <w:r>
        <w:rPr>
          <w:rFonts w:hint="eastAsia"/>
        </w:rPr>
        <w:t>新闻、出版、广播、电视等单位应当加强对集中空调通风系统卫生知识和有关法律、法规、规章的宣传，提高全社会防控集中空调通风系统公共卫生事件的安全意识。</w:t>
      </w:r>
    </w:p>
    <w:p w14:paraId="299E761B">
      <w:pPr>
        <w:ind w:firstLine="422"/>
      </w:pPr>
      <w:r>
        <w:rPr>
          <w:rFonts w:hint="eastAsia"/>
          <w:b/>
        </w:rPr>
        <w:t>第十七条</w:t>
      </w:r>
      <w:r>
        <w:rPr>
          <w:rFonts w:hint="eastAsia"/>
        </w:rPr>
        <w:t>　任何单位和个人发现管理责任人有违反集中空调通风系统卫生管理规定的行为，或者发现集中空调通风系统存在卫生安全隐患的，可以向卫生行政部门举报，卫生行政部门应当及时组织调查并依法处理。</w:t>
      </w:r>
    </w:p>
    <w:p w14:paraId="0CCBF006">
      <w:pPr>
        <w:ind w:firstLine="422"/>
      </w:pPr>
      <w:r>
        <w:rPr>
          <w:rFonts w:hint="eastAsia"/>
          <w:b/>
        </w:rPr>
        <w:t>第十八条</w:t>
      </w:r>
      <w:r>
        <w:rPr>
          <w:rFonts w:hint="eastAsia"/>
        </w:rPr>
        <w:t>　卫生行政部门及其工作人员应当恪尽职守，做好集中空调通风系统卫生管理工作；有玩忽职守、滥用职权、徇私舞弊行为的，由其上级主管部门或者监察机关责令改正，对直接负责的主管人员和其他直接责任人员给予行政处分；构成犯罪的，依法追究刑事责任。</w:t>
      </w:r>
    </w:p>
    <w:p w14:paraId="584A0207">
      <w:pPr>
        <w:ind w:firstLine="422"/>
        <w:rPr>
          <w:rFonts w:hint="eastAsia" w:ascii="宋体" w:hAnsi="宋体" w:eastAsia="宋体" w:cs="宋体"/>
        </w:rPr>
      </w:pPr>
      <w:r>
        <w:rPr>
          <w:rFonts w:hint="eastAsia"/>
          <w:b/>
        </w:rPr>
        <w:t>第十九条</w:t>
      </w:r>
      <w:r>
        <w:rPr>
          <w:rFonts w:hint="eastAsia"/>
        </w:rPr>
        <w:t>　管理责任人未按照本办法第四条规定建立集中空调通风系统卫生维护管理档案或者建立档案不符合规定的，由卫生行政部门责令改正</w:t>
      </w:r>
      <w:r>
        <w:rPr>
          <w:rFonts w:hint="eastAsia" w:ascii="宋体" w:hAnsi="宋体" w:eastAsia="宋体" w:cs="宋体"/>
        </w:rPr>
        <w:t>，并可处2000元以上5000元以下罚款。</w:t>
      </w:r>
    </w:p>
    <w:p w14:paraId="53BAA913">
      <w:r>
        <w:rPr>
          <w:rFonts w:hint="eastAsia"/>
        </w:rPr>
        <w:t>管理责任人未按照本办法第十一条规定将集中空调通风系统投入使用情况报告卫生行政部门的，由所在区、县卫生行政部门责令改正，并可</w:t>
      </w:r>
      <w:r>
        <w:rPr>
          <w:rFonts w:hint="eastAsia" w:ascii="宋体" w:hAnsi="宋体" w:eastAsia="宋体" w:cs="宋体"/>
        </w:rPr>
        <w:t>处2000元以上5000元以下罚</w:t>
      </w:r>
      <w:r>
        <w:rPr>
          <w:rFonts w:hint="eastAsia"/>
        </w:rPr>
        <w:t>款。</w:t>
      </w:r>
    </w:p>
    <w:p w14:paraId="5031DBCB">
      <w:pPr>
        <w:ind w:firstLine="422"/>
        <w:rPr>
          <w:rFonts w:hint="eastAsia" w:ascii="宋体" w:hAnsi="宋体" w:eastAsia="宋体" w:cs="宋体"/>
        </w:rPr>
      </w:pPr>
      <w:r>
        <w:rPr>
          <w:rFonts w:hint="eastAsia"/>
          <w:b/>
        </w:rPr>
        <w:t>第二十条</w:t>
      </w:r>
      <w:r>
        <w:rPr>
          <w:rFonts w:hint="eastAsia"/>
        </w:rPr>
        <w:t>　管理责任人未按照本办法第五条第一款规定对开放式冷却塔的冷却水进行消毒检测的，由卫生行政部门责令改正，并可处</w:t>
      </w:r>
      <w:r>
        <w:rPr>
          <w:rFonts w:hint="eastAsia" w:ascii="宋体" w:hAnsi="宋体" w:eastAsia="宋体" w:cs="宋体"/>
        </w:rPr>
        <w:t>1万元以上3万元以下罚款；检出嗜肺军团菌等致病微生物未及时报告卫生行政部门、未按照有关规定采取防控措施的，由卫生行政部门责令改正，并可处3万元以上5万元以下罚款。</w:t>
      </w:r>
    </w:p>
    <w:p w14:paraId="1CB40BA6">
      <w:pPr>
        <w:rPr>
          <w:rFonts w:hint="eastAsia" w:ascii="宋体" w:hAnsi="宋体" w:eastAsia="宋体" w:cs="宋体"/>
        </w:rPr>
      </w:pPr>
      <w:r>
        <w:rPr>
          <w:rFonts w:hint="eastAsia"/>
        </w:rPr>
        <w:t>管理责任人未按照本办法第七条、第九条第一款规定对机组、过滤网、通风管、通风口、风机盘管等设备设施进行检测、维护清洗的，由卫生行政部门责令改正，并</w:t>
      </w:r>
      <w:r>
        <w:rPr>
          <w:rFonts w:hint="eastAsia" w:ascii="宋体" w:hAnsi="宋体" w:eastAsia="宋体" w:cs="宋体"/>
        </w:rPr>
        <w:t>可处1万元以上3万元以下罚款；造成设备设施卫生状况不符合集中空调通风系统卫生管理标准的，由卫生行政部门责令改正，拒不改正的，处3万元以上5万元以下罚款。</w:t>
      </w:r>
    </w:p>
    <w:p w14:paraId="42E32824">
      <w:pPr>
        <w:ind w:firstLine="422"/>
      </w:pPr>
      <w:r>
        <w:rPr>
          <w:rFonts w:hint="eastAsia"/>
          <w:b/>
        </w:rPr>
        <w:t>第二十一条</w:t>
      </w:r>
      <w:r>
        <w:rPr>
          <w:rFonts w:hint="eastAsia"/>
        </w:rPr>
        <w:t>　管理责任人未按照本办法第八条规定采取关闭通风口等措施，造成有毒有害气体、粉尘通过集中空调通风系统对其他区域造成污染的，由卫生行政部门责令改正，并处</w:t>
      </w:r>
      <w:r>
        <w:rPr>
          <w:rFonts w:hint="eastAsia" w:ascii="宋体" w:hAnsi="宋体" w:eastAsia="宋体" w:cs="宋体"/>
        </w:rPr>
        <w:t>5000元以上1万元以下</w:t>
      </w:r>
      <w:r>
        <w:rPr>
          <w:rFonts w:hint="eastAsia"/>
        </w:rPr>
        <w:t>罚款。</w:t>
      </w:r>
    </w:p>
    <w:p w14:paraId="7B82879D">
      <w:pPr>
        <w:ind w:firstLine="422"/>
      </w:pPr>
      <w:r>
        <w:rPr>
          <w:rFonts w:hint="eastAsia"/>
          <w:b/>
        </w:rPr>
        <w:t>第二十二条</w:t>
      </w:r>
      <w:r>
        <w:rPr>
          <w:rFonts w:hint="eastAsia"/>
        </w:rPr>
        <w:t>　对违反本办法的行为，其他法律、法规、规章已经规定法律责任的，由有关部门依法处理。</w:t>
      </w:r>
    </w:p>
    <w:p w14:paraId="6C54FB50">
      <w:pPr>
        <w:ind w:firstLine="422"/>
      </w:pPr>
      <w:r>
        <w:rPr>
          <w:rFonts w:hint="eastAsia"/>
          <w:b/>
        </w:rPr>
        <w:t>第二十三条</w:t>
      </w:r>
      <w:r>
        <w:rPr>
          <w:rFonts w:hint="eastAsia"/>
        </w:rPr>
        <w:t>　本办法</w:t>
      </w:r>
      <w:r>
        <w:rPr>
          <w:rFonts w:hint="eastAsia" w:ascii="宋体" w:hAnsi="宋体" w:eastAsia="宋体" w:cs="宋体"/>
        </w:rPr>
        <w:t>自2011年4月1日</w:t>
      </w:r>
      <w:r>
        <w:rPr>
          <w:rFonts w:hint="eastAsia"/>
        </w:rPr>
        <w:t>起施行。</w:t>
      </w:r>
    </w:p>
    <w:p w14:paraId="3A89E75B">
      <w:pPr>
        <w:pStyle w:val="3"/>
        <w:pageBreakBefore/>
      </w:pPr>
      <w:bookmarkStart w:id="2454" w:name="_Toc428781880"/>
      <w:bookmarkStart w:id="2455" w:name="_Toc426467132"/>
      <w:bookmarkStart w:id="2456" w:name="_Toc428780700"/>
      <w:r>
        <w:rPr>
          <w:rFonts w:hint="eastAsia"/>
        </w:rPr>
        <w:t>（十一）食品安全</w:t>
      </w:r>
      <w:bookmarkEnd w:id="2454"/>
      <w:bookmarkEnd w:id="2455"/>
      <w:bookmarkEnd w:id="2456"/>
    </w:p>
    <w:p w14:paraId="178246C1"/>
    <w:p w14:paraId="4F3B2710">
      <w:pPr>
        <w:pStyle w:val="4"/>
      </w:pPr>
      <w:bookmarkStart w:id="2457" w:name="_Toc428781881"/>
      <w:bookmarkStart w:id="2458" w:name="_Toc428780701"/>
      <w:bookmarkStart w:id="2459" w:name="_Toc426467133"/>
      <w:r>
        <w:rPr>
          <w:rFonts w:hint="eastAsia"/>
        </w:rPr>
        <w:t>北京市食品安全条例</w:t>
      </w:r>
      <w:bookmarkEnd w:id="2457"/>
      <w:bookmarkEnd w:id="2458"/>
      <w:bookmarkEnd w:id="2459"/>
    </w:p>
    <w:p w14:paraId="50C2CAD6">
      <w:pPr>
        <w:ind w:left="630" w:leftChars="300" w:right="630" w:rightChars="300"/>
        <w:rPr>
          <w:rFonts w:ascii="楷体" w:hAnsi="楷体" w:eastAsia="楷体"/>
        </w:rPr>
      </w:pPr>
      <w:r>
        <w:rPr>
          <w:rFonts w:hint="eastAsia" w:ascii="楷体" w:hAnsi="楷体" w:eastAsia="楷体"/>
        </w:rPr>
        <w:t>（2007年11月30日北京市第十二届人民代表大会常务委员会第四十次会议通过　2012年12月27日北京市第十三届人民代表大会常务委员会第三十七次会议修订）</w:t>
      </w:r>
    </w:p>
    <w:p w14:paraId="3802E9DD"/>
    <w:p w14:paraId="294EB6FC">
      <w:pPr>
        <w:ind w:firstLine="0" w:firstLineChars="0"/>
        <w:jc w:val="center"/>
        <w:rPr>
          <w:b/>
          <w:sz w:val="28"/>
        </w:rPr>
      </w:pPr>
      <w:r>
        <w:rPr>
          <w:rFonts w:hint="eastAsia"/>
          <w:b/>
          <w:sz w:val="28"/>
        </w:rPr>
        <w:t>第一章　总　则</w:t>
      </w:r>
    </w:p>
    <w:p w14:paraId="55B02323"/>
    <w:p w14:paraId="5D2B96E4">
      <w:pPr>
        <w:ind w:firstLine="422"/>
      </w:pPr>
      <w:r>
        <w:rPr>
          <w:rFonts w:hint="eastAsia"/>
          <w:b/>
        </w:rPr>
        <w:t>第一条</w:t>
      </w:r>
      <w:r>
        <w:rPr>
          <w:rFonts w:hint="eastAsia"/>
        </w:rPr>
        <w:t xml:space="preserve">  为了保证本市食品安全，保障公众身体健康和生命安全，根据《中华人民共和国食品安全法》（以下简称食品安全法）、《中华人民共和国农产品质量安全法》（以下简称农产品质量安全法）等有关法律、行政法规，结合本市实际情况，制定本条例。</w:t>
      </w:r>
    </w:p>
    <w:p w14:paraId="03EF4C98">
      <w:pPr>
        <w:ind w:firstLine="422"/>
      </w:pPr>
      <w:r>
        <w:rPr>
          <w:rFonts w:hint="eastAsia"/>
          <w:b/>
        </w:rPr>
        <w:t>第二条</w:t>
      </w:r>
      <w:r>
        <w:rPr>
          <w:rFonts w:hint="eastAsia"/>
        </w:rPr>
        <w:t xml:space="preserve">  本条例适用于本市行政区域内的食品、食品添加剂、食品相关产品的生产经营、安全管理活动；食用农产品的质量安全管理依照农产品质量安全法和本条例有关规定执行。</w:t>
      </w:r>
    </w:p>
    <w:p w14:paraId="02A90AB6">
      <w:pPr>
        <w:ind w:firstLine="422"/>
      </w:pPr>
      <w:r>
        <w:rPr>
          <w:rFonts w:hint="eastAsia"/>
          <w:b/>
        </w:rPr>
        <w:t>第三条</w:t>
      </w:r>
      <w:r>
        <w:rPr>
          <w:rFonts w:hint="eastAsia"/>
        </w:rPr>
        <w:t xml:space="preserve">  本市食品安全工作以安全标准为基础，以市场准入为核心，以防控食品安全输入性风险和系统性风险为重点，落实企业主体责任，健全政府监管体制，严格责任追究；建设安全食品供应体系和食品安全保障体系，构建政府、企业、行业组织、社会公众、新闻媒体等共同参与的食品安全工作格局；实行产地要准出、销地要准入、质量可溯源、风险可控制的全过程管理。</w:t>
      </w:r>
    </w:p>
    <w:p w14:paraId="7F74219F">
      <w:pPr>
        <w:ind w:firstLine="422"/>
      </w:pPr>
      <w:r>
        <w:rPr>
          <w:rFonts w:hint="eastAsia"/>
          <w:b/>
        </w:rPr>
        <w:t>第四条</w:t>
      </w:r>
      <w:r>
        <w:rPr>
          <w:rFonts w:hint="eastAsia"/>
        </w:rPr>
        <w:t xml:space="preserve">  食品生产经营者应当依照法律、法规、规章以及食品安全标准从事生产经营活动，建立健全食品安全管理制度，采取有效措施，保证食品安全，接受社会监督，承担社会责任。</w:t>
      </w:r>
    </w:p>
    <w:p w14:paraId="09E31CDD">
      <w:pPr>
        <w:ind w:firstLine="422"/>
      </w:pPr>
      <w:r>
        <w:rPr>
          <w:rFonts w:hint="eastAsia"/>
          <w:b/>
        </w:rPr>
        <w:t>第五条</w:t>
      </w:r>
      <w:r>
        <w:rPr>
          <w:rFonts w:hint="eastAsia"/>
        </w:rPr>
        <w:t xml:space="preserve">  市和区、县人民政府统一领导、组织协调本行政区域的食品安全监督管理工作，构建严密、清晰的责任体系，制定和实施食品安全规划和计划，将食品安全监督管理工作所需经费列入财政预算，并将食品安全监督管理工作列入政府绩效管理评价考核体系。</w:t>
      </w:r>
    </w:p>
    <w:p w14:paraId="7500A048">
      <w:r>
        <w:rPr>
          <w:rFonts w:hint="eastAsia"/>
        </w:rPr>
        <w:t>区、县人民政府应当明确乡镇人民政府和街道办事处的食品安全管理机构和管理职责，督促、指导乡镇人民政府和街道办事处做好食品安全日常工作。乡镇人民政府和街道办事处负责本区域的食品安全隐患排查、信息报告、协助执法和宣传教育等工作，组织协调有关监督管理部门派驻的执法机构做好执法工作。区、县人民政府可以根据需要探索建立食品安全监督员队伍，明确其工作范围和职责，做好食品安全相关工作。</w:t>
      </w:r>
    </w:p>
    <w:p w14:paraId="4C5BA659">
      <w:pPr>
        <w:ind w:firstLine="422"/>
      </w:pPr>
      <w:r>
        <w:rPr>
          <w:rFonts w:hint="eastAsia"/>
          <w:b/>
        </w:rPr>
        <w:t>第六条</w:t>
      </w:r>
      <w:r>
        <w:rPr>
          <w:rFonts w:hint="eastAsia"/>
        </w:rPr>
        <w:t xml:space="preserve">  市和区、县人民政府设立食品安全委员会，统一组织协调本行政区域的食品安全工作，统筹、协调、解决食品安全工作中的重大问题，推进食品安全长效机制建设。</w:t>
      </w:r>
    </w:p>
    <w:p w14:paraId="2DB032B4">
      <w:r>
        <w:rPr>
          <w:rFonts w:hint="eastAsia"/>
        </w:rPr>
        <w:t>市和区、县人民政府食品安全监督协调办公室（以下简称食品办）承担食品安全委员会的日常工作，按照市和区、县人民政府确定的职责开展食品安全综合监督、组织协调和依法组织对重大事故查处等工作。</w:t>
      </w:r>
    </w:p>
    <w:p w14:paraId="373B8244">
      <w:pPr>
        <w:ind w:firstLine="422"/>
      </w:pPr>
      <w:r>
        <w:rPr>
          <w:rFonts w:hint="eastAsia"/>
          <w:b/>
        </w:rPr>
        <w:t>第七条</w:t>
      </w:r>
      <w:r>
        <w:rPr>
          <w:rFonts w:hint="eastAsia"/>
        </w:rPr>
        <w:t xml:space="preserve">  质量技术监督、工商行政管理、卫生行政、药品监督、农业、园林绿化、商务、城市管理综合行政执法等行政部门和出入境检验检疫机构（以下统称食品安全监督管理部门），应当加强沟通、密切配合，按照法律、法规的规定和市人民政府确定的职责实施食品安全监督管理。</w:t>
      </w:r>
    </w:p>
    <w:p w14:paraId="5BE4BFC6">
      <w:r>
        <w:rPr>
          <w:rFonts w:hint="eastAsia"/>
        </w:rPr>
        <w:t>教育、经济信息化、住房和城乡建设、旅游、环境保护、市政市容、公安等行政部门按照各自职责做好相关行业或者领域的食品安全管理和指导工作。</w:t>
      </w:r>
    </w:p>
    <w:p w14:paraId="3AD9CD66">
      <w:r>
        <w:rPr>
          <w:rFonts w:hint="eastAsia"/>
        </w:rPr>
        <w:t>市人民政府可以根据实际需要对政府有关行政部门的食品安全监督管理职责进行确定或者调整。</w:t>
      </w:r>
    </w:p>
    <w:p w14:paraId="576191B6">
      <w:pPr>
        <w:ind w:firstLine="422"/>
      </w:pPr>
      <w:r>
        <w:rPr>
          <w:rFonts w:hint="eastAsia"/>
          <w:b/>
        </w:rPr>
        <w:t>第八条</w:t>
      </w:r>
      <w:r>
        <w:rPr>
          <w:rFonts w:hint="eastAsia"/>
        </w:rPr>
        <w:t xml:space="preserve">  与食品有关的行业组织应当承担行业自律责任，根据章程指导、规范和监督食品生产经营者依法从事生产经营活动，为会员提供信息、技术、营销、培训等服务，参与制定、修订食品安全标准，向食品安全监督管理部门提出改进工作的意见和建议；市和区、县人民政府有关部门应当加强支持和指导。</w:t>
      </w:r>
    </w:p>
    <w:p w14:paraId="615788EC">
      <w:pPr>
        <w:ind w:firstLine="422"/>
      </w:pPr>
      <w:r>
        <w:rPr>
          <w:rFonts w:hint="eastAsia"/>
          <w:b/>
        </w:rPr>
        <w:t>第九条</w:t>
      </w:r>
      <w:r>
        <w:rPr>
          <w:rFonts w:hint="eastAsia"/>
        </w:rPr>
        <w:t xml:space="preserve">  食品办和食品安全监督管理部门应当依法公开与食品安全有关的政府信息；食品安全监督管理部门、行业组织、社会团体应当开展食品安全常识和法律知识宣传，指导食品生产经营者守法、诚信经营，引导公众树立科学的消费理念和健康的饮食方式，提高全社会食品安全意识以及预防、应对食品安全风险的能力。</w:t>
      </w:r>
    </w:p>
    <w:p w14:paraId="54B0FDAB">
      <w:r>
        <w:rPr>
          <w:rFonts w:hint="eastAsia"/>
        </w:rPr>
        <w:t>新闻媒体应当开展食品安全法律知识和相关标准的宣传，并对违反食品安全法律、法规的行为进行监督，客观、真实、合法地报道食品安全信息；鼓励新闻媒体设置食品安全宣传专栏；市属新闻媒体应当刊播食品安全公益宣传内容。</w:t>
      </w:r>
    </w:p>
    <w:p w14:paraId="1B74BDAF">
      <w:pPr>
        <w:ind w:firstLine="422"/>
      </w:pPr>
      <w:r>
        <w:rPr>
          <w:rFonts w:hint="eastAsia"/>
          <w:b/>
        </w:rPr>
        <w:t>第十条</w:t>
      </w:r>
      <w:r>
        <w:rPr>
          <w:rFonts w:hint="eastAsia"/>
        </w:rPr>
        <w:t xml:space="preserve">  本市鼓励和支持研究、应用和推广先进技术和先进管理规范，提高食品安全管理水平；鼓励食品生产经营者投保食品安全责任险、开展相关认证和技术推广等工作；鼓励组织或者个人举报食品生产经营违法行为。</w:t>
      </w:r>
    </w:p>
    <w:p w14:paraId="545FE50E">
      <w:r>
        <w:rPr>
          <w:rFonts w:hint="eastAsia"/>
        </w:rPr>
        <w:t>市和区、县人民政府对在食品安全工作中作出显著成绩的单位和个人给予表彰和奖励；对举报属实，为查处食品安全违法案件提供线索或者证据的举报人给予奖励。</w:t>
      </w:r>
    </w:p>
    <w:p w14:paraId="20861516"/>
    <w:p w14:paraId="629A6322">
      <w:pPr>
        <w:ind w:firstLine="0" w:firstLineChars="0"/>
        <w:jc w:val="center"/>
        <w:rPr>
          <w:b/>
          <w:sz w:val="28"/>
        </w:rPr>
      </w:pPr>
      <w:r>
        <w:rPr>
          <w:rFonts w:hint="eastAsia"/>
          <w:b/>
          <w:sz w:val="28"/>
        </w:rPr>
        <w:t>第二章  市场准入</w:t>
      </w:r>
    </w:p>
    <w:p w14:paraId="16721CDB"/>
    <w:p w14:paraId="31DCE293">
      <w:pPr>
        <w:ind w:firstLine="422"/>
      </w:pPr>
      <w:r>
        <w:rPr>
          <w:rFonts w:hint="eastAsia"/>
          <w:b/>
        </w:rPr>
        <w:t>第十一条</w:t>
      </w:r>
      <w:r>
        <w:rPr>
          <w:rFonts w:hint="eastAsia"/>
        </w:rPr>
        <w:t xml:space="preserve">  本市依法实行食品生产经营许可制度。食品生产经营场所的设置应当符合城乡规划、商业布局和食品安全规划；申请人按照下列业态类别向有关部门申请相应的许可：</w:t>
      </w:r>
    </w:p>
    <w:p w14:paraId="08A35FA4">
      <w:r>
        <w:rPr>
          <w:rFonts w:hint="eastAsia"/>
        </w:rPr>
        <w:t>（一）从事食品生产的，应当向质量技术监督部门申请食品生产许可证或者食品生产加工作坊准许证；</w:t>
      </w:r>
    </w:p>
    <w:p w14:paraId="2C14F366">
      <w:r>
        <w:rPr>
          <w:rFonts w:hint="eastAsia"/>
        </w:rPr>
        <w:t>（二）以食品集中交易市场、食杂店、食品贸易商、无店铺食品经营者以及商场超市、便利店、食品物流配送等业态方式从事食品经营的，应当向工商行政管理部门申请食品流通许可证；</w:t>
      </w:r>
    </w:p>
    <w:p w14:paraId="726D4821">
      <w:r>
        <w:rPr>
          <w:rFonts w:hint="eastAsia"/>
        </w:rPr>
        <w:t>（三）以餐馆、快餐店、小吃店、饮品店（甜品店）、食堂、集体用餐配送单位、中央厨房、乡村民俗旅游户、夜市餐饮服务、餐饮具清洗消毒服务等业态方式从事食品经营的，应当向卫生行政部门申请餐饮服务许可证。</w:t>
      </w:r>
    </w:p>
    <w:p w14:paraId="0643C729">
      <w:r>
        <w:rPr>
          <w:rFonts w:hint="eastAsia"/>
        </w:rPr>
        <w:t>质量技术监督、工商行政管理、卫生行政部门应当依法审核当事人的申请材料；符合规定要求的，颁发相应的许可证。食品生产许可证、食品流通许可证和餐饮服务许可证的有效期为</w:t>
      </w:r>
      <w:r>
        <w:rPr>
          <w:rFonts w:hint="eastAsia" w:ascii="宋体" w:hAnsi="宋体" w:eastAsia="宋体" w:cs="宋体"/>
        </w:rPr>
        <w:t>3</w:t>
      </w:r>
      <w:r>
        <w:rPr>
          <w:rFonts w:hint="eastAsia"/>
        </w:rPr>
        <w:t>年。</w:t>
      </w:r>
    </w:p>
    <w:p w14:paraId="4155500C">
      <w:r>
        <w:rPr>
          <w:rFonts w:hint="eastAsia"/>
        </w:rPr>
        <w:t>根据需要，市食品办可以会同市食品安全监督管理部门对食品生产经营许可事项的业态类别提出调整建议，经市人民政府批准后公布实施。</w:t>
      </w:r>
    </w:p>
    <w:p w14:paraId="444E08A3">
      <w:pPr>
        <w:ind w:firstLine="422"/>
      </w:pPr>
      <w:r>
        <w:rPr>
          <w:rFonts w:hint="eastAsia"/>
          <w:b/>
        </w:rPr>
        <w:t>第十二条</w:t>
      </w:r>
      <w:r>
        <w:rPr>
          <w:rFonts w:hint="eastAsia"/>
        </w:rPr>
        <w:t xml:space="preserve">  市质量技术监督、工商行政管理、卫生行政部门根据法律、法规和本条例的规定，在听取各方面意见后，按照业态类别制定相关的许可管理办法。</w:t>
      </w:r>
    </w:p>
    <w:p w14:paraId="78E7C8C8">
      <w:r>
        <w:rPr>
          <w:rFonts w:hint="eastAsia"/>
        </w:rPr>
        <w:t>本条例第十一条规定的许可证、准许证应当标明业态类别；食品生产经营者应当按照许可证、准许证标明的业态类别从事食品生产经营活动。</w:t>
      </w:r>
    </w:p>
    <w:p w14:paraId="4052976C">
      <w:pPr>
        <w:ind w:firstLine="422"/>
      </w:pPr>
      <w:r>
        <w:rPr>
          <w:rFonts w:hint="eastAsia"/>
          <w:b/>
        </w:rPr>
        <w:t>第十三条</w:t>
      </w:r>
      <w:r>
        <w:rPr>
          <w:rFonts w:hint="eastAsia"/>
        </w:rPr>
        <w:t xml:space="preserve">  区、县人民政府可以根据实际需要统筹规划、合理布局，建设适合食品生产加工作坊从事食品生产加工活动的集中区域；鼓励食品生产加工作坊进入集中区域从事食品生产加工活动。</w:t>
      </w:r>
    </w:p>
    <w:p w14:paraId="7440EE00">
      <w:r>
        <w:rPr>
          <w:rFonts w:hint="eastAsia"/>
        </w:rPr>
        <w:t>本市对食品生产加工作坊生产加工的食品品种实行目录管理。市质量技术监督部门负责组织有关部门提出全市食品生产加工作坊监督管理工作指导意见，报市食品安全委员会同意后，由区、县人民政府根据指导意见，结合本区县的实际情况，制定本区域食品生产加工作坊生产加工食品的品种目录、生产加工条件和要求。</w:t>
      </w:r>
    </w:p>
    <w:p w14:paraId="46E22A96">
      <w:r>
        <w:rPr>
          <w:rFonts w:hint="eastAsia"/>
        </w:rPr>
        <w:t>食品生产加工作坊从事食品生产加工活动，应当具有与生产加工的食品品种、数量相适应的生产加工场所，与有毒、有害场所以及其他污染源保持规定的安全距离，并具备相应的生产加工和卫生设备、设施，符合国家和本市规定的其他要求。</w:t>
      </w:r>
    </w:p>
    <w:p w14:paraId="29F1A910">
      <w:pPr>
        <w:ind w:firstLine="422"/>
      </w:pPr>
      <w:r>
        <w:rPr>
          <w:rFonts w:hint="eastAsia"/>
          <w:b/>
        </w:rPr>
        <w:t>第十四条</w:t>
      </w:r>
      <w:r>
        <w:rPr>
          <w:rFonts w:hint="eastAsia"/>
        </w:rPr>
        <w:t xml:space="preserve">  质量技术监督部门审查食品生产加工作坊准许证申请材料，应当就生产加工场所的真实性、合法性征求所在地乡镇人民政府或者街道办事处的意见，并对生产加工作坊的场所进行现场</w:t>
      </w:r>
      <w:r>
        <w:rPr>
          <w:rFonts w:hint="eastAsia" w:ascii="宋体" w:hAnsi="宋体" w:eastAsia="宋体" w:cs="宋体"/>
        </w:rPr>
        <w:t>核查；符合相关要求的，颁发食品生产加工作坊准许证。食品生产加工作坊准许证的有效期为3年；有效期满需要延续的，应当在期满前30日内向</w:t>
      </w:r>
      <w:r>
        <w:rPr>
          <w:rFonts w:hint="eastAsia"/>
        </w:rPr>
        <w:t>原发证部门提出申请。</w:t>
      </w:r>
    </w:p>
    <w:p w14:paraId="0885C0C1">
      <w:pPr>
        <w:ind w:firstLine="422"/>
      </w:pPr>
      <w:r>
        <w:rPr>
          <w:rFonts w:hint="eastAsia"/>
          <w:b/>
        </w:rPr>
        <w:t>第十五条</w:t>
      </w:r>
      <w:r>
        <w:rPr>
          <w:rFonts w:hint="eastAsia"/>
        </w:rPr>
        <w:t xml:space="preserve">  区、县人民政府可以根据实际需要，按照方便群众、合理布局、保证安全的原则，划定临时区域、规定时段供食品摊贩从事经营活动，并向社会公布。划定临时区域应当在幼儿园、中小学校门口二百米范围以外，并不得占用道路、桥梁、过街天桥、地下通道以及其他不宜设摊经营的场所。食品摊贩不得在临时区域和规定时段外经营。</w:t>
      </w:r>
    </w:p>
    <w:p w14:paraId="562BC3E0">
      <w:r>
        <w:rPr>
          <w:rFonts w:hint="eastAsia"/>
        </w:rPr>
        <w:t>本市对食品摊贩经营的食品品种实行目录管理，品种目录、经营条件和要求以及申请登记程序由区、县人民政府制定并公布。</w:t>
      </w:r>
    </w:p>
    <w:p w14:paraId="49FCC665">
      <w:r>
        <w:rPr>
          <w:rFonts w:hint="eastAsia"/>
        </w:rPr>
        <w:t>食品摊贩从事食品经营，应当具有与经营的食品品种、数量相适应的卫生设备、设施，所经营的食品应当符合食品安全标准以及国家和本市规定的其他要求。</w:t>
      </w:r>
    </w:p>
    <w:p w14:paraId="51AC1B07">
      <w:pPr>
        <w:ind w:firstLine="422"/>
      </w:pPr>
      <w:r>
        <w:rPr>
          <w:rFonts w:hint="eastAsia"/>
          <w:b/>
        </w:rPr>
        <w:t>第十六条</w:t>
      </w:r>
      <w:r>
        <w:rPr>
          <w:rFonts w:hint="eastAsia"/>
        </w:rPr>
        <w:t xml:space="preserve">  从事食品摊贩经营的，应当按照区、县人民政府规定的程序和要求，向所在地乡镇人民政府或者街道办事处申请登记。乡镇人民政府或者街道办事处对符合规定条件的申请人发放食品摊贩经营证，并应当将登记信息及时通报城市管理综合行政执法部门。</w:t>
      </w:r>
    </w:p>
    <w:p w14:paraId="6797714C">
      <w:r>
        <w:rPr>
          <w:rFonts w:hint="eastAsia"/>
        </w:rPr>
        <w:t>食品摊贩经营证应当载明经营者姓名、经营食品的品种、经营地点、监督电话等事项。食品摊贩从事食品经营，应当悬挂食品摊贩经营证，并不得转让、涂改、出租、出借食品摊贩经营证。</w:t>
      </w:r>
    </w:p>
    <w:p w14:paraId="3D2CD8BF">
      <w:r>
        <w:rPr>
          <w:rFonts w:hint="eastAsia"/>
        </w:rPr>
        <w:t>城市管理综合行政执法部门负责对经批准设立的食品摊贩实施监督管理，并负责查处流动无证照生产经营食品行为。</w:t>
      </w:r>
    </w:p>
    <w:p w14:paraId="2DC24F89">
      <w:pPr>
        <w:ind w:firstLine="422"/>
      </w:pPr>
      <w:r>
        <w:rPr>
          <w:rFonts w:hint="eastAsia"/>
          <w:b/>
        </w:rPr>
        <w:t>第十七条</w:t>
      </w:r>
      <w:r>
        <w:rPr>
          <w:rFonts w:hint="eastAsia"/>
        </w:rPr>
        <w:t xml:space="preserve">  在本市生产经营的食品和食用农产品应当符合国家和本市食品安全和农产品质量安全标准以及其他有关食品安全和农产品质量安全的规定和要求。</w:t>
      </w:r>
    </w:p>
    <w:p w14:paraId="5E3180D8">
      <w:r>
        <w:rPr>
          <w:rFonts w:hint="eastAsia"/>
        </w:rPr>
        <w:t>没有食品安全国家标准的食品，需要在本市统一食品安全要求的，市卫生行政部门应当组织制定食品安全地方标准。食品安全地方标准草案应当向社会公布，公开征求意见。食品安全地方标准应当供公众免费查阅。</w:t>
      </w:r>
    </w:p>
    <w:p w14:paraId="32433638">
      <w:pPr>
        <w:ind w:firstLine="422"/>
      </w:pPr>
      <w:r>
        <w:rPr>
          <w:rFonts w:hint="eastAsia"/>
          <w:b/>
        </w:rPr>
        <w:t>第十八条</w:t>
      </w:r>
      <w:r>
        <w:rPr>
          <w:rFonts w:hint="eastAsia"/>
        </w:rPr>
        <w:t xml:space="preserve">  市人民政府与相关省、市、自治区人民政府建立健全食品安全区域协作机制，逐步实现食品安全和食用农产品质量安全信息共享、案件协查、问题食品处置、全程追溯、检验互认、技术协作等方面的合作，推动进京食品和食用农产品生产基地提升组织化、标准化、规模化程度，形成安全可靠的食品供应体系，保障进京食品和食用农产品质量安全。</w:t>
      </w:r>
    </w:p>
    <w:p w14:paraId="0AEB9B93">
      <w:r>
        <w:rPr>
          <w:rFonts w:hint="eastAsia"/>
        </w:rPr>
        <w:t>鼓励外埠优质食品和食用农产品进京销售。市食品办应当会同有关食品安全监督管理部门，组织引导本市大型食品批发市场、商场超市、食品物流配送企业、连锁餐饮服务企业等与外埠进京食品和食用农产品生产经营企业实行对接，为外埠食品和食用农产品生产经营企业提供服务和支持。</w:t>
      </w:r>
    </w:p>
    <w:p w14:paraId="3092B322">
      <w:pPr>
        <w:ind w:firstLine="422"/>
      </w:pPr>
      <w:r>
        <w:rPr>
          <w:rFonts w:hint="eastAsia"/>
          <w:b/>
        </w:rPr>
        <w:t>第十九条</w:t>
      </w:r>
      <w:r>
        <w:rPr>
          <w:rFonts w:hint="eastAsia"/>
        </w:rPr>
        <w:t xml:space="preserve">  市和区、县人民政府支持本市食品和食用农产品生产经营企业与外埠生产经营单位签订安全供应协议，明确供应食品和食用农产品适用的相关标准和要求、双方的安全供应责任以及问题食品和食用农产品退市等内容。</w:t>
      </w:r>
    </w:p>
    <w:p w14:paraId="0C781AC4">
      <w:r>
        <w:rPr>
          <w:rFonts w:hint="eastAsia"/>
        </w:rPr>
        <w:t>鼓励本市食品和食用农产品批发市场、商场超市等在外埠建立食品和食用农产品供应基地。</w:t>
      </w:r>
    </w:p>
    <w:p w14:paraId="3B6199CB"/>
    <w:p w14:paraId="62F6B5D6">
      <w:pPr>
        <w:ind w:firstLine="0" w:firstLineChars="0"/>
        <w:jc w:val="center"/>
        <w:rPr>
          <w:b/>
          <w:sz w:val="28"/>
        </w:rPr>
      </w:pPr>
      <w:r>
        <w:rPr>
          <w:rFonts w:hint="eastAsia"/>
          <w:b/>
          <w:sz w:val="28"/>
        </w:rPr>
        <w:t>第三章  食品生产经营</w:t>
      </w:r>
    </w:p>
    <w:p w14:paraId="3EABA46C"/>
    <w:p w14:paraId="25FC763A">
      <w:pPr>
        <w:ind w:firstLine="422"/>
      </w:pPr>
      <w:r>
        <w:rPr>
          <w:rFonts w:hint="eastAsia"/>
          <w:b/>
        </w:rPr>
        <w:t>第二十条</w:t>
      </w:r>
      <w:r>
        <w:rPr>
          <w:rFonts w:hint="eastAsia"/>
        </w:rPr>
        <w:t xml:space="preserve">  食品生产经营者从事食品生产经营活动，应当符合国家和本市规定的与其生产经营规模、条件相适应的食品安全要求，对其生产经营食品的安全承担主体责任；不符合相关条件或者要求的，不得从事食品生产经营活动。</w:t>
      </w:r>
    </w:p>
    <w:p w14:paraId="5353E503">
      <w:pPr>
        <w:ind w:firstLine="422"/>
      </w:pPr>
      <w:r>
        <w:rPr>
          <w:rFonts w:hint="eastAsia"/>
          <w:b/>
        </w:rPr>
        <w:t>第二十一条</w:t>
      </w:r>
      <w:r>
        <w:rPr>
          <w:rFonts w:hint="eastAsia"/>
        </w:rPr>
        <w:t xml:space="preserve">  食品生产经营单位的主要负责人对本单位的食品安全全面负责。</w:t>
      </w:r>
    </w:p>
    <w:p w14:paraId="73A1AFC0">
      <w:r>
        <w:rPr>
          <w:rFonts w:hint="eastAsia"/>
        </w:rPr>
        <w:t>食品生产经营单位的主要负责人应当履行下列职责，落实食品安全管理制度：</w:t>
      </w:r>
    </w:p>
    <w:p w14:paraId="645E48A9">
      <w:bookmarkStart w:id="2460" w:name="_Toc428780702"/>
      <w:r>
        <w:rPr>
          <w:rFonts w:hint="eastAsia"/>
        </w:rPr>
        <w:t>（一）建立健全本单位食品安全责任制；</w:t>
      </w:r>
      <w:bookmarkEnd w:id="2460"/>
    </w:p>
    <w:p w14:paraId="7C1DEB33">
      <w:r>
        <w:rPr>
          <w:rFonts w:hint="eastAsia"/>
        </w:rPr>
        <w:t>（二）组织制定并落实本单位食品安全规章制度和操作规程；</w:t>
      </w:r>
    </w:p>
    <w:p w14:paraId="33D39578">
      <w:bookmarkStart w:id="2461" w:name="_Toc428780703"/>
      <w:r>
        <w:rPr>
          <w:rFonts w:hint="eastAsia"/>
        </w:rPr>
        <w:t>（三）督促检查本单位食品安全工作，及时消除食品安全隐患；</w:t>
      </w:r>
      <w:bookmarkEnd w:id="2461"/>
    </w:p>
    <w:p w14:paraId="1B8B73AA">
      <w:r>
        <w:rPr>
          <w:rFonts w:hint="eastAsia"/>
        </w:rPr>
        <w:t>（四）建立健全职工食品安全知识培训考核、健康检查及相关档案管理制度，并组织落实；</w:t>
      </w:r>
    </w:p>
    <w:p w14:paraId="0C3C23FF">
      <w:bookmarkStart w:id="2462" w:name="_Toc428780704"/>
      <w:r>
        <w:rPr>
          <w:rFonts w:hint="eastAsia"/>
        </w:rPr>
        <w:t>（五）配合食品安全监督管理部门开展食品安全监督检查；</w:t>
      </w:r>
      <w:bookmarkEnd w:id="2462"/>
    </w:p>
    <w:p w14:paraId="0F89B819">
      <w:r>
        <w:rPr>
          <w:rFonts w:hint="eastAsia"/>
        </w:rPr>
        <w:t>（六）依法履行食品安全事故报告义务。</w:t>
      </w:r>
    </w:p>
    <w:p w14:paraId="5B21BFBB">
      <w:pPr>
        <w:ind w:firstLine="422"/>
      </w:pPr>
      <w:r>
        <w:rPr>
          <w:rFonts w:hint="eastAsia"/>
          <w:b/>
        </w:rPr>
        <w:t>第二十二条</w:t>
      </w:r>
      <w:r>
        <w:rPr>
          <w:rFonts w:hint="eastAsia"/>
        </w:rPr>
        <w:t xml:space="preserve">  食品生产经营者应当配备食品安全管理员，承担以下职责：</w:t>
      </w:r>
    </w:p>
    <w:p w14:paraId="35DA97FA">
      <w:r>
        <w:rPr>
          <w:rFonts w:hint="eastAsia"/>
        </w:rPr>
        <w:t>（一）向职工宣传食品安全法律、法规、规章、政策、标准和知识，讲解本单位的食品安全管理制度和要求；</w:t>
      </w:r>
    </w:p>
    <w:p w14:paraId="2F676A0F">
      <w:r>
        <w:rPr>
          <w:rFonts w:hint="eastAsia"/>
        </w:rPr>
        <w:t>（二）检查职工遵守食品安全规章制度和操作规程的情况，查找影响食品安全的关键环节和隐患，并及时报告；</w:t>
      </w:r>
    </w:p>
    <w:p w14:paraId="1513DB17">
      <w:bookmarkStart w:id="2463" w:name="_Toc428780705"/>
      <w:r>
        <w:rPr>
          <w:rFonts w:hint="eastAsia"/>
        </w:rPr>
        <w:t>（三）督促职工按时参加食品安全培训、进行健康检查；</w:t>
      </w:r>
      <w:bookmarkEnd w:id="2463"/>
    </w:p>
    <w:p w14:paraId="05656332">
      <w:r>
        <w:rPr>
          <w:rFonts w:hint="eastAsia"/>
        </w:rPr>
        <w:t>（四）定期汇总、分析反映本单位食品安全状况的信息，并及时报告。</w:t>
      </w:r>
    </w:p>
    <w:p w14:paraId="449C937A">
      <w:pPr>
        <w:ind w:firstLine="422"/>
      </w:pPr>
      <w:r>
        <w:rPr>
          <w:rFonts w:hint="eastAsia"/>
          <w:b/>
        </w:rPr>
        <w:t>第二十三条</w:t>
      </w:r>
      <w:r>
        <w:rPr>
          <w:rFonts w:hint="eastAsia"/>
        </w:rPr>
        <w:t xml:space="preserve">  食品安全监督管理部门应当建立健全食品生产经营单位主要负责人培训考核制度，组织高等院校、科研机构、行业组织等，对食品和食用农产品生产经营单位主要负责人开展有关法律知识、标准和诚信教育，提供每人每年不</w:t>
      </w:r>
      <w:r>
        <w:rPr>
          <w:rFonts w:hint="eastAsia" w:ascii="宋体" w:hAnsi="宋体" w:eastAsia="宋体" w:cs="宋体"/>
        </w:rPr>
        <w:t>少于40小</w:t>
      </w:r>
      <w:r>
        <w:rPr>
          <w:rFonts w:hint="eastAsia"/>
        </w:rPr>
        <w:t>时的培训；可以根据需要组织开展对食品安全管理员的培训。</w:t>
      </w:r>
    </w:p>
    <w:p w14:paraId="14DDC4AA">
      <w:pPr>
        <w:ind w:firstLine="422"/>
      </w:pPr>
      <w:r>
        <w:rPr>
          <w:rFonts w:hint="eastAsia"/>
          <w:b/>
        </w:rPr>
        <w:t>第二十四条</w:t>
      </w:r>
      <w:r>
        <w:rPr>
          <w:rFonts w:hint="eastAsia"/>
        </w:rPr>
        <w:t xml:space="preserve">  食品生产经营从业人员应当遵守本单位食品安全管理制度，进行健康检查，接受食品安全知识和操作技能的培训考核。</w:t>
      </w:r>
    </w:p>
    <w:p w14:paraId="6DA9736B">
      <w:pPr>
        <w:ind w:firstLine="422"/>
      </w:pPr>
      <w:r>
        <w:rPr>
          <w:rFonts w:hint="eastAsia"/>
          <w:b/>
        </w:rPr>
        <w:t>第二十五条</w:t>
      </w:r>
      <w:r>
        <w:rPr>
          <w:rFonts w:hint="eastAsia"/>
        </w:rPr>
        <w:t xml:space="preserve">  食品和食品添加剂生产经营者、贮存和运输服务提供者应当按照规定建立采购、生产、加工、包装、贮存、运输、销售等生产经营记录，如实记录食品、食品原料、食品添加剂和食品相关产品的名称、产地、生产者、供货商、货主、进货日期、数量、销售去向等信息，不得采购、使用、销售、贮存、运输来源不明的食品、食品原料、食品添加剂和食品相关产品。</w:t>
      </w:r>
    </w:p>
    <w:p w14:paraId="6B9B662A">
      <w:r>
        <w:rPr>
          <w:rFonts w:hint="eastAsia"/>
        </w:rPr>
        <w:t>食品和食品添加剂生产经营者、贮存和运输服务提供者应当按照规定查验供货商、货主的营业执照和相应的许可证件，并保存复印件。</w:t>
      </w:r>
    </w:p>
    <w:p w14:paraId="58C114A1">
      <w:r>
        <w:rPr>
          <w:rFonts w:hint="eastAsia"/>
        </w:rPr>
        <w:t>生产经营记录、食品相关许可证件、货主身份信息以及其他与食品安全有关的证明文件的复印件的保存期限不得少</w:t>
      </w:r>
      <w:r>
        <w:rPr>
          <w:rFonts w:hint="eastAsia" w:ascii="宋体" w:hAnsi="宋体" w:eastAsia="宋体" w:cs="宋体"/>
        </w:rPr>
        <w:t>于2年</w:t>
      </w:r>
      <w:r>
        <w:rPr>
          <w:rFonts w:hint="eastAsia"/>
        </w:rPr>
        <w:t>。</w:t>
      </w:r>
    </w:p>
    <w:p w14:paraId="45E2520D">
      <w:pPr>
        <w:ind w:firstLine="422"/>
      </w:pPr>
      <w:r>
        <w:rPr>
          <w:rFonts w:hint="eastAsia"/>
          <w:b/>
        </w:rPr>
        <w:t>第二十六条</w:t>
      </w:r>
      <w:r>
        <w:rPr>
          <w:rFonts w:hint="eastAsia"/>
        </w:rPr>
        <w:t xml:space="preserve">  食品生产经营者委托生产食品的，应当委托具有生产许可证的企业，并对委托生产的食品承担安全责任。</w:t>
      </w:r>
    </w:p>
    <w:p w14:paraId="5D55F7AD">
      <w:r>
        <w:rPr>
          <w:rFonts w:hint="eastAsia"/>
        </w:rPr>
        <w:t>委托生产食品的，双方应当签订协议，明确委托生产食品的相关要求和双方的权利义务。协议签订</w:t>
      </w:r>
      <w:r>
        <w:rPr>
          <w:rFonts w:hint="eastAsia" w:ascii="宋体" w:hAnsi="宋体" w:eastAsia="宋体" w:cs="宋体"/>
        </w:rPr>
        <w:t>后7日</w:t>
      </w:r>
      <w:r>
        <w:rPr>
          <w:rFonts w:hint="eastAsia"/>
        </w:rPr>
        <w:t>内，委托双方应当按照规定就委托生产情况分别向所在地区、县质量技术监督部门备案。</w:t>
      </w:r>
    </w:p>
    <w:p w14:paraId="68BE18E7">
      <w:r>
        <w:rPr>
          <w:rFonts w:hint="eastAsia"/>
        </w:rPr>
        <w:t>委托生产的食品，标签上除法定的内容外，还应当如实标明委托双方的名称、委托关系、地址、联系方式和相关食品生产许可证号等事项。</w:t>
      </w:r>
    </w:p>
    <w:p w14:paraId="015EF691">
      <w:pPr>
        <w:ind w:firstLine="422"/>
      </w:pPr>
      <w:r>
        <w:rPr>
          <w:rFonts w:hint="eastAsia"/>
          <w:b/>
        </w:rPr>
        <w:t>第二十七条</w:t>
      </w:r>
      <w:r>
        <w:rPr>
          <w:rFonts w:hint="eastAsia"/>
        </w:rPr>
        <w:t xml:space="preserve">  食品经营者经营散装食品，应当设立专区或者专柜；经营直接入口的散装食品，应当采取防尘遮盖、设置隔离设施、提供专用取用工具等保证散装食品安全的措施。</w:t>
      </w:r>
    </w:p>
    <w:p w14:paraId="6A10D8A9">
      <w:r>
        <w:rPr>
          <w:rFonts w:hint="eastAsia"/>
        </w:rPr>
        <w:t>鼓励食品经营者设立临近保质期食品专区或者专柜。</w:t>
      </w:r>
    </w:p>
    <w:p w14:paraId="15E30987">
      <w:pPr>
        <w:ind w:firstLine="422"/>
      </w:pPr>
      <w:r>
        <w:rPr>
          <w:rFonts w:hint="eastAsia"/>
          <w:b/>
        </w:rPr>
        <w:t>第二十八条</w:t>
      </w:r>
      <w:r>
        <w:rPr>
          <w:rFonts w:hint="eastAsia"/>
        </w:rPr>
        <w:t xml:space="preserve">  利用自动售货设备从事食品经营的，应当在自动售货设备的明显位置公示经营者名称、地址、联系方式、营业执照编号等身份信息以及食品流通许可证号。</w:t>
      </w:r>
    </w:p>
    <w:p w14:paraId="2782CD25">
      <w:r>
        <w:rPr>
          <w:rFonts w:hint="eastAsia"/>
        </w:rPr>
        <w:t>利用互联网从事食品经营的，应当在网店主页的明显位置公示经营者名称、联系方式、电信与信息服务业务经营许可证、经营性网站备案登记号等身份信息以及食品流通许可证号。</w:t>
      </w:r>
    </w:p>
    <w:p w14:paraId="0E764781">
      <w:r>
        <w:rPr>
          <w:rFonts w:hint="eastAsia"/>
        </w:rPr>
        <w:t>利用邮购、电视电话购物等本条第一款、第二款规定以外的无店铺方式从事食品经营的，应当以易于消费者认知和识别的方式公示经营者名称、地址、联系方式、营业执照编号等身份信息以及食品流通许可证号。</w:t>
      </w:r>
    </w:p>
    <w:p w14:paraId="1599507A">
      <w:r>
        <w:rPr>
          <w:rFonts w:hint="eastAsia"/>
        </w:rPr>
        <w:t>采用无店铺方式从事食品经营的，应当在销售前以适当方式明确告知消费者食品标签上的内容，不得经营散装食品。</w:t>
      </w:r>
    </w:p>
    <w:p w14:paraId="0F6F1B89">
      <w:pPr>
        <w:ind w:firstLine="422"/>
      </w:pPr>
      <w:r>
        <w:rPr>
          <w:rFonts w:hint="eastAsia"/>
          <w:b/>
        </w:rPr>
        <w:t>第二十九条</w:t>
      </w:r>
      <w:r>
        <w:rPr>
          <w:rFonts w:hint="eastAsia"/>
        </w:rPr>
        <w:t xml:space="preserve">  集中交易市场或者庙会、游园会、展销会等场所内有食品经营的，或者提供出租柜台供食品经营者从事食品经营的，市场开办者、活动举办者或者柜台出租者应当遵守下列规定：</w:t>
      </w:r>
    </w:p>
    <w:p w14:paraId="71D9A506">
      <w:bookmarkStart w:id="2464" w:name="_Toc428780706"/>
      <w:r>
        <w:rPr>
          <w:rFonts w:hint="eastAsia"/>
        </w:rPr>
        <w:t>（一）履行食品安全法第五十二条规定的职责；</w:t>
      </w:r>
      <w:bookmarkEnd w:id="2464"/>
    </w:p>
    <w:p w14:paraId="2C021592">
      <w:r>
        <w:rPr>
          <w:rFonts w:hint="eastAsia"/>
        </w:rPr>
        <w:t>（二）配备专职食品安全管理员，指导并督促入场经营者落实食品安全责任；</w:t>
      </w:r>
    </w:p>
    <w:p w14:paraId="721B536E">
      <w:r>
        <w:rPr>
          <w:rFonts w:hint="eastAsia"/>
        </w:rPr>
        <w:t>（三）建立场内经营者档案，记录食品经营者的基本情况、主要进货渠道、经营品种、品牌和供货商状况等信息；</w:t>
      </w:r>
    </w:p>
    <w:p w14:paraId="6145B617">
      <w:r>
        <w:rPr>
          <w:rFonts w:hint="eastAsia"/>
        </w:rPr>
        <w:t>（四）查验场内经营者证明其经营食品符合食品安全标准和要求的相关材料，对其在市场外的食品贮存场所进行备案；</w:t>
      </w:r>
    </w:p>
    <w:p w14:paraId="57C7E760">
      <w:r>
        <w:rPr>
          <w:rFonts w:hint="eastAsia"/>
        </w:rPr>
        <w:t>（五）指导并督促场内经营者建立经营记录，执行进货查验、索证索票等与保障食品安全有关的制度；</w:t>
      </w:r>
    </w:p>
    <w:p w14:paraId="65E6D246">
      <w:bookmarkStart w:id="2465" w:name="_Toc428780707"/>
      <w:r>
        <w:rPr>
          <w:rFonts w:hint="eastAsia"/>
        </w:rPr>
        <w:t>（六）设置公示栏，公开相关食品安全信息；</w:t>
      </w:r>
      <w:bookmarkEnd w:id="2465"/>
    </w:p>
    <w:p w14:paraId="694DAAA0">
      <w:r>
        <w:rPr>
          <w:rFonts w:hint="eastAsia"/>
        </w:rPr>
        <w:t>（七）根据需要配备食品检验、冷藏冷冻等设备设施；</w:t>
      </w:r>
    </w:p>
    <w:p w14:paraId="5D06BA11">
      <w:r>
        <w:rPr>
          <w:rFonts w:hint="eastAsia"/>
        </w:rPr>
        <w:t>（八）与入场经营者签订协议，落实本市重点监督管理的食品和食用农产品场地（厂）挂钩要求，明确因入场经营者违反食品安全要求双方可以解约的情形以及其他食品安全要求。</w:t>
      </w:r>
    </w:p>
    <w:p w14:paraId="6A23089B">
      <w:r>
        <w:rPr>
          <w:rFonts w:hint="eastAsia"/>
        </w:rPr>
        <w:t>本条前款第八项规定的本市重点监督管理的食品和食用农产品名录，由市食品办会同市食品安全监督管理部门根据风险程度拟订，经市食品安全委员会批准后公布实施。</w:t>
      </w:r>
    </w:p>
    <w:p w14:paraId="2023539D">
      <w:r>
        <w:rPr>
          <w:rFonts w:hint="eastAsia"/>
        </w:rPr>
        <w:t>食品批发市场应当加强符合食品安全要求的基础设施建设，根据需要配备冷藏冷冻等设备设施，建立电子交易系统，实行信息化管理。</w:t>
      </w:r>
    </w:p>
    <w:p w14:paraId="4FC50AD4">
      <w:pPr>
        <w:ind w:firstLine="422"/>
      </w:pPr>
      <w:r>
        <w:rPr>
          <w:rFonts w:hint="eastAsia"/>
          <w:b/>
        </w:rPr>
        <w:t>第三十条</w:t>
      </w:r>
      <w:r>
        <w:rPr>
          <w:rFonts w:hint="eastAsia"/>
        </w:rPr>
        <w:t xml:space="preserve">  餐饮服务提供者应当确保经营场所环境卫生、整洁；加工、制作食品，应当做到生熟分开、食品工用具（容器）专用，加工、制作过程符合食品安全要求；加工、制作凉菜，应当做到有专人、专室、专用工具、专用消毒设备、专用冷藏冷冻设备；不得使用不符合安全标准的食品原料、食品添加剂和食品相关产品；不得向消费者提供不符合食品安全标准的餐饮具等食品相关产品。</w:t>
      </w:r>
    </w:p>
    <w:p w14:paraId="18E4181C">
      <w:r>
        <w:rPr>
          <w:rFonts w:hint="eastAsia"/>
        </w:rPr>
        <w:t>集体用餐配送单位应当使用专用封闭车辆配送食品，按照规定留存所配送食品的样品，分装、贮存、运输食品的温度和时间应当符合食品安全要求，并在食品包装明显位置注明配送单位、制作时间、保质期，必要时注明保存条件和食用方法。</w:t>
      </w:r>
    </w:p>
    <w:p w14:paraId="67099FC8">
      <w:r>
        <w:rPr>
          <w:rFonts w:hint="eastAsia"/>
        </w:rPr>
        <w:t>餐饮服务提供者、现场加工制售食品者、食品生产加工作坊不得购买、存放和使用亚硝酸盐等易滥用的食品添加剂。</w:t>
      </w:r>
    </w:p>
    <w:p w14:paraId="0651D7D2">
      <w:r>
        <w:rPr>
          <w:rFonts w:hint="eastAsia"/>
        </w:rPr>
        <w:t>餐饮具清洗消毒企业和服务提供者应当按照规范要求从事餐饮具清洗消毒，不得提供不符合食品安全标准的餐饮具。</w:t>
      </w:r>
    </w:p>
    <w:p w14:paraId="5D56B71D">
      <w:pPr>
        <w:ind w:firstLine="422"/>
      </w:pPr>
      <w:r>
        <w:rPr>
          <w:rFonts w:hint="eastAsia"/>
          <w:b/>
        </w:rPr>
        <w:t>第三十一条</w:t>
      </w:r>
      <w:r>
        <w:rPr>
          <w:rFonts w:hint="eastAsia"/>
        </w:rPr>
        <w:t xml:space="preserve">  餐饮服务提供者应当按照环境影响评价要求设置油水分离器、收集容器、隔油池等设备设施，并保持设备设施正常运转。</w:t>
      </w:r>
    </w:p>
    <w:p w14:paraId="78EFE81D">
      <w:r>
        <w:rPr>
          <w:rFonts w:hint="eastAsia"/>
        </w:rPr>
        <w:t>餐饮服务提供者应当单独收集餐厨垃圾，并委托有资质的企业收运和处置，或者自建符合标准的餐厨垃圾处理设施就地处理，不得随意倾倒、丢弃、堆放或者直接排放。</w:t>
      </w:r>
    </w:p>
    <w:p w14:paraId="679E6541">
      <w:r>
        <w:rPr>
          <w:rFonts w:hint="eastAsia"/>
        </w:rPr>
        <w:t>市政市容管理行政部门应当向社会公布本条第二款规定的有资质的企业名录。</w:t>
      </w:r>
    </w:p>
    <w:p w14:paraId="6601F56C">
      <w:pPr>
        <w:ind w:firstLine="422"/>
      </w:pPr>
      <w:r>
        <w:rPr>
          <w:rFonts w:hint="eastAsia"/>
          <w:b/>
        </w:rPr>
        <w:t>第三十二条</w:t>
      </w:r>
      <w:r>
        <w:rPr>
          <w:rFonts w:hint="eastAsia"/>
        </w:rPr>
        <w:t xml:space="preserve">  从事食品贮存、运输的，应当遵守食品安全法第二十七条第六项的规定，并不得在贮存、运输过程中添加任何非食用物质等危害人体健康的物质；对易交叉污染的食品，应当专库贮存，不得混装、拼箱装运。</w:t>
      </w:r>
    </w:p>
    <w:p w14:paraId="7FFED5EF">
      <w:pPr>
        <w:ind w:firstLine="422"/>
      </w:pPr>
      <w:r>
        <w:rPr>
          <w:rFonts w:hint="eastAsia"/>
          <w:b/>
        </w:rPr>
        <w:t>第三十三条</w:t>
      </w:r>
      <w:r>
        <w:rPr>
          <w:rFonts w:hint="eastAsia"/>
        </w:rPr>
        <w:t xml:space="preserve">  贮存、运输、销售按照规定需要低温保存的食品的，应当配备与其经营规模和食品种类相适应的冷藏冷冻设备设施以及具有连续测量和记录温度功能的装置，并保证正常运转，不得无故关停；有关设备设施或者装置发生故障后，应当对受到影响的食品进行检验，确保食品未因故障发生品质变化。</w:t>
      </w:r>
    </w:p>
    <w:p w14:paraId="01915FF7">
      <w:pPr>
        <w:ind w:firstLine="422"/>
      </w:pPr>
      <w:r>
        <w:rPr>
          <w:rFonts w:hint="eastAsia"/>
          <w:b/>
        </w:rPr>
        <w:t>第三十四条</w:t>
      </w:r>
      <w:r>
        <w:rPr>
          <w:rFonts w:hint="eastAsia"/>
        </w:rPr>
        <w:t xml:space="preserve">  食品生产经营者不得有下列行为：</w:t>
      </w:r>
    </w:p>
    <w:p w14:paraId="160678C5">
      <w:r>
        <w:rPr>
          <w:rFonts w:hint="eastAsia"/>
        </w:rPr>
        <w:t>（一）以废弃油脂为原料加工制作食用油或者以此类食用油为原料加工制作食品的；</w:t>
      </w:r>
    </w:p>
    <w:p w14:paraId="3D4200E1">
      <w:bookmarkStart w:id="2466" w:name="_Toc428780708"/>
      <w:r>
        <w:rPr>
          <w:rFonts w:hint="eastAsia"/>
        </w:rPr>
        <w:t>（二）在食用动物及其产品中注水或者注入其他物质的；</w:t>
      </w:r>
      <w:bookmarkEnd w:id="2466"/>
    </w:p>
    <w:p w14:paraId="7FA74EF0">
      <w:r>
        <w:rPr>
          <w:rFonts w:hint="eastAsia"/>
        </w:rPr>
        <w:t>（三）提供不符合食品安全要求的或者虚假的证明文件的；</w:t>
      </w:r>
    </w:p>
    <w:p w14:paraId="02E95716">
      <w:r>
        <w:rPr>
          <w:rFonts w:hint="eastAsia"/>
        </w:rPr>
        <w:t>（四）使用不符合标准的食品添加剂或者超范围、超限量使用食品添加剂的；</w:t>
      </w:r>
    </w:p>
    <w:p w14:paraId="0DA28D79">
      <w:r>
        <w:rPr>
          <w:rFonts w:hint="eastAsia"/>
        </w:rPr>
        <w:t>（五）生产经营国家和本市明令禁止生产经营的食品的。</w:t>
      </w:r>
    </w:p>
    <w:p w14:paraId="604F01A2"/>
    <w:p w14:paraId="7B2693E0">
      <w:pPr>
        <w:ind w:firstLine="0" w:firstLineChars="0"/>
        <w:jc w:val="center"/>
        <w:rPr>
          <w:b/>
          <w:sz w:val="28"/>
        </w:rPr>
      </w:pPr>
      <w:r>
        <w:rPr>
          <w:rFonts w:hint="eastAsia"/>
          <w:b/>
          <w:sz w:val="28"/>
        </w:rPr>
        <w:t>第四章  食用农产品</w:t>
      </w:r>
    </w:p>
    <w:p w14:paraId="7A1A7C01"/>
    <w:p w14:paraId="521F46E0">
      <w:pPr>
        <w:ind w:firstLine="422"/>
      </w:pPr>
      <w:r>
        <w:rPr>
          <w:rFonts w:hint="eastAsia"/>
          <w:b/>
        </w:rPr>
        <w:t>第三十五条</w:t>
      </w:r>
      <w:r>
        <w:rPr>
          <w:rFonts w:hint="eastAsia"/>
        </w:rPr>
        <w:t xml:space="preserve">  市农业、园林绿化等行政部门应当采取措施加强食用农产品产地环境监测、管理和保护。</w:t>
      </w:r>
    </w:p>
    <w:p w14:paraId="27794A6D">
      <w:r>
        <w:rPr>
          <w:rFonts w:hint="eastAsia"/>
        </w:rPr>
        <w:t>区、县人民政府应当根据产地环境监测结果加强食用农产品产地环境保护和污染治理，并根据生产环境治理情况调整生产结构。</w:t>
      </w:r>
    </w:p>
    <w:p w14:paraId="6F778079">
      <w:r>
        <w:rPr>
          <w:rFonts w:hint="eastAsia"/>
        </w:rPr>
        <w:t>食用农产品生产者应当在农业生产环境、农用灌溉水符合相关标准的条件下，从事食用农产品生产。</w:t>
      </w:r>
    </w:p>
    <w:p w14:paraId="353E4E89">
      <w:pPr>
        <w:ind w:firstLine="422"/>
      </w:pPr>
      <w:r>
        <w:rPr>
          <w:rFonts w:hint="eastAsia"/>
          <w:b/>
        </w:rPr>
        <w:t>第三十六条</w:t>
      </w:r>
      <w:r>
        <w:rPr>
          <w:rFonts w:hint="eastAsia"/>
        </w:rPr>
        <w:t xml:space="preserve">  食用农产品生产者应当按照生产技术要求和操作规程从事食用农产品生产，按照规定正确、合理使用农业投入品，不得超范围、超剂量使用，保证生产的食用农产品符合农产品质量安全标准。</w:t>
      </w:r>
    </w:p>
    <w:p w14:paraId="549834DF">
      <w:r>
        <w:rPr>
          <w:rFonts w:hint="eastAsia"/>
        </w:rPr>
        <w:t>食用农产品生产企业和农民专业合作组织的主要负责人应当组织建立健全本单位的农产品质量安全管理制度、农产品质量安全控制体系以及农产品生产记录，并对本单位的食用农产品质量安全全面负责。</w:t>
      </w:r>
    </w:p>
    <w:p w14:paraId="100019A4">
      <w:r>
        <w:rPr>
          <w:rFonts w:hint="eastAsia"/>
        </w:rPr>
        <w:t>区、县人民政府应当明确涉及食用农产品生产的乡镇人民政府和街道办事处承担农产品质量安全监管公共服务职责的相应机构，做好农产品质量安全知识培训、质量安全控制技术推广、生产环节质量安全日常巡查等农产品质量安全监管服务工作。</w:t>
      </w:r>
    </w:p>
    <w:p w14:paraId="6A95614A">
      <w:r>
        <w:rPr>
          <w:rFonts w:hint="eastAsia"/>
        </w:rPr>
        <w:t>乡镇农业、林业技术推广机构应当指导从事食用农产品生产的个人逐步建立食用农产品生产记录，如实记录生产的品种、数量、投入品使用、销售去向等生产销售情况。</w:t>
      </w:r>
    </w:p>
    <w:p w14:paraId="0BF417DE">
      <w:pPr>
        <w:ind w:firstLine="422"/>
      </w:pPr>
      <w:r>
        <w:rPr>
          <w:rFonts w:hint="eastAsia"/>
          <w:b/>
        </w:rPr>
        <w:t>第三十七条</w:t>
      </w:r>
      <w:r>
        <w:rPr>
          <w:rFonts w:hint="eastAsia"/>
        </w:rPr>
        <w:t xml:space="preserve">  本市鼓励农业标准化生产；鼓励农业企业、专业合作社建设食用农产品生产标准化基地。</w:t>
      </w:r>
    </w:p>
    <w:p w14:paraId="40EC5820">
      <w:r>
        <w:rPr>
          <w:rFonts w:hint="eastAsia"/>
        </w:rPr>
        <w:t>食用农产品生产标准化基地应当建立食用农产品质量管理制度，按照国家有关规定在食用农产品生产过程中全面贯彻实施各项标准的要求，对食用农产品生产实行全程质量安全控制。</w:t>
      </w:r>
    </w:p>
    <w:p w14:paraId="0D7CC27F">
      <w:r>
        <w:rPr>
          <w:rFonts w:hint="eastAsia"/>
        </w:rPr>
        <w:t>生猪及其他畜禽屠宰企业应当建立稳定的货源基地，并按照有关标准规范养殖行为，记录养殖者、防疫、检疫、饲料等相关信息，并按照操作规范实施屠宰加工；不得收购无固定养殖基地或者无法追溯来源的生猪及有关畜禽或者接受他人委托进行屠宰加工。</w:t>
      </w:r>
    </w:p>
    <w:p w14:paraId="6A30893F">
      <w:pPr>
        <w:ind w:firstLine="422"/>
      </w:pPr>
      <w:r>
        <w:rPr>
          <w:rFonts w:hint="eastAsia"/>
          <w:b/>
        </w:rPr>
        <w:t>第三十八条</w:t>
      </w:r>
      <w:r>
        <w:rPr>
          <w:rFonts w:hint="eastAsia"/>
        </w:rPr>
        <w:t xml:space="preserve">  进入本市批发市场和超市销售的食用农产品应当附具相应的产地证明、检疫证明、检验报告等食用农产品质量证明文件。</w:t>
      </w:r>
    </w:p>
    <w:p w14:paraId="3EA47B1E">
      <w:pPr>
        <w:ind w:firstLine="422"/>
      </w:pPr>
      <w:r>
        <w:rPr>
          <w:rFonts w:hint="eastAsia"/>
          <w:b/>
        </w:rPr>
        <w:t>第三十九条</w:t>
      </w:r>
      <w:r>
        <w:rPr>
          <w:rFonts w:hint="eastAsia"/>
        </w:rPr>
        <w:t xml:space="preserve">  本市实行严格的农药管理制度。农药经营者经营农药应当符合国家农药管理法规规定的条件和有关法律、法规规定的食品安全要求。市农业行政部门制定并公布符合国家和本市农药管理法规规定要求的农药经营者名录和名录管理办法。</w:t>
      </w:r>
    </w:p>
    <w:p w14:paraId="528267F1">
      <w:r>
        <w:rPr>
          <w:rFonts w:hint="eastAsia"/>
        </w:rPr>
        <w:t>使用农药应当遵守国家和本市有关农药安全使用的规范，不得销售和使用国家禁止的农药品种。</w:t>
      </w:r>
    </w:p>
    <w:p w14:paraId="58F4E310">
      <w:r>
        <w:rPr>
          <w:rFonts w:hint="eastAsia"/>
        </w:rPr>
        <w:t>区、县农业行政主管部门应当组织推广安全、高效农药，采取措施落实农药补贴政策，引导使用者购买安全农药，并加强对安全、合理使用农药的监督和指导，开展免费培训活动，提高使用者施药技术水平。</w:t>
      </w:r>
    </w:p>
    <w:p w14:paraId="2E00C532">
      <w:pPr>
        <w:ind w:firstLine="422"/>
      </w:pPr>
      <w:r>
        <w:rPr>
          <w:rFonts w:hint="eastAsia"/>
          <w:b/>
        </w:rPr>
        <w:t>第四十条</w:t>
      </w:r>
      <w:r>
        <w:rPr>
          <w:rFonts w:hint="eastAsia"/>
        </w:rPr>
        <w:t xml:space="preserve">  农药、兽药、饲料和饲料添加剂、肥料等农业投入品经营者应当建立经营记录，记录投入品名称、来源、进货日期、生产企业、销售时间、销售对象、销售数量等内容，保存期限不得少于</w:t>
      </w:r>
      <w:r>
        <w:rPr>
          <w:rFonts w:hint="eastAsia" w:ascii="宋体" w:hAnsi="宋体" w:eastAsia="宋体" w:cs="宋体"/>
        </w:rPr>
        <w:t>2</w:t>
      </w:r>
      <w:r>
        <w:rPr>
          <w:rFonts w:hint="eastAsia"/>
        </w:rPr>
        <w:t>年；销售农业投入品时，应当向购买者提供产品说明书，明确提示购买者注意产品说明书中有关投入品用法、用量和使用范围等信息。</w:t>
      </w:r>
    </w:p>
    <w:p w14:paraId="59CFB494">
      <w:pPr>
        <w:ind w:firstLine="422"/>
      </w:pPr>
      <w:r>
        <w:rPr>
          <w:rFonts w:hint="eastAsia"/>
          <w:b/>
        </w:rPr>
        <w:t>第四十一条</w:t>
      </w:r>
      <w:r>
        <w:rPr>
          <w:rFonts w:hint="eastAsia"/>
        </w:rPr>
        <w:t xml:space="preserve">  本市鼓励和支持农业技术推广机构和有关科研机构开展高效低毒农药和生物防治技术的科学研究，推广新型安全农业投入品的使用，提高食用农产品质量和安全管理水平。</w:t>
      </w:r>
    </w:p>
    <w:p w14:paraId="179DE199">
      <w:r>
        <w:rPr>
          <w:rFonts w:hint="eastAsia"/>
        </w:rPr>
        <w:t>有关监督管理部门应当采取保障措施，加强检验机构能力建设，改善技术条件，提高检验技术水平。</w:t>
      </w:r>
    </w:p>
    <w:p w14:paraId="5A00C545"/>
    <w:p w14:paraId="7649FDF0">
      <w:pPr>
        <w:ind w:firstLine="0" w:firstLineChars="0"/>
        <w:jc w:val="center"/>
        <w:rPr>
          <w:b/>
          <w:sz w:val="28"/>
        </w:rPr>
      </w:pPr>
      <w:r>
        <w:rPr>
          <w:rFonts w:hint="eastAsia"/>
          <w:b/>
          <w:sz w:val="28"/>
        </w:rPr>
        <w:t>第五章  食品安全保障</w:t>
      </w:r>
    </w:p>
    <w:p w14:paraId="79E18969">
      <w:pPr>
        <w:ind w:firstLine="0" w:firstLineChars="0"/>
        <w:jc w:val="center"/>
        <w:rPr>
          <w:b/>
          <w:sz w:val="28"/>
        </w:rPr>
      </w:pPr>
    </w:p>
    <w:p w14:paraId="4EFB7090">
      <w:pPr>
        <w:ind w:firstLine="0" w:firstLineChars="0"/>
        <w:jc w:val="center"/>
        <w:rPr>
          <w:sz w:val="28"/>
        </w:rPr>
      </w:pPr>
      <w:r>
        <w:rPr>
          <w:rFonts w:hint="eastAsia"/>
          <w:sz w:val="28"/>
        </w:rPr>
        <w:t>第一节  风险管理</w:t>
      </w:r>
    </w:p>
    <w:p w14:paraId="5F1100B5">
      <w:pPr>
        <w:ind w:firstLine="0" w:firstLineChars="0"/>
        <w:jc w:val="center"/>
        <w:rPr>
          <w:sz w:val="28"/>
        </w:rPr>
      </w:pPr>
    </w:p>
    <w:p w14:paraId="442F959E">
      <w:pPr>
        <w:ind w:firstLine="422"/>
      </w:pPr>
      <w:r>
        <w:rPr>
          <w:rFonts w:hint="eastAsia"/>
          <w:b/>
        </w:rPr>
        <w:t>第四十二条</w:t>
      </w:r>
      <w:r>
        <w:rPr>
          <w:rFonts w:hint="eastAsia"/>
        </w:rPr>
        <w:t xml:space="preserve">  市食品办应当会同有关食品安全监督管理部门制定本市食品安全风险监测计划，加强食品安全风险评估能力建设，建立健全食品安全风险监测和风险评估体系，确定技术机构开展食品安全风险监测。开展食品安全风险监测所需经费列入财政预算。</w:t>
      </w:r>
    </w:p>
    <w:p w14:paraId="69A3163B">
      <w:r>
        <w:rPr>
          <w:rFonts w:hint="eastAsia"/>
        </w:rPr>
        <w:t>市食品办组织协调食品安全监督管理部门在大型农副产品批发市场、大型食品物流配送中心以及本市重点监督管理的食品生产企业设食品安全督察员，实施驻点食品安全监督管理。</w:t>
      </w:r>
    </w:p>
    <w:p w14:paraId="6F09F766">
      <w:pPr>
        <w:ind w:firstLine="422"/>
      </w:pPr>
      <w:r>
        <w:rPr>
          <w:rFonts w:hint="eastAsia"/>
          <w:b/>
        </w:rPr>
        <w:t>第四十三条</w:t>
      </w:r>
      <w:r>
        <w:rPr>
          <w:rFonts w:hint="eastAsia"/>
        </w:rPr>
        <w:t xml:space="preserve">  市食品办确定的技术机构开展的食品安全风险监测结果表明食品可能存在安全隐患的，有关食品安全监督管理部门应当立即组织检验。</w:t>
      </w:r>
    </w:p>
    <w:p w14:paraId="2251E735">
      <w:r>
        <w:rPr>
          <w:rFonts w:hint="eastAsia"/>
        </w:rPr>
        <w:t>市卫生行政部门按照国家监测计划承担相应的食品安全风险监测职责，有关食品安全监督管理部门应当配合。</w:t>
      </w:r>
    </w:p>
    <w:p w14:paraId="06A81AD9">
      <w:pPr>
        <w:ind w:firstLine="422"/>
      </w:pPr>
      <w:r>
        <w:rPr>
          <w:rFonts w:hint="eastAsia"/>
          <w:b/>
        </w:rPr>
        <w:t>第四十四条</w:t>
      </w:r>
      <w:r>
        <w:rPr>
          <w:rFonts w:hint="eastAsia"/>
        </w:rPr>
        <w:t xml:space="preserve">  本市成立食品安全专家委员会，对下列事项开展风险评估：</w:t>
      </w:r>
    </w:p>
    <w:p w14:paraId="638F00FC">
      <w:r>
        <w:rPr>
          <w:rFonts w:hint="eastAsia"/>
        </w:rPr>
        <w:t>（一）有关食品没有食品安全标准，但有证据表明可能对公众身体健康和生命安全造成危害的；</w:t>
      </w:r>
    </w:p>
    <w:p w14:paraId="5E85623C">
      <w:bookmarkStart w:id="2467" w:name="_Toc428780709"/>
      <w:r>
        <w:rPr>
          <w:rFonts w:hint="eastAsia"/>
        </w:rPr>
        <w:t>（二）为制定或者修订本市食品安全地方标准提供科学依据的；</w:t>
      </w:r>
      <w:bookmarkEnd w:id="2467"/>
    </w:p>
    <w:p w14:paraId="28236123">
      <w:r>
        <w:rPr>
          <w:rFonts w:hint="eastAsia"/>
        </w:rPr>
        <w:t>（三）对存在安全隐患的食品经组织检验后认为需要进行风险评估的；</w:t>
      </w:r>
    </w:p>
    <w:p w14:paraId="696EBC82">
      <w:r>
        <w:rPr>
          <w:rFonts w:hint="eastAsia"/>
        </w:rPr>
        <w:t>（四）食品生产加工环境、条件、工艺流程、操作规范、管理规程等方面存在风险隐患，需要进行风险评估的；</w:t>
      </w:r>
    </w:p>
    <w:p w14:paraId="753F954B">
      <w:bookmarkStart w:id="2468" w:name="_Toc428780710"/>
      <w:r>
        <w:rPr>
          <w:rFonts w:hint="eastAsia"/>
        </w:rPr>
        <w:t>（五）处理或者应对重大食品安全事件需要进行风险评估的；</w:t>
      </w:r>
      <w:bookmarkEnd w:id="2468"/>
    </w:p>
    <w:p w14:paraId="32EBC2BE">
      <w:r>
        <w:rPr>
          <w:rFonts w:hint="eastAsia"/>
        </w:rPr>
        <w:t>（六）其他需要进行风险评估的。</w:t>
      </w:r>
    </w:p>
    <w:p w14:paraId="50679E1A">
      <w:r>
        <w:rPr>
          <w:rFonts w:hint="eastAsia"/>
        </w:rPr>
        <w:t>食品安全风险评估结果作为食品安全监督管理的参考依据。</w:t>
      </w:r>
    </w:p>
    <w:p w14:paraId="564DE258">
      <w:pPr>
        <w:ind w:firstLine="422"/>
      </w:pPr>
      <w:r>
        <w:rPr>
          <w:rFonts w:hint="eastAsia"/>
          <w:b/>
        </w:rPr>
        <w:t>第四十五条</w:t>
      </w:r>
      <w:r>
        <w:rPr>
          <w:rFonts w:hint="eastAsia"/>
        </w:rPr>
        <w:t xml:space="preserve">  市食品办应当会同有关食品安全监督管理部门，根据风险评估结果采取相应的措施预防和控制风险。</w:t>
      </w:r>
    </w:p>
    <w:p w14:paraId="756052F4">
      <w:r>
        <w:rPr>
          <w:rFonts w:hint="eastAsia"/>
        </w:rPr>
        <w:t>对食品安全风险监测和评估结果表明可能具有较高程度安全风险的食品，市食品办应当及时提出食品安全风险警示，并向社会公布；发生食品安全事故或者情况紧急、可能引发突发事件的，市食品安全监督管理部门应当根据需要实施责令暂停购进、销售相关食品等临时控制措施。必要时，经市人民政府批准，可以对相关企业、区域生产的同类食品采取相应的临时控制措施。食品安全风险消除或者采取临时控制措施的条件和原因消除后，相关部门应当及时解除风险警示和临时控制措施并向社会公布。</w:t>
      </w:r>
    </w:p>
    <w:p w14:paraId="7812F49C"/>
    <w:p w14:paraId="20A25CE3">
      <w:pPr>
        <w:ind w:firstLine="0" w:firstLineChars="0"/>
        <w:jc w:val="center"/>
        <w:rPr>
          <w:sz w:val="28"/>
        </w:rPr>
      </w:pPr>
      <w:r>
        <w:rPr>
          <w:rFonts w:hint="eastAsia"/>
          <w:sz w:val="28"/>
        </w:rPr>
        <w:t>第二节  监督管理</w:t>
      </w:r>
    </w:p>
    <w:p w14:paraId="314545D5"/>
    <w:p w14:paraId="2B858C43">
      <w:pPr>
        <w:ind w:firstLine="422"/>
      </w:pPr>
      <w:r>
        <w:rPr>
          <w:rFonts w:hint="eastAsia"/>
          <w:b/>
        </w:rPr>
        <w:t>第四十六条</w:t>
      </w:r>
      <w:r>
        <w:rPr>
          <w:rFonts w:hint="eastAsia"/>
        </w:rPr>
        <w:t xml:space="preserve">  食品安全监督管理部门应当依法履行食品安全监督管理职责，加强对食品和食用农产品生产经营者的日常监督检查，如实记录监督检查情况和处理结果，对存在食品安全风险隐患的生产经营单位主要负责人可以采取约谈的方式予以警示；对经检验不合格的食品应当立即采取处置措施，防止造成食品安全事故；食品办应当组织食品安全监督管理部门与相关执法部门建立执法协作机制，共享检验检测结果，互相通报执法信息，完善案件移送程序，提高食品安全执法实效。</w:t>
      </w:r>
    </w:p>
    <w:p w14:paraId="07520141">
      <w:r>
        <w:rPr>
          <w:rFonts w:hint="eastAsia"/>
        </w:rPr>
        <w:t>食品、食品添加剂和食品相关产品的生产经营者，有关市场开办者、柜台出租者，有关展销会、庙会、游园会等活动的举办者，食用农产品生产经营者，农业投入品生产经营者等任何单位和个人对食品安全监督管理部门依法进行的监督检查、抽样检验、事故调查以及疾病预防控制机构依法进行的卫生处理和流行病学调查活动应当予以配合，不得拒绝、阻挠。</w:t>
      </w:r>
    </w:p>
    <w:p w14:paraId="6D4AE684">
      <w:r>
        <w:rPr>
          <w:rFonts w:hint="eastAsia"/>
        </w:rPr>
        <w:t>发生食品安全事故时，所在地人民政府食品办应当及时通知同级卫生行政部门协调疾病预防控制机构启动食品安全事故流行病学调查程序。食品安全事故流行病学调查工作应当与相关食品安全监督管理部门的事故调查工作同步进行。疾病预防控制机构依法进行卫生处理和流行病学调查活动时，有关监督管理部门应当予以配合。</w:t>
      </w:r>
    </w:p>
    <w:p w14:paraId="5029EFAF">
      <w:pPr>
        <w:ind w:firstLine="422"/>
      </w:pPr>
      <w:r>
        <w:rPr>
          <w:rFonts w:hint="eastAsia"/>
          <w:b/>
        </w:rPr>
        <w:t>第四十七条</w:t>
      </w:r>
      <w:r>
        <w:rPr>
          <w:rFonts w:hint="eastAsia"/>
        </w:rPr>
        <w:t xml:space="preserve">  乡镇人民政府和街道办事处发现辖区内的食品生产经营违法行为，应当予以制止，并及时向区、县食品办和有关食品安全监督管理部门报告。</w:t>
      </w:r>
    </w:p>
    <w:p w14:paraId="2E3B251C">
      <w:r>
        <w:rPr>
          <w:rFonts w:hint="eastAsia"/>
        </w:rPr>
        <w:t>接到报告的食品办和食品安全监督管理部门应当及时调查处理，并反馈结果。</w:t>
      </w:r>
    </w:p>
    <w:p w14:paraId="08FE2CAC">
      <w:pPr>
        <w:ind w:firstLine="422"/>
      </w:pPr>
      <w:r>
        <w:rPr>
          <w:rFonts w:hint="eastAsia"/>
          <w:b/>
        </w:rPr>
        <w:t>第四十八条</w:t>
      </w:r>
      <w:r>
        <w:rPr>
          <w:rFonts w:hint="eastAsia"/>
        </w:rPr>
        <w:t xml:space="preserve">  市和区、县食品办应当组织市和区、县食品安全监督管理部门制定食品安全年度监督管理和抽检计划，食品安全监督管理部门应当按照计划开展食品安全监督管理。对本市重点监督管理的食品，市食品办应当组织有关食品安全监督管理部门进行风险监测和抽样检验。</w:t>
      </w:r>
    </w:p>
    <w:p w14:paraId="30FFA8DA">
      <w:pPr>
        <w:ind w:firstLine="422"/>
      </w:pPr>
      <w:r>
        <w:rPr>
          <w:rFonts w:hint="eastAsia"/>
          <w:b/>
        </w:rPr>
        <w:t>第四十九条</w:t>
      </w:r>
      <w:r>
        <w:rPr>
          <w:rFonts w:hint="eastAsia"/>
        </w:rPr>
        <w:t xml:space="preserve">  受检单位对检验结论有异议的，应当以书面形式提出复检申请。复检样品应当是初检机构抽检的备份样品。</w:t>
      </w:r>
    </w:p>
    <w:p w14:paraId="7F01D736">
      <w:r>
        <w:rPr>
          <w:rFonts w:hint="eastAsia"/>
        </w:rPr>
        <w:t>有下列情形之一的，不予复检：</w:t>
      </w:r>
    </w:p>
    <w:p w14:paraId="34260BB1">
      <w:r>
        <w:rPr>
          <w:rFonts w:hint="eastAsia"/>
        </w:rPr>
        <w:t>（一）逾期提出复检申请或者已进行过复检的；</w:t>
      </w:r>
    </w:p>
    <w:p w14:paraId="04C5720F">
      <w:r>
        <w:rPr>
          <w:rFonts w:hint="eastAsia"/>
        </w:rPr>
        <w:t>（二）私自拆封、调换或者损毁备份样品的；</w:t>
      </w:r>
    </w:p>
    <w:p w14:paraId="0568363F">
      <w:r>
        <w:rPr>
          <w:rFonts w:hint="eastAsia"/>
        </w:rPr>
        <w:t>（三）备份样品超过保质期的；</w:t>
      </w:r>
    </w:p>
    <w:p w14:paraId="04C1C5DE">
      <w:r>
        <w:rPr>
          <w:rFonts w:hint="eastAsia"/>
        </w:rPr>
        <w:t>（四）初检结果显示微生物指标超标的；</w:t>
      </w:r>
    </w:p>
    <w:p w14:paraId="504C9EC4">
      <w:r>
        <w:rPr>
          <w:rFonts w:hint="eastAsia"/>
        </w:rPr>
        <w:t>（五）备份样品的生产单位对样品的真实性提出异议，但不能提供有关证明文件的；</w:t>
      </w:r>
    </w:p>
    <w:p w14:paraId="56B8F1A1">
      <w:bookmarkStart w:id="2469" w:name="_Toc428780711"/>
      <w:r>
        <w:rPr>
          <w:rFonts w:hint="eastAsia"/>
        </w:rPr>
        <w:t>（六）备份样品在正常储存过程中可能发生改变、影响检验结果的；</w:t>
      </w:r>
      <w:bookmarkEnd w:id="2469"/>
    </w:p>
    <w:p w14:paraId="6432FBD4">
      <w:r>
        <w:rPr>
          <w:rFonts w:hint="eastAsia"/>
        </w:rPr>
        <w:t>（七）其他非人为原因可能导致备份样品无法实现复检目的的。</w:t>
      </w:r>
    </w:p>
    <w:p w14:paraId="09355AF7">
      <w:pPr>
        <w:ind w:firstLine="422"/>
      </w:pPr>
      <w:r>
        <w:rPr>
          <w:rFonts w:hint="eastAsia"/>
          <w:b/>
        </w:rPr>
        <w:t>第五十条</w:t>
      </w:r>
      <w:r>
        <w:rPr>
          <w:rFonts w:hint="eastAsia"/>
        </w:rPr>
        <w:t xml:space="preserve">  食品安全监督管理部门现场发现食品腐败变质、油脂酸败、霉变生虫、掺杂异物或者其他感官性状明显异常的，可以通过视听图像、文字描述等方式记录现场情况，经当事人签字确认，可以作为证据。</w:t>
      </w:r>
    </w:p>
    <w:p w14:paraId="33A9E58A">
      <w:pPr>
        <w:ind w:firstLine="422"/>
      </w:pPr>
      <w:r>
        <w:rPr>
          <w:rFonts w:hint="eastAsia"/>
          <w:b/>
        </w:rPr>
        <w:t>第五十一条</w:t>
      </w:r>
      <w:r>
        <w:rPr>
          <w:rFonts w:hint="eastAsia"/>
        </w:rPr>
        <w:t xml:space="preserve">  食品安全监督管理部门有权责令食品生产者召回、食品经营者停止销售不符合食品安全标准的食品，并及时公布有关信息。</w:t>
      </w:r>
    </w:p>
    <w:p w14:paraId="69CA412F">
      <w:r>
        <w:rPr>
          <w:rFonts w:hint="eastAsia"/>
        </w:rPr>
        <w:t>除因标签标识或者说明书不符合食品安全标准的以外，食品安全监督管理部门应当监督食品生产者销毁被召回的食品或者实施无害化处理。监督销毁或者实施无害化处理后，现场监督人员应当作完整记录、签字确认并及时上报。</w:t>
      </w:r>
    </w:p>
    <w:p w14:paraId="60AA0DAB">
      <w:pPr>
        <w:ind w:firstLine="422"/>
      </w:pPr>
      <w:r>
        <w:rPr>
          <w:rFonts w:hint="eastAsia"/>
          <w:b/>
        </w:rPr>
        <w:t>第五十二条</w:t>
      </w:r>
      <w:r>
        <w:rPr>
          <w:rFonts w:hint="eastAsia"/>
        </w:rPr>
        <w:t xml:space="preserve">  食品安全监督管理部门在监督检查中发现食品或者食用农产品生产经营者存在严重违法行为的，可以将载明违法生产经营者名称、违法事项和行政处理决定等内容的公示书张贴在该违法生产经营者的生产经营场所明显位置；在规定时间内履行行政处理决定规定义务的，食品安全监督管理部门可以撤销现场公示。</w:t>
      </w:r>
    </w:p>
    <w:p w14:paraId="17DC75C9">
      <w:r>
        <w:rPr>
          <w:rFonts w:hint="eastAsia"/>
        </w:rPr>
        <w:t>对本条前款规定的违法生产经营者擅自揭除、撕毁、遮挡、污损公示书的，可以从重或者加重行政处罚。</w:t>
      </w:r>
    </w:p>
    <w:p w14:paraId="376E49DA">
      <w:r>
        <w:rPr>
          <w:rFonts w:hint="eastAsia"/>
        </w:rPr>
        <w:t>对食品生产经营者存在严重违法行为、造成恶劣社会影响的，食品安全监督管理部门可以通过电视、报刊、广播、互联网等媒体予以曝光。</w:t>
      </w:r>
    </w:p>
    <w:p w14:paraId="6FBB3378">
      <w:pPr>
        <w:ind w:firstLine="422"/>
      </w:pPr>
      <w:r>
        <w:rPr>
          <w:rFonts w:hint="eastAsia"/>
          <w:b/>
        </w:rPr>
        <w:t>第五十三条</w:t>
      </w:r>
      <w:r>
        <w:rPr>
          <w:rFonts w:hint="eastAsia"/>
        </w:rPr>
        <w:t xml:space="preserve">  本市实行食品安全和食用农产品质量安全追溯制度。在整合现有食品安全追溯信息平台基础上建立统一的食品安全追溯信息归集、共享、公布平台，开展食品安全全过程追溯的区域合作。</w:t>
      </w:r>
    </w:p>
    <w:p w14:paraId="2DBD603A">
      <w:r>
        <w:rPr>
          <w:rFonts w:hint="eastAsia"/>
        </w:rPr>
        <w:t>本市根据食品安全存在风险的状况，对本市重点监督管理的食品和食用农产品的生产经营加强监管，实现生产、收购、加工、贮存、运输、销售全过程的食品安全信息可追溯。食品和食用农产品生产经营者应当按照规定记录和报送相关信息。</w:t>
      </w:r>
    </w:p>
    <w:p w14:paraId="53AA2659">
      <w:pPr>
        <w:ind w:firstLine="422"/>
      </w:pPr>
      <w:r>
        <w:rPr>
          <w:rFonts w:hint="eastAsia"/>
          <w:b/>
        </w:rPr>
        <w:t>第五十四条</w:t>
      </w:r>
      <w:r>
        <w:rPr>
          <w:rFonts w:hint="eastAsia"/>
        </w:rPr>
        <w:t xml:space="preserve">  市食品办应当建立全市统一的食品安全信用信息平台，统一归集食品生产经营者的身份信息、提示信息、警示信息、良好信息和违法信息等信用信息，并向社会公开。</w:t>
      </w:r>
    </w:p>
    <w:p w14:paraId="39449CAB">
      <w:r>
        <w:rPr>
          <w:rFonts w:hint="eastAsia"/>
        </w:rPr>
        <w:t>食品安全监督管理部门应当依法建立食品生产经营者食品安全信用档案，记录许可证颁发、日常监督检查结果、违法行为查处等监督管理过程中获取的有关食品生产经营者食品安全状况的信息，并将相关信息纳入食品安全信用信息平台。</w:t>
      </w:r>
    </w:p>
    <w:p w14:paraId="6061047E">
      <w:r>
        <w:rPr>
          <w:rFonts w:hint="eastAsia"/>
        </w:rPr>
        <w:t>食品安全监督管理部门可以根据食品生产经营者信用状况、食品的风险程度对食品生产经营者实行分级分类或者积分管理，对有不良信用记录的、发生食品安全事故风险较高的食品生产经营者重点加强管理，增加监督检查频次；食品生产经营者食品安全信用状况可以作为食品安全监督管理部门是否批准延续相关行政许可申请的重要评价依据。</w:t>
      </w:r>
    </w:p>
    <w:p w14:paraId="63E3E252">
      <w:pPr>
        <w:ind w:firstLine="422"/>
      </w:pPr>
      <w:r>
        <w:rPr>
          <w:rFonts w:hint="eastAsia"/>
          <w:b/>
        </w:rPr>
        <w:t>第五十五条</w:t>
      </w:r>
      <w:r>
        <w:rPr>
          <w:rFonts w:hint="eastAsia"/>
        </w:rPr>
        <w:t xml:space="preserve">  本市实行食品安全信息公开制度，定期向社会公布抽查监测结果、执法检查情况等信息。对食品安全突发事件和社会关注的食品安全热点问题，有关食品安全监督管理部门应当及时公布事件进展、应急处置措施、公众防范措施和调查处理情况。</w:t>
      </w:r>
    </w:p>
    <w:p w14:paraId="31549C34">
      <w:r>
        <w:rPr>
          <w:rFonts w:hint="eastAsia"/>
        </w:rPr>
        <w:t>下列食品安全信息由市食品办统一公布：</w:t>
      </w:r>
    </w:p>
    <w:p w14:paraId="76388912">
      <w:bookmarkStart w:id="2470" w:name="_Toc428780712"/>
      <w:r>
        <w:rPr>
          <w:rFonts w:hint="eastAsia"/>
        </w:rPr>
        <w:t>（一）本市食品安全总体情况；</w:t>
      </w:r>
      <w:bookmarkEnd w:id="2470"/>
    </w:p>
    <w:p w14:paraId="63ED6314">
      <w:r>
        <w:rPr>
          <w:rFonts w:hint="eastAsia"/>
        </w:rPr>
        <w:t>（二）本市食品安全风险评估信息和风险警示信息；</w:t>
      </w:r>
    </w:p>
    <w:p w14:paraId="6E3A56AB">
      <w:r>
        <w:rPr>
          <w:rFonts w:hint="eastAsia"/>
        </w:rPr>
        <w:t>（三）本市重大食品安全事件及其处理信息；</w:t>
      </w:r>
    </w:p>
    <w:p w14:paraId="1FF7AB99">
      <w:r>
        <w:rPr>
          <w:rFonts w:hint="eastAsia"/>
        </w:rPr>
        <w:t>（四）市人民政府确定的需要统一公布的信息。</w:t>
      </w:r>
    </w:p>
    <w:p w14:paraId="68333133">
      <w:r>
        <w:rPr>
          <w:rFonts w:hint="eastAsia"/>
        </w:rPr>
        <w:t>有关食品安全监督管理部门依据各自职责公布食品安全和农产品质量安全日常监督管理信息，同时向市食品办通报。</w:t>
      </w:r>
    </w:p>
    <w:p w14:paraId="48385007">
      <w:pPr>
        <w:ind w:firstLine="422"/>
      </w:pPr>
      <w:r>
        <w:rPr>
          <w:rFonts w:hint="eastAsia"/>
          <w:b/>
        </w:rPr>
        <w:t>第五十六条</w:t>
      </w:r>
      <w:r>
        <w:rPr>
          <w:rFonts w:hint="eastAsia"/>
        </w:rPr>
        <w:t xml:space="preserve">  食品安全监督管理部门在监督检查中发现违法行为涉嫌构成刑事犯罪的，应当及时移送公安机关。公安机关应当及时调查，对符合立案标准的立案侦查，食品安全监督管理部门予以配合。</w:t>
      </w:r>
    </w:p>
    <w:p w14:paraId="6B84FACE"/>
    <w:p w14:paraId="1BA6EC9E">
      <w:pPr>
        <w:ind w:firstLine="0" w:firstLineChars="0"/>
        <w:jc w:val="center"/>
        <w:rPr>
          <w:b/>
          <w:sz w:val="28"/>
        </w:rPr>
      </w:pPr>
      <w:r>
        <w:rPr>
          <w:rFonts w:hint="eastAsia"/>
          <w:b/>
          <w:sz w:val="28"/>
        </w:rPr>
        <w:t>第六章  法律责任</w:t>
      </w:r>
    </w:p>
    <w:p w14:paraId="6A4E841F"/>
    <w:p w14:paraId="1E3CB150">
      <w:pPr>
        <w:ind w:firstLine="422"/>
      </w:pPr>
      <w:r>
        <w:rPr>
          <w:rFonts w:hint="eastAsia"/>
          <w:b/>
        </w:rPr>
        <w:t>第五十七条</w:t>
      </w:r>
      <w:r>
        <w:rPr>
          <w:rFonts w:hint="eastAsia"/>
        </w:rPr>
        <w:t xml:space="preserve">  本市建立健全食品安全执法责任追究制度。市和区、县食品办、食品安全监督管理部门及其工作人员违反本条例规定，违法履行、不履行或者不当履行行政职责的，按照国家和本市有关规定给予行政问责和行政处分；构成犯罪的，依法追究刑事责任。</w:t>
      </w:r>
    </w:p>
    <w:p w14:paraId="7ECAB831">
      <w:pPr>
        <w:ind w:firstLine="422"/>
        <w:rPr>
          <w:rFonts w:hint="eastAsia" w:ascii="宋体" w:hAnsi="宋体" w:eastAsia="宋体" w:cs="宋体"/>
        </w:rPr>
      </w:pPr>
      <w:r>
        <w:rPr>
          <w:rFonts w:hint="eastAsia"/>
          <w:b/>
        </w:rPr>
        <w:t>第五十八条</w:t>
      </w:r>
      <w:r>
        <w:rPr>
          <w:rFonts w:hint="eastAsia"/>
        </w:rPr>
        <w:t xml:space="preserve">  有下列情形之一的，由有关主管部门责令限期改正，没收违法所得、违法生产经营的食品和用于违法生产经营的工具、设备、原料等物品；违法生产经营的食品货值金额不</w:t>
      </w:r>
      <w:r>
        <w:rPr>
          <w:rFonts w:hint="eastAsia" w:ascii="宋体" w:hAnsi="宋体" w:eastAsia="宋体" w:cs="宋体"/>
        </w:rPr>
        <w:t>足1万元的，并处2000元以上5万元以下罚款；货值金额1万元以上的，并处货值金额5倍以上10倍以下罚款：</w:t>
      </w:r>
    </w:p>
    <w:p w14:paraId="1617F909">
      <w:r>
        <w:rPr>
          <w:rFonts w:hint="eastAsia" w:ascii="宋体" w:hAnsi="宋体" w:eastAsia="宋体" w:cs="宋体"/>
        </w:rPr>
        <w:t>（一）违反本条例第十一条</w:t>
      </w:r>
      <w:r>
        <w:rPr>
          <w:rFonts w:hint="eastAsia"/>
        </w:rPr>
        <w:t>第一款的规定，未获得许可证或者准许证，擅自从事食品生产经营活动的；</w:t>
      </w:r>
    </w:p>
    <w:p w14:paraId="3897D754">
      <w:r>
        <w:rPr>
          <w:rFonts w:hint="eastAsia"/>
        </w:rPr>
        <w:t>（二）违反本条例第十二条第二款的规定，未按照许可证或者准许证上标明的业态从事食品生产经营的；</w:t>
      </w:r>
    </w:p>
    <w:p w14:paraId="3C805291">
      <w:r>
        <w:rPr>
          <w:rFonts w:hint="eastAsia"/>
        </w:rPr>
        <w:t>（三）违反本条例第十三条第二款的规定，食品生产加工作坊生产加工食品品种目录以外的食品的；</w:t>
      </w:r>
    </w:p>
    <w:p w14:paraId="3ED9C1EF">
      <w:r>
        <w:rPr>
          <w:rFonts w:hint="eastAsia"/>
        </w:rPr>
        <w:t>（四）违反本条例第十五条第二款的规定，食品摊贩经营食品品种目录以外的食品的；</w:t>
      </w:r>
    </w:p>
    <w:p w14:paraId="402FC2AA">
      <w:r>
        <w:rPr>
          <w:rFonts w:hint="eastAsia"/>
        </w:rPr>
        <w:t>（五）违反本条例第二十六条第一款的规定，食品生产经营者委托无生产许可证的企业生产食品的。</w:t>
      </w:r>
    </w:p>
    <w:p w14:paraId="3E20BDF9">
      <w:r>
        <w:rPr>
          <w:rFonts w:hint="eastAsia"/>
        </w:rPr>
        <w:t>有前款第二项至第五项所列情形之一，情节严重的，由有关主管部门吊销许可证、准许证或者取消登记。</w:t>
      </w:r>
    </w:p>
    <w:p w14:paraId="20F419FF">
      <w:pPr>
        <w:ind w:firstLine="422"/>
        <w:rPr>
          <w:rFonts w:hint="eastAsia" w:ascii="宋体" w:hAnsi="宋体" w:eastAsia="宋体" w:cs="宋体"/>
        </w:rPr>
      </w:pPr>
      <w:r>
        <w:rPr>
          <w:rFonts w:hint="eastAsia"/>
          <w:b/>
        </w:rPr>
        <w:t>第五十九条</w:t>
      </w:r>
      <w:r>
        <w:rPr>
          <w:rFonts w:hint="eastAsia"/>
        </w:rPr>
        <w:t xml:space="preserve">  食品生产加工作坊、食品摊贩生产经营条件发生变化，未采取整改措施以符合本条例第十三条第二款、第三款和第十五条第一款、第三款规定的生产经营条件和要求的，由有关主管部门责令限期改正，给予警告；造成后果的，没收违法所得、违法生产经营的食品和用于违法生产经营的工具、设备、原料等物品；违法生产经营的食品货值金额不足</w:t>
      </w:r>
      <w:r>
        <w:rPr>
          <w:rFonts w:hint="eastAsia" w:ascii="宋体" w:hAnsi="宋体" w:eastAsia="宋体" w:cs="宋体"/>
        </w:rPr>
        <w:t>1万元的，并处2000元以上5万元以下罚款；货值金额1万元以上的，并处货值金额5倍以上10倍以下罚款；情节严重的，吊销准许证或者取消登记。</w:t>
      </w:r>
    </w:p>
    <w:p w14:paraId="640669B9">
      <w:pPr>
        <w:ind w:firstLine="422"/>
      </w:pPr>
      <w:r>
        <w:rPr>
          <w:rFonts w:hint="eastAsia"/>
          <w:b/>
        </w:rPr>
        <w:t>第六十条</w:t>
      </w:r>
      <w:r>
        <w:rPr>
          <w:rFonts w:hint="eastAsia"/>
        </w:rPr>
        <w:t xml:space="preserve">  违反本条例的规定，有下列情形之一的，由所在地主管部门按照各自职责分工，责令限期改正；逾期不改正的，责令停产停业：</w:t>
      </w:r>
    </w:p>
    <w:p w14:paraId="4DE5D9FD">
      <w:r>
        <w:rPr>
          <w:rFonts w:hint="eastAsia"/>
        </w:rPr>
        <w:t>（一）从事食品经营的摊贩未按照本条例第十六条第一款的规定向有关乡镇人民政府或者街道办事处登记相关信息的；</w:t>
      </w:r>
    </w:p>
    <w:p w14:paraId="07186480">
      <w:r>
        <w:rPr>
          <w:rFonts w:hint="eastAsia"/>
        </w:rPr>
        <w:t>（二）食品生产经营企业的主要负责人不履行本条例第二十一条第二款第一项至第四项规定的职责的；</w:t>
      </w:r>
    </w:p>
    <w:p w14:paraId="6F8617F3">
      <w:r>
        <w:rPr>
          <w:rFonts w:hint="eastAsia"/>
        </w:rPr>
        <w:t>（三）食品安全管理员违反本条例第二十二条的规定，不按照岗位职责要求具体负责组织落实本单位的食品安全管理制度，或者落实不力的；</w:t>
      </w:r>
    </w:p>
    <w:p w14:paraId="03E93829">
      <w:r>
        <w:rPr>
          <w:rFonts w:hint="eastAsia"/>
        </w:rPr>
        <w:t>（四）食品经营者违反本条例第二十七条第一款的规定，未按要求经营散装食品的；</w:t>
      </w:r>
    </w:p>
    <w:p w14:paraId="2ABF41A0">
      <w:r>
        <w:rPr>
          <w:rFonts w:hint="eastAsia"/>
        </w:rPr>
        <w:t>（五）无店铺食品经营者违反本条例第二十八条的规定，未履行公示或者告知义务的。</w:t>
      </w:r>
    </w:p>
    <w:p w14:paraId="0C8AD667">
      <w:pPr>
        <w:ind w:firstLine="422"/>
      </w:pPr>
      <w:r>
        <w:rPr>
          <w:rFonts w:hint="eastAsia"/>
          <w:b/>
        </w:rPr>
        <w:t>第六十一条</w:t>
      </w:r>
      <w:r>
        <w:rPr>
          <w:rFonts w:hint="eastAsia"/>
        </w:rPr>
        <w:t xml:space="preserve">  食品和食品添加剂生产经营者、贮存和运输服务提供者违反本条例第二十</w:t>
      </w:r>
      <w:r>
        <w:rPr>
          <w:rFonts w:hint="eastAsia" w:ascii="宋体" w:hAnsi="宋体" w:eastAsia="宋体" w:cs="宋体"/>
        </w:rPr>
        <w:t>五条的规定的，由有关主管部门责令限期改正，给予警告；逾期不改正的，处2000元以上2万元以下罚款；情节严重的，责令停产停业，直至吊销许</w:t>
      </w:r>
      <w:r>
        <w:rPr>
          <w:rFonts w:hint="eastAsia"/>
        </w:rPr>
        <w:t>可证。</w:t>
      </w:r>
    </w:p>
    <w:p w14:paraId="7D657338">
      <w:pPr>
        <w:ind w:firstLine="422"/>
      </w:pPr>
      <w:r>
        <w:rPr>
          <w:rFonts w:hint="eastAsia"/>
          <w:b/>
        </w:rPr>
        <w:t>第六十二条</w:t>
      </w:r>
      <w:r>
        <w:rPr>
          <w:rFonts w:hint="eastAsia"/>
        </w:rPr>
        <w:t xml:space="preserve">  违反本条例第二十九条的规定，市场开办者、活动举办者或者柜台出租者未执行相关规定的，由有关主管部</w:t>
      </w:r>
      <w:r>
        <w:rPr>
          <w:rFonts w:hint="eastAsia" w:ascii="宋体" w:hAnsi="宋体" w:eastAsia="宋体" w:cs="宋体"/>
        </w:rPr>
        <w:t>门处2000元以上5万元以下罚款；</w:t>
      </w:r>
      <w:r>
        <w:rPr>
          <w:rFonts w:hint="eastAsia"/>
        </w:rPr>
        <w:t>造成严重后果的，责令停业，由原发证部门吊销许可证。</w:t>
      </w:r>
    </w:p>
    <w:p w14:paraId="08A1A80A">
      <w:pPr>
        <w:ind w:firstLine="422"/>
        <w:rPr>
          <w:rFonts w:hint="eastAsia" w:ascii="宋体" w:hAnsi="宋体" w:eastAsia="宋体" w:cs="宋体"/>
        </w:rPr>
      </w:pPr>
      <w:r>
        <w:rPr>
          <w:rFonts w:hint="eastAsia"/>
          <w:b/>
        </w:rPr>
        <w:t>第六十三条</w:t>
      </w:r>
      <w:r>
        <w:rPr>
          <w:rFonts w:hint="eastAsia"/>
        </w:rPr>
        <w:t xml:space="preserve">  餐饮服务提供者和集体用餐配送单位违反本条例第三十条第一款、第二款的规定的，由卫生行政部门责令限期改正，给予警告；造成后果的，没收违法所得、违法经营的食品和用于违法经营的工具、设备、原料等物品；违法经营的食品货值金额</w:t>
      </w:r>
      <w:r>
        <w:rPr>
          <w:rFonts w:hint="eastAsia" w:ascii="宋体" w:hAnsi="宋体" w:eastAsia="宋体" w:cs="宋体"/>
        </w:rPr>
        <w:t>不足1万元的，并处2000元以上5万元以下罚款；货值金额1万元以上的，并处货值金额5倍以上10倍以下罚款；情节严重的，吊销许可证。</w:t>
      </w:r>
    </w:p>
    <w:p w14:paraId="54E8A045">
      <w:pPr>
        <w:ind w:firstLine="422"/>
        <w:rPr>
          <w:rFonts w:hint="eastAsia" w:ascii="宋体" w:hAnsi="宋体" w:eastAsia="宋体" w:cs="宋体"/>
        </w:rPr>
      </w:pPr>
      <w:r>
        <w:rPr>
          <w:rFonts w:hint="eastAsia"/>
          <w:b/>
        </w:rPr>
        <w:t>第六十四条</w:t>
      </w:r>
      <w:r>
        <w:rPr>
          <w:rFonts w:hint="eastAsia"/>
        </w:rPr>
        <w:t xml:space="preserve">  违反本条例第三十条第三款的规定，购买、存放和使用亚硝酸盐等易滥用的食品添加剂的，由有关主管部门没收违法所得、违法生产经营的食品和用于违法生产经营的工具、设备、原料等物品；违法生产经营的食品</w:t>
      </w:r>
      <w:r>
        <w:rPr>
          <w:rFonts w:hint="eastAsia" w:ascii="宋体" w:hAnsi="宋体" w:eastAsia="宋体" w:cs="宋体"/>
        </w:rPr>
        <w:t>货值金额不足1万元的，并处2000元以上5万元以下罚款；货值金额1万元以上的，并处货值金额2倍以上5倍以下罚款；情节严重的，责令停产停业，直至吊销许可证、准许证。</w:t>
      </w:r>
    </w:p>
    <w:p w14:paraId="6337D3D0">
      <w:pPr>
        <w:ind w:firstLine="422"/>
      </w:pPr>
      <w:r>
        <w:rPr>
          <w:rFonts w:hint="eastAsia"/>
          <w:b/>
        </w:rPr>
        <w:t>第六十五条</w:t>
      </w:r>
      <w:r>
        <w:rPr>
          <w:rFonts w:hint="eastAsia"/>
        </w:rPr>
        <w:t xml:space="preserve">  餐饮具清洗消毒企业和服务提供者违反本条例第三十条第四款的规定，不按照规范要求从事餐饮具清洗消毒，提供不符合食品安全标准的餐饮具的，由卫生行政部门责令改正，给予警告；拒不改正的，</w:t>
      </w:r>
      <w:r>
        <w:rPr>
          <w:rFonts w:hint="eastAsia" w:ascii="宋体" w:hAnsi="宋体" w:eastAsia="宋体" w:cs="宋体"/>
        </w:rPr>
        <w:t>处2000元以上2万元以下罚款</w:t>
      </w:r>
      <w:r>
        <w:rPr>
          <w:rFonts w:hint="eastAsia"/>
        </w:rPr>
        <w:t>；情节严重的，责令停产停业，直至吊销许可证。</w:t>
      </w:r>
    </w:p>
    <w:p w14:paraId="55ADD997">
      <w:pPr>
        <w:ind w:firstLine="422"/>
      </w:pPr>
      <w:r>
        <w:rPr>
          <w:rFonts w:hint="eastAsia"/>
          <w:b/>
        </w:rPr>
        <w:t>第六十六条</w:t>
      </w:r>
      <w:r>
        <w:rPr>
          <w:rFonts w:hint="eastAsia"/>
        </w:rPr>
        <w:t xml:space="preserve">  违反本条例第三十一条第一款的规定，餐饮服务提供者未按照环境影响评价要求设置油水分离器、收集容器、隔油池等设备设施的，由环境保护部门依法责令停止使用产生废弃油脂的器具或者设备设施，可</w:t>
      </w:r>
      <w:r>
        <w:rPr>
          <w:rFonts w:hint="eastAsia" w:ascii="宋体" w:hAnsi="宋体" w:eastAsia="宋体" w:cs="宋体"/>
        </w:rPr>
        <w:t>以处2万元以上10万</w:t>
      </w:r>
      <w:r>
        <w:rPr>
          <w:rFonts w:hint="eastAsia"/>
        </w:rPr>
        <w:t>元以下的罚款；未保持油水分离器、收集容器、隔油池等设备设施正常运转的，由环境保护部门依法责令限期改正，处应缴纳排污费数</w:t>
      </w:r>
      <w:r>
        <w:rPr>
          <w:rFonts w:hint="eastAsia" w:ascii="宋体" w:hAnsi="宋体" w:eastAsia="宋体" w:cs="宋体"/>
        </w:rPr>
        <w:t>额1倍以上3倍以</w:t>
      </w:r>
      <w:r>
        <w:rPr>
          <w:rFonts w:hint="eastAsia"/>
        </w:rPr>
        <w:t>下罚款。</w:t>
      </w:r>
    </w:p>
    <w:p w14:paraId="1D9D287E">
      <w:r>
        <w:rPr>
          <w:rFonts w:hint="eastAsia"/>
        </w:rPr>
        <w:t>违反本条例第三十一条第二款的规定，餐饮服务提供者未按照规定收集、处理餐厨垃圾的，由城市管理综合执法部门依法责令停业，并</w:t>
      </w:r>
      <w:r>
        <w:rPr>
          <w:rFonts w:hint="eastAsia" w:ascii="宋体" w:hAnsi="宋体" w:eastAsia="宋体" w:cs="宋体"/>
        </w:rPr>
        <w:t>可处5000元以上5万元以</w:t>
      </w:r>
      <w:r>
        <w:rPr>
          <w:rFonts w:hint="eastAsia"/>
        </w:rPr>
        <w:t>下罚款。</w:t>
      </w:r>
    </w:p>
    <w:p w14:paraId="03A76F58">
      <w:pPr>
        <w:ind w:firstLine="422"/>
      </w:pPr>
      <w:r>
        <w:rPr>
          <w:rFonts w:hint="eastAsia"/>
          <w:b/>
        </w:rPr>
        <w:t>第六十七条</w:t>
      </w:r>
      <w:r>
        <w:rPr>
          <w:rFonts w:hint="eastAsia"/>
        </w:rPr>
        <w:t xml:space="preserve">  违反本条例第三十二条、第三十三条的规定贮存食品的，由有关主管部门责令限期改正，给予警告；</w:t>
      </w:r>
      <w:r>
        <w:rPr>
          <w:rFonts w:hint="eastAsia" w:ascii="宋体" w:hAnsi="宋体" w:eastAsia="宋体" w:cs="宋体"/>
        </w:rPr>
        <w:t>逾期不改正的，处2000元以上2万元以下罚款；情节严重的，责令停产停业；运输食品的，由有关主管部门责令限期改正，给予警告；逾期不改正的，责令停产停业，并处2000元以上5万元以下罚款；情节严重的，由原发证</w:t>
      </w:r>
      <w:r>
        <w:rPr>
          <w:rFonts w:hint="eastAsia"/>
        </w:rPr>
        <w:t>部门吊销许可证。</w:t>
      </w:r>
    </w:p>
    <w:p w14:paraId="11777E87">
      <w:pPr>
        <w:ind w:firstLine="422"/>
      </w:pPr>
      <w:r>
        <w:rPr>
          <w:rFonts w:hint="eastAsia"/>
          <w:b/>
        </w:rPr>
        <w:t>第六十八条</w:t>
      </w:r>
      <w:r>
        <w:rPr>
          <w:rFonts w:hint="eastAsia"/>
        </w:rPr>
        <w:t xml:space="preserve">  违反本条例第三十四条第一项至第四项的规定的，由有关主管部门没收违法所得、违法生产经营的食品和用于违法生产经营的工具、设备、原料等物品；违法生产经营的食品货值金额不</w:t>
      </w:r>
      <w:r>
        <w:rPr>
          <w:rFonts w:hint="eastAsia" w:ascii="宋体" w:hAnsi="宋体" w:eastAsia="宋体" w:cs="宋体"/>
        </w:rPr>
        <w:t>足1万元的，并处2000元以上5万元以下罚款；货值金额1万元以上的，并处货值金额5倍以上10倍以下罚款；情节严重的，责令停产停业</w:t>
      </w:r>
      <w:r>
        <w:rPr>
          <w:rFonts w:hint="eastAsia"/>
        </w:rPr>
        <w:t>，直至吊销许可证。</w:t>
      </w:r>
    </w:p>
    <w:p w14:paraId="4E371A86">
      <w:r>
        <w:rPr>
          <w:rFonts w:hint="eastAsia"/>
        </w:rPr>
        <w:t>违反本条例第三十四条第五项的规定生产经营食品的，由有关主管部门依法责令停止生产经营，没收违法生产经营的食品，并处违法生产经营的食品货值金</w:t>
      </w:r>
      <w:r>
        <w:rPr>
          <w:rFonts w:hint="eastAsia" w:ascii="宋体" w:hAnsi="宋体" w:eastAsia="宋体" w:cs="宋体"/>
        </w:rPr>
        <w:t>额1倍以上3倍</w:t>
      </w:r>
      <w:r>
        <w:rPr>
          <w:rFonts w:hint="eastAsia"/>
        </w:rPr>
        <w:t>以下罚款；有违法所得的，并处没收违法所得；情节严重的，吊销营业执照。</w:t>
      </w:r>
    </w:p>
    <w:p w14:paraId="327C82D2">
      <w:pPr>
        <w:ind w:firstLine="422"/>
        <w:rPr>
          <w:rFonts w:hint="eastAsia" w:ascii="宋体" w:hAnsi="宋体" w:eastAsia="宋体" w:cs="宋体"/>
        </w:rPr>
      </w:pPr>
      <w:r>
        <w:rPr>
          <w:rFonts w:hint="eastAsia"/>
          <w:b/>
        </w:rPr>
        <w:t>第六十九条</w:t>
      </w:r>
      <w:r>
        <w:rPr>
          <w:rFonts w:hint="eastAsia"/>
        </w:rPr>
        <w:t xml:space="preserve">  违反本条例第三十七条第三款的规定，生猪及其他畜禽屠宰企业未按照规定记录养殖者、防疫、检疫、饲料等相关信息，或者未按照操作规范实施屠宰加工，或者收购无固定养殖基地、无法追溯来源的生猪及有关畜禽，或者接受他人委托进行屠宰加工的，由商务行政部门或者农业行政部门责令限期改正，</w:t>
      </w:r>
      <w:r>
        <w:rPr>
          <w:rFonts w:hint="eastAsia" w:ascii="宋体" w:hAnsi="宋体" w:eastAsia="宋体" w:cs="宋体"/>
        </w:rPr>
        <w:t>处2万元以上5万元以下罚款；逾期不改正的，责令停业整顿，对其主要负责人处5000元以上1万元以下罚款。</w:t>
      </w:r>
    </w:p>
    <w:p w14:paraId="6F301959">
      <w:pPr>
        <w:ind w:firstLine="422"/>
      </w:pPr>
      <w:r>
        <w:rPr>
          <w:rFonts w:hint="eastAsia"/>
          <w:b/>
        </w:rPr>
        <w:t>第七十条</w:t>
      </w:r>
      <w:r>
        <w:rPr>
          <w:rFonts w:hint="eastAsia"/>
        </w:rPr>
        <w:t xml:space="preserve">  违反本条例第三十九条第二款的规定经营农药的，由农业行政部门责令限期改正；逾期不改正的，没收违法所得和违法经营的农药，违法经营</w:t>
      </w:r>
      <w:r>
        <w:rPr>
          <w:rFonts w:hint="eastAsia" w:ascii="宋体" w:hAnsi="宋体" w:eastAsia="宋体" w:cs="宋体"/>
        </w:rPr>
        <w:t>的农药货值金额不足1万元的，并处2000元以上2万元以下罚款；违法经营的农药货值金额1万元以上的，并处货值金额2倍以上5倍以下罚款；逾期不改正，经营范围和经营条件仍不符合有关规定和</w:t>
      </w:r>
      <w:r>
        <w:rPr>
          <w:rFonts w:hint="eastAsia"/>
        </w:rPr>
        <w:t>食品安全要求的，农业行政部门可以提出吊销其营业执照的建议，由工商行政管理部门依法实施。</w:t>
      </w:r>
    </w:p>
    <w:p w14:paraId="470A47AA">
      <w:pPr>
        <w:ind w:firstLine="422"/>
      </w:pPr>
      <w:r>
        <w:rPr>
          <w:rFonts w:hint="eastAsia"/>
          <w:b/>
        </w:rPr>
        <w:t>第七十一条</w:t>
      </w:r>
      <w:r>
        <w:rPr>
          <w:rFonts w:hint="eastAsia"/>
        </w:rPr>
        <w:t xml:space="preserve">  农药、兽药、饲料和饲料添加剂、肥料等农业投入品经营者违反本条例第四十条的规定的，由农业行政部门责令限期改正，没收违法所得和违法经营的投入品，并处</w:t>
      </w:r>
      <w:r>
        <w:rPr>
          <w:rFonts w:hint="eastAsia" w:ascii="宋体" w:hAnsi="宋体" w:eastAsia="宋体" w:cs="宋体"/>
        </w:rPr>
        <w:t>2000元以上1万元</w:t>
      </w:r>
      <w:r>
        <w:rPr>
          <w:rFonts w:hint="eastAsia"/>
        </w:rPr>
        <w:t>以下罚款。</w:t>
      </w:r>
    </w:p>
    <w:p w14:paraId="54397B78">
      <w:pPr>
        <w:ind w:firstLine="422"/>
      </w:pPr>
      <w:r>
        <w:rPr>
          <w:rFonts w:hint="eastAsia"/>
          <w:b/>
        </w:rPr>
        <w:t>第七十二条</w:t>
      </w:r>
      <w:r>
        <w:rPr>
          <w:rFonts w:hint="eastAsia"/>
        </w:rPr>
        <w:t xml:space="preserve">  对单位被吊销食品生产、流通或者餐饮服务许可证负有责任的单位主要负责人、直接负责的主管人员、直接责任人员自吊销许可证的行政处罚决定作出之日</w:t>
      </w:r>
      <w:r>
        <w:rPr>
          <w:rFonts w:hint="eastAsia" w:ascii="宋体" w:hAnsi="宋体" w:eastAsia="宋体" w:cs="宋体"/>
        </w:rPr>
        <w:t>起5</w:t>
      </w:r>
      <w:r>
        <w:rPr>
          <w:rFonts w:hint="eastAsia"/>
        </w:rPr>
        <w:t>年内不得从事食品生产、经营和管理工作。</w:t>
      </w:r>
    </w:p>
    <w:p w14:paraId="5C0F76F5">
      <w:r>
        <w:rPr>
          <w:rFonts w:hint="eastAsia"/>
        </w:rPr>
        <w:t>食品生产经营者生产经营不符合安全标准或者有毒、有害食品，对人体健康造成严重后果、构成犯罪的，终身不得从事食品生产经营活动。</w:t>
      </w:r>
    </w:p>
    <w:p w14:paraId="69D5764F">
      <w:r>
        <w:rPr>
          <w:rFonts w:hint="eastAsia"/>
        </w:rPr>
        <w:t>食品生产经营者违反本条第一款、第二款的规定，聘用不得从事食品生产经营管理工作的人员从事食品生产经营管理工作的，由原发证部门吊销许可证。</w:t>
      </w:r>
    </w:p>
    <w:p w14:paraId="22D43860">
      <w:pPr>
        <w:ind w:firstLine="422"/>
      </w:pPr>
      <w:r>
        <w:rPr>
          <w:rFonts w:hint="eastAsia"/>
          <w:b/>
        </w:rPr>
        <w:t>第七十三条</w:t>
      </w:r>
      <w:r>
        <w:rPr>
          <w:rFonts w:hint="eastAsia"/>
        </w:rPr>
        <w:t xml:space="preserve">  违反本条例规定，拒绝或者阻碍食品安全监督管理部门监督检查和抽样检验的，由有关部门责令改正；逾期不改正的，对其生产经营的食品按不符合食品安全标准论处。拒绝或者阻碍食品安全事故调查、事故现场卫生处理和流行病学调查的，由有关部门责令改正；违反治安管理规定的，由公安机关依法实施处罚。</w:t>
      </w:r>
    </w:p>
    <w:p w14:paraId="707F2975">
      <w:pPr>
        <w:ind w:firstLine="422"/>
      </w:pPr>
      <w:r>
        <w:rPr>
          <w:rFonts w:hint="eastAsia"/>
          <w:b/>
        </w:rPr>
        <w:t>第七十四条</w:t>
      </w:r>
      <w:r>
        <w:rPr>
          <w:rFonts w:hint="eastAsia"/>
        </w:rPr>
        <w:t xml:space="preserve">  对违反本条例规定的行为，法律、法规已规定法律责任的，从其规定。</w:t>
      </w:r>
    </w:p>
    <w:p w14:paraId="5065B927"/>
    <w:p w14:paraId="00B3A516">
      <w:pPr>
        <w:ind w:firstLine="0" w:firstLineChars="0"/>
        <w:jc w:val="center"/>
        <w:rPr>
          <w:b/>
          <w:sz w:val="28"/>
        </w:rPr>
      </w:pPr>
      <w:r>
        <w:rPr>
          <w:rFonts w:hint="eastAsia"/>
          <w:b/>
          <w:sz w:val="28"/>
        </w:rPr>
        <w:t>第七章  附　则</w:t>
      </w:r>
    </w:p>
    <w:p w14:paraId="2C449458"/>
    <w:p w14:paraId="1ACC26AB">
      <w:pPr>
        <w:ind w:firstLine="422"/>
      </w:pPr>
      <w:r>
        <w:rPr>
          <w:rFonts w:hint="eastAsia"/>
          <w:b/>
        </w:rPr>
        <w:t>第七十五条</w:t>
      </w:r>
      <w:r>
        <w:rPr>
          <w:rFonts w:hint="eastAsia"/>
        </w:rPr>
        <w:t xml:space="preserve">  药品监督部门依照有关法律、行政法规的规定对声称具有特定保健功能的食品实行监管。</w:t>
      </w:r>
    </w:p>
    <w:p w14:paraId="107CD935">
      <w:pPr>
        <w:ind w:firstLine="422"/>
      </w:pPr>
      <w:r>
        <w:rPr>
          <w:rFonts w:hint="eastAsia"/>
          <w:b/>
        </w:rPr>
        <w:t>第七十六条</w:t>
      </w:r>
      <w:r>
        <w:rPr>
          <w:rFonts w:hint="eastAsia"/>
        </w:rPr>
        <w:t xml:space="preserve">  本条例</w:t>
      </w:r>
      <w:r>
        <w:rPr>
          <w:rFonts w:hint="eastAsia" w:ascii="宋体" w:hAnsi="宋体" w:eastAsia="宋体" w:cs="宋体"/>
        </w:rPr>
        <w:t>自2013年4月1日起施行。1996年5月30日北京</w:t>
      </w:r>
      <w:r>
        <w:rPr>
          <w:rFonts w:hint="eastAsia"/>
        </w:rPr>
        <w:t>市第十届人民代表大会常务委员会第二十七次会议通过的《北京市实施〈中华人民共和国食品卫生法〉办法》同时废止。</w:t>
      </w:r>
    </w:p>
    <w:p w14:paraId="5308F42A">
      <w:pPr>
        <w:pStyle w:val="4"/>
        <w:pageBreakBefore/>
      </w:pPr>
      <w:bookmarkStart w:id="2471" w:name="_Toc428781882"/>
      <w:bookmarkStart w:id="2472" w:name="_Toc428780713"/>
      <w:bookmarkStart w:id="2473" w:name="_Toc426467134"/>
      <w:r>
        <w:rPr>
          <w:rFonts w:hint="eastAsia"/>
        </w:rPr>
        <w:t>北京市食品安全监督管理规定</w:t>
      </w:r>
      <w:bookmarkEnd w:id="2471"/>
      <w:bookmarkEnd w:id="2472"/>
      <w:bookmarkEnd w:id="2473"/>
    </w:p>
    <w:p w14:paraId="3DAE4467">
      <w:pPr>
        <w:ind w:left="630" w:leftChars="300" w:right="630" w:rightChars="300"/>
        <w:rPr>
          <w:rFonts w:ascii="楷体" w:hAnsi="楷体" w:eastAsia="楷体"/>
        </w:rPr>
      </w:pPr>
      <w:r>
        <w:rPr>
          <w:rFonts w:hint="eastAsia" w:ascii="楷体" w:hAnsi="楷体" w:eastAsia="楷体"/>
        </w:rPr>
        <w:t>（2002年12月31日市人民政府第57次常务会议审议通过　2002年12月31日北京市人民政府第117号令发布）</w:t>
      </w:r>
    </w:p>
    <w:p w14:paraId="65EFD7BA"/>
    <w:p w14:paraId="03D3C4C0">
      <w:pPr>
        <w:ind w:firstLine="422"/>
      </w:pPr>
      <w:r>
        <w:rPr>
          <w:rFonts w:hint="eastAsia"/>
          <w:b/>
        </w:rPr>
        <w:t>第一条</w:t>
      </w:r>
      <w:r>
        <w:rPr>
          <w:rFonts w:hint="eastAsia"/>
        </w:rPr>
        <w:t xml:space="preserve">  为保障人民群众身体健康和人身安全，加强食品安全监督管理工作，根据有关法律、法规，结合本市实际情况，制定本规定。</w:t>
      </w:r>
    </w:p>
    <w:p w14:paraId="66FABF3E">
      <w:pPr>
        <w:ind w:firstLine="422"/>
      </w:pPr>
      <w:r>
        <w:rPr>
          <w:rFonts w:hint="eastAsia"/>
          <w:b/>
        </w:rPr>
        <w:t>第二条</w:t>
      </w:r>
      <w:r>
        <w:rPr>
          <w:rFonts w:hint="eastAsia"/>
        </w:rPr>
        <w:t xml:space="preserve">  本市行政区域内从事食品生产经营的单位和个人应当遵守本规定。</w:t>
      </w:r>
    </w:p>
    <w:p w14:paraId="25085EDE">
      <w:pPr>
        <w:ind w:firstLine="422"/>
      </w:pPr>
      <w:r>
        <w:rPr>
          <w:rFonts w:hint="eastAsia"/>
          <w:b/>
        </w:rPr>
        <w:t>第三条</w:t>
      </w:r>
      <w:r>
        <w:rPr>
          <w:rFonts w:hint="eastAsia"/>
        </w:rPr>
        <w:t xml:space="preserve">  本市对食品实行市场准入制度。</w:t>
      </w:r>
    </w:p>
    <w:p w14:paraId="23AC8092">
      <w:pPr>
        <w:ind w:firstLine="422"/>
      </w:pPr>
      <w:r>
        <w:rPr>
          <w:rFonts w:hint="eastAsia"/>
          <w:b/>
        </w:rPr>
        <w:t>第四条</w:t>
      </w:r>
      <w:r>
        <w:rPr>
          <w:rFonts w:hint="eastAsia"/>
        </w:rPr>
        <w:t xml:space="preserve">  市人民政府统一协调食品安全监督管理工作。</w:t>
      </w:r>
    </w:p>
    <w:p w14:paraId="7B2662C1">
      <w:r>
        <w:rPr>
          <w:rFonts w:hint="eastAsia"/>
        </w:rPr>
        <w:t>市工商行政管理、卫生、质量技术监督、商业、农业等行政管理部门在各自职责范围内，按照市人民政府的统一规划和部署，依法履行职责，共同做好食品安全监督管理工作。</w:t>
      </w:r>
    </w:p>
    <w:p w14:paraId="69B4184D">
      <w:pPr>
        <w:ind w:firstLine="422"/>
      </w:pPr>
      <w:r>
        <w:rPr>
          <w:rFonts w:hint="eastAsia"/>
          <w:b/>
        </w:rPr>
        <w:t>第五条</w:t>
      </w:r>
      <w:r>
        <w:rPr>
          <w:rFonts w:hint="eastAsia"/>
        </w:rPr>
        <w:t xml:space="preserve">  本市对食品安全实行区、县人民政府责任制。区、县人民政府应当统一协调本区（县）有关行政主管部门做好食品安全监督管理工作。</w:t>
      </w:r>
    </w:p>
    <w:p w14:paraId="4958BF70">
      <w:pPr>
        <w:ind w:firstLine="422"/>
      </w:pPr>
      <w:r>
        <w:rPr>
          <w:rFonts w:hint="eastAsia"/>
          <w:b/>
        </w:rPr>
        <w:t>第六条</w:t>
      </w:r>
      <w:r>
        <w:rPr>
          <w:rFonts w:hint="eastAsia"/>
        </w:rPr>
        <w:t xml:space="preserve">  本市建立食品安全专家评估制度。</w:t>
      </w:r>
    </w:p>
    <w:p w14:paraId="559BD23E">
      <w:pPr>
        <w:ind w:firstLine="422"/>
      </w:pPr>
      <w:r>
        <w:rPr>
          <w:rFonts w:hint="eastAsia"/>
          <w:b/>
        </w:rPr>
        <w:t>第七条</w:t>
      </w:r>
      <w:r>
        <w:rPr>
          <w:rFonts w:hint="eastAsia"/>
        </w:rPr>
        <w:t xml:space="preserve">  在本市生产、加工、销售的食品应当符合安全标准。不符合安全标准的食品，不得生产、加工和销售。</w:t>
      </w:r>
    </w:p>
    <w:p w14:paraId="3BBD8B33">
      <w:r>
        <w:rPr>
          <w:rFonts w:hint="eastAsia"/>
        </w:rPr>
        <w:t>本规定所称食品安全标准是指国家标准、行业标准或者本市地方标准中涉及人体健康和人身安全的强制性标准。</w:t>
      </w:r>
    </w:p>
    <w:p w14:paraId="041BAECF">
      <w:r>
        <w:rPr>
          <w:rFonts w:hint="eastAsia"/>
        </w:rPr>
        <w:t>任何单位和个人不得限制符合安全标准的食品进入本市。</w:t>
      </w:r>
    </w:p>
    <w:p w14:paraId="7A7BB27F">
      <w:pPr>
        <w:ind w:firstLine="422"/>
      </w:pPr>
      <w:r>
        <w:rPr>
          <w:rFonts w:hint="eastAsia"/>
          <w:b/>
        </w:rPr>
        <w:t>第八条</w:t>
      </w:r>
      <w:r>
        <w:rPr>
          <w:rFonts w:hint="eastAsia"/>
        </w:rPr>
        <w:t xml:space="preserve">  市人民政府根据本市食品安全管理的需要，公布实施重点监督管理的食品名录（以下简称重点名录）。</w:t>
      </w:r>
    </w:p>
    <w:p w14:paraId="5C845F8D">
      <w:r>
        <w:rPr>
          <w:rFonts w:hint="eastAsia"/>
        </w:rPr>
        <w:t>本市对列入重点名录的食品制定统一的抽查计划，统一向社会发布检测结果。</w:t>
      </w:r>
    </w:p>
    <w:p w14:paraId="23EB5D33">
      <w:pPr>
        <w:ind w:firstLine="422"/>
      </w:pPr>
      <w:r>
        <w:rPr>
          <w:rFonts w:hint="eastAsia"/>
          <w:b/>
        </w:rPr>
        <w:t>第九条</w:t>
      </w:r>
      <w:r>
        <w:rPr>
          <w:rFonts w:hint="eastAsia"/>
        </w:rPr>
        <w:t xml:space="preserve">  本市实行向社会公布畜禽和畜禽产品、蔬菜等食品生产企业推荐名单的制度。列入推荐名单的条件和程序，分别由市商业、农业等行政主管部门按照职责分工规定并公布。</w:t>
      </w:r>
    </w:p>
    <w:p w14:paraId="1674CDEE">
      <w:r>
        <w:rPr>
          <w:rFonts w:hint="eastAsia"/>
        </w:rPr>
        <w:t>推荐名单中公布的企业违反本规定，生产、加工、销售的食品不符合安全标准的，公布部门应当将该企业的违法情况通知企业所在地的政府和有关主管部门，并将该企业从推荐名单中取消，通报与上述企业签订定向供货合同的单位，建议其解除合同。</w:t>
      </w:r>
    </w:p>
    <w:p w14:paraId="0E969B37">
      <w:pPr>
        <w:ind w:firstLine="422"/>
      </w:pPr>
      <w:r>
        <w:rPr>
          <w:rFonts w:hint="eastAsia"/>
          <w:b/>
        </w:rPr>
        <w:t>第十条</w:t>
      </w:r>
      <w:r>
        <w:rPr>
          <w:rFonts w:hint="eastAsia"/>
        </w:rPr>
        <w:t xml:space="preserve">  本市食用农产品市场的开办者应当与定点屠宰厂、蔬菜生产基地、水产品养殖场建立规范的定向进货渠道，并对进货情况进行查验。</w:t>
      </w:r>
    </w:p>
    <w:p w14:paraId="6674EDB6">
      <w:pPr>
        <w:ind w:firstLine="422"/>
      </w:pPr>
      <w:r>
        <w:rPr>
          <w:rFonts w:hint="eastAsia"/>
          <w:b/>
        </w:rPr>
        <w:t>第十一条</w:t>
      </w:r>
      <w:r>
        <w:rPr>
          <w:rFonts w:hint="eastAsia"/>
        </w:rPr>
        <w:t xml:space="preserve">  列入本市重点名录的食品及其生产者的下列信息，由市工商行政管理部门统一汇集和公布：</w:t>
      </w:r>
    </w:p>
    <w:p w14:paraId="397D93CD">
      <w:r>
        <w:rPr>
          <w:rFonts w:hint="eastAsia"/>
        </w:rPr>
        <w:t>（一）品名、品种、规格、商标；</w:t>
      </w:r>
    </w:p>
    <w:p w14:paraId="55ACE86B">
      <w:r>
        <w:rPr>
          <w:rFonts w:hint="eastAsia"/>
        </w:rPr>
        <w:t>（二）生产者的名称、地址、联系方式；</w:t>
      </w:r>
    </w:p>
    <w:p w14:paraId="3B5E42B0">
      <w:r>
        <w:rPr>
          <w:rFonts w:hint="eastAsia"/>
        </w:rPr>
        <w:t>（三）生产者获得生产许可证、卫生许可证及其他专项许可的情况。</w:t>
      </w:r>
    </w:p>
    <w:p w14:paraId="1FF5014B">
      <w:r>
        <w:rPr>
          <w:rFonts w:hint="eastAsia"/>
        </w:rPr>
        <w:t>列入重点名录食品的生产经营者已依法向有关行政主管部门备案的，由有关行政主管部门向市工商行政管理部门提供前款规定的信息；未向有关行政主管部门备案的，由生产经营者直接向市工商行政管理部门申报备案，提供前款规定的信息。</w:t>
      </w:r>
    </w:p>
    <w:p w14:paraId="77B6DEE3">
      <w:pPr>
        <w:ind w:firstLine="422"/>
      </w:pPr>
      <w:r>
        <w:rPr>
          <w:rFonts w:hint="eastAsia"/>
          <w:b/>
        </w:rPr>
        <w:t>第十二条</w:t>
      </w:r>
      <w:r>
        <w:rPr>
          <w:rFonts w:hint="eastAsia"/>
        </w:rPr>
        <w:t xml:space="preserve">  本市建立食品安全信用监督管理系统，记载并向社会公示下列信息：</w:t>
      </w:r>
    </w:p>
    <w:p w14:paraId="455E6A8E">
      <w:bookmarkStart w:id="2474" w:name="_Toc428780714"/>
      <w:r>
        <w:rPr>
          <w:rFonts w:hint="eastAsia"/>
        </w:rPr>
        <w:t>（一）列入重点名录的食品名单；</w:t>
      </w:r>
      <w:bookmarkEnd w:id="2474"/>
    </w:p>
    <w:p w14:paraId="4EF931D8">
      <w:r>
        <w:rPr>
          <w:rFonts w:hint="eastAsia"/>
        </w:rPr>
        <w:t>（二）定点屠宰厂、蔬菜生产基地、水产品养殖场名单；</w:t>
      </w:r>
    </w:p>
    <w:p w14:paraId="6EAD3152">
      <w:r>
        <w:rPr>
          <w:rFonts w:hint="eastAsia"/>
        </w:rPr>
        <w:t>（三）获得驰名商标或者省级以上安全食品、无公害食品、绿色食品、有机食品、名牌产品称号的食品名单；</w:t>
      </w:r>
    </w:p>
    <w:p w14:paraId="5C1065AA">
      <w:r>
        <w:rPr>
          <w:rFonts w:hint="eastAsia"/>
        </w:rPr>
        <w:t>（四）生产经营的食品不符合食品安全标准，受到有关部门查处、限期追回的情况；</w:t>
      </w:r>
    </w:p>
    <w:p w14:paraId="482892A6">
      <w:r>
        <w:rPr>
          <w:rFonts w:hint="eastAsia"/>
        </w:rPr>
        <w:t>（五）责令暂停购进或者禁止销售的食品名单。</w:t>
      </w:r>
    </w:p>
    <w:p w14:paraId="4CE7019F">
      <w:pPr>
        <w:ind w:firstLine="422"/>
      </w:pPr>
      <w:r>
        <w:rPr>
          <w:rFonts w:hint="eastAsia"/>
          <w:b/>
        </w:rPr>
        <w:t>第十三条</w:t>
      </w:r>
      <w:r>
        <w:rPr>
          <w:rFonts w:hint="eastAsia"/>
        </w:rPr>
        <w:t xml:space="preserve">  有关行政管理部门在对销售的食品进行监督检查时，可以对食品进行简易或者快速检测，检测应当使用经检定合格的检测设备和列入国家标准的测定方法，依据检测结果可对认为不符合安全标准的食品实施临时控制措施；实施临时控制措施后，应当及时将被控制的食品交由国家认证的检测机构复测，并依据复测结果作出处理。</w:t>
      </w:r>
    </w:p>
    <w:p w14:paraId="4B5546E7">
      <w:pPr>
        <w:ind w:firstLine="422"/>
        <w:rPr>
          <w:rFonts w:hint="eastAsia" w:ascii="宋体" w:hAnsi="宋体" w:eastAsia="宋体" w:cs="宋体"/>
        </w:rPr>
      </w:pPr>
      <w:r>
        <w:rPr>
          <w:rFonts w:hint="eastAsia"/>
          <w:b/>
        </w:rPr>
        <w:t>第十四条</w:t>
      </w:r>
      <w:r>
        <w:rPr>
          <w:rFonts w:hint="eastAsia"/>
        </w:rPr>
        <w:t>　豆制品、熟肉制品、调味品等以散装形式销售的食品，自</w:t>
      </w:r>
      <w:r>
        <w:rPr>
          <w:rFonts w:hint="eastAsia" w:ascii="宋体" w:hAnsi="宋体" w:eastAsia="宋体" w:cs="宋体"/>
        </w:rPr>
        <w:t>2003年7月1日起，在出厂时和零售前，应当具有符合安全卫生要求的包装。</w:t>
      </w:r>
    </w:p>
    <w:p w14:paraId="077B5B7E">
      <w:r>
        <w:rPr>
          <w:rFonts w:hint="eastAsia"/>
        </w:rPr>
        <w:t>销售散装食品应当向消费者明示品名、产地、生产企业、出厂日期和保质期。</w:t>
      </w:r>
    </w:p>
    <w:p w14:paraId="10A33C94">
      <w:r>
        <w:rPr>
          <w:rFonts w:hint="eastAsia"/>
        </w:rPr>
        <w:t>预包装食品标签应当符合国家法律、法规和强制性标准的规定。</w:t>
      </w:r>
    </w:p>
    <w:p w14:paraId="4730CB3F">
      <w:pPr>
        <w:ind w:firstLine="422"/>
      </w:pPr>
      <w:r>
        <w:rPr>
          <w:rFonts w:hint="eastAsia"/>
          <w:b/>
        </w:rPr>
        <w:t>第十五条</w:t>
      </w:r>
      <w:r>
        <w:rPr>
          <w:rFonts w:hint="eastAsia"/>
        </w:rPr>
        <w:t>　蔬菜在本市零售市场销售前，应当有包装。包装可以采用大宗简易包装、小包装或者其他包装。</w:t>
      </w:r>
    </w:p>
    <w:p w14:paraId="7D19B9D9">
      <w:r>
        <w:rPr>
          <w:rFonts w:hint="eastAsia"/>
        </w:rPr>
        <w:t>包装应当附着标签。标签应当标明品名、生产基地或者经销单位的名称和地址、采摘或者包装日期、净重等。有商标的可以标明商标。</w:t>
      </w:r>
    </w:p>
    <w:p w14:paraId="4CF7BED0">
      <w:pPr>
        <w:ind w:firstLine="422"/>
      </w:pPr>
      <w:r>
        <w:rPr>
          <w:rFonts w:hint="eastAsia"/>
          <w:b/>
        </w:rPr>
        <w:t>第十六条</w:t>
      </w:r>
      <w:r>
        <w:rPr>
          <w:rFonts w:hint="eastAsia"/>
        </w:rPr>
        <w:t>　生产经营的鲜、冻畜禽产品应当使用冷藏车冷藏运输。蔬菜应当封闭运输，使用敞篷车辆的应当采用遮盖和保护措施。</w:t>
      </w:r>
    </w:p>
    <w:p w14:paraId="19E95C2D">
      <w:pPr>
        <w:ind w:firstLine="422"/>
      </w:pPr>
      <w:r>
        <w:rPr>
          <w:rFonts w:hint="eastAsia"/>
          <w:b/>
        </w:rPr>
        <w:t>第十七条</w:t>
      </w:r>
      <w:r>
        <w:rPr>
          <w:rFonts w:hint="eastAsia"/>
        </w:rPr>
        <w:t>　鲜、冻畜禽产品进入市场时，应当出具检疫合格证明，猪、牛、羊胴体应当加盖检疫合格章和货源基地编号章，按不同供货人、不同批量分别签封。直接进入各类食品市场销售时，应当经动物防疫监督员或者市场内的监督检验人员启封、验证、验章。</w:t>
      </w:r>
    </w:p>
    <w:p w14:paraId="69B123D2">
      <w:r>
        <w:rPr>
          <w:rFonts w:hint="eastAsia"/>
        </w:rPr>
        <w:t>外地畜禽和畜禽产品进入本市销售的，应当经由市人民政府公布的检疫通道，经动物防疫监督机构启封、验证合格，重新签封后方可进入本市。用汽车运输的，车辆应当经检疫消毒，取得北京市动物防疫监督机构的消毒证明。</w:t>
      </w:r>
    </w:p>
    <w:p w14:paraId="71A9715E">
      <w:pPr>
        <w:ind w:firstLine="422"/>
      </w:pPr>
      <w:r>
        <w:rPr>
          <w:rFonts w:hint="eastAsia"/>
          <w:b/>
        </w:rPr>
        <w:t>第十八条</w:t>
      </w:r>
      <w:r>
        <w:rPr>
          <w:rFonts w:hint="eastAsia"/>
        </w:rPr>
        <w:t>　经营列入重点名录食品的，应当建立进货检查验收制度。经营者应当向初次交易的供货人索取、查验相应的营业执照、生产许可证、卫生许可证、商标注册证并保存复印件，以后每年核对一次。对购进的货物应当按批次向供货人索取食品质量检验证明、检疫证明、销售凭证、外地畜禽产品进京车辆消毒证明等与食品安全有关的证明并保存复印件。经营者对购进的食品应当记载产地、加工厂家、进货渠道、购进日期和数量、供货人等事项，查验供货人备案公示情况。</w:t>
      </w:r>
    </w:p>
    <w:p w14:paraId="697ED62A">
      <w:pPr>
        <w:ind w:firstLine="422"/>
      </w:pPr>
      <w:r>
        <w:rPr>
          <w:rFonts w:hint="eastAsia"/>
          <w:b/>
        </w:rPr>
        <w:t>第十九条</w:t>
      </w:r>
      <w:r>
        <w:rPr>
          <w:rFonts w:hint="eastAsia"/>
        </w:rPr>
        <w:t>　经营食品的市场开办者应当做到：</w:t>
      </w:r>
    </w:p>
    <w:p w14:paraId="44FBDEA4">
      <w:bookmarkStart w:id="2475" w:name="_Toc428780715"/>
      <w:r>
        <w:rPr>
          <w:rFonts w:hint="eastAsia"/>
        </w:rPr>
        <w:t>（一）引导市场内的商户经营列入推荐名单的企业、基地生产的食品；</w:t>
      </w:r>
      <w:bookmarkEnd w:id="2475"/>
    </w:p>
    <w:p w14:paraId="693890DC">
      <w:r>
        <w:rPr>
          <w:rFonts w:hint="eastAsia"/>
        </w:rPr>
        <w:t>（二）指导并督促经营者执行进货检查验收、索证索票等与保障食品安全有关的制度；</w:t>
      </w:r>
    </w:p>
    <w:p w14:paraId="4B47E9AE">
      <w:r>
        <w:rPr>
          <w:rFonts w:hint="eastAsia"/>
        </w:rPr>
        <w:t>（三）制止不符合本规定第十四条、第十五条规定的食品、非定点屠宰厂加工、生产和未经检验、检疫的畜禽产品以及没有取得北京市动物防疫监督机构消毒证明的车辆进入市场；</w:t>
      </w:r>
    </w:p>
    <w:p w14:paraId="3A0C2C4D">
      <w:r>
        <w:rPr>
          <w:rFonts w:hint="eastAsia"/>
        </w:rPr>
        <w:t>（四）协助有关行政管理部门执行临时控制措施、对不合格食品实施无害化处理或者予以销毁；</w:t>
      </w:r>
    </w:p>
    <w:p w14:paraId="7A691FA4">
      <w:r>
        <w:rPr>
          <w:rFonts w:hint="eastAsia"/>
        </w:rPr>
        <w:t>（五）在市场显著位置设立警示牌，公示场内食品经营者的良好和违法行为。</w:t>
      </w:r>
    </w:p>
    <w:p w14:paraId="2DE4499B">
      <w:r>
        <w:rPr>
          <w:rFonts w:hint="eastAsia"/>
        </w:rPr>
        <w:t>食用农产品批发市场应当配置与其经营品种、数量相适应的设施和检测设备，对经营的蔬菜、鲜活畜禽产品进行自检。</w:t>
      </w:r>
    </w:p>
    <w:p w14:paraId="1C8DD1A3">
      <w:pPr>
        <w:ind w:firstLine="422"/>
      </w:pPr>
      <w:r>
        <w:rPr>
          <w:rFonts w:hint="eastAsia"/>
          <w:b/>
        </w:rPr>
        <w:t>第二十条</w:t>
      </w:r>
      <w:r>
        <w:rPr>
          <w:rFonts w:hint="eastAsia"/>
        </w:rPr>
        <w:t>　食用农产品生产基地应当具备保证产品质量的生产环境、生产设备和相关辅助设备以及生产、加工、贮存的场所，规范生产工艺，严格按照标准组织生产。</w:t>
      </w:r>
    </w:p>
    <w:p w14:paraId="2BC76434">
      <w:pPr>
        <w:ind w:firstLine="422"/>
      </w:pPr>
      <w:r>
        <w:rPr>
          <w:rFonts w:hint="eastAsia"/>
          <w:b/>
        </w:rPr>
        <w:t>第二十一条</w:t>
      </w:r>
      <w:r>
        <w:rPr>
          <w:rFonts w:hint="eastAsia"/>
        </w:rPr>
        <w:t>　食用农产品生产过程中应当采取下列措施：</w:t>
      </w:r>
    </w:p>
    <w:p w14:paraId="5AF80593">
      <w:bookmarkStart w:id="2476" w:name="_Toc428780716"/>
      <w:r>
        <w:rPr>
          <w:rFonts w:hint="eastAsia"/>
        </w:rPr>
        <w:t>（一）建立投入品使用以及防疫、检疫和无害化处理等生产记录；</w:t>
      </w:r>
      <w:bookmarkEnd w:id="2476"/>
    </w:p>
    <w:p w14:paraId="35C7F903">
      <w:r>
        <w:rPr>
          <w:rFonts w:hint="eastAsia"/>
        </w:rPr>
        <w:t>（二）畜禽实行计划免疫后，佩戴免疫标识；</w:t>
      </w:r>
    </w:p>
    <w:p w14:paraId="5A1314A0">
      <w:r>
        <w:rPr>
          <w:rFonts w:hint="eastAsia"/>
        </w:rPr>
        <w:t>（三）建立畜禽检验检疫制度，提供产品合格证明。</w:t>
      </w:r>
    </w:p>
    <w:p w14:paraId="4C2DB898">
      <w:pPr>
        <w:ind w:firstLine="422"/>
      </w:pPr>
      <w:r>
        <w:rPr>
          <w:rFonts w:hint="eastAsia"/>
          <w:b/>
        </w:rPr>
        <w:t>第二十二条</w:t>
      </w:r>
      <w:r>
        <w:rPr>
          <w:rFonts w:hint="eastAsia"/>
        </w:rPr>
        <w:t>　本市实行安全食用农产品标志制度，向符合条件的单位和个人核发《安全食用农产品标志使用证书》。具体办法由市食用农产品安全生产体系建设办公室另行制定。</w:t>
      </w:r>
    </w:p>
    <w:p w14:paraId="03C5DE49">
      <w:pPr>
        <w:ind w:firstLine="422"/>
      </w:pPr>
      <w:r>
        <w:rPr>
          <w:rFonts w:hint="eastAsia"/>
          <w:b/>
        </w:rPr>
        <w:t>第二十三条</w:t>
      </w:r>
      <w:r>
        <w:rPr>
          <w:rFonts w:hint="eastAsia"/>
        </w:rPr>
        <w:t>　食品经营活动中禁止下列行为：</w:t>
      </w:r>
    </w:p>
    <w:p w14:paraId="1750E2F9">
      <w:bookmarkStart w:id="2477" w:name="_Toc428780717"/>
      <w:r>
        <w:rPr>
          <w:rFonts w:hint="eastAsia"/>
        </w:rPr>
        <w:t>（一）加工注水或者注入其他物质的畜禽和畜禽产品；</w:t>
      </w:r>
      <w:bookmarkEnd w:id="2477"/>
    </w:p>
    <w:p w14:paraId="2031D589">
      <w:r>
        <w:rPr>
          <w:rFonts w:hint="eastAsia"/>
        </w:rPr>
        <w:t>（二）销售注水或者注入其他物质的水果、蔬菜、畜禽和畜禽产品或者非定点屠宰厂生产、加工的畜禽产品；</w:t>
      </w:r>
    </w:p>
    <w:p w14:paraId="4FE6DEFE">
      <w:r>
        <w:rPr>
          <w:rFonts w:hint="eastAsia"/>
        </w:rPr>
        <w:t>（三）加工、销售无法追溯来源的动物及其产品；</w:t>
      </w:r>
    </w:p>
    <w:p w14:paraId="5D986523">
      <w:r>
        <w:rPr>
          <w:rFonts w:hint="eastAsia"/>
        </w:rPr>
        <w:t>（四）收购不符合安全标准的产品。</w:t>
      </w:r>
    </w:p>
    <w:p w14:paraId="321F9FCC">
      <w:pPr>
        <w:ind w:firstLine="422"/>
      </w:pPr>
      <w:r>
        <w:rPr>
          <w:rFonts w:hint="eastAsia"/>
          <w:b/>
        </w:rPr>
        <w:t>第二十四条</w:t>
      </w:r>
      <w:r>
        <w:rPr>
          <w:rFonts w:hint="eastAsia"/>
        </w:rPr>
        <w:t>　食用农产品生产活动中使用农药、兽药、饲料添加剂应当符合国家规定，不得超限量使用允许使用的农药、兽药、饲料添加剂，不得违反农药使用安全间隔期、动物用药休药期的规定。</w:t>
      </w:r>
    </w:p>
    <w:p w14:paraId="2CE1AC06">
      <w:pPr>
        <w:ind w:firstLine="422"/>
      </w:pPr>
      <w:r>
        <w:rPr>
          <w:rFonts w:hint="eastAsia"/>
          <w:b/>
        </w:rPr>
        <w:t>第二十五条</w:t>
      </w:r>
      <w:r>
        <w:rPr>
          <w:rFonts w:hint="eastAsia"/>
        </w:rPr>
        <w:t>　有关行政管理部门对经检测确定为不符合安全标准的食品，应当责令生产经营者停止生产经营，立即公告追回。未销售或者已追回的食品，应当根据其不同属性进行无害化处理或者予以销毁。</w:t>
      </w:r>
    </w:p>
    <w:p w14:paraId="517C2D35">
      <w:r>
        <w:rPr>
          <w:rFonts w:hint="eastAsia"/>
        </w:rPr>
        <w:t>生产经营者发现自己生产经营的食品不符合安全标准，应当立即主动采取有效措施追回或者收回。生产经营者主动追回或者收回的，可以减轻或者免予行政处罚。</w:t>
      </w:r>
    </w:p>
    <w:p w14:paraId="7B76055E">
      <w:pPr>
        <w:ind w:firstLine="422"/>
      </w:pPr>
      <w:r>
        <w:rPr>
          <w:rFonts w:hint="eastAsia"/>
          <w:b/>
        </w:rPr>
        <w:t>第二十六条</w:t>
      </w:r>
      <w:r>
        <w:rPr>
          <w:rFonts w:hint="eastAsia"/>
        </w:rPr>
        <w:t>　有关行政管理部门在市场上发现对人体健康和人身安全造成严重危害或者具有潜在严重危害的食品，应当实施临时控制措施，责令停止购进、销售。实施影响较大的临时控制措施应当按照食品安全专家评估制度组织评估。</w:t>
      </w:r>
    </w:p>
    <w:p w14:paraId="5E09024C">
      <w:r>
        <w:rPr>
          <w:rFonts w:hint="eastAsia"/>
        </w:rPr>
        <w:t>具有潜在严重危害的食品在潜在危害消除后，应当及时解除临时控制措施。</w:t>
      </w:r>
    </w:p>
    <w:p w14:paraId="2EBD2323">
      <w:pPr>
        <w:ind w:firstLine="422"/>
      </w:pPr>
      <w:r>
        <w:rPr>
          <w:rFonts w:hint="eastAsia"/>
          <w:b/>
        </w:rPr>
        <w:t>第二十七条</w:t>
      </w:r>
      <w:r>
        <w:rPr>
          <w:rFonts w:hint="eastAsia"/>
        </w:rPr>
        <w:t>　鼓励社会公众举报生产经营不符合安全标准食品的行为。</w:t>
      </w:r>
    </w:p>
    <w:p w14:paraId="0D3F40C5">
      <w:r>
        <w:rPr>
          <w:rFonts w:hint="eastAsia"/>
        </w:rPr>
        <w:t>有关行政主管部门收到关于食品安全问题的举报，属于本部门职权范围的，应当及时依法调查处理；不属于本部门职权范围的，应当及时移交有管辖权的行政主管部门，并通知举报人。</w:t>
      </w:r>
    </w:p>
    <w:p w14:paraId="70738A1E">
      <w:pPr>
        <w:ind w:firstLine="422"/>
      </w:pPr>
      <w:r>
        <w:rPr>
          <w:rFonts w:hint="eastAsia"/>
          <w:b/>
        </w:rPr>
        <w:t>第二十八条</w:t>
      </w:r>
      <w:r>
        <w:rPr>
          <w:rFonts w:hint="eastAsia"/>
        </w:rPr>
        <w:t>　食品生产经营者有下列行为之一的，给予以下行政处罚：</w:t>
      </w:r>
    </w:p>
    <w:p w14:paraId="396085AA">
      <w:r>
        <w:rPr>
          <w:rFonts w:hint="eastAsia"/>
        </w:rPr>
        <w:t>（一）违反第十四条、第十五条规定，未对食品进行包装或者包装不符合安全卫生要求的，未附着标签或者标签标示内容不真实的，销售散装食品未向消费者明示或者明示内容不真实的，由卫生行政管理部门或者工商行政管理部门责令限期改</w:t>
      </w:r>
      <w:r>
        <w:rPr>
          <w:rFonts w:hint="eastAsia" w:ascii="宋体" w:hAnsi="宋体" w:eastAsia="宋体" w:cs="宋体"/>
        </w:rPr>
        <w:t>正，逾期不改的，处3000</w:t>
      </w:r>
      <w:r>
        <w:rPr>
          <w:rFonts w:hint="eastAsia"/>
        </w:rPr>
        <w:t>元以下罚款。</w:t>
      </w:r>
    </w:p>
    <w:p w14:paraId="3D980AA4">
      <w:pPr>
        <w:rPr>
          <w:rFonts w:hint="eastAsia" w:ascii="宋体" w:hAnsi="宋体" w:eastAsia="宋体" w:cs="宋体"/>
        </w:rPr>
      </w:pPr>
      <w:r>
        <w:rPr>
          <w:rFonts w:hint="eastAsia"/>
        </w:rPr>
        <w:t>（二）违反第十八条规定，未建立进货检查验收制度的，由工商行政管理部门责令限期改正，逾期不改的，处</w:t>
      </w:r>
      <w:r>
        <w:rPr>
          <w:rFonts w:hint="eastAsia" w:ascii="宋体" w:hAnsi="宋体" w:eastAsia="宋体" w:cs="宋体"/>
        </w:rPr>
        <w:t>1000元以下罚款；不执行已建立的检查验收制度的，由工商行政管理部门责令改正，并处200元罚款。</w:t>
      </w:r>
    </w:p>
    <w:p w14:paraId="2D575616">
      <w:pPr>
        <w:rPr>
          <w:rFonts w:hint="eastAsia" w:ascii="宋体" w:hAnsi="宋体" w:eastAsia="宋体" w:cs="宋体"/>
        </w:rPr>
      </w:pPr>
      <w:r>
        <w:rPr>
          <w:rFonts w:hint="eastAsia" w:ascii="宋体" w:hAnsi="宋体" w:eastAsia="宋体" w:cs="宋体"/>
        </w:rPr>
        <w:t>（三）违反第二十一条第一款第（一）项规定，未建立生产记录的，由市农业行政管理部门予以警告，责令改正。</w:t>
      </w:r>
    </w:p>
    <w:p w14:paraId="6AA3B856">
      <w:pPr>
        <w:rPr>
          <w:rFonts w:hint="eastAsia" w:ascii="宋体" w:hAnsi="宋体" w:eastAsia="宋体" w:cs="宋体"/>
        </w:rPr>
      </w:pPr>
      <w:r>
        <w:rPr>
          <w:rFonts w:hint="eastAsia" w:ascii="宋体" w:hAnsi="宋体" w:eastAsia="宋体" w:cs="宋体"/>
        </w:rPr>
        <w:t>（四）违反第二十三条规定的，由工商行政管理、商业、农业行政管理部门予以警告，并处3000元以下罚款。</w:t>
      </w:r>
    </w:p>
    <w:p w14:paraId="75AA4239">
      <w:pPr>
        <w:rPr>
          <w:rFonts w:hint="eastAsia" w:ascii="宋体" w:hAnsi="宋体" w:eastAsia="宋体" w:cs="宋体"/>
        </w:rPr>
      </w:pPr>
      <w:r>
        <w:rPr>
          <w:rFonts w:hint="eastAsia" w:ascii="宋体" w:hAnsi="宋体" w:eastAsia="宋体" w:cs="宋体"/>
        </w:rPr>
        <w:t>（五）违反第二十四条规定的，由市农业行政管理部门处1000元以上1万元以下罚款。</w:t>
      </w:r>
    </w:p>
    <w:p w14:paraId="4A466DC8">
      <w:r>
        <w:rPr>
          <w:rFonts w:hint="eastAsia" w:ascii="宋体" w:hAnsi="宋体" w:eastAsia="宋体" w:cs="宋体"/>
        </w:rPr>
        <w:t>（六）违反第二十五条规定，对不符合安全标准的食品应当追回而不追回的，由卫生、工商行政管理或者质量技术监督部门处5000元以下</w:t>
      </w:r>
      <w:r>
        <w:rPr>
          <w:rFonts w:hint="eastAsia"/>
        </w:rPr>
        <w:t>罚款。</w:t>
      </w:r>
    </w:p>
    <w:p w14:paraId="7C813CC3">
      <w:pPr>
        <w:ind w:firstLine="422"/>
      </w:pPr>
      <w:r>
        <w:rPr>
          <w:rFonts w:hint="eastAsia"/>
          <w:b/>
        </w:rPr>
        <w:t>第二十九条</w:t>
      </w:r>
      <w:r>
        <w:rPr>
          <w:rFonts w:hint="eastAsia"/>
        </w:rPr>
        <w:t>　违反第十六条规定，鲜、冻畜禽产品未使用冷藏车冷藏运输的，由工商行政管理部门处</w:t>
      </w:r>
      <w:r>
        <w:rPr>
          <w:rFonts w:hint="eastAsia" w:ascii="宋体" w:hAnsi="宋体" w:eastAsia="宋体" w:cs="宋体"/>
        </w:rPr>
        <w:t>1000元罚款。蔬菜未封闭运输的，由工商行政管理部门处500元罚款</w:t>
      </w:r>
      <w:r>
        <w:rPr>
          <w:rFonts w:hint="eastAsia"/>
        </w:rPr>
        <w:t>。</w:t>
      </w:r>
    </w:p>
    <w:p w14:paraId="61866DAC">
      <w:pPr>
        <w:ind w:firstLine="422"/>
        <w:rPr>
          <w:rFonts w:hint="eastAsia" w:ascii="宋体" w:hAnsi="宋体" w:eastAsia="宋体" w:cs="宋体"/>
        </w:rPr>
      </w:pPr>
      <w:r>
        <w:rPr>
          <w:rFonts w:hint="eastAsia"/>
          <w:b/>
        </w:rPr>
        <w:t>第三十条</w:t>
      </w:r>
      <w:r>
        <w:rPr>
          <w:rFonts w:hint="eastAsia"/>
        </w:rPr>
        <w:t>　违反第十七条第二款规定，外地运输车辆未经市人民政府公布的检疫通道进入本市的，由农业或者工商行政管理部门责令补检，并对</w:t>
      </w:r>
      <w:r>
        <w:rPr>
          <w:rFonts w:hint="eastAsia" w:ascii="宋体" w:hAnsi="宋体" w:eastAsia="宋体" w:cs="宋体"/>
        </w:rPr>
        <w:t>承运人按每辆车1000元处以罚款。</w:t>
      </w:r>
    </w:p>
    <w:p w14:paraId="772257CB">
      <w:pPr>
        <w:ind w:firstLine="422"/>
      </w:pPr>
      <w:r>
        <w:rPr>
          <w:rFonts w:hint="eastAsia"/>
          <w:b/>
        </w:rPr>
        <w:t>第三十一条</w:t>
      </w:r>
      <w:r>
        <w:rPr>
          <w:rFonts w:hint="eastAsia"/>
        </w:rPr>
        <w:t>　违反第十九条规定的，由工商行政管理部门对市场开办者予以警告，并在市场显著位置挂牌公示；其中违反第一款第（三）项</w:t>
      </w:r>
      <w:r>
        <w:rPr>
          <w:rFonts w:hint="eastAsia" w:ascii="宋体" w:hAnsi="宋体" w:eastAsia="宋体" w:cs="宋体"/>
        </w:rPr>
        <w:t>、第（四）项规定的，并处1万元以上3万元以下罚款；违反第（五）项规定的，责令限期改正，逾期不改的，处1000元罚款。</w:t>
      </w:r>
    </w:p>
    <w:p w14:paraId="4C5985B6">
      <w:pPr>
        <w:ind w:firstLine="422"/>
        <w:rPr>
          <w:rFonts w:hint="eastAsia" w:ascii="宋体" w:hAnsi="宋体" w:eastAsia="宋体" w:cs="宋体"/>
        </w:rPr>
      </w:pPr>
      <w:r>
        <w:rPr>
          <w:rFonts w:hint="eastAsia"/>
          <w:b/>
        </w:rPr>
        <w:t>第三十二条</w:t>
      </w:r>
      <w:r>
        <w:rPr>
          <w:rFonts w:hint="eastAsia"/>
        </w:rPr>
        <w:t>　食品生产经营者不执行有关行政管理部门依据第二十六条实施的临时控制措施的，由工商行政管理部门予以警告，责令改正，并</w:t>
      </w:r>
      <w:r>
        <w:rPr>
          <w:rFonts w:hint="eastAsia" w:ascii="宋体" w:hAnsi="宋体" w:eastAsia="宋体" w:cs="宋体"/>
        </w:rPr>
        <w:t>处1000元以上5000元以下罚款。</w:t>
      </w:r>
    </w:p>
    <w:p w14:paraId="7D95721C">
      <w:pPr>
        <w:ind w:firstLine="422"/>
      </w:pPr>
      <w:r>
        <w:rPr>
          <w:rFonts w:hint="eastAsia"/>
          <w:b/>
        </w:rPr>
        <w:t>第三十三条</w:t>
      </w:r>
      <w:r>
        <w:rPr>
          <w:rFonts w:hint="eastAsia"/>
        </w:rPr>
        <w:t>　从事食品生产经营的单位和个人违反《中华人民共和国食品卫生法》、《中华人民共和国产品质量法》、《中华人民共和国动物防疫法》等法律、法规规定的，由有关行政主管部门依法处理。</w:t>
      </w:r>
    </w:p>
    <w:p w14:paraId="25B67B61">
      <w:pPr>
        <w:ind w:firstLine="422"/>
      </w:pPr>
      <w:r>
        <w:rPr>
          <w:rFonts w:hint="eastAsia"/>
          <w:b/>
        </w:rPr>
        <w:t>第三十四条</w:t>
      </w:r>
      <w:r>
        <w:rPr>
          <w:rFonts w:hint="eastAsia"/>
        </w:rPr>
        <w:t>　本市各级人民政府及其工作部门应当采取措施，维护食品生产经营者的合法权益，引导食品生产经营者提高产品质量，生产经营合格食品。</w:t>
      </w:r>
    </w:p>
    <w:p w14:paraId="25A01BEE">
      <w:pPr>
        <w:ind w:firstLine="422"/>
      </w:pPr>
      <w:r>
        <w:rPr>
          <w:rFonts w:hint="eastAsia"/>
          <w:b/>
        </w:rPr>
        <w:t>第三十五条</w:t>
      </w:r>
      <w:r>
        <w:rPr>
          <w:rFonts w:hint="eastAsia"/>
        </w:rPr>
        <w:t>　工商行政管理、卫生、质量技术监督、商业、农业等行政管理部门的工作人员不履行法定职责，侵害食品生产经营者的合法权益，造成不良后果的，对直接负责的主管人员和其他直接责任人员依法给予行政处分。</w:t>
      </w:r>
    </w:p>
    <w:p w14:paraId="23500A11">
      <w:pPr>
        <w:ind w:firstLine="422"/>
      </w:pPr>
      <w:r>
        <w:rPr>
          <w:rFonts w:hint="eastAsia"/>
          <w:b/>
        </w:rPr>
        <w:t>第三十六条</w:t>
      </w:r>
      <w:r>
        <w:rPr>
          <w:rFonts w:hint="eastAsia"/>
        </w:rPr>
        <w:t>　本规定自</w:t>
      </w:r>
      <w:r>
        <w:rPr>
          <w:rFonts w:hint="eastAsia" w:ascii="宋体" w:hAnsi="宋体" w:eastAsia="宋体" w:cs="宋体"/>
        </w:rPr>
        <w:t>2003年2月1日起</w:t>
      </w:r>
      <w:r>
        <w:rPr>
          <w:rFonts w:hint="eastAsia"/>
        </w:rPr>
        <w:t>施行。</w:t>
      </w:r>
    </w:p>
    <w:p w14:paraId="14F1FEE4">
      <w:pPr>
        <w:pStyle w:val="3"/>
        <w:pageBreakBefore/>
      </w:pPr>
      <w:bookmarkStart w:id="2478" w:name="_Toc428781883"/>
      <w:bookmarkStart w:id="2479" w:name="_Toc428780718"/>
      <w:bookmarkStart w:id="2480" w:name="_Toc426467135"/>
      <w:r>
        <w:rPr>
          <w:rFonts w:hint="eastAsia"/>
        </w:rPr>
        <w:t>（十二）社  区</w:t>
      </w:r>
      <w:bookmarkEnd w:id="2478"/>
      <w:bookmarkEnd w:id="2479"/>
      <w:bookmarkEnd w:id="2480"/>
    </w:p>
    <w:p w14:paraId="13769103"/>
    <w:p w14:paraId="1330FCA3">
      <w:pPr>
        <w:pStyle w:val="4"/>
      </w:pPr>
      <w:bookmarkStart w:id="2481" w:name="_Toc428780719"/>
      <w:bookmarkStart w:id="2482" w:name="_Toc428781884"/>
      <w:bookmarkStart w:id="2483" w:name="_Toc426467136"/>
      <w:r>
        <w:rPr>
          <w:rFonts w:hint="eastAsia"/>
        </w:rPr>
        <w:t>北京市社区服务设施管理若干规定</w:t>
      </w:r>
      <w:bookmarkEnd w:id="2481"/>
      <w:bookmarkEnd w:id="2482"/>
      <w:bookmarkEnd w:id="2483"/>
    </w:p>
    <w:p w14:paraId="088C2BE6">
      <w:pPr>
        <w:ind w:left="630" w:leftChars="300" w:right="630" w:rightChars="300"/>
        <w:rPr>
          <w:rFonts w:ascii="楷体" w:hAnsi="楷体" w:eastAsia="楷体"/>
        </w:rPr>
      </w:pPr>
      <w:r>
        <w:rPr>
          <w:rFonts w:hint="eastAsia" w:ascii="楷体" w:hAnsi="楷体" w:eastAsia="楷体"/>
        </w:rPr>
        <w:t>（1991年4月9日北京市人民政府第10号令发布　根据1997年12月31日北京市人民政府第12号令第一次修改　根据2002年2月11日北京市人民政府第92号令第二次修改）</w:t>
      </w:r>
    </w:p>
    <w:p w14:paraId="299A3829"/>
    <w:p w14:paraId="31E3F15E">
      <w:pPr>
        <w:ind w:firstLine="422"/>
      </w:pPr>
      <w:r>
        <w:rPr>
          <w:rFonts w:hint="eastAsia"/>
          <w:b/>
        </w:rPr>
        <w:t>第一条</w:t>
      </w:r>
      <w:r>
        <w:rPr>
          <w:rFonts w:hint="eastAsia"/>
        </w:rPr>
        <w:t xml:space="preserve">  为促进社区服务事业的发展，加强社区服务设施的管理，根据本市实际情况，制定本规定。</w:t>
      </w:r>
    </w:p>
    <w:p w14:paraId="10E3FD53">
      <w:pPr>
        <w:ind w:firstLine="422"/>
      </w:pPr>
      <w:r>
        <w:rPr>
          <w:rFonts w:hint="eastAsia"/>
          <w:b/>
        </w:rPr>
        <w:t>第二条</w:t>
      </w:r>
      <w:r>
        <w:rPr>
          <w:rFonts w:hint="eastAsia"/>
        </w:rPr>
        <w:t xml:space="preserve">  凡在本市行政区域内，由区、县、街道（镇）和居委会兴办的以当地老年人、残疾人和优抚对象为主，并向本地区居民提供便民服务的社区服务中心、敬老院、伤残儿童寄托所等社会保障设施、文化娱乐活动服务设施和便民服务设施（以下简称社区服务设施），均按本规定管理。</w:t>
      </w:r>
    </w:p>
    <w:p w14:paraId="2618ABA9">
      <w:pPr>
        <w:ind w:firstLine="422"/>
      </w:pPr>
      <w:r>
        <w:rPr>
          <w:rFonts w:hint="eastAsia"/>
          <w:b/>
        </w:rPr>
        <w:t>第三条</w:t>
      </w:r>
      <w:r>
        <w:rPr>
          <w:rFonts w:hint="eastAsia"/>
        </w:rPr>
        <w:t xml:space="preserve">  社区服务设施的建设与管理，坚持社区服务社会办的原则，实行国家、集体、个人相结合的方针，多渠道筹集资金，积极开展无偿或有偿服务，充分发挥社会效益。</w:t>
      </w:r>
    </w:p>
    <w:p w14:paraId="5DB4C3E1">
      <w:pPr>
        <w:ind w:firstLine="422"/>
      </w:pPr>
      <w:r>
        <w:rPr>
          <w:rFonts w:hint="eastAsia"/>
          <w:b/>
        </w:rPr>
        <w:t>第四条</w:t>
      </w:r>
      <w:r>
        <w:rPr>
          <w:rFonts w:hint="eastAsia"/>
        </w:rPr>
        <w:t xml:space="preserve">  市、区、县民政局是本市社区服务设施管理的主管机关，负责本规定的贯彻实施和实施情况的监督检查。</w:t>
      </w:r>
    </w:p>
    <w:p w14:paraId="17533C21">
      <w:r>
        <w:rPr>
          <w:rFonts w:hint="eastAsia"/>
        </w:rPr>
        <w:t>计划、财政、税务、工商、规划、房屋土地、城市建设、文化、卫生等行政管理机关，应当结合各自的职责，对社区服务设施的建设和发展依法给予扶持。</w:t>
      </w:r>
    </w:p>
    <w:p w14:paraId="7E330B17">
      <w:pPr>
        <w:ind w:firstLine="422"/>
      </w:pPr>
      <w:r>
        <w:rPr>
          <w:rFonts w:hint="eastAsia"/>
          <w:b/>
        </w:rPr>
        <w:t>第五条</w:t>
      </w:r>
      <w:r>
        <w:rPr>
          <w:rFonts w:hint="eastAsia"/>
        </w:rPr>
        <w:t xml:space="preserve">  社区服务设施用房的建设，应纳入城市建设规划。新建、改建居住区的社区服务设施用房，应当按照居住区公共设施配套建设定额指标进行规划和设计，由街道（镇）、民政等部门筹资建设。</w:t>
      </w:r>
    </w:p>
    <w:p w14:paraId="5206018A">
      <w:r>
        <w:rPr>
          <w:rFonts w:hint="eastAsia"/>
        </w:rPr>
        <w:t>现有居住区，应当因地制宜，充分利用现有条件开展社区服务事业，在符合城市建设规划的条件下，经城市规划管理机关批准，可由街道（镇）、民政等部门筹资建设社区服务设施用房。</w:t>
      </w:r>
    </w:p>
    <w:p w14:paraId="0C70DAA9">
      <w:r>
        <w:rPr>
          <w:rFonts w:hint="eastAsia"/>
        </w:rPr>
        <w:t>新建、改建居住区的社区服务设施用房配套建设定额指标，由市民政局会同市城市规划管理局等部门确定。</w:t>
      </w:r>
    </w:p>
    <w:p w14:paraId="74C024E2">
      <w:pPr>
        <w:ind w:firstLine="422"/>
      </w:pPr>
      <w:r>
        <w:rPr>
          <w:rFonts w:hint="eastAsia"/>
          <w:b/>
        </w:rPr>
        <w:t>第六条</w:t>
      </w:r>
      <w:r>
        <w:rPr>
          <w:rFonts w:hint="eastAsia"/>
        </w:rPr>
        <w:t xml:space="preserve">  社区服务设施用房，必须用于社区服务事业，不得挪作他用。</w:t>
      </w:r>
    </w:p>
    <w:p w14:paraId="3C4248FD">
      <w:r>
        <w:rPr>
          <w:rFonts w:hint="eastAsia"/>
        </w:rPr>
        <w:t>由民政部门收养或照管的孤寡老人进敬老院或死亡后，其原住房属于公有房屋的，由民政部门向房管部门办理房屋租赁手续后，安排用于社区服务事业；其原住房属于孤寡老人本人私有房屋的，依照收养或照管时的约定，交由民政部门安排用于社区服务事业。</w:t>
      </w:r>
    </w:p>
    <w:p w14:paraId="37AFECF7">
      <w:pPr>
        <w:ind w:firstLine="422"/>
      </w:pPr>
      <w:r>
        <w:rPr>
          <w:rFonts w:hint="eastAsia"/>
          <w:b/>
        </w:rPr>
        <w:t>第七条</w:t>
      </w:r>
      <w:r>
        <w:rPr>
          <w:rFonts w:hint="eastAsia"/>
        </w:rPr>
        <w:t xml:space="preserve">  兴办社区服务设施所需资金，由区、县、街道（镇）、民政部门等筹集，财政部门给予适当资助。鼓励社会捐资兴办社区服务事业。</w:t>
      </w:r>
    </w:p>
    <w:p w14:paraId="3301EC3D">
      <w:r>
        <w:rPr>
          <w:rFonts w:hint="eastAsia"/>
        </w:rPr>
        <w:t>民政部门进行有奖募捐筹集的资金和社区服务设施有偿服务收入、减免税款、社会赞助及有关部门资助的资金，应主要用于社区服务设施的建设和发展。</w:t>
      </w:r>
    </w:p>
    <w:p w14:paraId="39EC8A8A">
      <w:pPr>
        <w:ind w:firstLine="422"/>
      </w:pPr>
      <w:r>
        <w:rPr>
          <w:rFonts w:hint="eastAsia"/>
          <w:b/>
        </w:rPr>
        <w:t>第八条</w:t>
      </w:r>
      <w:r>
        <w:rPr>
          <w:rFonts w:hint="eastAsia"/>
        </w:rPr>
        <w:t xml:space="preserve">  财政、税务等部门应当按照有关规定对社区服务设施在资金、减免税等方面依法给予扶持。</w:t>
      </w:r>
    </w:p>
    <w:p w14:paraId="671A494B">
      <w:r>
        <w:rPr>
          <w:rFonts w:hint="eastAsia"/>
        </w:rPr>
        <w:t>社区服务设施开展文化娱乐、医疗康复或其他经营性便民服务项目，应当按照有关规定办理手续。</w:t>
      </w:r>
    </w:p>
    <w:p w14:paraId="69237BE0">
      <w:r>
        <w:rPr>
          <w:rFonts w:hint="eastAsia"/>
        </w:rPr>
        <w:t>文化、卫生、工商等行政管理机关应当依法予以扶持。</w:t>
      </w:r>
    </w:p>
    <w:p w14:paraId="2AE3C578">
      <w:pPr>
        <w:ind w:firstLine="422"/>
      </w:pPr>
      <w:r>
        <w:rPr>
          <w:rFonts w:hint="eastAsia"/>
          <w:b/>
        </w:rPr>
        <w:t>第九条</w:t>
      </w:r>
      <w:r>
        <w:rPr>
          <w:rFonts w:hint="eastAsia"/>
        </w:rPr>
        <w:t xml:space="preserve">  区、县、街道（镇）兴办的社区服务中心，是具有综合服务功能的社区服务设施，其名称统一为社区服务中心，并冠以所在区、县和街道（镇）的名称。</w:t>
      </w:r>
    </w:p>
    <w:p w14:paraId="1D50FC12">
      <w:pPr>
        <w:ind w:firstLine="422"/>
      </w:pPr>
      <w:r>
        <w:rPr>
          <w:rFonts w:hint="eastAsia"/>
          <w:b/>
        </w:rPr>
        <w:t>第十条</w:t>
      </w:r>
      <w:r>
        <w:rPr>
          <w:rFonts w:hint="eastAsia"/>
        </w:rPr>
        <w:t xml:space="preserve">  社区服务设施的工作人员，实行专职、兼职、义务服务相结合。街道（镇）社区服务中心应有二至三名的专职管理人员，其他工作人员实行聘任。</w:t>
      </w:r>
    </w:p>
    <w:p w14:paraId="2751B86C">
      <w:pPr>
        <w:ind w:firstLine="422"/>
      </w:pPr>
      <w:r>
        <w:rPr>
          <w:rFonts w:hint="eastAsia"/>
          <w:b/>
        </w:rPr>
        <w:t>第十一条</w:t>
      </w:r>
      <w:r>
        <w:rPr>
          <w:rFonts w:hint="eastAsia"/>
        </w:rPr>
        <w:t xml:space="preserve">  社区服务设施不得改变社区服务的使用性质。违者，由民政部门责令改正；情节严重的，由有关部门取消其享受的各项扶持待遇。</w:t>
      </w:r>
    </w:p>
    <w:p w14:paraId="4DA09B49">
      <w:pPr>
        <w:ind w:firstLine="422"/>
      </w:pPr>
      <w:r>
        <w:rPr>
          <w:rFonts w:hint="eastAsia"/>
          <w:b/>
        </w:rPr>
        <w:t>第十二条</w:t>
      </w:r>
      <w:r>
        <w:rPr>
          <w:rFonts w:hint="eastAsia"/>
        </w:rPr>
        <w:t xml:space="preserve">  社区服务设施有偿服务的收费标准，按国家和本市有关价格管理的规定执行。</w:t>
      </w:r>
    </w:p>
    <w:p w14:paraId="3F77FE14">
      <w:pPr>
        <w:ind w:firstLine="422"/>
      </w:pPr>
      <w:r>
        <w:rPr>
          <w:rFonts w:hint="eastAsia"/>
          <w:b/>
        </w:rPr>
        <w:t>第十三条</w:t>
      </w:r>
      <w:r>
        <w:rPr>
          <w:rFonts w:hint="eastAsia"/>
        </w:rPr>
        <w:t xml:space="preserve">  本规定自</w:t>
      </w:r>
      <w:r>
        <w:rPr>
          <w:rFonts w:hint="eastAsia" w:ascii="宋体" w:hAnsi="宋体" w:eastAsia="宋体" w:cs="宋体"/>
        </w:rPr>
        <w:t>1991年5月1日起施行。</w:t>
      </w:r>
    </w:p>
    <w:p w14:paraId="478AE4B4">
      <w:pPr>
        <w:pStyle w:val="4"/>
        <w:pageBreakBefore/>
      </w:pPr>
      <w:bookmarkStart w:id="2484" w:name="_Toc426467137"/>
      <w:bookmarkStart w:id="2485" w:name="_Toc428781885"/>
      <w:bookmarkStart w:id="2486" w:name="_Toc428780720"/>
      <w:r>
        <w:rPr>
          <w:rFonts w:hint="eastAsia"/>
        </w:rPr>
        <w:t>关于利用单位内部设施开展社区服务的若干规定</w:t>
      </w:r>
      <w:bookmarkEnd w:id="2484"/>
      <w:bookmarkEnd w:id="2485"/>
      <w:bookmarkEnd w:id="2486"/>
    </w:p>
    <w:p w14:paraId="30886210">
      <w:pPr>
        <w:ind w:left="630" w:leftChars="300" w:right="630" w:rightChars="300"/>
        <w:rPr>
          <w:rFonts w:ascii="楷体" w:hAnsi="楷体" w:eastAsia="楷体"/>
        </w:rPr>
      </w:pPr>
      <w:r>
        <w:rPr>
          <w:rFonts w:hint="eastAsia" w:ascii="楷体" w:hAnsi="楷体" w:eastAsia="楷体"/>
        </w:rPr>
        <w:t>（2001年5月22日北京市人民政府第35次常务会议通过  2001年6月4日北京市人民政府第77号令发布）</w:t>
      </w:r>
    </w:p>
    <w:p w14:paraId="7FBA19C9"/>
    <w:p w14:paraId="2CC358F2">
      <w:pPr>
        <w:ind w:firstLine="422"/>
      </w:pPr>
      <w:r>
        <w:rPr>
          <w:rFonts w:hint="eastAsia"/>
          <w:b/>
        </w:rPr>
        <w:t>第一条</w:t>
      </w:r>
      <w:r>
        <w:rPr>
          <w:rFonts w:hint="eastAsia"/>
        </w:rPr>
        <w:t xml:space="preserve">  为充分利用单位内部设施资源，满足社区成员需求，完善社区功能，推进社区建设，根据本市实际情况，制定本规定。</w:t>
      </w:r>
    </w:p>
    <w:p w14:paraId="51FDC662">
      <w:pPr>
        <w:ind w:firstLine="422"/>
      </w:pPr>
      <w:r>
        <w:rPr>
          <w:rFonts w:hint="eastAsia"/>
          <w:b/>
        </w:rPr>
        <w:t>第二条</w:t>
      </w:r>
      <w:r>
        <w:rPr>
          <w:rFonts w:hint="eastAsia"/>
        </w:rPr>
        <w:t xml:space="preserve">  本规定所称单位内部设施是指机关、团体、部队、企业事业单位（以下统称单位）所有或者管理，只为本单位内部成员利用的下列设施资源：</w:t>
      </w:r>
    </w:p>
    <w:p w14:paraId="00D9AC83">
      <w:bookmarkStart w:id="2487" w:name="_Toc428780721"/>
      <w:r>
        <w:rPr>
          <w:rFonts w:hint="eastAsia"/>
        </w:rPr>
        <w:t>（一）操场、游泳馆、健身房等体育设施；</w:t>
      </w:r>
      <w:bookmarkEnd w:id="2487"/>
    </w:p>
    <w:p w14:paraId="681F7C05">
      <w:r>
        <w:rPr>
          <w:rFonts w:hint="eastAsia"/>
        </w:rPr>
        <w:t>（二）礼堂、图书馆、培训教室、多功能厅等教育、文化、娱乐设施；</w:t>
      </w:r>
    </w:p>
    <w:p w14:paraId="4662B634">
      <w:r>
        <w:rPr>
          <w:rFonts w:hint="eastAsia"/>
        </w:rPr>
        <w:t>（三）食堂、浴池等生活服务设施；</w:t>
      </w:r>
    </w:p>
    <w:p w14:paraId="347E33AA">
      <w:r>
        <w:rPr>
          <w:rFonts w:hint="eastAsia"/>
        </w:rPr>
        <w:t>（四）医务室、健康咨询等卫生设施和项目；</w:t>
      </w:r>
    </w:p>
    <w:p w14:paraId="49F97BD5">
      <w:r>
        <w:rPr>
          <w:rFonts w:hint="eastAsia"/>
        </w:rPr>
        <w:t>（五）其他可满足社区需求的设施。</w:t>
      </w:r>
    </w:p>
    <w:p w14:paraId="2D2720A4">
      <w:pPr>
        <w:ind w:firstLine="422"/>
      </w:pPr>
      <w:r>
        <w:rPr>
          <w:rFonts w:hint="eastAsia"/>
          <w:b/>
        </w:rPr>
        <w:t>第三条</w:t>
      </w:r>
      <w:r>
        <w:rPr>
          <w:rFonts w:hint="eastAsia"/>
        </w:rPr>
        <w:t xml:space="preserve">  本市行政区域内利用单位内部设施对所在社区提供服务的，适用本规定。</w:t>
      </w:r>
    </w:p>
    <w:p w14:paraId="029EC9E0">
      <w:pPr>
        <w:ind w:firstLine="422"/>
      </w:pPr>
      <w:r>
        <w:rPr>
          <w:rFonts w:hint="eastAsia"/>
          <w:b/>
        </w:rPr>
        <w:t>第四条</w:t>
      </w:r>
      <w:r>
        <w:rPr>
          <w:rFonts w:hint="eastAsia"/>
        </w:rPr>
        <w:t xml:space="preserve">  市人民政府有关部门和区、县人民政府应当鼓励、指导、协调单位利用内部设施开展社区服务。</w:t>
      </w:r>
    </w:p>
    <w:p w14:paraId="119E360C">
      <w:r>
        <w:rPr>
          <w:rFonts w:hint="eastAsia"/>
        </w:rPr>
        <w:t>市社区建设工作领导小组办公室负责对全市利用单位内部设施开展社区服务工作的指导、检查和评比。</w:t>
      </w:r>
    </w:p>
    <w:p w14:paraId="400933E6">
      <w:r>
        <w:rPr>
          <w:rFonts w:hint="eastAsia"/>
        </w:rPr>
        <w:t>各区、县社区建设工作领导小组办公室负责组织实施。</w:t>
      </w:r>
    </w:p>
    <w:p w14:paraId="11C8E956">
      <w:pPr>
        <w:ind w:firstLine="422"/>
      </w:pPr>
      <w:r>
        <w:rPr>
          <w:rFonts w:hint="eastAsia"/>
          <w:b/>
        </w:rPr>
        <w:t>第五条</w:t>
      </w:r>
      <w:r>
        <w:rPr>
          <w:rFonts w:hint="eastAsia"/>
        </w:rPr>
        <w:t xml:space="preserve">  民政、文化、教育、卫生、体育等行政主管部门应当制定相应政策，鼓励、支持、规范单位利用内部设施开展社区服务的工作。</w:t>
      </w:r>
    </w:p>
    <w:p w14:paraId="47F0A991">
      <w:pPr>
        <w:ind w:firstLine="422"/>
      </w:pPr>
      <w:r>
        <w:rPr>
          <w:rFonts w:hint="eastAsia"/>
          <w:b/>
        </w:rPr>
        <w:t>第六条</w:t>
      </w:r>
      <w:r>
        <w:rPr>
          <w:rFonts w:hint="eastAsia"/>
        </w:rPr>
        <w:t xml:space="preserve">  利用单位内部设施开展社区服务，坚持政府扶持与社会参与相结合和共驻、共建社区的原则，充分发挥单位和社区居民委员会的作用，逐步实现社区居民自我管理、自我服务、自我教育、自我监督。</w:t>
      </w:r>
    </w:p>
    <w:p w14:paraId="4352A782">
      <w:pPr>
        <w:ind w:firstLine="422"/>
      </w:pPr>
      <w:r>
        <w:rPr>
          <w:rFonts w:hint="eastAsia"/>
          <w:b/>
        </w:rPr>
        <w:t>第七条</w:t>
      </w:r>
      <w:r>
        <w:rPr>
          <w:rFonts w:hint="eastAsia"/>
        </w:rPr>
        <w:t xml:space="preserve">  单位利用内部设施开展社区服务，应当坚持公益性原则，不得以营利为目的。</w:t>
      </w:r>
    </w:p>
    <w:p w14:paraId="07B10DBE">
      <w:pPr>
        <w:ind w:firstLine="422"/>
      </w:pPr>
      <w:r>
        <w:rPr>
          <w:rFonts w:hint="eastAsia"/>
          <w:b/>
        </w:rPr>
        <w:t>第八条</w:t>
      </w:r>
      <w:r>
        <w:rPr>
          <w:rFonts w:hint="eastAsia"/>
        </w:rPr>
        <w:t xml:space="preserve">  鼓励单位利用本单位设施以培训、讲座等多种形式向社区居民开展普及科学文化知识，提供生活服务咨询等活动。</w:t>
      </w:r>
    </w:p>
    <w:p w14:paraId="22B8AEA7">
      <w:pPr>
        <w:ind w:firstLine="422"/>
      </w:pPr>
      <w:r>
        <w:rPr>
          <w:rFonts w:hint="eastAsia"/>
          <w:b/>
        </w:rPr>
        <w:t>第九条</w:t>
      </w:r>
      <w:r>
        <w:rPr>
          <w:rFonts w:hint="eastAsia"/>
        </w:rPr>
        <w:t xml:space="preserve">  市和区、县财政应当每年在年度财政预算中安排一定数额的专项资金，用于对利用内部设施开展社区服务的先进单位和个人的奖励。社区居民委员会应当将奖励的情况向社区居民公开。</w:t>
      </w:r>
    </w:p>
    <w:p w14:paraId="77271409">
      <w:pPr>
        <w:ind w:firstLine="422"/>
      </w:pPr>
      <w:r>
        <w:rPr>
          <w:rFonts w:hint="eastAsia"/>
          <w:b/>
        </w:rPr>
        <w:t>第十条</w:t>
      </w:r>
      <w:r>
        <w:rPr>
          <w:rFonts w:hint="eastAsia"/>
        </w:rPr>
        <w:t xml:space="preserve">  单位利用浴室、游泳场馆等内部设施开展社区服务，需要增加用水的，由单位提出增加用水指标的申请，报节约用水管理部门核准，用水价格按原价格标准执行。</w:t>
      </w:r>
    </w:p>
    <w:p w14:paraId="7BA238E7">
      <w:r>
        <w:rPr>
          <w:rFonts w:hint="eastAsia"/>
        </w:rPr>
        <w:t>单位利用内部设施开展社区服务相应增加的清扫保洁、垃圾处理和清运等卫生及其他管理费用可以减免。</w:t>
      </w:r>
    </w:p>
    <w:p w14:paraId="4487935A">
      <w:pPr>
        <w:ind w:firstLine="422"/>
      </w:pPr>
      <w:r>
        <w:rPr>
          <w:rFonts w:hint="eastAsia"/>
          <w:b/>
        </w:rPr>
        <w:t>第十一条</w:t>
      </w:r>
      <w:r>
        <w:rPr>
          <w:rFonts w:hint="eastAsia"/>
        </w:rPr>
        <w:t xml:space="preserve">  单位利用内部设施开展社区服务，社区居民委员会应当与单位就服务的内容、方式、时间以及双方的权利义务等内容进行协商，并签订协议。</w:t>
      </w:r>
    </w:p>
    <w:p w14:paraId="1F1C50F5">
      <w:r>
        <w:rPr>
          <w:rFonts w:hint="eastAsia"/>
        </w:rPr>
        <w:t>签订协议前，社区居民委员会应当广泛征求社区居民的意见，对重大问题应当经社区居民代表会议讨论决定。</w:t>
      </w:r>
    </w:p>
    <w:p w14:paraId="2FBF0DAF">
      <w:r>
        <w:rPr>
          <w:rFonts w:hint="eastAsia"/>
        </w:rPr>
        <w:t>协议签订后，由社区居民委员会向所在地街道办事处申领市社区建设工作领导小组办公室统一印制的社区服务标志。</w:t>
      </w:r>
    </w:p>
    <w:p w14:paraId="330653C6">
      <w:pPr>
        <w:ind w:firstLine="422"/>
      </w:pPr>
      <w:r>
        <w:rPr>
          <w:rFonts w:hint="eastAsia"/>
          <w:b/>
        </w:rPr>
        <w:t>第十二条</w:t>
      </w:r>
      <w:r>
        <w:rPr>
          <w:rFonts w:hint="eastAsia"/>
        </w:rPr>
        <w:t xml:space="preserve">  单位利用内部设施开展社区服务，应当与社区居民委员会协商制订相应的管理制度，明确管理责任。</w:t>
      </w:r>
    </w:p>
    <w:p w14:paraId="27EFBAEF">
      <w:pPr>
        <w:ind w:firstLine="422"/>
      </w:pPr>
      <w:r>
        <w:rPr>
          <w:rFonts w:hint="eastAsia"/>
          <w:b/>
        </w:rPr>
        <w:t>第十三条</w:t>
      </w:r>
      <w:r>
        <w:rPr>
          <w:rFonts w:hint="eastAsia"/>
        </w:rPr>
        <w:t xml:space="preserve">  单位利用内部设施开展社区服务，应当做到：</w:t>
      </w:r>
    </w:p>
    <w:p w14:paraId="43BDF4D0">
      <w:bookmarkStart w:id="2488" w:name="_Toc428780722"/>
      <w:r>
        <w:rPr>
          <w:rFonts w:hint="eastAsia"/>
        </w:rPr>
        <w:t>（一）悬挂统一的社区服务标志；</w:t>
      </w:r>
      <w:bookmarkEnd w:id="2488"/>
    </w:p>
    <w:p w14:paraId="396C27FA">
      <w:r>
        <w:rPr>
          <w:rFonts w:hint="eastAsia"/>
        </w:rPr>
        <w:t>（二）不得以出租、转租、转让以及其他方式变相开展经营活动；</w:t>
      </w:r>
    </w:p>
    <w:p w14:paraId="523006ED">
      <w:bookmarkStart w:id="2489" w:name="_Toc428780723"/>
      <w:r>
        <w:rPr>
          <w:rFonts w:hint="eastAsia"/>
        </w:rPr>
        <w:t>（三）收取费用的，收费标准等同于本单位内部职工；</w:t>
      </w:r>
      <w:bookmarkEnd w:id="2489"/>
    </w:p>
    <w:p w14:paraId="130661FB">
      <w:r>
        <w:rPr>
          <w:rFonts w:hint="eastAsia"/>
        </w:rPr>
        <w:t>（四）设施安全和卫生条件等达到基本要求，为社区居民提供安全优质服务。</w:t>
      </w:r>
    </w:p>
    <w:p w14:paraId="4D9D8512">
      <w:pPr>
        <w:ind w:firstLine="422"/>
      </w:pPr>
      <w:r>
        <w:rPr>
          <w:rFonts w:hint="eastAsia"/>
          <w:b/>
        </w:rPr>
        <w:t>第十四条</w:t>
      </w:r>
      <w:r>
        <w:rPr>
          <w:rFonts w:hint="eastAsia"/>
        </w:rPr>
        <w:t>　社区居民应当协助、配合单位做好社区服务工作，爱护服务设施，遵守有关管理制度。</w:t>
      </w:r>
    </w:p>
    <w:p w14:paraId="667B8A1C">
      <w:pPr>
        <w:ind w:firstLine="422"/>
      </w:pPr>
      <w:r>
        <w:rPr>
          <w:rFonts w:hint="eastAsia"/>
          <w:b/>
        </w:rPr>
        <w:t>第十五条</w:t>
      </w:r>
      <w:r>
        <w:rPr>
          <w:rFonts w:hint="eastAsia"/>
        </w:rPr>
        <w:t>　在利用单位内部设施开展社区服务中，社区居民委员会应当做好下列工作：</w:t>
      </w:r>
    </w:p>
    <w:p w14:paraId="0C63FEF1">
      <w:bookmarkStart w:id="2490" w:name="_Toc428780724"/>
      <w:r>
        <w:rPr>
          <w:rFonts w:hint="eastAsia"/>
        </w:rPr>
        <w:t>（一）及时了解社区居民对社区服务的需求；</w:t>
      </w:r>
      <w:bookmarkEnd w:id="2490"/>
    </w:p>
    <w:p w14:paraId="3BC46806">
      <w:r>
        <w:rPr>
          <w:rFonts w:hint="eastAsia"/>
        </w:rPr>
        <w:t>（二）与单位签订协议时体现社区居民的意见，保障社区居民的利益；</w:t>
      </w:r>
    </w:p>
    <w:p w14:paraId="1AFF5250">
      <w:bookmarkStart w:id="2491" w:name="_Toc428780725"/>
      <w:r>
        <w:rPr>
          <w:rFonts w:hint="eastAsia"/>
        </w:rPr>
        <w:t>（三）为单位开展社区服务提供帮助；</w:t>
      </w:r>
      <w:bookmarkEnd w:id="2491"/>
    </w:p>
    <w:p w14:paraId="279E552C">
      <w:r>
        <w:rPr>
          <w:rFonts w:hint="eastAsia"/>
        </w:rPr>
        <w:t>（四）及时向单位反映社区居民的意见，并协助单位做好整改；</w:t>
      </w:r>
    </w:p>
    <w:p w14:paraId="577E01B3">
      <w:r>
        <w:rPr>
          <w:rFonts w:hint="eastAsia"/>
        </w:rPr>
        <w:t>（五）协调解决社区居民与单位之间的纠纷。</w:t>
      </w:r>
    </w:p>
    <w:p w14:paraId="725116E7">
      <w:pPr>
        <w:ind w:firstLine="422"/>
      </w:pPr>
      <w:r>
        <w:rPr>
          <w:rFonts w:hint="eastAsia"/>
          <w:b/>
        </w:rPr>
        <w:t>第十六条</w:t>
      </w:r>
      <w:r>
        <w:rPr>
          <w:rFonts w:hint="eastAsia"/>
        </w:rPr>
        <w:t>　单位在开展社区服务过程中，不履行协议或者违反本规定第十三条规定的，社区居民委员会应当解除协议，并由所在地街道办事处收回社区服务标志；对变相开展经营活动的，由工商行政管理、税务等部门依法处理。</w:t>
      </w:r>
    </w:p>
    <w:p w14:paraId="2194327F">
      <w:pPr>
        <w:ind w:firstLine="422"/>
      </w:pPr>
      <w:r>
        <w:rPr>
          <w:rFonts w:hint="eastAsia"/>
          <w:b/>
        </w:rPr>
        <w:t>第十七条</w:t>
      </w:r>
      <w:r>
        <w:rPr>
          <w:rFonts w:hint="eastAsia"/>
        </w:rPr>
        <w:t>　本规</w:t>
      </w:r>
      <w:r>
        <w:rPr>
          <w:rFonts w:hint="eastAsia" w:ascii="宋体" w:hAnsi="宋体" w:eastAsia="宋体" w:cs="宋体"/>
        </w:rPr>
        <w:t>定自2001年7月1日</w:t>
      </w:r>
      <w:r>
        <w:rPr>
          <w:rFonts w:hint="eastAsia"/>
        </w:rPr>
        <w:t>起施行。</w:t>
      </w:r>
    </w:p>
    <w:p w14:paraId="40C8F9F6">
      <w:pPr>
        <w:pStyle w:val="4"/>
        <w:pageBreakBefore/>
      </w:pPr>
      <w:bookmarkStart w:id="2492" w:name="_Toc428781886"/>
      <w:bookmarkStart w:id="2493" w:name="_Toc428780726"/>
      <w:bookmarkStart w:id="2494" w:name="_Toc426467138"/>
      <w:r>
        <w:rPr>
          <w:rFonts w:hint="eastAsia"/>
        </w:rPr>
        <w:t>北京市社区居民委员会办公用房管理若干规定</w:t>
      </w:r>
      <w:bookmarkEnd w:id="2492"/>
      <w:bookmarkEnd w:id="2493"/>
      <w:bookmarkEnd w:id="2494"/>
    </w:p>
    <w:p w14:paraId="42EFE03B">
      <w:pPr>
        <w:ind w:left="630" w:leftChars="300" w:right="630" w:rightChars="300"/>
        <w:rPr>
          <w:rFonts w:ascii="楷体" w:hAnsi="楷体" w:eastAsia="楷体"/>
        </w:rPr>
      </w:pPr>
      <w:r>
        <w:rPr>
          <w:rFonts w:hint="eastAsia" w:ascii="楷体" w:hAnsi="楷体" w:eastAsia="楷体"/>
        </w:rPr>
        <w:t>（2001年6月4日北京市人民政府第78号令发布  根据2006年4月11日北京市人民政府第169号令修改）</w:t>
      </w:r>
    </w:p>
    <w:p w14:paraId="004E086C"/>
    <w:p w14:paraId="55DF4BFB">
      <w:pPr>
        <w:ind w:firstLine="422"/>
      </w:pPr>
      <w:r>
        <w:rPr>
          <w:rFonts w:hint="eastAsia"/>
          <w:b/>
        </w:rPr>
        <w:t>第一条</w:t>
      </w:r>
      <w:r>
        <w:rPr>
          <w:rFonts w:hint="eastAsia"/>
        </w:rPr>
        <w:t xml:space="preserve">  为改善本市社区居民委员会办理公共事务和公益事业的条件，发挥社区居民委员会在城市管理和社区建设中的作用，根据本市实际情况，制定本规定。</w:t>
      </w:r>
    </w:p>
    <w:p w14:paraId="4E848E56">
      <w:pPr>
        <w:ind w:firstLine="422"/>
      </w:pPr>
      <w:r>
        <w:rPr>
          <w:rFonts w:hint="eastAsia"/>
          <w:b/>
        </w:rPr>
        <w:t>第二条</w:t>
      </w:r>
      <w:r>
        <w:rPr>
          <w:rFonts w:hint="eastAsia"/>
        </w:rPr>
        <w:t xml:space="preserve">  社区居民委员会办公用房（以下简称居委会办公用房）是指社区居民委员会开展工作和组织社区居民民主议事的场所。</w:t>
      </w:r>
    </w:p>
    <w:p w14:paraId="558B7683">
      <w:pPr>
        <w:ind w:firstLine="422"/>
      </w:pPr>
      <w:r>
        <w:rPr>
          <w:rFonts w:hint="eastAsia"/>
          <w:b/>
        </w:rPr>
        <w:t>第三条</w:t>
      </w:r>
      <w:r>
        <w:rPr>
          <w:rFonts w:hint="eastAsia"/>
        </w:rPr>
        <w:t xml:space="preserve">  本市行政区域内居委会办公用房的设置和管理适用本规定。</w:t>
      </w:r>
    </w:p>
    <w:p w14:paraId="280680A5">
      <w:pPr>
        <w:ind w:firstLine="422"/>
      </w:pPr>
      <w:r>
        <w:rPr>
          <w:rFonts w:hint="eastAsia"/>
          <w:b/>
        </w:rPr>
        <w:t>第四条</w:t>
      </w:r>
      <w:r>
        <w:rPr>
          <w:rFonts w:hint="eastAsia"/>
        </w:rPr>
        <w:t xml:space="preserve">  本规定由本市各级人民政府负责组织实施。</w:t>
      </w:r>
    </w:p>
    <w:p w14:paraId="5C0D6411">
      <w:r>
        <w:rPr>
          <w:rFonts w:hint="eastAsia"/>
        </w:rPr>
        <w:t>发展计划、规划、建设、财政、国土房管、民政等部门应当按照各自的职责权限，做好居委会办公用房的设置和管理工作。</w:t>
      </w:r>
    </w:p>
    <w:p w14:paraId="2AE7F0AD">
      <w:pPr>
        <w:ind w:firstLine="422"/>
      </w:pPr>
      <w:r>
        <w:rPr>
          <w:rFonts w:hint="eastAsia"/>
          <w:b/>
        </w:rPr>
        <w:t>第五条</w:t>
      </w:r>
      <w:r>
        <w:rPr>
          <w:rFonts w:hint="eastAsia"/>
        </w:rPr>
        <w:t xml:space="preserve">  居委会办公用房按照本市居住公共服务设施规划设计指标的有关规定设置。</w:t>
      </w:r>
    </w:p>
    <w:p w14:paraId="597B4F6E">
      <w:r>
        <w:rPr>
          <w:rFonts w:hint="eastAsia"/>
        </w:rPr>
        <w:t>居委会办公用房的设置在规划、建设安排上应当体现便于居民办事的原则。</w:t>
      </w:r>
    </w:p>
    <w:p w14:paraId="501621F1">
      <w:pPr>
        <w:ind w:firstLine="422"/>
      </w:pPr>
      <w:r>
        <w:rPr>
          <w:rFonts w:hint="eastAsia"/>
          <w:b/>
        </w:rPr>
        <w:t>第六条</w:t>
      </w:r>
      <w:r>
        <w:rPr>
          <w:rFonts w:hint="eastAsia"/>
        </w:rPr>
        <w:t xml:space="preserve">  新建、改建居住区的居委会办公用房，由建设单位按照本规定和居住区公共配套设施建设的有关规定建设。</w:t>
      </w:r>
    </w:p>
    <w:p w14:paraId="6951DA0D">
      <w:pPr>
        <w:ind w:firstLine="422"/>
      </w:pPr>
      <w:r>
        <w:rPr>
          <w:rFonts w:hint="eastAsia"/>
          <w:b/>
        </w:rPr>
        <w:t>第七条</w:t>
      </w:r>
      <w:r>
        <w:rPr>
          <w:rFonts w:hint="eastAsia"/>
        </w:rPr>
        <w:t xml:space="preserve">  平房居住区和已建成居住区没有居委会办公用房或者居委会办公用房未达到标准的，由当地人民政府负责建设，也可从其他社区设施中调剂置换，或者以购买、租借等方式解决。所需资金由当地人民政府负责解决。</w:t>
      </w:r>
    </w:p>
    <w:p w14:paraId="16A0E7A9">
      <w:pPr>
        <w:ind w:firstLine="422"/>
      </w:pPr>
      <w:r>
        <w:rPr>
          <w:rFonts w:hint="eastAsia"/>
          <w:b/>
        </w:rPr>
        <w:t>第八条</w:t>
      </w:r>
      <w:r>
        <w:rPr>
          <w:rFonts w:hint="eastAsia"/>
        </w:rPr>
        <w:t xml:space="preserve">  新建、改建居住区的建设单位，应当将居委会办公用房的建设纳入建设工程规划设计方案。规划行政管理部门应当按照本规定和规定的配置指标对建设单位的建设工程规划设计方案进行审查；对不符合规定配置标准和要求的，不予批准。</w:t>
      </w:r>
    </w:p>
    <w:p w14:paraId="550A9B48">
      <w:pPr>
        <w:ind w:firstLine="422"/>
      </w:pPr>
      <w:r>
        <w:rPr>
          <w:rFonts w:hint="eastAsia"/>
          <w:b/>
        </w:rPr>
        <w:t>第九条</w:t>
      </w:r>
      <w:r>
        <w:rPr>
          <w:rFonts w:hint="eastAsia"/>
        </w:rPr>
        <w:t xml:space="preserve">  工程竣工后，工程所在地的街道办事处应当参加居住区公共配套设施验收。没有建设居委会办公用房或者未达到标准的，不得通过验收。</w:t>
      </w:r>
    </w:p>
    <w:p w14:paraId="7AF20B02">
      <w:r>
        <w:rPr>
          <w:rFonts w:hint="eastAsia"/>
        </w:rPr>
        <w:t>居民入住后一个月内，建设单位应当将居委会办公用房无偿交给所在地街道办事处管理，并办理交接手续。</w:t>
      </w:r>
    </w:p>
    <w:p w14:paraId="72C3F182">
      <w:pPr>
        <w:ind w:firstLine="422"/>
      </w:pPr>
      <w:r>
        <w:rPr>
          <w:rFonts w:hint="eastAsia"/>
          <w:b/>
        </w:rPr>
        <w:t>第十条</w:t>
      </w:r>
      <w:r>
        <w:rPr>
          <w:rFonts w:hint="eastAsia"/>
        </w:rPr>
        <w:t xml:space="preserve">  居委会办公用房由街道办事处负责管理，社区居民委员会享有使用权。</w:t>
      </w:r>
    </w:p>
    <w:p w14:paraId="6C1F54C9">
      <w:r>
        <w:rPr>
          <w:rFonts w:hint="eastAsia"/>
        </w:rPr>
        <w:t>居委会办公用房的维修、水电、取暖等费用由当地人民政府负责。</w:t>
      </w:r>
    </w:p>
    <w:p w14:paraId="24EC381A">
      <w:pPr>
        <w:ind w:firstLine="422"/>
      </w:pPr>
      <w:r>
        <w:rPr>
          <w:rFonts w:hint="eastAsia"/>
          <w:b/>
        </w:rPr>
        <w:t>第十一条</w:t>
      </w:r>
      <w:r>
        <w:rPr>
          <w:rFonts w:hint="eastAsia"/>
        </w:rPr>
        <w:t xml:space="preserve">  任何组织和个人不得侵占居委会办公用房。</w:t>
      </w:r>
    </w:p>
    <w:p w14:paraId="7DE3F10B">
      <w:r>
        <w:rPr>
          <w:rFonts w:hint="eastAsia"/>
        </w:rPr>
        <w:t>街道办事处、社区居民委员会不得擅自改变居委会办公用房的使用性质，不得挪作他用。</w:t>
      </w:r>
    </w:p>
    <w:p w14:paraId="2465ED62">
      <w:pPr>
        <w:ind w:firstLine="422"/>
      </w:pPr>
      <w:r>
        <w:rPr>
          <w:rFonts w:hint="eastAsia"/>
          <w:b/>
        </w:rPr>
        <w:t>第十二条</w:t>
      </w:r>
      <w:r>
        <w:rPr>
          <w:rFonts w:hint="eastAsia"/>
        </w:rPr>
        <w:t xml:space="preserve">  对违反本规定，不按期交付或者侵占居委会办公用房的，由区、县人民政府责令限期改正；逾期不改正的，除追缴居委会办公用房外，可处以</w:t>
      </w:r>
      <w:r>
        <w:rPr>
          <w:rFonts w:hint="eastAsia" w:ascii="宋体" w:hAnsi="宋体" w:eastAsia="宋体" w:cs="宋体"/>
        </w:rPr>
        <w:t>1000元以上3万</w:t>
      </w:r>
      <w:r>
        <w:rPr>
          <w:rFonts w:hint="eastAsia"/>
        </w:rPr>
        <w:t>元以下的罚款。</w:t>
      </w:r>
    </w:p>
    <w:p w14:paraId="030BD1E0">
      <w:pPr>
        <w:ind w:firstLine="422"/>
      </w:pPr>
      <w:r>
        <w:rPr>
          <w:rFonts w:hint="eastAsia"/>
          <w:b/>
        </w:rPr>
        <w:t>第十三条</w:t>
      </w:r>
      <w:r>
        <w:rPr>
          <w:rFonts w:hint="eastAsia"/>
        </w:rPr>
        <w:t xml:space="preserve">  街道办事处、社区居民委员会将居委会办公用房挪作他用的，由区、县人民政府责令改正；情节严重的，追究街道办事处主要负责人和直接责任人员的行政责任。</w:t>
      </w:r>
    </w:p>
    <w:p w14:paraId="03A1042D">
      <w:pPr>
        <w:ind w:firstLine="422"/>
      </w:pPr>
      <w:r>
        <w:rPr>
          <w:rFonts w:hint="eastAsia"/>
          <w:b/>
        </w:rPr>
        <w:t>第十四条</w:t>
      </w:r>
      <w:r>
        <w:rPr>
          <w:rFonts w:hint="eastAsia"/>
        </w:rPr>
        <w:t xml:space="preserve">  本规定</w:t>
      </w:r>
      <w:r>
        <w:rPr>
          <w:rFonts w:hint="eastAsia" w:ascii="宋体" w:hAnsi="宋体" w:eastAsia="宋体" w:cs="宋体"/>
        </w:rPr>
        <w:t>自2001年7月1日起</w:t>
      </w:r>
      <w:r>
        <w:rPr>
          <w:rFonts w:hint="eastAsia"/>
        </w:rPr>
        <w:t>施行。</w:t>
      </w:r>
    </w:p>
    <w:p w14:paraId="7B92C562">
      <w:pPr>
        <w:pStyle w:val="3"/>
        <w:pageBreakBefore/>
      </w:pPr>
      <w:bookmarkStart w:id="2495" w:name="_Toc426467139"/>
      <w:bookmarkStart w:id="2496" w:name="_Toc428781887"/>
      <w:bookmarkStart w:id="2497" w:name="_Toc428780727"/>
      <w:r>
        <w:rPr>
          <w:rFonts w:hint="eastAsia"/>
        </w:rPr>
        <w:t>（十三）区域管理</w:t>
      </w:r>
      <w:bookmarkEnd w:id="2495"/>
      <w:bookmarkEnd w:id="2496"/>
      <w:bookmarkEnd w:id="2497"/>
    </w:p>
    <w:p w14:paraId="68D0DA6E"/>
    <w:p w14:paraId="2620387D">
      <w:pPr>
        <w:pStyle w:val="4"/>
      </w:pPr>
      <w:bookmarkStart w:id="2498" w:name="_Toc426467140"/>
      <w:bookmarkStart w:id="2499" w:name="_Toc428781888"/>
      <w:bookmarkStart w:id="2500" w:name="_Toc428780728"/>
      <w:r>
        <w:rPr>
          <w:rFonts w:hint="eastAsia"/>
        </w:rPr>
        <w:t>北京市王府井步行街地区管理规定</w:t>
      </w:r>
      <w:bookmarkEnd w:id="2498"/>
      <w:bookmarkEnd w:id="2499"/>
      <w:bookmarkEnd w:id="2500"/>
    </w:p>
    <w:p w14:paraId="1BC01947">
      <w:pPr>
        <w:ind w:left="630" w:leftChars="300" w:right="630" w:rightChars="300"/>
        <w:rPr>
          <w:rFonts w:ascii="楷体" w:hAnsi="楷体" w:eastAsia="楷体"/>
        </w:rPr>
      </w:pPr>
      <w:r>
        <w:rPr>
          <w:rFonts w:hint="eastAsia" w:ascii="楷体" w:hAnsi="楷体" w:eastAsia="楷体"/>
        </w:rPr>
        <w:t>（2000年9月1日北京市人民政府第61号令发布  根据2007年11月23日北京市人民政府第200号令修改）</w:t>
      </w:r>
    </w:p>
    <w:p w14:paraId="0CB407C8"/>
    <w:p w14:paraId="06D12180">
      <w:pPr>
        <w:ind w:firstLine="422"/>
      </w:pPr>
      <w:r>
        <w:rPr>
          <w:rFonts w:hint="eastAsia"/>
          <w:b/>
        </w:rPr>
        <w:t>第一条</w:t>
      </w:r>
      <w:r>
        <w:rPr>
          <w:rFonts w:hint="eastAsia"/>
        </w:rPr>
        <w:t xml:space="preserve">  为维护王府井步行街地区的良好秩序，加强对王府井步行街地区的综合管理，制定本规定。</w:t>
      </w:r>
    </w:p>
    <w:p w14:paraId="7C1118A1">
      <w:pPr>
        <w:ind w:firstLine="422"/>
      </w:pPr>
      <w:r>
        <w:rPr>
          <w:rFonts w:hint="eastAsia"/>
          <w:b/>
        </w:rPr>
        <w:t>第二条</w:t>
      </w:r>
      <w:r>
        <w:rPr>
          <w:rFonts w:hint="eastAsia"/>
        </w:rPr>
        <w:t xml:space="preserve">  本规定所称王府井步行街地区是指王府井大街南起东长安街北至灯市口大街的路段，以及金鱼胡同和东安门大街。沿街各单位和进入王府井步行街地区的人员，均须遵守本规定。</w:t>
      </w:r>
    </w:p>
    <w:p w14:paraId="6E7BDFD1">
      <w:pPr>
        <w:ind w:firstLine="422"/>
      </w:pPr>
      <w:r>
        <w:rPr>
          <w:rFonts w:hint="eastAsia"/>
          <w:b/>
        </w:rPr>
        <w:t>第三条</w:t>
      </w:r>
      <w:r>
        <w:rPr>
          <w:rFonts w:hint="eastAsia"/>
        </w:rPr>
        <w:t xml:space="preserve">  王府井大街南起东单三条北至金鱼胡同的路段为步行街。王府井大街南起金鱼胡同北至灯市口大街的路段为公交步行街。各种车辆应当遵守禁行规定，服从管理。</w:t>
      </w:r>
    </w:p>
    <w:p w14:paraId="63CB4716">
      <w:r>
        <w:rPr>
          <w:rFonts w:hint="eastAsia"/>
        </w:rPr>
        <w:t>市公安交通管理局会同东城区人民政府制定具体交通管制方案，并在出入王府井步行街地区的地段设置明显标志。</w:t>
      </w:r>
    </w:p>
    <w:p w14:paraId="229662BF">
      <w:pPr>
        <w:ind w:firstLine="422"/>
      </w:pPr>
      <w:r>
        <w:rPr>
          <w:rFonts w:hint="eastAsia"/>
          <w:b/>
        </w:rPr>
        <w:t>第四条</w:t>
      </w:r>
      <w:r>
        <w:rPr>
          <w:rFonts w:hint="eastAsia"/>
        </w:rPr>
        <w:t xml:space="preserve">  在王府井步行街地区进行下列活动应当符合规划要求，并按照规定报有关部门依法批准后，方可进行。有关部门办理审批时应当征求王府井地区建设管理办公室意见。</w:t>
      </w:r>
    </w:p>
    <w:p w14:paraId="217C92B8">
      <w:r>
        <w:rPr>
          <w:rFonts w:hint="eastAsia"/>
        </w:rPr>
        <w:t>（一）对建筑物进行外部装饰、装修；</w:t>
      </w:r>
    </w:p>
    <w:p w14:paraId="291B42FA">
      <w:r>
        <w:rPr>
          <w:rFonts w:hint="eastAsia"/>
        </w:rPr>
        <w:t>（二）改变公用设施的风格、式样和位置；</w:t>
      </w:r>
    </w:p>
    <w:p w14:paraId="57F90EC9">
      <w:r>
        <w:rPr>
          <w:rFonts w:hint="eastAsia"/>
        </w:rPr>
        <w:t>（三）设置户外广告；</w:t>
      </w:r>
    </w:p>
    <w:p w14:paraId="239E2750">
      <w:r>
        <w:rPr>
          <w:rFonts w:hint="eastAsia"/>
        </w:rPr>
        <w:t>（四）占用道路和广场进行商业、服务业经营或者举办文化、宣传、展示、咨询等活动。</w:t>
      </w:r>
    </w:p>
    <w:p w14:paraId="7D2776EE">
      <w:pPr>
        <w:ind w:firstLine="422"/>
      </w:pPr>
      <w:r>
        <w:rPr>
          <w:rFonts w:hint="eastAsia"/>
          <w:b/>
        </w:rPr>
        <w:t>第五条</w:t>
      </w:r>
      <w:r>
        <w:rPr>
          <w:rFonts w:hint="eastAsia"/>
        </w:rPr>
        <w:t xml:space="preserve">  有下列行为之一的，由城市管理综合执法部门予以劝阻制止：</w:t>
      </w:r>
    </w:p>
    <w:p w14:paraId="0705028B">
      <w:bookmarkStart w:id="2501" w:name="_Toc428780729"/>
      <w:r>
        <w:rPr>
          <w:rFonts w:hint="eastAsia"/>
        </w:rPr>
        <w:t>（一）随地吐痰、吐口香糖，随地便溺及随地丢弃废弃物；</w:t>
      </w:r>
      <w:bookmarkEnd w:id="2501"/>
    </w:p>
    <w:p w14:paraId="70C66BEE">
      <w:r>
        <w:rPr>
          <w:rFonts w:hint="eastAsia"/>
        </w:rPr>
        <w:t>（二）随意散发印刷品、张贴广告；</w:t>
      </w:r>
    </w:p>
    <w:p w14:paraId="7876789E">
      <w:r>
        <w:rPr>
          <w:rFonts w:hint="eastAsia"/>
        </w:rPr>
        <w:t>（三）随意移动或者损毁公用设施；</w:t>
      </w:r>
    </w:p>
    <w:p w14:paraId="317B0F21">
      <w:r>
        <w:rPr>
          <w:rFonts w:hint="eastAsia"/>
        </w:rPr>
        <w:t>（四）衣着不整，在公共座椅上躺卧；</w:t>
      </w:r>
    </w:p>
    <w:p w14:paraId="62C7DAA5">
      <w:r>
        <w:rPr>
          <w:rFonts w:hint="eastAsia"/>
        </w:rPr>
        <w:t>（五）踢球、滑旱冰和滑板；</w:t>
      </w:r>
    </w:p>
    <w:p w14:paraId="73466CEA">
      <w:r>
        <w:rPr>
          <w:rFonts w:hint="eastAsia"/>
        </w:rPr>
        <w:t>（六）其他妨碍城市市容和环境卫生的行为。</w:t>
      </w:r>
    </w:p>
    <w:p w14:paraId="16E92222">
      <w:r>
        <w:rPr>
          <w:rFonts w:hint="eastAsia"/>
        </w:rPr>
        <w:t>对有前款第（一）项规定情形的，城市管理综合执法部门按照《北京市市容环境卫生条例》第五十四条规定，责令改正</w:t>
      </w:r>
      <w:r>
        <w:rPr>
          <w:rFonts w:hint="eastAsia" w:ascii="宋体" w:hAnsi="宋体" w:eastAsia="宋体" w:cs="宋体"/>
        </w:rPr>
        <w:t>，并可处20元以上50元以下</w:t>
      </w:r>
      <w:r>
        <w:rPr>
          <w:rFonts w:hint="eastAsia"/>
        </w:rPr>
        <w:t>罚款。对有前款第（二）项规定情形的，城市管理综合执法部门按照《北京市市容环境卫生条例》和《北京市标语宣传品设置管理规定》进行处罚，对有前款第（三）项规定情形的，城市管理综合执法部门可以移送有关机关依法处理。</w:t>
      </w:r>
    </w:p>
    <w:p w14:paraId="26D3A5BA">
      <w:pPr>
        <w:ind w:firstLine="422"/>
      </w:pPr>
      <w:r>
        <w:rPr>
          <w:rFonts w:hint="eastAsia"/>
          <w:b/>
        </w:rPr>
        <w:t>第六条</w:t>
      </w:r>
      <w:r>
        <w:rPr>
          <w:rFonts w:hint="eastAsia"/>
        </w:rPr>
        <w:t xml:space="preserve">  有下列行为之一的，由公安交通管理部门按照《中华人民共和国道路交通安全法》等有关法规和规章的规定进行处理：</w:t>
      </w:r>
    </w:p>
    <w:p w14:paraId="348C945A">
      <w:r>
        <w:rPr>
          <w:rFonts w:hint="eastAsia"/>
        </w:rPr>
        <w:t>（一）违反本规定第三条规定的；</w:t>
      </w:r>
    </w:p>
    <w:p w14:paraId="71B63240">
      <w:r>
        <w:rPr>
          <w:rFonts w:hint="eastAsia"/>
        </w:rPr>
        <w:t>（二）任意停放机动车辆或者非机动车辆。</w:t>
      </w:r>
    </w:p>
    <w:p w14:paraId="3091B32E">
      <w:pPr>
        <w:ind w:firstLine="422"/>
      </w:pPr>
      <w:r>
        <w:rPr>
          <w:rFonts w:hint="eastAsia"/>
          <w:b/>
        </w:rPr>
        <w:t>第七条</w:t>
      </w:r>
      <w:r>
        <w:rPr>
          <w:rFonts w:hint="eastAsia"/>
        </w:rPr>
        <w:t xml:space="preserve">  有下列行为之一的，由公安机关予以劝阻制止，并依照有关法律、法规和规章的规定处理：</w:t>
      </w:r>
    </w:p>
    <w:p w14:paraId="73F61182">
      <w:r>
        <w:rPr>
          <w:rFonts w:hint="eastAsia"/>
        </w:rPr>
        <w:t>（一）流浪乞讨、露宿街头；</w:t>
      </w:r>
    </w:p>
    <w:p w14:paraId="32C0AAF4">
      <w:r>
        <w:rPr>
          <w:rFonts w:hint="eastAsia"/>
        </w:rPr>
        <w:t>（二）进行卜卦、算命等封建迷信活动或者赌博；</w:t>
      </w:r>
    </w:p>
    <w:p w14:paraId="3E356F51">
      <w:r>
        <w:rPr>
          <w:rFonts w:hint="eastAsia"/>
        </w:rPr>
        <w:t>（三）携带犬类等动物；</w:t>
      </w:r>
    </w:p>
    <w:p w14:paraId="35366C50">
      <w:r>
        <w:rPr>
          <w:rFonts w:hint="eastAsia"/>
        </w:rPr>
        <w:t>（四）其他扰乱公共秩序、妨碍公共安全的行为。</w:t>
      </w:r>
    </w:p>
    <w:p w14:paraId="31F47E83">
      <w:pPr>
        <w:ind w:firstLine="422"/>
      </w:pPr>
      <w:r>
        <w:rPr>
          <w:rFonts w:hint="eastAsia"/>
          <w:b/>
        </w:rPr>
        <w:t>第八条</w:t>
      </w:r>
      <w:r>
        <w:rPr>
          <w:rFonts w:hint="eastAsia"/>
        </w:rPr>
        <w:t xml:space="preserve">  本规定由东城区人民政府负责组织实施。王府井地区建设管理办公室具体负责王府井步行街地区的综合管理和协调工作。</w:t>
      </w:r>
    </w:p>
    <w:p w14:paraId="30D43F0E">
      <w:r>
        <w:rPr>
          <w:rFonts w:hint="eastAsia"/>
        </w:rPr>
        <w:t>工商、公安、公安交通管理等机关和城市管理综合执法部门按照各自的职责，依法加强对王府井步行街地区的管理和监督检查。</w:t>
      </w:r>
    </w:p>
    <w:p w14:paraId="20843FCE">
      <w:pPr>
        <w:ind w:firstLine="422"/>
      </w:pPr>
      <w:r>
        <w:rPr>
          <w:rFonts w:hint="eastAsia"/>
          <w:b/>
        </w:rPr>
        <w:t>第九条</w:t>
      </w:r>
      <w:r>
        <w:rPr>
          <w:rFonts w:hint="eastAsia"/>
        </w:rPr>
        <w:t xml:space="preserve">  本规定</w:t>
      </w:r>
      <w:r>
        <w:rPr>
          <w:rFonts w:hint="eastAsia" w:ascii="宋体" w:hAnsi="宋体" w:eastAsia="宋体" w:cs="宋体"/>
        </w:rPr>
        <w:t>自2000年10月1日</w:t>
      </w:r>
      <w:r>
        <w:rPr>
          <w:rFonts w:hint="eastAsia"/>
        </w:rPr>
        <w:t>起施行。</w:t>
      </w:r>
    </w:p>
    <w:p w14:paraId="2E7C0D8C">
      <w:pPr>
        <w:pStyle w:val="4"/>
        <w:pageBreakBefore/>
      </w:pPr>
      <w:bookmarkStart w:id="2502" w:name="_Toc428780730"/>
      <w:bookmarkStart w:id="2503" w:name="_Toc426467141"/>
      <w:bookmarkStart w:id="2504" w:name="_Toc428781889"/>
      <w:r>
        <w:rPr>
          <w:rFonts w:hint="eastAsia"/>
        </w:rPr>
        <w:t>北京市天安门地区管理规定</w:t>
      </w:r>
      <w:bookmarkEnd w:id="2502"/>
      <w:bookmarkEnd w:id="2503"/>
      <w:bookmarkEnd w:id="2504"/>
    </w:p>
    <w:p w14:paraId="25CE2208">
      <w:pPr>
        <w:ind w:left="630" w:leftChars="300" w:right="630" w:rightChars="300"/>
        <w:rPr>
          <w:rFonts w:ascii="楷体" w:hAnsi="楷体" w:eastAsia="楷体"/>
        </w:rPr>
      </w:pPr>
      <w:r>
        <w:rPr>
          <w:rFonts w:hint="eastAsia" w:ascii="楷体" w:hAnsi="楷体" w:eastAsia="楷体"/>
        </w:rPr>
        <w:t>（2004年3月18日北京市人民政府第144号令发布　根据2008年3月31日北京市人民政府第203号令修改）</w:t>
      </w:r>
    </w:p>
    <w:p w14:paraId="7DFB9CF2"/>
    <w:p w14:paraId="71D93228">
      <w:pPr>
        <w:ind w:firstLine="422"/>
      </w:pPr>
      <w:r>
        <w:rPr>
          <w:rFonts w:hint="eastAsia"/>
          <w:b/>
        </w:rPr>
        <w:t>第一条</w:t>
      </w:r>
      <w:r>
        <w:rPr>
          <w:rFonts w:hint="eastAsia"/>
        </w:rPr>
        <w:t xml:space="preserve">  为了维护天安门地区的社会秩序，加强对天安门地区的综合管理，制定本规定。</w:t>
      </w:r>
    </w:p>
    <w:p w14:paraId="34212302">
      <w:pPr>
        <w:ind w:firstLine="422"/>
      </w:pPr>
      <w:r>
        <w:rPr>
          <w:rFonts w:hint="eastAsia"/>
          <w:b/>
        </w:rPr>
        <w:t>第二条</w:t>
      </w:r>
      <w:r>
        <w:rPr>
          <w:rFonts w:hint="eastAsia"/>
        </w:rPr>
        <w:t xml:space="preserve">  本规定所称天安门地区是指东起国家博物馆东侧，西至人民大会堂西侧路（不含西侧便道），南起正阳门箭楼南侧便道，北至故宫午门的区域。</w:t>
      </w:r>
    </w:p>
    <w:p w14:paraId="6E97F3DF">
      <w:pPr>
        <w:ind w:firstLine="422"/>
      </w:pPr>
      <w:r>
        <w:rPr>
          <w:rFonts w:hint="eastAsia"/>
          <w:b/>
        </w:rPr>
        <w:t>第三条</w:t>
      </w:r>
      <w:r>
        <w:rPr>
          <w:rFonts w:hint="eastAsia"/>
        </w:rPr>
        <w:t xml:space="preserve">  北京市人民政府天安门地区管理委员会（以下简称天安门地区管理委员会）是市人民政府的派出机构，负责组织、协调有关部门和有关区人民政府做好天安门地区的管理工作。</w:t>
      </w:r>
    </w:p>
    <w:p w14:paraId="442E10B1">
      <w:r>
        <w:rPr>
          <w:rFonts w:hint="eastAsia"/>
        </w:rPr>
        <w:t>公安、城市管理综合行政执法、工商行政管理等行政部门，应当按照各自的职责，做好天安门地区的日常管理工作。</w:t>
      </w:r>
    </w:p>
    <w:p w14:paraId="4CE9F537">
      <w:pPr>
        <w:ind w:firstLine="422"/>
      </w:pPr>
      <w:r>
        <w:rPr>
          <w:rFonts w:hint="eastAsia"/>
          <w:b/>
        </w:rPr>
        <w:t>第四条</w:t>
      </w:r>
      <w:r>
        <w:rPr>
          <w:rFonts w:hint="eastAsia"/>
        </w:rPr>
        <w:t xml:space="preserve">  天安门地区管理委员会应当建立对有关行政部门日常管理工作的监督检查制度，组织、协调、监督有关部门做好天安门地区的综合管理工作。</w:t>
      </w:r>
    </w:p>
    <w:p w14:paraId="7A47579E">
      <w:pPr>
        <w:ind w:firstLine="422"/>
      </w:pPr>
      <w:r>
        <w:rPr>
          <w:rFonts w:hint="eastAsia"/>
          <w:b/>
        </w:rPr>
        <w:t>第五条</w:t>
      </w:r>
      <w:r>
        <w:rPr>
          <w:rFonts w:hint="eastAsia"/>
        </w:rPr>
        <w:t xml:space="preserve">  天安门地区管理委员会应当组织政府有关部门制定天安门地区突发事件的应急预案，建立突发事件应急指挥体系和处置机制，并组织应急演练。</w:t>
      </w:r>
    </w:p>
    <w:p w14:paraId="13E19BE9">
      <w:r>
        <w:rPr>
          <w:rFonts w:hint="eastAsia"/>
        </w:rPr>
        <w:t>公安、城市管理综合行政执法等行政部门应当根据天安门地区突发事件应急预案制定本部门的分预案，加强对本部门工作人员应急处置知识的培训和应急演练。</w:t>
      </w:r>
    </w:p>
    <w:p w14:paraId="5730F6F1">
      <w:pPr>
        <w:ind w:firstLine="422"/>
      </w:pPr>
      <w:r>
        <w:rPr>
          <w:rFonts w:hint="eastAsia"/>
          <w:b/>
        </w:rPr>
        <w:t>第六条</w:t>
      </w:r>
      <w:r>
        <w:rPr>
          <w:rFonts w:hint="eastAsia"/>
        </w:rPr>
        <w:t xml:space="preserve">  天安门地区管理委员会应当做好天安门地区的服务、管理工作，根据社会需要，科学、合理地统一规划商业、文化等服务设施，设置便民服务标志。</w:t>
      </w:r>
    </w:p>
    <w:p w14:paraId="0B59A8E1">
      <w:pPr>
        <w:ind w:firstLine="422"/>
      </w:pPr>
      <w:r>
        <w:rPr>
          <w:rFonts w:hint="eastAsia"/>
          <w:b/>
        </w:rPr>
        <w:t>第七条</w:t>
      </w:r>
      <w:r>
        <w:rPr>
          <w:rFonts w:hint="eastAsia"/>
        </w:rPr>
        <w:t xml:space="preserve">  在升降国旗、举行重大活动和节假日期间，公安机关和城市管理综合行政执法机关应当加强对主要人员通道、公众聚集部位等易造成人员拥挤或者易发生事故的场所和部位的现场巡视、管理工作。针对人员密集的情况，及时采取措施，做好引导、疏散工作。</w:t>
      </w:r>
    </w:p>
    <w:p w14:paraId="26A35686">
      <w:pPr>
        <w:ind w:firstLine="422"/>
      </w:pPr>
      <w:r>
        <w:rPr>
          <w:rFonts w:hint="eastAsia"/>
          <w:b/>
        </w:rPr>
        <w:t>第八条</w:t>
      </w:r>
      <w:r>
        <w:rPr>
          <w:rFonts w:hint="eastAsia"/>
        </w:rPr>
        <w:t xml:space="preserve">  任何单位和个人都应当遵守升降国旗、外事迎宾、节日庆典以及其他重大活动、重要会议期间和重点区域实行的临时管制措施。</w:t>
      </w:r>
    </w:p>
    <w:p w14:paraId="030E2372">
      <w:pPr>
        <w:ind w:firstLine="422"/>
      </w:pPr>
      <w:r>
        <w:rPr>
          <w:rFonts w:hint="eastAsia"/>
          <w:b/>
        </w:rPr>
        <w:t>第九条</w:t>
      </w:r>
      <w:r>
        <w:rPr>
          <w:rFonts w:hint="eastAsia"/>
        </w:rPr>
        <w:t xml:space="preserve">  在天安门地区举办文化、体育、演出等群众性活动的，除依法办理相关手续外，还应当遵守天安门地区管理委员会的统一安排和管理要求。</w:t>
      </w:r>
    </w:p>
    <w:p w14:paraId="5094E19E">
      <w:r>
        <w:rPr>
          <w:rFonts w:hint="eastAsia"/>
        </w:rPr>
        <w:t>在天安门地区从事有关道路、公用设施等施工作业和建筑工程的，应当符合天安门地区的综合管理规划和具体管理规定。</w:t>
      </w:r>
    </w:p>
    <w:p w14:paraId="1F9E0F84">
      <w:pPr>
        <w:ind w:firstLine="422"/>
      </w:pPr>
      <w:r>
        <w:rPr>
          <w:rFonts w:hint="eastAsia"/>
          <w:b/>
        </w:rPr>
        <w:t>第十条</w:t>
      </w:r>
      <w:r>
        <w:rPr>
          <w:rFonts w:hint="eastAsia"/>
        </w:rPr>
        <w:t xml:space="preserve">  进入天安门地区的人员应当遵守法律、法规、规章的规定，自觉维护天安门地区的社会秩序，服从工作人员的管理，不得携带下列物品：</w:t>
      </w:r>
    </w:p>
    <w:p w14:paraId="58B39F4A">
      <w:r>
        <w:rPr>
          <w:rFonts w:hint="eastAsia"/>
        </w:rPr>
        <w:t>（一）爆炸性、毒害性、放射性等危险物质；</w:t>
      </w:r>
    </w:p>
    <w:p w14:paraId="22BE3364">
      <w:r>
        <w:rPr>
          <w:rFonts w:hint="eastAsia"/>
        </w:rPr>
        <w:t>（二）枪支、弹药、匕首等管制器具；</w:t>
      </w:r>
    </w:p>
    <w:p w14:paraId="5CEC7261">
      <w:r>
        <w:rPr>
          <w:rFonts w:hint="eastAsia"/>
        </w:rPr>
        <w:t>（三）毒品、淫秽等违禁物品；</w:t>
      </w:r>
    </w:p>
    <w:p w14:paraId="6C49CA03">
      <w:r>
        <w:rPr>
          <w:rFonts w:hint="eastAsia"/>
        </w:rPr>
        <w:t>（四）影响社会秩序和公共安全的其他物品。</w:t>
      </w:r>
    </w:p>
    <w:p w14:paraId="748BA3B2">
      <w:r>
        <w:rPr>
          <w:rFonts w:hint="eastAsia"/>
        </w:rPr>
        <w:t>公安机关可以对进入天安门地区的人员、车辆组织实施检查。</w:t>
      </w:r>
    </w:p>
    <w:p w14:paraId="77F38570">
      <w:pPr>
        <w:ind w:firstLine="422"/>
      </w:pPr>
      <w:r>
        <w:rPr>
          <w:rFonts w:hint="eastAsia"/>
          <w:b/>
        </w:rPr>
        <w:t>第十一条</w:t>
      </w:r>
      <w:r>
        <w:rPr>
          <w:rFonts w:hint="eastAsia"/>
        </w:rPr>
        <w:t xml:space="preserve">  公安、城市管理综合行政执法、工商行政管理等行政部门应当严格执法，对扰乱社会秩序、妨害公共安全、影响市容环境卫生、破坏城市绿化、非法从事经营活动等行为以及法律、法规、规章规定的其他违法行为，依法予以处罚。</w:t>
      </w:r>
    </w:p>
    <w:p w14:paraId="7249F3B2">
      <w:pPr>
        <w:ind w:firstLine="422"/>
      </w:pPr>
      <w:r>
        <w:rPr>
          <w:rFonts w:hint="eastAsia"/>
          <w:b/>
        </w:rPr>
        <w:t>第十二条</w:t>
      </w:r>
      <w:r>
        <w:rPr>
          <w:rFonts w:hint="eastAsia"/>
        </w:rPr>
        <w:t xml:space="preserve">  对违反本规定第八条，不遵守临时管制措施的，由公安机关予以劝告、制止；不听劝告、制止的，由公安机关依法处理。</w:t>
      </w:r>
    </w:p>
    <w:p w14:paraId="310F3578">
      <w:pPr>
        <w:ind w:firstLine="422"/>
      </w:pPr>
      <w:r>
        <w:rPr>
          <w:rFonts w:hint="eastAsia"/>
          <w:b/>
        </w:rPr>
        <w:t>第十三条</w:t>
      </w:r>
      <w:r>
        <w:rPr>
          <w:rFonts w:hint="eastAsia"/>
        </w:rPr>
        <w:t xml:space="preserve">  本规定</w:t>
      </w:r>
      <w:r>
        <w:rPr>
          <w:rFonts w:hint="eastAsia" w:ascii="宋体" w:hAnsi="宋体" w:eastAsia="宋体" w:cs="宋体"/>
        </w:rPr>
        <w:t>自2004年4月20日起实施。</w:t>
      </w:r>
    </w:p>
    <w:p w14:paraId="5B0C5F07">
      <w:pPr>
        <w:pStyle w:val="3"/>
        <w:pageBreakBefore/>
      </w:pPr>
      <w:bookmarkStart w:id="2505" w:name="_Toc426467142"/>
      <w:bookmarkStart w:id="2506" w:name="_Toc428780731"/>
      <w:bookmarkStart w:id="2507" w:name="_Toc428781890"/>
      <w:r>
        <w:rPr>
          <w:rFonts w:hint="eastAsia"/>
        </w:rPr>
        <w:t>（十四）其  他</w:t>
      </w:r>
      <w:bookmarkEnd w:id="2505"/>
      <w:bookmarkEnd w:id="2506"/>
      <w:bookmarkEnd w:id="2507"/>
    </w:p>
    <w:p w14:paraId="3D490976"/>
    <w:p w14:paraId="20CB57F6">
      <w:pPr>
        <w:pStyle w:val="4"/>
      </w:pPr>
      <w:bookmarkStart w:id="2508" w:name="_Toc428781891"/>
      <w:bookmarkStart w:id="2509" w:name="_Toc428780732"/>
      <w:bookmarkStart w:id="2510" w:name="_Toc426467143"/>
      <w:r>
        <w:rPr>
          <w:rFonts w:hint="eastAsia"/>
        </w:rPr>
        <w:t>北京市组织机构代码管理办法</w:t>
      </w:r>
      <w:bookmarkEnd w:id="2508"/>
      <w:bookmarkEnd w:id="2509"/>
      <w:bookmarkEnd w:id="2510"/>
    </w:p>
    <w:p w14:paraId="4ABE2068">
      <w:pPr>
        <w:ind w:left="630" w:leftChars="300" w:right="630" w:rightChars="300"/>
        <w:rPr>
          <w:rFonts w:ascii="楷体" w:hAnsi="楷体" w:eastAsia="楷体"/>
        </w:rPr>
      </w:pPr>
      <w:r>
        <w:rPr>
          <w:rFonts w:hint="eastAsia" w:ascii="楷体" w:hAnsi="楷体" w:eastAsia="楷体"/>
        </w:rPr>
        <w:t>（2013年9月24日市政府第19次常务会议审议通过　2013年10月1日北京市人民政府令第248号公布）</w:t>
      </w:r>
    </w:p>
    <w:p w14:paraId="1F31E475"/>
    <w:p w14:paraId="5975AEB1">
      <w:pPr>
        <w:ind w:firstLine="0" w:firstLineChars="0"/>
        <w:jc w:val="center"/>
        <w:rPr>
          <w:b/>
          <w:sz w:val="36"/>
        </w:rPr>
      </w:pPr>
      <w:r>
        <w:rPr>
          <w:rFonts w:hint="eastAsia"/>
          <w:b/>
          <w:sz w:val="28"/>
        </w:rPr>
        <w:t>第一章　总　则</w:t>
      </w:r>
    </w:p>
    <w:p w14:paraId="4B80D2CE"/>
    <w:p w14:paraId="37E67958">
      <w:pPr>
        <w:ind w:firstLine="422"/>
      </w:pPr>
      <w:r>
        <w:rPr>
          <w:rFonts w:hint="eastAsia"/>
          <w:b/>
        </w:rPr>
        <w:t>第一条</w:t>
      </w:r>
      <w:r>
        <w:rPr>
          <w:rFonts w:hint="eastAsia"/>
        </w:rPr>
        <w:t xml:space="preserve">  为了识别组织机构身份，促进组织机构实名制建设和信息共享，推进统一社会信用代码制度建设，服务和创新社会管理，根据本市实际情况，制定本办法。</w:t>
      </w:r>
    </w:p>
    <w:p w14:paraId="3293879D">
      <w:pPr>
        <w:ind w:firstLine="422"/>
      </w:pPr>
      <w:r>
        <w:rPr>
          <w:rFonts w:hint="eastAsia"/>
          <w:b/>
        </w:rPr>
        <w:t>第二条</w:t>
      </w:r>
      <w:r>
        <w:rPr>
          <w:rFonts w:hint="eastAsia"/>
        </w:rPr>
        <w:t xml:space="preserve">  本办法适用于本市行政区域内组织机构代码的登记、应用和管理。</w:t>
      </w:r>
    </w:p>
    <w:p w14:paraId="5DC3A4DD">
      <w:r>
        <w:rPr>
          <w:rFonts w:hint="eastAsia"/>
        </w:rPr>
        <w:t>本办法所称组织机构代码，是根据国家代码编制规则编制，赋予组织机构的法定识别标识码，具有识别组织机构身份的作用。每一个组织机构在全国范围内拥有唯一的、始终不变的组织机构代码。</w:t>
      </w:r>
    </w:p>
    <w:p w14:paraId="1092987D">
      <w:pPr>
        <w:ind w:firstLine="422"/>
      </w:pPr>
      <w:r>
        <w:rPr>
          <w:rFonts w:hint="eastAsia"/>
          <w:b/>
        </w:rPr>
        <w:t>第三条</w:t>
      </w:r>
      <w:r>
        <w:rPr>
          <w:rFonts w:hint="eastAsia"/>
        </w:rPr>
        <w:t xml:space="preserve">  市和区、县组织机构代码行政主管部门负责组织机构代码标识制度的组织实施和管理，指导、协调组织机构代码的应用，监督本办法的实施。</w:t>
      </w:r>
    </w:p>
    <w:p w14:paraId="190369B9">
      <w:r>
        <w:rPr>
          <w:rFonts w:hint="eastAsia"/>
        </w:rPr>
        <w:t>政府其他有关部门按照各自职责做好组织机构代码的应用工作。</w:t>
      </w:r>
    </w:p>
    <w:p w14:paraId="186ACE03">
      <w:pPr>
        <w:ind w:firstLine="422"/>
      </w:pPr>
      <w:r>
        <w:rPr>
          <w:rFonts w:hint="eastAsia"/>
          <w:b/>
        </w:rPr>
        <w:t>第四条</w:t>
      </w:r>
      <w:r>
        <w:rPr>
          <w:rFonts w:hint="eastAsia"/>
        </w:rPr>
        <w:t xml:space="preserve">  市人民政府确定的组织机构代码管理实施机构负责组织机构代码管理的具体实施工作。</w:t>
      </w:r>
    </w:p>
    <w:p w14:paraId="6FDFA60B"/>
    <w:p w14:paraId="4C322A06">
      <w:pPr>
        <w:ind w:firstLine="0" w:firstLineChars="0"/>
        <w:jc w:val="center"/>
        <w:rPr>
          <w:b/>
          <w:sz w:val="28"/>
        </w:rPr>
      </w:pPr>
      <w:r>
        <w:rPr>
          <w:rFonts w:hint="eastAsia"/>
          <w:b/>
          <w:sz w:val="28"/>
        </w:rPr>
        <w:t>第二章　代码登记</w:t>
      </w:r>
    </w:p>
    <w:p w14:paraId="591B7D80"/>
    <w:p w14:paraId="5E99C345">
      <w:pPr>
        <w:ind w:firstLine="422"/>
      </w:pPr>
      <w:r>
        <w:rPr>
          <w:rFonts w:hint="eastAsia"/>
          <w:b/>
        </w:rPr>
        <w:t>第五条</w:t>
      </w:r>
      <w:r>
        <w:rPr>
          <w:rFonts w:hint="eastAsia"/>
        </w:rPr>
        <w:t xml:space="preserve">  除国务院有关部门批准设立或者登记的组织机构外，在本市行政区域内依法设立的下列组织机构，应当自设立之</w:t>
      </w:r>
      <w:r>
        <w:rPr>
          <w:rFonts w:hint="eastAsia" w:ascii="宋体" w:hAnsi="宋体" w:eastAsia="宋体" w:cs="宋体"/>
        </w:rPr>
        <w:t>日起30日内，持印章和证明其依法设立的文件材</w:t>
      </w:r>
      <w:r>
        <w:rPr>
          <w:rFonts w:hint="eastAsia"/>
        </w:rPr>
        <w:t>料，向组织机构代码管理实施机构申请组织机构代码：</w:t>
      </w:r>
    </w:p>
    <w:p w14:paraId="33DFD0F6">
      <w:r>
        <w:rPr>
          <w:rFonts w:hint="eastAsia"/>
        </w:rPr>
        <w:t>（一）机关；</w:t>
      </w:r>
    </w:p>
    <w:p w14:paraId="55AF12BE">
      <w:r>
        <w:rPr>
          <w:rFonts w:hint="eastAsia"/>
        </w:rPr>
        <w:t>（二）社会团体、基金会、民办非企业单位；</w:t>
      </w:r>
    </w:p>
    <w:p w14:paraId="66EBE644">
      <w:r>
        <w:rPr>
          <w:rFonts w:hint="eastAsia"/>
        </w:rPr>
        <w:t>（三）企业、农村集体经济组织、农民专业合作经济组织；</w:t>
      </w:r>
    </w:p>
    <w:p w14:paraId="78F616A1">
      <w:bookmarkStart w:id="2511" w:name="_Toc428780733"/>
      <w:r>
        <w:rPr>
          <w:rFonts w:hint="eastAsia"/>
        </w:rPr>
        <w:t>（四）事业单位；</w:t>
      </w:r>
      <w:bookmarkEnd w:id="2511"/>
    </w:p>
    <w:p w14:paraId="61E1CA91">
      <w:r>
        <w:rPr>
          <w:rFonts w:hint="eastAsia"/>
        </w:rPr>
        <w:t>（五）律师事务所、基层法律服务所、司法鉴定机构；</w:t>
      </w:r>
    </w:p>
    <w:p w14:paraId="683A572C">
      <w:r>
        <w:rPr>
          <w:rFonts w:hint="eastAsia"/>
        </w:rPr>
        <w:t>（六）宗教活动场所；</w:t>
      </w:r>
    </w:p>
    <w:p w14:paraId="28AB06CD">
      <w:r>
        <w:rPr>
          <w:rFonts w:hint="eastAsia"/>
        </w:rPr>
        <w:t>（七）居民委员会、村民委员会；</w:t>
      </w:r>
    </w:p>
    <w:p w14:paraId="569FA6CB">
      <w:r>
        <w:rPr>
          <w:rFonts w:hint="eastAsia"/>
        </w:rPr>
        <w:t>（八）个体工商户；</w:t>
      </w:r>
    </w:p>
    <w:p w14:paraId="6E2130C3">
      <w:r>
        <w:rPr>
          <w:rFonts w:hint="eastAsia"/>
        </w:rPr>
        <w:t>（九）外埠驻京机构、国外或者境外非政府组织驻京机构；</w:t>
      </w:r>
    </w:p>
    <w:p w14:paraId="5E23B750">
      <w:r>
        <w:rPr>
          <w:rFonts w:hint="eastAsia"/>
        </w:rPr>
        <w:t>（十）其他依法设立的组织机构。</w:t>
      </w:r>
    </w:p>
    <w:p w14:paraId="050B920A">
      <w:r>
        <w:rPr>
          <w:rFonts w:hint="eastAsia"/>
        </w:rPr>
        <w:t>组织机构应当对其提供的印章和证明其依法设立的文件材料的真实性、准确性负责。</w:t>
      </w:r>
    </w:p>
    <w:p w14:paraId="2D7878F0">
      <w:pPr>
        <w:ind w:firstLine="422"/>
      </w:pPr>
      <w:r>
        <w:rPr>
          <w:rFonts w:hint="eastAsia"/>
          <w:b/>
        </w:rPr>
        <w:t>第六条</w:t>
      </w:r>
      <w:r>
        <w:rPr>
          <w:rFonts w:hint="eastAsia"/>
        </w:rPr>
        <w:t xml:space="preserve">  组织机构代码管理实施机构对符合要求的，当场登记，颁发组织机构代码证书，因系统故障等不可控制的特殊原因，不能当场登记</w:t>
      </w:r>
      <w:r>
        <w:rPr>
          <w:rFonts w:hint="eastAsia" w:ascii="宋体" w:hAnsi="宋体" w:eastAsia="宋体" w:cs="宋体"/>
        </w:rPr>
        <w:t>的，最迟于2个</w:t>
      </w:r>
      <w:r>
        <w:rPr>
          <w:rFonts w:hint="eastAsia"/>
        </w:rPr>
        <w:t>工作日内予以登记；不符合要求的，当场告知需要补正的全部内容。</w:t>
      </w:r>
    </w:p>
    <w:p w14:paraId="325FD72C">
      <w:r>
        <w:rPr>
          <w:rFonts w:hint="eastAsia"/>
        </w:rPr>
        <w:t>本条前款所称组织机构代码证书，是组织机构代码识别标识的载体和法定凭证，由国家统一印制。代码证书分为正本和副本；正本为纸质证书，副本包括纸质证书、电子证书或者其他形式。</w:t>
      </w:r>
    </w:p>
    <w:p w14:paraId="13CACAA1">
      <w:pPr>
        <w:ind w:firstLine="422"/>
        <w:rPr>
          <w:rFonts w:hint="eastAsia" w:ascii="宋体" w:hAnsi="宋体" w:eastAsia="宋体" w:cs="宋体"/>
        </w:rPr>
      </w:pPr>
      <w:r>
        <w:rPr>
          <w:rFonts w:hint="eastAsia"/>
          <w:b/>
        </w:rPr>
        <w:t>第七条</w:t>
      </w:r>
      <w:r>
        <w:rPr>
          <w:rFonts w:hint="eastAsia"/>
        </w:rPr>
        <w:t xml:space="preserve">  组织机构名称、地址、机构类型、业务范围、主要负责人等信息发生变更的，组织机构应当自变更之日</w:t>
      </w:r>
      <w:r>
        <w:rPr>
          <w:rFonts w:hint="eastAsia" w:ascii="宋体" w:hAnsi="宋体" w:eastAsia="宋体" w:cs="宋体"/>
        </w:rPr>
        <w:t>起30日内，持证明变更的文件材料到组织机构代码管理实施机构办理变更登记；变更事项涉及组织机构代码证书上记载的信息的，组织机构代码管理实施机构应当为组织机构更换组织机构代码证书。</w:t>
      </w:r>
    </w:p>
    <w:p w14:paraId="739C1C61">
      <w:pPr>
        <w:ind w:firstLine="422"/>
      </w:pPr>
      <w:r>
        <w:rPr>
          <w:rFonts w:hint="eastAsia"/>
          <w:b/>
        </w:rPr>
        <w:t>第八条</w:t>
      </w:r>
      <w:r>
        <w:rPr>
          <w:rFonts w:hint="eastAsia"/>
        </w:rPr>
        <w:t xml:space="preserve">  组织机构依法终止的，应当自终止之日</w:t>
      </w:r>
      <w:r>
        <w:rPr>
          <w:rFonts w:hint="eastAsia" w:ascii="宋体" w:hAnsi="宋体" w:eastAsia="宋体" w:cs="宋体"/>
        </w:rPr>
        <w:t>起30日</w:t>
      </w:r>
      <w:r>
        <w:rPr>
          <w:rFonts w:hint="eastAsia"/>
        </w:rPr>
        <w:t>内持证明终止的文件材料到组织机构代码管理实施机构办理组织机构代码注销登记。经审查核实的，组织机构代码管理实施机构应当注销其组织机构代码，收回其组织机构代码证书。</w:t>
      </w:r>
    </w:p>
    <w:p w14:paraId="09BC55A5">
      <w:r>
        <w:rPr>
          <w:rFonts w:hint="eastAsia"/>
        </w:rPr>
        <w:t>组织机构不在规定期限内办理组织机构代码注销登记的，组织机构代码管理实施机构在证实该组织机构终止后可以直接注销其组织机构代码。</w:t>
      </w:r>
    </w:p>
    <w:p w14:paraId="4A49F083">
      <w:r>
        <w:rPr>
          <w:rFonts w:hint="eastAsia"/>
        </w:rPr>
        <w:t>被注销的组织机构代码证书自注销之日起失效；被注销的组织机构代码，不再赋予其他组织机构。</w:t>
      </w:r>
    </w:p>
    <w:p w14:paraId="77A8D1AE">
      <w:pPr>
        <w:ind w:firstLine="422"/>
      </w:pPr>
      <w:r>
        <w:rPr>
          <w:rFonts w:hint="eastAsia"/>
          <w:b/>
        </w:rPr>
        <w:t>第九条</w:t>
      </w:r>
      <w:r>
        <w:rPr>
          <w:rFonts w:hint="eastAsia"/>
        </w:rPr>
        <w:t xml:space="preserve">  组织机构代码证书遗失或者毁损的，组织机构应当申请补证，并向社会公告遗失和补证情况。</w:t>
      </w:r>
    </w:p>
    <w:p w14:paraId="356C98FD">
      <w:pPr>
        <w:ind w:firstLine="422"/>
      </w:pPr>
      <w:r>
        <w:rPr>
          <w:rFonts w:hint="eastAsia"/>
          <w:b/>
        </w:rPr>
        <w:t>第十条</w:t>
      </w:r>
      <w:r>
        <w:rPr>
          <w:rFonts w:hint="eastAsia"/>
        </w:rPr>
        <w:t xml:space="preserve">  组织机构代码证书的有效期限按照国家有关规定执行；超过有效期的组织机构代码证书失效。</w:t>
      </w:r>
    </w:p>
    <w:p w14:paraId="34ACD628">
      <w:r>
        <w:rPr>
          <w:rFonts w:hint="eastAsia"/>
        </w:rPr>
        <w:t>组织机构代码证书有效期届满前</w:t>
      </w:r>
      <w:r>
        <w:rPr>
          <w:rFonts w:hint="eastAsia" w:ascii="宋体" w:hAnsi="宋体" w:eastAsia="宋体" w:cs="宋体"/>
        </w:rPr>
        <w:t>30</w:t>
      </w:r>
      <w:r>
        <w:rPr>
          <w:rFonts w:hint="eastAsia"/>
        </w:rPr>
        <w:t>日内，组织机构应当办理延期手续，更换组织机构代码证书。</w:t>
      </w:r>
    </w:p>
    <w:p w14:paraId="400E75BB">
      <w:pPr>
        <w:ind w:firstLine="422"/>
      </w:pPr>
      <w:r>
        <w:rPr>
          <w:rFonts w:hint="eastAsia"/>
          <w:b/>
        </w:rPr>
        <w:t>第十一条</w:t>
      </w:r>
      <w:r>
        <w:rPr>
          <w:rFonts w:hint="eastAsia"/>
        </w:rPr>
        <w:t xml:space="preserve">  组织机构代码管理实施机构应当公示组织机构代码证书的失效情况。</w:t>
      </w:r>
    </w:p>
    <w:p w14:paraId="78FEFC28"/>
    <w:p w14:paraId="6F5F960D">
      <w:pPr>
        <w:ind w:firstLine="0" w:firstLineChars="0"/>
        <w:jc w:val="center"/>
        <w:rPr>
          <w:b/>
          <w:sz w:val="28"/>
        </w:rPr>
      </w:pPr>
      <w:r>
        <w:rPr>
          <w:rFonts w:hint="eastAsia"/>
          <w:b/>
          <w:sz w:val="28"/>
        </w:rPr>
        <w:t>第三章　代码应用</w:t>
      </w:r>
    </w:p>
    <w:p w14:paraId="7EF4D557"/>
    <w:p w14:paraId="0427A3C4">
      <w:pPr>
        <w:ind w:firstLine="422"/>
      </w:pPr>
      <w:r>
        <w:rPr>
          <w:rFonts w:hint="eastAsia"/>
          <w:b/>
        </w:rPr>
        <w:t>第十二条</w:t>
      </w:r>
      <w:r>
        <w:rPr>
          <w:rFonts w:hint="eastAsia"/>
        </w:rPr>
        <w:t xml:space="preserve">  本市行政机关应当公开其组织机构代码。</w:t>
      </w:r>
    </w:p>
    <w:p w14:paraId="30D92B9B">
      <w:r>
        <w:rPr>
          <w:rFonts w:hint="eastAsia"/>
        </w:rPr>
        <w:t>本市行政机关新建或者改建信息系统，应当使用组织机构代码作为组织机构的标识和索引，方便信息系统间的兼容和共享。信息化项目立项审批机关应当审查信息系统将组织机构代码作为标识和索引的情况。</w:t>
      </w:r>
    </w:p>
    <w:p w14:paraId="29EA0187">
      <w:pPr>
        <w:ind w:firstLine="422"/>
      </w:pPr>
      <w:r>
        <w:rPr>
          <w:rFonts w:hint="eastAsia"/>
          <w:b/>
        </w:rPr>
        <w:t>第十三条</w:t>
      </w:r>
      <w:r>
        <w:rPr>
          <w:rFonts w:hint="eastAsia"/>
        </w:rPr>
        <w:t xml:space="preserve">  本市行政机关实施行政管理，供水、供电、供热、供气等公共企事业单位提供公共服务，需要对组织机构进行识别的，应当查验组织机构的组织机构代码证书；组织机构应当出示其组织机构代码证书。</w:t>
      </w:r>
    </w:p>
    <w:p w14:paraId="298F8C98">
      <w:r>
        <w:rPr>
          <w:rFonts w:hint="eastAsia"/>
        </w:rPr>
        <w:t>依照本办法规定未取得组织机构代码证书或者组织机构代码证书超过有效期的，本市行政机关应当提示其按照本办法规定申请组织机构代码或者更换组织机构代码证书；组织机构代码证书因遗失、损毁正在办理补证的，可以申请临时组织机构代码证书。</w:t>
      </w:r>
    </w:p>
    <w:p w14:paraId="68A33EE6">
      <w:pPr>
        <w:ind w:firstLine="422"/>
      </w:pPr>
      <w:r>
        <w:rPr>
          <w:rFonts w:hint="eastAsia"/>
          <w:b/>
        </w:rPr>
        <w:t>第十四条</w:t>
      </w:r>
      <w:r>
        <w:rPr>
          <w:rFonts w:hint="eastAsia"/>
        </w:rPr>
        <w:t>　鼓励金融机构等企事业单位在业务活动中采集、使用组织机构代码。</w:t>
      </w:r>
    </w:p>
    <w:p w14:paraId="2F6C9A3C">
      <w:pPr>
        <w:ind w:firstLine="422"/>
      </w:pPr>
      <w:r>
        <w:rPr>
          <w:rFonts w:hint="eastAsia"/>
          <w:b/>
        </w:rPr>
        <w:t>第十五条</w:t>
      </w:r>
      <w:r>
        <w:rPr>
          <w:rFonts w:hint="eastAsia"/>
        </w:rPr>
        <w:t>　组织机构从事相关活动，需要识别身份的，有权使用组织机构代码证书，有关单位及其工作人员不得拒绝。</w:t>
      </w:r>
    </w:p>
    <w:p w14:paraId="38B082E0">
      <w:pPr>
        <w:ind w:firstLine="422"/>
      </w:pPr>
      <w:r>
        <w:rPr>
          <w:rFonts w:hint="eastAsia"/>
          <w:b/>
        </w:rPr>
        <w:t>第十六条</w:t>
      </w:r>
      <w:r>
        <w:rPr>
          <w:rFonts w:hint="eastAsia"/>
        </w:rPr>
        <w:t>　组织机构代码行政主管部门应当充分利用组织机构代码信息，协助有关部门及时分析本市组织机构数量、比例、布局等情况，为政府决策服务。</w:t>
      </w:r>
    </w:p>
    <w:p w14:paraId="008EE041">
      <w:pPr>
        <w:ind w:firstLine="422"/>
      </w:pPr>
      <w:r>
        <w:rPr>
          <w:rFonts w:hint="eastAsia"/>
          <w:b/>
        </w:rPr>
        <w:t>第十七条</w:t>
      </w:r>
      <w:r>
        <w:rPr>
          <w:rFonts w:hint="eastAsia"/>
        </w:rPr>
        <w:t>　组织机构代码管理实施机构应当向社会提供组织机构代码查询服务。</w:t>
      </w:r>
    </w:p>
    <w:p w14:paraId="0337230C"/>
    <w:p w14:paraId="669A0CB6">
      <w:pPr>
        <w:ind w:firstLine="0" w:firstLineChars="0"/>
        <w:jc w:val="center"/>
        <w:rPr>
          <w:b/>
          <w:sz w:val="28"/>
        </w:rPr>
      </w:pPr>
      <w:r>
        <w:rPr>
          <w:rFonts w:hint="eastAsia"/>
          <w:b/>
          <w:sz w:val="28"/>
        </w:rPr>
        <w:t>第四章　监督管理</w:t>
      </w:r>
    </w:p>
    <w:p w14:paraId="087178F7"/>
    <w:p w14:paraId="7FCBF646">
      <w:pPr>
        <w:ind w:firstLine="422"/>
      </w:pPr>
      <w:r>
        <w:rPr>
          <w:rFonts w:hint="eastAsia"/>
          <w:b/>
        </w:rPr>
        <w:t>第十八条</w:t>
      </w:r>
      <w:r>
        <w:rPr>
          <w:rFonts w:hint="eastAsia"/>
        </w:rPr>
        <w:t>　组织机构代码行政主管部门应当按照规定建立健全组织机构代码监督管理制度，确保组织机构代码和登记信息的真实、准确。</w:t>
      </w:r>
    </w:p>
    <w:p w14:paraId="61592D1B">
      <w:pPr>
        <w:ind w:firstLine="422"/>
      </w:pPr>
      <w:r>
        <w:rPr>
          <w:rFonts w:hint="eastAsia"/>
          <w:b/>
        </w:rPr>
        <w:t>第十九条</w:t>
      </w:r>
      <w:r>
        <w:rPr>
          <w:rFonts w:hint="eastAsia"/>
        </w:rPr>
        <w:t>　组织机构代码管理实施机构应当加强对组织机构代码登记、变更、延期、注销等工作的管理，推进组织机构代码管理的信息化建设，方便组织机构办理组织机构代码，确保组织机构代码不重码、不错码。</w:t>
      </w:r>
    </w:p>
    <w:p w14:paraId="293F0D93">
      <w:pPr>
        <w:ind w:firstLine="422"/>
      </w:pPr>
      <w:r>
        <w:rPr>
          <w:rFonts w:hint="eastAsia"/>
          <w:b/>
        </w:rPr>
        <w:t>第二十条</w:t>
      </w:r>
      <w:r>
        <w:rPr>
          <w:rFonts w:hint="eastAsia"/>
        </w:rPr>
        <w:t>　组织机构代码行政主管部门应当与组织机构设立审批机关建立组织机构设立、变更、延期、注销等信息协同机制，实现组织机构代码登记和登记信息的更新与组织机构设立和变更同步。</w:t>
      </w:r>
    </w:p>
    <w:p w14:paraId="05426381">
      <w:pPr>
        <w:ind w:firstLine="422"/>
      </w:pPr>
      <w:r>
        <w:rPr>
          <w:rFonts w:hint="eastAsia"/>
          <w:b/>
        </w:rPr>
        <w:t>第二十一条</w:t>
      </w:r>
      <w:r>
        <w:rPr>
          <w:rFonts w:hint="eastAsia"/>
        </w:rPr>
        <w:t>　禁止任何组织和个人伪造、变造、冒用组织机构代码证书。</w:t>
      </w:r>
    </w:p>
    <w:p w14:paraId="7EF4773E">
      <w:r>
        <w:rPr>
          <w:rFonts w:hint="eastAsia"/>
        </w:rPr>
        <w:t>本市行政机关、公共企事业单位发现涉嫌使用伪造、变造组织机构代码证书或者冒用组织机构代码证书的，应当及时通报组织机构代码行政主管部门和公安机关。</w:t>
      </w:r>
    </w:p>
    <w:p w14:paraId="6529A367">
      <w:pPr>
        <w:ind w:firstLine="422"/>
      </w:pPr>
      <w:r>
        <w:rPr>
          <w:rFonts w:hint="eastAsia"/>
          <w:b/>
        </w:rPr>
        <w:t>第二十二条</w:t>
      </w:r>
      <w:r>
        <w:rPr>
          <w:rFonts w:hint="eastAsia"/>
        </w:rPr>
        <w:t>　任何组织和个人对违反本办法规定的行为，都有权向组织机构代码行政主管部门举报。</w:t>
      </w:r>
    </w:p>
    <w:p w14:paraId="192ED4C8">
      <w:r>
        <w:rPr>
          <w:rFonts w:hint="eastAsia"/>
        </w:rPr>
        <w:t>组织机构代码行政主管部门应当公布举报电话或者邮箱；对受理的举报，及时调查处理，或者移送有关部门处理。</w:t>
      </w:r>
    </w:p>
    <w:p w14:paraId="75D88BFB"/>
    <w:p w14:paraId="77A895B0">
      <w:pPr>
        <w:ind w:firstLine="0" w:firstLineChars="0"/>
        <w:jc w:val="center"/>
        <w:rPr>
          <w:b/>
          <w:sz w:val="28"/>
        </w:rPr>
      </w:pPr>
      <w:r>
        <w:rPr>
          <w:rFonts w:hint="eastAsia"/>
          <w:b/>
          <w:sz w:val="28"/>
        </w:rPr>
        <w:t>第五章　法律责任</w:t>
      </w:r>
    </w:p>
    <w:p w14:paraId="4B373ABC"/>
    <w:p w14:paraId="5EC4CA9A">
      <w:pPr>
        <w:ind w:firstLine="422"/>
      </w:pPr>
      <w:r>
        <w:rPr>
          <w:rFonts w:hint="eastAsia"/>
          <w:b/>
        </w:rPr>
        <w:t>第二十三条</w:t>
      </w:r>
      <w:r>
        <w:rPr>
          <w:rFonts w:hint="eastAsia"/>
        </w:rPr>
        <w:t>　违反本办法规定，未在规定期限内办理组织机构代码登记、变更或者延期手续的，组织机构代码行政主管部门责令限期改正，可处</w:t>
      </w:r>
      <w:r>
        <w:rPr>
          <w:rFonts w:hint="eastAsia" w:ascii="宋体" w:hAnsi="宋体" w:eastAsia="宋体" w:cs="宋体"/>
        </w:rPr>
        <w:t>100元以上1000元以</w:t>
      </w:r>
      <w:r>
        <w:rPr>
          <w:rFonts w:hint="eastAsia"/>
        </w:rPr>
        <w:t>下罚款。</w:t>
      </w:r>
    </w:p>
    <w:p w14:paraId="52145A29">
      <w:pPr>
        <w:ind w:firstLine="422"/>
      </w:pPr>
      <w:r>
        <w:rPr>
          <w:rFonts w:hint="eastAsia"/>
          <w:b/>
        </w:rPr>
        <w:t>第二十四条</w:t>
      </w:r>
      <w:r>
        <w:rPr>
          <w:rFonts w:hint="eastAsia"/>
        </w:rPr>
        <w:t>　违反本办法规定，提供未经审核登记的印章或者虚假证明文件材料办理组织机构代码登记手续的，组织机构代码管理实施机构不予办理；已经办理的，组织机构代码行政主管部门撤销其组织机构代码，收回其组织机构代码证书。</w:t>
      </w:r>
    </w:p>
    <w:p w14:paraId="6BC7A9DD">
      <w:r>
        <w:rPr>
          <w:rFonts w:hint="eastAsia"/>
        </w:rPr>
        <w:t>出现本条前款规定情形的，组织机构代码管理实施机构或者组织机构代码行政主管部门应当通报公安机关。</w:t>
      </w:r>
    </w:p>
    <w:p w14:paraId="4C22FC53">
      <w:pPr>
        <w:ind w:firstLine="422"/>
      </w:pPr>
      <w:r>
        <w:rPr>
          <w:rFonts w:hint="eastAsia"/>
          <w:b/>
        </w:rPr>
        <w:t>第二十五条</w:t>
      </w:r>
      <w:r>
        <w:rPr>
          <w:rFonts w:hint="eastAsia"/>
        </w:rPr>
        <w:t>　违反本办法规定，伪造、变造或者冒用组织机构代码证书的，公安机关依法给予行政处罚；构成犯罪的，依法追究刑事责任。</w:t>
      </w:r>
    </w:p>
    <w:p w14:paraId="3D996FB3"/>
    <w:p w14:paraId="650B4686"/>
    <w:p w14:paraId="79D8676E">
      <w:pPr>
        <w:ind w:firstLine="0" w:firstLineChars="0"/>
        <w:jc w:val="center"/>
        <w:rPr>
          <w:b/>
          <w:sz w:val="28"/>
        </w:rPr>
      </w:pPr>
      <w:r>
        <w:rPr>
          <w:rFonts w:hint="eastAsia"/>
          <w:b/>
          <w:sz w:val="28"/>
        </w:rPr>
        <w:t>第六章　附　则</w:t>
      </w:r>
    </w:p>
    <w:p w14:paraId="7469D6A9"/>
    <w:p w14:paraId="5DFF7A4C">
      <w:pPr>
        <w:ind w:firstLine="422"/>
      </w:pPr>
      <w:r>
        <w:rPr>
          <w:rFonts w:hint="eastAsia"/>
          <w:b/>
        </w:rPr>
        <w:t>第二十六条</w:t>
      </w:r>
      <w:r>
        <w:rPr>
          <w:rFonts w:hint="eastAsia"/>
        </w:rPr>
        <w:t>　本办法</w:t>
      </w:r>
      <w:r>
        <w:rPr>
          <w:rFonts w:hint="eastAsia" w:ascii="宋体" w:hAnsi="宋体" w:eastAsia="宋体" w:cs="宋体"/>
        </w:rPr>
        <w:t>自2014年1月1日</w:t>
      </w:r>
      <w:r>
        <w:rPr>
          <w:rFonts w:hint="eastAsia"/>
        </w:rPr>
        <w:t>起施行。</w:t>
      </w:r>
    </w:p>
    <w:p w14:paraId="019A034C"/>
    <w:p w14:paraId="71DFA559"/>
    <w:p w14:paraId="19566379"/>
    <w:p w14:paraId="3956FE4A"/>
    <w:p w14:paraId="00C5F505"/>
    <w:p w14:paraId="0CB55FB4"/>
    <w:p w14:paraId="676AA37A"/>
    <w:p w14:paraId="0E642179"/>
    <w:p w14:paraId="2EDBCE35"/>
    <w:p w14:paraId="05D9BBD3"/>
    <w:p w14:paraId="32BF38AA"/>
    <w:p w14:paraId="7B71385B"/>
    <w:p w14:paraId="4438D50C"/>
    <w:p w14:paraId="164C3003"/>
    <w:p w14:paraId="6FC65212"/>
    <w:p w14:paraId="34AC40F1"/>
    <w:p w14:paraId="569C5C61"/>
    <w:p w14:paraId="62F8C646"/>
    <w:p w14:paraId="77C434AA"/>
    <w:p w14:paraId="16E1072F"/>
    <w:p w14:paraId="1968EA17"/>
    <w:p w14:paraId="71D36F20"/>
    <w:p w14:paraId="18B2F4B0"/>
    <w:p w14:paraId="7D075161"/>
    <w:p w14:paraId="6C91424D"/>
    <w:p w14:paraId="3EA755C7"/>
    <w:p w14:paraId="2B48E5FE"/>
    <w:p w14:paraId="154E5FAD"/>
    <w:p w14:paraId="47248AF8">
      <w:pPr>
        <w:ind w:firstLine="0" w:firstLineChars="0"/>
        <w:sectPr>
          <w:footerReference r:id="rId28" w:type="default"/>
          <w:footerReference r:id="rId29" w:type="even"/>
          <w:type w:val="continuous"/>
          <w:pgSz w:w="11906" w:h="16838"/>
          <w:pgMar w:top="1440" w:right="1797" w:bottom="1440" w:left="1797" w:header="851" w:footer="992" w:gutter="0"/>
          <w:cols w:space="720" w:num="1"/>
          <w:titlePg/>
          <w:docGrid w:type="lines" w:linePitch="312" w:charSpace="0"/>
        </w:sectPr>
      </w:pPr>
    </w:p>
    <w:p w14:paraId="0FFB15ED">
      <w:pPr>
        <w:ind w:firstLine="0" w:firstLineChars="0"/>
      </w:pPr>
    </w:p>
    <w:p w14:paraId="7256F4C4">
      <w:pPr>
        <w:pageBreakBefore/>
      </w:pPr>
    </w:p>
    <w:p w14:paraId="5B4E05A6">
      <w:pPr>
        <w:pageBreakBefore/>
      </w:pPr>
    </w:p>
    <w:p w14:paraId="33D82964"/>
    <w:p w14:paraId="2BA37C74"/>
    <w:p w14:paraId="41294991"/>
    <w:p w14:paraId="72729A13"/>
    <w:p w14:paraId="1D4E8EF2"/>
    <w:p w14:paraId="44DCB691"/>
    <w:p w14:paraId="5B61E011"/>
    <w:p w14:paraId="51D60571"/>
    <w:p w14:paraId="10FC24DE"/>
    <w:p w14:paraId="2F0799DE"/>
    <w:p w14:paraId="226CBDF8">
      <w:pPr>
        <w:pStyle w:val="2"/>
      </w:pPr>
      <w:bookmarkStart w:id="2512" w:name="_Toc428780734"/>
      <w:bookmarkStart w:id="2513" w:name="_Toc426467144"/>
      <w:bookmarkStart w:id="2514" w:name="_Toc428781892"/>
      <w:r>
        <w:rPr>
          <w:rFonts w:hint="eastAsia"/>
        </w:rPr>
        <w:t>五、生 态 文 明</w:t>
      </w:r>
      <w:bookmarkEnd w:id="2512"/>
      <w:bookmarkEnd w:id="2513"/>
      <w:bookmarkEnd w:id="2514"/>
    </w:p>
    <w:p w14:paraId="2665A0CA">
      <w:pPr>
        <w:spacing w:line="240" w:lineRule="auto"/>
        <w:ind w:firstLine="640"/>
        <w:rPr>
          <w:rFonts w:hint="eastAsia" w:ascii="楷体_GB2312" w:hAnsi="楷体_GB2312" w:eastAsia="楷体_GB2312" w:cs="楷体_GB2312"/>
        </w:rPr>
      </w:pPr>
      <w:r>
        <w:rPr>
          <w:rFonts w:hint="eastAsia" w:ascii="楷体_GB2312" w:hAnsi="楷体_GB2312" w:eastAsia="楷体_GB2312" w:cs="楷体_GB2312"/>
          <w:sz w:val="32"/>
        </w:rPr>
        <w:t>本部分包含国土资源，水资源，动植物资源，河湖工程，能源，生态环境，灾害防御等7个方面，共46部法规规章。</w:t>
      </w:r>
    </w:p>
    <w:p w14:paraId="6566BA39"/>
    <w:p w14:paraId="7D2B16D8"/>
    <w:p w14:paraId="1C5706F1"/>
    <w:p w14:paraId="29154EA8"/>
    <w:p w14:paraId="0D4E15C3"/>
    <w:p w14:paraId="2924C69B"/>
    <w:p w14:paraId="76CD9505"/>
    <w:p w14:paraId="79F4A837"/>
    <w:p w14:paraId="6DD4FA22"/>
    <w:p w14:paraId="16D8B83D"/>
    <w:p w14:paraId="7F7FDD6E"/>
    <w:p w14:paraId="31AC8E2F"/>
    <w:p w14:paraId="79020385"/>
    <w:p w14:paraId="36480B90"/>
    <w:p w14:paraId="657B2B32"/>
    <w:p w14:paraId="4896EF5B"/>
    <w:p w14:paraId="6FC8FC78"/>
    <w:p w14:paraId="069B2A24"/>
    <w:p w14:paraId="11988BE3"/>
    <w:p w14:paraId="6EE14AD1"/>
    <w:p w14:paraId="6310514E"/>
    <w:p w14:paraId="4AC762D3"/>
    <w:p w14:paraId="54D6DA9C">
      <w:pPr>
        <w:sectPr>
          <w:footerReference r:id="rId30" w:type="default"/>
          <w:footerReference r:id="rId31" w:type="even"/>
          <w:type w:val="continuous"/>
          <w:pgSz w:w="11906" w:h="16838"/>
          <w:pgMar w:top="1440" w:right="1797" w:bottom="1440" w:left="1797" w:header="851" w:footer="992" w:gutter="0"/>
          <w:cols w:space="720" w:num="1"/>
          <w:titlePg/>
          <w:docGrid w:type="lines" w:linePitch="312" w:charSpace="0"/>
        </w:sectPr>
      </w:pPr>
    </w:p>
    <w:p w14:paraId="596776F0"/>
    <w:p w14:paraId="4EC6C93B"/>
    <w:p w14:paraId="7D0D8C5B"/>
    <w:p w14:paraId="107C8F65">
      <w:pPr>
        <w:pStyle w:val="3"/>
        <w:pageBreakBefore/>
      </w:pPr>
      <w:bookmarkStart w:id="2515" w:name="_Toc428780735"/>
      <w:bookmarkStart w:id="2516" w:name="_Toc426467145"/>
      <w:bookmarkStart w:id="2517" w:name="_Toc428781893"/>
      <w:r>
        <w:rPr>
          <w:rFonts w:hint="eastAsia"/>
        </w:rPr>
        <w:t>（一）国土资源</w:t>
      </w:r>
      <w:bookmarkEnd w:id="2515"/>
      <w:bookmarkEnd w:id="2516"/>
      <w:bookmarkEnd w:id="2517"/>
    </w:p>
    <w:p w14:paraId="2930ECE5"/>
    <w:p w14:paraId="5573A023">
      <w:pPr>
        <w:pStyle w:val="4"/>
      </w:pPr>
      <w:bookmarkStart w:id="2518" w:name="_Toc428781894"/>
      <w:bookmarkStart w:id="2519" w:name="_Toc428780736"/>
      <w:bookmarkStart w:id="2520" w:name="_Toc426467146"/>
      <w:r>
        <w:rPr>
          <w:rFonts w:hint="eastAsia"/>
        </w:rPr>
        <w:t>北京市实施《中华人民共和国土地管理法》办法</w:t>
      </w:r>
      <w:bookmarkEnd w:id="2518"/>
      <w:bookmarkEnd w:id="2519"/>
      <w:bookmarkEnd w:id="2520"/>
    </w:p>
    <w:p w14:paraId="41CE1AA2">
      <w:pPr>
        <w:ind w:left="630" w:leftChars="300" w:right="630" w:rightChars="300"/>
        <w:rPr>
          <w:rFonts w:ascii="楷体" w:hAnsi="楷体" w:eastAsia="楷体"/>
        </w:rPr>
      </w:pPr>
      <w:r>
        <w:rPr>
          <w:rFonts w:hint="eastAsia" w:ascii="楷体" w:hAnsi="楷体" w:eastAsia="楷体"/>
        </w:rPr>
        <w:t>（1991年3月15日北京市第九届人民代表大会常务委员会第二十六次会议通过  1991年3月19日北京市人民代表大会常务委员会公告第19号公布  1991年6月1日起施行）</w:t>
      </w:r>
    </w:p>
    <w:p w14:paraId="5C3FAD0D"/>
    <w:p w14:paraId="3D4F5685">
      <w:pPr>
        <w:ind w:firstLine="0" w:firstLineChars="0"/>
        <w:jc w:val="center"/>
        <w:rPr>
          <w:b/>
          <w:sz w:val="28"/>
        </w:rPr>
      </w:pPr>
      <w:r>
        <w:rPr>
          <w:rFonts w:hint="eastAsia"/>
          <w:b/>
          <w:sz w:val="28"/>
        </w:rPr>
        <w:t>第一章　总　则</w:t>
      </w:r>
    </w:p>
    <w:p w14:paraId="1C4F96C9"/>
    <w:p w14:paraId="758575CB">
      <w:pPr>
        <w:ind w:firstLine="422"/>
      </w:pPr>
      <w:r>
        <w:rPr>
          <w:rFonts w:hint="eastAsia"/>
          <w:b/>
        </w:rPr>
        <w:t>第一条</w:t>
      </w:r>
      <w:r>
        <w:rPr>
          <w:rFonts w:hint="eastAsia"/>
        </w:rPr>
        <w:t xml:space="preserve">  为实施《中华人民共和国土地管理法》和《中华人民共和国土地管理法实施条例》，结合本市实际情况，制定本办法。</w:t>
      </w:r>
    </w:p>
    <w:p w14:paraId="7075FBA5">
      <w:pPr>
        <w:ind w:firstLine="422"/>
      </w:pPr>
      <w:r>
        <w:rPr>
          <w:rFonts w:hint="eastAsia"/>
          <w:b/>
        </w:rPr>
        <w:t>第二条</w:t>
      </w:r>
      <w:r>
        <w:rPr>
          <w:rFonts w:hint="eastAsia"/>
        </w:rPr>
        <w:t xml:space="preserve">  本市各级人民政府应当维护土地的社会主义公有制，贯彻执行十分珍惜和合理利用每寸土地、切实保护耕地的基本国策，加强管理，全面规划，保护和开发土地资源，制止乱占耕地和滥用土地的行为。</w:t>
      </w:r>
    </w:p>
    <w:p w14:paraId="3300E9EF">
      <w:pPr>
        <w:ind w:firstLine="422"/>
      </w:pPr>
      <w:r>
        <w:rPr>
          <w:rFonts w:hint="eastAsia"/>
          <w:b/>
        </w:rPr>
        <w:t>第三条</w:t>
      </w:r>
      <w:r>
        <w:rPr>
          <w:rFonts w:hint="eastAsia"/>
        </w:rPr>
        <w:t xml:space="preserve">  市土地管理局主管全市土地的统一管理工作，负责拟定政策和规章草案，管理土地资源，拟定土地利用规划、计划和土地后备资源开发规划，审核征用土地的范围、数量，实施土地监察等。市房地产管理局按照本市土地管理的统一规定和要求，对已经开发使用的城镇建设用地进行管理。</w:t>
      </w:r>
    </w:p>
    <w:p w14:paraId="33BF4CAD">
      <w:r>
        <w:rPr>
          <w:rFonts w:hint="eastAsia"/>
        </w:rPr>
        <w:t>区、县土地管理局主管本区、县土地的统一管理工作，区、县房地产管理局对本区、县已经开发使用的城镇建设用地进行管理。</w:t>
      </w:r>
    </w:p>
    <w:p w14:paraId="1745AF73">
      <w:r>
        <w:rPr>
          <w:rFonts w:hint="eastAsia"/>
        </w:rPr>
        <w:t>乡（镇）人民政府负责本行政区域内的土地管理工作，根据需要配备专职或者兼职土地管理人员。</w:t>
      </w:r>
    </w:p>
    <w:p w14:paraId="22A9FEA6">
      <w:pPr>
        <w:ind w:firstLine="422"/>
      </w:pPr>
      <w:r>
        <w:rPr>
          <w:rFonts w:hint="eastAsia"/>
          <w:b/>
        </w:rPr>
        <w:t>第四条</w:t>
      </w:r>
      <w:r>
        <w:rPr>
          <w:rFonts w:hint="eastAsia"/>
        </w:rPr>
        <w:t xml:space="preserve">  对保护和开发土地资源、合理利用土地以及进行有关的科学研究成绩显著的单位和个人，由市、区、县人民政府给予表彰和奖励。</w:t>
      </w:r>
    </w:p>
    <w:p w14:paraId="563C046C"/>
    <w:p w14:paraId="4F6DFD4D">
      <w:pPr>
        <w:ind w:firstLine="0" w:firstLineChars="0"/>
        <w:jc w:val="center"/>
        <w:rPr>
          <w:b/>
          <w:sz w:val="28"/>
        </w:rPr>
      </w:pPr>
      <w:r>
        <w:rPr>
          <w:rFonts w:hint="eastAsia"/>
          <w:b/>
          <w:sz w:val="28"/>
        </w:rPr>
        <w:t>第二章　土地的所有权和使用权</w:t>
      </w:r>
    </w:p>
    <w:p w14:paraId="67408336"/>
    <w:p w14:paraId="0A3AB3A6">
      <w:pPr>
        <w:ind w:firstLine="422"/>
      </w:pPr>
      <w:r>
        <w:rPr>
          <w:rFonts w:hint="eastAsia"/>
          <w:b/>
        </w:rPr>
        <w:t>第五条</w:t>
      </w:r>
      <w:r>
        <w:rPr>
          <w:rFonts w:hint="eastAsia"/>
        </w:rPr>
        <w:t xml:space="preserve">  土地所有权和使用权的确定，依照《中华人民共和国土地管理法》的规定执行。</w:t>
      </w:r>
    </w:p>
    <w:p w14:paraId="6FFEE4EA">
      <w:r>
        <w:rPr>
          <w:rFonts w:hint="eastAsia"/>
        </w:rPr>
        <w:t>土地的所有权和使用权受法律保护，任何单位和个人不得侵犯。</w:t>
      </w:r>
    </w:p>
    <w:p w14:paraId="706E68B8">
      <w:r>
        <w:rPr>
          <w:rFonts w:hint="eastAsia"/>
        </w:rPr>
        <w:t>禁止侵占、买卖或者以其他形式非法转让土地。</w:t>
      </w:r>
    </w:p>
    <w:p w14:paraId="5425B3BD">
      <w:pPr>
        <w:ind w:firstLine="422"/>
      </w:pPr>
      <w:r>
        <w:rPr>
          <w:rFonts w:hint="eastAsia"/>
          <w:b/>
        </w:rPr>
        <w:t>第六条</w:t>
      </w:r>
      <w:r>
        <w:rPr>
          <w:rFonts w:hint="eastAsia"/>
        </w:rPr>
        <w:t xml:space="preserve">  国有土地和集体所有的土地的使用权可以依法转让，具体办法由市人民政府根据国务院有关规定制定。</w:t>
      </w:r>
    </w:p>
    <w:p w14:paraId="2A9EABB7">
      <w:r>
        <w:rPr>
          <w:rFonts w:hint="eastAsia"/>
        </w:rPr>
        <w:t>国有土地依法实行有偿使用，具体办法由市人民政府根据国务院的有关规定制定。</w:t>
      </w:r>
    </w:p>
    <w:p w14:paraId="3D591FF1">
      <w:pPr>
        <w:ind w:firstLine="422"/>
      </w:pPr>
      <w:r>
        <w:rPr>
          <w:rFonts w:hint="eastAsia"/>
          <w:b/>
        </w:rPr>
        <w:t>第七条</w:t>
      </w:r>
      <w:r>
        <w:rPr>
          <w:rFonts w:hint="eastAsia"/>
        </w:rPr>
        <w:t xml:space="preserve">  国有土地依法确定给单位或者个人使用的，由市或者区、县人民政府登记造册，核发国有土地使用证，确认使用权。</w:t>
      </w:r>
    </w:p>
    <w:p w14:paraId="70CF6756">
      <w:r>
        <w:rPr>
          <w:rFonts w:hint="eastAsia"/>
        </w:rPr>
        <w:t>集体所有的土地，由区、县人民政府登记造册，核发集体土地所有证，确认所有权。</w:t>
      </w:r>
    </w:p>
    <w:p w14:paraId="067302E6">
      <w:r>
        <w:rPr>
          <w:rFonts w:hint="eastAsia"/>
        </w:rPr>
        <w:t>乡（镇）村企业、公共设施、公益事业以及农民住宅等非农业建设，使用集体所有的土地，由区、县人民政府核发使用证书。</w:t>
      </w:r>
    </w:p>
    <w:p w14:paraId="06D8CF67">
      <w:pPr>
        <w:ind w:firstLine="422"/>
      </w:pPr>
      <w:r>
        <w:rPr>
          <w:rFonts w:hint="eastAsia"/>
          <w:b/>
        </w:rPr>
        <w:t>第八条</w:t>
      </w:r>
      <w:r>
        <w:rPr>
          <w:rFonts w:hint="eastAsia"/>
        </w:rPr>
        <w:t xml:space="preserve">  依法改变土地的所有权、使用权，或者因依法买卖、转让地上建筑物、附着物等而使土地使用权转移的，必须向本办法第三条规定的管理机关申请土地所有权、使用权变更登记，由区、县以上地方人民政府更换证书。</w:t>
      </w:r>
    </w:p>
    <w:p w14:paraId="6E0C62EA">
      <w:pPr>
        <w:ind w:firstLine="422"/>
      </w:pPr>
      <w:r>
        <w:rPr>
          <w:rFonts w:hint="eastAsia"/>
          <w:b/>
        </w:rPr>
        <w:t>第九条</w:t>
      </w:r>
      <w:r>
        <w:rPr>
          <w:rFonts w:hint="eastAsia"/>
        </w:rPr>
        <w:t xml:space="preserve">  承包国有土地、集体所有土地从事农、林、牧、渔业生产的单位和个人，应当按照承包合同的规定合理利用和保护土地。</w:t>
      </w:r>
    </w:p>
    <w:p w14:paraId="26EAA58C">
      <w:r>
        <w:rPr>
          <w:rFonts w:hint="eastAsia"/>
        </w:rPr>
        <w:t>土地的承包经营权受法律保护。</w:t>
      </w:r>
    </w:p>
    <w:p w14:paraId="101E14DD">
      <w:pPr>
        <w:ind w:firstLine="422"/>
      </w:pPr>
      <w:r>
        <w:rPr>
          <w:rFonts w:hint="eastAsia"/>
          <w:b/>
        </w:rPr>
        <w:t>第十条</w:t>
      </w:r>
      <w:r>
        <w:rPr>
          <w:rFonts w:hint="eastAsia"/>
        </w:rPr>
        <w:t xml:space="preserve">  土地的所有权和使用权争议，由当事人协商解决，协商不成的，由人民政府处理。</w:t>
      </w:r>
    </w:p>
    <w:p w14:paraId="7CECA052">
      <w:r>
        <w:rPr>
          <w:rFonts w:hint="eastAsia"/>
        </w:rPr>
        <w:t>全民所有制单位之间、集体所有制单位之间、全民所有制单位和集体所有制单位之间的土地所有权或者使用权争议，由土地所在的区、县人民政府处理；跨区、县的，由市人民政府处理。</w:t>
      </w:r>
    </w:p>
    <w:p w14:paraId="2CA09408">
      <w:r>
        <w:rPr>
          <w:rFonts w:hint="eastAsia"/>
        </w:rPr>
        <w:t>个人之间、个人与全民所有制单位和集体所有制单位之间的土地使用权争议，由土地所在的乡（镇）人民政府或者区、县人民政府处理；跨乡（镇）的，由区、县人民政府处理。</w:t>
      </w:r>
    </w:p>
    <w:p w14:paraId="78A80838">
      <w:r>
        <w:rPr>
          <w:rFonts w:hint="eastAsia"/>
        </w:rPr>
        <w:t>当事人对处理决定不服的，可以在接到处理决定通知之日起</w:t>
      </w:r>
      <w:r>
        <w:rPr>
          <w:rFonts w:hint="eastAsia" w:ascii="宋体" w:hAnsi="宋体" w:eastAsia="宋体" w:cs="宋体"/>
        </w:rPr>
        <w:t>30</w:t>
      </w:r>
      <w:r>
        <w:rPr>
          <w:rFonts w:hint="eastAsia"/>
        </w:rPr>
        <w:t>日内向人民法院起诉。</w:t>
      </w:r>
    </w:p>
    <w:p w14:paraId="17153F6D">
      <w:r>
        <w:rPr>
          <w:rFonts w:hint="eastAsia"/>
        </w:rPr>
        <w:t>在土地所有权和使用权争议解决之前，任何一方不得改变土地现状，不得破坏土地上的附着物。</w:t>
      </w:r>
    </w:p>
    <w:p w14:paraId="0A69ABE9"/>
    <w:p w14:paraId="371BECC8">
      <w:pPr>
        <w:ind w:firstLine="0" w:firstLineChars="0"/>
        <w:jc w:val="center"/>
        <w:rPr>
          <w:b/>
          <w:sz w:val="28"/>
        </w:rPr>
      </w:pPr>
      <w:r>
        <w:rPr>
          <w:rFonts w:hint="eastAsia"/>
          <w:b/>
          <w:sz w:val="28"/>
        </w:rPr>
        <w:t>第三章　土地的利用和保护</w:t>
      </w:r>
    </w:p>
    <w:p w14:paraId="0760C30F"/>
    <w:p w14:paraId="269EAE19">
      <w:pPr>
        <w:ind w:firstLine="422"/>
      </w:pPr>
      <w:r>
        <w:rPr>
          <w:rFonts w:hint="eastAsia"/>
          <w:b/>
        </w:rPr>
        <w:t>第十一条</w:t>
      </w:r>
      <w:r>
        <w:rPr>
          <w:rFonts w:hint="eastAsia"/>
        </w:rPr>
        <w:t xml:space="preserve">  根据国家土地调查制度，市土地管理局会同有关部门制定本市土地调查计划，报市人民政府批准后实施。</w:t>
      </w:r>
    </w:p>
    <w:p w14:paraId="181FFE86">
      <w:r>
        <w:rPr>
          <w:rFonts w:hint="eastAsia"/>
        </w:rPr>
        <w:t>土地的调查、统计、监测、分等定级、登记和建立地籍档案等地籍管理工作，由市、区、县土地管理局负责；已经开发使用的城镇建设用地的地籍管理事项，由房地产管理局办理。</w:t>
      </w:r>
    </w:p>
    <w:p w14:paraId="008B4534">
      <w:pPr>
        <w:ind w:firstLine="422"/>
      </w:pPr>
      <w:r>
        <w:rPr>
          <w:rFonts w:hint="eastAsia"/>
          <w:b/>
        </w:rPr>
        <w:t>第十二条</w:t>
      </w:r>
      <w:r>
        <w:rPr>
          <w:rFonts w:hint="eastAsia"/>
        </w:rPr>
        <w:t xml:space="preserve">  市、区、县土地管理局应当会同有关部门按照《北京城市建设总体规划方案》编制土地利用总体规划，经同级计划主管部门综合平衡后，由同级人民政府审查同意，报上一级人民政府批准执行。</w:t>
      </w:r>
    </w:p>
    <w:p w14:paraId="103DABAC">
      <w:r>
        <w:rPr>
          <w:rFonts w:hint="eastAsia"/>
        </w:rPr>
        <w:t>乡（镇）的土地利用总体规划，由乡（镇）人民政府编制，报区、县人民政府批准执行。</w:t>
      </w:r>
    </w:p>
    <w:p w14:paraId="31C4B878">
      <w:r>
        <w:rPr>
          <w:rFonts w:hint="eastAsia"/>
        </w:rPr>
        <w:t>经批准的土地利用总体规划的修改，须经原批准机关批准。</w:t>
      </w:r>
    </w:p>
    <w:p w14:paraId="21AFEA78">
      <w:pPr>
        <w:ind w:firstLine="422"/>
      </w:pPr>
      <w:r>
        <w:rPr>
          <w:rFonts w:hint="eastAsia"/>
          <w:b/>
        </w:rPr>
        <w:t>第十三条</w:t>
      </w:r>
      <w:r>
        <w:rPr>
          <w:rFonts w:hint="eastAsia"/>
        </w:rPr>
        <w:t xml:space="preserve">  各类非农业建设用地实行计划管理。市土地管理局应当按照国家计划编制本市计划控制指标，报市人民政府批准执行。计划控制指标不得突破。</w:t>
      </w:r>
    </w:p>
    <w:p w14:paraId="6BCD9393">
      <w:pPr>
        <w:ind w:firstLine="422"/>
      </w:pPr>
      <w:r>
        <w:rPr>
          <w:rFonts w:hint="eastAsia"/>
          <w:b/>
        </w:rPr>
        <w:t>第十四条</w:t>
      </w:r>
      <w:r>
        <w:rPr>
          <w:rFonts w:hint="eastAsia"/>
        </w:rPr>
        <w:t>　本市各级人民政府对菜地、粮食生产基地和名、特、优农产品生产基地予以重点保护。除因特殊情况经市人民政府批准外，不得占用。</w:t>
      </w:r>
    </w:p>
    <w:p w14:paraId="377119E4">
      <w:pPr>
        <w:ind w:firstLine="422"/>
      </w:pPr>
      <w:r>
        <w:rPr>
          <w:rFonts w:hint="eastAsia"/>
          <w:b/>
        </w:rPr>
        <w:t>第十五条</w:t>
      </w:r>
      <w:r>
        <w:rPr>
          <w:rFonts w:hint="eastAsia"/>
        </w:rPr>
        <w:t>　禁止向耕地倾倒垃圾、渣土等废弃物；禁止在耕地修建坟墓和擅自采矿、采石、挖砂、取土等破坏土地资源的行为。</w:t>
      </w:r>
    </w:p>
    <w:p w14:paraId="2B1DF066">
      <w:pPr>
        <w:ind w:firstLine="422"/>
      </w:pPr>
      <w:r>
        <w:rPr>
          <w:rFonts w:hint="eastAsia"/>
          <w:b/>
        </w:rPr>
        <w:t>第十六条</w:t>
      </w:r>
      <w:r>
        <w:rPr>
          <w:rFonts w:hint="eastAsia"/>
        </w:rPr>
        <w:t>　严格控制占用耕地、林地新建砖瓦窑厂。现有的砖瓦窑厂未经批准不得扩大原批准的用地范围。</w:t>
      </w:r>
    </w:p>
    <w:p w14:paraId="7BCC8CB0">
      <w:r>
        <w:rPr>
          <w:rFonts w:hint="eastAsia"/>
        </w:rPr>
        <w:t>烧窑、挖砂、采石、采矿等使用后能够复垦的土地，使用者必须负责复垦，恢复利用。</w:t>
      </w:r>
    </w:p>
    <w:p w14:paraId="5B46F831">
      <w:pPr>
        <w:ind w:firstLine="422"/>
      </w:pPr>
      <w:r>
        <w:rPr>
          <w:rFonts w:hint="eastAsia"/>
          <w:b/>
        </w:rPr>
        <w:t>第十七条</w:t>
      </w:r>
      <w:r>
        <w:rPr>
          <w:rFonts w:hint="eastAsia"/>
        </w:rPr>
        <w:t>　严格控制占用耕地种果树、建鱼塘。确需占用耕地</w:t>
      </w:r>
      <w:r>
        <w:rPr>
          <w:rFonts w:hint="eastAsia" w:ascii="宋体" w:hAnsi="宋体" w:eastAsia="宋体" w:cs="宋体"/>
        </w:rPr>
        <w:t>，不足20亩的，经区、县农业主管部门同意，报区、县土地管理局批准；20亩以上的，经市农业主管部</w:t>
      </w:r>
      <w:r>
        <w:rPr>
          <w:rFonts w:hint="eastAsia"/>
        </w:rPr>
        <w:t>门同意，报市土地管理局批准。</w:t>
      </w:r>
    </w:p>
    <w:p w14:paraId="1464907B">
      <w:pPr>
        <w:ind w:firstLine="422"/>
      </w:pPr>
      <w:r>
        <w:rPr>
          <w:rFonts w:hint="eastAsia"/>
          <w:b/>
        </w:rPr>
        <w:t>第十八条</w:t>
      </w:r>
      <w:r>
        <w:rPr>
          <w:rFonts w:hint="eastAsia"/>
        </w:rPr>
        <w:t>　使用国有土地，有下列情形之一的，由本办法第三条规定的管理机关报同级人民政府批准，收回土地使用权，注销土地使用证：</w:t>
      </w:r>
    </w:p>
    <w:p w14:paraId="4D817943">
      <w:r>
        <w:rPr>
          <w:rFonts w:hint="eastAsia"/>
        </w:rPr>
        <w:t>（一）用地单位已经撤销或者迁移的；</w:t>
      </w:r>
    </w:p>
    <w:p w14:paraId="5A0121AF">
      <w:r>
        <w:rPr>
          <w:rFonts w:hint="eastAsia"/>
        </w:rPr>
        <w:t>（二）未经原批准机关同意，连续二年未使用的；</w:t>
      </w:r>
    </w:p>
    <w:p w14:paraId="610C8AFB">
      <w:r>
        <w:rPr>
          <w:rFonts w:hint="eastAsia"/>
        </w:rPr>
        <w:t>（三）不按批准的用途使用的；</w:t>
      </w:r>
    </w:p>
    <w:p w14:paraId="5AB5D19A">
      <w:r>
        <w:rPr>
          <w:rFonts w:hint="eastAsia"/>
        </w:rPr>
        <w:t>（四）公路、铁路、机场、矿场经核准报废的。</w:t>
      </w:r>
    </w:p>
    <w:p w14:paraId="4A69303D">
      <w:r>
        <w:rPr>
          <w:rFonts w:hint="eastAsia"/>
        </w:rPr>
        <w:t>收回土地使用权的，应当通知城市规划管理机关。</w:t>
      </w:r>
    </w:p>
    <w:p w14:paraId="3C5C634D">
      <w:r>
        <w:rPr>
          <w:rFonts w:hint="eastAsia"/>
        </w:rPr>
        <w:t>非农业建设使用的集体所有的土地，不再使用或者连续二年未使用的，由农村集体经济组织收回。</w:t>
      </w:r>
    </w:p>
    <w:p w14:paraId="69D8F88D">
      <w:pPr>
        <w:ind w:firstLine="422"/>
      </w:pPr>
      <w:r>
        <w:rPr>
          <w:rFonts w:hint="eastAsia"/>
          <w:b/>
        </w:rPr>
        <w:t>第十九条</w:t>
      </w:r>
      <w:r>
        <w:rPr>
          <w:rFonts w:hint="eastAsia"/>
        </w:rPr>
        <w:t>　经批准征用的耕地和农村其他有收益的土地，建设单位征用后一年以上无正当理由仍未进行建设造成土地荒芜的，由区、县土地管理局按照同类土地年产</w:t>
      </w:r>
      <w:r>
        <w:rPr>
          <w:rFonts w:hint="eastAsia" w:ascii="宋体" w:hAnsi="宋体" w:eastAsia="宋体" w:cs="宋体"/>
        </w:rPr>
        <w:t>值的5倍征</w:t>
      </w:r>
      <w:r>
        <w:rPr>
          <w:rFonts w:hint="eastAsia"/>
        </w:rPr>
        <w:t>收土地荒芜费。</w:t>
      </w:r>
    </w:p>
    <w:p w14:paraId="6465769C">
      <w:pPr>
        <w:ind w:firstLine="422"/>
      </w:pPr>
      <w:r>
        <w:rPr>
          <w:rFonts w:hint="eastAsia"/>
          <w:b/>
        </w:rPr>
        <w:t>第二十条</w:t>
      </w:r>
      <w:r>
        <w:rPr>
          <w:rFonts w:hint="eastAsia"/>
        </w:rPr>
        <w:t>　鼓励全民所有制单位、集体所有制单位开发荒山、荒地、荒滩，从事农、林、牧、渔、副业生产。开荒应当注意保护生态环境，防止水土流失。</w:t>
      </w:r>
    </w:p>
    <w:p w14:paraId="5D8AAB4A">
      <w:r>
        <w:rPr>
          <w:rFonts w:hint="eastAsia"/>
        </w:rPr>
        <w:t>开发国有荒山、荒地、荒滩，不</w:t>
      </w:r>
      <w:r>
        <w:rPr>
          <w:rFonts w:hint="eastAsia" w:ascii="宋体" w:hAnsi="宋体" w:eastAsia="宋体" w:cs="宋体"/>
        </w:rPr>
        <w:t>足100亩的，报区、县土地管理局批准；100</w:t>
      </w:r>
      <w:r>
        <w:rPr>
          <w:rFonts w:hint="eastAsia"/>
        </w:rPr>
        <w:t>亩以上的，经市土地管理局审核，报市人民政府批准。</w:t>
      </w:r>
    </w:p>
    <w:p w14:paraId="442E8DE7">
      <w:r>
        <w:rPr>
          <w:rFonts w:hint="eastAsia"/>
        </w:rPr>
        <w:t>农村集体或者个人开发集体所有的荒山、荒地、荒滩从事农、林、牧、渔业生产，由开发者与农村集体经济组织签订开发承包合同，并报区、县土地管理局备案。</w:t>
      </w:r>
    </w:p>
    <w:p w14:paraId="6BF2E386"/>
    <w:p w14:paraId="3870BBF4">
      <w:pPr>
        <w:ind w:firstLine="0" w:firstLineChars="0"/>
        <w:jc w:val="center"/>
        <w:rPr>
          <w:b/>
          <w:sz w:val="28"/>
        </w:rPr>
      </w:pPr>
      <w:r>
        <w:rPr>
          <w:rFonts w:hint="eastAsia"/>
          <w:b/>
          <w:sz w:val="28"/>
        </w:rPr>
        <w:t>第四章　国家建设用地</w:t>
      </w:r>
    </w:p>
    <w:p w14:paraId="2835AC28"/>
    <w:p w14:paraId="5968A794">
      <w:pPr>
        <w:ind w:firstLine="422"/>
      </w:pPr>
      <w:r>
        <w:rPr>
          <w:rFonts w:hint="eastAsia"/>
          <w:b/>
        </w:rPr>
        <w:t>第二十一条</w:t>
      </w:r>
      <w:r>
        <w:rPr>
          <w:rFonts w:hint="eastAsia"/>
        </w:rPr>
        <w:t>　国家进行经济、文化、国防建设以及兴办社会公共事业，应当节约用地，合理用地。需要征用集体所有的土地或者使用国有土地，以及城市集体所有制单位进行建设需要使用土地的，按照本章规定办理。</w:t>
      </w:r>
    </w:p>
    <w:p w14:paraId="3E835B0C">
      <w:pPr>
        <w:ind w:firstLine="422"/>
      </w:pPr>
      <w:r>
        <w:rPr>
          <w:rFonts w:hint="eastAsia"/>
          <w:b/>
        </w:rPr>
        <w:t>第二十二条</w:t>
      </w:r>
      <w:r>
        <w:rPr>
          <w:rFonts w:hint="eastAsia"/>
        </w:rPr>
        <w:t>　国家建设需要征用集体所有的土地或者使用国有土地的，建设项目设计任务书报批时，必须附具土地管理局的意见。</w:t>
      </w:r>
    </w:p>
    <w:p w14:paraId="2D21B2E1">
      <w:pPr>
        <w:ind w:firstLine="422"/>
      </w:pPr>
      <w:r>
        <w:rPr>
          <w:rFonts w:hint="eastAsia"/>
          <w:b/>
        </w:rPr>
        <w:t>第二十三条</w:t>
      </w:r>
      <w:r>
        <w:rPr>
          <w:rFonts w:hint="eastAsia"/>
        </w:rPr>
        <w:t>　国家建设征用集体所有的土地，按下列程序办理：</w:t>
      </w:r>
    </w:p>
    <w:p w14:paraId="01D42E7A">
      <w:r>
        <w:rPr>
          <w:rFonts w:hint="eastAsia"/>
        </w:rPr>
        <w:t>（一）建设单位持经批准的设计任务书或者初步设计、年度基本建设计划等有关文件和城市规划管理机关核发的建设用地规划许可证，按照审批权限向市或者区、县土地管理局申请建设用地；</w:t>
      </w:r>
    </w:p>
    <w:p w14:paraId="4B3B23DA">
      <w:r>
        <w:rPr>
          <w:rFonts w:hint="eastAsia"/>
        </w:rPr>
        <w:t>（二）征用土地的申请依照法定批准权限，经市或者区、县人民政府批准，核发建设用地批准书，由土地管理局根据建设进度一次或者分期划拨建设用地；</w:t>
      </w:r>
    </w:p>
    <w:p w14:paraId="3C62F961">
      <w:r>
        <w:rPr>
          <w:rFonts w:hint="eastAsia"/>
        </w:rPr>
        <w:t>（三）建设项目竣工，由城市规划管理机关会同土地管理局、房地产管理局核查实际用地后，依照本办法的规定，核定国有土地使用证。</w:t>
      </w:r>
    </w:p>
    <w:p w14:paraId="568D6FE0">
      <w:pPr>
        <w:ind w:firstLine="422"/>
      </w:pPr>
      <w:r>
        <w:rPr>
          <w:rFonts w:hint="eastAsia"/>
          <w:b/>
        </w:rPr>
        <w:t>第二十四条</w:t>
      </w:r>
      <w:r>
        <w:rPr>
          <w:rFonts w:hint="eastAsia"/>
        </w:rPr>
        <w:t>　国家建设征用集体所有的土地的审批权限：</w:t>
      </w:r>
    </w:p>
    <w:p w14:paraId="54665415">
      <w:pPr>
        <w:rPr>
          <w:rFonts w:hint="eastAsia" w:ascii="宋体" w:hAnsi="宋体" w:eastAsia="宋体" w:cs="宋体"/>
        </w:rPr>
      </w:pPr>
      <w:r>
        <w:rPr>
          <w:rFonts w:hint="eastAsia"/>
        </w:rPr>
        <w:t>（一）征用耕</w:t>
      </w:r>
      <w:r>
        <w:rPr>
          <w:rFonts w:hint="eastAsia" w:ascii="宋体" w:hAnsi="宋体" w:eastAsia="宋体" w:cs="宋体"/>
        </w:rPr>
        <w:t>地1000亩以上，其他土地2000亩以上的，由市人民政府审核后报国务院批准；</w:t>
      </w:r>
    </w:p>
    <w:p w14:paraId="64CB320A">
      <w:pPr>
        <w:rPr>
          <w:rFonts w:hint="eastAsia" w:ascii="宋体" w:hAnsi="宋体" w:eastAsia="宋体" w:cs="宋体"/>
        </w:rPr>
      </w:pPr>
      <w:r>
        <w:rPr>
          <w:rFonts w:hint="eastAsia" w:ascii="宋体" w:hAnsi="宋体" w:eastAsia="宋体" w:cs="宋体"/>
        </w:rPr>
        <w:t>（二）征用耕地不足1000亩、其他土地10亩以上不足2000亩的，由市人民政府批准；</w:t>
      </w:r>
    </w:p>
    <w:p w14:paraId="50421AFA">
      <w:r>
        <w:rPr>
          <w:rFonts w:hint="eastAsia" w:ascii="宋体" w:hAnsi="宋体" w:eastAsia="宋体" w:cs="宋体"/>
        </w:rPr>
        <w:t>（三）征用其他土地不足10亩的，由区、县人民政府批准，报市土地</w:t>
      </w:r>
      <w:r>
        <w:rPr>
          <w:rFonts w:hint="eastAsia"/>
        </w:rPr>
        <w:t>管理局备案。</w:t>
      </w:r>
    </w:p>
    <w:p w14:paraId="072F5AAE">
      <w:pPr>
        <w:ind w:firstLine="422"/>
      </w:pPr>
      <w:r>
        <w:rPr>
          <w:rFonts w:hint="eastAsia"/>
          <w:b/>
        </w:rPr>
        <w:t>第二十五条</w:t>
      </w:r>
      <w:r>
        <w:rPr>
          <w:rFonts w:hint="eastAsia"/>
        </w:rPr>
        <w:t>　工程项目施工，确需另行增加临时使用农村土地的，建设单位应当先向城市规划管理机关提出定点申请，经审查同意后，向土地管理局提出临时用地数量和期限的申请，经批准后，同农村集体经济组织签订临时用地协议，并按该土地前三年平均年产值逐年给予补偿。在临时使用的土地上不得修建永久性建筑物。使用期满，建设单位应当恢复土地的生产条件，及时归还。</w:t>
      </w:r>
    </w:p>
    <w:p w14:paraId="00987191">
      <w:r>
        <w:rPr>
          <w:rFonts w:hint="eastAsia"/>
        </w:rPr>
        <w:t>架设地上线路、铺设地下管线、建设其他地下工程、进行地质勘探等，需要临时使用土地的，按照前款规定办理。</w:t>
      </w:r>
    </w:p>
    <w:p w14:paraId="42E3CA7A">
      <w:pPr>
        <w:ind w:firstLine="422"/>
      </w:pPr>
      <w:r>
        <w:rPr>
          <w:rFonts w:hint="eastAsia"/>
          <w:b/>
        </w:rPr>
        <w:t>第二十六条</w:t>
      </w:r>
      <w:r>
        <w:rPr>
          <w:rFonts w:hint="eastAsia"/>
        </w:rPr>
        <w:t>　征用集体所有的土地，用地单位应当按照下列规定向被征地单位支付土地补偿费：</w:t>
      </w:r>
    </w:p>
    <w:p w14:paraId="792CFD5B">
      <w:r>
        <w:rPr>
          <w:rFonts w:hint="eastAsia"/>
        </w:rPr>
        <w:t>（一）征用耕地、菜地、鱼塘、藕塘、果园、苗圃地，按该土地被征用前三年平均年产值</w:t>
      </w:r>
      <w:r>
        <w:rPr>
          <w:rFonts w:hint="eastAsia" w:ascii="宋体" w:hAnsi="宋体" w:eastAsia="宋体" w:cs="宋体"/>
        </w:rPr>
        <w:t>6倍</w:t>
      </w:r>
      <w:r>
        <w:rPr>
          <w:rFonts w:hint="eastAsia"/>
        </w:rPr>
        <w:t>的标准补偿；</w:t>
      </w:r>
    </w:p>
    <w:p w14:paraId="533DBB2C">
      <w:pPr>
        <w:rPr>
          <w:rFonts w:hint="eastAsia" w:ascii="宋体" w:hAnsi="宋体" w:eastAsia="宋体" w:cs="宋体"/>
        </w:rPr>
      </w:pPr>
      <w:r>
        <w:rPr>
          <w:rFonts w:hint="eastAsia"/>
        </w:rPr>
        <w:t>（二）征用苇塘、林地、砂石地等有收益的土地，按该土地被征用前三年平均年产值</w:t>
      </w:r>
      <w:r>
        <w:rPr>
          <w:rFonts w:hint="eastAsia" w:ascii="宋体" w:hAnsi="宋体" w:eastAsia="宋体" w:cs="宋体"/>
        </w:rPr>
        <w:t>5倍的标准补偿；</w:t>
      </w:r>
    </w:p>
    <w:p w14:paraId="7CA6D2D4">
      <w:r>
        <w:rPr>
          <w:rFonts w:hint="eastAsia" w:ascii="宋体" w:hAnsi="宋体" w:eastAsia="宋体" w:cs="宋体"/>
        </w:rPr>
        <w:t>（三）征用宅基地、积肥场、场院地，按相连有收益土地前三年平均年产值5倍的标</w:t>
      </w:r>
      <w:r>
        <w:rPr>
          <w:rFonts w:hint="eastAsia"/>
        </w:rPr>
        <w:t>准补偿。</w:t>
      </w:r>
    </w:p>
    <w:p w14:paraId="7321011B">
      <w:r>
        <w:rPr>
          <w:rFonts w:hint="eastAsia"/>
        </w:rPr>
        <w:t>被征用土地上的附着物和青苗的补偿标准，按照市人民政府的规定执行。</w:t>
      </w:r>
    </w:p>
    <w:p w14:paraId="60417CDD">
      <w:r>
        <w:rPr>
          <w:rFonts w:hint="eastAsia"/>
        </w:rPr>
        <w:t>征用菜地和市人民政府划定的基本粮田的，应当按照本市有关规定缴纳新菜地或者基本粮田开发建设基金。</w:t>
      </w:r>
    </w:p>
    <w:p w14:paraId="67800B9F">
      <w:pPr>
        <w:ind w:firstLine="422"/>
        <w:rPr>
          <w:rFonts w:hint="eastAsia" w:ascii="宋体" w:hAnsi="宋体" w:eastAsia="宋体" w:cs="宋体"/>
        </w:rPr>
      </w:pPr>
      <w:r>
        <w:rPr>
          <w:rFonts w:hint="eastAsia"/>
          <w:b/>
        </w:rPr>
        <w:t>第二十七条</w:t>
      </w:r>
      <w:r>
        <w:rPr>
          <w:rFonts w:hint="eastAsia"/>
        </w:rPr>
        <w:t>　征用集体所有的土地，用地单位应当按照需要安置的农业人口数，向被征地单位支付安置补助费。每一个需要安置的农业人口的安置补助费标准，为被征用土地征用前三年平均每亩年产</w:t>
      </w:r>
      <w:r>
        <w:rPr>
          <w:rFonts w:hint="eastAsia" w:ascii="宋体" w:hAnsi="宋体" w:eastAsia="宋体" w:cs="宋体"/>
        </w:rPr>
        <w:t>值的3倍。但每亩被征用土地的安置补助费，最高不得超过被征用前三年平均年产值的10倍。</w:t>
      </w:r>
    </w:p>
    <w:p w14:paraId="17DB9C8B">
      <w:pPr>
        <w:ind w:firstLine="422"/>
      </w:pPr>
      <w:r>
        <w:rPr>
          <w:rFonts w:hint="eastAsia"/>
          <w:b/>
        </w:rPr>
        <w:t>第二十八条</w:t>
      </w:r>
      <w:r>
        <w:rPr>
          <w:rFonts w:hint="eastAsia"/>
        </w:rPr>
        <w:t>　依照本办法第二十六条、第二十七条规定支付的土地补偿费和安置补助费，尚不能使需要安置的农民保持原有生活水平的，经市人民政府批准，可以增加安置补助费。但土地补偿费和安置补助费的总和不得超过土地被征用前三年平均年产值</w:t>
      </w:r>
      <w:r>
        <w:rPr>
          <w:rFonts w:hint="eastAsia" w:ascii="宋体" w:hAnsi="宋体" w:eastAsia="宋体" w:cs="宋体"/>
        </w:rPr>
        <w:t>的20</w:t>
      </w:r>
      <w:r>
        <w:rPr>
          <w:rFonts w:hint="eastAsia"/>
        </w:rPr>
        <w:t>倍。</w:t>
      </w:r>
    </w:p>
    <w:p w14:paraId="5DD3EC95">
      <w:pPr>
        <w:ind w:firstLine="422"/>
      </w:pPr>
      <w:r>
        <w:rPr>
          <w:rFonts w:hint="eastAsia"/>
          <w:b/>
        </w:rPr>
        <w:t>第二十九条</w:t>
      </w:r>
      <w:r>
        <w:rPr>
          <w:rFonts w:hint="eastAsia"/>
        </w:rPr>
        <w:t>　因国家建设征用土地造成的多余劳动力，在市、区、县人民政府领导下，由同级土地管理局组织被征地单位、用地单位和有关单位，通过发展农副业生产和举办乡（镇）村企业等途径，加以安置；安置不完的，可以安排符合条件的人员到用地单位或者其他集体所有制单位、全民所有制单位就业，并将相应的安置补助费转拨给吸收劳动力的单位。</w:t>
      </w:r>
    </w:p>
    <w:p w14:paraId="76DA4CC4">
      <w:r>
        <w:rPr>
          <w:rFonts w:hint="eastAsia"/>
        </w:rPr>
        <w:t>被征地单位的土地被全部征用的，经市人民政府审查批准，原有的农业户口可以转为非农业户口。原有的集体所有的财产和所得的补偿费、安置补助费由区、县人民政府与有关乡（镇）村商定处理，用于组织生产和不能就业人员的生活补助，不得私分。</w:t>
      </w:r>
    </w:p>
    <w:p w14:paraId="775DE7F2">
      <w:r>
        <w:rPr>
          <w:rFonts w:hint="eastAsia"/>
        </w:rPr>
        <w:t>公安、劳动、粮食、民政等有关部门，应当按照各自的职责，做好转户和劳动力的就业安置工作。</w:t>
      </w:r>
    </w:p>
    <w:p w14:paraId="2214E609">
      <w:pPr>
        <w:ind w:firstLine="422"/>
      </w:pPr>
      <w:r>
        <w:rPr>
          <w:rFonts w:hint="eastAsia"/>
          <w:b/>
        </w:rPr>
        <w:t>第三十条</w:t>
      </w:r>
      <w:r>
        <w:rPr>
          <w:rFonts w:hint="eastAsia"/>
        </w:rPr>
        <w:t>　用地单位按照本办法规定向被征用土地单位支付的各项补偿费、补助费，经区、县土地管理局评定，报市土地管理局核准后，由银行监督拨款。</w:t>
      </w:r>
    </w:p>
    <w:p w14:paraId="553E4261">
      <w:r>
        <w:rPr>
          <w:rFonts w:hint="eastAsia"/>
        </w:rPr>
        <w:t>被征地单位不得在本办法规定的补偿费、补助费以外向用地单位提出其他附加条件。</w:t>
      </w:r>
    </w:p>
    <w:p w14:paraId="2C103860">
      <w:pPr>
        <w:ind w:firstLine="422"/>
      </w:pPr>
      <w:r>
        <w:rPr>
          <w:rFonts w:hint="eastAsia"/>
          <w:b/>
        </w:rPr>
        <w:t>第三十一条</w:t>
      </w:r>
      <w:r>
        <w:rPr>
          <w:rFonts w:hint="eastAsia"/>
        </w:rPr>
        <w:t>　国家建设使用国有荒山、荒地以及其他单位使用的国有土地的，向本办法第三条规定的管理机关提出申请，按照国家建设征用土地的程序和批准权限经批准后划拨。</w:t>
      </w:r>
    </w:p>
    <w:p w14:paraId="37754854">
      <w:pPr>
        <w:ind w:firstLine="422"/>
      </w:pPr>
      <w:r>
        <w:rPr>
          <w:rFonts w:hint="eastAsia"/>
          <w:b/>
        </w:rPr>
        <w:t>第三十二条</w:t>
      </w:r>
      <w:r>
        <w:rPr>
          <w:rFonts w:hint="eastAsia"/>
        </w:rPr>
        <w:t>　全民所有制企业、城市集体所有制企业同农村集体经济组织共同投资兴办的联营企业，需要使用集体所有的土地的，按照本办法第二十三条、第二十四条的规定办理。经批准使用的土地，可以按照国家建设征用土地的规定征用，也可以由农村集体经济组织按照协议将土地的使用权作为联营条件。</w:t>
      </w:r>
    </w:p>
    <w:p w14:paraId="1DC99811"/>
    <w:p w14:paraId="293CE3C9">
      <w:pPr>
        <w:ind w:firstLine="0" w:firstLineChars="0"/>
        <w:jc w:val="center"/>
        <w:rPr>
          <w:b/>
          <w:sz w:val="28"/>
        </w:rPr>
      </w:pPr>
      <w:r>
        <w:rPr>
          <w:rFonts w:hint="eastAsia"/>
          <w:b/>
          <w:sz w:val="28"/>
        </w:rPr>
        <w:t>第五章　乡（镇）村建设用地</w:t>
      </w:r>
    </w:p>
    <w:p w14:paraId="5E563A07"/>
    <w:p w14:paraId="7A18D210">
      <w:pPr>
        <w:ind w:firstLine="422"/>
      </w:pPr>
      <w:r>
        <w:rPr>
          <w:rFonts w:hint="eastAsia"/>
          <w:b/>
        </w:rPr>
        <w:t>第三十三条</w:t>
      </w:r>
      <w:r>
        <w:rPr>
          <w:rFonts w:hint="eastAsia"/>
        </w:rPr>
        <w:t>　乡（镇）村各项建设用地，应当执行经批准的乡（镇）村建设规划，取得城市规划管理机关核发的建设用地规划许可证后，按照本章规定办理。</w:t>
      </w:r>
    </w:p>
    <w:p w14:paraId="1B053BAD">
      <w:pPr>
        <w:ind w:firstLine="422"/>
      </w:pPr>
      <w:r>
        <w:rPr>
          <w:rFonts w:hint="eastAsia"/>
          <w:b/>
        </w:rPr>
        <w:t>第三十四条</w:t>
      </w:r>
      <w:r>
        <w:rPr>
          <w:rFonts w:hint="eastAsia"/>
        </w:rPr>
        <w:t>　乡（镇）村企业、公共设施、公益事业建设用地的办理程序：</w:t>
      </w:r>
    </w:p>
    <w:p w14:paraId="1728380B">
      <w:r>
        <w:rPr>
          <w:rFonts w:hint="eastAsia"/>
        </w:rPr>
        <w:t>（一）建设单位持区、县人民政府批准的设计任务书或者其他批准文件，向区、县土地管理局提出申请；</w:t>
      </w:r>
    </w:p>
    <w:p w14:paraId="3CFE5056">
      <w:r>
        <w:rPr>
          <w:rFonts w:hint="eastAsia"/>
        </w:rPr>
        <w:t>（二）区、县土地管理局按照审批权限报同级人民政府或者市人民政府批准，核发建设用地批准书后划拨土地；</w:t>
      </w:r>
    </w:p>
    <w:p w14:paraId="0AAB5230">
      <w:r>
        <w:rPr>
          <w:rFonts w:hint="eastAsia"/>
        </w:rPr>
        <w:t>（三）建设项目竣工，由城市规划管理机关会同土地管理局核查实际用地，办理土地登记手续。</w:t>
      </w:r>
    </w:p>
    <w:p w14:paraId="6644B27A">
      <w:pPr>
        <w:ind w:firstLine="422"/>
      </w:pPr>
      <w:r>
        <w:rPr>
          <w:rFonts w:hint="eastAsia"/>
          <w:b/>
        </w:rPr>
        <w:t>第三十五条</w:t>
      </w:r>
      <w:r>
        <w:rPr>
          <w:rFonts w:hint="eastAsia"/>
        </w:rPr>
        <w:t>　乡（镇）村企业、公共设施、公益事业建设用地，占用耕地不足</w:t>
      </w:r>
      <w:r>
        <w:rPr>
          <w:rFonts w:hint="eastAsia" w:ascii="宋体" w:hAnsi="宋体" w:eastAsia="宋体" w:cs="宋体"/>
        </w:rPr>
        <w:t>2</w:t>
      </w:r>
      <w:r>
        <w:rPr>
          <w:rFonts w:hint="eastAsia"/>
        </w:rPr>
        <w:t>亩，其他土地不足</w:t>
      </w:r>
      <w:r>
        <w:rPr>
          <w:rFonts w:hint="eastAsia" w:ascii="宋体" w:hAnsi="宋体" w:eastAsia="宋体" w:cs="宋体"/>
        </w:rPr>
        <w:t>10亩</w:t>
      </w:r>
      <w:r>
        <w:rPr>
          <w:rFonts w:hint="eastAsia"/>
        </w:rPr>
        <w:t>的，由区、县人民政府批准，报市土地管理局备案，超过此限由市人民政府批准。</w:t>
      </w:r>
    </w:p>
    <w:p w14:paraId="4AA81BB5">
      <w:pPr>
        <w:ind w:firstLine="422"/>
      </w:pPr>
      <w:r>
        <w:rPr>
          <w:rFonts w:hint="eastAsia"/>
          <w:b/>
        </w:rPr>
        <w:t>第三十六条</w:t>
      </w:r>
      <w:r>
        <w:rPr>
          <w:rFonts w:hint="eastAsia"/>
        </w:rPr>
        <w:t>　乡（镇）企业建设使用村农民集体所有土地的，应当按照被占用土地前三年平均年产值的</w:t>
      </w:r>
      <w:r>
        <w:rPr>
          <w:rFonts w:hint="eastAsia" w:ascii="宋体" w:hAnsi="宋体" w:eastAsia="宋体" w:cs="宋体"/>
        </w:rPr>
        <w:t>3倍至5倍给予</w:t>
      </w:r>
      <w:r>
        <w:rPr>
          <w:rFonts w:hint="eastAsia"/>
        </w:rPr>
        <w:t>补偿。</w:t>
      </w:r>
    </w:p>
    <w:p w14:paraId="716D248F">
      <w:r>
        <w:rPr>
          <w:rFonts w:hint="eastAsia"/>
        </w:rPr>
        <w:t>乡（镇）公共设施、公益事业建设占用村农民集体所有土地的，可以按照被占用土地前三年平均年产值的</w:t>
      </w:r>
      <w:r>
        <w:rPr>
          <w:rFonts w:hint="eastAsia" w:ascii="宋体" w:hAnsi="宋体" w:eastAsia="宋体" w:cs="宋体"/>
        </w:rPr>
        <w:t>2倍</w:t>
      </w:r>
      <w:r>
        <w:rPr>
          <w:rFonts w:hint="eastAsia"/>
        </w:rPr>
        <w:t>给予补偿。</w:t>
      </w:r>
    </w:p>
    <w:p w14:paraId="073D3963">
      <w:r>
        <w:rPr>
          <w:rFonts w:hint="eastAsia"/>
        </w:rPr>
        <w:t>占用菜地和基本粮田的，应当缴纳新菜地或者基本粮田开发建设基金。</w:t>
      </w:r>
    </w:p>
    <w:p w14:paraId="30E1B35E">
      <w:pPr>
        <w:ind w:firstLine="422"/>
      </w:pPr>
      <w:r>
        <w:rPr>
          <w:rFonts w:hint="eastAsia"/>
          <w:b/>
        </w:rPr>
        <w:t>第三十七条</w:t>
      </w:r>
      <w:r>
        <w:rPr>
          <w:rFonts w:hint="eastAsia"/>
        </w:rPr>
        <w:t>　乡（镇）村企业、公共设施、公益事业建设需要临时占用土地的，由建设单位持与被占用土地单位签订的补偿协议书，报区、县土地管理局批准。</w:t>
      </w:r>
    </w:p>
    <w:p w14:paraId="5E9FD5AD">
      <w:r>
        <w:rPr>
          <w:rFonts w:hint="eastAsia"/>
        </w:rPr>
        <w:t>在临时用地上不得修建永久性建筑物，使用期满应当恢复生产条件，及时归还。</w:t>
      </w:r>
    </w:p>
    <w:p w14:paraId="109FAED7">
      <w:pPr>
        <w:ind w:firstLine="422"/>
      </w:pPr>
      <w:r>
        <w:rPr>
          <w:rFonts w:hint="eastAsia"/>
          <w:b/>
        </w:rPr>
        <w:t>第三十八条</w:t>
      </w:r>
      <w:r>
        <w:rPr>
          <w:rFonts w:hint="eastAsia"/>
        </w:rPr>
        <w:t>　农村专业户从事生产经营活动需要建设用地的，应当充分利用宅基地。生产规模较大确需使用集体土地的，由本人提出用地申请，经所在的村民代表会或者农村集体经济组织同意，按照本办法第三十四条、第三十五条、第三十六条的规定办理。</w:t>
      </w:r>
    </w:p>
    <w:p w14:paraId="37A41AEE">
      <w:r>
        <w:rPr>
          <w:rFonts w:hint="eastAsia"/>
        </w:rPr>
        <w:t>被批准使用土地的农村专业户，应当与农村集体经济组织或者村民委员会签订土地使用期限、土地补偿及地上附着物的处理等协议。</w:t>
      </w:r>
    </w:p>
    <w:p w14:paraId="025593BE">
      <w:pPr>
        <w:ind w:firstLine="422"/>
      </w:pPr>
      <w:r>
        <w:rPr>
          <w:rFonts w:hint="eastAsia"/>
          <w:b/>
        </w:rPr>
        <w:t>第三十九条</w:t>
      </w:r>
      <w:r>
        <w:rPr>
          <w:rFonts w:hint="eastAsia"/>
        </w:rPr>
        <w:t>　农村村民新建住宅，应当在原宅基地内安排，原宅基地无法安排的，应当充分利用村内空闲地或者其他土地，严格控制占用耕地。</w:t>
      </w:r>
    </w:p>
    <w:p w14:paraId="2038CBAC">
      <w:r>
        <w:rPr>
          <w:rFonts w:hint="eastAsia"/>
        </w:rPr>
        <w:t>农村村民的子女达到法定结婚年龄，无房分居，现有宅基地又无法扩建的，方可申请宅基地。</w:t>
      </w:r>
    </w:p>
    <w:p w14:paraId="1BD89D44">
      <w:pPr>
        <w:ind w:firstLine="422"/>
      </w:pPr>
      <w:r>
        <w:rPr>
          <w:rFonts w:hint="eastAsia"/>
          <w:b/>
        </w:rPr>
        <w:t>第四十条</w:t>
      </w:r>
      <w:r>
        <w:rPr>
          <w:rFonts w:hint="eastAsia"/>
        </w:rPr>
        <w:t>　农村村民宅基地的标准，近郊区以及远郊区人多地少的地区，每户不得超过</w:t>
      </w:r>
      <w:r>
        <w:rPr>
          <w:rFonts w:hint="eastAsia" w:ascii="宋体" w:hAnsi="宋体" w:eastAsia="宋体" w:cs="宋体"/>
        </w:rPr>
        <w:t>0.25亩，其他地区每户不得超过0.3亩。具</w:t>
      </w:r>
      <w:r>
        <w:rPr>
          <w:rFonts w:hint="eastAsia"/>
        </w:rPr>
        <w:t>体标准由区、县人民政府规定。</w:t>
      </w:r>
    </w:p>
    <w:p w14:paraId="482822E4">
      <w:r>
        <w:rPr>
          <w:rFonts w:hint="eastAsia"/>
        </w:rPr>
        <w:t>原有宅基地超过规定标准的，超过部分按照乡（镇）村建设规划逐步调整。</w:t>
      </w:r>
    </w:p>
    <w:p w14:paraId="279B096F">
      <w:pPr>
        <w:ind w:firstLine="422"/>
      </w:pPr>
      <w:r>
        <w:rPr>
          <w:rFonts w:hint="eastAsia"/>
          <w:b/>
        </w:rPr>
        <w:t>第四十一条</w:t>
      </w:r>
      <w:r>
        <w:rPr>
          <w:rFonts w:hint="eastAsia"/>
        </w:rPr>
        <w:t>　农村村民建设住宅使用耕地的，必须经村民代表会或者村民大会讨论通过，由乡（镇）人民政府审核，区、县土地管理局复核，报区、县人民政府批准；使用其他土地的，由乡（镇）人民政府批准，并报所在区、县土地管理局备案。</w:t>
      </w:r>
    </w:p>
    <w:p w14:paraId="01617C4F">
      <w:r>
        <w:rPr>
          <w:rFonts w:hint="eastAsia"/>
        </w:rPr>
        <w:t>出卖、出租住房后再申请宅基地的，不予批准。</w:t>
      </w:r>
    </w:p>
    <w:p w14:paraId="216807D1">
      <w:pPr>
        <w:ind w:firstLine="422"/>
      </w:pPr>
      <w:r>
        <w:rPr>
          <w:rFonts w:hint="eastAsia"/>
          <w:b/>
        </w:rPr>
        <w:t>第四十二条</w:t>
      </w:r>
      <w:r>
        <w:rPr>
          <w:rFonts w:hint="eastAsia"/>
        </w:rPr>
        <w:t>　禁止利用集体所有的土地进行土地和商品房屋的开发经营活动。</w:t>
      </w:r>
    </w:p>
    <w:p w14:paraId="2CEBAF97"/>
    <w:p w14:paraId="5EB876F1">
      <w:pPr>
        <w:ind w:firstLine="0" w:firstLineChars="0"/>
        <w:jc w:val="center"/>
        <w:rPr>
          <w:b/>
          <w:sz w:val="28"/>
        </w:rPr>
      </w:pPr>
      <w:r>
        <w:rPr>
          <w:rFonts w:hint="eastAsia"/>
          <w:b/>
          <w:sz w:val="28"/>
        </w:rPr>
        <w:t>第六章　法律责任</w:t>
      </w:r>
    </w:p>
    <w:p w14:paraId="69386048"/>
    <w:p w14:paraId="3EB8DFBC">
      <w:pPr>
        <w:ind w:firstLine="422"/>
      </w:pPr>
      <w:r>
        <w:rPr>
          <w:rFonts w:hint="eastAsia"/>
          <w:b/>
        </w:rPr>
        <w:t>第四十三条</w:t>
      </w:r>
      <w:r>
        <w:rPr>
          <w:rFonts w:hint="eastAsia"/>
        </w:rPr>
        <w:t>　占用耕地修建坟墓、倾倒废弃物或者擅自挖砂、取土、采石、采矿等破坏土地资源的，限期恢复地貌，并处以罚款。</w:t>
      </w:r>
    </w:p>
    <w:p w14:paraId="6CFD25D7">
      <w:pPr>
        <w:ind w:firstLine="422"/>
      </w:pPr>
      <w:r>
        <w:rPr>
          <w:rFonts w:hint="eastAsia"/>
          <w:b/>
        </w:rPr>
        <w:t>第四十四条</w:t>
      </w:r>
      <w:r>
        <w:rPr>
          <w:rFonts w:hint="eastAsia"/>
        </w:rPr>
        <w:t>　未经批准占用耕地、林地新建砖瓦窑厂或者擅自扩大原批准的砖瓦窑厂用地范围的，责令停产，限期恢复非法占用土地的原貌，并处以罚款。</w:t>
      </w:r>
    </w:p>
    <w:p w14:paraId="3191529D">
      <w:pPr>
        <w:ind w:firstLine="422"/>
      </w:pPr>
      <w:r>
        <w:rPr>
          <w:rFonts w:hint="eastAsia"/>
          <w:b/>
        </w:rPr>
        <w:t>第四十五条</w:t>
      </w:r>
      <w:r>
        <w:rPr>
          <w:rFonts w:hint="eastAsia"/>
        </w:rPr>
        <w:t xml:space="preserve">  未经批准占用耕地种果树、建鱼塘的，限期恢复地貌，并可处以罚款。</w:t>
      </w:r>
    </w:p>
    <w:p w14:paraId="6C5B3EC3">
      <w:pPr>
        <w:ind w:firstLine="422"/>
      </w:pPr>
      <w:r>
        <w:rPr>
          <w:rFonts w:hint="eastAsia"/>
          <w:b/>
        </w:rPr>
        <w:t>第四十六条</w:t>
      </w:r>
      <w:r>
        <w:rPr>
          <w:rFonts w:hint="eastAsia"/>
        </w:rPr>
        <w:t>　全民所有制单位、城市集体所有制单位和乡（镇）村企业，未经批准或者采取欺骗手段骗取批准，非法占用土地的，责令退还非法占用的土地，限期拆除或者没收在非法占用的土地上新建的建筑物和其他设施，并处以罚款。对非法占地单位的主管人员由其所在单位或者上级机关给予行政处分。</w:t>
      </w:r>
    </w:p>
    <w:p w14:paraId="134990F8">
      <w:r>
        <w:rPr>
          <w:rFonts w:hint="eastAsia"/>
        </w:rPr>
        <w:t>超过批准的用地数量占用土地的，多占的土地按照非法占用土地处理。</w:t>
      </w:r>
    </w:p>
    <w:p w14:paraId="5DA11793">
      <w:pPr>
        <w:ind w:firstLine="422"/>
      </w:pPr>
      <w:r>
        <w:rPr>
          <w:rFonts w:hint="eastAsia"/>
          <w:b/>
        </w:rPr>
        <w:t>第四十七条</w:t>
      </w:r>
      <w:r>
        <w:rPr>
          <w:rFonts w:hint="eastAsia"/>
        </w:rPr>
        <w:t>　农村村民、城镇居民未经批准或者采取欺骗手段骗取批准，非法占用土地建住宅的，责令退还非法占用的土地，限期拆除或者没收在非法占用的土地上新建的房屋。</w:t>
      </w:r>
    </w:p>
    <w:p w14:paraId="7C96833F">
      <w:r>
        <w:rPr>
          <w:rFonts w:hint="eastAsia"/>
        </w:rPr>
        <w:t>国家工作人员利用职权非法占用土地建住宅的，除按前款处罚外，并由其所在单位或者上级机关给予行政处分。</w:t>
      </w:r>
    </w:p>
    <w:p w14:paraId="5FCB0153">
      <w:pPr>
        <w:ind w:firstLine="422"/>
      </w:pPr>
      <w:r>
        <w:rPr>
          <w:rFonts w:hint="eastAsia"/>
          <w:b/>
        </w:rPr>
        <w:t>第四十八条</w:t>
      </w:r>
      <w:r>
        <w:rPr>
          <w:rFonts w:hint="eastAsia"/>
        </w:rPr>
        <w:t>　未经批准或者采取欺骗手段骗取批准，非法占用土地从事其他建设的，限期拆除或者没收在非法占用的土地上新建的建筑物和其他设施，责令退还非法占用的土地。</w:t>
      </w:r>
    </w:p>
    <w:p w14:paraId="7847E1D4">
      <w:pPr>
        <w:ind w:firstLine="422"/>
      </w:pPr>
      <w:r>
        <w:rPr>
          <w:rFonts w:hint="eastAsia"/>
          <w:b/>
        </w:rPr>
        <w:t>第四十九条</w:t>
      </w:r>
      <w:r>
        <w:rPr>
          <w:rFonts w:hint="eastAsia"/>
        </w:rPr>
        <w:t>　无权审批或者越权审批占用土地的，批准文件无效。对非法批准占用土地的单位主管人员或者个人由其所在单位或者上级机关给予行政处分；收受贿赂构成犯罪的，依法追究刑事责任。非法批准占用的土地，按照非法占用土地处理。</w:t>
      </w:r>
    </w:p>
    <w:p w14:paraId="1C1B41F4">
      <w:pPr>
        <w:ind w:firstLine="422"/>
      </w:pPr>
      <w:r>
        <w:rPr>
          <w:rFonts w:hint="eastAsia"/>
          <w:b/>
        </w:rPr>
        <w:t>第五十条</w:t>
      </w:r>
      <w:r>
        <w:rPr>
          <w:rFonts w:hint="eastAsia"/>
        </w:rPr>
        <w:t>　买卖或者以其他形式非法转让土地的，没收非法所得，限期拆除或者没收在买卖或者以其他形式非法转让的土地上新建的建筑物和其他设施，并可对当事人处以罚款。对主管人员由其所在单位或者上级机关给予行政处分。</w:t>
      </w:r>
    </w:p>
    <w:p w14:paraId="5473D641">
      <w:pPr>
        <w:ind w:firstLine="422"/>
      </w:pPr>
      <w:r>
        <w:rPr>
          <w:rFonts w:hint="eastAsia"/>
          <w:b/>
        </w:rPr>
        <w:t>第五十一条</w:t>
      </w:r>
      <w:r>
        <w:rPr>
          <w:rFonts w:hint="eastAsia"/>
        </w:rPr>
        <w:t>　上级机关或者其他单位非法占用被征地单位的补偿费和安置补助费的，责令退赔，并可处以罚款。对主管人员由其所在单位或者上级机关给予行政处分；个人非法占用的以贪污论处。</w:t>
      </w:r>
    </w:p>
    <w:p w14:paraId="227754CC">
      <w:pPr>
        <w:ind w:firstLine="422"/>
      </w:pPr>
      <w:r>
        <w:rPr>
          <w:rFonts w:hint="eastAsia"/>
          <w:b/>
        </w:rPr>
        <w:t>第五十二条</w:t>
      </w:r>
      <w:r>
        <w:rPr>
          <w:rFonts w:hint="eastAsia"/>
        </w:rPr>
        <w:t>　使用期满拒不交回临时用地的，由土地管理局责令交还土地，并处以罚款。</w:t>
      </w:r>
    </w:p>
    <w:p w14:paraId="79AB1F9D">
      <w:pPr>
        <w:ind w:firstLine="422"/>
      </w:pPr>
      <w:r>
        <w:rPr>
          <w:rFonts w:hint="eastAsia"/>
          <w:b/>
        </w:rPr>
        <w:t>第五十三条</w:t>
      </w:r>
      <w:r>
        <w:rPr>
          <w:rFonts w:hint="eastAsia"/>
        </w:rPr>
        <w:t>　本章规定的罚款，数额由市人民政府规定。</w:t>
      </w:r>
    </w:p>
    <w:p w14:paraId="3266FF31">
      <w:pPr>
        <w:ind w:firstLine="422"/>
      </w:pPr>
      <w:r>
        <w:rPr>
          <w:rFonts w:hint="eastAsia"/>
          <w:b/>
        </w:rPr>
        <w:t>第五十四条</w:t>
      </w:r>
      <w:r>
        <w:rPr>
          <w:rFonts w:hint="eastAsia"/>
        </w:rPr>
        <w:t>　本办法规定的行政处罚，由本办法第三条规定的管理机关决定。对农村村民非法占用土地建住宅的行政处罚，可以由乡（镇）人民政府决定。当事人对行政处罚决定不服的，可以在接到处罚决定通知书之日起</w:t>
      </w:r>
      <w:r>
        <w:rPr>
          <w:rFonts w:hint="eastAsia" w:ascii="宋体" w:hAnsi="宋体" w:eastAsia="宋体" w:cs="宋体"/>
        </w:rPr>
        <w:t>15日内向作出决定机关的上一级机关申请复议。复议机关应当在收到复议申请书之日起两个月内作出复议决定。当事人对复议决定不服的，可以在接到复议决定书之日起15日内向人民法院起诉。</w:t>
      </w:r>
      <w:r>
        <w:rPr>
          <w:rFonts w:hint="eastAsia"/>
        </w:rPr>
        <w:t>当事人也可以直接向人民法院起诉。逾期不申请复议、不起诉又不履行的，由作出决定的机关申请人民法院强制执行。</w:t>
      </w:r>
    </w:p>
    <w:p w14:paraId="3ADCF715">
      <w:r>
        <w:rPr>
          <w:rFonts w:hint="eastAsia"/>
        </w:rPr>
        <w:t>依法受到限期拆除新建筑物和其他设施的处罚的单位和个人，在施工程，必须立即停止施工。对继续施工的，作出处罚决定的机关有权对继续施工的设备、建筑材料予以查封。</w:t>
      </w:r>
    </w:p>
    <w:p w14:paraId="192DF307">
      <w:pPr>
        <w:ind w:firstLine="422"/>
      </w:pPr>
      <w:r>
        <w:rPr>
          <w:rFonts w:hint="eastAsia"/>
          <w:b/>
        </w:rPr>
        <w:t>第五十五条</w:t>
      </w:r>
      <w:r>
        <w:rPr>
          <w:rFonts w:hint="eastAsia"/>
        </w:rPr>
        <w:t>　侵犯土地的所有权或者使用权的，由本办法第三条规定的管理机关责令停止侵犯，赔偿损失。当事人对处理决定不服的，可以在接到处理决定通知之日</w:t>
      </w:r>
      <w:r>
        <w:rPr>
          <w:rFonts w:hint="eastAsia" w:ascii="宋体" w:hAnsi="宋体" w:eastAsia="宋体" w:cs="宋体"/>
        </w:rPr>
        <w:t>起30日</w:t>
      </w:r>
      <w:r>
        <w:rPr>
          <w:rFonts w:hint="eastAsia"/>
        </w:rPr>
        <w:t>内向人民法院起诉。被侵权人也可以直接向人民法院起诉；侵权人在法定期限内不起诉又不履行的，被侵权人可以申请人民法院强制执行。</w:t>
      </w:r>
    </w:p>
    <w:p w14:paraId="066C9829">
      <w:pPr>
        <w:ind w:firstLine="422"/>
      </w:pPr>
      <w:r>
        <w:rPr>
          <w:rFonts w:hint="eastAsia"/>
          <w:b/>
        </w:rPr>
        <w:t>第五十六条</w:t>
      </w:r>
      <w:r>
        <w:rPr>
          <w:rFonts w:hint="eastAsia"/>
        </w:rPr>
        <w:t>　在变更土地的所有权、使用权和解决土地所有权、使用权争议的过程中，行贿、受贿、敲诈勒索、贪污、盗窃国家和集体的财物，或者煽动群众闹事、阻挠国家建设的，给予行政处分或者依法给予行政处罚；构成犯罪的，依法追究刑事责任。</w:t>
      </w:r>
    </w:p>
    <w:p w14:paraId="1FA4A9FF">
      <w:pPr>
        <w:ind w:firstLine="422"/>
      </w:pPr>
      <w:r>
        <w:rPr>
          <w:rFonts w:hint="eastAsia"/>
          <w:b/>
        </w:rPr>
        <w:t>第五十七条</w:t>
      </w:r>
      <w:r>
        <w:rPr>
          <w:rFonts w:hint="eastAsia"/>
        </w:rPr>
        <w:t>　拒绝、阻碍土地管理工作人员依法执行职务的，依照《中华人民共和国治安管理处罚条例》处罚；构成犯罪的，依法追究刑事责任。</w:t>
      </w:r>
    </w:p>
    <w:p w14:paraId="1713FAC8"/>
    <w:p w14:paraId="1E4F666F">
      <w:pPr>
        <w:ind w:firstLine="0" w:firstLineChars="0"/>
        <w:jc w:val="center"/>
        <w:rPr>
          <w:b/>
          <w:sz w:val="28"/>
        </w:rPr>
      </w:pPr>
      <w:r>
        <w:rPr>
          <w:rFonts w:hint="eastAsia"/>
          <w:b/>
          <w:sz w:val="28"/>
        </w:rPr>
        <w:t>第七章　附　则</w:t>
      </w:r>
    </w:p>
    <w:p w14:paraId="2C9AB449"/>
    <w:p w14:paraId="5746DAD6">
      <w:pPr>
        <w:ind w:firstLine="422"/>
      </w:pPr>
      <w:r>
        <w:rPr>
          <w:rFonts w:hint="eastAsia"/>
          <w:b/>
        </w:rPr>
        <w:t>第五十八条</w:t>
      </w:r>
      <w:r>
        <w:rPr>
          <w:rFonts w:hint="eastAsia"/>
        </w:rPr>
        <w:t>　中外合资经营企业、中外合作经营企业、外资企业使用土地的管理办法，另行规定。</w:t>
      </w:r>
    </w:p>
    <w:p w14:paraId="37A93BC8">
      <w:pPr>
        <w:ind w:firstLine="422"/>
      </w:pPr>
      <w:r>
        <w:rPr>
          <w:rFonts w:hint="eastAsia"/>
          <w:b/>
        </w:rPr>
        <w:t>第五十九条</w:t>
      </w:r>
      <w:r>
        <w:rPr>
          <w:rFonts w:hint="eastAsia"/>
        </w:rPr>
        <w:t>　本办法具体应用中的问题，由市土地管理局负责解释。</w:t>
      </w:r>
    </w:p>
    <w:p w14:paraId="5BAFF3C0">
      <w:pPr>
        <w:ind w:firstLine="422"/>
      </w:pPr>
      <w:r>
        <w:rPr>
          <w:rFonts w:hint="eastAsia"/>
          <w:b/>
        </w:rPr>
        <w:t>第六十条</w:t>
      </w:r>
      <w:r>
        <w:rPr>
          <w:rFonts w:hint="eastAsia"/>
        </w:rPr>
        <w:t>　本办</w:t>
      </w:r>
      <w:r>
        <w:rPr>
          <w:rFonts w:hint="eastAsia" w:ascii="宋体" w:hAnsi="宋体" w:eastAsia="宋体" w:cs="宋体"/>
        </w:rPr>
        <w:t>法自1991年6月1日起施行。1984年12月3日</w:t>
      </w:r>
      <w:r>
        <w:rPr>
          <w:rFonts w:hint="eastAsia"/>
        </w:rPr>
        <w:t>市八届人民代表大会常务委员会公布的《北京市农村建房用地管理暂行办法》同时废止。本市过去有关土地管理的规定，凡与本办法抵触的，均按照本办法执行。</w:t>
      </w:r>
    </w:p>
    <w:p w14:paraId="7587BF7F">
      <w:pPr>
        <w:pStyle w:val="4"/>
        <w:pageBreakBefore/>
      </w:pPr>
      <w:bookmarkStart w:id="2521" w:name="_Toc426467147"/>
      <w:bookmarkStart w:id="2522" w:name="_Toc428781895"/>
      <w:bookmarkStart w:id="2523" w:name="_Toc428780737"/>
      <w:r>
        <w:rPr>
          <w:rFonts w:hint="eastAsia"/>
        </w:rPr>
        <w:t>北京市实施《中华人民共和国矿山安全法》办法</w:t>
      </w:r>
      <w:bookmarkEnd w:id="2521"/>
      <w:bookmarkEnd w:id="2522"/>
      <w:bookmarkEnd w:id="2523"/>
    </w:p>
    <w:p w14:paraId="083842E1">
      <w:pPr>
        <w:ind w:left="630" w:leftChars="300" w:right="630" w:rightChars="300"/>
        <w:rPr>
          <w:rFonts w:ascii="楷体" w:hAnsi="楷体" w:eastAsia="楷体"/>
        </w:rPr>
      </w:pPr>
      <w:r>
        <w:rPr>
          <w:rFonts w:hint="eastAsia" w:ascii="楷体" w:hAnsi="楷体" w:eastAsia="楷体"/>
        </w:rPr>
        <w:t>（1993年11月26日北京市第十届人民代表大会常务委员会第七次会议通过　根据1997年9月4日北京市第十届人民代表大会常务委员会第三十九次会议《关于修改〈北京市实施中华人民共和国矿山安全法办法〉的决定》修正　根据2001年5月18日北京市第十一届人民代表大会常务委员会第二十六次会议通过的《北京市实施中华人民共和国矿山安全法办法修正案》修订）</w:t>
      </w:r>
    </w:p>
    <w:p w14:paraId="0558B3B6"/>
    <w:p w14:paraId="74B0AF81">
      <w:pPr>
        <w:ind w:firstLine="422"/>
      </w:pPr>
      <w:r>
        <w:rPr>
          <w:rFonts w:hint="eastAsia"/>
          <w:b/>
        </w:rPr>
        <w:t>第一条</w:t>
      </w:r>
      <w:r>
        <w:rPr>
          <w:rFonts w:hint="eastAsia"/>
        </w:rPr>
        <w:t xml:space="preserve">  为了保障矿山生产安全，防止矿山事故，保护矿山职工人身安全，促进采矿业的发展，根据《中华人民共和国矿山安全法》（以下简称《矿山安全法》）和《中华人民共和国矿山安全法实施条例》（以下简称《实施条例》），结合北京市实际情况，制定本办法。</w:t>
      </w:r>
    </w:p>
    <w:p w14:paraId="1EF628EA">
      <w:pPr>
        <w:ind w:firstLine="422"/>
      </w:pPr>
      <w:r>
        <w:rPr>
          <w:rFonts w:hint="eastAsia"/>
          <w:b/>
        </w:rPr>
        <w:t>第二条</w:t>
      </w:r>
      <w:r>
        <w:rPr>
          <w:rFonts w:hint="eastAsia"/>
        </w:rPr>
        <w:t xml:space="preserve">  在本市行政区域内从事矿产资源开采活动的矿山企业、其他经济组织及个体采矿（以下统称矿山企业），必须遵守《矿山安全法》、《实施条例》和本办法。</w:t>
      </w:r>
    </w:p>
    <w:p w14:paraId="4572BDE6">
      <w:pPr>
        <w:ind w:firstLine="422"/>
      </w:pPr>
      <w:r>
        <w:rPr>
          <w:rFonts w:hint="eastAsia"/>
          <w:b/>
        </w:rPr>
        <w:t>第三条</w:t>
      </w:r>
      <w:r>
        <w:rPr>
          <w:rFonts w:hint="eastAsia"/>
        </w:rPr>
        <w:t xml:space="preserve">  市和区、县经济行政主管部门按照《矿山安全法》、《实施条例》的规定和市人民政府确定的职责，对本行政区域内的矿山安全工作实施统一监督。</w:t>
      </w:r>
    </w:p>
    <w:p w14:paraId="1B1108A0">
      <w:pPr>
        <w:ind w:firstLine="422"/>
      </w:pPr>
      <w:r>
        <w:rPr>
          <w:rFonts w:hint="eastAsia"/>
          <w:b/>
        </w:rPr>
        <w:t>第四条</w:t>
      </w:r>
      <w:r>
        <w:rPr>
          <w:rFonts w:hint="eastAsia"/>
        </w:rPr>
        <w:t xml:space="preserve">  市和区、县经济行政主管部门根据矿山安全监督工作的需要，配备有矿山安全生产专业知识和矿山安全工作经验的矿山安全监督人员。</w:t>
      </w:r>
    </w:p>
    <w:p w14:paraId="550D85CF">
      <w:r>
        <w:rPr>
          <w:rFonts w:hint="eastAsia"/>
        </w:rPr>
        <w:t>安全监督人员凭其执法证件在所负责的范围内，有权进入矿山现场检查安全状况；有权参加矿山企业召开的有关会议，调阅有关资料，向有关人员了解情况；发现不安全因素或者隐患，有权要求立即改正或者限期改正；遇有危及安全的紧急情况，有权要求矿山企业现场指挥人员立即从危险区内撤出作业人员。</w:t>
      </w:r>
    </w:p>
    <w:p w14:paraId="6B0158A5">
      <w:r>
        <w:rPr>
          <w:rFonts w:hint="eastAsia"/>
        </w:rPr>
        <w:t>矿山企业拒绝矿山安全监督人员现场检查或者在被检查时隐瞒事故隐患、不如实反映情况的，由市和区、县经济行政主管部门按照《矿山安全法》第四十条的规定处理。处以罚款的，罚款数额为</w:t>
      </w:r>
      <w:r>
        <w:rPr>
          <w:rFonts w:hint="eastAsia" w:ascii="宋体" w:hAnsi="宋体" w:eastAsia="宋体" w:cs="宋体"/>
        </w:rPr>
        <w:t>2</w:t>
      </w:r>
      <w:r>
        <w:rPr>
          <w:rFonts w:hint="eastAsia"/>
        </w:rPr>
        <w:t>万元以下。</w:t>
      </w:r>
    </w:p>
    <w:p w14:paraId="61AC8C3C">
      <w:pPr>
        <w:ind w:firstLine="422"/>
      </w:pPr>
      <w:r>
        <w:rPr>
          <w:rFonts w:hint="eastAsia"/>
          <w:b/>
        </w:rPr>
        <w:t>第五条</w:t>
      </w:r>
      <w:r>
        <w:rPr>
          <w:rFonts w:hint="eastAsia"/>
        </w:rPr>
        <w:t xml:space="preserve">  市和区、县人民政府确定的管理矿山企业的主管部门按照《矿山安全法》、《实施条例》的规定和下列职责，对本行业、本系统矿山安全工作进行管理：</w:t>
      </w:r>
    </w:p>
    <w:p w14:paraId="3FC09C55">
      <w:bookmarkStart w:id="2524" w:name="_Toc428780738"/>
      <w:r>
        <w:rPr>
          <w:rFonts w:hint="eastAsia"/>
        </w:rPr>
        <w:t>（一）制定本行业、本系统矿山企业安全生产操作规程；</w:t>
      </w:r>
      <w:bookmarkEnd w:id="2524"/>
    </w:p>
    <w:p w14:paraId="6FFADE7B">
      <w:r>
        <w:rPr>
          <w:rFonts w:hint="eastAsia"/>
        </w:rPr>
        <w:t>（二）检查、督促矿山建设工程施工、开采的作业规程和安全技术措施的制定和实施；</w:t>
      </w:r>
    </w:p>
    <w:p w14:paraId="4244E6C6">
      <w:bookmarkStart w:id="2525" w:name="_Toc428780739"/>
      <w:r>
        <w:rPr>
          <w:rFonts w:hint="eastAsia"/>
        </w:rPr>
        <w:t>（三）检查、督促矿山事故隐患防范措施的制定和落实；</w:t>
      </w:r>
      <w:bookmarkEnd w:id="2525"/>
    </w:p>
    <w:p w14:paraId="7E5DB6D6">
      <w:r>
        <w:rPr>
          <w:rFonts w:hint="eastAsia"/>
        </w:rPr>
        <w:t>（四）检查、督促矿山安全技术措施专项费用的提取和使用；</w:t>
      </w:r>
    </w:p>
    <w:p w14:paraId="4E45AD60">
      <w:r>
        <w:rPr>
          <w:rFonts w:hint="eastAsia"/>
        </w:rPr>
        <w:t>（五）组织本系统的矿山抢险、救护工作。</w:t>
      </w:r>
    </w:p>
    <w:p w14:paraId="4A7A5F4D">
      <w:pPr>
        <w:ind w:firstLine="422"/>
      </w:pPr>
      <w:r>
        <w:rPr>
          <w:rFonts w:hint="eastAsia"/>
          <w:b/>
        </w:rPr>
        <w:t>第六条</w:t>
      </w:r>
      <w:r>
        <w:rPr>
          <w:rFonts w:hint="eastAsia"/>
        </w:rPr>
        <w:t xml:space="preserve">  乡、镇人民政府负责本乡、镇矿山企业安全工作的监督管理，履行下列职责：</w:t>
      </w:r>
    </w:p>
    <w:p w14:paraId="638BED14">
      <w:bookmarkStart w:id="2526" w:name="_Toc428780740"/>
      <w:r>
        <w:rPr>
          <w:rFonts w:hint="eastAsia"/>
        </w:rPr>
        <w:t>（一）检查、督促乡、镇矿山企业贯彻执行矿山安全法律、法规；</w:t>
      </w:r>
      <w:bookmarkEnd w:id="2526"/>
    </w:p>
    <w:p w14:paraId="0C3362F7">
      <w:r>
        <w:rPr>
          <w:rFonts w:hint="eastAsia"/>
        </w:rPr>
        <w:t>（二）检查、督促乡、镇矿山企业对职工进行安全教育和培训；</w:t>
      </w:r>
    </w:p>
    <w:p w14:paraId="481BC658">
      <w:r>
        <w:rPr>
          <w:rFonts w:hint="eastAsia"/>
        </w:rPr>
        <w:t>（三）检查、督促乡、镇矿山企业矿山建设工程施工、开采的作业规程和安全技术措施的制定和实施；</w:t>
      </w:r>
    </w:p>
    <w:p w14:paraId="2BBE7791">
      <w:bookmarkStart w:id="2527" w:name="_Toc428780741"/>
      <w:r>
        <w:rPr>
          <w:rFonts w:hint="eastAsia"/>
        </w:rPr>
        <w:t>（四）组织乡、镇矿山企业制定矿山事故隐患的防范措施；</w:t>
      </w:r>
      <w:bookmarkEnd w:id="2527"/>
    </w:p>
    <w:p w14:paraId="15E08E0E">
      <w:r>
        <w:rPr>
          <w:rFonts w:hint="eastAsia"/>
        </w:rPr>
        <w:t>（五）检查、督促乡、镇矿山企业按照规定及时、如数提取和使用安全技术措施专项费用；</w:t>
      </w:r>
    </w:p>
    <w:p w14:paraId="03B661FA">
      <w:r>
        <w:rPr>
          <w:rFonts w:hint="eastAsia"/>
        </w:rPr>
        <w:t>（六）督促乡、镇矿山企业定期检查、维修安全检测仪器、机电设备及其防护装置；</w:t>
      </w:r>
    </w:p>
    <w:p w14:paraId="1B9D504B">
      <w:bookmarkStart w:id="2528" w:name="_Toc428780742"/>
      <w:r>
        <w:rPr>
          <w:rFonts w:hint="eastAsia"/>
        </w:rPr>
        <w:t>（七）组织本乡、镇矿山安全联合抢险、救护工作；</w:t>
      </w:r>
      <w:bookmarkEnd w:id="2528"/>
    </w:p>
    <w:p w14:paraId="299DEF22">
      <w:r>
        <w:rPr>
          <w:rFonts w:hint="eastAsia"/>
        </w:rPr>
        <w:t>（八）参加本乡、镇矿山事故的调查处理。</w:t>
      </w:r>
    </w:p>
    <w:p w14:paraId="697CE117">
      <w:r>
        <w:rPr>
          <w:rFonts w:hint="eastAsia"/>
        </w:rPr>
        <w:t>矿点较多或者以采矿收益为主的乡、镇，必须有一名乡、镇级领导主管矿山安全工作。</w:t>
      </w:r>
    </w:p>
    <w:p w14:paraId="7CEE97F3">
      <w:pPr>
        <w:ind w:firstLine="422"/>
      </w:pPr>
      <w:r>
        <w:rPr>
          <w:rFonts w:hint="eastAsia"/>
          <w:b/>
        </w:rPr>
        <w:t>第七条</w:t>
      </w:r>
      <w:r>
        <w:rPr>
          <w:rFonts w:hint="eastAsia"/>
        </w:rPr>
        <w:t xml:space="preserve">  大型矿山企业和矿点较多的区、县人民政府管理矿山企业的主管部门，应当建立专业矿山抢险救护队，负责矿山重大安全事故的抢险救护。</w:t>
      </w:r>
    </w:p>
    <w:p w14:paraId="463B54AD">
      <w:pPr>
        <w:ind w:firstLine="422"/>
      </w:pPr>
      <w:r>
        <w:rPr>
          <w:rFonts w:hint="eastAsia"/>
          <w:b/>
        </w:rPr>
        <w:t>第八条</w:t>
      </w:r>
      <w:r>
        <w:rPr>
          <w:rFonts w:hint="eastAsia"/>
        </w:rPr>
        <w:t xml:space="preserve">  矿长、矿山企业的负责人（以下统称矿长），对本矿山企业安全生产负责。</w:t>
      </w:r>
    </w:p>
    <w:p w14:paraId="3BAB847F">
      <w:r>
        <w:rPr>
          <w:rFonts w:hint="eastAsia"/>
        </w:rPr>
        <w:t>矿长必须取得安全资格证书，方可任职工作。对任用不具备安全专业知识的矿长的矿山企业，由市经济行政主管部门或者区、县经济行政主管部门责令限期改正；逾期不改正的，提请区、县以上人民政府决定责令停产，调整配备合格人员后方可恢复生产。</w:t>
      </w:r>
    </w:p>
    <w:p w14:paraId="2C26E8E3">
      <w:r>
        <w:rPr>
          <w:rFonts w:hint="eastAsia"/>
        </w:rPr>
        <w:t>管理矿山企业的主管部门负责矿长的安全资格培训、考核和发证。培训内容和考核标准，会同市经济行政主管部门共同制定，颁发矿长安全资格证书必须分别报市经济行政主管部门或者区、县经济行政主管部门备案。</w:t>
      </w:r>
    </w:p>
    <w:p w14:paraId="367EB7B4">
      <w:r>
        <w:rPr>
          <w:rFonts w:hint="eastAsia"/>
        </w:rPr>
        <w:t>市和区、县经济行政主管部门监督检查矿长安全资格培训、考核和发证工作。对不按照规定进行矿长安全资格培训、考核、发证和备案的管理矿山企业的主管部门，责令限期改正。对直接责任人员及其主管人员，可以提请其所在单位或者上级主管机关给予行政处分。</w:t>
      </w:r>
    </w:p>
    <w:p w14:paraId="79792DE6">
      <w:pPr>
        <w:ind w:firstLine="422"/>
      </w:pPr>
      <w:r>
        <w:rPr>
          <w:rFonts w:hint="eastAsia"/>
          <w:b/>
        </w:rPr>
        <w:t>第九条</w:t>
      </w:r>
      <w:r>
        <w:rPr>
          <w:rFonts w:hint="eastAsia"/>
        </w:rPr>
        <w:t xml:space="preserve">  矿山企业工会依法维护职工的合法权益，组织职工对矿山安全工作进行监督：</w:t>
      </w:r>
    </w:p>
    <w:p w14:paraId="112695B2">
      <w:r>
        <w:rPr>
          <w:rFonts w:hint="eastAsia"/>
        </w:rPr>
        <w:t>（一）发现矿山企业违反有关矿山安全的法律、法规，有权要求企业行政方面或者有关部门认真处理；</w:t>
      </w:r>
    </w:p>
    <w:p w14:paraId="0581BCD8">
      <w:r>
        <w:rPr>
          <w:rFonts w:hint="eastAsia"/>
        </w:rPr>
        <w:t>（二）矿山企业召开讨论有关安全生产的会议，应当有工会代表参加，并有权提出意见和建议；</w:t>
      </w:r>
    </w:p>
    <w:p w14:paraId="1CBA9EB0">
      <w:r>
        <w:rPr>
          <w:rFonts w:hint="eastAsia"/>
        </w:rPr>
        <w:t>（三）发现违章指挥，强令职工冒险作业或者生产过程中发现明显重大事故隐患和职业危害，有权要求行政方面及时解决；</w:t>
      </w:r>
    </w:p>
    <w:p w14:paraId="3818CEF0">
      <w:r>
        <w:rPr>
          <w:rFonts w:hint="eastAsia"/>
        </w:rPr>
        <w:t>（四）发现危及职工生命安全的紧急情况时，有权要求企业现场指挥人员立即组织职工撤离危险现场。</w:t>
      </w:r>
    </w:p>
    <w:p w14:paraId="765392E1">
      <w:r>
        <w:rPr>
          <w:rFonts w:hint="eastAsia"/>
        </w:rPr>
        <w:t>职工代表大会对企业的安全工作进行监督。矿长应当定期向职工代表大会或者职工大会报告安全工作，每年不少于一次。</w:t>
      </w:r>
    </w:p>
    <w:p w14:paraId="5EAB034F">
      <w:r>
        <w:rPr>
          <w:rFonts w:hint="eastAsia"/>
        </w:rPr>
        <w:t>乡、镇矿山企业应当建立职工安全监督组织，依照前两款规定，组织职工对矿山安全工作进行监督。</w:t>
      </w:r>
    </w:p>
    <w:p w14:paraId="598486F3">
      <w:pPr>
        <w:ind w:firstLine="422"/>
      </w:pPr>
      <w:r>
        <w:rPr>
          <w:rFonts w:hint="eastAsia"/>
          <w:b/>
        </w:rPr>
        <w:t>第十条</w:t>
      </w:r>
      <w:r>
        <w:rPr>
          <w:rFonts w:hint="eastAsia"/>
        </w:rPr>
        <w:t xml:space="preserve">  矿山职工享有以下权利：</w:t>
      </w:r>
    </w:p>
    <w:p w14:paraId="6117CD8B">
      <w:bookmarkStart w:id="2529" w:name="_Toc428780743"/>
      <w:r>
        <w:rPr>
          <w:rFonts w:hint="eastAsia"/>
        </w:rPr>
        <w:t>（一）有权拒绝接受违章指挥，制止他人违章作业；</w:t>
      </w:r>
      <w:bookmarkEnd w:id="2529"/>
    </w:p>
    <w:p w14:paraId="1AB2FF8A">
      <w:r>
        <w:rPr>
          <w:rFonts w:hint="eastAsia"/>
        </w:rPr>
        <w:t>（二）对于领导人或者上级单位危害安全的决定和行为，提出批评、检举和控告；</w:t>
      </w:r>
    </w:p>
    <w:p w14:paraId="2C30FA87">
      <w:bookmarkStart w:id="2530" w:name="_Toc428780744"/>
      <w:r>
        <w:rPr>
          <w:rFonts w:hint="eastAsia"/>
        </w:rPr>
        <w:t>（三）按照规定领取和使用保障安全生产所需的劳动防护用品；</w:t>
      </w:r>
      <w:bookmarkEnd w:id="2530"/>
    </w:p>
    <w:p w14:paraId="375580EF">
      <w:r>
        <w:rPr>
          <w:rFonts w:hint="eastAsia"/>
        </w:rPr>
        <w:t>（四）参加保障安全生产的技术革新活动，提出改善劳动条件的合理化建议。</w:t>
      </w:r>
    </w:p>
    <w:p w14:paraId="23651BA3">
      <w:r>
        <w:rPr>
          <w:rFonts w:hint="eastAsia"/>
        </w:rPr>
        <w:t>矿山职工履行以下义务：</w:t>
      </w:r>
    </w:p>
    <w:p w14:paraId="1024932D">
      <w:bookmarkStart w:id="2531" w:name="_Toc428780745"/>
      <w:r>
        <w:rPr>
          <w:rFonts w:hint="eastAsia"/>
        </w:rPr>
        <w:t>（一）遵守有关矿山安全法律、法规和企业规章制度；</w:t>
      </w:r>
      <w:bookmarkEnd w:id="2531"/>
    </w:p>
    <w:p w14:paraId="7C8129F8">
      <w:r>
        <w:rPr>
          <w:rFonts w:hint="eastAsia"/>
        </w:rPr>
        <w:t>（二）维护矿山安全生产设备、设施；</w:t>
      </w:r>
    </w:p>
    <w:p w14:paraId="558ED7B7">
      <w:r>
        <w:rPr>
          <w:rFonts w:hint="eastAsia"/>
        </w:rPr>
        <w:t>（三）及时报告危险情况，参加抢险救护。</w:t>
      </w:r>
    </w:p>
    <w:p w14:paraId="4BF31DCF">
      <w:pPr>
        <w:ind w:firstLine="422"/>
      </w:pPr>
      <w:r>
        <w:rPr>
          <w:rFonts w:hint="eastAsia"/>
          <w:b/>
        </w:rPr>
        <w:t>第十一条</w:t>
      </w:r>
      <w:r>
        <w:rPr>
          <w:rFonts w:hint="eastAsia"/>
        </w:rPr>
        <w:t xml:space="preserve">  矿山企业的新建、扩建和技术改造工程的安全设施必须与主体工程同时设计、同时施工、同时投入生产和使用。</w:t>
      </w:r>
    </w:p>
    <w:p w14:paraId="74AB9803">
      <w:r>
        <w:rPr>
          <w:rFonts w:hint="eastAsia"/>
        </w:rPr>
        <w:t>矿山建设工程安全设施的设计未经批准擅自施工的，由管理矿山企业的主管部门责令停止施工；拒不执行的，由管理矿山企业的主管部门提请区、县以上人民政府决定由有关行政主管部门吊销其采矿许可证和营业执照。</w:t>
      </w:r>
    </w:p>
    <w:p w14:paraId="419B8507">
      <w:pPr>
        <w:rPr>
          <w:rFonts w:hint="eastAsia" w:ascii="宋体" w:hAnsi="宋体" w:eastAsia="宋体" w:cs="宋体"/>
        </w:rPr>
      </w:pPr>
      <w:r>
        <w:rPr>
          <w:rFonts w:hint="eastAsia"/>
        </w:rPr>
        <w:t>矿山建设工程的安全</w:t>
      </w:r>
      <w:r>
        <w:rPr>
          <w:rFonts w:hint="eastAsia" w:ascii="宋体" w:hAnsi="宋体" w:eastAsia="宋体" w:cs="宋体"/>
        </w:rPr>
        <w:t>设施未经验收或者验收不合格擅自投入生产的，按照《矿山安全法》第四十三条的规定处罚。处以罚款的，罚款数额为10万元以下。</w:t>
      </w:r>
    </w:p>
    <w:p w14:paraId="4A1858C9">
      <w:pPr>
        <w:ind w:firstLine="422"/>
        <w:rPr>
          <w:rFonts w:hint="eastAsia" w:ascii="宋体" w:hAnsi="宋体" w:eastAsia="宋体" w:cs="宋体"/>
        </w:rPr>
      </w:pPr>
      <w:r>
        <w:rPr>
          <w:rFonts w:hint="eastAsia" w:ascii="宋体" w:hAnsi="宋体" w:eastAsia="宋体" w:cs="宋体"/>
          <w:b/>
        </w:rPr>
        <w:t>第十二条</w:t>
      </w:r>
      <w:r>
        <w:rPr>
          <w:rFonts w:hint="eastAsia" w:ascii="宋体" w:hAnsi="宋体" w:eastAsia="宋体" w:cs="宋体"/>
        </w:rPr>
        <w:t xml:space="preserve">  矿山开采必须按照《矿山安全法》和《实施条例》的规定，具备保障安全生产的条件。</w:t>
      </w:r>
    </w:p>
    <w:p w14:paraId="5D58512A">
      <w:pPr>
        <w:rPr>
          <w:rFonts w:hint="eastAsia" w:ascii="宋体" w:hAnsi="宋体" w:eastAsia="宋体" w:cs="宋体"/>
        </w:rPr>
      </w:pPr>
      <w:r>
        <w:rPr>
          <w:rFonts w:hint="eastAsia" w:ascii="宋体" w:hAnsi="宋体" w:eastAsia="宋体" w:cs="宋体"/>
        </w:rPr>
        <w:t>对不具备安全生产条件而投入生产的矿山企业，按照《矿山安全法》第四十四条和《实施条例》第五十四条的规定处理。</w:t>
      </w:r>
    </w:p>
    <w:p w14:paraId="7937FC8E">
      <w:pPr>
        <w:ind w:firstLine="422"/>
        <w:rPr>
          <w:rFonts w:hint="eastAsia" w:ascii="宋体" w:hAnsi="宋体" w:eastAsia="宋体" w:cs="宋体"/>
        </w:rPr>
      </w:pPr>
      <w:r>
        <w:rPr>
          <w:rFonts w:hint="eastAsia" w:ascii="宋体" w:hAnsi="宋体" w:eastAsia="宋体" w:cs="宋体"/>
          <w:b/>
        </w:rPr>
        <w:t>第十三条</w:t>
      </w:r>
      <w:r>
        <w:rPr>
          <w:rFonts w:hint="eastAsia" w:ascii="宋体" w:hAnsi="宋体" w:eastAsia="宋体" w:cs="宋体"/>
        </w:rPr>
        <w:t xml:space="preserve">  矿山的建设和开采，必须遵守国家主管部门制定的矿山安全规程、行业技术规范和管理矿山企业的主管部门制定的安全生产操作规程。</w:t>
      </w:r>
    </w:p>
    <w:p w14:paraId="3231EF36">
      <w:pPr>
        <w:rPr>
          <w:rFonts w:hint="eastAsia" w:ascii="宋体" w:hAnsi="宋体" w:eastAsia="宋体" w:cs="宋体"/>
        </w:rPr>
      </w:pPr>
      <w:r>
        <w:rPr>
          <w:rFonts w:hint="eastAsia" w:ascii="宋体" w:hAnsi="宋体" w:eastAsia="宋体" w:cs="宋体"/>
        </w:rPr>
        <w:t>矿山企业进行矿山建设工程施工、开采作业，必须制定作业规程及保障作业人员安全的技术和组织措施。在地质条件复杂或者特殊环境等情况下施工或者开采作业，必须编制专门设计，报经管理矿山企业主管部门批准。</w:t>
      </w:r>
    </w:p>
    <w:p w14:paraId="3EA2ACAA">
      <w:pPr>
        <w:rPr>
          <w:rFonts w:hint="eastAsia" w:ascii="宋体" w:hAnsi="宋体" w:eastAsia="宋体" w:cs="宋体"/>
        </w:rPr>
      </w:pPr>
      <w:r>
        <w:rPr>
          <w:rFonts w:hint="eastAsia" w:ascii="宋体" w:hAnsi="宋体" w:eastAsia="宋体" w:cs="宋体"/>
        </w:rPr>
        <w:t>矿山企业越界开采造成其他矿山企业伤亡事故的，应当赔偿因伤亡事故造成的经济损失，市和区、县经济行政主管部门按照有关规定给予处罚。</w:t>
      </w:r>
    </w:p>
    <w:p w14:paraId="0BEBB1F9">
      <w:pPr>
        <w:ind w:firstLine="422"/>
        <w:rPr>
          <w:rFonts w:hint="eastAsia" w:ascii="宋体" w:hAnsi="宋体" w:eastAsia="宋体" w:cs="宋体"/>
        </w:rPr>
      </w:pPr>
      <w:r>
        <w:rPr>
          <w:rFonts w:hint="eastAsia" w:ascii="宋体" w:hAnsi="宋体" w:eastAsia="宋体" w:cs="宋体"/>
          <w:b/>
        </w:rPr>
        <w:t>第十四条</w:t>
      </w:r>
      <w:r>
        <w:rPr>
          <w:rFonts w:hint="eastAsia" w:ascii="宋体" w:hAnsi="宋体" w:eastAsia="宋体" w:cs="宋体"/>
        </w:rPr>
        <w:t>　矿山企业必须对职工进行安全教育、培训。新入矿的工人安全教育、培训时间，井下工人不得少于72小时，露天矿工人不得少于40小时，经考试合格后，方可上岗作业。培训期间发给生活费。调换工种和采用</w:t>
      </w:r>
      <w:r>
        <w:rPr>
          <w:rFonts w:hint="eastAsia"/>
        </w:rPr>
        <w:t>新工艺作业的人员必须重新培训，经考试合格后，方可上岗作业。所有生产作业人员在职安全教育、培训的时间，每年</w:t>
      </w:r>
      <w:r>
        <w:rPr>
          <w:rFonts w:hint="eastAsia" w:ascii="宋体" w:hAnsi="宋体" w:eastAsia="宋体" w:cs="宋体"/>
        </w:rPr>
        <w:t>不得少于20小时。</w:t>
      </w:r>
    </w:p>
    <w:p w14:paraId="6FB50C14">
      <w:pPr>
        <w:rPr>
          <w:rFonts w:hint="eastAsia" w:ascii="宋体" w:hAnsi="宋体" w:eastAsia="宋体" w:cs="宋体"/>
        </w:rPr>
      </w:pPr>
      <w:r>
        <w:rPr>
          <w:rFonts w:hint="eastAsia" w:ascii="宋体" w:hAnsi="宋体" w:eastAsia="宋体" w:cs="宋体"/>
        </w:rPr>
        <w:t>未对矿山职工进行安全教育、培训或者未达到规定培训时间、考试不合格上岗作业的，按照《矿山安全法》第四十条的规定处理。处以罚款的，罚款数额为4万元以下。</w:t>
      </w:r>
    </w:p>
    <w:p w14:paraId="6E2CAA45">
      <w:pPr>
        <w:ind w:firstLine="422"/>
      </w:pPr>
      <w:r>
        <w:rPr>
          <w:rFonts w:hint="eastAsia"/>
          <w:b/>
        </w:rPr>
        <w:t>第十五条</w:t>
      </w:r>
      <w:r>
        <w:rPr>
          <w:rFonts w:hint="eastAsia"/>
        </w:rPr>
        <w:t>　矿山企业的特种作业人员必须接受专门技术培训，经考核合格取得操作资格证书后，方可上岗作业。考核发证工作按照国家和市人民政府的有关规定执行。</w:t>
      </w:r>
    </w:p>
    <w:p w14:paraId="4035F459">
      <w:r>
        <w:rPr>
          <w:rFonts w:hint="eastAsia"/>
        </w:rPr>
        <w:t>特种作业人员无证上岗作业的，由市和区、县经济行政主管部门责令限期改正；逾期不改正的，提请区县以上人民政府决定停产，调整配备合格人员后，方可恢复生产。</w:t>
      </w:r>
    </w:p>
    <w:p w14:paraId="3710C32F">
      <w:pPr>
        <w:ind w:firstLine="422"/>
      </w:pPr>
      <w:r>
        <w:rPr>
          <w:rFonts w:hint="eastAsia"/>
          <w:b/>
        </w:rPr>
        <w:t>第十六条</w:t>
      </w:r>
      <w:r>
        <w:rPr>
          <w:rFonts w:hint="eastAsia"/>
        </w:rPr>
        <w:t>　矿山使用的有特殊安全要求的设备、器材、防护用品和安全检测仪器，必须符合国家安全标准或者行业安全标准。对机电设备及其防护装置、安全检测仪器必须建立维修、检测制度，定期进行检查、维修和检测。</w:t>
      </w:r>
    </w:p>
    <w:p w14:paraId="7EEC2169">
      <w:pPr>
        <w:rPr>
          <w:rFonts w:hint="eastAsia" w:ascii="宋体" w:hAnsi="宋体" w:eastAsia="宋体" w:cs="宋体"/>
        </w:rPr>
      </w:pPr>
      <w:r>
        <w:rPr>
          <w:rFonts w:hint="eastAsia"/>
        </w:rPr>
        <w:t>使用不符合国家安全标准或者行业安全标准的设备、器材、防护用品、安全检测仪器的，按照《矿山安全法》第四十条的规定处理。处以罚</w:t>
      </w:r>
      <w:r>
        <w:rPr>
          <w:rFonts w:hint="eastAsia" w:ascii="宋体" w:hAnsi="宋体" w:eastAsia="宋体" w:cs="宋体"/>
        </w:rPr>
        <w:t>款的，罚款数额为5万元以下。</w:t>
      </w:r>
    </w:p>
    <w:p w14:paraId="6F3F8567">
      <w:pPr>
        <w:ind w:firstLine="422"/>
        <w:rPr>
          <w:rFonts w:hint="eastAsia" w:ascii="宋体" w:hAnsi="宋体" w:eastAsia="宋体" w:cs="宋体"/>
        </w:rPr>
      </w:pPr>
      <w:r>
        <w:rPr>
          <w:rFonts w:hint="eastAsia" w:ascii="宋体" w:hAnsi="宋体" w:eastAsia="宋体" w:cs="宋体"/>
          <w:b/>
        </w:rPr>
        <w:t>第十七条</w:t>
      </w:r>
      <w:r>
        <w:rPr>
          <w:rFonts w:hint="eastAsia" w:ascii="宋体" w:hAnsi="宋体" w:eastAsia="宋体" w:cs="宋体"/>
        </w:rPr>
        <w:t>　矿山企业必须根据国家规定提取安全技术措施专项费用，用于改善矿山安全生产条件，不得挪作他用。</w:t>
      </w:r>
    </w:p>
    <w:p w14:paraId="43E74BB2">
      <w:pPr>
        <w:rPr>
          <w:rFonts w:hint="eastAsia" w:ascii="宋体" w:hAnsi="宋体" w:eastAsia="宋体" w:cs="宋体"/>
        </w:rPr>
      </w:pPr>
      <w:r>
        <w:rPr>
          <w:rFonts w:hint="eastAsia" w:ascii="宋体" w:hAnsi="宋体" w:eastAsia="宋体" w:cs="宋体"/>
        </w:rPr>
        <w:t>未按照规定提取或者使用安全技术措施专项费用的，按照《矿山安全法》第四十条的规定处理。处以罚款的，罚款数额为5万元以下。</w:t>
      </w:r>
    </w:p>
    <w:p w14:paraId="1DB7D3F0">
      <w:pPr>
        <w:rPr>
          <w:rFonts w:hint="eastAsia" w:ascii="宋体" w:hAnsi="宋体" w:eastAsia="宋体" w:cs="宋体"/>
        </w:rPr>
      </w:pPr>
      <w:r>
        <w:rPr>
          <w:rFonts w:hint="eastAsia" w:ascii="宋体" w:hAnsi="宋体" w:eastAsia="宋体" w:cs="宋体"/>
        </w:rPr>
        <w:t>任何单位和个人不得抽调矿山企业的安全技术措施专项费用，违反的，由市和区、</w:t>
      </w:r>
      <w:r>
        <w:rPr>
          <w:rFonts w:hint="eastAsia"/>
        </w:rPr>
        <w:t>县经济行政主管部门责</w:t>
      </w:r>
      <w:r>
        <w:rPr>
          <w:rFonts w:hint="eastAsia" w:ascii="宋体" w:hAnsi="宋体" w:eastAsia="宋体" w:cs="宋体"/>
        </w:rPr>
        <w:t>令其限期归还，对直接责任人员及其主管人员可以提请其所在单位或者上级主管机关给予行政处分。</w:t>
      </w:r>
    </w:p>
    <w:p w14:paraId="33305454">
      <w:pPr>
        <w:ind w:firstLine="422"/>
        <w:rPr>
          <w:rFonts w:hint="eastAsia" w:ascii="宋体" w:hAnsi="宋体" w:eastAsia="宋体" w:cs="宋体"/>
        </w:rPr>
      </w:pPr>
      <w:r>
        <w:rPr>
          <w:rFonts w:hint="eastAsia" w:ascii="宋体" w:hAnsi="宋体" w:eastAsia="宋体" w:cs="宋体"/>
          <w:b/>
        </w:rPr>
        <w:t>第十八条</w:t>
      </w:r>
      <w:r>
        <w:rPr>
          <w:rFonts w:hint="eastAsia" w:ascii="宋体" w:hAnsi="宋体" w:eastAsia="宋体" w:cs="宋体"/>
        </w:rPr>
        <w:t>　矿山企业发生矿山事故，按照《矿山安全法》第六章、第七章的规定和市人民政府的有关规定处理。</w:t>
      </w:r>
    </w:p>
    <w:p w14:paraId="77CFF52E">
      <w:pPr>
        <w:rPr>
          <w:rFonts w:hint="eastAsia" w:ascii="宋体" w:hAnsi="宋体" w:eastAsia="宋体" w:cs="宋体"/>
        </w:rPr>
      </w:pPr>
      <w:r>
        <w:rPr>
          <w:rFonts w:hint="eastAsia" w:ascii="宋体" w:hAnsi="宋体" w:eastAsia="宋体" w:cs="宋体"/>
        </w:rPr>
        <w:t>未按照规定及时、如实报告矿山事故的，按照《矿山安全法》第四十条的规定处理。处以罚款的，罚款数额为3万元以下。</w:t>
      </w:r>
    </w:p>
    <w:p w14:paraId="27B9F379">
      <w:pPr>
        <w:ind w:firstLine="422"/>
        <w:rPr>
          <w:rFonts w:hint="eastAsia" w:ascii="宋体" w:hAnsi="宋体" w:eastAsia="宋体" w:cs="宋体"/>
        </w:rPr>
      </w:pPr>
      <w:r>
        <w:rPr>
          <w:rFonts w:hint="eastAsia" w:ascii="宋体" w:hAnsi="宋体" w:eastAsia="宋体" w:cs="宋体"/>
          <w:b/>
        </w:rPr>
        <w:t>第十九条</w:t>
      </w:r>
      <w:r>
        <w:rPr>
          <w:rFonts w:hint="eastAsia" w:ascii="宋体" w:hAnsi="宋体" w:eastAsia="宋体" w:cs="宋体"/>
        </w:rPr>
        <w:t>　当事人应当自收到行政处罚决定书之日起15日内，到指定的银行缴纳罚款；到期不缴纳罚款的，每日按罚款数额的3%加处罚款。</w:t>
      </w:r>
    </w:p>
    <w:p w14:paraId="5E9C7CD1">
      <w:pPr>
        <w:ind w:firstLine="422"/>
        <w:rPr>
          <w:rFonts w:hint="eastAsia" w:ascii="宋体" w:hAnsi="宋体" w:eastAsia="宋体" w:cs="宋体"/>
        </w:rPr>
      </w:pPr>
      <w:r>
        <w:rPr>
          <w:rFonts w:hint="eastAsia" w:ascii="宋体" w:hAnsi="宋体" w:eastAsia="宋体" w:cs="宋体"/>
          <w:b/>
        </w:rPr>
        <w:t>第二十条</w:t>
      </w:r>
      <w:r>
        <w:rPr>
          <w:rFonts w:hint="eastAsia" w:ascii="宋体" w:hAnsi="宋体" w:eastAsia="宋体" w:cs="宋体"/>
        </w:rPr>
        <w:t>　对坚持矿山安全生产，防止矿山事故，参加矿山抢险救护，进行矿山安全科学技术研究等方面取得显著成绩的单位和个人，由各级人民政府及其有关主管部门或者矿山企业给予奖励。</w:t>
      </w:r>
    </w:p>
    <w:p w14:paraId="1DEC5F40">
      <w:pPr>
        <w:ind w:firstLine="422"/>
      </w:pPr>
      <w:r>
        <w:rPr>
          <w:rFonts w:hint="eastAsia" w:ascii="宋体" w:hAnsi="宋体" w:eastAsia="宋体" w:cs="宋体"/>
          <w:b/>
        </w:rPr>
        <w:t>第二十一条</w:t>
      </w:r>
      <w:r>
        <w:rPr>
          <w:rFonts w:hint="eastAsia" w:ascii="宋体" w:hAnsi="宋体" w:eastAsia="宋体" w:cs="宋体"/>
        </w:rPr>
        <w:t>　矿山安全监督人员和安全管理人员</w:t>
      </w:r>
      <w:r>
        <w:rPr>
          <w:rFonts w:hint="eastAsia"/>
        </w:rPr>
        <w:t>滥用职权、玩忽职守、徇私舞弊，构成犯罪的，依法追究刑事责任；不构成犯罪的，给予行政处分。</w:t>
      </w:r>
    </w:p>
    <w:p w14:paraId="14E78B4C">
      <w:pPr>
        <w:ind w:firstLine="422"/>
      </w:pPr>
      <w:r>
        <w:rPr>
          <w:rFonts w:hint="eastAsia"/>
          <w:b/>
        </w:rPr>
        <w:t>第二十二条</w:t>
      </w:r>
      <w:r>
        <w:rPr>
          <w:rFonts w:hint="eastAsia"/>
        </w:rPr>
        <w:t>　本办法自公布之日起施行。</w:t>
      </w:r>
    </w:p>
    <w:p w14:paraId="343DD85D">
      <w:pPr>
        <w:pStyle w:val="4"/>
        <w:pageBreakBefore/>
      </w:pPr>
      <w:bookmarkStart w:id="2532" w:name="_Toc428780746"/>
      <w:bookmarkStart w:id="2533" w:name="_Toc426467148"/>
      <w:bookmarkStart w:id="2534" w:name="_Toc428781896"/>
      <w:r>
        <w:rPr>
          <w:rFonts w:hint="eastAsia"/>
        </w:rPr>
        <w:t>北京市矿产资源管理条例</w:t>
      </w:r>
      <w:bookmarkEnd w:id="2532"/>
      <w:bookmarkEnd w:id="2533"/>
      <w:bookmarkEnd w:id="2534"/>
    </w:p>
    <w:p w14:paraId="71C38216">
      <w:pPr>
        <w:ind w:left="630" w:leftChars="300" w:right="630" w:rightChars="300"/>
        <w:rPr>
          <w:rFonts w:ascii="楷体" w:hAnsi="楷体" w:eastAsia="楷体"/>
        </w:rPr>
      </w:pPr>
      <w:r>
        <w:rPr>
          <w:rFonts w:hint="eastAsia" w:ascii="楷体" w:hAnsi="楷体" w:eastAsia="楷体"/>
        </w:rPr>
        <w:t>（1998年4月16日北京市第十一届人民代表大会常务委员会第二次会议通过　根据2006年7月28日北京市第十二届人民代表大会常务委员会第二十九次会议《关于修改〈北京市矿产资源管理条例〉的决定》修正）</w:t>
      </w:r>
    </w:p>
    <w:p w14:paraId="3A7F57A9"/>
    <w:p w14:paraId="266809DB">
      <w:pPr>
        <w:ind w:firstLine="0" w:firstLineChars="0"/>
        <w:jc w:val="center"/>
        <w:rPr>
          <w:b/>
          <w:sz w:val="28"/>
        </w:rPr>
      </w:pPr>
      <w:r>
        <w:rPr>
          <w:rFonts w:hint="eastAsia"/>
          <w:b/>
          <w:sz w:val="28"/>
        </w:rPr>
        <w:t>第一章　总　则</w:t>
      </w:r>
    </w:p>
    <w:p w14:paraId="51A1F85D"/>
    <w:p w14:paraId="78C07F0D">
      <w:pPr>
        <w:ind w:firstLine="422"/>
      </w:pPr>
      <w:r>
        <w:rPr>
          <w:rFonts w:hint="eastAsia"/>
          <w:b/>
        </w:rPr>
        <w:t>第一条</w:t>
      </w:r>
      <w:r>
        <w:rPr>
          <w:rFonts w:hint="eastAsia"/>
        </w:rPr>
        <w:t xml:space="preserve">  为加强矿产资源的勘查、开发利用和保护工作，规范矿产资源管理，促进矿业可持续发展，根据本市实际情况，制定本条例。</w:t>
      </w:r>
    </w:p>
    <w:p w14:paraId="307B87A2">
      <w:pPr>
        <w:ind w:firstLine="422"/>
      </w:pPr>
      <w:r>
        <w:rPr>
          <w:rFonts w:hint="eastAsia"/>
          <w:b/>
        </w:rPr>
        <w:t>第二条</w:t>
      </w:r>
      <w:r>
        <w:rPr>
          <w:rFonts w:hint="eastAsia"/>
        </w:rPr>
        <w:t xml:space="preserve">  在本市行政区域内从事勘查、开采矿产资源活动的，应当遵守本条例。</w:t>
      </w:r>
    </w:p>
    <w:p w14:paraId="00FD431E">
      <w:r>
        <w:rPr>
          <w:rFonts w:hint="eastAsia"/>
        </w:rPr>
        <w:t>法律、行政法规另有规定的，从其规定。</w:t>
      </w:r>
    </w:p>
    <w:p w14:paraId="2973E568">
      <w:pPr>
        <w:ind w:firstLine="422"/>
      </w:pPr>
      <w:r>
        <w:rPr>
          <w:rFonts w:hint="eastAsia"/>
          <w:b/>
        </w:rPr>
        <w:t>第三条</w:t>
      </w:r>
      <w:r>
        <w:rPr>
          <w:rFonts w:hint="eastAsia"/>
        </w:rPr>
        <w:t xml:space="preserve">  矿产资源属于国家所有。地表或者地下的矿产资源的国家所有权，不因其所依附的土地的所有权或者使用权的不同而改变。禁止任何组织或者个人用任何手段侵占或者破坏矿产资源。</w:t>
      </w:r>
    </w:p>
    <w:p w14:paraId="66999660">
      <w:pPr>
        <w:ind w:firstLine="422"/>
      </w:pPr>
      <w:r>
        <w:rPr>
          <w:rFonts w:hint="eastAsia"/>
          <w:b/>
        </w:rPr>
        <w:t>第四条</w:t>
      </w:r>
      <w:r>
        <w:rPr>
          <w:rFonts w:hint="eastAsia"/>
        </w:rPr>
        <w:t xml:space="preserve">  根据首都城市性质和功能的要求，本市勘查、开发矿产资源实行统一规划、合理布局、综合勘查、合理开采和综合利用的方针，坚持严格管理和依法保护的原则。勘查、开发矿产资源必须遵守有关城市规划、水土保持、土地复垦、地质遗迹、文化古迹、文物保护和环境保护的法律、法规及规定。</w:t>
      </w:r>
    </w:p>
    <w:p w14:paraId="75089D9F">
      <w:pPr>
        <w:ind w:firstLine="422"/>
      </w:pPr>
      <w:r>
        <w:rPr>
          <w:rFonts w:hint="eastAsia"/>
          <w:b/>
        </w:rPr>
        <w:t>第五条</w:t>
      </w:r>
      <w:r>
        <w:rPr>
          <w:rFonts w:hint="eastAsia"/>
        </w:rPr>
        <w:t xml:space="preserve">  市和区、县地质矿产行政主管部门依法负责本行政区域内矿产资源勘查、开采的监督管理工作。市和区、县有关行政主管部门协助同级地质矿产行政主管部门进行矿产资源勘查、开采的监督管理工作。</w:t>
      </w:r>
    </w:p>
    <w:p w14:paraId="68307368">
      <w:pPr>
        <w:ind w:firstLine="422"/>
      </w:pPr>
      <w:r>
        <w:rPr>
          <w:rFonts w:hint="eastAsia"/>
          <w:b/>
        </w:rPr>
        <w:t>第六条</w:t>
      </w:r>
      <w:r>
        <w:rPr>
          <w:rFonts w:hint="eastAsia"/>
        </w:rPr>
        <w:t xml:space="preserve">  本市实行矿产资源规划管理制度。</w:t>
      </w:r>
    </w:p>
    <w:p w14:paraId="582BE7F6">
      <w:r>
        <w:rPr>
          <w:rFonts w:hint="eastAsia"/>
        </w:rPr>
        <w:t>矿产资源总体规划由市地质矿产行政主管部门会同市发展改革、规划等有关行政主管部门依据北京城市总体规划，按照合理利用矿产资源、保护生态环境的原则组织编制，并按照规定报经批准后实施。</w:t>
      </w:r>
    </w:p>
    <w:p w14:paraId="127F4D0D">
      <w:r>
        <w:rPr>
          <w:rFonts w:hint="eastAsia"/>
        </w:rPr>
        <w:t>矿产资源总体规划中应当划定禁止开采区、限制开采区和允许开采区，规定禁止开采的矿种和限制开采的矿种，并对限制开采矿种的开采总量作出具体规定。</w:t>
      </w:r>
    </w:p>
    <w:p w14:paraId="6E25B9B0">
      <w:r>
        <w:rPr>
          <w:rFonts w:hint="eastAsia"/>
        </w:rPr>
        <w:t>矿产资源总体规划是依法审批和监督管理矿产资源勘查、开采活动的重要依据。</w:t>
      </w:r>
    </w:p>
    <w:p w14:paraId="7ED6DC54">
      <w:pPr>
        <w:ind w:firstLine="422"/>
      </w:pPr>
      <w:r>
        <w:rPr>
          <w:rFonts w:hint="eastAsia"/>
          <w:b/>
        </w:rPr>
        <w:t>第七条</w:t>
      </w:r>
      <w:r>
        <w:rPr>
          <w:rFonts w:hint="eastAsia"/>
        </w:rPr>
        <w:t xml:space="preserve">  探矿权、采矿权实行有偿取得制度。勘查矿产资源应当依法缴纳探矿权使用费和探矿权价款；开采矿产资源应当依法缴纳采矿权使用费、采矿权价款、资源税和资源补偿费。</w:t>
      </w:r>
    </w:p>
    <w:p w14:paraId="40661D76">
      <w:pPr>
        <w:ind w:firstLine="422"/>
      </w:pPr>
      <w:r>
        <w:rPr>
          <w:rFonts w:hint="eastAsia"/>
          <w:b/>
        </w:rPr>
        <w:t>第八条</w:t>
      </w:r>
      <w:r>
        <w:rPr>
          <w:rFonts w:hint="eastAsia"/>
        </w:rPr>
        <w:t xml:space="preserve">  探矿权、采矿权的转让，必须经市地质矿产行政主管部门批准；转让由国家出资勘查所形成的探矿权、采矿权的，由市地质矿产行政主管部门会同国家依法认定的评估机构进行评估，评估结果由市地质矿产行政主管部门确认。</w:t>
      </w:r>
    </w:p>
    <w:p w14:paraId="077350E0">
      <w:pPr>
        <w:ind w:firstLine="422"/>
      </w:pPr>
      <w:r>
        <w:rPr>
          <w:rFonts w:hint="eastAsia"/>
          <w:b/>
        </w:rPr>
        <w:t>第九条</w:t>
      </w:r>
      <w:r>
        <w:rPr>
          <w:rFonts w:hint="eastAsia"/>
        </w:rPr>
        <w:t xml:space="preserve">  本市保护探矿权和采矿权不受侵犯，保障勘查作业区和矿区的生产秩序、工作秩序不受干扰和破坏。禁止任何单位和个人进入他人依法设立的勘查作业区和矿区范围内勘查、开采。</w:t>
      </w:r>
    </w:p>
    <w:p w14:paraId="508BED3D"/>
    <w:p w14:paraId="6FC32E45">
      <w:pPr>
        <w:ind w:firstLine="0" w:firstLineChars="0"/>
        <w:jc w:val="center"/>
        <w:rPr>
          <w:b/>
          <w:sz w:val="28"/>
        </w:rPr>
      </w:pPr>
      <w:r>
        <w:rPr>
          <w:rFonts w:hint="eastAsia"/>
          <w:b/>
          <w:sz w:val="28"/>
        </w:rPr>
        <w:t>第二章  矿产资源勘查的管理</w:t>
      </w:r>
    </w:p>
    <w:p w14:paraId="144077B4"/>
    <w:p w14:paraId="71A15568">
      <w:pPr>
        <w:ind w:firstLine="422"/>
      </w:pPr>
      <w:r>
        <w:rPr>
          <w:rFonts w:hint="eastAsia"/>
          <w:b/>
        </w:rPr>
        <w:t>第十条</w:t>
      </w:r>
      <w:r>
        <w:rPr>
          <w:rFonts w:hint="eastAsia"/>
        </w:rPr>
        <w:t xml:space="preserve">  勘查矿产资源，除依法由国务院有关行政主管部门审批登记、颁发勘查许可证的以外，由市地质矿产行政主管部门审批登记、颁发勘查许可证。</w:t>
      </w:r>
    </w:p>
    <w:p w14:paraId="3CCDCC23">
      <w:pPr>
        <w:rPr>
          <w:rFonts w:hint="eastAsia" w:ascii="宋体" w:hAnsi="宋体" w:eastAsia="宋体" w:cs="宋体"/>
        </w:rPr>
      </w:pPr>
      <w:r>
        <w:rPr>
          <w:rFonts w:hint="eastAsia"/>
        </w:rPr>
        <w:t>市地质矿产行政主管部门应当自颁发勘查许可证之</w:t>
      </w:r>
      <w:r>
        <w:rPr>
          <w:rFonts w:hint="eastAsia" w:ascii="宋体" w:hAnsi="宋体" w:eastAsia="宋体" w:cs="宋体"/>
        </w:rPr>
        <w:t>日起10日内，通知勘查项目所在区、县的地质矿产行政主管部门。</w:t>
      </w:r>
    </w:p>
    <w:p w14:paraId="1EAA640F">
      <w:pPr>
        <w:ind w:firstLine="422"/>
      </w:pPr>
      <w:r>
        <w:rPr>
          <w:rFonts w:hint="eastAsia"/>
          <w:b/>
        </w:rPr>
        <w:t>第十一条</w:t>
      </w:r>
      <w:r>
        <w:rPr>
          <w:rFonts w:hint="eastAsia"/>
        </w:rPr>
        <w:t xml:space="preserve">  从事矿产资源勘查的单位，必须取得地质勘查单位资格证书。本市的勘查单位必须向市地质矿产行政主管部门申请资格登记，勘查单位资格证书实行定期统检制度。</w:t>
      </w:r>
    </w:p>
    <w:p w14:paraId="7A47B675">
      <w:pPr>
        <w:ind w:firstLine="422"/>
      </w:pPr>
      <w:r>
        <w:rPr>
          <w:rFonts w:hint="eastAsia"/>
          <w:b/>
        </w:rPr>
        <w:t>第十二条</w:t>
      </w:r>
      <w:r>
        <w:rPr>
          <w:rFonts w:hint="eastAsia"/>
        </w:rPr>
        <w:t xml:space="preserve">  探矿权人应当按照国家有关规定向市地质矿产行政主管部门汇交地质勘查报告和勘查资料。</w:t>
      </w:r>
    </w:p>
    <w:p w14:paraId="33534A68"/>
    <w:p w14:paraId="04FDCB59">
      <w:pPr>
        <w:ind w:firstLine="0" w:firstLineChars="0"/>
        <w:jc w:val="center"/>
        <w:rPr>
          <w:b/>
          <w:sz w:val="28"/>
        </w:rPr>
      </w:pPr>
      <w:r>
        <w:rPr>
          <w:rFonts w:hint="eastAsia"/>
          <w:b/>
          <w:sz w:val="28"/>
        </w:rPr>
        <w:t>第三章  矿产资源开采的管理</w:t>
      </w:r>
    </w:p>
    <w:p w14:paraId="23A07D70"/>
    <w:p w14:paraId="560CE579">
      <w:pPr>
        <w:ind w:firstLine="422"/>
      </w:pPr>
      <w:r>
        <w:rPr>
          <w:rFonts w:hint="eastAsia"/>
          <w:b/>
        </w:rPr>
        <w:t>第十三条</w:t>
      </w:r>
      <w:r>
        <w:rPr>
          <w:rFonts w:hint="eastAsia"/>
        </w:rPr>
        <w:t xml:space="preserve">  开采矿产资源，除依法由国务院有关行政主管部门审批登记、颁发采矿许可证的以外，由市地质矿产行政主管部门审批登记、颁发采矿许可证。新设采矿权的，由市地质矿产行政主管部门通过招标、拍卖等公平竞争方式作出决定，颁发采矿许可证。</w:t>
      </w:r>
    </w:p>
    <w:p w14:paraId="7E9149E1">
      <w:r>
        <w:rPr>
          <w:rFonts w:hint="eastAsia"/>
        </w:rPr>
        <w:t>采矿许可证的有效期限，按照国家有关规定执行。</w:t>
      </w:r>
    </w:p>
    <w:p w14:paraId="2B3A75D2">
      <w:r>
        <w:rPr>
          <w:rFonts w:hint="eastAsia"/>
        </w:rPr>
        <w:t>个人为生活自用，可以在乡、镇人民政府委托村民委员会指定的范围内，采挖少量的砂、石、粘土等矿产。</w:t>
      </w:r>
    </w:p>
    <w:p w14:paraId="0D7DA31F">
      <w:pPr>
        <w:ind w:firstLine="422"/>
      </w:pPr>
      <w:r>
        <w:rPr>
          <w:rFonts w:hint="eastAsia"/>
          <w:b/>
        </w:rPr>
        <w:t>第十四条</w:t>
      </w:r>
      <w:r>
        <w:rPr>
          <w:rFonts w:hint="eastAsia"/>
        </w:rPr>
        <w:t xml:space="preserve">  在河道内开采砂、石，必须先经河道主管部门批准并办理河道砂石开采许可证，凭河道砂石开采许可证到地质矿产行政主管部门办理采矿登记手续，领取采矿许可证。</w:t>
      </w:r>
    </w:p>
    <w:p w14:paraId="715FC62E">
      <w:r>
        <w:rPr>
          <w:rFonts w:hint="eastAsia"/>
        </w:rPr>
        <w:t>对未取得河道主管部门颁发的河道砂石开采许可证的，地质矿产行政主管部门不予办理在河内开采砂、石的采矿登记手续，不予颁发采矿许可证。</w:t>
      </w:r>
    </w:p>
    <w:p w14:paraId="27023129">
      <w:pPr>
        <w:ind w:firstLine="422"/>
      </w:pPr>
      <w:r>
        <w:rPr>
          <w:rFonts w:hint="eastAsia"/>
          <w:b/>
        </w:rPr>
        <w:t>第十五条</w:t>
      </w:r>
      <w:r>
        <w:rPr>
          <w:rFonts w:hint="eastAsia"/>
        </w:rPr>
        <w:t xml:space="preserve">  本市对汉白玉、地热、矿泉水以及市人民政府确定的其他矿产资源实行保护性限量开采。</w:t>
      </w:r>
    </w:p>
    <w:p w14:paraId="54804ECC">
      <w:pPr>
        <w:ind w:firstLine="422"/>
      </w:pPr>
      <w:r>
        <w:rPr>
          <w:rFonts w:hint="eastAsia"/>
          <w:b/>
        </w:rPr>
        <w:t>第十六条</w:t>
      </w:r>
      <w:r>
        <w:rPr>
          <w:rFonts w:hint="eastAsia"/>
        </w:rPr>
        <w:t xml:space="preserve">  申请办理采矿许可证，应当向地质矿产行政主管部门提交下列资料：</w:t>
      </w:r>
    </w:p>
    <w:p w14:paraId="718DF63E">
      <w:r>
        <w:rPr>
          <w:rFonts w:hint="eastAsia"/>
        </w:rPr>
        <w:t>（一）申请登记书和矿区范围图；</w:t>
      </w:r>
    </w:p>
    <w:p w14:paraId="687D505F">
      <w:r>
        <w:rPr>
          <w:rFonts w:hint="eastAsia"/>
        </w:rPr>
        <w:t>（二）采矿权申请人资质条件的证明；</w:t>
      </w:r>
    </w:p>
    <w:p w14:paraId="3500DB9B">
      <w:r>
        <w:rPr>
          <w:rFonts w:hint="eastAsia"/>
        </w:rPr>
        <w:t>（三）依法设立矿山企业的批准文件；</w:t>
      </w:r>
    </w:p>
    <w:p w14:paraId="561D152F">
      <w:r>
        <w:rPr>
          <w:rFonts w:hint="eastAsia"/>
        </w:rPr>
        <w:t>（四）工商行政管理部门核准登记的企业名称；</w:t>
      </w:r>
    </w:p>
    <w:p w14:paraId="66E56CC2">
      <w:r>
        <w:rPr>
          <w:rFonts w:hint="eastAsia"/>
        </w:rPr>
        <w:t>（五）必要的地质资料、占用储量登记表、开采设计图纸和说明；</w:t>
      </w:r>
    </w:p>
    <w:p w14:paraId="298AF2DE">
      <w:r>
        <w:rPr>
          <w:rFonts w:hint="eastAsia"/>
        </w:rPr>
        <w:t>（六）矿产资源开发、综合利用和保护方案；</w:t>
      </w:r>
    </w:p>
    <w:p w14:paraId="0A442882">
      <w:r>
        <w:rPr>
          <w:rFonts w:hint="eastAsia"/>
        </w:rPr>
        <w:t>（七）开采矿产资源的环境影响评价报告；</w:t>
      </w:r>
    </w:p>
    <w:p w14:paraId="37DC14AA">
      <w:pPr>
        <w:rPr>
          <w:rFonts w:hint="eastAsia" w:ascii="宋体" w:hAnsi="宋体" w:eastAsia="宋体" w:cs="宋体"/>
        </w:rPr>
      </w:pPr>
      <w:r>
        <w:rPr>
          <w:rFonts w:hint="eastAsia"/>
        </w:rPr>
        <w:t>（八）法律、法规、规章规定的其</w:t>
      </w:r>
      <w:r>
        <w:rPr>
          <w:rFonts w:hint="eastAsia" w:ascii="宋体" w:hAnsi="宋体" w:eastAsia="宋体" w:cs="宋体"/>
        </w:rPr>
        <w:t>他资料。</w:t>
      </w:r>
    </w:p>
    <w:p w14:paraId="7DCE3FED">
      <w:pPr>
        <w:ind w:firstLine="422"/>
        <w:rPr>
          <w:rFonts w:hint="eastAsia" w:ascii="宋体" w:hAnsi="宋体" w:eastAsia="宋体" w:cs="宋体"/>
        </w:rPr>
      </w:pPr>
      <w:r>
        <w:rPr>
          <w:rFonts w:hint="eastAsia" w:ascii="宋体" w:hAnsi="宋体" w:eastAsia="宋体" w:cs="宋体"/>
          <w:b/>
        </w:rPr>
        <w:t>第十七条</w:t>
      </w:r>
      <w:r>
        <w:rPr>
          <w:rFonts w:hint="eastAsia" w:ascii="宋体" w:hAnsi="宋体" w:eastAsia="宋体" w:cs="宋体"/>
        </w:rPr>
        <w:t xml:space="preserve">  地质矿产行政主管部门应当自收到采矿许可证申请之日起40日内作出准予或者不准予登记的决定，并通知采矿权申请人。</w:t>
      </w:r>
    </w:p>
    <w:p w14:paraId="0EF73DE2">
      <w:pPr>
        <w:rPr>
          <w:rFonts w:hint="eastAsia" w:ascii="宋体" w:hAnsi="宋体" w:eastAsia="宋体" w:cs="宋体"/>
        </w:rPr>
      </w:pPr>
      <w:r>
        <w:rPr>
          <w:rFonts w:hint="eastAsia" w:ascii="宋体" w:hAnsi="宋体" w:eastAsia="宋体" w:cs="宋体"/>
        </w:rPr>
        <w:t>准予登记的，采矿权申请人应当自收到通知之日起30日内到地质矿产行政主管部门，依法缴纳采矿权使用费和国家出资勘查所形成的采矿权价款，办理登记手</w:t>
      </w:r>
      <w:r>
        <w:rPr>
          <w:rFonts w:hint="eastAsia"/>
        </w:rPr>
        <w:t>续，领取采矿许可证。</w:t>
      </w:r>
    </w:p>
    <w:p w14:paraId="5E74B1B8">
      <w:pPr>
        <w:ind w:firstLine="422"/>
        <w:rPr>
          <w:rFonts w:hint="eastAsia" w:ascii="宋体" w:hAnsi="宋体" w:eastAsia="宋体" w:cs="宋体"/>
        </w:rPr>
      </w:pPr>
      <w:r>
        <w:rPr>
          <w:rFonts w:hint="eastAsia" w:ascii="宋体" w:hAnsi="宋体" w:eastAsia="宋体" w:cs="宋体"/>
          <w:b/>
        </w:rPr>
        <w:t>第十八条</w:t>
      </w:r>
      <w:r>
        <w:rPr>
          <w:rFonts w:hint="eastAsia" w:ascii="宋体" w:hAnsi="宋体" w:eastAsia="宋体" w:cs="宋体"/>
        </w:rPr>
        <w:t xml:space="preserve">  地质矿产行政主管部门应当自颁发采矿许可证之日起90日内，对矿区范围予以公告，并可以根据采矿权人的申请，组织埋设界桩或者设置地面标志。</w:t>
      </w:r>
    </w:p>
    <w:p w14:paraId="1B3D4C32">
      <w:pPr>
        <w:ind w:firstLine="422"/>
        <w:rPr>
          <w:rFonts w:hint="eastAsia" w:ascii="宋体" w:hAnsi="宋体" w:eastAsia="宋体" w:cs="宋体"/>
        </w:rPr>
      </w:pPr>
      <w:r>
        <w:rPr>
          <w:rFonts w:hint="eastAsia" w:ascii="宋体" w:hAnsi="宋体" w:eastAsia="宋体" w:cs="宋体"/>
          <w:b/>
        </w:rPr>
        <w:t>第十九条</w:t>
      </w:r>
      <w:r>
        <w:rPr>
          <w:rFonts w:hint="eastAsia" w:ascii="宋体" w:hAnsi="宋体" w:eastAsia="宋体" w:cs="宋体"/>
        </w:rPr>
        <w:t xml:space="preserve">  市和区、县有关行政主管部门对未取得采矿许可证的，不予办理矿山企业营业执照和采矿所需要的爆炸物品、剧毒物品使用许可证。</w:t>
      </w:r>
    </w:p>
    <w:p w14:paraId="0D7C8439">
      <w:pPr>
        <w:ind w:firstLine="422"/>
        <w:rPr>
          <w:rFonts w:hint="eastAsia" w:ascii="宋体" w:hAnsi="宋体" w:eastAsia="宋体" w:cs="宋体"/>
        </w:rPr>
      </w:pPr>
      <w:r>
        <w:rPr>
          <w:rFonts w:hint="eastAsia" w:ascii="宋体" w:hAnsi="宋体" w:eastAsia="宋体" w:cs="宋体"/>
          <w:b/>
        </w:rPr>
        <w:t>第二十条</w:t>
      </w:r>
      <w:r>
        <w:rPr>
          <w:rFonts w:hint="eastAsia" w:ascii="宋体" w:hAnsi="宋体" w:eastAsia="宋体" w:cs="宋体"/>
        </w:rPr>
        <w:t xml:space="preserve">  开采矿产资源，必须采取合理的开采顺序、开采方法和选矿工艺。禁止采取破坏性开采方法开采矿产资源。</w:t>
      </w:r>
    </w:p>
    <w:p w14:paraId="58833672">
      <w:pPr>
        <w:rPr>
          <w:rFonts w:hint="eastAsia" w:ascii="宋体" w:hAnsi="宋体" w:eastAsia="宋体" w:cs="宋体"/>
        </w:rPr>
      </w:pPr>
      <w:r>
        <w:rPr>
          <w:rFonts w:hint="eastAsia" w:ascii="宋体" w:hAnsi="宋体" w:eastAsia="宋体" w:cs="宋体"/>
        </w:rPr>
        <w:t>在开采主要矿产的同时，对具有工业价值的共生、伴生矿产，在技术可行、经济合理的条件下，应当综合回收；对暂不能综合回收的矿产，应当采取有效的保护措施。</w:t>
      </w:r>
    </w:p>
    <w:p w14:paraId="72466312">
      <w:r>
        <w:rPr>
          <w:rFonts w:hint="eastAsia" w:ascii="宋体" w:hAnsi="宋体" w:eastAsia="宋体" w:cs="宋体"/>
        </w:rPr>
        <w:t>矿山企业的开采回采率、采矿贫化率和选矿回收率均应当达到设计要</w:t>
      </w:r>
      <w:r>
        <w:rPr>
          <w:rFonts w:hint="eastAsia"/>
        </w:rPr>
        <w:t>求或者有关考核指标。</w:t>
      </w:r>
    </w:p>
    <w:p w14:paraId="0D57E4EF">
      <w:pPr>
        <w:ind w:firstLine="422"/>
      </w:pPr>
      <w:r>
        <w:rPr>
          <w:rFonts w:hint="eastAsia"/>
          <w:b/>
        </w:rPr>
        <w:t>第二十一条</w:t>
      </w:r>
      <w:r>
        <w:rPr>
          <w:rFonts w:hint="eastAsia"/>
        </w:rPr>
        <w:t xml:space="preserve">  从事煤炭开采的矿山企业，除必须遵守《中华人民共和国煤炭法》和《中华人民共和国矿产资源法》外，还必须遵守本条例。</w:t>
      </w:r>
    </w:p>
    <w:p w14:paraId="16E80954">
      <w:pPr>
        <w:ind w:firstLine="422"/>
      </w:pPr>
      <w:r>
        <w:rPr>
          <w:rFonts w:hint="eastAsia"/>
          <w:b/>
        </w:rPr>
        <w:t>第二十二条</w:t>
      </w:r>
      <w:r>
        <w:rPr>
          <w:rFonts w:hint="eastAsia"/>
        </w:rPr>
        <w:t xml:space="preserve">  矿山企业应当按照有关规定进行地质测量，地质测量应当由有资质条件的单位进行，测量结果报市或者所在区、县地质矿产行政主管部门备案。</w:t>
      </w:r>
    </w:p>
    <w:p w14:paraId="67E44FC6">
      <w:r>
        <w:rPr>
          <w:rFonts w:hint="eastAsia"/>
        </w:rPr>
        <w:t>本市对矿山矿产资源储量实行动态监测管理。矿山企业应当按照有关规定如实向地质矿产行政主管部门上报矿山矿产资源储量的变动情况。</w:t>
      </w:r>
    </w:p>
    <w:p w14:paraId="16151505">
      <w:pPr>
        <w:ind w:firstLine="422"/>
      </w:pPr>
      <w:r>
        <w:rPr>
          <w:rFonts w:hint="eastAsia"/>
          <w:b/>
        </w:rPr>
        <w:t>第二十三条</w:t>
      </w:r>
      <w:r>
        <w:rPr>
          <w:rFonts w:hint="eastAsia"/>
        </w:rPr>
        <w:t xml:space="preserve">  开采矿产资源造成地质环境破坏或者引发地质灾害的，应当及时向当地地质矿产行政主管部门和有关主管部门报告，采取必要措施进行治理和恢复，防止灾害的扩大。</w:t>
      </w:r>
    </w:p>
    <w:p w14:paraId="3D87F81C">
      <w:pPr>
        <w:ind w:firstLine="422"/>
      </w:pPr>
      <w:r>
        <w:rPr>
          <w:rFonts w:hint="eastAsia"/>
          <w:b/>
        </w:rPr>
        <w:t>第二十四条</w:t>
      </w:r>
      <w:r>
        <w:rPr>
          <w:rFonts w:hint="eastAsia"/>
        </w:rPr>
        <w:t xml:space="preserve">  本市按照国家规定建立矿山生态环境恢复保证金等生态环境恢复补偿制度。市和区、县地质矿产行政主管部门会同有关部门对本地矿区生态环境进行监督管理，保障治理资金和治理措施落实。</w:t>
      </w:r>
    </w:p>
    <w:p w14:paraId="0419BEC3">
      <w:r>
        <w:rPr>
          <w:rFonts w:hint="eastAsia"/>
        </w:rPr>
        <w:t>矿产资源开采企业应当采取措施保护生态环境；对被破坏的生态环境，应当依照相关恢复标准进行生态恢复。</w:t>
      </w:r>
    </w:p>
    <w:p w14:paraId="622EE749">
      <w:pPr>
        <w:ind w:firstLine="422"/>
      </w:pPr>
      <w:r>
        <w:rPr>
          <w:rFonts w:hint="eastAsia"/>
          <w:b/>
        </w:rPr>
        <w:t>第二十五条</w:t>
      </w:r>
      <w:r>
        <w:rPr>
          <w:rFonts w:hint="eastAsia"/>
        </w:rPr>
        <w:t xml:space="preserve">  采矿许可证期限届满不予延续的，市地质矿产行政主管部门应当予以注销。</w:t>
      </w:r>
    </w:p>
    <w:p w14:paraId="11AF6F1F">
      <w:pPr>
        <w:ind w:firstLine="422"/>
      </w:pPr>
      <w:r>
        <w:rPr>
          <w:rFonts w:hint="eastAsia"/>
          <w:b/>
        </w:rPr>
        <w:t>第二十六条</w:t>
      </w:r>
      <w:r>
        <w:rPr>
          <w:rFonts w:hint="eastAsia"/>
        </w:rPr>
        <w:t xml:space="preserve">  依法由市地质矿产行政主管部门审批登记、颁发采矿许可证的矿山企业需要停办或者闭坑的，应当提出申请，并提交下列资料：</w:t>
      </w:r>
    </w:p>
    <w:p w14:paraId="471606F0">
      <w:bookmarkStart w:id="2535" w:name="_Toc428780747"/>
      <w:r>
        <w:rPr>
          <w:rFonts w:hint="eastAsia"/>
        </w:rPr>
        <w:t>（一）矿产储量注销报告及储量管理部门的批准文件；</w:t>
      </w:r>
      <w:bookmarkEnd w:id="2535"/>
    </w:p>
    <w:p w14:paraId="3244BB63">
      <w:r>
        <w:rPr>
          <w:rFonts w:hint="eastAsia"/>
        </w:rPr>
        <w:t>（二）停办或者闭坑前采掘工程进行情况及安全隐患的说明；</w:t>
      </w:r>
    </w:p>
    <w:p w14:paraId="07EB68EE">
      <w:r>
        <w:rPr>
          <w:rFonts w:hint="eastAsia"/>
        </w:rPr>
        <w:t>（三）土地复垦及环境保护的情况；</w:t>
      </w:r>
    </w:p>
    <w:p w14:paraId="4779977D">
      <w:r>
        <w:rPr>
          <w:rFonts w:hint="eastAsia"/>
        </w:rPr>
        <w:t>（四）法律、法规、规章规定的其他资料。</w:t>
      </w:r>
    </w:p>
    <w:p w14:paraId="3A981E4C">
      <w:r>
        <w:rPr>
          <w:rFonts w:hint="eastAsia"/>
        </w:rPr>
        <w:t>市地质矿产行政主管部门自收</w:t>
      </w:r>
      <w:r>
        <w:rPr>
          <w:rFonts w:hint="eastAsia" w:ascii="宋体" w:hAnsi="宋体" w:eastAsia="宋体" w:cs="宋体"/>
        </w:rPr>
        <w:t>到申请之日起30日内作</w:t>
      </w:r>
      <w:r>
        <w:rPr>
          <w:rFonts w:hint="eastAsia"/>
        </w:rPr>
        <w:t>出批准或者不予批准的决定。</w:t>
      </w:r>
    </w:p>
    <w:p w14:paraId="3D360457">
      <w:pPr>
        <w:spacing w:line="300" w:lineRule="exact"/>
      </w:pPr>
    </w:p>
    <w:p w14:paraId="6AA5A090">
      <w:pPr>
        <w:ind w:firstLine="0" w:firstLineChars="0"/>
        <w:jc w:val="center"/>
        <w:rPr>
          <w:b/>
          <w:sz w:val="28"/>
        </w:rPr>
      </w:pPr>
      <w:r>
        <w:rPr>
          <w:rFonts w:hint="eastAsia"/>
          <w:b/>
          <w:sz w:val="28"/>
        </w:rPr>
        <w:t>第四章  监督管理</w:t>
      </w:r>
    </w:p>
    <w:p w14:paraId="7FB3305C">
      <w:pPr>
        <w:spacing w:line="300" w:lineRule="exact"/>
      </w:pPr>
    </w:p>
    <w:p w14:paraId="50119002">
      <w:pPr>
        <w:ind w:firstLine="422"/>
      </w:pPr>
      <w:r>
        <w:rPr>
          <w:rFonts w:hint="eastAsia"/>
          <w:b/>
        </w:rPr>
        <w:t>第二十七条</w:t>
      </w:r>
      <w:r>
        <w:rPr>
          <w:rFonts w:hint="eastAsia"/>
        </w:rPr>
        <w:t xml:space="preserve">  市和区、县地质矿产行政主管部门对探矿权人和采矿权人的勘查、开采活动，实行抽查和年检制度。</w:t>
      </w:r>
    </w:p>
    <w:p w14:paraId="0DBEF3C4">
      <w:r>
        <w:rPr>
          <w:rFonts w:hint="eastAsia"/>
        </w:rPr>
        <w:t>探矿权人和采矿权人应当接受地质矿产行政主管部门的检查、监督和指导，如实报告并提供有关情况和资料，不得拒绝监督检查。</w:t>
      </w:r>
    </w:p>
    <w:p w14:paraId="7BA30E3E">
      <w:pPr>
        <w:ind w:firstLine="422"/>
      </w:pPr>
      <w:r>
        <w:rPr>
          <w:rFonts w:hint="eastAsia"/>
          <w:b/>
        </w:rPr>
        <w:t>第二十八条</w:t>
      </w:r>
      <w:r>
        <w:rPr>
          <w:rFonts w:hint="eastAsia"/>
        </w:rPr>
        <w:t xml:space="preserve">  市和区、县地质矿产行政主管部门应当对开办独立选（洗）矿厂进行监督管理；开办独立选（洗）矿厂，必须经区、县地质矿产行政主管部门审查，报市地质矿产行政主管部门批准。</w:t>
      </w:r>
    </w:p>
    <w:p w14:paraId="42328DC1">
      <w:pPr>
        <w:ind w:firstLine="422"/>
      </w:pPr>
      <w:r>
        <w:rPr>
          <w:rFonts w:hint="eastAsia"/>
          <w:b/>
        </w:rPr>
        <w:t>第二十九条</w:t>
      </w:r>
      <w:r>
        <w:rPr>
          <w:rFonts w:hint="eastAsia"/>
        </w:rPr>
        <w:t xml:space="preserve">  乡、镇人民政府应当协助市和区、县地质矿产行政主管部门加强对本辖区内各类矿山企业开采矿产资源的监督管理。</w:t>
      </w:r>
    </w:p>
    <w:p w14:paraId="23B4CE80">
      <w:pPr>
        <w:ind w:firstLine="422"/>
      </w:pPr>
      <w:r>
        <w:rPr>
          <w:rFonts w:hint="eastAsia"/>
          <w:b/>
        </w:rPr>
        <w:t>第三十条</w:t>
      </w:r>
      <w:r>
        <w:rPr>
          <w:rFonts w:hint="eastAsia"/>
        </w:rPr>
        <w:t xml:space="preserve">  市和区、县地质矿产行政主管部门应当责令停止违法勘查、违法开采行为。</w:t>
      </w:r>
    </w:p>
    <w:p w14:paraId="246C52E9">
      <w:r>
        <w:rPr>
          <w:rFonts w:hint="eastAsia"/>
        </w:rPr>
        <w:t>区、县人民政府应当采取有效措施组织有关部门及时拆除当地违法工程的地面设施，查封设备，充填或者封堵井筒，取缔违法勘查、违法开采。</w:t>
      </w:r>
    </w:p>
    <w:p w14:paraId="1DA8D2D0">
      <w:pPr>
        <w:ind w:firstLine="422"/>
      </w:pPr>
      <w:r>
        <w:rPr>
          <w:rFonts w:hint="eastAsia"/>
          <w:b/>
        </w:rPr>
        <w:t>第三十一条</w:t>
      </w:r>
      <w:r>
        <w:rPr>
          <w:rFonts w:hint="eastAsia"/>
        </w:rPr>
        <w:t xml:space="preserve">  矿山企业之间发生的矿区范围的争议，由当事人协商解决，协商不成的，由矿区所在地的区、县人民政府根据依法核定的矿区范围处理；跨区、县的矿区范围的争议，由有关区、县人民政府协商解决，协商不成的，由市人民政府处理；重大的矿区范围的争议，由市地质矿产行政主管部门提出意见，报市人民政府处理。</w:t>
      </w:r>
    </w:p>
    <w:p w14:paraId="5D07812A"/>
    <w:p w14:paraId="53D5C442">
      <w:pPr>
        <w:ind w:firstLine="0" w:firstLineChars="0"/>
        <w:jc w:val="center"/>
        <w:rPr>
          <w:b/>
          <w:sz w:val="28"/>
        </w:rPr>
      </w:pPr>
      <w:r>
        <w:rPr>
          <w:rFonts w:hint="eastAsia"/>
          <w:b/>
          <w:sz w:val="28"/>
        </w:rPr>
        <w:t>第五章  法律责任</w:t>
      </w:r>
    </w:p>
    <w:p w14:paraId="45DB3FE5"/>
    <w:p w14:paraId="5FE46E86">
      <w:pPr>
        <w:ind w:firstLine="422"/>
      </w:pPr>
      <w:r>
        <w:rPr>
          <w:rFonts w:hint="eastAsia"/>
          <w:b/>
        </w:rPr>
        <w:t>第三十二条</w:t>
      </w:r>
      <w:r>
        <w:rPr>
          <w:rFonts w:hint="eastAsia"/>
        </w:rPr>
        <w:t xml:space="preserve">  违反本条例规定，有下列行为之一的，由市或者区、县地质矿产行政主管部门予以处罚：</w:t>
      </w:r>
    </w:p>
    <w:p w14:paraId="2FDAAB0F">
      <w:pPr>
        <w:rPr>
          <w:rFonts w:hint="eastAsia" w:ascii="宋体" w:hAnsi="宋体" w:eastAsia="宋体" w:cs="宋体"/>
        </w:rPr>
      </w:pPr>
      <w:r>
        <w:rPr>
          <w:rFonts w:hint="eastAsia"/>
        </w:rPr>
        <w:t>（一）未取得勘查许可证或者超越批准的勘查区块范围进行勘查活动的，责令停止违法行为，予以警告，可以并</w:t>
      </w:r>
      <w:r>
        <w:rPr>
          <w:rFonts w:hint="eastAsia" w:ascii="宋体" w:hAnsi="宋体" w:eastAsia="宋体" w:cs="宋体"/>
        </w:rPr>
        <w:t>处10万元以下的罚款。</w:t>
      </w:r>
    </w:p>
    <w:p w14:paraId="45E4AB22">
      <w:pPr>
        <w:rPr>
          <w:rFonts w:hint="eastAsia" w:ascii="宋体" w:hAnsi="宋体" w:eastAsia="宋体" w:cs="宋体"/>
        </w:rPr>
      </w:pPr>
      <w:r>
        <w:rPr>
          <w:rFonts w:hint="eastAsia" w:ascii="宋体" w:hAnsi="宋体" w:eastAsia="宋体" w:cs="宋体"/>
        </w:rPr>
        <w:t>（二）未取得采矿许可证擅自采矿的，责令停止开采，没收违法开采的矿产品和违法所得，可以并处10万元以下的罚款。</w:t>
      </w:r>
    </w:p>
    <w:p w14:paraId="6E49D546">
      <w:pPr>
        <w:rPr>
          <w:rFonts w:hint="eastAsia" w:ascii="宋体" w:hAnsi="宋体" w:eastAsia="宋体" w:cs="宋体"/>
        </w:rPr>
      </w:pPr>
      <w:r>
        <w:rPr>
          <w:rFonts w:hint="eastAsia" w:ascii="宋体" w:hAnsi="宋体" w:eastAsia="宋体" w:cs="宋体"/>
        </w:rPr>
        <w:t>（三）超越批准的矿区范围采矿的，责令退回本矿区范围内开采，没收越界开采的矿产品和违法所得，可以并处10万元以下的罚款；拒不退回本矿区范围内开采，造成矿产资源破坏的，由原发证机关吊销采矿许可证。</w:t>
      </w:r>
    </w:p>
    <w:p w14:paraId="1A23B7CF">
      <w:pPr>
        <w:rPr>
          <w:rFonts w:hint="eastAsia" w:ascii="宋体" w:hAnsi="宋体" w:eastAsia="宋体" w:cs="宋体"/>
        </w:rPr>
      </w:pPr>
      <w:r>
        <w:rPr>
          <w:rFonts w:hint="eastAsia" w:ascii="宋体" w:hAnsi="宋体" w:eastAsia="宋体" w:cs="宋体"/>
        </w:rPr>
        <w:t>（四）未经地质矿产行政主管部门批准擅自开办独立选（洗）矿厂的，责令停止违法行为，没收违法所得，可以并处10万元以下的罚款。</w:t>
      </w:r>
    </w:p>
    <w:p w14:paraId="0C3AFD28">
      <w:pPr>
        <w:rPr>
          <w:rFonts w:hint="eastAsia" w:ascii="宋体" w:hAnsi="宋体" w:eastAsia="宋体" w:cs="宋体"/>
        </w:rPr>
      </w:pPr>
      <w:r>
        <w:rPr>
          <w:rFonts w:hint="eastAsia" w:ascii="宋体" w:hAnsi="宋体" w:eastAsia="宋体" w:cs="宋体"/>
        </w:rPr>
        <w:t>（五）伪造、冒用勘查许可证、采矿许可证的，没收违法所得，可以并处10万元以下的罚款。</w:t>
      </w:r>
    </w:p>
    <w:p w14:paraId="5D55AF1D">
      <w:pPr>
        <w:rPr>
          <w:rFonts w:hint="eastAsia" w:ascii="宋体" w:hAnsi="宋体" w:eastAsia="宋体" w:cs="宋体"/>
        </w:rPr>
      </w:pPr>
      <w:r>
        <w:rPr>
          <w:rFonts w:hint="eastAsia" w:ascii="宋体" w:hAnsi="宋体" w:eastAsia="宋体" w:cs="宋体"/>
        </w:rPr>
        <w:t>（六）不按期缴纳应当依法缴纳的费用的，责令限期缴纳，并从滞纳之日起每日加收2‰的滞纳金；逾期仍不缴纳的，由原发证机关吊销勘查许可证、采矿许可证，并可以申请人民法院强制执行。</w:t>
      </w:r>
    </w:p>
    <w:p w14:paraId="75EAD68C">
      <w:pPr>
        <w:rPr>
          <w:rFonts w:hint="eastAsia" w:ascii="宋体" w:hAnsi="宋体" w:eastAsia="宋体" w:cs="宋体"/>
        </w:rPr>
      </w:pPr>
      <w:r>
        <w:rPr>
          <w:rFonts w:hint="eastAsia" w:ascii="宋体" w:hAnsi="宋体" w:eastAsia="宋体" w:cs="宋体"/>
        </w:rPr>
        <w:t>（七）破坏或者擅自移动矿区范围界桩或者地面标志的，责令限期恢复；情节严重的，处以3000元以上3万元以下的罚款。</w:t>
      </w:r>
    </w:p>
    <w:p w14:paraId="69722A06">
      <w:pPr>
        <w:rPr>
          <w:rFonts w:hint="eastAsia" w:ascii="宋体" w:hAnsi="宋体" w:eastAsia="宋体" w:cs="宋体"/>
        </w:rPr>
      </w:pPr>
      <w:r>
        <w:rPr>
          <w:rFonts w:hint="eastAsia" w:ascii="宋体" w:hAnsi="宋体" w:eastAsia="宋体" w:cs="宋体"/>
        </w:rPr>
        <w:t>（八）不按规定进行地质测量的，责令限期改正，逾期不改正的，责令停产整顿；情节严重的，由原发证机关吊销采矿许可证。</w:t>
      </w:r>
    </w:p>
    <w:p w14:paraId="1A435D84">
      <w:pPr>
        <w:rPr>
          <w:rFonts w:hint="eastAsia" w:ascii="宋体" w:hAnsi="宋体" w:eastAsia="宋体" w:cs="宋体"/>
        </w:rPr>
      </w:pPr>
      <w:r>
        <w:rPr>
          <w:rFonts w:hint="eastAsia" w:ascii="宋体" w:hAnsi="宋体" w:eastAsia="宋体" w:cs="宋体"/>
        </w:rPr>
        <w:t>（九）拒绝接受监督检查，不如实报告并提供有关情况和资料的，责令限期改正；逾期不改正的，处以5000元以上5万元以下的罚款；情节严重的，由原发证机关吊销勘查许可证、采矿许可证。</w:t>
      </w:r>
    </w:p>
    <w:p w14:paraId="2882D4BA">
      <w:pPr>
        <w:rPr>
          <w:rFonts w:hint="eastAsia" w:ascii="宋体" w:hAnsi="宋体" w:eastAsia="宋体" w:cs="宋体"/>
        </w:rPr>
      </w:pPr>
      <w:r>
        <w:rPr>
          <w:rFonts w:hint="eastAsia" w:ascii="宋体" w:hAnsi="宋体" w:eastAsia="宋体" w:cs="宋体"/>
        </w:rPr>
        <w:t>违反本条例规定开采矿产资源，给他人生产、生活造成损失的，应当负责赔偿。</w:t>
      </w:r>
    </w:p>
    <w:p w14:paraId="30D6F460">
      <w:pPr>
        <w:rPr>
          <w:rFonts w:hint="eastAsia" w:ascii="宋体" w:hAnsi="宋体" w:eastAsia="宋体" w:cs="宋体"/>
        </w:rPr>
      </w:pPr>
      <w:r>
        <w:rPr>
          <w:rFonts w:hint="eastAsia" w:ascii="宋体" w:hAnsi="宋体" w:eastAsia="宋体" w:cs="宋体"/>
        </w:rPr>
        <w:t>违反本条例规定，未取得采矿许可证擅自采矿或者超越批准的矿区范围采矿，拒不停止开采或者拒不退回本矿区范围内开采，造成矿产资源破坏的，依法对直接责任人员追究刑事责任。</w:t>
      </w:r>
    </w:p>
    <w:p w14:paraId="788D1036">
      <w:pPr>
        <w:ind w:firstLine="422"/>
        <w:rPr>
          <w:rFonts w:hint="eastAsia" w:ascii="宋体" w:hAnsi="宋体" w:eastAsia="宋体" w:cs="宋体"/>
        </w:rPr>
      </w:pPr>
      <w:r>
        <w:rPr>
          <w:rFonts w:hint="eastAsia" w:ascii="宋体" w:hAnsi="宋体" w:eastAsia="宋体" w:cs="宋体"/>
          <w:b/>
        </w:rPr>
        <w:t>第三十三条</w:t>
      </w:r>
      <w:r>
        <w:rPr>
          <w:rFonts w:hint="eastAsia" w:ascii="宋体" w:hAnsi="宋体" w:eastAsia="宋体" w:cs="宋体"/>
        </w:rPr>
        <w:t xml:space="preserve">  违反本条例第八条规定，未经市地质矿产行政主管部门批准，擅自转让探矿权、采矿权的，由市地质矿产行政主管部门责令改正，没收违法所得，处以1万元以上10万元以下的罚款；情节严重的，由原发证机关吊销勘查许可证、采矿许可证。</w:t>
      </w:r>
    </w:p>
    <w:p w14:paraId="11A5C1D3">
      <w:pPr>
        <w:ind w:firstLine="422"/>
        <w:rPr>
          <w:rFonts w:hint="eastAsia" w:ascii="宋体" w:hAnsi="宋体" w:eastAsia="宋体" w:cs="宋体"/>
        </w:rPr>
      </w:pPr>
      <w:r>
        <w:rPr>
          <w:rFonts w:hint="eastAsia" w:ascii="宋体" w:hAnsi="宋体" w:eastAsia="宋体" w:cs="宋体"/>
          <w:b/>
        </w:rPr>
        <w:t>第三十四条</w:t>
      </w:r>
      <w:r>
        <w:rPr>
          <w:rFonts w:hint="eastAsia" w:ascii="宋体" w:hAnsi="宋体" w:eastAsia="宋体" w:cs="宋体"/>
        </w:rPr>
        <w:t xml:space="preserve">  违反本条例第二十条规定，采取破坏性开采方法开采矿产资源的，由市地质矿产行政主管部门处以1万元以上10万元以下的罚款，可以由原发证机关吊销采矿许可证；造成矿产资源严重破坏的，依法对直接责任人员追究刑事责任。</w:t>
      </w:r>
    </w:p>
    <w:p w14:paraId="3CFF4D4C">
      <w:pPr>
        <w:ind w:firstLine="422"/>
        <w:rPr>
          <w:rFonts w:hint="eastAsia" w:ascii="宋体" w:hAnsi="宋体" w:eastAsia="宋体" w:cs="宋体"/>
        </w:rPr>
      </w:pPr>
      <w:r>
        <w:rPr>
          <w:rFonts w:hint="eastAsia" w:ascii="宋体" w:hAnsi="宋体" w:eastAsia="宋体" w:cs="宋体"/>
          <w:b/>
        </w:rPr>
        <w:t>第三十五条</w:t>
      </w:r>
      <w:r>
        <w:rPr>
          <w:rFonts w:hint="eastAsia" w:ascii="宋体" w:hAnsi="宋体" w:eastAsia="宋体" w:cs="宋体"/>
        </w:rPr>
        <w:t xml:space="preserve">  阻碍地质矿产行政主管部门的工作人员依法执行职务的，由公安机关依照《中华人民共和国治安管理处罚法》的规定处罚；构成犯罪的，依法追究刑事责任。</w:t>
      </w:r>
    </w:p>
    <w:p w14:paraId="1BE7737F">
      <w:pPr>
        <w:ind w:firstLine="422"/>
        <w:rPr>
          <w:rFonts w:hint="eastAsia" w:ascii="宋体" w:hAnsi="宋体" w:eastAsia="宋体" w:cs="宋体"/>
        </w:rPr>
      </w:pPr>
      <w:r>
        <w:rPr>
          <w:rFonts w:hint="eastAsia" w:ascii="宋体" w:hAnsi="宋体" w:eastAsia="宋体" w:cs="宋体"/>
          <w:b/>
        </w:rPr>
        <w:t>第三十六条</w:t>
      </w:r>
      <w:r>
        <w:rPr>
          <w:rFonts w:hint="eastAsia" w:ascii="宋体" w:hAnsi="宋体" w:eastAsia="宋体" w:cs="宋体"/>
        </w:rPr>
        <w:t xml:space="preserve">  负责矿产资源勘查、开采监督管理工作的国家工作人员和其他有关国家工作人员徇私舞弊、滥用职权或者玩忽职守，违法批准勘查、开采矿产资源和颁发勘查许可证、采矿许可证，或者对违法采矿行为不依法予以制止、处罚，构成犯罪的，依法追究刑事责任；不构成犯罪的，给予行政处分。违法颁发的勘查许可证、采矿许可证，上级人民政府地质矿产行政主管部门有权予以撤销。</w:t>
      </w:r>
    </w:p>
    <w:p w14:paraId="2BF3D25F">
      <w:pPr>
        <w:rPr>
          <w:rFonts w:hint="eastAsia" w:ascii="宋体" w:hAnsi="宋体" w:eastAsia="宋体" w:cs="宋体"/>
        </w:rPr>
      </w:pPr>
    </w:p>
    <w:p w14:paraId="56F55E57">
      <w:pPr>
        <w:ind w:firstLine="0" w:firstLineChars="0"/>
        <w:jc w:val="center"/>
        <w:rPr>
          <w:b/>
          <w:sz w:val="28"/>
        </w:rPr>
      </w:pPr>
      <w:r>
        <w:rPr>
          <w:rFonts w:hint="eastAsia"/>
          <w:b/>
          <w:sz w:val="28"/>
        </w:rPr>
        <w:t>第六章  附  则</w:t>
      </w:r>
    </w:p>
    <w:p w14:paraId="669C0919"/>
    <w:p w14:paraId="76AD8787">
      <w:pPr>
        <w:ind w:firstLine="422"/>
        <w:rPr>
          <w:rFonts w:hint="eastAsia" w:ascii="宋体" w:hAnsi="宋体" w:eastAsia="宋体" w:cs="宋体"/>
        </w:rPr>
      </w:pPr>
      <w:r>
        <w:rPr>
          <w:rFonts w:hint="eastAsia"/>
          <w:b/>
        </w:rPr>
        <w:t>第三十七条</w:t>
      </w:r>
      <w:r>
        <w:rPr>
          <w:rFonts w:hint="eastAsia"/>
        </w:rPr>
        <w:t xml:space="preserve">  本</w:t>
      </w:r>
      <w:r>
        <w:rPr>
          <w:rFonts w:hint="eastAsia" w:ascii="宋体" w:hAnsi="宋体" w:eastAsia="宋体" w:cs="宋体"/>
        </w:rPr>
        <w:t>条例具体应用中的问题，由市人民政府负责解释。</w:t>
      </w:r>
    </w:p>
    <w:p w14:paraId="7B3CD045">
      <w:pPr>
        <w:ind w:firstLine="422"/>
        <w:rPr>
          <w:rFonts w:hint="eastAsia" w:ascii="宋体" w:hAnsi="宋体" w:eastAsia="宋体" w:cs="宋体"/>
        </w:rPr>
      </w:pPr>
      <w:r>
        <w:rPr>
          <w:rFonts w:hint="eastAsia" w:ascii="宋体" w:hAnsi="宋体" w:eastAsia="宋体" w:cs="宋体"/>
          <w:b/>
        </w:rPr>
        <w:t>第三十八条</w:t>
      </w:r>
      <w:r>
        <w:rPr>
          <w:rFonts w:hint="eastAsia" w:ascii="宋体" w:hAnsi="宋体" w:eastAsia="宋体" w:cs="宋体"/>
        </w:rPr>
        <w:t xml:space="preserve">  本条例自1998年6月1日起施行。</w:t>
      </w:r>
    </w:p>
    <w:p w14:paraId="6E38D0AD">
      <w:r>
        <w:rPr>
          <w:rFonts w:hint="eastAsia" w:ascii="宋体" w:hAnsi="宋体" w:eastAsia="宋体" w:cs="宋体"/>
        </w:rPr>
        <w:t>1986年9月10日</w:t>
      </w:r>
      <w:r>
        <w:rPr>
          <w:rFonts w:hint="eastAsia" w:ascii="宋体" w:hAnsi="宋体" w:cs="宋体"/>
          <w:lang w:eastAsia="zh-CN"/>
        </w:rPr>
        <w:t>市第八届人民代表大会常务委员会第三十次会议</w:t>
      </w:r>
      <w:r>
        <w:rPr>
          <w:rFonts w:hint="eastAsia" w:ascii="宋体" w:hAnsi="宋体" w:eastAsia="宋体" w:cs="宋体"/>
        </w:rPr>
        <w:t>通过、1997年9月4日</w:t>
      </w:r>
      <w:r>
        <w:rPr>
          <w:rFonts w:hint="eastAsia" w:ascii="宋体" w:hAnsi="宋体" w:cs="宋体"/>
          <w:lang w:eastAsia="zh-CN"/>
        </w:rPr>
        <w:t>市第十届人民代表大会常务委员会第三十九次会议</w:t>
      </w:r>
      <w:r>
        <w:rPr>
          <w:rFonts w:hint="eastAsia" w:ascii="宋体" w:hAnsi="宋体" w:eastAsia="宋体" w:cs="宋体"/>
        </w:rPr>
        <w:t>修正的《北京市开办集体矿山企业和个体采矿审批办法》， 1987年3月28日市人民政府发布、1997年12月31日修正的《北京市开办集体矿山企业和个体采矿违法处罚办法》和1995年5月24日市人民政府发布的《北京市乡镇集体矿山企业和个体采矿开发利用矿产资源监督管理办法》同时废止</w:t>
      </w:r>
      <w:r>
        <w:rPr>
          <w:rFonts w:hint="eastAsia"/>
        </w:rPr>
        <w:t>。</w:t>
      </w:r>
    </w:p>
    <w:p w14:paraId="6A8755DA">
      <w:pPr>
        <w:pStyle w:val="4"/>
        <w:pageBreakBefore/>
      </w:pPr>
      <w:bookmarkStart w:id="2536" w:name="_Toc426467149"/>
      <w:bookmarkStart w:id="2537" w:name="_Toc428781897"/>
      <w:bookmarkStart w:id="2538" w:name="_Toc428780748"/>
      <w:r>
        <w:rPr>
          <w:rFonts w:hint="eastAsia"/>
        </w:rPr>
        <w:t>北京市测绘条例</w:t>
      </w:r>
      <w:bookmarkEnd w:id="2536"/>
      <w:bookmarkEnd w:id="2537"/>
      <w:bookmarkEnd w:id="2538"/>
    </w:p>
    <w:p w14:paraId="725D44E4">
      <w:pPr>
        <w:ind w:left="630" w:leftChars="300" w:right="630" w:rightChars="300"/>
        <w:rPr>
          <w:rFonts w:ascii="楷体" w:hAnsi="楷体" w:eastAsia="楷体"/>
        </w:rPr>
      </w:pPr>
      <w:r>
        <w:rPr>
          <w:rFonts w:hint="eastAsia" w:ascii="楷体" w:hAnsi="楷体" w:eastAsia="楷体"/>
        </w:rPr>
        <w:t>（2003年10月17日北京市第十二届人民代表大会常务委员会第七次会议通过）</w:t>
      </w:r>
    </w:p>
    <w:p w14:paraId="603246AE"/>
    <w:p w14:paraId="50E35BB9">
      <w:pPr>
        <w:ind w:firstLine="0" w:firstLineChars="0"/>
        <w:jc w:val="center"/>
        <w:rPr>
          <w:b/>
          <w:sz w:val="28"/>
        </w:rPr>
      </w:pPr>
      <w:r>
        <w:rPr>
          <w:rFonts w:hint="eastAsia"/>
          <w:b/>
          <w:sz w:val="28"/>
        </w:rPr>
        <w:t>第一章　总　则</w:t>
      </w:r>
    </w:p>
    <w:p w14:paraId="46EA0EEE"/>
    <w:p w14:paraId="316A0388">
      <w:pPr>
        <w:ind w:firstLine="422"/>
      </w:pPr>
      <w:r>
        <w:rPr>
          <w:rFonts w:hint="eastAsia"/>
          <w:b/>
        </w:rPr>
        <w:t>第一条</w:t>
      </w:r>
      <w:r>
        <w:rPr>
          <w:rFonts w:hint="eastAsia"/>
        </w:rPr>
        <w:t xml:space="preserve">  为了加强测绘管理，促进测绘事业发展，保障测绘事业为经济建设、城市建设和社会发展服务，根据《中华人民共和国测绘法》和有关法律、法规，结合本市实际情况，制定本条例。</w:t>
      </w:r>
    </w:p>
    <w:p w14:paraId="1621B4D9">
      <w:pPr>
        <w:ind w:firstLine="422"/>
      </w:pPr>
      <w:r>
        <w:rPr>
          <w:rFonts w:hint="eastAsia"/>
          <w:b/>
        </w:rPr>
        <w:t>第二条</w:t>
      </w:r>
      <w:r>
        <w:rPr>
          <w:rFonts w:hint="eastAsia"/>
        </w:rPr>
        <w:t xml:space="preserve">  在本市行政区域内从事测绘活动，应当遵守《中华人民共和国测绘法》和本条例。</w:t>
      </w:r>
    </w:p>
    <w:p w14:paraId="1B769F6A">
      <w:r>
        <w:rPr>
          <w:rFonts w:hint="eastAsia"/>
        </w:rPr>
        <w:t>本条例所称测绘，是指对自然地理要素或者地表人工设施的形状、大小、空间位置及其属性进行测定、采集、表述以及对获取的数据、信息、成果进行处理和提供的活动。</w:t>
      </w:r>
    </w:p>
    <w:p w14:paraId="2B36B0D7">
      <w:pPr>
        <w:ind w:firstLine="422"/>
      </w:pPr>
      <w:r>
        <w:rPr>
          <w:rFonts w:hint="eastAsia"/>
          <w:b/>
        </w:rPr>
        <w:t>第三条</w:t>
      </w:r>
      <w:r>
        <w:rPr>
          <w:rFonts w:hint="eastAsia"/>
        </w:rPr>
        <w:t xml:space="preserve">  测绘事业是经济建设、城市建设、社会发展的基础性事业。市和区、县人民政府应当加强对测绘工作的领导。</w:t>
      </w:r>
    </w:p>
    <w:p w14:paraId="3B6C05DE">
      <w:pPr>
        <w:ind w:firstLine="422"/>
      </w:pPr>
      <w:r>
        <w:rPr>
          <w:rFonts w:hint="eastAsia"/>
          <w:b/>
        </w:rPr>
        <w:t>第四条</w:t>
      </w:r>
      <w:r>
        <w:rPr>
          <w:rFonts w:hint="eastAsia"/>
        </w:rPr>
        <w:t xml:space="preserve">  市规划行政主管部门主管本市测绘工作（以下统称市测绘行政主管部门），负责本市行政区域内测绘工作的统一监督和管理。市规划行政主管部门各分局（以下简称各分局）负责所辖区域内测绘工作的监督管理。</w:t>
      </w:r>
    </w:p>
    <w:p w14:paraId="797B2676">
      <w:r>
        <w:rPr>
          <w:rFonts w:hint="eastAsia"/>
        </w:rPr>
        <w:t>市和区、县人民政府其他有关部门按照本级人民政府规定的职责分工，负责本部门有关的测绘工作。</w:t>
      </w:r>
    </w:p>
    <w:p w14:paraId="3F7D2938">
      <w:pPr>
        <w:ind w:firstLine="422"/>
      </w:pPr>
      <w:r>
        <w:rPr>
          <w:rFonts w:hint="eastAsia"/>
          <w:b/>
        </w:rPr>
        <w:t>第五条</w:t>
      </w:r>
      <w:r>
        <w:rPr>
          <w:rFonts w:hint="eastAsia"/>
        </w:rPr>
        <w:t xml:space="preserve">  在本市从事测绘活动，应当使用国家规定的测绘基准，执行国家和本市规定的测绘技术规范和标准。</w:t>
      </w:r>
    </w:p>
    <w:p w14:paraId="6C7B2879">
      <w:pPr>
        <w:ind w:firstLine="422"/>
      </w:pPr>
      <w:r>
        <w:rPr>
          <w:rFonts w:hint="eastAsia"/>
          <w:b/>
        </w:rPr>
        <w:t>第六条</w:t>
      </w:r>
      <w:r>
        <w:rPr>
          <w:rFonts w:hint="eastAsia"/>
        </w:rPr>
        <w:t xml:space="preserve">  本市鼓励测绘科学技术的创新和进步，采用先进的技术和设备，提高测绘水平。</w:t>
      </w:r>
    </w:p>
    <w:p w14:paraId="5AF71A6B">
      <w:r>
        <w:rPr>
          <w:rFonts w:hint="eastAsia"/>
        </w:rPr>
        <w:t>对在测绘科学技术进步中做出重要贡献的单位和个人，按照国家和本市的有关规定给予奖励。</w:t>
      </w:r>
    </w:p>
    <w:p w14:paraId="2E274DF1">
      <w:pPr>
        <w:ind w:firstLine="422"/>
      </w:pPr>
      <w:r>
        <w:rPr>
          <w:rFonts w:hint="eastAsia"/>
          <w:b/>
        </w:rPr>
        <w:t>第七条</w:t>
      </w:r>
      <w:r>
        <w:rPr>
          <w:rFonts w:hint="eastAsia"/>
        </w:rPr>
        <w:t xml:space="preserve">  外国的组织或者个人在本市从事测绘活动的，依照《中华人民共和国测绘法》规定执行。</w:t>
      </w:r>
    </w:p>
    <w:p w14:paraId="1772D5DE"/>
    <w:p w14:paraId="356023CB">
      <w:pPr>
        <w:ind w:firstLine="0" w:firstLineChars="0"/>
        <w:jc w:val="center"/>
        <w:rPr>
          <w:b/>
          <w:sz w:val="28"/>
        </w:rPr>
      </w:pPr>
      <w:r>
        <w:rPr>
          <w:rFonts w:hint="eastAsia"/>
          <w:b/>
          <w:sz w:val="28"/>
        </w:rPr>
        <w:t>第二章　测绘系统和标准</w:t>
      </w:r>
    </w:p>
    <w:p w14:paraId="2E462131"/>
    <w:p w14:paraId="70701BFA">
      <w:pPr>
        <w:ind w:firstLine="422"/>
      </w:pPr>
      <w:r>
        <w:rPr>
          <w:rFonts w:hint="eastAsia"/>
          <w:b/>
        </w:rPr>
        <w:t>第八条</w:t>
      </w:r>
      <w:r>
        <w:rPr>
          <w:rFonts w:hint="eastAsia"/>
        </w:rPr>
        <w:t xml:space="preserve">  在本市从事测绘活动，应当采用经国务院测绘行政主管部门批准的、与国家坐标系统相联系的本市相对独立的平面坐标系统（以下统称本市统一的平面坐标系统）。</w:t>
      </w:r>
    </w:p>
    <w:p w14:paraId="503507C1">
      <w:r>
        <w:rPr>
          <w:rFonts w:hint="eastAsia"/>
        </w:rPr>
        <w:t>因特殊需要，另行建立相对独立的平面坐标系统的，应当经市测绘行政主管部门批准；不采用本市统一的平面坐标系统的，应当经市测绘行政主管部门同意。</w:t>
      </w:r>
    </w:p>
    <w:p w14:paraId="2BE70B0E">
      <w:pPr>
        <w:ind w:firstLine="422"/>
      </w:pPr>
      <w:r>
        <w:rPr>
          <w:rFonts w:hint="eastAsia"/>
          <w:b/>
        </w:rPr>
        <w:t>第九条</w:t>
      </w:r>
      <w:r>
        <w:rPr>
          <w:rFonts w:hint="eastAsia"/>
        </w:rPr>
        <w:t xml:space="preserve">  本市应当不断更新和完善测绘系统。</w:t>
      </w:r>
    </w:p>
    <w:p w14:paraId="018A8154">
      <w:r>
        <w:rPr>
          <w:rFonts w:hint="eastAsia"/>
        </w:rPr>
        <w:t>市测绘行政主管部门审核本市测绘系统的数据等级和精度，并与有关部门会商后发布使用。</w:t>
      </w:r>
    </w:p>
    <w:p w14:paraId="72690434">
      <w:pPr>
        <w:ind w:firstLine="422"/>
      </w:pPr>
      <w:r>
        <w:rPr>
          <w:rFonts w:hint="eastAsia"/>
          <w:b/>
        </w:rPr>
        <w:t>第十条</w:t>
      </w:r>
      <w:r>
        <w:rPr>
          <w:rFonts w:hint="eastAsia"/>
        </w:rPr>
        <w:t xml:space="preserve">  市测绘行政主管部门负责本市基础地理信息数据的采集、处理、发布和提供的管理工作。</w:t>
      </w:r>
    </w:p>
    <w:p w14:paraId="1FA48786">
      <w:r>
        <w:rPr>
          <w:rFonts w:hint="eastAsia"/>
        </w:rPr>
        <w:t>建立地理信息系统及相关数据库，必须采用国家和本市基础地理信息数据。</w:t>
      </w:r>
    </w:p>
    <w:p w14:paraId="7B2E1868">
      <w:pPr>
        <w:ind w:firstLine="422"/>
      </w:pPr>
      <w:r>
        <w:rPr>
          <w:rFonts w:hint="eastAsia"/>
          <w:b/>
        </w:rPr>
        <w:t>第十一条</w:t>
      </w:r>
      <w:r>
        <w:rPr>
          <w:rFonts w:hint="eastAsia"/>
        </w:rPr>
        <w:t xml:space="preserve">  根据测绘事业发展要求，本市可以依法补充制定地方测绘技术规范和标准。</w:t>
      </w:r>
    </w:p>
    <w:p w14:paraId="4CDB37B7">
      <w:pPr>
        <w:ind w:firstLine="422"/>
      </w:pPr>
      <w:r>
        <w:rPr>
          <w:rFonts w:hint="eastAsia"/>
          <w:b/>
        </w:rPr>
        <w:t>第十二条</w:t>
      </w:r>
      <w:r>
        <w:rPr>
          <w:rFonts w:hint="eastAsia"/>
        </w:rPr>
        <w:t xml:space="preserve">  测制本市地形图，应当执行国家和本市地形图基本比例尺系列和分幅标准。</w:t>
      </w:r>
    </w:p>
    <w:p w14:paraId="0CE32353">
      <w:pPr>
        <w:rPr>
          <w:rFonts w:hint="eastAsia" w:ascii="宋体" w:hAnsi="宋体" w:eastAsia="宋体" w:cs="宋体"/>
        </w:rPr>
      </w:pPr>
      <w:r>
        <w:rPr>
          <w:rFonts w:hint="eastAsia"/>
        </w:rPr>
        <w:t>本市地形图基本比例尺系列为</w:t>
      </w:r>
      <w:r>
        <w:rPr>
          <w:rFonts w:hint="eastAsia" w:ascii="宋体" w:hAnsi="宋体" w:eastAsia="宋体" w:cs="宋体"/>
        </w:rPr>
        <w:t>：1:500、1:2000、1:10000；分幅标准为40cm×50cm。</w:t>
      </w:r>
    </w:p>
    <w:p w14:paraId="72C51482">
      <w:bookmarkStart w:id="2811" w:name="_GoBack"/>
      <w:bookmarkEnd w:id="2811"/>
    </w:p>
    <w:p w14:paraId="7054F39B">
      <w:pPr>
        <w:ind w:firstLine="0" w:firstLineChars="0"/>
        <w:jc w:val="center"/>
        <w:rPr>
          <w:b/>
          <w:sz w:val="28"/>
        </w:rPr>
      </w:pPr>
      <w:r>
        <w:rPr>
          <w:rFonts w:hint="eastAsia"/>
          <w:b/>
          <w:sz w:val="28"/>
        </w:rPr>
        <w:t>第三章　基础测绘</w:t>
      </w:r>
    </w:p>
    <w:p w14:paraId="2A0A0B2C"/>
    <w:p w14:paraId="09DC7825">
      <w:pPr>
        <w:ind w:firstLine="422"/>
      </w:pPr>
      <w:r>
        <w:rPr>
          <w:rFonts w:hint="eastAsia"/>
          <w:b/>
        </w:rPr>
        <w:t>第十三条</w:t>
      </w:r>
      <w:r>
        <w:rPr>
          <w:rFonts w:hint="eastAsia"/>
        </w:rPr>
        <w:t xml:space="preserve">  本市基础测绘是公益性事业，主要包括：</w:t>
      </w:r>
    </w:p>
    <w:p w14:paraId="09F2F01E">
      <w:bookmarkStart w:id="2539" w:name="_Toc428780749"/>
      <w:r>
        <w:rPr>
          <w:rFonts w:hint="eastAsia"/>
        </w:rPr>
        <w:t>（一）建立、更新和维护本市统一的平面坐标系统，维护高程控制网；</w:t>
      </w:r>
      <w:bookmarkEnd w:id="2539"/>
    </w:p>
    <w:p w14:paraId="456138FD">
      <w:r>
        <w:rPr>
          <w:rFonts w:hint="eastAsia"/>
        </w:rPr>
        <w:t>（二）测制和更新基本比例尺地形图、影像图和数字化产品；</w:t>
      </w:r>
    </w:p>
    <w:p w14:paraId="5311EA38">
      <w:bookmarkStart w:id="2540" w:name="_Toc428780750"/>
      <w:r>
        <w:rPr>
          <w:rFonts w:hint="eastAsia"/>
        </w:rPr>
        <w:t>（三）进行基础航空摄影和获取基础地理信息的遥感资料；</w:t>
      </w:r>
      <w:bookmarkEnd w:id="2540"/>
    </w:p>
    <w:p w14:paraId="3928E171">
      <w:r>
        <w:rPr>
          <w:rFonts w:hint="eastAsia"/>
        </w:rPr>
        <w:t>（四）获取基础地理信息数据，建立、更新和维护基础地理信息系统。</w:t>
      </w:r>
    </w:p>
    <w:p w14:paraId="7373F782">
      <w:r>
        <w:rPr>
          <w:rFonts w:hint="eastAsia"/>
        </w:rPr>
        <w:t>需要在本市行政区域内进行前款第（三）项航空摄影及遥感测绘的，由市测绘行政主管部门根据需求统一汇总报经市人民政府同意后，按照规定报国家有关主管部门批准。</w:t>
      </w:r>
    </w:p>
    <w:p w14:paraId="0F5E28D2">
      <w:r>
        <w:rPr>
          <w:rFonts w:hint="eastAsia"/>
        </w:rPr>
        <w:t>有关单位应当定期向市测绘行政主管部门汇交航空摄影资料副本。市测绘行政主管部门可以按照规定同其他有关部门相互通报航空摄影资料目录，充分利用已有的航空摄影资料，避免重复航空摄影。</w:t>
      </w:r>
    </w:p>
    <w:p w14:paraId="5BCE2BC9">
      <w:pPr>
        <w:ind w:firstLine="422"/>
      </w:pPr>
      <w:r>
        <w:rPr>
          <w:rFonts w:hint="eastAsia"/>
          <w:b/>
        </w:rPr>
        <w:t>第十四条</w:t>
      </w:r>
      <w:r>
        <w:rPr>
          <w:rFonts w:hint="eastAsia"/>
        </w:rPr>
        <w:t>　市测绘行政主管部门会同市人民政府其他有关部门组织编制全市基础测绘规划，报市人民政府批准，并报国务院测绘行政主管部门备案后组织实施。</w:t>
      </w:r>
    </w:p>
    <w:p w14:paraId="78B80292">
      <w:r>
        <w:rPr>
          <w:rFonts w:hint="eastAsia"/>
        </w:rPr>
        <w:t>市和区、县人民政府应当将基础测绘纳入本级国民经济和社会发展年度计划及财政预算。</w:t>
      </w:r>
    </w:p>
    <w:p w14:paraId="1B0B8959">
      <w:r>
        <w:rPr>
          <w:rFonts w:hint="eastAsia"/>
        </w:rPr>
        <w:t>市人民政府发展计划主管部门会同市测绘行政主管部门，根据本市基础测绘规划，编制本行政区域内的基础测绘年度计划，按照规定上报备案。</w:t>
      </w:r>
    </w:p>
    <w:p w14:paraId="392FD473">
      <w:pPr>
        <w:ind w:firstLine="422"/>
      </w:pPr>
      <w:r>
        <w:rPr>
          <w:rFonts w:hint="eastAsia"/>
          <w:b/>
        </w:rPr>
        <w:t>第十五条</w:t>
      </w:r>
      <w:r>
        <w:rPr>
          <w:rFonts w:hint="eastAsia"/>
        </w:rPr>
        <w:t>　区、县人民政府根据本区、县经济和社会发展，需要测制地形图的，应当编制测绘计划并组织实施。</w:t>
      </w:r>
    </w:p>
    <w:p w14:paraId="332A2442">
      <w:r>
        <w:rPr>
          <w:rFonts w:hint="eastAsia"/>
        </w:rPr>
        <w:t>区、县人民政府应当将本区、县测绘计划纳入本级国民经济和社会发展年度计划及财政预算。</w:t>
      </w:r>
    </w:p>
    <w:p w14:paraId="4C1B4C66">
      <w:pPr>
        <w:ind w:firstLine="422"/>
      </w:pPr>
      <w:r>
        <w:rPr>
          <w:rFonts w:hint="eastAsia"/>
          <w:b/>
        </w:rPr>
        <w:t>第十六条</w:t>
      </w:r>
      <w:r>
        <w:rPr>
          <w:rFonts w:hint="eastAsia"/>
        </w:rPr>
        <w:t>　本市建立基础测绘成果更新制度。</w:t>
      </w:r>
    </w:p>
    <w:p w14:paraId="69F4BB6F">
      <w:pPr>
        <w:rPr>
          <w:rFonts w:hint="eastAsia" w:ascii="宋体" w:hAnsi="宋体" w:eastAsia="宋体" w:cs="宋体"/>
        </w:rPr>
      </w:pPr>
      <w:r>
        <w:rPr>
          <w:rFonts w:hint="eastAsia"/>
        </w:rPr>
        <w:t>本市的平</w:t>
      </w:r>
      <w:r>
        <w:rPr>
          <w:rFonts w:hint="eastAsia" w:ascii="宋体" w:hAnsi="宋体" w:eastAsia="宋体" w:cs="宋体"/>
        </w:rPr>
        <w:t>面坐标控制网和高程控制网应当按照规定定期维护更新。</w:t>
      </w:r>
    </w:p>
    <w:p w14:paraId="6982B761">
      <w:pPr>
        <w:rPr>
          <w:rFonts w:hint="eastAsia" w:ascii="宋体" w:hAnsi="宋体" w:eastAsia="宋体" w:cs="宋体"/>
        </w:rPr>
      </w:pPr>
      <w:r>
        <w:rPr>
          <w:rFonts w:hint="eastAsia" w:ascii="宋体" w:hAnsi="宋体" w:eastAsia="宋体" w:cs="宋体"/>
        </w:rPr>
        <w:t>市测绘行政主管部门应当根据本市实际情况确定基本比例尺地形图更新周期。1:500地形图至少每2年更新一次；1:2000地形图至少每3年更新一次；1:10000地形图，平原地区至少每4年、山区至少每8年更新一次。</w:t>
      </w:r>
    </w:p>
    <w:p w14:paraId="46C1D22E">
      <w:r>
        <w:rPr>
          <w:rFonts w:hint="eastAsia" w:ascii="宋体" w:hAnsi="宋体" w:eastAsia="宋体" w:cs="宋体"/>
        </w:rPr>
        <w:t>对经济建设、社会发展和城市规划建设及重大工程急需的基础测绘成果应当及时</w:t>
      </w:r>
      <w:r>
        <w:rPr>
          <w:rFonts w:hint="eastAsia"/>
        </w:rPr>
        <w:t>更新。</w:t>
      </w:r>
    </w:p>
    <w:p w14:paraId="05B790E1">
      <w:pPr>
        <w:ind w:firstLine="0" w:firstLineChars="0"/>
      </w:pPr>
    </w:p>
    <w:p w14:paraId="48DF226F">
      <w:pPr>
        <w:ind w:firstLine="0" w:firstLineChars="0"/>
        <w:jc w:val="center"/>
        <w:rPr>
          <w:b/>
          <w:sz w:val="28"/>
        </w:rPr>
      </w:pPr>
      <w:r>
        <w:rPr>
          <w:rFonts w:hint="eastAsia"/>
          <w:b/>
          <w:sz w:val="28"/>
        </w:rPr>
        <w:t>第四章　其他测绘</w:t>
      </w:r>
    </w:p>
    <w:p w14:paraId="5E7AEAF1"/>
    <w:p w14:paraId="32A90651">
      <w:pPr>
        <w:ind w:firstLine="422"/>
      </w:pPr>
      <w:r>
        <w:rPr>
          <w:rFonts w:hint="eastAsia"/>
          <w:b/>
        </w:rPr>
        <w:t>第十七条</w:t>
      </w:r>
      <w:r>
        <w:rPr>
          <w:rFonts w:hint="eastAsia"/>
        </w:rPr>
        <w:t>　规划测绘应当按照市规划行政主管部门依据本市城市总体规划、详细规划和专业规划提出的规划条件进行。</w:t>
      </w:r>
    </w:p>
    <w:p w14:paraId="6CE192F8">
      <w:r>
        <w:rPr>
          <w:rFonts w:hint="eastAsia"/>
        </w:rPr>
        <w:t>规划测绘包括规划道路定线测绘、建设用地界址点和界址线测绘、市政规划测量、规划绿地测量、规划监督测量等。</w:t>
      </w:r>
    </w:p>
    <w:p w14:paraId="25A7C32C">
      <w:pPr>
        <w:ind w:firstLine="422"/>
      </w:pPr>
      <w:r>
        <w:rPr>
          <w:rFonts w:hint="eastAsia"/>
          <w:b/>
        </w:rPr>
        <w:t>第十八条</w:t>
      </w:r>
      <w:r>
        <w:rPr>
          <w:rFonts w:hint="eastAsia"/>
        </w:rPr>
        <w:t>　市人民政府应当加强城市地下管线普查、整测等基础性测绘工作的统一领导，保障城市地下管线数据库的完整性和现势性。</w:t>
      </w:r>
    </w:p>
    <w:p w14:paraId="31943D38">
      <w:r>
        <w:rPr>
          <w:rFonts w:hint="eastAsia"/>
        </w:rPr>
        <w:t>市测绘行政主管部门应当制定城市地下管线普查、整测工作规划和实施计划，报市人民政府批准后组织实施。所需经费应当列入国民经济和社会发展年度计划及财政预算。</w:t>
      </w:r>
    </w:p>
    <w:p w14:paraId="686F763D">
      <w:r>
        <w:rPr>
          <w:rFonts w:hint="eastAsia"/>
        </w:rPr>
        <w:t>市人民政府有关部门在各自的职责范围内，协助市测绘行政主管部门做好地下管线的普查、整测工作。</w:t>
      </w:r>
    </w:p>
    <w:p w14:paraId="642C52D5">
      <w:pPr>
        <w:ind w:firstLine="422"/>
      </w:pPr>
      <w:r>
        <w:rPr>
          <w:rFonts w:hint="eastAsia"/>
          <w:b/>
        </w:rPr>
        <w:t>第十九条</w:t>
      </w:r>
      <w:r>
        <w:rPr>
          <w:rFonts w:hint="eastAsia"/>
        </w:rPr>
        <w:t>　建设单位敷设和更新城市地下管线必须及时进行竣工测量。建设单位未按规定进行竣工测量的，有关主管部门不予办理工程竣工验收认可和备案手续。</w:t>
      </w:r>
    </w:p>
    <w:p w14:paraId="4487CF25">
      <w:pPr>
        <w:ind w:firstLine="422"/>
      </w:pPr>
      <w:r>
        <w:rPr>
          <w:rFonts w:hint="eastAsia"/>
          <w:b/>
        </w:rPr>
        <w:t>第二十条</w:t>
      </w:r>
      <w:r>
        <w:rPr>
          <w:rFonts w:hint="eastAsia"/>
        </w:rPr>
        <w:t>　各类废弃或者因变更而局部废用的地下管线，产权单位或者管理使用单位应当在6个月内向市测绘行政主管部门申报注销。市测绘行政主管部门应当依据地下管线竣工资料和报废资料，及时更新城市地下管线数据库。</w:t>
      </w:r>
    </w:p>
    <w:p w14:paraId="23C88E9F">
      <w:pPr>
        <w:ind w:firstLine="422"/>
      </w:pPr>
      <w:r>
        <w:rPr>
          <w:rFonts w:hint="eastAsia"/>
          <w:b/>
        </w:rPr>
        <w:t>第二十一条</w:t>
      </w:r>
      <w:r>
        <w:rPr>
          <w:rFonts w:hint="eastAsia"/>
        </w:rPr>
        <w:t>　本市各级行政区域界线测绘，由市测绘行政主管部门按照国家和本市的有关规定进行。</w:t>
      </w:r>
    </w:p>
    <w:p w14:paraId="14D408B9">
      <w:pPr>
        <w:ind w:firstLine="422"/>
      </w:pPr>
      <w:r>
        <w:rPr>
          <w:rFonts w:hint="eastAsia"/>
          <w:b/>
        </w:rPr>
        <w:t>第二十二条</w:t>
      </w:r>
      <w:r>
        <w:rPr>
          <w:rFonts w:hint="eastAsia"/>
        </w:rPr>
        <w:t>　本市地籍测绘规划由市测绘行政主管部门会同市国土房屋行政主管部门编制，并由市测绘行政主管部门按照地籍测绘规划，组织管理地籍测绘。</w:t>
      </w:r>
    </w:p>
    <w:p w14:paraId="3A6E4ADB">
      <w:pPr>
        <w:ind w:firstLine="422"/>
      </w:pPr>
      <w:r>
        <w:rPr>
          <w:rFonts w:hint="eastAsia"/>
          <w:b/>
        </w:rPr>
        <w:t>第二十三条</w:t>
      </w:r>
      <w:r>
        <w:rPr>
          <w:rFonts w:hint="eastAsia"/>
        </w:rPr>
        <w:t>　测量土地、建筑物、构筑物和地面其他附着物的权属界址线，应当按照市和区、县人民政府确定的权属界限的界址点、界址线或者提供的有关登记资料和附图进行。权属界址线发生变化时，有关当事人应当及时进行变更测绘。</w:t>
      </w:r>
    </w:p>
    <w:p w14:paraId="4BF1DCC2">
      <w:pPr>
        <w:ind w:firstLine="422"/>
      </w:pPr>
      <w:r>
        <w:rPr>
          <w:rFonts w:hint="eastAsia"/>
          <w:b/>
        </w:rPr>
        <w:t>第二十四条</w:t>
      </w:r>
      <w:r>
        <w:rPr>
          <w:rFonts w:hint="eastAsia"/>
        </w:rPr>
        <w:t>　本市建设领域的工程测量，与房屋产权、产籍相关的房屋面积的测量，水利、能源、交通、通信、资源开发和其他领域的工程测量，应当按照国家和本市有关测量技术规范进行。</w:t>
      </w:r>
    </w:p>
    <w:p w14:paraId="14C73AFC"/>
    <w:p w14:paraId="7C94FF1C">
      <w:pPr>
        <w:ind w:firstLine="0" w:firstLineChars="0"/>
        <w:jc w:val="center"/>
        <w:rPr>
          <w:b/>
          <w:sz w:val="28"/>
        </w:rPr>
      </w:pPr>
      <w:r>
        <w:rPr>
          <w:rFonts w:hint="eastAsia"/>
          <w:b/>
          <w:sz w:val="28"/>
        </w:rPr>
        <w:t>第五章　测绘资质资格</w:t>
      </w:r>
    </w:p>
    <w:p w14:paraId="7B023412"/>
    <w:p w14:paraId="42116F33">
      <w:pPr>
        <w:ind w:firstLine="422"/>
      </w:pPr>
      <w:r>
        <w:rPr>
          <w:rFonts w:hint="eastAsia"/>
          <w:b/>
        </w:rPr>
        <w:t>第二十五条</w:t>
      </w:r>
      <w:r>
        <w:rPr>
          <w:rFonts w:hint="eastAsia"/>
        </w:rPr>
        <w:t>　在本市行政区域内从事测绘活动的单位，必须依法取得相应等级的测绘资质证书，并按照资质证书规定的业务范围和作业限额从事测绘活动。</w:t>
      </w:r>
    </w:p>
    <w:p w14:paraId="4EAB1CE4">
      <w:r>
        <w:rPr>
          <w:rFonts w:hint="eastAsia"/>
        </w:rPr>
        <w:t>申报甲级测绘资质的，由市测绘行政主管部门初审，报国家测绘行政主管部门核发资质证书；申报乙级、丙级、丁级测绘资质的，由市测绘行政主管部门依法审查核发资质证书。</w:t>
      </w:r>
    </w:p>
    <w:p w14:paraId="121B6BEB">
      <w:r>
        <w:rPr>
          <w:rFonts w:hint="eastAsia"/>
        </w:rPr>
        <w:t>市测绘行政主管部门建立测绘单位信用信息公开制度。对在本市承接测绘任务的测绘单位资质、业绩、测绘成果质量情况等信息向社会公布。</w:t>
      </w:r>
    </w:p>
    <w:p w14:paraId="1FB836E5">
      <w:pPr>
        <w:ind w:firstLine="422"/>
      </w:pPr>
      <w:r>
        <w:rPr>
          <w:rFonts w:hint="eastAsia"/>
          <w:b/>
        </w:rPr>
        <w:t>第二十六条</w:t>
      </w:r>
      <w:r>
        <w:rPr>
          <w:rFonts w:hint="eastAsia"/>
        </w:rPr>
        <w:t>　在本市从事测绘活动的专业技术人员应当具备国家规定的相应执业资格条件。</w:t>
      </w:r>
    </w:p>
    <w:p w14:paraId="52268799">
      <w:r>
        <w:rPr>
          <w:rFonts w:hint="eastAsia"/>
        </w:rPr>
        <w:t>测绘人员进行测绘活动时，应当持有国家统一制作的测绘作业证件。市测绘行政主管部门负责本市测绘作业证件的审核、发放和监督管理。</w:t>
      </w:r>
    </w:p>
    <w:p w14:paraId="4B4FB13A">
      <w:r>
        <w:rPr>
          <w:rFonts w:hint="eastAsia"/>
        </w:rPr>
        <w:t>测绘单位需要进入机关、团体、企业事业单位进行测绘活动的，应当提前</w:t>
      </w:r>
      <w:r>
        <w:rPr>
          <w:rFonts w:hint="eastAsia" w:ascii="宋体" w:hAnsi="宋体" w:eastAsia="宋体" w:cs="宋体"/>
        </w:rPr>
        <w:t>5</w:t>
      </w:r>
      <w:r>
        <w:rPr>
          <w:rFonts w:hint="eastAsia"/>
        </w:rPr>
        <w:t>日书面告知有关单位。有关单位和个人应当协助和配合测绘人员依法进行测绘活动。</w:t>
      </w:r>
    </w:p>
    <w:p w14:paraId="5D3EF208">
      <w:pPr>
        <w:ind w:firstLine="422"/>
      </w:pPr>
      <w:r>
        <w:rPr>
          <w:rFonts w:hint="eastAsia"/>
          <w:b/>
        </w:rPr>
        <w:t>第二十七条</w:t>
      </w:r>
      <w:r>
        <w:rPr>
          <w:rFonts w:hint="eastAsia"/>
        </w:rPr>
        <w:t>　测绘单位不得超越其资质等级许可的范围从事测绘活动或者以其他测绘单位的名义从事测绘活动，并不得允许其他单位以本单位的名义从事测绘活动。</w:t>
      </w:r>
    </w:p>
    <w:p w14:paraId="6B43D654">
      <w:pPr>
        <w:ind w:firstLine="422"/>
      </w:pPr>
      <w:r>
        <w:rPr>
          <w:rFonts w:hint="eastAsia"/>
          <w:b/>
        </w:rPr>
        <w:t>第二十八条</w:t>
      </w:r>
      <w:r>
        <w:rPr>
          <w:rFonts w:hint="eastAsia"/>
        </w:rPr>
        <w:t>　依据国家规定，测绘项目实行招标投标的，按照招标投标的有关法律法规的规定执行；测绘项目实行承发包的，测绘项目的发包单位不得向不具有相应资质等级的单位发包或者迫使测绘单位以低于测绘成本承包。测绘项目承包单位必须以自己的设备、技术和人员完成所承包项目的主要部分，依法将测绘项目分包给其他单位的，除总承包合同中约定的分包外，必须经发包单位认可；分包单位不得再次分包。测绘单位不得将承包的测绘项目转包。</w:t>
      </w:r>
    </w:p>
    <w:p w14:paraId="2FF9EC28"/>
    <w:p w14:paraId="7E4937F4">
      <w:pPr>
        <w:ind w:firstLine="0" w:firstLineChars="0"/>
        <w:jc w:val="center"/>
        <w:rPr>
          <w:b/>
        </w:rPr>
      </w:pPr>
      <w:r>
        <w:rPr>
          <w:rFonts w:hint="eastAsia"/>
          <w:b/>
          <w:sz w:val="28"/>
        </w:rPr>
        <w:t>第六章　测绘成果</w:t>
      </w:r>
    </w:p>
    <w:p w14:paraId="1ACA57A8"/>
    <w:p w14:paraId="67DDAA2E">
      <w:pPr>
        <w:ind w:firstLine="422"/>
      </w:pPr>
      <w:r>
        <w:rPr>
          <w:rFonts w:hint="eastAsia"/>
          <w:b/>
        </w:rPr>
        <w:t>第二十九条</w:t>
      </w:r>
      <w:r>
        <w:rPr>
          <w:rFonts w:hint="eastAsia"/>
        </w:rPr>
        <w:t>　在本市行政区域内完成的测绘项目，测绘项目出资人或者承担各级财政投资的测绘项目的单位，应当限期向市测绘行政主管部门汇交测绘成果资料。属于基础测绘项目的，应当汇交测绘成果副本；属于非基础测绘项目的，除第二款规定的以外，应当汇交规定的测绘成果目录。市测绘行政主管部门接收测绘成果资料应当出具测绘成果汇交凭证。</w:t>
      </w:r>
    </w:p>
    <w:p w14:paraId="5AECDB4E">
      <w:r>
        <w:rPr>
          <w:rFonts w:hint="eastAsia"/>
        </w:rPr>
        <w:t>城市地下管线、地铁、人防等地下隐蔽工程的建设单位应当在工程竣工验收后</w:t>
      </w:r>
      <w:r>
        <w:rPr>
          <w:rFonts w:hint="eastAsia" w:ascii="宋体" w:hAnsi="宋体" w:eastAsia="宋体" w:cs="宋体"/>
        </w:rPr>
        <w:t>6</w:t>
      </w:r>
      <w:r>
        <w:rPr>
          <w:rFonts w:hint="eastAsia"/>
        </w:rPr>
        <w:t>个月内，向市测绘行政主管部门汇交测绘成果副本。</w:t>
      </w:r>
    </w:p>
    <w:p w14:paraId="7E4E2D66">
      <w:r>
        <w:rPr>
          <w:rFonts w:hint="eastAsia"/>
        </w:rPr>
        <w:t>市测绘行政主管部门应当定期编制测绘成果目录，并向社会公布。</w:t>
      </w:r>
    </w:p>
    <w:p w14:paraId="0FBDEFB2">
      <w:pPr>
        <w:ind w:firstLine="422"/>
      </w:pPr>
      <w:r>
        <w:rPr>
          <w:rFonts w:hint="eastAsia"/>
          <w:b/>
        </w:rPr>
        <w:t>第三十条</w:t>
      </w:r>
      <w:r>
        <w:rPr>
          <w:rFonts w:hint="eastAsia"/>
        </w:rPr>
        <w:t>　测绘成果的保管单位，应当采取措施保障测绘成果的完整和安全，并按照国家和本市有关规定向社会公开和提供使用。</w:t>
      </w:r>
    </w:p>
    <w:p w14:paraId="02766356">
      <w:r>
        <w:rPr>
          <w:rFonts w:hint="eastAsia"/>
        </w:rPr>
        <w:t>测绘成果属于国家秘密的，其密级的确定、变更、解密及其使用、保管，依照保密法律法规的有关规定执行。需要对外提供的，应当经市测绘行政主管部门审核后，按照国家有关规定办理。</w:t>
      </w:r>
    </w:p>
    <w:p w14:paraId="08F66D5E">
      <w:pPr>
        <w:ind w:firstLine="422"/>
      </w:pPr>
      <w:r>
        <w:rPr>
          <w:rFonts w:hint="eastAsia"/>
          <w:b/>
        </w:rPr>
        <w:t>第三十一条</w:t>
      </w:r>
      <w:r>
        <w:rPr>
          <w:rFonts w:hint="eastAsia"/>
        </w:rPr>
        <w:t>　基础测绘成果和使用财政资金完成的其他测绘成果，用于政府决策和社会公益性事业的，应当无偿提供。</w:t>
      </w:r>
    </w:p>
    <w:p w14:paraId="7BF879D3">
      <w:r>
        <w:rPr>
          <w:rFonts w:hint="eastAsia"/>
        </w:rPr>
        <w:t>前款规定之外的，测绘成果依法实行有偿使用制度。政府及其有关部门和军队因防灾、减灾、国防建设等公共利益需要使用测绘成果的，可以无偿使用。</w:t>
      </w:r>
    </w:p>
    <w:p w14:paraId="0EE2012A">
      <w:pPr>
        <w:ind w:firstLine="422"/>
      </w:pPr>
      <w:r>
        <w:rPr>
          <w:rFonts w:hint="eastAsia"/>
          <w:b/>
        </w:rPr>
        <w:t>第三十二条</w:t>
      </w:r>
      <w:r>
        <w:rPr>
          <w:rFonts w:hint="eastAsia"/>
        </w:rPr>
        <w:t>　使用财政资金的测绘项目，批准立项前有关部门应当征求市测绘行政主管部门的意见，有适宜测绘成果的，应当充分利用已有的测绘成果，避免重复测绘。</w:t>
      </w:r>
    </w:p>
    <w:p w14:paraId="3ADDB2F0">
      <w:pPr>
        <w:ind w:firstLine="422"/>
      </w:pPr>
      <w:r>
        <w:rPr>
          <w:rFonts w:hint="eastAsia"/>
          <w:b/>
        </w:rPr>
        <w:t>第三十三条</w:t>
      </w:r>
      <w:r>
        <w:rPr>
          <w:rFonts w:hint="eastAsia"/>
        </w:rPr>
        <w:t>　使用测绘成果，应当征得该测绘成果所有权人的同意，未经同意不得擅自复制、使用、转让或者转借。复制、使用、转让或者转借保密的测绘成果，必须按照原密级管理。</w:t>
      </w:r>
    </w:p>
    <w:p w14:paraId="0B071C0B">
      <w:pPr>
        <w:ind w:firstLine="422"/>
      </w:pPr>
      <w:r>
        <w:rPr>
          <w:rFonts w:hint="eastAsia"/>
          <w:b/>
        </w:rPr>
        <w:t>第三十四条</w:t>
      </w:r>
      <w:r>
        <w:rPr>
          <w:rFonts w:hint="eastAsia"/>
        </w:rPr>
        <w:t>　测绘单位应当建立健全测绘成果的质量保证体系，对测绘成果质量负责。测绘成果质量不合格的，不得交付使用。</w:t>
      </w:r>
    </w:p>
    <w:p w14:paraId="5A5BB2C6">
      <w:r>
        <w:rPr>
          <w:rFonts w:hint="eastAsia"/>
        </w:rPr>
        <w:t>市测绘行政主管部门对测绘成果实行质量监督。</w:t>
      </w:r>
    </w:p>
    <w:p w14:paraId="0587B700"/>
    <w:p w14:paraId="31366303"/>
    <w:p w14:paraId="7E0A819E">
      <w:pPr>
        <w:ind w:firstLine="0" w:firstLineChars="0"/>
        <w:jc w:val="center"/>
        <w:rPr>
          <w:rFonts w:hint="eastAsia"/>
          <w:b/>
          <w:sz w:val="28"/>
        </w:rPr>
      </w:pPr>
    </w:p>
    <w:p w14:paraId="32CE7CD1">
      <w:pPr>
        <w:ind w:firstLine="0" w:firstLineChars="0"/>
        <w:jc w:val="center"/>
        <w:rPr>
          <w:b/>
          <w:sz w:val="28"/>
        </w:rPr>
      </w:pPr>
      <w:r>
        <w:rPr>
          <w:rFonts w:hint="eastAsia"/>
          <w:b/>
          <w:sz w:val="28"/>
        </w:rPr>
        <w:t>第七章　测量标志保护</w:t>
      </w:r>
    </w:p>
    <w:p w14:paraId="248AB3FB"/>
    <w:p w14:paraId="4A325423">
      <w:pPr>
        <w:ind w:firstLine="422"/>
      </w:pPr>
      <w:r>
        <w:rPr>
          <w:rFonts w:hint="eastAsia"/>
          <w:b/>
        </w:rPr>
        <w:t>第三十五条</w:t>
      </w:r>
      <w:r>
        <w:rPr>
          <w:rFonts w:hint="eastAsia"/>
        </w:rPr>
        <w:t>　测量标志受国家保护，禁止下列有损测量标志安全和使测量标志失去使用效能的行为：</w:t>
      </w:r>
    </w:p>
    <w:p w14:paraId="1B4C4EA6">
      <w:r>
        <w:rPr>
          <w:rFonts w:hint="eastAsia"/>
        </w:rPr>
        <w:t>（一）损毁或者擅自移动地下或者地上的永久性测量标志以及使用中的临时性测量标志的；</w:t>
      </w:r>
    </w:p>
    <w:p w14:paraId="48665F5D">
      <w:pPr>
        <w:rPr>
          <w:rFonts w:hint="eastAsia" w:ascii="宋体" w:hAnsi="宋体" w:eastAsia="宋体" w:cs="宋体"/>
        </w:rPr>
      </w:pPr>
      <w:r>
        <w:rPr>
          <w:rFonts w:hint="eastAsia"/>
        </w:rPr>
        <w:t>（二）在测量标志占地范围</w:t>
      </w:r>
      <w:r>
        <w:rPr>
          <w:rFonts w:hint="eastAsia" w:ascii="宋体" w:hAnsi="宋体" w:eastAsia="宋体" w:cs="宋体"/>
        </w:rPr>
        <w:t>内烧荒、耕作、取土、挖沙或者侵占永久性测量标志用地的；</w:t>
      </w:r>
    </w:p>
    <w:p w14:paraId="00470E0E">
      <w:pPr>
        <w:rPr>
          <w:rFonts w:hint="eastAsia" w:ascii="宋体" w:hAnsi="宋体" w:eastAsia="宋体" w:cs="宋体"/>
        </w:rPr>
      </w:pPr>
      <w:r>
        <w:rPr>
          <w:rFonts w:hint="eastAsia" w:ascii="宋体" w:hAnsi="宋体" w:eastAsia="宋体" w:cs="宋体"/>
        </w:rPr>
        <w:t>（三）在距永久性测量标志50米范围内采石、爆破、射击、架设高压电线的；</w:t>
      </w:r>
    </w:p>
    <w:p w14:paraId="6D2B4AA9">
      <w:r>
        <w:rPr>
          <w:rFonts w:hint="eastAsia" w:ascii="宋体" w:hAnsi="宋体" w:eastAsia="宋体" w:cs="宋体"/>
        </w:rPr>
        <w:t>（四）在测量标志的占地范围内，建设</w:t>
      </w:r>
      <w:r>
        <w:rPr>
          <w:rFonts w:hint="eastAsia"/>
        </w:rPr>
        <w:t>影响测量标志使用效能的建筑物的；</w:t>
      </w:r>
    </w:p>
    <w:p w14:paraId="5DFAC225">
      <w:r>
        <w:rPr>
          <w:rFonts w:hint="eastAsia"/>
        </w:rPr>
        <w:t>（五）在测量标志上架设通讯设施、设置观望台、搭帐篷、拴牲畜或者设置其他有可能损毁测量标志的附着物的；</w:t>
      </w:r>
    </w:p>
    <w:p w14:paraId="10F4A0D7">
      <w:r>
        <w:rPr>
          <w:rFonts w:hint="eastAsia"/>
        </w:rPr>
        <w:t>（六）擅自拆除设有测量标志的建筑物或者拆除建筑物上的测量标志的；</w:t>
      </w:r>
    </w:p>
    <w:p w14:paraId="6FD83B97">
      <w:r>
        <w:rPr>
          <w:rFonts w:hint="eastAsia"/>
        </w:rPr>
        <w:t>（七）其他有损测量标志安全和使用效能的。</w:t>
      </w:r>
    </w:p>
    <w:p w14:paraId="62F88953">
      <w:pPr>
        <w:ind w:firstLine="422"/>
      </w:pPr>
      <w:r>
        <w:rPr>
          <w:rFonts w:hint="eastAsia"/>
          <w:b/>
        </w:rPr>
        <w:t>第三十六条</w:t>
      </w:r>
      <w:r>
        <w:rPr>
          <w:rFonts w:hint="eastAsia"/>
        </w:rPr>
        <w:t>　设置永久性测量标志，需要依法使用土地或者在建筑物上建设永久性测量标志的，有关单位或者个人不得干扰和阻挠。</w:t>
      </w:r>
    </w:p>
    <w:p w14:paraId="0F345ED0">
      <w:pPr>
        <w:ind w:firstLine="422"/>
      </w:pPr>
      <w:r>
        <w:rPr>
          <w:rFonts w:hint="eastAsia"/>
          <w:b/>
        </w:rPr>
        <w:t>第三十七条</w:t>
      </w:r>
      <w:r>
        <w:rPr>
          <w:rFonts w:hint="eastAsia"/>
        </w:rPr>
        <w:t>　建设工程项目的规划、建设应当避开永久性测量标志；确实无法避开，需要拆迁永久性测量标志或者使永久性测量标志失去效能的，在办理规划审批手续时，应当一并办理测量标志的迁建手续。涉及军用控制点的，应当征得军队测绘行政主管部门同意。所需迁建费用由工程建设单位承担。</w:t>
      </w:r>
    </w:p>
    <w:p w14:paraId="00764AF3">
      <w:pPr>
        <w:ind w:firstLine="422"/>
      </w:pPr>
      <w:r>
        <w:rPr>
          <w:rFonts w:hint="eastAsia"/>
          <w:b/>
        </w:rPr>
        <w:t>第三十八条</w:t>
      </w:r>
      <w:r>
        <w:rPr>
          <w:rFonts w:hint="eastAsia"/>
        </w:rPr>
        <w:t>　永久性测量标志的建设单位应当对永久性测量标志设立明显标记，委托当地有关单位指派专人负责保管，与其签订《测量标志委托保管书》，并在测量标志所在地的乡、镇人民政府或者街道办事处造册登记。乡、镇人民政府和街道办事处应当做好所辖区域内的测量标志保护管理工作。</w:t>
      </w:r>
    </w:p>
    <w:p w14:paraId="77E12173">
      <w:pPr>
        <w:ind w:firstLine="422"/>
      </w:pPr>
      <w:r>
        <w:rPr>
          <w:rFonts w:hint="eastAsia"/>
          <w:b/>
        </w:rPr>
        <w:t>第三十九条</w:t>
      </w:r>
      <w:r>
        <w:rPr>
          <w:rFonts w:hint="eastAsia"/>
        </w:rPr>
        <w:t>　市测绘行政主管部门应当建立健全本市的永久性测量标志档案，对全市的测量标志实行定期巡查和维护。永久性测量标志的维护管理费用，财政部门应当予以保障。公安机关应当配合测绘部门共同做好测量标志保护工作。</w:t>
      </w:r>
    </w:p>
    <w:p w14:paraId="236DEF48">
      <w:r>
        <w:rPr>
          <w:rFonts w:hint="eastAsia"/>
        </w:rPr>
        <w:t>本市对在保护永久性测量标志中做出显著成绩的单位和个人给予奖励。</w:t>
      </w:r>
    </w:p>
    <w:p w14:paraId="6419555C"/>
    <w:p w14:paraId="122616D3">
      <w:pPr>
        <w:ind w:firstLine="0" w:firstLineChars="0"/>
        <w:jc w:val="center"/>
        <w:rPr>
          <w:b/>
          <w:sz w:val="28"/>
        </w:rPr>
      </w:pPr>
      <w:r>
        <w:rPr>
          <w:rFonts w:hint="eastAsia"/>
          <w:b/>
          <w:sz w:val="28"/>
        </w:rPr>
        <w:t>第八章　地图管理</w:t>
      </w:r>
    </w:p>
    <w:p w14:paraId="61EE6C16"/>
    <w:p w14:paraId="28A2C0CA">
      <w:pPr>
        <w:ind w:firstLine="422"/>
      </w:pPr>
      <w:r>
        <w:rPr>
          <w:rFonts w:hint="eastAsia"/>
          <w:b/>
        </w:rPr>
        <w:t>第四十条</w:t>
      </w:r>
      <w:r>
        <w:rPr>
          <w:rFonts w:hint="eastAsia"/>
        </w:rPr>
        <w:t>　本市各级人民政府应当加强对编制、印刷、出版、发行、展示、登载地图的管理，保证地图及其产品的质量，维护国家主权、安全和利益。</w:t>
      </w:r>
    </w:p>
    <w:p w14:paraId="55D2F167">
      <w:r>
        <w:rPr>
          <w:rFonts w:hint="eastAsia"/>
        </w:rPr>
        <w:t>各级人民政府应当加强对国家版图意识的宣传教育，增强公民的国家版图意识。</w:t>
      </w:r>
    </w:p>
    <w:p w14:paraId="638A7149">
      <w:pPr>
        <w:ind w:firstLine="422"/>
      </w:pPr>
      <w:r>
        <w:rPr>
          <w:rFonts w:hint="eastAsia"/>
          <w:b/>
        </w:rPr>
        <w:t>第四十一条</w:t>
      </w:r>
      <w:r>
        <w:rPr>
          <w:rFonts w:hint="eastAsia"/>
        </w:rPr>
        <w:t>　编制本市各种地图的，必须符合下列要求：</w:t>
      </w:r>
    </w:p>
    <w:p w14:paraId="22E14871">
      <w:bookmarkStart w:id="2541" w:name="_Toc428780751"/>
      <w:r>
        <w:rPr>
          <w:rFonts w:hint="eastAsia"/>
        </w:rPr>
        <w:t>（一）取得相应的测绘资质资格，并在确定的范围内编制地图；</w:t>
      </w:r>
      <w:bookmarkEnd w:id="2541"/>
    </w:p>
    <w:p w14:paraId="5A28C844">
      <w:r>
        <w:rPr>
          <w:rFonts w:hint="eastAsia"/>
        </w:rPr>
        <w:t>（二）使用本市行政区域界线基础地理底图，作为基础底图；</w:t>
      </w:r>
    </w:p>
    <w:p w14:paraId="4C8C984C">
      <w:bookmarkStart w:id="2542" w:name="_Toc428780752"/>
      <w:r>
        <w:rPr>
          <w:rFonts w:hint="eastAsia"/>
        </w:rPr>
        <w:t>（三）正确反映各要素的地理位置、形态、名称及相互关系；</w:t>
      </w:r>
      <w:bookmarkEnd w:id="2542"/>
    </w:p>
    <w:p w14:paraId="6711D0AD">
      <w:r>
        <w:rPr>
          <w:rFonts w:hint="eastAsia"/>
        </w:rPr>
        <w:t>（四）具备符合地图上使用目的的有关数据和专业内容。</w:t>
      </w:r>
    </w:p>
    <w:p w14:paraId="4F2245BB">
      <w:pPr>
        <w:ind w:firstLine="422"/>
        <w:rPr>
          <w:rFonts w:hint="eastAsia" w:ascii="宋体" w:hAnsi="宋体" w:eastAsia="宋体" w:cs="宋体"/>
        </w:rPr>
      </w:pPr>
      <w:r>
        <w:rPr>
          <w:rFonts w:hint="eastAsia"/>
          <w:b/>
        </w:rPr>
        <w:t>第四十二条</w:t>
      </w:r>
      <w:r>
        <w:rPr>
          <w:rFonts w:hint="eastAsia"/>
        </w:rPr>
        <w:t>　出版、印刷或者展示未出版的本市各种地</w:t>
      </w:r>
      <w:r>
        <w:rPr>
          <w:rFonts w:hint="eastAsia" w:ascii="宋体" w:hAnsi="宋体" w:eastAsia="宋体" w:cs="宋体"/>
        </w:rPr>
        <w:t>图的，应当按照规定送审试制样图一式二份。市测绘行政主管部门应当自收到试制样图之日起30日内完成审核。</w:t>
      </w:r>
    </w:p>
    <w:p w14:paraId="2E505BF1">
      <w:pPr>
        <w:rPr>
          <w:rFonts w:hint="eastAsia" w:ascii="宋体" w:hAnsi="宋体" w:eastAsia="宋体" w:cs="宋体"/>
        </w:rPr>
      </w:pPr>
      <w:r>
        <w:rPr>
          <w:rFonts w:hint="eastAsia" w:ascii="宋体" w:hAnsi="宋体" w:eastAsia="宋体" w:cs="宋体"/>
        </w:rPr>
        <w:t>地图印刷完成后30日内，编制单位应当将样本一式二份送市测绘行政主管部门存档。</w:t>
      </w:r>
    </w:p>
    <w:p w14:paraId="2271D4F7">
      <w:pPr>
        <w:rPr>
          <w:rFonts w:hint="eastAsia" w:ascii="宋体" w:hAnsi="宋体" w:eastAsia="宋体" w:cs="宋体"/>
        </w:rPr>
      </w:pPr>
      <w:r>
        <w:rPr>
          <w:rFonts w:hint="eastAsia" w:ascii="宋体" w:hAnsi="宋体" w:eastAsia="宋体" w:cs="宋体"/>
        </w:rPr>
        <w:t>电子地图应当提供光（软）盘及与光（软）盘内容所表现的主要地理要素相同的存储介质和纸质地图。</w:t>
      </w:r>
    </w:p>
    <w:p w14:paraId="3C8E06C4">
      <w:r>
        <w:rPr>
          <w:rFonts w:hint="eastAsia"/>
        </w:rPr>
        <w:t>有专业内容的地图应当提供有关专业主管部门就专业内容出具的审核意见。</w:t>
      </w:r>
    </w:p>
    <w:p w14:paraId="665D4437">
      <w:r>
        <w:rPr>
          <w:rFonts w:hint="eastAsia"/>
        </w:rPr>
        <w:t>编制地图单位所使用的地理底图，涉及他人著作权的，应当在报送审核时，提供著作权人同意使用的书面证明。</w:t>
      </w:r>
    </w:p>
    <w:p w14:paraId="5B9CE033">
      <w:pPr>
        <w:ind w:firstLine="422"/>
      </w:pPr>
      <w:r>
        <w:rPr>
          <w:rFonts w:hint="eastAsia"/>
          <w:b/>
        </w:rPr>
        <w:t>第四十三条</w:t>
      </w:r>
      <w:r>
        <w:rPr>
          <w:rFonts w:hint="eastAsia"/>
        </w:rPr>
        <w:t>　公开展示、悬挂、刊登、播映标有国界线和行政区域界线的各类地图和示意图，应当按照规定的标准样图编制。</w:t>
      </w:r>
    </w:p>
    <w:p w14:paraId="06DAFEB1">
      <w:pPr>
        <w:ind w:firstLine="422"/>
      </w:pPr>
      <w:r>
        <w:rPr>
          <w:rFonts w:hint="eastAsia"/>
          <w:b/>
        </w:rPr>
        <w:t>第四十四条</w:t>
      </w:r>
      <w:r>
        <w:rPr>
          <w:rFonts w:hint="eastAsia"/>
        </w:rPr>
        <w:t>　公开出版的地图必须标明地图审图号。经审定的地图内容、形式发生变化时，应当重新履行申报手续，市测绘行政主管部门重新编发审图号。</w:t>
      </w:r>
    </w:p>
    <w:p w14:paraId="00DCFE81">
      <w:r>
        <w:rPr>
          <w:rFonts w:hint="eastAsia"/>
        </w:rPr>
        <w:t>保密地图和内部地图不得以任何形式公开出版、发行、销售或者展示。</w:t>
      </w:r>
    </w:p>
    <w:p w14:paraId="4FED801C">
      <w:pPr>
        <w:ind w:firstLine="422"/>
      </w:pPr>
      <w:r>
        <w:rPr>
          <w:rFonts w:hint="eastAsia"/>
          <w:b/>
        </w:rPr>
        <w:t>第四十五条</w:t>
      </w:r>
      <w:r>
        <w:rPr>
          <w:rFonts w:hint="eastAsia"/>
        </w:rPr>
        <w:t>　地图编制、展示单位不得在普通地图、内部地图上刊登广告。在专题地图上刊登广告的，刊登广告的面积不得超过地图图幅面积的</w:t>
      </w:r>
      <w:r>
        <w:rPr>
          <w:rFonts w:hint="eastAsia" w:ascii="宋体" w:hAnsi="宋体" w:eastAsia="宋体" w:cs="宋体"/>
        </w:rPr>
        <w:t>30%</w:t>
      </w:r>
      <w:r>
        <w:rPr>
          <w:rFonts w:hint="eastAsia"/>
        </w:rPr>
        <w:t>，位置不得压盖地图内容。</w:t>
      </w:r>
    </w:p>
    <w:p w14:paraId="7269D203"/>
    <w:p w14:paraId="223E0F8D">
      <w:pPr>
        <w:ind w:firstLine="0" w:firstLineChars="0"/>
        <w:jc w:val="center"/>
        <w:rPr>
          <w:b/>
          <w:sz w:val="28"/>
        </w:rPr>
      </w:pPr>
      <w:r>
        <w:rPr>
          <w:rFonts w:hint="eastAsia"/>
          <w:b/>
          <w:sz w:val="28"/>
        </w:rPr>
        <w:t>第九章　法律责任</w:t>
      </w:r>
    </w:p>
    <w:p w14:paraId="24C36450"/>
    <w:p w14:paraId="785EC5D4">
      <w:pPr>
        <w:ind w:firstLine="422"/>
      </w:pPr>
      <w:r>
        <w:rPr>
          <w:rFonts w:hint="eastAsia"/>
          <w:b/>
        </w:rPr>
        <w:t>第四十六条</w:t>
      </w:r>
      <w:r>
        <w:rPr>
          <w:rFonts w:hint="eastAsia"/>
        </w:rPr>
        <w:t>　违反本条例的行为，法律法规已有规定的，依照其规定追究法律责任。</w:t>
      </w:r>
    </w:p>
    <w:p w14:paraId="2BF2FF03">
      <w:pPr>
        <w:ind w:firstLine="422"/>
      </w:pPr>
      <w:r>
        <w:rPr>
          <w:rFonts w:hint="eastAsia"/>
          <w:b/>
        </w:rPr>
        <w:t>第四十七条</w:t>
      </w:r>
      <w:r>
        <w:rPr>
          <w:rFonts w:hint="eastAsia"/>
        </w:rPr>
        <w:t>　违反本条例规定，有下列行为之一的，给予警告，责令改正，可以并处10万元以下的罚款；对负有直接责任的主管人员和其他直接责任人员，依法给予行政处分：</w:t>
      </w:r>
    </w:p>
    <w:p w14:paraId="44207824">
      <w:r>
        <w:rPr>
          <w:rFonts w:hint="eastAsia"/>
        </w:rPr>
        <w:t>（一）违反第八条规定，未经批准，擅自建立相对独立的平面坐标系统的；</w:t>
      </w:r>
    </w:p>
    <w:p w14:paraId="1F269774">
      <w:r>
        <w:rPr>
          <w:rFonts w:hint="eastAsia"/>
        </w:rPr>
        <w:t>（二）违反第十条规定，建立地理信息系统，不采用国家和本市标准的基础地理信息数据的。</w:t>
      </w:r>
    </w:p>
    <w:p w14:paraId="4AF8015E">
      <w:pPr>
        <w:ind w:firstLine="422"/>
      </w:pPr>
      <w:r>
        <w:rPr>
          <w:rFonts w:hint="eastAsia"/>
          <w:b/>
        </w:rPr>
        <w:t>第四十八条</w:t>
      </w:r>
      <w:r>
        <w:rPr>
          <w:rFonts w:hint="eastAsia"/>
        </w:rPr>
        <w:t>　违反本条例第二十九条第二款规定，建设单位未按时汇交测绘成果副本，致使其他施工单位因无法查阅有关测绘成果资料造成施工破坏地下管线、设施等隐蔽工程的，建设单位应当依法承担相应责任。</w:t>
      </w:r>
    </w:p>
    <w:p w14:paraId="412595B5">
      <w:pPr>
        <w:ind w:firstLine="422"/>
      </w:pPr>
      <w:r>
        <w:rPr>
          <w:rFonts w:hint="eastAsia"/>
          <w:b/>
        </w:rPr>
        <w:t>第四十九条</w:t>
      </w:r>
      <w:r>
        <w:rPr>
          <w:rFonts w:hint="eastAsia"/>
        </w:rPr>
        <w:t>　有本条例第三十五条禁止的行为之一的，给予警告，责令改正，可以并处</w:t>
      </w:r>
      <w:r>
        <w:rPr>
          <w:rFonts w:hint="eastAsia" w:ascii="宋体" w:hAnsi="宋体" w:eastAsia="宋体" w:cs="宋体"/>
        </w:rPr>
        <w:t>5</w:t>
      </w:r>
      <w:r>
        <w:rPr>
          <w:rFonts w:hint="eastAsia"/>
        </w:rPr>
        <w:t>万元以下的罚款；造成损失的，依法承担赔偿责任；构成犯罪的，依法追究刑事责任。</w:t>
      </w:r>
    </w:p>
    <w:p w14:paraId="36515788">
      <w:pPr>
        <w:ind w:firstLine="422"/>
        <w:rPr>
          <w:rFonts w:hint="eastAsia" w:ascii="宋体" w:hAnsi="宋体" w:eastAsia="宋体" w:cs="宋体"/>
        </w:rPr>
      </w:pPr>
      <w:r>
        <w:rPr>
          <w:rFonts w:hint="eastAsia"/>
          <w:b/>
        </w:rPr>
        <w:t>第五十条</w:t>
      </w:r>
      <w:r>
        <w:rPr>
          <w:rFonts w:hint="eastAsia" w:ascii="宋体" w:hAnsi="宋体" w:eastAsia="宋体" w:cs="宋体"/>
        </w:rPr>
        <w:t>　违反本条例第四十一条、第四十四条第二款规定，编制、印刷、出版、发行、展示、登载的地图发生错绘、漏绘、泄密的，责令停止违法行为，没收全部地图产品及违法所得，并处1万元以上10万元以下罚款；对主要负责人和直接责任人给予行政处分；危害国家主权或者安全，损害国家利益，构成犯罪的，依法追究刑事责任。</w:t>
      </w:r>
    </w:p>
    <w:p w14:paraId="5A0010D6">
      <w:pPr>
        <w:ind w:firstLine="422"/>
        <w:rPr>
          <w:rFonts w:hint="eastAsia" w:ascii="宋体" w:hAnsi="宋体" w:eastAsia="宋体" w:cs="宋体"/>
        </w:rPr>
      </w:pPr>
      <w:r>
        <w:rPr>
          <w:rFonts w:hint="eastAsia" w:ascii="宋体" w:hAnsi="宋体" w:eastAsia="宋体" w:cs="宋体"/>
          <w:b/>
        </w:rPr>
        <w:t>第五十一条</w:t>
      </w:r>
      <w:r>
        <w:rPr>
          <w:rFonts w:hint="eastAsia" w:ascii="宋体" w:hAnsi="宋体" w:eastAsia="宋体" w:cs="宋体"/>
        </w:rPr>
        <w:t>　违反本条例第四十三条规定，公开展示、悬挂、刊登、播映标有国界线和行政区域界线的各类地图和示意图，未按规定的标准样图编制的，责令停止违法活动，没收全部地图产品及违法所得。对有关地图出版社处以1000元以上10000元以下的罚款；情节严重的，由出版行政主管部门注销其地图出版资格。</w:t>
      </w:r>
    </w:p>
    <w:p w14:paraId="754A8E0E">
      <w:pPr>
        <w:ind w:firstLine="422"/>
      </w:pPr>
      <w:r>
        <w:rPr>
          <w:rFonts w:hint="eastAsia"/>
          <w:b/>
        </w:rPr>
        <w:t>第五十二条</w:t>
      </w:r>
      <w:r>
        <w:rPr>
          <w:rFonts w:hint="eastAsia"/>
        </w:rPr>
        <w:t>　《中华人民共和国测绘法》和本条例规定的行政处罚，除降低资质等级、暂扣测绘资质证书、吊销测绘资质证书的以外，由市测绘行政主管部门或者各分局实施。</w:t>
      </w:r>
    </w:p>
    <w:p w14:paraId="4A0AB470">
      <w:r>
        <w:rPr>
          <w:rFonts w:hint="eastAsia"/>
        </w:rPr>
        <w:t>《中华人民共和国测绘法》和本条例规定的降低资质等级、暂扣测绘资质证书、吊销测绘资质证书的行政处罚，属于本市核发的测绘资质证书的，由市测绘行政主管部门实施；属于国家测绘行政主管部门核发的甲级测绘资质证书的，由市测绘行政主管部门报告国家测绘行政主管部门依法处理；属于外地核发的乙级、丙级、丁级测绘资质证书的，由市测绘行政主管部门提请其发证机关依法处理。</w:t>
      </w:r>
    </w:p>
    <w:p w14:paraId="561D96F0">
      <w:pPr>
        <w:ind w:firstLine="422"/>
      </w:pPr>
      <w:r>
        <w:rPr>
          <w:rFonts w:hint="eastAsia"/>
          <w:b/>
        </w:rPr>
        <w:t>第五十三条</w:t>
      </w:r>
      <w:r>
        <w:rPr>
          <w:rFonts w:hint="eastAsia"/>
        </w:rPr>
        <w:t>　违反本条例第二十六条第三款规定，阻挠测绘行政主管部门工作人员依法执行公务和测绘人员依法进行测绘，构成犯罪的，依法追究刑事责任；尚不够刑事处罚的，由公安机关依照《中华人民共和国治安管理处罚条例》的规定予以处罚。</w:t>
      </w:r>
    </w:p>
    <w:p w14:paraId="5D50C3C2">
      <w:pPr>
        <w:ind w:firstLine="422"/>
      </w:pPr>
      <w:r>
        <w:rPr>
          <w:rFonts w:hint="eastAsia"/>
          <w:b/>
        </w:rPr>
        <w:t>第五十四条</w:t>
      </w:r>
      <w:r>
        <w:rPr>
          <w:rFonts w:hint="eastAsia"/>
        </w:rPr>
        <w:t>　违反本条例规定，测绘行政主管部门工作人员利用职务上的便利收受他人财物、其他好处或者玩忽职守，对不符合法定条件的单位核发测绘资质证书，不依法履行监督管理职责，或者发现违法行为不予查处，造成严重后果，构成犯罪的，依法追究刑事责任；尚不够刑事处罚的，对负有直接责任的主管人员和其他直接责任人员，由上级部门依法给予行政处分。</w:t>
      </w:r>
    </w:p>
    <w:p w14:paraId="61E6E407"/>
    <w:p w14:paraId="222F2B8B">
      <w:pPr>
        <w:ind w:firstLine="0" w:firstLineChars="0"/>
        <w:jc w:val="center"/>
        <w:rPr>
          <w:b/>
          <w:sz w:val="28"/>
        </w:rPr>
      </w:pPr>
      <w:r>
        <w:rPr>
          <w:rFonts w:hint="eastAsia"/>
          <w:b/>
          <w:sz w:val="28"/>
        </w:rPr>
        <w:t>第十章　附　则</w:t>
      </w:r>
    </w:p>
    <w:p w14:paraId="19BC8CFD"/>
    <w:p w14:paraId="4AB0A57D">
      <w:pPr>
        <w:ind w:firstLine="422"/>
        <w:rPr>
          <w:rFonts w:hint="eastAsia" w:ascii="宋体" w:hAnsi="宋体" w:eastAsia="宋体" w:cs="宋体"/>
        </w:rPr>
      </w:pPr>
      <w:r>
        <w:rPr>
          <w:rFonts w:hint="eastAsia"/>
          <w:b/>
        </w:rPr>
        <w:t>第五十五条</w:t>
      </w:r>
      <w:r>
        <w:rPr>
          <w:rFonts w:hint="eastAsia"/>
        </w:rPr>
        <w:t>　本条例自</w:t>
      </w:r>
      <w:r>
        <w:rPr>
          <w:rFonts w:hint="eastAsia" w:ascii="宋体" w:hAnsi="宋体" w:eastAsia="宋体" w:cs="宋体"/>
        </w:rPr>
        <w:t>2003年12月1日起施行。</w:t>
      </w:r>
      <w:r>
        <w:rPr>
          <w:rFonts w:hint="eastAsia" w:ascii="宋体" w:hAnsi="宋体" w:eastAsia="宋体" w:cs="宋体"/>
          <w:color w:val="333333"/>
        </w:rPr>
        <w:t>1</w:t>
      </w:r>
      <w:r>
        <w:rPr>
          <w:rFonts w:hint="eastAsia" w:ascii="宋体" w:hAnsi="宋体" w:eastAsia="宋体" w:cs="宋体"/>
        </w:rPr>
        <w:t>995年12月21日市第十届人民代表大会常务委员会第二十三次会议通过、根据1997年4月16日市第十届人民代表大会常务委员会第三十六次会议《关于修改〈北京市实施中华人民共和国测绘法办法〉的决定》修正的《北京市实施〈中华人民共和国测绘法〉办法》，1989年12月13日市人民政府第38号令发布、根据1997年12月31日市人民政府第12号令修改的《北京市测绘成果管理实施办法》，1996年6月10日市人民政府批准、1996年6月20日市规划局发布的《北京市测绘任务登记管理办法》同时废止。</w:t>
      </w:r>
    </w:p>
    <w:p w14:paraId="6A543918">
      <w:pPr>
        <w:pStyle w:val="4"/>
        <w:pageBreakBefore/>
      </w:pPr>
      <w:bookmarkStart w:id="2543" w:name="_Toc426467150"/>
      <w:bookmarkStart w:id="2544" w:name="_Toc428780753"/>
      <w:bookmarkStart w:id="2545" w:name="_Toc428781898"/>
      <w:r>
        <w:rPr>
          <w:rFonts w:hint="eastAsia"/>
        </w:rPr>
        <w:t>北京市河道砂石开采管理暂行规定</w:t>
      </w:r>
      <w:bookmarkEnd w:id="2543"/>
      <w:bookmarkEnd w:id="2544"/>
      <w:bookmarkEnd w:id="2545"/>
    </w:p>
    <w:p w14:paraId="7A962634">
      <w:pPr>
        <w:ind w:left="630" w:leftChars="300" w:right="630" w:rightChars="300"/>
        <w:rPr>
          <w:rFonts w:ascii="楷体" w:hAnsi="楷体" w:eastAsia="楷体"/>
        </w:rPr>
      </w:pPr>
      <w:r>
        <w:rPr>
          <w:rFonts w:hint="eastAsia" w:ascii="楷体" w:hAnsi="楷体" w:eastAsia="楷体"/>
        </w:rPr>
        <w:t>（1985年6月19日北京市人民政府京政发98号文件发布　根据1997年12月31日北京市人民政府12号令第一次修改　根据2010年11月27日北京市人民政府第226号令第二次修改）</w:t>
      </w:r>
    </w:p>
    <w:p w14:paraId="5D0CD34E"/>
    <w:p w14:paraId="5433623B">
      <w:pPr>
        <w:ind w:firstLine="422"/>
      </w:pPr>
      <w:r>
        <w:rPr>
          <w:rFonts w:hint="eastAsia"/>
          <w:b/>
        </w:rPr>
        <w:t>第一条</w:t>
      </w:r>
      <w:r>
        <w:rPr>
          <w:rFonts w:hint="eastAsia"/>
        </w:rPr>
        <w:t xml:space="preserve">  为确保首都防汛安全，合理开发河道砂石资源，根据国家有关法规，特制定本规定。</w:t>
      </w:r>
    </w:p>
    <w:p w14:paraId="08F615E5">
      <w:pPr>
        <w:ind w:firstLine="422"/>
      </w:pPr>
      <w:r>
        <w:rPr>
          <w:rFonts w:hint="eastAsia"/>
          <w:b/>
        </w:rPr>
        <w:t>第二条</w:t>
      </w:r>
      <w:r>
        <w:rPr>
          <w:rFonts w:hint="eastAsia"/>
        </w:rPr>
        <w:t xml:space="preserve">  凡在本市河道开采砂石的单位和个人，均应遵守本规定。市水行政主管部门是全市河道开采砂石管理机关。</w:t>
      </w:r>
    </w:p>
    <w:p w14:paraId="4CC9FB2E">
      <w:pPr>
        <w:ind w:firstLine="422"/>
      </w:pPr>
      <w:r>
        <w:rPr>
          <w:rFonts w:hint="eastAsia"/>
          <w:b/>
        </w:rPr>
        <w:t>第三条</w:t>
      </w:r>
      <w:r>
        <w:rPr>
          <w:rFonts w:hint="eastAsia"/>
        </w:rPr>
        <w:t xml:space="preserve">  开采河道砂石，实行统一规划、分级管理。在永定河（含小清河及大宁滞洪区）、潮白河、北运河（含温榆河）等河道内开采沙石，由市水行政主管部门授权的河道管理单位审批，其他河道、湖泊由区、县水行政主管部门审批。由批准机关发给开采许可证。无开采许可证的，不得在河道开采砂石。本规定发布前，已有的开采砂石的单位和个人，应自本规定施行之日起十五日内，按上述规定补办审批手续。</w:t>
      </w:r>
    </w:p>
    <w:p w14:paraId="12269511">
      <w:pPr>
        <w:ind w:firstLine="422"/>
      </w:pPr>
      <w:r>
        <w:rPr>
          <w:rFonts w:hint="eastAsia"/>
          <w:b/>
        </w:rPr>
        <w:t>第四条</w:t>
      </w:r>
      <w:r>
        <w:rPr>
          <w:rFonts w:hint="eastAsia"/>
        </w:rPr>
        <w:t xml:space="preserve">  开采河道砂石的单位和个人有维护水利工程和防汛安全的责任，开采砂石时必须做到：</w:t>
      </w:r>
    </w:p>
    <w:p w14:paraId="696423DE">
      <w:bookmarkStart w:id="2546" w:name="_Toc428780754"/>
      <w:r>
        <w:rPr>
          <w:rFonts w:hint="eastAsia"/>
        </w:rPr>
        <w:t>（一）严格按批准机关规定的范围开采，不得擅自扩大开采范围；</w:t>
      </w:r>
      <w:bookmarkEnd w:id="2546"/>
    </w:p>
    <w:p w14:paraId="276CA955">
      <w:r>
        <w:rPr>
          <w:rFonts w:hint="eastAsia"/>
        </w:rPr>
        <w:t>（二）严格控制挖掘深度，砂坑底部不得低于堤防基础底部；</w:t>
      </w:r>
    </w:p>
    <w:p w14:paraId="7DD2F644">
      <w:bookmarkStart w:id="2547" w:name="_Toc428780755"/>
      <w:r>
        <w:rPr>
          <w:rFonts w:hint="eastAsia"/>
        </w:rPr>
        <w:t>（三）开采后的弃料必须按要求及时回填，不得在河道内任意堆积；</w:t>
      </w:r>
      <w:bookmarkEnd w:id="2547"/>
    </w:p>
    <w:p w14:paraId="452ED180">
      <w:r>
        <w:rPr>
          <w:rFonts w:hint="eastAsia"/>
        </w:rPr>
        <w:t>（四）开采回填后的河床，必须保持底平、坡顺、无坑、无坨，不得改变河道纵坡和流势，不得影响穿堤涵闸或泵站的正常引水。</w:t>
      </w:r>
    </w:p>
    <w:p w14:paraId="448C126F">
      <w:pPr>
        <w:ind w:firstLine="422"/>
      </w:pPr>
      <w:r>
        <w:rPr>
          <w:rFonts w:hint="eastAsia"/>
          <w:b/>
        </w:rPr>
        <w:t>第五条</w:t>
      </w:r>
      <w:r>
        <w:rPr>
          <w:rFonts w:hint="eastAsia"/>
        </w:rPr>
        <w:t xml:space="preserve">  禁止在下列河段或地区开采砂石：</w:t>
      </w:r>
    </w:p>
    <w:p w14:paraId="6B92AD3B">
      <w:bookmarkStart w:id="2548" w:name="_Toc428780756"/>
      <w:r>
        <w:rPr>
          <w:rFonts w:hint="eastAsia"/>
        </w:rPr>
        <w:t>（一）铁路桥上、下游各五百米以内的河段；</w:t>
      </w:r>
      <w:bookmarkEnd w:id="2548"/>
    </w:p>
    <w:p w14:paraId="4D005685">
      <w:r>
        <w:rPr>
          <w:rFonts w:hint="eastAsia"/>
        </w:rPr>
        <w:t>（二）公路桥及重要管线上、下游各三百米以内的河段；</w:t>
      </w:r>
    </w:p>
    <w:p w14:paraId="55AA88BC">
      <w:bookmarkStart w:id="2549" w:name="_Toc428780757"/>
      <w:r>
        <w:rPr>
          <w:rFonts w:hint="eastAsia"/>
        </w:rPr>
        <w:t>（三）危及引水工程安全的河段；</w:t>
      </w:r>
      <w:bookmarkEnd w:id="2549"/>
    </w:p>
    <w:p w14:paraId="27E79811">
      <w:r>
        <w:rPr>
          <w:rFonts w:hint="eastAsia"/>
        </w:rPr>
        <w:t>（四）危及堤防和危险工程安全的范围内（含堤外）。</w:t>
      </w:r>
    </w:p>
    <w:p w14:paraId="4F8D011A">
      <w:pPr>
        <w:ind w:firstLine="422"/>
      </w:pPr>
      <w:r>
        <w:rPr>
          <w:rFonts w:hint="eastAsia"/>
          <w:b/>
        </w:rPr>
        <w:t>第六条</w:t>
      </w:r>
      <w:r>
        <w:rPr>
          <w:rFonts w:hint="eastAsia"/>
        </w:rPr>
        <w:t xml:space="preserve">  开采河道砂石的单位和个人，每月按实际开采量向批准机关缴纳管理费具体标准由市价格主管部门会同市财政部门另行规定。</w:t>
      </w:r>
    </w:p>
    <w:p w14:paraId="56FD274D">
      <w:pPr>
        <w:ind w:firstLine="422"/>
        <w:rPr>
          <w:rFonts w:hint="eastAsia" w:ascii="宋体" w:hAnsi="宋体" w:eastAsia="宋体" w:cs="宋体"/>
        </w:rPr>
      </w:pPr>
      <w:r>
        <w:rPr>
          <w:rFonts w:hint="eastAsia"/>
          <w:b/>
        </w:rPr>
        <w:t>第七条</w:t>
      </w:r>
      <w:r>
        <w:rPr>
          <w:rFonts w:hint="eastAsia" w:ascii="宋体" w:hAnsi="宋体" w:eastAsia="宋体" w:cs="宋体"/>
        </w:rPr>
        <w:t xml:space="preserve">  凡违反本规定者，水行政主管部门有权令其改正，恢复原貌；对不改正者，按情节轻重处以1万元以上5万元以下罚款。</w:t>
      </w:r>
    </w:p>
    <w:p w14:paraId="5F8628DF">
      <w:pPr>
        <w:ind w:firstLine="422"/>
        <w:rPr>
          <w:rFonts w:hint="eastAsia" w:ascii="宋体" w:hAnsi="宋体" w:eastAsia="宋体" w:cs="宋体"/>
        </w:rPr>
      </w:pPr>
      <w:r>
        <w:rPr>
          <w:rFonts w:hint="eastAsia" w:ascii="宋体" w:hAnsi="宋体" w:eastAsia="宋体" w:cs="宋体"/>
          <w:b/>
        </w:rPr>
        <w:t>第八条</w:t>
      </w:r>
      <w:r>
        <w:rPr>
          <w:rFonts w:hint="eastAsia" w:ascii="宋体" w:hAnsi="宋体" w:eastAsia="宋体" w:cs="宋体"/>
        </w:rPr>
        <w:t xml:space="preserve">  市、区、县水行政主管部门及其河道管理人员必须严格执行本规定。河道管理人员在执行任务时一律佩戴统一标志。</w:t>
      </w:r>
    </w:p>
    <w:p w14:paraId="583F53AD">
      <w:pPr>
        <w:rPr>
          <w:rFonts w:hint="eastAsia" w:ascii="宋体" w:hAnsi="宋体" w:eastAsia="宋体" w:cs="宋体"/>
        </w:rPr>
      </w:pPr>
      <w:r>
        <w:rPr>
          <w:rFonts w:hint="eastAsia" w:ascii="宋体" w:hAnsi="宋体" w:eastAsia="宋体" w:cs="宋体"/>
        </w:rPr>
        <w:t>河道管理人员认真执行任务，成绩显著者，给予奖励；玩忽职守，造成严重后果者，给予行政处分，直至追究法律责任。</w:t>
      </w:r>
    </w:p>
    <w:p w14:paraId="7CE6C8B9">
      <w:pPr>
        <w:ind w:firstLine="422"/>
        <w:rPr>
          <w:rFonts w:hint="eastAsia" w:ascii="宋体" w:hAnsi="宋体" w:eastAsia="宋体" w:cs="宋体"/>
        </w:rPr>
      </w:pPr>
      <w:r>
        <w:rPr>
          <w:rFonts w:hint="eastAsia" w:ascii="宋体" w:hAnsi="宋体" w:eastAsia="宋体" w:cs="宋体"/>
          <w:b/>
        </w:rPr>
        <w:t>第九条</w:t>
      </w:r>
      <w:r>
        <w:rPr>
          <w:rFonts w:hint="eastAsia" w:ascii="宋体" w:hAnsi="宋体" w:eastAsia="宋体" w:cs="宋体"/>
        </w:rPr>
        <w:t xml:space="preserve">  本规定的实施细则由市水行政主管部门制定。</w:t>
      </w:r>
    </w:p>
    <w:p w14:paraId="4452CD05">
      <w:pPr>
        <w:ind w:firstLine="422"/>
        <w:rPr>
          <w:rFonts w:hint="eastAsia" w:ascii="宋体" w:hAnsi="宋体" w:eastAsia="宋体" w:cs="宋体"/>
        </w:rPr>
      </w:pPr>
      <w:r>
        <w:rPr>
          <w:rFonts w:hint="eastAsia" w:ascii="宋体" w:hAnsi="宋体" w:eastAsia="宋体" w:cs="宋体"/>
          <w:b/>
        </w:rPr>
        <w:t>第十条</w:t>
      </w:r>
      <w:r>
        <w:rPr>
          <w:rFonts w:hint="eastAsia" w:ascii="宋体" w:hAnsi="宋体" w:eastAsia="宋体" w:cs="宋体"/>
        </w:rPr>
        <w:t xml:space="preserve">  本规定自1985年7月1日起施行。</w:t>
      </w:r>
    </w:p>
    <w:p w14:paraId="1D523652">
      <w:pPr>
        <w:pStyle w:val="4"/>
        <w:pageBreakBefore/>
      </w:pPr>
      <w:bookmarkStart w:id="2550" w:name="_Toc428781899"/>
      <w:bookmarkStart w:id="2551" w:name="_Toc428780758"/>
      <w:bookmarkStart w:id="2552" w:name="_Toc426467151"/>
      <w:r>
        <w:rPr>
          <w:rFonts w:hint="eastAsia"/>
        </w:rPr>
        <w:t>北京市人民政府关于加强</w:t>
      </w:r>
      <w:bookmarkEnd w:id="2550"/>
      <w:bookmarkEnd w:id="2551"/>
    </w:p>
    <w:p w14:paraId="1A8B1F0D">
      <w:pPr>
        <w:pStyle w:val="4"/>
      </w:pPr>
      <w:bookmarkStart w:id="2553" w:name="_Toc428780759"/>
      <w:bookmarkStart w:id="2554" w:name="_Toc428781900"/>
      <w:r>
        <w:rPr>
          <w:rFonts w:hint="eastAsia"/>
        </w:rPr>
        <w:t>农村</w:t>
      </w:r>
      <w:bookmarkEnd w:id="2552"/>
      <w:bookmarkStart w:id="2555" w:name="_Toc426467152"/>
      <w:r>
        <w:rPr>
          <w:rFonts w:hint="eastAsia"/>
        </w:rPr>
        <w:t>村民建房用地管理若干规定</w:t>
      </w:r>
      <w:bookmarkEnd w:id="2553"/>
      <w:bookmarkEnd w:id="2554"/>
      <w:bookmarkEnd w:id="2555"/>
    </w:p>
    <w:p w14:paraId="12300F4A">
      <w:pPr>
        <w:ind w:left="630" w:leftChars="300" w:right="630" w:rightChars="300"/>
        <w:rPr>
          <w:rFonts w:ascii="楷体" w:hAnsi="楷体" w:eastAsia="楷体"/>
        </w:rPr>
      </w:pPr>
      <w:r>
        <w:rPr>
          <w:rFonts w:hint="eastAsia" w:ascii="楷体" w:hAnsi="楷体" w:eastAsia="楷体"/>
        </w:rPr>
        <w:t>（1989年12月16日北京市人民政府第39号令发布　根据1997年12月31日北京市人民政府第12号令第一次修改　根据2007年11月23日北京市人民政府第200号令第二次修改）</w:t>
      </w:r>
    </w:p>
    <w:p w14:paraId="6CE849B2"/>
    <w:p w14:paraId="4F078636">
      <w:pPr>
        <w:ind w:firstLine="422"/>
      </w:pPr>
      <w:r>
        <w:rPr>
          <w:rFonts w:hint="eastAsia"/>
          <w:b/>
        </w:rPr>
        <w:t>第一条</w:t>
      </w:r>
      <w:r>
        <w:rPr>
          <w:rFonts w:hint="eastAsia"/>
        </w:rPr>
        <w:t xml:space="preserve">  为严格控制农村村民建房用地，制止乱占滥用耕地建房，根据《中华人民共和国土地管理法》和有关法律、法规，结合本市实际情况，制定本规定。</w:t>
      </w:r>
    </w:p>
    <w:p w14:paraId="63FE14DF">
      <w:pPr>
        <w:ind w:firstLine="422"/>
      </w:pPr>
      <w:r>
        <w:rPr>
          <w:rFonts w:hint="eastAsia"/>
          <w:b/>
        </w:rPr>
        <w:t>第二条</w:t>
      </w:r>
      <w:r>
        <w:rPr>
          <w:rFonts w:hint="eastAsia"/>
        </w:rPr>
        <w:t xml:space="preserve">  凡本市农村村民（以下简称村民）建设个人住宅用地，均按本规定管理。</w:t>
      </w:r>
    </w:p>
    <w:p w14:paraId="3225CAA5">
      <w:pPr>
        <w:ind w:firstLine="422"/>
      </w:pPr>
      <w:r>
        <w:rPr>
          <w:rFonts w:hint="eastAsia"/>
          <w:b/>
        </w:rPr>
        <w:t>第三条</w:t>
      </w:r>
      <w:r>
        <w:rPr>
          <w:rFonts w:hint="eastAsia"/>
        </w:rPr>
        <w:t xml:space="preserve">  村民建房用地，必须贯彻十分珍惜和合理利用土地的方针，认真执行保护耕地的基本国策，禁止乱占耕地、滥用土地。</w:t>
      </w:r>
    </w:p>
    <w:p w14:paraId="6B9C0621">
      <w:pPr>
        <w:ind w:firstLine="422"/>
      </w:pPr>
      <w:r>
        <w:rPr>
          <w:rFonts w:hint="eastAsia"/>
          <w:b/>
        </w:rPr>
        <w:t>第四条</w:t>
      </w:r>
      <w:r>
        <w:rPr>
          <w:rFonts w:hint="eastAsia"/>
        </w:rPr>
        <w:t xml:space="preserve">  村民新建住房，应在原宅基地内安排；原宅基地无法安排的，应充分利用村内空闲地（包括按照乡村建设规划调整出的宅基地）或其他非耕地。</w:t>
      </w:r>
    </w:p>
    <w:p w14:paraId="7A711E44">
      <w:r>
        <w:rPr>
          <w:rFonts w:hint="eastAsia"/>
        </w:rPr>
        <w:t>村内无空闲地或非耕地，确需占用耕地建房的，必须先在本村开发相当新建住房用地面积两倍的荒地后，方可占用耕地。</w:t>
      </w:r>
    </w:p>
    <w:p w14:paraId="154F1832">
      <w:r>
        <w:rPr>
          <w:rFonts w:hint="eastAsia"/>
        </w:rPr>
        <w:t>按照规划进行新农村住宅建设的，一般应在原址改建。确需易址新建的，附旧址复垦计划，经乡（镇）人民政府审核，由区、县人民政府批准。涉及农用地转为建设用地的，依法办理农用地转为建设用地审批手续。</w:t>
      </w:r>
    </w:p>
    <w:p w14:paraId="27FBC6F0">
      <w:pPr>
        <w:ind w:firstLine="422"/>
        <w:rPr>
          <w:rFonts w:hint="eastAsia" w:ascii="宋体" w:hAnsi="宋体" w:eastAsia="宋体" w:cs="宋体"/>
        </w:rPr>
      </w:pPr>
      <w:r>
        <w:rPr>
          <w:rFonts w:hint="eastAsia"/>
          <w:b/>
        </w:rPr>
        <w:t>第五条</w:t>
      </w:r>
      <w:r>
        <w:rPr>
          <w:rFonts w:hint="eastAsia"/>
        </w:rPr>
        <w:t xml:space="preserve">  占用耕地建房的村民，必须依法</w:t>
      </w:r>
      <w:r>
        <w:rPr>
          <w:rFonts w:hint="eastAsia" w:ascii="宋体" w:hAnsi="宋体" w:eastAsia="宋体" w:cs="宋体"/>
        </w:rPr>
        <w:t>缴纳耕地占用税。</w:t>
      </w:r>
    </w:p>
    <w:p w14:paraId="5B351555">
      <w:pPr>
        <w:ind w:firstLine="422"/>
        <w:rPr>
          <w:rFonts w:hint="eastAsia" w:ascii="宋体" w:hAnsi="宋体" w:eastAsia="宋体" w:cs="宋体"/>
        </w:rPr>
      </w:pPr>
      <w:r>
        <w:rPr>
          <w:rFonts w:hint="eastAsia" w:ascii="宋体" w:hAnsi="宋体" w:eastAsia="宋体" w:cs="宋体"/>
          <w:b/>
        </w:rPr>
        <w:t>第六条</w:t>
      </w:r>
      <w:r>
        <w:rPr>
          <w:rFonts w:hint="eastAsia" w:ascii="宋体" w:hAnsi="宋体" w:eastAsia="宋体" w:cs="宋体"/>
        </w:rPr>
        <w:t xml:space="preserve">  村民每户建房用地的标准，由各区、县人民政府根据本行政区域的情况确定，但近郊区各区和远郊区人多地少的乡村，最高不得超过0.25亩；其他地区最高不得超过0.3亩。</w:t>
      </w:r>
    </w:p>
    <w:p w14:paraId="50025168">
      <w:pPr>
        <w:rPr>
          <w:rFonts w:hint="eastAsia" w:ascii="宋体" w:hAnsi="宋体" w:eastAsia="宋体" w:cs="宋体"/>
        </w:rPr>
      </w:pPr>
      <w:r>
        <w:rPr>
          <w:rFonts w:hint="eastAsia" w:ascii="宋体" w:hAnsi="宋体" w:eastAsia="宋体" w:cs="宋体"/>
        </w:rPr>
        <w:t>1982年以前划定的宅基地，多于本条前款规定的用地标准的，可按每户最高不超过0.4亩的标准从宽认定，超过部分按照乡村建设规划逐步调整。</w:t>
      </w:r>
    </w:p>
    <w:p w14:paraId="6E4A30CA">
      <w:pPr>
        <w:rPr>
          <w:rFonts w:hint="eastAsia" w:ascii="宋体" w:hAnsi="宋体" w:eastAsia="宋体" w:cs="宋体"/>
        </w:rPr>
      </w:pPr>
      <w:r>
        <w:rPr>
          <w:rFonts w:hint="eastAsia" w:ascii="宋体" w:hAnsi="宋体" w:eastAsia="宋体" w:cs="宋体"/>
        </w:rPr>
        <w:t>市房屋土地管理局要按照每年土地利用计划，向郊区各区、县人民政府下达村民建房用地控制指标。</w:t>
      </w:r>
    </w:p>
    <w:p w14:paraId="1A2F315D">
      <w:pPr>
        <w:ind w:firstLine="422"/>
        <w:rPr>
          <w:rFonts w:hint="eastAsia" w:ascii="宋体" w:hAnsi="宋体" w:eastAsia="宋体" w:cs="宋体"/>
        </w:rPr>
      </w:pPr>
      <w:r>
        <w:rPr>
          <w:rFonts w:hint="eastAsia" w:ascii="宋体" w:hAnsi="宋体" w:eastAsia="宋体" w:cs="宋体"/>
          <w:b/>
        </w:rPr>
        <w:t>第七条</w:t>
      </w:r>
      <w:r>
        <w:rPr>
          <w:rFonts w:hint="eastAsia" w:ascii="宋体" w:hAnsi="宋体" w:eastAsia="宋体" w:cs="宋体"/>
        </w:rPr>
        <w:t xml:space="preserve">  村民申请建房用地，必须符合下列条件：</w:t>
      </w:r>
    </w:p>
    <w:p w14:paraId="693481BC">
      <w:pPr>
        <w:rPr>
          <w:rFonts w:hint="eastAsia" w:ascii="宋体" w:hAnsi="宋体" w:eastAsia="宋体" w:cs="宋体"/>
        </w:rPr>
      </w:pPr>
      <w:bookmarkStart w:id="2556" w:name="_Toc428780760"/>
      <w:r>
        <w:rPr>
          <w:rFonts w:hint="eastAsia" w:ascii="宋体" w:hAnsi="宋体" w:eastAsia="宋体" w:cs="宋体"/>
        </w:rPr>
        <w:t>（一）子女已达到法定结婚年龄，无房分居；</w:t>
      </w:r>
      <w:bookmarkEnd w:id="2556"/>
    </w:p>
    <w:p w14:paraId="312ABEBA">
      <w:pPr>
        <w:rPr>
          <w:rFonts w:hint="eastAsia" w:ascii="宋体" w:hAnsi="宋体" w:eastAsia="宋体" w:cs="宋体"/>
        </w:rPr>
      </w:pPr>
      <w:r>
        <w:rPr>
          <w:rFonts w:hint="eastAsia" w:ascii="宋体" w:hAnsi="宋体" w:eastAsia="宋体" w:cs="宋体"/>
        </w:rPr>
        <w:t>（二）现有宅基地（包括1982年以前划定的老宅基地）按所在区、县规定的建房用地标准无法扩建。</w:t>
      </w:r>
    </w:p>
    <w:p w14:paraId="27634CD9">
      <w:pPr>
        <w:rPr>
          <w:rFonts w:hint="eastAsia" w:ascii="宋体" w:hAnsi="宋体" w:eastAsia="宋体" w:cs="宋体"/>
        </w:rPr>
      </w:pPr>
      <w:r>
        <w:rPr>
          <w:rFonts w:hint="eastAsia" w:ascii="宋体" w:hAnsi="宋体" w:eastAsia="宋体" w:cs="宋体"/>
        </w:rPr>
        <w:t>出卖或出租住房后再申请宅基地的，不予受理。</w:t>
      </w:r>
    </w:p>
    <w:p w14:paraId="22B5C6DB">
      <w:pPr>
        <w:ind w:firstLine="422"/>
        <w:rPr>
          <w:rFonts w:hint="eastAsia" w:ascii="宋体" w:hAnsi="宋体" w:eastAsia="宋体" w:cs="宋体"/>
        </w:rPr>
      </w:pPr>
      <w:r>
        <w:rPr>
          <w:rFonts w:hint="eastAsia" w:ascii="宋体" w:hAnsi="宋体" w:eastAsia="宋体" w:cs="宋体"/>
          <w:b/>
        </w:rPr>
        <w:t>第八条</w:t>
      </w:r>
      <w:r>
        <w:rPr>
          <w:rFonts w:hint="eastAsia" w:ascii="宋体" w:hAnsi="宋体" w:eastAsia="宋体" w:cs="宋体"/>
        </w:rPr>
        <w:t xml:space="preserve">  村民建房，占用原有宅基地、村内空闲地或其他非耕地的，经乡（镇）人民政府审核，由区、县人民政府批准。其中，涉及占用农用地的，报市人民政府办理农转用审批手续。</w:t>
      </w:r>
    </w:p>
    <w:p w14:paraId="039B0F3E">
      <w:pPr>
        <w:ind w:firstLine="422"/>
        <w:rPr>
          <w:rFonts w:hint="eastAsia" w:ascii="宋体" w:hAnsi="宋体" w:eastAsia="宋体" w:cs="宋体"/>
        </w:rPr>
      </w:pPr>
      <w:r>
        <w:rPr>
          <w:rFonts w:hint="eastAsia" w:ascii="宋体" w:hAnsi="宋体" w:eastAsia="宋体" w:cs="宋体"/>
          <w:b/>
        </w:rPr>
        <w:t>第九条</w:t>
      </w:r>
      <w:r>
        <w:rPr>
          <w:rFonts w:hint="eastAsia" w:ascii="宋体" w:hAnsi="宋体" w:eastAsia="宋体" w:cs="宋体"/>
        </w:rPr>
        <w:t xml:space="preserve">  村民全家迁出本村或由农业户口转为非农业户口后另有住房的，其原宅基地由本村集体经济组织收回，宅基地上的房屋和其他附着物应由原房屋所有人自行拆除；也可经乡人民政府批准，按照规定的价格出售给符合申请建房用地条件的村民。</w:t>
      </w:r>
    </w:p>
    <w:p w14:paraId="661379CE">
      <w:pPr>
        <w:ind w:firstLine="422"/>
        <w:rPr>
          <w:rFonts w:hint="eastAsia" w:ascii="宋体" w:hAnsi="宋体" w:eastAsia="宋体" w:cs="宋体"/>
        </w:rPr>
      </w:pPr>
      <w:r>
        <w:rPr>
          <w:rFonts w:hint="eastAsia" w:ascii="宋体" w:hAnsi="宋体" w:eastAsia="宋体" w:cs="宋体"/>
          <w:b/>
        </w:rPr>
        <w:t>第十条</w:t>
      </w:r>
      <w:r>
        <w:rPr>
          <w:rFonts w:hint="eastAsia" w:ascii="宋体" w:hAnsi="宋体" w:eastAsia="宋体" w:cs="宋体"/>
        </w:rPr>
        <w:t xml:space="preserve">  位于规划市区范围内的村镇，可按城市规划要求并经城市规划管理机关批准，建设村民住宅楼，但不得进行土地和房屋开发经营。</w:t>
      </w:r>
    </w:p>
    <w:p w14:paraId="52A97A89">
      <w:pPr>
        <w:ind w:firstLine="422"/>
        <w:rPr>
          <w:rFonts w:hint="eastAsia" w:ascii="宋体" w:hAnsi="宋体" w:eastAsia="宋体" w:cs="宋体"/>
        </w:rPr>
      </w:pPr>
      <w:r>
        <w:rPr>
          <w:rFonts w:hint="eastAsia" w:ascii="宋体" w:hAnsi="宋体" w:eastAsia="宋体" w:cs="宋体"/>
          <w:b/>
        </w:rPr>
        <w:t>第十一条</w:t>
      </w:r>
      <w:r>
        <w:rPr>
          <w:rFonts w:hint="eastAsia" w:ascii="宋体" w:hAnsi="宋体" w:eastAsia="宋体" w:cs="宋体"/>
        </w:rPr>
        <w:t xml:space="preserve">  非法占地建房，或以不正当手段骗取批准的，责令建房者退还非法占用的土地，限期拆除或没收在非法占地上新建的房屋。</w:t>
      </w:r>
    </w:p>
    <w:p w14:paraId="11CE85BC">
      <w:pPr>
        <w:rPr>
          <w:rFonts w:hint="eastAsia" w:ascii="宋体" w:hAnsi="宋体" w:eastAsia="宋体" w:cs="宋体"/>
        </w:rPr>
      </w:pPr>
      <w:r>
        <w:rPr>
          <w:rFonts w:hint="eastAsia" w:ascii="宋体" w:hAnsi="宋体" w:eastAsia="宋体" w:cs="宋体"/>
        </w:rPr>
        <w:t>干部利用职权，未经批准或采取欺骗手段骗取批准，非法占地建房的，除按前款规定处理外，并由其所在单位或上级机关给予行政处分。</w:t>
      </w:r>
    </w:p>
    <w:p w14:paraId="3218B4E5">
      <w:pPr>
        <w:ind w:firstLine="422"/>
        <w:rPr>
          <w:rFonts w:hint="eastAsia" w:ascii="宋体" w:hAnsi="宋体" w:eastAsia="宋体" w:cs="宋体"/>
        </w:rPr>
      </w:pPr>
      <w:r>
        <w:rPr>
          <w:rFonts w:hint="eastAsia" w:ascii="宋体" w:hAnsi="宋体" w:eastAsia="宋体" w:cs="宋体"/>
          <w:b/>
        </w:rPr>
        <w:t>第十二条</w:t>
      </w:r>
      <w:r>
        <w:rPr>
          <w:rFonts w:hint="eastAsia" w:ascii="宋体" w:hAnsi="宋体" w:eastAsia="宋体" w:cs="宋体"/>
        </w:rPr>
        <w:t xml:space="preserve">  土地管理机关及其工作人员，必须认真履行职责，严肃执法。</w:t>
      </w:r>
    </w:p>
    <w:p w14:paraId="20D6E30C">
      <w:pPr>
        <w:rPr>
          <w:rFonts w:hint="eastAsia" w:ascii="宋体" w:hAnsi="宋体" w:eastAsia="宋体" w:cs="宋体"/>
        </w:rPr>
      </w:pPr>
      <w:r>
        <w:rPr>
          <w:rFonts w:hint="eastAsia" w:ascii="宋体" w:hAnsi="宋体" w:eastAsia="宋体" w:cs="宋体"/>
        </w:rPr>
        <w:t>审批机关越权审批的，批准文件无效，除由建房者拆除所建房屋，退还占用的土地外，对审批机关的直接责任人或主管负责人应追究行政责任。村民所受到的损失，由越权审批机关赔偿。对徇私偏袒、弄虚作假、索贿受贿、滥用职权的，由其上级机关给予行政处分。</w:t>
      </w:r>
    </w:p>
    <w:p w14:paraId="44D408D3">
      <w:pPr>
        <w:ind w:firstLine="422"/>
        <w:rPr>
          <w:rFonts w:hint="eastAsia" w:ascii="宋体" w:hAnsi="宋体" w:eastAsia="宋体" w:cs="宋体"/>
        </w:rPr>
      </w:pPr>
      <w:r>
        <w:rPr>
          <w:rFonts w:hint="eastAsia" w:ascii="宋体" w:hAnsi="宋体" w:eastAsia="宋体" w:cs="宋体"/>
          <w:b/>
        </w:rPr>
        <w:t>第十三条</w:t>
      </w:r>
      <w:r>
        <w:rPr>
          <w:rFonts w:hint="eastAsia" w:ascii="宋体" w:hAnsi="宋体" w:eastAsia="宋体" w:cs="宋体"/>
        </w:rPr>
        <w:t xml:space="preserve">  本规定自1990年1月1日起施行。</w:t>
      </w:r>
    </w:p>
    <w:p w14:paraId="1DB455FA">
      <w:pPr>
        <w:pStyle w:val="4"/>
        <w:pageBreakBefore/>
      </w:pPr>
      <w:bookmarkStart w:id="2557" w:name="_Toc428781901"/>
      <w:bookmarkStart w:id="2558" w:name="_Toc426467153"/>
      <w:bookmarkStart w:id="2559" w:name="_Toc428780761"/>
      <w:r>
        <w:rPr>
          <w:rFonts w:hint="eastAsia"/>
        </w:rPr>
        <w:t>北京市实施《中华人民共和国城镇</w:t>
      </w:r>
      <w:bookmarkEnd w:id="2557"/>
      <w:bookmarkEnd w:id="2558"/>
      <w:bookmarkEnd w:id="2559"/>
    </w:p>
    <w:p w14:paraId="3A29F104">
      <w:pPr>
        <w:pStyle w:val="4"/>
      </w:pPr>
      <w:bookmarkStart w:id="2560" w:name="_Toc428780762"/>
      <w:bookmarkStart w:id="2561" w:name="_Toc428781902"/>
      <w:bookmarkStart w:id="2562" w:name="_Toc426467154"/>
      <w:r>
        <w:rPr>
          <w:rFonts w:hint="eastAsia"/>
        </w:rPr>
        <w:t>国有土地使用权出让和转让暂行条例》办法</w:t>
      </w:r>
      <w:bookmarkEnd w:id="2560"/>
      <w:bookmarkEnd w:id="2561"/>
      <w:bookmarkEnd w:id="2562"/>
    </w:p>
    <w:p w14:paraId="4E1365AE">
      <w:pPr>
        <w:ind w:left="630" w:leftChars="300" w:right="630" w:rightChars="300"/>
        <w:rPr>
          <w:rFonts w:ascii="楷体" w:hAnsi="楷体" w:eastAsia="楷体"/>
        </w:rPr>
      </w:pPr>
      <w:r>
        <w:rPr>
          <w:rFonts w:hint="eastAsia" w:ascii="楷体" w:hAnsi="楷体" w:eastAsia="楷体"/>
        </w:rPr>
        <w:t>（1992年5月27日北京市人民政府第11号令发布  根据1993年5月18日北京市人民政府第6号令第一次修改  根据2002年2月11日北京市人民政府第92号令第二次修改  根据2007年11月23日北京市人民政府第200号令第三次修改）</w:t>
      </w:r>
    </w:p>
    <w:p w14:paraId="1B87B7D0"/>
    <w:p w14:paraId="550AD2B9">
      <w:pPr>
        <w:ind w:firstLine="422"/>
      </w:pPr>
      <w:r>
        <w:rPr>
          <w:rFonts w:hint="eastAsia"/>
          <w:b/>
        </w:rPr>
        <w:t>第一条</w:t>
      </w:r>
      <w:r>
        <w:rPr>
          <w:rFonts w:hint="eastAsia"/>
        </w:rPr>
        <w:t xml:space="preserve">  为合理开发、利用、经营国有土地，加强国有土地使用权出让和转让管理，促进本市城市建设和经济发展，根据《中华人民共和国城镇国有土地使用权出让和转让暂行条例》（以下简称《条例》），结合本市实际情况，制定本办法。</w:t>
      </w:r>
    </w:p>
    <w:p w14:paraId="00D9B285">
      <w:pPr>
        <w:ind w:firstLine="422"/>
      </w:pPr>
      <w:r>
        <w:rPr>
          <w:rFonts w:hint="eastAsia"/>
          <w:b/>
        </w:rPr>
        <w:t>第二条</w:t>
      </w:r>
      <w:r>
        <w:rPr>
          <w:rFonts w:hint="eastAsia"/>
        </w:rPr>
        <w:t xml:space="preserve">  本市行政区域内国有土地使用权（以下简称土地使用权）出让和转让，适用 《条例》和本办法。</w:t>
      </w:r>
    </w:p>
    <w:p w14:paraId="18D6E7BA">
      <w:pPr>
        <w:ind w:firstLine="422"/>
      </w:pPr>
      <w:r>
        <w:rPr>
          <w:rFonts w:hint="eastAsia"/>
          <w:b/>
        </w:rPr>
        <w:t>第三条</w:t>
      </w:r>
      <w:r>
        <w:rPr>
          <w:rFonts w:hint="eastAsia"/>
        </w:rPr>
        <w:t xml:space="preserve">  本市土地使用权的出让和转让工作，由土地行政主管部门依照法律、法规和规章的有关规定办理。</w:t>
      </w:r>
    </w:p>
    <w:p w14:paraId="572B248F">
      <w:pPr>
        <w:ind w:firstLine="422"/>
      </w:pPr>
      <w:r>
        <w:rPr>
          <w:rFonts w:hint="eastAsia"/>
          <w:b/>
        </w:rPr>
        <w:t>第四条</w:t>
      </w:r>
      <w:r>
        <w:rPr>
          <w:rFonts w:hint="eastAsia"/>
        </w:rPr>
        <w:t xml:space="preserve">  除下列用地，经土地行政主管部门核准，可依法办理划拨外，其他用地均应通过出让或者转让方式取得土地使用权：</w:t>
      </w:r>
    </w:p>
    <w:p w14:paraId="70F02217">
      <w:r>
        <w:rPr>
          <w:rFonts w:hint="eastAsia"/>
        </w:rPr>
        <w:t>（一）各级财政拨款建设的党政军机关、行政事业单位办公用房的用地；</w:t>
      </w:r>
    </w:p>
    <w:p w14:paraId="3D52D79A">
      <w:bookmarkStart w:id="2563" w:name="_Toc428780763"/>
      <w:r>
        <w:rPr>
          <w:rFonts w:hint="eastAsia"/>
        </w:rPr>
        <w:t>（二）城市基础设施、公用设施和公益事业用地；</w:t>
      </w:r>
      <w:bookmarkEnd w:id="2563"/>
    </w:p>
    <w:p w14:paraId="5611F7B1">
      <w:r>
        <w:rPr>
          <w:rFonts w:hint="eastAsia"/>
        </w:rPr>
        <w:t>（三）国家重点建设的能源、交通、国防和农业水利工程用地；</w:t>
      </w:r>
    </w:p>
    <w:p w14:paraId="59ECD837">
      <w:r>
        <w:rPr>
          <w:rFonts w:hint="eastAsia"/>
        </w:rPr>
        <w:t>（四）市人民政府批准的其他用地。</w:t>
      </w:r>
    </w:p>
    <w:p w14:paraId="2F314FD8">
      <w:pPr>
        <w:ind w:firstLine="422"/>
      </w:pPr>
      <w:r>
        <w:rPr>
          <w:rFonts w:hint="eastAsia"/>
          <w:b/>
        </w:rPr>
        <w:t>第五条</w:t>
      </w:r>
      <w:r>
        <w:rPr>
          <w:rFonts w:hint="eastAsia"/>
        </w:rPr>
        <w:t xml:space="preserve">  出让和转让土地使用权，不及于地下资源、埋藏物及市政公用设施。</w:t>
      </w:r>
    </w:p>
    <w:p w14:paraId="6E5AC8BC">
      <w:pPr>
        <w:ind w:firstLine="422"/>
      </w:pPr>
      <w:r>
        <w:rPr>
          <w:rFonts w:hint="eastAsia"/>
          <w:b/>
        </w:rPr>
        <w:t>第六条</w:t>
      </w:r>
      <w:r>
        <w:rPr>
          <w:rFonts w:hint="eastAsia"/>
        </w:rPr>
        <w:t xml:space="preserve">  依照《条例》和本办法以出让或者转让方式取得土地使用权的土地使用者（以下简称土地使用者），合法权益受法律保护。</w:t>
      </w:r>
    </w:p>
    <w:p w14:paraId="04666E81">
      <w:r>
        <w:rPr>
          <w:rFonts w:hint="eastAsia"/>
        </w:rPr>
        <w:t>土地使用者开发、利用、经营土地的活动，应遵守法律、法规、规章的规定，不得损害社会公共利益。</w:t>
      </w:r>
    </w:p>
    <w:p w14:paraId="55E0C699">
      <w:pPr>
        <w:ind w:firstLine="422"/>
      </w:pPr>
      <w:r>
        <w:rPr>
          <w:rFonts w:hint="eastAsia"/>
          <w:b/>
        </w:rPr>
        <w:t>第七条</w:t>
      </w:r>
      <w:r>
        <w:rPr>
          <w:rFonts w:hint="eastAsia"/>
        </w:rPr>
        <w:t xml:space="preserve">  土地使用权的出让和转让，以及土地使用者对于土地的开发、利用、经营，必须符合本市城市规划。</w:t>
      </w:r>
    </w:p>
    <w:p w14:paraId="6D7C683F">
      <w:pPr>
        <w:ind w:firstLine="422"/>
        <w:rPr>
          <w:rFonts w:hint="eastAsia" w:ascii="宋体" w:hAnsi="宋体" w:eastAsia="宋体" w:cs="宋体"/>
        </w:rPr>
      </w:pPr>
      <w:r>
        <w:rPr>
          <w:rFonts w:hint="eastAsia"/>
          <w:b/>
        </w:rPr>
        <w:t>第八条</w:t>
      </w:r>
      <w:r>
        <w:rPr>
          <w:rFonts w:hint="eastAsia"/>
        </w:rPr>
        <w:t xml:space="preserve">  土地使用权出让的地块位置、面积、用途和出让期限及其他条件，由土地行政主管部门会同计划、规</w:t>
      </w:r>
      <w:r>
        <w:rPr>
          <w:rFonts w:hint="eastAsia" w:ascii="宋体" w:hAnsi="宋体" w:eastAsia="宋体" w:cs="宋体"/>
        </w:rPr>
        <w:t>划、建设、市政管理部门共同拟定，报同级人民政府批准后，由土地行政主管部门实施。</w:t>
      </w:r>
    </w:p>
    <w:p w14:paraId="280BE2EC">
      <w:pPr>
        <w:ind w:firstLine="422"/>
        <w:rPr>
          <w:rFonts w:hint="eastAsia" w:ascii="宋体" w:hAnsi="宋体" w:eastAsia="宋体" w:cs="宋体"/>
        </w:rPr>
      </w:pPr>
      <w:r>
        <w:rPr>
          <w:rFonts w:hint="eastAsia" w:ascii="宋体" w:hAnsi="宋体" w:eastAsia="宋体" w:cs="宋体"/>
          <w:b/>
        </w:rPr>
        <w:t>第九条</w:t>
      </w:r>
      <w:r>
        <w:rPr>
          <w:rFonts w:hint="eastAsia" w:ascii="宋体" w:hAnsi="宋体" w:eastAsia="宋体" w:cs="宋体"/>
        </w:rPr>
        <w:t xml:space="preserve">  土地使用权出让最高年限按下列用途确定：</w:t>
      </w:r>
    </w:p>
    <w:p w14:paraId="2A757AB1">
      <w:pPr>
        <w:rPr>
          <w:rFonts w:hint="eastAsia" w:ascii="宋体" w:hAnsi="宋体" w:eastAsia="宋体" w:cs="宋体"/>
        </w:rPr>
      </w:pPr>
      <w:r>
        <w:rPr>
          <w:rFonts w:hint="eastAsia" w:ascii="宋体" w:hAnsi="宋体" w:eastAsia="宋体" w:cs="宋体"/>
        </w:rPr>
        <w:t>（一）居住用地70年；</w:t>
      </w:r>
    </w:p>
    <w:p w14:paraId="750D368F">
      <w:pPr>
        <w:rPr>
          <w:rFonts w:hint="eastAsia" w:ascii="宋体" w:hAnsi="宋体" w:eastAsia="宋体" w:cs="宋体"/>
        </w:rPr>
      </w:pPr>
      <w:r>
        <w:rPr>
          <w:rFonts w:hint="eastAsia" w:ascii="宋体" w:hAnsi="宋体" w:eastAsia="宋体" w:cs="宋体"/>
        </w:rPr>
        <w:t>（二）工业用地50年；</w:t>
      </w:r>
    </w:p>
    <w:p w14:paraId="2C9C1403">
      <w:pPr>
        <w:rPr>
          <w:rFonts w:hint="eastAsia" w:ascii="宋体" w:hAnsi="宋体" w:eastAsia="宋体" w:cs="宋体"/>
        </w:rPr>
      </w:pPr>
      <w:r>
        <w:rPr>
          <w:rFonts w:hint="eastAsia" w:ascii="宋体" w:hAnsi="宋体" w:eastAsia="宋体" w:cs="宋体"/>
        </w:rPr>
        <w:t>（三）教育、科技、文化、卫生、体育用地50年；</w:t>
      </w:r>
    </w:p>
    <w:p w14:paraId="28B0FDB5">
      <w:pPr>
        <w:rPr>
          <w:rFonts w:hint="eastAsia" w:ascii="宋体" w:hAnsi="宋体" w:eastAsia="宋体" w:cs="宋体"/>
        </w:rPr>
      </w:pPr>
      <w:r>
        <w:rPr>
          <w:rFonts w:hint="eastAsia" w:ascii="宋体" w:hAnsi="宋体" w:eastAsia="宋体" w:cs="宋体"/>
        </w:rPr>
        <w:t>（四）商业、旅游、娱乐用地40年；</w:t>
      </w:r>
    </w:p>
    <w:p w14:paraId="4894F23D">
      <w:pPr>
        <w:rPr>
          <w:rFonts w:hint="eastAsia" w:ascii="宋体" w:hAnsi="宋体" w:eastAsia="宋体" w:cs="宋体"/>
        </w:rPr>
      </w:pPr>
      <w:r>
        <w:rPr>
          <w:rFonts w:hint="eastAsia" w:ascii="宋体" w:hAnsi="宋体" w:eastAsia="宋体" w:cs="宋体"/>
        </w:rPr>
        <w:t>（五）综合或者其他用地50年。</w:t>
      </w:r>
    </w:p>
    <w:p w14:paraId="5BEA2B19">
      <w:pPr>
        <w:ind w:firstLine="422"/>
        <w:rPr>
          <w:rFonts w:hint="eastAsia" w:ascii="宋体" w:hAnsi="宋体" w:eastAsia="宋体" w:cs="宋体"/>
        </w:rPr>
      </w:pPr>
      <w:r>
        <w:rPr>
          <w:rFonts w:hint="eastAsia" w:ascii="宋体" w:hAnsi="宋体" w:eastAsia="宋体" w:cs="宋体"/>
          <w:b/>
        </w:rPr>
        <w:t>第十条</w:t>
      </w:r>
      <w:r>
        <w:rPr>
          <w:rFonts w:hint="eastAsia" w:ascii="宋体" w:hAnsi="宋体" w:eastAsia="宋体" w:cs="宋体"/>
        </w:rPr>
        <w:t xml:space="preserve">  出让土地使用权的基准地价，由市国土资源局会同市发展改革委员会、市财政局等部门综合平衡后报市人民政府审定，作为土地使用权出让价格的基础。</w:t>
      </w:r>
    </w:p>
    <w:p w14:paraId="54748A60">
      <w:pPr>
        <w:rPr>
          <w:rFonts w:hint="eastAsia" w:ascii="宋体" w:hAnsi="宋体" w:eastAsia="宋体" w:cs="宋体"/>
        </w:rPr>
      </w:pPr>
      <w:r>
        <w:rPr>
          <w:rFonts w:hint="eastAsia" w:ascii="宋体" w:hAnsi="宋体" w:eastAsia="宋体" w:cs="宋体"/>
        </w:rPr>
        <w:t>基准地价，由出让金、基础设施配套建设费用及土地开发的其他费用等因素构成，并结合地块位置、规划设计条件和出让年限确定。</w:t>
      </w:r>
    </w:p>
    <w:p w14:paraId="08CC94C9">
      <w:pPr>
        <w:ind w:firstLine="422"/>
        <w:rPr>
          <w:rFonts w:hint="eastAsia" w:ascii="宋体" w:hAnsi="宋体" w:eastAsia="宋体" w:cs="宋体"/>
        </w:rPr>
      </w:pPr>
      <w:r>
        <w:rPr>
          <w:rFonts w:hint="eastAsia" w:ascii="宋体" w:hAnsi="宋体" w:eastAsia="宋体" w:cs="宋体"/>
          <w:b/>
        </w:rPr>
        <w:t>第十一条</w:t>
      </w:r>
      <w:r>
        <w:rPr>
          <w:rFonts w:hint="eastAsia" w:ascii="宋体" w:hAnsi="宋体" w:eastAsia="宋体" w:cs="宋体"/>
        </w:rPr>
        <w:t xml:space="preserve">  土地使用权（包括地上建筑物、附着物）协议出让或者转让，出让或者转让双方应先委托有资质的地价评估机构进行价格评估后，再签订土地使用权出让或者转让合同。</w:t>
      </w:r>
    </w:p>
    <w:p w14:paraId="382C69A5">
      <w:pPr>
        <w:ind w:firstLine="422"/>
        <w:rPr>
          <w:rFonts w:hint="eastAsia" w:ascii="宋体" w:hAnsi="宋体" w:eastAsia="宋体" w:cs="宋体"/>
        </w:rPr>
      </w:pPr>
      <w:r>
        <w:rPr>
          <w:rFonts w:hint="eastAsia" w:ascii="宋体" w:hAnsi="宋体" w:eastAsia="宋体" w:cs="宋体"/>
          <w:b/>
        </w:rPr>
        <w:t>第十二条</w:t>
      </w:r>
      <w:r>
        <w:rPr>
          <w:rFonts w:hint="eastAsia" w:ascii="宋体" w:hAnsi="宋体" w:eastAsia="宋体" w:cs="宋体"/>
        </w:rPr>
        <w:t xml:space="preserve">  土地使用权出让，除下列用途可以协议方式外，应采取招标、拍卖方式：</w:t>
      </w:r>
    </w:p>
    <w:p w14:paraId="7643BD8C">
      <w:pPr>
        <w:rPr>
          <w:rFonts w:hint="eastAsia" w:ascii="宋体" w:hAnsi="宋体" w:eastAsia="宋体" w:cs="宋体"/>
        </w:rPr>
      </w:pPr>
      <w:bookmarkStart w:id="2564" w:name="_Toc428780764"/>
      <w:r>
        <w:rPr>
          <w:rFonts w:hint="eastAsia" w:ascii="宋体" w:hAnsi="宋体" w:eastAsia="宋体" w:cs="宋体"/>
        </w:rPr>
        <w:t>（一）教育、科技、文化、卫生、体育用地；</w:t>
      </w:r>
      <w:bookmarkEnd w:id="2564"/>
    </w:p>
    <w:p w14:paraId="6100D3FF">
      <w:pPr>
        <w:rPr>
          <w:rFonts w:hint="eastAsia" w:ascii="宋体" w:hAnsi="宋体" w:eastAsia="宋体" w:cs="宋体"/>
        </w:rPr>
      </w:pPr>
      <w:r>
        <w:rPr>
          <w:rFonts w:hint="eastAsia" w:ascii="宋体" w:hAnsi="宋体" w:eastAsia="宋体" w:cs="宋体"/>
        </w:rPr>
        <w:t>（二）市人民政府批准的其他用地土地使用权协议、招标、拍卖出让的程序，市人民政府另行规定。</w:t>
      </w:r>
    </w:p>
    <w:p w14:paraId="4BC8448A">
      <w:pPr>
        <w:ind w:firstLine="422"/>
        <w:rPr>
          <w:rFonts w:hint="eastAsia" w:ascii="宋体" w:hAnsi="宋体" w:eastAsia="宋体" w:cs="宋体"/>
        </w:rPr>
      </w:pPr>
      <w:r>
        <w:rPr>
          <w:rFonts w:hint="eastAsia" w:ascii="宋体" w:hAnsi="宋体" w:eastAsia="宋体" w:cs="宋体"/>
          <w:b/>
        </w:rPr>
        <w:t>第十三条</w:t>
      </w:r>
      <w:r>
        <w:rPr>
          <w:rFonts w:hint="eastAsia" w:ascii="宋体" w:hAnsi="宋体" w:eastAsia="宋体" w:cs="宋体"/>
        </w:rPr>
        <w:t xml:space="preserve">  土地行政主管部门应向预期受让者提供下列资料：</w:t>
      </w:r>
    </w:p>
    <w:p w14:paraId="4C8F9095">
      <w:pPr>
        <w:rPr>
          <w:rFonts w:hint="eastAsia" w:ascii="宋体" w:hAnsi="宋体" w:eastAsia="宋体" w:cs="宋体"/>
        </w:rPr>
      </w:pPr>
      <w:bookmarkStart w:id="2565" w:name="_Toc428780765"/>
      <w:r>
        <w:rPr>
          <w:rFonts w:hint="eastAsia" w:ascii="宋体" w:hAnsi="宋体" w:eastAsia="宋体" w:cs="宋体"/>
        </w:rPr>
        <w:t>（一）土地的位置、四至范围、面积及地籍图；</w:t>
      </w:r>
      <w:bookmarkEnd w:id="2565"/>
    </w:p>
    <w:p w14:paraId="30B9C62B">
      <w:pPr>
        <w:rPr>
          <w:rFonts w:hint="eastAsia" w:ascii="宋体" w:hAnsi="宋体" w:eastAsia="宋体" w:cs="宋体"/>
        </w:rPr>
      </w:pPr>
      <w:r>
        <w:rPr>
          <w:rFonts w:hint="eastAsia" w:ascii="宋体" w:hAnsi="宋体" w:eastAsia="宋体" w:cs="宋体"/>
        </w:rPr>
        <w:t>（二）土地的规划用途和建筑容积率、密度、净空限制等项规划要求；</w:t>
      </w:r>
    </w:p>
    <w:p w14:paraId="4C28A2C8">
      <w:pPr>
        <w:rPr>
          <w:rFonts w:hint="eastAsia" w:ascii="宋体" w:hAnsi="宋体" w:eastAsia="宋体" w:cs="宋体"/>
        </w:rPr>
      </w:pPr>
      <w:r>
        <w:rPr>
          <w:rFonts w:hint="eastAsia" w:ascii="宋体" w:hAnsi="宋体" w:eastAsia="宋体" w:cs="宋体"/>
        </w:rPr>
        <w:t>（三）建设项目的完成年限，必须投入的建筑费用和发展面积的最低限度；</w:t>
      </w:r>
    </w:p>
    <w:p w14:paraId="509FE30E">
      <w:pPr>
        <w:rPr>
          <w:rFonts w:hint="eastAsia" w:ascii="宋体" w:hAnsi="宋体" w:eastAsia="宋体" w:cs="宋体"/>
        </w:rPr>
      </w:pPr>
      <w:bookmarkStart w:id="2566" w:name="_Toc428780766"/>
      <w:r>
        <w:rPr>
          <w:rFonts w:hint="eastAsia" w:ascii="宋体" w:hAnsi="宋体" w:eastAsia="宋体" w:cs="宋体"/>
        </w:rPr>
        <w:t>（四）环境保护、绿化、卫生防疫、交通和消防等要求；</w:t>
      </w:r>
      <w:bookmarkEnd w:id="2566"/>
    </w:p>
    <w:p w14:paraId="15A20EB5">
      <w:pPr>
        <w:rPr>
          <w:rFonts w:hint="eastAsia" w:ascii="宋体" w:hAnsi="宋体" w:eastAsia="宋体" w:cs="宋体"/>
        </w:rPr>
      </w:pPr>
      <w:r>
        <w:rPr>
          <w:rFonts w:hint="eastAsia" w:ascii="宋体" w:hAnsi="宋体" w:eastAsia="宋体" w:cs="宋体"/>
        </w:rPr>
        <w:t>（五）市政公用设施现状和建设计划或者规划设计要求；</w:t>
      </w:r>
    </w:p>
    <w:p w14:paraId="5A4439E6">
      <w:pPr>
        <w:rPr>
          <w:rFonts w:hint="eastAsia" w:ascii="宋体" w:hAnsi="宋体" w:eastAsia="宋体" w:cs="宋体"/>
        </w:rPr>
      </w:pPr>
      <w:r>
        <w:rPr>
          <w:rFonts w:hint="eastAsia" w:ascii="宋体" w:hAnsi="宋体" w:eastAsia="宋体" w:cs="宋体"/>
        </w:rPr>
        <w:t>（六）地块的地面现状；</w:t>
      </w:r>
    </w:p>
    <w:p w14:paraId="6ABFD4C7">
      <w:pPr>
        <w:rPr>
          <w:rFonts w:hint="eastAsia" w:ascii="宋体" w:hAnsi="宋体" w:eastAsia="宋体" w:cs="宋体"/>
        </w:rPr>
      </w:pPr>
      <w:r>
        <w:rPr>
          <w:rFonts w:hint="eastAsia" w:ascii="宋体" w:hAnsi="宋体" w:eastAsia="宋体" w:cs="宋体"/>
        </w:rPr>
        <w:t>（七）出让的形式和年限；</w:t>
      </w:r>
    </w:p>
    <w:p w14:paraId="2AF10D03">
      <w:pPr>
        <w:rPr>
          <w:rFonts w:hint="eastAsia" w:ascii="宋体" w:hAnsi="宋体" w:eastAsia="宋体" w:cs="宋体"/>
        </w:rPr>
      </w:pPr>
      <w:r>
        <w:rPr>
          <w:rFonts w:hint="eastAsia" w:ascii="宋体" w:hAnsi="宋体" w:eastAsia="宋体" w:cs="宋体"/>
        </w:rPr>
        <w:t>（八）出让金的付款方式和要求；</w:t>
      </w:r>
    </w:p>
    <w:p w14:paraId="05BE4F5A">
      <w:pPr>
        <w:rPr>
          <w:rFonts w:hint="eastAsia" w:ascii="宋体" w:hAnsi="宋体" w:eastAsia="宋体" w:cs="宋体"/>
        </w:rPr>
      </w:pPr>
      <w:r>
        <w:rPr>
          <w:rFonts w:hint="eastAsia" w:ascii="宋体" w:hAnsi="宋体" w:eastAsia="宋体" w:cs="宋体"/>
        </w:rPr>
        <w:t>（九）土地使用者的义务和有关的法律责任；</w:t>
      </w:r>
    </w:p>
    <w:p w14:paraId="75E49A6A">
      <w:pPr>
        <w:rPr>
          <w:rFonts w:hint="eastAsia" w:ascii="宋体" w:hAnsi="宋体" w:eastAsia="宋体" w:cs="宋体"/>
        </w:rPr>
      </w:pPr>
      <w:r>
        <w:rPr>
          <w:rFonts w:hint="eastAsia" w:ascii="宋体" w:hAnsi="宋体" w:eastAsia="宋体" w:cs="宋体"/>
        </w:rPr>
        <w:t>（十）需要提供的其他资料。</w:t>
      </w:r>
    </w:p>
    <w:p w14:paraId="193E6EE7">
      <w:pPr>
        <w:ind w:firstLine="422"/>
        <w:rPr>
          <w:rFonts w:hint="eastAsia" w:ascii="宋体" w:hAnsi="宋体" w:eastAsia="宋体" w:cs="宋体"/>
        </w:rPr>
      </w:pPr>
      <w:r>
        <w:rPr>
          <w:rFonts w:hint="eastAsia" w:ascii="宋体" w:hAnsi="宋体" w:eastAsia="宋体" w:cs="宋体"/>
          <w:b/>
        </w:rPr>
        <w:t>第十四条</w:t>
      </w:r>
      <w:r>
        <w:rPr>
          <w:rFonts w:hint="eastAsia" w:ascii="宋体" w:hAnsi="宋体" w:eastAsia="宋体" w:cs="宋体"/>
        </w:rPr>
        <w:t xml:space="preserve">  出让土地使用权，应按照平等、自愿、有偿的原则，由土地行政主管部门（以下简称出让方）与土地使用者签订合同。土地使用者应在签订合同时向出让方支付全部地价款15%至20%的定金。</w:t>
      </w:r>
    </w:p>
    <w:p w14:paraId="6B3E483C">
      <w:pPr>
        <w:ind w:firstLine="422"/>
        <w:rPr>
          <w:rFonts w:hint="eastAsia" w:ascii="宋体" w:hAnsi="宋体" w:eastAsia="宋体" w:cs="宋体"/>
        </w:rPr>
      </w:pPr>
      <w:r>
        <w:rPr>
          <w:rFonts w:hint="eastAsia" w:ascii="宋体" w:hAnsi="宋体" w:eastAsia="宋体" w:cs="宋体"/>
          <w:b/>
        </w:rPr>
        <w:t>第十五条</w:t>
      </w:r>
      <w:r>
        <w:rPr>
          <w:rFonts w:hint="eastAsia" w:ascii="宋体" w:hAnsi="宋体" w:eastAsia="宋体" w:cs="宋体"/>
        </w:rPr>
        <w:t xml:space="preserve">  土地使用者应自签订土地使用权出让合同2个月内支付全部地价款；确有正当理由不能在上述期限内支付的，经土地行政主管部门征得财政部门同意，可适当延长支付期限，具体支付期限和方式应在出让合同中规定。延长付款期间，土地使用者每月应按照未付款额1‰至2‰的比例支付资金占用费。</w:t>
      </w:r>
    </w:p>
    <w:p w14:paraId="031F7D32">
      <w:pPr>
        <w:rPr>
          <w:rFonts w:hint="eastAsia" w:ascii="宋体" w:hAnsi="宋体" w:eastAsia="宋体" w:cs="宋体"/>
        </w:rPr>
      </w:pPr>
      <w:r>
        <w:rPr>
          <w:rFonts w:hint="eastAsia" w:ascii="宋体" w:hAnsi="宋体" w:eastAsia="宋体" w:cs="宋体"/>
        </w:rPr>
        <w:t>土地使用者超过2个月或者合同规定期限仍未支付全部地价款的，不退还定金，出让方有权解除合同，并请求违约赔偿。</w:t>
      </w:r>
    </w:p>
    <w:p w14:paraId="48189C36">
      <w:pPr>
        <w:ind w:firstLine="422"/>
        <w:rPr>
          <w:rFonts w:hint="eastAsia" w:ascii="宋体" w:hAnsi="宋体" w:eastAsia="宋体" w:cs="宋体"/>
        </w:rPr>
      </w:pPr>
      <w:r>
        <w:rPr>
          <w:rFonts w:hint="eastAsia" w:ascii="宋体" w:hAnsi="宋体" w:eastAsia="宋体" w:cs="宋体"/>
          <w:b/>
        </w:rPr>
        <w:t>第十六条</w:t>
      </w:r>
      <w:r>
        <w:rPr>
          <w:rFonts w:hint="eastAsia" w:ascii="宋体" w:hAnsi="宋体" w:eastAsia="宋体" w:cs="宋体"/>
        </w:rPr>
        <w:t xml:space="preserve">  出让方应按照合同规定提供出让地块的土地使用权。未按照合同规定提供土地使用权的，应退还定金，土地使用者有权解除合同，并请求违约赔偿。</w:t>
      </w:r>
    </w:p>
    <w:p w14:paraId="6CA390B8">
      <w:pPr>
        <w:ind w:firstLine="422"/>
        <w:rPr>
          <w:rFonts w:hint="eastAsia" w:ascii="宋体" w:hAnsi="宋体" w:eastAsia="宋体" w:cs="宋体"/>
        </w:rPr>
      </w:pPr>
      <w:r>
        <w:rPr>
          <w:rFonts w:hint="eastAsia" w:ascii="宋体" w:hAnsi="宋体" w:eastAsia="宋体" w:cs="宋体"/>
          <w:b/>
        </w:rPr>
        <w:t>第十七条</w:t>
      </w:r>
      <w:r>
        <w:rPr>
          <w:rFonts w:hint="eastAsia" w:ascii="宋体" w:hAnsi="宋体" w:eastAsia="宋体" w:cs="宋体"/>
        </w:rPr>
        <w:t xml:space="preserve">  土地使用者在支付全部地价款后，应按照规定办理登记，领取土地使用证，取得土地使用权。</w:t>
      </w:r>
    </w:p>
    <w:p w14:paraId="01FADDBC">
      <w:pPr>
        <w:ind w:firstLine="422"/>
        <w:rPr>
          <w:rFonts w:hint="eastAsia" w:ascii="宋体" w:hAnsi="宋体" w:eastAsia="宋体" w:cs="宋体"/>
        </w:rPr>
      </w:pPr>
      <w:r>
        <w:rPr>
          <w:rFonts w:hint="eastAsia" w:ascii="宋体" w:hAnsi="宋体" w:eastAsia="宋体" w:cs="宋体"/>
          <w:b/>
        </w:rPr>
        <w:t>第十八条</w:t>
      </w:r>
      <w:r>
        <w:rPr>
          <w:rFonts w:hint="eastAsia" w:ascii="宋体" w:hAnsi="宋体" w:eastAsia="宋体" w:cs="宋体"/>
        </w:rPr>
        <w:t xml:space="preserve">  土地使用者应按照合同规定和城市规划的要求，开发、利用、经营土地。</w:t>
      </w:r>
    </w:p>
    <w:p w14:paraId="0E6D0C44">
      <w:pPr>
        <w:rPr>
          <w:rFonts w:hint="eastAsia" w:ascii="宋体" w:hAnsi="宋体" w:eastAsia="宋体" w:cs="宋体"/>
        </w:rPr>
      </w:pPr>
      <w:r>
        <w:rPr>
          <w:rFonts w:hint="eastAsia" w:ascii="宋体" w:hAnsi="宋体" w:eastAsia="宋体" w:cs="宋体"/>
        </w:rPr>
        <w:t>未按照合同规定的期限和条件开发、利用土地的，由土地行政主管部门依法予以纠正，并可根据情节给予警告、处地价款额1%的罚款，直至无偿收回土地使用权。</w:t>
      </w:r>
    </w:p>
    <w:p w14:paraId="4B1563C7">
      <w:pPr>
        <w:ind w:firstLine="422"/>
        <w:rPr>
          <w:rFonts w:hint="eastAsia" w:ascii="宋体" w:hAnsi="宋体" w:eastAsia="宋体" w:cs="宋体"/>
        </w:rPr>
      </w:pPr>
      <w:r>
        <w:rPr>
          <w:rFonts w:hint="eastAsia" w:ascii="宋体" w:hAnsi="宋体" w:eastAsia="宋体" w:cs="宋体"/>
          <w:b/>
        </w:rPr>
        <w:t>第十九条</w:t>
      </w:r>
      <w:r>
        <w:rPr>
          <w:rFonts w:hint="eastAsia" w:ascii="宋体" w:hAnsi="宋体" w:eastAsia="宋体" w:cs="宋体"/>
        </w:rPr>
        <w:t xml:space="preserve">  土地使用者需要改变土地使用权出让合同规定的土地用途的，应经土地行政主管部门和规划行政主管部门批准，依法重新签订出让合同，调整出让地价，并办理登记。</w:t>
      </w:r>
    </w:p>
    <w:p w14:paraId="34B2F83A">
      <w:pPr>
        <w:ind w:firstLine="422"/>
        <w:rPr>
          <w:rFonts w:hint="eastAsia" w:ascii="宋体" w:hAnsi="宋体" w:eastAsia="宋体" w:cs="宋体"/>
        </w:rPr>
      </w:pPr>
      <w:r>
        <w:rPr>
          <w:rFonts w:hint="eastAsia" w:ascii="宋体" w:hAnsi="宋体" w:eastAsia="宋体" w:cs="宋体"/>
          <w:b/>
        </w:rPr>
        <w:t>第二十条</w:t>
      </w:r>
      <w:r>
        <w:rPr>
          <w:rFonts w:hint="eastAsia" w:ascii="宋体" w:hAnsi="宋体" w:eastAsia="宋体" w:cs="宋体"/>
        </w:rPr>
        <w:t xml:space="preserve">  土地使用者转让土地使用权，必须符合下列条件：</w:t>
      </w:r>
    </w:p>
    <w:p w14:paraId="6D3779F9">
      <w:pPr>
        <w:rPr>
          <w:rFonts w:hint="eastAsia" w:ascii="宋体" w:hAnsi="宋体" w:eastAsia="宋体" w:cs="宋体"/>
        </w:rPr>
      </w:pPr>
      <w:bookmarkStart w:id="2567" w:name="_Toc428780767"/>
      <w:r>
        <w:rPr>
          <w:rFonts w:hint="eastAsia" w:ascii="宋体" w:hAnsi="宋体" w:eastAsia="宋体" w:cs="宋体"/>
        </w:rPr>
        <w:t>（一）付清全部地价款，取得土地使用证；</w:t>
      </w:r>
      <w:bookmarkEnd w:id="2567"/>
    </w:p>
    <w:p w14:paraId="362D25EA">
      <w:pPr>
        <w:rPr>
          <w:rFonts w:hint="eastAsia" w:ascii="宋体" w:hAnsi="宋体" w:eastAsia="宋体" w:cs="宋体"/>
        </w:rPr>
      </w:pPr>
      <w:r>
        <w:rPr>
          <w:rFonts w:hint="eastAsia" w:ascii="宋体" w:hAnsi="宋体" w:eastAsia="宋体" w:cs="宋体"/>
        </w:rPr>
        <w:t>（二）已按照出让合同规定的期限和条件开发和利用土地，其中开发建设投资不少于项目总投资额的25%。</w:t>
      </w:r>
    </w:p>
    <w:p w14:paraId="48BE864E">
      <w:pPr>
        <w:ind w:firstLine="422"/>
        <w:rPr>
          <w:rFonts w:hint="eastAsia" w:ascii="宋体" w:hAnsi="宋体" w:eastAsia="宋体" w:cs="宋体"/>
        </w:rPr>
      </w:pPr>
      <w:r>
        <w:rPr>
          <w:rFonts w:hint="eastAsia" w:ascii="宋体" w:hAnsi="宋体" w:eastAsia="宋体" w:cs="宋体"/>
          <w:b/>
        </w:rPr>
        <w:t>第二十一条</w:t>
      </w:r>
      <w:r>
        <w:rPr>
          <w:rFonts w:hint="eastAsia" w:ascii="宋体" w:hAnsi="宋体" w:eastAsia="宋体" w:cs="宋体"/>
        </w:rPr>
        <w:t xml:space="preserve">  土地使用权转让应当签订转让合同。土地使用权转让时，出让合同和登记文件中所载明的权利、义务随之转移，地上建筑物、其他附着物的所有权也随之转让。土地使用者转让地上建筑物、其他附着物所有权时，其用地范围内的土地使用权随之转让，但地上建筑物、其他附着物作为动产转让的除外。</w:t>
      </w:r>
    </w:p>
    <w:p w14:paraId="641CD460">
      <w:pPr>
        <w:ind w:firstLine="422"/>
        <w:rPr>
          <w:rFonts w:hint="eastAsia" w:ascii="宋体" w:hAnsi="宋体" w:eastAsia="宋体" w:cs="宋体"/>
        </w:rPr>
      </w:pPr>
      <w:r>
        <w:rPr>
          <w:rFonts w:hint="eastAsia" w:ascii="宋体" w:hAnsi="宋体" w:eastAsia="宋体" w:cs="宋体"/>
          <w:b/>
        </w:rPr>
        <w:t>第二十二条</w:t>
      </w:r>
      <w:r>
        <w:rPr>
          <w:rFonts w:hint="eastAsia" w:ascii="宋体" w:hAnsi="宋体" w:eastAsia="宋体" w:cs="宋体"/>
        </w:rPr>
        <w:t xml:space="preserve">  土地使用者通过转让方式取得的土地使用权，其使用年限为土地使用权出让合同规定的使用年限减去原土地使用者已使用年限后的剩余年限。</w:t>
      </w:r>
    </w:p>
    <w:p w14:paraId="413F4E4A">
      <w:pPr>
        <w:ind w:firstLine="422"/>
        <w:rPr>
          <w:rFonts w:hint="eastAsia" w:ascii="宋体" w:hAnsi="宋体" w:eastAsia="宋体" w:cs="宋体"/>
        </w:rPr>
      </w:pPr>
      <w:r>
        <w:rPr>
          <w:rFonts w:hint="eastAsia" w:ascii="宋体" w:hAnsi="宋体" w:eastAsia="宋体" w:cs="宋体"/>
          <w:b/>
        </w:rPr>
        <w:t>第二十三条</w:t>
      </w:r>
      <w:r>
        <w:rPr>
          <w:rFonts w:hint="eastAsia" w:ascii="宋体" w:hAnsi="宋体" w:eastAsia="宋体" w:cs="宋体"/>
        </w:rPr>
        <w:t xml:space="preserve">  土地使用权和地上建筑物、其他附着物所有权转让，应当办理过户登记。土地使用权和地上建筑物、其他附着物所有权分割转让的，应经土地行政主管部门批准，并办理过户登记。</w:t>
      </w:r>
    </w:p>
    <w:p w14:paraId="57D77695">
      <w:pPr>
        <w:ind w:firstLine="422"/>
        <w:rPr>
          <w:rFonts w:hint="eastAsia" w:ascii="宋体" w:hAnsi="宋体" w:eastAsia="宋体" w:cs="宋体"/>
        </w:rPr>
      </w:pPr>
      <w:r>
        <w:rPr>
          <w:rFonts w:hint="eastAsia" w:ascii="宋体" w:hAnsi="宋体" w:eastAsia="宋体" w:cs="宋体"/>
          <w:b/>
        </w:rPr>
        <w:t>第二十四条</w:t>
      </w:r>
      <w:r>
        <w:rPr>
          <w:rFonts w:hint="eastAsia" w:ascii="宋体" w:hAnsi="宋体" w:eastAsia="宋体" w:cs="宋体"/>
        </w:rPr>
        <w:t xml:space="preserve">  土地使用权转让价格明显低于市场价格的，市或者区、县人民政府有优先购买权。土地使用权转让的市场价格不合理上涨时，市人民政府可以采取必要的措施。</w:t>
      </w:r>
    </w:p>
    <w:p w14:paraId="1AE32FA5">
      <w:pPr>
        <w:ind w:firstLine="422"/>
        <w:rPr>
          <w:rFonts w:hint="eastAsia" w:ascii="宋体" w:hAnsi="宋体" w:eastAsia="宋体" w:cs="宋体"/>
        </w:rPr>
      </w:pPr>
      <w:r>
        <w:rPr>
          <w:rFonts w:hint="eastAsia" w:ascii="宋体" w:hAnsi="宋体" w:eastAsia="宋体" w:cs="宋体"/>
          <w:b/>
        </w:rPr>
        <w:t>第二十五条</w:t>
      </w:r>
      <w:r>
        <w:rPr>
          <w:rFonts w:hint="eastAsia" w:ascii="宋体" w:hAnsi="宋体" w:eastAsia="宋体" w:cs="宋体"/>
        </w:rPr>
        <w:t xml:space="preserve">  住宅建设用地使用权期间届满的，自动续期。非住宅建设用地使用权期间届满后的续期，依照法律规定办理。该土地上的房屋及其他不动产的归属，有约定的，按照约定；没有约定或者约定不明确的，依照法律、行政法规的规定办理。</w:t>
      </w:r>
    </w:p>
    <w:p w14:paraId="6A7C38C3">
      <w:pPr>
        <w:ind w:firstLine="422"/>
        <w:rPr>
          <w:rFonts w:hint="eastAsia" w:ascii="宋体" w:hAnsi="宋体" w:eastAsia="宋体" w:cs="宋体"/>
        </w:rPr>
      </w:pPr>
      <w:r>
        <w:rPr>
          <w:rFonts w:hint="eastAsia" w:ascii="宋体" w:hAnsi="宋体" w:eastAsia="宋体" w:cs="宋体"/>
          <w:b/>
        </w:rPr>
        <w:t>第二十六条</w:t>
      </w:r>
      <w:r>
        <w:rPr>
          <w:rFonts w:hint="eastAsia" w:ascii="宋体" w:hAnsi="宋体" w:eastAsia="宋体" w:cs="宋体"/>
        </w:rPr>
        <w:t xml:space="preserve">  土地使用者依法取得的土地使用权不提前收回。在特殊情况下，根据社会公共利益的需要，政府可以依法提前收回，并根据土地使用者已使用的年限和开发、利用土地的实际情况给予相应的补偿。</w:t>
      </w:r>
    </w:p>
    <w:p w14:paraId="294D1773">
      <w:pPr>
        <w:ind w:firstLine="422"/>
        <w:rPr>
          <w:rFonts w:hint="eastAsia" w:ascii="宋体" w:hAnsi="宋体" w:eastAsia="宋体" w:cs="宋体"/>
        </w:rPr>
      </w:pPr>
      <w:r>
        <w:rPr>
          <w:rFonts w:hint="eastAsia" w:ascii="宋体" w:hAnsi="宋体" w:eastAsia="宋体" w:cs="宋体"/>
          <w:b/>
        </w:rPr>
        <w:t>第二十七条</w:t>
      </w:r>
      <w:r>
        <w:rPr>
          <w:rFonts w:hint="eastAsia" w:ascii="宋体" w:hAnsi="宋体" w:eastAsia="宋体" w:cs="宋体"/>
        </w:rPr>
        <w:t xml:space="preserve">  除本办法第四条第（一）至（四）项规定的划拨用地外，以下列方式转让划拨土地使用权的，须经土地行政主管部门和规划行政主管部门、财政部门批准，由土地使用者同土地行政主管部门签订土地使用权出让合同并补交地价款后，方可进行：</w:t>
      </w:r>
    </w:p>
    <w:p w14:paraId="4DD64A8F">
      <w:pPr>
        <w:rPr>
          <w:rFonts w:hint="eastAsia" w:ascii="宋体" w:hAnsi="宋体" w:eastAsia="宋体" w:cs="宋体"/>
        </w:rPr>
      </w:pPr>
      <w:r>
        <w:rPr>
          <w:rFonts w:hint="eastAsia" w:ascii="宋体" w:hAnsi="宋体" w:eastAsia="宋体" w:cs="宋体"/>
        </w:rPr>
        <w:t>（一）出售、交换、赠与划拨土地使用权或者以划拨土地使用权换取财物、合作建房的；</w:t>
      </w:r>
    </w:p>
    <w:p w14:paraId="53468090">
      <w:pPr>
        <w:rPr>
          <w:rFonts w:hint="eastAsia" w:ascii="宋体" w:hAnsi="宋体" w:eastAsia="宋体" w:cs="宋体"/>
        </w:rPr>
      </w:pPr>
      <w:r>
        <w:rPr>
          <w:rFonts w:hint="eastAsia" w:ascii="宋体" w:hAnsi="宋体" w:eastAsia="宋体" w:cs="宋体"/>
        </w:rPr>
        <w:t>（二）以划拨土地使用权入股或者作价投资的；</w:t>
      </w:r>
    </w:p>
    <w:p w14:paraId="797CEFC8">
      <w:pPr>
        <w:rPr>
          <w:rFonts w:hint="eastAsia" w:ascii="宋体" w:hAnsi="宋体" w:eastAsia="宋体" w:cs="宋体"/>
        </w:rPr>
      </w:pPr>
      <w:r>
        <w:rPr>
          <w:rFonts w:hint="eastAsia" w:ascii="宋体" w:hAnsi="宋体" w:eastAsia="宋体" w:cs="宋体"/>
        </w:rPr>
        <w:t>（三）以企业兼并方式转让划拨土地使用权的；</w:t>
      </w:r>
    </w:p>
    <w:p w14:paraId="0A6E937D">
      <w:pPr>
        <w:rPr>
          <w:rFonts w:hint="eastAsia" w:ascii="宋体" w:hAnsi="宋体" w:eastAsia="宋体" w:cs="宋体"/>
        </w:rPr>
      </w:pPr>
      <w:r>
        <w:rPr>
          <w:rFonts w:hint="eastAsia" w:ascii="宋体" w:hAnsi="宋体" w:eastAsia="宋体" w:cs="宋体"/>
        </w:rPr>
        <w:t>（四）转让地上建筑物、其他附着物连同转让划拨土地使用权，包括出售开发建设的房屋连同转让划拨土地使用权的；</w:t>
      </w:r>
    </w:p>
    <w:p w14:paraId="190794F5">
      <w:pPr>
        <w:rPr>
          <w:rFonts w:hint="eastAsia" w:ascii="宋体" w:hAnsi="宋体" w:eastAsia="宋体" w:cs="宋体"/>
        </w:rPr>
      </w:pPr>
      <w:r>
        <w:rPr>
          <w:rFonts w:hint="eastAsia" w:ascii="宋体" w:hAnsi="宋体" w:eastAsia="宋体" w:cs="宋体"/>
        </w:rPr>
        <w:t>（五）以其他方式转让划拨土地使用权的。</w:t>
      </w:r>
    </w:p>
    <w:p w14:paraId="558B2923">
      <w:pPr>
        <w:rPr>
          <w:rFonts w:hint="eastAsia" w:ascii="宋体" w:hAnsi="宋体" w:eastAsia="宋体" w:cs="宋体"/>
        </w:rPr>
      </w:pPr>
      <w:r>
        <w:rPr>
          <w:rFonts w:hint="eastAsia" w:ascii="宋体" w:hAnsi="宋体" w:eastAsia="宋体" w:cs="宋体"/>
        </w:rPr>
        <w:t>未经批准擅自转让划拨土地使用权的，由土地行政主管部门依法没收其非法收入，并根据情节对非法转让双方处非法收入2倍以下罚款，直至依法收回划拨用地，没收地上建筑物。</w:t>
      </w:r>
    </w:p>
    <w:p w14:paraId="50D52E33">
      <w:pPr>
        <w:ind w:firstLine="422"/>
        <w:rPr>
          <w:rFonts w:hint="eastAsia" w:ascii="宋体" w:hAnsi="宋体" w:eastAsia="宋体" w:cs="宋体"/>
        </w:rPr>
      </w:pPr>
      <w:r>
        <w:rPr>
          <w:rFonts w:hint="eastAsia" w:ascii="宋体" w:hAnsi="宋体" w:eastAsia="宋体" w:cs="宋体"/>
          <w:b/>
        </w:rPr>
        <w:t>第二十八条</w:t>
      </w:r>
      <w:r>
        <w:rPr>
          <w:rFonts w:hint="eastAsia" w:ascii="宋体" w:hAnsi="宋体" w:eastAsia="宋体" w:cs="宋体"/>
        </w:rPr>
        <w:t xml:space="preserve">  对以出租房屋等方式利用划拨用地从事经营性活动，由土地行政主管部门向经营者收取土地收益金。征收标准和办法，市人民政府另行规定。</w:t>
      </w:r>
    </w:p>
    <w:p w14:paraId="2B631180">
      <w:pPr>
        <w:ind w:firstLine="422"/>
        <w:rPr>
          <w:rFonts w:hint="eastAsia" w:ascii="宋体" w:hAnsi="宋体" w:eastAsia="宋体" w:cs="宋体"/>
        </w:rPr>
      </w:pPr>
      <w:r>
        <w:rPr>
          <w:rFonts w:hint="eastAsia" w:ascii="宋体" w:hAnsi="宋体" w:eastAsia="宋体" w:cs="宋体"/>
          <w:b/>
        </w:rPr>
        <w:t>第二十九条</w:t>
      </w:r>
      <w:r>
        <w:rPr>
          <w:rFonts w:hint="eastAsia" w:ascii="宋体" w:hAnsi="宋体" w:eastAsia="宋体" w:cs="宋体"/>
        </w:rPr>
        <w:t xml:space="preserve">  通过出让或者转让取得土地使用权的土地使用者，需进行地上物拆迁的，可以按照国家和本市有关建设拆迁的规定自行拆迁或者委托拆迁。</w:t>
      </w:r>
    </w:p>
    <w:p w14:paraId="38BA7263">
      <w:pPr>
        <w:ind w:firstLine="422"/>
        <w:rPr>
          <w:rFonts w:hint="eastAsia" w:ascii="宋体" w:hAnsi="宋体" w:eastAsia="宋体" w:cs="宋体"/>
        </w:rPr>
      </w:pPr>
      <w:r>
        <w:rPr>
          <w:rFonts w:hint="eastAsia" w:ascii="宋体" w:hAnsi="宋体" w:eastAsia="宋体" w:cs="宋体"/>
          <w:b/>
        </w:rPr>
        <w:t>第三十条</w:t>
      </w:r>
      <w:r>
        <w:rPr>
          <w:rFonts w:hint="eastAsia" w:ascii="宋体" w:hAnsi="宋体" w:eastAsia="宋体" w:cs="宋体"/>
        </w:rPr>
        <w:t xml:space="preserve">  土地使用权的出租、抵押及登记办法，市人民政府另行规定。</w:t>
      </w:r>
    </w:p>
    <w:p w14:paraId="1FD5A2AA">
      <w:pPr>
        <w:ind w:firstLine="422"/>
        <w:rPr>
          <w:rFonts w:hint="eastAsia" w:ascii="宋体" w:hAnsi="宋体" w:eastAsia="宋体" w:cs="宋体"/>
        </w:rPr>
      </w:pPr>
      <w:r>
        <w:rPr>
          <w:rFonts w:hint="eastAsia" w:ascii="宋体" w:hAnsi="宋体" w:eastAsia="宋体" w:cs="宋体"/>
          <w:b/>
        </w:rPr>
        <w:t>第三十一条</w:t>
      </w:r>
      <w:r>
        <w:rPr>
          <w:rFonts w:hint="eastAsia" w:ascii="宋体" w:hAnsi="宋体" w:eastAsia="宋体" w:cs="宋体"/>
        </w:rPr>
        <w:t xml:space="preserve">  本办法修改前签订土地使用权出让合同的，依照合同的规定；合同没有规定的，适用本办法修改后的有关规定。</w:t>
      </w:r>
    </w:p>
    <w:p w14:paraId="7C7A8CA8">
      <w:pPr>
        <w:rPr>
          <w:rFonts w:hint="eastAsia" w:ascii="宋体" w:hAnsi="宋体" w:eastAsia="宋体" w:cs="宋体"/>
        </w:rPr>
      </w:pPr>
      <w:r>
        <w:rPr>
          <w:rFonts w:hint="eastAsia" w:ascii="宋体" w:hAnsi="宋体" w:eastAsia="宋体" w:cs="宋体"/>
        </w:rPr>
        <w:t>本办法施行后至修改前转让划拨土地使用权的，适用本办法修改后的有关规定。</w:t>
      </w:r>
    </w:p>
    <w:p w14:paraId="33B01D31">
      <w:pPr>
        <w:ind w:firstLine="422"/>
        <w:rPr>
          <w:rFonts w:hint="eastAsia" w:ascii="宋体" w:hAnsi="宋体" w:eastAsia="宋体" w:cs="宋体"/>
        </w:rPr>
      </w:pPr>
      <w:r>
        <w:rPr>
          <w:rFonts w:hint="eastAsia" w:ascii="宋体" w:hAnsi="宋体" w:eastAsia="宋体" w:cs="宋体"/>
          <w:b/>
        </w:rPr>
        <w:t>第三十二条</w:t>
      </w:r>
      <w:r>
        <w:rPr>
          <w:rFonts w:hint="eastAsia" w:ascii="宋体" w:hAnsi="宋体" w:eastAsia="宋体" w:cs="宋体"/>
        </w:rPr>
        <w:t xml:space="preserve">  本办法自1992年6月1日起施行。</w:t>
      </w:r>
    </w:p>
    <w:p w14:paraId="6A50575E">
      <w:pPr>
        <w:pStyle w:val="4"/>
        <w:pageBreakBefore/>
      </w:pPr>
      <w:bookmarkStart w:id="2568" w:name="_Toc426467155"/>
      <w:bookmarkStart w:id="2569" w:name="_Toc428780768"/>
      <w:bookmarkStart w:id="2570" w:name="_Toc428781903"/>
      <w:r>
        <w:rPr>
          <w:rFonts w:hint="eastAsia"/>
        </w:rPr>
        <w:t>北京市实施《矿产资源补偿费征收管理规定》办法</w:t>
      </w:r>
      <w:bookmarkEnd w:id="2568"/>
      <w:bookmarkEnd w:id="2569"/>
      <w:bookmarkEnd w:id="2570"/>
    </w:p>
    <w:p w14:paraId="529C5593">
      <w:pPr>
        <w:ind w:left="630" w:leftChars="300" w:right="630" w:rightChars="300"/>
        <w:rPr>
          <w:rFonts w:ascii="楷体" w:hAnsi="楷体" w:eastAsia="楷体"/>
        </w:rPr>
      </w:pPr>
      <w:r>
        <w:rPr>
          <w:rFonts w:hint="eastAsia" w:ascii="楷体" w:hAnsi="楷体" w:eastAsia="楷体"/>
        </w:rPr>
        <w:t>（1994年12月14日北京市人民政府第29号令发布　根据2007年11月23日北京市人民政府第200号令修改）</w:t>
      </w:r>
    </w:p>
    <w:p w14:paraId="31197161"/>
    <w:p w14:paraId="207594EE">
      <w:pPr>
        <w:ind w:firstLine="422"/>
      </w:pPr>
      <w:r>
        <w:rPr>
          <w:rFonts w:hint="eastAsia"/>
          <w:b/>
        </w:rPr>
        <w:t>第一条</w:t>
      </w:r>
      <w:r>
        <w:rPr>
          <w:rFonts w:hint="eastAsia"/>
        </w:rPr>
        <w:t xml:space="preserve">  根据国务院发布的《矿产资源补偿费征收管理规定》（以下简称《规定》），结合本市实际情况，制定本办法。</w:t>
      </w:r>
    </w:p>
    <w:p w14:paraId="1164C533">
      <w:pPr>
        <w:ind w:firstLine="422"/>
      </w:pPr>
      <w:r>
        <w:rPr>
          <w:rFonts w:hint="eastAsia"/>
          <w:b/>
        </w:rPr>
        <w:t>第二条</w:t>
      </w:r>
      <w:r>
        <w:rPr>
          <w:rFonts w:hint="eastAsia"/>
        </w:rPr>
        <w:t xml:space="preserve">  凡在本市行政区域内开采矿产资源的单位和个人（以下简称采矿权人），应当按照《规定》和本办法缴纳矿产资源补偿费（以下简称补偿费）。</w:t>
      </w:r>
    </w:p>
    <w:p w14:paraId="091D1702">
      <w:pPr>
        <w:ind w:firstLine="422"/>
      </w:pPr>
      <w:r>
        <w:rPr>
          <w:rFonts w:hint="eastAsia"/>
          <w:b/>
        </w:rPr>
        <w:t>第三条</w:t>
      </w:r>
      <w:r>
        <w:rPr>
          <w:rFonts w:hint="eastAsia"/>
        </w:rPr>
        <w:t xml:space="preserve">  补偿费</w:t>
      </w:r>
      <w:r>
        <w:rPr>
          <w:rFonts w:hint="eastAsia" w:ascii="宋体" w:hAnsi="宋体" w:eastAsia="宋体" w:cs="宋体"/>
        </w:rPr>
        <w:t>自1994年4月1日起计征，由</w:t>
      </w:r>
      <w:r>
        <w:rPr>
          <w:rFonts w:hint="eastAsia"/>
        </w:rPr>
        <w:t>采矿权人缴纳。</w:t>
      </w:r>
    </w:p>
    <w:p w14:paraId="652C5E6C">
      <w:pPr>
        <w:ind w:firstLine="422"/>
      </w:pPr>
      <w:r>
        <w:rPr>
          <w:rFonts w:hint="eastAsia"/>
          <w:b/>
        </w:rPr>
        <w:t>第四条</w:t>
      </w:r>
      <w:r>
        <w:rPr>
          <w:rFonts w:hint="eastAsia"/>
        </w:rPr>
        <w:t xml:space="preserve">  补偿费由市、区、县地质矿产行政主管部门（以下简称地矿行政主管部门）会同同级财政部门征收。具体征收工作由地矿行政主管部门负责。</w:t>
      </w:r>
    </w:p>
    <w:p w14:paraId="362BB5BF">
      <w:r>
        <w:rPr>
          <w:rFonts w:hint="eastAsia"/>
        </w:rPr>
        <w:t>市、区、县地矿行政主管部门对补偿费征收实行分级管理。中央直属矿山企业、市属国有矿山企业和跨区、县矿山企业的补偿费，由市地矿行政主管部门征收；其他各类矿山企业，由区、县地矿行政主管部门征收。</w:t>
      </w:r>
    </w:p>
    <w:p w14:paraId="363E682D">
      <w:pPr>
        <w:ind w:firstLine="422"/>
      </w:pPr>
      <w:r>
        <w:rPr>
          <w:rFonts w:hint="eastAsia"/>
          <w:b/>
        </w:rPr>
        <w:t>第五条</w:t>
      </w:r>
      <w:r>
        <w:rPr>
          <w:rFonts w:hint="eastAsia"/>
        </w:rPr>
        <w:t xml:space="preserve">  补偿费按照矿产品销售收入的一定比例计征；补偿费费额，按照《规定》第五条规定计算；不同矿种的补偿费费率，按《规定》附录“矿产资源补偿费费率表”所列标准执行。</w:t>
      </w:r>
    </w:p>
    <w:p w14:paraId="458F8604">
      <w:pPr>
        <w:ind w:firstLine="422"/>
      </w:pPr>
      <w:r>
        <w:rPr>
          <w:rFonts w:hint="eastAsia"/>
          <w:b/>
        </w:rPr>
        <w:t>第六条</w:t>
      </w:r>
      <w:r>
        <w:rPr>
          <w:rFonts w:hint="eastAsia"/>
        </w:rPr>
        <w:t xml:space="preserve">  采矿权人采出的原矿直接销售的，按其销售收入计征。</w:t>
      </w:r>
    </w:p>
    <w:p w14:paraId="4D9D1BE3">
      <w:r>
        <w:rPr>
          <w:rFonts w:hint="eastAsia"/>
        </w:rPr>
        <w:t>采、选联合企业的采矿权人对采出的原矿进行选矿的，以选矿后的精矿所形成的销售收入计征。</w:t>
      </w:r>
    </w:p>
    <w:p w14:paraId="6F41DF56">
      <w:r>
        <w:rPr>
          <w:rFonts w:hint="eastAsia"/>
        </w:rPr>
        <w:t>采矿权人自行加工消耗的矿产品，按其数量和当时、当地的市场价格确定其销售收入后计征。无法确定其消耗数量的，按其后续产品折算其矿产品数量。</w:t>
      </w:r>
    </w:p>
    <w:p w14:paraId="21238885">
      <w:r>
        <w:rPr>
          <w:rFonts w:hint="eastAsia"/>
        </w:rPr>
        <w:t>国家无定价，又无市场价格，并只有在加工利用后才形成销售收入的矿种（如粘土、矿泉水等），根据矿山成本核算中提取或采集矿产品的成本，由征收部门确定比例，在一定时期内类比计征补偿费。</w:t>
      </w:r>
    </w:p>
    <w:p w14:paraId="2B26EA4A">
      <w:pPr>
        <w:ind w:firstLine="422"/>
      </w:pPr>
      <w:r>
        <w:rPr>
          <w:rFonts w:hint="eastAsia"/>
          <w:b/>
        </w:rPr>
        <w:t>第七条</w:t>
      </w:r>
      <w:r>
        <w:rPr>
          <w:rFonts w:hint="eastAsia"/>
        </w:rPr>
        <w:t xml:space="preserve">  从事选矿或者矿产品加工的选矿厂或者加工厂，经征收部门认定，为代扣代缴补偿费的义务人。在收购未缴纳补偿费单位和个人的矿产品时，应当代扣补偿费，并按规定上缴征收部门。</w:t>
      </w:r>
    </w:p>
    <w:p w14:paraId="62AB3368">
      <w:pPr>
        <w:ind w:firstLine="422"/>
      </w:pPr>
      <w:r>
        <w:rPr>
          <w:rFonts w:hint="eastAsia"/>
          <w:b/>
        </w:rPr>
        <w:t>第八条</w:t>
      </w:r>
      <w:r>
        <w:rPr>
          <w:rFonts w:hint="eastAsia"/>
        </w:rPr>
        <w:t xml:space="preserve">  核定开采回采率，以按照国家有关规定经批准的矿山设计为准；按照国家规定，只要求有开采方案，不要求有矿山设计的矿山企业，其开采回采率由地矿行政主管部门会同同级有关主管部门核定。</w:t>
      </w:r>
    </w:p>
    <w:p w14:paraId="56A8F913">
      <w:pPr>
        <w:rPr>
          <w:rFonts w:hint="eastAsia" w:ascii="宋体" w:hAnsi="宋体" w:eastAsia="宋体" w:cs="宋体"/>
        </w:rPr>
      </w:pPr>
      <w:r>
        <w:rPr>
          <w:rFonts w:hint="eastAsia"/>
        </w:rPr>
        <w:t>矿山企业没有矿山设计，又难以制定开</w:t>
      </w:r>
      <w:r>
        <w:rPr>
          <w:rFonts w:hint="eastAsia" w:ascii="宋体" w:hAnsi="宋体" w:eastAsia="宋体" w:cs="宋体"/>
        </w:rPr>
        <w:t>采方案的矿种（如砖瓦粘土、建筑用砂石，工程用砂、石、土等），其开采回采率系数为0.9至1.1。</w:t>
      </w:r>
    </w:p>
    <w:p w14:paraId="33E4D7C8">
      <w:pPr>
        <w:rPr>
          <w:rFonts w:hint="eastAsia" w:ascii="宋体" w:hAnsi="宋体" w:eastAsia="宋体" w:cs="宋体"/>
        </w:rPr>
      </w:pPr>
      <w:r>
        <w:rPr>
          <w:rFonts w:hint="eastAsia" w:ascii="宋体" w:hAnsi="宋体" w:eastAsia="宋体" w:cs="宋体"/>
        </w:rPr>
        <w:t>国家要求制定开采回采率，但矿山企业未制定的，其开采回采率系数为1.2。</w:t>
      </w:r>
    </w:p>
    <w:p w14:paraId="0DCE3B6F">
      <w:pPr>
        <w:ind w:firstLine="422"/>
        <w:rPr>
          <w:rFonts w:hint="eastAsia" w:ascii="宋体" w:hAnsi="宋体" w:eastAsia="宋体" w:cs="宋体"/>
        </w:rPr>
      </w:pPr>
      <w:r>
        <w:rPr>
          <w:rFonts w:hint="eastAsia" w:ascii="宋体" w:hAnsi="宋体" w:eastAsia="宋体" w:cs="宋体"/>
          <w:b/>
        </w:rPr>
        <w:t>第九条</w:t>
      </w:r>
      <w:r>
        <w:rPr>
          <w:rFonts w:hint="eastAsia" w:ascii="宋体" w:hAnsi="宋体" w:eastAsia="宋体" w:cs="宋体"/>
        </w:rPr>
        <w:t xml:space="preserve">  补偿费按季征收，半年结算一次。采矿权人应当在下一季度开始前10日内缴纳上一季度的补偿费。每年7月31日前结缴当年度上半年的补偿费。每年1月31日前结缴上年度下半年的补偿费。</w:t>
      </w:r>
    </w:p>
    <w:p w14:paraId="6C207669">
      <w:pPr>
        <w:ind w:firstLine="422"/>
        <w:rPr>
          <w:rFonts w:hint="eastAsia" w:ascii="宋体" w:hAnsi="宋体" w:eastAsia="宋体" w:cs="宋体"/>
        </w:rPr>
      </w:pPr>
      <w:r>
        <w:rPr>
          <w:rFonts w:hint="eastAsia" w:ascii="宋体" w:hAnsi="宋体" w:eastAsia="宋体" w:cs="宋体"/>
          <w:b/>
        </w:rPr>
        <w:t>第十条</w:t>
      </w:r>
      <w:r>
        <w:rPr>
          <w:rFonts w:hint="eastAsia" w:ascii="宋体" w:hAnsi="宋体" w:eastAsia="宋体" w:cs="宋体"/>
        </w:rPr>
        <w:t xml:space="preserve">  征收补偿费的具体工作程序和办法，由市地矿行政主管部门会同市财政局制定。</w:t>
      </w:r>
    </w:p>
    <w:p w14:paraId="4B02B196">
      <w:pPr>
        <w:ind w:firstLine="422"/>
        <w:rPr>
          <w:rFonts w:hint="eastAsia" w:ascii="宋体" w:hAnsi="宋体" w:eastAsia="宋体" w:cs="宋体"/>
        </w:rPr>
      </w:pPr>
      <w:r>
        <w:rPr>
          <w:rFonts w:hint="eastAsia" w:ascii="宋体" w:hAnsi="宋体" w:eastAsia="宋体" w:cs="宋体"/>
          <w:b/>
        </w:rPr>
        <w:t>第十一条</w:t>
      </w:r>
      <w:r>
        <w:rPr>
          <w:rFonts w:hint="eastAsia" w:ascii="宋体" w:hAnsi="宋体" w:eastAsia="宋体" w:cs="宋体"/>
        </w:rPr>
        <w:t xml:space="preserve">  采矿权人有符合《规定》第十二条、第十三条规定所列情况之一的，可于每年度12月底前向征收部门提出免缴、减缴补偿费的书面申请。征收部门接到申请后，提出审核意见，并在10日内转报市地矿行政主管部门，市地矿行政主管部门会同市财政局在30日内作出是否批准的决定，并通知采矿权人。决定减缴补偿费的，应当按《规定》上报批准和备案。</w:t>
      </w:r>
    </w:p>
    <w:p w14:paraId="5EE8CDE4">
      <w:pPr>
        <w:ind w:firstLine="422"/>
        <w:rPr>
          <w:rFonts w:hint="eastAsia" w:ascii="宋体" w:hAnsi="宋体" w:eastAsia="宋体" w:cs="宋体"/>
        </w:rPr>
      </w:pPr>
      <w:r>
        <w:rPr>
          <w:rFonts w:hint="eastAsia" w:ascii="宋体" w:hAnsi="宋体" w:eastAsia="宋体" w:cs="宋体"/>
          <w:b/>
        </w:rPr>
        <w:t>第十二条</w:t>
      </w:r>
      <w:r>
        <w:rPr>
          <w:rFonts w:hint="eastAsia" w:ascii="宋体" w:hAnsi="宋体" w:eastAsia="宋体" w:cs="宋体"/>
        </w:rPr>
        <w:t xml:space="preserve">  免缴补偿费的采矿权人，应当每半年向征收部门报送一次矿产品产量、销售数量、销售价格和实际开采回采率等有关材料。免缴补偿费期限不足半年的，采矿权人应当在免缴期满后10日内，向征收部门报送上述材料。</w:t>
      </w:r>
    </w:p>
    <w:p w14:paraId="64DE4369">
      <w:pPr>
        <w:ind w:firstLine="422"/>
        <w:rPr>
          <w:rFonts w:hint="eastAsia" w:ascii="宋体" w:hAnsi="宋体" w:eastAsia="宋体" w:cs="宋体"/>
        </w:rPr>
      </w:pPr>
      <w:r>
        <w:rPr>
          <w:rFonts w:hint="eastAsia" w:ascii="宋体" w:hAnsi="宋体" w:eastAsia="宋体" w:cs="宋体"/>
          <w:b/>
        </w:rPr>
        <w:t>第十三条</w:t>
      </w:r>
      <w:r>
        <w:rPr>
          <w:rFonts w:hint="eastAsia" w:ascii="宋体" w:hAnsi="宋体" w:eastAsia="宋体" w:cs="宋体"/>
        </w:rPr>
        <w:t xml:space="preserve">  征收的矿产资源补偿费，应当及时全额上缴，任何单位和个人不得截留、坐支、挪用和私分。</w:t>
      </w:r>
    </w:p>
    <w:p w14:paraId="01441872">
      <w:pPr>
        <w:rPr>
          <w:rFonts w:hint="eastAsia" w:ascii="宋体" w:hAnsi="宋体" w:eastAsia="宋体" w:cs="宋体"/>
        </w:rPr>
      </w:pPr>
      <w:r>
        <w:rPr>
          <w:rFonts w:hint="eastAsia" w:ascii="宋体" w:hAnsi="宋体" w:eastAsia="宋体" w:cs="宋体"/>
        </w:rPr>
        <w:t>属本市支配的补偿费，纳入市财政预算，实行专项管理。补偿费的具体使用，按下列比例分配：45%用于矿产资源管理的补充经费；15%用于矿产资源保护；30%用于地质勘查； 10%留财政部门。</w:t>
      </w:r>
    </w:p>
    <w:p w14:paraId="4F6A5DC6">
      <w:pPr>
        <w:rPr>
          <w:rFonts w:hint="eastAsia" w:ascii="宋体" w:hAnsi="宋体" w:eastAsia="宋体" w:cs="宋体"/>
        </w:rPr>
      </w:pPr>
      <w:r>
        <w:rPr>
          <w:rFonts w:hint="eastAsia" w:ascii="宋体" w:hAnsi="宋体" w:eastAsia="宋体" w:cs="宋体"/>
        </w:rPr>
        <w:t>各专项费用的具体使用办法和比例的调整，由市地矿行政主管部门会同市发展改革委员会、市财政局制定。</w:t>
      </w:r>
    </w:p>
    <w:p w14:paraId="651E06D8">
      <w:pPr>
        <w:ind w:firstLine="422"/>
        <w:rPr>
          <w:rFonts w:hint="eastAsia" w:ascii="宋体" w:hAnsi="宋体" w:eastAsia="宋体" w:cs="宋体"/>
        </w:rPr>
      </w:pPr>
      <w:r>
        <w:rPr>
          <w:rFonts w:hint="eastAsia" w:ascii="宋体" w:hAnsi="宋体" w:eastAsia="宋体" w:cs="宋体"/>
          <w:b/>
        </w:rPr>
        <w:t>第十四条</w:t>
      </w:r>
      <w:r>
        <w:rPr>
          <w:rFonts w:hint="eastAsia" w:ascii="宋体" w:hAnsi="宋体" w:eastAsia="宋体" w:cs="宋体"/>
        </w:rPr>
        <w:t>　采矿权人违反《规定》和本办法的，按《规定》处罚。</w:t>
      </w:r>
    </w:p>
    <w:p w14:paraId="42967D09">
      <w:pPr>
        <w:ind w:firstLine="422"/>
        <w:rPr>
          <w:rFonts w:hint="eastAsia" w:ascii="宋体" w:hAnsi="宋体" w:eastAsia="宋体" w:cs="宋体"/>
        </w:rPr>
      </w:pPr>
      <w:r>
        <w:rPr>
          <w:rFonts w:hint="eastAsia" w:ascii="宋体" w:hAnsi="宋体" w:eastAsia="宋体" w:cs="宋体"/>
          <w:b/>
        </w:rPr>
        <w:t>第十五条</w:t>
      </w:r>
      <w:r>
        <w:rPr>
          <w:rFonts w:hint="eastAsia" w:ascii="宋体" w:hAnsi="宋体" w:eastAsia="宋体" w:cs="宋体"/>
        </w:rPr>
        <w:t>　征收部门对采矿权人处以的罚款、加收的滞纳金，应当上缴国库，不得截留、挪用和私分。</w:t>
      </w:r>
    </w:p>
    <w:p w14:paraId="52B1E879">
      <w:pPr>
        <w:rPr>
          <w:rFonts w:hint="eastAsia" w:ascii="宋体" w:hAnsi="宋体" w:eastAsia="宋体" w:cs="宋体"/>
        </w:rPr>
      </w:pPr>
      <w:r>
        <w:rPr>
          <w:rFonts w:hint="eastAsia" w:ascii="宋体" w:hAnsi="宋体" w:eastAsia="宋体" w:cs="宋体"/>
        </w:rPr>
        <w:t>征收部门处以罚款和加收滞纳金，应当开具财政部门统一印制的专用票据。</w:t>
      </w:r>
    </w:p>
    <w:p w14:paraId="03B0D807">
      <w:pPr>
        <w:ind w:firstLine="422"/>
        <w:rPr>
          <w:rFonts w:hint="eastAsia" w:ascii="宋体" w:hAnsi="宋体" w:eastAsia="宋体" w:cs="宋体"/>
        </w:rPr>
      </w:pPr>
      <w:r>
        <w:rPr>
          <w:rFonts w:hint="eastAsia" w:ascii="宋体" w:hAnsi="宋体" w:eastAsia="宋体" w:cs="宋体"/>
          <w:b/>
        </w:rPr>
        <w:t>第十六条</w:t>
      </w:r>
      <w:r>
        <w:rPr>
          <w:rFonts w:hint="eastAsia" w:ascii="宋体" w:hAnsi="宋体" w:eastAsia="宋体" w:cs="宋体"/>
        </w:rPr>
        <w:t>　征收部门及其工作人员，采用伪造、涂改票据等手段截留、挪用、坐支、私分征收的补偿费和罚款的，或者在征收工作中以权谋私、收受贿赂的，视情节轻重给予行政处分。</w:t>
      </w:r>
    </w:p>
    <w:p w14:paraId="073FF2A3">
      <w:pPr>
        <w:ind w:firstLine="422"/>
        <w:rPr>
          <w:rFonts w:hint="eastAsia" w:ascii="宋体" w:hAnsi="宋体" w:eastAsia="宋体" w:cs="宋体"/>
        </w:rPr>
      </w:pPr>
      <w:r>
        <w:rPr>
          <w:rFonts w:hint="eastAsia" w:ascii="宋体" w:hAnsi="宋体" w:eastAsia="宋体" w:cs="宋体"/>
          <w:b/>
        </w:rPr>
        <w:t>第十七条</w:t>
      </w:r>
      <w:r>
        <w:rPr>
          <w:rFonts w:hint="eastAsia" w:ascii="宋体" w:hAnsi="宋体" w:eastAsia="宋体" w:cs="宋体"/>
        </w:rPr>
        <w:t>　本办法自发布之日起施行。</w:t>
      </w:r>
    </w:p>
    <w:p w14:paraId="76D5D54A">
      <w:pPr>
        <w:pStyle w:val="4"/>
        <w:pageBreakBefore/>
      </w:pPr>
      <w:bookmarkStart w:id="2571" w:name="_Toc426467156"/>
      <w:bookmarkStart w:id="2572" w:name="_Toc428780769"/>
      <w:bookmarkStart w:id="2573" w:name="_Toc428781904"/>
      <w:r>
        <w:rPr>
          <w:rFonts w:hint="eastAsia"/>
        </w:rPr>
        <w:t>北京市闲置土地处理办法</w:t>
      </w:r>
      <w:bookmarkEnd w:id="2571"/>
      <w:bookmarkEnd w:id="2572"/>
      <w:bookmarkEnd w:id="2573"/>
    </w:p>
    <w:p w14:paraId="3098C178">
      <w:pPr>
        <w:ind w:left="630" w:leftChars="300" w:right="630" w:rightChars="300"/>
        <w:rPr>
          <w:rFonts w:ascii="楷体" w:hAnsi="楷体" w:eastAsia="楷体"/>
        </w:rPr>
      </w:pPr>
      <w:r>
        <w:rPr>
          <w:rFonts w:hint="eastAsia" w:ascii="楷体" w:hAnsi="楷体" w:eastAsia="楷体"/>
        </w:rPr>
        <w:t>（2001年8月14日北京市人民政府第37号常务会议通过　2001年8月28日北京市人民政府第83号令发布）</w:t>
      </w:r>
    </w:p>
    <w:p w14:paraId="072D85E0"/>
    <w:p w14:paraId="1B3FC83A">
      <w:pPr>
        <w:ind w:firstLine="422"/>
      </w:pPr>
      <w:r>
        <w:rPr>
          <w:rFonts w:hint="eastAsia"/>
          <w:b/>
        </w:rPr>
        <w:t>第一条</w:t>
      </w:r>
      <w:r>
        <w:rPr>
          <w:rFonts w:hint="eastAsia"/>
        </w:rPr>
        <w:t xml:space="preserve">  为依法处理和充分利用闲置土地，根据《中华人民共和国土地管理法》、《中华人民共和国城市房地产管理法》等有关法律、法规规定，结合本市实际情况，制定本办法。</w:t>
      </w:r>
    </w:p>
    <w:p w14:paraId="34A594D5">
      <w:pPr>
        <w:ind w:firstLine="422"/>
      </w:pPr>
      <w:r>
        <w:rPr>
          <w:rFonts w:hint="eastAsia"/>
          <w:b/>
        </w:rPr>
        <w:t>第二条</w:t>
      </w:r>
      <w:r>
        <w:rPr>
          <w:rFonts w:hint="eastAsia"/>
        </w:rPr>
        <w:t xml:space="preserve">  在本市行政区域内闲置的国有建设用地，依照本办法处理。</w:t>
      </w:r>
    </w:p>
    <w:p w14:paraId="619FAE75">
      <w:pPr>
        <w:ind w:firstLine="422"/>
        <w:rPr>
          <w:rFonts w:hint="eastAsia" w:ascii="宋体" w:hAnsi="宋体" w:eastAsia="宋体" w:cs="宋体"/>
        </w:rPr>
      </w:pPr>
      <w:r>
        <w:rPr>
          <w:rFonts w:hint="eastAsia"/>
          <w:b/>
        </w:rPr>
        <w:t>第三条</w:t>
      </w:r>
      <w:r>
        <w:rPr>
          <w:rFonts w:hint="eastAsia"/>
        </w:rPr>
        <w:t xml:space="preserve">  市国土资源和房屋管理局主管本市闲置土地的处理工作，负责组织实施本办法。区、县土地行政主管部门依照职责负责本辖区</w:t>
      </w:r>
      <w:r>
        <w:rPr>
          <w:rFonts w:hint="eastAsia" w:ascii="宋体" w:hAnsi="宋体" w:eastAsia="宋体" w:cs="宋体"/>
        </w:rPr>
        <w:t>内闲置土地的处理工作。</w:t>
      </w:r>
    </w:p>
    <w:p w14:paraId="05A59757">
      <w:pPr>
        <w:rPr>
          <w:rFonts w:hint="eastAsia" w:ascii="宋体" w:hAnsi="宋体" w:eastAsia="宋体" w:cs="宋体"/>
        </w:rPr>
      </w:pPr>
      <w:r>
        <w:rPr>
          <w:rFonts w:hint="eastAsia" w:ascii="宋体" w:hAnsi="宋体" w:eastAsia="宋体" w:cs="宋体"/>
        </w:rPr>
        <w:t>发展计划、规划、建设等行政主管部门按照各自的职责，依法对闲置土地实施监督和管理。</w:t>
      </w:r>
    </w:p>
    <w:p w14:paraId="6D9988BE">
      <w:pPr>
        <w:ind w:firstLine="422"/>
        <w:rPr>
          <w:rFonts w:hint="eastAsia" w:ascii="宋体" w:hAnsi="宋体" w:eastAsia="宋体" w:cs="宋体"/>
        </w:rPr>
      </w:pPr>
      <w:r>
        <w:rPr>
          <w:rFonts w:hint="eastAsia" w:ascii="宋体" w:hAnsi="宋体" w:eastAsia="宋体" w:cs="宋体"/>
          <w:b/>
        </w:rPr>
        <w:t>第四条</w:t>
      </w:r>
      <w:r>
        <w:rPr>
          <w:rFonts w:hint="eastAsia" w:ascii="宋体" w:hAnsi="宋体" w:eastAsia="宋体" w:cs="宋体"/>
        </w:rPr>
        <w:t xml:space="preserve">  对闲置土地的，任何单位和个人都可以向土地行政主管部门举报。</w:t>
      </w:r>
    </w:p>
    <w:p w14:paraId="34A423F9">
      <w:pPr>
        <w:ind w:firstLine="422"/>
        <w:rPr>
          <w:rFonts w:hint="eastAsia" w:ascii="宋体" w:hAnsi="宋体" w:eastAsia="宋体" w:cs="宋体"/>
        </w:rPr>
      </w:pPr>
      <w:r>
        <w:rPr>
          <w:rFonts w:hint="eastAsia" w:ascii="宋体" w:hAnsi="宋体" w:eastAsia="宋体" w:cs="宋体"/>
          <w:b/>
        </w:rPr>
        <w:t>第五条</w:t>
      </w:r>
      <w:r>
        <w:rPr>
          <w:rFonts w:hint="eastAsia" w:ascii="宋体" w:hAnsi="宋体" w:eastAsia="宋体" w:cs="宋体"/>
        </w:rPr>
        <w:t xml:space="preserve">  本办法所称闲置土地是指具有下列情形之一的土地：</w:t>
      </w:r>
    </w:p>
    <w:p w14:paraId="2D49A02B">
      <w:pPr>
        <w:rPr>
          <w:rFonts w:hint="eastAsia" w:ascii="宋体" w:hAnsi="宋体" w:eastAsia="宋体" w:cs="宋体"/>
        </w:rPr>
      </w:pPr>
      <w:r>
        <w:rPr>
          <w:rFonts w:hint="eastAsia" w:ascii="宋体" w:hAnsi="宋体" w:eastAsia="宋体" w:cs="宋体"/>
        </w:rPr>
        <w:t>（一）取得建设用地批准文件以后，连续满1年或者超过1年未动工开发建设的。</w:t>
      </w:r>
    </w:p>
    <w:p w14:paraId="170DC0F3">
      <w:pPr>
        <w:rPr>
          <w:rFonts w:hint="eastAsia" w:ascii="宋体" w:hAnsi="宋体" w:eastAsia="宋体" w:cs="宋体"/>
        </w:rPr>
      </w:pPr>
      <w:r>
        <w:rPr>
          <w:rFonts w:hint="eastAsia" w:ascii="宋体" w:hAnsi="宋体" w:eastAsia="宋体" w:cs="宋体"/>
        </w:rPr>
        <w:t>（二）超过土地使用权出让合同约定的动工开发日期1年以上（含1年）未动工开发建设的。</w:t>
      </w:r>
    </w:p>
    <w:p w14:paraId="249D2340">
      <w:pPr>
        <w:rPr>
          <w:rFonts w:hint="eastAsia" w:ascii="宋体" w:hAnsi="宋体" w:eastAsia="宋体" w:cs="宋体"/>
        </w:rPr>
      </w:pPr>
      <w:r>
        <w:rPr>
          <w:rFonts w:hint="eastAsia" w:ascii="宋体" w:hAnsi="宋体" w:eastAsia="宋体" w:cs="宋体"/>
        </w:rPr>
        <w:t>（三）已动工开发建设但开发建设的面积占应动工开发建设总面积不足三分之一的或者已投资额占总投资额不足25%且未经批准中止开发建设连续1年以上（含1年）的。</w:t>
      </w:r>
    </w:p>
    <w:p w14:paraId="7E4EA569">
      <w:pPr>
        <w:rPr>
          <w:rFonts w:hint="eastAsia" w:ascii="宋体" w:hAnsi="宋体" w:eastAsia="宋体" w:cs="宋体"/>
        </w:rPr>
      </w:pPr>
      <w:r>
        <w:rPr>
          <w:rFonts w:hint="eastAsia" w:ascii="宋体" w:hAnsi="宋体" w:eastAsia="宋体" w:cs="宋体"/>
        </w:rPr>
        <w:t>（四）法律、法规规定的其他情形。</w:t>
      </w:r>
    </w:p>
    <w:p w14:paraId="5746ACED">
      <w:pPr>
        <w:ind w:firstLine="422"/>
        <w:rPr>
          <w:rFonts w:hint="eastAsia" w:ascii="宋体" w:hAnsi="宋体" w:eastAsia="宋体" w:cs="宋体"/>
        </w:rPr>
      </w:pPr>
      <w:r>
        <w:rPr>
          <w:rFonts w:hint="eastAsia" w:ascii="宋体" w:hAnsi="宋体" w:eastAsia="宋体" w:cs="宋体"/>
          <w:b/>
        </w:rPr>
        <w:t>第六条</w:t>
      </w:r>
      <w:r>
        <w:rPr>
          <w:rFonts w:hint="eastAsia" w:ascii="宋体" w:hAnsi="宋体" w:eastAsia="宋体" w:cs="宋体"/>
        </w:rPr>
        <w:t xml:space="preserve">  闲置土地由市或者区、县土地行政主管部门依职责认定。</w:t>
      </w:r>
    </w:p>
    <w:p w14:paraId="10E5DD03">
      <w:pPr>
        <w:rPr>
          <w:rFonts w:hint="eastAsia" w:ascii="宋体" w:hAnsi="宋体" w:eastAsia="宋体" w:cs="宋体"/>
        </w:rPr>
      </w:pPr>
      <w:r>
        <w:rPr>
          <w:rFonts w:hint="eastAsia" w:ascii="宋体" w:hAnsi="宋体" w:eastAsia="宋体" w:cs="宋体"/>
        </w:rPr>
        <w:t>闲置土地使用者应当将闲置土地的范围、面积、闲置的时间和原因等有关资料，如实向土地行政主管部门提供，并接受调查。</w:t>
      </w:r>
    </w:p>
    <w:p w14:paraId="2BC0D2FF">
      <w:pPr>
        <w:ind w:firstLine="422"/>
        <w:rPr>
          <w:rFonts w:hint="eastAsia" w:ascii="宋体" w:hAnsi="宋体" w:eastAsia="宋体" w:cs="宋体"/>
        </w:rPr>
      </w:pPr>
      <w:r>
        <w:rPr>
          <w:rFonts w:hint="eastAsia" w:ascii="宋体" w:hAnsi="宋体" w:eastAsia="宋体" w:cs="宋体"/>
          <w:b/>
        </w:rPr>
        <w:t>第七条</w:t>
      </w:r>
      <w:r>
        <w:rPr>
          <w:rFonts w:hint="eastAsia" w:ascii="宋体" w:hAnsi="宋体" w:eastAsia="宋体" w:cs="宋体"/>
        </w:rPr>
        <w:t xml:space="preserve">  土地闲置不满2年的，由土地行政主管部门核发《限期动工开发通知书》，责令土地使用者在规定限期内动工开发建设，并向社会公告；依照法律、法规规定应当或者可以征收土地闲置费的，土地行政主管部门核发《缴纳土地闲置费通知书》，按照规定征收土地闲置费。</w:t>
      </w:r>
    </w:p>
    <w:p w14:paraId="75488E20">
      <w:pPr>
        <w:ind w:firstLine="422"/>
        <w:rPr>
          <w:rFonts w:hint="eastAsia" w:ascii="宋体" w:hAnsi="宋体" w:eastAsia="宋体" w:cs="宋体"/>
        </w:rPr>
      </w:pPr>
      <w:r>
        <w:rPr>
          <w:rFonts w:hint="eastAsia" w:ascii="宋体" w:hAnsi="宋体" w:eastAsia="宋体" w:cs="宋体"/>
          <w:b/>
        </w:rPr>
        <w:t>第八条</w:t>
      </w:r>
      <w:r>
        <w:rPr>
          <w:rFonts w:hint="eastAsia" w:ascii="宋体" w:hAnsi="宋体" w:eastAsia="宋体" w:cs="宋体"/>
        </w:rPr>
        <w:t xml:space="preserve">  土地闲置满2年的，经原批准机关批准可以无偿收回。</w:t>
      </w:r>
    </w:p>
    <w:p w14:paraId="4C2C893F">
      <w:pPr>
        <w:rPr>
          <w:rFonts w:hint="eastAsia" w:ascii="宋体" w:hAnsi="宋体" w:eastAsia="宋体" w:cs="宋体"/>
        </w:rPr>
      </w:pPr>
      <w:r>
        <w:rPr>
          <w:rFonts w:hint="eastAsia" w:ascii="宋体" w:hAnsi="宋体" w:eastAsia="宋体" w:cs="宋体"/>
        </w:rPr>
        <w:t>经批准征用的农民集体所有土地闲置满2年，且没有进行征地补偿安置工作的，可以按照下列方式处理；</w:t>
      </w:r>
    </w:p>
    <w:p w14:paraId="600FAE48">
      <w:pPr>
        <w:rPr>
          <w:rFonts w:hint="eastAsia" w:ascii="宋体" w:hAnsi="宋体" w:eastAsia="宋体" w:cs="宋体"/>
        </w:rPr>
      </w:pPr>
      <w:r>
        <w:rPr>
          <w:rFonts w:hint="eastAsia" w:ascii="宋体" w:hAnsi="宋体" w:eastAsia="宋体" w:cs="宋体"/>
        </w:rPr>
        <w:t>（一）市人民政府组织落实征地补偿安置工作后，纳入市人民政府土地储备。</w:t>
      </w:r>
    </w:p>
    <w:p w14:paraId="4761D0D6">
      <w:pPr>
        <w:rPr>
          <w:rFonts w:hint="eastAsia" w:ascii="宋体" w:hAnsi="宋体" w:eastAsia="宋体" w:cs="宋体"/>
        </w:rPr>
      </w:pPr>
      <w:r>
        <w:rPr>
          <w:rFonts w:hint="eastAsia" w:ascii="宋体" w:hAnsi="宋体" w:eastAsia="宋体" w:cs="宋体"/>
        </w:rPr>
        <w:t>（二）由原批准机关撤销批准征地文件，土地仍归农民集体所有。原用地涉及占用农用地转用计划指标的，该农用地转用计划指标由市人民政府收回。</w:t>
      </w:r>
    </w:p>
    <w:p w14:paraId="2D306402">
      <w:pPr>
        <w:ind w:firstLine="422"/>
        <w:rPr>
          <w:rFonts w:hint="eastAsia" w:ascii="宋体" w:hAnsi="宋体" w:eastAsia="宋体" w:cs="宋体"/>
        </w:rPr>
      </w:pPr>
      <w:r>
        <w:rPr>
          <w:rFonts w:hint="eastAsia" w:ascii="宋体" w:hAnsi="宋体" w:eastAsia="宋体" w:cs="宋体"/>
          <w:b/>
        </w:rPr>
        <w:t>第九条</w:t>
      </w:r>
      <w:r>
        <w:rPr>
          <w:rFonts w:hint="eastAsia" w:ascii="宋体" w:hAnsi="宋体" w:eastAsia="宋体" w:cs="宋体"/>
        </w:rPr>
        <w:t xml:space="preserve">  以出让方式取得使用权的土地闲置满2年，土地使用者全额或者部分支付地价款的，经土地行政主管部门批准可以按照下列方式处理闲置土地：</w:t>
      </w:r>
    </w:p>
    <w:p w14:paraId="7627CF57">
      <w:pPr>
        <w:rPr>
          <w:rFonts w:hint="eastAsia" w:ascii="宋体" w:hAnsi="宋体" w:eastAsia="宋体" w:cs="宋体"/>
        </w:rPr>
      </w:pPr>
      <w:r>
        <w:rPr>
          <w:rFonts w:hint="eastAsia" w:ascii="宋体" w:hAnsi="宋体" w:eastAsia="宋体" w:cs="宋体"/>
        </w:rPr>
        <w:t>（一）开发建设前期工作准备就绪，资金落实，已基本具备开工建设条件的，重新确定开发建设时间，限期动工开发建设，限期不超过1年。半年之内不能动工开发建设的，土地使用者应当对土地实施绿化等环境保护措施；限期期满仍未动工开发建设的，按照本办法第八条第一款的规定收回闲置土地。</w:t>
      </w:r>
    </w:p>
    <w:p w14:paraId="1E7ACC7A">
      <w:pPr>
        <w:rPr>
          <w:rFonts w:hint="eastAsia" w:ascii="宋体" w:hAnsi="宋体" w:eastAsia="宋体" w:cs="宋体"/>
        </w:rPr>
      </w:pPr>
      <w:r>
        <w:rPr>
          <w:rFonts w:hint="eastAsia" w:ascii="宋体" w:hAnsi="宋体" w:eastAsia="宋体" w:cs="宋体"/>
        </w:rPr>
        <w:t>（二）经有关部门批准安排临时使用。临时用地期限届满，经土地行政主管部门组织进行地价评审后，土地使用者必须动工开发建设，并交纳土地增值收益；临时用地期限届满，土地使用者仍不动工开发建设的，按照本办法第八条第一款的规定收回闲置土地。</w:t>
      </w:r>
    </w:p>
    <w:p w14:paraId="6CBD6EE5">
      <w:pPr>
        <w:rPr>
          <w:rFonts w:hint="eastAsia" w:ascii="宋体" w:hAnsi="宋体" w:eastAsia="宋体" w:cs="宋体"/>
        </w:rPr>
      </w:pPr>
      <w:r>
        <w:rPr>
          <w:rFonts w:hint="eastAsia" w:ascii="宋体" w:hAnsi="宋体" w:eastAsia="宋体" w:cs="宋体"/>
        </w:rPr>
        <w:t>（三）置换其他建设用地进行开发建设。</w:t>
      </w:r>
    </w:p>
    <w:p w14:paraId="46EAA811">
      <w:pPr>
        <w:ind w:firstLine="422"/>
        <w:rPr>
          <w:rFonts w:hint="eastAsia" w:ascii="宋体" w:hAnsi="宋体" w:eastAsia="宋体" w:cs="宋体"/>
        </w:rPr>
      </w:pPr>
      <w:r>
        <w:rPr>
          <w:rFonts w:hint="eastAsia" w:ascii="宋体" w:hAnsi="宋体" w:eastAsia="宋体" w:cs="宋体"/>
          <w:b/>
        </w:rPr>
        <w:t>第十条</w:t>
      </w:r>
      <w:r>
        <w:rPr>
          <w:rFonts w:hint="eastAsia" w:ascii="宋体" w:hAnsi="宋体" w:eastAsia="宋体" w:cs="宋体"/>
        </w:rPr>
        <w:t xml:space="preserve">  经批准征用的农民集体所有土地和以划拨方式取得的建设用地闲置满2年的，土地使用者已经落实征地补偿安置或者完成房屋拆迁工作量三分之一以上，资金落实，基本具备开工建设条件的，可以比照本办法第九条第（一）项的规定处理。</w:t>
      </w:r>
    </w:p>
    <w:p w14:paraId="22755FC7">
      <w:pPr>
        <w:ind w:firstLine="422"/>
        <w:rPr>
          <w:rFonts w:hint="eastAsia" w:ascii="宋体" w:hAnsi="宋体" w:eastAsia="宋体" w:cs="宋体"/>
        </w:rPr>
      </w:pPr>
      <w:r>
        <w:rPr>
          <w:rFonts w:hint="eastAsia" w:ascii="宋体" w:hAnsi="宋体" w:eastAsia="宋体" w:cs="宋体"/>
          <w:b/>
        </w:rPr>
        <w:t>第十一条</w:t>
      </w:r>
      <w:r>
        <w:rPr>
          <w:rFonts w:hint="eastAsia" w:ascii="宋体" w:hAnsi="宋体" w:eastAsia="宋体" w:cs="宋体"/>
        </w:rPr>
        <w:t xml:space="preserve">  闲置土地被收回时，原土地使用者已经落实征地补偿安置或者完成房屋拆迁工作量三分之一以上的，对其在取得批准用地文件后或者依法签订的土地使用权出让合同生效后，进行地上物和其他附着物拆迁、征地补偿安置所支付的费用，以及其他直接用于开发土地的实际投入，由土地行政主管部门委托审计机构审计后，给予适当补偿。具体补偿金额和补偿方式，由土地行政主管部门确定。</w:t>
      </w:r>
    </w:p>
    <w:p w14:paraId="54BFAC70">
      <w:pPr>
        <w:ind w:firstLine="422"/>
        <w:rPr>
          <w:rFonts w:hint="eastAsia" w:ascii="宋体" w:hAnsi="宋体" w:eastAsia="宋体" w:cs="宋体"/>
        </w:rPr>
      </w:pPr>
      <w:r>
        <w:rPr>
          <w:rFonts w:hint="eastAsia" w:ascii="宋体" w:hAnsi="宋体" w:eastAsia="宋体" w:cs="宋体"/>
          <w:b/>
        </w:rPr>
        <w:t>第十二条</w:t>
      </w:r>
      <w:r>
        <w:rPr>
          <w:rFonts w:hint="eastAsia" w:ascii="宋体" w:hAnsi="宋体" w:eastAsia="宋体" w:cs="宋体"/>
        </w:rPr>
        <w:t xml:space="preserve">  因不可抗力或者人民政府及其有关部门的行为以及动工开发必需的前期工作造成动力开发延迟导致土地闲置的，土地使用者应当及时向土地行政主管部门申报，经认定后不适用本办法第七条、第八条的规定。障碍消除后，土地使用者应当在重新确定的土地开发建设期限内开发建设；土地使用者无力开发建设的，可以通过协议方式由人民政府收回闲置的土地。</w:t>
      </w:r>
    </w:p>
    <w:p w14:paraId="7EBA3733">
      <w:pPr>
        <w:ind w:firstLine="422"/>
        <w:rPr>
          <w:rFonts w:hint="eastAsia" w:ascii="宋体" w:hAnsi="宋体" w:eastAsia="宋体" w:cs="宋体"/>
        </w:rPr>
      </w:pPr>
      <w:r>
        <w:rPr>
          <w:rFonts w:hint="eastAsia" w:ascii="宋体" w:hAnsi="宋体" w:eastAsia="宋体" w:cs="宋体"/>
          <w:b/>
        </w:rPr>
        <w:t>第十三条</w:t>
      </w:r>
      <w:r>
        <w:rPr>
          <w:rFonts w:hint="eastAsia" w:ascii="宋体" w:hAnsi="宋体" w:eastAsia="宋体" w:cs="宋体"/>
        </w:rPr>
        <w:t xml:space="preserve">  收回闲置土地的，土地行政主管部门应当按照下列程序进行：</w:t>
      </w:r>
    </w:p>
    <w:p w14:paraId="7B459184">
      <w:pPr>
        <w:rPr>
          <w:rFonts w:hint="eastAsia" w:ascii="宋体" w:hAnsi="宋体" w:eastAsia="宋体" w:cs="宋体"/>
        </w:rPr>
      </w:pPr>
      <w:r>
        <w:rPr>
          <w:rFonts w:hint="eastAsia" w:ascii="宋体" w:hAnsi="宋体" w:eastAsia="宋体" w:cs="宋体"/>
        </w:rPr>
        <w:t>（一）立案，调查取证，认定事实。</w:t>
      </w:r>
    </w:p>
    <w:p w14:paraId="41E934D6">
      <w:pPr>
        <w:rPr>
          <w:rFonts w:hint="eastAsia" w:ascii="宋体" w:hAnsi="宋体" w:eastAsia="宋体" w:cs="宋体"/>
        </w:rPr>
      </w:pPr>
      <w:r>
        <w:rPr>
          <w:rFonts w:hint="eastAsia" w:ascii="宋体" w:hAnsi="宋体" w:eastAsia="宋体" w:cs="宋体"/>
        </w:rPr>
        <w:t>（二）告知当事人有要求听证的权利。当事人要求听证的，应当举行听证。</w:t>
      </w:r>
    </w:p>
    <w:p w14:paraId="25C9CC8C">
      <w:pPr>
        <w:rPr>
          <w:rFonts w:hint="eastAsia" w:ascii="宋体" w:hAnsi="宋体" w:eastAsia="宋体" w:cs="宋体"/>
        </w:rPr>
      </w:pPr>
      <w:r>
        <w:rPr>
          <w:rFonts w:hint="eastAsia" w:ascii="宋体" w:hAnsi="宋体" w:eastAsia="宋体" w:cs="宋体"/>
        </w:rPr>
        <w:t>（三）报原批准机关批准后，下发收回闲置土地决定书，送达当事人，并告知当事人有申请行政复议和提起行政诉讼的权利。被收回的土地上已经依法设立抵押权的，应当通知抵押人。</w:t>
      </w:r>
    </w:p>
    <w:p w14:paraId="21910A63">
      <w:pPr>
        <w:rPr>
          <w:rFonts w:hint="eastAsia" w:ascii="宋体" w:hAnsi="宋体" w:eastAsia="宋体" w:cs="宋体"/>
        </w:rPr>
      </w:pPr>
      <w:r>
        <w:rPr>
          <w:rFonts w:hint="eastAsia" w:ascii="宋体" w:hAnsi="宋体" w:eastAsia="宋体" w:cs="宋体"/>
        </w:rPr>
        <w:t>（四）收回《建设用地批准书》或者终止土地使用权出让合同，注销国有土地使用证书。</w:t>
      </w:r>
    </w:p>
    <w:p w14:paraId="4AE9CB3B">
      <w:pPr>
        <w:rPr>
          <w:rFonts w:hint="eastAsia" w:ascii="宋体" w:hAnsi="宋体" w:eastAsia="宋体" w:cs="宋体"/>
        </w:rPr>
      </w:pPr>
      <w:r>
        <w:rPr>
          <w:rFonts w:hint="eastAsia" w:ascii="宋体" w:hAnsi="宋体" w:eastAsia="宋体" w:cs="宋体"/>
        </w:rPr>
        <w:t>（五）通知发展计划、规划、建设等部门撤销有关批准文件。</w:t>
      </w:r>
    </w:p>
    <w:p w14:paraId="23BFFB3C">
      <w:pPr>
        <w:rPr>
          <w:rFonts w:hint="eastAsia" w:ascii="宋体" w:hAnsi="宋体" w:eastAsia="宋体" w:cs="宋体"/>
        </w:rPr>
      </w:pPr>
      <w:r>
        <w:rPr>
          <w:rFonts w:hint="eastAsia" w:ascii="宋体" w:hAnsi="宋体" w:eastAsia="宋体" w:cs="宋体"/>
        </w:rPr>
        <w:t>（六）公告。</w:t>
      </w:r>
    </w:p>
    <w:p w14:paraId="428CDE92">
      <w:pPr>
        <w:ind w:firstLine="422"/>
        <w:rPr>
          <w:rFonts w:hint="eastAsia" w:ascii="宋体" w:hAnsi="宋体" w:eastAsia="宋体" w:cs="宋体"/>
        </w:rPr>
      </w:pPr>
      <w:r>
        <w:rPr>
          <w:rFonts w:hint="eastAsia" w:ascii="宋体" w:hAnsi="宋体" w:eastAsia="宋体" w:cs="宋体"/>
          <w:b/>
        </w:rPr>
        <w:t>第十四条</w:t>
      </w:r>
      <w:r>
        <w:rPr>
          <w:rFonts w:hint="eastAsia" w:ascii="宋体" w:hAnsi="宋体" w:eastAsia="宋体" w:cs="宋体"/>
        </w:rPr>
        <w:t xml:space="preserve">  被依法收回土地的土地使用者，应当自收回土地的法律文书送达之日起15日内，到土地行政主管部门办理注销土地登记、交回土地使用证书。逾期不办理注销登记手续的，土地行政主管部门直接变更土地登记和注销其土地使用证书。</w:t>
      </w:r>
    </w:p>
    <w:p w14:paraId="6D0CB675">
      <w:pPr>
        <w:ind w:firstLine="422"/>
        <w:rPr>
          <w:rFonts w:hint="eastAsia" w:ascii="宋体" w:hAnsi="宋体" w:eastAsia="宋体" w:cs="宋体"/>
        </w:rPr>
      </w:pPr>
      <w:r>
        <w:rPr>
          <w:rFonts w:hint="eastAsia" w:ascii="宋体" w:hAnsi="宋体" w:eastAsia="宋体" w:cs="宋体"/>
          <w:b/>
        </w:rPr>
        <w:t>第十五条</w:t>
      </w:r>
      <w:r>
        <w:rPr>
          <w:rFonts w:hint="eastAsia" w:ascii="宋体" w:hAnsi="宋体" w:eastAsia="宋体" w:cs="宋体"/>
        </w:rPr>
        <w:t xml:space="preserve">  依法收回的闲置土地，应当纳入市人民政府土地储备或者依法重新确定使用者。出让依法收回的闲置土地的，应当采取招标或者拍卖的方式。</w:t>
      </w:r>
    </w:p>
    <w:p w14:paraId="10BBCE7D">
      <w:pPr>
        <w:rPr>
          <w:rFonts w:hint="eastAsia" w:ascii="宋体" w:hAnsi="宋体" w:eastAsia="宋体" w:cs="宋体"/>
        </w:rPr>
      </w:pPr>
      <w:r>
        <w:rPr>
          <w:rFonts w:hint="eastAsia" w:ascii="宋体" w:hAnsi="宋体" w:eastAsia="宋体" w:cs="宋体"/>
        </w:rPr>
        <w:t>建设用地能够使用依法收回的闲置土地的，应当使用闲置土地，有关部门不得批准其占用农用地。</w:t>
      </w:r>
    </w:p>
    <w:p w14:paraId="6F1B4248">
      <w:pPr>
        <w:ind w:firstLine="422"/>
        <w:rPr>
          <w:rFonts w:hint="eastAsia" w:ascii="宋体" w:hAnsi="宋体" w:eastAsia="宋体" w:cs="宋体"/>
        </w:rPr>
      </w:pPr>
      <w:r>
        <w:rPr>
          <w:rFonts w:hint="eastAsia" w:ascii="宋体" w:hAnsi="宋体" w:eastAsia="宋体" w:cs="宋体"/>
          <w:b/>
        </w:rPr>
        <w:t>第十六条</w:t>
      </w:r>
      <w:r>
        <w:rPr>
          <w:rFonts w:hint="eastAsia" w:ascii="宋体" w:hAnsi="宋体" w:eastAsia="宋体" w:cs="宋体"/>
        </w:rPr>
        <w:t xml:space="preserve">  土地行政主管部门的工作人员玩忽职守、滥用职权、徇私舞弊，构成犯罪的，依法追究刑事责任；尚不构成犯罪的，依法给予行政处分。</w:t>
      </w:r>
    </w:p>
    <w:p w14:paraId="31805CEA">
      <w:pPr>
        <w:ind w:firstLine="422"/>
        <w:rPr>
          <w:rFonts w:hint="eastAsia" w:ascii="宋体" w:hAnsi="宋体" w:eastAsia="宋体" w:cs="宋体"/>
        </w:rPr>
      </w:pPr>
      <w:r>
        <w:rPr>
          <w:rFonts w:hint="eastAsia" w:ascii="宋体" w:hAnsi="宋体" w:eastAsia="宋体" w:cs="宋体"/>
          <w:b/>
        </w:rPr>
        <w:t>第十七条</w:t>
      </w:r>
      <w:r>
        <w:rPr>
          <w:rFonts w:hint="eastAsia" w:ascii="宋体" w:hAnsi="宋体" w:eastAsia="宋体" w:cs="宋体"/>
        </w:rPr>
        <w:t xml:space="preserve">  本办法自公布之日起施行。</w:t>
      </w:r>
    </w:p>
    <w:p w14:paraId="22814A2A">
      <w:pPr>
        <w:pStyle w:val="4"/>
        <w:pageBreakBefore/>
      </w:pPr>
      <w:bookmarkStart w:id="2574" w:name="_Toc428781905"/>
      <w:bookmarkStart w:id="2575" w:name="_Toc428780770"/>
      <w:bookmarkStart w:id="2576" w:name="_Toc426467157"/>
      <w:r>
        <w:rPr>
          <w:rFonts w:hint="eastAsia"/>
        </w:rPr>
        <w:t>北京市违反土地管理规定行政责任追究办法</w:t>
      </w:r>
      <w:bookmarkEnd w:id="2574"/>
      <w:bookmarkEnd w:id="2575"/>
      <w:bookmarkEnd w:id="2576"/>
    </w:p>
    <w:p w14:paraId="14CDF172">
      <w:pPr>
        <w:ind w:left="630" w:leftChars="300" w:right="630" w:rightChars="300"/>
        <w:rPr>
          <w:rFonts w:ascii="楷体" w:hAnsi="楷体" w:eastAsia="楷体"/>
        </w:rPr>
      </w:pPr>
      <w:r>
        <w:rPr>
          <w:rFonts w:hint="eastAsia" w:ascii="楷体" w:hAnsi="楷体" w:eastAsia="楷体"/>
        </w:rPr>
        <w:t>（2002年6月11日北京市人民政府第49次常务会议通过　2002年6月20日北京市人民政府第97号令发布）</w:t>
      </w:r>
    </w:p>
    <w:p w14:paraId="739BA56A"/>
    <w:p w14:paraId="21E60833">
      <w:pPr>
        <w:ind w:firstLine="422"/>
      </w:pPr>
      <w:r>
        <w:rPr>
          <w:rFonts w:hint="eastAsia"/>
          <w:b/>
        </w:rPr>
        <w:t>第一条</w:t>
      </w:r>
      <w:r>
        <w:rPr>
          <w:rFonts w:hint="eastAsia"/>
        </w:rPr>
        <w:t xml:space="preserve">  为了加强土地管理，严肃追究违反土地管理规定的行政责任，根据《中华人民共和国土地管理法》、《中华人民共和国行政监察法》等有关法律、法规，结合本市实际情况，制定本办法。</w:t>
      </w:r>
    </w:p>
    <w:p w14:paraId="2C2997B1">
      <w:pPr>
        <w:ind w:firstLine="422"/>
      </w:pPr>
      <w:r>
        <w:rPr>
          <w:rFonts w:hint="eastAsia"/>
          <w:b/>
        </w:rPr>
        <w:t>第二条</w:t>
      </w:r>
      <w:r>
        <w:rPr>
          <w:rFonts w:hint="eastAsia"/>
        </w:rPr>
        <w:t xml:space="preserve">  对违反土地管理规定的国家工作人员，市和区、县土地行政管理部门应当依照本办法给予行政处分；自己无权处理的，应当依照干部管理权限向同级或者上级人民政府的行政监察机关提出行政处分建议书，有关行政监察机关应当依照本办法给予行政处分；涉嫌犯罪的，依法移送司法机关处理。</w:t>
      </w:r>
    </w:p>
    <w:p w14:paraId="0E89432E">
      <w:pPr>
        <w:ind w:firstLine="422"/>
      </w:pPr>
      <w:r>
        <w:rPr>
          <w:rFonts w:hint="eastAsia"/>
          <w:b/>
        </w:rPr>
        <w:t>第三条</w:t>
      </w:r>
      <w:r>
        <w:rPr>
          <w:rFonts w:hint="eastAsia"/>
        </w:rPr>
        <w:t xml:space="preserve">  任何单位和个人对违反土地管理规定的行为，有权控告或者检举。</w:t>
      </w:r>
    </w:p>
    <w:p w14:paraId="5666A904">
      <w:pPr>
        <w:ind w:firstLine="422"/>
        <w:rPr>
          <w:rFonts w:hint="eastAsia" w:ascii="宋体" w:hAnsi="宋体" w:eastAsia="宋体" w:cs="宋体"/>
        </w:rPr>
      </w:pPr>
      <w:r>
        <w:rPr>
          <w:rFonts w:hint="eastAsia"/>
          <w:b/>
        </w:rPr>
        <w:t>第四条</w:t>
      </w:r>
      <w:r>
        <w:rPr>
          <w:rFonts w:hint="eastAsia"/>
        </w:rPr>
        <w:t xml:space="preserve">  无批准征用、占用土地权限，非法批准征用、占用土地的，对直接负责的主管人员和其他直接责任人员，分</w:t>
      </w:r>
      <w:r>
        <w:rPr>
          <w:rFonts w:hint="eastAsia" w:ascii="宋体" w:hAnsi="宋体" w:eastAsia="宋体" w:cs="宋体"/>
        </w:rPr>
        <w:t>别依照下列规定给予行政处分：</w:t>
      </w:r>
    </w:p>
    <w:p w14:paraId="36D47EA1">
      <w:pPr>
        <w:rPr>
          <w:rFonts w:hint="eastAsia" w:ascii="宋体" w:hAnsi="宋体" w:eastAsia="宋体" w:cs="宋体"/>
        </w:rPr>
      </w:pPr>
      <w:r>
        <w:rPr>
          <w:rFonts w:hint="eastAsia" w:ascii="宋体" w:hAnsi="宋体" w:eastAsia="宋体" w:cs="宋体"/>
        </w:rPr>
        <w:t>（一）非法批准征用、占用基本农田不足0.33公顷（5亩），或者其他耕地不足1公顷（15亩），或者其他土地不足2公顷（30亩）的，给予警告、记过或者记大过处分；</w:t>
      </w:r>
    </w:p>
    <w:p w14:paraId="43FA9A7C">
      <w:pPr>
        <w:rPr>
          <w:rFonts w:hint="eastAsia" w:ascii="宋体" w:hAnsi="宋体" w:eastAsia="宋体" w:cs="宋体"/>
        </w:rPr>
      </w:pPr>
      <w:r>
        <w:rPr>
          <w:rFonts w:hint="eastAsia" w:ascii="宋体" w:hAnsi="宋体" w:eastAsia="宋体" w:cs="宋体"/>
        </w:rPr>
        <w:t>（二）非法批准征用、占用基本农田0.33公顷（5亩）以上不足0.67公顷（10亩），或者其他耕地1公顷（15亩）以上不足2公顷（30亩），或者其他土地2公顷（30亩）以上不足3.33公顷（50亩）的，给予降级或者撤职处分；</w:t>
      </w:r>
    </w:p>
    <w:p w14:paraId="495CFCEF">
      <w:pPr>
        <w:rPr>
          <w:rFonts w:hint="eastAsia" w:ascii="宋体" w:hAnsi="宋体" w:eastAsia="宋体" w:cs="宋体"/>
        </w:rPr>
      </w:pPr>
      <w:r>
        <w:rPr>
          <w:rFonts w:hint="eastAsia" w:ascii="宋体" w:hAnsi="宋体" w:eastAsia="宋体" w:cs="宋体"/>
        </w:rPr>
        <w:t>（三）非法批准征用、占用基本农田0.67公顷（10亩）以上，或者其他耕地2公顷（30亩）以上，或者其他土地3.33公顷（50亩）以上的，给予开除处分。</w:t>
      </w:r>
    </w:p>
    <w:p w14:paraId="0986D9AE">
      <w:pPr>
        <w:rPr>
          <w:rFonts w:hint="eastAsia" w:ascii="宋体" w:hAnsi="宋体" w:eastAsia="宋体" w:cs="宋体"/>
        </w:rPr>
      </w:pPr>
      <w:r>
        <w:rPr>
          <w:rFonts w:hint="eastAsia" w:ascii="宋体" w:hAnsi="宋体" w:eastAsia="宋体" w:cs="宋体"/>
        </w:rPr>
        <w:t>非法批准征用、占用土地数量未达到但接近第（三）项标准且导致被非法批准征用、占用的土地或者植被遭到严重破坏，或者造成有关单位、个人直接经济损失20万元以上的，给予开除处分。</w:t>
      </w:r>
    </w:p>
    <w:p w14:paraId="5054CFA4">
      <w:pPr>
        <w:rPr>
          <w:rFonts w:hint="eastAsia" w:ascii="宋体" w:hAnsi="宋体" w:eastAsia="宋体" w:cs="宋体"/>
        </w:rPr>
      </w:pPr>
      <w:r>
        <w:rPr>
          <w:rFonts w:hint="eastAsia" w:ascii="宋体" w:hAnsi="宋体" w:eastAsia="宋体" w:cs="宋体"/>
        </w:rPr>
        <w:t>非法批准征用、占用土地，影响群众生产、生活，引起纠纷的，给予警告、记过或者记大过处分；造成不良影响或者其他较重后果的，给予降级或者撤职处分；造成恶劣影响或者其他严重后果的，给予开除处分。</w:t>
      </w:r>
    </w:p>
    <w:p w14:paraId="1969F324">
      <w:pPr>
        <w:ind w:firstLine="422"/>
        <w:rPr>
          <w:rFonts w:hint="eastAsia" w:ascii="宋体" w:hAnsi="宋体" w:eastAsia="宋体" w:cs="宋体"/>
        </w:rPr>
      </w:pPr>
      <w:r>
        <w:rPr>
          <w:rFonts w:hint="eastAsia" w:ascii="宋体" w:hAnsi="宋体" w:eastAsia="宋体" w:cs="宋体"/>
          <w:b/>
        </w:rPr>
        <w:t>第五条</w:t>
      </w:r>
      <w:r>
        <w:rPr>
          <w:rFonts w:hint="eastAsia" w:ascii="宋体" w:hAnsi="宋体" w:eastAsia="宋体" w:cs="宋体"/>
        </w:rPr>
        <w:t xml:space="preserve">  超越批准权限，非法批准征用、占用土地的，视其超越权限以外批准征用、占用土地的数量和其他情节，对直接负责的主管人员和其他直接责任人员，依照本办法第四条的规定给予行政处分。</w:t>
      </w:r>
    </w:p>
    <w:p w14:paraId="6D987EA0">
      <w:pPr>
        <w:ind w:firstLine="422"/>
        <w:rPr>
          <w:rFonts w:hint="eastAsia" w:ascii="宋体" w:hAnsi="宋体" w:eastAsia="宋体" w:cs="宋体"/>
        </w:rPr>
      </w:pPr>
      <w:r>
        <w:rPr>
          <w:rFonts w:hint="eastAsia" w:ascii="宋体" w:hAnsi="宋体" w:eastAsia="宋体" w:cs="宋体"/>
          <w:b/>
        </w:rPr>
        <w:t>第六条</w:t>
      </w:r>
      <w:r>
        <w:rPr>
          <w:rFonts w:hint="eastAsia" w:ascii="宋体" w:hAnsi="宋体" w:eastAsia="宋体" w:cs="宋体"/>
        </w:rPr>
        <w:t xml:space="preserve">  买卖或者以其他形式非法转让土地的，对直接负责的主管人员和其他直接责任人员，分别依照下列规定给予行政处分：</w:t>
      </w:r>
    </w:p>
    <w:p w14:paraId="35A63934">
      <w:pPr>
        <w:rPr>
          <w:rFonts w:hint="eastAsia" w:ascii="宋体" w:hAnsi="宋体" w:eastAsia="宋体" w:cs="宋体"/>
        </w:rPr>
      </w:pPr>
      <w:r>
        <w:rPr>
          <w:rFonts w:hint="eastAsia" w:ascii="宋体" w:hAnsi="宋体" w:eastAsia="宋体" w:cs="宋体"/>
        </w:rPr>
        <w:t>（一）买卖或者以其他形式非法转让基本农田不足0.2公顷（3亩），或者其他耕地不足0.33公顷（5亩），或者其他土地不足0.67公顷（10亩）的，给予警告、记过或者记大过处分；</w:t>
      </w:r>
    </w:p>
    <w:p w14:paraId="39A099BA">
      <w:pPr>
        <w:rPr>
          <w:rFonts w:hint="eastAsia" w:ascii="宋体" w:hAnsi="宋体" w:eastAsia="宋体" w:cs="宋体"/>
        </w:rPr>
      </w:pPr>
      <w:r>
        <w:rPr>
          <w:rFonts w:hint="eastAsia" w:ascii="宋体" w:hAnsi="宋体" w:eastAsia="宋体" w:cs="宋体"/>
        </w:rPr>
        <w:t>（二）买卖或者以其他形式非法转让基本农田0.2公顷（3亩）以上不足0.33公顷（5亩），或者其他耕地0.33公顷（5亩）以上不足0.67公顷（10亩），或者其他土地0.67公顷（10亩）以上不足1.33公顷（20亩）的，给予降级或者撤职处分；</w:t>
      </w:r>
    </w:p>
    <w:p w14:paraId="46C14CA0">
      <w:pPr>
        <w:rPr>
          <w:rFonts w:hint="eastAsia" w:ascii="宋体" w:hAnsi="宋体" w:eastAsia="宋体" w:cs="宋体"/>
        </w:rPr>
      </w:pPr>
      <w:r>
        <w:rPr>
          <w:rFonts w:hint="eastAsia" w:ascii="宋体" w:hAnsi="宋体" w:eastAsia="宋体" w:cs="宋体"/>
        </w:rPr>
        <w:t>（三）买卖或者以其他形式非法转让基本农田0.33公顷（5亩）以上，或者其他耕地0.67公顷（10亩）以上，或者其他土地1.33公顷（20亩）以上的，给予开除处分。</w:t>
      </w:r>
    </w:p>
    <w:p w14:paraId="40A5506D">
      <w:pPr>
        <w:ind w:firstLine="422"/>
        <w:rPr>
          <w:rFonts w:hint="eastAsia" w:ascii="宋体" w:hAnsi="宋体" w:eastAsia="宋体" w:cs="宋体"/>
        </w:rPr>
      </w:pPr>
      <w:r>
        <w:rPr>
          <w:rFonts w:hint="eastAsia" w:ascii="宋体" w:hAnsi="宋体" w:eastAsia="宋体" w:cs="宋体"/>
          <w:b/>
        </w:rPr>
        <w:t>第七条</w:t>
      </w:r>
      <w:r>
        <w:rPr>
          <w:rFonts w:hint="eastAsia" w:ascii="宋体" w:hAnsi="宋体" w:eastAsia="宋体" w:cs="宋体"/>
        </w:rPr>
        <w:t xml:space="preserve">  未经批准或者采取欺骗手段骗取批准，非法占用土地的，对直接负责的主管人员和其他直接责任人员，分别依照下列规定给予行政处分：</w:t>
      </w:r>
    </w:p>
    <w:p w14:paraId="3E9687A7">
      <w:pPr>
        <w:rPr>
          <w:rFonts w:hint="eastAsia" w:ascii="宋体" w:hAnsi="宋体" w:eastAsia="宋体" w:cs="宋体"/>
        </w:rPr>
      </w:pPr>
      <w:r>
        <w:rPr>
          <w:rFonts w:hint="eastAsia" w:ascii="宋体" w:hAnsi="宋体" w:eastAsia="宋体" w:cs="宋体"/>
        </w:rPr>
        <w:t>（一）非法占用基本农田不足0.2公顷（3亩），或者其他耕地不足0.33公顷（5亩），或者其他土地不足0.67公顷（10亩）的，给予警告、记过或者记大过处分；</w:t>
      </w:r>
    </w:p>
    <w:p w14:paraId="7B19F1D7">
      <w:pPr>
        <w:rPr>
          <w:rFonts w:hint="eastAsia" w:ascii="宋体" w:hAnsi="宋体" w:eastAsia="宋体" w:cs="宋体"/>
        </w:rPr>
      </w:pPr>
      <w:r>
        <w:rPr>
          <w:rFonts w:hint="eastAsia" w:ascii="宋体" w:hAnsi="宋体" w:eastAsia="宋体" w:cs="宋体"/>
        </w:rPr>
        <w:t>（二）非法占用基本农田0.2公顷（3亩）以上不足0.33公顷（5亩），或者其他耕地0.33公顷（5亩）以上不足0.67公顷（10亩），或者其他土地0.67公顷（10亩）以上不足1.33公顷（20亩）的，给予降级或者撤职处分；</w:t>
      </w:r>
    </w:p>
    <w:p w14:paraId="4EF68EFA">
      <w:pPr>
        <w:rPr>
          <w:rFonts w:hint="eastAsia" w:ascii="宋体" w:hAnsi="宋体" w:eastAsia="宋体" w:cs="宋体"/>
        </w:rPr>
      </w:pPr>
      <w:r>
        <w:rPr>
          <w:rFonts w:hint="eastAsia" w:ascii="宋体" w:hAnsi="宋体" w:eastAsia="宋体" w:cs="宋体"/>
        </w:rPr>
        <w:t>（三）非法占用基本农田0.33公顷（5亩）以上，或者其他耕地0.67公顷（10亩）以上，或者其他土地1.33公顷（20亩）以上的，给予开除处分。</w:t>
      </w:r>
    </w:p>
    <w:p w14:paraId="521D863B">
      <w:pPr>
        <w:ind w:firstLine="422"/>
        <w:rPr>
          <w:rFonts w:hint="eastAsia" w:ascii="宋体" w:hAnsi="宋体" w:eastAsia="宋体" w:cs="宋体"/>
        </w:rPr>
      </w:pPr>
      <w:r>
        <w:rPr>
          <w:rFonts w:hint="eastAsia" w:ascii="宋体" w:hAnsi="宋体" w:eastAsia="宋体" w:cs="宋体"/>
          <w:b/>
        </w:rPr>
        <w:t>第八条</w:t>
      </w:r>
      <w:r>
        <w:rPr>
          <w:rFonts w:hint="eastAsia" w:ascii="宋体" w:hAnsi="宋体" w:eastAsia="宋体" w:cs="宋体"/>
        </w:rPr>
        <w:t xml:space="preserve">  区、县和乡、镇人民政府不按照土地利用总体规划确定的用途批准用地的，对直接负责的主管人员和其他直接责任人员，给予警告、记过或者记大过处分；情节严重的，给予降级或者撤职处分。</w:t>
      </w:r>
    </w:p>
    <w:p w14:paraId="16810A05">
      <w:pPr>
        <w:ind w:firstLine="422"/>
        <w:rPr>
          <w:rFonts w:hint="eastAsia" w:ascii="宋体" w:hAnsi="宋体" w:eastAsia="宋体" w:cs="宋体"/>
        </w:rPr>
      </w:pPr>
      <w:r>
        <w:rPr>
          <w:rFonts w:hint="eastAsia" w:ascii="宋体" w:hAnsi="宋体" w:eastAsia="宋体" w:cs="宋体"/>
          <w:b/>
        </w:rPr>
        <w:t>第九条</w:t>
      </w:r>
      <w:r>
        <w:rPr>
          <w:rFonts w:hint="eastAsia" w:ascii="宋体" w:hAnsi="宋体" w:eastAsia="宋体" w:cs="宋体"/>
        </w:rPr>
        <w:t xml:space="preserve">  违反法律程序批准征用、占用土地的，对直接负责的主管人员和其他直接责任人员，给予警告、记过或者记大过处分；情节严重的，给予降级处分。</w:t>
      </w:r>
    </w:p>
    <w:p w14:paraId="1759DF02">
      <w:pPr>
        <w:ind w:firstLine="422"/>
        <w:rPr>
          <w:rFonts w:hint="eastAsia" w:ascii="宋体" w:hAnsi="宋体" w:eastAsia="宋体" w:cs="宋体"/>
        </w:rPr>
      </w:pPr>
      <w:r>
        <w:rPr>
          <w:rFonts w:hint="eastAsia" w:ascii="宋体" w:hAnsi="宋体" w:eastAsia="宋体" w:cs="宋体"/>
          <w:b/>
        </w:rPr>
        <w:t>第十条</w:t>
      </w:r>
      <w:r>
        <w:rPr>
          <w:rFonts w:hint="eastAsia" w:ascii="宋体" w:hAnsi="宋体" w:eastAsia="宋体" w:cs="宋体"/>
        </w:rPr>
        <w:t xml:space="preserve">  侵占、挪用被征用土地单位的征地补偿费用和其他有关费用的，对直接负责的主管人员和其他直接责任人员，给予警告、记过或者记大过处分；情节严重的，给予降级、撤职或者开除处分。</w:t>
      </w:r>
    </w:p>
    <w:p w14:paraId="15093161">
      <w:pPr>
        <w:ind w:firstLine="422"/>
        <w:rPr>
          <w:rFonts w:hint="eastAsia" w:ascii="宋体" w:hAnsi="宋体" w:eastAsia="宋体" w:cs="宋体"/>
        </w:rPr>
      </w:pPr>
      <w:r>
        <w:rPr>
          <w:rFonts w:hint="eastAsia" w:ascii="宋体" w:hAnsi="宋体" w:eastAsia="宋体" w:cs="宋体"/>
          <w:b/>
        </w:rPr>
        <w:t>第十一条</w:t>
      </w:r>
      <w:r>
        <w:rPr>
          <w:rFonts w:hint="eastAsia" w:ascii="宋体" w:hAnsi="宋体" w:eastAsia="宋体" w:cs="宋体"/>
        </w:rPr>
        <w:t xml:space="preserve">  擅自批准出让或者擅自出让土地使用权用于房地产开发的，对直接负责的主管人员和其他直接责任人员，给予警告、记过或者记大过处分；情节较重的，给予降级或者撤职处分；情节严重的，给予开除处分。</w:t>
      </w:r>
    </w:p>
    <w:p w14:paraId="1EFE4D08">
      <w:pPr>
        <w:ind w:firstLine="422"/>
        <w:rPr>
          <w:rFonts w:hint="eastAsia" w:ascii="宋体" w:hAnsi="宋体" w:eastAsia="宋体" w:cs="宋体"/>
        </w:rPr>
      </w:pPr>
      <w:r>
        <w:rPr>
          <w:rFonts w:hint="eastAsia" w:ascii="宋体" w:hAnsi="宋体" w:eastAsia="宋体" w:cs="宋体"/>
          <w:b/>
        </w:rPr>
        <w:t>第十二条</w:t>
      </w:r>
      <w:r>
        <w:rPr>
          <w:rFonts w:hint="eastAsia" w:ascii="宋体" w:hAnsi="宋体" w:eastAsia="宋体" w:cs="宋体"/>
        </w:rPr>
        <w:t xml:space="preserve">  应当将耕地划入基本农田而不划入，拒不改正的，对直接负责的主管人员和其他直接责任人员，给予警告、记过或者记大过处分；情节严重的，给予降级处分。</w:t>
      </w:r>
    </w:p>
    <w:p w14:paraId="17F09E5C">
      <w:pPr>
        <w:ind w:firstLine="422"/>
        <w:rPr>
          <w:rFonts w:hint="eastAsia" w:ascii="宋体" w:hAnsi="宋体" w:eastAsia="宋体" w:cs="宋体"/>
        </w:rPr>
      </w:pPr>
      <w:r>
        <w:rPr>
          <w:rFonts w:hint="eastAsia" w:ascii="宋体" w:hAnsi="宋体" w:eastAsia="宋体" w:cs="宋体"/>
          <w:b/>
        </w:rPr>
        <w:t>第十三条</w:t>
      </w:r>
      <w:r>
        <w:rPr>
          <w:rFonts w:hint="eastAsia" w:ascii="宋体" w:hAnsi="宋体" w:eastAsia="宋体" w:cs="宋体"/>
        </w:rPr>
        <w:t xml:space="preserve">  非法低价（包括无偿）出让国有土地使用权的，对直接负责的主管人员和其他直接责任人员，分别依照下列规定给予行政处分：</w:t>
      </w:r>
    </w:p>
    <w:p w14:paraId="16666FD4">
      <w:pPr>
        <w:rPr>
          <w:rFonts w:hint="eastAsia" w:ascii="宋体" w:hAnsi="宋体" w:eastAsia="宋体" w:cs="宋体"/>
        </w:rPr>
      </w:pPr>
      <w:r>
        <w:rPr>
          <w:rFonts w:hint="eastAsia" w:ascii="宋体" w:hAnsi="宋体" w:eastAsia="宋体" w:cs="宋体"/>
        </w:rPr>
        <w:t>（一）非法低价出让国有土地使用权不足1公顷（15亩）的，给予警告、记过或者记大过处分；</w:t>
      </w:r>
    </w:p>
    <w:p w14:paraId="21140423">
      <w:pPr>
        <w:rPr>
          <w:rFonts w:hint="eastAsia" w:ascii="宋体" w:hAnsi="宋体" w:eastAsia="宋体" w:cs="宋体"/>
        </w:rPr>
      </w:pPr>
      <w:r>
        <w:rPr>
          <w:rFonts w:hint="eastAsia" w:ascii="宋体" w:hAnsi="宋体" w:eastAsia="宋体" w:cs="宋体"/>
        </w:rPr>
        <w:t>（二）非法低价出让国有土地使用权1公顷（15亩）以上不足2公顷（30亩）的，给予降级或者撤职处分；</w:t>
      </w:r>
    </w:p>
    <w:p w14:paraId="1AF2342F">
      <w:pPr>
        <w:rPr>
          <w:rFonts w:hint="eastAsia" w:ascii="宋体" w:hAnsi="宋体" w:eastAsia="宋体" w:cs="宋体"/>
        </w:rPr>
      </w:pPr>
      <w:r>
        <w:rPr>
          <w:rFonts w:hint="eastAsia" w:ascii="宋体" w:hAnsi="宋体" w:eastAsia="宋体" w:cs="宋体"/>
        </w:rPr>
        <w:t>（三）非法低价出让国有土地使用权2公顷（30亩）以上的，给予开除处分。</w:t>
      </w:r>
    </w:p>
    <w:p w14:paraId="1185D556">
      <w:pPr>
        <w:rPr>
          <w:rFonts w:hint="eastAsia" w:ascii="宋体" w:hAnsi="宋体" w:eastAsia="宋体" w:cs="宋体"/>
        </w:rPr>
      </w:pPr>
      <w:r>
        <w:rPr>
          <w:rFonts w:hint="eastAsia" w:ascii="宋体" w:hAnsi="宋体" w:eastAsia="宋体" w:cs="宋体"/>
        </w:rPr>
        <w:t>非法低价出让国有土地使用权的数量未达到第（三）项标准，但造成国有土地资产流失价值20万元以上，或者接近第（三）项标准且导致植被遭到严重破坏的，给予开除处分。</w:t>
      </w:r>
    </w:p>
    <w:p w14:paraId="09084D0A">
      <w:pPr>
        <w:rPr>
          <w:rFonts w:hint="eastAsia" w:ascii="宋体" w:hAnsi="宋体" w:eastAsia="宋体" w:cs="宋体"/>
        </w:rPr>
      </w:pPr>
      <w:r>
        <w:rPr>
          <w:rFonts w:hint="eastAsia" w:ascii="宋体" w:hAnsi="宋体" w:eastAsia="宋体" w:cs="宋体"/>
        </w:rPr>
        <w:t>非法低价出让国有土地使用权，影响群众生产、生活，引起纠纷的，给予警告、记过或者记大过处分；造成不良影响或者其他较重后果的，给予降级或者撤职处分；造成恶劣影响或者其他严重后果的，给予开除处分。</w:t>
      </w:r>
    </w:p>
    <w:p w14:paraId="67FFA9AB">
      <w:pPr>
        <w:ind w:firstLine="422"/>
        <w:rPr>
          <w:rFonts w:hint="eastAsia" w:ascii="宋体" w:hAnsi="宋体" w:eastAsia="宋体" w:cs="宋体"/>
        </w:rPr>
      </w:pPr>
      <w:r>
        <w:rPr>
          <w:rFonts w:hint="eastAsia" w:ascii="宋体" w:hAnsi="宋体" w:eastAsia="宋体" w:cs="宋体"/>
          <w:b/>
        </w:rPr>
        <w:t>第十四条</w:t>
      </w:r>
      <w:r>
        <w:rPr>
          <w:rFonts w:hint="eastAsia" w:ascii="宋体" w:hAnsi="宋体" w:eastAsia="宋体" w:cs="宋体"/>
        </w:rPr>
        <w:t>　土地行政管理部门的工作人员玩忽职守，有下列行为之一，给国家和人民利益造成损失或者不良影响的，给予警告、记过或者记大过处分；造成较大损失或者严重影响的，给予降级或者撤职处分；造成重大损失或者恶劣影响的，给予开除处分。但是法律、法规及本办法另有规定的，依照规定。</w:t>
      </w:r>
    </w:p>
    <w:p w14:paraId="000CB85F">
      <w:pPr>
        <w:rPr>
          <w:rFonts w:hint="eastAsia" w:ascii="宋体" w:hAnsi="宋体" w:eastAsia="宋体" w:cs="宋体"/>
        </w:rPr>
      </w:pPr>
      <w:r>
        <w:rPr>
          <w:rFonts w:hint="eastAsia" w:ascii="宋体" w:hAnsi="宋体" w:eastAsia="宋体" w:cs="宋体"/>
        </w:rPr>
        <w:t>（一）对符合法律规定的建设用地申请，无正当理由而拒绝或者超过规定期限未予办理的；</w:t>
      </w:r>
    </w:p>
    <w:p w14:paraId="6479D7C9">
      <w:pPr>
        <w:rPr>
          <w:rFonts w:hint="eastAsia" w:ascii="宋体" w:hAnsi="宋体" w:eastAsia="宋体" w:cs="宋体"/>
        </w:rPr>
      </w:pPr>
      <w:bookmarkStart w:id="2577" w:name="_Toc428780771"/>
      <w:r>
        <w:rPr>
          <w:rFonts w:hint="eastAsia" w:ascii="宋体" w:hAnsi="宋体" w:eastAsia="宋体" w:cs="宋体"/>
        </w:rPr>
        <w:t>（二）在签订土地有偿使用合同过程中，因严重不负责任被诈骗的；</w:t>
      </w:r>
      <w:bookmarkEnd w:id="2577"/>
    </w:p>
    <w:p w14:paraId="28ED59B3">
      <w:pPr>
        <w:rPr>
          <w:rFonts w:hint="eastAsia" w:ascii="宋体" w:hAnsi="宋体" w:eastAsia="宋体" w:cs="宋体"/>
        </w:rPr>
      </w:pPr>
      <w:r>
        <w:rPr>
          <w:rFonts w:hint="eastAsia" w:ascii="宋体" w:hAnsi="宋体" w:eastAsia="宋体" w:cs="宋体"/>
        </w:rPr>
        <w:t>（三）对违反土地管理规定的行为不制止、不查处的；</w:t>
      </w:r>
    </w:p>
    <w:p w14:paraId="2133E790">
      <w:pPr>
        <w:rPr>
          <w:rFonts w:hint="eastAsia" w:ascii="宋体" w:hAnsi="宋体" w:eastAsia="宋体" w:cs="宋体"/>
        </w:rPr>
      </w:pPr>
      <w:r>
        <w:rPr>
          <w:rFonts w:hint="eastAsia" w:ascii="宋体" w:hAnsi="宋体" w:eastAsia="宋体" w:cs="宋体"/>
        </w:rPr>
        <w:t>（四）需要向行政监察机关或者其他有关机关提出行政处分建议，超过规定期限未提出或者不按照规定移送《行政处分建议书》及有关证据材料，且经上级土地行政管理部门责令改正而拒不改正的；</w:t>
      </w:r>
    </w:p>
    <w:p w14:paraId="147E9015">
      <w:pPr>
        <w:rPr>
          <w:rFonts w:hint="eastAsia" w:ascii="宋体" w:hAnsi="宋体" w:eastAsia="宋体" w:cs="宋体"/>
        </w:rPr>
      </w:pPr>
      <w:r>
        <w:rPr>
          <w:rFonts w:hint="eastAsia" w:ascii="宋体" w:hAnsi="宋体" w:eastAsia="宋体" w:cs="宋体"/>
        </w:rPr>
        <w:t>（五）有其他玩忽职守行为的。</w:t>
      </w:r>
    </w:p>
    <w:p w14:paraId="515BFEE0">
      <w:pPr>
        <w:ind w:firstLine="422"/>
        <w:rPr>
          <w:rFonts w:hint="eastAsia" w:ascii="宋体" w:hAnsi="宋体" w:eastAsia="宋体" w:cs="宋体"/>
        </w:rPr>
      </w:pPr>
      <w:r>
        <w:rPr>
          <w:rFonts w:hint="eastAsia" w:ascii="宋体" w:hAnsi="宋体" w:eastAsia="宋体" w:cs="宋体"/>
          <w:b/>
        </w:rPr>
        <w:t>第十五条</w:t>
      </w:r>
      <w:r>
        <w:rPr>
          <w:rFonts w:hint="eastAsia" w:ascii="宋体" w:hAnsi="宋体" w:eastAsia="宋体" w:cs="宋体"/>
        </w:rPr>
        <w:t>　土地行政管理部门的工作人员滥用职权，有下列行为之一，给国家和人民利益造成损失，情节较轻的，给予记过或者记大过处分；情节较重的，给予降级或者撤职处分；情节严重的，给予开除处分。但是法律、法规及本办法另有规定的，依照规定。</w:t>
      </w:r>
    </w:p>
    <w:p w14:paraId="280B2BCD">
      <w:pPr>
        <w:rPr>
          <w:rFonts w:hint="eastAsia" w:ascii="宋体" w:hAnsi="宋体" w:eastAsia="宋体" w:cs="宋体"/>
        </w:rPr>
      </w:pPr>
      <w:bookmarkStart w:id="2578" w:name="_Toc428780772"/>
      <w:r>
        <w:rPr>
          <w:rFonts w:hint="eastAsia" w:ascii="宋体" w:hAnsi="宋体" w:eastAsia="宋体" w:cs="宋体"/>
        </w:rPr>
        <w:t>（一）违反规定低价确认土地使用权价格的；</w:t>
      </w:r>
      <w:bookmarkEnd w:id="2578"/>
    </w:p>
    <w:p w14:paraId="32B853B9">
      <w:pPr>
        <w:rPr>
          <w:rFonts w:hint="eastAsia" w:ascii="宋体" w:hAnsi="宋体" w:eastAsia="宋体" w:cs="宋体"/>
        </w:rPr>
      </w:pPr>
      <w:r>
        <w:rPr>
          <w:rFonts w:hint="eastAsia" w:ascii="宋体" w:hAnsi="宋体" w:eastAsia="宋体" w:cs="宋体"/>
        </w:rPr>
        <w:t>（二）泄露土地招标、拍卖底价或者其他有关保密材料的；</w:t>
      </w:r>
    </w:p>
    <w:p w14:paraId="3CEC2E06">
      <w:pPr>
        <w:rPr>
          <w:rFonts w:hint="eastAsia" w:ascii="宋体" w:hAnsi="宋体" w:eastAsia="宋体" w:cs="宋体"/>
        </w:rPr>
      </w:pPr>
      <w:r>
        <w:rPr>
          <w:rFonts w:hint="eastAsia" w:ascii="宋体" w:hAnsi="宋体" w:eastAsia="宋体" w:cs="宋体"/>
        </w:rPr>
        <w:t>（三）明知土地违法案件正在查处中，仍继续为其办理土地审批、颁发土地证书等手续的；</w:t>
      </w:r>
    </w:p>
    <w:p w14:paraId="70E96226">
      <w:pPr>
        <w:rPr>
          <w:rFonts w:hint="eastAsia" w:ascii="宋体" w:hAnsi="宋体" w:eastAsia="宋体" w:cs="宋体"/>
        </w:rPr>
      </w:pPr>
      <w:r>
        <w:rPr>
          <w:rFonts w:hint="eastAsia" w:ascii="宋体" w:hAnsi="宋体" w:eastAsia="宋体" w:cs="宋体"/>
        </w:rPr>
        <w:t>（四）有其他滥用职权行为的。</w:t>
      </w:r>
    </w:p>
    <w:p w14:paraId="4113DFB8">
      <w:pPr>
        <w:ind w:firstLine="422"/>
        <w:rPr>
          <w:rFonts w:hint="eastAsia" w:ascii="宋体" w:hAnsi="宋体" w:eastAsia="宋体" w:cs="宋体"/>
        </w:rPr>
      </w:pPr>
      <w:r>
        <w:rPr>
          <w:rFonts w:hint="eastAsia" w:ascii="宋体" w:hAnsi="宋体" w:eastAsia="宋体" w:cs="宋体"/>
          <w:b/>
        </w:rPr>
        <w:t>第十六条</w:t>
      </w:r>
      <w:r>
        <w:rPr>
          <w:rFonts w:hint="eastAsia" w:ascii="宋体" w:hAnsi="宋体" w:eastAsia="宋体" w:cs="宋体"/>
        </w:rPr>
        <w:t>　土地行政管理部门的工作人员徇私舞弊，有本办法所列玩忽职守、滥用职权行为的，从重处分。</w:t>
      </w:r>
    </w:p>
    <w:p w14:paraId="5B745538">
      <w:pPr>
        <w:ind w:firstLine="422"/>
        <w:rPr>
          <w:rFonts w:hint="eastAsia" w:ascii="宋体" w:hAnsi="宋体" w:eastAsia="宋体" w:cs="宋体"/>
        </w:rPr>
      </w:pPr>
      <w:r>
        <w:rPr>
          <w:rFonts w:hint="eastAsia" w:ascii="宋体" w:hAnsi="宋体" w:eastAsia="宋体" w:cs="宋体"/>
          <w:b/>
        </w:rPr>
        <w:t>第十七条</w:t>
      </w:r>
      <w:r>
        <w:rPr>
          <w:rFonts w:hint="eastAsia" w:ascii="宋体" w:hAnsi="宋体" w:eastAsia="宋体" w:cs="宋体"/>
        </w:rPr>
        <w:t>　有下列情形之一的，应当从重处分：</w:t>
      </w:r>
    </w:p>
    <w:p w14:paraId="76B88BA8">
      <w:pPr>
        <w:rPr>
          <w:rFonts w:hint="eastAsia" w:ascii="宋体" w:hAnsi="宋体" w:eastAsia="宋体" w:cs="宋体"/>
        </w:rPr>
      </w:pPr>
      <w:bookmarkStart w:id="2579" w:name="_Toc428780773"/>
      <w:r>
        <w:rPr>
          <w:rFonts w:hint="eastAsia" w:ascii="宋体" w:hAnsi="宋体" w:eastAsia="宋体" w:cs="宋体"/>
        </w:rPr>
        <w:t>（一）非法占用或者非法批准征用、占用基本农田的；</w:t>
      </w:r>
      <w:bookmarkEnd w:id="2579"/>
    </w:p>
    <w:p w14:paraId="2545DFF3">
      <w:pPr>
        <w:rPr>
          <w:rFonts w:hint="eastAsia" w:ascii="宋体" w:hAnsi="宋体" w:eastAsia="宋体" w:cs="宋体"/>
        </w:rPr>
      </w:pPr>
      <w:r>
        <w:rPr>
          <w:rFonts w:hint="eastAsia" w:ascii="宋体" w:hAnsi="宋体" w:eastAsia="宋体" w:cs="宋体"/>
        </w:rPr>
        <w:t>（二）非法占用或者非法批准征用、占用基本农田以外的农用地，致使土地植被遭到严重破坏，或者给国家、集体利益和公共财物造成较大损害的；</w:t>
      </w:r>
    </w:p>
    <w:p w14:paraId="19930F13">
      <w:pPr>
        <w:rPr>
          <w:rFonts w:hint="eastAsia" w:ascii="宋体" w:hAnsi="宋体" w:eastAsia="宋体" w:cs="宋体"/>
        </w:rPr>
      </w:pPr>
      <w:r>
        <w:rPr>
          <w:rFonts w:hint="eastAsia" w:ascii="宋体" w:hAnsi="宋体" w:eastAsia="宋体" w:cs="宋体"/>
        </w:rPr>
        <w:t>（三）非法占用或者非法批准征用、占用土地，且违反土地利用总体规划的；</w:t>
      </w:r>
    </w:p>
    <w:p w14:paraId="180526BC">
      <w:pPr>
        <w:rPr>
          <w:rFonts w:hint="eastAsia" w:ascii="宋体" w:hAnsi="宋体" w:eastAsia="宋体" w:cs="宋体"/>
        </w:rPr>
      </w:pPr>
      <w:r>
        <w:rPr>
          <w:rFonts w:hint="eastAsia" w:ascii="宋体" w:hAnsi="宋体" w:eastAsia="宋体" w:cs="宋体"/>
        </w:rPr>
        <w:t>（四）借农业内部结构调整之机，未经批准或者非法批准占用基本农田或者其他耕地，建围墙搞永久性建筑的；</w:t>
      </w:r>
    </w:p>
    <w:p w14:paraId="00B00CE1">
      <w:pPr>
        <w:rPr>
          <w:rFonts w:hint="eastAsia" w:ascii="宋体" w:hAnsi="宋体" w:eastAsia="宋体" w:cs="宋体"/>
        </w:rPr>
      </w:pPr>
      <w:bookmarkStart w:id="2580" w:name="_Toc428780774"/>
      <w:r>
        <w:rPr>
          <w:rFonts w:hint="eastAsia" w:ascii="宋体" w:hAnsi="宋体" w:eastAsia="宋体" w:cs="宋体"/>
        </w:rPr>
        <w:t>（五）非法占用或者非法批准征用、占用市绿化隔离地区规划绿地的；</w:t>
      </w:r>
      <w:bookmarkEnd w:id="2580"/>
    </w:p>
    <w:p w14:paraId="286C8BAA">
      <w:pPr>
        <w:rPr>
          <w:rFonts w:hint="eastAsia" w:ascii="宋体" w:hAnsi="宋体" w:eastAsia="宋体" w:cs="宋体"/>
        </w:rPr>
      </w:pPr>
      <w:r>
        <w:rPr>
          <w:rFonts w:hint="eastAsia" w:ascii="宋体" w:hAnsi="宋体" w:eastAsia="宋体" w:cs="宋体"/>
        </w:rPr>
        <w:t>（六）拒绝、阻碍土地执法监察人员依法查处土地违法案件的；</w:t>
      </w:r>
    </w:p>
    <w:p w14:paraId="5006F4FD">
      <w:pPr>
        <w:rPr>
          <w:rFonts w:hint="eastAsia" w:ascii="宋体" w:hAnsi="宋体" w:eastAsia="宋体" w:cs="宋体"/>
        </w:rPr>
      </w:pPr>
      <w:r>
        <w:rPr>
          <w:rFonts w:hint="eastAsia" w:ascii="宋体" w:hAnsi="宋体" w:eastAsia="宋体" w:cs="宋体"/>
        </w:rPr>
        <w:t>（七）拒不停止、改正违反土地管理规定的行为或者拒不履行土地行政管理部门作出并发生法律效力的行政处罚、处理决定的；</w:t>
      </w:r>
    </w:p>
    <w:p w14:paraId="18B63537">
      <w:pPr>
        <w:rPr>
          <w:rFonts w:hint="eastAsia" w:ascii="宋体" w:hAnsi="宋体" w:eastAsia="宋体" w:cs="宋体"/>
        </w:rPr>
      </w:pPr>
      <w:r>
        <w:rPr>
          <w:rFonts w:hint="eastAsia" w:ascii="宋体" w:hAnsi="宋体" w:eastAsia="宋体" w:cs="宋体"/>
        </w:rPr>
        <w:t>（八）伪造、销毁、藏匿证据，包庇同案人的；</w:t>
      </w:r>
    </w:p>
    <w:p w14:paraId="15B100B8">
      <w:pPr>
        <w:rPr>
          <w:rFonts w:hint="eastAsia" w:ascii="宋体" w:hAnsi="宋体" w:eastAsia="宋体" w:cs="宋体"/>
        </w:rPr>
      </w:pPr>
      <w:r>
        <w:rPr>
          <w:rFonts w:hint="eastAsia" w:ascii="宋体" w:hAnsi="宋体" w:eastAsia="宋体" w:cs="宋体"/>
        </w:rPr>
        <w:t>（九）其他依法应当从重处分的。</w:t>
      </w:r>
    </w:p>
    <w:p w14:paraId="60F7D96C">
      <w:pPr>
        <w:ind w:firstLine="422"/>
        <w:rPr>
          <w:rFonts w:hint="eastAsia" w:ascii="宋体" w:hAnsi="宋体" w:eastAsia="宋体" w:cs="宋体"/>
        </w:rPr>
      </w:pPr>
      <w:r>
        <w:rPr>
          <w:rFonts w:hint="eastAsia" w:ascii="宋体" w:hAnsi="宋体" w:eastAsia="宋体" w:cs="宋体"/>
          <w:b/>
        </w:rPr>
        <w:t>第十八条</w:t>
      </w:r>
      <w:r>
        <w:rPr>
          <w:rFonts w:hint="eastAsia" w:ascii="宋体" w:hAnsi="宋体" w:eastAsia="宋体" w:cs="宋体"/>
        </w:rPr>
        <w:t>　有下列情形之一的，应当从轻或者减轻处分：</w:t>
      </w:r>
    </w:p>
    <w:p w14:paraId="3C1694AC">
      <w:pPr>
        <w:rPr>
          <w:rFonts w:hint="eastAsia" w:ascii="宋体" w:hAnsi="宋体" w:eastAsia="宋体" w:cs="宋体"/>
        </w:rPr>
      </w:pPr>
      <w:bookmarkStart w:id="2581" w:name="_Toc428780775"/>
      <w:r>
        <w:rPr>
          <w:rFonts w:hint="eastAsia" w:ascii="宋体" w:hAnsi="宋体" w:eastAsia="宋体" w:cs="宋体"/>
        </w:rPr>
        <w:t>（一）对土地违法行为能够主动交代并纠正，接受行政处罚的；</w:t>
      </w:r>
      <w:bookmarkEnd w:id="2581"/>
    </w:p>
    <w:p w14:paraId="0BFE2973">
      <w:pPr>
        <w:rPr>
          <w:rFonts w:hint="eastAsia" w:ascii="宋体" w:hAnsi="宋体" w:eastAsia="宋体" w:cs="宋体"/>
        </w:rPr>
      </w:pPr>
      <w:r>
        <w:rPr>
          <w:rFonts w:hint="eastAsia" w:ascii="宋体" w:hAnsi="宋体" w:eastAsia="宋体" w:cs="宋体"/>
        </w:rPr>
        <w:t>（二）检举、揭发他人违反土地管理规定的行为，经查证属实的；</w:t>
      </w:r>
    </w:p>
    <w:p w14:paraId="0D3C0BF2">
      <w:pPr>
        <w:rPr>
          <w:rFonts w:hint="eastAsia" w:ascii="宋体" w:hAnsi="宋体" w:eastAsia="宋体" w:cs="宋体"/>
        </w:rPr>
      </w:pPr>
      <w:r>
        <w:rPr>
          <w:rFonts w:hint="eastAsia" w:ascii="宋体" w:hAnsi="宋体" w:eastAsia="宋体" w:cs="宋体"/>
        </w:rPr>
        <w:t>（三）主动退还违法所得或者侵占、挪用的征地补偿费用等有关款项的；</w:t>
      </w:r>
    </w:p>
    <w:p w14:paraId="74B25EAC">
      <w:pPr>
        <w:rPr>
          <w:rFonts w:hint="eastAsia" w:ascii="宋体" w:hAnsi="宋体" w:eastAsia="宋体" w:cs="宋体"/>
        </w:rPr>
      </w:pPr>
      <w:bookmarkStart w:id="2582" w:name="_Toc428780776"/>
      <w:r>
        <w:rPr>
          <w:rFonts w:hint="eastAsia" w:ascii="宋体" w:hAnsi="宋体" w:eastAsia="宋体" w:cs="宋体"/>
        </w:rPr>
        <w:t>（四）在规定的期限内主动退还非法占用的土地，并恢复土地原貌的；</w:t>
      </w:r>
      <w:bookmarkEnd w:id="2582"/>
    </w:p>
    <w:p w14:paraId="5F67FF20">
      <w:pPr>
        <w:rPr>
          <w:rFonts w:hint="eastAsia" w:ascii="宋体" w:hAnsi="宋体" w:eastAsia="宋体" w:cs="宋体"/>
        </w:rPr>
      </w:pPr>
      <w:r>
        <w:rPr>
          <w:rFonts w:hint="eastAsia" w:ascii="宋体" w:hAnsi="宋体" w:eastAsia="宋体" w:cs="宋体"/>
        </w:rPr>
        <w:t>（五）其他依法应当从轻或者减轻处分的。</w:t>
      </w:r>
    </w:p>
    <w:p w14:paraId="0A2E907A">
      <w:pPr>
        <w:ind w:firstLine="422"/>
        <w:rPr>
          <w:rFonts w:hint="eastAsia" w:ascii="宋体" w:hAnsi="宋体" w:eastAsia="宋体" w:cs="宋体"/>
        </w:rPr>
      </w:pPr>
      <w:r>
        <w:rPr>
          <w:rFonts w:hint="eastAsia" w:ascii="宋体" w:hAnsi="宋体" w:eastAsia="宋体" w:cs="宋体"/>
          <w:b/>
        </w:rPr>
        <w:t>第十九条</w:t>
      </w:r>
      <w:r>
        <w:rPr>
          <w:rFonts w:hint="eastAsia" w:ascii="宋体" w:hAnsi="宋体" w:eastAsia="宋体" w:cs="宋体"/>
        </w:rPr>
        <w:t>　土地行政管理部门需要向行政监察机关提出行政处分建议的，应当在作出行政处罚决定后10日内将《行政处分建议书》及有关证据材料移送行政监察机关。</w:t>
      </w:r>
    </w:p>
    <w:p w14:paraId="56C93CCB">
      <w:pPr>
        <w:ind w:firstLine="422"/>
        <w:rPr>
          <w:rFonts w:hint="eastAsia" w:ascii="宋体" w:hAnsi="宋体" w:eastAsia="宋体" w:cs="宋体"/>
        </w:rPr>
      </w:pPr>
      <w:r>
        <w:rPr>
          <w:rFonts w:hint="eastAsia" w:ascii="宋体" w:hAnsi="宋体" w:eastAsia="宋体" w:cs="宋体"/>
          <w:b/>
        </w:rPr>
        <w:t>第二十条</w:t>
      </w:r>
      <w:r>
        <w:rPr>
          <w:rFonts w:hint="eastAsia" w:ascii="宋体" w:hAnsi="宋体" w:eastAsia="宋体" w:cs="宋体"/>
        </w:rPr>
        <w:t>　行政监察机关收到土地行政管理部门送达的《行政处分建议书》后，应当依法处理，并将处理结果告知提出行政处分建议的土地行政管理部门。</w:t>
      </w:r>
    </w:p>
    <w:p w14:paraId="7CF7DC29">
      <w:pPr>
        <w:ind w:firstLine="422"/>
        <w:rPr>
          <w:rFonts w:hint="eastAsia" w:ascii="宋体" w:hAnsi="宋体" w:eastAsia="宋体" w:cs="宋体"/>
        </w:rPr>
      </w:pPr>
      <w:r>
        <w:rPr>
          <w:rFonts w:hint="eastAsia" w:ascii="宋体" w:hAnsi="宋体" w:eastAsia="宋体" w:cs="宋体"/>
          <w:b/>
        </w:rPr>
        <w:t>第二十一条</w:t>
      </w:r>
      <w:r>
        <w:rPr>
          <w:rFonts w:hint="eastAsia" w:ascii="宋体" w:hAnsi="宋体" w:eastAsia="宋体" w:cs="宋体"/>
        </w:rPr>
        <w:t>　被处分人员对行政处分决定不服的，可以依法提出申诉。</w:t>
      </w:r>
    </w:p>
    <w:p w14:paraId="7A7D190F">
      <w:pPr>
        <w:ind w:firstLine="422"/>
        <w:rPr>
          <w:rFonts w:hint="eastAsia" w:ascii="宋体" w:hAnsi="宋体" w:eastAsia="宋体" w:cs="宋体"/>
        </w:rPr>
      </w:pPr>
      <w:r>
        <w:rPr>
          <w:rFonts w:hint="eastAsia" w:ascii="宋体" w:hAnsi="宋体" w:eastAsia="宋体" w:cs="宋体"/>
          <w:b/>
        </w:rPr>
        <w:t>第二十二条</w:t>
      </w:r>
      <w:r>
        <w:rPr>
          <w:rFonts w:hint="eastAsia" w:ascii="宋体" w:hAnsi="宋体" w:eastAsia="宋体" w:cs="宋体"/>
        </w:rPr>
        <w:t>　违反土地管理规定的行为应当给予党纪处分的，移送党的纪律检查机关处理。</w:t>
      </w:r>
    </w:p>
    <w:p w14:paraId="18136AC4">
      <w:pPr>
        <w:ind w:firstLine="422"/>
        <w:rPr>
          <w:rFonts w:hint="eastAsia" w:ascii="宋体" w:hAnsi="宋体" w:eastAsia="宋体" w:cs="宋体"/>
        </w:rPr>
      </w:pPr>
      <w:r>
        <w:rPr>
          <w:rFonts w:hint="eastAsia" w:ascii="宋体" w:hAnsi="宋体" w:eastAsia="宋体" w:cs="宋体"/>
          <w:b/>
        </w:rPr>
        <w:t>第二十三条</w:t>
      </w:r>
      <w:r>
        <w:rPr>
          <w:rFonts w:hint="eastAsia" w:ascii="宋体" w:hAnsi="宋体" w:eastAsia="宋体" w:cs="宋体"/>
        </w:rPr>
        <w:t>　本办法自2002年8月1日起施行。</w:t>
      </w:r>
    </w:p>
    <w:p w14:paraId="2A1A337B">
      <w:pPr>
        <w:pStyle w:val="3"/>
        <w:pageBreakBefore/>
      </w:pPr>
      <w:bookmarkStart w:id="2583" w:name="_Toc426467158"/>
      <w:bookmarkStart w:id="2584" w:name="_Toc428781906"/>
      <w:bookmarkStart w:id="2585" w:name="_Toc428780777"/>
      <w:r>
        <w:rPr>
          <w:rFonts w:hint="eastAsia"/>
        </w:rPr>
        <w:t>（二）水资源</w:t>
      </w:r>
      <w:bookmarkEnd w:id="2583"/>
      <w:bookmarkEnd w:id="2584"/>
      <w:bookmarkEnd w:id="2585"/>
    </w:p>
    <w:p w14:paraId="2647320F"/>
    <w:p w14:paraId="2B09A0B2">
      <w:pPr>
        <w:pStyle w:val="4"/>
      </w:pPr>
      <w:bookmarkStart w:id="2586" w:name="_Toc428780778"/>
      <w:bookmarkStart w:id="2587" w:name="_Toc428781907"/>
      <w:bookmarkStart w:id="2588" w:name="_Toc426467159"/>
      <w:r>
        <w:rPr>
          <w:rFonts w:hint="eastAsia"/>
        </w:rPr>
        <w:t>北京市实施《中华人民共和国水土保持法》办法</w:t>
      </w:r>
      <w:bookmarkEnd w:id="2586"/>
      <w:bookmarkEnd w:id="2587"/>
      <w:bookmarkEnd w:id="2588"/>
    </w:p>
    <w:p w14:paraId="05C041DA">
      <w:pPr>
        <w:ind w:left="630" w:leftChars="300" w:right="630" w:rightChars="300"/>
        <w:rPr>
          <w:rFonts w:ascii="楷体" w:hAnsi="楷体" w:eastAsia="楷体"/>
        </w:rPr>
      </w:pPr>
      <w:r>
        <w:rPr>
          <w:rFonts w:hint="eastAsia" w:ascii="楷体" w:hAnsi="楷体" w:eastAsia="楷体"/>
        </w:rPr>
        <w:t>（1992年6月19日北京市第九届人民代表大会常务委员会第三十四次会议通过　根据1997年4月15日北京市第十届人民代表大会常务委员会第三十六次会议《关于修改〈北京市实施中华人民共和国水土保持法办法〉的决定》第一次修正　根据2010年12月23日北京市第十三届人民代表大会常务委员会第二十二次会议《关于修改部分地方性法规的决定》第二次修正）</w:t>
      </w:r>
    </w:p>
    <w:p w14:paraId="57B739D5"/>
    <w:p w14:paraId="5EE6973E">
      <w:pPr>
        <w:ind w:firstLine="0" w:firstLineChars="0"/>
        <w:jc w:val="center"/>
        <w:rPr>
          <w:b/>
          <w:sz w:val="28"/>
        </w:rPr>
      </w:pPr>
      <w:r>
        <w:rPr>
          <w:rFonts w:hint="eastAsia"/>
          <w:b/>
          <w:sz w:val="28"/>
        </w:rPr>
        <w:t>第一章　总　则</w:t>
      </w:r>
    </w:p>
    <w:p w14:paraId="2BF78B58"/>
    <w:p w14:paraId="14989077">
      <w:pPr>
        <w:ind w:firstLine="422"/>
      </w:pPr>
      <w:r>
        <w:rPr>
          <w:rFonts w:hint="eastAsia"/>
          <w:b/>
        </w:rPr>
        <w:t>第一条</w:t>
      </w:r>
      <w:r>
        <w:rPr>
          <w:rFonts w:hint="eastAsia"/>
        </w:rPr>
        <w:t xml:space="preserve">  为实施《中华人民共和国水土保持法》，结合本市实际情况，制定本办法。</w:t>
      </w:r>
    </w:p>
    <w:p w14:paraId="52AE9E0F">
      <w:pPr>
        <w:ind w:firstLine="422"/>
      </w:pPr>
      <w:r>
        <w:rPr>
          <w:rFonts w:hint="eastAsia"/>
          <w:b/>
        </w:rPr>
        <w:t>第二条</w:t>
      </w:r>
      <w:r>
        <w:rPr>
          <w:rFonts w:hint="eastAsia"/>
        </w:rPr>
        <w:t xml:space="preserve">  本市行政区域内的一切单位和个人必须遵守《中华人民共和国水土保持法》和本办法，都有保护水土资源、防治水土流失的义务，并有权对破坏水土资源、造成水土流失的单位和个人进行检举。</w:t>
      </w:r>
    </w:p>
    <w:p w14:paraId="550064DF">
      <w:pPr>
        <w:ind w:firstLine="422"/>
      </w:pPr>
      <w:r>
        <w:rPr>
          <w:rFonts w:hint="eastAsia"/>
          <w:b/>
        </w:rPr>
        <w:t>第三条</w:t>
      </w:r>
      <w:r>
        <w:rPr>
          <w:rFonts w:hint="eastAsia"/>
        </w:rPr>
        <w:t xml:space="preserve">  水土保持工作贯彻预防为主，全面规划，综合防治，因地制宜，加强管理，注重效益的方针。</w:t>
      </w:r>
    </w:p>
    <w:p w14:paraId="050D0AC2">
      <w:pPr>
        <w:ind w:firstLine="422"/>
      </w:pPr>
      <w:r>
        <w:rPr>
          <w:rFonts w:hint="eastAsia"/>
          <w:b/>
        </w:rPr>
        <w:t>第四条</w:t>
      </w:r>
      <w:r>
        <w:rPr>
          <w:rFonts w:hint="eastAsia"/>
        </w:rPr>
        <w:t xml:space="preserve">  本市各级人民政府应当将水土保持工作列为重要职责，实行水土流失防治目标责任制，采取措施做好水土流失防治工作。</w:t>
      </w:r>
    </w:p>
    <w:p w14:paraId="2CDF3E0A">
      <w:pPr>
        <w:ind w:firstLine="422"/>
      </w:pPr>
      <w:r>
        <w:rPr>
          <w:rFonts w:hint="eastAsia"/>
          <w:b/>
        </w:rPr>
        <w:t>第五条</w:t>
      </w:r>
      <w:r>
        <w:rPr>
          <w:rFonts w:hint="eastAsia"/>
        </w:rPr>
        <w:t xml:space="preserve">  市和区、县水行政主管部门是本行政区域水土保持工作的主管机关，负责本办法的监督实施。</w:t>
      </w:r>
    </w:p>
    <w:p w14:paraId="1D94088A">
      <w:r>
        <w:rPr>
          <w:rFonts w:hint="eastAsia"/>
        </w:rPr>
        <w:t>林业、农业、畜牧、地矿等部门按照各自职责，做好水土保持工作。</w:t>
      </w:r>
    </w:p>
    <w:p w14:paraId="799A30F5">
      <w:r>
        <w:rPr>
          <w:rFonts w:hint="eastAsia"/>
        </w:rPr>
        <w:t>乡、镇水土保持工作由乡、镇人民政府负责。</w:t>
      </w:r>
    </w:p>
    <w:p w14:paraId="120CB3CB">
      <w:pPr>
        <w:ind w:firstLine="422"/>
      </w:pPr>
      <w:r>
        <w:rPr>
          <w:rFonts w:hint="eastAsia"/>
          <w:b/>
        </w:rPr>
        <w:t>第六条</w:t>
      </w:r>
      <w:r>
        <w:rPr>
          <w:rFonts w:hint="eastAsia"/>
        </w:rPr>
        <w:t xml:space="preserve">  市和区、县水行政主管部门应当会同有关部门编制水土保持规划，报同级人民政府批准，并纳入本市城市总体规划和区域、县域规划。</w:t>
      </w:r>
    </w:p>
    <w:p w14:paraId="305230F6">
      <w:r>
        <w:rPr>
          <w:rFonts w:hint="eastAsia"/>
        </w:rPr>
        <w:t>各级人民政府应当将水土保持规划确定的任务纳入国民经济和社会发展计划，安排专项资金，并组织实施。</w:t>
      </w:r>
    </w:p>
    <w:p w14:paraId="2B8B85B4">
      <w:pPr>
        <w:ind w:firstLine="422"/>
      </w:pPr>
      <w:r>
        <w:rPr>
          <w:rFonts w:hint="eastAsia"/>
          <w:b/>
        </w:rPr>
        <w:t>第七条</w:t>
      </w:r>
      <w:r>
        <w:rPr>
          <w:rFonts w:hint="eastAsia"/>
        </w:rPr>
        <w:t xml:space="preserve">  本市鼓励开展水土保持科学技术研究，提高水土保持科学技术水平，推广水土保持的先进技术，有计划地培养水土保持的科学技术人才。</w:t>
      </w:r>
    </w:p>
    <w:p w14:paraId="4E9CB8B6"/>
    <w:p w14:paraId="6D4B92B5">
      <w:pPr>
        <w:ind w:firstLine="0" w:firstLineChars="0"/>
        <w:jc w:val="center"/>
        <w:rPr>
          <w:b/>
          <w:sz w:val="28"/>
        </w:rPr>
      </w:pPr>
      <w:r>
        <w:rPr>
          <w:rFonts w:hint="eastAsia"/>
          <w:b/>
          <w:sz w:val="28"/>
        </w:rPr>
        <w:t>第二章　预　防</w:t>
      </w:r>
    </w:p>
    <w:p w14:paraId="215BA38A"/>
    <w:p w14:paraId="059EA7E6">
      <w:pPr>
        <w:ind w:firstLine="422"/>
      </w:pPr>
      <w:r>
        <w:rPr>
          <w:rFonts w:hint="eastAsia"/>
          <w:b/>
        </w:rPr>
        <w:t>第八条</w:t>
      </w:r>
      <w:r>
        <w:rPr>
          <w:rFonts w:hint="eastAsia"/>
        </w:rPr>
        <w:t xml:space="preserve">  依据水土流失的具体情况和地质勘察评价，本市要划定水土流失重点防治区、崩塌滑坡危险区和泥石流易发区。具体范围由市水行政主管部门会同地矿等有关部门提出，报市人民政府批准。</w:t>
      </w:r>
    </w:p>
    <w:p w14:paraId="0320406A">
      <w:pPr>
        <w:ind w:firstLine="422"/>
      </w:pPr>
      <w:r>
        <w:rPr>
          <w:rFonts w:hint="eastAsia"/>
          <w:b/>
        </w:rPr>
        <w:t>第九条</w:t>
      </w:r>
      <w:r>
        <w:rPr>
          <w:rFonts w:hint="eastAsia"/>
        </w:rPr>
        <w:t xml:space="preserve">  本市各级人民政府应当组织全民植树造林，鼓励农村集体经济组织和国营农、林、牧场种植水源涵养林、水土保持林、薪炭林、饲草、绿肥植物，封山育林育草，防风固沙，并因地制宜地发展沼气、太阳能、小水电，推广节柴灶，保护和扩大林草覆盖面积。</w:t>
      </w:r>
    </w:p>
    <w:p w14:paraId="72A16D55">
      <w:pPr>
        <w:ind w:firstLine="422"/>
        <w:rPr>
          <w:rFonts w:hint="eastAsia" w:ascii="宋体" w:hAnsi="宋体" w:eastAsia="宋体" w:cs="宋体"/>
        </w:rPr>
      </w:pPr>
      <w:r>
        <w:rPr>
          <w:rFonts w:hint="eastAsia"/>
          <w:b/>
        </w:rPr>
        <w:t>第十条</w:t>
      </w:r>
      <w:r>
        <w:rPr>
          <w:rFonts w:hint="eastAsia"/>
        </w:rPr>
        <w:t xml:space="preserve">  禁止</w:t>
      </w:r>
      <w:r>
        <w:rPr>
          <w:rFonts w:hint="eastAsia" w:ascii="宋体" w:hAnsi="宋体" w:eastAsia="宋体" w:cs="宋体"/>
        </w:rPr>
        <w:t>毁林开荒、烧山开荒和在陡坡地铲草皮、挖树兜。</w:t>
      </w:r>
    </w:p>
    <w:p w14:paraId="241B002C">
      <w:pPr>
        <w:ind w:firstLine="422"/>
        <w:rPr>
          <w:rFonts w:hint="eastAsia" w:ascii="宋体" w:hAnsi="宋体" w:eastAsia="宋体" w:cs="宋体"/>
        </w:rPr>
      </w:pPr>
      <w:r>
        <w:rPr>
          <w:rFonts w:hint="eastAsia" w:ascii="宋体" w:hAnsi="宋体" w:eastAsia="宋体" w:cs="宋体"/>
          <w:b/>
        </w:rPr>
        <w:t>第十一条</w:t>
      </w:r>
      <w:r>
        <w:rPr>
          <w:rFonts w:hint="eastAsia" w:ascii="宋体" w:hAnsi="宋体" w:eastAsia="宋体" w:cs="宋体"/>
        </w:rPr>
        <w:t xml:space="preserve">  禁止在25度以上陡坡地开垦种植农作物，具体范围由区、县人民政府划定并公告。</w:t>
      </w:r>
    </w:p>
    <w:p w14:paraId="29182379">
      <w:pPr>
        <w:rPr>
          <w:rFonts w:hint="eastAsia" w:ascii="宋体" w:hAnsi="宋体" w:eastAsia="宋体" w:cs="宋体"/>
        </w:rPr>
      </w:pPr>
      <w:r>
        <w:rPr>
          <w:rFonts w:hint="eastAsia" w:ascii="宋体" w:hAnsi="宋体" w:eastAsia="宋体" w:cs="宋体"/>
        </w:rPr>
        <w:t>本办法施行前已在25度以上陡坡地上开垦种植农作物的，应当在当地区、县人民政府规定的限期内退耕还林还草。人均耕地不足0.5亩难以退耕的，须报经区、县水行政主管部门批准，并限期修建梯田或者采取其他水土保持措施。</w:t>
      </w:r>
    </w:p>
    <w:p w14:paraId="034206ED">
      <w:pPr>
        <w:ind w:firstLine="422"/>
        <w:rPr>
          <w:rFonts w:hint="eastAsia" w:ascii="宋体" w:hAnsi="宋体" w:eastAsia="宋体" w:cs="宋体"/>
        </w:rPr>
      </w:pPr>
      <w:r>
        <w:rPr>
          <w:rFonts w:hint="eastAsia" w:ascii="宋体" w:hAnsi="宋体" w:eastAsia="宋体" w:cs="宋体"/>
          <w:b/>
        </w:rPr>
        <w:t>第十二条</w:t>
      </w:r>
      <w:r>
        <w:rPr>
          <w:rFonts w:hint="eastAsia" w:ascii="宋体" w:hAnsi="宋体" w:eastAsia="宋体" w:cs="宋体"/>
        </w:rPr>
        <w:t xml:space="preserve">  加强牧坡管理和草场建设，以草定牧，合理确定载畜量，并实行轮封轮牧，防止水土流失。</w:t>
      </w:r>
    </w:p>
    <w:p w14:paraId="53DAAD9C">
      <w:pPr>
        <w:rPr>
          <w:rFonts w:hint="eastAsia" w:ascii="宋体" w:hAnsi="宋体" w:eastAsia="宋体" w:cs="宋体"/>
        </w:rPr>
      </w:pPr>
      <w:r>
        <w:rPr>
          <w:rFonts w:hint="eastAsia" w:ascii="宋体" w:hAnsi="宋体" w:eastAsia="宋体" w:cs="宋体"/>
        </w:rPr>
        <w:t>在水土流失严重和草场少的地区，积极发展人工草场，推广舍饲。</w:t>
      </w:r>
    </w:p>
    <w:p w14:paraId="7F3B00E0">
      <w:pPr>
        <w:ind w:firstLine="422"/>
        <w:rPr>
          <w:rFonts w:hint="eastAsia" w:ascii="宋体" w:hAnsi="宋体" w:eastAsia="宋体" w:cs="宋体"/>
        </w:rPr>
      </w:pPr>
      <w:r>
        <w:rPr>
          <w:rFonts w:hint="eastAsia" w:ascii="宋体" w:hAnsi="宋体" w:eastAsia="宋体" w:cs="宋体"/>
          <w:b/>
        </w:rPr>
        <w:t>第十三条</w:t>
      </w:r>
      <w:r>
        <w:rPr>
          <w:rFonts w:hint="eastAsia" w:ascii="宋体" w:hAnsi="宋体" w:eastAsia="宋体" w:cs="宋体"/>
        </w:rPr>
        <w:t xml:space="preserve">  开垦25度以下，5度以上荒坡地的，必须有水土保持方案，并报区、县水行政主管部门批准；开垦国有荒坡地的，必须持市或区、县水行政主管部门批准的水土保持方案向土地管理机关申请办理开垦手续。</w:t>
      </w:r>
    </w:p>
    <w:p w14:paraId="02F56B98">
      <w:pPr>
        <w:ind w:firstLine="422"/>
        <w:rPr>
          <w:rFonts w:hint="eastAsia" w:ascii="宋体" w:hAnsi="宋体" w:eastAsia="宋体" w:cs="宋体"/>
        </w:rPr>
      </w:pPr>
      <w:r>
        <w:rPr>
          <w:rFonts w:hint="eastAsia" w:ascii="宋体" w:hAnsi="宋体" w:eastAsia="宋体" w:cs="宋体"/>
          <w:b/>
        </w:rPr>
        <w:t>第十四条</w:t>
      </w:r>
      <w:r>
        <w:rPr>
          <w:rFonts w:hint="eastAsia" w:ascii="宋体" w:hAnsi="宋体" w:eastAsia="宋体" w:cs="宋体"/>
        </w:rPr>
        <w:t>　采伐林木必须执行国家和本市有关林木资源保护管理的法律、法规、规章，采取防止水土流失的措施，并按照林木采伐许可证规定的期限完成更新造林任务。</w:t>
      </w:r>
    </w:p>
    <w:p w14:paraId="6D8F420F">
      <w:pPr>
        <w:ind w:firstLine="422"/>
      </w:pPr>
      <w:r>
        <w:rPr>
          <w:rFonts w:hint="eastAsia" w:ascii="宋体" w:hAnsi="宋体" w:eastAsia="宋体" w:cs="宋体"/>
          <w:b/>
        </w:rPr>
        <w:t>第十五条</w:t>
      </w:r>
      <w:r>
        <w:rPr>
          <w:rFonts w:hint="eastAsia" w:ascii="宋体" w:hAnsi="宋体" w:eastAsia="宋体" w:cs="宋体"/>
        </w:rPr>
        <w:t>　修建铁路、公路和水工程，应当尽量减少破坏植被；废弃的砂、石、土必须运至规定的专门存放地存放，不得向河流、渠道、水库和专门存放地以外的沟渠倾</w:t>
      </w:r>
      <w:r>
        <w:rPr>
          <w:rFonts w:hint="eastAsia"/>
        </w:rPr>
        <w:t>倒；在铁路、公路两侧地界以内的山坡地，必须修建护坡或者采取其他水土保持措施；工程竣工后，取土场、开挖面和废弃的砂、石、土存放地的裸露土地，必须种草种树，防止水土流失。</w:t>
      </w:r>
    </w:p>
    <w:p w14:paraId="64603C81">
      <w:r>
        <w:rPr>
          <w:rFonts w:hint="eastAsia"/>
        </w:rPr>
        <w:t>开办矿山企业、电力企业和其他大中型工业企业，排弃的剥离表土、矸石、尾矿、废渣等必须堆放在规定的专门存放地，不得向河流、渠道、水库和专门存放地以外的沟渠倾倒；因采矿和建设使植被受到破坏的，必须采取措施恢复表土层和植被，防止水土流失。</w:t>
      </w:r>
    </w:p>
    <w:p w14:paraId="08823180">
      <w:pPr>
        <w:ind w:firstLine="422"/>
      </w:pPr>
      <w:r>
        <w:rPr>
          <w:rFonts w:hint="eastAsia"/>
          <w:b/>
        </w:rPr>
        <w:t>第十六条</w:t>
      </w:r>
      <w:r>
        <w:rPr>
          <w:rFonts w:hint="eastAsia"/>
        </w:rPr>
        <w:t>　在山区、丘陵区、风沙区修建铁路、公路、水工程，开办矿山企业、电力和其他大中型工业企业，在建设项目环境影响报告书中，必须有市或者区、县水行政主管部门同意的水土保持方案。依法开办乡镇集体矿山企业和个体采矿，必须持有区、县水行政主管部门审查同意的水土保持方案，方可申请采矿。经批准的水土保持方案不得擅自变更，确需修改的，须报原批准机关批准。</w:t>
      </w:r>
    </w:p>
    <w:p w14:paraId="78D4FF1D">
      <w:pPr>
        <w:ind w:firstLine="422"/>
      </w:pPr>
      <w:r>
        <w:rPr>
          <w:rFonts w:hint="eastAsia"/>
          <w:b/>
        </w:rPr>
        <w:t>第十七条</w:t>
      </w:r>
      <w:r>
        <w:rPr>
          <w:rFonts w:hint="eastAsia"/>
        </w:rPr>
        <w:t>　生产建设项目中的水土保持设施，必须与主体工程同时设计、同时施工、同时投产使用。建设项目竣工验收时，应当同时验收水土保持设施，并有市或者区、县水行政主管部门参加。</w:t>
      </w:r>
    </w:p>
    <w:p w14:paraId="259B7184">
      <w:pPr>
        <w:ind w:firstLine="422"/>
      </w:pPr>
      <w:r>
        <w:rPr>
          <w:rFonts w:hint="eastAsia"/>
          <w:b/>
        </w:rPr>
        <w:t>第十八条</w:t>
      </w:r>
      <w:r>
        <w:rPr>
          <w:rFonts w:hint="eastAsia"/>
        </w:rPr>
        <w:t>　本市各级人民政府应当采取措施，加强对采矿、取土、挖砂、采石等生产活动的管理，防止水土流失。</w:t>
      </w:r>
    </w:p>
    <w:p w14:paraId="7793434C">
      <w:r>
        <w:rPr>
          <w:rFonts w:hint="eastAsia"/>
        </w:rPr>
        <w:t>在崩塌滑坡危险区和泥石流易发区，严禁取土、挖砂、采石、建房。违反规定建房的，责令停止施工，拆除建筑物。直接受崩塌滑坡和泥石流威胁的险村险户，由人民政府按照规划组织迁移或采取安全措施。</w:t>
      </w:r>
    </w:p>
    <w:p w14:paraId="6E40183E"/>
    <w:p w14:paraId="7262146D">
      <w:pPr>
        <w:ind w:firstLine="0" w:firstLineChars="0"/>
        <w:jc w:val="center"/>
        <w:rPr>
          <w:b/>
          <w:sz w:val="28"/>
        </w:rPr>
      </w:pPr>
      <w:r>
        <w:rPr>
          <w:rFonts w:hint="eastAsia"/>
          <w:b/>
          <w:sz w:val="28"/>
        </w:rPr>
        <w:t>第三章　治　理</w:t>
      </w:r>
    </w:p>
    <w:p w14:paraId="2850D906"/>
    <w:p w14:paraId="173E622A">
      <w:pPr>
        <w:ind w:firstLine="422"/>
      </w:pPr>
      <w:r>
        <w:rPr>
          <w:rFonts w:hint="eastAsia"/>
          <w:b/>
        </w:rPr>
        <w:t>第十九条</w:t>
      </w:r>
      <w:r>
        <w:rPr>
          <w:rFonts w:hint="eastAsia"/>
        </w:rPr>
        <w:t>　市和区、县人民政府应当根据水土保持规划，组织有关行政主管部门和单位有计划地对水土流失进行治理。</w:t>
      </w:r>
    </w:p>
    <w:p w14:paraId="332C51B6">
      <w:pPr>
        <w:ind w:firstLine="422"/>
      </w:pPr>
      <w:r>
        <w:rPr>
          <w:rFonts w:hint="eastAsia"/>
          <w:b/>
        </w:rPr>
        <w:t>第二十条</w:t>
      </w:r>
      <w:r>
        <w:rPr>
          <w:rFonts w:hint="eastAsia"/>
        </w:rPr>
        <w:t>　防治水土流失，应当以小流域为单元，山、水、林、田、路统一规划，综合治理；实行治理保护与开发利用相结合，工程措施与生物措施相结合，坡面治理与沟道治理相结合，田间工程与蓄水保土耕作措施相结合，一般工程与重点工程相结合，因害设防，层层拦蓄，建立综合防治体系。</w:t>
      </w:r>
    </w:p>
    <w:p w14:paraId="13909FDE">
      <w:pPr>
        <w:ind w:firstLine="422"/>
      </w:pPr>
      <w:r>
        <w:rPr>
          <w:rFonts w:hint="eastAsia"/>
          <w:b/>
        </w:rPr>
        <w:t>第二十一条</w:t>
      </w:r>
      <w:r>
        <w:rPr>
          <w:rFonts w:hint="eastAsia"/>
        </w:rPr>
        <w:t>　市和区、县人民政府应当鼓励水土流失地区的农村集体经济组织和农民对水土流失进行治理，坚持谁治理谁受益，并按照国务院的规定，在资金、能源、物资、税收等方面给予扶持。</w:t>
      </w:r>
    </w:p>
    <w:p w14:paraId="4BFE78FB">
      <w:pPr>
        <w:ind w:firstLine="422"/>
      </w:pPr>
      <w:r>
        <w:rPr>
          <w:rFonts w:hint="eastAsia"/>
          <w:b/>
        </w:rPr>
        <w:t>第二十二条</w:t>
      </w:r>
      <w:r>
        <w:rPr>
          <w:rFonts w:hint="eastAsia"/>
        </w:rPr>
        <w:t>　本市各级人民政府应当组织农村集体经济组织和农民，按照批准的水土保持规划，</w:t>
      </w:r>
      <w:r>
        <w:rPr>
          <w:rFonts w:hint="eastAsia" w:ascii="宋体" w:hAnsi="宋体" w:eastAsia="宋体" w:cs="宋体"/>
        </w:rPr>
        <w:t>对25度以下、5度以上坡耕地进</w:t>
      </w:r>
      <w:r>
        <w:rPr>
          <w:rFonts w:hint="eastAsia"/>
        </w:rPr>
        <w:t>行综合治理，因地制宜地采取修水平梯田、水平条、蓄水保土耕作等水土保持措施，整治排水系统，发展灌溉或者退耕植树种草。</w:t>
      </w:r>
    </w:p>
    <w:p w14:paraId="71002832">
      <w:pPr>
        <w:ind w:firstLine="422"/>
      </w:pPr>
      <w:r>
        <w:rPr>
          <w:rFonts w:hint="eastAsia"/>
          <w:b/>
        </w:rPr>
        <w:t>第二十三条</w:t>
      </w:r>
      <w:r>
        <w:rPr>
          <w:rFonts w:hint="eastAsia"/>
        </w:rPr>
        <w:t>　对水土流失治理，可以由农村集体经济组织、专业队、农民个人或者联户承包，并按照《北京市农业承包合同条例》的规定签订承包合同。按合同规定，新增加的土地归承包者使用，新种植的林木归承包者所有。</w:t>
      </w:r>
    </w:p>
    <w:p w14:paraId="4F3DD235">
      <w:r>
        <w:rPr>
          <w:rFonts w:hint="eastAsia"/>
        </w:rPr>
        <w:t>本市保护承包治理合同当事人的合法权益。在承包治理合同有效期内，承包人死亡时，继承人可以依照承包治理合同的约定继续承包。</w:t>
      </w:r>
    </w:p>
    <w:p w14:paraId="14C4EAA9">
      <w:pPr>
        <w:ind w:firstLine="422"/>
      </w:pPr>
      <w:r>
        <w:rPr>
          <w:rFonts w:hint="eastAsia"/>
          <w:b/>
        </w:rPr>
        <w:t>第二十四条</w:t>
      </w:r>
      <w:r>
        <w:rPr>
          <w:rFonts w:hint="eastAsia"/>
        </w:rPr>
        <w:t>　国家和本市资助的水土保持重点治理项目，应当建立审批和验收制度，具体办法由市水行政主管部门制定。</w:t>
      </w:r>
    </w:p>
    <w:p w14:paraId="00FC2B49">
      <w:pPr>
        <w:ind w:firstLine="422"/>
      </w:pPr>
      <w:r>
        <w:rPr>
          <w:rFonts w:hint="eastAsia"/>
          <w:b/>
        </w:rPr>
        <w:t>第二十五条</w:t>
      </w:r>
      <w:r>
        <w:rPr>
          <w:rFonts w:hint="eastAsia"/>
        </w:rPr>
        <w:t>　治理水土流失应当多渠道筹集资金，增加投入，各级财政部门应予以支持，农村集体经济组织也应当增加水土流失防治经费和劳务的投入。</w:t>
      </w:r>
    </w:p>
    <w:p w14:paraId="07AE9570">
      <w:pPr>
        <w:ind w:firstLine="422"/>
      </w:pPr>
      <w:r>
        <w:rPr>
          <w:rFonts w:hint="eastAsia"/>
          <w:b/>
        </w:rPr>
        <w:t>第二十六条</w:t>
      </w:r>
      <w:r>
        <w:rPr>
          <w:rFonts w:hint="eastAsia"/>
        </w:rPr>
        <w:t>　企业事业单位对建设和生产过程中造成的水土流失，必须采取措施进行治理。依照水土保持方案确定的防治费，应当专项储存，专款专用，并接受市或者区、县水行政主管部门监督。本单位无力治理的，由市或者区、县水行政主管部门组织治理，治理费用由造成水土流失的企业、事业单位负担。</w:t>
      </w:r>
    </w:p>
    <w:p w14:paraId="06C527A1">
      <w:r>
        <w:rPr>
          <w:rFonts w:hint="eastAsia"/>
        </w:rPr>
        <w:t>建设过程中发生的水土流失防治费用，从基本建设投资中列支；生产过程中发生的水土流失防治费用，从生产费用中列支。</w:t>
      </w:r>
    </w:p>
    <w:p w14:paraId="0E7CCDE2">
      <w:pPr>
        <w:ind w:firstLine="422"/>
      </w:pPr>
      <w:r>
        <w:rPr>
          <w:rFonts w:hint="eastAsia"/>
          <w:b/>
        </w:rPr>
        <w:t>第二十七条</w:t>
      </w:r>
      <w:r>
        <w:rPr>
          <w:rFonts w:hint="eastAsia"/>
        </w:rPr>
        <w:t>　依法保护水土保持设施、实验场地、监测网点、标志和仪器设备，任何单位和个人不得拆除和破坏。因建设占用土地拆除水土保持设施的，须报区、县水行政主管部门批准，并支付赔偿费。</w:t>
      </w:r>
    </w:p>
    <w:p w14:paraId="5B328FFC"/>
    <w:p w14:paraId="2A9F7720">
      <w:pPr>
        <w:ind w:firstLine="0" w:firstLineChars="0"/>
        <w:jc w:val="center"/>
        <w:rPr>
          <w:b/>
          <w:sz w:val="28"/>
        </w:rPr>
      </w:pPr>
      <w:r>
        <w:rPr>
          <w:rFonts w:hint="eastAsia"/>
          <w:b/>
          <w:sz w:val="28"/>
        </w:rPr>
        <w:t>第四章　监　督</w:t>
      </w:r>
    </w:p>
    <w:p w14:paraId="3881FCD8"/>
    <w:p w14:paraId="4BBCB52B">
      <w:pPr>
        <w:ind w:firstLine="422"/>
      </w:pPr>
      <w:r>
        <w:rPr>
          <w:rFonts w:hint="eastAsia"/>
          <w:b/>
        </w:rPr>
        <w:t>第二十八条</w:t>
      </w:r>
      <w:r>
        <w:rPr>
          <w:rFonts w:hint="eastAsia"/>
        </w:rPr>
        <w:t>　市水行政主管部门建立水土保持监测网络，对全市水土流失动态进行监测预报，并予以公告。</w:t>
      </w:r>
    </w:p>
    <w:p w14:paraId="5FFBA202">
      <w:pPr>
        <w:ind w:firstLine="422"/>
      </w:pPr>
      <w:r>
        <w:rPr>
          <w:rFonts w:hint="eastAsia"/>
          <w:b/>
        </w:rPr>
        <w:t>第二十九条</w:t>
      </w:r>
      <w:r>
        <w:rPr>
          <w:rFonts w:hint="eastAsia"/>
        </w:rPr>
        <w:t>　水土保持监督人员有权对本辖区的水土流失及其防治情况进行现场检查。水土保持监督人员依法执行职务时，应当持有水土保持监督检查证件，并佩戴监督检查标志。被检查的单位和个人必须接受检查，如实反映情况，提供必要的工作条件。</w:t>
      </w:r>
    </w:p>
    <w:p w14:paraId="3F32CBC9"/>
    <w:p w14:paraId="46D465C9">
      <w:pPr>
        <w:ind w:firstLine="0" w:firstLineChars="0"/>
        <w:jc w:val="center"/>
        <w:rPr>
          <w:b/>
          <w:sz w:val="28"/>
        </w:rPr>
      </w:pPr>
      <w:r>
        <w:rPr>
          <w:rFonts w:hint="eastAsia"/>
          <w:b/>
          <w:sz w:val="28"/>
        </w:rPr>
        <w:t>第五章　奖励与处罚</w:t>
      </w:r>
    </w:p>
    <w:p w14:paraId="5F4F3EA7"/>
    <w:p w14:paraId="64FD2A16">
      <w:pPr>
        <w:ind w:firstLine="422"/>
      </w:pPr>
      <w:r>
        <w:rPr>
          <w:rFonts w:hint="eastAsia"/>
          <w:b/>
        </w:rPr>
        <w:t>第三十条</w:t>
      </w:r>
      <w:r>
        <w:rPr>
          <w:rFonts w:hint="eastAsia"/>
        </w:rPr>
        <w:t>　有下列情形之一的单位和个人，由各级人民政府或者水行政主管部门给予表彰和奖励：</w:t>
      </w:r>
    </w:p>
    <w:p w14:paraId="2CE71035">
      <w:r>
        <w:rPr>
          <w:rFonts w:hint="eastAsia"/>
        </w:rPr>
        <w:t>（一）认真贯彻水土保持的方针、政策和法律、法规、规章，在预防保护和监督管理工作中取得显著成绩的；</w:t>
      </w:r>
    </w:p>
    <w:p w14:paraId="31899674">
      <w:r>
        <w:rPr>
          <w:rFonts w:hint="eastAsia"/>
        </w:rPr>
        <w:t>（二）长期坚持治理水土流失，取得显著的生态效益、经济效益和社会效益的；</w:t>
      </w:r>
    </w:p>
    <w:p w14:paraId="776398BD">
      <w:r>
        <w:rPr>
          <w:rFonts w:hint="eastAsia"/>
        </w:rPr>
        <w:t>（三）在水土保持科学研究、教育、宣传和技术推广工作中成绩突出的；</w:t>
      </w:r>
    </w:p>
    <w:p w14:paraId="19C4CC11">
      <w:r>
        <w:rPr>
          <w:rFonts w:hint="eastAsia"/>
        </w:rPr>
        <w:t>（四）热心水土保持事业，积极支持和推动水土保持工作有突出贡献的。</w:t>
      </w:r>
    </w:p>
    <w:p w14:paraId="41134E7E">
      <w:pPr>
        <w:ind w:firstLine="422"/>
      </w:pPr>
      <w:r>
        <w:rPr>
          <w:rFonts w:hint="eastAsia"/>
          <w:b/>
        </w:rPr>
        <w:t>第三十一条</w:t>
      </w:r>
      <w:r>
        <w:rPr>
          <w:rFonts w:hint="eastAsia"/>
        </w:rPr>
        <w:t>　违反本办法规定，有下列行为之一的，由区、县水行政主管部门责令停止违法行为、采取补救措施，可以并处罚款：</w:t>
      </w:r>
    </w:p>
    <w:p w14:paraId="4C6C486B">
      <w:bookmarkStart w:id="2589" w:name="_Toc428780779"/>
      <w:r>
        <w:rPr>
          <w:rFonts w:hint="eastAsia"/>
        </w:rPr>
        <w:t>（一）在25度以上陡坡地铲草皮、挖树兜、开垦种植农作物的；</w:t>
      </w:r>
      <w:bookmarkEnd w:id="2589"/>
    </w:p>
    <w:p w14:paraId="0D6A8145">
      <w:pPr>
        <w:rPr>
          <w:rFonts w:hint="eastAsia" w:ascii="宋体" w:hAnsi="宋体" w:eastAsia="宋体" w:cs="宋体"/>
        </w:rPr>
      </w:pPr>
      <w:r>
        <w:rPr>
          <w:rFonts w:hint="eastAsia"/>
        </w:rPr>
        <w:t>（二）未经区、县水行政主管部门批准，采取毁林、烧山等方法，擅自</w:t>
      </w:r>
      <w:r>
        <w:rPr>
          <w:rFonts w:hint="eastAsia" w:ascii="宋体" w:hAnsi="宋体" w:eastAsia="宋体" w:cs="宋体"/>
        </w:rPr>
        <w:t>开垦25度以下、5度以上的荒坡地的。</w:t>
      </w:r>
    </w:p>
    <w:p w14:paraId="294E03DF">
      <w:pPr>
        <w:ind w:firstLine="422"/>
        <w:rPr>
          <w:rFonts w:hint="eastAsia" w:ascii="宋体" w:hAnsi="宋体" w:eastAsia="宋体" w:cs="宋体"/>
        </w:rPr>
      </w:pPr>
      <w:r>
        <w:rPr>
          <w:rFonts w:hint="eastAsia" w:ascii="宋体" w:hAnsi="宋体" w:eastAsia="宋体" w:cs="宋体"/>
          <w:b/>
        </w:rPr>
        <w:t>第三十二条</w:t>
      </w:r>
      <w:r>
        <w:rPr>
          <w:rFonts w:hint="eastAsia" w:ascii="宋体" w:hAnsi="宋体" w:eastAsia="宋体" w:cs="宋体"/>
        </w:rPr>
        <w:t>　违反本办法第十五条规定，在建设和生产过程中造成水土流失，不进行治理的，可以根据所造成的危害后果，由区、县水行政主管部门报请区、县人民政府决定处以罚款或者责令停业治理；对有关责任人员由其所在单位或者上级主管机关给予行政处分。但责令中央或者市人民政府直接管辖的企业事业单位停业治理，须报请国务院或者市人民政府批准。</w:t>
      </w:r>
    </w:p>
    <w:p w14:paraId="3CAFE1F3">
      <w:pPr>
        <w:ind w:firstLine="422"/>
        <w:rPr>
          <w:rFonts w:hint="eastAsia" w:ascii="宋体" w:hAnsi="宋体" w:eastAsia="宋体" w:cs="宋体"/>
        </w:rPr>
      </w:pPr>
      <w:r>
        <w:rPr>
          <w:rFonts w:hint="eastAsia" w:ascii="宋体" w:hAnsi="宋体" w:eastAsia="宋体" w:cs="宋体"/>
          <w:b/>
        </w:rPr>
        <w:t>第三十三条</w:t>
      </w:r>
      <w:r>
        <w:rPr>
          <w:rFonts w:hint="eastAsia" w:ascii="宋体" w:hAnsi="宋体" w:eastAsia="宋体" w:cs="宋体"/>
        </w:rPr>
        <w:t>　违反本办法第十八条规定，在崩塌滑坡危险区和泥石流易发区范围内取土、挖砂、采石的，由区、县水行政主管部门责令停止违法行为，采取补救措施，处以罚款。</w:t>
      </w:r>
    </w:p>
    <w:p w14:paraId="7CBFD4D3">
      <w:pPr>
        <w:ind w:firstLine="422"/>
        <w:rPr>
          <w:rFonts w:hint="eastAsia" w:ascii="宋体" w:hAnsi="宋体" w:eastAsia="宋体" w:cs="宋体"/>
        </w:rPr>
      </w:pPr>
      <w:r>
        <w:rPr>
          <w:rFonts w:hint="eastAsia" w:ascii="宋体" w:hAnsi="宋体" w:eastAsia="宋体" w:cs="宋体"/>
          <w:b/>
        </w:rPr>
        <w:t>第三十四条</w:t>
      </w:r>
      <w:r>
        <w:rPr>
          <w:rFonts w:hint="eastAsia" w:ascii="宋体" w:hAnsi="宋体" w:eastAsia="宋体" w:cs="宋体"/>
        </w:rPr>
        <w:t>　违反本办法第二十七条规定，破坏水土保持设施的，由区、县水行政主管部门责令赔偿损失，并按照《北京市水利工程保护管理条例》的规定处以损失金额1倍以下的罚款。</w:t>
      </w:r>
    </w:p>
    <w:p w14:paraId="1F078FBF">
      <w:pPr>
        <w:ind w:firstLine="422"/>
        <w:rPr>
          <w:rFonts w:hint="eastAsia" w:ascii="宋体" w:hAnsi="宋体" w:eastAsia="宋体" w:cs="宋体"/>
        </w:rPr>
      </w:pPr>
      <w:r>
        <w:rPr>
          <w:rFonts w:hint="eastAsia" w:ascii="宋体" w:hAnsi="宋体" w:eastAsia="宋体" w:cs="宋体"/>
          <w:b/>
        </w:rPr>
        <w:t>第三十五条</w:t>
      </w:r>
      <w:r>
        <w:rPr>
          <w:rFonts w:hint="eastAsia" w:ascii="宋体" w:hAnsi="宋体" w:eastAsia="宋体" w:cs="宋体"/>
        </w:rPr>
        <w:t>　本办法规定的罚款，数额最高不超过3万元，具体办法由市人民政府制定。</w:t>
      </w:r>
    </w:p>
    <w:p w14:paraId="24FBB4F2">
      <w:pPr>
        <w:ind w:firstLine="422"/>
        <w:rPr>
          <w:rFonts w:hint="eastAsia" w:ascii="宋体" w:hAnsi="宋体" w:eastAsia="宋体" w:cs="宋体"/>
        </w:rPr>
      </w:pPr>
      <w:r>
        <w:rPr>
          <w:rFonts w:hint="eastAsia" w:ascii="宋体" w:hAnsi="宋体" w:eastAsia="宋体" w:cs="宋体"/>
          <w:b/>
        </w:rPr>
        <w:t>第三十六条</w:t>
      </w:r>
      <w:r>
        <w:rPr>
          <w:rFonts w:hint="eastAsia" w:ascii="宋体" w:hAnsi="宋体" w:eastAsia="宋体" w:cs="宋体"/>
        </w:rPr>
        <w:t>　以暴力、威胁方法阻碍水土保持监督人员依法执行职务的，依法追究刑事责任；拒绝、阻碍水土保持监督人员执行职务未使用暴力、威胁方法的，由公安机关按照《中华人民共和国治安管理处罚法》的规定处罚。</w:t>
      </w:r>
    </w:p>
    <w:p w14:paraId="7D70FE20">
      <w:pPr>
        <w:ind w:firstLine="422"/>
        <w:rPr>
          <w:rFonts w:hint="eastAsia" w:ascii="宋体" w:hAnsi="宋体" w:eastAsia="宋体" w:cs="宋体"/>
        </w:rPr>
      </w:pPr>
      <w:r>
        <w:rPr>
          <w:rFonts w:hint="eastAsia" w:ascii="宋体" w:hAnsi="宋体" w:eastAsia="宋体" w:cs="宋体"/>
          <w:b/>
        </w:rPr>
        <w:t>第三十七条</w:t>
      </w:r>
      <w:r>
        <w:rPr>
          <w:rFonts w:hint="eastAsia" w:ascii="宋体" w:hAnsi="宋体" w:eastAsia="宋体" w:cs="宋体"/>
        </w:rPr>
        <w:t>　当事人对行政处罚决定不服的，可以依法申请行政复议或者提起行政诉讼。</w:t>
      </w:r>
    </w:p>
    <w:p w14:paraId="7FC13B07">
      <w:pPr>
        <w:rPr>
          <w:rFonts w:hint="eastAsia" w:ascii="宋体" w:hAnsi="宋体" w:eastAsia="宋体" w:cs="宋体"/>
        </w:rPr>
      </w:pPr>
      <w:r>
        <w:rPr>
          <w:rFonts w:hint="eastAsia" w:ascii="宋体" w:hAnsi="宋体" w:eastAsia="宋体" w:cs="宋体"/>
        </w:rPr>
        <w:t>当事人逾期不申请复议也不向人民法院起诉、又不履行处罚决定的，作出处罚决定的机关可以申请人民法院强制执行。</w:t>
      </w:r>
    </w:p>
    <w:p w14:paraId="222A9B10">
      <w:pPr>
        <w:ind w:firstLine="422"/>
        <w:rPr>
          <w:rFonts w:hint="eastAsia" w:ascii="宋体" w:hAnsi="宋体" w:eastAsia="宋体" w:cs="宋体"/>
        </w:rPr>
      </w:pPr>
      <w:r>
        <w:rPr>
          <w:rFonts w:hint="eastAsia" w:ascii="宋体" w:hAnsi="宋体" w:eastAsia="宋体" w:cs="宋体"/>
          <w:b/>
        </w:rPr>
        <w:t>第三十八条</w:t>
      </w:r>
      <w:r>
        <w:rPr>
          <w:rFonts w:hint="eastAsia" w:ascii="宋体" w:hAnsi="宋体" w:eastAsia="宋体" w:cs="宋体"/>
        </w:rPr>
        <w:t>　造成水土流失危害的，有责任排除危害，并对直接受到损害的单位和个人赔偿损失。</w:t>
      </w:r>
    </w:p>
    <w:p w14:paraId="2C6EC2C3">
      <w:pPr>
        <w:rPr>
          <w:rFonts w:hint="eastAsia" w:ascii="宋体" w:hAnsi="宋体" w:eastAsia="宋体" w:cs="宋体"/>
        </w:rPr>
      </w:pPr>
      <w:r>
        <w:rPr>
          <w:rFonts w:hint="eastAsia" w:ascii="宋体" w:hAnsi="宋体" w:eastAsia="宋体" w:cs="宋体"/>
        </w:rPr>
        <w:t>赔偿责任和赔偿金额的纠纷，可以根据当事人的请求，由水行政主管部门处理；当事人对处理决定不服的，可以向人民法院起诉。当事人也可以直接向人民法院诉。</w:t>
      </w:r>
    </w:p>
    <w:p w14:paraId="28AD07C3">
      <w:pPr>
        <w:rPr>
          <w:rFonts w:hint="eastAsia" w:ascii="宋体" w:hAnsi="宋体" w:eastAsia="宋体" w:cs="宋体"/>
        </w:rPr>
      </w:pPr>
      <w:r>
        <w:rPr>
          <w:rFonts w:hint="eastAsia" w:ascii="宋体" w:hAnsi="宋体" w:eastAsia="宋体" w:cs="宋体"/>
        </w:rPr>
        <w:t>由于不可抗拒的自然灾害，并经及时采取合理措施，仍然不能避免造成水土流失危害的，免予承担赔偿责任。</w:t>
      </w:r>
    </w:p>
    <w:p w14:paraId="743790B5">
      <w:pPr>
        <w:ind w:firstLine="422"/>
      </w:pPr>
      <w:r>
        <w:rPr>
          <w:rFonts w:hint="eastAsia" w:ascii="宋体" w:hAnsi="宋体" w:eastAsia="宋体" w:cs="宋体"/>
          <w:b/>
        </w:rPr>
        <w:t>第三十九条</w:t>
      </w:r>
      <w:r>
        <w:rPr>
          <w:rFonts w:hint="eastAsia" w:ascii="宋体" w:hAnsi="宋体" w:eastAsia="宋体" w:cs="宋体"/>
        </w:rPr>
        <w:t>　水土保持监督人员玩忽职守、滥用职权给公共财产、国</w:t>
      </w:r>
      <w:r>
        <w:rPr>
          <w:rFonts w:hint="eastAsia"/>
        </w:rPr>
        <w:t>家和人民利益造成损失的，由其所在单位或者上级主管机关给予行政处分；构成犯罪的，依法追究刑事责任。</w:t>
      </w:r>
    </w:p>
    <w:p w14:paraId="753675C5"/>
    <w:p w14:paraId="00F6A984">
      <w:pPr>
        <w:ind w:firstLine="0" w:firstLineChars="0"/>
        <w:jc w:val="center"/>
        <w:rPr>
          <w:b/>
          <w:sz w:val="28"/>
        </w:rPr>
      </w:pPr>
      <w:r>
        <w:rPr>
          <w:rFonts w:hint="eastAsia"/>
          <w:b/>
          <w:sz w:val="28"/>
        </w:rPr>
        <w:t>第六章　附　则</w:t>
      </w:r>
    </w:p>
    <w:p w14:paraId="527225F7"/>
    <w:p w14:paraId="6EF364E7">
      <w:pPr>
        <w:ind w:firstLine="422"/>
      </w:pPr>
      <w:r>
        <w:rPr>
          <w:rFonts w:hint="eastAsia"/>
          <w:b/>
        </w:rPr>
        <w:t>第四十条</w:t>
      </w:r>
      <w:r>
        <w:rPr>
          <w:rFonts w:hint="eastAsia"/>
        </w:rPr>
        <w:t>　本办法具体应用中的问题，由市水行政主管部门负责解释。</w:t>
      </w:r>
    </w:p>
    <w:p w14:paraId="08D848CA">
      <w:pPr>
        <w:ind w:firstLine="422"/>
      </w:pPr>
      <w:r>
        <w:rPr>
          <w:rFonts w:hint="eastAsia"/>
          <w:b/>
        </w:rPr>
        <w:t>第四十一条</w:t>
      </w:r>
      <w:r>
        <w:rPr>
          <w:rFonts w:hint="eastAsia"/>
        </w:rPr>
        <w:t>　本办法</w:t>
      </w:r>
      <w:r>
        <w:rPr>
          <w:rFonts w:hint="eastAsia" w:ascii="宋体" w:hAnsi="宋体" w:eastAsia="宋体" w:cs="宋体"/>
        </w:rPr>
        <w:t>自1992年10月1日起施行。</w:t>
      </w:r>
    </w:p>
    <w:p w14:paraId="141ABF19">
      <w:pPr>
        <w:pStyle w:val="4"/>
        <w:pageBreakBefore/>
      </w:pPr>
      <w:bookmarkStart w:id="2590" w:name="_Toc428781908"/>
      <w:bookmarkStart w:id="2591" w:name="_Toc426467160"/>
      <w:bookmarkStart w:id="2592" w:name="_Toc428780780"/>
      <w:r>
        <w:rPr>
          <w:rFonts w:hint="eastAsia"/>
        </w:rPr>
        <w:t>北京市实施《中华人民共和国水法》办法</w:t>
      </w:r>
      <w:bookmarkEnd w:id="2590"/>
      <w:bookmarkEnd w:id="2591"/>
      <w:bookmarkEnd w:id="2592"/>
    </w:p>
    <w:p w14:paraId="14666BCB">
      <w:pPr>
        <w:ind w:left="630" w:leftChars="300" w:right="630" w:rightChars="300"/>
        <w:rPr>
          <w:rFonts w:ascii="楷体" w:hAnsi="楷体" w:eastAsia="楷体"/>
        </w:rPr>
      </w:pPr>
      <w:r>
        <w:rPr>
          <w:rFonts w:hint="eastAsia" w:ascii="楷体" w:hAnsi="楷体" w:eastAsia="楷体"/>
        </w:rPr>
        <w:t>（2004年5月27日北京市第十二届人民代表大会常务委员会第十二次会议通过）</w:t>
      </w:r>
    </w:p>
    <w:p w14:paraId="02D273BC"/>
    <w:p w14:paraId="520E87C7">
      <w:pPr>
        <w:ind w:firstLine="0" w:firstLineChars="0"/>
        <w:jc w:val="center"/>
        <w:rPr>
          <w:b/>
          <w:sz w:val="28"/>
        </w:rPr>
      </w:pPr>
      <w:r>
        <w:rPr>
          <w:rFonts w:hint="eastAsia"/>
          <w:b/>
          <w:sz w:val="28"/>
        </w:rPr>
        <w:t>第一章　总　则</w:t>
      </w:r>
    </w:p>
    <w:p w14:paraId="3FF76FF8"/>
    <w:p w14:paraId="642887AB">
      <w:pPr>
        <w:ind w:firstLine="422"/>
      </w:pPr>
      <w:r>
        <w:rPr>
          <w:rFonts w:hint="eastAsia"/>
          <w:b/>
        </w:rPr>
        <w:t>第一条</w:t>
      </w:r>
      <w:r>
        <w:rPr>
          <w:rFonts w:hint="eastAsia"/>
        </w:rPr>
        <w:t xml:space="preserve">  为了实施《中华人民共和国水法》（以下简称《水法》），结合本市实际情况，制定本办法。</w:t>
      </w:r>
    </w:p>
    <w:p w14:paraId="6F1B55DB">
      <w:pPr>
        <w:ind w:firstLine="422"/>
      </w:pPr>
      <w:r>
        <w:rPr>
          <w:rFonts w:hint="eastAsia"/>
          <w:b/>
        </w:rPr>
        <w:t>第二条</w:t>
      </w:r>
      <w:r>
        <w:rPr>
          <w:rFonts w:hint="eastAsia"/>
        </w:rPr>
        <w:t xml:space="preserve">  在本市行政区域内开发、利用、节约、保护、管理水资源，应当遵守《水法》和本办法。</w:t>
      </w:r>
    </w:p>
    <w:p w14:paraId="2CE8E098">
      <w:pPr>
        <w:ind w:firstLine="422"/>
      </w:pPr>
      <w:r>
        <w:rPr>
          <w:rFonts w:hint="eastAsia"/>
          <w:b/>
        </w:rPr>
        <w:t>第三条</w:t>
      </w:r>
      <w:r>
        <w:rPr>
          <w:rFonts w:hint="eastAsia"/>
        </w:rPr>
        <w:t xml:space="preserve">  根据节约水资源、促进首都发展的要求，城市总体规划、国民经济和社会发展计划应当与水资源条件相适应，实现经济、社会、人口、资源、环境的协调、可持续发展。</w:t>
      </w:r>
    </w:p>
    <w:p w14:paraId="47D08110">
      <w:pPr>
        <w:ind w:firstLine="422"/>
      </w:pPr>
      <w:r>
        <w:rPr>
          <w:rFonts w:hint="eastAsia"/>
          <w:b/>
        </w:rPr>
        <w:t>第四条</w:t>
      </w:r>
      <w:r>
        <w:rPr>
          <w:rFonts w:hint="eastAsia"/>
        </w:rPr>
        <w:t xml:space="preserve">  本市严格保护水资源，实行城乡全面规划、统一管理，地表水、地下水和再生水统一调度，优化水资源配置；坚持开源、节流、保护并重，厉行节约用水，建设节水型社会。</w:t>
      </w:r>
    </w:p>
    <w:p w14:paraId="498FD851">
      <w:pPr>
        <w:ind w:firstLine="422"/>
      </w:pPr>
      <w:r>
        <w:rPr>
          <w:rFonts w:hint="eastAsia"/>
          <w:b/>
        </w:rPr>
        <w:t>第五条</w:t>
      </w:r>
      <w:r>
        <w:rPr>
          <w:rFonts w:hint="eastAsia"/>
        </w:rPr>
        <w:t xml:space="preserve">  各级人民政府应当将水资源开发、利用、节约、保护和管理工作纳入国民经济和社会发展计划，增加资金投入，建立长期稳定的投入机制。</w:t>
      </w:r>
    </w:p>
    <w:p w14:paraId="7875D5E6">
      <w:pPr>
        <w:ind w:firstLine="422"/>
      </w:pPr>
      <w:r>
        <w:rPr>
          <w:rFonts w:hint="eastAsia"/>
          <w:b/>
        </w:rPr>
        <w:t>第六条</w:t>
      </w:r>
      <w:r>
        <w:rPr>
          <w:rFonts w:hint="eastAsia"/>
        </w:rPr>
        <w:t xml:space="preserve">  市人民政府水行政主管部门（以下简称市水行政主管部门）负责本市行政区域内水资源的统一管理和监督工作。</w:t>
      </w:r>
    </w:p>
    <w:p w14:paraId="1D0E6E58">
      <w:r>
        <w:rPr>
          <w:rFonts w:hint="eastAsia"/>
        </w:rPr>
        <w:t>区、县人民政府水行政主管部门（以下简称区、县水行政主管部门）按照规定的权限负责本行政区域内水资源的统一管理和监督工作。</w:t>
      </w:r>
    </w:p>
    <w:p w14:paraId="22B16908">
      <w:r>
        <w:rPr>
          <w:rFonts w:hint="eastAsia"/>
        </w:rPr>
        <w:t>市和区、县人民政府有关部门按照职责分工，负责本行政区域内水资源开发、利用、节约和保护的有关工作。</w:t>
      </w:r>
    </w:p>
    <w:p w14:paraId="4E19E117">
      <w:pPr>
        <w:ind w:firstLine="422"/>
      </w:pPr>
      <w:r>
        <w:rPr>
          <w:rFonts w:hint="eastAsia"/>
          <w:b/>
        </w:rPr>
        <w:t>第七条</w:t>
      </w:r>
      <w:r>
        <w:rPr>
          <w:rFonts w:hint="eastAsia"/>
        </w:rPr>
        <w:t xml:space="preserve">  充分发挥市场对水资源配置和水价形成的基础性作用，促进节约用水，提高水资源利用效率。</w:t>
      </w:r>
    </w:p>
    <w:p w14:paraId="61525BC2">
      <w:pPr>
        <w:ind w:firstLine="422"/>
      </w:pPr>
      <w:r>
        <w:rPr>
          <w:rFonts w:hint="eastAsia"/>
          <w:b/>
        </w:rPr>
        <w:t>第八条</w:t>
      </w:r>
      <w:r>
        <w:rPr>
          <w:rFonts w:hint="eastAsia"/>
        </w:rPr>
        <w:t xml:space="preserve">  鼓励和支持开发、利用、节约、保护、管理水资源的先进科学技术的研究、推广和应用。</w:t>
      </w:r>
    </w:p>
    <w:p w14:paraId="36482B8E">
      <w:r>
        <w:rPr>
          <w:rFonts w:hint="eastAsia"/>
        </w:rPr>
        <w:t>在开发、利用、节约、保护、管理水资源等方面成绩显著的单位和个人，由市和区、县人民政府给予奖励。</w:t>
      </w:r>
    </w:p>
    <w:p w14:paraId="1BE0F6AF"/>
    <w:p w14:paraId="4C630D8B">
      <w:pPr>
        <w:ind w:firstLine="0" w:firstLineChars="0"/>
        <w:jc w:val="center"/>
        <w:rPr>
          <w:b/>
          <w:sz w:val="28"/>
        </w:rPr>
      </w:pPr>
      <w:r>
        <w:rPr>
          <w:rFonts w:hint="eastAsia"/>
          <w:b/>
          <w:sz w:val="28"/>
        </w:rPr>
        <w:t>第二章  水资源规划</w:t>
      </w:r>
    </w:p>
    <w:p w14:paraId="6AA7292E"/>
    <w:p w14:paraId="34CB9EF3">
      <w:pPr>
        <w:ind w:firstLine="422"/>
      </w:pPr>
      <w:r>
        <w:rPr>
          <w:rFonts w:hint="eastAsia"/>
          <w:b/>
        </w:rPr>
        <w:t>第九条</w:t>
      </w:r>
      <w:r>
        <w:rPr>
          <w:rFonts w:hint="eastAsia"/>
        </w:rPr>
        <w:t xml:space="preserve">  市水行政主管部门应当会同有关部门和区、县人民政府依据国家的流域综合规划编制本市区域综合规划，报市人民政府或者其授权的部门批准，并报国务院水行政主管部门备案。</w:t>
      </w:r>
    </w:p>
    <w:p w14:paraId="0609DC3E">
      <w:r>
        <w:rPr>
          <w:rFonts w:hint="eastAsia"/>
        </w:rPr>
        <w:t>区、县的区域综合规划，由各区、县水行政主管部门会同有关部门依据本市区域综合规划编制，报同级人民政府或者其授权的部门批准，并报市水行政主管部门备案。</w:t>
      </w:r>
    </w:p>
    <w:p w14:paraId="4FF2B965">
      <w:r>
        <w:rPr>
          <w:rFonts w:hint="eastAsia"/>
        </w:rPr>
        <w:t>市水行政主管部门对备案的区、县区域综合规划进行审查，不符合全市区域综合规划的，报市人民政府纠正。</w:t>
      </w:r>
    </w:p>
    <w:p w14:paraId="6EAD2922">
      <w:pPr>
        <w:ind w:firstLine="422"/>
      </w:pPr>
      <w:r>
        <w:rPr>
          <w:rFonts w:hint="eastAsia"/>
          <w:b/>
        </w:rPr>
        <w:t>第十条</w:t>
      </w:r>
      <w:r>
        <w:rPr>
          <w:rFonts w:hint="eastAsia"/>
        </w:rPr>
        <w:t xml:space="preserve">  水资源保护、供水、排水、节约用水、污水处理、再生水利用、雨水利用、灌溉等专业规划由市和区、县水行政主管部门编制，征求有关部门意见后，报同级人民政府批准。</w:t>
      </w:r>
    </w:p>
    <w:p w14:paraId="4EF7E3D7">
      <w:r>
        <w:rPr>
          <w:rFonts w:hint="eastAsia"/>
        </w:rPr>
        <w:t>渔业、防沙治沙等其他专业规划由有关主管部门编制，征求水行政主管部门和其他相关部门意见后，报同级人民政府批准。</w:t>
      </w:r>
    </w:p>
    <w:p w14:paraId="3934A1B1">
      <w:pPr>
        <w:ind w:firstLine="422"/>
      </w:pPr>
      <w:r>
        <w:rPr>
          <w:rFonts w:hint="eastAsia"/>
          <w:b/>
        </w:rPr>
        <w:t>第十一条</w:t>
      </w:r>
      <w:r>
        <w:rPr>
          <w:rFonts w:hint="eastAsia"/>
        </w:rPr>
        <w:t xml:space="preserve">  经批准的规划应当向社会公开。</w:t>
      </w:r>
    </w:p>
    <w:p w14:paraId="3E125F8C">
      <w:r>
        <w:rPr>
          <w:rFonts w:hint="eastAsia"/>
        </w:rPr>
        <w:t>水资源开发、利用、节约、保护以及城镇建设、经济开发区建设和其他重大建设项目的开发建设，必须符合流域综合规划和区域综合规划。</w:t>
      </w:r>
    </w:p>
    <w:p w14:paraId="4225D9E9">
      <w:pPr>
        <w:ind w:firstLine="422"/>
      </w:pPr>
      <w:r>
        <w:rPr>
          <w:rFonts w:hint="eastAsia"/>
          <w:b/>
        </w:rPr>
        <w:t>第十二条</w:t>
      </w:r>
      <w:r>
        <w:rPr>
          <w:rFonts w:hint="eastAsia"/>
        </w:rPr>
        <w:t xml:space="preserve">  建设水工程，必须符合流域综合规划。</w:t>
      </w:r>
    </w:p>
    <w:p w14:paraId="4434FFD0">
      <w:r>
        <w:rPr>
          <w:rFonts w:hint="eastAsia"/>
        </w:rPr>
        <w:t>在永定河、潮白河、北运河（含温榆河）和拒马河等跨省、市河流上建设水工程的，工程可行性研究报告报请批准前，应当经市水行政主管部门审核，报海河流域管理机构审查并签署意见，海河流域管理机构另有规定的除外；在跨区、县的河流上建设水工程的，工程可行性研究报告报请批准前，应当报市水行政主管部门审查并签署意见；在其他河流上建设水工程的，工程可行性研究报告报请批准前，应当报区、县水行政主管部门审查并签署意见。</w:t>
      </w:r>
    </w:p>
    <w:p w14:paraId="5ABC96ED"/>
    <w:p w14:paraId="42CFDCA3">
      <w:pPr>
        <w:ind w:firstLine="0" w:firstLineChars="0"/>
        <w:jc w:val="center"/>
        <w:rPr>
          <w:b/>
          <w:sz w:val="28"/>
        </w:rPr>
      </w:pPr>
      <w:r>
        <w:rPr>
          <w:rFonts w:hint="eastAsia"/>
          <w:b/>
          <w:sz w:val="28"/>
        </w:rPr>
        <w:t>第三章  水资源开发利用</w:t>
      </w:r>
    </w:p>
    <w:p w14:paraId="390E6FDF"/>
    <w:p w14:paraId="10B45A6D">
      <w:pPr>
        <w:ind w:firstLine="422"/>
      </w:pPr>
      <w:r>
        <w:rPr>
          <w:rFonts w:hint="eastAsia"/>
          <w:b/>
        </w:rPr>
        <w:t>第十三条</w:t>
      </w:r>
      <w:r>
        <w:rPr>
          <w:rFonts w:hint="eastAsia"/>
        </w:rPr>
        <w:t xml:space="preserve">  本市应当合理开发、利用地表水和地下水，充分利用雨水和再生水，优先保障城乡居民生活用水，统筹兼顾生态环境、工业、农业用水。</w:t>
      </w:r>
    </w:p>
    <w:p w14:paraId="7000066E">
      <w:pPr>
        <w:ind w:firstLine="422"/>
      </w:pPr>
      <w:r>
        <w:rPr>
          <w:rFonts w:hint="eastAsia"/>
          <w:b/>
        </w:rPr>
        <w:t>第十四条</w:t>
      </w:r>
      <w:r>
        <w:rPr>
          <w:rFonts w:hint="eastAsia"/>
        </w:rPr>
        <w:t xml:space="preserve">  市和区、县人民政府应当采取有效措施，对建设耗水量大的工业、农业和服务业项目加以限制。限制的项目名录由市人民政府公布。</w:t>
      </w:r>
    </w:p>
    <w:p w14:paraId="5E54F997">
      <w:pPr>
        <w:ind w:firstLine="422"/>
      </w:pPr>
      <w:r>
        <w:rPr>
          <w:rFonts w:hint="eastAsia"/>
          <w:b/>
        </w:rPr>
        <w:t>第十五条</w:t>
      </w:r>
      <w:r>
        <w:rPr>
          <w:rFonts w:hint="eastAsia"/>
        </w:rPr>
        <w:t xml:space="preserve">  严格控制开采地下水。</w:t>
      </w:r>
    </w:p>
    <w:p w14:paraId="348B9393">
      <w:r>
        <w:rPr>
          <w:rFonts w:hint="eastAsia"/>
        </w:rPr>
        <w:t>地下水开发、利用应当遵循总量控制、分层取水、采补平衡的原则，防止超量开采造成地面沉降、塌陷等地质环境灾害。</w:t>
      </w:r>
    </w:p>
    <w:p w14:paraId="643B04DE">
      <w:pPr>
        <w:ind w:firstLine="422"/>
      </w:pPr>
      <w:r>
        <w:rPr>
          <w:rFonts w:hint="eastAsia"/>
          <w:b/>
        </w:rPr>
        <w:t>第十六条</w:t>
      </w:r>
      <w:r>
        <w:rPr>
          <w:rFonts w:hint="eastAsia"/>
        </w:rPr>
        <w:t xml:space="preserve">  市水行政主管部门应当会同有关部门按照区域或者自然地质单元，定期进行地下水分区评价，划分严重超采区、超采区和未超采区，报市人民政府批准后公布。</w:t>
      </w:r>
    </w:p>
    <w:p w14:paraId="798C69E3">
      <w:pPr>
        <w:ind w:firstLine="422"/>
      </w:pPr>
      <w:r>
        <w:rPr>
          <w:rFonts w:hint="eastAsia"/>
          <w:b/>
        </w:rPr>
        <w:t>第十七条</w:t>
      </w:r>
      <w:r>
        <w:rPr>
          <w:rFonts w:hint="eastAsia"/>
        </w:rPr>
        <w:t xml:space="preserve">  开凿机井应当经水行政主管部门批准。</w:t>
      </w:r>
    </w:p>
    <w:p w14:paraId="0DBE4F5D">
      <w:r>
        <w:rPr>
          <w:rFonts w:hint="eastAsia"/>
        </w:rPr>
        <w:t>凿井工程竣工后，机井使用单位应当将凿井工程的有关技术资料报水行政主管部门备案。</w:t>
      </w:r>
    </w:p>
    <w:p w14:paraId="184059E5">
      <w:pPr>
        <w:ind w:firstLine="422"/>
      </w:pPr>
      <w:r>
        <w:rPr>
          <w:rFonts w:hint="eastAsia"/>
          <w:b/>
        </w:rPr>
        <w:t>第十八条</w:t>
      </w:r>
      <w:r>
        <w:rPr>
          <w:rFonts w:hint="eastAsia"/>
        </w:rPr>
        <w:t xml:space="preserve">  下列地区禁止开凿机井：</w:t>
      </w:r>
    </w:p>
    <w:p w14:paraId="7FAE9873">
      <w:r>
        <w:rPr>
          <w:rFonts w:hint="eastAsia"/>
        </w:rPr>
        <w:t>（一）地下水严重超采区；</w:t>
      </w:r>
    </w:p>
    <w:p w14:paraId="451F2FBF">
      <w:r>
        <w:rPr>
          <w:rFonts w:hint="eastAsia"/>
        </w:rPr>
        <w:t>（二）集中供水管网覆盖范围地区。</w:t>
      </w:r>
    </w:p>
    <w:p w14:paraId="7AA9CDFB">
      <w:pPr>
        <w:ind w:firstLine="422"/>
      </w:pPr>
      <w:r>
        <w:rPr>
          <w:rFonts w:hint="eastAsia"/>
          <w:b/>
        </w:rPr>
        <w:t>第十九条</w:t>
      </w:r>
      <w:r>
        <w:rPr>
          <w:rFonts w:hint="eastAsia"/>
        </w:rPr>
        <w:t xml:space="preserve">  下列地区严格限制开凿机井：</w:t>
      </w:r>
    </w:p>
    <w:p w14:paraId="3D3F1DA5">
      <w:r>
        <w:rPr>
          <w:rFonts w:hint="eastAsia"/>
        </w:rPr>
        <w:t>（一）地下水超采区；</w:t>
      </w:r>
    </w:p>
    <w:p w14:paraId="5913DC68">
      <w:r>
        <w:rPr>
          <w:rFonts w:hint="eastAsia"/>
        </w:rPr>
        <w:t>（二）水厂核心区以外的水源保护区；</w:t>
      </w:r>
    </w:p>
    <w:p w14:paraId="74339144">
      <w:r>
        <w:rPr>
          <w:rFonts w:hint="eastAsia"/>
        </w:rPr>
        <w:t>（三）水工程保护区；</w:t>
      </w:r>
    </w:p>
    <w:p w14:paraId="404CB0A4">
      <w:r>
        <w:rPr>
          <w:rFonts w:hint="eastAsia"/>
        </w:rPr>
        <w:t>（四）风景旅游区、文物保护区。</w:t>
      </w:r>
    </w:p>
    <w:p w14:paraId="533C587C">
      <w:pPr>
        <w:ind w:firstLine="422"/>
      </w:pPr>
      <w:r>
        <w:rPr>
          <w:rFonts w:hint="eastAsia"/>
          <w:b/>
        </w:rPr>
        <w:t>第二十条</w:t>
      </w:r>
      <w:r>
        <w:rPr>
          <w:rFonts w:hint="eastAsia"/>
        </w:rPr>
        <w:t xml:space="preserve">  严格限制开采基岩水。确需开采基岩水的，应当经市水行政主管部门批准，并实行限量开采。</w:t>
      </w:r>
    </w:p>
    <w:p w14:paraId="13B7482C">
      <w:pPr>
        <w:ind w:firstLine="422"/>
      </w:pPr>
      <w:r>
        <w:rPr>
          <w:rFonts w:hint="eastAsia"/>
          <w:b/>
        </w:rPr>
        <w:t>第二十一条</w:t>
      </w:r>
      <w:r>
        <w:rPr>
          <w:rFonts w:hint="eastAsia"/>
        </w:rPr>
        <w:t xml:space="preserve">  开采矿泉水、地热水实行特许经营。矿泉水、地热水的开采应当依照法律、法规规定，实行限量开采。</w:t>
      </w:r>
    </w:p>
    <w:p w14:paraId="0CB44340">
      <w:pPr>
        <w:ind w:firstLine="422"/>
      </w:pPr>
      <w:r>
        <w:rPr>
          <w:rFonts w:hint="eastAsia"/>
          <w:b/>
        </w:rPr>
        <w:t>第二十二条</w:t>
      </w:r>
      <w:r>
        <w:rPr>
          <w:rFonts w:hint="eastAsia"/>
        </w:rPr>
        <w:t xml:space="preserve">  鼓励、支持单位和个人因地制宜，采取雨水收集、入渗、储存等措施开发、利用雨水资源。</w:t>
      </w:r>
    </w:p>
    <w:p w14:paraId="0B13DE6D">
      <w:r>
        <w:rPr>
          <w:rFonts w:hint="eastAsia"/>
        </w:rPr>
        <w:t>新建、改建、扩建建设项目，应当符合雨水收集利用设施的设计标准和规范。</w:t>
      </w:r>
    </w:p>
    <w:p w14:paraId="0E67FB72">
      <w:pPr>
        <w:ind w:firstLine="422"/>
      </w:pPr>
      <w:r>
        <w:rPr>
          <w:rFonts w:hint="eastAsia"/>
          <w:b/>
        </w:rPr>
        <w:t>第二十三条</w:t>
      </w:r>
      <w:r>
        <w:rPr>
          <w:rFonts w:hint="eastAsia"/>
        </w:rPr>
        <w:t xml:space="preserve">  规划市区，卫星城和郊区区、县人民政府所在地的城镇地区应当规划建设污水集中处理设施和再生水输配水管线。</w:t>
      </w:r>
    </w:p>
    <w:p w14:paraId="73DA2403">
      <w:r>
        <w:rPr>
          <w:rFonts w:hint="eastAsia"/>
        </w:rPr>
        <w:t>再生水输配水管线覆盖范围外的地区新建、改建、扩建的建设项目，可回收水量较大的，应当建设再生水利用设施，与建设工程同时设计、同时施工、同时投入使用。具体办法由市人民政府制定。</w:t>
      </w:r>
    </w:p>
    <w:p w14:paraId="677AE3D2">
      <w:pPr>
        <w:ind w:firstLine="422"/>
      </w:pPr>
      <w:r>
        <w:rPr>
          <w:rFonts w:hint="eastAsia"/>
          <w:b/>
        </w:rPr>
        <w:t>第二十四条</w:t>
      </w:r>
      <w:r>
        <w:rPr>
          <w:rFonts w:hint="eastAsia"/>
        </w:rPr>
        <w:t xml:space="preserve">  鼓励投资建设污水集中处理设施、再生水输配水管线和再生水利用设施。</w:t>
      </w:r>
    </w:p>
    <w:p w14:paraId="116134A6">
      <w:r>
        <w:rPr>
          <w:rFonts w:hint="eastAsia"/>
        </w:rPr>
        <w:t>单位和个人投资建设污水集中处理设施、再生水输配水管线和再生水利用设施的，享受有关优惠政策。</w:t>
      </w:r>
    </w:p>
    <w:p w14:paraId="45328B4E">
      <w:pPr>
        <w:ind w:firstLine="422"/>
      </w:pPr>
      <w:r>
        <w:rPr>
          <w:rFonts w:hint="eastAsia"/>
          <w:b/>
        </w:rPr>
        <w:t>第二十五条</w:t>
      </w:r>
      <w:r>
        <w:rPr>
          <w:rFonts w:hint="eastAsia"/>
        </w:rPr>
        <w:t xml:space="preserve">  本办法第二十三条第二款规定应当建设再生水利用设施的，使用单位应当加强维护管理、正常使用。发生故障的，应当及时组织排除故障；确需停止使用的，应当及时报告水行政主管部门。</w:t>
      </w:r>
    </w:p>
    <w:p w14:paraId="042DF263">
      <w:pPr>
        <w:ind w:firstLine="422"/>
      </w:pPr>
      <w:r>
        <w:rPr>
          <w:rFonts w:hint="eastAsia"/>
          <w:b/>
        </w:rPr>
        <w:t>第二十六条</w:t>
      </w:r>
      <w:r>
        <w:rPr>
          <w:rFonts w:hint="eastAsia"/>
        </w:rPr>
        <w:t xml:space="preserve">  鼓励使用再生水；使用再生水的，享受优惠价格。</w:t>
      </w:r>
    </w:p>
    <w:p w14:paraId="4E12ED75">
      <w:pPr>
        <w:ind w:firstLine="422"/>
      </w:pPr>
      <w:r>
        <w:rPr>
          <w:rFonts w:hint="eastAsia"/>
          <w:b/>
        </w:rPr>
        <w:t>第二十七条</w:t>
      </w:r>
      <w:r>
        <w:rPr>
          <w:rFonts w:hint="eastAsia"/>
        </w:rPr>
        <w:t xml:space="preserve">  本市加强人工影响天气的科学研究和技术应用工作，运用科学技术措施对局部大气进行人工影响，增加水资源量。</w:t>
      </w:r>
    </w:p>
    <w:p w14:paraId="0DF13C7F"/>
    <w:p w14:paraId="226C5E8B">
      <w:pPr>
        <w:ind w:firstLine="0" w:firstLineChars="0"/>
        <w:jc w:val="center"/>
        <w:rPr>
          <w:b/>
          <w:sz w:val="28"/>
        </w:rPr>
      </w:pPr>
      <w:r>
        <w:rPr>
          <w:rFonts w:hint="eastAsia"/>
          <w:b/>
          <w:sz w:val="28"/>
        </w:rPr>
        <w:t>第四章  水资源和水域的保护</w:t>
      </w:r>
    </w:p>
    <w:p w14:paraId="42D9902D"/>
    <w:p w14:paraId="6CA546B0">
      <w:pPr>
        <w:ind w:firstLine="422"/>
      </w:pPr>
      <w:r>
        <w:rPr>
          <w:rFonts w:hint="eastAsia"/>
          <w:b/>
        </w:rPr>
        <w:t>第二十八条</w:t>
      </w:r>
      <w:r>
        <w:rPr>
          <w:rFonts w:hint="eastAsia"/>
        </w:rPr>
        <w:t xml:space="preserve">  各级人民政府应当采取有效措施，保护植被和湿地，建设生态公益林，防治水土流失和水体污染，涵养和保护水资源。</w:t>
      </w:r>
    </w:p>
    <w:p w14:paraId="4C4BB5B5">
      <w:pPr>
        <w:ind w:firstLine="422"/>
      </w:pPr>
      <w:r>
        <w:rPr>
          <w:rFonts w:hint="eastAsia"/>
          <w:b/>
        </w:rPr>
        <w:t>第二十九条</w:t>
      </w:r>
      <w:r>
        <w:rPr>
          <w:rFonts w:hint="eastAsia"/>
        </w:rPr>
        <w:t xml:space="preserve">  河流、湖泊、水库、渠道的水体实行分类管理。</w:t>
      </w:r>
    </w:p>
    <w:p w14:paraId="2EF5AC8A">
      <w:r>
        <w:rPr>
          <w:rFonts w:hint="eastAsia"/>
        </w:rPr>
        <w:t>跨省、市的河流、湖泊、水库、渠道的水功能区划，按照国家规定执行。市管水库和跨区、县的河流、湖泊、水库、渠道的水功能区划，由市水行政主管部门会同市环境保护行政主管部门、其他有关部门和有关区、县人民政府编制，报市人民政府批准，并报国务院水行政主管部门和环境保护行政主管部门备案。</w:t>
      </w:r>
    </w:p>
    <w:p w14:paraId="736ABAC2">
      <w:r>
        <w:rPr>
          <w:rFonts w:hint="eastAsia"/>
        </w:rPr>
        <w:t>前款规定以外的其他河流、湖泊、水库、渠道的水功能区划，由区、县水行政主管部门会同同级环境保护行政主管部门和其他有关部门拟定，报区、县人民政府批准，并报市水行政主管部门和市环境保护行政主管部门备案。</w:t>
      </w:r>
    </w:p>
    <w:p w14:paraId="3849ADE6">
      <w:pPr>
        <w:ind w:firstLine="422"/>
      </w:pPr>
      <w:r>
        <w:rPr>
          <w:rFonts w:hint="eastAsia"/>
          <w:b/>
        </w:rPr>
        <w:t>第三十条</w:t>
      </w:r>
      <w:r>
        <w:rPr>
          <w:rFonts w:hint="eastAsia"/>
        </w:rPr>
        <w:t xml:space="preserve">  各级人民政府应当按照有关法律、法规的规定，采取有效措施，加强对密云水库、怀柔水库、官厅水库及其上游、京密引水渠和其他饮用水水源地的保护管理，保证饮用水安全。</w:t>
      </w:r>
    </w:p>
    <w:p w14:paraId="34CF32F3">
      <w:pPr>
        <w:ind w:firstLine="422"/>
      </w:pPr>
      <w:r>
        <w:rPr>
          <w:rFonts w:hint="eastAsia"/>
          <w:b/>
        </w:rPr>
        <w:t>第三十一条</w:t>
      </w:r>
      <w:r>
        <w:rPr>
          <w:rFonts w:hint="eastAsia"/>
        </w:rPr>
        <w:t xml:space="preserve">  禁止在饮用水水源保护区内设置排污口。</w:t>
      </w:r>
    </w:p>
    <w:p w14:paraId="01CC2B69">
      <w:r>
        <w:rPr>
          <w:rFonts w:hint="eastAsia"/>
        </w:rPr>
        <w:t>向本市确定的风景观赏功能河道、排水功能河道排水的，水质必须达到国家规定的排放标准。</w:t>
      </w:r>
    </w:p>
    <w:p w14:paraId="156B3439">
      <w:pPr>
        <w:ind w:firstLine="422"/>
      </w:pPr>
      <w:r>
        <w:rPr>
          <w:rFonts w:hint="eastAsia"/>
          <w:b/>
        </w:rPr>
        <w:t>第三十二条</w:t>
      </w:r>
      <w:r>
        <w:rPr>
          <w:rFonts w:hint="eastAsia"/>
        </w:rPr>
        <w:t xml:space="preserve">  水行政主管部门应当按照水功能区对水质的要求和水体的自然净化能力，核定水域的纳污能力，向同级环境保护行政主管部门提出该水域的限制排污总量意见。</w:t>
      </w:r>
    </w:p>
    <w:p w14:paraId="333BE14C">
      <w:pPr>
        <w:ind w:firstLine="422"/>
      </w:pPr>
      <w:r>
        <w:rPr>
          <w:rFonts w:hint="eastAsia"/>
          <w:b/>
        </w:rPr>
        <w:t>第三十三条</w:t>
      </w:r>
      <w:r>
        <w:rPr>
          <w:rFonts w:hint="eastAsia"/>
        </w:rPr>
        <w:t xml:space="preserve">  水行政主管部门应当做好河流、湖泊、水库、渠道的水量水质监测，发现重点污染物排放总量超过控制指标或者水功能区水质未达到水域使用功能对水质的要求的，应当及时报请有关人民政府采取治理措施，并向同级环境保护行政主管部门通报。</w:t>
      </w:r>
    </w:p>
    <w:p w14:paraId="338E4B05">
      <w:r>
        <w:rPr>
          <w:rFonts w:hint="eastAsia"/>
        </w:rPr>
        <w:t>水量水质监测结果应当按照有关规定向社会公开。</w:t>
      </w:r>
    </w:p>
    <w:p w14:paraId="0AE5DA55">
      <w:pPr>
        <w:ind w:firstLine="422"/>
      </w:pPr>
      <w:r>
        <w:rPr>
          <w:rFonts w:hint="eastAsia"/>
          <w:b/>
        </w:rPr>
        <w:t>第三十四条</w:t>
      </w:r>
      <w:r>
        <w:rPr>
          <w:rFonts w:hint="eastAsia"/>
        </w:rPr>
        <w:t xml:space="preserve">  各级人民政府应当按照北京城市总体规划，建设市政基础设施，完善排水设施和污水处理设施，实现雨水、污水分流。</w:t>
      </w:r>
    </w:p>
    <w:p w14:paraId="65EDCEF2">
      <w:pPr>
        <w:ind w:firstLine="422"/>
      </w:pPr>
      <w:r>
        <w:rPr>
          <w:rFonts w:hint="eastAsia"/>
          <w:b/>
        </w:rPr>
        <w:t>第三十五条</w:t>
      </w:r>
      <w:r>
        <w:rPr>
          <w:rFonts w:hint="eastAsia"/>
        </w:rPr>
        <w:t xml:space="preserve">  在河流、湖泊新建、改建或者扩大排污口的，应当经有管理权限的水行政主管部门或者其授权的水工程管理机构审查同意，由环境保护行政主管部门负责对建设项目的环境影响报告书进行审批。</w:t>
      </w:r>
    </w:p>
    <w:p w14:paraId="356BE54B">
      <w:r>
        <w:rPr>
          <w:rFonts w:hint="eastAsia"/>
        </w:rPr>
        <w:t>已经实现截污的原有入河排污口，排污单位应当在规定的期限内封堵。</w:t>
      </w:r>
    </w:p>
    <w:p w14:paraId="69802CE0"/>
    <w:p w14:paraId="67CF6F20">
      <w:pPr>
        <w:ind w:firstLine="0" w:firstLineChars="0"/>
        <w:jc w:val="center"/>
        <w:rPr>
          <w:b/>
          <w:sz w:val="28"/>
        </w:rPr>
      </w:pPr>
      <w:r>
        <w:rPr>
          <w:rFonts w:hint="eastAsia"/>
          <w:b/>
          <w:sz w:val="28"/>
        </w:rPr>
        <w:t>第五章  水资源配置</w:t>
      </w:r>
    </w:p>
    <w:p w14:paraId="2D908758"/>
    <w:p w14:paraId="35229C75">
      <w:pPr>
        <w:ind w:firstLine="422"/>
      </w:pPr>
      <w:r>
        <w:rPr>
          <w:rFonts w:hint="eastAsia"/>
          <w:b/>
        </w:rPr>
        <w:t>第三十六条</w:t>
      </w:r>
      <w:r>
        <w:rPr>
          <w:rFonts w:hint="eastAsia"/>
        </w:rPr>
        <w:t xml:space="preserve">  市发展与改革行政主管部门和市水行政主管部门负责全市水资源的宏观调配。</w:t>
      </w:r>
    </w:p>
    <w:p w14:paraId="2BF15B80">
      <w:r>
        <w:rPr>
          <w:rFonts w:hint="eastAsia"/>
        </w:rPr>
        <w:t>市和区、县的水中长期供求规划由水行政主管部门依照《水法》的规定制订。</w:t>
      </w:r>
    </w:p>
    <w:p w14:paraId="7BCB6E0D">
      <w:pPr>
        <w:ind w:firstLine="422"/>
      </w:pPr>
      <w:r>
        <w:rPr>
          <w:rFonts w:hint="eastAsia"/>
          <w:b/>
        </w:rPr>
        <w:t>第三十七条</w:t>
      </w:r>
      <w:r>
        <w:rPr>
          <w:rFonts w:hint="eastAsia"/>
        </w:rPr>
        <w:t xml:space="preserve">  水行政主管部门制订本行政区域的年度水量分配方案、调度计划以及水资源紧缺情况下的水量调度预案，报同级人民政府批准后执行。</w:t>
      </w:r>
    </w:p>
    <w:p w14:paraId="7CEEEECE">
      <w:pPr>
        <w:ind w:firstLine="422"/>
      </w:pPr>
      <w:r>
        <w:rPr>
          <w:rFonts w:hint="eastAsia"/>
          <w:b/>
        </w:rPr>
        <w:t>第三十八条</w:t>
      </w:r>
      <w:r>
        <w:rPr>
          <w:rFonts w:hint="eastAsia"/>
        </w:rPr>
        <w:t xml:space="preserve">  市发展与改革行政主管部门会同市水行政主管部门，根据用水定额、经济技术条件以及水量分配方案确定的可供本行政区域使用的水量，制定年度用水计划，对全市的年度用水实行总量控制。</w:t>
      </w:r>
    </w:p>
    <w:p w14:paraId="67877362">
      <w:pPr>
        <w:ind w:firstLine="422"/>
      </w:pPr>
      <w:r>
        <w:rPr>
          <w:rFonts w:hint="eastAsia"/>
          <w:b/>
        </w:rPr>
        <w:t>第三十九条</w:t>
      </w:r>
      <w:r>
        <w:rPr>
          <w:rFonts w:hint="eastAsia"/>
        </w:rPr>
        <w:t xml:space="preserve">  区、县水行政主管部门根据年度用水计划和有关行业用水定额，核定本行政区域内用水单位的年度用水指标。</w:t>
      </w:r>
    </w:p>
    <w:p w14:paraId="57B54172">
      <w:r>
        <w:rPr>
          <w:rFonts w:hint="eastAsia"/>
        </w:rPr>
        <w:t>特大用水单位和有特殊需要的用水单位的年度用水指标，由市水行政主管部门核定。</w:t>
      </w:r>
    </w:p>
    <w:p w14:paraId="66F46A08">
      <w:pPr>
        <w:ind w:firstLine="422"/>
      </w:pPr>
      <w:r>
        <w:rPr>
          <w:rFonts w:hint="eastAsia"/>
          <w:b/>
        </w:rPr>
        <w:t>第四十条</w:t>
      </w:r>
      <w:r>
        <w:rPr>
          <w:rFonts w:hint="eastAsia"/>
        </w:rPr>
        <w:t xml:space="preserve">  直接从河流、湖泊或者地下取用水资源的单位和个人，应当依法向水行政主管部门申请领取取水许可证，缴纳水资源费，取得取水权。法律、行政法规另有规定的，从其规定。</w:t>
      </w:r>
    </w:p>
    <w:p w14:paraId="7B3641E8">
      <w:r>
        <w:rPr>
          <w:rFonts w:hint="eastAsia"/>
        </w:rPr>
        <w:t>新建、改建、扩建建设项目的建设单位申请取水许可前，应当进行水资源论证。</w:t>
      </w:r>
    </w:p>
    <w:p w14:paraId="7D04E0F3">
      <w:pPr>
        <w:ind w:firstLine="422"/>
      </w:pPr>
      <w:r>
        <w:rPr>
          <w:rFonts w:hint="eastAsia"/>
          <w:b/>
        </w:rPr>
        <w:t>第四十一条</w:t>
      </w:r>
      <w:r>
        <w:rPr>
          <w:rFonts w:hint="eastAsia"/>
        </w:rPr>
        <w:t xml:space="preserve">  取水应当计量，按量收取水资源费。</w:t>
      </w:r>
    </w:p>
    <w:p w14:paraId="63F2520A">
      <w:r>
        <w:rPr>
          <w:rFonts w:hint="eastAsia"/>
        </w:rPr>
        <w:t>直接取用地表水或者地下水的用水单位，应当在取水口安装经质量监督检验行政主管部门检验合格的计量设施。无计量设施的，水行政主管部门应当责令限期安装，并自取水之日起，按照工程设计取水能力或者取水设备额定流量全时程运行计算取水量。</w:t>
      </w:r>
    </w:p>
    <w:p w14:paraId="48EE3224">
      <w:pPr>
        <w:ind w:firstLine="422"/>
      </w:pPr>
      <w:r>
        <w:rPr>
          <w:rFonts w:hint="eastAsia"/>
          <w:b/>
        </w:rPr>
        <w:t>第四十二条</w:t>
      </w:r>
      <w:r>
        <w:rPr>
          <w:rFonts w:hint="eastAsia"/>
        </w:rPr>
        <w:t xml:space="preserve">  水资源费由水行政主管部门统一征收，上缴财政，用于水资源的开发、利用、节约、保护及相关科学技术的研究。</w:t>
      </w:r>
    </w:p>
    <w:p w14:paraId="69431B5A"/>
    <w:p w14:paraId="314D8CC8">
      <w:pPr>
        <w:ind w:firstLine="0" w:firstLineChars="0"/>
        <w:jc w:val="center"/>
        <w:rPr>
          <w:b/>
          <w:sz w:val="28"/>
        </w:rPr>
      </w:pPr>
      <w:r>
        <w:rPr>
          <w:rFonts w:hint="eastAsia"/>
          <w:b/>
          <w:sz w:val="28"/>
        </w:rPr>
        <w:t>第六章  节约用水</w:t>
      </w:r>
    </w:p>
    <w:p w14:paraId="25913B41"/>
    <w:p w14:paraId="4D3D5661">
      <w:pPr>
        <w:ind w:firstLine="422"/>
      </w:pPr>
      <w:r>
        <w:rPr>
          <w:rFonts w:hint="eastAsia"/>
          <w:b/>
        </w:rPr>
        <w:t>第四十三条</w:t>
      </w:r>
      <w:r>
        <w:rPr>
          <w:rFonts w:hint="eastAsia"/>
        </w:rPr>
        <w:t xml:space="preserve">  各级人民政府应当建立健全节约用水责任制，开展节约用水宣传教育，推行节约用水措施，推广节水新技术、新工艺，培育和发展节水产业，发展节水型工业、农业和服务业。</w:t>
      </w:r>
    </w:p>
    <w:p w14:paraId="025507DB">
      <w:pPr>
        <w:ind w:firstLine="422"/>
      </w:pPr>
      <w:r>
        <w:rPr>
          <w:rFonts w:hint="eastAsia"/>
          <w:b/>
        </w:rPr>
        <w:t>第四十四条</w:t>
      </w:r>
      <w:r>
        <w:rPr>
          <w:rFonts w:hint="eastAsia"/>
        </w:rPr>
        <w:t xml:space="preserve">  水行政主管部门负责本行政区域内的节约用水管理工作。未设置水行政主管部门的区，应当有专门机构负责本行政区域内的节约用水管理工作。</w:t>
      </w:r>
    </w:p>
    <w:p w14:paraId="4D1354CE">
      <w:r>
        <w:rPr>
          <w:rFonts w:hint="eastAsia"/>
        </w:rPr>
        <w:t>市和区、县人民政府有关部门应当做好本部门、本行业节约用水的工作。</w:t>
      </w:r>
    </w:p>
    <w:p w14:paraId="3430DA85">
      <w:r>
        <w:rPr>
          <w:rFonts w:hint="eastAsia"/>
        </w:rPr>
        <w:t>乡、镇人民政府和街道办事处应当做好本辖区内节约用水的工作。</w:t>
      </w:r>
    </w:p>
    <w:p w14:paraId="4C464D27">
      <w:pPr>
        <w:ind w:firstLine="422"/>
      </w:pPr>
      <w:r>
        <w:rPr>
          <w:rFonts w:hint="eastAsia"/>
          <w:b/>
        </w:rPr>
        <w:t>第四十五条</w:t>
      </w:r>
      <w:r>
        <w:rPr>
          <w:rFonts w:hint="eastAsia"/>
        </w:rPr>
        <w:t xml:space="preserve">  单位和个人有节约用水义务。</w:t>
      </w:r>
    </w:p>
    <w:p w14:paraId="2A7FC371">
      <w:r>
        <w:rPr>
          <w:rFonts w:hint="eastAsia"/>
        </w:rPr>
        <w:t>用水单位应当加强用水管理，建立健全节约用水责任制；加强对单位人员节约用水的宣传；落实节约用水措施，使用符合节约用水要求的工艺、设备、器具。</w:t>
      </w:r>
    </w:p>
    <w:p w14:paraId="13EE9D7A">
      <w:r>
        <w:rPr>
          <w:rFonts w:hint="eastAsia"/>
        </w:rPr>
        <w:t>居民应当增强节约用水意识、使用节水型器具，提高水的利用效率。</w:t>
      </w:r>
    </w:p>
    <w:p w14:paraId="19B914A6">
      <w:pPr>
        <w:ind w:firstLine="422"/>
      </w:pPr>
      <w:r>
        <w:rPr>
          <w:rFonts w:hint="eastAsia"/>
          <w:b/>
        </w:rPr>
        <w:t>第四十六条</w:t>
      </w:r>
      <w:r>
        <w:rPr>
          <w:rFonts w:hint="eastAsia"/>
        </w:rPr>
        <w:t xml:space="preserve">  用水实行总量控制和定额管理相结合的制度。</w:t>
      </w:r>
    </w:p>
    <w:p w14:paraId="2B34A6C2">
      <w:r>
        <w:rPr>
          <w:rFonts w:hint="eastAsia"/>
        </w:rPr>
        <w:t>市人民政府有关行业主管部门制订本行业的用水定额，报市水行政主管部门和市质量监督检验行政主管部门审核同意后，由市人民政府公布。</w:t>
      </w:r>
    </w:p>
    <w:p w14:paraId="2DBBD6DB">
      <w:pPr>
        <w:ind w:firstLine="422"/>
      </w:pPr>
      <w:r>
        <w:rPr>
          <w:rFonts w:hint="eastAsia"/>
          <w:b/>
        </w:rPr>
        <w:t>第四十七条</w:t>
      </w:r>
      <w:r>
        <w:rPr>
          <w:rFonts w:hint="eastAsia"/>
        </w:rPr>
        <w:t xml:space="preserve">  新建、改建、扩建建设项目，应当制订节约用水措施方案，配套建设节水设施。节水设施应当与主体工程同时设计、同时施工、同时投入使用。</w:t>
      </w:r>
    </w:p>
    <w:p w14:paraId="15C4C6C4">
      <w:r>
        <w:rPr>
          <w:rFonts w:hint="eastAsia"/>
        </w:rPr>
        <w:t>发展与改革行政主管部门、规划行政主管部门在审批建设项目建议书或者可行性研究报告和建设项目设计方案时，应当就节水设施方案征求同级水行政主管部门的意见。节水设施竣工后，建设单位应当向水行政主管部门申报验收；验收不合格的，建设项目不得投入使用，水行政主管部门不予核定用水指标，供水单位不予供水。</w:t>
      </w:r>
    </w:p>
    <w:p w14:paraId="65C1804A">
      <w:pPr>
        <w:ind w:firstLine="422"/>
      </w:pPr>
      <w:r>
        <w:rPr>
          <w:rFonts w:hint="eastAsia"/>
          <w:b/>
        </w:rPr>
        <w:t>第四十八条</w:t>
      </w:r>
      <w:r>
        <w:rPr>
          <w:rFonts w:hint="eastAsia"/>
        </w:rPr>
        <w:t xml:space="preserve">  已建成的建设项目，用水设施、设备及器具不符合节约用水要求的，应当进行技术改造。</w:t>
      </w:r>
    </w:p>
    <w:p w14:paraId="16DBC679">
      <w:pPr>
        <w:ind w:firstLine="422"/>
      </w:pPr>
      <w:r>
        <w:rPr>
          <w:rFonts w:hint="eastAsia"/>
          <w:b/>
        </w:rPr>
        <w:t>第四十九条</w:t>
      </w:r>
      <w:r>
        <w:rPr>
          <w:rFonts w:hint="eastAsia"/>
        </w:rPr>
        <w:t xml:space="preserve">  各级人民政府应当引导农业生产者合理调整作物种植结构，采用先进的节水技术和节水灌溉方式，提高农业用水效率。</w:t>
      </w:r>
    </w:p>
    <w:p w14:paraId="191D3C20">
      <w:pPr>
        <w:ind w:firstLine="422"/>
      </w:pPr>
      <w:r>
        <w:rPr>
          <w:rFonts w:hint="eastAsia"/>
          <w:b/>
        </w:rPr>
        <w:t>第五十条</w:t>
      </w:r>
      <w:r>
        <w:rPr>
          <w:rFonts w:hint="eastAsia"/>
        </w:rPr>
        <w:t xml:space="preserve">  工业用水应当采取节约用水措施，提高水的重复利用率，降低用水单耗。生产用水超过用水定额的，不予增加用水指标。</w:t>
      </w:r>
    </w:p>
    <w:p w14:paraId="10337258">
      <w:pPr>
        <w:ind w:firstLine="422"/>
      </w:pPr>
      <w:r>
        <w:rPr>
          <w:rFonts w:hint="eastAsia"/>
          <w:b/>
        </w:rPr>
        <w:t>第五十一条</w:t>
      </w:r>
      <w:r>
        <w:rPr>
          <w:rFonts w:hint="eastAsia"/>
        </w:rPr>
        <w:t xml:space="preserve">  服务业用水单位应当制订并落实节约用水措施，耗水量大的，应当按照规定安装并使用循环用水设施。</w:t>
      </w:r>
    </w:p>
    <w:p w14:paraId="2438393A">
      <w:r>
        <w:rPr>
          <w:rFonts w:hint="eastAsia"/>
        </w:rPr>
        <w:t>再生水输配水管线覆盖地区内的洗车企业，应当使用再生水。</w:t>
      </w:r>
    </w:p>
    <w:p w14:paraId="691E7D9A">
      <w:pPr>
        <w:ind w:firstLine="422"/>
      </w:pPr>
      <w:r>
        <w:rPr>
          <w:rFonts w:hint="eastAsia"/>
          <w:b/>
        </w:rPr>
        <w:t>第五十二条</w:t>
      </w:r>
      <w:r>
        <w:rPr>
          <w:rFonts w:hint="eastAsia"/>
        </w:rPr>
        <w:t xml:space="preserve">  园林绿化、环境卫生用水应当采用节水技术，充分利用再生水，收集利用雨水。</w:t>
      </w:r>
    </w:p>
    <w:p w14:paraId="50BFBBDF">
      <w:pPr>
        <w:ind w:firstLine="422"/>
      </w:pPr>
      <w:r>
        <w:rPr>
          <w:rFonts w:hint="eastAsia"/>
          <w:b/>
        </w:rPr>
        <w:t>第五十三条</w:t>
      </w:r>
      <w:r>
        <w:rPr>
          <w:rFonts w:hint="eastAsia"/>
        </w:rPr>
        <w:t xml:space="preserve">  供水企业和自建供水设施的单位应当加强对供水设施的检修与维护，降低管网漏失率。供水设施出现故障后，相关单位应当及时抢修。</w:t>
      </w:r>
    </w:p>
    <w:p w14:paraId="4462EE5D">
      <w:pPr>
        <w:ind w:firstLine="422"/>
      </w:pPr>
      <w:r>
        <w:rPr>
          <w:rFonts w:hint="eastAsia"/>
          <w:b/>
        </w:rPr>
        <w:t>第五十四条</w:t>
      </w:r>
      <w:r>
        <w:rPr>
          <w:rFonts w:hint="eastAsia"/>
        </w:rPr>
        <w:t xml:space="preserve">  工程施工、园林绿化、环境卫生等需要临时用水的，应当向水行政主管部门申请临时用水指标；在再生水输配水管线覆盖范围内的，应当使用再生水。</w:t>
      </w:r>
    </w:p>
    <w:p w14:paraId="2B43083B">
      <w:pPr>
        <w:ind w:firstLine="422"/>
      </w:pPr>
      <w:r>
        <w:rPr>
          <w:rFonts w:hint="eastAsia"/>
          <w:b/>
        </w:rPr>
        <w:t>第五十五条</w:t>
      </w:r>
      <w:r>
        <w:rPr>
          <w:rFonts w:hint="eastAsia"/>
        </w:rPr>
        <w:t xml:space="preserve">  用水应当计量，不得实行包费制。</w:t>
      </w:r>
    </w:p>
    <w:p w14:paraId="797B1E0B">
      <w:r>
        <w:rPr>
          <w:rFonts w:hint="eastAsia"/>
        </w:rPr>
        <w:t>用水实行分类计量收费和超定额累进加价制度。</w:t>
      </w:r>
    </w:p>
    <w:p w14:paraId="556FB52A"/>
    <w:p w14:paraId="75A4309B">
      <w:pPr>
        <w:ind w:firstLine="0" w:firstLineChars="0"/>
        <w:jc w:val="center"/>
        <w:rPr>
          <w:b/>
          <w:sz w:val="28"/>
        </w:rPr>
      </w:pPr>
      <w:r>
        <w:rPr>
          <w:rFonts w:hint="eastAsia"/>
          <w:b/>
          <w:sz w:val="28"/>
        </w:rPr>
        <w:t>第七章  法律责任</w:t>
      </w:r>
    </w:p>
    <w:p w14:paraId="3A5517C0"/>
    <w:p w14:paraId="40D0C0C6">
      <w:pPr>
        <w:ind w:firstLine="422"/>
      </w:pPr>
      <w:r>
        <w:rPr>
          <w:rFonts w:hint="eastAsia"/>
          <w:b/>
        </w:rPr>
        <w:t>第五十六条</w:t>
      </w:r>
      <w:r>
        <w:rPr>
          <w:rFonts w:hint="eastAsia"/>
        </w:rPr>
        <w:t xml:space="preserve">  水行政主管部门或者其他有关部门以及水工程管理单位及其工作人员，有下列情形之一，构成犯罪的，对负有责任的主管人员和其他责任人员依法追究刑事责任；尚不够刑事处罚的，依法给予行政处分：</w:t>
      </w:r>
    </w:p>
    <w:p w14:paraId="04F13A3E">
      <w:r>
        <w:rPr>
          <w:rFonts w:hint="eastAsia"/>
        </w:rPr>
        <w:t>（一）对不符合法定条件的单位或者个人核发许可证、签署审查同意意见的；</w:t>
      </w:r>
    </w:p>
    <w:p w14:paraId="5DDB016D">
      <w:bookmarkStart w:id="2593" w:name="_Toc428780781"/>
      <w:r>
        <w:rPr>
          <w:rFonts w:hint="eastAsia"/>
        </w:rPr>
        <w:t>（二）不按照水量分配方案分配水量或者不服从水量统一调度的；</w:t>
      </w:r>
      <w:bookmarkEnd w:id="2593"/>
    </w:p>
    <w:p w14:paraId="4B0F0DEB">
      <w:r>
        <w:rPr>
          <w:rFonts w:hint="eastAsia"/>
        </w:rPr>
        <w:t>（三）不按照国家有关规定收取水资源费的；</w:t>
      </w:r>
    </w:p>
    <w:p w14:paraId="4E8E19DE">
      <w:r>
        <w:rPr>
          <w:rFonts w:hint="eastAsia"/>
        </w:rPr>
        <w:t>（四）不按照规定核定用水指标，滥用职权的；</w:t>
      </w:r>
    </w:p>
    <w:p w14:paraId="5E42B4FC">
      <w:r>
        <w:rPr>
          <w:rFonts w:hint="eastAsia"/>
        </w:rPr>
        <w:t>（五）不履行监督职责，或者发现违法行为不予查处，造成严重后果的；</w:t>
      </w:r>
    </w:p>
    <w:p w14:paraId="34246CBA">
      <w:r>
        <w:rPr>
          <w:rFonts w:hint="eastAsia"/>
        </w:rPr>
        <w:t>（六）其他徇私舞弊、玩忽职守、滥用职权的行为。</w:t>
      </w:r>
    </w:p>
    <w:p w14:paraId="6025658F">
      <w:pPr>
        <w:ind w:firstLine="422"/>
      </w:pPr>
      <w:r>
        <w:rPr>
          <w:rFonts w:hint="eastAsia"/>
          <w:b/>
        </w:rPr>
        <w:t>第五十七条</w:t>
      </w:r>
      <w:r>
        <w:rPr>
          <w:rFonts w:hint="eastAsia"/>
        </w:rPr>
        <w:t xml:space="preserve">  违反本办法第十七条规定，未经批准开凿机井的，或者未依照批准的取水许可规定条件取水的，由水行政主管部门责令停止违法行为，限期补办手续，并处</w:t>
      </w:r>
      <w:r>
        <w:rPr>
          <w:rFonts w:hint="eastAsia" w:ascii="宋体" w:hAnsi="宋体" w:eastAsia="宋体" w:cs="宋体"/>
        </w:rPr>
        <w:t>2</w:t>
      </w:r>
      <w:r>
        <w:rPr>
          <w:rFonts w:hint="eastAsia"/>
        </w:rPr>
        <w:t>万元以上</w:t>
      </w:r>
      <w:r>
        <w:rPr>
          <w:rFonts w:hint="eastAsia" w:ascii="宋体" w:hAnsi="宋体" w:eastAsia="宋体" w:cs="宋体"/>
        </w:rPr>
        <w:t>6</w:t>
      </w:r>
      <w:r>
        <w:rPr>
          <w:rFonts w:hint="eastAsia"/>
        </w:rPr>
        <w:t>万元以下的罚款；逾期不补办手续的，责令封井。</w:t>
      </w:r>
    </w:p>
    <w:p w14:paraId="2F6FB9D8">
      <w:pPr>
        <w:ind w:firstLine="422"/>
        <w:rPr>
          <w:rFonts w:hint="eastAsia" w:ascii="宋体" w:hAnsi="宋体" w:eastAsia="宋体" w:cs="宋体"/>
        </w:rPr>
      </w:pPr>
      <w:r>
        <w:rPr>
          <w:rFonts w:hint="eastAsia"/>
          <w:b/>
        </w:rPr>
        <w:t>第五十八条</w:t>
      </w:r>
      <w:r>
        <w:rPr>
          <w:rFonts w:hint="eastAsia"/>
        </w:rPr>
        <w:t xml:space="preserve">  违反本办法第十八条</w:t>
      </w:r>
      <w:r>
        <w:rPr>
          <w:rFonts w:hint="eastAsia" w:ascii="宋体" w:hAnsi="宋体" w:eastAsia="宋体" w:cs="宋体"/>
        </w:rPr>
        <w:t>规定，在禁止开凿机井的地区开凿机井的，由水行政主管部门责令停止违法行为，限期封井，并处7万元以上10万元以下的罚款。</w:t>
      </w:r>
    </w:p>
    <w:p w14:paraId="5C73D221">
      <w:pPr>
        <w:ind w:firstLine="422"/>
        <w:rPr>
          <w:rFonts w:hint="eastAsia" w:ascii="宋体" w:hAnsi="宋体" w:eastAsia="宋体" w:cs="宋体"/>
        </w:rPr>
      </w:pPr>
      <w:r>
        <w:rPr>
          <w:rFonts w:hint="eastAsia" w:ascii="宋体" w:hAnsi="宋体" w:eastAsia="宋体" w:cs="宋体"/>
          <w:b/>
        </w:rPr>
        <w:t>第五十九条</w:t>
      </w:r>
      <w:r>
        <w:rPr>
          <w:rFonts w:hint="eastAsia" w:ascii="宋体" w:hAnsi="宋体" w:eastAsia="宋体" w:cs="宋体"/>
        </w:rPr>
        <w:t xml:space="preserve">  违反本办法第十九条规定，未经批准在严格限制开凿机井的地区开凿机井的，或者未依照批准的取水许可规定条件取水的，由水行政主管部门责令停止违法行为，限期封井，并处5万元以上8万元以下的罚款。</w:t>
      </w:r>
    </w:p>
    <w:p w14:paraId="14B512B4">
      <w:pPr>
        <w:ind w:firstLine="422"/>
        <w:rPr>
          <w:rFonts w:hint="eastAsia" w:ascii="宋体" w:hAnsi="宋体" w:eastAsia="宋体" w:cs="宋体"/>
        </w:rPr>
      </w:pPr>
      <w:r>
        <w:rPr>
          <w:rFonts w:hint="eastAsia" w:ascii="宋体" w:hAnsi="宋体" w:eastAsia="宋体" w:cs="宋体"/>
          <w:b/>
        </w:rPr>
        <w:t>第六十条</w:t>
      </w:r>
      <w:r>
        <w:rPr>
          <w:rFonts w:hint="eastAsia" w:ascii="宋体" w:hAnsi="宋体" w:eastAsia="宋体" w:cs="宋体"/>
        </w:rPr>
        <w:t xml:space="preserve">  违反本办法第二十条规定，未经批准开采基岩水的，或者未依照批准的取水许可规定条件取水的，由水行政主管部门责令停止违法行为，并处6万元以上10万元以下的罚款。</w:t>
      </w:r>
    </w:p>
    <w:p w14:paraId="7228E54D">
      <w:pPr>
        <w:ind w:firstLine="422"/>
        <w:rPr>
          <w:rFonts w:hint="eastAsia" w:ascii="宋体" w:hAnsi="宋体" w:eastAsia="宋体" w:cs="宋体"/>
        </w:rPr>
      </w:pPr>
      <w:r>
        <w:rPr>
          <w:rFonts w:hint="eastAsia" w:ascii="宋体" w:hAnsi="宋体" w:eastAsia="宋体" w:cs="宋体"/>
          <w:b/>
        </w:rPr>
        <w:t>第六十一条</w:t>
      </w:r>
      <w:r>
        <w:rPr>
          <w:rFonts w:hint="eastAsia" w:ascii="宋体" w:hAnsi="宋体" w:eastAsia="宋体" w:cs="宋体"/>
        </w:rPr>
        <w:t xml:space="preserve">  违反本办法第二十三条第二款、第四十七条第一款规定，建设项目未建设再生水利用设施、节水设施的，或者设施没有达到规定要求的，由水行政主管部门责令停止违法行为，限期改正，并处5万元以上10万元以下的罚款；逾期未改的，不予核定用水指标；已建成的设施不正常使用的，核减相应的用水指标。</w:t>
      </w:r>
    </w:p>
    <w:p w14:paraId="682AE79C">
      <w:pPr>
        <w:ind w:firstLine="422"/>
        <w:rPr>
          <w:rFonts w:hint="eastAsia" w:ascii="宋体" w:hAnsi="宋体" w:eastAsia="宋体" w:cs="宋体"/>
        </w:rPr>
      </w:pPr>
      <w:r>
        <w:rPr>
          <w:rFonts w:hint="eastAsia" w:ascii="宋体" w:hAnsi="宋体" w:eastAsia="宋体" w:cs="宋体"/>
          <w:b/>
        </w:rPr>
        <w:t>第六十二条</w:t>
      </w:r>
      <w:r>
        <w:rPr>
          <w:rFonts w:hint="eastAsia" w:ascii="宋体" w:hAnsi="宋体" w:eastAsia="宋体" w:cs="宋体"/>
        </w:rPr>
        <w:t xml:space="preserve">  违反本办法第三十一条第一款规定，在饮用水水源保护区内设置排污口的，由市或者区、县人民政府责令限期拆除、恢复原状；逾期不拆除、不恢复原状的，强行拆除、恢复原状，并处5万元以上10万元以下的罚款。</w:t>
      </w:r>
    </w:p>
    <w:p w14:paraId="22151507">
      <w:pPr>
        <w:ind w:firstLine="422"/>
        <w:rPr>
          <w:rFonts w:hint="eastAsia" w:ascii="宋体" w:hAnsi="宋体" w:eastAsia="宋体" w:cs="宋体"/>
        </w:rPr>
      </w:pPr>
      <w:r>
        <w:rPr>
          <w:rFonts w:hint="eastAsia" w:ascii="宋体" w:hAnsi="宋体" w:eastAsia="宋体" w:cs="宋体"/>
          <w:b/>
        </w:rPr>
        <w:t>第六十三条</w:t>
      </w:r>
      <w:r>
        <w:rPr>
          <w:rFonts w:hint="eastAsia" w:ascii="宋体" w:hAnsi="宋体" w:eastAsia="宋体" w:cs="宋体"/>
        </w:rPr>
        <w:t xml:space="preserve">  违反本办法第三十五条第一款规定，未经批准在河流、湖泊新建、改建或者扩大排污口的，由水行政主管部门责令停止违法行为，限期恢复原状，并处5万元以上10万元以下的罚款；违反第二款规定，未在规定的期限内封堵排污口的，由水行政主管部门处5万元以上10万元以下的罚款。</w:t>
      </w:r>
    </w:p>
    <w:p w14:paraId="7B158B9F">
      <w:pPr>
        <w:ind w:firstLine="422"/>
        <w:rPr>
          <w:rFonts w:hint="eastAsia" w:ascii="宋体" w:hAnsi="宋体" w:eastAsia="宋体" w:cs="宋体"/>
        </w:rPr>
      </w:pPr>
      <w:r>
        <w:rPr>
          <w:rFonts w:hint="eastAsia" w:ascii="宋体" w:hAnsi="宋体" w:eastAsia="宋体" w:cs="宋体"/>
          <w:b/>
        </w:rPr>
        <w:t>第六十四条</w:t>
      </w:r>
      <w:r>
        <w:rPr>
          <w:rFonts w:hint="eastAsia" w:ascii="宋体" w:hAnsi="宋体" w:eastAsia="宋体" w:cs="宋体"/>
        </w:rPr>
        <w:t xml:space="preserve">  违反本办法第四十五条第二款规定，用水单位浪费用水的，由水行政主管部门或者其他有关部门责令限期改正；逾期不改的，水行政主管部门可以核减相应的用水指标。</w:t>
      </w:r>
    </w:p>
    <w:p w14:paraId="786AC2FC">
      <w:pPr>
        <w:ind w:firstLine="422"/>
        <w:rPr>
          <w:rFonts w:hint="eastAsia" w:ascii="宋体" w:hAnsi="宋体" w:eastAsia="宋体" w:cs="宋体"/>
        </w:rPr>
      </w:pPr>
      <w:r>
        <w:rPr>
          <w:rFonts w:hint="eastAsia" w:ascii="宋体" w:hAnsi="宋体" w:eastAsia="宋体" w:cs="宋体"/>
          <w:b/>
        </w:rPr>
        <w:t>第六十五条</w:t>
      </w:r>
      <w:r>
        <w:rPr>
          <w:rFonts w:hint="eastAsia" w:ascii="宋体" w:hAnsi="宋体" w:eastAsia="宋体" w:cs="宋体"/>
        </w:rPr>
        <w:t xml:space="preserve">  违反本办法第五十一条规定，耗水量大的用水单位未安装、使用循环用水设施或者洗车企业未按规定使用再生水的，由水行政主管部门责令限期改正，并处1万元的罚款；逾期未改的，责令供水单位停止供水。</w:t>
      </w:r>
    </w:p>
    <w:p w14:paraId="7ED8760C">
      <w:pPr>
        <w:ind w:firstLine="422"/>
        <w:rPr>
          <w:rFonts w:hint="eastAsia" w:ascii="宋体" w:hAnsi="宋体" w:eastAsia="宋体" w:cs="宋体"/>
        </w:rPr>
      </w:pPr>
      <w:r>
        <w:rPr>
          <w:rFonts w:hint="eastAsia" w:ascii="宋体" w:hAnsi="宋体" w:eastAsia="宋体" w:cs="宋体"/>
          <w:b/>
        </w:rPr>
        <w:t>第六十六条</w:t>
      </w:r>
      <w:r>
        <w:rPr>
          <w:rFonts w:hint="eastAsia" w:ascii="宋体" w:hAnsi="宋体" w:eastAsia="宋体" w:cs="宋体"/>
        </w:rPr>
        <w:t xml:space="preserve">  违反本办法第五十四条规定，未取得临时用水指标用水的，责令停止违法行为，限期补办手续，并处5万元以下的罚款。</w:t>
      </w:r>
    </w:p>
    <w:p w14:paraId="0C73C5A1">
      <w:pPr>
        <w:ind w:firstLine="422"/>
        <w:rPr>
          <w:rFonts w:hint="eastAsia" w:ascii="宋体" w:hAnsi="宋体" w:eastAsia="宋体" w:cs="宋体"/>
        </w:rPr>
      </w:pPr>
      <w:r>
        <w:rPr>
          <w:rFonts w:hint="eastAsia" w:ascii="宋体" w:hAnsi="宋体" w:eastAsia="宋体" w:cs="宋体"/>
          <w:b/>
        </w:rPr>
        <w:t>第六十七条</w:t>
      </w:r>
      <w:r>
        <w:rPr>
          <w:rFonts w:hint="eastAsia" w:ascii="宋体" w:hAnsi="宋体" w:eastAsia="宋体" w:cs="宋体"/>
        </w:rPr>
        <w:t xml:space="preserve">  违反本办法第五十五条规定，用水实行包费制的，由水行政主管部门责令责任单位改正，并按照每包费一户200元以上500元以下的标准处以罚款。</w:t>
      </w:r>
    </w:p>
    <w:p w14:paraId="1ACC2212">
      <w:pPr>
        <w:ind w:firstLine="422"/>
        <w:rPr>
          <w:rFonts w:hint="eastAsia" w:ascii="宋体" w:hAnsi="宋体" w:eastAsia="宋体" w:cs="宋体"/>
        </w:rPr>
      </w:pPr>
      <w:r>
        <w:rPr>
          <w:rFonts w:hint="eastAsia" w:ascii="宋体" w:hAnsi="宋体" w:eastAsia="宋体" w:cs="宋体"/>
          <w:b/>
        </w:rPr>
        <w:t>第六十八条</w:t>
      </w:r>
      <w:r>
        <w:rPr>
          <w:rFonts w:hint="eastAsia" w:ascii="宋体" w:hAnsi="宋体" w:eastAsia="宋体" w:cs="宋体"/>
        </w:rPr>
        <w:t xml:space="preserve">  根据国家相对集中行政处罚权的规定，市人民政府决定由城市管理监察组织行使行政处罚权的，由城市管理监察组织处罚。</w:t>
      </w:r>
    </w:p>
    <w:p w14:paraId="77AB8683"/>
    <w:p w14:paraId="5069EE5C">
      <w:pPr>
        <w:ind w:firstLine="0" w:firstLineChars="0"/>
        <w:jc w:val="center"/>
        <w:rPr>
          <w:b/>
          <w:sz w:val="28"/>
        </w:rPr>
      </w:pPr>
      <w:r>
        <w:rPr>
          <w:rFonts w:hint="eastAsia"/>
          <w:b/>
          <w:sz w:val="28"/>
        </w:rPr>
        <w:t>第八章  附  则</w:t>
      </w:r>
    </w:p>
    <w:p w14:paraId="3AE787CA"/>
    <w:p w14:paraId="76947408">
      <w:pPr>
        <w:ind w:firstLine="422"/>
        <w:rPr>
          <w:rFonts w:hint="eastAsia" w:ascii="宋体" w:hAnsi="宋体" w:eastAsia="宋体" w:cs="宋体"/>
        </w:rPr>
      </w:pPr>
      <w:r>
        <w:rPr>
          <w:rFonts w:hint="eastAsia"/>
          <w:b/>
        </w:rPr>
        <w:t>第六十九条</w:t>
      </w:r>
      <w:r>
        <w:rPr>
          <w:rFonts w:hint="eastAsia"/>
        </w:rPr>
        <w:t xml:space="preserve">  本办法</w:t>
      </w:r>
      <w:r>
        <w:rPr>
          <w:rFonts w:hint="eastAsia" w:ascii="宋体" w:hAnsi="宋体" w:eastAsia="宋体" w:cs="宋体"/>
        </w:rPr>
        <w:t>自2004年10月1日起施行。1991年9月14日北京市第九届人民代表大会常务委员会第二十九次会议通过的《北京市城市节约用水条例》、1991年11月9日北京市第九届人民代表大会常务委员会第三十次会议通过的《北京市水资源管理条例》、1992年5月29日北京市人民政府第12号令发布的《&lt;北京市水资源管理条例&gt;罚款处罚办法》、1992年10月20日北京市人民政府第15号令发布的《北京市农村节约用水管理规定》同时废止。</w:t>
      </w:r>
    </w:p>
    <w:p w14:paraId="064C51AF">
      <w:pPr>
        <w:pStyle w:val="4"/>
        <w:pageBreakBefore/>
      </w:pPr>
      <w:bookmarkStart w:id="2594" w:name="_Toc428780782"/>
      <w:bookmarkStart w:id="2595" w:name="_Toc426467161"/>
      <w:bookmarkStart w:id="2596" w:name="_Toc428781909"/>
      <w:r>
        <w:rPr>
          <w:rFonts w:hint="eastAsia"/>
        </w:rPr>
        <w:t>北京市河湖保护管理条例</w:t>
      </w:r>
      <w:bookmarkEnd w:id="2594"/>
      <w:bookmarkEnd w:id="2595"/>
      <w:bookmarkEnd w:id="2596"/>
    </w:p>
    <w:p w14:paraId="7916CD58">
      <w:pPr>
        <w:ind w:left="630" w:leftChars="300" w:right="630" w:rightChars="300"/>
        <w:rPr>
          <w:rFonts w:ascii="楷体" w:hAnsi="楷体" w:eastAsia="楷体"/>
        </w:rPr>
      </w:pPr>
      <w:r>
        <w:rPr>
          <w:rFonts w:hint="eastAsia" w:ascii="楷体" w:hAnsi="楷体" w:eastAsia="楷体"/>
        </w:rPr>
        <w:t>（2012年7月27日北京市第十三届人民代表大会常务委员会第三十四次会议通过）</w:t>
      </w:r>
    </w:p>
    <w:p w14:paraId="7D29B252"/>
    <w:p w14:paraId="563455C1">
      <w:pPr>
        <w:ind w:firstLine="0" w:firstLineChars="0"/>
        <w:jc w:val="center"/>
        <w:rPr>
          <w:b/>
          <w:sz w:val="28"/>
        </w:rPr>
      </w:pPr>
      <w:r>
        <w:rPr>
          <w:rFonts w:hint="eastAsia"/>
          <w:b/>
          <w:sz w:val="28"/>
        </w:rPr>
        <w:t>第一章　总　则</w:t>
      </w:r>
    </w:p>
    <w:p w14:paraId="207AE1E9"/>
    <w:p w14:paraId="68F54526">
      <w:pPr>
        <w:ind w:firstLine="422"/>
      </w:pPr>
      <w:r>
        <w:rPr>
          <w:rFonts w:hint="eastAsia"/>
          <w:b/>
        </w:rPr>
        <w:t>第一条</w:t>
      </w:r>
      <w:r>
        <w:rPr>
          <w:rFonts w:hint="eastAsia"/>
        </w:rPr>
        <w:t xml:space="preserve">  为加强河湖保护和管理，保持河湖水域面积，改善水生态和水环境，保障河湖防洪、供水功能，维护河湖健康，促进经济社会全面、协调、可持续发展，根据有关法律、法规，制定本条例。</w:t>
      </w:r>
    </w:p>
    <w:p w14:paraId="7624F7A6">
      <w:pPr>
        <w:ind w:firstLine="422"/>
      </w:pPr>
      <w:r>
        <w:rPr>
          <w:rFonts w:hint="eastAsia"/>
          <w:b/>
        </w:rPr>
        <w:t>第二条</w:t>
      </w:r>
      <w:r>
        <w:rPr>
          <w:rFonts w:hint="eastAsia"/>
        </w:rPr>
        <w:t xml:space="preserve">  本条例适用于本市行政区域内的河流、湖泊、水库、塘坝、人工水道工程设施及其水体（以下统称河湖）的保护和管理。</w:t>
      </w:r>
    </w:p>
    <w:p w14:paraId="2516E222">
      <w:pPr>
        <w:ind w:firstLine="422"/>
      </w:pPr>
      <w:r>
        <w:rPr>
          <w:rFonts w:hint="eastAsia"/>
          <w:b/>
        </w:rPr>
        <w:t>第三条</w:t>
      </w:r>
      <w:r>
        <w:rPr>
          <w:rFonts w:hint="eastAsia"/>
        </w:rPr>
        <w:t xml:space="preserve">  河湖保护管理坚持统一规划、综合治理、科学管理、保护优先、合理利用的原则。</w:t>
      </w:r>
    </w:p>
    <w:p w14:paraId="02CD2918">
      <w:r>
        <w:rPr>
          <w:rFonts w:hint="eastAsia"/>
        </w:rPr>
        <w:t>河湖的规划、建设、治理应当维护古都风貌，与首都城乡整体环境相协调。</w:t>
      </w:r>
    </w:p>
    <w:p w14:paraId="70211D94">
      <w:pPr>
        <w:ind w:firstLine="422"/>
      </w:pPr>
      <w:r>
        <w:rPr>
          <w:rFonts w:hint="eastAsia"/>
          <w:b/>
        </w:rPr>
        <w:t>第四条</w:t>
      </w:r>
      <w:r>
        <w:rPr>
          <w:rFonts w:hint="eastAsia"/>
        </w:rPr>
        <w:t xml:space="preserve">  市和区、县人民政府应当加强对河湖保护管理工作的组织领导，将河湖保护管理纳入国民经济和社会发展规划，保证河湖公共基础设施建设所需资金和管护经费；并建立健全水生态保护的补偿制度。</w:t>
      </w:r>
    </w:p>
    <w:p w14:paraId="27E88AA9">
      <w:pPr>
        <w:ind w:firstLine="422"/>
      </w:pPr>
      <w:r>
        <w:rPr>
          <w:rFonts w:hint="eastAsia"/>
          <w:b/>
        </w:rPr>
        <w:t>第五条</w:t>
      </w:r>
      <w:r>
        <w:rPr>
          <w:rFonts w:hint="eastAsia"/>
        </w:rPr>
        <w:t xml:space="preserve">  在国家有关部门的指导下，本市与相关省市建立健全河湖保护管理协作机制，加强河湖保护管理的统筹协调。</w:t>
      </w:r>
    </w:p>
    <w:p w14:paraId="017D962D">
      <w:pPr>
        <w:ind w:firstLine="422"/>
      </w:pPr>
      <w:r>
        <w:rPr>
          <w:rFonts w:hint="eastAsia"/>
          <w:b/>
        </w:rPr>
        <w:t>第六条</w:t>
      </w:r>
      <w:r>
        <w:rPr>
          <w:rFonts w:hint="eastAsia"/>
        </w:rPr>
        <w:t xml:space="preserve">  本市河湖保护管理工作实行目标责任制和考核评价制度，上级人民政府应当加强对下级人民政府河湖保护管理工作落实情况的监督。</w:t>
      </w:r>
    </w:p>
    <w:p w14:paraId="28DF1616">
      <w:r>
        <w:rPr>
          <w:rFonts w:hint="eastAsia"/>
        </w:rPr>
        <w:t>市人民政府应当根据本市河湖保护管理目标制定考核评价指标，纳入对市人民政府有关部门和区、县人民政府及其负责人考核评价的内容。</w:t>
      </w:r>
    </w:p>
    <w:p w14:paraId="5DDF7B2F">
      <w:pPr>
        <w:ind w:firstLine="422"/>
      </w:pPr>
      <w:r>
        <w:rPr>
          <w:rFonts w:hint="eastAsia"/>
          <w:b/>
        </w:rPr>
        <w:t>第七条</w:t>
      </w:r>
      <w:r>
        <w:rPr>
          <w:rFonts w:hint="eastAsia"/>
        </w:rPr>
        <w:t xml:space="preserve">  本市河湖保护管理实行流域管理和行政区域管理相结合的管理体制。</w:t>
      </w:r>
    </w:p>
    <w:p w14:paraId="5E8B15F3">
      <w:r>
        <w:rPr>
          <w:rFonts w:hint="eastAsia"/>
        </w:rPr>
        <w:t>市水行政主管部门对全市河湖保护管理工作实施统一监督管理。</w:t>
      </w:r>
    </w:p>
    <w:p w14:paraId="033CA025">
      <w:r>
        <w:rPr>
          <w:rFonts w:hint="eastAsia"/>
        </w:rPr>
        <w:t>市水行政主管部门在永定河、北运河、潮白河等跨区、县重要水系设置流域管理机构，在管辖范围内依照国家和本市的规定履行监督管理及行政执法职责，统筹协调流域内的河湖保护管理工作。</w:t>
      </w:r>
    </w:p>
    <w:p w14:paraId="00D1EC05">
      <w:r>
        <w:rPr>
          <w:rFonts w:hint="eastAsia"/>
        </w:rPr>
        <w:t>区、县水行政主管部门按照管辖权限，对本行政区域内河湖保护管理工作实施统一监督管理。</w:t>
      </w:r>
    </w:p>
    <w:p w14:paraId="0D88FEA6">
      <w:r>
        <w:rPr>
          <w:rFonts w:hint="eastAsia"/>
        </w:rPr>
        <w:t>乡、镇人民政府应当按照管辖权限，建立健全管理机构或者确定管理人员，落实河湖管护责任。街道办事处按照管辖权限做好河湖保护管理的有关工作。</w:t>
      </w:r>
    </w:p>
    <w:p w14:paraId="26702B81">
      <w:pPr>
        <w:ind w:firstLine="422"/>
      </w:pPr>
      <w:r>
        <w:rPr>
          <w:rFonts w:hint="eastAsia"/>
          <w:b/>
        </w:rPr>
        <w:t>第八条</w:t>
      </w:r>
      <w:r>
        <w:rPr>
          <w:rFonts w:hint="eastAsia"/>
        </w:rPr>
        <w:t xml:space="preserve">  水行政主管部门组织编制河湖治理、养护、保护管理标准、规范和规程，建立河湖保护监督管理体系，对工程设施的运行情况进行监督检查，完善监测预警管理制度，组织水文机构对河湖水量、水质定期进行监测，加强执法队伍建设，规范执法行为，履行河湖保护管理的执法职责。</w:t>
      </w:r>
    </w:p>
    <w:p w14:paraId="1E0E4BB8">
      <w:r>
        <w:rPr>
          <w:rFonts w:hint="eastAsia"/>
        </w:rPr>
        <w:t>市和区、县发展改革、财政、环境保护、规划、市政市容、园林绿化、农业、国土资源、工商、公安、城市管理综合执法、文物、文化、教育等有关部门按照各自职责做好河湖保护的相关工作。</w:t>
      </w:r>
    </w:p>
    <w:p w14:paraId="4B8723CB">
      <w:pPr>
        <w:ind w:firstLine="422"/>
      </w:pPr>
      <w:r>
        <w:rPr>
          <w:rFonts w:hint="eastAsia"/>
          <w:b/>
        </w:rPr>
        <w:t>第九条</w:t>
      </w:r>
      <w:r>
        <w:rPr>
          <w:rFonts w:hint="eastAsia"/>
        </w:rPr>
        <w:t xml:space="preserve">  公园、能源、电力、旅游、院校等单位管理的湖泊，由其负责建立健全管理制度，确定管理人员，落实河湖管护责任，并报水行政主管部门备案。</w:t>
      </w:r>
    </w:p>
    <w:p w14:paraId="2E5C9AC3">
      <w:pPr>
        <w:ind w:firstLine="422"/>
      </w:pPr>
      <w:r>
        <w:rPr>
          <w:rFonts w:hint="eastAsia"/>
          <w:b/>
        </w:rPr>
        <w:t>第十条</w:t>
      </w:r>
      <w:r>
        <w:rPr>
          <w:rFonts w:hint="eastAsia"/>
        </w:rPr>
        <w:t xml:space="preserve">  本市鼓励和支持河湖保护管理领域科学技术的研究和应用，提高河湖保护管理的精细化、智能化水平。</w:t>
      </w:r>
    </w:p>
    <w:p w14:paraId="0F855CD3">
      <w:r>
        <w:rPr>
          <w:rFonts w:hint="eastAsia"/>
        </w:rPr>
        <w:t>本市各级人民政府及有关部门和新闻媒体应当加强河湖保护宣传教育，增强公民河湖环境保护的意识，引导公众和村、社区以及其他社会组织参与河湖保护管理的有关活动。</w:t>
      </w:r>
    </w:p>
    <w:p w14:paraId="0B3383DB">
      <w:r>
        <w:rPr>
          <w:rFonts w:hint="eastAsia"/>
        </w:rPr>
        <w:t>对保护河湖水环境、水工程、水文化做出突出贡献的单位和个人，由人民政府或者水行政主管部门给予表彰或者奖励。</w:t>
      </w:r>
    </w:p>
    <w:p w14:paraId="600C89BB"/>
    <w:p w14:paraId="707895AF">
      <w:pPr>
        <w:ind w:firstLine="562"/>
        <w:jc w:val="center"/>
        <w:rPr>
          <w:b/>
          <w:sz w:val="28"/>
        </w:rPr>
      </w:pPr>
      <w:r>
        <w:rPr>
          <w:rFonts w:hint="eastAsia"/>
          <w:b/>
          <w:sz w:val="28"/>
        </w:rPr>
        <w:t>第二章  规划编制与管理</w:t>
      </w:r>
    </w:p>
    <w:p w14:paraId="6F34C646"/>
    <w:p w14:paraId="302286E4">
      <w:pPr>
        <w:ind w:firstLine="422"/>
      </w:pPr>
      <w:r>
        <w:rPr>
          <w:rFonts w:hint="eastAsia"/>
          <w:b/>
        </w:rPr>
        <w:t>第十一条</w:t>
      </w:r>
      <w:r>
        <w:rPr>
          <w:rFonts w:hint="eastAsia"/>
        </w:rPr>
        <w:t xml:space="preserve">  市水行政主管部门负责编制全市河湖治理及保护管理规划，报市人民政府批准。</w:t>
      </w:r>
    </w:p>
    <w:p w14:paraId="4AD49740">
      <w:r>
        <w:rPr>
          <w:rFonts w:hint="eastAsia"/>
        </w:rPr>
        <w:t>市水行政主管部门会同相关部门按照全市河湖治理及保护管理规划以及相关要求，编制永定河、北运河、潮白河等跨区、县重要水系的流域治理及保护管理规划，报市人民政府或者其授权的部门批准。经批准的流域治理及保护管理规划，由流域管理机构实施监督、管理。</w:t>
      </w:r>
    </w:p>
    <w:p w14:paraId="3F5A2425">
      <w:r>
        <w:rPr>
          <w:rFonts w:hint="eastAsia"/>
        </w:rPr>
        <w:t>区、县水行政主管部门应当依据全市河湖治理及保护管理规划和所处水系的流域治理及保护管理规划，按照管辖权限组织编制本区、县河湖治理及保护管理规划，经市水行政主管部门审查后，报区、县人民政府批准，并报市水行政主管部门备案。</w:t>
      </w:r>
    </w:p>
    <w:p w14:paraId="50927F4A">
      <w:r>
        <w:rPr>
          <w:rFonts w:hint="eastAsia"/>
        </w:rPr>
        <w:t>乡、镇人民政府可以按照管辖权限组织编制本乡、镇河湖治理及保护管理规划，报区、县水行政主管部门批准。</w:t>
      </w:r>
    </w:p>
    <w:p w14:paraId="6FE89118">
      <w:pPr>
        <w:ind w:firstLine="422"/>
      </w:pPr>
      <w:r>
        <w:rPr>
          <w:rFonts w:hint="eastAsia"/>
          <w:b/>
        </w:rPr>
        <w:t>第十二条</w:t>
      </w:r>
      <w:r>
        <w:rPr>
          <w:rFonts w:hint="eastAsia"/>
        </w:rPr>
        <w:t xml:space="preserve">  河湖治理及保护管理规划应当包括河湖现状分析，防洪标准及除涝、排水要求，河湖开发利用原则、水功能区划及水质保护目标，河湖治理及保护管理任务、措施和实施方案，限制或者禁止开发、利用的项目等内容。</w:t>
      </w:r>
    </w:p>
    <w:p w14:paraId="7D2AB832">
      <w:pPr>
        <w:ind w:firstLine="422"/>
      </w:pPr>
      <w:r>
        <w:rPr>
          <w:rFonts w:hint="eastAsia"/>
          <w:b/>
        </w:rPr>
        <w:t>第十三条</w:t>
      </w:r>
      <w:r>
        <w:rPr>
          <w:rFonts w:hint="eastAsia"/>
        </w:rPr>
        <w:t xml:space="preserve">  河湖治理及保护管理规划应当结合城乡发展的需要，坚持以人为本、人水和谐的理念，兴利与除害相结合，统筹协调上下游、左右岸、干支流和有关地区之间的利益，兼顾水资源保护、水生态恢复、水文化保护及合理利用，充分发挥河湖综合效益。</w:t>
      </w:r>
    </w:p>
    <w:p w14:paraId="01B0D085">
      <w:pPr>
        <w:ind w:firstLine="422"/>
      </w:pPr>
      <w:r>
        <w:rPr>
          <w:rFonts w:hint="eastAsia"/>
          <w:b/>
        </w:rPr>
        <w:t>第十四条</w:t>
      </w:r>
      <w:r>
        <w:rPr>
          <w:rFonts w:hint="eastAsia"/>
        </w:rPr>
        <w:t xml:space="preserve">  河湖治理及保护管理规划应当符合北京城市总体规划和海河流域综合规划，并与国民经济和社会发展规划、土地利用总体规划及环境保护、水资源、防洪排水和水土保持等规划相协调。</w:t>
      </w:r>
    </w:p>
    <w:p w14:paraId="507BE70C">
      <w:r>
        <w:rPr>
          <w:rFonts w:hint="eastAsia"/>
        </w:rPr>
        <w:t>有关部门编制各类专业规划涉及河湖的，应当征求水行政主管部门的意见。</w:t>
      </w:r>
    </w:p>
    <w:p w14:paraId="0E28D00D">
      <w:pPr>
        <w:ind w:firstLine="422"/>
      </w:pPr>
      <w:r>
        <w:rPr>
          <w:rFonts w:hint="eastAsia"/>
          <w:b/>
        </w:rPr>
        <w:t>第十五条</w:t>
      </w:r>
      <w:r>
        <w:rPr>
          <w:rFonts w:hint="eastAsia"/>
        </w:rPr>
        <w:t xml:space="preserve">  河湖治理及保护管理规划是河湖保护、开发、利用和管理的依据。编制区域发展规划、新城和重点发展区规划以及重大建设项目布局，应当符合全市河湖治理及保护管理规划和流域治理及保护管理规划。</w:t>
      </w:r>
    </w:p>
    <w:p w14:paraId="3D225575">
      <w:r>
        <w:rPr>
          <w:rFonts w:hint="eastAsia"/>
        </w:rPr>
        <w:t>经批准的河湖治理及保护管理规划应当向社会公开，严格执行；确需修改的，必须经原批准机关批准。</w:t>
      </w:r>
    </w:p>
    <w:p w14:paraId="63956C26">
      <w:r>
        <w:rPr>
          <w:rFonts w:hint="eastAsia"/>
        </w:rPr>
        <w:t>市和区、县人民政府应当对河湖治理及保护管理规划的实施情况进行检查。</w:t>
      </w:r>
    </w:p>
    <w:p w14:paraId="40F8A4E9">
      <w:r>
        <w:rPr>
          <w:rFonts w:hint="eastAsia"/>
        </w:rPr>
        <w:t>任何单位和个人不得违反河湖治理及保护管理规划从事开发、利用活动。</w:t>
      </w:r>
    </w:p>
    <w:p w14:paraId="6B205F2A">
      <w:pPr>
        <w:ind w:firstLine="422"/>
      </w:pPr>
      <w:r>
        <w:rPr>
          <w:rFonts w:hint="eastAsia"/>
          <w:b/>
        </w:rPr>
        <w:t>第十六条</w:t>
      </w:r>
      <w:r>
        <w:rPr>
          <w:rFonts w:hint="eastAsia"/>
        </w:rPr>
        <w:t xml:space="preserve">  在河湖上建设水工程的，必须符合所在流域的治理及保护管理规划。</w:t>
      </w:r>
    </w:p>
    <w:p w14:paraId="51B82A7A">
      <w:r>
        <w:rPr>
          <w:rFonts w:hint="eastAsia"/>
        </w:rPr>
        <w:t>修建水库的，由市水行政主管部门批准或者经市水行政主管部门审核后依照国家有关规定报上级主管机关批准。</w:t>
      </w:r>
    </w:p>
    <w:p w14:paraId="1F69D6BA">
      <w:r>
        <w:rPr>
          <w:rFonts w:hint="eastAsia"/>
        </w:rPr>
        <w:t>在永定河、潮白河、北运河（含温榆河）、拒马河等跨省（市）河流、官厅水库库区及市管河湖、跨区（县）的河湖上建设水工程的，工程可行性研究报告报请批准前，应当依照《北京市实施〈中华人民共和国水法〉办法》的要求报经市水行政主管部门审核或者审查；在其他河湖上新建、扩建以及改建水工程的，工程可行性研究报告报请批准前，应当报区、县水行政主管部门审查并签署意见。</w:t>
      </w:r>
    </w:p>
    <w:p w14:paraId="24C6B4C9"/>
    <w:p w14:paraId="546D6BAF">
      <w:pPr>
        <w:ind w:firstLine="0" w:firstLineChars="0"/>
        <w:jc w:val="center"/>
        <w:rPr>
          <w:b/>
          <w:sz w:val="28"/>
        </w:rPr>
      </w:pPr>
      <w:r>
        <w:rPr>
          <w:rFonts w:hint="eastAsia"/>
          <w:b/>
          <w:sz w:val="28"/>
        </w:rPr>
        <w:t>第三章  河湖工程保护与管理</w:t>
      </w:r>
    </w:p>
    <w:p w14:paraId="5C6C8482"/>
    <w:p w14:paraId="4FE6A690">
      <w:pPr>
        <w:ind w:firstLine="422"/>
      </w:pPr>
      <w:r>
        <w:rPr>
          <w:rFonts w:hint="eastAsia"/>
          <w:b/>
        </w:rPr>
        <w:t>第十七条</w:t>
      </w:r>
      <w:r>
        <w:rPr>
          <w:rFonts w:hint="eastAsia"/>
        </w:rPr>
        <w:t xml:space="preserve">  本市各级人民政府应当按照河湖治理及保护管理规划要求划定河湖管理范围和保护范围。</w:t>
      </w:r>
    </w:p>
    <w:p w14:paraId="27B28331">
      <w:r>
        <w:rPr>
          <w:rFonts w:hint="eastAsia"/>
        </w:rPr>
        <w:t>水库、塘坝、人工水道和其他水工程及附属的土地、山场属于该工程的管理范围。有堤防的河流（含湖泊），其管理范围为两岸堤防之间的水域、沙洲、滩地（含可耕地）、行洪区，岸边堤防及护堤地；无堤防的河流（含湖泊），其管理范围根据设计洪水位或者参照历史最高洪水位确定。</w:t>
      </w:r>
    </w:p>
    <w:p w14:paraId="33088F41">
      <w:r>
        <w:rPr>
          <w:rFonts w:hint="eastAsia"/>
        </w:rPr>
        <w:t>在河湖管理范围的周围，根据河湖重要程度、保护河湖功能的需要，确定河湖保护范围的具体边界。</w:t>
      </w:r>
    </w:p>
    <w:p w14:paraId="33D59B26">
      <w:pPr>
        <w:ind w:firstLine="422"/>
      </w:pPr>
      <w:r>
        <w:rPr>
          <w:rFonts w:hint="eastAsia"/>
          <w:b/>
        </w:rPr>
        <w:t>第十八条</w:t>
      </w:r>
      <w:r>
        <w:rPr>
          <w:rFonts w:hint="eastAsia"/>
        </w:rPr>
        <w:t xml:space="preserve">  市和区、县管理河湖的管理范围、保护范围，由水行政主管部门按照管辖权限提出方案，征求相关部门意见后，报同级人民政府批准。</w:t>
      </w:r>
    </w:p>
    <w:p w14:paraId="15FFEECC">
      <w:r>
        <w:rPr>
          <w:rFonts w:hint="eastAsia"/>
        </w:rPr>
        <w:t>乡、镇管理河湖的管理范围、保护范围，由乡、镇人民政府提出具体方案，经所在区、县水行政主管部门审核，报区、县人民政府批准。</w:t>
      </w:r>
    </w:p>
    <w:p w14:paraId="0B8352C9">
      <w:r>
        <w:rPr>
          <w:rFonts w:hint="eastAsia"/>
        </w:rPr>
        <w:t>河湖的管理范围、保护范围划定后，应当向社会公告，并标图立界。</w:t>
      </w:r>
    </w:p>
    <w:p w14:paraId="5DBFAADB">
      <w:pPr>
        <w:ind w:firstLine="422"/>
      </w:pPr>
      <w:r>
        <w:rPr>
          <w:rFonts w:hint="eastAsia"/>
          <w:b/>
        </w:rPr>
        <w:t>第十九条</w:t>
      </w:r>
      <w:r>
        <w:rPr>
          <w:rFonts w:hint="eastAsia"/>
        </w:rPr>
        <w:t xml:space="preserve">  在河湖管理范围内，禁止下列行为：</w:t>
      </w:r>
    </w:p>
    <w:p w14:paraId="4B43C7EB">
      <w:bookmarkStart w:id="2597" w:name="_Toc428780783"/>
      <w:r>
        <w:rPr>
          <w:rFonts w:hint="eastAsia"/>
        </w:rPr>
        <w:t>（一）建设妨碍行洪的建筑物、构筑物；</w:t>
      </w:r>
      <w:bookmarkEnd w:id="2597"/>
    </w:p>
    <w:p w14:paraId="1FC52EEA">
      <w:r>
        <w:rPr>
          <w:rFonts w:hint="eastAsia"/>
        </w:rPr>
        <w:t>（二）损毁堤防、护岸、闸坝等水工程建筑物、构筑物及防汛、水工水文监测和测量、河岸地质监测、通讯、照明、滨河道路以及其他附属设备与设施；</w:t>
      </w:r>
    </w:p>
    <w:p w14:paraId="14B39591">
      <w:r>
        <w:rPr>
          <w:rFonts w:hint="eastAsia"/>
        </w:rPr>
        <w:t>（三）围堤或者修建阻水渠道、阻水道路；</w:t>
      </w:r>
    </w:p>
    <w:p w14:paraId="4373467C">
      <w:r>
        <w:rPr>
          <w:rFonts w:hint="eastAsia"/>
        </w:rPr>
        <w:t>（四）损毁护堤护岸林木；</w:t>
      </w:r>
    </w:p>
    <w:p w14:paraId="01E38879">
      <w:r>
        <w:rPr>
          <w:rFonts w:hint="eastAsia"/>
        </w:rPr>
        <w:t>（五）非管理人员开启、关闭河湖工程设备与设施；</w:t>
      </w:r>
    </w:p>
    <w:p w14:paraId="5A4CD31B">
      <w:bookmarkStart w:id="2598" w:name="_Toc428780784"/>
      <w:r>
        <w:rPr>
          <w:rFonts w:hint="eastAsia"/>
        </w:rPr>
        <w:t>（六）行驶履带车辆、超过限载标准的车辆；</w:t>
      </w:r>
      <w:bookmarkEnd w:id="2598"/>
    </w:p>
    <w:p w14:paraId="1D225D93">
      <w:r>
        <w:rPr>
          <w:rFonts w:hint="eastAsia"/>
        </w:rPr>
        <w:t>（七）其他影响河势稳定、危害水工程和河岸堤防安全的行为。</w:t>
      </w:r>
    </w:p>
    <w:p w14:paraId="2DCCE482">
      <w:pPr>
        <w:ind w:firstLine="422"/>
      </w:pPr>
      <w:r>
        <w:rPr>
          <w:rFonts w:hint="eastAsia"/>
          <w:b/>
        </w:rPr>
        <w:t>第二十条</w:t>
      </w:r>
      <w:r>
        <w:rPr>
          <w:rFonts w:hint="eastAsia"/>
        </w:rPr>
        <w:t xml:space="preserve">  在河湖管理范围、保护范围内进行下列活动的，必须报经有管辖权的水行政主管部门批准；涉及其他部门的，按照有关规定执行：</w:t>
      </w:r>
    </w:p>
    <w:p w14:paraId="125A1017">
      <w:bookmarkStart w:id="2599" w:name="_Toc428780785"/>
      <w:r>
        <w:rPr>
          <w:rFonts w:hint="eastAsia"/>
        </w:rPr>
        <w:t>（一）填湖、填河造地、明河改暗河；</w:t>
      </w:r>
      <w:bookmarkEnd w:id="2599"/>
    </w:p>
    <w:p w14:paraId="2FD992E1">
      <w:r>
        <w:rPr>
          <w:rFonts w:hint="eastAsia"/>
        </w:rPr>
        <w:t>（二）围河、挖筑鱼塘、挖坑开槽、勘探，或者设立线杆、线塔、无线通信塔、标识；</w:t>
      </w:r>
    </w:p>
    <w:p w14:paraId="74417EC0">
      <w:bookmarkStart w:id="2600" w:name="_Toc428780786"/>
      <w:r>
        <w:rPr>
          <w:rFonts w:hint="eastAsia"/>
        </w:rPr>
        <w:t>（三）设置固定停车场所；</w:t>
      </w:r>
      <w:bookmarkEnd w:id="2600"/>
    </w:p>
    <w:p w14:paraId="0407F7C7">
      <w:r>
        <w:rPr>
          <w:rFonts w:hint="eastAsia"/>
        </w:rPr>
        <w:t>（四）修路，或者修建园林小品、管理房及其附属设施，或者建设临时性建筑物、构筑物；</w:t>
      </w:r>
    </w:p>
    <w:p w14:paraId="15856C3A">
      <w:bookmarkStart w:id="2601" w:name="_Toc428780787"/>
      <w:r>
        <w:rPr>
          <w:rFonts w:hint="eastAsia"/>
        </w:rPr>
        <w:t>（五）爆破、打井、挖窖、挖取沙土、采砂、堆放物料；</w:t>
      </w:r>
      <w:bookmarkEnd w:id="2601"/>
    </w:p>
    <w:p w14:paraId="7007E03B">
      <w:r>
        <w:rPr>
          <w:rFonts w:hint="eastAsia"/>
        </w:rPr>
        <w:t>（六）开采地下资源、进行考古发掘。</w:t>
      </w:r>
    </w:p>
    <w:p w14:paraId="780CB9E4">
      <w:r>
        <w:rPr>
          <w:rFonts w:hint="eastAsia"/>
        </w:rPr>
        <w:t>河道改线、开挖人工湖泊，必须报经有管辖权的水行政主管部门批准。</w:t>
      </w:r>
    </w:p>
    <w:p w14:paraId="48A54A17">
      <w:pPr>
        <w:ind w:firstLine="422"/>
      </w:pPr>
      <w:r>
        <w:rPr>
          <w:rFonts w:hint="eastAsia"/>
          <w:b/>
        </w:rPr>
        <w:t>第二十一条</w:t>
      </w:r>
      <w:r>
        <w:rPr>
          <w:rFonts w:hint="eastAsia"/>
        </w:rPr>
        <w:t xml:space="preserve">  在河湖上新建、扩建以及改建开发水利、防治水害、整治河湖的各类工程和在河湖管理范围、保护范围内修建桥梁、道路、管道、缆线、闸房、码头、渡口、取水、排水等工程设施及其附属设施需要临河、跨河、穿堤、破堤、筑坝、围堰的，建设单位应当向有管辖权的水行政主管部门提出申请，报送工程建设方案。水行政主管部门应当在收到申请之日起</w:t>
      </w:r>
      <w:r>
        <w:rPr>
          <w:rFonts w:hint="eastAsia" w:ascii="宋体" w:hAnsi="宋体" w:eastAsia="宋体" w:cs="宋体"/>
        </w:rPr>
        <w:t>30</w:t>
      </w:r>
      <w:r>
        <w:rPr>
          <w:rFonts w:hint="eastAsia"/>
        </w:rPr>
        <w:t>个工作日内作出同意或者不同意的决定，不同意的应当说明理由。</w:t>
      </w:r>
    </w:p>
    <w:p w14:paraId="236C6C6E">
      <w:r>
        <w:rPr>
          <w:rFonts w:hint="eastAsia"/>
        </w:rPr>
        <w:t>经批准的建设项目开工前，建设单位应当到有管辖权的水行政主管部门办理工程开工审批手续并与河湖管理机构签订管理协议；工程竣工后，应当报水行政主管部门验收。验收不合格的，不得投入使用。</w:t>
      </w:r>
    </w:p>
    <w:p w14:paraId="54002142">
      <w:pPr>
        <w:ind w:firstLine="422"/>
      </w:pPr>
      <w:r>
        <w:rPr>
          <w:rFonts w:hint="eastAsia"/>
          <w:b/>
        </w:rPr>
        <w:t>第二十二条</w:t>
      </w:r>
      <w:r>
        <w:rPr>
          <w:rFonts w:hint="eastAsia"/>
        </w:rPr>
        <w:t xml:space="preserve">  本市建立健全建设项目占用河湖工程设施和水域等补偿制度。</w:t>
      </w:r>
    </w:p>
    <w:p w14:paraId="29E8C960">
      <w:r>
        <w:rPr>
          <w:rFonts w:hint="eastAsia"/>
        </w:rPr>
        <w:t>在河湖管理范围、保护范围内，经批准的建设项目占用水利设施和水域，或者对原有河湖工程设施和水域有不利影响的，建设主体应当采取相应的补救措施，依法承担经济补偿责任。补偿费用专项用于河湖保护工作。具体办法由市水行政主管部门会同发展改革、财政等有关部门制定。</w:t>
      </w:r>
    </w:p>
    <w:p w14:paraId="2A61CDE3">
      <w:pPr>
        <w:ind w:firstLine="422"/>
      </w:pPr>
      <w:r>
        <w:rPr>
          <w:rFonts w:hint="eastAsia"/>
          <w:b/>
        </w:rPr>
        <w:t>第二十三条</w:t>
      </w:r>
      <w:r>
        <w:rPr>
          <w:rFonts w:hint="eastAsia"/>
        </w:rPr>
        <w:t xml:space="preserve">  河湖管理范围、保护范围内依法修建的非河湖工程建筑物及其他设施，其产权单位或者管理单位应当定期检查、维护，确保运行安全。</w:t>
      </w:r>
    </w:p>
    <w:p w14:paraId="58C51E24">
      <w:r>
        <w:rPr>
          <w:rFonts w:hint="eastAsia"/>
        </w:rPr>
        <w:t>水行政主管部门应当加强日常监督检查，对不符合河湖保护管理标准规范的，责令及时改正。</w:t>
      </w:r>
    </w:p>
    <w:p w14:paraId="4A037CCA">
      <w:pPr>
        <w:ind w:firstLine="422"/>
      </w:pPr>
      <w:r>
        <w:rPr>
          <w:rFonts w:hint="eastAsia"/>
          <w:b/>
        </w:rPr>
        <w:t>第二十四条</w:t>
      </w:r>
      <w:r>
        <w:rPr>
          <w:rFonts w:hint="eastAsia"/>
        </w:rPr>
        <w:t xml:space="preserve">  水行政主管部门应当会同文物、规划等有关部门制定具有重要历史文化价值的河道、水域及桥、闸等水工建筑物、构筑物和遗址保护名录，明确保护范围和标准，建立相关档案；对河湖非物质文化遗产进行挖掘、整理，保护和弘扬河湖文化。</w:t>
      </w:r>
    </w:p>
    <w:p w14:paraId="145D7B06">
      <w:r>
        <w:rPr>
          <w:rFonts w:hint="eastAsia"/>
        </w:rPr>
        <w:t>任何单位和个人不得毁坏、拆除列入保护名录中的水工建筑物、构筑物或者遗址。</w:t>
      </w:r>
    </w:p>
    <w:p w14:paraId="725A0C58"/>
    <w:p w14:paraId="5CD13328">
      <w:pPr>
        <w:ind w:firstLine="0" w:firstLineChars="0"/>
        <w:jc w:val="center"/>
        <w:rPr>
          <w:b/>
          <w:sz w:val="28"/>
        </w:rPr>
      </w:pPr>
      <w:r>
        <w:rPr>
          <w:rFonts w:hint="eastAsia"/>
          <w:b/>
          <w:sz w:val="28"/>
        </w:rPr>
        <w:t>第四章  河湖水环境保护与管理</w:t>
      </w:r>
    </w:p>
    <w:p w14:paraId="16C35406"/>
    <w:p w14:paraId="139FDBE5">
      <w:pPr>
        <w:ind w:firstLine="422"/>
      </w:pPr>
      <w:r>
        <w:rPr>
          <w:rFonts w:hint="eastAsia"/>
          <w:b/>
        </w:rPr>
        <w:t>第二十五条</w:t>
      </w:r>
      <w:r>
        <w:rPr>
          <w:rFonts w:hint="eastAsia"/>
        </w:rPr>
        <w:t xml:space="preserve">  本市各级人民政府应当按照河湖治理及保护管理规划开展河湖综合治理和水网建设，修复水体生态功能，提高水体自然净化能力，涵养和保护水资源。</w:t>
      </w:r>
    </w:p>
    <w:p w14:paraId="645BBA0D">
      <w:pPr>
        <w:ind w:firstLine="422"/>
      </w:pPr>
      <w:r>
        <w:rPr>
          <w:rFonts w:hint="eastAsia"/>
          <w:b/>
        </w:rPr>
        <w:t>第二十六条</w:t>
      </w:r>
      <w:r>
        <w:rPr>
          <w:rFonts w:hint="eastAsia"/>
        </w:rPr>
        <w:t xml:space="preserve">  市水行政主管部门会同有关部门按照河湖治理及保护管理规划确定本市重点河段和重点湖泊生态环境用水量，提出具体生态环境用水保障方案并组织实施。</w:t>
      </w:r>
    </w:p>
    <w:p w14:paraId="6D778EF2">
      <w:r>
        <w:rPr>
          <w:rFonts w:hint="eastAsia"/>
        </w:rPr>
        <w:t>河湖生态环境用水应当充分利用雨水和再生水。</w:t>
      </w:r>
    </w:p>
    <w:p w14:paraId="71636B98">
      <w:pPr>
        <w:ind w:firstLine="422"/>
      </w:pPr>
      <w:r>
        <w:rPr>
          <w:rFonts w:hint="eastAsia"/>
          <w:b/>
        </w:rPr>
        <w:t>第二十七条</w:t>
      </w:r>
      <w:r>
        <w:rPr>
          <w:rFonts w:hint="eastAsia"/>
        </w:rPr>
        <w:t xml:space="preserve">  向河湖排水的，入河水体水质应当达到规定的排放标准，并实行雨水、污水分流。</w:t>
      </w:r>
    </w:p>
    <w:p w14:paraId="6515CF0F">
      <w:r>
        <w:rPr>
          <w:rFonts w:hint="eastAsia"/>
        </w:rPr>
        <w:t>任何单位或者个人不得直接或者间接向河湖排放未经处理或者经处理未达到规定标准的污水，不得向路边雨水口、雨水管线及其附属设施排放或者倾倒污水、污物和其他有毒、有害物质。</w:t>
      </w:r>
    </w:p>
    <w:p w14:paraId="4DA2B972">
      <w:pPr>
        <w:ind w:firstLine="422"/>
      </w:pPr>
      <w:r>
        <w:rPr>
          <w:rFonts w:hint="eastAsia"/>
          <w:b/>
        </w:rPr>
        <w:t>第二十八条</w:t>
      </w:r>
      <w:r>
        <w:rPr>
          <w:rFonts w:hint="eastAsia"/>
        </w:rPr>
        <w:t xml:space="preserve">  需要在河湖管理范围内新建、改建或者扩大排水口的，应当经有管辖权的水行政主管部门审查批准。</w:t>
      </w:r>
    </w:p>
    <w:p w14:paraId="2389FD30">
      <w:r>
        <w:rPr>
          <w:rFonts w:hint="eastAsia"/>
        </w:rPr>
        <w:t>排水管网覆盖范围地区，不得设置排污口。</w:t>
      </w:r>
    </w:p>
    <w:p w14:paraId="692CAF0E">
      <w:pPr>
        <w:ind w:firstLine="422"/>
      </w:pPr>
      <w:r>
        <w:rPr>
          <w:rFonts w:hint="eastAsia"/>
          <w:b/>
        </w:rPr>
        <w:t>第二十九条</w:t>
      </w:r>
      <w:r>
        <w:rPr>
          <w:rFonts w:hint="eastAsia"/>
        </w:rPr>
        <w:t xml:space="preserve">  本市建立河湖水功能区限制纳污制度。</w:t>
      </w:r>
    </w:p>
    <w:p w14:paraId="0607466B">
      <w:r>
        <w:rPr>
          <w:rFonts w:hint="eastAsia"/>
        </w:rPr>
        <w:t>水行政主管部门应当按照河湖水功能区对水质的要求和水体的自然净化能力，核定水域的纳污能力，向同级环境保护行政主管部门提出该水域的限制排污总量意见。</w:t>
      </w:r>
    </w:p>
    <w:p w14:paraId="659DC523">
      <w:r>
        <w:rPr>
          <w:rFonts w:hint="eastAsia"/>
        </w:rPr>
        <w:t>环境保护行政主管部门实施排污许可时，应当考虑入河水域水功能区水质标准。</w:t>
      </w:r>
    </w:p>
    <w:p w14:paraId="4E38AECE">
      <w:r>
        <w:rPr>
          <w:rFonts w:hint="eastAsia"/>
        </w:rPr>
        <w:t>水行政主管部门发现水域重点污染物排放总量超过控制指标或者水功能区水质未达到水域使用功能对水质要求的，应当及时报请有关人民政府采取治理措施，并向同级环境保护行政主管部门通报。</w:t>
      </w:r>
    </w:p>
    <w:p w14:paraId="32BE24FA">
      <w:pPr>
        <w:ind w:firstLine="422"/>
      </w:pPr>
      <w:r>
        <w:rPr>
          <w:rFonts w:hint="eastAsia"/>
          <w:b/>
        </w:rPr>
        <w:t>第三十条</w:t>
      </w:r>
      <w:r>
        <w:rPr>
          <w:rFonts w:hint="eastAsia"/>
        </w:rPr>
        <w:t xml:space="preserve">  本市建立河湖断面考核制度，严格落实流域统一管理下的河湖保护属地管理责任。</w:t>
      </w:r>
    </w:p>
    <w:p w14:paraId="726C96C5">
      <w:r>
        <w:rPr>
          <w:rFonts w:hint="eastAsia"/>
        </w:rPr>
        <w:t>水行政主管部门和环境保护行政主管部门应当运用信息化手段对河湖水质实施动态监测，定期公布水质监测结果。</w:t>
      </w:r>
    </w:p>
    <w:p w14:paraId="2EB5A591">
      <w:pPr>
        <w:ind w:firstLine="422"/>
      </w:pPr>
      <w:r>
        <w:rPr>
          <w:rFonts w:hint="eastAsia"/>
          <w:b/>
        </w:rPr>
        <w:t>第三十一条</w:t>
      </w:r>
      <w:r>
        <w:rPr>
          <w:rFonts w:hint="eastAsia"/>
        </w:rPr>
        <w:t xml:space="preserve">  在河湖管理范围内，禁止洗刷车辆或者装贮过油类、有毒污染物的容器，实施毒鱼、炸鱼、电鱼、设置拦河渔具活动，使用对河湖水体有害的鱼药和高毒、高残留的农药，开办各类商品交易市场、经营摊点以及开展集市贸易活动。</w:t>
      </w:r>
    </w:p>
    <w:p w14:paraId="2A0F59E3">
      <w:r>
        <w:rPr>
          <w:rFonts w:hint="eastAsia"/>
        </w:rPr>
        <w:t>在河湖管理范围、保护范围内禁止倾倒、堆放、掩埋、弃置垃圾渣土和其他废弃物。</w:t>
      </w:r>
    </w:p>
    <w:p w14:paraId="46127520">
      <w:pPr>
        <w:ind w:firstLine="422"/>
      </w:pPr>
      <w:r>
        <w:rPr>
          <w:rFonts w:hint="eastAsia"/>
          <w:b/>
        </w:rPr>
        <w:t>第三十二条</w:t>
      </w:r>
      <w:r>
        <w:rPr>
          <w:rFonts w:hint="eastAsia"/>
        </w:rPr>
        <w:t xml:space="preserve">  市和区、县水行政主管部门应当会同环境保护行政主管部门按照保护饮用水源安全和人身安全的要求，依法划定并公布禁止游泳、滑冰等水上活动的水域，设置警示标志；在未禁止游泳、滑冰等水上活动的水域，活动人员或组织者应当采取安全防护措施。</w:t>
      </w:r>
    </w:p>
    <w:p w14:paraId="3CD177AE">
      <w:r>
        <w:rPr>
          <w:rFonts w:hint="eastAsia"/>
        </w:rPr>
        <w:t>新、改、扩建河湖工程时，河湖管理机构应当在陡岸、直墙等危险地段设置必要的安全防护设施。</w:t>
      </w:r>
    </w:p>
    <w:p w14:paraId="6199304B">
      <w:pPr>
        <w:ind w:firstLine="422"/>
      </w:pPr>
      <w:r>
        <w:rPr>
          <w:rFonts w:hint="eastAsia"/>
          <w:b/>
        </w:rPr>
        <w:t>第三十三条</w:t>
      </w:r>
      <w:r>
        <w:rPr>
          <w:rFonts w:hint="eastAsia"/>
        </w:rPr>
        <w:t xml:space="preserve">  利用河湖开办旅游项目或者从事其他利用活动的，应当符合水功能区划要求，保证河湖工程、行洪、河湖生态环境、水体、水质的安全，不得使用以柴油、汽油为动力的游船。</w:t>
      </w:r>
    </w:p>
    <w:p w14:paraId="0D6B2363">
      <w:r>
        <w:rPr>
          <w:rFonts w:hint="eastAsia"/>
        </w:rPr>
        <w:t>利用河湖开办旅游项目或者从事其他利用活动的，必须报有管辖权的水行政主管部门批准；涉及其他部门的，按照有关规定执行。</w:t>
      </w:r>
    </w:p>
    <w:p w14:paraId="765415D8">
      <w:pPr>
        <w:ind w:firstLine="422"/>
      </w:pPr>
      <w:r>
        <w:rPr>
          <w:rFonts w:hint="eastAsia"/>
          <w:b/>
        </w:rPr>
        <w:t>第三十四条</w:t>
      </w:r>
      <w:r>
        <w:rPr>
          <w:rFonts w:hint="eastAsia"/>
        </w:rPr>
        <w:t xml:space="preserve">  在河湖管理范围、保护范围内从事种植业的，区县、乡镇人民政府应当推广测土配方施肥、精准施药、病虫害生物防治等农业生产技术，减少农药、化肥使用量，发展绿色生态农业，有效控制农业面源污染。</w:t>
      </w:r>
    </w:p>
    <w:p w14:paraId="6120396F">
      <w:r>
        <w:rPr>
          <w:rFonts w:hint="eastAsia"/>
        </w:rPr>
        <w:t>在河流两岸和湖泊、水库、塘坝周边从事规模畜禽养殖的，应当符合全市畜牧业发展规划，并对畜禽粪便、废物进行无害化处理，实行污水达标排放，保证水源质量。</w:t>
      </w:r>
    </w:p>
    <w:p w14:paraId="2630E901">
      <w:r>
        <w:rPr>
          <w:rFonts w:hint="eastAsia"/>
        </w:rPr>
        <w:t>区县、乡镇人民政府应当加强对河湖流域水产养殖的管理，合理确定水产养殖规模和布局，推广循环水养殖、不投饵养殖等生态养殖技术，限制围网养殖，减少水产养殖污染。</w:t>
      </w:r>
    </w:p>
    <w:p w14:paraId="4DA9C439">
      <w:pPr>
        <w:ind w:firstLine="422"/>
      </w:pPr>
      <w:r>
        <w:rPr>
          <w:rFonts w:hint="eastAsia"/>
          <w:b/>
        </w:rPr>
        <w:t>第三十五条</w:t>
      </w:r>
      <w:r>
        <w:rPr>
          <w:rFonts w:hint="eastAsia"/>
        </w:rPr>
        <w:t xml:space="preserve">  河湖管理范围、保护范围内的环境卫生管理，按照本市环境卫生责任制执行。</w:t>
      </w:r>
    </w:p>
    <w:p w14:paraId="476BC3EC">
      <w:r>
        <w:rPr>
          <w:rFonts w:hint="eastAsia"/>
        </w:rPr>
        <w:t>各责任单位应当落实河湖环境卫生责任，市政市容行政主管部门负责监督管理。</w:t>
      </w:r>
    </w:p>
    <w:p w14:paraId="2AFCCAF9">
      <w:pPr>
        <w:ind w:firstLine="422"/>
      </w:pPr>
      <w:r>
        <w:rPr>
          <w:rFonts w:hint="eastAsia"/>
          <w:b/>
        </w:rPr>
        <w:t>第三十六条</w:t>
      </w:r>
      <w:r>
        <w:rPr>
          <w:rFonts w:hint="eastAsia"/>
        </w:rPr>
        <w:t xml:space="preserve">  河湖管理范围和保护范围内在确保防洪安全的前提下，应当进行绿化，建设滨河绿化带、绿色步道和亲水健身休闲设施。</w:t>
      </w:r>
    </w:p>
    <w:p w14:paraId="1C325692">
      <w:r>
        <w:rPr>
          <w:rFonts w:hint="eastAsia"/>
        </w:rPr>
        <w:t>河湖沿岸的绿化、岸坡及河底防护应当按照河湖功能、生态和环保景观要求及绿化技术标准，进行统一规划、设计。</w:t>
      </w:r>
    </w:p>
    <w:p w14:paraId="6F3C1970">
      <w:r>
        <w:rPr>
          <w:rFonts w:hint="eastAsia"/>
        </w:rPr>
        <w:t>河湖管理范围的绿化及其管理维护由河湖管理机构负责；河湖保护范围的绿化及其管理维护分别由园林绿化、公路、水行政主管部门负责；林木的抚育、更新和维护依照有关法律、法规的规定执行。</w:t>
      </w:r>
    </w:p>
    <w:p w14:paraId="1B76DE40">
      <w:pPr>
        <w:ind w:firstLine="422"/>
      </w:pPr>
      <w:r>
        <w:rPr>
          <w:rFonts w:hint="eastAsia"/>
          <w:b/>
        </w:rPr>
        <w:t>第三十七条</w:t>
      </w:r>
      <w:r>
        <w:rPr>
          <w:rFonts w:hint="eastAsia"/>
        </w:rPr>
        <w:t xml:space="preserve">  河湖管理机构应当依法制定河湖突发事件应急预案，并定期演练。</w:t>
      </w:r>
    </w:p>
    <w:p w14:paraId="61FEE0FD">
      <w:r>
        <w:rPr>
          <w:rFonts w:hint="eastAsia"/>
        </w:rPr>
        <w:t>河湖发生突发事件时，河湖管理机构应当启动应急预案，迅速到达事故现场进行处置，采取有效措施，防止损失扩大；可能影响公共安全的，应当及时告知受影响的单位和公众，同时向水行政主管部门报告。</w:t>
      </w:r>
    </w:p>
    <w:p w14:paraId="24F60D6B">
      <w:pPr>
        <w:ind w:firstLine="422"/>
      </w:pPr>
      <w:r>
        <w:rPr>
          <w:rFonts w:hint="eastAsia"/>
          <w:b/>
        </w:rPr>
        <w:t>第三十八条</w:t>
      </w:r>
      <w:r>
        <w:rPr>
          <w:rFonts w:hint="eastAsia"/>
        </w:rPr>
        <w:t xml:space="preserve">  水行政主管部门和流域管理机构应当建立和完善河湖违法行为举报制度，向社会公布受理举报的途径和方式，并为举报人保密。</w:t>
      </w:r>
    </w:p>
    <w:p w14:paraId="459ECABF">
      <w:r>
        <w:rPr>
          <w:rFonts w:hint="eastAsia"/>
        </w:rPr>
        <w:t>水行政主管部门和流域管理机构收到举报应当登记、及时核实处理，并定期公布处理结果。</w:t>
      </w:r>
    </w:p>
    <w:p w14:paraId="313C024F"/>
    <w:p w14:paraId="710DD3B4">
      <w:pPr>
        <w:ind w:firstLine="0" w:firstLineChars="0"/>
        <w:jc w:val="center"/>
        <w:rPr>
          <w:b/>
          <w:sz w:val="28"/>
        </w:rPr>
      </w:pPr>
      <w:r>
        <w:rPr>
          <w:rFonts w:hint="eastAsia"/>
          <w:b/>
          <w:sz w:val="28"/>
        </w:rPr>
        <w:t>第五章  法律责任</w:t>
      </w:r>
    </w:p>
    <w:p w14:paraId="5E9A1808"/>
    <w:p w14:paraId="62DDF36A">
      <w:pPr>
        <w:ind w:firstLine="422"/>
      </w:pPr>
      <w:r>
        <w:rPr>
          <w:rFonts w:hint="eastAsia"/>
          <w:b/>
        </w:rPr>
        <w:t>第三十九条</w:t>
      </w:r>
      <w:r>
        <w:rPr>
          <w:rFonts w:hint="eastAsia"/>
        </w:rPr>
        <w:t xml:space="preserve">  违反本条例第十九条、第二十条第五项和第六项、第二十七条、第三十一条、第三十二条规定的，依照水、防洪、水污染防治、水土保持等法律、法规的有关规定进行处罚。</w:t>
      </w:r>
    </w:p>
    <w:p w14:paraId="0402F456">
      <w:pPr>
        <w:ind w:firstLine="422"/>
        <w:rPr>
          <w:rFonts w:hint="eastAsia" w:ascii="宋体" w:hAnsi="宋体" w:eastAsia="宋体" w:cs="宋体"/>
        </w:rPr>
      </w:pPr>
      <w:r>
        <w:rPr>
          <w:rFonts w:hint="eastAsia"/>
          <w:b/>
        </w:rPr>
        <w:t>第四十条</w:t>
      </w:r>
      <w:r>
        <w:rPr>
          <w:rFonts w:hint="eastAsia"/>
        </w:rPr>
        <w:t xml:space="preserve">  违反本条例第二十条规定，未经水行政主管部门批准，擅自在河湖管理范围、保护范围内从事以下活动的，由水行政主管部门按照管辖权限责令停止违法行为，限期补办行政许可手续，并按以下规定予</w:t>
      </w:r>
      <w:r>
        <w:rPr>
          <w:rFonts w:hint="eastAsia" w:ascii="宋体" w:hAnsi="宋体" w:eastAsia="宋体" w:cs="宋体"/>
        </w:rPr>
        <w:t>以处罚；逾期未能取得行政许可手续的，责令限期恢复原状，赔偿损失或者采取补救措施。逾期不恢复原状的，按程序强制清除，所需费用由当事人承担。</w:t>
      </w:r>
    </w:p>
    <w:p w14:paraId="0A4B60D7">
      <w:pPr>
        <w:rPr>
          <w:rFonts w:hint="eastAsia" w:ascii="宋体" w:hAnsi="宋体" w:eastAsia="宋体" w:cs="宋体"/>
        </w:rPr>
      </w:pPr>
      <w:r>
        <w:rPr>
          <w:rFonts w:hint="eastAsia" w:ascii="宋体" w:hAnsi="宋体" w:eastAsia="宋体" w:cs="宋体"/>
        </w:rPr>
        <w:t>（一）围河、挖筑鱼塘、挖坑开槽、勘探或者设立线杆、线塔、无线通信塔、标识，或者建设临时性构筑物的，处1万元以上5万元以下的罚款。</w:t>
      </w:r>
    </w:p>
    <w:p w14:paraId="670901FD">
      <w:pPr>
        <w:rPr>
          <w:rFonts w:hint="eastAsia" w:ascii="宋体" w:hAnsi="宋体" w:eastAsia="宋体" w:cs="宋体"/>
        </w:rPr>
      </w:pPr>
      <w:r>
        <w:rPr>
          <w:rFonts w:hint="eastAsia" w:ascii="宋体" w:hAnsi="宋体" w:eastAsia="宋体" w:cs="宋体"/>
        </w:rPr>
        <w:t>（二）设置固定停车场所的，处5万元以下的罚款。</w:t>
      </w:r>
    </w:p>
    <w:p w14:paraId="4A750EDA">
      <w:pPr>
        <w:rPr>
          <w:rFonts w:hint="eastAsia" w:ascii="宋体" w:hAnsi="宋体" w:eastAsia="宋体" w:cs="宋体"/>
        </w:rPr>
      </w:pPr>
      <w:r>
        <w:rPr>
          <w:rFonts w:hint="eastAsia" w:ascii="宋体" w:hAnsi="宋体" w:eastAsia="宋体" w:cs="宋体"/>
        </w:rPr>
        <w:t>（三）修路，或者修建园林小品、管理房及其附属设施的，处1万元以上10万元以下的罚款。</w:t>
      </w:r>
    </w:p>
    <w:p w14:paraId="0C8FFB6B">
      <w:pPr>
        <w:rPr>
          <w:rFonts w:hint="eastAsia" w:ascii="宋体" w:hAnsi="宋体" w:eastAsia="宋体" w:cs="宋体"/>
        </w:rPr>
      </w:pPr>
      <w:r>
        <w:rPr>
          <w:rFonts w:hint="eastAsia" w:ascii="宋体" w:hAnsi="宋体" w:eastAsia="宋体" w:cs="宋体"/>
        </w:rPr>
        <w:t>（四）河道改线、开挖人工湖泊的，处1万元以上5万元以下的罚款。</w:t>
      </w:r>
    </w:p>
    <w:p w14:paraId="494A1497">
      <w:pPr>
        <w:ind w:firstLine="422"/>
        <w:rPr>
          <w:rFonts w:hint="eastAsia" w:ascii="宋体" w:hAnsi="宋体" w:eastAsia="宋体" w:cs="宋体"/>
        </w:rPr>
      </w:pPr>
      <w:r>
        <w:rPr>
          <w:rFonts w:hint="eastAsia" w:ascii="宋体" w:hAnsi="宋体" w:eastAsia="宋体" w:cs="宋体"/>
          <w:b/>
        </w:rPr>
        <w:t>第四十一条</w:t>
      </w:r>
      <w:r>
        <w:rPr>
          <w:rFonts w:hint="eastAsia" w:ascii="宋体" w:hAnsi="宋体" w:eastAsia="宋体" w:cs="宋体"/>
        </w:rPr>
        <w:t xml:space="preserve">  违反本条例第二十一条规定，建设单位未经批准擅自开工的，由水行政主管部门责令停止违法行为，限期补办有关手续；逾期不补办或者补办未被批准的，责令限期拆除违法建筑物、构筑物，恢复原状；逾期不拆除、不恢复原状的，强制拆除，所需费用由违法单位或者个人负担，并处1万元以上10万元以下的罚款。</w:t>
      </w:r>
    </w:p>
    <w:p w14:paraId="4971BD4B">
      <w:pPr>
        <w:rPr>
          <w:rFonts w:hint="eastAsia" w:ascii="宋体" w:hAnsi="宋体" w:eastAsia="宋体" w:cs="宋体"/>
        </w:rPr>
      </w:pPr>
      <w:r>
        <w:rPr>
          <w:rFonts w:hint="eastAsia" w:ascii="宋体" w:hAnsi="宋体" w:eastAsia="宋体" w:cs="宋体"/>
        </w:rPr>
        <w:t>建设单位未按照经批准的工程建设方案修建工程设施，影响河势稳定、危害河岸堤防安全和其他妨碍河道行洪，但尚可采取补救措施的，责令限期采取补救措施；逾期不采取补救措施或者未达到要求的，由水行政主管部门责令停止违法行为，限期拆除违法建筑物、构筑物，恢复原状；逾期不拆除、不恢复原状的，强制拆除，所需费用由违法单位或者个人负担，并处1万元以上10万元以下的罚款。</w:t>
      </w:r>
    </w:p>
    <w:p w14:paraId="76F07688">
      <w:pPr>
        <w:ind w:firstLine="422"/>
        <w:rPr>
          <w:rFonts w:hint="eastAsia" w:ascii="宋体" w:hAnsi="宋体" w:eastAsia="宋体" w:cs="宋体"/>
        </w:rPr>
      </w:pPr>
      <w:r>
        <w:rPr>
          <w:rFonts w:hint="eastAsia" w:ascii="宋体" w:hAnsi="宋体" w:eastAsia="宋体" w:cs="宋体"/>
          <w:b/>
        </w:rPr>
        <w:t>第四十二条</w:t>
      </w:r>
      <w:r>
        <w:rPr>
          <w:rFonts w:hint="eastAsia" w:ascii="宋体" w:hAnsi="宋体" w:eastAsia="宋体" w:cs="宋体"/>
        </w:rPr>
        <w:t xml:space="preserve">  违反本条例第二十三条规定，非河湖工程及相关设施不符合河湖保护管理标准规范，且产权单位或者管理单位未按规定及时改正的，由水行政主管部门按照管辖权限责令限期改正或者采取补救措施，可以处1万元以上10万元以下的罚款。</w:t>
      </w:r>
    </w:p>
    <w:p w14:paraId="5C7634DF">
      <w:pPr>
        <w:ind w:firstLine="422"/>
        <w:rPr>
          <w:rFonts w:hint="eastAsia" w:ascii="宋体" w:hAnsi="宋体" w:eastAsia="宋体" w:cs="宋体"/>
        </w:rPr>
      </w:pPr>
      <w:r>
        <w:rPr>
          <w:rFonts w:hint="eastAsia" w:ascii="宋体" w:hAnsi="宋体" w:eastAsia="宋体" w:cs="宋体"/>
          <w:b/>
        </w:rPr>
        <w:t>第四十三条</w:t>
      </w:r>
      <w:r>
        <w:rPr>
          <w:rFonts w:hint="eastAsia" w:ascii="宋体" w:hAnsi="宋体" w:eastAsia="宋体" w:cs="宋体"/>
        </w:rPr>
        <w:t xml:space="preserve">  违反本条例第二十四条规定，毁坏或者拆除保护名录中的河道、水域和水工建筑物、构筑物、遗址的，由水行政主管部门按照管辖权限责令其停止违法行为，限期恢复原状，处10万元以上50万元以下的罚款。</w:t>
      </w:r>
    </w:p>
    <w:p w14:paraId="23643E9E">
      <w:pPr>
        <w:ind w:firstLine="422"/>
        <w:rPr>
          <w:rFonts w:hint="eastAsia" w:ascii="宋体" w:hAnsi="宋体" w:eastAsia="宋体" w:cs="宋体"/>
        </w:rPr>
      </w:pPr>
      <w:r>
        <w:rPr>
          <w:rFonts w:hint="eastAsia" w:ascii="宋体" w:hAnsi="宋体" w:eastAsia="宋体" w:cs="宋体"/>
          <w:b/>
        </w:rPr>
        <w:t>第四十四条</w:t>
      </w:r>
      <w:r>
        <w:rPr>
          <w:rFonts w:hint="eastAsia" w:ascii="宋体" w:hAnsi="宋体" w:eastAsia="宋体" w:cs="宋体"/>
        </w:rPr>
        <w:t xml:space="preserve">  违反本条例第二十八条第一款规定，未经水行政主管部门批准，擅自在河湖管理范围内新建、改建或者扩大排水口的，由水行政主管部门按照管辖权限责令停止违法行为，限期恢复原状，处5万元以上10万元以下的罚款。</w:t>
      </w:r>
    </w:p>
    <w:p w14:paraId="72F1B03F">
      <w:pPr>
        <w:ind w:firstLine="422"/>
        <w:rPr>
          <w:rFonts w:hint="eastAsia" w:ascii="宋体" w:hAnsi="宋体" w:eastAsia="宋体" w:cs="宋体"/>
        </w:rPr>
      </w:pPr>
      <w:r>
        <w:rPr>
          <w:rFonts w:hint="eastAsia" w:ascii="宋体" w:hAnsi="宋体" w:eastAsia="宋体" w:cs="宋体"/>
          <w:b/>
        </w:rPr>
        <w:t>第四十五条</w:t>
      </w:r>
      <w:r>
        <w:rPr>
          <w:rFonts w:hint="eastAsia" w:ascii="宋体" w:hAnsi="宋体" w:eastAsia="宋体" w:cs="宋体"/>
        </w:rPr>
        <w:t xml:space="preserve">  违反本条例第三十三条第一款规定，开展水上旅游项目或者其他利用活动时使用以柴油、汽油为动力的游船的，由水行政主管部门按照管辖权限责令停止违法行为，限期改正，处8000元以上8万元以下的罚款；造成损失的，依法赔偿损失或者采取补救措施。</w:t>
      </w:r>
    </w:p>
    <w:p w14:paraId="000D7797">
      <w:pPr>
        <w:rPr>
          <w:rFonts w:hint="eastAsia" w:ascii="宋体" w:hAnsi="宋体" w:eastAsia="宋体" w:cs="宋体"/>
        </w:rPr>
      </w:pPr>
      <w:r>
        <w:rPr>
          <w:rFonts w:hint="eastAsia" w:ascii="宋体" w:hAnsi="宋体" w:eastAsia="宋体" w:cs="宋体"/>
        </w:rPr>
        <w:t>违反本条例第三十三条第二款规定，未经批准擅自利用河湖开办旅游项目或者从事其他利用活动的，由水行政主管部门按照管辖权限责令停止违法行为，限期改正，处2万元以上10万元以下的罚款。</w:t>
      </w:r>
    </w:p>
    <w:p w14:paraId="7999DD3C">
      <w:pPr>
        <w:ind w:firstLine="422"/>
        <w:rPr>
          <w:rFonts w:hint="eastAsia" w:ascii="宋体" w:hAnsi="宋体" w:eastAsia="宋体" w:cs="宋体"/>
        </w:rPr>
      </w:pPr>
      <w:r>
        <w:rPr>
          <w:rFonts w:hint="eastAsia" w:ascii="宋体" w:hAnsi="宋体" w:eastAsia="宋体" w:cs="宋体"/>
          <w:b/>
        </w:rPr>
        <w:t>第四十六条</w:t>
      </w:r>
      <w:r>
        <w:rPr>
          <w:rFonts w:hint="eastAsia" w:ascii="宋体" w:hAnsi="宋体" w:eastAsia="宋体" w:cs="宋体"/>
        </w:rPr>
        <w:t xml:space="preserve">  水行政主管部门的执法人员在依法行使监督检查职责时，发现被检查单位或者个人有违反本条例第十九条、第二十条、第二十一条、第二十四条、第二十八条及第三十一条规定违法情形且拒不停止违法行为的，经水行政主管部门批准，可以查封、扣押实施违法行为的工具及机械设备等。</w:t>
      </w:r>
    </w:p>
    <w:p w14:paraId="56EE5B76">
      <w:pPr>
        <w:ind w:firstLine="422"/>
        <w:rPr>
          <w:rFonts w:hint="eastAsia" w:ascii="宋体" w:hAnsi="宋体" w:eastAsia="宋体" w:cs="宋体"/>
        </w:rPr>
      </w:pPr>
      <w:r>
        <w:rPr>
          <w:rFonts w:hint="eastAsia" w:ascii="宋体" w:hAnsi="宋体" w:eastAsia="宋体" w:cs="宋体"/>
          <w:b/>
        </w:rPr>
        <w:t>第四十七条</w:t>
      </w:r>
      <w:r>
        <w:rPr>
          <w:rFonts w:hint="eastAsia" w:ascii="宋体" w:hAnsi="宋体" w:eastAsia="宋体" w:cs="宋体"/>
        </w:rPr>
        <w:t xml:space="preserve">  水行政主管部门和其他有关部门不履行河湖保护管理职责，造成严重后果的，由同级人民政府追究该行政主管部门主要负责人的行政责任。</w:t>
      </w:r>
    </w:p>
    <w:p w14:paraId="6F5641F6">
      <w:pPr>
        <w:rPr>
          <w:rFonts w:hint="eastAsia" w:ascii="宋体" w:hAnsi="宋体" w:eastAsia="宋体" w:cs="宋体"/>
        </w:rPr>
      </w:pPr>
      <w:r>
        <w:rPr>
          <w:rFonts w:hint="eastAsia" w:ascii="宋体" w:hAnsi="宋体" w:eastAsia="宋体" w:cs="宋体"/>
        </w:rPr>
        <w:t>在河湖保护管理工作中，公务人员滥用职权、徇私舞弊、玩忽职守的，由其所在单位或者上级主管部门给予行政处分；构成犯罪的，依法追究刑事责任。</w:t>
      </w:r>
    </w:p>
    <w:p w14:paraId="73662AAB">
      <w:pPr>
        <w:rPr>
          <w:rFonts w:hint="eastAsia" w:ascii="宋体" w:hAnsi="宋体" w:eastAsia="宋体" w:cs="宋体"/>
        </w:rPr>
      </w:pPr>
    </w:p>
    <w:p w14:paraId="00E2D538">
      <w:pPr>
        <w:ind w:firstLine="0" w:firstLineChars="0"/>
        <w:jc w:val="center"/>
        <w:rPr>
          <w:b/>
          <w:sz w:val="28"/>
        </w:rPr>
      </w:pPr>
      <w:r>
        <w:rPr>
          <w:rFonts w:hint="eastAsia"/>
          <w:b/>
          <w:sz w:val="28"/>
        </w:rPr>
        <w:t>第六章  附　则</w:t>
      </w:r>
    </w:p>
    <w:p w14:paraId="447565CB"/>
    <w:p w14:paraId="09094EA0">
      <w:pPr>
        <w:ind w:firstLine="422"/>
      </w:pPr>
      <w:r>
        <w:rPr>
          <w:rFonts w:hint="eastAsia"/>
          <w:b/>
        </w:rPr>
        <w:t>第四十八条</w:t>
      </w:r>
      <w:r>
        <w:rPr>
          <w:rFonts w:hint="eastAsia"/>
        </w:rPr>
        <w:t xml:space="preserve">  本条</w:t>
      </w:r>
      <w:r>
        <w:rPr>
          <w:rFonts w:hint="eastAsia" w:ascii="宋体" w:hAnsi="宋体" w:eastAsia="宋体" w:cs="宋体"/>
        </w:rPr>
        <w:t>例自2012年10月1日起施行。1999年6月24日北京市第十一届人民代表大会常务委员会第十一次会议通过的《北京市城市河湖保护管理条例》同时废止。</w:t>
      </w:r>
    </w:p>
    <w:p w14:paraId="662B0CD5">
      <w:pPr>
        <w:pStyle w:val="4"/>
        <w:pageBreakBefore/>
      </w:pPr>
      <w:bookmarkStart w:id="2602" w:name="_Toc428781910"/>
      <w:bookmarkStart w:id="2603" w:name="_Toc426467162"/>
      <w:bookmarkStart w:id="2604" w:name="_Toc428780788"/>
      <w:r>
        <w:rPr>
          <w:rFonts w:hint="eastAsia"/>
        </w:rPr>
        <w:t>北京市城市自来水厂地下水源保护管理办法</w:t>
      </w:r>
      <w:bookmarkEnd w:id="2602"/>
      <w:bookmarkEnd w:id="2603"/>
      <w:bookmarkEnd w:id="2604"/>
    </w:p>
    <w:p w14:paraId="6BC32B71">
      <w:pPr>
        <w:ind w:left="630" w:leftChars="300" w:right="630" w:rightChars="300"/>
        <w:rPr>
          <w:rFonts w:ascii="楷体" w:hAnsi="楷体" w:eastAsia="楷体"/>
        </w:rPr>
      </w:pPr>
      <w:r>
        <w:rPr>
          <w:rFonts w:hint="eastAsia" w:ascii="楷体" w:hAnsi="楷体" w:eastAsia="楷体"/>
        </w:rPr>
        <w:t>（1986年6月10日北京市人民政府京政发82号文件发布　根据2007年11月23日北京市人民政府第200号令修改）</w:t>
      </w:r>
    </w:p>
    <w:p w14:paraId="1A5C9077"/>
    <w:p w14:paraId="094AD858">
      <w:pPr>
        <w:ind w:firstLine="422"/>
      </w:pPr>
      <w:r>
        <w:rPr>
          <w:rFonts w:hint="eastAsia"/>
          <w:b/>
        </w:rPr>
        <w:t>第一条</w:t>
      </w:r>
      <w:r>
        <w:rPr>
          <w:rFonts w:hint="eastAsia"/>
        </w:rPr>
        <w:t xml:space="preserve">  为保护城市自来水厂地下水源不受污染，保障人民身体健康，依据有关法律、法规，制定本办法。</w:t>
      </w:r>
    </w:p>
    <w:p w14:paraId="1CDB8FC4">
      <w:pPr>
        <w:ind w:firstLine="422"/>
      </w:pPr>
      <w:r>
        <w:rPr>
          <w:rFonts w:hint="eastAsia"/>
          <w:b/>
        </w:rPr>
        <w:t>第二条</w:t>
      </w:r>
      <w:r>
        <w:rPr>
          <w:rFonts w:hint="eastAsia"/>
        </w:rPr>
        <w:t xml:space="preserve">  本办法适用于本市行政区域内城市自来水厂（以下简称水厂）地下水源的保护。</w:t>
      </w:r>
    </w:p>
    <w:p w14:paraId="0A1D0AE1">
      <w:pPr>
        <w:ind w:firstLine="422"/>
      </w:pPr>
      <w:r>
        <w:rPr>
          <w:rFonts w:hint="eastAsia"/>
          <w:b/>
        </w:rPr>
        <w:t>第三条</w:t>
      </w:r>
      <w:r>
        <w:rPr>
          <w:rFonts w:hint="eastAsia"/>
        </w:rPr>
        <w:t xml:space="preserve">  市环境保护部门负责本办法实施的统一监督管理。水厂地下水源地所在区、县的环境保护部门分别负责辖区内本办法实施的监督管理。</w:t>
      </w:r>
    </w:p>
    <w:p w14:paraId="47F049E7">
      <w:r>
        <w:rPr>
          <w:rFonts w:hint="eastAsia"/>
        </w:rPr>
        <w:t>市水务部门按照本办法的规定，负责地下水源保护区内核心区的管理，并协同市环境保护部门负责本办法的全面实施。</w:t>
      </w:r>
    </w:p>
    <w:p w14:paraId="3856ED47">
      <w:r>
        <w:rPr>
          <w:rFonts w:hint="eastAsia"/>
        </w:rPr>
        <w:t>规划、国土资源和卫生部门按照各自的职责，协同环境保护部门实施本办法。</w:t>
      </w:r>
    </w:p>
    <w:p w14:paraId="35FC8F7A">
      <w:pPr>
        <w:ind w:firstLine="422"/>
      </w:pPr>
      <w:r>
        <w:rPr>
          <w:rFonts w:hint="eastAsia"/>
          <w:b/>
        </w:rPr>
        <w:t>第四条</w:t>
      </w:r>
      <w:r>
        <w:rPr>
          <w:rFonts w:hint="eastAsia"/>
        </w:rPr>
        <w:t xml:space="preserve">  水厂地下水源的水质，由市卫生部门会同市水务部门按照国家《生活饮用水卫生标准》监测管理。</w:t>
      </w:r>
    </w:p>
    <w:p w14:paraId="2824F291">
      <w:pPr>
        <w:ind w:firstLine="422"/>
      </w:pPr>
      <w:r>
        <w:rPr>
          <w:rFonts w:hint="eastAsia"/>
          <w:b/>
        </w:rPr>
        <w:t>第五条</w:t>
      </w:r>
      <w:r>
        <w:rPr>
          <w:rFonts w:hint="eastAsia"/>
        </w:rPr>
        <w:t xml:space="preserve">  根据各水厂所处的地理位置、地貌以及环境水文地质条件，划定地下水源保护区，并在保护区内划分核心区、防护区和主要补给区。本市现有各水厂地下水源保护区分区范围详见附表。</w:t>
      </w:r>
    </w:p>
    <w:p w14:paraId="2A247B0A">
      <w:pPr>
        <w:ind w:firstLine="422"/>
      </w:pPr>
      <w:r>
        <w:rPr>
          <w:rFonts w:hint="eastAsia"/>
          <w:b/>
        </w:rPr>
        <w:t>第六条</w:t>
      </w:r>
      <w:r>
        <w:rPr>
          <w:rFonts w:hint="eastAsia"/>
        </w:rPr>
        <w:t xml:space="preserve">  在核心区内，必须遵守下列规定：</w:t>
      </w:r>
    </w:p>
    <w:p w14:paraId="6BDD465C">
      <w:r>
        <w:rPr>
          <w:rFonts w:hint="eastAsia"/>
        </w:rPr>
        <w:t>（一）禁止建设取水构筑物以外的其他建筑。</w:t>
      </w:r>
    </w:p>
    <w:p w14:paraId="0B8EFBA8">
      <w:r>
        <w:rPr>
          <w:rFonts w:hint="eastAsia"/>
        </w:rPr>
        <w:t>（二）禁止堆放垃圾、粪便和其他废弃物。</w:t>
      </w:r>
    </w:p>
    <w:p w14:paraId="7BF3E04D">
      <w:r>
        <w:rPr>
          <w:rFonts w:hint="eastAsia"/>
        </w:rPr>
        <w:t>（三）禁止挖设渗坑、渗井、污水渠道。</w:t>
      </w:r>
    </w:p>
    <w:p w14:paraId="5978F90D">
      <w:r>
        <w:rPr>
          <w:rFonts w:hint="eastAsia"/>
        </w:rPr>
        <w:t>（四）禁止其他一切污染地下水源的行为。</w:t>
      </w:r>
    </w:p>
    <w:p w14:paraId="3BB8E60D">
      <w:pPr>
        <w:ind w:firstLine="422"/>
      </w:pPr>
      <w:r>
        <w:rPr>
          <w:rFonts w:hint="eastAsia"/>
          <w:b/>
        </w:rPr>
        <w:t>第七条</w:t>
      </w:r>
      <w:r>
        <w:rPr>
          <w:rFonts w:hint="eastAsia"/>
        </w:rPr>
        <w:t xml:space="preserve">  在地处浅层水的水厂（水源三厂、四厂、七厂、八厂）的防护区内，必须遵守下列规定：</w:t>
      </w:r>
    </w:p>
    <w:p w14:paraId="60A66697">
      <w:r>
        <w:rPr>
          <w:rFonts w:hint="eastAsia"/>
        </w:rPr>
        <w:t>（一）禁止新建除居住设施和公共服务设施以外的其他建设项目。新建居住小区、公共服务设施的建设单位和原有企业、事业单位要修建污水户线、支线，将污水接入市政污水干线。</w:t>
      </w:r>
    </w:p>
    <w:p w14:paraId="7730C3B7">
      <w:r>
        <w:rPr>
          <w:rFonts w:hint="eastAsia"/>
        </w:rPr>
        <w:t>（二）禁止用渗坑、渗井、裂隙、溶洞以及明渠、漫流等方式排放污水。已排放的，必须向所在区、县环境保护部门申报登记，限期修建污水支线，将污水接入市政污水干线。</w:t>
      </w:r>
    </w:p>
    <w:p w14:paraId="4400C758">
      <w:r>
        <w:rPr>
          <w:rFonts w:hint="eastAsia"/>
        </w:rPr>
        <w:t>（三）禁止设置城市垃圾、粪便、废弃物堆放场站和转运站。已有的场站，要限期搬迁。居民生活垃圾要日产日清。</w:t>
      </w:r>
    </w:p>
    <w:p w14:paraId="6C8EFCE2">
      <w:r>
        <w:rPr>
          <w:rFonts w:hint="eastAsia"/>
        </w:rPr>
        <w:t>（四）禁止利用城市垃圾、粪便和废弃物回填砂石坑、窑坑、滩地等。</w:t>
      </w:r>
    </w:p>
    <w:p w14:paraId="629C5BF2">
      <w:r>
        <w:rPr>
          <w:rFonts w:hint="eastAsia"/>
        </w:rPr>
        <w:t>（五）禁止利用污水灌溉农田。已有的污灌区，要限期改用清水灌溉。</w:t>
      </w:r>
    </w:p>
    <w:p w14:paraId="42377BDB">
      <w:r>
        <w:rPr>
          <w:rFonts w:hint="eastAsia"/>
        </w:rPr>
        <w:t>（六）厕所以及农村畜禽养殖场、晒粪场、积肥场、粪池、化粪池等必须有防渗漏措施。在地处深层水的水厂（水源一厂、二厂、五厂）的防护区内，必须遵守本条第（二）、（四）项规定。</w:t>
      </w:r>
    </w:p>
    <w:p w14:paraId="53F2D188">
      <w:pPr>
        <w:ind w:firstLine="422"/>
      </w:pPr>
      <w:r>
        <w:rPr>
          <w:rFonts w:hint="eastAsia"/>
          <w:b/>
        </w:rPr>
        <w:t>第八条</w:t>
      </w:r>
      <w:r>
        <w:rPr>
          <w:rFonts w:hint="eastAsia"/>
        </w:rPr>
        <w:t xml:space="preserve">  在主要补给区内，应严格控制建设规模，保护地下水源的补给条件，并遵守下列规定：</w:t>
      </w:r>
    </w:p>
    <w:p w14:paraId="09A08F09">
      <w:r>
        <w:rPr>
          <w:rFonts w:hint="eastAsia"/>
        </w:rPr>
        <w:t>（一）禁止建设石棉制品、硫磺、电镀、制革、造纸制浆、炼焦、漂染、炼油、有色金属冶炼、磷肥和染料等对水体有严重污染的生产项目。</w:t>
      </w:r>
    </w:p>
    <w:p w14:paraId="60A425B4">
      <w:r>
        <w:rPr>
          <w:rFonts w:hint="eastAsia"/>
        </w:rPr>
        <w:t>（二）禁止建设城市垃圾、粪便和易溶、有毒、有害废弃物堆放场站。因特殊需要建立转运站的，必须经环境保护部门批准，并采取防渗漏措施和防治其他污染的措施。</w:t>
      </w:r>
    </w:p>
    <w:p w14:paraId="7CE9BC4F">
      <w:r>
        <w:rPr>
          <w:rFonts w:hint="eastAsia"/>
        </w:rPr>
        <w:t>（三）禁止利用城市垃圾、粪便和废弃物回填砂石坑、窑坑、滩地等。</w:t>
      </w:r>
    </w:p>
    <w:p w14:paraId="601B8588">
      <w:r>
        <w:rPr>
          <w:rFonts w:hint="eastAsia"/>
        </w:rPr>
        <w:t>（四）农田灌溉用水的水质应当符合国家《农田灌溉水质标准》。</w:t>
      </w:r>
    </w:p>
    <w:p w14:paraId="5A19F20F">
      <w:r>
        <w:rPr>
          <w:rFonts w:hint="eastAsia"/>
        </w:rPr>
        <w:t>（五）企业、事业单位以及新建居住小区，要修建污水管道。禁止用渗坑、渗井以及明沟、漫流等方式排放污水。</w:t>
      </w:r>
    </w:p>
    <w:p w14:paraId="4A9A3BE9">
      <w:pPr>
        <w:ind w:firstLine="422"/>
      </w:pPr>
      <w:r>
        <w:rPr>
          <w:rFonts w:hint="eastAsia"/>
          <w:b/>
        </w:rPr>
        <w:t>第九条</w:t>
      </w:r>
      <w:r>
        <w:rPr>
          <w:rFonts w:hint="eastAsia"/>
        </w:rPr>
        <w:t xml:space="preserve">  各区、县自来水厂地下水源的保护，由各区、县人民政府参照本办法，制订具体措施。</w:t>
      </w:r>
    </w:p>
    <w:p w14:paraId="199AF580">
      <w:pPr>
        <w:ind w:firstLine="422"/>
      </w:pPr>
      <w:r>
        <w:rPr>
          <w:rFonts w:hint="eastAsia"/>
          <w:b/>
        </w:rPr>
        <w:t>第十条</w:t>
      </w:r>
      <w:r>
        <w:rPr>
          <w:rFonts w:hint="eastAsia"/>
        </w:rPr>
        <w:t xml:space="preserve">  对保护水厂地下水源做出贡献的单位和个人，依法给予表彰和奖励。</w:t>
      </w:r>
    </w:p>
    <w:p w14:paraId="249652BA">
      <w:pPr>
        <w:ind w:firstLine="422"/>
        <w:rPr>
          <w:rFonts w:hint="eastAsia" w:ascii="宋体" w:hAnsi="宋体" w:eastAsia="宋体" w:cs="宋体"/>
        </w:rPr>
      </w:pPr>
      <w:r>
        <w:rPr>
          <w:rFonts w:hint="eastAsia"/>
          <w:b/>
        </w:rPr>
        <w:t>第十一条</w:t>
      </w:r>
      <w:r>
        <w:rPr>
          <w:rFonts w:hint="eastAsia"/>
        </w:rPr>
        <w:t xml:space="preserve">  违反本办法第六条规定的，由城市管理综合执法部门予以制止，责令改正，限期拆除违章建筑或清除污物，并令其赔偿损失。违反本办法第七条、第八条规定的，由环境保护部门依照《北</w:t>
      </w:r>
      <w:r>
        <w:rPr>
          <w:rFonts w:hint="eastAsia" w:ascii="宋体" w:hAnsi="宋体" w:eastAsia="宋体" w:cs="宋体"/>
        </w:rPr>
        <w:t>京市实施〈中华人民共和国水污染防治法〉办法》的规定给予处罚。</w:t>
      </w:r>
    </w:p>
    <w:p w14:paraId="252A7A65">
      <w:pPr>
        <w:ind w:firstLine="422"/>
        <w:rPr>
          <w:rFonts w:hint="eastAsia" w:ascii="宋体" w:hAnsi="宋体" w:eastAsia="宋体" w:cs="宋体"/>
        </w:rPr>
      </w:pPr>
      <w:r>
        <w:rPr>
          <w:rFonts w:hint="eastAsia" w:ascii="宋体" w:hAnsi="宋体" w:eastAsia="宋体" w:cs="宋体"/>
          <w:b/>
        </w:rPr>
        <w:t>第十二条</w:t>
      </w:r>
      <w:r>
        <w:rPr>
          <w:rFonts w:hint="eastAsia" w:ascii="宋体" w:hAnsi="宋体" w:eastAsia="宋体" w:cs="宋体"/>
        </w:rPr>
        <w:t xml:space="preserve">  本办法自1986年7月1日起施行。</w:t>
      </w:r>
    </w:p>
    <w:p w14:paraId="0D712457">
      <w:pPr>
        <w:rPr>
          <w:rFonts w:hint="eastAsia" w:ascii="宋体" w:hAnsi="宋体" w:eastAsia="宋体" w:cs="宋体"/>
        </w:rPr>
      </w:pPr>
    </w:p>
    <w:p w14:paraId="5E8D5D63"/>
    <w:p w14:paraId="1C9D8343">
      <w:pPr>
        <w:ind w:firstLine="0" w:firstLineChars="0"/>
        <w:rPr>
          <w:b/>
          <w:sz w:val="28"/>
        </w:rPr>
      </w:pPr>
      <w:r>
        <w:rPr>
          <w:rFonts w:hint="eastAsia"/>
          <w:b/>
          <w:sz w:val="28"/>
        </w:rPr>
        <w:t>附：</w:t>
      </w:r>
    </w:p>
    <w:p w14:paraId="3F133FAA">
      <w:pPr>
        <w:ind w:firstLine="0" w:firstLineChars="0"/>
        <w:jc w:val="center"/>
        <w:rPr>
          <w:sz w:val="28"/>
        </w:rPr>
      </w:pPr>
      <w:r>
        <w:rPr>
          <w:rFonts w:hint="eastAsia"/>
          <w:sz w:val="28"/>
        </w:rPr>
        <w:t>本市现有各水厂地下水源保护区分区范围</w:t>
      </w:r>
    </w:p>
    <w:p w14:paraId="02934F4D">
      <w:pPr>
        <w:ind w:firstLine="0" w:firstLineChars="0"/>
        <w:jc w:val="center"/>
        <w:rPr>
          <w:sz w:val="28"/>
        </w:rPr>
      </w:pPr>
    </w:p>
    <w:tbl>
      <w:tblPr>
        <w:tblStyle w:val="2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2"/>
        <w:gridCol w:w="2132"/>
        <w:gridCol w:w="2132"/>
        <w:gridCol w:w="2132"/>
      </w:tblGrid>
      <w:tr w14:paraId="790C2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32" w:type="dxa"/>
            <w:tcBorders>
              <w:top w:val="single" w:color="auto" w:sz="12" w:space="0"/>
              <w:left w:val="single" w:color="auto" w:sz="12" w:space="0"/>
              <w:tl2br w:val="single" w:color="auto" w:sz="4" w:space="0"/>
            </w:tcBorders>
            <w:vAlign w:val="center"/>
          </w:tcPr>
          <w:p w14:paraId="12DF6E3F">
            <w:pPr>
              <w:spacing w:line="240" w:lineRule="exact"/>
              <w:ind w:firstLine="0" w:firstLineChars="0"/>
              <w:jc w:val="center"/>
              <w:rPr>
                <w:sz w:val="18"/>
                <w:szCs w:val="21"/>
              </w:rPr>
            </w:pPr>
            <w:r>
              <w:rPr>
                <w:rFonts w:hint="eastAsia"/>
                <w:sz w:val="18"/>
                <w:szCs w:val="21"/>
              </w:rPr>
              <w:t xml:space="preserve">           保护区分区</w:t>
            </w:r>
          </w:p>
          <w:p w14:paraId="05B70AB3">
            <w:pPr>
              <w:spacing w:line="240" w:lineRule="exact"/>
              <w:ind w:firstLine="0" w:firstLineChars="0"/>
              <w:rPr>
                <w:sz w:val="18"/>
                <w:szCs w:val="21"/>
              </w:rPr>
            </w:pPr>
            <w:r>
              <w:rPr>
                <w:rFonts w:hint="eastAsia"/>
                <w:sz w:val="18"/>
                <w:szCs w:val="21"/>
              </w:rPr>
              <w:t>水厂</w:t>
            </w:r>
          </w:p>
        </w:tc>
        <w:tc>
          <w:tcPr>
            <w:tcW w:w="2132" w:type="dxa"/>
            <w:tcBorders>
              <w:top w:val="single" w:color="auto" w:sz="12" w:space="0"/>
            </w:tcBorders>
            <w:vAlign w:val="center"/>
          </w:tcPr>
          <w:p w14:paraId="770BC8E4">
            <w:pPr>
              <w:spacing w:line="240" w:lineRule="exact"/>
              <w:ind w:firstLine="0" w:firstLineChars="0"/>
              <w:jc w:val="center"/>
              <w:rPr>
                <w:sz w:val="18"/>
                <w:szCs w:val="21"/>
              </w:rPr>
            </w:pPr>
            <w:r>
              <w:rPr>
                <w:rFonts w:hint="eastAsia"/>
                <w:sz w:val="18"/>
                <w:szCs w:val="21"/>
              </w:rPr>
              <w:t>核心区</w:t>
            </w:r>
          </w:p>
        </w:tc>
        <w:tc>
          <w:tcPr>
            <w:tcW w:w="2132" w:type="dxa"/>
            <w:tcBorders>
              <w:top w:val="single" w:color="auto" w:sz="12" w:space="0"/>
            </w:tcBorders>
            <w:vAlign w:val="center"/>
          </w:tcPr>
          <w:p w14:paraId="1B7125D4">
            <w:pPr>
              <w:spacing w:line="240" w:lineRule="exact"/>
              <w:ind w:firstLine="0" w:firstLineChars="0"/>
              <w:jc w:val="center"/>
              <w:rPr>
                <w:sz w:val="18"/>
                <w:szCs w:val="21"/>
              </w:rPr>
            </w:pPr>
            <w:r>
              <w:rPr>
                <w:rFonts w:hint="eastAsia"/>
                <w:sz w:val="18"/>
                <w:szCs w:val="21"/>
              </w:rPr>
              <w:t>防护区</w:t>
            </w:r>
          </w:p>
        </w:tc>
        <w:tc>
          <w:tcPr>
            <w:tcW w:w="2132" w:type="dxa"/>
            <w:tcBorders>
              <w:top w:val="single" w:color="auto" w:sz="12" w:space="0"/>
              <w:right w:val="single" w:color="auto" w:sz="12" w:space="0"/>
            </w:tcBorders>
            <w:vAlign w:val="center"/>
          </w:tcPr>
          <w:p w14:paraId="32A36A97">
            <w:pPr>
              <w:spacing w:line="240" w:lineRule="exact"/>
              <w:ind w:firstLine="0" w:firstLineChars="0"/>
              <w:jc w:val="center"/>
              <w:rPr>
                <w:sz w:val="18"/>
                <w:szCs w:val="21"/>
              </w:rPr>
            </w:pPr>
            <w:r>
              <w:rPr>
                <w:rFonts w:hint="eastAsia"/>
                <w:sz w:val="18"/>
                <w:szCs w:val="21"/>
              </w:rPr>
              <w:t>主要补给区</w:t>
            </w:r>
          </w:p>
        </w:tc>
      </w:tr>
      <w:tr w14:paraId="53C0E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32" w:type="dxa"/>
            <w:tcBorders>
              <w:left w:val="single" w:color="auto" w:sz="12" w:space="0"/>
            </w:tcBorders>
            <w:vAlign w:val="center"/>
          </w:tcPr>
          <w:p w14:paraId="1DA179D8">
            <w:pPr>
              <w:spacing w:line="240" w:lineRule="exact"/>
              <w:ind w:firstLine="0" w:firstLineChars="0"/>
              <w:jc w:val="center"/>
              <w:rPr>
                <w:sz w:val="18"/>
                <w:szCs w:val="21"/>
              </w:rPr>
            </w:pPr>
            <w:r>
              <w:rPr>
                <w:rFonts w:hint="eastAsia"/>
                <w:sz w:val="18"/>
                <w:szCs w:val="21"/>
              </w:rPr>
              <w:t>水源三厂</w:t>
            </w:r>
          </w:p>
        </w:tc>
        <w:tc>
          <w:tcPr>
            <w:tcW w:w="2132" w:type="dxa"/>
            <w:vAlign w:val="center"/>
          </w:tcPr>
          <w:p w14:paraId="62B0D0BA">
            <w:pPr>
              <w:spacing w:line="240" w:lineRule="exact"/>
              <w:ind w:firstLine="0" w:firstLineChars="0"/>
              <w:rPr>
                <w:sz w:val="18"/>
                <w:szCs w:val="21"/>
              </w:rPr>
            </w:pPr>
            <w:r>
              <w:rPr>
                <w:rFonts w:hint="eastAsia"/>
                <w:sz w:val="18"/>
                <w:szCs w:val="21"/>
              </w:rPr>
              <w:t>以开采井为中心半径五十米范围内</w:t>
            </w:r>
          </w:p>
        </w:tc>
        <w:tc>
          <w:tcPr>
            <w:tcW w:w="2132" w:type="dxa"/>
            <w:vAlign w:val="center"/>
          </w:tcPr>
          <w:p w14:paraId="477A9695">
            <w:pPr>
              <w:spacing w:line="240" w:lineRule="exact"/>
              <w:ind w:firstLine="0" w:firstLineChars="0"/>
              <w:rPr>
                <w:sz w:val="18"/>
                <w:szCs w:val="21"/>
              </w:rPr>
            </w:pPr>
            <w:r>
              <w:rPr>
                <w:rFonts w:hint="eastAsia"/>
                <w:sz w:val="18"/>
                <w:szCs w:val="21"/>
              </w:rPr>
              <w:t>二里沟西口起沿三里河路、西直门外大街、高梁桥路、学院南路、魏公村路、西三环北路、苏州街、巴沟村北路、京密引水渠、昆明湖路、北坞村路、西郊机场西侧围墙、</w:t>
            </w:r>
            <w:r>
              <w:rPr>
                <w:rFonts w:hint="eastAsia" w:ascii="宋体" w:hAnsi="宋体" w:eastAsia="宋体" w:cs="宋体"/>
                <w:sz w:val="18"/>
                <w:szCs w:val="21"/>
              </w:rPr>
              <w:t>101</w:t>
            </w:r>
            <w:r>
              <w:rPr>
                <w:rFonts w:hint="eastAsia"/>
                <w:sz w:val="18"/>
                <w:szCs w:val="21"/>
              </w:rPr>
              <w:t>铁路、南旱河路、永定河引水渠、西三环北路、车公庄西路一圈范围内</w:t>
            </w:r>
          </w:p>
        </w:tc>
        <w:tc>
          <w:tcPr>
            <w:tcW w:w="2132" w:type="dxa"/>
            <w:tcBorders>
              <w:right w:val="single" w:color="auto" w:sz="12" w:space="0"/>
            </w:tcBorders>
            <w:vAlign w:val="center"/>
          </w:tcPr>
          <w:p w14:paraId="23CBBD47">
            <w:pPr>
              <w:spacing w:line="240" w:lineRule="exact"/>
              <w:ind w:firstLine="0" w:firstLineChars="0"/>
              <w:rPr>
                <w:sz w:val="18"/>
                <w:szCs w:val="21"/>
              </w:rPr>
            </w:pPr>
            <w:r>
              <w:rPr>
                <w:rFonts w:hint="eastAsia"/>
                <w:sz w:val="18"/>
                <w:szCs w:val="21"/>
              </w:rPr>
              <w:t>东以京包铁路、西直门外大街、三里河路、复兴门外大街、白云路、手帕口北街、广安门货场铁路支线、凉水河、南苑路一线为界；北以清河为界；西北以山脊分水岭至三家店闸为界；西南以永定河西岸为界；南以丰台区界、新宫路、铁路南环为界的范围内</w:t>
            </w:r>
          </w:p>
        </w:tc>
      </w:tr>
      <w:tr w14:paraId="788D1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32" w:type="dxa"/>
            <w:tcBorders>
              <w:left w:val="single" w:color="auto" w:sz="12" w:space="0"/>
            </w:tcBorders>
            <w:vAlign w:val="center"/>
          </w:tcPr>
          <w:p w14:paraId="6B171C74">
            <w:pPr>
              <w:spacing w:line="240" w:lineRule="exact"/>
              <w:ind w:firstLine="0" w:firstLineChars="0"/>
              <w:jc w:val="center"/>
              <w:rPr>
                <w:sz w:val="18"/>
                <w:szCs w:val="21"/>
              </w:rPr>
            </w:pPr>
            <w:r>
              <w:rPr>
                <w:rFonts w:hint="eastAsia"/>
                <w:sz w:val="18"/>
                <w:szCs w:val="21"/>
              </w:rPr>
              <w:t>水源四厂</w:t>
            </w:r>
          </w:p>
        </w:tc>
        <w:tc>
          <w:tcPr>
            <w:tcW w:w="2132" w:type="dxa"/>
            <w:vAlign w:val="center"/>
          </w:tcPr>
          <w:p w14:paraId="374A4FCE">
            <w:pPr>
              <w:spacing w:line="240" w:lineRule="exact"/>
              <w:ind w:firstLine="0" w:firstLineChars="0"/>
              <w:rPr>
                <w:sz w:val="18"/>
                <w:szCs w:val="21"/>
              </w:rPr>
            </w:pPr>
            <w:r>
              <w:rPr>
                <w:rFonts w:hint="eastAsia"/>
                <w:sz w:val="18"/>
                <w:szCs w:val="21"/>
              </w:rPr>
              <w:t>以开采井为中心半径五十米范围内</w:t>
            </w:r>
          </w:p>
        </w:tc>
        <w:tc>
          <w:tcPr>
            <w:tcW w:w="2132" w:type="dxa"/>
            <w:vAlign w:val="center"/>
          </w:tcPr>
          <w:p w14:paraId="11F224C6">
            <w:pPr>
              <w:spacing w:line="240" w:lineRule="exact"/>
              <w:ind w:firstLine="0" w:firstLineChars="0"/>
              <w:rPr>
                <w:sz w:val="18"/>
                <w:szCs w:val="21"/>
              </w:rPr>
            </w:pPr>
            <w:r>
              <w:rPr>
                <w:rFonts w:hint="eastAsia"/>
                <w:sz w:val="18"/>
                <w:szCs w:val="21"/>
              </w:rPr>
              <w:t>万泉寺起沿莲花河、新开渠、丰台路、管头路、凉水河一圈范围内</w:t>
            </w:r>
          </w:p>
        </w:tc>
        <w:tc>
          <w:tcPr>
            <w:tcW w:w="2132" w:type="dxa"/>
            <w:vMerge w:val="restart"/>
            <w:tcBorders>
              <w:right w:val="single" w:color="auto" w:sz="12" w:space="0"/>
            </w:tcBorders>
            <w:vAlign w:val="center"/>
          </w:tcPr>
          <w:p w14:paraId="1132EACF">
            <w:pPr>
              <w:spacing w:line="240" w:lineRule="exact"/>
              <w:ind w:firstLine="0" w:firstLineChars="0"/>
              <w:jc w:val="center"/>
              <w:rPr>
                <w:sz w:val="18"/>
                <w:szCs w:val="21"/>
              </w:rPr>
            </w:pPr>
          </w:p>
        </w:tc>
      </w:tr>
      <w:tr w14:paraId="7C652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32" w:type="dxa"/>
            <w:tcBorders>
              <w:left w:val="single" w:color="auto" w:sz="12" w:space="0"/>
              <w:bottom w:val="single" w:color="auto" w:sz="12" w:space="0"/>
            </w:tcBorders>
            <w:vAlign w:val="center"/>
          </w:tcPr>
          <w:p w14:paraId="5A2E03BC">
            <w:pPr>
              <w:spacing w:line="240" w:lineRule="exact"/>
              <w:ind w:firstLine="0" w:firstLineChars="0"/>
              <w:jc w:val="center"/>
              <w:rPr>
                <w:sz w:val="18"/>
                <w:szCs w:val="21"/>
              </w:rPr>
            </w:pPr>
            <w:r>
              <w:rPr>
                <w:rFonts w:hint="eastAsia"/>
                <w:sz w:val="18"/>
                <w:szCs w:val="21"/>
              </w:rPr>
              <w:t>水源七厂</w:t>
            </w:r>
          </w:p>
        </w:tc>
        <w:tc>
          <w:tcPr>
            <w:tcW w:w="2132" w:type="dxa"/>
            <w:tcBorders>
              <w:bottom w:val="single" w:color="auto" w:sz="12" w:space="0"/>
            </w:tcBorders>
            <w:vAlign w:val="center"/>
          </w:tcPr>
          <w:p w14:paraId="71924FAF">
            <w:pPr>
              <w:spacing w:line="240" w:lineRule="exact"/>
              <w:ind w:firstLine="0" w:firstLineChars="0"/>
              <w:rPr>
                <w:sz w:val="18"/>
                <w:szCs w:val="21"/>
              </w:rPr>
            </w:pPr>
            <w:r>
              <w:rPr>
                <w:rFonts w:hint="eastAsia"/>
                <w:sz w:val="18"/>
                <w:szCs w:val="21"/>
              </w:rPr>
              <w:t>以开采井为主中心半径五十米范围内</w:t>
            </w:r>
          </w:p>
        </w:tc>
        <w:tc>
          <w:tcPr>
            <w:tcW w:w="2132" w:type="dxa"/>
            <w:tcBorders>
              <w:bottom w:val="single" w:color="auto" w:sz="12" w:space="0"/>
            </w:tcBorders>
            <w:vAlign w:val="center"/>
          </w:tcPr>
          <w:p w14:paraId="60040CD2">
            <w:pPr>
              <w:spacing w:line="240" w:lineRule="exact"/>
              <w:ind w:firstLine="0" w:firstLineChars="0"/>
              <w:rPr>
                <w:sz w:val="18"/>
                <w:szCs w:val="21"/>
              </w:rPr>
            </w:pPr>
            <w:r>
              <w:rPr>
                <w:rFonts w:hint="eastAsia"/>
                <w:sz w:val="18"/>
                <w:szCs w:val="21"/>
              </w:rPr>
              <w:t>大红门起沿南苑路、凉水路、右安路、京开公路、铁路南环一圈范围内</w:t>
            </w:r>
          </w:p>
        </w:tc>
        <w:tc>
          <w:tcPr>
            <w:tcW w:w="2132" w:type="dxa"/>
            <w:vMerge w:val="continue"/>
            <w:tcBorders>
              <w:bottom w:val="single" w:color="auto" w:sz="12" w:space="0"/>
              <w:right w:val="single" w:color="auto" w:sz="12" w:space="0"/>
            </w:tcBorders>
            <w:vAlign w:val="center"/>
          </w:tcPr>
          <w:p w14:paraId="4D12EB87">
            <w:pPr>
              <w:spacing w:line="240" w:lineRule="exact"/>
              <w:ind w:firstLine="0" w:firstLineChars="0"/>
              <w:jc w:val="center"/>
              <w:rPr>
                <w:sz w:val="18"/>
                <w:szCs w:val="21"/>
              </w:rPr>
            </w:pPr>
          </w:p>
        </w:tc>
      </w:tr>
    </w:tbl>
    <w:p w14:paraId="07AD804B"/>
    <w:p w14:paraId="0EB38AEC">
      <w:pPr>
        <w:ind w:firstLine="422"/>
        <w:rPr>
          <w:b/>
        </w:rPr>
      </w:pPr>
    </w:p>
    <w:p w14:paraId="010B6088">
      <w:pPr>
        <w:ind w:firstLine="422"/>
        <w:rPr>
          <w:b/>
        </w:rPr>
      </w:pPr>
    </w:p>
    <w:p w14:paraId="1BAB520D">
      <w:pPr>
        <w:ind w:firstLine="422"/>
        <w:rPr>
          <w:b/>
        </w:rPr>
      </w:pPr>
    </w:p>
    <w:p w14:paraId="4EBBEF18">
      <w:pPr>
        <w:ind w:firstLine="0" w:firstLineChars="0"/>
        <w:rPr>
          <w:b/>
        </w:rPr>
      </w:pPr>
    </w:p>
    <w:tbl>
      <w:tblPr>
        <w:tblStyle w:val="2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2"/>
        <w:gridCol w:w="2132"/>
        <w:gridCol w:w="2132"/>
        <w:gridCol w:w="2132"/>
      </w:tblGrid>
      <w:tr w14:paraId="55875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8528" w:type="dxa"/>
            <w:gridSpan w:val="4"/>
            <w:tcBorders>
              <w:top w:val="nil"/>
              <w:left w:val="nil"/>
              <w:bottom w:val="single" w:color="auto" w:sz="12" w:space="0"/>
              <w:right w:val="nil"/>
            </w:tcBorders>
            <w:vAlign w:val="center"/>
          </w:tcPr>
          <w:p w14:paraId="1EC9D0B5">
            <w:pPr>
              <w:spacing w:line="240" w:lineRule="exact"/>
              <w:ind w:firstLine="0" w:firstLineChars="0"/>
              <w:jc w:val="right"/>
              <w:rPr>
                <w:sz w:val="18"/>
                <w:szCs w:val="21"/>
              </w:rPr>
            </w:pPr>
            <w:r>
              <w:rPr>
                <w:rFonts w:hint="eastAsia"/>
                <w:sz w:val="18"/>
                <w:szCs w:val="21"/>
              </w:rPr>
              <w:t>（续表）</w:t>
            </w:r>
          </w:p>
        </w:tc>
      </w:tr>
      <w:tr w14:paraId="0AFC8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32" w:type="dxa"/>
            <w:tcBorders>
              <w:top w:val="single" w:color="auto" w:sz="12" w:space="0"/>
              <w:left w:val="single" w:color="auto" w:sz="12" w:space="0"/>
              <w:tl2br w:val="single" w:color="auto" w:sz="4" w:space="0"/>
            </w:tcBorders>
            <w:vAlign w:val="center"/>
          </w:tcPr>
          <w:p w14:paraId="139BA481">
            <w:pPr>
              <w:spacing w:line="240" w:lineRule="exact"/>
              <w:ind w:firstLine="0" w:firstLineChars="0"/>
              <w:jc w:val="center"/>
              <w:rPr>
                <w:sz w:val="18"/>
                <w:szCs w:val="21"/>
              </w:rPr>
            </w:pPr>
            <w:r>
              <w:rPr>
                <w:rFonts w:hint="eastAsia"/>
                <w:sz w:val="18"/>
                <w:szCs w:val="21"/>
              </w:rPr>
              <w:t xml:space="preserve">         保护区分区</w:t>
            </w:r>
          </w:p>
          <w:p w14:paraId="68F156BB">
            <w:pPr>
              <w:spacing w:line="240" w:lineRule="exact"/>
              <w:ind w:firstLine="0" w:firstLineChars="0"/>
              <w:rPr>
                <w:sz w:val="18"/>
                <w:szCs w:val="21"/>
              </w:rPr>
            </w:pPr>
            <w:r>
              <w:rPr>
                <w:rFonts w:hint="eastAsia"/>
                <w:sz w:val="18"/>
                <w:szCs w:val="21"/>
              </w:rPr>
              <w:t>水厂</w:t>
            </w:r>
          </w:p>
        </w:tc>
        <w:tc>
          <w:tcPr>
            <w:tcW w:w="2132" w:type="dxa"/>
            <w:tcBorders>
              <w:top w:val="single" w:color="auto" w:sz="12" w:space="0"/>
            </w:tcBorders>
            <w:vAlign w:val="center"/>
          </w:tcPr>
          <w:p w14:paraId="6A097A76">
            <w:pPr>
              <w:spacing w:line="240" w:lineRule="exact"/>
              <w:ind w:firstLine="0" w:firstLineChars="0"/>
              <w:jc w:val="center"/>
              <w:rPr>
                <w:sz w:val="18"/>
                <w:szCs w:val="21"/>
              </w:rPr>
            </w:pPr>
            <w:r>
              <w:rPr>
                <w:rFonts w:hint="eastAsia"/>
                <w:sz w:val="18"/>
                <w:szCs w:val="21"/>
              </w:rPr>
              <w:t>核心区</w:t>
            </w:r>
          </w:p>
        </w:tc>
        <w:tc>
          <w:tcPr>
            <w:tcW w:w="2132" w:type="dxa"/>
            <w:tcBorders>
              <w:top w:val="single" w:color="auto" w:sz="12" w:space="0"/>
            </w:tcBorders>
            <w:vAlign w:val="center"/>
          </w:tcPr>
          <w:p w14:paraId="6B7B620A">
            <w:pPr>
              <w:spacing w:line="240" w:lineRule="exact"/>
              <w:ind w:firstLine="0" w:firstLineChars="0"/>
              <w:jc w:val="center"/>
              <w:rPr>
                <w:sz w:val="18"/>
                <w:szCs w:val="21"/>
              </w:rPr>
            </w:pPr>
            <w:r>
              <w:rPr>
                <w:rFonts w:hint="eastAsia"/>
                <w:sz w:val="18"/>
                <w:szCs w:val="21"/>
              </w:rPr>
              <w:t>防护区</w:t>
            </w:r>
          </w:p>
        </w:tc>
        <w:tc>
          <w:tcPr>
            <w:tcW w:w="2132" w:type="dxa"/>
            <w:tcBorders>
              <w:top w:val="single" w:color="auto" w:sz="12" w:space="0"/>
              <w:right w:val="single" w:color="auto" w:sz="12" w:space="0"/>
            </w:tcBorders>
            <w:vAlign w:val="center"/>
          </w:tcPr>
          <w:p w14:paraId="64CDADCE">
            <w:pPr>
              <w:spacing w:line="240" w:lineRule="exact"/>
              <w:ind w:firstLine="0" w:firstLineChars="0"/>
              <w:jc w:val="center"/>
              <w:rPr>
                <w:sz w:val="18"/>
                <w:szCs w:val="21"/>
              </w:rPr>
            </w:pPr>
            <w:r>
              <w:rPr>
                <w:rFonts w:hint="eastAsia"/>
                <w:sz w:val="18"/>
                <w:szCs w:val="21"/>
              </w:rPr>
              <w:t>主要补给区</w:t>
            </w:r>
          </w:p>
        </w:tc>
      </w:tr>
      <w:tr w14:paraId="05FC1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32" w:type="dxa"/>
            <w:tcBorders>
              <w:left w:val="single" w:color="auto" w:sz="12" w:space="0"/>
            </w:tcBorders>
            <w:vAlign w:val="center"/>
          </w:tcPr>
          <w:p w14:paraId="3D052CBB">
            <w:pPr>
              <w:spacing w:line="240" w:lineRule="exact"/>
              <w:ind w:firstLine="0" w:firstLineChars="0"/>
              <w:jc w:val="center"/>
              <w:rPr>
                <w:sz w:val="18"/>
                <w:szCs w:val="21"/>
              </w:rPr>
            </w:pPr>
            <w:r>
              <w:rPr>
                <w:rFonts w:hint="eastAsia"/>
                <w:sz w:val="18"/>
                <w:szCs w:val="21"/>
              </w:rPr>
              <w:t>水源八厂</w:t>
            </w:r>
          </w:p>
        </w:tc>
        <w:tc>
          <w:tcPr>
            <w:tcW w:w="2132" w:type="dxa"/>
            <w:vAlign w:val="center"/>
          </w:tcPr>
          <w:p w14:paraId="619684C3">
            <w:pPr>
              <w:spacing w:line="240" w:lineRule="exact"/>
              <w:ind w:firstLine="0" w:firstLineChars="0"/>
              <w:rPr>
                <w:sz w:val="18"/>
                <w:szCs w:val="21"/>
              </w:rPr>
            </w:pPr>
            <w:r>
              <w:rPr>
                <w:rFonts w:hint="eastAsia"/>
                <w:sz w:val="18"/>
                <w:szCs w:val="21"/>
              </w:rPr>
              <w:t>以开采井为主中心半径五十米范围内</w:t>
            </w:r>
          </w:p>
        </w:tc>
        <w:tc>
          <w:tcPr>
            <w:tcW w:w="2132" w:type="dxa"/>
            <w:vAlign w:val="center"/>
          </w:tcPr>
          <w:p w14:paraId="475BE6D1">
            <w:pPr>
              <w:spacing w:line="240" w:lineRule="exact"/>
              <w:ind w:firstLine="0" w:firstLineChars="0"/>
              <w:rPr>
                <w:sz w:val="18"/>
                <w:szCs w:val="21"/>
              </w:rPr>
            </w:pPr>
            <w:r>
              <w:rPr>
                <w:rFonts w:hint="eastAsia"/>
                <w:sz w:val="18"/>
                <w:szCs w:val="21"/>
              </w:rPr>
              <w:t>一组至十六组井间四周水平外延二公里范围内</w:t>
            </w:r>
          </w:p>
        </w:tc>
        <w:tc>
          <w:tcPr>
            <w:tcW w:w="2132" w:type="dxa"/>
            <w:tcBorders>
              <w:right w:val="single" w:color="auto" w:sz="12" w:space="0"/>
            </w:tcBorders>
            <w:vAlign w:val="center"/>
          </w:tcPr>
          <w:p w14:paraId="1E978A48">
            <w:pPr>
              <w:spacing w:line="240" w:lineRule="exact"/>
              <w:ind w:firstLine="0" w:firstLineChars="0"/>
              <w:rPr>
                <w:sz w:val="18"/>
                <w:szCs w:val="21"/>
              </w:rPr>
            </w:pPr>
            <w:r>
              <w:rPr>
                <w:rFonts w:hint="eastAsia"/>
                <w:sz w:val="18"/>
                <w:szCs w:val="21"/>
              </w:rPr>
              <w:t>东以顺密公路、潮河总干渠、潮河为界；北以密云水库水源保护区南边界为界；西以沙通铁路、至范各庄接京密引水渠、怀柔水库水源保护区东边界、京承铁路为界；南以向阳闸大车道为界的范围内</w:t>
            </w:r>
          </w:p>
        </w:tc>
      </w:tr>
      <w:tr w14:paraId="2094D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132" w:type="dxa"/>
            <w:tcBorders>
              <w:left w:val="single" w:color="auto" w:sz="12" w:space="0"/>
              <w:bottom w:val="single" w:color="auto" w:sz="12" w:space="0"/>
            </w:tcBorders>
            <w:vAlign w:val="center"/>
          </w:tcPr>
          <w:p w14:paraId="4F577E2F">
            <w:pPr>
              <w:spacing w:line="240" w:lineRule="exact"/>
              <w:ind w:firstLine="0" w:firstLineChars="0"/>
              <w:jc w:val="center"/>
              <w:rPr>
                <w:sz w:val="18"/>
                <w:szCs w:val="21"/>
              </w:rPr>
            </w:pPr>
            <w:r>
              <w:rPr>
                <w:rFonts w:hint="eastAsia"/>
                <w:sz w:val="18"/>
                <w:szCs w:val="21"/>
              </w:rPr>
              <w:t>水源一、二、五厂</w:t>
            </w:r>
          </w:p>
        </w:tc>
        <w:tc>
          <w:tcPr>
            <w:tcW w:w="2132" w:type="dxa"/>
            <w:tcBorders>
              <w:bottom w:val="single" w:color="auto" w:sz="12" w:space="0"/>
            </w:tcBorders>
            <w:vAlign w:val="center"/>
          </w:tcPr>
          <w:p w14:paraId="7DDB5CEF">
            <w:pPr>
              <w:spacing w:line="240" w:lineRule="exact"/>
              <w:ind w:firstLine="0" w:firstLineChars="0"/>
              <w:rPr>
                <w:sz w:val="18"/>
                <w:szCs w:val="21"/>
              </w:rPr>
            </w:pPr>
            <w:r>
              <w:rPr>
                <w:rFonts w:hint="eastAsia"/>
                <w:sz w:val="18"/>
                <w:szCs w:val="21"/>
              </w:rPr>
              <w:t>以开采井为中心半径三十米范围内</w:t>
            </w:r>
          </w:p>
        </w:tc>
        <w:tc>
          <w:tcPr>
            <w:tcW w:w="2132" w:type="dxa"/>
            <w:tcBorders>
              <w:bottom w:val="single" w:color="auto" w:sz="12" w:space="0"/>
            </w:tcBorders>
            <w:vAlign w:val="center"/>
          </w:tcPr>
          <w:p w14:paraId="353EE1E0">
            <w:pPr>
              <w:spacing w:line="240" w:lineRule="exact"/>
              <w:ind w:firstLine="0" w:firstLineChars="0"/>
              <w:rPr>
                <w:sz w:val="18"/>
                <w:szCs w:val="21"/>
              </w:rPr>
            </w:pPr>
            <w:r>
              <w:rPr>
                <w:rFonts w:hint="eastAsia"/>
                <w:sz w:val="18"/>
                <w:szCs w:val="21"/>
              </w:rPr>
              <w:t>北太平庄起沿新街口外大街、德胜门西大街、鼓楼西大街、鼓楼东大街、交道口东大街、东直门内大街、首都机场路、南湖渠东路向东北外延八百米、北小河、北苑路、小关路、昌平路北三环西路一圈范围内</w:t>
            </w:r>
          </w:p>
        </w:tc>
        <w:tc>
          <w:tcPr>
            <w:tcW w:w="2132" w:type="dxa"/>
            <w:tcBorders>
              <w:bottom w:val="single" w:color="auto" w:sz="12" w:space="0"/>
              <w:right w:val="single" w:color="auto" w:sz="12" w:space="0"/>
            </w:tcBorders>
            <w:vAlign w:val="center"/>
          </w:tcPr>
          <w:p w14:paraId="3C152C12">
            <w:pPr>
              <w:spacing w:line="240" w:lineRule="exact"/>
              <w:ind w:firstLine="0" w:firstLineChars="0"/>
              <w:jc w:val="center"/>
              <w:rPr>
                <w:sz w:val="18"/>
                <w:szCs w:val="21"/>
              </w:rPr>
            </w:pPr>
          </w:p>
        </w:tc>
      </w:tr>
    </w:tbl>
    <w:p w14:paraId="7DA8C632">
      <w:pPr>
        <w:ind w:firstLine="0" w:firstLineChars="0"/>
        <w:jc w:val="center"/>
        <w:rPr>
          <w:sz w:val="28"/>
        </w:rPr>
      </w:pPr>
    </w:p>
    <w:p w14:paraId="2CCB537B">
      <w:pPr>
        <w:pStyle w:val="4"/>
        <w:pageBreakBefore/>
      </w:pPr>
      <w:bookmarkStart w:id="2605" w:name="_Toc428781911"/>
      <w:bookmarkStart w:id="2606" w:name="_Toc428780789"/>
      <w:bookmarkStart w:id="2607" w:name="_Toc426467163"/>
      <w:r>
        <w:rPr>
          <w:rFonts w:hint="eastAsia"/>
        </w:rPr>
        <w:t>北京市节约用水办法</w:t>
      </w:r>
      <w:bookmarkEnd w:id="2605"/>
      <w:bookmarkEnd w:id="2606"/>
      <w:bookmarkEnd w:id="2607"/>
    </w:p>
    <w:p w14:paraId="09109FB5">
      <w:pPr>
        <w:ind w:left="630" w:leftChars="300" w:right="630" w:rightChars="300"/>
        <w:rPr>
          <w:rFonts w:ascii="楷体" w:hAnsi="楷体" w:eastAsia="楷体"/>
        </w:rPr>
      </w:pPr>
      <w:r>
        <w:rPr>
          <w:rFonts w:hint="eastAsia" w:ascii="楷体" w:hAnsi="楷体" w:eastAsia="楷体"/>
        </w:rPr>
        <w:t>（2012年4月12日北京市人民政府第120次常务会议审议通过  2012年4月12日北京市人民政府第244号令公布）</w:t>
      </w:r>
    </w:p>
    <w:p w14:paraId="3D7EE154">
      <w:pPr>
        <w:spacing w:line="300" w:lineRule="exact"/>
      </w:pPr>
    </w:p>
    <w:p w14:paraId="4373D015">
      <w:pPr>
        <w:ind w:firstLine="0" w:firstLineChars="0"/>
        <w:jc w:val="center"/>
        <w:rPr>
          <w:b/>
          <w:sz w:val="28"/>
        </w:rPr>
      </w:pPr>
      <w:r>
        <w:rPr>
          <w:rFonts w:hint="eastAsia"/>
          <w:b/>
          <w:sz w:val="28"/>
        </w:rPr>
        <w:t>第一章　总　则</w:t>
      </w:r>
    </w:p>
    <w:p w14:paraId="17A9FB5A">
      <w:pPr>
        <w:spacing w:line="300" w:lineRule="exact"/>
      </w:pPr>
    </w:p>
    <w:p w14:paraId="4D2F5A6E">
      <w:pPr>
        <w:ind w:firstLine="422"/>
      </w:pPr>
      <w:r>
        <w:rPr>
          <w:rFonts w:hint="eastAsia"/>
          <w:b/>
        </w:rPr>
        <w:t>第一条</w:t>
      </w:r>
      <w:r>
        <w:rPr>
          <w:rFonts w:hint="eastAsia"/>
        </w:rPr>
        <w:t xml:space="preserve">  为加强节约用水管理，科学合理利用水资源，建设节水型社会，根据《中华人民共和国水法》和《北京市实施〈中华人民共和国水法〉办法》，制定本办法。</w:t>
      </w:r>
    </w:p>
    <w:p w14:paraId="682A0FBA">
      <w:pPr>
        <w:ind w:firstLine="422"/>
      </w:pPr>
      <w:r>
        <w:rPr>
          <w:rFonts w:hint="eastAsia"/>
          <w:b/>
        </w:rPr>
        <w:t>第二条</w:t>
      </w:r>
      <w:r>
        <w:rPr>
          <w:rFonts w:hint="eastAsia"/>
        </w:rPr>
        <w:t xml:space="preserve">  本市行政区域内的节约用水和节约用水管理工作，适用本办法。</w:t>
      </w:r>
    </w:p>
    <w:p w14:paraId="5774306C">
      <w:pPr>
        <w:ind w:firstLine="422"/>
      </w:pPr>
      <w:r>
        <w:rPr>
          <w:rFonts w:hint="eastAsia"/>
          <w:b/>
        </w:rPr>
        <w:t>第三条</w:t>
      </w:r>
      <w:r>
        <w:rPr>
          <w:rFonts w:hint="eastAsia"/>
        </w:rPr>
        <w:t xml:space="preserve">  本市坚持经济社会发展与水环境状况和水资源承载能力相适应的用水方针，实行用水总量和用水效率控制，采取法律、行政、经济、工程、科技等措施，促进节约用水。</w:t>
      </w:r>
    </w:p>
    <w:p w14:paraId="53DE770A">
      <w:r>
        <w:rPr>
          <w:rFonts w:hint="eastAsia"/>
        </w:rPr>
        <w:t>区域发展规划、新城和重点发展区域规划的编制、重大建设项目的布局，应当进行水资源论证。</w:t>
      </w:r>
    </w:p>
    <w:p w14:paraId="0D559BE9">
      <w:pPr>
        <w:ind w:firstLine="422"/>
      </w:pPr>
      <w:r>
        <w:rPr>
          <w:rFonts w:hint="eastAsia"/>
          <w:b/>
        </w:rPr>
        <w:t>第四条</w:t>
      </w:r>
      <w:r>
        <w:rPr>
          <w:rFonts w:hint="eastAsia"/>
        </w:rPr>
        <w:t xml:space="preserve">  本市建立健全节约用水责任和考核制度。各级人民政府应当把节约用水工作纳入国民经济和社会发展计划；健全节约用水社会化服务体系，推广节水新技术、新工艺、新设备，培育和发展节水产业；组织开展节约用水宣传，提高全社会的节约用水意识。</w:t>
      </w:r>
    </w:p>
    <w:p w14:paraId="33DD25CC">
      <w:r>
        <w:rPr>
          <w:rFonts w:hint="eastAsia"/>
        </w:rPr>
        <w:t>单位和个人都有节约用水的义务。</w:t>
      </w:r>
    </w:p>
    <w:p w14:paraId="002FF1B3">
      <w:pPr>
        <w:ind w:firstLine="422"/>
      </w:pPr>
      <w:r>
        <w:rPr>
          <w:rFonts w:hint="eastAsia"/>
          <w:b/>
        </w:rPr>
        <w:t>第五条</w:t>
      </w:r>
      <w:r>
        <w:rPr>
          <w:rFonts w:hint="eastAsia"/>
        </w:rPr>
        <w:t xml:space="preserve">  市人民政府水行政主管部门（以下简称市节水管理部门）负责全市节约用水的统一监督管理工作，负责拟订、编制节约用水政策、规划、标准并监督、组织实施，指导节水型社会建设。</w:t>
      </w:r>
    </w:p>
    <w:p w14:paraId="4BC72D8F">
      <w:r>
        <w:rPr>
          <w:rFonts w:hint="eastAsia"/>
        </w:rPr>
        <w:t>区、县人民政府水行政主管部门和未设置水行政主管部门的区人民政府指定的节约用水管理机构（以下简称区、县节水管理部门）按照规定的权限，负责本行政区域内的节约用水监督管理工作。</w:t>
      </w:r>
    </w:p>
    <w:p w14:paraId="28FB5454">
      <w:r>
        <w:rPr>
          <w:rFonts w:hint="eastAsia"/>
        </w:rPr>
        <w:t>市和区、县人民政府有关部门按照各自职责分工，负责本行政区域内节约用水的有关工作。</w:t>
      </w:r>
    </w:p>
    <w:p w14:paraId="50AD7E84">
      <w:pPr>
        <w:ind w:firstLine="422"/>
      </w:pPr>
      <w:r>
        <w:rPr>
          <w:rFonts w:hint="eastAsia"/>
          <w:b/>
        </w:rPr>
        <w:t>第六条</w:t>
      </w:r>
      <w:r>
        <w:rPr>
          <w:rFonts w:hint="eastAsia"/>
        </w:rPr>
        <w:t xml:space="preserve">  乡、镇人民政府和街道办事处应当做好本辖区内的节约用水工作，组织开展节约用水宣传、教育，推进节水型村镇、节水型社区建设；发现违反本办法的行为，应当予以制止，并向有关部门报告。</w:t>
      </w:r>
    </w:p>
    <w:p w14:paraId="0DDFB12C">
      <w:r>
        <w:rPr>
          <w:rFonts w:hint="eastAsia"/>
        </w:rPr>
        <w:t>村民委员会、居民委员会协助乡、镇人民政府和街道办事处开展节约用水相关工作；发现违反本办法的行为，应当进行劝阻，并向有关部门报告。</w:t>
      </w:r>
    </w:p>
    <w:p w14:paraId="7DDD8261">
      <w:pPr>
        <w:ind w:firstLine="422"/>
      </w:pPr>
      <w:r>
        <w:rPr>
          <w:rFonts w:hint="eastAsia"/>
          <w:b/>
        </w:rPr>
        <w:t>第七条</w:t>
      </w:r>
      <w:r>
        <w:rPr>
          <w:rFonts w:hint="eastAsia"/>
        </w:rPr>
        <w:t xml:space="preserve">  对在节约用水和节约用水管理工作中做出突出贡献的单位和个人，给予表彰奖励。具体办法由市节水管理部门会同有关部门制定。</w:t>
      </w:r>
    </w:p>
    <w:p w14:paraId="28EF69C9">
      <w:pPr>
        <w:ind w:firstLine="422"/>
      </w:pPr>
      <w:r>
        <w:rPr>
          <w:rFonts w:hint="eastAsia"/>
          <w:b/>
        </w:rPr>
        <w:t>第八条</w:t>
      </w:r>
      <w:r>
        <w:rPr>
          <w:rFonts w:hint="eastAsia"/>
        </w:rPr>
        <w:t xml:space="preserve">  本市逐步建立居民生活用水节水激励机制。</w:t>
      </w:r>
    </w:p>
    <w:p w14:paraId="56EC1BD7">
      <w:pPr>
        <w:spacing w:line="300" w:lineRule="exact"/>
      </w:pPr>
    </w:p>
    <w:p w14:paraId="605839DA">
      <w:pPr>
        <w:ind w:firstLine="0" w:firstLineChars="0"/>
        <w:jc w:val="center"/>
        <w:rPr>
          <w:b/>
          <w:sz w:val="28"/>
        </w:rPr>
      </w:pPr>
      <w:r>
        <w:rPr>
          <w:rFonts w:hint="eastAsia"/>
          <w:b/>
          <w:sz w:val="28"/>
        </w:rPr>
        <w:t>第二章　用水管理</w:t>
      </w:r>
    </w:p>
    <w:p w14:paraId="1BD7A472">
      <w:pPr>
        <w:spacing w:line="300" w:lineRule="exact"/>
      </w:pPr>
    </w:p>
    <w:p w14:paraId="7CBFDBB6">
      <w:pPr>
        <w:ind w:firstLine="422"/>
      </w:pPr>
      <w:r>
        <w:rPr>
          <w:rFonts w:hint="eastAsia"/>
          <w:b/>
        </w:rPr>
        <w:t>第九条</w:t>
      </w:r>
      <w:r>
        <w:rPr>
          <w:rFonts w:hint="eastAsia"/>
        </w:rPr>
        <w:t xml:space="preserve">  本市实行行政区域和行业用水总量控制。市节水管理部门应当会同有关部门，按照生活用新水适度增长、环境用新水控制增长、工业用新水零增长、农业用新水负增长的原则，根据区域功能定位和行业可持续发展的要求，科学配置水资源，逐级分解用水总量指标；对已经超过用水总量指标的区域或者行业，不再增加该区域或者行业的用水指标。</w:t>
      </w:r>
    </w:p>
    <w:p w14:paraId="72E45B5B">
      <w:r>
        <w:rPr>
          <w:rFonts w:hint="eastAsia"/>
        </w:rPr>
        <w:t>市节水管理部门应当编制全市节约用水规划，征求有关部门意见后，报市人民政府批准后组织实施。区、县节水管理部门应当依据全市节约用水规划，编制本行政区域的节约用水规划，征求有关部门意见后，报本级人民政府批准后组织实施。</w:t>
      </w:r>
    </w:p>
    <w:p w14:paraId="31115481">
      <w:r>
        <w:rPr>
          <w:rFonts w:hint="eastAsia"/>
        </w:rPr>
        <w:t>市和区、县节水管理部门应当依据节约用水规划，制定年度节约用水计划并组织实施。</w:t>
      </w:r>
    </w:p>
    <w:p w14:paraId="7D115514">
      <w:r>
        <w:rPr>
          <w:rFonts w:hint="eastAsia"/>
        </w:rPr>
        <w:t>节约用水规划和计划应当符合本市用水总量控制的要求。</w:t>
      </w:r>
    </w:p>
    <w:p w14:paraId="79BCD75D">
      <w:pPr>
        <w:ind w:firstLine="422"/>
      </w:pPr>
      <w:r>
        <w:rPr>
          <w:rFonts w:hint="eastAsia"/>
          <w:b/>
        </w:rPr>
        <w:t>第十条</w:t>
      </w:r>
      <w:r>
        <w:rPr>
          <w:rFonts w:hint="eastAsia"/>
        </w:rPr>
        <w:t xml:space="preserve">  本市实行产业用水效率准入制度。市发展改革部门应当会同市节水管理部门和其他有关部门，根据水资源状况，制定并公布本市工业、农业、服务业的投资项目指导目录和限制发展项目名录。</w:t>
      </w:r>
    </w:p>
    <w:p w14:paraId="2ED96480">
      <w:r>
        <w:rPr>
          <w:rFonts w:hint="eastAsia"/>
        </w:rPr>
        <w:t>本市建立健全高耗水项目和单位重点监控机制，强化用水监控管理；严格限制以水为原料的生产企业、人造滑雪场、高尔夫球场、高档洗浴场所等高耗水项目发展。对已有高耗水项目，不再增加用水指标。</w:t>
      </w:r>
    </w:p>
    <w:p w14:paraId="56AEEBA5">
      <w:r>
        <w:rPr>
          <w:rFonts w:hint="eastAsia"/>
        </w:rPr>
        <w:t>本办法所称高档洗浴场所，是指市商务主管部门公布的大众便民浴池以外的洗浴场所。</w:t>
      </w:r>
    </w:p>
    <w:p w14:paraId="774B9BE2">
      <w:r>
        <w:rPr>
          <w:rFonts w:hint="eastAsia"/>
        </w:rPr>
        <w:t>市节水管理部门会同有关部门定期进行用水效率评估，并向社会公布评估结果。</w:t>
      </w:r>
    </w:p>
    <w:p w14:paraId="0606DE80">
      <w:pPr>
        <w:ind w:firstLine="422"/>
      </w:pPr>
      <w:r>
        <w:rPr>
          <w:rFonts w:hint="eastAsia"/>
          <w:b/>
        </w:rPr>
        <w:t>第十一条</w:t>
      </w:r>
      <w:r>
        <w:rPr>
          <w:rFonts w:hint="eastAsia"/>
        </w:rPr>
        <w:t xml:space="preserve">  本市相关行业产品生产和服务的用水定额由市有关行业主管部门组织制订，报市节水管理部门和市质量技术监督部门审核同意；无行业主管部门的行业用水定额，由市节水管理部门和市质量技术监督部门组织制订。行业用水定额由市人民政府批准后向社会公布。</w:t>
      </w:r>
    </w:p>
    <w:p w14:paraId="59751CBB">
      <w:r>
        <w:rPr>
          <w:rFonts w:hint="eastAsia"/>
        </w:rPr>
        <w:t>有关部门制订行业用水定额，应当考虑本市水资源承载能力、供水能力和经济社会发展情况。</w:t>
      </w:r>
    </w:p>
    <w:p w14:paraId="047D8DD8">
      <w:pPr>
        <w:ind w:firstLine="422"/>
      </w:pPr>
      <w:r>
        <w:rPr>
          <w:rFonts w:hint="eastAsia"/>
          <w:b/>
        </w:rPr>
        <w:t>第十二条</w:t>
      </w:r>
      <w:r>
        <w:rPr>
          <w:rFonts w:hint="eastAsia"/>
        </w:rPr>
        <w:t xml:space="preserve">  节水管理部门应当根据年度用水计划、相关行业用水定额和用水单位的生活、生产经营需要，核定用水单位的用水指标，在每年</w:t>
      </w:r>
      <w:r>
        <w:rPr>
          <w:rFonts w:hint="eastAsia" w:ascii="宋体" w:hAnsi="宋体" w:eastAsia="宋体" w:cs="宋体"/>
        </w:rPr>
        <w:t>3</w:t>
      </w:r>
      <w:r>
        <w:rPr>
          <w:rFonts w:hint="eastAsia"/>
        </w:rPr>
        <w:t>月底前将年度用水指标和月度用水指标下达到相关用水单位。</w:t>
      </w:r>
    </w:p>
    <w:p w14:paraId="0C81A00C">
      <w:r>
        <w:rPr>
          <w:rFonts w:hint="eastAsia"/>
        </w:rPr>
        <w:t>新增用水单位或者用水单位需要调整用水指标的，应当到节水管理部门申请核定或者调整用水指标。</w:t>
      </w:r>
    </w:p>
    <w:p w14:paraId="3ECA63EE">
      <w:r>
        <w:rPr>
          <w:rFonts w:hint="eastAsia"/>
        </w:rPr>
        <w:t>工程施工、园林绿化、环境卫生等需要临时用水的，应当向节水管理部门申请临时用水指标。</w:t>
      </w:r>
    </w:p>
    <w:p w14:paraId="65A57C26">
      <w:r>
        <w:rPr>
          <w:rFonts w:hint="eastAsia"/>
        </w:rPr>
        <w:t>供水单位不得向未取得用水指标的用水单位供水。</w:t>
      </w:r>
    </w:p>
    <w:p w14:paraId="79975F68">
      <w:pPr>
        <w:ind w:firstLine="422"/>
      </w:pPr>
      <w:r>
        <w:rPr>
          <w:rFonts w:hint="eastAsia"/>
          <w:b/>
        </w:rPr>
        <w:t>第十三条</w:t>
      </w:r>
      <w:r>
        <w:rPr>
          <w:rFonts w:hint="eastAsia"/>
        </w:rPr>
        <w:t xml:space="preserve">  供水单位应当与用水单位签订供用水合同，明确双方权利义务，约定用水单位违反节水法律、法规、规章拒不改正的，经节水管理部门通知后，供水单位停止供水；因采取停止供水措施而发生的管道改造等费用由违法用水单位承担。</w:t>
      </w:r>
    </w:p>
    <w:p w14:paraId="48E3462C">
      <w:pPr>
        <w:ind w:firstLine="422"/>
      </w:pPr>
      <w:r>
        <w:rPr>
          <w:rFonts w:hint="eastAsia"/>
          <w:b/>
        </w:rPr>
        <w:t>第十四条</w:t>
      </w:r>
      <w:r>
        <w:rPr>
          <w:rFonts w:hint="eastAsia"/>
        </w:rPr>
        <w:t>　用水单位在本市行政区域内迁移的，应当及时到市或者相关区、县节水管理部门申请重新核定用水指标。</w:t>
      </w:r>
    </w:p>
    <w:p w14:paraId="0B1A9AD3">
      <w:pPr>
        <w:ind w:firstLine="422"/>
      </w:pPr>
      <w:r>
        <w:rPr>
          <w:rFonts w:hint="eastAsia"/>
          <w:b/>
        </w:rPr>
        <w:t>第十五条</w:t>
      </w:r>
      <w:r>
        <w:rPr>
          <w:rFonts w:hint="eastAsia"/>
        </w:rPr>
        <w:t>　用水应当计量、缴费。</w:t>
      </w:r>
    </w:p>
    <w:p w14:paraId="7F208A26">
      <w:r>
        <w:rPr>
          <w:rFonts w:hint="eastAsia"/>
        </w:rPr>
        <w:t>供水单位和用水户应当安装水计量设施，并加强对水计量设施的检查与日常维护，保证计量准确。供水单位应当对水计量设施定期进行校验，发现水计量设施损坏的，应当及时修理或者更换。</w:t>
      </w:r>
    </w:p>
    <w:p w14:paraId="1582146D">
      <w:r>
        <w:rPr>
          <w:rFonts w:hint="eastAsia"/>
        </w:rPr>
        <w:t>用水单位无水计量设施的，由节水管理部门责令限期安装，并自取水之日起，按照工程设计取水能力或者取水设备额定流量全时程运行计算取水量，直至安装水计量设施为止。</w:t>
      </w:r>
    </w:p>
    <w:p w14:paraId="6C18A289">
      <w:pPr>
        <w:ind w:firstLine="422"/>
      </w:pPr>
      <w:r>
        <w:rPr>
          <w:rFonts w:hint="eastAsia"/>
          <w:b/>
        </w:rPr>
        <w:t>第十六条</w:t>
      </w:r>
      <w:r>
        <w:rPr>
          <w:rFonts w:hint="eastAsia"/>
        </w:rPr>
        <w:t>　用水单位有两类以上用水性质类别需要执行不同用水价格计价的，应当根据不同用水性质类别分别安装水计量设施。</w:t>
      </w:r>
    </w:p>
    <w:p w14:paraId="437DD066">
      <w:r>
        <w:rPr>
          <w:rFonts w:hint="eastAsia"/>
        </w:rPr>
        <w:t>用水单位未按照不同用水性质类别分别安装水计量设施单独计价缴费，或者擅自改动供水管线，逃避分类计量的，按照该单位用水性质类别中水价最高的标准缴费。</w:t>
      </w:r>
    </w:p>
    <w:p w14:paraId="67569CDF">
      <w:pPr>
        <w:ind w:firstLine="422"/>
      </w:pPr>
      <w:r>
        <w:rPr>
          <w:rFonts w:hint="eastAsia"/>
          <w:b/>
        </w:rPr>
        <w:t>第十七条</w:t>
      </w:r>
      <w:r>
        <w:rPr>
          <w:rFonts w:hint="eastAsia"/>
        </w:rPr>
        <w:t>　节水管理部门应当加强对直接从河流、湖泊或者地下取用水资源的单位水计量设施的查验，按时收取水资源费。供水单位应当完善用水计量和查表制度，准确记录用水量，按时收取水费。</w:t>
      </w:r>
    </w:p>
    <w:p w14:paraId="46231B2A">
      <w:r>
        <w:rPr>
          <w:rFonts w:hint="eastAsia"/>
        </w:rPr>
        <w:t>用水单位和个人应当配合节水管理部门和供水单位工作人员的查表、收费工作。</w:t>
      </w:r>
    </w:p>
    <w:p w14:paraId="3F4800E6">
      <w:pPr>
        <w:ind w:firstLine="422"/>
        <w:rPr>
          <w:rFonts w:hint="eastAsia" w:ascii="宋体" w:hAnsi="宋体" w:eastAsia="宋体" w:cs="宋体"/>
        </w:rPr>
      </w:pPr>
      <w:r>
        <w:rPr>
          <w:rFonts w:hint="eastAsia"/>
          <w:b/>
        </w:rPr>
        <w:t>第十八条</w:t>
      </w:r>
      <w:r>
        <w:rPr>
          <w:rFonts w:hint="eastAsia"/>
        </w:rPr>
        <w:t>　用水单位应当按照节水管理部门下达的用水指标用水，节水管理部门每两个月对用水单位进行一次考核。</w:t>
      </w:r>
    </w:p>
    <w:p w14:paraId="7308BDE6">
      <w:pPr>
        <w:rPr>
          <w:rFonts w:hint="eastAsia" w:ascii="宋体" w:hAnsi="宋体" w:eastAsia="宋体" w:cs="宋体"/>
        </w:rPr>
      </w:pPr>
      <w:r>
        <w:rPr>
          <w:rFonts w:hint="eastAsia" w:ascii="宋体" w:hAnsi="宋体" w:eastAsia="宋体" w:cs="宋体"/>
        </w:rPr>
        <w:t>公共管网供水的用水单位超出用水指标用水的，除据实缴纳水费外，由节水管理部门根据该单位用水实际执行的水价标准，按照下列倍数收取累进加价费用：超出规定数量20%（含本数）以下的部分，按照水价的一倍标准收取；超出规定数量20%至40%（含本数）的部分，按照水价的二倍标准收取；超出规定数量40%以上的部分，按照水价的三倍标准收取。</w:t>
      </w:r>
    </w:p>
    <w:p w14:paraId="5555ACE7">
      <w:pPr>
        <w:rPr>
          <w:rFonts w:hint="eastAsia" w:ascii="宋体" w:hAnsi="宋体" w:eastAsia="宋体" w:cs="宋体"/>
        </w:rPr>
      </w:pPr>
      <w:r>
        <w:rPr>
          <w:rFonts w:hint="eastAsia" w:ascii="宋体" w:hAnsi="宋体" w:eastAsia="宋体" w:cs="宋体"/>
        </w:rPr>
        <w:t>自备水源供水的用水单位超出用水指标用水的，除据实缴纳水资源费外，由节水管理部门根据该单位用水实际执行的水资源费标准，按照下列倍数收取累进加价水资源费：超出规定数量20%（含本数）以下的部分，按照水资源费的五倍标准收取；超出规定数量20%至40%（含本数）的部分，按照水资源费的十倍标准收取；超出规定数量40%以上的部分，按照水资源费的十五倍标准收取。</w:t>
      </w:r>
    </w:p>
    <w:p w14:paraId="09E60F95">
      <w:pPr>
        <w:ind w:firstLine="422"/>
      </w:pPr>
      <w:r>
        <w:rPr>
          <w:rFonts w:hint="eastAsia" w:ascii="宋体" w:hAnsi="宋体" w:eastAsia="宋体" w:cs="宋体"/>
          <w:b/>
        </w:rPr>
        <w:t>第十九条</w:t>
      </w:r>
      <w:r>
        <w:rPr>
          <w:rFonts w:hint="eastAsia" w:ascii="宋体" w:hAnsi="宋体" w:eastAsia="宋体" w:cs="宋体"/>
        </w:rPr>
        <w:t>　供水单位、再生水生产企业和其他直接从河流、湖泊或者地下取</w:t>
      </w:r>
      <w:r>
        <w:rPr>
          <w:rFonts w:hint="eastAsia"/>
        </w:rPr>
        <w:t>用水资源的单位应当按照节水管理部门的要求，及时、准确报送供水情况或者实际用水量。</w:t>
      </w:r>
    </w:p>
    <w:p w14:paraId="5F7D70BB">
      <w:pPr>
        <w:ind w:firstLine="422"/>
      </w:pPr>
      <w:r>
        <w:rPr>
          <w:rFonts w:hint="eastAsia"/>
          <w:b/>
        </w:rPr>
        <w:t>第二十条</w:t>
      </w:r>
      <w:r>
        <w:rPr>
          <w:rFonts w:hint="eastAsia"/>
        </w:rPr>
        <w:t>　市和区、县节水管理部门应当建立用水情况通报制度，定期公布区域和行业用水情况，指导产业合理布局，引导企事业单位和社会节约用水。</w:t>
      </w:r>
    </w:p>
    <w:p w14:paraId="183E90A0"/>
    <w:p w14:paraId="059C8B72">
      <w:pPr>
        <w:ind w:firstLine="0" w:firstLineChars="0"/>
        <w:jc w:val="center"/>
        <w:rPr>
          <w:b/>
          <w:sz w:val="28"/>
        </w:rPr>
      </w:pPr>
      <w:r>
        <w:rPr>
          <w:rFonts w:hint="eastAsia"/>
          <w:b/>
          <w:sz w:val="28"/>
        </w:rPr>
        <w:t>第三章　保障措施</w:t>
      </w:r>
    </w:p>
    <w:p w14:paraId="0AAFAE14"/>
    <w:p w14:paraId="225C4C3F">
      <w:pPr>
        <w:ind w:firstLine="422"/>
      </w:pPr>
      <w:r>
        <w:rPr>
          <w:rFonts w:hint="eastAsia"/>
          <w:b/>
        </w:rPr>
        <w:t>第二十一条</w:t>
      </w:r>
      <w:r>
        <w:rPr>
          <w:rFonts w:hint="eastAsia"/>
        </w:rPr>
        <w:t>　新建、改建、扩建建设项目直接从河流、湖泊或者地下取水的，应当依法进行水资源论证；对取用公共管网水或者再生水的建设项目，节水管理部门逐步建立水资源评价制度。</w:t>
      </w:r>
    </w:p>
    <w:p w14:paraId="5C8D91FC">
      <w:pPr>
        <w:ind w:firstLine="422"/>
      </w:pPr>
      <w:r>
        <w:rPr>
          <w:rFonts w:hint="eastAsia"/>
          <w:b/>
        </w:rPr>
        <w:t>第二十二条</w:t>
      </w:r>
      <w:r>
        <w:rPr>
          <w:rFonts w:hint="eastAsia"/>
        </w:rPr>
        <w:t>　新建、改建、扩建建设项目的节水设施应当与主体工程同时设计、同时施工、同时投入使用。规划设计单位应当按照国家和本市的节水标准和规范进行节水设施设计，并单独成册；施工图审查单位应当严格审查节水相关内容。节水设施设计方案应当报经节水管理部门审核，未经节水管理部门审核或者审核不合格的，该建设项目的立项文件不得作为发放建设工程规划许可证等后续许可的依据。</w:t>
      </w:r>
    </w:p>
    <w:p w14:paraId="025D15EA">
      <w:r>
        <w:rPr>
          <w:rFonts w:hint="eastAsia"/>
        </w:rPr>
        <w:t>节水设施竣工后，建设单位应当向节水管理部门申报验收。未经验收或者验收不合格的，建设项目不得使用，节水管理部门不予核定用水指标，供水单位不得供水。</w:t>
      </w:r>
    </w:p>
    <w:p w14:paraId="1290D377">
      <w:r>
        <w:rPr>
          <w:rFonts w:hint="eastAsia"/>
        </w:rPr>
        <w:t>节水设施包括节水器具、工艺、设备、计量设施、再生水回用系统和雨水收集利用系统。</w:t>
      </w:r>
    </w:p>
    <w:p w14:paraId="0A078C96">
      <w:pPr>
        <w:ind w:firstLine="422"/>
      </w:pPr>
      <w:r>
        <w:rPr>
          <w:rFonts w:hint="eastAsia"/>
          <w:b/>
        </w:rPr>
        <w:t>第二十三条</w:t>
      </w:r>
      <w:r>
        <w:rPr>
          <w:rFonts w:hint="eastAsia"/>
        </w:rPr>
        <w:t>　房屋拆迁时拆迁人应当根据拆迁施工进度，与供水单位签订停止供水协议，明确拆迁施工现场的节水管理责任。</w:t>
      </w:r>
    </w:p>
    <w:p w14:paraId="2349F660">
      <w:r>
        <w:rPr>
          <w:rFonts w:hint="eastAsia"/>
        </w:rPr>
        <w:t>供水单位应当配合拆迁施工进度，采取措施及时关闭拆迁施工现场的供水管线。</w:t>
      </w:r>
    </w:p>
    <w:p w14:paraId="09707124">
      <w:pPr>
        <w:ind w:firstLine="422"/>
      </w:pPr>
      <w:r>
        <w:rPr>
          <w:rFonts w:hint="eastAsia"/>
          <w:b/>
        </w:rPr>
        <w:t>第二十四条</w:t>
      </w:r>
      <w:r>
        <w:rPr>
          <w:rFonts w:hint="eastAsia"/>
        </w:rPr>
        <w:t>　工业用水单位应当采用先进技术、工艺和设备，增加循环用水次数，提高水的重复利用率。水的重复利用率应当达到国家和本市规定的标准。未达到规定标准的，由节水管理部门责令其限期进行技术改造。改造后仍未达到标准的，由节水管理部门核减用水指标。</w:t>
      </w:r>
    </w:p>
    <w:p w14:paraId="0DDCE8CC">
      <w:pPr>
        <w:rPr>
          <w:rFonts w:hint="eastAsia" w:ascii="宋体" w:hAnsi="宋体" w:eastAsia="宋体" w:cs="宋体"/>
        </w:rPr>
      </w:pPr>
      <w:r>
        <w:rPr>
          <w:rFonts w:hint="eastAsia"/>
        </w:rPr>
        <w:t>再生水输配水管线覆盖地区内的工业用</w:t>
      </w:r>
      <w:r>
        <w:rPr>
          <w:rFonts w:hint="eastAsia" w:ascii="宋体" w:hAnsi="宋体" w:eastAsia="宋体" w:cs="宋体"/>
        </w:rPr>
        <w:t>水，应当使用再生水。</w:t>
      </w:r>
    </w:p>
    <w:p w14:paraId="3EAABD78">
      <w:pPr>
        <w:rPr>
          <w:rFonts w:hint="eastAsia" w:ascii="宋体" w:hAnsi="宋体" w:eastAsia="宋体" w:cs="宋体"/>
        </w:rPr>
      </w:pPr>
      <w:r>
        <w:rPr>
          <w:rFonts w:hint="eastAsia" w:ascii="宋体" w:hAnsi="宋体" w:eastAsia="宋体" w:cs="宋体"/>
        </w:rPr>
        <w:t>间接冷却水应当循环使用，循环使用率不得低于98%。</w:t>
      </w:r>
    </w:p>
    <w:p w14:paraId="52251FF4">
      <w:pPr>
        <w:ind w:firstLine="422"/>
        <w:rPr>
          <w:rFonts w:hint="eastAsia" w:ascii="宋体" w:hAnsi="宋体" w:eastAsia="宋体" w:cs="宋体"/>
        </w:rPr>
      </w:pPr>
      <w:r>
        <w:rPr>
          <w:rFonts w:hint="eastAsia" w:ascii="宋体" w:hAnsi="宋体" w:eastAsia="宋体" w:cs="宋体"/>
          <w:b/>
        </w:rPr>
        <w:t>第二十五条</w:t>
      </w:r>
      <w:r>
        <w:rPr>
          <w:rFonts w:hint="eastAsia" w:ascii="宋体" w:hAnsi="宋体" w:eastAsia="宋体" w:cs="宋体"/>
        </w:rPr>
        <w:t>　以水为原料的生产企业应当采用节水型生产工艺和技术，减少水资源的损耗。纯净水生产企业产水率不得低于原料水的70%。</w:t>
      </w:r>
    </w:p>
    <w:p w14:paraId="0DE1AB93">
      <w:pPr>
        <w:rPr>
          <w:rFonts w:hint="eastAsia" w:ascii="宋体" w:hAnsi="宋体" w:eastAsia="宋体" w:cs="宋体"/>
        </w:rPr>
      </w:pPr>
      <w:r>
        <w:rPr>
          <w:rFonts w:hint="eastAsia" w:ascii="宋体" w:hAnsi="宋体" w:eastAsia="宋体" w:cs="宋体"/>
        </w:rPr>
        <w:t>以水为原料的生产企业生产后的尾水应当回收利用，不得直接排放。</w:t>
      </w:r>
    </w:p>
    <w:p w14:paraId="09942567">
      <w:pPr>
        <w:ind w:firstLine="422"/>
        <w:rPr>
          <w:rFonts w:hint="eastAsia" w:ascii="宋体" w:hAnsi="宋体" w:eastAsia="宋体" w:cs="宋体"/>
        </w:rPr>
      </w:pPr>
      <w:r>
        <w:rPr>
          <w:rFonts w:hint="eastAsia" w:ascii="宋体" w:hAnsi="宋体" w:eastAsia="宋体" w:cs="宋体"/>
          <w:b/>
        </w:rPr>
        <w:t>第二十六条</w:t>
      </w:r>
      <w:r>
        <w:rPr>
          <w:rFonts w:hint="eastAsia" w:ascii="宋体" w:hAnsi="宋体" w:eastAsia="宋体" w:cs="宋体"/>
        </w:rPr>
        <w:t>　现场制、售饮用水的单位或者个人应当安装尾水回收设施，对尾水进行利用，不得直接排放，并依照本市有关规定向设备所在地卫生行政主管部门备案。对未安装尾水回收设施的，任何单位和个人不得提供水源；违反规定提供水源的，由节水管理部门责令限期改正。</w:t>
      </w:r>
    </w:p>
    <w:p w14:paraId="083596A3">
      <w:pPr>
        <w:rPr>
          <w:rFonts w:hint="eastAsia" w:ascii="宋体" w:hAnsi="宋体" w:eastAsia="宋体" w:cs="宋体"/>
        </w:rPr>
      </w:pPr>
      <w:r>
        <w:rPr>
          <w:rFonts w:hint="eastAsia" w:ascii="宋体" w:hAnsi="宋体" w:eastAsia="宋体" w:cs="宋体"/>
        </w:rPr>
        <w:t>对本办法实施前已经安装的现场制、售饮用水设备，有关单位或者个人应当自本办法实施之日起6个月内安装尾水回收设施。</w:t>
      </w:r>
    </w:p>
    <w:p w14:paraId="2D3B44A5">
      <w:pPr>
        <w:ind w:firstLine="422"/>
        <w:rPr>
          <w:rFonts w:hint="eastAsia" w:ascii="宋体" w:hAnsi="宋体" w:eastAsia="宋体" w:cs="宋体"/>
        </w:rPr>
      </w:pPr>
      <w:r>
        <w:rPr>
          <w:rFonts w:hint="eastAsia" w:ascii="宋体" w:hAnsi="宋体" w:eastAsia="宋体" w:cs="宋体"/>
          <w:b/>
        </w:rPr>
        <w:t>第二十七条</w:t>
      </w:r>
      <w:r>
        <w:rPr>
          <w:rFonts w:hint="eastAsia" w:ascii="宋体" w:hAnsi="宋体" w:eastAsia="宋体" w:cs="宋体"/>
        </w:rPr>
        <w:t>　市农业、园林绿化行政主管部门应当会同有关部门调整农业生产布局和林、牧、渔业用水结构。</w:t>
      </w:r>
    </w:p>
    <w:p w14:paraId="354B32B3">
      <w:pPr>
        <w:rPr>
          <w:rFonts w:hint="eastAsia" w:ascii="宋体" w:hAnsi="宋体" w:eastAsia="宋体" w:cs="宋体"/>
        </w:rPr>
      </w:pPr>
      <w:r>
        <w:rPr>
          <w:rFonts w:hint="eastAsia" w:ascii="宋体" w:hAnsi="宋体" w:eastAsia="宋体" w:cs="宋体"/>
        </w:rPr>
        <w:t>区、县人民政府应当根据本行政区域内的水资源状况，指导农业生产经营单位和个人合理调整作物种植结构，发展高效益节水型农业，限制并压缩耗水量大、效益低的农作物种植面积。</w:t>
      </w:r>
    </w:p>
    <w:p w14:paraId="6BFD2808">
      <w:pPr>
        <w:ind w:firstLine="422"/>
        <w:rPr>
          <w:rFonts w:hint="eastAsia" w:ascii="宋体" w:hAnsi="宋体" w:eastAsia="宋体" w:cs="宋体"/>
        </w:rPr>
      </w:pPr>
      <w:r>
        <w:rPr>
          <w:rFonts w:hint="eastAsia" w:ascii="宋体" w:hAnsi="宋体" w:eastAsia="宋体" w:cs="宋体"/>
          <w:b/>
        </w:rPr>
        <w:t>第二十八条</w:t>
      </w:r>
      <w:r>
        <w:rPr>
          <w:rFonts w:hint="eastAsia" w:ascii="宋体" w:hAnsi="宋体" w:eastAsia="宋体" w:cs="宋体"/>
        </w:rPr>
        <w:t>　农业生产超过用水定额取用地下水的，应当缴纳水资源费；农村生活用水不得实行包费制。未安装计量设施的，由乡、镇人民政府责令限期安装。</w:t>
      </w:r>
    </w:p>
    <w:p w14:paraId="0A79D6F4">
      <w:pPr>
        <w:rPr>
          <w:rFonts w:hint="eastAsia" w:ascii="宋体" w:hAnsi="宋体" w:eastAsia="宋体" w:cs="宋体"/>
        </w:rPr>
      </w:pPr>
      <w:r>
        <w:rPr>
          <w:rFonts w:hint="eastAsia" w:ascii="宋体" w:hAnsi="宋体" w:eastAsia="宋体" w:cs="宋体"/>
        </w:rPr>
        <w:t>种植业应当采取管道输水、渠道防渗、喷灌、微灌、滴灌等先进的节水灌溉方式，提高用水效率；鼓励非食用农产品生产使用再生水；养殖业应当使用节水器具。</w:t>
      </w:r>
    </w:p>
    <w:p w14:paraId="65B7EE77">
      <w:pPr>
        <w:ind w:firstLine="422"/>
        <w:rPr>
          <w:rFonts w:hint="eastAsia" w:ascii="宋体" w:hAnsi="宋体" w:eastAsia="宋体" w:cs="宋体"/>
        </w:rPr>
      </w:pPr>
      <w:r>
        <w:rPr>
          <w:rFonts w:hint="eastAsia" w:ascii="宋体" w:hAnsi="宋体" w:eastAsia="宋体" w:cs="宋体"/>
          <w:b/>
        </w:rPr>
        <w:t>第二十九条</w:t>
      </w:r>
      <w:r>
        <w:rPr>
          <w:rFonts w:hint="eastAsia" w:ascii="宋体" w:hAnsi="宋体" w:eastAsia="宋体" w:cs="宋体"/>
        </w:rPr>
        <w:t>　农业用井改为非农业用途的，用水单位应当到节水管理部门办理变更手续，重新核定用水指标，并按照新的用水性质类别计价缴费。</w:t>
      </w:r>
    </w:p>
    <w:p w14:paraId="3204E132">
      <w:pPr>
        <w:ind w:firstLine="422"/>
        <w:rPr>
          <w:rFonts w:hint="eastAsia" w:ascii="宋体" w:hAnsi="宋体" w:eastAsia="宋体" w:cs="宋体"/>
        </w:rPr>
      </w:pPr>
      <w:r>
        <w:rPr>
          <w:rFonts w:hint="eastAsia" w:ascii="宋体" w:hAnsi="宋体" w:eastAsia="宋体" w:cs="宋体"/>
          <w:b/>
        </w:rPr>
        <w:t>第三十条</w:t>
      </w:r>
      <w:r>
        <w:rPr>
          <w:rFonts w:hint="eastAsia" w:ascii="宋体" w:hAnsi="宋体" w:eastAsia="宋体" w:cs="宋体"/>
        </w:rPr>
        <w:t>　鼓励绿化使用雨水和再生水，逐步减少使用自来水。</w:t>
      </w:r>
    </w:p>
    <w:p w14:paraId="1A84AF1A">
      <w:pPr>
        <w:rPr>
          <w:rFonts w:hint="eastAsia" w:ascii="宋体" w:hAnsi="宋体" w:eastAsia="宋体" w:cs="宋体"/>
        </w:rPr>
      </w:pPr>
      <w:r>
        <w:rPr>
          <w:rFonts w:hint="eastAsia" w:ascii="宋体" w:hAnsi="宋体" w:eastAsia="宋体" w:cs="宋体"/>
        </w:rPr>
        <w:t>城镇地区的绿地、树木、花卉应当采用喷灌、微灌、滴灌等节水灌溉方式，并严格执行园林绿化灌溉制度，提高绿化用水效率。</w:t>
      </w:r>
    </w:p>
    <w:p w14:paraId="00A04D50">
      <w:pPr>
        <w:rPr>
          <w:rFonts w:hint="eastAsia" w:ascii="宋体" w:hAnsi="宋体" w:eastAsia="宋体" w:cs="宋体"/>
        </w:rPr>
      </w:pPr>
      <w:r>
        <w:rPr>
          <w:rFonts w:hint="eastAsia" w:ascii="宋体" w:hAnsi="宋体" w:eastAsia="宋体" w:cs="宋体"/>
        </w:rPr>
        <w:t>住宅小区、单位内部的景观环境用水和其他市政杂用用水，应当使用雨水或者再生水，不得使用自来水。</w:t>
      </w:r>
    </w:p>
    <w:p w14:paraId="508EA024">
      <w:pPr>
        <w:ind w:firstLine="422"/>
        <w:rPr>
          <w:rFonts w:hint="eastAsia" w:ascii="宋体" w:hAnsi="宋体" w:eastAsia="宋体" w:cs="宋体"/>
        </w:rPr>
      </w:pPr>
      <w:r>
        <w:rPr>
          <w:rFonts w:hint="eastAsia" w:ascii="宋体" w:hAnsi="宋体" w:eastAsia="宋体" w:cs="宋体"/>
          <w:b/>
        </w:rPr>
        <w:t>第三十一条</w:t>
      </w:r>
      <w:r>
        <w:rPr>
          <w:rFonts w:hint="eastAsia" w:ascii="宋体" w:hAnsi="宋体" w:eastAsia="宋体" w:cs="宋体"/>
        </w:rPr>
        <w:t>　新建、改建、扩建建设项目应当按照本市有关规定配套建设雨水收集利用设施，建设单位可以按照有关规定申请减免防洪费。</w:t>
      </w:r>
    </w:p>
    <w:p w14:paraId="344067E7">
      <w:pPr>
        <w:rPr>
          <w:rFonts w:hint="eastAsia" w:ascii="宋体" w:hAnsi="宋体" w:eastAsia="宋体" w:cs="宋体"/>
        </w:rPr>
      </w:pPr>
      <w:r>
        <w:rPr>
          <w:rFonts w:hint="eastAsia" w:ascii="宋体" w:hAnsi="宋体" w:eastAsia="宋体" w:cs="宋体"/>
        </w:rPr>
        <w:t>鼓励已建成的工程项目补建雨水收集利用设施；鼓励农村地区单位和个人因地制宜建设雨水收集利用设施。</w:t>
      </w:r>
    </w:p>
    <w:p w14:paraId="0F0F9B47">
      <w:pPr>
        <w:ind w:firstLine="422"/>
        <w:rPr>
          <w:rFonts w:hint="eastAsia" w:ascii="宋体" w:hAnsi="宋体" w:eastAsia="宋体" w:cs="宋体"/>
        </w:rPr>
      </w:pPr>
      <w:r>
        <w:rPr>
          <w:rFonts w:hint="eastAsia" w:ascii="宋体" w:hAnsi="宋体" w:eastAsia="宋体" w:cs="宋体"/>
          <w:b/>
        </w:rPr>
        <w:t>第三十二条</w:t>
      </w:r>
      <w:r>
        <w:rPr>
          <w:rFonts w:hint="eastAsia" w:ascii="宋体" w:hAnsi="宋体" w:eastAsia="宋体" w:cs="宋体"/>
        </w:rPr>
        <w:t>　新建、改建、扩建建设项目的建设单位应当采取措施，限制施工降水；确需进行施工降水的，应当按照本市有关规定执行，并按照地下水资源费标准缴费。</w:t>
      </w:r>
    </w:p>
    <w:p w14:paraId="7E9929EE">
      <w:pPr>
        <w:ind w:firstLine="422"/>
        <w:rPr>
          <w:rFonts w:hint="eastAsia" w:ascii="宋体" w:hAnsi="宋体" w:eastAsia="宋体" w:cs="宋体"/>
        </w:rPr>
      </w:pPr>
      <w:r>
        <w:rPr>
          <w:rFonts w:hint="eastAsia" w:ascii="宋体" w:hAnsi="宋体" w:eastAsia="宋体" w:cs="宋体"/>
          <w:b/>
        </w:rPr>
        <w:t>第三十三条</w:t>
      </w:r>
      <w:r>
        <w:rPr>
          <w:rFonts w:hint="eastAsia" w:ascii="宋体" w:hAnsi="宋体" w:eastAsia="宋体" w:cs="宋体"/>
        </w:rPr>
        <w:t>　提供洗车服务的用水单位应当建设循环用水设施；再生水输配水管线覆盖地区内的，应当使用再生水。</w:t>
      </w:r>
    </w:p>
    <w:p w14:paraId="73DC5610">
      <w:pPr>
        <w:rPr>
          <w:rFonts w:hint="eastAsia" w:ascii="宋体" w:hAnsi="宋体" w:eastAsia="宋体" w:cs="宋体"/>
        </w:rPr>
      </w:pPr>
      <w:r>
        <w:rPr>
          <w:rFonts w:hint="eastAsia" w:ascii="宋体" w:hAnsi="宋体" w:eastAsia="宋体" w:cs="宋体"/>
        </w:rPr>
        <w:t>提供洗车服务的用水单位，应当向节水管理部门报送已建成循环用水设施的登记表，登记表的格式由市节水管理部门制定；再生水输配水管线覆盖地区内的，应当按照要求向节水管理部门报送再生水供水合同。</w:t>
      </w:r>
    </w:p>
    <w:p w14:paraId="1AD67C6F">
      <w:pPr>
        <w:ind w:firstLine="422"/>
        <w:rPr>
          <w:rFonts w:hint="eastAsia" w:ascii="宋体" w:hAnsi="宋体" w:eastAsia="宋体" w:cs="宋体"/>
        </w:rPr>
      </w:pPr>
      <w:r>
        <w:rPr>
          <w:rFonts w:hint="eastAsia" w:ascii="宋体" w:hAnsi="宋体" w:eastAsia="宋体" w:cs="宋体"/>
          <w:b/>
        </w:rPr>
        <w:t>第三十四条</w:t>
      </w:r>
      <w:r>
        <w:rPr>
          <w:rFonts w:hint="eastAsia" w:ascii="宋体" w:hAnsi="宋体" w:eastAsia="宋体" w:cs="宋体"/>
        </w:rPr>
        <w:t>　供水单位或者节水管理部门应当逐步为以水为原料的生产企业、人造滑雪场、高尔夫球场、高档洗浴场所等高耗水单位及年用水量5万立方米以上的用水户，安装用水数据远传设备。</w:t>
      </w:r>
    </w:p>
    <w:p w14:paraId="59C75D3D">
      <w:pPr>
        <w:rPr>
          <w:rFonts w:hint="eastAsia" w:ascii="宋体" w:hAnsi="宋体" w:eastAsia="宋体" w:cs="宋体"/>
        </w:rPr>
      </w:pPr>
      <w:r>
        <w:rPr>
          <w:rFonts w:hint="eastAsia" w:ascii="宋体" w:hAnsi="宋体" w:eastAsia="宋体" w:cs="宋体"/>
        </w:rPr>
        <w:t>按照前款规定安装用水数据远传设备的高耗水单位和用水户，应当保证设备正常使用，不得擅自停止使用或者拆除。</w:t>
      </w:r>
    </w:p>
    <w:p w14:paraId="7686C2D6">
      <w:pPr>
        <w:ind w:firstLine="422"/>
        <w:rPr>
          <w:rFonts w:hint="eastAsia" w:ascii="宋体" w:hAnsi="宋体" w:eastAsia="宋体" w:cs="宋体"/>
        </w:rPr>
      </w:pPr>
      <w:r>
        <w:rPr>
          <w:rFonts w:hint="eastAsia" w:ascii="宋体" w:hAnsi="宋体" w:eastAsia="宋体" w:cs="宋体"/>
          <w:b/>
        </w:rPr>
        <w:t>第三十五条</w:t>
      </w:r>
      <w:r>
        <w:rPr>
          <w:rFonts w:hint="eastAsia" w:ascii="宋体" w:hAnsi="宋体" w:eastAsia="宋体" w:cs="宋体"/>
        </w:rPr>
        <w:t>　禁止生产、销售或者使用国家明令淘汰的耗水量高的设备、产品以及不符合本市节水标准的用水器具。</w:t>
      </w:r>
    </w:p>
    <w:p w14:paraId="58BA0DAD">
      <w:pPr>
        <w:rPr>
          <w:rFonts w:hint="eastAsia" w:ascii="宋体" w:hAnsi="宋体" w:eastAsia="宋体" w:cs="宋体"/>
        </w:rPr>
      </w:pPr>
      <w:r>
        <w:rPr>
          <w:rFonts w:hint="eastAsia" w:ascii="宋体" w:hAnsi="宋体" w:eastAsia="宋体" w:cs="宋体"/>
        </w:rPr>
        <w:t>市节水管理部门应当会同市质量技术监督部门根据地方性节水器具标准，确认“节水器具名录”和“明令淘汰用水器具名录”，并向社会公布。</w:t>
      </w:r>
    </w:p>
    <w:p w14:paraId="63CB688F">
      <w:pPr>
        <w:ind w:firstLine="422"/>
        <w:rPr>
          <w:rFonts w:hint="eastAsia" w:ascii="宋体" w:hAnsi="宋体" w:eastAsia="宋体" w:cs="宋体"/>
        </w:rPr>
      </w:pPr>
      <w:r>
        <w:rPr>
          <w:rFonts w:hint="eastAsia" w:ascii="宋体" w:hAnsi="宋体" w:eastAsia="宋体" w:cs="宋体"/>
          <w:b/>
        </w:rPr>
        <w:t>第三十六条</w:t>
      </w:r>
      <w:r>
        <w:rPr>
          <w:rFonts w:hint="eastAsia" w:ascii="宋体" w:hAnsi="宋体" w:eastAsia="宋体" w:cs="宋体"/>
        </w:rPr>
        <w:t>　供水单位应当加强供水管网改造和日常巡查、维护管理，如实记录巡查和维护管理情况，提高供水管网监测和维护管理水平，降低供水管网的漏失率。</w:t>
      </w:r>
    </w:p>
    <w:p w14:paraId="3E2E7202">
      <w:pPr>
        <w:rPr>
          <w:rFonts w:hint="eastAsia" w:ascii="宋体" w:hAnsi="宋体" w:eastAsia="宋体" w:cs="宋体"/>
        </w:rPr>
      </w:pPr>
      <w:r>
        <w:rPr>
          <w:rFonts w:hint="eastAsia" w:ascii="宋体" w:hAnsi="宋体" w:eastAsia="宋体" w:cs="宋体"/>
        </w:rPr>
        <w:t>公共供水单位应当向社会公布抢修电话，出现故障应当及时抢修。</w:t>
      </w:r>
    </w:p>
    <w:p w14:paraId="55AB5939">
      <w:pPr>
        <w:rPr>
          <w:rFonts w:hint="eastAsia" w:ascii="宋体" w:hAnsi="宋体" w:eastAsia="宋体" w:cs="宋体"/>
        </w:rPr>
      </w:pPr>
      <w:r>
        <w:rPr>
          <w:rFonts w:hint="eastAsia" w:ascii="宋体" w:hAnsi="宋体" w:eastAsia="宋体" w:cs="宋体"/>
        </w:rPr>
        <w:t>供水单位应当按规定如实向市节水管理部门报送用水单位和用水变化情况。</w:t>
      </w:r>
    </w:p>
    <w:p w14:paraId="157A187C">
      <w:pPr>
        <w:ind w:firstLine="422"/>
        <w:rPr>
          <w:rFonts w:hint="eastAsia" w:ascii="宋体" w:hAnsi="宋体" w:eastAsia="宋体" w:cs="宋体"/>
        </w:rPr>
      </w:pPr>
      <w:r>
        <w:rPr>
          <w:rFonts w:hint="eastAsia" w:ascii="宋体" w:hAnsi="宋体" w:eastAsia="宋体" w:cs="宋体"/>
          <w:b/>
        </w:rPr>
        <w:t>第三十七条</w:t>
      </w:r>
      <w:r>
        <w:rPr>
          <w:rFonts w:hint="eastAsia" w:ascii="宋体" w:hAnsi="宋体" w:eastAsia="宋体" w:cs="宋体"/>
        </w:rPr>
        <w:t>　节水管理部门和相关单位应当建立水资源实时监控、资源优化配置和节水信息管理系统，完善用水信息统计、报告制度。</w:t>
      </w:r>
    </w:p>
    <w:p w14:paraId="13791D87">
      <w:pPr>
        <w:rPr>
          <w:rFonts w:hint="eastAsia" w:ascii="宋体" w:hAnsi="宋体" w:eastAsia="宋体" w:cs="宋体"/>
        </w:rPr>
      </w:pPr>
      <w:r>
        <w:rPr>
          <w:rFonts w:hint="eastAsia" w:ascii="宋体" w:hAnsi="宋体" w:eastAsia="宋体" w:cs="宋体"/>
        </w:rPr>
        <w:t>用水单位用水可能超出用水指标时，节水管理部门应当给予预警提示。</w:t>
      </w:r>
    </w:p>
    <w:p w14:paraId="3CACAF6C">
      <w:pPr>
        <w:ind w:firstLine="422"/>
        <w:rPr>
          <w:rFonts w:hint="eastAsia" w:ascii="宋体" w:hAnsi="宋体" w:eastAsia="宋体" w:cs="宋体"/>
        </w:rPr>
      </w:pPr>
      <w:r>
        <w:rPr>
          <w:rFonts w:hint="eastAsia" w:ascii="宋体" w:hAnsi="宋体" w:eastAsia="宋体" w:cs="宋体"/>
          <w:b/>
        </w:rPr>
        <w:t>第三十八条</w:t>
      </w:r>
      <w:r>
        <w:rPr>
          <w:rFonts w:hint="eastAsia" w:ascii="宋体" w:hAnsi="宋体" w:eastAsia="宋体" w:cs="宋体"/>
        </w:rPr>
        <w:t>　用水单位三个考核期超出规定用水指标50%的，由市节水管理部门责令限期改正，逾期不改的，市节水管理部门责成供水单位采取措施，按照批准的用水指标供水。</w:t>
      </w:r>
    </w:p>
    <w:p w14:paraId="360B0ADC">
      <w:pPr>
        <w:ind w:firstLine="422"/>
        <w:rPr>
          <w:rFonts w:hint="eastAsia" w:ascii="宋体" w:hAnsi="宋体" w:eastAsia="宋体" w:cs="宋体"/>
        </w:rPr>
      </w:pPr>
      <w:r>
        <w:rPr>
          <w:rFonts w:hint="eastAsia" w:ascii="宋体" w:hAnsi="宋体" w:eastAsia="宋体" w:cs="宋体"/>
          <w:b/>
        </w:rPr>
        <w:t>第三十九条</w:t>
      </w:r>
      <w:r>
        <w:rPr>
          <w:rFonts w:hint="eastAsia" w:ascii="宋体" w:hAnsi="宋体" w:eastAsia="宋体" w:cs="宋体"/>
        </w:rPr>
        <w:t>　在发生特别重大、重大城市供水突发事件或者用水量达到日供水能力90%时，经市人民政府批准，可以停止对本办法第三十四条所列高耗水单位的生产经营供水。</w:t>
      </w:r>
    </w:p>
    <w:p w14:paraId="21F09760">
      <w:pPr>
        <w:ind w:firstLine="422"/>
        <w:rPr>
          <w:rFonts w:hint="eastAsia" w:ascii="宋体" w:hAnsi="宋体" w:eastAsia="宋体" w:cs="宋体"/>
        </w:rPr>
      </w:pPr>
      <w:r>
        <w:rPr>
          <w:rFonts w:hint="eastAsia" w:ascii="宋体" w:hAnsi="宋体" w:eastAsia="宋体" w:cs="宋体"/>
          <w:b/>
        </w:rPr>
        <w:t>第四十条</w:t>
      </w:r>
      <w:r>
        <w:rPr>
          <w:rFonts w:hint="eastAsia" w:ascii="宋体" w:hAnsi="宋体" w:eastAsia="宋体" w:cs="宋体"/>
        </w:rPr>
        <w:t>　用水单位应当采取措施加强节约用水管理，做好下列工作：</w:t>
      </w:r>
    </w:p>
    <w:p w14:paraId="6FDDAD47">
      <w:pPr>
        <w:rPr>
          <w:rFonts w:hint="eastAsia" w:ascii="宋体" w:hAnsi="宋体" w:eastAsia="宋体" w:cs="宋体"/>
        </w:rPr>
      </w:pPr>
      <w:bookmarkStart w:id="2608" w:name="_Toc428780790"/>
      <w:r>
        <w:rPr>
          <w:rFonts w:hint="eastAsia" w:ascii="宋体" w:hAnsi="宋体" w:eastAsia="宋体" w:cs="宋体"/>
        </w:rPr>
        <w:t>（一）建立健全节约用水责任制，建设节水型单位；</w:t>
      </w:r>
      <w:bookmarkEnd w:id="2608"/>
    </w:p>
    <w:p w14:paraId="3795C262">
      <w:pPr>
        <w:rPr>
          <w:rFonts w:hint="eastAsia" w:ascii="宋体" w:hAnsi="宋体" w:eastAsia="宋体" w:cs="宋体"/>
        </w:rPr>
      </w:pPr>
      <w:r>
        <w:rPr>
          <w:rFonts w:hint="eastAsia" w:ascii="宋体" w:hAnsi="宋体" w:eastAsia="宋体" w:cs="宋体"/>
        </w:rPr>
        <w:t>（二）设立节水专门机构或者指定专人具体负责节约用水工作；</w:t>
      </w:r>
    </w:p>
    <w:p w14:paraId="15C2B515">
      <w:pPr>
        <w:rPr>
          <w:rFonts w:hint="eastAsia" w:ascii="宋体" w:hAnsi="宋体" w:eastAsia="宋体" w:cs="宋体"/>
        </w:rPr>
      </w:pPr>
      <w:r>
        <w:rPr>
          <w:rFonts w:hint="eastAsia" w:ascii="宋体" w:hAnsi="宋体" w:eastAsia="宋体" w:cs="宋体"/>
        </w:rPr>
        <w:t>（三）建立用水台帐，开展用水统计分析，明确用水计划、节水目标、节水措施，定期进行合理用水分析或者水平衡测试；</w:t>
      </w:r>
    </w:p>
    <w:p w14:paraId="35E2D47E">
      <w:pPr>
        <w:rPr>
          <w:rFonts w:hint="eastAsia" w:ascii="宋体" w:hAnsi="宋体" w:eastAsia="宋体" w:cs="宋体"/>
        </w:rPr>
      </w:pPr>
      <w:r>
        <w:rPr>
          <w:rFonts w:hint="eastAsia" w:ascii="宋体" w:hAnsi="宋体" w:eastAsia="宋体" w:cs="宋体"/>
        </w:rPr>
        <w:t>（四）加强用水设施的日常维护管理；</w:t>
      </w:r>
    </w:p>
    <w:p w14:paraId="7014C8E2">
      <w:pPr>
        <w:rPr>
          <w:rFonts w:hint="eastAsia" w:ascii="宋体" w:hAnsi="宋体" w:eastAsia="宋体" w:cs="宋体"/>
        </w:rPr>
      </w:pPr>
      <w:r>
        <w:rPr>
          <w:rFonts w:hint="eastAsia" w:ascii="宋体" w:hAnsi="宋体" w:eastAsia="宋体" w:cs="宋体"/>
        </w:rPr>
        <w:t>（五）开展节约用水宣传。</w:t>
      </w:r>
    </w:p>
    <w:p w14:paraId="4772B676">
      <w:pPr>
        <w:rPr>
          <w:rFonts w:hint="eastAsia" w:ascii="宋体" w:hAnsi="宋体" w:eastAsia="宋体" w:cs="宋体"/>
        </w:rPr>
      </w:pPr>
      <w:r>
        <w:rPr>
          <w:rFonts w:hint="eastAsia" w:ascii="宋体" w:hAnsi="宋体" w:eastAsia="宋体" w:cs="宋体"/>
        </w:rPr>
        <w:t>公共机构应当厉行节约，加强节约用水的内部管理，杜绝浪费，带头使用节水产品、设备、工艺，提高节约用水水平。</w:t>
      </w:r>
    </w:p>
    <w:p w14:paraId="5419D614">
      <w:pPr>
        <w:ind w:firstLine="422"/>
      </w:pPr>
      <w:r>
        <w:rPr>
          <w:rFonts w:hint="eastAsia" w:ascii="宋体" w:hAnsi="宋体" w:eastAsia="宋体" w:cs="宋体"/>
          <w:b/>
        </w:rPr>
        <w:t>第四十一条</w:t>
      </w:r>
      <w:r>
        <w:rPr>
          <w:rFonts w:hint="eastAsia" w:ascii="宋体" w:hAnsi="宋体" w:eastAsia="宋体" w:cs="宋体"/>
        </w:rPr>
        <w:t>　本市支持农村管水组织依据章程开展节约用水工</w:t>
      </w:r>
      <w:r>
        <w:rPr>
          <w:rFonts w:hint="eastAsia"/>
        </w:rPr>
        <w:t>作；农村管水组织可以接受委托承办有关节约用水管理事项。</w:t>
      </w:r>
    </w:p>
    <w:p w14:paraId="6C6E8536">
      <w:pPr>
        <w:ind w:firstLine="422"/>
      </w:pPr>
      <w:r>
        <w:rPr>
          <w:rFonts w:hint="eastAsia"/>
          <w:b/>
        </w:rPr>
        <w:t>第四十二条</w:t>
      </w:r>
      <w:r>
        <w:rPr>
          <w:rFonts w:hint="eastAsia"/>
        </w:rPr>
        <w:t>　公共供水设施、消防设施的管理责任人应当加强对供水设施和消防设施的日常维护管理，采取有效措施，防止单位和个人浪费用水或者擅自取水。</w:t>
      </w:r>
    </w:p>
    <w:p w14:paraId="2B67BFFC">
      <w:pPr>
        <w:ind w:firstLine="422"/>
      </w:pPr>
      <w:r>
        <w:rPr>
          <w:rFonts w:hint="eastAsia"/>
          <w:b/>
        </w:rPr>
        <w:t>第四十三条</w:t>
      </w:r>
      <w:r>
        <w:rPr>
          <w:rFonts w:hint="eastAsia"/>
        </w:rPr>
        <w:t>　新闻媒体应当加强节约用水宣传，播放和刊登节约用水公益广告。</w:t>
      </w:r>
    </w:p>
    <w:p w14:paraId="1AD4F5EF">
      <w:r>
        <w:rPr>
          <w:rFonts w:hint="eastAsia"/>
        </w:rPr>
        <w:t>教育行政主管部门应当将节约用水知识列入学校教育内容。</w:t>
      </w:r>
    </w:p>
    <w:p w14:paraId="5C78E8AC">
      <w:r>
        <w:rPr>
          <w:rFonts w:hint="eastAsia"/>
        </w:rPr>
        <w:t>旅行社接待游客时，应当进行节约用水宣传，提高游客的节约用水意识。</w:t>
      </w:r>
    </w:p>
    <w:p w14:paraId="414578BE">
      <w:r>
        <w:rPr>
          <w:rFonts w:hint="eastAsia"/>
        </w:rPr>
        <w:t>饭店、影剧院、体育场馆、医院、学校、展览馆、博物馆、图书馆、候车室、候机厅等公共场所应当设置节约用水宣传标语，宣传节约用水知识。</w:t>
      </w:r>
    </w:p>
    <w:p w14:paraId="26C6B410">
      <w:pPr>
        <w:ind w:firstLine="422"/>
      </w:pPr>
      <w:r>
        <w:rPr>
          <w:rFonts w:hint="eastAsia"/>
          <w:b/>
        </w:rPr>
        <w:t>第四十四条</w:t>
      </w:r>
      <w:r>
        <w:rPr>
          <w:rFonts w:hint="eastAsia"/>
        </w:rPr>
        <w:t>　本市加快建立节水技术开发推广体系和节水设备、节水器具研制生产体系。</w:t>
      </w:r>
    </w:p>
    <w:p w14:paraId="38B60B12">
      <w:r>
        <w:rPr>
          <w:rFonts w:hint="eastAsia"/>
        </w:rPr>
        <w:t>政府有关部门应当组织开展节水科学技术研究，整合节水科技资源。</w:t>
      </w:r>
    </w:p>
    <w:p w14:paraId="37154A7D">
      <w:r>
        <w:rPr>
          <w:rFonts w:hint="eastAsia"/>
        </w:rPr>
        <w:t>鼓励单位和个人开发研制节水型生活用水器具以及节水技术、工艺、设备和产品。</w:t>
      </w:r>
    </w:p>
    <w:p w14:paraId="179B6D6F"/>
    <w:p w14:paraId="2E040588">
      <w:pPr>
        <w:ind w:firstLine="0" w:firstLineChars="0"/>
        <w:jc w:val="center"/>
        <w:rPr>
          <w:b/>
          <w:sz w:val="28"/>
        </w:rPr>
      </w:pPr>
      <w:r>
        <w:rPr>
          <w:rFonts w:hint="eastAsia"/>
          <w:b/>
          <w:sz w:val="28"/>
        </w:rPr>
        <w:t>第四章　监督检查</w:t>
      </w:r>
    </w:p>
    <w:p w14:paraId="359D9D25"/>
    <w:p w14:paraId="672C3BB6">
      <w:pPr>
        <w:ind w:firstLine="422"/>
      </w:pPr>
      <w:r>
        <w:rPr>
          <w:rFonts w:hint="eastAsia"/>
          <w:b/>
        </w:rPr>
        <w:t>第四十五条</w:t>
      </w:r>
      <w:r>
        <w:rPr>
          <w:rFonts w:hint="eastAsia"/>
        </w:rPr>
        <w:t>　节水管理部门以及其他有关部门应当依法履行职责，切实加强对供水单位、用水单位和用水户节约用水情况的监督检查。</w:t>
      </w:r>
    </w:p>
    <w:p w14:paraId="7C799EC6">
      <w:pPr>
        <w:ind w:firstLine="422"/>
      </w:pPr>
      <w:r>
        <w:rPr>
          <w:rFonts w:hint="eastAsia"/>
          <w:b/>
        </w:rPr>
        <w:t>第四十六条</w:t>
      </w:r>
      <w:r>
        <w:rPr>
          <w:rFonts w:hint="eastAsia"/>
        </w:rPr>
        <w:t>　节约用水监督检查人员履行监督检查职责时，有权采取下列措施：</w:t>
      </w:r>
    </w:p>
    <w:p w14:paraId="3D4AC2FF">
      <w:bookmarkStart w:id="2609" w:name="_Toc428780791"/>
      <w:r>
        <w:rPr>
          <w:rFonts w:hint="eastAsia"/>
        </w:rPr>
        <w:t>（一）进入现场开展检查，调查了解有关情况；</w:t>
      </w:r>
      <w:bookmarkEnd w:id="2609"/>
    </w:p>
    <w:p w14:paraId="6E4C873E">
      <w:r>
        <w:rPr>
          <w:rFonts w:hint="eastAsia"/>
        </w:rPr>
        <w:t>（二）要求被检查单位或者个人就节约用水有关问题作出说明；</w:t>
      </w:r>
    </w:p>
    <w:p w14:paraId="0D102ED7">
      <w:r>
        <w:rPr>
          <w:rFonts w:hint="eastAsia"/>
        </w:rPr>
        <w:t>（三）要求被检查单位或者个人提供有关文件、证照、资料并有权复制；</w:t>
      </w:r>
    </w:p>
    <w:p w14:paraId="24A1D9DD">
      <w:r>
        <w:rPr>
          <w:rFonts w:hint="eastAsia"/>
        </w:rPr>
        <w:t>（四）责令被检查单位或者个人停止违法行为，履行法定义务。</w:t>
      </w:r>
    </w:p>
    <w:p w14:paraId="5ECE0639">
      <w:r>
        <w:rPr>
          <w:rFonts w:hint="eastAsia"/>
        </w:rPr>
        <w:t>监督检查人员在履行监督检查职责时，应当出示行政执法证件。有关单位或者个人对监督检查工作应当给予配合，不得拒绝或者阻挠。</w:t>
      </w:r>
    </w:p>
    <w:p w14:paraId="6BE36D33">
      <w:pPr>
        <w:ind w:firstLine="422"/>
      </w:pPr>
      <w:r>
        <w:rPr>
          <w:rFonts w:hint="eastAsia"/>
          <w:b/>
        </w:rPr>
        <w:t>第四十七条</w:t>
      </w:r>
      <w:r>
        <w:rPr>
          <w:rFonts w:hint="eastAsia"/>
        </w:rPr>
        <w:t>　节水管理部门应当加强对用水量较大单位用水的日常监督管理，增加对高耗水单位的检查频次，对发现的浪费用水行为及时处理；需要有关部门配合的，应当实行联合检查。</w:t>
      </w:r>
    </w:p>
    <w:p w14:paraId="3899D9EB">
      <w:pPr>
        <w:ind w:firstLine="422"/>
      </w:pPr>
      <w:r>
        <w:rPr>
          <w:rFonts w:hint="eastAsia"/>
          <w:b/>
        </w:rPr>
        <w:t>第四十八条</w:t>
      </w:r>
      <w:r>
        <w:rPr>
          <w:rFonts w:hint="eastAsia"/>
        </w:rPr>
        <w:t>　鼓励单位和个人向节水管理部门或者节水执法部门举报浪费用水行为，有关部门接到举报后应当及时调查处理。</w:t>
      </w:r>
    </w:p>
    <w:p w14:paraId="4C8B27C7">
      <w:r>
        <w:rPr>
          <w:rFonts w:hint="eastAsia"/>
        </w:rPr>
        <w:t>接到举报的有关部门应当为举报人保密，并对举报属实、为查处重大浪费用水行为提供主要线索和证据的举报人给予奖励。具体奖励办法由市节水管理部门会同市发展改革、财政等有关部门制定。</w:t>
      </w:r>
    </w:p>
    <w:p w14:paraId="1F61E01E">
      <w:r>
        <w:rPr>
          <w:rFonts w:hint="eastAsia"/>
        </w:rPr>
        <w:t>节水管理部门应当公布举报电话、信箱或者电子邮件地址，受理举报。</w:t>
      </w:r>
    </w:p>
    <w:p w14:paraId="69E2C2F2"/>
    <w:p w14:paraId="4E54E2D8">
      <w:pPr>
        <w:ind w:firstLine="0" w:firstLineChars="0"/>
        <w:jc w:val="center"/>
        <w:rPr>
          <w:b/>
          <w:sz w:val="28"/>
        </w:rPr>
      </w:pPr>
      <w:r>
        <w:rPr>
          <w:rFonts w:hint="eastAsia"/>
          <w:b/>
          <w:sz w:val="28"/>
        </w:rPr>
        <w:t>第五章　法律责任</w:t>
      </w:r>
    </w:p>
    <w:p w14:paraId="15D52567"/>
    <w:p w14:paraId="390BF845">
      <w:pPr>
        <w:ind w:firstLine="422"/>
      </w:pPr>
      <w:r>
        <w:rPr>
          <w:rFonts w:hint="eastAsia"/>
          <w:b/>
        </w:rPr>
        <w:t>第四十九条</w:t>
      </w:r>
      <w:r>
        <w:rPr>
          <w:rFonts w:hint="eastAsia"/>
        </w:rPr>
        <w:t>　违反本办法第十二条第一款、第二</w:t>
      </w:r>
      <w:r>
        <w:rPr>
          <w:rFonts w:hint="eastAsia" w:ascii="宋体" w:hAnsi="宋体" w:eastAsia="宋体" w:cs="宋体"/>
        </w:rPr>
        <w:t>款规定，用水单位未取得用水指标擅自用水的，由节水管理部门责令限期改正、补缴水费，处2万元以上10万元以下</w:t>
      </w:r>
      <w:r>
        <w:rPr>
          <w:rFonts w:hint="eastAsia"/>
        </w:rPr>
        <w:t>罚款。</w:t>
      </w:r>
    </w:p>
    <w:p w14:paraId="4EB3A683">
      <w:pPr>
        <w:rPr>
          <w:rFonts w:hint="eastAsia" w:ascii="宋体" w:hAnsi="宋体" w:eastAsia="宋体" w:cs="宋体"/>
        </w:rPr>
      </w:pPr>
      <w:r>
        <w:rPr>
          <w:rFonts w:hint="eastAsia"/>
        </w:rPr>
        <w:t>违反本办法第十二条第三款规定，用水单位未取得临时用水指标或者超过批准期限用水的，由节水管理部门责令限期改正</w:t>
      </w:r>
      <w:r>
        <w:rPr>
          <w:rFonts w:hint="eastAsia" w:ascii="宋体" w:hAnsi="宋体" w:eastAsia="宋体" w:cs="宋体"/>
        </w:rPr>
        <w:t>，处5万元以下罚款。</w:t>
      </w:r>
    </w:p>
    <w:p w14:paraId="3FE721AC">
      <w:pPr>
        <w:rPr>
          <w:rFonts w:hint="eastAsia" w:ascii="宋体" w:hAnsi="宋体" w:eastAsia="宋体" w:cs="宋体"/>
        </w:rPr>
      </w:pPr>
      <w:r>
        <w:rPr>
          <w:rFonts w:hint="eastAsia" w:ascii="宋体" w:hAnsi="宋体" w:eastAsia="宋体" w:cs="宋体"/>
        </w:rPr>
        <w:t>违反本办法第十二条第四款规定，供水单位擅自向未取得用水指标的用水单位供水的，由节水管理部门责令限期改正，处1万元以上10万元以下罚款；造成严重后果的，由有关部门对直接负责的主管人员和其他直接责任人员依法给予行政处分。</w:t>
      </w:r>
    </w:p>
    <w:p w14:paraId="144087E3">
      <w:pPr>
        <w:ind w:firstLine="422"/>
        <w:rPr>
          <w:rFonts w:hint="eastAsia" w:ascii="宋体" w:hAnsi="宋体" w:eastAsia="宋体" w:cs="宋体"/>
        </w:rPr>
      </w:pPr>
      <w:r>
        <w:rPr>
          <w:rFonts w:hint="eastAsia" w:ascii="宋体" w:hAnsi="宋体" w:eastAsia="宋体" w:cs="宋体"/>
          <w:b/>
        </w:rPr>
        <w:t>第五十条</w:t>
      </w:r>
      <w:r>
        <w:rPr>
          <w:rFonts w:hint="eastAsia" w:ascii="宋体" w:hAnsi="宋体" w:eastAsia="宋体" w:cs="宋体"/>
        </w:rPr>
        <w:t>　违反本办法第十六条第二款规定，用水单位擅自改动供水管线，逃避分类计量的，由节水管理部门责令限期改正，处1万元以上5万元以下罚款。</w:t>
      </w:r>
    </w:p>
    <w:p w14:paraId="13241E69">
      <w:pPr>
        <w:ind w:firstLine="422"/>
        <w:rPr>
          <w:rFonts w:hint="eastAsia" w:ascii="宋体" w:hAnsi="宋体" w:eastAsia="宋体" w:cs="宋体"/>
        </w:rPr>
      </w:pPr>
      <w:r>
        <w:rPr>
          <w:rFonts w:hint="eastAsia" w:ascii="宋体" w:hAnsi="宋体" w:eastAsia="宋体" w:cs="宋体"/>
          <w:b/>
        </w:rPr>
        <w:t>第五十一条</w:t>
      </w:r>
      <w:r>
        <w:rPr>
          <w:rFonts w:hint="eastAsia" w:ascii="宋体" w:hAnsi="宋体" w:eastAsia="宋体" w:cs="宋体"/>
        </w:rPr>
        <w:t>　违反本办法第十八条第二款、第三款规定，用水单位不按时缴纳累进加价费用的，由节水管理部门责令限期改正，按日加收滞纳部分千分之二的滞纳金。</w:t>
      </w:r>
    </w:p>
    <w:p w14:paraId="4B5610D6">
      <w:pPr>
        <w:ind w:firstLine="422"/>
        <w:rPr>
          <w:rFonts w:hint="eastAsia" w:ascii="宋体" w:hAnsi="宋体" w:eastAsia="宋体" w:cs="宋体"/>
        </w:rPr>
      </w:pPr>
      <w:r>
        <w:rPr>
          <w:rFonts w:hint="eastAsia" w:ascii="宋体" w:hAnsi="宋体" w:eastAsia="宋体" w:cs="宋体"/>
          <w:b/>
        </w:rPr>
        <w:t>第五十二条</w:t>
      </w:r>
      <w:r>
        <w:rPr>
          <w:rFonts w:hint="eastAsia" w:ascii="宋体" w:hAnsi="宋体" w:eastAsia="宋体" w:cs="宋体"/>
        </w:rPr>
        <w:t>　违反本办法第十九条规定，供水单位、再生水生产企业和其他直接从河流、湖泊或者地下取用水资源的单位未按照规定及时向节水管理部门报送供水情况、实际用水量或者提供虚假资料的，由节水管理部门责令限期改正，处1000元以上1万元以下罚款。</w:t>
      </w:r>
    </w:p>
    <w:p w14:paraId="658FBB94">
      <w:pPr>
        <w:ind w:firstLine="422"/>
        <w:rPr>
          <w:rFonts w:hint="eastAsia" w:ascii="宋体" w:hAnsi="宋体" w:eastAsia="宋体" w:cs="宋体"/>
        </w:rPr>
      </w:pPr>
      <w:r>
        <w:rPr>
          <w:rFonts w:hint="eastAsia" w:ascii="宋体" w:hAnsi="宋体" w:eastAsia="宋体" w:cs="宋体"/>
          <w:b/>
        </w:rPr>
        <w:t>第五十三条</w:t>
      </w:r>
      <w:r>
        <w:rPr>
          <w:rFonts w:hint="eastAsia" w:ascii="宋体" w:hAnsi="宋体" w:eastAsia="宋体" w:cs="宋体"/>
        </w:rPr>
        <w:t>　违反本办法第二十三条第一款规定，拆迁人未与供水单位签订停止供水协议或者未按照协议要求擅自施工造成水资源严重浪费的，除补缴相应费用外，由节水管理部门处以应缴水费3倍以上15倍以下罚款。</w:t>
      </w:r>
    </w:p>
    <w:p w14:paraId="1E520ACE">
      <w:pPr>
        <w:rPr>
          <w:rFonts w:hint="eastAsia" w:ascii="宋体" w:hAnsi="宋体" w:eastAsia="宋体" w:cs="宋体"/>
        </w:rPr>
      </w:pPr>
      <w:r>
        <w:rPr>
          <w:rFonts w:hint="eastAsia" w:ascii="宋体" w:hAnsi="宋体" w:eastAsia="宋体" w:cs="宋体"/>
        </w:rPr>
        <w:t>违反本办法第二十三条第二款规定，供水单位没有正当理由故意拖延、不与拆迁人签订停止供水协议或者未及时采取措施停止供水造成水资源浪费的，由节水管理部门责令限期改正，处1万元以上5万元以下罚款。</w:t>
      </w:r>
    </w:p>
    <w:p w14:paraId="0222DC88">
      <w:pPr>
        <w:ind w:firstLine="422"/>
        <w:rPr>
          <w:rFonts w:hint="eastAsia" w:ascii="宋体" w:hAnsi="宋体" w:eastAsia="宋体" w:cs="宋体"/>
        </w:rPr>
      </w:pPr>
      <w:r>
        <w:rPr>
          <w:rFonts w:hint="eastAsia" w:ascii="宋体" w:hAnsi="宋体" w:eastAsia="宋体" w:cs="宋体"/>
          <w:b/>
        </w:rPr>
        <w:t>第五十四条</w:t>
      </w:r>
      <w:r>
        <w:rPr>
          <w:rFonts w:hint="eastAsia" w:ascii="宋体" w:hAnsi="宋体" w:eastAsia="宋体" w:cs="宋体"/>
        </w:rPr>
        <w:t>　违反本办法第二十四条第二款规定，再生水输配水管线覆盖地区内的工业用水单位未使用再生水的，由节水管理部门责令限期改正，处1万元以上5万元以下罚款。</w:t>
      </w:r>
    </w:p>
    <w:p w14:paraId="5EAC35DD">
      <w:pPr>
        <w:rPr>
          <w:rFonts w:hint="eastAsia" w:ascii="宋体" w:hAnsi="宋体" w:eastAsia="宋体" w:cs="宋体"/>
        </w:rPr>
      </w:pPr>
      <w:r>
        <w:rPr>
          <w:rFonts w:hint="eastAsia" w:ascii="宋体" w:hAnsi="宋体" w:eastAsia="宋体" w:cs="宋体"/>
        </w:rPr>
        <w:t>违反本办法第二十四条第三款规定，间接冷却水直接排放或者循环使用率低于98%的，由节水管理部门责令限期改正，处1万元以上5万元以下罚款。</w:t>
      </w:r>
    </w:p>
    <w:p w14:paraId="1BFBB4FB">
      <w:pPr>
        <w:ind w:firstLine="422"/>
        <w:rPr>
          <w:rFonts w:hint="eastAsia" w:ascii="宋体" w:hAnsi="宋体" w:eastAsia="宋体" w:cs="宋体"/>
        </w:rPr>
      </w:pPr>
      <w:r>
        <w:rPr>
          <w:rFonts w:hint="eastAsia" w:ascii="宋体" w:hAnsi="宋体" w:eastAsia="宋体" w:cs="宋体"/>
          <w:b/>
        </w:rPr>
        <w:t>第五十五条</w:t>
      </w:r>
      <w:r>
        <w:rPr>
          <w:rFonts w:hint="eastAsia" w:ascii="宋体" w:hAnsi="宋体" w:eastAsia="宋体" w:cs="宋体"/>
        </w:rPr>
        <w:t>　违反本办法第二十五条第一款规定，纯净水生产企业产水率低于70%的，由节水管理部门责令限期改正；逾期仍不能达标的，核减用水指标，可处1万元以上10万元以下罚款。</w:t>
      </w:r>
    </w:p>
    <w:p w14:paraId="3AC604AF">
      <w:pPr>
        <w:rPr>
          <w:rFonts w:hint="eastAsia" w:ascii="宋体" w:hAnsi="宋体" w:eastAsia="宋体" w:cs="宋体"/>
        </w:rPr>
      </w:pPr>
      <w:r>
        <w:rPr>
          <w:rFonts w:hint="eastAsia" w:ascii="宋体" w:hAnsi="宋体" w:eastAsia="宋体" w:cs="宋体"/>
        </w:rPr>
        <w:t>违反本办法第二十五条第二款规定，以水为原料的生产企业直接排放尾水的，由节水管理部门责令限期改正，处1万元以上10万元以下罚款。</w:t>
      </w:r>
    </w:p>
    <w:p w14:paraId="4B5E3CFD">
      <w:pPr>
        <w:ind w:firstLine="422"/>
        <w:rPr>
          <w:rFonts w:hint="eastAsia" w:ascii="宋体" w:hAnsi="宋体" w:eastAsia="宋体" w:cs="宋体"/>
        </w:rPr>
      </w:pPr>
      <w:r>
        <w:rPr>
          <w:rFonts w:hint="eastAsia" w:ascii="宋体" w:hAnsi="宋体" w:eastAsia="宋体" w:cs="宋体"/>
          <w:b/>
        </w:rPr>
        <w:t>第五十六条</w:t>
      </w:r>
      <w:r>
        <w:rPr>
          <w:rFonts w:hint="eastAsia" w:ascii="宋体" w:hAnsi="宋体" w:eastAsia="宋体" w:cs="宋体"/>
        </w:rPr>
        <w:t>　违反本办法第二十六条规定，现场制、售饮用水单位或者个人未备案的，由卫生行政主管部门责令限期改正，可处1000元以上5000元以下罚款；未安装尾水回收设施的，由节水管理部门责令限期改正，拒不改正的，责令拆除，可处2000元以上2万元以下罚款。</w:t>
      </w:r>
    </w:p>
    <w:p w14:paraId="3FF25029">
      <w:pPr>
        <w:ind w:firstLine="422"/>
        <w:rPr>
          <w:rFonts w:hint="eastAsia" w:ascii="宋体" w:hAnsi="宋体" w:eastAsia="宋体" w:cs="宋体"/>
        </w:rPr>
      </w:pPr>
      <w:r>
        <w:rPr>
          <w:rFonts w:hint="eastAsia" w:ascii="宋体" w:hAnsi="宋体" w:eastAsia="宋体" w:cs="宋体"/>
          <w:b/>
        </w:rPr>
        <w:t>第五十七条</w:t>
      </w:r>
      <w:r>
        <w:rPr>
          <w:rFonts w:hint="eastAsia" w:ascii="宋体" w:hAnsi="宋体" w:eastAsia="宋体" w:cs="宋体"/>
        </w:rPr>
        <w:t>　违反本办法第二十八条第一款规定，农村生活用水实行包费制的，由节水管理部门责令限期改正，并按照每包费一户200元以上500元以下的标准处以罚款。</w:t>
      </w:r>
    </w:p>
    <w:p w14:paraId="40F729AC">
      <w:pPr>
        <w:rPr>
          <w:rFonts w:hint="eastAsia" w:ascii="宋体" w:hAnsi="宋体" w:eastAsia="宋体" w:cs="宋体"/>
        </w:rPr>
      </w:pPr>
      <w:r>
        <w:rPr>
          <w:rFonts w:hint="eastAsia" w:ascii="宋体" w:hAnsi="宋体" w:eastAsia="宋体" w:cs="宋体"/>
        </w:rPr>
        <w:t>违反本办法第二十八条第二款规定，种植业用水不计量或者大水漫灌造成浪费用水的，由节水管理部门责令限期改正，可处5000元以下罚款。</w:t>
      </w:r>
    </w:p>
    <w:p w14:paraId="2D5B2BE7">
      <w:pPr>
        <w:ind w:firstLine="422"/>
        <w:rPr>
          <w:rFonts w:hint="eastAsia" w:ascii="宋体" w:hAnsi="宋体" w:eastAsia="宋体" w:cs="宋体"/>
        </w:rPr>
      </w:pPr>
      <w:r>
        <w:rPr>
          <w:rFonts w:hint="eastAsia" w:ascii="宋体" w:hAnsi="宋体" w:eastAsia="宋体" w:cs="宋体"/>
          <w:b/>
        </w:rPr>
        <w:t>第五十八条</w:t>
      </w:r>
      <w:r>
        <w:rPr>
          <w:rFonts w:hint="eastAsia" w:ascii="宋体" w:hAnsi="宋体" w:eastAsia="宋体" w:cs="宋体"/>
        </w:rPr>
        <w:t>　违反本办法第二十九条规定，擅自改变农业用井用途的，由节水管理部门责令限期改正，处2万元以上10万元以下罚款。</w:t>
      </w:r>
    </w:p>
    <w:p w14:paraId="355578C3">
      <w:pPr>
        <w:ind w:firstLine="422"/>
        <w:rPr>
          <w:rFonts w:hint="eastAsia" w:ascii="宋体" w:hAnsi="宋体" w:eastAsia="宋体" w:cs="宋体"/>
        </w:rPr>
      </w:pPr>
      <w:r>
        <w:rPr>
          <w:rFonts w:hint="eastAsia" w:ascii="宋体" w:hAnsi="宋体" w:eastAsia="宋体" w:cs="宋体"/>
          <w:b/>
        </w:rPr>
        <w:t>第五十九条</w:t>
      </w:r>
      <w:r>
        <w:rPr>
          <w:rFonts w:hint="eastAsia" w:ascii="宋体" w:hAnsi="宋体" w:eastAsia="宋体" w:cs="宋体"/>
        </w:rPr>
        <w:t>　违反本办法第三十条第三款规定，住宅小区和单位内部的景观环境用水使用自来水的，由节水管理部门责令限期改正，处1万元以上3万元以下罚款。</w:t>
      </w:r>
    </w:p>
    <w:p w14:paraId="04347FD7">
      <w:pPr>
        <w:ind w:firstLine="422"/>
        <w:rPr>
          <w:rFonts w:hint="eastAsia" w:ascii="宋体" w:hAnsi="宋体" w:eastAsia="宋体" w:cs="宋体"/>
        </w:rPr>
      </w:pPr>
      <w:r>
        <w:rPr>
          <w:rFonts w:hint="eastAsia" w:ascii="宋体" w:hAnsi="宋体" w:eastAsia="宋体" w:cs="宋体"/>
          <w:b/>
        </w:rPr>
        <w:t>第六十条</w:t>
      </w:r>
      <w:r>
        <w:rPr>
          <w:rFonts w:hint="eastAsia" w:ascii="宋体" w:hAnsi="宋体" w:eastAsia="宋体" w:cs="宋体"/>
        </w:rPr>
        <w:t>　违反本办法第三十三条第一款规定，提供洗车服务的用水单位未建设、使用循环用水设施，或者未按规定使用再生水的，由节水管理部门责令限期改正，处1万元以下罚款。</w:t>
      </w:r>
    </w:p>
    <w:p w14:paraId="390C6B2D">
      <w:pPr>
        <w:rPr>
          <w:rFonts w:hint="eastAsia" w:ascii="宋体" w:hAnsi="宋体" w:eastAsia="宋体" w:cs="宋体"/>
        </w:rPr>
      </w:pPr>
      <w:r>
        <w:rPr>
          <w:rFonts w:hint="eastAsia" w:ascii="宋体" w:hAnsi="宋体" w:eastAsia="宋体" w:cs="宋体"/>
        </w:rPr>
        <w:t>违反本办法第三十三条第二款规定，提供洗车服务的用水单位，未向节水管理部门报送已建成循环用水设施的登记表或者再生水供水合同的，由节水管理部门责令限期改正，可处1000元以下罚款。</w:t>
      </w:r>
    </w:p>
    <w:p w14:paraId="10C402C2">
      <w:pPr>
        <w:ind w:firstLine="422"/>
        <w:rPr>
          <w:rFonts w:hint="eastAsia" w:ascii="宋体" w:hAnsi="宋体" w:eastAsia="宋体" w:cs="宋体"/>
        </w:rPr>
      </w:pPr>
      <w:r>
        <w:rPr>
          <w:rFonts w:hint="eastAsia" w:ascii="宋体" w:hAnsi="宋体" w:eastAsia="宋体" w:cs="宋体"/>
          <w:b/>
        </w:rPr>
        <w:t>第六十一条</w:t>
      </w:r>
      <w:r>
        <w:rPr>
          <w:rFonts w:hint="eastAsia" w:ascii="宋体" w:hAnsi="宋体" w:eastAsia="宋体" w:cs="宋体"/>
        </w:rPr>
        <w:t>　违反本办法第三十四条规定，高耗水单位和用水户未保证设备正常使用，或者擅自停止使用或者拆除设备的，由节水管理部门责令限期改正，处1万元以上10万元以下罚款。</w:t>
      </w:r>
    </w:p>
    <w:p w14:paraId="43F77FC8">
      <w:pPr>
        <w:ind w:firstLine="422"/>
        <w:rPr>
          <w:rFonts w:hint="eastAsia" w:ascii="宋体" w:hAnsi="宋体" w:eastAsia="宋体" w:cs="宋体"/>
        </w:rPr>
      </w:pPr>
      <w:r>
        <w:rPr>
          <w:rFonts w:hint="eastAsia" w:ascii="宋体" w:hAnsi="宋体" w:eastAsia="宋体" w:cs="宋体"/>
          <w:b/>
        </w:rPr>
        <w:t>第六十二条</w:t>
      </w:r>
      <w:r>
        <w:rPr>
          <w:rFonts w:hint="eastAsia" w:ascii="宋体" w:hAnsi="宋体" w:eastAsia="宋体" w:cs="宋体"/>
        </w:rPr>
        <w:t>　违反本办法第三十五条第一款规定，生产或者销售不符合本市节水标准用水器具的，由质量技术监督部门或者工商行政管理部门按照各自职责，责令停止生产、销售，并按每套（件、台）100元以上500元以下的标准处以罚款。</w:t>
      </w:r>
    </w:p>
    <w:p w14:paraId="243C3D81">
      <w:pPr>
        <w:ind w:firstLine="422"/>
        <w:rPr>
          <w:rFonts w:hint="eastAsia" w:ascii="宋体" w:hAnsi="宋体" w:eastAsia="宋体" w:cs="宋体"/>
        </w:rPr>
      </w:pPr>
      <w:r>
        <w:rPr>
          <w:rFonts w:hint="eastAsia" w:ascii="宋体" w:hAnsi="宋体" w:eastAsia="宋体" w:cs="宋体"/>
          <w:b/>
        </w:rPr>
        <w:t>第六十三条</w:t>
      </w:r>
      <w:r>
        <w:rPr>
          <w:rFonts w:hint="eastAsia" w:ascii="宋体" w:hAnsi="宋体" w:eastAsia="宋体" w:cs="宋体"/>
        </w:rPr>
        <w:t>　违反本办法第三十六条第三款规定，供水单位未按规定如实向市节水管理部门报送用水单位和用水变化情况的，由节水管理部门责令限期改正，有关部门应当依法给予行政处分。</w:t>
      </w:r>
    </w:p>
    <w:p w14:paraId="45677F9B">
      <w:pPr>
        <w:ind w:firstLine="422"/>
        <w:rPr>
          <w:rFonts w:hint="eastAsia" w:ascii="宋体" w:hAnsi="宋体" w:eastAsia="宋体" w:cs="宋体"/>
        </w:rPr>
      </w:pPr>
      <w:r>
        <w:rPr>
          <w:rFonts w:hint="eastAsia" w:ascii="宋体" w:hAnsi="宋体" w:eastAsia="宋体" w:cs="宋体"/>
          <w:b/>
        </w:rPr>
        <w:t>第六十四条</w:t>
      </w:r>
      <w:r>
        <w:rPr>
          <w:rFonts w:hint="eastAsia" w:ascii="宋体" w:hAnsi="宋体" w:eastAsia="宋体" w:cs="宋体"/>
        </w:rPr>
        <w:t>　违反本办法第四十条第一款规定，用水单位不落实节约用水管理责任的，由节水管理部门责令限期改正，逾期不改或者造成浪费用水等不良后果的，处5000元以上5万元以下罚款。</w:t>
      </w:r>
    </w:p>
    <w:p w14:paraId="1915FB8B">
      <w:pPr>
        <w:ind w:firstLine="422"/>
        <w:rPr>
          <w:rFonts w:hint="eastAsia" w:ascii="宋体" w:hAnsi="宋体" w:eastAsia="宋体" w:cs="宋体"/>
        </w:rPr>
      </w:pPr>
      <w:r>
        <w:rPr>
          <w:rFonts w:hint="eastAsia" w:ascii="宋体" w:hAnsi="宋体" w:eastAsia="宋体" w:cs="宋体"/>
          <w:b/>
        </w:rPr>
        <w:t>第六十五条</w:t>
      </w:r>
      <w:r>
        <w:rPr>
          <w:rFonts w:hint="eastAsia" w:ascii="宋体" w:hAnsi="宋体" w:eastAsia="宋体" w:cs="宋体"/>
        </w:rPr>
        <w:t>　违反本办法第四十二条规定，擅自从公共供水设施、消防设施取水的，由节水管理部门责令限期改正，对单位处1万元以上10万元以下罚款，对个人处100元以上1000元以下罚款；造成设施损坏的，由责任人负责修复或者赔偿损失。</w:t>
      </w:r>
    </w:p>
    <w:p w14:paraId="2210B75E">
      <w:pPr>
        <w:ind w:firstLine="422"/>
        <w:rPr>
          <w:rFonts w:hint="eastAsia" w:ascii="宋体" w:hAnsi="宋体" w:eastAsia="宋体" w:cs="宋体"/>
        </w:rPr>
      </w:pPr>
      <w:r>
        <w:rPr>
          <w:rFonts w:hint="eastAsia" w:ascii="宋体" w:hAnsi="宋体" w:eastAsia="宋体" w:cs="宋体"/>
          <w:b/>
        </w:rPr>
        <w:t>第六十六条</w:t>
      </w:r>
      <w:r>
        <w:rPr>
          <w:rFonts w:hint="eastAsia" w:ascii="宋体" w:hAnsi="宋体" w:eastAsia="宋体" w:cs="宋体"/>
        </w:rPr>
        <w:t>　用水单位违反本办法规定浪费用水的，节水管理部门应当根据用水总量控制的要求，核减下一年度用水指标。</w:t>
      </w:r>
    </w:p>
    <w:p w14:paraId="26D19781">
      <w:pPr>
        <w:ind w:firstLine="422"/>
        <w:rPr>
          <w:rFonts w:hint="eastAsia" w:ascii="宋体" w:hAnsi="宋体" w:eastAsia="宋体" w:cs="宋体"/>
        </w:rPr>
      </w:pPr>
      <w:r>
        <w:rPr>
          <w:rFonts w:hint="eastAsia" w:ascii="宋体" w:hAnsi="宋体" w:eastAsia="宋体" w:cs="宋体"/>
          <w:b/>
        </w:rPr>
        <w:t>第六十七条</w:t>
      </w:r>
      <w:r>
        <w:rPr>
          <w:rFonts w:hint="eastAsia" w:ascii="宋体" w:hAnsi="宋体" w:eastAsia="宋体" w:cs="宋体"/>
        </w:rPr>
        <w:t>　市节水管理部门应当建立用水单位违法违规行为信息记录，如实记录用水单位违法违规用水行为；用水单位为企业的，其违法违规用水行为信息应当按照本市有关规定同时纳入本市企业信用信息系统，对严重浪费用水的企业，可以通过媒体公布。</w:t>
      </w:r>
    </w:p>
    <w:p w14:paraId="1A11E1A6">
      <w:pPr>
        <w:ind w:firstLine="422"/>
        <w:rPr>
          <w:rFonts w:hint="eastAsia" w:ascii="宋体" w:hAnsi="宋体" w:eastAsia="宋体" w:cs="宋体"/>
        </w:rPr>
      </w:pPr>
      <w:r>
        <w:rPr>
          <w:rFonts w:hint="eastAsia" w:ascii="宋体" w:hAnsi="宋体" w:eastAsia="宋体" w:cs="宋体"/>
          <w:b/>
        </w:rPr>
        <w:t>第六十八条</w:t>
      </w:r>
      <w:r>
        <w:rPr>
          <w:rFonts w:hint="eastAsia" w:ascii="宋体" w:hAnsi="宋体" w:eastAsia="宋体" w:cs="宋体"/>
        </w:rPr>
        <w:t>　节水管理部门或者其他有关部门及其工作人员违反本办法规定，有下列行为之一的，由有关部门对直接负责的主管人员和其他直接责任人员依法给予行政处分：</w:t>
      </w:r>
    </w:p>
    <w:p w14:paraId="122842CE">
      <w:pPr>
        <w:rPr>
          <w:rFonts w:hint="eastAsia" w:ascii="宋体" w:hAnsi="宋体" w:eastAsia="宋体" w:cs="宋体"/>
        </w:rPr>
      </w:pPr>
      <w:bookmarkStart w:id="2610" w:name="_Toc428780792"/>
      <w:r>
        <w:rPr>
          <w:rFonts w:hint="eastAsia" w:ascii="宋体" w:hAnsi="宋体" w:eastAsia="宋体" w:cs="宋体"/>
        </w:rPr>
        <w:t>（一）未按照有关规定编制或者履行节约用水规划、计划的；</w:t>
      </w:r>
      <w:bookmarkEnd w:id="2610"/>
    </w:p>
    <w:p w14:paraId="182A6948">
      <w:pPr>
        <w:rPr>
          <w:rFonts w:hint="eastAsia" w:ascii="宋体" w:hAnsi="宋体" w:eastAsia="宋体" w:cs="宋体"/>
        </w:rPr>
      </w:pPr>
      <w:r>
        <w:rPr>
          <w:rFonts w:hint="eastAsia" w:ascii="宋体" w:hAnsi="宋体" w:eastAsia="宋体" w:cs="宋体"/>
        </w:rPr>
        <w:t>（二）未依法履行节约用水监督管理职责的；</w:t>
      </w:r>
    </w:p>
    <w:p w14:paraId="06910FEA">
      <w:pPr>
        <w:rPr>
          <w:rFonts w:hint="eastAsia" w:ascii="宋体" w:hAnsi="宋体" w:eastAsia="宋体" w:cs="宋体"/>
        </w:rPr>
      </w:pPr>
      <w:r>
        <w:rPr>
          <w:rFonts w:hint="eastAsia" w:ascii="宋体" w:hAnsi="宋体" w:eastAsia="宋体" w:cs="宋体"/>
        </w:rPr>
        <w:t>（三）未依法核定或者调整用水单位用水指标的；</w:t>
      </w:r>
    </w:p>
    <w:p w14:paraId="45B1B737">
      <w:pPr>
        <w:rPr>
          <w:rFonts w:hint="eastAsia" w:ascii="宋体" w:hAnsi="宋体" w:eastAsia="宋体" w:cs="宋体"/>
        </w:rPr>
      </w:pPr>
      <w:r>
        <w:rPr>
          <w:rFonts w:hint="eastAsia" w:ascii="宋体" w:hAnsi="宋体" w:eastAsia="宋体" w:cs="宋体"/>
        </w:rPr>
        <w:t>（四）未依法收取累进费用的；</w:t>
      </w:r>
    </w:p>
    <w:p w14:paraId="5EA580A4">
      <w:pPr>
        <w:rPr>
          <w:rFonts w:hint="eastAsia" w:ascii="宋体" w:hAnsi="宋体" w:eastAsia="宋体" w:cs="宋体"/>
        </w:rPr>
      </w:pPr>
      <w:r>
        <w:rPr>
          <w:rFonts w:hint="eastAsia" w:ascii="宋体" w:hAnsi="宋体" w:eastAsia="宋体" w:cs="宋体"/>
        </w:rPr>
        <w:t>（五）其他不履行或者不依法履行职责的。</w:t>
      </w:r>
    </w:p>
    <w:p w14:paraId="5A36860C">
      <w:pPr>
        <w:spacing w:line="300" w:lineRule="exact"/>
      </w:pPr>
    </w:p>
    <w:p w14:paraId="41FE0A4B">
      <w:pPr>
        <w:ind w:firstLine="0" w:firstLineChars="0"/>
        <w:jc w:val="center"/>
        <w:rPr>
          <w:b/>
          <w:sz w:val="28"/>
        </w:rPr>
      </w:pPr>
      <w:r>
        <w:rPr>
          <w:rFonts w:hint="eastAsia"/>
          <w:b/>
          <w:sz w:val="28"/>
        </w:rPr>
        <w:t>第六章　附　则</w:t>
      </w:r>
    </w:p>
    <w:p w14:paraId="3E3F11EC">
      <w:pPr>
        <w:spacing w:line="300" w:lineRule="exact"/>
      </w:pPr>
    </w:p>
    <w:p w14:paraId="61BAD555">
      <w:pPr>
        <w:ind w:firstLine="422"/>
        <w:rPr>
          <w:rFonts w:hint="eastAsia" w:ascii="宋体" w:hAnsi="宋体" w:eastAsia="宋体" w:cs="宋体"/>
        </w:rPr>
      </w:pPr>
      <w:r>
        <w:rPr>
          <w:rFonts w:hint="eastAsia"/>
          <w:b/>
        </w:rPr>
        <w:t>第六十九条</w:t>
      </w:r>
      <w:r>
        <w:rPr>
          <w:rFonts w:hint="eastAsia" w:ascii="宋体" w:hAnsi="宋体" w:eastAsia="宋体" w:cs="宋体"/>
        </w:rPr>
        <w:t>　本办法自2012年7月1日起施行。</w:t>
      </w:r>
    </w:p>
    <w:p w14:paraId="2B73A6A5">
      <w:pPr>
        <w:pStyle w:val="4"/>
        <w:pageBreakBefore/>
      </w:pPr>
      <w:bookmarkStart w:id="2611" w:name="_Toc428781912"/>
      <w:bookmarkStart w:id="2612" w:name="_Toc426467164"/>
      <w:bookmarkStart w:id="2613" w:name="_Toc428780793"/>
      <w:r>
        <w:rPr>
          <w:rFonts w:hint="eastAsia"/>
        </w:rPr>
        <w:t>《北京市实施〈中华人民共和国水土保持法〉办法》</w:t>
      </w:r>
      <w:bookmarkEnd w:id="2611"/>
      <w:bookmarkEnd w:id="2612"/>
      <w:bookmarkEnd w:id="2613"/>
    </w:p>
    <w:p w14:paraId="25E108E3">
      <w:pPr>
        <w:pStyle w:val="4"/>
      </w:pPr>
      <w:bookmarkStart w:id="2614" w:name="_Toc428780794"/>
      <w:bookmarkStart w:id="2615" w:name="_Toc428781913"/>
      <w:bookmarkStart w:id="2616" w:name="_Toc426467165"/>
      <w:r>
        <w:rPr>
          <w:rFonts w:hint="eastAsia"/>
        </w:rPr>
        <w:t>罚款处罚规定</w:t>
      </w:r>
      <w:bookmarkEnd w:id="2614"/>
      <w:bookmarkEnd w:id="2615"/>
      <w:bookmarkEnd w:id="2616"/>
    </w:p>
    <w:p w14:paraId="10BDC08D">
      <w:pPr>
        <w:ind w:left="630" w:leftChars="300" w:right="630" w:rightChars="300"/>
        <w:rPr>
          <w:rFonts w:ascii="楷体" w:hAnsi="楷体" w:eastAsia="楷体"/>
        </w:rPr>
      </w:pPr>
      <w:r>
        <w:rPr>
          <w:rFonts w:hint="eastAsia" w:ascii="楷体" w:hAnsi="楷体" w:eastAsia="楷体"/>
        </w:rPr>
        <w:t>（1992年9月24日北京市人民政府第14号令发布　根据1997年12月31日北京市人民政府第12号令修改）</w:t>
      </w:r>
    </w:p>
    <w:p w14:paraId="269A4EDC"/>
    <w:p w14:paraId="62E336B5">
      <w:pPr>
        <w:ind w:firstLine="422"/>
        <w:rPr>
          <w:rFonts w:hint="eastAsia" w:ascii="宋体" w:hAnsi="宋体" w:eastAsia="宋体" w:cs="宋体"/>
        </w:rPr>
      </w:pPr>
      <w:r>
        <w:rPr>
          <w:rFonts w:hint="eastAsia"/>
          <w:b/>
        </w:rPr>
        <w:t>第一条</w:t>
      </w:r>
      <w:r>
        <w:rPr>
          <w:rFonts w:hint="eastAsia"/>
        </w:rPr>
        <w:t xml:space="preserve">  根</w:t>
      </w:r>
      <w:r>
        <w:rPr>
          <w:rFonts w:hint="eastAsia" w:ascii="宋体" w:hAnsi="宋体" w:eastAsia="宋体" w:cs="宋体"/>
        </w:rPr>
        <w:t>据《北京市实施〈中华人民共和国水土保持法〉办法》（以下简称《办法》）第三十五条的规定，制定本规定。</w:t>
      </w:r>
    </w:p>
    <w:p w14:paraId="7289DD52">
      <w:pPr>
        <w:ind w:firstLine="422"/>
        <w:rPr>
          <w:rFonts w:hint="eastAsia" w:ascii="宋体" w:hAnsi="宋体" w:eastAsia="宋体" w:cs="宋体"/>
        </w:rPr>
      </w:pPr>
      <w:r>
        <w:rPr>
          <w:rFonts w:hint="eastAsia" w:ascii="宋体" w:hAnsi="宋体" w:eastAsia="宋体" w:cs="宋体"/>
          <w:b/>
        </w:rPr>
        <w:t>第二条</w:t>
      </w:r>
      <w:r>
        <w:rPr>
          <w:rFonts w:hint="eastAsia" w:ascii="宋体" w:hAnsi="宋体" w:eastAsia="宋体" w:cs="宋体"/>
        </w:rPr>
        <w:t xml:space="preserve">  对违反《办法》的行为给予罚款处罚的，按照本规定执行。</w:t>
      </w:r>
    </w:p>
    <w:p w14:paraId="337611D0">
      <w:pPr>
        <w:ind w:firstLine="422"/>
        <w:rPr>
          <w:rFonts w:hint="eastAsia" w:ascii="宋体" w:hAnsi="宋体" w:eastAsia="宋体" w:cs="宋体"/>
        </w:rPr>
      </w:pPr>
      <w:r>
        <w:rPr>
          <w:rFonts w:hint="eastAsia" w:ascii="宋体" w:hAnsi="宋体" w:eastAsia="宋体" w:cs="宋体"/>
          <w:b/>
        </w:rPr>
        <w:t>第三条</w:t>
      </w:r>
      <w:r>
        <w:rPr>
          <w:rFonts w:hint="eastAsia" w:ascii="宋体" w:hAnsi="宋体" w:eastAsia="宋体" w:cs="宋体"/>
        </w:rPr>
        <w:t xml:space="preserve">  在25度以上陡坡地铲草皮的，按每平方米1元，对责任者处以罚款；在25度以上陡坡地挖树兜的，按每穴10元，对责任者处以罚款。</w:t>
      </w:r>
    </w:p>
    <w:p w14:paraId="6F15BAE7">
      <w:pPr>
        <w:ind w:firstLine="422"/>
        <w:rPr>
          <w:rFonts w:hint="eastAsia" w:ascii="宋体" w:hAnsi="宋体" w:eastAsia="宋体" w:cs="宋体"/>
        </w:rPr>
      </w:pPr>
      <w:r>
        <w:rPr>
          <w:rFonts w:hint="eastAsia" w:ascii="宋体" w:hAnsi="宋体" w:eastAsia="宋体" w:cs="宋体"/>
          <w:b/>
        </w:rPr>
        <w:t>第四条</w:t>
      </w:r>
      <w:r>
        <w:rPr>
          <w:rFonts w:hint="eastAsia" w:ascii="宋体" w:hAnsi="宋体" w:eastAsia="宋体" w:cs="宋体"/>
        </w:rPr>
        <w:t xml:space="preserve">  在25度以上陡坡地开垦种植农作物的，按每平方米1元，对责任者处以罚款。</w:t>
      </w:r>
    </w:p>
    <w:p w14:paraId="6F09164B">
      <w:pPr>
        <w:ind w:firstLine="422"/>
        <w:rPr>
          <w:rFonts w:hint="eastAsia" w:ascii="宋体" w:hAnsi="宋体" w:eastAsia="宋体" w:cs="宋体"/>
        </w:rPr>
      </w:pPr>
      <w:r>
        <w:rPr>
          <w:rFonts w:hint="eastAsia" w:ascii="宋体" w:hAnsi="宋体" w:eastAsia="宋体" w:cs="宋体"/>
          <w:b/>
        </w:rPr>
        <w:t>第五条</w:t>
      </w:r>
      <w:r>
        <w:rPr>
          <w:rFonts w:hint="eastAsia" w:ascii="宋体" w:hAnsi="宋体" w:eastAsia="宋体" w:cs="宋体"/>
        </w:rPr>
        <w:t xml:space="preserve">  未经区、县水利局批准，采取毁林、烧山等方法，擅自开垦25度以下、5度以上的荒坡地的，按每平方米1元，对责任者处以罚款。</w:t>
      </w:r>
    </w:p>
    <w:p w14:paraId="3CC4E1C3">
      <w:pPr>
        <w:ind w:firstLine="422"/>
        <w:rPr>
          <w:rFonts w:hint="eastAsia" w:ascii="宋体" w:hAnsi="宋体" w:eastAsia="宋体" w:cs="宋体"/>
        </w:rPr>
      </w:pPr>
      <w:r>
        <w:rPr>
          <w:rFonts w:hint="eastAsia" w:ascii="宋体" w:hAnsi="宋体" w:eastAsia="宋体" w:cs="宋体"/>
          <w:b/>
        </w:rPr>
        <w:t>第六条</w:t>
      </w:r>
      <w:r>
        <w:rPr>
          <w:rFonts w:hint="eastAsia" w:ascii="宋体" w:hAnsi="宋体" w:eastAsia="宋体" w:cs="宋体"/>
        </w:rPr>
        <w:t xml:space="preserve">  违反《办法》第十五条规定，在建设和生产过程中造成水土流失，不进行治理，危害后果较轻的，处责任者1000元以上5000元以下罚款；危害后果较重的，处责任者5000元以上1万元以下罚款；危害后果严重的，处1万元以上3万元以下罚款。</w:t>
      </w:r>
    </w:p>
    <w:p w14:paraId="2DBADBE4">
      <w:pPr>
        <w:ind w:firstLine="422"/>
        <w:rPr>
          <w:rFonts w:hint="eastAsia" w:ascii="宋体" w:hAnsi="宋体" w:eastAsia="宋体" w:cs="宋体"/>
        </w:rPr>
      </w:pPr>
      <w:r>
        <w:rPr>
          <w:rFonts w:hint="eastAsia" w:ascii="宋体" w:hAnsi="宋体" w:eastAsia="宋体" w:cs="宋体"/>
          <w:b/>
        </w:rPr>
        <w:t>第七条</w:t>
      </w:r>
      <w:r>
        <w:rPr>
          <w:rFonts w:hint="eastAsia" w:ascii="宋体" w:hAnsi="宋体" w:eastAsia="宋体" w:cs="宋体"/>
        </w:rPr>
        <w:t xml:space="preserve">  在崩塌滑坡危险区和泥石流易发区范围内取土、挖砂、采石的，按每平方米5元至10元，对责任者处以罚款。</w:t>
      </w:r>
    </w:p>
    <w:p w14:paraId="6FF39FDA">
      <w:pPr>
        <w:ind w:firstLine="422"/>
        <w:rPr>
          <w:rFonts w:hint="eastAsia" w:ascii="宋体" w:hAnsi="宋体" w:eastAsia="宋体" w:cs="宋体"/>
        </w:rPr>
      </w:pPr>
      <w:r>
        <w:rPr>
          <w:rFonts w:hint="eastAsia" w:ascii="宋体" w:hAnsi="宋体" w:eastAsia="宋体" w:cs="宋体"/>
          <w:b/>
        </w:rPr>
        <w:t>第八条</w:t>
      </w:r>
      <w:r>
        <w:rPr>
          <w:rFonts w:hint="eastAsia" w:ascii="宋体" w:hAnsi="宋体" w:eastAsia="宋体" w:cs="宋体"/>
        </w:rPr>
        <w:t xml:space="preserve">  破坏或擅自拆除水土保持设施的，由区、县水利局责令赔偿损失，并按照《北京市水利工程保护管理条例》的规定处以损失金额1倍以下的罚款。</w:t>
      </w:r>
    </w:p>
    <w:p w14:paraId="15BAF603">
      <w:pPr>
        <w:ind w:firstLine="422"/>
        <w:rPr>
          <w:rFonts w:hint="eastAsia" w:ascii="宋体" w:hAnsi="宋体" w:eastAsia="宋体" w:cs="宋体"/>
        </w:rPr>
      </w:pPr>
      <w:r>
        <w:rPr>
          <w:rFonts w:hint="eastAsia" w:ascii="宋体" w:hAnsi="宋体" w:eastAsia="宋体" w:cs="宋体"/>
          <w:b/>
        </w:rPr>
        <w:t>第九条</w:t>
      </w:r>
      <w:r>
        <w:rPr>
          <w:rFonts w:hint="eastAsia" w:ascii="宋体" w:hAnsi="宋体" w:eastAsia="宋体" w:cs="宋体"/>
        </w:rPr>
        <w:t xml:space="preserve">  本规定的罚款数额最高不超过3万元。</w:t>
      </w:r>
    </w:p>
    <w:p w14:paraId="716C62DD">
      <w:pPr>
        <w:rPr>
          <w:rFonts w:hint="eastAsia" w:ascii="宋体" w:hAnsi="宋体" w:eastAsia="宋体" w:cs="宋体"/>
        </w:rPr>
      </w:pPr>
      <w:r>
        <w:rPr>
          <w:rFonts w:hint="eastAsia" w:ascii="宋体" w:hAnsi="宋体" w:eastAsia="宋体" w:cs="宋体"/>
        </w:rPr>
        <w:t>本规定所称“以上”，含本数在内；“以下”，不含本数在内。</w:t>
      </w:r>
    </w:p>
    <w:p w14:paraId="5B165053">
      <w:pPr>
        <w:ind w:firstLine="422"/>
        <w:rPr>
          <w:rFonts w:hint="eastAsia" w:ascii="宋体" w:hAnsi="宋体" w:eastAsia="宋体" w:cs="宋体"/>
        </w:rPr>
      </w:pPr>
      <w:r>
        <w:rPr>
          <w:rFonts w:hint="eastAsia" w:ascii="宋体" w:hAnsi="宋体" w:eastAsia="宋体" w:cs="宋体"/>
          <w:b/>
        </w:rPr>
        <w:t>第十条</w:t>
      </w:r>
      <w:r>
        <w:rPr>
          <w:rFonts w:hint="eastAsia" w:ascii="宋体" w:hAnsi="宋体" w:eastAsia="宋体" w:cs="宋体"/>
        </w:rPr>
        <w:t xml:space="preserve">  本规定执行中的具体问题，由市水利局负责解释。</w:t>
      </w:r>
    </w:p>
    <w:p w14:paraId="74FAA71C">
      <w:pPr>
        <w:ind w:firstLine="422"/>
        <w:rPr>
          <w:rFonts w:hint="eastAsia" w:ascii="宋体" w:hAnsi="宋体" w:eastAsia="宋体" w:cs="宋体"/>
        </w:rPr>
      </w:pPr>
      <w:r>
        <w:rPr>
          <w:rFonts w:hint="eastAsia" w:ascii="宋体" w:hAnsi="宋体" w:eastAsia="宋体" w:cs="宋体"/>
          <w:b/>
        </w:rPr>
        <w:t>第十一条</w:t>
      </w:r>
      <w:r>
        <w:rPr>
          <w:rFonts w:hint="eastAsia" w:ascii="宋体" w:hAnsi="宋体" w:eastAsia="宋体" w:cs="宋体"/>
        </w:rPr>
        <w:t xml:space="preserve">  本规定自1992年10月1日起施行。</w:t>
      </w:r>
    </w:p>
    <w:p w14:paraId="20C9E5FF">
      <w:pPr>
        <w:pStyle w:val="3"/>
        <w:pageBreakBefore/>
      </w:pPr>
      <w:bookmarkStart w:id="2617" w:name="_Toc426467166"/>
      <w:bookmarkStart w:id="2618" w:name="_Toc428781914"/>
      <w:bookmarkStart w:id="2619" w:name="_Toc428780795"/>
      <w:r>
        <w:rPr>
          <w:rFonts w:hint="eastAsia"/>
        </w:rPr>
        <w:t>（三）动植物资源</w:t>
      </w:r>
      <w:bookmarkEnd w:id="2617"/>
      <w:bookmarkEnd w:id="2618"/>
      <w:bookmarkEnd w:id="2619"/>
    </w:p>
    <w:p w14:paraId="0DEBDD33"/>
    <w:p w14:paraId="2EED295E">
      <w:pPr>
        <w:pStyle w:val="4"/>
      </w:pPr>
      <w:bookmarkStart w:id="2620" w:name="_Toc428780796"/>
      <w:bookmarkStart w:id="2621" w:name="_Toc428781915"/>
      <w:bookmarkStart w:id="2622" w:name="_Toc426467167"/>
      <w:r>
        <w:rPr>
          <w:rFonts w:hint="eastAsia"/>
        </w:rPr>
        <w:t>北京市实施《中华人民共和国野生动物保护法》办法</w:t>
      </w:r>
      <w:bookmarkEnd w:id="2620"/>
      <w:bookmarkEnd w:id="2621"/>
      <w:bookmarkEnd w:id="2622"/>
    </w:p>
    <w:p w14:paraId="6D44254C">
      <w:pPr>
        <w:ind w:left="630" w:leftChars="300" w:right="630" w:rightChars="300"/>
        <w:rPr>
          <w:rFonts w:ascii="楷体" w:hAnsi="楷体" w:eastAsia="楷体"/>
        </w:rPr>
      </w:pPr>
      <w:r>
        <w:rPr>
          <w:rFonts w:hint="eastAsia" w:ascii="楷体" w:hAnsi="楷体" w:eastAsia="楷体"/>
        </w:rPr>
        <w:t>（1989年4月2日北京市第九届人民代表大会常务委员会第十次会议通过　根据1997年4月15日北京市第十届人民代表大会常务委员会第三十六次会议《关于修改〈北京市实施中华人民共和国野生动物保护法办法〉的决定》修正）</w:t>
      </w:r>
    </w:p>
    <w:p w14:paraId="11198C7D"/>
    <w:p w14:paraId="7962CC98">
      <w:pPr>
        <w:ind w:firstLine="422"/>
      </w:pPr>
      <w:r>
        <w:rPr>
          <w:rFonts w:hint="eastAsia"/>
          <w:b/>
        </w:rPr>
        <w:t>第一条</w:t>
      </w:r>
      <w:r>
        <w:rPr>
          <w:rFonts w:hint="eastAsia"/>
        </w:rPr>
        <w:t xml:space="preserve">  为实施《中华人民共和国野生动物保护法》（以下简称《野生动物保护法》），结合本市实际情况，制定本办法。</w:t>
      </w:r>
    </w:p>
    <w:p w14:paraId="4DBA75E7">
      <w:pPr>
        <w:ind w:firstLine="422"/>
      </w:pPr>
      <w:r>
        <w:rPr>
          <w:rFonts w:hint="eastAsia"/>
          <w:b/>
        </w:rPr>
        <w:t>第二条</w:t>
      </w:r>
      <w:r>
        <w:rPr>
          <w:rFonts w:hint="eastAsia"/>
        </w:rPr>
        <w:t xml:space="preserve">  凡在本市行政区域内从事野生动物的保护、驯养繁殖和利用活动，必须遵守 《野生动物保护法》和本办法。</w:t>
      </w:r>
    </w:p>
    <w:p w14:paraId="10AD9E0E">
      <w:pPr>
        <w:ind w:firstLine="422"/>
      </w:pPr>
      <w:r>
        <w:rPr>
          <w:rFonts w:hint="eastAsia"/>
          <w:b/>
        </w:rPr>
        <w:t>第三条</w:t>
      </w:r>
      <w:r>
        <w:rPr>
          <w:rFonts w:hint="eastAsia"/>
        </w:rPr>
        <w:t xml:space="preserve">  本办法所保护的野生动物是指：</w:t>
      </w:r>
    </w:p>
    <w:p w14:paraId="7CA94FE1">
      <w:bookmarkStart w:id="2623" w:name="_Toc428780797"/>
      <w:r>
        <w:rPr>
          <w:rFonts w:hint="eastAsia"/>
        </w:rPr>
        <w:t>（一）国务院批准公布的国家重点保护野生动物；</w:t>
      </w:r>
      <w:bookmarkEnd w:id="2623"/>
    </w:p>
    <w:p w14:paraId="7B474D30">
      <w:r>
        <w:rPr>
          <w:rFonts w:hint="eastAsia"/>
        </w:rPr>
        <w:t>（二）北京市人民政府公布的市一级保护野生动物；</w:t>
      </w:r>
    </w:p>
    <w:p w14:paraId="773795E5">
      <w:r>
        <w:rPr>
          <w:rFonts w:hint="eastAsia"/>
        </w:rPr>
        <w:t>（三）北京市野生动物行政主管部门公布的市二级保护野生动物。</w:t>
      </w:r>
    </w:p>
    <w:p w14:paraId="0876F129">
      <w:pPr>
        <w:ind w:firstLine="422"/>
      </w:pPr>
      <w:r>
        <w:rPr>
          <w:rFonts w:hint="eastAsia"/>
          <w:b/>
        </w:rPr>
        <w:t>第四条</w:t>
      </w:r>
      <w:r>
        <w:rPr>
          <w:rFonts w:hint="eastAsia"/>
        </w:rPr>
        <w:t xml:space="preserve">  公民有保护野生动物资源的义务，对侵占或者破坏野生动物资源的行为有权检举和控告。</w:t>
      </w:r>
    </w:p>
    <w:p w14:paraId="73C549E1">
      <w:pPr>
        <w:ind w:firstLine="422"/>
        <w:rPr>
          <w:rFonts w:hint="eastAsia" w:ascii="宋体" w:hAnsi="宋体" w:eastAsia="宋体" w:cs="宋体"/>
        </w:rPr>
      </w:pPr>
      <w:r>
        <w:rPr>
          <w:rFonts w:hint="eastAsia"/>
          <w:b/>
        </w:rPr>
        <w:t>第五条</w:t>
      </w:r>
      <w:r>
        <w:rPr>
          <w:rFonts w:hint="eastAsia"/>
        </w:rPr>
        <w:t xml:space="preserve">  市和区、县林业、渔业行政主管部门（以下简称野生动物行政主管部门）分别负责本行政区域内陆生、水生野生</w:t>
      </w:r>
      <w:r>
        <w:rPr>
          <w:rFonts w:hint="eastAsia" w:ascii="宋体" w:hAnsi="宋体" w:eastAsia="宋体" w:cs="宋体"/>
        </w:rPr>
        <w:t>动物保护管理工作。</w:t>
      </w:r>
    </w:p>
    <w:p w14:paraId="288A9430">
      <w:pPr>
        <w:ind w:firstLine="422"/>
      </w:pPr>
      <w:r>
        <w:rPr>
          <w:rFonts w:hint="eastAsia" w:ascii="宋体" w:hAnsi="宋体" w:eastAsia="宋体" w:cs="宋体"/>
          <w:b/>
        </w:rPr>
        <w:t>第六条</w:t>
      </w:r>
      <w:r>
        <w:rPr>
          <w:rFonts w:hint="eastAsia" w:ascii="宋体" w:hAnsi="宋体" w:eastAsia="宋体" w:cs="宋体"/>
        </w:rPr>
        <w:t xml:space="preserve">  各级野生动物行政主管部门每10年组织一次野</w:t>
      </w:r>
      <w:r>
        <w:rPr>
          <w:rFonts w:hint="eastAsia"/>
        </w:rPr>
        <w:t>生动物资源调查，建立野生动物资源档案。</w:t>
      </w:r>
    </w:p>
    <w:p w14:paraId="344C096A">
      <w:pPr>
        <w:ind w:firstLine="422"/>
      </w:pPr>
      <w:r>
        <w:rPr>
          <w:rFonts w:hint="eastAsia"/>
          <w:b/>
        </w:rPr>
        <w:t>第七条</w:t>
      </w:r>
      <w:r>
        <w:rPr>
          <w:rFonts w:hint="eastAsia"/>
        </w:rPr>
        <w:t xml:space="preserve">  公园、林场、风景游览区应当悬挂巢箱，设置鸟食台、水浴场等，对野生动物进行人工招引和保护。</w:t>
      </w:r>
    </w:p>
    <w:p w14:paraId="5CDD32E5">
      <w:pPr>
        <w:ind w:firstLine="422"/>
      </w:pPr>
      <w:r>
        <w:rPr>
          <w:rFonts w:hint="eastAsia"/>
          <w:b/>
        </w:rPr>
        <w:t>第八条</w:t>
      </w:r>
      <w:r>
        <w:rPr>
          <w:rFonts w:hint="eastAsia"/>
        </w:rPr>
        <w:t xml:space="preserve">  各级人民政府或者各级野生动物行政主管部门对有下列事迹之一的单位和个人，给予表彰或者奖励：</w:t>
      </w:r>
    </w:p>
    <w:p w14:paraId="385180F7">
      <w:bookmarkStart w:id="2624" w:name="_Toc428780798"/>
      <w:r>
        <w:rPr>
          <w:rFonts w:hint="eastAsia"/>
        </w:rPr>
        <w:t>（一）拯救国家、本市重点保护野生动物的；</w:t>
      </w:r>
      <w:bookmarkEnd w:id="2624"/>
    </w:p>
    <w:p w14:paraId="473CBF1C">
      <w:r>
        <w:rPr>
          <w:rFonts w:hint="eastAsia"/>
        </w:rPr>
        <w:t>（二）检举揭发非法捕杀国家、本市重点保护野生动物的；</w:t>
      </w:r>
    </w:p>
    <w:p w14:paraId="5C7A70D0">
      <w:r>
        <w:rPr>
          <w:rFonts w:hint="eastAsia"/>
        </w:rPr>
        <w:t>（三）保护管理和驯养繁殖野生动物成效显著的；</w:t>
      </w:r>
    </w:p>
    <w:p w14:paraId="25DD221A">
      <w:r>
        <w:rPr>
          <w:rFonts w:hint="eastAsia"/>
        </w:rPr>
        <w:t>（四）野生动物科学研究工作成绩突出的；</w:t>
      </w:r>
    </w:p>
    <w:p w14:paraId="780E329B">
      <w:r>
        <w:rPr>
          <w:rFonts w:hint="eastAsia"/>
        </w:rPr>
        <w:t>（五）招鸟工作成绩显著的；</w:t>
      </w:r>
    </w:p>
    <w:p w14:paraId="44E3E7FA">
      <w:r>
        <w:rPr>
          <w:rFonts w:hint="eastAsia"/>
        </w:rPr>
        <w:t>（六）执行《野生动物保护法》和本办法成绩显著的。</w:t>
      </w:r>
    </w:p>
    <w:p w14:paraId="2C92FD53">
      <w:pPr>
        <w:ind w:firstLine="422"/>
      </w:pPr>
      <w:r>
        <w:rPr>
          <w:rFonts w:hint="eastAsia"/>
          <w:b/>
        </w:rPr>
        <w:t>第九条</w:t>
      </w:r>
      <w:r>
        <w:rPr>
          <w:rFonts w:hint="eastAsia"/>
        </w:rPr>
        <w:t xml:space="preserve">  保护野生动物生存环境。禁止任何单位和个人破坏野生动物生存环境。</w:t>
      </w:r>
    </w:p>
    <w:p w14:paraId="032D383B">
      <w:r>
        <w:rPr>
          <w:rFonts w:hint="eastAsia"/>
        </w:rPr>
        <w:t>破坏野生动物主要生息繁衍</w:t>
      </w:r>
      <w:r>
        <w:rPr>
          <w:rFonts w:hint="eastAsia" w:ascii="宋体" w:hAnsi="宋体" w:eastAsia="宋体" w:cs="宋体"/>
        </w:rPr>
        <w:t>场所的，由区、县野生动物行政主管部门责令停止破坏行为，限期恢复原状，可以并处恢复原状所需费用3倍以下</w:t>
      </w:r>
      <w:r>
        <w:rPr>
          <w:rFonts w:hint="eastAsia"/>
        </w:rPr>
        <w:t>的罚款。</w:t>
      </w:r>
    </w:p>
    <w:p w14:paraId="278A6D7D">
      <w:pPr>
        <w:ind w:firstLine="422"/>
      </w:pPr>
      <w:r>
        <w:rPr>
          <w:rFonts w:hint="eastAsia"/>
          <w:b/>
        </w:rPr>
        <w:t>第十条</w:t>
      </w:r>
      <w:r>
        <w:rPr>
          <w:rFonts w:hint="eastAsia"/>
        </w:rPr>
        <w:t xml:space="preserve">  禁止任何单位和个人非法猎捕、杀害国家、本市重点保护野生动物。因科学研究、驯养繁殖、展览或者其他特殊情况，需要捕捉国家、本市重点保护野生动物的，按下列规定办理：</w:t>
      </w:r>
    </w:p>
    <w:p w14:paraId="1677051C">
      <w:r>
        <w:rPr>
          <w:rFonts w:hint="eastAsia"/>
        </w:rPr>
        <w:t>（一）捕捉国家一级保护野生动物的，经市野生动物行政主管部门审核同意，向国务院野生动物行政主管部门申请特许猎捕证；</w:t>
      </w:r>
    </w:p>
    <w:p w14:paraId="01860AA9">
      <w:r>
        <w:rPr>
          <w:rFonts w:hint="eastAsia"/>
        </w:rPr>
        <w:t>（二）捕捉国家二级保护野生动物和本市一级保护野生动物的，必须向市野生动物行政主管部门申请特许猎捕证；</w:t>
      </w:r>
    </w:p>
    <w:p w14:paraId="681AEA5F">
      <w:r>
        <w:rPr>
          <w:rFonts w:hint="eastAsia"/>
        </w:rPr>
        <w:t>（三）猎捕本市二级保护野生动物的，必须向狩猎地所在区、县野生动物行政主管部门申请狩猎证。</w:t>
      </w:r>
    </w:p>
    <w:p w14:paraId="6D4A64A9">
      <w:pPr>
        <w:ind w:firstLine="422"/>
        <w:rPr>
          <w:rFonts w:hint="eastAsia" w:ascii="宋体" w:hAnsi="宋体" w:eastAsia="宋体" w:cs="宋体"/>
        </w:rPr>
      </w:pPr>
      <w:r>
        <w:rPr>
          <w:rFonts w:hint="eastAsia"/>
          <w:b/>
        </w:rPr>
        <w:t>第十一条</w:t>
      </w:r>
      <w:r>
        <w:rPr>
          <w:rFonts w:hint="eastAsia"/>
        </w:rPr>
        <w:t xml:space="preserve">  狩猎者应当按照特许猎捕证、狩猎证规定的种类、数量、地点和期限进行猎捕。</w:t>
      </w:r>
    </w:p>
    <w:p w14:paraId="228EBE33">
      <w:pPr>
        <w:rPr>
          <w:rFonts w:hint="eastAsia" w:ascii="宋体" w:hAnsi="宋体" w:eastAsia="宋体" w:cs="宋体"/>
        </w:rPr>
      </w:pPr>
      <w:r>
        <w:rPr>
          <w:rFonts w:hint="eastAsia" w:ascii="宋体" w:hAnsi="宋体" w:eastAsia="宋体" w:cs="宋体"/>
        </w:rPr>
        <w:t>非法捕杀国家重点保护野生动物的，依照《野生动物保护法》第三十一条的规定处理。</w:t>
      </w:r>
    </w:p>
    <w:p w14:paraId="5ACEBE6C">
      <w:pPr>
        <w:rPr>
          <w:rFonts w:hint="eastAsia" w:ascii="宋体" w:hAnsi="宋体" w:eastAsia="宋体" w:cs="宋体"/>
        </w:rPr>
      </w:pPr>
      <w:r>
        <w:rPr>
          <w:rFonts w:hint="eastAsia" w:ascii="宋体" w:hAnsi="宋体" w:eastAsia="宋体" w:cs="宋体"/>
        </w:rPr>
        <w:t>非法捕杀本市一级保护野生动物的，由区、县野生动物行政主管部门没收猎获物、猎捕工具，吊销狩猎证，并处相当于猎获物价值5倍至10倍的罚款；情节严重，构成犯罪的，依法追究刑事责任。</w:t>
      </w:r>
    </w:p>
    <w:p w14:paraId="35212E3B">
      <w:pPr>
        <w:rPr>
          <w:rFonts w:hint="eastAsia" w:ascii="宋体" w:hAnsi="宋体" w:eastAsia="宋体" w:cs="宋体"/>
        </w:rPr>
      </w:pPr>
      <w:r>
        <w:rPr>
          <w:rFonts w:hint="eastAsia" w:ascii="宋体" w:hAnsi="宋体" w:eastAsia="宋体" w:cs="宋体"/>
        </w:rPr>
        <w:t>非法猎捕本市二级保护野生动物的，由区、县野生动物行政主管部门没收猎获物，并处相当于猎获物价值5倍以下的罚款；情节严重，构成犯罪的，依法追究刑事责任。</w:t>
      </w:r>
    </w:p>
    <w:p w14:paraId="138D0D2C">
      <w:pPr>
        <w:ind w:firstLine="422"/>
        <w:rPr>
          <w:rFonts w:hint="eastAsia" w:ascii="宋体" w:hAnsi="宋体" w:eastAsia="宋体" w:cs="宋体"/>
        </w:rPr>
      </w:pPr>
      <w:r>
        <w:rPr>
          <w:rFonts w:hint="eastAsia" w:ascii="宋体" w:hAnsi="宋体" w:eastAsia="宋体" w:cs="宋体"/>
          <w:b/>
        </w:rPr>
        <w:t>第十二条</w:t>
      </w:r>
      <w:r>
        <w:rPr>
          <w:rFonts w:hint="eastAsia" w:ascii="宋体" w:hAnsi="宋体" w:eastAsia="宋体" w:cs="宋体"/>
        </w:rPr>
        <w:t xml:space="preserve">  持枪猎捕野生动物的，必须取得区、县公安机关核发的持枪证。未取得持枪证持枪猎捕的，由公安机关比照《中华人民共和国治安管理处罚条例》第二十条的规定处罚。</w:t>
      </w:r>
    </w:p>
    <w:p w14:paraId="49D8986F">
      <w:pPr>
        <w:ind w:firstLine="422"/>
        <w:rPr>
          <w:rFonts w:hint="eastAsia" w:ascii="宋体" w:hAnsi="宋体" w:eastAsia="宋体" w:cs="宋体"/>
        </w:rPr>
      </w:pPr>
      <w:r>
        <w:rPr>
          <w:rFonts w:hint="eastAsia" w:ascii="宋体" w:hAnsi="宋体" w:eastAsia="宋体" w:cs="宋体"/>
          <w:b/>
        </w:rPr>
        <w:t>第十三条</w:t>
      </w:r>
      <w:r>
        <w:rPr>
          <w:rFonts w:hint="eastAsia" w:ascii="宋体" w:hAnsi="宋体" w:eastAsia="宋体" w:cs="宋体"/>
        </w:rPr>
        <w:t xml:space="preserve">  每年3月至5月、9月至11月禁止狩猎。</w:t>
      </w:r>
    </w:p>
    <w:p w14:paraId="45D0ECD4">
      <w:pPr>
        <w:rPr>
          <w:rFonts w:hint="eastAsia" w:ascii="宋体" w:hAnsi="宋体" w:eastAsia="宋体" w:cs="宋体"/>
        </w:rPr>
      </w:pPr>
      <w:r>
        <w:rPr>
          <w:rFonts w:hint="eastAsia" w:ascii="宋体" w:hAnsi="宋体" w:eastAsia="宋体" w:cs="宋体"/>
        </w:rPr>
        <w:t>城、近郊区，远郊区、县城镇，公园、风景游览区，自然保护区，国营林场，市和区、县野生动物行政主管部门或者公安部门划定的其他禁猎地区禁止狩猎。</w:t>
      </w:r>
    </w:p>
    <w:p w14:paraId="3208FF6E">
      <w:pPr>
        <w:rPr>
          <w:rFonts w:hint="eastAsia" w:ascii="宋体" w:hAnsi="宋体" w:eastAsia="宋体" w:cs="宋体"/>
        </w:rPr>
      </w:pPr>
      <w:r>
        <w:rPr>
          <w:rFonts w:hint="eastAsia" w:ascii="宋体" w:hAnsi="宋体" w:eastAsia="宋体" w:cs="宋体"/>
        </w:rPr>
        <w:t>禁止使用地弓、地枪、粘网、毒饵、炸药、军用武器、大铁夹等工具和掏窝、挖洞、火攻、陷井等方法狩猎。</w:t>
      </w:r>
    </w:p>
    <w:p w14:paraId="473E0671">
      <w:pPr>
        <w:rPr>
          <w:rFonts w:hint="eastAsia" w:ascii="宋体" w:hAnsi="宋体" w:eastAsia="宋体" w:cs="宋体"/>
        </w:rPr>
      </w:pPr>
      <w:r>
        <w:rPr>
          <w:rFonts w:hint="eastAsia" w:ascii="宋体" w:hAnsi="宋体" w:eastAsia="宋体" w:cs="宋体"/>
        </w:rPr>
        <w:t>违反本条第一、二、三款规定的，由区、县野生动物行政主管部门没收猎捕工具，并按法律、行政法规的规定处以罚款；情节严重，构成犯罪的，依法追究刑事责任。</w:t>
      </w:r>
    </w:p>
    <w:p w14:paraId="40D32CAE">
      <w:pPr>
        <w:ind w:firstLine="422"/>
        <w:rPr>
          <w:rFonts w:hint="eastAsia" w:ascii="宋体" w:hAnsi="宋体" w:eastAsia="宋体" w:cs="宋体"/>
        </w:rPr>
      </w:pPr>
      <w:r>
        <w:rPr>
          <w:rFonts w:hint="eastAsia" w:ascii="宋体" w:hAnsi="宋体" w:eastAsia="宋体" w:cs="宋体"/>
          <w:b/>
        </w:rPr>
        <w:t>第十四条</w:t>
      </w:r>
      <w:r>
        <w:rPr>
          <w:rFonts w:hint="eastAsia" w:ascii="宋体" w:hAnsi="宋体" w:eastAsia="宋体" w:cs="宋体"/>
        </w:rPr>
        <w:t>　本市鼓励驯养繁殖野生动物。</w:t>
      </w:r>
    </w:p>
    <w:p w14:paraId="1C7DC4BF">
      <w:pPr>
        <w:rPr>
          <w:rFonts w:hint="eastAsia" w:ascii="宋体" w:hAnsi="宋体" w:eastAsia="宋体" w:cs="宋体"/>
        </w:rPr>
      </w:pPr>
      <w:r>
        <w:rPr>
          <w:rFonts w:hint="eastAsia" w:ascii="宋体" w:hAnsi="宋体" w:eastAsia="宋体" w:cs="宋体"/>
        </w:rPr>
        <w:t>驯养繁殖国家、本市重点保护野生动物的单位和个人，应当持有驯养繁殖许可证。</w:t>
      </w:r>
    </w:p>
    <w:p w14:paraId="74E672C1">
      <w:pPr>
        <w:rPr>
          <w:rFonts w:hint="eastAsia" w:ascii="宋体" w:hAnsi="宋体" w:eastAsia="宋体" w:cs="宋体"/>
        </w:rPr>
      </w:pPr>
      <w:r>
        <w:rPr>
          <w:rFonts w:hint="eastAsia" w:ascii="宋体" w:hAnsi="宋体" w:eastAsia="宋体" w:cs="宋体"/>
        </w:rPr>
        <w:t>国家重点保护野生动物驯养繁殖许可证的核发办法，按照国务院野生动物行政主管部门的规定执行。本市重点保护野生动物驯养繁殖许可证核发办法，由市野生动物行政主管部门制定。</w:t>
      </w:r>
    </w:p>
    <w:p w14:paraId="3E71D725">
      <w:pPr>
        <w:ind w:firstLine="422"/>
        <w:rPr>
          <w:rFonts w:hint="eastAsia" w:ascii="宋体" w:hAnsi="宋体" w:eastAsia="宋体" w:cs="宋体"/>
        </w:rPr>
      </w:pPr>
      <w:r>
        <w:rPr>
          <w:rFonts w:hint="eastAsia" w:ascii="宋体" w:hAnsi="宋体" w:eastAsia="宋体" w:cs="宋体"/>
          <w:b/>
        </w:rPr>
        <w:t>第十五条</w:t>
      </w:r>
      <w:r>
        <w:rPr>
          <w:rFonts w:hint="eastAsia" w:ascii="宋体" w:hAnsi="宋体" w:eastAsia="宋体" w:cs="宋体"/>
        </w:rPr>
        <w:t>　禁止出售、收购国家、本市重点保护野生动物或者其产品。因科学研究、驯养繁殖、展览等特殊情况，需要出售、收购、利用国家一级保护野生动物或者其产品的，经市野生动物行政主管部门审核同意，报国务院野生动物行政主管部门或者其授权单位批准；出售、收购、利用国家二级、本市重点保护野生动物或者其产品的，由市野生动物行政主管部门或者其授权单位批准。</w:t>
      </w:r>
    </w:p>
    <w:p w14:paraId="4BDEA8C5">
      <w:pPr>
        <w:rPr>
          <w:rFonts w:hint="eastAsia" w:ascii="宋体" w:hAnsi="宋体" w:eastAsia="宋体" w:cs="宋体"/>
        </w:rPr>
      </w:pPr>
      <w:r>
        <w:rPr>
          <w:rFonts w:hint="eastAsia" w:ascii="宋体" w:hAnsi="宋体" w:eastAsia="宋体" w:cs="宋体"/>
        </w:rPr>
        <w:t>驯养繁殖的国家、本市受保护的野生动物及其产品销售管理办法，由市人民政府制定。</w:t>
      </w:r>
    </w:p>
    <w:p w14:paraId="0EEC0A21">
      <w:pPr>
        <w:ind w:firstLine="422"/>
        <w:rPr>
          <w:rFonts w:hint="eastAsia" w:ascii="宋体" w:hAnsi="宋体" w:eastAsia="宋体" w:cs="宋体"/>
        </w:rPr>
      </w:pPr>
      <w:r>
        <w:rPr>
          <w:rFonts w:hint="eastAsia" w:ascii="宋体" w:hAnsi="宋体" w:eastAsia="宋体" w:cs="宋体"/>
          <w:b/>
        </w:rPr>
        <w:t>第十六条</w:t>
      </w:r>
      <w:r>
        <w:rPr>
          <w:rFonts w:hint="eastAsia" w:ascii="宋体" w:hAnsi="宋体" w:eastAsia="宋体" w:cs="宋体"/>
        </w:rPr>
        <w:t>　本市各级工商行政管理部门、野生动物行政主管部门应当对出售、收购、运输、携带野生动物及其产品的活动进行监督管理。</w:t>
      </w:r>
    </w:p>
    <w:p w14:paraId="49C30F28">
      <w:pPr>
        <w:rPr>
          <w:rFonts w:hint="eastAsia" w:ascii="宋体" w:hAnsi="宋体" w:eastAsia="宋体" w:cs="宋体"/>
        </w:rPr>
      </w:pPr>
      <w:r>
        <w:rPr>
          <w:rFonts w:hint="eastAsia" w:ascii="宋体" w:hAnsi="宋体" w:eastAsia="宋体" w:cs="宋体"/>
        </w:rPr>
        <w:t>对违反本办法规定，非法出售、收购、运输、携带国家、本市重点保护野生动物或者其产品的，没收实物和违法所得，可以并处相当于实物价值10倍以下的罚款；情节严重，构成犯罪的，依法追究刑事责任。</w:t>
      </w:r>
    </w:p>
    <w:p w14:paraId="689E7A11">
      <w:pPr>
        <w:ind w:firstLine="422"/>
        <w:rPr>
          <w:rFonts w:hint="eastAsia" w:ascii="宋体" w:hAnsi="宋体" w:eastAsia="宋体" w:cs="宋体"/>
        </w:rPr>
      </w:pPr>
      <w:r>
        <w:rPr>
          <w:rFonts w:hint="eastAsia" w:ascii="宋体" w:hAnsi="宋体" w:eastAsia="宋体" w:cs="宋体"/>
          <w:b/>
        </w:rPr>
        <w:t>第十七条</w:t>
      </w:r>
      <w:r>
        <w:rPr>
          <w:rFonts w:hint="eastAsia" w:ascii="宋体" w:hAnsi="宋体" w:eastAsia="宋体" w:cs="宋体"/>
        </w:rPr>
        <w:t>　伪造、倒卖、转让特许猎捕证、狩猎证、驯养繁殖许可证或者允许进出口证明书的，由野生动物行政主管部门或者工商行政管理部门吊销证件，没收违法所得，并按法律、行政法规的规定处以罚款；构成犯罪的，依法追究刑事责任。</w:t>
      </w:r>
    </w:p>
    <w:p w14:paraId="421CFD68">
      <w:pPr>
        <w:ind w:firstLine="422"/>
        <w:rPr>
          <w:rFonts w:hint="eastAsia" w:ascii="宋体" w:hAnsi="宋体" w:eastAsia="宋体" w:cs="宋体"/>
        </w:rPr>
      </w:pPr>
      <w:r>
        <w:rPr>
          <w:rFonts w:hint="eastAsia" w:ascii="宋体" w:hAnsi="宋体" w:eastAsia="宋体" w:cs="宋体"/>
          <w:b/>
        </w:rPr>
        <w:t>第十八条</w:t>
      </w:r>
      <w:r>
        <w:rPr>
          <w:rFonts w:hint="eastAsia" w:ascii="宋体" w:hAnsi="宋体" w:eastAsia="宋体" w:cs="宋体"/>
        </w:rPr>
        <w:t>　野生动物行政主管部门工作人员在野生动物保护管理工作中玩忽职守、滥用职权、徇私舞弊的，由其所在单位或者上级主管机关给予行政处分；情节严重，构成犯罪的，依法追究刑事责任。</w:t>
      </w:r>
    </w:p>
    <w:p w14:paraId="5BB980FE">
      <w:pPr>
        <w:ind w:firstLine="422"/>
        <w:rPr>
          <w:rFonts w:hint="eastAsia" w:ascii="宋体" w:hAnsi="宋体" w:eastAsia="宋体" w:cs="宋体"/>
        </w:rPr>
      </w:pPr>
      <w:r>
        <w:rPr>
          <w:rFonts w:hint="eastAsia" w:ascii="宋体" w:hAnsi="宋体" w:eastAsia="宋体" w:cs="宋体"/>
          <w:b/>
        </w:rPr>
        <w:t>第十九条</w:t>
      </w:r>
      <w:r>
        <w:rPr>
          <w:rFonts w:hint="eastAsia" w:ascii="宋体" w:hAnsi="宋体" w:eastAsia="宋体" w:cs="宋体"/>
        </w:rPr>
        <w:t>　当事人对行政处罚决定不服的，可以在接到处罚通知之日起15日内，向作出处罚决定机关的上一级机关申请复议，但对没收猎获物、猎捕工具的决定，必须立即执行；对上一级机关复议决定不服的，可以在接到复议决定通知之日起15日内，向人民法院起诉。当事人也可以在接到处罚通知之日起15日内，直接向人民法院起诉。当事人逾期不申请复议或者不向人民法院起诉，又不履行处罚决定的，由作出处罚决定的机关申请人民法院强制执行。</w:t>
      </w:r>
    </w:p>
    <w:p w14:paraId="2808B281">
      <w:pPr>
        <w:ind w:firstLine="422"/>
        <w:rPr>
          <w:rFonts w:hint="eastAsia" w:ascii="宋体" w:hAnsi="宋体" w:eastAsia="宋体" w:cs="宋体"/>
        </w:rPr>
      </w:pPr>
      <w:r>
        <w:rPr>
          <w:rFonts w:hint="eastAsia" w:ascii="宋体" w:hAnsi="宋体" w:eastAsia="宋体" w:cs="宋体"/>
          <w:b/>
        </w:rPr>
        <w:t>第二十条</w:t>
      </w:r>
      <w:r>
        <w:rPr>
          <w:rFonts w:hint="eastAsia" w:ascii="宋体" w:hAnsi="宋体" w:eastAsia="宋体" w:cs="宋体"/>
        </w:rPr>
        <w:t>　本办法具体应用中的问题，由市野生动物行政主管部门解释。</w:t>
      </w:r>
    </w:p>
    <w:p w14:paraId="2922BB56">
      <w:pPr>
        <w:ind w:firstLine="422"/>
        <w:rPr>
          <w:rFonts w:hint="eastAsia" w:ascii="宋体" w:hAnsi="宋体" w:eastAsia="宋体" w:cs="宋体"/>
        </w:rPr>
      </w:pPr>
      <w:r>
        <w:rPr>
          <w:rFonts w:hint="eastAsia" w:ascii="宋体" w:hAnsi="宋体" w:eastAsia="宋体" w:cs="宋体"/>
          <w:b/>
        </w:rPr>
        <w:t>第二十一条</w:t>
      </w:r>
      <w:r>
        <w:rPr>
          <w:rFonts w:hint="eastAsia" w:ascii="宋体" w:hAnsi="宋体" w:eastAsia="宋体" w:cs="宋体"/>
        </w:rPr>
        <w:t>　本办法自1989年6月1日起施行。</w:t>
      </w:r>
    </w:p>
    <w:p w14:paraId="1AA8564B">
      <w:pPr>
        <w:pStyle w:val="4"/>
        <w:pageBreakBefore/>
      </w:pPr>
      <w:bookmarkStart w:id="2625" w:name="_Toc428780799"/>
      <w:bookmarkStart w:id="2626" w:name="_Toc426467168"/>
      <w:bookmarkStart w:id="2627" w:name="_Toc428781916"/>
      <w:r>
        <w:rPr>
          <w:rFonts w:hint="eastAsia"/>
        </w:rPr>
        <w:t>北京市古树名木保护管理条例</w:t>
      </w:r>
      <w:bookmarkEnd w:id="2625"/>
      <w:bookmarkEnd w:id="2626"/>
      <w:bookmarkEnd w:id="2627"/>
    </w:p>
    <w:p w14:paraId="773E2A19">
      <w:pPr>
        <w:ind w:left="630" w:leftChars="300" w:right="630" w:rightChars="300"/>
        <w:rPr>
          <w:rFonts w:ascii="楷体" w:hAnsi="楷体" w:eastAsia="楷体"/>
        </w:rPr>
      </w:pPr>
      <w:r>
        <w:rPr>
          <w:rFonts w:hint="eastAsia" w:ascii="楷体" w:hAnsi="楷体" w:eastAsia="楷体"/>
        </w:rPr>
        <w:t>（1998年6月5日北京市第十一届人民代表大会常务委员会第三次会议通过）</w:t>
      </w:r>
    </w:p>
    <w:p w14:paraId="342B5F80"/>
    <w:p w14:paraId="55EDD015">
      <w:pPr>
        <w:ind w:firstLine="422"/>
      </w:pPr>
      <w:r>
        <w:rPr>
          <w:rFonts w:hint="eastAsia"/>
          <w:b/>
        </w:rPr>
        <w:t>第一条</w:t>
      </w:r>
      <w:r>
        <w:rPr>
          <w:rFonts w:hint="eastAsia"/>
        </w:rPr>
        <w:t xml:space="preserve">  为了加强古树名木的保护管理，维护古都风貌，根据本市实际情况，制定本条例。</w:t>
      </w:r>
    </w:p>
    <w:p w14:paraId="7F73872B">
      <w:pPr>
        <w:ind w:firstLine="422"/>
      </w:pPr>
      <w:r>
        <w:rPr>
          <w:rFonts w:hint="eastAsia"/>
          <w:b/>
        </w:rPr>
        <w:t>第二条</w:t>
      </w:r>
      <w:r>
        <w:rPr>
          <w:rFonts w:hint="eastAsia"/>
        </w:rPr>
        <w:t xml:space="preserve">  本条例所称古树，是指树龄在百年以上的树木。凡树龄在三百年以上的树木为一级古树；其余的为二级古树。</w:t>
      </w:r>
    </w:p>
    <w:p w14:paraId="28AE2041">
      <w:r>
        <w:rPr>
          <w:rFonts w:hint="eastAsia"/>
        </w:rPr>
        <w:t>本条例所称名木，是指珍贵、稀有的树木和具有历史价值、纪念意义的树木。</w:t>
      </w:r>
    </w:p>
    <w:p w14:paraId="37B0BED3">
      <w:r>
        <w:rPr>
          <w:rFonts w:hint="eastAsia"/>
        </w:rPr>
        <w:t>本市古树名木由市园林、林业行政主管部门确认和公布。</w:t>
      </w:r>
    </w:p>
    <w:p w14:paraId="661D8FD7">
      <w:pPr>
        <w:ind w:firstLine="422"/>
      </w:pPr>
      <w:r>
        <w:rPr>
          <w:rFonts w:hint="eastAsia"/>
          <w:b/>
        </w:rPr>
        <w:t>第三条</w:t>
      </w:r>
      <w:r>
        <w:rPr>
          <w:rFonts w:hint="eastAsia"/>
        </w:rPr>
        <w:t xml:space="preserve">  市和区、县园林、林业行政主管部门（以下简称古树名木行政主管部门）按照人民政府规定的职责，负责本行政区域内古树名木的保护管理工作。</w:t>
      </w:r>
    </w:p>
    <w:p w14:paraId="5357AA47">
      <w:pPr>
        <w:ind w:firstLine="422"/>
      </w:pPr>
      <w:r>
        <w:rPr>
          <w:rFonts w:hint="eastAsia"/>
          <w:b/>
        </w:rPr>
        <w:t>第四条</w:t>
      </w:r>
      <w:r>
        <w:rPr>
          <w:rFonts w:hint="eastAsia"/>
        </w:rPr>
        <w:t xml:space="preserve">  本市鼓励单位和个人资助古树名木的管护。</w:t>
      </w:r>
    </w:p>
    <w:p w14:paraId="4970554F">
      <w:pPr>
        <w:ind w:firstLine="422"/>
      </w:pPr>
      <w:r>
        <w:rPr>
          <w:rFonts w:hint="eastAsia"/>
          <w:b/>
        </w:rPr>
        <w:t>第五条</w:t>
      </w:r>
      <w:r>
        <w:rPr>
          <w:rFonts w:hint="eastAsia"/>
        </w:rPr>
        <w:t xml:space="preserve">  古树名木行政主管部门应当对管护古树名木成绩显著的单位或者个人给予表彰和奖励。</w:t>
      </w:r>
    </w:p>
    <w:p w14:paraId="0D5F9359">
      <w:pPr>
        <w:ind w:firstLine="422"/>
      </w:pPr>
      <w:r>
        <w:rPr>
          <w:rFonts w:hint="eastAsia"/>
          <w:b/>
        </w:rPr>
        <w:t>第六条</w:t>
      </w:r>
      <w:r>
        <w:rPr>
          <w:rFonts w:hint="eastAsia"/>
        </w:rPr>
        <w:t xml:space="preserve">  任何单位和个人都有保护古树名木及其附属设施的义务。对损伤、破坏古树名木的行为，有权劝阻、检举和控告。</w:t>
      </w:r>
    </w:p>
    <w:p w14:paraId="06516BBF">
      <w:pPr>
        <w:ind w:firstLine="422"/>
      </w:pPr>
      <w:r>
        <w:rPr>
          <w:rFonts w:hint="eastAsia"/>
          <w:b/>
        </w:rPr>
        <w:t>第七条</w:t>
      </w:r>
      <w:r>
        <w:rPr>
          <w:rFonts w:hint="eastAsia"/>
        </w:rPr>
        <w:t xml:space="preserve">  古树名木行政主管部门应当加强对古树名木保护的科学研究，推广应用科学研究成果，普及保护知识，提高保护和管理水平。</w:t>
      </w:r>
    </w:p>
    <w:p w14:paraId="26E2CC32">
      <w:pPr>
        <w:ind w:firstLine="422"/>
      </w:pPr>
      <w:r>
        <w:rPr>
          <w:rFonts w:hint="eastAsia"/>
          <w:b/>
        </w:rPr>
        <w:t>第八条</w:t>
      </w:r>
      <w:r>
        <w:rPr>
          <w:rFonts w:hint="eastAsia"/>
        </w:rPr>
        <w:t xml:space="preserve">  古树名木行政主管部门应当对本行政区域内的古树名木进行调查登记、鉴定分级、建立档案、设立标志、制定保护措施、确定管护责任者。</w:t>
      </w:r>
    </w:p>
    <w:p w14:paraId="4DEA2E76">
      <w:r>
        <w:rPr>
          <w:rFonts w:hint="eastAsia"/>
        </w:rPr>
        <w:t>古树名木行政主管部门应当定期对古树名木生长和管护情况进行检查；对长势濒危的古树名木提出抢救措施，并监督实施。</w:t>
      </w:r>
    </w:p>
    <w:p w14:paraId="6DA8D8DF">
      <w:pPr>
        <w:ind w:firstLine="422"/>
      </w:pPr>
      <w:r>
        <w:rPr>
          <w:rFonts w:hint="eastAsia"/>
          <w:b/>
        </w:rPr>
        <w:t>第九条</w:t>
      </w:r>
      <w:r>
        <w:rPr>
          <w:rFonts w:hint="eastAsia"/>
        </w:rPr>
        <w:t xml:space="preserve">  国家所有和集体所有的古树名木的管护责任，按下列规定承担：</w:t>
      </w:r>
    </w:p>
    <w:p w14:paraId="41CC4FCE">
      <w:r>
        <w:rPr>
          <w:rFonts w:hint="eastAsia"/>
        </w:rPr>
        <w:t>（一）生长在机关、团体、部队、企业、事业单位或者公园、风景名胜区和坛庙寺院用地范围内的古树名木，由所在单位管护；</w:t>
      </w:r>
    </w:p>
    <w:p w14:paraId="614AC708">
      <w:r>
        <w:rPr>
          <w:rFonts w:hint="eastAsia"/>
        </w:rPr>
        <w:t>（二）生长在铁路、公路、水库和河道用地管理范围内的古树名木，分别由铁路、公路和水利部门管护；</w:t>
      </w:r>
    </w:p>
    <w:p w14:paraId="23C1D032">
      <w:r>
        <w:rPr>
          <w:rFonts w:hint="eastAsia"/>
        </w:rPr>
        <w:t>（三）生长在城市道路、街巷、绿地的古树名木，由园林管理单位管护；</w:t>
      </w:r>
    </w:p>
    <w:p w14:paraId="73B531E8">
      <w:r>
        <w:rPr>
          <w:rFonts w:hint="eastAsia"/>
        </w:rPr>
        <w:t>（四）生长在居住小区内或者城镇居民院内的古树名木，由物业管理部门或者街道办事处指定专人管护；</w:t>
      </w:r>
    </w:p>
    <w:p w14:paraId="38C45D67">
      <w:r>
        <w:rPr>
          <w:rFonts w:hint="eastAsia"/>
        </w:rPr>
        <w:t>（五）生长在农村集体所有土地上的古树名木，由村经济合作社管护或者由乡镇人民政府指定专人管护。</w:t>
      </w:r>
    </w:p>
    <w:p w14:paraId="6C6D901F">
      <w:r>
        <w:rPr>
          <w:rFonts w:hint="eastAsia"/>
        </w:rPr>
        <w:t>个人所有的古树名木，由个人管护。</w:t>
      </w:r>
    </w:p>
    <w:p w14:paraId="6AD04AB7">
      <w:r>
        <w:rPr>
          <w:rFonts w:hint="eastAsia"/>
        </w:rPr>
        <w:t>变更古树名木管护责任单位或者个人，应当到古树名木行政主管部门办理管护责任转移手续。</w:t>
      </w:r>
    </w:p>
    <w:p w14:paraId="3A82E2F2">
      <w:pPr>
        <w:ind w:firstLine="422"/>
      </w:pPr>
      <w:r>
        <w:rPr>
          <w:rFonts w:hint="eastAsia"/>
          <w:b/>
        </w:rPr>
        <w:t>第十条</w:t>
      </w:r>
      <w:r>
        <w:rPr>
          <w:rFonts w:hint="eastAsia"/>
        </w:rPr>
        <w:t xml:space="preserve">  古树名木管护费用由管护责任单位或者个人负担；抢救、复壮费用，管护责任单位或者个人负担确有困难的，由古树名木行政主管部门给予补贴。</w:t>
      </w:r>
    </w:p>
    <w:p w14:paraId="59AC38FD">
      <w:pPr>
        <w:ind w:firstLine="422"/>
      </w:pPr>
      <w:r>
        <w:rPr>
          <w:rFonts w:hint="eastAsia"/>
          <w:b/>
        </w:rPr>
        <w:t>第十一条</w:t>
      </w:r>
      <w:r>
        <w:rPr>
          <w:rFonts w:hint="eastAsia"/>
        </w:rPr>
        <w:t xml:space="preserve">  古树名木的管护责任单位或者个人，应当按照技术规范养护管理，保障古树名木正常生长。</w:t>
      </w:r>
    </w:p>
    <w:p w14:paraId="149E8F06">
      <w:r>
        <w:rPr>
          <w:rFonts w:hint="eastAsia"/>
        </w:rPr>
        <w:t>古树名木受害或者长势衰弱，管护责任单位或者个人应当及时报告古树名木行政主管部门，并按照古树名木行政主管部门的要求进行治理、复壮。</w:t>
      </w:r>
    </w:p>
    <w:p w14:paraId="6A104236">
      <w:r>
        <w:rPr>
          <w:rFonts w:hint="eastAsia"/>
        </w:rPr>
        <w:t>古树名木死亡，应当报经市古树名木行政主管部门确认，查明原因、责任，方可处理。</w:t>
      </w:r>
    </w:p>
    <w:p w14:paraId="7291DE6A">
      <w:pPr>
        <w:ind w:firstLine="422"/>
      </w:pPr>
      <w:r>
        <w:rPr>
          <w:rFonts w:hint="eastAsia"/>
          <w:b/>
        </w:rPr>
        <w:t>第十二条</w:t>
      </w:r>
      <w:r>
        <w:rPr>
          <w:rFonts w:hint="eastAsia"/>
        </w:rPr>
        <w:t xml:space="preserve">  禁止下列损害古树名木的行为：</w:t>
      </w:r>
    </w:p>
    <w:p w14:paraId="42A81FE5">
      <w:bookmarkStart w:id="2628" w:name="_Toc428780800"/>
      <w:r>
        <w:rPr>
          <w:rFonts w:hint="eastAsia"/>
        </w:rPr>
        <w:t>（一）刻划钉钉、缠绕绳索、攀树折枝、剥损树皮；</w:t>
      </w:r>
      <w:bookmarkEnd w:id="2628"/>
    </w:p>
    <w:p w14:paraId="590B8842">
      <w:r>
        <w:rPr>
          <w:rFonts w:hint="eastAsia"/>
        </w:rPr>
        <w:t>（二）借用树干做支撑物；</w:t>
      </w:r>
    </w:p>
    <w:p w14:paraId="26D8FA95">
      <w:r>
        <w:rPr>
          <w:rFonts w:hint="eastAsia"/>
        </w:rPr>
        <w:t>（三）擅自采摘果实；</w:t>
      </w:r>
    </w:p>
    <w:p w14:paraId="5C4F391C">
      <w:r>
        <w:rPr>
          <w:rFonts w:hint="eastAsia"/>
        </w:rPr>
        <w:t>（四）在树冠外缘三米内挖坑取土、动用明火、排放烟气、倾倒污水污物、堆放危害树木生长的物料、修建建筑物或者构筑物；</w:t>
      </w:r>
    </w:p>
    <w:p w14:paraId="47B33746">
      <w:r>
        <w:rPr>
          <w:rFonts w:hint="eastAsia"/>
        </w:rPr>
        <w:t>（五）擅自移植；</w:t>
      </w:r>
    </w:p>
    <w:p w14:paraId="6704C8FE">
      <w:r>
        <w:rPr>
          <w:rFonts w:hint="eastAsia"/>
        </w:rPr>
        <w:t>（六）砍伐；</w:t>
      </w:r>
    </w:p>
    <w:p w14:paraId="6BC16674">
      <w:r>
        <w:rPr>
          <w:rFonts w:hint="eastAsia"/>
        </w:rPr>
        <w:t>（七）其他损害行为。</w:t>
      </w:r>
    </w:p>
    <w:p w14:paraId="5C27405E">
      <w:pPr>
        <w:ind w:firstLine="422"/>
      </w:pPr>
      <w:r>
        <w:rPr>
          <w:rFonts w:hint="eastAsia"/>
          <w:b/>
        </w:rPr>
        <w:t>第十三条</w:t>
      </w:r>
      <w:r>
        <w:rPr>
          <w:rFonts w:hint="eastAsia"/>
        </w:rPr>
        <w:t xml:space="preserve">  对影响和危害古树名木生长的生产、生活设施，由古树名木行政主管部门责令有关单位或者个人限期采取措施，消除影响和危害。</w:t>
      </w:r>
    </w:p>
    <w:p w14:paraId="6B623CF7">
      <w:pPr>
        <w:ind w:firstLine="422"/>
      </w:pPr>
      <w:r>
        <w:rPr>
          <w:rFonts w:hint="eastAsia"/>
          <w:b/>
        </w:rPr>
        <w:t>第十四条</w:t>
      </w:r>
      <w:r>
        <w:rPr>
          <w:rFonts w:hint="eastAsia"/>
        </w:rPr>
        <w:t>　制定城乡建设详细规划，应当在古树群周围划出一定的建设控制地带，保护古树群的生长环境和风貌。</w:t>
      </w:r>
    </w:p>
    <w:p w14:paraId="2F2831C4">
      <w:pPr>
        <w:ind w:firstLine="422"/>
      </w:pPr>
      <w:r>
        <w:rPr>
          <w:rFonts w:hint="eastAsia"/>
          <w:b/>
        </w:rPr>
        <w:t>第十五条</w:t>
      </w:r>
      <w:r>
        <w:rPr>
          <w:rFonts w:hint="eastAsia"/>
        </w:rPr>
        <w:t xml:space="preserve">　建设项目涉及古树名木的，在规划、设计和施工、安装中，应当采取避让保护措施。避让保护措施由建设单位报古树名木行政主管部门批准，未经批准，不得施工。  </w:t>
      </w:r>
    </w:p>
    <w:p w14:paraId="14F7F276">
      <w:pPr>
        <w:rPr>
          <w:rFonts w:hint="eastAsia" w:ascii="宋体" w:hAnsi="宋体" w:eastAsia="宋体" w:cs="宋体"/>
        </w:rPr>
      </w:pPr>
      <w:r>
        <w:rPr>
          <w:rFonts w:hint="eastAsia"/>
        </w:rPr>
        <w:t>因特殊情况确需迁移古树名木的，应当经市古树名木行政主管部门审核，报市人民政府批准后，办理移植许可证，按照古树名木移</w:t>
      </w:r>
      <w:r>
        <w:rPr>
          <w:rFonts w:hint="eastAsia" w:ascii="宋体" w:hAnsi="宋体" w:eastAsia="宋体" w:cs="宋体"/>
        </w:rPr>
        <w:t>植的有关规定组织施工。移植所需费用，由建设单位承担。</w:t>
      </w:r>
    </w:p>
    <w:p w14:paraId="275B15F1">
      <w:pPr>
        <w:ind w:firstLine="422"/>
        <w:rPr>
          <w:rFonts w:hint="eastAsia" w:ascii="宋体" w:hAnsi="宋体" w:eastAsia="宋体" w:cs="宋体"/>
        </w:rPr>
      </w:pPr>
      <w:r>
        <w:rPr>
          <w:rFonts w:hint="eastAsia" w:ascii="宋体" w:hAnsi="宋体" w:eastAsia="宋体" w:cs="宋体"/>
          <w:b/>
        </w:rPr>
        <w:t>第十六条</w:t>
      </w:r>
      <w:r>
        <w:rPr>
          <w:rFonts w:hint="eastAsia" w:ascii="宋体" w:hAnsi="宋体" w:eastAsia="宋体" w:cs="宋体"/>
        </w:rPr>
        <w:t>　古树名木保护措施与其他文物保护单位的保护措施相关时，由古树名木行政主管部门和文物行政主管部门共同制定保护措施。</w:t>
      </w:r>
    </w:p>
    <w:p w14:paraId="733FDA12">
      <w:pPr>
        <w:ind w:firstLine="422"/>
        <w:rPr>
          <w:rFonts w:hint="eastAsia" w:ascii="宋体" w:hAnsi="宋体" w:eastAsia="宋体" w:cs="宋体"/>
        </w:rPr>
      </w:pPr>
      <w:r>
        <w:rPr>
          <w:rFonts w:hint="eastAsia" w:ascii="宋体" w:hAnsi="宋体" w:eastAsia="宋体" w:cs="宋体"/>
          <w:b/>
        </w:rPr>
        <w:t>第十七条</w:t>
      </w:r>
      <w:r>
        <w:rPr>
          <w:rFonts w:hint="eastAsia" w:ascii="宋体" w:hAnsi="宋体" w:eastAsia="宋体" w:cs="宋体"/>
        </w:rPr>
        <w:t>　违反本条例第六条规定，损坏古树名木标志和其他附属设施的，由古树名木行政主管部门责令恢复原貌，赔偿损失，并可处以损失额1倍以下的罚款。</w:t>
      </w:r>
    </w:p>
    <w:p w14:paraId="7BFEAA1C">
      <w:pPr>
        <w:ind w:firstLine="422"/>
        <w:rPr>
          <w:rFonts w:hint="eastAsia" w:ascii="宋体" w:hAnsi="宋体" w:eastAsia="宋体" w:cs="宋体"/>
        </w:rPr>
      </w:pPr>
      <w:r>
        <w:rPr>
          <w:rFonts w:hint="eastAsia" w:ascii="宋体" w:hAnsi="宋体" w:eastAsia="宋体" w:cs="宋体"/>
          <w:b/>
        </w:rPr>
        <w:t>第十八条</w:t>
      </w:r>
      <w:r>
        <w:rPr>
          <w:rFonts w:hint="eastAsia" w:ascii="宋体" w:hAnsi="宋体" w:eastAsia="宋体" w:cs="宋体"/>
        </w:rPr>
        <w:t>　违反本条例第十一条第一款、第二款规定，不按技术规范养护管理或者不按要求治理、复壮的，由古树名木行政主管部门责令改正；造成古树名木损伤的，每株可以处500元至2000元的罚款；造成死亡的，每株可以处1万元至5万元的罚款。</w:t>
      </w:r>
    </w:p>
    <w:p w14:paraId="152DB1F9">
      <w:pPr>
        <w:rPr>
          <w:rFonts w:hint="eastAsia" w:ascii="宋体" w:hAnsi="宋体" w:eastAsia="宋体" w:cs="宋体"/>
        </w:rPr>
      </w:pPr>
      <w:r>
        <w:rPr>
          <w:rFonts w:hint="eastAsia" w:ascii="宋体" w:hAnsi="宋体" w:eastAsia="宋体" w:cs="宋体"/>
        </w:rPr>
        <w:t>违反本条例第十一条第三款规定，未经确认擅自处理死亡古树名木的，每株处以2000元至1万元的罚款。</w:t>
      </w:r>
    </w:p>
    <w:p w14:paraId="107F7EB8">
      <w:pPr>
        <w:ind w:firstLine="422"/>
        <w:rPr>
          <w:rFonts w:hint="eastAsia" w:ascii="宋体" w:hAnsi="宋体" w:eastAsia="宋体" w:cs="宋体"/>
        </w:rPr>
      </w:pPr>
      <w:r>
        <w:rPr>
          <w:rFonts w:hint="eastAsia" w:ascii="宋体" w:hAnsi="宋体" w:eastAsia="宋体" w:cs="宋体"/>
          <w:b/>
        </w:rPr>
        <w:t>第十九条</w:t>
      </w:r>
      <w:r>
        <w:rPr>
          <w:rFonts w:hint="eastAsia" w:ascii="宋体" w:hAnsi="宋体" w:eastAsia="宋体" w:cs="宋体"/>
        </w:rPr>
        <w:t>　违反本条例第十二条第（一）项、第（二）项、第（三）项、第（四）项规定，损害古树名木的，由古树名木行政主管部门责令改正，并处以罚款：</w:t>
      </w:r>
    </w:p>
    <w:p w14:paraId="37B8DB64">
      <w:pPr>
        <w:rPr>
          <w:rFonts w:hint="eastAsia" w:ascii="宋体" w:hAnsi="宋体" w:eastAsia="宋体" w:cs="宋体"/>
        </w:rPr>
      </w:pPr>
      <w:bookmarkStart w:id="2629" w:name="_Toc428780801"/>
      <w:r>
        <w:rPr>
          <w:rFonts w:hint="eastAsia" w:ascii="宋体" w:hAnsi="宋体" w:eastAsia="宋体" w:cs="宋体"/>
        </w:rPr>
        <w:t>（一）对古树名木损害较轻的，每株处以200元至1000元的罚款；</w:t>
      </w:r>
      <w:bookmarkEnd w:id="2629"/>
    </w:p>
    <w:p w14:paraId="66B2874A">
      <w:pPr>
        <w:rPr>
          <w:rFonts w:hint="eastAsia" w:ascii="宋体" w:hAnsi="宋体" w:eastAsia="宋体" w:cs="宋体"/>
        </w:rPr>
      </w:pPr>
      <w:r>
        <w:rPr>
          <w:rFonts w:hint="eastAsia" w:ascii="宋体" w:hAnsi="宋体" w:eastAsia="宋体" w:cs="宋体"/>
        </w:rPr>
        <w:t>（二）损害枝干或者根系的，处以损失额1倍至2倍的罚款；</w:t>
      </w:r>
    </w:p>
    <w:p w14:paraId="1DE22862">
      <w:pPr>
        <w:rPr>
          <w:rFonts w:hint="eastAsia" w:ascii="宋体" w:hAnsi="宋体" w:eastAsia="宋体" w:cs="宋体"/>
        </w:rPr>
      </w:pPr>
      <w:r>
        <w:rPr>
          <w:rFonts w:hint="eastAsia" w:ascii="宋体" w:hAnsi="宋体" w:eastAsia="宋体" w:cs="宋体"/>
        </w:rPr>
        <w:t>（三）造成死亡的，处以损失额2倍至3倍的罚款。</w:t>
      </w:r>
    </w:p>
    <w:p w14:paraId="20DDA076">
      <w:pPr>
        <w:ind w:firstLine="422"/>
        <w:rPr>
          <w:rFonts w:hint="eastAsia" w:ascii="宋体" w:hAnsi="宋体" w:eastAsia="宋体" w:cs="宋体"/>
        </w:rPr>
      </w:pPr>
      <w:r>
        <w:rPr>
          <w:rFonts w:hint="eastAsia" w:ascii="宋体" w:hAnsi="宋体" w:eastAsia="宋体" w:cs="宋体"/>
          <w:b/>
        </w:rPr>
        <w:t>第二十条</w:t>
      </w:r>
      <w:r>
        <w:rPr>
          <w:rFonts w:hint="eastAsia" w:ascii="宋体" w:hAnsi="宋体" w:eastAsia="宋体" w:cs="宋体"/>
        </w:rPr>
        <w:t>　违反本条例第十二条第（六）项规定，砍伐古树名木的，由古树名木行政主管部门处以损失额3倍至5倍的罚款。</w:t>
      </w:r>
    </w:p>
    <w:p w14:paraId="038E6AC2">
      <w:pPr>
        <w:ind w:firstLine="422"/>
        <w:rPr>
          <w:rFonts w:hint="eastAsia" w:ascii="宋体" w:hAnsi="宋体" w:eastAsia="宋体" w:cs="宋体"/>
        </w:rPr>
      </w:pPr>
      <w:r>
        <w:rPr>
          <w:rFonts w:hint="eastAsia" w:ascii="宋体" w:hAnsi="宋体" w:eastAsia="宋体" w:cs="宋体"/>
          <w:b/>
        </w:rPr>
        <w:t>第二十一条</w:t>
      </w:r>
      <w:r>
        <w:rPr>
          <w:rFonts w:hint="eastAsia" w:ascii="宋体" w:hAnsi="宋体" w:eastAsia="宋体" w:cs="宋体"/>
        </w:rPr>
        <w:t>　违反本条例第十五条第一款规定，未采取避让保护措施的，避让保护措施未经批准或者不按批准的避让保护措施施工的，古树名木行政主管部门有权责令停止施工。造成古树名木损害的，依照本条例有关规定处理。</w:t>
      </w:r>
    </w:p>
    <w:p w14:paraId="0979AEEE">
      <w:pPr>
        <w:ind w:firstLine="422"/>
        <w:rPr>
          <w:rFonts w:hint="eastAsia" w:ascii="宋体" w:hAnsi="宋体" w:eastAsia="宋体" w:cs="宋体"/>
        </w:rPr>
      </w:pPr>
      <w:r>
        <w:rPr>
          <w:rFonts w:hint="eastAsia" w:ascii="宋体" w:hAnsi="宋体" w:eastAsia="宋体" w:cs="宋体"/>
          <w:b/>
        </w:rPr>
        <w:t>第二十二条</w:t>
      </w:r>
      <w:r>
        <w:rPr>
          <w:rFonts w:hint="eastAsia" w:ascii="宋体" w:hAnsi="宋体" w:eastAsia="宋体" w:cs="宋体"/>
        </w:rPr>
        <w:t>　违反本条例第十二条第（五）项和第十五条第二款规定，擅自移植古树名木的，由古树名木行政主管部门处以损失额1倍至2倍的罚款；造成死亡的，处以损失额2倍至3倍的罚款。原古树名木保护范围不得擅自作为建设用地。</w:t>
      </w:r>
    </w:p>
    <w:p w14:paraId="6B163247">
      <w:pPr>
        <w:ind w:firstLine="422"/>
        <w:rPr>
          <w:rFonts w:hint="eastAsia" w:ascii="宋体" w:hAnsi="宋体" w:eastAsia="宋体" w:cs="宋体"/>
        </w:rPr>
      </w:pPr>
      <w:r>
        <w:rPr>
          <w:rFonts w:hint="eastAsia" w:ascii="宋体" w:hAnsi="宋体" w:eastAsia="宋体" w:cs="宋体"/>
          <w:b/>
        </w:rPr>
        <w:t>第二十三条</w:t>
      </w:r>
      <w:r>
        <w:rPr>
          <w:rFonts w:hint="eastAsia" w:ascii="宋体" w:hAnsi="宋体" w:eastAsia="宋体" w:cs="宋体"/>
        </w:rPr>
        <w:t>　违反本条例规定，损害古树名木的，应当向所有者赔偿损失。</w:t>
      </w:r>
    </w:p>
    <w:p w14:paraId="3BD68C2E">
      <w:pPr>
        <w:rPr>
          <w:rFonts w:hint="eastAsia" w:ascii="宋体" w:hAnsi="宋体" w:eastAsia="宋体" w:cs="宋体"/>
        </w:rPr>
      </w:pPr>
      <w:r>
        <w:rPr>
          <w:rFonts w:hint="eastAsia" w:ascii="宋体" w:hAnsi="宋体" w:eastAsia="宋体" w:cs="宋体"/>
        </w:rPr>
        <w:t>古树名木损失鉴定办法由市古树名木行政主管部门制定。</w:t>
      </w:r>
    </w:p>
    <w:p w14:paraId="4D518C87">
      <w:pPr>
        <w:ind w:firstLine="422"/>
        <w:rPr>
          <w:rFonts w:hint="eastAsia" w:ascii="宋体" w:hAnsi="宋体" w:eastAsia="宋体" w:cs="宋体"/>
        </w:rPr>
      </w:pPr>
      <w:r>
        <w:rPr>
          <w:rFonts w:hint="eastAsia" w:ascii="宋体" w:hAnsi="宋体" w:eastAsia="宋体" w:cs="宋体"/>
          <w:b/>
        </w:rPr>
        <w:t>第二十四条</w:t>
      </w:r>
      <w:r>
        <w:rPr>
          <w:rFonts w:hint="eastAsia" w:ascii="宋体" w:hAnsi="宋体" w:eastAsia="宋体" w:cs="宋体"/>
        </w:rPr>
        <w:t>　砍伐、毁坏古树名木，构成犯罪的，依法追究刑事责任。</w:t>
      </w:r>
    </w:p>
    <w:p w14:paraId="108A8208">
      <w:pPr>
        <w:ind w:firstLine="422"/>
        <w:rPr>
          <w:rFonts w:hint="eastAsia" w:ascii="宋体" w:hAnsi="宋体" w:eastAsia="宋体" w:cs="宋体"/>
        </w:rPr>
      </w:pPr>
      <w:r>
        <w:rPr>
          <w:rFonts w:hint="eastAsia" w:ascii="宋体" w:hAnsi="宋体" w:eastAsia="宋体" w:cs="宋体"/>
          <w:b/>
        </w:rPr>
        <w:t>第二十五条</w:t>
      </w:r>
      <w:r>
        <w:rPr>
          <w:rFonts w:hint="eastAsia" w:ascii="宋体" w:hAnsi="宋体" w:eastAsia="宋体" w:cs="宋体"/>
        </w:rPr>
        <w:t>　古树名木行政主管部门的工作人员在古树名木的保护管理工作中，滥用职权，玩忽职守，徇私舞弊的，由其所在单位或者上级主管机关给予行政处分；情节严重，构成犯罪的，依法追究刑事责任。</w:t>
      </w:r>
    </w:p>
    <w:p w14:paraId="29C112C9">
      <w:pPr>
        <w:ind w:firstLine="422"/>
        <w:rPr>
          <w:rFonts w:hint="eastAsia" w:ascii="宋体" w:hAnsi="宋体" w:eastAsia="宋体" w:cs="宋体"/>
        </w:rPr>
      </w:pPr>
      <w:r>
        <w:rPr>
          <w:rFonts w:hint="eastAsia" w:ascii="宋体" w:hAnsi="宋体" w:eastAsia="宋体" w:cs="宋体"/>
          <w:b/>
        </w:rPr>
        <w:t>第二十六条</w:t>
      </w:r>
      <w:r>
        <w:rPr>
          <w:rFonts w:hint="eastAsia" w:ascii="宋体" w:hAnsi="宋体" w:eastAsia="宋体" w:cs="宋体"/>
        </w:rPr>
        <w:t>　本条例具体应用中的问题，由市古树名木行政主管部门负责解释。</w:t>
      </w:r>
    </w:p>
    <w:p w14:paraId="576F353F">
      <w:pPr>
        <w:ind w:firstLine="422"/>
        <w:rPr>
          <w:rFonts w:hint="eastAsia" w:ascii="宋体" w:hAnsi="宋体" w:eastAsia="宋体" w:cs="宋体"/>
        </w:rPr>
      </w:pPr>
      <w:r>
        <w:rPr>
          <w:rFonts w:hint="eastAsia" w:ascii="宋体" w:hAnsi="宋体" w:eastAsia="宋体" w:cs="宋体"/>
          <w:b/>
        </w:rPr>
        <w:t>第二十七条</w:t>
      </w:r>
      <w:r>
        <w:rPr>
          <w:rFonts w:hint="eastAsia" w:ascii="宋体" w:hAnsi="宋体" w:eastAsia="宋体" w:cs="宋体"/>
        </w:rPr>
        <w:t>　本条例自1998年8月1日起施行。1986年5月14日市人民政府发布的《北京市古树名木保护管理暂行办法》同时废止。</w:t>
      </w:r>
    </w:p>
    <w:p w14:paraId="56042F2D">
      <w:pPr>
        <w:pStyle w:val="4"/>
        <w:pageBreakBefore/>
      </w:pPr>
      <w:bookmarkStart w:id="2630" w:name="_Toc428780802"/>
      <w:bookmarkStart w:id="2631" w:name="_Toc428781917"/>
      <w:bookmarkStart w:id="2632" w:name="_Toc426467169"/>
      <w:r>
        <w:rPr>
          <w:rFonts w:hint="eastAsia"/>
        </w:rPr>
        <w:t>北京市森林资源保护管理条例</w:t>
      </w:r>
      <w:bookmarkEnd w:id="2630"/>
      <w:bookmarkEnd w:id="2631"/>
      <w:bookmarkEnd w:id="2632"/>
    </w:p>
    <w:p w14:paraId="334E9C0F">
      <w:pPr>
        <w:ind w:left="630" w:leftChars="300" w:right="630" w:rightChars="300"/>
        <w:rPr>
          <w:rFonts w:ascii="楷体" w:hAnsi="楷体" w:eastAsia="楷体"/>
        </w:rPr>
      </w:pPr>
      <w:r>
        <w:rPr>
          <w:rFonts w:hint="eastAsia" w:ascii="楷体" w:hAnsi="楷体" w:eastAsia="楷体"/>
        </w:rPr>
        <w:t>（1999年9月16日北京市第十一届人民代表大会常务委员会第十三次会议通过　根据2010年12月23日北京市第十三届人民代表大会常务委员会第二十二次会议《关于修改部分地方性法规的决定》修正）</w:t>
      </w:r>
    </w:p>
    <w:p w14:paraId="35BBB8B6"/>
    <w:p w14:paraId="3026BBC5">
      <w:pPr>
        <w:ind w:firstLine="0" w:firstLineChars="0"/>
        <w:jc w:val="center"/>
        <w:rPr>
          <w:b/>
          <w:sz w:val="28"/>
        </w:rPr>
      </w:pPr>
      <w:r>
        <w:rPr>
          <w:rFonts w:hint="eastAsia"/>
          <w:b/>
          <w:sz w:val="28"/>
        </w:rPr>
        <w:t>第一章　总　则</w:t>
      </w:r>
    </w:p>
    <w:p w14:paraId="6C2D2BD5"/>
    <w:p w14:paraId="48DDE89B">
      <w:pPr>
        <w:ind w:firstLine="422"/>
      </w:pPr>
      <w:r>
        <w:rPr>
          <w:rFonts w:hint="eastAsia"/>
          <w:b/>
        </w:rPr>
        <w:t>第一条</w:t>
      </w:r>
      <w:r>
        <w:rPr>
          <w:rFonts w:hint="eastAsia"/>
        </w:rPr>
        <w:t xml:space="preserve">  为了保护、管理和合理利用森林资源，巩固绿化成果，改善生态环境，根据《中华人民共和国森林法》，结合本市实际情况，制定本条例。</w:t>
      </w:r>
    </w:p>
    <w:p w14:paraId="4F5F3C47">
      <w:pPr>
        <w:ind w:firstLine="422"/>
      </w:pPr>
      <w:r>
        <w:rPr>
          <w:rFonts w:hint="eastAsia"/>
          <w:b/>
        </w:rPr>
        <w:t>第二条</w:t>
      </w:r>
      <w:r>
        <w:rPr>
          <w:rFonts w:hint="eastAsia"/>
        </w:rPr>
        <w:t xml:space="preserve">  本条例适用于本市行政区域内森林、林木、林地等森林资源的保护管理。</w:t>
      </w:r>
    </w:p>
    <w:p w14:paraId="50A1D60F">
      <w:r>
        <w:rPr>
          <w:rFonts w:hint="eastAsia"/>
        </w:rPr>
        <w:t>绿化的规划、建设、保护、监督和管理，依照《北京市绿化条例》执行。</w:t>
      </w:r>
    </w:p>
    <w:p w14:paraId="345778C2">
      <w:pPr>
        <w:ind w:firstLine="422"/>
      </w:pPr>
      <w:r>
        <w:rPr>
          <w:rFonts w:hint="eastAsia"/>
          <w:b/>
        </w:rPr>
        <w:t>第三条</w:t>
      </w:r>
      <w:r>
        <w:rPr>
          <w:rFonts w:hint="eastAsia"/>
        </w:rPr>
        <w:t xml:space="preserve">  市和区、县林业行政主管部门主管本行政区域内森林资源保护管理工作。乡、镇林业工作站在乡、镇人民政府的领导下，负责本乡、镇的森林资源保护管理工作。</w:t>
      </w:r>
    </w:p>
    <w:p w14:paraId="6824053F">
      <w:r>
        <w:rPr>
          <w:rFonts w:hint="eastAsia"/>
        </w:rPr>
        <w:t>乡、镇林业工作站受区、县林业行政主管部门的业务指导。</w:t>
      </w:r>
    </w:p>
    <w:p w14:paraId="0F723144">
      <w:pPr>
        <w:ind w:firstLine="422"/>
      </w:pPr>
      <w:r>
        <w:rPr>
          <w:rFonts w:hint="eastAsia"/>
          <w:b/>
        </w:rPr>
        <w:t>第四条</w:t>
      </w:r>
      <w:r>
        <w:rPr>
          <w:rFonts w:hint="eastAsia"/>
        </w:rPr>
        <w:t xml:space="preserve">  森林资源所有者和使用者的合法权益受法律保护，任何单位和个人不得侵犯。</w:t>
      </w:r>
    </w:p>
    <w:p w14:paraId="6F094EC6">
      <w:pPr>
        <w:ind w:firstLine="422"/>
      </w:pPr>
      <w:r>
        <w:rPr>
          <w:rFonts w:hint="eastAsia"/>
          <w:b/>
        </w:rPr>
        <w:t>第五条</w:t>
      </w:r>
      <w:r>
        <w:rPr>
          <w:rFonts w:hint="eastAsia"/>
        </w:rPr>
        <w:t xml:space="preserve">  本市根据国家规定，建立林业基金和森林生态效益补偿基金。</w:t>
      </w:r>
    </w:p>
    <w:p w14:paraId="4462C422">
      <w:pPr>
        <w:ind w:firstLine="422"/>
      </w:pPr>
      <w:r>
        <w:rPr>
          <w:rFonts w:hint="eastAsia"/>
          <w:b/>
        </w:rPr>
        <w:t>第六条</w:t>
      </w:r>
      <w:r>
        <w:rPr>
          <w:rFonts w:hint="eastAsia"/>
        </w:rPr>
        <w:t xml:space="preserve">  森林资源实行分类经营，森林和林木划分为生态公益林和商品林。</w:t>
      </w:r>
    </w:p>
    <w:p w14:paraId="25A16CD3">
      <w:r>
        <w:rPr>
          <w:rFonts w:hint="eastAsia"/>
        </w:rPr>
        <w:t>生态公益林包括防护林和特种用途林；商品林包括经济林、用材林和薪炭林。生态公益林范围的划定由区、县林业行政主管部门提出方案，经市林业行政主管部门审核，报市人民政府批准。</w:t>
      </w:r>
    </w:p>
    <w:p w14:paraId="62C1D475">
      <w:r>
        <w:rPr>
          <w:rFonts w:hint="eastAsia"/>
        </w:rPr>
        <w:t>生态公益林建设纳入本市国家基本建设项目计划；人民政府对营造商品林给予扶持。</w:t>
      </w:r>
    </w:p>
    <w:p w14:paraId="4430287A">
      <w:pPr>
        <w:ind w:firstLine="422"/>
      </w:pPr>
      <w:r>
        <w:rPr>
          <w:rFonts w:hint="eastAsia"/>
          <w:b/>
        </w:rPr>
        <w:t>第七条</w:t>
      </w:r>
      <w:r>
        <w:rPr>
          <w:rFonts w:hint="eastAsia"/>
        </w:rPr>
        <w:t xml:space="preserve">  市和区、县林业行政主管部门每五年进行一次森林资源清查，掌握森林资源消长情况，建立森林资源档案。</w:t>
      </w:r>
    </w:p>
    <w:p w14:paraId="0A66DAF9">
      <w:pPr>
        <w:ind w:firstLine="422"/>
      </w:pPr>
      <w:r>
        <w:rPr>
          <w:rFonts w:hint="eastAsia"/>
          <w:b/>
        </w:rPr>
        <w:t>第八条</w:t>
      </w:r>
      <w:r>
        <w:rPr>
          <w:rFonts w:hint="eastAsia"/>
        </w:rPr>
        <w:t xml:space="preserve">  本市森林公安机关负责保护辖区内的森林资源，依法行使行政处罚权。</w:t>
      </w:r>
    </w:p>
    <w:p w14:paraId="3BFC886D">
      <w:pPr>
        <w:ind w:firstLine="422"/>
      </w:pPr>
      <w:r>
        <w:rPr>
          <w:rFonts w:hint="eastAsia"/>
          <w:b/>
        </w:rPr>
        <w:t>第九条</w:t>
      </w:r>
      <w:r>
        <w:rPr>
          <w:rFonts w:hint="eastAsia"/>
        </w:rPr>
        <w:t xml:space="preserve">  村民委员会或者农村集体经济组织以及国有林场、铁路、公路、水利、矿务、园林等有林单位应当建立护林组织，划定护林责任区，订立护林公约，配备护林员。</w:t>
      </w:r>
    </w:p>
    <w:p w14:paraId="607206C9">
      <w:pPr>
        <w:ind w:firstLine="422"/>
      </w:pPr>
      <w:r>
        <w:rPr>
          <w:rFonts w:hint="eastAsia"/>
          <w:b/>
        </w:rPr>
        <w:t>第十条</w:t>
      </w:r>
      <w:r>
        <w:rPr>
          <w:rFonts w:hint="eastAsia"/>
        </w:rPr>
        <w:t xml:space="preserve">  任何单位和个人不得破坏森林资源，对破坏森林资源的行为有权进行劝阻、检举和控告。</w:t>
      </w:r>
    </w:p>
    <w:p w14:paraId="22433A0D">
      <w:pPr>
        <w:ind w:firstLine="422"/>
      </w:pPr>
      <w:r>
        <w:rPr>
          <w:rFonts w:hint="eastAsia"/>
          <w:b/>
        </w:rPr>
        <w:t>第十一条</w:t>
      </w:r>
      <w:r>
        <w:rPr>
          <w:rFonts w:hint="eastAsia"/>
        </w:rPr>
        <w:t xml:space="preserve">  本市各级人民政府对在森林资源保护管理工作中做出突出贡献的单位或者个人，给予表彰或者奖励。</w:t>
      </w:r>
    </w:p>
    <w:p w14:paraId="760F8CA6"/>
    <w:p w14:paraId="7BB64A64">
      <w:pPr>
        <w:ind w:firstLine="0" w:firstLineChars="0"/>
        <w:jc w:val="center"/>
        <w:rPr>
          <w:b/>
          <w:sz w:val="28"/>
        </w:rPr>
      </w:pPr>
      <w:r>
        <w:rPr>
          <w:rFonts w:hint="eastAsia"/>
          <w:b/>
          <w:sz w:val="28"/>
        </w:rPr>
        <w:t>第二章　权属管理</w:t>
      </w:r>
    </w:p>
    <w:p w14:paraId="0CC975B2"/>
    <w:p w14:paraId="4242713F">
      <w:pPr>
        <w:ind w:firstLine="422"/>
      </w:pPr>
      <w:r>
        <w:rPr>
          <w:rFonts w:hint="eastAsia"/>
          <w:b/>
        </w:rPr>
        <w:t>第十二条</w:t>
      </w:r>
      <w:r>
        <w:rPr>
          <w:rFonts w:hint="eastAsia"/>
        </w:rPr>
        <w:t xml:space="preserve">  森林、林木，按照下列规定确定权属：</w:t>
      </w:r>
    </w:p>
    <w:p w14:paraId="1F14F2FA">
      <w:r>
        <w:rPr>
          <w:rFonts w:hint="eastAsia"/>
        </w:rPr>
        <w:t>（一）国家所有的土地上自然生长的森林、林木，所有权属于国家，经营单位按规定支配林木收益；</w:t>
      </w:r>
    </w:p>
    <w:p w14:paraId="4F455B77">
      <w:r>
        <w:rPr>
          <w:rFonts w:hint="eastAsia"/>
        </w:rPr>
        <w:t>（二）国有企业事业单位、机关、团体、部队营造的林木，由营造单位经营，并按照国家规定支配林木收益；</w:t>
      </w:r>
    </w:p>
    <w:p w14:paraId="66E64EF2">
      <w:r>
        <w:rPr>
          <w:rFonts w:hint="eastAsia"/>
        </w:rPr>
        <w:t>（三）法律、法规规定属于集体所有的森林、林木和集体所有制单位营造的森林、林木，归该单位所有；</w:t>
      </w:r>
    </w:p>
    <w:p w14:paraId="2478A359">
      <w:r>
        <w:rPr>
          <w:rFonts w:hint="eastAsia"/>
        </w:rPr>
        <w:t>（四）单位与单位、单位与个人、个人与个人合作营造的森林、林木，归合作各方共有；</w:t>
      </w:r>
    </w:p>
    <w:p w14:paraId="03F6BD9B">
      <w:r>
        <w:rPr>
          <w:rFonts w:hint="eastAsia"/>
        </w:rPr>
        <w:t>（五）在国家所有的土地上义务栽植的林木，归国家所有；在集体所有的土地上义务栽植的林木，归该集体所有；</w:t>
      </w:r>
    </w:p>
    <w:p w14:paraId="0F53AD27">
      <w:r>
        <w:rPr>
          <w:rFonts w:hint="eastAsia"/>
        </w:rPr>
        <w:t>（六）承包林地、租赁荒山、荒滩栽植的林木，归承包方、承租方所有，合同另有约定的，按合同规定确定林木所有权；</w:t>
      </w:r>
    </w:p>
    <w:p w14:paraId="3156C2AB">
      <w:r>
        <w:rPr>
          <w:rFonts w:hint="eastAsia"/>
        </w:rPr>
        <w:t>（七）私营企业事业单位在其合法使用的土地上营造的林木，归该单位所有；</w:t>
      </w:r>
    </w:p>
    <w:p w14:paraId="36687573">
      <w:r>
        <w:rPr>
          <w:rFonts w:hint="eastAsia"/>
        </w:rPr>
        <w:t>（八）农村居民在房前屋后、自留地、自留山上栽植的林木，归该农村居民所有。</w:t>
      </w:r>
    </w:p>
    <w:p w14:paraId="730D8182">
      <w:r>
        <w:rPr>
          <w:rFonts w:hint="eastAsia"/>
        </w:rPr>
        <w:t>林地所有权和使用权依照有关法律、法规确定。</w:t>
      </w:r>
    </w:p>
    <w:p w14:paraId="60F5D8F5">
      <w:pPr>
        <w:ind w:firstLine="422"/>
      </w:pPr>
      <w:r>
        <w:rPr>
          <w:rFonts w:hint="eastAsia"/>
          <w:b/>
        </w:rPr>
        <w:t>第十三条</w:t>
      </w:r>
      <w:r>
        <w:rPr>
          <w:rFonts w:hint="eastAsia"/>
        </w:rPr>
        <w:t xml:space="preserve">  国家所有和集体所有的森林、林木、林地，个人所有的林木和使用的林地，由区、县人民政府登记造册，发放证书，确认所有权或者使用权。</w:t>
      </w:r>
    </w:p>
    <w:p w14:paraId="7B494E15">
      <w:r>
        <w:rPr>
          <w:rFonts w:hint="eastAsia"/>
        </w:rPr>
        <w:t>市人民政府可以授权市林业行政主管部门对跨区、县的国有林场经营的森林、林木和林地登记造册，发放证书，并通知有关区、县人民政府。</w:t>
      </w:r>
    </w:p>
    <w:p w14:paraId="15BC2E4A">
      <w:pPr>
        <w:ind w:firstLine="422"/>
      </w:pPr>
      <w:r>
        <w:rPr>
          <w:rFonts w:hint="eastAsia"/>
          <w:b/>
        </w:rPr>
        <w:t>第十四条</w:t>
      </w:r>
      <w:r>
        <w:rPr>
          <w:rFonts w:hint="eastAsia"/>
        </w:rPr>
        <w:t>　林木、林地所有权和使用权发生争议，依照《中华人民共和国森林法》和有关法律、法规的规定处理。在林木、林地权属争议解决以前，任何一方不得砍伐有争议的林木。</w:t>
      </w:r>
    </w:p>
    <w:p w14:paraId="60F139DF">
      <w:pPr>
        <w:ind w:firstLine="422"/>
      </w:pPr>
      <w:r>
        <w:rPr>
          <w:rFonts w:hint="eastAsia"/>
          <w:b/>
        </w:rPr>
        <w:t>第十五条</w:t>
      </w:r>
      <w:r>
        <w:rPr>
          <w:rFonts w:hint="eastAsia"/>
        </w:rPr>
        <w:t>　用材林、经济林、薪炭林以及用材林、经济林、薪炭林的林地、火烧迹地、采伐迹地的林地使用权，可以依法转包、转让、互换、作价入股或者作为合资、合作造林、经营林木的出资、合作条件，但不得将林地改为非林地。</w:t>
      </w:r>
    </w:p>
    <w:p w14:paraId="6772BA64">
      <w:r>
        <w:rPr>
          <w:rFonts w:hint="eastAsia"/>
        </w:rPr>
        <w:t>森林、林木、林地使用权流转，双方当事人应当持林权证书、森林资源资产评估文件、合同文本等有关资料到市或者区、县林业行政主管部门办理权属变更登记。</w:t>
      </w:r>
    </w:p>
    <w:p w14:paraId="1B386750">
      <w:pPr>
        <w:ind w:firstLine="422"/>
      </w:pPr>
      <w:r>
        <w:rPr>
          <w:rFonts w:hint="eastAsia"/>
          <w:b/>
        </w:rPr>
        <w:t>第十六条</w:t>
      </w:r>
      <w:r>
        <w:rPr>
          <w:rFonts w:hint="eastAsia"/>
        </w:rPr>
        <w:t>　利用森林资源开发旅游项目的，应当持林权证书、开发规划、保护森林资源方案及其评估意见和其他有关文件，向市或者区、县林业行政主管部门提出申请，经批准后，方可办理其他手续。</w:t>
      </w:r>
    </w:p>
    <w:p w14:paraId="11AA7621">
      <w:pPr>
        <w:ind w:firstLine="422"/>
      </w:pPr>
      <w:r>
        <w:rPr>
          <w:rFonts w:hint="eastAsia"/>
          <w:b/>
        </w:rPr>
        <w:t>第十七条</w:t>
      </w:r>
      <w:r>
        <w:rPr>
          <w:rFonts w:hint="eastAsia"/>
        </w:rPr>
        <w:t>　本市对林地用途实行管制，严格限制将林地改为非林地。</w:t>
      </w:r>
    </w:p>
    <w:p w14:paraId="557C6630">
      <w:r>
        <w:rPr>
          <w:rFonts w:hint="eastAsia"/>
        </w:rPr>
        <w:t>建设工程和勘查、采矿征收、征用或者占用林地的，须经市林业行政主管部门审核同意，核定林木和地上物补偿费，依照土地管理法律、法规办理征收、征用或者占用手续。</w:t>
      </w:r>
    </w:p>
    <w:p w14:paraId="4F8AE1A9">
      <w:r>
        <w:rPr>
          <w:rFonts w:hint="eastAsia"/>
        </w:rPr>
        <w:t>征收、征用或者占用林地，用地单位应当按照规定缴纳森林植被恢复费，专款用于植树造林、森林植被恢复和森林资源管护。</w:t>
      </w:r>
    </w:p>
    <w:p w14:paraId="08613795">
      <w:pPr>
        <w:ind w:firstLine="422"/>
      </w:pPr>
      <w:r>
        <w:rPr>
          <w:rFonts w:hint="eastAsia"/>
          <w:b/>
        </w:rPr>
        <w:t>第十八条</w:t>
      </w:r>
      <w:r>
        <w:rPr>
          <w:rFonts w:hint="eastAsia"/>
        </w:rPr>
        <w:t>　未经市林业行政主管部门审核同意并报市人民政府批准，任何单位或者个人不得改变国有林业企业事业单位林木、林地的权属和用途。</w:t>
      </w:r>
    </w:p>
    <w:p w14:paraId="508043CE"/>
    <w:p w14:paraId="1FACC366">
      <w:pPr>
        <w:ind w:firstLine="0" w:firstLineChars="0"/>
        <w:jc w:val="center"/>
        <w:rPr>
          <w:b/>
          <w:sz w:val="28"/>
        </w:rPr>
      </w:pPr>
      <w:r>
        <w:rPr>
          <w:rFonts w:hint="eastAsia"/>
          <w:b/>
          <w:sz w:val="28"/>
        </w:rPr>
        <w:t>第三章　森林防火</w:t>
      </w:r>
    </w:p>
    <w:p w14:paraId="240C3AB3"/>
    <w:p w14:paraId="75C836F5">
      <w:pPr>
        <w:ind w:firstLine="422"/>
      </w:pPr>
      <w:r>
        <w:rPr>
          <w:rFonts w:hint="eastAsia"/>
          <w:b/>
        </w:rPr>
        <w:t>第十九条</w:t>
      </w:r>
      <w:r>
        <w:rPr>
          <w:rFonts w:hint="eastAsia"/>
        </w:rPr>
        <w:t>　本市实行森林防火责任制。</w:t>
      </w:r>
    </w:p>
    <w:p w14:paraId="4DAABB7B">
      <w:r>
        <w:rPr>
          <w:rFonts w:hint="eastAsia"/>
        </w:rPr>
        <w:t>各级人民政府应当加强森林防火工作，根据实际需要组织有关部门和当地驻军，设立森林防火指挥部，负责本辖区森林防火工作。</w:t>
      </w:r>
    </w:p>
    <w:p w14:paraId="134E1D4D">
      <w:pPr>
        <w:ind w:firstLine="422"/>
      </w:pPr>
      <w:r>
        <w:rPr>
          <w:rFonts w:hint="eastAsia"/>
          <w:b/>
        </w:rPr>
        <w:t>第二十条</w:t>
      </w:r>
      <w:r>
        <w:rPr>
          <w:rFonts w:hint="eastAsia"/>
        </w:rPr>
        <w:t>　林地划分为三级防火区：</w:t>
      </w:r>
    </w:p>
    <w:p w14:paraId="1A0086C1">
      <w:r>
        <w:rPr>
          <w:rFonts w:hint="eastAsia"/>
        </w:rPr>
        <w:t>一级防火区是指自然保护区、风景游览区、特种用途林地和千亩以上的有林地。</w:t>
      </w:r>
    </w:p>
    <w:p w14:paraId="556E3FFC">
      <w:pPr>
        <w:rPr>
          <w:rFonts w:hint="eastAsia" w:ascii="宋体" w:hAnsi="宋体" w:eastAsia="宋体" w:cs="宋体"/>
        </w:rPr>
      </w:pPr>
      <w:r>
        <w:rPr>
          <w:rFonts w:hint="eastAsia"/>
        </w:rPr>
        <w:t>二级防火区是指一级防火区</w:t>
      </w:r>
      <w:r>
        <w:rPr>
          <w:rFonts w:hint="eastAsia" w:ascii="宋体" w:hAnsi="宋体" w:eastAsia="宋体" w:cs="宋体"/>
        </w:rPr>
        <w:t>以外的成片有林地。</w:t>
      </w:r>
    </w:p>
    <w:p w14:paraId="5B732E5F">
      <w:pPr>
        <w:rPr>
          <w:rFonts w:hint="eastAsia" w:ascii="宋体" w:hAnsi="宋体" w:eastAsia="宋体" w:cs="宋体"/>
        </w:rPr>
      </w:pPr>
      <w:r>
        <w:rPr>
          <w:rFonts w:hint="eastAsia" w:ascii="宋体" w:hAnsi="宋体" w:eastAsia="宋体" w:cs="宋体"/>
        </w:rPr>
        <w:t>三级防火区是指护路林、护岸林、宜林地和农田林网。</w:t>
      </w:r>
    </w:p>
    <w:p w14:paraId="6293E79C">
      <w:pPr>
        <w:ind w:firstLine="422"/>
        <w:rPr>
          <w:rFonts w:hint="eastAsia" w:ascii="宋体" w:hAnsi="宋体" w:eastAsia="宋体" w:cs="宋体"/>
        </w:rPr>
      </w:pPr>
      <w:r>
        <w:rPr>
          <w:rFonts w:hint="eastAsia" w:ascii="宋体" w:hAnsi="宋体" w:eastAsia="宋体" w:cs="宋体"/>
          <w:b/>
        </w:rPr>
        <w:t>第二十一条</w:t>
      </w:r>
      <w:r>
        <w:rPr>
          <w:rFonts w:hint="eastAsia" w:ascii="宋体" w:hAnsi="宋体" w:eastAsia="宋体" w:cs="宋体"/>
        </w:rPr>
        <w:t>　有林单位应当建设森林防火设施，建立防火组织；一级、二级防火区所在区、县人民政府应当建立森林扑火队。</w:t>
      </w:r>
    </w:p>
    <w:p w14:paraId="5EA863F9">
      <w:pPr>
        <w:ind w:firstLine="422"/>
        <w:rPr>
          <w:rFonts w:hint="eastAsia" w:ascii="宋体" w:hAnsi="宋体" w:eastAsia="宋体" w:cs="宋体"/>
        </w:rPr>
      </w:pPr>
      <w:r>
        <w:rPr>
          <w:rFonts w:hint="eastAsia" w:ascii="宋体" w:hAnsi="宋体" w:eastAsia="宋体" w:cs="宋体"/>
          <w:b/>
        </w:rPr>
        <w:t>第二十二条</w:t>
      </w:r>
      <w:r>
        <w:rPr>
          <w:rFonts w:hint="eastAsia" w:ascii="宋体" w:hAnsi="宋体" w:eastAsia="宋体" w:cs="宋体"/>
        </w:rPr>
        <w:t>　每年11月1日至次年5月31日为本市森林防火期。</w:t>
      </w:r>
    </w:p>
    <w:p w14:paraId="23FC6551">
      <w:pPr>
        <w:rPr>
          <w:rFonts w:hint="eastAsia" w:ascii="宋体" w:hAnsi="宋体" w:eastAsia="宋体" w:cs="宋体"/>
        </w:rPr>
      </w:pPr>
      <w:r>
        <w:rPr>
          <w:rFonts w:hint="eastAsia" w:ascii="宋体" w:hAnsi="宋体" w:eastAsia="宋体" w:cs="宋体"/>
        </w:rPr>
        <w:t>森林防火期内，按下列规定实行用火管制：</w:t>
      </w:r>
    </w:p>
    <w:p w14:paraId="7067AAD3">
      <w:pPr>
        <w:rPr>
          <w:rFonts w:hint="eastAsia" w:ascii="宋体" w:hAnsi="宋体" w:eastAsia="宋体" w:cs="宋体"/>
        </w:rPr>
      </w:pPr>
      <w:bookmarkStart w:id="2633" w:name="_Toc428780803"/>
      <w:r>
        <w:rPr>
          <w:rFonts w:hint="eastAsia" w:ascii="宋体" w:hAnsi="宋体" w:eastAsia="宋体" w:cs="宋体"/>
        </w:rPr>
        <w:t>（一）一级防火区禁止擅自野外用火，并对居民生活用火加强管理；</w:t>
      </w:r>
      <w:bookmarkEnd w:id="2633"/>
    </w:p>
    <w:p w14:paraId="336C0E10">
      <w:pPr>
        <w:rPr>
          <w:rFonts w:hint="eastAsia" w:ascii="宋体" w:hAnsi="宋体" w:eastAsia="宋体" w:cs="宋体"/>
        </w:rPr>
      </w:pPr>
      <w:r>
        <w:rPr>
          <w:rFonts w:hint="eastAsia" w:ascii="宋体" w:hAnsi="宋体" w:eastAsia="宋体" w:cs="宋体"/>
        </w:rPr>
        <w:t>（二）二级、三级防火区禁止烧荒、点篝火、烧香烧纸、野外烧烤；</w:t>
      </w:r>
    </w:p>
    <w:p w14:paraId="0A988446">
      <w:pPr>
        <w:rPr>
          <w:rFonts w:hint="eastAsia" w:ascii="宋体" w:hAnsi="宋体" w:eastAsia="宋体" w:cs="宋体"/>
        </w:rPr>
      </w:pPr>
      <w:r>
        <w:rPr>
          <w:rFonts w:hint="eastAsia" w:ascii="宋体" w:hAnsi="宋体" w:eastAsia="宋体" w:cs="宋体"/>
        </w:rPr>
        <w:t>（三）在山区林地作业和通行的机动车辆，必须严防漏火、喷火；严禁司乘人员丢弃火种。</w:t>
      </w:r>
    </w:p>
    <w:p w14:paraId="2FFF64F5">
      <w:pPr>
        <w:rPr>
          <w:rFonts w:hint="eastAsia" w:ascii="宋体" w:hAnsi="宋体" w:eastAsia="宋体" w:cs="宋体"/>
        </w:rPr>
      </w:pPr>
      <w:r>
        <w:rPr>
          <w:rFonts w:hint="eastAsia" w:ascii="宋体" w:hAnsi="宋体" w:eastAsia="宋体" w:cs="宋体"/>
        </w:rPr>
        <w:t>因特殊需要在一级防火区生产性用火的，须经区、县人民政府或者区、县森林防火指挥部批准，核发用火许可证。在一级、二级防火区组织大型群众活动的，应当制定防火措施，并报市或者区、县森林防火指挥部批准。</w:t>
      </w:r>
    </w:p>
    <w:p w14:paraId="162F459A">
      <w:pPr>
        <w:ind w:firstLine="422"/>
        <w:rPr>
          <w:rFonts w:hint="eastAsia" w:ascii="宋体" w:hAnsi="宋体" w:eastAsia="宋体" w:cs="宋体"/>
        </w:rPr>
      </w:pPr>
      <w:r>
        <w:rPr>
          <w:rFonts w:hint="eastAsia" w:ascii="宋体" w:hAnsi="宋体" w:eastAsia="宋体" w:cs="宋体"/>
          <w:b/>
        </w:rPr>
        <w:t>第二十三条</w:t>
      </w:r>
      <w:r>
        <w:rPr>
          <w:rFonts w:hint="eastAsia" w:ascii="宋体" w:hAnsi="宋体" w:eastAsia="宋体" w:cs="宋体"/>
        </w:rPr>
        <w:t>　在森林防火期内，根据高温、干旱、大风等天气预报，由市森林防火指挥部确定并公布本市森林高火险期。</w:t>
      </w:r>
    </w:p>
    <w:p w14:paraId="484305A2">
      <w:r>
        <w:rPr>
          <w:rFonts w:hint="eastAsia" w:ascii="宋体" w:hAnsi="宋体" w:eastAsia="宋体" w:cs="宋体"/>
        </w:rPr>
        <w:t>在森林高火险期内，各级森林防火区禁止一切野外用火，禁</w:t>
      </w:r>
      <w:r>
        <w:rPr>
          <w:rFonts w:hint="eastAsia"/>
        </w:rPr>
        <w:t>止携带火种进入森林和林地。</w:t>
      </w:r>
    </w:p>
    <w:p w14:paraId="2960A13A">
      <w:pPr>
        <w:ind w:firstLine="422"/>
      </w:pPr>
      <w:r>
        <w:rPr>
          <w:rFonts w:hint="eastAsia"/>
          <w:b/>
        </w:rPr>
        <w:t>第二十四条</w:t>
      </w:r>
      <w:r>
        <w:rPr>
          <w:rFonts w:hint="eastAsia"/>
        </w:rPr>
        <w:t>　任何单位或者个人发现森林火情，应当及时向当地人民政府或者森林防火指挥部报告。当地人民政府或者森林防火指挥部必须立即组织扑救，并迅速逐级上报市森林防火指挥部。</w:t>
      </w:r>
    </w:p>
    <w:p w14:paraId="058D548B">
      <w:pPr>
        <w:ind w:firstLine="422"/>
      </w:pPr>
      <w:r>
        <w:rPr>
          <w:rFonts w:hint="eastAsia"/>
          <w:b/>
        </w:rPr>
        <w:t>第二十五条</w:t>
      </w:r>
      <w:r>
        <w:rPr>
          <w:rFonts w:hint="eastAsia"/>
        </w:rPr>
        <w:t>　森林公安机关应当加强森林防火工作检查，对有森林火灾隐患的单位，责令限期改正、消除隐患。</w:t>
      </w:r>
    </w:p>
    <w:p w14:paraId="2C7567DF">
      <w:pPr>
        <w:ind w:firstLine="422"/>
      </w:pPr>
      <w:r>
        <w:rPr>
          <w:rFonts w:hint="eastAsia"/>
          <w:b/>
        </w:rPr>
        <w:t>第二十六条</w:t>
      </w:r>
      <w:r>
        <w:rPr>
          <w:rFonts w:hint="eastAsia"/>
        </w:rPr>
        <w:t>　森林防火经费纳入各级人民政府的财政预算。</w:t>
      </w:r>
    </w:p>
    <w:p w14:paraId="065909A8"/>
    <w:p w14:paraId="3AD4BE51">
      <w:pPr>
        <w:ind w:firstLine="0" w:firstLineChars="0"/>
        <w:jc w:val="center"/>
        <w:rPr>
          <w:b/>
          <w:sz w:val="28"/>
        </w:rPr>
      </w:pPr>
      <w:r>
        <w:rPr>
          <w:rFonts w:hint="eastAsia"/>
          <w:b/>
          <w:sz w:val="28"/>
        </w:rPr>
        <w:t>第四章　森林病虫害防治</w:t>
      </w:r>
    </w:p>
    <w:p w14:paraId="0583EFA6"/>
    <w:p w14:paraId="3CAA6A20">
      <w:pPr>
        <w:ind w:firstLine="422"/>
      </w:pPr>
      <w:r>
        <w:rPr>
          <w:rFonts w:hint="eastAsia"/>
          <w:b/>
        </w:rPr>
        <w:t>第二十七条</w:t>
      </w:r>
      <w:r>
        <w:rPr>
          <w:rFonts w:hint="eastAsia"/>
        </w:rPr>
        <w:t>　本市各级林业行政主管部门应当组织建立无检疫对象的林木种苗繁育基地和母树林基地；依法实行产地和调运检疫，防止检疫对象传播；对新传入的危险性病虫害采取封锁和扑灭措施。</w:t>
      </w:r>
    </w:p>
    <w:p w14:paraId="3FB09856">
      <w:r>
        <w:rPr>
          <w:rFonts w:hint="eastAsia"/>
        </w:rPr>
        <w:t>营林单位育苗或者造林，不得使用带有危险性病、虫的林木种苗。</w:t>
      </w:r>
    </w:p>
    <w:p w14:paraId="33EC7A60">
      <w:pPr>
        <w:ind w:firstLine="422"/>
      </w:pPr>
      <w:r>
        <w:rPr>
          <w:rFonts w:hint="eastAsia"/>
          <w:b/>
        </w:rPr>
        <w:t>第二十八条</w:t>
      </w:r>
      <w:r>
        <w:rPr>
          <w:rFonts w:hint="eastAsia"/>
        </w:rPr>
        <w:t>　森林病虫害防治机构应当加强森林病虫害的预测预报，发布森林病虫害趋势预报，提出防治方案。</w:t>
      </w:r>
    </w:p>
    <w:p w14:paraId="23EEE3C7">
      <w:pPr>
        <w:ind w:firstLine="422"/>
      </w:pPr>
      <w:r>
        <w:rPr>
          <w:rFonts w:hint="eastAsia"/>
          <w:b/>
        </w:rPr>
        <w:t>第二十九条</w:t>
      </w:r>
      <w:r>
        <w:rPr>
          <w:rFonts w:hint="eastAsia"/>
        </w:rPr>
        <w:t>　森林病虫害防治，按照“谁经营、谁防治”的原则，由营林单位或者个人负责。</w:t>
      </w:r>
    </w:p>
    <w:p w14:paraId="618DCF42">
      <w:r>
        <w:rPr>
          <w:rFonts w:hint="eastAsia"/>
        </w:rPr>
        <w:t>发生暴发性或者危险性的森林病虫害时，当地人民政府应当根据实际需要，组织有关部门建立森林病虫害防治临时指挥机构，采取紧急除治措施。</w:t>
      </w:r>
    </w:p>
    <w:p w14:paraId="714F7E2C">
      <w:pPr>
        <w:ind w:firstLine="422"/>
      </w:pPr>
      <w:r>
        <w:rPr>
          <w:rFonts w:hint="eastAsia"/>
          <w:b/>
        </w:rPr>
        <w:t>第三十条</w:t>
      </w:r>
      <w:r>
        <w:rPr>
          <w:rFonts w:hint="eastAsia"/>
        </w:rPr>
        <w:t>　生态公益林病虫害防治费用纳入市和区、县财政预算，商品林病虫害防治费用由营林单位或者个人负担。</w:t>
      </w:r>
    </w:p>
    <w:p w14:paraId="1DF85ED8">
      <w:r>
        <w:rPr>
          <w:rFonts w:hint="eastAsia"/>
        </w:rPr>
        <w:t>发生大面积暴发性和危险性的森林病虫害，由市或者区、县人民政府和营林单位或者个人共同负担防治费用。</w:t>
      </w:r>
    </w:p>
    <w:p w14:paraId="0EED0D20"/>
    <w:p w14:paraId="412B969F">
      <w:pPr>
        <w:ind w:firstLine="0" w:firstLineChars="0"/>
        <w:jc w:val="center"/>
        <w:rPr>
          <w:b/>
          <w:sz w:val="28"/>
        </w:rPr>
      </w:pPr>
      <w:r>
        <w:rPr>
          <w:rFonts w:hint="eastAsia"/>
          <w:b/>
          <w:sz w:val="28"/>
        </w:rPr>
        <w:t>第五章　森林采伐</w:t>
      </w:r>
    </w:p>
    <w:p w14:paraId="1B8D89CA"/>
    <w:p w14:paraId="4A42874B">
      <w:pPr>
        <w:ind w:firstLine="422"/>
      </w:pPr>
      <w:r>
        <w:rPr>
          <w:rFonts w:hint="eastAsia"/>
          <w:b/>
        </w:rPr>
        <w:t>第三十一条</w:t>
      </w:r>
      <w:r>
        <w:rPr>
          <w:rFonts w:hint="eastAsia"/>
        </w:rPr>
        <w:t>　禁止采伐具有特殊保护价值的天然林，其他森林、林木采伐应当严格控制，实行限额管理。</w:t>
      </w:r>
    </w:p>
    <w:p w14:paraId="4E452BAC">
      <w:r>
        <w:rPr>
          <w:rFonts w:hint="eastAsia"/>
        </w:rPr>
        <w:t>市和区、县林业行政主管部门必须在采伐限额内核发采伐许可证，不得超限额审批。</w:t>
      </w:r>
    </w:p>
    <w:p w14:paraId="7A6127E5">
      <w:r>
        <w:rPr>
          <w:rFonts w:hint="eastAsia"/>
        </w:rPr>
        <w:t>采伐单位或者个人必须按采伐许可证规定的数量、地点、树种进行采伐，不得超采。</w:t>
      </w:r>
    </w:p>
    <w:p w14:paraId="0A96856E">
      <w:pPr>
        <w:ind w:firstLine="422"/>
        <w:rPr>
          <w:rFonts w:hint="eastAsia" w:ascii="宋体" w:hAnsi="宋体" w:eastAsia="宋体" w:cs="宋体"/>
        </w:rPr>
      </w:pPr>
      <w:r>
        <w:rPr>
          <w:rFonts w:hint="eastAsia"/>
          <w:b/>
        </w:rPr>
        <w:t>第三十二条</w:t>
      </w:r>
      <w:r>
        <w:rPr>
          <w:rFonts w:hint="eastAsia"/>
        </w:rPr>
        <w:t>　采伐</w:t>
      </w:r>
      <w:r>
        <w:rPr>
          <w:rFonts w:hint="eastAsia" w:ascii="宋体" w:hAnsi="宋体" w:eastAsia="宋体" w:cs="宋体"/>
        </w:rPr>
        <w:t>林木必须申请林木采伐许可证；农村居民采伐自留地、房前屋后个人所有的零星林木以及采伐薪炭林除外。</w:t>
      </w:r>
    </w:p>
    <w:p w14:paraId="68689363">
      <w:pPr>
        <w:rPr>
          <w:rFonts w:hint="eastAsia" w:ascii="宋体" w:hAnsi="宋体" w:eastAsia="宋体" w:cs="宋体"/>
        </w:rPr>
      </w:pPr>
      <w:r>
        <w:rPr>
          <w:rFonts w:hint="eastAsia" w:ascii="宋体" w:hAnsi="宋体" w:eastAsia="宋体" w:cs="宋体"/>
        </w:rPr>
        <w:t>市林业、公路、铁路、水利、矿务等部门和部队采伐林木，由市林业行政主管部门核发林木采伐许可证；其他机关及企业事业单位、团体、组织或者个人采伐林木，由所在区、县林业行政主管部门核发林木采伐许可证。</w:t>
      </w:r>
    </w:p>
    <w:p w14:paraId="7479C52A">
      <w:pPr>
        <w:rPr>
          <w:rFonts w:hint="eastAsia" w:ascii="宋体" w:hAnsi="宋体" w:eastAsia="宋体" w:cs="宋体"/>
        </w:rPr>
      </w:pPr>
      <w:r>
        <w:rPr>
          <w:rFonts w:hint="eastAsia" w:ascii="宋体" w:hAnsi="宋体" w:eastAsia="宋体" w:cs="宋体"/>
        </w:rPr>
        <w:t>采伐林木的审批权限由市人民政府规定。</w:t>
      </w:r>
    </w:p>
    <w:p w14:paraId="62E4DE6F">
      <w:pPr>
        <w:rPr>
          <w:rFonts w:hint="eastAsia" w:ascii="宋体" w:hAnsi="宋体" w:eastAsia="宋体" w:cs="宋体"/>
        </w:rPr>
      </w:pPr>
      <w:r>
        <w:rPr>
          <w:rFonts w:hint="eastAsia" w:ascii="宋体" w:hAnsi="宋体" w:eastAsia="宋体" w:cs="宋体"/>
        </w:rPr>
        <w:t>林木采伐许可证由市林业行政主管部门统一印制。</w:t>
      </w:r>
    </w:p>
    <w:p w14:paraId="1210882A">
      <w:pPr>
        <w:ind w:firstLine="422"/>
        <w:rPr>
          <w:rFonts w:hint="eastAsia" w:ascii="宋体" w:hAnsi="宋体" w:eastAsia="宋体" w:cs="宋体"/>
        </w:rPr>
      </w:pPr>
      <w:r>
        <w:rPr>
          <w:rFonts w:hint="eastAsia" w:ascii="宋体" w:hAnsi="宋体" w:eastAsia="宋体" w:cs="宋体"/>
          <w:b/>
        </w:rPr>
        <w:t>第三十三条</w:t>
      </w:r>
      <w:r>
        <w:rPr>
          <w:rFonts w:hint="eastAsia" w:ascii="宋体" w:hAnsi="宋体" w:eastAsia="宋体" w:cs="宋体"/>
        </w:rPr>
        <w:t>　每年10月15日至次年3月31日为本市林木采伐期。采伐森林和林木必须遵守下列规定：</w:t>
      </w:r>
    </w:p>
    <w:p w14:paraId="322150D7">
      <w:pPr>
        <w:rPr>
          <w:rFonts w:hint="eastAsia" w:ascii="宋体" w:hAnsi="宋体" w:eastAsia="宋体" w:cs="宋体"/>
        </w:rPr>
      </w:pPr>
      <w:r>
        <w:rPr>
          <w:rFonts w:hint="eastAsia" w:ascii="宋体" w:hAnsi="宋体" w:eastAsia="宋体" w:cs="宋体"/>
        </w:rPr>
        <w:t>（一）成熟的用材林应当根据不同情况，分别采取择伐、皆伐和渐伐方式，皆伐应当严格控制，并在采伐的当年或者次年内完成更新造林；</w:t>
      </w:r>
    </w:p>
    <w:p w14:paraId="08E0F921">
      <w:pPr>
        <w:rPr>
          <w:rFonts w:hint="eastAsia" w:ascii="宋体" w:hAnsi="宋体" w:eastAsia="宋体" w:cs="宋体"/>
        </w:rPr>
      </w:pPr>
      <w:r>
        <w:rPr>
          <w:rFonts w:hint="eastAsia" w:ascii="宋体" w:hAnsi="宋体" w:eastAsia="宋体" w:cs="宋体"/>
        </w:rPr>
        <w:t>（二）防护林和特种用途林中的国防林、母树林、环境保护林、风景林、实验林，只准进行抚育和更新性质的采伐；</w:t>
      </w:r>
    </w:p>
    <w:p w14:paraId="046A1969">
      <w:pPr>
        <w:rPr>
          <w:rFonts w:hint="eastAsia" w:ascii="宋体" w:hAnsi="宋体" w:eastAsia="宋体" w:cs="宋体"/>
        </w:rPr>
      </w:pPr>
      <w:r>
        <w:rPr>
          <w:rFonts w:hint="eastAsia" w:ascii="宋体" w:hAnsi="宋体" w:eastAsia="宋体" w:cs="宋体"/>
        </w:rPr>
        <w:t>（三）特种用途林中的名胜古迹和革命纪念地的林木、自然保护区的森林，禁止采伐。</w:t>
      </w:r>
    </w:p>
    <w:p w14:paraId="7DF14103">
      <w:pPr>
        <w:rPr>
          <w:rFonts w:hint="eastAsia" w:ascii="宋体" w:hAnsi="宋体" w:eastAsia="宋体" w:cs="宋体"/>
        </w:rPr>
      </w:pPr>
      <w:r>
        <w:rPr>
          <w:rFonts w:hint="eastAsia" w:ascii="宋体" w:hAnsi="宋体" w:eastAsia="宋体" w:cs="宋体"/>
        </w:rPr>
        <w:t>在非采伐期内，因特殊情况需要采伐林木，须经市林业行政主管部门批准，法律、法规另有规定的除外。</w:t>
      </w:r>
    </w:p>
    <w:p w14:paraId="1B017899">
      <w:pPr>
        <w:ind w:firstLine="422"/>
      </w:pPr>
      <w:r>
        <w:rPr>
          <w:rFonts w:hint="eastAsia" w:ascii="宋体" w:hAnsi="宋体" w:eastAsia="宋体" w:cs="宋体"/>
          <w:b/>
        </w:rPr>
        <w:t>第三十四条</w:t>
      </w:r>
      <w:r>
        <w:rPr>
          <w:rFonts w:hint="eastAsia" w:ascii="宋体" w:hAnsi="宋体" w:eastAsia="宋体" w:cs="宋体"/>
        </w:rPr>
        <w:t>　国有林场申请林木采伐许可证时，必须持林权证书并提交</w:t>
      </w:r>
      <w:r>
        <w:rPr>
          <w:rFonts w:hint="eastAsia"/>
        </w:rPr>
        <w:t>伐区调查设计文件和国家规定的其他文件。其他单位申请林木采伐许可证时，必须持林权证书并提交具有采伐目的、地点、林种、树种、林龄、株数（或者面积）、蓄积、方式、更新抚育措施等内容的文件和国家规定的其他文件。</w:t>
      </w:r>
    </w:p>
    <w:p w14:paraId="41F41B30">
      <w:pPr>
        <w:ind w:firstLine="422"/>
      </w:pPr>
      <w:r>
        <w:rPr>
          <w:rFonts w:hint="eastAsia"/>
          <w:b/>
        </w:rPr>
        <w:t>第三十五条</w:t>
      </w:r>
      <w:r>
        <w:rPr>
          <w:rFonts w:hint="eastAsia"/>
        </w:rPr>
        <w:t>　采伐林木的单位或者个人，必须按照国家有关规定缴纳育林费。</w:t>
      </w:r>
    </w:p>
    <w:p w14:paraId="3F4603E0">
      <w:pPr>
        <w:ind w:firstLine="422"/>
      </w:pPr>
      <w:r>
        <w:rPr>
          <w:rFonts w:hint="eastAsia"/>
          <w:b/>
        </w:rPr>
        <w:t>第三十六条</w:t>
      </w:r>
      <w:r>
        <w:rPr>
          <w:rFonts w:hint="eastAsia"/>
        </w:rPr>
        <w:t>　因特殊情况需要移植林木的，应当经市或者区、县林业行政主管部门批准，并按照有关技术规范施工。</w:t>
      </w:r>
    </w:p>
    <w:p w14:paraId="19311980">
      <w:pPr>
        <w:ind w:firstLine="422"/>
      </w:pPr>
      <w:r>
        <w:rPr>
          <w:rFonts w:hint="eastAsia"/>
          <w:b/>
        </w:rPr>
        <w:t>第三十七条</w:t>
      </w:r>
      <w:r>
        <w:rPr>
          <w:rFonts w:hint="eastAsia"/>
        </w:rPr>
        <w:t>　根据国家规定设立的木材检查站，应当加强木材运输检查和森林植物检疫检查。</w:t>
      </w:r>
    </w:p>
    <w:p w14:paraId="3F1E788F">
      <w:pPr>
        <w:ind w:firstLine="422"/>
      </w:pPr>
      <w:r>
        <w:rPr>
          <w:rFonts w:hint="eastAsia"/>
          <w:b/>
        </w:rPr>
        <w:t>第三十八条</w:t>
      </w:r>
      <w:r>
        <w:rPr>
          <w:rFonts w:hint="eastAsia"/>
        </w:rPr>
        <w:t>　禁止毁林开垦和毁林采石、挖砂、取土、筑坟、堆物堆料及其他毁林行为。</w:t>
      </w:r>
    </w:p>
    <w:p w14:paraId="7E73440C">
      <w:r>
        <w:rPr>
          <w:rFonts w:hint="eastAsia"/>
        </w:rPr>
        <w:t>禁止在幼林地、特种用途林地和封山育林区内砍柴、放牧。</w:t>
      </w:r>
    </w:p>
    <w:p w14:paraId="56E7DF81"/>
    <w:p w14:paraId="305F5899">
      <w:pPr>
        <w:ind w:firstLine="0" w:firstLineChars="0"/>
        <w:jc w:val="center"/>
        <w:rPr>
          <w:b/>
          <w:sz w:val="28"/>
        </w:rPr>
      </w:pPr>
      <w:r>
        <w:rPr>
          <w:rFonts w:hint="eastAsia"/>
          <w:b/>
          <w:sz w:val="28"/>
        </w:rPr>
        <w:t>第六章　法律责任</w:t>
      </w:r>
    </w:p>
    <w:p w14:paraId="517EEA26"/>
    <w:p w14:paraId="171C53B8">
      <w:pPr>
        <w:ind w:firstLine="422"/>
        <w:rPr>
          <w:rFonts w:hint="eastAsia" w:ascii="宋体" w:hAnsi="宋体" w:eastAsia="宋体" w:cs="宋体"/>
        </w:rPr>
      </w:pPr>
      <w:r>
        <w:rPr>
          <w:rFonts w:hint="eastAsia"/>
          <w:b/>
        </w:rPr>
        <w:t>第三十九条</w:t>
      </w:r>
      <w:r>
        <w:rPr>
          <w:rFonts w:hint="eastAsia"/>
        </w:rPr>
        <w:t>　盗伐森林或者其他林木的，依法赔偿损失；由市或者区、县林业行政主管部门责令补种盗伐</w:t>
      </w:r>
      <w:r>
        <w:rPr>
          <w:rFonts w:hint="eastAsia" w:ascii="宋体" w:hAnsi="宋体" w:eastAsia="宋体" w:cs="宋体"/>
        </w:rPr>
        <w:t>株数10倍的树木，没收盗伐的林木或者变卖所得，并处盗伐林木价值3倍以上10倍以下的罚款。</w:t>
      </w:r>
    </w:p>
    <w:p w14:paraId="14BBCE4C">
      <w:pPr>
        <w:rPr>
          <w:rFonts w:hint="eastAsia" w:ascii="宋体" w:hAnsi="宋体" w:eastAsia="宋体" w:cs="宋体"/>
        </w:rPr>
      </w:pPr>
      <w:r>
        <w:rPr>
          <w:rFonts w:hint="eastAsia" w:ascii="宋体" w:hAnsi="宋体" w:eastAsia="宋体" w:cs="宋体"/>
        </w:rPr>
        <w:t>滥伐森林或者其他林木，由市或者区、县林业行政主管部门责令补种滥伐株数5倍的树木，并处滥伐林木价值2倍以上5倍以下的罚款。</w:t>
      </w:r>
    </w:p>
    <w:p w14:paraId="2EEF9564">
      <w:pPr>
        <w:rPr>
          <w:rFonts w:hint="eastAsia" w:ascii="宋体" w:hAnsi="宋体" w:eastAsia="宋体" w:cs="宋体"/>
        </w:rPr>
      </w:pPr>
      <w:r>
        <w:rPr>
          <w:rFonts w:hint="eastAsia" w:ascii="宋体" w:hAnsi="宋体" w:eastAsia="宋体" w:cs="宋体"/>
        </w:rPr>
        <w:t>盗伐、滥伐森林或者其他林木，构成犯罪的，依法追究刑事责任。</w:t>
      </w:r>
    </w:p>
    <w:p w14:paraId="6427109D">
      <w:pPr>
        <w:ind w:firstLine="422"/>
        <w:rPr>
          <w:rFonts w:hint="eastAsia" w:ascii="宋体" w:hAnsi="宋体" w:eastAsia="宋体" w:cs="宋体"/>
        </w:rPr>
      </w:pPr>
      <w:r>
        <w:rPr>
          <w:rFonts w:hint="eastAsia" w:ascii="宋体" w:hAnsi="宋体" w:eastAsia="宋体" w:cs="宋体"/>
          <w:b/>
        </w:rPr>
        <w:t>第四十条</w:t>
      </w:r>
      <w:r>
        <w:rPr>
          <w:rFonts w:hint="eastAsia" w:ascii="宋体" w:hAnsi="宋体" w:eastAsia="宋体" w:cs="宋体"/>
        </w:rPr>
        <w:t>　违反本条例第十五条、第十七条规定，擅自将林地改为非林地的，由市或者区、县林业行政主管部门责令停止违法行为；未经批准将林地改为建设用地的，由土地行政主管部门按照有关法律、法规的规定处理。</w:t>
      </w:r>
    </w:p>
    <w:p w14:paraId="2FA3BBD5">
      <w:pPr>
        <w:ind w:firstLine="422"/>
        <w:rPr>
          <w:rFonts w:hint="eastAsia" w:ascii="宋体" w:hAnsi="宋体" w:eastAsia="宋体" w:cs="宋体"/>
        </w:rPr>
      </w:pPr>
      <w:r>
        <w:rPr>
          <w:rFonts w:hint="eastAsia" w:ascii="宋体" w:hAnsi="宋体" w:eastAsia="宋体" w:cs="宋体"/>
          <w:b/>
        </w:rPr>
        <w:t>第四十一条</w:t>
      </w:r>
      <w:r>
        <w:rPr>
          <w:rFonts w:hint="eastAsia" w:ascii="宋体" w:hAnsi="宋体" w:eastAsia="宋体" w:cs="宋体"/>
        </w:rPr>
        <w:t>　违反本条例第十六条规定，未经市或者区、县林业行政主管部门批准，擅自利用森林资源开发旅游项目造成林木损害的，由市或者区、县林业行政主管部门责令停止经营，没收违法所得，可以并处5000元至5万元的罚款。</w:t>
      </w:r>
    </w:p>
    <w:p w14:paraId="107EFE29">
      <w:pPr>
        <w:ind w:firstLine="422"/>
        <w:rPr>
          <w:rFonts w:hint="eastAsia" w:ascii="宋体" w:hAnsi="宋体" w:eastAsia="宋体" w:cs="宋体"/>
        </w:rPr>
      </w:pPr>
      <w:r>
        <w:rPr>
          <w:rFonts w:hint="eastAsia" w:ascii="宋体" w:hAnsi="宋体" w:eastAsia="宋体" w:cs="宋体"/>
          <w:b/>
        </w:rPr>
        <w:t>第四十二条</w:t>
      </w:r>
      <w:r>
        <w:rPr>
          <w:rFonts w:hint="eastAsia" w:ascii="宋体" w:hAnsi="宋体" w:eastAsia="宋体" w:cs="宋体"/>
        </w:rPr>
        <w:t>　违反本条例第二十二条、第二十三条用火规定的，按照《森林防火条例》有关规定处罚。</w:t>
      </w:r>
    </w:p>
    <w:p w14:paraId="7F31F674">
      <w:pPr>
        <w:ind w:firstLine="422"/>
        <w:rPr>
          <w:rFonts w:hint="eastAsia" w:ascii="宋体" w:hAnsi="宋体" w:eastAsia="宋体" w:cs="宋体"/>
        </w:rPr>
      </w:pPr>
      <w:r>
        <w:rPr>
          <w:rFonts w:hint="eastAsia" w:ascii="宋体" w:hAnsi="宋体" w:eastAsia="宋体" w:cs="宋体"/>
          <w:b/>
        </w:rPr>
        <w:t>第四十三条</w:t>
      </w:r>
      <w:r>
        <w:rPr>
          <w:rFonts w:hint="eastAsia" w:ascii="宋体" w:hAnsi="宋体" w:eastAsia="宋体" w:cs="宋体"/>
        </w:rPr>
        <w:t>　违反本条例第二十五条规定，未在规定期限内消除森林火灾隐患的，由市或者区、县林业行政主管部门对单位处以500元以上2000元以下的罚款，对责任人可以处500元以下的罚款。</w:t>
      </w:r>
    </w:p>
    <w:p w14:paraId="53C66555">
      <w:pPr>
        <w:ind w:firstLine="422"/>
        <w:rPr>
          <w:rFonts w:hint="eastAsia" w:ascii="宋体" w:hAnsi="宋体" w:eastAsia="宋体" w:cs="宋体"/>
        </w:rPr>
      </w:pPr>
      <w:r>
        <w:rPr>
          <w:rFonts w:hint="eastAsia" w:ascii="宋体" w:hAnsi="宋体" w:eastAsia="宋体" w:cs="宋体"/>
          <w:b/>
        </w:rPr>
        <w:t>第四十四条</w:t>
      </w:r>
      <w:r>
        <w:rPr>
          <w:rFonts w:hint="eastAsia" w:ascii="宋体" w:hAnsi="宋体" w:eastAsia="宋体" w:cs="宋体"/>
        </w:rPr>
        <w:t>　违反本条例第二十七条、第二十九条规定的，按照《森林病虫害防治条例》有关规定处罚。</w:t>
      </w:r>
    </w:p>
    <w:p w14:paraId="2646D4D4">
      <w:pPr>
        <w:ind w:firstLine="422"/>
        <w:rPr>
          <w:rFonts w:hint="eastAsia" w:ascii="宋体" w:hAnsi="宋体" w:eastAsia="宋体" w:cs="宋体"/>
        </w:rPr>
      </w:pPr>
      <w:r>
        <w:rPr>
          <w:rFonts w:hint="eastAsia" w:ascii="宋体" w:hAnsi="宋体" w:eastAsia="宋体" w:cs="宋体"/>
          <w:b/>
        </w:rPr>
        <w:t>第四十五条</w:t>
      </w:r>
      <w:r>
        <w:rPr>
          <w:rFonts w:hint="eastAsia" w:ascii="宋体" w:hAnsi="宋体" w:eastAsia="宋体" w:cs="宋体"/>
        </w:rPr>
        <w:t>　违反本条例第三十一条规定，超过批准的年采伐限额发放林木采伐许可证、越权发放林木采伐许可证的，由上一级林业行政主管部门责令纠正，对直接负责的主管人员和其他直接责任人员依法给予行政处分；构成犯罪的，依法追究刑事责任。</w:t>
      </w:r>
    </w:p>
    <w:p w14:paraId="498C9143">
      <w:pPr>
        <w:ind w:firstLine="422"/>
        <w:rPr>
          <w:rFonts w:hint="eastAsia" w:ascii="宋体" w:hAnsi="宋体" w:eastAsia="宋体" w:cs="宋体"/>
        </w:rPr>
      </w:pPr>
      <w:r>
        <w:rPr>
          <w:rFonts w:hint="eastAsia" w:ascii="宋体" w:hAnsi="宋体" w:eastAsia="宋体" w:cs="宋体"/>
          <w:b/>
        </w:rPr>
        <w:t>第四十六条</w:t>
      </w:r>
      <w:r>
        <w:rPr>
          <w:rFonts w:hint="eastAsia" w:ascii="宋体" w:hAnsi="宋体" w:eastAsia="宋体" w:cs="宋体"/>
        </w:rPr>
        <w:t>　违反本条例第三十三条第一款规定，采伐林木的单位或者个人没有按照规定完成更新造林任务的，发放林木采伐许可证的部门有权不再核发林木采伐许可证，直到其完成更新造林为止；情节严重的，可以由市或者区、县林业行政主管部门处以3万元以下的罚款，对直接责任人员由所在单位或者上级主管机关给予行政处分。</w:t>
      </w:r>
    </w:p>
    <w:p w14:paraId="385C69D2">
      <w:pPr>
        <w:ind w:firstLine="422"/>
        <w:rPr>
          <w:rFonts w:hint="eastAsia" w:ascii="宋体" w:hAnsi="宋体" w:eastAsia="宋体" w:cs="宋体"/>
        </w:rPr>
      </w:pPr>
      <w:r>
        <w:rPr>
          <w:rFonts w:hint="eastAsia" w:ascii="宋体" w:hAnsi="宋体" w:eastAsia="宋体" w:cs="宋体"/>
          <w:b/>
        </w:rPr>
        <w:t>第四十七条</w:t>
      </w:r>
      <w:r>
        <w:rPr>
          <w:rFonts w:hint="eastAsia" w:ascii="宋体" w:hAnsi="宋体" w:eastAsia="宋体" w:cs="宋体"/>
        </w:rPr>
        <w:t>　违反本条例第三十六条规定，未经批准移植林木的，由市或者区、县林业行政主管部门责令补种；情节严重的，按照滥伐林木的有关规定处理。</w:t>
      </w:r>
    </w:p>
    <w:p w14:paraId="2E407690">
      <w:pPr>
        <w:ind w:firstLine="422"/>
        <w:rPr>
          <w:rFonts w:hint="eastAsia" w:ascii="宋体" w:hAnsi="宋体" w:eastAsia="宋体" w:cs="宋体"/>
        </w:rPr>
      </w:pPr>
      <w:r>
        <w:rPr>
          <w:rFonts w:hint="eastAsia" w:ascii="宋体" w:hAnsi="宋体" w:eastAsia="宋体" w:cs="宋体"/>
          <w:b/>
        </w:rPr>
        <w:t>第四十八条</w:t>
      </w:r>
      <w:r>
        <w:rPr>
          <w:rFonts w:hint="eastAsia" w:ascii="宋体" w:hAnsi="宋体" w:eastAsia="宋体" w:cs="宋体"/>
        </w:rPr>
        <w:t>　违反本条例第三十八条第一款规定，毁林开垦或者毁林采石、挖砂、取土、筑坟、堆物堆料及其他毁林行为，致使森林、林木受到毁坏的，依法赔偿损失；由市或者区、县林业行政主管部门责令停止违法行为，补种毁坏株数1倍以上3倍以下的树木，可以处毁坏林木价值1倍以上5倍以下的罚款。</w:t>
      </w:r>
    </w:p>
    <w:p w14:paraId="7EA10853">
      <w:pPr>
        <w:rPr>
          <w:rFonts w:hint="eastAsia" w:ascii="宋体" w:hAnsi="宋体" w:eastAsia="宋体" w:cs="宋体"/>
        </w:rPr>
      </w:pPr>
      <w:r>
        <w:rPr>
          <w:rFonts w:hint="eastAsia" w:ascii="宋体" w:hAnsi="宋体" w:eastAsia="宋体" w:cs="宋体"/>
        </w:rPr>
        <w:t>违反本条例第三十八条第二款规定，在幼林地、特种用途林地和封山育林区内砍柴、放牧，致使森林、林木受到毁坏的，依法赔偿损失；由市或者区、县林业行政主管部门责令停止违法行为，补种毁坏株数1倍以上3倍以下的树木。</w:t>
      </w:r>
    </w:p>
    <w:p w14:paraId="0587820B">
      <w:pPr>
        <w:ind w:firstLine="422"/>
        <w:rPr>
          <w:rFonts w:hint="eastAsia" w:ascii="宋体" w:hAnsi="宋体" w:eastAsia="宋体" w:cs="宋体"/>
        </w:rPr>
      </w:pPr>
      <w:r>
        <w:rPr>
          <w:rFonts w:hint="eastAsia" w:ascii="宋体" w:hAnsi="宋体" w:eastAsia="宋体" w:cs="宋体"/>
          <w:b/>
        </w:rPr>
        <w:t>第四十九条</w:t>
      </w:r>
      <w:r>
        <w:rPr>
          <w:rFonts w:hint="eastAsia" w:ascii="宋体" w:hAnsi="宋体" w:eastAsia="宋体" w:cs="宋体"/>
        </w:rPr>
        <w:t>　从事森林资源保护、林业监督管理工作的林业主管部门的工作人员和其他国家机关的有关工作人员滥用职权、玩忽职守、徇私舞弊，构成犯罪的，依法追究刑事责任；尚不构成犯罪的，依法给予行政处分。</w:t>
      </w:r>
    </w:p>
    <w:p w14:paraId="1E585CFA">
      <w:pPr>
        <w:ind w:firstLine="422"/>
        <w:rPr>
          <w:rFonts w:hint="eastAsia" w:ascii="宋体" w:hAnsi="宋体" w:eastAsia="宋体" w:cs="宋体"/>
        </w:rPr>
      </w:pPr>
      <w:r>
        <w:rPr>
          <w:rFonts w:hint="eastAsia" w:ascii="宋体" w:hAnsi="宋体" w:eastAsia="宋体" w:cs="宋体"/>
          <w:b/>
        </w:rPr>
        <w:t>第五十条</w:t>
      </w:r>
      <w:r>
        <w:rPr>
          <w:rFonts w:hint="eastAsia" w:ascii="宋体" w:hAnsi="宋体" w:eastAsia="宋体" w:cs="宋体"/>
        </w:rPr>
        <w:t>　森林资源的损失鉴定，由市林业行政主管部门认定的专业机构承担。鉴定标准，由市林业行政主管部门制定。</w:t>
      </w:r>
    </w:p>
    <w:p w14:paraId="185EA23C"/>
    <w:p w14:paraId="0B35ABD8">
      <w:pPr>
        <w:ind w:firstLine="0" w:firstLineChars="0"/>
        <w:jc w:val="center"/>
        <w:rPr>
          <w:b/>
          <w:sz w:val="28"/>
        </w:rPr>
      </w:pPr>
      <w:r>
        <w:rPr>
          <w:rFonts w:hint="eastAsia"/>
          <w:b/>
          <w:sz w:val="28"/>
        </w:rPr>
        <w:t>第七章　附　则</w:t>
      </w:r>
    </w:p>
    <w:p w14:paraId="71916553"/>
    <w:p w14:paraId="3768B8A6">
      <w:pPr>
        <w:ind w:firstLine="422"/>
        <w:rPr>
          <w:rFonts w:hint="eastAsia" w:ascii="宋体" w:hAnsi="宋体" w:eastAsia="宋体" w:cs="宋体"/>
        </w:rPr>
      </w:pPr>
      <w:r>
        <w:rPr>
          <w:rFonts w:hint="eastAsia"/>
          <w:b/>
        </w:rPr>
        <w:t>第五十一条</w:t>
      </w:r>
      <w:r>
        <w:rPr>
          <w:rFonts w:hint="eastAsia"/>
        </w:rPr>
        <w:t>　</w:t>
      </w:r>
      <w:r>
        <w:rPr>
          <w:rFonts w:hint="eastAsia" w:ascii="宋体" w:hAnsi="宋体" w:eastAsia="宋体" w:cs="宋体"/>
        </w:rPr>
        <w:t>本条例自1999年11月1日起施行。</w:t>
      </w:r>
    </w:p>
    <w:p w14:paraId="226D1AF6">
      <w:r>
        <w:rPr>
          <w:rFonts w:hint="eastAsia" w:ascii="宋体" w:hAnsi="宋体" w:eastAsia="宋体" w:cs="宋体"/>
        </w:rPr>
        <w:t>1985年8月3日</w:t>
      </w:r>
      <w:r>
        <w:rPr>
          <w:rFonts w:hint="eastAsia" w:ascii="宋体" w:hAnsi="宋体" w:cs="宋体"/>
          <w:lang w:eastAsia="zh-CN"/>
        </w:rPr>
        <w:t>市第八届人民代表大会常务委员会第二十二次会议</w:t>
      </w:r>
      <w:r>
        <w:rPr>
          <w:rFonts w:hint="eastAsia" w:ascii="宋体" w:hAnsi="宋体" w:eastAsia="宋体" w:cs="宋体"/>
        </w:rPr>
        <w:t>通过、1997年10月15日</w:t>
      </w:r>
      <w:r>
        <w:rPr>
          <w:rFonts w:hint="eastAsia" w:ascii="宋体" w:hAnsi="宋体" w:cs="宋体"/>
          <w:lang w:eastAsia="zh-CN"/>
        </w:rPr>
        <w:t>市第十届人民代表大会常务委员会第四十次会议</w:t>
      </w:r>
      <w:r>
        <w:rPr>
          <w:rFonts w:hint="eastAsia" w:ascii="宋体" w:hAnsi="宋体" w:eastAsia="宋体" w:cs="宋体"/>
        </w:rPr>
        <w:t>修正的《北京市农村林木资源保护管理条例》同时废</w:t>
      </w:r>
      <w:r>
        <w:rPr>
          <w:rFonts w:hint="eastAsia"/>
        </w:rPr>
        <w:t>止。</w:t>
      </w:r>
    </w:p>
    <w:p w14:paraId="2C34E359">
      <w:pPr>
        <w:pStyle w:val="4"/>
        <w:pageBreakBefore/>
      </w:pPr>
      <w:bookmarkStart w:id="2634" w:name="_Toc428781918"/>
      <w:bookmarkStart w:id="2635" w:name="_Toc426467170"/>
      <w:bookmarkStart w:id="2636" w:name="_Toc428780804"/>
      <w:r>
        <w:rPr>
          <w:rFonts w:hint="eastAsia"/>
        </w:rPr>
        <w:t>《北京市森林资源保护管理条例》实施办法</w:t>
      </w:r>
      <w:bookmarkEnd w:id="2634"/>
      <w:bookmarkEnd w:id="2635"/>
      <w:bookmarkEnd w:id="2636"/>
    </w:p>
    <w:p w14:paraId="6A8984E8">
      <w:pPr>
        <w:ind w:left="630" w:leftChars="300" w:right="630" w:rightChars="300"/>
        <w:rPr>
          <w:rFonts w:ascii="楷体" w:hAnsi="楷体" w:eastAsia="楷体"/>
        </w:rPr>
      </w:pPr>
      <w:r>
        <w:rPr>
          <w:rFonts w:hint="eastAsia" w:ascii="楷体" w:hAnsi="楷体" w:eastAsia="楷体"/>
        </w:rPr>
        <w:t>（2003年8月21日北京市人民政府第133号令发布　根据2007年11月23日北京市人民政府第200号令第一次修改　根据2014年7月9日北京市人民政府第259号令第二次修改）</w:t>
      </w:r>
    </w:p>
    <w:p w14:paraId="1820B9E7"/>
    <w:p w14:paraId="1BFD79DD">
      <w:pPr>
        <w:ind w:firstLine="422"/>
      </w:pPr>
      <w:r>
        <w:rPr>
          <w:rFonts w:hint="eastAsia"/>
          <w:b/>
        </w:rPr>
        <w:t>第一条</w:t>
      </w:r>
      <w:r>
        <w:rPr>
          <w:rFonts w:hint="eastAsia"/>
        </w:rPr>
        <w:t xml:space="preserve">  为实施《北京市森林资源保护管理条例》（以下简称《条例》），制定本办法。</w:t>
      </w:r>
    </w:p>
    <w:p w14:paraId="189D88E4">
      <w:pPr>
        <w:ind w:firstLine="422"/>
      </w:pPr>
      <w:r>
        <w:rPr>
          <w:rFonts w:hint="eastAsia"/>
          <w:b/>
        </w:rPr>
        <w:t>第二条</w:t>
      </w:r>
      <w:r>
        <w:rPr>
          <w:rFonts w:hint="eastAsia"/>
        </w:rPr>
        <w:t xml:space="preserve">  本市森林、林木分为生态公益林和商品林。</w:t>
      </w:r>
    </w:p>
    <w:p w14:paraId="2F8A6791">
      <w:r>
        <w:rPr>
          <w:rFonts w:hint="eastAsia"/>
        </w:rPr>
        <w:t>生态公益林分为国家公益林和市级公益林。</w:t>
      </w:r>
    </w:p>
    <w:p w14:paraId="2FDCB7E9">
      <w:r>
        <w:rPr>
          <w:rFonts w:hint="eastAsia"/>
        </w:rPr>
        <w:t>国家公益林的范围按国家有关规定确定。市级公益林的范围由市林业行政主管部门划定，报市人民政府批准后公布。</w:t>
      </w:r>
    </w:p>
    <w:p w14:paraId="09CDF818">
      <w:r>
        <w:rPr>
          <w:rFonts w:hint="eastAsia"/>
        </w:rPr>
        <w:t>商品林的范围由区、县林业行政主管部门根据国家关于林种划分的规定和本市林业发展总体规划认定，报区、县人民政府批准后公布。</w:t>
      </w:r>
    </w:p>
    <w:p w14:paraId="70CFA66A">
      <w:pPr>
        <w:ind w:firstLine="422"/>
      </w:pPr>
      <w:r>
        <w:rPr>
          <w:rFonts w:hint="eastAsia"/>
          <w:b/>
        </w:rPr>
        <w:t>第三条</w:t>
      </w:r>
      <w:r>
        <w:rPr>
          <w:rFonts w:hint="eastAsia"/>
        </w:rPr>
        <w:t xml:space="preserve">  市和区、县林业行政主管部门应当依照《中华人民共和国森林法》（以下简称《森林法》）及其实施条例和《条例》办理林木、林地权属登记的具体工作。</w:t>
      </w:r>
    </w:p>
    <w:p w14:paraId="6EB8E664">
      <w:pPr>
        <w:ind w:firstLine="422"/>
      </w:pPr>
      <w:r>
        <w:rPr>
          <w:rFonts w:hint="eastAsia"/>
          <w:b/>
        </w:rPr>
        <w:t>第四条</w:t>
      </w:r>
      <w:r>
        <w:rPr>
          <w:rFonts w:hint="eastAsia"/>
        </w:rPr>
        <w:t xml:space="preserve">  市和区、县林业行政主管部门应当会同有关部门制定林地保护利用规划，报同级人民政府批准后实施。</w:t>
      </w:r>
    </w:p>
    <w:p w14:paraId="70B171DD">
      <w:pPr>
        <w:ind w:firstLine="422"/>
      </w:pPr>
      <w:r>
        <w:rPr>
          <w:rFonts w:hint="eastAsia"/>
          <w:b/>
        </w:rPr>
        <w:t>第五条</w:t>
      </w:r>
      <w:r>
        <w:rPr>
          <w:rFonts w:hint="eastAsia"/>
        </w:rPr>
        <w:t xml:space="preserve">  因扑救森林火灾、防洪抢险、防治检疫性森林病虫害等紧急情况需要采伐林木的，组织抢险的单位或者部门应当自紧急情况结束之日起</w:t>
      </w:r>
      <w:r>
        <w:rPr>
          <w:rFonts w:hint="eastAsia" w:ascii="宋体" w:hAnsi="宋体" w:eastAsia="宋体" w:cs="宋体"/>
        </w:rPr>
        <w:t>30</w:t>
      </w:r>
      <w:r>
        <w:rPr>
          <w:rFonts w:hint="eastAsia"/>
        </w:rPr>
        <w:t>日内，将采伐林木的情况报告当地区、县林业行政主管部门。</w:t>
      </w:r>
    </w:p>
    <w:p w14:paraId="23CE589A">
      <w:pPr>
        <w:ind w:firstLine="422"/>
      </w:pPr>
      <w:r>
        <w:rPr>
          <w:rFonts w:hint="eastAsia"/>
          <w:b/>
        </w:rPr>
        <w:t>第六条</w:t>
      </w:r>
      <w:r>
        <w:rPr>
          <w:rFonts w:hint="eastAsia"/>
        </w:rPr>
        <w:t xml:space="preserve">  因工程建设需要申请林木采伐许可证的，应当符合《森林法》第三十四条第一款的规定，并提交工程建设批准文件、林地现状图、工程规划设计方案、补偿协议、绿化方案等资料。</w:t>
      </w:r>
    </w:p>
    <w:p w14:paraId="3638E326">
      <w:r>
        <w:rPr>
          <w:rFonts w:hint="eastAsia"/>
        </w:rPr>
        <w:t>因占用或者征用林地申请林木采伐许可证的，除提交前款规定的文件外，还需提交使用林地审核手续。</w:t>
      </w:r>
    </w:p>
    <w:p w14:paraId="47154DDE">
      <w:r>
        <w:rPr>
          <w:rFonts w:hint="eastAsia"/>
        </w:rPr>
        <w:t>本市工程建设项目立项和规划选址应当符合林业总体规划。有关部门在办理工程建设项目立项、规划审批手续时应当征求林业行政主管部门的意见。在工程施工时，施工单位应当采取必要措施保护林木。</w:t>
      </w:r>
    </w:p>
    <w:p w14:paraId="2FF551EC">
      <w:pPr>
        <w:ind w:firstLine="422"/>
      </w:pPr>
      <w:r>
        <w:rPr>
          <w:rFonts w:hint="eastAsia"/>
          <w:b/>
        </w:rPr>
        <w:t>第七条</w:t>
      </w:r>
      <w:r>
        <w:rPr>
          <w:rFonts w:hint="eastAsia"/>
        </w:rPr>
        <w:t xml:space="preserve">  因农村产业结构调整在非规划林地新造的用材林，林木所有者申请采伐利用的，林业行政主管部门应当及时办理采伐手续。</w:t>
      </w:r>
    </w:p>
    <w:p w14:paraId="3CCB7F78">
      <w:r>
        <w:rPr>
          <w:rFonts w:hint="eastAsia"/>
        </w:rPr>
        <w:t>因农村产业结构调整在耕地上种植的经济林，林木所有者可以自主采伐、移植。</w:t>
      </w:r>
    </w:p>
    <w:p w14:paraId="3F784777">
      <w:pPr>
        <w:ind w:firstLine="422"/>
      </w:pPr>
      <w:r>
        <w:rPr>
          <w:rFonts w:hint="eastAsia"/>
          <w:b/>
        </w:rPr>
        <w:t>第八条</w:t>
      </w:r>
      <w:r>
        <w:rPr>
          <w:rFonts w:hint="eastAsia"/>
        </w:rPr>
        <w:t xml:space="preserve">  因工程建设或者其他原因需要移植林木的，移植的单位或者个人应当依照有关技术规范编制移植方案，并向林业行政主管部门申请办理林木移植审批手续。</w:t>
      </w:r>
    </w:p>
    <w:p w14:paraId="63708B38">
      <w:pPr>
        <w:ind w:firstLine="422"/>
      </w:pPr>
      <w:r>
        <w:rPr>
          <w:rFonts w:hint="eastAsia"/>
          <w:b/>
        </w:rPr>
        <w:t>第九条</w:t>
      </w:r>
      <w:r>
        <w:rPr>
          <w:rFonts w:hint="eastAsia"/>
        </w:rPr>
        <w:t xml:space="preserve">  林业行政主管部门应当对本市木材经营加工的原料进行监督管理。</w:t>
      </w:r>
    </w:p>
    <w:p w14:paraId="541062E7">
      <w:r>
        <w:rPr>
          <w:rFonts w:hint="eastAsia"/>
        </w:rPr>
        <w:t>木材（含外省市在本市的落地材）运出本市的，应当办理出省木材运输证和植物检疫证。</w:t>
      </w:r>
    </w:p>
    <w:p w14:paraId="17DE4578">
      <w:pPr>
        <w:rPr>
          <w:rFonts w:hint="eastAsia" w:ascii="宋体" w:hAnsi="宋体" w:eastAsia="宋体" w:cs="宋体"/>
        </w:rPr>
      </w:pPr>
      <w:r>
        <w:rPr>
          <w:rFonts w:hint="eastAsia"/>
        </w:rPr>
        <w:t>本条所称木材包括原木、锯材、</w:t>
      </w:r>
      <w:r>
        <w:rPr>
          <w:rFonts w:hint="eastAsia" w:ascii="宋体" w:hAnsi="宋体" w:eastAsia="宋体" w:cs="宋体"/>
        </w:rPr>
        <w:t>竹材、木片和以木材为主要原料的半成品。</w:t>
      </w:r>
    </w:p>
    <w:p w14:paraId="2FCAE03B">
      <w:pPr>
        <w:ind w:firstLine="422"/>
        <w:rPr>
          <w:rFonts w:hint="eastAsia" w:ascii="宋体" w:hAnsi="宋体" w:eastAsia="宋体" w:cs="宋体"/>
        </w:rPr>
      </w:pPr>
      <w:r>
        <w:rPr>
          <w:rFonts w:hint="eastAsia" w:ascii="宋体" w:hAnsi="宋体" w:eastAsia="宋体" w:cs="宋体"/>
          <w:b/>
        </w:rPr>
        <w:t>第十条</w:t>
      </w:r>
      <w:r>
        <w:rPr>
          <w:rFonts w:hint="eastAsia" w:ascii="宋体" w:hAnsi="宋体" w:eastAsia="宋体" w:cs="宋体"/>
        </w:rPr>
        <w:t xml:space="preserve">  森林防火期内，在一级、二级防火区组织一百人以上大型群众活动的，主办单位应当在活动举办日15日前将防火方案报举办地的区、县森林防火指挥部审批。森林防火指挥部应当在收到主办单位防火方案之日起5个工作日内予以答复。</w:t>
      </w:r>
    </w:p>
    <w:p w14:paraId="275A17FB">
      <w:pPr>
        <w:ind w:firstLine="422"/>
        <w:rPr>
          <w:rFonts w:hint="eastAsia" w:ascii="宋体" w:hAnsi="宋体" w:eastAsia="宋体" w:cs="宋体"/>
        </w:rPr>
      </w:pPr>
      <w:r>
        <w:rPr>
          <w:rFonts w:hint="eastAsia" w:ascii="宋体" w:hAnsi="宋体" w:eastAsia="宋体" w:cs="宋体"/>
          <w:b/>
        </w:rPr>
        <w:t>第十一条</w:t>
      </w:r>
      <w:r>
        <w:rPr>
          <w:rFonts w:hint="eastAsia" w:ascii="宋体" w:hAnsi="宋体" w:eastAsia="宋体" w:cs="宋体"/>
        </w:rPr>
        <w:t xml:space="preserve">  利用森林资源开发旅游项目的单位，应当严格执行保护森林资源方案。市和区、县林业行政主管部门应当定期监督检查，定期公布检查结果。</w:t>
      </w:r>
    </w:p>
    <w:p w14:paraId="5AD048CE">
      <w:pPr>
        <w:ind w:firstLine="422"/>
        <w:rPr>
          <w:rFonts w:hint="eastAsia" w:ascii="宋体" w:hAnsi="宋体" w:eastAsia="宋体" w:cs="宋体"/>
        </w:rPr>
      </w:pPr>
      <w:r>
        <w:rPr>
          <w:rFonts w:hint="eastAsia" w:ascii="宋体" w:hAnsi="宋体" w:eastAsia="宋体" w:cs="宋体"/>
          <w:b/>
        </w:rPr>
        <w:t>第十二条</w:t>
      </w:r>
      <w:r>
        <w:rPr>
          <w:rFonts w:hint="eastAsia" w:ascii="宋体" w:hAnsi="宋体" w:eastAsia="宋体" w:cs="宋体"/>
        </w:rPr>
        <w:t xml:space="preserve">  市和区、县林业行政主管部门应当加强森林植被恢复费和育林费征收工作的管理，收取的森林植被恢复费和育林费应当专项用于植树造林、恢复森林植被和森林资源的保护管理。</w:t>
      </w:r>
    </w:p>
    <w:p w14:paraId="34528A38">
      <w:pPr>
        <w:ind w:firstLine="422"/>
        <w:rPr>
          <w:rFonts w:hint="eastAsia" w:ascii="宋体" w:hAnsi="宋体" w:eastAsia="宋体" w:cs="宋体"/>
        </w:rPr>
      </w:pPr>
      <w:r>
        <w:rPr>
          <w:rFonts w:hint="eastAsia" w:ascii="宋体" w:hAnsi="宋体" w:eastAsia="宋体" w:cs="宋体"/>
          <w:b/>
        </w:rPr>
        <w:t>第十三条</w:t>
      </w:r>
      <w:r>
        <w:rPr>
          <w:rFonts w:hint="eastAsia" w:ascii="宋体" w:hAnsi="宋体" w:eastAsia="宋体" w:cs="宋体"/>
        </w:rPr>
        <w:t xml:space="preserve">  工程建设占用或者征用林地采伐林木的，按下列标准给予补偿：</w:t>
      </w:r>
    </w:p>
    <w:p w14:paraId="51E4E406">
      <w:pPr>
        <w:rPr>
          <w:rFonts w:hint="eastAsia" w:ascii="宋体" w:hAnsi="宋体" w:eastAsia="宋体" w:cs="宋体"/>
        </w:rPr>
      </w:pPr>
      <w:r>
        <w:rPr>
          <w:rFonts w:hint="eastAsia" w:ascii="宋体" w:hAnsi="宋体" w:eastAsia="宋体" w:cs="宋体"/>
        </w:rPr>
        <w:t>（一）特种用途林、防护林按木材价值3倍计算；</w:t>
      </w:r>
    </w:p>
    <w:p w14:paraId="3AFAE467">
      <w:pPr>
        <w:rPr>
          <w:rFonts w:hint="eastAsia" w:ascii="宋体" w:hAnsi="宋体" w:eastAsia="宋体" w:cs="宋体"/>
        </w:rPr>
      </w:pPr>
      <w:r>
        <w:rPr>
          <w:rFonts w:hint="eastAsia" w:ascii="宋体" w:hAnsi="宋体" w:eastAsia="宋体" w:cs="宋体"/>
        </w:rPr>
        <w:t>（二）用材林、薪炭林按木材价值2.5倍计算；</w:t>
      </w:r>
    </w:p>
    <w:p w14:paraId="69F83AEE">
      <w:pPr>
        <w:rPr>
          <w:rFonts w:hint="eastAsia" w:ascii="宋体" w:hAnsi="宋体" w:eastAsia="宋体" w:cs="宋体"/>
        </w:rPr>
      </w:pPr>
      <w:r>
        <w:rPr>
          <w:rFonts w:hint="eastAsia" w:ascii="宋体" w:hAnsi="宋体" w:eastAsia="宋体" w:cs="宋体"/>
        </w:rPr>
        <w:t>（三）经济林以前3年平均产值为基数，鲜果按5至6倍计价，干果按7至8倍计价，有材值的另加材值计价；未形成产量的，按实际投入计算。</w:t>
      </w:r>
    </w:p>
    <w:p w14:paraId="0805C179">
      <w:pPr>
        <w:rPr>
          <w:rFonts w:hint="eastAsia" w:ascii="宋体" w:hAnsi="宋体" w:eastAsia="宋体" w:cs="宋体"/>
        </w:rPr>
      </w:pPr>
      <w:r>
        <w:rPr>
          <w:rFonts w:hint="eastAsia" w:ascii="宋体" w:hAnsi="宋体" w:eastAsia="宋体" w:cs="宋体"/>
        </w:rPr>
        <w:t>工程建设占用或者征用苗圃地的，苗木的补偿标准按市场价格计算。</w:t>
      </w:r>
    </w:p>
    <w:p w14:paraId="7578C14F">
      <w:pPr>
        <w:ind w:firstLine="422"/>
        <w:rPr>
          <w:rFonts w:hint="eastAsia" w:ascii="宋体" w:hAnsi="宋体" w:eastAsia="宋体" w:cs="宋体"/>
        </w:rPr>
      </w:pPr>
      <w:r>
        <w:rPr>
          <w:rFonts w:hint="eastAsia" w:ascii="宋体" w:hAnsi="宋体" w:eastAsia="宋体" w:cs="宋体"/>
          <w:b/>
        </w:rPr>
        <w:t>第十四条</w:t>
      </w:r>
      <w:r>
        <w:rPr>
          <w:rFonts w:hint="eastAsia" w:ascii="宋体" w:hAnsi="宋体" w:eastAsia="宋体" w:cs="宋体"/>
        </w:rPr>
        <w:t>　盗伐、毁坏林木，造成林木损失的，赔偿金额依照前条规定的标准计算。</w:t>
      </w:r>
    </w:p>
    <w:p w14:paraId="65DAFCF6">
      <w:pPr>
        <w:ind w:firstLine="422"/>
        <w:rPr>
          <w:rFonts w:hint="eastAsia" w:ascii="宋体" w:hAnsi="宋体" w:eastAsia="宋体" w:cs="宋体"/>
        </w:rPr>
      </w:pPr>
      <w:r>
        <w:rPr>
          <w:rFonts w:hint="eastAsia" w:ascii="宋体" w:hAnsi="宋体" w:eastAsia="宋体" w:cs="宋体"/>
          <w:b/>
        </w:rPr>
        <w:t>第十五条</w:t>
      </w:r>
      <w:r>
        <w:rPr>
          <w:rFonts w:hint="eastAsia" w:ascii="宋体" w:hAnsi="宋体" w:eastAsia="宋体" w:cs="宋体"/>
        </w:rPr>
        <w:t>　违反本办法第十条的规定，组织大型群众活动未采取防火措施或者未按批准的方案采取防火措施，尚未造成森林火灾的，由举办地的区、县林业行政主管部门处2000元以上5000元以下罚款。</w:t>
      </w:r>
    </w:p>
    <w:p w14:paraId="5684AB6B">
      <w:pPr>
        <w:rPr>
          <w:rFonts w:hint="eastAsia" w:ascii="宋体" w:hAnsi="宋体" w:eastAsia="宋体" w:cs="宋体"/>
        </w:rPr>
      </w:pPr>
      <w:r>
        <w:rPr>
          <w:rFonts w:hint="eastAsia" w:ascii="宋体" w:hAnsi="宋体" w:eastAsia="宋体" w:cs="宋体"/>
        </w:rPr>
        <w:t>组织大型群众活动造成森林火灾的，依照有关法律、法规处罚。</w:t>
      </w:r>
    </w:p>
    <w:p w14:paraId="5809D934">
      <w:pPr>
        <w:ind w:firstLine="422"/>
        <w:rPr>
          <w:rFonts w:hint="eastAsia" w:ascii="宋体" w:hAnsi="宋体" w:eastAsia="宋体" w:cs="宋体"/>
        </w:rPr>
      </w:pPr>
      <w:r>
        <w:rPr>
          <w:rFonts w:hint="eastAsia" w:ascii="宋体" w:hAnsi="宋体" w:eastAsia="宋体" w:cs="宋体"/>
          <w:b/>
        </w:rPr>
        <w:t>第十六条</w:t>
      </w:r>
      <w:r>
        <w:rPr>
          <w:rFonts w:hint="eastAsia" w:ascii="宋体" w:hAnsi="宋体" w:eastAsia="宋体" w:cs="宋体"/>
        </w:rPr>
        <w:t>　《条例》第四十七条所称的“情节严重”是指未经批准移植100株以上的林木。</w:t>
      </w:r>
    </w:p>
    <w:p w14:paraId="3FCC776E">
      <w:pPr>
        <w:ind w:firstLine="422"/>
        <w:rPr>
          <w:rFonts w:hint="eastAsia" w:ascii="宋体" w:hAnsi="宋体" w:eastAsia="宋体" w:cs="宋体"/>
        </w:rPr>
      </w:pPr>
      <w:r>
        <w:rPr>
          <w:rFonts w:hint="eastAsia" w:ascii="宋体" w:hAnsi="宋体" w:eastAsia="宋体" w:cs="宋体"/>
          <w:b/>
        </w:rPr>
        <w:t>第十七条</w:t>
      </w:r>
      <w:r>
        <w:rPr>
          <w:rFonts w:hint="eastAsia" w:ascii="宋体" w:hAnsi="宋体" w:eastAsia="宋体" w:cs="宋体"/>
        </w:rPr>
        <w:t>　森林、林木、林地的损失鉴定由市林业行政主管部门认定公布的具有林业调查设计资质的中介组织承担。</w:t>
      </w:r>
    </w:p>
    <w:p w14:paraId="551490C4">
      <w:pPr>
        <w:rPr>
          <w:rFonts w:hint="eastAsia" w:ascii="宋体" w:hAnsi="宋体" w:eastAsia="宋体" w:cs="宋体"/>
        </w:rPr>
      </w:pPr>
      <w:r>
        <w:rPr>
          <w:rFonts w:hint="eastAsia" w:ascii="宋体" w:hAnsi="宋体" w:eastAsia="宋体" w:cs="宋体"/>
        </w:rPr>
        <w:t>森林资源资产评估，由市林业行政主管部门认定公布的具有森林资源评估资质的组织承担。</w:t>
      </w:r>
    </w:p>
    <w:p w14:paraId="38D7C6DC">
      <w:pPr>
        <w:ind w:firstLine="422"/>
        <w:rPr>
          <w:rFonts w:hint="eastAsia" w:ascii="宋体" w:hAnsi="宋体" w:eastAsia="宋体" w:cs="宋体"/>
        </w:rPr>
      </w:pPr>
      <w:r>
        <w:rPr>
          <w:rFonts w:hint="eastAsia" w:ascii="宋体" w:hAnsi="宋体" w:eastAsia="宋体" w:cs="宋体"/>
          <w:b/>
        </w:rPr>
        <w:t>第十八条</w:t>
      </w:r>
      <w:r>
        <w:rPr>
          <w:rFonts w:hint="eastAsia" w:ascii="宋体" w:hAnsi="宋体" w:eastAsia="宋体" w:cs="宋体"/>
        </w:rPr>
        <w:t>　本市木材价值的计算方法，由市林业行政主管部门会同市价格行政主管部门制定；木材材积，依照市林业行政主管部门公布的标准计算。</w:t>
      </w:r>
    </w:p>
    <w:p w14:paraId="0D763CAB">
      <w:pPr>
        <w:ind w:firstLine="422"/>
        <w:rPr>
          <w:rFonts w:hint="eastAsia" w:ascii="宋体" w:hAnsi="宋体" w:eastAsia="宋体" w:cs="宋体"/>
        </w:rPr>
      </w:pPr>
      <w:r>
        <w:rPr>
          <w:rFonts w:hint="eastAsia" w:ascii="宋体" w:hAnsi="宋体" w:eastAsia="宋体" w:cs="宋体"/>
          <w:b/>
        </w:rPr>
        <w:t>第十九条</w:t>
      </w:r>
      <w:r>
        <w:rPr>
          <w:rFonts w:hint="eastAsia" w:ascii="宋体" w:hAnsi="宋体" w:eastAsia="宋体" w:cs="宋体"/>
        </w:rPr>
        <w:t>　本办法自2003年10月1日起施行。1987年8月20日北京市人民政府发布的《北京市人民政府关于实施〈北京市农村林木资源保护管理条例〉若干规定》同时废止。</w:t>
      </w:r>
    </w:p>
    <w:p w14:paraId="2CFA0792">
      <w:pPr>
        <w:pStyle w:val="4"/>
        <w:pageBreakBefore/>
      </w:pPr>
      <w:bookmarkStart w:id="2637" w:name="_Toc428780805"/>
      <w:bookmarkStart w:id="2638" w:name="_Toc426467171"/>
      <w:bookmarkStart w:id="2639" w:name="_Toc428781919"/>
      <w:r>
        <w:rPr>
          <w:rFonts w:hint="eastAsia"/>
        </w:rPr>
        <w:t>北京市重点保护陆生野生动物造成损失补偿办法</w:t>
      </w:r>
      <w:bookmarkEnd w:id="2637"/>
      <w:bookmarkEnd w:id="2638"/>
      <w:bookmarkEnd w:id="2639"/>
    </w:p>
    <w:p w14:paraId="7EB49CAF">
      <w:pPr>
        <w:ind w:left="630" w:leftChars="300" w:right="630" w:rightChars="300"/>
        <w:rPr>
          <w:rFonts w:ascii="楷体" w:hAnsi="楷体" w:eastAsia="楷体"/>
        </w:rPr>
      </w:pPr>
      <w:r>
        <w:rPr>
          <w:rFonts w:hint="eastAsia" w:ascii="楷体" w:hAnsi="楷体" w:eastAsia="楷体"/>
        </w:rPr>
        <w:t>（2009年1月20日北京市人民政府第26次常务会议审议通过  2009年2月2日北京市人民政府第211号令公布）</w:t>
      </w:r>
    </w:p>
    <w:p w14:paraId="4CF79DF8"/>
    <w:p w14:paraId="1DA33B8B">
      <w:pPr>
        <w:ind w:firstLine="422"/>
      </w:pPr>
      <w:r>
        <w:rPr>
          <w:rFonts w:hint="eastAsia"/>
          <w:b/>
        </w:rPr>
        <w:t>第一条</w:t>
      </w:r>
      <w:r>
        <w:rPr>
          <w:rFonts w:hint="eastAsia"/>
        </w:rPr>
        <w:t xml:space="preserve">  为补偿单位和个人因保护国家和本市重点保护陆生野生动物造成的损失，预防和控制野生动物危害，根据《中华人民共和国野生动物保护法》和《中华人民共和国陆生野生动物保护实施条例》，制定本办法。</w:t>
      </w:r>
    </w:p>
    <w:p w14:paraId="7160D0C0">
      <w:pPr>
        <w:ind w:firstLine="422"/>
      </w:pPr>
      <w:r>
        <w:rPr>
          <w:rFonts w:hint="eastAsia"/>
          <w:b/>
        </w:rPr>
        <w:t>第二条</w:t>
      </w:r>
      <w:r>
        <w:rPr>
          <w:rFonts w:hint="eastAsia"/>
        </w:rPr>
        <w:t xml:space="preserve">  在本市行政区域内，受到本市确定给予补偿的陆生野生动物（以下简称野生动物）造成损失的单位和个人，可以依照本办法申请补偿。</w:t>
      </w:r>
    </w:p>
    <w:p w14:paraId="13F35E76">
      <w:r>
        <w:rPr>
          <w:rFonts w:hint="eastAsia"/>
        </w:rPr>
        <w:t>前款所称确定给予补偿的野生动物范围，由市园林绿化行政主管部门根据国家和本市 “重点保护陆生野生动物名录”确定并向社会公布。</w:t>
      </w:r>
    </w:p>
    <w:p w14:paraId="4BDCC2A1">
      <w:pPr>
        <w:ind w:firstLine="422"/>
      </w:pPr>
      <w:r>
        <w:rPr>
          <w:rFonts w:hint="eastAsia"/>
          <w:b/>
        </w:rPr>
        <w:t>第三条</w:t>
      </w:r>
      <w:r>
        <w:rPr>
          <w:rFonts w:hint="eastAsia"/>
        </w:rPr>
        <w:t xml:space="preserve">  市园林绿化行政主管部门负责全市野生动物造成损失补偿的组织指导和监督工作。</w:t>
      </w:r>
    </w:p>
    <w:p w14:paraId="751395B2">
      <w:r>
        <w:rPr>
          <w:rFonts w:hint="eastAsia"/>
        </w:rPr>
        <w:t>区（县）林业行政主管部门负责本行政区域内野生动物造成损失的认定、核实和补偿工作。</w:t>
      </w:r>
    </w:p>
    <w:p w14:paraId="27FEF867">
      <w:r>
        <w:rPr>
          <w:rFonts w:hint="eastAsia"/>
        </w:rPr>
        <w:t>乡（镇）人民政府、街道办事处应当做好野生动物造成损失情况的调查工作，村民委员会、居民委员会配合做好相关工作。</w:t>
      </w:r>
    </w:p>
    <w:p w14:paraId="6D01164C">
      <w:pPr>
        <w:ind w:firstLine="422"/>
      </w:pPr>
      <w:r>
        <w:rPr>
          <w:rFonts w:hint="eastAsia"/>
          <w:b/>
        </w:rPr>
        <w:t>第四条</w:t>
      </w:r>
      <w:r>
        <w:rPr>
          <w:rFonts w:hint="eastAsia"/>
        </w:rPr>
        <w:t xml:space="preserve">  市和区（县）人民政府应当将野生动物造成损失的预防控制、宣传培训和损失补偿等经费列入本级财政预算。</w:t>
      </w:r>
    </w:p>
    <w:p w14:paraId="1125D2E4">
      <w:r>
        <w:rPr>
          <w:rFonts w:hint="eastAsia"/>
        </w:rPr>
        <w:t>野生动物造成财产损失的补偿费用，由区（县）财政负担。发生较大范围野生动物损害造成较大数额财产损失的，市级财政对相关区（县）给予适当补助。</w:t>
      </w:r>
    </w:p>
    <w:p w14:paraId="6FC5355C">
      <w:pPr>
        <w:ind w:firstLine="422"/>
      </w:pPr>
      <w:r>
        <w:rPr>
          <w:rFonts w:hint="eastAsia"/>
          <w:b/>
        </w:rPr>
        <w:t>第五条</w:t>
      </w:r>
      <w:r>
        <w:rPr>
          <w:rFonts w:hint="eastAsia"/>
        </w:rPr>
        <w:t xml:space="preserve">  市园林绿化行政主管部门和区（县）林业行政主管部门应当做好下列工作，预防和控制野生动物可能造成的损失：</w:t>
      </w:r>
    </w:p>
    <w:p w14:paraId="6AC4690E">
      <w:bookmarkStart w:id="2640" w:name="_Toc428780806"/>
      <w:r>
        <w:rPr>
          <w:rFonts w:hint="eastAsia"/>
        </w:rPr>
        <w:t>（一）组织开展相关野生动物物种资源调查，制定防范措施；</w:t>
      </w:r>
      <w:bookmarkEnd w:id="2640"/>
    </w:p>
    <w:p w14:paraId="2560D9C6">
      <w:r>
        <w:rPr>
          <w:rFonts w:hint="eastAsia"/>
        </w:rPr>
        <w:t>（二）设置警示牌，发放宣传手册，利用电视、广播、报刊宣传野生动物保护的法律、法规和保护防护知识；</w:t>
      </w:r>
    </w:p>
    <w:p w14:paraId="5D6D2906">
      <w:bookmarkStart w:id="2641" w:name="_Toc428780807"/>
      <w:r>
        <w:rPr>
          <w:rFonts w:hint="eastAsia"/>
        </w:rPr>
        <w:t>（三）组织开展有关野生动物生物习性、防护技术等内容的培训工作；</w:t>
      </w:r>
      <w:bookmarkEnd w:id="2641"/>
    </w:p>
    <w:p w14:paraId="645B3298">
      <w:r>
        <w:rPr>
          <w:rFonts w:hint="eastAsia"/>
        </w:rPr>
        <w:t>（四）研究并综合运用预防和控制野生动物可能造成损失的工程技术和生物技术。</w:t>
      </w:r>
    </w:p>
    <w:p w14:paraId="48A9FDB7">
      <w:r>
        <w:rPr>
          <w:rFonts w:hint="eastAsia"/>
        </w:rPr>
        <w:t>对采取有效防护措施的单位和个人，市园林绿化行政主管部门和区（县）林业行政主管部门应给予扶持。</w:t>
      </w:r>
    </w:p>
    <w:p w14:paraId="15380B9E">
      <w:pPr>
        <w:ind w:firstLine="422"/>
      </w:pPr>
      <w:r>
        <w:rPr>
          <w:rFonts w:hint="eastAsia"/>
          <w:b/>
        </w:rPr>
        <w:t>第六条</w:t>
      </w:r>
      <w:r>
        <w:rPr>
          <w:rFonts w:hint="eastAsia"/>
        </w:rPr>
        <w:t xml:space="preserve">  当事人发现野生动物造成农作物损毁、圈养的家禽家畜受伤或者死亡的，应当在5个工作日内向当地乡（镇）人民政府或者街道办事处提出补偿申请。</w:t>
      </w:r>
    </w:p>
    <w:p w14:paraId="34441BE2">
      <w:r>
        <w:rPr>
          <w:rFonts w:hint="eastAsia"/>
        </w:rPr>
        <w:t>当事人提出补偿申请，应当填写全市统一制式的申请表，并提交下列材料：</w:t>
      </w:r>
    </w:p>
    <w:p w14:paraId="4229EBED">
      <w:bookmarkStart w:id="2642" w:name="_Toc428780808"/>
      <w:r>
        <w:rPr>
          <w:rFonts w:hint="eastAsia"/>
        </w:rPr>
        <w:t>（一）损失的财产种类、数量、所在地点等基本情况的说明；</w:t>
      </w:r>
      <w:bookmarkEnd w:id="2642"/>
    </w:p>
    <w:p w14:paraId="77825F43">
      <w:r>
        <w:rPr>
          <w:rFonts w:hint="eastAsia"/>
        </w:rPr>
        <w:t>（二）财产损失现场情况的证明材料；</w:t>
      </w:r>
    </w:p>
    <w:p w14:paraId="2BAE98D2">
      <w:pPr>
        <w:rPr>
          <w:rFonts w:hint="eastAsia" w:ascii="宋体" w:hAnsi="宋体" w:eastAsia="宋体" w:cs="宋体"/>
        </w:rPr>
      </w:pPr>
      <w:r>
        <w:rPr>
          <w:rFonts w:hint="eastAsia"/>
        </w:rPr>
        <w:t>（三）采取预防控制措施的证明材料。</w:t>
      </w:r>
    </w:p>
    <w:p w14:paraId="43CEF881">
      <w:pPr>
        <w:ind w:firstLine="422"/>
        <w:rPr>
          <w:rFonts w:hint="eastAsia" w:ascii="宋体" w:hAnsi="宋体" w:eastAsia="宋体" w:cs="宋体"/>
        </w:rPr>
      </w:pPr>
      <w:r>
        <w:rPr>
          <w:rFonts w:hint="eastAsia" w:ascii="宋体" w:hAnsi="宋体" w:eastAsia="宋体" w:cs="宋体"/>
          <w:b/>
        </w:rPr>
        <w:t>第七条</w:t>
      </w:r>
      <w:r>
        <w:rPr>
          <w:rFonts w:hint="eastAsia" w:ascii="宋体" w:hAnsi="宋体" w:eastAsia="宋体" w:cs="宋体"/>
        </w:rPr>
        <w:t xml:space="preserve">  接到补偿申请的乡（镇）人民政府或者街道办事处应当在3个工作日内到现场进行调查；损失情况调查清楚的，应当提出初步处理意见，并在5个工作日内将补偿申请相关材料和初步处理意见一并转报本区（县）林业行政主管部门。</w:t>
      </w:r>
    </w:p>
    <w:p w14:paraId="5BDB9CE8">
      <w:pPr>
        <w:ind w:firstLine="422"/>
        <w:rPr>
          <w:rFonts w:hint="eastAsia" w:ascii="宋体" w:hAnsi="宋体" w:eastAsia="宋体" w:cs="宋体"/>
        </w:rPr>
      </w:pPr>
      <w:r>
        <w:rPr>
          <w:rFonts w:hint="eastAsia" w:ascii="宋体" w:hAnsi="宋体" w:eastAsia="宋体" w:cs="宋体"/>
          <w:b/>
        </w:rPr>
        <w:t>第八条</w:t>
      </w:r>
      <w:r>
        <w:rPr>
          <w:rFonts w:hint="eastAsia" w:ascii="宋体" w:hAnsi="宋体" w:eastAsia="宋体" w:cs="宋体"/>
        </w:rPr>
        <w:t xml:space="preserve">  区（县）林业行政主管部门收到申请材料后，应当及时进行核查确认，在10个工作日内提出补偿或者不予补偿的意见，并将意见内容在本部门网站和损害事件发生地村民委员会、居民委员会现场进行公示，公示期为10个工作日。</w:t>
      </w:r>
    </w:p>
    <w:p w14:paraId="2AA6DA73">
      <w:pPr>
        <w:rPr>
          <w:rFonts w:hint="eastAsia" w:ascii="宋体" w:hAnsi="宋体" w:eastAsia="宋体" w:cs="宋体"/>
        </w:rPr>
      </w:pPr>
      <w:r>
        <w:rPr>
          <w:rFonts w:hint="eastAsia" w:ascii="宋体" w:hAnsi="宋体" w:eastAsia="宋体" w:cs="宋体"/>
        </w:rPr>
        <w:t>公示期内，对公示内容有异议的，可以向当地区（县）林业行政主管部门或者市园林绿化行政主管部门提出。区（县）林业行政主管部门或者市园林绿化行政主管部门应当及时进行调查核实；必要时，可以重新组织调查。</w:t>
      </w:r>
    </w:p>
    <w:p w14:paraId="5632571B">
      <w:pPr>
        <w:rPr>
          <w:rFonts w:hint="eastAsia" w:ascii="宋体" w:hAnsi="宋体" w:eastAsia="宋体" w:cs="宋体"/>
        </w:rPr>
      </w:pPr>
      <w:r>
        <w:rPr>
          <w:rFonts w:hint="eastAsia" w:ascii="宋体" w:hAnsi="宋体" w:eastAsia="宋体" w:cs="宋体"/>
        </w:rPr>
        <w:t>公示期满，没有异议的，由损害事件发生地区（县）林业行政主管部门做出补偿决定，向申请人一次性发放补偿费。</w:t>
      </w:r>
    </w:p>
    <w:p w14:paraId="58F8644E">
      <w:pPr>
        <w:ind w:firstLine="422"/>
        <w:rPr>
          <w:rFonts w:hint="eastAsia" w:ascii="宋体" w:hAnsi="宋体" w:eastAsia="宋体" w:cs="宋体"/>
        </w:rPr>
      </w:pPr>
      <w:r>
        <w:rPr>
          <w:rFonts w:hint="eastAsia" w:ascii="宋体" w:hAnsi="宋体" w:eastAsia="宋体" w:cs="宋体"/>
          <w:b/>
        </w:rPr>
        <w:t>第九条</w:t>
      </w:r>
      <w:r>
        <w:rPr>
          <w:rFonts w:hint="eastAsia" w:ascii="宋体" w:hAnsi="宋体" w:eastAsia="宋体" w:cs="宋体"/>
        </w:rPr>
        <w:t xml:space="preserve">  野生动物造成财产损失的补偿费，根据预防控制措施采取情况，按照以下规定计算：</w:t>
      </w:r>
    </w:p>
    <w:p w14:paraId="67B59BBC">
      <w:pPr>
        <w:rPr>
          <w:rFonts w:hint="eastAsia" w:ascii="宋体" w:hAnsi="宋体" w:eastAsia="宋体" w:cs="宋体"/>
        </w:rPr>
      </w:pPr>
      <w:r>
        <w:rPr>
          <w:rFonts w:hint="eastAsia" w:ascii="宋体" w:hAnsi="宋体" w:eastAsia="宋体" w:cs="宋体"/>
        </w:rPr>
        <w:t>（一）农作物损失，按照核实的损失量和当地区（县）上一年度该类农作物的市场平均价格计算，补偿全部损失的60%至80%；</w:t>
      </w:r>
    </w:p>
    <w:p w14:paraId="6CDB4C2F">
      <w:pPr>
        <w:rPr>
          <w:rFonts w:hint="eastAsia" w:ascii="宋体" w:hAnsi="宋体" w:eastAsia="宋体" w:cs="宋体"/>
        </w:rPr>
      </w:pPr>
      <w:r>
        <w:rPr>
          <w:rFonts w:hint="eastAsia" w:ascii="宋体" w:hAnsi="宋体" w:eastAsia="宋体" w:cs="宋体"/>
        </w:rPr>
        <w:t>（二）家禽家畜受伤的，补偿实际发生治疗费的50%至70%，最高额不超过该类家禽家畜价值的50%；</w:t>
      </w:r>
    </w:p>
    <w:p w14:paraId="16D09A17">
      <w:pPr>
        <w:rPr>
          <w:rFonts w:hint="eastAsia" w:ascii="宋体" w:hAnsi="宋体" w:eastAsia="宋体" w:cs="宋体"/>
        </w:rPr>
      </w:pPr>
      <w:r>
        <w:rPr>
          <w:rFonts w:hint="eastAsia" w:ascii="宋体" w:hAnsi="宋体" w:eastAsia="宋体" w:cs="宋体"/>
        </w:rPr>
        <w:t>（三）家禽家畜死亡的，补偿费按该类家禽家畜当时的市场价格计算，补偿全部损失的60%至80%。</w:t>
      </w:r>
    </w:p>
    <w:p w14:paraId="5B2E7F18">
      <w:pPr>
        <w:ind w:firstLine="422"/>
        <w:rPr>
          <w:rFonts w:hint="eastAsia" w:ascii="宋体" w:hAnsi="宋体" w:eastAsia="宋体" w:cs="宋体"/>
        </w:rPr>
      </w:pPr>
      <w:r>
        <w:rPr>
          <w:rFonts w:hint="eastAsia" w:ascii="宋体" w:hAnsi="宋体" w:eastAsia="宋体" w:cs="宋体"/>
          <w:b/>
        </w:rPr>
        <w:t>第十条</w:t>
      </w:r>
      <w:r>
        <w:rPr>
          <w:rFonts w:hint="eastAsia" w:ascii="宋体" w:hAnsi="宋体" w:eastAsia="宋体" w:cs="宋体"/>
        </w:rPr>
        <w:t xml:space="preserve">  因保护重点保护陆生野生动物造成损失，导致家庭生活困难的，可以依法向当地民政部门申请救助。符合社会救助条件的，当地民政部门应当适时给予救助。</w:t>
      </w:r>
    </w:p>
    <w:p w14:paraId="37C8493A">
      <w:pPr>
        <w:ind w:firstLine="422"/>
        <w:rPr>
          <w:rFonts w:hint="eastAsia" w:ascii="宋体" w:hAnsi="宋体" w:eastAsia="宋体" w:cs="宋体"/>
        </w:rPr>
      </w:pPr>
      <w:r>
        <w:rPr>
          <w:rFonts w:hint="eastAsia" w:ascii="宋体" w:hAnsi="宋体" w:eastAsia="宋体" w:cs="宋体"/>
          <w:b/>
        </w:rPr>
        <w:t>第十一条</w:t>
      </w:r>
      <w:r>
        <w:rPr>
          <w:rFonts w:hint="eastAsia" w:ascii="宋体" w:hAnsi="宋体" w:eastAsia="宋体" w:cs="宋体"/>
        </w:rPr>
        <w:t xml:space="preserve">  财政、审计和监察部门应当对野生动物造成损失的补偿、调查勘验、宣传培训、预防控制等工作经费的使用情况加强监督检查。</w:t>
      </w:r>
    </w:p>
    <w:p w14:paraId="6F669590">
      <w:pPr>
        <w:ind w:firstLine="422"/>
        <w:rPr>
          <w:rFonts w:hint="eastAsia" w:ascii="宋体" w:hAnsi="宋体" w:eastAsia="宋体" w:cs="宋体"/>
        </w:rPr>
      </w:pPr>
      <w:r>
        <w:rPr>
          <w:rFonts w:hint="eastAsia" w:ascii="宋体" w:hAnsi="宋体" w:eastAsia="宋体" w:cs="宋体"/>
          <w:b/>
        </w:rPr>
        <w:t>第十二条</w:t>
      </w:r>
      <w:r>
        <w:rPr>
          <w:rFonts w:hint="eastAsia" w:ascii="宋体" w:hAnsi="宋体" w:eastAsia="宋体" w:cs="宋体"/>
        </w:rPr>
        <w:t xml:space="preserve">  国家工作人员违反本办法规定，有下列情形之一的，由其主管部门或者监察机关给予行政处分；涉嫌犯罪的，移送司法机关依法查处：</w:t>
      </w:r>
    </w:p>
    <w:p w14:paraId="664EA9A4">
      <w:pPr>
        <w:rPr>
          <w:rFonts w:hint="eastAsia" w:ascii="宋体" w:hAnsi="宋体" w:eastAsia="宋体" w:cs="宋体"/>
        </w:rPr>
      </w:pPr>
      <w:r>
        <w:rPr>
          <w:rFonts w:hint="eastAsia" w:ascii="宋体" w:hAnsi="宋体" w:eastAsia="宋体" w:cs="宋体"/>
        </w:rPr>
        <w:t>（一）刁难、拖延、不按规定时限调查野生动物造成损害事件或者发放补偿费，造成严重后果的；</w:t>
      </w:r>
    </w:p>
    <w:p w14:paraId="6813EBF8">
      <w:pPr>
        <w:rPr>
          <w:rFonts w:hint="eastAsia" w:ascii="宋体" w:hAnsi="宋体" w:eastAsia="宋体" w:cs="宋体"/>
        </w:rPr>
      </w:pPr>
      <w:bookmarkStart w:id="2643" w:name="_Toc428780809"/>
      <w:r>
        <w:rPr>
          <w:rFonts w:hint="eastAsia" w:ascii="宋体" w:hAnsi="宋体" w:eastAsia="宋体" w:cs="宋体"/>
        </w:rPr>
        <w:t>（二）徇私舞弊，为他人虚报、冒领补偿费提供帮助的；</w:t>
      </w:r>
      <w:bookmarkEnd w:id="2643"/>
    </w:p>
    <w:p w14:paraId="39016EAD">
      <w:pPr>
        <w:rPr>
          <w:rFonts w:hint="eastAsia" w:ascii="宋体" w:hAnsi="宋体" w:eastAsia="宋体" w:cs="宋体"/>
        </w:rPr>
      </w:pPr>
      <w:r>
        <w:rPr>
          <w:rFonts w:hint="eastAsia" w:ascii="宋体" w:hAnsi="宋体" w:eastAsia="宋体" w:cs="宋体"/>
        </w:rPr>
        <w:t>（三）渎职、失职，造成补偿费被冒领的；</w:t>
      </w:r>
    </w:p>
    <w:p w14:paraId="47DD08C5">
      <w:pPr>
        <w:rPr>
          <w:rFonts w:hint="eastAsia" w:ascii="宋体" w:hAnsi="宋体" w:eastAsia="宋体" w:cs="宋体"/>
        </w:rPr>
      </w:pPr>
      <w:r>
        <w:rPr>
          <w:rFonts w:hint="eastAsia" w:ascii="宋体" w:hAnsi="宋体" w:eastAsia="宋体" w:cs="宋体"/>
        </w:rPr>
        <w:t>（四）贪污挪用补偿费的。</w:t>
      </w:r>
    </w:p>
    <w:p w14:paraId="5283A7AD">
      <w:pPr>
        <w:ind w:firstLine="422"/>
        <w:rPr>
          <w:rFonts w:hint="eastAsia" w:ascii="宋体" w:hAnsi="宋体" w:eastAsia="宋体" w:cs="宋体"/>
        </w:rPr>
      </w:pPr>
      <w:r>
        <w:rPr>
          <w:rFonts w:hint="eastAsia" w:ascii="宋体" w:hAnsi="宋体" w:eastAsia="宋体" w:cs="宋体"/>
          <w:b/>
        </w:rPr>
        <w:t>第十三条</w:t>
      </w:r>
      <w:r>
        <w:rPr>
          <w:rFonts w:hint="eastAsia" w:ascii="宋体" w:hAnsi="宋体" w:eastAsia="宋体" w:cs="宋体"/>
        </w:rPr>
        <w:t xml:space="preserve">  虚报、冒领补偿费的，由区（县）林业行政主管部门予以警告，责令退回；构成犯罪的，依法追究刑事责任。</w:t>
      </w:r>
    </w:p>
    <w:p w14:paraId="7E268E84">
      <w:pPr>
        <w:rPr>
          <w:rFonts w:hint="eastAsia" w:ascii="宋体" w:hAnsi="宋体" w:eastAsia="宋体" w:cs="宋体"/>
        </w:rPr>
      </w:pPr>
      <w:r>
        <w:rPr>
          <w:rFonts w:hint="eastAsia" w:ascii="宋体" w:hAnsi="宋体" w:eastAsia="宋体" w:cs="宋体"/>
        </w:rPr>
        <w:t>当事人拒不退回的，由当地乡（镇）人民政府或者街道办事处负责追回。</w:t>
      </w:r>
    </w:p>
    <w:p w14:paraId="431D11EF">
      <w:pPr>
        <w:ind w:firstLine="422"/>
        <w:rPr>
          <w:rFonts w:hint="eastAsia" w:ascii="宋体" w:hAnsi="宋体" w:eastAsia="宋体" w:cs="宋体"/>
        </w:rPr>
      </w:pPr>
      <w:r>
        <w:rPr>
          <w:rFonts w:hint="eastAsia" w:ascii="宋体" w:hAnsi="宋体" w:eastAsia="宋体" w:cs="宋体"/>
          <w:b/>
        </w:rPr>
        <w:t>第十四条</w:t>
      </w:r>
      <w:r>
        <w:rPr>
          <w:rFonts w:hint="eastAsia" w:ascii="宋体" w:hAnsi="宋体" w:eastAsia="宋体" w:cs="宋体"/>
        </w:rPr>
        <w:t xml:space="preserve">  野生动物造成人身伤亡的，由市园林绿化行政主管部门会同市财政部门参照本办法有关规定予以适当补偿。</w:t>
      </w:r>
    </w:p>
    <w:p w14:paraId="2830CF0A">
      <w:pPr>
        <w:ind w:firstLine="422"/>
        <w:rPr>
          <w:rFonts w:hint="eastAsia" w:ascii="宋体" w:hAnsi="宋体" w:eastAsia="宋体" w:cs="宋体"/>
        </w:rPr>
      </w:pPr>
      <w:r>
        <w:rPr>
          <w:rFonts w:hint="eastAsia" w:ascii="宋体" w:hAnsi="宋体" w:eastAsia="宋体" w:cs="宋体"/>
          <w:b/>
        </w:rPr>
        <w:t>第十五条</w:t>
      </w:r>
      <w:r>
        <w:rPr>
          <w:rFonts w:hint="eastAsia" w:ascii="宋体" w:hAnsi="宋体" w:eastAsia="宋体" w:cs="宋体"/>
        </w:rPr>
        <w:t xml:space="preserve">  本办法自2009年4月1日起施行。</w:t>
      </w:r>
    </w:p>
    <w:p w14:paraId="15E0C5C5">
      <w:pPr>
        <w:pStyle w:val="4"/>
        <w:pageBreakBefore/>
      </w:pPr>
      <w:bookmarkStart w:id="2644" w:name="_Toc426467172"/>
      <w:bookmarkStart w:id="2645" w:name="_Toc428780810"/>
      <w:bookmarkStart w:id="2646" w:name="_Toc428781920"/>
      <w:r>
        <w:rPr>
          <w:rFonts w:hint="eastAsia"/>
        </w:rPr>
        <w:t>北京市森林防火办法</w:t>
      </w:r>
      <w:bookmarkEnd w:id="2644"/>
      <w:bookmarkEnd w:id="2645"/>
      <w:bookmarkEnd w:id="2646"/>
    </w:p>
    <w:p w14:paraId="795B098F">
      <w:pPr>
        <w:ind w:left="630" w:leftChars="300" w:right="630" w:rightChars="300"/>
        <w:rPr>
          <w:rFonts w:ascii="楷体" w:hAnsi="楷体" w:eastAsia="楷体"/>
        </w:rPr>
      </w:pPr>
      <w:r>
        <w:rPr>
          <w:rFonts w:hint="eastAsia" w:ascii="楷体" w:hAnsi="楷体" w:eastAsia="楷体"/>
        </w:rPr>
        <w:t>（2011年9月20日北京市人民政府第103次常务会议审议通过  2011年9月29日北京市人民政府第238号令公布）</w:t>
      </w:r>
    </w:p>
    <w:p w14:paraId="5B1D6B34"/>
    <w:p w14:paraId="424F4857">
      <w:pPr>
        <w:ind w:firstLine="422"/>
      </w:pPr>
      <w:r>
        <w:rPr>
          <w:rFonts w:hint="eastAsia"/>
          <w:b/>
        </w:rPr>
        <w:t>第一条</w:t>
      </w:r>
      <w:r>
        <w:rPr>
          <w:rFonts w:hint="eastAsia"/>
        </w:rPr>
        <w:t xml:space="preserve">  为了有效预防和扑救森林火灾，保障人民生命财产安全，保护森林资源，维护生态安全，根据《森林防火条例》等法律、法规，结合本市实际情况，制定本办法。</w:t>
      </w:r>
    </w:p>
    <w:p w14:paraId="4F68B9B5">
      <w:pPr>
        <w:ind w:firstLine="422"/>
      </w:pPr>
      <w:r>
        <w:rPr>
          <w:rFonts w:hint="eastAsia"/>
          <w:b/>
        </w:rPr>
        <w:t>第二条</w:t>
      </w:r>
      <w:r>
        <w:rPr>
          <w:rFonts w:hint="eastAsia"/>
        </w:rPr>
        <w:t xml:space="preserve">  本市行政区域内森林火灾的预防和扑救，应当遵守《森林防火条例》（以下简称《条例》）和本办法。</w:t>
      </w:r>
    </w:p>
    <w:p w14:paraId="5A517D2E">
      <w:pPr>
        <w:ind w:firstLine="422"/>
      </w:pPr>
      <w:r>
        <w:rPr>
          <w:rFonts w:hint="eastAsia"/>
          <w:b/>
        </w:rPr>
        <w:t>第三条</w:t>
      </w:r>
      <w:r>
        <w:rPr>
          <w:rFonts w:hint="eastAsia"/>
        </w:rPr>
        <w:t xml:space="preserve">  森林防火工作实行预防为主、积极消灭的方针。</w:t>
      </w:r>
    </w:p>
    <w:p w14:paraId="77854864">
      <w:pPr>
        <w:rPr>
          <w:rFonts w:hint="eastAsia" w:ascii="宋体" w:hAnsi="宋体" w:eastAsia="宋体" w:cs="宋体"/>
        </w:rPr>
      </w:pPr>
      <w:r>
        <w:rPr>
          <w:rFonts w:hint="eastAsia"/>
        </w:rPr>
        <w:t>各级人民政府、有关部门、新闻媒体应当组织和开展经常性的森林防火宣传，普及森林防火法律</w:t>
      </w:r>
      <w:r>
        <w:rPr>
          <w:rFonts w:hint="eastAsia" w:ascii="宋体" w:hAnsi="宋体" w:eastAsia="宋体" w:cs="宋体"/>
        </w:rPr>
        <w:t>、法规和安全避险知识，提高全社会森林防火意识。</w:t>
      </w:r>
    </w:p>
    <w:p w14:paraId="6A151F47">
      <w:pPr>
        <w:rPr>
          <w:rFonts w:hint="eastAsia" w:ascii="宋体" w:hAnsi="宋体" w:eastAsia="宋体" w:cs="宋体"/>
        </w:rPr>
      </w:pPr>
      <w:r>
        <w:rPr>
          <w:rFonts w:hint="eastAsia" w:ascii="宋体" w:hAnsi="宋体" w:eastAsia="宋体" w:cs="宋体"/>
        </w:rPr>
        <w:t>每年11月为森林防火宣传月。</w:t>
      </w:r>
    </w:p>
    <w:p w14:paraId="0A245ACA">
      <w:pPr>
        <w:ind w:firstLine="422"/>
        <w:rPr>
          <w:rFonts w:hint="eastAsia" w:ascii="宋体" w:hAnsi="宋体" w:eastAsia="宋体" w:cs="宋体"/>
        </w:rPr>
      </w:pPr>
      <w:r>
        <w:rPr>
          <w:rFonts w:hint="eastAsia" w:ascii="宋体" w:hAnsi="宋体" w:eastAsia="宋体" w:cs="宋体"/>
          <w:b/>
        </w:rPr>
        <w:t>第四条</w:t>
      </w:r>
      <w:r>
        <w:rPr>
          <w:rFonts w:hint="eastAsia" w:ascii="宋体" w:hAnsi="宋体" w:eastAsia="宋体" w:cs="宋体"/>
        </w:rPr>
        <w:t xml:space="preserve">  森林防火工作实行市、区县、乡镇人民政府行政首长负责制。街道办事处按照本级人民政府的要求承担森林防火工作。</w:t>
      </w:r>
    </w:p>
    <w:p w14:paraId="7A2648BA">
      <w:pPr>
        <w:rPr>
          <w:rFonts w:hint="eastAsia" w:ascii="宋体" w:hAnsi="宋体" w:eastAsia="宋体" w:cs="宋体"/>
        </w:rPr>
      </w:pPr>
      <w:r>
        <w:rPr>
          <w:rFonts w:hint="eastAsia" w:ascii="宋体" w:hAnsi="宋体" w:eastAsia="宋体" w:cs="宋体"/>
        </w:rPr>
        <w:t>市、区县、乡镇人民政府设立的森林防火指挥机构，负责组织、协调和指导本行政区域内的森林防火工作。</w:t>
      </w:r>
    </w:p>
    <w:p w14:paraId="3C69D0FF">
      <w:pPr>
        <w:ind w:firstLine="422"/>
        <w:rPr>
          <w:rFonts w:hint="eastAsia" w:ascii="宋体" w:hAnsi="宋体" w:eastAsia="宋体" w:cs="宋体"/>
        </w:rPr>
      </w:pPr>
      <w:r>
        <w:rPr>
          <w:rFonts w:hint="eastAsia" w:ascii="宋体" w:hAnsi="宋体" w:eastAsia="宋体" w:cs="宋体"/>
          <w:b/>
        </w:rPr>
        <w:t>第五条</w:t>
      </w:r>
      <w:r>
        <w:rPr>
          <w:rFonts w:hint="eastAsia" w:ascii="宋体" w:hAnsi="宋体" w:eastAsia="宋体" w:cs="宋体"/>
        </w:rPr>
        <w:t xml:space="preserve">  市和区县园林绿化行政部门负责本行政区域内森林防火的监督和管理工作，承担本级人民政府森林防火指挥机构的日常工作。</w:t>
      </w:r>
    </w:p>
    <w:p w14:paraId="249C31E1">
      <w:pPr>
        <w:rPr>
          <w:rFonts w:hint="eastAsia" w:ascii="宋体" w:hAnsi="宋体" w:eastAsia="宋体" w:cs="宋体"/>
        </w:rPr>
      </w:pPr>
      <w:r>
        <w:rPr>
          <w:rFonts w:hint="eastAsia" w:ascii="宋体" w:hAnsi="宋体" w:eastAsia="宋体" w:cs="宋体"/>
        </w:rPr>
        <w:t>发展改革、财政、公安等部门按照职责分工，负责森林防火有关工作。</w:t>
      </w:r>
    </w:p>
    <w:p w14:paraId="774E41FF">
      <w:pPr>
        <w:ind w:firstLine="422"/>
        <w:rPr>
          <w:rFonts w:hint="eastAsia" w:ascii="宋体" w:hAnsi="宋体" w:eastAsia="宋体" w:cs="宋体"/>
        </w:rPr>
      </w:pPr>
      <w:r>
        <w:rPr>
          <w:rFonts w:hint="eastAsia" w:ascii="宋体" w:hAnsi="宋体" w:eastAsia="宋体" w:cs="宋体"/>
          <w:b/>
        </w:rPr>
        <w:t>第六条</w:t>
      </w:r>
      <w:r>
        <w:rPr>
          <w:rFonts w:hint="eastAsia" w:ascii="宋体" w:hAnsi="宋体" w:eastAsia="宋体" w:cs="宋体"/>
        </w:rPr>
        <w:t xml:space="preserve">  森林、林木、林地及其林缘外侧一定范围内划分为三级防火区：</w:t>
      </w:r>
    </w:p>
    <w:p w14:paraId="23A8BF8D">
      <w:pPr>
        <w:rPr>
          <w:rFonts w:hint="eastAsia" w:ascii="宋体" w:hAnsi="宋体" w:eastAsia="宋体" w:cs="宋体"/>
        </w:rPr>
      </w:pPr>
      <w:r>
        <w:rPr>
          <w:rFonts w:hint="eastAsia" w:ascii="宋体" w:hAnsi="宋体" w:eastAsia="宋体" w:cs="宋体"/>
        </w:rPr>
        <w:t>一级防火区是指自然保护区、风景游览区、特种用途林地和千亩以上的有林地；</w:t>
      </w:r>
    </w:p>
    <w:p w14:paraId="6A39BF79">
      <w:pPr>
        <w:rPr>
          <w:rFonts w:hint="eastAsia" w:ascii="宋体" w:hAnsi="宋体" w:eastAsia="宋体" w:cs="宋体"/>
        </w:rPr>
      </w:pPr>
      <w:r>
        <w:rPr>
          <w:rFonts w:hint="eastAsia" w:ascii="宋体" w:hAnsi="宋体" w:eastAsia="宋体" w:cs="宋体"/>
        </w:rPr>
        <w:t>二级防火区是指一级防火区以外的成片有林地；</w:t>
      </w:r>
    </w:p>
    <w:p w14:paraId="1D0A8FAF">
      <w:pPr>
        <w:rPr>
          <w:rFonts w:hint="eastAsia" w:ascii="宋体" w:hAnsi="宋体" w:eastAsia="宋体" w:cs="宋体"/>
        </w:rPr>
      </w:pPr>
      <w:r>
        <w:rPr>
          <w:rFonts w:hint="eastAsia" w:ascii="宋体" w:hAnsi="宋体" w:eastAsia="宋体" w:cs="宋体"/>
        </w:rPr>
        <w:t>三级防火区是指护路林、护岸林、宜林地和农田林网。</w:t>
      </w:r>
    </w:p>
    <w:p w14:paraId="518D03AC">
      <w:pPr>
        <w:rPr>
          <w:rFonts w:hint="eastAsia" w:ascii="宋体" w:hAnsi="宋体" w:eastAsia="宋体" w:cs="宋体"/>
        </w:rPr>
      </w:pPr>
      <w:r>
        <w:rPr>
          <w:rFonts w:hint="eastAsia" w:ascii="宋体" w:hAnsi="宋体" w:eastAsia="宋体" w:cs="宋体"/>
        </w:rPr>
        <w:t>防火区的具体范围由区县人民政府划定、公布，并设置醒目的标识。</w:t>
      </w:r>
    </w:p>
    <w:p w14:paraId="1A3C00FF">
      <w:pPr>
        <w:rPr>
          <w:rFonts w:hint="eastAsia" w:ascii="宋体" w:hAnsi="宋体" w:eastAsia="宋体" w:cs="宋体"/>
        </w:rPr>
      </w:pPr>
      <w:r>
        <w:rPr>
          <w:rFonts w:hint="eastAsia" w:ascii="宋体" w:hAnsi="宋体" w:eastAsia="宋体" w:cs="宋体"/>
        </w:rPr>
        <w:t>一级防火区为森林高火险区。</w:t>
      </w:r>
    </w:p>
    <w:p w14:paraId="46CDEB6E">
      <w:pPr>
        <w:ind w:firstLine="422"/>
        <w:rPr>
          <w:rFonts w:hint="eastAsia" w:ascii="宋体" w:hAnsi="宋体" w:eastAsia="宋体" w:cs="宋体"/>
        </w:rPr>
      </w:pPr>
      <w:r>
        <w:rPr>
          <w:rFonts w:hint="eastAsia" w:ascii="宋体" w:hAnsi="宋体" w:eastAsia="宋体" w:cs="宋体"/>
          <w:b/>
        </w:rPr>
        <w:t>第七条</w:t>
      </w:r>
      <w:r>
        <w:rPr>
          <w:rFonts w:hint="eastAsia" w:ascii="宋体" w:hAnsi="宋体" w:eastAsia="宋体" w:cs="宋体"/>
        </w:rPr>
        <w:t xml:space="preserve">  禁止在防火区吸烟、燃放烟花爆竹、施放孔明灯等可能引发森林火灾的行为。</w:t>
      </w:r>
    </w:p>
    <w:p w14:paraId="7129C989">
      <w:pPr>
        <w:ind w:firstLine="422"/>
        <w:rPr>
          <w:rFonts w:hint="eastAsia" w:ascii="宋体" w:hAnsi="宋体" w:eastAsia="宋体" w:cs="宋体"/>
        </w:rPr>
      </w:pPr>
      <w:r>
        <w:rPr>
          <w:rFonts w:hint="eastAsia" w:ascii="宋体" w:hAnsi="宋体" w:eastAsia="宋体" w:cs="宋体"/>
          <w:b/>
        </w:rPr>
        <w:t>第八条</w:t>
      </w:r>
      <w:r>
        <w:rPr>
          <w:rFonts w:hint="eastAsia" w:ascii="宋体" w:hAnsi="宋体" w:eastAsia="宋体" w:cs="宋体"/>
        </w:rPr>
        <w:t xml:space="preserve">  在一级防火区依法设立企事业单位、开发旅游项目的，应当按照本市森林防火设施建设规范建设或者配备森林防火设施设备。本市森林防火设施建设规范由市园林绿化行政部门组织有关部门制定，并向社会公布。</w:t>
      </w:r>
    </w:p>
    <w:p w14:paraId="51D0F512">
      <w:pPr>
        <w:rPr>
          <w:rFonts w:hint="eastAsia" w:ascii="宋体" w:hAnsi="宋体" w:eastAsia="宋体" w:cs="宋体"/>
        </w:rPr>
      </w:pPr>
      <w:r>
        <w:rPr>
          <w:rFonts w:hint="eastAsia" w:ascii="宋体" w:hAnsi="宋体" w:eastAsia="宋体" w:cs="宋体"/>
        </w:rPr>
        <w:t>企事业单位、旅游项目开办者应当在企事业单位设立或者旅游项目开办至少30日前告知所在地区县园林绿化行政部门，园林绿化行政部门应当对其预防森林火灾提供指导和服务。</w:t>
      </w:r>
    </w:p>
    <w:p w14:paraId="4B6B7D11">
      <w:pPr>
        <w:ind w:firstLine="422"/>
        <w:rPr>
          <w:rFonts w:hint="eastAsia" w:ascii="宋体" w:hAnsi="宋体" w:eastAsia="宋体" w:cs="宋体"/>
        </w:rPr>
      </w:pPr>
      <w:r>
        <w:rPr>
          <w:rFonts w:hint="eastAsia" w:ascii="宋体" w:hAnsi="宋体" w:eastAsia="宋体" w:cs="宋体"/>
          <w:b/>
        </w:rPr>
        <w:t>第九条</w:t>
      </w:r>
      <w:r>
        <w:rPr>
          <w:rFonts w:hint="eastAsia" w:ascii="宋体" w:hAnsi="宋体" w:eastAsia="宋体" w:cs="宋体"/>
        </w:rPr>
        <w:t xml:space="preserve">  每年11月1日至次年5月31日为森林防火期。其中，每年1月1日至4月15日为森林高火险期。</w:t>
      </w:r>
    </w:p>
    <w:p w14:paraId="5E390D3D">
      <w:pPr>
        <w:rPr>
          <w:rFonts w:hint="eastAsia" w:ascii="宋体" w:hAnsi="宋体" w:eastAsia="宋体" w:cs="宋体"/>
        </w:rPr>
      </w:pPr>
      <w:r>
        <w:rPr>
          <w:rFonts w:hint="eastAsia" w:ascii="宋体" w:hAnsi="宋体" w:eastAsia="宋体" w:cs="宋体"/>
        </w:rPr>
        <w:t>区县人民政府可以根据实际情况，将本行政区域内的森林防火期或者森林高火险期提前或者延后，并向社会公布。</w:t>
      </w:r>
    </w:p>
    <w:p w14:paraId="4E6E7013">
      <w:pPr>
        <w:ind w:firstLine="422"/>
        <w:rPr>
          <w:rFonts w:hint="eastAsia" w:ascii="宋体" w:hAnsi="宋体" w:eastAsia="宋体" w:cs="宋体"/>
        </w:rPr>
      </w:pPr>
      <w:r>
        <w:rPr>
          <w:rFonts w:hint="eastAsia" w:ascii="宋体" w:hAnsi="宋体" w:eastAsia="宋体" w:cs="宋体"/>
          <w:b/>
        </w:rPr>
        <w:t>第十条</w:t>
      </w:r>
      <w:r>
        <w:rPr>
          <w:rFonts w:hint="eastAsia" w:ascii="宋体" w:hAnsi="宋体" w:eastAsia="宋体" w:cs="宋体"/>
        </w:rPr>
        <w:t xml:space="preserve">  森林防火期内，经市人民政府批准，园林绿化行政部门可以在一、二级防火区入口处设立临时性的森林防火检查站，开展森林防火宣传，对进入防火区的车辆和人员进行森林防火检查。</w:t>
      </w:r>
    </w:p>
    <w:p w14:paraId="469AFE49">
      <w:pPr>
        <w:ind w:firstLine="422"/>
        <w:rPr>
          <w:rFonts w:hint="eastAsia" w:ascii="宋体" w:hAnsi="宋体" w:eastAsia="宋体" w:cs="宋体"/>
        </w:rPr>
      </w:pPr>
      <w:r>
        <w:rPr>
          <w:rFonts w:hint="eastAsia" w:ascii="宋体" w:hAnsi="宋体" w:eastAsia="宋体" w:cs="宋体"/>
          <w:b/>
        </w:rPr>
        <w:t>第十一条</w:t>
      </w:r>
      <w:r>
        <w:rPr>
          <w:rFonts w:hint="eastAsia" w:ascii="宋体" w:hAnsi="宋体" w:eastAsia="宋体" w:cs="宋体"/>
        </w:rPr>
        <w:t xml:space="preserve">  森林防火期内，未经批准不得在防火区野外用火。</w:t>
      </w:r>
    </w:p>
    <w:p w14:paraId="60659099">
      <w:pPr>
        <w:rPr>
          <w:rFonts w:hint="eastAsia" w:ascii="宋体" w:hAnsi="宋体" w:eastAsia="宋体" w:cs="宋体"/>
        </w:rPr>
      </w:pPr>
      <w:r>
        <w:rPr>
          <w:rFonts w:hint="eastAsia" w:ascii="宋体" w:hAnsi="宋体" w:eastAsia="宋体" w:cs="宋体"/>
        </w:rPr>
        <w:t>因防治病虫鼠害、冻害等特殊情况确需在防火区野外用火的，用火单位或者个人应当持用火方案和防火方案，经所在地区县园林绿化行政部门审核后，报本级人民政府批准。审核、批准的时限不得超过5个工作日。</w:t>
      </w:r>
    </w:p>
    <w:p w14:paraId="7D223A74">
      <w:pPr>
        <w:rPr>
          <w:rFonts w:hint="eastAsia" w:ascii="宋体" w:hAnsi="宋体" w:eastAsia="宋体" w:cs="宋体"/>
        </w:rPr>
      </w:pPr>
      <w:r>
        <w:rPr>
          <w:rFonts w:hint="eastAsia" w:ascii="宋体" w:hAnsi="宋体" w:eastAsia="宋体" w:cs="宋体"/>
        </w:rPr>
        <w:t>需要在防火区进行实弹演习、爆破等活动的，相关单位或者个人应当持活动方案和防火方案，报市园林绿化行政部门批准。市园林绿化行政部门应当在20个工作日内作出决定。</w:t>
      </w:r>
    </w:p>
    <w:p w14:paraId="0EBE0625">
      <w:pPr>
        <w:ind w:firstLine="422"/>
        <w:rPr>
          <w:rFonts w:hint="eastAsia" w:ascii="宋体" w:hAnsi="宋体" w:eastAsia="宋体" w:cs="宋体"/>
        </w:rPr>
      </w:pPr>
      <w:r>
        <w:rPr>
          <w:rFonts w:hint="eastAsia" w:ascii="宋体" w:hAnsi="宋体" w:eastAsia="宋体" w:cs="宋体"/>
          <w:b/>
        </w:rPr>
        <w:t>第十二条</w:t>
      </w:r>
      <w:r>
        <w:rPr>
          <w:rFonts w:hint="eastAsia" w:ascii="宋体" w:hAnsi="宋体" w:eastAsia="宋体" w:cs="宋体"/>
        </w:rPr>
        <w:t xml:space="preserve">  森林高火险期内，在森林高火险区严禁一切野外用火。</w:t>
      </w:r>
    </w:p>
    <w:p w14:paraId="1B93FA61">
      <w:pPr>
        <w:ind w:firstLine="422"/>
        <w:rPr>
          <w:rFonts w:hint="eastAsia" w:ascii="宋体" w:hAnsi="宋体" w:eastAsia="宋体" w:cs="宋体"/>
        </w:rPr>
      </w:pPr>
      <w:r>
        <w:rPr>
          <w:rFonts w:hint="eastAsia" w:ascii="宋体" w:hAnsi="宋体" w:eastAsia="宋体" w:cs="宋体"/>
          <w:b/>
        </w:rPr>
        <w:t>第十三条</w:t>
      </w:r>
      <w:r>
        <w:rPr>
          <w:rFonts w:hint="eastAsia" w:ascii="宋体" w:hAnsi="宋体" w:eastAsia="宋体" w:cs="宋体"/>
        </w:rPr>
        <w:t xml:space="preserve">  森林、林木、林地的经营管理者，在其经营管理范围内承担森林防火责任。</w:t>
      </w:r>
    </w:p>
    <w:p w14:paraId="07AFB02F">
      <w:pPr>
        <w:rPr>
          <w:rFonts w:hint="eastAsia" w:ascii="宋体" w:hAnsi="宋体" w:eastAsia="宋体" w:cs="宋体"/>
        </w:rPr>
      </w:pPr>
      <w:r>
        <w:rPr>
          <w:rFonts w:hint="eastAsia" w:ascii="宋体" w:hAnsi="宋体" w:eastAsia="宋体" w:cs="宋体"/>
        </w:rPr>
        <w:t>森林、林木、林地的经营管理者应当制定森林防火方案，设置防火宣传牌、防火标识，营建防火隔离带，配备专职或者兼职护林员、防火设施设备及必要的交通、通讯工具，开展经常性的森林火灾隐患排查，组织和参加扑救森林火灾应急演练，落实森林防火责任。</w:t>
      </w:r>
    </w:p>
    <w:p w14:paraId="1DB7DD7E">
      <w:pPr>
        <w:rPr>
          <w:rFonts w:hint="eastAsia" w:ascii="宋体" w:hAnsi="宋体" w:eastAsia="宋体" w:cs="宋体"/>
        </w:rPr>
      </w:pPr>
      <w:r>
        <w:rPr>
          <w:rFonts w:hint="eastAsia" w:ascii="宋体" w:hAnsi="宋体" w:eastAsia="宋体" w:cs="宋体"/>
        </w:rPr>
        <w:t>任何单位和个人不得损坏或者擅自移动、拆除森林防火设施设备、标识。</w:t>
      </w:r>
    </w:p>
    <w:p w14:paraId="00947EBB">
      <w:pPr>
        <w:ind w:firstLine="422"/>
        <w:rPr>
          <w:rFonts w:hint="eastAsia" w:ascii="宋体" w:hAnsi="宋体" w:eastAsia="宋体" w:cs="宋体"/>
        </w:rPr>
      </w:pPr>
      <w:r>
        <w:rPr>
          <w:rFonts w:hint="eastAsia" w:ascii="宋体" w:hAnsi="宋体" w:eastAsia="宋体" w:cs="宋体"/>
          <w:b/>
        </w:rPr>
        <w:t>第十四条</w:t>
      </w:r>
      <w:r>
        <w:rPr>
          <w:rFonts w:hint="eastAsia" w:ascii="宋体" w:hAnsi="宋体" w:eastAsia="宋体" w:cs="宋体"/>
        </w:rPr>
        <w:t>　森林防火期外，在森林、林木、林地开展生产性野外用火的，应当经森林、林木、林地的经营管理者同意。</w:t>
      </w:r>
    </w:p>
    <w:p w14:paraId="7EB57931">
      <w:pPr>
        <w:rPr>
          <w:rFonts w:hint="eastAsia" w:ascii="宋体" w:hAnsi="宋体" w:eastAsia="宋体" w:cs="宋体"/>
        </w:rPr>
      </w:pPr>
      <w:r>
        <w:rPr>
          <w:rFonts w:hint="eastAsia" w:ascii="宋体" w:hAnsi="宋体" w:eastAsia="宋体" w:cs="宋体"/>
        </w:rPr>
        <w:t>森林防火期外，森林、林木、林地的经营管理者允许有关人员在其经营管理范围内开展野炊、烧烤等活动需要野外用火的，应当划定活动区域，设置醒目的用火界限，公示野外用火要求和注意事项，配备森林防火设备，确保用火安全。</w:t>
      </w:r>
    </w:p>
    <w:p w14:paraId="23A9B0B5">
      <w:pPr>
        <w:rPr>
          <w:rFonts w:hint="eastAsia" w:ascii="宋体" w:hAnsi="宋体" w:eastAsia="宋体" w:cs="宋体"/>
        </w:rPr>
      </w:pPr>
      <w:r>
        <w:rPr>
          <w:rFonts w:hint="eastAsia" w:ascii="宋体" w:hAnsi="宋体" w:eastAsia="宋体" w:cs="宋体"/>
        </w:rPr>
        <w:t>森林、林木、林地的经营管理者应当加强对用火行为的监督检查，预防森林火灾。</w:t>
      </w:r>
    </w:p>
    <w:p w14:paraId="2576DC34">
      <w:pPr>
        <w:ind w:firstLine="422"/>
        <w:rPr>
          <w:rFonts w:hint="eastAsia" w:ascii="宋体" w:hAnsi="宋体" w:eastAsia="宋体" w:cs="宋体"/>
        </w:rPr>
      </w:pPr>
      <w:r>
        <w:rPr>
          <w:rFonts w:hint="eastAsia" w:ascii="宋体" w:hAnsi="宋体" w:eastAsia="宋体" w:cs="宋体"/>
          <w:b/>
        </w:rPr>
        <w:t>第十五条</w:t>
      </w:r>
      <w:r>
        <w:rPr>
          <w:rFonts w:hint="eastAsia" w:ascii="宋体" w:hAnsi="宋体" w:eastAsia="宋体" w:cs="宋体"/>
        </w:rPr>
        <w:t>　森林、林木、林地的经营管理者配备的专职或者兼职护林员和本市设立的生态林管护员，负责巡视、管理野外用火，及时报告火情，协助有关机关调查森林火灾案件。</w:t>
      </w:r>
    </w:p>
    <w:p w14:paraId="1C82D7B9">
      <w:pPr>
        <w:rPr>
          <w:rFonts w:hint="eastAsia" w:ascii="宋体" w:hAnsi="宋体" w:eastAsia="宋体" w:cs="宋体"/>
        </w:rPr>
      </w:pPr>
      <w:r>
        <w:rPr>
          <w:rFonts w:hint="eastAsia" w:ascii="宋体" w:hAnsi="宋体" w:eastAsia="宋体" w:cs="宋体"/>
        </w:rPr>
        <w:t>区县园林绿化行政部门应当建立健全管理机构，明确生态林管护员的防火责任区域，完善生态林管护员的培训、考核和奖惩等制度，加强对生态林管护员的管理。</w:t>
      </w:r>
    </w:p>
    <w:p w14:paraId="63F5BA34">
      <w:pPr>
        <w:ind w:firstLine="422"/>
        <w:rPr>
          <w:rFonts w:hint="eastAsia" w:ascii="宋体" w:hAnsi="宋体" w:eastAsia="宋体" w:cs="宋体"/>
        </w:rPr>
      </w:pPr>
      <w:r>
        <w:rPr>
          <w:rFonts w:hint="eastAsia" w:ascii="宋体" w:hAnsi="宋体" w:eastAsia="宋体" w:cs="宋体"/>
          <w:b/>
        </w:rPr>
        <w:t>第十六条</w:t>
      </w:r>
      <w:r>
        <w:rPr>
          <w:rFonts w:hint="eastAsia" w:ascii="宋体" w:hAnsi="宋体" w:eastAsia="宋体" w:cs="宋体"/>
        </w:rPr>
        <w:t>　无民事行为能力人或者限制民事行为能力人的监护人，应当依法履行对被监护人的监护义务，防止因被监护人的不当用火引发森林火灾。</w:t>
      </w:r>
    </w:p>
    <w:p w14:paraId="1EF02373">
      <w:pPr>
        <w:ind w:firstLine="422"/>
        <w:rPr>
          <w:rFonts w:hint="eastAsia" w:ascii="宋体" w:hAnsi="宋体" w:eastAsia="宋体" w:cs="宋体"/>
        </w:rPr>
      </w:pPr>
      <w:r>
        <w:rPr>
          <w:rFonts w:hint="eastAsia" w:ascii="宋体" w:hAnsi="宋体" w:eastAsia="宋体" w:cs="宋体"/>
          <w:b/>
        </w:rPr>
        <w:t>第十七条</w:t>
      </w:r>
      <w:r>
        <w:rPr>
          <w:rFonts w:hint="eastAsia" w:ascii="宋体" w:hAnsi="宋体" w:eastAsia="宋体" w:cs="宋体"/>
        </w:rPr>
        <w:t>　市、区县、乡镇人民政府，国有有林企业、事业单位应当根据实际需要，成立专业森林消防队。</w:t>
      </w:r>
    </w:p>
    <w:p w14:paraId="11597AB6">
      <w:pPr>
        <w:rPr>
          <w:rFonts w:hint="eastAsia" w:ascii="宋体" w:hAnsi="宋体" w:eastAsia="宋体" w:cs="宋体"/>
        </w:rPr>
      </w:pPr>
      <w:r>
        <w:rPr>
          <w:rFonts w:hint="eastAsia" w:ascii="宋体" w:hAnsi="宋体" w:eastAsia="宋体" w:cs="宋体"/>
        </w:rPr>
        <w:t>专业森林消防队按照总队、大队、中队的建制设立。具体设立按照本市专业森林消防队建设标准执行。</w:t>
      </w:r>
    </w:p>
    <w:p w14:paraId="794A3119">
      <w:pPr>
        <w:ind w:firstLine="422"/>
        <w:rPr>
          <w:rFonts w:hint="eastAsia" w:ascii="宋体" w:hAnsi="宋体" w:eastAsia="宋体" w:cs="宋体"/>
        </w:rPr>
      </w:pPr>
      <w:r>
        <w:rPr>
          <w:rFonts w:hint="eastAsia" w:ascii="宋体" w:hAnsi="宋体" w:eastAsia="宋体" w:cs="宋体"/>
          <w:b/>
        </w:rPr>
        <w:t>第十八条</w:t>
      </w:r>
      <w:r>
        <w:rPr>
          <w:rFonts w:hint="eastAsia" w:ascii="宋体" w:hAnsi="宋体" w:eastAsia="宋体" w:cs="宋体"/>
        </w:rPr>
        <w:t>　任何单位和个人发现森林火灾，应当立即报警。相关单位和个人不得阻碍报警。报警属实的，森林防火指挥机构应当对报警人给予奖励。</w:t>
      </w:r>
    </w:p>
    <w:p w14:paraId="2C600007">
      <w:pPr>
        <w:ind w:firstLine="422"/>
        <w:rPr>
          <w:rFonts w:hint="eastAsia" w:ascii="宋体" w:hAnsi="宋体" w:eastAsia="宋体" w:cs="宋体"/>
        </w:rPr>
      </w:pPr>
      <w:r>
        <w:rPr>
          <w:rFonts w:hint="eastAsia" w:ascii="宋体" w:hAnsi="宋体" w:eastAsia="宋体" w:cs="宋体"/>
          <w:b/>
        </w:rPr>
        <w:t>第十九条</w:t>
      </w:r>
      <w:r>
        <w:rPr>
          <w:rFonts w:hint="eastAsia" w:ascii="宋体" w:hAnsi="宋体" w:eastAsia="宋体" w:cs="宋体"/>
        </w:rPr>
        <w:t>　森林防火指挥机构接到森林火灾报警后，应当立即按照规定启动森林火灾应急预案。应急预案由市和区县园林绿化行政部门按照有关规定编制，报本级人民政府批准。</w:t>
      </w:r>
    </w:p>
    <w:p w14:paraId="722BD67C">
      <w:pPr>
        <w:ind w:firstLine="422"/>
        <w:rPr>
          <w:rFonts w:hint="eastAsia" w:ascii="宋体" w:hAnsi="宋体" w:eastAsia="宋体" w:cs="宋体"/>
        </w:rPr>
      </w:pPr>
      <w:r>
        <w:rPr>
          <w:rFonts w:hint="eastAsia" w:ascii="宋体" w:hAnsi="宋体" w:eastAsia="宋体" w:cs="宋体"/>
          <w:b/>
        </w:rPr>
        <w:t>第二十条</w:t>
      </w:r>
      <w:r>
        <w:rPr>
          <w:rFonts w:hint="eastAsia" w:ascii="宋体" w:hAnsi="宋体" w:eastAsia="宋体" w:cs="宋体"/>
        </w:rPr>
        <w:t>　森林防火指挥机构按照森林火灾应急预案，统一组织和指挥森林火灾的扑救。</w:t>
      </w:r>
    </w:p>
    <w:p w14:paraId="0E9A2730">
      <w:pPr>
        <w:rPr>
          <w:rFonts w:hint="eastAsia" w:ascii="宋体" w:hAnsi="宋体" w:eastAsia="宋体" w:cs="宋体"/>
        </w:rPr>
      </w:pPr>
      <w:r>
        <w:rPr>
          <w:rFonts w:hint="eastAsia" w:ascii="宋体" w:hAnsi="宋体" w:eastAsia="宋体" w:cs="宋体"/>
        </w:rPr>
        <w:t>森林火灾主要由专业森林消防队扑救。专业森林消防队扑救森林火灾不得收取费用。</w:t>
      </w:r>
    </w:p>
    <w:p w14:paraId="28A45528">
      <w:pPr>
        <w:ind w:firstLine="422"/>
        <w:rPr>
          <w:rFonts w:hint="eastAsia" w:ascii="宋体" w:hAnsi="宋体" w:eastAsia="宋体" w:cs="宋体"/>
        </w:rPr>
      </w:pPr>
      <w:r>
        <w:rPr>
          <w:rFonts w:hint="eastAsia" w:ascii="宋体" w:hAnsi="宋体" w:eastAsia="宋体" w:cs="宋体"/>
          <w:b/>
        </w:rPr>
        <w:t>第二十一条</w:t>
      </w:r>
      <w:r>
        <w:rPr>
          <w:rFonts w:hint="eastAsia" w:ascii="宋体" w:hAnsi="宋体" w:eastAsia="宋体" w:cs="宋体"/>
        </w:rPr>
        <w:t>　森林防火专用车辆执行扑救森林火灾任务时，在确保安全的前提下，不受行驶速度、路线、方向和指挥信号的限制，其他车辆和行人应当让行。</w:t>
      </w:r>
    </w:p>
    <w:p w14:paraId="08DA2D8B">
      <w:pPr>
        <w:ind w:firstLine="422"/>
        <w:rPr>
          <w:rFonts w:hint="eastAsia" w:ascii="宋体" w:hAnsi="宋体" w:eastAsia="宋体" w:cs="宋体"/>
        </w:rPr>
      </w:pPr>
      <w:r>
        <w:rPr>
          <w:rFonts w:hint="eastAsia" w:ascii="宋体" w:hAnsi="宋体" w:eastAsia="宋体" w:cs="宋体"/>
          <w:b/>
        </w:rPr>
        <w:t>第二十二条</w:t>
      </w:r>
      <w:r>
        <w:rPr>
          <w:rFonts w:hint="eastAsia" w:ascii="宋体" w:hAnsi="宋体" w:eastAsia="宋体" w:cs="宋体"/>
        </w:rPr>
        <w:t>　森林火灾扑灭后，专业森林消防队应当将火场交给火灾发生地的乡镇人民政府，在办理交接手续后，方可撤离。</w:t>
      </w:r>
    </w:p>
    <w:p w14:paraId="648399BF">
      <w:r>
        <w:rPr>
          <w:rFonts w:hint="eastAsia"/>
        </w:rPr>
        <w:t>火灾发生地的乡镇人民政府应当组织人员对火灾现场进行清理，看守火场，经区县森林防火指挥机构验收合格后，方可撤出看守人员。</w:t>
      </w:r>
    </w:p>
    <w:p w14:paraId="298B86A6">
      <w:pPr>
        <w:ind w:firstLine="422"/>
      </w:pPr>
      <w:r>
        <w:rPr>
          <w:rFonts w:hint="eastAsia"/>
          <w:b/>
        </w:rPr>
        <w:t>第二十三条</w:t>
      </w:r>
      <w:r>
        <w:rPr>
          <w:rFonts w:hint="eastAsia"/>
        </w:rPr>
        <w:t>　对因扑救森林火灾负伤、致残或者死亡的人员，按照国家和本市有关规定给予医疗、抚恤。</w:t>
      </w:r>
    </w:p>
    <w:p w14:paraId="38BE2DB9">
      <w:r>
        <w:rPr>
          <w:rFonts w:hint="eastAsia"/>
        </w:rPr>
        <w:t>组建专业森林消防队的市、区县、乡镇人民政府和市园林绿化行政部门，应当分别为专业森林消防队员和从事森林防火的森林公安民警投保人身意外伤害保险，所需经费纳入本级部门预算。</w:t>
      </w:r>
    </w:p>
    <w:p w14:paraId="738B30F9">
      <w:r>
        <w:rPr>
          <w:rFonts w:hint="eastAsia"/>
        </w:rPr>
        <w:t>鼓励组建专业森林消防队的国有有林企业、事业单位为专业森林消防队员投保人身意外伤害保险。</w:t>
      </w:r>
    </w:p>
    <w:p w14:paraId="07C49D24">
      <w:pPr>
        <w:ind w:firstLine="422"/>
      </w:pPr>
      <w:r>
        <w:rPr>
          <w:rFonts w:hint="eastAsia"/>
          <w:b/>
        </w:rPr>
        <w:t>第二十四条</w:t>
      </w:r>
      <w:r>
        <w:rPr>
          <w:rFonts w:hint="eastAsia"/>
        </w:rPr>
        <w:t>　森林火灾造成森林、林木等森林资源损失的，损失鉴定由市园林绿化行政部门认定的林业调查设计机构承担。</w:t>
      </w:r>
    </w:p>
    <w:p w14:paraId="1A49F6EE">
      <w:pPr>
        <w:ind w:firstLine="422"/>
      </w:pPr>
      <w:r>
        <w:rPr>
          <w:rFonts w:hint="eastAsia"/>
          <w:b/>
        </w:rPr>
        <w:t>第二十五条</w:t>
      </w:r>
      <w:r>
        <w:rPr>
          <w:rFonts w:hint="eastAsia"/>
        </w:rPr>
        <w:t>　各级人民政府及其森林防火指挥机构、园林绿化行政部门或者其他有关部门及其工作人员违反《条例》和本办法，违法履行、不履行或者不当履行行政职责的，按照国家和本市有关规定给予行政问责和行政处分；构成犯罪的，依法追究刑事责任。</w:t>
      </w:r>
    </w:p>
    <w:p w14:paraId="6E6F635D">
      <w:pPr>
        <w:ind w:firstLine="422"/>
        <w:rPr>
          <w:rFonts w:hint="eastAsia" w:ascii="宋体" w:hAnsi="宋体" w:eastAsia="宋体" w:cs="宋体"/>
        </w:rPr>
      </w:pPr>
      <w:r>
        <w:rPr>
          <w:rFonts w:hint="eastAsia"/>
          <w:b/>
        </w:rPr>
        <w:t>第二十六条</w:t>
      </w:r>
      <w:r>
        <w:rPr>
          <w:rFonts w:hint="eastAsia"/>
        </w:rPr>
        <w:t>　违反本办法第七条规定，有在防火区吸烟、燃放烟花爆竹、施放孔明灯等可能引发森林火灾行为的，由区</w:t>
      </w:r>
      <w:r>
        <w:rPr>
          <w:rFonts w:hint="eastAsia" w:ascii="宋体" w:hAnsi="宋体" w:eastAsia="宋体" w:cs="宋体"/>
        </w:rPr>
        <w:t>县园林绿化行政部门责令改正，给予警告，可处100元以上1000元以下罚款；法律、法规、规章另有规定的，按照其规定执行。</w:t>
      </w:r>
    </w:p>
    <w:p w14:paraId="4A75DC0F">
      <w:pPr>
        <w:ind w:firstLine="422"/>
        <w:rPr>
          <w:rFonts w:hint="eastAsia" w:ascii="宋体" w:hAnsi="宋体" w:eastAsia="宋体" w:cs="宋体"/>
        </w:rPr>
      </w:pPr>
      <w:r>
        <w:rPr>
          <w:rFonts w:hint="eastAsia" w:ascii="宋体" w:hAnsi="宋体" w:eastAsia="宋体" w:cs="宋体"/>
          <w:b/>
        </w:rPr>
        <w:t>第二十七条</w:t>
      </w:r>
      <w:r>
        <w:rPr>
          <w:rFonts w:hint="eastAsia" w:ascii="宋体" w:hAnsi="宋体" w:eastAsia="宋体" w:cs="宋体"/>
        </w:rPr>
        <w:t>　违反本办法第八条第一款规定，企事业单位、旅游项目开办者未按照本市森林防火设施建设规范建设或者配备森林防火设施设备的，由区县园林绿化行政部门责令限期改正；逾期不改的，可处1万元以上10万元以下罚款。</w:t>
      </w:r>
    </w:p>
    <w:p w14:paraId="5EADBECA">
      <w:pPr>
        <w:ind w:firstLine="422"/>
        <w:rPr>
          <w:rFonts w:hint="eastAsia" w:ascii="宋体" w:hAnsi="宋体" w:eastAsia="宋体" w:cs="宋体"/>
        </w:rPr>
      </w:pPr>
      <w:r>
        <w:rPr>
          <w:rFonts w:hint="eastAsia" w:ascii="宋体" w:hAnsi="宋体" w:eastAsia="宋体" w:cs="宋体"/>
          <w:b/>
        </w:rPr>
        <w:t>第二十八条</w:t>
      </w:r>
      <w:r>
        <w:rPr>
          <w:rFonts w:hint="eastAsia" w:ascii="宋体" w:hAnsi="宋体" w:eastAsia="宋体" w:cs="宋体"/>
        </w:rPr>
        <w:t>　违反本办法第十三条第三款规定，损坏或者擅自移动、拆除森林防火设施设备、标识的，由区县园林绿化行政部门责令限期改正，可处500元以上5000元以下罚款。</w:t>
      </w:r>
    </w:p>
    <w:p w14:paraId="4A88D38A">
      <w:pPr>
        <w:ind w:firstLine="422"/>
        <w:rPr>
          <w:rFonts w:hint="eastAsia" w:ascii="宋体" w:hAnsi="宋体" w:eastAsia="宋体" w:cs="宋体"/>
        </w:rPr>
      </w:pPr>
      <w:r>
        <w:rPr>
          <w:rFonts w:hint="eastAsia" w:ascii="宋体" w:hAnsi="宋体" w:eastAsia="宋体" w:cs="宋体"/>
          <w:b/>
        </w:rPr>
        <w:t>第二十九条</w:t>
      </w:r>
      <w:r>
        <w:rPr>
          <w:rFonts w:hint="eastAsia" w:ascii="宋体" w:hAnsi="宋体" w:eastAsia="宋体" w:cs="宋体"/>
        </w:rPr>
        <w:t>　违反本办法第十四条规定，不接受森林、林木、林地的经营管理者对用火的管理、要求和检查，引起森林火灾的，由区县园林绿化行政部门处1000元以上1万元以下罚款。</w:t>
      </w:r>
    </w:p>
    <w:p w14:paraId="368ADC10">
      <w:pPr>
        <w:ind w:firstLine="422"/>
        <w:rPr>
          <w:rFonts w:hint="eastAsia" w:ascii="宋体" w:hAnsi="宋体" w:eastAsia="宋体" w:cs="宋体"/>
        </w:rPr>
      </w:pPr>
      <w:r>
        <w:rPr>
          <w:rFonts w:hint="eastAsia" w:ascii="宋体" w:hAnsi="宋体" w:eastAsia="宋体" w:cs="宋体"/>
          <w:b/>
        </w:rPr>
        <w:t>第三十条</w:t>
      </w:r>
      <w:r>
        <w:rPr>
          <w:rFonts w:hint="eastAsia" w:ascii="宋体" w:hAnsi="宋体" w:eastAsia="宋体" w:cs="宋体"/>
        </w:rPr>
        <w:t>　违反本办法规定，引起森林火灾，构成犯罪的，依法追究刑事责任；尚不构成犯罪的，除依照本办法的规定承担行政责任外，还应当依法承担民事责任。</w:t>
      </w:r>
    </w:p>
    <w:p w14:paraId="769F0FBD">
      <w:pPr>
        <w:ind w:firstLine="422"/>
        <w:rPr>
          <w:rFonts w:hint="eastAsia" w:ascii="宋体" w:hAnsi="宋体" w:eastAsia="宋体" w:cs="宋体"/>
        </w:rPr>
      </w:pPr>
      <w:r>
        <w:rPr>
          <w:rFonts w:hint="eastAsia" w:ascii="宋体" w:hAnsi="宋体" w:eastAsia="宋体" w:cs="宋体"/>
          <w:b/>
        </w:rPr>
        <w:t>第三十一条</w:t>
      </w:r>
      <w:r>
        <w:rPr>
          <w:rFonts w:hint="eastAsia" w:ascii="宋体" w:hAnsi="宋体" w:eastAsia="宋体" w:cs="宋体"/>
        </w:rPr>
        <w:t>　单位和个人违反本办法规定，《条例》规定有法律责任的，按照其规定执行。</w:t>
      </w:r>
    </w:p>
    <w:p w14:paraId="42641570">
      <w:pPr>
        <w:ind w:firstLine="422"/>
        <w:rPr>
          <w:rFonts w:hint="eastAsia" w:ascii="宋体" w:hAnsi="宋体" w:eastAsia="宋体" w:cs="宋体"/>
        </w:rPr>
      </w:pPr>
      <w:r>
        <w:rPr>
          <w:rFonts w:hint="eastAsia" w:ascii="宋体" w:hAnsi="宋体" w:eastAsia="宋体" w:cs="宋体"/>
          <w:b/>
        </w:rPr>
        <w:t>第三十二条</w:t>
      </w:r>
      <w:r>
        <w:rPr>
          <w:rFonts w:hint="eastAsia" w:ascii="宋体" w:hAnsi="宋体" w:eastAsia="宋体" w:cs="宋体"/>
        </w:rPr>
        <w:t>　本办法自2011年11月1日起施行。1989年10月24日北京市人民政府第29号令发布、根据2002年2月11日北京市人民政府第92号令修改的《北京市实施〈森林防火条例〉办法》和1991年3月29日北京市人民政府批准、1991年4月1日北京市林业局发布的《北京市林地防火区护林防火戒严期火源管制办法》同时废止。</w:t>
      </w:r>
    </w:p>
    <w:p w14:paraId="3848113D">
      <w:pPr>
        <w:pStyle w:val="3"/>
        <w:pageBreakBefore/>
      </w:pPr>
      <w:bookmarkStart w:id="2647" w:name="_Toc428781921"/>
      <w:bookmarkStart w:id="2648" w:name="_Toc428780811"/>
      <w:bookmarkStart w:id="2649" w:name="_Toc426467173"/>
      <w:r>
        <w:rPr>
          <w:rFonts w:hint="eastAsia"/>
        </w:rPr>
        <w:t>（四）河湖工程</w:t>
      </w:r>
      <w:bookmarkEnd w:id="2647"/>
      <w:bookmarkEnd w:id="2648"/>
      <w:bookmarkEnd w:id="2649"/>
    </w:p>
    <w:p w14:paraId="471194BB"/>
    <w:p w14:paraId="2494EFBC">
      <w:pPr>
        <w:pStyle w:val="4"/>
      </w:pPr>
      <w:bookmarkStart w:id="2650" w:name="_Toc428780812"/>
      <w:bookmarkStart w:id="2651" w:name="_Toc426467174"/>
      <w:bookmarkStart w:id="2652" w:name="_Toc428781922"/>
      <w:r>
        <w:rPr>
          <w:rFonts w:hint="eastAsia"/>
        </w:rPr>
        <w:t>北京市水利工程保护管理条例</w:t>
      </w:r>
      <w:bookmarkEnd w:id="2650"/>
      <w:bookmarkEnd w:id="2651"/>
      <w:bookmarkEnd w:id="2652"/>
    </w:p>
    <w:p w14:paraId="103B15B0">
      <w:pPr>
        <w:ind w:left="630" w:leftChars="300" w:right="630" w:rightChars="300"/>
        <w:rPr>
          <w:rFonts w:ascii="楷体" w:hAnsi="楷体" w:eastAsia="楷体"/>
        </w:rPr>
      </w:pPr>
      <w:r>
        <w:rPr>
          <w:rFonts w:hint="eastAsia" w:ascii="楷体" w:hAnsi="楷体" w:eastAsia="楷体"/>
        </w:rPr>
        <w:t>（1986年4月30日北京市第八届人民代表大会常务委员会第二十二次会议通过　根据1997年4月15日北京市第十届人民代表大会常务委员会第三十六次会议《关于修改〈北京市水利工程保护管理条例〉的决定》第一次修正　根据2010年12月23日北京市第十三届人民代表大会常务委员会第二十二次会议《关于修改部分地方性法规的决定》第二次修正）</w:t>
      </w:r>
    </w:p>
    <w:p w14:paraId="27135C08"/>
    <w:p w14:paraId="7DA9260C">
      <w:pPr>
        <w:ind w:firstLine="0" w:firstLineChars="0"/>
        <w:jc w:val="center"/>
        <w:rPr>
          <w:b/>
          <w:sz w:val="28"/>
        </w:rPr>
      </w:pPr>
      <w:r>
        <w:rPr>
          <w:rFonts w:hint="eastAsia"/>
          <w:b/>
          <w:sz w:val="28"/>
        </w:rPr>
        <w:t>第一章　总　则</w:t>
      </w:r>
    </w:p>
    <w:p w14:paraId="0A50DE72"/>
    <w:p w14:paraId="4ECE7792">
      <w:pPr>
        <w:ind w:firstLine="422"/>
      </w:pPr>
      <w:r>
        <w:rPr>
          <w:rFonts w:hint="eastAsia"/>
          <w:b/>
        </w:rPr>
        <w:t>第一条</w:t>
      </w:r>
      <w:r>
        <w:rPr>
          <w:rFonts w:hint="eastAsia"/>
        </w:rPr>
        <w:t xml:space="preserve">  为加强水利工程的保护和管理，充分发挥工程效益，促进工农业生产发展，保障城乡人民生活用水，确保首都防洪安全，特制定本条例。</w:t>
      </w:r>
    </w:p>
    <w:p w14:paraId="608B04F7">
      <w:pPr>
        <w:ind w:firstLine="422"/>
      </w:pPr>
      <w:r>
        <w:rPr>
          <w:rFonts w:hint="eastAsia"/>
          <w:b/>
        </w:rPr>
        <w:t>第二条</w:t>
      </w:r>
      <w:r>
        <w:rPr>
          <w:rFonts w:hint="eastAsia"/>
        </w:rPr>
        <w:t xml:space="preserve">  本市行政区域内的水利工程，包括河道、湖泊、防洪排涝工程，水库、蓄水、引水、提水工程，农田排灌、农村人畜饮水工程，水行政主管部门管理的水力发电工程以及附属于上述工程的土地、山场和设施，均按本条例管理。</w:t>
      </w:r>
    </w:p>
    <w:p w14:paraId="782572C8">
      <w:pPr>
        <w:ind w:firstLine="422"/>
      </w:pPr>
      <w:r>
        <w:rPr>
          <w:rFonts w:hint="eastAsia"/>
          <w:b/>
        </w:rPr>
        <w:t>第三条</w:t>
      </w:r>
      <w:r>
        <w:rPr>
          <w:rFonts w:hint="eastAsia"/>
        </w:rPr>
        <w:t xml:space="preserve">  市和区、县水行政主管部门是市和区、县人民政府管理水利工程的主管机关。</w:t>
      </w:r>
    </w:p>
    <w:p w14:paraId="624F37F5">
      <w:r>
        <w:rPr>
          <w:rFonts w:hint="eastAsia"/>
        </w:rPr>
        <w:t>市水行政主管部门主管全市水利工程管理工作。区、县水行政主管部门主管本区、县管辖的水利工程管理工作。乡（镇）人民政府设水利助理员，负责本乡（镇）管辖的水利工程管理工作。</w:t>
      </w:r>
    </w:p>
    <w:p w14:paraId="145AFF43">
      <w:pPr>
        <w:ind w:firstLine="422"/>
      </w:pPr>
      <w:r>
        <w:rPr>
          <w:rFonts w:hint="eastAsia"/>
          <w:b/>
        </w:rPr>
        <w:t>第四条</w:t>
      </w:r>
      <w:r>
        <w:rPr>
          <w:rFonts w:hint="eastAsia"/>
        </w:rPr>
        <w:t xml:space="preserve">  各级人民政府应制定水利建设、管理的规划和年度计划，用于水利工程建设和管理的资金，应占市和区、县、乡（镇）财政年度预算的适当比例。</w:t>
      </w:r>
    </w:p>
    <w:p w14:paraId="1339D133">
      <w:r>
        <w:rPr>
          <w:rFonts w:hint="eastAsia"/>
        </w:rPr>
        <w:t>实行计划供水，有偿供水。水费收入用于水利工程的保护管理、更新改造，不得挪作他用。</w:t>
      </w:r>
    </w:p>
    <w:p w14:paraId="4AE422BD">
      <w:r>
        <w:rPr>
          <w:rFonts w:hint="eastAsia"/>
        </w:rPr>
        <w:t>城市维护费和征收的排污费，应分别有适当数量和比例用于承担城市排水河道、沟渠的维护、管理。</w:t>
      </w:r>
    </w:p>
    <w:p w14:paraId="599860B4">
      <w:r>
        <w:rPr>
          <w:rFonts w:hint="eastAsia"/>
        </w:rPr>
        <w:t>集体经济组织管理的小型农田水利工程维护、更新、兴建所需资金，由受益的集体经济组织自筹。经济困难的，市和区、县、乡（镇）人民政府可给予适当补助。</w:t>
      </w:r>
    </w:p>
    <w:p w14:paraId="193206EA">
      <w:pPr>
        <w:ind w:firstLine="422"/>
      </w:pPr>
      <w:r>
        <w:rPr>
          <w:rFonts w:hint="eastAsia"/>
          <w:b/>
        </w:rPr>
        <w:t>第五条</w:t>
      </w:r>
      <w:r>
        <w:rPr>
          <w:rFonts w:hint="eastAsia"/>
        </w:rPr>
        <w:t xml:space="preserve">  集体经济组织管理的水利工程应当加强统一管理，建立、完善管理责任制。未经区、县水行政主管部门批准不得擅自拆毁、变卖或分给个人。</w:t>
      </w:r>
    </w:p>
    <w:p w14:paraId="73BB14B8">
      <w:pPr>
        <w:ind w:firstLine="422"/>
      </w:pPr>
      <w:r>
        <w:rPr>
          <w:rFonts w:hint="eastAsia"/>
          <w:b/>
        </w:rPr>
        <w:t>第六条</w:t>
      </w:r>
      <w:r>
        <w:rPr>
          <w:rFonts w:hint="eastAsia"/>
        </w:rPr>
        <w:t xml:space="preserve">  一切单位和个人都有保护水利工程设施的责任和参加防洪抢险的义务，并有权制止和检举损害水利工程的行为。</w:t>
      </w:r>
    </w:p>
    <w:p w14:paraId="51DB7871">
      <w:pPr>
        <w:spacing w:line="300" w:lineRule="exact"/>
      </w:pPr>
    </w:p>
    <w:p w14:paraId="49C1DC8D">
      <w:pPr>
        <w:ind w:firstLine="0" w:firstLineChars="0"/>
        <w:jc w:val="center"/>
        <w:rPr>
          <w:b/>
          <w:sz w:val="28"/>
        </w:rPr>
      </w:pPr>
      <w:r>
        <w:rPr>
          <w:rFonts w:hint="eastAsia"/>
          <w:b/>
          <w:sz w:val="28"/>
        </w:rPr>
        <w:t>第二章　工程保护与管理</w:t>
      </w:r>
    </w:p>
    <w:p w14:paraId="53D61189">
      <w:pPr>
        <w:spacing w:line="300" w:lineRule="exact"/>
      </w:pPr>
    </w:p>
    <w:p w14:paraId="63439263">
      <w:pPr>
        <w:ind w:firstLine="422"/>
      </w:pPr>
      <w:r>
        <w:rPr>
          <w:rFonts w:hint="eastAsia"/>
          <w:b/>
        </w:rPr>
        <w:t>第七条</w:t>
      </w:r>
      <w:r>
        <w:rPr>
          <w:rFonts w:hint="eastAsia"/>
        </w:rPr>
        <w:t xml:space="preserve">  市和区、县管理的水利工程和跨越区、县、乡（镇）的水利工程，分别由市和区、县水行政主管部门负责建立、健全管理机构。园林、市政工程管理部门和国营农场（林场、牧场）负责建立和健全所属水利工程的管理组织。乡（镇）设水利管理服务站。村集体经济组织管理的蓄水、引水和机井、扬水站、排灌渠道等水利工程，必须建立、健全管理组织或确定管理人员。</w:t>
      </w:r>
    </w:p>
    <w:p w14:paraId="02798034">
      <w:r>
        <w:rPr>
          <w:rFonts w:hint="eastAsia"/>
        </w:rPr>
        <w:t>水利工程管理机构、组织和管理人员的基本职责是：依照国家有关法律、法规和本条例，加强工程保护，预防和制止偷盗、损毁、哄抢等破坏水利工程设施的行为，并及时上报主管部门查处；维护、保养工程设施，确保工程完好；合理用水、节约用水，执行供水计划和防洪调度命令；建立各项管理制度，提高管理水平，充分发挥水利工程综合效益。</w:t>
      </w:r>
    </w:p>
    <w:p w14:paraId="357D4455">
      <w:pPr>
        <w:ind w:firstLine="422"/>
      </w:pPr>
      <w:r>
        <w:rPr>
          <w:rFonts w:hint="eastAsia"/>
          <w:b/>
        </w:rPr>
        <w:t>第八条</w:t>
      </w:r>
      <w:r>
        <w:rPr>
          <w:rFonts w:hint="eastAsia"/>
        </w:rPr>
        <w:t xml:space="preserve">  市和区、县管理的水库、引水渠和其他水利工程及附属的土地、山场属于各该工程的管理范围；两堤之间的河道及护堤地和无堤河道的设计行洪范围为河道的管理范围；排灌渠道及护渠地为渠道的管理范围。</w:t>
      </w:r>
    </w:p>
    <w:p w14:paraId="0BEB7A89">
      <w:r>
        <w:rPr>
          <w:rFonts w:hint="eastAsia"/>
        </w:rPr>
        <w:t>市和区、县管理的河道、渠道管理范围，由市和区、县水行政主管部门提出方案，报同级人民政府批准。集体经济组织管理的水利工程，包括机井、扬水站、渠道等小型农田水利工程的管理范围，按管理权限，分别由乡（镇）人民政府和集体经济组织划定。跨乡工程由区、县水行政主管部门划定。</w:t>
      </w:r>
    </w:p>
    <w:p w14:paraId="3180E97C">
      <w:r>
        <w:rPr>
          <w:rFonts w:hint="eastAsia"/>
        </w:rPr>
        <w:t>水利工程管理范围与公路等其他工程管理范围重叠交叉时，由双方协商解决，达不成协议的，按管辖权限报人民政府决定。</w:t>
      </w:r>
    </w:p>
    <w:p w14:paraId="6A2558FC">
      <w:r>
        <w:rPr>
          <w:rFonts w:hint="eastAsia"/>
        </w:rPr>
        <w:t>各类水利工程的管理范围，应标图立界，由水利工程管理单位管理。</w:t>
      </w:r>
    </w:p>
    <w:p w14:paraId="2D93BDF9">
      <w:pPr>
        <w:ind w:firstLine="422"/>
      </w:pPr>
      <w:r>
        <w:rPr>
          <w:rFonts w:hint="eastAsia"/>
          <w:b/>
        </w:rPr>
        <w:t>第九条</w:t>
      </w:r>
      <w:r>
        <w:rPr>
          <w:rFonts w:hint="eastAsia"/>
        </w:rPr>
        <w:t xml:space="preserve">  在水利工程的管理范围内，禁止下列行为：</w:t>
      </w:r>
    </w:p>
    <w:p w14:paraId="4B0532F7">
      <w:r>
        <w:rPr>
          <w:rFonts w:hint="eastAsia"/>
        </w:rPr>
        <w:t>（一）毁损水利工程、水工水文观测设施及通讯、照明、交通等附属设备；</w:t>
      </w:r>
    </w:p>
    <w:p w14:paraId="79BA55D7">
      <w:r>
        <w:rPr>
          <w:rFonts w:hint="eastAsia"/>
        </w:rPr>
        <w:t>（二）擅自建筑房屋和在河道及引水、排水渠内筑坝，在库区内填库造地；</w:t>
      </w:r>
    </w:p>
    <w:p w14:paraId="0FA920F9">
      <w:r>
        <w:rPr>
          <w:rFonts w:hint="eastAsia"/>
        </w:rPr>
        <w:t>（三）倾倒垃圾、渣土、工矿废弃物，修造坟墓和其他构筑物，堆放物料，围河养殖，挤占河道、沟渠；</w:t>
      </w:r>
    </w:p>
    <w:p w14:paraId="3B22F384">
      <w:bookmarkStart w:id="2653" w:name="_Toc428780813"/>
      <w:r>
        <w:rPr>
          <w:rFonts w:hint="eastAsia"/>
        </w:rPr>
        <w:t>（四）擅自爆破、采石、挖沙、取土、打井、采伐林木；</w:t>
      </w:r>
      <w:bookmarkEnd w:id="2653"/>
    </w:p>
    <w:p w14:paraId="522E6C15">
      <w:r>
        <w:rPr>
          <w:rFonts w:hint="eastAsia"/>
        </w:rPr>
        <w:t>（五）在坝顶、水闸交通桥行驶履带车辆、超重车辆；</w:t>
      </w:r>
    </w:p>
    <w:p w14:paraId="7878C311">
      <w:r>
        <w:rPr>
          <w:rFonts w:hint="eastAsia"/>
        </w:rPr>
        <w:t>（六）非管理人员开关、启闭水利设备；</w:t>
      </w:r>
    </w:p>
    <w:p w14:paraId="0AA0A363">
      <w:r>
        <w:rPr>
          <w:rFonts w:hint="eastAsia"/>
        </w:rPr>
        <w:t>（七）在堤防上及大型渠道内垦植、放牧；</w:t>
      </w:r>
    </w:p>
    <w:p w14:paraId="699D0D50">
      <w:r>
        <w:rPr>
          <w:rFonts w:hint="eastAsia"/>
        </w:rPr>
        <w:t>（八）在河道内修建套堤、高渠、高路。</w:t>
      </w:r>
    </w:p>
    <w:p w14:paraId="7A02B181">
      <w:pPr>
        <w:ind w:firstLine="422"/>
      </w:pPr>
      <w:r>
        <w:rPr>
          <w:rFonts w:hint="eastAsia"/>
          <w:b/>
        </w:rPr>
        <w:t>第十条</w:t>
      </w:r>
      <w:r>
        <w:rPr>
          <w:rFonts w:hint="eastAsia"/>
        </w:rPr>
        <w:t xml:space="preserve">  在重要河道、引水渠、排灌渠道管理范围的周围，市和区、县水行政主管部门根据保护水利工程的需要，可以提出水利工程保护范围，报同级人民政府批准。在保护范围内，不得从事挖沙取土、修建鱼池、擅自建房和爆破等危害水利工程的活动。违反的，除批评制止外，责令恢复原状。</w:t>
      </w:r>
    </w:p>
    <w:p w14:paraId="6CB0E900">
      <w:pPr>
        <w:ind w:firstLine="422"/>
      </w:pPr>
      <w:r>
        <w:rPr>
          <w:rFonts w:hint="eastAsia"/>
          <w:b/>
        </w:rPr>
        <w:t>第十一条</w:t>
      </w:r>
      <w:r>
        <w:rPr>
          <w:rFonts w:hint="eastAsia"/>
        </w:rPr>
        <w:t xml:space="preserve">  确有必要在水利工程管理范围和保护范围内进行建设的，应当按照保护水利工程安全的要求提出设计，根据水利工程管理权限分别报经市和区、县水行政主管部门审核同意，依照《北京市城乡规划条例》的规定报批。</w:t>
      </w:r>
    </w:p>
    <w:p w14:paraId="7E4783CA">
      <w:r>
        <w:rPr>
          <w:rFonts w:hint="eastAsia"/>
        </w:rPr>
        <w:t>工程建设单位应按照批准的设计施工，按期竣工。不按设计施工或不能按期竣工，影响蓄水、供水、排水和行洪的，水利工程管理机构可以责令建设单位停止施工、拆除或者采取其他保护措施。</w:t>
      </w:r>
    </w:p>
    <w:p w14:paraId="5D6BE7F3">
      <w:r>
        <w:rPr>
          <w:rFonts w:hint="eastAsia"/>
        </w:rPr>
        <w:t>建设施工如确需阻断或损坏排灌沟渠、涵闸、管道、堤坝、桥梁等工程的，建设单位应当事先报水行政主管部门批准，采取临时措施，保证原水利工程的效能，并在限期内修复或修建相应的工程设施。</w:t>
      </w:r>
    </w:p>
    <w:p w14:paraId="4D414143">
      <w:pPr>
        <w:ind w:firstLine="422"/>
      </w:pPr>
      <w:r>
        <w:rPr>
          <w:rFonts w:hint="eastAsia"/>
          <w:b/>
        </w:rPr>
        <w:t>第十二条</w:t>
      </w:r>
      <w:r>
        <w:rPr>
          <w:rFonts w:hint="eastAsia"/>
        </w:rPr>
        <w:t xml:space="preserve">  在同一个排灌系统内，未经上下游双方协商和上级水行政主管部门批准，不准阻断、扩大或缩小原有排灌沟渠。</w:t>
      </w:r>
    </w:p>
    <w:p w14:paraId="193B28CD">
      <w:pPr>
        <w:ind w:firstLine="422"/>
      </w:pPr>
      <w:r>
        <w:rPr>
          <w:rFonts w:hint="eastAsia"/>
          <w:b/>
        </w:rPr>
        <w:t>第十三条</w:t>
      </w:r>
      <w:r>
        <w:rPr>
          <w:rFonts w:hint="eastAsia"/>
        </w:rPr>
        <w:t xml:space="preserve">  扩建、改建和新建水利工程，必须服从水利工程管理的统一规划，按管理权限报市和区、县水行政主管部门批准或经市和区、县水行政主管部门审核，依照国家有关规定报上级主管机关批准。</w:t>
      </w:r>
    </w:p>
    <w:p w14:paraId="02359C6D">
      <w:r>
        <w:rPr>
          <w:rFonts w:hint="eastAsia"/>
        </w:rPr>
        <w:t>需要废除的水利工程，应当报原批准建设的机关核准，原有设备和物资必须妥善保管，可以由市和区、县水行政主管部门和乡（镇）人民政府有偿调剂使用。</w:t>
      </w:r>
    </w:p>
    <w:p w14:paraId="24442C5A">
      <w:pPr>
        <w:ind w:firstLine="422"/>
      </w:pPr>
      <w:r>
        <w:rPr>
          <w:rFonts w:hint="eastAsia"/>
          <w:b/>
        </w:rPr>
        <w:t>第十四条</w:t>
      </w:r>
      <w:r>
        <w:rPr>
          <w:rFonts w:hint="eastAsia"/>
        </w:rPr>
        <w:t>　由水行政主管部门供水的用水户必须按规定缴纳水费。逾期不缴纳的，加收滞纳金。经催缴仍不缴纳的，由市和区、县水行政主管部门申请人民法院强制执行。</w:t>
      </w:r>
    </w:p>
    <w:p w14:paraId="357F08B8">
      <w:r>
        <w:rPr>
          <w:rFonts w:hint="eastAsia"/>
        </w:rPr>
        <w:t>水费的核定、计收和管理办法，由市人民政府制定。</w:t>
      </w:r>
    </w:p>
    <w:p w14:paraId="05440EC0"/>
    <w:p w14:paraId="4217A5E4">
      <w:pPr>
        <w:ind w:firstLine="0" w:firstLineChars="0"/>
        <w:jc w:val="center"/>
        <w:rPr>
          <w:b/>
          <w:sz w:val="28"/>
        </w:rPr>
      </w:pPr>
      <w:r>
        <w:rPr>
          <w:rFonts w:hint="eastAsia"/>
          <w:b/>
          <w:sz w:val="28"/>
        </w:rPr>
        <w:t>第三章　防洪与清障</w:t>
      </w:r>
    </w:p>
    <w:p w14:paraId="2969397D"/>
    <w:p w14:paraId="6F400AB8">
      <w:pPr>
        <w:ind w:firstLine="422"/>
        <w:rPr>
          <w:rFonts w:hint="eastAsia" w:ascii="宋体" w:hAnsi="宋体" w:eastAsia="宋体" w:cs="宋体"/>
        </w:rPr>
      </w:pPr>
      <w:r>
        <w:rPr>
          <w:rFonts w:hint="eastAsia"/>
          <w:b/>
        </w:rPr>
        <w:t>第十五条</w:t>
      </w:r>
      <w:r>
        <w:rPr>
          <w:rFonts w:hint="eastAsia"/>
        </w:rPr>
        <w:t>　河道、水库按国家规</w:t>
      </w:r>
      <w:r>
        <w:rPr>
          <w:rFonts w:hint="eastAsia" w:ascii="宋体" w:hAnsi="宋体" w:eastAsia="宋体" w:cs="宋体"/>
        </w:rPr>
        <w:t>定的防洪标准设防。</w:t>
      </w:r>
    </w:p>
    <w:p w14:paraId="51568D76">
      <w:pPr>
        <w:rPr>
          <w:rFonts w:hint="eastAsia" w:ascii="宋体" w:hAnsi="宋体" w:eastAsia="宋体" w:cs="宋体"/>
        </w:rPr>
      </w:pPr>
      <w:r>
        <w:rPr>
          <w:rFonts w:hint="eastAsia" w:ascii="宋体" w:hAnsi="宋体" w:eastAsia="宋体" w:cs="宋体"/>
        </w:rPr>
        <w:t>永定河、潮白河、北运河、温榆河按50年一遇行洪标准清除行洪障碍物，清障范围由市水行政主管部门提出，报市人民政府批准。永定河卢沟桥以上分洪道和其他中、小河道的行洪清障标准及范围，由市和区、县水行政主管部门提出，报同级人民政府批准。</w:t>
      </w:r>
    </w:p>
    <w:p w14:paraId="321A8DCB">
      <w:pPr>
        <w:rPr>
          <w:rFonts w:hint="eastAsia" w:ascii="宋体" w:hAnsi="宋体" w:eastAsia="宋体" w:cs="宋体"/>
        </w:rPr>
      </w:pPr>
      <w:r>
        <w:rPr>
          <w:rFonts w:hint="eastAsia" w:ascii="宋体" w:hAnsi="宋体" w:eastAsia="宋体" w:cs="宋体"/>
        </w:rPr>
        <w:t>凡应当清除的行洪障碍物，本着“谁设障，谁清除”的原则，由市和区、县水行政主管部门向设障单位发出清障通知书，限期清除。设障单位有异议时，应当在接到清障通知书10日内向市和区、县人民政府提出，由市和区、县人民政府决定。逾期不清除行洪障碍物的，由市和区、县水行政主管部门申请人民法院强制执行。清除费用由设障单位或个人负担。</w:t>
      </w:r>
    </w:p>
    <w:p w14:paraId="57A727B8">
      <w:pPr>
        <w:ind w:firstLine="422"/>
        <w:rPr>
          <w:rFonts w:hint="eastAsia" w:ascii="宋体" w:hAnsi="宋体" w:eastAsia="宋体" w:cs="宋体"/>
        </w:rPr>
      </w:pPr>
      <w:r>
        <w:rPr>
          <w:rFonts w:hint="eastAsia" w:ascii="宋体" w:hAnsi="宋体" w:eastAsia="宋体" w:cs="宋体"/>
          <w:b/>
        </w:rPr>
        <w:t>第十六条</w:t>
      </w:r>
      <w:r>
        <w:rPr>
          <w:rFonts w:hint="eastAsia" w:ascii="宋体" w:hAnsi="宋体" w:eastAsia="宋体" w:cs="宋体"/>
        </w:rPr>
        <w:t>　不符合防洪设防标准严重壅水的桥梁、引路和其他跨河工程设施，该工程管理部门应当根据水行政主管部门的要求，在限期内改建、扩建。</w:t>
      </w:r>
    </w:p>
    <w:p w14:paraId="59095F46">
      <w:pPr>
        <w:ind w:firstLine="422"/>
        <w:rPr>
          <w:rFonts w:hint="eastAsia" w:ascii="宋体" w:hAnsi="宋体" w:eastAsia="宋体" w:cs="宋体"/>
        </w:rPr>
      </w:pPr>
      <w:r>
        <w:rPr>
          <w:rFonts w:hint="eastAsia" w:ascii="宋体" w:hAnsi="宋体" w:eastAsia="宋体" w:cs="宋体"/>
          <w:b/>
        </w:rPr>
        <w:t>第十七条</w:t>
      </w:r>
      <w:r>
        <w:rPr>
          <w:rFonts w:hint="eastAsia" w:ascii="宋体" w:hAnsi="宋体" w:eastAsia="宋体" w:cs="宋体"/>
        </w:rPr>
        <w:t>　河道内不得种植树木，经市和区、县水行政主管部门批准在滩地种植树木除外。现有影响行洪和水文测验的树木，应当限期清除。</w:t>
      </w:r>
    </w:p>
    <w:p w14:paraId="317ECADD">
      <w:pPr>
        <w:ind w:firstLine="422"/>
        <w:rPr>
          <w:rFonts w:hint="eastAsia" w:ascii="宋体" w:hAnsi="宋体" w:eastAsia="宋体" w:cs="宋体"/>
        </w:rPr>
      </w:pPr>
      <w:r>
        <w:rPr>
          <w:rFonts w:hint="eastAsia" w:ascii="宋体" w:hAnsi="宋体" w:eastAsia="宋体" w:cs="宋体"/>
          <w:b/>
        </w:rPr>
        <w:t>第十八条</w:t>
      </w:r>
      <w:r>
        <w:rPr>
          <w:rFonts w:hint="eastAsia" w:ascii="宋体" w:hAnsi="宋体" w:eastAsia="宋体" w:cs="宋体"/>
        </w:rPr>
        <w:t>　在河道内开采沙石，按照市人民政府的规定执行。</w:t>
      </w:r>
    </w:p>
    <w:p w14:paraId="4F172052">
      <w:pPr>
        <w:ind w:firstLine="422"/>
        <w:rPr>
          <w:rFonts w:hint="eastAsia" w:ascii="宋体" w:hAnsi="宋体" w:eastAsia="宋体" w:cs="宋体"/>
        </w:rPr>
      </w:pPr>
      <w:r>
        <w:rPr>
          <w:rFonts w:hint="eastAsia" w:ascii="宋体" w:hAnsi="宋体" w:eastAsia="宋体" w:cs="宋体"/>
          <w:b/>
        </w:rPr>
        <w:t>第十九条</w:t>
      </w:r>
      <w:r>
        <w:rPr>
          <w:rFonts w:hint="eastAsia" w:ascii="宋体" w:hAnsi="宋体" w:eastAsia="宋体" w:cs="宋体"/>
        </w:rPr>
        <w:t>　大、中型河道堤顶，除防汛、公安、消防、救护等特许车辆外，禁止其他机动车、兽力车通行。市和区、县水行政主管部门和交通部门确定的堤路结合地段不在此限。</w:t>
      </w:r>
    </w:p>
    <w:p w14:paraId="17ADDA7E">
      <w:pPr>
        <w:rPr>
          <w:rFonts w:hint="eastAsia" w:ascii="宋体" w:hAnsi="宋体" w:eastAsia="宋体" w:cs="宋体"/>
        </w:rPr>
      </w:pPr>
      <w:r>
        <w:rPr>
          <w:rFonts w:hint="eastAsia" w:ascii="宋体" w:hAnsi="宋体" w:eastAsia="宋体" w:cs="宋体"/>
        </w:rPr>
        <w:t>汛期交通应当服从市和区、县防汛抗旱指挥部的统一指挥。</w:t>
      </w:r>
    </w:p>
    <w:p w14:paraId="101F631E">
      <w:pPr>
        <w:ind w:firstLine="422"/>
      </w:pPr>
      <w:r>
        <w:rPr>
          <w:rFonts w:hint="eastAsia"/>
          <w:b/>
        </w:rPr>
        <w:t>第二十条</w:t>
      </w:r>
      <w:r>
        <w:rPr>
          <w:rFonts w:hint="eastAsia"/>
        </w:rPr>
        <w:t>　防洪工作应统一指挥、统一调度，分级、分段负责。任何单位和个人必须执行防洪调度命令。</w:t>
      </w:r>
    </w:p>
    <w:p w14:paraId="3D1C870E">
      <w:r>
        <w:rPr>
          <w:rFonts w:hint="eastAsia"/>
        </w:rPr>
        <w:t>永定河、北运河、温榆河、潮白河、城市河湖及大、中型水库防洪调度命令，根据国务院有关规定由市防汛抗旱指挥部下达，其他河道和水库的防洪调度命令由区、县防汛抗旱指挥部下达。</w:t>
      </w:r>
    </w:p>
    <w:p w14:paraId="54E9DF22"/>
    <w:p w14:paraId="3BB61736">
      <w:pPr>
        <w:ind w:firstLine="0" w:firstLineChars="0"/>
        <w:jc w:val="center"/>
        <w:rPr>
          <w:b/>
          <w:sz w:val="28"/>
        </w:rPr>
      </w:pPr>
      <w:r>
        <w:rPr>
          <w:rFonts w:hint="eastAsia"/>
          <w:b/>
          <w:sz w:val="28"/>
        </w:rPr>
        <w:t>第四章　奖励与惩罚</w:t>
      </w:r>
    </w:p>
    <w:p w14:paraId="08BE0478"/>
    <w:p w14:paraId="39CAE624">
      <w:pPr>
        <w:ind w:firstLine="422"/>
      </w:pPr>
      <w:r>
        <w:rPr>
          <w:rFonts w:hint="eastAsia"/>
          <w:b/>
        </w:rPr>
        <w:t>第二十一条</w:t>
      </w:r>
      <w:r>
        <w:rPr>
          <w:rFonts w:hint="eastAsia"/>
        </w:rPr>
        <w:t>　对认真贯彻执行本条例、积极参加防洪抢险，保护管理水利工程设施成绩显著的单位和个人，由各级人民政府或市和区、县水行政主管部门给予奖励。</w:t>
      </w:r>
    </w:p>
    <w:p w14:paraId="563040F4">
      <w:pPr>
        <w:ind w:firstLine="422"/>
        <w:rPr>
          <w:rFonts w:hint="eastAsia" w:ascii="宋体" w:hAnsi="宋体" w:eastAsia="宋体" w:cs="宋体"/>
        </w:rPr>
      </w:pPr>
      <w:r>
        <w:rPr>
          <w:rFonts w:hint="eastAsia"/>
          <w:b/>
        </w:rPr>
        <w:t>第二十二条</w:t>
      </w:r>
      <w:r>
        <w:rPr>
          <w:rFonts w:hint="eastAsia"/>
        </w:rPr>
        <w:t>　</w:t>
      </w:r>
      <w:r>
        <w:rPr>
          <w:rFonts w:hint="eastAsia" w:ascii="宋体" w:hAnsi="宋体" w:eastAsia="宋体" w:cs="宋体"/>
        </w:rPr>
        <w:t>有下列行为之一的单位或个人，给予处罚：</w:t>
      </w:r>
    </w:p>
    <w:p w14:paraId="425097EE">
      <w:pPr>
        <w:rPr>
          <w:rFonts w:hint="eastAsia" w:ascii="宋体" w:hAnsi="宋体" w:eastAsia="宋体" w:cs="宋体"/>
        </w:rPr>
      </w:pPr>
      <w:r>
        <w:rPr>
          <w:rFonts w:hint="eastAsia" w:ascii="宋体" w:hAnsi="宋体" w:eastAsia="宋体" w:cs="宋体"/>
        </w:rPr>
        <w:t>（一）违反本条例第九条第一项，情节显著轻微的，除令其负责修复或照价赔偿外，并处以损失金额1倍以下的罚款。</w:t>
      </w:r>
    </w:p>
    <w:p w14:paraId="2D7BDCD5">
      <w:pPr>
        <w:rPr>
          <w:rFonts w:hint="eastAsia" w:ascii="宋体" w:hAnsi="宋体" w:eastAsia="宋体" w:cs="宋体"/>
        </w:rPr>
      </w:pPr>
      <w:r>
        <w:rPr>
          <w:rFonts w:hint="eastAsia" w:ascii="宋体" w:hAnsi="宋体" w:eastAsia="宋体" w:cs="宋体"/>
        </w:rPr>
        <w:t>（二）违反本条例第九条第二项、第八项规定的，应当限期清除。本条例施行后，在河道和引水、排水渠管理范围内进行违章建筑的，除限期清除外，按违章建筑工程总面积每平方米处5元至50元的罚款或按违章建设工程总造价处1%至5%的罚款，并对违章单位的主管负责人、直接责任人处100元至本人6个月收入的罚款。</w:t>
      </w:r>
    </w:p>
    <w:p w14:paraId="06233660">
      <w:pPr>
        <w:rPr>
          <w:rFonts w:hint="eastAsia" w:ascii="宋体" w:hAnsi="宋体" w:eastAsia="宋体" w:cs="宋体"/>
        </w:rPr>
      </w:pPr>
      <w:r>
        <w:rPr>
          <w:rFonts w:hint="eastAsia" w:ascii="宋体" w:hAnsi="宋体" w:eastAsia="宋体" w:cs="宋体"/>
        </w:rPr>
        <w:t>（三）违反本条例第九条第三项的，除恢复原状外，对倾倒垃圾、渣土、工矿废弃物的，每倾倒1吨罚款1000元，对直接责任人罚款200元，并在限期内清运干净。逾期未清运干净的，每超过1天每吨加罚50元。</w:t>
      </w:r>
    </w:p>
    <w:p w14:paraId="1D8F174C">
      <w:pPr>
        <w:rPr>
          <w:rFonts w:hint="eastAsia" w:ascii="宋体" w:hAnsi="宋体" w:eastAsia="宋体" w:cs="宋体"/>
        </w:rPr>
      </w:pPr>
      <w:r>
        <w:rPr>
          <w:rFonts w:hint="eastAsia" w:ascii="宋体" w:hAnsi="宋体" w:eastAsia="宋体" w:cs="宋体"/>
        </w:rPr>
        <w:t>（四）违反本条例第九条第四项规定的，除责令纠正违法行为、赔偿损失、采取补救措施外，并处以罚款。擅自爆破、打井的，处工程造价1倍的罚款；擅自采石、挖沙、取土的，处价值1倍的罚款；擅自采伐林木的，按本市林木资源保护管理法规处理。</w:t>
      </w:r>
    </w:p>
    <w:p w14:paraId="35F9BB2C">
      <w:pPr>
        <w:rPr>
          <w:rFonts w:hint="eastAsia" w:ascii="宋体" w:hAnsi="宋体" w:eastAsia="宋体" w:cs="宋体"/>
        </w:rPr>
      </w:pPr>
      <w:r>
        <w:rPr>
          <w:rFonts w:hint="eastAsia" w:ascii="宋体" w:hAnsi="宋体" w:eastAsia="宋体" w:cs="宋体"/>
        </w:rPr>
        <w:t>（五）违反本条例第九条第五、六、七项和第十九条的，根据情节，给予批评教育，并可处200元以下罚款。在堤坝及大型渠道垦植的，还应令其恢复地貌。</w:t>
      </w:r>
    </w:p>
    <w:p w14:paraId="0406C80C">
      <w:pPr>
        <w:rPr>
          <w:rFonts w:hint="eastAsia" w:ascii="宋体" w:hAnsi="宋体" w:eastAsia="宋体" w:cs="宋体"/>
        </w:rPr>
      </w:pPr>
      <w:r>
        <w:rPr>
          <w:rFonts w:hint="eastAsia" w:ascii="宋体" w:hAnsi="宋体" w:eastAsia="宋体" w:cs="宋体"/>
        </w:rPr>
        <w:t>（六）偷盗水利工程设施，数额很小、情节显著轻微的，追回赃物或照价赔偿。违反治安管理的，依照《中华人民共和国治安管理处罚法》处理。</w:t>
      </w:r>
    </w:p>
    <w:p w14:paraId="6D8E2BDA">
      <w:pPr>
        <w:rPr>
          <w:rFonts w:hint="eastAsia" w:ascii="宋体" w:hAnsi="宋体" w:eastAsia="宋体" w:cs="宋体"/>
        </w:rPr>
      </w:pPr>
      <w:r>
        <w:rPr>
          <w:rFonts w:hint="eastAsia" w:ascii="宋体" w:hAnsi="宋体" w:eastAsia="宋体" w:cs="宋体"/>
        </w:rPr>
        <w:t>毁坏、盗窃或以其他方法破坏水利工程设施及附属设备构成犯罪的，依法追究刑事责任。</w:t>
      </w:r>
    </w:p>
    <w:p w14:paraId="4459031B">
      <w:pPr>
        <w:ind w:firstLine="422"/>
        <w:rPr>
          <w:rFonts w:hint="eastAsia" w:ascii="宋体" w:hAnsi="宋体" w:eastAsia="宋体" w:cs="宋体"/>
        </w:rPr>
      </w:pPr>
      <w:r>
        <w:rPr>
          <w:rFonts w:hint="eastAsia" w:ascii="宋体" w:hAnsi="宋体" w:eastAsia="宋体" w:cs="宋体"/>
          <w:b/>
        </w:rPr>
        <w:t>第二十三条</w:t>
      </w:r>
      <w:r>
        <w:rPr>
          <w:rFonts w:hint="eastAsia" w:ascii="宋体" w:hAnsi="宋体" w:eastAsia="宋体" w:cs="宋体"/>
        </w:rPr>
        <w:t>　根据第二十二条处以罚款的，行政处罚决定按照水利工程管理权限，分别由市和区、县水行政、园林绿化、市政工程主管机关作出。当事人对罚款决定不服的，可以依法申请行政复议或者提起行政诉讼。逾期不申请复议、不起诉又不履行的，由作出决定的机关申请人民法院强制执行。</w:t>
      </w:r>
    </w:p>
    <w:p w14:paraId="720AD7B8">
      <w:pPr>
        <w:ind w:firstLine="422"/>
        <w:rPr>
          <w:rFonts w:hint="eastAsia" w:ascii="宋体" w:hAnsi="宋体" w:eastAsia="宋体" w:cs="宋体"/>
        </w:rPr>
      </w:pPr>
      <w:r>
        <w:rPr>
          <w:rFonts w:hint="eastAsia" w:ascii="宋体" w:hAnsi="宋体" w:eastAsia="宋体" w:cs="宋体"/>
          <w:b/>
        </w:rPr>
        <w:t>第二十四条</w:t>
      </w:r>
      <w:r>
        <w:rPr>
          <w:rFonts w:hint="eastAsia" w:ascii="宋体" w:hAnsi="宋体" w:eastAsia="宋体" w:cs="宋体"/>
        </w:rPr>
        <w:t>　对拒不执行防洪调度命令，尚未造成后果的，应当追究责任人员的行政责任；构成犯罪的，依法追究刑事责任。</w:t>
      </w:r>
    </w:p>
    <w:p w14:paraId="61A34C21">
      <w:pPr>
        <w:ind w:firstLine="422"/>
        <w:rPr>
          <w:rFonts w:hint="eastAsia" w:ascii="宋体" w:hAnsi="宋体" w:eastAsia="宋体" w:cs="宋体"/>
        </w:rPr>
      </w:pPr>
      <w:r>
        <w:rPr>
          <w:rFonts w:hint="eastAsia" w:ascii="宋体" w:hAnsi="宋体" w:eastAsia="宋体" w:cs="宋体"/>
          <w:b/>
        </w:rPr>
        <w:t>第二十五条</w:t>
      </w:r>
      <w:r>
        <w:rPr>
          <w:rFonts w:hint="eastAsia" w:ascii="宋体" w:hAnsi="宋体" w:eastAsia="宋体" w:cs="宋体"/>
        </w:rPr>
        <w:t>　在水利工程管理工作中，滥用职权、徇私舞弊、玩忽职守的，视情节和后果，追究责任人员的行政责任或刑事责任。</w:t>
      </w:r>
    </w:p>
    <w:p w14:paraId="108CF246">
      <w:pPr>
        <w:ind w:firstLine="422"/>
      </w:pPr>
      <w:r>
        <w:rPr>
          <w:rFonts w:hint="eastAsia"/>
          <w:b/>
        </w:rPr>
        <w:t>第二十六条</w:t>
      </w:r>
      <w:r>
        <w:rPr>
          <w:rFonts w:hint="eastAsia"/>
        </w:rPr>
        <w:t>　拒绝、阻碍水利工程管理人员依法执行职务，未使用暴力、威胁方法的，依照《中华人民共和国治安管理处罚法》处理；构成犯罪的，依法追究刑事责任。</w:t>
      </w:r>
    </w:p>
    <w:p w14:paraId="4A07110F">
      <w:pPr>
        <w:spacing w:line="300" w:lineRule="exact"/>
      </w:pPr>
    </w:p>
    <w:p w14:paraId="0C347C3A">
      <w:pPr>
        <w:ind w:firstLine="562"/>
        <w:jc w:val="center"/>
        <w:rPr>
          <w:b/>
          <w:sz w:val="28"/>
        </w:rPr>
      </w:pPr>
      <w:r>
        <w:rPr>
          <w:rFonts w:hint="eastAsia"/>
          <w:b/>
          <w:sz w:val="28"/>
        </w:rPr>
        <w:t>第五章　附　则</w:t>
      </w:r>
    </w:p>
    <w:p w14:paraId="0A3FC0D5">
      <w:pPr>
        <w:spacing w:line="300" w:lineRule="exact"/>
      </w:pPr>
    </w:p>
    <w:p w14:paraId="1DD061A5">
      <w:pPr>
        <w:ind w:firstLine="422"/>
      </w:pPr>
      <w:r>
        <w:rPr>
          <w:rFonts w:hint="eastAsia"/>
          <w:b/>
        </w:rPr>
        <w:t>第二十七条</w:t>
      </w:r>
      <w:r>
        <w:rPr>
          <w:rFonts w:hint="eastAsia"/>
        </w:rPr>
        <w:t>　本条例的具体应用问题，由北京市水行政主管部门解释。</w:t>
      </w:r>
    </w:p>
    <w:p w14:paraId="673DC64D">
      <w:pPr>
        <w:ind w:firstLine="422"/>
      </w:pPr>
      <w:r>
        <w:rPr>
          <w:rFonts w:hint="eastAsia"/>
          <w:b/>
        </w:rPr>
        <w:t>第二十八条</w:t>
      </w:r>
      <w:r>
        <w:rPr>
          <w:rFonts w:hint="eastAsia"/>
        </w:rPr>
        <w:t>　本条例</w:t>
      </w:r>
      <w:r>
        <w:rPr>
          <w:rFonts w:hint="eastAsia" w:ascii="宋体" w:hAnsi="宋体" w:eastAsia="宋体" w:cs="宋体"/>
        </w:rPr>
        <w:t>自1986年6月1日</w:t>
      </w:r>
      <w:r>
        <w:rPr>
          <w:rFonts w:hint="eastAsia"/>
        </w:rPr>
        <w:t>起施行。《北京市水利工程管理办法》和《北京市革命委员会关于保护水利工程的布告》同时废止。</w:t>
      </w:r>
    </w:p>
    <w:p w14:paraId="3037051E">
      <w:pPr>
        <w:pStyle w:val="4"/>
        <w:pageBreakBefore/>
      </w:pPr>
      <w:bookmarkStart w:id="2654" w:name="_Toc428780814"/>
      <w:bookmarkStart w:id="2655" w:name="_Toc426467175"/>
      <w:bookmarkStart w:id="2656" w:name="_Toc428781923"/>
      <w:r>
        <w:rPr>
          <w:rFonts w:hint="eastAsia"/>
        </w:rPr>
        <w:t>北京市密云水库怀柔水库和</w:t>
      </w:r>
      <w:bookmarkEnd w:id="2654"/>
      <w:bookmarkEnd w:id="2655"/>
      <w:bookmarkEnd w:id="2656"/>
    </w:p>
    <w:p w14:paraId="31063B70">
      <w:pPr>
        <w:pStyle w:val="4"/>
      </w:pPr>
      <w:bookmarkStart w:id="2657" w:name="_Toc426467176"/>
      <w:bookmarkStart w:id="2658" w:name="_Toc428780815"/>
      <w:bookmarkStart w:id="2659" w:name="_Toc428781924"/>
      <w:r>
        <w:rPr>
          <w:rFonts w:hint="eastAsia"/>
        </w:rPr>
        <w:t>京密引水渠水源保护管理条例</w:t>
      </w:r>
      <w:bookmarkEnd w:id="2657"/>
      <w:bookmarkEnd w:id="2658"/>
      <w:bookmarkEnd w:id="2659"/>
    </w:p>
    <w:p w14:paraId="10160ED2">
      <w:pPr>
        <w:ind w:left="630" w:leftChars="300" w:right="630" w:rightChars="300"/>
        <w:rPr>
          <w:rFonts w:ascii="楷体" w:hAnsi="楷体" w:eastAsia="楷体"/>
        </w:rPr>
      </w:pPr>
      <w:r>
        <w:rPr>
          <w:rFonts w:hint="eastAsia" w:ascii="楷体" w:hAnsi="楷体" w:eastAsia="楷体"/>
        </w:rPr>
        <w:t>（1995年7月27日北京市第十届人民代表大会常务委员会第十九次会议通过　根据1999年7月30日北京市第十一届人民代表大会常务委员会第十二次会议《关于修改〈北京市密云水库怀柔水库和京密引水渠水源保护管理条例〉的决定》修正）</w:t>
      </w:r>
    </w:p>
    <w:p w14:paraId="0B33BEDC"/>
    <w:p w14:paraId="5C1AEF79">
      <w:pPr>
        <w:ind w:firstLine="0" w:firstLineChars="0"/>
        <w:jc w:val="center"/>
        <w:rPr>
          <w:b/>
          <w:sz w:val="28"/>
        </w:rPr>
      </w:pPr>
      <w:r>
        <w:rPr>
          <w:rFonts w:hint="eastAsia"/>
          <w:b/>
          <w:sz w:val="28"/>
        </w:rPr>
        <w:t>第一章　总　则</w:t>
      </w:r>
    </w:p>
    <w:p w14:paraId="06E410F0"/>
    <w:p w14:paraId="5E0E2B89">
      <w:pPr>
        <w:ind w:firstLine="422"/>
      </w:pPr>
      <w:r>
        <w:rPr>
          <w:rFonts w:hint="eastAsia"/>
          <w:b/>
        </w:rPr>
        <w:t>第一条</w:t>
      </w:r>
      <w:r>
        <w:rPr>
          <w:rFonts w:hint="eastAsia"/>
        </w:rPr>
        <w:t xml:space="preserve">  为加强密云水库、怀柔水库和京密引水渠（以下简称两库一渠）水源保护，防止水质污染，保障人民身体健康，促进国民经济和社会发展，根据国家有关法律、法规，结合本市实际情况，制定本条例。</w:t>
      </w:r>
    </w:p>
    <w:p w14:paraId="232CFCF7">
      <w:pPr>
        <w:ind w:firstLine="422"/>
      </w:pPr>
      <w:r>
        <w:rPr>
          <w:rFonts w:hint="eastAsia"/>
          <w:b/>
        </w:rPr>
        <w:t>第二条</w:t>
      </w:r>
      <w:r>
        <w:rPr>
          <w:rFonts w:hint="eastAsia"/>
        </w:rPr>
        <w:t xml:space="preserve">  本条例适用于两库一渠在本市行政区域内的保护范围。</w:t>
      </w:r>
    </w:p>
    <w:p w14:paraId="1109F43C">
      <w:pPr>
        <w:ind w:firstLine="422"/>
      </w:pPr>
      <w:r>
        <w:rPr>
          <w:rFonts w:hint="eastAsia"/>
          <w:b/>
        </w:rPr>
        <w:t>第三条</w:t>
      </w:r>
      <w:r>
        <w:rPr>
          <w:rFonts w:hint="eastAsia"/>
        </w:rPr>
        <w:t xml:space="preserve">  市人民政府应当将两库一渠水源保护管理工作纳入国民经济和社会发展计划，采取有力的对策和措施，促进两库一渠水源保护管理工作。</w:t>
      </w:r>
    </w:p>
    <w:p w14:paraId="4AA4C20E">
      <w:pPr>
        <w:ind w:firstLine="422"/>
      </w:pPr>
      <w:r>
        <w:rPr>
          <w:rFonts w:hint="eastAsia"/>
          <w:b/>
        </w:rPr>
        <w:t>第四条</w:t>
      </w:r>
      <w:r>
        <w:rPr>
          <w:rFonts w:hint="eastAsia"/>
        </w:rPr>
        <w:t xml:space="preserve">  市环境保护局对本条例的实施实行统一监督管理。</w:t>
      </w:r>
    </w:p>
    <w:p w14:paraId="504CBCE5">
      <w:r>
        <w:rPr>
          <w:rFonts w:hint="eastAsia"/>
        </w:rPr>
        <w:t>密云县、怀柔县人民政府和京密引水渠沿线的其他区、县人民政府在本区、县范围内负责本条例的组织实施。</w:t>
      </w:r>
    </w:p>
    <w:p w14:paraId="6DDC0FF9">
      <w:r>
        <w:rPr>
          <w:rFonts w:hint="eastAsia"/>
        </w:rPr>
        <w:t>密云县、怀柔县环境保护局和京密引水渠沿线的其他区、县环境保护局在辖区内对实施本条例实行监督管理，检查辖区内单位和个人遵守本条例的情况。</w:t>
      </w:r>
    </w:p>
    <w:p w14:paraId="0E8916A3">
      <w:r>
        <w:rPr>
          <w:rFonts w:hint="eastAsia"/>
        </w:rPr>
        <w:t>市计划、规划、建设、水利、公用、林业、公安、卫生等管理部门，按照各自的职责，负责两库一渠水源保护管理工作。</w:t>
      </w:r>
    </w:p>
    <w:p w14:paraId="0D622286">
      <w:pPr>
        <w:ind w:firstLine="422"/>
      </w:pPr>
      <w:r>
        <w:rPr>
          <w:rFonts w:hint="eastAsia"/>
          <w:b/>
        </w:rPr>
        <w:t>第五条</w:t>
      </w:r>
      <w:r>
        <w:rPr>
          <w:rFonts w:hint="eastAsia"/>
        </w:rPr>
        <w:t xml:space="preserve">  任何单位和个人都有保护两库一渠水源不受污染的义务，有权对污染两库一渠水质的行为进行劝阻、检举和控告。</w:t>
      </w:r>
    </w:p>
    <w:p w14:paraId="45C3D3D3">
      <w:pPr>
        <w:ind w:firstLine="422"/>
      </w:pPr>
      <w:r>
        <w:rPr>
          <w:rFonts w:hint="eastAsia"/>
          <w:b/>
        </w:rPr>
        <w:t>第六条</w:t>
      </w:r>
      <w:r>
        <w:rPr>
          <w:rFonts w:hint="eastAsia"/>
        </w:rPr>
        <w:t xml:space="preserve">  对在两库一渠水源保护的科学技术研究、先进技术推广以及在水源保护管理工作中成绩突出的单位和个人，由市人民政府给予表彰和奖励。</w:t>
      </w:r>
    </w:p>
    <w:p w14:paraId="0DC89D66"/>
    <w:p w14:paraId="3C13E349">
      <w:pPr>
        <w:ind w:firstLine="0" w:firstLineChars="0"/>
        <w:jc w:val="center"/>
        <w:rPr>
          <w:b/>
          <w:sz w:val="28"/>
        </w:rPr>
      </w:pPr>
      <w:r>
        <w:rPr>
          <w:rFonts w:hint="eastAsia"/>
          <w:b/>
          <w:sz w:val="28"/>
        </w:rPr>
        <w:t>第二章　保护区的划定</w:t>
      </w:r>
    </w:p>
    <w:p w14:paraId="26AED711"/>
    <w:p w14:paraId="74CF1EBF">
      <w:pPr>
        <w:ind w:firstLine="422"/>
        <w:rPr>
          <w:rFonts w:hint="eastAsia"/>
        </w:rPr>
      </w:pPr>
      <w:r>
        <w:rPr>
          <w:rFonts w:hint="eastAsia"/>
          <w:b/>
        </w:rPr>
        <w:t>第七条</w:t>
      </w:r>
      <w:r>
        <w:rPr>
          <w:rFonts w:hint="eastAsia"/>
        </w:rPr>
        <w:t xml:space="preserve">  按照水源保护管理要求，两库一渠水源保护范围划分为一、二、三级保护区。    </w:t>
      </w:r>
    </w:p>
    <w:p w14:paraId="67D3F917">
      <w:pPr>
        <w:ind w:firstLine="422"/>
      </w:pPr>
      <w:r>
        <w:rPr>
          <w:rFonts w:hint="eastAsia"/>
          <w:b/>
        </w:rPr>
        <w:t>第八条</w:t>
      </w:r>
      <w:r>
        <w:rPr>
          <w:rFonts w:hint="eastAsia"/>
        </w:rPr>
        <w:t xml:space="preserve">  密云水库一级保护区为密云水库环库公路以内（荞麦峪西侧至口门子村、城子以南至黄土洼以北、前保峪岭至老爷庙背水一侧及鲶鱼沟南背水一侧划定的区域除外），包括内湖区及环库公路以外由市人民政府划定的近水地带。</w:t>
      </w:r>
    </w:p>
    <w:p w14:paraId="77953441">
      <w:pPr>
        <w:ind w:firstLine="422"/>
      </w:pPr>
      <w:r>
        <w:rPr>
          <w:rFonts w:hint="eastAsia"/>
          <w:b/>
        </w:rPr>
        <w:t>第九条</w:t>
      </w:r>
      <w:r>
        <w:rPr>
          <w:rFonts w:hint="eastAsia"/>
        </w:rPr>
        <w:t xml:space="preserve">  怀柔水库一级保护区为怀柔水库主坝分水线、长副坝、怀沙公路、京通铁路、怀黄三十五千伏高压线、山脊线一圈以内。</w:t>
      </w:r>
    </w:p>
    <w:p w14:paraId="0D076672">
      <w:pPr>
        <w:ind w:firstLine="422"/>
      </w:pPr>
      <w:r>
        <w:rPr>
          <w:rFonts w:hint="eastAsia"/>
          <w:b/>
        </w:rPr>
        <w:t>第十条</w:t>
      </w:r>
      <w:r>
        <w:rPr>
          <w:rFonts w:hint="eastAsia"/>
        </w:rPr>
        <w:t xml:space="preserve">  京密引水渠一级保护区为从密云水库龚庄子闸到团城湖南闸段规划渠道上口线两侧各水平外延一百米以内地区。</w:t>
      </w:r>
    </w:p>
    <w:p w14:paraId="74C1856A">
      <w:r>
        <w:rPr>
          <w:rFonts w:hint="eastAsia"/>
        </w:rPr>
        <w:t>密云水库调节池及入调节池的尾水渠道上口线两侧各水平外延一百米以内地区划为一级保护区。</w:t>
      </w:r>
    </w:p>
    <w:p w14:paraId="5C5007D2">
      <w:pPr>
        <w:ind w:firstLine="422"/>
      </w:pPr>
      <w:r>
        <w:rPr>
          <w:rFonts w:hint="eastAsia"/>
          <w:b/>
        </w:rPr>
        <w:t>第十一条</w:t>
      </w:r>
      <w:r>
        <w:rPr>
          <w:rFonts w:hint="eastAsia"/>
        </w:rPr>
        <w:t xml:space="preserve">  密云水库、怀柔水库二级保护区为一级保护区之外至两库的向水坡范围以内以及密云水库调节池的汇水范围以内。</w:t>
      </w:r>
    </w:p>
    <w:p w14:paraId="582C6E8F">
      <w:pPr>
        <w:ind w:firstLine="422"/>
      </w:pPr>
      <w:r>
        <w:rPr>
          <w:rFonts w:hint="eastAsia"/>
          <w:b/>
        </w:rPr>
        <w:t>第十二条</w:t>
      </w:r>
      <w:r>
        <w:rPr>
          <w:rFonts w:hint="eastAsia"/>
        </w:rPr>
        <w:t xml:space="preserve">  密云水库、怀柔水库三级保护区为二级保护区以外上游河道的流域。</w:t>
      </w:r>
    </w:p>
    <w:p w14:paraId="5B568BF3"/>
    <w:p w14:paraId="59EBE2B9">
      <w:pPr>
        <w:ind w:firstLine="0" w:firstLineChars="0"/>
        <w:jc w:val="center"/>
        <w:rPr>
          <w:b/>
          <w:sz w:val="28"/>
        </w:rPr>
      </w:pPr>
      <w:r>
        <w:rPr>
          <w:rFonts w:hint="eastAsia"/>
          <w:b/>
          <w:sz w:val="28"/>
        </w:rPr>
        <w:t>第三章　防止水源污染</w:t>
      </w:r>
    </w:p>
    <w:p w14:paraId="471F799F"/>
    <w:p w14:paraId="4B7B1A6C">
      <w:pPr>
        <w:ind w:firstLine="422"/>
      </w:pPr>
      <w:r>
        <w:rPr>
          <w:rFonts w:hint="eastAsia"/>
          <w:b/>
        </w:rPr>
        <w:t>第十三条</w:t>
      </w:r>
      <w:r>
        <w:rPr>
          <w:rFonts w:hint="eastAsia"/>
        </w:rPr>
        <w:t xml:space="preserve">  两库一渠一级保护区为非建设区和非旅游区，禁止新建、改建、扩建除水利或者供水工程以外的工程项目。在一级保护区内的重点地段设置防护网，禁止旅游者和其他无关人员越过网界，禁止任何人破坏防护网。禁止在密云水库、怀柔水库坝上地区和京密引水渠两岸水利工程管理范围内设置商业、饮食、服务业网点。</w:t>
      </w:r>
    </w:p>
    <w:p w14:paraId="37B01618">
      <w:r>
        <w:rPr>
          <w:rFonts w:hint="eastAsia"/>
        </w:rPr>
        <w:t>对一、二级保护区内水质的环境规划、管理和评价，执行国家《地面水环境质量标准》中的二级标准和国家《生活饮用水卫生标准》中的生活饮用水源卫生标准。</w:t>
      </w:r>
    </w:p>
    <w:p w14:paraId="5CE51402">
      <w:pPr>
        <w:ind w:firstLine="422"/>
      </w:pPr>
      <w:r>
        <w:rPr>
          <w:rFonts w:hint="eastAsia"/>
          <w:b/>
        </w:rPr>
        <w:t>第十四条</w:t>
      </w:r>
      <w:r>
        <w:rPr>
          <w:rFonts w:hint="eastAsia"/>
        </w:rPr>
        <w:t>　在两库一渠一级保护区内禁止下列行为：</w:t>
      </w:r>
    </w:p>
    <w:p w14:paraId="6DCF5F51">
      <w:r>
        <w:rPr>
          <w:rFonts w:hint="eastAsia"/>
        </w:rPr>
        <w:t>（一）直接或者间接向水体排放污水、废液，倾倒垃圾、渣土和其他固体废弃物；</w:t>
      </w:r>
    </w:p>
    <w:p w14:paraId="2A5DA919">
      <w:bookmarkStart w:id="2660" w:name="_Toc428780816"/>
      <w:r>
        <w:rPr>
          <w:rFonts w:hint="eastAsia"/>
        </w:rPr>
        <w:t>（二）在滩地和岸坡堆放、存贮垃圾、渣土和其他固体废弃物；</w:t>
      </w:r>
      <w:bookmarkEnd w:id="2660"/>
    </w:p>
    <w:p w14:paraId="323F315A">
      <w:r>
        <w:rPr>
          <w:rFonts w:hint="eastAsia"/>
        </w:rPr>
        <w:t>（三）在两库一渠水面游泳、进行水上训练以及其他水上体育、娱乐活动；</w:t>
      </w:r>
    </w:p>
    <w:p w14:paraId="326DF79A">
      <w:bookmarkStart w:id="2661" w:name="_Toc428780817"/>
      <w:r>
        <w:rPr>
          <w:rFonts w:hint="eastAsia"/>
        </w:rPr>
        <w:t>（四）设置禽畜养殖场，直接在水体内放养禽畜；</w:t>
      </w:r>
      <w:bookmarkEnd w:id="2661"/>
    </w:p>
    <w:p w14:paraId="07454675">
      <w:r>
        <w:rPr>
          <w:rFonts w:hint="eastAsia"/>
        </w:rPr>
        <w:t>（五）直接在水体内洗刷车辆、衣物和其他器具等；</w:t>
      </w:r>
    </w:p>
    <w:p w14:paraId="3C6AE79A">
      <w:bookmarkStart w:id="2662" w:name="_Toc428780818"/>
      <w:r>
        <w:rPr>
          <w:rFonts w:hint="eastAsia"/>
        </w:rPr>
        <w:t>（六）毒鱼、炸鱼、电鱼及在非指定的水域钓鱼；</w:t>
      </w:r>
      <w:bookmarkEnd w:id="2662"/>
    </w:p>
    <w:p w14:paraId="5264ADF2">
      <w:r>
        <w:rPr>
          <w:rFonts w:hint="eastAsia"/>
        </w:rPr>
        <w:t>（七）施用对人体有害的鱼药和高毒、高残留的农药；</w:t>
      </w:r>
    </w:p>
    <w:p w14:paraId="606ED770">
      <w:r>
        <w:rPr>
          <w:rFonts w:hint="eastAsia"/>
        </w:rPr>
        <w:t>（八）露营、野炊等污染水质的旅游活动；</w:t>
      </w:r>
    </w:p>
    <w:p w14:paraId="3AE88F56">
      <w:r>
        <w:rPr>
          <w:rFonts w:hint="eastAsia"/>
        </w:rPr>
        <w:t>（九）未经市水利局批准的车辆上坝；</w:t>
      </w:r>
    </w:p>
    <w:p w14:paraId="54ABF5E6">
      <w:r>
        <w:rPr>
          <w:rFonts w:hint="eastAsia"/>
        </w:rPr>
        <w:t>（十）未经市环境保护局批准的船只下水或者将批准下水的船只改变用途；</w:t>
      </w:r>
    </w:p>
    <w:p w14:paraId="265317FD">
      <w:r>
        <w:rPr>
          <w:rFonts w:hint="eastAsia"/>
        </w:rPr>
        <w:t>（十一）使用骡、马等牲畜载客旅游；</w:t>
      </w:r>
    </w:p>
    <w:p w14:paraId="7DB6E2ED">
      <w:r>
        <w:rPr>
          <w:rFonts w:hint="eastAsia"/>
        </w:rPr>
        <w:t>（十二）违反法律、法规的其他污染水质的行为。</w:t>
      </w:r>
    </w:p>
    <w:p w14:paraId="3736F648">
      <w:pPr>
        <w:ind w:firstLine="422"/>
      </w:pPr>
      <w:r>
        <w:rPr>
          <w:rFonts w:hint="eastAsia"/>
          <w:b/>
        </w:rPr>
        <w:t>第十五条</w:t>
      </w:r>
      <w:r>
        <w:rPr>
          <w:rFonts w:hint="eastAsia"/>
        </w:rPr>
        <w:t>　密云水库、怀柔水库二级保护区内不得建设直接或者间接向水体排放污水的建设项目。</w:t>
      </w:r>
    </w:p>
    <w:p w14:paraId="78C0F465">
      <w:pPr>
        <w:ind w:firstLine="422"/>
      </w:pPr>
      <w:r>
        <w:rPr>
          <w:rFonts w:hint="eastAsia"/>
          <w:b/>
        </w:rPr>
        <w:t>第十六条</w:t>
      </w:r>
      <w:r>
        <w:rPr>
          <w:rFonts w:hint="eastAsia"/>
        </w:rPr>
        <w:t>　密云水库、怀柔水库三级保护区内不得建设化工、造纸、制药、制革、印染、电镀、冶金以及其他对水质有严重污染的建设项目。建设其他项目，必须遵守国家和本市有关建设项目环境保护管理规定。</w:t>
      </w:r>
    </w:p>
    <w:p w14:paraId="43DF4C73">
      <w:pPr>
        <w:ind w:firstLine="422"/>
      </w:pPr>
      <w:r>
        <w:rPr>
          <w:rFonts w:hint="eastAsia"/>
          <w:b/>
        </w:rPr>
        <w:t>第十七条</w:t>
      </w:r>
      <w:r>
        <w:rPr>
          <w:rFonts w:hint="eastAsia"/>
        </w:rPr>
        <w:t>　在两库一渠保护区内的单位，应当遵守下列规定：</w:t>
      </w:r>
    </w:p>
    <w:p w14:paraId="554F292D">
      <w:r>
        <w:rPr>
          <w:rFonts w:hint="eastAsia"/>
        </w:rPr>
        <w:t>（一）遵守水源保护管理的法律、法规，接受环境保护、水利、规划等管理部门的监督检查；</w:t>
      </w:r>
    </w:p>
    <w:p w14:paraId="34F7B3CA">
      <w:bookmarkStart w:id="2663" w:name="_Toc428780819"/>
      <w:r>
        <w:rPr>
          <w:rFonts w:hint="eastAsia"/>
        </w:rPr>
        <w:t>（二）建立健全并组织落实本单位水源保护责任制度；</w:t>
      </w:r>
      <w:bookmarkEnd w:id="2663"/>
    </w:p>
    <w:p w14:paraId="7500D7D3">
      <w:r>
        <w:rPr>
          <w:rFonts w:hint="eastAsia"/>
        </w:rPr>
        <w:t>（三）一级保护区内的原有单位和二级保护区内的单位排放水污染物的，执行《北京市水污染物排放标准》中的一级标准；</w:t>
      </w:r>
    </w:p>
    <w:p w14:paraId="5109081D">
      <w:pPr>
        <w:rPr>
          <w:rFonts w:hint="eastAsia" w:ascii="宋体" w:hAnsi="宋体" w:eastAsia="宋体" w:cs="宋体"/>
        </w:rPr>
      </w:pPr>
      <w:r>
        <w:rPr>
          <w:rFonts w:hint="eastAsia"/>
        </w:rPr>
        <w:t>（四）保持污水处理或者其他防治污染设备设施的完好和安全运行，并制定防止污染水源的应急措施，禁止将未经处理的污水直接排入水体。污水处理设施因检修、改造或者更新需暂停使用的，必须</w:t>
      </w:r>
      <w:r>
        <w:rPr>
          <w:rFonts w:hint="eastAsia" w:ascii="宋体" w:hAnsi="宋体" w:eastAsia="宋体" w:cs="宋体"/>
        </w:rPr>
        <w:t>提前15天报所在地区、县环境保护管理部门审查批准，经批准并在采取防止水污染措施后，方可进行；</w:t>
      </w:r>
    </w:p>
    <w:p w14:paraId="1EA03734">
      <w:r>
        <w:rPr>
          <w:rFonts w:hint="eastAsia" w:ascii="宋体" w:hAnsi="宋体" w:eastAsia="宋体" w:cs="宋体"/>
        </w:rPr>
        <w:t>（五）当发生事故或者其他突然性</w:t>
      </w:r>
      <w:r>
        <w:rPr>
          <w:rFonts w:hint="eastAsia"/>
        </w:rPr>
        <w:t>事件，造成或者可能造成水质污染时，应当采取有效措施防止或者减轻污染，并立即向当地人民政府和环境保护管理部门报告。</w:t>
      </w:r>
    </w:p>
    <w:p w14:paraId="16793467">
      <w:pPr>
        <w:ind w:firstLine="422"/>
      </w:pPr>
      <w:r>
        <w:rPr>
          <w:rFonts w:hint="eastAsia"/>
          <w:b/>
        </w:rPr>
        <w:t>第十八条</w:t>
      </w:r>
      <w:r>
        <w:rPr>
          <w:rFonts w:hint="eastAsia"/>
        </w:rPr>
        <w:t>　市环境保护局对两库一渠保护区内的污染源实施污染物排放总量控制。在总量超标的情况下，经市人民政府批准，由市环境保护局责令有关单位减少或者停止排放污染物。</w:t>
      </w:r>
    </w:p>
    <w:p w14:paraId="7D82D006">
      <w:r>
        <w:rPr>
          <w:rFonts w:hint="eastAsia"/>
        </w:rPr>
        <w:t>凡在两库一渠保护区内排放污染物超过排放标准的，由环境保护管理部门责令其限期治理。</w:t>
      </w:r>
    </w:p>
    <w:p w14:paraId="0AC6ADE6">
      <w:pPr>
        <w:ind w:firstLine="422"/>
      </w:pPr>
      <w:r>
        <w:rPr>
          <w:rFonts w:hint="eastAsia"/>
          <w:b/>
        </w:rPr>
        <w:t>第十九条</w:t>
      </w:r>
      <w:r>
        <w:rPr>
          <w:rFonts w:hint="eastAsia"/>
        </w:rPr>
        <w:t>　市和有关区、县人民政府在两库一渠保护区内应当大力植树造林，保护自然植被，防治水土流失，改善生态环境，提高水体自净能力。</w:t>
      </w:r>
    </w:p>
    <w:p w14:paraId="7AFCAFE7">
      <w:pPr>
        <w:ind w:firstLine="422"/>
        <w:rPr>
          <w:rFonts w:hint="eastAsia" w:ascii="宋体" w:hAnsi="宋体" w:eastAsia="宋体" w:cs="宋体"/>
        </w:rPr>
      </w:pPr>
      <w:r>
        <w:rPr>
          <w:rFonts w:hint="eastAsia"/>
          <w:b/>
        </w:rPr>
        <w:t>第二十条</w:t>
      </w:r>
      <w:r>
        <w:rPr>
          <w:rFonts w:hint="eastAsia"/>
        </w:rPr>
        <w:t>　在密云水库从事网箱养鱼的单位或者个人必须严格按照市环境保护局、市水利局、市渔业行政主管部门共同批准的规模和地点从事网箱养鱼活动，并在</w:t>
      </w:r>
      <w:r>
        <w:rPr>
          <w:rFonts w:hint="eastAsia" w:ascii="宋体" w:hAnsi="宋体" w:eastAsia="宋体" w:cs="宋体"/>
        </w:rPr>
        <w:t>每年6月份向所在地环境保护局报告养鱼的数量及投放饵料、药物情况。</w:t>
      </w:r>
    </w:p>
    <w:p w14:paraId="34B2EA8C">
      <w:r>
        <w:rPr>
          <w:rFonts w:hint="eastAsia"/>
        </w:rPr>
        <w:t>禁止在密云水库白河主坝、九松山副坝以及其他取水口三公里范围以内和怀柔水库内从事网箱养鱼。</w:t>
      </w:r>
    </w:p>
    <w:p w14:paraId="75D4F2BD"/>
    <w:p w14:paraId="7EE251A0">
      <w:pPr>
        <w:ind w:firstLine="0" w:firstLineChars="0"/>
        <w:jc w:val="center"/>
        <w:rPr>
          <w:b/>
          <w:sz w:val="28"/>
        </w:rPr>
      </w:pPr>
      <w:r>
        <w:rPr>
          <w:rFonts w:hint="eastAsia"/>
          <w:b/>
          <w:sz w:val="28"/>
        </w:rPr>
        <w:t>第四章　管理部门职责</w:t>
      </w:r>
    </w:p>
    <w:p w14:paraId="06E9B45B"/>
    <w:p w14:paraId="3F4A1D79">
      <w:pPr>
        <w:ind w:firstLine="422"/>
      </w:pPr>
      <w:r>
        <w:rPr>
          <w:rFonts w:hint="eastAsia"/>
          <w:b/>
        </w:rPr>
        <w:t>第二十一条</w:t>
      </w:r>
      <w:r>
        <w:rPr>
          <w:rFonts w:hint="eastAsia"/>
        </w:rPr>
        <w:t>　密云县、怀柔县人民政府和京密引水渠沿线的其他区、县人民政府职责：</w:t>
      </w:r>
    </w:p>
    <w:p w14:paraId="049CD536">
      <w:r>
        <w:rPr>
          <w:rFonts w:hint="eastAsia"/>
        </w:rPr>
        <w:t>（一）依照本条例加强对两库一渠水源保护管理工作的领导，按照《北京城市总体规划》的要求，保护水源，发展经济；</w:t>
      </w:r>
    </w:p>
    <w:p w14:paraId="1108DA51">
      <w:r>
        <w:rPr>
          <w:rFonts w:hint="eastAsia"/>
        </w:rPr>
        <w:t>（二）建立健全实施本条例的各项责任制度，监督检查本区、县各部门落实责任制度；</w:t>
      </w:r>
    </w:p>
    <w:p w14:paraId="7850EF28">
      <w:r>
        <w:rPr>
          <w:rFonts w:hint="eastAsia"/>
        </w:rPr>
        <w:t>（三）严格控制两库一渠一级保护区范围内人口的机械增长。加强库区移民搬迁工作，妥善安排库区移民生活。密云县人民政府应当按照市人民政府的统一安排，有计划地组织好密云水库一级保护区内的人口搬迁工作；</w:t>
      </w:r>
    </w:p>
    <w:p w14:paraId="7D0460B7">
      <w:r>
        <w:rPr>
          <w:rFonts w:hint="eastAsia"/>
        </w:rPr>
        <w:t>（四）向人民群众进行自觉遵守水源保护的法律、法规的宣传教育。</w:t>
      </w:r>
    </w:p>
    <w:p w14:paraId="1B98C013">
      <w:pPr>
        <w:ind w:firstLine="422"/>
      </w:pPr>
      <w:r>
        <w:rPr>
          <w:rFonts w:hint="eastAsia"/>
          <w:b/>
        </w:rPr>
        <w:t>第二十二条</w:t>
      </w:r>
      <w:r>
        <w:rPr>
          <w:rFonts w:hint="eastAsia"/>
        </w:rPr>
        <w:t>　市和有关区、县环境保护局应当按照规定的职责权限负责两库一渠水源保护管理工作的监督检查，审批建设项目的环境影响报告书（表），参加建设项目竣工验收，组织水体水质监测网络，汇总监测资料，定期向同级人民政府报告水质情况，并负责调查处理水污染纠纷和事故。</w:t>
      </w:r>
    </w:p>
    <w:p w14:paraId="2C197AB5">
      <w:pPr>
        <w:ind w:firstLine="422"/>
      </w:pPr>
      <w:r>
        <w:rPr>
          <w:rFonts w:hint="eastAsia"/>
          <w:b/>
        </w:rPr>
        <w:t>第二十三条</w:t>
      </w:r>
      <w:r>
        <w:rPr>
          <w:rFonts w:hint="eastAsia"/>
        </w:rPr>
        <w:t>　市城市规划管理局对两库一渠保护区内建设工程项目依法进行统一规划管理。对按规定可以在一、二级保护区内建设的工程项目，应当严格审批管理，批准建设项目的选址、定点必须先征得市环境保护局同意。</w:t>
      </w:r>
    </w:p>
    <w:p w14:paraId="2D46FA4B">
      <w:r>
        <w:rPr>
          <w:rFonts w:hint="eastAsia"/>
        </w:rPr>
        <w:t>三级保护区内建设工程的规划管理，由市和区县规划、环境保护管理部门依照有关法律、法规审批。</w:t>
      </w:r>
    </w:p>
    <w:p w14:paraId="31C70D47">
      <w:pPr>
        <w:ind w:firstLine="422"/>
      </w:pPr>
      <w:r>
        <w:rPr>
          <w:rFonts w:hint="eastAsia"/>
          <w:b/>
        </w:rPr>
        <w:t>第二十四条</w:t>
      </w:r>
      <w:r>
        <w:rPr>
          <w:rFonts w:hint="eastAsia"/>
        </w:rPr>
        <w:t>　市水利局职责：</w:t>
      </w:r>
    </w:p>
    <w:p w14:paraId="2329268F">
      <w:bookmarkStart w:id="2664" w:name="_Toc428780820"/>
      <w:r>
        <w:rPr>
          <w:rFonts w:hint="eastAsia"/>
        </w:rPr>
        <w:t>（一）领导两库一渠管理处做好水源保护管理工作；</w:t>
      </w:r>
      <w:bookmarkEnd w:id="2664"/>
    </w:p>
    <w:p w14:paraId="4A986F78">
      <w:r>
        <w:rPr>
          <w:rFonts w:hint="eastAsia"/>
        </w:rPr>
        <w:t>（二）参与两库一渠水体水质保护的规划和污染防治计划的制定；</w:t>
      </w:r>
    </w:p>
    <w:p w14:paraId="35EDE4CB">
      <w:r>
        <w:rPr>
          <w:rFonts w:hint="eastAsia"/>
        </w:rPr>
        <w:t>（三）对两库一渠进行水质监测，并向市环境保护局提供水质水文资料；</w:t>
      </w:r>
    </w:p>
    <w:p w14:paraId="6CF2694E">
      <w:bookmarkStart w:id="2665" w:name="_Toc428780821"/>
      <w:r>
        <w:rPr>
          <w:rFonts w:hint="eastAsia"/>
        </w:rPr>
        <w:t>（四）每年会同市环境保护局对两库一渠进行一次或者两次水质评价；</w:t>
      </w:r>
      <w:bookmarkEnd w:id="2665"/>
    </w:p>
    <w:p w14:paraId="429A6BC9">
      <w:r>
        <w:rPr>
          <w:rFonts w:hint="eastAsia"/>
        </w:rPr>
        <w:t>（五）两库一渠管理处应当合理布设水库水质监测点，定期监测水质，对进入保护区内的人员进行宣传教育，对钓鱼者进行管理。</w:t>
      </w:r>
    </w:p>
    <w:p w14:paraId="1036482F">
      <w:pPr>
        <w:ind w:firstLine="422"/>
      </w:pPr>
      <w:r>
        <w:rPr>
          <w:rFonts w:hint="eastAsia"/>
          <w:b/>
        </w:rPr>
        <w:t>第二十五条</w:t>
      </w:r>
      <w:r>
        <w:rPr>
          <w:rFonts w:hint="eastAsia"/>
        </w:rPr>
        <w:t>　市公用局应当会同市水利局、市卫生局在密云水库和怀柔水库生活饮用水取水口周围划定卫生防护区，并采取严格管理措施，加强水质监测，确保取用水符合国家生活饮用水卫生标准。当取水口卫生防护区内水质受到污染时，要采取紧急措施，并立即向市人民政府报告。</w:t>
      </w:r>
    </w:p>
    <w:p w14:paraId="13F39188">
      <w:pPr>
        <w:ind w:firstLine="422"/>
      </w:pPr>
      <w:r>
        <w:rPr>
          <w:rFonts w:hint="eastAsia"/>
          <w:b/>
        </w:rPr>
        <w:t>第二十六条</w:t>
      </w:r>
      <w:r>
        <w:rPr>
          <w:rFonts w:hint="eastAsia"/>
        </w:rPr>
        <w:t>　市公安局应加强两库一渠治安秩序的管理和治安保卫工作，维护两库一渠饮用水源的公共安全。</w:t>
      </w:r>
    </w:p>
    <w:p w14:paraId="38C50CE7">
      <w:pPr>
        <w:ind w:firstLine="422"/>
      </w:pPr>
      <w:r>
        <w:rPr>
          <w:rFonts w:hint="eastAsia"/>
          <w:b/>
        </w:rPr>
        <w:t>第二十七条</w:t>
      </w:r>
      <w:r>
        <w:rPr>
          <w:rFonts w:hint="eastAsia"/>
        </w:rPr>
        <w:t>　两库一渠各项保护管理工作坚持统一领导，各负其责，协调一致的原则。各管理部门应当密切协作和配合，并按照本条例规定的职责建立健全和落实管理责任制度，不断提高管理水平。</w:t>
      </w:r>
    </w:p>
    <w:p w14:paraId="549746D0">
      <w:pPr>
        <w:ind w:firstLine="422"/>
      </w:pPr>
      <w:r>
        <w:rPr>
          <w:rFonts w:hint="eastAsia"/>
          <w:b/>
        </w:rPr>
        <w:t>第二十八条</w:t>
      </w:r>
      <w:r>
        <w:rPr>
          <w:rFonts w:hint="eastAsia"/>
        </w:rPr>
        <w:t>　市人民政府设立库区移民发展基金，具体办法由市人民政府制定。</w:t>
      </w:r>
    </w:p>
    <w:p w14:paraId="1A0AB11D"/>
    <w:p w14:paraId="634DE7FA">
      <w:pPr>
        <w:ind w:firstLine="0" w:firstLineChars="0"/>
        <w:jc w:val="center"/>
        <w:rPr>
          <w:b/>
          <w:sz w:val="28"/>
        </w:rPr>
      </w:pPr>
      <w:r>
        <w:rPr>
          <w:rFonts w:hint="eastAsia"/>
          <w:b/>
          <w:sz w:val="28"/>
        </w:rPr>
        <w:t>第五章　法律责任</w:t>
      </w:r>
    </w:p>
    <w:p w14:paraId="0C4F79B5"/>
    <w:p w14:paraId="3C065039">
      <w:pPr>
        <w:ind w:firstLine="422"/>
        <w:rPr>
          <w:rFonts w:hint="eastAsia" w:ascii="宋体" w:hAnsi="宋体" w:eastAsia="宋体" w:cs="宋体"/>
        </w:rPr>
      </w:pPr>
      <w:r>
        <w:rPr>
          <w:rFonts w:hint="eastAsia"/>
          <w:b/>
        </w:rPr>
        <w:t>第二十九条</w:t>
      </w:r>
      <w:r>
        <w:rPr>
          <w:rFonts w:hint="eastAsia"/>
        </w:rPr>
        <w:t>　违反规定擅自越过或者破坏一级保护区内的防护网的，由环境保护管理部门责令其停止违法行为，并对责任人处</w:t>
      </w:r>
      <w:r>
        <w:rPr>
          <w:rFonts w:hint="eastAsia" w:ascii="宋体" w:hAnsi="宋体" w:eastAsia="宋体" w:cs="宋体"/>
        </w:rPr>
        <w:t>以20元至1000元罚款。</w:t>
      </w:r>
    </w:p>
    <w:p w14:paraId="024204C6">
      <w:pPr>
        <w:ind w:firstLine="422"/>
        <w:rPr>
          <w:rFonts w:hint="eastAsia" w:ascii="宋体" w:hAnsi="宋体" w:eastAsia="宋体" w:cs="宋体"/>
        </w:rPr>
      </w:pPr>
      <w:r>
        <w:rPr>
          <w:rFonts w:hint="eastAsia" w:ascii="宋体" w:hAnsi="宋体" w:eastAsia="宋体" w:cs="宋体"/>
          <w:b/>
        </w:rPr>
        <w:t>第三十条</w:t>
      </w:r>
      <w:r>
        <w:rPr>
          <w:rFonts w:hint="eastAsia" w:ascii="宋体" w:hAnsi="宋体" w:eastAsia="宋体" w:cs="宋体"/>
        </w:rPr>
        <w:t>　违反本条例第十四条规定，有下列行为之一的，由环境保护管理部门责令其停止违法行为、限期改正或者采取其他补救措施，并对责任单位处以5000元至5万元罚款，对责任人处以20元至1000元罚款：</w:t>
      </w:r>
    </w:p>
    <w:p w14:paraId="10964EBC">
      <w:pPr>
        <w:rPr>
          <w:rFonts w:hint="eastAsia" w:ascii="宋体" w:hAnsi="宋体" w:eastAsia="宋体" w:cs="宋体"/>
        </w:rPr>
      </w:pPr>
      <w:r>
        <w:rPr>
          <w:rFonts w:hint="eastAsia" w:ascii="宋体" w:hAnsi="宋体" w:eastAsia="宋体" w:cs="宋体"/>
        </w:rPr>
        <w:t>（一）直接或者间接向水体排放污水、废液，倾倒垃圾、渣土或者其他固体废弃物的；</w:t>
      </w:r>
    </w:p>
    <w:p w14:paraId="4675D1D5">
      <w:pPr>
        <w:rPr>
          <w:rFonts w:hint="eastAsia" w:ascii="宋体" w:hAnsi="宋体" w:eastAsia="宋体" w:cs="宋体"/>
        </w:rPr>
      </w:pPr>
      <w:bookmarkStart w:id="2666" w:name="_Toc428780822"/>
      <w:r>
        <w:rPr>
          <w:rFonts w:hint="eastAsia" w:ascii="宋体" w:hAnsi="宋体" w:eastAsia="宋体" w:cs="宋体"/>
        </w:rPr>
        <w:t>（二）在滩地和岸坡堆放、存贮垃圾、渣土和其他固体废弃物的；</w:t>
      </w:r>
      <w:bookmarkEnd w:id="2666"/>
    </w:p>
    <w:p w14:paraId="78B8A9E3">
      <w:pPr>
        <w:rPr>
          <w:rFonts w:hint="eastAsia" w:ascii="宋体" w:hAnsi="宋体" w:eastAsia="宋体" w:cs="宋体"/>
        </w:rPr>
      </w:pPr>
      <w:r>
        <w:rPr>
          <w:rFonts w:hint="eastAsia" w:ascii="宋体" w:hAnsi="宋体" w:eastAsia="宋体" w:cs="宋体"/>
        </w:rPr>
        <w:t>（三）在两库一渠水面游泳，进行水上训练以及其他水上体育、娱乐活动的；</w:t>
      </w:r>
    </w:p>
    <w:p w14:paraId="4A6232A5">
      <w:pPr>
        <w:rPr>
          <w:rFonts w:hint="eastAsia" w:ascii="宋体" w:hAnsi="宋体" w:eastAsia="宋体" w:cs="宋体"/>
        </w:rPr>
      </w:pPr>
      <w:bookmarkStart w:id="2667" w:name="_Toc428780823"/>
      <w:r>
        <w:rPr>
          <w:rFonts w:hint="eastAsia" w:ascii="宋体" w:hAnsi="宋体" w:eastAsia="宋体" w:cs="宋体"/>
        </w:rPr>
        <w:t>（四）设置禽畜养殖场，直接在水体内放养禽畜；</w:t>
      </w:r>
      <w:bookmarkEnd w:id="2667"/>
    </w:p>
    <w:p w14:paraId="0A4190EF">
      <w:pPr>
        <w:rPr>
          <w:rFonts w:hint="eastAsia" w:ascii="宋体" w:hAnsi="宋体" w:eastAsia="宋体" w:cs="宋体"/>
        </w:rPr>
      </w:pPr>
      <w:r>
        <w:rPr>
          <w:rFonts w:hint="eastAsia" w:ascii="宋体" w:hAnsi="宋体" w:eastAsia="宋体" w:cs="宋体"/>
        </w:rPr>
        <w:t>（五）直接在水体内洗刷车辆、衣物和其他器具的；</w:t>
      </w:r>
    </w:p>
    <w:p w14:paraId="443957B5">
      <w:pPr>
        <w:rPr>
          <w:rFonts w:hint="eastAsia" w:ascii="宋体" w:hAnsi="宋体" w:eastAsia="宋体" w:cs="宋体"/>
        </w:rPr>
      </w:pPr>
      <w:bookmarkStart w:id="2668" w:name="_Toc428780824"/>
      <w:r>
        <w:rPr>
          <w:rFonts w:hint="eastAsia" w:ascii="宋体" w:hAnsi="宋体" w:eastAsia="宋体" w:cs="宋体"/>
        </w:rPr>
        <w:t>（六）施用对人体有害的鱼药和高毒、高残留的农药的；</w:t>
      </w:r>
      <w:bookmarkEnd w:id="2668"/>
    </w:p>
    <w:p w14:paraId="227D1FCA">
      <w:pPr>
        <w:rPr>
          <w:rFonts w:hint="eastAsia" w:ascii="宋体" w:hAnsi="宋体" w:eastAsia="宋体" w:cs="宋体"/>
        </w:rPr>
      </w:pPr>
      <w:r>
        <w:rPr>
          <w:rFonts w:hint="eastAsia" w:ascii="宋体" w:hAnsi="宋体" w:eastAsia="宋体" w:cs="宋体"/>
        </w:rPr>
        <w:t>（七）进行露营、野炊等污染水质的旅游活动的；</w:t>
      </w:r>
    </w:p>
    <w:p w14:paraId="473F8DA4">
      <w:pPr>
        <w:rPr>
          <w:rFonts w:hint="eastAsia" w:ascii="宋体" w:hAnsi="宋体" w:eastAsia="宋体" w:cs="宋体"/>
        </w:rPr>
      </w:pPr>
      <w:r>
        <w:rPr>
          <w:rFonts w:hint="eastAsia" w:ascii="宋体" w:hAnsi="宋体" w:eastAsia="宋体" w:cs="宋体"/>
        </w:rPr>
        <w:t>（八）使用骡、马等牲畜载客旅游；</w:t>
      </w:r>
    </w:p>
    <w:p w14:paraId="17A8898E">
      <w:pPr>
        <w:rPr>
          <w:rFonts w:hint="eastAsia" w:ascii="宋体" w:hAnsi="宋体" w:eastAsia="宋体" w:cs="宋体"/>
        </w:rPr>
      </w:pPr>
      <w:r>
        <w:rPr>
          <w:rFonts w:hint="eastAsia" w:ascii="宋体" w:hAnsi="宋体" w:eastAsia="宋体" w:cs="宋体"/>
        </w:rPr>
        <w:t>（九）其他污染水质的行为。</w:t>
      </w:r>
    </w:p>
    <w:p w14:paraId="4454F003">
      <w:pPr>
        <w:rPr>
          <w:rFonts w:hint="eastAsia" w:ascii="宋体" w:hAnsi="宋体" w:eastAsia="宋体" w:cs="宋体"/>
        </w:rPr>
      </w:pPr>
      <w:r>
        <w:rPr>
          <w:rFonts w:hint="eastAsia" w:ascii="宋体" w:hAnsi="宋体" w:eastAsia="宋体" w:cs="宋体"/>
        </w:rPr>
        <w:t>市水利管理部门有权对前款第（三）、（五）、（七）项的违法行为责令停止违法行为，并对责任人处以20元至1000元罚款。</w:t>
      </w:r>
    </w:p>
    <w:p w14:paraId="6AA42D6E">
      <w:pPr>
        <w:rPr>
          <w:rFonts w:hint="eastAsia" w:ascii="宋体" w:hAnsi="宋体" w:eastAsia="宋体" w:cs="宋体"/>
        </w:rPr>
      </w:pPr>
      <w:r>
        <w:rPr>
          <w:rFonts w:hint="eastAsia" w:ascii="宋体" w:hAnsi="宋体" w:eastAsia="宋体" w:cs="宋体"/>
        </w:rPr>
        <w:t>对未经市环境保护局批准的船只下水或者将批准下水的船只改变用途的，由环境保护管理部门没收船只，或者处以5000元至5万元罚款。</w:t>
      </w:r>
    </w:p>
    <w:p w14:paraId="757065EC">
      <w:pPr>
        <w:ind w:firstLine="422"/>
        <w:rPr>
          <w:rFonts w:hint="eastAsia" w:ascii="宋体" w:hAnsi="宋体" w:eastAsia="宋体" w:cs="宋体"/>
        </w:rPr>
      </w:pPr>
      <w:r>
        <w:rPr>
          <w:rFonts w:hint="eastAsia"/>
          <w:b/>
        </w:rPr>
        <w:t>第三十一条</w:t>
      </w:r>
      <w:r>
        <w:rPr>
          <w:rFonts w:hint="eastAsia"/>
        </w:rPr>
        <w:t>　违反本条例第十七条规定，有下列行为之一的，由环境保护管理部门责令其纠正违法行为、采取补救措施，并对责任单位处</w:t>
      </w:r>
      <w:r>
        <w:rPr>
          <w:rFonts w:hint="eastAsia" w:ascii="宋体" w:hAnsi="宋体" w:eastAsia="宋体" w:cs="宋体"/>
        </w:rPr>
        <w:t>以1万元至10万</w:t>
      </w:r>
      <w:r>
        <w:rPr>
          <w:rFonts w:hint="eastAsia"/>
        </w:rPr>
        <w:t>元罚款，对单位负责人处</w:t>
      </w:r>
      <w:r>
        <w:rPr>
          <w:rFonts w:hint="eastAsia" w:ascii="宋体" w:hAnsi="宋体" w:eastAsia="宋体" w:cs="宋体"/>
        </w:rPr>
        <w:t>以200元至1000元罚款：</w:t>
      </w:r>
    </w:p>
    <w:p w14:paraId="01F01061">
      <w:pPr>
        <w:rPr>
          <w:rFonts w:hint="eastAsia" w:ascii="宋体" w:hAnsi="宋体" w:eastAsia="宋体" w:cs="宋体"/>
        </w:rPr>
      </w:pPr>
      <w:r>
        <w:rPr>
          <w:rFonts w:hint="eastAsia" w:ascii="宋体" w:hAnsi="宋体" w:eastAsia="宋体" w:cs="宋体"/>
        </w:rPr>
        <w:t>（一）未建立或者未落实本单位水源保护责任制度和未制定防止污染水源应急措施的；</w:t>
      </w:r>
    </w:p>
    <w:p w14:paraId="2A9C955E">
      <w:pPr>
        <w:rPr>
          <w:rFonts w:hint="eastAsia" w:ascii="宋体" w:hAnsi="宋体" w:eastAsia="宋体" w:cs="宋体"/>
        </w:rPr>
      </w:pPr>
      <w:r>
        <w:rPr>
          <w:rFonts w:hint="eastAsia" w:ascii="宋体" w:hAnsi="宋体" w:eastAsia="宋体" w:cs="宋体"/>
        </w:rPr>
        <w:t>（二）防治污染的设备设施未经批准擅自停用或者将未经处理的污水直接排入水体的；</w:t>
      </w:r>
    </w:p>
    <w:p w14:paraId="7BEF36DF">
      <w:pPr>
        <w:rPr>
          <w:rFonts w:hint="eastAsia" w:ascii="宋体" w:hAnsi="宋体" w:eastAsia="宋体" w:cs="宋体"/>
        </w:rPr>
      </w:pPr>
      <w:r>
        <w:rPr>
          <w:rFonts w:hint="eastAsia" w:ascii="宋体" w:hAnsi="宋体" w:eastAsia="宋体" w:cs="宋体"/>
        </w:rPr>
        <w:t>（三）在发生事故或者其他突然性事件，造成或者可能造成水质污染时，不及时采取有效措施或者不及时向当地人民政府和环境保护管理部门报告的。</w:t>
      </w:r>
    </w:p>
    <w:p w14:paraId="754A12E6">
      <w:pPr>
        <w:ind w:firstLine="422"/>
        <w:rPr>
          <w:rFonts w:hint="eastAsia" w:ascii="宋体" w:hAnsi="宋体" w:eastAsia="宋体" w:cs="宋体"/>
        </w:rPr>
      </w:pPr>
      <w:r>
        <w:rPr>
          <w:rFonts w:hint="eastAsia" w:ascii="宋体" w:hAnsi="宋体" w:eastAsia="宋体" w:cs="宋体"/>
          <w:b/>
        </w:rPr>
        <w:t>第三十二条</w:t>
      </w:r>
      <w:r>
        <w:rPr>
          <w:rFonts w:hint="eastAsia" w:ascii="宋体" w:hAnsi="宋体" w:eastAsia="宋体" w:cs="宋体"/>
        </w:rPr>
        <w:t>　违反本条例第十八条第二款规定，排放的污染物超过排放标准，逾期未完成限期治理任务的，由市环境保护局报市人民政府决定责令其停业或搬迁，并对责任单位处以1万元至10万元罚款，对单位负责人处以200元至1000元罚款。</w:t>
      </w:r>
    </w:p>
    <w:p w14:paraId="2D996178">
      <w:pPr>
        <w:ind w:firstLine="422"/>
        <w:rPr>
          <w:rFonts w:hint="eastAsia" w:ascii="宋体" w:hAnsi="宋体" w:eastAsia="宋体" w:cs="宋体"/>
        </w:rPr>
      </w:pPr>
      <w:r>
        <w:rPr>
          <w:rFonts w:hint="eastAsia" w:ascii="宋体" w:hAnsi="宋体" w:eastAsia="宋体" w:cs="宋体"/>
          <w:b/>
        </w:rPr>
        <w:t>第三十三条</w:t>
      </w:r>
      <w:r>
        <w:rPr>
          <w:rFonts w:hint="eastAsia" w:ascii="宋体" w:hAnsi="宋体" w:eastAsia="宋体" w:cs="宋体"/>
        </w:rPr>
        <w:t>　违反本条例第二十条规定，未按批准的规模和地点从事网箱养鱼活动及不按规定要求和期限报告养鱼情况的，由环境保护管理部门责令其停止违法行为，限期改正，并对责任单位处以5000元至5万元罚款，对责任人处以200元至1000元罚款。</w:t>
      </w:r>
    </w:p>
    <w:p w14:paraId="1363ADC8">
      <w:pPr>
        <w:ind w:firstLine="422"/>
        <w:rPr>
          <w:rFonts w:hint="eastAsia" w:ascii="宋体" w:hAnsi="宋体" w:eastAsia="宋体" w:cs="宋体"/>
        </w:rPr>
      </w:pPr>
      <w:r>
        <w:rPr>
          <w:rFonts w:hint="eastAsia" w:ascii="宋体" w:hAnsi="宋体" w:eastAsia="宋体" w:cs="宋体"/>
          <w:b/>
        </w:rPr>
        <w:t>第三十四条</w:t>
      </w:r>
      <w:r>
        <w:rPr>
          <w:rFonts w:hint="eastAsia" w:ascii="宋体" w:hAnsi="宋体" w:eastAsia="宋体" w:cs="宋体"/>
        </w:rPr>
        <w:t>　违反国家和本市建设项目环境保护管理规定及本条例的有关规定，在密云水库、怀柔水库保护区内进行建设的，由环境保护管理部门责令立即停止建设或者使用，并按照国家和本市有关规定处罚。</w:t>
      </w:r>
    </w:p>
    <w:p w14:paraId="2A825856">
      <w:pPr>
        <w:rPr>
          <w:rFonts w:hint="eastAsia" w:ascii="宋体" w:hAnsi="宋体" w:eastAsia="宋体" w:cs="宋体"/>
        </w:rPr>
      </w:pPr>
      <w:r>
        <w:rPr>
          <w:rFonts w:hint="eastAsia" w:ascii="宋体" w:hAnsi="宋体" w:eastAsia="宋体" w:cs="宋体"/>
        </w:rPr>
        <w:t>对违法审批的，由有关主管部门追究责任人员的行政责任。</w:t>
      </w:r>
    </w:p>
    <w:p w14:paraId="50643A93">
      <w:pPr>
        <w:ind w:firstLine="422"/>
        <w:rPr>
          <w:rFonts w:hint="eastAsia" w:ascii="宋体" w:hAnsi="宋体" w:eastAsia="宋体" w:cs="宋体"/>
        </w:rPr>
      </w:pPr>
      <w:r>
        <w:rPr>
          <w:rFonts w:hint="eastAsia" w:ascii="宋体" w:hAnsi="宋体" w:eastAsia="宋体" w:cs="宋体"/>
          <w:b/>
        </w:rPr>
        <w:t>第三十五条</w:t>
      </w:r>
      <w:r>
        <w:rPr>
          <w:rFonts w:hint="eastAsia" w:ascii="宋体" w:hAnsi="宋体" w:eastAsia="宋体" w:cs="宋体"/>
        </w:rPr>
        <w:t>　市规划、建设、水利、公用、林业、公安、卫生等管理部门对违反本条例的行为，按照各自的职责，依法予以处罚。</w:t>
      </w:r>
    </w:p>
    <w:p w14:paraId="26299107">
      <w:pPr>
        <w:ind w:firstLine="422"/>
        <w:rPr>
          <w:rFonts w:hint="eastAsia" w:ascii="宋体" w:hAnsi="宋体" w:eastAsia="宋体" w:cs="宋体"/>
        </w:rPr>
      </w:pPr>
      <w:r>
        <w:rPr>
          <w:rFonts w:hint="eastAsia" w:ascii="宋体" w:hAnsi="宋体" w:eastAsia="宋体" w:cs="宋体"/>
          <w:b/>
        </w:rPr>
        <w:t>第三十六条</w:t>
      </w:r>
      <w:r>
        <w:rPr>
          <w:rFonts w:hint="eastAsia" w:ascii="宋体" w:hAnsi="宋体" w:eastAsia="宋体" w:cs="宋体"/>
        </w:rPr>
        <w:t>　区、县环境保护局可以处5万元以下的罚款；超过5万元的罚款，报市环境保护局批准。</w:t>
      </w:r>
    </w:p>
    <w:p w14:paraId="31931066">
      <w:pPr>
        <w:ind w:firstLine="422"/>
        <w:rPr>
          <w:rFonts w:hint="eastAsia" w:ascii="宋体" w:hAnsi="宋体" w:eastAsia="宋体" w:cs="宋体"/>
        </w:rPr>
      </w:pPr>
      <w:r>
        <w:rPr>
          <w:rFonts w:hint="eastAsia" w:ascii="宋体" w:hAnsi="宋体" w:eastAsia="宋体" w:cs="宋体"/>
          <w:b/>
        </w:rPr>
        <w:t>第三十七条</w:t>
      </w:r>
      <w:r>
        <w:rPr>
          <w:rFonts w:hint="eastAsia" w:ascii="宋体" w:hAnsi="宋体" w:eastAsia="宋体" w:cs="宋体"/>
        </w:rPr>
        <w:t>　当事人对行政处罚决定不服的，可以依法申请复议或者向人民法院提起诉讼。当事人逾期不申请复议，也不提起诉讼，又不履行处罚决定的，由作出处罚决定的机关申请人民法院强制执行。</w:t>
      </w:r>
    </w:p>
    <w:p w14:paraId="008FA34F">
      <w:pPr>
        <w:ind w:firstLine="422"/>
        <w:rPr>
          <w:rFonts w:hint="eastAsia" w:ascii="宋体" w:hAnsi="宋体" w:eastAsia="宋体" w:cs="宋体"/>
        </w:rPr>
      </w:pPr>
      <w:r>
        <w:rPr>
          <w:rFonts w:hint="eastAsia" w:ascii="宋体" w:hAnsi="宋体" w:eastAsia="宋体" w:cs="宋体"/>
          <w:b/>
        </w:rPr>
        <w:t>第三十八条</w:t>
      </w:r>
      <w:r>
        <w:rPr>
          <w:rFonts w:hint="eastAsia" w:ascii="宋体" w:hAnsi="宋体" w:eastAsia="宋体" w:cs="宋体"/>
        </w:rPr>
        <w:t>　违反本条例，造成重大污染事故，导致公私财产重大损失或者人身伤亡的严重后果的，对有关责任人员依法追究刑事责任。</w:t>
      </w:r>
    </w:p>
    <w:p w14:paraId="5DAF5004">
      <w:pPr>
        <w:ind w:firstLine="422"/>
        <w:rPr>
          <w:rFonts w:hint="eastAsia" w:ascii="宋体" w:hAnsi="宋体" w:eastAsia="宋体" w:cs="宋体"/>
        </w:rPr>
      </w:pPr>
      <w:r>
        <w:rPr>
          <w:rFonts w:hint="eastAsia" w:ascii="宋体" w:hAnsi="宋体" w:eastAsia="宋体" w:cs="宋体"/>
          <w:b/>
        </w:rPr>
        <w:t>第三十九条</w:t>
      </w:r>
      <w:r>
        <w:rPr>
          <w:rFonts w:hint="eastAsia" w:ascii="宋体" w:hAnsi="宋体" w:eastAsia="宋体" w:cs="宋体"/>
        </w:rPr>
        <w:t>　拒绝、阻碍两库一渠管理工作人员依法执行职务或者侮辱、殴打管理工作人员的，由公安机关依照《中华人民共和国治安管理处罚条例》给予处罚；构成犯罪的，依法追究刑事责任。</w:t>
      </w:r>
    </w:p>
    <w:p w14:paraId="79A1F548">
      <w:pPr>
        <w:ind w:firstLine="422"/>
        <w:rPr>
          <w:rFonts w:hint="eastAsia" w:ascii="宋体" w:hAnsi="宋体" w:eastAsia="宋体" w:cs="宋体"/>
        </w:rPr>
      </w:pPr>
      <w:r>
        <w:rPr>
          <w:rFonts w:hint="eastAsia" w:ascii="宋体" w:hAnsi="宋体" w:eastAsia="宋体" w:cs="宋体"/>
          <w:b/>
        </w:rPr>
        <w:t>第四十条</w:t>
      </w:r>
      <w:r>
        <w:rPr>
          <w:rFonts w:hint="eastAsia" w:ascii="宋体" w:hAnsi="宋体" w:eastAsia="宋体" w:cs="宋体"/>
        </w:rPr>
        <w:t>　两库一渠管理工作人员应当忠于职守，秉公执法，严格管理。凡玩忽职守、滥用职权、徇私舞弊的，由其所在单位或者上级主管机关给予行政处分；构成犯罪的，依法追究刑事责任。</w:t>
      </w:r>
    </w:p>
    <w:p w14:paraId="7CDA3F20">
      <w:pPr>
        <w:spacing w:line="300" w:lineRule="exact"/>
      </w:pPr>
    </w:p>
    <w:p w14:paraId="2E40C7EA">
      <w:pPr>
        <w:ind w:firstLine="0" w:firstLineChars="0"/>
        <w:jc w:val="center"/>
        <w:rPr>
          <w:b/>
          <w:sz w:val="28"/>
        </w:rPr>
      </w:pPr>
      <w:r>
        <w:rPr>
          <w:rFonts w:hint="eastAsia"/>
          <w:b/>
          <w:sz w:val="28"/>
        </w:rPr>
        <w:t>第六章　附　则</w:t>
      </w:r>
    </w:p>
    <w:p w14:paraId="06FD07C5">
      <w:pPr>
        <w:spacing w:line="300" w:lineRule="exact"/>
      </w:pPr>
    </w:p>
    <w:p w14:paraId="3F8B7FB5">
      <w:pPr>
        <w:ind w:firstLine="422"/>
      </w:pPr>
      <w:r>
        <w:rPr>
          <w:rFonts w:hint="eastAsia"/>
          <w:b/>
        </w:rPr>
        <w:t>第四十一条</w:t>
      </w:r>
      <w:r>
        <w:rPr>
          <w:rFonts w:hint="eastAsia"/>
        </w:rPr>
        <w:t>　本条例具体应用中的问题，由市人民政府负责解释。</w:t>
      </w:r>
    </w:p>
    <w:p w14:paraId="452D8E53">
      <w:pPr>
        <w:ind w:firstLine="422"/>
      </w:pPr>
      <w:r>
        <w:rPr>
          <w:rFonts w:hint="eastAsia"/>
          <w:b/>
        </w:rPr>
        <w:t>第四十二条</w:t>
      </w:r>
      <w:r>
        <w:rPr>
          <w:rFonts w:hint="eastAsia"/>
        </w:rPr>
        <w:t>　本条例自</w:t>
      </w:r>
      <w:r>
        <w:rPr>
          <w:rFonts w:hint="eastAsia" w:ascii="宋体" w:hAnsi="宋体" w:eastAsia="宋体" w:cs="宋体"/>
        </w:rPr>
        <w:t>1995年11月1日起施</w:t>
      </w:r>
      <w:r>
        <w:rPr>
          <w:rFonts w:hint="eastAsia"/>
        </w:rPr>
        <w:t>行。</w:t>
      </w:r>
    </w:p>
    <w:p w14:paraId="68703D09">
      <w:pPr>
        <w:pStyle w:val="4"/>
        <w:pageBreakBefore/>
      </w:pPr>
      <w:bookmarkStart w:id="2669" w:name="_Toc426467177"/>
      <w:bookmarkStart w:id="2670" w:name="_Toc428780825"/>
      <w:bookmarkStart w:id="2671" w:name="_Toc428781925"/>
      <w:r>
        <w:rPr>
          <w:rFonts w:hint="eastAsia"/>
        </w:rPr>
        <w:t>关于划定郊区主要河道保护范围的规定</w:t>
      </w:r>
      <w:bookmarkEnd w:id="2669"/>
      <w:bookmarkEnd w:id="2670"/>
      <w:bookmarkEnd w:id="2671"/>
    </w:p>
    <w:p w14:paraId="0FCEEF3B">
      <w:pPr>
        <w:ind w:left="630" w:leftChars="300" w:right="630" w:rightChars="300"/>
        <w:rPr>
          <w:rFonts w:ascii="楷体" w:hAnsi="楷体" w:eastAsia="楷体"/>
        </w:rPr>
      </w:pPr>
      <w:r>
        <w:rPr>
          <w:rFonts w:hint="eastAsia" w:ascii="楷体" w:hAnsi="楷体" w:eastAsia="楷体"/>
        </w:rPr>
        <w:t>（1986年5月26日北京市人民政府京政办发51号文件发布　根据2010年11月27日北京市人民政府第226号令修改）</w:t>
      </w:r>
    </w:p>
    <w:p w14:paraId="6B658BC9"/>
    <w:p w14:paraId="45EBE3AD">
      <w:r>
        <w:rPr>
          <w:rFonts w:hint="eastAsia"/>
        </w:rPr>
        <w:t>为加强本市郊区主要河道的保护和管理，确保河道行洪安全和供水、排水通畅，根据《北京市水利工程保护管理条例》的规定，特将本市郊区主要河道（含引水渠、排灌渠道）两侧划定保护范围，并作以下规定：</w:t>
      </w:r>
    </w:p>
    <w:p w14:paraId="4C1F7DFE">
      <w:pPr>
        <w:ind w:firstLine="422"/>
      </w:pPr>
      <w:r>
        <w:rPr>
          <w:rFonts w:hint="eastAsia"/>
          <w:b/>
        </w:rPr>
        <w:t>一、</w:t>
      </w:r>
      <w:r>
        <w:rPr>
          <w:rFonts w:hint="eastAsia"/>
        </w:rPr>
        <w:t>本市郊区各主要河道保护范围起止地点</w:t>
      </w:r>
    </w:p>
    <w:p w14:paraId="2400E83F">
      <w:r>
        <w:rPr>
          <w:rFonts w:hint="eastAsia"/>
        </w:rPr>
        <w:t>（一）永定河：自三家店拦河闸起，左岸至梁各庄（含新北堤），右岸至金门闸；</w:t>
      </w:r>
    </w:p>
    <w:p w14:paraId="007B2E83">
      <w:bookmarkStart w:id="2672" w:name="_Toc428780826"/>
      <w:r>
        <w:rPr>
          <w:rFonts w:hint="eastAsia"/>
        </w:rPr>
        <w:t>（二）潮白河：自潮白河汇合口起，左岸至市界，右岸至牛牧屯引河；</w:t>
      </w:r>
      <w:bookmarkEnd w:id="2672"/>
    </w:p>
    <w:p w14:paraId="05F2028C">
      <w:r>
        <w:rPr>
          <w:rFonts w:hint="eastAsia"/>
        </w:rPr>
        <w:t>（三）怀河：怀柔水库坝下至潮白河；</w:t>
      </w:r>
    </w:p>
    <w:p w14:paraId="36A6436C">
      <w:r>
        <w:rPr>
          <w:rFonts w:hint="eastAsia"/>
        </w:rPr>
        <w:t>（四）温榆河：沙河闸至北关拦河闸；</w:t>
      </w:r>
    </w:p>
    <w:p w14:paraId="6EE17318">
      <w:r>
        <w:rPr>
          <w:rFonts w:hint="eastAsia"/>
        </w:rPr>
        <w:t>（五）北运河：自北关拦河闸起，左岸至牛牧屯引河口，右岸至市界；</w:t>
      </w:r>
    </w:p>
    <w:p w14:paraId="37AF7FC4">
      <w:r>
        <w:rPr>
          <w:rFonts w:hint="eastAsia"/>
        </w:rPr>
        <w:t>（六）运潮减河：北关分洪闸至师姑庄闸；</w:t>
      </w:r>
    </w:p>
    <w:p w14:paraId="4978FA0B">
      <w:r>
        <w:rPr>
          <w:rFonts w:hint="eastAsia"/>
        </w:rPr>
        <w:t>（七）凉水河：马驹桥闸至北运河；</w:t>
      </w:r>
    </w:p>
    <w:p w14:paraId="1701B558">
      <w:r>
        <w:rPr>
          <w:rFonts w:hint="eastAsia"/>
        </w:rPr>
        <w:t>（八）京密引水渠：宫庄子进水闸至绣漪闸；</w:t>
      </w:r>
    </w:p>
    <w:p w14:paraId="7A754A79">
      <w:r>
        <w:rPr>
          <w:rFonts w:hint="eastAsia"/>
        </w:rPr>
        <w:t>（九）潮河总干渠：提辖庄至唐指山水库；</w:t>
      </w:r>
    </w:p>
    <w:p w14:paraId="338257FE">
      <w:r>
        <w:rPr>
          <w:rFonts w:hint="eastAsia"/>
        </w:rPr>
        <w:t>（十）港沟河：许各庄节制闸经军屯排污闸至市界。</w:t>
      </w:r>
    </w:p>
    <w:p w14:paraId="06DF0951">
      <w:pPr>
        <w:ind w:firstLine="422"/>
      </w:pPr>
      <w:r>
        <w:rPr>
          <w:rFonts w:hint="eastAsia"/>
          <w:b/>
        </w:rPr>
        <w:t>二、</w:t>
      </w:r>
      <w:r>
        <w:rPr>
          <w:rFonts w:hint="eastAsia"/>
        </w:rPr>
        <w:t>河道保护范围的宽度，根据保护水利工程的需要和各河段的实际情况，沿两侧河堤中心线（无堤段河道沿河槽上口线或清障线）水平外延三十米至二百米，因特殊情况，外延宽度可作必要的增减。本市郊区主要河道各河段保护范围的宽度，详见附表。</w:t>
      </w:r>
    </w:p>
    <w:p w14:paraId="3CFA3C7D">
      <w:r>
        <w:rPr>
          <w:rFonts w:hint="eastAsia"/>
        </w:rPr>
        <w:t>永定河北京水泥制品厂老堤段仍作为第二道防洪线；东河沿及刘庄子分洪道至小哑叭河地区为行洪保护范围。</w:t>
      </w:r>
    </w:p>
    <w:p w14:paraId="080C9C3E">
      <w:pPr>
        <w:ind w:firstLine="422"/>
      </w:pPr>
      <w:r>
        <w:rPr>
          <w:rFonts w:hint="eastAsia"/>
          <w:b/>
        </w:rPr>
        <w:t>三、</w:t>
      </w:r>
      <w:r>
        <w:rPr>
          <w:rFonts w:hint="eastAsia"/>
        </w:rPr>
        <w:t>在河道保护范围内，严格执行《北京市水利工程保护管理条例》的规定，不得从事挖砂取土、修建鱼池、擅自建房堆料和爆破等危害水利工程的活动；违反的，除批评制止外，责令恢复原状。因特殊情况确需在河道保护范围内进行建设的（包括改建、扩建和翻建），应当按照保护水利工程安全的要求提出设计，根据河道管理权限分别报经市、县（区）水行政主管部门审核同意，依照城乡规划管理的有关规定报批。</w:t>
      </w:r>
    </w:p>
    <w:p w14:paraId="54048862">
      <w:pPr>
        <w:ind w:firstLine="422"/>
      </w:pPr>
      <w:r>
        <w:rPr>
          <w:rFonts w:hint="eastAsia"/>
          <w:b/>
        </w:rPr>
        <w:t>四、</w:t>
      </w:r>
      <w:r>
        <w:rPr>
          <w:rFonts w:hint="eastAsia"/>
        </w:rPr>
        <w:t>县（区）水行政主管部门可对本县（区）所辖中、小河道划定保护范围，报县（区）人民政府批准，并报市水行政主管部门和市规划行政主管部门备案。</w:t>
      </w:r>
    </w:p>
    <w:p w14:paraId="5622D88E">
      <w:pPr>
        <w:ind w:firstLine="422"/>
      </w:pPr>
      <w:r>
        <w:rPr>
          <w:rFonts w:hint="eastAsia"/>
          <w:b/>
        </w:rPr>
        <w:t>五、</w:t>
      </w:r>
      <w:r>
        <w:rPr>
          <w:rFonts w:hint="eastAsia"/>
        </w:rPr>
        <w:t>本规定由市水行政主管部门监督执行，并对执行中的具体问题，负责解释。</w:t>
      </w:r>
    </w:p>
    <w:p w14:paraId="5BA54082">
      <w:pPr>
        <w:ind w:firstLine="422"/>
        <w:rPr>
          <w:rFonts w:hint="eastAsia" w:ascii="宋体" w:hAnsi="宋体" w:eastAsia="宋体" w:cs="宋体"/>
        </w:rPr>
      </w:pPr>
      <w:r>
        <w:rPr>
          <w:rFonts w:hint="eastAsia"/>
          <w:b/>
        </w:rPr>
        <w:t>六、</w:t>
      </w:r>
      <w:r>
        <w:rPr>
          <w:rFonts w:hint="eastAsia"/>
        </w:rPr>
        <w:t>本规定经市人民政府批</w:t>
      </w:r>
      <w:r>
        <w:rPr>
          <w:rFonts w:hint="eastAsia" w:ascii="宋体" w:hAnsi="宋体" w:eastAsia="宋体" w:cs="宋体"/>
        </w:rPr>
        <w:t>准，自1986年6月1日起施行。</w:t>
      </w:r>
    </w:p>
    <w:p w14:paraId="4F0D583D">
      <w:pPr>
        <w:rPr>
          <w:rFonts w:hint="eastAsia" w:ascii="宋体" w:hAnsi="宋体" w:eastAsia="宋体" w:cs="宋体"/>
        </w:rPr>
      </w:pPr>
    </w:p>
    <w:p w14:paraId="21D79E6A"/>
    <w:p w14:paraId="14B9F8DD"/>
    <w:p w14:paraId="51045947"/>
    <w:p w14:paraId="7BE0865A">
      <w:pPr>
        <w:ind w:firstLine="0" w:firstLineChars="0"/>
        <w:rPr>
          <w:b/>
          <w:sz w:val="28"/>
        </w:rPr>
      </w:pPr>
    </w:p>
    <w:p w14:paraId="7C3AF47F">
      <w:pPr>
        <w:ind w:firstLine="0" w:firstLineChars="0"/>
        <w:rPr>
          <w:b/>
          <w:sz w:val="28"/>
        </w:rPr>
      </w:pPr>
    </w:p>
    <w:p w14:paraId="7EA5AFC6">
      <w:pPr>
        <w:ind w:firstLine="0" w:firstLineChars="0"/>
        <w:rPr>
          <w:b/>
          <w:sz w:val="28"/>
        </w:rPr>
      </w:pPr>
      <w:r>
        <w:rPr>
          <w:rFonts w:hint="eastAsia"/>
          <w:b/>
          <w:sz w:val="28"/>
        </w:rPr>
        <w:t>附：</w:t>
      </w:r>
    </w:p>
    <w:p w14:paraId="57040E93">
      <w:pPr>
        <w:ind w:firstLine="560"/>
        <w:jc w:val="center"/>
        <w:rPr>
          <w:sz w:val="28"/>
        </w:rPr>
      </w:pPr>
      <w:r>
        <w:rPr>
          <w:rFonts w:hint="eastAsia"/>
          <w:sz w:val="28"/>
        </w:rPr>
        <w:t>北京市郊区主要河道各河段保护范围宽度表</w:t>
      </w:r>
    </w:p>
    <w:p w14:paraId="143310BD">
      <w:pPr>
        <w:ind w:firstLine="560"/>
        <w:jc w:val="center"/>
        <w:rPr>
          <w:sz w:val="28"/>
        </w:rPr>
      </w:pPr>
    </w:p>
    <w:tbl>
      <w:tblPr>
        <w:tblStyle w:val="23"/>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1883"/>
        <w:gridCol w:w="1421"/>
        <w:gridCol w:w="1421"/>
        <w:gridCol w:w="1422"/>
        <w:gridCol w:w="1422"/>
      </w:tblGrid>
      <w:tr w14:paraId="31975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restart"/>
            <w:tcBorders>
              <w:top w:val="single" w:color="auto" w:sz="12" w:space="0"/>
              <w:left w:val="single" w:color="auto" w:sz="12" w:space="0"/>
            </w:tcBorders>
            <w:vAlign w:val="center"/>
          </w:tcPr>
          <w:p w14:paraId="6C075025">
            <w:pPr>
              <w:spacing w:line="240" w:lineRule="exact"/>
              <w:ind w:firstLine="0" w:firstLineChars="0"/>
              <w:jc w:val="center"/>
              <w:rPr>
                <w:sz w:val="18"/>
                <w:szCs w:val="18"/>
              </w:rPr>
            </w:pPr>
            <w:r>
              <w:rPr>
                <w:rFonts w:hint="eastAsia"/>
                <w:sz w:val="18"/>
                <w:szCs w:val="18"/>
              </w:rPr>
              <w:t>河道名称</w:t>
            </w:r>
          </w:p>
        </w:tc>
        <w:tc>
          <w:tcPr>
            <w:tcW w:w="1883" w:type="dxa"/>
            <w:vMerge w:val="restart"/>
            <w:tcBorders>
              <w:top w:val="single" w:color="auto" w:sz="12" w:space="0"/>
            </w:tcBorders>
            <w:vAlign w:val="center"/>
          </w:tcPr>
          <w:p w14:paraId="15D61890">
            <w:pPr>
              <w:spacing w:line="240" w:lineRule="exact"/>
              <w:ind w:firstLine="0" w:firstLineChars="0"/>
              <w:jc w:val="center"/>
              <w:rPr>
                <w:sz w:val="18"/>
                <w:szCs w:val="18"/>
              </w:rPr>
            </w:pPr>
            <w:r>
              <w:rPr>
                <w:rFonts w:hint="eastAsia"/>
                <w:sz w:val="18"/>
                <w:szCs w:val="18"/>
              </w:rPr>
              <w:t>河段起止地点</w:t>
            </w:r>
          </w:p>
        </w:tc>
        <w:tc>
          <w:tcPr>
            <w:tcW w:w="1421" w:type="dxa"/>
            <w:vMerge w:val="restart"/>
            <w:tcBorders>
              <w:top w:val="single" w:color="auto" w:sz="12" w:space="0"/>
            </w:tcBorders>
            <w:vAlign w:val="center"/>
          </w:tcPr>
          <w:p w14:paraId="78DE4DFF">
            <w:pPr>
              <w:spacing w:line="240" w:lineRule="exact"/>
              <w:ind w:firstLine="0" w:firstLineChars="0"/>
              <w:jc w:val="center"/>
              <w:rPr>
                <w:sz w:val="18"/>
                <w:szCs w:val="18"/>
              </w:rPr>
            </w:pPr>
            <w:r>
              <w:rPr>
                <w:rFonts w:hint="eastAsia"/>
                <w:sz w:val="18"/>
                <w:szCs w:val="18"/>
              </w:rPr>
              <w:t>长度（公里）</w:t>
            </w:r>
          </w:p>
        </w:tc>
        <w:tc>
          <w:tcPr>
            <w:tcW w:w="2843" w:type="dxa"/>
            <w:gridSpan w:val="2"/>
            <w:tcBorders>
              <w:top w:val="single" w:color="auto" w:sz="12" w:space="0"/>
            </w:tcBorders>
            <w:vAlign w:val="center"/>
          </w:tcPr>
          <w:p w14:paraId="5BCE1DC2">
            <w:pPr>
              <w:spacing w:line="240" w:lineRule="exact"/>
              <w:ind w:firstLine="0" w:firstLineChars="0"/>
              <w:jc w:val="center"/>
              <w:rPr>
                <w:sz w:val="18"/>
                <w:szCs w:val="18"/>
              </w:rPr>
            </w:pPr>
            <w:r>
              <w:rPr>
                <w:rFonts w:hint="eastAsia"/>
                <w:sz w:val="18"/>
                <w:szCs w:val="18"/>
              </w:rPr>
              <w:t>保护范围宽度（米）</w:t>
            </w:r>
          </w:p>
        </w:tc>
        <w:tc>
          <w:tcPr>
            <w:tcW w:w="1422" w:type="dxa"/>
            <w:vMerge w:val="restart"/>
            <w:tcBorders>
              <w:top w:val="single" w:color="auto" w:sz="12" w:space="0"/>
              <w:right w:val="single" w:color="auto" w:sz="12" w:space="0"/>
            </w:tcBorders>
            <w:vAlign w:val="center"/>
          </w:tcPr>
          <w:p w14:paraId="117C06C7">
            <w:pPr>
              <w:spacing w:line="240" w:lineRule="exact"/>
              <w:ind w:firstLine="0" w:firstLineChars="0"/>
              <w:jc w:val="center"/>
              <w:rPr>
                <w:sz w:val="18"/>
                <w:szCs w:val="18"/>
              </w:rPr>
            </w:pPr>
            <w:r>
              <w:rPr>
                <w:rFonts w:hint="eastAsia"/>
                <w:sz w:val="18"/>
                <w:szCs w:val="18"/>
              </w:rPr>
              <w:t>备注</w:t>
            </w:r>
          </w:p>
        </w:tc>
      </w:tr>
      <w:tr w14:paraId="2FCA0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75064CB0">
            <w:pPr>
              <w:spacing w:line="240" w:lineRule="exact"/>
              <w:ind w:firstLine="0" w:firstLineChars="0"/>
              <w:jc w:val="center"/>
              <w:rPr>
                <w:sz w:val="18"/>
                <w:szCs w:val="18"/>
              </w:rPr>
            </w:pPr>
          </w:p>
        </w:tc>
        <w:tc>
          <w:tcPr>
            <w:tcW w:w="1883" w:type="dxa"/>
            <w:vMerge w:val="continue"/>
            <w:vAlign w:val="center"/>
          </w:tcPr>
          <w:p w14:paraId="764452CF">
            <w:pPr>
              <w:spacing w:line="240" w:lineRule="exact"/>
              <w:ind w:firstLine="0" w:firstLineChars="0"/>
              <w:jc w:val="center"/>
              <w:rPr>
                <w:sz w:val="18"/>
                <w:szCs w:val="18"/>
              </w:rPr>
            </w:pPr>
          </w:p>
        </w:tc>
        <w:tc>
          <w:tcPr>
            <w:tcW w:w="1421" w:type="dxa"/>
            <w:vMerge w:val="continue"/>
            <w:vAlign w:val="center"/>
          </w:tcPr>
          <w:p w14:paraId="4EEE238E">
            <w:pPr>
              <w:spacing w:line="240" w:lineRule="exact"/>
              <w:ind w:firstLine="0" w:firstLineChars="0"/>
              <w:jc w:val="center"/>
              <w:rPr>
                <w:sz w:val="18"/>
                <w:szCs w:val="18"/>
              </w:rPr>
            </w:pPr>
          </w:p>
        </w:tc>
        <w:tc>
          <w:tcPr>
            <w:tcW w:w="1421" w:type="dxa"/>
            <w:vAlign w:val="center"/>
          </w:tcPr>
          <w:p w14:paraId="52C000C0">
            <w:pPr>
              <w:spacing w:line="240" w:lineRule="exact"/>
              <w:ind w:firstLine="0" w:firstLineChars="0"/>
              <w:jc w:val="center"/>
              <w:rPr>
                <w:sz w:val="18"/>
                <w:szCs w:val="18"/>
              </w:rPr>
            </w:pPr>
            <w:r>
              <w:rPr>
                <w:rFonts w:hint="eastAsia"/>
                <w:sz w:val="18"/>
                <w:szCs w:val="18"/>
              </w:rPr>
              <w:t>右岸</w:t>
            </w:r>
          </w:p>
        </w:tc>
        <w:tc>
          <w:tcPr>
            <w:tcW w:w="1422" w:type="dxa"/>
            <w:vAlign w:val="center"/>
          </w:tcPr>
          <w:p w14:paraId="4EB8C369">
            <w:pPr>
              <w:spacing w:line="240" w:lineRule="exact"/>
              <w:ind w:firstLine="0" w:firstLineChars="0"/>
              <w:jc w:val="center"/>
              <w:rPr>
                <w:sz w:val="18"/>
                <w:szCs w:val="18"/>
              </w:rPr>
            </w:pPr>
            <w:r>
              <w:rPr>
                <w:rFonts w:hint="eastAsia"/>
                <w:sz w:val="18"/>
                <w:szCs w:val="18"/>
              </w:rPr>
              <w:t>左岸</w:t>
            </w:r>
          </w:p>
        </w:tc>
        <w:tc>
          <w:tcPr>
            <w:tcW w:w="1422" w:type="dxa"/>
            <w:vMerge w:val="continue"/>
            <w:tcBorders>
              <w:right w:val="single" w:color="auto" w:sz="12" w:space="0"/>
            </w:tcBorders>
            <w:vAlign w:val="center"/>
          </w:tcPr>
          <w:p w14:paraId="5820CFA9">
            <w:pPr>
              <w:spacing w:line="240" w:lineRule="exact"/>
              <w:ind w:firstLine="0" w:firstLineChars="0"/>
              <w:jc w:val="center"/>
              <w:rPr>
                <w:sz w:val="18"/>
                <w:szCs w:val="18"/>
              </w:rPr>
            </w:pPr>
          </w:p>
        </w:tc>
      </w:tr>
      <w:tr w14:paraId="2F7EF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restart"/>
            <w:tcBorders>
              <w:left w:val="single" w:color="auto" w:sz="12" w:space="0"/>
            </w:tcBorders>
            <w:vAlign w:val="center"/>
          </w:tcPr>
          <w:p w14:paraId="2041888B">
            <w:pPr>
              <w:spacing w:line="240" w:lineRule="exact"/>
              <w:ind w:firstLine="0" w:firstLineChars="0"/>
              <w:jc w:val="center"/>
              <w:rPr>
                <w:sz w:val="18"/>
                <w:szCs w:val="18"/>
              </w:rPr>
            </w:pPr>
            <w:r>
              <w:rPr>
                <w:rFonts w:hint="eastAsia"/>
                <w:sz w:val="18"/>
                <w:szCs w:val="18"/>
              </w:rPr>
              <w:t>永</w:t>
            </w:r>
          </w:p>
          <w:p w14:paraId="7D91D4A0">
            <w:pPr>
              <w:spacing w:line="240" w:lineRule="exact"/>
              <w:ind w:firstLine="0" w:firstLineChars="0"/>
              <w:jc w:val="center"/>
              <w:rPr>
                <w:sz w:val="18"/>
                <w:szCs w:val="18"/>
              </w:rPr>
            </w:pPr>
          </w:p>
          <w:p w14:paraId="222A42DD">
            <w:pPr>
              <w:spacing w:line="240" w:lineRule="exact"/>
              <w:ind w:firstLine="0" w:firstLineChars="0"/>
              <w:jc w:val="center"/>
              <w:rPr>
                <w:sz w:val="18"/>
                <w:szCs w:val="18"/>
              </w:rPr>
            </w:pPr>
          </w:p>
          <w:p w14:paraId="7A52085C">
            <w:pPr>
              <w:spacing w:line="240" w:lineRule="exact"/>
              <w:ind w:firstLine="0" w:firstLineChars="0"/>
              <w:jc w:val="center"/>
              <w:rPr>
                <w:sz w:val="18"/>
                <w:szCs w:val="18"/>
              </w:rPr>
            </w:pPr>
          </w:p>
          <w:p w14:paraId="7DCD7D6D">
            <w:pPr>
              <w:spacing w:line="240" w:lineRule="exact"/>
              <w:ind w:firstLine="0" w:firstLineChars="0"/>
              <w:jc w:val="center"/>
              <w:rPr>
                <w:sz w:val="18"/>
                <w:szCs w:val="18"/>
              </w:rPr>
            </w:pPr>
          </w:p>
          <w:p w14:paraId="7F1EE33E">
            <w:pPr>
              <w:spacing w:line="240" w:lineRule="exact"/>
              <w:ind w:firstLine="0" w:firstLineChars="0"/>
              <w:jc w:val="center"/>
              <w:rPr>
                <w:sz w:val="18"/>
                <w:szCs w:val="18"/>
              </w:rPr>
            </w:pPr>
          </w:p>
          <w:p w14:paraId="7B35D907">
            <w:pPr>
              <w:spacing w:line="240" w:lineRule="exact"/>
              <w:ind w:firstLine="0" w:firstLineChars="0"/>
              <w:jc w:val="center"/>
              <w:rPr>
                <w:sz w:val="18"/>
                <w:szCs w:val="18"/>
              </w:rPr>
            </w:pPr>
          </w:p>
          <w:p w14:paraId="6365066E">
            <w:pPr>
              <w:spacing w:line="240" w:lineRule="exact"/>
              <w:ind w:firstLine="0" w:firstLineChars="0"/>
              <w:jc w:val="center"/>
              <w:rPr>
                <w:sz w:val="18"/>
                <w:szCs w:val="18"/>
              </w:rPr>
            </w:pPr>
            <w:r>
              <w:rPr>
                <w:rFonts w:hint="eastAsia"/>
                <w:sz w:val="18"/>
                <w:szCs w:val="18"/>
              </w:rPr>
              <w:t>定</w:t>
            </w:r>
          </w:p>
          <w:p w14:paraId="4799D68E">
            <w:pPr>
              <w:spacing w:line="240" w:lineRule="exact"/>
              <w:ind w:firstLine="0" w:firstLineChars="0"/>
              <w:jc w:val="center"/>
              <w:rPr>
                <w:sz w:val="18"/>
                <w:szCs w:val="18"/>
              </w:rPr>
            </w:pPr>
          </w:p>
          <w:p w14:paraId="5B5B63DD">
            <w:pPr>
              <w:spacing w:line="240" w:lineRule="exact"/>
              <w:ind w:firstLine="0" w:firstLineChars="0"/>
              <w:jc w:val="center"/>
              <w:rPr>
                <w:sz w:val="18"/>
                <w:szCs w:val="18"/>
              </w:rPr>
            </w:pPr>
          </w:p>
          <w:p w14:paraId="6F95C988">
            <w:pPr>
              <w:spacing w:line="240" w:lineRule="exact"/>
              <w:ind w:firstLine="0" w:firstLineChars="0"/>
              <w:jc w:val="center"/>
              <w:rPr>
                <w:sz w:val="18"/>
                <w:szCs w:val="18"/>
              </w:rPr>
            </w:pPr>
          </w:p>
          <w:p w14:paraId="380FEE45">
            <w:pPr>
              <w:spacing w:line="240" w:lineRule="exact"/>
              <w:ind w:firstLine="0" w:firstLineChars="0"/>
              <w:jc w:val="center"/>
              <w:rPr>
                <w:sz w:val="18"/>
                <w:szCs w:val="18"/>
              </w:rPr>
            </w:pPr>
          </w:p>
          <w:p w14:paraId="36CF2F75">
            <w:pPr>
              <w:spacing w:line="240" w:lineRule="exact"/>
              <w:ind w:firstLine="0" w:firstLineChars="0"/>
              <w:jc w:val="center"/>
              <w:rPr>
                <w:sz w:val="18"/>
                <w:szCs w:val="18"/>
              </w:rPr>
            </w:pPr>
          </w:p>
          <w:p w14:paraId="3488C6DF">
            <w:pPr>
              <w:spacing w:line="240" w:lineRule="exact"/>
              <w:ind w:firstLine="0" w:firstLineChars="0"/>
              <w:jc w:val="center"/>
              <w:rPr>
                <w:sz w:val="18"/>
                <w:szCs w:val="18"/>
              </w:rPr>
            </w:pPr>
          </w:p>
          <w:p w14:paraId="01A8BE10">
            <w:pPr>
              <w:spacing w:line="240" w:lineRule="exact"/>
              <w:ind w:firstLine="0" w:firstLineChars="0"/>
              <w:jc w:val="center"/>
              <w:rPr>
                <w:sz w:val="18"/>
                <w:szCs w:val="18"/>
              </w:rPr>
            </w:pPr>
            <w:r>
              <w:rPr>
                <w:rFonts w:hint="eastAsia"/>
                <w:sz w:val="18"/>
                <w:szCs w:val="18"/>
              </w:rPr>
              <w:t>河</w:t>
            </w:r>
          </w:p>
        </w:tc>
        <w:tc>
          <w:tcPr>
            <w:tcW w:w="1883" w:type="dxa"/>
            <w:vAlign w:val="center"/>
          </w:tcPr>
          <w:p w14:paraId="7DE58ED2">
            <w:pPr>
              <w:spacing w:line="240" w:lineRule="exact"/>
              <w:ind w:firstLine="0" w:firstLineChars="0"/>
              <w:jc w:val="center"/>
              <w:rPr>
                <w:sz w:val="18"/>
                <w:szCs w:val="18"/>
              </w:rPr>
            </w:pPr>
            <w:r>
              <w:rPr>
                <w:rFonts w:hint="eastAsia"/>
                <w:sz w:val="18"/>
                <w:szCs w:val="18"/>
              </w:rPr>
              <w:t>三家店拦河闸</w:t>
            </w:r>
          </w:p>
          <w:p w14:paraId="181640E3">
            <w:pPr>
              <w:spacing w:line="240" w:lineRule="exact"/>
              <w:ind w:firstLine="0" w:firstLineChars="0"/>
              <w:jc w:val="center"/>
              <w:rPr>
                <w:sz w:val="18"/>
                <w:szCs w:val="18"/>
              </w:rPr>
            </w:pPr>
            <w:r>
              <w:rPr>
                <w:rFonts w:hint="eastAsia"/>
                <w:sz w:val="18"/>
                <w:szCs w:val="18"/>
              </w:rPr>
              <w:t>—双峪路</w:t>
            </w:r>
          </w:p>
        </w:tc>
        <w:tc>
          <w:tcPr>
            <w:tcW w:w="1421" w:type="dxa"/>
            <w:vAlign w:val="center"/>
          </w:tcPr>
          <w:p w14:paraId="6295D50D">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3.12</w:t>
            </w:r>
          </w:p>
        </w:tc>
        <w:tc>
          <w:tcPr>
            <w:tcW w:w="1421" w:type="dxa"/>
            <w:vAlign w:val="center"/>
          </w:tcPr>
          <w:p w14:paraId="0946982F">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Align w:val="center"/>
          </w:tcPr>
          <w:p w14:paraId="2BEB952C">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30</w:t>
            </w:r>
          </w:p>
        </w:tc>
        <w:tc>
          <w:tcPr>
            <w:tcW w:w="1422" w:type="dxa"/>
            <w:tcBorders>
              <w:right w:val="single" w:color="auto" w:sz="12" w:space="0"/>
            </w:tcBorders>
            <w:vAlign w:val="center"/>
          </w:tcPr>
          <w:p w14:paraId="38A72699">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此段无堤，沿滩坝水平外延</w:t>
            </w:r>
          </w:p>
        </w:tc>
      </w:tr>
      <w:tr w14:paraId="1317A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78D3AB54">
            <w:pPr>
              <w:spacing w:line="240" w:lineRule="exact"/>
              <w:ind w:firstLine="0" w:firstLineChars="0"/>
              <w:jc w:val="center"/>
              <w:rPr>
                <w:sz w:val="18"/>
                <w:szCs w:val="18"/>
              </w:rPr>
            </w:pPr>
          </w:p>
        </w:tc>
        <w:tc>
          <w:tcPr>
            <w:tcW w:w="1883" w:type="dxa"/>
            <w:vAlign w:val="center"/>
          </w:tcPr>
          <w:p w14:paraId="17E84D01">
            <w:pPr>
              <w:spacing w:line="240" w:lineRule="exact"/>
              <w:ind w:firstLine="0" w:firstLineChars="0"/>
              <w:jc w:val="center"/>
              <w:rPr>
                <w:sz w:val="18"/>
                <w:szCs w:val="18"/>
              </w:rPr>
            </w:pPr>
            <w:r>
              <w:rPr>
                <w:rFonts w:hint="eastAsia"/>
                <w:sz w:val="18"/>
                <w:szCs w:val="18"/>
              </w:rPr>
              <w:t>双峪路—堤防人字门</w:t>
            </w:r>
          </w:p>
        </w:tc>
        <w:tc>
          <w:tcPr>
            <w:tcW w:w="1421" w:type="dxa"/>
            <w:vAlign w:val="center"/>
          </w:tcPr>
          <w:p w14:paraId="1E76B35A">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0.55</w:t>
            </w:r>
          </w:p>
        </w:tc>
        <w:tc>
          <w:tcPr>
            <w:tcW w:w="1421" w:type="dxa"/>
            <w:vAlign w:val="center"/>
          </w:tcPr>
          <w:p w14:paraId="16FE2442">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Align w:val="center"/>
          </w:tcPr>
          <w:p w14:paraId="6421E649">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180～320</w:t>
            </w:r>
          </w:p>
        </w:tc>
        <w:tc>
          <w:tcPr>
            <w:tcW w:w="1422" w:type="dxa"/>
            <w:tcBorders>
              <w:right w:val="single" w:color="auto" w:sz="12" w:space="0"/>
            </w:tcBorders>
            <w:vAlign w:val="center"/>
          </w:tcPr>
          <w:p w14:paraId="24116058">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以现有双峪路为界至滩坝的距离</w:t>
            </w:r>
          </w:p>
        </w:tc>
      </w:tr>
      <w:tr w14:paraId="656A5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27F2C54C">
            <w:pPr>
              <w:spacing w:line="240" w:lineRule="exact"/>
              <w:ind w:firstLine="0" w:firstLineChars="0"/>
              <w:jc w:val="center"/>
              <w:rPr>
                <w:sz w:val="18"/>
                <w:szCs w:val="18"/>
              </w:rPr>
            </w:pPr>
          </w:p>
        </w:tc>
        <w:tc>
          <w:tcPr>
            <w:tcW w:w="1883" w:type="dxa"/>
            <w:vAlign w:val="center"/>
          </w:tcPr>
          <w:p w14:paraId="7681D73F">
            <w:pPr>
              <w:spacing w:line="240" w:lineRule="exact"/>
              <w:ind w:firstLine="0" w:firstLineChars="0"/>
              <w:jc w:val="center"/>
              <w:rPr>
                <w:sz w:val="18"/>
                <w:szCs w:val="18"/>
              </w:rPr>
            </w:pPr>
            <w:r>
              <w:rPr>
                <w:rFonts w:hint="eastAsia"/>
                <w:sz w:val="18"/>
                <w:szCs w:val="18"/>
              </w:rPr>
              <w:t>堤防人字门—京原公路桥</w:t>
            </w:r>
          </w:p>
        </w:tc>
        <w:tc>
          <w:tcPr>
            <w:tcW w:w="1421" w:type="dxa"/>
            <w:vAlign w:val="center"/>
          </w:tcPr>
          <w:p w14:paraId="2E360AA0">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6.49</w:t>
            </w:r>
          </w:p>
        </w:tc>
        <w:tc>
          <w:tcPr>
            <w:tcW w:w="1421" w:type="dxa"/>
            <w:vAlign w:val="center"/>
          </w:tcPr>
          <w:p w14:paraId="7CB148BC">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Align w:val="center"/>
          </w:tcPr>
          <w:p w14:paraId="581F348B">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50</w:t>
            </w:r>
          </w:p>
        </w:tc>
        <w:tc>
          <w:tcPr>
            <w:tcW w:w="1422" w:type="dxa"/>
            <w:tcBorders>
              <w:right w:val="single" w:color="auto" w:sz="12" w:space="0"/>
            </w:tcBorders>
            <w:vAlign w:val="center"/>
          </w:tcPr>
          <w:p w14:paraId="6ADC7DC2">
            <w:pPr>
              <w:spacing w:line="240" w:lineRule="exact"/>
              <w:ind w:firstLine="0" w:firstLineChars="0"/>
              <w:jc w:val="center"/>
              <w:rPr>
                <w:rFonts w:hint="eastAsia" w:ascii="宋体" w:hAnsi="宋体" w:eastAsia="宋体" w:cs="宋体"/>
                <w:sz w:val="18"/>
                <w:szCs w:val="18"/>
              </w:rPr>
            </w:pPr>
          </w:p>
        </w:tc>
      </w:tr>
      <w:tr w14:paraId="4388C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509B77C3">
            <w:pPr>
              <w:spacing w:line="240" w:lineRule="exact"/>
              <w:ind w:firstLine="0" w:firstLineChars="0"/>
              <w:jc w:val="center"/>
              <w:rPr>
                <w:sz w:val="18"/>
                <w:szCs w:val="18"/>
              </w:rPr>
            </w:pPr>
          </w:p>
        </w:tc>
        <w:tc>
          <w:tcPr>
            <w:tcW w:w="1883" w:type="dxa"/>
            <w:vAlign w:val="center"/>
          </w:tcPr>
          <w:p w14:paraId="23D12CAC">
            <w:pPr>
              <w:spacing w:line="240" w:lineRule="exact"/>
              <w:ind w:firstLine="0" w:firstLineChars="0"/>
              <w:jc w:val="center"/>
              <w:rPr>
                <w:sz w:val="18"/>
                <w:szCs w:val="18"/>
              </w:rPr>
            </w:pPr>
            <w:r>
              <w:rPr>
                <w:rFonts w:hint="eastAsia"/>
                <w:sz w:val="18"/>
                <w:szCs w:val="18"/>
              </w:rPr>
              <w:t>京原公路桥—绿化一号泵站</w:t>
            </w:r>
          </w:p>
        </w:tc>
        <w:tc>
          <w:tcPr>
            <w:tcW w:w="1421" w:type="dxa"/>
            <w:vAlign w:val="center"/>
          </w:tcPr>
          <w:p w14:paraId="4A7E52D3">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5.46</w:t>
            </w:r>
          </w:p>
        </w:tc>
        <w:tc>
          <w:tcPr>
            <w:tcW w:w="1421" w:type="dxa"/>
            <w:vAlign w:val="center"/>
          </w:tcPr>
          <w:p w14:paraId="4A58E19E">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Align w:val="center"/>
          </w:tcPr>
          <w:p w14:paraId="37CC4B1D">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70</w:t>
            </w:r>
          </w:p>
        </w:tc>
        <w:tc>
          <w:tcPr>
            <w:tcW w:w="1422" w:type="dxa"/>
            <w:tcBorders>
              <w:right w:val="single" w:color="auto" w:sz="12" w:space="0"/>
            </w:tcBorders>
            <w:vAlign w:val="center"/>
          </w:tcPr>
          <w:p w14:paraId="7001A17F">
            <w:pPr>
              <w:spacing w:line="240" w:lineRule="exact"/>
              <w:ind w:firstLine="0" w:firstLineChars="0"/>
              <w:jc w:val="center"/>
              <w:rPr>
                <w:rFonts w:hint="eastAsia" w:ascii="宋体" w:hAnsi="宋体" w:eastAsia="宋体" w:cs="宋体"/>
                <w:sz w:val="18"/>
                <w:szCs w:val="18"/>
              </w:rPr>
            </w:pPr>
          </w:p>
        </w:tc>
      </w:tr>
      <w:tr w14:paraId="32B85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7D058ADD">
            <w:pPr>
              <w:spacing w:line="240" w:lineRule="exact"/>
              <w:ind w:firstLine="0" w:firstLineChars="0"/>
              <w:jc w:val="center"/>
              <w:rPr>
                <w:sz w:val="18"/>
                <w:szCs w:val="18"/>
              </w:rPr>
            </w:pPr>
          </w:p>
        </w:tc>
        <w:tc>
          <w:tcPr>
            <w:tcW w:w="1883" w:type="dxa"/>
            <w:vAlign w:val="center"/>
          </w:tcPr>
          <w:p w14:paraId="40143966">
            <w:pPr>
              <w:spacing w:line="240" w:lineRule="exact"/>
              <w:ind w:firstLine="0" w:firstLineChars="0"/>
              <w:jc w:val="center"/>
              <w:rPr>
                <w:sz w:val="18"/>
                <w:szCs w:val="18"/>
              </w:rPr>
            </w:pPr>
            <w:r>
              <w:rPr>
                <w:rFonts w:hint="eastAsia"/>
                <w:sz w:val="18"/>
                <w:szCs w:val="18"/>
              </w:rPr>
              <w:t>绿化一号泵站—卢沟桥拦河闸</w:t>
            </w:r>
          </w:p>
        </w:tc>
        <w:tc>
          <w:tcPr>
            <w:tcW w:w="1421" w:type="dxa"/>
            <w:vAlign w:val="center"/>
          </w:tcPr>
          <w:p w14:paraId="44F66C85">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0.56</w:t>
            </w:r>
          </w:p>
        </w:tc>
        <w:tc>
          <w:tcPr>
            <w:tcW w:w="1421" w:type="dxa"/>
            <w:vAlign w:val="center"/>
          </w:tcPr>
          <w:p w14:paraId="390B10EF">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Align w:val="center"/>
          </w:tcPr>
          <w:p w14:paraId="78E0DFB6">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200</w:t>
            </w:r>
          </w:p>
        </w:tc>
        <w:tc>
          <w:tcPr>
            <w:tcW w:w="1422" w:type="dxa"/>
            <w:tcBorders>
              <w:right w:val="single" w:color="auto" w:sz="12" w:space="0"/>
            </w:tcBorders>
            <w:vAlign w:val="center"/>
          </w:tcPr>
          <w:p w14:paraId="6F61394D">
            <w:pPr>
              <w:spacing w:line="240" w:lineRule="exact"/>
              <w:ind w:firstLine="0" w:firstLineChars="0"/>
              <w:jc w:val="center"/>
              <w:rPr>
                <w:rFonts w:hint="eastAsia" w:ascii="宋体" w:hAnsi="宋体" w:eastAsia="宋体" w:cs="宋体"/>
                <w:sz w:val="18"/>
                <w:szCs w:val="18"/>
              </w:rPr>
            </w:pPr>
          </w:p>
        </w:tc>
      </w:tr>
      <w:tr w14:paraId="35416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514F7343">
            <w:pPr>
              <w:spacing w:line="240" w:lineRule="exact"/>
              <w:ind w:firstLine="0" w:firstLineChars="0"/>
              <w:jc w:val="center"/>
              <w:rPr>
                <w:sz w:val="18"/>
                <w:szCs w:val="18"/>
              </w:rPr>
            </w:pPr>
          </w:p>
        </w:tc>
        <w:tc>
          <w:tcPr>
            <w:tcW w:w="1883" w:type="dxa"/>
            <w:vAlign w:val="center"/>
          </w:tcPr>
          <w:p w14:paraId="469FDEF7">
            <w:pPr>
              <w:spacing w:line="240" w:lineRule="exact"/>
              <w:ind w:firstLine="0" w:firstLineChars="0"/>
              <w:jc w:val="center"/>
              <w:rPr>
                <w:sz w:val="18"/>
                <w:szCs w:val="18"/>
              </w:rPr>
            </w:pPr>
            <w:r>
              <w:rPr>
                <w:rFonts w:hint="eastAsia"/>
                <w:sz w:val="18"/>
                <w:szCs w:val="18"/>
              </w:rPr>
              <w:t>卢沟桥拦河闸—卢沟新桥</w:t>
            </w:r>
          </w:p>
        </w:tc>
        <w:tc>
          <w:tcPr>
            <w:tcW w:w="1421" w:type="dxa"/>
            <w:vAlign w:val="center"/>
          </w:tcPr>
          <w:p w14:paraId="46D99CF8">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1.58</w:t>
            </w:r>
          </w:p>
        </w:tc>
        <w:tc>
          <w:tcPr>
            <w:tcW w:w="1421" w:type="dxa"/>
            <w:vAlign w:val="center"/>
          </w:tcPr>
          <w:p w14:paraId="70E4513F">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Align w:val="center"/>
          </w:tcPr>
          <w:p w14:paraId="765DF7FA">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60</w:t>
            </w:r>
          </w:p>
        </w:tc>
        <w:tc>
          <w:tcPr>
            <w:tcW w:w="1422" w:type="dxa"/>
            <w:tcBorders>
              <w:right w:val="single" w:color="auto" w:sz="12" w:space="0"/>
            </w:tcBorders>
            <w:vAlign w:val="center"/>
          </w:tcPr>
          <w:p w14:paraId="578A4D60">
            <w:pPr>
              <w:spacing w:line="240" w:lineRule="exact"/>
              <w:ind w:firstLine="0" w:firstLineChars="0"/>
              <w:jc w:val="center"/>
              <w:rPr>
                <w:rFonts w:hint="eastAsia" w:ascii="宋体" w:hAnsi="宋体" w:eastAsia="宋体" w:cs="宋体"/>
                <w:sz w:val="18"/>
                <w:szCs w:val="18"/>
              </w:rPr>
            </w:pPr>
          </w:p>
        </w:tc>
      </w:tr>
      <w:tr w14:paraId="58ACB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49735826">
            <w:pPr>
              <w:spacing w:line="240" w:lineRule="exact"/>
              <w:ind w:firstLine="0" w:firstLineChars="0"/>
              <w:jc w:val="center"/>
              <w:rPr>
                <w:sz w:val="18"/>
                <w:szCs w:val="18"/>
              </w:rPr>
            </w:pPr>
          </w:p>
        </w:tc>
        <w:tc>
          <w:tcPr>
            <w:tcW w:w="1883" w:type="dxa"/>
            <w:vAlign w:val="center"/>
          </w:tcPr>
          <w:p w14:paraId="6A37BBAE">
            <w:pPr>
              <w:spacing w:line="240" w:lineRule="exact"/>
              <w:ind w:firstLine="0" w:firstLineChars="0"/>
              <w:jc w:val="center"/>
              <w:rPr>
                <w:sz w:val="18"/>
                <w:szCs w:val="18"/>
              </w:rPr>
            </w:pPr>
            <w:r>
              <w:rPr>
                <w:rFonts w:hint="eastAsia"/>
                <w:sz w:val="18"/>
                <w:szCs w:val="18"/>
              </w:rPr>
              <w:t>卢沟新桥—梁各庄</w:t>
            </w:r>
          </w:p>
        </w:tc>
        <w:tc>
          <w:tcPr>
            <w:tcW w:w="1421" w:type="dxa"/>
            <w:vAlign w:val="center"/>
          </w:tcPr>
          <w:p w14:paraId="2F60F499">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62.13</w:t>
            </w:r>
          </w:p>
        </w:tc>
        <w:tc>
          <w:tcPr>
            <w:tcW w:w="1421" w:type="dxa"/>
            <w:vAlign w:val="center"/>
          </w:tcPr>
          <w:p w14:paraId="490DCDBD">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Align w:val="center"/>
          </w:tcPr>
          <w:p w14:paraId="73353811">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Merge w:val="restart"/>
            <w:tcBorders>
              <w:right w:val="single" w:color="auto" w:sz="12" w:space="0"/>
            </w:tcBorders>
            <w:vAlign w:val="center"/>
          </w:tcPr>
          <w:p w14:paraId="6D8111D2">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村庄的地方，保护范围宽度为60米</w:t>
            </w:r>
          </w:p>
        </w:tc>
      </w:tr>
      <w:tr w14:paraId="35971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678E8A12">
            <w:pPr>
              <w:spacing w:line="240" w:lineRule="exact"/>
              <w:ind w:firstLine="0" w:firstLineChars="0"/>
              <w:jc w:val="center"/>
              <w:rPr>
                <w:sz w:val="18"/>
                <w:szCs w:val="18"/>
              </w:rPr>
            </w:pPr>
          </w:p>
        </w:tc>
        <w:tc>
          <w:tcPr>
            <w:tcW w:w="1883" w:type="dxa"/>
            <w:vAlign w:val="center"/>
          </w:tcPr>
          <w:p w14:paraId="7DBD627E">
            <w:pPr>
              <w:spacing w:line="240" w:lineRule="exact"/>
              <w:ind w:firstLine="0" w:firstLineChars="0"/>
              <w:jc w:val="center"/>
              <w:rPr>
                <w:sz w:val="18"/>
                <w:szCs w:val="18"/>
              </w:rPr>
            </w:pPr>
            <w:r>
              <w:rPr>
                <w:rFonts w:hint="eastAsia"/>
                <w:sz w:val="18"/>
                <w:szCs w:val="18"/>
              </w:rPr>
              <w:t>曹辛庄—南庄（新北堤段）</w:t>
            </w:r>
          </w:p>
        </w:tc>
        <w:tc>
          <w:tcPr>
            <w:tcW w:w="1421" w:type="dxa"/>
            <w:vAlign w:val="center"/>
          </w:tcPr>
          <w:p w14:paraId="06CD8899">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6.00</w:t>
            </w:r>
          </w:p>
        </w:tc>
        <w:tc>
          <w:tcPr>
            <w:tcW w:w="1421" w:type="dxa"/>
            <w:vAlign w:val="center"/>
          </w:tcPr>
          <w:p w14:paraId="7E448A3E">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Align w:val="center"/>
          </w:tcPr>
          <w:p w14:paraId="7847F7FD">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Merge w:val="continue"/>
            <w:tcBorders>
              <w:right w:val="single" w:color="auto" w:sz="12" w:space="0"/>
            </w:tcBorders>
            <w:vAlign w:val="center"/>
          </w:tcPr>
          <w:p w14:paraId="11691F54">
            <w:pPr>
              <w:spacing w:line="240" w:lineRule="exact"/>
              <w:ind w:firstLine="0" w:firstLineChars="0"/>
              <w:jc w:val="center"/>
              <w:rPr>
                <w:rFonts w:hint="eastAsia" w:ascii="宋体" w:hAnsi="宋体" w:eastAsia="宋体" w:cs="宋体"/>
                <w:sz w:val="18"/>
                <w:szCs w:val="18"/>
              </w:rPr>
            </w:pPr>
          </w:p>
        </w:tc>
      </w:tr>
      <w:tr w14:paraId="5316B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0E12AC94">
            <w:pPr>
              <w:spacing w:line="240" w:lineRule="exact"/>
              <w:ind w:firstLine="0" w:firstLineChars="0"/>
              <w:jc w:val="center"/>
              <w:rPr>
                <w:sz w:val="18"/>
                <w:szCs w:val="18"/>
              </w:rPr>
            </w:pPr>
          </w:p>
        </w:tc>
        <w:tc>
          <w:tcPr>
            <w:tcW w:w="1883" w:type="dxa"/>
            <w:vAlign w:val="center"/>
          </w:tcPr>
          <w:p w14:paraId="0B265729">
            <w:pPr>
              <w:spacing w:line="240" w:lineRule="exact"/>
              <w:ind w:firstLine="0" w:firstLineChars="0"/>
              <w:jc w:val="center"/>
              <w:rPr>
                <w:sz w:val="18"/>
                <w:szCs w:val="18"/>
              </w:rPr>
            </w:pPr>
            <w:r>
              <w:rPr>
                <w:rFonts w:hint="eastAsia"/>
                <w:sz w:val="18"/>
                <w:szCs w:val="18"/>
              </w:rPr>
              <w:t>三家店拦河闸—葡萄嘴</w:t>
            </w:r>
          </w:p>
        </w:tc>
        <w:tc>
          <w:tcPr>
            <w:tcW w:w="1421" w:type="dxa"/>
            <w:vAlign w:val="center"/>
          </w:tcPr>
          <w:p w14:paraId="37A107B9">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3.90</w:t>
            </w:r>
          </w:p>
        </w:tc>
        <w:tc>
          <w:tcPr>
            <w:tcW w:w="1421" w:type="dxa"/>
            <w:vAlign w:val="center"/>
          </w:tcPr>
          <w:p w14:paraId="43596665">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w:t>
            </w:r>
          </w:p>
        </w:tc>
        <w:tc>
          <w:tcPr>
            <w:tcW w:w="1422" w:type="dxa"/>
            <w:vAlign w:val="center"/>
          </w:tcPr>
          <w:p w14:paraId="61C90783">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Merge w:val="restart"/>
            <w:tcBorders>
              <w:right w:val="single" w:color="auto" w:sz="12" w:space="0"/>
            </w:tcBorders>
            <w:vAlign w:val="center"/>
          </w:tcPr>
          <w:p w14:paraId="7026EE3D">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从4,000秒立米清障线外延</w:t>
            </w:r>
          </w:p>
        </w:tc>
      </w:tr>
      <w:tr w14:paraId="2A7EC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0B716082">
            <w:pPr>
              <w:spacing w:line="240" w:lineRule="exact"/>
              <w:ind w:firstLine="0" w:firstLineChars="0"/>
              <w:jc w:val="center"/>
              <w:rPr>
                <w:sz w:val="18"/>
                <w:szCs w:val="18"/>
              </w:rPr>
            </w:pPr>
          </w:p>
        </w:tc>
        <w:tc>
          <w:tcPr>
            <w:tcW w:w="1883" w:type="dxa"/>
            <w:vAlign w:val="center"/>
          </w:tcPr>
          <w:p w14:paraId="47D457DA">
            <w:pPr>
              <w:spacing w:line="240" w:lineRule="exact"/>
              <w:ind w:firstLine="0" w:firstLineChars="0"/>
              <w:jc w:val="center"/>
              <w:rPr>
                <w:sz w:val="18"/>
                <w:szCs w:val="18"/>
              </w:rPr>
            </w:pPr>
            <w:r>
              <w:rPr>
                <w:rFonts w:hint="eastAsia"/>
                <w:sz w:val="18"/>
                <w:szCs w:val="18"/>
              </w:rPr>
              <w:t>葡萄嘴</w:t>
            </w:r>
          </w:p>
          <w:p w14:paraId="6B65A5DC">
            <w:pPr>
              <w:spacing w:line="240" w:lineRule="exact"/>
              <w:ind w:firstLine="0" w:firstLineChars="0"/>
              <w:jc w:val="center"/>
              <w:rPr>
                <w:sz w:val="18"/>
                <w:szCs w:val="18"/>
              </w:rPr>
            </w:pPr>
            <w:r>
              <w:rPr>
                <w:rFonts w:hint="eastAsia"/>
                <w:sz w:val="18"/>
                <w:szCs w:val="18"/>
              </w:rPr>
              <w:t>—京原铁路桥</w:t>
            </w:r>
          </w:p>
        </w:tc>
        <w:tc>
          <w:tcPr>
            <w:tcW w:w="1421" w:type="dxa"/>
            <w:vAlign w:val="center"/>
          </w:tcPr>
          <w:p w14:paraId="1C64FF10">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6.61</w:t>
            </w:r>
          </w:p>
        </w:tc>
        <w:tc>
          <w:tcPr>
            <w:tcW w:w="1421" w:type="dxa"/>
            <w:vAlign w:val="center"/>
          </w:tcPr>
          <w:p w14:paraId="0B11B622">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7FCBE56C">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Merge w:val="continue"/>
            <w:tcBorders>
              <w:right w:val="single" w:color="auto" w:sz="12" w:space="0"/>
            </w:tcBorders>
            <w:vAlign w:val="center"/>
          </w:tcPr>
          <w:p w14:paraId="008D15EE">
            <w:pPr>
              <w:spacing w:line="240" w:lineRule="exact"/>
              <w:ind w:firstLine="0" w:firstLineChars="0"/>
              <w:jc w:val="center"/>
              <w:rPr>
                <w:rFonts w:hint="eastAsia" w:ascii="宋体" w:hAnsi="宋体" w:eastAsia="宋体" w:cs="宋体"/>
                <w:sz w:val="18"/>
                <w:szCs w:val="18"/>
              </w:rPr>
            </w:pPr>
          </w:p>
        </w:tc>
      </w:tr>
      <w:tr w14:paraId="33A41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72755333">
            <w:pPr>
              <w:spacing w:line="240" w:lineRule="exact"/>
              <w:ind w:firstLine="0" w:firstLineChars="0"/>
              <w:jc w:val="center"/>
              <w:rPr>
                <w:sz w:val="18"/>
                <w:szCs w:val="18"/>
              </w:rPr>
            </w:pPr>
          </w:p>
        </w:tc>
        <w:tc>
          <w:tcPr>
            <w:tcW w:w="1883" w:type="dxa"/>
            <w:vAlign w:val="center"/>
          </w:tcPr>
          <w:p w14:paraId="28BC9572">
            <w:pPr>
              <w:spacing w:line="240" w:lineRule="exact"/>
              <w:ind w:firstLine="0" w:firstLineChars="0"/>
              <w:jc w:val="center"/>
              <w:rPr>
                <w:sz w:val="18"/>
                <w:szCs w:val="18"/>
              </w:rPr>
            </w:pPr>
            <w:r>
              <w:rPr>
                <w:rFonts w:hint="eastAsia"/>
                <w:sz w:val="18"/>
                <w:szCs w:val="18"/>
              </w:rPr>
              <w:t>京原铁路桥—京广铁路桥</w:t>
            </w:r>
          </w:p>
        </w:tc>
        <w:tc>
          <w:tcPr>
            <w:tcW w:w="1421" w:type="dxa"/>
            <w:vAlign w:val="center"/>
          </w:tcPr>
          <w:p w14:paraId="096E9504">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4.64</w:t>
            </w:r>
          </w:p>
        </w:tc>
        <w:tc>
          <w:tcPr>
            <w:tcW w:w="1421" w:type="dxa"/>
            <w:vAlign w:val="center"/>
          </w:tcPr>
          <w:p w14:paraId="5F913F20">
            <w:pPr>
              <w:spacing w:line="240" w:lineRule="exact"/>
              <w:ind w:firstLine="0" w:firstLineChars="0"/>
              <w:jc w:val="center"/>
              <w:rPr>
                <w:rFonts w:hint="eastAsia" w:ascii="宋体" w:hAnsi="宋体" w:eastAsia="宋体" w:cs="宋体"/>
                <w:sz w:val="18"/>
                <w:szCs w:val="18"/>
              </w:rPr>
            </w:pPr>
          </w:p>
        </w:tc>
        <w:tc>
          <w:tcPr>
            <w:tcW w:w="1422" w:type="dxa"/>
            <w:vAlign w:val="center"/>
          </w:tcPr>
          <w:p w14:paraId="2B6B692F">
            <w:pPr>
              <w:spacing w:line="240" w:lineRule="exact"/>
              <w:ind w:firstLine="0" w:firstLineChars="0"/>
              <w:jc w:val="center"/>
              <w:rPr>
                <w:rFonts w:hint="eastAsia" w:ascii="宋体" w:hAnsi="宋体" w:eastAsia="宋体" w:cs="宋体"/>
                <w:sz w:val="18"/>
                <w:szCs w:val="18"/>
              </w:rPr>
            </w:pPr>
          </w:p>
        </w:tc>
        <w:tc>
          <w:tcPr>
            <w:tcW w:w="1422" w:type="dxa"/>
            <w:tcBorders>
              <w:right w:val="single" w:color="auto" w:sz="12" w:space="0"/>
            </w:tcBorders>
            <w:vAlign w:val="center"/>
          </w:tcPr>
          <w:p w14:paraId="37699383">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小哑叭河至右堤为行洪保护范围</w:t>
            </w:r>
          </w:p>
        </w:tc>
      </w:tr>
      <w:tr w14:paraId="53ED6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0C78C213">
            <w:pPr>
              <w:spacing w:line="240" w:lineRule="exact"/>
              <w:ind w:firstLine="0" w:firstLineChars="0"/>
              <w:jc w:val="center"/>
              <w:rPr>
                <w:sz w:val="18"/>
                <w:szCs w:val="18"/>
              </w:rPr>
            </w:pPr>
          </w:p>
        </w:tc>
        <w:tc>
          <w:tcPr>
            <w:tcW w:w="1883" w:type="dxa"/>
            <w:vAlign w:val="center"/>
          </w:tcPr>
          <w:p w14:paraId="01C28EAE">
            <w:pPr>
              <w:spacing w:line="240" w:lineRule="exact"/>
              <w:ind w:firstLine="0" w:firstLineChars="0"/>
              <w:jc w:val="center"/>
              <w:rPr>
                <w:sz w:val="18"/>
                <w:szCs w:val="18"/>
              </w:rPr>
            </w:pPr>
            <w:r>
              <w:rPr>
                <w:rFonts w:hint="eastAsia"/>
                <w:sz w:val="18"/>
                <w:szCs w:val="18"/>
              </w:rPr>
              <w:t>京广铁路桥—卢沟新桥</w:t>
            </w:r>
          </w:p>
        </w:tc>
        <w:tc>
          <w:tcPr>
            <w:tcW w:w="1421" w:type="dxa"/>
            <w:vAlign w:val="center"/>
          </w:tcPr>
          <w:p w14:paraId="00E03079">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0.86</w:t>
            </w:r>
          </w:p>
        </w:tc>
        <w:tc>
          <w:tcPr>
            <w:tcW w:w="1421" w:type="dxa"/>
            <w:vAlign w:val="center"/>
          </w:tcPr>
          <w:p w14:paraId="4CB29467">
            <w:pPr>
              <w:spacing w:line="240" w:lineRule="exact"/>
              <w:ind w:firstLine="0" w:firstLineChars="0"/>
              <w:jc w:val="center"/>
              <w:rPr>
                <w:rFonts w:hint="eastAsia" w:ascii="宋体" w:hAnsi="宋体" w:eastAsia="宋体" w:cs="宋体"/>
                <w:sz w:val="18"/>
                <w:szCs w:val="18"/>
              </w:rPr>
            </w:pPr>
          </w:p>
        </w:tc>
        <w:tc>
          <w:tcPr>
            <w:tcW w:w="1422" w:type="dxa"/>
            <w:vAlign w:val="center"/>
          </w:tcPr>
          <w:p w14:paraId="3D4EE7C1">
            <w:pPr>
              <w:spacing w:line="240" w:lineRule="exact"/>
              <w:ind w:firstLine="0" w:firstLineChars="0"/>
              <w:jc w:val="center"/>
              <w:rPr>
                <w:rFonts w:hint="eastAsia" w:ascii="宋体" w:hAnsi="宋体" w:eastAsia="宋体" w:cs="宋体"/>
                <w:sz w:val="18"/>
                <w:szCs w:val="18"/>
              </w:rPr>
            </w:pPr>
          </w:p>
        </w:tc>
        <w:tc>
          <w:tcPr>
            <w:tcW w:w="1422" w:type="dxa"/>
            <w:tcBorders>
              <w:right w:val="single" w:color="auto" w:sz="12" w:space="0"/>
            </w:tcBorders>
            <w:vAlign w:val="center"/>
          </w:tcPr>
          <w:p w14:paraId="47A4FB67">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小哑叭河右岸外延200米</w:t>
            </w:r>
          </w:p>
        </w:tc>
      </w:tr>
      <w:tr w14:paraId="1E73C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041A86D9">
            <w:pPr>
              <w:spacing w:line="240" w:lineRule="exact"/>
              <w:ind w:firstLine="0" w:firstLineChars="0"/>
              <w:jc w:val="center"/>
              <w:rPr>
                <w:sz w:val="18"/>
                <w:szCs w:val="18"/>
              </w:rPr>
            </w:pPr>
          </w:p>
        </w:tc>
        <w:tc>
          <w:tcPr>
            <w:tcW w:w="1883" w:type="dxa"/>
            <w:vAlign w:val="center"/>
          </w:tcPr>
          <w:p w14:paraId="757ED410">
            <w:pPr>
              <w:spacing w:line="240" w:lineRule="exact"/>
              <w:ind w:firstLine="0" w:firstLineChars="0"/>
              <w:jc w:val="center"/>
              <w:rPr>
                <w:sz w:val="18"/>
                <w:szCs w:val="18"/>
              </w:rPr>
            </w:pPr>
            <w:r>
              <w:rPr>
                <w:rFonts w:hint="eastAsia"/>
                <w:sz w:val="18"/>
                <w:szCs w:val="18"/>
              </w:rPr>
              <w:t>卢沟新桥—大宁水库副坝</w:t>
            </w:r>
          </w:p>
        </w:tc>
        <w:tc>
          <w:tcPr>
            <w:tcW w:w="1421" w:type="dxa"/>
            <w:vAlign w:val="center"/>
          </w:tcPr>
          <w:p w14:paraId="708511E2">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3.29</w:t>
            </w:r>
          </w:p>
        </w:tc>
        <w:tc>
          <w:tcPr>
            <w:tcW w:w="1421" w:type="dxa"/>
            <w:vAlign w:val="center"/>
          </w:tcPr>
          <w:p w14:paraId="1ABEAF2B">
            <w:pPr>
              <w:spacing w:line="240" w:lineRule="exact"/>
              <w:ind w:firstLine="0" w:firstLineChars="0"/>
              <w:jc w:val="center"/>
              <w:rPr>
                <w:rFonts w:hint="eastAsia" w:ascii="宋体" w:hAnsi="宋体" w:eastAsia="宋体" w:cs="宋体"/>
                <w:sz w:val="18"/>
                <w:szCs w:val="18"/>
              </w:rPr>
            </w:pPr>
          </w:p>
        </w:tc>
        <w:tc>
          <w:tcPr>
            <w:tcW w:w="1422" w:type="dxa"/>
            <w:vAlign w:val="center"/>
          </w:tcPr>
          <w:p w14:paraId="74418615">
            <w:pPr>
              <w:spacing w:line="240" w:lineRule="exact"/>
              <w:ind w:firstLine="0" w:firstLineChars="0"/>
              <w:jc w:val="center"/>
              <w:rPr>
                <w:rFonts w:hint="eastAsia" w:ascii="宋体" w:hAnsi="宋体" w:eastAsia="宋体" w:cs="宋体"/>
                <w:sz w:val="18"/>
                <w:szCs w:val="18"/>
              </w:rPr>
            </w:pPr>
          </w:p>
        </w:tc>
        <w:tc>
          <w:tcPr>
            <w:tcW w:w="1422" w:type="dxa"/>
            <w:tcBorders>
              <w:right w:val="single" w:color="auto" w:sz="12" w:space="0"/>
            </w:tcBorders>
            <w:vAlign w:val="center"/>
          </w:tcPr>
          <w:p w14:paraId="647FFD12">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大宁滞洪区</w:t>
            </w:r>
          </w:p>
        </w:tc>
      </w:tr>
      <w:tr w14:paraId="1DCB9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305D3D28">
            <w:pPr>
              <w:spacing w:line="240" w:lineRule="exact"/>
              <w:ind w:firstLine="0" w:firstLineChars="0"/>
              <w:jc w:val="center"/>
              <w:rPr>
                <w:sz w:val="18"/>
                <w:szCs w:val="18"/>
              </w:rPr>
            </w:pPr>
          </w:p>
        </w:tc>
        <w:tc>
          <w:tcPr>
            <w:tcW w:w="1883" w:type="dxa"/>
            <w:vAlign w:val="center"/>
          </w:tcPr>
          <w:p w14:paraId="0972CDB1">
            <w:pPr>
              <w:spacing w:line="240" w:lineRule="exact"/>
              <w:ind w:firstLine="0" w:firstLineChars="0"/>
              <w:jc w:val="center"/>
              <w:rPr>
                <w:sz w:val="18"/>
                <w:szCs w:val="18"/>
              </w:rPr>
            </w:pPr>
            <w:r>
              <w:rPr>
                <w:rFonts w:hint="eastAsia"/>
                <w:sz w:val="18"/>
                <w:szCs w:val="18"/>
              </w:rPr>
              <w:t>大宁水库副坝—金门闸</w:t>
            </w:r>
          </w:p>
        </w:tc>
        <w:tc>
          <w:tcPr>
            <w:tcW w:w="1421" w:type="dxa"/>
            <w:vAlign w:val="center"/>
          </w:tcPr>
          <w:p w14:paraId="1E8294C5">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27.39</w:t>
            </w:r>
          </w:p>
        </w:tc>
        <w:tc>
          <w:tcPr>
            <w:tcW w:w="1421" w:type="dxa"/>
            <w:vAlign w:val="center"/>
          </w:tcPr>
          <w:p w14:paraId="03FC38E6">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44F85141">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tcBorders>
              <w:right w:val="single" w:color="auto" w:sz="12" w:space="0"/>
            </w:tcBorders>
            <w:vAlign w:val="center"/>
          </w:tcPr>
          <w:p w14:paraId="2B700231">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有村庄的地方，保护范围为60米，高佃至稻田两堤顺接</w:t>
            </w:r>
          </w:p>
        </w:tc>
      </w:tr>
      <w:tr w14:paraId="0AE67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restart"/>
            <w:tcBorders>
              <w:left w:val="single" w:color="auto" w:sz="12" w:space="0"/>
            </w:tcBorders>
            <w:vAlign w:val="center"/>
          </w:tcPr>
          <w:p w14:paraId="46EB656F">
            <w:pPr>
              <w:spacing w:line="240" w:lineRule="exact"/>
              <w:ind w:firstLine="0" w:firstLineChars="0"/>
              <w:jc w:val="center"/>
              <w:rPr>
                <w:sz w:val="18"/>
                <w:szCs w:val="18"/>
              </w:rPr>
            </w:pPr>
            <w:r>
              <w:rPr>
                <w:rFonts w:hint="eastAsia"/>
                <w:sz w:val="18"/>
                <w:szCs w:val="18"/>
              </w:rPr>
              <w:t>潮</w:t>
            </w:r>
          </w:p>
          <w:p w14:paraId="29F5AE9E">
            <w:pPr>
              <w:spacing w:line="240" w:lineRule="exact"/>
              <w:ind w:firstLine="0" w:firstLineChars="0"/>
              <w:jc w:val="center"/>
              <w:rPr>
                <w:sz w:val="18"/>
                <w:szCs w:val="18"/>
              </w:rPr>
            </w:pPr>
          </w:p>
          <w:p w14:paraId="57A2C0E1">
            <w:pPr>
              <w:spacing w:line="240" w:lineRule="exact"/>
              <w:ind w:firstLine="0" w:firstLineChars="0"/>
              <w:jc w:val="center"/>
              <w:rPr>
                <w:sz w:val="18"/>
                <w:szCs w:val="18"/>
              </w:rPr>
            </w:pPr>
          </w:p>
          <w:p w14:paraId="2637684E">
            <w:pPr>
              <w:spacing w:line="240" w:lineRule="exact"/>
              <w:ind w:firstLine="0" w:firstLineChars="0"/>
              <w:jc w:val="center"/>
              <w:rPr>
                <w:sz w:val="18"/>
                <w:szCs w:val="18"/>
              </w:rPr>
            </w:pPr>
          </w:p>
          <w:p w14:paraId="53F8A91D">
            <w:pPr>
              <w:spacing w:line="240" w:lineRule="exact"/>
              <w:ind w:firstLine="0" w:firstLineChars="0"/>
              <w:jc w:val="center"/>
              <w:rPr>
                <w:sz w:val="18"/>
                <w:szCs w:val="18"/>
              </w:rPr>
            </w:pPr>
            <w:r>
              <w:rPr>
                <w:rFonts w:hint="eastAsia"/>
                <w:sz w:val="18"/>
                <w:szCs w:val="18"/>
              </w:rPr>
              <w:t>白</w:t>
            </w:r>
          </w:p>
          <w:p w14:paraId="581A3B0E">
            <w:pPr>
              <w:spacing w:line="240" w:lineRule="exact"/>
              <w:ind w:firstLine="0" w:firstLineChars="0"/>
              <w:jc w:val="center"/>
              <w:rPr>
                <w:sz w:val="18"/>
                <w:szCs w:val="18"/>
              </w:rPr>
            </w:pPr>
          </w:p>
          <w:p w14:paraId="427FA624">
            <w:pPr>
              <w:spacing w:line="240" w:lineRule="exact"/>
              <w:ind w:firstLine="0" w:firstLineChars="0"/>
              <w:jc w:val="center"/>
              <w:rPr>
                <w:sz w:val="18"/>
                <w:szCs w:val="18"/>
              </w:rPr>
            </w:pPr>
          </w:p>
          <w:p w14:paraId="744D6E1B">
            <w:pPr>
              <w:spacing w:line="240" w:lineRule="exact"/>
              <w:ind w:firstLine="0" w:firstLineChars="0"/>
              <w:jc w:val="center"/>
              <w:rPr>
                <w:sz w:val="18"/>
                <w:szCs w:val="18"/>
              </w:rPr>
            </w:pPr>
          </w:p>
          <w:p w14:paraId="0F87276A">
            <w:pPr>
              <w:spacing w:line="240" w:lineRule="exact"/>
              <w:ind w:firstLine="0" w:firstLineChars="0"/>
              <w:jc w:val="center"/>
              <w:rPr>
                <w:sz w:val="18"/>
                <w:szCs w:val="18"/>
              </w:rPr>
            </w:pPr>
            <w:r>
              <w:rPr>
                <w:rFonts w:hint="eastAsia"/>
                <w:sz w:val="18"/>
                <w:szCs w:val="18"/>
              </w:rPr>
              <w:t>河</w:t>
            </w:r>
          </w:p>
        </w:tc>
        <w:tc>
          <w:tcPr>
            <w:tcW w:w="1883" w:type="dxa"/>
            <w:vAlign w:val="center"/>
          </w:tcPr>
          <w:p w14:paraId="3CF64887">
            <w:pPr>
              <w:spacing w:line="240" w:lineRule="exact"/>
              <w:ind w:firstLine="0" w:firstLineChars="0"/>
              <w:jc w:val="center"/>
              <w:rPr>
                <w:sz w:val="18"/>
                <w:szCs w:val="18"/>
              </w:rPr>
            </w:pPr>
            <w:r>
              <w:rPr>
                <w:rFonts w:hint="eastAsia"/>
                <w:sz w:val="18"/>
                <w:szCs w:val="18"/>
              </w:rPr>
              <w:t>潮白河汇合口—大罗山</w:t>
            </w:r>
          </w:p>
        </w:tc>
        <w:tc>
          <w:tcPr>
            <w:tcW w:w="1421" w:type="dxa"/>
            <w:vAlign w:val="center"/>
          </w:tcPr>
          <w:p w14:paraId="20064518">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8.77</w:t>
            </w:r>
          </w:p>
        </w:tc>
        <w:tc>
          <w:tcPr>
            <w:tcW w:w="1421" w:type="dxa"/>
            <w:vAlign w:val="center"/>
          </w:tcPr>
          <w:p w14:paraId="3EB27B71">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210</w:t>
            </w:r>
          </w:p>
        </w:tc>
        <w:tc>
          <w:tcPr>
            <w:tcW w:w="1422" w:type="dxa"/>
            <w:vAlign w:val="center"/>
          </w:tcPr>
          <w:p w14:paraId="0CED4B9E">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210</w:t>
            </w:r>
          </w:p>
        </w:tc>
        <w:tc>
          <w:tcPr>
            <w:tcW w:w="1422" w:type="dxa"/>
            <w:tcBorders>
              <w:right w:val="single" w:color="auto" w:sz="12" w:space="0"/>
            </w:tcBorders>
            <w:vAlign w:val="center"/>
          </w:tcPr>
          <w:p w14:paraId="508B47AB">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按规划河道中心线向两侧外延</w:t>
            </w:r>
          </w:p>
        </w:tc>
      </w:tr>
      <w:tr w14:paraId="0762B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3EF9CAEC">
            <w:pPr>
              <w:spacing w:line="240" w:lineRule="exact"/>
              <w:ind w:firstLine="0" w:firstLineChars="0"/>
              <w:jc w:val="center"/>
              <w:rPr>
                <w:sz w:val="18"/>
                <w:szCs w:val="18"/>
              </w:rPr>
            </w:pPr>
          </w:p>
        </w:tc>
        <w:tc>
          <w:tcPr>
            <w:tcW w:w="1883" w:type="dxa"/>
            <w:vAlign w:val="center"/>
          </w:tcPr>
          <w:p w14:paraId="595F7788">
            <w:pPr>
              <w:spacing w:line="240" w:lineRule="exact"/>
              <w:ind w:firstLine="0" w:firstLineChars="0"/>
              <w:jc w:val="center"/>
              <w:rPr>
                <w:sz w:val="18"/>
                <w:szCs w:val="18"/>
              </w:rPr>
            </w:pPr>
            <w:r>
              <w:rPr>
                <w:rFonts w:hint="eastAsia"/>
                <w:sz w:val="18"/>
                <w:szCs w:val="18"/>
              </w:rPr>
              <w:t>大罗山—梭草村南</w:t>
            </w:r>
          </w:p>
        </w:tc>
        <w:tc>
          <w:tcPr>
            <w:tcW w:w="1421" w:type="dxa"/>
            <w:vAlign w:val="center"/>
          </w:tcPr>
          <w:p w14:paraId="16809A08">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8.10</w:t>
            </w:r>
          </w:p>
        </w:tc>
        <w:tc>
          <w:tcPr>
            <w:tcW w:w="1421" w:type="dxa"/>
            <w:vAlign w:val="center"/>
          </w:tcPr>
          <w:p w14:paraId="2B96644A">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1246E082">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tcBorders>
              <w:right w:val="single" w:color="auto" w:sz="12" w:space="0"/>
            </w:tcBorders>
            <w:vAlign w:val="center"/>
          </w:tcPr>
          <w:p w14:paraId="49C8FF52">
            <w:pPr>
              <w:spacing w:line="240" w:lineRule="exact"/>
              <w:ind w:firstLine="0" w:firstLineChars="0"/>
              <w:jc w:val="center"/>
              <w:rPr>
                <w:rFonts w:hint="eastAsia" w:ascii="宋体" w:hAnsi="宋体" w:eastAsia="宋体" w:cs="宋体"/>
                <w:sz w:val="18"/>
                <w:szCs w:val="18"/>
              </w:rPr>
            </w:pPr>
          </w:p>
        </w:tc>
      </w:tr>
      <w:tr w14:paraId="3BAE7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1D0386F8">
            <w:pPr>
              <w:spacing w:line="240" w:lineRule="exact"/>
              <w:ind w:firstLine="0" w:firstLineChars="0"/>
              <w:jc w:val="center"/>
              <w:rPr>
                <w:sz w:val="18"/>
                <w:szCs w:val="18"/>
              </w:rPr>
            </w:pPr>
          </w:p>
        </w:tc>
        <w:tc>
          <w:tcPr>
            <w:tcW w:w="1883" w:type="dxa"/>
            <w:vAlign w:val="center"/>
          </w:tcPr>
          <w:p w14:paraId="3F19DAF5">
            <w:pPr>
              <w:spacing w:line="240" w:lineRule="exact"/>
              <w:ind w:firstLine="0" w:firstLineChars="0"/>
              <w:jc w:val="center"/>
              <w:rPr>
                <w:sz w:val="18"/>
                <w:szCs w:val="18"/>
              </w:rPr>
            </w:pPr>
            <w:r>
              <w:rPr>
                <w:rFonts w:hint="eastAsia"/>
                <w:sz w:val="18"/>
                <w:szCs w:val="18"/>
              </w:rPr>
              <w:t>梭草村南—向阳村北</w:t>
            </w:r>
          </w:p>
        </w:tc>
        <w:tc>
          <w:tcPr>
            <w:tcW w:w="1421" w:type="dxa"/>
            <w:vAlign w:val="center"/>
          </w:tcPr>
          <w:p w14:paraId="79B521D3">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6.36</w:t>
            </w:r>
          </w:p>
        </w:tc>
        <w:tc>
          <w:tcPr>
            <w:tcW w:w="1421" w:type="dxa"/>
            <w:vAlign w:val="center"/>
          </w:tcPr>
          <w:p w14:paraId="444966F8">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0</w:t>
            </w:r>
          </w:p>
        </w:tc>
        <w:tc>
          <w:tcPr>
            <w:tcW w:w="1422" w:type="dxa"/>
            <w:vAlign w:val="center"/>
          </w:tcPr>
          <w:p w14:paraId="47042CDE">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tcBorders>
              <w:right w:val="single" w:color="auto" w:sz="12" w:space="0"/>
            </w:tcBorders>
            <w:vAlign w:val="center"/>
          </w:tcPr>
          <w:p w14:paraId="4187132B">
            <w:pPr>
              <w:spacing w:line="240" w:lineRule="exact"/>
              <w:ind w:firstLine="0" w:firstLineChars="0"/>
              <w:jc w:val="center"/>
              <w:rPr>
                <w:rFonts w:hint="eastAsia" w:ascii="宋体" w:hAnsi="宋体" w:eastAsia="宋体" w:cs="宋体"/>
                <w:sz w:val="18"/>
                <w:szCs w:val="18"/>
              </w:rPr>
            </w:pPr>
          </w:p>
        </w:tc>
      </w:tr>
      <w:tr w14:paraId="748D3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08135E94">
            <w:pPr>
              <w:spacing w:line="240" w:lineRule="exact"/>
              <w:ind w:firstLine="0" w:firstLineChars="0"/>
              <w:jc w:val="center"/>
              <w:rPr>
                <w:sz w:val="18"/>
                <w:szCs w:val="18"/>
              </w:rPr>
            </w:pPr>
          </w:p>
        </w:tc>
        <w:tc>
          <w:tcPr>
            <w:tcW w:w="1883" w:type="dxa"/>
            <w:vAlign w:val="center"/>
          </w:tcPr>
          <w:p w14:paraId="793FE9C3">
            <w:pPr>
              <w:spacing w:line="240" w:lineRule="exact"/>
              <w:ind w:firstLine="0" w:firstLineChars="0"/>
              <w:jc w:val="center"/>
              <w:rPr>
                <w:sz w:val="18"/>
                <w:szCs w:val="18"/>
              </w:rPr>
            </w:pPr>
            <w:r>
              <w:rPr>
                <w:rFonts w:hint="eastAsia"/>
                <w:sz w:val="18"/>
                <w:szCs w:val="18"/>
              </w:rPr>
              <w:t>向阳村北—城北减河</w:t>
            </w:r>
          </w:p>
        </w:tc>
        <w:tc>
          <w:tcPr>
            <w:tcW w:w="1421" w:type="dxa"/>
            <w:vAlign w:val="center"/>
          </w:tcPr>
          <w:p w14:paraId="2C600009">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5.14</w:t>
            </w:r>
          </w:p>
        </w:tc>
        <w:tc>
          <w:tcPr>
            <w:tcW w:w="1421" w:type="dxa"/>
            <w:vAlign w:val="center"/>
          </w:tcPr>
          <w:p w14:paraId="7454E30F">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67D36E16">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tcBorders>
              <w:right w:val="single" w:color="auto" w:sz="12" w:space="0"/>
            </w:tcBorders>
            <w:vAlign w:val="center"/>
          </w:tcPr>
          <w:p w14:paraId="4A541301">
            <w:pPr>
              <w:spacing w:line="240" w:lineRule="exact"/>
              <w:ind w:firstLine="0" w:firstLineChars="0"/>
              <w:jc w:val="center"/>
              <w:rPr>
                <w:rFonts w:hint="eastAsia" w:ascii="宋体" w:hAnsi="宋体" w:eastAsia="宋体" w:cs="宋体"/>
                <w:sz w:val="18"/>
                <w:szCs w:val="18"/>
              </w:rPr>
            </w:pPr>
          </w:p>
        </w:tc>
      </w:tr>
      <w:tr w14:paraId="47F53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7A7EF36B">
            <w:pPr>
              <w:spacing w:line="240" w:lineRule="exact"/>
              <w:ind w:firstLine="0" w:firstLineChars="0"/>
              <w:jc w:val="center"/>
              <w:rPr>
                <w:sz w:val="18"/>
                <w:szCs w:val="18"/>
              </w:rPr>
            </w:pPr>
          </w:p>
        </w:tc>
        <w:tc>
          <w:tcPr>
            <w:tcW w:w="1883" w:type="dxa"/>
            <w:vAlign w:val="center"/>
          </w:tcPr>
          <w:p w14:paraId="6B687B83">
            <w:pPr>
              <w:spacing w:line="240" w:lineRule="exact"/>
              <w:ind w:firstLine="0" w:firstLineChars="0"/>
              <w:jc w:val="center"/>
              <w:rPr>
                <w:sz w:val="18"/>
                <w:szCs w:val="18"/>
              </w:rPr>
            </w:pPr>
            <w:r>
              <w:rPr>
                <w:rFonts w:hint="eastAsia"/>
                <w:sz w:val="18"/>
                <w:szCs w:val="18"/>
              </w:rPr>
              <w:t>城北减河—河南村东</w:t>
            </w:r>
          </w:p>
        </w:tc>
        <w:tc>
          <w:tcPr>
            <w:tcW w:w="1421" w:type="dxa"/>
            <w:vAlign w:val="center"/>
          </w:tcPr>
          <w:p w14:paraId="62FA310B">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3.71</w:t>
            </w:r>
          </w:p>
        </w:tc>
        <w:tc>
          <w:tcPr>
            <w:tcW w:w="1421" w:type="dxa"/>
            <w:vAlign w:val="center"/>
          </w:tcPr>
          <w:p w14:paraId="09DCB3AE">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0</w:t>
            </w:r>
          </w:p>
        </w:tc>
        <w:tc>
          <w:tcPr>
            <w:tcW w:w="1422" w:type="dxa"/>
            <w:vAlign w:val="center"/>
          </w:tcPr>
          <w:p w14:paraId="0E725506">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tcBorders>
              <w:right w:val="single" w:color="auto" w:sz="12" w:space="0"/>
            </w:tcBorders>
            <w:vAlign w:val="center"/>
          </w:tcPr>
          <w:p w14:paraId="0EAC6B82">
            <w:pPr>
              <w:spacing w:line="240" w:lineRule="exact"/>
              <w:ind w:firstLine="0" w:firstLineChars="0"/>
              <w:jc w:val="center"/>
              <w:rPr>
                <w:rFonts w:hint="eastAsia" w:ascii="宋体" w:hAnsi="宋体" w:eastAsia="宋体" w:cs="宋体"/>
                <w:sz w:val="18"/>
                <w:szCs w:val="18"/>
              </w:rPr>
            </w:pPr>
          </w:p>
        </w:tc>
      </w:tr>
      <w:tr w14:paraId="505D4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43252DCE">
            <w:pPr>
              <w:spacing w:line="240" w:lineRule="exact"/>
              <w:ind w:firstLine="0" w:firstLineChars="0"/>
              <w:jc w:val="center"/>
              <w:rPr>
                <w:sz w:val="18"/>
                <w:szCs w:val="18"/>
              </w:rPr>
            </w:pPr>
          </w:p>
        </w:tc>
        <w:tc>
          <w:tcPr>
            <w:tcW w:w="1883" w:type="dxa"/>
            <w:vAlign w:val="center"/>
          </w:tcPr>
          <w:p w14:paraId="5A59AE4D">
            <w:pPr>
              <w:spacing w:line="240" w:lineRule="exact"/>
              <w:ind w:firstLine="0" w:firstLineChars="0"/>
              <w:jc w:val="center"/>
              <w:rPr>
                <w:sz w:val="18"/>
                <w:szCs w:val="18"/>
              </w:rPr>
            </w:pPr>
            <w:r>
              <w:rPr>
                <w:rFonts w:hint="eastAsia"/>
                <w:sz w:val="18"/>
                <w:szCs w:val="18"/>
              </w:rPr>
              <w:t>河南村东—河南村南</w:t>
            </w:r>
          </w:p>
        </w:tc>
        <w:tc>
          <w:tcPr>
            <w:tcW w:w="1421" w:type="dxa"/>
            <w:vAlign w:val="center"/>
          </w:tcPr>
          <w:p w14:paraId="76C43ABA">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4.74</w:t>
            </w:r>
          </w:p>
        </w:tc>
        <w:tc>
          <w:tcPr>
            <w:tcW w:w="1421" w:type="dxa"/>
            <w:vAlign w:val="center"/>
          </w:tcPr>
          <w:p w14:paraId="707A1F0C">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17217461">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tcBorders>
              <w:right w:val="single" w:color="auto" w:sz="12" w:space="0"/>
            </w:tcBorders>
            <w:vAlign w:val="center"/>
          </w:tcPr>
          <w:p w14:paraId="2880C3E2">
            <w:pPr>
              <w:spacing w:line="240" w:lineRule="exact"/>
              <w:ind w:firstLine="0" w:firstLineChars="0"/>
              <w:jc w:val="center"/>
              <w:rPr>
                <w:rFonts w:hint="eastAsia" w:ascii="宋体" w:hAnsi="宋体" w:eastAsia="宋体" w:cs="宋体"/>
                <w:sz w:val="18"/>
                <w:szCs w:val="18"/>
              </w:rPr>
            </w:pPr>
          </w:p>
        </w:tc>
      </w:tr>
      <w:tr w14:paraId="347EF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7CDBF4B6">
            <w:pPr>
              <w:spacing w:line="240" w:lineRule="exact"/>
              <w:ind w:firstLine="0" w:firstLineChars="0"/>
              <w:jc w:val="center"/>
              <w:rPr>
                <w:sz w:val="18"/>
                <w:szCs w:val="18"/>
              </w:rPr>
            </w:pPr>
          </w:p>
        </w:tc>
        <w:tc>
          <w:tcPr>
            <w:tcW w:w="1883" w:type="dxa"/>
            <w:vAlign w:val="center"/>
          </w:tcPr>
          <w:p w14:paraId="76B7050E">
            <w:pPr>
              <w:spacing w:line="240" w:lineRule="exact"/>
              <w:ind w:firstLine="0" w:firstLineChars="0"/>
              <w:jc w:val="center"/>
              <w:rPr>
                <w:sz w:val="18"/>
                <w:szCs w:val="18"/>
              </w:rPr>
            </w:pPr>
            <w:r>
              <w:rPr>
                <w:rFonts w:hint="eastAsia"/>
                <w:sz w:val="18"/>
                <w:szCs w:val="18"/>
              </w:rPr>
              <w:t>河南村南—苏庄</w:t>
            </w:r>
          </w:p>
        </w:tc>
        <w:tc>
          <w:tcPr>
            <w:tcW w:w="1421" w:type="dxa"/>
            <w:vAlign w:val="center"/>
          </w:tcPr>
          <w:p w14:paraId="528E0C3A">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4.68</w:t>
            </w:r>
          </w:p>
        </w:tc>
        <w:tc>
          <w:tcPr>
            <w:tcW w:w="1421" w:type="dxa"/>
            <w:vAlign w:val="center"/>
          </w:tcPr>
          <w:p w14:paraId="681DC888">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0580141C">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Merge w:val="restart"/>
            <w:tcBorders>
              <w:right w:val="single" w:color="auto" w:sz="12" w:space="0"/>
            </w:tcBorders>
            <w:vAlign w:val="center"/>
          </w:tcPr>
          <w:p w14:paraId="3B870A93">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有村庄的地方，保护范围宽度为30米</w:t>
            </w:r>
          </w:p>
        </w:tc>
      </w:tr>
      <w:tr w14:paraId="31F48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4AD91B67">
            <w:pPr>
              <w:spacing w:line="240" w:lineRule="exact"/>
              <w:ind w:firstLine="0" w:firstLineChars="0"/>
              <w:jc w:val="center"/>
              <w:rPr>
                <w:sz w:val="18"/>
                <w:szCs w:val="18"/>
              </w:rPr>
            </w:pPr>
          </w:p>
        </w:tc>
        <w:tc>
          <w:tcPr>
            <w:tcW w:w="1883" w:type="dxa"/>
            <w:vAlign w:val="center"/>
          </w:tcPr>
          <w:p w14:paraId="636BEBE0">
            <w:pPr>
              <w:spacing w:line="240" w:lineRule="exact"/>
              <w:ind w:firstLine="0" w:firstLineChars="0"/>
              <w:jc w:val="center"/>
              <w:rPr>
                <w:sz w:val="18"/>
                <w:szCs w:val="18"/>
              </w:rPr>
            </w:pPr>
            <w:r>
              <w:rPr>
                <w:rFonts w:hint="eastAsia"/>
                <w:sz w:val="18"/>
                <w:szCs w:val="18"/>
              </w:rPr>
              <w:t>苏庄—港北引水渠（右岸至市界）</w:t>
            </w:r>
          </w:p>
        </w:tc>
        <w:tc>
          <w:tcPr>
            <w:tcW w:w="1421" w:type="dxa"/>
            <w:vAlign w:val="center"/>
          </w:tcPr>
          <w:p w14:paraId="2B842482">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5.32</w:t>
            </w:r>
          </w:p>
        </w:tc>
        <w:tc>
          <w:tcPr>
            <w:tcW w:w="1421" w:type="dxa"/>
            <w:vAlign w:val="center"/>
          </w:tcPr>
          <w:p w14:paraId="3E92E897">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48B800CE">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Merge w:val="continue"/>
            <w:tcBorders>
              <w:right w:val="single" w:color="auto" w:sz="12" w:space="0"/>
            </w:tcBorders>
            <w:vAlign w:val="center"/>
          </w:tcPr>
          <w:p w14:paraId="77ABA3FB">
            <w:pPr>
              <w:spacing w:line="240" w:lineRule="exact"/>
              <w:ind w:firstLine="0" w:firstLineChars="0"/>
              <w:jc w:val="center"/>
              <w:rPr>
                <w:rFonts w:hint="eastAsia" w:ascii="宋体" w:hAnsi="宋体" w:eastAsia="宋体" w:cs="宋体"/>
                <w:sz w:val="18"/>
                <w:szCs w:val="18"/>
              </w:rPr>
            </w:pPr>
          </w:p>
        </w:tc>
      </w:tr>
      <w:tr w14:paraId="05333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5501D10E">
            <w:pPr>
              <w:spacing w:line="240" w:lineRule="exact"/>
              <w:ind w:firstLine="0" w:firstLineChars="0"/>
              <w:jc w:val="center"/>
              <w:rPr>
                <w:sz w:val="18"/>
                <w:szCs w:val="18"/>
              </w:rPr>
            </w:pPr>
          </w:p>
        </w:tc>
        <w:tc>
          <w:tcPr>
            <w:tcW w:w="1883" w:type="dxa"/>
            <w:vAlign w:val="center"/>
          </w:tcPr>
          <w:p w14:paraId="6C4390B2">
            <w:pPr>
              <w:spacing w:line="240" w:lineRule="exact"/>
              <w:ind w:firstLine="0" w:firstLineChars="0"/>
              <w:jc w:val="center"/>
              <w:rPr>
                <w:sz w:val="18"/>
                <w:szCs w:val="18"/>
              </w:rPr>
            </w:pPr>
            <w:r>
              <w:rPr>
                <w:rFonts w:hint="eastAsia"/>
                <w:sz w:val="18"/>
                <w:szCs w:val="18"/>
              </w:rPr>
              <w:t>港北引水渠—牛牧屯引河</w:t>
            </w:r>
          </w:p>
        </w:tc>
        <w:tc>
          <w:tcPr>
            <w:tcW w:w="1421" w:type="dxa"/>
            <w:vAlign w:val="center"/>
          </w:tcPr>
          <w:p w14:paraId="3ECEB498">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35.00</w:t>
            </w:r>
          </w:p>
        </w:tc>
        <w:tc>
          <w:tcPr>
            <w:tcW w:w="1421" w:type="dxa"/>
            <w:vAlign w:val="center"/>
          </w:tcPr>
          <w:p w14:paraId="304EBC98">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1626B25D">
            <w:pPr>
              <w:spacing w:line="240" w:lineRule="exact"/>
              <w:ind w:firstLine="0" w:firstLineChars="0"/>
              <w:jc w:val="center"/>
              <w:rPr>
                <w:rFonts w:hint="eastAsia" w:ascii="宋体" w:hAnsi="宋体" w:eastAsia="宋体" w:cs="宋体"/>
                <w:sz w:val="18"/>
                <w:szCs w:val="18"/>
              </w:rPr>
            </w:pPr>
          </w:p>
        </w:tc>
        <w:tc>
          <w:tcPr>
            <w:tcW w:w="1422" w:type="dxa"/>
            <w:vMerge w:val="continue"/>
            <w:tcBorders>
              <w:right w:val="single" w:color="auto" w:sz="12" w:space="0"/>
            </w:tcBorders>
            <w:vAlign w:val="center"/>
          </w:tcPr>
          <w:p w14:paraId="2CF8CF73">
            <w:pPr>
              <w:spacing w:line="240" w:lineRule="exact"/>
              <w:ind w:firstLine="0" w:firstLineChars="0"/>
              <w:jc w:val="center"/>
              <w:rPr>
                <w:rFonts w:hint="eastAsia" w:ascii="宋体" w:hAnsi="宋体" w:eastAsia="宋体" w:cs="宋体"/>
                <w:sz w:val="18"/>
                <w:szCs w:val="18"/>
              </w:rPr>
            </w:pPr>
          </w:p>
        </w:tc>
      </w:tr>
      <w:tr w14:paraId="4E762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restart"/>
            <w:tcBorders>
              <w:left w:val="single" w:color="auto" w:sz="12" w:space="0"/>
            </w:tcBorders>
            <w:vAlign w:val="center"/>
          </w:tcPr>
          <w:p w14:paraId="4F5FFA72">
            <w:pPr>
              <w:spacing w:line="240" w:lineRule="exact"/>
              <w:ind w:firstLine="0" w:firstLineChars="0"/>
              <w:jc w:val="center"/>
              <w:rPr>
                <w:sz w:val="18"/>
                <w:szCs w:val="18"/>
              </w:rPr>
            </w:pPr>
            <w:r>
              <w:rPr>
                <w:rFonts w:hint="eastAsia"/>
                <w:sz w:val="18"/>
                <w:szCs w:val="18"/>
              </w:rPr>
              <w:t>怀</w:t>
            </w:r>
          </w:p>
          <w:p w14:paraId="5E77CCFC">
            <w:pPr>
              <w:spacing w:line="240" w:lineRule="exact"/>
              <w:ind w:firstLine="0" w:firstLineChars="0"/>
              <w:jc w:val="center"/>
              <w:rPr>
                <w:sz w:val="18"/>
                <w:szCs w:val="18"/>
              </w:rPr>
            </w:pPr>
          </w:p>
          <w:p w14:paraId="7B72D914">
            <w:pPr>
              <w:spacing w:line="240" w:lineRule="exact"/>
              <w:ind w:firstLine="0" w:firstLineChars="0"/>
              <w:jc w:val="center"/>
              <w:rPr>
                <w:sz w:val="18"/>
                <w:szCs w:val="18"/>
              </w:rPr>
            </w:pPr>
          </w:p>
          <w:p w14:paraId="71ED729E">
            <w:pPr>
              <w:spacing w:line="240" w:lineRule="exact"/>
              <w:ind w:firstLine="0" w:firstLineChars="0"/>
              <w:jc w:val="center"/>
              <w:rPr>
                <w:sz w:val="18"/>
                <w:szCs w:val="18"/>
              </w:rPr>
            </w:pPr>
            <w:r>
              <w:rPr>
                <w:rFonts w:hint="eastAsia"/>
                <w:sz w:val="18"/>
                <w:szCs w:val="18"/>
              </w:rPr>
              <w:t>河</w:t>
            </w:r>
          </w:p>
        </w:tc>
        <w:tc>
          <w:tcPr>
            <w:tcW w:w="1883" w:type="dxa"/>
            <w:vAlign w:val="center"/>
          </w:tcPr>
          <w:p w14:paraId="0B9F78A3">
            <w:pPr>
              <w:spacing w:line="240" w:lineRule="exact"/>
              <w:ind w:firstLine="0" w:firstLineChars="0"/>
              <w:jc w:val="center"/>
              <w:rPr>
                <w:sz w:val="18"/>
                <w:szCs w:val="18"/>
              </w:rPr>
            </w:pPr>
            <w:r>
              <w:rPr>
                <w:rFonts w:hint="eastAsia"/>
                <w:sz w:val="18"/>
                <w:szCs w:val="18"/>
              </w:rPr>
              <w:t>怀柔水库坝下—高家两河村西公路桥</w:t>
            </w:r>
          </w:p>
        </w:tc>
        <w:tc>
          <w:tcPr>
            <w:tcW w:w="1421" w:type="dxa"/>
            <w:vAlign w:val="center"/>
          </w:tcPr>
          <w:p w14:paraId="5029CBE7">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3.20</w:t>
            </w:r>
          </w:p>
        </w:tc>
        <w:tc>
          <w:tcPr>
            <w:tcW w:w="1421" w:type="dxa"/>
            <w:vAlign w:val="center"/>
          </w:tcPr>
          <w:p w14:paraId="6B42F7AC">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3BB7F245">
            <w:pPr>
              <w:spacing w:line="240" w:lineRule="exact"/>
              <w:ind w:firstLine="0" w:firstLineChars="0"/>
              <w:jc w:val="center"/>
              <w:rPr>
                <w:rFonts w:hint="eastAsia" w:ascii="宋体" w:hAnsi="宋体" w:eastAsia="宋体" w:cs="宋体"/>
                <w:sz w:val="18"/>
                <w:szCs w:val="18"/>
              </w:rPr>
            </w:pPr>
          </w:p>
        </w:tc>
        <w:tc>
          <w:tcPr>
            <w:tcW w:w="1422" w:type="dxa"/>
            <w:vMerge w:val="restart"/>
            <w:tcBorders>
              <w:right w:val="single" w:color="auto" w:sz="12" w:space="0"/>
            </w:tcBorders>
            <w:vAlign w:val="center"/>
          </w:tcPr>
          <w:p w14:paraId="620CB611">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有村庄的地方，保护范围宽度为30米</w:t>
            </w:r>
          </w:p>
        </w:tc>
      </w:tr>
      <w:tr w14:paraId="3C876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4957950A">
            <w:pPr>
              <w:spacing w:line="240" w:lineRule="exact"/>
              <w:ind w:firstLine="0" w:firstLineChars="0"/>
              <w:jc w:val="center"/>
              <w:rPr>
                <w:sz w:val="18"/>
                <w:szCs w:val="18"/>
              </w:rPr>
            </w:pPr>
          </w:p>
        </w:tc>
        <w:tc>
          <w:tcPr>
            <w:tcW w:w="1883" w:type="dxa"/>
            <w:vAlign w:val="center"/>
          </w:tcPr>
          <w:p w14:paraId="214E0F23">
            <w:pPr>
              <w:spacing w:line="240" w:lineRule="exact"/>
              <w:ind w:firstLine="0" w:firstLineChars="0"/>
              <w:jc w:val="center"/>
              <w:rPr>
                <w:sz w:val="18"/>
                <w:szCs w:val="18"/>
              </w:rPr>
            </w:pPr>
            <w:r>
              <w:rPr>
                <w:rFonts w:hint="eastAsia"/>
                <w:sz w:val="18"/>
                <w:szCs w:val="18"/>
              </w:rPr>
              <w:t>高家两河村—肖家两河村南西公路桥</w:t>
            </w:r>
          </w:p>
        </w:tc>
        <w:tc>
          <w:tcPr>
            <w:tcW w:w="1421" w:type="dxa"/>
            <w:vAlign w:val="center"/>
          </w:tcPr>
          <w:p w14:paraId="0657161E">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2.45</w:t>
            </w:r>
          </w:p>
        </w:tc>
        <w:tc>
          <w:tcPr>
            <w:tcW w:w="1421" w:type="dxa"/>
            <w:vAlign w:val="center"/>
          </w:tcPr>
          <w:p w14:paraId="49C6D0F2">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30</w:t>
            </w:r>
          </w:p>
        </w:tc>
        <w:tc>
          <w:tcPr>
            <w:tcW w:w="1422" w:type="dxa"/>
            <w:vAlign w:val="center"/>
          </w:tcPr>
          <w:p w14:paraId="0A9FC85E">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Merge w:val="continue"/>
            <w:tcBorders>
              <w:right w:val="single" w:color="auto" w:sz="12" w:space="0"/>
            </w:tcBorders>
            <w:vAlign w:val="center"/>
          </w:tcPr>
          <w:p w14:paraId="3AE5518F">
            <w:pPr>
              <w:spacing w:line="240" w:lineRule="exact"/>
              <w:ind w:firstLine="0" w:firstLineChars="0"/>
              <w:jc w:val="center"/>
              <w:rPr>
                <w:rFonts w:hint="eastAsia" w:ascii="宋体" w:hAnsi="宋体" w:eastAsia="宋体" w:cs="宋体"/>
                <w:sz w:val="18"/>
                <w:szCs w:val="18"/>
              </w:rPr>
            </w:pPr>
          </w:p>
        </w:tc>
      </w:tr>
      <w:tr w14:paraId="17455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bottom w:val="single" w:color="auto" w:sz="12" w:space="0"/>
            </w:tcBorders>
            <w:vAlign w:val="center"/>
          </w:tcPr>
          <w:p w14:paraId="517751E5">
            <w:pPr>
              <w:spacing w:line="240" w:lineRule="exact"/>
              <w:ind w:firstLine="0" w:firstLineChars="0"/>
              <w:jc w:val="center"/>
              <w:rPr>
                <w:sz w:val="18"/>
                <w:szCs w:val="18"/>
              </w:rPr>
            </w:pPr>
          </w:p>
        </w:tc>
        <w:tc>
          <w:tcPr>
            <w:tcW w:w="1883" w:type="dxa"/>
            <w:tcBorders>
              <w:bottom w:val="single" w:color="auto" w:sz="12" w:space="0"/>
            </w:tcBorders>
            <w:vAlign w:val="center"/>
          </w:tcPr>
          <w:p w14:paraId="55D8D7B5">
            <w:pPr>
              <w:spacing w:line="240" w:lineRule="exact"/>
              <w:ind w:firstLine="0" w:firstLineChars="0"/>
              <w:jc w:val="center"/>
              <w:rPr>
                <w:sz w:val="18"/>
                <w:szCs w:val="18"/>
              </w:rPr>
            </w:pPr>
            <w:r>
              <w:rPr>
                <w:rFonts w:hint="eastAsia"/>
                <w:sz w:val="18"/>
                <w:szCs w:val="18"/>
              </w:rPr>
              <w:t>肖家两河村南—潮白河</w:t>
            </w:r>
          </w:p>
        </w:tc>
        <w:tc>
          <w:tcPr>
            <w:tcW w:w="1421" w:type="dxa"/>
            <w:tcBorders>
              <w:bottom w:val="single" w:color="auto" w:sz="12" w:space="0"/>
            </w:tcBorders>
            <w:vAlign w:val="center"/>
          </w:tcPr>
          <w:p w14:paraId="05E9BDD5">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9.35</w:t>
            </w:r>
          </w:p>
        </w:tc>
        <w:tc>
          <w:tcPr>
            <w:tcW w:w="1421" w:type="dxa"/>
            <w:tcBorders>
              <w:bottom w:val="single" w:color="auto" w:sz="12" w:space="0"/>
            </w:tcBorders>
            <w:vAlign w:val="center"/>
          </w:tcPr>
          <w:p w14:paraId="421A2A66">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tcBorders>
              <w:bottom w:val="single" w:color="auto" w:sz="12" w:space="0"/>
            </w:tcBorders>
            <w:vAlign w:val="center"/>
          </w:tcPr>
          <w:p w14:paraId="5588AAFB">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Merge w:val="continue"/>
            <w:tcBorders>
              <w:bottom w:val="single" w:color="auto" w:sz="12" w:space="0"/>
              <w:right w:val="single" w:color="auto" w:sz="12" w:space="0"/>
            </w:tcBorders>
            <w:vAlign w:val="center"/>
          </w:tcPr>
          <w:p w14:paraId="1C4637D7">
            <w:pPr>
              <w:spacing w:line="240" w:lineRule="exact"/>
              <w:ind w:firstLine="0" w:firstLineChars="0"/>
              <w:jc w:val="center"/>
              <w:rPr>
                <w:rFonts w:hint="eastAsia" w:ascii="宋体" w:hAnsi="宋体" w:eastAsia="宋体" w:cs="宋体"/>
                <w:sz w:val="18"/>
                <w:szCs w:val="18"/>
              </w:rPr>
            </w:pPr>
          </w:p>
        </w:tc>
      </w:tr>
      <w:tr w14:paraId="08F9F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528" w:type="dxa"/>
            <w:gridSpan w:val="6"/>
            <w:tcBorders>
              <w:top w:val="nil"/>
              <w:left w:val="nil"/>
              <w:bottom w:val="single" w:color="auto" w:sz="12" w:space="0"/>
              <w:right w:val="nil"/>
            </w:tcBorders>
            <w:vAlign w:val="center"/>
          </w:tcPr>
          <w:p w14:paraId="7ED102B5">
            <w:pPr>
              <w:spacing w:line="240" w:lineRule="exact"/>
              <w:ind w:firstLine="0" w:firstLineChars="0"/>
              <w:jc w:val="right"/>
              <w:rPr>
                <w:rFonts w:hint="eastAsia" w:ascii="宋体" w:hAnsi="宋体" w:eastAsia="宋体" w:cs="宋体"/>
                <w:sz w:val="18"/>
                <w:szCs w:val="18"/>
              </w:rPr>
            </w:pPr>
            <w:r>
              <w:rPr>
                <w:rFonts w:hint="eastAsia" w:ascii="宋体" w:hAnsi="宋体" w:eastAsia="宋体" w:cs="宋体"/>
                <w:sz w:val="18"/>
                <w:szCs w:val="18"/>
              </w:rPr>
              <w:t>（续表）</w:t>
            </w:r>
          </w:p>
        </w:tc>
      </w:tr>
      <w:tr w14:paraId="5AE52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restart"/>
            <w:tcBorders>
              <w:top w:val="single" w:color="auto" w:sz="12" w:space="0"/>
              <w:left w:val="single" w:color="auto" w:sz="12" w:space="0"/>
            </w:tcBorders>
            <w:vAlign w:val="center"/>
          </w:tcPr>
          <w:p w14:paraId="4DC1A5C1">
            <w:pPr>
              <w:spacing w:line="240" w:lineRule="exact"/>
              <w:ind w:firstLine="0" w:firstLineChars="0"/>
              <w:jc w:val="center"/>
              <w:rPr>
                <w:sz w:val="18"/>
                <w:szCs w:val="18"/>
              </w:rPr>
            </w:pPr>
            <w:r>
              <w:rPr>
                <w:rFonts w:hint="eastAsia"/>
                <w:sz w:val="18"/>
                <w:szCs w:val="18"/>
              </w:rPr>
              <w:t>河道名称</w:t>
            </w:r>
          </w:p>
        </w:tc>
        <w:tc>
          <w:tcPr>
            <w:tcW w:w="1883" w:type="dxa"/>
            <w:vMerge w:val="restart"/>
            <w:tcBorders>
              <w:top w:val="single" w:color="auto" w:sz="12" w:space="0"/>
            </w:tcBorders>
            <w:vAlign w:val="center"/>
          </w:tcPr>
          <w:p w14:paraId="534F9CE4">
            <w:pPr>
              <w:spacing w:line="240" w:lineRule="exact"/>
              <w:ind w:firstLine="0" w:firstLineChars="0"/>
              <w:jc w:val="center"/>
              <w:rPr>
                <w:sz w:val="18"/>
                <w:szCs w:val="18"/>
              </w:rPr>
            </w:pPr>
            <w:r>
              <w:rPr>
                <w:rFonts w:hint="eastAsia"/>
                <w:sz w:val="18"/>
                <w:szCs w:val="18"/>
              </w:rPr>
              <w:t>河段起止地点</w:t>
            </w:r>
          </w:p>
        </w:tc>
        <w:tc>
          <w:tcPr>
            <w:tcW w:w="1421" w:type="dxa"/>
            <w:vMerge w:val="restart"/>
            <w:tcBorders>
              <w:top w:val="single" w:color="auto" w:sz="12" w:space="0"/>
            </w:tcBorders>
            <w:vAlign w:val="center"/>
          </w:tcPr>
          <w:p w14:paraId="5D74E269">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长度（公里）</w:t>
            </w:r>
          </w:p>
        </w:tc>
        <w:tc>
          <w:tcPr>
            <w:tcW w:w="2843" w:type="dxa"/>
            <w:gridSpan w:val="2"/>
            <w:tcBorders>
              <w:top w:val="single" w:color="auto" w:sz="12" w:space="0"/>
            </w:tcBorders>
            <w:vAlign w:val="center"/>
          </w:tcPr>
          <w:p w14:paraId="3619C9F4">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保护范围宽度（米）</w:t>
            </w:r>
          </w:p>
        </w:tc>
        <w:tc>
          <w:tcPr>
            <w:tcW w:w="1422" w:type="dxa"/>
            <w:vMerge w:val="restart"/>
            <w:tcBorders>
              <w:top w:val="single" w:color="auto" w:sz="12" w:space="0"/>
              <w:right w:val="single" w:color="auto" w:sz="12" w:space="0"/>
            </w:tcBorders>
            <w:vAlign w:val="center"/>
          </w:tcPr>
          <w:p w14:paraId="05A7812F">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备注</w:t>
            </w:r>
          </w:p>
        </w:tc>
      </w:tr>
      <w:tr w14:paraId="12ED3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5B5462B1">
            <w:pPr>
              <w:spacing w:line="240" w:lineRule="exact"/>
              <w:ind w:firstLine="0" w:firstLineChars="0"/>
              <w:jc w:val="center"/>
              <w:rPr>
                <w:sz w:val="18"/>
                <w:szCs w:val="18"/>
              </w:rPr>
            </w:pPr>
          </w:p>
        </w:tc>
        <w:tc>
          <w:tcPr>
            <w:tcW w:w="1883" w:type="dxa"/>
            <w:vMerge w:val="continue"/>
            <w:vAlign w:val="center"/>
          </w:tcPr>
          <w:p w14:paraId="6DCAF0CF">
            <w:pPr>
              <w:spacing w:line="240" w:lineRule="exact"/>
              <w:ind w:firstLine="0" w:firstLineChars="0"/>
              <w:jc w:val="center"/>
              <w:rPr>
                <w:sz w:val="18"/>
                <w:szCs w:val="18"/>
              </w:rPr>
            </w:pPr>
          </w:p>
        </w:tc>
        <w:tc>
          <w:tcPr>
            <w:tcW w:w="1421" w:type="dxa"/>
            <w:vMerge w:val="continue"/>
            <w:vAlign w:val="center"/>
          </w:tcPr>
          <w:p w14:paraId="10DD10F2">
            <w:pPr>
              <w:spacing w:line="240" w:lineRule="exact"/>
              <w:ind w:firstLine="0" w:firstLineChars="0"/>
              <w:jc w:val="center"/>
              <w:rPr>
                <w:rFonts w:hint="eastAsia" w:ascii="宋体" w:hAnsi="宋体" w:eastAsia="宋体" w:cs="宋体"/>
                <w:sz w:val="18"/>
                <w:szCs w:val="18"/>
              </w:rPr>
            </w:pPr>
          </w:p>
        </w:tc>
        <w:tc>
          <w:tcPr>
            <w:tcW w:w="1421" w:type="dxa"/>
            <w:vAlign w:val="center"/>
          </w:tcPr>
          <w:p w14:paraId="68540E4B">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右岸</w:t>
            </w:r>
          </w:p>
        </w:tc>
        <w:tc>
          <w:tcPr>
            <w:tcW w:w="1422" w:type="dxa"/>
            <w:vAlign w:val="center"/>
          </w:tcPr>
          <w:p w14:paraId="2933359C">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左岸</w:t>
            </w:r>
          </w:p>
        </w:tc>
        <w:tc>
          <w:tcPr>
            <w:tcW w:w="1422" w:type="dxa"/>
            <w:vMerge w:val="continue"/>
            <w:tcBorders>
              <w:right w:val="single" w:color="auto" w:sz="12" w:space="0"/>
            </w:tcBorders>
            <w:vAlign w:val="center"/>
          </w:tcPr>
          <w:p w14:paraId="30133A75">
            <w:pPr>
              <w:spacing w:line="240" w:lineRule="exact"/>
              <w:ind w:firstLine="0" w:firstLineChars="0"/>
              <w:jc w:val="center"/>
              <w:rPr>
                <w:rFonts w:hint="eastAsia" w:ascii="宋体" w:hAnsi="宋体" w:eastAsia="宋体" w:cs="宋体"/>
                <w:sz w:val="18"/>
                <w:szCs w:val="18"/>
              </w:rPr>
            </w:pPr>
          </w:p>
        </w:tc>
      </w:tr>
      <w:tr w14:paraId="01D57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restart"/>
            <w:tcBorders>
              <w:left w:val="single" w:color="auto" w:sz="12" w:space="0"/>
            </w:tcBorders>
            <w:vAlign w:val="center"/>
          </w:tcPr>
          <w:p w14:paraId="3B458E6F">
            <w:pPr>
              <w:spacing w:line="240" w:lineRule="exact"/>
              <w:ind w:firstLine="0" w:firstLineChars="0"/>
              <w:jc w:val="center"/>
              <w:rPr>
                <w:sz w:val="18"/>
                <w:szCs w:val="18"/>
              </w:rPr>
            </w:pPr>
            <w:r>
              <w:rPr>
                <w:rFonts w:hint="eastAsia"/>
                <w:sz w:val="18"/>
                <w:szCs w:val="18"/>
              </w:rPr>
              <w:t>北</w:t>
            </w:r>
          </w:p>
          <w:p w14:paraId="07900092">
            <w:pPr>
              <w:spacing w:line="240" w:lineRule="exact"/>
              <w:ind w:firstLine="0" w:firstLineChars="0"/>
              <w:jc w:val="center"/>
              <w:rPr>
                <w:sz w:val="18"/>
                <w:szCs w:val="18"/>
              </w:rPr>
            </w:pPr>
            <w:r>
              <w:rPr>
                <w:rFonts w:hint="eastAsia"/>
                <w:sz w:val="18"/>
                <w:szCs w:val="18"/>
              </w:rPr>
              <w:t>运</w:t>
            </w:r>
          </w:p>
          <w:p w14:paraId="466B66B5">
            <w:pPr>
              <w:spacing w:line="240" w:lineRule="exact"/>
              <w:ind w:firstLine="0" w:firstLineChars="0"/>
              <w:jc w:val="center"/>
              <w:rPr>
                <w:sz w:val="18"/>
                <w:szCs w:val="18"/>
              </w:rPr>
            </w:pPr>
            <w:r>
              <w:rPr>
                <w:rFonts w:hint="eastAsia"/>
                <w:sz w:val="18"/>
                <w:szCs w:val="18"/>
              </w:rPr>
              <w:t>河</w:t>
            </w:r>
          </w:p>
        </w:tc>
        <w:tc>
          <w:tcPr>
            <w:tcW w:w="1883" w:type="dxa"/>
            <w:vAlign w:val="center"/>
          </w:tcPr>
          <w:p w14:paraId="1592F12B">
            <w:pPr>
              <w:spacing w:line="240" w:lineRule="exact"/>
              <w:ind w:firstLine="0" w:firstLineChars="0"/>
              <w:jc w:val="center"/>
              <w:rPr>
                <w:sz w:val="18"/>
                <w:szCs w:val="18"/>
              </w:rPr>
            </w:pPr>
            <w:r>
              <w:rPr>
                <w:rFonts w:hint="eastAsia"/>
                <w:sz w:val="18"/>
                <w:szCs w:val="18"/>
              </w:rPr>
              <w:t>北关拦河闸—牛牧屯引河口</w:t>
            </w:r>
          </w:p>
        </w:tc>
        <w:tc>
          <w:tcPr>
            <w:tcW w:w="1421" w:type="dxa"/>
            <w:vAlign w:val="center"/>
          </w:tcPr>
          <w:p w14:paraId="29ED0929">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37.70</w:t>
            </w:r>
          </w:p>
        </w:tc>
        <w:tc>
          <w:tcPr>
            <w:tcW w:w="1421" w:type="dxa"/>
            <w:vAlign w:val="center"/>
          </w:tcPr>
          <w:p w14:paraId="2A617912">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Align w:val="center"/>
          </w:tcPr>
          <w:p w14:paraId="47EEF8D3">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70</w:t>
            </w:r>
          </w:p>
        </w:tc>
        <w:tc>
          <w:tcPr>
            <w:tcW w:w="1422" w:type="dxa"/>
            <w:tcBorders>
              <w:right w:val="single" w:color="auto" w:sz="12" w:space="0"/>
            </w:tcBorders>
            <w:vAlign w:val="center"/>
          </w:tcPr>
          <w:p w14:paraId="48C7CC74">
            <w:pPr>
              <w:spacing w:line="240" w:lineRule="exact"/>
              <w:ind w:firstLine="0" w:firstLineChars="0"/>
              <w:jc w:val="center"/>
              <w:rPr>
                <w:rFonts w:hint="eastAsia" w:ascii="宋体" w:hAnsi="宋体" w:eastAsia="宋体" w:cs="宋体"/>
                <w:sz w:val="18"/>
                <w:szCs w:val="18"/>
              </w:rPr>
            </w:pPr>
          </w:p>
        </w:tc>
      </w:tr>
      <w:tr w14:paraId="6A78F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5E6E8694">
            <w:pPr>
              <w:spacing w:line="240" w:lineRule="exact"/>
              <w:ind w:firstLine="0" w:firstLineChars="0"/>
              <w:jc w:val="center"/>
              <w:rPr>
                <w:sz w:val="18"/>
                <w:szCs w:val="18"/>
              </w:rPr>
            </w:pPr>
          </w:p>
        </w:tc>
        <w:tc>
          <w:tcPr>
            <w:tcW w:w="1883" w:type="dxa"/>
            <w:vAlign w:val="center"/>
          </w:tcPr>
          <w:p w14:paraId="2A2EA921">
            <w:pPr>
              <w:spacing w:line="240" w:lineRule="exact"/>
              <w:ind w:firstLine="0" w:firstLineChars="0"/>
              <w:jc w:val="center"/>
              <w:rPr>
                <w:sz w:val="18"/>
                <w:szCs w:val="18"/>
              </w:rPr>
            </w:pPr>
            <w:r>
              <w:rPr>
                <w:rFonts w:hint="eastAsia"/>
                <w:sz w:val="18"/>
                <w:szCs w:val="18"/>
              </w:rPr>
              <w:t>北关拦河闸—市界</w:t>
            </w:r>
          </w:p>
        </w:tc>
        <w:tc>
          <w:tcPr>
            <w:tcW w:w="1421" w:type="dxa"/>
            <w:vAlign w:val="center"/>
          </w:tcPr>
          <w:p w14:paraId="23A2B19A">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30.00</w:t>
            </w:r>
          </w:p>
        </w:tc>
        <w:tc>
          <w:tcPr>
            <w:tcW w:w="1421" w:type="dxa"/>
            <w:vAlign w:val="center"/>
          </w:tcPr>
          <w:p w14:paraId="67541C3B">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70</w:t>
            </w:r>
          </w:p>
        </w:tc>
        <w:tc>
          <w:tcPr>
            <w:tcW w:w="1422" w:type="dxa"/>
            <w:vAlign w:val="center"/>
          </w:tcPr>
          <w:p w14:paraId="6D9B285C">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tcBorders>
              <w:right w:val="single" w:color="auto" w:sz="12" w:space="0"/>
            </w:tcBorders>
            <w:vAlign w:val="center"/>
          </w:tcPr>
          <w:p w14:paraId="3CB52EBC">
            <w:pPr>
              <w:spacing w:line="240" w:lineRule="exact"/>
              <w:ind w:firstLine="0" w:firstLineChars="0"/>
              <w:jc w:val="center"/>
              <w:rPr>
                <w:rFonts w:hint="eastAsia" w:ascii="宋体" w:hAnsi="宋体" w:eastAsia="宋体" w:cs="宋体"/>
                <w:sz w:val="18"/>
                <w:szCs w:val="18"/>
              </w:rPr>
            </w:pPr>
          </w:p>
        </w:tc>
      </w:tr>
      <w:tr w14:paraId="258C8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restart"/>
            <w:tcBorders>
              <w:left w:val="single" w:color="auto" w:sz="12" w:space="0"/>
            </w:tcBorders>
            <w:vAlign w:val="center"/>
          </w:tcPr>
          <w:p w14:paraId="201385E0">
            <w:pPr>
              <w:spacing w:line="240" w:lineRule="exact"/>
              <w:ind w:firstLine="0" w:firstLineChars="0"/>
              <w:jc w:val="center"/>
              <w:rPr>
                <w:sz w:val="18"/>
                <w:szCs w:val="18"/>
              </w:rPr>
            </w:pPr>
            <w:r>
              <w:rPr>
                <w:rFonts w:hint="eastAsia"/>
                <w:sz w:val="18"/>
                <w:szCs w:val="18"/>
              </w:rPr>
              <w:t>温</w:t>
            </w:r>
          </w:p>
          <w:p w14:paraId="15FDDBCF">
            <w:pPr>
              <w:spacing w:line="240" w:lineRule="exact"/>
              <w:ind w:firstLine="0" w:firstLineChars="0"/>
              <w:jc w:val="center"/>
              <w:rPr>
                <w:sz w:val="18"/>
                <w:szCs w:val="18"/>
              </w:rPr>
            </w:pPr>
          </w:p>
          <w:p w14:paraId="0C942690">
            <w:pPr>
              <w:spacing w:line="240" w:lineRule="exact"/>
              <w:ind w:firstLine="0" w:firstLineChars="0"/>
              <w:jc w:val="center"/>
              <w:rPr>
                <w:sz w:val="18"/>
                <w:szCs w:val="18"/>
              </w:rPr>
            </w:pPr>
          </w:p>
          <w:p w14:paraId="455EE8F1">
            <w:pPr>
              <w:spacing w:line="240" w:lineRule="exact"/>
              <w:ind w:firstLine="0" w:firstLineChars="0"/>
              <w:jc w:val="center"/>
              <w:rPr>
                <w:sz w:val="18"/>
                <w:szCs w:val="18"/>
              </w:rPr>
            </w:pPr>
          </w:p>
          <w:p w14:paraId="33E4A406">
            <w:pPr>
              <w:spacing w:line="240" w:lineRule="exact"/>
              <w:ind w:firstLine="0" w:firstLineChars="0"/>
              <w:jc w:val="center"/>
              <w:rPr>
                <w:sz w:val="18"/>
                <w:szCs w:val="18"/>
              </w:rPr>
            </w:pPr>
          </w:p>
          <w:p w14:paraId="6AD7324D">
            <w:pPr>
              <w:spacing w:line="240" w:lineRule="exact"/>
              <w:ind w:firstLine="0" w:firstLineChars="0"/>
              <w:jc w:val="center"/>
              <w:rPr>
                <w:sz w:val="18"/>
                <w:szCs w:val="18"/>
              </w:rPr>
            </w:pPr>
            <w:r>
              <w:rPr>
                <w:rFonts w:hint="eastAsia"/>
                <w:sz w:val="18"/>
                <w:szCs w:val="18"/>
              </w:rPr>
              <w:t>榆</w:t>
            </w:r>
          </w:p>
          <w:p w14:paraId="4C6AD2EB">
            <w:pPr>
              <w:spacing w:line="240" w:lineRule="exact"/>
              <w:ind w:firstLine="0" w:firstLineChars="0"/>
              <w:jc w:val="center"/>
              <w:rPr>
                <w:sz w:val="18"/>
                <w:szCs w:val="18"/>
              </w:rPr>
            </w:pPr>
          </w:p>
          <w:p w14:paraId="358273BD">
            <w:pPr>
              <w:spacing w:line="240" w:lineRule="exact"/>
              <w:ind w:firstLine="0" w:firstLineChars="0"/>
              <w:jc w:val="center"/>
              <w:rPr>
                <w:sz w:val="18"/>
                <w:szCs w:val="18"/>
              </w:rPr>
            </w:pPr>
          </w:p>
          <w:p w14:paraId="25267C02">
            <w:pPr>
              <w:spacing w:line="240" w:lineRule="exact"/>
              <w:ind w:firstLine="0" w:firstLineChars="0"/>
              <w:jc w:val="center"/>
              <w:rPr>
                <w:sz w:val="18"/>
                <w:szCs w:val="18"/>
              </w:rPr>
            </w:pPr>
          </w:p>
          <w:p w14:paraId="263C5C09">
            <w:pPr>
              <w:spacing w:line="240" w:lineRule="exact"/>
              <w:ind w:firstLine="0" w:firstLineChars="0"/>
              <w:jc w:val="center"/>
              <w:rPr>
                <w:sz w:val="18"/>
                <w:szCs w:val="18"/>
              </w:rPr>
            </w:pPr>
          </w:p>
          <w:p w14:paraId="3445AE64">
            <w:pPr>
              <w:spacing w:line="240" w:lineRule="exact"/>
              <w:ind w:firstLine="0" w:firstLineChars="0"/>
              <w:jc w:val="center"/>
              <w:rPr>
                <w:sz w:val="18"/>
                <w:szCs w:val="18"/>
              </w:rPr>
            </w:pPr>
            <w:r>
              <w:rPr>
                <w:rFonts w:hint="eastAsia"/>
                <w:sz w:val="18"/>
                <w:szCs w:val="18"/>
              </w:rPr>
              <w:t>河</w:t>
            </w:r>
          </w:p>
        </w:tc>
        <w:tc>
          <w:tcPr>
            <w:tcW w:w="1883" w:type="dxa"/>
            <w:vAlign w:val="center"/>
          </w:tcPr>
          <w:p w14:paraId="511413AD">
            <w:pPr>
              <w:spacing w:line="240" w:lineRule="exact"/>
              <w:ind w:firstLine="0" w:firstLineChars="0"/>
              <w:jc w:val="center"/>
              <w:rPr>
                <w:sz w:val="18"/>
                <w:szCs w:val="18"/>
              </w:rPr>
            </w:pPr>
            <w:r>
              <w:rPr>
                <w:rFonts w:hint="eastAsia"/>
                <w:sz w:val="18"/>
                <w:szCs w:val="18"/>
              </w:rPr>
              <w:t>沙河拦河闸—土沟扬水站</w:t>
            </w:r>
          </w:p>
        </w:tc>
        <w:tc>
          <w:tcPr>
            <w:tcW w:w="1421" w:type="dxa"/>
            <w:vAlign w:val="center"/>
          </w:tcPr>
          <w:p w14:paraId="5D12BCF1">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13.90</w:t>
            </w:r>
          </w:p>
        </w:tc>
        <w:tc>
          <w:tcPr>
            <w:tcW w:w="1421" w:type="dxa"/>
            <w:vAlign w:val="center"/>
          </w:tcPr>
          <w:p w14:paraId="1E5C55A3">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Align w:val="center"/>
          </w:tcPr>
          <w:p w14:paraId="1EEB09FB">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150</w:t>
            </w:r>
          </w:p>
        </w:tc>
        <w:tc>
          <w:tcPr>
            <w:tcW w:w="1422" w:type="dxa"/>
            <w:tcBorders>
              <w:right w:val="single" w:color="auto" w:sz="12" w:space="0"/>
            </w:tcBorders>
            <w:vAlign w:val="center"/>
          </w:tcPr>
          <w:p w14:paraId="72B6651C">
            <w:pPr>
              <w:spacing w:line="240" w:lineRule="exact"/>
              <w:ind w:firstLine="0" w:firstLineChars="0"/>
              <w:jc w:val="center"/>
              <w:rPr>
                <w:rFonts w:hint="eastAsia" w:ascii="宋体" w:hAnsi="宋体" w:eastAsia="宋体" w:cs="宋体"/>
                <w:sz w:val="18"/>
                <w:szCs w:val="18"/>
              </w:rPr>
            </w:pPr>
          </w:p>
        </w:tc>
      </w:tr>
      <w:tr w14:paraId="60CBE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5ECBCA39">
            <w:pPr>
              <w:spacing w:line="240" w:lineRule="exact"/>
              <w:ind w:firstLine="0" w:firstLineChars="0"/>
              <w:jc w:val="center"/>
              <w:rPr>
                <w:sz w:val="18"/>
                <w:szCs w:val="18"/>
              </w:rPr>
            </w:pPr>
          </w:p>
        </w:tc>
        <w:tc>
          <w:tcPr>
            <w:tcW w:w="1883" w:type="dxa"/>
            <w:vAlign w:val="center"/>
          </w:tcPr>
          <w:p w14:paraId="6DB7C49A">
            <w:pPr>
              <w:spacing w:line="240" w:lineRule="exact"/>
              <w:ind w:firstLine="0" w:firstLineChars="0"/>
              <w:jc w:val="center"/>
              <w:rPr>
                <w:sz w:val="18"/>
                <w:szCs w:val="18"/>
              </w:rPr>
            </w:pPr>
            <w:r>
              <w:rPr>
                <w:rFonts w:hint="eastAsia"/>
                <w:sz w:val="18"/>
                <w:szCs w:val="18"/>
              </w:rPr>
              <w:t>土沟扬水站—土沟新河口</w:t>
            </w:r>
          </w:p>
        </w:tc>
        <w:tc>
          <w:tcPr>
            <w:tcW w:w="1421" w:type="dxa"/>
            <w:vAlign w:val="center"/>
          </w:tcPr>
          <w:p w14:paraId="606186BE">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3.27</w:t>
            </w:r>
          </w:p>
        </w:tc>
        <w:tc>
          <w:tcPr>
            <w:tcW w:w="1421" w:type="dxa"/>
            <w:vAlign w:val="center"/>
          </w:tcPr>
          <w:p w14:paraId="7BDFF1C6">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Align w:val="center"/>
          </w:tcPr>
          <w:p w14:paraId="2E29E1F7">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tcBorders>
              <w:right w:val="single" w:color="auto" w:sz="12" w:space="0"/>
            </w:tcBorders>
            <w:vAlign w:val="center"/>
          </w:tcPr>
          <w:p w14:paraId="03F73162">
            <w:pPr>
              <w:spacing w:line="240" w:lineRule="exact"/>
              <w:ind w:firstLine="0" w:firstLineChars="0"/>
              <w:jc w:val="center"/>
              <w:rPr>
                <w:rFonts w:hint="eastAsia" w:ascii="宋体" w:hAnsi="宋体" w:eastAsia="宋体" w:cs="宋体"/>
                <w:sz w:val="18"/>
                <w:szCs w:val="18"/>
              </w:rPr>
            </w:pPr>
          </w:p>
        </w:tc>
      </w:tr>
      <w:tr w14:paraId="477DA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63E38F1C">
            <w:pPr>
              <w:spacing w:line="240" w:lineRule="exact"/>
              <w:ind w:firstLine="0" w:firstLineChars="0"/>
              <w:jc w:val="center"/>
              <w:rPr>
                <w:sz w:val="18"/>
                <w:szCs w:val="18"/>
              </w:rPr>
            </w:pPr>
          </w:p>
        </w:tc>
        <w:tc>
          <w:tcPr>
            <w:tcW w:w="1883" w:type="dxa"/>
            <w:vAlign w:val="center"/>
          </w:tcPr>
          <w:p w14:paraId="764BB4E7">
            <w:pPr>
              <w:spacing w:line="240" w:lineRule="exact"/>
              <w:ind w:firstLine="0" w:firstLineChars="0"/>
              <w:jc w:val="center"/>
              <w:rPr>
                <w:sz w:val="18"/>
                <w:szCs w:val="18"/>
              </w:rPr>
            </w:pPr>
            <w:r>
              <w:rPr>
                <w:rFonts w:hint="eastAsia"/>
                <w:sz w:val="18"/>
                <w:szCs w:val="18"/>
              </w:rPr>
              <w:t>土沟新河口—鲁疃闸</w:t>
            </w:r>
          </w:p>
        </w:tc>
        <w:tc>
          <w:tcPr>
            <w:tcW w:w="1421" w:type="dxa"/>
            <w:vAlign w:val="center"/>
          </w:tcPr>
          <w:p w14:paraId="6D7694F8">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2.27</w:t>
            </w:r>
          </w:p>
        </w:tc>
        <w:tc>
          <w:tcPr>
            <w:tcW w:w="1421" w:type="dxa"/>
            <w:vAlign w:val="center"/>
          </w:tcPr>
          <w:p w14:paraId="351813C6">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Align w:val="center"/>
          </w:tcPr>
          <w:p w14:paraId="58CC18D3">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150</w:t>
            </w:r>
          </w:p>
        </w:tc>
        <w:tc>
          <w:tcPr>
            <w:tcW w:w="1422" w:type="dxa"/>
            <w:tcBorders>
              <w:right w:val="single" w:color="auto" w:sz="12" w:space="0"/>
            </w:tcBorders>
            <w:vAlign w:val="center"/>
          </w:tcPr>
          <w:p w14:paraId="6C4D14E8">
            <w:pPr>
              <w:spacing w:line="240" w:lineRule="exact"/>
              <w:ind w:firstLine="0" w:firstLineChars="0"/>
              <w:jc w:val="center"/>
              <w:rPr>
                <w:rFonts w:hint="eastAsia" w:ascii="宋体" w:hAnsi="宋体" w:eastAsia="宋体" w:cs="宋体"/>
                <w:sz w:val="18"/>
                <w:szCs w:val="18"/>
              </w:rPr>
            </w:pPr>
          </w:p>
        </w:tc>
      </w:tr>
      <w:tr w14:paraId="66640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26EF1AD6">
            <w:pPr>
              <w:spacing w:line="240" w:lineRule="exact"/>
              <w:ind w:firstLine="0" w:firstLineChars="0"/>
              <w:jc w:val="center"/>
              <w:rPr>
                <w:sz w:val="18"/>
                <w:szCs w:val="18"/>
              </w:rPr>
            </w:pPr>
          </w:p>
        </w:tc>
        <w:tc>
          <w:tcPr>
            <w:tcW w:w="1883" w:type="dxa"/>
            <w:vAlign w:val="center"/>
          </w:tcPr>
          <w:p w14:paraId="2A86C2B8">
            <w:pPr>
              <w:spacing w:line="240" w:lineRule="exact"/>
              <w:ind w:firstLine="0" w:firstLineChars="0"/>
              <w:jc w:val="center"/>
              <w:rPr>
                <w:sz w:val="18"/>
                <w:szCs w:val="18"/>
              </w:rPr>
            </w:pPr>
            <w:r>
              <w:rPr>
                <w:rFonts w:hint="eastAsia"/>
                <w:sz w:val="18"/>
                <w:szCs w:val="18"/>
              </w:rPr>
              <w:t>鲁疃闸—北关拦河闸</w:t>
            </w:r>
          </w:p>
        </w:tc>
        <w:tc>
          <w:tcPr>
            <w:tcW w:w="1421" w:type="dxa"/>
            <w:vAlign w:val="center"/>
          </w:tcPr>
          <w:p w14:paraId="2833B75C">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27.90</w:t>
            </w:r>
          </w:p>
        </w:tc>
        <w:tc>
          <w:tcPr>
            <w:tcW w:w="1421" w:type="dxa"/>
            <w:vAlign w:val="center"/>
          </w:tcPr>
          <w:p w14:paraId="5B7D2F79">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vAlign w:val="center"/>
          </w:tcPr>
          <w:p w14:paraId="15EEDC94">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tcBorders>
              <w:right w:val="single" w:color="auto" w:sz="12" w:space="0"/>
            </w:tcBorders>
            <w:vAlign w:val="center"/>
          </w:tcPr>
          <w:p w14:paraId="2528D12E">
            <w:pPr>
              <w:spacing w:line="240" w:lineRule="exact"/>
              <w:ind w:firstLine="0" w:firstLineChars="0"/>
              <w:jc w:val="center"/>
              <w:rPr>
                <w:rFonts w:hint="eastAsia" w:ascii="宋体" w:hAnsi="宋体" w:eastAsia="宋体" w:cs="宋体"/>
                <w:sz w:val="18"/>
                <w:szCs w:val="18"/>
              </w:rPr>
            </w:pPr>
          </w:p>
        </w:tc>
      </w:tr>
      <w:tr w14:paraId="58A3A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03658E69">
            <w:pPr>
              <w:spacing w:line="240" w:lineRule="exact"/>
              <w:ind w:firstLine="0" w:firstLineChars="0"/>
              <w:jc w:val="center"/>
              <w:rPr>
                <w:sz w:val="18"/>
                <w:szCs w:val="18"/>
              </w:rPr>
            </w:pPr>
          </w:p>
        </w:tc>
        <w:tc>
          <w:tcPr>
            <w:tcW w:w="1883" w:type="dxa"/>
            <w:vAlign w:val="center"/>
          </w:tcPr>
          <w:p w14:paraId="6A6BEB43">
            <w:pPr>
              <w:spacing w:line="240" w:lineRule="exact"/>
              <w:ind w:firstLine="0" w:firstLineChars="0"/>
              <w:jc w:val="center"/>
              <w:rPr>
                <w:sz w:val="18"/>
                <w:szCs w:val="18"/>
              </w:rPr>
            </w:pPr>
            <w:r>
              <w:rPr>
                <w:rFonts w:hint="eastAsia"/>
                <w:sz w:val="18"/>
                <w:szCs w:val="18"/>
              </w:rPr>
              <w:t>沙河闸—曹碾闸</w:t>
            </w:r>
          </w:p>
        </w:tc>
        <w:tc>
          <w:tcPr>
            <w:tcW w:w="1421" w:type="dxa"/>
            <w:vAlign w:val="center"/>
          </w:tcPr>
          <w:p w14:paraId="1832CC6E">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11.35</w:t>
            </w:r>
          </w:p>
        </w:tc>
        <w:tc>
          <w:tcPr>
            <w:tcW w:w="1421" w:type="dxa"/>
            <w:vAlign w:val="center"/>
          </w:tcPr>
          <w:p w14:paraId="7BA60E60">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150</w:t>
            </w:r>
          </w:p>
        </w:tc>
        <w:tc>
          <w:tcPr>
            <w:tcW w:w="1422" w:type="dxa"/>
            <w:vAlign w:val="center"/>
          </w:tcPr>
          <w:p w14:paraId="68740213">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tcBorders>
              <w:right w:val="single" w:color="auto" w:sz="12" w:space="0"/>
            </w:tcBorders>
            <w:vAlign w:val="center"/>
          </w:tcPr>
          <w:p w14:paraId="617ED3B6">
            <w:pPr>
              <w:spacing w:line="240" w:lineRule="exact"/>
              <w:ind w:firstLine="0" w:firstLineChars="0"/>
              <w:jc w:val="center"/>
              <w:rPr>
                <w:rFonts w:hint="eastAsia" w:ascii="宋体" w:hAnsi="宋体" w:eastAsia="宋体" w:cs="宋体"/>
                <w:sz w:val="18"/>
                <w:szCs w:val="18"/>
              </w:rPr>
            </w:pPr>
          </w:p>
        </w:tc>
      </w:tr>
      <w:tr w14:paraId="2FC59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5C624CE0">
            <w:pPr>
              <w:spacing w:line="240" w:lineRule="exact"/>
              <w:ind w:firstLine="0" w:firstLineChars="0"/>
              <w:jc w:val="center"/>
              <w:rPr>
                <w:sz w:val="18"/>
                <w:szCs w:val="18"/>
              </w:rPr>
            </w:pPr>
          </w:p>
        </w:tc>
        <w:tc>
          <w:tcPr>
            <w:tcW w:w="1883" w:type="dxa"/>
            <w:vAlign w:val="center"/>
          </w:tcPr>
          <w:p w14:paraId="5A530AEF">
            <w:pPr>
              <w:spacing w:line="240" w:lineRule="exact"/>
              <w:ind w:firstLine="0" w:firstLineChars="0"/>
              <w:jc w:val="center"/>
              <w:rPr>
                <w:sz w:val="18"/>
                <w:szCs w:val="18"/>
              </w:rPr>
            </w:pPr>
            <w:r>
              <w:rPr>
                <w:rFonts w:hint="eastAsia"/>
                <w:sz w:val="18"/>
                <w:szCs w:val="18"/>
              </w:rPr>
              <w:t>曹碾闸—南七家村南</w:t>
            </w:r>
          </w:p>
        </w:tc>
        <w:tc>
          <w:tcPr>
            <w:tcW w:w="1421" w:type="dxa"/>
            <w:vAlign w:val="center"/>
          </w:tcPr>
          <w:p w14:paraId="44980F25">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13.20</w:t>
            </w:r>
          </w:p>
        </w:tc>
        <w:tc>
          <w:tcPr>
            <w:tcW w:w="1421" w:type="dxa"/>
            <w:vAlign w:val="center"/>
          </w:tcPr>
          <w:p w14:paraId="6E4D5111">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648E7751">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tcBorders>
              <w:right w:val="single" w:color="auto" w:sz="12" w:space="0"/>
            </w:tcBorders>
            <w:vAlign w:val="center"/>
          </w:tcPr>
          <w:p w14:paraId="378C5FE3">
            <w:pPr>
              <w:spacing w:line="240" w:lineRule="exact"/>
              <w:ind w:firstLine="0" w:firstLineChars="0"/>
              <w:jc w:val="center"/>
              <w:rPr>
                <w:sz w:val="18"/>
                <w:szCs w:val="18"/>
              </w:rPr>
            </w:pPr>
          </w:p>
        </w:tc>
      </w:tr>
      <w:tr w14:paraId="11612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6E4939BB">
            <w:pPr>
              <w:spacing w:line="240" w:lineRule="exact"/>
              <w:ind w:firstLine="0" w:firstLineChars="0"/>
              <w:jc w:val="center"/>
              <w:rPr>
                <w:sz w:val="18"/>
                <w:szCs w:val="18"/>
              </w:rPr>
            </w:pPr>
          </w:p>
        </w:tc>
        <w:tc>
          <w:tcPr>
            <w:tcW w:w="1883" w:type="dxa"/>
            <w:vAlign w:val="center"/>
          </w:tcPr>
          <w:p w14:paraId="52DEC4B2">
            <w:pPr>
              <w:spacing w:line="240" w:lineRule="exact"/>
              <w:ind w:firstLine="0" w:firstLineChars="0"/>
              <w:jc w:val="center"/>
              <w:rPr>
                <w:sz w:val="18"/>
                <w:szCs w:val="18"/>
              </w:rPr>
            </w:pPr>
            <w:r>
              <w:rPr>
                <w:rFonts w:hint="eastAsia"/>
                <w:sz w:val="18"/>
                <w:szCs w:val="18"/>
              </w:rPr>
              <w:t>清河右岸—辛堡闸西</w:t>
            </w:r>
          </w:p>
        </w:tc>
        <w:tc>
          <w:tcPr>
            <w:tcW w:w="1421" w:type="dxa"/>
            <w:vAlign w:val="center"/>
          </w:tcPr>
          <w:p w14:paraId="7FE304D4">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1.60</w:t>
            </w:r>
          </w:p>
        </w:tc>
        <w:tc>
          <w:tcPr>
            <w:tcW w:w="1421" w:type="dxa"/>
            <w:vAlign w:val="center"/>
          </w:tcPr>
          <w:p w14:paraId="12AAC894">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150</w:t>
            </w:r>
          </w:p>
        </w:tc>
        <w:tc>
          <w:tcPr>
            <w:tcW w:w="1422" w:type="dxa"/>
            <w:vAlign w:val="center"/>
          </w:tcPr>
          <w:p w14:paraId="3ADFBB9A">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tcBorders>
              <w:right w:val="single" w:color="auto" w:sz="12" w:space="0"/>
            </w:tcBorders>
            <w:vAlign w:val="center"/>
          </w:tcPr>
          <w:p w14:paraId="321B9106">
            <w:pPr>
              <w:spacing w:line="240" w:lineRule="exact"/>
              <w:ind w:firstLine="0" w:firstLineChars="0"/>
              <w:jc w:val="center"/>
              <w:rPr>
                <w:sz w:val="18"/>
                <w:szCs w:val="18"/>
              </w:rPr>
            </w:pPr>
          </w:p>
        </w:tc>
      </w:tr>
      <w:tr w14:paraId="693C6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433D7615">
            <w:pPr>
              <w:spacing w:line="240" w:lineRule="exact"/>
              <w:ind w:firstLine="0" w:firstLineChars="0"/>
              <w:jc w:val="center"/>
              <w:rPr>
                <w:sz w:val="18"/>
                <w:szCs w:val="18"/>
              </w:rPr>
            </w:pPr>
          </w:p>
        </w:tc>
        <w:tc>
          <w:tcPr>
            <w:tcW w:w="1883" w:type="dxa"/>
            <w:vAlign w:val="center"/>
          </w:tcPr>
          <w:p w14:paraId="376D6F7E">
            <w:pPr>
              <w:spacing w:line="240" w:lineRule="exact"/>
              <w:ind w:firstLine="0" w:firstLineChars="0"/>
              <w:jc w:val="center"/>
              <w:rPr>
                <w:sz w:val="18"/>
                <w:szCs w:val="18"/>
              </w:rPr>
            </w:pPr>
            <w:r>
              <w:rPr>
                <w:rFonts w:hint="eastAsia"/>
                <w:sz w:val="18"/>
                <w:szCs w:val="18"/>
              </w:rPr>
              <w:t>辛堡闸西—辛堡闸东</w:t>
            </w:r>
          </w:p>
        </w:tc>
        <w:tc>
          <w:tcPr>
            <w:tcW w:w="1421" w:type="dxa"/>
            <w:vAlign w:val="center"/>
          </w:tcPr>
          <w:p w14:paraId="396FBF86">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1" w:type="dxa"/>
            <w:vAlign w:val="center"/>
          </w:tcPr>
          <w:p w14:paraId="58777C4D">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1E4C523D">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tcBorders>
              <w:right w:val="single" w:color="auto" w:sz="12" w:space="0"/>
            </w:tcBorders>
            <w:vAlign w:val="center"/>
          </w:tcPr>
          <w:p w14:paraId="4057EE60">
            <w:pPr>
              <w:spacing w:line="240" w:lineRule="exact"/>
              <w:ind w:firstLine="0" w:firstLineChars="0"/>
              <w:jc w:val="center"/>
              <w:rPr>
                <w:sz w:val="18"/>
                <w:szCs w:val="18"/>
              </w:rPr>
            </w:pPr>
          </w:p>
        </w:tc>
      </w:tr>
      <w:tr w14:paraId="6289B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43C58DA9">
            <w:pPr>
              <w:spacing w:line="240" w:lineRule="exact"/>
              <w:ind w:firstLine="0" w:firstLineChars="0"/>
              <w:jc w:val="center"/>
              <w:rPr>
                <w:sz w:val="18"/>
                <w:szCs w:val="18"/>
              </w:rPr>
            </w:pPr>
          </w:p>
        </w:tc>
        <w:tc>
          <w:tcPr>
            <w:tcW w:w="1883" w:type="dxa"/>
            <w:vAlign w:val="center"/>
          </w:tcPr>
          <w:p w14:paraId="61D9D90E">
            <w:pPr>
              <w:spacing w:line="240" w:lineRule="exact"/>
              <w:ind w:firstLine="0" w:firstLineChars="0"/>
              <w:jc w:val="center"/>
              <w:rPr>
                <w:sz w:val="18"/>
                <w:szCs w:val="18"/>
              </w:rPr>
            </w:pPr>
            <w:r>
              <w:rPr>
                <w:rFonts w:hint="eastAsia"/>
                <w:sz w:val="18"/>
                <w:szCs w:val="18"/>
              </w:rPr>
              <w:t>辛堡闸东—朝阳二扬</w:t>
            </w:r>
          </w:p>
        </w:tc>
        <w:tc>
          <w:tcPr>
            <w:tcW w:w="1421" w:type="dxa"/>
            <w:vAlign w:val="center"/>
          </w:tcPr>
          <w:p w14:paraId="761BA9FD">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4.70</w:t>
            </w:r>
          </w:p>
        </w:tc>
        <w:tc>
          <w:tcPr>
            <w:tcW w:w="1421" w:type="dxa"/>
            <w:vAlign w:val="center"/>
          </w:tcPr>
          <w:p w14:paraId="5016BE50">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45AA8E7E">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tcBorders>
              <w:right w:val="single" w:color="auto" w:sz="12" w:space="0"/>
            </w:tcBorders>
            <w:vAlign w:val="center"/>
          </w:tcPr>
          <w:p w14:paraId="197BDFF6">
            <w:pPr>
              <w:spacing w:line="240" w:lineRule="exact"/>
              <w:ind w:firstLine="0" w:firstLineChars="0"/>
              <w:jc w:val="center"/>
              <w:rPr>
                <w:sz w:val="18"/>
                <w:szCs w:val="18"/>
              </w:rPr>
            </w:pPr>
          </w:p>
        </w:tc>
      </w:tr>
      <w:tr w14:paraId="26226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21000123">
            <w:pPr>
              <w:spacing w:line="240" w:lineRule="exact"/>
              <w:ind w:firstLine="0" w:firstLineChars="0"/>
              <w:jc w:val="center"/>
              <w:rPr>
                <w:sz w:val="18"/>
                <w:szCs w:val="18"/>
              </w:rPr>
            </w:pPr>
          </w:p>
        </w:tc>
        <w:tc>
          <w:tcPr>
            <w:tcW w:w="1883" w:type="dxa"/>
            <w:vAlign w:val="center"/>
          </w:tcPr>
          <w:p w14:paraId="22D30ACC">
            <w:pPr>
              <w:spacing w:line="240" w:lineRule="exact"/>
              <w:ind w:firstLine="0" w:firstLineChars="0"/>
              <w:jc w:val="center"/>
              <w:rPr>
                <w:sz w:val="18"/>
                <w:szCs w:val="18"/>
              </w:rPr>
            </w:pPr>
            <w:r>
              <w:rPr>
                <w:rFonts w:hint="eastAsia"/>
                <w:sz w:val="18"/>
                <w:szCs w:val="18"/>
              </w:rPr>
              <w:t>朝阳二扬—朝阳一扬</w:t>
            </w:r>
          </w:p>
        </w:tc>
        <w:tc>
          <w:tcPr>
            <w:tcW w:w="1421" w:type="dxa"/>
            <w:vAlign w:val="center"/>
          </w:tcPr>
          <w:p w14:paraId="28458522">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1.10</w:t>
            </w:r>
          </w:p>
        </w:tc>
        <w:tc>
          <w:tcPr>
            <w:tcW w:w="1421" w:type="dxa"/>
            <w:vAlign w:val="center"/>
          </w:tcPr>
          <w:p w14:paraId="03127EFE">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150</w:t>
            </w:r>
          </w:p>
        </w:tc>
        <w:tc>
          <w:tcPr>
            <w:tcW w:w="1422" w:type="dxa"/>
            <w:vAlign w:val="center"/>
          </w:tcPr>
          <w:p w14:paraId="18323D49">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tcBorders>
              <w:right w:val="single" w:color="auto" w:sz="12" w:space="0"/>
            </w:tcBorders>
            <w:vAlign w:val="center"/>
          </w:tcPr>
          <w:p w14:paraId="00DA6ECD">
            <w:pPr>
              <w:spacing w:line="240" w:lineRule="exact"/>
              <w:ind w:firstLine="0" w:firstLineChars="0"/>
              <w:jc w:val="center"/>
              <w:rPr>
                <w:sz w:val="18"/>
                <w:szCs w:val="18"/>
              </w:rPr>
            </w:pPr>
          </w:p>
        </w:tc>
      </w:tr>
      <w:tr w14:paraId="4C513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2F23D786">
            <w:pPr>
              <w:spacing w:line="240" w:lineRule="exact"/>
              <w:ind w:firstLine="0" w:firstLineChars="0"/>
              <w:jc w:val="center"/>
              <w:rPr>
                <w:sz w:val="18"/>
                <w:szCs w:val="18"/>
              </w:rPr>
            </w:pPr>
          </w:p>
        </w:tc>
        <w:tc>
          <w:tcPr>
            <w:tcW w:w="1883" w:type="dxa"/>
            <w:vAlign w:val="center"/>
          </w:tcPr>
          <w:p w14:paraId="616CA7C7">
            <w:pPr>
              <w:spacing w:line="240" w:lineRule="exact"/>
              <w:ind w:firstLine="0" w:firstLineChars="0"/>
              <w:jc w:val="center"/>
              <w:rPr>
                <w:sz w:val="18"/>
                <w:szCs w:val="18"/>
              </w:rPr>
            </w:pPr>
            <w:r>
              <w:rPr>
                <w:rFonts w:hint="eastAsia"/>
                <w:sz w:val="18"/>
                <w:szCs w:val="18"/>
              </w:rPr>
              <w:t>朝阳一扬—北关拦河闸</w:t>
            </w:r>
          </w:p>
        </w:tc>
        <w:tc>
          <w:tcPr>
            <w:tcW w:w="1421" w:type="dxa"/>
            <w:vAlign w:val="center"/>
          </w:tcPr>
          <w:p w14:paraId="66C392B6">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16.20</w:t>
            </w:r>
          </w:p>
        </w:tc>
        <w:tc>
          <w:tcPr>
            <w:tcW w:w="1421" w:type="dxa"/>
            <w:vAlign w:val="center"/>
          </w:tcPr>
          <w:p w14:paraId="01297121">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73FEA6E0">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422" w:type="dxa"/>
            <w:tcBorders>
              <w:right w:val="single" w:color="auto" w:sz="12" w:space="0"/>
            </w:tcBorders>
            <w:vAlign w:val="center"/>
          </w:tcPr>
          <w:p w14:paraId="4A99D3CF">
            <w:pPr>
              <w:spacing w:line="240" w:lineRule="exact"/>
              <w:ind w:firstLine="0" w:firstLineChars="0"/>
              <w:jc w:val="center"/>
              <w:rPr>
                <w:sz w:val="18"/>
                <w:szCs w:val="18"/>
              </w:rPr>
            </w:pPr>
          </w:p>
        </w:tc>
      </w:tr>
      <w:tr w14:paraId="5F929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left w:val="single" w:color="auto" w:sz="12" w:space="0"/>
            </w:tcBorders>
            <w:vAlign w:val="center"/>
          </w:tcPr>
          <w:p w14:paraId="7C80DD83">
            <w:pPr>
              <w:spacing w:line="240" w:lineRule="exact"/>
              <w:ind w:firstLine="0" w:firstLineChars="0"/>
              <w:jc w:val="center"/>
              <w:rPr>
                <w:sz w:val="18"/>
                <w:szCs w:val="18"/>
              </w:rPr>
            </w:pPr>
            <w:r>
              <w:rPr>
                <w:rFonts w:hint="eastAsia"/>
                <w:sz w:val="18"/>
                <w:szCs w:val="18"/>
              </w:rPr>
              <w:t>运减潮河</w:t>
            </w:r>
          </w:p>
        </w:tc>
        <w:tc>
          <w:tcPr>
            <w:tcW w:w="1883" w:type="dxa"/>
            <w:vAlign w:val="center"/>
          </w:tcPr>
          <w:p w14:paraId="7D956112">
            <w:pPr>
              <w:spacing w:line="240" w:lineRule="exact"/>
              <w:ind w:firstLine="0" w:firstLineChars="0"/>
              <w:jc w:val="center"/>
              <w:rPr>
                <w:sz w:val="18"/>
                <w:szCs w:val="18"/>
              </w:rPr>
            </w:pPr>
            <w:r>
              <w:rPr>
                <w:rFonts w:hint="eastAsia"/>
                <w:sz w:val="18"/>
                <w:szCs w:val="18"/>
              </w:rPr>
              <w:t>北关分洪闸—师姑庄闸</w:t>
            </w:r>
          </w:p>
        </w:tc>
        <w:tc>
          <w:tcPr>
            <w:tcW w:w="1421" w:type="dxa"/>
            <w:vAlign w:val="center"/>
          </w:tcPr>
          <w:p w14:paraId="18FF9E4F">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8.80</w:t>
            </w:r>
          </w:p>
        </w:tc>
        <w:tc>
          <w:tcPr>
            <w:tcW w:w="1421" w:type="dxa"/>
            <w:vAlign w:val="center"/>
          </w:tcPr>
          <w:p w14:paraId="301168C2">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5E06F367">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tcBorders>
              <w:right w:val="single" w:color="auto" w:sz="12" w:space="0"/>
            </w:tcBorders>
            <w:vAlign w:val="center"/>
          </w:tcPr>
          <w:p w14:paraId="2883A88C">
            <w:pPr>
              <w:spacing w:line="240" w:lineRule="exact"/>
              <w:ind w:firstLine="0" w:firstLineChars="0"/>
              <w:jc w:val="center"/>
              <w:rPr>
                <w:sz w:val="18"/>
                <w:szCs w:val="18"/>
              </w:rPr>
            </w:pPr>
          </w:p>
        </w:tc>
      </w:tr>
      <w:tr w14:paraId="4FD8A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left w:val="single" w:color="auto" w:sz="12" w:space="0"/>
            </w:tcBorders>
            <w:vAlign w:val="center"/>
          </w:tcPr>
          <w:p w14:paraId="40267367">
            <w:pPr>
              <w:spacing w:line="240" w:lineRule="exact"/>
              <w:ind w:firstLine="0" w:firstLineChars="0"/>
              <w:jc w:val="center"/>
              <w:rPr>
                <w:sz w:val="18"/>
                <w:szCs w:val="18"/>
              </w:rPr>
            </w:pPr>
            <w:r>
              <w:rPr>
                <w:rFonts w:hint="eastAsia"/>
                <w:sz w:val="18"/>
                <w:szCs w:val="18"/>
              </w:rPr>
              <w:t>凉水河</w:t>
            </w:r>
          </w:p>
        </w:tc>
        <w:tc>
          <w:tcPr>
            <w:tcW w:w="1883" w:type="dxa"/>
            <w:vAlign w:val="center"/>
          </w:tcPr>
          <w:p w14:paraId="6060AAFF">
            <w:pPr>
              <w:spacing w:line="240" w:lineRule="exact"/>
              <w:ind w:firstLine="0" w:firstLineChars="0"/>
              <w:jc w:val="center"/>
              <w:rPr>
                <w:sz w:val="18"/>
                <w:szCs w:val="18"/>
              </w:rPr>
            </w:pPr>
            <w:r>
              <w:rPr>
                <w:rFonts w:hint="eastAsia"/>
                <w:sz w:val="18"/>
                <w:szCs w:val="18"/>
              </w:rPr>
              <w:t>马驹桥闸—北运河</w:t>
            </w:r>
          </w:p>
        </w:tc>
        <w:tc>
          <w:tcPr>
            <w:tcW w:w="1421" w:type="dxa"/>
            <w:vAlign w:val="center"/>
          </w:tcPr>
          <w:p w14:paraId="68FEE666">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28.70</w:t>
            </w:r>
          </w:p>
        </w:tc>
        <w:tc>
          <w:tcPr>
            <w:tcW w:w="1421" w:type="dxa"/>
            <w:vAlign w:val="center"/>
          </w:tcPr>
          <w:p w14:paraId="08AA24D4">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70</w:t>
            </w:r>
          </w:p>
        </w:tc>
        <w:tc>
          <w:tcPr>
            <w:tcW w:w="1422" w:type="dxa"/>
            <w:vAlign w:val="center"/>
          </w:tcPr>
          <w:p w14:paraId="02B95764">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70</w:t>
            </w:r>
          </w:p>
        </w:tc>
        <w:tc>
          <w:tcPr>
            <w:tcW w:w="1422" w:type="dxa"/>
            <w:tcBorders>
              <w:right w:val="single" w:color="auto" w:sz="12" w:space="0"/>
            </w:tcBorders>
            <w:vAlign w:val="center"/>
          </w:tcPr>
          <w:p w14:paraId="19EF8706">
            <w:pPr>
              <w:spacing w:line="240" w:lineRule="exact"/>
              <w:ind w:firstLine="0" w:firstLineChars="0"/>
              <w:jc w:val="center"/>
              <w:rPr>
                <w:rFonts w:hint="eastAsia" w:ascii="宋体" w:hAnsi="宋体" w:eastAsia="宋体" w:cs="宋体"/>
                <w:sz w:val="18"/>
                <w:szCs w:val="18"/>
              </w:rPr>
            </w:pPr>
          </w:p>
        </w:tc>
      </w:tr>
      <w:tr w14:paraId="3B2DB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restart"/>
            <w:tcBorders>
              <w:left w:val="single" w:color="auto" w:sz="12" w:space="0"/>
            </w:tcBorders>
            <w:vAlign w:val="center"/>
          </w:tcPr>
          <w:p w14:paraId="4CFC84BC">
            <w:pPr>
              <w:spacing w:line="240" w:lineRule="exact"/>
              <w:ind w:firstLine="0" w:firstLineChars="0"/>
              <w:jc w:val="center"/>
              <w:rPr>
                <w:sz w:val="18"/>
                <w:szCs w:val="18"/>
              </w:rPr>
            </w:pPr>
            <w:r>
              <w:rPr>
                <w:rFonts w:hint="eastAsia"/>
                <w:sz w:val="18"/>
                <w:szCs w:val="18"/>
              </w:rPr>
              <w:t>京</w:t>
            </w:r>
          </w:p>
          <w:p w14:paraId="7F6FA4B0">
            <w:pPr>
              <w:spacing w:line="240" w:lineRule="exact"/>
              <w:ind w:firstLine="0" w:firstLineChars="0"/>
              <w:jc w:val="center"/>
              <w:rPr>
                <w:sz w:val="18"/>
                <w:szCs w:val="18"/>
              </w:rPr>
            </w:pPr>
          </w:p>
          <w:p w14:paraId="3B24C4D6">
            <w:pPr>
              <w:spacing w:line="240" w:lineRule="exact"/>
              <w:ind w:firstLine="0" w:firstLineChars="0"/>
              <w:jc w:val="center"/>
              <w:rPr>
                <w:sz w:val="18"/>
                <w:szCs w:val="18"/>
              </w:rPr>
            </w:pPr>
            <w:r>
              <w:rPr>
                <w:rFonts w:hint="eastAsia"/>
                <w:sz w:val="18"/>
                <w:szCs w:val="18"/>
              </w:rPr>
              <w:t>密</w:t>
            </w:r>
          </w:p>
          <w:p w14:paraId="00FE4BCD">
            <w:pPr>
              <w:spacing w:line="240" w:lineRule="exact"/>
              <w:ind w:firstLine="0" w:firstLineChars="0"/>
              <w:jc w:val="center"/>
              <w:rPr>
                <w:sz w:val="18"/>
                <w:szCs w:val="18"/>
              </w:rPr>
            </w:pPr>
          </w:p>
          <w:p w14:paraId="572B19B7">
            <w:pPr>
              <w:spacing w:line="240" w:lineRule="exact"/>
              <w:ind w:firstLine="0" w:firstLineChars="0"/>
              <w:jc w:val="center"/>
              <w:rPr>
                <w:sz w:val="18"/>
                <w:szCs w:val="18"/>
              </w:rPr>
            </w:pPr>
            <w:r>
              <w:rPr>
                <w:rFonts w:hint="eastAsia"/>
                <w:sz w:val="18"/>
                <w:szCs w:val="18"/>
              </w:rPr>
              <w:t>引</w:t>
            </w:r>
          </w:p>
          <w:p w14:paraId="7FA530F8">
            <w:pPr>
              <w:spacing w:line="240" w:lineRule="exact"/>
              <w:ind w:firstLine="0" w:firstLineChars="0"/>
              <w:jc w:val="center"/>
              <w:rPr>
                <w:sz w:val="18"/>
                <w:szCs w:val="18"/>
              </w:rPr>
            </w:pPr>
          </w:p>
          <w:p w14:paraId="444F47F9">
            <w:pPr>
              <w:spacing w:line="240" w:lineRule="exact"/>
              <w:ind w:firstLine="0" w:firstLineChars="0"/>
              <w:jc w:val="center"/>
              <w:rPr>
                <w:sz w:val="18"/>
                <w:szCs w:val="18"/>
              </w:rPr>
            </w:pPr>
            <w:r>
              <w:rPr>
                <w:rFonts w:hint="eastAsia"/>
                <w:sz w:val="18"/>
                <w:szCs w:val="18"/>
              </w:rPr>
              <w:t>水</w:t>
            </w:r>
          </w:p>
          <w:p w14:paraId="3A481F39">
            <w:pPr>
              <w:spacing w:line="240" w:lineRule="exact"/>
              <w:ind w:firstLine="0" w:firstLineChars="0"/>
              <w:jc w:val="center"/>
              <w:rPr>
                <w:sz w:val="18"/>
                <w:szCs w:val="18"/>
              </w:rPr>
            </w:pPr>
          </w:p>
          <w:p w14:paraId="570E62C0">
            <w:pPr>
              <w:spacing w:line="240" w:lineRule="exact"/>
              <w:ind w:firstLine="0" w:firstLineChars="0"/>
              <w:jc w:val="center"/>
              <w:rPr>
                <w:sz w:val="18"/>
                <w:szCs w:val="18"/>
              </w:rPr>
            </w:pPr>
            <w:r>
              <w:rPr>
                <w:rFonts w:hint="eastAsia"/>
                <w:sz w:val="18"/>
                <w:szCs w:val="18"/>
              </w:rPr>
              <w:t>渠</w:t>
            </w:r>
          </w:p>
        </w:tc>
        <w:tc>
          <w:tcPr>
            <w:tcW w:w="1883" w:type="dxa"/>
            <w:vAlign w:val="center"/>
          </w:tcPr>
          <w:p w14:paraId="7C08D3AB">
            <w:pPr>
              <w:spacing w:line="240" w:lineRule="exact"/>
              <w:ind w:firstLine="0" w:firstLineChars="0"/>
              <w:jc w:val="center"/>
              <w:rPr>
                <w:sz w:val="18"/>
                <w:szCs w:val="18"/>
              </w:rPr>
            </w:pPr>
            <w:r>
              <w:rPr>
                <w:rFonts w:hint="eastAsia"/>
                <w:sz w:val="18"/>
                <w:szCs w:val="18"/>
              </w:rPr>
              <w:t>宫庄子进水闸—怀柔水库进水闸</w:t>
            </w:r>
          </w:p>
        </w:tc>
        <w:tc>
          <w:tcPr>
            <w:tcW w:w="1421" w:type="dxa"/>
            <w:vAlign w:val="center"/>
          </w:tcPr>
          <w:p w14:paraId="2AE30FCC">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25.20</w:t>
            </w:r>
          </w:p>
        </w:tc>
        <w:tc>
          <w:tcPr>
            <w:tcW w:w="1421" w:type="dxa"/>
            <w:vAlign w:val="center"/>
          </w:tcPr>
          <w:p w14:paraId="0FDD8024">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2965DF0F">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Merge w:val="restart"/>
            <w:tcBorders>
              <w:right w:val="single" w:color="auto" w:sz="12" w:space="0"/>
            </w:tcBorders>
            <w:vAlign w:val="center"/>
          </w:tcPr>
          <w:p w14:paraId="6AD35BB5">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倒虹吸、涵洞、山洪桥沿渠道方向上下各100米，垂直渠道左右岸各300米</w:t>
            </w:r>
          </w:p>
        </w:tc>
      </w:tr>
      <w:tr w14:paraId="05631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50433C2B">
            <w:pPr>
              <w:spacing w:line="240" w:lineRule="exact"/>
              <w:ind w:firstLine="0" w:firstLineChars="0"/>
              <w:jc w:val="center"/>
              <w:rPr>
                <w:sz w:val="18"/>
                <w:szCs w:val="18"/>
              </w:rPr>
            </w:pPr>
          </w:p>
        </w:tc>
        <w:tc>
          <w:tcPr>
            <w:tcW w:w="1883" w:type="dxa"/>
            <w:vAlign w:val="center"/>
          </w:tcPr>
          <w:p w14:paraId="2FC0846E">
            <w:pPr>
              <w:spacing w:line="240" w:lineRule="exact"/>
              <w:ind w:firstLine="0" w:firstLineChars="0"/>
              <w:jc w:val="center"/>
              <w:rPr>
                <w:sz w:val="18"/>
                <w:szCs w:val="18"/>
              </w:rPr>
            </w:pPr>
            <w:r>
              <w:rPr>
                <w:rFonts w:hint="eastAsia"/>
                <w:sz w:val="18"/>
                <w:szCs w:val="18"/>
              </w:rPr>
              <w:t>怀柔水库隧洞出口—西台上节制闸</w:t>
            </w:r>
          </w:p>
        </w:tc>
        <w:tc>
          <w:tcPr>
            <w:tcW w:w="1421" w:type="dxa"/>
            <w:vAlign w:val="center"/>
          </w:tcPr>
          <w:p w14:paraId="5DB2AFC3">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2.30</w:t>
            </w:r>
          </w:p>
        </w:tc>
        <w:tc>
          <w:tcPr>
            <w:tcW w:w="1421" w:type="dxa"/>
            <w:vAlign w:val="center"/>
          </w:tcPr>
          <w:p w14:paraId="31A56496">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5D9969C9">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Merge w:val="continue"/>
            <w:tcBorders>
              <w:right w:val="single" w:color="auto" w:sz="12" w:space="0"/>
            </w:tcBorders>
            <w:vAlign w:val="center"/>
          </w:tcPr>
          <w:p w14:paraId="3A49741C">
            <w:pPr>
              <w:spacing w:line="240" w:lineRule="exact"/>
              <w:ind w:firstLine="0" w:firstLineChars="0"/>
              <w:jc w:val="center"/>
              <w:rPr>
                <w:sz w:val="18"/>
                <w:szCs w:val="18"/>
              </w:rPr>
            </w:pPr>
          </w:p>
        </w:tc>
      </w:tr>
      <w:tr w14:paraId="34BA1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6C9CC16C">
            <w:pPr>
              <w:spacing w:line="240" w:lineRule="exact"/>
              <w:ind w:firstLine="0" w:firstLineChars="0"/>
              <w:jc w:val="center"/>
              <w:rPr>
                <w:sz w:val="18"/>
                <w:szCs w:val="18"/>
              </w:rPr>
            </w:pPr>
          </w:p>
        </w:tc>
        <w:tc>
          <w:tcPr>
            <w:tcW w:w="1883" w:type="dxa"/>
            <w:vAlign w:val="center"/>
          </w:tcPr>
          <w:p w14:paraId="78420D04">
            <w:pPr>
              <w:spacing w:line="240" w:lineRule="exact"/>
              <w:ind w:firstLine="0" w:firstLineChars="0"/>
              <w:jc w:val="center"/>
              <w:rPr>
                <w:sz w:val="18"/>
                <w:szCs w:val="18"/>
              </w:rPr>
            </w:pPr>
            <w:r>
              <w:rPr>
                <w:rFonts w:hint="eastAsia"/>
                <w:sz w:val="18"/>
                <w:szCs w:val="18"/>
              </w:rPr>
              <w:t>怀柔水库峰山口泄水闸—西台上节制闸</w:t>
            </w:r>
          </w:p>
        </w:tc>
        <w:tc>
          <w:tcPr>
            <w:tcW w:w="1421" w:type="dxa"/>
            <w:vAlign w:val="center"/>
          </w:tcPr>
          <w:p w14:paraId="7DECB3E9">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1" w:type="dxa"/>
            <w:vAlign w:val="center"/>
          </w:tcPr>
          <w:p w14:paraId="745D5A53">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0BAA8914">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tcBorders>
              <w:right w:val="single" w:color="auto" w:sz="12" w:space="0"/>
            </w:tcBorders>
            <w:vAlign w:val="center"/>
          </w:tcPr>
          <w:p w14:paraId="106B55A2">
            <w:pPr>
              <w:spacing w:line="240" w:lineRule="exact"/>
              <w:ind w:firstLine="0" w:firstLineChars="0"/>
              <w:jc w:val="center"/>
              <w:rPr>
                <w:sz w:val="18"/>
                <w:szCs w:val="18"/>
              </w:rPr>
            </w:pPr>
          </w:p>
        </w:tc>
      </w:tr>
      <w:tr w14:paraId="2C5D6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0FF04C4E">
            <w:pPr>
              <w:spacing w:line="240" w:lineRule="exact"/>
              <w:ind w:firstLine="0" w:firstLineChars="0"/>
              <w:jc w:val="center"/>
              <w:rPr>
                <w:sz w:val="18"/>
                <w:szCs w:val="18"/>
              </w:rPr>
            </w:pPr>
          </w:p>
        </w:tc>
        <w:tc>
          <w:tcPr>
            <w:tcW w:w="1883" w:type="dxa"/>
            <w:vAlign w:val="center"/>
          </w:tcPr>
          <w:p w14:paraId="37FA11EC">
            <w:pPr>
              <w:spacing w:line="240" w:lineRule="exact"/>
              <w:ind w:firstLine="0" w:firstLineChars="0"/>
              <w:jc w:val="center"/>
              <w:rPr>
                <w:sz w:val="18"/>
                <w:szCs w:val="18"/>
              </w:rPr>
            </w:pPr>
            <w:r>
              <w:rPr>
                <w:rFonts w:hint="eastAsia"/>
                <w:sz w:val="18"/>
                <w:szCs w:val="18"/>
              </w:rPr>
              <w:t>西台上节制闸—绣漪闸</w:t>
            </w:r>
          </w:p>
        </w:tc>
        <w:tc>
          <w:tcPr>
            <w:tcW w:w="1421" w:type="dxa"/>
            <w:vAlign w:val="center"/>
          </w:tcPr>
          <w:p w14:paraId="671F5D10">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72.11</w:t>
            </w:r>
          </w:p>
        </w:tc>
        <w:tc>
          <w:tcPr>
            <w:tcW w:w="1421" w:type="dxa"/>
            <w:vAlign w:val="center"/>
          </w:tcPr>
          <w:p w14:paraId="71D62885">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vAlign w:val="center"/>
          </w:tcPr>
          <w:p w14:paraId="78135237">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100</w:t>
            </w:r>
          </w:p>
        </w:tc>
        <w:tc>
          <w:tcPr>
            <w:tcW w:w="1422" w:type="dxa"/>
            <w:tcBorders>
              <w:right w:val="single" w:color="auto" w:sz="12" w:space="0"/>
            </w:tcBorders>
            <w:vAlign w:val="center"/>
          </w:tcPr>
          <w:p w14:paraId="633C0220">
            <w:pPr>
              <w:spacing w:line="240" w:lineRule="exact"/>
              <w:ind w:firstLine="0" w:firstLineChars="0"/>
              <w:jc w:val="center"/>
              <w:rPr>
                <w:sz w:val="18"/>
                <w:szCs w:val="18"/>
              </w:rPr>
            </w:pPr>
          </w:p>
        </w:tc>
      </w:tr>
      <w:tr w14:paraId="57CAE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restart"/>
            <w:tcBorders>
              <w:left w:val="single" w:color="auto" w:sz="12" w:space="0"/>
            </w:tcBorders>
            <w:vAlign w:val="center"/>
          </w:tcPr>
          <w:p w14:paraId="65510FE6">
            <w:pPr>
              <w:spacing w:line="240" w:lineRule="exact"/>
              <w:ind w:firstLine="0" w:firstLineChars="0"/>
              <w:jc w:val="center"/>
              <w:rPr>
                <w:sz w:val="18"/>
                <w:szCs w:val="18"/>
              </w:rPr>
            </w:pPr>
            <w:r>
              <w:rPr>
                <w:rFonts w:hint="eastAsia"/>
                <w:sz w:val="18"/>
                <w:szCs w:val="18"/>
              </w:rPr>
              <w:t>潮河总干渠</w:t>
            </w:r>
          </w:p>
        </w:tc>
        <w:tc>
          <w:tcPr>
            <w:tcW w:w="1883" w:type="dxa"/>
            <w:vAlign w:val="center"/>
          </w:tcPr>
          <w:p w14:paraId="37846985">
            <w:pPr>
              <w:spacing w:line="240" w:lineRule="exact"/>
              <w:ind w:firstLine="0" w:firstLineChars="0"/>
              <w:jc w:val="center"/>
              <w:rPr>
                <w:sz w:val="18"/>
                <w:szCs w:val="18"/>
              </w:rPr>
            </w:pPr>
            <w:r>
              <w:rPr>
                <w:rFonts w:hint="eastAsia"/>
                <w:sz w:val="18"/>
                <w:szCs w:val="18"/>
              </w:rPr>
              <w:t>提辖庄渠道—向阳村</w:t>
            </w:r>
          </w:p>
        </w:tc>
        <w:tc>
          <w:tcPr>
            <w:tcW w:w="1421" w:type="dxa"/>
            <w:vAlign w:val="center"/>
          </w:tcPr>
          <w:p w14:paraId="18CAE40D">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4.30</w:t>
            </w:r>
          </w:p>
        </w:tc>
        <w:tc>
          <w:tcPr>
            <w:tcW w:w="1421" w:type="dxa"/>
            <w:vAlign w:val="center"/>
          </w:tcPr>
          <w:p w14:paraId="3DB22A5A">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50</w:t>
            </w:r>
          </w:p>
        </w:tc>
        <w:tc>
          <w:tcPr>
            <w:tcW w:w="1422" w:type="dxa"/>
            <w:vAlign w:val="center"/>
          </w:tcPr>
          <w:p w14:paraId="72BE04C5">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50</w:t>
            </w:r>
          </w:p>
        </w:tc>
        <w:tc>
          <w:tcPr>
            <w:tcW w:w="1422" w:type="dxa"/>
            <w:tcBorders>
              <w:right w:val="single" w:color="auto" w:sz="12" w:space="0"/>
            </w:tcBorders>
            <w:vAlign w:val="center"/>
          </w:tcPr>
          <w:p w14:paraId="2B725B9C">
            <w:pPr>
              <w:spacing w:line="240" w:lineRule="exact"/>
              <w:ind w:firstLine="0" w:firstLineChars="0"/>
              <w:jc w:val="center"/>
              <w:rPr>
                <w:sz w:val="18"/>
                <w:szCs w:val="18"/>
              </w:rPr>
            </w:pPr>
          </w:p>
        </w:tc>
      </w:tr>
      <w:tr w14:paraId="41CDC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7A65F172">
            <w:pPr>
              <w:spacing w:line="240" w:lineRule="exact"/>
              <w:ind w:firstLine="0" w:firstLineChars="0"/>
              <w:jc w:val="center"/>
              <w:rPr>
                <w:sz w:val="18"/>
                <w:szCs w:val="18"/>
              </w:rPr>
            </w:pPr>
          </w:p>
        </w:tc>
        <w:tc>
          <w:tcPr>
            <w:tcW w:w="1883" w:type="dxa"/>
            <w:vAlign w:val="center"/>
          </w:tcPr>
          <w:p w14:paraId="075C048B">
            <w:pPr>
              <w:spacing w:line="240" w:lineRule="exact"/>
              <w:ind w:firstLine="0" w:firstLineChars="0"/>
              <w:jc w:val="center"/>
              <w:rPr>
                <w:sz w:val="18"/>
                <w:szCs w:val="18"/>
              </w:rPr>
            </w:pPr>
            <w:r>
              <w:rPr>
                <w:rFonts w:hint="eastAsia"/>
                <w:sz w:val="18"/>
                <w:szCs w:val="18"/>
              </w:rPr>
              <w:t>向阳村—南金沟屯</w:t>
            </w:r>
          </w:p>
        </w:tc>
        <w:tc>
          <w:tcPr>
            <w:tcW w:w="1421" w:type="dxa"/>
            <w:vAlign w:val="center"/>
          </w:tcPr>
          <w:p w14:paraId="2CF3CB01">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3.40</w:t>
            </w:r>
          </w:p>
        </w:tc>
        <w:tc>
          <w:tcPr>
            <w:tcW w:w="1421" w:type="dxa"/>
            <w:vAlign w:val="center"/>
          </w:tcPr>
          <w:p w14:paraId="638EDEEE">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50</w:t>
            </w:r>
          </w:p>
        </w:tc>
        <w:tc>
          <w:tcPr>
            <w:tcW w:w="1422" w:type="dxa"/>
            <w:vAlign w:val="center"/>
          </w:tcPr>
          <w:p w14:paraId="521E7D23">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50</w:t>
            </w:r>
          </w:p>
        </w:tc>
        <w:tc>
          <w:tcPr>
            <w:tcW w:w="1422" w:type="dxa"/>
            <w:tcBorders>
              <w:right w:val="single" w:color="auto" w:sz="12" w:space="0"/>
            </w:tcBorders>
            <w:vAlign w:val="center"/>
          </w:tcPr>
          <w:p w14:paraId="0D13797B">
            <w:pPr>
              <w:spacing w:line="240" w:lineRule="exact"/>
              <w:ind w:firstLine="0" w:firstLineChars="0"/>
              <w:jc w:val="center"/>
              <w:rPr>
                <w:sz w:val="18"/>
                <w:szCs w:val="18"/>
              </w:rPr>
            </w:pPr>
          </w:p>
        </w:tc>
      </w:tr>
      <w:tr w14:paraId="3B027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5FFBC4A8">
            <w:pPr>
              <w:spacing w:line="240" w:lineRule="exact"/>
              <w:ind w:firstLine="0" w:firstLineChars="0"/>
              <w:jc w:val="center"/>
              <w:rPr>
                <w:sz w:val="18"/>
                <w:szCs w:val="18"/>
              </w:rPr>
            </w:pPr>
          </w:p>
        </w:tc>
        <w:tc>
          <w:tcPr>
            <w:tcW w:w="1883" w:type="dxa"/>
            <w:vAlign w:val="center"/>
          </w:tcPr>
          <w:p w14:paraId="03A7792C">
            <w:pPr>
              <w:spacing w:line="240" w:lineRule="exact"/>
              <w:ind w:firstLine="0" w:firstLineChars="0"/>
              <w:jc w:val="center"/>
              <w:rPr>
                <w:sz w:val="18"/>
                <w:szCs w:val="18"/>
              </w:rPr>
            </w:pPr>
            <w:r>
              <w:rPr>
                <w:rFonts w:hint="eastAsia"/>
                <w:sz w:val="18"/>
                <w:szCs w:val="18"/>
              </w:rPr>
              <w:t>南金沟屯—台上</w:t>
            </w:r>
          </w:p>
        </w:tc>
        <w:tc>
          <w:tcPr>
            <w:tcW w:w="1421" w:type="dxa"/>
            <w:vAlign w:val="center"/>
          </w:tcPr>
          <w:p w14:paraId="39F13196">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2.50</w:t>
            </w:r>
          </w:p>
        </w:tc>
        <w:tc>
          <w:tcPr>
            <w:tcW w:w="1421" w:type="dxa"/>
            <w:vAlign w:val="center"/>
          </w:tcPr>
          <w:p w14:paraId="7F27729C">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200</w:t>
            </w:r>
          </w:p>
        </w:tc>
        <w:tc>
          <w:tcPr>
            <w:tcW w:w="1422" w:type="dxa"/>
            <w:vAlign w:val="center"/>
          </w:tcPr>
          <w:p w14:paraId="7335EF83">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30</w:t>
            </w:r>
          </w:p>
        </w:tc>
        <w:tc>
          <w:tcPr>
            <w:tcW w:w="1422" w:type="dxa"/>
            <w:tcBorders>
              <w:right w:val="single" w:color="auto" w:sz="12" w:space="0"/>
            </w:tcBorders>
            <w:vAlign w:val="center"/>
          </w:tcPr>
          <w:p w14:paraId="06275D5F">
            <w:pPr>
              <w:spacing w:line="240" w:lineRule="exact"/>
              <w:ind w:firstLine="0" w:firstLineChars="0"/>
              <w:jc w:val="center"/>
              <w:rPr>
                <w:sz w:val="18"/>
                <w:szCs w:val="18"/>
              </w:rPr>
            </w:pPr>
          </w:p>
        </w:tc>
      </w:tr>
      <w:tr w14:paraId="5612F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vMerge w:val="continue"/>
            <w:tcBorders>
              <w:left w:val="single" w:color="auto" w:sz="12" w:space="0"/>
            </w:tcBorders>
            <w:vAlign w:val="center"/>
          </w:tcPr>
          <w:p w14:paraId="3D213F5B">
            <w:pPr>
              <w:spacing w:line="240" w:lineRule="exact"/>
              <w:ind w:firstLine="0" w:firstLineChars="0"/>
              <w:jc w:val="center"/>
              <w:rPr>
                <w:sz w:val="18"/>
                <w:szCs w:val="18"/>
              </w:rPr>
            </w:pPr>
          </w:p>
        </w:tc>
        <w:tc>
          <w:tcPr>
            <w:tcW w:w="1883" w:type="dxa"/>
            <w:vAlign w:val="center"/>
          </w:tcPr>
          <w:p w14:paraId="1224C501">
            <w:pPr>
              <w:spacing w:line="240" w:lineRule="exact"/>
              <w:ind w:firstLine="0" w:firstLineChars="0"/>
              <w:jc w:val="center"/>
              <w:rPr>
                <w:sz w:val="18"/>
                <w:szCs w:val="18"/>
              </w:rPr>
            </w:pPr>
            <w:r>
              <w:rPr>
                <w:rFonts w:hint="eastAsia"/>
                <w:sz w:val="18"/>
                <w:szCs w:val="18"/>
              </w:rPr>
              <w:t>台上—唐指山水库</w:t>
            </w:r>
          </w:p>
        </w:tc>
        <w:tc>
          <w:tcPr>
            <w:tcW w:w="1421" w:type="dxa"/>
            <w:vAlign w:val="center"/>
          </w:tcPr>
          <w:p w14:paraId="501C46AB">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1.20</w:t>
            </w:r>
          </w:p>
        </w:tc>
        <w:tc>
          <w:tcPr>
            <w:tcW w:w="1421" w:type="dxa"/>
            <w:vAlign w:val="center"/>
          </w:tcPr>
          <w:p w14:paraId="12FD5030">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50</w:t>
            </w:r>
          </w:p>
        </w:tc>
        <w:tc>
          <w:tcPr>
            <w:tcW w:w="1422" w:type="dxa"/>
            <w:vAlign w:val="center"/>
          </w:tcPr>
          <w:p w14:paraId="1A16BD86">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50</w:t>
            </w:r>
          </w:p>
        </w:tc>
        <w:tc>
          <w:tcPr>
            <w:tcW w:w="1422" w:type="dxa"/>
            <w:tcBorders>
              <w:right w:val="single" w:color="auto" w:sz="12" w:space="0"/>
            </w:tcBorders>
            <w:vAlign w:val="center"/>
          </w:tcPr>
          <w:p w14:paraId="40C1A771">
            <w:pPr>
              <w:spacing w:line="240" w:lineRule="exact"/>
              <w:ind w:firstLine="0" w:firstLineChars="0"/>
              <w:jc w:val="center"/>
              <w:rPr>
                <w:sz w:val="18"/>
                <w:szCs w:val="18"/>
              </w:rPr>
            </w:pPr>
          </w:p>
        </w:tc>
      </w:tr>
      <w:tr w14:paraId="22616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9" w:type="dxa"/>
            <w:tcBorders>
              <w:left w:val="single" w:color="auto" w:sz="12" w:space="0"/>
              <w:bottom w:val="single" w:color="auto" w:sz="12" w:space="0"/>
            </w:tcBorders>
            <w:vAlign w:val="center"/>
          </w:tcPr>
          <w:p w14:paraId="7B5D87A0">
            <w:pPr>
              <w:spacing w:line="240" w:lineRule="exact"/>
              <w:ind w:firstLine="0" w:firstLineChars="0"/>
              <w:jc w:val="center"/>
              <w:rPr>
                <w:sz w:val="18"/>
                <w:szCs w:val="18"/>
              </w:rPr>
            </w:pPr>
            <w:r>
              <w:rPr>
                <w:rFonts w:hint="eastAsia"/>
                <w:sz w:val="18"/>
                <w:szCs w:val="18"/>
              </w:rPr>
              <w:t>港沟河</w:t>
            </w:r>
          </w:p>
        </w:tc>
        <w:tc>
          <w:tcPr>
            <w:tcW w:w="1883" w:type="dxa"/>
            <w:tcBorders>
              <w:bottom w:val="single" w:color="auto" w:sz="12" w:space="0"/>
            </w:tcBorders>
            <w:vAlign w:val="center"/>
          </w:tcPr>
          <w:p w14:paraId="019215DA">
            <w:pPr>
              <w:spacing w:line="240" w:lineRule="exact"/>
              <w:ind w:firstLine="0" w:firstLineChars="0"/>
              <w:jc w:val="center"/>
              <w:rPr>
                <w:sz w:val="18"/>
                <w:szCs w:val="18"/>
              </w:rPr>
            </w:pPr>
            <w:r>
              <w:rPr>
                <w:rFonts w:hint="eastAsia"/>
                <w:sz w:val="18"/>
                <w:szCs w:val="18"/>
              </w:rPr>
              <w:t>许各庄节制闸—市界</w:t>
            </w:r>
          </w:p>
        </w:tc>
        <w:tc>
          <w:tcPr>
            <w:tcW w:w="1421" w:type="dxa"/>
            <w:tcBorders>
              <w:bottom w:val="single" w:color="auto" w:sz="12" w:space="0"/>
            </w:tcBorders>
            <w:vAlign w:val="center"/>
          </w:tcPr>
          <w:p w14:paraId="4CB5432B">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18.00</w:t>
            </w:r>
          </w:p>
        </w:tc>
        <w:tc>
          <w:tcPr>
            <w:tcW w:w="1421" w:type="dxa"/>
            <w:tcBorders>
              <w:bottom w:val="single" w:color="auto" w:sz="12" w:space="0"/>
            </w:tcBorders>
            <w:vAlign w:val="center"/>
          </w:tcPr>
          <w:p w14:paraId="4CB025A6">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50</w:t>
            </w:r>
          </w:p>
        </w:tc>
        <w:tc>
          <w:tcPr>
            <w:tcW w:w="1422" w:type="dxa"/>
            <w:tcBorders>
              <w:bottom w:val="single" w:color="auto" w:sz="12" w:space="0"/>
            </w:tcBorders>
            <w:vAlign w:val="center"/>
          </w:tcPr>
          <w:p w14:paraId="4BE96F9C">
            <w:pPr>
              <w:spacing w:line="24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50</w:t>
            </w:r>
          </w:p>
        </w:tc>
        <w:tc>
          <w:tcPr>
            <w:tcW w:w="1422" w:type="dxa"/>
            <w:tcBorders>
              <w:bottom w:val="single" w:color="auto" w:sz="12" w:space="0"/>
              <w:right w:val="single" w:color="auto" w:sz="12" w:space="0"/>
            </w:tcBorders>
            <w:vAlign w:val="center"/>
          </w:tcPr>
          <w:p w14:paraId="750EF0F6">
            <w:pPr>
              <w:spacing w:line="240" w:lineRule="exact"/>
              <w:ind w:firstLine="0" w:firstLineChars="0"/>
              <w:jc w:val="center"/>
              <w:rPr>
                <w:sz w:val="18"/>
                <w:szCs w:val="18"/>
              </w:rPr>
            </w:pPr>
          </w:p>
        </w:tc>
      </w:tr>
    </w:tbl>
    <w:p w14:paraId="46710131"/>
    <w:p w14:paraId="6B9AC0F9">
      <w:pPr>
        <w:pStyle w:val="4"/>
        <w:pageBreakBefore/>
      </w:pPr>
      <w:bookmarkStart w:id="2673" w:name="_Toc428780827"/>
      <w:bookmarkStart w:id="2674" w:name="_Toc426467178"/>
      <w:bookmarkStart w:id="2675" w:name="_Toc428781926"/>
      <w:r>
        <w:rPr>
          <w:rFonts w:hint="eastAsia"/>
        </w:rPr>
        <w:t>北京市实施《中华人民共和国河道管理条例》和</w:t>
      </w:r>
      <w:bookmarkEnd w:id="2673"/>
      <w:bookmarkEnd w:id="2674"/>
      <w:bookmarkEnd w:id="2675"/>
    </w:p>
    <w:p w14:paraId="5B7A6533">
      <w:pPr>
        <w:pStyle w:val="4"/>
      </w:pPr>
      <w:bookmarkStart w:id="2676" w:name="_Toc428781927"/>
      <w:bookmarkStart w:id="2677" w:name="_Toc426467179"/>
      <w:bookmarkStart w:id="2678" w:name="_Toc428780828"/>
      <w:r>
        <w:rPr>
          <w:rFonts w:hint="eastAsia"/>
        </w:rPr>
        <w:t>《北京市水利工程保护管理条例》的若干规定</w:t>
      </w:r>
      <w:bookmarkEnd w:id="2676"/>
      <w:bookmarkEnd w:id="2677"/>
      <w:bookmarkEnd w:id="2678"/>
    </w:p>
    <w:p w14:paraId="27882DA2">
      <w:pPr>
        <w:ind w:left="630" w:leftChars="300" w:right="630" w:rightChars="300"/>
        <w:rPr>
          <w:rFonts w:ascii="楷体" w:hAnsi="楷体" w:eastAsia="楷体"/>
        </w:rPr>
      </w:pPr>
      <w:r>
        <w:rPr>
          <w:rFonts w:hint="eastAsia" w:ascii="楷体" w:hAnsi="楷体" w:eastAsia="楷体"/>
        </w:rPr>
        <w:t>（1989年11月21日北京市人民政府第34号令公布　根据2010年11月27日北京市人民政府第226号令修改）</w:t>
      </w:r>
    </w:p>
    <w:p w14:paraId="79B01131"/>
    <w:p w14:paraId="072D83E5">
      <w:pPr>
        <w:ind w:firstLine="422"/>
      </w:pPr>
      <w:r>
        <w:rPr>
          <w:rFonts w:hint="eastAsia"/>
          <w:b/>
        </w:rPr>
        <w:t>第一条</w:t>
      </w:r>
      <w:r>
        <w:rPr>
          <w:rFonts w:hint="eastAsia"/>
        </w:rPr>
        <w:t xml:space="preserve">  为贯彻实施《中华人民共和国河道管理条例》和《北京市水利工程保护管理条例》，加强本市河道管理，特制定本规定。</w:t>
      </w:r>
    </w:p>
    <w:p w14:paraId="0FFE77C3">
      <w:pPr>
        <w:ind w:firstLine="422"/>
      </w:pPr>
      <w:r>
        <w:rPr>
          <w:rFonts w:hint="eastAsia"/>
          <w:b/>
        </w:rPr>
        <w:t>第二条</w:t>
      </w:r>
      <w:r>
        <w:rPr>
          <w:rFonts w:hint="eastAsia"/>
        </w:rPr>
        <w:t xml:space="preserve">  本市河道管理，必须全面执行《中华人民共和国河道管理条例》、《北京市水利工程保护管理条例》和本规定。本市行政区域内的一切单位和个人都有保护河道堤防和水利工程安全的义务。</w:t>
      </w:r>
    </w:p>
    <w:p w14:paraId="220D22BB">
      <w:pPr>
        <w:ind w:firstLine="422"/>
      </w:pPr>
      <w:r>
        <w:rPr>
          <w:rFonts w:hint="eastAsia"/>
          <w:b/>
        </w:rPr>
        <w:t>第三条</w:t>
      </w:r>
      <w:r>
        <w:rPr>
          <w:rFonts w:hint="eastAsia"/>
        </w:rPr>
        <w:t xml:space="preserve">  市水行政主管部门是全市河道管理工作的主管机关。</w:t>
      </w:r>
    </w:p>
    <w:p w14:paraId="39C6F0E7">
      <w:r>
        <w:rPr>
          <w:rFonts w:hint="eastAsia"/>
        </w:rPr>
        <w:t>区、县水行政主管部门负责本区、县河道的管理工作。</w:t>
      </w:r>
    </w:p>
    <w:p w14:paraId="4507FDCC">
      <w:r>
        <w:rPr>
          <w:rFonts w:hint="eastAsia"/>
        </w:rPr>
        <w:t>乡、镇人民政府负责本乡、镇的河道管理工作，其日常管理工作由乡、镇水利（水土保持）管理站或水利助理员办理。</w:t>
      </w:r>
    </w:p>
    <w:p w14:paraId="0ABE4503">
      <w:pPr>
        <w:ind w:firstLine="422"/>
      </w:pPr>
      <w:r>
        <w:rPr>
          <w:rFonts w:hint="eastAsia"/>
          <w:b/>
        </w:rPr>
        <w:t>第四条</w:t>
      </w:r>
      <w:r>
        <w:rPr>
          <w:rFonts w:hint="eastAsia"/>
        </w:rPr>
        <w:t xml:space="preserve">  本市河道管理，实行按水系统一管理和分级管理相结合的原则。</w:t>
      </w:r>
    </w:p>
    <w:p w14:paraId="670F0370">
      <w:r>
        <w:rPr>
          <w:rFonts w:hint="eastAsia"/>
        </w:rPr>
        <w:t>永定河、潮白河、北运河（温榆河）、永定河引水渠、京密引水渠、城市河湖，跨区县的防洪、供水、排水重要河段，由市水行政主管部门根据流域规划实行统一管理。其他河道由区、县水行政主管部门或乡、镇水利管理站管理，具体管理范围由区、县人民政府划定。</w:t>
      </w:r>
    </w:p>
    <w:p w14:paraId="5071EBB3">
      <w:pPr>
        <w:ind w:firstLine="422"/>
      </w:pPr>
      <w:r>
        <w:rPr>
          <w:rFonts w:hint="eastAsia"/>
          <w:b/>
        </w:rPr>
        <w:t>第五条</w:t>
      </w:r>
      <w:r>
        <w:rPr>
          <w:rFonts w:hint="eastAsia"/>
        </w:rPr>
        <w:t xml:space="preserve">  河道管理范围，市水行政主管部门统一管理的河道或河段，按照市人民政府批准划定的范围执行；区、县或乡、镇管理的河道，按照区、县人民政府批准划定的范围执行。</w:t>
      </w:r>
    </w:p>
    <w:p w14:paraId="501EA8FF">
      <w:pPr>
        <w:ind w:firstLine="422"/>
        <w:rPr>
          <w:rFonts w:hint="eastAsia" w:ascii="宋体" w:hAnsi="宋体" w:eastAsia="宋体" w:cs="宋体"/>
        </w:rPr>
      </w:pPr>
      <w:r>
        <w:rPr>
          <w:rFonts w:hint="eastAsia"/>
          <w:b/>
        </w:rPr>
        <w:t>第六条</w:t>
      </w:r>
      <w:r>
        <w:rPr>
          <w:rFonts w:hint="eastAsia"/>
        </w:rPr>
        <w:t xml:space="preserve">  修建蓄水量超过</w:t>
      </w:r>
      <w:r>
        <w:rPr>
          <w:rFonts w:hint="eastAsia" w:ascii="宋体" w:hAnsi="宋体" w:eastAsia="宋体" w:cs="宋体"/>
        </w:rPr>
        <w:t>10万立方米的水库和跨区县修建的阻水、引水、排水、蓄水工程以及跨区县河道整治工程，由市水行政主管部门批准或者经市水行政主管部门审核依照国家有关于规定报上级主管机关批准。</w:t>
      </w:r>
    </w:p>
    <w:p w14:paraId="5B6122E2">
      <w:r>
        <w:rPr>
          <w:rFonts w:hint="eastAsia"/>
        </w:rPr>
        <w:t>修建其他水利工程，由区、县水行政主管部门批准或者经区、县水行政主管部门审核依照国家有关规定报上级主管机关批准。</w:t>
      </w:r>
    </w:p>
    <w:p w14:paraId="7CC7D8EC">
      <w:pPr>
        <w:ind w:firstLine="422"/>
      </w:pPr>
      <w:r>
        <w:rPr>
          <w:rFonts w:hint="eastAsia"/>
          <w:b/>
        </w:rPr>
        <w:t>第七条</w:t>
      </w:r>
      <w:r>
        <w:rPr>
          <w:rFonts w:hint="eastAsia"/>
        </w:rPr>
        <w:t xml:space="preserve">  修建跨河、穿河、穿堤、临河的桥梁、道路、管道、缆线等建筑物及设施，建设单位应当按照防汛、输水和保护河道的要求进行设计，按照河道管理权限，将工程建设方案报送市、区、县水行政主管部门审查同意后，依照城乡规划管理的有关规定报批。</w:t>
      </w:r>
    </w:p>
    <w:p w14:paraId="36905E5D">
      <w:r>
        <w:rPr>
          <w:rFonts w:hint="eastAsia"/>
        </w:rPr>
        <w:t>以上建设项目施工前，建设单位应当与市、区、县水行政主管部门签订保护河道责任书。</w:t>
      </w:r>
    </w:p>
    <w:p w14:paraId="7B05ABD1">
      <w:pPr>
        <w:ind w:firstLine="422"/>
      </w:pPr>
      <w:r>
        <w:rPr>
          <w:rFonts w:hint="eastAsia"/>
          <w:b/>
        </w:rPr>
        <w:t>第八条</w:t>
      </w:r>
      <w:r>
        <w:rPr>
          <w:rFonts w:hint="eastAsia"/>
        </w:rPr>
        <w:t xml:space="preserve">  河道岸线的建设和利用，必须服从河道防汛、输水的要求和河道整治规划，保持河势稳定。计划部门在审批利用河道岸线的建设项目时，应当事先按照河道管理权限，征求市、区、县水行政主管部门的意见。</w:t>
      </w:r>
    </w:p>
    <w:p w14:paraId="481054A9">
      <w:r>
        <w:rPr>
          <w:rFonts w:hint="eastAsia"/>
        </w:rPr>
        <w:t>河道岸线的界限，按照河道管理权限，由市、区、县水行政主管部门会同同级规划、土地、交通等管理机关划定，报同级人民政府批准。</w:t>
      </w:r>
    </w:p>
    <w:p w14:paraId="7A4EA80F">
      <w:pPr>
        <w:ind w:firstLine="422"/>
      </w:pPr>
      <w:r>
        <w:rPr>
          <w:rFonts w:hint="eastAsia"/>
          <w:b/>
        </w:rPr>
        <w:t>第九条</w:t>
      </w:r>
      <w:r>
        <w:rPr>
          <w:rFonts w:hint="eastAsia"/>
        </w:rPr>
        <w:t xml:space="preserve">  村镇建设不得占用河道滩地。对河道滩地内现有的村庄，按照河道管理权限由市、区、县水行政主管部门会同有关部门确定其控制规模或制定逐步调整方案。</w:t>
      </w:r>
    </w:p>
    <w:p w14:paraId="4B487C19">
      <w:pPr>
        <w:ind w:firstLine="422"/>
      </w:pPr>
      <w:r>
        <w:rPr>
          <w:rFonts w:hint="eastAsia"/>
          <w:b/>
        </w:rPr>
        <w:t>第十条</w:t>
      </w:r>
      <w:r>
        <w:rPr>
          <w:rFonts w:hint="eastAsia"/>
        </w:rPr>
        <w:t xml:space="preserve">  机动车、兽力车不得在非堤路结合的大、中型河道堤顶和戗台上行驶。限于交通条件确需利用非堤路结合的堤顶或者戗台行驶机动车、兽力车的，必须按照河道管理权限经市、区、县水行政主管部门批准，由各该河道管理机关与行车单位或个人签订堤顶戗台保护协议。</w:t>
      </w:r>
    </w:p>
    <w:p w14:paraId="2EB7978B">
      <w:pPr>
        <w:ind w:firstLine="422"/>
      </w:pPr>
      <w:r>
        <w:rPr>
          <w:rFonts w:hint="eastAsia"/>
          <w:b/>
        </w:rPr>
        <w:t>第十一条</w:t>
      </w:r>
      <w:r>
        <w:rPr>
          <w:rFonts w:hint="eastAsia"/>
        </w:rPr>
        <w:t xml:space="preserve">  凡对堤防、护岸和其他水利工程设施造成损坏或者造成河道淤积的，由责任单位或责任人负责修复、清淤或者承担维修费用。</w:t>
      </w:r>
    </w:p>
    <w:p w14:paraId="126AA734">
      <w:pPr>
        <w:ind w:firstLine="422"/>
      </w:pPr>
      <w:r>
        <w:rPr>
          <w:rFonts w:hint="eastAsia"/>
          <w:b/>
        </w:rPr>
        <w:t>第十二条</w:t>
      </w:r>
      <w:r>
        <w:rPr>
          <w:rFonts w:hint="eastAsia"/>
        </w:rPr>
        <w:t xml:space="preserve">  对违反本规定的行为，依照《中华人民共和国河道管理条例》和《北京市水利工程保护管理条例》的有关处罚规定处理。</w:t>
      </w:r>
    </w:p>
    <w:p w14:paraId="2253E3D3">
      <w:pPr>
        <w:ind w:firstLine="422"/>
      </w:pPr>
      <w:r>
        <w:rPr>
          <w:rFonts w:hint="eastAsia"/>
          <w:b/>
        </w:rPr>
        <w:t>第十三条</w:t>
      </w:r>
      <w:r>
        <w:rPr>
          <w:rFonts w:hint="eastAsia"/>
        </w:rPr>
        <w:t xml:space="preserve">  市、区、县水行政主管部门等河道管理机关的工作人员必须廉洁奉公，严肃执法，在执行职务时，必须出示执法证件。</w:t>
      </w:r>
    </w:p>
    <w:p w14:paraId="04538C73">
      <w:pPr>
        <w:ind w:firstLine="422"/>
      </w:pPr>
      <w:r>
        <w:rPr>
          <w:rFonts w:hint="eastAsia"/>
          <w:b/>
        </w:rPr>
        <w:t>第十四条</w:t>
      </w:r>
      <w:r>
        <w:rPr>
          <w:rFonts w:hint="eastAsia"/>
        </w:rPr>
        <w:t xml:space="preserve">  本办法</w:t>
      </w:r>
      <w:r>
        <w:rPr>
          <w:rFonts w:hint="eastAsia" w:ascii="宋体" w:hAnsi="宋体" w:eastAsia="宋体" w:cs="宋体"/>
        </w:rPr>
        <w:t>自1989年12月1日起施行</w:t>
      </w:r>
      <w:r>
        <w:rPr>
          <w:rFonts w:hint="eastAsia"/>
        </w:rPr>
        <w:t>。</w:t>
      </w:r>
    </w:p>
    <w:p w14:paraId="44B37446">
      <w:pPr>
        <w:pStyle w:val="4"/>
        <w:pageBreakBefore/>
      </w:pPr>
      <w:bookmarkStart w:id="2679" w:name="_Toc428780829"/>
      <w:bookmarkStart w:id="2680" w:name="_Toc428781928"/>
      <w:bookmarkStart w:id="2681" w:name="_Toc426467180"/>
      <w:r>
        <w:rPr>
          <w:rFonts w:hint="eastAsia"/>
        </w:rPr>
        <w:t>北京市征收防洪工程建设维护管理费暂行规定</w:t>
      </w:r>
      <w:bookmarkEnd w:id="2679"/>
      <w:bookmarkEnd w:id="2680"/>
      <w:bookmarkEnd w:id="2681"/>
    </w:p>
    <w:p w14:paraId="62B16693">
      <w:pPr>
        <w:ind w:left="630" w:leftChars="300" w:right="630" w:rightChars="300"/>
        <w:jc w:val="center"/>
        <w:rPr>
          <w:rFonts w:ascii="楷体" w:hAnsi="楷体" w:eastAsia="楷体"/>
        </w:rPr>
      </w:pPr>
      <w:r>
        <w:rPr>
          <w:rFonts w:hint="eastAsia" w:ascii="楷体" w:hAnsi="楷体" w:eastAsia="楷体"/>
        </w:rPr>
        <w:t>（1994年9月26日北京市人民政府第21号令发布）</w:t>
      </w:r>
    </w:p>
    <w:p w14:paraId="3DEF8F15"/>
    <w:p w14:paraId="4BF72F84">
      <w:pPr>
        <w:ind w:firstLine="422"/>
        <w:rPr>
          <w:rFonts w:hint="eastAsia" w:ascii="宋体" w:hAnsi="宋体" w:eastAsia="宋体" w:cs="宋体"/>
        </w:rPr>
      </w:pPr>
      <w:r>
        <w:rPr>
          <w:rFonts w:hint="eastAsia"/>
          <w:b/>
        </w:rPr>
        <w:t>第一条</w:t>
      </w:r>
      <w:r>
        <w:rPr>
          <w:rFonts w:hint="eastAsia"/>
        </w:rPr>
        <w:t xml:space="preserve">  为加强防洪工程建设和维护管理，提高防洪抗灾能力，保障首都人民生命财产安全，根据《中华人民共和国水法》、《中华人民共和国河道管理条例》、《中华人民共和国防汛条例》和国家其他有关规定，结合本</w:t>
      </w:r>
      <w:r>
        <w:rPr>
          <w:rFonts w:hint="eastAsia" w:ascii="宋体" w:hAnsi="宋体" w:eastAsia="宋体" w:cs="宋体"/>
        </w:rPr>
        <w:t>市实际情况，制定本规定。</w:t>
      </w:r>
    </w:p>
    <w:p w14:paraId="3264A26D">
      <w:pPr>
        <w:ind w:firstLine="422"/>
        <w:rPr>
          <w:rFonts w:hint="eastAsia" w:ascii="宋体" w:hAnsi="宋体" w:eastAsia="宋体" w:cs="宋体"/>
        </w:rPr>
      </w:pPr>
      <w:r>
        <w:rPr>
          <w:rFonts w:hint="eastAsia" w:ascii="宋体" w:hAnsi="宋体" w:eastAsia="宋体" w:cs="宋体"/>
          <w:b/>
        </w:rPr>
        <w:t>第二条</w:t>
      </w:r>
      <w:r>
        <w:rPr>
          <w:rFonts w:hint="eastAsia" w:ascii="宋体" w:hAnsi="宋体" w:eastAsia="宋体" w:cs="宋体"/>
        </w:rPr>
        <w:t xml:space="preserve">  凡在本市行政区域内征用土地、划拨土地和通过出让方式取得国有土地使用权（以下简称批租）新建、扩建、改建工程项目以及使用土地从事非农业生产的单位和个人，均须依照本规定缴纳防洪工程建设维护管理费（以下简称防洪费）。</w:t>
      </w:r>
    </w:p>
    <w:p w14:paraId="02C8290D">
      <w:pPr>
        <w:rPr>
          <w:rFonts w:hint="eastAsia" w:ascii="宋体" w:hAnsi="宋体" w:eastAsia="宋体" w:cs="宋体"/>
        </w:rPr>
      </w:pPr>
      <w:r>
        <w:rPr>
          <w:rFonts w:hint="eastAsia" w:ascii="宋体" w:hAnsi="宋体" w:eastAsia="宋体" w:cs="宋体"/>
        </w:rPr>
        <w:t>能源、交通等重点项目免缴防洪费。</w:t>
      </w:r>
    </w:p>
    <w:p w14:paraId="40859433">
      <w:pPr>
        <w:ind w:firstLine="422"/>
        <w:rPr>
          <w:rFonts w:hint="eastAsia" w:ascii="宋体" w:hAnsi="宋体" w:eastAsia="宋体" w:cs="宋体"/>
        </w:rPr>
      </w:pPr>
      <w:r>
        <w:rPr>
          <w:rFonts w:hint="eastAsia" w:ascii="宋体" w:hAnsi="宋体" w:eastAsia="宋体" w:cs="宋体"/>
          <w:b/>
        </w:rPr>
        <w:t>第三条</w:t>
      </w:r>
      <w:r>
        <w:rPr>
          <w:rFonts w:hint="eastAsia" w:ascii="宋体" w:hAnsi="宋体" w:eastAsia="宋体" w:cs="宋体"/>
        </w:rPr>
        <w:t xml:space="preserve">  防洪费征收标准：</w:t>
      </w:r>
    </w:p>
    <w:p w14:paraId="046A8A1A">
      <w:pPr>
        <w:rPr>
          <w:rFonts w:hint="eastAsia" w:ascii="宋体" w:hAnsi="宋体" w:eastAsia="宋体" w:cs="宋体"/>
        </w:rPr>
      </w:pPr>
      <w:r>
        <w:rPr>
          <w:rFonts w:hint="eastAsia" w:ascii="宋体" w:hAnsi="宋体" w:eastAsia="宋体" w:cs="宋体"/>
        </w:rPr>
        <w:t>（一）对征用土地（含批租）的单位和个人，以市、区、县土地管理部门按审批权限核发用地许可证所确定的征用土地面积，按每平方米20元的标准征收防洪费。</w:t>
      </w:r>
    </w:p>
    <w:p w14:paraId="78E7A924">
      <w:pPr>
        <w:rPr>
          <w:rFonts w:hint="eastAsia" w:ascii="宋体" w:hAnsi="宋体" w:eastAsia="宋体" w:cs="宋体"/>
        </w:rPr>
      </w:pPr>
      <w:r>
        <w:rPr>
          <w:rFonts w:hint="eastAsia" w:ascii="宋体" w:hAnsi="宋体" w:eastAsia="宋体" w:cs="宋体"/>
        </w:rPr>
        <w:t>（二）对在划拨国有土地上（含批租）新建、扩建、改建工程项目的单位和个人，以市、区、县房地产管理部门按审批权限核发的建设用地批准书所确定的占用土地面积，按每平方米20元的标准征收防洪费。</w:t>
      </w:r>
    </w:p>
    <w:p w14:paraId="29AFD8DD">
      <w:pPr>
        <w:rPr>
          <w:rFonts w:hint="eastAsia" w:ascii="宋体" w:hAnsi="宋体" w:eastAsia="宋体" w:cs="宋体"/>
        </w:rPr>
      </w:pPr>
      <w:r>
        <w:rPr>
          <w:rFonts w:hint="eastAsia" w:ascii="宋体" w:hAnsi="宋体" w:eastAsia="宋体" w:cs="宋体"/>
        </w:rPr>
        <w:t>（三）对使用土地从事非农业生产的单位和个人，以实际占地面积，按每平方米每年2元的标准征收防洪费。</w:t>
      </w:r>
    </w:p>
    <w:p w14:paraId="5274D92F">
      <w:pPr>
        <w:ind w:firstLine="422"/>
        <w:rPr>
          <w:rFonts w:hint="eastAsia" w:ascii="宋体" w:hAnsi="宋体" w:eastAsia="宋体" w:cs="宋体"/>
        </w:rPr>
      </w:pPr>
      <w:r>
        <w:rPr>
          <w:rFonts w:hint="eastAsia" w:ascii="宋体" w:hAnsi="宋体" w:eastAsia="宋体" w:cs="宋体"/>
          <w:b/>
        </w:rPr>
        <w:t>第四条</w:t>
      </w:r>
      <w:r>
        <w:rPr>
          <w:rFonts w:hint="eastAsia" w:ascii="宋体" w:hAnsi="宋体" w:eastAsia="宋体" w:cs="宋体"/>
        </w:rPr>
        <w:t xml:space="preserve">  征用土地、批租和划拨土地新建、扩建、改建工程项目的单位和个人，在办理用地许可证和建设用地批准书时，凭房屋土地管理局核定的占地面积，属城区、近郊区的，到中国建设银行北京朝阳支行缴纳防洪费；属远郊区、县的，到所在地中国建设银行支行缴纳防洪费。房屋土地管理局凭中国建设银行有关支行已缴防洪费的凭据，办理用地许可证和建设用地批准书。</w:t>
      </w:r>
    </w:p>
    <w:p w14:paraId="6DFA53DA">
      <w:pPr>
        <w:rPr>
          <w:rFonts w:hint="eastAsia" w:ascii="宋体" w:hAnsi="宋体" w:eastAsia="宋体" w:cs="宋体"/>
        </w:rPr>
      </w:pPr>
      <w:r>
        <w:rPr>
          <w:rFonts w:hint="eastAsia" w:ascii="宋体" w:hAnsi="宋体" w:eastAsia="宋体" w:cs="宋体"/>
        </w:rPr>
        <w:t>对使用土地从事非农业生产的单位和个人征收防洪费的具体办法另行规定。</w:t>
      </w:r>
    </w:p>
    <w:p w14:paraId="2457C59E">
      <w:pPr>
        <w:ind w:firstLine="422"/>
        <w:rPr>
          <w:rFonts w:hint="eastAsia" w:ascii="宋体" w:hAnsi="宋体" w:eastAsia="宋体" w:cs="宋体"/>
        </w:rPr>
      </w:pPr>
      <w:r>
        <w:rPr>
          <w:rFonts w:hint="eastAsia" w:ascii="宋体" w:hAnsi="宋体" w:eastAsia="宋体" w:cs="宋体"/>
          <w:b/>
        </w:rPr>
        <w:t>第五条</w:t>
      </w:r>
      <w:r>
        <w:rPr>
          <w:rFonts w:hint="eastAsia" w:ascii="宋体" w:hAnsi="宋体" w:eastAsia="宋体" w:cs="宋体"/>
        </w:rPr>
        <w:t xml:space="preserve">  城近郊区征收的防洪费，全部上缴市财政；远郊区、县征收的防洪费，50%上缴市财政，其余50%由区、县人民政府安排用于本区、县防洪工程的建设和维护管理。</w:t>
      </w:r>
    </w:p>
    <w:p w14:paraId="587D8AB4">
      <w:pPr>
        <w:rPr>
          <w:rFonts w:hint="eastAsia" w:ascii="宋体" w:hAnsi="宋体" w:eastAsia="宋体" w:cs="宋体"/>
        </w:rPr>
      </w:pPr>
      <w:r>
        <w:rPr>
          <w:rFonts w:hint="eastAsia" w:ascii="宋体" w:hAnsi="宋体" w:eastAsia="宋体" w:cs="宋体"/>
        </w:rPr>
        <w:t>上缴市财政的防洪费，由市计划委员会根据防洪费收入和防洪工程需要，统筹安排，市财政局按计划拨款。</w:t>
      </w:r>
    </w:p>
    <w:p w14:paraId="6E11D90A">
      <w:pPr>
        <w:ind w:firstLine="422"/>
        <w:rPr>
          <w:rFonts w:hint="eastAsia" w:ascii="宋体" w:hAnsi="宋体" w:eastAsia="宋体" w:cs="宋体"/>
        </w:rPr>
      </w:pPr>
      <w:r>
        <w:rPr>
          <w:rFonts w:hint="eastAsia" w:ascii="宋体" w:hAnsi="宋体" w:eastAsia="宋体" w:cs="宋体"/>
          <w:b/>
        </w:rPr>
        <w:t>第六条</w:t>
      </w:r>
      <w:r>
        <w:rPr>
          <w:rFonts w:hint="eastAsia" w:ascii="宋体" w:hAnsi="宋体" w:eastAsia="宋体" w:cs="宋体"/>
        </w:rPr>
        <w:t xml:space="preserve">  防洪费全部用于防洪工程的建设和维护管理，专户存储，专款专用，不得挪用。</w:t>
      </w:r>
    </w:p>
    <w:p w14:paraId="2C7C44E0">
      <w:pPr>
        <w:ind w:firstLine="422"/>
        <w:rPr>
          <w:rFonts w:hint="eastAsia" w:ascii="宋体" w:hAnsi="宋体" w:eastAsia="宋体" w:cs="宋体"/>
        </w:rPr>
      </w:pPr>
      <w:r>
        <w:rPr>
          <w:rFonts w:hint="eastAsia" w:ascii="宋体" w:hAnsi="宋体" w:eastAsia="宋体" w:cs="宋体"/>
          <w:b/>
        </w:rPr>
        <w:t>第七条</w:t>
      </w:r>
      <w:r>
        <w:rPr>
          <w:rFonts w:hint="eastAsia" w:ascii="宋体" w:hAnsi="宋体" w:eastAsia="宋体" w:cs="宋体"/>
        </w:rPr>
        <w:t xml:space="preserve">  本规定执行中的具体问题，由市计划委员会负责解释。</w:t>
      </w:r>
    </w:p>
    <w:p w14:paraId="1C02189E">
      <w:pPr>
        <w:ind w:firstLine="422"/>
        <w:rPr>
          <w:rFonts w:hint="eastAsia" w:ascii="宋体" w:hAnsi="宋体" w:eastAsia="宋体" w:cs="宋体"/>
        </w:rPr>
      </w:pPr>
      <w:r>
        <w:rPr>
          <w:rFonts w:hint="eastAsia" w:ascii="宋体" w:hAnsi="宋体" w:eastAsia="宋体" w:cs="宋体"/>
          <w:b/>
        </w:rPr>
        <w:t>第八条</w:t>
      </w:r>
      <w:r>
        <w:rPr>
          <w:rFonts w:hint="eastAsia" w:ascii="宋体" w:hAnsi="宋体" w:eastAsia="宋体" w:cs="宋体"/>
        </w:rPr>
        <w:t xml:space="preserve">  本规定自1994年10月15日起施行。</w:t>
      </w:r>
    </w:p>
    <w:p w14:paraId="7D6D462A">
      <w:pPr>
        <w:pStyle w:val="4"/>
        <w:pageBreakBefore/>
      </w:pPr>
      <w:bookmarkStart w:id="2682" w:name="_Toc428781929"/>
      <w:bookmarkStart w:id="2683" w:name="_Toc428780830"/>
      <w:bookmarkStart w:id="2684" w:name="_Toc426467181"/>
      <w:r>
        <w:rPr>
          <w:rFonts w:hint="eastAsia"/>
        </w:rPr>
        <w:t>北京市南水北调工程保护办法</w:t>
      </w:r>
      <w:bookmarkEnd w:id="2682"/>
      <w:bookmarkEnd w:id="2683"/>
      <w:bookmarkEnd w:id="2684"/>
    </w:p>
    <w:p w14:paraId="298DDEBD">
      <w:pPr>
        <w:ind w:left="630" w:leftChars="300" w:right="630" w:rightChars="300"/>
        <w:rPr>
          <w:rFonts w:ascii="楷体" w:hAnsi="楷体" w:eastAsia="楷体"/>
        </w:rPr>
      </w:pPr>
      <w:r>
        <w:rPr>
          <w:rFonts w:hint="eastAsia" w:ascii="楷体" w:hAnsi="楷体" w:eastAsia="楷体"/>
        </w:rPr>
        <w:t>（2011年1月4日第82次北京市人民政府常务会议审议通过  2011年2月10日北京市人民政府第230号令公布）</w:t>
      </w:r>
    </w:p>
    <w:p w14:paraId="2814BAD0"/>
    <w:p w14:paraId="6323889A">
      <w:pPr>
        <w:ind w:firstLine="422"/>
      </w:pPr>
      <w:r>
        <w:rPr>
          <w:rFonts w:hint="eastAsia"/>
          <w:b/>
        </w:rPr>
        <w:t>第一条</w:t>
      </w:r>
      <w:r>
        <w:rPr>
          <w:rFonts w:hint="eastAsia"/>
        </w:rPr>
        <w:t xml:space="preserve">  为保护南水北调工程，保障输水安全，促进首都经济社会可持续发展，结合本市实际情况，制定本办法。</w:t>
      </w:r>
    </w:p>
    <w:p w14:paraId="766FDDE2">
      <w:pPr>
        <w:ind w:firstLine="422"/>
      </w:pPr>
      <w:r>
        <w:rPr>
          <w:rFonts w:hint="eastAsia"/>
          <w:b/>
        </w:rPr>
        <w:t>第二条</w:t>
      </w:r>
      <w:r>
        <w:rPr>
          <w:rFonts w:hint="eastAsia"/>
        </w:rPr>
        <w:t xml:space="preserve">  本市行政区域内南水北调工程的保护，适用本办法。</w:t>
      </w:r>
    </w:p>
    <w:p w14:paraId="1ECE24AB">
      <w:r>
        <w:rPr>
          <w:rFonts w:hint="eastAsia"/>
        </w:rPr>
        <w:t>本办法所称南水北调工程，是指南水北调中线北京段干线工程及其配套附属设备设施。</w:t>
      </w:r>
    </w:p>
    <w:p w14:paraId="623C3712">
      <w:pPr>
        <w:ind w:firstLine="422"/>
      </w:pPr>
      <w:r>
        <w:rPr>
          <w:rFonts w:hint="eastAsia"/>
          <w:b/>
        </w:rPr>
        <w:t>第三条</w:t>
      </w:r>
      <w:r>
        <w:rPr>
          <w:rFonts w:hint="eastAsia"/>
        </w:rPr>
        <w:t xml:space="preserve">  市南水北调工程主管部门负责本市南水北调工程的保护工作，组织南水北调工程保护规划的编制和实施，统筹协调工程保护的重大问题，依法查处危害工程安全的违法行为。</w:t>
      </w:r>
    </w:p>
    <w:p w14:paraId="52FBA904">
      <w:r>
        <w:rPr>
          <w:rFonts w:hint="eastAsia"/>
        </w:rPr>
        <w:t>规划、国土、水务、公安等有关行政部门在各自职责范围内做好南水北调工程保护的相关工作。</w:t>
      </w:r>
    </w:p>
    <w:p w14:paraId="0C9DB8C4">
      <w:pPr>
        <w:ind w:firstLine="422"/>
      </w:pPr>
      <w:r>
        <w:rPr>
          <w:rFonts w:hint="eastAsia"/>
          <w:b/>
        </w:rPr>
        <w:t>第四条</w:t>
      </w:r>
      <w:r>
        <w:rPr>
          <w:rFonts w:hint="eastAsia"/>
        </w:rPr>
        <w:t xml:space="preserve">  南水北调工程沿线区人民政府应当加强对本行政区域内工程保护工作的组织和领导，开展工程保护的宣传教育，督促有关单位和个人履行工程保护义务，配合市南水北调工程主管部门查处危害工程安全的违法行为。</w:t>
      </w:r>
    </w:p>
    <w:p w14:paraId="6A54EAD4">
      <w:r>
        <w:rPr>
          <w:rFonts w:hint="eastAsia"/>
        </w:rPr>
        <w:t>南水北调工程沿线街道办事处、乡镇人民政府应当对违反本办法的行为予以制止，并及时向当地区人民政府和市南水北调工程主管部门报告。</w:t>
      </w:r>
    </w:p>
    <w:p w14:paraId="7F31D4DA">
      <w:pPr>
        <w:ind w:firstLine="422"/>
      </w:pPr>
      <w:r>
        <w:rPr>
          <w:rFonts w:hint="eastAsia"/>
          <w:b/>
        </w:rPr>
        <w:t>第五条</w:t>
      </w:r>
      <w:r>
        <w:rPr>
          <w:rFonts w:hint="eastAsia"/>
        </w:rPr>
        <w:t xml:space="preserve">  南水北调工程保护规划应当与本市土地利用规划、城乡规划相协调，经市人民政府批准后公布施行。</w:t>
      </w:r>
    </w:p>
    <w:p w14:paraId="2649FDD2">
      <w:pPr>
        <w:ind w:firstLine="422"/>
      </w:pPr>
      <w:r>
        <w:rPr>
          <w:rFonts w:hint="eastAsia"/>
          <w:b/>
        </w:rPr>
        <w:t>第六条</w:t>
      </w:r>
      <w:r>
        <w:rPr>
          <w:rFonts w:hint="eastAsia"/>
        </w:rPr>
        <w:t xml:space="preserve">  南水北调工程及其合法使用的土地，依法受法律保护。</w:t>
      </w:r>
    </w:p>
    <w:p w14:paraId="20FA5C1F">
      <w:r>
        <w:rPr>
          <w:rFonts w:hint="eastAsia"/>
        </w:rPr>
        <w:t>任何单位和个人不得实施危害南水北调工程安全的行为。</w:t>
      </w:r>
    </w:p>
    <w:p w14:paraId="388C8DF6">
      <w:pPr>
        <w:ind w:firstLine="422"/>
      </w:pPr>
      <w:r>
        <w:rPr>
          <w:rFonts w:hint="eastAsia"/>
          <w:b/>
        </w:rPr>
        <w:t>第七条</w:t>
      </w:r>
      <w:r>
        <w:rPr>
          <w:rFonts w:hint="eastAsia"/>
        </w:rPr>
        <w:t xml:space="preserve">  南水北调工程运行单位（以下简称运行单位）具体负责南水北调工程的运行管理。</w:t>
      </w:r>
    </w:p>
    <w:p w14:paraId="2C31EC8A">
      <w:r>
        <w:rPr>
          <w:rFonts w:hint="eastAsia"/>
        </w:rPr>
        <w:t>运行单位应当遵守本办法和有关水务、规划、建设、安全生产、质量监督、环境保护等法律、法规和规章，执行国家和本市技术规范的强制性要求，建立健全本单位有关工程保护的规章制度和操作规程并组织实施，宣传工程安全与保护知识，履行工程保护义务，接受政府及有关行政部门依法实施的监督，保障工程安全运行。</w:t>
      </w:r>
    </w:p>
    <w:p w14:paraId="588E8162">
      <w:pPr>
        <w:ind w:firstLine="422"/>
      </w:pPr>
      <w:r>
        <w:rPr>
          <w:rFonts w:hint="eastAsia"/>
          <w:b/>
        </w:rPr>
        <w:t>第八条</w:t>
      </w:r>
      <w:r>
        <w:rPr>
          <w:rFonts w:hint="eastAsia"/>
        </w:rPr>
        <w:t xml:space="preserve">  运行单位应当建立健全南水北调工程巡查养护制度，配备专门人员对工程进行日常巡查养护，如实记录巡查养护情况。</w:t>
      </w:r>
    </w:p>
    <w:p w14:paraId="5A07D35A">
      <w:r>
        <w:rPr>
          <w:rFonts w:hint="eastAsia"/>
        </w:rPr>
        <w:t>运行单位发现危害工程安全的隐患，应当及时处理；对工程存在的外部安全隐患自身排除确有困难的，应当向市南水北调工程主管部门报告。市南水北调工程主管部门接到报告后，应当及时处理。</w:t>
      </w:r>
    </w:p>
    <w:p w14:paraId="58B38388">
      <w:pPr>
        <w:ind w:firstLine="422"/>
      </w:pPr>
      <w:r>
        <w:rPr>
          <w:rFonts w:hint="eastAsia"/>
          <w:b/>
        </w:rPr>
        <w:t>第九条</w:t>
      </w:r>
      <w:r>
        <w:rPr>
          <w:rFonts w:hint="eastAsia"/>
        </w:rPr>
        <w:t xml:space="preserve">  运行单位应当定期对南水北调工程进行检测、维修，确保其处于良好状态。对工程安全风险较大的区段和场所，应当进行重点监测，采取有效措施防止安全事故的发生；对不符合安全要求的，应当及时改造、更新或者停止使用。</w:t>
      </w:r>
    </w:p>
    <w:p w14:paraId="012B0DAA">
      <w:pPr>
        <w:ind w:firstLine="422"/>
      </w:pPr>
      <w:r>
        <w:rPr>
          <w:rFonts w:hint="eastAsia"/>
          <w:b/>
        </w:rPr>
        <w:t>第十条</w:t>
      </w:r>
      <w:r>
        <w:rPr>
          <w:rFonts w:hint="eastAsia"/>
        </w:rPr>
        <w:t xml:space="preserve">  运行单位应当加强对巡线道路的养护，保证巡线道路完好、畅通。</w:t>
      </w:r>
    </w:p>
    <w:p w14:paraId="3675C7CF">
      <w:r>
        <w:rPr>
          <w:rFonts w:hint="eastAsia"/>
        </w:rPr>
        <w:t>在确保南水北调工程安全的前提下，运行单位可以允许社会车辆使用巡线道路，并根据实际需要对使用巡线道路提出要求。相关人员和车辆应当严格遵守使用要求。</w:t>
      </w:r>
    </w:p>
    <w:p w14:paraId="1A7AFD45">
      <w:pPr>
        <w:ind w:firstLine="422"/>
      </w:pPr>
      <w:r>
        <w:rPr>
          <w:rFonts w:hint="eastAsia"/>
          <w:b/>
        </w:rPr>
        <w:t>第十一条</w:t>
      </w:r>
      <w:r>
        <w:rPr>
          <w:rFonts w:hint="eastAsia"/>
        </w:rPr>
        <w:t xml:space="preserve">  运行单位对南水北调工程进行巡查养护、检测、维修等作业时，工程沿线的有关单位和个人应当予以配合。</w:t>
      </w:r>
    </w:p>
    <w:p w14:paraId="35E2DDF1">
      <w:r>
        <w:rPr>
          <w:rFonts w:hint="eastAsia"/>
        </w:rPr>
        <w:t>因工程巡查养护、检测、维修等作业给相关单位或者个人造成财产损失的，运行单位应当给予补偿。</w:t>
      </w:r>
    </w:p>
    <w:p w14:paraId="1766C7B6">
      <w:pPr>
        <w:ind w:firstLine="422"/>
      </w:pPr>
      <w:r>
        <w:rPr>
          <w:rFonts w:hint="eastAsia"/>
          <w:b/>
        </w:rPr>
        <w:t>第十二条</w:t>
      </w:r>
      <w:r>
        <w:rPr>
          <w:rFonts w:hint="eastAsia"/>
        </w:rPr>
        <w:t xml:space="preserve">  南水北调工程管涵中心线两侧和调压池、调节池、调蓄水库等调蓄工程合法使用土地的外边沿向外的限定区域，为南水北调工程保护范围。限定区域的具体范围，由市南水北调工程主管部门会同工程沿线区人民政府和有关行政部门，遵循确保工程安全、科学合理节约用地、保护工程沿线相关权利人权益的原则提出，报市人民政府批准后向社会公布施行。</w:t>
      </w:r>
    </w:p>
    <w:p w14:paraId="49FD8C55">
      <w:r>
        <w:rPr>
          <w:rFonts w:hint="eastAsia"/>
        </w:rPr>
        <w:t>运行单位应当对南水北调工程保护范围设置标志。任何单位和个人不得擅自移动、毁损、涂改工程标志。</w:t>
      </w:r>
    </w:p>
    <w:p w14:paraId="38666926">
      <w:pPr>
        <w:ind w:firstLine="422"/>
      </w:pPr>
      <w:r>
        <w:rPr>
          <w:rFonts w:hint="eastAsia"/>
          <w:b/>
        </w:rPr>
        <w:t>第十三条</w:t>
      </w:r>
      <w:r>
        <w:rPr>
          <w:rFonts w:hint="eastAsia"/>
        </w:rPr>
        <w:t xml:space="preserve">  任何单位和个人不得擅自开启、关闭闸、阀（井）或者采用移动、切割、打孔、砸撬、拆卸等手段损坏工程管涵及其附属设备设施。</w:t>
      </w:r>
    </w:p>
    <w:p w14:paraId="6F82D7D1">
      <w:pPr>
        <w:ind w:firstLine="422"/>
      </w:pPr>
      <w:r>
        <w:rPr>
          <w:rFonts w:hint="eastAsia"/>
          <w:b/>
        </w:rPr>
        <w:t>第十四条</w:t>
      </w:r>
      <w:r>
        <w:rPr>
          <w:rFonts w:hint="eastAsia"/>
        </w:rPr>
        <w:t>　在南水北调工程保护范围内，禁止下列危害工程安全的行为：</w:t>
      </w:r>
    </w:p>
    <w:p w14:paraId="1F923D4E">
      <w:bookmarkStart w:id="2685" w:name="_Toc428780831"/>
      <w:r>
        <w:rPr>
          <w:rFonts w:hint="eastAsia"/>
        </w:rPr>
        <w:t>（一）种植根系可能深达管涵埋设部位的植物；</w:t>
      </w:r>
      <w:bookmarkEnd w:id="2685"/>
    </w:p>
    <w:p w14:paraId="71B3D459">
      <w:r>
        <w:rPr>
          <w:rFonts w:hint="eastAsia"/>
        </w:rPr>
        <w:t>（二）爆破、打井、打桩、钻探、采石、采矿、取土、挖砂；</w:t>
      </w:r>
    </w:p>
    <w:p w14:paraId="09378375">
      <w:r>
        <w:rPr>
          <w:rFonts w:hint="eastAsia"/>
        </w:rPr>
        <w:t>（三）倾倒垃圾、废渣等固体废物，排放污水、废液等有毒有害化学物品；</w:t>
      </w:r>
    </w:p>
    <w:p w14:paraId="6B688E81">
      <w:r>
        <w:rPr>
          <w:rFonts w:hint="eastAsia"/>
        </w:rPr>
        <w:t>（四）擅自建设建筑物、构筑物，堆放超过管涵承受荷载设计标准的重物；</w:t>
      </w:r>
    </w:p>
    <w:p w14:paraId="2FF87AAF">
      <w:bookmarkStart w:id="2686" w:name="_Toc428780832"/>
      <w:r>
        <w:rPr>
          <w:rFonts w:hint="eastAsia"/>
        </w:rPr>
        <w:t>（五）行驶重型车辆，但在本办法实施前已通车的公路上行驶的除外；</w:t>
      </w:r>
      <w:bookmarkEnd w:id="2686"/>
    </w:p>
    <w:p w14:paraId="6C77B227">
      <w:r>
        <w:rPr>
          <w:rFonts w:hint="eastAsia"/>
        </w:rPr>
        <w:t>（六）其他可能危害工程安全的行为。</w:t>
      </w:r>
    </w:p>
    <w:p w14:paraId="1CF14E0A">
      <w:pPr>
        <w:ind w:firstLine="422"/>
      </w:pPr>
      <w:r>
        <w:rPr>
          <w:rFonts w:hint="eastAsia"/>
          <w:b/>
        </w:rPr>
        <w:t>第十五条</w:t>
      </w:r>
      <w:r>
        <w:rPr>
          <w:rFonts w:hint="eastAsia"/>
        </w:rPr>
        <w:t>　位于工程保护范围内的农用地，应当自本办法公布之日起维持既有土地用途和使用方式；非农用地，可以通过规划调整土地用途。农民、村集体或者其他相关权利人由此受到利益损失的，政府给予补偿。</w:t>
      </w:r>
    </w:p>
    <w:p w14:paraId="44F88C8C">
      <w:r>
        <w:rPr>
          <w:rFonts w:hint="eastAsia"/>
        </w:rPr>
        <w:t>具体补偿方式由市南水北调工程主管部门会同市财政、农业、园林绿化、规划、国土等有关行政部门和工程沿线区人民政府确定。</w:t>
      </w:r>
    </w:p>
    <w:p w14:paraId="78C87E41">
      <w:pPr>
        <w:ind w:firstLine="422"/>
      </w:pPr>
      <w:r>
        <w:rPr>
          <w:rFonts w:hint="eastAsia"/>
          <w:b/>
        </w:rPr>
        <w:t>第十六条</w:t>
      </w:r>
      <w:r>
        <w:rPr>
          <w:rFonts w:hint="eastAsia"/>
        </w:rPr>
        <w:t>　运行单位应当制定南水北调工程安全应急预案，配备抢险救援人员和设备，定期进行应急救援演练。</w:t>
      </w:r>
    </w:p>
    <w:p w14:paraId="154388B4">
      <w:r>
        <w:rPr>
          <w:rFonts w:hint="eastAsia"/>
        </w:rPr>
        <w:t>工程安全应急预案应当报市南水北调工程主管部门备案。</w:t>
      </w:r>
    </w:p>
    <w:p w14:paraId="7D419877">
      <w:pPr>
        <w:ind w:firstLine="422"/>
      </w:pPr>
      <w:r>
        <w:rPr>
          <w:rFonts w:hint="eastAsia"/>
          <w:b/>
        </w:rPr>
        <w:t>第十七条</w:t>
      </w:r>
      <w:r>
        <w:rPr>
          <w:rFonts w:hint="eastAsia"/>
        </w:rPr>
        <w:t>　新建穿、跨越南水北调工程的建设工程，应当符合南水北调工程的安全保护要求；需要运行单位增加保护设施的，由此产生的费用由相关工程建设单位承担。</w:t>
      </w:r>
    </w:p>
    <w:p w14:paraId="6925F975">
      <w:pPr>
        <w:ind w:firstLine="422"/>
      </w:pPr>
      <w:r>
        <w:rPr>
          <w:rFonts w:hint="eastAsia"/>
          <w:b/>
        </w:rPr>
        <w:t>第十八条</w:t>
      </w:r>
      <w:r>
        <w:rPr>
          <w:rFonts w:hint="eastAsia"/>
        </w:rPr>
        <w:t>　对危害南水北调工程安全的行为，任何单位和个人都有权向市南水北调工程主管部门或者当地区人民政府举报。</w:t>
      </w:r>
    </w:p>
    <w:p w14:paraId="297AF3B2">
      <w:r>
        <w:rPr>
          <w:rFonts w:hint="eastAsia"/>
        </w:rPr>
        <w:t>市南水北调工程主管部门或者有关区人民政府接到举报后，应当及时处理。</w:t>
      </w:r>
    </w:p>
    <w:p w14:paraId="6BC4D1D1">
      <w:pPr>
        <w:ind w:firstLine="422"/>
      </w:pPr>
      <w:r>
        <w:rPr>
          <w:rFonts w:hint="eastAsia"/>
          <w:b/>
        </w:rPr>
        <w:t>第十九条</w:t>
      </w:r>
      <w:r>
        <w:rPr>
          <w:rFonts w:hint="eastAsia"/>
        </w:rPr>
        <w:t>　市南水北调工程主管部门及其执法人员履行本办法规定的监督检查职责时，有权采取下列措施：</w:t>
      </w:r>
    </w:p>
    <w:p w14:paraId="2F5BB122">
      <w:r>
        <w:rPr>
          <w:rFonts w:hint="eastAsia"/>
        </w:rPr>
        <w:t>（一）进入现场调查取证，询问、了解有关情况；</w:t>
      </w:r>
    </w:p>
    <w:p w14:paraId="31D9D93A">
      <w:r>
        <w:rPr>
          <w:rFonts w:hint="eastAsia"/>
        </w:rPr>
        <w:t>（二）检查有关文件、证照等资料，并有权复制；</w:t>
      </w:r>
    </w:p>
    <w:p w14:paraId="405D6AAB">
      <w:pPr>
        <w:rPr>
          <w:rFonts w:hint="eastAsia" w:ascii="宋体" w:hAnsi="宋体" w:eastAsia="宋体" w:cs="宋体"/>
        </w:rPr>
      </w:pPr>
      <w:r>
        <w:rPr>
          <w:rFonts w:hint="eastAsia" w:ascii="宋体" w:hAnsi="宋体" w:eastAsia="宋体" w:cs="宋体"/>
        </w:rPr>
        <w:t>（三）责令停止违反本办法的行为、履行法定义务。</w:t>
      </w:r>
    </w:p>
    <w:p w14:paraId="5E3F14BF">
      <w:pPr>
        <w:rPr>
          <w:rFonts w:hint="eastAsia" w:ascii="宋体" w:hAnsi="宋体" w:eastAsia="宋体" w:cs="宋体"/>
        </w:rPr>
      </w:pPr>
      <w:r>
        <w:rPr>
          <w:rFonts w:hint="eastAsia" w:ascii="宋体" w:hAnsi="宋体" w:eastAsia="宋体" w:cs="宋体"/>
        </w:rPr>
        <w:t>执法人员在履行监督检查职责时，应当出示执法证件；有关单位或者个人应当给予配合，不得拒绝或者阻碍。</w:t>
      </w:r>
    </w:p>
    <w:p w14:paraId="53747482">
      <w:pPr>
        <w:ind w:firstLine="422"/>
        <w:rPr>
          <w:rFonts w:hint="eastAsia" w:ascii="宋体" w:hAnsi="宋体" w:eastAsia="宋体" w:cs="宋体"/>
        </w:rPr>
      </w:pPr>
      <w:r>
        <w:rPr>
          <w:rFonts w:hint="eastAsia" w:ascii="宋体" w:hAnsi="宋体" w:eastAsia="宋体" w:cs="宋体"/>
          <w:b/>
        </w:rPr>
        <w:t>第二十条</w:t>
      </w:r>
      <w:r>
        <w:rPr>
          <w:rFonts w:hint="eastAsia" w:ascii="宋体" w:hAnsi="宋体" w:eastAsia="宋体" w:cs="宋体"/>
        </w:rPr>
        <w:t>　违反本办法第十二条第二款规定的，由市南水北调工程主管部门责令限期改正，可处200元以上1000元以下罚款；逾期不改正的，由市南水北调工程主管部门采取相应补救措施，由此产生的费用由违法行为人承担。</w:t>
      </w:r>
    </w:p>
    <w:p w14:paraId="3D50A846">
      <w:pPr>
        <w:ind w:firstLine="422"/>
        <w:rPr>
          <w:rFonts w:hint="eastAsia" w:ascii="宋体" w:hAnsi="宋体" w:eastAsia="宋体" w:cs="宋体"/>
        </w:rPr>
      </w:pPr>
      <w:r>
        <w:rPr>
          <w:rFonts w:hint="eastAsia" w:ascii="宋体" w:hAnsi="宋体" w:eastAsia="宋体" w:cs="宋体"/>
          <w:b/>
        </w:rPr>
        <w:t>第二十一条</w:t>
      </w:r>
      <w:r>
        <w:rPr>
          <w:rFonts w:hint="eastAsia" w:ascii="宋体" w:hAnsi="宋体" w:eastAsia="宋体" w:cs="宋体"/>
        </w:rPr>
        <w:t>　违反本办法第十三条规定的，由市南水北调工程主管部门责令改正，处3000元以上10万元以下罚款。</w:t>
      </w:r>
    </w:p>
    <w:p w14:paraId="1CA42204">
      <w:pPr>
        <w:ind w:firstLine="422"/>
        <w:rPr>
          <w:rFonts w:hint="eastAsia" w:ascii="宋体" w:hAnsi="宋体" w:eastAsia="宋体" w:cs="宋体"/>
        </w:rPr>
      </w:pPr>
      <w:r>
        <w:rPr>
          <w:rFonts w:hint="eastAsia" w:ascii="宋体" w:hAnsi="宋体" w:eastAsia="宋体" w:cs="宋体"/>
          <w:b/>
        </w:rPr>
        <w:t>第二十二条</w:t>
      </w:r>
      <w:r>
        <w:rPr>
          <w:rFonts w:hint="eastAsia" w:ascii="宋体" w:hAnsi="宋体" w:eastAsia="宋体" w:cs="宋体"/>
        </w:rPr>
        <w:t>　违反本办法第十四条第（一）项、第（二）项、第（三）项、第（四）项或者第（六）项规定的，由市南水北调工程主管部门责令限期改正，可处3000元以上10万元以下罚款；逾期不改正的，由市南水北调工程主管部门采取相应补救措施，由此产生的费用由违法行为人承担。</w:t>
      </w:r>
    </w:p>
    <w:p w14:paraId="1AD0F806">
      <w:pPr>
        <w:ind w:firstLine="422"/>
        <w:rPr>
          <w:rFonts w:hint="eastAsia" w:ascii="宋体" w:hAnsi="宋体" w:eastAsia="宋体" w:cs="宋体"/>
        </w:rPr>
      </w:pPr>
      <w:r>
        <w:rPr>
          <w:rFonts w:hint="eastAsia" w:ascii="宋体" w:hAnsi="宋体" w:eastAsia="宋体" w:cs="宋体"/>
          <w:b/>
        </w:rPr>
        <w:t>第二十三条</w:t>
      </w:r>
      <w:r>
        <w:rPr>
          <w:rFonts w:hint="eastAsia" w:ascii="宋体" w:hAnsi="宋体" w:eastAsia="宋体" w:cs="宋体"/>
        </w:rPr>
        <w:t>　违反本办法第十四条第（五）项规定的，由市南水北调工程主管部门责令改正，可处200元以上1000元以下罚款。</w:t>
      </w:r>
    </w:p>
    <w:p w14:paraId="199E20E8">
      <w:pPr>
        <w:ind w:firstLine="422"/>
        <w:rPr>
          <w:rFonts w:hint="eastAsia" w:ascii="宋体" w:hAnsi="宋体" w:eastAsia="宋体" w:cs="宋体"/>
        </w:rPr>
      </w:pPr>
      <w:r>
        <w:rPr>
          <w:rFonts w:hint="eastAsia" w:ascii="宋体" w:hAnsi="宋体" w:eastAsia="宋体" w:cs="宋体"/>
          <w:b/>
        </w:rPr>
        <w:t>第二十四条</w:t>
      </w:r>
      <w:r>
        <w:rPr>
          <w:rFonts w:hint="eastAsia" w:ascii="宋体" w:hAnsi="宋体" w:eastAsia="宋体" w:cs="宋体"/>
        </w:rPr>
        <w:t>　有违反本办法规定的行为，对南水北调工程附属设备设施造成损坏的，违法行为人应当依法向运行单位承担民事赔偿责任；构成违反治安管理行为的，由公安机关依法给予治安管理处罚；构成犯罪的，依法追究刑事责任。</w:t>
      </w:r>
    </w:p>
    <w:p w14:paraId="6A493EA0">
      <w:pPr>
        <w:ind w:firstLine="422"/>
        <w:rPr>
          <w:rFonts w:hint="eastAsia" w:ascii="宋体" w:hAnsi="宋体" w:eastAsia="宋体" w:cs="宋体"/>
        </w:rPr>
      </w:pPr>
      <w:r>
        <w:rPr>
          <w:rFonts w:hint="eastAsia" w:ascii="宋体" w:hAnsi="宋体" w:eastAsia="宋体" w:cs="宋体"/>
          <w:b/>
        </w:rPr>
        <w:t>第二十五条</w:t>
      </w:r>
      <w:r>
        <w:rPr>
          <w:rFonts w:hint="eastAsia" w:ascii="宋体" w:hAnsi="宋体" w:eastAsia="宋体" w:cs="宋体"/>
        </w:rPr>
        <w:t>　运行单位不履行巡查养护、检测和维修、巡线道路保护、应急演练等本办法规定职责的，由市南水北调工程主管部门责令限期改正；逾期不改正或者造成不良后果的，对直接负责的主管人员和其他直接责任人员依法给予行政处分。</w:t>
      </w:r>
    </w:p>
    <w:p w14:paraId="7BC2D125">
      <w:pPr>
        <w:ind w:firstLine="422"/>
        <w:rPr>
          <w:rFonts w:hint="eastAsia" w:ascii="宋体" w:hAnsi="宋体" w:eastAsia="宋体" w:cs="宋体"/>
        </w:rPr>
      </w:pPr>
      <w:r>
        <w:rPr>
          <w:rFonts w:hint="eastAsia" w:ascii="宋体" w:hAnsi="宋体" w:eastAsia="宋体" w:cs="宋体"/>
          <w:b/>
        </w:rPr>
        <w:t>第二十六条</w:t>
      </w:r>
      <w:r>
        <w:rPr>
          <w:rFonts w:hint="eastAsia" w:ascii="宋体" w:hAnsi="宋体" w:eastAsia="宋体" w:cs="宋体"/>
        </w:rPr>
        <w:t>　市南水北调工程主管部门或者其他有关行政部门及其工作人员玩忽职守、滥用职权、徇私舞弊的，对直接负责的主管人员和其他直接责任人员依法给予行政处分；构成犯罪的，依法追究刑事责任。</w:t>
      </w:r>
    </w:p>
    <w:p w14:paraId="580E56A2">
      <w:pPr>
        <w:ind w:firstLine="422"/>
        <w:rPr>
          <w:rFonts w:hint="eastAsia" w:ascii="宋体" w:hAnsi="宋体" w:eastAsia="宋体" w:cs="宋体"/>
        </w:rPr>
      </w:pPr>
      <w:r>
        <w:rPr>
          <w:rFonts w:hint="eastAsia" w:ascii="宋体" w:hAnsi="宋体" w:eastAsia="宋体" w:cs="宋体"/>
          <w:b/>
        </w:rPr>
        <w:t>第二十七条</w:t>
      </w:r>
      <w:r>
        <w:rPr>
          <w:rFonts w:hint="eastAsia" w:ascii="宋体" w:hAnsi="宋体" w:eastAsia="宋体" w:cs="宋体"/>
        </w:rPr>
        <w:t>　本办法自公布之日起施行。</w:t>
      </w:r>
    </w:p>
    <w:p w14:paraId="2D2BEED2">
      <w:pPr>
        <w:pStyle w:val="3"/>
        <w:pageBreakBefore/>
      </w:pPr>
      <w:bookmarkStart w:id="2687" w:name="_Toc428780833"/>
      <w:bookmarkStart w:id="2688" w:name="_Toc428781930"/>
      <w:bookmarkStart w:id="2689" w:name="_Toc426467182"/>
      <w:r>
        <w:rPr>
          <w:rFonts w:hint="eastAsia"/>
        </w:rPr>
        <w:t>（五）能  源</w:t>
      </w:r>
      <w:bookmarkEnd w:id="2687"/>
      <w:bookmarkEnd w:id="2688"/>
      <w:bookmarkEnd w:id="2689"/>
    </w:p>
    <w:p w14:paraId="29B78F78"/>
    <w:p w14:paraId="6973E312">
      <w:pPr>
        <w:pStyle w:val="4"/>
      </w:pPr>
      <w:bookmarkStart w:id="2690" w:name="_Toc426467183"/>
      <w:bookmarkStart w:id="2691" w:name="_Toc428780834"/>
      <w:bookmarkStart w:id="2692" w:name="_Toc428781931"/>
      <w:r>
        <w:rPr>
          <w:rFonts w:hint="eastAsia"/>
        </w:rPr>
        <w:t>北京市燃气管理条例</w:t>
      </w:r>
      <w:bookmarkEnd w:id="2690"/>
      <w:bookmarkEnd w:id="2691"/>
      <w:bookmarkEnd w:id="2692"/>
    </w:p>
    <w:p w14:paraId="7AE394DE">
      <w:pPr>
        <w:ind w:left="630" w:leftChars="300" w:right="630" w:rightChars="300"/>
        <w:rPr>
          <w:rFonts w:ascii="楷体" w:hAnsi="楷体" w:eastAsia="楷体"/>
        </w:rPr>
      </w:pPr>
      <w:r>
        <w:rPr>
          <w:rFonts w:hint="eastAsia" w:ascii="楷体" w:hAnsi="楷体" w:eastAsia="楷体"/>
        </w:rPr>
        <w:t>（2006年11月3日北京市第十二届人民代表大会常务委员会第三十二次会议通过）</w:t>
      </w:r>
    </w:p>
    <w:p w14:paraId="7A2B260E"/>
    <w:p w14:paraId="506A6322">
      <w:pPr>
        <w:ind w:firstLine="0" w:firstLineChars="0"/>
        <w:jc w:val="center"/>
        <w:rPr>
          <w:b/>
          <w:sz w:val="28"/>
        </w:rPr>
      </w:pPr>
      <w:r>
        <w:rPr>
          <w:rFonts w:hint="eastAsia"/>
          <w:b/>
          <w:sz w:val="28"/>
        </w:rPr>
        <w:t>第一章　总　则</w:t>
      </w:r>
    </w:p>
    <w:p w14:paraId="034D782A"/>
    <w:p w14:paraId="5B70A79A">
      <w:pPr>
        <w:ind w:firstLine="422"/>
      </w:pPr>
      <w:r>
        <w:rPr>
          <w:rFonts w:hint="eastAsia"/>
          <w:b/>
        </w:rPr>
        <w:t>第一条</w:t>
      </w:r>
      <w:r>
        <w:rPr>
          <w:rFonts w:hint="eastAsia"/>
        </w:rPr>
        <w:t xml:space="preserve">  为加强本市燃气管理，维护燃气市场秩序，保障社会公共安全和公共利益，促进燃气事业发展，制定本条例。</w:t>
      </w:r>
    </w:p>
    <w:p w14:paraId="0E3083A5">
      <w:pPr>
        <w:ind w:firstLine="422"/>
      </w:pPr>
      <w:r>
        <w:rPr>
          <w:rFonts w:hint="eastAsia"/>
          <w:b/>
        </w:rPr>
        <w:t>第二条</w:t>
      </w:r>
      <w:r>
        <w:rPr>
          <w:rFonts w:hint="eastAsia"/>
        </w:rPr>
        <w:t xml:space="preserve">  本条例适用于本市行政区域内燃气的规划、供应和使用，燃气设施的建设以及其他相关管理活动。</w:t>
      </w:r>
    </w:p>
    <w:p w14:paraId="3C357715">
      <w:r>
        <w:rPr>
          <w:rFonts w:hint="eastAsia"/>
        </w:rPr>
        <w:t>法律、行政法规另有规定的，从其规定。</w:t>
      </w:r>
    </w:p>
    <w:p w14:paraId="2032D6AE">
      <w:pPr>
        <w:ind w:firstLine="422"/>
      </w:pPr>
      <w:r>
        <w:rPr>
          <w:rFonts w:hint="eastAsia"/>
          <w:b/>
        </w:rPr>
        <w:t>第三条</w:t>
      </w:r>
      <w:r>
        <w:rPr>
          <w:rFonts w:hint="eastAsia"/>
        </w:rPr>
        <w:t xml:space="preserve">  市市政管理行政部门是本市燃气行政管理部门，主管本市燃气管理工作。</w:t>
      </w:r>
    </w:p>
    <w:p w14:paraId="17258360">
      <w:r>
        <w:rPr>
          <w:rFonts w:hint="eastAsia"/>
        </w:rPr>
        <w:t>区、县燃气行政管理部门负责本行政区域内的燃气管理工作。</w:t>
      </w:r>
    </w:p>
    <w:p w14:paraId="4A62CA71">
      <w:r>
        <w:rPr>
          <w:rFonts w:hint="eastAsia"/>
        </w:rPr>
        <w:t>发展改革、规划、建设、质量技术监督、安全生产监督、公安消防、环境保护等行政管理部门按照各自的职责，做好相关工作。</w:t>
      </w:r>
    </w:p>
    <w:p w14:paraId="31B39985">
      <w:pPr>
        <w:ind w:firstLine="422"/>
      </w:pPr>
      <w:r>
        <w:rPr>
          <w:rFonts w:hint="eastAsia"/>
          <w:b/>
        </w:rPr>
        <w:t>第四条</w:t>
      </w:r>
      <w:r>
        <w:rPr>
          <w:rFonts w:hint="eastAsia"/>
        </w:rPr>
        <w:t xml:space="preserve">  本市燃气管理遵循安全第一、预防为主、统一规划、协调发展、保障供应、节能高效的原则。</w:t>
      </w:r>
    </w:p>
    <w:p w14:paraId="71E13FB5">
      <w:pPr>
        <w:ind w:firstLine="422"/>
      </w:pPr>
      <w:r>
        <w:rPr>
          <w:rFonts w:hint="eastAsia"/>
          <w:b/>
        </w:rPr>
        <w:t>第五条</w:t>
      </w:r>
      <w:r>
        <w:rPr>
          <w:rFonts w:hint="eastAsia"/>
        </w:rPr>
        <w:t xml:space="preserve">  本市鼓励燃气科学技术研究，推广安全、环保、节能的先进技术应用。</w:t>
      </w:r>
    </w:p>
    <w:p w14:paraId="3ADA9BEF">
      <w:r>
        <w:rPr>
          <w:rFonts w:hint="eastAsia"/>
        </w:rPr>
        <w:t>本市各级人民政府、燃气行政管理部门以及燃气供应单位应当加强燃气安全知识宣传和普及工作，增强社会公众的燃气安全意识，提高防范和应对燃气事故的能力。</w:t>
      </w:r>
    </w:p>
    <w:p w14:paraId="3DB92A76"/>
    <w:p w14:paraId="05C91DAB">
      <w:pPr>
        <w:ind w:firstLine="0" w:firstLineChars="0"/>
        <w:jc w:val="center"/>
        <w:rPr>
          <w:b/>
          <w:sz w:val="28"/>
        </w:rPr>
      </w:pPr>
      <w:r>
        <w:rPr>
          <w:rFonts w:hint="eastAsia"/>
          <w:b/>
          <w:sz w:val="28"/>
        </w:rPr>
        <w:t>第二章  规划与建设</w:t>
      </w:r>
    </w:p>
    <w:p w14:paraId="5A14C03A"/>
    <w:p w14:paraId="3D84CDD1">
      <w:pPr>
        <w:ind w:firstLine="422"/>
      </w:pPr>
      <w:r>
        <w:rPr>
          <w:rFonts w:hint="eastAsia"/>
          <w:b/>
        </w:rPr>
        <w:t>第六条</w:t>
      </w:r>
      <w:r>
        <w:rPr>
          <w:rFonts w:hint="eastAsia"/>
        </w:rPr>
        <w:t xml:space="preserve">  市和区县人民政府应当将燃气事业的发展纳入国民经济和社会发展规划。</w:t>
      </w:r>
    </w:p>
    <w:p w14:paraId="4BB9BA9A">
      <w:r>
        <w:rPr>
          <w:rFonts w:hint="eastAsia"/>
        </w:rPr>
        <w:t>市燃气行政管理部门应当会同市发展改革、规划行政管理部门，根据本市城市总体规划和经济社会发展的需要，组织编制本市燃气专业规划，报市人民政府批准后实施。燃气专业规划涉及城市空间资源规划的内容，应当纳入城市规划。</w:t>
      </w:r>
    </w:p>
    <w:p w14:paraId="563B05C5">
      <w:pPr>
        <w:ind w:firstLine="422"/>
      </w:pPr>
      <w:r>
        <w:rPr>
          <w:rFonts w:hint="eastAsia"/>
          <w:b/>
        </w:rPr>
        <w:t>第七条</w:t>
      </w:r>
      <w:r>
        <w:rPr>
          <w:rFonts w:hint="eastAsia"/>
        </w:rPr>
        <w:t xml:space="preserve">  本市应当制定政策，采取措施，多渠道保障气源供应，加强用气管理，建立燃气供应和需求的宏观调控机制。</w:t>
      </w:r>
    </w:p>
    <w:p w14:paraId="413BC49E">
      <w:r>
        <w:rPr>
          <w:rFonts w:hint="eastAsia"/>
        </w:rPr>
        <w:t>市燃气行政管理部门和市发展改革行政管理部门按照各自职责负责协调天然气气源供应，平衡全市用气需求，制定中长期及年度用气计划，并按照年度用气计划分配天然气指标，保障天然气的安全、稳定供应。</w:t>
      </w:r>
    </w:p>
    <w:p w14:paraId="3865383C">
      <w:pPr>
        <w:ind w:firstLine="422"/>
      </w:pPr>
      <w:r>
        <w:rPr>
          <w:rFonts w:hint="eastAsia"/>
          <w:b/>
        </w:rPr>
        <w:t>第八条</w:t>
      </w:r>
      <w:r>
        <w:rPr>
          <w:rFonts w:hint="eastAsia"/>
        </w:rPr>
        <w:t xml:space="preserve">  列入城市规划的燃气设施建设用地，未经法定程序调整规划，不得改变用途。</w:t>
      </w:r>
    </w:p>
    <w:p w14:paraId="0220AE59">
      <w:pPr>
        <w:ind w:firstLine="422"/>
      </w:pPr>
      <w:r>
        <w:rPr>
          <w:rFonts w:hint="eastAsia"/>
          <w:b/>
        </w:rPr>
        <w:t>第九条</w:t>
      </w:r>
      <w:r>
        <w:rPr>
          <w:rFonts w:hint="eastAsia"/>
        </w:rPr>
        <w:t xml:space="preserve">  新建、改建住宅建设项目，开发建设单位应当会同燃气供应企业确定燃气供应方案。燃气供应方案应当包括燃气供应方式、配套设施建设规划、过渡性燃气供应措施等内容。燃气供应方案应当符合规划要求。</w:t>
      </w:r>
    </w:p>
    <w:p w14:paraId="7E2CF76F">
      <w:r>
        <w:rPr>
          <w:rFonts w:hint="eastAsia"/>
        </w:rPr>
        <w:t>开发建设单位应当公开燃气供应方案，并在新建、改建住宅建设项目的房屋销售合同中明确燃气供应方式。</w:t>
      </w:r>
    </w:p>
    <w:p w14:paraId="1E9543AB">
      <w:pPr>
        <w:ind w:firstLine="422"/>
      </w:pPr>
      <w:r>
        <w:rPr>
          <w:rFonts w:hint="eastAsia"/>
          <w:b/>
        </w:rPr>
        <w:t>第十条</w:t>
      </w:r>
      <w:r>
        <w:rPr>
          <w:rFonts w:hint="eastAsia"/>
        </w:rPr>
        <w:t xml:space="preserve">  新建、改建住宅项目的开发建设单位应当根据燃气供应方案，按照国家和本市的有关规定配套建设燃气设施。</w:t>
      </w:r>
    </w:p>
    <w:p w14:paraId="3387CE8A">
      <w:r>
        <w:rPr>
          <w:rFonts w:hint="eastAsia"/>
        </w:rPr>
        <w:t>配套燃气设施应当与主体工程同时设计、同时施工、同时验收。</w:t>
      </w:r>
    </w:p>
    <w:p w14:paraId="3053A0AE">
      <w:pPr>
        <w:ind w:firstLine="422"/>
      </w:pPr>
      <w:r>
        <w:rPr>
          <w:rFonts w:hint="eastAsia"/>
          <w:b/>
        </w:rPr>
        <w:t>第十一条</w:t>
      </w:r>
      <w:r>
        <w:rPr>
          <w:rFonts w:hint="eastAsia"/>
        </w:rPr>
        <w:t xml:space="preserve">  发展改革部门审批燃气工程建设项目时，应当征求燃气行政管理部门等相关行政管理部门的意见。</w:t>
      </w:r>
    </w:p>
    <w:p w14:paraId="6332BF89">
      <w:r>
        <w:rPr>
          <w:rFonts w:hint="eastAsia"/>
        </w:rPr>
        <w:t>规划行政管理部门对燃气工程建设项目进行规划审查时，应当征求燃气、公安消防、质量技术监督等相关行政管理部门的意见。</w:t>
      </w:r>
    </w:p>
    <w:p w14:paraId="56AA5974">
      <w:pPr>
        <w:ind w:firstLine="422"/>
      </w:pPr>
      <w:r>
        <w:rPr>
          <w:rFonts w:hint="eastAsia"/>
          <w:b/>
        </w:rPr>
        <w:t>第十二条</w:t>
      </w:r>
      <w:r>
        <w:rPr>
          <w:rFonts w:hint="eastAsia"/>
        </w:rPr>
        <w:t xml:space="preserve">  从事燃气工程勘察、设计、施工、监理活动的单位应当具有相应的资质，并在其资质等级范围内依法从事作业活动。</w:t>
      </w:r>
    </w:p>
    <w:p w14:paraId="6000BC8F">
      <w:r>
        <w:rPr>
          <w:rFonts w:hint="eastAsia"/>
        </w:rPr>
        <w:t>燃气工程的设计应当执行国家和本市有关标准，并符合景观环境和方便用户的要求。</w:t>
      </w:r>
    </w:p>
    <w:p w14:paraId="434127C3">
      <w:r>
        <w:rPr>
          <w:rFonts w:hint="eastAsia"/>
        </w:rPr>
        <w:t>燃气工程的建设单位应当按照国家和本市的规定，实施工程质量监督、组织竣工验收。</w:t>
      </w:r>
    </w:p>
    <w:p w14:paraId="3B6C50BD">
      <w:pPr>
        <w:ind w:firstLine="422"/>
      </w:pPr>
      <w:r>
        <w:rPr>
          <w:rFonts w:hint="eastAsia"/>
          <w:b/>
        </w:rPr>
        <w:t>第十三条</w:t>
      </w:r>
      <w:r>
        <w:rPr>
          <w:rFonts w:hint="eastAsia"/>
        </w:rPr>
        <w:t xml:space="preserve">  燃气工程的建设单位应当严格按照国家和本市有关档案管理的规定，收</w:t>
      </w:r>
      <w:r>
        <w:rPr>
          <w:rFonts w:hint="eastAsia" w:ascii="宋体" w:hAnsi="宋体" w:eastAsia="宋体" w:cs="宋体"/>
        </w:rPr>
        <w:t>集、整理项目建设过程中各环节的文件资，建立健全项目建设档案，并在项目建设竣工验收后6</w:t>
      </w:r>
      <w:r>
        <w:rPr>
          <w:rFonts w:hint="eastAsia"/>
        </w:rPr>
        <w:t>个月内向城建档案管理部门移交齐全、准确的项目建设档案。</w:t>
      </w:r>
    </w:p>
    <w:p w14:paraId="37ECE2C3"/>
    <w:p w14:paraId="22A78500">
      <w:pPr>
        <w:ind w:firstLine="0" w:firstLineChars="0"/>
        <w:jc w:val="center"/>
        <w:rPr>
          <w:b/>
          <w:sz w:val="28"/>
        </w:rPr>
      </w:pPr>
      <w:r>
        <w:rPr>
          <w:rFonts w:hint="eastAsia"/>
          <w:b/>
          <w:sz w:val="28"/>
        </w:rPr>
        <w:t>第三章  燃气供应与使用</w:t>
      </w:r>
    </w:p>
    <w:p w14:paraId="4AD52D9D"/>
    <w:p w14:paraId="0B0ADAC4">
      <w:pPr>
        <w:ind w:firstLine="422"/>
      </w:pPr>
      <w:r>
        <w:rPr>
          <w:rFonts w:hint="eastAsia"/>
          <w:b/>
        </w:rPr>
        <w:t>第十四条</w:t>
      </w:r>
      <w:r>
        <w:rPr>
          <w:rFonts w:hint="eastAsia"/>
        </w:rPr>
        <w:t>　在本市行政区域内从事燃气供应经营活动的，应当取得燃气行政管理部门颁发的燃气经营许可证。</w:t>
      </w:r>
    </w:p>
    <w:p w14:paraId="22396307">
      <w:r>
        <w:rPr>
          <w:rFonts w:hint="eastAsia"/>
        </w:rPr>
        <w:t>取得燃气经营许可证应当具备下列条件：</w:t>
      </w:r>
    </w:p>
    <w:p w14:paraId="585749C3">
      <w:bookmarkStart w:id="2693" w:name="_Toc428780835"/>
      <w:r>
        <w:rPr>
          <w:rFonts w:hint="eastAsia"/>
        </w:rPr>
        <w:t>（一）建设项目符合燃气专业规划；</w:t>
      </w:r>
      <w:bookmarkEnd w:id="2693"/>
    </w:p>
    <w:p w14:paraId="68D09F50">
      <w:r>
        <w:rPr>
          <w:rFonts w:hint="eastAsia"/>
        </w:rPr>
        <w:t>（二）有稳和符合国家标准的燃气气源，并建立燃气气质检测制度；</w:t>
      </w:r>
    </w:p>
    <w:p w14:paraId="24E74F13">
      <w:r>
        <w:rPr>
          <w:rFonts w:hint="eastAsia"/>
        </w:rPr>
        <w:t>（三）经营场所、燃气设施符合国家和本市的相关规定，并取得公安消防部门的消防安全检查意见；</w:t>
      </w:r>
    </w:p>
    <w:p w14:paraId="6B823169">
      <w:r>
        <w:rPr>
          <w:rFonts w:hint="eastAsia"/>
        </w:rPr>
        <w:t>（四）从事管理、技术和操作等工作的人员，其配置应当与经营规模相适应，符合国家和本市的有关专业培训、考核要求，其中企业主要负责人和安全管理人员，应当依法通过燃气安全生产知识和管理能力考核；</w:t>
      </w:r>
    </w:p>
    <w:p w14:paraId="560641A6">
      <w:bookmarkStart w:id="2694" w:name="_Toc428780836"/>
      <w:r>
        <w:rPr>
          <w:rFonts w:hint="eastAsia"/>
        </w:rPr>
        <w:t>（五）具有与业务规模相适应的偿债和抗风险能力；</w:t>
      </w:r>
      <w:bookmarkEnd w:id="2694"/>
    </w:p>
    <w:p w14:paraId="358B6A81">
      <w:r>
        <w:rPr>
          <w:rFonts w:hint="eastAsia"/>
        </w:rPr>
        <w:t>（六）有完善的经营管理体系和安全管理制度；</w:t>
      </w:r>
    </w:p>
    <w:p w14:paraId="7110AF65">
      <w:bookmarkStart w:id="2695" w:name="_Toc428780837"/>
      <w:r>
        <w:rPr>
          <w:rFonts w:hint="eastAsia"/>
        </w:rPr>
        <w:t>（七）有健全的燃气应急预案，具有与供气规模相适应的抢险能力；</w:t>
      </w:r>
      <w:bookmarkEnd w:id="2695"/>
    </w:p>
    <w:p w14:paraId="7F005B4E">
      <w:r>
        <w:rPr>
          <w:rFonts w:hint="eastAsia"/>
        </w:rPr>
        <w:t>（八）有安全评价机构出具的安全评价报告，并达到安全运行的要求；</w:t>
      </w:r>
    </w:p>
    <w:p w14:paraId="62A4E6AC">
      <w:r>
        <w:rPr>
          <w:rFonts w:hint="eastAsia"/>
        </w:rPr>
        <w:t>（九）从事瓶装液化石油气供应经营活动的企业应当建立气瓶档案管理制度，其中从事充装作业的企业还应当建立气瓶充装质量保证体系，并具有残液回收处置措施。</w:t>
      </w:r>
    </w:p>
    <w:p w14:paraId="1AEA7F22">
      <w:pPr>
        <w:rPr>
          <w:rFonts w:hint="eastAsia" w:ascii="宋体" w:hAnsi="宋体" w:eastAsia="宋体" w:cs="宋体"/>
        </w:rPr>
      </w:pPr>
      <w:r>
        <w:rPr>
          <w:rFonts w:hint="eastAsia"/>
        </w:rPr>
        <w:t>燃气行政管理部门应当自受理燃气经营许可申请之日</w:t>
      </w:r>
      <w:r>
        <w:rPr>
          <w:rFonts w:hint="eastAsia" w:ascii="宋体" w:hAnsi="宋体" w:eastAsia="宋体" w:cs="宋体"/>
        </w:rPr>
        <w:t>起20个工作日内，依照法定程序作出行政许可决定。</w:t>
      </w:r>
    </w:p>
    <w:p w14:paraId="0796A3DF">
      <w:pPr>
        <w:rPr>
          <w:rFonts w:hint="eastAsia" w:ascii="宋体" w:hAnsi="宋体" w:eastAsia="宋体" w:cs="宋体"/>
        </w:rPr>
      </w:pPr>
      <w:r>
        <w:rPr>
          <w:rFonts w:hint="eastAsia" w:ascii="宋体" w:hAnsi="宋体" w:eastAsia="宋体" w:cs="宋体"/>
        </w:rPr>
        <w:t>燃气供应企业应当按照燃气经营许可决定的范围从事经营活动。</w:t>
      </w:r>
    </w:p>
    <w:p w14:paraId="048D8EE4">
      <w:pPr>
        <w:ind w:firstLine="422"/>
      </w:pPr>
      <w:r>
        <w:rPr>
          <w:rFonts w:hint="eastAsia" w:ascii="宋体" w:hAnsi="宋体" w:eastAsia="宋体" w:cs="宋体"/>
          <w:b/>
        </w:rPr>
        <w:t>第十五条</w:t>
      </w:r>
      <w:r>
        <w:rPr>
          <w:rFonts w:hint="eastAsia" w:ascii="宋体" w:hAnsi="宋体" w:eastAsia="宋体" w:cs="宋体"/>
        </w:rPr>
        <w:t>　实施燃气特许经营的，特许经营者或者按照特许经营协</w:t>
      </w:r>
      <w:r>
        <w:rPr>
          <w:rFonts w:hint="eastAsia"/>
        </w:rPr>
        <w:t>议成立的项目公司应当取得燃气经营许可。燃气行政管理部门在办理燃气经营许可手续时，对于特许经营协议签订时已审定的内容，不再作重复审查，对其他内容的审查结果不应当导致特许经营协议内容的实质性变更。</w:t>
      </w:r>
    </w:p>
    <w:p w14:paraId="62D32BA1">
      <w:pPr>
        <w:ind w:firstLine="422"/>
      </w:pPr>
      <w:r>
        <w:rPr>
          <w:rFonts w:hint="eastAsia"/>
          <w:b/>
        </w:rPr>
        <w:t>第十六条</w:t>
      </w:r>
      <w:r>
        <w:rPr>
          <w:rFonts w:hint="eastAsia"/>
        </w:rPr>
        <w:t>　市市政管理行政部门应当会同有关部门制定本市燃气管理、服务的标准和规范。</w:t>
      </w:r>
    </w:p>
    <w:p w14:paraId="16BDB4BC">
      <w:pPr>
        <w:ind w:firstLine="422"/>
      </w:pPr>
      <w:r>
        <w:rPr>
          <w:rFonts w:hint="eastAsia"/>
          <w:b/>
        </w:rPr>
        <w:t>第十七条</w:t>
      </w:r>
      <w:r>
        <w:rPr>
          <w:rFonts w:hint="eastAsia"/>
        </w:rPr>
        <w:t>　燃气行政管理部门应当建立健全监督管理制度，依据有关法律、法规、规章、规划、标准和规范，对燃气供应企业进行监督检查；向社会公布举报和投诉电话、信箱和电子邮件地址，并受理有关燃气安全、燃气质量、收费标准和服务质量的举报和投诉。</w:t>
      </w:r>
    </w:p>
    <w:p w14:paraId="676D2BD8">
      <w:r>
        <w:rPr>
          <w:rFonts w:hint="eastAsia"/>
        </w:rPr>
        <w:t>燃气行政管理部门应当建立许可评价制度，对燃气供应企业实施燃气经营许可的情况进行评价。</w:t>
      </w:r>
    </w:p>
    <w:p w14:paraId="27349E6C">
      <w:pPr>
        <w:ind w:firstLine="422"/>
      </w:pPr>
      <w:r>
        <w:rPr>
          <w:rFonts w:hint="eastAsia"/>
          <w:b/>
        </w:rPr>
        <w:t>第十八条</w:t>
      </w:r>
      <w:r>
        <w:rPr>
          <w:rFonts w:hint="eastAsia"/>
        </w:rPr>
        <w:t>　燃气供应单位应当向用户提供安全、稳定、质量合格和价格合理的服务。</w:t>
      </w:r>
    </w:p>
    <w:p w14:paraId="66AACB59">
      <w:r>
        <w:rPr>
          <w:rFonts w:hint="eastAsia"/>
        </w:rPr>
        <w:t>燃气供应企业未经燃气行政管理部门的批准，不得擅自停业、歇业。确需停业、歇业的，应当事先对供应范围内的用户做出妥善安排。</w:t>
      </w:r>
    </w:p>
    <w:p w14:paraId="1B5653E1">
      <w:pPr>
        <w:ind w:firstLine="422"/>
      </w:pPr>
      <w:r>
        <w:rPr>
          <w:rFonts w:hint="eastAsia"/>
          <w:b/>
        </w:rPr>
        <w:t>第十九条</w:t>
      </w:r>
      <w:r>
        <w:rPr>
          <w:rFonts w:hint="eastAsia"/>
        </w:rPr>
        <w:t>　燃气供应单位应当建立和完善各项安全保障制度，并遵守下列规定：</w:t>
      </w:r>
    </w:p>
    <w:p w14:paraId="39FFFC66">
      <w:bookmarkStart w:id="2696" w:name="_Toc428780838"/>
      <w:r>
        <w:rPr>
          <w:rFonts w:hint="eastAsia"/>
        </w:rPr>
        <w:t>（一）执行国家和本市对燃气设施运行、维护和抢修的有关规定；</w:t>
      </w:r>
      <w:bookmarkEnd w:id="2696"/>
    </w:p>
    <w:p w14:paraId="5FA97D70">
      <w:r>
        <w:rPr>
          <w:rFonts w:hint="eastAsia"/>
        </w:rPr>
        <w:t>（二）与气源供应企业签订长期和年度供应合同，明确供气保障方案；</w:t>
      </w:r>
    </w:p>
    <w:p w14:paraId="23E957C8">
      <w:r>
        <w:rPr>
          <w:rFonts w:hint="eastAsia"/>
        </w:rPr>
        <w:t>（三）对承担管理责任的燃气设施进行维护、检修和检验，并根据生产运行状况，对燃气设施进行安全评估；</w:t>
      </w:r>
    </w:p>
    <w:p w14:paraId="0066B9A3">
      <w:bookmarkStart w:id="2697" w:name="_Toc428780839"/>
      <w:r>
        <w:rPr>
          <w:rFonts w:hint="eastAsia"/>
        </w:rPr>
        <w:t>（四）具备维持正常运营和保障安全生产条件所需的资金投入；</w:t>
      </w:r>
      <w:bookmarkEnd w:id="2697"/>
    </w:p>
    <w:p w14:paraId="0A5B3C59">
      <w:r>
        <w:rPr>
          <w:rFonts w:hint="eastAsia"/>
        </w:rPr>
        <w:t>（五）建立员工岗位培训制度；</w:t>
      </w:r>
    </w:p>
    <w:p w14:paraId="1BE60435">
      <w:r>
        <w:rPr>
          <w:rFonts w:hint="eastAsia"/>
        </w:rPr>
        <w:t>（六）因例行检修、更换设施等情况，需要临时调整供气量或者暂停供气时，应当提前</w:t>
      </w:r>
      <w:r>
        <w:rPr>
          <w:rFonts w:hint="eastAsia" w:ascii="宋体" w:hAnsi="宋体" w:eastAsia="宋体" w:cs="宋体"/>
        </w:rPr>
        <w:t>48</w:t>
      </w:r>
      <w:r>
        <w:rPr>
          <w:rFonts w:hint="eastAsia"/>
        </w:rPr>
        <w:t>小时将作业时间和影响区域予以公告；</w:t>
      </w:r>
    </w:p>
    <w:p w14:paraId="71E8BB89">
      <w:r>
        <w:rPr>
          <w:rFonts w:hint="eastAsia"/>
        </w:rPr>
        <w:t>（七）燃气供应企业应当按照国家和本市的有关规定向燃气行政管理部门报告生产运营、安全生产等情况；</w:t>
      </w:r>
    </w:p>
    <w:p w14:paraId="7ABB9AAD">
      <w:r>
        <w:rPr>
          <w:rFonts w:hint="eastAsia"/>
        </w:rPr>
        <w:t>（八）因突发事件影响供气，应当按照燃气应急预案采取紧急措施并及时通知用户。</w:t>
      </w:r>
    </w:p>
    <w:p w14:paraId="7D0F015C">
      <w:pPr>
        <w:ind w:firstLine="422"/>
      </w:pPr>
      <w:r>
        <w:rPr>
          <w:rFonts w:hint="eastAsia"/>
          <w:b/>
        </w:rPr>
        <w:t>第二十条</w:t>
      </w:r>
      <w:r>
        <w:rPr>
          <w:rFonts w:hint="eastAsia"/>
        </w:rPr>
        <w:t>　燃气供应单位应当建立健全用户服务制度，规范服务行为，并遵守下列规定：</w:t>
      </w:r>
    </w:p>
    <w:p w14:paraId="2366FE6B">
      <w:bookmarkStart w:id="2698" w:name="_Toc428780840"/>
      <w:r>
        <w:rPr>
          <w:rFonts w:hint="eastAsia"/>
        </w:rPr>
        <w:t>（一）与单位用户签订合同，明确双方的权利与义务；</w:t>
      </w:r>
      <w:bookmarkEnd w:id="2698"/>
    </w:p>
    <w:p w14:paraId="1BB57B0B">
      <w:r>
        <w:rPr>
          <w:rFonts w:hint="eastAsia"/>
        </w:rPr>
        <w:t>（二）建立健全用户服务档案；</w:t>
      </w:r>
    </w:p>
    <w:p w14:paraId="525F5615">
      <w:r>
        <w:rPr>
          <w:rFonts w:hint="eastAsia"/>
        </w:rPr>
        <w:t>（三）燃气销售执行政府指导价、政府定价和法定的价格干预措施、紧急措施；</w:t>
      </w:r>
    </w:p>
    <w:p w14:paraId="3AC9F518">
      <w:r>
        <w:rPr>
          <w:rFonts w:hint="eastAsia"/>
        </w:rPr>
        <w:t>（四）在业务受理场所公示业务流程、服务项目、服务承诺、作业标准、收费标准和服务受理、投诉电话等内容；向社会公布服务受理及投诉电话；</w:t>
      </w:r>
    </w:p>
    <w:p w14:paraId="5608C75F">
      <w:r>
        <w:rPr>
          <w:rFonts w:hint="eastAsia"/>
        </w:rPr>
        <w:t>（五）建立燃气设施安全巡检制度，按照国家和本市的有关规定，对用户的燃气设施定期进行免费安全检查，并做好安全检查记录；发现用户的燃气设施存在隐患的，应当书面告知用户及时消除；</w:t>
      </w:r>
    </w:p>
    <w:p w14:paraId="4103C1BF">
      <w:bookmarkStart w:id="2699" w:name="_Toc428780841"/>
      <w:r>
        <w:rPr>
          <w:rFonts w:hint="eastAsia"/>
        </w:rPr>
        <w:t>（六）不得限定用户购买其指定的经营者的产品；</w:t>
      </w:r>
      <w:bookmarkEnd w:id="2699"/>
    </w:p>
    <w:p w14:paraId="6510D82A">
      <w:r>
        <w:rPr>
          <w:rFonts w:hint="eastAsia"/>
        </w:rPr>
        <w:t>（七）燃气供应企业应当对供应范围内的燃气自管单位进行技术指导和技术服务。</w:t>
      </w:r>
    </w:p>
    <w:p w14:paraId="56FFE430">
      <w:pPr>
        <w:ind w:firstLine="422"/>
      </w:pPr>
      <w:r>
        <w:rPr>
          <w:rFonts w:hint="eastAsia"/>
          <w:b/>
        </w:rPr>
        <w:t>第二十一条</w:t>
      </w:r>
      <w:r>
        <w:rPr>
          <w:rFonts w:hint="eastAsia"/>
        </w:rPr>
        <w:t>　管道燃气供应企业应当对供应范围内的市政燃气设施、居民用户的庭院燃气设施和共用燃气设施承担运行、维护、抢修和更新改造的责任。</w:t>
      </w:r>
    </w:p>
    <w:p w14:paraId="736C61C5">
      <w:r>
        <w:rPr>
          <w:rFonts w:hint="eastAsia"/>
        </w:rPr>
        <w:t>对于单位用户的燃气设施，管道燃气供应企业应当按照合同的约定承担相应的管理和服务责任。</w:t>
      </w:r>
    </w:p>
    <w:p w14:paraId="5543364E">
      <w:pPr>
        <w:ind w:firstLine="422"/>
      </w:pPr>
      <w:r>
        <w:rPr>
          <w:rFonts w:hint="eastAsia"/>
          <w:b/>
        </w:rPr>
        <w:t>第二十二条</w:t>
      </w:r>
      <w:r>
        <w:rPr>
          <w:rFonts w:hint="eastAsia"/>
        </w:rPr>
        <w:t>　燃气供应单位应当在重要的燃气设施或者重要的部位设置统一、明显的识别标志。在对燃气设施维护和抢修时，必须设置安全警示标志。</w:t>
      </w:r>
    </w:p>
    <w:p w14:paraId="18398274">
      <w:r>
        <w:rPr>
          <w:rFonts w:hint="eastAsia"/>
        </w:rPr>
        <w:t>燃气供应单位对安装在用户室内和建筑物公共部位的公用燃气阀门应当设立永久性警示标志，并告知用户不得擅自操作公用燃气阀门。</w:t>
      </w:r>
    </w:p>
    <w:p w14:paraId="7DFAA6C6">
      <w:pPr>
        <w:ind w:firstLine="422"/>
      </w:pPr>
      <w:r>
        <w:rPr>
          <w:rFonts w:hint="eastAsia"/>
          <w:b/>
        </w:rPr>
        <w:t>第二十三条</w:t>
      </w:r>
      <w:r>
        <w:rPr>
          <w:rFonts w:hint="eastAsia"/>
        </w:rPr>
        <w:t>　瓶装液化石油气供应企业应当遵守下列规定：</w:t>
      </w:r>
    </w:p>
    <w:p w14:paraId="35640FC2">
      <w:bookmarkStart w:id="2700" w:name="_Toc428780842"/>
      <w:r>
        <w:rPr>
          <w:rFonts w:hint="eastAsia"/>
        </w:rPr>
        <w:t>（一）向用户提供的气瓶、气质及气量应当符合国家和本市的规定；</w:t>
      </w:r>
      <w:bookmarkEnd w:id="2700"/>
    </w:p>
    <w:p w14:paraId="1B03EEB6">
      <w:r>
        <w:rPr>
          <w:rFonts w:hint="eastAsia"/>
        </w:rPr>
        <w:t>（二）瓶装液化石油气供应站应当与瓶装液化石油气充装企业签订合同；</w:t>
      </w:r>
    </w:p>
    <w:p w14:paraId="674CD718">
      <w:r>
        <w:rPr>
          <w:rFonts w:hint="eastAsia"/>
        </w:rPr>
        <w:t>（三）液化石油气充装企业负责气瓶的维护和保养，并应当按照国家和本市的有关规定，定期将气瓶送检验机构进行检验；</w:t>
      </w:r>
    </w:p>
    <w:p w14:paraId="3CC6F088">
      <w:r>
        <w:rPr>
          <w:rFonts w:hint="eastAsia"/>
        </w:rPr>
        <w:t>（四）液化石油气充装企业只能充装自有产权和供气合同范围内的气瓶。</w:t>
      </w:r>
    </w:p>
    <w:p w14:paraId="3AE1B5ED">
      <w:pPr>
        <w:ind w:firstLine="422"/>
      </w:pPr>
      <w:r>
        <w:rPr>
          <w:rFonts w:hint="eastAsia"/>
          <w:b/>
        </w:rPr>
        <w:t>第二十四条</w:t>
      </w:r>
      <w:r>
        <w:rPr>
          <w:rFonts w:hint="eastAsia"/>
        </w:rPr>
        <w:t>　燃气自管单位应当与燃气供应企业签订合同，明确燃气设施安全维护、管理的范围和责任。</w:t>
      </w:r>
    </w:p>
    <w:p w14:paraId="758D5AB5">
      <w:r>
        <w:rPr>
          <w:rFonts w:hint="eastAsia"/>
        </w:rPr>
        <w:t>燃气自管单位应当接受燃气供应企业的业务指导，并对从事燃气设施运行、维护、抢修和安全管理的人员进行专业技术培训。</w:t>
      </w:r>
    </w:p>
    <w:p w14:paraId="4E1161F7">
      <w:pPr>
        <w:ind w:firstLine="422"/>
      </w:pPr>
      <w:r>
        <w:rPr>
          <w:rFonts w:hint="eastAsia"/>
          <w:b/>
        </w:rPr>
        <w:t>第二十五条</w:t>
      </w:r>
      <w:r>
        <w:rPr>
          <w:rFonts w:hint="eastAsia"/>
        </w:rPr>
        <w:t>　燃气供应单位发现危害燃气设施安全、违反规定使用燃气等行为时，应当立即予以劝阻、制止，记入用户档案，并向燃气行政管理部门、城市管理综合行政执法部门举报。</w:t>
      </w:r>
    </w:p>
    <w:p w14:paraId="6D030049">
      <w:r>
        <w:rPr>
          <w:rFonts w:hint="eastAsia"/>
        </w:rPr>
        <w:t>燃气行政管理部门和城市管理综合行政执法部门接到举报后，应当立即核查并依法处理。</w:t>
      </w:r>
    </w:p>
    <w:p w14:paraId="210A38A5">
      <w:pPr>
        <w:ind w:firstLine="422"/>
      </w:pPr>
      <w:r>
        <w:rPr>
          <w:rFonts w:hint="eastAsia"/>
          <w:b/>
        </w:rPr>
        <w:t>第二十六条</w:t>
      </w:r>
      <w:r>
        <w:rPr>
          <w:rFonts w:hint="eastAsia"/>
        </w:rPr>
        <w:t>　燃气用户和物业管理单位应当配合燃气供应单位对燃气设施进行的维护、抢修作业以及查表、收费等工作。</w:t>
      </w:r>
    </w:p>
    <w:p w14:paraId="1E3995C1">
      <w:r>
        <w:rPr>
          <w:rFonts w:hint="eastAsia"/>
        </w:rPr>
        <w:t>燃气用户应当按时支付燃气费，不得拖欠和拒绝支付。</w:t>
      </w:r>
    </w:p>
    <w:p w14:paraId="58168D11">
      <w:pPr>
        <w:ind w:firstLine="422"/>
      </w:pPr>
      <w:r>
        <w:rPr>
          <w:rFonts w:hint="eastAsia"/>
          <w:b/>
        </w:rPr>
        <w:t>第二十七条</w:t>
      </w:r>
      <w:r>
        <w:rPr>
          <w:rFonts w:hint="eastAsia"/>
        </w:rPr>
        <w:t>　燃气用户应当在具备安全使用条件的场所正确使用燃气、燃气设施和用气设备。</w:t>
      </w:r>
    </w:p>
    <w:p w14:paraId="0EA7E1FD">
      <w:r>
        <w:rPr>
          <w:rFonts w:hint="eastAsia"/>
        </w:rPr>
        <w:t>燃气用户应当对室内燃气设施及用气设备进行日常检查，发现室内燃气设施或者用气设备异常、燃气泄漏、意外停气时，应当关闭阀门、开窗通风，禁止在现场动用明火、开关电器、拨打电话，并及时向燃气供应单位报修。</w:t>
      </w:r>
    </w:p>
    <w:p w14:paraId="7EAD06B0">
      <w:pPr>
        <w:ind w:firstLine="422"/>
      </w:pPr>
      <w:r>
        <w:rPr>
          <w:rFonts w:hint="eastAsia"/>
          <w:b/>
        </w:rPr>
        <w:t>第二十八条</w:t>
      </w:r>
      <w:r>
        <w:rPr>
          <w:rFonts w:hint="eastAsia"/>
        </w:rPr>
        <w:t>　在燃气的供应与使用过程中，禁止下列行为：</w:t>
      </w:r>
    </w:p>
    <w:p w14:paraId="56F93792">
      <w:r>
        <w:rPr>
          <w:rFonts w:hint="eastAsia"/>
        </w:rPr>
        <w:t>（一）倒灌瓶装液化石油气；</w:t>
      </w:r>
    </w:p>
    <w:p w14:paraId="64D14649">
      <w:r>
        <w:rPr>
          <w:rFonts w:hint="eastAsia"/>
        </w:rPr>
        <w:t>（二）摔、砸、滚动、倒置气瓶；</w:t>
      </w:r>
    </w:p>
    <w:p w14:paraId="5777BF52">
      <w:r>
        <w:rPr>
          <w:rFonts w:hint="eastAsia"/>
        </w:rPr>
        <w:t>（三）加热气瓶、倾倒瓶内残液或者拆修瓶阀等附件；</w:t>
      </w:r>
    </w:p>
    <w:p w14:paraId="2885D4C7">
      <w:bookmarkStart w:id="2701" w:name="_Toc428780843"/>
      <w:r>
        <w:rPr>
          <w:rFonts w:hint="eastAsia"/>
        </w:rPr>
        <w:t>（四）擅自拆除、改装、迁移、安装室内管道燃气设施；</w:t>
      </w:r>
      <w:bookmarkEnd w:id="2701"/>
    </w:p>
    <w:p w14:paraId="29AB35A5">
      <w:r>
        <w:rPr>
          <w:rFonts w:hint="eastAsia"/>
        </w:rPr>
        <w:t>（五）在安装燃气计量表、阀门、燃气蒸发器等燃气设施的房间内堆放易燃易爆物品、居住和办公，在燃气设施的专用房间内使用明火；</w:t>
      </w:r>
    </w:p>
    <w:p w14:paraId="176D3618">
      <w:bookmarkStart w:id="2702" w:name="_Toc428780844"/>
      <w:r>
        <w:rPr>
          <w:rFonts w:hint="eastAsia"/>
        </w:rPr>
        <w:t>（六）使用明火检查燃气泄漏；</w:t>
      </w:r>
      <w:bookmarkEnd w:id="2702"/>
    </w:p>
    <w:p w14:paraId="465CA6BA">
      <w:r>
        <w:rPr>
          <w:rFonts w:hint="eastAsia"/>
        </w:rPr>
        <w:t>（七）将燃气管道作为负重支架或者电器设备的接地导线；</w:t>
      </w:r>
    </w:p>
    <w:p w14:paraId="50F8A66F">
      <w:r>
        <w:rPr>
          <w:rFonts w:hint="eastAsia"/>
        </w:rPr>
        <w:t>（八）其他危害公共安全和公共利益的供用气行为。</w:t>
      </w:r>
    </w:p>
    <w:p w14:paraId="03AB9ACA">
      <w:pPr>
        <w:ind w:firstLine="422"/>
      </w:pPr>
      <w:r>
        <w:rPr>
          <w:rFonts w:hint="eastAsia"/>
          <w:b/>
        </w:rPr>
        <w:t>第二十九条</w:t>
      </w:r>
      <w:r>
        <w:rPr>
          <w:rFonts w:hint="eastAsia"/>
        </w:rPr>
        <w:t>　管道燃气单位用户变更户名、用气量、燃气使用性质的，应当到燃气供应单位办理相应手续。</w:t>
      </w:r>
    </w:p>
    <w:p w14:paraId="7EE0AF5D">
      <w:r>
        <w:rPr>
          <w:rFonts w:hint="eastAsia"/>
        </w:rPr>
        <w:t>管道燃气用户需安装、改装、迁移、拆除室内燃气设施的，应当委托燃气供应单位实施作业。用户的要求符合规范要求的，燃气供应单位应当依照服务承诺在规定时限内实施作业；用户的要求不符合规范要求的，燃气供应单位应当在规定时限内以书面形式告知理由，并提出合理建议。</w:t>
      </w:r>
    </w:p>
    <w:p w14:paraId="6CE475C2"/>
    <w:p w14:paraId="562D6BF1">
      <w:pPr>
        <w:ind w:firstLine="0" w:firstLineChars="0"/>
        <w:jc w:val="center"/>
        <w:rPr>
          <w:b/>
          <w:sz w:val="28"/>
        </w:rPr>
      </w:pPr>
      <w:r>
        <w:rPr>
          <w:rFonts w:hint="eastAsia"/>
          <w:b/>
          <w:sz w:val="28"/>
        </w:rPr>
        <w:t>第四章  燃气设施与用气设备管理</w:t>
      </w:r>
    </w:p>
    <w:p w14:paraId="573B034A"/>
    <w:p w14:paraId="6B2B88CE">
      <w:pPr>
        <w:ind w:firstLine="422"/>
      </w:pPr>
      <w:r>
        <w:rPr>
          <w:rFonts w:hint="eastAsia"/>
          <w:b/>
        </w:rPr>
        <w:t>第三十条</w:t>
      </w:r>
      <w:r>
        <w:rPr>
          <w:rFonts w:hint="eastAsia"/>
        </w:rPr>
        <w:t>　燃气供应企业对燃气门站、储配站、区域性调压站、燃气供应站、市政燃气管道等燃气设施进行拆除、改造、迁移的，应当到燃气行政管理部门办理燃气设施改动行政许可手续。</w:t>
      </w:r>
    </w:p>
    <w:p w14:paraId="7AB33B13">
      <w:r>
        <w:rPr>
          <w:rFonts w:hint="eastAsia"/>
        </w:rPr>
        <w:t>燃气供应企业改动燃气设施，应当符合下列条件：</w:t>
      </w:r>
    </w:p>
    <w:p w14:paraId="40497248">
      <w:bookmarkStart w:id="2703" w:name="_Toc428780845"/>
      <w:r>
        <w:rPr>
          <w:rFonts w:hint="eastAsia"/>
        </w:rPr>
        <w:t>（一）有改动燃气设施的申请报告；</w:t>
      </w:r>
      <w:bookmarkEnd w:id="2703"/>
    </w:p>
    <w:p w14:paraId="18E4B2F3">
      <w:r>
        <w:rPr>
          <w:rFonts w:hint="eastAsia"/>
        </w:rPr>
        <w:t>（二）改动后的燃气设施符合燃气专业规划、安全等相关规定；</w:t>
      </w:r>
    </w:p>
    <w:p w14:paraId="1B7DF318">
      <w:bookmarkStart w:id="2704" w:name="_Toc428780846"/>
      <w:r>
        <w:rPr>
          <w:rFonts w:hint="eastAsia"/>
        </w:rPr>
        <w:t>（三）有安全施工的组织、设计和实施方案；</w:t>
      </w:r>
      <w:bookmarkEnd w:id="2704"/>
    </w:p>
    <w:p w14:paraId="5B9C5684">
      <w:r>
        <w:rPr>
          <w:rFonts w:hint="eastAsia"/>
        </w:rPr>
        <w:t>（四）有安全防护及不影响燃气用户安全正常用气的措施；</w:t>
      </w:r>
    </w:p>
    <w:p w14:paraId="31B3E6AE">
      <w:pPr>
        <w:rPr>
          <w:rFonts w:hint="eastAsia" w:ascii="宋体" w:hAnsi="宋体" w:eastAsia="宋体" w:cs="宋体"/>
        </w:rPr>
      </w:pPr>
      <w:r>
        <w:rPr>
          <w:rFonts w:hint="eastAsia"/>
        </w:rPr>
        <w:t>（五）法律、法规、规章规定的其他条件。</w:t>
      </w:r>
    </w:p>
    <w:p w14:paraId="67E98EB1">
      <w:pPr>
        <w:rPr>
          <w:rFonts w:hint="eastAsia" w:ascii="宋体" w:hAnsi="宋体" w:eastAsia="宋体" w:cs="宋体"/>
        </w:rPr>
      </w:pPr>
      <w:r>
        <w:rPr>
          <w:rFonts w:hint="eastAsia" w:ascii="宋体" w:hAnsi="宋体" w:eastAsia="宋体" w:cs="宋体"/>
        </w:rPr>
        <w:t>燃气行政管理部门应当自受理燃气设施改动申请之日起20个工作日内，依照法定程序作出行政许可决定。</w:t>
      </w:r>
    </w:p>
    <w:p w14:paraId="03FFD138">
      <w:pPr>
        <w:rPr>
          <w:rFonts w:hint="eastAsia" w:ascii="宋体" w:hAnsi="宋体" w:eastAsia="宋体" w:cs="宋体"/>
        </w:rPr>
      </w:pPr>
      <w:r>
        <w:rPr>
          <w:rFonts w:hint="eastAsia" w:ascii="宋体" w:hAnsi="宋体" w:eastAsia="宋体" w:cs="宋体"/>
        </w:rPr>
        <w:t>燃气供应企业应当按照行政许可决定的要求实施作业。</w:t>
      </w:r>
    </w:p>
    <w:p w14:paraId="17B746AE">
      <w:pPr>
        <w:ind w:firstLine="422"/>
      </w:pPr>
      <w:r>
        <w:rPr>
          <w:rFonts w:hint="eastAsia" w:ascii="宋体" w:hAnsi="宋体" w:eastAsia="宋体" w:cs="宋体"/>
          <w:b/>
        </w:rPr>
        <w:t>第三十一条</w:t>
      </w:r>
      <w:r>
        <w:rPr>
          <w:rFonts w:hint="eastAsia" w:ascii="宋体" w:hAnsi="宋体" w:eastAsia="宋体" w:cs="宋体"/>
        </w:rPr>
        <w:t>　建设单位应当在工程施工前，向施工单位提供施工现场</w:t>
      </w:r>
      <w:r>
        <w:rPr>
          <w:rFonts w:hint="eastAsia"/>
        </w:rPr>
        <w:t>及毗邻区域内地下燃气管线及其他燃气设施的相关资料，并保证资料的真实、准确、完整。</w:t>
      </w:r>
    </w:p>
    <w:p w14:paraId="7BA4C7A2">
      <w:r>
        <w:rPr>
          <w:rFonts w:hint="eastAsia"/>
        </w:rPr>
        <w:t>工程施工范围内有地下燃气管线及其他燃气设施的，建设单位应当组织施工单位、燃气供应单位共同制定保护方案，明确安全保护措施，并与燃气供应单位签订安全监护协议，由燃气供应单位进行监护。施工单位依照保护方案，实施安全保护措施。</w:t>
      </w:r>
    </w:p>
    <w:p w14:paraId="2FBE7133">
      <w:r>
        <w:rPr>
          <w:rFonts w:hint="eastAsia"/>
        </w:rPr>
        <w:t>工程施工作业损坏地下燃气管线及其他燃气设施的，施工单位应当立即通知燃气设施的管理单位，并按规定采取应急保护措施，避免扩大损失。</w:t>
      </w:r>
    </w:p>
    <w:p w14:paraId="784CA4BD">
      <w:pPr>
        <w:ind w:firstLine="422"/>
      </w:pPr>
      <w:r>
        <w:rPr>
          <w:rFonts w:hint="eastAsia"/>
          <w:b/>
        </w:rPr>
        <w:t>第三十二条</w:t>
      </w:r>
      <w:r>
        <w:rPr>
          <w:rFonts w:hint="eastAsia"/>
        </w:rPr>
        <w:t>　在地下燃气管道安全间距范围内，禁止下列行为：</w:t>
      </w:r>
    </w:p>
    <w:p w14:paraId="666801E7">
      <w:bookmarkStart w:id="2705" w:name="_Toc428780847"/>
      <w:r>
        <w:rPr>
          <w:rFonts w:hint="eastAsia"/>
        </w:rPr>
        <w:t>（一）建设建筑物、构筑物或者其他设施；</w:t>
      </w:r>
      <w:bookmarkEnd w:id="2705"/>
    </w:p>
    <w:p w14:paraId="24BFE0A8">
      <w:r>
        <w:rPr>
          <w:rFonts w:hint="eastAsia"/>
        </w:rPr>
        <w:t>（二）进行爆破、钻探、打桩、顶进、挖掘、取土等作业；</w:t>
      </w:r>
    </w:p>
    <w:p w14:paraId="461B0470">
      <w:r>
        <w:rPr>
          <w:rFonts w:hint="eastAsia"/>
        </w:rPr>
        <w:t>（三）倾倒、排放腐蚀性物质；</w:t>
      </w:r>
    </w:p>
    <w:p w14:paraId="436BA302">
      <w:r>
        <w:rPr>
          <w:rFonts w:hint="eastAsia"/>
        </w:rPr>
        <w:t>（四）堆放物品或者种植深根植物；</w:t>
      </w:r>
    </w:p>
    <w:p w14:paraId="469A537C">
      <w:r>
        <w:rPr>
          <w:rFonts w:hint="eastAsia"/>
        </w:rPr>
        <w:t>（五）涂改、覆盖、移动、拆除、损坏安全警示标志；</w:t>
      </w:r>
    </w:p>
    <w:p w14:paraId="59561957">
      <w:r>
        <w:rPr>
          <w:rFonts w:hint="eastAsia"/>
        </w:rPr>
        <w:t>（六）从事其他危害地下燃气管道安全的活动。</w:t>
      </w:r>
    </w:p>
    <w:p w14:paraId="36BAF47B">
      <w:pPr>
        <w:ind w:firstLine="422"/>
      </w:pPr>
      <w:r>
        <w:rPr>
          <w:rFonts w:hint="eastAsia"/>
          <w:b/>
        </w:rPr>
        <w:t>第三十三条</w:t>
      </w:r>
      <w:r>
        <w:rPr>
          <w:rFonts w:hint="eastAsia"/>
        </w:rPr>
        <w:t>　在本市生产、销售的用气设备，产品质量应当符合国家和本市的相关标准。</w:t>
      </w:r>
    </w:p>
    <w:p w14:paraId="347B4C31">
      <w:r>
        <w:rPr>
          <w:rFonts w:hint="eastAsia"/>
        </w:rPr>
        <w:t>在本市销售的用气设备，其生产者或者销售者应当委托国家或者本市质量技术监督行政管理部门核准的检测机构进行气源适配性检测。</w:t>
      </w:r>
    </w:p>
    <w:p w14:paraId="774FC97E">
      <w:pPr>
        <w:ind w:firstLine="422"/>
      </w:pPr>
      <w:r>
        <w:rPr>
          <w:rFonts w:hint="eastAsia"/>
          <w:b/>
        </w:rPr>
        <w:t>第三十四条</w:t>
      </w:r>
      <w:r>
        <w:rPr>
          <w:rFonts w:hint="eastAsia"/>
        </w:rPr>
        <w:t>　质量技术监督行政管理部门应当按照国家和本市的有关规定，对用气设备产品质量进行监督检查，并向社会公布监督检查结果。</w:t>
      </w:r>
    </w:p>
    <w:p w14:paraId="10AC561D">
      <w:pPr>
        <w:ind w:firstLine="422"/>
      </w:pPr>
      <w:r>
        <w:rPr>
          <w:rFonts w:hint="eastAsia"/>
          <w:b/>
        </w:rPr>
        <w:t>第三十五条</w:t>
      </w:r>
      <w:r>
        <w:rPr>
          <w:rFonts w:hint="eastAsia"/>
        </w:rPr>
        <w:t>　用气设备的生产者、销售者应当在本市设立或者委托设立售后服务站点，负责售后的安装、维修。</w:t>
      </w:r>
    </w:p>
    <w:p w14:paraId="083FDF91">
      <w:r>
        <w:rPr>
          <w:rFonts w:hint="eastAsia"/>
        </w:rPr>
        <w:t>售后服务站点应当建立健全管理制度和规范化服务标准。</w:t>
      </w:r>
    </w:p>
    <w:p w14:paraId="346EA72F">
      <w:r>
        <w:rPr>
          <w:rFonts w:hint="eastAsia"/>
        </w:rPr>
        <w:t>售后服务站点不得改动室内燃气设施。</w:t>
      </w:r>
    </w:p>
    <w:p w14:paraId="7D0ED6C1"/>
    <w:p w14:paraId="10A23D99">
      <w:pPr>
        <w:ind w:firstLine="0" w:firstLineChars="0"/>
        <w:jc w:val="center"/>
        <w:rPr>
          <w:b/>
          <w:sz w:val="28"/>
        </w:rPr>
      </w:pPr>
      <w:r>
        <w:rPr>
          <w:rFonts w:hint="eastAsia"/>
          <w:b/>
          <w:sz w:val="28"/>
        </w:rPr>
        <w:t>第五章  应急预案与事故处置</w:t>
      </w:r>
    </w:p>
    <w:p w14:paraId="54DCBA9B"/>
    <w:p w14:paraId="69E6D78C">
      <w:pPr>
        <w:ind w:firstLine="422"/>
      </w:pPr>
      <w:r>
        <w:rPr>
          <w:rFonts w:hint="eastAsia"/>
          <w:b/>
        </w:rPr>
        <w:t>第三十六条</w:t>
      </w:r>
      <w:r>
        <w:rPr>
          <w:rFonts w:hint="eastAsia"/>
        </w:rPr>
        <w:t>　市燃气行政管理部门应当会同有关部门制定全市燃气应急预案，报市人民政府批准后组织实施。</w:t>
      </w:r>
    </w:p>
    <w:p w14:paraId="0036D796">
      <w:r>
        <w:rPr>
          <w:rFonts w:hint="eastAsia"/>
        </w:rPr>
        <w:t>区县人民政府应当组织有关部门编制本行政区域内的燃气应急预案，并报市人民政府备案。</w:t>
      </w:r>
    </w:p>
    <w:p w14:paraId="7AABF6AD">
      <w:r>
        <w:rPr>
          <w:rFonts w:hint="eastAsia"/>
        </w:rPr>
        <w:t>燃气供应单位应当根据国家和本市有关应急预案的规定，制定本单位的燃气应急预案。</w:t>
      </w:r>
    </w:p>
    <w:p w14:paraId="3F4F87AE">
      <w:pPr>
        <w:ind w:firstLine="422"/>
      </w:pPr>
      <w:r>
        <w:rPr>
          <w:rFonts w:hint="eastAsia"/>
          <w:b/>
        </w:rPr>
        <w:t>第三十七条</w:t>
      </w:r>
      <w:r>
        <w:rPr>
          <w:rFonts w:hint="eastAsia"/>
        </w:rPr>
        <w:t>　市、区县人民政府和有关行政管理部门以及燃气供应单位，应当有计划、有重点地进行燃气应急预案演练，并根据实际情况及时修订。</w:t>
      </w:r>
    </w:p>
    <w:p w14:paraId="1A6E21DF">
      <w:r>
        <w:rPr>
          <w:rFonts w:hint="eastAsia"/>
        </w:rPr>
        <w:t>发生燃气安全突发事件时，燃气行政管理部门和政府有关部门以及燃气供应单位应当按照规定启动应急预案。</w:t>
      </w:r>
    </w:p>
    <w:p w14:paraId="2D22C07C">
      <w:pPr>
        <w:ind w:firstLine="422"/>
      </w:pPr>
      <w:r>
        <w:rPr>
          <w:rFonts w:hint="eastAsia"/>
          <w:b/>
        </w:rPr>
        <w:t>第三十八条</w:t>
      </w:r>
      <w:r>
        <w:rPr>
          <w:rFonts w:hint="eastAsia"/>
        </w:rPr>
        <w:t>　政府有关部门应当建立健全燃气应急指挥通信网络系统。</w:t>
      </w:r>
    </w:p>
    <w:p w14:paraId="4C6F6A37">
      <w:r>
        <w:rPr>
          <w:rFonts w:hint="eastAsia"/>
        </w:rPr>
        <w:t>燃气供应单位应当设置抢险、抢修电话，并向社会公布。</w:t>
      </w:r>
    </w:p>
    <w:p w14:paraId="39A417DC">
      <w:pPr>
        <w:ind w:firstLine="422"/>
      </w:pPr>
      <w:r>
        <w:rPr>
          <w:rFonts w:hint="eastAsia"/>
          <w:b/>
        </w:rPr>
        <w:t>第三十九条</w:t>
      </w:r>
      <w:r>
        <w:rPr>
          <w:rFonts w:hint="eastAsia"/>
        </w:rPr>
        <w:t>　任何单位和个人发现燃气事故、事故隐患以及危害燃气设安全的情况，应当立即向燃气供应单位或者政府有关部门报告。</w:t>
      </w:r>
    </w:p>
    <w:p w14:paraId="416D045C">
      <w:r>
        <w:rPr>
          <w:rFonts w:hint="eastAsia"/>
        </w:rPr>
        <w:t>发生燃气安全突发事件，燃气供应单位应当根据燃气应急预案，立即采取相应措施先行处置，并根据事件等级，按照程序向燃气、安全生产监督、质量技术监督、公安消防等行政管理部门报告。</w:t>
      </w:r>
    </w:p>
    <w:p w14:paraId="3F927860">
      <w:r>
        <w:rPr>
          <w:rFonts w:hint="eastAsia"/>
        </w:rPr>
        <w:t>政府有关部门应当根据事件等级，依照燃气应急预案，按照各自职责和业务范围，密切配合，做好燃气安全突发事件的指挥、处置等工作。</w:t>
      </w:r>
    </w:p>
    <w:p w14:paraId="5673398B">
      <w:r>
        <w:rPr>
          <w:rFonts w:hint="eastAsia"/>
        </w:rPr>
        <w:t>发生燃气泄漏等紧急情况时，燃气供应单位必须采取紧急避险措施的，公安机关应当配合燃气供应单位实施入户抢险、抢修作业。</w:t>
      </w:r>
    </w:p>
    <w:p w14:paraId="5A49E2F6">
      <w:pPr>
        <w:ind w:firstLine="422"/>
      </w:pPr>
      <w:r>
        <w:rPr>
          <w:rFonts w:hint="eastAsia"/>
          <w:b/>
        </w:rPr>
        <w:t>第四十条</w:t>
      </w:r>
      <w:r>
        <w:rPr>
          <w:rFonts w:hint="eastAsia"/>
        </w:rPr>
        <w:t>　燃气供应单位处置燃气安全突发事件时，相关单位和个人应当积极配合，不得阻挠、干扰。</w:t>
      </w:r>
    </w:p>
    <w:p w14:paraId="36C28C1D">
      <w:pPr>
        <w:ind w:firstLine="422"/>
      </w:pPr>
      <w:r>
        <w:rPr>
          <w:rFonts w:hint="eastAsia"/>
          <w:b/>
        </w:rPr>
        <w:t>第四十一条</w:t>
      </w:r>
      <w:r>
        <w:rPr>
          <w:rFonts w:hint="eastAsia"/>
        </w:rPr>
        <w:t>　燃气供应单位无法保障正常供应燃气，严重影响公共利益的，燃气行政管理部门应当采取必要措施，保障燃气安全供应。</w:t>
      </w:r>
    </w:p>
    <w:p w14:paraId="3B301DE8">
      <w:pPr>
        <w:ind w:firstLine="0" w:firstLineChars="0"/>
        <w:jc w:val="center"/>
        <w:rPr>
          <w:rFonts w:hint="eastAsia"/>
          <w:b/>
          <w:sz w:val="28"/>
        </w:rPr>
      </w:pPr>
    </w:p>
    <w:p w14:paraId="7EBA9112">
      <w:pPr>
        <w:ind w:firstLine="0" w:firstLineChars="0"/>
        <w:jc w:val="center"/>
        <w:rPr>
          <w:b/>
          <w:sz w:val="28"/>
        </w:rPr>
      </w:pPr>
      <w:r>
        <w:rPr>
          <w:rFonts w:hint="eastAsia"/>
          <w:b/>
          <w:sz w:val="28"/>
        </w:rPr>
        <w:t>第六章  法律责任</w:t>
      </w:r>
    </w:p>
    <w:p w14:paraId="72C48CCC"/>
    <w:p w14:paraId="7DCC6BC8">
      <w:pPr>
        <w:ind w:firstLine="422"/>
        <w:rPr>
          <w:rFonts w:hint="eastAsia" w:ascii="宋体" w:hAnsi="宋体" w:eastAsia="宋体" w:cs="宋体"/>
        </w:rPr>
      </w:pPr>
      <w:r>
        <w:rPr>
          <w:rFonts w:hint="eastAsia"/>
          <w:b/>
        </w:rPr>
        <w:t>第四十二条</w:t>
      </w:r>
      <w:r>
        <w:rPr>
          <w:rFonts w:hint="eastAsia"/>
        </w:rPr>
        <w:t>　违反本条例第十四条的规定，未取得燃气经营许可或者不按照燃气经营许可的范围从事经营活动的，由城市管理综合执法部门责令停止违法行为</w:t>
      </w:r>
      <w:r>
        <w:rPr>
          <w:rFonts w:hint="eastAsia" w:ascii="宋体" w:hAnsi="宋体" w:eastAsia="宋体" w:cs="宋体"/>
        </w:rPr>
        <w:t>，并处5000元以上5万元以下罚款。</w:t>
      </w:r>
    </w:p>
    <w:p w14:paraId="281DBC0E">
      <w:pPr>
        <w:ind w:firstLine="422"/>
        <w:rPr>
          <w:rFonts w:hint="eastAsia" w:ascii="宋体" w:hAnsi="宋体" w:eastAsia="宋体" w:cs="宋体"/>
        </w:rPr>
      </w:pPr>
      <w:r>
        <w:rPr>
          <w:rFonts w:hint="eastAsia" w:ascii="宋体" w:hAnsi="宋体" w:eastAsia="宋体" w:cs="宋体"/>
          <w:b/>
        </w:rPr>
        <w:t>第四十三条</w:t>
      </w:r>
      <w:r>
        <w:rPr>
          <w:rFonts w:hint="eastAsia" w:ascii="宋体" w:hAnsi="宋体" w:eastAsia="宋体" w:cs="宋体"/>
        </w:rPr>
        <w:t>　取得燃气特许经营权的企业有下列情形之一的，燃气行政管理部门或者区县人民政府应当责令限期改正；拒不改正的，可以收回特许经营权、终止特许经营协议，并采取措施保障燃气供应和服务：</w:t>
      </w:r>
    </w:p>
    <w:p w14:paraId="11949C5C">
      <w:pPr>
        <w:rPr>
          <w:rFonts w:hint="eastAsia" w:ascii="宋体" w:hAnsi="宋体" w:eastAsia="宋体" w:cs="宋体"/>
        </w:rPr>
      </w:pPr>
      <w:r>
        <w:rPr>
          <w:rFonts w:hint="eastAsia" w:ascii="宋体" w:hAnsi="宋体" w:eastAsia="宋体" w:cs="宋体"/>
        </w:rPr>
        <w:t>（一）擅自转让、出租、质押、抵押或者以其他方式擅自处分特许经营权或者特许经营项目资产的；</w:t>
      </w:r>
    </w:p>
    <w:p w14:paraId="67B0B6ED">
      <w:pPr>
        <w:rPr>
          <w:rFonts w:hint="eastAsia" w:ascii="宋体" w:hAnsi="宋体" w:eastAsia="宋体" w:cs="宋体"/>
        </w:rPr>
      </w:pPr>
      <w:r>
        <w:rPr>
          <w:rFonts w:hint="eastAsia" w:ascii="宋体" w:hAnsi="宋体" w:eastAsia="宋体" w:cs="宋体"/>
        </w:rPr>
        <w:t>（二）不按照规定运行、维护、抢修和更新改造燃气设施，严重影响燃气供应安全的；</w:t>
      </w:r>
    </w:p>
    <w:p w14:paraId="46D6D51A">
      <w:pPr>
        <w:rPr>
          <w:rFonts w:hint="eastAsia" w:ascii="宋体" w:hAnsi="宋体" w:eastAsia="宋体" w:cs="宋体"/>
        </w:rPr>
      </w:pPr>
      <w:bookmarkStart w:id="2706" w:name="_Toc428780848"/>
      <w:r>
        <w:rPr>
          <w:rFonts w:hint="eastAsia" w:ascii="宋体" w:hAnsi="宋体" w:eastAsia="宋体" w:cs="宋体"/>
        </w:rPr>
        <w:t>（三）达不到燃气产品、服务的标准和要求，严重影响公共利益的；</w:t>
      </w:r>
      <w:bookmarkEnd w:id="2706"/>
    </w:p>
    <w:p w14:paraId="1B8C0610">
      <w:pPr>
        <w:rPr>
          <w:rFonts w:hint="eastAsia" w:ascii="宋体" w:hAnsi="宋体" w:eastAsia="宋体" w:cs="宋体"/>
        </w:rPr>
      </w:pPr>
      <w:r>
        <w:rPr>
          <w:rFonts w:hint="eastAsia" w:ascii="宋体" w:hAnsi="宋体" w:eastAsia="宋体" w:cs="宋体"/>
        </w:rPr>
        <w:t>（四）擅自停业、歇业的；</w:t>
      </w:r>
    </w:p>
    <w:p w14:paraId="302E1B94">
      <w:pPr>
        <w:rPr>
          <w:rFonts w:hint="eastAsia" w:ascii="宋体" w:hAnsi="宋体" w:eastAsia="宋体" w:cs="宋体"/>
        </w:rPr>
      </w:pPr>
      <w:r>
        <w:rPr>
          <w:rFonts w:hint="eastAsia" w:ascii="宋体" w:hAnsi="宋体" w:eastAsia="宋体" w:cs="宋体"/>
        </w:rPr>
        <w:t>（五）法律、法规规定或者特许经营协议约定的其他情形。</w:t>
      </w:r>
    </w:p>
    <w:p w14:paraId="7E629EA2">
      <w:pPr>
        <w:ind w:firstLine="422"/>
        <w:rPr>
          <w:rFonts w:hint="eastAsia" w:ascii="宋体" w:hAnsi="宋体" w:eastAsia="宋体" w:cs="宋体"/>
        </w:rPr>
      </w:pPr>
      <w:r>
        <w:rPr>
          <w:rFonts w:hint="eastAsia" w:ascii="宋体" w:hAnsi="宋体" w:eastAsia="宋体" w:cs="宋体"/>
          <w:b/>
        </w:rPr>
        <w:t>第四十四条</w:t>
      </w:r>
      <w:r>
        <w:rPr>
          <w:rFonts w:hint="eastAsia" w:ascii="宋体" w:hAnsi="宋体" w:eastAsia="宋体" w:cs="宋体"/>
        </w:rPr>
        <w:t>　依照本条例第十七条规定，燃气行政管理部门对燃气供应企业进行监督检查和许可评价时，发现燃气供应企业不符合燃气经营许可条件要求的，由城市管理综合执法部门责令限期改正，并可以处5000元以上5万元以下罚款；情节严重的，责令停产停业，并可以吊销燃气经营许可证，同时告知工商行政管理部门依法处理。</w:t>
      </w:r>
    </w:p>
    <w:p w14:paraId="12AD82E1">
      <w:pPr>
        <w:ind w:firstLine="422"/>
        <w:rPr>
          <w:rFonts w:hint="eastAsia" w:ascii="宋体" w:hAnsi="宋体" w:eastAsia="宋体" w:cs="宋体"/>
        </w:rPr>
      </w:pPr>
      <w:r>
        <w:rPr>
          <w:rFonts w:hint="eastAsia" w:ascii="宋体" w:hAnsi="宋体" w:eastAsia="宋体" w:cs="宋体"/>
          <w:b/>
        </w:rPr>
        <w:t>第四十五条</w:t>
      </w:r>
      <w:r>
        <w:rPr>
          <w:rFonts w:hint="eastAsia" w:ascii="宋体" w:hAnsi="宋体" w:eastAsia="宋体" w:cs="宋体"/>
        </w:rPr>
        <w:t>　违反本条例第十八条第二款规定，擅自停业、歇业造成损害的，燃气供应企业应当依法承担相应的赔偿责任。</w:t>
      </w:r>
    </w:p>
    <w:p w14:paraId="045B85BA">
      <w:pPr>
        <w:ind w:firstLine="422"/>
        <w:rPr>
          <w:rFonts w:hint="eastAsia" w:ascii="宋体" w:hAnsi="宋体" w:eastAsia="宋体" w:cs="宋体"/>
        </w:rPr>
      </w:pPr>
      <w:r>
        <w:rPr>
          <w:rFonts w:hint="eastAsia" w:ascii="宋体" w:hAnsi="宋体" w:eastAsia="宋体" w:cs="宋体"/>
          <w:b/>
        </w:rPr>
        <w:t>第四十六条</w:t>
      </w:r>
      <w:r>
        <w:rPr>
          <w:rFonts w:hint="eastAsia" w:ascii="宋体" w:hAnsi="宋体" w:eastAsia="宋体" w:cs="宋体"/>
        </w:rPr>
        <w:t>　违反本条例第二十三条第（三）项规定，未按规定将气瓶送检验机构检验的，由质量技术监督部门责令改正，并可以处2000元以上2万元以下罚款。</w:t>
      </w:r>
    </w:p>
    <w:p w14:paraId="07765BB5">
      <w:pPr>
        <w:rPr>
          <w:rFonts w:hint="eastAsia" w:ascii="宋体" w:hAnsi="宋体" w:eastAsia="宋体" w:cs="宋体"/>
        </w:rPr>
      </w:pPr>
      <w:r>
        <w:rPr>
          <w:rFonts w:hint="eastAsia" w:ascii="宋体" w:hAnsi="宋体" w:eastAsia="宋体" w:cs="宋体"/>
        </w:rPr>
        <w:t>违反本条例第二十三条第（四）项规定，充装非自有产权和供气合同范围外气瓶的，由质量技术监督部门责令改正，并处1万元以上3万元以下罚款。</w:t>
      </w:r>
    </w:p>
    <w:p w14:paraId="68EF5EDB">
      <w:pPr>
        <w:ind w:firstLine="422"/>
        <w:rPr>
          <w:rFonts w:hint="eastAsia" w:ascii="宋体" w:hAnsi="宋体" w:eastAsia="宋体" w:cs="宋体"/>
        </w:rPr>
      </w:pPr>
      <w:r>
        <w:rPr>
          <w:rFonts w:hint="eastAsia" w:ascii="宋体" w:hAnsi="宋体" w:eastAsia="宋体" w:cs="宋体"/>
          <w:b/>
        </w:rPr>
        <w:t>第四十七条</w:t>
      </w:r>
      <w:r>
        <w:rPr>
          <w:rFonts w:hint="eastAsia" w:ascii="宋体" w:hAnsi="宋体" w:eastAsia="宋体" w:cs="宋体"/>
        </w:rPr>
        <w:t>　违反本条例第二十八条规定，在燃气供应与使用过程中从事危害公共安全和公共利益活动的，由城市管理综合执法部门给予警告，责令改正，并可以处500元以上5000元以下罚款。</w:t>
      </w:r>
    </w:p>
    <w:p w14:paraId="53A93A66">
      <w:pPr>
        <w:ind w:firstLine="422"/>
        <w:rPr>
          <w:rFonts w:hint="eastAsia" w:ascii="宋体" w:hAnsi="宋体" w:eastAsia="宋体" w:cs="宋体"/>
        </w:rPr>
      </w:pPr>
      <w:r>
        <w:rPr>
          <w:rFonts w:hint="eastAsia" w:ascii="宋体" w:hAnsi="宋体" w:eastAsia="宋体" w:cs="宋体"/>
          <w:b/>
        </w:rPr>
        <w:t>第四十八条</w:t>
      </w:r>
      <w:r>
        <w:rPr>
          <w:rFonts w:hint="eastAsia" w:ascii="宋体" w:hAnsi="宋体" w:eastAsia="宋体" w:cs="宋体"/>
        </w:rPr>
        <w:t>　违反本条例第三十条规定，擅自改动燃气设施或者不按照燃气设施改动许可的要求实施作业的，由城市管理综合执法部门责令停止违法行为，并处1万元以上3万元以下罚款。</w:t>
      </w:r>
    </w:p>
    <w:p w14:paraId="3E7C4736">
      <w:pPr>
        <w:ind w:firstLine="422"/>
        <w:rPr>
          <w:rFonts w:hint="eastAsia" w:ascii="宋体" w:hAnsi="宋体" w:eastAsia="宋体" w:cs="宋体"/>
        </w:rPr>
      </w:pPr>
      <w:r>
        <w:rPr>
          <w:rFonts w:hint="eastAsia" w:ascii="宋体" w:hAnsi="宋体" w:eastAsia="宋体" w:cs="宋体"/>
          <w:b/>
        </w:rPr>
        <w:t>第四十九条</w:t>
      </w:r>
      <w:r>
        <w:rPr>
          <w:rFonts w:hint="eastAsia" w:ascii="宋体" w:hAnsi="宋体" w:eastAsia="宋体" w:cs="宋体"/>
        </w:rPr>
        <w:t xml:space="preserve">  违反本条例第三十一条规定，建设单位未真实、准确、完整地提供燃气设施相关资料或者施工单位未按要求采取保护措施，由建设行政管理部门责令限期改正，逾期未改正的，责令停业整顿，并处5万元以上10万元以下罚款；造成燃气供应单位和用户经济损失的，建设单位和施工单位应当依法承担赔偿责任；构成违反治安管理行为的，由公安机关依照《中华人民共和国治安管理处罚法》给予处罚；构成犯罪的，依法追究刑事责任。</w:t>
      </w:r>
    </w:p>
    <w:p w14:paraId="403A05D2">
      <w:pPr>
        <w:ind w:firstLine="422"/>
        <w:rPr>
          <w:rFonts w:hint="eastAsia" w:ascii="宋体" w:hAnsi="宋体" w:eastAsia="宋体" w:cs="宋体"/>
        </w:rPr>
      </w:pPr>
      <w:r>
        <w:rPr>
          <w:rFonts w:hint="eastAsia" w:ascii="宋体" w:hAnsi="宋体" w:eastAsia="宋体" w:cs="宋体"/>
          <w:b/>
        </w:rPr>
        <w:t>第五十条</w:t>
      </w:r>
      <w:r>
        <w:rPr>
          <w:rFonts w:hint="eastAsia" w:ascii="宋体" w:hAnsi="宋体" w:eastAsia="宋体" w:cs="宋体"/>
        </w:rPr>
        <w:t>　违反本条例第三十二条第（一）项规定的，由城市管理综合执法部门责令改正，限期拆除，并可以按照违法建筑物的建筑面积每平方米处300元以上3000元以下罚款，违法构筑物和其他设施可处工程造价1倍的罚款。</w:t>
      </w:r>
    </w:p>
    <w:p w14:paraId="1CBD927D">
      <w:pPr>
        <w:rPr>
          <w:rFonts w:hint="eastAsia" w:ascii="宋体" w:hAnsi="宋体" w:eastAsia="宋体" w:cs="宋体"/>
        </w:rPr>
      </w:pPr>
      <w:r>
        <w:rPr>
          <w:rFonts w:hint="eastAsia" w:ascii="宋体" w:hAnsi="宋体" w:eastAsia="宋体" w:cs="宋体"/>
        </w:rPr>
        <w:t>违反本条例第三十二条第（二）、（三）、（四）、（五）、（六）项规定的，由城市管理综合执法部门责令改正，并可以处3000元以上3万元以下罚款。</w:t>
      </w:r>
    </w:p>
    <w:p w14:paraId="711D4E56">
      <w:pPr>
        <w:ind w:firstLine="422"/>
      </w:pPr>
      <w:r>
        <w:rPr>
          <w:rFonts w:hint="eastAsia" w:ascii="宋体" w:hAnsi="宋体" w:eastAsia="宋体" w:cs="宋体"/>
          <w:b/>
        </w:rPr>
        <w:t>第五十一条</w:t>
      </w:r>
      <w:r>
        <w:rPr>
          <w:rFonts w:hint="eastAsia" w:ascii="宋体" w:hAnsi="宋体" w:eastAsia="宋体" w:cs="宋体"/>
        </w:rPr>
        <w:t xml:space="preserve">  有关行政管理部门的工作人员违反本条例规定，玩忽职守、滥用职权、徇私舞弊，构成犯罪的，依法追究刑事责任；尚不够刑事处罚的，依法</w:t>
      </w:r>
      <w:r>
        <w:rPr>
          <w:rFonts w:hint="eastAsia"/>
        </w:rPr>
        <w:t>给予行政处分。</w:t>
      </w:r>
    </w:p>
    <w:p w14:paraId="49F3D1AC"/>
    <w:p w14:paraId="6EE26C60">
      <w:pPr>
        <w:ind w:firstLine="0" w:firstLineChars="0"/>
        <w:jc w:val="center"/>
        <w:rPr>
          <w:b/>
          <w:sz w:val="28"/>
        </w:rPr>
      </w:pPr>
      <w:r>
        <w:rPr>
          <w:rFonts w:hint="eastAsia"/>
          <w:b/>
          <w:sz w:val="28"/>
        </w:rPr>
        <w:t>第七章  附  则</w:t>
      </w:r>
    </w:p>
    <w:p w14:paraId="1BE62CA6">
      <w:r>
        <w:rPr>
          <w:rFonts w:hint="eastAsia"/>
        </w:rPr>
        <w:t xml:space="preserve"> </w:t>
      </w:r>
    </w:p>
    <w:p w14:paraId="508A2E4A">
      <w:pPr>
        <w:ind w:firstLine="422"/>
      </w:pPr>
      <w:r>
        <w:rPr>
          <w:rFonts w:hint="eastAsia"/>
          <w:b/>
        </w:rPr>
        <w:t>第五十二条</w:t>
      </w:r>
      <w:r>
        <w:rPr>
          <w:rFonts w:hint="eastAsia"/>
        </w:rPr>
        <w:t>　本条例中有关用语的含义：</w:t>
      </w:r>
    </w:p>
    <w:p w14:paraId="7471C53F">
      <w:r>
        <w:rPr>
          <w:rFonts w:hint="eastAsia"/>
        </w:rPr>
        <w:t>（一）燃气是指用于生产、生活的天然气、人工煤气、液化石油气等气体燃料的总称。</w:t>
      </w:r>
    </w:p>
    <w:p w14:paraId="610E0EC2">
      <w:r>
        <w:rPr>
          <w:rFonts w:hint="eastAsia"/>
        </w:rPr>
        <w:t>（二）燃气供应单位包括燃气供应企业和燃气自管单位。燃气自管单位是指在其管理的用户范围内，自行负责相应的燃气设施管理、运行维护工作的单位。</w:t>
      </w:r>
    </w:p>
    <w:p w14:paraId="72093764">
      <w:r>
        <w:rPr>
          <w:rFonts w:hint="eastAsia"/>
        </w:rPr>
        <w:t>（三）燃气设施是指用于燃气储备、输配和应用的场站、管网以及用户设施。</w:t>
      </w:r>
    </w:p>
    <w:p w14:paraId="26559E74">
      <w:r>
        <w:rPr>
          <w:rFonts w:hint="eastAsia"/>
        </w:rPr>
        <w:t>（四）用气设备是指使用燃气作为燃料进行加热、炊事等的设备，如燃气工业炉、燃气锅炉、燃气空调机、民用燃气用具等。</w:t>
      </w:r>
    </w:p>
    <w:p w14:paraId="6EEE1E97">
      <w:r>
        <w:rPr>
          <w:rFonts w:hint="eastAsia"/>
        </w:rPr>
        <w:t>（五）居民用户的共用燃气设施是指引入管、立管、阀门（含公用阀门）、水平管、计量器具前支管、燃气计量器具等。</w:t>
      </w:r>
    </w:p>
    <w:p w14:paraId="4A8A51E5">
      <w:pPr>
        <w:ind w:firstLine="422"/>
        <w:rPr>
          <w:rFonts w:hint="eastAsia" w:ascii="宋体" w:hAnsi="宋体" w:eastAsia="宋体" w:cs="宋体"/>
        </w:rPr>
      </w:pPr>
      <w:r>
        <w:rPr>
          <w:rFonts w:hint="eastAsia"/>
          <w:b/>
        </w:rPr>
        <w:t>第五十三</w:t>
      </w:r>
      <w:r>
        <w:rPr>
          <w:rFonts w:hint="eastAsia" w:ascii="宋体" w:hAnsi="宋体" w:eastAsia="宋体" w:cs="宋体"/>
          <w:b/>
        </w:rPr>
        <w:t>条</w:t>
      </w:r>
      <w:r>
        <w:rPr>
          <w:rFonts w:hint="eastAsia" w:ascii="宋体" w:hAnsi="宋体" w:eastAsia="宋体" w:cs="宋体"/>
        </w:rPr>
        <w:t>　本条例自2007年5月1日起施行。1998年7月8日市人民政府第10号令公布、根据2002年2月11日市人民政府第92号令修改的《北京市城市燃气管理办法》同时废止。</w:t>
      </w:r>
    </w:p>
    <w:p w14:paraId="17946714">
      <w:pPr>
        <w:pStyle w:val="4"/>
        <w:pageBreakBefore/>
      </w:pPr>
      <w:bookmarkStart w:id="2707" w:name="_Toc426467184"/>
      <w:bookmarkStart w:id="2708" w:name="_Toc428781932"/>
      <w:bookmarkStart w:id="2709" w:name="_Toc428780849"/>
      <w:r>
        <w:rPr>
          <w:rFonts w:hint="eastAsia"/>
        </w:rPr>
        <w:t>北京市实施《中华人民共和国节约能源法》办法</w:t>
      </w:r>
      <w:bookmarkEnd w:id="2707"/>
      <w:bookmarkEnd w:id="2708"/>
      <w:bookmarkEnd w:id="2709"/>
    </w:p>
    <w:p w14:paraId="72295A79">
      <w:pPr>
        <w:ind w:left="630" w:leftChars="300" w:right="630" w:rightChars="300"/>
        <w:rPr>
          <w:rFonts w:ascii="楷体" w:hAnsi="楷体" w:eastAsia="楷体"/>
        </w:rPr>
      </w:pPr>
      <w:r>
        <w:rPr>
          <w:rFonts w:hint="eastAsia" w:ascii="楷体" w:hAnsi="楷体" w:eastAsia="楷体"/>
        </w:rPr>
        <w:t>（1999年9月16日北京市第十一届人民代表大会常务委员会第十三次会议通过　2010年5月28日北京市第十三届人民代表大会常务委员会第十八次会议修订）</w:t>
      </w:r>
    </w:p>
    <w:p w14:paraId="0023A457"/>
    <w:p w14:paraId="5FECD1B1">
      <w:pPr>
        <w:ind w:firstLine="0" w:firstLineChars="0"/>
        <w:jc w:val="center"/>
        <w:rPr>
          <w:b/>
          <w:sz w:val="28"/>
        </w:rPr>
      </w:pPr>
      <w:r>
        <w:rPr>
          <w:rFonts w:hint="eastAsia"/>
          <w:b/>
          <w:sz w:val="28"/>
        </w:rPr>
        <w:t>第一章　总　则</w:t>
      </w:r>
    </w:p>
    <w:p w14:paraId="37720D38"/>
    <w:p w14:paraId="1FEFE84E">
      <w:pPr>
        <w:ind w:firstLine="422"/>
      </w:pPr>
      <w:r>
        <w:rPr>
          <w:rFonts w:hint="eastAsia"/>
          <w:b/>
        </w:rPr>
        <w:t>第一条</w:t>
      </w:r>
      <w:r>
        <w:rPr>
          <w:rFonts w:hint="eastAsia"/>
        </w:rPr>
        <w:t xml:space="preserve">  为了实施《中华人民共和国节约能源法》，结合本市实际情况，制定本办法。</w:t>
      </w:r>
    </w:p>
    <w:p w14:paraId="326B39F8">
      <w:pPr>
        <w:ind w:firstLine="422"/>
      </w:pPr>
      <w:r>
        <w:rPr>
          <w:rFonts w:hint="eastAsia"/>
          <w:b/>
        </w:rPr>
        <w:t>第二条</w:t>
      </w:r>
      <w:r>
        <w:rPr>
          <w:rFonts w:hint="eastAsia"/>
        </w:rPr>
        <w:t xml:space="preserve">  本办法适用于本市行政区域内的节能管理、能源使用和节能技术的开发、利用等活动。</w:t>
      </w:r>
    </w:p>
    <w:p w14:paraId="70474B99">
      <w:pPr>
        <w:ind w:firstLine="422"/>
      </w:pPr>
      <w:r>
        <w:rPr>
          <w:rFonts w:hint="eastAsia"/>
          <w:b/>
        </w:rPr>
        <w:t>第三条</w:t>
      </w:r>
      <w:r>
        <w:rPr>
          <w:rFonts w:hint="eastAsia"/>
        </w:rPr>
        <w:t xml:space="preserve">  本市贯彻节约资源的基本国策，实施节约与开发并举、把节约放在首位的能源发展战略，建设资源节约型、环境友好型社会。</w:t>
      </w:r>
    </w:p>
    <w:p w14:paraId="0CF6E243">
      <w:r>
        <w:rPr>
          <w:rFonts w:hint="eastAsia"/>
        </w:rPr>
        <w:t>节能工作遵循政府引导、市场调节、科技推动、社会参与的原则。</w:t>
      </w:r>
    </w:p>
    <w:p w14:paraId="43177168">
      <w:pPr>
        <w:ind w:firstLine="422"/>
      </w:pPr>
      <w:r>
        <w:rPr>
          <w:rFonts w:hint="eastAsia"/>
          <w:b/>
        </w:rPr>
        <w:t>第四条</w:t>
      </w:r>
      <w:r>
        <w:rPr>
          <w:rFonts w:hint="eastAsia"/>
        </w:rPr>
        <w:t xml:space="preserve">  市和区、县人民政府应当将节能工作纳入国民经济和社会发展规划、年度计划，并组织编制和实施节能中长期专项规划、年度节能计划。</w:t>
      </w:r>
    </w:p>
    <w:p w14:paraId="052F5AB7">
      <w:r>
        <w:rPr>
          <w:rFonts w:hint="eastAsia"/>
        </w:rPr>
        <w:t>市和区、县人民政府每年向同级人民代表大会或者其常务委员会报告节能工作。</w:t>
      </w:r>
    </w:p>
    <w:p w14:paraId="65E7759B">
      <w:pPr>
        <w:ind w:firstLine="422"/>
      </w:pPr>
      <w:r>
        <w:rPr>
          <w:rFonts w:hint="eastAsia"/>
          <w:b/>
        </w:rPr>
        <w:t>第五条</w:t>
      </w:r>
      <w:r>
        <w:rPr>
          <w:rFonts w:hint="eastAsia"/>
        </w:rPr>
        <w:t xml:space="preserve">  市和区、县人民政府应当根据经济和社会发展的需要，调整产业结构、企业结构、产品结构和能源消费结构，加快发展低能耗的高新技术产业、服务业、现代制造业和节能环保产业，限制发展高耗能产业，提高能源利用效率。</w:t>
      </w:r>
    </w:p>
    <w:p w14:paraId="7E456ACC">
      <w:pPr>
        <w:ind w:firstLine="422"/>
      </w:pPr>
      <w:r>
        <w:rPr>
          <w:rFonts w:hint="eastAsia"/>
          <w:b/>
        </w:rPr>
        <w:t>第六条</w:t>
      </w:r>
      <w:r>
        <w:rPr>
          <w:rFonts w:hint="eastAsia"/>
        </w:rPr>
        <w:t xml:space="preserve">  市和区、县发展改革部门主管本行政区域内的节能监督管理工作，负责节能综合协调，组织拟定本市节约能源综合规划，按照职责分工组织实施节能监察和考核工作。</w:t>
      </w:r>
    </w:p>
    <w:p w14:paraId="2E187453">
      <w:r>
        <w:rPr>
          <w:rFonts w:hint="eastAsia"/>
        </w:rPr>
        <w:t>发展改革部门所属的节能监察机构具体实施节能监察工作。</w:t>
      </w:r>
    </w:p>
    <w:p w14:paraId="4B404C13">
      <w:r>
        <w:rPr>
          <w:rFonts w:hint="eastAsia"/>
        </w:rPr>
        <w:t>经济和信息化、住房和城乡建设、交通、公共机构节能管理、市政市容、规划、科技、财政、质量技术监督、统计、农业等部门在各自的职责范围内负责节能监督管理工作，并接受同级发展改革部门的指导。</w:t>
      </w:r>
    </w:p>
    <w:p w14:paraId="5E370CF5">
      <w:pPr>
        <w:ind w:firstLine="422"/>
      </w:pPr>
      <w:r>
        <w:rPr>
          <w:rFonts w:hint="eastAsia"/>
          <w:b/>
        </w:rPr>
        <w:t>第七条</w:t>
      </w:r>
      <w:r>
        <w:rPr>
          <w:rFonts w:hint="eastAsia"/>
        </w:rPr>
        <w:t xml:space="preserve">  本市鼓励、支持节能科学技术的研究、开发、示范应用及推广，促进节能技术的创新与进步。</w:t>
      </w:r>
    </w:p>
    <w:p w14:paraId="75F4CEA0">
      <w:r>
        <w:rPr>
          <w:rFonts w:hint="eastAsia"/>
        </w:rPr>
        <w:t>鼓励、支持开发利用新能源、可再生能源。</w:t>
      </w:r>
    </w:p>
    <w:p w14:paraId="19BCFAB2">
      <w:pPr>
        <w:ind w:firstLine="422"/>
      </w:pPr>
      <w:r>
        <w:rPr>
          <w:rFonts w:hint="eastAsia"/>
          <w:b/>
        </w:rPr>
        <w:t>第八条</w:t>
      </w:r>
      <w:r>
        <w:rPr>
          <w:rFonts w:hint="eastAsia"/>
        </w:rPr>
        <w:t xml:space="preserve">  市发展改革部门应当会同有关部门和社会组织，开展节能宣传和教育，通过国民教育和培训体系、节能宣传周、节能社区、节能家庭、志愿者服务等形式，普及节能科学知识，增强公众的节能意识，倡导节约型的消费方式。</w:t>
      </w:r>
    </w:p>
    <w:p w14:paraId="72024FAF">
      <w:r>
        <w:rPr>
          <w:rFonts w:hint="eastAsia"/>
        </w:rPr>
        <w:t>新闻媒体应当加强宣传节能法律、法规、政策和节能知识，对浪费能源的行为进行舆论监督。</w:t>
      </w:r>
    </w:p>
    <w:p w14:paraId="47218A78">
      <w:r>
        <w:rPr>
          <w:rFonts w:hint="eastAsia"/>
        </w:rPr>
        <w:t>本市在每年六月开展节能宣传周活动。</w:t>
      </w:r>
    </w:p>
    <w:p w14:paraId="3A48385A"/>
    <w:p w14:paraId="702EB5CD">
      <w:pPr>
        <w:ind w:firstLine="0" w:firstLineChars="0"/>
        <w:jc w:val="center"/>
        <w:rPr>
          <w:b/>
          <w:sz w:val="28"/>
        </w:rPr>
      </w:pPr>
      <w:r>
        <w:rPr>
          <w:rFonts w:hint="eastAsia"/>
          <w:b/>
          <w:sz w:val="28"/>
        </w:rPr>
        <w:t>第二章　节能管理</w:t>
      </w:r>
    </w:p>
    <w:p w14:paraId="5175925F"/>
    <w:p w14:paraId="6B7AE05A">
      <w:pPr>
        <w:ind w:firstLine="422"/>
      </w:pPr>
      <w:r>
        <w:rPr>
          <w:rFonts w:hint="eastAsia"/>
          <w:b/>
        </w:rPr>
        <w:t>第九条</w:t>
      </w:r>
      <w:r>
        <w:rPr>
          <w:rFonts w:hint="eastAsia"/>
        </w:rPr>
        <w:t xml:space="preserve">  市和区、县人民政府建立议事协调机制，统筹协调、组织推动本地区节能工作，研究解决节能工作中的重大问题。</w:t>
      </w:r>
    </w:p>
    <w:p w14:paraId="4B8A8254">
      <w:pPr>
        <w:ind w:firstLine="422"/>
      </w:pPr>
      <w:r>
        <w:rPr>
          <w:rFonts w:hint="eastAsia"/>
          <w:b/>
        </w:rPr>
        <w:t>第十条</w:t>
      </w:r>
      <w:r>
        <w:rPr>
          <w:rFonts w:hint="eastAsia"/>
        </w:rPr>
        <w:t xml:space="preserve">  本市实行节能目标责任制和节能考核评价制度。市人民政府根据节能中长期专项规划和年度节能计划，与区、县人民政府签订节能目标责任书，将节能目标完成情况作为对区、县人民政府及其负责人考核评价的内容。</w:t>
      </w:r>
    </w:p>
    <w:p w14:paraId="32A87D10">
      <w:r>
        <w:rPr>
          <w:rFonts w:hint="eastAsia"/>
        </w:rPr>
        <w:t>节能目标、节能考核评价标准应当结合各区、县发展水平、区域功能定位和各类能耗所占比重等因素，科学合理地制定。</w:t>
      </w:r>
    </w:p>
    <w:p w14:paraId="2C5E2689">
      <w:pPr>
        <w:ind w:firstLine="422"/>
      </w:pPr>
      <w:r>
        <w:rPr>
          <w:rFonts w:hint="eastAsia"/>
          <w:b/>
        </w:rPr>
        <w:t>第十一条</w:t>
      </w:r>
      <w:r>
        <w:rPr>
          <w:rFonts w:hint="eastAsia"/>
        </w:rPr>
        <w:t xml:space="preserve">  经济和信息化、住房和城乡建设、交通、公共机构节能管理、市政市容等部门会同发展改革部门，根据本市节能中长期专项规划，分别编制工业、民用建筑、交通运输、公共机构、供热等领域或者系统的节能规划，报市人民政府批准后实施。</w:t>
      </w:r>
    </w:p>
    <w:p w14:paraId="2E7CBA4F">
      <w:r>
        <w:rPr>
          <w:rFonts w:hint="eastAsia"/>
        </w:rPr>
        <w:t>节能规划应当包括编制依据、节能目标、重点任务、保障措施等内容。</w:t>
      </w:r>
    </w:p>
    <w:p w14:paraId="003D7A11">
      <w:pPr>
        <w:ind w:firstLine="422"/>
      </w:pPr>
      <w:r>
        <w:rPr>
          <w:rFonts w:hint="eastAsia"/>
          <w:b/>
        </w:rPr>
        <w:t>第十二条</w:t>
      </w:r>
      <w:r>
        <w:rPr>
          <w:rFonts w:hint="eastAsia"/>
        </w:rPr>
        <w:t xml:space="preserve">  本市节能领域严格执行国家标准、行业标准。没有国家标准、行业标准，本市需要制定地方标准的，或者本市需要制定严于强制性国家标准、行业标准的地方标准的，由市质量技术监督部门、有关行政部门依法组织制定。本市制定的地方节能标准应当公布，并根据经济社会发展情况适时修订。</w:t>
      </w:r>
    </w:p>
    <w:p w14:paraId="43E7E362">
      <w:pPr>
        <w:ind w:firstLine="422"/>
      </w:pPr>
      <w:r>
        <w:rPr>
          <w:rFonts w:hint="eastAsia"/>
          <w:b/>
        </w:rPr>
        <w:t>第十三条</w:t>
      </w:r>
      <w:r>
        <w:rPr>
          <w:rFonts w:hint="eastAsia"/>
        </w:rPr>
        <w:t xml:space="preserve">  本市按照国家规定实行固定资产投资项目节能评估和审查制度。达到国家规定的规模和标准的项目，由市发展改革部门组织节能评估并出具节能审查意见。</w:t>
      </w:r>
    </w:p>
    <w:p w14:paraId="26A00060">
      <w:r>
        <w:rPr>
          <w:rFonts w:hint="eastAsia"/>
        </w:rPr>
        <w:t>固定资产投资项目的建设单位和设计单位，应当按照节能强制性标准及节能审查意见进行建设项目的设计。施工图设计文件审查机构应当按照节能强制性标准及节能审查意见对施工图设计文件进行审查。</w:t>
      </w:r>
    </w:p>
    <w:p w14:paraId="029F38FA">
      <w:r>
        <w:rPr>
          <w:rFonts w:hint="eastAsia"/>
        </w:rPr>
        <w:t>固定资产投资项目的施工单位、监理单位和建设单位，应当按照审查合格的施工图设计文件进行施工、监理和竣工验收。</w:t>
      </w:r>
    </w:p>
    <w:p w14:paraId="35E9CA4E">
      <w:pPr>
        <w:ind w:firstLine="422"/>
      </w:pPr>
      <w:r>
        <w:rPr>
          <w:rFonts w:hint="eastAsia"/>
          <w:b/>
        </w:rPr>
        <w:t>第十四条</w:t>
      </w:r>
      <w:r>
        <w:rPr>
          <w:rFonts w:hint="eastAsia"/>
        </w:rPr>
        <w:t>　市经济和信息化部门编制工业结构调整目录，指导用能单位对耗能过高的用能产品、设备和生产工艺实施技术改造。</w:t>
      </w:r>
    </w:p>
    <w:p w14:paraId="2E027156">
      <w:pPr>
        <w:ind w:firstLine="422"/>
      </w:pPr>
      <w:r>
        <w:rPr>
          <w:rFonts w:hint="eastAsia"/>
          <w:b/>
        </w:rPr>
        <w:t>第十五条</w:t>
      </w:r>
      <w:r>
        <w:rPr>
          <w:rFonts w:hint="eastAsia"/>
        </w:rPr>
        <w:t>　禁止生产、进口、销售国家明令淘汰或者不符合强制性能源效率标准的用能产品、设备；禁止使用国家明令淘汰的用能设备、生产工艺。</w:t>
      </w:r>
    </w:p>
    <w:p w14:paraId="666E01D0">
      <w:pPr>
        <w:ind w:firstLine="422"/>
      </w:pPr>
      <w:r>
        <w:rPr>
          <w:rFonts w:hint="eastAsia"/>
          <w:b/>
        </w:rPr>
        <w:t>第十六条</w:t>
      </w:r>
      <w:r>
        <w:rPr>
          <w:rFonts w:hint="eastAsia"/>
        </w:rPr>
        <w:t>　质量技术监督部门按照国家规定对高耗能特种设备的设计、制造、安装、改造、维修、使用及检验检测实行节能审查和监管。</w:t>
      </w:r>
    </w:p>
    <w:p w14:paraId="620A08C8">
      <w:pPr>
        <w:ind w:firstLine="422"/>
      </w:pPr>
      <w:r>
        <w:rPr>
          <w:rFonts w:hint="eastAsia"/>
          <w:b/>
        </w:rPr>
        <w:t>第十七条</w:t>
      </w:r>
      <w:r>
        <w:rPr>
          <w:rFonts w:hint="eastAsia"/>
        </w:rPr>
        <w:t>　市统计部门建立健全能源统计制度和能源统计指标体系，定期发布主要耗能行业的能源消费和节能情况等信息。</w:t>
      </w:r>
    </w:p>
    <w:p w14:paraId="6EE3224D">
      <w:pPr>
        <w:ind w:firstLine="422"/>
      </w:pPr>
      <w:r>
        <w:rPr>
          <w:rFonts w:hint="eastAsia"/>
          <w:b/>
        </w:rPr>
        <w:t>第十八条</w:t>
      </w:r>
      <w:r>
        <w:rPr>
          <w:rFonts w:hint="eastAsia"/>
        </w:rPr>
        <w:t>　市发展改革部门建立统一的节能公共服务网站，公布节能政策法规、节能服务机构名录，宣传节能知识，介绍节能技术和产品，披露违反节能法律、法规行为的信息，促进节能信息资源共享。</w:t>
      </w:r>
    </w:p>
    <w:p w14:paraId="23B3B28F">
      <w:pPr>
        <w:ind w:firstLine="422"/>
      </w:pPr>
      <w:r>
        <w:rPr>
          <w:rFonts w:hint="eastAsia"/>
          <w:b/>
        </w:rPr>
        <w:t>第十九条</w:t>
      </w:r>
      <w:r>
        <w:rPr>
          <w:rFonts w:hint="eastAsia"/>
        </w:rPr>
        <w:t>　政府部门可以委托行业协会、节能服务机构开展节能宣传培训、信息咨询和技术推广等工作。</w:t>
      </w:r>
    </w:p>
    <w:p w14:paraId="79B495C1">
      <w:pPr>
        <w:ind w:firstLine="422"/>
      </w:pPr>
      <w:r>
        <w:rPr>
          <w:rFonts w:hint="eastAsia"/>
          <w:b/>
        </w:rPr>
        <w:t>第二十条</w:t>
      </w:r>
      <w:r>
        <w:rPr>
          <w:rFonts w:hint="eastAsia"/>
        </w:rPr>
        <w:t>　本市建立和完善节能服务体系。支持节能服务机构开展节能咨询、设计、评估、检测、审计、认证等活动，开展节能知识宣传和节能技术培训，提供节能信息、节能示范和其他公益性节能服务。</w:t>
      </w:r>
    </w:p>
    <w:p w14:paraId="2C9427E8">
      <w:r>
        <w:rPr>
          <w:rFonts w:hint="eastAsia"/>
        </w:rPr>
        <w:t>节能服务机构应当按照法律规定和合同约定从事节能服务活动，提高服务质量，保障提供的信息真实准确。</w:t>
      </w:r>
    </w:p>
    <w:p w14:paraId="4BDC6083">
      <w:r>
        <w:rPr>
          <w:rFonts w:hint="eastAsia"/>
        </w:rPr>
        <w:t>市和区、县人民政府及负有节能监督管理职责的部门制定与节能有关的政策和标准时，应当听取节能服务机构的意见。</w:t>
      </w:r>
    </w:p>
    <w:p w14:paraId="1DC8A648">
      <w:pPr>
        <w:ind w:firstLine="422"/>
      </w:pPr>
      <w:r>
        <w:rPr>
          <w:rFonts w:hint="eastAsia"/>
          <w:b/>
        </w:rPr>
        <w:t>第二十一条</w:t>
      </w:r>
      <w:r>
        <w:rPr>
          <w:rFonts w:hint="eastAsia"/>
        </w:rPr>
        <w:t>　本市推行合同能源管理，发展节能服务产业。节能服务机构通过与用能单位签订节能服务合同，为用能单位提供节能诊断、融资、改造等服务，并按照合同约定与用能单位分享节能效益。</w:t>
      </w:r>
    </w:p>
    <w:p w14:paraId="4A736F63">
      <w:r>
        <w:rPr>
          <w:rFonts w:hint="eastAsia"/>
        </w:rPr>
        <w:t>本市将合同能源管理项目纳入有关专项资金支持范围。对采用合同能源管理方式实施的节能改造项目，按照国家和本市有关规定，给予税收扶持和补助、奖励。</w:t>
      </w:r>
    </w:p>
    <w:p w14:paraId="2C4D290E">
      <w:r>
        <w:rPr>
          <w:rFonts w:hint="eastAsia"/>
        </w:rPr>
        <w:t>用能单位采用合同能源管理方式支付节能服务机构的支出，按照国家会计制度的规定予以列支。</w:t>
      </w:r>
    </w:p>
    <w:p w14:paraId="12D0F3D6">
      <w:r>
        <w:rPr>
          <w:rFonts w:hint="eastAsia"/>
        </w:rPr>
        <w:t>鼓励金融机构根据节能服务机构的融资需求特点，创新信贷产品，拓宽担保品范围，简化申请和审批手续，为节能服务机构提供项目融资、保理等金融服务。</w:t>
      </w:r>
    </w:p>
    <w:p w14:paraId="65917533">
      <w:pPr>
        <w:ind w:firstLine="422"/>
      </w:pPr>
      <w:r>
        <w:rPr>
          <w:rFonts w:hint="eastAsia"/>
          <w:b/>
        </w:rPr>
        <w:t>第二十二条</w:t>
      </w:r>
      <w:r>
        <w:rPr>
          <w:rFonts w:hint="eastAsia"/>
        </w:rPr>
        <w:t>　任何单位和个人应当依法履行节能义务，有权举报浪费能源的违法行为。</w:t>
      </w:r>
    </w:p>
    <w:p w14:paraId="37048AE9">
      <w:r>
        <w:rPr>
          <w:rFonts w:hint="eastAsia"/>
        </w:rPr>
        <w:t>负有节能监督管理职责的部门应当公布举报电话、电子邮箱或者其他联系方式；接到举报，应当完整地进行记录，及时调查核实并依法作出处理。</w:t>
      </w:r>
    </w:p>
    <w:p w14:paraId="60A0BB05">
      <w:r>
        <w:rPr>
          <w:rFonts w:hint="eastAsia"/>
        </w:rPr>
        <w:t>负有节能监督管理职责的部门应当为举报人保密；对举报属实、为查处违法案件提供线索和证据的举报人给予奖励。</w:t>
      </w:r>
    </w:p>
    <w:p w14:paraId="61318891"/>
    <w:p w14:paraId="37059100">
      <w:pPr>
        <w:ind w:firstLine="0" w:firstLineChars="0"/>
        <w:jc w:val="center"/>
        <w:rPr>
          <w:b/>
          <w:sz w:val="28"/>
        </w:rPr>
      </w:pPr>
      <w:r>
        <w:rPr>
          <w:rFonts w:hint="eastAsia"/>
          <w:b/>
          <w:sz w:val="28"/>
        </w:rPr>
        <w:t>第三章　合理使用与节约能源</w:t>
      </w:r>
    </w:p>
    <w:p w14:paraId="7E8A4FC4"/>
    <w:p w14:paraId="492D97F7">
      <w:pPr>
        <w:ind w:firstLine="422"/>
      </w:pPr>
      <w:r>
        <w:rPr>
          <w:rFonts w:hint="eastAsia"/>
          <w:b/>
        </w:rPr>
        <w:t>第二十三条</w:t>
      </w:r>
      <w:r>
        <w:rPr>
          <w:rFonts w:hint="eastAsia"/>
        </w:rPr>
        <w:t>　用能单位应当加强用能管理，采取技术上可行、经济上合理及环境和社会可承受的措施，降低能源消耗，减少排放，有效、合理地利用能源，制止能源浪费。</w:t>
      </w:r>
    </w:p>
    <w:p w14:paraId="16272B41">
      <w:pPr>
        <w:ind w:firstLine="422"/>
      </w:pPr>
      <w:r>
        <w:rPr>
          <w:rFonts w:hint="eastAsia"/>
          <w:b/>
        </w:rPr>
        <w:t>第二十四条</w:t>
      </w:r>
      <w:r>
        <w:rPr>
          <w:rFonts w:hint="eastAsia"/>
        </w:rPr>
        <w:t>　用能单位应当做好以下工作：</w:t>
      </w:r>
    </w:p>
    <w:p w14:paraId="63B02A29">
      <w:r>
        <w:rPr>
          <w:rFonts w:hint="eastAsia"/>
        </w:rPr>
        <w:t>（一）建立节能目标责任制和节能奖惩制度；</w:t>
      </w:r>
    </w:p>
    <w:p w14:paraId="4C4F4E11">
      <w:r>
        <w:rPr>
          <w:rFonts w:hint="eastAsia"/>
        </w:rPr>
        <w:t>（二）制定并实施节能计划和节能技术措施；</w:t>
      </w:r>
    </w:p>
    <w:p w14:paraId="61778164">
      <w:r>
        <w:rPr>
          <w:rFonts w:hint="eastAsia"/>
        </w:rPr>
        <w:t>（三）建立月度能源消费统计台账和能源利用状况分析制度；</w:t>
      </w:r>
    </w:p>
    <w:p w14:paraId="46D32EAE">
      <w:r>
        <w:rPr>
          <w:rFonts w:hint="eastAsia"/>
        </w:rPr>
        <w:t>（四）定期开展节能教育和岗位节能培训。</w:t>
      </w:r>
    </w:p>
    <w:p w14:paraId="377C4227">
      <w:r>
        <w:rPr>
          <w:rFonts w:hint="eastAsia"/>
        </w:rPr>
        <w:t>年综合能源消费总</w:t>
      </w:r>
      <w:r>
        <w:rPr>
          <w:rFonts w:hint="eastAsia" w:ascii="宋体" w:hAnsi="宋体" w:eastAsia="宋体" w:cs="宋体"/>
        </w:rPr>
        <w:t>量2000吨以上不满1万吨</w:t>
      </w:r>
      <w:r>
        <w:rPr>
          <w:rFonts w:hint="eastAsia"/>
        </w:rPr>
        <w:t>标准煤的用能单位，除市发展改革部门指定的重点用能单位外，应当每年向所在地的区、县发展改革部门报送能源利用状况报告。</w:t>
      </w:r>
    </w:p>
    <w:p w14:paraId="3BA82680">
      <w:pPr>
        <w:ind w:firstLine="422"/>
      </w:pPr>
      <w:r>
        <w:rPr>
          <w:rFonts w:hint="eastAsia"/>
          <w:b/>
        </w:rPr>
        <w:t>第二十五条</w:t>
      </w:r>
      <w:r>
        <w:rPr>
          <w:rFonts w:hint="eastAsia"/>
        </w:rPr>
        <w:t>　用能单位应当加强能源计量管理，按照规定配备和使用经依法检定合格的能源计量器具，记录和汇总能源计量原始数据，确保数据真实、完整。</w:t>
      </w:r>
    </w:p>
    <w:p w14:paraId="364D9DC3">
      <w:pPr>
        <w:ind w:firstLine="422"/>
      </w:pPr>
      <w:r>
        <w:rPr>
          <w:rFonts w:hint="eastAsia"/>
          <w:b/>
        </w:rPr>
        <w:t>第二十六条</w:t>
      </w:r>
      <w:r>
        <w:rPr>
          <w:rFonts w:hint="eastAsia"/>
        </w:rPr>
        <w:t>　供热单位应当加强供热系统节能管理，对供热系统进行定期检查、维护和更新改造，提高供热系统效率。</w:t>
      </w:r>
    </w:p>
    <w:p w14:paraId="5029CCDB">
      <w:pPr>
        <w:ind w:firstLine="422"/>
      </w:pPr>
      <w:r>
        <w:rPr>
          <w:rFonts w:hint="eastAsia"/>
          <w:b/>
        </w:rPr>
        <w:t>第二十七条</w:t>
      </w:r>
      <w:r>
        <w:rPr>
          <w:rFonts w:hint="eastAsia"/>
        </w:rPr>
        <w:t>　能源生产经营单位不得向本单位职工无偿提供能源。任何单位不得对能源消费实行包费制。</w:t>
      </w:r>
    </w:p>
    <w:p w14:paraId="6E3165AE">
      <w:pPr>
        <w:ind w:firstLine="422"/>
      </w:pPr>
      <w:r>
        <w:rPr>
          <w:rFonts w:hint="eastAsia"/>
          <w:b/>
        </w:rPr>
        <w:t>第二十八条</w:t>
      </w:r>
      <w:r>
        <w:rPr>
          <w:rFonts w:hint="eastAsia"/>
        </w:rPr>
        <w:t>　本市鼓励用能单位与同行业的能源效率先进水平指标进行对比，强化节能管理，实施节能技术改造，优化用能结构，提高能源利用效率。</w:t>
      </w:r>
    </w:p>
    <w:p w14:paraId="1677C5C8">
      <w:r>
        <w:rPr>
          <w:rFonts w:hint="eastAsia"/>
        </w:rPr>
        <w:t>有关行业协会应当为会员单位进行能效指标对比和优化节能管理提供指导和咨询服务。</w:t>
      </w:r>
    </w:p>
    <w:p w14:paraId="36111485">
      <w:pPr>
        <w:ind w:firstLine="422"/>
      </w:pPr>
      <w:r>
        <w:rPr>
          <w:rFonts w:hint="eastAsia"/>
          <w:b/>
        </w:rPr>
        <w:t>第二十九条</w:t>
      </w:r>
      <w:r>
        <w:rPr>
          <w:rFonts w:hint="eastAsia"/>
        </w:rPr>
        <w:t>　本市鼓励工业企业采用高效、节能的电动机、锅炉、窑炉、风机、泵类等设备，采用热电联产、余热余压利用、洁净煤以及先进的用能监测和控制等技术。</w:t>
      </w:r>
    </w:p>
    <w:p w14:paraId="2B101112">
      <w:pPr>
        <w:ind w:firstLine="422"/>
      </w:pPr>
      <w:r>
        <w:rPr>
          <w:rFonts w:hint="eastAsia"/>
          <w:b/>
        </w:rPr>
        <w:t>第三十条</w:t>
      </w:r>
      <w:r>
        <w:rPr>
          <w:rFonts w:hint="eastAsia"/>
        </w:rPr>
        <w:t>　电网企业应当按照国家规定的并网技术标准，加强电网建设，提高吸纳可再生能源电力的能力，为可再生能源发电提供上网服务。</w:t>
      </w:r>
    </w:p>
    <w:p w14:paraId="600CB802">
      <w:pPr>
        <w:ind w:firstLine="422"/>
      </w:pPr>
      <w:r>
        <w:rPr>
          <w:rFonts w:hint="eastAsia"/>
          <w:b/>
        </w:rPr>
        <w:t>第三十一条</w:t>
      </w:r>
      <w:r>
        <w:rPr>
          <w:rFonts w:hint="eastAsia"/>
        </w:rPr>
        <w:t>　建筑所有权人或者使用权人应当保证建筑用能系统正常运行，不得人为损坏建筑围护结构和用能系统。</w:t>
      </w:r>
    </w:p>
    <w:p w14:paraId="2D0AF7CA">
      <w:pPr>
        <w:ind w:firstLine="422"/>
      </w:pPr>
      <w:r>
        <w:rPr>
          <w:rFonts w:hint="eastAsia"/>
          <w:b/>
        </w:rPr>
        <w:t>第三十二条</w:t>
      </w:r>
      <w:r>
        <w:rPr>
          <w:rFonts w:hint="eastAsia"/>
        </w:rPr>
        <w:t>　本市在民用建筑领域推广太阳能利用系统，其中，新建保障性住房、政府投资的公共建筑，以及在小城镇、工业园区建设中应当率先推广使用。新建民用建筑安装太阳能利用系统或者预留安装位置的，应当符合国家和本市有关太阳能利用系统与建筑一体化设计、施工的技术标准，并与建筑主体工程同步设计、同步施工、同步验收。具体办法由市住房和城乡建设部门会同有关部门制定，报市人民政府批准后执行。</w:t>
      </w:r>
    </w:p>
    <w:p w14:paraId="0C2B0BBE">
      <w:r>
        <w:rPr>
          <w:rFonts w:hint="eastAsia"/>
        </w:rPr>
        <w:t>本市推广太阳能在新农村建设中的普及和应用；开展示范项目，支持农业生产、农民生活与太阳能利用相结合。</w:t>
      </w:r>
    </w:p>
    <w:p w14:paraId="02BD5EE3">
      <w:r>
        <w:rPr>
          <w:rFonts w:hint="eastAsia"/>
        </w:rPr>
        <w:t>支持太阳能利用项目的补贴办法按照市人民政府有关规定执行。</w:t>
      </w:r>
    </w:p>
    <w:p w14:paraId="259F65DE">
      <w:pPr>
        <w:ind w:firstLine="422"/>
      </w:pPr>
      <w:r>
        <w:rPr>
          <w:rFonts w:hint="eastAsia"/>
          <w:b/>
        </w:rPr>
        <w:t>第三十三条</w:t>
      </w:r>
      <w:r>
        <w:rPr>
          <w:rFonts w:hint="eastAsia"/>
        </w:rPr>
        <w:t>　既有居住建筑不符合民用建筑节能强制性标准的，在尊重该建筑所有权人意愿的基础上，逐步实施节能改造。节能改造费用由政府、建筑所有权人共同负担。</w:t>
      </w:r>
    </w:p>
    <w:p w14:paraId="21EFFA62">
      <w:r>
        <w:rPr>
          <w:rFonts w:hint="eastAsia"/>
        </w:rPr>
        <w:t>住房和城乡建设部门制定既有居住建筑节能改造计划，明确节能改造的范围、要求和项目实施单位，报同级人民政府批准后执行。</w:t>
      </w:r>
    </w:p>
    <w:p w14:paraId="1DFD3A34">
      <w:pPr>
        <w:ind w:firstLine="422"/>
      </w:pPr>
      <w:r>
        <w:rPr>
          <w:rFonts w:hint="eastAsia"/>
          <w:b/>
        </w:rPr>
        <w:t>第三十四条</w:t>
      </w:r>
      <w:r>
        <w:rPr>
          <w:rFonts w:hint="eastAsia"/>
        </w:rPr>
        <w:t>　居住建筑以外的其他既有民用建筑不符合民用建筑节能强制性标准的，在进行扩建、改建时，应当同步进行节能改造。</w:t>
      </w:r>
    </w:p>
    <w:p w14:paraId="2E780E46">
      <w:pPr>
        <w:ind w:firstLine="422"/>
      </w:pPr>
      <w:r>
        <w:rPr>
          <w:rFonts w:hint="eastAsia"/>
          <w:b/>
        </w:rPr>
        <w:t>第三十五条</w:t>
      </w:r>
      <w:r>
        <w:rPr>
          <w:rFonts w:hint="eastAsia"/>
        </w:rPr>
        <w:t>　农民对住宅实施节能保温改造的，按照本市有关规定给予政策性资金扶持。</w:t>
      </w:r>
    </w:p>
    <w:p w14:paraId="60721AC8">
      <w:pPr>
        <w:ind w:firstLine="422"/>
      </w:pPr>
      <w:r>
        <w:rPr>
          <w:rFonts w:hint="eastAsia"/>
          <w:b/>
        </w:rPr>
        <w:t>第三十六条</w:t>
      </w:r>
      <w:r>
        <w:rPr>
          <w:rFonts w:hint="eastAsia"/>
        </w:rPr>
        <w:t>　使用空调采暖、制冷的公共建筑应当改进空调运行管理，充分利用自然通风，并按照国家规定实行室内温度控制制度。</w:t>
      </w:r>
    </w:p>
    <w:p w14:paraId="2BC07778">
      <w:pPr>
        <w:ind w:firstLine="422"/>
      </w:pPr>
      <w:r>
        <w:rPr>
          <w:rFonts w:hint="eastAsia"/>
          <w:b/>
        </w:rPr>
        <w:t>第三十七条</w:t>
      </w:r>
      <w:r>
        <w:rPr>
          <w:rFonts w:hint="eastAsia"/>
        </w:rPr>
        <w:t>　实行集中供热的建筑分步骤实行供热分户计量、按用热量收费的制度。新建建筑或者对既有建筑进行节能改造，应当按照规定安装用热计量装置、室内温度调控装置和供热系统调控装置。新建建筑未按照规定安装用热计量装置、室内温度调控装置和供热系统调控装置的，建设单位不得出具竣工验收合格报告。</w:t>
      </w:r>
    </w:p>
    <w:p w14:paraId="51041A56">
      <w:pPr>
        <w:ind w:firstLine="422"/>
      </w:pPr>
      <w:r>
        <w:rPr>
          <w:rFonts w:hint="eastAsia"/>
          <w:b/>
        </w:rPr>
        <w:t>第三十八条</w:t>
      </w:r>
      <w:r>
        <w:rPr>
          <w:rFonts w:hint="eastAsia"/>
        </w:rPr>
        <w:t>　公用设施、公共场所的照明和大型建筑物装饰性景观照明及其控制系统应当优先使用节电的技术、产品和新能源，按照节能要求降低照明能耗。</w:t>
      </w:r>
    </w:p>
    <w:p w14:paraId="4CE36089">
      <w:pPr>
        <w:ind w:firstLine="422"/>
      </w:pPr>
      <w:r>
        <w:rPr>
          <w:rFonts w:hint="eastAsia"/>
          <w:b/>
        </w:rPr>
        <w:t>第三十九条</w:t>
      </w:r>
      <w:r>
        <w:rPr>
          <w:rFonts w:hint="eastAsia"/>
        </w:rPr>
        <w:t>　本市促进各种交通运输方式协调发展和有效衔接，优化交通运输结构，建设节能型综合交通运输体系；推进交通信息化建设，建设智能交通运输管理系统，逐步提高交通运行效率。</w:t>
      </w:r>
    </w:p>
    <w:p w14:paraId="21993F99">
      <w:pPr>
        <w:ind w:firstLine="422"/>
      </w:pPr>
      <w:r>
        <w:rPr>
          <w:rFonts w:hint="eastAsia"/>
          <w:b/>
        </w:rPr>
        <w:t>第四十条</w:t>
      </w:r>
      <w:r>
        <w:rPr>
          <w:rFonts w:hint="eastAsia"/>
        </w:rPr>
        <w:t>　本市优先发展公共交通、轨道交通，推广大容量快速公交系统，科学规划调整公共交通线路布局，优化城市道路网络系统。</w:t>
      </w:r>
    </w:p>
    <w:p w14:paraId="4B26A2C6">
      <w:pPr>
        <w:ind w:firstLine="422"/>
      </w:pPr>
      <w:r>
        <w:rPr>
          <w:rFonts w:hint="eastAsia"/>
          <w:b/>
        </w:rPr>
        <w:t>第四十一条</w:t>
      </w:r>
      <w:r>
        <w:rPr>
          <w:rFonts w:hint="eastAsia"/>
        </w:rPr>
        <w:t>　本市鼓励和支持公共交通等公共服务行业优先采购和使用电动车、混合动力车、天然气车等节能环保型汽车。</w:t>
      </w:r>
    </w:p>
    <w:p w14:paraId="01F1C6CB">
      <w:pPr>
        <w:ind w:firstLine="422"/>
      </w:pPr>
      <w:r>
        <w:rPr>
          <w:rFonts w:hint="eastAsia"/>
          <w:b/>
        </w:rPr>
        <w:t>第四十二条</w:t>
      </w:r>
      <w:r>
        <w:rPr>
          <w:rFonts w:hint="eastAsia"/>
        </w:rPr>
        <w:t>　公共机构应当落实下列节能管理工作：</w:t>
      </w:r>
    </w:p>
    <w:p w14:paraId="497DBC02">
      <w:r>
        <w:rPr>
          <w:rFonts w:hint="eastAsia"/>
        </w:rPr>
        <w:t>（一）制定年度节能目标和实施方案，有针对性地采取节能管理或者节能改造措施；</w:t>
      </w:r>
    </w:p>
    <w:p w14:paraId="12A14AB2">
      <w:bookmarkStart w:id="2710" w:name="_Toc428780850"/>
      <w:r>
        <w:rPr>
          <w:rFonts w:hint="eastAsia"/>
        </w:rPr>
        <w:t>（二）带头使用节能产品和设备，提高能源利用效率；</w:t>
      </w:r>
      <w:bookmarkEnd w:id="2710"/>
    </w:p>
    <w:p w14:paraId="61382D23">
      <w:r>
        <w:rPr>
          <w:rFonts w:hint="eastAsia"/>
        </w:rPr>
        <w:t>（三）加强能源消费计量和监督管理，定期报告能源消费状况；</w:t>
      </w:r>
    </w:p>
    <w:p w14:paraId="08F76DE0">
      <w:r>
        <w:rPr>
          <w:rFonts w:hint="eastAsia"/>
        </w:rPr>
        <w:t>（四）对重点用能部位的用能情况实行监测，采取有效措施降低能耗。</w:t>
      </w:r>
    </w:p>
    <w:p w14:paraId="7E7D5101">
      <w:r>
        <w:rPr>
          <w:rFonts w:hint="eastAsia"/>
        </w:rPr>
        <w:t>公共机构负责人对本单位节能工作全面负责。</w:t>
      </w:r>
    </w:p>
    <w:p w14:paraId="0F6039ED">
      <w:pPr>
        <w:ind w:firstLine="422"/>
      </w:pPr>
      <w:r>
        <w:rPr>
          <w:rFonts w:hint="eastAsia"/>
          <w:b/>
        </w:rPr>
        <w:t>第四十三条</w:t>
      </w:r>
      <w:r>
        <w:rPr>
          <w:rFonts w:hint="eastAsia"/>
        </w:rPr>
        <w:t>　公共机构新建建筑和既有建筑节能改造，应当使用新型墙体材料等节能建筑材料和节能设备。具备可再生能源利用条件的，应当安装和使用可再生能源利用系统。</w:t>
      </w:r>
    </w:p>
    <w:p w14:paraId="31F680B0">
      <w:r>
        <w:rPr>
          <w:rFonts w:hint="eastAsia"/>
        </w:rPr>
        <w:t>发展改革部门应当安排对公共机构既有建筑的节能改造投资。</w:t>
      </w:r>
    </w:p>
    <w:p w14:paraId="112EAA15">
      <w:pPr>
        <w:ind w:firstLine="422"/>
      </w:pPr>
      <w:r>
        <w:rPr>
          <w:rFonts w:hint="eastAsia"/>
          <w:b/>
        </w:rPr>
        <w:t>第四十四条</w:t>
      </w:r>
      <w:r>
        <w:rPr>
          <w:rFonts w:hint="eastAsia"/>
        </w:rPr>
        <w:t>　本市推广绿色建筑标准。鼓励、支持新建民用建筑执行绿色建筑标准；鼓励、支持既有民用建筑通过改造达到绿色建筑标准。具体办法由市住房和城乡建设部门会同有关部门制定，报市人民政府批准后执行。</w:t>
      </w:r>
    </w:p>
    <w:p w14:paraId="6EB07793">
      <w:pPr>
        <w:ind w:firstLine="422"/>
      </w:pPr>
      <w:r>
        <w:rPr>
          <w:rFonts w:hint="eastAsia"/>
          <w:b/>
        </w:rPr>
        <w:t>第四十五条</w:t>
      </w:r>
      <w:r>
        <w:rPr>
          <w:rFonts w:hint="eastAsia"/>
        </w:rPr>
        <w:t>　公共机构节能管理部门制定公共机构能源消耗定额标准，对公共机构实行能源消耗定额管理制度。能源消耗定额标准应当根据经济社会发展状况定期调整。</w:t>
      </w:r>
    </w:p>
    <w:p w14:paraId="2D0BC919">
      <w:pPr>
        <w:ind w:firstLine="422"/>
      </w:pPr>
      <w:r>
        <w:rPr>
          <w:rFonts w:hint="eastAsia"/>
          <w:b/>
        </w:rPr>
        <w:t>第四十六条</w:t>
      </w:r>
      <w:r>
        <w:rPr>
          <w:rFonts w:hint="eastAsia"/>
        </w:rPr>
        <w:t>　公共机构和大型公共建筑应当安装能源消耗计量装置，实行能源消耗分类、分项计量和能源审计制度。</w:t>
      </w:r>
    </w:p>
    <w:p w14:paraId="29469D16">
      <w:pPr>
        <w:rPr>
          <w:rFonts w:hint="eastAsia" w:ascii="宋体" w:hAnsi="宋体" w:eastAsia="宋体" w:cs="宋体"/>
        </w:rPr>
      </w:pPr>
      <w:r>
        <w:rPr>
          <w:rFonts w:hint="eastAsia"/>
        </w:rPr>
        <w:t>公共机构和大型公共建筑</w:t>
      </w:r>
      <w:r>
        <w:rPr>
          <w:rFonts w:hint="eastAsia" w:ascii="宋体" w:hAnsi="宋体" w:eastAsia="宋体" w:cs="宋体"/>
        </w:rPr>
        <w:t>的能源消耗情况按照国家有关规定向社会公布。</w:t>
      </w:r>
    </w:p>
    <w:p w14:paraId="1ED73CE7">
      <w:pPr>
        <w:ind w:firstLine="422"/>
        <w:rPr>
          <w:rFonts w:hint="eastAsia" w:ascii="宋体" w:hAnsi="宋体" w:eastAsia="宋体" w:cs="宋体"/>
        </w:rPr>
      </w:pPr>
      <w:r>
        <w:rPr>
          <w:rFonts w:hint="eastAsia" w:ascii="宋体" w:hAnsi="宋体" w:eastAsia="宋体" w:cs="宋体"/>
          <w:b/>
        </w:rPr>
        <w:t>第四十七条</w:t>
      </w:r>
      <w:r>
        <w:rPr>
          <w:rFonts w:hint="eastAsia" w:ascii="宋体" w:hAnsi="宋体" w:eastAsia="宋体" w:cs="宋体"/>
        </w:rPr>
        <w:t>　市发展改革部门按照国家规定加强对重点用能单位的节能管理，并于每年6月底前会同统计部门向社会公布全市重点用能单位的能源利用状况。</w:t>
      </w:r>
    </w:p>
    <w:p w14:paraId="0E421FEE">
      <w:pPr>
        <w:ind w:firstLine="422"/>
        <w:rPr>
          <w:rFonts w:hint="eastAsia" w:ascii="宋体" w:hAnsi="宋体" w:eastAsia="宋体" w:cs="宋体"/>
        </w:rPr>
      </w:pPr>
      <w:r>
        <w:rPr>
          <w:rFonts w:hint="eastAsia" w:ascii="宋体" w:hAnsi="宋体" w:eastAsia="宋体" w:cs="宋体"/>
          <w:b/>
        </w:rPr>
        <w:t>第四十八条</w:t>
      </w:r>
      <w:r>
        <w:rPr>
          <w:rFonts w:hint="eastAsia" w:ascii="宋体" w:hAnsi="宋体" w:eastAsia="宋体" w:cs="宋体"/>
        </w:rPr>
        <w:t>　市发展改革部门在年综合能源消费总量5000吨以上不满1万吨标准煤的用能单位中指定重点用能单位，并会同统计部门公布具体名单。</w:t>
      </w:r>
    </w:p>
    <w:p w14:paraId="3E2982B2">
      <w:pPr>
        <w:rPr>
          <w:rFonts w:hint="eastAsia" w:ascii="宋体" w:hAnsi="宋体" w:eastAsia="宋体" w:cs="宋体"/>
        </w:rPr>
      </w:pPr>
      <w:r>
        <w:rPr>
          <w:rFonts w:hint="eastAsia" w:ascii="宋体" w:hAnsi="宋体" w:eastAsia="宋体" w:cs="宋体"/>
        </w:rPr>
        <w:t>市发展改革部门指定的重点用能单位在每年3月底前向市发展改革部门报送上年度的能源利用状况报告。</w:t>
      </w:r>
    </w:p>
    <w:p w14:paraId="39D3A028">
      <w:r>
        <w:rPr>
          <w:rFonts w:hint="eastAsia" w:ascii="宋体" w:hAnsi="宋体" w:eastAsia="宋体" w:cs="宋体"/>
        </w:rPr>
        <w:t>市发展改革部门应当组织对重点用能单位报送的能源利用状况报告进行审查。对节能管</w:t>
      </w:r>
      <w:r>
        <w:rPr>
          <w:rFonts w:hint="eastAsia"/>
        </w:rPr>
        <w:t>理制度不健全、节能措施不落实、未完成年度节能考核目标、能源利用效率低的重点用能单位，发展改革部门应当开展现场调查，组织实施用能设备能源效率检测，责令实施能源审计，并提出书面整改要求，限期整改。</w:t>
      </w:r>
    </w:p>
    <w:p w14:paraId="5342420A">
      <w:pPr>
        <w:ind w:firstLine="422"/>
      </w:pPr>
      <w:r>
        <w:rPr>
          <w:rFonts w:hint="eastAsia"/>
          <w:b/>
        </w:rPr>
        <w:t>第四十九条</w:t>
      </w:r>
      <w:r>
        <w:rPr>
          <w:rFonts w:hint="eastAsia"/>
        </w:rPr>
        <w:t>　能源审计主要包括下列内容：</w:t>
      </w:r>
    </w:p>
    <w:p w14:paraId="7736A6D5">
      <w:bookmarkStart w:id="2711" w:name="_Toc428780851"/>
      <w:r>
        <w:rPr>
          <w:rFonts w:hint="eastAsia"/>
        </w:rPr>
        <w:t>（一）查阅用能系统、设备台账资料，核对能源消耗计量记录；</w:t>
      </w:r>
      <w:bookmarkEnd w:id="2711"/>
    </w:p>
    <w:p w14:paraId="5BB7D214">
      <w:r>
        <w:rPr>
          <w:rFonts w:hint="eastAsia"/>
        </w:rPr>
        <w:t>（二）检查用能系统、设备及能源计量器具的运行状况，审查节能管理制度及能源消耗定额执行情况；</w:t>
      </w:r>
    </w:p>
    <w:p w14:paraId="3C8ED9D0">
      <w:r>
        <w:rPr>
          <w:rFonts w:hint="eastAsia"/>
        </w:rPr>
        <w:t>（三）查找存在节能潜力的用能环节或者部位，提出合理使用能源的建议。</w:t>
      </w:r>
    </w:p>
    <w:p w14:paraId="330034F9">
      <w:pPr>
        <w:ind w:firstLine="422"/>
      </w:pPr>
      <w:r>
        <w:rPr>
          <w:rFonts w:hint="eastAsia"/>
          <w:b/>
        </w:rPr>
        <w:t>第五十条</w:t>
      </w:r>
      <w:r>
        <w:rPr>
          <w:rFonts w:hint="eastAsia"/>
        </w:rPr>
        <w:t>　重点用能单位应当设立能源管理岗位，按照国家规定的条件聘任能源管理负责人，并报所在地的区、县发展改革部门和有关部门备案。</w:t>
      </w:r>
    </w:p>
    <w:p w14:paraId="2675B649">
      <w:r>
        <w:rPr>
          <w:rFonts w:hint="eastAsia"/>
        </w:rPr>
        <w:t>能源管理负责人应当接受节能培训。</w:t>
      </w:r>
    </w:p>
    <w:p w14:paraId="49089056">
      <w:pPr>
        <w:ind w:firstLine="422"/>
      </w:pPr>
      <w:r>
        <w:rPr>
          <w:rFonts w:hint="eastAsia"/>
          <w:b/>
        </w:rPr>
        <w:t>第五十一条</w:t>
      </w:r>
      <w:r>
        <w:rPr>
          <w:rFonts w:hint="eastAsia"/>
        </w:rPr>
        <w:t>　政府有关部门可以采用在线监测和现场检测等方式，掌握公共机构、大型公共建筑、重点用能单位和其他用能单位的用能情况。有关用能单位应当予以配合。</w:t>
      </w:r>
    </w:p>
    <w:p w14:paraId="7F29DAF0">
      <w:r>
        <w:rPr>
          <w:rFonts w:hint="eastAsia"/>
        </w:rPr>
        <w:t>政府有关部门应当加强节能监测，并利用在线监测系统或者通过现场检测等方式，为用能单位提供指导和服务。</w:t>
      </w:r>
    </w:p>
    <w:p w14:paraId="14EFEA05">
      <w:pPr>
        <w:ind w:firstLine="0" w:firstLineChars="0"/>
        <w:jc w:val="center"/>
        <w:rPr>
          <w:rFonts w:hint="eastAsia"/>
          <w:b/>
          <w:sz w:val="28"/>
        </w:rPr>
      </w:pPr>
    </w:p>
    <w:p w14:paraId="03D7562E">
      <w:pPr>
        <w:ind w:firstLine="0" w:firstLineChars="0"/>
        <w:jc w:val="center"/>
        <w:rPr>
          <w:b/>
          <w:sz w:val="28"/>
        </w:rPr>
      </w:pPr>
      <w:r>
        <w:rPr>
          <w:rFonts w:hint="eastAsia"/>
          <w:b/>
          <w:sz w:val="28"/>
        </w:rPr>
        <w:t>第四章　节能技术进步</w:t>
      </w:r>
    </w:p>
    <w:p w14:paraId="6017EC51"/>
    <w:p w14:paraId="2C2F6A50">
      <w:pPr>
        <w:ind w:firstLine="422"/>
      </w:pPr>
      <w:r>
        <w:rPr>
          <w:rFonts w:hint="eastAsia"/>
          <w:b/>
        </w:rPr>
        <w:t>第五十二条</w:t>
      </w:r>
      <w:r>
        <w:rPr>
          <w:rFonts w:hint="eastAsia"/>
        </w:rPr>
        <w:t>　市和区、县人民政府应当把节能技术研究开发作为政府科技投入的重点领域，支持开展节能技术应用研究，开发节能共性和关键技术，促进节能技术创新与成果转化。</w:t>
      </w:r>
    </w:p>
    <w:p w14:paraId="652F9BBC">
      <w:r>
        <w:rPr>
          <w:rFonts w:hint="eastAsia"/>
        </w:rPr>
        <w:t>鼓励开展节能和可再生能源技术与信息的国际交流合作。</w:t>
      </w:r>
    </w:p>
    <w:p w14:paraId="39D50B48">
      <w:pPr>
        <w:ind w:firstLine="422"/>
      </w:pPr>
      <w:r>
        <w:rPr>
          <w:rFonts w:hint="eastAsia"/>
          <w:b/>
        </w:rPr>
        <w:t>第五十三条</w:t>
      </w:r>
      <w:r>
        <w:rPr>
          <w:rFonts w:hint="eastAsia"/>
        </w:rPr>
        <w:t>　市发展改革部门会同有关部门制定并公布节能技术和产品的推广目录；市住房和城乡建设部门按照国家规定制定并公布推广使用、限制使用和禁止使用的民用建筑材料目录。</w:t>
      </w:r>
    </w:p>
    <w:p w14:paraId="1B70F428">
      <w:pPr>
        <w:ind w:firstLine="422"/>
      </w:pPr>
      <w:r>
        <w:rPr>
          <w:rFonts w:hint="eastAsia"/>
          <w:b/>
        </w:rPr>
        <w:t>第五十四条</w:t>
      </w:r>
      <w:r>
        <w:rPr>
          <w:rFonts w:hint="eastAsia"/>
        </w:rPr>
        <w:t>　本市鼓励和支持研究开发交通节能技术和产品，推广节油技术和新能源汽车。</w:t>
      </w:r>
    </w:p>
    <w:p w14:paraId="63CE390B">
      <w:pPr>
        <w:ind w:firstLine="422"/>
      </w:pPr>
      <w:r>
        <w:rPr>
          <w:rFonts w:hint="eastAsia"/>
          <w:b/>
        </w:rPr>
        <w:t>第五十五条</w:t>
      </w:r>
      <w:r>
        <w:rPr>
          <w:rFonts w:hint="eastAsia"/>
        </w:rPr>
        <w:t>　本市按照因地制宜、多能互补、综合利用、讲求效益的原则，发展和推广太阳能、生物质能、地热能和风能等可再生能源利用技术。</w:t>
      </w:r>
    </w:p>
    <w:p w14:paraId="3C8AF206"/>
    <w:p w14:paraId="353BF28D">
      <w:pPr>
        <w:ind w:firstLine="0" w:firstLineChars="0"/>
        <w:jc w:val="center"/>
        <w:rPr>
          <w:b/>
          <w:sz w:val="28"/>
        </w:rPr>
      </w:pPr>
      <w:r>
        <w:rPr>
          <w:rFonts w:hint="eastAsia"/>
          <w:b/>
          <w:sz w:val="28"/>
        </w:rPr>
        <w:t>第五章　激励措施</w:t>
      </w:r>
    </w:p>
    <w:p w14:paraId="4908E59E"/>
    <w:p w14:paraId="150B41C1">
      <w:pPr>
        <w:ind w:firstLine="422"/>
      </w:pPr>
      <w:r>
        <w:rPr>
          <w:rFonts w:hint="eastAsia"/>
          <w:b/>
        </w:rPr>
        <w:t>第五十六条</w:t>
      </w:r>
      <w:r>
        <w:rPr>
          <w:rFonts w:hint="eastAsia"/>
        </w:rPr>
        <w:t>　市人民政府应当安排节能专项资金，支持节能技术研究开发、节能技术和产品的示范与推广、重点节能工程的实施、节能技术改造、节能宣传培训、信息服务和表彰奖励等。</w:t>
      </w:r>
    </w:p>
    <w:p w14:paraId="5A269497">
      <w:pPr>
        <w:ind w:firstLine="422"/>
      </w:pPr>
      <w:r>
        <w:rPr>
          <w:rFonts w:hint="eastAsia"/>
          <w:b/>
        </w:rPr>
        <w:t>第五十七条</w:t>
      </w:r>
      <w:r>
        <w:rPr>
          <w:rFonts w:hint="eastAsia"/>
        </w:rPr>
        <w:t>　市和区、县人民政府应当安排民用建筑节能资金，支持民用建筑节能的科学技术研究和标准制定、既有建筑围护结构和供热系统的节能改造、可再生能源的应用，以及民用建筑节能示范工程、节能项目的推广。</w:t>
      </w:r>
    </w:p>
    <w:p w14:paraId="04A845D4">
      <w:pPr>
        <w:ind w:firstLine="422"/>
      </w:pPr>
      <w:r>
        <w:rPr>
          <w:rFonts w:hint="eastAsia"/>
          <w:b/>
        </w:rPr>
        <w:t>第五十八条</w:t>
      </w:r>
      <w:r>
        <w:rPr>
          <w:rFonts w:hint="eastAsia"/>
        </w:rPr>
        <w:t>　本市鼓励采用高效照明、高效电机、蓄能设备等节能技术和产品；推广节能自愿协议、电力需求侧管理等节能办法。具体奖励和补助办法由市人民政府另行制定。</w:t>
      </w:r>
    </w:p>
    <w:p w14:paraId="2AE937BD">
      <w:pPr>
        <w:ind w:firstLine="422"/>
      </w:pPr>
      <w:r>
        <w:rPr>
          <w:rFonts w:hint="eastAsia"/>
          <w:b/>
        </w:rPr>
        <w:t>第五十九条</w:t>
      </w:r>
      <w:r>
        <w:rPr>
          <w:rFonts w:hint="eastAsia"/>
        </w:rPr>
        <w:t>　本市实行有利于节能和开发利用可再生能源的价格政策，逐步建立和完善能耗超限额加价制度和能源阶梯价格制度，引导用能单位和个人节能。</w:t>
      </w:r>
    </w:p>
    <w:p w14:paraId="2826C52F">
      <w:pPr>
        <w:ind w:firstLine="422"/>
      </w:pPr>
      <w:r>
        <w:rPr>
          <w:rFonts w:hint="eastAsia"/>
          <w:b/>
        </w:rPr>
        <w:t>第六十条</w:t>
      </w:r>
      <w:r>
        <w:rPr>
          <w:rFonts w:hint="eastAsia"/>
        </w:rPr>
        <w:t>　政府采购监督管理部门会同有关部门制定节能产品、设备政府采购名录。公共机构应当优先采购列入政府采购名录中的产品、设备。</w:t>
      </w:r>
    </w:p>
    <w:p w14:paraId="602BDB53">
      <w:pPr>
        <w:ind w:firstLine="422"/>
      </w:pPr>
      <w:r>
        <w:rPr>
          <w:rFonts w:hint="eastAsia"/>
          <w:b/>
        </w:rPr>
        <w:t>第六十一条</w:t>
      </w:r>
      <w:r>
        <w:rPr>
          <w:rFonts w:hint="eastAsia"/>
        </w:rPr>
        <w:t>　本市引导金融机构增加对节能项目的信贷支持，为符合条件的节能技术研究开发、节能产品生产及节能技术改造等项目提供优惠贷款；引导社会有关方面加大对节能的资金投入，加快节能技术改造；逐步开展节能量指标交易。</w:t>
      </w:r>
    </w:p>
    <w:p w14:paraId="52DE8950">
      <w:pPr>
        <w:ind w:firstLine="422"/>
      </w:pPr>
      <w:r>
        <w:rPr>
          <w:rFonts w:hint="eastAsia"/>
          <w:b/>
        </w:rPr>
        <w:t>第六十二条</w:t>
      </w:r>
      <w:r>
        <w:rPr>
          <w:rFonts w:hint="eastAsia"/>
        </w:rPr>
        <w:t>　本市鼓励和支持消费者购买和使用能源效率等级较高或者有节能认证标志的用能产品。</w:t>
      </w:r>
    </w:p>
    <w:p w14:paraId="33728A26">
      <w:pPr>
        <w:ind w:firstLine="422"/>
      </w:pPr>
      <w:r>
        <w:rPr>
          <w:rFonts w:hint="eastAsia"/>
          <w:b/>
        </w:rPr>
        <w:t>第六十三条</w:t>
      </w:r>
      <w:r>
        <w:rPr>
          <w:rFonts w:hint="eastAsia"/>
        </w:rPr>
        <w:t>　市和区、县人民政府对在节能工作中取得显著成绩或者做出突出贡献的单位和个人，给予表彰和奖励。</w:t>
      </w:r>
    </w:p>
    <w:p w14:paraId="098E3050"/>
    <w:p w14:paraId="52EA72C4">
      <w:pPr>
        <w:ind w:firstLine="0" w:firstLineChars="0"/>
        <w:jc w:val="center"/>
        <w:rPr>
          <w:rFonts w:hint="eastAsia"/>
          <w:b/>
          <w:sz w:val="28"/>
        </w:rPr>
      </w:pPr>
    </w:p>
    <w:p w14:paraId="46330B91">
      <w:pPr>
        <w:ind w:firstLine="0" w:firstLineChars="0"/>
        <w:jc w:val="center"/>
        <w:rPr>
          <w:rFonts w:hint="eastAsia"/>
          <w:b/>
          <w:sz w:val="28"/>
        </w:rPr>
      </w:pPr>
    </w:p>
    <w:p w14:paraId="479DAD54">
      <w:pPr>
        <w:ind w:firstLine="0" w:firstLineChars="0"/>
        <w:jc w:val="center"/>
        <w:rPr>
          <w:b/>
          <w:sz w:val="28"/>
        </w:rPr>
      </w:pPr>
      <w:r>
        <w:rPr>
          <w:rFonts w:hint="eastAsia"/>
          <w:b/>
          <w:sz w:val="28"/>
        </w:rPr>
        <w:t>第六章　法律责任</w:t>
      </w:r>
    </w:p>
    <w:p w14:paraId="351F90A7"/>
    <w:p w14:paraId="5189A497">
      <w:pPr>
        <w:ind w:firstLine="422"/>
      </w:pPr>
      <w:r>
        <w:rPr>
          <w:rFonts w:hint="eastAsia"/>
          <w:b/>
        </w:rPr>
        <w:t>第六十四条</w:t>
      </w:r>
      <w:r>
        <w:rPr>
          <w:rFonts w:hint="eastAsia"/>
        </w:rPr>
        <w:t>　固定资产投资项目建设单位开工建设不符合强制性节能标准的项目或者将该项目投入生产、使用的，由发展改革部门责令停止建设或者停止生产、使用，限期改造；不能改造或者逾期不改造的生产性项目，由发展改革部门报请同级人民政府按照国务院规定的权限责令关闭。</w:t>
      </w:r>
    </w:p>
    <w:p w14:paraId="5E461E32">
      <w:pPr>
        <w:ind w:firstLine="422"/>
      </w:pPr>
      <w:r>
        <w:rPr>
          <w:rFonts w:hint="eastAsia"/>
          <w:b/>
        </w:rPr>
        <w:t>第六十五条</w:t>
      </w:r>
      <w:r>
        <w:rPr>
          <w:rFonts w:hint="eastAsia"/>
        </w:rPr>
        <w:t>　使用国家明令淘汰的用能设备或者生产工艺的，由发展改革部门责令停止使用，没收国家明令淘汰的用能设备；情节严重的，可以由发展改革部门提出意见，报请同级人民政府按照国务院规定的权限责令停业整顿或者关闭。</w:t>
      </w:r>
    </w:p>
    <w:p w14:paraId="534AA26A">
      <w:r>
        <w:rPr>
          <w:rFonts w:hint="eastAsia"/>
        </w:rPr>
        <w:t>依法没收的国家明令淘汰的用能设备，交由指定单位解体处理。</w:t>
      </w:r>
    </w:p>
    <w:p w14:paraId="333143B9">
      <w:pPr>
        <w:ind w:firstLine="422"/>
        <w:rPr>
          <w:rFonts w:hint="eastAsia" w:ascii="宋体" w:hAnsi="宋体" w:eastAsia="宋体" w:cs="宋体"/>
        </w:rPr>
      </w:pPr>
      <w:r>
        <w:rPr>
          <w:rFonts w:hint="eastAsia"/>
          <w:b/>
        </w:rPr>
        <w:t>第六十六条</w:t>
      </w:r>
      <w:r>
        <w:rPr>
          <w:rFonts w:hint="eastAsia"/>
        </w:rPr>
        <w:t>　节能服务机构从事节能咨询、设计</w:t>
      </w:r>
      <w:r>
        <w:rPr>
          <w:rFonts w:hint="eastAsia" w:ascii="宋体" w:hAnsi="宋体" w:eastAsia="宋体" w:cs="宋体"/>
        </w:rPr>
        <w:t>、评估、检测、审计、认证等活动提供虚假信息的，由发展改革部门责令改正，没收违法所得，并处5万元以上10万元以下罚款，并将违法行为信息记入本市企业信用信息系统。</w:t>
      </w:r>
    </w:p>
    <w:p w14:paraId="47845808">
      <w:pPr>
        <w:ind w:firstLine="422"/>
        <w:rPr>
          <w:rFonts w:hint="eastAsia" w:ascii="宋体" w:hAnsi="宋体" w:eastAsia="宋体" w:cs="宋体"/>
        </w:rPr>
      </w:pPr>
      <w:r>
        <w:rPr>
          <w:rFonts w:hint="eastAsia" w:ascii="宋体" w:hAnsi="宋体" w:eastAsia="宋体" w:cs="宋体"/>
          <w:b/>
        </w:rPr>
        <w:t>第六十七条</w:t>
      </w:r>
      <w:r>
        <w:rPr>
          <w:rFonts w:hint="eastAsia" w:ascii="宋体" w:hAnsi="宋体" w:eastAsia="宋体" w:cs="宋体"/>
        </w:rPr>
        <w:t>　用能单位未按照规定配备、使用能源计量器具的，由质量技术监督部门责令限期改正；逾期不改正的，处1万元以上5万元以下罚款。</w:t>
      </w:r>
    </w:p>
    <w:p w14:paraId="4C04A81E">
      <w:pPr>
        <w:ind w:firstLine="422"/>
        <w:rPr>
          <w:rFonts w:hint="eastAsia" w:ascii="宋体" w:hAnsi="宋体" w:eastAsia="宋体" w:cs="宋体"/>
        </w:rPr>
      </w:pPr>
      <w:r>
        <w:rPr>
          <w:rFonts w:hint="eastAsia" w:ascii="宋体" w:hAnsi="宋体" w:eastAsia="宋体" w:cs="宋体"/>
          <w:b/>
        </w:rPr>
        <w:t>第六十八条</w:t>
      </w:r>
      <w:r>
        <w:rPr>
          <w:rFonts w:hint="eastAsia" w:ascii="宋体" w:hAnsi="宋体" w:eastAsia="宋体" w:cs="宋体"/>
        </w:rPr>
        <w:t>　瞒报、伪造、篡改能源统计资料或者编造虚假能源统计数据的，依照《中华人民共和国统计法》的规定处罚。</w:t>
      </w:r>
    </w:p>
    <w:p w14:paraId="30411B70">
      <w:pPr>
        <w:ind w:firstLine="422"/>
      </w:pPr>
      <w:r>
        <w:rPr>
          <w:rFonts w:hint="eastAsia" w:ascii="宋体" w:hAnsi="宋体" w:eastAsia="宋体" w:cs="宋体"/>
          <w:b/>
        </w:rPr>
        <w:t>第六十九条</w:t>
      </w:r>
      <w:r>
        <w:rPr>
          <w:rFonts w:hint="eastAsia" w:ascii="宋体" w:hAnsi="宋体" w:eastAsia="宋体" w:cs="宋体"/>
        </w:rPr>
        <w:t>　能源生产经营单位无偿向本单位职工提供能源或者对能源消费实行包费制的，由发展改革部门责令限期改正；逾期不改正的，处5万元以上20万元以下</w:t>
      </w:r>
      <w:r>
        <w:rPr>
          <w:rFonts w:hint="eastAsia"/>
        </w:rPr>
        <w:t>罚款。</w:t>
      </w:r>
    </w:p>
    <w:p w14:paraId="5CA354A2"/>
    <w:p w14:paraId="0605CD40">
      <w:pPr>
        <w:ind w:firstLine="0" w:firstLineChars="0"/>
        <w:jc w:val="center"/>
        <w:rPr>
          <w:b/>
          <w:sz w:val="28"/>
        </w:rPr>
      </w:pPr>
      <w:r>
        <w:rPr>
          <w:rFonts w:hint="eastAsia"/>
          <w:b/>
          <w:sz w:val="28"/>
        </w:rPr>
        <w:t>第七章　附　则</w:t>
      </w:r>
    </w:p>
    <w:p w14:paraId="206CC68B"/>
    <w:p w14:paraId="5B19F7C0">
      <w:pPr>
        <w:ind w:firstLine="422"/>
      </w:pPr>
      <w:r>
        <w:rPr>
          <w:rFonts w:hint="eastAsia"/>
          <w:b/>
        </w:rPr>
        <w:t>第七十条</w:t>
      </w:r>
      <w:r>
        <w:rPr>
          <w:rFonts w:hint="eastAsia"/>
        </w:rPr>
        <w:t>　本办法自</w:t>
      </w:r>
      <w:r>
        <w:rPr>
          <w:rFonts w:hint="eastAsia" w:ascii="宋体" w:hAnsi="宋体" w:eastAsia="宋体" w:cs="宋体"/>
        </w:rPr>
        <w:t>2010年7月1日起</w:t>
      </w:r>
      <w:r>
        <w:rPr>
          <w:rFonts w:hint="eastAsia"/>
        </w:rPr>
        <w:t>施行。</w:t>
      </w:r>
    </w:p>
    <w:p w14:paraId="0028C870">
      <w:pPr>
        <w:pStyle w:val="4"/>
        <w:pageBreakBefore/>
      </w:pPr>
      <w:bookmarkStart w:id="2712" w:name="_Toc426467185"/>
      <w:bookmarkStart w:id="2713" w:name="_Toc428780852"/>
      <w:bookmarkStart w:id="2714" w:name="_Toc428781933"/>
      <w:r>
        <w:rPr>
          <w:rFonts w:hint="eastAsia"/>
        </w:rPr>
        <w:t>北京市清洁燃料车辆加气站管理规定</w:t>
      </w:r>
      <w:bookmarkEnd w:id="2712"/>
      <w:bookmarkEnd w:id="2713"/>
      <w:bookmarkEnd w:id="2714"/>
    </w:p>
    <w:p w14:paraId="4A7FDC9E">
      <w:pPr>
        <w:ind w:left="630" w:leftChars="300" w:right="630" w:rightChars="300"/>
        <w:rPr>
          <w:rFonts w:ascii="楷体" w:hAnsi="楷体" w:eastAsia="楷体"/>
        </w:rPr>
      </w:pPr>
      <w:r>
        <w:rPr>
          <w:rFonts w:hint="eastAsia" w:ascii="楷体" w:hAnsi="楷体" w:eastAsia="楷体"/>
        </w:rPr>
        <w:t>（1999年7月29日北京市人民政府第31号令公布　根据2004年6月1日北京市人民政府第150号令第一次修改　根据2007年11月23日北京市人民政府第200号令第二次修改　根据2010年11月27日北京市人民政府第226号令第三次修改）</w:t>
      </w:r>
    </w:p>
    <w:p w14:paraId="11B182F9"/>
    <w:p w14:paraId="04DB4DA1">
      <w:pPr>
        <w:ind w:firstLine="422"/>
      </w:pPr>
      <w:r>
        <w:rPr>
          <w:rFonts w:hint="eastAsia"/>
          <w:b/>
        </w:rPr>
        <w:t>第一条</w:t>
      </w:r>
      <w:r>
        <w:rPr>
          <w:rFonts w:hint="eastAsia"/>
        </w:rPr>
        <w:t xml:space="preserve">  为加强清洁燃料车辆加气站管理，保证清洁燃料安全供应，制定本规定。</w:t>
      </w:r>
    </w:p>
    <w:p w14:paraId="2014D58B">
      <w:pPr>
        <w:ind w:firstLine="422"/>
      </w:pPr>
      <w:r>
        <w:rPr>
          <w:rFonts w:hint="eastAsia"/>
          <w:b/>
        </w:rPr>
        <w:t>第二条</w:t>
      </w:r>
      <w:r>
        <w:rPr>
          <w:rFonts w:hint="eastAsia"/>
        </w:rPr>
        <w:t xml:space="preserve">  凡本市行政区域内清洁燃料车辆加气站建设、使用和管理，均须遵守《北京市燃气管理条例》和本规定。</w:t>
      </w:r>
    </w:p>
    <w:p w14:paraId="14673DE4">
      <w:r>
        <w:rPr>
          <w:rFonts w:hint="eastAsia"/>
        </w:rPr>
        <w:t>本规定所称清洁燃料车辆加气站（以下简称加气站），是指专门为机动车辆（含船舶，下同）提供天然气、液化石油气等清洁燃料的充气服务单位。</w:t>
      </w:r>
    </w:p>
    <w:p w14:paraId="058F24C3">
      <w:pPr>
        <w:ind w:firstLine="422"/>
      </w:pPr>
      <w:r>
        <w:rPr>
          <w:rFonts w:hint="eastAsia"/>
          <w:b/>
        </w:rPr>
        <w:t>第三条</w:t>
      </w:r>
      <w:r>
        <w:rPr>
          <w:rFonts w:hint="eastAsia"/>
        </w:rPr>
        <w:t xml:space="preserve">  市市政市容委是本市加气站管理的行政主管部门。区、县燃气行政主管部门负责本行政区域内加气站的日常管理工作。</w:t>
      </w:r>
    </w:p>
    <w:p w14:paraId="42BB38CB">
      <w:r>
        <w:rPr>
          <w:rFonts w:hint="eastAsia"/>
        </w:rPr>
        <w:t>公安消防、劳动、工商行政、技术监督、规划、建设管理、物价等部门，应当按照各自的职责依法加强对加气站的监督管理工作。</w:t>
      </w:r>
    </w:p>
    <w:p w14:paraId="221213C2">
      <w:pPr>
        <w:ind w:firstLine="422"/>
      </w:pPr>
      <w:r>
        <w:rPr>
          <w:rFonts w:hint="eastAsia"/>
          <w:b/>
        </w:rPr>
        <w:t>第四条</w:t>
      </w:r>
      <w:r>
        <w:rPr>
          <w:rFonts w:hint="eastAsia"/>
        </w:rPr>
        <w:t xml:space="preserve">  本市加气站的发展，应当遵循统一规划、合理布局、保障安全、保证供应的原则。</w:t>
      </w:r>
    </w:p>
    <w:p w14:paraId="0B0822BE">
      <w:pPr>
        <w:ind w:firstLine="422"/>
      </w:pPr>
      <w:r>
        <w:rPr>
          <w:rFonts w:hint="eastAsia"/>
          <w:b/>
        </w:rPr>
        <w:t>第五条</w:t>
      </w:r>
      <w:r>
        <w:rPr>
          <w:rFonts w:hint="eastAsia"/>
        </w:rPr>
        <w:t xml:space="preserve">  加气站的建设工程规划、设计、施工、监理、消防、环境保护、安全防护等，必须符合国家和本市有关法律、法规和规章的规定。</w:t>
      </w:r>
    </w:p>
    <w:p w14:paraId="710E6F52">
      <w:pPr>
        <w:ind w:firstLine="422"/>
      </w:pPr>
      <w:r>
        <w:rPr>
          <w:rFonts w:hint="eastAsia"/>
          <w:b/>
        </w:rPr>
        <w:t>第六条</w:t>
      </w:r>
      <w:r>
        <w:rPr>
          <w:rFonts w:hint="eastAsia"/>
        </w:rPr>
        <w:t xml:space="preserve">  加气站建设工程的设计、施工，必须由具有相应资质等级的单位承担，并严格执行有关技术标准、规范和规程。</w:t>
      </w:r>
    </w:p>
    <w:p w14:paraId="2D223989">
      <w:pPr>
        <w:ind w:firstLine="422"/>
      </w:pPr>
      <w:r>
        <w:rPr>
          <w:rFonts w:hint="eastAsia"/>
          <w:b/>
        </w:rPr>
        <w:t>第七条</w:t>
      </w:r>
      <w:r>
        <w:rPr>
          <w:rFonts w:hint="eastAsia"/>
        </w:rPr>
        <w:t xml:space="preserve">  加气站的运营必须具备下列条件：</w:t>
      </w:r>
    </w:p>
    <w:p w14:paraId="11D42DF2">
      <w:r>
        <w:rPr>
          <w:rFonts w:hint="eastAsia"/>
        </w:rPr>
        <w:t>（一）有符合安全生产条件的场地；</w:t>
      </w:r>
    </w:p>
    <w:p w14:paraId="4064CEDE">
      <w:r>
        <w:rPr>
          <w:rFonts w:hint="eastAsia"/>
        </w:rPr>
        <w:t>（二）有符合国家和本市技术规范的设施和设备；</w:t>
      </w:r>
    </w:p>
    <w:p w14:paraId="5F33DFD1">
      <w:r>
        <w:rPr>
          <w:rFonts w:hint="eastAsia"/>
        </w:rPr>
        <w:t>（三）有防止超量加气的紧急专用手工操作工具；</w:t>
      </w:r>
    </w:p>
    <w:p w14:paraId="4F374C90">
      <w:r>
        <w:rPr>
          <w:rFonts w:hint="eastAsia"/>
        </w:rPr>
        <w:t>（四）有稳定的气源；</w:t>
      </w:r>
    </w:p>
    <w:p w14:paraId="28AD0A50">
      <w:r>
        <w:rPr>
          <w:rFonts w:hint="eastAsia"/>
        </w:rPr>
        <w:t>（五）有健全的安全生产管理制度、操作规程和服务规范；</w:t>
      </w:r>
    </w:p>
    <w:p w14:paraId="10621FAD">
      <w:r>
        <w:rPr>
          <w:rFonts w:hint="eastAsia"/>
        </w:rPr>
        <w:t>（六）有取得相关专业中级以上技术职称的管理人员和技术人员，操作人员应当取得上岗资格。</w:t>
      </w:r>
    </w:p>
    <w:p w14:paraId="231A959A">
      <w:pPr>
        <w:ind w:firstLine="422"/>
      </w:pPr>
      <w:r>
        <w:rPr>
          <w:rFonts w:hint="eastAsia"/>
          <w:b/>
        </w:rPr>
        <w:t>第八条</w:t>
      </w:r>
      <w:r>
        <w:rPr>
          <w:rFonts w:hint="eastAsia"/>
        </w:rPr>
        <w:t xml:space="preserve">  加气站的运营应当遵守下列规定：</w:t>
      </w:r>
    </w:p>
    <w:p w14:paraId="7FB0A391">
      <w:r>
        <w:rPr>
          <w:rFonts w:hint="eastAsia"/>
        </w:rPr>
        <w:t>（一）遵守法律、法规和规章，接受市和区、县燃气行政主管部门及有关行政管理机关的监督检查；</w:t>
      </w:r>
    </w:p>
    <w:p w14:paraId="3410E2A9">
      <w:bookmarkStart w:id="2715" w:name="_Toc428780853"/>
      <w:r>
        <w:rPr>
          <w:rFonts w:hint="eastAsia"/>
        </w:rPr>
        <w:t>（二）所供燃气达到国家和本市规定的燃气质量标准；</w:t>
      </w:r>
      <w:bookmarkEnd w:id="2715"/>
    </w:p>
    <w:p w14:paraId="57EFC089">
      <w:r>
        <w:rPr>
          <w:rFonts w:hint="eastAsia"/>
        </w:rPr>
        <w:t>（三）按照国家和本市的规定计量和收费；</w:t>
      </w:r>
    </w:p>
    <w:p w14:paraId="42895D35">
      <w:bookmarkStart w:id="2716" w:name="_Toc428780854"/>
      <w:r>
        <w:rPr>
          <w:rFonts w:hint="eastAsia"/>
        </w:rPr>
        <w:t>（四）充气作业时应当遵守操作规程并设专人监护；</w:t>
      </w:r>
      <w:bookmarkEnd w:id="2716"/>
    </w:p>
    <w:p w14:paraId="0204AD99">
      <w:r>
        <w:rPr>
          <w:rFonts w:hint="eastAsia"/>
        </w:rPr>
        <w:t>（五）按规定设置安全警示标志。</w:t>
      </w:r>
    </w:p>
    <w:p w14:paraId="730D55F8">
      <w:pPr>
        <w:ind w:firstLine="422"/>
      </w:pPr>
      <w:r>
        <w:rPr>
          <w:rFonts w:hint="eastAsia"/>
          <w:b/>
        </w:rPr>
        <w:t>第九条</w:t>
      </w:r>
      <w:r>
        <w:rPr>
          <w:rFonts w:hint="eastAsia"/>
        </w:rPr>
        <w:t xml:space="preserve">  禁止加气站运营中的下列行为：</w:t>
      </w:r>
    </w:p>
    <w:p w14:paraId="6A19D774">
      <w:r>
        <w:rPr>
          <w:rFonts w:hint="eastAsia"/>
        </w:rPr>
        <w:t>（一）非操作人员进行充气作业；</w:t>
      </w:r>
    </w:p>
    <w:p w14:paraId="3139CCFB">
      <w:r>
        <w:rPr>
          <w:rFonts w:hint="eastAsia"/>
        </w:rPr>
        <w:t>（二）为其他容器充气；</w:t>
      </w:r>
    </w:p>
    <w:p w14:paraId="2C34423F">
      <w:r>
        <w:rPr>
          <w:rFonts w:hint="eastAsia"/>
        </w:rPr>
        <w:t>（三）直接用运输槽车向车辆充气；</w:t>
      </w:r>
    </w:p>
    <w:p w14:paraId="68AA6095">
      <w:r>
        <w:rPr>
          <w:rFonts w:hint="eastAsia"/>
        </w:rPr>
        <w:t>（四）使用明火检查燃气泄漏；</w:t>
      </w:r>
    </w:p>
    <w:p w14:paraId="0A98E6C2">
      <w:r>
        <w:rPr>
          <w:rFonts w:hint="eastAsia"/>
        </w:rPr>
        <w:t>（五）存放其他易燃、易爆物品或者使用明火；</w:t>
      </w:r>
    </w:p>
    <w:p w14:paraId="6885EA12">
      <w:r>
        <w:rPr>
          <w:rFonts w:hint="eastAsia"/>
        </w:rPr>
        <w:t>（六）在站内修车、洗车。</w:t>
      </w:r>
    </w:p>
    <w:p w14:paraId="14404F53">
      <w:pPr>
        <w:ind w:firstLine="422"/>
      </w:pPr>
      <w:r>
        <w:rPr>
          <w:rFonts w:hint="eastAsia"/>
          <w:b/>
        </w:rPr>
        <w:t>第十条</w:t>
      </w:r>
      <w:r>
        <w:rPr>
          <w:rFonts w:hint="eastAsia"/>
        </w:rPr>
        <w:t xml:space="preserve">  在遇危及安全或者可能危及安全的紧急情况时，加气站专职负责安全管理的人员和充气操作人员有权决定中止充气。</w:t>
      </w:r>
    </w:p>
    <w:p w14:paraId="7B5DB823">
      <w:pPr>
        <w:ind w:firstLine="422"/>
        <w:rPr>
          <w:rFonts w:hint="eastAsia" w:ascii="宋体" w:hAnsi="宋体" w:eastAsia="宋体" w:cs="宋体"/>
        </w:rPr>
      </w:pPr>
      <w:r>
        <w:rPr>
          <w:rFonts w:hint="eastAsia"/>
          <w:b/>
        </w:rPr>
        <w:t>第十一条</w:t>
      </w:r>
      <w:r>
        <w:rPr>
          <w:rFonts w:hint="eastAsia"/>
        </w:rPr>
        <w:t xml:space="preserve">  违反本规定第九</w:t>
      </w:r>
      <w:r>
        <w:rPr>
          <w:rFonts w:hint="eastAsia" w:ascii="宋体" w:hAnsi="宋体" w:eastAsia="宋体" w:cs="宋体"/>
        </w:rPr>
        <w:t>条第（四）项和第十条规定的，由城市管理综合执法部门责令限期改正，给予警告，并可处500元以上5000元以下罚款。违反公安消防、劳动、工商行政、技术监督、规划等法律、法规和规章的，由公安消防、劳动、工商行政、技术监督、规划等有关部门依法处理。</w:t>
      </w:r>
    </w:p>
    <w:p w14:paraId="32012654">
      <w:pPr>
        <w:ind w:firstLine="422"/>
        <w:rPr>
          <w:rFonts w:hint="eastAsia" w:ascii="宋体" w:hAnsi="宋体" w:eastAsia="宋体" w:cs="宋体"/>
        </w:rPr>
      </w:pPr>
      <w:r>
        <w:rPr>
          <w:rFonts w:hint="eastAsia" w:ascii="宋体" w:hAnsi="宋体" w:eastAsia="宋体" w:cs="宋体"/>
          <w:b/>
        </w:rPr>
        <w:t>第十二条</w:t>
      </w:r>
      <w:r>
        <w:rPr>
          <w:rFonts w:hint="eastAsia" w:ascii="宋体" w:hAnsi="宋体" w:eastAsia="宋体" w:cs="宋体"/>
        </w:rPr>
        <w:t xml:space="preserve">  本规定自1999年9月1日起施行。</w:t>
      </w:r>
    </w:p>
    <w:p w14:paraId="668E0F9F">
      <w:pPr>
        <w:pStyle w:val="4"/>
        <w:pageBreakBefore/>
      </w:pPr>
      <w:bookmarkStart w:id="2717" w:name="_Toc428780855"/>
      <w:bookmarkStart w:id="2718" w:name="_Toc426467186"/>
      <w:bookmarkStart w:id="2719" w:name="_Toc428781934"/>
      <w:r>
        <w:rPr>
          <w:rFonts w:hint="eastAsia"/>
        </w:rPr>
        <w:t>北京市地热资源管理办法</w:t>
      </w:r>
      <w:bookmarkEnd w:id="2717"/>
      <w:bookmarkEnd w:id="2718"/>
      <w:bookmarkEnd w:id="2719"/>
    </w:p>
    <w:p w14:paraId="647D4F12">
      <w:pPr>
        <w:ind w:left="630" w:leftChars="300" w:right="630" w:rightChars="300"/>
        <w:rPr>
          <w:rFonts w:ascii="楷体" w:hAnsi="楷体" w:eastAsia="楷体"/>
        </w:rPr>
      </w:pPr>
      <w:r>
        <w:rPr>
          <w:rFonts w:hint="eastAsia" w:ascii="楷体" w:hAnsi="楷体" w:eastAsia="楷体"/>
        </w:rPr>
        <w:t>（1999年8月28日北京市人民政府第35号令发布　根据2001年8月27日北京市人民政府第82号令修改）</w:t>
      </w:r>
    </w:p>
    <w:p w14:paraId="2EE3A493"/>
    <w:p w14:paraId="598A8021">
      <w:pPr>
        <w:ind w:firstLine="422"/>
      </w:pPr>
      <w:r>
        <w:rPr>
          <w:rFonts w:hint="eastAsia"/>
          <w:b/>
        </w:rPr>
        <w:t>第一条</w:t>
      </w:r>
      <w:r>
        <w:rPr>
          <w:rFonts w:hint="eastAsia"/>
        </w:rPr>
        <w:t xml:space="preserve">  为加强本市地热资源的管理，科学勘查、合理开发和保护地热资源，保障地热资源的可持续利用，根据《中华人民共和国矿产资源法》和《北京市矿产资源管理条例》及其他有关法律、法规，结合本市实际情况，制定本办法。</w:t>
      </w:r>
    </w:p>
    <w:p w14:paraId="0E87AEE6">
      <w:pPr>
        <w:ind w:firstLine="422"/>
      </w:pPr>
      <w:r>
        <w:rPr>
          <w:rFonts w:hint="eastAsia"/>
          <w:b/>
        </w:rPr>
        <w:t>第二条</w:t>
      </w:r>
      <w:r>
        <w:rPr>
          <w:rFonts w:hint="eastAsia"/>
        </w:rPr>
        <w:t xml:space="preserve">  本办法所称地热资源是指埋藏在地面以下岩石和流体中的热能，包括热水型、蒸气型、地压型、岩浆岩型和干热岩型五种类型。其中热水型地热是指温度</w:t>
      </w:r>
      <w:r>
        <w:rPr>
          <w:rFonts w:hint="eastAsia" w:ascii="宋体" w:hAnsi="宋体" w:eastAsia="宋体" w:cs="宋体"/>
        </w:rPr>
        <w:t>在25℃</w:t>
      </w:r>
      <w:r>
        <w:rPr>
          <w:rFonts w:hint="eastAsia"/>
        </w:rPr>
        <w:t>以上（含</w:t>
      </w:r>
      <w:r>
        <w:rPr>
          <w:rFonts w:hint="eastAsia" w:ascii="宋体" w:hAnsi="宋体" w:eastAsia="宋体" w:cs="宋体"/>
        </w:rPr>
        <w:t>25℃</w:t>
      </w:r>
      <w:r>
        <w:rPr>
          <w:rFonts w:hint="eastAsia"/>
        </w:rPr>
        <w:t>）的基岩水和天然出露的温泉。</w:t>
      </w:r>
    </w:p>
    <w:p w14:paraId="5CEE8966">
      <w:pPr>
        <w:ind w:firstLine="422"/>
      </w:pPr>
      <w:r>
        <w:rPr>
          <w:rFonts w:hint="eastAsia"/>
          <w:b/>
        </w:rPr>
        <w:t>第三条</w:t>
      </w:r>
      <w:r>
        <w:rPr>
          <w:rFonts w:hint="eastAsia"/>
        </w:rPr>
        <w:t xml:space="preserve">  凡在本市行政区域内勘查、开发、利用地热资源，必须遵守本办法。</w:t>
      </w:r>
    </w:p>
    <w:p w14:paraId="71C15B2B">
      <w:pPr>
        <w:ind w:firstLine="422"/>
      </w:pPr>
      <w:r>
        <w:rPr>
          <w:rFonts w:hint="eastAsia"/>
          <w:b/>
        </w:rPr>
        <w:t>第四条</w:t>
      </w:r>
      <w:r>
        <w:rPr>
          <w:rFonts w:hint="eastAsia"/>
        </w:rPr>
        <w:t xml:space="preserve">  市地质矿产行政主管部门负责本市地热资源的统一管理。</w:t>
      </w:r>
    </w:p>
    <w:p w14:paraId="35373BBB">
      <w:pPr>
        <w:ind w:firstLine="422"/>
      </w:pPr>
      <w:r>
        <w:rPr>
          <w:rFonts w:hint="eastAsia"/>
          <w:b/>
        </w:rPr>
        <w:t>第五条</w:t>
      </w:r>
      <w:r>
        <w:rPr>
          <w:rFonts w:hint="eastAsia"/>
        </w:rPr>
        <w:t xml:space="preserve">  地热资源的勘查、开发，坚持统一规划、合理开发、综合利用、注重效益和开发与环境保护并重的原则。</w:t>
      </w:r>
    </w:p>
    <w:p w14:paraId="1E6C3D44">
      <w:r>
        <w:rPr>
          <w:rFonts w:hint="eastAsia"/>
        </w:rPr>
        <w:t>在资源合理配置的前提下，应当根据首都城市性质和功能的要求，优先发展有利于改善城市生态环境、提高人民生活质量的地热开发项目。</w:t>
      </w:r>
    </w:p>
    <w:p w14:paraId="2868F587">
      <w:pPr>
        <w:ind w:firstLine="422"/>
      </w:pPr>
      <w:r>
        <w:rPr>
          <w:rFonts w:hint="eastAsia"/>
          <w:b/>
        </w:rPr>
        <w:t>第六条</w:t>
      </w:r>
      <w:r>
        <w:rPr>
          <w:rFonts w:hint="eastAsia"/>
        </w:rPr>
        <w:t xml:space="preserve">  地热资源的开发利用规划，由市地质矿产行政主管部门会同有关部门制定，报市人民政府批准后实施。</w:t>
      </w:r>
    </w:p>
    <w:p w14:paraId="09953D88">
      <w:pPr>
        <w:ind w:firstLine="422"/>
      </w:pPr>
      <w:r>
        <w:rPr>
          <w:rFonts w:hint="eastAsia"/>
          <w:b/>
        </w:rPr>
        <w:t>第七条</w:t>
      </w:r>
      <w:r>
        <w:rPr>
          <w:rFonts w:hint="eastAsia"/>
        </w:rPr>
        <w:t xml:space="preserve">  勘查地热资源必须依法缴纳探矿权使用费和探矿权价款；开采地热资源必须依法缴纳采矿权使用费、采矿权价款、资源税和矿产资源补偿费。</w:t>
      </w:r>
    </w:p>
    <w:p w14:paraId="3F6A4D4E">
      <w:r>
        <w:rPr>
          <w:rFonts w:hint="eastAsia"/>
        </w:rPr>
        <w:t>矿产资源补偿费按照地热资源的温度、用途和开采量计征。</w:t>
      </w:r>
    </w:p>
    <w:p w14:paraId="5D277330">
      <w:pPr>
        <w:ind w:firstLine="422"/>
      </w:pPr>
      <w:r>
        <w:rPr>
          <w:rFonts w:hint="eastAsia"/>
          <w:b/>
        </w:rPr>
        <w:t>第八条</w:t>
      </w:r>
      <w:r>
        <w:rPr>
          <w:rFonts w:hint="eastAsia"/>
        </w:rPr>
        <w:t xml:space="preserve">  勘查、开采地热资源，由市地质矿产行政主管部门审批登记，颁发勘查许可证、采矿许可证。</w:t>
      </w:r>
    </w:p>
    <w:p w14:paraId="3213AD09">
      <w:r>
        <w:rPr>
          <w:rFonts w:hint="eastAsia"/>
        </w:rPr>
        <w:t>开采热水型地热资源，必须凭市地质矿产行政主管部门核发的允许开采通知书先到市水行政主管部门办理取水许可证，凭取水许可证到市地质矿产行政主管部门办理采矿许可证。</w:t>
      </w:r>
    </w:p>
    <w:p w14:paraId="576DE2E3">
      <w:r>
        <w:rPr>
          <w:rFonts w:hint="eastAsia"/>
        </w:rPr>
        <w:t>未取得勘查许可证、采矿许可证，擅自勘查、开采地热资源的，由市地质矿产行政主管部门对地热井及其附属设施予以查封。</w:t>
      </w:r>
    </w:p>
    <w:p w14:paraId="60EEE66F">
      <w:pPr>
        <w:ind w:firstLine="422"/>
      </w:pPr>
      <w:r>
        <w:rPr>
          <w:rFonts w:hint="eastAsia"/>
          <w:b/>
        </w:rPr>
        <w:t>第九条</w:t>
      </w:r>
      <w:r>
        <w:rPr>
          <w:rFonts w:hint="eastAsia"/>
        </w:rPr>
        <w:t xml:space="preserve">  开发利用地热资源前，开发单位必须向市地质矿产行政主管部门提交地热资源开发、利用和保护方案，建立健全节能节水措施，完善相关设施。无节能节水设施或者节能节水设施不符合要求的，不得开发利用。</w:t>
      </w:r>
    </w:p>
    <w:p w14:paraId="064E3364">
      <w:pPr>
        <w:ind w:firstLine="422"/>
      </w:pPr>
      <w:r>
        <w:rPr>
          <w:rFonts w:hint="eastAsia"/>
          <w:b/>
        </w:rPr>
        <w:t>第十条</w:t>
      </w:r>
      <w:r>
        <w:rPr>
          <w:rFonts w:hint="eastAsia"/>
        </w:rPr>
        <w:t xml:space="preserve">  开发利用地热资源，应当按照温度的差异实施梯级利用，采用先进技术，提高地热利用率。</w:t>
      </w:r>
    </w:p>
    <w:p w14:paraId="233FA901">
      <w:pPr>
        <w:ind w:firstLine="422"/>
      </w:pPr>
      <w:r>
        <w:rPr>
          <w:rFonts w:hint="eastAsia"/>
          <w:b/>
        </w:rPr>
        <w:t>第十一条</w:t>
      </w:r>
      <w:r>
        <w:rPr>
          <w:rFonts w:hint="eastAsia"/>
        </w:rPr>
        <w:t xml:space="preserve">  地热井施工必须严格遵守国家有关规范。地热井施工竣工后，开发单位和施工单位必须在验收合格</w:t>
      </w:r>
      <w:r>
        <w:rPr>
          <w:rFonts w:hint="eastAsia" w:ascii="宋体" w:hAnsi="宋体" w:eastAsia="宋体" w:cs="宋体"/>
        </w:rPr>
        <w:t>后3</w:t>
      </w:r>
      <w:r>
        <w:rPr>
          <w:rFonts w:hint="eastAsia"/>
        </w:rPr>
        <w:t>个月内向市地质矿产行政主管部门汇交有关材料。</w:t>
      </w:r>
    </w:p>
    <w:p w14:paraId="25AA92CA">
      <w:pPr>
        <w:ind w:firstLine="422"/>
      </w:pPr>
      <w:r>
        <w:rPr>
          <w:rFonts w:hint="eastAsia"/>
          <w:b/>
        </w:rPr>
        <w:t>第十二条</w:t>
      </w:r>
      <w:r>
        <w:rPr>
          <w:rFonts w:hint="eastAsia"/>
        </w:rPr>
        <w:t xml:space="preserve">  本市对地热资源实行保护性限量开采。</w:t>
      </w:r>
    </w:p>
    <w:p w14:paraId="08D7F76C">
      <w:r>
        <w:rPr>
          <w:rFonts w:hint="eastAsia"/>
        </w:rPr>
        <w:t>市地质矿产行政主管部门在每年年初向开发单位下达地热资源开采计划指标。开发单位必须在核定的计划指标内开采地热资源，禁止超计划指标破坏性开采地热资源。</w:t>
      </w:r>
    </w:p>
    <w:p w14:paraId="4D74EA30">
      <w:r>
        <w:rPr>
          <w:rFonts w:hint="eastAsia"/>
        </w:rPr>
        <w:t>开采热水型地热资源，必须在市水行政主管部门核定开采限量的基础上，由市地质矿产行政主管部门根据地热开发利用规划、地热田开发状况、动态观测资料及利用规模等因素，向开发单位下达开采计划指标。</w:t>
      </w:r>
    </w:p>
    <w:p w14:paraId="39084B1E">
      <w:r>
        <w:rPr>
          <w:rFonts w:hint="eastAsia"/>
        </w:rPr>
        <w:t>开发单位必须按规定向市地质矿产行政主管部门报送地热资源的月开采量、水温、水位等资料。</w:t>
      </w:r>
    </w:p>
    <w:p w14:paraId="7513A280">
      <w:pPr>
        <w:ind w:firstLine="422"/>
        <w:rPr>
          <w:rFonts w:hint="eastAsia" w:ascii="宋体" w:hAnsi="宋体" w:eastAsia="宋体" w:cs="宋体"/>
        </w:rPr>
      </w:pPr>
      <w:r>
        <w:rPr>
          <w:rFonts w:hint="eastAsia"/>
          <w:b/>
        </w:rPr>
        <w:t>第十三条</w:t>
      </w:r>
      <w:r>
        <w:rPr>
          <w:rFonts w:hint="eastAsia"/>
        </w:rPr>
        <w:t xml:space="preserve">  开采地热资源，必须安装计量表。采、灌两用的，应当分别安装采、灌两套计量表。计量表发生故障时，开发单位应当及时予以修复</w:t>
      </w:r>
      <w:r>
        <w:rPr>
          <w:rFonts w:hint="eastAsia" w:ascii="宋体" w:hAnsi="宋体" w:eastAsia="宋体" w:cs="宋体"/>
        </w:rPr>
        <w:t>或者更换。不能计量期间，其开采量可以按每日开采时间和泵额定流量计算，但是时间不得超过1个月。</w:t>
      </w:r>
    </w:p>
    <w:p w14:paraId="527B65D0">
      <w:pPr>
        <w:ind w:firstLine="422"/>
        <w:rPr>
          <w:rFonts w:hint="eastAsia" w:ascii="宋体" w:hAnsi="宋体" w:eastAsia="宋体" w:cs="宋体"/>
        </w:rPr>
      </w:pPr>
      <w:r>
        <w:rPr>
          <w:rFonts w:hint="eastAsia" w:ascii="宋体" w:hAnsi="宋体" w:eastAsia="宋体" w:cs="宋体"/>
          <w:b/>
        </w:rPr>
        <w:t>第十四条</w:t>
      </w:r>
      <w:r>
        <w:rPr>
          <w:rFonts w:hint="eastAsia" w:ascii="宋体" w:hAnsi="宋体" w:eastAsia="宋体" w:cs="宋体"/>
        </w:rPr>
        <w:t>　开发单位应当加强对地热井及其附属设施的维护和管理，建立技术档案。地热井实行专人管理。</w:t>
      </w:r>
    </w:p>
    <w:p w14:paraId="09DA286A">
      <w:pPr>
        <w:ind w:firstLine="422"/>
        <w:rPr>
          <w:rFonts w:hint="eastAsia" w:ascii="宋体" w:hAnsi="宋体" w:eastAsia="宋体" w:cs="宋体"/>
        </w:rPr>
      </w:pPr>
      <w:r>
        <w:rPr>
          <w:rFonts w:hint="eastAsia" w:ascii="宋体" w:hAnsi="宋体" w:eastAsia="宋体" w:cs="宋体"/>
          <w:b/>
        </w:rPr>
        <w:t>第十五条</w:t>
      </w:r>
      <w:r>
        <w:rPr>
          <w:rFonts w:hint="eastAsia" w:ascii="宋体" w:hAnsi="宋体" w:eastAsia="宋体" w:cs="宋体"/>
        </w:rPr>
        <w:t>　经批准进行地热采暖的，开发单位应当创造条件进行地热采暖弃水的人工回灌。按规定进行地热采暖弃水人工回灌的，可以减收回灌量相应温度的矿产资源补偿费。</w:t>
      </w:r>
    </w:p>
    <w:p w14:paraId="7BE21216">
      <w:pPr>
        <w:ind w:firstLine="422"/>
        <w:rPr>
          <w:rFonts w:hint="eastAsia" w:ascii="宋体" w:hAnsi="宋体" w:eastAsia="宋体" w:cs="宋体"/>
        </w:rPr>
      </w:pPr>
      <w:r>
        <w:rPr>
          <w:rFonts w:hint="eastAsia" w:ascii="宋体" w:hAnsi="宋体" w:eastAsia="宋体" w:cs="宋体"/>
          <w:b/>
        </w:rPr>
        <w:t>第十六条</w:t>
      </w:r>
      <w:r>
        <w:rPr>
          <w:rFonts w:hint="eastAsia" w:ascii="宋体" w:hAnsi="宋体" w:eastAsia="宋体" w:cs="宋体"/>
        </w:rPr>
        <w:t>　不得擅自转让地热资源探矿权、采矿权。确需转让地热资源探矿权、采矿权的，必须经市地质矿产行政主管部门批准。</w:t>
      </w:r>
    </w:p>
    <w:p w14:paraId="6EB39848">
      <w:pPr>
        <w:ind w:firstLine="422"/>
        <w:rPr>
          <w:rFonts w:hint="eastAsia" w:ascii="宋体" w:hAnsi="宋体" w:eastAsia="宋体" w:cs="宋体"/>
        </w:rPr>
      </w:pPr>
      <w:r>
        <w:rPr>
          <w:rFonts w:hint="eastAsia" w:ascii="宋体" w:hAnsi="宋体" w:eastAsia="宋体" w:cs="宋体"/>
          <w:b/>
        </w:rPr>
        <w:t>第十七条</w:t>
      </w:r>
      <w:r>
        <w:rPr>
          <w:rFonts w:hint="eastAsia" w:ascii="宋体" w:hAnsi="宋体" w:eastAsia="宋体" w:cs="宋体"/>
        </w:rPr>
        <w:t>　开发利用地热资源应当接受环境保护、卫生防疫等部门的指导和监督。</w:t>
      </w:r>
    </w:p>
    <w:p w14:paraId="6943C580">
      <w:pPr>
        <w:rPr>
          <w:rFonts w:hint="eastAsia" w:ascii="宋体" w:hAnsi="宋体" w:eastAsia="宋体" w:cs="宋体"/>
        </w:rPr>
      </w:pPr>
      <w:r>
        <w:rPr>
          <w:rFonts w:hint="eastAsia" w:ascii="宋体" w:hAnsi="宋体" w:eastAsia="宋体" w:cs="宋体"/>
        </w:rPr>
        <w:t>地热资源利用后的弃水应当符合本市的有关规定和排放标准，采暖后的排放温度不得高于30℃。</w:t>
      </w:r>
    </w:p>
    <w:p w14:paraId="049F4691">
      <w:pPr>
        <w:ind w:firstLine="422"/>
        <w:rPr>
          <w:rFonts w:hint="eastAsia" w:ascii="宋体" w:hAnsi="宋体" w:eastAsia="宋体" w:cs="宋体"/>
        </w:rPr>
      </w:pPr>
      <w:r>
        <w:rPr>
          <w:rFonts w:hint="eastAsia" w:ascii="宋体" w:hAnsi="宋体" w:eastAsia="宋体" w:cs="宋体"/>
          <w:b/>
        </w:rPr>
        <w:t>第十八条</w:t>
      </w:r>
      <w:r>
        <w:rPr>
          <w:rFonts w:hint="eastAsia" w:ascii="宋体" w:hAnsi="宋体" w:eastAsia="宋体" w:cs="宋体"/>
        </w:rPr>
        <w:t>　违反本办法，由市地质矿产行政主管部门按照下列规定予以处罚：</w:t>
      </w:r>
    </w:p>
    <w:p w14:paraId="4F585B6A">
      <w:pPr>
        <w:rPr>
          <w:rFonts w:hint="eastAsia" w:ascii="宋体" w:hAnsi="宋体" w:eastAsia="宋体" w:cs="宋体"/>
        </w:rPr>
      </w:pPr>
      <w:r>
        <w:rPr>
          <w:rFonts w:hint="eastAsia" w:ascii="宋体" w:hAnsi="宋体" w:eastAsia="宋体" w:cs="宋体"/>
        </w:rPr>
        <w:t>（一）未取得勘查许可证、采矿许可证，擅自勘查、开采地热资源或者擅自开发利用报废地热井的，责令停止违法行为，没收违法所得，予以警告，可以并处10万元以下的罚款。</w:t>
      </w:r>
    </w:p>
    <w:p w14:paraId="4FBA9B62">
      <w:pPr>
        <w:rPr>
          <w:rFonts w:hint="eastAsia" w:ascii="宋体" w:hAnsi="宋体" w:eastAsia="宋体" w:cs="宋体"/>
        </w:rPr>
      </w:pPr>
      <w:r>
        <w:rPr>
          <w:rFonts w:hint="eastAsia" w:ascii="宋体" w:hAnsi="宋体" w:eastAsia="宋体" w:cs="宋体"/>
        </w:rPr>
        <w:t>（二）擅自印制或者伪造、冒用勘查许可证、采矿许可证的，没收违法所得，可以并处10万元以下的罚款；构成犯罪的，依法追究刑事责任。</w:t>
      </w:r>
    </w:p>
    <w:p w14:paraId="409DF8F3">
      <w:pPr>
        <w:rPr>
          <w:rFonts w:hint="eastAsia" w:ascii="宋体" w:hAnsi="宋体" w:eastAsia="宋体" w:cs="宋体"/>
        </w:rPr>
      </w:pPr>
      <w:r>
        <w:rPr>
          <w:rFonts w:hint="eastAsia" w:ascii="宋体" w:hAnsi="宋体" w:eastAsia="宋体" w:cs="宋体"/>
        </w:rPr>
        <w:t>（三）不按期缴纳本办法规定应当缴纳的费用的，责令限期缴纳，并从滞纳之日起每日加收2‰的滞纳金；逾期仍不缴纳的，吊销勘查许可证、采矿许可证，并可以申请人民法院强制执行。</w:t>
      </w:r>
    </w:p>
    <w:p w14:paraId="01CB3376">
      <w:pPr>
        <w:rPr>
          <w:rFonts w:hint="eastAsia" w:ascii="宋体" w:hAnsi="宋体" w:eastAsia="宋体" w:cs="宋体"/>
        </w:rPr>
      </w:pPr>
      <w:r>
        <w:rPr>
          <w:rFonts w:hint="eastAsia" w:ascii="宋体" w:hAnsi="宋体" w:eastAsia="宋体" w:cs="宋体"/>
        </w:rPr>
        <w:t>（四）无节能节水设施或者节能节水设施不符合要求以及超过核定的开采计划指标、采取破坏性开采方法开采地热资源的，处以1万元以上10万元以下的罚款，可以吊销采矿许可证；造成地热资源严重破坏的，依法对直接责任人员追究刑事责任。</w:t>
      </w:r>
    </w:p>
    <w:p w14:paraId="6E5D5910">
      <w:pPr>
        <w:rPr>
          <w:rFonts w:hint="eastAsia" w:ascii="宋体" w:hAnsi="宋体" w:eastAsia="宋体" w:cs="宋体"/>
        </w:rPr>
      </w:pPr>
      <w:r>
        <w:rPr>
          <w:rFonts w:hint="eastAsia" w:ascii="宋体" w:hAnsi="宋体" w:eastAsia="宋体" w:cs="宋体"/>
        </w:rPr>
        <w:t>（五）拒绝接受监督检查，不如实报告并提供有关情况和资料的，责令限期改正；逾期仍不改正的，处以5000元以上5万元以下的罚款；情节严重的，吊销勘查许可证、采矿许可证。</w:t>
      </w:r>
    </w:p>
    <w:p w14:paraId="6C77102B">
      <w:pPr>
        <w:rPr>
          <w:rFonts w:hint="eastAsia" w:ascii="宋体" w:hAnsi="宋体" w:eastAsia="宋体" w:cs="宋体"/>
        </w:rPr>
      </w:pPr>
      <w:r>
        <w:rPr>
          <w:rFonts w:hint="eastAsia" w:ascii="宋体" w:hAnsi="宋体" w:eastAsia="宋体" w:cs="宋体"/>
        </w:rPr>
        <w:t>（六）未经批准，擅自转让地热资源探矿权、采矿权的，责令改正，没收违法所得，处以1万元以上10万元以下的罚款；情节严重的，吊销勘查许可证、采矿许可证。</w:t>
      </w:r>
    </w:p>
    <w:p w14:paraId="690B4654">
      <w:pPr>
        <w:ind w:firstLine="422"/>
        <w:rPr>
          <w:rFonts w:hint="eastAsia" w:ascii="宋体" w:hAnsi="宋体" w:eastAsia="宋体" w:cs="宋体"/>
        </w:rPr>
      </w:pPr>
      <w:r>
        <w:rPr>
          <w:rFonts w:hint="eastAsia" w:ascii="宋体" w:hAnsi="宋体" w:eastAsia="宋体" w:cs="宋体"/>
          <w:b/>
        </w:rPr>
        <w:t>第十九条</w:t>
      </w:r>
      <w:r>
        <w:rPr>
          <w:rFonts w:hint="eastAsia" w:ascii="宋体" w:hAnsi="宋体" w:eastAsia="宋体" w:cs="宋体"/>
        </w:rPr>
        <w:t>　破坏地热井及地热动态监测设施；拒绝、阻碍执法人员依法执行公务的，由公安机关依照治安管理处罚条例的规定予以处罚；构成犯罪的，依法追究刑事责任。</w:t>
      </w:r>
    </w:p>
    <w:p w14:paraId="40B72FB7">
      <w:pPr>
        <w:ind w:firstLine="422"/>
        <w:rPr>
          <w:rFonts w:hint="eastAsia" w:ascii="宋体" w:hAnsi="宋体" w:eastAsia="宋体" w:cs="宋体"/>
        </w:rPr>
      </w:pPr>
      <w:r>
        <w:rPr>
          <w:rFonts w:hint="eastAsia" w:ascii="宋体" w:hAnsi="宋体" w:eastAsia="宋体" w:cs="宋体"/>
          <w:b/>
        </w:rPr>
        <w:t>第二十条</w:t>
      </w:r>
      <w:r>
        <w:rPr>
          <w:rFonts w:hint="eastAsia" w:ascii="宋体" w:hAnsi="宋体" w:eastAsia="宋体" w:cs="宋体"/>
        </w:rPr>
        <w:t>　本办法自1999年10月1日起施行。1985年6月12日市人民政府发布的 《北京市人民政府关于加强地下热水资源管理的暂行规定》同时废止。</w:t>
      </w:r>
    </w:p>
    <w:p w14:paraId="69E109CC">
      <w:pPr>
        <w:pStyle w:val="4"/>
        <w:pageBreakBefore/>
      </w:pPr>
      <w:bookmarkStart w:id="2720" w:name="_Toc428781935"/>
      <w:bookmarkStart w:id="2721" w:name="_Toc428780856"/>
      <w:bookmarkStart w:id="2722" w:name="_Toc426467187"/>
      <w:r>
        <w:rPr>
          <w:rFonts w:hint="eastAsia"/>
        </w:rPr>
        <w:t>北京市人民政府关于对使用煤炭质量的监督规定</w:t>
      </w:r>
      <w:bookmarkEnd w:id="2720"/>
      <w:bookmarkEnd w:id="2721"/>
      <w:bookmarkEnd w:id="2722"/>
    </w:p>
    <w:p w14:paraId="2A22B817">
      <w:pPr>
        <w:ind w:left="630" w:leftChars="300" w:right="630" w:rightChars="300"/>
        <w:rPr>
          <w:rFonts w:ascii="楷体" w:hAnsi="楷体" w:eastAsia="楷体"/>
        </w:rPr>
      </w:pPr>
      <w:r>
        <w:rPr>
          <w:rFonts w:hint="eastAsia" w:ascii="楷体" w:hAnsi="楷体" w:eastAsia="楷体"/>
        </w:rPr>
        <w:t>（1999年10月26日北京市人民政府第42号令发布　根据2014年7月9日北京市人民政府第259号令修改）</w:t>
      </w:r>
    </w:p>
    <w:p w14:paraId="2DE7A37F"/>
    <w:p w14:paraId="1BCED07E">
      <w:pPr>
        <w:ind w:firstLine="422"/>
      </w:pPr>
      <w:r>
        <w:rPr>
          <w:rFonts w:hint="eastAsia"/>
          <w:b/>
        </w:rPr>
        <w:t>第一条</w:t>
      </w:r>
      <w:r>
        <w:rPr>
          <w:rFonts w:hint="eastAsia"/>
        </w:rPr>
        <w:t xml:space="preserve">  为了改善本市大气环境质量状况，降低燃煤对大气环境的污染，加强对使用煤炭质量的监督管理，根据本市实际情况，制定本规定。</w:t>
      </w:r>
    </w:p>
    <w:p w14:paraId="488DE08F">
      <w:pPr>
        <w:ind w:firstLine="422"/>
      </w:pPr>
      <w:r>
        <w:rPr>
          <w:rFonts w:hint="eastAsia"/>
          <w:b/>
        </w:rPr>
        <w:t>第二条</w:t>
      </w:r>
      <w:r>
        <w:rPr>
          <w:rFonts w:hint="eastAsia"/>
        </w:rPr>
        <w:t xml:space="preserve">  在本市行政区域内使用煤炭的单位和个体工商户（以下简称用煤单位），必须遵守本规定。</w:t>
      </w:r>
    </w:p>
    <w:p w14:paraId="0CE18279">
      <w:r>
        <w:rPr>
          <w:rFonts w:hint="eastAsia"/>
        </w:rPr>
        <w:t>在本市行政区域内生产、销售煤炭，按照国家有关法律、法规执行。</w:t>
      </w:r>
    </w:p>
    <w:p w14:paraId="2CCF4B77">
      <w:pPr>
        <w:ind w:firstLine="422"/>
      </w:pPr>
      <w:r>
        <w:rPr>
          <w:rFonts w:hint="eastAsia"/>
          <w:b/>
        </w:rPr>
        <w:t>第三条</w:t>
      </w:r>
      <w:r>
        <w:rPr>
          <w:rFonts w:hint="eastAsia"/>
        </w:rPr>
        <w:t xml:space="preserve">  用煤单位使用的煤炭质量应当符合本市煤炭质量地方标准的规定。</w:t>
      </w:r>
    </w:p>
    <w:p w14:paraId="6E954AA9">
      <w:r>
        <w:rPr>
          <w:rFonts w:hint="eastAsia"/>
        </w:rPr>
        <w:t>本市禁止使用不符合本市地方标准的煤炭及制品。</w:t>
      </w:r>
    </w:p>
    <w:p w14:paraId="421C2080">
      <w:pPr>
        <w:ind w:firstLine="422"/>
      </w:pPr>
      <w:r>
        <w:rPr>
          <w:rFonts w:hint="eastAsia"/>
          <w:b/>
        </w:rPr>
        <w:t>第四条</w:t>
      </w:r>
      <w:r>
        <w:rPr>
          <w:rFonts w:hint="eastAsia"/>
        </w:rPr>
        <w:t xml:space="preserve">  市和区、县质量技术监督行政部门负责本市煤炭质量的监督检查。</w:t>
      </w:r>
    </w:p>
    <w:p w14:paraId="00A455C4">
      <w:pPr>
        <w:ind w:firstLine="422"/>
      </w:pPr>
      <w:r>
        <w:rPr>
          <w:rFonts w:hint="eastAsia"/>
          <w:b/>
        </w:rPr>
        <w:t>第五条</w:t>
      </w:r>
      <w:r>
        <w:rPr>
          <w:rFonts w:hint="eastAsia"/>
        </w:rPr>
        <w:t xml:space="preserve">  用煤单位在购煤后，应当委托具备相关资质的产品质量检验机构对煤炭质量进行检验；经检验不符合标准的，不得使用。</w:t>
      </w:r>
    </w:p>
    <w:p w14:paraId="249BAA01">
      <w:r>
        <w:rPr>
          <w:rFonts w:hint="eastAsia"/>
        </w:rPr>
        <w:t>质量技术监督行政部门应当加强对本市使用煤炭质量的抽查监督。</w:t>
      </w:r>
    </w:p>
    <w:p w14:paraId="7A425C47">
      <w:pPr>
        <w:ind w:firstLine="422"/>
        <w:rPr>
          <w:rFonts w:hint="eastAsia" w:ascii="宋体" w:hAnsi="宋体" w:eastAsia="宋体" w:cs="宋体"/>
        </w:rPr>
      </w:pPr>
      <w:r>
        <w:rPr>
          <w:rFonts w:hint="eastAsia"/>
          <w:b/>
        </w:rPr>
        <w:t>第六条</w:t>
      </w:r>
      <w:r>
        <w:rPr>
          <w:rFonts w:hint="eastAsia"/>
        </w:rPr>
        <w:t xml:space="preserve">  用煤单位违反本规定</w:t>
      </w:r>
      <w:r>
        <w:rPr>
          <w:rFonts w:hint="eastAsia" w:ascii="宋体" w:hAnsi="宋体" w:eastAsia="宋体" w:cs="宋体"/>
        </w:rPr>
        <w:t>，使用不符合本市地方标准的煤炭及制品的，由质量技术监督行政部门责令停止使用，处以3万元以下罚款。</w:t>
      </w:r>
    </w:p>
    <w:p w14:paraId="311A7D96">
      <w:pPr>
        <w:ind w:firstLine="422"/>
        <w:rPr>
          <w:rFonts w:hint="eastAsia" w:ascii="宋体" w:hAnsi="宋体" w:eastAsia="宋体" w:cs="宋体"/>
        </w:rPr>
      </w:pPr>
      <w:r>
        <w:rPr>
          <w:rFonts w:hint="eastAsia" w:ascii="宋体" w:hAnsi="宋体" w:eastAsia="宋体" w:cs="宋体"/>
          <w:b/>
        </w:rPr>
        <w:t>第七条</w:t>
      </w:r>
      <w:r>
        <w:rPr>
          <w:rFonts w:hint="eastAsia" w:ascii="宋体" w:hAnsi="宋体" w:eastAsia="宋体" w:cs="宋体"/>
        </w:rPr>
        <w:t xml:space="preserve">  本规定自发布之日起施行。</w:t>
      </w:r>
    </w:p>
    <w:p w14:paraId="01B3724A">
      <w:pPr>
        <w:pStyle w:val="4"/>
        <w:pageBreakBefore/>
      </w:pPr>
      <w:bookmarkStart w:id="2723" w:name="_Toc428781936"/>
      <w:bookmarkStart w:id="2724" w:name="_Toc426467188"/>
      <w:bookmarkStart w:id="2725" w:name="_Toc428780857"/>
      <w:r>
        <w:rPr>
          <w:rFonts w:hint="eastAsia"/>
        </w:rPr>
        <w:t>北京市节能监察办法</w:t>
      </w:r>
      <w:bookmarkEnd w:id="2723"/>
      <w:bookmarkEnd w:id="2724"/>
      <w:bookmarkEnd w:id="2725"/>
    </w:p>
    <w:p w14:paraId="4F434284">
      <w:pPr>
        <w:ind w:left="630" w:leftChars="300" w:right="630" w:rightChars="300"/>
        <w:rPr>
          <w:rFonts w:ascii="楷体" w:hAnsi="楷体" w:eastAsia="楷体"/>
        </w:rPr>
      </w:pPr>
      <w:r>
        <w:rPr>
          <w:rFonts w:hint="eastAsia" w:ascii="楷体" w:hAnsi="楷体" w:eastAsia="楷体"/>
        </w:rPr>
        <w:t>（2006年6月6日北京市人民政府第50次常务会议审议通过  2006年6月20日北京市人民政府第174号令公布）</w:t>
      </w:r>
    </w:p>
    <w:p w14:paraId="56230ED3"/>
    <w:p w14:paraId="5096905F">
      <w:pPr>
        <w:ind w:firstLine="0" w:firstLineChars="0"/>
        <w:jc w:val="center"/>
        <w:rPr>
          <w:b/>
          <w:sz w:val="28"/>
        </w:rPr>
      </w:pPr>
      <w:r>
        <w:rPr>
          <w:rFonts w:hint="eastAsia"/>
          <w:b/>
          <w:sz w:val="28"/>
        </w:rPr>
        <w:t>第一章　总　则</w:t>
      </w:r>
    </w:p>
    <w:p w14:paraId="30489531"/>
    <w:p w14:paraId="2FEA84C1">
      <w:pPr>
        <w:ind w:firstLine="422"/>
      </w:pPr>
      <w:r>
        <w:rPr>
          <w:rFonts w:hint="eastAsia"/>
          <w:b/>
        </w:rPr>
        <w:t>第一条</w:t>
      </w:r>
      <w:r>
        <w:rPr>
          <w:rFonts w:hint="eastAsia"/>
        </w:rPr>
        <w:t xml:space="preserve">  为了促进节约型社会建设，推动全社会合理用能和节约用能，规范节能监察行为，根据《中华人民共和国节约能源法》、《中华人民共和国可再生能源法》和《北京市实施〈中华人民共和国节约能源法〉办法》，制定本办法。</w:t>
      </w:r>
    </w:p>
    <w:p w14:paraId="7DD476A3">
      <w:pPr>
        <w:ind w:firstLine="422"/>
      </w:pPr>
      <w:r>
        <w:rPr>
          <w:rFonts w:hint="eastAsia"/>
          <w:b/>
        </w:rPr>
        <w:t>第二条</w:t>
      </w:r>
      <w:r>
        <w:rPr>
          <w:rFonts w:hint="eastAsia"/>
        </w:rPr>
        <w:t xml:space="preserve">  本办法所称节能监察，是指节能行政主管部门对本市使用能源和开发利用新能源、可再生能源以及从事相关活动的单位（以下简称用能单位）执行节能法律、法规、规章、相关标准以及国家和市人民政府有关节能规定的情况进行监督检查，并依法予以处理的行为。</w:t>
      </w:r>
    </w:p>
    <w:p w14:paraId="3499D7D1">
      <w:pPr>
        <w:ind w:firstLine="422"/>
      </w:pPr>
      <w:r>
        <w:rPr>
          <w:rFonts w:hint="eastAsia"/>
          <w:b/>
        </w:rPr>
        <w:t>第三条</w:t>
      </w:r>
      <w:r>
        <w:rPr>
          <w:rFonts w:hint="eastAsia"/>
        </w:rPr>
        <w:t xml:space="preserve">  市发展和改革委员会是本市节能行政主管部门，负责统一管理、指导和协调全市节能监察工作。区、县节能行政主管部门根据职责分工做好本行政区域内的节能监察工作。</w:t>
      </w:r>
    </w:p>
    <w:p w14:paraId="1AB0FE38">
      <w:r>
        <w:rPr>
          <w:rFonts w:hint="eastAsia"/>
        </w:rPr>
        <w:t>质量技术监督、工商行政管理、统计、规划、建设、市政管理等行政主管部门依照有关法律、法规和规章规定的职责做好相应节能监督管理工作。</w:t>
      </w:r>
    </w:p>
    <w:p w14:paraId="40226AD0">
      <w:r>
        <w:rPr>
          <w:rFonts w:hint="eastAsia"/>
        </w:rPr>
        <w:t>区、县人民政府节能行政主管部门可以在其法定职责内，委托符合《中华人民共和国行政处罚法》第十九条规定条件的组织实施节能监察。</w:t>
      </w:r>
    </w:p>
    <w:p w14:paraId="3C460017">
      <w:pPr>
        <w:ind w:firstLine="422"/>
      </w:pPr>
      <w:r>
        <w:rPr>
          <w:rFonts w:hint="eastAsia"/>
          <w:b/>
        </w:rPr>
        <w:t>第四条</w:t>
      </w:r>
      <w:r>
        <w:rPr>
          <w:rFonts w:hint="eastAsia"/>
        </w:rPr>
        <w:t xml:space="preserve">  节能监察遵循教育与处罚相结合、监督与服务相结合的原则。</w:t>
      </w:r>
    </w:p>
    <w:p w14:paraId="3D7343F0">
      <w:pPr>
        <w:ind w:firstLine="422"/>
      </w:pPr>
      <w:r>
        <w:rPr>
          <w:rFonts w:hint="eastAsia"/>
          <w:b/>
        </w:rPr>
        <w:t>第五条</w:t>
      </w:r>
      <w:r>
        <w:rPr>
          <w:rFonts w:hint="eastAsia"/>
        </w:rPr>
        <w:t xml:space="preserve">  节能行政主管部门应当加强节能监察工作中的信息化建设，充分利用信息技术和手段，建立能源利用信息监控系统，对用能单位实施节能监察。</w:t>
      </w:r>
    </w:p>
    <w:p w14:paraId="2736DB09">
      <w:pPr>
        <w:ind w:firstLine="422"/>
      </w:pPr>
      <w:r>
        <w:rPr>
          <w:rFonts w:hint="eastAsia"/>
          <w:b/>
        </w:rPr>
        <w:t>第六条</w:t>
      </w:r>
      <w:r>
        <w:rPr>
          <w:rFonts w:hint="eastAsia"/>
        </w:rPr>
        <w:t xml:space="preserve">  节能行政主管部门应当定期向社会公布节能监察情况。</w:t>
      </w:r>
    </w:p>
    <w:p w14:paraId="147F229C">
      <w:pPr>
        <w:ind w:firstLine="422"/>
      </w:pPr>
      <w:r>
        <w:rPr>
          <w:rFonts w:hint="eastAsia"/>
          <w:b/>
        </w:rPr>
        <w:t>第七条</w:t>
      </w:r>
      <w:r>
        <w:rPr>
          <w:rFonts w:hint="eastAsia"/>
        </w:rPr>
        <w:t xml:space="preserve">  鼓励单位和个人对违反节能法律、法规、规章、相关标准以及国家和市人民政府有关节能规定的浪费用能行为向节能行政主管部门举报。节能行政主管部门应当为举报人保密。</w:t>
      </w:r>
    </w:p>
    <w:p w14:paraId="33ACA858">
      <w:r>
        <w:rPr>
          <w:rFonts w:hint="eastAsia"/>
        </w:rPr>
        <w:t>对举报属实，为查处重大违法用能行为提供主要线索和证据的举报人，节能行政主管部门应当给予奖励。</w:t>
      </w:r>
    </w:p>
    <w:p w14:paraId="290A9F95"/>
    <w:p w14:paraId="5AB84093">
      <w:pPr>
        <w:ind w:firstLine="0" w:firstLineChars="0"/>
        <w:jc w:val="center"/>
        <w:rPr>
          <w:b/>
          <w:sz w:val="28"/>
        </w:rPr>
      </w:pPr>
      <w:r>
        <w:rPr>
          <w:rFonts w:hint="eastAsia"/>
          <w:b/>
          <w:sz w:val="28"/>
        </w:rPr>
        <w:t>第二章  节能监察的职责</w:t>
      </w:r>
    </w:p>
    <w:p w14:paraId="3A57CD09"/>
    <w:p w14:paraId="29C3929C">
      <w:pPr>
        <w:ind w:firstLine="422"/>
      </w:pPr>
      <w:r>
        <w:rPr>
          <w:rFonts w:hint="eastAsia"/>
          <w:b/>
        </w:rPr>
        <w:t>第八条</w:t>
      </w:r>
      <w:r>
        <w:rPr>
          <w:rFonts w:hint="eastAsia"/>
        </w:rPr>
        <w:t xml:space="preserve">  节能行政主管部门实施节能监察，履行下列职责：</w:t>
      </w:r>
    </w:p>
    <w:p w14:paraId="033C9D51">
      <w:r>
        <w:rPr>
          <w:rFonts w:hint="eastAsia"/>
        </w:rPr>
        <w:t>（一）贯彻执行节能法律、法规、规章、相关标准以及国家和市人民政府有关节能规定；</w:t>
      </w:r>
    </w:p>
    <w:p w14:paraId="2B3B126D">
      <w:r>
        <w:rPr>
          <w:rFonts w:hint="eastAsia"/>
        </w:rPr>
        <w:t>（二）宣传节能法律、法规、规章、相关标准以及国家和市人民政府有关节能规定，普及宣传节能知识，提供先进节能信息，指导用能单位合理用能和节约用能；</w:t>
      </w:r>
    </w:p>
    <w:p w14:paraId="761E4037">
      <w:r>
        <w:rPr>
          <w:rFonts w:hint="eastAsia"/>
        </w:rPr>
        <w:t>（三）督促检查用能单位执行节能法律、法规、规章、相关标准以及国家和市人民政府有关节能规定；</w:t>
      </w:r>
    </w:p>
    <w:p w14:paraId="4C82980D">
      <w:r>
        <w:rPr>
          <w:rFonts w:hint="eastAsia"/>
        </w:rPr>
        <w:t>（四）受理对违反节能法律、法规、规章、相关标准以及国家和市人民政府有关节能规定用能行为的举报；</w:t>
      </w:r>
    </w:p>
    <w:p w14:paraId="5077169A">
      <w:r>
        <w:rPr>
          <w:rFonts w:hint="eastAsia"/>
        </w:rPr>
        <w:t>（五）依法查处和纠正违反节能法律、法规、规章和相关标准的用能行为。</w:t>
      </w:r>
    </w:p>
    <w:p w14:paraId="63B37BC7">
      <w:pPr>
        <w:ind w:firstLine="422"/>
      </w:pPr>
      <w:r>
        <w:rPr>
          <w:rFonts w:hint="eastAsia"/>
          <w:b/>
        </w:rPr>
        <w:t>第九条</w:t>
      </w:r>
      <w:r>
        <w:rPr>
          <w:rFonts w:hint="eastAsia"/>
        </w:rPr>
        <w:t xml:space="preserve">  节能行政主管部门对用能单位的下列活动实施监察：</w:t>
      </w:r>
    </w:p>
    <w:p w14:paraId="6BA98B6B">
      <w:r>
        <w:rPr>
          <w:rFonts w:hint="eastAsia"/>
        </w:rPr>
        <w:t>（一）建立和落实节能工作责任制、节能管理制度和相关措施，以及开展节能教育、组织有关人员参加节能培训的情况；</w:t>
      </w:r>
    </w:p>
    <w:p w14:paraId="713B0528">
      <w:r>
        <w:rPr>
          <w:rFonts w:hint="eastAsia"/>
        </w:rPr>
        <w:t>（二）执行国家淘汰或者限制使用的用能产品、设备、设施、工艺和材料目录的情况；</w:t>
      </w:r>
    </w:p>
    <w:p w14:paraId="309A667D">
      <w:r>
        <w:rPr>
          <w:rFonts w:hint="eastAsia"/>
        </w:rPr>
        <w:t>（三）执行综合能耗、单位产品能耗和主要用能设备能耗等限额规定的情况；</w:t>
      </w:r>
    </w:p>
    <w:p w14:paraId="21FBB126">
      <w:bookmarkStart w:id="2726" w:name="_Toc428780858"/>
      <w:r>
        <w:rPr>
          <w:rFonts w:hint="eastAsia"/>
        </w:rPr>
        <w:t>（四）落实工程建设项目合理用能论证中节能措施和能耗指标的情况；</w:t>
      </w:r>
      <w:bookmarkEnd w:id="2726"/>
    </w:p>
    <w:p w14:paraId="47DCF229">
      <w:r>
        <w:rPr>
          <w:rFonts w:hint="eastAsia"/>
        </w:rPr>
        <w:t>（五）执行有关能源效率标识规定的情况；</w:t>
      </w:r>
    </w:p>
    <w:p w14:paraId="299EDB43">
      <w:r>
        <w:rPr>
          <w:rFonts w:hint="eastAsia"/>
        </w:rPr>
        <w:t>（六）利用生物质资源生产的燃气和热力的入网情况，石油销售企业将符合国家标准的生物液体燃料纳入销售体系的情况；</w:t>
      </w:r>
    </w:p>
    <w:p w14:paraId="0618F644">
      <w:r>
        <w:rPr>
          <w:rFonts w:hint="eastAsia"/>
        </w:rPr>
        <w:t>（七）法律、法规和规章规定的其他节能监察事项。</w:t>
      </w:r>
    </w:p>
    <w:p w14:paraId="20F3560F">
      <w:pPr>
        <w:ind w:firstLine="422"/>
      </w:pPr>
      <w:r>
        <w:rPr>
          <w:rFonts w:hint="eastAsia"/>
          <w:b/>
        </w:rPr>
        <w:t>第十条</w:t>
      </w:r>
      <w:r>
        <w:rPr>
          <w:rFonts w:hint="eastAsia"/>
        </w:rPr>
        <w:t xml:space="preserve">  节能监察人员依法履行节能监察职责，受法律保护。</w:t>
      </w:r>
    </w:p>
    <w:p w14:paraId="29476ABE">
      <w:r>
        <w:rPr>
          <w:rFonts w:hint="eastAsia"/>
        </w:rPr>
        <w:t>节能监察人员应当熟悉与节能有关的法律、法规、规章、相关标准以及国家和市人民政府有关节能规定，具备相应的业务能力，并按规定取得行政执法资格。</w:t>
      </w:r>
    </w:p>
    <w:p w14:paraId="2B8FF6E2"/>
    <w:p w14:paraId="1206F648">
      <w:pPr>
        <w:ind w:firstLine="0" w:firstLineChars="0"/>
        <w:jc w:val="center"/>
        <w:rPr>
          <w:b/>
          <w:sz w:val="28"/>
        </w:rPr>
      </w:pPr>
      <w:r>
        <w:rPr>
          <w:rFonts w:hint="eastAsia"/>
          <w:b/>
          <w:sz w:val="28"/>
        </w:rPr>
        <w:t>第三章  节能监察的实施</w:t>
      </w:r>
    </w:p>
    <w:p w14:paraId="2EFEADF5"/>
    <w:p w14:paraId="6DD4964A">
      <w:pPr>
        <w:ind w:firstLine="422"/>
      </w:pPr>
      <w:r>
        <w:rPr>
          <w:rFonts w:hint="eastAsia"/>
          <w:b/>
        </w:rPr>
        <w:t>第十一条</w:t>
      </w:r>
      <w:r>
        <w:rPr>
          <w:rFonts w:hint="eastAsia"/>
        </w:rPr>
        <w:t xml:space="preserve">  开展节能监察工作时，应当全面、客观、公正地调查，收集有关证据，并注意维护用能单位正常的生产、经营和工作秩序。</w:t>
      </w:r>
    </w:p>
    <w:p w14:paraId="3095E35F">
      <w:r>
        <w:rPr>
          <w:rFonts w:hint="eastAsia"/>
        </w:rPr>
        <w:t>节能监察工作人员在工作中应当做到秉公执法，对节能监察工作中了解的商业秘密负有保密义务。</w:t>
      </w:r>
    </w:p>
    <w:p w14:paraId="193285CE">
      <w:pPr>
        <w:ind w:firstLine="422"/>
      </w:pPr>
      <w:r>
        <w:rPr>
          <w:rFonts w:hint="eastAsia"/>
          <w:b/>
        </w:rPr>
        <w:t>第十二条</w:t>
      </w:r>
      <w:r>
        <w:rPr>
          <w:rFonts w:hint="eastAsia"/>
        </w:rPr>
        <w:t xml:space="preserve">  节能行政主管部门应当公布节能举报电话、传真、电子邮箱和通讯地址。</w:t>
      </w:r>
    </w:p>
    <w:p w14:paraId="558F24DA">
      <w:pPr>
        <w:ind w:firstLine="422"/>
      </w:pPr>
      <w:r>
        <w:rPr>
          <w:rFonts w:hint="eastAsia"/>
          <w:b/>
        </w:rPr>
        <w:t>第十三条</w:t>
      </w:r>
      <w:r>
        <w:rPr>
          <w:rFonts w:hint="eastAsia"/>
        </w:rPr>
        <w:t xml:space="preserve">  节能行政主管部门接到节能举报后，应当如实进行登记。对基本情况清楚、有具体违法事实、线索清晰并附带证据材料的举报，节能行政主管部门应当及时受理。</w:t>
      </w:r>
    </w:p>
    <w:p w14:paraId="21E69549">
      <w:r>
        <w:rPr>
          <w:rFonts w:hint="eastAsia"/>
        </w:rPr>
        <w:t>对要求答复的举报，节能行政主管部门应当及时按照举报人提供的名称、地址及联系方式予以答复。</w:t>
      </w:r>
    </w:p>
    <w:p w14:paraId="492D85C7">
      <w:pPr>
        <w:ind w:firstLine="422"/>
      </w:pPr>
      <w:r>
        <w:rPr>
          <w:rFonts w:hint="eastAsia"/>
          <w:b/>
        </w:rPr>
        <w:t>第十四条</w:t>
      </w:r>
      <w:r>
        <w:rPr>
          <w:rFonts w:hint="eastAsia"/>
        </w:rPr>
        <w:t xml:space="preserve">  有下列情形之一的，节能行政主管部门应当实施现场监察：</w:t>
      </w:r>
    </w:p>
    <w:p w14:paraId="303C3363">
      <w:r>
        <w:rPr>
          <w:rFonts w:hint="eastAsia"/>
        </w:rPr>
        <w:t>（一）用能单位因技术改造或者其他原因，致使其主要用能设备、生产工艺或者能源消费结构发生重大变化的；</w:t>
      </w:r>
    </w:p>
    <w:p w14:paraId="1D2D4162">
      <w:r>
        <w:rPr>
          <w:rFonts w:hint="eastAsia"/>
        </w:rPr>
        <w:t>（二）通过举报或者其他途径，发现用能单位涉嫌违反法律、法规、规章、相关标准以及国家和市人民政府有关节能规定用能的；</w:t>
      </w:r>
    </w:p>
    <w:p w14:paraId="01F36CDB">
      <w:bookmarkStart w:id="2727" w:name="_Toc428780859"/>
      <w:r>
        <w:rPr>
          <w:rFonts w:hint="eastAsia"/>
        </w:rPr>
        <w:t>（三）需要对用能单位能源利用状况进行现场监测的；</w:t>
      </w:r>
      <w:bookmarkEnd w:id="2727"/>
    </w:p>
    <w:p w14:paraId="06AE2CBE">
      <w:r>
        <w:rPr>
          <w:rFonts w:hint="eastAsia"/>
        </w:rPr>
        <w:t>（四）需要现场确认用能单位落实节能整改措施情况的；</w:t>
      </w:r>
    </w:p>
    <w:p w14:paraId="1772686B">
      <w:bookmarkStart w:id="2728" w:name="_Toc428780860"/>
      <w:r>
        <w:rPr>
          <w:rFonts w:hint="eastAsia"/>
        </w:rPr>
        <w:t>（五）按照节能监察工作计划要求，应当进行现场监察的；</w:t>
      </w:r>
      <w:bookmarkEnd w:id="2728"/>
    </w:p>
    <w:p w14:paraId="62BF0A19">
      <w:r>
        <w:rPr>
          <w:rFonts w:hint="eastAsia"/>
        </w:rPr>
        <w:t>（六）法律、法规、规章规定应当实施现场监察的其他情形。</w:t>
      </w:r>
    </w:p>
    <w:p w14:paraId="54BE9C96">
      <w:pPr>
        <w:ind w:firstLine="422"/>
      </w:pPr>
      <w:r>
        <w:rPr>
          <w:rFonts w:hint="eastAsia"/>
          <w:b/>
        </w:rPr>
        <w:t>第十五条</w:t>
      </w:r>
      <w:r>
        <w:rPr>
          <w:rFonts w:hint="eastAsia"/>
        </w:rPr>
        <w:t xml:space="preserve">  节能行政主管部门采取书面监察的，用能单位应当按照节能行政主管部门规定的监察内容和时间要求如实报送能源利用状况报告或者其他资料。</w:t>
      </w:r>
    </w:p>
    <w:p w14:paraId="0BA5DCE7">
      <w:pPr>
        <w:ind w:firstLine="422"/>
      </w:pPr>
      <w:r>
        <w:rPr>
          <w:rFonts w:hint="eastAsia"/>
          <w:b/>
        </w:rPr>
        <w:t>第十六条</w:t>
      </w:r>
      <w:r>
        <w:rPr>
          <w:rFonts w:hint="eastAsia"/>
        </w:rPr>
        <w:t xml:space="preserve">  节能监察人员实施现场监察时，应当出示节能监察证件，制作现场监察笔录，如实记录实施节能监察的时间、地点、内容、参加人员和现场监察的实际情况，并由节能监察人员和用能单位有关负责人签字或者盖章；用能单位负责人拒绝签字或者盖章的，由两名以上节能监察人员在监察笔录中如实注明。</w:t>
      </w:r>
    </w:p>
    <w:p w14:paraId="15BBA66F">
      <w:pPr>
        <w:ind w:firstLine="422"/>
      </w:pPr>
      <w:r>
        <w:rPr>
          <w:rFonts w:hint="eastAsia"/>
          <w:b/>
        </w:rPr>
        <w:t>第十七条</w:t>
      </w:r>
      <w:r>
        <w:rPr>
          <w:rFonts w:hint="eastAsia"/>
        </w:rPr>
        <w:t xml:space="preserve">  节能监察人员实施节能监察时，可以采取下列措施：</w:t>
      </w:r>
    </w:p>
    <w:p w14:paraId="3BCE2D94">
      <w:r>
        <w:rPr>
          <w:rFonts w:hint="eastAsia"/>
        </w:rPr>
        <w:t>（一）询问有关人员，要求用能单位就监察事项所涉及的问题做出解释和说明；</w:t>
      </w:r>
    </w:p>
    <w:p w14:paraId="4545FB81">
      <w:bookmarkStart w:id="2729" w:name="_Toc428780861"/>
      <w:r>
        <w:rPr>
          <w:rFonts w:hint="eastAsia"/>
        </w:rPr>
        <w:t>（二）查阅、复印或者抄录有关资料；</w:t>
      </w:r>
      <w:bookmarkEnd w:id="2729"/>
    </w:p>
    <w:p w14:paraId="76B5BD68">
      <w:r>
        <w:rPr>
          <w:rFonts w:hint="eastAsia"/>
        </w:rPr>
        <w:t>（三）根据需要对有关产品、设备、资料、场景等进行录像、拍照；</w:t>
      </w:r>
    </w:p>
    <w:p w14:paraId="405B1BF8">
      <w:bookmarkStart w:id="2730" w:name="_Toc428780862"/>
      <w:r>
        <w:rPr>
          <w:rFonts w:hint="eastAsia"/>
        </w:rPr>
        <w:t>（四）对有关产品、设备、场所等进行检查、检验测试；</w:t>
      </w:r>
      <w:bookmarkEnd w:id="2730"/>
    </w:p>
    <w:p w14:paraId="21B34DB1">
      <w:r>
        <w:rPr>
          <w:rFonts w:hint="eastAsia"/>
        </w:rPr>
        <w:t>（五）法律、法规、规章规定可以采取的其他措施。</w:t>
      </w:r>
    </w:p>
    <w:p w14:paraId="5803749E">
      <w:pPr>
        <w:ind w:firstLine="422"/>
      </w:pPr>
      <w:r>
        <w:rPr>
          <w:rFonts w:hint="eastAsia"/>
          <w:b/>
        </w:rPr>
        <w:t>第十八条</w:t>
      </w:r>
      <w:r>
        <w:rPr>
          <w:rFonts w:hint="eastAsia"/>
        </w:rPr>
        <w:t xml:space="preserve">  用能单位应当配合节能监察工作，如实说明情况，提供相关资料、样品，不得阻碍节能监察，不得隐瞒事实真相，不得伪造、隐匿、销毁、篡改有关证据。</w:t>
      </w:r>
    </w:p>
    <w:p w14:paraId="30C8D7F3">
      <w:pPr>
        <w:ind w:firstLine="422"/>
      </w:pPr>
      <w:r>
        <w:rPr>
          <w:rFonts w:hint="eastAsia"/>
          <w:b/>
        </w:rPr>
        <w:t>第十九条</w:t>
      </w:r>
      <w:r>
        <w:rPr>
          <w:rFonts w:hint="eastAsia"/>
        </w:rPr>
        <w:t xml:space="preserve">  用能单位违反国家和市人民政府有关节能规定不合理用能的，由节能行政主管部门下达节能监察意见书。用能单位应当及时采取措施予以改进。</w:t>
      </w:r>
    </w:p>
    <w:p w14:paraId="73A1F998">
      <w:r>
        <w:rPr>
          <w:rFonts w:hint="eastAsia"/>
        </w:rPr>
        <w:t>节能行政主管部门对被下达节能监察意见书的用能单位要进行重点监察，督促用能单位按照要求进行整改。</w:t>
      </w:r>
    </w:p>
    <w:p w14:paraId="5B349ECA">
      <w:pPr>
        <w:ind w:firstLine="422"/>
        <w:rPr>
          <w:rFonts w:hint="eastAsia" w:ascii="宋体" w:hAnsi="宋体" w:eastAsia="宋体" w:cs="宋体"/>
        </w:rPr>
      </w:pPr>
      <w:r>
        <w:rPr>
          <w:rFonts w:hint="eastAsia" w:ascii="宋体" w:hAnsi="宋体" w:eastAsia="宋体" w:cs="宋体"/>
          <w:b/>
        </w:rPr>
        <w:t>第二十条</w:t>
      </w:r>
      <w:r>
        <w:rPr>
          <w:rFonts w:hint="eastAsia" w:ascii="宋体" w:hAnsi="宋体" w:eastAsia="宋体" w:cs="宋体"/>
        </w:rPr>
        <w:t xml:space="preserve">  用能单位对节能监察意见书有异议的，可以在收到节能监察意见书之日起10个工作日内申请节能行政主管部门复查；节能行政主管部门应当在收到复查申请之日起15个工作日内将复查结果告知用能单位。</w:t>
      </w:r>
    </w:p>
    <w:p w14:paraId="3595E819">
      <w:pPr>
        <w:ind w:firstLine="422"/>
      </w:pPr>
      <w:r>
        <w:rPr>
          <w:rFonts w:hint="eastAsia"/>
          <w:b/>
        </w:rPr>
        <w:t>第二十一条</w:t>
      </w:r>
      <w:r>
        <w:rPr>
          <w:rFonts w:hint="eastAsia"/>
        </w:rPr>
        <w:t xml:space="preserve">  节能行政主管部门应当建立节能违法行为记录系统，向社会公开用能单位因违法用能受到行政处罚的情况和被下达节能监察意见书后的整改工作情况等信息。</w:t>
      </w:r>
    </w:p>
    <w:p w14:paraId="404AF8CF"/>
    <w:p w14:paraId="6010B0D6">
      <w:pPr>
        <w:ind w:firstLine="0" w:firstLineChars="0"/>
        <w:jc w:val="center"/>
        <w:rPr>
          <w:b/>
          <w:sz w:val="28"/>
        </w:rPr>
      </w:pPr>
      <w:r>
        <w:rPr>
          <w:rFonts w:hint="eastAsia"/>
          <w:b/>
          <w:sz w:val="28"/>
        </w:rPr>
        <w:t>第四章  法律责任</w:t>
      </w:r>
    </w:p>
    <w:p w14:paraId="474999B3"/>
    <w:p w14:paraId="4025D52F">
      <w:pPr>
        <w:ind w:firstLine="422"/>
      </w:pPr>
      <w:r>
        <w:rPr>
          <w:rFonts w:hint="eastAsia"/>
          <w:b/>
        </w:rPr>
        <w:t>第二十二条</w:t>
      </w:r>
      <w:r>
        <w:rPr>
          <w:rFonts w:hint="eastAsia"/>
        </w:rPr>
        <w:t xml:space="preserve">  用能单位存在违法用能行为的，由节能行政主管部门或者其他负有节能监督管理工作职责的部门依照有关法律、法规和规章的规定，对其进行处罚。</w:t>
      </w:r>
    </w:p>
    <w:p w14:paraId="12FB5B30">
      <w:r>
        <w:rPr>
          <w:rFonts w:hint="eastAsia"/>
        </w:rPr>
        <w:t>节能行政主管部门对于不属于节能监察职权范围的违法用能行为，应当及时移送有监督管理权的有关部门处理。</w:t>
      </w:r>
    </w:p>
    <w:p w14:paraId="23825E94">
      <w:pPr>
        <w:ind w:firstLine="422"/>
        <w:rPr>
          <w:rFonts w:hint="eastAsia" w:ascii="宋体" w:hAnsi="宋体" w:eastAsia="宋体" w:cs="宋体"/>
        </w:rPr>
      </w:pPr>
      <w:r>
        <w:rPr>
          <w:rFonts w:hint="eastAsia"/>
          <w:b/>
        </w:rPr>
        <w:t>第二十三条</w:t>
      </w:r>
      <w:r>
        <w:rPr>
          <w:rFonts w:hint="eastAsia"/>
        </w:rPr>
        <w:t xml:space="preserve">  用能单位违反本办法第十八条规定，拒不提供相关资料、样品，或者隐瞒事实真相，伪造、隐匿、销毁、篡改证据的，由节能行</w:t>
      </w:r>
      <w:r>
        <w:rPr>
          <w:rFonts w:hint="eastAsia" w:ascii="宋体" w:hAnsi="宋体" w:eastAsia="宋体" w:cs="宋体"/>
        </w:rPr>
        <w:t>政主管部门责令改正，给予警告，并处1000元罚款，对直接负责的主管人员和其他责任人员处500元罚款。</w:t>
      </w:r>
    </w:p>
    <w:p w14:paraId="2DA11AB9">
      <w:pPr>
        <w:ind w:firstLine="422"/>
        <w:rPr>
          <w:rFonts w:hint="eastAsia" w:ascii="宋体" w:hAnsi="宋体" w:eastAsia="宋体" w:cs="宋体"/>
        </w:rPr>
      </w:pPr>
      <w:r>
        <w:rPr>
          <w:rFonts w:hint="eastAsia" w:ascii="宋体" w:hAnsi="宋体" w:eastAsia="宋体" w:cs="宋体"/>
          <w:b/>
        </w:rPr>
        <w:t>第二十四条</w:t>
      </w:r>
      <w:r>
        <w:rPr>
          <w:rFonts w:hint="eastAsia" w:ascii="宋体" w:hAnsi="宋体" w:eastAsia="宋体" w:cs="宋体"/>
        </w:rPr>
        <w:t xml:space="preserve">  用能单位阻碍节能监察工作的，按照《中华人民共和国治安管理处罚法》的有关规定予以处理。</w:t>
      </w:r>
    </w:p>
    <w:p w14:paraId="59606F8C">
      <w:pPr>
        <w:ind w:firstLine="422"/>
      </w:pPr>
      <w:r>
        <w:rPr>
          <w:rFonts w:hint="eastAsia"/>
          <w:b/>
        </w:rPr>
        <w:t>第二十五条</w:t>
      </w:r>
      <w:r>
        <w:rPr>
          <w:rFonts w:hint="eastAsia"/>
        </w:rPr>
        <w:t xml:space="preserve">  节能行政主管部门及其工作人员有下列情形之一的，对直接负责的主管人员和其他直接责任人员依法给予行政处分；构成犯罪的，依法追究刑事责任：</w:t>
      </w:r>
    </w:p>
    <w:p w14:paraId="1FFFAA77">
      <w:r>
        <w:rPr>
          <w:rFonts w:hint="eastAsia"/>
        </w:rPr>
        <w:t>（一）泄露用能单位商业秘密的；</w:t>
      </w:r>
    </w:p>
    <w:p w14:paraId="54752D6B">
      <w:r>
        <w:rPr>
          <w:rFonts w:hint="eastAsia"/>
        </w:rPr>
        <w:t>（二）利用职务之便谋取非法利益的；</w:t>
      </w:r>
    </w:p>
    <w:p w14:paraId="137F6799">
      <w:r>
        <w:rPr>
          <w:rFonts w:hint="eastAsia"/>
        </w:rPr>
        <w:t>（三）违法向用能单位收取费用的；</w:t>
      </w:r>
    </w:p>
    <w:p w14:paraId="365F934C">
      <w:r>
        <w:rPr>
          <w:rFonts w:hint="eastAsia"/>
        </w:rPr>
        <w:t>（四）有其他违法行为并造成较为严重后果的。</w:t>
      </w:r>
    </w:p>
    <w:p w14:paraId="2FCE0B84"/>
    <w:p w14:paraId="4794A0FE">
      <w:pPr>
        <w:ind w:firstLine="0" w:firstLineChars="0"/>
        <w:jc w:val="center"/>
        <w:rPr>
          <w:b/>
          <w:sz w:val="28"/>
        </w:rPr>
      </w:pPr>
      <w:r>
        <w:rPr>
          <w:rFonts w:hint="eastAsia"/>
          <w:b/>
          <w:sz w:val="28"/>
        </w:rPr>
        <w:t>第五章  附　则</w:t>
      </w:r>
    </w:p>
    <w:p w14:paraId="563BBEF8">
      <w:pPr>
        <w:rPr>
          <w:rFonts w:hint="eastAsia" w:ascii="宋体" w:hAnsi="宋体" w:eastAsia="宋体" w:cs="宋体"/>
        </w:rPr>
      </w:pPr>
    </w:p>
    <w:p w14:paraId="43CAB909">
      <w:pPr>
        <w:ind w:firstLine="422"/>
      </w:pPr>
      <w:r>
        <w:rPr>
          <w:rFonts w:hint="eastAsia" w:ascii="宋体" w:hAnsi="宋体" w:eastAsia="宋体" w:cs="宋体"/>
          <w:b/>
        </w:rPr>
        <w:t>第二十六条</w:t>
      </w:r>
      <w:r>
        <w:rPr>
          <w:rFonts w:hint="eastAsia" w:ascii="宋体" w:hAnsi="宋体" w:eastAsia="宋体" w:cs="宋体"/>
        </w:rPr>
        <w:t xml:space="preserve">  本办法自2006年7月20日起施行</w:t>
      </w:r>
      <w:r>
        <w:rPr>
          <w:rFonts w:hint="eastAsia"/>
        </w:rPr>
        <w:t>。</w:t>
      </w:r>
    </w:p>
    <w:p w14:paraId="5F496699">
      <w:pPr>
        <w:pStyle w:val="3"/>
        <w:pageBreakBefore/>
      </w:pPr>
      <w:bookmarkStart w:id="2731" w:name="_Toc428781937"/>
      <w:bookmarkStart w:id="2732" w:name="_Toc426467189"/>
      <w:bookmarkStart w:id="2733" w:name="_Toc428780863"/>
      <w:r>
        <w:rPr>
          <w:rFonts w:hint="eastAsia"/>
        </w:rPr>
        <w:t>（六）生态环境</w:t>
      </w:r>
      <w:bookmarkEnd w:id="2731"/>
      <w:bookmarkEnd w:id="2732"/>
      <w:bookmarkEnd w:id="2733"/>
    </w:p>
    <w:p w14:paraId="7530EA37"/>
    <w:p w14:paraId="19A157CE">
      <w:pPr>
        <w:pStyle w:val="4"/>
      </w:pPr>
      <w:bookmarkStart w:id="2734" w:name="_Toc426467190"/>
      <w:bookmarkStart w:id="2735" w:name="_Toc428780864"/>
      <w:bookmarkStart w:id="2736" w:name="_Toc428781938"/>
      <w:r>
        <w:rPr>
          <w:rFonts w:hint="eastAsia"/>
        </w:rPr>
        <w:t>北京市公园条例</w:t>
      </w:r>
      <w:bookmarkEnd w:id="2734"/>
      <w:bookmarkEnd w:id="2735"/>
      <w:bookmarkEnd w:id="2736"/>
    </w:p>
    <w:p w14:paraId="5A8A1ED2">
      <w:pPr>
        <w:ind w:left="630" w:leftChars="300" w:right="630" w:rightChars="300"/>
        <w:rPr>
          <w:rFonts w:ascii="楷体" w:hAnsi="楷体" w:eastAsia="楷体"/>
        </w:rPr>
      </w:pPr>
      <w:r>
        <w:rPr>
          <w:rFonts w:hint="eastAsia" w:ascii="楷体" w:hAnsi="楷体" w:eastAsia="楷体"/>
        </w:rPr>
        <w:t>（2002年10月17日北京市第十一届人民代表大会常务委员会第三十七次会议通过）</w:t>
      </w:r>
    </w:p>
    <w:p w14:paraId="2F0B535D"/>
    <w:p w14:paraId="4D7A1871">
      <w:pPr>
        <w:ind w:firstLine="0" w:firstLineChars="0"/>
        <w:jc w:val="center"/>
        <w:rPr>
          <w:b/>
          <w:sz w:val="28"/>
        </w:rPr>
      </w:pPr>
      <w:r>
        <w:rPr>
          <w:rFonts w:hint="eastAsia"/>
          <w:b/>
          <w:sz w:val="28"/>
        </w:rPr>
        <w:t>第一章　总　则</w:t>
      </w:r>
    </w:p>
    <w:p w14:paraId="70D90B91"/>
    <w:p w14:paraId="65DFFA17">
      <w:pPr>
        <w:ind w:firstLine="422"/>
      </w:pPr>
      <w:r>
        <w:rPr>
          <w:rFonts w:hint="eastAsia"/>
          <w:b/>
        </w:rPr>
        <w:t>第一条</w:t>
      </w:r>
      <w:r>
        <w:rPr>
          <w:rFonts w:hint="eastAsia"/>
        </w:rPr>
        <w:t xml:space="preserve">  为了加强本市公园的规划、建设、管理和保护，促进公园事业的发展，创造良好的人居环境，根据本市实际情况，制定本条例。</w:t>
      </w:r>
    </w:p>
    <w:p w14:paraId="0A5CFE58">
      <w:pPr>
        <w:ind w:firstLine="422"/>
      </w:pPr>
      <w:r>
        <w:rPr>
          <w:rFonts w:hint="eastAsia"/>
          <w:b/>
        </w:rPr>
        <w:t>第二条</w:t>
      </w:r>
      <w:r>
        <w:rPr>
          <w:rFonts w:hint="eastAsia"/>
        </w:rPr>
        <w:t xml:space="preserve">  本市行政区域内的公园、公园周边景观以及规划确定的公园用地管理适用本条例。</w:t>
      </w:r>
    </w:p>
    <w:p w14:paraId="001F7958">
      <w:r>
        <w:rPr>
          <w:rFonts w:hint="eastAsia"/>
        </w:rPr>
        <w:t>本条例所称公园，是指具有良好的园林环境、较完善的设施，具备改善生态、美化城市、游览观赏、休憩娱乐和防灾避险等功能，并向公众开放的场所，包括：综合公园、专类公园（儿童公园、历史名园、植物园等）、社区公园等。</w:t>
      </w:r>
    </w:p>
    <w:p w14:paraId="43628B98">
      <w:r>
        <w:rPr>
          <w:rFonts w:hint="eastAsia"/>
        </w:rPr>
        <w:t>本市森林公园的建立、管理和保护，按照国家有关规定执行。</w:t>
      </w:r>
    </w:p>
    <w:p w14:paraId="2B91EC45">
      <w:pPr>
        <w:ind w:firstLine="422"/>
      </w:pPr>
      <w:r>
        <w:rPr>
          <w:rFonts w:hint="eastAsia"/>
          <w:b/>
        </w:rPr>
        <w:t>第三条</w:t>
      </w:r>
      <w:r>
        <w:rPr>
          <w:rFonts w:hint="eastAsia"/>
        </w:rPr>
        <w:t xml:space="preserve">  本市应当按照保护历史文化名城和建设现代化国际大都市的要求，规划、建设、管理公园，发展公园事业。</w:t>
      </w:r>
    </w:p>
    <w:p w14:paraId="7BB8DD84">
      <w:pPr>
        <w:ind w:firstLine="422"/>
      </w:pPr>
      <w:r>
        <w:rPr>
          <w:rFonts w:hint="eastAsia"/>
          <w:b/>
        </w:rPr>
        <w:t>第四条</w:t>
      </w:r>
      <w:r>
        <w:rPr>
          <w:rFonts w:hint="eastAsia"/>
        </w:rPr>
        <w:t xml:space="preserve">  本市各级人民政府应当将公园事业纳入国民经济和社会发展计划，保证公益性公园建设和管理所必需的经费，保障公园事业发展的需要。</w:t>
      </w:r>
    </w:p>
    <w:p w14:paraId="7DDBE502">
      <w:pPr>
        <w:ind w:firstLine="422"/>
      </w:pPr>
      <w:r>
        <w:rPr>
          <w:rFonts w:hint="eastAsia"/>
          <w:b/>
        </w:rPr>
        <w:t>第五条</w:t>
      </w:r>
      <w:r>
        <w:rPr>
          <w:rFonts w:hint="eastAsia"/>
        </w:rPr>
        <w:t xml:space="preserve">  市园林行政管理部门主管本市公园工作，负责本条例的组织实施。</w:t>
      </w:r>
    </w:p>
    <w:p w14:paraId="111B98CE">
      <w:r>
        <w:rPr>
          <w:rFonts w:hint="eastAsia"/>
        </w:rPr>
        <w:t>区、县人民政府园林主管部门按照职责分工负责本行政区域内的公园管理监督工作。</w:t>
      </w:r>
    </w:p>
    <w:p w14:paraId="37F1ADD0">
      <w:pPr>
        <w:rPr>
          <w:rFonts w:hint="eastAsia"/>
          <w:lang w:val="en-US" w:eastAsia="zh-CN"/>
        </w:rPr>
      </w:pPr>
      <w:r>
        <w:rPr>
          <w:rFonts w:hint="eastAsia"/>
        </w:rPr>
        <w:t xml:space="preserve">本市各级人民政府有关行政管理部门应当按照各自的职责，依法对公园工作进行管理。    </w:t>
      </w:r>
      <w:r>
        <w:rPr>
          <w:rFonts w:hint="eastAsia"/>
          <w:lang w:val="en-US" w:eastAsia="zh-CN"/>
        </w:rPr>
        <w:t xml:space="preserve"> </w:t>
      </w:r>
    </w:p>
    <w:p w14:paraId="41197F5D">
      <w:r>
        <w:rPr>
          <w:rFonts w:hint="eastAsia"/>
          <w:b/>
        </w:rPr>
        <w:t>第六条</w:t>
      </w:r>
      <w:r>
        <w:rPr>
          <w:rFonts w:hint="eastAsia"/>
        </w:rPr>
        <w:t xml:space="preserve">  本市公园实行分级、分类管理。</w:t>
      </w:r>
    </w:p>
    <w:p w14:paraId="274F90CF">
      <w:r>
        <w:rPr>
          <w:rFonts w:hint="eastAsia"/>
        </w:rPr>
        <w:t>本市公园的等级、类别由市园林行政管理部门按照有关规定确定并公布。</w:t>
      </w:r>
    </w:p>
    <w:p w14:paraId="0A1388A8">
      <w:pPr>
        <w:ind w:firstLine="422"/>
      </w:pPr>
      <w:r>
        <w:rPr>
          <w:rFonts w:hint="eastAsia"/>
          <w:b/>
        </w:rPr>
        <w:t>第七条</w:t>
      </w:r>
      <w:r>
        <w:rPr>
          <w:rFonts w:hint="eastAsia"/>
        </w:rPr>
        <w:t xml:space="preserve">  本市对在公园建设、管理和保护工作中成绩显著的单位和个人给予表彰和奖励。</w:t>
      </w:r>
    </w:p>
    <w:p w14:paraId="6AEBE57F">
      <w:pPr>
        <w:ind w:firstLine="422"/>
      </w:pPr>
      <w:r>
        <w:rPr>
          <w:rFonts w:hint="eastAsia"/>
          <w:b/>
        </w:rPr>
        <w:t>第八条</w:t>
      </w:r>
      <w:r>
        <w:rPr>
          <w:rFonts w:hint="eastAsia"/>
        </w:rPr>
        <w:t xml:space="preserve">  任何单位和个人都有保护公园的义务，对违反本条例的行为有权劝阻、举报和控告。</w:t>
      </w:r>
    </w:p>
    <w:p w14:paraId="4AD0DB38"/>
    <w:p w14:paraId="7134CD4D">
      <w:pPr>
        <w:ind w:firstLine="0" w:firstLineChars="0"/>
        <w:jc w:val="center"/>
        <w:rPr>
          <w:b/>
          <w:sz w:val="28"/>
        </w:rPr>
      </w:pPr>
      <w:r>
        <w:rPr>
          <w:rFonts w:hint="eastAsia"/>
          <w:b/>
          <w:sz w:val="28"/>
        </w:rPr>
        <w:t>第二章　公园事业发展</w:t>
      </w:r>
    </w:p>
    <w:p w14:paraId="1A8D31C1"/>
    <w:p w14:paraId="52BFFFF7">
      <w:pPr>
        <w:ind w:firstLine="422"/>
      </w:pPr>
      <w:r>
        <w:rPr>
          <w:rFonts w:hint="eastAsia"/>
          <w:b/>
        </w:rPr>
        <w:t>第九条</w:t>
      </w:r>
      <w:r>
        <w:rPr>
          <w:rFonts w:hint="eastAsia"/>
        </w:rPr>
        <w:t xml:space="preserve">  市园林行政管理部门应当会同市人民政府有关行政管理部门依据北京城市总体规划和绿地系统规划编制公园事业发展规划及实施计划，报市人民政府批准后实施。</w:t>
      </w:r>
    </w:p>
    <w:p w14:paraId="5E754CCA">
      <w:pPr>
        <w:ind w:firstLine="422"/>
      </w:pPr>
      <w:r>
        <w:rPr>
          <w:rFonts w:hint="eastAsia"/>
          <w:b/>
        </w:rPr>
        <w:t>第十条</w:t>
      </w:r>
      <w:r>
        <w:rPr>
          <w:rFonts w:hint="eastAsia"/>
        </w:rPr>
        <w:t xml:space="preserve">  本市应当积极保护、利用历史名园，发展建设大、中型公园，并注重建设小型公园。</w:t>
      </w:r>
    </w:p>
    <w:p w14:paraId="6550C15D">
      <w:r>
        <w:rPr>
          <w:rFonts w:hint="eastAsia"/>
        </w:rPr>
        <w:t>新建居住区必须按照规定标准建设居住区公园。</w:t>
      </w:r>
    </w:p>
    <w:p w14:paraId="04DD0C47">
      <w:r>
        <w:rPr>
          <w:rFonts w:hint="eastAsia"/>
        </w:rPr>
        <w:t>旧城区改造、新区开发应当规划建设公园。</w:t>
      </w:r>
    </w:p>
    <w:p w14:paraId="65D206C3">
      <w:r>
        <w:rPr>
          <w:rFonts w:hint="eastAsia"/>
        </w:rPr>
        <w:t>城市道路两侧、河道两侧，有条件的应当结合周边环境建设公园。</w:t>
      </w:r>
    </w:p>
    <w:p w14:paraId="747F556F">
      <w:pPr>
        <w:ind w:firstLine="422"/>
      </w:pPr>
      <w:r>
        <w:rPr>
          <w:rFonts w:hint="eastAsia"/>
          <w:b/>
        </w:rPr>
        <w:t>第十一条</w:t>
      </w:r>
      <w:r>
        <w:rPr>
          <w:rFonts w:hint="eastAsia"/>
        </w:rPr>
        <w:t xml:space="preserve">  任何单位和个人不得擅自改变公园的功能，不得侵占公园用地，不得擅自改变公园用地性质。</w:t>
      </w:r>
    </w:p>
    <w:p w14:paraId="7FF0E262">
      <w:r>
        <w:rPr>
          <w:rFonts w:hint="eastAsia"/>
        </w:rPr>
        <w:t>规划确定的公园用地不得擅自改作他用，确需调整时，应当制定调整方案，调整方案需经规划、园林等部门论证提出意见，报市人民政府审批。</w:t>
      </w:r>
    </w:p>
    <w:p w14:paraId="59823A67">
      <w:r>
        <w:rPr>
          <w:rFonts w:hint="eastAsia"/>
        </w:rPr>
        <w:t>已经占用公园土地、房屋的单位和个人，应当迁出。</w:t>
      </w:r>
    </w:p>
    <w:p w14:paraId="5824F3B7">
      <w:pPr>
        <w:ind w:firstLine="422"/>
      </w:pPr>
      <w:r>
        <w:rPr>
          <w:rFonts w:hint="eastAsia"/>
          <w:b/>
        </w:rPr>
        <w:t>第十二条</w:t>
      </w:r>
      <w:r>
        <w:rPr>
          <w:rFonts w:hint="eastAsia"/>
        </w:rPr>
        <w:t xml:space="preserve">  新建公园应当尽可能选择历史、文化等遗址、遗迹及其他具有纪念意义的区域地点。</w:t>
      </w:r>
    </w:p>
    <w:p w14:paraId="058EE907">
      <w:r>
        <w:rPr>
          <w:rFonts w:hint="eastAsia"/>
        </w:rPr>
        <w:t>鼓励利用荒滩、荒地、废弃地、垃圾填埋场等建造公园。</w:t>
      </w:r>
    </w:p>
    <w:p w14:paraId="1FDEDA95">
      <w:pPr>
        <w:ind w:firstLine="422"/>
      </w:pPr>
      <w:r>
        <w:rPr>
          <w:rFonts w:hint="eastAsia"/>
          <w:b/>
        </w:rPr>
        <w:t>第十三条</w:t>
      </w:r>
      <w:r>
        <w:rPr>
          <w:rFonts w:hint="eastAsia"/>
        </w:rPr>
        <w:t xml:space="preserve">  本市公益性公园应当以政府组织建设为主导。</w:t>
      </w:r>
    </w:p>
    <w:p w14:paraId="152FA20E">
      <w:r>
        <w:rPr>
          <w:rFonts w:hint="eastAsia"/>
        </w:rPr>
        <w:t>本市鼓励自然人、法人和其他组织投资建设公益性公园或者以捐赠、认养等方式参与公园建设。</w:t>
      </w:r>
    </w:p>
    <w:p w14:paraId="76CB08BF">
      <w:pPr>
        <w:ind w:firstLine="422"/>
      </w:pPr>
      <w:r>
        <w:rPr>
          <w:rFonts w:hint="eastAsia"/>
          <w:b/>
        </w:rPr>
        <w:t>第十四条</w:t>
      </w:r>
      <w:r>
        <w:rPr>
          <w:rFonts w:hint="eastAsia"/>
        </w:rPr>
        <w:t>　各级人民政府应当制定积极的政策和措施，促进公园事业的发展。</w:t>
      </w:r>
    </w:p>
    <w:p w14:paraId="169AD714">
      <w:pPr>
        <w:ind w:firstLine="422"/>
      </w:pPr>
      <w:r>
        <w:rPr>
          <w:rFonts w:hint="eastAsia"/>
          <w:b/>
        </w:rPr>
        <w:t>第十五条</w:t>
      </w:r>
      <w:r>
        <w:rPr>
          <w:rFonts w:hint="eastAsia"/>
        </w:rPr>
        <w:t>　各级人民政府应当支持公园事业的科学技术研究工作，鼓励科学技术和先进管理经验的推广运用，并按照保护生物多样性的原则和保护文化、自然遗产的要求，加强对公园文化、自然资源的有效保护和科学利用。</w:t>
      </w:r>
    </w:p>
    <w:p w14:paraId="11DE26E0"/>
    <w:p w14:paraId="3831DC19">
      <w:pPr>
        <w:ind w:firstLine="0" w:firstLineChars="0"/>
        <w:jc w:val="center"/>
        <w:rPr>
          <w:b/>
          <w:sz w:val="28"/>
        </w:rPr>
      </w:pPr>
      <w:r>
        <w:rPr>
          <w:rFonts w:hint="eastAsia"/>
          <w:b/>
          <w:sz w:val="28"/>
        </w:rPr>
        <w:t>第三章　建设与保护</w:t>
      </w:r>
    </w:p>
    <w:p w14:paraId="3357CA22"/>
    <w:p w14:paraId="29767C7A">
      <w:pPr>
        <w:ind w:firstLine="422"/>
      </w:pPr>
      <w:r>
        <w:rPr>
          <w:rFonts w:hint="eastAsia"/>
          <w:b/>
        </w:rPr>
        <w:t>第十六条</w:t>
      </w:r>
      <w:r>
        <w:rPr>
          <w:rFonts w:hint="eastAsia"/>
        </w:rPr>
        <w:t>　新建、改建、扩建公园应当符合本市公园事业发展规划。</w:t>
      </w:r>
    </w:p>
    <w:p w14:paraId="4BCC3AC7">
      <w:r>
        <w:rPr>
          <w:rFonts w:hint="eastAsia"/>
        </w:rPr>
        <w:t>新建公园应当对公园地点、资金等方面，进行综合分析论证，提出可行性报告、计划报告书等。</w:t>
      </w:r>
    </w:p>
    <w:p w14:paraId="56322279">
      <w:r>
        <w:rPr>
          <w:rFonts w:hint="eastAsia"/>
        </w:rPr>
        <w:t>新建动物园、植物园除应当遵守前款规定外，还应当在动物、植物资源和技术条件、专业管理人员的配备等方面符合有关规定。</w:t>
      </w:r>
    </w:p>
    <w:p w14:paraId="79F0FBC0">
      <w:pPr>
        <w:ind w:firstLine="422"/>
      </w:pPr>
      <w:r>
        <w:rPr>
          <w:rFonts w:hint="eastAsia"/>
          <w:b/>
        </w:rPr>
        <w:t>第十七条</w:t>
      </w:r>
      <w:r>
        <w:rPr>
          <w:rFonts w:hint="eastAsia"/>
        </w:rPr>
        <w:t>　公园的设计应当由具有相应园林规划设计资质的单位承担，设计方案应当符合公园设计规范，并按照国家和本市有关规定申报批准。</w:t>
      </w:r>
    </w:p>
    <w:p w14:paraId="279B2C9D">
      <w:r>
        <w:rPr>
          <w:rFonts w:hint="eastAsia"/>
        </w:rPr>
        <w:t>经批准的公园设计方案确需调整的，应当报原审批机关批准。</w:t>
      </w:r>
    </w:p>
    <w:p w14:paraId="10D2A967">
      <w:pPr>
        <w:ind w:firstLine="422"/>
      </w:pPr>
      <w:r>
        <w:rPr>
          <w:rFonts w:hint="eastAsia"/>
          <w:b/>
        </w:rPr>
        <w:t>第十八条</w:t>
      </w:r>
      <w:r>
        <w:rPr>
          <w:rFonts w:hint="eastAsia"/>
        </w:rPr>
        <w:t>　公园建设施工必须按照批准的公园设计方案进行。建设施工应当由具有相应等级资质的单位承担。</w:t>
      </w:r>
    </w:p>
    <w:p w14:paraId="2DBCCAFC">
      <w:r>
        <w:rPr>
          <w:rFonts w:hint="eastAsia"/>
        </w:rPr>
        <w:t>新建、改建、扩建公园竣工后，应当由园林、规划、建设、公安等有关行政管理部门验收合格后方可投入使用。</w:t>
      </w:r>
    </w:p>
    <w:p w14:paraId="136D13E5">
      <w:pPr>
        <w:ind w:firstLine="422"/>
        <w:rPr>
          <w:rFonts w:hint="eastAsia" w:ascii="宋体" w:hAnsi="宋体" w:eastAsia="宋体" w:cs="宋体"/>
        </w:rPr>
      </w:pPr>
      <w:r>
        <w:rPr>
          <w:rFonts w:hint="eastAsia"/>
          <w:b/>
        </w:rPr>
        <w:t>第十九条</w:t>
      </w:r>
      <w:r>
        <w:rPr>
          <w:rFonts w:hint="eastAsia"/>
        </w:rPr>
        <w:t>　建造公园应当以创造优美的绿色环境为基本任务。公园绿化应当科学合理地配置植物群落，注重生态和景观效应。公园的绿化用地比例应当不少于陆地面积</w:t>
      </w:r>
      <w:r>
        <w:rPr>
          <w:rFonts w:hint="eastAsia" w:ascii="宋体" w:hAnsi="宋体" w:eastAsia="宋体" w:cs="宋体"/>
        </w:rPr>
        <w:t>的65%。</w:t>
      </w:r>
    </w:p>
    <w:p w14:paraId="2E423C2D">
      <w:pPr>
        <w:rPr>
          <w:rFonts w:hint="eastAsia" w:ascii="宋体" w:hAnsi="宋体" w:eastAsia="宋体" w:cs="宋体"/>
        </w:rPr>
      </w:pPr>
      <w:r>
        <w:rPr>
          <w:rFonts w:hint="eastAsia" w:ascii="宋体" w:hAnsi="宋体" w:eastAsia="宋体" w:cs="宋体"/>
        </w:rPr>
        <w:t>已建成公园的绿化用地比例未达到规定标准的，不得新建、扩建各类建筑物、构筑物。</w:t>
      </w:r>
    </w:p>
    <w:p w14:paraId="30376AB8">
      <w:pPr>
        <w:ind w:firstLine="422"/>
        <w:rPr>
          <w:rFonts w:hint="eastAsia" w:ascii="宋体" w:hAnsi="宋体" w:eastAsia="宋体" w:cs="宋体"/>
        </w:rPr>
      </w:pPr>
      <w:r>
        <w:rPr>
          <w:rFonts w:hint="eastAsia" w:ascii="宋体" w:hAnsi="宋体" w:eastAsia="宋体" w:cs="宋体"/>
          <w:b/>
        </w:rPr>
        <w:t>第二十条</w:t>
      </w:r>
      <w:r>
        <w:rPr>
          <w:rFonts w:hint="eastAsia" w:ascii="宋体" w:hAnsi="宋体" w:eastAsia="宋体" w:cs="宋体"/>
        </w:rPr>
        <w:t>　公园设计必须确定公园的游人容量，游人人均占有公园的陆地面积不得低于15平方米。</w:t>
      </w:r>
    </w:p>
    <w:p w14:paraId="71B96289">
      <w:pPr>
        <w:rPr>
          <w:rFonts w:hint="eastAsia" w:ascii="宋体" w:hAnsi="宋体" w:eastAsia="宋体" w:cs="宋体"/>
        </w:rPr>
      </w:pPr>
      <w:r>
        <w:rPr>
          <w:rFonts w:hint="eastAsia" w:ascii="宋体" w:hAnsi="宋体" w:eastAsia="宋体" w:cs="宋体"/>
        </w:rPr>
        <w:t>公园主要出入口的位置必须与城市交通和游人走向、流量相适应。公园主要出入口外应当根据规划和交通的需要设置游人集散广场、停车场、自行车存放处。收费公园主要出入口外集散场地的面积不得低于每万人500平方米。</w:t>
      </w:r>
    </w:p>
    <w:p w14:paraId="1F2A505A">
      <w:pPr>
        <w:rPr>
          <w:rFonts w:hint="eastAsia" w:ascii="宋体" w:hAnsi="宋体" w:eastAsia="宋体" w:cs="宋体"/>
        </w:rPr>
      </w:pPr>
      <w:r>
        <w:rPr>
          <w:rFonts w:hint="eastAsia" w:ascii="宋体" w:hAnsi="宋体" w:eastAsia="宋体" w:cs="宋体"/>
        </w:rPr>
        <w:t>大、中型公园出入口周围50米范围内禁止设置商业、服务业摊点。</w:t>
      </w:r>
    </w:p>
    <w:p w14:paraId="5EB1E232">
      <w:pPr>
        <w:ind w:firstLine="422"/>
        <w:rPr>
          <w:rFonts w:hint="eastAsia" w:ascii="宋体" w:hAnsi="宋体" w:eastAsia="宋体" w:cs="宋体"/>
        </w:rPr>
      </w:pPr>
      <w:r>
        <w:rPr>
          <w:rFonts w:hint="eastAsia" w:ascii="宋体" w:hAnsi="宋体" w:eastAsia="宋体" w:cs="宋体"/>
          <w:b/>
        </w:rPr>
        <w:t>第二十一条</w:t>
      </w:r>
      <w:r>
        <w:rPr>
          <w:rFonts w:hint="eastAsia" w:ascii="宋体" w:hAnsi="宋体" w:eastAsia="宋体" w:cs="宋体"/>
        </w:rPr>
        <w:t>　公园内水、电、燃气、热力等市政管线和其他市政设施应当隐蔽布置，不得破坏公园景观，不得设在主要景点和游人密集活动区，不得影响树木的生长，不得危及游人人身及财产安全。不符合规定设置的，应当改建。</w:t>
      </w:r>
    </w:p>
    <w:p w14:paraId="3130044D">
      <w:pPr>
        <w:ind w:firstLine="422"/>
        <w:rPr>
          <w:rFonts w:hint="eastAsia" w:ascii="宋体" w:hAnsi="宋体" w:eastAsia="宋体" w:cs="宋体"/>
        </w:rPr>
      </w:pPr>
      <w:r>
        <w:rPr>
          <w:rFonts w:hint="eastAsia" w:ascii="宋体" w:hAnsi="宋体" w:eastAsia="宋体" w:cs="宋体"/>
          <w:b/>
        </w:rPr>
        <w:t>第二十二条</w:t>
      </w:r>
      <w:r>
        <w:rPr>
          <w:rFonts w:hint="eastAsia" w:ascii="宋体" w:hAnsi="宋体" w:eastAsia="宋体" w:cs="宋体"/>
        </w:rPr>
        <w:t>　公园内的各类设施应当与公园功能相适应，与公园景观相协调。</w:t>
      </w:r>
    </w:p>
    <w:p w14:paraId="54D878DE">
      <w:pPr>
        <w:rPr>
          <w:rFonts w:hint="eastAsia" w:ascii="宋体" w:hAnsi="宋体" w:eastAsia="宋体" w:cs="宋体"/>
        </w:rPr>
      </w:pPr>
      <w:r>
        <w:rPr>
          <w:rFonts w:hint="eastAsia" w:ascii="宋体" w:hAnsi="宋体" w:eastAsia="宋体" w:cs="宋体"/>
        </w:rPr>
        <w:t>花坛、草坪、喷水池、假山、雕塑、亭榭、回廊等设施，应当突出文化内涵，讲求文化品位，注重艺术效果，配合环境增进景色。</w:t>
      </w:r>
    </w:p>
    <w:p w14:paraId="51DC3EE8">
      <w:pPr>
        <w:rPr>
          <w:rFonts w:hint="eastAsia" w:ascii="宋体" w:hAnsi="宋体" w:eastAsia="宋体" w:cs="宋体"/>
        </w:rPr>
      </w:pPr>
      <w:r>
        <w:rPr>
          <w:rFonts w:hint="eastAsia" w:ascii="宋体" w:hAnsi="宋体" w:eastAsia="宋体" w:cs="宋体"/>
        </w:rPr>
        <w:t>公共厕所、果皮箱、园灯、园椅等设施的数量应当按照公园设计规范设置。公共厕所的建设不得低于本市规定的二类建设标准。</w:t>
      </w:r>
    </w:p>
    <w:p w14:paraId="255EC9BD">
      <w:pPr>
        <w:rPr>
          <w:rFonts w:hint="eastAsia" w:ascii="宋体" w:hAnsi="宋体" w:eastAsia="宋体" w:cs="宋体"/>
        </w:rPr>
      </w:pPr>
      <w:r>
        <w:rPr>
          <w:rFonts w:hint="eastAsia" w:ascii="宋体" w:hAnsi="宋体" w:eastAsia="宋体" w:cs="宋体"/>
        </w:rPr>
        <w:t>餐厅、茶座、咖啡厅、小卖部、照相服务部等商业服务设施应当统一规划，控制规模，并应当按照批准的公园设计方案设置。</w:t>
      </w:r>
    </w:p>
    <w:p w14:paraId="3EE1FC26">
      <w:pPr>
        <w:rPr>
          <w:rFonts w:hint="eastAsia" w:ascii="宋体" w:hAnsi="宋体" w:eastAsia="宋体" w:cs="宋体"/>
        </w:rPr>
      </w:pPr>
      <w:r>
        <w:rPr>
          <w:rFonts w:hint="eastAsia" w:ascii="宋体" w:hAnsi="宋体" w:eastAsia="宋体" w:cs="宋体"/>
        </w:rPr>
        <w:t>禁止在公园内新建旅馆、饭店、办公楼以及其他不符合要求的建筑。对已建的，应当逐步拆除。</w:t>
      </w:r>
    </w:p>
    <w:p w14:paraId="4275BEB6">
      <w:pPr>
        <w:ind w:firstLine="422"/>
        <w:rPr>
          <w:rFonts w:hint="eastAsia" w:ascii="宋体" w:hAnsi="宋体" w:eastAsia="宋体" w:cs="宋体"/>
        </w:rPr>
      </w:pPr>
      <w:r>
        <w:rPr>
          <w:rFonts w:hint="eastAsia" w:ascii="宋体" w:hAnsi="宋体" w:eastAsia="宋体" w:cs="宋体"/>
          <w:b/>
        </w:rPr>
        <w:t>第二十三条</w:t>
      </w:r>
      <w:r>
        <w:rPr>
          <w:rFonts w:hint="eastAsia" w:ascii="宋体" w:hAnsi="宋体" w:eastAsia="宋体" w:cs="宋体"/>
        </w:rPr>
        <w:t>　在公园出入口、主要园路、建筑物出入口及公共厕所等处应当设置无障碍设施。</w:t>
      </w:r>
    </w:p>
    <w:p w14:paraId="6118A1BB">
      <w:pPr>
        <w:ind w:firstLine="422"/>
        <w:rPr>
          <w:rFonts w:hint="eastAsia" w:ascii="宋体" w:hAnsi="宋体" w:eastAsia="宋体" w:cs="宋体"/>
        </w:rPr>
      </w:pPr>
      <w:r>
        <w:rPr>
          <w:rFonts w:hint="eastAsia" w:ascii="宋体" w:hAnsi="宋体" w:eastAsia="宋体" w:cs="宋体"/>
          <w:b/>
        </w:rPr>
        <w:t>第二十四条</w:t>
      </w:r>
      <w:r>
        <w:rPr>
          <w:rFonts w:hint="eastAsia" w:ascii="宋体" w:hAnsi="宋体" w:eastAsia="宋体" w:cs="宋体"/>
        </w:rPr>
        <w:t>　在公园内进行工程施工的，建设单位应当征得公园管理机构同意，报有关部门批准后方可进行。</w:t>
      </w:r>
    </w:p>
    <w:p w14:paraId="6A2D8AE5">
      <w:pPr>
        <w:rPr>
          <w:rFonts w:hint="eastAsia" w:ascii="宋体" w:hAnsi="宋体" w:eastAsia="宋体" w:cs="宋体"/>
        </w:rPr>
      </w:pPr>
      <w:r>
        <w:rPr>
          <w:rFonts w:hint="eastAsia" w:ascii="宋体" w:hAnsi="宋体" w:eastAsia="宋体" w:cs="宋体"/>
        </w:rPr>
        <w:t>在公园内进行工程施工的，不得破坏公园景观及各类设施，不得影响游人游览安全。施工现场用地范围的周边应当进行围挡，围挡设置高度不低于1.8米。对可能影响游人游览安全的，应当设置安全警示标志，并在工程险要处采取有效的安全保障措施。施工结束后，应当恢复原貌。</w:t>
      </w:r>
    </w:p>
    <w:p w14:paraId="472C101F">
      <w:pPr>
        <w:ind w:firstLine="422"/>
      </w:pPr>
      <w:r>
        <w:rPr>
          <w:rFonts w:hint="eastAsia"/>
          <w:b/>
        </w:rPr>
        <w:t>第二十五条</w:t>
      </w:r>
      <w:r>
        <w:rPr>
          <w:rFonts w:hint="eastAsia"/>
        </w:rPr>
        <w:t>　市政公用工程涉及公园用地的，应当采取避让措施。确需穿越公园或者临时占用公园内土地的，建设单位应当征得公园管理机构和园林行政管理部门同意，报有关部门批准后方可进行。</w:t>
      </w:r>
    </w:p>
    <w:p w14:paraId="29E78D9D">
      <w:r>
        <w:rPr>
          <w:rFonts w:hint="eastAsia"/>
        </w:rPr>
        <w:t>市政公用工程确需穿越历史名园的，建设单位应当经市园林行政管理部门同意，报市人民政府批准后方可进行。</w:t>
      </w:r>
    </w:p>
    <w:p w14:paraId="2EA9732A">
      <w:pPr>
        <w:ind w:firstLine="422"/>
      </w:pPr>
      <w:r>
        <w:rPr>
          <w:rFonts w:hint="eastAsia"/>
          <w:b/>
        </w:rPr>
        <w:t>第二十六条</w:t>
      </w:r>
      <w:r>
        <w:rPr>
          <w:rFonts w:hint="eastAsia"/>
        </w:rPr>
        <w:t>　公园内新设大型游乐设施，应当进行论证。其中必须对公园景观、环境的影响进行分析预测；对安全技术条件进行评估。</w:t>
      </w:r>
    </w:p>
    <w:p w14:paraId="0A7D56BC">
      <w:r>
        <w:rPr>
          <w:rFonts w:hint="eastAsia"/>
        </w:rPr>
        <w:t>设置游乐设施必须符合国家和本市有关技术、安全标准和规定。</w:t>
      </w:r>
    </w:p>
    <w:p w14:paraId="10BD6F30">
      <w:r>
        <w:rPr>
          <w:rFonts w:hint="eastAsia"/>
        </w:rPr>
        <w:t>历史名园内禁止设置大型游乐设施，已设置的应当限期拆除。</w:t>
      </w:r>
    </w:p>
    <w:p w14:paraId="0300607D">
      <w:pPr>
        <w:ind w:firstLine="422"/>
      </w:pPr>
      <w:r>
        <w:rPr>
          <w:rFonts w:hint="eastAsia"/>
          <w:b/>
        </w:rPr>
        <w:t>第二十七条</w:t>
      </w:r>
      <w:r>
        <w:rPr>
          <w:rFonts w:hint="eastAsia"/>
        </w:rPr>
        <w:t>　本市对公园周边可能影响公园景观的建设项目，实行严格控制。具体的控制范围和要求由市规划、园林等行政管理部门共同制定。</w:t>
      </w:r>
    </w:p>
    <w:p w14:paraId="6DEBE147">
      <w:r>
        <w:rPr>
          <w:rFonts w:hint="eastAsia"/>
        </w:rPr>
        <w:t>公园周边建设工程应当与公园景观相协调。</w:t>
      </w:r>
    </w:p>
    <w:p w14:paraId="6F358AF1">
      <w:pPr>
        <w:ind w:firstLine="422"/>
      </w:pPr>
      <w:r>
        <w:rPr>
          <w:rFonts w:hint="eastAsia"/>
          <w:b/>
        </w:rPr>
        <w:t>第二十八条</w:t>
      </w:r>
      <w:r>
        <w:rPr>
          <w:rFonts w:hint="eastAsia"/>
        </w:rPr>
        <w:t>　市园林行政管理部门应当会同市规划、文物行政管理部门依法对历史名园划定保护范围和建设控制地带，并报市人民政府批准。</w:t>
      </w:r>
    </w:p>
    <w:p w14:paraId="20810D73">
      <w:pPr>
        <w:ind w:firstLine="422"/>
      </w:pPr>
      <w:r>
        <w:rPr>
          <w:rFonts w:hint="eastAsia"/>
          <w:b/>
        </w:rPr>
        <w:t>第二十九条</w:t>
      </w:r>
      <w:r>
        <w:rPr>
          <w:rFonts w:hint="eastAsia"/>
        </w:rPr>
        <w:t>　历史名园保护区应当以保护原有风貌和格局为原则。禁止损毁、改建、拆除原有文物建筑及其附属物，禁止建设影响原有风貌和格局的建筑物、构筑物。</w:t>
      </w:r>
    </w:p>
    <w:p w14:paraId="68F435C7">
      <w:r>
        <w:rPr>
          <w:rFonts w:hint="eastAsia"/>
        </w:rPr>
        <w:t>历史名园周边建设控制地带内的建筑高度、形式、体量、色彩必须与公园景观相协调。具体的控制标准由市园林、规划、文物等行政管理部门共同制定，报市人民政府批准。</w:t>
      </w:r>
    </w:p>
    <w:p w14:paraId="4B031F8C">
      <w:pPr>
        <w:ind w:firstLine="422"/>
      </w:pPr>
      <w:r>
        <w:rPr>
          <w:rFonts w:hint="eastAsia"/>
          <w:b/>
        </w:rPr>
        <w:t>第三十条</w:t>
      </w:r>
      <w:r>
        <w:rPr>
          <w:rFonts w:hint="eastAsia"/>
        </w:rPr>
        <w:t>　对已经列入世界文化和自然遗产名录的历史名园，市人民政府应当依照规定要求制定有效措施，严格保护。</w:t>
      </w:r>
    </w:p>
    <w:p w14:paraId="5DE55035">
      <w:r>
        <w:rPr>
          <w:rFonts w:hint="eastAsia"/>
        </w:rPr>
        <w:t>对无法以人力再造和无法再生的自然景观或者具有特殊历史文化价值的人文景观，禁止改变原有风貌和格局。</w:t>
      </w:r>
    </w:p>
    <w:p w14:paraId="5BE8EC75">
      <w:pPr>
        <w:ind w:firstLine="422"/>
      </w:pPr>
      <w:r>
        <w:rPr>
          <w:rFonts w:hint="eastAsia"/>
          <w:b/>
        </w:rPr>
        <w:t>第三十一条</w:t>
      </w:r>
      <w:r>
        <w:rPr>
          <w:rFonts w:hint="eastAsia"/>
        </w:rPr>
        <w:t>　对历史名园的利用必须在坚持原有风貌、风格、布局和反映历史文化真实性原则的基础上，按照经批准的规划和谐进行。</w:t>
      </w:r>
    </w:p>
    <w:p w14:paraId="34E68F38">
      <w:r>
        <w:rPr>
          <w:rFonts w:hint="eastAsia"/>
        </w:rPr>
        <w:t>恢复历史文化遗址、遗迹必须经过专家论证，并按照有关文物保护的规定进行。</w:t>
      </w:r>
    </w:p>
    <w:p w14:paraId="30406780">
      <w:pPr>
        <w:ind w:firstLine="422"/>
      </w:pPr>
      <w:r>
        <w:rPr>
          <w:rFonts w:hint="eastAsia"/>
          <w:b/>
        </w:rPr>
        <w:t>第三十二条</w:t>
      </w:r>
      <w:r>
        <w:rPr>
          <w:rFonts w:hint="eastAsia"/>
        </w:rPr>
        <w:t>　历史名园内文物建筑的维护、修缮等工作应当按照国家和本市有关文物保护的法律、法规进行。</w:t>
      </w:r>
    </w:p>
    <w:p w14:paraId="418235B8">
      <w:pPr>
        <w:ind w:firstLine="422"/>
      </w:pPr>
      <w:r>
        <w:rPr>
          <w:rFonts w:hint="eastAsia"/>
          <w:b/>
        </w:rPr>
        <w:t>第三十三条</w:t>
      </w:r>
      <w:r>
        <w:rPr>
          <w:rFonts w:hint="eastAsia"/>
        </w:rPr>
        <w:t>　对历史名园保护的经费各级人民政府应当给予财政保障。</w:t>
      </w:r>
    </w:p>
    <w:p w14:paraId="6646D86B"/>
    <w:p w14:paraId="388AA2A7">
      <w:pPr>
        <w:ind w:firstLine="0" w:firstLineChars="0"/>
        <w:jc w:val="center"/>
        <w:rPr>
          <w:b/>
          <w:sz w:val="28"/>
        </w:rPr>
      </w:pPr>
      <w:r>
        <w:rPr>
          <w:rFonts w:hint="eastAsia"/>
          <w:b/>
          <w:sz w:val="28"/>
        </w:rPr>
        <w:t>第四章　管理与服务</w:t>
      </w:r>
    </w:p>
    <w:p w14:paraId="0A0B7EAF"/>
    <w:p w14:paraId="798194D4">
      <w:pPr>
        <w:ind w:firstLine="422"/>
      </w:pPr>
      <w:r>
        <w:rPr>
          <w:rFonts w:hint="eastAsia"/>
          <w:b/>
        </w:rPr>
        <w:t>第三十四条</w:t>
      </w:r>
      <w:r>
        <w:rPr>
          <w:rFonts w:hint="eastAsia"/>
        </w:rPr>
        <w:t>　公园管理机构应当履行下列职责：</w:t>
      </w:r>
    </w:p>
    <w:p w14:paraId="612AE27B">
      <w:r>
        <w:rPr>
          <w:rFonts w:hint="eastAsia"/>
        </w:rPr>
        <w:t>（一）依据规划进行建设；</w:t>
      </w:r>
    </w:p>
    <w:p w14:paraId="1A0231B6">
      <w:r>
        <w:rPr>
          <w:rFonts w:hint="eastAsia"/>
        </w:rPr>
        <w:t>（二）建立健全公园管理的各项制度；</w:t>
      </w:r>
    </w:p>
    <w:p w14:paraId="1F33F29E">
      <w:r>
        <w:rPr>
          <w:rFonts w:hint="eastAsia"/>
        </w:rPr>
        <w:t>（三）根据需要可以依法制定游园须知；</w:t>
      </w:r>
    </w:p>
    <w:p w14:paraId="28BACDC1">
      <w:r>
        <w:rPr>
          <w:rFonts w:hint="eastAsia"/>
        </w:rPr>
        <w:t>（四）保持园内设备、设施完好，加强安全管理，维护公园的正常游览秩序；</w:t>
      </w:r>
    </w:p>
    <w:p w14:paraId="05F5FE9F">
      <w:r>
        <w:rPr>
          <w:rFonts w:hint="eastAsia"/>
        </w:rPr>
        <w:t>（五）依法管理、保护公园的财产和景观，对破坏公园财产及景观的行为有权制止，并要求赔偿或者补偿；</w:t>
      </w:r>
    </w:p>
    <w:p w14:paraId="1A9ABF75">
      <w:r>
        <w:rPr>
          <w:rFonts w:hint="eastAsia"/>
        </w:rPr>
        <w:t>（六）按照价格主管部门批准的项目、标准收费；</w:t>
      </w:r>
    </w:p>
    <w:p w14:paraId="225BB9C7">
      <w:r>
        <w:rPr>
          <w:rFonts w:hint="eastAsia"/>
        </w:rPr>
        <w:t>（七）园林行政管理部门规定的其他职责。</w:t>
      </w:r>
    </w:p>
    <w:p w14:paraId="2D664B02">
      <w:pPr>
        <w:ind w:firstLine="422"/>
      </w:pPr>
      <w:r>
        <w:rPr>
          <w:rFonts w:hint="eastAsia"/>
          <w:b/>
        </w:rPr>
        <w:t>第三十五条</w:t>
      </w:r>
      <w:r>
        <w:rPr>
          <w:rFonts w:hint="eastAsia"/>
        </w:rPr>
        <w:t>　公园应当每日开放。因故不能开放的，应当提前公示。</w:t>
      </w:r>
    </w:p>
    <w:p w14:paraId="54CC7153">
      <w:r>
        <w:rPr>
          <w:rFonts w:hint="eastAsia"/>
        </w:rPr>
        <w:t>公园的开放时间、收费标准及对老年人、残疾人、军人、儿童、学生等的优惠办法应当公示。</w:t>
      </w:r>
    </w:p>
    <w:p w14:paraId="1B124E3E">
      <w:r>
        <w:rPr>
          <w:rFonts w:hint="eastAsia"/>
        </w:rPr>
        <w:t>游人进入收费公园应当按照规定购买门票。</w:t>
      </w:r>
    </w:p>
    <w:p w14:paraId="59B1F2F4">
      <w:pPr>
        <w:ind w:firstLine="422"/>
      </w:pPr>
      <w:r>
        <w:rPr>
          <w:rFonts w:hint="eastAsia"/>
          <w:b/>
        </w:rPr>
        <w:t>第三十六条</w:t>
      </w:r>
      <w:r>
        <w:rPr>
          <w:rFonts w:hint="eastAsia"/>
        </w:rPr>
        <w:t>　公园园容应当符合下列要求：</w:t>
      </w:r>
    </w:p>
    <w:p w14:paraId="4016A34C">
      <w:r>
        <w:rPr>
          <w:rFonts w:hint="eastAsia"/>
        </w:rPr>
        <w:t>（一）清新、整洁、美观；</w:t>
      </w:r>
    </w:p>
    <w:p w14:paraId="209917A6">
      <w:r>
        <w:rPr>
          <w:rFonts w:hint="eastAsia"/>
        </w:rPr>
        <w:t>（二）绿化植被长势良好；</w:t>
      </w:r>
    </w:p>
    <w:p w14:paraId="44FB5C3C">
      <w:r>
        <w:rPr>
          <w:rFonts w:hint="eastAsia"/>
        </w:rPr>
        <w:t>（三）建筑物、构筑物外观完好；</w:t>
      </w:r>
    </w:p>
    <w:p w14:paraId="2344EE86">
      <w:r>
        <w:rPr>
          <w:rFonts w:hint="eastAsia"/>
        </w:rPr>
        <w:t>（四）设施完好；</w:t>
      </w:r>
    </w:p>
    <w:p w14:paraId="30FB3D05">
      <w:r>
        <w:rPr>
          <w:rFonts w:hint="eastAsia"/>
        </w:rPr>
        <w:t>（五）水体清洁，符合观赏标准，并保持一定水位；</w:t>
      </w:r>
    </w:p>
    <w:p w14:paraId="6E9F582A">
      <w:r>
        <w:rPr>
          <w:rFonts w:hint="eastAsia"/>
        </w:rPr>
        <w:t>（六）无外露垃圾，无积水、无污物、无痰迹及烟头。</w:t>
      </w:r>
    </w:p>
    <w:p w14:paraId="5CF518E8">
      <w:pPr>
        <w:ind w:firstLine="422"/>
      </w:pPr>
      <w:r>
        <w:rPr>
          <w:rFonts w:hint="eastAsia"/>
          <w:b/>
        </w:rPr>
        <w:t>第三十七条</w:t>
      </w:r>
      <w:r>
        <w:rPr>
          <w:rFonts w:hint="eastAsia"/>
        </w:rPr>
        <w:t>　在公园内禁止焚烧树枝树叶、垃圾和其他杂物；禁止搭建棚舍；禁止擅自摆摊设点；禁止随意堆放物料、拉绳挂物。</w:t>
      </w:r>
    </w:p>
    <w:p w14:paraId="267DA23C">
      <w:pPr>
        <w:ind w:firstLine="422"/>
      </w:pPr>
      <w:r>
        <w:rPr>
          <w:rFonts w:hint="eastAsia"/>
          <w:b/>
        </w:rPr>
        <w:t>第三十八条</w:t>
      </w:r>
      <w:r>
        <w:rPr>
          <w:rFonts w:hint="eastAsia"/>
        </w:rPr>
        <w:t>　公园的各类牌示应当保持整洁完备，牌示上的文字图形应当规范，牌示内容中的文字应当中外文对照。损坏、丢失的，应当及时更换或者补设。</w:t>
      </w:r>
    </w:p>
    <w:p w14:paraId="0E77C310">
      <w:r>
        <w:rPr>
          <w:rFonts w:hint="eastAsia"/>
        </w:rPr>
        <w:t>公园入口处明显位置应当设置游园示意图、公园简介、游园须知；殿堂、展室入口处应当设置简介；主要路口应当设置指示标牌。</w:t>
      </w:r>
    </w:p>
    <w:p w14:paraId="5E2DD31A">
      <w:pPr>
        <w:ind w:firstLine="422"/>
      </w:pPr>
      <w:r>
        <w:rPr>
          <w:rFonts w:hint="eastAsia"/>
          <w:b/>
        </w:rPr>
        <w:t>第三十九条</w:t>
      </w:r>
      <w:r>
        <w:rPr>
          <w:rFonts w:hint="eastAsia"/>
        </w:rPr>
        <w:t>　公园的服务人员必须经过培训，并且佩戴标志，遵守服务规范。</w:t>
      </w:r>
    </w:p>
    <w:p w14:paraId="6E59F917">
      <w:r>
        <w:rPr>
          <w:rFonts w:hint="eastAsia"/>
        </w:rPr>
        <w:t>在公园内从事导游活动的人员必须具有导游资格。</w:t>
      </w:r>
    </w:p>
    <w:p w14:paraId="77F98B6E">
      <w:pPr>
        <w:ind w:firstLine="422"/>
      </w:pPr>
      <w:r>
        <w:rPr>
          <w:rFonts w:hint="eastAsia"/>
          <w:b/>
        </w:rPr>
        <w:t>第四十条</w:t>
      </w:r>
      <w:r>
        <w:rPr>
          <w:rFonts w:hint="eastAsia"/>
        </w:rPr>
        <w:t>　公园可以为婴幼儿、老年人、残疾人提供儿童车、轮椅车等游览代步工具。</w:t>
      </w:r>
    </w:p>
    <w:p w14:paraId="3EAD36E8">
      <w:pPr>
        <w:ind w:firstLine="422"/>
      </w:pPr>
      <w:r>
        <w:rPr>
          <w:rFonts w:hint="eastAsia"/>
          <w:b/>
        </w:rPr>
        <w:t>第四十一条</w:t>
      </w:r>
      <w:r>
        <w:rPr>
          <w:rFonts w:hint="eastAsia"/>
        </w:rPr>
        <w:t>　公园建筑物、高大游乐设施、公园制高点等应当安装防雷设备。</w:t>
      </w:r>
    </w:p>
    <w:p w14:paraId="2E4F06AA">
      <w:r>
        <w:rPr>
          <w:rFonts w:hint="eastAsia"/>
        </w:rPr>
        <w:t>公园内应当合理设置消防水源、消防设施，保证消防通道畅通。</w:t>
      </w:r>
    </w:p>
    <w:p w14:paraId="48F30E5D">
      <w:r>
        <w:rPr>
          <w:rFonts w:hint="eastAsia"/>
        </w:rPr>
        <w:t>公园内的各类设备、设施应当定期维护检查，保持完好、安全、有效。</w:t>
      </w:r>
    </w:p>
    <w:p w14:paraId="68A1A566">
      <w:r>
        <w:rPr>
          <w:rFonts w:hint="eastAsia"/>
        </w:rPr>
        <w:t>公园内的游乐项目未经有关部门检验合格不得运营。各类游乐项目必须公示安全须知。</w:t>
      </w:r>
    </w:p>
    <w:p w14:paraId="2BBB1815">
      <w:pPr>
        <w:ind w:firstLine="422"/>
      </w:pPr>
      <w:r>
        <w:rPr>
          <w:rFonts w:hint="eastAsia"/>
          <w:b/>
        </w:rPr>
        <w:t>第四十二条</w:t>
      </w:r>
      <w:r>
        <w:rPr>
          <w:rFonts w:hint="eastAsia"/>
        </w:rPr>
        <w:t>　非游泳区、非滑冰区、防火区、禁烟区应当设置明显的禁止标志。</w:t>
      </w:r>
    </w:p>
    <w:p w14:paraId="7469148F">
      <w:pPr>
        <w:ind w:firstLine="422"/>
      </w:pPr>
      <w:r>
        <w:rPr>
          <w:rFonts w:hint="eastAsia"/>
          <w:b/>
        </w:rPr>
        <w:t>第四十三条</w:t>
      </w:r>
      <w:r>
        <w:rPr>
          <w:rFonts w:hint="eastAsia"/>
        </w:rPr>
        <w:t>　除老年人、残疾人、儿童等使用的手摇、手推轮椅车和儿童车外，其他车辆未经允许不得进入公园。</w:t>
      </w:r>
    </w:p>
    <w:p w14:paraId="62E2E013">
      <w:pPr>
        <w:ind w:firstLine="422"/>
      </w:pPr>
      <w:r>
        <w:rPr>
          <w:rFonts w:hint="eastAsia"/>
          <w:b/>
        </w:rPr>
        <w:t>第四十四条</w:t>
      </w:r>
      <w:r>
        <w:rPr>
          <w:rFonts w:hint="eastAsia"/>
        </w:rPr>
        <w:t>　经批准在公园内举办大型活动，搭建舞台、展台等临时设施的，不得影响公园景观。举办活动期间，活动举办单位应当及时清除垃圾等各类废弃物；活动结束后，应当及时清理场地，拆除临时设施，恢复公园景观、绿地、设施原状。对公园树木、草坪、设施造成损坏的，应当赔偿。</w:t>
      </w:r>
    </w:p>
    <w:p w14:paraId="48B746CE">
      <w:r>
        <w:rPr>
          <w:rFonts w:hint="eastAsia"/>
        </w:rPr>
        <w:t>在公园内拍摄电影、电视应当经公园管理机构同意，报有关部门批准，保证公园财产安全和游人的人身安全。涉及文物的，应当经文物行政管理部门批准。</w:t>
      </w:r>
    </w:p>
    <w:p w14:paraId="75A43CB5">
      <w:pPr>
        <w:ind w:firstLine="422"/>
      </w:pPr>
      <w:r>
        <w:rPr>
          <w:rFonts w:hint="eastAsia"/>
          <w:b/>
        </w:rPr>
        <w:t>第四十五条</w:t>
      </w:r>
      <w:r>
        <w:rPr>
          <w:rFonts w:hint="eastAsia"/>
        </w:rPr>
        <w:t>　游人应当文明游园、爱护公物、保护环境，不得影响和妨碍他人游览、休憩。</w:t>
      </w:r>
    </w:p>
    <w:p w14:paraId="575BB7F1">
      <w:pPr>
        <w:ind w:firstLine="422"/>
      </w:pPr>
      <w:r>
        <w:rPr>
          <w:rFonts w:hint="eastAsia"/>
          <w:b/>
        </w:rPr>
        <w:t>第四十六条</w:t>
      </w:r>
      <w:r>
        <w:rPr>
          <w:rFonts w:hint="eastAsia"/>
        </w:rPr>
        <w:t>　游人游览公园禁止下列行为：</w:t>
      </w:r>
    </w:p>
    <w:p w14:paraId="31740E13">
      <w:r>
        <w:rPr>
          <w:rFonts w:hint="eastAsia"/>
        </w:rPr>
        <w:t>（一）翻越围墙、栏杆、绿篱，在禁烟区吸烟，在非游泳区游泳，在非滑冰区滑冰，在非钓鱼区钓鱼，在非体育运动场所踢球、滑旱冰，随地吐痰、便溺，乱丢果皮（核）、烟头、口香糖等废弃物；</w:t>
      </w:r>
    </w:p>
    <w:p w14:paraId="084BF609">
      <w:r>
        <w:rPr>
          <w:rFonts w:hint="eastAsia"/>
        </w:rPr>
        <w:t>（二）营火、烧烤，捕捞、捕捉动物，采挖植物，恐吓、投打、伤害动物或者在非投喂区投喂动物；</w:t>
      </w:r>
    </w:p>
    <w:p w14:paraId="6DEE3121">
      <w:r>
        <w:rPr>
          <w:rFonts w:hint="eastAsia"/>
        </w:rPr>
        <w:t>（三）在建筑物、构筑物、设施、树木上涂写、刻划，攀折花木，损坏草坪、树木；</w:t>
      </w:r>
    </w:p>
    <w:p w14:paraId="5B780126">
      <w:r>
        <w:rPr>
          <w:rFonts w:hint="eastAsia"/>
        </w:rPr>
        <w:t>（四）其他影响园容和游览秩序的行为。</w:t>
      </w:r>
    </w:p>
    <w:p w14:paraId="00AA8FFF">
      <w:pPr>
        <w:ind w:firstLine="422"/>
      </w:pPr>
      <w:r>
        <w:rPr>
          <w:rFonts w:hint="eastAsia"/>
          <w:b/>
        </w:rPr>
        <w:t>第四十七条</w:t>
      </w:r>
      <w:r>
        <w:rPr>
          <w:rFonts w:hint="eastAsia"/>
        </w:rPr>
        <w:t>　在公园内禁止追逐游客强行兜售物品，影响游览秩序。</w:t>
      </w:r>
    </w:p>
    <w:p w14:paraId="30D0AFE0">
      <w:pPr>
        <w:ind w:firstLine="422"/>
      </w:pPr>
      <w:r>
        <w:rPr>
          <w:rFonts w:hint="eastAsia"/>
          <w:b/>
        </w:rPr>
        <w:t>第四十八条</w:t>
      </w:r>
      <w:r>
        <w:rPr>
          <w:rFonts w:hint="eastAsia"/>
        </w:rPr>
        <w:t>　公园管理机构应当按照公园设计规定的游人容量接待游人。在公园开放时，遇有紧急情况或者突发事件，应当按照应急预案采取临时关闭公园、景区、展馆，疏散游人等措施，并及时向园林行政主管部门和有关部门报告。</w:t>
      </w:r>
    </w:p>
    <w:p w14:paraId="4BC9296F">
      <w:pPr>
        <w:ind w:firstLine="422"/>
      </w:pPr>
      <w:r>
        <w:rPr>
          <w:rFonts w:hint="eastAsia"/>
          <w:b/>
        </w:rPr>
        <w:t>第四十九条</w:t>
      </w:r>
      <w:r>
        <w:rPr>
          <w:rFonts w:hint="eastAsia"/>
        </w:rPr>
        <w:t>　对发生地震等重大灾害需要进入公园避灾避险的，公园管理机构应当及时开放已经划定的避难场所。公园内避灾的居民应当服从公园管理机构的管理。灾害消除后，在公园避灾的居民应当及时撤出，公园管理机构应当恢复公园原貌。</w:t>
      </w:r>
    </w:p>
    <w:p w14:paraId="147AEB2D"/>
    <w:p w14:paraId="51A7E0E3">
      <w:pPr>
        <w:ind w:firstLine="0" w:firstLineChars="0"/>
        <w:jc w:val="center"/>
        <w:rPr>
          <w:b/>
          <w:sz w:val="28"/>
        </w:rPr>
      </w:pPr>
      <w:r>
        <w:rPr>
          <w:rFonts w:hint="eastAsia"/>
          <w:b/>
          <w:sz w:val="28"/>
        </w:rPr>
        <w:t>第五章　法律责任</w:t>
      </w:r>
    </w:p>
    <w:p w14:paraId="4D1E49D9"/>
    <w:p w14:paraId="0FDD69F4">
      <w:pPr>
        <w:ind w:firstLine="422"/>
      </w:pPr>
      <w:r>
        <w:rPr>
          <w:rFonts w:hint="eastAsia"/>
          <w:b/>
        </w:rPr>
        <w:t>第五十条</w:t>
      </w:r>
      <w:r>
        <w:rPr>
          <w:rFonts w:hint="eastAsia"/>
        </w:rPr>
        <w:t>　违反本条例的行为，法律、法规已经规定法律责任的，依照其规定追究法律责任。</w:t>
      </w:r>
    </w:p>
    <w:p w14:paraId="3315CB12">
      <w:pPr>
        <w:ind w:firstLine="422"/>
      </w:pPr>
      <w:r>
        <w:rPr>
          <w:rFonts w:hint="eastAsia"/>
          <w:b/>
        </w:rPr>
        <w:t>第五十一条</w:t>
      </w:r>
      <w:r>
        <w:rPr>
          <w:rFonts w:hint="eastAsia"/>
        </w:rPr>
        <w:t>　违反本条例第十一条第一款规定，有下列行为的，按下列规定处罚：</w:t>
      </w:r>
    </w:p>
    <w:p w14:paraId="36BC3A39">
      <w:pPr>
        <w:rPr>
          <w:rFonts w:hint="eastAsia" w:ascii="宋体" w:hAnsi="宋体" w:eastAsia="宋体" w:cs="宋体"/>
        </w:rPr>
      </w:pPr>
      <w:r>
        <w:rPr>
          <w:rFonts w:hint="eastAsia"/>
        </w:rPr>
        <w:t>（一）擅自改变公园功能的，责令限期</w:t>
      </w:r>
      <w:r>
        <w:rPr>
          <w:rFonts w:hint="eastAsia" w:ascii="宋体" w:hAnsi="宋体" w:eastAsia="宋体" w:cs="宋体"/>
        </w:rPr>
        <w:t>改正，恢复原功能，并可以处1万元以上10万元以下罚款；</w:t>
      </w:r>
    </w:p>
    <w:p w14:paraId="6EC1C044">
      <w:pPr>
        <w:rPr>
          <w:rFonts w:hint="eastAsia" w:ascii="宋体" w:hAnsi="宋体" w:eastAsia="宋体" w:cs="宋体"/>
        </w:rPr>
      </w:pPr>
      <w:r>
        <w:rPr>
          <w:rFonts w:hint="eastAsia" w:ascii="宋体" w:hAnsi="宋体" w:eastAsia="宋体" w:cs="宋体"/>
        </w:rPr>
        <w:t>（二）侵占公园用地的，责令立即腾退，恢复原状，并可以按照侵占面积每平方米处300元罚款；造成损失的，依法承担赔偿责任。</w:t>
      </w:r>
    </w:p>
    <w:p w14:paraId="0D49B6FE">
      <w:pPr>
        <w:ind w:firstLine="422"/>
        <w:rPr>
          <w:rFonts w:hint="eastAsia" w:ascii="宋体" w:hAnsi="宋体" w:eastAsia="宋体" w:cs="宋体"/>
        </w:rPr>
      </w:pPr>
      <w:r>
        <w:rPr>
          <w:rFonts w:hint="eastAsia" w:ascii="宋体" w:hAnsi="宋体" w:eastAsia="宋体" w:cs="宋体"/>
          <w:b/>
        </w:rPr>
        <w:t>第五十二条</w:t>
      </w:r>
      <w:r>
        <w:rPr>
          <w:rFonts w:hint="eastAsia" w:ascii="宋体" w:hAnsi="宋体" w:eastAsia="宋体" w:cs="宋体"/>
        </w:rPr>
        <w:t>　违反本条例第十八条第二款规定，公园未经验收交付使用的，责令改正，并可以处1万元以上10万元以下罚款。</w:t>
      </w:r>
    </w:p>
    <w:p w14:paraId="37D811BD">
      <w:pPr>
        <w:ind w:firstLine="422"/>
        <w:rPr>
          <w:rFonts w:hint="eastAsia" w:ascii="宋体" w:hAnsi="宋体" w:eastAsia="宋体" w:cs="宋体"/>
        </w:rPr>
      </w:pPr>
      <w:r>
        <w:rPr>
          <w:rFonts w:hint="eastAsia" w:ascii="宋体" w:hAnsi="宋体" w:eastAsia="宋体" w:cs="宋体"/>
          <w:b/>
        </w:rPr>
        <w:t>第五十三条</w:t>
      </w:r>
      <w:r>
        <w:rPr>
          <w:rFonts w:hint="eastAsia" w:ascii="宋体" w:hAnsi="宋体" w:eastAsia="宋体" w:cs="宋体"/>
        </w:rPr>
        <w:t>　违反本条例第二十九条第一款规定，在历史名园保护区内建设影响原有风貌和格局的建筑物、构筑物的，责令限期拆除，恢复原貌；对违法建设建筑物、构筑物的，并可以按照违法建筑物、构筑物的面积每平方米处300元以上3000元以下罚款。对原有文物建筑及其附属物损毁、改建、拆除的，按照文物保护的法律、法规规定予以处罚和赔偿。</w:t>
      </w:r>
    </w:p>
    <w:p w14:paraId="7C014B9D">
      <w:pPr>
        <w:rPr>
          <w:rFonts w:hint="eastAsia" w:ascii="宋体" w:hAnsi="宋体" w:eastAsia="宋体" w:cs="宋体"/>
        </w:rPr>
      </w:pPr>
      <w:r>
        <w:rPr>
          <w:rFonts w:hint="eastAsia" w:ascii="宋体" w:hAnsi="宋体" w:eastAsia="宋体" w:cs="宋体"/>
        </w:rPr>
        <w:t>违反本条例第二十九条第二款规定，在历史名园周边建设控制地带内的建筑不符合建设控制标准的，责令限期整治、改建或者拆除。</w:t>
      </w:r>
    </w:p>
    <w:p w14:paraId="51C46ADE">
      <w:pPr>
        <w:ind w:firstLine="422"/>
        <w:rPr>
          <w:rFonts w:hint="eastAsia" w:ascii="宋体" w:hAnsi="宋体" w:eastAsia="宋体" w:cs="宋体"/>
        </w:rPr>
      </w:pPr>
      <w:r>
        <w:rPr>
          <w:rFonts w:hint="eastAsia" w:ascii="宋体" w:hAnsi="宋体" w:eastAsia="宋体" w:cs="宋体"/>
          <w:b/>
        </w:rPr>
        <w:t>第五十四条</w:t>
      </w:r>
      <w:r>
        <w:rPr>
          <w:rFonts w:hint="eastAsia" w:ascii="宋体" w:hAnsi="宋体" w:eastAsia="宋体" w:cs="宋体"/>
        </w:rPr>
        <w:t xml:space="preserve">  违反本条例第三十条第二款规定，擅自改变无法以人力再造和无法再生的自然景观或者具有特殊历史文化价值的人文景观原有风貌和格局的，责令停止违法行为，并处1万元以上10万元以下罚款；造成损失的，依法承担赔偿责任；构成犯罪的，依法追究刑事责任。</w:t>
      </w:r>
    </w:p>
    <w:p w14:paraId="4730BE37">
      <w:pPr>
        <w:ind w:firstLine="422"/>
        <w:rPr>
          <w:rFonts w:hint="eastAsia" w:ascii="宋体" w:hAnsi="宋体" w:eastAsia="宋体" w:cs="宋体"/>
        </w:rPr>
      </w:pPr>
      <w:r>
        <w:rPr>
          <w:rFonts w:hint="eastAsia" w:ascii="宋体" w:hAnsi="宋体" w:eastAsia="宋体" w:cs="宋体"/>
          <w:b/>
        </w:rPr>
        <w:t>第五十五条</w:t>
      </w:r>
      <w:r>
        <w:rPr>
          <w:rFonts w:hint="eastAsia" w:ascii="宋体" w:hAnsi="宋体" w:eastAsia="宋体" w:cs="宋体"/>
        </w:rPr>
        <w:t>　公园管理机构有下列行为之一的，责令改正，并可以处100元以上1000元以下罚款：</w:t>
      </w:r>
    </w:p>
    <w:p w14:paraId="65AFA413">
      <w:pPr>
        <w:rPr>
          <w:rFonts w:hint="eastAsia" w:ascii="宋体" w:hAnsi="宋体" w:eastAsia="宋体" w:cs="宋体"/>
        </w:rPr>
      </w:pPr>
      <w:r>
        <w:rPr>
          <w:rFonts w:hint="eastAsia" w:ascii="宋体" w:hAnsi="宋体" w:eastAsia="宋体" w:cs="宋体"/>
        </w:rPr>
        <w:t>（一）未按照标准做好清扫保洁的；</w:t>
      </w:r>
    </w:p>
    <w:p w14:paraId="2186C0D1">
      <w:pPr>
        <w:rPr>
          <w:rFonts w:hint="eastAsia" w:ascii="宋体" w:hAnsi="宋体" w:eastAsia="宋体" w:cs="宋体"/>
        </w:rPr>
      </w:pPr>
      <w:r>
        <w:rPr>
          <w:rFonts w:hint="eastAsia" w:ascii="宋体" w:hAnsi="宋体" w:eastAsia="宋体" w:cs="宋体"/>
        </w:rPr>
        <w:t>（二）搭建棚舍、擅自摆摊设点的；</w:t>
      </w:r>
    </w:p>
    <w:p w14:paraId="29B8BCA3">
      <w:pPr>
        <w:rPr>
          <w:rFonts w:hint="eastAsia" w:ascii="宋体" w:hAnsi="宋体" w:eastAsia="宋体" w:cs="宋体"/>
        </w:rPr>
      </w:pPr>
      <w:r>
        <w:rPr>
          <w:rFonts w:hint="eastAsia" w:ascii="宋体" w:hAnsi="宋体" w:eastAsia="宋体" w:cs="宋体"/>
        </w:rPr>
        <w:t>（三）随意堆放物料、拉绳挂物的；</w:t>
      </w:r>
    </w:p>
    <w:p w14:paraId="5CFBEB25">
      <w:pPr>
        <w:rPr>
          <w:rFonts w:hint="eastAsia" w:ascii="宋体" w:hAnsi="宋体" w:eastAsia="宋体" w:cs="宋体"/>
        </w:rPr>
      </w:pPr>
      <w:r>
        <w:rPr>
          <w:rFonts w:hint="eastAsia" w:ascii="宋体" w:hAnsi="宋体" w:eastAsia="宋体" w:cs="宋体"/>
        </w:rPr>
        <w:t>（四）牌示污损、丢失不及时更换或者补设的。</w:t>
      </w:r>
    </w:p>
    <w:p w14:paraId="7073B01B">
      <w:pPr>
        <w:ind w:firstLine="422"/>
        <w:rPr>
          <w:rFonts w:hint="eastAsia" w:ascii="宋体" w:hAnsi="宋体" w:eastAsia="宋体" w:cs="宋体"/>
        </w:rPr>
      </w:pPr>
      <w:r>
        <w:rPr>
          <w:rFonts w:hint="eastAsia" w:ascii="宋体" w:hAnsi="宋体" w:eastAsia="宋体" w:cs="宋体"/>
          <w:b/>
        </w:rPr>
        <w:t>第五十六条</w:t>
      </w:r>
      <w:r>
        <w:rPr>
          <w:rFonts w:hint="eastAsia" w:ascii="宋体" w:hAnsi="宋体" w:eastAsia="宋体" w:cs="宋体"/>
        </w:rPr>
        <w:t>　违反本条例第四十六条规定，有下列行为的，按下列规定处罚：</w:t>
      </w:r>
    </w:p>
    <w:p w14:paraId="2DDED746">
      <w:pPr>
        <w:rPr>
          <w:rFonts w:hint="eastAsia" w:ascii="宋体" w:hAnsi="宋体" w:eastAsia="宋体" w:cs="宋体"/>
        </w:rPr>
      </w:pPr>
      <w:r>
        <w:rPr>
          <w:rFonts w:hint="eastAsia" w:ascii="宋体" w:hAnsi="宋体" w:eastAsia="宋体" w:cs="宋体"/>
        </w:rPr>
        <w:t>（一）翻越围墙、栏杆、绿篱，在禁烟区吸烟，在非游泳区游泳，在非滑冰区滑冰，在非钓鱼区钓鱼，在非体育运动场所踢球、滑旱冰，随地吐痰、便溺，乱丢果皮（核）、烟头、口香糖等废弃物的，责令改正，并可以处20元以上50元以下罚款；造成损失的，依法承担赔偿责任。</w:t>
      </w:r>
    </w:p>
    <w:p w14:paraId="0F86409E">
      <w:pPr>
        <w:rPr>
          <w:rFonts w:hint="eastAsia" w:ascii="宋体" w:hAnsi="宋体" w:eastAsia="宋体" w:cs="宋体"/>
        </w:rPr>
      </w:pPr>
      <w:r>
        <w:rPr>
          <w:rFonts w:hint="eastAsia" w:ascii="宋体" w:hAnsi="宋体" w:eastAsia="宋体" w:cs="宋体"/>
        </w:rPr>
        <w:t>（二）营火、烧烤，捕捞、捕捉动物，采挖植物，恐吓、投打、伤害动物或者在非投喂区投喂动物的，责令改正，并可以处50元以上100元以下罚款；造成损失的，依法承担赔偿责任；构成犯罪的，依法追究刑事责任。</w:t>
      </w:r>
    </w:p>
    <w:p w14:paraId="6AD7E2D6">
      <w:pPr>
        <w:rPr>
          <w:rFonts w:hint="eastAsia" w:ascii="宋体" w:hAnsi="宋体" w:eastAsia="宋体" w:cs="宋体"/>
        </w:rPr>
      </w:pPr>
      <w:r>
        <w:rPr>
          <w:rFonts w:hint="eastAsia" w:ascii="宋体" w:hAnsi="宋体" w:eastAsia="宋体" w:cs="宋体"/>
        </w:rPr>
        <w:t>（三）在建筑物、构筑物、设施、树木上涂写、刻划，攀折花木，损坏草坪、树木的，给予警告，并处5元以上50元以下罚款；造成损失的，依法承担赔偿责任。</w:t>
      </w:r>
    </w:p>
    <w:p w14:paraId="7C6BDC56">
      <w:pPr>
        <w:rPr>
          <w:rFonts w:hint="eastAsia" w:ascii="宋体" w:hAnsi="宋体" w:eastAsia="宋体" w:cs="宋体"/>
        </w:rPr>
      </w:pPr>
      <w:r>
        <w:rPr>
          <w:rFonts w:hint="eastAsia" w:ascii="宋体" w:hAnsi="宋体" w:eastAsia="宋体" w:cs="宋体"/>
        </w:rPr>
        <w:t>对其他影响园容和游览秩序的行为，责令改正。</w:t>
      </w:r>
    </w:p>
    <w:p w14:paraId="56060BEA">
      <w:pPr>
        <w:rPr>
          <w:rFonts w:hint="eastAsia" w:ascii="宋体" w:hAnsi="宋体" w:eastAsia="宋体" w:cs="宋体"/>
        </w:rPr>
      </w:pPr>
      <w:r>
        <w:rPr>
          <w:rFonts w:hint="eastAsia" w:ascii="宋体" w:hAnsi="宋体" w:eastAsia="宋体" w:cs="宋体"/>
        </w:rPr>
        <w:t>对主要公园内的上述违法行为的行政处罚，由市园林行政管理部门实施；对其他公园内的上述违法行为的行政处罚，由城市管理综合执法组织实施。主要公园的范围由市人民政府确定。</w:t>
      </w:r>
    </w:p>
    <w:p w14:paraId="2AED6A35">
      <w:pPr>
        <w:ind w:firstLine="422"/>
        <w:rPr>
          <w:rFonts w:hint="eastAsia" w:ascii="宋体" w:hAnsi="宋体" w:eastAsia="宋体" w:cs="宋体"/>
        </w:rPr>
      </w:pPr>
      <w:r>
        <w:rPr>
          <w:rFonts w:hint="eastAsia" w:ascii="宋体" w:hAnsi="宋体" w:eastAsia="宋体" w:cs="宋体"/>
          <w:b/>
        </w:rPr>
        <w:t>第五十七条</w:t>
      </w:r>
      <w:r>
        <w:rPr>
          <w:rFonts w:hint="eastAsia" w:ascii="宋体" w:hAnsi="宋体" w:eastAsia="宋体" w:cs="宋体"/>
        </w:rPr>
        <w:t>　违反本条例第四十七条规定，在公园内追逐游客强行兜售物品，影响游览秩序的，责令改正，没收违法所得，并处50元以上500元以下罚款。</w:t>
      </w:r>
    </w:p>
    <w:p w14:paraId="74248D2E">
      <w:pPr>
        <w:ind w:firstLine="422"/>
        <w:rPr>
          <w:rFonts w:hint="eastAsia" w:ascii="宋体" w:hAnsi="宋体" w:eastAsia="宋体" w:cs="宋体"/>
        </w:rPr>
      </w:pPr>
      <w:r>
        <w:rPr>
          <w:rFonts w:hint="eastAsia" w:ascii="宋体" w:hAnsi="宋体" w:eastAsia="宋体" w:cs="宋体"/>
          <w:b/>
        </w:rPr>
        <w:t>第五十八条</w:t>
      </w:r>
      <w:r>
        <w:rPr>
          <w:rFonts w:hint="eastAsia" w:ascii="宋体" w:hAnsi="宋体" w:eastAsia="宋体" w:cs="宋体"/>
        </w:rPr>
        <w:t>　本条例第五十一条第（一）项、第五十二条、第五十四条、第五十五条、第五十七条规定的行政处罚，由市园林行政管理部门实施；第五十一条第（二）项、第五十三条规定的行政处罚，由市园林行政管理部门会同有关行政管理部门实施。</w:t>
      </w:r>
    </w:p>
    <w:p w14:paraId="6B2D1A85">
      <w:pPr>
        <w:rPr>
          <w:rFonts w:hint="eastAsia" w:ascii="宋体" w:hAnsi="宋体" w:eastAsia="宋体" w:cs="宋体"/>
        </w:rPr>
      </w:pPr>
      <w:r>
        <w:rPr>
          <w:rFonts w:hint="eastAsia" w:ascii="宋体" w:hAnsi="宋体" w:eastAsia="宋体" w:cs="宋体"/>
        </w:rPr>
        <w:t>城市管理综合执法组织按照市人民政府授权的范围，依法对本条例规定的违法行为实施行政处罚。</w:t>
      </w:r>
    </w:p>
    <w:p w14:paraId="0B891A54">
      <w:pPr>
        <w:ind w:firstLine="422"/>
        <w:rPr>
          <w:rFonts w:hint="eastAsia" w:ascii="宋体" w:hAnsi="宋体" w:eastAsia="宋体" w:cs="宋体"/>
        </w:rPr>
      </w:pPr>
      <w:r>
        <w:rPr>
          <w:rFonts w:hint="eastAsia" w:ascii="宋体" w:hAnsi="宋体" w:eastAsia="宋体" w:cs="宋体"/>
          <w:b/>
        </w:rPr>
        <w:t>第五十九条</w:t>
      </w:r>
      <w:r>
        <w:rPr>
          <w:rFonts w:hint="eastAsia" w:ascii="宋体" w:hAnsi="宋体" w:eastAsia="宋体" w:cs="宋体"/>
        </w:rPr>
        <w:t>　对游人在公园内因意外事故造成人身伤害和财产损失的，应当分清责任，依法处理。</w:t>
      </w:r>
    </w:p>
    <w:p w14:paraId="07CC58BE">
      <w:pPr>
        <w:ind w:firstLine="422"/>
      </w:pPr>
      <w:r>
        <w:rPr>
          <w:rFonts w:hint="eastAsia" w:ascii="宋体" w:hAnsi="宋体" w:eastAsia="宋体" w:cs="宋体"/>
          <w:b/>
        </w:rPr>
        <w:t>第六十条</w:t>
      </w:r>
      <w:r>
        <w:rPr>
          <w:rFonts w:hint="eastAsia" w:ascii="宋体" w:hAnsi="宋体" w:eastAsia="宋体" w:cs="宋体"/>
        </w:rPr>
        <w:t>　负责管理、监督、保护公园的行政机关及其工作人员违反本条例规定，不履行法定职责或者滥用职权的，由上级行政机关或者有关部门责令改正，对直接负责的主管人员和其他直接责任人员依法给予行政处分；构成犯罪的，依法追究</w:t>
      </w:r>
      <w:r>
        <w:rPr>
          <w:rFonts w:hint="eastAsia"/>
        </w:rPr>
        <w:t>刑事责任。</w:t>
      </w:r>
    </w:p>
    <w:p w14:paraId="4DE777CA"/>
    <w:p w14:paraId="5A34E47C">
      <w:pPr>
        <w:ind w:firstLine="0" w:firstLineChars="0"/>
        <w:jc w:val="center"/>
        <w:rPr>
          <w:b/>
          <w:sz w:val="28"/>
        </w:rPr>
      </w:pPr>
      <w:r>
        <w:rPr>
          <w:rFonts w:hint="eastAsia"/>
          <w:b/>
          <w:sz w:val="28"/>
        </w:rPr>
        <w:t>第六章　附　则</w:t>
      </w:r>
    </w:p>
    <w:p w14:paraId="161EB7B8"/>
    <w:p w14:paraId="66D689D0">
      <w:pPr>
        <w:ind w:firstLine="422"/>
      </w:pPr>
      <w:r>
        <w:rPr>
          <w:rFonts w:hint="eastAsia"/>
          <w:b/>
        </w:rPr>
        <w:t>第六十一条</w:t>
      </w:r>
      <w:r>
        <w:rPr>
          <w:rFonts w:hint="eastAsia"/>
        </w:rPr>
        <w:t>　本条例</w:t>
      </w:r>
      <w:r>
        <w:rPr>
          <w:rFonts w:hint="eastAsia" w:ascii="宋体" w:hAnsi="宋体" w:eastAsia="宋体" w:cs="宋体"/>
        </w:rPr>
        <w:t>自2003年1月1日起施行</w:t>
      </w:r>
      <w:r>
        <w:rPr>
          <w:rFonts w:hint="eastAsia"/>
        </w:rPr>
        <w:t>。</w:t>
      </w:r>
    </w:p>
    <w:p w14:paraId="57BE850F">
      <w:pPr>
        <w:pStyle w:val="4"/>
        <w:pageBreakBefore/>
      </w:pPr>
      <w:bookmarkStart w:id="2737" w:name="_Toc428781939"/>
      <w:bookmarkStart w:id="2738" w:name="_Toc428780865"/>
      <w:bookmarkStart w:id="2739" w:name="_Toc426467191"/>
      <w:r>
        <w:rPr>
          <w:rFonts w:hint="eastAsia"/>
        </w:rPr>
        <w:t>北京市绿化条例</w:t>
      </w:r>
      <w:bookmarkEnd w:id="2737"/>
      <w:bookmarkEnd w:id="2738"/>
      <w:bookmarkEnd w:id="2739"/>
    </w:p>
    <w:p w14:paraId="188C9F7D">
      <w:pPr>
        <w:ind w:left="630" w:leftChars="300" w:right="630" w:rightChars="300"/>
        <w:rPr>
          <w:rFonts w:ascii="楷体" w:hAnsi="楷体" w:eastAsia="楷体"/>
        </w:rPr>
      </w:pPr>
      <w:r>
        <w:rPr>
          <w:rFonts w:hint="eastAsia" w:ascii="楷体" w:hAnsi="楷体" w:eastAsia="楷体"/>
        </w:rPr>
        <w:t>（2009年11月20日北京市第十三届人民代表大会常务委员会第十四次会议通过）</w:t>
      </w:r>
    </w:p>
    <w:p w14:paraId="28777943"/>
    <w:p w14:paraId="4C032D3B">
      <w:pPr>
        <w:ind w:firstLine="0" w:firstLineChars="0"/>
        <w:jc w:val="center"/>
        <w:rPr>
          <w:b/>
          <w:sz w:val="28"/>
        </w:rPr>
      </w:pPr>
      <w:r>
        <w:rPr>
          <w:rFonts w:hint="eastAsia"/>
          <w:b/>
          <w:sz w:val="28"/>
        </w:rPr>
        <w:t>第一章　总　则</w:t>
      </w:r>
    </w:p>
    <w:p w14:paraId="53E30B5F"/>
    <w:p w14:paraId="399C5015">
      <w:pPr>
        <w:ind w:firstLine="422"/>
      </w:pPr>
      <w:r>
        <w:rPr>
          <w:rFonts w:hint="eastAsia"/>
          <w:b/>
        </w:rPr>
        <w:t>第一条</w:t>
      </w:r>
      <w:r>
        <w:rPr>
          <w:rFonts w:hint="eastAsia"/>
        </w:rPr>
        <w:t xml:space="preserve">  为了加强本市绿化建设和管理，改善和保护生态环境，建设宜居城市，促进生态文明建设，根据有关法律和行政法规，结合本市实际情况，制定本条例。</w:t>
      </w:r>
    </w:p>
    <w:p w14:paraId="7096E49C">
      <w:pPr>
        <w:ind w:firstLine="422"/>
      </w:pPr>
      <w:r>
        <w:rPr>
          <w:rFonts w:hint="eastAsia"/>
          <w:b/>
        </w:rPr>
        <w:t>第二条</w:t>
      </w:r>
      <w:r>
        <w:rPr>
          <w:rFonts w:hint="eastAsia"/>
        </w:rPr>
        <w:t xml:space="preserve">  本条例适用于本市行政区域内绿化的规划、建设、保护、监督和管理。</w:t>
      </w:r>
    </w:p>
    <w:p w14:paraId="2D756808">
      <w:r>
        <w:rPr>
          <w:rFonts w:hint="eastAsia"/>
        </w:rPr>
        <w:t>法律、法规对森林、古树名木、公园、自然保护区、风景名胜区有规定的，适用其规定。</w:t>
      </w:r>
    </w:p>
    <w:p w14:paraId="5FA60D5C">
      <w:pPr>
        <w:ind w:firstLine="422"/>
      </w:pPr>
      <w:r>
        <w:rPr>
          <w:rFonts w:hint="eastAsia"/>
          <w:b/>
        </w:rPr>
        <w:t>第三条</w:t>
      </w:r>
      <w:r>
        <w:rPr>
          <w:rFonts w:hint="eastAsia"/>
        </w:rPr>
        <w:t xml:space="preserve">  本市绿化工作应当贯彻科学发展观，体现人文北京、科技北京、绿色北京的理念，坚持以人为本、生态优先、城乡统筹和政府组织、全民参与、共建共享的原则，妥善协调、处理各种利益关系，依法明晰树木权属，完善生态公益林建设和管护补偿补助机制，保护树木所有权人和管护者合法权益，促进首都绿化事业可持续发展。</w:t>
      </w:r>
    </w:p>
    <w:p w14:paraId="2591A16D">
      <w:pPr>
        <w:ind w:firstLine="422"/>
      </w:pPr>
      <w:r>
        <w:rPr>
          <w:rFonts w:hint="eastAsia"/>
          <w:b/>
        </w:rPr>
        <w:t>第四条</w:t>
      </w:r>
      <w:r>
        <w:rPr>
          <w:rFonts w:hint="eastAsia"/>
        </w:rPr>
        <w:t xml:space="preserve">  市和区、县人民政府应当加强对绿化工作的领导，将绿化事业纳入本级国民经济和社会发展规划，确定本行政区域绿化覆盖率目标，实行绿化目标责任制，保障公共绿地建设和养护经费的投入。</w:t>
      </w:r>
    </w:p>
    <w:p w14:paraId="3A205E11">
      <w:r>
        <w:rPr>
          <w:rFonts w:hint="eastAsia"/>
        </w:rPr>
        <w:t>乡、镇人民政府和街道办事处依职责做好本辖区内的绿化工作。</w:t>
      </w:r>
    </w:p>
    <w:p w14:paraId="202B9669">
      <w:pPr>
        <w:ind w:firstLine="422"/>
      </w:pPr>
      <w:r>
        <w:rPr>
          <w:rFonts w:hint="eastAsia"/>
          <w:b/>
        </w:rPr>
        <w:t>第五条</w:t>
      </w:r>
      <w:r>
        <w:rPr>
          <w:rFonts w:hint="eastAsia"/>
        </w:rPr>
        <w:t xml:space="preserve">  市人民政府绿化行政主管部门负责全市行政区域内的绿化工作。</w:t>
      </w:r>
    </w:p>
    <w:p w14:paraId="7F4C2D24">
      <w:r>
        <w:rPr>
          <w:rFonts w:hint="eastAsia"/>
        </w:rPr>
        <w:t>区、县绿化行政主管部门在市绿化行政主管部门的指导下，负责本行政区域内的绿化工作。</w:t>
      </w:r>
    </w:p>
    <w:p w14:paraId="326BE41E">
      <w:pPr>
        <w:ind w:firstLine="422"/>
      </w:pPr>
      <w:r>
        <w:rPr>
          <w:rFonts w:hint="eastAsia"/>
          <w:b/>
        </w:rPr>
        <w:t>第六条</w:t>
      </w:r>
      <w:r>
        <w:rPr>
          <w:rFonts w:hint="eastAsia"/>
        </w:rPr>
        <w:t xml:space="preserve">  基层群众性自治组织、学校应当结合本单位实际，教育居民和在校师生履行绿化义务，保护绿化成果，做好本社区、本单位的绿化工作。</w:t>
      </w:r>
    </w:p>
    <w:p w14:paraId="4041C826">
      <w:pPr>
        <w:ind w:firstLine="422"/>
      </w:pPr>
      <w:r>
        <w:rPr>
          <w:rFonts w:hint="eastAsia"/>
          <w:b/>
        </w:rPr>
        <w:t>第七条</w:t>
      </w:r>
      <w:r>
        <w:rPr>
          <w:rFonts w:hint="eastAsia"/>
        </w:rPr>
        <w:t xml:space="preserve">  新闻媒体应当加强绿化科学知识、绿化法律法规和建设环境友好型社会的宣传工作，增强公民履行绿化义务和保护绿化成果的意识。</w:t>
      </w:r>
    </w:p>
    <w:p w14:paraId="75BBAF31">
      <w:pPr>
        <w:ind w:firstLine="422"/>
      </w:pPr>
      <w:r>
        <w:rPr>
          <w:rFonts w:hint="eastAsia"/>
          <w:b/>
        </w:rPr>
        <w:t>第八条</w:t>
      </w:r>
      <w:r>
        <w:rPr>
          <w:rFonts w:hint="eastAsia"/>
        </w:rPr>
        <w:t xml:space="preserve">  本市推进林业碳汇工作，普及碳排放知识，倡导低碳生产生活方式和实现碳中和的绿色环保理念，引导公众参与碳补偿活动。</w:t>
      </w:r>
    </w:p>
    <w:p w14:paraId="3701B8BE">
      <w:pPr>
        <w:ind w:firstLine="422"/>
      </w:pPr>
      <w:r>
        <w:rPr>
          <w:rFonts w:hint="eastAsia"/>
          <w:b/>
        </w:rPr>
        <w:t>第九条</w:t>
      </w:r>
      <w:r>
        <w:rPr>
          <w:rFonts w:hint="eastAsia"/>
        </w:rPr>
        <w:t xml:space="preserve">  本市鼓励和支持绿化科学技术的基础研究和转化应用，选育、引进适应本市自然条件、节水耐旱及兼顾冬季绿化美化效果的植物品种。引进植物品种应当防止有害植物侵入。</w:t>
      </w:r>
    </w:p>
    <w:p w14:paraId="5DDA84D4">
      <w:pPr>
        <w:ind w:firstLine="422"/>
      </w:pPr>
      <w:r>
        <w:rPr>
          <w:rFonts w:hint="eastAsia"/>
          <w:b/>
        </w:rPr>
        <w:t>第十条</w:t>
      </w:r>
      <w:r>
        <w:rPr>
          <w:rFonts w:hint="eastAsia"/>
        </w:rPr>
        <w:t xml:space="preserve">  任何单位和个人都有权制止、投诉和举报损害绿化、破坏生态环境的行为。</w:t>
      </w:r>
    </w:p>
    <w:p w14:paraId="0F79B225">
      <w:pPr>
        <w:ind w:firstLine="422"/>
      </w:pPr>
      <w:r>
        <w:rPr>
          <w:rFonts w:hint="eastAsia"/>
          <w:b/>
        </w:rPr>
        <w:t>第十一条</w:t>
      </w:r>
      <w:r>
        <w:rPr>
          <w:rFonts w:hint="eastAsia"/>
        </w:rPr>
        <w:t xml:space="preserve">  本市对在绿化工作中做出显著成绩的单位和个人给予表彰、奖励。</w:t>
      </w:r>
    </w:p>
    <w:p w14:paraId="53BA6D2C"/>
    <w:p w14:paraId="086F50FF">
      <w:pPr>
        <w:ind w:firstLine="0" w:firstLineChars="0"/>
        <w:jc w:val="center"/>
        <w:rPr>
          <w:b/>
          <w:sz w:val="28"/>
        </w:rPr>
      </w:pPr>
      <w:r>
        <w:rPr>
          <w:rFonts w:hint="eastAsia"/>
          <w:b/>
          <w:sz w:val="28"/>
        </w:rPr>
        <w:t>第二章　规划与建设</w:t>
      </w:r>
    </w:p>
    <w:p w14:paraId="691AB55E"/>
    <w:p w14:paraId="60B75180">
      <w:pPr>
        <w:ind w:firstLine="422"/>
      </w:pPr>
      <w:r>
        <w:rPr>
          <w:rFonts w:hint="eastAsia"/>
          <w:b/>
        </w:rPr>
        <w:t>第十二条</w:t>
      </w:r>
      <w:r>
        <w:rPr>
          <w:rFonts w:hint="eastAsia"/>
        </w:rPr>
        <w:t xml:space="preserve">  市和区、县人民政府应当根据绿化事业发展需要和实际情况，按照因地制宜、科学布局、切实可行的原则组织编制和实施绿化规划。</w:t>
      </w:r>
    </w:p>
    <w:p w14:paraId="7081A238">
      <w:r>
        <w:rPr>
          <w:rFonts w:hint="eastAsia"/>
        </w:rPr>
        <w:t>绿化规划应当符合城市总体规划、土地利用总体规划，适应防灾避险需要，保持历史风貌，体现首都特色。</w:t>
      </w:r>
    </w:p>
    <w:p w14:paraId="4B792408">
      <w:r>
        <w:rPr>
          <w:rFonts w:hint="eastAsia"/>
        </w:rPr>
        <w:t>绿化规划包括绿地系统规划、植树造林规划等专项规划。</w:t>
      </w:r>
    </w:p>
    <w:p w14:paraId="0EFE087C">
      <w:r>
        <w:rPr>
          <w:rFonts w:hint="eastAsia"/>
        </w:rPr>
        <w:t>绿地系统规划确定的各类绿化用地按照国家有关规定实行绿线管理。</w:t>
      </w:r>
    </w:p>
    <w:p w14:paraId="18F8C4DF">
      <w:pPr>
        <w:ind w:firstLine="422"/>
      </w:pPr>
      <w:r>
        <w:rPr>
          <w:rFonts w:hint="eastAsia"/>
          <w:b/>
        </w:rPr>
        <w:t>第十三条</w:t>
      </w:r>
      <w:r>
        <w:rPr>
          <w:rFonts w:hint="eastAsia"/>
        </w:rPr>
        <w:t xml:space="preserve">  市和区、县绿地系统规划应当包括各类绿地的功能形态、绿地指标、绿地布局面积和控制原则等内容。区、县绿地系统规划还应当包括分期建设计划和建设标准等内容。</w:t>
      </w:r>
    </w:p>
    <w:p w14:paraId="134072CB">
      <w:r>
        <w:rPr>
          <w:rFonts w:hint="eastAsia"/>
        </w:rPr>
        <w:t>绿地防火设施建设应当纳入所在地区消防规划。</w:t>
      </w:r>
    </w:p>
    <w:p w14:paraId="2934393D">
      <w:pPr>
        <w:ind w:firstLine="422"/>
      </w:pPr>
      <w:r>
        <w:rPr>
          <w:rFonts w:hint="eastAsia"/>
          <w:b/>
        </w:rPr>
        <w:t>第十四条</w:t>
      </w:r>
      <w:r>
        <w:rPr>
          <w:rFonts w:hint="eastAsia"/>
        </w:rPr>
        <w:t>　市绿地系统规划由市绿化行政主管部门编制，市规划行政主管部门组织审查，报市人民政府审批后纳入本市城市总体规划。</w:t>
      </w:r>
    </w:p>
    <w:p w14:paraId="102A380E">
      <w:r>
        <w:rPr>
          <w:rFonts w:hint="eastAsia"/>
        </w:rPr>
        <w:t>区、县绿地系统规划由区、县人民政府组织编定，并符合市绿地系统规划，与所在地控制性详细规划相衔接。</w:t>
      </w:r>
    </w:p>
    <w:p w14:paraId="1051F912">
      <w:r>
        <w:rPr>
          <w:rFonts w:hint="eastAsia"/>
        </w:rPr>
        <w:t>建制镇绿地系统规划由镇人民政府组织编定，并与区、县绿地系统规划相一致，与所在地控制性详细规划相衔接。</w:t>
      </w:r>
    </w:p>
    <w:p w14:paraId="101F72E9">
      <w:pPr>
        <w:ind w:firstLine="422"/>
      </w:pPr>
      <w:r>
        <w:rPr>
          <w:rFonts w:hint="eastAsia"/>
          <w:b/>
        </w:rPr>
        <w:t>第十五条</w:t>
      </w:r>
      <w:r>
        <w:rPr>
          <w:rFonts w:hint="eastAsia"/>
        </w:rPr>
        <w:t>　绿地系统规划报批前，组织编制部门应当将规划草案予以公示，并可以采取论证会、听证会或者其他形式征求有关部门、社会公众和专家的意见。</w:t>
      </w:r>
    </w:p>
    <w:p w14:paraId="239C4E2C">
      <w:r>
        <w:rPr>
          <w:rFonts w:hint="eastAsia"/>
        </w:rPr>
        <w:t>绿地系统规划在实施中因特殊情况确需变更的，应当按照原批准程序重新审批。</w:t>
      </w:r>
    </w:p>
    <w:p w14:paraId="07CF6134">
      <w:pPr>
        <w:ind w:firstLine="422"/>
      </w:pPr>
      <w:r>
        <w:rPr>
          <w:rFonts w:hint="eastAsia"/>
          <w:b/>
        </w:rPr>
        <w:t>第十六条</w:t>
      </w:r>
      <w:r>
        <w:rPr>
          <w:rFonts w:hint="eastAsia"/>
        </w:rPr>
        <w:t>　本市依照北京城市总体规划，建设绿化隔离地区，改善城市生态环境。</w:t>
      </w:r>
    </w:p>
    <w:p w14:paraId="68420003">
      <w:r>
        <w:rPr>
          <w:rFonts w:hint="eastAsia"/>
        </w:rPr>
        <w:t>绿化隔离地区建设应当坚持城乡统筹原则，维护农民合法权益，合理安排土地利用，扶持与绿化隔离地区功能定位相适应的绿色产业发展，促进城乡经济社会发展一体化。</w:t>
      </w:r>
    </w:p>
    <w:p w14:paraId="4B5D8637">
      <w:r>
        <w:rPr>
          <w:rFonts w:hint="eastAsia"/>
        </w:rPr>
        <w:t>绿化隔离地区建设按照市人民政府的规定执行。</w:t>
      </w:r>
    </w:p>
    <w:p w14:paraId="4AB24CA2">
      <w:pPr>
        <w:ind w:firstLine="422"/>
      </w:pPr>
      <w:r>
        <w:rPr>
          <w:rFonts w:hint="eastAsia"/>
          <w:b/>
        </w:rPr>
        <w:t>第十七条</w:t>
      </w:r>
      <w:r>
        <w:rPr>
          <w:rFonts w:hint="eastAsia"/>
        </w:rPr>
        <w:t>　本市加强城市公园、郊野公园、乡村公园建设，为公众提供更多绿色活动空间。</w:t>
      </w:r>
    </w:p>
    <w:p w14:paraId="04D578BF">
      <w:pPr>
        <w:ind w:firstLine="422"/>
      </w:pPr>
      <w:r>
        <w:rPr>
          <w:rFonts w:hint="eastAsia"/>
          <w:b/>
        </w:rPr>
        <w:t>第十八条</w:t>
      </w:r>
      <w:r>
        <w:rPr>
          <w:rFonts w:hint="eastAsia"/>
        </w:rPr>
        <w:t>　绿地建设应当严格按照绿化规划实施，坚持生态、景观、文化协调统一和节约资源的原则，充分利用乡土植物，注重营造植物景观，突出生物多样性，形成合理的种植结构。</w:t>
      </w:r>
    </w:p>
    <w:p w14:paraId="3F6E84B8">
      <w:pPr>
        <w:ind w:firstLine="422"/>
      </w:pPr>
      <w:r>
        <w:rPr>
          <w:rFonts w:hint="eastAsia"/>
          <w:b/>
        </w:rPr>
        <w:t>第十九条</w:t>
      </w:r>
      <w:r>
        <w:rPr>
          <w:rFonts w:hint="eastAsia"/>
        </w:rPr>
        <w:t>　绿地建设责任按照下列规定确定：</w:t>
      </w:r>
    </w:p>
    <w:p w14:paraId="259B5BD9">
      <w:r>
        <w:rPr>
          <w:rFonts w:hint="eastAsia"/>
        </w:rPr>
        <w:t>（一）公共绿地由区、县绿化行政主管部门组织建设。其中，城市道路、公路、河道等用地范围内的公共绿地分别由各有关主管部门组织建设；</w:t>
      </w:r>
    </w:p>
    <w:p w14:paraId="04859CAC">
      <w:bookmarkStart w:id="2740" w:name="_Toc428780866"/>
      <w:r>
        <w:rPr>
          <w:rFonts w:hint="eastAsia"/>
        </w:rPr>
        <w:t>（二）建设工程附属绿地由开发建设单位建设；</w:t>
      </w:r>
      <w:bookmarkEnd w:id="2740"/>
    </w:p>
    <w:p w14:paraId="103FA5E3">
      <w:r>
        <w:rPr>
          <w:rFonts w:hint="eastAsia"/>
        </w:rPr>
        <w:t>（三）铁路、湖泊、水库管理范围内的绿地由有关主管部门组织建设；</w:t>
      </w:r>
    </w:p>
    <w:p w14:paraId="56AF71C2">
      <w:r>
        <w:rPr>
          <w:rFonts w:hint="eastAsia"/>
        </w:rPr>
        <w:t>（四）村庄规划绿地由村民委员会或者村集体经济组织建设。</w:t>
      </w:r>
    </w:p>
    <w:p w14:paraId="1FDB6C66">
      <w:r>
        <w:rPr>
          <w:rFonts w:hint="eastAsia"/>
        </w:rPr>
        <w:t>前款规定以外的绿地建设责任不明确的，由所在区、县人民政府根据实际情况，按照有利于建设并方便管护的原则确定。</w:t>
      </w:r>
    </w:p>
    <w:p w14:paraId="0CD340D3">
      <w:r>
        <w:rPr>
          <w:rFonts w:hint="eastAsia"/>
        </w:rPr>
        <w:t>公共绿地由市和区、县人民政府确定并公布。</w:t>
      </w:r>
    </w:p>
    <w:p w14:paraId="0F9EAA6D">
      <w:pPr>
        <w:ind w:firstLine="422"/>
      </w:pPr>
      <w:r>
        <w:rPr>
          <w:rFonts w:hint="eastAsia"/>
          <w:b/>
        </w:rPr>
        <w:t>第二十条</w:t>
      </w:r>
      <w:r>
        <w:rPr>
          <w:rFonts w:hint="eastAsia"/>
        </w:rPr>
        <w:t>　建设工程应当按照规划安排绿化用地。</w:t>
      </w:r>
    </w:p>
    <w:p w14:paraId="75B455D4">
      <w:pPr>
        <w:rPr>
          <w:rFonts w:hint="eastAsia" w:ascii="宋体" w:hAnsi="宋体" w:eastAsia="宋体" w:cs="宋体"/>
        </w:rPr>
      </w:pPr>
      <w:r>
        <w:rPr>
          <w:rFonts w:hint="eastAsia"/>
        </w:rPr>
        <w:t>规划行政主管部门在办理相关审批手续时，应当按照绿地系统规划和详细规划确定建设工程附属绿化用地面积占建设工程用地总面积的比例。其中，新建居住区、居住小区绿化用地面积比例</w:t>
      </w:r>
      <w:r>
        <w:rPr>
          <w:rFonts w:hint="eastAsia" w:ascii="宋体" w:hAnsi="宋体" w:eastAsia="宋体" w:cs="宋体"/>
        </w:rPr>
        <w:t>不得低于30%，并按照居住区人均不低于2平方米、居住小区人均不低于1平方米的标准建设集中绿地；成片开发或者改造的地区应当按照规划要求建设集中绿地，绿地建设费用纳入开发建设总投资。</w:t>
      </w:r>
    </w:p>
    <w:p w14:paraId="44587B24">
      <w:pPr>
        <w:rPr>
          <w:rFonts w:hint="eastAsia" w:ascii="宋体" w:hAnsi="宋体" w:eastAsia="宋体" w:cs="宋体"/>
        </w:rPr>
      </w:pPr>
      <w:r>
        <w:rPr>
          <w:rFonts w:hint="eastAsia" w:ascii="宋体" w:hAnsi="宋体" w:eastAsia="宋体" w:cs="宋体"/>
        </w:rPr>
        <w:t>建设单位报送的建设工程设计方案应当包括附属绿化用地平面图并标明绿化用地的面积和位置。</w:t>
      </w:r>
    </w:p>
    <w:p w14:paraId="0A4C9CF0">
      <w:pPr>
        <w:ind w:firstLine="422"/>
        <w:rPr>
          <w:rFonts w:hint="eastAsia" w:ascii="宋体" w:hAnsi="宋体" w:eastAsia="宋体" w:cs="宋体"/>
        </w:rPr>
      </w:pPr>
      <w:r>
        <w:rPr>
          <w:rFonts w:hint="eastAsia" w:ascii="宋体" w:hAnsi="宋体" w:eastAsia="宋体" w:cs="宋体"/>
          <w:b/>
        </w:rPr>
        <w:t>第二十一条</w:t>
      </w:r>
      <w:r>
        <w:rPr>
          <w:rFonts w:hint="eastAsia" w:ascii="宋体" w:hAnsi="宋体" w:eastAsia="宋体" w:cs="宋体"/>
        </w:rPr>
        <w:t>　绿化工程建设应当符合国家和本市有关标准和规范。从事绿化工程设计、施工、监理活动的单位应当具备相应资质。依法应当实行招标的绿化工程，按照国家和本市的有关规定进行招标。</w:t>
      </w:r>
    </w:p>
    <w:p w14:paraId="66D05DD8">
      <w:pPr>
        <w:ind w:firstLine="422"/>
        <w:rPr>
          <w:rFonts w:hint="eastAsia" w:ascii="宋体" w:hAnsi="宋体" w:eastAsia="宋体" w:cs="宋体"/>
        </w:rPr>
      </w:pPr>
      <w:r>
        <w:rPr>
          <w:rFonts w:hint="eastAsia" w:ascii="宋体" w:hAnsi="宋体" w:eastAsia="宋体" w:cs="宋体"/>
          <w:b/>
        </w:rPr>
        <w:t>第二十二条</w:t>
      </w:r>
      <w:r>
        <w:rPr>
          <w:rFonts w:hint="eastAsia" w:ascii="宋体" w:hAnsi="宋体" w:eastAsia="宋体" w:cs="宋体"/>
        </w:rPr>
        <w:t>　公共绿地绿化施工前，绿化工程设计方案应当报送市绿化行政主管部门。绿化行政主管部门可以组织专家对设计方案进行论证并提出意见。</w:t>
      </w:r>
    </w:p>
    <w:p w14:paraId="5D9EE419">
      <w:pPr>
        <w:rPr>
          <w:rFonts w:hint="eastAsia" w:ascii="宋体" w:hAnsi="宋体" w:eastAsia="宋体" w:cs="宋体"/>
        </w:rPr>
      </w:pPr>
      <w:r>
        <w:rPr>
          <w:rFonts w:hint="eastAsia" w:ascii="宋体" w:hAnsi="宋体" w:eastAsia="宋体" w:cs="宋体"/>
        </w:rPr>
        <w:t>建设工程附属绿地面积达到1000平方米的，建设单位应当在绿化施工的30日前，书面告知绿化行政主管部门，并报送绿化工程设计方案。绿化行政主管部门应当对建设工程附属绿化工程建设提供技术服务。</w:t>
      </w:r>
    </w:p>
    <w:p w14:paraId="381B5754">
      <w:pPr>
        <w:ind w:firstLine="422"/>
        <w:rPr>
          <w:rFonts w:hint="eastAsia" w:ascii="宋体" w:hAnsi="宋体" w:eastAsia="宋体" w:cs="宋体"/>
        </w:rPr>
      </w:pPr>
      <w:r>
        <w:rPr>
          <w:rFonts w:hint="eastAsia" w:ascii="宋体" w:hAnsi="宋体" w:eastAsia="宋体" w:cs="宋体"/>
          <w:b/>
        </w:rPr>
        <w:t>第二十三条</w:t>
      </w:r>
      <w:r>
        <w:rPr>
          <w:rFonts w:hint="eastAsia" w:ascii="宋体" w:hAnsi="宋体" w:eastAsia="宋体" w:cs="宋体"/>
        </w:rPr>
        <w:t>　建设工程附属绿化工程应当与主体工程同步建设。绿地建设费用应当纳入建设工程总投资。</w:t>
      </w:r>
    </w:p>
    <w:p w14:paraId="072FDAFC">
      <w:pPr>
        <w:rPr>
          <w:rFonts w:hint="eastAsia" w:ascii="宋体" w:hAnsi="宋体" w:eastAsia="宋体" w:cs="宋体"/>
        </w:rPr>
      </w:pPr>
      <w:r>
        <w:rPr>
          <w:rFonts w:hint="eastAsia" w:ascii="宋体" w:hAnsi="宋体" w:eastAsia="宋体" w:cs="宋体"/>
        </w:rPr>
        <w:t>居住区、居住小区建设工程分期建设的，其附属绿化工程的具体建设时序应当作为国有土地使用权出让合同或者划拨土地条件的内容并予以明确。</w:t>
      </w:r>
    </w:p>
    <w:p w14:paraId="754ADCE2">
      <w:pPr>
        <w:rPr>
          <w:rFonts w:hint="eastAsia" w:ascii="宋体" w:hAnsi="宋体" w:eastAsia="宋体" w:cs="宋体"/>
        </w:rPr>
      </w:pPr>
      <w:r>
        <w:rPr>
          <w:rFonts w:hint="eastAsia" w:ascii="宋体" w:hAnsi="宋体" w:eastAsia="宋体" w:cs="宋体"/>
        </w:rPr>
        <w:t>居住区、居住小区建设工程附属绿化用地的面积和位置应当在房屋买卖合同中予以明示。</w:t>
      </w:r>
    </w:p>
    <w:p w14:paraId="51349099">
      <w:pPr>
        <w:ind w:firstLine="422"/>
        <w:rPr>
          <w:rFonts w:hint="eastAsia" w:ascii="宋体" w:hAnsi="宋体" w:eastAsia="宋体" w:cs="宋体"/>
        </w:rPr>
      </w:pPr>
      <w:r>
        <w:rPr>
          <w:rFonts w:hint="eastAsia" w:ascii="宋体" w:hAnsi="宋体" w:eastAsia="宋体" w:cs="宋体"/>
          <w:b/>
        </w:rPr>
        <w:t>第二十四条</w:t>
      </w:r>
      <w:r>
        <w:rPr>
          <w:rFonts w:hint="eastAsia" w:ascii="宋体" w:hAnsi="宋体" w:eastAsia="宋体" w:cs="宋体"/>
        </w:rPr>
        <w:t>　公共绿地建设工程竣工后，市或者区、县绿化行政主管部门应当组织验收，验收合格后方可交付使用。</w:t>
      </w:r>
    </w:p>
    <w:p w14:paraId="18C5D29B">
      <w:pPr>
        <w:rPr>
          <w:rFonts w:hint="eastAsia" w:ascii="宋体" w:hAnsi="宋体" w:eastAsia="宋体" w:cs="宋体"/>
        </w:rPr>
      </w:pPr>
      <w:r>
        <w:rPr>
          <w:rFonts w:hint="eastAsia" w:ascii="宋体" w:hAnsi="宋体" w:eastAsia="宋体" w:cs="宋体"/>
        </w:rPr>
        <w:t>建设工程附属绿化工程应当纳入建设工程竣工验收范围，规划行政主管部门应当对附属绿化用地的面积和位置是否符合规划许可的内容予以核实；建设单位应当组织绿化工程的设计、施工、工程监理等有关单位对绿化工程是否符合设计方案进行验收，将验收结果载于建设工程竣工验收报告，并按照有关规定报建设行政主管部门备案。</w:t>
      </w:r>
    </w:p>
    <w:p w14:paraId="39216960">
      <w:pPr>
        <w:rPr>
          <w:rFonts w:hint="eastAsia" w:ascii="宋体" w:hAnsi="宋体" w:eastAsia="宋体" w:cs="宋体"/>
        </w:rPr>
      </w:pPr>
      <w:r>
        <w:rPr>
          <w:rFonts w:hint="eastAsia" w:ascii="宋体" w:hAnsi="宋体" w:eastAsia="宋体" w:cs="宋体"/>
        </w:rPr>
        <w:t>公共绿地建设工程、建设工程附属绿化工程竣工验收后，有关资料应当纳入城市建设档案进行管理。</w:t>
      </w:r>
    </w:p>
    <w:p w14:paraId="7984ABB9">
      <w:pPr>
        <w:ind w:firstLine="422"/>
        <w:rPr>
          <w:rFonts w:hint="eastAsia" w:ascii="宋体" w:hAnsi="宋体" w:eastAsia="宋体" w:cs="宋体"/>
        </w:rPr>
      </w:pPr>
      <w:r>
        <w:rPr>
          <w:rFonts w:hint="eastAsia" w:ascii="宋体" w:hAnsi="宋体" w:eastAsia="宋体" w:cs="宋体"/>
          <w:b/>
        </w:rPr>
        <w:t>第二十五条</w:t>
      </w:r>
      <w:r>
        <w:rPr>
          <w:rFonts w:hint="eastAsia" w:ascii="宋体" w:hAnsi="宋体" w:eastAsia="宋体" w:cs="宋体"/>
        </w:rPr>
        <w:t>　居住区、居住小区附属绿化工程竣工后，建设单位应当制作绿地平面图标牌，在居住区、居住小区的显著位置进行永久公示。</w:t>
      </w:r>
    </w:p>
    <w:p w14:paraId="2A65BF91">
      <w:pPr>
        <w:ind w:firstLine="422"/>
        <w:rPr>
          <w:rFonts w:hint="eastAsia" w:ascii="宋体" w:hAnsi="宋体" w:eastAsia="宋体" w:cs="宋体"/>
        </w:rPr>
      </w:pPr>
      <w:r>
        <w:rPr>
          <w:rFonts w:hint="eastAsia" w:ascii="宋体" w:hAnsi="宋体" w:eastAsia="宋体" w:cs="宋体"/>
          <w:b/>
        </w:rPr>
        <w:t>第二十六条</w:t>
      </w:r>
      <w:r>
        <w:rPr>
          <w:rFonts w:hint="eastAsia" w:ascii="宋体" w:hAnsi="宋体" w:eastAsia="宋体" w:cs="宋体"/>
        </w:rPr>
        <w:t>　露天停车场地面应当按照技术规范进行绿化，种植可以达到遮阳效果的树木。</w:t>
      </w:r>
    </w:p>
    <w:p w14:paraId="4379CA83">
      <w:pPr>
        <w:rPr>
          <w:rFonts w:hint="eastAsia" w:ascii="宋体" w:hAnsi="宋体" w:eastAsia="宋体" w:cs="宋体"/>
        </w:rPr>
      </w:pPr>
      <w:r>
        <w:rPr>
          <w:rFonts w:hint="eastAsia" w:ascii="宋体" w:hAnsi="宋体" w:eastAsia="宋体" w:cs="宋体"/>
        </w:rPr>
        <w:t>鼓励屋顶绿化、立体绿化等多种形式的绿化。机关、事业单位办公楼及文化体育设施，符合建筑规范适宜屋顶绿化的，应当实施屋顶绿化。</w:t>
      </w:r>
    </w:p>
    <w:p w14:paraId="49CB778D">
      <w:pPr>
        <w:ind w:firstLine="422"/>
        <w:rPr>
          <w:rFonts w:hint="eastAsia" w:ascii="宋体" w:hAnsi="宋体" w:eastAsia="宋体" w:cs="宋体"/>
        </w:rPr>
      </w:pPr>
      <w:r>
        <w:rPr>
          <w:rFonts w:hint="eastAsia" w:ascii="宋体" w:hAnsi="宋体" w:eastAsia="宋体" w:cs="宋体"/>
          <w:b/>
        </w:rPr>
        <w:t>第二十七条</w:t>
      </w:r>
      <w:r>
        <w:rPr>
          <w:rFonts w:hint="eastAsia" w:ascii="宋体" w:hAnsi="宋体" w:eastAsia="宋体" w:cs="宋体"/>
        </w:rPr>
        <w:t>　经土地行政主管部门确定为闲置土地的，土地使用权人应当按照有关规定进行临时绿化，所需费用由土地使用权人承担。</w:t>
      </w:r>
    </w:p>
    <w:p w14:paraId="4E81CDDA">
      <w:pPr>
        <w:ind w:firstLine="422"/>
        <w:rPr>
          <w:rFonts w:hint="eastAsia" w:ascii="宋体" w:hAnsi="宋体" w:eastAsia="宋体" w:cs="宋体"/>
        </w:rPr>
      </w:pPr>
      <w:r>
        <w:rPr>
          <w:rFonts w:hint="eastAsia" w:ascii="宋体" w:hAnsi="宋体" w:eastAsia="宋体" w:cs="宋体"/>
          <w:b/>
        </w:rPr>
        <w:t>第二十八条</w:t>
      </w:r>
      <w:r>
        <w:rPr>
          <w:rFonts w:hint="eastAsia" w:ascii="宋体" w:hAnsi="宋体" w:eastAsia="宋体" w:cs="宋体"/>
        </w:rPr>
        <w:t>　农村地区应当科学布局绿化用地，按照村庄园林化、道路林荫化、河渠风景化、农田林网化的要求实施绿化；提高农村绿化科学技术和艺术水平，兼顾绿化的生态效益和经济效益。</w:t>
      </w:r>
    </w:p>
    <w:p w14:paraId="601D10D7">
      <w:pPr>
        <w:ind w:firstLine="422"/>
        <w:rPr>
          <w:rFonts w:hint="eastAsia" w:ascii="宋体" w:hAnsi="宋体" w:eastAsia="宋体" w:cs="宋体"/>
        </w:rPr>
      </w:pPr>
      <w:r>
        <w:rPr>
          <w:rFonts w:hint="eastAsia" w:ascii="宋体" w:hAnsi="宋体" w:eastAsia="宋体" w:cs="宋体"/>
          <w:b/>
        </w:rPr>
        <w:t>第二十九条</w:t>
      </w:r>
      <w:r>
        <w:rPr>
          <w:rFonts w:hint="eastAsia" w:ascii="宋体" w:hAnsi="宋体" w:eastAsia="宋体" w:cs="宋体"/>
        </w:rPr>
        <w:t>　村民委员会或者村集体经济组织应当组织村民参加村庄绿化建设，组织村民对荒山、荒沟、荒丘、荒滩和村庄周围的空地、村庄内的闲置土地进行绿化，支持村民对住宅庭院和周边的空地进行绿化美化。</w:t>
      </w:r>
    </w:p>
    <w:p w14:paraId="598DD8DB">
      <w:pPr>
        <w:rPr>
          <w:rFonts w:hint="eastAsia" w:ascii="宋体" w:hAnsi="宋体" w:eastAsia="宋体" w:cs="宋体"/>
        </w:rPr>
      </w:pPr>
      <w:r>
        <w:rPr>
          <w:rFonts w:hint="eastAsia" w:ascii="宋体" w:hAnsi="宋体" w:eastAsia="宋体" w:cs="宋体"/>
        </w:rPr>
        <w:t>绿化行政主管部门应当为村庄绿化建设提供技术服务。</w:t>
      </w:r>
    </w:p>
    <w:p w14:paraId="6102798E">
      <w:pPr>
        <w:ind w:firstLine="422"/>
        <w:rPr>
          <w:rFonts w:hint="eastAsia" w:ascii="宋体" w:hAnsi="宋体" w:eastAsia="宋体" w:cs="宋体"/>
        </w:rPr>
      </w:pPr>
      <w:r>
        <w:rPr>
          <w:rFonts w:hint="eastAsia" w:ascii="宋体" w:hAnsi="宋体" w:eastAsia="宋体" w:cs="宋体"/>
          <w:b/>
        </w:rPr>
        <w:t>第三十条</w:t>
      </w:r>
      <w:r>
        <w:rPr>
          <w:rFonts w:hint="eastAsia" w:ascii="宋体" w:hAnsi="宋体" w:eastAsia="宋体" w:cs="宋体"/>
        </w:rPr>
        <w:t>　农村居民在住宅房前屋后种植树木的，树木收益归种植者所有。</w:t>
      </w:r>
    </w:p>
    <w:p w14:paraId="3E73CF3A">
      <w:pPr>
        <w:rPr>
          <w:rFonts w:hint="eastAsia" w:ascii="宋体" w:hAnsi="宋体" w:eastAsia="宋体" w:cs="宋体"/>
        </w:rPr>
      </w:pPr>
    </w:p>
    <w:p w14:paraId="6C620B35">
      <w:pPr>
        <w:ind w:firstLine="0" w:firstLineChars="0"/>
        <w:jc w:val="center"/>
        <w:rPr>
          <w:b/>
          <w:sz w:val="28"/>
        </w:rPr>
      </w:pPr>
      <w:r>
        <w:rPr>
          <w:rFonts w:hint="eastAsia"/>
          <w:b/>
          <w:sz w:val="28"/>
        </w:rPr>
        <w:t>第三章　义务植树</w:t>
      </w:r>
    </w:p>
    <w:p w14:paraId="0A906792"/>
    <w:p w14:paraId="597B7845">
      <w:pPr>
        <w:ind w:firstLine="422"/>
      </w:pPr>
      <w:r>
        <w:rPr>
          <w:rFonts w:hint="eastAsia"/>
          <w:b/>
        </w:rPr>
        <w:t>第三十一条</w:t>
      </w:r>
      <w:r>
        <w:rPr>
          <w:rFonts w:hint="eastAsia"/>
        </w:rPr>
        <w:t>　本市行政区域内的单位和有劳动能力的适龄公民，应当按照有关规定履行植树义务。</w:t>
      </w:r>
    </w:p>
    <w:p w14:paraId="54D54B45">
      <w:pPr>
        <w:ind w:firstLine="422"/>
      </w:pPr>
      <w:r>
        <w:rPr>
          <w:rFonts w:hint="eastAsia"/>
          <w:b/>
        </w:rPr>
        <w:t>第三十二条</w:t>
      </w:r>
      <w:r>
        <w:rPr>
          <w:rFonts w:hint="eastAsia"/>
        </w:rPr>
        <w:t>　机关、团体、企业事业单位及其他单位应当组织本单位适龄公民参加植树活动。鼓励个人参加所在地区的义务植树活动。</w:t>
      </w:r>
    </w:p>
    <w:p w14:paraId="16F387E5">
      <w:r>
        <w:rPr>
          <w:rFonts w:hint="eastAsia"/>
        </w:rPr>
        <w:t>驻本市的中国人民解放军和武警部队，依据国务院和中央军委有关规定参加义务植树活动。</w:t>
      </w:r>
    </w:p>
    <w:p w14:paraId="3687D945">
      <w:r>
        <w:rPr>
          <w:rFonts w:hint="eastAsia"/>
        </w:rPr>
        <w:t>各级绿化委员会统一领导、组织协调本地区的义务植树和造林绿化工作。</w:t>
      </w:r>
    </w:p>
    <w:p w14:paraId="63DAC3CE">
      <w:pPr>
        <w:ind w:firstLine="422"/>
      </w:pPr>
      <w:r>
        <w:rPr>
          <w:rFonts w:hint="eastAsia"/>
          <w:b/>
        </w:rPr>
        <w:t>第三十三条</w:t>
      </w:r>
      <w:r>
        <w:rPr>
          <w:rFonts w:hint="eastAsia"/>
        </w:rPr>
        <w:t>　单位和个人可以通过植树造林、认建认养树木绿地、购买碳汇、参与绿化宣传咨询等多种形式履行植树义务。</w:t>
      </w:r>
    </w:p>
    <w:p w14:paraId="2DD26C53">
      <w:pPr>
        <w:ind w:firstLine="422"/>
      </w:pPr>
      <w:r>
        <w:rPr>
          <w:rFonts w:hint="eastAsia"/>
          <w:b/>
        </w:rPr>
        <w:t>第三十四条</w:t>
      </w:r>
      <w:r>
        <w:rPr>
          <w:rFonts w:hint="eastAsia"/>
        </w:rPr>
        <w:t>　各级绿化委员会应当建立义务植树登记卡制度，核定并记录单位参与义务植树的情况。</w:t>
      </w:r>
    </w:p>
    <w:p w14:paraId="1E1567E3">
      <w:pPr>
        <w:ind w:firstLine="422"/>
      </w:pPr>
      <w:r>
        <w:rPr>
          <w:rFonts w:hint="eastAsia"/>
          <w:b/>
        </w:rPr>
        <w:t>第三十五条</w:t>
      </w:r>
      <w:r>
        <w:rPr>
          <w:rFonts w:hint="eastAsia"/>
        </w:rPr>
        <w:t>　单位和个人将种植或者养护的树木移交绿地、树木管护责任单位的，所移交树木应当符合有关规定并经过验收。</w:t>
      </w:r>
    </w:p>
    <w:p w14:paraId="3A3CD680">
      <w:r>
        <w:rPr>
          <w:rFonts w:hint="eastAsia"/>
        </w:rPr>
        <w:t>绿化委员会应当指导各单位义务植树责任区和义务植树基地的建设和管理，做好服务工作。</w:t>
      </w:r>
    </w:p>
    <w:p w14:paraId="250B039B">
      <w:pPr>
        <w:ind w:firstLine="422"/>
      </w:pPr>
      <w:r>
        <w:rPr>
          <w:rFonts w:hint="eastAsia"/>
          <w:b/>
        </w:rPr>
        <w:t>第三十六条</w:t>
      </w:r>
      <w:r>
        <w:rPr>
          <w:rFonts w:hint="eastAsia"/>
        </w:rPr>
        <w:t>　单位因特殊原因无法完成义务植树任务的，可以向所在区、县绿化委员会提出协助完成义务植树任务的申请。接到申请的区、县绿化委员会应当组织专业绿化单位代其完成植树任务，所需费用由申请单位承担。</w:t>
      </w:r>
    </w:p>
    <w:p w14:paraId="7AECF23E">
      <w:pPr>
        <w:ind w:firstLine="422"/>
      </w:pPr>
      <w:r>
        <w:rPr>
          <w:rFonts w:hint="eastAsia"/>
          <w:b/>
        </w:rPr>
        <w:t>第三十七条</w:t>
      </w:r>
      <w:r>
        <w:rPr>
          <w:rFonts w:hint="eastAsia"/>
        </w:rPr>
        <w:t>　单位或者个人通过认养公共绿地履行植树义务的，可以在区、县绿化委员会指导下与公共绿地管护单位签订协议，按照要求对公共绿地实施养护，并根据协议对公共绿地享有一定期限的冠名权。</w:t>
      </w:r>
    </w:p>
    <w:p w14:paraId="6C5A569A">
      <w:pPr>
        <w:ind w:firstLine="422"/>
      </w:pPr>
      <w:r>
        <w:rPr>
          <w:rFonts w:hint="eastAsia"/>
          <w:b/>
        </w:rPr>
        <w:t>第三十八条</w:t>
      </w:r>
      <w:r>
        <w:rPr>
          <w:rFonts w:hint="eastAsia"/>
        </w:rPr>
        <w:t>　各级人民政府、各单位应当根据义务植树规划和年度计划，每年安排一定资金用于开展义务植树活动。</w:t>
      </w:r>
    </w:p>
    <w:p w14:paraId="051C806B"/>
    <w:p w14:paraId="7E13AE17">
      <w:pPr>
        <w:ind w:firstLine="0" w:firstLineChars="0"/>
        <w:jc w:val="center"/>
        <w:rPr>
          <w:b/>
          <w:sz w:val="28"/>
        </w:rPr>
      </w:pPr>
      <w:r>
        <w:rPr>
          <w:rFonts w:hint="eastAsia"/>
          <w:b/>
          <w:sz w:val="28"/>
        </w:rPr>
        <w:t>第四章　绿地保护</w:t>
      </w:r>
    </w:p>
    <w:p w14:paraId="04D69CE3"/>
    <w:p w14:paraId="2936C8A9">
      <w:pPr>
        <w:ind w:firstLine="422"/>
      </w:pPr>
      <w:r>
        <w:rPr>
          <w:rFonts w:hint="eastAsia"/>
          <w:b/>
        </w:rPr>
        <w:t>第三十九条</w:t>
      </w:r>
      <w:r>
        <w:rPr>
          <w:rFonts w:hint="eastAsia"/>
        </w:rPr>
        <w:t>　加强对绿地、树木的管理和保护（以下简称管护）。绿地、树木的管护责任按照下列规定确定：</w:t>
      </w:r>
    </w:p>
    <w:p w14:paraId="75914669">
      <w:r>
        <w:rPr>
          <w:rFonts w:hint="eastAsia"/>
        </w:rPr>
        <w:t>（一）公共绿地由绿化行政主管部门负责落实。其中，城市道路、公路、河道用地范围内的绿地分别由各有关主管部门或者区、县绿化行政主管部门负责；</w:t>
      </w:r>
    </w:p>
    <w:p w14:paraId="52FC2F30">
      <w:bookmarkStart w:id="2741" w:name="_Toc428780867"/>
      <w:r>
        <w:rPr>
          <w:rFonts w:hint="eastAsia"/>
        </w:rPr>
        <w:t>（二）单位所属绿地，由该单位负责；</w:t>
      </w:r>
      <w:bookmarkEnd w:id="2741"/>
    </w:p>
    <w:p w14:paraId="26B5DC3C">
      <w:r>
        <w:rPr>
          <w:rFonts w:hint="eastAsia"/>
        </w:rPr>
        <w:t>（三）居住区、居住小区内依法属于业主所有的绿地由业主负责，业主可以委托物业服务企业进行管护；</w:t>
      </w:r>
    </w:p>
    <w:p w14:paraId="21E224C9">
      <w:bookmarkStart w:id="2742" w:name="_Toc428780868"/>
      <w:r>
        <w:rPr>
          <w:rFonts w:hint="eastAsia"/>
        </w:rPr>
        <w:t>（四）建设工程范围内保留的树木，在建设期间由建设单位负责；</w:t>
      </w:r>
      <w:bookmarkEnd w:id="2742"/>
    </w:p>
    <w:p w14:paraId="598B34CF">
      <w:r>
        <w:rPr>
          <w:rFonts w:hint="eastAsia"/>
        </w:rPr>
        <w:t>（五）铁路、湖泊、水库等用地范围内的绿地由各有关主管部门负责；</w:t>
      </w:r>
    </w:p>
    <w:p w14:paraId="1027C06E">
      <w:r>
        <w:rPr>
          <w:rFonts w:hint="eastAsia"/>
        </w:rPr>
        <w:t>（六）村庄绿地由村民委员会或者村集体经济组织负责。</w:t>
      </w:r>
    </w:p>
    <w:p w14:paraId="6C97AB92">
      <w:r>
        <w:rPr>
          <w:rFonts w:hint="eastAsia"/>
        </w:rPr>
        <w:t>前款规定以外的绿地或者零星树木及管护责任不清或者有争议的，由所在区、县绿化行政主管部门确定管护责任。</w:t>
      </w:r>
    </w:p>
    <w:p w14:paraId="26C13568">
      <w:pPr>
        <w:ind w:firstLine="422"/>
      </w:pPr>
      <w:r>
        <w:rPr>
          <w:rFonts w:hint="eastAsia"/>
          <w:b/>
        </w:rPr>
        <w:t>第四十条</w:t>
      </w:r>
      <w:r>
        <w:rPr>
          <w:rFonts w:hint="eastAsia"/>
        </w:rPr>
        <w:t>　管护单位应当按照国家和本市绿地、树木养护规范对绿地、树木进行管护并做好防火工作。</w:t>
      </w:r>
    </w:p>
    <w:p w14:paraId="4B2B5143">
      <w:r>
        <w:rPr>
          <w:rFonts w:hint="eastAsia"/>
        </w:rPr>
        <w:t>绿化行政主管部门应当对绿地、树木的管护给予技术指导。</w:t>
      </w:r>
    </w:p>
    <w:p w14:paraId="18C31892">
      <w:pPr>
        <w:ind w:firstLine="422"/>
      </w:pPr>
      <w:r>
        <w:rPr>
          <w:rFonts w:hint="eastAsia"/>
          <w:b/>
        </w:rPr>
        <w:t>第四十一条</w:t>
      </w:r>
      <w:r>
        <w:rPr>
          <w:rFonts w:hint="eastAsia"/>
        </w:rPr>
        <w:t>　管护单位应当加强道路附属绿地的管护，按照公安交通管理部门的要求制定作业方案。占用道路施工影响交通安全畅通的，应当征得公安交通管理部门同意。公安交通管理部门应当为道路绿化养护作业提供道路交通安全保障。</w:t>
      </w:r>
    </w:p>
    <w:p w14:paraId="4C238F50">
      <w:pPr>
        <w:ind w:firstLine="422"/>
      </w:pPr>
      <w:r>
        <w:rPr>
          <w:rFonts w:hint="eastAsia"/>
          <w:b/>
        </w:rPr>
        <w:t>第四十二条</w:t>
      </w:r>
      <w:r>
        <w:rPr>
          <w:rFonts w:hint="eastAsia"/>
        </w:rPr>
        <w:t>　居住区内严重影响居住采光、通风、安全的树木，管护单位应当按照有关技术规范及时组织修剪。当事人应当协助管护单位做好修剪工作。</w:t>
      </w:r>
    </w:p>
    <w:p w14:paraId="6B46509A">
      <w:pPr>
        <w:ind w:firstLine="422"/>
      </w:pPr>
      <w:r>
        <w:rPr>
          <w:rFonts w:hint="eastAsia"/>
          <w:b/>
        </w:rPr>
        <w:t>第四十三条</w:t>
      </w:r>
      <w:r>
        <w:rPr>
          <w:rFonts w:hint="eastAsia"/>
        </w:rPr>
        <w:t>　影响管道、线路、交通等公共设施使用和安全的树木，管护单位应当按照树木修剪规范及时修剪。</w:t>
      </w:r>
    </w:p>
    <w:p w14:paraId="6804CF54">
      <w:r>
        <w:rPr>
          <w:rFonts w:hint="eastAsia"/>
        </w:rPr>
        <w:t>新设管道、线路、交通等公共设施，需要修剪树木的，应当经区、县绿化行政主管部门批准。</w:t>
      </w:r>
    </w:p>
    <w:p w14:paraId="138C75E8">
      <w:pPr>
        <w:ind w:firstLine="422"/>
        <w:rPr>
          <w:rFonts w:hint="eastAsia" w:ascii="宋体" w:hAnsi="宋体" w:eastAsia="宋体" w:cs="宋体"/>
        </w:rPr>
      </w:pPr>
      <w:r>
        <w:rPr>
          <w:rFonts w:hint="eastAsia"/>
          <w:b/>
        </w:rPr>
        <w:t>第四十四条</w:t>
      </w:r>
      <w:r>
        <w:rPr>
          <w:rFonts w:hint="eastAsia"/>
        </w:rPr>
        <w:t>　因抢险救灾和处理突发事件等</w:t>
      </w:r>
      <w:r>
        <w:rPr>
          <w:rFonts w:hint="eastAsia" w:ascii="宋体" w:hAnsi="宋体" w:eastAsia="宋体" w:cs="宋体"/>
        </w:rPr>
        <w:t>紧急情况需要，可以对树木进行修剪或者砍伐。组织紧急情况处理的单位应当在处理结束之日起10日内，将有关处理情况报告所在区、县绿化行政主管部门。</w:t>
      </w:r>
    </w:p>
    <w:p w14:paraId="4825523C">
      <w:r>
        <w:rPr>
          <w:rFonts w:hint="eastAsia"/>
        </w:rPr>
        <w:t>因抢险救灾和处理突发事件等紧急情况修剪或者砍伐树木，造成公民、法人和其他组织财产损失的，按照国家有关规定给予补偿。</w:t>
      </w:r>
    </w:p>
    <w:p w14:paraId="1C9880D4">
      <w:pPr>
        <w:ind w:firstLine="422"/>
      </w:pPr>
      <w:r>
        <w:rPr>
          <w:rFonts w:hint="eastAsia"/>
          <w:b/>
        </w:rPr>
        <w:t>第四十五条</w:t>
      </w:r>
      <w:r>
        <w:rPr>
          <w:rFonts w:hint="eastAsia"/>
        </w:rPr>
        <w:t>　市政、交通、电力、通讯等建设工程项目影响绿化的，建设单位应当按照有关规定采取保护绿地和树木的措施，并在施工前告知管护单位。</w:t>
      </w:r>
    </w:p>
    <w:p w14:paraId="24C128DB">
      <w:pPr>
        <w:ind w:firstLine="422"/>
      </w:pPr>
      <w:r>
        <w:rPr>
          <w:rFonts w:hint="eastAsia"/>
          <w:b/>
        </w:rPr>
        <w:t>第四十六条</w:t>
      </w:r>
      <w:r>
        <w:rPr>
          <w:rFonts w:hint="eastAsia"/>
        </w:rPr>
        <w:t>　开发利用绿地地下空间的，应当符合国家和本市有关建设规范，不得影响树木正常生长和绿地使用功能。</w:t>
      </w:r>
    </w:p>
    <w:p w14:paraId="684070CC">
      <w:pPr>
        <w:ind w:firstLine="422"/>
      </w:pPr>
      <w:r>
        <w:rPr>
          <w:rFonts w:hint="eastAsia"/>
          <w:b/>
        </w:rPr>
        <w:t>第四十七条</w:t>
      </w:r>
      <w:r>
        <w:rPr>
          <w:rFonts w:hint="eastAsia"/>
        </w:rPr>
        <w:t>　矿山、砂石开采场、砖瓦窑的生产经营活动造成地表植被破坏的，责任单位应当负责植树造林、恢复植被，不得造成地表裸露。</w:t>
      </w:r>
    </w:p>
    <w:p w14:paraId="5A2F79B9">
      <w:pPr>
        <w:ind w:firstLine="422"/>
      </w:pPr>
      <w:r>
        <w:rPr>
          <w:rFonts w:hint="eastAsia"/>
          <w:b/>
        </w:rPr>
        <w:t>第四十八条</w:t>
      </w:r>
      <w:r>
        <w:rPr>
          <w:rFonts w:hint="eastAsia"/>
        </w:rPr>
        <w:t>　森林和野生动物类型自然保护区的保护，应当科学确定适宜的保护范围，保护天然植被和植物资源的自然特性。</w:t>
      </w:r>
    </w:p>
    <w:p w14:paraId="64AAD9B9">
      <w:pPr>
        <w:ind w:firstLine="422"/>
      </w:pPr>
      <w:r>
        <w:rPr>
          <w:rFonts w:hint="eastAsia"/>
          <w:b/>
        </w:rPr>
        <w:t>第四十九条</w:t>
      </w:r>
      <w:r>
        <w:rPr>
          <w:rFonts w:hint="eastAsia"/>
        </w:rPr>
        <w:t>　各级风景名胜区应当坚持保护优先、利用服从保护的原则，保护绿化资源的完整性与观赏性。游览者和风景名胜区内的居民有保护林草植被和各项绿化设施的义务。</w:t>
      </w:r>
    </w:p>
    <w:p w14:paraId="3866FB9A">
      <w:pPr>
        <w:ind w:firstLine="422"/>
      </w:pPr>
      <w:r>
        <w:rPr>
          <w:rFonts w:hint="eastAsia"/>
          <w:b/>
        </w:rPr>
        <w:t>第五十条</w:t>
      </w:r>
      <w:r>
        <w:rPr>
          <w:rFonts w:hint="eastAsia"/>
        </w:rPr>
        <w:t>　禁止下列损害绿化的行为：</w:t>
      </w:r>
    </w:p>
    <w:p w14:paraId="2E1AAEA0">
      <w:r>
        <w:rPr>
          <w:rFonts w:hint="eastAsia"/>
        </w:rPr>
        <w:t>（一）在树木旁或者绿地内倾倒、排放污水、垃圾、渣土及其他废弃物；</w:t>
      </w:r>
    </w:p>
    <w:p w14:paraId="34730356">
      <w:bookmarkStart w:id="2743" w:name="_Toc428780869"/>
      <w:r>
        <w:rPr>
          <w:rFonts w:hint="eastAsia"/>
        </w:rPr>
        <w:t>（二）损毁树木、花草及绿化设施；</w:t>
      </w:r>
      <w:bookmarkEnd w:id="2743"/>
    </w:p>
    <w:p w14:paraId="53F2D93C">
      <w:r>
        <w:rPr>
          <w:rFonts w:hint="eastAsia"/>
        </w:rPr>
        <w:t>（三）在树木或者绿化设施上悬挂广告牌或者其他物品；</w:t>
      </w:r>
    </w:p>
    <w:p w14:paraId="18CA3B4B">
      <w:r>
        <w:rPr>
          <w:rFonts w:hint="eastAsia"/>
        </w:rPr>
        <w:t>（四）在绿地内取土、搭建构筑物；</w:t>
      </w:r>
    </w:p>
    <w:p w14:paraId="762302A9">
      <w:r>
        <w:rPr>
          <w:rFonts w:hint="eastAsia"/>
        </w:rPr>
        <w:t>（五）在绿地内用火、烧烤；</w:t>
      </w:r>
    </w:p>
    <w:p w14:paraId="3D4F5D5D">
      <w:r>
        <w:rPr>
          <w:rFonts w:hint="eastAsia"/>
        </w:rPr>
        <w:t>（六）其他损害绿化成果及绿化设施的行为。</w:t>
      </w:r>
    </w:p>
    <w:p w14:paraId="2386D82C">
      <w:pPr>
        <w:ind w:firstLine="422"/>
      </w:pPr>
      <w:r>
        <w:rPr>
          <w:rFonts w:hint="eastAsia"/>
          <w:b/>
        </w:rPr>
        <w:t>第五十一条</w:t>
      </w:r>
      <w:r>
        <w:rPr>
          <w:rFonts w:hint="eastAsia"/>
        </w:rPr>
        <w:t>　本市实行树木所有权登记制度。树木所有权不明确的，由所在区、县人民政府确定。登记工作按照国家和本市有关规定执行。</w:t>
      </w:r>
    </w:p>
    <w:p w14:paraId="07122BD1"/>
    <w:p w14:paraId="5959BEB2">
      <w:pPr>
        <w:ind w:firstLine="0" w:firstLineChars="0"/>
        <w:jc w:val="center"/>
        <w:rPr>
          <w:b/>
          <w:sz w:val="28"/>
        </w:rPr>
      </w:pPr>
      <w:r>
        <w:rPr>
          <w:rFonts w:hint="eastAsia"/>
          <w:b/>
          <w:sz w:val="28"/>
        </w:rPr>
        <w:t>第五章　监督与管理</w:t>
      </w:r>
    </w:p>
    <w:p w14:paraId="4616C5BC"/>
    <w:p w14:paraId="229CDA79">
      <w:pPr>
        <w:ind w:firstLine="422"/>
      </w:pPr>
      <w:r>
        <w:rPr>
          <w:rFonts w:hint="eastAsia"/>
          <w:b/>
        </w:rPr>
        <w:t>第五十二条</w:t>
      </w:r>
      <w:r>
        <w:rPr>
          <w:rFonts w:hint="eastAsia"/>
        </w:rPr>
        <w:t>　市和区、县绿化行政主管部门应当根据绿化事业需要制定绿化规范和标准，加强绿化工作监督检查，及时处理有关绿化违法行为的投诉和举报，依法查处有关违法行为。</w:t>
      </w:r>
    </w:p>
    <w:p w14:paraId="52AC3128">
      <w:r>
        <w:rPr>
          <w:rFonts w:hint="eastAsia"/>
        </w:rPr>
        <w:t>发展和改革、环境保护、规划、建设、农业、财政等部门依照职责分工做好绿化相关工作。</w:t>
      </w:r>
    </w:p>
    <w:p w14:paraId="24604C96">
      <w:r>
        <w:rPr>
          <w:rFonts w:hint="eastAsia"/>
        </w:rPr>
        <w:t>交通、水务、市政管理、卫生、教育等有关部门应当组织做好本行业、本系统的绿化监督与管理工作。</w:t>
      </w:r>
    </w:p>
    <w:p w14:paraId="23F4D35A">
      <w:pPr>
        <w:ind w:firstLine="422"/>
      </w:pPr>
      <w:r>
        <w:rPr>
          <w:rFonts w:hint="eastAsia"/>
          <w:b/>
        </w:rPr>
        <w:t>第五十三条</w:t>
      </w:r>
      <w:r>
        <w:rPr>
          <w:rFonts w:hint="eastAsia"/>
        </w:rPr>
        <w:t>　绿化行政主管部门应当加强对绿化工程的监督；对使用国有资金投资或者国家融资的绿化工程应当进行质量监督。</w:t>
      </w:r>
    </w:p>
    <w:p w14:paraId="1CE3CC65">
      <w:pPr>
        <w:ind w:firstLine="422"/>
      </w:pPr>
      <w:r>
        <w:rPr>
          <w:rFonts w:hint="eastAsia"/>
          <w:b/>
        </w:rPr>
        <w:t>第五十四条</w:t>
      </w:r>
      <w:r>
        <w:rPr>
          <w:rFonts w:hint="eastAsia"/>
        </w:rPr>
        <w:t>　乡、镇人民政府和街道办事处应当配备专职或者兼职绿化管理人员，做好绿化管理工作；对本辖区内违反本条例的行为应当及时予以制止，或者向市和区、县有关部门报告，并配合有关部门进行查处。</w:t>
      </w:r>
    </w:p>
    <w:p w14:paraId="47C399C9">
      <w:r>
        <w:rPr>
          <w:rFonts w:hint="eastAsia"/>
        </w:rPr>
        <w:t>村民委员会、居民委员会发现本区域内违反本条例行为的，应当予以制止或者向有关部门报告。</w:t>
      </w:r>
    </w:p>
    <w:p w14:paraId="1E7CFBD0">
      <w:pPr>
        <w:ind w:firstLine="422"/>
      </w:pPr>
      <w:r>
        <w:rPr>
          <w:rFonts w:hint="eastAsia"/>
          <w:b/>
        </w:rPr>
        <w:t>第五十五条</w:t>
      </w:r>
      <w:r>
        <w:rPr>
          <w:rFonts w:hint="eastAsia"/>
        </w:rPr>
        <w:t>　市和区、县绿化行政主管部门在监督检查中，可以进行现场检查，调查了解有关情况，查阅、复制有关文件、资料，采取责令停止违法行为、限期恢复等措施。</w:t>
      </w:r>
    </w:p>
    <w:p w14:paraId="7E69733C">
      <w:r>
        <w:rPr>
          <w:rFonts w:hint="eastAsia"/>
        </w:rPr>
        <w:t>被监督检查的单位和人员不得拒绝、阻挠、妨碍行政执法人员依法进行监督检查。</w:t>
      </w:r>
    </w:p>
    <w:p w14:paraId="517DFE57">
      <w:pPr>
        <w:ind w:firstLine="422"/>
      </w:pPr>
      <w:r>
        <w:rPr>
          <w:rFonts w:hint="eastAsia"/>
          <w:b/>
        </w:rPr>
        <w:t>第五十六条</w:t>
      </w:r>
      <w:r>
        <w:rPr>
          <w:rFonts w:hint="eastAsia"/>
        </w:rPr>
        <w:t>　规划行政主管部门对建设项目作出规划许可前，应当就建设工程设计方案中有关绿化用地的内容征求绿化行政主管部门的意见。绿化行政主管部</w:t>
      </w:r>
      <w:r>
        <w:rPr>
          <w:rFonts w:hint="eastAsia" w:ascii="宋体" w:hAnsi="宋体" w:eastAsia="宋体" w:cs="宋体"/>
        </w:rPr>
        <w:t>门应当在7个工作</w:t>
      </w:r>
      <w:r>
        <w:rPr>
          <w:rFonts w:hint="eastAsia"/>
        </w:rPr>
        <w:t>日内反馈意见。</w:t>
      </w:r>
    </w:p>
    <w:p w14:paraId="08443A4F">
      <w:pPr>
        <w:ind w:firstLine="422"/>
      </w:pPr>
      <w:r>
        <w:rPr>
          <w:rFonts w:hint="eastAsia"/>
          <w:b/>
        </w:rPr>
        <w:t>第五十七条</w:t>
      </w:r>
      <w:r>
        <w:rPr>
          <w:rFonts w:hint="eastAsia"/>
        </w:rPr>
        <w:t>　任何单位和个人不得擅自改变绿地的性质和用途。中心城、新城、建制镇范围内，因基础设施建设等特殊原因需要改变公共绿地性质和用途的，应当经市人民政府批准。需要改变其他绿地性质和用途的，应当经市绿化行政主管部门审核、市规划行政主管部门批准。</w:t>
      </w:r>
    </w:p>
    <w:p w14:paraId="1F0251D4">
      <w:r>
        <w:rPr>
          <w:rFonts w:hint="eastAsia"/>
        </w:rPr>
        <w:t>因前款情形造成公共绿地面积减少的，建设单位应当在该绿地周边补建相应面积的绿地。</w:t>
      </w:r>
    </w:p>
    <w:p w14:paraId="6C0B9C39">
      <w:pPr>
        <w:ind w:firstLine="422"/>
        <w:rPr>
          <w:rFonts w:hint="eastAsia" w:ascii="宋体" w:hAnsi="宋体" w:eastAsia="宋体" w:cs="宋体"/>
        </w:rPr>
      </w:pPr>
      <w:r>
        <w:rPr>
          <w:rFonts w:hint="eastAsia"/>
          <w:b/>
        </w:rPr>
        <w:t>第五十八条</w:t>
      </w:r>
      <w:r>
        <w:rPr>
          <w:rFonts w:hint="eastAsia"/>
        </w:rPr>
        <w:t>　严格限制移植树木。因城市建设、居住安全和设施安全等特殊原因确需移植树木的，应当经绿化行政主</w:t>
      </w:r>
      <w:r>
        <w:rPr>
          <w:rFonts w:hint="eastAsia" w:ascii="宋体" w:hAnsi="宋体" w:eastAsia="宋体" w:cs="宋体"/>
        </w:rPr>
        <w:t>管部门批准。移植许可证应当在移植现场公示，接受公众监督。</w:t>
      </w:r>
    </w:p>
    <w:p w14:paraId="3AF682B5">
      <w:pPr>
        <w:rPr>
          <w:rFonts w:hint="eastAsia" w:ascii="宋体" w:hAnsi="宋体" w:eastAsia="宋体" w:cs="宋体"/>
        </w:rPr>
      </w:pPr>
      <w:r>
        <w:rPr>
          <w:rFonts w:hint="eastAsia" w:ascii="宋体" w:hAnsi="宋体" w:eastAsia="宋体" w:cs="宋体"/>
        </w:rPr>
        <w:t>同一建设项目移植树木不满50株的，由区、县绿化行政主管部门批准；一次或者累计移植树木50株以上的，由市绿化行政主管部门批准。</w:t>
      </w:r>
    </w:p>
    <w:p w14:paraId="7E7C542C">
      <w:pPr>
        <w:ind w:firstLine="422"/>
      </w:pPr>
      <w:r>
        <w:rPr>
          <w:rFonts w:hint="eastAsia"/>
          <w:b/>
        </w:rPr>
        <w:t>第五十九条</w:t>
      </w:r>
      <w:r>
        <w:rPr>
          <w:rFonts w:hint="eastAsia"/>
        </w:rPr>
        <w:t>　严格控制砍伐树木。符合下列情形之一的树木，经批准可以砍伐：</w:t>
      </w:r>
    </w:p>
    <w:p w14:paraId="766D2F99">
      <w:bookmarkStart w:id="2744" w:name="_Toc428780870"/>
      <w:r>
        <w:rPr>
          <w:rFonts w:hint="eastAsia"/>
        </w:rPr>
        <w:t>（一）已经死亡的；</w:t>
      </w:r>
      <w:bookmarkEnd w:id="2744"/>
    </w:p>
    <w:p w14:paraId="3F4A1564">
      <w:r>
        <w:rPr>
          <w:rFonts w:hint="eastAsia"/>
        </w:rPr>
        <w:t>（二）发生检疫性病虫害无保留价值或者发生其他严重病虫害的；</w:t>
      </w:r>
    </w:p>
    <w:p w14:paraId="7B8B4E60">
      <w:bookmarkStart w:id="2745" w:name="_Toc428780871"/>
      <w:r>
        <w:rPr>
          <w:rFonts w:hint="eastAsia"/>
        </w:rPr>
        <w:t>（三）因抚育或者更新改造需要且无移植价值的；</w:t>
      </w:r>
      <w:bookmarkEnd w:id="2745"/>
    </w:p>
    <w:p w14:paraId="6EF53823">
      <w:r>
        <w:rPr>
          <w:rFonts w:hint="eastAsia"/>
        </w:rPr>
        <w:t>（四）因城市建设、居住安全和设施安全等特殊原因确需移植但无法移植或者无移植价值的。</w:t>
      </w:r>
    </w:p>
    <w:p w14:paraId="4384D9FB">
      <w:r>
        <w:rPr>
          <w:rFonts w:hint="eastAsia"/>
        </w:rPr>
        <w:t>同一建</w:t>
      </w:r>
      <w:r>
        <w:rPr>
          <w:rFonts w:hint="eastAsia" w:ascii="宋体" w:hAnsi="宋体" w:eastAsia="宋体" w:cs="宋体"/>
        </w:rPr>
        <w:t>设项目砍伐树木胸径小于30厘米并且不满20株的，由区、县绿化行政主管部门批准；砍伐树木胸径30厘米以上的，以及一次或者累计砍伐树木20株以上不满50株的，由市绿化行政主管部门批准；一次或者累计砍伐树木50株以上的，由市绿化行政主管部门</w:t>
      </w:r>
      <w:r>
        <w:rPr>
          <w:rFonts w:hint="eastAsia"/>
        </w:rPr>
        <w:t>报市人民政府批准。</w:t>
      </w:r>
    </w:p>
    <w:p w14:paraId="26C57051">
      <w:r>
        <w:rPr>
          <w:rFonts w:hint="eastAsia"/>
        </w:rPr>
        <w:t>砍伐许可证应当在砍伐现场公示，接受公众监督。</w:t>
      </w:r>
    </w:p>
    <w:p w14:paraId="4714C00C">
      <w:pPr>
        <w:ind w:firstLine="422"/>
      </w:pPr>
      <w:r>
        <w:rPr>
          <w:rFonts w:hint="eastAsia"/>
          <w:b/>
        </w:rPr>
        <w:t>第六十条</w:t>
      </w:r>
      <w:r>
        <w:rPr>
          <w:rFonts w:hint="eastAsia"/>
        </w:rPr>
        <w:t>　未经批准不得临时占用绿地。因特殊情况确需临时占用绿地的，应当经绿化行政主管部门批准。其中临时占用中心城公共绿地的，由市绿化行政主管部门批准；临时占用其他绿地的，由区、县绿化行政主管部门批准。临时占用期限最长不得</w:t>
      </w:r>
      <w:r>
        <w:rPr>
          <w:rFonts w:hint="eastAsia" w:ascii="宋体" w:hAnsi="宋体" w:eastAsia="宋体" w:cs="宋体"/>
        </w:rPr>
        <w:t>超过2年。临时</w:t>
      </w:r>
      <w:r>
        <w:rPr>
          <w:rFonts w:hint="eastAsia"/>
        </w:rPr>
        <w:t>占用绿地期满后，占用人应当按照规定恢复原状。</w:t>
      </w:r>
    </w:p>
    <w:p w14:paraId="66D6D5AD">
      <w:pPr>
        <w:ind w:firstLine="422"/>
      </w:pPr>
      <w:r>
        <w:rPr>
          <w:rFonts w:hint="eastAsia"/>
          <w:b/>
        </w:rPr>
        <w:t>第六十一条</w:t>
      </w:r>
      <w:r>
        <w:rPr>
          <w:rFonts w:hint="eastAsia"/>
        </w:rPr>
        <w:t>　代征的城市绿化用地，建设单位应当自规划验</w:t>
      </w:r>
      <w:r>
        <w:rPr>
          <w:rFonts w:hint="eastAsia" w:ascii="宋体" w:hAnsi="宋体" w:eastAsia="宋体" w:cs="宋体"/>
        </w:rPr>
        <w:t>收合格之日起30日内交区、</w:t>
      </w:r>
      <w:r>
        <w:rPr>
          <w:rFonts w:hint="eastAsia"/>
        </w:rPr>
        <w:t>县绿化行政主管部门组织绿化，不得擅自转作他用。</w:t>
      </w:r>
    </w:p>
    <w:p w14:paraId="6CAD931B">
      <w:pPr>
        <w:ind w:firstLine="422"/>
      </w:pPr>
      <w:r>
        <w:rPr>
          <w:rFonts w:hint="eastAsia"/>
          <w:b/>
        </w:rPr>
        <w:t>第六十二条</w:t>
      </w:r>
      <w:r>
        <w:rPr>
          <w:rFonts w:hint="eastAsia"/>
        </w:rPr>
        <w:t>　市和区、县绿化行政主管部门应当</w:t>
      </w:r>
      <w:r>
        <w:rPr>
          <w:rFonts w:hint="eastAsia" w:ascii="宋体" w:hAnsi="宋体" w:eastAsia="宋体" w:cs="宋体"/>
        </w:rPr>
        <w:t>每5年开</w:t>
      </w:r>
      <w:r>
        <w:rPr>
          <w:rFonts w:hint="eastAsia"/>
        </w:rPr>
        <w:t>展一次绿化资源清查，建立绿化资源档案，并根据国家有关规定，开展资源监测和效益评估。</w:t>
      </w:r>
    </w:p>
    <w:p w14:paraId="09A40EB5">
      <w:r>
        <w:rPr>
          <w:rFonts w:hint="eastAsia"/>
        </w:rPr>
        <w:t>市和区、县绿化行政主管部门应当加强绿化植物的检疫和有害生物防治，建立有害生物疫情监测预报网络，编制有害生物灾害事件应急预案，健全有害生物预警预防控制体系。</w:t>
      </w:r>
    </w:p>
    <w:p w14:paraId="41E0DB59">
      <w:r>
        <w:rPr>
          <w:rFonts w:hint="eastAsia"/>
        </w:rPr>
        <w:t>林业植物检疫机构应当按照有关规定，做好绿化植物的检疫和有害生物防治工作。</w:t>
      </w:r>
    </w:p>
    <w:p w14:paraId="6CDEAEBC"/>
    <w:p w14:paraId="3436BDE8">
      <w:pPr>
        <w:ind w:firstLine="0" w:firstLineChars="0"/>
        <w:jc w:val="center"/>
        <w:rPr>
          <w:b/>
          <w:sz w:val="28"/>
        </w:rPr>
      </w:pPr>
      <w:r>
        <w:rPr>
          <w:rFonts w:hint="eastAsia"/>
          <w:b/>
          <w:sz w:val="28"/>
        </w:rPr>
        <w:t>第六章　法律责任</w:t>
      </w:r>
    </w:p>
    <w:p w14:paraId="254198F3"/>
    <w:p w14:paraId="1E63D11A">
      <w:pPr>
        <w:ind w:firstLine="422"/>
        <w:rPr>
          <w:rFonts w:hint="eastAsia" w:ascii="宋体" w:hAnsi="宋体" w:eastAsia="宋体" w:cs="宋体"/>
        </w:rPr>
      </w:pPr>
      <w:r>
        <w:rPr>
          <w:rFonts w:hint="eastAsia"/>
          <w:b/>
        </w:rPr>
        <w:t>第六十三条</w:t>
      </w:r>
      <w:r>
        <w:rPr>
          <w:rFonts w:hint="eastAsia"/>
        </w:rPr>
        <w:t>　违反本条例第二十五条规定，建设单位未按照要求公示绿地平面图的，责令限期改正；逾期不改正的，处</w:t>
      </w:r>
      <w:r>
        <w:rPr>
          <w:rFonts w:hint="eastAsia" w:ascii="宋体" w:hAnsi="宋体" w:eastAsia="宋体" w:cs="宋体"/>
        </w:rPr>
        <w:t>5000元罚款。</w:t>
      </w:r>
    </w:p>
    <w:p w14:paraId="5461336E">
      <w:pPr>
        <w:ind w:firstLine="422"/>
        <w:rPr>
          <w:rFonts w:hint="eastAsia" w:ascii="宋体" w:hAnsi="宋体" w:eastAsia="宋体" w:cs="宋体"/>
        </w:rPr>
      </w:pPr>
      <w:r>
        <w:rPr>
          <w:rFonts w:hint="eastAsia"/>
          <w:b/>
        </w:rPr>
        <w:t>第六十四条</w:t>
      </w:r>
      <w:r>
        <w:rPr>
          <w:rFonts w:hint="eastAsia"/>
        </w:rPr>
        <w:t>　违反本条例第二十</w:t>
      </w:r>
      <w:r>
        <w:rPr>
          <w:rFonts w:hint="eastAsia" w:ascii="宋体" w:hAnsi="宋体" w:eastAsia="宋体" w:cs="宋体"/>
        </w:rPr>
        <w:t>七条规定，土地使用权人未按照规定对闲置土地进行临时绿化的，责令限期改正；逾期不改正的，处2000元以上2万元以下罚款。</w:t>
      </w:r>
    </w:p>
    <w:p w14:paraId="47AE9667">
      <w:pPr>
        <w:ind w:firstLine="422"/>
      </w:pPr>
      <w:r>
        <w:rPr>
          <w:rFonts w:hint="eastAsia"/>
          <w:b/>
        </w:rPr>
        <w:t>第六十五条</w:t>
      </w:r>
      <w:r>
        <w:rPr>
          <w:rFonts w:hint="eastAsia"/>
        </w:rPr>
        <w:t>　违反本条例第四十条规定，管护单位未按照养护规范进行养护并做好防火工作的，责令限期改正；逾期不改正，造成树木死亡、绿化设施损毁、景区风貌破坏的，处</w:t>
      </w:r>
      <w:r>
        <w:rPr>
          <w:rFonts w:hint="eastAsia" w:ascii="宋体" w:hAnsi="宋体" w:eastAsia="宋体" w:cs="宋体"/>
        </w:rPr>
        <w:t>2000元以上2万元以下罚款</w:t>
      </w:r>
      <w:r>
        <w:rPr>
          <w:rFonts w:hint="eastAsia"/>
        </w:rPr>
        <w:t>。</w:t>
      </w:r>
    </w:p>
    <w:p w14:paraId="4C4841B8">
      <w:pPr>
        <w:ind w:firstLine="422"/>
        <w:rPr>
          <w:rFonts w:hint="eastAsia" w:ascii="宋体" w:hAnsi="宋体" w:eastAsia="宋体" w:cs="宋体"/>
        </w:rPr>
      </w:pPr>
      <w:r>
        <w:rPr>
          <w:rFonts w:hint="eastAsia"/>
          <w:b/>
        </w:rPr>
        <w:t>第六十六条</w:t>
      </w:r>
      <w:r>
        <w:rPr>
          <w:rFonts w:hint="eastAsia"/>
        </w:rPr>
        <w:t>　违反本条例第四十六条规定，未按照国家和本市有关建设规范开发利</w:t>
      </w:r>
      <w:r>
        <w:rPr>
          <w:rFonts w:hint="eastAsia" w:ascii="宋体" w:hAnsi="宋体" w:eastAsia="宋体" w:cs="宋体"/>
        </w:rPr>
        <w:t>用绿地地下空间，影响树木正常生长或者绿地使用功能的，责令限期改正；逾期不改正的，处2万元以上10万元以下罚款。</w:t>
      </w:r>
    </w:p>
    <w:p w14:paraId="62E4D967">
      <w:pPr>
        <w:ind w:firstLine="422"/>
      </w:pPr>
      <w:r>
        <w:rPr>
          <w:rFonts w:hint="eastAsia"/>
          <w:b/>
        </w:rPr>
        <w:t>第六十七条</w:t>
      </w:r>
      <w:r>
        <w:rPr>
          <w:rFonts w:hint="eastAsia"/>
        </w:rPr>
        <w:t>　违反本条例第五十条规定，损害绿化成果及绿化设施的，责令停止违法行为。情节较轻的，处</w:t>
      </w:r>
      <w:r>
        <w:rPr>
          <w:rFonts w:hint="eastAsia" w:ascii="宋体" w:hAnsi="宋体" w:eastAsia="宋体" w:cs="宋体"/>
        </w:rPr>
        <w:t>20</w:t>
      </w:r>
      <w:r>
        <w:rPr>
          <w:rFonts w:hint="eastAsia"/>
        </w:rPr>
        <w:t>元以上</w:t>
      </w:r>
      <w:r>
        <w:rPr>
          <w:rFonts w:hint="eastAsia" w:ascii="宋体" w:hAnsi="宋体" w:eastAsia="宋体" w:cs="宋体"/>
        </w:rPr>
        <w:t>50</w:t>
      </w:r>
      <w:r>
        <w:rPr>
          <w:rFonts w:hint="eastAsia"/>
        </w:rPr>
        <w:t>元以下罚款；情节严重的，处</w:t>
      </w:r>
      <w:r>
        <w:rPr>
          <w:rFonts w:hint="eastAsia" w:ascii="宋体" w:hAnsi="宋体" w:eastAsia="宋体" w:cs="宋体"/>
        </w:rPr>
        <w:t>50</w:t>
      </w:r>
      <w:r>
        <w:rPr>
          <w:rFonts w:hint="eastAsia"/>
        </w:rPr>
        <w:t>元以上</w:t>
      </w:r>
      <w:r>
        <w:rPr>
          <w:rFonts w:hint="eastAsia" w:ascii="宋体" w:hAnsi="宋体" w:eastAsia="宋体" w:cs="宋体"/>
        </w:rPr>
        <w:t>500元</w:t>
      </w:r>
      <w:r>
        <w:rPr>
          <w:rFonts w:hint="eastAsia"/>
        </w:rPr>
        <w:t>以下罚款。</w:t>
      </w:r>
    </w:p>
    <w:p w14:paraId="68101338">
      <w:pPr>
        <w:ind w:firstLine="422"/>
        <w:rPr>
          <w:rFonts w:hint="eastAsia"/>
        </w:rPr>
      </w:pPr>
      <w:r>
        <w:rPr>
          <w:rFonts w:hint="eastAsia"/>
          <w:b/>
        </w:rPr>
        <w:t>第六十八条</w:t>
      </w:r>
      <w:r>
        <w:rPr>
          <w:rFonts w:hint="eastAsia"/>
        </w:rPr>
        <w:t>　违反本条例第五十七条规定，未经许可擅自改变绿地性质和用途的，责令限期改正、恢复原状，并按照改变的面积处取得该处土地使用权地价款</w:t>
      </w:r>
      <w:r>
        <w:rPr>
          <w:rFonts w:hint="eastAsia" w:ascii="宋体" w:hAnsi="宋体" w:eastAsia="宋体" w:cs="宋体"/>
        </w:rPr>
        <w:t>3至5倍</w:t>
      </w:r>
      <w:r>
        <w:rPr>
          <w:rFonts w:hint="eastAsia"/>
        </w:rPr>
        <w:t xml:space="preserve">的罚款。    </w:t>
      </w:r>
    </w:p>
    <w:p w14:paraId="34D151A0">
      <w:pPr>
        <w:ind w:firstLine="422"/>
      </w:pPr>
      <w:r>
        <w:rPr>
          <w:rFonts w:hint="eastAsia"/>
          <w:b/>
        </w:rPr>
        <w:t>第六十九条</w:t>
      </w:r>
      <w:r>
        <w:rPr>
          <w:rFonts w:hint="eastAsia"/>
        </w:rPr>
        <w:t>　违反本条例第五十八条规定移植树木的，责令限期改正；无法改正的，责令在规定地点补种移植株</w:t>
      </w:r>
      <w:r>
        <w:rPr>
          <w:rFonts w:hint="eastAsia" w:ascii="宋体" w:hAnsi="宋体" w:eastAsia="宋体" w:cs="宋体"/>
        </w:rPr>
        <w:t>数5倍的树木，并可以</w:t>
      </w:r>
      <w:r>
        <w:rPr>
          <w:rFonts w:hint="eastAsia"/>
        </w:rPr>
        <w:t>处所移植树木价</w:t>
      </w:r>
      <w:r>
        <w:rPr>
          <w:rFonts w:hint="eastAsia" w:ascii="宋体" w:hAnsi="宋体" w:eastAsia="宋体" w:cs="宋体"/>
        </w:rPr>
        <w:t>值3至5倍的罚款</w:t>
      </w:r>
      <w:r>
        <w:rPr>
          <w:rFonts w:hint="eastAsia"/>
        </w:rPr>
        <w:t>。</w:t>
      </w:r>
    </w:p>
    <w:p w14:paraId="1760E146">
      <w:pPr>
        <w:ind w:firstLine="422"/>
      </w:pPr>
      <w:r>
        <w:rPr>
          <w:rFonts w:hint="eastAsia"/>
          <w:b/>
        </w:rPr>
        <w:t>第七十条</w:t>
      </w:r>
      <w:r>
        <w:rPr>
          <w:rFonts w:hint="eastAsia"/>
        </w:rPr>
        <w:t>　违反本条例第五十九条规定砍伐树木的，责令停止违法行为，并在规定地点补种砍</w:t>
      </w:r>
      <w:r>
        <w:rPr>
          <w:rFonts w:hint="eastAsia" w:ascii="宋体" w:hAnsi="宋体" w:eastAsia="宋体" w:cs="宋体"/>
        </w:rPr>
        <w:t>伐株数10倍的树木，处所砍伐树</w:t>
      </w:r>
      <w:r>
        <w:rPr>
          <w:rFonts w:hint="eastAsia"/>
        </w:rPr>
        <w:t>木</w:t>
      </w:r>
      <w:r>
        <w:rPr>
          <w:rFonts w:hint="eastAsia" w:ascii="宋体" w:hAnsi="宋体" w:eastAsia="宋体" w:cs="宋体"/>
        </w:rPr>
        <w:t>价值5至10倍的罚款</w:t>
      </w:r>
      <w:r>
        <w:rPr>
          <w:rFonts w:hint="eastAsia"/>
        </w:rPr>
        <w:t>。</w:t>
      </w:r>
    </w:p>
    <w:p w14:paraId="1CC90338">
      <w:pPr>
        <w:ind w:firstLine="422"/>
      </w:pPr>
      <w:r>
        <w:rPr>
          <w:rFonts w:hint="eastAsia"/>
          <w:b/>
        </w:rPr>
        <w:t>第七十一条</w:t>
      </w:r>
      <w:r>
        <w:rPr>
          <w:rFonts w:hint="eastAsia"/>
        </w:rPr>
        <w:t>　违反本条例第六十条规定，未经许可临时占用绿地的，责令限期改正、恢复原状，并可按照占用面积处取得该处土地使用权地价款</w:t>
      </w:r>
      <w:r>
        <w:rPr>
          <w:rFonts w:hint="eastAsia" w:ascii="宋体" w:hAnsi="宋体" w:eastAsia="宋体" w:cs="宋体"/>
        </w:rPr>
        <w:t>3至5倍的罚款。</w:t>
      </w:r>
      <w:r>
        <w:rPr>
          <w:rFonts w:hint="eastAsia"/>
        </w:rPr>
        <w:t>临时占用绿地期满后不按照规定恢复原状的，按照擅自改变绿地性质予以处理。</w:t>
      </w:r>
    </w:p>
    <w:p w14:paraId="794F286B">
      <w:pPr>
        <w:ind w:firstLine="422"/>
        <w:rPr>
          <w:rFonts w:hint="eastAsia" w:ascii="宋体" w:hAnsi="宋体" w:eastAsia="宋体" w:cs="宋体"/>
        </w:rPr>
      </w:pPr>
      <w:r>
        <w:rPr>
          <w:rFonts w:hint="eastAsia"/>
          <w:b/>
        </w:rPr>
        <w:t>第七十二条</w:t>
      </w:r>
      <w:r>
        <w:rPr>
          <w:rFonts w:hint="eastAsia"/>
        </w:rPr>
        <w:t>　违反本条例第六十一条规定，建设单位未按照规定将代征绿地交区、县绿化行政主管部门组织绿化的，责令限期交回，并处每日每平</w:t>
      </w:r>
      <w:r>
        <w:rPr>
          <w:rFonts w:hint="eastAsia" w:ascii="宋体" w:hAnsi="宋体" w:eastAsia="宋体" w:cs="宋体"/>
        </w:rPr>
        <w:t>方米0.5元的罚款。</w:t>
      </w:r>
    </w:p>
    <w:p w14:paraId="53757B51">
      <w:pPr>
        <w:ind w:firstLine="422"/>
      </w:pPr>
      <w:r>
        <w:rPr>
          <w:rFonts w:hint="eastAsia"/>
          <w:b/>
        </w:rPr>
        <w:t>第七十三条</w:t>
      </w:r>
      <w:r>
        <w:rPr>
          <w:rFonts w:hint="eastAsia"/>
        </w:rPr>
        <w:t>　本章规定的行政处罚由市或者区、县绿化行政主管部门实施。市人民政府决定由城市管理综合行政执法部门行使行政处罚权的，由城市管理综合行政执法部门实施。</w:t>
      </w:r>
    </w:p>
    <w:p w14:paraId="39DB6323">
      <w:pPr>
        <w:ind w:firstLine="422"/>
      </w:pPr>
      <w:r>
        <w:rPr>
          <w:rFonts w:hint="eastAsia"/>
          <w:b/>
        </w:rPr>
        <w:t>第七十四条</w:t>
      </w:r>
      <w:r>
        <w:rPr>
          <w:rFonts w:hint="eastAsia"/>
        </w:rPr>
        <w:t>　违反本条例规定，按照规划、建设、环境保护等法律、法规和规章的规定应当给予行政处罚的，由各有关部门依法给予处罚。</w:t>
      </w:r>
    </w:p>
    <w:p w14:paraId="0B305599">
      <w:pPr>
        <w:ind w:firstLine="422"/>
      </w:pPr>
      <w:r>
        <w:rPr>
          <w:rFonts w:hint="eastAsia"/>
          <w:b/>
        </w:rPr>
        <w:t>第七十五条</w:t>
      </w:r>
      <w:r>
        <w:rPr>
          <w:rFonts w:hint="eastAsia"/>
        </w:rPr>
        <w:t>　各级绿化行政主管部门及其工作人员玩忽职守、滥用职权、徇私舞弊的，由所在单位或者上级主管部门给予行政处分；构成犯罪的，依法追究刑事责任。</w:t>
      </w:r>
    </w:p>
    <w:p w14:paraId="4FB262A9">
      <w:pPr>
        <w:ind w:firstLine="422"/>
      </w:pPr>
      <w:r>
        <w:rPr>
          <w:rFonts w:hint="eastAsia"/>
          <w:b/>
        </w:rPr>
        <w:t>第七十六条</w:t>
      </w:r>
      <w:r>
        <w:rPr>
          <w:rFonts w:hint="eastAsia"/>
        </w:rPr>
        <w:t>　违反本条例规定，造成树木、花草或者绿化设施损坏、灭失的，应当承担相应的民事责任；构成犯罪的，依法追究刑事责任。</w:t>
      </w:r>
    </w:p>
    <w:p w14:paraId="32AF6089">
      <w:pPr>
        <w:ind w:firstLine="422"/>
      </w:pPr>
      <w:r>
        <w:rPr>
          <w:rFonts w:hint="eastAsia"/>
          <w:b/>
        </w:rPr>
        <w:t>第七十七条</w:t>
      </w:r>
      <w:r>
        <w:rPr>
          <w:rFonts w:hint="eastAsia"/>
        </w:rPr>
        <w:t>　违反本条例规定，经责令改正，逾期不改正的，绿化行政主管部门可以委托有资质的专业单位代为履行，所需费用由违法行为人承担。</w:t>
      </w:r>
    </w:p>
    <w:p w14:paraId="0DAC5E5E"/>
    <w:p w14:paraId="401C2134">
      <w:pPr>
        <w:ind w:firstLine="0" w:firstLineChars="0"/>
        <w:jc w:val="center"/>
        <w:rPr>
          <w:b/>
          <w:sz w:val="28"/>
        </w:rPr>
      </w:pPr>
      <w:r>
        <w:rPr>
          <w:rFonts w:hint="eastAsia"/>
          <w:b/>
          <w:sz w:val="28"/>
        </w:rPr>
        <w:t>第七章　附　则</w:t>
      </w:r>
    </w:p>
    <w:p w14:paraId="1FF58CDF"/>
    <w:p w14:paraId="2A31E3C3">
      <w:pPr>
        <w:ind w:firstLine="422"/>
        <w:rPr>
          <w:rFonts w:hint="eastAsia" w:ascii="宋体" w:hAnsi="宋体" w:eastAsia="宋体" w:cs="宋体"/>
        </w:rPr>
      </w:pPr>
      <w:r>
        <w:rPr>
          <w:rFonts w:hint="eastAsia"/>
          <w:b/>
        </w:rPr>
        <w:t>第七十八条</w:t>
      </w:r>
      <w:r>
        <w:rPr>
          <w:rFonts w:hint="eastAsia"/>
        </w:rPr>
        <w:t>　</w:t>
      </w:r>
      <w:r>
        <w:rPr>
          <w:rFonts w:hint="eastAsia" w:ascii="宋体" w:hAnsi="宋体" w:eastAsia="宋体" w:cs="宋体"/>
        </w:rPr>
        <w:t>本条例自2010年3月1日起施行。1990年4月21日北京市第九届人民代表大会常务委员会第十九次会议审议通过、1997年4月16日北京市第十届人民代表大会常务委员会第三十六次会议修改的《北京市城市绿化条例》和1988年9月2日北京市第九届人民代表大会常务委员会第四次会议审议通过、1997年4月15日北京市第十届人民代表大会常务委员会第三十六次会议修改的《北京市郊区植树造林条例》同时废止。</w:t>
      </w:r>
    </w:p>
    <w:p w14:paraId="423D3CED">
      <w:pPr>
        <w:pStyle w:val="4"/>
        <w:pageBreakBefore/>
      </w:pPr>
      <w:bookmarkStart w:id="2746" w:name="_Toc428781940"/>
      <w:bookmarkStart w:id="2747" w:name="_Toc426467192"/>
      <w:bookmarkStart w:id="2748" w:name="_Toc428780872"/>
      <w:r>
        <w:rPr>
          <w:rFonts w:hint="eastAsia"/>
        </w:rPr>
        <w:t>北京市水污染防治条例</w:t>
      </w:r>
      <w:bookmarkEnd w:id="2746"/>
      <w:bookmarkEnd w:id="2747"/>
      <w:bookmarkEnd w:id="2748"/>
    </w:p>
    <w:p w14:paraId="5775BE2D">
      <w:pPr>
        <w:ind w:left="630" w:leftChars="300" w:right="630" w:rightChars="300"/>
        <w:rPr>
          <w:rFonts w:ascii="楷体" w:hAnsi="楷体" w:eastAsia="楷体"/>
        </w:rPr>
      </w:pPr>
      <w:r>
        <w:rPr>
          <w:rFonts w:hint="eastAsia" w:ascii="楷体" w:hAnsi="楷体" w:eastAsia="楷体"/>
        </w:rPr>
        <w:t>（2010年11月19日北京市第十三届人民代表大会常务委员会第二十一次会议通过）</w:t>
      </w:r>
    </w:p>
    <w:p w14:paraId="72FAB353"/>
    <w:p w14:paraId="5CD11C86">
      <w:pPr>
        <w:ind w:firstLine="0" w:firstLineChars="0"/>
        <w:jc w:val="center"/>
        <w:rPr>
          <w:b/>
          <w:sz w:val="28"/>
        </w:rPr>
      </w:pPr>
      <w:r>
        <w:rPr>
          <w:rFonts w:hint="eastAsia"/>
          <w:b/>
          <w:sz w:val="28"/>
        </w:rPr>
        <w:t>第一章　总　则</w:t>
      </w:r>
    </w:p>
    <w:p w14:paraId="15B94925"/>
    <w:p w14:paraId="2D859DBC">
      <w:pPr>
        <w:ind w:firstLine="422"/>
      </w:pPr>
      <w:r>
        <w:rPr>
          <w:rFonts w:hint="eastAsia"/>
          <w:b/>
        </w:rPr>
        <w:t>第一条</w:t>
      </w:r>
      <w:r>
        <w:rPr>
          <w:rFonts w:hint="eastAsia"/>
        </w:rPr>
        <w:t xml:space="preserve">  为了保护和改善本市水环境，保障饮用水安全，推进污水再生利用，促进经济社会全面协调可持续发展，根据《中华人民共和国水污染防治法》、《中华人民共和国水法》及国家其他有关法律、法规，结合本市实际情况，制定本条例。</w:t>
      </w:r>
    </w:p>
    <w:p w14:paraId="7671AADE">
      <w:pPr>
        <w:ind w:firstLine="422"/>
      </w:pPr>
      <w:r>
        <w:rPr>
          <w:rFonts w:hint="eastAsia"/>
          <w:b/>
        </w:rPr>
        <w:t>第二条</w:t>
      </w:r>
      <w:r>
        <w:rPr>
          <w:rFonts w:hint="eastAsia"/>
        </w:rPr>
        <w:t xml:space="preserve">  本条例适用于本市行政区域内地表水体和地下水体的污染防治，以及与水污染防治相关的水资源管理和再生水利用等相关活动。</w:t>
      </w:r>
    </w:p>
    <w:p w14:paraId="09E60829">
      <w:pPr>
        <w:ind w:firstLine="422"/>
      </w:pPr>
      <w:r>
        <w:rPr>
          <w:rFonts w:hint="eastAsia"/>
          <w:b/>
        </w:rPr>
        <w:t>第三条</w:t>
      </w:r>
      <w:r>
        <w:rPr>
          <w:rFonts w:hint="eastAsia"/>
        </w:rPr>
        <w:t xml:space="preserve">  水污染防治应当坚持预防为主、防治结合、综合治理的原则。</w:t>
      </w:r>
    </w:p>
    <w:p w14:paraId="063A1032">
      <w:r>
        <w:rPr>
          <w:rFonts w:hint="eastAsia"/>
        </w:rPr>
        <w:t>本市水污染防治坚持城乡统筹，实行流域管理，严格保护饮用水水源；坚持水污染防治与水资源开发利用相结合，推进污水资源化，提高水资源循环利用率；坚持污染物排放总量控制，在削减污染物的同时补充生态环境用水，逐步改善水环境质量，恢复和保护水体生态功能。</w:t>
      </w:r>
    </w:p>
    <w:p w14:paraId="2B0C5B42">
      <w:pPr>
        <w:ind w:firstLine="422"/>
      </w:pPr>
      <w:r>
        <w:rPr>
          <w:rFonts w:hint="eastAsia"/>
          <w:b/>
        </w:rPr>
        <w:t>第四条</w:t>
      </w:r>
      <w:r>
        <w:rPr>
          <w:rFonts w:hint="eastAsia"/>
        </w:rPr>
        <w:t xml:space="preserve">  市和区、县人民政府对本行政区域内的水环境质量负责，并将水环境保护工作纳入国民经济和社会发展规划、计划，建立与水环境保护工作相适应的资金投入和保障机制，采取有效的对策和措施，提高水环境质量。</w:t>
      </w:r>
    </w:p>
    <w:p w14:paraId="59CB5128">
      <w:r>
        <w:rPr>
          <w:rFonts w:hint="eastAsia"/>
        </w:rPr>
        <w:t>乡镇人民政府和街道办事处根据所在区、县人民政府的要求，开展本辖区内有关的水污染防治工作。</w:t>
      </w:r>
    </w:p>
    <w:p w14:paraId="28C5DE8E">
      <w:pPr>
        <w:ind w:firstLine="422"/>
      </w:pPr>
      <w:r>
        <w:rPr>
          <w:rFonts w:hint="eastAsia"/>
          <w:b/>
        </w:rPr>
        <w:t>第五条</w:t>
      </w:r>
      <w:r>
        <w:rPr>
          <w:rFonts w:hint="eastAsia"/>
        </w:rPr>
        <w:t xml:space="preserve">  市和区、县环境保护行政主管部门对本行政区域内的水污染防治实施统一监督管理。</w:t>
      </w:r>
    </w:p>
    <w:p w14:paraId="3B19D707">
      <w:r>
        <w:rPr>
          <w:rFonts w:hint="eastAsia"/>
        </w:rPr>
        <w:t>市和区、县水行政主管部门对本行政区域内的水资源保护和再生水利用进行管理，负责污水处理和河道综合整治等方面工作。</w:t>
      </w:r>
    </w:p>
    <w:p w14:paraId="32F9F3FE">
      <w:r>
        <w:rPr>
          <w:rFonts w:hint="eastAsia"/>
        </w:rPr>
        <w:t>发展和改革、规划、农业、市政市容、国土资源、卫生、住房和城乡建设、园林绿化、工商、旅游等行政主管部门按照各自的职责，依法做好有关水污染防治工作。</w:t>
      </w:r>
    </w:p>
    <w:p w14:paraId="18DE6E19">
      <w:r>
        <w:rPr>
          <w:rFonts w:hint="eastAsia"/>
        </w:rPr>
        <w:t>市和区、县环境保护行政主管部门可以根据需要聘请监督员，协助开展水污染防治工作。</w:t>
      </w:r>
    </w:p>
    <w:p w14:paraId="43078EA7">
      <w:pPr>
        <w:ind w:firstLine="422"/>
      </w:pPr>
      <w:r>
        <w:rPr>
          <w:rFonts w:hint="eastAsia"/>
          <w:b/>
        </w:rPr>
        <w:t>第六条</w:t>
      </w:r>
      <w:r>
        <w:rPr>
          <w:rFonts w:hint="eastAsia"/>
        </w:rPr>
        <w:t xml:space="preserve">  本市实行水环境保护目标责任制和考核评价制度。</w:t>
      </w:r>
    </w:p>
    <w:p w14:paraId="0BBACEC4">
      <w:r>
        <w:rPr>
          <w:rFonts w:hint="eastAsia"/>
        </w:rPr>
        <w:t>市人民政府应当根据本市水环境保护目标制定考核评价指标，将考核指标的完成情况作为对市人民政府有关部门和区、县人民政府及其负责人考核评价的内容，定期公示考核结果。</w:t>
      </w:r>
    </w:p>
    <w:p w14:paraId="52B9E1C0">
      <w:pPr>
        <w:ind w:firstLine="422"/>
      </w:pPr>
      <w:r>
        <w:rPr>
          <w:rFonts w:hint="eastAsia"/>
          <w:b/>
        </w:rPr>
        <w:t>第七条</w:t>
      </w:r>
      <w:r>
        <w:rPr>
          <w:rFonts w:hint="eastAsia"/>
        </w:rPr>
        <w:t xml:space="preserve">  单位和个体工商户排放水污染物，不得超过国家和本市规定的水污染物排放标准及重点水污染物排放总量控制指标。</w:t>
      </w:r>
    </w:p>
    <w:p w14:paraId="5BB16353">
      <w:pPr>
        <w:ind w:firstLine="422"/>
      </w:pPr>
      <w:r>
        <w:rPr>
          <w:rFonts w:hint="eastAsia"/>
          <w:b/>
        </w:rPr>
        <w:t>第八条</w:t>
      </w:r>
      <w:r>
        <w:rPr>
          <w:rFonts w:hint="eastAsia"/>
        </w:rPr>
        <w:t xml:space="preserve">  市人民政府应当根据国家水环境质量标准、本市水环境质量目标及经济、技术条件，制定本市水污染物排放标准，严格控制水污染物排放，定期对标准进行评估并适时修订。</w:t>
      </w:r>
    </w:p>
    <w:p w14:paraId="3F441FCD">
      <w:pPr>
        <w:ind w:firstLine="422"/>
      </w:pPr>
      <w:r>
        <w:rPr>
          <w:rFonts w:hint="eastAsia"/>
          <w:b/>
        </w:rPr>
        <w:t>第九条</w:t>
      </w:r>
      <w:r>
        <w:rPr>
          <w:rFonts w:hint="eastAsia"/>
        </w:rPr>
        <w:t xml:space="preserve">  市和区、县人民政府应当针对本行政区域内水环境的特点和水污染防治的需求，采取措施，加强水污染物排放控制、再生水利用、水生态修复等方面的科学技术研究和示范推广，提高水环境保护的科学技术水平。</w:t>
      </w:r>
    </w:p>
    <w:p w14:paraId="3CB87F68">
      <w:pPr>
        <w:ind w:firstLine="422"/>
      </w:pPr>
      <w:r>
        <w:rPr>
          <w:rFonts w:hint="eastAsia"/>
          <w:b/>
        </w:rPr>
        <w:t>第十条</w:t>
      </w:r>
      <w:r>
        <w:rPr>
          <w:rFonts w:hint="eastAsia"/>
        </w:rPr>
        <w:t xml:space="preserve">  任何单位和个人都有义务保护水环境，并有权对污染损害水环境的行为进行检举。</w:t>
      </w:r>
    </w:p>
    <w:p w14:paraId="79B6B1F8">
      <w:r>
        <w:rPr>
          <w:rFonts w:hint="eastAsia"/>
        </w:rPr>
        <w:t>本市各级人民政府应当加强水环境保护的宣传教育，普及相关科学知识，提高公民的水环境保护意识，拓宽公众参与水环境保护的渠道，并对在水环境保护方面做出显著成绩的单位和个人给予表彰和奖励。</w:t>
      </w:r>
    </w:p>
    <w:p w14:paraId="0186AA44">
      <w:pPr>
        <w:spacing w:line="240" w:lineRule="exact"/>
        <w:rPr>
          <w:rFonts w:hint="eastAsia" w:ascii="宋体" w:hAnsi="宋体" w:eastAsia="宋体" w:cs="宋体"/>
        </w:rPr>
      </w:pPr>
    </w:p>
    <w:p w14:paraId="3A427663">
      <w:pPr>
        <w:ind w:firstLine="0" w:firstLineChars="0"/>
        <w:jc w:val="center"/>
        <w:rPr>
          <w:b/>
          <w:sz w:val="28"/>
        </w:rPr>
      </w:pPr>
      <w:r>
        <w:rPr>
          <w:rFonts w:hint="eastAsia" w:ascii="宋体" w:hAnsi="宋体" w:eastAsia="宋体" w:cs="宋体"/>
          <w:b/>
          <w:sz w:val="28"/>
        </w:rPr>
        <w:t>第二章　水污染防治规划</w:t>
      </w:r>
      <w:r>
        <w:rPr>
          <w:rFonts w:hint="eastAsia"/>
          <w:b/>
          <w:sz w:val="28"/>
        </w:rPr>
        <w:t>与监督管理</w:t>
      </w:r>
    </w:p>
    <w:p w14:paraId="50C6174F">
      <w:pPr>
        <w:spacing w:line="240" w:lineRule="exact"/>
      </w:pPr>
    </w:p>
    <w:p w14:paraId="0890B6D1">
      <w:pPr>
        <w:ind w:firstLine="422"/>
      </w:pPr>
      <w:r>
        <w:rPr>
          <w:rFonts w:hint="eastAsia"/>
          <w:b/>
        </w:rPr>
        <w:t>第十一条</w:t>
      </w:r>
      <w:r>
        <w:rPr>
          <w:rFonts w:hint="eastAsia"/>
        </w:rPr>
        <w:t xml:space="preserve">  市环境保护行政主管部门应当会同市水行政、国土资源等行政主管部门提出地表水和地下水环境功能区划方案，报市人民政府批准，并向社会公布。</w:t>
      </w:r>
    </w:p>
    <w:p w14:paraId="4B0FFA91">
      <w:pPr>
        <w:ind w:firstLine="422"/>
      </w:pPr>
      <w:r>
        <w:rPr>
          <w:rFonts w:hint="eastAsia"/>
          <w:b/>
        </w:rPr>
        <w:t>第十二条</w:t>
      </w:r>
      <w:r>
        <w:rPr>
          <w:rFonts w:hint="eastAsia"/>
        </w:rPr>
        <w:t xml:space="preserve">  市环境保护行政主管部门应当会同市发展和改革、水行政、农业、国土资源等行政主管部门，在环境保护和建设规划中制定水污染防治专项规划，经市规划行政主管部门组织审查后报市人民政府批准实施，并依法报国务院备案。</w:t>
      </w:r>
    </w:p>
    <w:p w14:paraId="291689F9">
      <w:r>
        <w:rPr>
          <w:rFonts w:hint="eastAsia"/>
        </w:rPr>
        <w:t>市水行政主管部门应当会同有关部门，根据水污染防治专项规划，结合水资源开发利用等专业规划，编制潮白河、北运河、永定河、大清河、蓟运河流域综合整治规划，并组织实施。</w:t>
      </w:r>
    </w:p>
    <w:p w14:paraId="7FF3D869">
      <w:r>
        <w:rPr>
          <w:rFonts w:hint="eastAsia"/>
        </w:rPr>
        <w:t>市水行政主管部门应当会同市环境保护、国土资源等行政主管部门，根据水污染防治专项规划，编制本市地下水保护规划，并组织实施。</w:t>
      </w:r>
    </w:p>
    <w:p w14:paraId="20C3424E">
      <w:r>
        <w:rPr>
          <w:rFonts w:hint="eastAsia"/>
        </w:rPr>
        <w:t>市农业行政主管部门应当会同有关部门，根据水污染防治专项规划，结合环境承载力和农产品保障的要求，编制农业水污染防治规划，确定畜禽、水产养殖及农业种植的规模、结构和布局等内容，并组织实施。</w:t>
      </w:r>
    </w:p>
    <w:p w14:paraId="6286961D">
      <w:pPr>
        <w:ind w:firstLine="422"/>
      </w:pPr>
      <w:r>
        <w:rPr>
          <w:rFonts w:hint="eastAsia"/>
          <w:b/>
        </w:rPr>
        <w:t>第十三条</w:t>
      </w:r>
      <w:r>
        <w:rPr>
          <w:rFonts w:hint="eastAsia"/>
        </w:rPr>
        <w:t xml:space="preserve">  市人民政府应当定期对水污染防治专项规划、流域综合整治规划、地下水保护规划、农业水污染防治规划及其执行情况进行评估，评估结果作为水环境保护目标考核依据。</w:t>
      </w:r>
    </w:p>
    <w:p w14:paraId="19057F62">
      <w:pPr>
        <w:ind w:firstLine="422"/>
      </w:pPr>
      <w:r>
        <w:rPr>
          <w:rFonts w:hint="eastAsia"/>
          <w:b/>
        </w:rPr>
        <w:t>第十四条</w:t>
      </w:r>
      <w:r>
        <w:rPr>
          <w:rFonts w:hint="eastAsia"/>
        </w:rPr>
        <w:t>　本市对重点水污染物排放实行总量控制制度。</w:t>
      </w:r>
    </w:p>
    <w:p w14:paraId="1B8C6B9B">
      <w:r>
        <w:rPr>
          <w:rFonts w:hint="eastAsia"/>
        </w:rPr>
        <w:t>市环境保护行政主管部门应当会同发展和改革、水行政、农业等行政主管部门，根据本市水污染防治专项规划和水污染防治状况，制定全市及各流域的重点水污染物排放总量控制指标、分解方案和削减计划，报市人民政府批准后实施。</w:t>
      </w:r>
    </w:p>
    <w:p w14:paraId="027A7D7F">
      <w:r>
        <w:rPr>
          <w:rFonts w:hint="eastAsia"/>
        </w:rPr>
        <w:t>市人民政府有关部门和区、县人民政府应当根据分解的总量控制指标及削减计划，制定年度总量控制实施方案，将总量控制指标和削减计划落实到排污单位和污水处理设施的运营单位，并报送市环境保护和水行政主管部门备案。</w:t>
      </w:r>
    </w:p>
    <w:p w14:paraId="4C672667">
      <w:r>
        <w:rPr>
          <w:rFonts w:hint="eastAsia"/>
        </w:rPr>
        <w:t>市人民政府可以根据流域水环境质量的状况，增加流域实施总量控制的重点水污染物种类。</w:t>
      </w:r>
    </w:p>
    <w:p w14:paraId="6EB17113">
      <w:pPr>
        <w:ind w:firstLine="422"/>
      </w:pPr>
      <w:r>
        <w:rPr>
          <w:rFonts w:hint="eastAsia"/>
          <w:b/>
        </w:rPr>
        <w:t>第十五条</w:t>
      </w:r>
      <w:r>
        <w:rPr>
          <w:rFonts w:hint="eastAsia"/>
        </w:rPr>
        <w:t>　本市逐步建立流域水环境资源区域补偿机制。</w:t>
      </w:r>
    </w:p>
    <w:p w14:paraId="35359409">
      <w:r>
        <w:rPr>
          <w:rFonts w:hint="eastAsia"/>
        </w:rPr>
        <w:t>对超额完成重点水污染物排放总量控制指标和水环境质量考核指标的市人民政府有关部门和区、县人民政府，市人民政府应当给予奖励。</w:t>
      </w:r>
    </w:p>
    <w:p w14:paraId="2F70F705">
      <w:r>
        <w:rPr>
          <w:rFonts w:hint="eastAsia"/>
        </w:rPr>
        <w:t>对完成重点水污染物排放总量控制指标和削减计划做出突出贡献的单位，市人民政府有关部门或者区、县人民政府应当给予奖励。</w:t>
      </w:r>
    </w:p>
    <w:p w14:paraId="29243480">
      <w:r>
        <w:rPr>
          <w:rFonts w:hint="eastAsia"/>
        </w:rPr>
        <w:t>补偿和奖励的具体办法由市人民政府制定。</w:t>
      </w:r>
    </w:p>
    <w:p w14:paraId="3BAE286D">
      <w:pPr>
        <w:ind w:firstLine="422"/>
      </w:pPr>
      <w:r>
        <w:rPr>
          <w:rFonts w:hint="eastAsia"/>
          <w:b/>
        </w:rPr>
        <w:t>第十六条</w:t>
      </w:r>
      <w:r>
        <w:rPr>
          <w:rFonts w:hint="eastAsia"/>
        </w:rPr>
        <w:t>　对未完成区域重点水污染物排放总量控制指标或者水环境质量考核指标的区、县，环境保护行政主管部门应当暂停审批该区、县行政区域内新增水污染物排放总量的建设项目的环境影响评价文件，发展和改革、规划等项目审批部门不得批准其建设，建设单位不得开工建设。</w:t>
      </w:r>
    </w:p>
    <w:p w14:paraId="28633B1D">
      <w:r>
        <w:rPr>
          <w:rFonts w:hint="eastAsia"/>
        </w:rPr>
        <w:t>对未完成流域重点水污染物排放总量控制指标的区、县，环境保护行政主管部门应当暂停审批该区、县未达标流域内新增水污染物排放总量的建设项目的环境影响评价文件，发展和改革、规划等项目审批部门不得批准其建设，建设单位不得开工建设。</w:t>
      </w:r>
    </w:p>
    <w:p w14:paraId="18BC8012">
      <w:pPr>
        <w:ind w:firstLine="422"/>
      </w:pPr>
      <w:r>
        <w:rPr>
          <w:rFonts w:hint="eastAsia"/>
          <w:b/>
        </w:rPr>
        <w:t>第十七条</w:t>
      </w:r>
      <w:r>
        <w:rPr>
          <w:rFonts w:hint="eastAsia"/>
        </w:rPr>
        <w:t>　市环境保护行政主管部门会同市水行政主管部门确定本市各流域重点排污单位名录。</w:t>
      </w:r>
    </w:p>
    <w:p w14:paraId="3391955D">
      <w:r>
        <w:rPr>
          <w:rFonts w:hint="eastAsia"/>
        </w:rPr>
        <w:t>重点排污单位应当安装水污染物排放自动监测设备，与环境保护、水行政主管部门的监控设备联网，并保证监测设备正常运行。</w:t>
      </w:r>
    </w:p>
    <w:p w14:paraId="143B992B">
      <w:r>
        <w:rPr>
          <w:rFonts w:hint="eastAsia"/>
        </w:rPr>
        <w:t>城镇污水集中处理设施的运营单位对其出水，排放工业废水的企业对其所排放的废水，应当进行监测，并保存原始监测记录。</w:t>
      </w:r>
    </w:p>
    <w:p w14:paraId="0CA37FB3">
      <w:pPr>
        <w:ind w:firstLine="422"/>
      </w:pPr>
      <w:r>
        <w:rPr>
          <w:rFonts w:hint="eastAsia"/>
          <w:b/>
        </w:rPr>
        <w:t>第十八条</w:t>
      </w:r>
      <w:r>
        <w:rPr>
          <w:rFonts w:hint="eastAsia"/>
        </w:rPr>
        <w:t>　本市按照国家和本市有关规定实行排污申报登记、排污许可和排污收费制度。</w:t>
      </w:r>
    </w:p>
    <w:p w14:paraId="5A63650A">
      <w:pPr>
        <w:ind w:firstLine="422"/>
      </w:pPr>
      <w:r>
        <w:rPr>
          <w:rFonts w:hint="eastAsia"/>
          <w:b/>
        </w:rPr>
        <w:t>第十九条</w:t>
      </w:r>
      <w:r>
        <w:rPr>
          <w:rFonts w:hint="eastAsia"/>
        </w:rPr>
        <w:t>　直接向水体排放水污染物的企业事业单位和个体工商户，应当按照有关规定设置、规范排污口，设立标志，并将排污口地理坐标等信息报告区、县环境保护行政主管部门。</w:t>
      </w:r>
    </w:p>
    <w:p w14:paraId="0247AF86">
      <w:r>
        <w:rPr>
          <w:rFonts w:hint="eastAsia"/>
        </w:rPr>
        <w:t>在河流、湖泊、水库、渠道设置排污口的，还应当遵守水行政主管部门的规定。</w:t>
      </w:r>
    </w:p>
    <w:p w14:paraId="4171FC4C">
      <w:pPr>
        <w:ind w:firstLine="422"/>
      </w:pPr>
      <w:r>
        <w:rPr>
          <w:rFonts w:hint="eastAsia"/>
          <w:b/>
        </w:rPr>
        <w:t>第二十条</w:t>
      </w:r>
      <w:r>
        <w:rPr>
          <w:rFonts w:hint="eastAsia"/>
        </w:rPr>
        <w:t>　本市应当统筹规划、建设、完善污染源、水环境质量、水量和水位监测网络，并逐步实现环境保护、水行政、国土资源、卫生等有关行政主管部门之间监测数据的共享。</w:t>
      </w:r>
    </w:p>
    <w:p w14:paraId="68461F3B">
      <w:pPr>
        <w:ind w:firstLine="422"/>
      </w:pPr>
      <w:r>
        <w:rPr>
          <w:rFonts w:hint="eastAsia"/>
          <w:b/>
        </w:rPr>
        <w:t>第二十一条</w:t>
      </w:r>
      <w:r>
        <w:rPr>
          <w:rFonts w:hint="eastAsia"/>
        </w:rPr>
        <w:t>　本市实行水环境质量公报制度。</w:t>
      </w:r>
    </w:p>
    <w:p w14:paraId="0AA17C06">
      <w:r>
        <w:rPr>
          <w:rFonts w:hint="eastAsia"/>
        </w:rPr>
        <w:t>水环境质量信息由市环境保护行政主管部门统一发布。</w:t>
      </w:r>
    </w:p>
    <w:p w14:paraId="084AEA8A">
      <w:pPr>
        <w:ind w:firstLine="422"/>
      </w:pPr>
      <w:r>
        <w:rPr>
          <w:rFonts w:hint="eastAsia"/>
          <w:b/>
        </w:rPr>
        <w:t>第二十二条</w:t>
      </w:r>
      <w:r>
        <w:rPr>
          <w:rFonts w:hint="eastAsia"/>
        </w:rPr>
        <w:t>　建设或者运行水环境监测设施需要相关机关、团体、企业事业单位或者其他组织提供便利条件的，相关机关、团体、企业事业单位或者其他组织应当予以配合。</w:t>
      </w:r>
    </w:p>
    <w:p w14:paraId="05355F74">
      <w:r>
        <w:rPr>
          <w:rFonts w:hint="eastAsia"/>
        </w:rPr>
        <w:t>任何单位或者个人不得破坏、损毁或者擅自改动水环境监测设施。</w:t>
      </w:r>
    </w:p>
    <w:p w14:paraId="2C5FB089">
      <w:pPr>
        <w:ind w:firstLine="422"/>
      </w:pPr>
      <w:r>
        <w:rPr>
          <w:rFonts w:hint="eastAsia"/>
          <w:b/>
        </w:rPr>
        <w:t>第二十三条</w:t>
      </w:r>
      <w:r>
        <w:rPr>
          <w:rFonts w:hint="eastAsia"/>
        </w:rPr>
        <w:t>　市人民政府及有关部门应当将排污单位违反水污染防治法律法规的行为纳入本市企业信用信息系统，对严重污染水环境的企业通过媒体予以公布。</w:t>
      </w:r>
    </w:p>
    <w:p w14:paraId="0B963CDE">
      <w:pPr>
        <w:ind w:firstLine="422"/>
      </w:pPr>
      <w:r>
        <w:rPr>
          <w:rFonts w:hint="eastAsia"/>
          <w:b/>
        </w:rPr>
        <w:t>第二十四条</w:t>
      </w:r>
      <w:r>
        <w:rPr>
          <w:rFonts w:hint="eastAsia"/>
        </w:rPr>
        <w:t>　市和区、县环境保护、水行政等部门应当公布本部门受理对污染损害水环境行为举报的联系方式。对属于本部门职责范围的举报事项，应当及时处理；对不属于本部门职责范围的，应当及时转交有权处理的部门，并告知举报人。对举报属实的，应当对举报人给予奖励。</w:t>
      </w:r>
    </w:p>
    <w:p w14:paraId="17BB5E5B">
      <w:pPr>
        <w:spacing w:line="300" w:lineRule="exact"/>
      </w:pPr>
    </w:p>
    <w:p w14:paraId="6FD3AF08">
      <w:pPr>
        <w:spacing w:line="300" w:lineRule="exact"/>
        <w:ind w:firstLine="0" w:firstLineChars="0"/>
        <w:jc w:val="center"/>
        <w:rPr>
          <w:b/>
          <w:sz w:val="28"/>
        </w:rPr>
      </w:pPr>
      <w:r>
        <w:rPr>
          <w:rFonts w:hint="eastAsia"/>
          <w:b/>
          <w:sz w:val="28"/>
        </w:rPr>
        <w:t>第三章　水污染防治措施</w:t>
      </w:r>
    </w:p>
    <w:p w14:paraId="36F99AF5">
      <w:pPr>
        <w:spacing w:line="300" w:lineRule="exact"/>
        <w:ind w:firstLine="0" w:firstLineChars="0"/>
        <w:jc w:val="center"/>
        <w:rPr>
          <w:b/>
          <w:sz w:val="28"/>
        </w:rPr>
      </w:pPr>
    </w:p>
    <w:p w14:paraId="096C0C8D">
      <w:pPr>
        <w:spacing w:line="300" w:lineRule="exact"/>
        <w:ind w:firstLine="0" w:firstLineChars="0"/>
        <w:jc w:val="center"/>
        <w:rPr>
          <w:sz w:val="28"/>
        </w:rPr>
      </w:pPr>
      <w:r>
        <w:rPr>
          <w:rFonts w:hint="eastAsia"/>
          <w:sz w:val="28"/>
        </w:rPr>
        <w:t>第一节　一般规定</w:t>
      </w:r>
    </w:p>
    <w:p w14:paraId="113A317D">
      <w:pPr>
        <w:spacing w:line="300" w:lineRule="exact"/>
        <w:ind w:firstLine="0" w:firstLineChars="0"/>
        <w:jc w:val="center"/>
        <w:rPr>
          <w:sz w:val="28"/>
        </w:rPr>
      </w:pPr>
    </w:p>
    <w:p w14:paraId="16EBD182">
      <w:pPr>
        <w:ind w:firstLine="422"/>
      </w:pPr>
      <w:r>
        <w:rPr>
          <w:rFonts w:hint="eastAsia"/>
          <w:b/>
        </w:rPr>
        <w:t>第二十五条</w:t>
      </w:r>
      <w:r>
        <w:rPr>
          <w:rFonts w:hint="eastAsia"/>
        </w:rPr>
        <w:t>　在水环境质量达标之前，市人民政府可以根据本市水资源特点和水环境容量状况，采取更加严格的水污染防治措施。</w:t>
      </w:r>
    </w:p>
    <w:p w14:paraId="01F536BB">
      <w:pPr>
        <w:ind w:firstLine="422"/>
      </w:pPr>
      <w:r>
        <w:rPr>
          <w:rFonts w:hint="eastAsia"/>
          <w:b/>
        </w:rPr>
        <w:t>第二十六条</w:t>
      </w:r>
      <w:r>
        <w:rPr>
          <w:rFonts w:hint="eastAsia"/>
        </w:rPr>
        <w:t>　本市禁止下列行为：</w:t>
      </w:r>
    </w:p>
    <w:p w14:paraId="380B761C">
      <w:bookmarkStart w:id="2749" w:name="_Toc428780873"/>
      <w:r>
        <w:rPr>
          <w:rFonts w:hint="eastAsia"/>
        </w:rPr>
        <w:t>（一）向水体排放油类、酸液、碱液或者剧毒废液；</w:t>
      </w:r>
      <w:bookmarkEnd w:id="2749"/>
    </w:p>
    <w:p w14:paraId="7A01D2E6">
      <w:r>
        <w:rPr>
          <w:rFonts w:hint="eastAsia"/>
        </w:rPr>
        <w:t>（二）在水体清洗装贮过油类或者有毒污染物的车辆和容器；</w:t>
      </w:r>
    </w:p>
    <w:p w14:paraId="2B4148A7">
      <w:bookmarkStart w:id="2750" w:name="_Toc428780874"/>
      <w:r>
        <w:rPr>
          <w:rFonts w:hint="eastAsia"/>
        </w:rPr>
        <w:t>（三）向水体排放、倾倒工业废渣、垃圾和其他废弃物；</w:t>
      </w:r>
      <w:bookmarkEnd w:id="2750"/>
    </w:p>
    <w:p w14:paraId="445DCC0B">
      <w:r>
        <w:rPr>
          <w:rFonts w:hint="eastAsia"/>
        </w:rPr>
        <w:t>（四）在河流、湖泊、渠道、水库最高水位线以下的滩地和岸坡堆放、存贮固体废弃物和其他污染物；</w:t>
      </w:r>
    </w:p>
    <w:p w14:paraId="1A554266">
      <w:bookmarkStart w:id="2751" w:name="_Toc428780875"/>
      <w:r>
        <w:rPr>
          <w:rFonts w:hint="eastAsia"/>
        </w:rPr>
        <w:t>（五）利用渗坑、渗井、裂隙、溶洞排放、倾倒污水和其他废弃物；</w:t>
      </w:r>
      <w:bookmarkEnd w:id="2751"/>
    </w:p>
    <w:p w14:paraId="3E006C1E">
      <w:r>
        <w:rPr>
          <w:rFonts w:hint="eastAsia"/>
        </w:rPr>
        <w:t>（六）在砂石坑、窑坑、滩地等低洼地排放污水，倾倒、存贮垃圾、粪便及其他污染物，或者以漫流方式排放、倾倒污水；</w:t>
      </w:r>
    </w:p>
    <w:p w14:paraId="63A63C29">
      <w:r>
        <w:rPr>
          <w:rFonts w:hint="eastAsia"/>
        </w:rPr>
        <w:t>（七）利用无防渗漏措施的沟渠、坑塘等输送或者存贮含有毒污染物的废水、含病原体的污水和其他废弃物；</w:t>
      </w:r>
    </w:p>
    <w:p w14:paraId="08249D50">
      <w:r>
        <w:rPr>
          <w:rFonts w:hint="eastAsia"/>
        </w:rPr>
        <w:t>（八）生产和销售含磷洗涤用品。</w:t>
      </w:r>
    </w:p>
    <w:p w14:paraId="7BBACDE6">
      <w:pPr>
        <w:ind w:firstLine="422"/>
      </w:pPr>
      <w:r>
        <w:rPr>
          <w:rFonts w:hint="eastAsia"/>
          <w:b/>
        </w:rPr>
        <w:t>第二十七条</w:t>
      </w:r>
      <w:r>
        <w:rPr>
          <w:rFonts w:hint="eastAsia"/>
        </w:rPr>
        <w:t>　本市严格控制有毒污染物的排放。</w:t>
      </w:r>
    </w:p>
    <w:p w14:paraId="1CE177C0">
      <w:r>
        <w:rPr>
          <w:rFonts w:hint="eastAsia"/>
        </w:rPr>
        <w:t>有毒污染物的名录由市环境保护行政主管部门会同有关部门根据水污染物的毒性、持久性、对人体健康和生物影响的性质和程度等因素确定，并向社会公布。</w:t>
      </w:r>
    </w:p>
    <w:p w14:paraId="56F8485F">
      <w:pPr>
        <w:ind w:firstLine="422"/>
      </w:pPr>
      <w:r>
        <w:rPr>
          <w:rFonts w:hint="eastAsia"/>
          <w:b/>
        </w:rPr>
        <w:t>第二十八条</w:t>
      </w:r>
      <w:r>
        <w:rPr>
          <w:rFonts w:hint="eastAsia"/>
        </w:rPr>
        <w:t>　禁止向水体排放、倾倒放射性固体废物或者含高放射性和中放射性物质的废水。</w:t>
      </w:r>
    </w:p>
    <w:p w14:paraId="22290AE6">
      <w:r>
        <w:rPr>
          <w:rFonts w:hint="eastAsia"/>
        </w:rPr>
        <w:t>向水体排放含低放射性物质废水的，应当符合有关放射性污染防治的规定和标准。</w:t>
      </w:r>
    </w:p>
    <w:p w14:paraId="3918BBCC">
      <w:pPr>
        <w:ind w:firstLine="422"/>
      </w:pPr>
      <w:r>
        <w:rPr>
          <w:rFonts w:hint="eastAsia"/>
          <w:b/>
        </w:rPr>
        <w:t>第二十九条</w:t>
      </w:r>
      <w:r>
        <w:rPr>
          <w:rFonts w:hint="eastAsia"/>
        </w:rPr>
        <w:t>　学校、科研院所、医疗机构、企业等单位的实验室、检验室、化验室产生的废液应当按照国家和本市关于危险废物的有关规定单独收集，进行安全处置，禁止排入排水管道或者直接排入水体。</w:t>
      </w:r>
    </w:p>
    <w:p w14:paraId="745F1DF9">
      <w:r>
        <w:rPr>
          <w:rFonts w:hint="eastAsia"/>
        </w:rPr>
        <w:t>市和区、县环境保护行政主管部门应当按照有关规定加强对实验室、检验室、化验室废液处理的监督管理，为有关单位依法处理废液提供指导。</w:t>
      </w:r>
    </w:p>
    <w:p w14:paraId="10980372"/>
    <w:p w14:paraId="67FD481A">
      <w:pPr>
        <w:ind w:firstLine="0" w:firstLineChars="0"/>
        <w:jc w:val="center"/>
        <w:rPr>
          <w:sz w:val="28"/>
        </w:rPr>
      </w:pPr>
      <w:r>
        <w:rPr>
          <w:rFonts w:hint="eastAsia"/>
          <w:sz w:val="28"/>
        </w:rPr>
        <w:t>第二节　工业水污染防治</w:t>
      </w:r>
    </w:p>
    <w:p w14:paraId="41F7EDC3"/>
    <w:p w14:paraId="1A736B8C">
      <w:pPr>
        <w:ind w:firstLine="422"/>
      </w:pPr>
      <w:r>
        <w:rPr>
          <w:rFonts w:hint="eastAsia"/>
          <w:b/>
        </w:rPr>
        <w:t>第三十条</w:t>
      </w:r>
      <w:r>
        <w:rPr>
          <w:rFonts w:hint="eastAsia"/>
        </w:rPr>
        <w:t>　本市鼓励工业企业进行技术改造，推行清洁生产，采用先进的废水处理技术，减少水污染物排放量。</w:t>
      </w:r>
    </w:p>
    <w:p w14:paraId="4846B8AA">
      <w:pPr>
        <w:ind w:firstLine="422"/>
      </w:pPr>
      <w:r>
        <w:rPr>
          <w:rFonts w:hint="eastAsia"/>
          <w:b/>
        </w:rPr>
        <w:t>第三十一条</w:t>
      </w:r>
      <w:r>
        <w:rPr>
          <w:rFonts w:hint="eastAsia"/>
        </w:rPr>
        <w:t>　本市按照国家有关循环经济和清洁生产的要求推动工业园区建设，通过合理规划工业布局，引导工业企业入驻工业园区。</w:t>
      </w:r>
    </w:p>
    <w:p w14:paraId="738D5C1D">
      <w:pPr>
        <w:ind w:firstLine="422"/>
      </w:pPr>
      <w:r>
        <w:rPr>
          <w:rFonts w:hint="eastAsia"/>
          <w:b/>
        </w:rPr>
        <w:t>第三十二条</w:t>
      </w:r>
      <w:r>
        <w:rPr>
          <w:rFonts w:hint="eastAsia"/>
        </w:rPr>
        <w:t>　建设工业园区，应当配套建设废水集中处理设施。</w:t>
      </w:r>
    </w:p>
    <w:p w14:paraId="44414C09">
      <w:r>
        <w:rPr>
          <w:rFonts w:hint="eastAsia"/>
        </w:rPr>
        <w:t>工业园区未建设废水集中处理设施或者集中处理设施废水排放不达标的，环境保护行政主管部门应当暂停审批该工业园区新增水污染物排放总量的建设项目的环境影响评价文件，发展和改革、规划等项目审批部门不得批准其建设，建设单位不得开工建设。</w:t>
      </w:r>
    </w:p>
    <w:p w14:paraId="55528F07">
      <w:pPr>
        <w:ind w:firstLine="422"/>
      </w:pPr>
      <w:r>
        <w:rPr>
          <w:rFonts w:hint="eastAsia"/>
          <w:b/>
        </w:rPr>
        <w:t>第三十三条</w:t>
      </w:r>
      <w:r>
        <w:rPr>
          <w:rFonts w:hint="eastAsia"/>
        </w:rPr>
        <w:t>　本市应当采取措施，对高污染、高耗水行业加以限制。禁止新建、扩建制浆、制革、电镀、印染、有色冶炼、氯碱、农药合成、炼焦等对水体有严重污染的项目。对现有排放含重金属废水的小型生产企业限期关停。</w:t>
      </w:r>
    </w:p>
    <w:p w14:paraId="68EBE66F">
      <w:r>
        <w:rPr>
          <w:rFonts w:hint="eastAsia"/>
        </w:rPr>
        <w:t>市经济和信息化行政主管部门应当会同市环境保护、水行政、发展和改革及其他相关行政主管部门，根据本市水污染防治工作的需要，制定鼓励、限制、禁止的行业和产品名录，报市人民政府批准后公布实施。</w:t>
      </w:r>
    </w:p>
    <w:p w14:paraId="7D9964F5">
      <w:pPr>
        <w:ind w:firstLine="422"/>
      </w:pPr>
      <w:r>
        <w:rPr>
          <w:rFonts w:hint="eastAsia"/>
          <w:b/>
        </w:rPr>
        <w:t>第三十四条</w:t>
      </w:r>
      <w:r>
        <w:rPr>
          <w:rFonts w:hint="eastAsia"/>
        </w:rPr>
        <w:t>　向公共污水处理设施排放工业废水的企业事业单位，应当在排污口建设取样井，并为水行政、环境保护行政主管部门和受纳废水的污水集中处理设施的运营单位提供取样、监测流量的便利条件。</w:t>
      </w:r>
    </w:p>
    <w:p w14:paraId="54B7CD76">
      <w:r>
        <w:rPr>
          <w:rFonts w:hint="eastAsia"/>
        </w:rPr>
        <w:t>污水集中处理设施的运营单位有权对汇水范围内排污单位的排水进行取样检测，发现排水水质超过排放标准的，应当及时告知排污单位，并报告水行政主管部门。</w:t>
      </w:r>
    </w:p>
    <w:p w14:paraId="20DA4541"/>
    <w:p w14:paraId="66CEC52D">
      <w:pPr>
        <w:ind w:firstLine="0" w:firstLineChars="0"/>
        <w:jc w:val="center"/>
        <w:rPr>
          <w:sz w:val="28"/>
        </w:rPr>
      </w:pPr>
      <w:r>
        <w:rPr>
          <w:rFonts w:hint="eastAsia"/>
          <w:sz w:val="28"/>
        </w:rPr>
        <w:t>第三节　城镇水污染防治</w:t>
      </w:r>
    </w:p>
    <w:p w14:paraId="3ECD3FDC"/>
    <w:p w14:paraId="58DBB75B">
      <w:pPr>
        <w:ind w:firstLine="422"/>
      </w:pPr>
      <w:r>
        <w:rPr>
          <w:rFonts w:hint="eastAsia"/>
          <w:b/>
        </w:rPr>
        <w:t>第三十五条</w:t>
      </w:r>
      <w:r>
        <w:rPr>
          <w:rFonts w:hint="eastAsia"/>
        </w:rPr>
        <w:t>　城镇污水应当集中处理。</w:t>
      </w:r>
    </w:p>
    <w:p w14:paraId="15EE904B">
      <w:r>
        <w:rPr>
          <w:rFonts w:hint="eastAsia"/>
        </w:rPr>
        <w:t>本市各级人民政府通过政府投资或者其他方式筹集资金，统筹安排建设污水集中处理设施及配套污水管网，提高城镇污水的收集率和处理率。</w:t>
      </w:r>
    </w:p>
    <w:p w14:paraId="3086D94F">
      <w:pPr>
        <w:ind w:firstLine="422"/>
      </w:pPr>
      <w:r>
        <w:rPr>
          <w:rFonts w:hint="eastAsia"/>
          <w:b/>
        </w:rPr>
        <w:t>第三十六条</w:t>
      </w:r>
      <w:r>
        <w:rPr>
          <w:rFonts w:hint="eastAsia"/>
        </w:rPr>
        <w:t>　城镇污水集中处理设施的运营单位按照国家有关规定提供污水处理的有偿服务。</w:t>
      </w:r>
    </w:p>
    <w:p w14:paraId="0261C192">
      <w:r>
        <w:rPr>
          <w:rFonts w:hint="eastAsia"/>
        </w:rPr>
        <w:t>城镇用水单位和个人应当按照国家有关规定缴纳污水处理费。污水处理费应当用于污水管网和城镇污水集中处理设施的养护、运行、保护和建设，不得挪作他用。</w:t>
      </w:r>
    </w:p>
    <w:p w14:paraId="1D882876">
      <w:r>
        <w:rPr>
          <w:rFonts w:hint="eastAsia"/>
        </w:rPr>
        <w:t>乡镇污水集中处理设施的运营单位取得的污水处理费不能满足污水处理设施正常运行的，不足部分由区、县人民政府统筹安排。</w:t>
      </w:r>
    </w:p>
    <w:p w14:paraId="74844CFF">
      <w:pPr>
        <w:ind w:firstLine="422"/>
      </w:pPr>
      <w:r>
        <w:rPr>
          <w:rFonts w:hint="eastAsia"/>
          <w:b/>
        </w:rPr>
        <w:t>第三十七条</w:t>
      </w:r>
      <w:r>
        <w:rPr>
          <w:rFonts w:hint="eastAsia"/>
        </w:rPr>
        <w:t>　向公共污水处理设施排放水污染物，有下列情形之一的，应当在排入公共污水处理设施之前进行预处理，并达到规定的标准：</w:t>
      </w:r>
    </w:p>
    <w:p w14:paraId="2923C670">
      <w:r>
        <w:rPr>
          <w:rFonts w:hint="eastAsia"/>
        </w:rPr>
        <w:t>（一）含有毒污染物名录内污染物的污水；</w:t>
      </w:r>
    </w:p>
    <w:p w14:paraId="5748B910">
      <w:r>
        <w:rPr>
          <w:rFonts w:hint="eastAsia"/>
        </w:rPr>
        <w:t>（二）医疗卫生机构产生的含病原体的污水；</w:t>
      </w:r>
    </w:p>
    <w:p w14:paraId="372B1490">
      <w:r>
        <w:rPr>
          <w:rFonts w:hint="eastAsia"/>
        </w:rPr>
        <w:t>（三）含难以生物降解的有机污染物的废水。</w:t>
      </w:r>
    </w:p>
    <w:p w14:paraId="23ED8348">
      <w:pPr>
        <w:ind w:firstLine="422"/>
      </w:pPr>
      <w:r>
        <w:rPr>
          <w:rFonts w:hint="eastAsia"/>
          <w:b/>
        </w:rPr>
        <w:t>第三十八条</w:t>
      </w:r>
      <w:r>
        <w:rPr>
          <w:rFonts w:hint="eastAsia"/>
        </w:rPr>
        <w:t>　本市应当加强雨水的收集、处理和利用，采取措施，防止初期雨水造成污染。</w:t>
      </w:r>
    </w:p>
    <w:p w14:paraId="07EE9EA2">
      <w:r>
        <w:rPr>
          <w:rFonts w:hint="eastAsia"/>
        </w:rPr>
        <w:t>任何单位和个人不得向雨水收集口、雨水管道排放或者倾倒污水、污物和垃圾等废弃物。</w:t>
      </w:r>
    </w:p>
    <w:p w14:paraId="2700265D">
      <w:pPr>
        <w:ind w:firstLine="422"/>
      </w:pPr>
      <w:r>
        <w:rPr>
          <w:rFonts w:hint="eastAsia"/>
          <w:b/>
        </w:rPr>
        <w:t>第三十九条</w:t>
      </w:r>
      <w:r>
        <w:rPr>
          <w:rFonts w:hint="eastAsia"/>
        </w:rPr>
        <w:t>　对污水处理产生的污泥的处理处置，应当遵循源头削减和全过程控制原则，实现污泥的减量化、稳定化、无害化和资源化。</w:t>
      </w:r>
    </w:p>
    <w:p w14:paraId="0A174CD6">
      <w:r>
        <w:rPr>
          <w:rFonts w:hint="eastAsia"/>
        </w:rPr>
        <w:t>禁止采用倾倒、堆放、直接填埋的方式处置污泥。</w:t>
      </w:r>
    </w:p>
    <w:p w14:paraId="3B191CAD">
      <w:pPr>
        <w:ind w:firstLine="422"/>
      </w:pPr>
      <w:r>
        <w:rPr>
          <w:rFonts w:hint="eastAsia"/>
          <w:b/>
        </w:rPr>
        <w:t>第四十条</w:t>
      </w:r>
      <w:r>
        <w:rPr>
          <w:rFonts w:hint="eastAsia"/>
        </w:rPr>
        <w:t>　本市各级人民政府应当通过政府投资或者其他方式筹集资金，统筹安排建设污泥处理处置设施，将污泥处理处置规划纳入本市排水和再生水规划。</w:t>
      </w:r>
    </w:p>
    <w:p w14:paraId="3358E53B">
      <w:r>
        <w:rPr>
          <w:rFonts w:hint="eastAsia"/>
        </w:rPr>
        <w:t>市水行政主管部门应当会同有关部门建立污泥收集、运输、处理和处置的技术标准体系和运营监管体系，规范污泥的处理处置及综合利用。</w:t>
      </w:r>
    </w:p>
    <w:p w14:paraId="17C9C8D8">
      <w:pPr>
        <w:ind w:firstLine="422"/>
      </w:pPr>
      <w:r>
        <w:rPr>
          <w:rFonts w:hint="eastAsia"/>
          <w:b/>
        </w:rPr>
        <w:t>第四十一条</w:t>
      </w:r>
      <w:r>
        <w:rPr>
          <w:rFonts w:hint="eastAsia"/>
        </w:rPr>
        <w:t>　污水处理单位对所产生的污泥的贮存、运输、处理、处置全过程承担污染防治责任，并对处理处置后的污泥的去向、用途、用量等进行跟踪、记录，不得造成二次污染。污水处理单位将产生的污泥委托其他单位处置的，应当与被委托单位约定双方的污染防治责任。</w:t>
      </w:r>
    </w:p>
    <w:p w14:paraId="7AA1571C">
      <w:pPr>
        <w:ind w:firstLine="422"/>
      </w:pPr>
      <w:r>
        <w:rPr>
          <w:rFonts w:hint="eastAsia"/>
          <w:b/>
        </w:rPr>
        <w:t>第四十二条</w:t>
      </w:r>
      <w:r>
        <w:rPr>
          <w:rFonts w:hint="eastAsia"/>
        </w:rPr>
        <w:t>　新建、改建、扩建污水处理设施，应当按照规划确定配套的污泥处理工艺或者措施。现有污水处理设施不能达到污泥处理标准的，应当限期进行改造完善。</w:t>
      </w:r>
    </w:p>
    <w:p w14:paraId="3D1DE3EB">
      <w:pPr>
        <w:ind w:firstLine="422"/>
      </w:pPr>
      <w:r>
        <w:rPr>
          <w:rFonts w:hint="eastAsia"/>
          <w:b/>
        </w:rPr>
        <w:t>第四十三条</w:t>
      </w:r>
      <w:r>
        <w:rPr>
          <w:rFonts w:hint="eastAsia"/>
        </w:rPr>
        <w:t>　本市鼓励和支持通过资源综合利用方式，采用循环经济模式对污泥进行处置。</w:t>
      </w:r>
    </w:p>
    <w:p w14:paraId="4768C6A5">
      <w:r>
        <w:rPr>
          <w:rFonts w:hint="eastAsia"/>
        </w:rPr>
        <w:t>在农林、建材等生产领域利用经无害化处理的污泥的，享受国家和本市资源综合利用相关优惠政策。</w:t>
      </w:r>
    </w:p>
    <w:p w14:paraId="3232CD18">
      <w:r>
        <w:rPr>
          <w:rFonts w:hint="eastAsia"/>
        </w:rPr>
        <w:t>政府投资的沙荒地治理、园林绿化、土壤改良等项目实施政府采购的，应当优先采购符合国家和本市相关标准的污泥衍生产品。</w:t>
      </w:r>
    </w:p>
    <w:p w14:paraId="3C770B86"/>
    <w:p w14:paraId="2EBAB7DA">
      <w:pPr>
        <w:ind w:firstLine="0" w:firstLineChars="0"/>
        <w:jc w:val="center"/>
        <w:rPr>
          <w:sz w:val="28"/>
        </w:rPr>
      </w:pPr>
      <w:r>
        <w:rPr>
          <w:rFonts w:hint="eastAsia"/>
          <w:sz w:val="28"/>
        </w:rPr>
        <w:t>第四节　农村和农业水污染防治</w:t>
      </w:r>
    </w:p>
    <w:p w14:paraId="5E41D79E"/>
    <w:p w14:paraId="6D7EF0E6">
      <w:pPr>
        <w:ind w:firstLine="422"/>
      </w:pPr>
      <w:r>
        <w:rPr>
          <w:rFonts w:hint="eastAsia"/>
          <w:b/>
        </w:rPr>
        <w:t>第四十四条</w:t>
      </w:r>
      <w:r>
        <w:rPr>
          <w:rFonts w:hint="eastAsia"/>
        </w:rPr>
        <w:t>　本市应当根据水资源承载力和水污染防治的要求，优化农村产业结构和产业发展布局，发挥农业的生态功能。</w:t>
      </w:r>
    </w:p>
    <w:p w14:paraId="7C1BE28A">
      <w:pPr>
        <w:ind w:firstLine="422"/>
      </w:pPr>
      <w:r>
        <w:rPr>
          <w:rFonts w:hint="eastAsia"/>
          <w:b/>
        </w:rPr>
        <w:t>第四十五条</w:t>
      </w:r>
      <w:r>
        <w:rPr>
          <w:rFonts w:hint="eastAsia"/>
        </w:rPr>
        <w:t>　区、县和乡镇人民政府应当对未纳入城镇污水管网的村庄的生活污水进行治理，优先采用生态、低能耗、资源化的污水处理技术；对在饮用水源保护区、河道两侧等重点区域的村庄，应当建设集中污水处理设施，并保证建设及运转资金。</w:t>
      </w:r>
    </w:p>
    <w:p w14:paraId="2C2D483A">
      <w:pPr>
        <w:ind w:firstLine="422"/>
      </w:pPr>
      <w:r>
        <w:rPr>
          <w:rFonts w:hint="eastAsia"/>
          <w:b/>
        </w:rPr>
        <w:t>第四十六条</w:t>
      </w:r>
      <w:r>
        <w:rPr>
          <w:rFonts w:hint="eastAsia"/>
        </w:rPr>
        <w:t>　市和区、县农业行政主管部门应当对畜禽养殖、水产养殖及种植业水污染防治进行监督管理，对农业生产环境进行监测，加强农业水污染防治的业务指导。</w:t>
      </w:r>
    </w:p>
    <w:p w14:paraId="3692001E">
      <w:pPr>
        <w:ind w:firstLine="422"/>
      </w:pPr>
      <w:r>
        <w:rPr>
          <w:rFonts w:hint="eastAsia"/>
          <w:b/>
        </w:rPr>
        <w:t>第四十七条</w:t>
      </w:r>
      <w:r>
        <w:rPr>
          <w:rFonts w:hint="eastAsia"/>
        </w:rPr>
        <w:t>　本市鼓励畜禽养殖场、养殖小区采取生态养殖方式。建设规模化畜禽养殖场、养殖小区，应当符合本市农业水污染防治规划的要求，并配套建设集中式畜禽粪污综合利用设施或者无害化处理设施。规划禁养区内已有的畜禽养殖场、养殖小区项目，由所在地区、县人民政府限期拆除。</w:t>
      </w:r>
    </w:p>
    <w:p w14:paraId="33E2677D">
      <w:r>
        <w:rPr>
          <w:rFonts w:hint="eastAsia"/>
        </w:rPr>
        <w:t>规模化畜禽养殖企业应当采取防渗漏、防流失、防遗撒措施，防止畜禽养殖废水、粪污渗漏、溢流、散落对环境造成污染。</w:t>
      </w:r>
    </w:p>
    <w:p w14:paraId="25342B3B">
      <w:pPr>
        <w:ind w:firstLine="422"/>
      </w:pPr>
      <w:r>
        <w:rPr>
          <w:rFonts w:hint="eastAsia"/>
          <w:b/>
        </w:rPr>
        <w:t>第四十八条</w:t>
      </w:r>
      <w:r>
        <w:rPr>
          <w:rFonts w:hint="eastAsia"/>
        </w:rPr>
        <w:t>　市和区、县人民政府应当制定政策，鼓励、引导建设集中式畜禽粪污综合利用或者无害化处理设施，引入市场化机制进行运营。</w:t>
      </w:r>
    </w:p>
    <w:p w14:paraId="7CE1DAD5">
      <w:pPr>
        <w:ind w:firstLine="422"/>
      </w:pPr>
      <w:r>
        <w:rPr>
          <w:rFonts w:hint="eastAsia"/>
          <w:b/>
        </w:rPr>
        <w:t>第四十九条</w:t>
      </w:r>
      <w:r>
        <w:rPr>
          <w:rFonts w:hint="eastAsia"/>
        </w:rPr>
        <w:t>　水产养殖的排水直接排入地表水体的，应当达到受纳水体水环境功能区的要求。</w:t>
      </w:r>
    </w:p>
    <w:p w14:paraId="0EB1B7C4">
      <w:pPr>
        <w:ind w:firstLine="422"/>
      </w:pPr>
      <w:r>
        <w:rPr>
          <w:rFonts w:hint="eastAsia"/>
          <w:b/>
        </w:rPr>
        <w:t>第五十条</w:t>
      </w:r>
      <w:r>
        <w:rPr>
          <w:rFonts w:hint="eastAsia"/>
        </w:rPr>
        <w:t>　本市鼓励种植业通过推行测土配方施肥、病虫害生物防治等措施，提高肥料使用效率，合理使用有机肥和化肥，减少化学农药施用量，防止污染水环境。</w:t>
      </w:r>
    </w:p>
    <w:p w14:paraId="5FFB13B0">
      <w:pPr>
        <w:ind w:firstLine="0" w:firstLineChars="0"/>
      </w:pPr>
    </w:p>
    <w:p w14:paraId="0CC4A124">
      <w:pPr>
        <w:ind w:firstLine="0" w:firstLineChars="0"/>
        <w:jc w:val="center"/>
        <w:rPr>
          <w:b/>
          <w:sz w:val="28"/>
        </w:rPr>
      </w:pPr>
      <w:r>
        <w:rPr>
          <w:rFonts w:hint="eastAsia"/>
          <w:b/>
          <w:sz w:val="28"/>
        </w:rPr>
        <w:t>第五节　水污染事故处置</w:t>
      </w:r>
    </w:p>
    <w:p w14:paraId="4766B6A8"/>
    <w:p w14:paraId="2030BAE4">
      <w:pPr>
        <w:ind w:firstLine="422"/>
      </w:pPr>
      <w:r>
        <w:rPr>
          <w:rFonts w:hint="eastAsia"/>
          <w:b/>
        </w:rPr>
        <w:t>第五十一条</w:t>
      </w:r>
      <w:r>
        <w:rPr>
          <w:rFonts w:hint="eastAsia"/>
        </w:rPr>
        <w:t>　本市各级人民政府负责组织突发水污染事故的应急准备、应急处置和事后恢复等工作。</w:t>
      </w:r>
    </w:p>
    <w:p w14:paraId="29249CD3">
      <w:r>
        <w:rPr>
          <w:rFonts w:hint="eastAsia"/>
        </w:rPr>
        <w:t>造成水污染事故的单位和个人应当承担事故的处置和事后恢复责任，对受到损失的单位或者个人依法进行赔偿。</w:t>
      </w:r>
    </w:p>
    <w:p w14:paraId="49C366CF">
      <w:pPr>
        <w:ind w:firstLine="422"/>
      </w:pPr>
      <w:r>
        <w:rPr>
          <w:rFonts w:hint="eastAsia"/>
          <w:b/>
        </w:rPr>
        <w:t>第五十二条</w:t>
      </w:r>
      <w:r>
        <w:rPr>
          <w:rFonts w:hint="eastAsia"/>
        </w:rPr>
        <w:t>　可能发生水污染事故的企业事业单位，应当制定有关水污染事故的应急方案，建设事故状态下的水污染防治设施，储备相应的应急救援物资，做好应急准备，并定期进行演练。</w:t>
      </w:r>
    </w:p>
    <w:p w14:paraId="3F271A96">
      <w:r>
        <w:rPr>
          <w:rFonts w:hint="eastAsia"/>
        </w:rPr>
        <w:t>生产、使用、储存危险化学品的企业事业单位，应当在其储存场所建立防渗漏围堰，在厂区修建消防废水、废液的收集装置，采取措施防止在处理安全生产事故过程中产生的可能严重污染水体的消防废水、废液排入水体。</w:t>
      </w:r>
    </w:p>
    <w:p w14:paraId="6667560E">
      <w:pPr>
        <w:ind w:firstLine="422"/>
      </w:pPr>
      <w:r>
        <w:rPr>
          <w:rFonts w:hint="eastAsia"/>
          <w:b/>
        </w:rPr>
        <w:t>第五十三条</w:t>
      </w:r>
      <w:r>
        <w:rPr>
          <w:rFonts w:hint="eastAsia"/>
        </w:rPr>
        <w:t>　企业事业单位发生事故或者其他突发性事件，造成或者可能造成水污染事故的，应当立即启动本单位的应急方案，采取应急措施，并向市或者区、县人民政府或者环境保护行政主管部门报告。环境保护行政主管部门接到报告后，应当及时向本级人民政府报告，并抄送有关部门。</w:t>
      </w:r>
    </w:p>
    <w:p w14:paraId="45CB4CF2">
      <w:r>
        <w:rPr>
          <w:rFonts w:hint="eastAsia"/>
        </w:rPr>
        <w:t>环境保护行政主管部门应当会同水行政主管部门等相关部门及时对水污染事故可能影响的区域进行监测，督促造成事故的单位和个人妥善处理事故造成的水体污染。</w:t>
      </w:r>
    </w:p>
    <w:p w14:paraId="1CE759B8">
      <w:pPr>
        <w:ind w:firstLine="422"/>
      </w:pPr>
      <w:r>
        <w:rPr>
          <w:rFonts w:hint="eastAsia"/>
          <w:b/>
        </w:rPr>
        <w:t>第五十四条</w:t>
      </w:r>
      <w:r>
        <w:rPr>
          <w:rFonts w:hint="eastAsia"/>
        </w:rPr>
        <w:t>　市和区、县人民政府及有关部门应当依法公开水污染事故的预警信息和应对情况，将事故信息和应当注意的事项及时告知可能受到影响的单位和个人。</w:t>
      </w:r>
    </w:p>
    <w:p w14:paraId="1E61FB9B"/>
    <w:p w14:paraId="79C73851">
      <w:pPr>
        <w:ind w:firstLine="0" w:firstLineChars="0"/>
        <w:jc w:val="center"/>
        <w:rPr>
          <w:b/>
          <w:sz w:val="28"/>
        </w:rPr>
      </w:pPr>
      <w:r>
        <w:rPr>
          <w:rFonts w:hint="eastAsia"/>
          <w:b/>
          <w:sz w:val="28"/>
        </w:rPr>
        <w:t>第四章　饮用水水源与地下水保护</w:t>
      </w:r>
    </w:p>
    <w:p w14:paraId="1C9BD3CE"/>
    <w:p w14:paraId="0079A0F2">
      <w:pPr>
        <w:ind w:firstLine="422"/>
      </w:pPr>
      <w:r>
        <w:rPr>
          <w:rFonts w:hint="eastAsia"/>
          <w:b/>
        </w:rPr>
        <w:t>第五十五条</w:t>
      </w:r>
      <w:r>
        <w:rPr>
          <w:rFonts w:hint="eastAsia"/>
        </w:rPr>
        <w:t>　本市实行饮用水水源保护区制度。饮用水水源保护区分为一级保护区和二级保护区；在饮用水水源保护区外围可以划定一定区域作为准保护区。</w:t>
      </w:r>
    </w:p>
    <w:p w14:paraId="0974B60F">
      <w:r>
        <w:rPr>
          <w:rFonts w:hint="eastAsia"/>
        </w:rPr>
        <w:t>跨区、县供水的饮用水水源保护区和准保护区的划定，由市环境保护行政主管部门会同市水行政、国土资源、规划、卫生、住房和城乡建设、园林绿化等相关行政主管部门提出方案，报市人民政府批准。其他饮用水水源保护区和准保护区的划定，由区、县人民政府提出方案，报市人民政府批准。</w:t>
      </w:r>
    </w:p>
    <w:p w14:paraId="07C91C53">
      <w:r>
        <w:rPr>
          <w:rFonts w:hint="eastAsia"/>
        </w:rPr>
        <w:t>市人民政府可以根据饮用水水源保护的需要，调整饮用水水源保护区和准保护区的范围，确保饮用水安全。</w:t>
      </w:r>
    </w:p>
    <w:p w14:paraId="62B4EF31">
      <w:pPr>
        <w:ind w:firstLine="422"/>
      </w:pPr>
      <w:r>
        <w:rPr>
          <w:rFonts w:hint="eastAsia"/>
          <w:b/>
        </w:rPr>
        <w:t>第五十六条</w:t>
      </w:r>
      <w:r>
        <w:rPr>
          <w:rFonts w:hint="eastAsia"/>
        </w:rPr>
        <w:t>　禁止在饮用水水源一级保护区内新建、改建、扩建与供水设施和保护水源无关的建设项目。已建成的与供水设施和保护水源无关的建设项目，由市或者区、县人民政府责令拆除或者关闭。</w:t>
      </w:r>
    </w:p>
    <w:p w14:paraId="1779DE2E">
      <w:r>
        <w:rPr>
          <w:rFonts w:hint="eastAsia"/>
        </w:rPr>
        <w:t>禁止在饮用水水源一级保护区内从事旅游、垂钓或者其他可能污染饮用水水体的活动。</w:t>
      </w:r>
    </w:p>
    <w:p w14:paraId="496010F8">
      <w:pPr>
        <w:ind w:firstLine="422"/>
      </w:pPr>
      <w:r>
        <w:rPr>
          <w:rFonts w:hint="eastAsia"/>
          <w:b/>
        </w:rPr>
        <w:t>第五十七条</w:t>
      </w:r>
      <w:r>
        <w:rPr>
          <w:rFonts w:hint="eastAsia"/>
        </w:rPr>
        <w:t>　禁止在饮用水水源二级保护区内新建、改建、扩建排放污染物的建设项目。已建成的排放污染物的建设项目，由市或者区、县人民政府责令拆除或者关闭；建设项目未拆除或者关闭前，应当采取有效措施，达到饮用水水源保护的要求。</w:t>
      </w:r>
    </w:p>
    <w:p w14:paraId="3F81A553">
      <w:r>
        <w:rPr>
          <w:rFonts w:hint="eastAsia"/>
        </w:rPr>
        <w:t>在饮用水水源二级保护区内从事旅游等活动的，应当按照规定采取措施，防止污染饮用水水体。</w:t>
      </w:r>
    </w:p>
    <w:p w14:paraId="1BB5E8AA">
      <w:pPr>
        <w:ind w:firstLine="422"/>
      </w:pPr>
      <w:r>
        <w:rPr>
          <w:rFonts w:hint="eastAsia"/>
          <w:b/>
        </w:rPr>
        <w:t>第五十八条</w:t>
      </w:r>
      <w:r>
        <w:rPr>
          <w:rFonts w:hint="eastAsia"/>
        </w:rPr>
        <w:t>　禁止在饮用水水源准保护区内新建、扩建对水体污染严重的建设项目。改建建设项目，不得增加排污量。</w:t>
      </w:r>
    </w:p>
    <w:p w14:paraId="75396318">
      <w:r>
        <w:rPr>
          <w:rFonts w:hint="eastAsia"/>
        </w:rPr>
        <w:t>本市各级人民政府应当根据保护饮用水水源的实际需要，在准保护区内采取工程措施或者建造湿地、水源涵养林等生态保护措施，防止水污染物直接排入饮用水水体，确保饮用水安全。</w:t>
      </w:r>
    </w:p>
    <w:p w14:paraId="75FD5A39">
      <w:pPr>
        <w:ind w:firstLine="422"/>
      </w:pPr>
      <w:r>
        <w:rPr>
          <w:rFonts w:hint="eastAsia"/>
          <w:b/>
        </w:rPr>
        <w:t>第五十九条</w:t>
      </w:r>
      <w:r>
        <w:rPr>
          <w:rFonts w:hint="eastAsia"/>
        </w:rPr>
        <w:t>　地表饮用水水源保护区内禁止下列行为：</w:t>
      </w:r>
    </w:p>
    <w:p w14:paraId="4F289CA0">
      <w:r>
        <w:rPr>
          <w:rFonts w:hint="eastAsia"/>
        </w:rPr>
        <w:t>（一）装载有毒污染物的车辆驶入；</w:t>
      </w:r>
    </w:p>
    <w:p w14:paraId="23E226A4">
      <w:r>
        <w:rPr>
          <w:rFonts w:hint="eastAsia"/>
        </w:rPr>
        <w:t>（二）从事网箱养殖；</w:t>
      </w:r>
    </w:p>
    <w:p w14:paraId="10253BE0">
      <w:r>
        <w:rPr>
          <w:rFonts w:hint="eastAsia"/>
        </w:rPr>
        <w:t>（三）从事水上旅游、游泳或者其他可能污染水源的活动。</w:t>
      </w:r>
    </w:p>
    <w:p w14:paraId="2960E0AF">
      <w:r>
        <w:rPr>
          <w:rFonts w:hint="eastAsia"/>
        </w:rPr>
        <w:t>地表饮用水水源准保护区内禁止从事网箱养殖。</w:t>
      </w:r>
    </w:p>
    <w:p w14:paraId="07757C74">
      <w:pPr>
        <w:ind w:firstLine="422"/>
      </w:pPr>
      <w:r>
        <w:rPr>
          <w:rFonts w:hint="eastAsia"/>
          <w:b/>
        </w:rPr>
        <w:t>第六十条</w:t>
      </w:r>
      <w:r>
        <w:rPr>
          <w:rFonts w:hint="eastAsia"/>
        </w:rPr>
        <w:t>　地下饮用水水源保护区内禁止下列行为：</w:t>
      </w:r>
    </w:p>
    <w:p w14:paraId="6A2B9839">
      <w:bookmarkStart w:id="2752" w:name="_Toc428780876"/>
      <w:r>
        <w:rPr>
          <w:rFonts w:hint="eastAsia"/>
        </w:rPr>
        <w:t>（一）堆放和贮存易溶、含有毒污染物的废弃物；</w:t>
      </w:r>
      <w:bookmarkEnd w:id="2752"/>
    </w:p>
    <w:p w14:paraId="296A3500">
      <w:r>
        <w:rPr>
          <w:rFonts w:hint="eastAsia"/>
        </w:rPr>
        <w:t>（二）堆放垃圾、粪便及其他可能污染地下饮用水水源的固体废弃物；</w:t>
      </w:r>
    </w:p>
    <w:p w14:paraId="4B6D2A79">
      <w:r>
        <w:rPr>
          <w:rFonts w:hint="eastAsia"/>
        </w:rPr>
        <w:t>（三）新建贮存液体化学原料、油类或者其他含有毒污染物物质的地下工程设施。</w:t>
      </w:r>
    </w:p>
    <w:p w14:paraId="6D7F24B8">
      <w:r>
        <w:rPr>
          <w:rFonts w:hint="eastAsia"/>
        </w:rPr>
        <w:t>在地下饮用水水源准保护区内禁止堆放和贮存易溶、含有毒污染物的废弃物。</w:t>
      </w:r>
    </w:p>
    <w:p w14:paraId="0201059B">
      <w:pPr>
        <w:ind w:firstLine="422"/>
      </w:pPr>
      <w:r>
        <w:rPr>
          <w:rFonts w:hint="eastAsia"/>
          <w:b/>
        </w:rPr>
        <w:t>第六十一条</w:t>
      </w:r>
      <w:r>
        <w:rPr>
          <w:rFonts w:hint="eastAsia"/>
        </w:rPr>
        <w:t>　饮用水水源受到污染可能威胁供水安全的，环境保护行政主管部门应当责令有关单位采取停止或者减少排放水污染物等措施，当地人民政府应当视情况采取停止取水等应急措施。</w:t>
      </w:r>
    </w:p>
    <w:p w14:paraId="21BBEFD5">
      <w:pPr>
        <w:ind w:firstLine="422"/>
      </w:pPr>
      <w:r>
        <w:rPr>
          <w:rFonts w:hint="eastAsia"/>
          <w:b/>
        </w:rPr>
        <w:t>第六十二条</w:t>
      </w:r>
      <w:r>
        <w:rPr>
          <w:rFonts w:hint="eastAsia"/>
        </w:rPr>
        <w:t>　建设、使用垃圾填埋场或者贮存液体化学原料、油类等地下工程设施的单位，应当对地下工程采取防止渗漏的有效措施，并配套建设地下水监测井等水污染防治设施，定期向环境保护行政主管部门提交地下水水质监测报告，防止污染地下水。</w:t>
      </w:r>
    </w:p>
    <w:p w14:paraId="457D2828">
      <w:pPr>
        <w:ind w:firstLine="422"/>
      </w:pPr>
      <w:r>
        <w:rPr>
          <w:rFonts w:hint="eastAsia"/>
          <w:b/>
        </w:rPr>
        <w:t>第六十三条</w:t>
      </w:r>
      <w:r>
        <w:rPr>
          <w:rFonts w:hint="eastAsia"/>
        </w:rPr>
        <w:t>　多层地下水的含水层水质差异较大的，应当分层开采；对已受污染的潜水和承压水，不得混合开采。因过量开采地下水导致水质恶化，不宜继续开采的，市水行政主管部门应当会同市国土资源行政主管部门向市人民政府报告。市人民政府应当责成有关部门采取措施，停止或者限制开采地下水。</w:t>
      </w:r>
    </w:p>
    <w:p w14:paraId="6C745A5A">
      <w:pPr>
        <w:ind w:firstLine="422"/>
      </w:pPr>
      <w:r>
        <w:rPr>
          <w:rFonts w:hint="eastAsia"/>
          <w:b/>
        </w:rPr>
        <w:t>第六十四条</w:t>
      </w:r>
      <w:r>
        <w:rPr>
          <w:rFonts w:hint="eastAsia"/>
        </w:rPr>
        <w:t>　从事地下热水资源开发利用或者使用水源热泵、地源热泵的，应当采取有效措施，防止地下水污染。市国土资源行政主管部门和市水行政主管部门应当依法加强监督管理和指导。</w:t>
      </w:r>
    </w:p>
    <w:p w14:paraId="7D934320">
      <w:pPr>
        <w:ind w:firstLine="422"/>
      </w:pPr>
      <w:r>
        <w:rPr>
          <w:rFonts w:hint="eastAsia"/>
          <w:b/>
        </w:rPr>
        <w:t>第六十五条</w:t>
      </w:r>
      <w:r>
        <w:rPr>
          <w:rFonts w:hint="eastAsia"/>
        </w:rPr>
        <w:t>　人工回灌补给地下水的，不得恶化地下水水质。</w:t>
      </w:r>
    </w:p>
    <w:p w14:paraId="1A4B6E8E">
      <w:r>
        <w:rPr>
          <w:rFonts w:hint="eastAsia"/>
        </w:rPr>
        <w:t>进行地下勘探、采矿、工程降排水、地下空间的开发利用等可能干扰地下含水层的活动，应当采取防护性措施，防止地下水污染。</w:t>
      </w:r>
    </w:p>
    <w:p w14:paraId="4C965E02">
      <w:r>
        <w:rPr>
          <w:rFonts w:hint="eastAsia"/>
        </w:rPr>
        <w:t>大口井、废弃机井的产权单位应当采取合理的封井措施和工艺，防止造成地下水污染。</w:t>
      </w:r>
    </w:p>
    <w:p w14:paraId="165699A8">
      <w:pPr>
        <w:spacing w:line="300" w:lineRule="exact"/>
      </w:pPr>
    </w:p>
    <w:p w14:paraId="241B9F04">
      <w:pPr>
        <w:ind w:firstLine="0" w:firstLineChars="0"/>
        <w:jc w:val="center"/>
        <w:rPr>
          <w:b/>
          <w:sz w:val="28"/>
        </w:rPr>
      </w:pPr>
      <w:r>
        <w:rPr>
          <w:rFonts w:hint="eastAsia"/>
          <w:b/>
          <w:sz w:val="28"/>
        </w:rPr>
        <w:t>第五章　生态环境用水保障与</w:t>
      </w:r>
    </w:p>
    <w:p w14:paraId="733BF486">
      <w:pPr>
        <w:ind w:firstLine="0" w:firstLineChars="0"/>
        <w:jc w:val="center"/>
        <w:rPr>
          <w:b/>
          <w:sz w:val="28"/>
        </w:rPr>
      </w:pPr>
      <w:r>
        <w:rPr>
          <w:rFonts w:hint="eastAsia"/>
          <w:b/>
          <w:sz w:val="28"/>
        </w:rPr>
        <w:t xml:space="preserve">  污水再生利用</w:t>
      </w:r>
    </w:p>
    <w:p w14:paraId="5FC8AC07">
      <w:pPr>
        <w:spacing w:line="300" w:lineRule="exact"/>
      </w:pPr>
    </w:p>
    <w:p w14:paraId="46193D7B">
      <w:pPr>
        <w:ind w:firstLine="422"/>
      </w:pPr>
      <w:r>
        <w:rPr>
          <w:rFonts w:hint="eastAsia"/>
          <w:b/>
        </w:rPr>
        <w:t>第六十六条</w:t>
      </w:r>
      <w:r>
        <w:rPr>
          <w:rFonts w:hint="eastAsia"/>
        </w:rPr>
        <w:t>　本市坚持水资源开发利用与水污染防治相结合，实行用水总量控制，鼓励污水再生利用，逐步保障生态环境用水，实现用水量与水资源量的平衡，恢复地表、地下水体合理的水量、水位。</w:t>
      </w:r>
    </w:p>
    <w:p w14:paraId="71A212C1">
      <w:r>
        <w:rPr>
          <w:rFonts w:hint="eastAsia"/>
        </w:rPr>
        <w:t>水行政主管部门在制定水资源利用规划或者进行水资源调配时，应当统筹考虑再生水与地表水、地下水的利用，在保障城乡居民生活用水的基础上，统筹兼顾生态环境、工业、农业用水。</w:t>
      </w:r>
    </w:p>
    <w:p w14:paraId="35F5868E">
      <w:pPr>
        <w:ind w:firstLine="422"/>
      </w:pPr>
      <w:r>
        <w:rPr>
          <w:rFonts w:hint="eastAsia"/>
          <w:b/>
        </w:rPr>
        <w:t>第六十七条</w:t>
      </w:r>
      <w:r>
        <w:rPr>
          <w:rFonts w:hint="eastAsia"/>
        </w:rPr>
        <w:t>　市水行政主管部门会同市环境保护行政主管部门确定本市重点河段和重点湖泊最低生态环境用水量，在流域综合整治规划中提出具体生态用水保障方案并组织实施。</w:t>
      </w:r>
    </w:p>
    <w:p w14:paraId="3839D765">
      <w:pPr>
        <w:ind w:firstLine="422"/>
      </w:pPr>
      <w:r>
        <w:rPr>
          <w:rFonts w:hint="eastAsia"/>
          <w:b/>
        </w:rPr>
        <w:t>第六十八条</w:t>
      </w:r>
      <w:r>
        <w:rPr>
          <w:rFonts w:hint="eastAsia"/>
        </w:rPr>
        <w:t>　本市生态环境用水应当优先使用雨水和再生水。严格限制使用地下水和自来水作为城市景观用水。</w:t>
      </w:r>
    </w:p>
    <w:p w14:paraId="6ED27663">
      <w:r>
        <w:rPr>
          <w:rFonts w:hint="eastAsia"/>
        </w:rPr>
        <w:t>住宅小区、单位内部景观用水和市政杂用水具备使用雨水或者再生水条件的，应当使用雨水或者再生水，不得使用地下水和自来水。</w:t>
      </w:r>
    </w:p>
    <w:p w14:paraId="785D881F">
      <w:r>
        <w:rPr>
          <w:rFonts w:hint="eastAsia"/>
        </w:rPr>
        <w:t>各类工程施工降水的抽排水应当综合利用，优先用于施工现场及城市景观用水。</w:t>
      </w:r>
    </w:p>
    <w:p w14:paraId="72DB73F7">
      <w:r>
        <w:rPr>
          <w:rFonts w:hint="eastAsia"/>
        </w:rPr>
        <w:t>前三款所列各项用水的具体管理办法由市人民政府制定。</w:t>
      </w:r>
    </w:p>
    <w:p w14:paraId="131CB47D">
      <w:pPr>
        <w:ind w:firstLine="422"/>
      </w:pPr>
      <w:r>
        <w:rPr>
          <w:rFonts w:hint="eastAsia"/>
          <w:b/>
        </w:rPr>
        <w:t>第六十九条</w:t>
      </w:r>
      <w:r>
        <w:rPr>
          <w:rFonts w:hint="eastAsia"/>
        </w:rPr>
        <w:t>　市水行政主管部门应当将水体生态修复纳入流域综合整治规划，通过采取生态保护措施，改善水体水质。</w:t>
      </w:r>
    </w:p>
    <w:p w14:paraId="7D8315BB">
      <w:pPr>
        <w:ind w:firstLine="422"/>
      </w:pPr>
      <w:r>
        <w:rPr>
          <w:rFonts w:hint="eastAsia"/>
          <w:b/>
        </w:rPr>
        <w:t>第七十条</w:t>
      </w:r>
      <w:r>
        <w:rPr>
          <w:rFonts w:hint="eastAsia"/>
        </w:rPr>
        <w:t>　跨河流调配水资源的，应当充分论证，统筹兼顾水资源利用和水污染防治的需要，防止对生态环境产生不利影响。</w:t>
      </w:r>
    </w:p>
    <w:p w14:paraId="27866677">
      <w:pPr>
        <w:ind w:firstLine="422"/>
      </w:pPr>
      <w:r>
        <w:rPr>
          <w:rFonts w:hint="eastAsia"/>
          <w:b/>
        </w:rPr>
        <w:t>第七十一条</w:t>
      </w:r>
      <w:r>
        <w:rPr>
          <w:rFonts w:hint="eastAsia"/>
        </w:rPr>
        <w:t>　市和区、县水行政主管部门应当按照管理权限组织编制排水和再生水规划，经规划行政主管部门组织审查后报本级人民政府批准实施。</w:t>
      </w:r>
    </w:p>
    <w:p w14:paraId="241F94A8">
      <w:r>
        <w:rPr>
          <w:rFonts w:hint="eastAsia"/>
        </w:rPr>
        <w:t>本市各级人民政府依据有关规划，通过政府投资或者其他方式筹集资金，统筹安排建设公共再生水设施，逐步扩大再生水输配管网的覆盖范围。</w:t>
      </w:r>
    </w:p>
    <w:p w14:paraId="68BDE6F8">
      <w:pPr>
        <w:ind w:firstLine="422"/>
      </w:pPr>
      <w:r>
        <w:rPr>
          <w:rFonts w:hint="eastAsia"/>
          <w:b/>
        </w:rPr>
        <w:t>第七十二条</w:t>
      </w:r>
      <w:r>
        <w:rPr>
          <w:rFonts w:hint="eastAsia"/>
        </w:rPr>
        <w:t>　本市各级人民政府应当制定政策，采取措施，发展工业再生水用户，鼓励工业企业的废水处理后循环使用，扩大农业再生水灌溉范围，推动再生水回补地下水的技术研究和应用。</w:t>
      </w:r>
    </w:p>
    <w:p w14:paraId="46374203">
      <w:r>
        <w:rPr>
          <w:rFonts w:hint="eastAsia"/>
        </w:rPr>
        <w:t>再生水输配管网覆盖范围内的园林绿化、环境卫生、工程施工等用水应当使用再生水。</w:t>
      </w:r>
    </w:p>
    <w:p w14:paraId="6EA8A58A">
      <w:r>
        <w:rPr>
          <w:rFonts w:hint="eastAsia"/>
        </w:rPr>
        <w:t>再生水输配管网覆盖范围以外的地区新建、改建、扩建的建设项目，可回收水量较大的，应当配套建设再生水利用设施。</w:t>
      </w:r>
    </w:p>
    <w:p w14:paraId="2A6D718E">
      <w:pPr>
        <w:ind w:firstLine="422"/>
      </w:pPr>
      <w:r>
        <w:rPr>
          <w:rFonts w:hint="eastAsia"/>
          <w:b/>
        </w:rPr>
        <w:t>第七十三条</w:t>
      </w:r>
      <w:r>
        <w:rPr>
          <w:rFonts w:hint="eastAsia"/>
        </w:rPr>
        <w:t>　市水行政主管部门应当根据用水规模、水质要求和经济、技术条件等因素，确定本市重点行业的再生水使用指标，报市人民政府批准施行。</w:t>
      </w:r>
    </w:p>
    <w:p w14:paraId="61E88D80">
      <w:r>
        <w:rPr>
          <w:rFonts w:hint="eastAsia"/>
        </w:rPr>
        <w:t>重点行业的企业具备再生水利用条件的，市水行政主管部门应当将再生水用量纳入其用水指标；无正当理由未使用再生水的，由市水行政主管部门责令限期改正，逾期不改正的，由市水行政主管部门核减相应的用水指标。</w:t>
      </w:r>
    </w:p>
    <w:p w14:paraId="5B7FE15C">
      <w:pPr>
        <w:ind w:firstLine="422"/>
      </w:pPr>
      <w:r>
        <w:rPr>
          <w:rFonts w:hint="eastAsia"/>
          <w:b/>
        </w:rPr>
        <w:t>第七十四条</w:t>
      </w:r>
      <w:r>
        <w:rPr>
          <w:rFonts w:hint="eastAsia"/>
        </w:rPr>
        <w:t>　再生水用户应当根据不同用途，按照国家和本市规定的再生水水质标准使用再生水。</w:t>
      </w:r>
    </w:p>
    <w:p w14:paraId="38D5CF1F">
      <w:r>
        <w:rPr>
          <w:rFonts w:hint="eastAsia"/>
        </w:rPr>
        <w:t>再生水设施运营单位应当加强设施的维护管理，保证其正常运行，并对再生水水质负责。</w:t>
      </w:r>
    </w:p>
    <w:p w14:paraId="6F4B8D37">
      <w:pPr>
        <w:ind w:firstLine="422"/>
      </w:pPr>
      <w:r>
        <w:rPr>
          <w:rFonts w:hint="eastAsia"/>
          <w:b/>
        </w:rPr>
        <w:t>第七十五条</w:t>
      </w:r>
      <w:r>
        <w:rPr>
          <w:rFonts w:hint="eastAsia"/>
        </w:rPr>
        <w:t>　本市开展再生水利用的风险研究，建立再生水利用的监测和预警系统。</w:t>
      </w:r>
    </w:p>
    <w:p w14:paraId="035AF1D3"/>
    <w:p w14:paraId="4AA98EEF">
      <w:pPr>
        <w:ind w:firstLine="0" w:firstLineChars="0"/>
        <w:jc w:val="center"/>
        <w:rPr>
          <w:b/>
          <w:sz w:val="28"/>
        </w:rPr>
      </w:pPr>
      <w:r>
        <w:rPr>
          <w:rFonts w:hint="eastAsia"/>
          <w:b/>
          <w:sz w:val="28"/>
        </w:rPr>
        <w:t>第六章　法律责任</w:t>
      </w:r>
    </w:p>
    <w:p w14:paraId="3A5F547C"/>
    <w:p w14:paraId="0D478340">
      <w:pPr>
        <w:ind w:firstLine="422"/>
      </w:pPr>
      <w:r>
        <w:rPr>
          <w:rFonts w:hint="eastAsia"/>
          <w:b/>
        </w:rPr>
        <w:t>第七十六条</w:t>
      </w:r>
      <w:r>
        <w:rPr>
          <w:rFonts w:hint="eastAsia"/>
        </w:rPr>
        <w:t>　对违反本条例规定的行为，有关法律、法规已经规定法律责任的，适用其规定；法律、法规没有规定的，适用本条例的规定。</w:t>
      </w:r>
    </w:p>
    <w:p w14:paraId="0872313C">
      <w:pPr>
        <w:ind w:firstLine="422"/>
      </w:pPr>
      <w:r>
        <w:rPr>
          <w:rFonts w:hint="eastAsia"/>
          <w:b/>
        </w:rPr>
        <w:t>第七十七条</w:t>
      </w:r>
      <w:r>
        <w:rPr>
          <w:rFonts w:hint="eastAsia"/>
        </w:rPr>
        <w:t>　市和区、县环境保护行政主管部门或者其他依照本条例规定行使监督管理权的部门有下列行为之一的，由任免机关或者监察机关依法对直接负责的主管人员和其他直接责任人员给予行政处分；构成犯罪的，依法追究刑事责任：</w:t>
      </w:r>
    </w:p>
    <w:p w14:paraId="47F91C85">
      <w:bookmarkStart w:id="2753" w:name="_Toc428780877"/>
      <w:r>
        <w:rPr>
          <w:rFonts w:hint="eastAsia"/>
        </w:rPr>
        <w:t>（一）不依法作出行政许可或者办理批准文件的；</w:t>
      </w:r>
      <w:bookmarkEnd w:id="2753"/>
    </w:p>
    <w:p w14:paraId="66B8FB61">
      <w:r>
        <w:rPr>
          <w:rFonts w:hint="eastAsia"/>
        </w:rPr>
        <w:t>（二）未按规定实施行政处罚或者违法采取行政措施的；</w:t>
      </w:r>
    </w:p>
    <w:p w14:paraId="09B4C7EA">
      <w:bookmarkStart w:id="2754" w:name="_Toc428780878"/>
      <w:r>
        <w:rPr>
          <w:rFonts w:hint="eastAsia"/>
        </w:rPr>
        <w:t>（三）发现违法行为或者接到对违法行为的举报后不予查处的；</w:t>
      </w:r>
      <w:bookmarkEnd w:id="2754"/>
    </w:p>
    <w:p w14:paraId="50920BB3">
      <w:r>
        <w:rPr>
          <w:rFonts w:hint="eastAsia"/>
        </w:rPr>
        <w:t>（四）其他未依照本条例规定履行职责的行为。</w:t>
      </w:r>
    </w:p>
    <w:p w14:paraId="5CFB8844">
      <w:pPr>
        <w:ind w:firstLine="422"/>
      </w:pPr>
      <w:r>
        <w:rPr>
          <w:rFonts w:hint="eastAsia"/>
          <w:b/>
        </w:rPr>
        <w:t>第七十八条</w:t>
      </w:r>
      <w:r>
        <w:rPr>
          <w:rFonts w:hint="eastAsia"/>
        </w:rPr>
        <w:t>　违反本条例规定，排放水污染物超过国家或者本市规定的水污染物排放标准，或者超过重点水污染物排放总量控制指标的，由市或者区、县环境保护行政主管部门责令限期治理，并处应缴纳排污费数额二倍以上五倍以下的罚款。应缴纳排污费数额按年计算。</w:t>
      </w:r>
    </w:p>
    <w:p w14:paraId="61AEEF55">
      <w:r>
        <w:rPr>
          <w:rFonts w:hint="eastAsia"/>
        </w:rPr>
        <w:t>排放水污染物进入公共污水处理设施，水质不符合排水管理规定的，由水行政主管部门依法按照排水管理的有关规定予以处理。</w:t>
      </w:r>
    </w:p>
    <w:p w14:paraId="2C9DE4A9">
      <w:r>
        <w:rPr>
          <w:rFonts w:hint="eastAsia"/>
        </w:rPr>
        <w:t>城镇污水集中处理设施的运营单位排放水污染物超过水污染物排放标准的，由市或者区、县环境保护行政主管部门责令限期治理，并处一万元以上十万元以下的罚款。</w:t>
      </w:r>
    </w:p>
    <w:p w14:paraId="0C284ED2">
      <w:r>
        <w:rPr>
          <w:rFonts w:hint="eastAsia"/>
        </w:rPr>
        <w:t>限期治理期间，由环境保护行政主管部门责令限制生产、限制排放或者停产整治。被责令限期治理的单位应当向有关行政主管部门提交治理计划，定期报告治理进度，并按照规定期限完成治理任务。限期治理的期限最长不超过一年，逾期未完成治理任务的，报经有批准权的人民政府批准，责令关闭。</w:t>
      </w:r>
    </w:p>
    <w:p w14:paraId="5B7B7831">
      <w:pPr>
        <w:ind w:firstLine="422"/>
      </w:pPr>
      <w:r>
        <w:rPr>
          <w:rFonts w:hint="eastAsia"/>
          <w:b/>
        </w:rPr>
        <w:t>第七十九条</w:t>
      </w:r>
      <w:r>
        <w:rPr>
          <w:rFonts w:hint="eastAsia"/>
        </w:rPr>
        <w:t>　违反本条例规定，装载有毒污染物的车辆驶入地表饮用水水源保护区的，由公安机关交通管理部门责令改正，并依法处理。</w:t>
      </w:r>
    </w:p>
    <w:p w14:paraId="1BF8A06A">
      <w:r>
        <w:rPr>
          <w:rFonts w:hint="eastAsia"/>
        </w:rPr>
        <w:t>在地表饮用水水源保护区组织水上旅游或者其他可能污染饮用水水源活动的，以及在地表饮用水水源保护区和准保护区内从事网箱养殖的，由所在地区、县环境保护行政主管部门或者水行政主管部门按照职责分工责令停止违法行为，并处二万元以上十万元以下的罚款。个人在地表饮用水水源一级保护区内游泳、垂钓或者从事其他可能污染饮用水水体的活动的，由所在地区、县环境保护行政主管部门或者水行政主管部门按照职责分工责令停止违法行为，并可以处五百元以下的罚款。</w:t>
      </w:r>
    </w:p>
    <w:p w14:paraId="3C74E633">
      <w:pPr>
        <w:ind w:firstLine="422"/>
      </w:pPr>
      <w:r>
        <w:rPr>
          <w:rFonts w:hint="eastAsia"/>
          <w:b/>
        </w:rPr>
        <w:t>第八十条</w:t>
      </w:r>
      <w:r>
        <w:rPr>
          <w:rFonts w:hint="eastAsia"/>
        </w:rPr>
        <w:t>　违反本条例规定，有下列行为之一的，由市或者区、县环境保护行政主管部门责令限期改正，并处一万元以上十万元以下的罚款：</w:t>
      </w:r>
    </w:p>
    <w:p w14:paraId="0CFE1EBF">
      <w:r>
        <w:rPr>
          <w:rFonts w:hint="eastAsia"/>
        </w:rPr>
        <w:t>（一）在地下饮用水水源保护区或者准保护区内堆放和贮存易溶、含有毒污染物的废弃物；</w:t>
      </w:r>
    </w:p>
    <w:p w14:paraId="7514604E">
      <w:r>
        <w:rPr>
          <w:rFonts w:hint="eastAsia"/>
        </w:rPr>
        <w:t>（二）在地下饮用水水源保护区内堆放垃圾、粪便及其他可能污染地下饮用水水源的固体废弃物；</w:t>
      </w:r>
    </w:p>
    <w:p w14:paraId="15CFCAFB">
      <w:r>
        <w:rPr>
          <w:rFonts w:hint="eastAsia"/>
        </w:rPr>
        <w:t>（三）在地下饮用水水源保护区内新建贮存液体化学原料、油类或者其他含有毒污染物物质的地下工程设施。</w:t>
      </w:r>
    </w:p>
    <w:p w14:paraId="46D8A1CD">
      <w:pPr>
        <w:ind w:firstLine="422"/>
      </w:pPr>
      <w:r>
        <w:rPr>
          <w:rFonts w:hint="eastAsia"/>
          <w:b/>
        </w:rPr>
        <w:t>第八十一条</w:t>
      </w:r>
      <w:r>
        <w:rPr>
          <w:rFonts w:hint="eastAsia"/>
        </w:rPr>
        <w:t>　有关排污单位违反本条例规定，不执行市人民政府采取的更加严格的水污染防治措施，造成水环境污染的，由市或者区、县环境保护行政主管部门处一万元以上十万元以下的罚款；情节严重的，市或者区、县人民政府可以责令其停产、停业。</w:t>
      </w:r>
    </w:p>
    <w:p w14:paraId="105E827A">
      <w:pPr>
        <w:ind w:firstLine="422"/>
      </w:pPr>
      <w:r>
        <w:rPr>
          <w:rFonts w:hint="eastAsia"/>
          <w:b/>
        </w:rPr>
        <w:t>第八十二条</w:t>
      </w:r>
      <w:r>
        <w:rPr>
          <w:rFonts w:hint="eastAsia"/>
        </w:rPr>
        <w:t>　违反本条例规定，有下列行为之一的，由市或者区、县环境保护行政主管部门责令停止违法行为，采取限期治理措施，消除污染，处以罚款；逾期不采取治理措施的，环境保护行政主管部门可以指定有治理能力的单位代为治理，所需费用由违法者承担：</w:t>
      </w:r>
    </w:p>
    <w:p w14:paraId="1E67863B">
      <w:r>
        <w:rPr>
          <w:rFonts w:hint="eastAsia"/>
        </w:rPr>
        <w:t>（一）向水体排放油类、酸液、碱液；</w:t>
      </w:r>
    </w:p>
    <w:p w14:paraId="67C10D19">
      <w:r>
        <w:rPr>
          <w:rFonts w:hint="eastAsia"/>
        </w:rPr>
        <w:t>（二）向水体排放剧毒废液；</w:t>
      </w:r>
    </w:p>
    <w:p w14:paraId="249F5359">
      <w:r>
        <w:rPr>
          <w:rFonts w:hint="eastAsia"/>
        </w:rPr>
        <w:t>（三）在水体清洗装贮过油类或者有毒污染物的车辆和容器；</w:t>
      </w:r>
    </w:p>
    <w:p w14:paraId="00E3DF40">
      <w:bookmarkStart w:id="2755" w:name="_Toc428780879"/>
      <w:r>
        <w:rPr>
          <w:rFonts w:hint="eastAsia"/>
        </w:rPr>
        <w:t>（四）向水体排放、倾倒工业废渣、垃圾和其他废弃物；</w:t>
      </w:r>
      <w:bookmarkEnd w:id="2755"/>
    </w:p>
    <w:p w14:paraId="51FA0DAF">
      <w:r>
        <w:rPr>
          <w:rFonts w:hint="eastAsia"/>
        </w:rPr>
        <w:t>（五）在河流、湖泊、渠道、水库最高水位线以下的滩地和岸坡堆放、存贮固体废弃物和其他污染物；</w:t>
      </w:r>
    </w:p>
    <w:p w14:paraId="4D99FF39">
      <w:bookmarkStart w:id="2756" w:name="_Toc428780880"/>
      <w:r>
        <w:rPr>
          <w:rFonts w:hint="eastAsia"/>
        </w:rPr>
        <w:t>（六）利用渗坑、渗井、裂隙、溶洞排放、倾倒污水和其他废弃物；</w:t>
      </w:r>
      <w:bookmarkEnd w:id="2756"/>
    </w:p>
    <w:p w14:paraId="795995A6">
      <w:r>
        <w:rPr>
          <w:rFonts w:hint="eastAsia"/>
        </w:rPr>
        <w:t>（七）在砂石坑、窑坑、滩地等低洼地排放污水，倾倒、存贮垃圾、粪便及其他污染物，或者以漫流方式排放、倾倒污水；</w:t>
      </w:r>
    </w:p>
    <w:p w14:paraId="6169D7F2">
      <w:r>
        <w:rPr>
          <w:rFonts w:hint="eastAsia"/>
        </w:rPr>
        <w:t>（八）利用无防渗漏措施的沟渠、坑塘等输送或者存贮含有毒污染物的废水、含病原体的污水和其他废弃物；</w:t>
      </w:r>
    </w:p>
    <w:p w14:paraId="13C27FBC">
      <w:r>
        <w:rPr>
          <w:rFonts w:hint="eastAsia"/>
        </w:rPr>
        <w:t>（九）向水体排放、倾倒放射性固体废物或者含高放射性和中放射性物质的废水；</w:t>
      </w:r>
    </w:p>
    <w:p w14:paraId="3E7ADA5A">
      <w:r>
        <w:rPr>
          <w:rFonts w:hint="eastAsia"/>
        </w:rPr>
        <w:t>（十）未将实验室、检验室、化验室废液按照国家和本市关于危险废物的有关规定单独收集，进行安全处置。</w:t>
      </w:r>
    </w:p>
    <w:p w14:paraId="664514E9">
      <w:r>
        <w:rPr>
          <w:rFonts w:hint="eastAsia"/>
        </w:rPr>
        <w:t>有前款第（三）项、第（七）项、第（十）项行为之一的，处一万元以上十万元以下的罚款；有前款第（一）项、第（四）项、第（五）项、第（八）项行为之一的，处二万元以上二十万元以下的罚款；有前款第（二）项、第（六）项、第（九）项行为之一的，处五万元以上五十万元以下的罚款。</w:t>
      </w:r>
    </w:p>
    <w:p w14:paraId="66BC2A56">
      <w:pPr>
        <w:ind w:firstLine="422"/>
      </w:pPr>
      <w:r>
        <w:rPr>
          <w:rFonts w:hint="eastAsia"/>
          <w:b/>
        </w:rPr>
        <w:t>第八十三条</w:t>
      </w:r>
      <w:r>
        <w:rPr>
          <w:rFonts w:hint="eastAsia"/>
        </w:rPr>
        <w:t>　违反本条例规定，生产含磷洗涤用品的，由市或者区、县环境保护行政主管部门责令停止违法行为，并处一万元以上十万元以下罚款；销售含磷洗涤用品的，由市或者区、县工商行政主管部门责令停止违法行为，并处一千元以上一万元以下的罚款。</w:t>
      </w:r>
    </w:p>
    <w:p w14:paraId="54DA7715">
      <w:pPr>
        <w:ind w:firstLine="422"/>
      </w:pPr>
      <w:r>
        <w:rPr>
          <w:rFonts w:hint="eastAsia"/>
          <w:b/>
        </w:rPr>
        <w:t>第八十四条</w:t>
      </w:r>
      <w:r>
        <w:rPr>
          <w:rFonts w:hint="eastAsia"/>
        </w:rPr>
        <w:t>　违反本条例规定，未按规定对排放的水污染物进行预处理的，由市或者区、县环境保护行政主管部门责令限期改正，并处一万元以上三万元以下的罚款。</w:t>
      </w:r>
    </w:p>
    <w:p w14:paraId="506CC3D9">
      <w:pPr>
        <w:ind w:firstLine="422"/>
      </w:pPr>
      <w:r>
        <w:rPr>
          <w:rFonts w:hint="eastAsia"/>
          <w:b/>
        </w:rPr>
        <w:t>第八十五条</w:t>
      </w:r>
      <w:r>
        <w:rPr>
          <w:rFonts w:hint="eastAsia"/>
        </w:rPr>
        <w:t>　违反本条例规定，向雨水收集口、雨水管道排放或者倾倒污水、污物和垃圾等废弃物的，由城市管理综合执法部门责令停止违法行为，对个人处一千元以上一万元以下的罚款；对单位处一万元以上十万元以下的罚款。</w:t>
      </w:r>
    </w:p>
    <w:p w14:paraId="44CF4587">
      <w:pPr>
        <w:ind w:firstLine="422"/>
      </w:pPr>
      <w:r>
        <w:rPr>
          <w:rFonts w:hint="eastAsia"/>
          <w:b/>
        </w:rPr>
        <w:t>第八十六条</w:t>
      </w:r>
      <w:r>
        <w:rPr>
          <w:rFonts w:hint="eastAsia"/>
        </w:rPr>
        <w:t>　违反本条例规定，有下列行为之一的，由市或者区、县环境保护行政主管部门责令停止违法行为，消除污染，并处一万元以上十万元以下的罚款：</w:t>
      </w:r>
    </w:p>
    <w:p w14:paraId="287A4E84">
      <w:bookmarkStart w:id="2757" w:name="_Toc428780881"/>
      <w:r>
        <w:rPr>
          <w:rFonts w:hint="eastAsia"/>
        </w:rPr>
        <w:t>（一）用倾倒、堆放、直接填埋的方式对污泥进行处置；</w:t>
      </w:r>
      <w:bookmarkEnd w:id="2757"/>
    </w:p>
    <w:p w14:paraId="648DBF03">
      <w:r>
        <w:rPr>
          <w:rFonts w:hint="eastAsia"/>
        </w:rPr>
        <w:t>（二）未按照规划确定配套的污泥处理工艺、措施，或者污泥处置设施未正常运行。</w:t>
      </w:r>
    </w:p>
    <w:p w14:paraId="2C8C9C10">
      <w:pPr>
        <w:ind w:firstLine="422"/>
      </w:pPr>
      <w:r>
        <w:rPr>
          <w:rFonts w:hint="eastAsia"/>
          <w:b/>
        </w:rPr>
        <w:t>第八十七条</w:t>
      </w:r>
      <w:r>
        <w:rPr>
          <w:rFonts w:hint="eastAsia"/>
        </w:rPr>
        <w:t>　违反本条例规定，规模化畜禽养殖企业未采取有效措施，致使畜禽养殖废水、粪污渗漏、溢流、散落对环境造成污染的，由市或者区、县环境保护行政主管部门责令停止违法行为，并处一千元以上一万元以下的罚款。</w:t>
      </w:r>
    </w:p>
    <w:p w14:paraId="61179A4A">
      <w:pPr>
        <w:ind w:firstLine="422"/>
      </w:pPr>
      <w:r>
        <w:rPr>
          <w:rFonts w:hint="eastAsia"/>
          <w:b/>
        </w:rPr>
        <w:t>第八十八条</w:t>
      </w:r>
      <w:r>
        <w:rPr>
          <w:rFonts w:hint="eastAsia"/>
        </w:rPr>
        <w:t>　违反本条例规定，有下列行为之一的，由市环境保护行政主管部门责令改正；情节严重的，并处二万元以上十万元以下的罚款：</w:t>
      </w:r>
    </w:p>
    <w:p w14:paraId="3F5586C3">
      <w:bookmarkStart w:id="2758" w:name="_Toc428780882"/>
      <w:r>
        <w:rPr>
          <w:rFonts w:hint="eastAsia"/>
        </w:rPr>
        <w:t>（一）企业事业单位未按照规定制定水污染事故的应急方案；</w:t>
      </w:r>
      <w:bookmarkEnd w:id="2758"/>
    </w:p>
    <w:p w14:paraId="04128E30">
      <w:r>
        <w:rPr>
          <w:rFonts w:hint="eastAsia"/>
        </w:rPr>
        <w:t>（二）企业事业单位未按照规定建立事故状态下的水污染防治设施、储备相应的应急救援物资；</w:t>
      </w:r>
    </w:p>
    <w:p w14:paraId="6D3C06EC">
      <w:r>
        <w:rPr>
          <w:rFonts w:hint="eastAsia"/>
        </w:rPr>
        <w:t>（三）水污染事故发生后，造成事故的单位和个人未及时采取有关应急措施，做好事故的事后处置和事后恢复工作。</w:t>
      </w:r>
    </w:p>
    <w:p w14:paraId="44757B1E">
      <w:pPr>
        <w:ind w:firstLine="422"/>
      </w:pPr>
      <w:r>
        <w:rPr>
          <w:rFonts w:hint="eastAsia"/>
          <w:b/>
        </w:rPr>
        <w:t>第八十九条</w:t>
      </w:r>
      <w:r>
        <w:rPr>
          <w:rFonts w:hint="eastAsia"/>
        </w:rPr>
        <w:t>　违反本条例规定，造成水污染事故的，由市或者区、县环境保护行政主管部门依照国家规定处以罚款，责令消除污染；不具备治理能力的，由环境保护行政主管部门指定有能力的单位代为治理，所需费用由违法者承担；对直接负责的主管人员和其他直接责任人员依法处以罚款。</w:t>
      </w:r>
    </w:p>
    <w:p w14:paraId="0BC438F1">
      <w:pPr>
        <w:ind w:firstLine="422"/>
      </w:pPr>
      <w:r>
        <w:rPr>
          <w:rFonts w:hint="eastAsia"/>
          <w:b/>
        </w:rPr>
        <w:t>第九十条</w:t>
      </w:r>
      <w:r>
        <w:rPr>
          <w:rFonts w:hint="eastAsia"/>
        </w:rPr>
        <w:t>　违反本条例规定，使用地下水或者自来水作为城市景观水体补水的，由市或者区、县水行政主管部门责令停止违法行为，并处一万元以上三万元以下的罚款。</w:t>
      </w:r>
    </w:p>
    <w:p w14:paraId="5E26A987">
      <w:pPr>
        <w:ind w:firstLine="422"/>
      </w:pPr>
      <w:r>
        <w:rPr>
          <w:rFonts w:hint="eastAsia"/>
          <w:b/>
        </w:rPr>
        <w:t>第九十一条</w:t>
      </w:r>
      <w:r>
        <w:rPr>
          <w:rFonts w:hint="eastAsia"/>
        </w:rPr>
        <w:t>　当事人对有关行政管理部门依照本条例作出的行政处罚决定不服的，可以申请行政复议，也可以在收到通知之日起十五日内向人民法院起诉；期满不申请行政复议或者起诉，又不履行行政处罚决定的，由作出行政处罚决定的机关申请人民法院强制执行。</w:t>
      </w:r>
    </w:p>
    <w:p w14:paraId="6077EBDF">
      <w:pPr>
        <w:ind w:firstLine="422"/>
      </w:pPr>
      <w:r>
        <w:rPr>
          <w:rFonts w:hint="eastAsia"/>
          <w:b/>
        </w:rPr>
        <w:t>第九十二条</w:t>
      </w:r>
      <w:r>
        <w:rPr>
          <w:rFonts w:hint="eastAsia"/>
        </w:rPr>
        <w:t>　因水污染造成损害的，排污方应当承担侵权责任，法律另有规定的除外。</w:t>
      </w:r>
    </w:p>
    <w:p w14:paraId="6BBB5712">
      <w:r>
        <w:rPr>
          <w:rFonts w:hint="eastAsia"/>
        </w:rPr>
        <w:t>因水污染受到损害的当事人，有权要求排污方排除危害和赔偿损失。因损害赔偿责任和赔偿金额发生纠纷的，当事人可以请求市和区、县环境保护行政主管部门进行调解；调解不成的，当事人可以向人民法院提起诉讼。当事人也可以直接向人民法院提起诉讼。</w:t>
      </w:r>
    </w:p>
    <w:p w14:paraId="7282F50D">
      <w:pPr>
        <w:ind w:firstLine="422"/>
      </w:pPr>
      <w:r>
        <w:rPr>
          <w:rFonts w:hint="eastAsia"/>
          <w:b/>
        </w:rPr>
        <w:t>第九十三条</w:t>
      </w:r>
      <w:r>
        <w:rPr>
          <w:rFonts w:hint="eastAsia"/>
        </w:rPr>
        <w:t>　环境保护行政主管部门和有关社会团体可以依法支持因水污染受到损害的当事人向人民法院提起诉讼，并在确定污染源、污染范围及污染造成的损失等事故调查方面为当事人提供支持。</w:t>
      </w:r>
    </w:p>
    <w:p w14:paraId="0B00DCD8">
      <w:r>
        <w:rPr>
          <w:rFonts w:hint="eastAsia"/>
        </w:rPr>
        <w:t>本市的法律援助机构应当将经济困难公民因水污染受到损害请求赔偿的案件，纳入法律援助的事项范围。</w:t>
      </w:r>
    </w:p>
    <w:p w14:paraId="3E1069A5"/>
    <w:p w14:paraId="65BB7533">
      <w:pPr>
        <w:ind w:firstLine="0" w:firstLineChars="0"/>
        <w:jc w:val="center"/>
        <w:rPr>
          <w:b/>
          <w:sz w:val="28"/>
        </w:rPr>
      </w:pPr>
      <w:r>
        <w:rPr>
          <w:rFonts w:hint="eastAsia"/>
          <w:b/>
          <w:sz w:val="28"/>
        </w:rPr>
        <w:t>第七章　附　则</w:t>
      </w:r>
    </w:p>
    <w:p w14:paraId="1B27AA65"/>
    <w:p w14:paraId="1ABD8236">
      <w:pPr>
        <w:ind w:firstLine="422"/>
      </w:pPr>
      <w:r>
        <w:rPr>
          <w:rFonts w:hint="eastAsia"/>
          <w:b/>
        </w:rPr>
        <w:t>第九十四条</w:t>
      </w:r>
      <w:r>
        <w:rPr>
          <w:rFonts w:hint="eastAsia"/>
        </w:rPr>
        <w:t>　本条例所称公共污水处理设施，是指城镇集中污水处理设施及开发区、工业园区的集中污水处理设施。</w:t>
      </w:r>
    </w:p>
    <w:p w14:paraId="20D84820">
      <w:pPr>
        <w:ind w:firstLine="422"/>
        <w:rPr>
          <w:rFonts w:hint="eastAsia" w:ascii="宋体" w:hAnsi="宋体" w:eastAsia="宋体" w:cs="宋体"/>
        </w:rPr>
      </w:pPr>
      <w:r>
        <w:rPr>
          <w:rFonts w:hint="eastAsia"/>
          <w:b/>
        </w:rPr>
        <w:t>第九十五条</w:t>
      </w:r>
      <w:r>
        <w:rPr>
          <w:rFonts w:hint="eastAsia"/>
        </w:rPr>
        <w:t>　</w:t>
      </w:r>
      <w:r>
        <w:rPr>
          <w:rFonts w:hint="eastAsia" w:ascii="宋体" w:hAnsi="宋体" w:eastAsia="宋体" w:cs="宋体"/>
        </w:rPr>
        <w:t>本条例自2011年3月1日起施行。2002年5月15日北京市第十一届人民代表大会常务委员会第三十四次会议通过的《北京市实施〈中华人民共和国水污染防治法〉办法》同时废止。</w:t>
      </w:r>
    </w:p>
    <w:p w14:paraId="2CF46DC1">
      <w:pPr>
        <w:pStyle w:val="4"/>
        <w:pageBreakBefore/>
      </w:pPr>
      <w:bookmarkStart w:id="2759" w:name="_Toc428781941"/>
      <w:bookmarkStart w:id="2760" w:name="_Toc426467193"/>
      <w:bookmarkStart w:id="2761" w:name="_Toc428780883"/>
      <w:r>
        <w:rPr>
          <w:rFonts w:hint="eastAsia"/>
        </w:rPr>
        <w:t>北京市湿地保护条例</w:t>
      </w:r>
      <w:bookmarkEnd w:id="2759"/>
      <w:bookmarkEnd w:id="2760"/>
      <w:bookmarkEnd w:id="2761"/>
    </w:p>
    <w:p w14:paraId="2A28623A">
      <w:pPr>
        <w:ind w:left="630" w:leftChars="300" w:right="630" w:rightChars="300"/>
        <w:rPr>
          <w:rFonts w:ascii="楷体" w:hAnsi="楷体" w:eastAsia="楷体"/>
        </w:rPr>
      </w:pPr>
      <w:r>
        <w:rPr>
          <w:rFonts w:hint="eastAsia" w:ascii="楷体" w:hAnsi="楷体" w:eastAsia="楷体"/>
        </w:rPr>
        <w:t>（2012年12月27日北京市第十三届人民代表大会常务委员会第三十七次会议通过）</w:t>
      </w:r>
    </w:p>
    <w:p w14:paraId="04F44F1B"/>
    <w:p w14:paraId="3F01CB8E">
      <w:pPr>
        <w:ind w:firstLine="0" w:firstLineChars="0"/>
        <w:jc w:val="center"/>
        <w:rPr>
          <w:b/>
          <w:sz w:val="28"/>
        </w:rPr>
      </w:pPr>
      <w:r>
        <w:rPr>
          <w:rFonts w:hint="eastAsia"/>
          <w:b/>
          <w:sz w:val="28"/>
        </w:rPr>
        <w:t>第一章　总  则</w:t>
      </w:r>
    </w:p>
    <w:p w14:paraId="79CA4DF9"/>
    <w:p w14:paraId="1A708871">
      <w:pPr>
        <w:ind w:firstLine="422"/>
      </w:pPr>
      <w:r>
        <w:rPr>
          <w:rFonts w:hint="eastAsia"/>
          <w:b/>
        </w:rPr>
        <w:t>第一条</w:t>
      </w:r>
      <w:r>
        <w:rPr>
          <w:rFonts w:hint="eastAsia"/>
        </w:rPr>
        <w:t xml:space="preserve">  为了加强湿地保护，维护湿地生态功能和生物多样性，促进湿地资源的可持续利用，保障首都生态安全，建设宜居城市，根据有关法律、法规，结合本市实际情况，制定本条例。</w:t>
      </w:r>
    </w:p>
    <w:p w14:paraId="3097D346">
      <w:pPr>
        <w:ind w:firstLine="422"/>
      </w:pPr>
      <w:r>
        <w:rPr>
          <w:rFonts w:hint="eastAsia"/>
          <w:b/>
        </w:rPr>
        <w:t>第二条</w:t>
      </w:r>
      <w:r>
        <w:rPr>
          <w:rFonts w:hint="eastAsia"/>
        </w:rPr>
        <w:t xml:space="preserve">  本条例适用于本市行政区域内湿地的规划和建设、管理和利用、监督检查及其他湿地保护活动。有关法律、法规对湿地保护作出规定的，依照其规定执行。</w:t>
      </w:r>
    </w:p>
    <w:p w14:paraId="265AEF1C">
      <w:r>
        <w:rPr>
          <w:rFonts w:hint="eastAsia"/>
        </w:rPr>
        <w:t>本条例所称湿地是指天然或者人工形成的河流、湖泊、库塘、沼泽等常年或者季节性、带有静止或者流动水体、适宜喜湿野生生物生存的地域。</w:t>
      </w:r>
    </w:p>
    <w:p w14:paraId="74848B77">
      <w:pPr>
        <w:ind w:firstLine="422"/>
      </w:pPr>
      <w:r>
        <w:rPr>
          <w:rFonts w:hint="eastAsia"/>
          <w:b/>
        </w:rPr>
        <w:t>第三条</w:t>
      </w:r>
      <w:r>
        <w:rPr>
          <w:rFonts w:hint="eastAsia"/>
        </w:rPr>
        <w:t xml:space="preserve">  湿地保护是生态公益事业。</w:t>
      </w:r>
    </w:p>
    <w:p w14:paraId="308C0EE3">
      <w:r>
        <w:rPr>
          <w:rFonts w:hint="eastAsia"/>
        </w:rPr>
        <w:t>市和区、县人民政府应当加强对湿地保护工作的领导，将湿地保护纳入国民经济和社会发展规划和计划，保障湿地保护建设项目和管理工作所需的资金投入，并将湿地保护经费列入同级财政预算。</w:t>
      </w:r>
    </w:p>
    <w:p w14:paraId="5BAB7599">
      <w:r>
        <w:rPr>
          <w:rFonts w:hint="eastAsia"/>
        </w:rPr>
        <w:t>乡镇人民政府和街道办事处应当做好本辖区内湿地保护的相关工作。</w:t>
      </w:r>
    </w:p>
    <w:p w14:paraId="0028EBC5">
      <w:pPr>
        <w:ind w:firstLine="422"/>
      </w:pPr>
      <w:r>
        <w:rPr>
          <w:rFonts w:hint="eastAsia"/>
          <w:b/>
        </w:rPr>
        <w:t>第四条</w:t>
      </w:r>
      <w:r>
        <w:rPr>
          <w:rFonts w:hint="eastAsia"/>
        </w:rPr>
        <w:t xml:space="preserve">  本市实行最严格的湿地保护管理制度。市和区、县人民政府及其有关部门应当实行湿地保护目标责任制，确保湿地面积总量不减少，并采取措施，提升湿地质量，改善湿地功能。</w:t>
      </w:r>
    </w:p>
    <w:p w14:paraId="7B21F599">
      <w:r>
        <w:rPr>
          <w:rFonts w:hint="eastAsia"/>
        </w:rPr>
        <w:t>市人民政府应当定期对有关部门和区县人民政府湿地保护目标完成情况进行考核。</w:t>
      </w:r>
    </w:p>
    <w:p w14:paraId="182BAFE5">
      <w:pPr>
        <w:ind w:firstLine="422"/>
      </w:pPr>
      <w:r>
        <w:rPr>
          <w:rFonts w:hint="eastAsia"/>
          <w:b/>
        </w:rPr>
        <w:t>第五条</w:t>
      </w:r>
      <w:r>
        <w:rPr>
          <w:rFonts w:hint="eastAsia"/>
        </w:rPr>
        <w:t xml:space="preserve">  本市湿地保护坚持生态优先、全面保护、突出重点、合理利用、持续发展的方针，充分发挥湿地涵养水源、净化水质、蓄洪防旱、调节气候、固碳释氧、改善空气质量和维护生物多样性等功能。</w:t>
      </w:r>
    </w:p>
    <w:p w14:paraId="4DDEDDD4">
      <w:pPr>
        <w:ind w:firstLine="422"/>
      </w:pPr>
      <w:r>
        <w:rPr>
          <w:rFonts w:hint="eastAsia"/>
          <w:b/>
        </w:rPr>
        <w:t>第六条</w:t>
      </w:r>
      <w:r>
        <w:rPr>
          <w:rFonts w:hint="eastAsia"/>
        </w:rPr>
        <w:t xml:space="preserve">  本市实行综合协调、分部门实施的湿地保护管理体制。</w:t>
      </w:r>
    </w:p>
    <w:p w14:paraId="78E8A3EE">
      <w:r>
        <w:rPr>
          <w:rFonts w:hint="eastAsia"/>
        </w:rPr>
        <w:t>市和区、县园林绿化行政部门负责本行政区域内湿地保护的组织、协调、指导和监督。</w:t>
      </w:r>
    </w:p>
    <w:p w14:paraId="6AE6B687">
      <w:r>
        <w:rPr>
          <w:rFonts w:hint="eastAsia"/>
        </w:rPr>
        <w:t>市和区、县园林绿化、水务、农业行政部门（以下统称湿地保护管理部门）按照市人民政府确定的职责，分别负责湿地保护管理工作；发展改革、财政、国土资源、规划、环境保护等其他有关部门依照职责分工，做好湿地保护相关工作。</w:t>
      </w:r>
    </w:p>
    <w:p w14:paraId="35686BBE">
      <w:r>
        <w:rPr>
          <w:rFonts w:hint="eastAsia"/>
        </w:rPr>
        <w:t>市和区、县人民政府建立健全湿地保护联席会议制度，研究、协调涉及湿地保护的重大事项及相关工作。园林绿化行政部门承担湿地保护联席会议的日常工作。</w:t>
      </w:r>
    </w:p>
    <w:p w14:paraId="57C5E949">
      <w:pPr>
        <w:ind w:firstLine="422"/>
      </w:pPr>
      <w:r>
        <w:rPr>
          <w:rFonts w:hint="eastAsia"/>
          <w:b/>
        </w:rPr>
        <w:t>第七条</w:t>
      </w:r>
      <w:r>
        <w:rPr>
          <w:rFonts w:hint="eastAsia"/>
        </w:rPr>
        <w:t xml:space="preserve">  每年九月的第三个星期日为“北京湿地日”。</w:t>
      </w:r>
    </w:p>
    <w:p w14:paraId="04BFD86D">
      <w:r>
        <w:rPr>
          <w:rFonts w:hint="eastAsia"/>
        </w:rPr>
        <w:t>各级人民政府、有关部门、新闻媒体应当组织和开展经常性的湿地保护宣传教育，普及湿地保护法律法规和科学知识，提高全社会湿地保护意识。</w:t>
      </w:r>
    </w:p>
    <w:p w14:paraId="47866610">
      <w:pPr>
        <w:ind w:firstLine="422"/>
      </w:pPr>
      <w:r>
        <w:rPr>
          <w:rFonts w:hint="eastAsia"/>
          <w:b/>
        </w:rPr>
        <w:t>第八条</w:t>
      </w:r>
      <w:r>
        <w:rPr>
          <w:rFonts w:hint="eastAsia"/>
        </w:rPr>
        <w:t xml:space="preserve">  鼓励公民、法人和其他组织以宣传教育、捐赠、志愿服务等形式参与湿地保护活动。</w:t>
      </w:r>
    </w:p>
    <w:p w14:paraId="701F4564">
      <w:r>
        <w:rPr>
          <w:rFonts w:hint="eastAsia"/>
        </w:rPr>
        <w:t>鼓励、支持湿地保护科学技术研究和成果转化应用，提高湿地保护科学技术水平。对在湿地保护中做出显著成绩的单位或者个人，市和区、县人民政府或者湿地保护管理部门应当给予表彰、奖励。</w:t>
      </w:r>
    </w:p>
    <w:p w14:paraId="4F26090E"/>
    <w:p w14:paraId="733D24DF">
      <w:pPr>
        <w:ind w:firstLine="0" w:firstLineChars="0"/>
        <w:jc w:val="center"/>
        <w:rPr>
          <w:b/>
          <w:sz w:val="28"/>
        </w:rPr>
      </w:pPr>
      <w:r>
        <w:rPr>
          <w:rFonts w:hint="eastAsia"/>
          <w:b/>
          <w:sz w:val="28"/>
        </w:rPr>
        <w:t>第二章　规划和建设</w:t>
      </w:r>
    </w:p>
    <w:p w14:paraId="260FC1D7"/>
    <w:p w14:paraId="78173064">
      <w:pPr>
        <w:ind w:firstLine="422"/>
      </w:pPr>
      <w:r>
        <w:rPr>
          <w:rFonts w:hint="eastAsia"/>
          <w:b/>
        </w:rPr>
        <w:t>第九条</w:t>
      </w:r>
      <w:r>
        <w:rPr>
          <w:rFonts w:hint="eastAsia"/>
        </w:rPr>
        <w:t xml:space="preserve">  市和区、县园林绿化行政部门应当会同发展改革、水务、农业、规划、国土资源、环境保护等部门编制全市和区县湿地保护发展规划，报本级人民政府批准后公布实施。区县湿地保护发展规划应当符合全市湿地保护发展规划，并报市园林绿化行政部门备案。</w:t>
      </w:r>
    </w:p>
    <w:p w14:paraId="111B9AB9">
      <w:r>
        <w:rPr>
          <w:rFonts w:hint="eastAsia"/>
        </w:rPr>
        <w:t>编制湿地保护发展规划应当采取座谈会、论证会、听证会等多种形式，公开、广泛听取专家和公众意见。</w:t>
      </w:r>
    </w:p>
    <w:p w14:paraId="1C0D06F5">
      <w:pPr>
        <w:ind w:firstLine="422"/>
      </w:pPr>
      <w:r>
        <w:rPr>
          <w:rFonts w:hint="eastAsia"/>
          <w:b/>
        </w:rPr>
        <w:t>第十条</w:t>
      </w:r>
      <w:r>
        <w:rPr>
          <w:rFonts w:hint="eastAsia"/>
        </w:rPr>
        <w:t xml:space="preserve">  湿地保护发展规划应当明确湿地保护的目标任务、总体布局、保护重点和保障措施等。</w:t>
      </w:r>
    </w:p>
    <w:p w14:paraId="34A68962">
      <w:r>
        <w:rPr>
          <w:rFonts w:hint="eastAsia"/>
        </w:rPr>
        <w:t>湿地保护发展规划应当符合本市国民经济和社会发展规划、城乡规划、土地利用总体规划和主体功能区规划，与水资源、防洪、水土保持、环境保护等规划相互协调。</w:t>
      </w:r>
    </w:p>
    <w:p w14:paraId="5798ECAD">
      <w:pPr>
        <w:ind w:firstLine="422"/>
      </w:pPr>
      <w:r>
        <w:rPr>
          <w:rFonts w:hint="eastAsia"/>
          <w:b/>
        </w:rPr>
        <w:t>第十一条</w:t>
      </w:r>
      <w:r>
        <w:rPr>
          <w:rFonts w:hint="eastAsia"/>
        </w:rPr>
        <w:t xml:space="preserve">  湿地保护发展规划是湿地建设、管理、利用等湿地保护相关工作的依据，任何单位和个人未经批准不得修改。确需修改的，应当按照原审批程序报批、备案。湿地保护发展规划修改后应当重新公布。</w:t>
      </w:r>
    </w:p>
    <w:p w14:paraId="79B45945">
      <w:pPr>
        <w:ind w:firstLine="422"/>
      </w:pPr>
      <w:r>
        <w:rPr>
          <w:rFonts w:hint="eastAsia"/>
          <w:b/>
        </w:rPr>
        <w:t>第十二条</w:t>
      </w:r>
      <w:r>
        <w:rPr>
          <w:rFonts w:hint="eastAsia"/>
        </w:rPr>
        <w:t xml:space="preserve">  列入湿地保护发展规划的湿地保护建设项目，市和区、县人民政府应当根据项目前期准备工作和建设资金落实情况，在各年度国民经济和社会发展计划中予以安排。</w:t>
      </w:r>
    </w:p>
    <w:p w14:paraId="4B5E4D6E">
      <w:r>
        <w:rPr>
          <w:rFonts w:hint="eastAsia"/>
        </w:rPr>
        <w:t>市和区、县湿地保护管理部门应当按照湿地保护发展规划制定湿地保护工程规划或者保护方案，组织恢复或者建设湿地，落实保护措施。</w:t>
      </w:r>
    </w:p>
    <w:p w14:paraId="654E26FF">
      <w:r>
        <w:rPr>
          <w:rFonts w:hint="eastAsia"/>
        </w:rPr>
        <w:t>园林绿化行政部门应当为恢复或者建设湿地提供技术指导和服务。</w:t>
      </w:r>
    </w:p>
    <w:p w14:paraId="6C9A63AD">
      <w:pPr>
        <w:ind w:firstLine="422"/>
      </w:pPr>
      <w:r>
        <w:rPr>
          <w:rFonts w:hint="eastAsia"/>
          <w:b/>
        </w:rPr>
        <w:t>第十三条</w:t>
      </w:r>
      <w:r>
        <w:rPr>
          <w:rFonts w:hint="eastAsia"/>
        </w:rPr>
        <w:t xml:space="preserve">  恢复或者建设湿地，应当符合国家和本市有关湿地保护的标准和技术规范，采用自然或者生态的材料和工艺，维护湿地生态功能。防洪、抗旱、水系治理等涉及湿地的工程应当兼顾湿地生态功能，最大限度地减少采用影响湿地生态功能的工程措施。</w:t>
      </w:r>
    </w:p>
    <w:p w14:paraId="03E2F5EC">
      <w:r>
        <w:rPr>
          <w:rFonts w:hint="eastAsia"/>
        </w:rPr>
        <w:t>恢复或者建设湿地，应当种植湿地植物，根据野生动物活动特点和规律，建设野生动物繁殖、栖息环境。</w:t>
      </w:r>
    </w:p>
    <w:p w14:paraId="4A3ACF62">
      <w:r>
        <w:rPr>
          <w:rFonts w:hint="eastAsia"/>
        </w:rPr>
        <w:t>市园林绿化行政部门应当会同有关部门编制有关湿地保护的标准和技术规范。</w:t>
      </w:r>
    </w:p>
    <w:p w14:paraId="54324804">
      <w:pPr>
        <w:ind w:firstLine="422"/>
      </w:pPr>
      <w:r>
        <w:rPr>
          <w:rFonts w:hint="eastAsia"/>
          <w:b/>
        </w:rPr>
        <w:t>第十四条</w:t>
      </w:r>
      <w:r>
        <w:rPr>
          <w:rFonts w:hint="eastAsia"/>
        </w:rPr>
        <w:t>　恢复或者建设湿地应当考虑本地区水资源状况，充分利用雨洪水和再生水，禁止使用地下水。</w:t>
      </w:r>
    </w:p>
    <w:p w14:paraId="243A4634">
      <w:r>
        <w:rPr>
          <w:rFonts w:hint="eastAsia"/>
        </w:rPr>
        <w:t>鼓励、支持污水处理单位恢复或者建设湿地，利用湿地生物资源和生态工程降解污染物、净化水质。</w:t>
      </w:r>
    </w:p>
    <w:p w14:paraId="4772653F">
      <w:pPr>
        <w:ind w:firstLine="422"/>
      </w:pPr>
      <w:r>
        <w:rPr>
          <w:rFonts w:hint="eastAsia"/>
          <w:b/>
        </w:rPr>
        <w:t>第十五条</w:t>
      </w:r>
      <w:r>
        <w:rPr>
          <w:rFonts w:hint="eastAsia"/>
        </w:rPr>
        <w:t>　市和区、县人民政府应当制定政策措施，支持村集体经济组织或者农民在集体土地上恢复或者建设湿地，改善农村生态环境。</w:t>
      </w:r>
    </w:p>
    <w:p w14:paraId="7256A6BE">
      <w:pPr>
        <w:ind w:firstLine="0" w:firstLineChars="0"/>
      </w:pPr>
    </w:p>
    <w:p w14:paraId="098D2DA1">
      <w:pPr>
        <w:ind w:firstLine="0" w:firstLineChars="0"/>
        <w:jc w:val="center"/>
        <w:rPr>
          <w:b/>
          <w:sz w:val="28"/>
        </w:rPr>
      </w:pPr>
      <w:r>
        <w:rPr>
          <w:rFonts w:hint="eastAsia"/>
          <w:b/>
          <w:sz w:val="28"/>
        </w:rPr>
        <w:t>第三章　管理和利用</w:t>
      </w:r>
    </w:p>
    <w:p w14:paraId="11CC83DD"/>
    <w:p w14:paraId="5A4BC354">
      <w:pPr>
        <w:ind w:firstLine="422"/>
      </w:pPr>
      <w:r>
        <w:rPr>
          <w:rFonts w:hint="eastAsia"/>
          <w:b/>
        </w:rPr>
        <w:t>第十六条</w:t>
      </w:r>
      <w:r>
        <w:rPr>
          <w:rFonts w:hint="eastAsia"/>
        </w:rPr>
        <w:t>　本市对湿地实行分级分类保护，按照湿地生态功能和环境效益的重要性，将湿地分为国家重要湿地、市级湿地、区县级湿地和一般湿地，并对国家重要湿地、市级湿地和区县级湿地采取设立湿地自然保护区、湿地公园、湿地自然保护小区等方式予以保护。</w:t>
      </w:r>
    </w:p>
    <w:p w14:paraId="484BCD3C">
      <w:pPr>
        <w:ind w:firstLine="422"/>
      </w:pPr>
      <w:r>
        <w:rPr>
          <w:rFonts w:hint="eastAsia"/>
          <w:b/>
        </w:rPr>
        <w:t>第十七条</w:t>
      </w:r>
      <w:r>
        <w:rPr>
          <w:rFonts w:hint="eastAsia"/>
        </w:rPr>
        <w:t>　本市对国家重要湿地、市级湿地和区县级湿地实行名录管理。</w:t>
      </w:r>
    </w:p>
    <w:p w14:paraId="3D06671C">
      <w:r>
        <w:rPr>
          <w:rFonts w:hint="eastAsia"/>
        </w:rPr>
        <w:t>国家重要湿地名录按照国家有关规定确定并公布。市级湿地名录由市园林绿化行政部门会同市水务、农业行政部门提出，报市人民政府批准后公布。区县级湿地名录由区县园林绿化行政部门会同区县水务、农业行政部门提出，报区县人民政府批准后公布。</w:t>
      </w:r>
    </w:p>
    <w:p w14:paraId="0542785E">
      <w:r>
        <w:rPr>
          <w:rFonts w:hint="eastAsia"/>
        </w:rPr>
        <w:t>湿地名录应当明确湿地的名称、类型、管理机构或者责任单位、保护管理部门等事项。</w:t>
      </w:r>
    </w:p>
    <w:p w14:paraId="47E6BC3A">
      <w:r>
        <w:rPr>
          <w:rFonts w:hint="eastAsia"/>
        </w:rPr>
        <w:t>湿地名录的确定应当征求规划行政主管部门的意见。</w:t>
      </w:r>
    </w:p>
    <w:p w14:paraId="196CE0F5">
      <w:pPr>
        <w:ind w:firstLine="422"/>
        <w:rPr>
          <w:rFonts w:hint="eastAsia" w:ascii="宋体" w:hAnsi="宋体" w:eastAsia="宋体" w:cs="宋体"/>
        </w:rPr>
      </w:pPr>
      <w:r>
        <w:rPr>
          <w:rFonts w:hint="eastAsia"/>
          <w:b/>
        </w:rPr>
        <w:t>第十八条</w:t>
      </w:r>
      <w:r>
        <w:rPr>
          <w:rFonts w:hint="eastAsia"/>
        </w:rPr>
        <w:t>　本市面积</w:t>
      </w:r>
      <w:r>
        <w:rPr>
          <w:rFonts w:hint="eastAsia" w:ascii="宋体" w:hAnsi="宋体" w:eastAsia="宋体" w:cs="宋体"/>
        </w:rPr>
        <w:t>8公顷以上的湿地，应当列入湿地名录。</w:t>
      </w:r>
    </w:p>
    <w:p w14:paraId="2CA2C064">
      <w:pPr>
        <w:rPr>
          <w:rFonts w:hint="eastAsia" w:ascii="宋体" w:hAnsi="宋体" w:eastAsia="宋体" w:cs="宋体"/>
        </w:rPr>
      </w:pPr>
      <w:r>
        <w:rPr>
          <w:rFonts w:hint="eastAsia" w:ascii="宋体" w:hAnsi="宋体" w:eastAsia="宋体" w:cs="宋体"/>
        </w:rPr>
        <w:t>符合下列条件之一的，应当列入市级湿地名录：</w:t>
      </w:r>
    </w:p>
    <w:p w14:paraId="5DE8A3D0">
      <w:pPr>
        <w:rPr>
          <w:rFonts w:hint="eastAsia" w:ascii="宋体" w:hAnsi="宋体" w:eastAsia="宋体" w:cs="宋体"/>
        </w:rPr>
      </w:pPr>
      <w:r>
        <w:rPr>
          <w:rFonts w:hint="eastAsia" w:ascii="宋体" w:hAnsi="宋体" w:eastAsia="宋体" w:cs="宋体"/>
        </w:rPr>
        <w:t>（一）河流湿地、湖泊湿地和沼泽湿地；</w:t>
      </w:r>
    </w:p>
    <w:p w14:paraId="1CB7009A">
      <w:pPr>
        <w:rPr>
          <w:rFonts w:hint="eastAsia" w:ascii="宋体" w:hAnsi="宋体" w:eastAsia="宋体" w:cs="宋体"/>
        </w:rPr>
      </w:pPr>
      <w:r>
        <w:rPr>
          <w:rFonts w:hint="eastAsia" w:ascii="宋体" w:hAnsi="宋体" w:eastAsia="宋体" w:cs="宋体"/>
        </w:rPr>
        <w:t>（二）库容量在1000万立方米以上的库塘湿地；</w:t>
      </w:r>
    </w:p>
    <w:p w14:paraId="3C975840">
      <w:r>
        <w:rPr>
          <w:rFonts w:hint="eastAsia" w:ascii="宋体" w:hAnsi="宋体" w:eastAsia="宋体" w:cs="宋体"/>
        </w:rPr>
        <w:t>（三）具有重要的人文、科学研究和宣传教育价值</w:t>
      </w:r>
      <w:r>
        <w:rPr>
          <w:rFonts w:hint="eastAsia"/>
        </w:rPr>
        <w:t>的湿地；</w:t>
      </w:r>
    </w:p>
    <w:p w14:paraId="5FB75374">
      <w:r>
        <w:rPr>
          <w:rFonts w:hint="eastAsia"/>
        </w:rPr>
        <w:t>（四）具有生态系统典型性和代表性的湿地。</w:t>
      </w:r>
    </w:p>
    <w:p w14:paraId="1EED612C">
      <w:pPr>
        <w:ind w:firstLine="422"/>
      </w:pPr>
      <w:r>
        <w:rPr>
          <w:rFonts w:hint="eastAsia"/>
          <w:b/>
        </w:rPr>
        <w:t>第十九条</w:t>
      </w:r>
      <w:r>
        <w:rPr>
          <w:rFonts w:hint="eastAsia"/>
        </w:rPr>
        <w:t>　列入名录的湿地应当划定保护范围。保护范围由市或者区、县园林绿化行政部门会同同级水务、农业行政部门，按照维护湿地生态系统的整体性、联通性、稳定性及保护相关权利人利益的原则提出建议，经征求规划行政主管部门意见后，报市或者区、县人民政府批准后公布。</w:t>
      </w:r>
    </w:p>
    <w:p w14:paraId="71808C6F">
      <w:r>
        <w:rPr>
          <w:rFonts w:hint="eastAsia"/>
        </w:rPr>
        <w:t>根据国家和本市河湖保护管理规定划定的河湖管理范围和保护范围，可以作为列入名录的河湖湿地的保护范围。</w:t>
      </w:r>
    </w:p>
    <w:p w14:paraId="129FBC81">
      <w:pPr>
        <w:ind w:firstLine="422"/>
      </w:pPr>
      <w:r>
        <w:rPr>
          <w:rFonts w:hint="eastAsia"/>
          <w:b/>
        </w:rPr>
        <w:t>第二十条</w:t>
      </w:r>
      <w:r>
        <w:rPr>
          <w:rFonts w:hint="eastAsia"/>
        </w:rPr>
        <w:t>　湿地保护管理部门应当在列入名录的湿地设立保护标志，标明湿地的名称、类型、保护级别、保护范围、管理机构或者责任单位、保护管理部门。保护标志的样式由市园林绿化行政部门根据国家规定统一制定。</w:t>
      </w:r>
    </w:p>
    <w:p w14:paraId="755ED3AB">
      <w:r>
        <w:rPr>
          <w:rFonts w:hint="eastAsia"/>
        </w:rPr>
        <w:t>任何单位和个人不得损毁、涂改、擅自移动湿地保护标志。</w:t>
      </w:r>
    </w:p>
    <w:p w14:paraId="48EBE0B1">
      <w:pPr>
        <w:ind w:firstLine="422"/>
      </w:pPr>
      <w:r>
        <w:rPr>
          <w:rFonts w:hint="eastAsia"/>
          <w:b/>
        </w:rPr>
        <w:t>第二十一条</w:t>
      </w:r>
      <w:r>
        <w:rPr>
          <w:rFonts w:hint="eastAsia"/>
        </w:rPr>
        <w:t>　珍稀濒危野生动植物物种集中分布地、鸟类主要繁殖栖息地或者重要迁徙停歇地等具有生态系统典型性和代表性的湿地，应当设立湿地自然保护区。</w:t>
      </w:r>
    </w:p>
    <w:p w14:paraId="556B00E1">
      <w:r>
        <w:rPr>
          <w:rFonts w:hint="eastAsia"/>
        </w:rPr>
        <w:t>湿地自然保护区的设立和管理，应当遵守国家有关自然保护区的规定和本条例。</w:t>
      </w:r>
    </w:p>
    <w:p w14:paraId="515D8641">
      <w:pPr>
        <w:ind w:firstLine="422"/>
      </w:pPr>
      <w:r>
        <w:rPr>
          <w:rFonts w:hint="eastAsia"/>
          <w:b/>
        </w:rPr>
        <w:t>第二十二条</w:t>
      </w:r>
      <w:r>
        <w:rPr>
          <w:rFonts w:hint="eastAsia"/>
        </w:rPr>
        <w:t>　具有一定规模和景观价值，适宜开展生态展示、科普教育、生态旅游等活动的湿地，可以设立湿地公园。</w:t>
      </w:r>
    </w:p>
    <w:p w14:paraId="60890764">
      <w:r>
        <w:rPr>
          <w:rFonts w:hint="eastAsia"/>
        </w:rPr>
        <w:t>市级湿地公园的设立，由所在地区县园林绿化行政部门提出申请，报市园林绿化行政部门批准。区县级湿地公园的设立，由所在地区县园林绿化行政部门决定。</w:t>
      </w:r>
    </w:p>
    <w:p w14:paraId="5BEE9405">
      <w:r>
        <w:rPr>
          <w:rFonts w:hint="eastAsia"/>
        </w:rPr>
        <w:t>湿地公园应当划分为湿地保育区、生态功能展示体验区和管理服务区等，实行分区管理。在保育区内只能开展保护、监测等必需的湿地生态系统保护活动；在生态功能展示体验区内只能开展以生态展示、科普教育和生态旅游为主的活动；在管理服务区内可以开展管理和服务等活动。</w:t>
      </w:r>
    </w:p>
    <w:p w14:paraId="3E892335">
      <w:pPr>
        <w:ind w:firstLine="422"/>
      </w:pPr>
      <w:r>
        <w:rPr>
          <w:rFonts w:hint="eastAsia"/>
          <w:b/>
        </w:rPr>
        <w:t>第二十三条</w:t>
      </w:r>
      <w:r>
        <w:rPr>
          <w:rFonts w:hint="eastAsia"/>
        </w:rPr>
        <w:t>　具有湿地自然保护区部分特征，但面积较小、不适宜设立湿地自然保护区或者湿地公园的湿地，可以设立湿地自然保护小区。</w:t>
      </w:r>
    </w:p>
    <w:p w14:paraId="1F92C924">
      <w:r>
        <w:rPr>
          <w:rFonts w:hint="eastAsia"/>
        </w:rPr>
        <w:t>湿地自然保护小区的设立，由所在地区县园林绿化行政部门提出申请，报市园林绿化行政部门会同市水务、农业行政部门批准。</w:t>
      </w:r>
    </w:p>
    <w:p w14:paraId="51671B8F">
      <w:r>
        <w:rPr>
          <w:rFonts w:hint="eastAsia"/>
        </w:rPr>
        <w:t>在湿地自然保护小区内只能开展科学实验和保护、监测等必需的湿地生态系统保护活动。</w:t>
      </w:r>
    </w:p>
    <w:p w14:paraId="1D3AD04B">
      <w:pPr>
        <w:ind w:firstLine="422"/>
      </w:pPr>
      <w:r>
        <w:rPr>
          <w:rFonts w:hint="eastAsia"/>
          <w:b/>
        </w:rPr>
        <w:t>第二十四条</w:t>
      </w:r>
      <w:r>
        <w:rPr>
          <w:rFonts w:hint="eastAsia"/>
        </w:rPr>
        <w:t>　列入名录的湿地的管理机构或者责任单位应当履行下列职责：</w:t>
      </w:r>
    </w:p>
    <w:p w14:paraId="1023ADE6">
      <w:bookmarkStart w:id="2762" w:name="_Toc428780884"/>
      <w:r>
        <w:rPr>
          <w:rFonts w:hint="eastAsia"/>
        </w:rPr>
        <w:t>（一）贯彻执行有关湿地保护的法律、法规、规章和政策；</w:t>
      </w:r>
      <w:bookmarkEnd w:id="2762"/>
    </w:p>
    <w:p w14:paraId="0E2824A7">
      <w:r>
        <w:rPr>
          <w:rFonts w:hint="eastAsia"/>
        </w:rPr>
        <w:t>（二）制定并实施湿地保护管理工作制度；</w:t>
      </w:r>
    </w:p>
    <w:p w14:paraId="0A4B7962">
      <w:r>
        <w:rPr>
          <w:rFonts w:hint="eastAsia"/>
        </w:rPr>
        <w:t>（三）开展有关湿地资源调查并建立档案，组织湿地生态监测，及时分析监测结果，适时调整保护措施；</w:t>
      </w:r>
    </w:p>
    <w:p w14:paraId="43453AF4">
      <w:r>
        <w:rPr>
          <w:rFonts w:hint="eastAsia"/>
        </w:rPr>
        <w:t>（四）组织实施湿地保护、恢复等建设工程；</w:t>
      </w:r>
    </w:p>
    <w:p w14:paraId="40658800">
      <w:r>
        <w:rPr>
          <w:rFonts w:hint="eastAsia"/>
        </w:rPr>
        <w:t>（五）及时清理废弃的建筑物、构筑物等设施；</w:t>
      </w:r>
    </w:p>
    <w:p w14:paraId="7C5C6264">
      <w:r>
        <w:rPr>
          <w:rFonts w:hint="eastAsia"/>
        </w:rPr>
        <w:t>（六）制止破坏湿地的行为，并协助有关部门进行调查处理；</w:t>
      </w:r>
    </w:p>
    <w:p w14:paraId="65943222">
      <w:bookmarkStart w:id="2763" w:name="_Toc428780885"/>
      <w:r>
        <w:rPr>
          <w:rFonts w:hint="eastAsia"/>
        </w:rPr>
        <w:t>（七）组织开展生态展示、科普教育、生态旅游等活动；</w:t>
      </w:r>
      <w:bookmarkEnd w:id="2763"/>
    </w:p>
    <w:p w14:paraId="66EDAF20">
      <w:r>
        <w:rPr>
          <w:rFonts w:hint="eastAsia"/>
        </w:rPr>
        <w:t>（八）开展其他湿地保护活动。</w:t>
      </w:r>
    </w:p>
    <w:p w14:paraId="496E4F25">
      <w:pPr>
        <w:ind w:firstLine="422"/>
      </w:pPr>
      <w:r>
        <w:rPr>
          <w:rFonts w:hint="eastAsia"/>
          <w:b/>
        </w:rPr>
        <w:t>第二十五条</w:t>
      </w:r>
      <w:r>
        <w:rPr>
          <w:rFonts w:hint="eastAsia"/>
        </w:rPr>
        <w:t>　利用列入名录的湿地从事生态展示、科普教育、生态旅游等活动，应当符合湿地保护发展规划，不得超出湿地承载能力、改变湿地生态功能、破坏野生动植物生存环境。</w:t>
      </w:r>
    </w:p>
    <w:p w14:paraId="191D0C6F">
      <w:pPr>
        <w:ind w:firstLine="422"/>
      </w:pPr>
      <w:r>
        <w:rPr>
          <w:rFonts w:hint="eastAsia"/>
          <w:b/>
        </w:rPr>
        <w:t>第二十六条</w:t>
      </w:r>
      <w:r>
        <w:rPr>
          <w:rFonts w:hint="eastAsia"/>
        </w:rPr>
        <w:t>　水务行政部门在保障生活用水的前提下，应当合理调配水资源，充分利用雨洪水和再生水，维持湿地自然保护区、湿地公园和湿地自然保护小区的基本生态用水，维护湿地生态系统。</w:t>
      </w:r>
    </w:p>
    <w:p w14:paraId="704D42F3">
      <w:pPr>
        <w:ind w:firstLine="422"/>
      </w:pPr>
      <w:r>
        <w:rPr>
          <w:rFonts w:hint="eastAsia"/>
          <w:b/>
        </w:rPr>
        <w:t>第二十七条</w:t>
      </w:r>
      <w:r>
        <w:rPr>
          <w:rFonts w:hint="eastAsia"/>
        </w:rPr>
        <w:t>　列入名录的湿地，任何单位和个人未经批准不得擅自开垦、占用或者改变湿地用途。</w:t>
      </w:r>
    </w:p>
    <w:p w14:paraId="24502960">
      <w:r>
        <w:rPr>
          <w:rFonts w:hint="eastAsia"/>
        </w:rPr>
        <w:t>列入名录的湿地因基础设施建设等特殊原因需要占用的，建设单位应当在办理建设项目规划审批手续前，先报湿地所在地的区、县人民政府；经湿地所在地的区、县人民政府同意后，向市湿地保护部门提出申请；市湿地保护部门通过论证会、听证会等形式广泛听取专家和公众意见后，对占用湿地申请提出处理意见，提交市湿地保护联席会议研究；经市湿地保护联席会议研究，不同意占用湿地的，由湿地保护部门书面告知建设单位并说明理由；经市湿地保护联席会议研究确需占用湿地的，由市湿地保护部门报经市人民政府同意后，建设单位方可办理规划审批手续；未经市人民政府同意占用湿地的，规划行政部门不予办理规划审批手续。</w:t>
      </w:r>
    </w:p>
    <w:p w14:paraId="5D92392C">
      <w:r>
        <w:rPr>
          <w:rFonts w:hint="eastAsia"/>
        </w:rPr>
        <w:t>经批准占用列入名录的湿地的，建设单位应当按照湿地保护发展规划、国家和本市有关湿地保护的标准和技术规范，制定湿地恢复建设方案，经市湿地保护部门审核同意后，按照湿地恢复建设方案在指定地点补建不少于占用面积并具备相应功能的湿地；建设单位也可以委托湿地保护部门组织专业单位按照湿地恢复建设方案，在指定地点补建不少于占用面积并具备相应功能的湿地，费用由建设单位承担。</w:t>
      </w:r>
    </w:p>
    <w:p w14:paraId="7B9722FD">
      <w:pPr>
        <w:ind w:firstLine="422"/>
      </w:pPr>
      <w:r>
        <w:rPr>
          <w:rFonts w:hint="eastAsia"/>
          <w:b/>
        </w:rPr>
        <w:t>第二十八条</w:t>
      </w:r>
      <w:r>
        <w:rPr>
          <w:rFonts w:hint="eastAsia"/>
        </w:rPr>
        <w:t>　建设项目的环境影响评价范围内有列入名录的湿地的，建设单位应当依法办理环境影响评价审批手续，并在报批的环境影响评价文件中，就建设项目对湿地主要保护对象和生态系统的影响作出重点分析，提出预防和减轻不良影响的措施。</w:t>
      </w:r>
    </w:p>
    <w:p w14:paraId="1C465B24">
      <w:r>
        <w:rPr>
          <w:rFonts w:hint="eastAsia"/>
        </w:rPr>
        <w:t>环境保护行政主管部门在办理环境影响评价审批手续前，应当征求湿地保护部门的意见。</w:t>
      </w:r>
    </w:p>
    <w:p w14:paraId="35191556">
      <w:pPr>
        <w:ind w:firstLine="422"/>
      </w:pPr>
      <w:r>
        <w:rPr>
          <w:rFonts w:hint="eastAsia"/>
          <w:b/>
        </w:rPr>
        <w:t>第二十九条</w:t>
      </w:r>
      <w:r>
        <w:rPr>
          <w:rFonts w:hint="eastAsia"/>
        </w:rPr>
        <w:t>　本市建立湿地保护专家咨询机制。市园林绿化行政部门应当组织设立湿地保护专家委员会，对湿地保护发展规划的编制、湿地名录的拟定、湿地保护范围的划定、湿地保护方案的制定、湿地资源的评估，以及在湿地保护范围内开展建设和利用等活动提供技术咨询意见。</w:t>
      </w:r>
    </w:p>
    <w:p w14:paraId="10F70E94">
      <w:r>
        <w:rPr>
          <w:rFonts w:hint="eastAsia"/>
        </w:rPr>
        <w:t>湿地保护专家委员会成员由湿地、水资源、野生动植物、生态环境等方面的专家组成。</w:t>
      </w:r>
    </w:p>
    <w:p w14:paraId="4583FC56">
      <w:pPr>
        <w:ind w:firstLine="422"/>
      </w:pPr>
      <w:r>
        <w:rPr>
          <w:rFonts w:hint="eastAsia"/>
          <w:b/>
        </w:rPr>
        <w:t>第三十条</w:t>
      </w:r>
      <w:r>
        <w:rPr>
          <w:rFonts w:hint="eastAsia"/>
        </w:rPr>
        <w:t>　按照湿地保护发展规划恢复或者建设湿地，造成农村集体经济组织或者农民合法权益损失的，市或者区、县人民政府依法予以补偿；对农民生产、生活造成影响的，应当作出妥善安排。</w:t>
      </w:r>
    </w:p>
    <w:p w14:paraId="76E66B77">
      <w:pPr>
        <w:ind w:firstLine="422"/>
      </w:pPr>
      <w:r>
        <w:rPr>
          <w:rFonts w:hint="eastAsia"/>
          <w:b/>
        </w:rPr>
        <w:t>第三十一条</w:t>
      </w:r>
      <w:r>
        <w:rPr>
          <w:rFonts w:hint="eastAsia"/>
        </w:rPr>
        <w:t>　禁止在列入名录的湿地保护范围内从事下列行为：</w:t>
      </w:r>
    </w:p>
    <w:p w14:paraId="439D38E1">
      <w:bookmarkStart w:id="2764" w:name="_Toc428780886"/>
      <w:r>
        <w:rPr>
          <w:rFonts w:hint="eastAsia"/>
        </w:rPr>
        <w:t>（一）采集泥炭、采挖野生植物、捡拾鸟蛋；</w:t>
      </w:r>
      <w:bookmarkEnd w:id="2764"/>
    </w:p>
    <w:p w14:paraId="4098F0C3">
      <w:r>
        <w:rPr>
          <w:rFonts w:hint="eastAsia"/>
        </w:rPr>
        <w:t>（二）抓捕野生动物，破坏野生动物繁殖区和栖息地；</w:t>
      </w:r>
    </w:p>
    <w:p w14:paraId="62F3E41C">
      <w:bookmarkStart w:id="2765" w:name="_Toc428780887"/>
      <w:r>
        <w:rPr>
          <w:rFonts w:hint="eastAsia"/>
        </w:rPr>
        <w:t>（三）投放有毒有害物质、倾倒废弃物或者排放未经处理的污水；</w:t>
      </w:r>
      <w:bookmarkEnd w:id="2765"/>
    </w:p>
    <w:p w14:paraId="7094BD1E">
      <w:r>
        <w:rPr>
          <w:rFonts w:hint="eastAsia"/>
        </w:rPr>
        <w:t>（四）投放有害物种或者擅自引入外来物种；</w:t>
      </w:r>
    </w:p>
    <w:p w14:paraId="44E84128">
      <w:bookmarkStart w:id="2766" w:name="_Toc428780888"/>
      <w:r>
        <w:rPr>
          <w:rFonts w:hint="eastAsia"/>
        </w:rPr>
        <w:t>（五）擅自排放湿地水资源或者堵截湿地水系与外围水系的联系；</w:t>
      </w:r>
      <w:bookmarkEnd w:id="2766"/>
    </w:p>
    <w:p w14:paraId="05EA9E7B">
      <w:r>
        <w:rPr>
          <w:rFonts w:hint="eastAsia"/>
        </w:rPr>
        <w:t>（六）破坏湿地保护监测设施设备；</w:t>
      </w:r>
    </w:p>
    <w:p w14:paraId="6EF0C69A">
      <w:r>
        <w:rPr>
          <w:rFonts w:hint="eastAsia"/>
        </w:rPr>
        <w:t>（七）擅自建造建筑物、构筑物；</w:t>
      </w:r>
    </w:p>
    <w:p w14:paraId="056B1414">
      <w:r>
        <w:rPr>
          <w:rFonts w:hint="eastAsia"/>
        </w:rPr>
        <w:t>（八）法律、法规禁止的其他破坏湿地的行为。</w:t>
      </w:r>
    </w:p>
    <w:p w14:paraId="03D78C60"/>
    <w:p w14:paraId="2BA981D7">
      <w:pPr>
        <w:ind w:firstLine="0" w:firstLineChars="0"/>
        <w:jc w:val="center"/>
        <w:rPr>
          <w:b/>
          <w:sz w:val="28"/>
        </w:rPr>
      </w:pPr>
      <w:r>
        <w:rPr>
          <w:rFonts w:hint="eastAsia"/>
          <w:b/>
          <w:sz w:val="28"/>
        </w:rPr>
        <w:t>第四章　监督检查</w:t>
      </w:r>
    </w:p>
    <w:p w14:paraId="116E0D4D"/>
    <w:p w14:paraId="2D74853A">
      <w:pPr>
        <w:ind w:firstLine="422"/>
      </w:pPr>
      <w:r>
        <w:rPr>
          <w:rFonts w:hint="eastAsia"/>
          <w:b/>
        </w:rPr>
        <w:t>第三十二条</w:t>
      </w:r>
      <w:r>
        <w:rPr>
          <w:rFonts w:hint="eastAsia"/>
        </w:rPr>
        <w:t>　湿地保护管理部门应当依照法律、法规的规定和市人民政府确定的职责，加强对湿地保护工作的监督检查，并对违法行为予以行政处罚，落实湿地保护发展规划的目标和任务。</w:t>
      </w:r>
    </w:p>
    <w:p w14:paraId="220D5B4D">
      <w:r>
        <w:rPr>
          <w:rFonts w:hint="eastAsia"/>
        </w:rPr>
        <w:t>园林绿化行政部门应当加强对湿地保护发展规划实施情况的监督检查。</w:t>
      </w:r>
    </w:p>
    <w:p w14:paraId="7455922D">
      <w:pPr>
        <w:ind w:firstLine="422"/>
      </w:pPr>
      <w:r>
        <w:rPr>
          <w:rFonts w:hint="eastAsia"/>
          <w:b/>
        </w:rPr>
        <w:t>第三十三条</w:t>
      </w:r>
      <w:r>
        <w:rPr>
          <w:rFonts w:hint="eastAsia"/>
        </w:rPr>
        <w:t>　湿地所在地乡镇人民政府和街道办事处应当建立巡查制度，加强对本辖区内湿地保护情况的日常监督检查，协助湿地保护管理部门查处违反本条例的行为。</w:t>
      </w:r>
    </w:p>
    <w:p w14:paraId="6D31B861">
      <w:r>
        <w:rPr>
          <w:rFonts w:hint="eastAsia"/>
        </w:rPr>
        <w:t>村民委员会、居民委员会发现违反本条例行为的，有权予以制止，并向湿地保护管理部门报告。</w:t>
      </w:r>
    </w:p>
    <w:p w14:paraId="57BF1A17">
      <w:pPr>
        <w:ind w:firstLine="422"/>
      </w:pPr>
      <w:r>
        <w:rPr>
          <w:rFonts w:hint="eastAsia"/>
          <w:b/>
        </w:rPr>
        <w:t>第三十四条</w:t>
      </w:r>
      <w:r>
        <w:rPr>
          <w:rFonts w:hint="eastAsia"/>
        </w:rPr>
        <w:t>　任何单位和个人都有保护湿地的义务，对破坏、侵占湿地的行为，有权向区县、乡镇人民政府或者湿地保护管理部门举报。</w:t>
      </w:r>
    </w:p>
    <w:p w14:paraId="62664BBB">
      <w:r>
        <w:rPr>
          <w:rFonts w:hint="eastAsia"/>
        </w:rPr>
        <w:t>有关政府或者部门应当建立健全举报制度，公布举报电话和信箱；接到举报后，应当及时调查处理；经调查属实的，对举报人予以表彰或者奖励；将处理情况记录在案，供举报人查询。</w:t>
      </w:r>
    </w:p>
    <w:p w14:paraId="3B4B9ECB">
      <w:pPr>
        <w:ind w:firstLine="422"/>
      </w:pPr>
      <w:r>
        <w:rPr>
          <w:rFonts w:hint="eastAsia"/>
          <w:b/>
        </w:rPr>
        <w:t>第三十五条</w:t>
      </w:r>
      <w:r>
        <w:rPr>
          <w:rFonts w:hint="eastAsia"/>
        </w:rPr>
        <w:t>　湿地保护管理部门应当对湿地资源进行动态监测，对湿地的生态状况和利用情况进行评估。园林绿化行政部门应当及时汇总有关监测数据。</w:t>
      </w:r>
    </w:p>
    <w:p w14:paraId="49EB31F9">
      <w:pPr>
        <w:ind w:firstLine="422"/>
      </w:pPr>
      <w:r>
        <w:rPr>
          <w:rFonts w:hint="eastAsia"/>
          <w:b/>
        </w:rPr>
        <w:t>第三十六条</w:t>
      </w:r>
      <w:r>
        <w:rPr>
          <w:rFonts w:hint="eastAsia"/>
        </w:rPr>
        <w:t>　市园林绿化行政部门会同有关部门，每五年开展一次全市湿地资源调查，建立湿地资源档案。湿地资源调查结果应当向社会公布。</w:t>
      </w:r>
    </w:p>
    <w:p w14:paraId="62F96E8B">
      <w:r>
        <w:rPr>
          <w:rFonts w:hint="eastAsia"/>
        </w:rPr>
        <w:t>湿地资源调查主要包括湿地面积、类型、分布，以及野生动植物种类、数量、生存状况等内容。</w:t>
      </w:r>
    </w:p>
    <w:p w14:paraId="70DA2CB2">
      <w:pPr>
        <w:ind w:firstLine="422"/>
      </w:pPr>
      <w:r>
        <w:rPr>
          <w:rFonts w:hint="eastAsia"/>
          <w:b/>
        </w:rPr>
        <w:t>第三十七条</w:t>
      </w:r>
      <w:r>
        <w:rPr>
          <w:rFonts w:hint="eastAsia"/>
        </w:rPr>
        <w:t>　湿地保护管理部门履行监督检查职责，可以采取现场检查、询问有关人员、查阅或者复制有关资料等方式。</w:t>
      </w:r>
    </w:p>
    <w:p w14:paraId="4933EFDD">
      <w:r>
        <w:rPr>
          <w:rFonts w:hint="eastAsia"/>
        </w:rPr>
        <w:t>行政执法人员进行监督检查时，应当出示执法证件；有关单位和个人不得拒绝、阻挠、妨碍行政执法人员依法进行监督检查。</w:t>
      </w:r>
    </w:p>
    <w:p w14:paraId="06E0C145"/>
    <w:p w14:paraId="4CD18C3F">
      <w:pPr>
        <w:ind w:firstLine="0" w:firstLineChars="0"/>
        <w:jc w:val="center"/>
        <w:rPr>
          <w:b/>
          <w:sz w:val="28"/>
        </w:rPr>
      </w:pPr>
      <w:r>
        <w:rPr>
          <w:rFonts w:hint="eastAsia"/>
          <w:b/>
          <w:sz w:val="28"/>
        </w:rPr>
        <w:t>第五章　法律责任</w:t>
      </w:r>
    </w:p>
    <w:p w14:paraId="0B49257D"/>
    <w:p w14:paraId="2304FA92">
      <w:pPr>
        <w:ind w:firstLine="422"/>
      </w:pPr>
      <w:r>
        <w:rPr>
          <w:rFonts w:hint="eastAsia"/>
          <w:b/>
        </w:rPr>
        <w:t>第三十八条</w:t>
      </w:r>
      <w:r>
        <w:rPr>
          <w:rFonts w:hint="eastAsia"/>
        </w:rPr>
        <w:t>　本市实行湿地保护管理责任追究制度。湿地保护管理部门或者其他有关部门及其工作人员违反本条例规定，违法履行、不履行或者不当履行湿地保护管理职责的，按照国家和本市有关规定给予行政问责和行政处分；构成犯罪的，依法追究刑事责任。</w:t>
      </w:r>
    </w:p>
    <w:p w14:paraId="7B070E4D">
      <w:pPr>
        <w:ind w:firstLine="422"/>
        <w:rPr>
          <w:rFonts w:hint="eastAsia" w:ascii="宋体" w:hAnsi="宋体" w:eastAsia="宋体" w:cs="宋体"/>
        </w:rPr>
      </w:pPr>
      <w:r>
        <w:rPr>
          <w:rFonts w:hint="eastAsia"/>
          <w:b/>
        </w:rPr>
        <w:t>第三十九条</w:t>
      </w:r>
      <w:r>
        <w:rPr>
          <w:rFonts w:hint="eastAsia"/>
        </w:rPr>
        <w:t>　违反本条例第二十条第二款规定，损毁、涂改、擅自移动湿地保护标志的，由湿地保护管理部门责令限期改正，可以</w:t>
      </w:r>
      <w:r>
        <w:rPr>
          <w:rFonts w:hint="eastAsia" w:ascii="宋体" w:hAnsi="宋体" w:eastAsia="宋体" w:cs="宋体"/>
        </w:rPr>
        <w:t>处500元以上5000元以下罚款。</w:t>
      </w:r>
    </w:p>
    <w:p w14:paraId="0604AA0E">
      <w:pPr>
        <w:ind w:firstLine="422"/>
      </w:pPr>
      <w:r>
        <w:rPr>
          <w:rFonts w:hint="eastAsia"/>
          <w:b/>
        </w:rPr>
        <w:t>第四十条</w:t>
      </w:r>
      <w:r>
        <w:rPr>
          <w:rFonts w:hint="eastAsia"/>
        </w:rPr>
        <w:t>　列入名录的湿地的管理机构或者责任单位违反本条例第二十四条规定不履行职责的，由湿地保护管理部门责令改正；其主要负责人、直接责任人属于国家工作人员的，按规定给予行政处分。</w:t>
      </w:r>
    </w:p>
    <w:p w14:paraId="4B02A7C2">
      <w:pPr>
        <w:ind w:firstLine="422"/>
      </w:pPr>
      <w:r>
        <w:rPr>
          <w:rFonts w:hint="eastAsia"/>
          <w:b/>
        </w:rPr>
        <w:t>第四十一条</w:t>
      </w:r>
      <w:r>
        <w:rPr>
          <w:rFonts w:hint="eastAsia"/>
        </w:rPr>
        <w:t>　违反本条例第二十五条规定，从事不符合湿地保护发展规划的活动，对湿地造成破坏的，由湿地保护管理部门责令停止违法行为，限期恢复原状；恢复原状前不得开展湿地保护以外的其他活动。</w:t>
      </w:r>
    </w:p>
    <w:p w14:paraId="0605F9B8">
      <w:pPr>
        <w:ind w:firstLine="422"/>
        <w:rPr>
          <w:rFonts w:hint="eastAsia" w:ascii="宋体" w:hAnsi="宋体" w:eastAsia="宋体" w:cs="宋体"/>
        </w:rPr>
      </w:pPr>
      <w:r>
        <w:rPr>
          <w:rFonts w:hint="eastAsia"/>
          <w:b/>
        </w:rPr>
        <w:t>第四十二条</w:t>
      </w:r>
      <w:r>
        <w:rPr>
          <w:rFonts w:hint="eastAsia"/>
        </w:rPr>
        <w:t>　违反本条例第二十七条第一款规定，未经批准擅自开垦、占用湿地或者改变湿地用途的，由湿地保护管理部门责令停止违法行为、限期恢复原状，并按照占用湿地或者改变湿地用途的面积，以每平方</w:t>
      </w:r>
      <w:r>
        <w:rPr>
          <w:rFonts w:hint="eastAsia" w:ascii="宋体" w:hAnsi="宋体" w:eastAsia="宋体" w:cs="宋体"/>
        </w:rPr>
        <w:t>米2000元以上5000元以下的标准处以罚款。</w:t>
      </w:r>
    </w:p>
    <w:p w14:paraId="27C15C3E">
      <w:pPr>
        <w:rPr>
          <w:rFonts w:hint="eastAsia" w:ascii="宋体" w:hAnsi="宋体" w:eastAsia="宋体" w:cs="宋体"/>
        </w:rPr>
      </w:pPr>
      <w:r>
        <w:rPr>
          <w:rFonts w:hint="eastAsia" w:ascii="宋体" w:hAnsi="宋体" w:eastAsia="宋体" w:cs="宋体"/>
        </w:rPr>
        <w:t>违反本条例第二十七条第三款规定，经批准占用湿地，未按照湿地恢复建设方案在指定地点补建的，由园林绿化行政部门责令限期补建；逾期不补建的，按照占用湿地的面积，以每平方米2000元以上5000元以下的标准处以罚款。</w:t>
      </w:r>
    </w:p>
    <w:p w14:paraId="766F2950">
      <w:r>
        <w:rPr>
          <w:rFonts w:hint="eastAsia"/>
        </w:rPr>
        <w:t>当事人逾期不恢复原状或者逾期不补建的，湿地保护管理部门可以依法实施代履行。</w:t>
      </w:r>
    </w:p>
    <w:p w14:paraId="3EDB517A">
      <w:pPr>
        <w:ind w:firstLine="422"/>
        <w:rPr>
          <w:rFonts w:hint="eastAsia" w:ascii="宋体" w:hAnsi="宋体" w:eastAsia="宋体" w:cs="宋体"/>
        </w:rPr>
      </w:pPr>
      <w:r>
        <w:rPr>
          <w:rFonts w:hint="eastAsia"/>
          <w:b/>
        </w:rPr>
        <w:t>第四十三条</w:t>
      </w:r>
      <w:r>
        <w:rPr>
          <w:rFonts w:hint="eastAsia"/>
        </w:rPr>
        <w:t>　</w:t>
      </w:r>
      <w:r>
        <w:rPr>
          <w:rFonts w:hint="eastAsia" w:ascii="宋体" w:hAnsi="宋体" w:eastAsia="宋体" w:cs="宋体"/>
        </w:rPr>
        <w:t>违反本条例第三十一条第一项规定的，由湿地保护管理部门责令改正或者恢复原状，处500元以上5000元以下罚款。</w:t>
      </w:r>
    </w:p>
    <w:p w14:paraId="57802E35">
      <w:pPr>
        <w:rPr>
          <w:rFonts w:hint="eastAsia" w:ascii="宋体" w:hAnsi="宋体" w:eastAsia="宋体" w:cs="宋体"/>
        </w:rPr>
      </w:pPr>
      <w:r>
        <w:rPr>
          <w:rFonts w:hint="eastAsia" w:ascii="宋体" w:hAnsi="宋体" w:eastAsia="宋体" w:cs="宋体"/>
        </w:rPr>
        <w:t>违反本条例第三十一条第二项至第七项规定的，由湿地保护管理部门责令改正或者恢复原状，处5000元以上5万元以下罚款；造成严重后果的，处5万元以上50万元以下罚款。</w:t>
      </w:r>
    </w:p>
    <w:p w14:paraId="0E3CBA55">
      <w:pPr>
        <w:ind w:firstLine="422"/>
      </w:pPr>
      <w:r>
        <w:rPr>
          <w:rFonts w:hint="eastAsia"/>
          <w:b/>
        </w:rPr>
        <w:t>第四十四条</w:t>
      </w:r>
      <w:r>
        <w:rPr>
          <w:rFonts w:hint="eastAsia"/>
        </w:rPr>
        <w:t>　违反本条例规定占用湿地、改变湿地用途、破坏湿地和保护标志的，湿地管理机构、责任单位或者湿地所有权人、使用人有权要求侵权人停止侵害、恢复原状或者赔偿损失。</w:t>
      </w:r>
    </w:p>
    <w:p w14:paraId="6CFB2F6E">
      <w:pPr>
        <w:ind w:firstLine="422"/>
      </w:pPr>
      <w:r>
        <w:rPr>
          <w:rFonts w:hint="eastAsia"/>
          <w:b/>
        </w:rPr>
        <w:t>第四十五条</w:t>
      </w:r>
      <w:r>
        <w:rPr>
          <w:rFonts w:hint="eastAsia"/>
        </w:rPr>
        <w:t>　对违反本条例规定的行为，法律、法规已规定法律责任的，从其规定。</w:t>
      </w:r>
    </w:p>
    <w:p w14:paraId="215A6701">
      <w:pPr>
        <w:spacing w:line="300" w:lineRule="exact"/>
        <w:ind w:firstLine="0" w:firstLineChars="0"/>
        <w:jc w:val="center"/>
        <w:rPr>
          <w:b/>
          <w:sz w:val="28"/>
        </w:rPr>
      </w:pPr>
    </w:p>
    <w:p w14:paraId="67F94173">
      <w:pPr>
        <w:ind w:firstLine="0" w:firstLineChars="0"/>
        <w:jc w:val="center"/>
        <w:rPr>
          <w:b/>
          <w:sz w:val="28"/>
        </w:rPr>
      </w:pPr>
      <w:r>
        <w:rPr>
          <w:rFonts w:hint="eastAsia"/>
          <w:b/>
          <w:sz w:val="28"/>
        </w:rPr>
        <w:t>第六章　附  则</w:t>
      </w:r>
    </w:p>
    <w:p w14:paraId="3F9E096F">
      <w:pPr>
        <w:spacing w:line="300" w:lineRule="exact"/>
      </w:pPr>
    </w:p>
    <w:p w14:paraId="03E39A16">
      <w:pPr>
        <w:ind w:firstLine="422"/>
      </w:pPr>
      <w:r>
        <w:rPr>
          <w:rFonts w:hint="eastAsia"/>
          <w:b/>
        </w:rPr>
        <w:t>第四十六条</w:t>
      </w:r>
      <w:r>
        <w:rPr>
          <w:rFonts w:hint="eastAsia"/>
        </w:rPr>
        <w:t>　本条例自</w:t>
      </w:r>
      <w:r>
        <w:rPr>
          <w:rFonts w:hint="eastAsia" w:ascii="宋体" w:hAnsi="宋体" w:eastAsia="宋体" w:cs="宋体"/>
        </w:rPr>
        <w:t>2013年5月1日</w:t>
      </w:r>
      <w:r>
        <w:rPr>
          <w:rFonts w:hint="eastAsia"/>
        </w:rPr>
        <w:t>起施行。</w:t>
      </w:r>
    </w:p>
    <w:p w14:paraId="56151898">
      <w:pPr>
        <w:pStyle w:val="4"/>
        <w:pageBreakBefore/>
      </w:pPr>
      <w:bookmarkStart w:id="2767" w:name="_Toc428781942"/>
      <w:bookmarkStart w:id="2768" w:name="_Toc426467194"/>
      <w:bookmarkStart w:id="2769" w:name="_Toc428780889"/>
      <w:r>
        <w:rPr>
          <w:rFonts w:hint="eastAsia"/>
        </w:rPr>
        <w:t>北京市大气污染防治条例</w:t>
      </w:r>
      <w:bookmarkEnd w:id="2767"/>
      <w:bookmarkEnd w:id="2768"/>
      <w:bookmarkEnd w:id="2769"/>
    </w:p>
    <w:p w14:paraId="076A3A2B">
      <w:pPr>
        <w:ind w:left="630" w:leftChars="300" w:right="630" w:rightChars="300"/>
        <w:rPr>
          <w:rFonts w:ascii="楷体" w:hAnsi="楷体" w:eastAsia="楷体"/>
        </w:rPr>
      </w:pPr>
      <w:r>
        <w:rPr>
          <w:rFonts w:hint="eastAsia" w:ascii="楷体" w:hAnsi="楷体" w:eastAsia="楷体"/>
        </w:rPr>
        <w:t>（2014年1月22日北京市第十四届人民代表大会第二次会议通过）</w:t>
      </w:r>
    </w:p>
    <w:p w14:paraId="6018D7E6"/>
    <w:p w14:paraId="4A5999DD">
      <w:pPr>
        <w:ind w:firstLine="0" w:firstLineChars="0"/>
        <w:jc w:val="center"/>
        <w:rPr>
          <w:b/>
          <w:sz w:val="28"/>
        </w:rPr>
      </w:pPr>
      <w:r>
        <w:rPr>
          <w:rFonts w:hint="eastAsia"/>
          <w:b/>
          <w:sz w:val="28"/>
        </w:rPr>
        <w:t>第一章　总　则</w:t>
      </w:r>
    </w:p>
    <w:p w14:paraId="24292672"/>
    <w:p w14:paraId="3B17F31C">
      <w:pPr>
        <w:ind w:firstLine="422"/>
      </w:pPr>
      <w:r>
        <w:rPr>
          <w:rFonts w:hint="eastAsia"/>
          <w:b/>
        </w:rPr>
        <w:t>第一条</w:t>
      </w:r>
      <w:r>
        <w:rPr>
          <w:rFonts w:hint="eastAsia"/>
        </w:rPr>
        <w:t xml:space="preserve">  为了防治大气污染，改善本市大气环境质量，保障人体健康，推进生态文明建设，促进经济、社会可持续发展，根据有关法律、行政法规，结合本市实际情况，制定本条例。</w:t>
      </w:r>
    </w:p>
    <w:p w14:paraId="224035BA">
      <w:pPr>
        <w:ind w:firstLine="422"/>
      </w:pPr>
      <w:r>
        <w:rPr>
          <w:rFonts w:hint="eastAsia"/>
          <w:b/>
        </w:rPr>
        <w:t>第二条</w:t>
      </w:r>
      <w:r>
        <w:rPr>
          <w:rFonts w:hint="eastAsia"/>
        </w:rPr>
        <w:t xml:space="preserve">  本条例适用于本市行政区域内大气污染防治。</w:t>
      </w:r>
    </w:p>
    <w:p w14:paraId="784729BE">
      <w:pPr>
        <w:ind w:firstLine="422"/>
      </w:pPr>
      <w:r>
        <w:rPr>
          <w:rFonts w:hint="eastAsia"/>
          <w:b/>
        </w:rPr>
        <w:t>第三条</w:t>
      </w:r>
      <w:r>
        <w:rPr>
          <w:rFonts w:hint="eastAsia"/>
        </w:rPr>
        <w:t xml:space="preserve">  大气污染防治坚持以人为本、环境优先、政府主导、全民参与、科学有效、严防严治的原则。</w:t>
      </w:r>
    </w:p>
    <w:p w14:paraId="44E21693">
      <w:pPr>
        <w:ind w:firstLine="422"/>
      </w:pPr>
      <w:r>
        <w:rPr>
          <w:rFonts w:hint="eastAsia"/>
          <w:b/>
        </w:rPr>
        <w:t>第四条</w:t>
      </w:r>
      <w:r>
        <w:rPr>
          <w:rFonts w:hint="eastAsia"/>
        </w:rPr>
        <w:t xml:space="preserve">  大气污染防治应当坚持规划先行，转变经济发展方式，优化产业结构和布局，调整能源结构，综合运用法律、经济、科技、行政和宣传教育等措施。</w:t>
      </w:r>
    </w:p>
    <w:p w14:paraId="12A0291E">
      <w:pPr>
        <w:ind w:firstLine="422"/>
      </w:pPr>
      <w:r>
        <w:rPr>
          <w:rFonts w:hint="eastAsia"/>
          <w:b/>
        </w:rPr>
        <w:t>第五条</w:t>
      </w:r>
      <w:r>
        <w:rPr>
          <w:rFonts w:hint="eastAsia"/>
        </w:rPr>
        <w:t xml:space="preserve">  大气污染防治，应当以降低大气中的细颗粒物浓度为重点，坚持从源头到末端全过程控制污染物排放，严格排放标准，实行污染物排放总量和浓度控制，加快削减排放总量。</w:t>
      </w:r>
    </w:p>
    <w:p w14:paraId="665E01B4"/>
    <w:p w14:paraId="224DC779">
      <w:pPr>
        <w:ind w:firstLine="0" w:firstLineChars="0"/>
        <w:jc w:val="center"/>
        <w:rPr>
          <w:b/>
          <w:sz w:val="28"/>
        </w:rPr>
      </w:pPr>
      <w:r>
        <w:rPr>
          <w:rFonts w:hint="eastAsia"/>
          <w:b/>
          <w:sz w:val="28"/>
        </w:rPr>
        <w:t>第二章　共同防治</w:t>
      </w:r>
    </w:p>
    <w:p w14:paraId="5DAA117E"/>
    <w:p w14:paraId="11E00353">
      <w:pPr>
        <w:ind w:firstLine="422"/>
      </w:pPr>
      <w:r>
        <w:rPr>
          <w:rFonts w:hint="eastAsia"/>
          <w:b/>
        </w:rPr>
        <w:t>第六条</w:t>
      </w:r>
      <w:r>
        <w:rPr>
          <w:rFonts w:hint="eastAsia"/>
        </w:rPr>
        <w:t xml:space="preserve">  防治大气污染应当建立健全政府主导、区域联动、单位施治、全民参与、社会监督的工作机制。</w:t>
      </w:r>
    </w:p>
    <w:p w14:paraId="2991EC45">
      <w:pPr>
        <w:ind w:firstLine="422"/>
      </w:pPr>
      <w:r>
        <w:rPr>
          <w:rFonts w:hint="eastAsia"/>
          <w:b/>
        </w:rPr>
        <w:t>第七条</w:t>
      </w:r>
      <w:r>
        <w:rPr>
          <w:rFonts w:hint="eastAsia"/>
        </w:rPr>
        <w:t xml:space="preserve">  市人民政府对本市的大气污染防治工作负总责，区、县人民政府在各自辖区范围内承担相应责任。</w:t>
      </w:r>
    </w:p>
    <w:p w14:paraId="7E503916">
      <w:pPr>
        <w:ind w:firstLine="422"/>
      </w:pPr>
      <w:r>
        <w:rPr>
          <w:rFonts w:hint="eastAsia"/>
          <w:b/>
        </w:rPr>
        <w:t>第八条</w:t>
      </w:r>
      <w:r>
        <w:rPr>
          <w:rFonts w:hint="eastAsia"/>
        </w:rPr>
        <w:t xml:space="preserve">  市人民政府应当根据污染防治的要求，建立统一有效、分工明确的监管治理体系，并加强整体统筹协调。</w:t>
      </w:r>
    </w:p>
    <w:p w14:paraId="41EB9701">
      <w:r>
        <w:rPr>
          <w:rFonts w:hint="eastAsia"/>
        </w:rPr>
        <w:t>环境保护行政主管部门对大气污染防治实施统一监督管理，有关部门根据各自职责对大气污染防治实施监督管理。</w:t>
      </w:r>
    </w:p>
    <w:p w14:paraId="703B2729">
      <w:pPr>
        <w:ind w:firstLine="422"/>
      </w:pPr>
      <w:r>
        <w:rPr>
          <w:rFonts w:hint="eastAsia"/>
          <w:b/>
        </w:rPr>
        <w:t>第九条</w:t>
      </w:r>
      <w:r>
        <w:rPr>
          <w:rFonts w:hint="eastAsia"/>
        </w:rPr>
        <w:t xml:space="preserve">  市和区、县人民政府应当将大气环境保护工作纳入国民经济和社会发展规划，保障大气污染防治工作的财政投入。</w:t>
      </w:r>
    </w:p>
    <w:p w14:paraId="4A7BAA35">
      <w:pPr>
        <w:ind w:firstLine="422"/>
      </w:pPr>
      <w:r>
        <w:rPr>
          <w:rFonts w:hint="eastAsia"/>
          <w:b/>
        </w:rPr>
        <w:t>第十条</w:t>
      </w:r>
      <w:r>
        <w:rPr>
          <w:rFonts w:hint="eastAsia"/>
        </w:rPr>
        <w:t xml:space="preserve">  市人民政府应当完善和落实城市总体规划，控制人口规模，优化空间布局，合理配置产业和教育、医疗等公共服务资源，减少生产、生活带来的污染。</w:t>
      </w:r>
    </w:p>
    <w:p w14:paraId="22EB52EE">
      <w:pPr>
        <w:ind w:firstLine="422"/>
      </w:pPr>
      <w:r>
        <w:rPr>
          <w:rFonts w:hint="eastAsia"/>
          <w:b/>
        </w:rPr>
        <w:t>第十一条</w:t>
      </w:r>
      <w:r>
        <w:rPr>
          <w:rFonts w:hint="eastAsia"/>
        </w:rPr>
        <w:t xml:space="preserve">  市人民政府应当鼓励和支持大气污染防治科学技术研究，组织开展大气污染成因和防治对策分析，推广应用先进大气污染防治技术，提高大气环境保护的科学技术水平。</w:t>
      </w:r>
    </w:p>
    <w:p w14:paraId="44F26BA6">
      <w:pPr>
        <w:ind w:firstLine="422"/>
      </w:pPr>
      <w:r>
        <w:rPr>
          <w:rFonts w:hint="eastAsia"/>
          <w:b/>
        </w:rPr>
        <w:t>第十二条</w:t>
      </w:r>
      <w:r>
        <w:rPr>
          <w:rFonts w:hint="eastAsia"/>
        </w:rPr>
        <w:t xml:space="preserve">  各级人民政府应当采取措施推进生态治理，提高绿化覆盖率，扩大水域面积，改善大气环境质量。</w:t>
      </w:r>
    </w:p>
    <w:p w14:paraId="2B276296">
      <w:pPr>
        <w:ind w:firstLine="422"/>
      </w:pPr>
      <w:r>
        <w:rPr>
          <w:rFonts w:hint="eastAsia"/>
          <w:b/>
        </w:rPr>
        <w:t>第十三条</w:t>
      </w:r>
      <w:r>
        <w:rPr>
          <w:rFonts w:hint="eastAsia"/>
        </w:rPr>
        <w:t xml:space="preserve">  市人民政府应当根据限期达标的工作目标，制定大气环境质量达标规划和严于国家规定的大气污染控制阶段措施，可以制定严于国家标准的本市大气污染物排放和控制标准，并组织实施。</w:t>
      </w:r>
    </w:p>
    <w:p w14:paraId="71787838">
      <w:pPr>
        <w:ind w:firstLine="422"/>
      </w:pPr>
      <w:r>
        <w:rPr>
          <w:rFonts w:hint="eastAsia"/>
          <w:b/>
        </w:rPr>
        <w:t>第十四条</w:t>
      </w:r>
      <w:r>
        <w:rPr>
          <w:rFonts w:hint="eastAsia"/>
        </w:rPr>
        <w:t>　本市禁止新建、扩建高污染工业项目。市人民政府应当定期制定或者修订禁止新建、扩建的高污染工业项目名录、高污染工业行业调整名录和高污染工艺设备淘汰名录，并向社会公布。</w:t>
      </w:r>
    </w:p>
    <w:p w14:paraId="4ABB04A4">
      <w:pPr>
        <w:ind w:firstLine="422"/>
      </w:pPr>
      <w:r>
        <w:rPr>
          <w:rFonts w:hint="eastAsia"/>
          <w:b/>
        </w:rPr>
        <w:t>第十五条</w:t>
      </w:r>
      <w:r>
        <w:rPr>
          <w:rFonts w:hint="eastAsia"/>
        </w:rPr>
        <w:t>　市和区、县人民政府应当制定和推行有利于防治大气污染的经济政策，引导企业调整能源结构，促进污染企业进行技术改造与产业升级，或者转产、退出。</w:t>
      </w:r>
    </w:p>
    <w:p w14:paraId="302C7568">
      <w:pPr>
        <w:ind w:firstLine="422"/>
      </w:pPr>
      <w:r>
        <w:rPr>
          <w:rFonts w:hint="eastAsia"/>
          <w:b/>
        </w:rPr>
        <w:t>第十六条</w:t>
      </w:r>
      <w:r>
        <w:rPr>
          <w:rFonts w:hint="eastAsia"/>
        </w:rPr>
        <w:t>　市人民政府应当按照污染者担责和谁污染、谁治理、谁付费的原则，确定并公布排污费征收事项和征收标准。</w:t>
      </w:r>
    </w:p>
    <w:p w14:paraId="18408CF5">
      <w:pPr>
        <w:ind w:firstLine="422"/>
      </w:pPr>
      <w:r>
        <w:rPr>
          <w:rFonts w:hint="eastAsia"/>
          <w:b/>
        </w:rPr>
        <w:t>第十七条</w:t>
      </w:r>
      <w:r>
        <w:rPr>
          <w:rFonts w:hint="eastAsia"/>
        </w:rPr>
        <w:t>　市环境保护行政主管部门应当组织建立监测网络，负责统一组织开展大气环境质量监测，发布大气环境质量信息。</w:t>
      </w:r>
    </w:p>
    <w:p w14:paraId="48E2BF51">
      <w:r>
        <w:rPr>
          <w:rFonts w:hint="eastAsia"/>
        </w:rPr>
        <w:t>市环境保护行政主管部门所属环境监测机构发布空气质量日报、预报、空气重污染等专业信息。</w:t>
      </w:r>
    </w:p>
    <w:p w14:paraId="3A1AF6FD">
      <w:r>
        <w:rPr>
          <w:rFonts w:hint="eastAsia"/>
        </w:rPr>
        <w:t>市气象行政主管部门开展大气污染气象条件规律的研究，所属气象台站配合空气质量预报工作和生活服务指导。</w:t>
      </w:r>
    </w:p>
    <w:p w14:paraId="49152289">
      <w:pPr>
        <w:ind w:firstLine="422"/>
      </w:pPr>
      <w:r>
        <w:rPr>
          <w:rFonts w:hint="eastAsia"/>
          <w:b/>
        </w:rPr>
        <w:t>第十八条</w:t>
      </w:r>
      <w:r>
        <w:rPr>
          <w:rFonts w:hint="eastAsia"/>
        </w:rPr>
        <w:t>　环境保护行政主管部门负责确定重点污染源单位名录，并依法向社会公开其向大气排放污染物的监督性监测数据信息。</w:t>
      </w:r>
    </w:p>
    <w:p w14:paraId="4858023A">
      <w:pPr>
        <w:ind w:firstLine="422"/>
      </w:pPr>
      <w:r>
        <w:rPr>
          <w:rFonts w:hint="eastAsia"/>
          <w:b/>
        </w:rPr>
        <w:t>第十九条</w:t>
      </w:r>
      <w:r>
        <w:rPr>
          <w:rFonts w:hint="eastAsia"/>
        </w:rPr>
        <w:t>　市环境保护行政主管部门及有关部门应当向社会公布因违反大气污染防治相关法律、法规而受到相应处罚的企业及其负责人名单，并录入企业信用系统。</w:t>
      </w:r>
    </w:p>
    <w:p w14:paraId="4D6135C2">
      <w:pPr>
        <w:ind w:firstLine="422"/>
      </w:pPr>
      <w:r>
        <w:rPr>
          <w:rFonts w:hint="eastAsia"/>
          <w:b/>
        </w:rPr>
        <w:t>第二十条</w:t>
      </w:r>
      <w:r>
        <w:rPr>
          <w:rFonts w:hint="eastAsia"/>
        </w:rPr>
        <w:t>　环境保护行政主管部门应当鼓励和支持公众参与大气污染防治工作，聘请社会监督员，协助监督大气污染防治工作。</w:t>
      </w:r>
    </w:p>
    <w:p w14:paraId="60E19494">
      <w:pPr>
        <w:ind w:firstLine="422"/>
      </w:pPr>
      <w:r>
        <w:rPr>
          <w:rFonts w:hint="eastAsia"/>
          <w:b/>
        </w:rPr>
        <w:t>第二十一条</w:t>
      </w:r>
      <w:r>
        <w:rPr>
          <w:rFonts w:hint="eastAsia"/>
        </w:rPr>
        <w:t>　市人民政府应当制定空气重污染应急预案并向社会公布。</w:t>
      </w:r>
    </w:p>
    <w:p w14:paraId="13D9446E">
      <w:r>
        <w:rPr>
          <w:rFonts w:hint="eastAsia"/>
        </w:rPr>
        <w:t>在大气受到严重污染，发生或者可能发生危害人体健康和安全的紧急情况时，市人民政府应当及时启动应急方案，按照规定程序，通过媒体向社会发布空气重污染的预警信息，并按照预警级别实施相应的应对措施，包括：责令有关企业停产或者限产、限制部分机动车行驶、禁止燃放烟花爆竹、停止工地土石方作业和建筑拆除施工、停止露天烧烤、停止幼儿园和学校户外体育课等。</w:t>
      </w:r>
    </w:p>
    <w:p w14:paraId="683B4DA4">
      <w:r>
        <w:rPr>
          <w:rFonts w:hint="eastAsia"/>
        </w:rPr>
        <w:t>有关排污单位应当执行本条第二款规定的应对措施。</w:t>
      </w:r>
    </w:p>
    <w:p w14:paraId="7DCA4366">
      <w:pPr>
        <w:ind w:firstLine="422"/>
      </w:pPr>
      <w:r>
        <w:rPr>
          <w:rFonts w:hint="eastAsia"/>
          <w:b/>
        </w:rPr>
        <w:t>第二十二条</w:t>
      </w:r>
      <w:r>
        <w:rPr>
          <w:rFonts w:hint="eastAsia"/>
        </w:rPr>
        <w:t>　市人民政府应当完善污染大气环境举报制度，向社会公开举报电话、网址等，明确有关政府部门的受理范围和职责。</w:t>
      </w:r>
    </w:p>
    <w:p w14:paraId="68DBAAE1">
      <w:r>
        <w:rPr>
          <w:rFonts w:hint="eastAsia"/>
        </w:rPr>
        <w:t>有关政府部门在接到举报后，应当依法及时处理，并将处理结果向举报人反馈。</w:t>
      </w:r>
    </w:p>
    <w:p w14:paraId="44A5614A">
      <w:r>
        <w:rPr>
          <w:rFonts w:hint="eastAsia"/>
        </w:rPr>
        <w:t>举报内容经查证属实的，有关部门应当给予举报人表彰或者奖励。</w:t>
      </w:r>
    </w:p>
    <w:p w14:paraId="33BB921F">
      <w:pPr>
        <w:ind w:firstLine="422"/>
      </w:pPr>
      <w:r>
        <w:rPr>
          <w:rFonts w:hint="eastAsia"/>
          <w:b/>
        </w:rPr>
        <w:t>第二十三条</w:t>
      </w:r>
      <w:r>
        <w:rPr>
          <w:rFonts w:hint="eastAsia"/>
        </w:rPr>
        <w:t>　各级人民政府应当加强大气环境保护宣传，普及大气环境保护法律、法规以及科学知识，提高公众的大气环境保护意识。新闻媒体、居民委员会、村民委员会、学校及社会组织配合政府开展宣传普及，促进形成保护大气环境的社会风气。</w:t>
      </w:r>
    </w:p>
    <w:p w14:paraId="7A0ACED8">
      <w:r>
        <w:rPr>
          <w:rFonts w:hint="eastAsia"/>
        </w:rPr>
        <w:t>各级人民政府对在大气污染防治方面做出显著成绩的单位和个人，给予表彰或者奖励。</w:t>
      </w:r>
    </w:p>
    <w:p w14:paraId="5D2C66E2">
      <w:pPr>
        <w:ind w:firstLine="422"/>
      </w:pPr>
      <w:r>
        <w:rPr>
          <w:rFonts w:hint="eastAsia"/>
          <w:b/>
        </w:rPr>
        <w:t>第二十四条</w:t>
      </w:r>
      <w:r>
        <w:rPr>
          <w:rFonts w:hint="eastAsia"/>
        </w:rPr>
        <w:t>　市人民政府应当在国家区域联防联控机构领导下，加强与相关省区市的大气污染联防联控工作，建立重大污染事项通报制度，逐步实现重大监测信息和污染防治技术共享，推进区域联防联控与应急联动。</w:t>
      </w:r>
    </w:p>
    <w:p w14:paraId="5C5030CA">
      <w:pPr>
        <w:ind w:firstLine="422"/>
      </w:pPr>
      <w:r>
        <w:rPr>
          <w:rFonts w:hint="eastAsia"/>
          <w:b/>
        </w:rPr>
        <w:t>第二十五条</w:t>
      </w:r>
      <w:r>
        <w:rPr>
          <w:rFonts w:hint="eastAsia"/>
        </w:rPr>
        <w:t>　市人民政府应当实行大气环境质量目标责任制和考核评价制度，定期公示考核结果。对市人民政府有关部门和区、县人民政府及其负责人的综合考核评价，应当包含大气环境质量目标完成情况和措施落实情况。</w:t>
      </w:r>
    </w:p>
    <w:p w14:paraId="6A0AD881">
      <w:pPr>
        <w:ind w:firstLine="422"/>
      </w:pPr>
      <w:r>
        <w:rPr>
          <w:rFonts w:hint="eastAsia"/>
          <w:b/>
        </w:rPr>
        <w:t>第二十六条</w:t>
      </w:r>
      <w:r>
        <w:rPr>
          <w:rFonts w:hint="eastAsia"/>
        </w:rPr>
        <w:t>　市和区、县人民政府应当每年向本级人民代表大会报告本行政区域的大气环境质量目标和大气污染防治规划的完成情况，并向社会公布。</w:t>
      </w:r>
    </w:p>
    <w:p w14:paraId="29F8F870">
      <w:pPr>
        <w:ind w:firstLine="422"/>
      </w:pPr>
      <w:r>
        <w:rPr>
          <w:rFonts w:hint="eastAsia"/>
          <w:b/>
        </w:rPr>
        <w:t>第二十七条</w:t>
      </w:r>
      <w:r>
        <w:rPr>
          <w:rFonts w:hint="eastAsia"/>
        </w:rPr>
        <w:t>　各单位都有义务采取措施，防治生产建设或者其他活动对大气环境造成的污染。</w:t>
      </w:r>
    </w:p>
    <w:p w14:paraId="10A60CAD">
      <w:pPr>
        <w:ind w:firstLine="422"/>
      </w:pPr>
      <w:r>
        <w:rPr>
          <w:rFonts w:hint="eastAsia"/>
          <w:b/>
        </w:rPr>
        <w:t>第二十八条</w:t>
      </w:r>
      <w:r>
        <w:rPr>
          <w:rFonts w:hint="eastAsia"/>
        </w:rPr>
        <w:t>　向大气排放污染物的单位，应当遵守国家和本市规定的大气污染物排放和控制标准，并不得超过核定的重点大气污染物排放总量指标。</w:t>
      </w:r>
    </w:p>
    <w:p w14:paraId="5292078E">
      <w:pPr>
        <w:ind w:firstLine="422"/>
      </w:pPr>
      <w:r>
        <w:rPr>
          <w:rFonts w:hint="eastAsia"/>
          <w:b/>
        </w:rPr>
        <w:t>第二十九条</w:t>
      </w:r>
      <w:r>
        <w:rPr>
          <w:rFonts w:hint="eastAsia"/>
        </w:rPr>
        <w:t>　向大气排放污染物的单位，应当建立大气环境保护责任制度，明确单位负责人的责任。</w:t>
      </w:r>
    </w:p>
    <w:p w14:paraId="51E00BE7">
      <w:pPr>
        <w:ind w:firstLine="422"/>
      </w:pPr>
      <w:r>
        <w:rPr>
          <w:rFonts w:hint="eastAsia"/>
          <w:b/>
        </w:rPr>
        <w:t>第三十条</w:t>
      </w:r>
      <w:r>
        <w:rPr>
          <w:rFonts w:hint="eastAsia"/>
        </w:rPr>
        <w:t>　新建、改建、扩建向大气排放污染物的建设项目，应当进行环境影响评价审批。建设项目未通过环境影响评价的，不得开工建设。</w:t>
      </w:r>
    </w:p>
    <w:p w14:paraId="13636580">
      <w:r>
        <w:rPr>
          <w:rFonts w:hint="eastAsia"/>
        </w:rPr>
        <w:t>建设单位在编制建设项目环境影响报告书时，应当依法征求有关单位、专家和公众的意见。</w:t>
      </w:r>
    </w:p>
    <w:p w14:paraId="2B2E24FA">
      <w:pPr>
        <w:ind w:firstLine="422"/>
      </w:pPr>
      <w:r>
        <w:rPr>
          <w:rFonts w:hint="eastAsia"/>
          <w:b/>
        </w:rPr>
        <w:t>第三十一条</w:t>
      </w:r>
      <w:r>
        <w:rPr>
          <w:rFonts w:hint="eastAsia"/>
        </w:rPr>
        <w:t>　建设单位应当保证建设项目配套建设的大气污染防治设施与主体工程同时设计、同时施工、同时投入使用。</w:t>
      </w:r>
    </w:p>
    <w:p w14:paraId="0A11D2C8">
      <w:r>
        <w:rPr>
          <w:rFonts w:hint="eastAsia"/>
        </w:rPr>
        <w:t>建设项目配套建设的大气污染防治设施经环境保护行政主管部门验收合格后，主体工程方可正式投入生产或者使用。</w:t>
      </w:r>
    </w:p>
    <w:p w14:paraId="5AC8858F">
      <w:pPr>
        <w:ind w:firstLine="422"/>
      </w:pPr>
      <w:r>
        <w:rPr>
          <w:rFonts w:hint="eastAsia"/>
          <w:b/>
        </w:rPr>
        <w:t>第三十二条</w:t>
      </w:r>
      <w:r>
        <w:rPr>
          <w:rFonts w:hint="eastAsia"/>
        </w:rPr>
        <w:t>　向大气排放污染物的单位，应当保持大气污染防治设施的正常使用。未经环境保护行政主管部门同意，不得擅自拆除或者闲置大气污染防治设施。</w:t>
      </w:r>
    </w:p>
    <w:p w14:paraId="413472B9">
      <w:pPr>
        <w:ind w:firstLine="422"/>
      </w:pPr>
      <w:r>
        <w:rPr>
          <w:rFonts w:hint="eastAsia"/>
          <w:b/>
        </w:rPr>
        <w:t>第三十三条</w:t>
      </w:r>
      <w:r>
        <w:rPr>
          <w:rFonts w:hint="eastAsia"/>
        </w:rPr>
        <w:t>　向大气排放污染物的单位，应当按照国家和本市有关规定，进行排污申报登记并缴纳排污费。</w:t>
      </w:r>
    </w:p>
    <w:p w14:paraId="703222B5">
      <w:pPr>
        <w:ind w:firstLine="422"/>
      </w:pPr>
      <w:r>
        <w:rPr>
          <w:rFonts w:hint="eastAsia"/>
          <w:b/>
        </w:rPr>
        <w:t>第三十四条</w:t>
      </w:r>
      <w:r>
        <w:rPr>
          <w:rFonts w:hint="eastAsia"/>
        </w:rPr>
        <w:t>　向大气排放污染物的单位，应当按照国家和本市有关规定设置大气污染物排放口。</w:t>
      </w:r>
    </w:p>
    <w:p w14:paraId="667BD03C">
      <w:r>
        <w:rPr>
          <w:rFonts w:hint="eastAsia"/>
        </w:rPr>
        <w:t>除因发生或者可能发生安全生产事故需要通过应急排放通道排放大气污染物外，禁止通过前款规定以外的其他排放通道排放大气污染物。</w:t>
      </w:r>
    </w:p>
    <w:p w14:paraId="511ECF3B">
      <w:pPr>
        <w:ind w:firstLine="422"/>
      </w:pPr>
      <w:r>
        <w:rPr>
          <w:rFonts w:hint="eastAsia"/>
          <w:b/>
        </w:rPr>
        <w:t>第三十五条</w:t>
      </w:r>
      <w:r>
        <w:rPr>
          <w:rFonts w:hint="eastAsia"/>
        </w:rPr>
        <w:t>　向大气排放污染物的单位，应当按照规定自行监测大气污染物排放情况，记录监测数据，并按照规定在网站或者其他对外公开场所向社会公开。监测数据的保存时间不得低于五年。</w:t>
      </w:r>
    </w:p>
    <w:p w14:paraId="7D0F7A26">
      <w:r>
        <w:rPr>
          <w:rFonts w:hint="eastAsia"/>
        </w:rPr>
        <w:t>向大气排放污染物的单位，应当按照有关规定设置监测点位和采样监测平台并保持正常使用，接受环境保护行政主管部门或者其他监督管理部门的监督性监测。</w:t>
      </w:r>
    </w:p>
    <w:p w14:paraId="7AE85CE8">
      <w:pPr>
        <w:ind w:firstLine="422"/>
      </w:pPr>
      <w:r>
        <w:rPr>
          <w:rFonts w:hint="eastAsia"/>
          <w:b/>
        </w:rPr>
        <w:t>第三十六条</w:t>
      </w:r>
      <w:r>
        <w:rPr>
          <w:rFonts w:hint="eastAsia"/>
        </w:rPr>
        <w:t>　列入本市自动监控计划的向大气排放污染物的单位，应当配备大气污染物排放自动监控设备，并纳入环境保护行政主管部门的统一监控系统。</w:t>
      </w:r>
    </w:p>
    <w:p w14:paraId="2FBBE90F">
      <w:r>
        <w:rPr>
          <w:rFonts w:hint="eastAsia"/>
        </w:rPr>
        <w:t>前款规定的向大气排放污染物的单位，负责维护自动监控设备，保持稳定运行和监测数据准确。</w:t>
      </w:r>
    </w:p>
    <w:p w14:paraId="168456F1">
      <w:pPr>
        <w:ind w:firstLine="422"/>
      </w:pPr>
      <w:r>
        <w:rPr>
          <w:rFonts w:hint="eastAsia"/>
          <w:b/>
        </w:rPr>
        <w:t>第三十七条</w:t>
      </w:r>
      <w:r>
        <w:rPr>
          <w:rFonts w:hint="eastAsia"/>
        </w:rPr>
        <w:t>　可能发生大气污染事故的单位应当制定大气污染事故和突发事件的应急预案，并负责应急处置和事后恢复。</w:t>
      </w:r>
    </w:p>
    <w:p w14:paraId="3A0260CB">
      <w:pPr>
        <w:ind w:firstLine="422"/>
      </w:pPr>
      <w:r>
        <w:rPr>
          <w:rFonts w:hint="eastAsia"/>
          <w:b/>
        </w:rPr>
        <w:t>第三十八条</w:t>
      </w:r>
      <w:r>
        <w:rPr>
          <w:rFonts w:hint="eastAsia"/>
        </w:rPr>
        <w:t>　公民负有依法保护大气环境的义务，应当遵守大气污染防治法律、法规，树立大气环境保护意识，自觉践行绿色生活方式，减少向大气排放污染物。</w:t>
      </w:r>
    </w:p>
    <w:p w14:paraId="7781B42C">
      <w:pPr>
        <w:ind w:firstLine="422"/>
      </w:pPr>
      <w:r>
        <w:rPr>
          <w:rFonts w:hint="eastAsia"/>
          <w:b/>
        </w:rPr>
        <w:t>第三十九条</w:t>
      </w:r>
      <w:r>
        <w:rPr>
          <w:rFonts w:hint="eastAsia"/>
        </w:rPr>
        <w:t>　公民、法人和其他组织有权要求市和区、县人民政府及其环境保护等有关部门公开大气环境质量、突发大气环境事件，以及相关的行政许可、行政处罚、排污费的征收和使用、污染物排放限期治理情况等信息。</w:t>
      </w:r>
    </w:p>
    <w:p w14:paraId="5F7046CE">
      <w:pPr>
        <w:ind w:firstLine="422"/>
      </w:pPr>
      <w:r>
        <w:rPr>
          <w:rFonts w:hint="eastAsia"/>
          <w:b/>
        </w:rPr>
        <w:t>第四十条</w:t>
      </w:r>
      <w:r>
        <w:rPr>
          <w:rFonts w:hint="eastAsia"/>
        </w:rPr>
        <w:t>　公民、法人和其他组织有权向环境保护行政主管部门或者其他有关部门，举报污染大气环境的单位和个人。</w:t>
      </w:r>
    </w:p>
    <w:p w14:paraId="20DB05B5">
      <w:r>
        <w:rPr>
          <w:rFonts w:hint="eastAsia"/>
        </w:rPr>
        <w:t>公民、法人和其他组织发现市和区、县人民政府及其环境保护行政主管部门或者其他有关部门不依法履行大气环境监督管理职责，可以向其上级人民政府或者监察机关举报。</w:t>
      </w:r>
    </w:p>
    <w:p w14:paraId="1865F7BF"/>
    <w:p w14:paraId="27CE0034">
      <w:pPr>
        <w:ind w:firstLine="0" w:firstLineChars="0"/>
        <w:jc w:val="center"/>
        <w:rPr>
          <w:b/>
          <w:sz w:val="28"/>
        </w:rPr>
      </w:pPr>
      <w:r>
        <w:rPr>
          <w:rFonts w:hint="eastAsia"/>
          <w:b/>
          <w:sz w:val="28"/>
        </w:rPr>
        <w:t>第三章　重点污染物排放总量控制</w:t>
      </w:r>
    </w:p>
    <w:p w14:paraId="3C5B7317"/>
    <w:p w14:paraId="665D6178">
      <w:pPr>
        <w:ind w:firstLine="422"/>
      </w:pPr>
      <w:r>
        <w:rPr>
          <w:rFonts w:hint="eastAsia"/>
          <w:b/>
        </w:rPr>
        <w:t>第四十一条</w:t>
      </w:r>
      <w:r>
        <w:rPr>
          <w:rFonts w:hint="eastAsia"/>
        </w:rPr>
        <w:t>　本市对重点大气污染物实行排放总量控制，逐步减少污染物排放总量。</w:t>
      </w:r>
    </w:p>
    <w:p w14:paraId="1FCECD06">
      <w:pPr>
        <w:ind w:firstLine="422"/>
      </w:pPr>
      <w:r>
        <w:rPr>
          <w:rFonts w:hint="eastAsia"/>
          <w:b/>
        </w:rPr>
        <w:t>第四十二条</w:t>
      </w:r>
      <w:r>
        <w:rPr>
          <w:rFonts w:hint="eastAsia"/>
        </w:rPr>
        <w:t>　全市排放总量控制的目标以及区域、重点行业和重点企业的排放总量，由市环境保护行政主管部门根据国家要求，结合本市经济社会发展水平、环境质量状况、产业结构特点、交通运行状况等提出，报市人民政府批准后实施，并每年向社会公布。</w:t>
      </w:r>
    </w:p>
    <w:p w14:paraId="338EB88F">
      <w:r>
        <w:rPr>
          <w:rFonts w:hint="eastAsia"/>
        </w:rPr>
        <w:t>区、县人民政府和重点行业主管部门应当根据本市大气污染物排放总量控制要求，制定年度总量控制计划，并组织落实。</w:t>
      </w:r>
    </w:p>
    <w:p w14:paraId="358E290D">
      <w:pPr>
        <w:ind w:firstLine="422"/>
      </w:pPr>
      <w:r>
        <w:rPr>
          <w:rFonts w:hint="eastAsia"/>
          <w:b/>
        </w:rPr>
        <w:t>第四十三条</w:t>
      </w:r>
      <w:r>
        <w:rPr>
          <w:rFonts w:hint="eastAsia"/>
        </w:rPr>
        <w:t>　本市对大气污染物实行排污许可证制度。排污许可证的发放范围及具体管理办法由市环境保护行政主管部门制定，报市政府批准后实施。</w:t>
      </w:r>
    </w:p>
    <w:p w14:paraId="297637C7">
      <w:r>
        <w:rPr>
          <w:rFonts w:hint="eastAsia"/>
        </w:rPr>
        <w:t>纳入排污许可证管理的排污单位，应当按照规定向市、区县环境保护行政主管部门申请核发排污许可证，并按照排污许可证载明的污染物种类、排放总量指标等要求排放污染物，逐步减少污染物排放总量。</w:t>
      </w:r>
    </w:p>
    <w:p w14:paraId="6F3B8068">
      <w:pPr>
        <w:ind w:firstLine="422"/>
      </w:pPr>
      <w:r>
        <w:rPr>
          <w:rFonts w:hint="eastAsia"/>
          <w:b/>
        </w:rPr>
        <w:t>第四十四条</w:t>
      </w:r>
      <w:r>
        <w:rPr>
          <w:rFonts w:hint="eastAsia"/>
        </w:rPr>
        <w:t>　排污单位的重点大气污染物排放总量由环境保护行政主管部门根据本市大气污染物排放和控制标准、清洁生产水平、重点大气污染物排放总量控制要求、产业布局和结构优化等因素，按照公开、公平、公正的原则核定。</w:t>
      </w:r>
    </w:p>
    <w:p w14:paraId="76BE9892">
      <w:pPr>
        <w:ind w:firstLine="422"/>
      </w:pPr>
      <w:r>
        <w:rPr>
          <w:rFonts w:hint="eastAsia"/>
          <w:b/>
        </w:rPr>
        <w:t>第四十五条</w:t>
      </w:r>
      <w:r>
        <w:rPr>
          <w:rFonts w:hint="eastAsia"/>
        </w:rPr>
        <w:t>　本市在严格控制重点大气污染物排放总量、实行排放总量削减计划的前提下，按照有利于总量减少的原则，可以进行大气污染物排污权交易试点。具体办法由市人民政府制定。</w:t>
      </w:r>
    </w:p>
    <w:p w14:paraId="5FAD99C1">
      <w:pPr>
        <w:ind w:firstLine="422"/>
      </w:pPr>
      <w:r>
        <w:rPr>
          <w:rFonts w:hint="eastAsia"/>
          <w:b/>
        </w:rPr>
        <w:t>第四十六条</w:t>
      </w:r>
      <w:r>
        <w:rPr>
          <w:rFonts w:hint="eastAsia"/>
        </w:rPr>
        <w:t>　现有排污单位的大气污染物排放总量指标，由环境保护行政主管部门核定取得。</w:t>
      </w:r>
    </w:p>
    <w:p w14:paraId="2BC8C0BF">
      <w:r>
        <w:rPr>
          <w:rFonts w:hint="eastAsia"/>
        </w:rPr>
        <w:t>纳入总量控制范围的新建、改建、扩建建设项目，应当在进行环境影响评价审批前取得重点大气污染物排放总量指标，并在环境影响评价文件中说明指标来源。</w:t>
      </w:r>
    </w:p>
    <w:p w14:paraId="4DC84F8A">
      <w:r>
        <w:rPr>
          <w:rFonts w:hint="eastAsia"/>
        </w:rPr>
        <w:t>涉及民生的重点工程，排放总量指标不能满足需要的，经市人民政府同意后可以调剂取得，并向社会公开。</w:t>
      </w:r>
    </w:p>
    <w:p w14:paraId="3B2755AC">
      <w:pPr>
        <w:ind w:firstLine="422"/>
      </w:pPr>
      <w:r>
        <w:rPr>
          <w:rFonts w:hint="eastAsia"/>
          <w:b/>
        </w:rPr>
        <w:t>第四十七条</w:t>
      </w:r>
      <w:r>
        <w:rPr>
          <w:rFonts w:hint="eastAsia"/>
        </w:rPr>
        <w:t>　环境保护行政主管部门按照减量替代、总量减少的原则，审批环境影响评价文件。</w:t>
      </w:r>
    </w:p>
    <w:p w14:paraId="1483450D">
      <w:r>
        <w:rPr>
          <w:rFonts w:hint="eastAsia"/>
        </w:rPr>
        <w:t>通过减量替代获得大气污染物排放总量指标的建设项目，在替代的排放量未削减完成前，不得投入试生产，环境保护行政主管部门不予办理建设项目环境保护竣工验收手续。</w:t>
      </w:r>
    </w:p>
    <w:p w14:paraId="4F38995B">
      <w:pPr>
        <w:ind w:firstLine="422"/>
      </w:pPr>
      <w:r>
        <w:rPr>
          <w:rFonts w:hint="eastAsia"/>
          <w:b/>
        </w:rPr>
        <w:t>第四十八条</w:t>
      </w:r>
      <w:r>
        <w:rPr>
          <w:rFonts w:hint="eastAsia"/>
        </w:rPr>
        <w:t>　未完成年度大气污染物排放总量控制任务的区域、行业，环境保护行政主管部门应当暂停审批该区域或行业内除民生工程以外的、排放该项污染物的建设项目环境影响评价文件；该项目的审批部门不得批准其建设。</w:t>
      </w:r>
    </w:p>
    <w:p w14:paraId="231549F3"/>
    <w:p w14:paraId="3D4D7458">
      <w:pPr>
        <w:ind w:firstLine="0" w:firstLineChars="0"/>
        <w:jc w:val="center"/>
        <w:rPr>
          <w:b/>
          <w:sz w:val="28"/>
        </w:rPr>
      </w:pPr>
      <w:r>
        <w:rPr>
          <w:rFonts w:hint="eastAsia"/>
          <w:b/>
          <w:sz w:val="28"/>
        </w:rPr>
        <w:t>第四章　固定污染源污染防治</w:t>
      </w:r>
    </w:p>
    <w:p w14:paraId="3C3E12FC"/>
    <w:p w14:paraId="5FA506AC">
      <w:pPr>
        <w:ind w:firstLine="422"/>
      </w:pPr>
      <w:r>
        <w:rPr>
          <w:rFonts w:hint="eastAsia"/>
          <w:b/>
        </w:rPr>
        <w:t>第四十九条</w:t>
      </w:r>
      <w:r>
        <w:rPr>
          <w:rFonts w:hint="eastAsia"/>
        </w:rPr>
        <w:t>　本市按照循环经济和清洁生产的要求推动生态工业园区建设，通过合理规划工业布局，引导工业企业入驻工业园区。</w:t>
      </w:r>
    </w:p>
    <w:p w14:paraId="32E1538C">
      <w:r>
        <w:rPr>
          <w:rFonts w:hint="eastAsia"/>
        </w:rPr>
        <w:t>新建排放大气污染物的工业项目，应当按照环保规定进入工业园区。工业园区目录由市经济信息化行政主管部门会同有关部门制定并公布。</w:t>
      </w:r>
    </w:p>
    <w:p w14:paraId="6A45BD90">
      <w:pPr>
        <w:ind w:firstLine="422"/>
      </w:pPr>
      <w:r>
        <w:rPr>
          <w:rFonts w:hint="eastAsia"/>
          <w:b/>
        </w:rPr>
        <w:t>第五十条</w:t>
      </w:r>
      <w:r>
        <w:rPr>
          <w:rFonts w:hint="eastAsia"/>
        </w:rPr>
        <w:t>　本市实施燃煤消耗总量控制。</w:t>
      </w:r>
    </w:p>
    <w:p w14:paraId="39590BCB">
      <w:r>
        <w:rPr>
          <w:rFonts w:hint="eastAsia"/>
        </w:rPr>
        <w:t>市发展改革行政主管部门应当会同有关部门制定清洁能源利用发展规划，确定燃煤总量控制目标，并规定实施步骤，逐步削减燃煤总量。</w:t>
      </w:r>
    </w:p>
    <w:p w14:paraId="4953E246">
      <w:r>
        <w:rPr>
          <w:rFonts w:hint="eastAsia"/>
        </w:rPr>
        <w:t>区、县人民政府应当按照燃煤消耗总量控制目标，制定本行政区域削减燃煤和清洁能源改造计划并组织落实。</w:t>
      </w:r>
    </w:p>
    <w:p w14:paraId="7EF5E976">
      <w:pPr>
        <w:ind w:firstLine="422"/>
      </w:pPr>
      <w:r>
        <w:rPr>
          <w:rFonts w:hint="eastAsia"/>
          <w:b/>
        </w:rPr>
        <w:t>第五十一条</w:t>
      </w:r>
      <w:r>
        <w:rPr>
          <w:rFonts w:hint="eastAsia"/>
        </w:rPr>
        <w:t>　市人民政府划定并公布高污染燃料禁燃区，并根据空气质量改善要求，规定实施步骤，逐步扩大禁燃区范围。</w:t>
      </w:r>
    </w:p>
    <w:p w14:paraId="7F6A74A6">
      <w:r>
        <w:rPr>
          <w:rFonts w:hint="eastAsia"/>
        </w:rPr>
        <w:t>在禁燃区内，禁止新建、扩建燃烧高污染燃料的设施；现有燃烧煤炭、重油、渣油等高污染燃料的设施，应当在市人民政府规定的期限内停止使用或者改用清洁能源。</w:t>
      </w:r>
    </w:p>
    <w:p w14:paraId="4DE9245D">
      <w:pPr>
        <w:ind w:firstLine="422"/>
      </w:pPr>
      <w:r>
        <w:rPr>
          <w:rFonts w:hint="eastAsia"/>
          <w:b/>
        </w:rPr>
        <w:t>第五十二条</w:t>
      </w:r>
      <w:r>
        <w:rPr>
          <w:rFonts w:hint="eastAsia"/>
        </w:rPr>
        <w:t>　本市禁止新建、扩建燃烧煤炭、重油、渣油的设施。</w:t>
      </w:r>
    </w:p>
    <w:p w14:paraId="2C5BFA5B">
      <w:r>
        <w:rPr>
          <w:rFonts w:hint="eastAsia"/>
        </w:rPr>
        <w:t>使用煤炭、重油、渣油为燃料的工业锅炉、炉窑、发电机组等设施，应当按照市人民政府规定的期限改用清洁能源。</w:t>
      </w:r>
    </w:p>
    <w:p w14:paraId="20F6D10D">
      <w:r>
        <w:rPr>
          <w:rFonts w:hint="eastAsia"/>
        </w:rPr>
        <w:t>远郊区、县燃煤供热设施应当在规定期限内实施清洁能源改造。</w:t>
      </w:r>
    </w:p>
    <w:p w14:paraId="75ED627C">
      <w:pPr>
        <w:ind w:firstLine="422"/>
      </w:pPr>
      <w:r>
        <w:rPr>
          <w:rFonts w:hint="eastAsia"/>
          <w:b/>
        </w:rPr>
        <w:t>第五十三条</w:t>
      </w:r>
      <w:r>
        <w:rPr>
          <w:rFonts w:hint="eastAsia"/>
        </w:rPr>
        <w:t>　本市禁止新建、扩建炼油、水泥、炼焦、钢铁、有色金属冶炼、铸造、平板玻璃、陶瓷、沥青防水卷材、人造板、粘土砖等制造加工项目以及非金属矿采选等矿产资源开发项目。</w:t>
      </w:r>
    </w:p>
    <w:p w14:paraId="390AEF53">
      <w:r>
        <w:rPr>
          <w:rFonts w:hint="eastAsia"/>
        </w:rPr>
        <w:t>列入前款和本条例第十四条规定名录的项目，市人民政府有关部门不得批准建设；列入调整和淘汰名录的行业、工艺和设备，相关企业应当在规定期限内调整退出。</w:t>
      </w:r>
    </w:p>
    <w:p w14:paraId="5DBF1C6B">
      <w:r>
        <w:rPr>
          <w:rFonts w:hint="eastAsia"/>
        </w:rPr>
        <w:t>依照本条第二款的规定，应当退出、关闭、搬迁的现有企业，市经济信息化行政主管部门应当事先向企业公告，听取企业意见。</w:t>
      </w:r>
    </w:p>
    <w:p w14:paraId="1A87ACC6">
      <w:pPr>
        <w:ind w:firstLine="422"/>
      </w:pPr>
      <w:r>
        <w:rPr>
          <w:rFonts w:hint="eastAsia"/>
          <w:b/>
        </w:rPr>
        <w:t>第五十四条</w:t>
      </w:r>
      <w:r>
        <w:rPr>
          <w:rFonts w:hint="eastAsia"/>
        </w:rPr>
        <w:t>　本市禁止销售不符合标准的散煤及制品。</w:t>
      </w:r>
    </w:p>
    <w:p w14:paraId="4AA8F99D">
      <w:r>
        <w:rPr>
          <w:rFonts w:hint="eastAsia"/>
        </w:rPr>
        <w:t>居民住宅生活用煤应当按照市人民政府的规定，使用符合标准的低硫优质煤。</w:t>
      </w:r>
    </w:p>
    <w:p w14:paraId="16DB2EE7">
      <w:r>
        <w:rPr>
          <w:rFonts w:hint="eastAsia"/>
        </w:rPr>
        <w:t>提供饮食、洗浴、住宿等服务的单位，应当使用天然气、液化石油气、电或者以其他清洁能源为燃料。</w:t>
      </w:r>
    </w:p>
    <w:p w14:paraId="4CBA7971">
      <w:pPr>
        <w:ind w:firstLine="422"/>
      </w:pPr>
      <w:r>
        <w:rPr>
          <w:rFonts w:hint="eastAsia"/>
          <w:b/>
        </w:rPr>
        <w:t>第五十五条</w:t>
      </w:r>
      <w:r>
        <w:rPr>
          <w:rFonts w:hint="eastAsia"/>
        </w:rPr>
        <w:t>　市住房城乡建设、规划行政主管部门应当会同有关部门，推进既有建筑节能改造，执行新建建筑强制性节能标准，减少能源消耗和大气污染物排放。</w:t>
      </w:r>
    </w:p>
    <w:p w14:paraId="5BCDE4DC">
      <w:pPr>
        <w:ind w:firstLine="422"/>
      </w:pPr>
      <w:r>
        <w:rPr>
          <w:rFonts w:hint="eastAsia"/>
          <w:b/>
        </w:rPr>
        <w:t>第五十六条</w:t>
      </w:r>
      <w:r>
        <w:rPr>
          <w:rFonts w:hint="eastAsia"/>
        </w:rPr>
        <w:t>　市环境保护行政主管部门应当会同市质量技术监督部门，制定本市产品挥发性有机物含量限值标准。</w:t>
      </w:r>
    </w:p>
    <w:p w14:paraId="2A3F6176">
      <w:r>
        <w:rPr>
          <w:rFonts w:hint="eastAsia"/>
        </w:rPr>
        <w:t>在本市生产、销售、使用含挥发性有机物的原材料和产品的，其挥发性有机物含量应当符合本市规定的限值标准。</w:t>
      </w:r>
    </w:p>
    <w:p w14:paraId="3587DF4C">
      <w:pPr>
        <w:ind w:firstLine="422"/>
      </w:pPr>
      <w:r>
        <w:rPr>
          <w:rFonts w:hint="eastAsia"/>
          <w:b/>
        </w:rPr>
        <w:t>第五十七条</w:t>
      </w:r>
      <w:r>
        <w:rPr>
          <w:rFonts w:hint="eastAsia"/>
        </w:rPr>
        <w:t>　产生含挥发性有机物废气的生产和服务活动，应当在密闭空间或者设备中进行，并按照规定安装、使用污染防治设施；无法密闭的活动除外。</w:t>
      </w:r>
    </w:p>
    <w:p w14:paraId="6B4408C1">
      <w:r>
        <w:rPr>
          <w:rFonts w:hint="eastAsia"/>
        </w:rPr>
        <w:t>加油加气站、储油储气库和使用油罐车、气罐车等的单位，应当按照本市规定安装油气回收装置并保持正常使用，并每年向环境保护行政主管部门报送由检测资质机构出具的油气排放检测报告。</w:t>
      </w:r>
    </w:p>
    <w:p w14:paraId="2A5AF4E9">
      <w:pPr>
        <w:ind w:firstLine="422"/>
      </w:pPr>
      <w:r>
        <w:rPr>
          <w:rFonts w:hint="eastAsia"/>
          <w:b/>
        </w:rPr>
        <w:t>第五十八条</w:t>
      </w:r>
      <w:r>
        <w:rPr>
          <w:rFonts w:hint="eastAsia"/>
        </w:rPr>
        <w:t>　工业涂装企业应当按照本市有关规定，使用低挥发性有机物含量涂料，记录生产工艺、设施及污染控制设备的主要操作参数、运行情况，并建立记录生产原料、辅料的使用量、废弃量和去向，及其挥发性有机物含量的台账。台账的保存时间不得低于三年。</w:t>
      </w:r>
    </w:p>
    <w:p w14:paraId="29BAF124">
      <w:pPr>
        <w:ind w:firstLine="422"/>
      </w:pPr>
      <w:r>
        <w:rPr>
          <w:rFonts w:hint="eastAsia"/>
          <w:b/>
        </w:rPr>
        <w:t>第五十九条</w:t>
      </w:r>
      <w:r>
        <w:rPr>
          <w:rFonts w:hint="eastAsia"/>
        </w:rPr>
        <w:t>　石油、化工及其他生产和使用有机溶剂的企业，应当采取措施对管道、设备进行日常维护、维修，减少物料泄漏，并对已经泄漏的物料及时收集处理。</w:t>
      </w:r>
    </w:p>
    <w:p w14:paraId="504A8747">
      <w:pPr>
        <w:ind w:firstLine="422"/>
      </w:pPr>
      <w:r>
        <w:rPr>
          <w:rFonts w:hint="eastAsia"/>
          <w:b/>
        </w:rPr>
        <w:t>第六十条</w:t>
      </w:r>
      <w:r>
        <w:rPr>
          <w:rFonts w:hint="eastAsia"/>
        </w:rPr>
        <w:t>　饮食服务、服装干洗和机动车维修等项目，应当设置油烟、异味和废气处理装置等污染防治设施并保持正常使用，防止影响周边环境。</w:t>
      </w:r>
    </w:p>
    <w:p w14:paraId="59F520FE">
      <w:r>
        <w:rPr>
          <w:rFonts w:hint="eastAsia"/>
        </w:rPr>
        <w:t>在居民住宅楼、未配套设立专用烟道的商住综合楼、商住综合楼内与居住层相邻的商业楼层内，禁止新建、改建、扩建产生油烟、异味、废气的饮食服务、服装干洗和机动车维修等项目。</w:t>
      </w:r>
    </w:p>
    <w:p w14:paraId="04121109">
      <w:pPr>
        <w:ind w:firstLine="422"/>
      </w:pPr>
      <w:r>
        <w:rPr>
          <w:rFonts w:hint="eastAsia"/>
          <w:b/>
        </w:rPr>
        <w:t>第六十一条</w:t>
      </w:r>
      <w:r>
        <w:rPr>
          <w:rFonts w:hint="eastAsia"/>
        </w:rPr>
        <w:t>　向大气排放粉尘、有毒有害气体或恶臭气体的单位，应当安装净化装置或者采取其他措施，防止污染周边环境。</w:t>
      </w:r>
    </w:p>
    <w:p w14:paraId="057FD723">
      <w:pPr>
        <w:ind w:firstLine="422"/>
      </w:pPr>
      <w:r>
        <w:rPr>
          <w:rFonts w:hint="eastAsia"/>
          <w:b/>
        </w:rPr>
        <w:t>第六十二条</w:t>
      </w:r>
      <w:r>
        <w:rPr>
          <w:rFonts w:hint="eastAsia"/>
        </w:rPr>
        <w:t>　任何单位和个人不得进行露天焚烧秸秆、树叶、枯草、垃圾、电子废物、油毡、橡胶、塑料、皮革等向大气排放污染物的行为。</w:t>
      </w:r>
    </w:p>
    <w:p w14:paraId="7A4DF18E">
      <w:r>
        <w:rPr>
          <w:rFonts w:hint="eastAsia"/>
        </w:rPr>
        <w:t>任何单位和个人不得在政府划定的禁止范围内露天烧烤食品或者为露天烧烤食品提供场地。</w:t>
      </w:r>
    </w:p>
    <w:p w14:paraId="5170C0F6"/>
    <w:p w14:paraId="0ECC4D05">
      <w:pPr>
        <w:ind w:firstLine="0" w:firstLineChars="0"/>
        <w:jc w:val="center"/>
        <w:rPr>
          <w:b/>
          <w:sz w:val="28"/>
        </w:rPr>
      </w:pPr>
      <w:r>
        <w:rPr>
          <w:rFonts w:hint="eastAsia"/>
          <w:b/>
          <w:sz w:val="28"/>
        </w:rPr>
        <w:t>第五章　机动车和非道路移动</w:t>
      </w:r>
    </w:p>
    <w:p w14:paraId="2ED43D45">
      <w:pPr>
        <w:ind w:firstLine="0" w:firstLineChars="0"/>
        <w:jc w:val="center"/>
        <w:rPr>
          <w:b/>
          <w:sz w:val="28"/>
        </w:rPr>
      </w:pPr>
      <w:r>
        <w:rPr>
          <w:rFonts w:hint="eastAsia"/>
          <w:b/>
          <w:sz w:val="28"/>
        </w:rPr>
        <w:t xml:space="preserve">      机械排放污染防治</w:t>
      </w:r>
    </w:p>
    <w:p w14:paraId="63DB2C1C">
      <w:r>
        <w:rPr>
          <w:rFonts w:hint="eastAsia"/>
        </w:rPr>
        <w:t xml:space="preserve">  </w:t>
      </w:r>
    </w:p>
    <w:p w14:paraId="45C955C7">
      <w:pPr>
        <w:ind w:firstLine="422"/>
      </w:pPr>
      <w:r>
        <w:rPr>
          <w:rFonts w:hint="eastAsia"/>
          <w:b/>
        </w:rPr>
        <w:t>第六十三条</w:t>
      </w:r>
      <w:r>
        <w:rPr>
          <w:rFonts w:hint="eastAsia"/>
        </w:rPr>
        <w:t>　本市根据国家大气环境质量标准和本市大气环境质量目标，对机动车实施数量调控。</w:t>
      </w:r>
    </w:p>
    <w:p w14:paraId="44013991">
      <w:r>
        <w:rPr>
          <w:rFonts w:hint="eastAsia"/>
        </w:rPr>
        <w:t>本市优化道路设置和管理，减少机动车怠速和低速行驶造成的污染。</w:t>
      </w:r>
    </w:p>
    <w:p w14:paraId="0D86E267">
      <w:pPr>
        <w:ind w:firstLine="422"/>
      </w:pPr>
      <w:r>
        <w:rPr>
          <w:rFonts w:hint="eastAsia"/>
          <w:b/>
        </w:rPr>
        <w:t>第六十四条</w:t>
      </w:r>
      <w:r>
        <w:rPr>
          <w:rFonts w:hint="eastAsia"/>
        </w:rPr>
        <w:t>　环境保护行政主管部门可以委托其所属的机动车排放污染监督监测机构，对机动车和非道路移动机械排放污染防治实施监督管理。</w:t>
      </w:r>
    </w:p>
    <w:p w14:paraId="0D4E5DC7">
      <w:pPr>
        <w:ind w:firstLine="422"/>
      </w:pPr>
      <w:r>
        <w:rPr>
          <w:rFonts w:hint="eastAsia"/>
          <w:b/>
        </w:rPr>
        <w:t>第六十五条</w:t>
      </w:r>
      <w:r>
        <w:rPr>
          <w:rFonts w:hint="eastAsia"/>
        </w:rPr>
        <w:t>　在本市销售机动车和非道路移动机械的生产企业，应当按照规定向市环境保护行政主管部门申报在本市销售的机动车和非道路移动机械排放污染物的数据和防治污染的有关材料。</w:t>
      </w:r>
    </w:p>
    <w:p w14:paraId="29C3B9E7">
      <w:r>
        <w:rPr>
          <w:rFonts w:hint="eastAsia"/>
        </w:rPr>
        <w:t>市环境保护行政主管部门审查数据和材料后，对符合国家和本市规定排放、耗能标准的，纳入可以在本市销售的机动车车型和非道路移动机械目录。</w:t>
      </w:r>
    </w:p>
    <w:p w14:paraId="6A6E0407">
      <w:r>
        <w:rPr>
          <w:rFonts w:hint="eastAsia"/>
        </w:rPr>
        <w:t>在本市销售的机动车和非道路移动机械，应当符合国家和本市规定的排放标准并在耐久性期限内稳定达标。机动车和非道路移动机械经按照规定检测，因质量原因不能稳定达标排放的，由市环境保护行政主管部门取消其在本市的机动车车型和非道路移动机械目录。</w:t>
      </w:r>
    </w:p>
    <w:p w14:paraId="65114ED4">
      <w:pPr>
        <w:ind w:firstLine="422"/>
      </w:pPr>
      <w:r>
        <w:rPr>
          <w:rFonts w:hint="eastAsia"/>
          <w:b/>
        </w:rPr>
        <w:t>第六十六条</w:t>
      </w:r>
      <w:r>
        <w:rPr>
          <w:rFonts w:hint="eastAsia"/>
        </w:rPr>
        <w:t>　符合本市新车污染物排放标准，或者经国家认可的检测机构检测确认与本市新车污染物排放标准相当的机动车，方可在本市办理注册登记或者转入手续。</w:t>
      </w:r>
    </w:p>
    <w:p w14:paraId="40B40264">
      <w:pPr>
        <w:ind w:firstLine="422"/>
      </w:pPr>
      <w:r>
        <w:rPr>
          <w:rFonts w:hint="eastAsia"/>
          <w:b/>
        </w:rPr>
        <w:t>第六十七条</w:t>
      </w:r>
      <w:r>
        <w:rPr>
          <w:rFonts w:hint="eastAsia"/>
        </w:rPr>
        <w:t>　在用机动车应当符合本市机动车排放标准，并定期进行排放污染检测；检测合格的，方可进行机动车安全技术检验，核发环保、安全检测合格标志。</w:t>
      </w:r>
    </w:p>
    <w:p w14:paraId="564C4998">
      <w:r>
        <w:rPr>
          <w:rFonts w:hint="eastAsia"/>
        </w:rPr>
        <w:t>进入本市行驶的外埠车辆，应当按照本市规定，进行排放污染检测；检测合格的，方可办理机动车进京手续。</w:t>
      </w:r>
    </w:p>
    <w:p w14:paraId="5AF7CECF">
      <w:r>
        <w:rPr>
          <w:rFonts w:hint="eastAsia"/>
        </w:rPr>
        <w:t>具体检测管理办法由市环境保护行政主管部门会同有关部门制定。</w:t>
      </w:r>
    </w:p>
    <w:p w14:paraId="735AFD63">
      <w:pPr>
        <w:ind w:firstLine="422"/>
      </w:pPr>
      <w:r>
        <w:rPr>
          <w:rFonts w:hint="eastAsia"/>
          <w:b/>
        </w:rPr>
        <w:t>第六十八条</w:t>
      </w:r>
      <w:r>
        <w:rPr>
          <w:rFonts w:hint="eastAsia"/>
        </w:rPr>
        <w:t>　环境保护行政主管部门可以在机动车停放地，对在用机动车排放污染进行检查和检测，并可以在公安机关交通管理部门配合下，对行驶中的机动车排放污染状况进行抽测。</w:t>
      </w:r>
    </w:p>
    <w:p w14:paraId="50FC3E5D">
      <w:pPr>
        <w:ind w:firstLine="422"/>
      </w:pPr>
      <w:r>
        <w:rPr>
          <w:rFonts w:hint="eastAsia"/>
          <w:b/>
        </w:rPr>
        <w:t>第六十九条</w:t>
      </w:r>
      <w:r>
        <w:rPr>
          <w:rFonts w:hint="eastAsia"/>
        </w:rPr>
        <w:t>　机动车排放污染定期检测，由市环境保护行政主管部门委托的检测机构承担。检测机构应当严格按照规定对机动车排放污染进行检测。</w:t>
      </w:r>
    </w:p>
    <w:p w14:paraId="0331B063">
      <w:r>
        <w:rPr>
          <w:rFonts w:hint="eastAsia"/>
        </w:rPr>
        <w:t>市环境保护行政主管部门应当向社会公布前款规定的检测机构名单。</w:t>
      </w:r>
    </w:p>
    <w:p w14:paraId="1ABC0D23">
      <w:pPr>
        <w:ind w:firstLine="422"/>
      </w:pPr>
      <w:r>
        <w:rPr>
          <w:rFonts w:hint="eastAsia"/>
          <w:b/>
        </w:rPr>
        <w:t>第七十条</w:t>
      </w:r>
      <w:r>
        <w:rPr>
          <w:rFonts w:hint="eastAsia"/>
        </w:rPr>
        <w:t>　机动车和非道路移动机械所有者或者使用者不得拆除、闲置或者擅自更改排放污染控制装置，并保持装置正常使用。</w:t>
      </w:r>
    </w:p>
    <w:p w14:paraId="23566E38">
      <w:r>
        <w:rPr>
          <w:rFonts w:hint="eastAsia"/>
        </w:rPr>
        <w:t>机动车所有者或者使用者在车载排放诊断系统报警后，应当及时对机动车进行维修，确保车辆达到排放标准。</w:t>
      </w:r>
    </w:p>
    <w:p w14:paraId="258A950C">
      <w:pPr>
        <w:ind w:firstLine="422"/>
      </w:pPr>
      <w:r>
        <w:rPr>
          <w:rFonts w:hint="eastAsia"/>
          <w:b/>
        </w:rPr>
        <w:t>第七十一条</w:t>
      </w:r>
      <w:r>
        <w:rPr>
          <w:rFonts w:hint="eastAsia"/>
        </w:rPr>
        <w:t>　机动车维修单位应当具备维修资质，按照技术规范对排放不达标的机动车进行维修，确保机动车排放达标。</w:t>
      </w:r>
    </w:p>
    <w:p w14:paraId="7B3914DE">
      <w:pPr>
        <w:ind w:firstLine="422"/>
      </w:pPr>
      <w:r>
        <w:rPr>
          <w:rFonts w:hint="eastAsia"/>
          <w:b/>
        </w:rPr>
        <w:t>第七十二条</w:t>
      </w:r>
      <w:r>
        <w:rPr>
          <w:rFonts w:hint="eastAsia"/>
        </w:rPr>
        <w:t>　市人民政府可以根据大气环境质量状况，在一定区域内采取限制机动车行驶的交通管理措施。</w:t>
      </w:r>
    </w:p>
    <w:p w14:paraId="1EF6FD68">
      <w:pPr>
        <w:ind w:firstLine="422"/>
      </w:pPr>
      <w:r>
        <w:rPr>
          <w:rFonts w:hint="eastAsia"/>
          <w:b/>
        </w:rPr>
        <w:t>第七十三条</w:t>
      </w:r>
      <w:r>
        <w:rPr>
          <w:rFonts w:hint="eastAsia"/>
        </w:rPr>
        <w:t>　本市提倡公民绿色出行，每年开展城市无车日活动。市人民政府应当创造条件方便公众选择公共交通、自行车、步行的出行方式，减少机动车排放污染。</w:t>
      </w:r>
    </w:p>
    <w:p w14:paraId="341C4F92">
      <w:pPr>
        <w:ind w:firstLine="422"/>
      </w:pPr>
      <w:r>
        <w:rPr>
          <w:rFonts w:hint="eastAsia"/>
          <w:b/>
        </w:rPr>
        <w:t>第七十四条</w:t>
      </w:r>
      <w:r>
        <w:rPr>
          <w:rFonts w:hint="eastAsia"/>
        </w:rPr>
        <w:t>　本市提倡环保驾驶。在学校、宾馆、商场、公园、办公场所、社区、医院的周边和停车场等不影响车辆正常行驶的地段，机动车驾驶员在停车三分钟以上时，应当熄灭发动机。</w:t>
      </w:r>
    </w:p>
    <w:p w14:paraId="01C72CE8">
      <w:pPr>
        <w:ind w:firstLine="422"/>
      </w:pPr>
      <w:r>
        <w:rPr>
          <w:rFonts w:hint="eastAsia"/>
          <w:b/>
        </w:rPr>
        <w:t>第七十五条</w:t>
      </w:r>
      <w:r>
        <w:rPr>
          <w:rFonts w:hint="eastAsia"/>
        </w:rPr>
        <w:t>　在用非道路移动机械向大气排放污染物，应当符合本市规定的排放标准。</w:t>
      </w:r>
    </w:p>
    <w:p w14:paraId="625603FA">
      <w:r>
        <w:rPr>
          <w:rFonts w:hint="eastAsia"/>
        </w:rPr>
        <w:t>环境保护行政主管部门可以根据大气环境质量状况，划定禁止高排放非道路移动机械使用的区域。</w:t>
      </w:r>
    </w:p>
    <w:p w14:paraId="70D6F971">
      <w:pPr>
        <w:ind w:firstLine="422"/>
      </w:pPr>
      <w:r>
        <w:rPr>
          <w:rFonts w:hint="eastAsia"/>
          <w:b/>
        </w:rPr>
        <w:t>第七十六条</w:t>
      </w:r>
      <w:r>
        <w:rPr>
          <w:rFonts w:hint="eastAsia"/>
        </w:rPr>
        <w:t>　本市按照国家规定对机动车实行强制报废制度。机动车达到国家规定的使用年限，或者经修理、调整、采用控制技术后仍不符合国家排放标准要求，或者在检测有效期届满后连续三个检测周期内未能取得排放检测合格标志的，应当依法强制报废。</w:t>
      </w:r>
    </w:p>
    <w:p w14:paraId="646A675C">
      <w:pPr>
        <w:ind w:firstLine="422"/>
      </w:pPr>
      <w:r>
        <w:rPr>
          <w:rFonts w:hint="eastAsia"/>
          <w:b/>
        </w:rPr>
        <w:t>第七十七条</w:t>
      </w:r>
      <w:r>
        <w:rPr>
          <w:rFonts w:hint="eastAsia"/>
        </w:rPr>
        <w:t>　本市加快老旧公交、邮政、环卫、出租等车辆淘汰，鼓励发展小排量、低能耗和新能源车与清洁能源车，加快新能源车与清洁能源车的配套设施建设。</w:t>
      </w:r>
    </w:p>
    <w:p w14:paraId="3D9C5C1F">
      <w:pPr>
        <w:ind w:firstLine="422"/>
      </w:pPr>
      <w:r>
        <w:rPr>
          <w:rFonts w:hint="eastAsia"/>
          <w:b/>
        </w:rPr>
        <w:t>第七十八条</w:t>
      </w:r>
      <w:r>
        <w:rPr>
          <w:rFonts w:hint="eastAsia"/>
        </w:rPr>
        <w:t>　本市鼓励淘汰高排放机动车和非道路移动机械。市环境保护行政主管部门会同市财政、交通、公安、商务、质量技术监督等行政主管部门，根据本市大气环境质量状况和机动车、非道路移动机械排放污染状况，制定高排放在用机动车、非道路移动机械淘汰、治理和限制使用方案，报市人民政府批准后实施。</w:t>
      </w:r>
    </w:p>
    <w:p w14:paraId="174D9A7F">
      <w:pPr>
        <w:ind w:firstLine="422"/>
      </w:pPr>
      <w:r>
        <w:rPr>
          <w:rFonts w:hint="eastAsia"/>
          <w:b/>
        </w:rPr>
        <w:t>第七十九条</w:t>
      </w:r>
      <w:r>
        <w:rPr>
          <w:rFonts w:hint="eastAsia"/>
        </w:rPr>
        <w:t>　市环境保护行政主管部门会同市质量技术监督部门制定本市车用燃料标准。本市销售的车用燃料应当达到国家和本市规定的标准，并按照规定添加车用油品清净剂。</w:t>
      </w:r>
    </w:p>
    <w:p w14:paraId="74B48739"/>
    <w:p w14:paraId="316EDACF">
      <w:pPr>
        <w:ind w:firstLine="0" w:firstLineChars="0"/>
        <w:jc w:val="center"/>
        <w:rPr>
          <w:b/>
          <w:sz w:val="28"/>
        </w:rPr>
      </w:pPr>
      <w:r>
        <w:rPr>
          <w:rFonts w:hint="eastAsia"/>
          <w:b/>
          <w:sz w:val="28"/>
        </w:rPr>
        <w:t>第六章　扬尘污染防治</w:t>
      </w:r>
    </w:p>
    <w:p w14:paraId="7BF54DBE"/>
    <w:p w14:paraId="1FA62A52">
      <w:pPr>
        <w:ind w:firstLine="422"/>
      </w:pPr>
      <w:r>
        <w:rPr>
          <w:rFonts w:hint="eastAsia"/>
          <w:b/>
        </w:rPr>
        <w:t>第八十条</w:t>
      </w:r>
      <w:r>
        <w:rPr>
          <w:rFonts w:hint="eastAsia"/>
        </w:rPr>
        <w:t>　进行房屋建筑、市政基础设施施工、河道整治、建筑物拆除、物料运输和堆放、园林绿化等活动，应当采取措施，防止产生扬尘污染。</w:t>
      </w:r>
    </w:p>
    <w:p w14:paraId="4DA8A8F6">
      <w:pPr>
        <w:ind w:firstLine="422"/>
      </w:pPr>
      <w:r>
        <w:rPr>
          <w:rFonts w:hint="eastAsia"/>
          <w:b/>
        </w:rPr>
        <w:t>第八十一条</w:t>
      </w:r>
      <w:r>
        <w:rPr>
          <w:rFonts w:hint="eastAsia"/>
        </w:rPr>
        <w:t>　建设单位应当将防治扬尘污染的费用列入工程造价，并在工程承发包合同中明确施工单位防治扬尘污染的责任。</w:t>
      </w:r>
    </w:p>
    <w:p w14:paraId="4207E8BC">
      <w:pPr>
        <w:ind w:firstLine="422"/>
      </w:pPr>
      <w:r>
        <w:rPr>
          <w:rFonts w:hint="eastAsia"/>
          <w:b/>
        </w:rPr>
        <w:t>第八十二条</w:t>
      </w:r>
      <w:r>
        <w:rPr>
          <w:rFonts w:hint="eastAsia"/>
        </w:rPr>
        <w:t>　建设工程施工现场应当根据本市绿色施工的有关规定，采取下列措施：</w:t>
      </w:r>
    </w:p>
    <w:p w14:paraId="7DC926A1">
      <w:r>
        <w:rPr>
          <w:rFonts w:hint="eastAsia"/>
        </w:rPr>
        <w:t>（一）建设工程开工前，建设单位应当按照标准在施工现场周边设置围挡，施工单位应当对围挡进行维护；</w:t>
      </w:r>
    </w:p>
    <w:p w14:paraId="1737D90F">
      <w:r>
        <w:rPr>
          <w:rFonts w:hint="eastAsia"/>
        </w:rPr>
        <w:t>（二）施工单位应当在施工现场出入口公示施工现场负责人、环保监督员、扬尘污染控制措施、举报电话等信息；</w:t>
      </w:r>
    </w:p>
    <w:p w14:paraId="25ADABA5">
      <w:r>
        <w:rPr>
          <w:rFonts w:hint="eastAsia"/>
        </w:rPr>
        <w:t>（三）施工单位应当对施工现场内主要道路和物料堆放场地进行硬化，对其他场地进行覆盖或者临时绿化，对土方集中堆放并采取覆盖或者固化措施；</w:t>
      </w:r>
    </w:p>
    <w:p w14:paraId="70F20A50">
      <w:r>
        <w:rPr>
          <w:rFonts w:hint="eastAsia"/>
        </w:rPr>
        <w:t>（四）气象预报风速达到四级以上时，施工单位应当停止土石方作业、拆除作业及其他可能产生扬尘污染的施工作业；</w:t>
      </w:r>
    </w:p>
    <w:p w14:paraId="111645EB">
      <w:r>
        <w:rPr>
          <w:rFonts w:hint="eastAsia"/>
        </w:rPr>
        <w:t>（五）建设工程施工现场出口处应当设置冲洗车辆设施，按照本市规定安装视频监控系统；施工车辆经除泥、冲洗后方能驶出工地，不得带泥上路行驶；车辆清洗处应当配套设置排水、泥浆沉淀设施；</w:t>
      </w:r>
    </w:p>
    <w:p w14:paraId="102C7B61">
      <w:r>
        <w:rPr>
          <w:rFonts w:hint="eastAsia"/>
        </w:rPr>
        <w:t>（六）建设工程施工现场道路及进出口周边一百米以内的道路不得有泥土和建筑垃圾；</w:t>
      </w:r>
    </w:p>
    <w:p w14:paraId="5DCB08E4">
      <w:r>
        <w:rPr>
          <w:rFonts w:hint="eastAsia"/>
        </w:rPr>
        <w:t>（七）道路挖掘施工过程中，施工单位应当及时覆盖破损路面，并采取洒水等措施防治扬尘污染；道路挖掘施工完成后应当及时修复路面；</w:t>
      </w:r>
    </w:p>
    <w:p w14:paraId="3FBCAEB1">
      <w:r>
        <w:rPr>
          <w:rFonts w:hint="eastAsia"/>
        </w:rPr>
        <w:t>（八）国家和本市有关施工现场管理的其他规定。</w:t>
      </w:r>
    </w:p>
    <w:p w14:paraId="3F51D81C">
      <w:r>
        <w:rPr>
          <w:rFonts w:hint="eastAsia"/>
        </w:rPr>
        <w:t>本市将施工单位的施工现场扬尘违法行为，纳入本市施工企业市场行为信用评价系统。</w:t>
      </w:r>
    </w:p>
    <w:p w14:paraId="0432AC13">
      <w:pPr>
        <w:ind w:firstLine="422"/>
      </w:pPr>
      <w:r>
        <w:rPr>
          <w:rFonts w:hint="eastAsia"/>
          <w:b/>
        </w:rPr>
        <w:t>第八十三条</w:t>
      </w:r>
      <w:r>
        <w:rPr>
          <w:rFonts w:hint="eastAsia"/>
        </w:rPr>
        <w:t>　煤炭、水泥、石灰、石膏、砂土等产生扬尘的物料应当密闭贮存；不具备密闭贮存条件的，应当在其周围设置不低于堆放物高度的围挡并有效覆盖，不得产生扬尘。</w:t>
      </w:r>
    </w:p>
    <w:p w14:paraId="1C75A210">
      <w:r>
        <w:rPr>
          <w:rFonts w:hint="eastAsia"/>
        </w:rPr>
        <w:t>建筑土方、工程渣土、建筑垃圾应当及时运输到指定场所进行处置；在场地内堆存的，应当有效覆盖。</w:t>
      </w:r>
    </w:p>
    <w:p w14:paraId="36462571">
      <w:pPr>
        <w:ind w:firstLine="422"/>
      </w:pPr>
      <w:r>
        <w:rPr>
          <w:rFonts w:hint="eastAsia"/>
          <w:b/>
        </w:rPr>
        <w:t>第八十四条</w:t>
      </w:r>
      <w:r>
        <w:rPr>
          <w:rFonts w:hint="eastAsia"/>
        </w:rPr>
        <w:t>　运输垃圾、渣土、砂石、土方、灰浆等散装、流体物料的，应当依法使用符合条件的车辆，安装卫星定位系统，密闭运输。</w:t>
      </w:r>
    </w:p>
    <w:p w14:paraId="3A2C2223">
      <w:pPr>
        <w:ind w:firstLine="422"/>
      </w:pPr>
      <w:r>
        <w:rPr>
          <w:rFonts w:hint="eastAsia"/>
          <w:b/>
        </w:rPr>
        <w:t>第八十五条</w:t>
      </w:r>
      <w:r>
        <w:rPr>
          <w:rFonts w:hint="eastAsia"/>
        </w:rPr>
        <w:t>　建筑垃圾资源化处置场、渣土消纳场、燃煤电厂贮灰场和垃圾填埋场应当实施分区作业，采取措施防治扬尘污染。</w:t>
      </w:r>
    </w:p>
    <w:p w14:paraId="0859FC3D">
      <w:pPr>
        <w:ind w:firstLine="422"/>
      </w:pPr>
      <w:r>
        <w:rPr>
          <w:rFonts w:hint="eastAsia"/>
          <w:b/>
        </w:rPr>
        <w:t>第八十六条</w:t>
      </w:r>
      <w:r>
        <w:rPr>
          <w:rFonts w:hint="eastAsia"/>
        </w:rPr>
        <w:t>　市市政市容行政主管部门应当会同市环境保护行政主管部门，制定道路清扫冲洗保洁标准。清扫单位应当严格执行清扫冲洗保洁标准，防治扬尘污染。</w:t>
      </w:r>
    </w:p>
    <w:p w14:paraId="02B8070B">
      <w:pPr>
        <w:ind w:firstLine="422"/>
      </w:pPr>
      <w:r>
        <w:rPr>
          <w:rFonts w:hint="eastAsia"/>
          <w:b/>
        </w:rPr>
        <w:t>第八十七条</w:t>
      </w:r>
      <w:r>
        <w:rPr>
          <w:rFonts w:hint="eastAsia"/>
        </w:rPr>
        <w:t>　裸露地面应当按照下列规定进行绿化或者铺装：</w:t>
      </w:r>
    </w:p>
    <w:p w14:paraId="59094902">
      <w:r>
        <w:rPr>
          <w:rFonts w:hint="eastAsia"/>
        </w:rPr>
        <w:t>（一）待开发的建设用地，建设单位负责对裸露地面进行覆盖；超过三个月的，应当进行临时绿化或铺装；</w:t>
      </w:r>
    </w:p>
    <w:p w14:paraId="7324F664">
      <w:r>
        <w:rPr>
          <w:rFonts w:hint="eastAsia"/>
        </w:rPr>
        <w:t>（二）市政道路及河道沿线、公共绿地的裸露地面，分别由交通、水务、园林绿化行政主管部门组织按照规划进行绿化或者铺装；</w:t>
      </w:r>
    </w:p>
    <w:p w14:paraId="59723C81">
      <w:r>
        <w:rPr>
          <w:rFonts w:hint="eastAsia"/>
        </w:rPr>
        <w:t>（三）其他裸露地面由使用权人或者管理单位负责进行绿化或者铺装，并采取防尘措施。</w:t>
      </w:r>
    </w:p>
    <w:p w14:paraId="691F8B6B">
      <w:r>
        <w:rPr>
          <w:rFonts w:hint="eastAsia"/>
        </w:rPr>
        <w:t>农业行政主管部门应当鼓励对裸露农田采取生物覆盖、留茬免耕等措施，防治扬尘污染。</w:t>
      </w:r>
    </w:p>
    <w:p w14:paraId="61E5B251">
      <w:pPr>
        <w:ind w:firstLine="422"/>
      </w:pPr>
      <w:r>
        <w:rPr>
          <w:rFonts w:hint="eastAsia"/>
          <w:b/>
        </w:rPr>
        <w:t>第八十八条</w:t>
      </w:r>
      <w:r>
        <w:rPr>
          <w:rFonts w:hint="eastAsia"/>
        </w:rPr>
        <w:t>　本市严格控制矿产资源开采。在矿产资源开采过程中，应当采取措施防治大气污染。开采后应当进行生态修复。</w:t>
      </w:r>
    </w:p>
    <w:p w14:paraId="34ECD45F">
      <w:pPr>
        <w:ind w:firstLine="422"/>
      </w:pPr>
      <w:r>
        <w:rPr>
          <w:rFonts w:hint="eastAsia"/>
          <w:b/>
        </w:rPr>
        <w:t>第八十九条</w:t>
      </w:r>
      <w:r>
        <w:rPr>
          <w:rFonts w:hint="eastAsia"/>
        </w:rPr>
        <w:t>　本市施工工地禁止现场搅拌混凝土。由政府投资的建设工程以及在本市规定区域内的建设工程，禁止现场搅拌砂浆。其他建设工程在施工现场设置砂浆搅拌机的，应当配备降尘防尘装置。</w:t>
      </w:r>
    </w:p>
    <w:p w14:paraId="068FFFD8">
      <w:r>
        <w:rPr>
          <w:rFonts w:hint="eastAsia"/>
        </w:rPr>
        <w:t>本市禁止新建、扩建混凝土搅拌站；不符合环境治理规划的已建成企业，应当按照市人民政府的规定限期关闭。</w:t>
      </w:r>
    </w:p>
    <w:p w14:paraId="3F55502D"/>
    <w:p w14:paraId="78FFCAAF">
      <w:pPr>
        <w:ind w:firstLine="0" w:firstLineChars="0"/>
        <w:jc w:val="center"/>
        <w:rPr>
          <w:b/>
          <w:sz w:val="28"/>
        </w:rPr>
      </w:pPr>
      <w:r>
        <w:rPr>
          <w:rFonts w:hint="eastAsia"/>
          <w:b/>
          <w:sz w:val="28"/>
        </w:rPr>
        <w:t>第七章　法律责任</w:t>
      </w:r>
    </w:p>
    <w:p w14:paraId="0FDE8C00"/>
    <w:p w14:paraId="76009760">
      <w:pPr>
        <w:ind w:firstLine="422"/>
      </w:pPr>
      <w:r>
        <w:rPr>
          <w:rFonts w:hint="eastAsia"/>
          <w:b/>
        </w:rPr>
        <w:t>第九十条</w:t>
      </w:r>
      <w:r>
        <w:rPr>
          <w:rFonts w:hint="eastAsia"/>
        </w:rPr>
        <w:t>　造成大气污染危害的单位，有责任排除危害，并对直接遭受损失的单位或者个人赔偿损失。</w:t>
      </w:r>
    </w:p>
    <w:p w14:paraId="5BD03F9D">
      <w:r>
        <w:rPr>
          <w:rFonts w:hint="eastAsia"/>
        </w:rPr>
        <w:t>赔偿责任和赔偿金额的纠纷，可以根据当事人的请求，由环境保护行政主管部门调解处理；调解不成的，当事人可以向人民法院起诉。当事人也可以直接向人民法院起诉。</w:t>
      </w:r>
    </w:p>
    <w:p w14:paraId="0DB38F34">
      <w:pPr>
        <w:ind w:firstLine="422"/>
      </w:pPr>
      <w:r>
        <w:rPr>
          <w:rFonts w:hint="eastAsia"/>
          <w:b/>
        </w:rPr>
        <w:t>第九十一条</w:t>
      </w:r>
      <w:r>
        <w:rPr>
          <w:rFonts w:hint="eastAsia"/>
        </w:rPr>
        <w:t>　环境保护行政主管部门和其他有关行政主管部门在大气污染防治工作中，有下列行为之一的，由行政监察机关责令改正，对直接负责的主管人员和其他直接责任人员依法给予行政处分；构成犯罪的，依法追究刑事责任：</w:t>
      </w:r>
    </w:p>
    <w:p w14:paraId="2A87AC0E">
      <w:bookmarkStart w:id="2770" w:name="_Toc428780890"/>
      <w:r>
        <w:rPr>
          <w:rFonts w:hint="eastAsia"/>
        </w:rPr>
        <w:t>（一）违法做出行政许可决定的；</w:t>
      </w:r>
      <w:bookmarkEnd w:id="2770"/>
    </w:p>
    <w:p w14:paraId="29365B9A">
      <w:r>
        <w:rPr>
          <w:rFonts w:hint="eastAsia"/>
        </w:rPr>
        <w:t>（二）接到公民对污染大气环境行为的举报，不依法查处的；</w:t>
      </w:r>
    </w:p>
    <w:p w14:paraId="39EAC63A">
      <w:bookmarkStart w:id="2771" w:name="_Toc428780891"/>
      <w:r>
        <w:rPr>
          <w:rFonts w:hint="eastAsia"/>
        </w:rPr>
        <w:t>（三）违反本条例规定不公开大气环境相关信息的；</w:t>
      </w:r>
      <w:bookmarkEnd w:id="2771"/>
    </w:p>
    <w:p w14:paraId="512A8809">
      <w:r>
        <w:rPr>
          <w:rFonts w:hint="eastAsia"/>
        </w:rPr>
        <w:t>（四）将征收的排污费截留、挤占或者挪作他用的；</w:t>
      </w:r>
    </w:p>
    <w:p w14:paraId="3C6AD379">
      <w:r>
        <w:rPr>
          <w:rFonts w:hint="eastAsia"/>
        </w:rPr>
        <w:t>（五）有滥用职权、玩忽职守的其他行为的。</w:t>
      </w:r>
    </w:p>
    <w:p w14:paraId="5E5D1019">
      <w:pPr>
        <w:ind w:firstLine="422"/>
      </w:pPr>
      <w:r>
        <w:rPr>
          <w:rFonts w:hint="eastAsia"/>
          <w:b/>
        </w:rPr>
        <w:t>第九十二条</w:t>
      </w:r>
      <w:r>
        <w:rPr>
          <w:rFonts w:hint="eastAsia"/>
        </w:rPr>
        <w:t>　违反本条例第二十一条第三款规定，有关排污单位拒不执行市人民政府责令停产、限产决定的，市环境保护行政主管部门可以查封排污设施，处五万元以上五十万元以下罚款；拒不执行停止工地土石方作业、建筑拆除施工或露天烧烤的应对措施的，由城市管理综合执法部门处一万元以上十万元以下罚款。</w:t>
      </w:r>
    </w:p>
    <w:p w14:paraId="56B67819">
      <w:r>
        <w:rPr>
          <w:rFonts w:hint="eastAsia"/>
        </w:rPr>
        <w:t>拒不执行机动车停驶和禁止燃放烟花爆竹的应对措施的，由公安机关依据有关规定予以处罚。</w:t>
      </w:r>
    </w:p>
    <w:p w14:paraId="3192749E">
      <w:pPr>
        <w:ind w:firstLine="422"/>
      </w:pPr>
      <w:r>
        <w:rPr>
          <w:rFonts w:hint="eastAsia"/>
          <w:b/>
        </w:rPr>
        <w:t>第九十三条</w:t>
      </w:r>
      <w:r>
        <w:rPr>
          <w:rFonts w:hint="eastAsia"/>
        </w:rPr>
        <w:t>　违反本条例第二十八条规定，向大气排放污染物不符合国家或本市大气污染物排放和控制标准的，由环境保护行政主管部门责令限期治理，处一万元以上十万元以下罚款；限期治理期间，由环境保护行政主管部门责令限制排放，不得新建、改建、扩建增加重点大气污染物排放总量的建设项目；逾期未完成治理任务的，由环境保护行政主管部门报经有批准权的人民政府批准，责令停业、关闭。向大气排放污染物超过排放总量指标的，由环境保护行政主管部门责令停止排污，处五万元以上五十万元以下罚款，并将超过排放总量指标的部分在核定下一年度排放总量指标时扣除；拒不停止排污的，可以查封排污设施。</w:t>
      </w:r>
    </w:p>
    <w:p w14:paraId="275BE32F">
      <w:pPr>
        <w:ind w:firstLine="422"/>
      </w:pPr>
      <w:r>
        <w:rPr>
          <w:rFonts w:hint="eastAsia"/>
          <w:b/>
        </w:rPr>
        <w:t>第九十四条</w:t>
      </w:r>
      <w:r>
        <w:rPr>
          <w:rFonts w:hint="eastAsia"/>
        </w:rPr>
        <w:t>　违反本条例第三十条规定，建设项目未依法进行环境影响评价审批，擅自开工建设或者投入生产、使用的，由有审批权的环境保护行政主管部门责令停止建设或者生产、使用，处五万元以上二十万元以下的罚款；拒不停止建设或者生产、使用的，可以查封施工现场或者排污设施。</w:t>
      </w:r>
    </w:p>
    <w:p w14:paraId="7C5DBE5F">
      <w:pPr>
        <w:ind w:firstLine="422"/>
      </w:pPr>
      <w:r>
        <w:rPr>
          <w:rFonts w:hint="eastAsia"/>
          <w:b/>
        </w:rPr>
        <w:t>第九十五条</w:t>
      </w:r>
      <w:r>
        <w:rPr>
          <w:rFonts w:hint="eastAsia"/>
        </w:rPr>
        <w:t>　违反本条例第三十一条规定，需要配套建设的大气污染防治设施未建成、未经验收或者经验收不合格的，主体工程正式投入生产或者使用的，由环境保护行政主管部门责令停止生产或者使用，处一万元以上十万元以下的罚款。</w:t>
      </w:r>
    </w:p>
    <w:p w14:paraId="54DB4FA2">
      <w:pPr>
        <w:ind w:firstLine="422"/>
      </w:pPr>
      <w:r>
        <w:rPr>
          <w:rFonts w:hint="eastAsia"/>
          <w:b/>
        </w:rPr>
        <w:t>第九十六条</w:t>
      </w:r>
      <w:r>
        <w:rPr>
          <w:rFonts w:hint="eastAsia"/>
        </w:rPr>
        <w:t>　违反本条例第三十二条规定，不正常使用大气污染防治设施，或者未经环境保护行政主管部门批准，擅自拆除、闲置大气污染防治设施的，由环境保护行政主管部门责令停止违法行为，限期改正，处五千元以上五万元以下罚款。</w:t>
      </w:r>
    </w:p>
    <w:p w14:paraId="2626C9AB">
      <w:pPr>
        <w:ind w:firstLine="422"/>
      </w:pPr>
      <w:r>
        <w:rPr>
          <w:rFonts w:hint="eastAsia"/>
          <w:b/>
        </w:rPr>
        <w:t>第九十七条</w:t>
      </w:r>
      <w:r>
        <w:rPr>
          <w:rFonts w:hint="eastAsia"/>
        </w:rPr>
        <w:t>　违反本条例第三十三条规定，未按照国家或本市规定进行排污申报登记的，由环境保护行政主管部门责令限期改正，处五千元以上五万元以下罚款。</w:t>
      </w:r>
    </w:p>
    <w:p w14:paraId="0EAA29C9">
      <w:pPr>
        <w:ind w:firstLine="422"/>
      </w:pPr>
      <w:r>
        <w:rPr>
          <w:rFonts w:hint="eastAsia"/>
          <w:b/>
        </w:rPr>
        <w:t>第九十八条</w:t>
      </w:r>
      <w:r>
        <w:rPr>
          <w:rFonts w:hint="eastAsia"/>
        </w:rPr>
        <w:t>　违反本条例第三十四条规定，未按照规定设置大气污染物排放口或者通过其他排放通道排放大气污染物的，由环境保护行政主管部门责令限期改正，处二万元以上二十万元以下罚款。</w:t>
      </w:r>
    </w:p>
    <w:p w14:paraId="64039EB1">
      <w:pPr>
        <w:ind w:firstLine="422"/>
      </w:pPr>
      <w:r>
        <w:rPr>
          <w:rFonts w:hint="eastAsia"/>
          <w:b/>
        </w:rPr>
        <w:t>第九十九条</w:t>
      </w:r>
      <w:r>
        <w:rPr>
          <w:rFonts w:hint="eastAsia"/>
        </w:rPr>
        <w:t>　违反本条例第三十五条第一款规定，未按照规定公布或者保存监测数据的，由环境保护行政主管部门责令限期改正，处一万元以上十万元以下罚款。</w:t>
      </w:r>
    </w:p>
    <w:p w14:paraId="57C7B1A2">
      <w:r>
        <w:rPr>
          <w:rFonts w:hint="eastAsia"/>
        </w:rPr>
        <w:t>违反本条例第三十五条第二款规定，未按照规定设置监测点位或者采样平台的，由环境保护行政主管部门责令限期改正；逾期不改正的，处一万元以上十万元以下罚款。</w:t>
      </w:r>
    </w:p>
    <w:p w14:paraId="0BBCB3A8">
      <w:pPr>
        <w:ind w:firstLine="422"/>
      </w:pPr>
      <w:r>
        <w:rPr>
          <w:rFonts w:hint="eastAsia"/>
          <w:b/>
        </w:rPr>
        <w:t>第一百条</w:t>
      </w:r>
      <w:r>
        <w:rPr>
          <w:rFonts w:hint="eastAsia"/>
        </w:rPr>
        <w:t>　违反本条例第三十六条规定，未按照规定安装大气污染物排放自动监控设备，或者自动监控设备未稳定运行、数据不准确的，由环境保护行政主管部门责令限期改正，处二万元以上二十万元以下罚款。</w:t>
      </w:r>
    </w:p>
    <w:p w14:paraId="63C74E58">
      <w:pPr>
        <w:ind w:firstLine="422"/>
      </w:pPr>
      <w:r>
        <w:rPr>
          <w:rFonts w:hint="eastAsia"/>
          <w:b/>
        </w:rPr>
        <w:t>第一百零一条</w:t>
      </w:r>
      <w:r>
        <w:rPr>
          <w:rFonts w:hint="eastAsia"/>
        </w:rPr>
        <w:t>　违反本条例第四十三条规定，应当取得而未取得排污许可证排放污染物的，由环境保护行政主管部门责令停止排污，处十万元以上五十万元以下罚款；拒不停止排污的，环境保护行政主管部门可以查封排污设施。未按照排污许可证的规定排放污染物的，由环境保护行政主管部门责令限期改正，处二万元以上二十万元以下罚款。</w:t>
      </w:r>
    </w:p>
    <w:p w14:paraId="15E0474A">
      <w:pPr>
        <w:ind w:firstLine="422"/>
      </w:pPr>
      <w:r>
        <w:rPr>
          <w:rFonts w:hint="eastAsia"/>
          <w:b/>
        </w:rPr>
        <w:t>第一百零二条</w:t>
      </w:r>
      <w:r>
        <w:rPr>
          <w:rFonts w:hint="eastAsia"/>
        </w:rPr>
        <w:t>　违反本条例第四十七条第二款规定，在替代的排放量未削减完成前，建设项目投入试生产的，由环境保护行政主管部门责令停止试生产，处二万元以上二十万元以下罚款。</w:t>
      </w:r>
    </w:p>
    <w:p w14:paraId="5CBF9A26">
      <w:pPr>
        <w:ind w:firstLine="422"/>
      </w:pPr>
      <w:r>
        <w:rPr>
          <w:rFonts w:hint="eastAsia"/>
          <w:b/>
        </w:rPr>
        <w:t>第一百零三条</w:t>
      </w:r>
      <w:r>
        <w:rPr>
          <w:rFonts w:hint="eastAsia"/>
        </w:rPr>
        <w:t>　违反本条例第五十一条规定，在禁燃区内新建、扩建燃烧高污染燃料的设施的，或者在规定的期限届满后，继续燃用煤炭、重油、渣油等高污染燃料的，由环境保护行政主管部门报同级人民政府责令限期拆除。</w:t>
      </w:r>
    </w:p>
    <w:p w14:paraId="6CA3298C">
      <w:pPr>
        <w:ind w:firstLine="422"/>
      </w:pPr>
      <w:r>
        <w:rPr>
          <w:rFonts w:hint="eastAsia"/>
          <w:b/>
        </w:rPr>
        <w:t>第一百零四条</w:t>
      </w:r>
      <w:r>
        <w:rPr>
          <w:rFonts w:hint="eastAsia"/>
        </w:rPr>
        <w:t>　违反本条例第五十二条第一款规定，新建、扩建燃烧煤炭、重油、渣油设施的，由环境保护行政主管部门报同级人民政府责令限期拆除，处二万元以上二十万元以下罚款。</w:t>
      </w:r>
    </w:p>
    <w:p w14:paraId="32A516A7">
      <w:r>
        <w:rPr>
          <w:rFonts w:hint="eastAsia"/>
        </w:rPr>
        <w:t>违反本条例第五十二条第二款规定，燃用煤炭、重油、渣油的工业锅炉、炉窑、发电机组等设施未在规定的期限内实施清洁能源改造的，由环境保护行政主管部门报同级人民政府责令限期拆除。</w:t>
      </w:r>
    </w:p>
    <w:p w14:paraId="6B6F055A">
      <w:pPr>
        <w:ind w:firstLine="422"/>
      </w:pPr>
      <w:r>
        <w:rPr>
          <w:rFonts w:hint="eastAsia"/>
          <w:b/>
        </w:rPr>
        <w:t>第一百零五条</w:t>
      </w:r>
      <w:r>
        <w:rPr>
          <w:rFonts w:hint="eastAsia"/>
        </w:rPr>
        <w:t>　违反本条例第五十三条第一款、第二款规定的，由经济信息化行政主管部门报同级人民政府关停违法项目。</w:t>
      </w:r>
    </w:p>
    <w:p w14:paraId="3CA61C60">
      <w:pPr>
        <w:ind w:firstLine="422"/>
      </w:pPr>
      <w:r>
        <w:rPr>
          <w:rFonts w:hint="eastAsia"/>
          <w:b/>
        </w:rPr>
        <w:t>第一百零六条</w:t>
      </w:r>
      <w:r>
        <w:rPr>
          <w:rFonts w:hint="eastAsia"/>
        </w:rPr>
        <w:t>　违反本条例第五十四条第一款规定，销售不符合标准的散煤及制品的，由质量技术监督行政主管部门责令停止销售，处五千元以上五万元以下罚款。</w:t>
      </w:r>
    </w:p>
    <w:p w14:paraId="3AD62DB9">
      <w:r>
        <w:rPr>
          <w:rFonts w:hint="eastAsia"/>
        </w:rPr>
        <w:t>违反本条例第五十四条第三款规定，不使用清洁能源的，由环境保护行政主管部门责令限期改正，处一万元以上十万元以下罚款。</w:t>
      </w:r>
    </w:p>
    <w:p w14:paraId="5D6389F1">
      <w:pPr>
        <w:ind w:firstLine="422"/>
      </w:pPr>
      <w:r>
        <w:rPr>
          <w:rFonts w:hint="eastAsia"/>
          <w:b/>
        </w:rPr>
        <w:t>第一百零七条</w:t>
      </w:r>
      <w:r>
        <w:rPr>
          <w:rFonts w:hint="eastAsia"/>
        </w:rPr>
        <w:t>　违反本条例第五十六条第二款规定，生产、销售含挥发性有机物的原材料和产品不符合本市规定标准的，由质量技术监督部门和工商行政管理部门依照有关法律、法规、规定予以处罚。</w:t>
      </w:r>
    </w:p>
    <w:p w14:paraId="62D476AC">
      <w:pPr>
        <w:ind w:firstLine="422"/>
      </w:pPr>
      <w:r>
        <w:rPr>
          <w:rFonts w:hint="eastAsia"/>
          <w:b/>
        </w:rPr>
        <w:t>第一百零八条</w:t>
      </w:r>
      <w:r>
        <w:rPr>
          <w:rFonts w:hint="eastAsia"/>
        </w:rPr>
        <w:t>　违反本条例第五十七条第一款规定，未在密闭空间或者设备中进行产生含挥发性有机物废气的生产和服务活动或者未按规定安装并使用污染防治设施的，由环境保护行政主管部门责令停止违法行为，限期改正，处二万元以上十万元以下罚款；情节严重的，处十万元以上三十万元以下罚款。</w:t>
      </w:r>
    </w:p>
    <w:p w14:paraId="3E282D42">
      <w:r>
        <w:rPr>
          <w:rFonts w:hint="eastAsia"/>
        </w:rPr>
        <w:t>违反本条例第五十七条第二款规定，未按照本市有关规定安装油气回收装置或者不正常使用的，由环境保护行政主管部门责令限期改正，处二万元以上二十万元以下罚款。</w:t>
      </w:r>
    </w:p>
    <w:p w14:paraId="12B55296">
      <w:pPr>
        <w:ind w:firstLine="422"/>
      </w:pPr>
      <w:r>
        <w:rPr>
          <w:rFonts w:hint="eastAsia"/>
          <w:b/>
        </w:rPr>
        <w:t>第一百零九条</w:t>
      </w:r>
      <w:r>
        <w:rPr>
          <w:rFonts w:hint="eastAsia"/>
        </w:rPr>
        <w:t>　违反本条例第五十八条规定，未按照规定使用低挥发性有机物含量涂料的，由环境保护行政主管部门责令改正，处二万元以上二十万元以下罚款；未按照要求记录或者保存相关数据和信息、弄虚作假的，由环境保护行政主管部门责令改正，处一万元以上十万元以下罚款。</w:t>
      </w:r>
    </w:p>
    <w:p w14:paraId="24EC1BAA">
      <w:pPr>
        <w:ind w:firstLine="422"/>
      </w:pPr>
      <w:r>
        <w:rPr>
          <w:rFonts w:hint="eastAsia"/>
          <w:b/>
        </w:rPr>
        <w:t>第一百一十条</w:t>
      </w:r>
      <w:r>
        <w:rPr>
          <w:rFonts w:hint="eastAsia"/>
        </w:rPr>
        <w:t>　违反本条例第五十九条规定，未采取措施减少物料泄漏或者对泄漏的物料未及时收集处理的，由环境保护行政主管部门责令限期改正，处二万元以上二十万元以下罚款。</w:t>
      </w:r>
    </w:p>
    <w:p w14:paraId="580228F8">
      <w:pPr>
        <w:ind w:firstLine="422"/>
      </w:pPr>
      <w:r>
        <w:rPr>
          <w:rFonts w:hint="eastAsia"/>
          <w:b/>
        </w:rPr>
        <w:t>第一百一十一条</w:t>
      </w:r>
      <w:r>
        <w:rPr>
          <w:rFonts w:hint="eastAsia"/>
        </w:rPr>
        <w:t>　违反本条例第六十条第一款规定，不正常使用油烟、异味和废气处理装置等污染物处理设施的，由环境保护行政主管部门责令限期改正，处五千元以上五万元以下罚款。</w:t>
      </w:r>
    </w:p>
    <w:p w14:paraId="2180462C">
      <w:pPr>
        <w:ind w:firstLine="422"/>
      </w:pPr>
      <w:r>
        <w:rPr>
          <w:rFonts w:hint="eastAsia"/>
          <w:b/>
        </w:rPr>
        <w:t>第一百一十二条</w:t>
      </w:r>
      <w:r>
        <w:rPr>
          <w:rFonts w:hint="eastAsia"/>
        </w:rPr>
        <w:t>　违反本条例第六十一条规定，未安装净化装置或者采取其他措施防止污染周边环境的，由环境保护行政主管部门责令限期改正，处一万元以上五万元以下罚款。</w:t>
      </w:r>
    </w:p>
    <w:p w14:paraId="42E27193">
      <w:pPr>
        <w:ind w:firstLine="422"/>
      </w:pPr>
      <w:r>
        <w:rPr>
          <w:rFonts w:hint="eastAsia"/>
          <w:b/>
        </w:rPr>
        <w:t>第一百一十三条</w:t>
      </w:r>
      <w:r>
        <w:rPr>
          <w:rFonts w:hint="eastAsia"/>
        </w:rPr>
        <w:t>　违反本条例第六十二条第一款规定，露天焚烧秸秆、树叶、枯草的，由城市管理综合执法部门责令停止违法行为，可以处二百元以下罚款；露天焚烧垃圾、电子废物、油毡、沥青、橡胶、塑料、皮革的，由城市管理综合执法部门责令停止违法行为，处二千元以上二万元以下罚款。</w:t>
      </w:r>
    </w:p>
    <w:p w14:paraId="6DF14CAA">
      <w:r>
        <w:rPr>
          <w:rFonts w:hint="eastAsia"/>
        </w:rPr>
        <w:t>违反本条例第六十二条第二款规定，在政府划定的禁止范围内露天烧烤食品或者为露天烧烤食品提供场地的，由城市管理综合执法部门责令停止违法行为，没收烧烤工具，处二千元以上二万元以下罚款。</w:t>
      </w:r>
    </w:p>
    <w:p w14:paraId="0485CFF8">
      <w:pPr>
        <w:ind w:firstLine="422"/>
      </w:pPr>
      <w:r>
        <w:rPr>
          <w:rFonts w:hint="eastAsia"/>
          <w:b/>
        </w:rPr>
        <w:t>第一百一十四条</w:t>
      </w:r>
      <w:r>
        <w:rPr>
          <w:rFonts w:hint="eastAsia"/>
        </w:rPr>
        <w:t>　违反本条例第六十五条第二款规定，销售未纳入本市目录的机动车和非道路移动机械的，由市环境保护行政主管部门责令停止违法行为，没收违法所得，可以处违法所得一倍以下的罚款。</w:t>
      </w:r>
    </w:p>
    <w:p w14:paraId="5CC3C591">
      <w:r>
        <w:rPr>
          <w:rFonts w:hint="eastAsia"/>
        </w:rPr>
        <w:t>违反本条例第六十五条第三款规定，销售不符合国家或本市规定标准的机动车和非道路移动机械的，由市环境保护行政主管部门责令停止违法行为，没收违法所得，可以处违法所得一倍以下的罚款；销售的机动车不符合注明的排放标准的，销售者应当负责修理、更换、退货；给购买机动车的消费者造成损失的，销售者应当赔偿损失。</w:t>
      </w:r>
    </w:p>
    <w:p w14:paraId="0719F7D2">
      <w:pPr>
        <w:ind w:firstLine="422"/>
      </w:pPr>
      <w:r>
        <w:rPr>
          <w:rFonts w:hint="eastAsia"/>
          <w:b/>
        </w:rPr>
        <w:t>第一百一十五条</w:t>
      </w:r>
      <w:r>
        <w:rPr>
          <w:rFonts w:hint="eastAsia"/>
        </w:rPr>
        <w:t>　违反本条例第六十七条第一款规定，在用机动车排放污染物超过规定排放标准的，由环境保护行政主管部门责令改正，对机动车所有者或者使用者处三百元以上三千元以下罚款；逾期未进行机动车排放污染定期检测的，由环境保护行政主管部门责令改正，每超过一个检测周期处五百元罚款。</w:t>
      </w:r>
    </w:p>
    <w:p w14:paraId="63E1990B">
      <w:pPr>
        <w:ind w:firstLine="422"/>
      </w:pPr>
      <w:r>
        <w:rPr>
          <w:rFonts w:hint="eastAsia"/>
          <w:b/>
        </w:rPr>
        <w:t>第一百一十六条</w:t>
      </w:r>
      <w:r>
        <w:rPr>
          <w:rFonts w:hint="eastAsia"/>
        </w:rPr>
        <w:t>　违反本条例第六十九条第一款规定，检测机构未取得委托擅自进行机动车排放污染定期检测，或者未按照规定进行检测的，由环境保护行政主管部门责令停止违法行为，限期改正，处五千元以上五万元以下罚款；情节严重的，取消承担检测的资格。</w:t>
      </w:r>
    </w:p>
    <w:p w14:paraId="2A5002DE">
      <w:pPr>
        <w:ind w:firstLine="422"/>
      </w:pPr>
      <w:r>
        <w:rPr>
          <w:rFonts w:hint="eastAsia"/>
          <w:b/>
        </w:rPr>
        <w:t>第一百一十七条</w:t>
      </w:r>
      <w:r>
        <w:rPr>
          <w:rFonts w:hint="eastAsia"/>
        </w:rPr>
        <w:t>　违反本条例第七十条第一款规定，机动车和非道路移动机械所有者或者使用人拆除、闲置或者擅自更改排放污染控制装置的，由环境保护行政主管部门责令改正，处五千元以上一万元以下罚款。</w:t>
      </w:r>
    </w:p>
    <w:p w14:paraId="181C6D8F">
      <w:r>
        <w:rPr>
          <w:rFonts w:hint="eastAsia"/>
        </w:rPr>
        <w:t>违反本条例第七十条第二款规定，机动车所有者或者使用者在车载排放诊断系统报警后，未对机动车进行维修，车辆行驶超过二百公里的，由环境保护行政主管部门处三百元罚款。</w:t>
      </w:r>
    </w:p>
    <w:p w14:paraId="09B7A23F">
      <w:pPr>
        <w:ind w:firstLine="422"/>
      </w:pPr>
      <w:r>
        <w:rPr>
          <w:rFonts w:hint="eastAsia"/>
          <w:b/>
        </w:rPr>
        <w:t>第一百一十八条</w:t>
      </w:r>
      <w:r>
        <w:rPr>
          <w:rFonts w:hint="eastAsia"/>
        </w:rPr>
        <w:t>　违反本条例第七十二条规定，机动车进入限制行驶区域的，由公安机关交通管理部门责令停止违法行为并依法处罚。</w:t>
      </w:r>
    </w:p>
    <w:p w14:paraId="0EA873DC">
      <w:pPr>
        <w:ind w:firstLine="422"/>
      </w:pPr>
      <w:r>
        <w:rPr>
          <w:rFonts w:hint="eastAsia"/>
          <w:b/>
        </w:rPr>
        <w:t>第一百一十九条</w:t>
      </w:r>
      <w:r>
        <w:rPr>
          <w:rFonts w:hint="eastAsia"/>
        </w:rPr>
        <w:t>　违反本条例第七十五条第二款规定，在禁止区域内使用高排放非道路移动机械的，由环境保护行政主管部门责令停止违法行为，处五万元以上十万元以下罚款。</w:t>
      </w:r>
    </w:p>
    <w:p w14:paraId="6CE4BF39">
      <w:pPr>
        <w:ind w:firstLine="422"/>
      </w:pPr>
      <w:r>
        <w:rPr>
          <w:rFonts w:hint="eastAsia"/>
          <w:b/>
        </w:rPr>
        <w:t>第一百二十条</w:t>
      </w:r>
      <w:r>
        <w:rPr>
          <w:rFonts w:hint="eastAsia"/>
        </w:rPr>
        <w:t>　违反本条例第七十九条规定，销售不符合国家或本市标准的车用燃料的，由工商行政主管部门责令停止销售，没收违法销售的产品，有违法所得的，没收违法所得，处违法销售金额一倍以上三倍以下的罚款；销售的车用油品不符合国家或本市车用油品清净性规定的，由环境保护行政主管部门责令限期改正违法行为，处一万元以上十万元以下罚款；情节严重的，由市商务行政主管部门吊销其经营资质。</w:t>
      </w:r>
    </w:p>
    <w:p w14:paraId="44710CE6">
      <w:pPr>
        <w:ind w:firstLine="422"/>
      </w:pPr>
      <w:r>
        <w:rPr>
          <w:rFonts w:hint="eastAsia"/>
          <w:b/>
        </w:rPr>
        <w:t>第一百二十一条</w:t>
      </w:r>
      <w:r>
        <w:rPr>
          <w:rFonts w:hint="eastAsia"/>
        </w:rPr>
        <w:t>　违反本条例第八十一条规定，未将防治扬尘污染的费用列入工程造价即开工建设的，由住房城乡建设行政主管部门责令停止施工。</w:t>
      </w:r>
    </w:p>
    <w:p w14:paraId="3DA9BE75">
      <w:pPr>
        <w:ind w:firstLine="422"/>
      </w:pPr>
      <w:r>
        <w:rPr>
          <w:rFonts w:hint="eastAsia"/>
          <w:b/>
        </w:rPr>
        <w:t>第一百二十二条</w:t>
      </w:r>
      <w:r>
        <w:rPr>
          <w:rFonts w:hint="eastAsia"/>
        </w:rPr>
        <w:t>　违反本条例第八十二条第一款规定的，对施工单位或者建设单位，由城市管理综合执法部门责令限期改正，处二千元以上二万元以下罚款；逾期未改正的，责令停工整顿。</w:t>
      </w:r>
    </w:p>
    <w:p w14:paraId="36C1A5F3">
      <w:pPr>
        <w:ind w:firstLine="422"/>
      </w:pPr>
      <w:r>
        <w:rPr>
          <w:rFonts w:hint="eastAsia"/>
          <w:b/>
        </w:rPr>
        <w:t>第一百二十三条</w:t>
      </w:r>
      <w:r>
        <w:rPr>
          <w:rFonts w:hint="eastAsia"/>
        </w:rPr>
        <w:t>　违反本条例第八十三条规定的，由城市管理综合执法部门责令限期改正，处二千元以上二万元以下罚款；其中，对工业企业，由环境保护行政主管部门责令改正，处二千元以上二万元以下罚款；逾期未改正的，责令停工整顿。</w:t>
      </w:r>
    </w:p>
    <w:p w14:paraId="7B16233C">
      <w:pPr>
        <w:ind w:firstLine="422"/>
      </w:pPr>
      <w:r>
        <w:rPr>
          <w:rFonts w:hint="eastAsia"/>
          <w:b/>
        </w:rPr>
        <w:t>第一百二十四条</w:t>
      </w:r>
      <w:r>
        <w:rPr>
          <w:rFonts w:hint="eastAsia"/>
        </w:rPr>
        <w:t>　违反本条例第八十四条规定的，由城市管理综合执法部门责令改正，处五百元以上三千元以下罚款。</w:t>
      </w:r>
    </w:p>
    <w:p w14:paraId="63D6B9DE">
      <w:pPr>
        <w:ind w:firstLine="422"/>
      </w:pPr>
      <w:r>
        <w:rPr>
          <w:rFonts w:hint="eastAsia"/>
          <w:b/>
        </w:rPr>
        <w:t>第一百二十五条</w:t>
      </w:r>
      <w:r>
        <w:rPr>
          <w:rFonts w:hint="eastAsia"/>
        </w:rPr>
        <w:t>　违反本条例第八十五条规定的，由城市管理综合执法部门责令限期改正，处二千元以上二万元以下罚款；逾期未改正的，责令停工整顿。</w:t>
      </w:r>
    </w:p>
    <w:p w14:paraId="06403C8A">
      <w:pPr>
        <w:ind w:firstLine="422"/>
      </w:pPr>
      <w:r>
        <w:rPr>
          <w:rFonts w:hint="eastAsia"/>
          <w:b/>
        </w:rPr>
        <w:t>第一百二十六条</w:t>
      </w:r>
      <w:r>
        <w:rPr>
          <w:rFonts w:hint="eastAsia"/>
        </w:rPr>
        <w:t>　违反本条例第八十八条规定，在矿产资源开采过程中未采取措施防治扬尘污染的，由环境保护行政主管部门责令限期改正，处二千元以上二万元以下罚款；逾期未改正的，责令停工整顿。</w:t>
      </w:r>
    </w:p>
    <w:p w14:paraId="5CB7AA3A">
      <w:pPr>
        <w:ind w:firstLine="422"/>
      </w:pPr>
      <w:r>
        <w:rPr>
          <w:rFonts w:hint="eastAsia"/>
          <w:b/>
        </w:rPr>
        <w:t>第一百二十七条</w:t>
      </w:r>
      <w:r>
        <w:rPr>
          <w:rFonts w:hint="eastAsia"/>
        </w:rPr>
        <w:t>　违反本条例第八十九条第一款规定的，由住房城乡建设行政主管部门责令限期改正，处二万元以上二十万元以下罚款；逾期未改正的，责令停工整顿。</w:t>
      </w:r>
    </w:p>
    <w:p w14:paraId="5886A40A">
      <w:r>
        <w:rPr>
          <w:rFonts w:hint="eastAsia"/>
        </w:rPr>
        <w:t>违反本条例第八十九条第二款规定，新建、扩建混凝土搅拌站的，由市住房城乡建设行政主管部门责令关闭；不符合环境治理规划的已建成企业在规定期限内未关闭的，由市住房城乡建设行政主管部门关闭，处五万元以上二十万元以下罚款。</w:t>
      </w:r>
    </w:p>
    <w:p w14:paraId="1EC35E42">
      <w:pPr>
        <w:ind w:firstLine="422"/>
      </w:pPr>
      <w:r>
        <w:rPr>
          <w:rFonts w:hint="eastAsia"/>
          <w:b/>
        </w:rPr>
        <w:t>第一百二十八条</w:t>
      </w:r>
      <w:r>
        <w:rPr>
          <w:rFonts w:hint="eastAsia"/>
        </w:rPr>
        <w:t>　违反本条例，除第九十二条第二款、第一百零五条、第一百一十八条规定的情形外，受到罚款、没收等行政处罚两次以上的，做出处罚决定的部门可以在上一次罚款金额基础上加一倍进行处罚。</w:t>
      </w:r>
    </w:p>
    <w:p w14:paraId="43782F20">
      <w:pPr>
        <w:ind w:firstLine="422"/>
      </w:pPr>
      <w:r>
        <w:rPr>
          <w:rFonts w:hint="eastAsia"/>
          <w:b/>
        </w:rPr>
        <w:t>第一百二十九条</w:t>
      </w:r>
      <w:r>
        <w:rPr>
          <w:rFonts w:hint="eastAsia"/>
        </w:rPr>
        <w:t>　违反本条例规定，排放大气污染物，造成严重污染，构成犯罪的，依法追究刑事责任。</w:t>
      </w:r>
    </w:p>
    <w:p w14:paraId="0F364AF9">
      <w:r>
        <w:rPr>
          <w:rFonts w:hint="eastAsia"/>
        </w:rPr>
        <w:t>环境保护行政主管部门与公安机关应当建立健全大气污染案件行政执法和刑事司法衔接机制，完善案件移送、线索通报等制度。</w:t>
      </w:r>
    </w:p>
    <w:p w14:paraId="0B161A42"/>
    <w:p w14:paraId="5B1DD787">
      <w:pPr>
        <w:ind w:firstLine="0" w:firstLineChars="0"/>
        <w:jc w:val="center"/>
        <w:rPr>
          <w:b/>
          <w:sz w:val="28"/>
        </w:rPr>
      </w:pPr>
      <w:r>
        <w:rPr>
          <w:rFonts w:hint="eastAsia"/>
          <w:b/>
          <w:sz w:val="28"/>
        </w:rPr>
        <w:t>第八章　附　则</w:t>
      </w:r>
    </w:p>
    <w:p w14:paraId="36FF1A61"/>
    <w:p w14:paraId="649FB59C">
      <w:pPr>
        <w:ind w:firstLine="422"/>
      </w:pPr>
      <w:r>
        <w:rPr>
          <w:rFonts w:hint="eastAsia"/>
          <w:b/>
        </w:rPr>
        <w:t>第一百三十条</w:t>
      </w:r>
      <w:r>
        <w:rPr>
          <w:rFonts w:hint="eastAsia"/>
        </w:rPr>
        <w:t>　本条</w:t>
      </w:r>
      <w:r>
        <w:rPr>
          <w:rFonts w:hint="eastAsia" w:ascii="宋体" w:hAnsi="宋体" w:eastAsia="宋体" w:cs="宋体"/>
        </w:rPr>
        <w:t>例自2014年3月1日起施行。2000年12月8日北京市第十一</w:t>
      </w:r>
      <w:r>
        <w:rPr>
          <w:rFonts w:hint="eastAsia"/>
        </w:rPr>
        <w:t>届人民代表大会常务委员会第二十三次会议通过的《北京市实施〈中华人民共和国大气污染防治法〉办法》同时废止。</w:t>
      </w:r>
    </w:p>
    <w:p w14:paraId="05BF64CF">
      <w:pPr>
        <w:pStyle w:val="4"/>
        <w:pageBreakBefore/>
      </w:pPr>
      <w:bookmarkStart w:id="2772" w:name="_Toc428781943"/>
      <w:bookmarkStart w:id="2773" w:name="_Toc426467195"/>
      <w:bookmarkStart w:id="2774" w:name="_Toc428780892"/>
      <w:r>
        <w:rPr>
          <w:rFonts w:hint="eastAsia"/>
        </w:rPr>
        <w:t>北京市人民政府关于百花山和</w:t>
      </w:r>
      <w:bookmarkEnd w:id="2772"/>
      <w:bookmarkEnd w:id="2773"/>
      <w:bookmarkEnd w:id="2774"/>
    </w:p>
    <w:p w14:paraId="2BF480BB">
      <w:pPr>
        <w:pStyle w:val="4"/>
      </w:pPr>
      <w:bookmarkStart w:id="2775" w:name="_Toc428781944"/>
      <w:bookmarkStart w:id="2776" w:name="_Toc428780893"/>
      <w:bookmarkStart w:id="2777" w:name="_Toc426467196"/>
      <w:r>
        <w:rPr>
          <w:rFonts w:hint="eastAsia"/>
        </w:rPr>
        <w:t>松山自然保护区管理暂行规定</w:t>
      </w:r>
      <w:bookmarkEnd w:id="2775"/>
      <w:bookmarkEnd w:id="2776"/>
      <w:bookmarkEnd w:id="2777"/>
    </w:p>
    <w:p w14:paraId="70B0AB05">
      <w:pPr>
        <w:ind w:left="630" w:leftChars="300" w:right="630" w:rightChars="300"/>
        <w:rPr>
          <w:rFonts w:ascii="楷体" w:hAnsi="楷体" w:eastAsia="楷体"/>
        </w:rPr>
      </w:pPr>
      <w:r>
        <w:rPr>
          <w:rFonts w:hint="eastAsia" w:ascii="楷体" w:hAnsi="楷体" w:eastAsia="楷体"/>
        </w:rPr>
        <w:t>（1986年3月15日北京市人民政府京政发39号文件发布  根据1997年12月31日北京市人民政府第12号令修改）</w:t>
      </w:r>
    </w:p>
    <w:p w14:paraId="5AD62F9B"/>
    <w:p w14:paraId="68FD09C5">
      <w:r>
        <w:rPr>
          <w:rFonts w:hint="eastAsia"/>
        </w:rPr>
        <w:t>为加强百花山、松山自然保护区的管理，根据国务院批准、林业部颁布的《森林和野生动物类型自然保护区管理办法》，结合两个自然保护区的具体情况，特作如下规定：</w:t>
      </w:r>
    </w:p>
    <w:p w14:paraId="145F46F9">
      <w:pPr>
        <w:ind w:firstLine="422"/>
      </w:pPr>
      <w:r>
        <w:rPr>
          <w:rFonts w:hint="eastAsia"/>
          <w:b/>
        </w:rPr>
        <w:t>一、</w:t>
      </w:r>
      <w:r>
        <w:rPr>
          <w:rFonts w:hint="eastAsia"/>
        </w:rPr>
        <w:t>百花山、松山自然保护区均为森林和野生动物类型的市级自然保护区。</w:t>
      </w:r>
    </w:p>
    <w:p w14:paraId="0CE36257">
      <w:r>
        <w:rPr>
          <w:rFonts w:hint="eastAsia"/>
        </w:rPr>
        <w:t>百花山自然保护区重点保护天然植被、地貌、动植物种资源和风景资源，使其逐渐恢复华北山区典型的自然面貌，成为科研和教学的基地。</w:t>
      </w:r>
    </w:p>
    <w:p w14:paraId="20CCE4E8">
      <w:r>
        <w:rPr>
          <w:rFonts w:hint="eastAsia"/>
        </w:rPr>
        <w:t>松山自然保护区重点保护天然油松林、其他针阔叶林、山顶草甸和自然景观，使其成为保存山区动植物种资源和野外生态学研究的基地。</w:t>
      </w:r>
    </w:p>
    <w:p w14:paraId="4A94351B">
      <w:pPr>
        <w:ind w:firstLine="422"/>
      </w:pPr>
      <w:r>
        <w:rPr>
          <w:rFonts w:hint="eastAsia"/>
          <w:b/>
        </w:rPr>
        <w:t>二、</w:t>
      </w:r>
      <w:r>
        <w:rPr>
          <w:rFonts w:hint="eastAsia"/>
        </w:rPr>
        <w:t>市林业局是本市森林和野生动物类型自然保护区的主管机关。松山国家级自然保护区由市林业局会同所在区、县人民政府共同管理；百花山市级自然保护区由所在区、县人民政府林业行政主管部门管理，所在区、县人民政府负责监督检查。日常工作分别由各自然保护区管理机构负责。</w:t>
      </w:r>
    </w:p>
    <w:p w14:paraId="51769A3C">
      <w:r>
        <w:rPr>
          <w:rFonts w:hint="eastAsia"/>
        </w:rPr>
        <w:t>百花山、松山自然保护区的规划，由市林业局会同市科学技术委员会、市公安局、市城市规划管理局、市环境保护局和自然保护区所在区、县人民政府共同制定，由市林业局和所在区、县人民政府监督实施。</w:t>
      </w:r>
    </w:p>
    <w:p w14:paraId="76BEB1E7">
      <w:pPr>
        <w:ind w:firstLine="422"/>
      </w:pPr>
      <w:r>
        <w:rPr>
          <w:rFonts w:hint="eastAsia"/>
          <w:b/>
        </w:rPr>
        <w:t>三、</w:t>
      </w:r>
      <w:r>
        <w:rPr>
          <w:rFonts w:hint="eastAsia"/>
        </w:rPr>
        <w:t>百花山自然保护区和松山自然保护区的范围，分别为门头沟区百花山林场和延庆县松山林场所辖的区域。</w:t>
      </w:r>
    </w:p>
    <w:p w14:paraId="1F97E41D">
      <w:pPr>
        <w:ind w:firstLine="422"/>
      </w:pPr>
      <w:r>
        <w:rPr>
          <w:rFonts w:hint="eastAsia"/>
          <w:b/>
        </w:rPr>
        <w:t>四、</w:t>
      </w:r>
      <w:r>
        <w:rPr>
          <w:rFonts w:hint="eastAsia"/>
        </w:rPr>
        <w:t>在自然保护区范围内，根据自然资源分布情况，划定核心区和实验区。</w:t>
      </w:r>
    </w:p>
    <w:p w14:paraId="3E7F7C86">
      <w:r>
        <w:rPr>
          <w:rFonts w:hint="eastAsia"/>
        </w:rPr>
        <w:t>百花山自然保护区的核心区在台岭</w:t>
      </w:r>
      <w:r>
        <w:rPr>
          <w:rFonts w:hint="eastAsia" w:ascii="楷体" w:hAnsi="楷体" w:eastAsia="楷体"/>
        </w:rPr>
        <w:t>——</w:t>
      </w:r>
      <w:r>
        <w:rPr>
          <w:rFonts w:hint="eastAsia"/>
        </w:rPr>
        <w:t>秋林铺路以西至流动耩山梁；实验区在台岭</w:t>
      </w:r>
      <w:r>
        <w:rPr>
          <w:rFonts w:hint="eastAsia" w:ascii="楷体" w:hAnsi="楷体" w:eastAsia="楷体"/>
        </w:rPr>
        <w:t>——</w:t>
      </w:r>
      <w:r>
        <w:rPr>
          <w:rFonts w:hint="eastAsia"/>
        </w:rPr>
        <w:t>秋林铺路以东至幼芋沟北梁。</w:t>
      </w:r>
    </w:p>
    <w:p w14:paraId="5D90615A">
      <w:r>
        <w:rPr>
          <w:rFonts w:hint="eastAsia"/>
        </w:rPr>
        <w:t>松山自然保护区的核心区在塘子沟内西坡以西至人头沟北梁，长虫东沟、冷风窝东沟以东；实验区在冷风窝东沟以西至大庄科村界以东。</w:t>
      </w:r>
    </w:p>
    <w:p w14:paraId="05C8BF13">
      <w:pPr>
        <w:ind w:firstLine="422"/>
      </w:pPr>
      <w:r>
        <w:rPr>
          <w:rFonts w:hint="eastAsia"/>
          <w:b/>
        </w:rPr>
        <w:t>五、</w:t>
      </w:r>
      <w:r>
        <w:rPr>
          <w:rFonts w:hint="eastAsia"/>
        </w:rPr>
        <w:t>核心区为自然保护区的重点保护地区，只供进行观测研究。凡需进入核心区从事观测研究的，必须经市林业局批准。</w:t>
      </w:r>
    </w:p>
    <w:p w14:paraId="2FEA0F99">
      <w:r>
        <w:rPr>
          <w:rFonts w:hint="eastAsia"/>
        </w:rPr>
        <w:t>实验区供开展科学实验、考察、教学实习、引种驯化、培育珍稀动植物等研究活动。凡需进入实验区从事研究活动的，必须经市林业局批准；进行教学实验的，必须经自然保护区所在区、县人民政府批准。</w:t>
      </w:r>
    </w:p>
    <w:p w14:paraId="5F0078D6">
      <w:r>
        <w:rPr>
          <w:rFonts w:hint="eastAsia"/>
        </w:rPr>
        <w:t>经批准进入核心区、实验区从事上述研究活动的，必须遵守自然保护区的管理规定，并交纳保护管理费。收费办法由市林业局制订。</w:t>
      </w:r>
    </w:p>
    <w:p w14:paraId="191D91D1">
      <w:pPr>
        <w:ind w:firstLine="422"/>
      </w:pPr>
      <w:r>
        <w:rPr>
          <w:rFonts w:hint="eastAsia"/>
          <w:b/>
        </w:rPr>
        <w:t>六、</w:t>
      </w:r>
      <w:r>
        <w:rPr>
          <w:rFonts w:hint="eastAsia"/>
        </w:rPr>
        <w:t>自然保护区管理所，可按照不破坏自然资源的原则，在核心区和实验区以外的自然保护区，划定一定范围，从事生产、生活活动。</w:t>
      </w:r>
    </w:p>
    <w:p w14:paraId="3D5D479F">
      <w:pPr>
        <w:ind w:firstLine="422"/>
      </w:pPr>
      <w:r>
        <w:rPr>
          <w:rFonts w:hint="eastAsia"/>
          <w:b/>
        </w:rPr>
        <w:t>七、</w:t>
      </w:r>
      <w:r>
        <w:rPr>
          <w:rFonts w:hint="eastAsia"/>
        </w:rPr>
        <w:t>加强自然保护区的管理。</w:t>
      </w:r>
    </w:p>
    <w:p w14:paraId="2CA0656B">
      <w:r>
        <w:rPr>
          <w:rFonts w:hint="eastAsia"/>
        </w:rPr>
        <w:t>（一）自然保护区内，禁止采伐树木；禁止狩猎、捕鸟、放牧；禁止开荒、开山采石、取土；禁止一切野外用火。</w:t>
      </w:r>
    </w:p>
    <w:p w14:paraId="364277FF">
      <w:r>
        <w:rPr>
          <w:rFonts w:hint="eastAsia"/>
        </w:rPr>
        <w:t>（二）核心区和实验区内，禁止旅游。</w:t>
      </w:r>
    </w:p>
    <w:p w14:paraId="6949C6F7">
      <w:r>
        <w:rPr>
          <w:rFonts w:hint="eastAsia"/>
        </w:rPr>
        <w:t>（三）核心区内，禁止采挖标本或种苗；禁止修建建筑物和设施。在核心区以外的自然保护区内，采挖标本或种苗的，必须经自然保护区所在区、县人民政府批准；修建建筑物或设施的，必须征得自然保护区所在区、县人民政府和市林业局、市环境保护局和公安消防部门同意，报市规划管理局批准。</w:t>
      </w:r>
    </w:p>
    <w:p w14:paraId="671DAA03">
      <w:r>
        <w:rPr>
          <w:rFonts w:hint="eastAsia"/>
        </w:rPr>
        <w:t>（四）自然保护区周围，不准建立污染环境的工矿企业及设施，其范围由市环境保护局划定。</w:t>
      </w:r>
    </w:p>
    <w:p w14:paraId="3B2BBD58">
      <w:pPr>
        <w:ind w:firstLine="422"/>
      </w:pPr>
      <w:r>
        <w:rPr>
          <w:rFonts w:hint="eastAsia"/>
          <w:b/>
        </w:rPr>
        <w:t>八、</w:t>
      </w:r>
      <w:r>
        <w:rPr>
          <w:rFonts w:hint="eastAsia"/>
        </w:rPr>
        <w:t>对违反本规定的单位和个人，给予下列处罚：</w:t>
      </w:r>
    </w:p>
    <w:p w14:paraId="39B47C9C">
      <w:pPr>
        <w:rPr>
          <w:rFonts w:hint="eastAsia" w:ascii="宋体" w:hAnsi="宋体" w:eastAsia="宋体" w:cs="宋体"/>
        </w:rPr>
      </w:pPr>
      <w:r>
        <w:rPr>
          <w:rFonts w:hint="eastAsia"/>
        </w:rPr>
        <w:t>（一）</w:t>
      </w:r>
      <w:r>
        <w:rPr>
          <w:rFonts w:hint="eastAsia" w:ascii="宋体" w:hAnsi="宋体" w:eastAsia="宋体" w:cs="宋体"/>
        </w:rPr>
        <w:t>未经批准擅自进入自然保护区的，由自然保护区管理机构责令改正，并根据情节轻重处以100元以上5000元以下罚款。</w:t>
      </w:r>
    </w:p>
    <w:p w14:paraId="62652516">
      <w:r>
        <w:rPr>
          <w:rFonts w:hint="eastAsia" w:ascii="宋体" w:hAnsi="宋体" w:eastAsia="宋体" w:cs="宋体"/>
        </w:rPr>
        <w:t>（二）擅自在自然保护区内修建建筑物和设</w:t>
      </w:r>
      <w:r>
        <w:rPr>
          <w:rFonts w:hint="eastAsia"/>
        </w:rPr>
        <w:t>施的，由规划管理部门依照规划管理的法律、法规予以处罚。</w:t>
      </w:r>
    </w:p>
    <w:p w14:paraId="4FD7370D">
      <w:r>
        <w:rPr>
          <w:rFonts w:hint="eastAsia"/>
        </w:rPr>
        <w:t>（三）在自然保护区内狩猎、放牧、捕鸟、开荒、开山采石、挖沙取土和擅自采挖标本、种苗、采药，致使自然资源受到破坏的，由所在区、县林业行政主管部门没收违法所得，责令停止违法行为，限期恢复原状或者采取其他补救措施，并可处</w:t>
      </w:r>
      <w:r>
        <w:rPr>
          <w:rFonts w:hint="eastAsia" w:ascii="宋体" w:hAnsi="宋体" w:eastAsia="宋体" w:cs="宋体"/>
        </w:rPr>
        <w:t>以300元以上1万元以下</w:t>
      </w:r>
      <w:r>
        <w:rPr>
          <w:rFonts w:hint="eastAsia"/>
        </w:rPr>
        <w:t>的罚款。</w:t>
      </w:r>
    </w:p>
    <w:p w14:paraId="28F955FA">
      <w:r>
        <w:rPr>
          <w:rFonts w:hint="eastAsia"/>
        </w:rPr>
        <w:t>（四）在自然保护区内违反野外用火规定的，依据国家和本市有关森林防火的规定处理。</w:t>
      </w:r>
    </w:p>
    <w:p w14:paraId="55016739">
      <w:r>
        <w:rPr>
          <w:rFonts w:hint="eastAsia"/>
        </w:rPr>
        <w:t>（五）违反本规定给自然保护区造成损失的，由所在区、县林业行政主管部门责令赔偿损失。</w:t>
      </w:r>
    </w:p>
    <w:p w14:paraId="4DA0F9D7">
      <w:r>
        <w:rPr>
          <w:rFonts w:hint="eastAsia"/>
        </w:rPr>
        <w:t>（六）拒绝、阻碍自然保护区管理人员依法执行公务的，依照《北京市农村林木资源保护管理条例》第三十条的规定处理。</w:t>
      </w:r>
    </w:p>
    <w:p w14:paraId="564C50F5">
      <w:pPr>
        <w:ind w:firstLine="422"/>
      </w:pPr>
      <w:r>
        <w:rPr>
          <w:rFonts w:hint="eastAsia"/>
          <w:b/>
        </w:rPr>
        <w:t>九、</w:t>
      </w:r>
      <w:r>
        <w:rPr>
          <w:rFonts w:hint="eastAsia"/>
        </w:rPr>
        <w:t>本规定执行中的具体问题，由市林业局负责解释。</w:t>
      </w:r>
    </w:p>
    <w:p w14:paraId="05A595A8">
      <w:pPr>
        <w:ind w:firstLine="422"/>
        <w:rPr>
          <w:rFonts w:hint="eastAsia" w:ascii="宋体" w:hAnsi="宋体" w:eastAsia="宋体" w:cs="宋体"/>
        </w:rPr>
      </w:pPr>
      <w:r>
        <w:rPr>
          <w:rFonts w:hint="eastAsia"/>
          <w:b/>
        </w:rPr>
        <w:t>十、</w:t>
      </w:r>
      <w:r>
        <w:rPr>
          <w:rFonts w:hint="eastAsia"/>
        </w:rPr>
        <w:t>本规定</w:t>
      </w:r>
      <w:r>
        <w:rPr>
          <w:rFonts w:hint="eastAsia" w:ascii="宋体" w:hAnsi="宋体" w:eastAsia="宋体" w:cs="宋体"/>
        </w:rPr>
        <w:t>自1986年4月15日起施行。</w:t>
      </w:r>
    </w:p>
    <w:p w14:paraId="7C2223BE">
      <w:pPr>
        <w:pStyle w:val="4"/>
        <w:pageBreakBefore/>
      </w:pPr>
      <w:bookmarkStart w:id="2778" w:name="_Toc426467197"/>
      <w:bookmarkStart w:id="2779" w:name="_Toc428780894"/>
      <w:bookmarkStart w:id="2780" w:name="_Toc428781945"/>
      <w:r>
        <w:rPr>
          <w:rFonts w:hint="eastAsia"/>
        </w:rPr>
        <w:t>北京市限制销售、使用塑料袋</w:t>
      </w:r>
      <w:bookmarkEnd w:id="2778"/>
      <w:bookmarkEnd w:id="2779"/>
      <w:bookmarkEnd w:id="2780"/>
    </w:p>
    <w:p w14:paraId="7AB73D59">
      <w:pPr>
        <w:pStyle w:val="4"/>
      </w:pPr>
      <w:bookmarkStart w:id="2781" w:name="_Toc426467198"/>
      <w:bookmarkStart w:id="2782" w:name="_Toc428781946"/>
      <w:bookmarkStart w:id="2783" w:name="_Toc428780895"/>
      <w:r>
        <w:rPr>
          <w:rFonts w:hint="eastAsia"/>
        </w:rPr>
        <w:t>和一次性塑料餐具管理办法</w:t>
      </w:r>
      <w:bookmarkEnd w:id="2781"/>
      <w:bookmarkEnd w:id="2782"/>
      <w:bookmarkEnd w:id="2783"/>
    </w:p>
    <w:p w14:paraId="4123CCC5">
      <w:pPr>
        <w:ind w:left="630" w:leftChars="300" w:right="630" w:rightChars="300"/>
        <w:jc w:val="center"/>
        <w:rPr>
          <w:rFonts w:ascii="楷体" w:hAnsi="楷体" w:eastAsia="楷体"/>
        </w:rPr>
      </w:pPr>
      <w:r>
        <w:rPr>
          <w:rFonts w:hint="eastAsia" w:ascii="楷体" w:hAnsi="楷体" w:eastAsia="楷体"/>
        </w:rPr>
        <w:t>（1999年3月31日北京市人民政府第25号令发布）</w:t>
      </w:r>
    </w:p>
    <w:p w14:paraId="426213AD"/>
    <w:p w14:paraId="2BC55E2D">
      <w:pPr>
        <w:ind w:firstLine="422"/>
      </w:pPr>
      <w:r>
        <w:rPr>
          <w:rFonts w:hint="eastAsia"/>
          <w:b/>
        </w:rPr>
        <w:t>第一条</w:t>
      </w:r>
      <w:r>
        <w:rPr>
          <w:rFonts w:hint="eastAsia"/>
        </w:rPr>
        <w:t xml:space="preserve">  为了加强本市环境治理，防治塑料袋和一次性塑料餐具污染环境，根据本市实际情况，制定本办法。</w:t>
      </w:r>
    </w:p>
    <w:p w14:paraId="1502AEF1">
      <w:pPr>
        <w:ind w:firstLine="422"/>
      </w:pPr>
      <w:r>
        <w:rPr>
          <w:rFonts w:hint="eastAsia"/>
          <w:b/>
        </w:rPr>
        <w:t>第二条</w:t>
      </w:r>
      <w:r>
        <w:rPr>
          <w:rFonts w:hint="eastAsia"/>
        </w:rPr>
        <w:t xml:space="preserve">  凡在本市行政区域内销售和在经营中使用塑料袋，以及生产、销售和在经营中使用一次性资料餐具（以下简称塑料餐具）的单位和个体工商户，均须遵守本办法。</w:t>
      </w:r>
    </w:p>
    <w:p w14:paraId="3D105894">
      <w:pPr>
        <w:ind w:firstLine="422"/>
      </w:pPr>
      <w:r>
        <w:rPr>
          <w:rFonts w:hint="eastAsia"/>
          <w:b/>
        </w:rPr>
        <w:t>第三条</w:t>
      </w:r>
      <w:r>
        <w:rPr>
          <w:rFonts w:hint="eastAsia"/>
        </w:rPr>
        <w:t xml:space="preserve">  禁止销售和在经营中使用</w:t>
      </w:r>
      <w:r>
        <w:rPr>
          <w:rFonts w:hint="eastAsia" w:ascii="宋体" w:hAnsi="宋体" w:eastAsia="宋体" w:cs="宋体"/>
        </w:rPr>
        <w:t>厚度在0.025毫米以下（含0.025毫米，下同）的</w:t>
      </w:r>
      <w:r>
        <w:rPr>
          <w:rFonts w:hint="eastAsia"/>
        </w:rPr>
        <w:t>塑料袋。</w:t>
      </w:r>
    </w:p>
    <w:p w14:paraId="4A0C1177">
      <w:r>
        <w:rPr>
          <w:rFonts w:hint="eastAsia"/>
        </w:rPr>
        <w:t>商业企业和生活消费品、生产资料市场（以下简称市场）中的经营者在经营中使用的塑料袋必须印有本企业或者所在市场的名称。</w:t>
      </w:r>
    </w:p>
    <w:p w14:paraId="7B81E2E9">
      <w:r>
        <w:rPr>
          <w:rFonts w:hint="eastAsia"/>
        </w:rPr>
        <w:t>鼓励使用布制、纸制等可重复使用的购物袋。</w:t>
      </w:r>
    </w:p>
    <w:p w14:paraId="401F0F81">
      <w:pPr>
        <w:ind w:firstLine="422"/>
      </w:pPr>
      <w:r>
        <w:rPr>
          <w:rFonts w:hint="eastAsia"/>
          <w:b/>
        </w:rPr>
        <w:t>第四条</w:t>
      </w:r>
      <w:r>
        <w:rPr>
          <w:rFonts w:hint="eastAsia"/>
        </w:rPr>
        <w:t xml:space="preserve">  市场开办单位应当加强对市场内的经营者销售和使用塑料袋情况的监督检查，并指定柜台或者摊位集中向市场内的其他经营者出售合格的塑料袋。非指定的柜台或者摊位不得擅自向市场内的其他经营者出售塑料袋。</w:t>
      </w:r>
    </w:p>
    <w:p w14:paraId="4C61B3AD">
      <w:pPr>
        <w:ind w:firstLine="422"/>
      </w:pPr>
      <w:r>
        <w:rPr>
          <w:rFonts w:hint="eastAsia"/>
          <w:b/>
        </w:rPr>
        <w:t>第五条</w:t>
      </w:r>
      <w:r>
        <w:rPr>
          <w:rFonts w:hint="eastAsia"/>
        </w:rPr>
        <w:t xml:space="preserve">  塑料餐具的生产者、销售者和在经营中使用塑料餐具的经营者，对塑料餐具负有回收利用的责任。在本市销售塑料餐具的生产者必须设置回收塑料餐具的站点并采取回收利用的措施，达到市环境保护管理部门规定的回收率。</w:t>
      </w:r>
    </w:p>
    <w:p w14:paraId="72C6DF65">
      <w:r>
        <w:rPr>
          <w:rFonts w:hint="eastAsia"/>
        </w:rPr>
        <w:t>禁止在铁路车站、长途汽车站、机场、首都文明景区（点）和宾馆饭店销售、使用一次性发泡塑料餐具。</w:t>
      </w:r>
    </w:p>
    <w:p w14:paraId="74DD032A">
      <w:r>
        <w:rPr>
          <w:rFonts w:hint="eastAsia"/>
        </w:rPr>
        <w:t>国家对塑料餐具的销售和使用另有规定的，按照国家有关规定执行。</w:t>
      </w:r>
    </w:p>
    <w:p w14:paraId="58F80CDA">
      <w:pPr>
        <w:ind w:firstLine="422"/>
        <w:rPr>
          <w:rFonts w:hint="eastAsia" w:ascii="宋体" w:hAnsi="宋体" w:eastAsia="宋体" w:cs="宋体"/>
        </w:rPr>
      </w:pPr>
      <w:r>
        <w:rPr>
          <w:rFonts w:hint="eastAsia"/>
          <w:b/>
        </w:rPr>
        <w:t>第六条</w:t>
      </w:r>
      <w:r>
        <w:rPr>
          <w:rFonts w:hint="eastAsia"/>
        </w:rPr>
        <w:t xml:space="preserve">  对</w:t>
      </w:r>
      <w:r>
        <w:rPr>
          <w:rFonts w:hint="eastAsia" w:ascii="宋体" w:hAnsi="宋体" w:eastAsia="宋体" w:cs="宋体"/>
        </w:rPr>
        <w:t>违反本办法有下列行为之一的，由工商行政管理部门予以处罚：</w:t>
      </w:r>
    </w:p>
    <w:p w14:paraId="632481EB">
      <w:pPr>
        <w:rPr>
          <w:rFonts w:hint="eastAsia" w:ascii="宋体" w:hAnsi="宋体" w:eastAsia="宋体" w:cs="宋体"/>
        </w:rPr>
      </w:pPr>
      <w:r>
        <w:rPr>
          <w:rFonts w:hint="eastAsia" w:ascii="宋体" w:hAnsi="宋体" w:eastAsia="宋体" w:cs="宋体"/>
        </w:rPr>
        <w:t>（一）销售或者在经营中使用厚度在0.025毫米以下的塑料袋的，处20元以上200元以下罚款；情节严重的，处200元以上2000元以下罚款。</w:t>
      </w:r>
    </w:p>
    <w:p w14:paraId="1AF30321">
      <w:pPr>
        <w:rPr>
          <w:rFonts w:hint="eastAsia" w:ascii="宋体" w:hAnsi="宋体" w:eastAsia="宋体" w:cs="宋体"/>
        </w:rPr>
      </w:pPr>
      <w:r>
        <w:rPr>
          <w:rFonts w:hint="eastAsia" w:ascii="宋体" w:hAnsi="宋体" w:eastAsia="宋体" w:cs="宋体"/>
        </w:rPr>
        <w:t>（二）商业企业和市场中的经营者在经营中使用未印有本企业或者所在市场名称的塑料袋的，处50元以上1000元以下罚款，并处市场开办单位50元以上1000元以下罚款。</w:t>
      </w:r>
    </w:p>
    <w:p w14:paraId="0B68DA41">
      <w:pPr>
        <w:rPr>
          <w:rFonts w:hint="eastAsia" w:ascii="宋体" w:hAnsi="宋体" w:eastAsia="宋体" w:cs="宋体"/>
        </w:rPr>
      </w:pPr>
      <w:r>
        <w:rPr>
          <w:rFonts w:hint="eastAsia" w:ascii="宋体" w:hAnsi="宋体" w:eastAsia="宋体" w:cs="宋体"/>
        </w:rPr>
        <w:t>（三）市场开办单位未指定柜台和摊位集中向市场内的其他经营者出售塑料袋的，处市场开办单位50元以上1000元以下罚款。</w:t>
      </w:r>
    </w:p>
    <w:p w14:paraId="4F1FB960">
      <w:pPr>
        <w:rPr>
          <w:rFonts w:hint="eastAsia" w:ascii="宋体" w:hAnsi="宋体" w:eastAsia="宋体" w:cs="宋体"/>
        </w:rPr>
      </w:pPr>
      <w:r>
        <w:rPr>
          <w:rFonts w:hint="eastAsia" w:ascii="宋体" w:hAnsi="宋体" w:eastAsia="宋体" w:cs="宋体"/>
        </w:rPr>
        <w:t>（四）非指定的柜台或者摊位擅自向市场内的其他经营者出售塑料袋的，处50元以上1000元以下罚款。</w:t>
      </w:r>
    </w:p>
    <w:p w14:paraId="3BBC31CC">
      <w:pPr>
        <w:ind w:firstLine="422"/>
      </w:pPr>
      <w:r>
        <w:rPr>
          <w:rFonts w:hint="eastAsia"/>
          <w:b/>
        </w:rPr>
        <w:t>第七条</w:t>
      </w:r>
      <w:r>
        <w:rPr>
          <w:rFonts w:hint="eastAsia"/>
        </w:rPr>
        <w:t xml:space="preserve">  对违反本办法有下列行为之一的，由环境保护管理部门责令限期改正，并予以处罚：</w:t>
      </w:r>
    </w:p>
    <w:p w14:paraId="51F515D5">
      <w:pPr>
        <w:rPr>
          <w:rFonts w:hint="eastAsia" w:ascii="宋体" w:hAnsi="宋体" w:eastAsia="宋体" w:cs="宋体"/>
        </w:rPr>
      </w:pPr>
      <w:r>
        <w:rPr>
          <w:rFonts w:hint="eastAsia"/>
        </w:rPr>
        <w:t>（一）塑料餐具生产者未设置回收塑料餐具的站点、不采取回收利用措施的，处</w:t>
      </w:r>
      <w:r>
        <w:rPr>
          <w:rFonts w:hint="eastAsia" w:ascii="宋体" w:hAnsi="宋体" w:eastAsia="宋体" w:cs="宋体"/>
        </w:rPr>
        <w:t>500元以上5000元以下罚款；情节严重的，处5000元以上3万元以下罚款。</w:t>
      </w:r>
    </w:p>
    <w:p w14:paraId="2B2AD51E">
      <w:pPr>
        <w:rPr>
          <w:rFonts w:hint="eastAsia" w:ascii="宋体" w:hAnsi="宋体" w:eastAsia="宋体" w:cs="宋体"/>
        </w:rPr>
      </w:pPr>
      <w:r>
        <w:rPr>
          <w:rFonts w:hint="eastAsia" w:ascii="宋体" w:hAnsi="宋体" w:eastAsia="宋体" w:cs="宋体"/>
        </w:rPr>
        <w:t>（二）塑料餐具生产者对塑料餐具的回收未达到规定的回收率的，处200元以上2000元以下罚款；情节严重的，处2000元以上2万元以下罚款。</w:t>
      </w:r>
    </w:p>
    <w:p w14:paraId="34A0945C">
      <w:r>
        <w:rPr>
          <w:rFonts w:hint="eastAsia"/>
        </w:rPr>
        <w:t>（三）在铁路车站、长途汽车站、机场、首都文明景区（站）和宾馆饭店销售、使用一次性发泡塑料餐具的</w:t>
      </w:r>
      <w:r>
        <w:rPr>
          <w:rFonts w:hint="eastAsia" w:ascii="宋体" w:hAnsi="宋体" w:eastAsia="宋体" w:cs="宋体"/>
        </w:rPr>
        <w:t>，处50元以上500元以下罚款；情节严重的，处500元以上5000</w:t>
      </w:r>
      <w:r>
        <w:rPr>
          <w:rFonts w:hint="eastAsia"/>
        </w:rPr>
        <w:t>元以下罚款。</w:t>
      </w:r>
    </w:p>
    <w:p w14:paraId="7821A6D1">
      <w:pPr>
        <w:ind w:firstLine="422"/>
        <w:rPr>
          <w:rFonts w:hint="eastAsia" w:ascii="宋体" w:hAnsi="宋体" w:eastAsia="宋体" w:cs="宋体"/>
        </w:rPr>
      </w:pPr>
      <w:r>
        <w:rPr>
          <w:rFonts w:hint="eastAsia"/>
          <w:b/>
        </w:rPr>
        <w:t>第八条</w:t>
      </w:r>
      <w:r>
        <w:rPr>
          <w:rFonts w:hint="eastAsia"/>
        </w:rPr>
        <w:t xml:space="preserve">  本办法</w:t>
      </w:r>
      <w:r>
        <w:rPr>
          <w:rFonts w:hint="eastAsia" w:ascii="宋体" w:hAnsi="宋体" w:eastAsia="宋体" w:cs="宋体"/>
        </w:rPr>
        <w:t>自1999年5月1日起施行。</w:t>
      </w:r>
    </w:p>
    <w:p w14:paraId="1CE0EDC0">
      <w:pPr>
        <w:pStyle w:val="4"/>
        <w:pageBreakBefore/>
      </w:pPr>
      <w:bookmarkStart w:id="2784" w:name="_Toc428780896"/>
      <w:bookmarkStart w:id="2785" w:name="_Toc426467199"/>
      <w:bookmarkStart w:id="2786" w:name="_Toc428781947"/>
      <w:r>
        <w:rPr>
          <w:rFonts w:hint="eastAsia"/>
        </w:rPr>
        <w:t>北京市环境噪声污染防治办法</w:t>
      </w:r>
      <w:bookmarkEnd w:id="2784"/>
      <w:bookmarkEnd w:id="2785"/>
      <w:bookmarkEnd w:id="2786"/>
    </w:p>
    <w:p w14:paraId="53632A00">
      <w:pPr>
        <w:ind w:left="630" w:leftChars="300" w:right="630" w:rightChars="300"/>
        <w:rPr>
          <w:rFonts w:ascii="楷体" w:hAnsi="楷体" w:eastAsia="楷体"/>
        </w:rPr>
      </w:pPr>
      <w:r>
        <w:rPr>
          <w:rFonts w:hint="eastAsia" w:ascii="楷体" w:hAnsi="楷体" w:eastAsia="楷体"/>
        </w:rPr>
        <w:t>（2006年11月17日市人民政府第56次常务会议审议通过　2006年11月27日北京市人民政府第181号令公布）</w:t>
      </w:r>
    </w:p>
    <w:p w14:paraId="040FA933"/>
    <w:p w14:paraId="519856B1">
      <w:pPr>
        <w:ind w:firstLine="0" w:firstLineChars="0"/>
        <w:jc w:val="center"/>
        <w:rPr>
          <w:b/>
          <w:sz w:val="28"/>
        </w:rPr>
      </w:pPr>
      <w:r>
        <w:rPr>
          <w:rFonts w:hint="eastAsia"/>
          <w:b/>
          <w:sz w:val="28"/>
        </w:rPr>
        <w:t>第一章　总　则</w:t>
      </w:r>
    </w:p>
    <w:p w14:paraId="64DDD744"/>
    <w:p w14:paraId="00FEF784">
      <w:pPr>
        <w:ind w:firstLine="422"/>
      </w:pPr>
      <w:r>
        <w:rPr>
          <w:rFonts w:hint="eastAsia"/>
          <w:b/>
        </w:rPr>
        <w:t>第一条</w:t>
      </w:r>
      <w:r>
        <w:rPr>
          <w:rFonts w:hint="eastAsia"/>
        </w:rPr>
        <w:t xml:space="preserve">  为防治环境噪声污染，保护和改善生活环境，根据《中华人民共和国环境噪声污染防治法》，结合本市实际情况，制定本办法。</w:t>
      </w:r>
    </w:p>
    <w:p w14:paraId="60E304AC">
      <w:pPr>
        <w:ind w:firstLine="422"/>
      </w:pPr>
      <w:r>
        <w:rPr>
          <w:rFonts w:hint="eastAsia"/>
          <w:b/>
        </w:rPr>
        <w:t>第二条</w:t>
      </w:r>
      <w:r>
        <w:rPr>
          <w:rFonts w:hint="eastAsia"/>
        </w:rPr>
        <w:t xml:space="preserve">  本办法适用于本市行政区域内环境噪声污染的防治。</w:t>
      </w:r>
    </w:p>
    <w:p w14:paraId="1B5EC675">
      <w:pPr>
        <w:ind w:firstLine="422"/>
      </w:pPr>
      <w:r>
        <w:rPr>
          <w:rFonts w:hint="eastAsia"/>
          <w:b/>
        </w:rPr>
        <w:t>第三条</w:t>
      </w:r>
      <w:r>
        <w:rPr>
          <w:rFonts w:hint="eastAsia"/>
        </w:rPr>
        <w:t xml:space="preserve">  区、县人民政府对本行政区域内声环境质量负责。</w:t>
      </w:r>
    </w:p>
    <w:p w14:paraId="570A7009">
      <w:r>
        <w:rPr>
          <w:rFonts w:hint="eastAsia"/>
        </w:rPr>
        <w:t>市和区、县环境保护行政主管部门对本行政区域内环境噪声污染防治实施统一监督管理。</w:t>
      </w:r>
    </w:p>
    <w:p w14:paraId="5CCB8A5D">
      <w:r>
        <w:rPr>
          <w:rFonts w:hint="eastAsia"/>
        </w:rPr>
        <w:t>公安部门负责对社会生活噪声和机动车噪声污染防治实施监督管理。</w:t>
      </w:r>
    </w:p>
    <w:p w14:paraId="7698A1C5">
      <w:r>
        <w:rPr>
          <w:rFonts w:hint="eastAsia"/>
        </w:rPr>
        <w:t>道路行政主管部门负责对道路、城市轨道交通噪声污染防治实施监督管理。</w:t>
      </w:r>
    </w:p>
    <w:p w14:paraId="2B03F1FC">
      <w:r>
        <w:rPr>
          <w:rFonts w:hint="eastAsia"/>
        </w:rPr>
        <w:t>质量技术监督行政主管部门对工业产品、设备标准中规定的噪声限值实施监督管理。</w:t>
      </w:r>
    </w:p>
    <w:p w14:paraId="4BA448FD">
      <w:r>
        <w:rPr>
          <w:rFonts w:hint="eastAsia"/>
        </w:rPr>
        <w:t>铁路、民航行政主管部门依据各自职责分别对火车、民用航空器噪声污染防治实施监督管理。</w:t>
      </w:r>
    </w:p>
    <w:p w14:paraId="0267CD4C">
      <w:r>
        <w:rPr>
          <w:rFonts w:hint="eastAsia"/>
        </w:rPr>
        <w:t>规划、建设、工商、文化等部门依据各自职责对环境噪声污染防治进行监督管理。</w:t>
      </w:r>
    </w:p>
    <w:p w14:paraId="26802D18">
      <w:pPr>
        <w:ind w:firstLine="422"/>
      </w:pPr>
      <w:r>
        <w:rPr>
          <w:rFonts w:hint="eastAsia"/>
          <w:b/>
        </w:rPr>
        <w:t>第四条</w:t>
      </w:r>
      <w:r>
        <w:rPr>
          <w:rFonts w:hint="eastAsia"/>
        </w:rPr>
        <w:t xml:space="preserve">  居民委员会、村民委员会应当协助政府及相关部门对居住区噪声污染实施监督管理，调解邻里之间因噪声产生的纠纷。</w:t>
      </w:r>
    </w:p>
    <w:p w14:paraId="7A887063">
      <w:pPr>
        <w:ind w:firstLine="422"/>
      </w:pPr>
      <w:r>
        <w:rPr>
          <w:rFonts w:hint="eastAsia"/>
          <w:b/>
        </w:rPr>
        <w:t>第五条</w:t>
      </w:r>
      <w:r>
        <w:rPr>
          <w:rFonts w:hint="eastAsia"/>
        </w:rPr>
        <w:t xml:space="preserve">  任何单位和个人都有保护环境不受噪声污染的义务，并有权对产生环境噪声污染的单位和个人进行投诉、举报。</w:t>
      </w:r>
    </w:p>
    <w:p w14:paraId="1DA30230"/>
    <w:p w14:paraId="29B922E3">
      <w:pPr>
        <w:ind w:firstLine="0" w:firstLineChars="0"/>
        <w:jc w:val="center"/>
        <w:rPr>
          <w:b/>
          <w:sz w:val="28"/>
        </w:rPr>
      </w:pPr>
      <w:r>
        <w:rPr>
          <w:rFonts w:hint="eastAsia"/>
          <w:b/>
          <w:sz w:val="28"/>
        </w:rPr>
        <w:t>第二章　环境噪声污染防治的监督管理</w:t>
      </w:r>
    </w:p>
    <w:p w14:paraId="50FCC468"/>
    <w:p w14:paraId="55B30FE5">
      <w:pPr>
        <w:ind w:firstLine="422"/>
      </w:pPr>
      <w:r>
        <w:rPr>
          <w:rFonts w:hint="eastAsia"/>
          <w:b/>
        </w:rPr>
        <w:t>第六条</w:t>
      </w:r>
      <w:r>
        <w:rPr>
          <w:rFonts w:hint="eastAsia"/>
        </w:rPr>
        <w:t xml:space="preserve">  区、县人民政府应当根据城市规划和声环境质量标准，划定本行政区域内各类声环境质量标准的适用区域，并向社会公告，同时报市环境保护行政主管部门备案。</w:t>
      </w:r>
    </w:p>
    <w:p w14:paraId="2EB32276">
      <w:r>
        <w:rPr>
          <w:rFonts w:hint="eastAsia"/>
        </w:rPr>
        <w:t>机场周围飞机噪声环境标准适用区域由市环境保护行政主管部门会同市有关行政主管部门和相关区、县人民政府划定，报市人民政府批准后实施。</w:t>
      </w:r>
    </w:p>
    <w:p w14:paraId="72C7CB83">
      <w:pPr>
        <w:ind w:firstLine="422"/>
      </w:pPr>
      <w:r>
        <w:rPr>
          <w:rFonts w:hint="eastAsia"/>
          <w:b/>
        </w:rPr>
        <w:t>第七条</w:t>
      </w:r>
      <w:r>
        <w:rPr>
          <w:rFonts w:hint="eastAsia"/>
        </w:rPr>
        <w:t xml:space="preserve">  规划行政主管部门在确定建设布局时，应当依据国家和本市声环境质量标准和民用建筑隔声设计规范，合理划定建筑物与交通干线的防噪声距离，并提出相应的规划设计要求。</w:t>
      </w:r>
    </w:p>
    <w:p w14:paraId="0DADBF26">
      <w:pPr>
        <w:ind w:firstLine="422"/>
      </w:pPr>
      <w:r>
        <w:rPr>
          <w:rFonts w:hint="eastAsia"/>
          <w:b/>
        </w:rPr>
        <w:t>第八条</w:t>
      </w:r>
      <w:r>
        <w:rPr>
          <w:rFonts w:hint="eastAsia"/>
        </w:rPr>
        <w:t xml:space="preserve">  新建、改建、扩建可能产生噪声污染的建设项目，应当遵守国家有关建设项目环境保护管理的规定，并在申请环境影响评价审批前征求所在区域居民和单位的意见。</w:t>
      </w:r>
    </w:p>
    <w:p w14:paraId="08D2CDB2">
      <w:pPr>
        <w:ind w:firstLine="422"/>
      </w:pPr>
      <w:r>
        <w:rPr>
          <w:rFonts w:hint="eastAsia"/>
          <w:b/>
        </w:rPr>
        <w:t>第九条</w:t>
      </w:r>
      <w:r>
        <w:rPr>
          <w:rFonts w:hint="eastAsia"/>
        </w:rPr>
        <w:t xml:space="preserve">  新建民用建筑对外部环境噪声隔声质量及配套的供水、供热、电梯、通风等公用设施的隔声质量，应当符合国家和本市有关标准。</w:t>
      </w:r>
    </w:p>
    <w:p w14:paraId="6F65A3FF">
      <w:r>
        <w:rPr>
          <w:rFonts w:hint="eastAsia"/>
        </w:rPr>
        <w:t>规划行政主管部门应当加强对建筑隔声设计质量的强制性标准执行情况的监督；建设行政主管部门应当加强对建筑隔声施工质量的强制性标准执行情况的监督。</w:t>
      </w:r>
    </w:p>
    <w:p w14:paraId="4A3B0A4D">
      <w:pPr>
        <w:ind w:firstLine="422"/>
      </w:pPr>
      <w:r>
        <w:rPr>
          <w:rFonts w:hint="eastAsia"/>
          <w:b/>
        </w:rPr>
        <w:t>第十条</w:t>
      </w:r>
      <w:r>
        <w:rPr>
          <w:rFonts w:hint="eastAsia"/>
        </w:rPr>
        <w:t xml:space="preserve">  对于在噪声敏感建筑物集中区域内造成严重环境噪声污染的企业事业单位，责令限期治理。被限期治理的单位应当按期完成治理任务。</w:t>
      </w:r>
    </w:p>
    <w:p w14:paraId="1ED0F26B">
      <w:r>
        <w:rPr>
          <w:rFonts w:hint="eastAsia"/>
        </w:rPr>
        <w:t>对小型企业事业单位的限期治理，由区、县环境保护行政主管部门决定。限期治理期间，可以责令被限期治理的单位停止使用产生噪声污染的设备、设施或者限制设备、设施运行时间。</w:t>
      </w:r>
    </w:p>
    <w:p w14:paraId="2050960D">
      <w:pPr>
        <w:ind w:firstLine="422"/>
      </w:pPr>
      <w:r>
        <w:rPr>
          <w:rFonts w:hint="eastAsia"/>
          <w:b/>
        </w:rPr>
        <w:t>第十一条</w:t>
      </w:r>
      <w:r>
        <w:rPr>
          <w:rFonts w:hint="eastAsia"/>
        </w:rPr>
        <w:t xml:space="preserve">  居民住宅楼内不得设置可能产生噪声污染的餐饮和娱乐场所。</w:t>
      </w:r>
    </w:p>
    <w:p w14:paraId="0A20605A">
      <w:r>
        <w:rPr>
          <w:rFonts w:hint="eastAsia"/>
        </w:rPr>
        <w:t>销售新建居民住宅的，房地产开发企业应当明示所销售住宅的建筑隔声情况及所在地声环境状况。</w:t>
      </w:r>
    </w:p>
    <w:p w14:paraId="2C57A8E6">
      <w:pPr>
        <w:ind w:firstLine="422"/>
      </w:pPr>
      <w:r>
        <w:rPr>
          <w:rFonts w:hint="eastAsia"/>
          <w:b/>
        </w:rPr>
        <w:t>第十二条</w:t>
      </w:r>
      <w:r>
        <w:rPr>
          <w:rFonts w:hint="eastAsia"/>
        </w:rPr>
        <w:t xml:space="preserve">  环境保护行政主管部门有权对排放环境噪声的单位进行环境噪声污染防治现场检查。现场检查时发现设备、设施产生严重噪声污染的，可以责令停止使用该设备、设施或者限制设备、设施运行时间。被检查单位应当停止或者按照规定时间使用该设备、设施。</w:t>
      </w:r>
    </w:p>
    <w:p w14:paraId="5684C8A6">
      <w:r>
        <w:rPr>
          <w:rFonts w:hint="eastAsia"/>
        </w:rPr>
        <w:t>被检查的单位应当如实反映环境噪声污染防治情况，并提供必要的环境噪声污染防治资料。</w:t>
      </w:r>
    </w:p>
    <w:p w14:paraId="6DC5C97F">
      <w:pPr>
        <w:ind w:firstLine="422"/>
      </w:pPr>
      <w:r>
        <w:rPr>
          <w:rFonts w:hint="eastAsia"/>
          <w:b/>
        </w:rPr>
        <w:t>第十三条</w:t>
      </w:r>
      <w:r>
        <w:rPr>
          <w:rFonts w:hint="eastAsia"/>
        </w:rPr>
        <w:t xml:space="preserve">  环境保护行政主管部门进行环境噪声污染防治现场检查时，应当出示有效执法证件，并为被检查者保守技术秘密和商业秘密。</w:t>
      </w:r>
    </w:p>
    <w:p w14:paraId="0DFF58AB">
      <w:pPr>
        <w:ind w:firstLine="422"/>
      </w:pPr>
      <w:r>
        <w:rPr>
          <w:rFonts w:hint="eastAsia"/>
          <w:b/>
        </w:rPr>
        <w:t>第十四条</w:t>
      </w:r>
      <w:r>
        <w:rPr>
          <w:rFonts w:hint="eastAsia"/>
        </w:rPr>
        <w:t>　环境保护行政主管部门和其他负有噪声污染防治监督管理的部门应当向社会公布本部门负责受理噪声污染投诉、举报的机构名称及其联系方式。</w:t>
      </w:r>
    </w:p>
    <w:p w14:paraId="7159A391"/>
    <w:p w14:paraId="6B281FA5">
      <w:pPr>
        <w:ind w:firstLine="0" w:firstLineChars="0"/>
        <w:jc w:val="center"/>
        <w:rPr>
          <w:b/>
          <w:sz w:val="28"/>
        </w:rPr>
      </w:pPr>
      <w:r>
        <w:rPr>
          <w:rFonts w:hint="eastAsia"/>
          <w:b/>
          <w:sz w:val="28"/>
        </w:rPr>
        <w:t>第三章　施工噪声污染防治</w:t>
      </w:r>
    </w:p>
    <w:p w14:paraId="3ECCBA75"/>
    <w:p w14:paraId="31CF6FBB">
      <w:pPr>
        <w:ind w:firstLine="422"/>
      </w:pPr>
      <w:r>
        <w:rPr>
          <w:rFonts w:hint="eastAsia"/>
          <w:b/>
        </w:rPr>
        <w:t>第十五条</w:t>
      </w:r>
      <w:r>
        <w:rPr>
          <w:rFonts w:hint="eastAsia"/>
        </w:rPr>
        <w:t>　施工作业向周围生活环境排放噪声的，建设单位应当采取有效的噪声污染防治措施，使排放的噪声符合国家规定的施工场界环境噪声排放标准。采取噪声污染防治措施所需的费用列入工程造价。</w:t>
      </w:r>
    </w:p>
    <w:p w14:paraId="09724B53">
      <w:pPr>
        <w:ind w:firstLine="422"/>
      </w:pPr>
      <w:r>
        <w:rPr>
          <w:rFonts w:hint="eastAsia"/>
          <w:b/>
        </w:rPr>
        <w:t>第十六条</w:t>
      </w:r>
      <w:r>
        <w:rPr>
          <w:rFonts w:hint="eastAsia"/>
        </w:rPr>
        <w:t>　施工单位应当制定施工现场噪声污染防治管理制度并公告，把产生噪声的设备、设施布置在远离居住区的一侧。</w:t>
      </w:r>
    </w:p>
    <w:p w14:paraId="123F8037">
      <w:pPr>
        <w:ind w:firstLine="422"/>
      </w:pPr>
      <w:r>
        <w:rPr>
          <w:rFonts w:hint="eastAsia"/>
          <w:b/>
        </w:rPr>
        <w:t>第十七条</w:t>
      </w:r>
      <w:r>
        <w:rPr>
          <w:rFonts w:hint="eastAsia"/>
        </w:rPr>
        <w:t>　中考、高考期间及市人民政府规定的其他特殊时段内，除抢修抢险外禁止在噪声敏感建筑物集中区域内从事产生噪声的施工作业。</w:t>
      </w:r>
    </w:p>
    <w:p w14:paraId="505FC3B9">
      <w:pPr>
        <w:ind w:firstLine="422"/>
      </w:pPr>
      <w:r>
        <w:rPr>
          <w:rFonts w:hint="eastAsia"/>
          <w:b/>
        </w:rPr>
        <w:t>第十八条</w:t>
      </w:r>
      <w:r>
        <w:rPr>
          <w:rFonts w:hint="eastAsia"/>
        </w:rPr>
        <w:t>　噪声敏感建筑物集中区域内，禁止在夜间进行产生噪声污染的施工作业。但国家和本市重点工程、抢修抢险作业和因生产工艺要求以及其他特殊需要必须连续作业的除外。</w:t>
      </w:r>
    </w:p>
    <w:p w14:paraId="13105DD1">
      <w:r>
        <w:rPr>
          <w:rFonts w:hint="eastAsia"/>
        </w:rPr>
        <w:t>国家和本市重点工程、因生产工艺要求或者其他特殊需要，确需在夜间进行施工作业的，应当取得工程所在地建设行政主管部门核发的准予夜间施工的批准文件。</w:t>
      </w:r>
    </w:p>
    <w:p w14:paraId="128C2603">
      <w:pPr>
        <w:ind w:firstLine="422"/>
      </w:pPr>
      <w:r>
        <w:rPr>
          <w:rFonts w:hint="eastAsia"/>
          <w:b/>
        </w:rPr>
        <w:t>第十九条</w:t>
      </w:r>
      <w:r>
        <w:rPr>
          <w:rFonts w:hint="eastAsia"/>
        </w:rPr>
        <w:t>　进行夜间施工作业的，应当向周围居民公告。公告内容包括：施工项目名称、施工单位名称、夜间施工批准文号、夜间施工起止时间、夜间施工内容、工地负责人及其联系方式、监督电话等。</w:t>
      </w:r>
    </w:p>
    <w:p w14:paraId="499EE43F">
      <w:pPr>
        <w:spacing w:line="300" w:lineRule="exact"/>
      </w:pPr>
    </w:p>
    <w:p w14:paraId="65962EDF">
      <w:pPr>
        <w:ind w:firstLine="0" w:firstLineChars="0"/>
        <w:jc w:val="center"/>
        <w:rPr>
          <w:b/>
          <w:sz w:val="28"/>
        </w:rPr>
      </w:pPr>
      <w:r>
        <w:rPr>
          <w:rFonts w:hint="eastAsia"/>
          <w:b/>
          <w:sz w:val="28"/>
        </w:rPr>
        <w:t>第四章　交通噪声污染防治</w:t>
      </w:r>
    </w:p>
    <w:p w14:paraId="33910128">
      <w:pPr>
        <w:spacing w:line="300" w:lineRule="exact"/>
      </w:pPr>
    </w:p>
    <w:p w14:paraId="61DD5F95">
      <w:pPr>
        <w:ind w:firstLine="422"/>
      </w:pPr>
      <w:r>
        <w:rPr>
          <w:rFonts w:hint="eastAsia"/>
          <w:b/>
        </w:rPr>
        <w:t>第二十条</w:t>
      </w:r>
      <w:r>
        <w:rPr>
          <w:rFonts w:hint="eastAsia"/>
        </w:rPr>
        <w:t>　新建、改建、扩建的高速路、快速路、主干路、城市高架路、铁路和城市轨道，经过已有的噪声敏感建筑物集中区域时，应当采取噪声污染防治措施。采取噪声污染防治措施所需的费用列入工程造价。</w:t>
      </w:r>
    </w:p>
    <w:p w14:paraId="6FBA3513">
      <w:pPr>
        <w:ind w:firstLine="422"/>
      </w:pPr>
      <w:r>
        <w:rPr>
          <w:rFonts w:hint="eastAsia"/>
          <w:b/>
        </w:rPr>
        <w:t>第二十一条</w:t>
      </w:r>
      <w:r>
        <w:rPr>
          <w:rFonts w:hint="eastAsia"/>
        </w:rPr>
        <w:t>　在已有的道路、铁路、城市轨道两侧建设噪声敏感建筑物的，建设单位应当采取必要的噪声污染防治措施。使噪声敏感建筑物室内声环境质量符合国家规定的标准。</w:t>
      </w:r>
    </w:p>
    <w:p w14:paraId="1181F388">
      <w:pPr>
        <w:ind w:firstLine="422"/>
      </w:pPr>
      <w:r>
        <w:rPr>
          <w:rFonts w:hint="eastAsia"/>
          <w:b/>
        </w:rPr>
        <w:t>第二十二条</w:t>
      </w:r>
      <w:r>
        <w:rPr>
          <w:rFonts w:hint="eastAsia"/>
        </w:rPr>
        <w:t>　本市在用机动车辆噪声排放，应当符合国家规定的在用机动车辆噪声排放标准。</w:t>
      </w:r>
    </w:p>
    <w:p w14:paraId="1320409E">
      <w:r>
        <w:rPr>
          <w:rFonts w:hint="eastAsia"/>
        </w:rPr>
        <w:t>在用机动车辆消声器及其他防治噪声污染的设备应当正常使用，禁止改装、拆除或者闲置。</w:t>
      </w:r>
    </w:p>
    <w:p w14:paraId="6D92B878">
      <w:r>
        <w:rPr>
          <w:rFonts w:hint="eastAsia"/>
        </w:rPr>
        <w:t>除特种车辆外禁止安装使用外挂式音响设备。特种车辆装有外挂式音响设备的，应当按照规定使用。</w:t>
      </w:r>
    </w:p>
    <w:p w14:paraId="71C6FE01">
      <w:pPr>
        <w:ind w:firstLine="422"/>
      </w:pPr>
      <w:r>
        <w:rPr>
          <w:rFonts w:hint="eastAsia"/>
          <w:b/>
        </w:rPr>
        <w:t>第二十三条</w:t>
      </w:r>
      <w:r>
        <w:rPr>
          <w:rFonts w:hint="eastAsia"/>
        </w:rPr>
        <w:t>　公安部门可以根据需要在居民住宅区周边划定限制车辆夜间通行的路段和禁止鸣笛的区域，明确限制通行和禁止鸣笛的时段。</w:t>
      </w:r>
    </w:p>
    <w:p w14:paraId="638098D6">
      <w:pPr>
        <w:ind w:firstLine="422"/>
      </w:pPr>
      <w:r>
        <w:rPr>
          <w:rFonts w:hint="eastAsia"/>
          <w:b/>
        </w:rPr>
        <w:t>第二十四条</w:t>
      </w:r>
      <w:r>
        <w:rPr>
          <w:rFonts w:hint="eastAsia"/>
        </w:rPr>
        <w:t>　设置机动车停车场、候车站的，应当合理选择位置或者采取其他有效措施，减轻车辆产生的噪声对周围生活环境的影响。</w:t>
      </w:r>
    </w:p>
    <w:p w14:paraId="04B585C6">
      <w:pPr>
        <w:ind w:firstLine="422"/>
      </w:pPr>
      <w:r>
        <w:rPr>
          <w:rFonts w:hint="eastAsia"/>
          <w:b/>
        </w:rPr>
        <w:t>第二十五条</w:t>
      </w:r>
      <w:r>
        <w:rPr>
          <w:rFonts w:hint="eastAsia"/>
        </w:rPr>
        <w:t>　铁路机车在本市建成区内行驶时，应当按照国家和本市有关规定限制鸣笛。</w:t>
      </w:r>
    </w:p>
    <w:p w14:paraId="1927A3DD">
      <w:pPr>
        <w:ind w:firstLine="422"/>
      </w:pPr>
      <w:r>
        <w:rPr>
          <w:rFonts w:hint="eastAsia"/>
          <w:b/>
        </w:rPr>
        <w:t>第二十六条</w:t>
      </w:r>
      <w:r>
        <w:rPr>
          <w:rFonts w:hint="eastAsia"/>
        </w:rPr>
        <w:t>　有关部门在制定机场飞行程序时，应当考虑噪声影响，尽量避开噪声敏感建筑物集中区域。</w:t>
      </w:r>
    </w:p>
    <w:p w14:paraId="212B5600">
      <w:r>
        <w:rPr>
          <w:rFonts w:hint="eastAsia"/>
        </w:rPr>
        <w:t>民用航空器起飞、降落或者低空飞行时，应当遵守规定的飞行程序。</w:t>
      </w:r>
    </w:p>
    <w:p w14:paraId="2BE48578">
      <w:pPr>
        <w:ind w:firstLine="422"/>
      </w:pPr>
      <w:r>
        <w:rPr>
          <w:rFonts w:hint="eastAsia"/>
          <w:b/>
        </w:rPr>
        <w:t>第二十七条</w:t>
      </w:r>
      <w:r>
        <w:rPr>
          <w:rFonts w:hint="eastAsia"/>
        </w:rPr>
        <w:t>　在飞机噪声环境标准适用区域内建设建筑物的，应当执行相应标准适用区域的规定。</w:t>
      </w:r>
    </w:p>
    <w:p w14:paraId="2703218A"/>
    <w:p w14:paraId="3C74EB5E">
      <w:pPr>
        <w:ind w:firstLine="0" w:firstLineChars="0"/>
        <w:jc w:val="center"/>
        <w:rPr>
          <w:b/>
          <w:sz w:val="28"/>
        </w:rPr>
      </w:pPr>
      <w:r>
        <w:rPr>
          <w:rFonts w:hint="eastAsia"/>
          <w:b/>
          <w:sz w:val="28"/>
        </w:rPr>
        <w:t>第五章　社会生活噪声污染防治</w:t>
      </w:r>
    </w:p>
    <w:p w14:paraId="61C9A37B"/>
    <w:p w14:paraId="0FA8D65E">
      <w:pPr>
        <w:ind w:firstLine="422"/>
      </w:pPr>
      <w:r>
        <w:rPr>
          <w:rFonts w:hint="eastAsia"/>
          <w:b/>
        </w:rPr>
        <w:t>第二十八条</w:t>
      </w:r>
      <w:r>
        <w:rPr>
          <w:rFonts w:hint="eastAsia"/>
        </w:rPr>
        <w:t>　禁止任何单位和个人在噪声敏感建筑物集中区域使用干扰他人的音响器材。但属于下列情况者，允许在一定时间内使用，并控制音量：</w:t>
      </w:r>
    </w:p>
    <w:p w14:paraId="763DD9BC">
      <w:r>
        <w:rPr>
          <w:rFonts w:hint="eastAsia"/>
        </w:rPr>
        <w:t>（一）经依法批准的大型社会活动；</w:t>
      </w:r>
    </w:p>
    <w:p w14:paraId="40C1C08C">
      <w:r>
        <w:rPr>
          <w:rFonts w:hint="eastAsia"/>
        </w:rPr>
        <w:t>（二）课、工间操；</w:t>
      </w:r>
    </w:p>
    <w:p w14:paraId="5B57DEB8">
      <w:r>
        <w:rPr>
          <w:rFonts w:hint="eastAsia"/>
        </w:rPr>
        <w:t>（三）抢险救灾等紧急情况。</w:t>
      </w:r>
    </w:p>
    <w:p w14:paraId="4872EFC1">
      <w:r>
        <w:rPr>
          <w:rFonts w:hint="eastAsia"/>
        </w:rPr>
        <w:t>禁止商业经营活动在室外使用音响器材或者采用其他发出噪声的方法招揽顾客，干扰周围生活环境。</w:t>
      </w:r>
    </w:p>
    <w:p w14:paraId="07494D25">
      <w:pPr>
        <w:ind w:firstLine="422"/>
      </w:pPr>
      <w:r>
        <w:rPr>
          <w:rFonts w:hint="eastAsia"/>
          <w:b/>
        </w:rPr>
        <w:t>第二十九条</w:t>
      </w:r>
      <w:r>
        <w:rPr>
          <w:rFonts w:hint="eastAsia"/>
        </w:rPr>
        <w:t>　在街道、广场、公园等公共场所组织娱乐、集会等活动，使用家用电器、乐器及其他音响器材的，应当控制音量，避免干扰周围生活环境。</w:t>
      </w:r>
    </w:p>
    <w:p w14:paraId="7AE6262C">
      <w:pPr>
        <w:ind w:firstLine="422"/>
      </w:pPr>
      <w:r>
        <w:rPr>
          <w:rFonts w:hint="eastAsia"/>
          <w:b/>
        </w:rPr>
        <w:t>第三十条</w:t>
      </w:r>
      <w:r>
        <w:rPr>
          <w:rFonts w:hint="eastAsia"/>
        </w:rPr>
        <w:t>　加工、维修、餐饮、娱乐、健身、超市及其他商业服务业经营者应当采取有效措施，防止生产经营活动产生噪声干扰周围生活环境。</w:t>
      </w:r>
    </w:p>
    <w:p w14:paraId="57C8EB84">
      <w:pPr>
        <w:ind w:firstLine="422"/>
      </w:pPr>
      <w:r>
        <w:rPr>
          <w:rFonts w:hint="eastAsia"/>
          <w:b/>
        </w:rPr>
        <w:t>第三十一条</w:t>
      </w:r>
      <w:r>
        <w:rPr>
          <w:rFonts w:hint="eastAsia"/>
        </w:rPr>
        <w:t>　在商业经营活动中使用空调器、冷却塔等可能产生环境噪声污染的设备、设施的，其经营管理者应当采取有效措施，使其边界噪声符合国家规定的环境噪声排放标准。</w:t>
      </w:r>
    </w:p>
    <w:p w14:paraId="3BE14411">
      <w:pPr>
        <w:ind w:firstLine="422"/>
      </w:pPr>
      <w:r>
        <w:rPr>
          <w:rFonts w:hint="eastAsia"/>
          <w:b/>
        </w:rPr>
        <w:t>第三十二条</w:t>
      </w:r>
      <w:r>
        <w:rPr>
          <w:rFonts w:hint="eastAsia"/>
        </w:rPr>
        <w:t>　本市生产、销售的机动车防盗报警器应当符合国家规定的标准。</w:t>
      </w:r>
    </w:p>
    <w:p w14:paraId="660A6988">
      <w:r>
        <w:rPr>
          <w:rFonts w:hint="eastAsia"/>
        </w:rPr>
        <w:t>本市机动车辆不得安装使用不符合标准的机动车防盗报警器。</w:t>
      </w:r>
    </w:p>
    <w:p w14:paraId="19318D6A">
      <w:r>
        <w:rPr>
          <w:rFonts w:hint="eastAsia"/>
        </w:rPr>
        <w:t>市质量技术监督行政主管部门对发现的不符合标准的机动车防盗报警器，应当向社会公布。</w:t>
      </w:r>
    </w:p>
    <w:p w14:paraId="559E83B3">
      <w:pPr>
        <w:ind w:firstLine="422"/>
      </w:pPr>
      <w:r>
        <w:rPr>
          <w:rFonts w:hint="eastAsia"/>
          <w:b/>
        </w:rPr>
        <w:t>第三十三条</w:t>
      </w:r>
      <w:r>
        <w:rPr>
          <w:rFonts w:hint="eastAsia"/>
        </w:rPr>
        <w:t>　在噪声敏感建筑物集中区域内，设置或者解除机动车警戒或者寻车时，不得产生噪声。</w:t>
      </w:r>
    </w:p>
    <w:p w14:paraId="306D0A93">
      <w:r>
        <w:rPr>
          <w:rFonts w:hint="eastAsia"/>
        </w:rPr>
        <w:t>机动车防盗报警器以鸣响方式报警后，使用者应当及时处理，避免长时间鸣响干扰周围生活环境。</w:t>
      </w:r>
    </w:p>
    <w:p w14:paraId="627D53B6">
      <w:pPr>
        <w:ind w:firstLine="422"/>
      </w:pPr>
      <w:r>
        <w:rPr>
          <w:rFonts w:hint="eastAsia"/>
          <w:b/>
        </w:rPr>
        <w:t>第三十四条</w:t>
      </w:r>
      <w:r>
        <w:rPr>
          <w:rFonts w:hint="eastAsia"/>
        </w:rPr>
        <w:t>　使用家用电器、乐器或者进行其他室内娱乐活动的，应当控制音量或者采取其他有效措施，避免干扰周围生活环境。</w:t>
      </w:r>
    </w:p>
    <w:p w14:paraId="41437D23">
      <w:pPr>
        <w:ind w:firstLine="422"/>
      </w:pPr>
      <w:r>
        <w:rPr>
          <w:rFonts w:hint="eastAsia"/>
          <w:b/>
        </w:rPr>
        <w:t>第三十五条</w:t>
      </w:r>
      <w:r>
        <w:rPr>
          <w:rFonts w:hint="eastAsia"/>
        </w:rPr>
        <w:t>　法定休息日、节假日全天及工</w:t>
      </w:r>
      <w:r>
        <w:rPr>
          <w:rFonts w:hint="eastAsia" w:ascii="宋体" w:hAnsi="宋体" w:eastAsia="宋体" w:cs="宋体"/>
        </w:rPr>
        <w:t>作日12时至14时、18时至次日8时，禁</w:t>
      </w:r>
      <w:r>
        <w:rPr>
          <w:rFonts w:hint="eastAsia"/>
        </w:rPr>
        <w:t>止在已竣工交付使用的居民住宅楼内进行产生噪声的装修作业。在其他时段内进行装修作业的，应当采取措施，减轻对周围生活环境的干扰。</w:t>
      </w:r>
    </w:p>
    <w:p w14:paraId="34EA9CD7">
      <w:r>
        <w:rPr>
          <w:rFonts w:hint="eastAsia"/>
        </w:rPr>
        <w:t>在已竣工交付使用的其他建筑内进行装修作业的，应当采取措施，减轻对周围生活环境的干扰。</w:t>
      </w:r>
    </w:p>
    <w:p w14:paraId="010B4948"/>
    <w:p w14:paraId="43799254">
      <w:pPr>
        <w:ind w:firstLine="0" w:firstLineChars="0"/>
        <w:jc w:val="center"/>
        <w:rPr>
          <w:b/>
          <w:sz w:val="28"/>
        </w:rPr>
      </w:pPr>
      <w:r>
        <w:rPr>
          <w:rFonts w:hint="eastAsia"/>
          <w:b/>
          <w:sz w:val="28"/>
        </w:rPr>
        <w:t>第六章　法律责任</w:t>
      </w:r>
    </w:p>
    <w:p w14:paraId="0E33A118"/>
    <w:p w14:paraId="56FB0F70">
      <w:pPr>
        <w:ind w:firstLine="422"/>
      </w:pPr>
      <w:r>
        <w:rPr>
          <w:rFonts w:hint="eastAsia"/>
          <w:b/>
        </w:rPr>
        <w:t>第三十六条</w:t>
      </w:r>
      <w:r>
        <w:rPr>
          <w:rFonts w:hint="eastAsia"/>
        </w:rPr>
        <w:t>　违反本办法第十条第一款规定，未完成治理任务的，由环境保护行政主管部门处3万元以下罚款；情节严重的，由市或者区、县人民政府依法责令停业、搬迁、关闭。</w:t>
      </w:r>
    </w:p>
    <w:p w14:paraId="4AF660D6">
      <w:pPr>
        <w:ind w:firstLine="422"/>
      </w:pPr>
      <w:r>
        <w:rPr>
          <w:rFonts w:hint="eastAsia"/>
          <w:b/>
        </w:rPr>
        <w:t>第三十七条</w:t>
      </w:r>
      <w:r>
        <w:rPr>
          <w:rFonts w:hint="eastAsia"/>
        </w:rPr>
        <w:t>　违反本办法第十二条第一款规定，被检查单位未停止或者未按照规定时间使用产生严重噪声污染的设备、设施的，由环境保护行政主管部门处</w:t>
      </w:r>
      <w:r>
        <w:rPr>
          <w:rFonts w:hint="eastAsia" w:ascii="宋体" w:hAnsi="宋体" w:eastAsia="宋体" w:cs="宋体"/>
        </w:rPr>
        <w:t>3</w:t>
      </w:r>
      <w:r>
        <w:rPr>
          <w:rFonts w:hint="eastAsia"/>
        </w:rPr>
        <w:t>万元以下罚款。</w:t>
      </w:r>
    </w:p>
    <w:p w14:paraId="17A69CF0">
      <w:pPr>
        <w:ind w:firstLine="422"/>
        <w:rPr>
          <w:rFonts w:hint="eastAsia" w:ascii="宋体" w:hAnsi="宋体" w:eastAsia="宋体" w:cs="宋体"/>
        </w:rPr>
      </w:pPr>
      <w:r>
        <w:rPr>
          <w:rFonts w:hint="eastAsia"/>
          <w:b/>
        </w:rPr>
        <w:t>第三十八条</w:t>
      </w:r>
      <w:r>
        <w:rPr>
          <w:rFonts w:hint="eastAsia"/>
        </w:rPr>
        <w:t>　违反本办法第十六条规定，施工单位未制定施工现场噪声污染防治管理制度，未把产生噪声的设备、设施布置在远离居住区一侧的，由城市管理综合执法部门责令改正，并可</w:t>
      </w:r>
      <w:r>
        <w:rPr>
          <w:rFonts w:hint="eastAsia" w:ascii="宋体" w:hAnsi="宋体" w:eastAsia="宋体" w:cs="宋体"/>
        </w:rPr>
        <w:t>处1万元以上3万元以下罚款。</w:t>
      </w:r>
    </w:p>
    <w:p w14:paraId="65657256">
      <w:pPr>
        <w:ind w:firstLine="422"/>
        <w:rPr>
          <w:rFonts w:hint="eastAsia" w:ascii="宋体" w:hAnsi="宋体" w:eastAsia="宋体" w:cs="宋体"/>
        </w:rPr>
      </w:pPr>
      <w:r>
        <w:rPr>
          <w:rFonts w:hint="eastAsia"/>
          <w:b/>
        </w:rPr>
        <w:t>第三十九条</w:t>
      </w:r>
      <w:r>
        <w:rPr>
          <w:rFonts w:hint="eastAsia"/>
        </w:rPr>
        <w:t>　违反本办法第十七条规定，中考、高考期间以及市人民政府规定的其他特殊时段在噪声敏感建筑物集中区域内从事产生噪声的施工作业的，由城市管理综合执法部门责令停止违法行为</w:t>
      </w:r>
      <w:r>
        <w:rPr>
          <w:rFonts w:hint="eastAsia" w:ascii="宋体" w:hAnsi="宋体" w:eastAsia="宋体" w:cs="宋体"/>
        </w:rPr>
        <w:t>，并处1万元以上3万元以下罚款。</w:t>
      </w:r>
    </w:p>
    <w:p w14:paraId="741F06D9">
      <w:pPr>
        <w:ind w:firstLine="422"/>
        <w:rPr>
          <w:rFonts w:hint="eastAsia" w:ascii="宋体" w:hAnsi="宋体" w:eastAsia="宋体" w:cs="宋体"/>
        </w:rPr>
      </w:pPr>
      <w:r>
        <w:rPr>
          <w:rFonts w:hint="eastAsia"/>
          <w:b/>
        </w:rPr>
        <w:t>第四十条</w:t>
      </w:r>
      <w:r>
        <w:rPr>
          <w:rFonts w:hint="eastAsia"/>
        </w:rPr>
        <w:t>　违反本办法第十八条第二款规定，未取得夜间施工批准文件进行夜间施工的，由城市管理综合执法部门责令停</w:t>
      </w:r>
      <w:r>
        <w:rPr>
          <w:rFonts w:hint="eastAsia" w:ascii="宋体" w:hAnsi="宋体" w:eastAsia="宋体" w:cs="宋体"/>
        </w:rPr>
        <w:t>止违法行为，并处1万元以上3万元以下罚款。</w:t>
      </w:r>
    </w:p>
    <w:p w14:paraId="3D117069">
      <w:pPr>
        <w:ind w:firstLine="422"/>
      </w:pPr>
      <w:r>
        <w:rPr>
          <w:rFonts w:hint="eastAsia"/>
          <w:b/>
        </w:rPr>
        <w:t>第四十一条</w:t>
      </w:r>
      <w:r>
        <w:rPr>
          <w:rFonts w:hint="eastAsia"/>
        </w:rPr>
        <w:t>　违反本办法第十九条规定，进行夜间施工作业未向周围居民公告相关内容的，由城市管理综合执法部门责令改正，并</w:t>
      </w:r>
      <w:r>
        <w:rPr>
          <w:rFonts w:hint="eastAsia" w:ascii="宋体" w:hAnsi="宋体" w:eastAsia="宋体" w:cs="宋体"/>
        </w:rPr>
        <w:t>处1000元以上5000元以下罚款。</w:t>
      </w:r>
    </w:p>
    <w:p w14:paraId="6DA4FFDE">
      <w:pPr>
        <w:ind w:firstLine="422"/>
      </w:pPr>
      <w:r>
        <w:rPr>
          <w:rFonts w:hint="eastAsia"/>
          <w:b/>
        </w:rPr>
        <w:t>第四十二条</w:t>
      </w:r>
      <w:r>
        <w:rPr>
          <w:rFonts w:hint="eastAsia"/>
        </w:rPr>
        <w:t>　违反本办法第三十条规定，加工、维修、餐饮、娱乐、健身、超市及其他商业服务业经营者未采取有效措施，</w:t>
      </w:r>
      <w:r>
        <w:rPr>
          <w:rFonts w:hint="eastAsia" w:ascii="宋体" w:hAnsi="宋体" w:eastAsia="宋体" w:cs="宋体"/>
        </w:rPr>
        <w:t>生产经营活动产生噪声干扰周围生活环境的，由环境保护行政主管部门责令改正；拒不改正的，处3万元以下罚款</w:t>
      </w:r>
      <w:r>
        <w:rPr>
          <w:rFonts w:hint="eastAsia"/>
        </w:rPr>
        <w:t>。</w:t>
      </w:r>
    </w:p>
    <w:p w14:paraId="0C1286E3">
      <w:pPr>
        <w:ind w:firstLine="422"/>
        <w:rPr>
          <w:rFonts w:hint="eastAsia" w:ascii="宋体" w:hAnsi="宋体" w:eastAsia="宋体" w:cs="宋体"/>
        </w:rPr>
      </w:pPr>
      <w:r>
        <w:rPr>
          <w:rFonts w:hint="eastAsia"/>
          <w:b/>
        </w:rPr>
        <w:t>第四十三条</w:t>
      </w:r>
      <w:r>
        <w:rPr>
          <w:rFonts w:hint="eastAsia" w:ascii="宋体" w:hAnsi="宋体" w:eastAsia="宋体" w:cs="宋体"/>
        </w:rPr>
        <w:t>　违反本办法规定，有下列行为之一的，由公安部门给予警告，警告后不改正的，处200元以上500元以下罚款：</w:t>
      </w:r>
    </w:p>
    <w:p w14:paraId="3C9327C3">
      <w:bookmarkStart w:id="2787" w:name="_Toc428780897"/>
      <w:r>
        <w:rPr>
          <w:rFonts w:hint="eastAsia"/>
        </w:rPr>
        <w:t>（一）在噪声敏感建筑物集中区域使用干扰周围生活环境的音响器材；</w:t>
      </w:r>
      <w:bookmarkEnd w:id="2787"/>
    </w:p>
    <w:p w14:paraId="121E93DE">
      <w:r>
        <w:rPr>
          <w:rFonts w:hint="eastAsia"/>
        </w:rPr>
        <w:t>（二）商业经营活动在室外使用音响器材或者采用其他发出噪声的方法招揽顾客，干扰周围生活环境的；</w:t>
      </w:r>
    </w:p>
    <w:p w14:paraId="73423B15">
      <w:r>
        <w:rPr>
          <w:rFonts w:hint="eastAsia"/>
        </w:rPr>
        <w:t>（三）在街道、广场、公园等公共场所组织娱乐、集会等活动，使用音响器材，产生噪声干扰周围生活环境的；</w:t>
      </w:r>
    </w:p>
    <w:p w14:paraId="37F58C2A">
      <w:r>
        <w:rPr>
          <w:rFonts w:hint="eastAsia"/>
        </w:rPr>
        <w:t>（四）未按照本办法第三十三条第二款规定及时处理，机动车防盗报警器长时间鸣响，干扰周围生活环境的；</w:t>
      </w:r>
    </w:p>
    <w:p w14:paraId="01BD2CD0">
      <w:r>
        <w:rPr>
          <w:rFonts w:hint="eastAsia"/>
        </w:rPr>
        <w:t>（五）未按照本办法第三十四条规定控制音量或者采取措施，从家庭室内发出噪声干扰周围生活环境的；</w:t>
      </w:r>
    </w:p>
    <w:p w14:paraId="3B5F8DBB">
      <w:r>
        <w:rPr>
          <w:rFonts w:hint="eastAsia"/>
        </w:rPr>
        <w:t>（六）未按照本办法第三十五条规定进行装修作业，干扰周围生活环境的。</w:t>
      </w:r>
    </w:p>
    <w:p w14:paraId="21F85325">
      <w:pPr>
        <w:ind w:firstLine="422"/>
      </w:pPr>
      <w:r>
        <w:rPr>
          <w:rFonts w:hint="eastAsia"/>
          <w:b/>
        </w:rPr>
        <w:t>第四十四条</w:t>
      </w:r>
      <w:r>
        <w:rPr>
          <w:rFonts w:hint="eastAsia"/>
        </w:rPr>
        <w:t>　违反本办法，按照规划、建设、工商、文化、交通、质量技术监督等有关法律、法规、规章规定应当予以处理的，由有关部门依法处理。</w:t>
      </w:r>
    </w:p>
    <w:p w14:paraId="18EBFA40">
      <w:pPr>
        <w:ind w:firstLine="422"/>
      </w:pPr>
      <w:r>
        <w:rPr>
          <w:rFonts w:hint="eastAsia"/>
          <w:b/>
        </w:rPr>
        <w:t>第四十五条</w:t>
      </w:r>
      <w:r>
        <w:rPr>
          <w:rFonts w:hint="eastAsia"/>
        </w:rPr>
        <w:t>　受到环境噪声污染危害的单位和个人，有权要求加害人排除危害；造成损失的，有权要求依法赔偿。</w:t>
      </w:r>
    </w:p>
    <w:p w14:paraId="3C67AE2B">
      <w:r>
        <w:rPr>
          <w:rFonts w:hint="eastAsia"/>
        </w:rPr>
        <w:t>赔偿责任和赔偿金额的纠纷，可以根据当事人的请求，由环境保护行政主管部门或者其他环境噪声污染防治工作的监督管理部门、机构及人民调解委员会调解处理；调解不成的，当事人可以向人民法院起诉。当事人也可以直接向人民法院起诉。</w:t>
      </w:r>
    </w:p>
    <w:p w14:paraId="439421F6">
      <w:pPr>
        <w:ind w:firstLine="422"/>
      </w:pPr>
      <w:r>
        <w:rPr>
          <w:rFonts w:hint="eastAsia"/>
          <w:b/>
        </w:rPr>
        <w:t>第四十六条</w:t>
      </w:r>
      <w:r>
        <w:rPr>
          <w:rFonts w:hint="eastAsia"/>
        </w:rPr>
        <w:t>　有环境噪声污染防治监督管理职责的行政机关及其工作人员不依法履行环境噪声污染防治监督管理职责，造成严重后果的，由其上级行政主管机关或者监察机关责令改正，对直接负责的主管人员和其他直接责任人依法给予行政处分；构成犯罪的，依法追究刑事责任。</w:t>
      </w:r>
    </w:p>
    <w:p w14:paraId="7511A9C1"/>
    <w:p w14:paraId="602FD33E">
      <w:pPr>
        <w:ind w:firstLine="0" w:firstLineChars="0"/>
        <w:jc w:val="center"/>
        <w:rPr>
          <w:b/>
          <w:sz w:val="28"/>
        </w:rPr>
      </w:pPr>
      <w:r>
        <w:rPr>
          <w:rFonts w:hint="eastAsia"/>
          <w:b/>
          <w:sz w:val="28"/>
        </w:rPr>
        <w:t>第七章　附　则</w:t>
      </w:r>
    </w:p>
    <w:p w14:paraId="47832A5F"/>
    <w:p w14:paraId="703C124A">
      <w:pPr>
        <w:ind w:firstLine="422"/>
        <w:rPr>
          <w:rFonts w:hint="eastAsia" w:ascii="宋体" w:hAnsi="宋体" w:eastAsia="宋体" w:cs="宋体"/>
        </w:rPr>
      </w:pPr>
      <w:r>
        <w:rPr>
          <w:rFonts w:hint="eastAsia"/>
          <w:b/>
        </w:rPr>
        <w:t>第四十七条</w:t>
      </w:r>
      <w:r>
        <w:rPr>
          <w:rFonts w:hint="eastAsia" w:ascii="宋体" w:hAnsi="宋体" w:eastAsia="宋体" w:cs="宋体"/>
        </w:rPr>
        <w:t>　本办法自2007年1月1日起施行。1984年3月8日市人民政府发布、1997年12月31日市人民政府修改的《北京市环境噪声管理暂行办法》同时废止。</w:t>
      </w:r>
    </w:p>
    <w:p w14:paraId="02C682BB">
      <w:pPr>
        <w:pStyle w:val="3"/>
        <w:pageBreakBefore/>
      </w:pPr>
      <w:bookmarkStart w:id="2788" w:name="_Toc426467200"/>
      <w:bookmarkStart w:id="2789" w:name="_Toc428781948"/>
      <w:bookmarkStart w:id="2790" w:name="_Toc428780898"/>
      <w:r>
        <w:rPr>
          <w:rFonts w:hint="eastAsia"/>
        </w:rPr>
        <w:t>（七）灾害防御</w:t>
      </w:r>
      <w:bookmarkEnd w:id="2788"/>
      <w:bookmarkEnd w:id="2789"/>
      <w:bookmarkEnd w:id="2790"/>
    </w:p>
    <w:p w14:paraId="2AB88D0D"/>
    <w:p w14:paraId="0FB11FF6">
      <w:pPr>
        <w:pStyle w:val="4"/>
      </w:pPr>
      <w:bookmarkStart w:id="2791" w:name="_Toc428780899"/>
      <w:bookmarkStart w:id="2792" w:name="_Toc426467201"/>
      <w:bookmarkStart w:id="2793" w:name="_Toc428781949"/>
      <w:r>
        <w:rPr>
          <w:rFonts w:hint="eastAsia"/>
        </w:rPr>
        <w:t>北京市实施《中华人民共和国防洪法》办法</w:t>
      </w:r>
      <w:bookmarkEnd w:id="2791"/>
      <w:bookmarkEnd w:id="2792"/>
      <w:bookmarkEnd w:id="2793"/>
    </w:p>
    <w:p w14:paraId="3AA01620">
      <w:pPr>
        <w:ind w:left="630" w:leftChars="300" w:right="630" w:rightChars="300"/>
        <w:rPr>
          <w:rFonts w:ascii="楷体" w:hAnsi="楷体" w:eastAsia="楷体"/>
        </w:rPr>
      </w:pPr>
      <w:r>
        <w:rPr>
          <w:rFonts w:hint="eastAsia" w:ascii="楷体" w:hAnsi="楷体" w:eastAsia="楷体"/>
        </w:rPr>
        <w:t>（2001年5月18日北京市第十一届人民代表大会常务委员会第二十六次会议通过）</w:t>
      </w:r>
    </w:p>
    <w:p w14:paraId="2280A989"/>
    <w:p w14:paraId="5AF1EDF3">
      <w:pPr>
        <w:ind w:firstLine="0" w:firstLineChars="0"/>
        <w:jc w:val="center"/>
        <w:rPr>
          <w:b/>
          <w:sz w:val="28"/>
        </w:rPr>
      </w:pPr>
      <w:r>
        <w:rPr>
          <w:rFonts w:hint="eastAsia"/>
          <w:b/>
          <w:sz w:val="28"/>
        </w:rPr>
        <w:t>第一章　总　则</w:t>
      </w:r>
    </w:p>
    <w:p w14:paraId="499B03CD"/>
    <w:p w14:paraId="654A63A7">
      <w:pPr>
        <w:ind w:firstLine="422"/>
      </w:pPr>
      <w:r>
        <w:rPr>
          <w:rFonts w:hint="eastAsia"/>
          <w:b/>
        </w:rPr>
        <w:t>第一条</w:t>
      </w:r>
      <w:r>
        <w:rPr>
          <w:rFonts w:hint="eastAsia"/>
        </w:rPr>
        <w:t xml:space="preserve">  为了实施《中华人民共和国防洪法》（以下简称《防洪法》），结合本市实际情况，制定本办法。</w:t>
      </w:r>
    </w:p>
    <w:p w14:paraId="40B0610C">
      <w:pPr>
        <w:ind w:firstLine="422"/>
      </w:pPr>
      <w:r>
        <w:rPr>
          <w:rFonts w:hint="eastAsia"/>
          <w:b/>
        </w:rPr>
        <w:t>第二条</w:t>
      </w:r>
      <w:r>
        <w:rPr>
          <w:rFonts w:hint="eastAsia"/>
        </w:rPr>
        <w:t xml:space="preserve">  本市防洪工作实行全面规划、统筹兼顾、预防为主、综合治理、局部利益服从全局利益和防汛与抗旱相结合的原则，兴利除害，确保首都安全。</w:t>
      </w:r>
    </w:p>
    <w:p w14:paraId="1875B673">
      <w:pPr>
        <w:ind w:firstLine="422"/>
      </w:pPr>
      <w:r>
        <w:rPr>
          <w:rFonts w:hint="eastAsia"/>
          <w:b/>
        </w:rPr>
        <w:t>第三条</w:t>
      </w:r>
      <w:r>
        <w:rPr>
          <w:rFonts w:hint="eastAsia"/>
        </w:rPr>
        <w:t xml:space="preserve">  本市应当加强永定河、潮白河、北运河等主要排洪河道、大中型水库、泥石流易发区和规划市区等重点区域的防洪工作，防御、减轻洪涝灾害，维护人民的生命和财产安全，保障社会主义现代化建设顺利进行。</w:t>
      </w:r>
    </w:p>
    <w:p w14:paraId="469A2F84">
      <w:pPr>
        <w:ind w:firstLine="422"/>
      </w:pPr>
      <w:r>
        <w:rPr>
          <w:rFonts w:hint="eastAsia"/>
          <w:b/>
        </w:rPr>
        <w:t>第四条</w:t>
      </w:r>
      <w:r>
        <w:rPr>
          <w:rFonts w:hint="eastAsia"/>
        </w:rPr>
        <w:t xml:space="preserve">  各级人民政府应当加强对防洪工作的统一领导，组织有关部门、单位，动员社会力量，开展全民防洪教育，普及防洪知识，提高水患意识，依靠科技进步，有计划地治理河流、湖泊，建设防洪工程，并加强防洪工程的维护和管理，建立并完善防洪体系和水文、气象、通信、预警以及洪涝灾害监测系统，巩固和提高防洪能力，确保安全。</w:t>
      </w:r>
    </w:p>
    <w:p w14:paraId="57D62DC4">
      <w:r>
        <w:rPr>
          <w:rFonts w:hint="eastAsia"/>
        </w:rPr>
        <w:t>根据防洪规划，防洪工程设施建设项目纳入年度国民经济和社会发展计划，所需费用纳入市和区、县财政预算。</w:t>
      </w:r>
    </w:p>
    <w:p w14:paraId="7862CA02">
      <w:pPr>
        <w:ind w:firstLine="422"/>
      </w:pPr>
      <w:r>
        <w:rPr>
          <w:rFonts w:hint="eastAsia"/>
          <w:b/>
        </w:rPr>
        <w:t>第五条</w:t>
      </w:r>
      <w:r>
        <w:rPr>
          <w:rFonts w:hint="eastAsia"/>
        </w:rPr>
        <w:t xml:space="preserve">  市和区、县水行政主管部门在本级人民政府的领导下，负责本行政区域内防洪的组织、协调、监督、指导等日常工作。</w:t>
      </w:r>
    </w:p>
    <w:p w14:paraId="69105868">
      <w:r>
        <w:rPr>
          <w:rFonts w:hint="eastAsia"/>
        </w:rPr>
        <w:t>城镇房屋、人民防空、市政行政主管部门和其他有关部门按照各自的职责分工，负责有关的防洪工作。</w:t>
      </w:r>
    </w:p>
    <w:p w14:paraId="3C26711E">
      <w:pPr>
        <w:ind w:firstLine="422"/>
      </w:pPr>
      <w:r>
        <w:rPr>
          <w:rFonts w:hint="eastAsia"/>
          <w:b/>
        </w:rPr>
        <w:t>第六条</w:t>
      </w:r>
      <w:r>
        <w:rPr>
          <w:rFonts w:hint="eastAsia"/>
        </w:rPr>
        <w:t xml:space="preserve">  任何单位和个人都有保护防洪工程设施和依法参加防汛抗洪的义务，并有权劝阻和检举破坏防洪工程设施的行为。</w:t>
      </w:r>
    </w:p>
    <w:p w14:paraId="71D48FB4">
      <w:r>
        <w:rPr>
          <w:rFonts w:hint="eastAsia"/>
        </w:rPr>
        <w:t>在防洪工作中做出突出贡献的单位和个人，由各级人民政府或者有关部门给予表彰和奖励。</w:t>
      </w:r>
    </w:p>
    <w:p w14:paraId="5AF0D7BB"/>
    <w:p w14:paraId="7CBFD539">
      <w:pPr>
        <w:ind w:firstLine="0" w:firstLineChars="0"/>
        <w:jc w:val="center"/>
        <w:rPr>
          <w:b/>
          <w:sz w:val="28"/>
        </w:rPr>
      </w:pPr>
      <w:r>
        <w:rPr>
          <w:rFonts w:hint="eastAsia"/>
          <w:b/>
          <w:sz w:val="28"/>
        </w:rPr>
        <w:t>第二章　防洪规划</w:t>
      </w:r>
    </w:p>
    <w:p w14:paraId="77F4AA3D"/>
    <w:p w14:paraId="168BDCDC">
      <w:pPr>
        <w:ind w:firstLine="422"/>
      </w:pPr>
      <w:r>
        <w:rPr>
          <w:rFonts w:hint="eastAsia"/>
          <w:b/>
        </w:rPr>
        <w:t>第七条</w:t>
      </w:r>
      <w:r>
        <w:rPr>
          <w:rFonts w:hint="eastAsia"/>
        </w:rPr>
        <w:t xml:space="preserve">  市和区、县人民政府应当依据国民经济和社会发展计划，按照城市防洪的要求编制防洪规划。防洪规划是防治洪涝灾害、河流和湖泊治理、防洪工程设施建设以及城市基础设施建设的基本依据。</w:t>
      </w:r>
    </w:p>
    <w:p w14:paraId="054610E7">
      <w:r>
        <w:rPr>
          <w:rFonts w:hint="eastAsia"/>
        </w:rPr>
        <w:t>全市防洪规划应当服从海河流域防洪规划。区、县防洪规划应当服从所在流域防洪规划和全市防洪规划。河流、湖泊防洪规划应当服从所在流域防洪规划。</w:t>
      </w:r>
    </w:p>
    <w:p w14:paraId="747AD312">
      <w:r>
        <w:rPr>
          <w:rFonts w:hint="eastAsia"/>
        </w:rPr>
        <w:t>防洪规划的规划期限由市人民政府确定。</w:t>
      </w:r>
    </w:p>
    <w:p w14:paraId="1FAC1466">
      <w:r>
        <w:rPr>
          <w:rFonts w:hint="eastAsia"/>
        </w:rPr>
        <w:t>防洪规划纳入城市总体规划。</w:t>
      </w:r>
    </w:p>
    <w:p w14:paraId="0293CCE5">
      <w:pPr>
        <w:ind w:firstLine="422"/>
      </w:pPr>
      <w:r>
        <w:rPr>
          <w:rFonts w:hint="eastAsia"/>
          <w:b/>
        </w:rPr>
        <w:t>第八条</w:t>
      </w:r>
      <w:r>
        <w:rPr>
          <w:rFonts w:hint="eastAsia"/>
        </w:rPr>
        <w:t xml:space="preserve">  防洪规划应当规定防洪标准，确定防护对象、治理目标和任务、防洪措施和实施方案；划定蓄滞洪区和防洪保护区的范围，规定蓄滞洪区的使用原则；制定易涝地区除涝措施，完善排涝系统；对山洪可能诱发山体滑坡、崩塌和泥石流地区以及其他山洪易发区，还应当划定重点防治区，制定防治措施。</w:t>
      </w:r>
    </w:p>
    <w:p w14:paraId="541486C6">
      <w:pPr>
        <w:ind w:firstLine="422"/>
      </w:pPr>
      <w:r>
        <w:rPr>
          <w:rFonts w:hint="eastAsia"/>
          <w:b/>
        </w:rPr>
        <w:t>第九条</w:t>
      </w:r>
      <w:r>
        <w:rPr>
          <w:rFonts w:hint="eastAsia"/>
        </w:rPr>
        <w:t xml:space="preserve">  全市防洪规划由市水行政主管部门会同有关部门编制，报市人民政府批准，并报国务院水行政主管部门备案。</w:t>
      </w:r>
    </w:p>
    <w:p w14:paraId="03D30587">
      <w:r>
        <w:rPr>
          <w:rFonts w:hint="eastAsia"/>
        </w:rPr>
        <w:t>东城区、西城区、崇文区、宣武区、朝阳区、海淀区、丰台区、石景山区的防洪规划由市水行政主管部门会同市规划、市政行政主管部门和其他有关部门统一编制，报市人民政府批准。其他区、县防洪规划由本级水行政主管部门会同有关部门编制，报本级人民政府批准，并报市水行政主管部门备案。</w:t>
      </w:r>
    </w:p>
    <w:p w14:paraId="75E77D2D">
      <w:pPr>
        <w:ind w:firstLine="422"/>
      </w:pPr>
      <w:r>
        <w:rPr>
          <w:rFonts w:hint="eastAsia"/>
          <w:b/>
        </w:rPr>
        <w:t>第十条</w:t>
      </w:r>
      <w:r>
        <w:rPr>
          <w:rFonts w:hint="eastAsia"/>
        </w:rPr>
        <w:t xml:space="preserve">  永定河防洪规划按照国务院批准的方案执行，其他河道的防洪规划按照下列规定编制和批准：</w:t>
      </w:r>
    </w:p>
    <w:p w14:paraId="7315B475">
      <w:r>
        <w:rPr>
          <w:rFonts w:hint="eastAsia"/>
        </w:rPr>
        <w:t>（一）潮白河、北运河（含温榆河）、拒马河、泃洳河防洪规划由市水行政主管部门组织有关部门协同海河流域管理机构编制，经市人民政府审查提出意见后，报国务院水行政主管部门批准；</w:t>
      </w:r>
    </w:p>
    <w:p w14:paraId="751F67C6">
      <w:r>
        <w:rPr>
          <w:rFonts w:hint="eastAsia"/>
        </w:rPr>
        <w:t>（二）凉水河、通惠河、清河以及其他跨区、县河道防洪规划由市水行政主管部门组织有关区、县水行政主管部门编制，征求有关区、县人民政府意见后，报市人民政府批准；</w:t>
      </w:r>
    </w:p>
    <w:p w14:paraId="1AC254C5">
      <w:r>
        <w:rPr>
          <w:rFonts w:hint="eastAsia"/>
        </w:rPr>
        <w:t>（三）除第（一）项、第（二）项规定以外的其他河道的防洪规划由河道所在地的区、县水行政主管部门会同有关部门编制，报本级人民政府批准，并报市水行政主管部门备案。</w:t>
      </w:r>
    </w:p>
    <w:p w14:paraId="06113CD2">
      <w:pPr>
        <w:ind w:firstLine="422"/>
      </w:pPr>
      <w:r>
        <w:rPr>
          <w:rFonts w:hint="eastAsia"/>
          <w:b/>
        </w:rPr>
        <w:t>第十一条</w:t>
      </w:r>
      <w:r>
        <w:rPr>
          <w:rFonts w:hint="eastAsia"/>
        </w:rPr>
        <w:t xml:space="preserve">  依法划定的防洪规划保留区，由市或者区、县人民政府公告，明确界限，并设立标志。</w:t>
      </w:r>
    </w:p>
    <w:p w14:paraId="1CCDF95C">
      <w:pPr>
        <w:ind w:firstLine="422"/>
      </w:pPr>
      <w:r>
        <w:rPr>
          <w:rFonts w:hint="eastAsia"/>
          <w:b/>
        </w:rPr>
        <w:t>第十二条</w:t>
      </w:r>
      <w:r>
        <w:rPr>
          <w:rFonts w:hint="eastAsia"/>
        </w:rPr>
        <w:t xml:space="preserve">  铁路、公路干线、卫星城、经济开发区、科技园区、住宅区、小城镇、大型骨干企业等建设项目可行性研究报告按照国家规定的程序报请批准前，应当就洪水对建设项目可能产生的影响和建设项目对防洪可能产生的影响，征求水行政主管部门的意见。</w:t>
      </w:r>
    </w:p>
    <w:p w14:paraId="6D82E7F0"/>
    <w:p w14:paraId="1EAA6887">
      <w:pPr>
        <w:ind w:firstLine="0" w:firstLineChars="0"/>
        <w:jc w:val="center"/>
        <w:rPr>
          <w:b/>
          <w:sz w:val="28"/>
        </w:rPr>
      </w:pPr>
      <w:r>
        <w:rPr>
          <w:rFonts w:hint="eastAsia"/>
          <w:b/>
          <w:sz w:val="28"/>
        </w:rPr>
        <w:t>第三章　防洪工程设施建设与管理</w:t>
      </w:r>
    </w:p>
    <w:p w14:paraId="0121E28B"/>
    <w:p w14:paraId="547872BF">
      <w:pPr>
        <w:ind w:firstLine="422"/>
      </w:pPr>
      <w:r>
        <w:rPr>
          <w:rFonts w:hint="eastAsia"/>
          <w:b/>
        </w:rPr>
        <w:t>第十三条</w:t>
      </w:r>
      <w:r>
        <w:rPr>
          <w:rFonts w:hint="eastAsia"/>
        </w:rPr>
        <w:t xml:space="preserve">  防洪应当蓄泄兼施，充分发挥水库、湖泊、洼淀和沟道截流工程的调蓄洪水功能；加强河道防护，定期疏浚河道，保持行洪畅通。</w:t>
      </w:r>
    </w:p>
    <w:p w14:paraId="67B10E61">
      <w:r>
        <w:rPr>
          <w:rFonts w:hint="eastAsia"/>
        </w:rPr>
        <w:t>防洪应当保护、扩大林草植被，加强水土保持，充分利用砂石坑回补地下水。规划市区应当扩大河湖水面，建设低草坪、渗水地面，完善渗井系统，涵养水源，削减洪峰。</w:t>
      </w:r>
    </w:p>
    <w:p w14:paraId="45E6FC26">
      <w:pPr>
        <w:ind w:firstLine="422"/>
      </w:pPr>
      <w:r>
        <w:rPr>
          <w:rFonts w:hint="eastAsia"/>
          <w:b/>
        </w:rPr>
        <w:t>第十四条</w:t>
      </w:r>
      <w:r>
        <w:rPr>
          <w:rFonts w:hint="eastAsia"/>
        </w:rPr>
        <w:t>　各级人民政府及其水行政主管部门应当按照防洪规划，疏浚河流、湖泊，加固堤防，加强水库、闸坝等防洪工程设施建设和维护，巩固和提高防洪能力。</w:t>
      </w:r>
    </w:p>
    <w:p w14:paraId="4AC44280">
      <w:r>
        <w:rPr>
          <w:rFonts w:hint="eastAsia"/>
        </w:rPr>
        <w:t>市和区、县人民政府应当加强对城市排涝管网、泵站的建设和管理，提高规划市区和其他城镇地区的排涝能力。</w:t>
      </w:r>
    </w:p>
    <w:p w14:paraId="28CC68A2">
      <w:pPr>
        <w:ind w:firstLine="422"/>
      </w:pPr>
      <w:r>
        <w:rPr>
          <w:rFonts w:hint="eastAsia"/>
          <w:b/>
        </w:rPr>
        <w:t>第十五条</w:t>
      </w:r>
      <w:r>
        <w:rPr>
          <w:rFonts w:hint="eastAsia"/>
        </w:rPr>
        <w:t>　防洪工程设施建设必须按照设防标准和技术规范、规程进行设计、施工、监理和验收，确保防洪工程设施的质量。其中规划市区防洪工程建设应当注重环境美化，维护古都风貌。</w:t>
      </w:r>
    </w:p>
    <w:p w14:paraId="484D3129">
      <w:r>
        <w:rPr>
          <w:rFonts w:hint="eastAsia"/>
        </w:rPr>
        <w:t>防洪工程设施的设计方案，必须经水行政主管部门核准；施工单位必须按照核准的设计方案施工；防洪工程设施竣工后，必须经水行政主管部门验收，确认符合防洪安全和运行管理标准的，方可投入使用。</w:t>
      </w:r>
    </w:p>
    <w:p w14:paraId="7B850EDB">
      <w:r>
        <w:rPr>
          <w:rFonts w:hint="eastAsia"/>
        </w:rPr>
        <w:t>防洪工程设施勘察、设计、施工、监理单位，必须具备相应的资质等级。</w:t>
      </w:r>
    </w:p>
    <w:p w14:paraId="4097E401">
      <w:r>
        <w:rPr>
          <w:rFonts w:hint="eastAsia"/>
        </w:rPr>
        <w:t>水行政主管部门应当对已投入使用的防洪工程设施，定期进行安全鉴定，对于不符合防洪安全要求的，应当改建、重建或者采取补救措施。</w:t>
      </w:r>
    </w:p>
    <w:p w14:paraId="27C5656F">
      <w:pPr>
        <w:ind w:firstLine="422"/>
      </w:pPr>
      <w:r>
        <w:rPr>
          <w:rFonts w:hint="eastAsia"/>
          <w:b/>
        </w:rPr>
        <w:t>第十六条</w:t>
      </w:r>
      <w:r>
        <w:rPr>
          <w:rFonts w:hint="eastAsia"/>
        </w:rPr>
        <w:t>　永定河的规划治导线按照国务院水行政主管部门批准的方案执行。</w:t>
      </w:r>
    </w:p>
    <w:p w14:paraId="6DB02DB8">
      <w:r>
        <w:rPr>
          <w:rFonts w:hint="eastAsia"/>
        </w:rPr>
        <w:t>跨区、县河道的规划治导线由市水行政主管部门组织河道所在地的区、县水行政主管部门拟定，征求有关区、县人民政府意见后，报市人民政府批准。</w:t>
      </w:r>
    </w:p>
    <w:p w14:paraId="7E4DA9BE">
      <w:pPr>
        <w:ind w:firstLine="422"/>
      </w:pPr>
      <w:r>
        <w:rPr>
          <w:rFonts w:hint="eastAsia"/>
          <w:b/>
        </w:rPr>
        <w:t>第十七条</w:t>
      </w:r>
      <w:r>
        <w:rPr>
          <w:rFonts w:hint="eastAsia"/>
        </w:rPr>
        <w:t>　永定河、潮白河、北运河实行河道管理机构统一管理与河流所在地的区、县水行政主管部门分段管理相结合。</w:t>
      </w:r>
    </w:p>
    <w:p w14:paraId="4119EFE5">
      <w:r>
        <w:rPr>
          <w:rFonts w:hint="eastAsia"/>
        </w:rPr>
        <w:t>城市河湖的管理按照《北京市城市河湖保护管理条例》的规定执行。</w:t>
      </w:r>
    </w:p>
    <w:p w14:paraId="715009C9">
      <w:r>
        <w:rPr>
          <w:rFonts w:hint="eastAsia"/>
        </w:rPr>
        <w:t>除第一款、第二款规定以外的其他河流、湖泊由其所在地的区、县水行政主管部门管理。</w:t>
      </w:r>
    </w:p>
    <w:p w14:paraId="13A37B5A">
      <w:pPr>
        <w:ind w:firstLine="422"/>
      </w:pPr>
      <w:r>
        <w:rPr>
          <w:rFonts w:hint="eastAsia"/>
          <w:b/>
        </w:rPr>
        <w:t>第十八条</w:t>
      </w:r>
      <w:r>
        <w:rPr>
          <w:rFonts w:hint="eastAsia"/>
        </w:rPr>
        <w:t>　市或者区、县人民政府应当按照管理权限对河道、湖泊和水库、闸坝等防洪工程设施划定管理范围和保护范围。</w:t>
      </w:r>
    </w:p>
    <w:p w14:paraId="00C09F9C">
      <w:pPr>
        <w:ind w:firstLine="422"/>
      </w:pPr>
      <w:r>
        <w:rPr>
          <w:rFonts w:hint="eastAsia"/>
          <w:b/>
        </w:rPr>
        <w:t>第十九条</w:t>
      </w:r>
      <w:r>
        <w:rPr>
          <w:rFonts w:hint="eastAsia"/>
        </w:rPr>
        <w:t>　在河道、湖泊管理范围内，禁止下列行为：</w:t>
      </w:r>
    </w:p>
    <w:p w14:paraId="0B3BD550">
      <w:r>
        <w:rPr>
          <w:rFonts w:hint="eastAsia"/>
        </w:rPr>
        <w:t>（一）建设妨碍行洪的建筑物、构筑物；</w:t>
      </w:r>
    </w:p>
    <w:p w14:paraId="3EB99828">
      <w:r>
        <w:rPr>
          <w:rFonts w:hint="eastAsia"/>
        </w:rPr>
        <w:t>（二）倾倒垃圾和渣土、堆放非防汛物资；</w:t>
      </w:r>
    </w:p>
    <w:p w14:paraId="0551EE6F">
      <w:r>
        <w:rPr>
          <w:rFonts w:hint="eastAsia"/>
        </w:rPr>
        <w:t>（三）在行洪河道内种植有碍行洪的树木和高杆作物；</w:t>
      </w:r>
    </w:p>
    <w:p w14:paraId="39DD45F4">
      <w:r>
        <w:rPr>
          <w:rFonts w:hint="eastAsia"/>
        </w:rPr>
        <w:t>（四）在堤防和护堤地，从事放牧、葬坟、晒粮、开渠、打井、挖窖、采砂、取土、存放物料、开办集市贸易、开采地下资源、进行考古发掘等活动；</w:t>
      </w:r>
    </w:p>
    <w:p w14:paraId="457E9924">
      <w:r>
        <w:rPr>
          <w:rFonts w:hint="eastAsia"/>
        </w:rPr>
        <w:t>（五）从事其他影响河势稳定、危害河岸堤防安全和妨碍河道行洪的活动。</w:t>
      </w:r>
    </w:p>
    <w:p w14:paraId="7E58B39E">
      <w:r>
        <w:rPr>
          <w:rFonts w:hint="eastAsia"/>
        </w:rPr>
        <w:t>在堤防和护堤地以外的河道、湖泊管理范围内，在不影响河势稳定或者防洪安全的情况下，经过批准可以采砂、取土、开采地下资源、进行考古发掘。永定河、潮白河、北运河等市管河道由市水行政主管部门授权的河道管理单位审批，其他河道、湖泊由区、县水行政主管部门审批。</w:t>
      </w:r>
    </w:p>
    <w:p w14:paraId="5919011D">
      <w:pPr>
        <w:ind w:firstLine="422"/>
      </w:pPr>
      <w:r>
        <w:rPr>
          <w:rFonts w:hint="eastAsia"/>
          <w:b/>
        </w:rPr>
        <w:t>第二十条</w:t>
      </w:r>
      <w:r>
        <w:rPr>
          <w:rFonts w:hint="eastAsia"/>
        </w:rPr>
        <w:t>　在水库、闸坝管理和保护范围内以及河道、湖泊保护范围内，禁止进行爆破、打井、采石、取土等危害防洪工程设施安全的活动。</w:t>
      </w:r>
    </w:p>
    <w:p w14:paraId="6DEDCC8E">
      <w:pPr>
        <w:ind w:firstLine="422"/>
      </w:pPr>
      <w:r>
        <w:rPr>
          <w:rFonts w:hint="eastAsia"/>
          <w:b/>
        </w:rPr>
        <w:t>第二十一条</w:t>
      </w:r>
      <w:r>
        <w:rPr>
          <w:rFonts w:hint="eastAsia"/>
        </w:rPr>
        <w:t>　对壅水、阻水严重的桥梁、引道、码头和其他跨河工程设施，根据该河道的防洪标准，有关水行政主管部门可以报请人民政府责令建设单位限期改建或者拆除。</w:t>
      </w:r>
    </w:p>
    <w:p w14:paraId="6C652611">
      <w:r>
        <w:rPr>
          <w:rFonts w:hint="eastAsia"/>
        </w:rPr>
        <w:t>新建、改建、扩建跨河、穿河、临河、穿堤的桥梁、码头、道路、渡口、管道、缆线和取水、排水等工程设施，按照《防洪法》第二十七条的规定执行。</w:t>
      </w:r>
    </w:p>
    <w:p w14:paraId="2B4743E3">
      <w:pPr>
        <w:ind w:firstLine="422"/>
      </w:pPr>
      <w:r>
        <w:rPr>
          <w:rFonts w:hint="eastAsia"/>
          <w:b/>
        </w:rPr>
        <w:t>第二十二条</w:t>
      </w:r>
      <w:r>
        <w:rPr>
          <w:rFonts w:hint="eastAsia"/>
        </w:rPr>
        <w:t>　各级人民政府要加强水库大坝、河湖堤防的安全管理。</w:t>
      </w:r>
    </w:p>
    <w:p w14:paraId="7FA6F693">
      <w:r>
        <w:rPr>
          <w:rFonts w:hint="eastAsia"/>
        </w:rPr>
        <w:t>管理单位应当对大坝、堤防、闸桥和其他水工程设施进行安全监测和检查，保证工程安全运行。</w:t>
      </w:r>
    </w:p>
    <w:p w14:paraId="17EE114E">
      <w:r>
        <w:rPr>
          <w:rFonts w:hint="eastAsia"/>
        </w:rPr>
        <w:t>堤路结合的大坝、堤防、闸桥限制超重车辆通行，非堤路结合的大坝、堤防、闸桥禁止机动车辆通行，主管部门应当设立标志，但法律、法规另有规定的除外。</w:t>
      </w:r>
    </w:p>
    <w:p w14:paraId="51F15E0D">
      <w:pPr>
        <w:ind w:firstLine="422"/>
      </w:pPr>
      <w:r>
        <w:rPr>
          <w:rFonts w:hint="eastAsia"/>
          <w:b/>
        </w:rPr>
        <w:t>第二十三条</w:t>
      </w:r>
      <w:r>
        <w:rPr>
          <w:rFonts w:hint="eastAsia"/>
        </w:rPr>
        <w:t xml:space="preserve">  未达到设计防洪标准、抗震设防要求或者有严重质量缺陷的病险水库，应当采取除险、加固措施，限期消除隐患或者重建。</w:t>
      </w:r>
    </w:p>
    <w:p w14:paraId="17E8F2ED">
      <w:r>
        <w:rPr>
          <w:rFonts w:hint="eastAsia"/>
        </w:rPr>
        <w:t>病险水库应当限制蓄水或者停止蓄水。</w:t>
      </w:r>
    </w:p>
    <w:p w14:paraId="25B9A096">
      <w:pPr>
        <w:ind w:firstLine="422"/>
      </w:pPr>
      <w:r>
        <w:rPr>
          <w:rFonts w:hint="eastAsia"/>
          <w:b/>
        </w:rPr>
        <w:t>第二十四条</w:t>
      </w:r>
      <w:r>
        <w:rPr>
          <w:rFonts w:hint="eastAsia"/>
        </w:rPr>
        <w:t>　本市应当加强城镇地区排水系统建设，保障排水畅通。</w:t>
      </w:r>
    </w:p>
    <w:p w14:paraId="7403A4FF">
      <w:r>
        <w:rPr>
          <w:rFonts w:hint="eastAsia"/>
        </w:rPr>
        <w:t>实行河道、湖泊排水总量控制制度。新建小区和其他新建、改建、扩建的建设项目，建设单位应当采取滞洪、蓄洪措施，严格控制入河排水量。</w:t>
      </w:r>
    </w:p>
    <w:p w14:paraId="03C4394A">
      <w:pPr>
        <w:ind w:firstLine="422"/>
      </w:pPr>
      <w:r>
        <w:rPr>
          <w:rFonts w:hint="eastAsia"/>
          <w:b/>
        </w:rPr>
        <w:t>第二十五条</w:t>
      </w:r>
      <w:r>
        <w:rPr>
          <w:rFonts w:hint="eastAsia"/>
        </w:rPr>
        <w:t>　各级人民政府应当加强水土保持工作，采取综合治理措施，对泥石流易发区、矿山采空区和山洪可能诱发山体滑坡、崩塌区进行治理，加强监管。</w:t>
      </w:r>
    </w:p>
    <w:p w14:paraId="6EF9C53F">
      <w:r>
        <w:rPr>
          <w:rFonts w:hint="eastAsia"/>
        </w:rPr>
        <w:t>禁止在上述地区进行除水土保持以外的一切开发建设活动。</w:t>
      </w:r>
    </w:p>
    <w:p w14:paraId="4EC1FE6E">
      <w:pPr>
        <w:ind w:firstLine="422"/>
      </w:pPr>
      <w:r>
        <w:rPr>
          <w:rFonts w:hint="eastAsia"/>
          <w:b/>
        </w:rPr>
        <w:t>第二十六条</w:t>
      </w:r>
      <w:r>
        <w:rPr>
          <w:rFonts w:hint="eastAsia"/>
        </w:rPr>
        <w:t>　蓄滞洪区应当按照防洪规划划定并报请市人民政府按照国务院规定的权限批准后予以公告。蓄滞洪区所在地的人民政府应当采取措施控制蓄滞洪区内人口的增长；制定防洪避险转移方案；组织有关部门对蓄滞洪区内的单位和居民进行防洪教育和避险演习；组织蓄滞洪区内的单位和居民积极参加防洪工作；因地制宜地采取防洪避险措施。</w:t>
      </w:r>
    </w:p>
    <w:p w14:paraId="64630022">
      <w:r>
        <w:rPr>
          <w:rFonts w:hint="eastAsia"/>
        </w:rPr>
        <w:t>禁止在蓄滞洪区分</w:t>
      </w:r>
      <w:r>
        <w:rPr>
          <w:rFonts w:hint="eastAsia" w:ascii="宋体" w:hAnsi="宋体" w:eastAsia="宋体" w:cs="宋体"/>
        </w:rPr>
        <w:t>洪口门300米范围内建设妨碍行洪的</w:t>
      </w:r>
      <w:r>
        <w:rPr>
          <w:rFonts w:hint="eastAsia"/>
        </w:rPr>
        <w:t>建筑物和构筑物。违反规定的，由水行政主管部门责令限期拆除，恢复原状。</w:t>
      </w:r>
    </w:p>
    <w:p w14:paraId="53222D0E">
      <w:r>
        <w:rPr>
          <w:rFonts w:hint="eastAsia"/>
        </w:rPr>
        <w:t>在蓄滞洪区内建设大型建设项目，其审批程序按照《防洪法》第三十三条的规定执行。</w:t>
      </w:r>
    </w:p>
    <w:p w14:paraId="6932DEA4">
      <w:pPr>
        <w:ind w:firstLine="422"/>
      </w:pPr>
      <w:r>
        <w:rPr>
          <w:rFonts w:hint="eastAsia"/>
          <w:b/>
        </w:rPr>
        <w:t>第二十七条</w:t>
      </w:r>
      <w:r>
        <w:rPr>
          <w:rFonts w:hint="eastAsia"/>
        </w:rPr>
        <w:t>　各级人民政府应当组织水行政主管部门和有关部门对河道堤防、闸坝、水库、跨河设施、市政排水、危旧房屋、人防工程和其他地下建筑物以及山洪、泥石流易发区等重点部位，进行定期检查和监督；发现隐患，有关责任单位应当及时采取措施予以排除。</w:t>
      </w:r>
    </w:p>
    <w:p w14:paraId="0140F4C6">
      <w:pPr>
        <w:ind w:firstLine="422"/>
      </w:pPr>
      <w:r>
        <w:rPr>
          <w:rFonts w:hint="eastAsia"/>
          <w:b/>
        </w:rPr>
        <w:t>第二十八条</w:t>
      </w:r>
      <w:r>
        <w:rPr>
          <w:rFonts w:hint="eastAsia"/>
        </w:rPr>
        <w:t>　对居住在行洪河道内、水库淹没区内以及山洪、泥石流易发区内的居民，当地人民政府应当按照防洪规划有计划地组织外迁。市和区、县人民政府应当对外迁居民妥善安置。</w:t>
      </w:r>
    </w:p>
    <w:p w14:paraId="57919EE3">
      <w:pPr>
        <w:ind w:firstLine="422"/>
      </w:pPr>
      <w:r>
        <w:rPr>
          <w:rFonts w:hint="eastAsia"/>
          <w:b/>
        </w:rPr>
        <w:t>第二十九条</w:t>
      </w:r>
      <w:r>
        <w:rPr>
          <w:rFonts w:hint="eastAsia"/>
        </w:rPr>
        <w:t>　任何单位和个人不得破坏、移动、侵占、擅自使用水文监测站的站房、测验设施、标志、场地、道路、缆线、自动测报系统等水文设施以及防汛通信设施和雨情、水情自动采集设施；确需移动或者占用上述设施的，建设单位应当征得市水行政主管部门同意，并负责恢复上述设施的原有功能，承担相应的费用。</w:t>
      </w:r>
    </w:p>
    <w:p w14:paraId="4AE1C2BE">
      <w:r>
        <w:rPr>
          <w:rFonts w:hint="eastAsia"/>
        </w:rPr>
        <w:t>任何单位和个人不得干扰防汛通信和雨情、水情采集专用频率。</w:t>
      </w:r>
    </w:p>
    <w:p w14:paraId="05714C23">
      <w:pPr>
        <w:spacing w:line="300" w:lineRule="exact"/>
      </w:pPr>
    </w:p>
    <w:p w14:paraId="4FA1171F">
      <w:pPr>
        <w:tabs>
          <w:tab w:val="center" w:pos="4366"/>
        </w:tabs>
        <w:ind w:firstLine="0" w:firstLineChars="0"/>
        <w:jc w:val="center"/>
        <w:rPr>
          <w:b/>
        </w:rPr>
      </w:pPr>
      <w:r>
        <w:rPr>
          <w:rFonts w:hint="eastAsia"/>
          <w:b/>
          <w:sz w:val="28"/>
        </w:rPr>
        <w:t>第四章　防汛抗洪</w:t>
      </w:r>
    </w:p>
    <w:p w14:paraId="5A23A11C">
      <w:pPr>
        <w:tabs>
          <w:tab w:val="center" w:pos="4366"/>
        </w:tabs>
        <w:spacing w:line="300" w:lineRule="exact"/>
      </w:pPr>
    </w:p>
    <w:p w14:paraId="156258DB">
      <w:pPr>
        <w:ind w:firstLine="422"/>
      </w:pPr>
      <w:r>
        <w:rPr>
          <w:rFonts w:hint="eastAsia"/>
          <w:b/>
        </w:rPr>
        <w:t>第三十条</w:t>
      </w:r>
      <w:r>
        <w:rPr>
          <w:rFonts w:hint="eastAsia"/>
        </w:rPr>
        <w:t>　防汛抗洪工作实行各级人民政府行政首长负责制，统一指挥、分级分部门负责。</w:t>
      </w:r>
    </w:p>
    <w:p w14:paraId="16DE6356">
      <w:pPr>
        <w:ind w:firstLine="422"/>
      </w:pPr>
      <w:r>
        <w:rPr>
          <w:rFonts w:hint="eastAsia"/>
          <w:b/>
        </w:rPr>
        <w:t>第三十一条</w:t>
      </w:r>
      <w:r>
        <w:rPr>
          <w:rFonts w:hint="eastAsia"/>
        </w:rPr>
        <w:t>　市和区、县人民政府设立防汛指挥机构，负责领导、组织和统一指挥本行政区域内的防汛抗洪工作。</w:t>
      </w:r>
    </w:p>
    <w:p w14:paraId="7D020E2E">
      <w:pPr>
        <w:ind w:firstLine="422"/>
      </w:pPr>
      <w:r>
        <w:rPr>
          <w:rFonts w:hint="eastAsia"/>
          <w:b/>
        </w:rPr>
        <w:t>第三十二条</w:t>
      </w:r>
      <w:r>
        <w:rPr>
          <w:rFonts w:hint="eastAsia"/>
        </w:rPr>
        <w:t>　市人民政府防汛指挥机构由市有关部门、北京卫戍区、武警北京总队等单位负责人组成，市长担任指挥，其办事机构设在市水行政主管部门。</w:t>
      </w:r>
    </w:p>
    <w:p w14:paraId="1FE6D7F3">
      <w:r>
        <w:rPr>
          <w:rFonts w:hint="eastAsia"/>
        </w:rPr>
        <w:t>永定河、潮白河、北运河和大中型水库应当设立防汛机构，负责所管辖范围内的防汛抗洪工作。</w:t>
      </w:r>
    </w:p>
    <w:p w14:paraId="54F0B9E6">
      <w:pPr>
        <w:ind w:firstLine="422"/>
      </w:pPr>
      <w:r>
        <w:rPr>
          <w:rFonts w:hint="eastAsia"/>
          <w:b/>
        </w:rPr>
        <w:t>第三十三条</w:t>
      </w:r>
      <w:r>
        <w:rPr>
          <w:rFonts w:hint="eastAsia"/>
        </w:rPr>
        <w:t>　区、县人民政府防汛指挥机构由区、县有关部门、当地驻军、人民武装部等单位负责人组成，区长、县长担任指挥，其办事机构设在区、县水行政主管部门；没有水行政主管部门的，设在区人民政府指定的部门。</w:t>
      </w:r>
    </w:p>
    <w:p w14:paraId="78E1EDCA">
      <w:r>
        <w:rPr>
          <w:rFonts w:hint="eastAsia"/>
        </w:rPr>
        <w:t>乡、镇人民政府和街道办事处在汛期应当设立防汛机构，在上级防汛指挥机构的领导下，负责本行政区域内的防汛抗洪工作。</w:t>
      </w:r>
    </w:p>
    <w:p w14:paraId="499D419C">
      <w:pPr>
        <w:ind w:firstLine="422"/>
      </w:pPr>
      <w:r>
        <w:rPr>
          <w:rFonts w:hint="eastAsia"/>
          <w:b/>
        </w:rPr>
        <w:t>第三十四条</w:t>
      </w:r>
      <w:r>
        <w:rPr>
          <w:rFonts w:hint="eastAsia"/>
        </w:rPr>
        <w:t>　本市的防汛期</w:t>
      </w:r>
      <w:r>
        <w:rPr>
          <w:rFonts w:hint="eastAsia" w:ascii="宋体" w:hAnsi="宋体" w:eastAsia="宋体" w:cs="宋体"/>
        </w:rPr>
        <w:t>为每年6月1日至9月15日。特殊情况下，市</w:t>
      </w:r>
      <w:r>
        <w:rPr>
          <w:rFonts w:hint="eastAsia"/>
        </w:rPr>
        <w:t>防汛指挥机构可以宣布提前或者延长防汛期。</w:t>
      </w:r>
    </w:p>
    <w:p w14:paraId="04DDA900">
      <w:r>
        <w:rPr>
          <w:rFonts w:hint="eastAsia"/>
        </w:rPr>
        <w:t>当河道水情接近设计洪水位、历史最高洪水位，水库水位接近设计洪水位以及防洪工程设施发生重大险情时，市或者区、县防汛指挥机构可以宣布进入紧急防汛期。</w:t>
      </w:r>
    </w:p>
    <w:p w14:paraId="26A364FB">
      <w:pPr>
        <w:ind w:firstLine="422"/>
      </w:pPr>
      <w:r>
        <w:rPr>
          <w:rFonts w:hint="eastAsia"/>
          <w:b/>
        </w:rPr>
        <w:t>第三十五条</w:t>
      </w:r>
      <w:r>
        <w:rPr>
          <w:rFonts w:hint="eastAsia"/>
        </w:rPr>
        <w:t>　永定河防御洪水方案按照国务院批准的方案执行，其他河道、水库、湖泊防御洪水方案按下列规定编制和批准：</w:t>
      </w:r>
    </w:p>
    <w:p w14:paraId="588F00F1">
      <w:r>
        <w:rPr>
          <w:rFonts w:hint="eastAsia"/>
        </w:rPr>
        <w:t>（一）潮白河、北运河（含温榆河）以及其他跨省、市河道防御洪水方案由市水行政主管部门协同海河流域管理机构编制，经市人民政府审查提出意见后，报国务院水行政主管部门批准；</w:t>
      </w:r>
    </w:p>
    <w:p w14:paraId="0AC26681">
      <w:r>
        <w:rPr>
          <w:rFonts w:hint="eastAsia"/>
        </w:rPr>
        <w:t>（二）密云水库、官厅水库防御洪水方案由市水行政主管部门编制，报市人民政府批准，并报国务院水行政主管部门备案；</w:t>
      </w:r>
    </w:p>
    <w:p w14:paraId="2B1E9AAA">
      <w:r>
        <w:rPr>
          <w:rFonts w:hint="eastAsia"/>
        </w:rPr>
        <w:t>（三）怀柔水库、十三陵水库、城市河湖以及其他市管水库、河道防御洪水方案由各管理单位编制，报市水行政主管部门批准；</w:t>
      </w:r>
    </w:p>
    <w:p w14:paraId="7CD57725">
      <w:r>
        <w:rPr>
          <w:rFonts w:hint="eastAsia"/>
        </w:rPr>
        <w:t>（四）除第（二）项、第（三）项规定以外的其他大、中型水库防御洪水方案由所在地的区、县水行政主管部门和有关部门编制，报本级人民政府批准，并报市水行政主管部门备案；</w:t>
      </w:r>
    </w:p>
    <w:p w14:paraId="76878E76">
      <w:r>
        <w:rPr>
          <w:rFonts w:hint="eastAsia"/>
        </w:rPr>
        <w:t>（五）除第（一）项、第（二）项、第（三）项、第（四）项规定以外的其他河道、小型水库防御洪水方案由所在地的区、县水行政主管部门编制，报本级人民政府批准。</w:t>
      </w:r>
    </w:p>
    <w:p w14:paraId="1D82139C">
      <w:pPr>
        <w:ind w:firstLine="422"/>
      </w:pPr>
      <w:r>
        <w:rPr>
          <w:rFonts w:hint="eastAsia"/>
          <w:b/>
        </w:rPr>
        <w:t>第三十六条</w:t>
      </w:r>
      <w:r>
        <w:rPr>
          <w:rFonts w:hint="eastAsia"/>
        </w:rPr>
        <w:t>　在汛期，水库、闸坝和其他水工程设施的运用，必须服从有关防汛指挥机构的调度、指挥和监督。永定河防汛调度按照国家防汛指挥机构的命令执行；市管河道、水库以及跨区、县河道防汛调度命令由市防汛指挥机构下达；其他河道、水库防汛调度命令由所在地的区、县防汛指挥机构下达。</w:t>
      </w:r>
    </w:p>
    <w:p w14:paraId="2F6E38AE">
      <w:r>
        <w:rPr>
          <w:rFonts w:hint="eastAsia"/>
        </w:rPr>
        <w:t>在汛期，水库不得擅自在汛期限制水位以上蓄水，其汛期限制水位以上防洪库容的运用，必须服从防汛指挥机构的调度、指挥和监督。</w:t>
      </w:r>
    </w:p>
    <w:p w14:paraId="2C874E61">
      <w:pPr>
        <w:ind w:firstLine="422"/>
      </w:pPr>
      <w:r>
        <w:rPr>
          <w:rFonts w:hint="eastAsia"/>
          <w:b/>
        </w:rPr>
        <w:t>第三十七条</w:t>
      </w:r>
      <w:r>
        <w:rPr>
          <w:rFonts w:hint="eastAsia"/>
        </w:rPr>
        <w:t>　对河道、湖泊范围内阻碍行洪的障碍物，按照谁设障、谁清除的原则，由市或者区、县防汛指挥机构责令限期清除；逾期不清除的，由有关防汛指挥机构组织强行清除，清除费用由设障者承担。</w:t>
      </w:r>
    </w:p>
    <w:p w14:paraId="08CF284C">
      <w:pPr>
        <w:ind w:firstLine="422"/>
      </w:pPr>
      <w:r>
        <w:rPr>
          <w:rFonts w:hint="eastAsia"/>
          <w:b/>
        </w:rPr>
        <w:t>第三十八条</w:t>
      </w:r>
      <w:r>
        <w:rPr>
          <w:rFonts w:hint="eastAsia"/>
        </w:rPr>
        <w:t>　在汛期，公安、交通等有关部门应当保障防汛指挥和抢险救灾车辆优先通行，并按特种车辆对待。</w:t>
      </w:r>
    </w:p>
    <w:p w14:paraId="30739625">
      <w:r>
        <w:rPr>
          <w:rFonts w:hint="eastAsia"/>
        </w:rPr>
        <w:t>防汛指挥和抢险救灾车辆标志由市公安交通管理部门印制，市防汛指挥机构统一核发。</w:t>
      </w:r>
    </w:p>
    <w:p w14:paraId="345B5EB7">
      <w:pPr>
        <w:ind w:firstLine="422"/>
      </w:pPr>
      <w:r>
        <w:rPr>
          <w:rFonts w:hint="eastAsia"/>
          <w:b/>
        </w:rPr>
        <w:t>第三十九条</w:t>
      </w:r>
      <w:r>
        <w:rPr>
          <w:rFonts w:hint="eastAsia"/>
        </w:rPr>
        <w:t>　各级人民政府应当组织有关部门和企业、事业单位做好防汛抗洪物资的储备。市和区、县防汛指挥机构储备的防汛抗洪物资，所需资金和储备费用由本级财政负担；企业、事业单位自备的防汛抗洪物资，所需资金和储备费用由企业、事业单位自行负担。</w:t>
      </w:r>
    </w:p>
    <w:p w14:paraId="58F6573F">
      <w:r>
        <w:rPr>
          <w:rFonts w:hint="eastAsia"/>
        </w:rPr>
        <w:t>在紧急情况下，储备的防汛抗洪物资应当服从上级防汛指挥机构的统一调度，调用的物资在汛期结束后应当及时归还；造成损坏或者无法归还的，按照有关规定给予适当补偿或者作其他处理。</w:t>
      </w:r>
    </w:p>
    <w:p w14:paraId="6CC63FEA">
      <w:pPr>
        <w:ind w:firstLine="422"/>
      </w:pPr>
      <w:r>
        <w:rPr>
          <w:rFonts w:hint="eastAsia"/>
          <w:b/>
        </w:rPr>
        <w:t>第四十条</w:t>
      </w:r>
      <w:r>
        <w:rPr>
          <w:rFonts w:hint="eastAsia"/>
        </w:rPr>
        <w:t>　城镇房屋、人民防空、市政行政主管部门应当加强房屋、人防工程和其他地下建筑物、市政设施防洪安全的检查，及时处理各种隐患，并制定防洪预案，督促产权单位或者责任人采取应急措施，确保安全度汛。</w:t>
      </w:r>
    </w:p>
    <w:p w14:paraId="7AEF5ACF">
      <w:pPr>
        <w:ind w:firstLine="422"/>
      </w:pPr>
      <w:r>
        <w:rPr>
          <w:rFonts w:hint="eastAsia"/>
          <w:b/>
        </w:rPr>
        <w:t>第四十一条</w:t>
      </w:r>
      <w:r>
        <w:rPr>
          <w:rFonts w:hint="eastAsia"/>
        </w:rPr>
        <w:t>　市和区、县人民政府应当加强非工程防洪措施建设，按照国家规定建立以信息采集、通讯、计算机网络和决策支持为主要内容的防汛指挥系统。</w:t>
      </w:r>
    </w:p>
    <w:p w14:paraId="0C7EA2E3">
      <w:pPr>
        <w:ind w:firstLine="422"/>
      </w:pPr>
      <w:r>
        <w:rPr>
          <w:rFonts w:hint="eastAsia"/>
          <w:b/>
        </w:rPr>
        <w:t>第四十二条</w:t>
      </w:r>
      <w:r>
        <w:rPr>
          <w:rFonts w:hint="eastAsia"/>
        </w:rPr>
        <w:t>　在汛期，气象、水文、电信、运输、电力、物资、商业、公安等有关部门应当按照各自的职责，优先为防汛抗洪服务。</w:t>
      </w:r>
    </w:p>
    <w:p w14:paraId="10759617"/>
    <w:p w14:paraId="74C1186B">
      <w:pPr>
        <w:ind w:firstLine="0" w:firstLineChars="0"/>
        <w:jc w:val="center"/>
        <w:rPr>
          <w:b/>
          <w:sz w:val="28"/>
        </w:rPr>
      </w:pPr>
      <w:r>
        <w:rPr>
          <w:rFonts w:hint="eastAsia"/>
          <w:b/>
          <w:sz w:val="28"/>
        </w:rPr>
        <w:t>第五章　保障措施</w:t>
      </w:r>
    </w:p>
    <w:p w14:paraId="22CE0103"/>
    <w:p w14:paraId="4F14C840">
      <w:pPr>
        <w:ind w:firstLine="422"/>
      </w:pPr>
      <w:r>
        <w:rPr>
          <w:rFonts w:hint="eastAsia"/>
          <w:b/>
        </w:rPr>
        <w:t>第四十三条</w:t>
      </w:r>
      <w:r>
        <w:rPr>
          <w:rFonts w:hint="eastAsia"/>
        </w:rPr>
        <w:t>　各级人民政府应当保证实施防洪规划和防洪年度计划所需资金。</w:t>
      </w:r>
    </w:p>
    <w:p w14:paraId="53D406E8">
      <w:r>
        <w:rPr>
          <w:rFonts w:hint="eastAsia"/>
        </w:rPr>
        <w:t>市和区、县人民政府应当在每年财政预算和水利建设基金中安排资金，主要用于下列支出：</w:t>
      </w:r>
    </w:p>
    <w:p w14:paraId="06C31EC5">
      <w:bookmarkStart w:id="2794" w:name="_Toc428780900"/>
      <w:r>
        <w:rPr>
          <w:rFonts w:hint="eastAsia"/>
        </w:rPr>
        <w:t>（一）防洪工程设施建设、维护和改造；</w:t>
      </w:r>
      <w:bookmarkEnd w:id="2794"/>
    </w:p>
    <w:p w14:paraId="30898630">
      <w:r>
        <w:rPr>
          <w:rFonts w:hint="eastAsia"/>
        </w:rPr>
        <w:t>（二）水文测报、通信设施、生物措施等非防洪工程设施的建设、维护、改造和修复；</w:t>
      </w:r>
    </w:p>
    <w:p w14:paraId="517C873E">
      <w:r>
        <w:rPr>
          <w:rFonts w:hint="eastAsia"/>
        </w:rPr>
        <w:t>（三）水毁工程修复；</w:t>
      </w:r>
    </w:p>
    <w:p w14:paraId="1B7F624B">
      <w:r>
        <w:rPr>
          <w:rFonts w:hint="eastAsia"/>
        </w:rPr>
        <w:t>（四）抗洪抢险经费；</w:t>
      </w:r>
    </w:p>
    <w:p w14:paraId="34FC37F2">
      <w:r>
        <w:rPr>
          <w:rFonts w:hint="eastAsia"/>
        </w:rPr>
        <w:t>（五）防汛工作经费；</w:t>
      </w:r>
    </w:p>
    <w:p w14:paraId="71190F02">
      <w:r>
        <w:rPr>
          <w:rFonts w:hint="eastAsia"/>
        </w:rPr>
        <w:t>（六）储备防汛物资。</w:t>
      </w:r>
    </w:p>
    <w:p w14:paraId="6834AEEF">
      <w:r>
        <w:rPr>
          <w:rFonts w:hint="eastAsia"/>
        </w:rPr>
        <w:t>防洪资金必须专款专用，严格审计监督。</w:t>
      </w:r>
    </w:p>
    <w:p w14:paraId="585E83C3">
      <w:pPr>
        <w:ind w:firstLine="422"/>
      </w:pPr>
      <w:r>
        <w:rPr>
          <w:rFonts w:hint="eastAsia"/>
          <w:b/>
        </w:rPr>
        <w:t>第四十四条</w:t>
      </w:r>
      <w:r>
        <w:rPr>
          <w:rFonts w:hint="eastAsia"/>
        </w:rPr>
        <w:t>　市和区、县人民政府应当建立水利建设基金，具体筹集和使用管理办法按照市人民政府的规定执行。</w:t>
      </w:r>
    </w:p>
    <w:p w14:paraId="71F15DB5">
      <w:r>
        <w:rPr>
          <w:rFonts w:hint="eastAsia"/>
        </w:rPr>
        <w:t>防洪工程建设维护管理费的征缴按照市人民政府的规定执行。</w:t>
      </w:r>
    </w:p>
    <w:p w14:paraId="46E61CF7">
      <w:pPr>
        <w:ind w:firstLine="422"/>
      </w:pPr>
      <w:r>
        <w:rPr>
          <w:rFonts w:hint="eastAsia"/>
          <w:b/>
        </w:rPr>
        <w:t>第四十五条</w:t>
      </w:r>
      <w:r>
        <w:rPr>
          <w:rFonts w:hint="eastAsia"/>
        </w:rPr>
        <w:t>　受洪水威胁地区的企业、事业单位，应当自筹资金，建设必要的防洪自保工程。</w:t>
      </w:r>
    </w:p>
    <w:p w14:paraId="6126B6F0">
      <w:r>
        <w:rPr>
          <w:rFonts w:hint="eastAsia"/>
        </w:rPr>
        <w:t>各级人民政府应当支持单位和个人按照防洪规划，采取自办、联办等多种形式，建设、修建水利工程和营造护堤、护岸林。</w:t>
      </w:r>
    </w:p>
    <w:p w14:paraId="08805690"/>
    <w:p w14:paraId="15007D5B">
      <w:pPr>
        <w:ind w:firstLine="0" w:firstLineChars="0"/>
        <w:jc w:val="center"/>
        <w:rPr>
          <w:b/>
          <w:sz w:val="28"/>
        </w:rPr>
      </w:pPr>
      <w:r>
        <w:rPr>
          <w:rFonts w:hint="eastAsia"/>
          <w:b/>
          <w:sz w:val="28"/>
        </w:rPr>
        <w:t>第六章　法律责任</w:t>
      </w:r>
    </w:p>
    <w:p w14:paraId="22E0F053"/>
    <w:p w14:paraId="774A67AC">
      <w:pPr>
        <w:ind w:firstLine="422"/>
      </w:pPr>
      <w:r>
        <w:rPr>
          <w:rFonts w:hint="eastAsia"/>
          <w:b/>
        </w:rPr>
        <w:t>第四十六条</w:t>
      </w:r>
      <w:r>
        <w:rPr>
          <w:rFonts w:hint="eastAsia"/>
        </w:rPr>
        <w:t>　违反本办法，依照《防洪法》和本办法追究法律责任。</w:t>
      </w:r>
    </w:p>
    <w:p w14:paraId="17201A34">
      <w:pPr>
        <w:ind w:firstLine="422"/>
      </w:pPr>
      <w:r>
        <w:rPr>
          <w:rFonts w:hint="eastAsia"/>
          <w:b/>
        </w:rPr>
        <w:t>第四十七条</w:t>
      </w:r>
      <w:r>
        <w:rPr>
          <w:rFonts w:hint="eastAsia"/>
        </w:rPr>
        <w:t>　违反本办法第十二条规定，未就洪水对建设项目可能产生的影响和建设项目对防洪可能产生的影响，征求水行政主管部门意见的，责令限期改正。</w:t>
      </w:r>
    </w:p>
    <w:p w14:paraId="17D90DC1">
      <w:pPr>
        <w:ind w:firstLine="422"/>
      </w:pPr>
      <w:r>
        <w:rPr>
          <w:rFonts w:hint="eastAsia"/>
          <w:b/>
        </w:rPr>
        <w:t>第四十八条</w:t>
      </w:r>
      <w:r>
        <w:rPr>
          <w:rFonts w:hint="eastAsia"/>
        </w:rPr>
        <w:t>　违反本办法第十五条规定，防洪工程设施的设计方案，未经水行政主管部门核准擅自施工或者不按照设计方案施工的，由水行政主管部门责令改正；影响防洪的，责令拆除；可以采取补救措施的，责令采取补救措施，并可</w:t>
      </w:r>
      <w:r>
        <w:rPr>
          <w:rFonts w:hint="eastAsia" w:ascii="宋体" w:hAnsi="宋体" w:eastAsia="宋体" w:cs="宋体"/>
        </w:rPr>
        <w:t>以处1万元以上10万元以下</w:t>
      </w:r>
      <w:r>
        <w:rPr>
          <w:rFonts w:hint="eastAsia"/>
        </w:rPr>
        <w:t>罚款。</w:t>
      </w:r>
    </w:p>
    <w:p w14:paraId="11B91DEF">
      <w:pPr>
        <w:ind w:firstLine="422"/>
      </w:pPr>
      <w:r>
        <w:rPr>
          <w:rFonts w:hint="eastAsia"/>
          <w:b/>
        </w:rPr>
        <w:t>第四十九条</w:t>
      </w:r>
      <w:r>
        <w:rPr>
          <w:rFonts w:hint="eastAsia"/>
        </w:rPr>
        <w:t>　违反本办法第十九条第一款规定，在河道、湖泊管理范围内从事下列行为的，由水行政主管部门给予行政处罚：</w:t>
      </w:r>
    </w:p>
    <w:p w14:paraId="1878479A">
      <w:r>
        <w:rPr>
          <w:rFonts w:hint="eastAsia"/>
        </w:rPr>
        <w:t>（一）建设妨碍行洪的建筑物、构筑物的，责令排除阻碍或者采取其他补救措施，可以处</w:t>
      </w:r>
      <w:r>
        <w:rPr>
          <w:rFonts w:hint="eastAsia" w:ascii="宋体" w:hAnsi="宋体" w:eastAsia="宋体" w:cs="宋体"/>
        </w:rPr>
        <w:t>5万元</w:t>
      </w:r>
      <w:r>
        <w:rPr>
          <w:rFonts w:hint="eastAsia"/>
        </w:rPr>
        <w:t>以下罚款；</w:t>
      </w:r>
    </w:p>
    <w:p w14:paraId="310A238F">
      <w:pPr>
        <w:rPr>
          <w:rFonts w:hint="eastAsia" w:ascii="宋体" w:hAnsi="宋体" w:eastAsia="宋体" w:cs="宋体"/>
        </w:rPr>
      </w:pPr>
      <w:r>
        <w:rPr>
          <w:rFonts w:hint="eastAsia"/>
        </w:rPr>
        <w:t>（二）</w:t>
      </w:r>
      <w:r>
        <w:rPr>
          <w:rFonts w:hint="eastAsia" w:ascii="宋体" w:hAnsi="宋体" w:eastAsia="宋体" w:cs="宋体"/>
        </w:rPr>
        <w:t>倾倒垃圾和渣土、堆放非防汛物资的，责令限期清除，恢复原状，并按照每立方米处以1000元罚款，逾期未清除的，每超过一天每立方米加罚50元；对直接责任人处以200元罚款；</w:t>
      </w:r>
    </w:p>
    <w:p w14:paraId="490013C7">
      <w:pPr>
        <w:rPr>
          <w:rFonts w:hint="eastAsia" w:ascii="宋体" w:hAnsi="宋体" w:eastAsia="宋体" w:cs="宋体"/>
        </w:rPr>
      </w:pPr>
      <w:r>
        <w:rPr>
          <w:rFonts w:hint="eastAsia" w:ascii="宋体" w:hAnsi="宋体" w:eastAsia="宋体" w:cs="宋体"/>
        </w:rPr>
        <w:t>（三）在行洪河道内种植有碍行洪的树木和高杆作物的，除责令停止违法行为、恢复原状外，可以处5000元以下罚款；</w:t>
      </w:r>
    </w:p>
    <w:p w14:paraId="46ED6341">
      <w:pPr>
        <w:rPr>
          <w:rFonts w:hint="eastAsia" w:ascii="宋体" w:hAnsi="宋体" w:eastAsia="宋体" w:cs="宋体"/>
        </w:rPr>
      </w:pPr>
      <w:r>
        <w:rPr>
          <w:rFonts w:hint="eastAsia" w:ascii="宋体" w:hAnsi="宋体" w:eastAsia="宋体" w:cs="宋体"/>
        </w:rPr>
        <w:t>（四）在堤防和护堤地范围内，放牧、晒粮的，可以处500元以下罚款；开渠、打井、挖窖、葬坟的，责令恢复原状，可以处1000元以上5000元以下罚款；开办集市贸易的，责令改正，可以处1000元以上2万元以下罚款；采砂、取土、存放物料、开采地下资源、进行考古发掘的，责令停止侵害，可以处1万元以上5万元以下罚款。</w:t>
      </w:r>
    </w:p>
    <w:p w14:paraId="674A27B6">
      <w:pPr>
        <w:ind w:firstLine="422"/>
        <w:rPr>
          <w:rFonts w:hint="eastAsia" w:ascii="宋体" w:hAnsi="宋体" w:eastAsia="宋体" w:cs="宋体"/>
        </w:rPr>
      </w:pPr>
      <w:r>
        <w:rPr>
          <w:rFonts w:hint="eastAsia"/>
          <w:b/>
        </w:rPr>
        <w:t>第五十条</w:t>
      </w:r>
      <w:r>
        <w:rPr>
          <w:rFonts w:hint="eastAsia"/>
        </w:rPr>
        <w:t>　违反本办法第十九条第二款规定，未经批准擅自在河道、湖泊管理范围内采砂、取土、开采地下资源、进行考古发掘的，由水行政主管部门责令停止违法行为，恢复原状或者采取其他补救措施，可</w:t>
      </w:r>
      <w:r>
        <w:rPr>
          <w:rFonts w:hint="eastAsia" w:ascii="宋体" w:hAnsi="宋体" w:eastAsia="宋体" w:cs="宋体"/>
        </w:rPr>
        <w:t>以处1万元以上5万元以下罚款。</w:t>
      </w:r>
    </w:p>
    <w:p w14:paraId="65D801DE">
      <w:pPr>
        <w:ind w:firstLine="422"/>
      </w:pPr>
      <w:r>
        <w:rPr>
          <w:rFonts w:hint="eastAsia"/>
          <w:b/>
        </w:rPr>
        <w:t>第五十一条</w:t>
      </w:r>
      <w:r>
        <w:rPr>
          <w:rFonts w:hint="eastAsia"/>
        </w:rPr>
        <w:t>　违反本办法第二十条规定，在水库、闸坝管理和保护范围内以及河道、湖泊保护范围内，进行爆破、打井、采石、取土等危害防洪工程设施安全的活动的，由水行政主管部门责令停止违法行为，恢复原状或者采取其他补救措施，</w:t>
      </w:r>
      <w:r>
        <w:rPr>
          <w:rFonts w:hint="eastAsia" w:ascii="宋体" w:hAnsi="宋体" w:eastAsia="宋体" w:cs="宋体"/>
        </w:rPr>
        <w:t>可以处1万元以上5万元</w:t>
      </w:r>
      <w:r>
        <w:rPr>
          <w:rFonts w:hint="eastAsia"/>
        </w:rPr>
        <w:t>以下罚款。</w:t>
      </w:r>
    </w:p>
    <w:p w14:paraId="63F4BE52">
      <w:pPr>
        <w:ind w:firstLine="422"/>
      </w:pPr>
      <w:r>
        <w:rPr>
          <w:rFonts w:hint="eastAsia"/>
          <w:b/>
        </w:rPr>
        <w:t>第五十二条</w:t>
      </w:r>
      <w:r>
        <w:rPr>
          <w:rFonts w:hint="eastAsia"/>
        </w:rPr>
        <w:t>　违反本办法第二十二条规定，在堤路结合的大坝、堤防、闸桥行驶超重车辆，在非堤路结合的大坝、堤防、闸桥行驶机动车辆</w:t>
      </w:r>
      <w:r>
        <w:rPr>
          <w:rFonts w:hint="eastAsia" w:ascii="宋体" w:hAnsi="宋体" w:eastAsia="宋体" w:cs="宋体"/>
        </w:rPr>
        <w:t>的，由水行政主管部门处以200元以</w:t>
      </w:r>
      <w:r>
        <w:rPr>
          <w:rFonts w:hint="eastAsia"/>
        </w:rPr>
        <w:t>下罚款。</w:t>
      </w:r>
    </w:p>
    <w:p w14:paraId="0E30045B">
      <w:pPr>
        <w:ind w:firstLine="422"/>
      </w:pPr>
      <w:r>
        <w:rPr>
          <w:rFonts w:hint="eastAsia"/>
          <w:b/>
        </w:rPr>
        <w:t>第五十三条</w:t>
      </w:r>
      <w:r>
        <w:rPr>
          <w:rFonts w:hint="eastAsia"/>
        </w:rPr>
        <w:t>　国家工作人员违反《防洪法》和本办法，依照《防洪法》第六十五条规定，构成犯罪的，依法追究刑事责任；尚不构成犯罪的，给予行政处分。</w:t>
      </w:r>
    </w:p>
    <w:p w14:paraId="0FA8EA68"/>
    <w:p w14:paraId="78F80758">
      <w:pPr>
        <w:ind w:firstLine="0" w:firstLineChars="0"/>
        <w:jc w:val="center"/>
        <w:rPr>
          <w:b/>
          <w:sz w:val="28"/>
        </w:rPr>
      </w:pPr>
      <w:r>
        <w:rPr>
          <w:rFonts w:hint="eastAsia"/>
          <w:b/>
          <w:sz w:val="28"/>
        </w:rPr>
        <w:t>第七章　附　则</w:t>
      </w:r>
    </w:p>
    <w:p w14:paraId="25ABF49C"/>
    <w:p w14:paraId="700DA847">
      <w:pPr>
        <w:ind w:firstLine="422"/>
        <w:rPr>
          <w:rFonts w:hint="eastAsia" w:ascii="宋体" w:hAnsi="宋体" w:eastAsia="宋体" w:cs="宋体"/>
        </w:rPr>
      </w:pPr>
      <w:r>
        <w:rPr>
          <w:rFonts w:hint="eastAsia"/>
          <w:b/>
        </w:rPr>
        <w:t>第五十四条</w:t>
      </w:r>
      <w:r>
        <w:rPr>
          <w:rFonts w:hint="eastAsia"/>
        </w:rPr>
        <w:t>　</w:t>
      </w:r>
      <w:r>
        <w:rPr>
          <w:rFonts w:hint="eastAsia" w:ascii="宋体" w:hAnsi="宋体" w:eastAsia="宋体" w:cs="宋体"/>
        </w:rPr>
        <w:t>本办法自2001年6月1日起施行。</w:t>
      </w:r>
    </w:p>
    <w:p w14:paraId="113AE2D6">
      <w:pPr>
        <w:pStyle w:val="4"/>
        <w:pageBreakBefore/>
      </w:pPr>
      <w:bookmarkStart w:id="2795" w:name="_Toc428780901"/>
      <w:bookmarkStart w:id="2796" w:name="_Toc426467202"/>
      <w:bookmarkStart w:id="2797" w:name="_Toc428781950"/>
      <w:r>
        <w:rPr>
          <w:rFonts w:hint="eastAsia"/>
        </w:rPr>
        <w:t>北京市实施《中华人民共和国气象法》办法</w:t>
      </w:r>
      <w:bookmarkEnd w:id="2795"/>
      <w:bookmarkEnd w:id="2796"/>
      <w:bookmarkEnd w:id="2797"/>
    </w:p>
    <w:p w14:paraId="71020751">
      <w:pPr>
        <w:ind w:left="630" w:leftChars="300" w:right="630" w:rightChars="300"/>
        <w:rPr>
          <w:rFonts w:ascii="楷体" w:hAnsi="楷体" w:eastAsia="楷体"/>
        </w:rPr>
      </w:pPr>
      <w:r>
        <w:rPr>
          <w:rFonts w:hint="eastAsia" w:ascii="楷体" w:hAnsi="楷体" w:eastAsia="楷体"/>
        </w:rPr>
        <w:t>（2005年12月1日北京市第十二届人民代表大会常务委员会第二十四次会议通过）</w:t>
      </w:r>
    </w:p>
    <w:p w14:paraId="4660F783"/>
    <w:p w14:paraId="3A9DCBC6">
      <w:pPr>
        <w:ind w:firstLine="0" w:firstLineChars="0"/>
        <w:jc w:val="center"/>
        <w:rPr>
          <w:b/>
          <w:sz w:val="28"/>
        </w:rPr>
      </w:pPr>
      <w:r>
        <w:rPr>
          <w:rFonts w:hint="eastAsia"/>
          <w:b/>
          <w:sz w:val="28"/>
        </w:rPr>
        <w:t>第一章　总　则</w:t>
      </w:r>
    </w:p>
    <w:p w14:paraId="193B9440"/>
    <w:p w14:paraId="1EDE3020">
      <w:pPr>
        <w:ind w:firstLine="422"/>
      </w:pPr>
      <w:r>
        <w:rPr>
          <w:rFonts w:hint="eastAsia"/>
          <w:b/>
        </w:rPr>
        <w:t>第一条</w:t>
      </w:r>
      <w:r>
        <w:rPr>
          <w:rFonts w:hint="eastAsia"/>
        </w:rPr>
        <w:t xml:space="preserve">  为了实施《中华人民共和国气象法》，结合本市实际情况，制定本办法。</w:t>
      </w:r>
    </w:p>
    <w:p w14:paraId="12E786CE">
      <w:pPr>
        <w:ind w:firstLine="422"/>
      </w:pPr>
      <w:r>
        <w:rPr>
          <w:rFonts w:hint="eastAsia"/>
          <w:b/>
        </w:rPr>
        <w:t>第二条</w:t>
      </w:r>
      <w:r>
        <w:rPr>
          <w:rFonts w:hint="eastAsia"/>
        </w:rPr>
        <w:t xml:space="preserve">  在本市行政区域内从事气象探测、预报、服务和气象灾害防御、气候资源利用、气象科学技术研究等活动，应当遵守《中华人民共和国气象法》和本办法。</w:t>
      </w:r>
    </w:p>
    <w:p w14:paraId="791FEA74">
      <w:pPr>
        <w:ind w:firstLine="422"/>
      </w:pPr>
      <w:r>
        <w:rPr>
          <w:rFonts w:hint="eastAsia"/>
          <w:b/>
        </w:rPr>
        <w:t>第三条</w:t>
      </w:r>
      <w:r>
        <w:rPr>
          <w:rFonts w:hint="eastAsia"/>
        </w:rPr>
        <w:t xml:space="preserve">  气象事业是科技型、基础性社会公益事业。本市气象工作应当坚持公共气象、安全气象和资源气象的发展方向，为首都经济建设、社会发展、人民生活和国际交往以及重大活动提供气象服务。</w:t>
      </w:r>
    </w:p>
    <w:p w14:paraId="34FF9532">
      <w:pPr>
        <w:ind w:firstLine="422"/>
      </w:pPr>
      <w:r>
        <w:rPr>
          <w:rFonts w:hint="eastAsia"/>
          <w:b/>
        </w:rPr>
        <w:t>第四条</w:t>
      </w:r>
      <w:r>
        <w:rPr>
          <w:rFonts w:hint="eastAsia"/>
        </w:rPr>
        <w:t xml:space="preserve">  市和区、县人民政府应当加强对气象工作的领导和协调，将气象事业依法纳入同级国民经济和社会发展规划及财政预算，以保障其充分发挥为社会公众、政府决策和经济发展服务的功能。市和区、县人民政府根据本地区社会经济发展的需要所建设的地方气象事业项目，其投资主要由本级财政承担。</w:t>
      </w:r>
    </w:p>
    <w:p w14:paraId="1A980CA0">
      <w:pPr>
        <w:ind w:firstLine="422"/>
      </w:pPr>
      <w:r>
        <w:rPr>
          <w:rFonts w:hint="eastAsia"/>
          <w:b/>
        </w:rPr>
        <w:t>第五条</w:t>
      </w:r>
      <w:r>
        <w:rPr>
          <w:rFonts w:hint="eastAsia"/>
        </w:rPr>
        <w:t xml:space="preserve">  市和区、县气象主管机构在上级气象主管机构和本级人民政府的领导下，负责本行政区域内的气象工作。未设置气象主管机构的区，其气象工作由市气象主管机构负责。发展改革、财政、规划、建设、水务、公安、安全生产、广播电视、通信等行政部门应当按照各自的职责做好与气象相关的工作。</w:t>
      </w:r>
    </w:p>
    <w:p w14:paraId="51D29AD3">
      <w:pPr>
        <w:ind w:firstLine="422"/>
      </w:pPr>
      <w:r>
        <w:rPr>
          <w:rFonts w:hint="eastAsia"/>
          <w:b/>
        </w:rPr>
        <w:t>第六条</w:t>
      </w:r>
      <w:r>
        <w:rPr>
          <w:rFonts w:hint="eastAsia"/>
        </w:rPr>
        <w:t xml:space="preserve">  从事气象业务活动，应当遵守国家和本市制定的气象技术标准、规范和规程。</w:t>
      </w:r>
    </w:p>
    <w:p w14:paraId="081C1CAA">
      <w:r>
        <w:rPr>
          <w:rFonts w:hint="eastAsia"/>
        </w:rPr>
        <w:t>本市气象技术地方标准由市标准化行政部门组织制定和发布；气象技术规范和规程由市气象主管机构会同有关部门制定。</w:t>
      </w:r>
    </w:p>
    <w:p w14:paraId="782741A6">
      <w:pPr>
        <w:ind w:firstLine="422"/>
      </w:pPr>
      <w:r>
        <w:rPr>
          <w:rFonts w:hint="eastAsia"/>
          <w:b/>
        </w:rPr>
        <w:t>第七条</w:t>
      </w:r>
      <w:r>
        <w:rPr>
          <w:rFonts w:hint="eastAsia"/>
        </w:rPr>
        <w:t xml:space="preserve">  本市鼓励和支持气象科学技术研究、气象科学知识普及，培养气象人才，推广先进的气象科学技术，保护气象科技成果，加强国际气象合作与交流，发展气象信息产业，提高气象工作水平。对在气象工作中做出突出贡献的单位和个人，由市和区、县人民政府给予表彰和奖励。</w:t>
      </w:r>
    </w:p>
    <w:p w14:paraId="158CF682"/>
    <w:p w14:paraId="22115F5C">
      <w:pPr>
        <w:ind w:firstLine="0" w:firstLineChars="0"/>
        <w:jc w:val="center"/>
        <w:rPr>
          <w:b/>
          <w:sz w:val="28"/>
        </w:rPr>
      </w:pPr>
      <w:r>
        <w:rPr>
          <w:rFonts w:hint="eastAsia"/>
          <w:b/>
          <w:sz w:val="28"/>
        </w:rPr>
        <w:t>第二章  气象设施建设与气象</w:t>
      </w:r>
    </w:p>
    <w:p w14:paraId="020B6B6F">
      <w:pPr>
        <w:ind w:firstLine="0" w:firstLineChars="0"/>
        <w:jc w:val="center"/>
        <w:rPr>
          <w:b/>
          <w:sz w:val="28"/>
        </w:rPr>
      </w:pPr>
      <w:r>
        <w:rPr>
          <w:rFonts w:hint="eastAsia"/>
          <w:b/>
          <w:sz w:val="28"/>
        </w:rPr>
        <w:t xml:space="preserve">  探测环境保护</w:t>
      </w:r>
    </w:p>
    <w:p w14:paraId="0138F22B"/>
    <w:p w14:paraId="1BDB8D72">
      <w:pPr>
        <w:ind w:firstLine="422"/>
      </w:pPr>
      <w:r>
        <w:rPr>
          <w:rFonts w:hint="eastAsia"/>
          <w:b/>
        </w:rPr>
        <w:t>第八条</w:t>
      </w:r>
      <w:r>
        <w:rPr>
          <w:rFonts w:hint="eastAsia"/>
        </w:rPr>
        <w:t xml:space="preserve">  市气象主管机构根据国家气象设施建设规划，组织有关部门编制本市气象设施建设规划，报市人民政府批准后实施；区、县气象主管机构根据本市气象设施建设规划，组织有关部门编制本地区气象设施建设规划，报本级人民政府批准后实施，并送市气象主管机构备案。气象设施建设规划应当与城市规划相衔接。</w:t>
      </w:r>
    </w:p>
    <w:p w14:paraId="1FC928D2">
      <w:pPr>
        <w:ind w:firstLine="422"/>
      </w:pPr>
      <w:r>
        <w:rPr>
          <w:rFonts w:hint="eastAsia"/>
          <w:b/>
        </w:rPr>
        <w:t>第九条</w:t>
      </w:r>
      <w:r>
        <w:rPr>
          <w:rFonts w:hint="eastAsia"/>
        </w:rPr>
        <w:t xml:space="preserve">  市和区、县人民政府应当加强规划市区、新城、人口居住密集区、开发区和气象灾害多发区等重点区域的气象设施建设。</w:t>
      </w:r>
    </w:p>
    <w:p w14:paraId="67F61BAF">
      <w:pPr>
        <w:ind w:firstLine="422"/>
      </w:pPr>
      <w:r>
        <w:rPr>
          <w:rFonts w:hint="eastAsia"/>
          <w:b/>
        </w:rPr>
        <w:t>第十条</w:t>
      </w:r>
      <w:r>
        <w:rPr>
          <w:rFonts w:hint="eastAsia"/>
        </w:rPr>
        <w:t xml:space="preserve">  本市依法保护气象设施，任何组织或者个人不得侵占、损毁或者擅自移动气象设施。确因实施城市规划或者国家重点工程建设，需要迁移国家基准气候站、基本气象站的，建设单位应当报经国务院气象主管机构批准；需要迁移其他气象台站的，建设单位应当报经市气象主管机构批准。迁建费用由建设单位承担。迁移气象台站应当按照国家有关规定进行对比观测。迁移后的气象台站应当符合城市规划、气象设施建设布局以及气象探测环境的保护标准。</w:t>
      </w:r>
    </w:p>
    <w:p w14:paraId="065A82CA">
      <w:pPr>
        <w:ind w:firstLine="422"/>
      </w:pPr>
      <w:r>
        <w:rPr>
          <w:rFonts w:hint="eastAsia"/>
          <w:b/>
        </w:rPr>
        <w:t>第十一条</w:t>
      </w:r>
      <w:r>
        <w:rPr>
          <w:rFonts w:hint="eastAsia"/>
        </w:rPr>
        <w:t xml:space="preserve">  本市依法保护气象探测环境。市和区、县人民政府应当按照法定的保护标准划定气象探测环境的保护范围。气象探测环境保护范围应当向社会公布，并纳入城市规划或者村镇规划。气象台站的气象探测环境不符合保护标准的，由市气象主管机构提出意见，市或者区、县人民政府组织有关部门进行治理。</w:t>
      </w:r>
    </w:p>
    <w:p w14:paraId="7CC13421">
      <w:pPr>
        <w:ind w:firstLine="422"/>
      </w:pPr>
      <w:r>
        <w:rPr>
          <w:rFonts w:hint="eastAsia"/>
          <w:b/>
        </w:rPr>
        <w:t>第十二条</w:t>
      </w:r>
      <w:r>
        <w:rPr>
          <w:rFonts w:hint="eastAsia"/>
        </w:rPr>
        <w:t xml:space="preserve">  新建、扩建、改建建设工程，应当避免危害气象探测环境；确实无法避免的，建设单位应当依法事先征得气象主管机构的同意，并采取相应的措施后，方可建设。</w:t>
      </w:r>
    </w:p>
    <w:p w14:paraId="13B5DAF9">
      <w:pPr>
        <w:ind w:firstLine="422"/>
      </w:pPr>
      <w:r>
        <w:rPr>
          <w:rFonts w:hint="eastAsia"/>
          <w:b/>
        </w:rPr>
        <w:t>第十三条</w:t>
      </w:r>
      <w:r>
        <w:rPr>
          <w:rFonts w:hint="eastAsia"/>
        </w:rPr>
        <w:t xml:space="preserve">  在气象探测环境保护范围内，禁止从事下列活动：</w:t>
      </w:r>
    </w:p>
    <w:p w14:paraId="0843AD64">
      <w:r>
        <w:rPr>
          <w:rFonts w:hint="eastAsia"/>
        </w:rPr>
        <w:t>（一）设置障碍物，进行爆破、采砂石、焚烧等；</w:t>
      </w:r>
    </w:p>
    <w:p w14:paraId="0A3D03F7">
      <w:r>
        <w:rPr>
          <w:rFonts w:hint="eastAsia"/>
        </w:rPr>
        <w:t>（二）种植影响气象探测的农作物、树木；</w:t>
      </w:r>
    </w:p>
    <w:p w14:paraId="43ECF1EA">
      <w:r>
        <w:rPr>
          <w:rFonts w:hint="eastAsia"/>
        </w:rPr>
        <w:t>（三）设置影响气象探测设施工作效能的高频电磁辐射装置；</w:t>
      </w:r>
    </w:p>
    <w:p w14:paraId="14892B4D">
      <w:r>
        <w:rPr>
          <w:rFonts w:hint="eastAsia"/>
        </w:rPr>
        <w:t>（四）设置影响气象探测的热源、污染源等源体；</w:t>
      </w:r>
    </w:p>
    <w:p w14:paraId="4502B802">
      <w:r>
        <w:rPr>
          <w:rFonts w:hint="eastAsia"/>
        </w:rPr>
        <w:t>（五）其他影响气象探测的活动。</w:t>
      </w:r>
    </w:p>
    <w:p w14:paraId="5937AB90"/>
    <w:p w14:paraId="33A944BB">
      <w:pPr>
        <w:ind w:firstLine="0" w:firstLineChars="0"/>
        <w:jc w:val="center"/>
        <w:rPr>
          <w:b/>
          <w:sz w:val="28"/>
        </w:rPr>
      </w:pPr>
      <w:r>
        <w:rPr>
          <w:rFonts w:hint="eastAsia"/>
          <w:b/>
          <w:sz w:val="28"/>
        </w:rPr>
        <w:t>第三章  气象预报与灾害性天气警报</w:t>
      </w:r>
    </w:p>
    <w:p w14:paraId="36575229"/>
    <w:p w14:paraId="65FB7641">
      <w:pPr>
        <w:ind w:firstLine="422"/>
      </w:pPr>
      <w:r>
        <w:rPr>
          <w:rFonts w:hint="eastAsia"/>
          <w:b/>
        </w:rPr>
        <w:t>第十四条</w:t>
      </w:r>
      <w:r>
        <w:rPr>
          <w:rFonts w:hint="eastAsia"/>
        </w:rPr>
        <w:t xml:space="preserve">  本市公众气象预报和灾害性天气警报由气象主管机构所属的气象台站按照职责统一发布。其他任何组织或者个人不得向社会发布公众气象预报和灾害性天气警报。市和区、县气象主管机构所属的气象台站（以下简称本市气象台站）应当提高公众气象预报和灾害性天气警报的准确性、及时性和服务水平。本市的公众气象预报发布时间应当向社会公布。</w:t>
      </w:r>
    </w:p>
    <w:p w14:paraId="47981191">
      <w:pPr>
        <w:ind w:firstLine="422"/>
      </w:pPr>
      <w:r>
        <w:rPr>
          <w:rFonts w:hint="eastAsia"/>
          <w:b/>
        </w:rPr>
        <w:t>第十五条</w:t>
      </w:r>
      <w:r>
        <w:rPr>
          <w:rFonts w:hint="eastAsia"/>
        </w:rPr>
        <w:t xml:space="preserve">  本市气象台站应当为国家和本市举办的重大活动提供定时、定点气象预报，并根据天气变化情况及时补充或者订正。</w:t>
      </w:r>
    </w:p>
    <w:p w14:paraId="67B07CEE">
      <w:pPr>
        <w:ind w:firstLine="422"/>
      </w:pPr>
      <w:r>
        <w:rPr>
          <w:rFonts w:hint="eastAsia"/>
          <w:b/>
        </w:rPr>
        <w:t>第十六条</w:t>
      </w:r>
      <w:r>
        <w:rPr>
          <w:rFonts w:hint="eastAsia"/>
        </w:rPr>
        <w:t xml:space="preserve">  市和区、县气象主管机构应当采取多种形式，方便公众查询和获取气象信息。本市气象台站应当根据当地农业生产的特点和需要，及时主动提供气象信息服务。</w:t>
      </w:r>
    </w:p>
    <w:p w14:paraId="5B971A1A">
      <w:pPr>
        <w:ind w:firstLine="422"/>
      </w:pPr>
      <w:r>
        <w:rPr>
          <w:rFonts w:hint="eastAsia"/>
          <w:b/>
        </w:rPr>
        <w:t>第十七条</w:t>
      </w:r>
      <w:r>
        <w:rPr>
          <w:rFonts w:hint="eastAsia"/>
        </w:rPr>
        <w:t xml:space="preserve">  本市气象台站应当根据需要，发布城市环境、交通、旅游、农业和火险气象等级等专业气象预报。</w:t>
      </w:r>
    </w:p>
    <w:p w14:paraId="603677E8">
      <w:pPr>
        <w:ind w:firstLine="422"/>
      </w:pPr>
      <w:r>
        <w:rPr>
          <w:rFonts w:hint="eastAsia"/>
          <w:b/>
        </w:rPr>
        <w:t>第十八条</w:t>
      </w:r>
      <w:r>
        <w:rPr>
          <w:rFonts w:hint="eastAsia"/>
        </w:rPr>
        <w:t xml:space="preserve">  各级广播、电视台站和市人民政府指定的报纸、网站，应当安排专门的时间、频率、频道或者版面，每天播发或者刊登公众气象预报或者灾害性天气警报。广播、电视播出单位应当根据本地区公众的视听习惯和收视效果确定气象预报节目的播发时间。因特殊情况确需改变播发时间的，应当事先征得有关气象台站的同意；对国计民生可能产生重大影响的灾害性天气警报和补充、订正的气象预报，应当及时增播或者插播。本市气象台站负责制作气象预报节目，并应当保证其制作的气象预报节目的质量。</w:t>
      </w:r>
    </w:p>
    <w:p w14:paraId="046BDC3D">
      <w:pPr>
        <w:ind w:firstLine="422"/>
      </w:pPr>
      <w:r>
        <w:rPr>
          <w:rFonts w:hint="eastAsia"/>
          <w:b/>
        </w:rPr>
        <w:t>第十九条</w:t>
      </w:r>
      <w:r>
        <w:rPr>
          <w:rFonts w:hint="eastAsia"/>
        </w:rPr>
        <w:t xml:space="preserve">  广播、电视、报纸、电信、网站等媒体以及其他信息载体向社会传播本市气象预报和灾害性天气警报的，应当使用气象主管机构所属的气象台站直接提供的适时气象信息，并标明发布时间和气象台站的名称。通过传播气象信息获得的收益，应当提取一部分支持气象事业的发展。</w:t>
      </w:r>
    </w:p>
    <w:p w14:paraId="21430C00">
      <w:pPr>
        <w:ind w:firstLine="422"/>
      </w:pPr>
      <w:r>
        <w:rPr>
          <w:rFonts w:hint="eastAsia"/>
          <w:b/>
        </w:rPr>
        <w:t>第二十条</w:t>
      </w:r>
      <w:r>
        <w:rPr>
          <w:rFonts w:hint="eastAsia"/>
        </w:rPr>
        <w:t xml:space="preserve">  无线电管理机构和有关电信运营单位应当保障气象通信畅通，准确、及时地传递气象情报、气象预报和灾害性天气警报。气象无线电专用频道和信道受法律保护，任何组织或者个人不得挤占和干扰。</w:t>
      </w:r>
    </w:p>
    <w:p w14:paraId="640A833A"/>
    <w:p w14:paraId="364AD7C0">
      <w:pPr>
        <w:ind w:firstLine="0" w:firstLineChars="0"/>
        <w:jc w:val="center"/>
        <w:rPr>
          <w:b/>
          <w:sz w:val="28"/>
        </w:rPr>
      </w:pPr>
      <w:r>
        <w:rPr>
          <w:rFonts w:hint="eastAsia"/>
          <w:b/>
          <w:sz w:val="28"/>
        </w:rPr>
        <w:t>第四章  气象灾害防御</w:t>
      </w:r>
    </w:p>
    <w:p w14:paraId="48B2EC8B"/>
    <w:p w14:paraId="0517EB8B">
      <w:pPr>
        <w:ind w:firstLine="422"/>
      </w:pPr>
      <w:r>
        <w:rPr>
          <w:rFonts w:hint="eastAsia"/>
          <w:b/>
        </w:rPr>
        <w:t>第二十一条</w:t>
      </w:r>
      <w:r>
        <w:rPr>
          <w:rFonts w:hint="eastAsia"/>
        </w:rPr>
        <w:t xml:space="preserve">  市和区、县人民政府应当加强气象灾害监测和预警系统建设，组织气象主管机构和其他有关部门，结合本地区气象灾害的特点，编制气象灾害防御规划，并采取有效措施，提高防御气象灾害的能力。气象灾害防御规划应当主要包括以下内容：</w:t>
      </w:r>
    </w:p>
    <w:p w14:paraId="4DF28383">
      <w:r>
        <w:rPr>
          <w:rFonts w:hint="eastAsia"/>
        </w:rPr>
        <w:t>（一）气象灾害防御的原则和目标；</w:t>
      </w:r>
    </w:p>
    <w:p w14:paraId="5D3584E1">
      <w:r>
        <w:rPr>
          <w:rFonts w:hint="eastAsia"/>
        </w:rPr>
        <w:t>（二）气象灾害状况、发展趋势预测和评估；</w:t>
      </w:r>
    </w:p>
    <w:p w14:paraId="1A581D30">
      <w:r>
        <w:rPr>
          <w:rFonts w:hint="eastAsia"/>
        </w:rPr>
        <w:t>（三）气象灾害易发区域和重点防御区域；</w:t>
      </w:r>
    </w:p>
    <w:p w14:paraId="591531C5">
      <w:r>
        <w:rPr>
          <w:rFonts w:hint="eastAsia"/>
        </w:rPr>
        <w:t>（四）气象灾害防御的主要任务和措施；</w:t>
      </w:r>
    </w:p>
    <w:p w14:paraId="37EB0FDD">
      <w:r>
        <w:rPr>
          <w:rFonts w:hint="eastAsia"/>
        </w:rPr>
        <w:t>（五）气象灾害防御设施建设。</w:t>
      </w:r>
    </w:p>
    <w:p w14:paraId="322EC015">
      <w:pPr>
        <w:ind w:firstLine="422"/>
      </w:pPr>
      <w:r>
        <w:rPr>
          <w:rFonts w:hint="eastAsia"/>
          <w:b/>
        </w:rPr>
        <w:t>第二十二条</w:t>
      </w:r>
      <w:r>
        <w:rPr>
          <w:rFonts w:hint="eastAsia"/>
        </w:rPr>
        <w:t xml:space="preserve">  市和区、县人民政府应当根据防御气象灾害的需要和气象灾害防御规划，制定气象灾害应急预案，并根据气象灾害的严重性和紧急程度启动相应的应急预案，避免或者减轻气象灾害。</w:t>
      </w:r>
    </w:p>
    <w:p w14:paraId="7EF8709D">
      <w:pPr>
        <w:ind w:firstLine="422"/>
      </w:pPr>
      <w:r>
        <w:rPr>
          <w:rFonts w:hint="eastAsia"/>
          <w:b/>
        </w:rPr>
        <w:t>第二十三条</w:t>
      </w:r>
      <w:r>
        <w:rPr>
          <w:rFonts w:hint="eastAsia"/>
        </w:rPr>
        <w:t xml:space="preserve">  市和区、县气象主管机构应当组织对重大灾害性天气的跨地区、跨部门的联合监测和预报工作，并对重大气象灾害作出评估，为本级人民政府组织防御和减轻气象灾害提供决策依据。本市气象台站应当加强对可能影响本地区的暴雨（雪）、寒潮、大风（沙尘暴）、低温、高温、干旱、雷电、冰雹、霜冻和大雾等灾害性天气的监测和预报，并及时报告有关气象主管机构。</w:t>
      </w:r>
    </w:p>
    <w:p w14:paraId="10B5D428">
      <w:pPr>
        <w:ind w:firstLine="422"/>
      </w:pPr>
      <w:r>
        <w:rPr>
          <w:rFonts w:hint="eastAsia"/>
          <w:b/>
        </w:rPr>
        <w:t>第二十四条</w:t>
      </w:r>
      <w:r>
        <w:rPr>
          <w:rFonts w:hint="eastAsia"/>
        </w:rPr>
        <w:t xml:space="preserve">  市气象主管机构所属的气象台站根据灾害性天气的监测和预报，按照国家和本市的有关规定，向社会发布气象灾害预警信号。</w:t>
      </w:r>
    </w:p>
    <w:p w14:paraId="51C275E4">
      <w:pPr>
        <w:ind w:firstLine="422"/>
      </w:pPr>
      <w:r>
        <w:rPr>
          <w:rFonts w:hint="eastAsia"/>
          <w:b/>
        </w:rPr>
        <w:t>第二十五条</w:t>
      </w:r>
      <w:r>
        <w:rPr>
          <w:rFonts w:hint="eastAsia"/>
        </w:rPr>
        <w:t xml:space="preserve">  市和区、县气象主管机构可以利用机场、火车站、主要交通干道、旅游景区、繁华地区以及人员密集的公共场所设有的公共信息播发设施，播发灾害性天气警报信息。</w:t>
      </w:r>
    </w:p>
    <w:p w14:paraId="5E116CF0">
      <w:pPr>
        <w:ind w:firstLine="422"/>
      </w:pPr>
      <w:r>
        <w:rPr>
          <w:rFonts w:hint="eastAsia"/>
          <w:b/>
        </w:rPr>
        <w:t>第二十六条</w:t>
      </w:r>
      <w:r>
        <w:rPr>
          <w:rFonts w:hint="eastAsia"/>
        </w:rPr>
        <w:t xml:space="preserve">  本市鼓励单位和个人及时向当地人民政府或者气象主管机构报告气象灾害。当地人民政府或者气象主管机构接到报告后，应当立即组织人员对气象灾害发生地区进行现场调查，并及时向上级人民政府或者上级气象主管机构报告。</w:t>
      </w:r>
    </w:p>
    <w:p w14:paraId="0FBAD246">
      <w:pPr>
        <w:ind w:firstLine="422"/>
      </w:pPr>
      <w:r>
        <w:rPr>
          <w:rFonts w:hint="eastAsia"/>
          <w:b/>
        </w:rPr>
        <w:t>第二十七条</w:t>
      </w:r>
      <w:r>
        <w:rPr>
          <w:rFonts w:hint="eastAsia"/>
        </w:rPr>
        <w:t xml:space="preserve">  市和区、县人民政府应当根据干旱、冰雹等气象预报或者灾害性天气警报，按照《人工影响天气管理条例》规定，安排人工影响天气作业，防御或者减轻气象灾害。人工影响天气作业的单位应当建立、健全安全作业责任制，采取安全保障措施，确保作业安全。</w:t>
      </w:r>
    </w:p>
    <w:p w14:paraId="2D64486C">
      <w:pPr>
        <w:ind w:firstLine="422"/>
      </w:pPr>
      <w:r>
        <w:rPr>
          <w:rFonts w:hint="eastAsia"/>
          <w:b/>
        </w:rPr>
        <w:t>第二十八条</w:t>
      </w:r>
      <w:r>
        <w:rPr>
          <w:rFonts w:hint="eastAsia"/>
        </w:rPr>
        <w:t xml:space="preserve">  下列场所和设施，应当安装雷电灾害防护装置（以下简称防雷装置）：</w:t>
      </w:r>
    </w:p>
    <w:p w14:paraId="4B750E4A">
      <w:bookmarkStart w:id="2798" w:name="_Toc428780902"/>
      <w:r>
        <w:rPr>
          <w:rFonts w:hint="eastAsia"/>
        </w:rPr>
        <w:t>（一）《建筑物防雷设计规范》规定的第一、二、三类防雷建筑物；</w:t>
      </w:r>
      <w:bookmarkEnd w:id="2798"/>
    </w:p>
    <w:p w14:paraId="5B60F607">
      <w:r>
        <w:rPr>
          <w:rFonts w:hint="eastAsia"/>
        </w:rPr>
        <w:t>（二）计算机信息系统、通讯设施、广播电视设施、自控和监控设施；</w:t>
      </w:r>
    </w:p>
    <w:p w14:paraId="1203A5F2">
      <w:r>
        <w:rPr>
          <w:rFonts w:hint="eastAsia"/>
        </w:rPr>
        <w:t>（三）石油、化工、燃气等易燃易爆物资的生产、储运、输送、销售等场所和设施；</w:t>
      </w:r>
    </w:p>
    <w:p w14:paraId="372C3CD8">
      <w:bookmarkStart w:id="2799" w:name="_Toc428780903"/>
      <w:r>
        <w:rPr>
          <w:rFonts w:hint="eastAsia"/>
        </w:rPr>
        <w:t>（四）露天的大型娱乐、游乐、体育设施；</w:t>
      </w:r>
      <w:bookmarkEnd w:id="2799"/>
    </w:p>
    <w:p w14:paraId="74B937C1">
      <w:r>
        <w:rPr>
          <w:rFonts w:hint="eastAsia"/>
        </w:rPr>
        <w:t>（五）国家和本市规定应当安装防雷装置的其他场所和设施。安装的防雷装置应当符合国家规定的使用要求。</w:t>
      </w:r>
    </w:p>
    <w:p w14:paraId="51C2E168">
      <w:pPr>
        <w:ind w:firstLine="422"/>
      </w:pPr>
      <w:r>
        <w:rPr>
          <w:rFonts w:hint="eastAsia"/>
          <w:b/>
        </w:rPr>
        <w:t>第二十九条</w:t>
      </w:r>
      <w:r>
        <w:rPr>
          <w:rFonts w:hint="eastAsia"/>
        </w:rPr>
        <w:t xml:space="preserve">  防雷工程专业设计和施工、防雷装置检测单位，应当按照国家规定，取得相应的资质，并在资质等级范围内从事设计、施工和检测。防雷装置的设计应当进行审核，未经审核同意，不得交付施工；防雷装置竣工应当进行验收，验收不合格的，不得投入使用。防雷装置的设计审核和竣工验收，按照国家有关规定执行。安装的防雷装置应当按照国家有关规定定期进行检测。</w:t>
      </w:r>
    </w:p>
    <w:p w14:paraId="60CAB862"/>
    <w:p w14:paraId="51D7BAC2">
      <w:pPr>
        <w:ind w:firstLine="0" w:firstLineChars="0"/>
        <w:jc w:val="center"/>
        <w:rPr>
          <w:b/>
          <w:sz w:val="28"/>
        </w:rPr>
      </w:pPr>
      <w:r>
        <w:rPr>
          <w:rFonts w:hint="eastAsia"/>
          <w:b/>
          <w:sz w:val="28"/>
        </w:rPr>
        <w:t>第五章  气候资源开发利用和保护</w:t>
      </w:r>
    </w:p>
    <w:p w14:paraId="6ED1CC15"/>
    <w:p w14:paraId="13F79004">
      <w:pPr>
        <w:ind w:firstLine="422"/>
      </w:pPr>
      <w:r>
        <w:rPr>
          <w:rFonts w:hint="eastAsia"/>
          <w:b/>
        </w:rPr>
        <w:t>第三十条</w:t>
      </w:r>
      <w:r>
        <w:rPr>
          <w:rFonts w:hint="eastAsia"/>
        </w:rPr>
        <w:t xml:space="preserve">  气候资源的开发利用和保护应当坚持可持续发展的原则，合理开发、综合利用、因地制宜、趋利避害，防止破坏气候资源。</w:t>
      </w:r>
    </w:p>
    <w:p w14:paraId="7AA35596">
      <w:pPr>
        <w:ind w:firstLine="422"/>
      </w:pPr>
      <w:r>
        <w:rPr>
          <w:rFonts w:hint="eastAsia"/>
          <w:b/>
        </w:rPr>
        <w:t>第三十一条</w:t>
      </w:r>
      <w:r>
        <w:rPr>
          <w:rFonts w:hint="eastAsia"/>
        </w:rPr>
        <w:t xml:space="preserve">  市和区、县人民政府应当加强气候资源开发利用和保护工作，组织开发和推广效益显著的气候资源利用项目。</w:t>
      </w:r>
    </w:p>
    <w:p w14:paraId="02DD86A2">
      <w:pPr>
        <w:ind w:firstLine="422"/>
      </w:pPr>
      <w:r>
        <w:rPr>
          <w:rFonts w:hint="eastAsia"/>
          <w:b/>
        </w:rPr>
        <w:t>第三十二条</w:t>
      </w:r>
      <w:r>
        <w:rPr>
          <w:rFonts w:hint="eastAsia"/>
        </w:rPr>
        <w:t xml:space="preserve">  市气象主管机构应当加强气候资源的综合调查、区划工作，组织进行气候监测、分析、评价，并对可能引起气候恶化的大气成分进行监测，定期发布全市气候状况公报。</w:t>
      </w:r>
    </w:p>
    <w:p w14:paraId="50E1A162">
      <w:pPr>
        <w:ind w:firstLine="422"/>
      </w:pPr>
      <w:r>
        <w:rPr>
          <w:rFonts w:hint="eastAsia"/>
          <w:b/>
        </w:rPr>
        <w:t>第三十三条</w:t>
      </w:r>
      <w:r>
        <w:rPr>
          <w:rFonts w:hint="eastAsia"/>
        </w:rPr>
        <w:t xml:space="preserve">  本市鼓励单位和个人充分利用太阳能、风能等气候资源；在农村地区因地制宜推广应用户用太阳能、小型风能等技术。</w:t>
      </w:r>
    </w:p>
    <w:p w14:paraId="34EACD03">
      <w:pPr>
        <w:ind w:firstLine="422"/>
      </w:pPr>
      <w:r>
        <w:rPr>
          <w:rFonts w:hint="eastAsia"/>
          <w:b/>
        </w:rPr>
        <w:t>第三十四条</w:t>
      </w:r>
      <w:r>
        <w:rPr>
          <w:rFonts w:hint="eastAsia"/>
        </w:rPr>
        <w:t xml:space="preserve">  城市规划、重点建设工程、重大区域性经济开发项目和大型太阳能、风能等气候资源开发利用项目应当依法进行气候可行性论证。气候可行性论证由气象主管机构组织。</w:t>
      </w:r>
    </w:p>
    <w:p w14:paraId="2D38298E">
      <w:pPr>
        <w:ind w:firstLine="422"/>
      </w:pPr>
      <w:r>
        <w:rPr>
          <w:rFonts w:hint="eastAsia"/>
          <w:b/>
        </w:rPr>
        <w:t>第三十五条</w:t>
      </w:r>
      <w:r>
        <w:rPr>
          <w:rFonts w:hint="eastAsia"/>
        </w:rPr>
        <w:t xml:space="preserve">  人工影响天气机构应当加强人工影响天气的科学技术研究，在适宜的气象条件下实施人工影响天气作业，开发云水资源，增加水资源量。</w:t>
      </w:r>
    </w:p>
    <w:p w14:paraId="1005EC18"/>
    <w:p w14:paraId="0BAECD52">
      <w:pPr>
        <w:ind w:firstLine="0" w:firstLineChars="0"/>
        <w:jc w:val="center"/>
        <w:rPr>
          <w:b/>
          <w:sz w:val="28"/>
        </w:rPr>
      </w:pPr>
      <w:r>
        <w:rPr>
          <w:rFonts w:hint="eastAsia"/>
          <w:b/>
          <w:sz w:val="28"/>
        </w:rPr>
        <w:t>第六章  法律责任</w:t>
      </w:r>
    </w:p>
    <w:p w14:paraId="1D9EFA8C"/>
    <w:p w14:paraId="2A77E3E7">
      <w:pPr>
        <w:ind w:firstLine="422"/>
      </w:pPr>
      <w:r>
        <w:rPr>
          <w:rFonts w:hint="eastAsia"/>
          <w:b/>
        </w:rPr>
        <w:t>第三十六条</w:t>
      </w:r>
      <w:r>
        <w:rPr>
          <w:rFonts w:hint="eastAsia"/>
        </w:rPr>
        <w:t xml:space="preserve">  违反本办法第十条规定，侵占、损毁或者未经批准擅自移动气象设施的，由气象主管机构责令停止违法行为，限期恢复原状或者采取其他补救措施，可以</w:t>
      </w:r>
      <w:r>
        <w:rPr>
          <w:rFonts w:hint="eastAsia" w:ascii="宋体" w:hAnsi="宋体" w:eastAsia="宋体" w:cs="宋体"/>
        </w:rPr>
        <w:t>并处5万</w:t>
      </w:r>
      <w:r>
        <w:rPr>
          <w:rFonts w:hint="eastAsia"/>
        </w:rPr>
        <w:t>元以下罚款；造成损失的，依法承担赔偿责任；构成犯罪的，依法追究刑事责任。</w:t>
      </w:r>
    </w:p>
    <w:p w14:paraId="31C2F576">
      <w:pPr>
        <w:ind w:firstLine="422"/>
      </w:pPr>
      <w:r>
        <w:rPr>
          <w:rFonts w:hint="eastAsia"/>
          <w:b/>
        </w:rPr>
        <w:t>第三十七条</w:t>
      </w:r>
      <w:r>
        <w:rPr>
          <w:rFonts w:hint="eastAsia"/>
        </w:rPr>
        <w:t xml:space="preserve">  违反本办法第十三条规定，在气象探测环境保护范围内从事危害气象探测环境活动的，由气象主管机构责令停止违法行为，限期恢复原状或者采取其他补救措施，可以并处</w:t>
      </w:r>
      <w:r>
        <w:rPr>
          <w:rFonts w:hint="eastAsia" w:ascii="宋体" w:hAnsi="宋体" w:eastAsia="宋体" w:cs="宋体"/>
        </w:rPr>
        <w:t>5</w:t>
      </w:r>
      <w:r>
        <w:rPr>
          <w:rFonts w:hint="eastAsia"/>
        </w:rPr>
        <w:t>万元以下罚款；造成损失的，依法承担赔偿责任；构成犯罪的，依法追究刑事责任。</w:t>
      </w:r>
    </w:p>
    <w:p w14:paraId="3400CA1D">
      <w:pPr>
        <w:ind w:firstLine="422"/>
      </w:pPr>
      <w:r>
        <w:rPr>
          <w:rFonts w:hint="eastAsia"/>
          <w:b/>
        </w:rPr>
        <w:t>第三十八条</w:t>
      </w:r>
      <w:r>
        <w:rPr>
          <w:rFonts w:hint="eastAsia"/>
        </w:rPr>
        <w:t xml:space="preserve">  违反本办法第十四条第一款规定，非法向社会发布公众气象预报或者灾害性天气警报的，由气象主管机构责令改正，给</w:t>
      </w:r>
      <w:r>
        <w:rPr>
          <w:rFonts w:hint="eastAsia" w:ascii="宋体" w:hAnsi="宋体" w:eastAsia="宋体" w:cs="宋体"/>
        </w:rPr>
        <w:t>予警告，可以并处5万元以下罚款。</w:t>
      </w:r>
    </w:p>
    <w:p w14:paraId="25D18E12">
      <w:pPr>
        <w:ind w:firstLine="422"/>
      </w:pPr>
      <w:r>
        <w:rPr>
          <w:rFonts w:hint="eastAsia"/>
          <w:b/>
        </w:rPr>
        <w:t>第三十九条</w:t>
      </w:r>
      <w:r>
        <w:rPr>
          <w:rFonts w:hint="eastAsia"/>
        </w:rPr>
        <w:t xml:space="preserve">  违反本办法第十九条规定，广播、电视、报纸、电信、网站等媒体以及其他信息载体向社会传播本市气象预报或者灾害性天气警报，未使用气象主管机构所属的气象台站直接提供的适时气象信息的，由气象主管机构责令改正，给予警告，可以并处5万元以下罚款。</w:t>
      </w:r>
    </w:p>
    <w:p w14:paraId="3A74CBFB">
      <w:pPr>
        <w:ind w:firstLine="422"/>
      </w:pPr>
      <w:r>
        <w:rPr>
          <w:rFonts w:hint="eastAsia"/>
          <w:b/>
        </w:rPr>
        <w:t>第四十条</w:t>
      </w:r>
      <w:r>
        <w:rPr>
          <w:rFonts w:hint="eastAsia"/>
        </w:rPr>
        <w:t xml:space="preserve">  违反本办法第二十八条规定，应当安装防雷装置而拒不安装的，以及安装不符合使用要求的防雷装置的，由气象主管机构责令限期改正，并按照国家和本市的有关规定依法处理。</w:t>
      </w:r>
    </w:p>
    <w:p w14:paraId="27B16A9C">
      <w:pPr>
        <w:ind w:firstLine="422"/>
      </w:pPr>
      <w:r>
        <w:rPr>
          <w:rFonts w:hint="eastAsia"/>
          <w:b/>
        </w:rPr>
        <w:t>第四十一条</w:t>
      </w:r>
      <w:r>
        <w:rPr>
          <w:rFonts w:hint="eastAsia"/>
        </w:rPr>
        <w:t xml:space="preserve">  市和区、县气象主管机构对违反有关气象法律、法规和规章的行为予以行政处罚的，应当及时将有关单位的违法行为信息记入本市企业信用信息系统。</w:t>
      </w:r>
    </w:p>
    <w:p w14:paraId="0548A474">
      <w:pPr>
        <w:ind w:firstLine="422"/>
      </w:pPr>
      <w:r>
        <w:rPr>
          <w:rFonts w:hint="eastAsia"/>
          <w:b/>
        </w:rPr>
        <w:t>第四十二条</w:t>
      </w:r>
      <w:r>
        <w:rPr>
          <w:rFonts w:hint="eastAsia"/>
        </w:rPr>
        <w:t xml:space="preserve">  本市气象工作人员由于玩忽职守，导致重大漏报、错报公众气象预报、灾害性天气警报，以及丢失或者毁坏原始气象探测资料、伪造气象资料等事故的，依法给予行政处分；致使国家利益和人民生命财产遭受重大损失，构成犯罪的，依法追究刑事责任。</w:t>
      </w:r>
    </w:p>
    <w:p w14:paraId="7C38E4B5"/>
    <w:p w14:paraId="4DA2F08D">
      <w:pPr>
        <w:ind w:firstLine="0" w:firstLineChars="0"/>
        <w:jc w:val="center"/>
        <w:rPr>
          <w:b/>
          <w:sz w:val="28"/>
        </w:rPr>
      </w:pPr>
      <w:r>
        <w:rPr>
          <w:rFonts w:hint="eastAsia"/>
          <w:b/>
          <w:sz w:val="28"/>
        </w:rPr>
        <w:t>第七章  附  则</w:t>
      </w:r>
    </w:p>
    <w:p w14:paraId="43543D60"/>
    <w:p w14:paraId="3DB60D64">
      <w:pPr>
        <w:ind w:firstLine="422"/>
      </w:pPr>
      <w:r>
        <w:rPr>
          <w:rFonts w:hint="eastAsia"/>
          <w:b/>
        </w:rPr>
        <w:t>第四十三条</w:t>
      </w:r>
      <w:r>
        <w:rPr>
          <w:rFonts w:hint="eastAsia"/>
        </w:rPr>
        <w:t xml:space="preserve">  本办法中下列用语的含义是：</w:t>
      </w:r>
    </w:p>
    <w:p w14:paraId="7BA552CA">
      <w:r>
        <w:rPr>
          <w:rFonts w:hint="eastAsia"/>
        </w:rPr>
        <w:t>（一）地方气象事业项目，是指市和区、县人民政府根据本地区经济社会发展的需要建设的气象探测系统、气象通信系统、气象信息处理系统、气象预报系统、气象灾害监测预警系统、气象服务系统、人工影响天气、气候资源开发利用和保护等项目。</w:t>
      </w:r>
    </w:p>
    <w:p w14:paraId="241349B4">
      <w:r>
        <w:rPr>
          <w:rFonts w:hint="eastAsia"/>
        </w:rPr>
        <w:t>（二）气象灾害预警信号，是指由有发布权的气象台站为有效防御和减轻突发气象灾害而向社会公众发布的警报信息图标。</w:t>
      </w:r>
    </w:p>
    <w:p w14:paraId="52C30D27">
      <w:pPr>
        <w:ind w:firstLine="422"/>
      </w:pPr>
      <w:r>
        <w:rPr>
          <w:rFonts w:hint="eastAsia"/>
          <w:b/>
        </w:rPr>
        <w:t>第四十四条</w:t>
      </w:r>
      <w:r>
        <w:rPr>
          <w:rFonts w:hint="eastAsia"/>
        </w:rPr>
        <w:t xml:space="preserve">  </w:t>
      </w:r>
      <w:r>
        <w:rPr>
          <w:rFonts w:hint="eastAsia" w:ascii="宋体" w:hAnsi="宋体" w:eastAsia="宋体" w:cs="宋体"/>
        </w:rPr>
        <w:t>本办法自2006年3月1日起施行。</w:t>
      </w:r>
    </w:p>
    <w:p w14:paraId="1D94F3E8">
      <w:pPr>
        <w:pStyle w:val="4"/>
        <w:pageBreakBefore/>
      </w:pPr>
      <w:bookmarkStart w:id="2800" w:name="_Toc428781951"/>
      <w:bookmarkStart w:id="2801" w:name="_Toc426467203"/>
      <w:bookmarkStart w:id="2802" w:name="_Toc428780904"/>
      <w:r>
        <w:rPr>
          <w:rFonts w:hint="eastAsia"/>
        </w:rPr>
        <w:t>北京市实施《中华人民共和国防震减灾法》规定</w:t>
      </w:r>
      <w:bookmarkEnd w:id="2800"/>
      <w:bookmarkEnd w:id="2801"/>
      <w:bookmarkEnd w:id="2802"/>
    </w:p>
    <w:p w14:paraId="7D371425">
      <w:pPr>
        <w:ind w:left="630" w:leftChars="300" w:right="630" w:rightChars="300"/>
        <w:rPr>
          <w:rFonts w:ascii="楷体" w:hAnsi="楷体" w:eastAsia="楷体"/>
        </w:rPr>
      </w:pPr>
      <w:r>
        <w:rPr>
          <w:rFonts w:hint="eastAsia" w:ascii="楷体" w:hAnsi="楷体" w:eastAsia="楷体"/>
        </w:rPr>
        <w:t>（2013年7月26日北京市第十四届人民代表大会常务委员会第五次会议通过）</w:t>
      </w:r>
    </w:p>
    <w:p w14:paraId="46790DC0"/>
    <w:p w14:paraId="5E60CEE1">
      <w:pPr>
        <w:ind w:firstLine="422"/>
      </w:pPr>
      <w:r>
        <w:rPr>
          <w:rFonts w:hint="eastAsia"/>
          <w:b/>
        </w:rPr>
        <w:t>第一条</w:t>
      </w:r>
      <w:r>
        <w:rPr>
          <w:rFonts w:hint="eastAsia"/>
        </w:rPr>
        <w:t xml:space="preserve">  为了防御和减轻地震灾害，保护人民生命财产安全，根据《中华人民共和国防震减灾法》及相关法律、法规，结合本市实际情况，制定本规定。</w:t>
      </w:r>
    </w:p>
    <w:p w14:paraId="5FF018A8">
      <w:pPr>
        <w:ind w:firstLine="422"/>
      </w:pPr>
      <w:r>
        <w:rPr>
          <w:rFonts w:hint="eastAsia"/>
          <w:b/>
        </w:rPr>
        <w:t>第二条</w:t>
      </w:r>
      <w:r>
        <w:rPr>
          <w:rFonts w:hint="eastAsia"/>
        </w:rPr>
        <w:t xml:space="preserve">  在本市行政区域内进行防震减灾活动，应当遵守相关法律、行政法规及本规定。</w:t>
      </w:r>
    </w:p>
    <w:p w14:paraId="11831859">
      <w:pPr>
        <w:ind w:firstLine="422"/>
      </w:pPr>
      <w:r>
        <w:rPr>
          <w:rFonts w:hint="eastAsia"/>
          <w:b/>
        </w:rPr>
        <w:t>第三条</w:t>
      </w:r>
      <w:r>
        <w:rPr>
          <w:rFonts w:hint="eastAsia"/>
        </w:rPr>
        <w:t xml:space="preserve">  市和区、县人民政府应当加强对防震减灾工作的领导，根据中国地震烈度区划图或者地震动参数区划图、本市地震小区划图、地震安全性评价结果确定的抗震设防要求、国家及本市有关建设工程的强制性标准和本市防震减灾规划，做好抗震设防工作。</w:t>
      </w:r>
    </w:p>
    <w:p w14:paraId="63162AD6">
      <w:r>
        <w:rPr>
          <w:rFonts w:hint="eastAsia"/>
        </w:rPr>
        <w:t>区、县人民政府应当建立健全防震减灾工作机构。乡镇人民政府、街道办事处应当明确专人负责防震减灾工作。</w:t>
      </w:r>
    </w:p>
    <w:p w14:paraId="1724CB85">
      <w:r>
        <w:rPr>
          <w:rFonts w:hint="eastAsia"/>
        </w:rPr>
        <w:t>地震工作主管部门和规划、发展改革、住房城乡建设、农村工作等相关行政部门，按照职责分工做好防震减灾工作。</w:t>
      </w:r>
    </w:p>
    <w:p w14:paraId="38291467">
      <w:pPr>
        <w:ind w:firstLine="422"/>
      </w:pPr>
      <w:r>
        <w:rPr>
          <w:rFonts w:hint="eastAsia"/>
          <w:b/>
        </w:rPr>
        <w:t>第四条</w:t>
      </w:r>
      <w:r>
        <w:rPr>
          <w:rFonts w:hint="eastAsia"/>
        </w:rPr>
        <w:t xml:space="preserve">  市地震工作主管部门应当会同有关部门编制本市防震减灾规划，报市人民政府批准。防震减灾规划应当与国民经济和社会发展规划、城乡规划和土地利用总体规划相衔接。市地震工作主管部门应当根据本市防震减灾规划制定本市年度防震减灾工作计划。</w:t>
      </w:r>
    </w:p>
    <w:p w14:paraId="1DEF5D4A">
      <w:r>
        <w:rPr>
          <w:rFonts w:hint="eastAsia"/>
        </w:rPr>
        <w:t>区、县人民政府应当根据本市防震减灾规划及年度防震减灾工作计划制定区县防震减灾年度工作计划，并组织实施。</w:t>
      </w:r>
    </w:p>
    <w:p w14:paraId="6EE24EC4">
      <w:r>
        <w:rPr>
          <w:rFonts w:hint="eastAsia"/>
        </w:rPr>
        <w:t>市和区、县人民政府应当将防震减灾工作经费列入财政预算，保障防震减灾规划和工作计划的实施。</w:t>
      </w:r>
    </w:p>
    <w:p w14:paraId="5E2239FB">
      <w:pPr>
        <w:ind w:firstLine="422"/>
      </w:pPr>
      <w:r>
        <w:rPr>
          <w:rFonts w:hint="eastAsia"/>
          <w:b/>
        </w:rPr>
        <w:t>第五条</w:t>
      </w:r>
      <w:r>
        <w:rPr>
          <w:rFonts w:hint="eastAsia"/>
        </w:rPr>
        <w:t xml:space="preserve">  市和区、县人民政府应当加强防震减灾知识的宣传和教育工作，增强公民防灾减灾的意识和能力。</w:t>
      </w:r>
    </w:p>
    <w:p w14:paraId="5E2FCBE7">
      <w:pPr>
        <w:ind w:firstLine="422"/>
      </w:pPr>
      <w:r>
        <w:rPr>
          <w:rFonts w:hint="eastAsia"/>
          <w:b/>
        </w:rPr>
        <w:t>第六条</w:t>
      </w:r>
      <w:r>
        <w:rPr>
          <w:rFonts w:hint="eastAsia"/>
        </w:rPr>
        <w:t xml:space="preserve">  地震监测台网实行统一规划，分级、分类管理。</w:t>
      </w:r>
    </w:p>
    <w:p w14:paraId="7CEFB36B">
      <w:r>
        <w:rPr>
          <w:rFonts w:hint="eastAsia"/>
        </w:rPr>
        <w:t>市和区县地震监测台网建设、运行和维护的经费，列入财政预算。</w:t>
      </w:r>
    </w:p>
    <w:p w14:paraId="35EEFBAC">
      <w:pPr>
        <w:ind w:firstLine="422"/>
      </w:pPr>
      <w:r>
        <w:rPr>
          <w:rFonts w:hint="eastAsia"/>
          <w:b/>
        </w:rPr>
        <w:t>第七条</w:t>
      </w:r>
      <w:r>
        <w:rPr>
          <w:rFonts w:hint="eastAsia"/>
        </w:rPr>
        <w:t xml:space="preserve">  市和区县地震工作主管部门应当加强对强震动监测设施建设的监督管理，并对监测设施建设给予技术指导。</w:t>
      </w:r>
    </w:p>
    <w:p w14:paraId="737819FE">
      <w:r>
        <w:rPr>
          <w:rFonts w:hint="eastAsia"/>
        </w:rPr>
        <w:t>新建、扩建、改建下列建设工程，应当建设强震动监测设施，并符合同步建设的基础设施、公共服务设施规划管理的规定，建设费用由建设单位承担：</w:t>
      </w:r>
    </w:p>
    <w:p w14:paraId="0BF1A9BE">
      <w:bookmarkStart w:id="2803" w:name="_Toc428780905"/>
      <w:r>
        <w:rPr>
          <w:rFonts w:hint="eastAsia"/>
        </w:rPr>
        <w:t>（一）特大桥梁、大中型水库大坝；</w:t>
      </w:r>
      <w:bookmarkEnd w:id="2803"/>
    </w:p>
    <w:p w14:paraId="47768A90">
      <w:r>
        <w:rPr>
          <w:rFonts w:hint="eastAsia"/>
        </w:rPr>
        <w:t>（二）供水、供电、供气、供热主干线及大型交通、通信枢纽等城市基础设施主体工程；</w:t>
      </w:r>
    </w:p>
    <w:p w14:paraId="0AF74A5C">
      <w:pPr>
        <w:rPr>
          <w:rFonts w:hint="eastAsia"/>
        </w:rPr>
      </w:pPr>
      <w:bookmarkStart w:id="2804" w:name="_Toc428780906"/>
      <w:r>
        <w:rPr>
          <w:rFonts w:hint="eastAsia"/>
        </w:rPr>
        <w:t>（三）</w:t>
      </w:r>
      <w:r>
        <w:rPr>
          <w:rFonts w:hint="eastAsia" w:ascii="宋体" w:hAnsi="宋体" w:eastAsia="宋体" w:cs="宋体"/>
        </w:rPr>
        <w:t>120米</w:t>
      </w:r>
      <w:r>
        <w:rPr>
          <w:rFonts w:hint="eastAsia"/>
        </w:rPr>
        <w:t>以上的高层建筑；</w:t>
      </w:r>
      <w:bookmarkEnd w:id="2804"/>
    </w:p>
    <w:p w14:paraId="30770A3D">
      <w:pPr>
        <w:rPr>
          <w:rFonts w:hint="eastAsia"/>
        </w:rPr>
      </w:pPr>
      <w:r>
        <w:rPr>
          <w:rFonts w:hint="eastAsia"/>
        </w:rPr>
        <w:t>（四）法律、法规和市人民政府确定的其他重大建设工程。</w:t>
      </w:r>
    </w:p>
    <w:p w14:paraId="42E7285A">
      <w:r>
        <w:rPr>
          <w:rFonts w:hint="eastAsia"/>
        </w:rPr>
        <w:t>前款所列设施或者建筑物的所有权人负责强震动监测设施的管理和运行维护，并保证监测数据的正常传输。强震动监测设施的运行维护费用由财政部门给予适当补贴。</w:t>
      </w:r>
    </w:p>
    <w:p w14:paraId="74419555">
      <w:r>
        <w:rPr>
          <w:rFonts w:hint="eastAsia"/>
        </w:rPr>
        <w:t>市和区县地震工作主管部门负责本市强震动监测数据的归集和使用管理。</w:t>
      </w:r>
    </w:p>
    <w:p w14:paraId="0D64134D">
      <w:pPr>
        <w:ind w:firstLine="422"/>
      </w:pPr>
      <w:r>
        <w:rPr>
          <w:rFonts w:hint="eastAsia"/>
          <w:b/>
        </w:rPr>
        <w:t>第八条</w:t>
      </w:r>
      <w:r>
        <w:rPr>
          <w:rFonts w:hint="eastAsia"/>
        </w:rPr>
        <w:t xml:space="preserve">  市地震工作主管部门应当会同农业、林业、水务、气象、国土等部门建立地震宏观异常现象会商机制，对相关情报、信息进行共享、会商处理。</w:t>
      </w:r>
    </w:p>
    <w:p w14:paraId="3784D601">
      <w:r>
        <w:rPr>
          <w:rFonts w:hint="eastAsia"/>
        </w:rPr>
        <w:t>地震预报意见由市人民政府按照国务院规定的程序发布。</w:t>
      </w:r>
    </w:p>
    <w:p w14:paraId="1512D126">
      <w:pPr>
        <w:ind w:firstLine="422"/>
      </w:pPr>
      <w:r>
        <w:rPr>
          <w:rFonts w:hint="eastAsia"/>
          <w:b/>
        </w:rPr>
        <w:t>第九条</w:t>
      </w:r>
      <w:r>
        <w:rPr>
          <w:rFonts w:hint="eastAsia"/>
        </w:rPr>
        <w:t xml:space="preserve">  本市根据防震减灾规划和计划，开展地震活动断层探测和地震小区划工作。相关管理工作由地震工作主管部门负责。</w:t>
      </w:r>
    </w:p>
    <w:p w14:paraId="347FFC4E">
      <w:pPr>
        <w:ind w:firstLine="422"/>
      </w:pPr>
      <w:r>
        <w:rPr>
          <w:rFonts w:hint="eastAsia"/>
          <w:b/>
        </w:rPr>
        <w:t>第十条</w:t>
      </w:r>
      <w:r>
        <w:rPr>
          <w:rFonts w:hint="eastAsia"/>
        </w:rPr>
        <w:t xml:space="preserve">  新建、扩建、改建建设工程应当按照国家和本市规定的抗震设防要求进行建设。建设工程抗震设防要求应当纳入控制性详细规划编制内容，相关单位在进行建设工程立项审批、规划许可、工程设计、工程施工、竣工验收时应当审查建设工程是否符合抗震设防要求。</w:t>
      </w:r>
    </w:p>
    <w:p w14:paraId="2224C533">
      <w:pPr>
        <w:ind w:firstLine="422"/>
      </w:pPr>
      <w:r>
        <w:rPr>
          <w:rFonts w:hint="eastAsia"/>
          <w:b/>
        </w:rPr>
        <w:t>第十一条</w:t>
      </w:r>
      <w:r>
        <w:rPr>
          <w:rFonts w:hint="eastAsia"/>
        </w:rPr>
        <w:t xml:space="preserve">  下列建设工程，建设单位应当按照国家和本市规定进行地震安全性评价，并按照经审定的地震安全性评价报告确定的抗震设防要求进行抗震设防：</w:t>
      </w:r>
    </w:p>
    <w:p w14:paraId="083201E1">
      <w:r>
        <w:rPr>
          <w:rFonts w:hint="eastAsia"/>
        </w:rPr>
        <w:t>（一）对社会有重大价值或者重大影响的大型交通、电站、通信枢纽、广播电视设施、学校、医院、供水、供电、供气、供热设施等建设工程；</w:t>
      </w:r>
    </w:p>
    <w:p w14:paraId="5E5BFF51">
      <w:r>
        <w:rPr>
          <w:rFonts w:hint="eastAsia"/>
        </w:rPr>
        <w:t>（二）受地震破坏后可能引发严重次生灾害的水库大坝、堤防，贮油、贮气设施，输油、输气设施，贮存易燃易爆、剧毒和强腐蚀性物质的设施，核供热、核能研究、核能利用放射性物质贮存设施等建设工程。</w:t>
      </w:r>
    </w:p>
    <w:p w14:paraId="1FC9C63B">
      <w:r>
        <w:rPr>
          <w:rFonts w:hint="eastAsia"/>
        </w:rPr>
        <w:t>需要进行地震安全性评价的建设工程的具体范围由市地震工作主管部门会同市规划、发展改革、住房城乡建设等部门确定。</w:t>
      </w:r>
    </w:p>
    <w:p w14:paraId="3FF4EF88">
      <w:r>
        <w:rPr>
          <w:rFonts w:hint="eastAsia"/>
        </w:rPr>
        <w:t>建设单位应当在竣工验收后将建设工程抗震设防情况向建设工程所在地的区县地震工作主管部门备案。</w:t>
      </w:r>
    </w:p>
    <w:p w14:paraId="4BDD8A39">
      <w:pPr>
        <w:ind w:firstLine="422"/>
      </w:pPr>
      <w:r>
        <w:rPr>
          <w:rFonts w:hint="eastAsia"/>
          <w:b/>
        </w:rPr>
        <w:t>第十二条</w:t>
      </w:r>
      <w:r>
        <w:rPr>
          <w:rFonts w:hint="eastAsia"/>
        </w:rPr>
        <w:t xml:space="preserve">  按照国家和本市规定，已经建成的建设工程有下列情形之一的，所有权人应当委托相关单位进行抗震鉴定，相关行政主管部门根据防震减灾的需求也可以委托进行抗震鉴定：</w:t>
      </w:r>
    </w:p>
    <w:p w14:paraId="6A719F2E">
      <w:bookmarkStart w:id="2805" w:name="_Toc428780907"/>
      <w:r>
        <w:rPr>
          <w:rFonts w:hint="eastAsia"/>
        </w:rPr>
        <w:t>（一）达到设计使用年限需要继续使用的；</w:t>
      </w:r>
      <w:bookmarkEnd w:id="2805"/>
    </w:p>
    <w:p w14:paraId="296452F2">
      <w:r>
        <w:rPr>
          <w:rFonts w:hint="eastAsia"/>
        </w:rPr>
        <w:t>（二）进行结构改造或者改变使用用途可能影响抗震性能的；</w:t>
      </w:r>
    </w:p>
    <w:p w14:paraId="7E7B0FAE">
      <w:r>
        <w:rPr>
          <w:rFonts w:hint="eastAsia"/>
        </w:rPr>
        <w:t>（三）未采取抗震设防措施或者达不到现行抗震设防要求的。</w:t>
      </w:r>
    </w:p>
    <w:p w14:paraId="46C16C45">
      <w:r>
        <w:rPr>
          <w:rFonts w:hint="eastAsia"/>
        </w:rPr>
        <w:t>鉴定单位应当向所有权人出具抗震鉴定报告，抗震鉴定报告应当包括鉴定结论、加固价值评估及抗震设防建议。抗震鉴定报告应当报送区县住房城乡建设、地震部门备案。</w:t>
      </w:r>
    </w:p>
    <w:p w14:paraId="33BB6C75">
      <w:pPr>
        <w:ind w:firstLine="422"/>
      </w:pPr>
      <w:r>
        <w:rPr>
          <w:rFonts w:hint="eastAsia"/>
          <w:b/>
        </w:rPr>
        <w:t>第十三条</w:t>
      </w:r>
      <w:r>
        <w:rPr>
          <w:rFonts w:hint="eastAsia"/>
        </w:rPr>
        <w:t xml:space="preserve">  房屋建筑所有权人应当根据抗震鉴定报告，对不符合抗震设防标准且具有加固价值的房屋建筑采取抗震加固措施。</w:t>
      </w:r>
    </w:p>
    <w:p w14:paraId="7BC5A3B7">
      <w:r>
        <w:rPr>
          <w:rFonts w:hint="eastAsia"/>
        </w:rPr>
        <w:t>抗震加固改造方案应当经房屋建筑所有权人共同决定。抗震加固改造方案应当明确具体实施抗震加固改造项目管理人，项目管理人承担建设单位的相关职责，依法组织竣工验收。</w:t>
      </w:r>
    </w:p>
    <w:p w14:paraId="2F422866">
      <w:pPr>
        <w:ind w:firstLine="422"/>
      </w:pPr>
      <w:r>
        <w:rPr>
          <w:rFonts w:hint="eastAsia"/>
          <w:b/>
        </w:rPr>
        <w:t>第十四条</w:t>
      </w:r>
      <w:r>
        <w:rPr>
          <w:rFonts w:hint="eastAsia"/>
        </w:rPr>
        <w:t xml:space="preserve">  按照国家和本市规定，区、县人民政府可以组织房屋建筑所有权人进行抗震加固。</w:t>
      </w:r>
    </w:p>
    <w:p w14:paraId="76EAFB16">
      <w:r>
        <w:rPr>
          <w:rFonts w:hint="eastAsia"/>
        </w:rPr>
        <w:t>区、县人民政府应当根据抗震鉴定情况，编制抗震加固改造计划，并逐年推进。</w:t>
      </w:r>
    </w:p>
    <w:p w14:paraId="3C642F3F">
      <w:r>
        <w:rPr>
          <w:rFonts w:hint="eastAsia"/>
        </w:rPr>
        <w:t>住房城乡建设、规划、地震等行政主管部门以及教育、卫生、文物等行业主管部门应当对抗震加固项目进行监督管理。</w:t>
      </w:r>
    </w:p>
    <w:p w14:paraId="1CDBA8EB">
      <w:r>
        <w:rPr>
          <w:rFonts w:hint="eastAsia"/>
        </w:rPr>
        <w:t>任何单位和个人不得阻挠、妨碍抗震加固的实施。</w:t>
      </w:r>
    </w:p>
    <w:p w14:paraId="3A7F731A">
      <w:pPr>
        <w:ind w:firstLine="422"/>
      </w:pPr>
      <w:r>
        <w:rPr>
          <w:rFonts w:hint="eastAsia"/>
          <w:b/>
        </w:rPr>
        <w:t>第十五条</w:t>
      </w:r>
      <w:r>
        <w:rPr>
          <w:rFonts w:hint="eastAsia"/>
        </w:rPr>
        <w:t xml:space="preserve">  按照国家和本市规定，经抗震鉴定、安全鉴定为危险房屋，需要停止使用的，房屋建筑所有权人及使用人应当根据鉴定报告的处理建议停止使用并搬出危险部位。</w:t>
      </w:r>
    </w:p>
    <w:p w14:paraId="6607CE76">
      <w:r>
        <w:rPr>
          <w:rFonts w:hint="eastAsia"/>
        </w:rPr>
        <w:t>使用人拒不按照规定搬出的，住房城乡建设主管部门应当书面责令使用人搬出，情况紧急危及公共安全的，为预防突发事件的发生，区、县人民政府可以依法责成有关部门组织搬出，并妥善安置。</w:t>
      </w:r>
    </w:p>
    <w:p w14:paraId="09E9E5A1">
      <w:pPr>
        <w:ind w:firstLine="422"/>
      </w:pPr>
      <w:r>
        <w:rPr>
          <w:rFonts w:hint="eastAsia"/>
          <w:b/>
        </w:rPr>
        <w:t>第十六条</w:t>
      </w:r>
      <w:r>
        <w:rPr>
          <w:rFonts w:hint="eastAsia"/>
        </w:rPr>
        <w:t xml:space="preserve">  市和区、县人民政府应当扶持、引导农民建设抗震农民住宅，并逐步将农民住宅建设纳入规范化管理。</w:t>
      </w:r>
    </w:p>
    <w:p w14:paraId="1C878A20">
      <w:r>
        <w:rPr>
          <w:rFonts w:hint="eastAsia"/>
        </w:rPr>
        <w:t>编制乡镇规划和村庄规划时应当落实防震减灾规划的相关要求，充分考虑防震减灾工作。</w:t>
      </w:r>
    </w:p>
    <w:p w14:paraId="270472E2">
      <w:r>
        <w:rPr>
          <w:rFonts w:hint="eastAsia"/>
        </w:rPr>
        <w:t>住房城乡建设、规划、质量技术监督、地震等部门应当制定抗震农民住宅建设技术标准，编制抗震农民住宅设计图集和施工技术指南，并免费提供。</w:t>
      </w:r>
    </w:p>
    <w:p w14:paraId="0E837E0D">
      <w:pPr>
        <w:ind w:firstLine="422"/>
      </w:pPr>
      <w:r>
        <w:rPr>
          <w:rFonts w:hint="eastAsia"/>
          <w:b/>
        </w:rPr>
        <w:t>第十七条</w:t>
      </w:r>
      <w:r>
        <w:rPr>
          <w:rFonts w:hint="eastAsia"/>
        </w:rPr>
        <w:t xml:space="preserve">  本市鼓励、引导农民进行住宅抗震加固。</w:t>
      </w:r>
    </w:p>
    <w:p w14:paraId="4BE6CE96">
      <w:r>
        <w:rPr>
          <w:rFonts w:hint="eastAsia"/>
        </w:rPr>
        <w:t>区、县人民政府统筹安排本区县农民住宅抗震加固改造工作；乡镇人民政府负责具体组织实施工作，并指导村民委员会引导农民进行住宅抗震加固。</w:t>
      </w:r>
    </w:p>
    <w:p w14:paraId="006CE684">
      <w:r>
        <w:rPr>
          <w:rFonts w:hint="eastAsia"/>
        </w:rPr>
        <w:t>住房城乡建设、规划、农村工作等行政主管部门对农民住宅抗震加固改造工作提供技术指导，并对工程质量进行监督管理。</w:t>
      </w:r>
    </w:p>
    <w:p w14:paraId="38E63235">
      <w:pPr>
        <w:ind w:firstLine="422"/>
      </w:pPr>
      <w:r>
        <w:rPr>
          <w:rFonts w:hint="eastAsia"/>
          <w:b/>
        </w:rPr>
        <w:t>第十八条</w:t>
      </w:r>
      <w:r>
        <w:rPr>
          <w:rFonts w:hint="eastAsia"/>
        </w:rPr>
        <w:t xml:space="preserve">  市规划主管部门应当会同市地震、应急管理等部门，组织编制本市地震应急避难场所规划。地震应急避难场所规划经市人民政府批准后纳入本市各级城乡规划。区、县人民政府应当组织地震应急避难场所和配套设施设备建设，拓展绿地、公园、操场、广场、体育场馆等公共场所地震应急避难功能，并做好周边疏散通道的日常维护。</w:t>
      </w:r>
    </w:p>
    <w:p w14:paraId="380FA1EB">
      <w:r>
        <w:rPr>
          <w:rFonts w:hint="eastAsia"/>
        </w:rPr>
        <w:t>地震工作主管部门应当按照规定和标准，认定地震应急避难场所，并将地震应急避难场所的位置向社会公布。地震工作主管部门应当加强对地震应急避难场所运行维护情况的监督检查</w:t>
      </w:r>
      <w:r>
        <w:rPr>
          <w:rFonts w:hint="eastAsia" w:ascii="宋体" w:hAnsi="宋体" w:eastAsia="宋体" w:cs="宋体"/>
        </w:rPr>
        <w:t>，每2年组织一次对地震应急避难场所的</w:t>
      </w:r>
      <w:r>
        <w:rPr>
          <w:rFonts w:hint="eastAsia"/>
        </w:rPr>
        <w:t>核定。</w:t>
      </w:r>
    </w:p>
    <w:p w14:paraId="49650FB3">
      <w:r>
        <w:rPr>
          <w:rFonts w:hint="eastAsia"/>
        </w:rPr>
        <w:t>地震应急避难场所的所有权人负责地震应急避难场所的维护和管理，并按照规范设置地震应急避难场所标志。财政部门给予适当补贴。</w:t>
      </w:r>
    </w:p>
    <w:p w14:paraId="01BF7B8B">
      <w:pPr>
        <w:ind w:firstLine="422"/>
      </w:pPr>
      <w:r>
        <w:rPr>
          <w:rFonts w:hint="eastAsia"/>
          <w:b/>
        </w:rPr>
        <w:t>第十九条</w:t>
      </w:r>
      <w:r>
        <w:rPr>
          <w:rFonts w:hint="eastAsia"/>
        </w:rPr>
        <w:t xml:space="preserve">  市和区、县人民政府应当完善地震应急决策、指挥、预警、处置、响应、善后等各项工作机制。</w:t>
      </w:r>
    </w:p>
    <w:p w14:paraId="53F15D65">
      <w:pPr>
        <w:ind w:firstLine="422"/>
      </w:pPr>
      <w:r>
        <w:rPr>
          <w:rFonts w:hint="eastAsia"/>
          <w:b/>
        </w:rPr>
        <w:t>第二十条</w:t>
      </w:r>
      <w:r>
        <w:rPr>
          <w:rFonts w:hint="eastAsia"/>
        </w:rPr>
        <w:t xml:space="preserve">  市地震工作主管部门应当按照国家和本市规定，会同有关部门进行地震风险评估。</w:t>
      </w:r>
    </w:p>
    <w:p w14:paraId="1FF9D51E">
      <w:r>
        <w:rPr>
          <w:rFonts w:hint="eastAsia"/>
        </w:rPr>
        <w:t>供排水、供电、供气、供热、交通、通信等城市基础设施和本市各专项应急指挥部办公室应当将与地震灾害有关的基础数据提供给地震工作部门。地震工作主管部门应当根据地震发生发展机理，活动断层和地震小区划情况，编制风险源和风险区划图，并向前述部门或者单位提出地震应急风险防范任务要求。</w:t>
      </w:r>
    </w:p>
    <w:p w14:paraId="52C263F0">
      <w:r>
        <w:rPr>
          <w:rFonts w:hint="eastAsia"/>
        </w:rPr>
        <w:t>地震工作主管部门应当将风险源、风险区划图和地震应急风险防范任务要求报送市和区、县人民政府及应急管理部门。</w:t>
      </w:r>
    </w:p>
    <w:p w14:paraId="7D3C620B">
      <w:pPr>
        <w:ind w:firstLine="422"/>
      </w:pPr>
      <w:r>
        <w:rPr>
          <w:rFonts w:hint="eastAsia"/>
          <w:b/>
        </w:rPr>
        <w:t>第二十一条</w:t>
      </w:r>
      <w:r>
        <w:rPr>
          <w:rFonts w:hint="eastAsia"/>
        </w:rPr>
        <w:t xml:space="preserve">  本市建立健全与国家有关部门，驻京中国人民解放军、中国人民武装警察部队，周边省、自治区、直辖市的地震应急联动机制，加强统一指挥，统筹应急资源，保障地震应急信息沟通，资源共享。</w:t>
      </w:r>
    </w:p>
    <w:p w14:paraId="1BEDC776">
      <w:pPr>
        <w:ind w:firstLine="422"/>
      </w:pPr>
      <w:r>
        <w:rPr>
          <w:rFonts w:hint="eastAsia"/>
          <w:b/>
        </w:rPr>
        <w:t>第二十二条</w:t>
      </w:r>
      <w:r>
        <w:rPr>
          <w:rFonts w:hint="eastAsia"/>
        </w:rPr>
        <w:t xml:space="preserve">  本市各级人民政府及其工作部门应当制定本行政区域或者本部门的地震应急预案。企事业单位、社会团体、居民委员会和村民委员会应当制定本单位的地震应急预案。地震应急预案应当包括地震应急避险线路图和人员疏散应急方案。</w:t>
      </w:r>
    </w:p>
    <w:p w14:paraId="40BD3C00">
      <w:pPr>
        <w:ind w:firstLine="422"/>
      </w:pPr>
      <w:r>
        <w:rPr>
          <w:rFonts w:hint="eastAsia"/>
          <w:b/>
        </w:rPr>
        <w:t>第二十三条</w:t>
      </w:r>
      <w:r>
        <w:rPr>
          <w:rFonts w:hint="eastAsia"/>
        </w:rPr>
        <w:t xml:space="preserve">  本市鼓励志愿者组织、机关、社会团体、企事业单位建立地震应急志愿者队伍，承担地震应急科普宣传、信息报告工作，接受地震应急先期处置、善后的知识培训和演练。市和区县地震工作主管部门应当对志愿者队伍予以指导。</w:t>
      </w:r>
    </w:p>
    <w:p w14:paraId="45103418">
      <w:pPr>
        <w:ind w:firstLine="422"/>
      </w:pPr>
      <w:r>
        <w:rPr>
          <w:rFonts w:hint="eastAsia"/>
          <w:b/>
        </w:rPr>
        <w:t>第二十四条</w:t>
      </w:r>
      <w:r>
        <w:rPr>
          <w:rFonts w:hint="eastAsia"/>
        </w:rPr>
        <w:t xml:space="preserve">  政府工作部门、企事业单位、社会团体应当根据应急预案，组织开展地震应急演练。街道办事处、乡镇人民政府应当指导居民委员会、村民委员会组织本地区居民、村民开展地震应急演练。</w:t>
      </w:r>
    </w:p>
    <w:p w14:paraId="1C1B17AD">
      <w:r>
        <w:rPr>
          <w:rFonts w:hint="eastAsia"/>
        </w:rPr>
        <w:t>市和区、县人民政府应当根据实际需要，在本级财政预算和物资储备中安排地震应急和救灾资金、物资。有关行政主管部门应当加强对地震应急和救护物资生产、销售的监督管理，引导市民储备必要的应急和救护物资，提高市民在地震灾害中自救、互救的能力。</w:t>
      </w:r>
    </w:p>
    <w:p w14:paraId="12DD7F88">
      <w:pPr>
        <w:ind w:firstLine="422"/>
      </w:pPr>
      <w:r>
        <w:rPr>
          <w:rFonts w:hint="eastAsia"/>
          <w:b/>
        </w:rPr>
        <w:t>第二十五条</w:t>
      </w:r>
      <w:r>
        <w:rPr>
          <w:rFonts w:hint="eastAsia"/>
        </w:rPr>
        <w:t xml:space="preserve">  防震减灾知识应当纳入中小学校教学计划，学校应当开展专题教育，每年至少组织一次应急疏散演练，培养学生的安全避险意识和自救互救能力。教育行政主管部门应当加强检查指导并推广先进学校的典型经验。</w:t>
      </w:r>
    </w:p>
    <w:p w14:paraId="6A291436">
      <w:r>
        <w:rPr>
          <w:rFonts w:hint="eastAsia"/>
        </w:rPr>
        <w:t>地震工作主管部门应当会同有关部门制作防震减灾知识宣传材料。新闻媒体应当在公益广告时间或者版面免费刊播适当比例的防震减灾公益性宣传内容。</w:t>
      </w:r>
    </w:p>
    <w:p w14:paraId="2CF64A99">
      <w:r>
        <w:rPr>
          <w:rFonts w:hint="eastAsia"/>
        </w:rPr>
        <w:t>防震减灾科普教育基地应当免费对公众开放。</w:t>
      </w:r>
    </w:p>
    <w:p w14:paraId="428BA022">
      <w:pPr>
        <w:ind w:firstLine="422"/>
      </w:pPr>
      <w:r>
        <w:rPr>
          <w:rFonts w:hint="eastAsia"/>
          <w:b/>
        </w:rPr>
        <w:t>第二十六条</w:t>
      </w:r>
      <w:r>
        <w:rPr>
          <w:rFonts w:hint="eastAsia"/>
        </w:rPr>
        <w:t xml:space="preserve">  本市建立防震减灾信息系统，市地震工作主管部门负责全市防震减灾信息系统建设和运行管理工作。防震减灾信息系统包括地震观测信息系统、地震烈度速报系统和地震预警系统。</w:t>
      </w:r>
    </w:p>
    <w:p w14:paraId="00FF36B8">
      <w:r>
        <w:rPr>
          <w:rFonts w:hint="eastAsia"/>
        </w:rPr>
        <w:t>区、县人民政府应当建立地震灾情信息速报网络和灾情速报平台。</w:t>
      </w:r>
    </w:p>
    <w:p w14:paraId="4CEDD363">
      <w:r>
        <w:rPr>
          <w:rFonts w:hint="eastAsia"/>
        </w:rPr>
        <w:t>市地震工作主管部门应当充分发挥在京防震减灾科研机构优势，联合开展地震预报基础研究，不断提高预测水平。</w:t>
      </w:r>
    </w:p>
    <w:p w14:paraId="2BC0C1A7">
      <w:pPr>
        <w:ind w:firstLine="422"/>
      </w:pPr>
      <w:r>
        <w:rPr>
          <w:rFonts w:hint="eastAsia"/>
          <w:b/>
        </w:rPr>
        <w:t>第二十七条</w:t>
      </w:r>
      <w:r>
        <w:rPr>
          <w:rFonts w:hint="eastAsia"/>
        </w:rPr>
        <w:t xml:space="preserve">  行政机关工作人员在防震减灾工作中不依法履行职责，依照《中华人民共和国防震减灾法》和《行政机关公务员处分条例》的规定给予行政处分。</w:t>
      </w:r>
    </w:p>
    <w:p w14:paraId="72F70C15">
      <w:pPr>
        <w:ind w:firstLine="422"/>
      </w:pPr>
      <w:r>
        <w:rPr>
          <w:rFonts w:hint="eastAsia"/>
          <w:b/>
        </w:rPr>
        <w:t>第二十八条</w:t>
      </w:r>
      <w:r>
        <w:rPr>
          <w:rFonts w:hint="eastAsia"/>
        </w:rPr>
        <w:t xml:space="preserve">  违反本规定第七条第二款规定，建设单位未建设强震动监测设施的，地震工作主管部门应当责令限期改正；逾期</w:t>
      </w:r>
      <w:r>
        <w:rPr>
          <w:rFonts w:hint="eastAsia" w:ascii="宋体" w:hAnsi="宋体" w:eastAsia="宋体" w:cs="宋体"/>
        </w:rPr>
        <w:t>不改正的，处2万元以上20万元以下罚</w:t>
      </w:r>
      <w:r>
        <w:rPr>
          <w:rFonts w:hint="eastAsia"/>
        </w:rPr>
        <w:t>款。</w:t>
      </w:r>
    </w:p>
    <w:p w14:paraId="2B7E796B">
      <w:pPr>
        <w:ind w:firstLine="422"/>
      </w:pPr>
      <w:r>
        <w:rPr>
          <w:rFonts w:hint="eastAsia"/>
          <w:b/>
        </w:rPr>
        <w:t>第二十九条</w:t>
      </w:r>
      <w:r>
        <w:rPr>
          <w:rFonts w:hint="eastAsia"/>
        </w:rPr>
        <w:t xml:space="preserve">  本规定所称建设工程或者房屋建筑的所有权人，包括产权人和依法承担产权人责任的管理人。</w:t>
      </w:r>
    </w:p>
    <w:p w14:paraId="62856AB7">
      <w:pPr>
        <w:ind w:firstLine="422"/>
        <w:rPr>
          <w:rFonts w:hint="eastAsia" w:ascii="宋体" w:hAnsi="宋体" w:eastAsia="宋体" w:cs="宋体"/>
        </w:rPr>
      </w:pPr>
      <w:r>
        <w:rPr>
          <w:rFonts w:hint="eastAsia"/>
          <w:b/>
        </w:rPr>
        <w:t>第三十条</w:t>
      </w:r>
      <w:r>
        <w:rPr>
          <w:rFonts w:hint="eastAsia"/>
        </w:rPr>
        <w:t xml:space="preserve">  </w:t>
      </w:r>
      <w:r>
        <w:rPr>
          <w:rFonts w:hint="eastAsia" w:ascii="宋体" w:hAnsi="宋体" w:eastAsia="宋体" w:cs="宋体"/>
        </w:rPr>
        <w:t>本规定自2014年1月1日起施行。2001年10月16日北京市第十一届人民代表大会常务委员会第三十次会议通过的《北京市实施〈中华人民共和国防震减灾法〉办法》同时废止。</w:t>
      </w:r>
    </w:p>
    <w:p w14:paraId="07138AB6">
      <w:pPr>
        <w:pStyle w:val="4"/>
        <w:pageBreakBefore/>
      </w:pPr>
      <w:bookmarkStart w:id="2806" w:name="_Toc428781952"/>
      <w:bookmarkStart w:id="2807" w:name="_Toc428780908"/>
      <w:bookmarkStart w:id="2808" w:name="_Toc426467204"/>
      <w:r>
        <w:rPr>
          <w:rFonts w:hint="eastAsia"/>
        </w:rPr>
        <w:t>北京市防御雷电灾害若干规定</w:t>
      </w:r>
      <w:bookmarkEnd w:id="2806"/>
      <w:bookmarkEnd w:id="2807"/>
      <w:bookmarkEnd w:id="2808"/>
    </w:p>
    <w:p w14:paraId="320D4BBB">
      <w:pPr>
        <w:ind w:left="630" w:leftChars="300" w:right="630" w:rightChars="300"/>
        <w:rPr>
          <w:rFonts w:ascii="楷体" w:hAnsi="楷体" w:eastAsia="楷体"/>
        </w:rPr>
      </w:pPr>
      <w:r>
        <w:rPr>
          <w:rFonts w:hint="eastAsia" w:ascii="楷体" w:hAnsi="楷体" w:eastAsia="楷体"/>
        </w:rPr>
        <w:t>（2002年7月16日北京市人民政府第50次常务会议审议通过  2002年7月29日北京市人民政府第102号令发布）</w:t>
      </w:r>
    </w:p>
    <w:p w14:paraId="5893D816"/>
    <w:p w14:paraId="034DBD44">
      <w:pPr>
        <w:ind w:firstLine="422"/>
      </w:pPr>
      <w:r>
        <w:rPr>
          <w:rFonts w:hint="eastAsia"/>
          <w:b/>
        </w:rPr>
        <w:t>第一条</w:t>
      </w:r>
      <w:r>
        <w:rPr>
          <w:rFonts w:hint="eastAsia"/>
        </w:rPr>
        <w:t xml:space="preserve">  为了防御和减轻雷电灾害（以下简称防雷），保护国家财产和人民生命财产安全，根据《中华人民共和国气象法》和国家有关规定，结合本市实际情况，制定本规定。</w:t>
      </w:r>
    </w:p>
    <w:p w14:paraId="7DA36022">
      <w:pPr>
        <w:ind w:firstLine="422"/>
      </w:pPr>
      <w:r>
        <w:rPr>
          <w:rFonts w:hint="eastAsia"/>
          <w:b/>
        </w:rPr>
        <w:t>第二条</w:t>
      </w:r>
      <w:r>
        <w:rPr>
          <w:rFonts w:hint="eastAsia"/>
        </w:rPr>
        <w:t xml:space="preserve">  本市行政区域内的防雷工作，适用本规定。</w:t>
      </w:r>
    </w:p>
    <w:p w14:paraId="65E16F48">
      <w:pPr>
        <w:ind w:firstLine="422"/>
      </w:pPr>
      <w:r>
        <w:rPr>
          <w:rFonts w:hint="eastAsia"/>
          <w:b/>
        </w:rPr>
        <w:t>第三条</w:t>
      </w:r>
      <w:r>
        <w:rPr>
          <w:rFonts w:hint="eastAsia"/>
        </w:rPr>
        <w:t xml:space="preserve">  市气象局组织管理和监督指导全市的防雷工作；区、县气象局负责本行政区域内的防雷工作。</w:t>
      </w:r>
    </w:p>
    <w:p w14:paraId="282C2E90">
      <w:r>
        <w:rPr>
          <w:rFonts w:hint="eastAsia"/>
        </w:rPr>
        <w:t>建设、规划、公安、消防、质量技术监督等行政主管部门按照各自职责，配合市和区、县气象局做好防雷工作。</w:t>
      </w:r>
    </w:p>
    <w:p w14:paraId="207FFE89">
      <w:pPr>
        <w:ind w:firstLine="422"/>
      </w:pPr>
      <w:r>
        <w:rPr>
          <w:rFonts w:hint="eastAsia"/>
          <w:b/>
        </w:rPr>
        <w:t>第四条</w:t>
      </w:r>
      <w:r>
        <w:rPr>
          <w:rFonts w:hint="eastAsia"/>
        </w:rPr>
        <w:t xml:space="preserve">  区、县人民政府应当加强对防雷工作的领导，组织有关部门采取有效措施做好防雷工作，提高对雷电灾害的防御能力。</w:t>
      </w:r>
    </w:p>
    <w:p w14:paraId="39085B13">
      <w:pPr>
        <w:ind w:firstLine="422"/>
      </w:pPr>
      <w:r>
        <w:rPr>
          <w:rFonts w:hint="eastAsia"/>
          <w:b/>
        </w:rPr>
        <w:t>第五条</w:t>
      </w:r>
      <w:r>
        <w:rPr>
          <w:rFonts w:hint="eastAsia"/>
        </w:rPr>
        <w:t xml:space="preserve">  市和区、县气象局应当加强防雷科普宣传，做好雷电灾害的监测、预警和雷击事故的统计、鉴定，指导对雷电灾害防护装置（以下简称防雷装置）的检测等服务工作。</w:t>
      </w:r>
    </w:p>
    <w:p w14:paraId="559C8F3B">
      <w:pPr>
        <w:ind w:firstLine="422"/>
      </w:pPr>
      <w:r>
        <w:rPr>
          <w:rFonts w:hint="eastAsia"/>
          <w:b/>
        </w:rPr>
        <w:t>第六条</w:t>
      </w:r>
      <w:r>
        <w:rPr>
          <w:rFonts w:hint="eastAsia"/>
        </w:rPr>
        <w:t xml:space="preserve">  下列场所和设施，应当安装防雷装置：</w:t>
      </w:r>
    </w:p>
    <w:p w14:paraId="77583472">
      <w:bookmarkStart w:id="2809" w:name="_Toc428780909"/>
      <w:r>
        <w:rPr>
          <w:rFonts w:hint="eastAsia"/>
        </w:rPr>
        <w:t>（一）《建筑物防雷设计规范》规定的第一、二、三类防雷建筑物；</w:t>
      </w:r>
      <w:bookmarkEnd w:id="2809"/>
    </w:p>
    <w:p w14:paraId="3E6EECB8">
      <w:r>
        <w:rPr>
          <w:rFonts w:hint="eastAsia"/>
        </w:rPr>
        <w:t>（二）计算机信息系统、通讯设施、广播电视设施、自动控制和监控设施；</w:t>
      </w:r>
    </w:p>
    <w:p w14:paraId="3B1829D0">
      <w:r>
        <w:rPr>
          <w:rFonts w:hint="eastAsia"/>
        </w:rPr>
        <w:t>（三）石油、化工、燃气等易燃易爆物资的生产、储运、输送、销售等场所和设施；</w:t>
      </w:r>
    </w:p>
    <w:p w14:paraId="13FCBBC2">
      <w:bookmarkStart w:id="2810" w:name="_Toc428780910"/>
      <w:r>
        <w:rPr>
          <w:rFonts w:hint="eastAsia"/>
        </w:rPr>
        <w:t>（四）露天的大型娱乐、游乐设施；</w:t>
      </w:r>
      <w:bookmarkEnd w:id="2810"/>
    </w:p>
    <w:p w14:paraId="57C6E98F">
      <w:r>
        <w:rPr>
          <w:rFonts w:hint="eastAsia"/>
        </w:rPr>
        <w:t>（五）国家规定应当安装防雷装置的其他场所和设施。</w:t>
      </w:r>
    </w:p>
    <w:p w14:paraId="66EA5B65">
      <w:pPr>
        <w:ind w:firstLine="422"/>
      </w:pPr>
      <w:r>
        <w:rPr>
          <w:rFonts w:hint="eastAsia"/>
          <w:b/>
        </w:rPr>
        <w:t>第七条</w:t>
      </w:r>
      <w:r>
        <w:rPr>
          <w:rFonts w:hint="eastAsia"/>
        </w:rPr>
        <w:t xml:space="preserve">  防雷工程设计或者施工单位，应当具备国家规定的资质条件，并在资质等级许可范围内从事设计或者施工。</w:t>
      </w:r>
    </w:p>
    <w:p w14:paraId="5D4807ED">
      <w:pPr>
        <w:ind w:firstLine="422"/>
      </w:pPr>
      <w:r>
        <w:rPr>
          <w:rFonts w:hint="eastAsia"/>
          <w:b/>
        </w:rPr>
        <w:t>第八条</w:t>
      </w:r>
      <w:r>
        <w:rPr>
          <w:rFonts w:hint="eastAsia"/>
        </w:rPr>
        <w:t xml:space="preserve">  防雷工程设计单位应当按照防雷设计规范和技术标准进行设计；防雷工程施工单位应当按照防雷工程设计文件进行施工。</w:t>
      </w:r>
    </w:p>
    <w:p w14:paraId="5442FA51">
      <w:pPr>
        <w:ind w:firstLine="422"/>
      </w:pPr>
      <w:r>
        <w:rPr>
          <w:rFonts w:hint="eastAsia"/>
          <w:b/>
        </w:rPr>
        <w:t>第九条</w:t>
      </w:r>
      <w:r>
        <w:rPr>
          <w:rFonts w:hint="eastAsia"/>
        </w:rPr>
        <w:t xml:space="preserve">  市和区、县气象局组织指导防雷检测单位对本规定第六条第（一）、（三）、（四）项规定的新建、改建和扩建的防雷工程项目的施工实施分阶段检测。建设单位在竣工验收时应当参考检测结果。</w:t>
      </w:r>
    </w:p>
    <w:p w14:paraId="4217B74E">
      <w:pPr>
        <w:ind w:firstLine="422"/>
      </w:pPr>
      <w:r>
        <w:rPr>
          <w:rFonts w:hint="eastAsia"/>
          <w:b/>
        </w:rPr>
        <w:t>第十条</w:t>
      </w:r>
      <w:r>
        <w:rPr>
          <w:rFonts w:hint="eastAsia"/>
        </w:rPr>
        <w:t xml:space="preserve">  按照本规定第六条规定安装的防雷装置的所有权人或者使用权人，应当做好防雷装置的日常维护工作，并按照国家气象主管机构规定的期限接受检测。</w:t>
      </w:r>
    </w:p>
    <w:p w14:paraId="59528B74">
      <w:r>
        <w:rPr>
          <w:rFonts w:hint="eastAsia"/>
        </w:rPr>
        <w:t>检测不合格的防雷装置，所有权人或者使用权人应当及时整改。</w:t>
      </w:r>
    </w:p>
    <w:p w14:paraId="339807F6">
      <w:pPr>
        <w:ind w:firstLine="422"/>
      </w:pPr>
      <w:r>
        <w:rPr>
          <w:rFonts w:hint="eastAsia"/>
          <w:b/>
        </w:rPr>
        <w:t>第十一条</w:t>
      </w:r>
      <w:r>
        <w:rPr>
          <w:rFonts w:hint="eastAsia"/>
        </w:rPr>
        <w:t xml:space="preserve">  防雷检测单位应当根据法律、法规、规章和技术标准的有关规定，开展检测工作；检测工作结束后，应当出具检测报告；检测报告的数据应当公正、准确。</w:t>
      </w:r>
    </w:p>
    <w:p w14:paraId="4119796C">
      <w:pPr>
        <w:ind w:firstLine="422"/>
      </w:pPr>
      <w:r>
        <w:rPr>
          <w:rFonts w:hint="eastAsia"/>
          <w:b/>
        </w:rPr>
        <w:t>第十二条</w:t>
      </w:r>
      <w:r>
        <w:rPr>
          <w:rFonts w:hint="eastAsia"/>
        </w:rPr>
        <w:t xml:space="preserve">  </w:t>
      </w:r>
      <w:r>
        <w:rPr>
          <w:rFonts w:hint="eastAsia" w:ascii="宋体" w:hAnsi="宋体" w:eastAsia="宋体" w:cs="宋体"/>
        </w:rPr>
        <w:t>遭受雷电灾害的单位，应当自遭受雷电灾害之日起3日内向市或者区、县气象局报告情况。市和区、县气象局应当按照国家有关规定对雷电灾害进行调查和鉴定。</w:t>
      </w:r>
    </w:p>
    <w:p w14:paraId="682F6A53">
      <w:pPr>
        <w:ind w:firstLine="422"/>
        <w:rPr>
          <w:rFonts w:hint="eastAsia" w:ascii="宋体" w:hAnsi="宋体" w:eastAsia="宋体" w:cs="宋体"/>
        </w:rPr>
      </w:pPr>
      <w:r>
        <w:rPr>
          <w:rFonts w:hint="eastAsia"/>
          <w:b/>
        </w:rPr>
        <w:t>第十三条</w:t>
      </w:r>
      <w:r>
        <w:rPr>
          <w:rFonts w:hint="eastAsia"/>
        </w:rPr>
        <w:t xml:space="preserve"> </w:t>
      </w:r>
      <w:r>
        <w:rPr>
          <w:rFonts w:hint="eastAsia" w:ascii="宋体" w:hAnsi="宋体" w:eastAsia="宋体" w:cs="宋体"/>
        </w:rPr>
        <w:t xml:space="preserve"> 违反本规定第六条规定，应当安装防雷装置而拒不安装的，由市或者区、县气象局责令限期改正；逾期不改的，可以处3万元以下罚款；导致雷击发生重大或者特大安全事故的，依法追究法律责任。</w:t>
      </w:r>
    </w:p>
    <w:p w14:paraId="3FE5FD1D">
      <w:pPr>
        <w:ind w:firstLine="422"/>
      </w:pPr>
      <w:r>
        <w:rPr>
          <w:rFonts w:hint="eastAsia"/>
          <w:b/>
        </w:rPr>
        <w:t>第十四条</w:t>
      </w:r>
      <w:r>
        <w:rPr>
          <w:rFonts w:hint="eastAsia"/>
        </w:rPr>
        <w:t>　违反本规定</w:t>
      </w:r>
      <w:r>
        <w:rPr>
          <w:rFonts w:hint="eastAsia" w:ascii="宋体" w:hAnsi="宋体" w:eastAsia="宋体" w:cs="宋体"/>
        </w:rPr>
        <w:t>第十条规定，拒不接受防雷检测或者经检测不合格拒绝整改的，由市或者区、县气象局责令改正，可以处2万元以下罚</w:t>
      </w:r>
      <w:r>
        <w:rPr>
          <w:rFonts w:hint="eastAsia"/>
        </w:rPr>
        <w:t>款。</w:t>
      </w:r>
    </w:p>
    <w:p w14:paraId="6D09DC9D">
      <w:pPr>
        <w:ind w:firstLine="422"/>
        <w:rPr>
          <w:rFonts w:hint="eastAsia" w:ascii="宋体" w:hAnsi="宋体" w:eastAsia="宋体" w:cs="宋体"/>
        </w:rPr>
      </w:pPr>
      <w:r>
        <w:rPr>
          <w:rFonts w:hint="eastAsia"/>
          <w:b/>
        </w:rPr>
        <w:t>第十五条</w:t>
      </w:r>
      <w:r>
        <w:rPr>
          <w:rFonts w:hint="eastAsia"/>
        </w:rPr>
        <w:t>　</w:t>
      </w:r>
      <w:r>
        <w:rPr>
          <w:rFonts w:hint="eastAsia" w:ascii="宋体" w:hAnsi="宋体" w:eastAsia="宋体" w:cs="宋体"/>
        </w:rPr>
        <w:t>本规定自2002年9月1日起施行。</w:t>
      </w:r>
    </w:p>
    <w:p w14:paraId="15169929">
      <w:pPr>
        <w:ind w:firstLine="422"/>
        <w:rPr>
          <w:rFonts w:hint="eastAsia" w:ascii="宋体" w:hAnsi="宋体" w:eastAsia="宋体" w:cs="宋体"/>
        </w:rPr>
      </w:pPr>
    </w:p>
    <w:p w14:paraId="4B7D6EE1">
      <w:pPr>
        <w:ind w:firstLine="422"/>
        <w:rPr>
          <w:rFonts w:hint="eastAsia" w:ascii="宋体" w:hAnsi="宋体" w:eastAsia="宋体" w:cs="宋体"/>
        </w:rPr>
      </w:pPr>
    </w:p>
    <w:p w14:paraId="543D3BD9">
      <w:pPr>
        <w:ind w:firstLine="422"/>
        <w:rPr>
          <w:rFonts w:hint="eastAsia" w:ascii="宋体" w:hAnsi="宋体" w:eastAsia="宋体" w:cs="宋体"/>
        </w:rPr>
      </w:pPr>
    </w:p>
    <w:p w14:paraId="72BC6B1E">
      <w:pPr>
        <w:ind w:firstLine="422"/>
        <w:rPr>
          <w:rFonts w:hint="eastAsia" w:ascii="宋体" w:hAnsi="宋体" w:eastAsia="宋体" w:cs="宋体"/>
        </w:rPr>
      </w:pPr>
    </w:p>
    <w:p w14:paraId="3C3224FF">
      <w:pPr>
        <w:ind w:firstLine="422"/>
        <w:rPr>
          <w:rFonts w:hint="eastAsia" w:ascii="宋体" w:hAnsi="宋体" w:eastAsia="宋体" w:cs="宋体"/>
        </w:rPr>
      </w:pPr>
    </w:p>
    <w:p w14:paraId="29D4D4C3">
      <w:pPr>
        <w:ind w:firstLine="422"/>
        <w:rPr>
          <w:rFonts w:hint="eastAsia" w:ascii="宋体" w:hAnsi="宋体" w:eastAsia="宋体" w:cs="宋体"/>
        </w:rPr>
      </w:pPr>
    </w:p>
    <w:p w14:paraId="7B65E027">
      <w:pPr>
        <w:ind w:firstLine="422"/>
        <w:rPr>
          <w:rFonts w:hint="eastAsia" w:ascii="宋体" w:hAnsi="宋体" w:eastAsia="宋体" w:cs="宋体"/>
        </w:rPr>
      </w:pPr>
    </w:p>
    <w:p w14:paraId="2FF89E1E">
      <w:pPr>
        <w:ind w:firstLine="422"/>
        <w:rPr>
          <w:rFonts w:hint="eastAsia" w:ascii="宋体" w:hAnsi="宋体" w:eastAsia="宋体" w:cs="宋体"/>
        </w:rPr>
      </w:pPr>
    </w:p>
    <w:p w14:paraId="5955FCE7">
      <w:pPr>
        <w:ind w:firstLine="422"/>
        <w:rPr>
          <w:rFonts w:hint="eastAsia" w:ascii="宋体" w:hAnsi="宋体" w:eastAsia="宋体" w:cs="宋体"/>
        </w:rPr>
      </w:pPr>
    </w:p>
    <w:p w14:paraId="5B3C4146">
      <w:pPr>
        <w:ind w:firstLine="422"/>
        <w:rPr>
          <w:rFonts w:hint="eastAsia" w:ascii="宋体" w:hAnsi="宋体" w:eastAsia="宋体" w:cs="宋体"/>
        </w:rPr>
      </w:pPr>
    </w:p>
    <w:p w14:paraId="7A9A34D2">
      <w:pPr>
        <w:ind w:firstLine="422"/>
        <w:rPr>
          <w:rFonts w:hint="eastAsia" w:ascii="宋体" w:hAnsi="宋体" w:eastAsia="宋体" w:cs="宋体"/>
        </w:rPr>
      </w:pPr>
    </w:p>
    <w:p w14:paraId="6341CF5F">
      <w:pPr>
        <w:ind w:firstLine="422"/>
        <w:rPr>
          <w:rFonts w:hint="eastAsia" w:ascii="宋体" w:hAnsi="宋体" w:eastAsia="宋体" w:cs="宋体"/>
        </w:rPr>
      </w:pPr>
    </w:p>
    <w:p w14:paraId="15CF90CB">
      <w:pPr>
        <w:ind w:firstLine="422"/>
        <w:rPr>
          <w:rFonts w:hint="eastAsia" w:ascii="宋体" w:hAnsi="宋体" w:eastAsia="宋体" w:cs="宋体"/>
        </w:rPr>
      </w:pPr>
    </w:p>
    <w:p w14:paraId="6BF9FBF2">
      <w:pPr>
        <w:ind w:firstLine="422"/>
        <w:rPr>
          <w:rFonts w:hint="eastAsia" w:ascii="宋体" w:hAnsi="宋体" w:eastAsia="宋体" w:cs="宋体"/>
        </w:rPr>
      </w:pPr>
    </w:p>
    <w:p w14:paraId="6A6E3CCD">
      <w:pPr>
        <w:ind w:firstLine="422"/>
        <w:rPr>
          <w:rFonts w:hint="eastAsia" w:ascii="宋体" w:hAnsi="宋体" w:eastAsia="宋体" w:cs="宋体"/>
        </w:rPr>
      </w:pPr>
    </w:p>
    <w:p w14:paraId="30652054">
      <w:pPr>
        <w:ind w:firstLine="422"/>
        <w:rPr>
          <w:rFonts w:hint="eastAsia" w:ascii="宋体" w:hAnsi="宋体" w:eastAsia="宋体" w:cs="宋体"/>
        </w:rPr>
      </w:pPr>
    </w:p>
    <w:p w14:paraId="1FA549E8">
      <w:pPr>
        <w:ind w:firstLine="422"/>
        <w:rPr>
          <w:rFonts w:hint="eastAsia" w:ascii="宋体" w:hAnsi="宋体" w:eastAsia="宋体" w:cs="宋体"/>
        </w:rPr>
      </w:pPr>
    </w:p>
    <w:p w14:paraId="1D61FCDF">
      <w:pPr>
        <w:ind w:firstLine="422"/>
        <w:rPr>
          <w:rFonts w:hint="eastAsia" w:ascii="宋体" w:hAnsi="宋体" w:eastAsia="宋体" w:cs="宋体"/>
        </w:rPr>
      </w:pPr>
    </w:p>
    <w:p w14:paraId="3BC2C9F8">
      <w:pPr>
        <w:ind w:firstLine="422"/>
        <w:rPr>
          <w:rFonts w:hint="eastAsia" w:ascii="宋体" w:hAnsi="宋体" w:eastAsia="宋体" w:cs="宋体"/>
        </w:rPr>
      </w:pPr>
    </w:p>
    <w:p w14:paraId="62D6991F">
      <w:pPr>
        <w:ind w:firstLine="422"/>
        <w:rPr>
          <w:rFonts w:hint="eastAsia" w:ascii="宋体" w:hAnsi="宋体" w:eastAsia="宋体" w:cs="宋体"/>
        </w:rPr>
      </w:pPr>
    </w:p>
    <w:p w14:paraId="33EA0410">
      <w:pPr>
        <w:ind w:firstLine="422"/>
        <w:rPr>
          <w:rFonts w:hint="eastAsia" w:ascii="宋体" w:hAnsi="宋体" w:eastAsia="宋体" w:cs="宋体"/>
        </w:rPr>
      </w:pPr>
    </w:p>
    <w:p w14:paraId="70579916">
      <w:pPr>
        <w:ind w:firstLine="422"/>
        <w:rPr>
          <w:rFonts w:hint="eastAsia" w:ascii="宋体" w:hAnsi="宋体" w:eastAsia="宋体" w:cs="宋体"/>
        </w:rPr>
      </w:pPr>
    </w:p>
    <w:p w14:paraId="30B7B27F">
      <w:pPr>
        <w:ind w:firstLine="422"/>
        <w:rPr>
          <w:rFonts w:hint="eastAsia" w:ascii="宋体" w:hAnsi="宋体" w:eastAsia="宋体" w:cs="宋体"/>
        </w:rPr>
      </w:pPr>
    </w:p>
    <w:p w14:paraId="5226F53A">
      <w:pPr>
        <w:ind w:firstLine="422"/>
        <w:rPr>
          <w:rFonts w:hint="eastAsia" w:ascii="宋体" w:hAnsi="宋体" w:eastAsia="宋体" w:cs="宋体"/>
        </w:rPr>
      </w:pPr>
    </w:p>
    <w:p w14:paraId="7873FAC5">
      <w:pPr>
        <w:ind w:firstLine="422"/>
        <w:rPr>
          <w:rFonts w:hint="eastAsia" w:ascii="宋体" w:hAnsi="宋体" w:eastAsia="宋体" w:cs="宋体"/>
        </w:rPr>
      </w:pPr>
    </w:p>
    <w:p w14:paraId="6FFBCBB9">
      <w:pPr>
        <w:ind w:firstLine="422"/>
        <w:rPr>
          <w:rFonts w:hint="eastAsia" w:ascii="宋体" w:hAnsi="宋体" w:eastAsia="宋体" w:cs="宋体"/>
        </w:rPr>
      </w:pPr>
    </w:p>
    <w:p w14:paraId="679500D5">
      <w:pPr>
        <w:ind w:firstLine="422"/>
        <w:rPr>
          <w:rFonts w:hint="eastAsia" w:ascii="宋体" w:hAnsi="宋体" w:eastAsia="宋体" w:cs="宋体"/>
        </w:rPr>
      </w:pPr>
    </w:p>
    <w:p w14:paraId="1ECF2EB4">
      <w:pPr>
        <w:ind w:firstLine="422"/>
        <w:rPr>
          <w:rFonts w:hint="eastAsia" w:ascii="宋体" w:hAnsi="宋体" w:eastAsia="宋体" w:cs="宋体"/>
        </w:rPr>
      </w:pPr>
    </w:p>
    <w:p w14:paraId="1D8726C2">
      <w:pPr>
        <w:ind w:firstLine="422"/>
        <w:rPr>
          <w:rFonts w:hint="eastAsia" w:ascii="宋体" w:hAnsi="宋体" w:eastAsia="宋体" w:cs="宋体"/>
        </w:rPr>
      </w:pPr>
    </w:p>
    <w:p w14:paraId="24A1AEBC">
      <w:pPr>
        <w:ind w:firstLine="422"/>
        <w:rPr>
          <w:rFonts w:hint="eastAsia" w:ascii="宋体" w:hAnsi="宋体" w:eastAsia="宋体" w:cs="宋体"/>
        </w:rPr>
      </w:pPr>
    </w:p>
    <w:p w14:paraId="56D2291E">
      <w:pPr>
        <w:ind w:firstLine="422"/>
        <w:rPr>
          <w:rFonts w:hint="eastAsia" w:ascii="宋体" w:hAnsi="宋体" w:eastAsia="宋体" w:cs="宋体"/>
        </w:rPr>
      </w:pPr>
    </w:p>
    <w:p w14:paraId="531F1F7D">
      <w:pPr>
        <w:ind w:firstLine="422"/>
        <w:rPr>
          <w:rFonts w:hint="eastAsia" w:ascii="宋体" w:hAnsi="宋体" w:eastAsia="宋体" w:cs="宋体"/>
        </w:rPr>
      </w:pPr>
    </w:p>
    <w:p w14:paraId="78D4A746">
      <w:pPr>
        <w:ind w:firstLine="422"/>
        <w:rPr>
          <w:rFonts w:hint="eastAsia" w:ascii="宋体" w:hAnsi="宋体" w:eastAsia="宋体" w:cs="宋体"/>
        </w:rPr>
      </w:pPr>
    </w:p>
    <w:p w14:paraId="2752536D">
      <w:pPr>
        <w:ind w:firstLine="422"/>
        <w:rPr>
          <w:rFonts w:hint="eastAsia" w:ascii="宋体" w:hAnsi="宋体" w:eastAsia="宋体" w:cs="宋体"/>
        </w:rPr>
      </w:pPr>
    </w:p>
    <w:p w14:paraId="6BEDF55D">
      <w:pPr>
        <w:ind w:firstLine="422"/>
        <w:rPr>
          <w:rFonts w:hint="eastAsia" w:ascii="宋体" w:hAnsi="宋体" w:eastAsia="宋体" w:cs="宋体"/>
        </w:rPr>
      </w:pPr>
    </w:p>
    <w:p w14:paraId="13CA79B3">
      <w:pPr>
        <w:ind w:firstLine="422"/>
        <w:rPr>
          <w:rFonts w:hint="eastAsia" w:ascii="宋体" w:hAnsi="宋体" w:eastAsia="宋体" w:cs="宋体"/>
        </w:rPr>
        <w:sectPr>
          <w:footerReference r:id="rId32" w:type="default"/>
          <w:footerReference r:id="rId33" w:type="even"/>
          <w:type w:val="continuous"/>
          <w:pgSz w:w="11906" w:h="16838"/>
          <w:pgMar w:top="1440" w:right="1797" w:bottom="1440" w:left="1797" w:header="851" w:footer="992" w:gutter="0"/>
          <w:cols w:space="720" w:num="1"/>
          <w:docGrid w:type="lines" w:linePitch="312" w:charSpace="0"/>
        </w:sectPr>
      </w:pPr>
    </w:p>
    <w:p w14:paraId="7CE3203F">
      <w:pPr>
        <w:ind w:firstLine="422"/>
        <w:rPr>
          <w:rFonts w:hint="eastAsia" w:ascii="宋体" w:hAnsi="宋体" w:eastAsia="宋体" w:cs="宋体"/>
        </w:rPr>
      </w:pPr>
    </w:p>
    <w:p w14:paraId="0BE8AD8E">
      <w:pPr>
        <w:ind w:firstLine="422"/>
        <w:rPr>
          <w:rFonts w:hint="eastAsia" w:ascii="宋体" w:hAnsi="宋体" w:eastAsia="宋体" w:cs="宋体"/>
        </w:rPr>
        <w:sectPr>
          <w:footerReference r:id="rId34" w:type="default"/>
          <w:footerReference r:id="rId35" w:type="even"/>
          <w:pgSz w:w="11906" w:h="16838"/>
          <w:pgMar w:top="1440" w:right="1797" w:bottom="1440" w:left="1797" w:header="851" w:footer="992" w:gutter="0"/>
          <w:cols w:space="720" w:num="1"/>
          <w:docGrid w:type="lines" w:linePitch="312" w:charSpace="0"/>
        </w:sectPr>
      </w:pPr>
    </w:p>
    <w:p w14:paraId="0AA614C3">
      <w:pPr>
        <w:tabs>
          <w:tab w:val="right" w:leader="dot" w:pos="8295"/>
        </w:tabs>
        <w:ind w:firstLine="0" w:firstLineChars="0"/>
        <w:rPr>
          <w:b/>
          <w:sz w:val="32"/>
        </w:rPr>
      </w:pPr>
      <w:r>
        <w:rPr>
          <w:rFonts w:hint="eastAsia"/>
          <w:b/>
          <w:sz w:val="32"/>
        </w:rPr>
        <w:t>附录</w:t>
      </w:r>
    </w:p>
    <w:p w14:paraId="3675F5BE">
      <w:pPr>
        <w:tabs>
          <w:tab w:val="right" w:leader="dot" w:pos="8295"/>
        </w:tabs>
        <w:ind w:firstLine="0" w:firstLineChars="0"/>
        <w:rPr>
          <w:b/>
          <w:sz w:val="28"/>
        </w:rPr>
      </w:pPr>
    </w:p>
    <w:p w14:paraId="0EEF9369">
      <w:pPr>
        <w:tabs>
          <w:tab w:val="right" w:leader="dot" w:pos="8295"/>
        </w:tabs>
        <w:ind w:firstLine="0" w:firstLineChars="0"/>
        <w:jc w:val="center"/>
        <w:rPr>
          <w:b/>
          <w:sz w:val="36"/>
        </w:rPr>
      </w:pPr>
      <w:r>
        <w:rPr>
          <w:rFonts w:hint="eastAsia"/>
          <w:b/>
          <w:sz w:val="36"/>
        </w:rPr>
        <w:t>编年目录索引</w:t>
      </w:r>
    </w:p>
    <w:p w14:paraId="04DDA983">
      <w:pPr>
        <w:tabs>
          <w:tab w:val="right" w:leader="dot" w:pos="8295"/>
        </w:tabs>
        <w:ind w:firstLine="0" w:firstLineChars="0"/>
      </w:pPr>
    </w:p>
    <w:p w14:paraId="0CA09285">
      <w:pPr>
        <w:ind w:firstLine="0" w:firstLineChars="0"/>
        <w:jc w:val="center"/>
        <w:rPr>
          <w:rFonts w:hint="eastAsia" w:ascii="宋体" w:hAnsi="宋体"/>
          <w:sz w:val="28"/>
        </w:rPr>
      </w:pPr>
      <w:r>
        <w:rPr>
          <w:rFonts w:hint="eastAsia" w:ascii="宋体" w:hAnsi="宋体"/>
          <w:sz w:val="28"/>
        </w:rPr>
        <w:t>一九八三年</w:t>
      </w:r>
    </w:p>
    <w:p w14:paraId="654DF1A0">
      <w:pPr>
        <w:ind w:firstLine="0" w:firstLineChars="0"/>
        <w:jc w:val="center"/>
        <w:rPr>
          <w:rFonts w:ascii="宋体" w:hAnsi="宋体"/>
        </w:rPr>
      </w:pPr>
    </w:p>
    <w:p w14:paraId="5E260577">
      <w:pPr>
        <w:tabs>
          <w:tab w:val="right" w:leader="middleDot" w:pos="8295"/>
        </w:tabs>
        <w:ind w:firstLine="0" w:firstLineChars="0"/>
        <w:jc w:val="left"/>
        <w:rPr>
          <w:rFonts w:hint="eastAsia"/>
        </w:rPr>
      </w:pPr>
      <w:r>
        <w:rPr>
          <w:rFonts w:hint="eastAsia"/>
        </w:rPr>
        <w:t>关于议案的若干暂行规定</w:t>
      </w:r>
      <w:r>
        <w:rPr>
          <w:rFonts w:hint="eastAsia"/>
        </w:rPr>
        <w:tab/>
      </w:r>
      <w:r>
        <w:rPr>
          <w:rFonts w:hint="eastAsia" w:ascii="华文宋体" w:hAnsi="华文宋体" w:eastAsia="华文宋体" w:cs="华文宋体"/>
          <w:kern w:val="2"/>
          <w:sz w:val="24"/>
          <w:szCs w:val="24"/>
          <w:lang w:val="en-US" w:eastAsia="zh-CN" w:bidi="ar-SA"/>
        </w:rPr>
        <w:t>82</w:t>
      </w:r>
    </w:p>
    <w:p w14:paraId="67EE5ED3">
      <w:pPr>
        <w:tabs>
          <w:tab w:val="right" w:leader="middleDot" w:pos="8295"/>
        </w:tabs>
        <w:ind w:firstLine="0" w:firstLineChars="0"/>
        <w:jc w:val="left"/>
      </w:pPr>
    </w:p>
    <w:p w14:paraId="092C1028">
      <w:pPr>
        <w:tabs>
          <w:tab w:val="right" w:leader="middleDot" w:pos="8295"/>
        </w:tabs>
        <w:ind w:firstLine="0" w:firstLineChars="0"/>
        <w:jc w:val="center"/>
        <w:rPr>
          <w:rFonts w:hint="eastAsia"/>
          <w:sz w:val="28"/>
        </w:rPr>
      </w:pPr>
      <w:r>
        <w:rPr>
          <w:rFonts w:hint="eastAsia"/>
          <w:sz w:val="28"/>
        </w:rPr>
        <w:t>一九八四年</w:t>
      </w:r>
    </w:p>
    <w:p w14:paraId="0F8DE076">
      <w:pPr>
        <w:tabs>
          <w:tab w:val="right" w:leader="middleDot" w:pos="8295"/>
        </w:tabs>
        <w:ind w:firstLine="0" w:firstLineChars="0"/>
        <w:jc w:val="left"/>
      </w:pPr>
    </w:p>
    <w:p w14:paraId="64B8EDEA">
      <w:pPr>
        <w:tabs>
          <w:tab w:val="right" w:leader="middleDot" w:pos="8295"/>
        </w:tabs>
        <w:ind w:firstLine="0" w:firstLineChars="0"/>
        <w:jc w:val="left"/>
        <w:rPr>
          <w:rFonts w:hint="eastAsia" w:ascii="华文宋体" w:hAnsi="华文宋体" w:eastAsia="华文宋体" w:cs="华文宋体"/>
          <w:kern w:val="2"/>
          <w:sz w:val="24"/>
          <w:szCs w:val="24"/>
          <w:lang w:val="en-US" w:eastAsia="zh-CN" w:bidi="ar-SA"/>
        </w:rPr>
      </w:pPr>
      <w:r>
        <w:rPr>
          <w:rFonts w:hint="eastAsia"/>
        </w:rPr>
        <w:t>北京市区、县、乡、民族乡、镇人民代表大会代表选举实施细则</w:t>
      </w:r>
      <w:r>
        <w:rPr>
          <w:rFonts w:hint="eastAsia"/>
        </w:rPr>
        <w:tab/>
      </w:r>
      <w:r>
        <w:rPr>
          <w:rFonts w:hint="eastAsia" w:ascii="华文宋体" w:hAnsi="华文宋体" w:eastAsia="华文宋体" w:cs="华文宋体"/>
          <w:kern w:val="2"/>
          <w:sz w:val="24"/>
          <w:szCs w:val="24"/>
          <w:lang w:val="en-US" w:eastAsia="zh-CN" w:bidi="ar-SA"/>
        </w:rPr>
        <w:t>3</w:t>
      </w:r>
    </w:p>
    <w:p w14:paraId="6E41D111">
      <w:pPr>
        <w:tabs>
          <w:tab w:val="right" w:leader="middleDot" w:pos="8295"/>
        </w:tabs>
        <w:ind w:firstLine="0" w:firstLineChars="0"/>
        <w:jc w:val="left"/>
        <w:rPr>
          <w:rFonts w:hint="eastAsia"/>
        </w:rPr>
      </w:pPr>
      <w:r>
        <w:rPr>
          <w:rFonts w:hint="eastAsia"/>
        </w:rPr>
        <w:t>关于在城市干道两侧划定隔离带的规定</w:t>
      </w:r>
      <w:r>
        <w:rPr>
          <w:rFonts w:hint="eastAsia"/>
        </w:rPr>
        <w:tab/>
      </w:r>
      <w:r>
        <w:rPr>
          <w:rFonts w:hint="eastAsia" w:ascii="华文宋体" w:hAnsi="华文宋体" w:eastAsia="华文宋体" w:cs="华文宋体"/>
          <w:kern w:val="2"/>
          <w:sz w:val="24"/>
          <w:szCs w:val="24"/>
          <w:lang w:val="en-US" w:eastAsia="zh-CN" w:bidi="ar-SA"/>
        </w:rPr>
        <w:t>375</w:t>
      </w:r>
    </w:p>
    <w:p w14:paraId="0E22088F">
      <w:pPr>
        <w:tabs>
          <w:tab w:val="right" w:leader="middleDot" w:pos="8295"/>
        </w:tabs>
        <w:ind w:firstLine="0" w:firstLineChars="0"/>
        <w:jc w:val="left"/>
        <w:rPr>
          <w:rFonts w:hint="eastAsia"/>
        </w:rPr>
      </w:pPr>
      <w:r>
        <w:rPr>
          <w:rFonts w:hint="eastAsia"/>
        </w:rPr>
        <w:t>关于所外执行劳动教养的暂行规定</w:t>
      </w:r>
      <w:r>
        <w:rPr>
          <w:rFonts w:hint="eastAsia"/>
        </w:rPr>
        <w:tab/>
      </w:r>
      <w:r>
        <w:rPr>
          <w:rFonts w:hint="eastAsia" w:ascii="华文宋体" w:hAnsi="华文宋体" w:eastAsia="华文宋体" w:cs="华文宋体"/>
          <w:kern w:val="2"/>
          <w:sz w:val="24"/>
          <w:szCs w:val="24"/>
          <w:lang w:val="en-US" w:eastAsia="zh-CN" w:bidi="ar-SA"/>
        </w:rPr>
        <w:t>167</w:t>
      </w:r>
    </w:p>
    <w:p w14:paraId="65F4827D">
      <w:pPr>
        <w:tabs>
          <w:tab w:val="right" w:leader="middleDot" w:pos="8295"/>
        </w:tabs>
        <w:ind w:firstLine="0" w:firstLineChars="0"/>
        <w:jc w:val="left"/>
        <w:rPr>
          <w:rFonts w:hint="eastAsia"/>
        </w:rPr>
      </w:pPr>
      <w:r>
        <w:rPr>
          <w:rFonts w:hint="eastAsia"/>
        </w:rPr>
        <w:t>关于划定市区河道两侧隔离带的规定</w:t>
      </w:r>
      <w:r>
        <w:rPr>
          <w:rFonts w:hint="eastAsia"/>
        </w:rPr>
        <w:tab/>
      </w:r>
      <w:r>
        <w:rPr>
          <w:rFonts w:hint="eastAsia" w:ascii="华文宋体" w:hAnsi="华文宋体" w:eastAsia="华文宋体" w:cs="华文宋体"/>
          <w:kern w:val="2"/>
          <w:sz w:val="24"/>
          <w:szCs w:val="24"/>
          <w:lang w:val="en-US" w:eastAsia="zh-CN" w:bidi="ar-SA"/>
        </w:rPr>
        <w:t>377</w:t>
      </w:r>
    </w:p>
    <w:p w14:paraId="4A2CDDB7">
      <w:pPr>
        <w:tabs>
          <w:tab w:val="right" w:leader="middleDot" w:pos="8295"/>
        </w:tabs>
        <w:ind w:firstLine="0" w:firstLineChars="0"/>
        <w:jc w:val="left"/>
      </w:pPr>
    </w:p>
    <w:p w14:paraId="54C866CF">
      <w:pPr>
        <w:tabs>
          <w:tab w:val="right" w:leader="middleDot" w:pos="8295"/>
        </w:tabs>
        <w:ind w:firstLine="0" w:firstLineChars="0"/>
        <w:jc w:val="center"/>
        <w:rPr>
          <w:rFonts w:hint="eastAsia"/>
          <w:sz w:val="28"/>
        </w:rPr>
      </w:pPr>
      <w:r>
        <w:rPr>
          <w:rFonts w:hint="eastAsia"/>
          <w:sz w:val="28"/>
        </w:rPr>
        <w:t>一九八五年</w:t>
      </w:r>
    </w:p>
    <w:p w14:paraId="57071382">
      <w:pPr>
        <w:tabs>
          <w:tab w:val="right" w:leader="middleDot" w:pos="8295"/>
        </w:tabs>
        <w:ind w:firstLine="0" w:firstLineChars="0"/>
        <w:jc w:val="left"/>
      </w:pPr>
    </w:p>
    <w:p w14:paraId="1918E91B">
      <w:pPr>
        <w:tabs>
          <w:tab w:val="right" w:leader="middleDot" w:pos="8295"/>
        </w:tabs>
        <w:ind w:firstLine="0" w:firstLineChars="0"/>
        <w:jc w:val="left"/>
        <w:rPr>
          <w:rFonts w:hint="eastAsia"/>
        </w:rPr>
      </w:pPr>
      <w:r>
        <w:rPr>
          <w:rFonts w:hint="eastAsia"/>
        </w:rPr>
        <w:t>北京市实施《中华人民共和国城市维护建设税暂行条例》的细则</w:t>
      </w:r>
      <w:r>
        <w:rPr>
          <w:rFonts w:hint="eastAsia"/>
        </w:rPr>
        <w:tab/>
      </w:r>
      <w:r>
        <w:rPr>
          <w:rFonts w:hint="eastAsia" w:ascii="华文宋体" w:hAnsi="华文宋体" w:eastAsia="华文宋体" w:cs="华文宋体"/>
          <w:kern w:val="2"/>
          <w:sz w:val="24"/>
          <w:szCs w:val="24"/>
          <w:lang w:val="en-US" w:eastAsia="zh-CN" w:bidi="ar-SA"/>
        </w:rPr>
        <w:t>230</w:t>
      </w:r>
    </w:p>
    <w:p w14:paraId="0462B4A2">
      <w:pPr>
        <w:tabs>
          <w:tab w:val="right" w:leader="middleDot" w:pos="8295"/>
        </w:tabs>
        <w:ind w:firstLine="0" w:firstLineChars="0"/>
        <w:jc w:val="left"/>
        <w:rPr>
          <w:rFonts w:hint="eastAsia"/>
        </w:rPr>
      </w:pPr>
      <w:r>
        <w:rPr>
          <w:rFonts w:hint="eastAsia"/>
        </w:rPr>
        <w:t>北京市河道砂石开采管理暂行规定</w:t>
      </w:r>
      <w:r>
        <w:rPr>
          <w:rFonts w:hint="eastAsia"/>
        </w:rPr>
        <w:tab/>
      </w:r>
      <w:r>
        <w:rPr>
          <w:rFonts w:hint="eastAsia" w:ascii="华文宋体" w:hAnsi="华文宋体" w:eastAsia="华文宋体" w:cs="华文宋体"/>
          <w:kern w:val="2"/>
          <w:sz w:val="24"/>
          <w:szCs w:val="24"/>
          <w:lang w:val="en-US" w:eastAsia="zh-CN" w:bidi="ar-SA"/>
        </w:rPr>
        <w:t>1346</w:t>
      </w:r>
    </w:p>
    <w:p w14:paraId="732BBE43">
      <w:pPr>
        <w:tabs>
          <w:tab w:val="right" w:leader="middleDot" w:pos="8295"/>
        </w:tabs>
        <w:ind w:firstLine="0" w:firstLineChars="0"/>
        <w:jc w:val="left"/>
      </w:pPr>
    </w:p>
    <w:p w14:paraId="6D6EA931">
      <w:pPr>
        <w:tabs>
          <w:tab w:val="right" w:leader="middleDot" w:pos="8295"/>
        </w:tabs>
        <w:ind w:firstLine="0" w:firstLineChars="0"/>
        <w:jc w:val="center"/>
        <w:rPr>
          <w:rFonts w:hint="eastAsia"/>
          <w:sz w:val="28"/>
        </w:rPr>
      </w:pPr>
      <w:r>
        <w:rPr>
          <w:rFonts w:hint="eastAsia"/>
          <w:sz w:val="28"/>
        </w:rPr>
        <w:t>一九八六年</w:t>
      </w:r>
    </w:p>
    <w:p w14:paraId="189C8939">
      <w:pPr>
        <w:tabs>
          <w:tab w:val="right" w:leader="middleDot" w:pos="8295"/>
        </w:tabs>
        <w:ind w:firstLine="0" w:firstLineChars="0"/>
        <w:jc w:val="left"/>
      </w:pPr>
    </w:p>
    <w:p w14:paraId="340D205A">
      <w:pPr>
        <w:tabs>
          <w:tab w:val="right" w:leader="middleDot" w:pos="8295"/>
        </w:tabs>
        <w:ind w:firstLine="0" w:firstLineChars="0"/>
        <w:jc w:val="left"/>
        <w:rPr>
          <w:rFonts w:hint="eastAsia"/>
        </w:rPr>
      </w:pPr>
      <w:r>
        <w:rPr>
          <w:rFonts w:hint="eastAsia"/>
        </w:rPr>
        <w:t>北京市水利工程保护管理条例</w:t>
      </w:r>
      <w:r>
        <w:rPr>
          <w:rFonts w:hint="eastAsia"/>
        </w:rPr>
        <w:tab/>
      </w:r>
      <w:r>
        <w:rPr>
          <w:rFonts w:hint="eastAsia" w:ascii="华文宋体" w:hAnsi="华文宋体" w:eastAsia="华文宋体" w:cs="华文宋体"/>
          <w:kern w:val="2"/>
          <w:sz w:val="24"/>
          <w:szCs w:val="24"/>
          <w:lang w:val="en-US" w:eastAsia="zh-CN" w:bidi="ar-SA"/>
        </w:rPr>
        <w:t>1411</w:t>
      </w:r>
    </w:p>
    <w:p w14:paraId="19326DD8">
      <w:pPr>
        <w:tabs>
          <w:tab w:val="right" w:leader="middleDot" w:pos="8295"/>
        </w:tabs>
        <w:ind w:firstLine="0" w:firstLineChars="0"/>
        <w:jc w:val="left"/>
        <w:rPr>
          <w:rFonts w:hint="eastAsia"/>
        </w:rPr>
      </w:pPr>
      <w:r>
        <w:rPr>
          <w:rFonts w:hint="eastAsia"/>
        </w:rPr>
        <w:t>北京市实施《中华人民共和国义务教育法》办法</w:t>
      </w:r>
      <w:r>
        <w:rPr>
          <w:rFonts w:hint="eastAsia"/>
        </w:rPr>
        <w:tab/>
      </w:r>
      <w:r>
        <w:rPr>
          <w:rFonts w:hint="eastAsia" w:ascii="华文宋体" w:hAnsi="华文宋体" w:eastAsia="华文宋体" w:cs="华文宋体"/>
          <w:kern w:val="2"/>
          <w:sz w:val="24"/>
          <w:szCs w:val="24"/>
          <w:lang w:val="en-US" w:eastAsia="zh-CN" w:bidi="ar-SA"/>
        </w:rPr>
        <w:t>701</w:t>
      </w:r>
    </w:p>
    <w:p w14:paraId="1A1CAFFB">
      <w:pPr>
        <w:tabs>
          <w:tab w:val="right" w:leader="middleDot" w:pos="8295"/>
        </w:tabs>
        <w:ind w:firstLine="0" w:firstLineChars="0"/>
        <w:jc w:val="left"/>
        <w:rPr>
          <w:rFonts w:hint="eastAsia"/>
        </w:rPr>
      </w:pPr>
      <w:r>
        <w:rPr>
          <w:rFonts w:hint="eastAsia"/>
        </w:rPr>
        <w:t>北京市利用文物保护单位拍摄电影、电视管理暂行办法</w:t>
      </w:r>
      <w:r>
        <w:rPr>
          <w:rFonts w:hint="eastAsia"/>
        </w:rPr>
        <w:tab/>
      </w:r>
      <w:r>
        <w:rPr>
          <w:rFonts w:hint="eastAsia" w:ascii="华文宋体" w:hAnsi="华文宋体" w:eastAsia="华文宋体" w:cs="华文宋体"/>
          <w:kern w:val="2"/>
          <w:sz w:val="24"/>
          <w:szCs w:val="24"/>
          <w:lang w:val="en-US" w:eastAsia="zh-CN" w:bidi="ar-SA"/>
        </w:rPr>
        <w:t>811</w:t>
      </w:r>
    </w:p>
    <w:p w14:paraId="7ED0803D">
      <w:pPr>
        <w:tabs>
          <w:tab w:val="right" w:leader="middleDot" w:pos="8295"/>
        </w:tabs>
        <w:ind w:firstLine="0" w:firstLineChars="0"/>
        <w:jc w:val="left"/>
        <w:rPr>
          <w:rFonts w:hint="eastAsia"/>
        </w:rPr>
      </w:pPr>
      <w:r>
        <w:rPr>
          <w:rFonts w:hint="eastAsia"/>
        </w:rPr>
        <w:t>北京市人民政府关于百花山和松山自然保护区管理暂行规定</w:t>
      </w:r>
      <w:r>
        <w:rPr>
          <w:rFonts w:hint="eastAsia"/>
        </w:rPr>
        <w:tab/>
      </w:r>
      <w:r>
        <w:rPr>
          <w:rFonts w:hint="eastAsia" w:ascii="华文宋体" w:hAnsi="华文宋体" w:eastAsia="华文宋体" w:cs="华文宋体"/>
          <w:kern w:val="2"/>
          <w:sz w:val="24"/>
          <w:szCs w:val="24"/>
          <w:lang w:val="en-US" w:eastAsia="zh-CN" w:bidi="ar-SA"/>
        </w:rPr>
        <w:t>1499</w:t>
      </w:r>
    </w:p>
    <w:p w14:paraId="03BD12AF">
      <w:pPr>
        <w:tabs>
          <w:tab w:val="right" w:leader="middleDot" w:pos="8295"/>
        </w:tabs>
        <w:ind w:firstLine="0" w:firstLineChars="0"/>
        <w:jc w:val="left"/>
        <w:rPr>
          <w:rFonts w:hint="eastAsia"/>
        </w:rPr>
      </w:pPr>
      <w:r>
        <w:rPr>
          <w:rFonts w:hint="eastAsia"/>
        </w:rPr>
        <w:t>关于划定郊区主要河道保护范围的规定</w:t>
      </w:r>
      <w:r>
        <w:rPr>
          <w:rFonts w:hint="eastAsia"/>
        </w:rPr>
        <w:tab/>
      </w:r>
      <w:r>
        <w:rPr>
          <w:rFonts w:hint="eastAsia" w:ascii="华文宋体" w:hAnsi="华文宋体" w:eastAsia="华文宋体" w:cs="华文宋体"/>
          <w:kern w:val="2"/>
          <w:sz w:val="24"/>
          <w:szCs w:val="24"/>
          <w:lang w:val="en-US" w:eastAsia="zh-CN" w:bidi="ar-SA"/>
        </w:rPr>
        <w:t>1420</w:t>
      </w:r>
    </w:p>
    <w:p w14:paraId="7DC2895C">
      <w:pPr>
        <w:tabs>
          <w:tab w:val="right" w:leader="middleDot" w:pos="8295"/>
        </w:tabs>
        <w:ind w:firstLine="0" w:firstLineChars="0"/>
        <w:jc w:val="left"/>
        <w:rPr>
          <w:rFonts w:hint="eastAsia"/>
        </w:rPr>
      </w:pPr>
      <w:r>
        <w:rPr>
          <w:rFonts w:hint="eastAsia"/>
        </w:rPr>
        <w:t>北京市城市自来水厂地下水源保护管理办法</w:t>
      </w:r>
      <w:r>
        <w:rPr>
          <w:rFonts w:hint="eastAsia"/>
        </w:rPr>
        <w:tab/>
      </w:r>
      <w:r>
        <w:rPr>
          <w:rFonts w:hint="eastAsia" w:ascii="华文宋体" w:hAnsi="华文宋体" w:eastAsia="华文宋体" w:cs="华文宋体"/>
          <w:kern w:val="2"/>
          <w:sz w:val="24"/>
          <w:szCs w:val="24"/>
          <w:lang w:val="en-US" w:eastAsia="zh-CN" w:bidi="ar-SA"/>
        </w:rPr>
        <w:t>1380</w:t>
      </w:r>
    </w:p>
    <w:p w14:paraId="46A6CA8A">
      <w:pPr>
        <w:tabs>
          <w:tab w:val="right" w:leader="middleDot" w:pos="8295"/>
        </w:tabs>
        <w:ind w:firstLine="0" w:firstLineChars="0"/>
        <w:jc w:val="left"/>
        <w:rPr>
          <w:rFonts w:hint="eastAsia"/>
        </w:rPr>
      </w:pPr>
      <w:r>
        <w:rPr>
          <w:rFonts w:hint="eastAsia"/>
        </w:rPr>
        <w:t>北京市出租汽车计价器管理暂行规定</w:t>
      </w:r>
      <w:r>
        <w:rPr>
          <w:rFonts w:hint="eastAsia"/>
        </w:rPr>
        <w:tab/>
      </w:r>
      <w:r>
        <w:rPr>
          <w:rFonts w:hint="eastAsia" w:ascii="华文宋体" w:hAnsi="华文宋体" w:eastAsia="华文宋体" w:cs="华文宋体"/>
          <w:kern w:val="2"/>
          <w:sz w:val="24"/>
          <w:szCs w:val="24"/>
          <w:lang w:val="en-US" w:eastAsia="zh-CN" w:bidi="ar-SA"/>
        </w:rPr>
        <w:t>279</w:t>
      </w:r>
    </w:p>
    <w:p w14:paraId="2CC0FA42">
      <w:pPr>
        <w:tabs>
          <w:tab w:val="right" w:leader="middleDot" w:pos="8295"/>
        </w:tabs>
        <w:ind w:firstLine="0" w:firstLineChars="0"/>
        <w:jc w:val="left"/>
        <w:rPr>
          <w:rFonts w:hint="eastAsia"/>
        </w:rPr>
      </w:pPr>
      <w:r>
        <w:rPr>
          <w:rFonts w:hint="eastAsia"/>
        </w:rPr>
        <w:t>北京市施行《中华人民共和国房产税暂行条例》的细则</w:t>
      </w:r>
      <w:r>
        <w:rPr>
          <w:rFonts w:hint="eastAsia"/>
        </w:rPr>
        <w:tab/>
      </w:r>
      <w:r>
        <w:rPr>
          <w:rFonts w:hint="eastAsia" w:ascii="华文宋体" w:hAnsi="华文宋体" w:eastAsia="华文宋体" w:cs="华文宋体"/>
          <w:kern w:val="2"/>
          <w:sz w:val="24"/>
          <w:szCs w:val="24"/>
          <w:lang w:val="en-US" w:eastAsia="zh-CN" w:bidi="ar-SA"/>
        </w:rPr>
        <w:t>231</w:t>
      </w:r>
    </w:p>
    <w:p w14:paraId="3D903FD9">
      <w:pPr>
        <w:tabs>
          <w:tab w:val="right" w:leader="middleDot" w:pos="8295"/>
        </w:tabs>
        <w:ind w:firstLine="0" w:firstLineChars="0"/>
        <w:jc w:val="left"/>
      </w:pPr>
    </w:p>
    <w:p w14:paraId="0EA2C1C8">
      <w:pPr>
        <w:tabs>
          <w:tab w:val="right" w:leader="middleDot" w:pos="8295"/>
        </w:tabs>
        <w:ind w:firstLine="0" w:firstLineChars="0"/>
        <w:jc w:val="center"/>
        <w:rPr>
          <w:rFonts w:hint="eastAsia"/>
          <w:sz w:val="28"/>
        </w:rPr>
      </w:pPr>
      <w:r>
        <w:rPr>
          <w:rFonts w:hint="eastAsia"/>
          <w:sz w:val="28"/>
        </w:rPr>
        <w:t>一九八七年</w:t>
      </w:r>
    </w:p>
    <w:p w14:paraId="5D4F3DE7">
      <w:pPr>
        <w:tabs>
          <w:tab w:val="right" w:leader="middleDot" w:pos="8295"/>
        </w:tabs>
        <w:ind w:firstLine="0" w:firstLineChars="0"/>
        <w:jc w:val="left"/>
      </w:pPr>
    </w:p>
    <w:p w14:paraId="644A690D">
      <w:pPr>
        <w:tabs>
          <w:tab w:val="right" w:leader="middleDot" w:pos="8295"/>
        </w:tabs>
        <w:ind w:firstLine="0" w:firstLineChars="0"/>
        <w:jc w:val="left"/>
        <w:rPr>
          <w:rFonts w:hint="eastAsia"/>
        </w:rPr>
      </w:pPr>
      <w:r>
        <w:rPr>
          <w:rFonts w:hint="eastAsia"/>
        </w:rPr>
        <w:t>北京市刻字业管理暂行办法</w:t>
      </w:r>
      <w:r>
        <w:rPr>
          <w:rFonts w:hint="eastAsia"/>
        </w:rPr>
        <w:tab/>
      </w:r>
      <w:r>
        <w:rPr>
          <w:rFonts w:hint="eastAsia" w:ascii="华文宋体" w:hAnsi="华文宋体" w:eastAsia="华文宋体" w:cs="华文宋体"/>
          <w:kern w:val="2"/>
          <w:sz w:val="24"/>
          <w:szCs w:val="24"/>
          <w:lang w:val="en-US" w:eastAsia="zh-CN" w:bidi="ar-SA"/>
        </w:rPr>
        <w:t>913</w:t>
      </w:r>
    </w:p>
    <w:p w14:paraId="72BC6AB3">
      <w:pPr>
        <w:tabs>
          <w:tab w:val="right" w:leader="middleDot" w:pos="8295"/>
        </w:tabs>
        <w:ind w:firstLine="0" w:firstLineChars="0"/>
        <w:jc w:val="left"/>
        <w:rPr>
          <w:rFonts w:hint="eastAsia"/>
        </w:rPr>
      </w:pPr>
      <w:r>
        <w:rPr>
          <w:rFonts w:hint="eastAsia"/>
        </w:rPr>
        <w:t>北京市人民政府关于在城市道路两侧和交叉路口周围新建、改建建筑工程的若干规定</w:t>
      </w:r>
      <w:r>
        <w:rPr>
          <w:rFonts w:hint="eastAsia"/>
        </w:rPr>
        <w:tab/>
      </w:r>
      <w:r>
        <w:rPr>
          <w:rFonts w:hint="eastAsia" w:ascii="华文宋体" w:hAnsi="华文宋体" w:eastAsia="华文宋体" w:cs="华文宋体"/>
          <w:kern w:val="2"/>
          <w:sz w:val="24"/>
          <w:szCs w:val="24"/>
          <w:lang w:val="en-US" w:eastAsia="zh-CN" w:bidi="ar-SA"/>
        </w:rPr>
        <w:t>382</w:t>
      </w:r>
    </w:p>
    <w:p w14:paraId="14F951B5">
      <w:pPr>
        <w:tabs>
          <w:tab w:val="right" w:leader="middleDot" w:pos="8295"/>
        </w:tabs>
        <w:ind w:firstLine="0" w:firstLineChars="0"/>
        <w:jc w:val="left"/>
        <w:rPr>
          <w:rFonts w:hint="eastAsia"/>
        </w:rPr>
      </w:pPr>
      <w:r>
        <w:rPr>
          <w:rFonts w:hint="eastAsia"/>
        </w:rPr>
        <w:t>北京市人力三轮车客货运输业管理办法</w:t>
      </w:r>
      <w:r>
        <w:rPr>
          <w:rFonts w:hint="eastAsia"/>
        </w:rPr>
        <w:tab/>
      </w:r>
      <w:r>
        <w:rPr>
          <w:rFonts w:hint="eastAsia" w:ascii="华文宋体" w:hAnsi="华文宋体" w:eastAsia="华文宋体" w:cs="华文宋体"/>
          <w:kern w:val="2"/>
          <w:sz w:val="24"/>
          <w:szCs w:val="24"/>
          <w:lang w:val="en-US" w:eastAsia="zh-CN" w:bidi="ar-SA"/>
        </w:rPr>
        <w:t>281</w:t>
      </w:r>
    </w:p>
    <w:p w14:paraId="53337AD0">
      <w:pPr>
        <w:tabs>
          <w:tab w:val="right" w:leader="middleDot" w:pos="8295"/>
        </w:tabs>
        <w:ind w:firstLine="0" w:firstLineChars="0"/>
        <w:jc w:val="left"/>
        <w:rPr>
          <w:rFonts w:hint="eastAsia"/>
        </w:rPr>
      </w:pPr>
      <w:r>
        <w:rPr>
          <w:rFonts w:hint="eastAsia"/>
        </w:rPr>
        <w:t>北京市中水设施建设管理试行办法</w:t>
      </w:r>
      <w:r>
        <w:rPr>
          <w:rFonts w:hint="eastAsia"/>
        </w:rPr>
        <w:tab/>
      </w:r>
      <w:r>
        <w:rPr>
          <w:rFonts w:hint="eastAsia" w:ascii="华文宋体" w:hAnsi="华文宋体" w:eastAsia="华文宋体" w:cs="华文宋体"/>
          <w:kern w:val="2"/>
          <w:sz w:val="24"/>
          <w:szCs w:val="24"/>
          <w:lang w:val="en-US" w:eastAsia="zh-CN" w:bidi="ar-SA"/>
        </w:rPr>
        <w:t>1184</w:t>
      </w:r>
    </w:p>
    <w:p w14:paraId="5E1C38E3">
      <w:pPr>
        <w:tabs>
          <w:tab w:val="right" w:leader="middleDot" w:pos="8295"/>
        </w:tabs>
        <w:ind w:firstLine="0" w:firstLineChars="0"/>
        <w:jc w:val="left"/>
        <w:rPr>
          <w:rFonts w:hint="eastAsia"/>
        </w:rPr>
      </w:pPr>
      <w:r>
        <w:rPr>
          <w:rFonts w:hint="eastAsia"/>
        </w:rPr>
        <w:t>北京市人民政府关于加强建设单位代征的城市绿化用地管理的若干规定</w:t>
      </w:r>
      <w:r>
        <w:rPr>
          <w:rFonts w:hint="eastAsia"/>
        </w:rPr>
        <w:tab/>
      </w:r>
      <w:r>
        <w:rPr>
          <w:rFonts w:hint="eastAsia" w:ascii="华文宋体" w:hAnsi="华文宋体" w:eastAsia="华文宋体" w:cs="华文宋体"/>
          <w:kern w:val="2"/>
          <w:sz w:val="24"/>
          <w:szCs w:val="24"/>
          <w:lang w:val="en-US" w:eastAsia="zh-CN" w:bidi="ar-SA"/>
        </w:rPr>
        <w:t>1186</w:t>
      </w:r>
    </w:p>
    <w:p w14:paraId="69E19678">
      <w:pPr>
        <w:tabs>
          <w:tab w:val="right" w:leader="middleDot" w:pos="8295"/>
        </w:tabs>
        <w:ind w:firstLine="0" w:firstLineChars="0"/>
        <w:jc w:val="left"/>
        <w:rPr>
          <w:rFonts w:hint="eastAsia"/>
        </w:rPr>
      </w:pPr>
      <w:r>
        <w:rPr>
          <w:rFonts w:hint="eastAsia"/>
        </w:rPr>
        <w:t>北京市人民政府关于城市公有房屋管理的若干规定</w:t>
      </w:r>
      <w:r>
        <w:rPr>
          <w:rFonts w:hint="eastAsia"/>
        </w:rPr>
        <w:tab/>
      </w:r>
      <w:r>
        <w:rPr>
          <w:rFonts w:hint="eastAsia" w:ascii="华文宋体" w:hAnsi="华文宋体" w:eastAsia="华文宋体" w:cs="华文宋体"/>
          <w:kern w:val="2"/>
          <w:sz w:val="24"/>
          <w:szCs w:val="24"/>
          <w:lang w:val="en-US" w:eastAsia="zh-CN" w:bidi="ar-SA"/>
        </w:rPr>
        <w:t>445</w:t>
      </w:r>
    </w:p>
    <w:p w14:paraId="373A0FCF">
      <w:pPr>
        <w:tabs>
          <w:tab w:val="right" w:leader="middleDot" w:pos="8295"/>
        </w:tabs>
        <w:ind w:firstLine="0" w:firstLineChars="0"/>
        <w:jc w:val="left"/>
        <w:rPr>
          <w:rFonts w:hint="eastAsia"/>
        </w:rPr>
      </w:pPr>
      <w:r>
        <w:rPr>
          <w:rFonts w:hint="eastAsia"/>
        </w:rPr>
        <w:t>北京市工人技师考评和聘任暂行办法</w:t>
      </w:r>
      <w:r>
        <w:rPr>
          <w:rFonts w:hint="eastAsia"/>
        </w:rPr>
        <w:tab/>
      </w:r>
      <w:r>
        <w:rPr>
          <w:rFonts w:hint="eastAsia" w:ascii="华文宋体" w:hAnsi="华文宋体" w:eastAsia="华文宋体" w:cs="华文宋体"/>
          <w:kern w:val="2"/>
          <w:sz w:val="24"/>
          <w:szCs w:val="24"/>
          <w:lang w:val="en-US" w:eastAsia="zh-CN" w:bidi="ar-SA"/>
        </w:rPr>
        <w:t>1096</w:t>
      </w:r>
    </w:p>
    <w:p w14:paraId="0F764FAB">
      <w:pPr>
        <w:tabs>
          <w:tab w:val="right" w:leader="middleDot" w:pos="8295"/>
        </w:tabs>
        <w:ind w:firstLine="0" w:firstLineChars="0"/>
        <w:jc w:val="left"/>
        <w:rPr>
          <w:rFonts w:hint="eastAsia"/>
        </w:rPr>
      </w:pPr>
      <w:r>
        <w:rPr>
          <w:rFonts w:hint="eastAsia"/>
        </w:rPr>
        <w:t>北京市安装使用电网安全管理规定</w:t>
      </w:r>
      <w:r>
        <w:rPr>
          <w:rFonts w:hint="eastAsia"/>
        </w:rPr>
        <w:tab/>
      </w:r>
      <w:r>
        <w:rPr>
          <w:rFonts w:hint="eastAsia" w:ascii="华文宋体" w:hAnsi="华文宋体" w:eastAsia="华文宋体" w:cs="华文宋体"/>
          <w:kern w:val="2"/>
          <w:sz w:val="24"/>
          <w:szCs w:val="24"/>
          <w:lang w:val="en-US" w:eastAsia="zh-CN" w:bidi="ar-SA"/>
        </w:rPr>
        <w:t>961</w:t>
      </w:r>
    </w:p>
    <w:p w14:paraId="2B972754">
      <w:pPr>
        <w:tabs>
          <w:tab w:val="right" w:leader="middleDot" w:pos="8295"/>
        </w:tabs>
        <w:ind w:firstLine="0" w:firstLineChars="0"/>
        <w:jc w:val="left"/>
        <w:rPr>
          <w:rFonts w:hint="eastAsia"/>
        </w:rPr>
      </w:pPr>
      <w:r>
        <w:rPr>
          <w:rFonts w:hint="eastAsia"/>
        </w:rPr>
        <w:t>北京市实施《中华人民共和国强制检定的工作计量器具检定管理办法》的若干规定</w:t>
      </w:r>
      <w:r>
        <w:rPr>
          <w:rFonts w:hint="eastAsia"/>
        </w:rPr>
        <w:tab/>
      </w:r>
      <w:r>
        <w:rPr>
          <w:rFonts w:hint="eastAsia" w:ascii="华文宋体" w:hAnsi="华文宋体" w:eastAsia="华文宋体" w:cs="华文宋体"/>
          <w:kern w:val="2"/>
          <w:sz w:val="24"/>
          <w:szCs w:val="24"/>
          <w:lang w:val="en-US" w:eastAsia="zh-CN" w:bidi="ar-SA"/>
        </w:rPr>
        <w:t>568</w:t>
      </w:r>
    </w:p>
    <w:p w14:paraId="7AE17B79">
      <w:pPr>
        <w:tabs>
          <w:tab w:val="right" w:leader="middleDot" w:pos="8295"/>
        </w:tabs>
        <w:ind w:firstLine="0" w:firstLineChars="0"/>
        <w:jc w:val="left"/>
        <w:rPr>
          <w:rFonts w:hint="eastAsia"/>
        </w:rPr>
      </w:pPr>
      <w:r>
        <w:rPr>
          <w:rFonts w:hint="eastAsia"/>
        </w:rPr>
        <w:t>北京市文物保护单位保护范围及建设控制地带管理规定</w:t>
      </w:r>
      <w:r>
        <w:rPr>
          <w:rFonts w:hint="eastAsia"/>
        </w:rPr>
        <w:tab/>
      </w:r>
      <w:r>
        <w:rPr>
          <w:rFonts w:hint="eastAsia" w:ascii="华文宋体" w:hAnsi="华文宋体" w:eastAsia="华文宋体" w:cs="华文宋体"/>
          <w:kern w:val="2"/>
          <w:sz w:val="24"/>
          <w:szCs w:val="24"/>
          <w:lang w:val="en-US" w:eastAsia="zh-CN" w:bidi="ar-SA"/>
        </w:rPr>
        <w:t>813</w:t>
      </w:r>
    </w:p>
    <w:p w14:paraId="6CA4639C">
      <w:pPr>
        <w:tabs>
          <w:tab w:val="right" w:leader="middleDot" w:pos="8295"/>
        </w:tabs>
        <w:ind w:firstLine="0" w:firstLineChars="0"/>
        <w:jc w:val="left"/>
      </w:pPr>
    </w:p>
    <w:p w14:paraId="2E56ED56">
      <w:pPr>
        <w:tabs>
          <w:tab w:val="right" w:leader="middleDot" w:pos="8295"/>
        </w:tabs>
        <w:ind w:firstLine="0" w:firstLineChars="0"/>
        <w:jc w:val="center"/>
        <w:rPr>
          <w:rFonts w:hint="eastAsia"/>
          <w:sz w:val="28"/>
        </w:rPr>
      </w:pPr>
      <w:r>
        <w:rPr>
          <w:rFonts w:hint="eastAsia"/>
          <w:sz w:val="28"/>
        </w:rPr>
        <w:t>一九八八年</w:t>
      </w:r>
    </w:p>
    <w:p w14:paraId="306AB31A">
      <w:pPr>
        <w:tabs>
          <w:tab w:val="right" w:leader="middleDot" w:pos="8295"/>
        </w:tabs>
        <w:ind w:firstLine="0" w:firstLineChars="0"/>
        <w:jc w:val="left"/>
      </w:pPr>
    </w:p>
    <w:p w14:paraId="3349D074">
      <w:pPr>
        <w:tabs>
          <w:tab w:val="right" w:leader="middleDot" w:pos="8295"/>
        </w:tabs>
        <w:ind w:firstLine="0" w:firstLineChars="0"/>
        <w:jc w:val="left"/>
        <w:rPr>
          <w:rFonts w:hint="eastAsia"/>
        </w:rPr>
      </w:pPr>
      <w:r>
        <w:rPr>
          <w:rFonts w:hint="eastAsia"/>
        </w:rPr>
        <w:t>北京市人民代表大会常务委员会议事规则</w:t>
      </w:r>
      <w:r>
        <w:rPr>
          <w:rFonts w:hint="eastAsia"/>
        </w:rPr>
        <w:tab/>
      </w:r>
      <w:r>
        <w:rPr>
          <w:rFonts w:hint="eastAsia" w:ascii="华文宋体" w:hAnsi="华文宋体" w:eastAsia="华文宋体" w:cs="华文宋体"/>
          <w:kern w:val="2"/>
          <w:sz w:val="24"/>
          <w:szCs w:val="24"/>
          <w:lang w:val="en-US" w:eastAsia="zh-CN" w:bidi="ar-SA"/>
        </w:rPr>
        <w:t>29</w:t>
      </w:r>
    </w:p>
    <w:p w14:paraId="778C9FBB">
      <w:pPr>
        <w:tabs>
          <w:tab w:val="right" w:leader="middleDot" w:pos="8295"/>
        </w:tabs>
        <w:ind w:firstLine="0" w:firstLineChars="0"/>
        <w:jc w:val="left"/>
        <w:rPr>
          <w:rFonts w:hint="eastAsia"/>
        </w:rPr>
      </w:pPr>
      <w:r>
        <w:rPr>
          <w:rFonts w:hint="eastAsia"/>
        </w:rPr>
        <w:t>北京市未成年人保护条例</w:t>
      </w:r>
      <w:r>
        <w:rPr>
          <w:rFonts w:hint="eastAsia"/>
        </w:rPr>
        <w:tab/>
      </w:r>
      <w:r>
        <w:rPr>
          <w:rFonts w:hint="eastAsia" w:ascii="华文宋体" w:hAnsi="华文宋体" w:eastAsia="华文宋体" w:cs="华文宋体"/>
          <w:kern w:val="2"/>
          <w:sz w:val="24"/>
          <w:szCs w:val="24"/>
          <w:lang w:val="en-US" w:eastAsia="zh-CN" w:bidi="ar-SA"/>
        </w:rPr>
        <w:t>1038</w:t>
      </w:r>
    </w:p>
    <w:p w14:paraId="46FA3545">
      <w:pPr>
        <w:tabs>
          <w:tab w:val="right" w:leader="middleDot" w:pos="8295"/>
        </w:tabs>
        <w:ind w:firstLine="0" w:firstLineChars="0"/>
        <w:jc w:val="left"/>
        <w:rPr>
          <w:rFonts w:hint="eastAsia"/>
        </w:rPr>
      </w:pPr>
      <w:r>
        <w:rPr>
          <w:rFonts w:hint="eastAsia"/>
        </w:rPr>
        <w:t>关于城市干道两侧隔离带内现有村镇建设管理的若干规定</w:t>
      </w:r>
      <w:r>
        <w:rPr>
          <w:rFonts w:hint="eastAsia"/>
        </w:rPr>
        <w:tab/>
      </w:r>
      <w:r>
        <w:rPr>
          <w:rFonts w:hint="eastAsia" w:ascii="华文宋体" w:hAnsi="华文宋体" w:eastAsia="华文宋体" w:cs="华文宋体"/>
          <w:kern w:val="2"/>
          <w:sz w:val="24"/>
          <w:szCs w:val="24"/>
          <w:lang w:val="en-US" w:eastAsia="zh-CN" w:bidi="ar-SA"/>
        </w:rPr>
        <w:t>383</w:t>
      </w:r>
    </w:p>
    <w:p w14:paraId="21A921FF">
      <w:pPr>
        <w:tabs>
          <w:tab w:val="right" w:leader="middleDot" w:pos="8295"/>
        </w:tabs>
        <w:ind w:firstLine="0" w:firstLineChars="0"/>
        <w:jc w:val="left"/>
        <w:rPr>
          <w:rFonts w:hint="eastAsia"/>
        </w:rPr>
      </w:pPr>
      <w:r>
        <w:rPr>
          <w:rFonts w:hint="eastAsia"/>
        </w:rPr>
        <w:t>北京市城市建设临时用地和临时建设工程管理暂行规定</w:t>
      </w:r>
      <w:r>
        <w:rPr>
          <w:rFonts w:hint="eastAsia"/>
        </w:rPr>
        <w:tab/>
      </w:r>
      <w:r>
        <w:rPr>
          <w:rFonts w:hint="eastAsia" w:ascii="华文宋体" w:hAnsi="华文宋体" w:eastAsia="华文宋体" w:cs="华文宋体"/>
          <w:kern w:val="2"/>
          <w:sz w:val="24"/>
          <w:szCs w:val="24"/>
          <w:lang w:val="en-US" w:eastAsia="zh-CN" w:bidi="ar-SA"/>
        </w:rPr>
        <w:t>384</w:t>
      </w:r>
    </w:p>
    <w:p w14:paraId="5BF210D7">
      <w:pPr>
        <w:tabs>
          <w:tab w:val="right" w:leader="middleDot" w:pos="8295"/>
        </w:tabs>
        <w:ind w:firstLine="0" w:firstLineChars="0"/>
        <w:jc w:val="left"/>
        <w:rPr>
          <w:rFonts w:hint="eastAsia"/>
        </w:rPr>
      </w:pPr>
      <w:r>
        <w:rPr>
          <w:rFonts w:hint="eastAsia"/>
        </w:rPr>
        <w:t>北京市水域游船安全管理规定</w:t>
      </w:r>
      <w:r>
        <w:rPr>
          <w:rFonts w:hint="eastAsia"/>
        </w:rPr>
        <w:tab/>
      </w:r>
      <w:r>
        <w:rPr>
          <w:rFonts w:hint="eastAsia" w:ascii="华文宋体" w:hAnsi="华文宋体" w:eastAsia="华文宋体" w:cs="华文宋体"/>
          <w:kern w:val="2"/>
          <w:sz w:val="24"/>
          <w:szCs w:val="24"/>
          <w:lang w:val="en-US" w:eastAsia="zh-CN" w:bidi="ar-SA"/>
        </w:rPr>
        <w:t>914</w:t>
      </w:r>
    </w:p>
    <w:p w14:paraId="70C19C18">
      <w:pPr>
        <w:tabs>
          <w:tab w:val="right" w:leader="middleDot" w:pos="8295"/>
        </w:tabs>
        <w:ind w:firstLine="0" w:firstLineChars="0"/>
        <w:jc w:val="left"/>
        <w:rPr>
          <w:rFonts w:hint="eastAsia"/>
        </w:rPr>
      </w:pPr>
      <w:r>
        <w:rPr>
          <w:rFonts w:hint="eastAsia"/>
        </w:rPr>
        <w:t>关于生产经营清真食品必须尊重少数民族风俗习惯的若干规定</w:t>
      </w:r>
      <w:r>
        <w:rPr>
          <w:rFonts w:hint="eastAsia"/>
        </w:rPr>
        <w:tab/>
      </w:r>
      <w:r>
        <w:rPr>
          <w:rFonts w:hint="eastAsia" w:ascii="华文宋体" w:hAnsi="华文宋体" w:eastAsia="华文宋体" w:cs="华文宋体"/>
          <w:kern w:val="2"/>
          <w:sz w:val="24"/>
          <w:szCs w:val="24"/>
          <w:lang w:val="en-US" w:eastAsia="zh-CN" w:bidi="ar-SA"/>
        </w:rPr>
        <w:t>109</w:t>
      </w:r>
    </w:p>
    <w:p w14:paraId="5EF69B5D">
      <w:pPr>
        <w:tabs>
          <w:tab w:val="right" w:leader="middleDot" w:pos="8295"/>
        </w:tabs>
        <w:ind w:firstLine="0" w:firstLineChars="0"/>
        <w:jc w:val="left"/>
        <w:rPr>
          <w:rFonts w:hint="eastAsia"/>
        </w:rPr>
      </w:pPr>
      <w:r>
        <w:rPr>
          <w:rFonts w:hint="eastAsia"/>
        </w:rPr>
        <w:t>北京市用水单位水量平衡测试管理规定</w:t>
      </w:r>
      <w:r>
        <w:rPr>
          <w:rFonts w:hint="eastAsia"/>
        </w:rPr>
        <w:tab/>
      </w:r>
      <w:r>
        <w:rPr>
          <w:rFonts w:hint="eastAsia" w:ascii="华文宋体" w:hAnsi="华文宋体" w:eastAsia="华文宋体" w:cs="华文宋体"/>
          <w:kern w:val="2"/>
          <w:sz w:val="24"/>
          <w:szCs w:val="24"/>
          <w:lang w:val="en-US" w:eastAsia="zh-CN" w:bidi="ar-SA"/>
        </w:rPr>
        <w:t>1187</w:t>
      </w:r>
    </w:p>
    <w:p w14:paraId="6B501D0E">
      <w:pPr>
        <w:tabs>
          <w:tab w:val="right" w:leader="middleDot" w:pos="8295"/>
        </w:tabs>
        <w:ind w:firstLine="0" w:firstLineChars="0"/>
        <w:jc w:val="left"/>
        <w:rPr>
          <w:rFonts w:hint="eastAsia"/>
        </w:rPr>
      </w:pPr>
      <w:r>
        <w:rPr>
          <w:rFonts w:hint="eastAsia"/>
        </w:rPr>
        <w:t>北京市人民政府关于外地建筑企业来京施工管理暂行规定</w:t>
      </w:r>
      <w:r>
        <w:rPr>
          <w:rFonts w:hint="eastAsia"/>
        </w:rPr>
        <w:tab/>
      </w:r>
      <w:r>
        <w:rPr>
          <w:rFonts w:hint="eastAsia" w:ascii="华文宋体" w:hAnsi="华文宋体" w:eastAsia="华文宋体" w:cs="华文宋体"/>
          <w:kern w:val="2"/>
          <w:sz w:val="24"/>
          <w:szCs w:val="24"/>
          <w:lang w:val="en-US" w:eastAsia="zh-CN" w:bidi="ar-SA"/>
        </w:rPr>
        <w:t>385</w:t>
      </w:r>
    </w:p>
    <w:p w14:paraId="20AD1305">
      <w:pPr>
        <w:tabs>
          <w:tab w:val="right" w:leader="middleDot" w:pos="8295"/>
        </w:tabs>
        <w:ind w:firstLine="0" w:firstLineChars="0"/>
        <w:jc w:val="left"/>
        <w:rPr>
          <w:rFonts w:hint="eastAsia"/>
        </w:rPr>
      </w:pPr>
      <w:r>
        <w:rPr>
          <w:rFonts w:hint="eastAsia"/>
        </w:rPr>
        <w:t>北京市生活居住建筑间距暂行规定</w:t>
      </w:r>
      <w:r>
        <w:rPr>
          <w:rFonts w:hint="eastAsia"/>
        </w:rPr>
        <w:tab/>
      </w:r>
      <w:r>
        <w:rPr>
          <w:rFonts w:hint="eastAsia" w:ascii="华文宋体" w:hAnsi="华文宋体" w:eastAsia="华文宋体" w:cs="华文宋体"/>
          <w:kern w:val="2"/>
          <w:sz w:val="24"/>
          <w:szCs w:val="24"/>
          <w:lang w:val="en-US" w:eastAsia="zh-CN" w:bidi="ar-SA"/>
        </w:rPr>
        <w:t>387</w:t>
      </w:r>
    </w:p>
    <w:p w14:paraId="0D0FBBE4">
      <w:pPr>
        <w:tabs>
          <w:tab w:val="right" w:leader="middleDot" w:pos="8295"/>
        </w:tabs>
        <w:ind w:firstLine="0" w:firstLineChars="0"/>
        <w:jc w:val="left"/>
        <w:rPr>
          <w:rFonts w:hint="eastAsia"/>
        </w:rPr>
      </w:pPr>
      <w:r>
        <w:rPr>
          <w:rFonts w:hint="eastAsia"/>
        </w:rPr>
        <w:t>关于加强建设工程施工现场治安保卫工作的规定</w:t>
      </w:r>
      <w:r>
        <w:rPr>
          <w:rFonts w:hint="eastAsia"/>
        </w:rPr>
        <w:tab/>
      </w:r>
      <w:r>
        <w:rPr>
          <w:rFonts w:hint="eastAsia" w:ascii="华文宋体" w:hAnsi="华文宋体" w:eastAsia="华文宋体" w:cs="华文宋体"/>
          <w:kern w:val="2"/>
          <w:sz w:val="24"/>
          <w:szCs w:val="24"/>
          <w:lang w:val="en-US" w:eastAsia="zh-CN" w:bidi="ar-SA"/>
        </w:rPr>
        <w:t>915</w:t>
      </w:r>
    </w:p>
    <w:p w14:paraId="4C3C18B4">
      <w:pPr>
        <w:tabs>
          <w:tab w:val="right" w:leader="middleDot" w:pos="8295"/>
        </w:tabs>
        <w:ind w:firstLine="0" w:firstLineChars="0"/>
        <w:jc w:val="left"/>
        <w:rPr>
          <w:rFonts w:hint="eastAsia"/>
        </w:rPr>
      </w:pPr>
      <w:r>
        <w:rPr>
          <w:rFonts w:hint="eastAsia"/>
        </w:rPr>
        <w:t>北京市城市雕塑建设管理暂行规定</w:t>
      </w:r>
      <w:r>
        <w:rPr>
          <w:rFonts w:hint="eastAsia"/>
        </w:rPr>
        <w:tab/>
      </w:r>
      <w:r>
        <w:rPr>
          <w:rFonts w:hint="eastAsia" w:ascii="华文宋体" w:hAnsi="华文宋体" w:eastAsia="华文宋体" w:cs="华文宋体"/>
          <w:kern w:val="2"/>
          <w:sz w:val="24"/>
          <w:szCs w:val="24"/>
          <w:lang w:val="en-US" w:eastAsia="zh-CN" w:bidi="ar-SA"/>
        </w:rPr>
        <w:t>1188</w:t>
      </w:r>
    </w:p>
    <w:p w14:paraId="50341F80">
      <w:pPr>
        <w:tabs>
          <w:tab w:val="right" w:leader="middleDot" w:pos="8295"/>
        </w:tabs>
        <w:ind w:firstLine="0" w:firstLineChars="0"/>
        <w:jc w:val="left"/>
        <w:rPr>
          <w:rFonts w:hint="eastAsia"/>
        </w:rPr>
      </w:pPr>
      <w:r>
        <w:rPr>
          <w:rFonts w:hint="eastAsia"/>
        </w:rPr>
        <w:t>北京市实施《中华人民共和国城镇土地使用税暂行条例》办法</w:t>
      </w:r>
      <w:r>
        <w:rPr>
          <w:rFonts w:hint="eastAsia"/>
        </w:rPr>
        <w:tab/>
      </w:r>
      <w:r>
        <w:rPr>
          <w:rFonts w:hint="eastAsia" w:ascii="华文宋体" w:hAnsi="华文宋体" w:eastAsia="华文宋体" w:cs="华文宋体"/>
          <w:kern w:val="2"/>
          <w:sz w:val="24"/>
          <w:szCs w:val="24"/>
          <w:lang w:val="en-US" w:eastAsia="zh-CN" w:bidi="ar-SA"/>
        </w:rPr>
        <w:t>232</w:t>
      </w:r>
    </w:p>
    <w:p w14:paraId="45C378BF">
      <w:pPr>
        <w:tabs>
          <w:tab w:val="right" w:leader="middleDot" w:pos="8295"/>
        </w:tabs>
        <w:ind w:firstLine="0" w:firstLineChars="0"/>
        <w:jc w:val="left"/>
      </w:pPr>
    </w:p>
    <w:p w14:paraId="7921CF7D">
      <w:pPr>
        <w:tabs>
          <w:tab w:val="right" w:leader="middleDot" w:pos="8295"/>
        </w:tabs>
        <w:ind w:firstLine="0" w:firstLineChars="0"/>
        <w:jc w:val="center"/>
        <w:rPr>
          <w:rFonts w:hint="eastAsia"/>
          <w:sz w:val="28"/>
        </w:rPr>
      </w:pPr>
      <w:r>
        <w:rPr>
          <w:rFonts w:hint="eastAsia"/>
          <w:sz w:val="28"/>
        </w:rPr>
        <w:t>一九八九年</w:t>
      </w:r>
    </w:p>
    <w:p w14:paraId="7E36A2B0">
      <w:pPr>
        <w:tabs>
          <w:tab w:val="right" w:leader="middleDot" w:pos="8295"/>
        </w:tabs>
        <w:ind w:firstLine="0" w:firstLineChars="0"/>
        <w:jc w:val="left"/>
      </w:pPr>
    </w:p>
    <w:p w14:paraId="15DF5F2B">
      <w:pPr>
        <w:tabs>
          <w:tab w:val="right" w:leader="middleDot" w:pos="8295"/>
        </w:tabs>
        <w:ind w:firstLine="0" w:firstLineChars="0"/>
        <w:jc w:val="left"/>
        <w:rPr>
          <w:rFonts w:hint="eastAsia"/>
        </w:rPr>
      </w:pPr>
      <w:r>
        <w:rPr>
          <w:rFonts w:hint="eastAsia"/>
        </w:rPr>
        <w:t>北京市实施《中华人民共和国野生动物保护法》办法</w:t>
      </w:r>
      <w:r>
        <w:rPr>
          <w:rFonts w:hint="eastAsia"/>
        </w:rPr>
        <w:tab/>
      </w:r>
      <w:r>
        <w:rPr>
          <w:rFonts w:hint="eastAsia" w:ascii="华文宋体" w:hAnsi="华文宋体" w:eastAsia="华文宋体" w:cs="华文宋体"/>
          <w:kern w:val="2"/>
          <w:sz w:val="24"/>
          <w:szCs w:val="24"/>
          <w:lang w:val="en-US" w:eastAsia="zh-CN" w:bidi="ar-SA"/>
        </w:rPr>
        <w:t>1392</w:t>
      </w:r>
    </w:p>
    <w:p w14:paraId="3C5FA8FC">
      <w:pPr>
        <w:tabs>
          <w:tab w:val="right" w:leader="middleDot" w:pos="8295"/>
        </w:tabs>
        <w:ind w:firstLine="0" w:firstLineChars="0"/>
        <w:jc w:val="left"/>
        <w:rPr>
          <w:rFonts w:hint="eastAsia"/>
        </w:rPr>
      </w:pPr>
      <w:r>
        <w:rPr>
          <w:rFonts w:hint="eastAsia"/>
        </w:rPr>
        <w:t>北京市乡、民族乡、镇人民代表大会组织条例</w:t>
      </w:r>
      <w:r>
        <w:rPr>
          <w:rFonts w:hint="eastAsia"/>
        </w:rPr>
        <w:tab/>
      </w:r>
      <w:r>
        <w:rPr>
          <w:rFonts w:hint="eastAsia" w:ascii="华文宋体" w:hAnsi="华文宋体" w:eastAsia="华文宋体" w:cs="华文宋体"/>
          <w:kern w:val="2"/>
          <w:sz w:val="24"/>
          <w:szCs w:val="24"/>
          <w:lang w:val="en-US" w:eastAsia="zh-CN" w:bidi="ar-SA"/>
        </w:rPr>
        <w:t>34</w:t>
      </w:r>
    </w:p>
    <w:p w14:paraId="17729EDB">
      <w:pPr>
        <w:tabs>
          <w:tab w:val="right" w:leader="middleDot" w:pos="8295"/>
        </w:tabs>
        <w:ind w:firstLine="0" w:firstLineChars="0"/>
        <w:jc w:val="left"/>
        <w:rPr>
          <w:rFonts w:hint="eastAsia"/>
        </w:rPr>
      </w:pPr>
      <w:r>
        <w:rPr>
          <w:rFonts w:hint="eastAsia"/>
        </w:rPr>
        <w:t>北京市实施《中华人民共和国集会游行示威法》办法</w:t>
      </w:r>
      <w:r>
        <w:rPr>
          <w:rFonts w:hint="eastAsia"/>
        </w:rPr>
        <w:tab/>
      </w:r>
      <w:r>
        <w:rPr>
          <w:rFonts w:hint="eastAsia" w:ascii="华文宋体" w:hAnsi="华文宋体" w:eastAsia="华文宋体" w:cs="华文宋体"/>
          <w:kern w:val="2"/>
          <w:sz w:val="24"/>
          <w:szCs w:val="24"/>
          <w:lang w:val="en-US" w:eastAsia="zh-CN" w:bidi="ar-SA"/>
        </w:rPr>
        <w:t>168</w:t>
      </w:r>
    </w:p>
    <w:p w14:paraId="0DF095A3">
      <w:pPr>
        <w:tabs>
          <w:tab w:val="right" w:leader="middleDot" w:pos="8295"/>
        </w:tabs>
        <w:ind w:firstLine="0" w:firstLineChars="0"/>
        <w:jc w:val="left"/>
        <w:rPr>
          <w:rFonts w:hint="eastAsia"/>
        </w:rPr>
      </w:pPr>
      <w:r>
        <w:rPr>
          <w:rFonts w:hint="eastAsia"/>
        </w:rPr>
        <w:t>北京市实施《退伍义务兵安置条例》的若干规定</w:t>
      </w:r>
      <w:r>
        <w:rPr>
          <w:rFonts w:hint="eastAsia"/>
        </w:rPr>
        <w:tab/>
      </w:r>
      <w:r>
        <w:rPr>
          <w:rFonts w:hint="eastAsia" w:ascii="华文宋体" w:hAnsi="华文宋体" w:eastAsia="华文宋体" w:cs="华文宋体"/>
          <w:kern w:val="2"/>
          <w:sz w:val="24"/>
          <w:szCs w:val="24"/>
          <w:lang w:val="en-US" w:eastAsia="zh-CN" w:bidi="ar-SA"/>
        </w:rPr>
        <w:t>187</w:t>
      </w:r>
    </w:p>
    <w:p w14:paraId="34D1BE32">
      <w:pPr>
        <w:tabs>
          <w:tab w:val="right" w:leader="middleDot" w:pos="8295"/>
        </w:tabs>
        <w:ind w:firstLine="0" w:firstLineChars="0"/>
        <w:jc w:val="left"/>
        <w:rPr>
          <w:rFonts w:hint="eastAsia"/>
        </w:rPr>
      </w:pPr>
      <w:r>
        <w:rPr>
          <w:rFonts w:hint="eastAsia"/>
        </w:rPr>
        <w:t>北京市铁路干线两侧隔离带规划建设管理暂行规定</w:t>
      </w:r>
      <w:r>
        <w:rPr>
          <w:rFonts w:hint="eastAsia"/>
        </w:rPr>
        <w:tab/>
      </w:r>
      <w:r>
        <w:rPr>
          <w:rFonts w:hint="eastAsia" w:ascii="华文宋体" w:hAnsi="华文宋体" w:eastAsia="华文宋体" w:cs="华文宋体"/>
          <w:kern w:val="2"/>
          <w:sz w:val="24"/>
          <w:szCs w:val="24"/>
          <w:lang w:val="en-US" w:eastAsia="zh-CN" w:bidi="ar-SA"/>
        </w:rPr>
        <w:t>283</w:t>
      </w:r>
    </w:p>
    <w:p w14:paraId="24A8E25F">
      <w:pPr>
        <w:tabs>
          <w:tab w:val="right" w:leader="middleDot" w:pos="8295"/>
        </w:tabs>
        <w:ind w:firstLine="0" w:firstLineChars="0"/>
        <w:jc w:val="left"/>
        <w:rPr>
          <w:rFonts w:hint="eastAsia"/>
        </w:rPr>
      </w:pPr>
      <w:r>
        <w:rPr>
          <w:rFonts w:hint="eastAsia"/>
        </w:rPr>
        <w:t>北京市大中型公共建筑停车场建设管理暂行规定</w:t>
      </w:r>
      <w:r>
        <w:rPr>
          <w:rFonts w:hint="eastAsia"/>
        </w:rPr>
        <w:tab/>
      </w:r>
      <w:r>
        <w:rPr>
          <w:rFonts w:hint="eastAsia" w:ascii="华文宋体" w:hAnsi="华文宋体" w:eastAsia="华文宋体" w:cs="华文宋体"/>
          <w:kern w:val="2"/>
          <w:sz w:val="24"/>
          <w:szCs w:val="24"/>
          <w:lang w:val="en-US" w:eastAsia="zh-CN" w:bidi="ar-SA"/>
        </w:rPr>
        <w:t>285</w:t>
      </w:r>
    </w:p>
    <w:p w14:paraId="28B4E8CC">
      <w:pPr>
        <w:tabs>
          <w:tab w:val="right" w:leader="middleDot" w:pos="8295"/>
        </w:tabs>
        <w:ind w:firstLine="0" w:firstLineChars="0"/>
        <w:jc w:val="left"/>
        <w:rPr>
          <w:rFonts w:hint="eastAsia"/>
        </w:rPr>
      </w:pPr>
      <w:r>
        <w:rPr>
          <w:rFonts w:hint="eastAsia"/>
        </w:rPr>
        <w:t>北京市城镇私有房屋翻建扩建规划管理若干规定</w:t>
      </w:r>
      <w:r>
        <w:rPr>
          <w:rFonts w:hint="eastAsia"/>
        </w:rPr>
        <w:tab/>
      </w:r>
      <w:r>
        <w:rPr>
          <w:rFonts w:hint="eastAsia" w:ascii="华文宋体" w:hAnsi="华文宋体" w:eastAsia="华文宋体" w:cs="华文宋体"/>
          <w:kern w:val="2"/>
          <w:sz w:val="24"/>
          <w:szCs w:val="24"/>
          <w:lang w:val="en-US" w:eastAsia="zh-CN" w:bidi="ar-SA"/>
        </w:rPr>
        <w:t>390</w:t>
      </w:r>
    </w:p>
    <w:p w14:paraId="6C8A5D4F">
      <w:pPr>
        <w:tabs>
          <w:tab w:val="right" w:leader="middleDot" w:pos="8295"/>
        </w:tabs>
        <w:ind w:firstLine="0" w:firstLineChars="0"/>
        <w:jc w:val="left"/>
        <w:rPr>
          <w:rFonts w:hint="eastAsia"/>
        </w:rPr>
      </w:pPr>
      <w:r>
        <w:rPr>
          <w:rFonts w:hint="eastAsia"/>
        </w:rPr>
        <w:t>北京市文物保护单位巡视检查报告制度暂行规定</w:t>
      </w:r>
      <w:r>
        <w:rPr>
          <w:rFonts w:hint="eastAsia"/>
        </w:rPr>
        <w:tab/>
      </w:r>
      <w:r>
        <w:rPr>
          <w:rFonts w:hint="eastAsia" w:ascii="华文宋体" w:hAnsi="华文宋体" w:eastAsia="华文宋体" w:cs="华文宋体"/>
          <w:kern w:val="2"/>
          <w:sz w:val="24"/>
          <w:szCs w:val="24"/>
          <w:lang w:val="en-US" w:eastAsia="zh-CN" w:bidi="ar-SA"/>
        </w:rPr>
        <w:t>815</w:t>
      </w:r>
    </w:p>
    <w:p w14:paraId="789F3A41">
      <w:pPr>
        <w:tabs>
          <w:tab w:val="right" w:leader="middleDot" w:pos="8295"/>
        </w:tabs>
        <w:ind w:firstLine="0" w:firstLineChars="0"/>
        <w:jc w:val="left"/>
        <w:rPr>
          <w:rFonts w:hint="eastAsia"/>
        </w:rPr>
      </w:pPr>
      <w:r>
        <w:rPr>
          <w:rFonts w:hint="eastAsia"/>
        </w:rPr>
        <w:t>北京市城市道路和公共场所环境卫生管理若干规定</w:t>
      </w:r>
      <w:r>
        <w:rPr>
          <w:rFonts w:hint="eastAsia"/>
        </w:rPr>
        <w:tab/>
      </w:r>
      <w:r>
        <w:rPr>
          <w:rFonts w:hint="eastAsia" w:ascii="华文宋体" w:hAnsi="华文宋体" w:eastAsia="华文宋体" w:cs="华文宋体"/>
          <w:kern w:val="2"/>
          <w:sz w:val="24"/>
          <w:szCs w:val="24"/>
          <w:lang w:val="en-US" w:eastAsia="zh-CN" w:bidi="ar-SA"/>
        </w:rPr>
        <w:t>1189</w:t>
      </w:r>
    </w:p>
    <w:p w14:paraId="01A9CCFD">
      <w:pPr>
        <w:tabs>
          <w:tab w:val="right" w:leader="middleDot" w:pos="8295"/>
        </w:tabs>
        <w:ind w:firstLine="0" w:firstLineChars="0"/>
        <w:jc w:val="left"/>
        <w:rPr>
          <w:rFonts w:hint="eastAsia"/>
        </w:rPr>
      </w:pPr>
      <w:r>
        <w:rPr>
          <w:rFonts w:hint="eastAsia"/>
        </w:rPr>
        <w:t>北京市实施《中华人民共和国河道管理条例》和《北京市水利工程保护管理条例》的若干规定</w:t>
      </w:r>
      <w:r>
        <w:rPr>
          <w:rFonts w:hint="eastAsia"/>
        </w:rPr>
        <w:tab/>
      </w:r>
      <w:r>
        <w:rPr>
          <w:rFonts w:hint="eastAsia" w:ascii="华文宋体" w:hAnsi="华文宋体" w:eastAsia="华文宋体" w:cs="华文宋体"/>
          <w:kern w:val="2"/>
          <w:sz w:val="24"/>
          <w:szCs w:val="24"/>
          <w:lang w:val="en-US" w:eastAsia="zh-CN" w:bidi="ar-SA"/>
        </w:rPr>
        <w:t>1423</w:t>
      </w:r>
    </w:p>
    <w:p w14:paraId="37F5C796">
      <w:pPr>
        <w:tabs>
          <w:tab w:val="right" w:leader="middleDot" w:pos="8295"/>
        </w:tabs>
        <w:ind w:firstLine="0" w:firstLineChars="0"/>
        <w:jc w:val="left"/>
        <w:rPr>
          <w:rFonts w:hint="eastAsia"/>
        </w:rPr>
      </w:pPr>
      <w:r>
        <w:rPr>
          <w:rFonts w:hint="eastAsia"/>
        </w:rPr>
        <w:t>北京市人民政府关于加强农村村民建房用地管理若干规定</w:t>
      </w:r>
      <w:r>
        <w:rPr>
          <w:rFonts w:hint="eastAsia"/>
        </w:rPr>
        <w:tab/>
      </w:r>
      <w:r>
        <w:rPr>
          <w:rFonts w:hint="eastAsia" w:ascii="华文宋体" w:hAnsi="华文宋体" w:eastAsia="华文宋体" w:cs="华文宋体"/>
          <w:kern w:val="2"/>
          <w:sz w:val="24"/>
          <w:szCs w:val="24"/>
          <w:lang w:val="en-US" w:eastAsia="zh-CN" w:bidi="ar-SA"/>
        </w:rPr>
        <w:t>1347</w:t>
      </w:r>
    </w:p>
    <w:p w14:paraId="27C9D645">
      <w:pPr>
        <w:tabs>
          <w:tab w:val="right" w:leader="middleDot" w:pos="8295"/>
        </w:tabs>
        <w:ind w:firstLine="0" w:firstLineChars="0"/>
        <w:jc w:val="left"/>
        <w:rPr>
          <w:rFonts w:hint="eastAsia" w:ascii="华文宋体" w:hAnsi="华文宋体" w:eastAsia="华文宋体" w:cs="华文宋体"/>
          <w:kern w:val="2"/>
          <w:sz w:val="24"/>
          <w:szCs w:val="24"/>
          <w:lang w:val="en-US" w:eastAsia="zh-CN" w:bidi="ar-SA"/>
        </w:rPr>
      </w:pPr>
      <w:r>
        <w:rPr>
          <w:rFonts w:hint="eastAsia"/>
        </w:rPr>
        <w:t>北京市实施《女职工劳动保护规定》的若干规定</w:t>
      </w:r>
      <w:r>
        <w:rPr>
          <w:rFonts w:hint="eastAsia"/>
        </w:rPr>
        <w:tab/>
      </w:r>
      <w:r>
        <w:rPr>
          <w:rFonts w:hint="eastAsia" w:ascii="华文宋体" w:hAnsi="华文宋体" w:eastAsia="华文宋体" w:cs="华文宋体"/>
          <w:kern w:val="2"/>
          <w:sz w:val="24"/>
          <w:szCs w:val="24"/>
          <w:lang w:val="en-US" w:eastAsia="zh-CN" w:bidi="ar-SA"/>
        </w:rPr>
        <w:t>1072</w:t>
      </w:r>
    </w:p>
    <w:p w14:paraId="66DABFAB">
      <w:pPr>
        <w:tabs>
          <w:tab w:val="right" w:leader="middleDot" w:pos="8295"/>
        </w:tabs>
        <w:ind w:firstLine="0" w:firstLineChars="0"/>
        <w:jc w:val="left"/>
        <w:rPr>
          <w:rFonts w:hint="eastAsia"/>
        </w:rPr>
      </w:pPr>
    </w:p>
    <w:p w14:paraId="7FD472F0">
      <w:pPr>
        <w:tabs>
          <w:tab w:val="right" w:leader="middleDot" w:pos="8295"/>
        </w:tabs>
        <w:ind w:firstLine="0" w:firstLineChars="0"/>
        <w:jc w:val="left"/>
      </w:pPr>
    </w:p>
    <w:p w14:paraId="2F650E09">
      <w:pPr>
        <w:tabs>
          <w:tab w:val="right" w:leader="middleDot" w:pos="8295"/>
        </w:tabs>
        <w:ind w:firstLine="0" w:firstLineChars="0"/>
        <w:jc w:val="center"/>
        <w:rPr>
          <w:rFonts w:hint="eastAsia"/>
          <w:sz w:val="28"/>
        </w:rPr>
      </w:pPr>
      <w:r>
        <w:rPr>
          <w:rFonts w:hint="eastAsia"/>
          <w:sz w:val="28"/>
        </w:rPr>
        <w:t>一九九零年</w:t>
      </w:r>
    </w:p>
    <w:p w14:paraId="12A830EE">
      <w:pPr>
        <w:tabs>
          <w:tab w:val="right" w:leader="middleDot" w:pos="8295"/>
        </w:tabs>
        <w:ind w:firstLine="0" w:firstLineChars="0"/>
        <w:jc w:val="left"/>
      </w:pPr>
    </w:p>
    <w:p w14:paraId="7DD31990">
      <w:pPr>
        <w:tabs>
          <w:tab w:val="right" w:leader="middleDot" w:pos="8295"/>
        </w:tabs>
        <w:ind w:firstLine="0" w:firstLineChars="0"/>
        <w:jc w:val="left"/>
        <w:rPr>
          <w:rFonts w:hint="eastAsia"/>
        </w:rPr>
      </w:pPr>
      <w:r>
        <w:rPr>
          <w:rFonts w:hint="eastAsia"/>
        </w:rPr>
        <w:t>北京市人民代表大会议事规则</w:t>
      </w:r>
      <w:r>
        <w:rPr>
          <w:rFonts w:hint="eastAsia"/>
        </w:rPr>
        <w:tab/>
      </w:r>
      <w:r>
        <w:rPr>
          <w:rFonts w:hint="eastAsia" w:ascii="华文宋体" w:hAnsi="华文宋体" w:eastAsia="华文宋体" w:cs="华文宋体"/>
          <w:kern w:val="2"/>
          <w:sz w:val="24"/>
          <w:szCs w:val="24"/>
          <w:lang w:val="en-US" w:eastAsia="zh-CN" w:bidi="ar-SA"/>
        </w:rPr>
        <w:t>40</w:t>
      </w:r>
    </w:p>
    <w:p w14:paraId="64848ABA">
      <w:pPr>
        <w:tabs>
          <w:tab w:val="right" w:leader="middleDot" w:pos="8295"/>
        </w:tabs>
        <w:ind w:firstLine="0" w:firstLineChars="0"/>
        <w:jc w:val="left"/>
        <w:rPr>
          <w:rFonts w:hint="eastAsia"/>
        </w:rPr>
      </w:pPr>
      <w:r>
        <w:rPr>
          <w:rFonts w:hint="eastAsia"/>
        </w:rPr>
        <w:t>北京市实施《中华人民共和国渔业法》办法</w:t>
      </w:r>
      <w:r>
        <w:rPr>
          <w:rFonts w:hint="eastAsia"/>
        </w:rPr>
        <w:tab/>
      </w:r>
      <w:r>
        <w:rPr>
          <w:rFonts w:hint="eastAsia" w:ascii="华文宋体" w:hAnsi="华文宋体" w:eastAsia="华文宋体" w:cs="华文宋体"/>
          <w:kern w:val="2"/>
          <w:sz w:val="24"/>
          <w:szCs w:val="24"/>
          <w:lang w:val="en-US" w:eastAsia="zh-CN" w:bidi="ar-SA"/>
        </w:rPr>
        <w:t>487</w:t>
      </w:r>
    </w:p>
    <w:p w14:paraId="7CD376A1">
      <w:pPr>
        <w:tabs>
          <w:tab w:val="right" w:leader="middleDot" w:pos="8295"/>
        </w:tabs>
        <w:ind w:firstLine="0" w:firstLineChars="0"/>
        <w:jc w:val="left"/>
        <w:rPr>
          <w:rFonts w:hint="eastAsia"/>
        </w:rPr>
      </w:pPr>
      <w:r>
        <w:rPr>
          <w:rFonts w:hint="eastAsia"/>
        </w:rPr>
        <w:t>北京市禁止赌博条例</w:t>
      </w:r>
      <w:r>
        <w:rPr>
          <w:rFonts w:hint="eastAsia"/>
        </w:rPr>
        <w:tab/>
      </w:r>
      <w:r>
        <w:rPr>
          <w:rFonts w:hint="eastAsia" w:ascii="华文宋体" w:hAnsi="华文宋体" w:eastAsia="华文宋体" w:cs="华文宋体"/>
          <w:kern w:val="2"/>
          <w:sz w:val="24"/>
          <w:szCs w:val="24"/>
          <w:lang w:val="en-US" w:eastAsia="zh-CN" w:bidi="ar-SA"/>
        </w:rPr>
        <w:t>857</w:t>
      </w:r>
    </w:p>
    <w:p w14:paraId="54523150">
      <w:pPr>
        <w:tabs>
          <w:tab w:val="right" w:leader="middleDot" w:pos="8295"/>
        </w:tabs>
        <w:ind w:firstLine="0" w:firstLineChars="0"/>
        <w:jc w:val="left"/>
        <w:rPr>
          <w:rFonts w:hint="eastAsia"/>
        </w:rPr>
      </w:pPr>
      <w:r>
        <w:rPr>
          <w:rFonts w:hint="eastAsia"/>
        </w:rPr>
        <w:t>北京市人民政府关于不得举行集会游行示威场所周边范围的规定</w:t>
      </w:r>
      <w:r>
        <w:rPr>
          <w:rFonts w:hint="eastAsia"/>
        </w:rPr>
        <w:tab/>
      </w:r>
      <w:r>
        <w:rPr>
          <w:rFonts w:hint="eastAsia" w:ascii="华文宋体" w:hAnsi="华文宋体" w:eastAsia="华文宋体" w:cs="华文宋体"/>
          <w:kern w:val="2"/>
          <w:sz w:val="24"/>
          <w:szCs w:val="24"/>
          <w:lang w:val="en-US" w:eastAsia="zh-CN" w:bidi="ar-SA"/>
        </w:rPr>
        <w:t>171</w:t>
      </w:r>
    </w:p>
    <w:p w14:paraId="214D590F">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北京市机动车市场管理暂行规定</w:t>
      </w:r>
      <w:r>
        <w:rPr>
          <w:rFonts w:hint="eastAsia"/>
        </w:rPr>
        <w:tab/>
      </w:r>
      <w:r>
        <w:rPr>
          <w:rFonts w:hint="eastAsia" w:ascii="华文宋体" w:hAnsi="华文宋体" w:eastAsia="华文宋体" w:cs="华文宋体"/>
          <w:kern w:val="2"/>
          <w:sz w:val="24"/>
          <w:szCs w:val="24"/>
          <w:lang w:val="en-US" w:eastAsia="zh-CN" w:bidi="ar-SA"/>
        </w:rPr>
        <w:t>631</w:t>
      </w:r>
    </w:p>
    <w:p w14:paraId="67E93249">
      <w:pPr>
        <w:tabs>
          <w:tab w:val="right" w:leader="middleDot" w:pos="8295"/>
        </w:tabs>
        <w:ind w:firstLine="0" w:firstLineChars="0"/>
        <w:jc w:val="left"/>
        <w:rPr>
          <w:rFonts w:hint="eastAsia"/>
        </w:rPr>
      </w:pPr>
      <w:r>
        <w:rPr>
          <w:rFonts w:hint="eastAsia"/>
        </w:rPr>
        <w:t>北京市防止非正常死亡事故目标管理办法</w:t>
      </w:r>
      <w:r>
        <w:rPr>
          <w:rFonts w:hint="eastAsia"/>
        </w:rPr>
        <w:tab/>
      </w:r>
      <w:r>
        <w:rPr>
          <w:rFonts w:hint="eastAsia" w:ascii="华文宋体" w:hAnsi="华文宋体" w:eastAsia="华文宋体" w:cs="华文宋体"/>
          <w:kern w:val="2"/>
          <w:sz w:val="24"/>
          <w:szCs w:val="24"/>
          <w:lang w:val="en-US" w:eastAsia="zh-CN" w:bidi="ar-SA"/>
        </w:rPr>
        <w:t>962</w:t>
      </w:r>
    </w:p>
    <w:p w14:paraId="302DD9DF">
      <w:pPr>
        <w:tabs>
          <w:tab w:val="right" w:leader="middleDot" w:pos="8295"/>
        </w:tabs>
        <w:ind w:firstLine="0" w:firstLineChars="0"/>
        <w:jc w:val="left"/>
        <w:rPr>
          <w:rFonts w:hint="eastAsia"/>
        </w:rPr>
      </w:pPr>
      <w:r>
        <w:rPr>
          <w:rFonts w:hint="eastAsia"/>
        </w:rPr>
        <w:t>北京市地下设施检查井井盖管理规定</w:t>
      </w:r>
      <w:r>
        <w:rPr>
          <w:rFonts w:hint="eastAsia"/>
        </w:rPr>
        <w:tab/>
      </w:r>
      <w:r>
        <w:rPr>
          <w:rFonts w:hint="eastAsia" w:ascii="华文宋体" w:hAnsi="华文宋体" w:eastAsia="华文宋体" w:cs="华文宋体"/>
          <w:kern w:val="2"/>
          <w:sz w:val="24"/>
          <w:szCs w:val="24"/>
          <w:lang w:val="en-US" w:eastAsia="zh-CN" w:bidi="ar-SA"/>
        </w:rPr>
        <w:t>1191</w:t>
      </w:r>
    </w:p>
    <w:p w14:paraId="0271C916">
      <w:pPr>
        <w:tabs>
          <w:tab w:val="right" w:leader="middleDot" w:pos="8295"/>
        </w:tabs>
        <w:ind w:firstLine="0" w:firstLineChars="0"/>
        <w:jc w:val="left"/>
        <w:rPr>
          <w:rFonts w:hint="eastAsia"/>
        </w:rPr>
      </w:pPr>
      <w:r>
        <w:rPr>
          <w:rFonts w:hint="eastAsia"/>
        </w:rPr>
        <w:t>北京市行政执法和行政执法监督暂行规定</w:t>
      </w:r>
      <w:r>
        <w:rPr>
          <w:rFonts w:hint="eastAsia"/>
        </w:rPr>
        <w:tab/>
      </w:r>
      <w:r>
        <w:rPr>
          <w:rFonts w:hint="eastAsia" w:ascii="华文宋体" w:hAnsi="华文宋体" w:eastAsia="华文宋体" w:cs="华文宋体"/>
          <w:kern w:val="2"/>
          <w:sz w:val="24"/>
          <w:szCs w:val="24"/>
          <w:lang w:val="en-US" w:eastAsia="zh-CN" w:bidi="ar-SA"/>
        </w:rPr>
        <w:t>132</w:t>
      </w:r>
    </w:p>
    <w:p w14:paraId="558E2554">
      <w:pPr>
        <w:tabs>
          <w:tab w:val="right" w:leader="middleDot" w:pos="8295"/>
        </w:tabs>
        <w:ind w:firstLine="0" w:firstLineChars="0"/>
        <w:jc w:val="left"/>
      </w:pPr>
    </w:p>
    <w:p w14:paraId="0E1C1C10">
      <w:pPr>
        <w:tabs>
          <w:tab w:val="right" w:leader="middleDot" w:pos="8295"/>
        </w:tabs>
        <w:ind w:firstLine="0" w:firstLineChars="0"/>
        <w:jc w:val="center"/>
        <w:rPr>
          <w:rFonts w:hint="eastAsia"/>
          <w:sz w:val="28"/>
        </w:rPr>
      </w:pPr>
      <w:r>
        <w:rPr>
          <w:rFonts w:hint="eastAsia"/>
          <w:sz w:val="28"/>
        </w:rPr>
        <w:t>一九九一年</w:t>
      </w:r>
    </w:p>
    <w:p w14:paraId="45BA0B8B">
      <w:pPr>
        <w:tabs>
          <w:tab w:val="right" w:leader="middleDot" w:pos="8295"/>
        </w:tabs>
        <w:ind w:firstLine="0" w:firstLineChars="0"/>
        <w:jc w:val="left"/>
      </w:pPr>
    </w:p>
    <w:p w14:paraId="3BB0E286">
      <w:pPr>
        <w:tabs>
          <w:tab w:val="right" w:leader="middleDot" w:pos="8295"/>
        </w:tabs>
        <w:ind w:firstLine="0" w:firstLineChars="0"/>
        <w:jc w:val="left"/>
        <w:rPr>
          <w:rFonts w:hint="eastAsia"/>
        </w:rPr>
      </w:pPr>
      <w:r>
        <w:rPr>
          <w:rFonts w:hint="eastAsia"/>
        </w:rPr>
        <w:t>北京市实施《中华人民共和国土地管理法》办法</w:t>
      </w:r>
      <w:r>
        <w:rPr>
          <w:rFonts w:hint="eastAsia"/>
        </w:rPr>
        <w:tab/>
      </w:r>
      <w:r>
        <w:rPr>
          <w:rFonts w:hint="eastAsia" w:ascii="华文宋体" w:hAnsi="华文宋体" w:eastAsia="华文宋体" w:cs="华文宋体"/>
          <w:kern w:val="2"/>
          <w:sz w:val="24"/>
          <w:szCs w:val="24"/>
          <w:lang w:val="en-US" w:eastAsia="zh-CN" w:bidi="ar-SA"/>
        </w:rPr>
        <w:t>1323</w:t>
      </w:r>
    </w:p>
    <w:p w14:paraId="18C44C33">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北京市实施《中华人民共和国城市居民委员会组织法》办法</w:t>
      </w:r>
      <w:r>
        <w:rPr>
          <w:rFonts w:hint="eastAsia"/>
        </w:rPr>
        <w:tab/>
      </w:r>
      <w:r>
        <w:rPr>
          <w:rFonts w:hint="eastAsia" w:ascii="华文宋体" w:hAnsi="华文宋体" w:eastAsia="华文宋体" w:cs="华文宋体"/>
          <w:kern w:val="2"/>
          <w:sz w:val="24"/>
          <w:szCs w:val="24"/>
          <w:lang w:val="en-US" w:eastAsia="zh-CN" w:bidi="ar-SA"/>
        </w:rPr>
        <w:t>61</w:t>
      </w:r>
    </w:p>
    <w:p w14:paraId="6C9ADB3F">
      <w:pPr>
        <w:tabs>
          <w:tab w:val="right" w:leader="middleDot" w:pos="8295"/>
        </w:tabs>
        <w:ind w:firstLine="0" w:firstLineChars="0"/>
        <w:jc w:val="left"/>
        <w:rPr>
          <w:rFonts w:hint="eastAsia"/>
        </w:rPr>
      </w:pPr>
      <w:r>
        <w:rPr>
          <w:rFonts w:hint="eastAsia"/>
        </w:rPr>
        <w:t>北京市建设工程绿化用地面积比例实施办法</w:t>
      </w:r>
      <w:r>
        <w:rPr>
          <w:rFonts w:hint="eastAsia"/>
        </w:rPr>
        <w:tab/>
      </w:r>
      <w:r>
        <w:rPr>
          <w:rFonts w:hint="eastAsia" w:ascii="华文宋体" w:hAnsi="华文宋体" w:eastAsia="华文宋体" w:cs="华文宋体"/>
          <w:kern w:val="2"/>
          <w:sz w:val="24"/>
          <w:szCs w:val="24"/>
          <w:lang w:val="en-US" w:eastAsia="zh-CN" w:bidi="ar-SA"/>
        </w:rPr>
        <w:t>401</w:t>
      </w:r>
    </w:p>
    <w:p w14:paraId="449346B2">
      <w:pPr>
        <w:tabs>
          <w:tab w:val="right" w:leader="middleDot" w:pos="8295"/>
        </w:tabs>
        <w:ind w:firstLine="0" w:firstLineChars="0"/>
        <w:jc w:val="left"/>
        <w:rPr>
          <w:rFonts w:hint="eastAsia"/>
        </w:rPr>
      </w:pPr>
      <w:r>
        <w:rPr>
          <w:rFonts w:hint="eastAsia"/>
        </w:rPr>
        <w:t>北京市农业承包合同纠纷仲裁办法</w:t>
      </w:r>
      <w:r>
        <w:rPr>
          <w:rFonts w:hint="eastAsia"/>
        </w:rPr>
        <w:tab/>
      </w:r>
      <w:r>
        <w:rPr>
          <w:rFonts w:hint="eastAsia" w:ascii="华文宋体" w:hAnsi="华文宋体" w:eastAsia="华文宋体" w:cs="华文宋体"/>
          <w:kern w:val="2"/>
          <w:sz w:val="24"/>
          <w:szCs w:val="24"/>
          <w:lang w:val="en-US" w:eastAsia="zh-CN" w:bidi="ar-SA"/>
        </w:rPr>
        <w:t>533</w:t>
      </w:r>
    </w:p>
    <w:p w14:paraId="1D39305E">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北京市人民政府关于郊区城镇和农村建设规划管理的若干规定</w:t>
      </w:r>
      <w:r>
        <w:rPr>
          <w:rFonts w:hint="eastAsia"/>
        </w:rPr>
        <w:tab/>
      </w:r>
      <w:r>
        <w:rPr>
          <w:rFonts w:hint="eastAsia" w:ascii="华文宋体" w:hAnsi="华文宋体" w:eastAsia="华文宋体" w:cs="华文宋体"/>
          <w:kern w:val="2"/>
          <w:sz w:val="24"/>
          <w:szCs w:val="24"/>
          <w:lang w:val="en-US" w:eastAsia="zh-CN" w:bidi="ar-SA"/>
        </w:rPr>
        <w:t>403</w:t>
      </w:r>
    </w:p>
    <w:p w14:paraId="0A4FCF57">
      <w:pPr>
        <w:tabs>
          <w:tab w:val="right" w:leader="middleDot" w:pos="8295"/>
        </w:tabs>
        <w:ind w:firstLine="0" w:firstLineChars="0"/>
        <w:jc w:val="left"/>
        <w:rPr>
          <w:rFonts w:hint="eastAsia"/>
        </w:rPr>
      </w:pPr>
      <w:r>
        <w:rPr>
          <w:rFonts w:hint="eastAsia"/>
        </w:rPr>
        <w:t>北京市社区服务设施管理若干规定</w:t>
      </w:r>
      <w:r>
        <w:rPr>
          <w:rFonts w:hint="eastAsia"/>
        </w:rPr>
        <w:tab/>
      </w:r>
      <w:r>
        <w:rPr>
          <w:rFonts w:hint="eastAsia" w:ascii="华文宋体" w:hAnsi="华文宋体" w:eastAsia="华文宋体" w:cs="华文宋体"/>
          <w:kern w:val="2"/>
          <w:sz w:val="24"/>
          <w:szCs w:val="24"/>
          <w:lang w:val="en-US" w:eastAsia="zh-CN" w:bidi="ar-SA"/>
        </w:rPr>
        <w:t>1307</w:t>
      </w:r>
    </w:p>
    <w:p w14:paraId="1B224FDE">
      <w:pPr>
        <w:tabs>
          <w:tab w:val="right" w:leader="middleDot" w:pos="8295"/>
        </w:tabs>
        <w:ind w:firstLine="0" w:firstLineChars="0"/>
        <w:jc w:val="left"/>
        <w:rPr>
          <w:rFonts w:hint="eastAsia"/>
        </w:rPr>
      </w:pPr>
      <w:r>
        <w:rPr>
          <w:rFonts w:hint="eastAsia"/>
        </w:rPr>
        <w:t>北京市暂住人口计划生育管理办法</w:t>
      </w:r>
      <w:r>
        <w:rPr>
          <w:rFonts w:hint="eastAsia"/>
        </w:rPr>
        <w:tab/>
      </w:r>
      <w:r>
        <w:rPr>
          <w:rFonts w:hint="eastAsia" w:ascii="华文宋体" w:hAnsi="华文宋体" w:eastAsia="华文宋体" w:cs="华文宋体"/>
          <w:kern w:val="2"/>
          <w:sz w:val="24"/>
          <w:szCs w:val="24"/>
          <w:lang w:val="en-US" w:eastAsia="zh-CN" w:bidi="ar-SA"/>
        </w:rPr>
        <w:t>1267</w:t>
      </w:r>
    </w:p>
    <w:p w14:paraId="309894EE">
      <w:pPr>
        <w:tabs>
          <w:tab w:val="right" w:leader="middleDot" w:pos="8295"/>
        </w:tabs>
        <w:ind w:firstLine="0" w:firstLineChars="0"/>
        <w:jc w:val="left"/>
        <w:rPr>
          <w:rFonts w:hint="eastAsia"/>
        </w:rPr>
      </w:pPr>
      <w:r>
        <w:rPr>
          <w:rFonts w:hint="eastAsia"/>
        </w:rPr>
        <w:t>北京市实施《卫星地面接收设施接收外国卫星传送电视节目管理办法》若干规定</w:t>
      </w:r>
      <w:r>
        <w:rPr>
          <w:rFonts w:hint="eastAsia"/>
        </w:rPr>
        <w:tab/>
      </w:r>
      <w:r>
        <w:rPr>
          <w:rFonts w:hint="eastAsia" w:ascii="华文宋体" w:hAnsi="华文宋体" w:eastAsia="华文宋体" w:cs="华文宋体"/>
          <w:kern w:val="2"/>
          <w:sz w:val="24"/>
          <w:szCs w:val="24"/>
          <w:lang w:val="en-US" w:eastAsia="zh-CN" w:bidi="ar-SA"/>
        </w:rPr>
        <w:t>779</w:t>
      </w:r>
    </w:p>
    <w:p w14:paraId="184BD5F0">
      <w:pPr>
        <w:tabs>
          <w:tab w:val="right" w:leader="middleDot" w:pos="8295"/>
        </w:tabs>
        <w:ind w:firstLine="0" w:firstLineChars="0"/>
        <w:jc w:val="left"/>
        <w:rPr>
          <w:rFonts w:hint="eastAsia"/>
        </w:rPr>
      </w:pPr>
      <w:r>
        <w:rPr>
          <w:rFonts w:hint="eastAsia"/>
        </w:rPr>
        <w:t>北京市人民政府关于严格控制颐和园、圆明园地区建设工程的规定</w:t>
      </w:r>
      <w:r>
        <w:rPr>
          <w:rFonts w:hint="eastAsia"/>
        </w:rPr>
        <w:tab/>
      </w:r>
      <w:r>
        <w:rPr>
          <w:rFonts w:hint="eastAsia" w:ascii="华文宋体" w:hAnsi="华文宋体" w:eastAsia="华文宋体" w:cs="华文宋体"/>
          <w:kern w:val="2"/>
          <w:sz w:val="24"/>
          <w:szCs w:val="24"/>
          <w:lang w:val="en-US" w:eastAsia="zh-CN" w:bidi="ar-SA"/>
        </w:rPr>
        <w:t>817</w:t>
      </w:r>
    </w:p>
    <w:p w14:paraId="2897FC11">
      <w:pPr>
        <w:tabs>
          <w:tab w:val="right" w:leader="middleDot" w:pos="8295"/>
        </w:tabs>
        <w:ind w:firstLine="0" w:firstLineChars="0"/>
        <w:jc w:val="left"/>
        <w:rPr>
          <w:rFonts w:hint="eastAsia"/>
        </w:rPr>
      </w:pPr>
      <w:r>
        <w:rPr>
          <w:rFonts w:hint="eastAsia"/>
        </w:rPr>
        <w:t>北京市人民政府关于严格限制在城市建设中分散插建楼房的规定</w:t>
      </w:r>
      <w:r>
        <w:rPr>
          <w:rFonts w:hint="eastAsia"/>
        </w:rPr>
        <w:tab/>
      </w:r>
      <w:r>
        <w:rPr>
          <w:rFonts w:hint="eastAsia" w:ascii="华文宋体" w:hAnsi="华文宋体" w:eastAsia="华文宋体" w:cs="华文宋体"/>
          <w:kern w:val="2"/>
          <w:sz w:val="24"/>
          <w:szCs w:val="24"/>
          <w:lang w:val="en-US" w:eastAsia="zh-CN" w:bidi="ar-SA"/>
        </w:rPr>
        <w:t>404</w:t>
      </w:r>
    </w:p>
    <w:p w14:paraId="11F2C701">
      <w:pPr>
        <w:tabs>
          <w:tab w:val="right" w:leader="middleDot" w:pos="8295"/>
        </w:tabs>
        <w:ind w:firstLine="0" w:firstLineChars="0"/>
        <w:jc w:val="left"/>
        <w:rPr>
          <w:rFonts w:hint="eastAsia"/>
        </w:rPr>
      </w:pPr>
      <w:r>
        <w:rPr>
          <w:rFonts w:hint="eastAsia"/>
        </w:rPr>
        <w:t>北京市实施《森林病虫害防治条例》若干规定</w:t>
      </w:r>
      <w:r>
        <w:rPr>
          <w:rFonts w:hint="eastAsia"/>
        </w:rPr>
        <w:tab/>
      </w:r>
      <w:r>
        <w:rPr>
          <w:rFonts w:hint="eastAsia" w:ascii="华文宋体" w:hAnsi="华文宋体" w:eastAsia="华文宋体" w:cs="华文宋体"/>
          <w:kern w:val="2"/>
          <w:sz w:val="24"/>
          <w:szCs w:val="24"/>
          <w:lang w:val="en-US" w:eastAsia="zh-CN" w:bidi="ar-SA"/>
        </w:rPr>
        <w:t>535</w:t>
      </w:r>
    </w:p>
    <w:p w14:paraId="661B19D5">
      <w:pPr>
        <w:tabs>
          <w:tab w:val="right" w:leader="middleDot" w:pos="8295"/>
        </w:tabs>
        <w:ind w:firstLine="0" w:firstLineChars="0"/>
        <w:jc w:val="left"/>
        <w:rPr>
          <w:rFonts w:hint="eastAsia"/>
        </w:rPr>
      </w:pPr>
      <w:r>
        <w:rPr>
          <w:rFonts w:hint="eastAsia"/>
        </w:rPr>
        <w:t>北京市机动车维修行业治安管理若干规定</w:t>
      </w:r>
      <w:r>
        <w:rPr>
          <w:rFonts w:hint="eastAsia"/>
        </w:rPr>
        <w:tab/>
      </w:r>
      <w:r>
        <w:rPr>
          <w:rFonts w:hint="eastAsia" w:ascii="华文宋体" w:hAnsi="华文宋体" w:eastAsia="华文宋体" w:cs="华文宋体"/>
          <w:kern w:val="2"/>
          <w:sz w:val="24"/>
          <w:szCs w:val="24"/>
          <w:lang w:val="en-US" w:eastAsia="zh-CN" w:bidi="ar-SA"/>
        </w:rPr>
        <w:t>917</w:t>
      </w:r>
    </w:p>
    <w:p w14:paraId="33897996">
      <w:pPr>
        <w:tabs>
          <w:tab w:val="right" w:leader="middleDot" w:pos="8295"/>
        </w:tabs>
        <w:ind w:firstLine="0" w:firstLineChars="0"/>
        <w:jc w:val="left"/>
        <w:rPr>
          <w:rFonts w:hint="eastAsia"/>
        </w:rPr>
      </w:pPr>
      <w:r>
        <w:rPr>
          <w:rFonts w:hint="eastAsia"/>
        </w:rPr>
        <w:t>北京市保护军事设施安全若干规定</w:t>
      </w:r>
      <w:r>
        <w:rPr>
          <w:rFonts w:hint="eastAsia"/>
        </w:rPr>
        <w:tab/>
      </w:r>
      <w:r>
        <w:rPr>
          <w:rFonts w:hint="eastAsia" w:ascii="华文宋体" w:hAnsi="华文宋体" w:eastAsia="华文宋体" w:cs="华文宋体"/>
          <w:kern w:val="2"/>
          <w:sz w:val="24"/>
          <w:szCs w:val="24"/>
          <w:lang w:val="en-US" w:eastAsia="zh-CN" w:bidi="ar-SA"/>
        </w:rPr>
        <w:t>190</w:t>
      </w:r>
    </w:p>
    <w:p w14:paraId="62E0E499">
      <w:pPr>
        <w:tabs>
          <w:tab w:val="right" w:leader="middleDot" w:pos="8295"/>
        </w:tabs>
        <w:ind w:firstLine="0" w:firstLineChars="0"/>
        <w:jc w:val="left"/>
        <w:rPr>
          <w:rFonts w:hint="eastAsia"/>
        </w:rPr>
      </w:pPr>
      <w:r>
        <w:rPr>
          <w:rFonts w:hint="eastAsia"/>
        </w:rPr>
        <w:t>北京市工业产品企业标准备案规定</w:t>
      </w:r>
      <w:r>
        <w:rPr>
          <w:rFonts w:hint="eastAsia"/>
        </w:rPr>
        <w:tab/>
      </w:r>
      <w:r>
        <w:rPr>
          <w:rFonts w:hint="eastAsia" w:ascii="华文宋体" w:hAnsi="华文宋体" w:eastAsia="华文宋体" w:cs="华文宋体"/>
          <w:kern w:val="2"/>
          <w:sz w:val="24"/>
          <w:szCs w:val="24"/>
          <w:lang w:val="en-US" w:eastAsia="zh-CN" w:bidi="ar-SA"/>
        </w:rPr>
        <w:t>570</w:t>
      </w:r>
    </w:p>
    <w:p w14:paraId="045D21BC">
      <w:pPr>
        <w:tabs>
          <w:tab w:val="right" w:leader="middleDot" w:pos="8295"/>
        </w:tabs>
        <w:ind w:firstLine="0" w:firstLineChars="0"/>
        <w:jc w:val="left"/>
      </w:pPr>
    </w:p>
    <w:p w14:paraId="5CC7AABB">
      <w:pPr>
        <w:tabs>
          <w:tab w:val="right" w:leader="middleDot" w:pos="8295"/>
        </w:tabs>
        <w:ind w:firstLine="0" w:firstLineChars="0"/>
        <w:jc w:val="center"/>
        <w:rPr>
          <w:rFonts w:hint="eastAsia"/>
          <w:sz w:val="28"/>
        </w:rPr>
      </w:pPr>
      <w:r>
        <w:rPr>
          <w:rFonts w:hint="eastAsia"/>
          <w:sz w:val="28"/>
        </w:rPr>
        <w:t>一九九二年</w:t>
      </w:r>
    </w:p>
    <w:p w14:paraId="36A385BD">
      <w:pPr>
        <w:tabs>
          <w:tab w:val="right" w:leader="middleDot" w:pos="8295"/>
        </w:tabs>
        <w:ind w:firstLine="0" w:firstLineChars="0"/>
        <w:jc w:val="left"/>
      </w:pPr>
    </w:p>
    <w:p w14:paraId="438E5350">
      <w:pPr>
        <w:tabs>
          <w:tab w:val="right" w:leader="middleDot" w:pos="8295"/>
        </w:tabs>
        <w:ind w:firstLine="0" w:firstLineChars="0"/>
        <w:jc w:val="left"/>
        <w:rPr>
          <w:rFonts w:hint="eastAsia"/>
        </w:rPr>
      </w:pPr>
      <w:r>
        <w:rPr>
          <w:rFonts w:hint="eastAsia"/>
        </w:rPr>
        <w:t>北京市实施《中华人民共和国水土保持法》办法</w:t>
      </w:r>
      <w:r>
        <w:rPr>
          <w:rFonts w:hint="eastAsia"/>
        </w:rPr>
        <w:tab/>
      </w:r>
      <w:r>
        <w:rPr>
          <w:rFonts w:hint="eastAsia" w:ascii="华文宋体" w:hAnsi="华文宋体" w:eastAsia="华文宋体" w:cs="华文宋体"/>
          <w:kern w:val="2"/>
          <w:sz w:val="24"/>
          <w:szCs w:val="24"/>
          <w:lang w:val="en-US" w:eastAsia="zh-CN" w:bidi="ar-SA"/>
        </w:rPr>
        <w:t>1361</w:t>
      </w:r>
    </w:p>
    <w:p w14:paraId="418547FC">
      <w:pPr>
        <w:tabs>
          <w:tab w:val="right" w:leader="middleDot" w:pos="8295"/>
        </w:tabs>
        <w:ind w:firstLine="0" w:firstLineChars="0"/>
        <w:jc w:val="left"/>
        <w:rPr>
          <w:rFonts w:hint="eastAsia"/>
        </w:rPr>
      </w:pPr>
      <w:r>
        <w:rPr>
          <w:rFonts w:hint="eastAsia"/>
        </w:rPr>
        <w:t>北京市社会治安综合治理条例</w:t>
      </w:r>
      <w:r>
        <w:rPr>
          <w:rFonts w:hint="eastAsia"/>
        </w:rPr>
        <w:tab/>
      </w:r>
      <w:r>
        <w:rPr>
          <w:rFonts w:hint="eastAsia" w:ascii="华文宋体" w:hAnsi="华文宋体" w:eastAsia="华文宋体" w:cs="华文宋体"/>
          <w:kern w:val="2"/>
          <w:sz w:val="24"/>
          <w:szCs w:val="24"/>
          <w:lang w:val="en-US" w:eastAsia="zh-CN" w:bidi="ar-SA"/>
        </w:rPr>
        <w:t>859</w:t>
      </w:r>
    </w:p>
    <w:p w14:paraId="4619B2D0">
      <w:pPr>
        <w:tabs>
          <w:tab w:val="right" w:leader="middleDot" w:pos="8295"/>
        </w:tabs>
        <w:ind w:firstLine="0" w:firstLineChars="0"/>
        <w:jc w:val="left"/>
        <w:rPr>
          <w:rFonts w:hint="eastAsia"/>
        </w:rPr>
      </w:pPr>
      <w:r>
        <w:rPr>
          <w:rFonts w:hint="eastAsia"/>
        </w:rPr>
        <w:t>北京市罚没财物收据使用和管理暂行办法</w:t>
      </w:r>
      <w:r>
        <w:rPr>
          <w:rFonts w:hint="eastAsia"/>
        </w:rPr>
        <w:tab/>
      </w:r>
      <w:r>
        <w:rPr>
          <w:rFonts w:hint="eastAsia" w:ascii="华文宋体" w:hAnsi="华文宋体" w:eastAsia="华文宋体" w:cs="华文宋体"/>
          <w:kern w:val="2"/>
          <w:sz w:val="24"/>
          <w:szCs w:val="24"/>
          <w:lang w:val="en-US" w:eastAsia="zh-CN" w:bidi="ar-SA"/>
        </w:rPr>
        <w:t>221</w:t>
      </w:r>
    </w:p>
    <w:p w14:paraId="2ECFBC01">
      <w:pPr>
        <w:tabs>
          <w:tab w:val="right" w:leader="middleDot" w:pos="8295"/>
        </w:tabs>
        <w:ind w:firstLine="0" w:firstLineChars="0"/>
        <w:jc w:val="left"/>
        <w:rPr>
          <w:rFonts w:hint="eastAsia"/>
        </w:rPr>
      </w:pPr>
      <w:r>
        <w:rPr>
          <w:rFonts w:hint="eastAsia"/>
        </w:rPr>
        <w:t>北京市铁路专用线共用管理办法</w:t>
      </w:r>
      <w:r>
        <w:rPr>
          <w:rFonts w:hint="eastAsia"/>
        </w:rPr>
        <w:tab/>
      </w:r>
      <w:r>
        <w:rPr>
          <w:rFonts w:hint="eastAsia" w:ascii="华文宋体" w:hAnsi="华文宋体" w:eastAsia="华文宋体" w:cs="华文宋体"/>
          <w:kern w:val="2"/>
          <w:sz w:val="24"/>
          <w:szCs w:val="24"/>
          <w:lang w:val="en-US" w:eastAsia="zh-CN" w:bidi="ar-SA"/>
        </w:rPr>
        <w:t>287</w:t>
      </w:r>
    </w:p>
    <w:p w14:paraId="3003E51C">
      <w:pPr>
        <w:tabs>
          <w:tab w:val="right" w:leader="middleDot" w:pos="8295"/>
        </w:tabs>
        <w:ind w:firstLine="0" w:firstLineChars="0"/>
        <w:jc w:val="left"/>
        <w:rPr>
          <w:rFonts w:hint="eastAsia"/>
        </w:rPr>
      </w:pPr>
      <w:r>
        <w:rPr>
          <w:rFonts w:hint="eastAsia"/>
        </w:rPr>
        <w:t>北京市实施《中华人民共和国城镇国有土地使用权出让和转让暂行条例》办法</w:t>
      </w:r>
      <w:r>
        <w:rPr>
          <w:rFonts w:hint="eastAsia"/>
        </w:rPr>
        <w:tab/>
      </w:r>
      <w:r>
        <w:rPr>
          <w:rFonts w:hint="eastAsia" w:ascii="华文宋体" w:hAnsi="华文宋体" w:eastAsia="华文宋体" w:cs="华文宋体"/>
          <w:kern w:val="2"/>
          <w:sz w:val="24"/>
          <w:szCs w:val="24"/>
          <w:lang w:val="en-US" w:eastAsia="zh-CN" w:bidi="ar-SA"/>
        </w:rPr>
        <w:t>1349</w:t>
      </w:r>
    </w:p>
    <w:p w14:paraId="34221466">
      <w:pPr>
        <w:tabs>
          <w:tab w:val="right" w:leader="middleDot" w:pos="8295"/>
        </w:tabs>
        <w:ind w:firstLine="0" w:firstLineChars="0"/>
        <w:jc w:val="left"/>
        <w:rPr>
          <w:rFonts w:hint="eastAsia"/>
        </w:rPr>
      </w:pPr>
      <w:r>
        <w:rPr>
          <w:rFonts w:hint="eastAsia"/>
        </w:rPr>
        <w:t>北京市职工购买公有住宅楼房管理办法</w:t>
      </w:r>
      <w:r>
        <w:rPr>
          <w:rFonts w:hint="eastAsia"/>
        </w:rPr>
        <w:tab/>
      </w:r>
      <w:r>
        <w:rPr>
          <w:rFonts w:hint="eastAsia" w:ascii="华文宋体" w:hAnsi="华文宋体" w:eastAsia="华文宋体" w:cs="华文宋体"/>
          <w:kern w:val="2"/>
          <w:sz w:val="24"/>
          <w:szCs w:val="24"/>
          <w:lang w:val="en-US" w:eastAsia="zh-CN" w:bidi="ar-SA"/>
        </w:rPr>
        <w:t>450</w:t>
      </w:r>
    </w:p>
    <w:p w14:paraId="25C4BE81">
      <w:pPr>
        <w:tabs>
          <w:tab w:val="right" w:leader="middleDot" w:pos="8295"/>
        </w:tabs>
        <w:ind w:firstLine="0" w:firstLineChars="0"/>
        <w:jc w:val="left"/>
        <w:rPr>
          <w:rFonts w:hint="eastAsia"/>
        </w:rPr>
      </w:pPr>
      <w:r>
        <w:rPr>
          <w:rFonts w:hint="eastAsia"/>
        </w:rPr>
        <w:t>北京市私有住宅楼房管理与维修办法</w:t>
      </w:r>
      <w:r>
        <w:rPr>
          <w:rFonts w:hint="eastAsia"/>
        </w:rPr>
        <w:tab/>
      </w:r>
      <w:r>
        <w:rPr>
          <w:rFonts w:hint="eastAsia" w:ascii="华文宋体" w:hAnsi="华文宋体" w:eastAsia="华文宋体" w:cs="华文宋体"/>
          <w:kern w:val="2"/>
          <w:sz w:val="24"/>
          <w:szCs w:val="24"/>
          <w:lang w:val="en-US" w:eastAsia="zh-CN" w:bidi="ar-SA"/>
        </w:rPr>
        <w:t>448</w:t>
      </w:r>
    </w:p>
    <w:p w14:paraId="33D24100">
      <w:pPr>
        <w:tabs>
          <w:tab w:val="right" w:leader="middleDot" w:pos="8295"/>
        </w:tabs>
        <w:ind w:firstLine="0" w:firstLineChars="0"/>
        <w:jc w:val="left"/>
        <w:rPr>
          <w:rFonts w:hint="eastAsia"/>
        </w:rPr>
      </w:pPr>
      <w:r>
        <w:rPr>
          <w:rFonts w:hint="eastAsia"/>
        </w:rPr>
        <w:t>北京市城镇住宅合作社管理办法</w:t>
      </w:r>
      <w:r>
        <w:rPr>
          <w:rFonts w:hint="eastAsia"/>
        </w:rPr>
        <w:tab/>
      </w:r>
      <w:r>
        <w:rPr>
          <w:rFonts w:hint="eastAsia" w:ascii="华文宋体" w:hAnsi="华文宋体" w:eastAsia="华文宋体" w:cs="华文宋体"/>
          <w:kern w:val="2"/>
          <w:sz w:val="24"/>
          <w:szCs w:val="24"/>
          <w:lang w:val="en-US" w:eastAsia="zh-CN" w:bidi="ar-SA"/>
        </w:rPr>
        <w:t>452</w:t>
      </w:r>
    </w:p>
    <w:p w14:paraId="2D705DCF">
      <w:pPr>
        <w:tabs>
          <w:tab w:val="right" w:leader="middleDot" w:pos="8295"/>
        </w:tabs>
        <w:ind w:firstLine="0" w:firstLineChars="0"/>
        <w:jc w:val="left"/>
        <w:rPr>
          <w:rFonts w:hint="eastAsia"/>
        </w:rPr>
      </w:pPr>
      <w:r>
        <w:rPr>
          <w:rFonts w:hint="eastAsia"/>
        </w:rPr>
        <w:t>北京市征收外商投资企业土地使用费规定</w:t>
      </w:r>
      <w:r>
        <w:rPr>
          <w:rFonts w:hint="eastAsia"/>
        </w:rPr>
        <w:tab/>
      </w:r>
      <w:r>
        <w:rPr>
          <w:rFonts w:hint="eastAsia" w:ascii="华文宋体" w:hAnsi="华文宋体" w:eastAsia="华文宋体" w:cs="华文宋体"/>
          <w:kern w:val="2"/>
          <w:sz w:val="24"/>
          <w:szCs w:val="24"/>
          <w:lang w:val="en-US" w:eastAsia="zh-CN" w:bidi="ar-SA"/>
        </w:rPr>
        <w:t>223</w:t>
      </w:r>
    </w:p>
    <w:p w14:paraId="290FBD56">
      <w:pPr>
        <w:tabs>
          <w:tab w:val="right" w:leader="middleDot" w:pos="8295"/>
        </w:tabs>
        <w:ind w:firstLine="0" w:firstLineChars="0"/>
        <w:jc w:val="left"/>
        <w:rPr>
          <w:rFonts w:hint="eastAsia"/>
        </w:rPr>
      </w:pPr>
      <w:r>
        <w:rPr>
          <w:rFonts w:hint="eastAsia"/>
        </w:rPr>
        <w:t>《北京市实施〈中华人民共和国水土保持法〉办法》罚款处罚规定</w:t>
      </w:r>
      <w:r>
        <w:rPr>
          <w:rFonts w:hint="eastAsia"/>
        </w:rPr>
        <w:tab/>
      </w:r>
      <w:r>
        <w:rPr>
          <w:rFonts w:hint="eastAsia" w:ascii="华文宋体" w:hAnsi="华文宋体" w:eastAsia="华文宋体" w:cs="华文宋体"/>
          <w:kern w:val="2"/>
          <w:sz w:val="24"/>
          <w:szCs w:val="24"/>
          <w:lang w:val="en-US" w:eastAsia="zh-CN" w:bidi="ar-SA"/>
        </w:rPr>
        <w:t>1391</w:t>
      </w:r>
    </w:p>
    <w:p w14:paraId="6761F496">
      <w:pPr>
        <w:tabs>
          <w:tab w:val="right" w:leader="middleDot" w:pos="8295"/>
        </w:tabs>
        <w:ind w:firstLine="0" w:firstLineChars="0"/>
        <w:jc w:val="left"/>
        <w:rPr>
          <w:rFonts w:hint="eastAsia"/>
        </w:rPr>
      </w:pPr>
      <w:r>
        <w:rPr>
          <w:rFonts w:hint="eastAsia"/>
        </w:rPr>
        <w:t>北京市城市公共供水管理办法</w:t>
      </w:r>
      <w:r>
        <w:rPr>
          <w:rFonts w:hint="eastAsia"/>
        </w:rPr>
        <w:tab/>
      </w:r>
      <w:r>
        <w:rPr>
          <w:rFonts w:hint="eastAsia" w:ascii="华文宋体" w:hAnsi="华文宋体" w:eastAsia="华文宋体" w:cs="华文宋体"/>
          <w:kern w:val="2"/>
          <w:sz w:val="24"/>
          <w:szCs w:val="24"/>
          <w:lang w:val="en-US" w:eastAsia="zh-CN" w:bidi="ar-SA"/>
        </w:rPr>
        <w:t>1193</w:t>
      </w:r>
    </w:p>
    <w:p w14:paraId="562D171F">
      <w:pPr>
        <w:tabs>
          <w:tab w:val="right" w:leader="middleDot" w:pos="8295"/>
        </w:tabs>
        <w:ind w:firstLine="0" w:firstLineChars="0"/>
        <w:jc w:val="left"/>
        <w:rPr>
          <w:rFonts w:hint="eastAsia"/>
        </w:rPr>
      </w:pPr>
      <w:r>
        <w:rPr>
          <w:rFonts w:hint="eastAsia"/>
        </w:rPr>
        <w:t>北京市人民政府关于居民楼邮政工作的若干规定</w:t>
      </w:r>
      <w:r>
        <w:rPr>
          <w:rFonts w:hint="eastAsia"/>
        </w:rPr>
        <w:tab/>
      </w:r>
      <w:r>
        <w:rPr>
          <w:rFonts w:hint="eastAsia" w:ascii="华文宋体" w:hAnsi="华文宋体" w:eastAsia="华文宋体" w:cs="华文宋体"/>
          <w:kern w:val="2"/>
          <w:sz w:val="24"/>
          <w:szCs w:val="24"/>
          <w:lang w:val="en-US" w:eastAsia="zh-CN" w:bidi="ar-SA"/>
        </w:rPr>
        <w:t>336</w:t>
      </w:r>
    </w:p>
    <w:p w14:paraId="236AB0FF">
      <w:pPr>
        <w:tabs>
          <w:tab w:val="right" w:leader="middleDot" w:pos="8295"/>
        </w:tabs>
        <w:ind w:firstLine="0" w:firstLineChars="0"/>
        <w:jc w:val="left"/>
        <w:rPr>
          <w:rFonts w:hint="eastAsia"/>
        </w:rPr>
      </w:pPr>
      <w:r>
        <w:rPr>
          <w:rFonts w:hint="eastAsia"/>
        </w:rPr>
        <w:t>北京市地下铁道列车车票使用办法</w:t>
      </w:r>
      <w:r>
        <w:rPr>
          <w:rFonts w:hint="eastAsia"/>
        </w:rPr>
        <w:tab/>
      </w:r>
      <w:r>
        <w:rPr>
          <w:rFonts w:hint="eastAsia" w:ascii="华文宋体" w:hAnsi="华文宋体" w:eastAsia="华文宋体" w:cs="华文宋体"/>
          <w:kern w:val="2"/>
          <w:sz w:val="24"/>
          <w:szCs w:val="24"/>
          <w:lang w:val="en-US" w:eastAsia="zh-CN" w:bidi="ar-SA"/>
        </w:rPr>
        <w:t>289</w:t>
      </w:r>
    </w:p>
    <w:p w14:paraId="7561972D">
      <w:pPr>
        <w:tabs>
          <w:tab w:val="right" w:leader="middleDot" w:pos="8295"/>
        </w:tabs>
        <w:ind w:firstLine="0" w:firstLineChars="0"/>
        <w:jc w:val="left"/>
        <w:rPr>
          <w:rFonts w:hint="eastAsia"/>
        </w:rPr>
      </w:pPr>
      <w:r>
        <w:rPr>
          <w:rFonts w:hint="eastAsia"/>
        </w:rPr>
        <w:t>北京市人民政府关于加强八达岭</w:t>
      </w:r>
      <w:r>
        <w:rPr>
          <w:rFonts w:hint="eastAsia" w:ascii="楷体" w:hAnsi="楷体" w:eastAsia="楷体"/>
        </w:rPr>
        <w:t>——</w:t>
      </w:r>
      <w:r>
        <w:rPr>
          <w:rFonts w:hint="eastAsia"/>
        </w:rPr>
        <w:t>十三陵风景名胜区规划管理的规定</w:t>
      </w:r>
      <w:r>
        <w:rPr>
          <w:rFonts w:hint="eastAsia"/>
        </w:rPr>
        <w:tab/>
      </w:r>
      <w:r>
        <w:rPr>
          <w:rFonts w:hint="eastAsia" w:ascii="华文宋体" w:hAnsi="华文宋体" w:eastAsia="华文宋体" w:cs="华文宋体"/>
          <w:kern w:val="2"/>
          <w:sz w:val="24"/>
          <w:szCs w:val="24"/>
          <w:lang w:val="en-US" w:eastAsia="zh-CN" w:bidi="ar-SA"/>
        </w:rPr>
        <w:t>819</w:t>
      </w:r>
    </w:p>
    <w:p w14:paraId="0356FA1E">
      <w:pPr>
        <w:tabs>
          <w:tab w:val="right" w:leader="middleDot" w:pos="8295"/>
        </w:tabs>
        <w:ind w:firstLine="0" w:firstLineChars="0"/>
        <w:jc w:val="left"/>
      </w:pPr>
    </w:p>
    <w:p w14:paraId="3668FE48">
      <w:pPr>
        <w:tabs>
          <w:tab w:val="right" w:leader="middleDot" w:pos="8295"/>
        </w:tabs>
        <w:ind w:firstLine="0" w:firstLineChars="0"/>
        <w:jc w:val="center"/>
        <w:rPr>
          <w:rFonts w:hint="eastAsia"/>
          <w:sz w:val="28"/>
        </w:rPr>
      </w:pPr>
      <w:r>
        <w:rPr>
          <w:rFonts w:hint="eastAsia"/>
          <w:sz w:val="28"/>
        </w:rPr>
        <w:t>一九九三年</w:t>
      </w:r>
    </w:p>
    <w:p w14:paraId="7FDB841D">
      <w:pPr>
        <w:tabs>
          <w:tab w:val="right" w:leader="middleDot" w:pos="8295"/>
        </w:tabs>
        <w:ind w:firstLine="0" w:firstLineChars="0"/>
        <w:jc w:val="left"/>
      </w:pPr>
    </w:p>
    <w:p w14:paraId="097D20B8">
      <w:pPr>
        <w:tabs>
          <w:tab w:val="right" w:leader="middleDot" w:pos="8295"/>
        </w:tabs>
        <w:ind w:firstLine="0" w:firstLineChars="0"/>
        <w:jc w:val="left"/>
        <w:rPr>
          <w:rFonts w:hint="eastAsia"/>
        </w:rPr>
      </w:pPr>
      <w:r>
        <w:rPr>
          <w:rFonts w:hint="eastAsia"/>
        </w:rPr>
        <w:t>北京市农村集体资产管理条例</w:t>
      </w:r>
      <w:r>
        <w:rPr>
          <w:rFonts w:hint="eastAsia"/>
        </w:rPr>
        <w:tab/>
      </w:r>
      <w:r>
        <w:rPr>
          <w:rFonts w:hint="eastAsia" w:ascii="华文宋体" w:hAnsi="华文宋体" w:eastAsia="华文宋体" w:cs="华文宋体"/>
          <w:kern w:val="2"/>
          <w:sz w:val="24"/>
          <w:szCs w:val="24"/>
          <w:lang w:val="en-US" w:eastAsia="zh-CN" w:bidi="ar-SA"/>
        </w:rPr>
        <w:t>491</w:t>
      </w:r>
    </w:p>
    <w:p w14:paraId="492D3A08">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北京市人民代表大会常务委员会组成人员守则</w:t>
      </w:r>
      <w:r>
        <w:rPr>
          <w:rFonts w:hint="eastAsia"/>
        </w:rPr>
        <w:tab/>
      </w:r>
      <w:r>
        <w:rPr>
          <w:rFonts w:hint="eastAsia" w:ascii="华文宋体" w:hAnsi="华文宋体" w:eastAsia="华文宋体" w:cs="华文宋体"/>
          <w:kern w:val="2"/>
          <w:sz w:val="24"/>
          <w:szCs w:val="24"/>
          <w:lang w:val="en-US" w:eastAsia="zh-CN" w:bidi="ar-SA"/>
        </w:rPr>
        <w:t>47</w:t>
      </w:r>
    </w:p>
    <w:p w14:paraId="73E496E8">
      <w:pPr>
        <w:tabs>
          <w:tab w:val="right" w:leader="middleDot" w:pos="8295"/>
        </w:tabs>
        <w:ind w:firstLine="0" w:firstLineChars="0"/>
        <w:jc w:val="left"/>
        <w:rPr>
          <w:rFonts w:hint="eastAsia"/>
        </w:rPr>
      </w:pPr>
      <w:r>
        <w:rPr>
          <w:rFonts w:hint="eastAsia"/>
        </w:rPr>
        <w:t>北京市实施《中华人民共和国矿山安全法》办法</w:t>
      </w:r>
      <w:r>
        <w:rPr>
          <w:rFonts w:hint="eastAsia"/>
        </w:rPr>
        <w:tab/>
      </w:r>
      <w:r>
        <w:rPr>
          <w:rFonts w:hint="eastAsia" w:ascii="华文宋体" w:hAnsi="华文宋体" w:eastAsia="华文宋体" w:cs="华文宋体"/>
          <w:kern w:val="2"/>
          <w:sz w:val="24"/>
          <w:szCs w:val="24"/>
          <w:lang w:val="en-US" w:eastAsia="zh-CN" w:bidi="ar-SA"/>
        </w:rPr>
        <w:t>1330</w:t>
      </w:r>
    </w:p>
    <w:p w14:paraId="66DA736F">
      <w:pPr>
        <w:tabs>
          <w:tab w:val="right" w:leader="middleDot" w:pos="8295"/>
        </w:tabs>
        <w:ind w:firstLine="0" w:firstLineChars="0"/>
        <w:jc w:val="left"/>
        <w:rPr>
          <w:rFonts w:hint="eastAsia"/>
        </w:rPr>
      </w:pPr>
      <w:r>
        <w:rPr>
          <w:rFonts w:hint="eastAsia"/>
        </w:rPr>
        <w:t>北京市地下铁道通风亭管理规定</w:t>
      </w:r>
      <w:r>
        <w:rPr>
          <w:rFonts w:hint="eastAsia"/>
        </w:rPr>
        <w:tab/>
      </w:r>
      <w:r>
        <w:rPr>
          <w:rFonts w:hint="eastAsia" w:ascii="华文宋体" w:hAnsi="华文宋体" w:eastAsia="华文宋体" w:cs="华文宋体"/>
          <w:kern w:val="2"/>
          <w:sz w:val="24"/>
          <w:szCs w:val="24"/>
          <w:lang w:val="en-US" w:eastAsia="zh-CN" w:bidi="ar-SA"/>
        </w:rPr>
        <w:t>290</w:t>
      </w:r>
    </w:p>
    <w:p w14:paraId="078AA055">
      <w:pPr>
        <w:tabs>
          <w:tab w:val="right" w:leader="middleDot" w:pos="8295"/>
        </w:tabs>
        <w:ind w:firstLine="0" w:firstLineChars="0"/>
        <w:jc w:val="left"/>
        <w:rPr>
          <w:rFonts w:hint="eastAsia"/>
        </w:rPr>
      </w:pPr>
      <w:r>
        <w:rPr>
          <w:rFonts w:hint="eastAsia"/>
        </w:rPr>
        <w:t>北京市全民所有制工业企业转换经营机制实施办法</w:t>
      </w:r>
      <w:r>
        <w:rPr>
          <w:rFonts w:hint="eastAsia"/>
        </w:rPr>
        <w:tab/>
      </w:r>
      <w:r>
        <w:rPr>
          <w:rFonts w:hint="eastAsia" w:ascii="华文宋体" w:hAnsi="华文宋体" w:eastAsia="华文宋体" w:cs="华文宋体"/>
          <w:kern w:val="2"/>
          <w:sz w:val="24"/>
          <w:szCs w:val="24"/>
          <w:lang w:val="en-US" w:eastAsia="zh-CN" w:bidi="ar-SA"/>
        </w:rPr>
        <w:t>667</w:t>
      </w:r>
    </w:p>
    <w:p w14:paraId="6F290AC5">
      <w:pPr>
        <w:tabs>
          <w:tab w:val="right" w:leader="middleDot" w:pos="8295"/>
        </w:tabs>
        <w:ind w:firstLine="0" w:firstLineChars="0"/>
        <w:jc w:val="left"/>
        <w:rPr>
          <w:rFonts w:hint="eastAsia"/>
        </w:rPr>
      </w:pPr>
      <w:r>
        <w:rPr>
          <w:rFonts w:hint="eastAsia"/>
        </w:rPr>
        <w:t>北京市劳动就业服务企业管理实施办法</w:t>
      </w:r>
      <w:r>
        <w:rPr>
          <w:rFonts w:hint="eastAsia"/>
        </w:rPr>
        <w:tab/>
      </w:r>
      <w:r>
        <w:rPr>
          <w:rFonts w:hint="eastAsia" w:ascii="华文宋体" w:hAnsi="华文宋体" w:eastAsia="华文宋体" w:cs="华文宋体"/>
          <w:kern w:val="2"/>
          <w:sz w:val="24"/>
          <w:szCs w:val="24"/>
          <w:lang w:val="en-US" w:eastAsia="zh-CN" w:bidi="ar-SA"/>
        </w:rPr>
        <w:t>676</w:t>
      </w:r>
    </w:p>
    <w:p w14:paraId="716A89FB">
      <w:pPr>
        <w:tabs>
          <w:tab w:val="right" w:leader="middleDot" w:pos="8295"/>
        </w:tabs>
        <w:ind w:firstLine="0" w:firstLineChars="0"/>
        <w:jc w:val="left"/>
      </w:pPr>
    </w:p>
    <w:p w14:paraId="28B9E308">
      <w:pPr>
        <w:tabs>
          <w:tab w:val="right" w:leader="middleDot" w:pos="8295"/>
        </w:tabs>
        <w:ind w:firstLine="0" w:firstLineChars="0"/>
        <w:jc w:val="center"/>
        <w:rPr>
          <w:rFonts w:hint="eastAsia"/>
          <w:sz w:val="28"/>
        </w:rPr>
      </w:pPr>
      <w:r>
        <w:rPr>
          <w:rFonts w:hint="eastAsia"/>
          <w:sz w:val="28"/>
        </w:rPr>
        <w:t>一九九四年</w:t>
      </w:r>
    </w:p>
    <w:p w14:paraId="21DCB353">
      <w:pPr>
        <w:tabs>
          <w:tab w:val="right" w:leader="middleDot" w:pos="8295"/>
        </w:tabs>
        <w:ind w:firstLine="0" w:firstLineChars="0"/>
        <w:jc w:val="left"/>
      </w:pPr>
    </w:p>
    <w:p w14:paraId="5F6D3716">
      <w:pPr>
        <w:tabs>
          <w:tab w:val="right" w:leader="middleDot" w:pos="8295"/>
        </w:tabs>
        <w:ind w:firstLine="0" w:firstLineChars="0"/>
        <w:jc w:val="left"/>
        <w:rPr>
          <w:rFonts w:hint="eastAsia"/>
        </w:rPr>
      </w:pPr>
      <w:r>
        <w:rPr>
          <w:rFonts w:hint="eastAsia"/>
        </w:rPr>
        <w:t>北京市乡村集体企业承包经营条例</w:t>
      </w:r>
      <w:r>
        <w:rPr>
          <w:rFonts w:hint="eastAsia"/>
        </w:rPr>
        <w:tab/>
      </w:r>
      <w:r>
        <w:rPr>
          <w:rFonts w:hint="eastAsia" w:ascii="华文宋体" w:hAnsi="华文宋体" w:eastAsia="华文宋体" w:cs="华文宋体"/>
          <w:kern w:val="2"/>
          <w:sz w:val="24"/>
          <w:szCs w:val="24"/>
          <w:lang w:val="en-US" w:eastAsia="zh-CN" w:bidi="ar-SA"/>
        </w:rPr>
        <w:t>645</w:t>
      </w:r>
    </w:p>
    <w:p w14:paraId="12C874CC">
      <w:pPr>
        <w:tabs>
          <w:tab w:val="right" w:leader="middleDot" w:pos="8295"/>
        </w:tabs>
        <w:ind w:firstLine="0" w:firstLineChars="0"/>
        <w:jc w:val="left"/>
        <w:rPr>
          <w:rFonts w:hint="eastAsia"/>
        </w:rPr>
      </w:pPr>
      <w:r>
        <w:rPr>
          <w:rFonts w:hint="eastAsia"/>
        </w:rPr>
        <w:t>北京市实施《中华人民共和国归侨侨眷权益保护法》办法</w:t>
      </w:r>
      <w:r>
        <w:rPr>
          <w:rFonts w:hint="eastAsia"/>
        </w:rPr>
        <w:tab/>
      </w:r>
      <w:r>
        <w:rPr>
          <w:rFonts w:hint="eastAsia" w:ascii="华文宋体" w:hAnsi="华文宋体" w:eastAsia="华文宋体" w:cs="华文宋体"/>
          <w:kern w:val="2"/>
          <w:sz w:val="24"/>
          <w:szCs w:val="24"/>
          <w:lang w:val="en-US" w:eastAsia="zh-CN" w:bidi="ar-SA"/>
        </w:rPr>
        <w:t>1046</w:t>
      </w:r>
    </w:p>
    <w:p w14:paraId="7999E153">
      <w:pPr>
        <w:tabs>
          <w:tab w:val="right" w:leader="middleDot" w:pos="8295"/>
        </w:tabs>
        <w:ind w:firstLine="0" w:firstLineChars="0"/>
        <w:jc w:val="left"/>
        <w:rPr>
          <w:rFonts w:hint="eastAsia" w:ascii="华文宋体" w:hAnsi="华文宋体" w:eastAsia="华文宋体" w:cs="华文宋体"/>
          <w:kern w:val="2"/>
          <w:sz w:val="24"/>
          <w:szCs w:val="24"/>
          <w:lang w:val="en-US" w:eastAsia="zh-CN" w:bidi="ar-SA"/>
        </w:rPr>
      </w:pPr>
      <w:r>
        <w:rPr>
          <w:rFonts w:hint="eastAsia"/>
        </w:rPr>
        <w:t>北京市实施《中华人民共和国妇女权益保障法》办法</w:t>
      </w:r>
      <w:r>
        <w:rPr>
          <w:rFonts w:hint="eastAsia"/>
        </w:rPr>
        <w:tab/>
      </w:r>
      <w:r>
        <w:rPr>
          <w:rFonts w:hint="eastAsia" w:ascii="华文宋体" w:hAnsi="华文宋体" w:eastAsia="华文宋体" w:cs="华文宋体"/>
          <w:kern w:val="2"/>
          <w:sz w:val="24"/>
          <w:szCs w:val="24"/>
          <w:lang w:val="en-US" w:eastAsia="zh-CN" w:bidi="ar-SA"/>
        </w:rPr>
        <w:t>1049</w:t>
      </w:r>
    </w:p>
    <w:p w14:paraId="1B93C4BB">
      <w:pPr>
        <w:tabs>
          <w:tab w:val="right" w:leader="middleDot" w:pos="8295"/>
        </w:tabs>
        <w:ind w:firstLine="0" w:firstLineChars="0"/>
        <w:jc w:val="left"/>
        <w:rPr>
          <w:rFonts w:hint="eastAsia"/>
        </w:rPr>
      </w:pPr>
      <w:r>
        <w:rPr>
          <w:rFonts w:hint="eastAsia"/>
        </w:rPr>
        <w:t>北京市基本农田保护条例</w:t>
      </w:r>
      <w:r>
        <w:rPr>
          <w:rFonts w:hint="eastAsia"/>
        </w:rPr>
        <w:tab/>
      </w:r>
      <w:r>
        <w:rPr>
          <w:rFonts w:hint="eastAsia" w:ascii="华文宋体" w:hAnsi="华文宋体" w:eastAsia="华文宋体" w:cs="华文宋体"/>
          <w:kern w:val="2"/>
          <w:sz w:val="24"/>
          <w:szCs w:val="24"/>
          <w:lang w:val="en-US" w:eastAsia="zh-CN" w:bidi="ar-SA"/>
        </w:rPr>
        <w:t>495</w:t>
      </w:r>
    </w:p>
    <w:p w14:paraId="0FC3EE26">
      <w:pPr>
        <w:tabs>
          <w:tab w:val="right" w:leader="middleDot" w:pos="8295"/>
        </w:tabs>
        <w:ind w:firstLine="0" w:firstLineChars="0"/>
        <w:jc w:val="left"/>
        <w:rPr>
          <w:rFonts w:hint="eastAsia"/>
        </w:rPr>
      </w:pPr>
      <w:r>
        <w:rPr>
          <w:rFonts w:hint="eastAsia"/>
        </w:rPr>
        <w:t>北京市</w:t>
      </w:r>
      <w:r>
        <w:rPr>
          <w:rFonts w:hint="eastAsia"/>
          <w:lang w:eastAsia="zh-CN"/>
        </w:rPr>
        <w:t>行政事业性收费</w:t>
      </w:r>
      <w:r>
        <w:rPr>
          <w:rFonts w:hint="eastAsia"/>
        </w:rPr>
        <w:t>管理条例</w:t>
      </w:r>
      <w:r>
        <w:rPr>
          <w:rFonts w:hint="eastAsia"/>
        </w:rPr>
        <w:tab/>
      </w:r>
      <w:r>
        <w:rPr>
          <w:rFonts w:hint="eastAsia" w:ascii="华文宋体" w:hAnsi="华文宋体" w:eastAsia="华文宋体" w:cs="华文宋体"/>
          <w:kern w:val="2"/>
          <w:sz w:val="24"/>
          <w:szCs w:val="24"/>
          <w:lang w:val="en-US" w:eastAsia="zh-CN" w:bidi="ar-SA"/>
        </w:rPr>
        <w:t>211</w:t>
      </w:r>
    </w:p>
    <w:p w14:paraId="0382A2DF">
      <w:pPr>
        <w:tabs>
          <w:tab w:val="right" w:leader="middleDot" w:pos="8295"/>
        </w:tabs>
        <w:ind w:firstLine="0" w:firstLineChars="0"/>
        <w:jc w:val="left"/>
        <w:rPr>
          <w:rFonts w:hint="eastAsia"/>
        </w:rPr>
      </w:pPr>
      <w:r>
        <w:rPr>
          <w:rFonts w:hint="eastAsia"/>
        </w:rPr>
        <w:t>北京市农民负担管理条例</w:t>
      </w:r>
      <w:r>
        <w:rPr>
          <w:rFonts w:hint="eastAsia"/>
        </w:rPr>
        <w:tab/>
      </w:r>
      <w:r>
        <w:rPr>
          <w:rFonts w:hint="eastAsia" w:ascii="华文宋体" w:hAnsi="华文宋体" w:eastAsia="华文宋体" w:cs="华文宋体"/>
          <w:kern w:val="2"/>
          <w:sz w:val="24"/>
          <w:szCs w:val="24"/>
          <w:lang w:val="en-US" w:eastAsia="zh-CN" w:bidi="ar-SA"/>
        </w:rPr>
        <w:t>498</w:t>
      </w:r>
    </w:p>
    <w:p w14:paraId="303C1E72">
      <w:pPr>
        <w:tabs>
          <w:tab w:val="right" w:leader="middleDot" w:pos="8295"/>
        </w:tabs>
        <w:ind w:firstLine="0" w:firstLineChars="0"/>
        <w:jc w:val="left"/>
        <w:rPr>
          <w:rFonts w:hint="eastAsia"/>
        </w:rPr>
      </w:pPr>
      <w:r>
        <w:rPr>
          <w:rFonts w:hint="eastAsia"/>
        </w:rPr>
        <w:t>北京市实施《中华人民共和国教师法》办法</w:t>
      </w:r>
      <w:r>
        <w:rPr>
          <w:rFonts w:hint="eastAsia"/>
        </w:rPr>
        <w:tab/>
      </w:r>
      <w:r>
        <w:rPr>
          <w:rFonts w:hint="eastAsia" w:ascii="华文宋体" w:hAnsi="华文宋体" w:eastAsia="华文宋体" w:cs="华文宋体"/>
          <w:kern w:val="2"/>
          <w:sz w:val="24"/>
          <w:szCs w:val="24"/>
          <w:lang w:val="en-US" w:eastAsia="zh-CN" w:bidi="ar-SA"/>
        </w:rPr>
        <w:t>708</w:t>
      </w:r>
    </w:p>
    <w:p w14:paraId="61F61D4B">
      <w:pPr>
        <w:tabs>
          <w:tab w:val="right" w:leader="middleDot" w:pos="8295"/>
        </w:tabs>
        <w:ind w:firstLine="0" w:firstLineChars="0"/>
        <w:jc w:val="left"/>
        <w:rPr>
          <w:rFonts w:hint="eastAsia"/>
        </w:rPr>
      </w:pPr>
      <w:r>
        <w:rPr>
          <w:rFonts w:hint="eastAsia"/>
        </w:rPr>
        <w:t>北京市产品质量监督管理条例</w:t>
      </w:r>
      <w:r>
        <w:rPr>
          <w:rFonts w:hint="eastAsia"/>
        </w:rPr>
        <w:tab/>
      </w:r>
      <w:r>
        <w:rPr>
          <w:rFonts w:hint="eastAsia" w:ascii="华文宋体" w:hAnsi="华文宋体" w:eastAsia="华文宋体" w:cs="华文宋体"/>
          <w:kern w:val="2"/>
          <w:sz w:val="24"/>
          <w:szCs w:val="24"/>
          <w:lang w:val="en-US" w:eastAsia="zh-CN" w:bidi="ar-SA"/>
        </w:rPr>
        <w:t>563</w:t>
      </w:r>
    </w:p>
    <w:p w14:paraId="71484AA6">
      <w:pPr>
        <w:tabs>
          <w:tab w:val="right" w:leader="middleDot" w:pos="8295"/>
        </w:tabs>
        <w:ind w:firstLine="0" w:firstLineChars="0"/>
        <w:jc w:val="left"/>
        <w:rPr>
          <w:rFonts w:hint="eastAsia"/>
        </w:rPr>
      </w:pPr>
      <w:r>
        <w:rPr>
          <w:rFonts w:hint="eastAsia"/>
        </w:rPr>
        <w:t>北京市反不正当竞争条例</w:t>
      </w:r>
      <w:r>
        <w:rPr>
          <w:rFonts w:hint="eastAsia"/>
        </w:rPr>
        <w:tab/>
      </w:r>
      <w:r>
        <w:rPr>
          <w:rFonts w:hint="eastAsia" w:ascii="华文宋体" w:hAnsi="华文宋体" w:eastAsia="华文宋体" w:cs="华文宋体"/>
          <w:kern w:val="2"/>
          <w:sz w:val="24"/>
          <w:szCs w:val="24"/>
          <w:lang w:val="en-US" w:eastAsia="zh-CN" w:bidi="ar-SA"/>
        </w:rPr>
        <w:t>619</w:t>
      </w:r>
    </w:p>
    <w:p w14:paraId="4A8C8928">
      <w:pPr>
        <w:tabs>
          <w:tab w:val="right" w:leader="middleDot" w:pos="8295"/>
        </w:tabs>
        <w:ind w:firstLine="0" w:firstLineChars="0"/>
        <w:jc w:val="left"/>
        <w:rPr>
          <w:rFonts w:hint="eastAsia"/>
        </w:rPr>
      </w:pPr>
      <w:r>
        <w:rPr>
          <w:rFonts w:hint="eastAsia"/>
        </w:rPr>
        <w:t>北京市实施《中华人民共和国残疾人保障法》办法</w:t>
      </w:r>
      <w:r>
        <w:rPr>
          <w:rFonts w:hint="eastAsia"/>
        </w:rPr>
        <w:tab/>
      </w:r>
      <w:r>
        <w:rPr>
          <w:rFonts w:hint="eastAsia" w:ascii="华文宋体" w:hAnsi="华文宋体" w:eastAsia="华文宋体" w:cs="华文宋体"/>
          <w:kern w:val="2"/>
          <w:sz w:val="24"/>
          <w:szCs w:val="24"/>
          <w:lang w:val="en-US" w:eastAsia="zh-CN" w:bidi="ar-SA"/>
        </w:rPr>
        <w:t>1056</w:t>
      </w:r>
    </w:p>
    <w:p w14:paraId="0A43E575">
      <w:pPr>
        <w:tabs>
          <w:tab w:val="right" w:leader="middleDot" w:pos="8295"/>
        </w:tabs>
        <w:ind w:firstLine="0" w:firstLineChars="0"/>
        <w:jc w:val="left"/>
        <w:rPr>
          <w:rFonts w:hint="eastAsia"/>
        </w:rPr>
      </w:pPr>
      <w:r>
        <w:rPr>
          <w:rFonts w:hint="eastAsia"/>
        </w:rPr>
        <w:t>北京市邮政通信条例</w:t>
      </w:r>
      <w:r>
        <w:rPr>
          <w:rFonts w:hint="eastAsia"/>
        </w:rPr>
        <w:tab/>
      </w:r>
      <w:r>
        <w:rPr>
          <w:rFonts w:hint="eastAsia" w:ascii="华文宋体" w:hAnsi="华文宋体" w:eastAsia="华文宋体" w:cs="华文宋体"/>
          <w:kern w:val="2"/>
          <w:sz w:val="24"/>
          <w:szCs w:val="24"/>
          <w:lang w:val="en-US" w:eastAsia="zh-CN" w:bidi="ar-SA"/>
        </w:rPr>
        <w:t>325</w:t>
      </w:r>
    </w:p>
    <w:p w14:paraId="1C634F09">
      <w:pPr>
        <w:tabs>
          <w:tab w:val="right" w:leader="middleDot" w:pos="8295"/>
        </w:tabs>
        <w:ind w:firstLine="0" w:firstLineChars="0"/>
        <w:jc w:val="left"/>
        <w:rPr>
          <w:rFonts w:hint="eastAsia"/>
        </w:rPr>
      </w:pPr>
      <w:r>
        <w:rPr>
          <w:rFonts w:hint="eastAsia"/>
        </w:rPr>
        <w:t>北京市统计管理条例</w:t>
      </w:r>
      <w:r>
        <w:rPr>
          <w:rFonts w:hint="eastAsia"/>
        </w:rPr>
        <w:tab/>
      </w:r>
      <w:r>
        <w:rPr>
          <w:rFonts w:hint="eastAsia" w:ascii="华文宋体" w:hAnsi="华文宋体" w:eastAsia="华文宋体" w:cs="华文宋体"/>
          <w:kern w:val="2"/>
          <w:sz w:val="24"/>
          <w:szCs w:val="24"/>
          <w:lang w:val="en-US" w:eastAsia="zh-CN" w:bidi="ar-SA"/>
        </w:rPr>
        <w:t>552</w:t>
      </w:r>
    </w:p>
    <w:p w14:paraId="0893FB8C">
      <w:pPr>
        <w:tabs>
          <w:tab w:val="right" w:leader="middleDot" w:pos="8295"/>
        </w:tabs>
        <w:ind w:firstLine="0" w:firstLineChars="0"/>
        <w:jc w:val="left"/>
        <w:rPr>
          <w:rFonts w:hint="eastAsia"/>
        </w:rPr>
      </w:pPr>
      <w:r>
        <w:rPr>
          <w:rFonts w:hint="eastAsia"/>
        </w:rPr>
        <w:t>北京市信访条例</w:t>
      </w:r>
      <w:r>
        <w:rPr>
          <w:rFonts w:hint="eastAsia"/>
        </w:rPr>
        <w:tab/>
      </w:r>
      <w:r>
        <w:rPr>
          <w:rFonts w:hint="eastAsia" w:ascii="华文宋体" w:hAnsi="华文宋体" w:eastAsia="华文宋体" w:cs="华文宋体"/>
          <w:kern w:val="2"/>
          <w:sz w:val="24"/>
          <w:szCs w:val="24"/>
          <w:lang w:val="en-US" w:eastAsia="zh-CN" w:bidi="ar-SA"/>
        </w:rPr>
        <w:t>121</w:t>
      </w:r>
    </w:p>
    <w:p w14:paraId="6E11E93F">
      <w:pPr>
        <w:tabs>
          <w:tab w:val="right" w:leader="middleDot" w:pos="8295"/>
        </w:tabs>
        <w:ind w:firstLine="0" w:firstLineChars="0"/>
        <w:jc w:val="left"/>
        <w:rPr>
          <w:rFonts w:hint="eastAsia"/>
        </w:rPr>
      </w:pPr>
      <w:r>
        <w:rPr>
          <w:rFonts w:hint="eastAsia"/>
        </w:rPr>
        <w:t>北京市实施《中华人民共和国工会法》办法</w:t>
      </w:r>
      <w:r>
        <w:rPr>
          <w:rFonts w:hint="eastAsia"/>
        </w:rPr>
        <w:tab/>
      </w:r>
      <w:r>
        <w:rPr>
          <w:rFonts w:hint="eastAsia" w:ascii="华文宋体" w:hAnsi="华文宋体" w:eastAsia="华文宋体" w:cs="华文宋体"/>
          <w:kern w:val="2"/>
          <w:sz w:val="24"/>
          <w:szCs w:val="24"/>
          <w:lang w:val="en-US" w:eastAsia="zh-CN" w:bidi="ar-SA"/>
        </w:rPr>
        <w:t>1022</w:t>
      </w:r>
    </w:p>
    <w:p w14:paraId="5F876CDE">
      <w:pPr>
        <w:tabs>
          <w:tab w:val="right" w:leader="middleDot" w:pos="8295"/>
        </w:tabs>
        <w:ind w:firstLine="0" w:firstLineChars="0"/>
        <w:jc w:val="left"/>
        <w:rPr>
          <w:rFonts w:hint="eastAsia"/>
        </w:rPr>
      </w:pPr>
      <w:r>
        <w:rPr>
          <w:rFonts w:hint="eastAsia"/>
        </w:rPr>
        <w:t>北京市民兵预备役工作条例</w:t>
      </w:r>
      <w:r>
        <w:rPr>
          <w:rFonts w:hint="eastAsia"/>
        </w:rPr>
        <w:tab/>
      </w:r>
      <w:r>
        <w:rPr>
          <w:rFonts w:hint="eastAsia" w:ascii="华文宋体" w:hAnsi="华文宋体" w:eastAsia="华文宋体" w:cs="华文宋体"/>
          <w:kern w:val="2"/>
          <w:sz w:val="24"/>
          <w:szCs w:val="24"/>
          <w:lang w:val="en-US" w:eastAsia="zh-CN" w:bidi="ar-SA"/>
        </w:rPr>
        <w:t>172</w:t>
      </w:r>
    </w:p>
    <w:p w14:paraId="0F295C45">
      <w:pPr>
        <w:tabs>
          <w:tab w:val="right" w:leader="middleDot" w:pos="8295"/>
        </w:tabs>
        <w:ind w:firstLine="0" w:firstLineChars="0"/>
        <w:jc w:val="left"/>
        <w:rPr>
          <w:rFonts w:hint="eastAsia"/>
        </w:rPr>
      </w:pPr>
      <w:r>
        <w:rPr>
          <w:rFonts w:hint="eastAsia"/>
        </w:rPr>
        <w:t>北京市农村集体所有荒山荒滩租赁条例</w:t>
      </w:r>
      <w:r>
        <w:rPr>
          <w:rFonts w:hint="eastAsia"/>
        </w:rPr>
        <w:tab/>
      </w:r>
      <w:r>
        <w:rPr>
          <w:rFonts w:hint="eastAsia" w:ascii="华文宋体" w:hAnsi="华文宋体" w:eastAsia="华文宋体" w:cs="华文宋体"/>
          <w:kern w:val="2"/>
          <w:sz w:val="24"/>
          <w:szCs w:val="24"/>
          <w:lang w:val="en-US" w:eastAsia="zh-CN" w:bidi="ar-SA"/>
        </w:rPr>
        <w:t>502</w:t>
      </w:r>
    </w:p>
    <w:p w14:paraId="3AF3226A">
      <w:pPr>
        <w:tabs>
          <w:tab w:val="right" w:leader="middleDot" w:pos="8295"/>
        </w:tabs>
        <w:ind w:firstLine="0" w:firstLineChars="0"/>
        <w:jc w:val="left"/>
        <w:rPr>
          <w:rFonts w:hint="eastAsia"/>
        </w:rPr>
      </w:pPr>
      <w:r>
        <w:rPr>
          <w:rFonts w:hint="eastAsia"/>
        </w:rPr>
        <w:t>北京市实施《中华人民共和国红十字会法》办法</w:t>
      </w:r>
      <w:r>
        <w:rPr>
          <w:rFonts w:hint="eastAsia"/>
        </w:rPr>
        <w:tab/>
      </w:r>
      <w:r>
        <w:rPr>
          <w:rFonts w:hint="eastAsia" w:ascii="华文宋体" w:hAnsi="华文宋体" w:eastAsia="华文宋体" w:cs="华文宋体"/>
          <w:kern w:val="2"/>
          <w:sz w:val="24"/>
          <w:szCs w:val="24"/>
          <w:lang w:val="en-US" w:eastAsia="zh-CN" w:bidi="ar-SA"/>
        </w:rPr>
        <w:t>1020</w:t>
      </w:r>
    </w:p>
    <w:p w14:paraId="348068DB">
      <w:pPr>
        <w:tabs>
          <w:tab w:val="right" w:leader="middleDot" w:pos="8295"/>
        </w:tabs>
        <w:ind w:firstLine="0" w:firstLineChars="0"/>
        <w:jc w:val="left"/>
        <w:rPr>
          <w:rFonts w:hint="eastAsia"/>
        </w:rPr>
      </w:pPr>
      <w:r>
        <w:rPr>
          <w:rFonts w:hint="eastAsia"/>
        </w:rPr>
        <w:t>北京市人民政府关于扫雪铲冰管理的规定</w:t>
      </w:r>
      <w:r>
        <w:rPr>
          <w:rFonts w:hint="eastAsia"/>
        </w:rPr>
        <w:tab/>
      </w:r>
      <w:r>
        <w:rPr>
          <w:rFonts w:hint="eastAsia" w:ascii="华文宋体" w:hAnsi="华文宋体" w:eastAsia="华文宋体" w:cs="华文宋体"/>
          <w:kern w:val="2"/>
          <w:sz w:val="24"/>
          <w:szCs w:val="24"/>
          <w:lang w:val="en-US" w:eastAsia="zh-CN" w:bidi="ar-SA"/>
        </w:rPr>
        <w:t>1197</w:t>
      </w:r>
    </w:p>
    <w:p w14:paraId="21EFCB5B">
      <w:pPr>
        <w:tabs>
          <w:tab w:val="right" w:leader="middleDot" w:pos="8295"/>
        </w:tabs>
        <w:ind w:firstLine="0" w:firstLineChars="0"/>
        <w:jc w:val="left"/>
        <w:rPr>
          <w:rFonts w:hint="eastAsia"/>
        </w:rPr>
      </w:pPr>
      <w:r>
        <w:rPr>
          <w:rFonts w:hint="eastAsia"/>
        </w:rPr>
        <w:t>关于对世界银行贷款项目内住房合股公司的住房承租人违约处理程序的规定</w:t>
      </w:r>
      <w:r>
        <w:rPr>
          <w:rFonts w:hint="eastAsia"/>
        </w:rPr>
        <w:tab/>
      </w:r>
      <w:r>
        <w:rPr>
          <w:rFonts w:hint="eastAsia" w:ascii="华文宋体" w:hAnsi="华文宋体" w:eastAsia="华文宋体" w:cs="华文宋体"/>
          <w:kern w:val="2"/>
          <w:sz w:val="24"/>
          <w:szCs w:val="24"/>
          <w:lang w:val="en-US" w:eastAsia="zh-CN" w:bidi="ar-SA"/>
        </w:rPr>
        <w:t>454</w:t>
      </w:r>
    </w:p>
    <w:p w14:paraId="4110391B">
      <w:pPr>
        <w:tabs>
          <w:tab w:val="right" w:leader="middleDot" w:pos="8295"/>
        </w:tabs>
        <w:ind w:firstLine="0" w:firstLineChars="0"/>
        <w:jc w:val="left"/>
        <w:rPr>
          <w:rFonts w:hint="eastAsia"/>
        </w:rPr>
      </w:pPr>
      <w:r>
        <w:rPr>
          <w:rFonts w:hint="eastAsia"/>
        </w:rPr>
        <w:t>北京市按比例安排残疾人就业办法</w:t>
      </w:r>
      <w:r>
        <w:rPr>
          <w:rFonts w:hint="eastAsia"/>
        </w:rPr>
        <w:tab/>
      </w:r>
      <w:r>
        <w:rPr>
          <w:rFonts w:hint="eastAsia" w:ascii="华文宋体" w:hAnsi="华文宋体" w:eastAsia="华文宋体" w:cs="华文宋体"/>
          <w:kern w:val="2"/>
          <w:sz w:val="24"/>
          <w:szCs w:val="24"/>
          <w:lang w:val="en-US" w:eastAsia="zh-CN" w:bidi="ar-SA"/>
        </w:rPr>
        <w:t>1074</w:t>
      </w:r>
    </w:p>
    <w:p w14:paraId="0A5E8D58">
      <w:pPr>
        <w:tabs>
          <w:tab w:val="right" w:leader="middleDot" w:pos="8295"/>
        </w:tabs>
        <w:ind w:firstLine="0" w:firstLineChars="0"/>
        <w:jc w:val="left"/>
        <w:rPr>
          <w:rFonts w:hint="eastAsia"/>
        </w:rPr>
      </w:pPr>
      <w:r>
        <w:rPr>
          <w:rFonts w:hint="eastAsia"/>
        </w:rPr>
        <w:t>北京市人民政府关于加强垃圾渣土管理的规定</w:t>
      </w:r>
      <w:r>
        <w:rPr>
          <w:rFonts w:hint="eastAsia"/>
        </w:rPr>
        <w:tab/>
      </w:r>
      <w:r>
        <w:rPr>
          <w:rFonts w:hint="eastAsia" w:ascii="华文宋体" w:hAnsi="华文宋体" w:eastAsia="华文宋体" w:cs="华文宋体"/>
          <w:kern w:val="2"/>
          <w:sz w:val="24"/>
          <w:szCs w:val="24"/>
          <w:lang w:val="en-US" w:eastAsia="zh-CN" w:bidi="ar-SA"/>
        </w:rPr>
        <w:t>1198</w:t>
      </w:r>
    </w:p>
    <w:p w14:paraId="68DC35A0">
      <w:pPr>
        <w:tabs>
          <w:tab w:val="right" w:leader="middleDot" w:pos="8295"/>
        </w:tabs>
        <w:ind w:firstLine="0" w:firstLineChars="0"/>
        <w:jc w:val="left"/>
        <w:rPr>
          <w:rFonts w:hint="eastAsia"/>
        </w:rPr>
      </w:pPr>
      <w:r>
        <w:rPr>
          <w:rFonts w:hint="eastAsia"/>
        </w:rPr>
        <w:t>北京市征收防洪工程建设维护管理费暂行规定</w:t>
      </w:r>
      <w:r>
        <w:rPr>
          <w:rFonts w:hint="eastAsia"/>
        </w:rPr>
        <w:tab/>
      </w:r>
      <w:r>
        <w:rPr>
          <w:rFonts w:hint="eastAsia" w:ascii="华文宋体" w:hAnsi="华文宋体" w:eastAsia="华文宋体" w:cs="华文宋体"/>
          <w:kern w:val="2"/>
          <w:sz w:val="24"/>
          <w:szCs w:val="24"/>
          <w:lang w:val="en-US" w:eastAsia="zh-CN" w:bidi="ar-SA"/>
        </w:rPr>
        <w:t>1425</w:t>
      </w:r>
    </w:p>
    <w:p w14:paraId="38EC3FF4">
      <w:pPr>
        <w:tabs>
          <w:tab w:val="right" w:leader="middleDot" w:pos="8295"/>
        </w:tabs>
        <w:ind w:firstLine="0" w:firstLineChars="0"/>
        <w:jc w:val="left"/>
        <w:rPr>
          <w:rFonts w:hint="eastAsia"/>
        </w:rPr>
      </w:pPr>
      <w:r>
        <w:rPr>
          <w:rFonts w:hint="eastAsia"/>
        </w:rPr>
        <w:t>北京市涉外宾馆卫星电视广播地面接收设施接收卫星传送境外电视节目管理规定</w:t>
      </w:r>
      <w:r>
        <w:rPr>
          <w:rFonts w:hint="eastAsia"/>
        </w:rPr>
        <w:tab/>
      </w:r>
      <w:r>
        <w:rPr>
          <w:rFonts w:hint="eastAsia" w:ascii="华文宋体" w:hAnsi="华文宋体" w:eastAsia="华文宋体" w:cs="华文宋体"/>
          <w:kern w:val="2"/>
          <w:sz w:val="24"/>
          <w:szCs w:val="24"/>
          <w:lang w:val="en-US" w:eastAsia="zh-CN" w:bidi="ar-SA"/>
        </w:rPr>
        <w:t>781</w:t>
      </w:r>
    </w:p>
    <w:p w14:paraId="4680EC29">
      <w:pPr>
        <w:tabs>
          <w:tab w:val="right" w:leader="middleDot" w:pos="8295"/>
        </w:tabs>
        <w:ind w:firstLine="0" w:firstLineChars="0"/>
        <w:jc w:val="left"/>
        <w:rPr>
          <w:rFonts w:hint="eastAsia"/>
        </w:rPr>
      </w:pPr>
      <w:r>
        <w:rPr>
          <w:rFonts w:hint="eastAsia"/>
        </w:rPr>
        <w:t>北京市最低工资规定</w:t>
      </w:r>
      <w:r>
        <w:rPr>
          <w:rFonts w:hint="eastAsia"/>
        </w:rPr>
        <w:tab/>
      </w:r>
      <w:r>
        <w:rPr>
          <w:rFonts w:hint="eastAsia" w:ascii="华文宋体" w:hAnsi="华文宋体" w:eastAsia="华文宋体" w:cs="华文宋体"/>
          <w:kern w:val="2"/>
          <w:sz w:val="24"/>
          <w:szCs w:val="24"/>
          <w:lang w:val="en-US" w:eastAsia="zh-CN" w:bidi="ar-SA"/>
        </w:rPr>
        <w:t>1150</w:t>
      </w:r>
    </w:p>
    <w:p w14:paraId="02770657">
      <w:pPr>
        <w:tabs>
          <w:tab w:val="right" w:leader="middleDot" w:pos="8295"/>
        </w:tabs>
        <w:ind w:firstLine="0" w:firstLineChars="0"/>
        <w:jc w:val="left"/>
        <w:rPr>
          <w:rFonts w:hint="eastAsia"/>
        </w:rPr>
      </w:pPr>
      <w:r>
        <w:rPr>
          <w:rFonts w:hint="eastAsia"/>
        </w:rPr>
        <w:t>北京市城镇集体所有制企业民主选举厂长（经理）暂行办法</w:t>
      </w:r>
      <w:r>
        <w:rPr>
          <w:rFonts w:hint="eastAsia"/>
        </w:rPr>
        <w:tab/>
      </w:r>
      <w:r>
        <w:rPr>
          <w:rFonts w:hint="eastAsia" w:ascii="华文宋体" w:hAnsi="华文宋体" w:eastAsia="华文宋体" w:cs="华文宋体"/>
          <w:kern w:val="2"/>
          <w:sz w:val="24"/>
          <w:szCs w:val="24"/>
          <w:lang w:val="en-US" w:eastAsia="zh-CN" w:bidi="ar-SA"/>
        </w:rPr>
        <w:t>678</w:t>
      </w:r>
    </w:p>
    <w:p w14:paraId="7FD406B7">
      <w:pPr>
        <w:tabs>
          <w:tab w:val="right" w:leader="middleDot" w:pos="8295"/>
        </w:tabs>
        <w:ind w:firstLine="0" w:firstLineChars="0"/>
        <w:jc w:val="left"/>
        <w:rPr>
          <w:rFonts w:hint="eastAsia"/>
        </w:rPr>
      </w:pPr>
      <w:r>
        <w:rPr>
          <w:rFonts w:hint="eastAsia"/>
        </w:rPr>
        <w:t>北京市实施《矿产资源补偿费征收管理规定》办法</w:t>
      </w:r>
      <w:r>
        <w:rPr>
          <w:rFonts w:hint="eastAsia"/>
        </w:rPr>
        <w:tab/>
      </w:r>
      <w:r>
        <w:rPr>
          <w:rFonts w:hint="eastAsia" w:ascii="华文宋体" w:hAnsi="华文宋体" w:eastAsia="华文宋体" w:cs="华文宋体"/>
          <w:kern w:val="2"/>
          <w:sz w:val="24"/>
          <w:szCs w:val="24"/>
          <w:lang w:val="en-US" w:eastAsia="zh-CN" w:bidi="ar-SA"/>
        </w:rPr>
        <w:t>1353</w:t>
      </w:r>
    </w:p>
    <w:p w14:paraId="63E96B32">
      <w:pPr>
        <w:tabs>
          <w:tab w:val="right" w:leader="middleDot" w:pos="8295"/>
        </w:tabs>
        <w:ind w:firstLine="0" w:firstLineChars="0"/>
        <w:jc w:val="left"/>
      </w:pPr>
    </w:p>
    <w:p w14:paraId="0D02332D">
      <w:pPr>
        <w:tabs>
          <w:tab w:val="right" w:leader="middleDot" w:pos="8295"/>
        </w:tabs>
        <w:ind w:firstLine="0" w:firstLineChars="0"/>
        <w:jc w:val="center"/>
        <w:rPr>
          <w:rFonts w:hint="eastAsia"/>
          <w:sz w:val="28"/>
        </w:rPr>
      </w:pPr>
      <w:r>
        <w:rPr>
          <w:rFonts w:hint="eastAsia"/>
          <w:sz w:val="28"/>
        </w:rPr>
        <w:t>一九九五年</w:t>
      </w:r>
    </w:p>
    <w:p w14:paraId="6FCB21DE">
      <w:pPr>
        <w:tabs>
          <w:tab w:val="right" w:leader="middleDot" w:pos="8295"/>
        </w:tabs>
        <w:ind w:firstLine="0" w:firstLineChars="0"/>
        <w:jc w:val="left"/>
      </w:pPr>
    </w:p>
    <w:p w14:paraId="02D0942D">
      <w:pPr>
        <w:tabs>
          <w:tab w:val="right" w:leader="middleDot" w:pos="8295"/>
        </w:tabs>
        <w:ind w:firstLine="0" w:firstLineChars="0"/>
        <w:jc w:val="left"/>
        <w:rPr>
          <w:rFonts w:hint="eastAsia"/>
        </w:rPr>
      </w:pPr>
      <w:r>
        <w:rPr>
          <w:rFonts w:hint="eastAsia"/>
        </w:rPr>
        <w:t>北京经济技术开发区条例</w:t>
      </w:r>
      <w:r>
        <w:rPr>
          <w:rFonts w:hint="eastAsia"/>
        </w:rPr>
        <w:tab/>
      </w:r>
      <w:r>
        <w:rPr>
          <w:rFonts w:hint="eastAsia" w:ascii="华文宋体" w:hAnsi="华文宋体" w:eastAsia="华文宋体" w:cs="华文宋体"/>
          <w:kern w:val="2"/>
          <w:sz w:val="24"/>
          <w:szCs w:val="24"/>
          <w:lang w:val="en-US" w:eastAsia="zh-CN" w:bidi="ar-SA"/>
        </w:rPr>
        <w:t>690</w:t>
      </w:r>
    </w:p>
    <w:p w14:paraId="3E9B04E8">
      <w:pPr>
        <w:tabs>
          <w:tab w:val="right" w:leader="middleDot" w:pos="8295"/>
        </w:tabs>
        <w:ind w:firstLine="0" w:firstLineChars="0"/>
        <w:jc w:val="left"/>
        <w:rPr>
          <w:rFonts w:hint="eastAsia"/>
        </w:rPr>
      </w:pPr>
      <w:r>
        <w:rPr>
          <w:rFonts w:hint="eastAsia"/>
        </w:rPr>
        <w:t>北京市实施《中华人民共和国母婴保健法》办法</w:t>
      </w:r>
      <w:r>
        <w:rPr>
          <w:rFonts w:hint="eastAsia"/>
        </w:rPr>
        <w:tab/>
      </w:r>
      <w:r>
        <w:rPr>
          <w:rFonts w:hint="eastAsia" w:ascii="华文宋体" w:hAnsi="华文宋体" w:eastAsia="华文宋体" w:cs="华文宋体"/>
          <w:kern w:val="2"/>
          <w:sz w:val="24"/>
          <w:szCs w:val="24"/>
          <w:lang w:val="en-US" w:eastAsia="zh-CN" w:bidi="ar-SA"/>
        </w:rPr>
        <w:t>1237</w:t>
      </w:r>
    </w:p>
    <w:p w14:paraId="1FD11801">
      <w:pPr>
        <w:tabs>
          <w:tab w:val="right" w:leader="middleDot" w:pos="8295"/>
        </w:tabs>
        <w:ind w:firstLine="0" w:firstLineChars="0"/>
        <w:jc w:val="left"/>
        <w:rPr>
          <w:rFonts w:hint="eastAsia"/>
        </w:rPr>
      </w:pPr>
      <w:r>
        <w:rPr>
          <w:rFonts w:hint="eastAsia"/>
        </w:rPr>
        <w:t>北京市专业技术人员继续教育规定</w:t>
      </w:r>
      <w:r>
        <w:rPr>
          <w:rFonts w:hint="eastAsia"/>
        </w:rPr>
        <w:tab/>
      </w:r>
      <w:r>
        <w:rPr>
          <w:rFonts w:hint="eastAsia" w:ascii="华文宋体" w:hAnsi="华文宋体" w:eastAsia="华文宋体" w:cs="华文宋体"/>
          <w:kern w:val="2"/>
          <w:sz w:val="24"/>
          <w:szCs w:val="24"/>
          <w:lang w:val="en-US" w:eastAsia="zh-CN" w:bidi="ar-SA"/>
        </w:rPr>
        <w:t>711</w:t>
      </w:r>
    </w:p>
    <w:p w14:paraId="2D05D5B2">
      <w:pPr>
        <w:tabs>
          <w:tab w:val="right" w:leader="middleDot" w:pos="8295"/>
        </w:tabs>
        <w:ind w:firstLine="0" w:firstLineChars="0"/>
        <w:jc w:val="left"/>
        <w:rPr>
          <w:rFonts w:hint="eastAsia"/>
        </w:rPr>
      </w:pPr>
      <w:r>
        <w:rPr>
          <w:rFonts w:hint="eastAsia"/>
        </w:rPr>
        <w:t>北京市实施《中华人民共和国农业技术推广法》办法</w:t>
      </w:r>
      <w:r>
        <w:rPr>
          <w:rFonts w:hint="eastAsia"/>
        </w:rPr>
        <w:tab/>
      </w:r>
      <w:r>
        <w:rPr>
          <w:rFonts w:hint="eastAsia" w:ascii="华文宋体" w:hAnsi="华文宋体" w:eastAsia="华文宋体" w:cs="华文宋体"/>
          <w:kern w:val="2"/>
          <w:sz w:val="24"/>
          <w:szCs w:val="24"/>
          <w:lang w:val="en-US" w:eastAsia="zh-CN" w:bidi="ar-SA"/>
        </w:rPr>
        <w:t>505</w:t>
      </w:r>
    </w:p>
    <w:p w14:paraId="645D4D1E">
      <w:pPr>
        <w:tabs>
          <w:tab w:val="right" w:leader="middleDot" w:pos="8295"/>
        </w:tabs>
        <w:ind w:firstLine="0" w:firstLineChars="0"/>
        <w:jc w:val="left"/>
        <w:rPr>
          <w:rFonts w:hint="eastAsia"/>
        </w:rPr>
      </w:pPr>
      <w:r>
        <w:rPr>
          <w:rFonts w:hint="eastAsia"/>
        </w:rPr>
        <w:t>北京市实施《中华人民共和国消费者权益保护法》办法</w:t>
      </w:r>
      <w:r>
        <w:rPr>
          <w:rFonts w:hint="eastAsia"/>
        </w:rPr>
        <w:tab/>
      </w:r>
      <w:r>
        <w:rPr>
          <w:rFonts w:hint="eastAsia" w:ascii="华文宋体" w:hAnsi="华文宋体" w:eastAsia="华文宋体" w:cs="华文宋体"/>
          <w:kern w:val="2"/>
          <w:sz w:val="24"/>
          <w:szCs w:val="24"/>
          <w:lang w:val="en-US" w:eastAsia="zh-CN" w:bidi="ar-SA"/>
        </w:rPr>
        <w:t>1065</w:t>
      </w:r>
    </w:p>
    <w:p w14:paraId="4A1D0A2F">
      <w:pPr>
        <w:tabs>
          <w:tab w:val="right" w:leader="middleDot" w:pos="8295"/>
        </w:tabs>
        <w:ind w:firstLine="0" w:firstLineChars="0"/>
        <w:jc w:val="left"/>
        <w:rPr>
          <w:rFonts w:hint="eastAsia"/>
        </w:rPr>
      </w:pPr>
      <w:r>
        <w:rPr>
          <w:rFonts w:hint="eastAsia"/>
        </w:rPr>
        <w:t>北京市密云水库怀柔水库和京密引水渠水源保护管理条例</w:t>
      </w:r>
      <w:r>
        <w:rPr>
          <w:rFonts w:hint="eastAsia"/>
        </w:rPr>
        <w:tab/>
      </w:r>
      <w:r>
        <w:rPr>
          <w:rFonts w:hint="eastAsia" w:ascii="华文宋体" w:hAnsi="华文宋体" w:eastAsia="华文宋体" w:cs="华文宋体"/>
          <w:kern w:val="2"/>
          <w:sz w:val="24"/>
          <w:szCs w:val="24"/>
          <w:lang w:val="en-US" w:eastAsia="zh-CN" w:bidi="ar-SA"/>
        </w:rPr>
        <w:t>1415</w:t>
      </w:r>
    </w:p>
    <w:p w14:paraId="4FC1A9DB">
      <w:pPr>
        <w:tabs>
          <w:tab w:val="right" w:leader="middleDot" w:pos="8295"/>
        </w:tabs>
        <w:ind w:firstLine="0" w:firstLineChars="0"/>
        <w:jc w:val="left"/>
        <w:rPr>
          <w:rFonts w:hint="eastAsia"/>
        </w:rPr>
      </w:pPr>
      <w:r>
        <w:rPr>
          <w:rFonts w:hint="eastAsia"/>
        </w:rPr>
        <w:t>北京市老年人权益保障条例</w:t>
      </w:r>
      <w:r>
        <w:rPr>
          <w:rFonts w:hint="eastAsia"/>
        </w:rPr>
        <w:tab/>
      </w:r>
      <w:r>
        <w:rPr>
          <w:rFonts w:hint="eastAsia" w:ascii="华文宋体" w:hAnsi="华文宋体" w:eastAsia="华文宋体" w:cs="华文宋体"/>
          <w:kern w:val="2"/>
          <w:sz w:val="24"/>
          <w:szCs w:val="24"/>
          <w:lang w:val="en-US" w:eastAsia="zh-CN" w:bidi="ar-SA"/>
        </w:rPr>
        <w:t>1068</w:t>
      </w:r>
    </w:p>
    <w:p w14:paraId="2F1E7E91">
      <w:pPr>
        <w:tabs>
          <w:tab w:val="right" w:leader="middleDot" w:pos="8295"/>
        </w:tabs>
        <w:ind w:firstLine="0" w:firstLineChars="0"/>
        <w:jc w:val="left"/>
        <w:rPr>
          <w:rFonts w:hint="eastAsia"/>
        </w:rPr>
      </w:pPr>
      <w:r>
        <w:rPr>
          <w:rFonts w:hint="eastAsia"/>
        </w:rPr>
        <w:t>北京市工程建设监理管理办法</w:t>
      </w:r>
      <w:r>
        <w:rPr>
          <w:rFonts w:hint="eastAsia"/>
        </w:rPr>
        <w:tab/>
      </w:r>
      <w:r>
        <w:rPr>
          <w:rFonts w:hint="eastAsia" w:ascii="华文宋体" w:hAnsi="华文宋体" w:eastAsia="华文宋体" w:cs="华文宋体"/>
          <w:kern w:val="2"/>
          <w:sz w:val="24"/>
          <w:szCs w:val="24"/>
          <w:lang w:val="en-US" w:eastAsia="zh-CN" w:bidi="ar-SA"/>
        </w:rPr>
        <w:t>392</w:t>
      </w:r>
    </w:p>
    <w:p w14:paraId="74B0358C">
      <w:pPr>
        <w:tabs>
          <w:tab w:val="right" w:leader="middleDot" w:pos="8295"/>
        </w:tabs>
        <w:ind w:firstLine="0" w:firstLineChars="0"/>
        <w:jc w:val="left"/>
        <w:rPr>
          <w:rFonts w:hint="eastAsia"/>
        </w:rPr>
      </w:pPr>
      <w:r>
        <w:rPr>
          <w:rFonts w:hint="eastAsia"/>
        </w:rPr>
        <w:t>北京市外地来京人员户籍管理规定</w:t>
      </w:r>
      <w:r>
        <w:rPr>
          <w:rFonts w:hint="eastAsia"/>
        </w:rPr>
        <w:tab/>
      </w:r>
      <w:r>
        <w:rPr>
          <w:rFonts w:hint="eastAsia" w:ascii="华文宋体" w:hAnsi="华文宋体" w:eastAsia="华文宋体" w:cs="华文宋体"/>
          <w:kern w:val="2"/>
          <w:sz w:val="24"/>
          <w:szCs w:val="24"/>
          <w:lang w:val="en-US" w:eastAsia="zh-CN" w:bidi="ar-SA"/>
        </w:rPr>
        <w:t>918</w:t>
      </w:r>
    </w:p>
    <w:p w14:paraId="2AFE05F9">
      <w:pPr>
        <w:tabs>
          <w:tab w:val="right" w:leader="middleDot" w:pos="8295"/>
        </w:tabs>
        <w:ind w:firstLine="0" w:firstLineChars="0"/>
        <w:jc w:val="left"/>
        <w:rPr>
          <w:rFonts w:hint="eastAsia"/>
        </w:rPr>
      </w:pPr>
      <w:r>
        <w:rPr>
          <w:rFonts w:hint="eastAsia"/>
        </w:rPr>
        <w:t>北京市关于在公众交易中禁止使用杆秤的规定</w:t>
      </w:r>
      <w:r>
        <w:rPr>
          <w:rFonts w:hint="eastAsia"/>
        </w:rPr>
        <w:tab/>
      </w:r>
      <w:r>
        <w:rPr>
          <w:rFonts w:hint="eastAsia" w:ascii="华文宋体" w:hAnsi="华文宋体" w:eastAsia="华文宋体" w:cs="华文宋体"/>
          <w:kern w:val="2"/>
          <w:sz w:val="24"/>
          <w:szCs w:val="24"/>
          <w:lang w:val="en-US" w:eastAsia="zh-CN" w:bidi="ar-SA"/>
        </w:rPr>
        <w:t>571</w:t>
      </w:r>
    </w:p>
    <w:p w14:paraId="4A482E11">
      <w:pPr>
        <w:tabs>
          <w:tab w:val="right" w:leader="middleDot" w:pos="8295"/>
        </w:tabs>
        <w:ind w:firstLine="0" w:firstLineChars="0"/>
        <w:jc w:val="left"/>
        <w:rPr>
          <w:rFonts w:hint="eastAsia"/>
        </w:rPr>
      </w:pPr>
      <w:r>
        <w:rPr>
          <w:rFonts w:hint="eastAsia"/>
        </w:rPr>
        <w:t>北京市农业机械安全监督管理办法</w:t>
      </w:r>
      <w:r>
        <w:rPr>
          <w:rFonts w:hint="eastAsia"/>
        </w:rPr>
        <w:tab/>
      </w:r>
      <w:r>
        <w:rPr>
          <w:rFonts w:hint="eastAsia" w:ascii="华文宋体" w:hAnsi="华文宋体" w:eastAsia="华文宋体" w:cs="华文宋体"/>
          <w:kern w:val="2"/>
          <w:sz w:val="24"/>
          <w:szCs w:val="24"/>
          <w:lang w:val="en-US" w:eastAsia="zh-CN" w:bidi="ar-SA"/>
        </w:rPr>
        <w:t>537</w:t>
      </w:r>
    </w:p>
    <w:p w14:paraId="24246FB2">
      <w:pPr>
        <w:tabs>
          <w:tab w:val="right" w:leader="middleDot" w:pos="8295"/>
        </w:tabs>
        <w:ind w:firstLine="0" w:firstLineChars="0"/>
        <w:jc w:val="left"/>
        <w:rPr>
          <w:rFonts w:hint="eastAsia"/>
        </w:rPr>
      </w:pPr>
      <w:r>
        <w:rPr>
          <w:rFonts w:hint="eastAsia"/>
        </w:rPr>
        <w:t>北京市实行婚前医学检查管理规定</w:t>
      </w:r>
      <w:r>
        <w:rPr>
          <w:rFonts w:hint="eastAsia"/>
        </w:rPr>
        <w:tab/>
      </w:r>
      <w:r>
        <w:rPr>
          <w:rFonts w:hint="eastAsia" w:ascii="华文宋体" w:hAnsi="华文宋体" w:eastAsia="华文宋体" w:cs="华文宋体"/>
          <w:kern w:val="2"/>
          <w:sz w:val="24"/>
          <w:szCs w:val="24"/>
          <w:lang w:val="en-US" w:eastAsia="zh-CN" w:bidi="ar-SA"/>
        </w:rPr>
        <w:t>1003</w:t>
      </w:r>
    </w:p>
    <w:p w14:paraId="0414B8F2">
      <w:pPr>
        <w:tabs>
          <w:tab w:val="right" w:leader="middleDot" w:pos="8295"/>
        </w:tabs>
        <w:ind w:firstLine="0" w:firstLineChars="0"/>
        <w:jc w:val="left"/>
        <w:rPr>
          <w:rFonts w:hint="eastAsia"/>
        </w:rPr>
      </w:pPr>
      <w:r>
        <w:rPr>
          <w:rFonts w:hint="eastAsia"/>
        </w:rPr>
        <w:t>北京市实施《国家赔偿费用管理办法》的规定</w:t>
      </w:r>
      <w:r>
        <w:rPr>
          <w:rFonts w:hint="eastAsia"/>
        </w:rPr>
        <w:tab/>
      </w:r>
      <w:r>
        <w:rPr>
          <w:rFonts w:hint="eastAsia" w:ascii="华文宋体" w:hAnsi="华文宋体" w:eastAsia="华文宋体" w:cs="华文宋体"/>
          <w:kern w:val="2"/>
          <w:sz w:val="24"/>
          <w:szCs w:val="24"/>
          <w:lang w:val="en-US" w:eastAsia="zh-CN" w:bidi="ar-SA"/>
        </w:rPr>
        <w:t>224</w:t>
      </w:r>
    </w:p>
    <w:p w14:paraId="11E02648">
      <w:pPr>
        <w:tabs>
          <w:tab w:val="right" w:leader="middleDot" w:pos="8295"/>
        </w:tabs>
        <w:ind w:firstLine="0" w:firstLineChars="0"/>
        <w:jc w:val="left"/>
        <w:rPr>
          <w:rFonts w:hint="eastAsia"/>
        </w:rPr>
      </w:pPr>
      <w:r>
        <w:rPr>
          <w:rFonts w:hint="eastAsia"/>
        </w:rPr>
        <w:t>北京市预算执行情况审计监督暂行办法</w:t>
      </w:r>
      <w:r>
        <w:rPr>
          <w:rFonts w:hint="eastAsia"/>
        </w:rPr>
        <w:tab/>
      </w:r>
      <w:r>
        <w:rPr>
          <w:rFonts w:hint="eastAsia" w:ascii="华文宋体" w:hAnsi="华文宋体" w:eastAsia="华文宋体" w:cs="华文宋体"/>
          <w:kern w:val="2"/>
          <w:sz w:val="24"/>
          <w:szCs w:val="24"/>
          <w:lang w:val="en-US" w:eastAsia="zh-CN" w:bidi="ar-SA"/>
        </w:rPr>
        <w:t>549</w:t>
      </w:r>
    </w:p>
    <w:p w14:paraId="3795CF30">
      <w:pPr>
        <w:tabs>
          <w:tab w:val="right" w:leader="middleDot" w:pos="8295"/>
        </w:tabs>
        <w:ind w:firstLine="0" w:firstLineChars="0"/>
        <w:jc w:val="left"/>
        <w:rPr>
          <w:rFonts w:hint="eastAsia"/>
        </w:rPr>
      </w:pPr>
      <w:r>
        <w:rPr>
          <w:rFonts w:hint="eastAsia"/>
        </w:rPr>
        <w:t>北京市城镇居民住宅防火安全管理规定</w:t>
      </w:r>
      <w:r>
        <w:rPr>
          <w:rFonts w:hint="eastAsia"/>
        </w:rPr>
        <w:tab/>
      </w:r>
      <w:r>
        <w:rPr>
          <w:rFonts w:hint="eastAsia" w:ascii="华文宋体" w:hAnsi="华文宋体" w:eastAsia="华文宋体" w:cs="华文宋体"/>
          <w:kern w:val="2"/>
          <w:sz w:val="24"/>
          <w:szCs w:val="24"/>
          <w:lang w:val="en-US" w:eastAsia="zh-CN" w:bidi="ar-SA"/>
        </w:rPr>
        <w:t>921</w:t>
      </w:r>
    </w:p>
    <w:p w14:paraId="507C5F68">
      <w:pPr>
        <w:tabs>
          <w:tab w:val="right" w:leader="middleDot" w:pos="8295"/>
        </w:tabs>
        <w:ind w:firstLine="0" w:firstLineChars="0"/>
        <w:jc w:val="left"/>
        <w:rPr>
          <w:rFonts w:hint="eastAsia"/>
        </w:rPr>
      </w:pPr>
      <w:r>
        <w:rPr>
          <w:rFonts w:hint="eastAsia"/>
        </w:rPr>
        <w:t>北京市盐业管理若干规定</w:t>
      </w:r>
      <w:r>
        <w:rPr>
          <w:rFonts w:hint="eastAsia"/>
        </w:rPr>
        <w:tab/>
      </w:r>
      <w:r>
        <w:rPr>
          <w:rFonts w:hint="eastAsia" w:ascii="华文宋体" w:hAnsi="华文宋体" w:eastAsia="华文宋体" w:cs="华文宋体"/>
          <w:kern w:val="2"/>
          <w:sz w:val="24"/>
          <w:szCs w:val="24"/>
          <w:lang w:val="en-US" w:eastAsia="zh-CN" w:bidi="ar-SA"/>
        </w:rPr>
        <w:t>605</w:t>
      </w:r>
    </w:p>
    <w:p w14:paraId="3DE702F9">
      <w:pPr>
        <w:tabs>
          <w:tab w:val="right" w:leader="middleDot" w:pos="8295"/>
        </w:tabs>
        <w:ind w:firstLine="0" w:firstLineChars="0"/>
        <w:jc w:val="left"/>
      </w:pPr>
    </w:p>
    <w:p w14:paraId="7E586401">
      <w:pPr>
        <w:tabs>
          <w:tab w:val="right" w:leader="middleDot" w:pos="8295"/>
        </w:tabs>
        <w:ind w:firstLine="0" w:firstLineChars="0"/>
        <w:jc w:val="center"/>
        <w:rPr>
          <w:rFonts w:hint="eastAsia"/>
          <w:sz w:val="28"/>
        </w:rPr>
      </w:pPr>
      <w:r>
        <w:rPr>
          <w:rFonts w:hint="eastAsia"/>
          <w:sz w:val="28"/>
        </w:rPr>
        <w:t>一九九六年</w:t>
      </w:r>
    </w:p>
    <w:p w14:paraId="3CA59570">
      <w:pPr>
        <w:tabs>
          <w:tab w:val="right" w:leader="middleDot" w:pos="8295"/>
        </w:tabs>
        <w:ind w:firstLine="0" w:firstLineChars="0"/>
        <w:jc w:val="left"/>
      </w:pPr>
    </w:p>
    <w:p w14:paraId="6692F550">
      <w:pPr>
        <w:tabs>
          <w:tab w:val="right" w:leader="middleDot" w:pos="8295"/>
        </w:tabs>
        <w:ind w:firstLine="0" w:firstLineChars="0"/>
        <w:jc w:val="left"/>
        <w:rPr>
          <w:rFonts w:hint="eastAsia"/>
        </w:rPr>
      </w:pPr>
      <w:r>
        <w:rPr>
          <w:rFonts w:hint="eastAsia"/>
        </w:rPr>
        <w:t>北京市殡葬管理条例</w:t>
      </w:r>
      <w:r>
        <w:rPr>
          <w:rFonts w:hint="eastAsia"/>
        </w:rPr>
        <w:tab/>
      </w:r>
      <w:r>
        <w:rPr>
          <w:rFonts w:hint="eastAsia" w:ascii="华文宋体" w:hAnsi="华文宋体" w:eastAsia="华文宋体" w:cs="华文宋体"/>
          <w:kern w:val="2"/>
          <w:sz w:val="24"/>
          <w:szCs w:val="24"/>
          <w:lang w:val="en-US" w:eastAsia="zh-CN" w:bidi="ar-SA"/>
        </w:rPr>
        <w:t>997</w:t>
      </w:r>
    </w:p>
    <w:p w14:paraId="5BCAA96B">
      <w:pPr>
        <w:tabs>
          <w:tab w:val="right" w:leader="middleDot" w:pos="8295"/>
        </w:tabs>
        <w:ind w:firstLine="0" w:firstLineChars="0"/>
        <w:jc w:val="left"/>
        <w:rPr>
          <w:rFonts w:hint="eastAsia"/>
        </w:rPr>
      </w:pPr>
      <w:r>
        <w:rPr>
          <w:rFonts w:hint="eastAsia"/>
        </w:rPr>
        <w:t>北京市规章设定罚款限额规定</w:t>
      </w:r>
      <w:r>
        <w:rPr>
          <w:rFonts w:hint="eastAsia"/>
        </w:rPr>
        <w:tab/>
      </w:r>
      <w:r>
        <w:rPr>
          <w:rFonts w:hint="eastAsia" w:ascii="华文宋体" w:hAnsi="华文宋体" w:eastAsia="华文宋体" w:cs="华文宋体"/>
          <w:kern w:val="2"/>
          <w:sz w:val="24"/>
          <w:szCs w:val="24"/>
          <w:lang w:val="en-US" w:eastAsia="zh-CN" w:bidi="ar-SA"/>
        </w:rPr>
        <w:t>131</w:t>
      </w:r>
    </w:p>
    <w:p w14:paraId="4819A79B">
      <w:pPr>
        <w:tabs>
          <w:tab w:val="right" w:leader="middleDot" w:pos="8295"/>
        </w:tabs>
        <w:ind w:firstLine="0" w:firstLineChars="0"/>
        <w:jc w:val="left"/>
        <w:rPr>
          <w:rFonts w:hint="eastAsia"/>
        </w:rPr>
      </w:pPr>
      <w:r>
        <w:rPr>
          <w:rFonts w:hint="eastAsia"/>
        </w:rPr>
        <w:t>北京市人民代表大会代表视察办法</w:t>
      </w:r>
      <w:r>
        <w:rPr>
          <w:rFonts w:hint="eastAsia"/>
        </w:rPr>
        <w:tab/>
      </w:r>
      <w:r>
        <w:rPr>
          <w:rFonts w:hint="eastAsia" w:ascii="华文宋体" w:hAnsi="华文宋体" w:eastAsia="华文宋体" w:cs="华文宋体"/>
          <w:kern w:val="2"/>
          <w:sz w:val="24"/>
          <w:szCs w:val="24"/>
          <w:lang w:val="en-US" w:eastAsia="zh-CN" w:bidi="ar-SA"/>
        </w:rPr>
        <w:t>11</w:t>
      </w:r>
    </w:p>
    <w:p w14:paraId="7DA95358">
      <w:pPr>
        <w:tabs>
          <w:tab w:val="right" w:leader="middleDot" w:pos="8295"/>
        </w:tabs>
        <w:ind w:firstLine="0" w:firstLineChars="0"/>
        <w:jc w:val="left"/>
        <w:rPr>
          <w:rFonts w:hint="eastAsia"/>
        </w:rPr>
      </w:pPr>
      <w:r>
        <w:rPr>
          <w:rFonts w:hint="eastAsia"/>
        </w:rPr>
        <w:t>北京市实施《中华人民共和国保守国家秘密法》若干规定</w:t>
      </w:r>
      <w:r>
        <w:rPr>
          <w:rFonts w:hint="eastAsia"/>
        </w:rPr>
        <w:tab/>
      </w:r>
      <w:r>
        <w:rPr>
          <w:rFonts w:hint="eastAsia" w:ascii="华文宋体" w:hAnsi="华文宋体" w:eastAsia="华文宋体" w:cs="华文宋体"/>
          <w:kern w:val="2"/>
          <w:sz w:val="24"/>
          <w:szCs w:val="24"/>
          <w:lang w:val="en-US" w:eastAsia="zh-CN" w:bidi="ar-SA"/>
        </w:rPr>
        <w:t>196</w:t>
      </w:r>
    </w:p>
    <w:p w14:paraId="7D21627B">
      <w:pPr>
        <w:tabs>
          <w:tab w:val="right" w:leader="middleDot" w:pos="8295"/>
        </w:tabs>
        <w:ind w:firstLine="0" w:firstLineChars="0"/>
        <w:jc w:val="left"/>
        <w:rPr>
          <w:rFonts w:hint="eastAsia"/>
        </w:rPr>
      </w:pPr>
      <w:r>
        <w:rPr>
          <w:rFonts w:hint="eastAsia"/>
        </w:rPr>
        <w:t>北京市消防条例</w:t>
      </w:r>
      <w:r>
        <w:rPr>
          <w:rFonts w:hint="eastAsia"/>
        </w:rPr>
        <w:tab/>
      </w:r>
      <w:r>
        <w:rPr>
          <w:rFonts w:hint="eastAsia" w:ascii="华文宋体" w:hAnsi="华文宋体" w:eastAsia="华文宋体" w:cs="华文宋体"/>
          <w:kern w:val="2"/>
          <w:sz w:val="24"/>
          <w:szCs w:val="24"/>
          <w:lang w:val="en-US" w:eastAsia="zh-CN" w:bidi="ar-SA"/>
        </w:rPr>
        <w:t>865</w:t>
      </w:r>
    </w:p>
    <w:p w14:paraId="2E1C3287">
      <w:pPr>
        <w:tabs>
          <w:tab w:val="right" w:leader="middleDot" w:pos="8295"/>
        </w:tabs>
        <w:ind w:firstLine="0" w:firstLineChars="0"/>
        <w:jc w:val="left"/>
        <w:rPr>
          <w:rFonts w:hint="eastAsia"/>
        </w:rPr>
      </w:pPr>
      <w:r>
        <w:rPr>
          <w:rFonts w:hint="eastAsia"/>
        </w:rPr>
        <w:t>北京市农村股份合作企业暂行条例</w:t>
      </w:r>
      <w:r>
        <w:rPr>
          <w:rFonts w:hint="eastAsia"/>
        </w:rPr>
        <w:tab/>
      </w:r>
      <w:r>
        <w:rPr>
          <w:rFonts w:hint="eastAsia" w:ascii="华文宋体" w:hAnsi="华文宋体" w:eastAsia="华文宋体" w:cs="华文宋体"/>
          <w:kern w:val="2"/>
          <w:sz w:val="24"/>
          <w:szCs w:val="24"/>
          <w:lang w:val="en-US" w:eastAsia="zh-CN" w:bidi="ar-SA"/>
        </w:rPr>
        <w:t>651</w:t>
      </w:r>
    </w:p>
    <w:p w14:paraId="2BDB1102">
      <w:pPr>
        <w:tabs>
          <w:tab w:val="right" w:leader="middleDot" w:pos="8295"/>
        </w:tabs>
        <w:ind w:firstLine="0" w:firstLineChars="0"/>
        <w:jc w:val="left"/>
        <w:rPr>
          <w:rFonts w:hint="eastAsia"/>
        </w:rPr>
      </w:pPr>
      <w:r>
        <w:rPr>
          <w:rFonts w:hint="eastAsia"/>
        </w:rPr>
        <w:t>北京市实验动物管理条例</w:t>
      </w:r>
      <w:r>
        <w:rPr>
          <w:rFonts w:hint="eastAsia"/>
        </w:rPr>
        <w:tab/>
      </w:r>
      <w:r>
        <w:rPr>
          <w:rFonts w:hint="eastAsia" w:ascii="华文宋体" w:hAnsi="华文宋体" w:eastAsia="华文宋体" w:cs="华文宋体"/>
          <w:kern w:val="2"/>
          <w:sz w:val="24"/>
          <w:szCs w:val="24"/>
          <w:lang w:val="en-US" w:eastAsia="zh-CN" w:bidi="ar-SA"/>
        </w:rPr>
        <w:t>737</w:t>
      </w:r>
    </w:p>
    <w:p w14:paraId="70A9BAB2">
      <w:pPr>
        <w:tabs>
          <w:tab w:val="right" w:leader="middleDot" w:pos="8295"/>
        </w:tabs>
        <w:ind w:firstLine="0" w:firstLineChars="0"/>
        <w:jc w:val="left"/>
        <w:rPr>
          <w:rFonts w:hint="eastAsia"/>
        </w:rPr>
      </w:pPr>
      <w:r>
        <w:rPr>
          <w:rFonts w:hint="eastAsia"/>
        </w:rPr>
        <w:t>关于市人民政府向市人民代表大会常务委员会报告重大事项的若干规定</w:t>
      </w:r>
      <w:r>
        <w:rPr>
          <w:rFonts w:hint="eastAsia"/>
        </w:rPr>
        <w:tab/>
      </w:r>
      <w:r>
        <w:rPr>
          <w:rFonts w:hint="eastAsia" w:ascii="华文宋体" w:hAnsi="华文宋体" w:eastAsia="华文宋体" w:cs="华文宋体"/>
          <w:kern w:val="2"/>
          <w:sz w:val="24"/>
          <w:szCs w:val="24"/>
          <w:lang w:val="en-US" w:eastAsia="zh-CN" w:bidi="ar-SA"/>
        </w:rPr>
        <w:t>48</w:t>
      </w:r>
    </w:p>
    <w:p w14:paraId="22F90FC2">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北京市预算监督条例</w:t>
      </w:r>
      <w:r>
        <w:rPr>
          <w:rFonts w:hint="eastAsia"/>
        </w:rPr>
        <w:tab/>
      </w:r>
      <w:r>
        <w:rPr>
          <w:rFonts w:hint="eastAsia" w:ascii="华文宋体" w:hAnsi="华文宋体" w:eastAsia="华文宋体" w:cs="华文宋体"/>
          <w:kern w:val="2"/>
          <w:sz w:val="24"/>
          <w:szCs w:val="24"/>
          <w:lang w:val="en-US" w:eastAsia="zh-CN" w:bidi="ar-SA"/>
        </w:rPr>
        <w:t>215</w:t>
      </w:r>
    </w:p>
    <w:p w14:paraId="01A0C2EC">
      <w:pPr>
        <w:tabs>
          <w:tab w:val="right" w:leader="middleDot" w:pos="8295"/>
        </w:tabs>
        <w:ind w:firstLine="0" w:firstLineChars="0"/>
        <w:jc w:val="left"/>
        <w:rPr>
          <w:rFonts w:hint="eastAsia"/>
        </w:rPr>
      </w:pPr>
      <w:r>
        <w:rPr>
          <w:rFonts w:hint="eastAsia"/>
        </w:rPr>
        <w:t>北京市教师申诉办法</w:t>
      </w:r>
      <w:r>
        <w:rPr>
          <w:rFonts w:hint="eastAsia"/>
        </w:rPr>
        <w:tab/>
      </w:r>
      <w:r>
        <w:rPr>
          <w:rFonts w:hint="eastAsia" w:ascii="华文宋体" w:hAnsi="华文宋体" w:eastAsia="华文宋体" w:cs="华文宋体"/>
          <w:kern w:val="2"/>
          <w:sz w:val="24"/>
          <w:szCs w:val="24"/>
          <w:lang w:val="en-US" w:eastAsia="zh-CN" w:bidi="ar-SA"/>
        </w:rPr>
        <w:t>730</w:t>
      </w:r>
    </w:p>
    <w:p w14:paraId="68210999">
      <w:pPr>
        <w:tabs>
          <w:tab w:val="right" w:leader="middleDot" w:pos="8295"/>
        </w:tabs>
        <w:ind w:firstLine="0" w:firstLineChars="0"/>
        <w:jc w:val="left"/>
        <w:rPr>
          <w:rFonts w:hint="eastAsia"/>
        </w:rPr>
      </w:pPr>
      <w:r>
        <w:rPr>
          <w:rFonts w:hint="eastAsia"/>
        </w:rPr>
        <w:t>北京市事业单位登记管理办法</w:t>
      </w:r>
      <w:r>
        <w:rPr>
          <w:rFonts w:hint="eastAsia"/>
        </w:rPr>
        <w:tab/>
      </w:r>
      <w:r>
        <w:rPr>
          <w:rFonts w:hint="eastAsia" w:ascii="华文宋体" w:hAnsi="华文宋体" w:eastAsia="华文宋体" w:cs="华文宋体"/>
          <w:kern w:val="2"/>
          <w:sz w:val="24"/>
          <w:szCs w:val="24"/>
          <w:lang w:val="en-US" w:eastAsia="zh-CN" w:bidi="ar-SA"/>
        </w:rPr>
        <w:t>204</w:t>
      </w:r>
    </w:p>
    <w:p w14:paraId="481B196A">
      <w:pPr>
        <w:tabs>
          <w:tab w:val="right" w:leader="middleDot" w:pos="8295"/>
        </w:tabs>
        <w:ind w:firstLine="0" w:firstLineChars="0"/>
        <w:jc w:val="left"/>
        <w:rPr>
          <w:rFonts w:hint="eastAsia"/>
        </w:rPr>
      </w:pPr>
      <w:r>
        <w:rPr>
          <w:rFonts w:hint="eastAsia"/>
        </w:rPr>
        <w:t>北京市人民政府关于外国企业常驻代表机构聘用中国雇员的管理规定</w:t>
      </w:r>
      <w:r>
        <w:rPr>
          <w:rFonts w:hint="eastAsia"/>
        </w:rPr>
        <w:tab/>
      </w:r>
      <w:r>
        <w:rPr>
          <w:rFonts w:hint="eastAsia" w:ascii="华文宋体" w:hAnsi="华文宋体" w:eastAsia="华文宋体" w:cs="华文宋体"/>
          <w:kern w:val="2"/>
          <w:sz w:val="24"/>
          <w:szCs w:val="24"/>
          <w:lang w:val="en-US" w:eastAsia="zh-CN" w:bidi="ar-SA"/>
        </w:rPr>
        <w:t>1098</w:t>
      </w:r>
    </w:p>
    <w:p w14:paraId="627CA859">
      <w:pPr>
        <w:tabs>
          <w:tab w:val="right" w:leader="middleDot" w:pos="8295"/>
        </w:tabs>
        <w:ind w:firstLine="0" w:firstLineChars="0"/>
        <w:jc w:val="left"/>
        <w:rPr>
          <w:rFonts w:hint="eastAsia"/>
        </w:rPr>
      </w:pPr>
      <w:r>
        <w:rPr>
          <w:rFonts w:hint="eastAsia"/>
        </w:rPr>
        <w:t>北京市实施《食盐加碘消除碘缺乏危害管理条例》办法</w:t>
      </w:r>
      <w:r>
        <w:rPr>
          <w:rFonts w:hint="eastAsia"/>
        </w:rPr>
        <w:tab/>
      </w:r>
      <w:r>
        <w:rPr>
          <w:rFonts w:hint="eastAsia" w:ascii="华文宋体" w:hAnsi="华文宋体" w:eastAsia="华文宋体" w:cs="华文宋体"/>
          <w:kern w:val="2"/>
          <w:sz w:val="24"/>
          <w:szCs w:val="24"/>
          <w:lang w:val="en-US" w:eastAsia="zh-CN" w:bidi="ar-SA"/>
        </w:rPr>
        <w:t>1269</w:t>
      </w:r>
    </w:p>
    <w:p w14:paraId="13BAE7D2">
      <w:pPr>
        <w:tabs>
          <w:tab w:val="right" w:leader="middleDot" w:pos="8295"/>
        </w:tabs>
        <w:ind w:firstLine="0" w:firstLineChars="0"/>
        <w:jc w:val="left"/>
        <w:rPr>
          <w:rFonts w:hint="eastAsia"/>
        </w:rPr>
      </w:pPr>
      <w:r>
        <w:rPr>
          <w:rFonts w:hint="eastAsia"/>
        </w:rPr>
        <w:t>北京市邮票和集邮品管理办法</w:t>
      </w:r>
      <w:r>
        <w:rPr>
          <w:rFonts w:hint="eastAsia"/>
        </w:rPr>
        <w:tab/>
      </w:r>
      <w:r>
        <w:rPr>
          <w:rFonts w:hint="eastAsia" w:ascii="华文宋体" w:hAnsi="华文宋体" w:eastAsia="华文宋体" w:cs="华文宋体"/>
          <w:kern w:val="2"/>
          <w:sz w:val="24"/>
          <w:szCs w:val="24"/>
          <w:lang w:val="en-US" w:eastAsia="zh-CN" w:bidi="ar-SA"/>
        </w:rPr>
        <w:t>338</w:t>
      </w:r>
    </w:p>
    <w:p w14:paraId="2AE9D52B">
      <w:pPr>
        <w:tabs>
          <w:tab w:val="right" w:leader="middleDot" w:pos="8295"/>
        </w:tabs>
        <w:ind w:firstLine="0" w:firstLineChars="0"/>
        <w:jc w:val="left"/>
        <w:rPr>
          <w:rFonts w:hint="eastAsia"/>
        </w:rPr>
      </w:pPr>
      <w:r>
        <w:rPr>
          <w:rFonts w:hint="eastAsia"/>
        </w:rPr>
        <w:t>北京市人民政府关于禁止车辆运输泄漏遗撒的规定</w:t>
      </w:r>
      <w:r>
        <w:rPr>
          <w:rFonts w:hint="eastAsia"/>
        </w:rPr>
        <w:tab/>
      </w:r>
      <w:r>
        <w:rPr>
          <w:rFonts w:hint="eastAsia" w:ascii="华文宋体" w:hAnsi="华文宋体" w:eastAsia="华文宋体" w:cs="华文宋体"/>
          <w:kern w:val="2"/>
          <w:sz w:val="24"/>
          <w:szCs w:val="24"/>
          <w:lang w:val="en-US" w:eastAsia="zh-CN" w:bidi="ar-SA"/>
        </w:rPr>
        <w:t>291</w:t>
      </w:r>
    </w:p>
    <w:p w14:paraId="70452AE4">
      <w:pPr>
        <w:tabs>
          <w:tab w:val="right" w:leader="middleDot" w:pos="8295"/>
        </w:tabs>
        <w:ind w:firstLine="0" w:firstLineChars="0"/>
        <w:jc w:val="left"/>
        <w:rPr>
          <w:rFonts w:hint="eastAsia"/>
        </w:rPr>
      </w:pPr>
      <w:r>
        <w:rPr>
          <w:rFonts w:hint="eastAsia"/>
        </w:rPr>
        <w:t>北京市公共汽车电车车票使用办法</w:t>
      </w:r>
      <w:r>
        <w:rPr>
          <w:rFonts w:hint="eastAsia"/>
        </w:rPr>
        <w:tab/>
      </w:r>
      <w:r>
        <w:rPr>
          <w:rFonts w:hint="eastAsia" w:ascii="华文宋体" w:hAnsi="华文宋体" w:eastAsia="华文宋体" w:cs="华文宋体"/>
          <w:kern w:val="2"/>
          <w:sz w:val="24"/>
          <w:szCs w:val="24"/>
          <w:lang w:val="en-US" w:eastAsia="zh-CN" w:bidi="ar-SA"/>
        </w:rPr>
        <w:t>293</w:t>
      </w:r>
    </w:p>
    <w:p w14:paraId="0D2EC86B">
      <w:pPr>
        <w:tabs>
          <w:tab w:val="right" w:leader="middleDot" w:pos="8295"/>
        </w:tabs>
        <w:ind w:firstLine="0" w:firstLineChars="0"/>
        <w:jc w:val="left"/>
        <w:rPr>
          <w:rFonts w:hint="eastAsia"/>
        </w:rPr>
      </w:pPr>
      <w:r>
        <w:rPr>
          <w:rFonts w:hint="eastAsia"/>
        </w:rPr>
        <w:t>北京市行政处罚听证程序实施办法</w:t>
      </w:r>
      <w:r>
        <w:rPr>
          <w:rFonts w:hint="eastAsia"/>
        </w:rPr>
        <w:tab/>
      </w:r>
      <w:r>
        <w:rPr>
          <w:rFonts w:hint="eastAsia" w:ascii="华文宋体" w:hAnsi="华文宋体" w:eastAsia="华文宋体" w:cs="华文宋体"/>
          <w:kern w:val="2"/>
          <w:sz w:val="24"/>
          <w:szCs w:val="24"/>
          <w:lang w:val="en-US" w:eastAsia="zh-CN" w:bidi="ar-SA"/>
        </w:rPr>
        <w:t>135</w:t>
      </w:r>
    </w:p>
    <w:p w14:paraId="0A426457">
      <w:pPr>
        <w:tabs>
          <w:tab w:val="right" w:leader="middleDot" w:pos="8295"/>
        </w:tabs>
        <w:ind w:firstLine="0" w:firstLineChars="0"/>
        <w:jc w:val="left"/>
        <w:rPr>
          <w:rFonts w:hint="eastAsia"/>
        </w:rPr>
      </w:pPr>
      <w:r>
        <w:rPr>
          <w:rFonts w:hint="eastAsia"/>
        </w:rPr>
        <w:t>北京市实施行政处罚程序若干规定</w:t>
      </w:r>
      <w:r>
        <w:rPr>
          <w:rFonts w:hint="eastAsia"/>
        </w:rPr>
        <w:tab/>
      </w:r>
      <w:r>
        <w:rPr>
          <w:rFonts w:hint="eastAsia" w:ascii="华文宋体" w:hAnsi="华文宋体" w:eastAsia="华文宋体" w:cs="华文宋体"/>
          <w:kern w:val="2"/>
          <w:sz w:val="24"/>
          <w:szCs w:val="24"/>
          <w:lang w:val="en-US" w:eastAsia="zh-CN" w:bidi="ar-SA"/>
        </w:rPr>
        <w:t>137</w:t>
      </w:r>
    </w:p>
    <w:p w14:paraId="7E07AFF1">
      <w:pPr>
        <w:tabs>
          <w:tab w:val="right" w:leader="middleDot" w:pos="8295"/>
        </w:tabs>
        <w:ind w:firstLine="0" w:firstLineChars="0"/>
        <w:jc w:val="left"/>
      </w:pPr>
    </w:p>
    <w:p w14:paraId="79263B67">
      <w:pPr>
        <w:tabs>
          <w:tab w:val="right" w:leader="middleDot" w:pos="8295"/>
        </w:tabs>
        <w:ind w:firstLine="0" w:firstLineChars="0"/>
        <w:jc w:val="center"/>
        <w:rPr>
          <w:rFonts w:hint="eastAsia"/>
          <w:sz w:val="28"/>
        </w:rPr>
      </w:pPr>
      <w:r>
        <w:rPr>
          <w:rFonts w:hint="eastAsia"/>
          <w:sz w:val="28"/>
        </w:rPr>
        <w:t>一九九七年</w:t>
      </w:r>
    </w:p>
    <w:p w14:paraId="2AEB1E84">
      <w:pPr>
        <w:tabs>
          <w:tab w:val="right" w:leader="middleDot" w:pos="8295"/>
        </w:tabs>
        <w:ind w:firstLine="0" w:firstLineChars="0"/>
        <w:jc w:val="left"/>
      </w:pPr>
    </w:p>
    <w:p w14:paraId="4E86A5B5">
      <w:pPr>
        <w:tabs>
          <w:tab w:val="right" w:leader="middleDot" w:pos="8295"/>
        </w:tabs>
        <w:ind w:firstLine="0" w:firstLineChars="0"/>
        <w:jc w:val="left"/>
        <w:rPr>
          <w:rFonts w:hint="eastAsia"/>
        </w:rPr>
      </w:pPr>
      <w:r>
        <w:rPr>
          <w:rFonts w:hint="eastAsia"/>
        </w:rPr>
        <w:t>北京市农村集体经济审计条例</w:t>
      </w:r>
      <w:r>
        <w:rPr>
          <w:rFonts w:hint="eastAsia"/>
        </w:rPr>
        <w:tab/>
      </w:r>
      <w:r>
        <w:rPr>
          <w:rFonts w:hint="eastAsia" w:ascii="华文宋体" w:hAnsi="华文宋体" w:eastAsia="华文宋体" w:cs="华文宋体"/>
          <w:kern w:val="2"/>
          <w:sz w:val="24"/>
          <w:szCs w:val="24"/>
          <w:lang w:val="en-US" w:eastAsia="zh-CN" w:bidi="ar-SA"/>
        </w:rPr>
        <w:t>540</w:t>
      </w:r>
    </w:p>
    <w:p w14:paraId="1A84CABB">
      <w:pPr>
        <w:tabs>
          <w:tab w:val="right" w:leader="middleDot" w:pos="8295"/>
        </w:tabs>
        <w:ind w:firstLine="0" w:firstLineChars="0"/>
        <w:jc w:val="left"/>
        <w:rPr>
          <w:rFonts w:hint="eastAsia"/>
        </w:rPr>
      </w:pPr>
      <w:r>
        <w:rPr>
          <w:rFonts w:hint="eastAsia"/>
        </w:rPr>
        <w:t>北京市生活饮用水卫生监督管理条例</w:t>
      </w:r>
      <w:r>
        <w:rPr>
          <w:rFonts w:hint="eastAsia"/>
        </w:rPr>
        <w:tab/>
      </w:r>
      <w:r>
        <w:rPr>
          <w:rFonts w:hint="eastAsia" w:ascii="华文宋体" w:hAnsi="华文宋体" w:eastAsia="华文宋体" w:cs="华文宋体"/>
          <w:kern w:val="2"/>
          <w:sz w:val="24"/>
          <w:szCs w:val="24"/>
          <w:lang w:val="en-US" w:eastAsia="zh-CN" w:bidi="ar-SA"/>
        </w:rPr>
        <w:t>1242</w:t>
      </w:r>
    </w:p>
    <w:p w14:paraId="76E6137B">
      <w:pPr>
        <w:tabs>
          <w:tab w:val="right" w:leader="middleDot" w:pos="8295"/>
        </w:tabs>
        <w:ind w:firstLine="0" w:firstLineChars="0"/>
        <w:jc w:val="left"/>
        <w:rPr>
          <w:rFonts w:hint="eastAsia"/>
        </w:rPr>
      </w:pPr>
      <w:r>
        <w:rPr>
          <w:rFonts w:hint="eastAsia"/>
        </w:rPr>
        <w:t>北京市生活消费品、生产资料市场管理条例</w:t>
      </w:r>
      <w:r>
        <w:rPr>
          <w:rFonts w:hint="eastAsia"/>
        </w:rPr>
        <w:tab/>
      </w:r>
      <w:r>
        <w:rPr>
          <w:rFonts w:hint="eastAsia" w:ascii="华文宋体" w:hAnsi="华文宋体" w:eastAsia="华文宋体" w:cs="华文宋体"/>
          <w:kern w:val="2"/>
          <w:sz w:val="24"/>
          <w:szCs w:val="24"/>
          <w:lang w:val="en-US" w:eastAsia="zh-CN" w:bidi="ar-SA"/>
        </w:rPr>
        <w:t>625</w:t>
      </w:r>
    </w:p>
    <w:p w14:paraId="4EB3E264">
      <w:pPr>
        <w:tabs>
          <w:tab w:val="right" w:leader="middleDot" w:pos="8295"/>
        </w:tabs>
        <w:ind w:firstLine="0" w:firstLineChars="0"/>
        <w:jc w:val="left"/>
        <w:rPr>
          <w:rFonts w:hint="eastAsia"/>
        </w:rPr>
      </w:pPr>
      <w:r>
        <w:rPr>
          <w:rFonts w:hint="eastAsia"/>
        </w:rPr>
        <w:t>北京市音像制品管理条例</w:t>
      </w:r>
      <w:r>
        <w:rPr>
          <w:rFonts w:hint="eastAsia"/>
        </w:rPr>
        <w:tab/>
      </w:r>
      <w:r>
        <w:rPr>
          <w:rFonts w:hint="eastAsia" w:ascii="华文宋体" w:hAnsi="华文宋体" w:eastAsia="华文宋体" w:cs="华文宋体"/>
          <w:kern w:val="2"/>
          <w:sz w:val="24"/>
          <w:szCs w:val="24"/>
          <w:lang w:val="en-US" w:eastAsia="zh-CN" w:bidi="ar-SA"/>
        </w:rPr>
        <w:t>769</w:t>
      </w:r>
    </w:p>
    <w:p w14:paraId="7BD39325">
      <w:pPr>
        <w:tabs>
          <w:tab w:val="right" w:leader="middleDot" w:pos="8295"/>
        </w:tabs>
        <w:ind w:firstLine="0" w:firstLineChars="0"/>
        <w:jc w:val="left"/>
        <w:rPr>
          <w:rFonts w:hint="eastAsia"/>
        </w:rPr>
      </w:pPr>
      <w:r>
        <w:rPr>
          <w:rFonts w:hint="eastAsia"/>
        </w:rPr>
        <w:t>北京市图书报刊电子出版物管理条例</w:t>
      </w:r>
      <w:r>
        <w:rPr>
          <w:rFonts w:hint="eastAsia"/>
        </w:rPr>
        <w:tab/>
      </w:r>
      <w:r>
        <w:rPr>
          <w:rFonts w:hint="eastAsia" w:ascii="华文宋体" w:hAnsi="华文宋体" w:eastAsia="华文宋体" w:cs="华文宋体"/>
          <w:kern w:val="2"/>
          <w:sz w:val="24"/>
          <w:szCs w:val="24"/>
          <w:lang w:val="en-US" w:eastAsia="zh-CN" w:bidi="ar-SA"/>
        </w:rPr>
        <w:t>774</w:t>
      </w:r>
    </w:p>
    <w:p w14:paraId="02783847">
      <w:pPr>
        <w:tabs>
          <w:tab w:val="right" w:leader="middleDot" w:pos="8295"/>
        </w:tabs>
        <w:ind w:firstLine="0" w:firstLineChars="0"/>
        <w:jc w:val="left"/>
        <w:rPr>
          <w:rFonts w:hint="eastAsia"/>
        </w:rPr>
      </w:pPr>
      <w:r>
        <w:rPr>
          <w:rFonts w:hint="eastAsia"/>
        </w:rPr>
        <w:t>北京市实施《中华人民共和国职业教育法》办法</w:t>
      </w:r>
      <w:r>
        <w:rPr>
          <w:rFonts w:hint="eastAsia"/>
        </w:rPr>
        <w:tab/>
      </w:r>
      <w:r>
        <w:rPr>
          <w:rFonts w:hint="eastAsia" w:ascii="华文宋体" w:hAnsi="华文宋体" w:eastAsia="华文宋体" w:cs="华文宋体"/>
          <w:kern w:val="2"/>
          <w:sz w:val="24"/>
          <w:szCs w:val="24"/>
          <w:lang w:val="en-US" w:eastAsia="zh-CN" w:bidi="ar-SA"/>
        </w:rPr>
        <w:t>713</w:t>
      </w:r>
    </w:p>
    <w:p w14:paraId="1A18F86B">
      <w:pPr>
        <w:tabs>
          <w:tab w:val="right" w:leader="middleDot" w:pos="8295"/>
        </w:tabs>
        <w:ind w:firstLine="0" w:firstLineChars="0"/>
        <w:jc w:val="left"/>
        <w:rPr>
          <w:rFonts w:hint="eastAsia"/>
        </w:rPr>
      </w:pPr>
      <w:r>
        <w:rPr>
          <w:rFonts w:hint="eastAsia"/>
        </w:rPr>
        <w:t>北京市出租汽车管理条例</w:t>
      </w:r>
      <w:r>
        <w:rPr>
          <w:rFonts w:hint="eastAsia"/>
        </w:rPr>
        <w:tab/>
      </w:r>
      <w:r>
        <w:rPr>
          <w:rFonts w:hint="eastAsia" w:ascii="华文宋体" w:hAnsi="华文宋体" w:eastAsia="华文宋体" w:cs="华文宋体"/>
          <w:kern w:val="2"/>
          <w:sz w:val="24"/>
          <w:szCs w:val="24"/>
          <w:lang w:val="en-US" w:eastAsia="zh-CN" w:bidi="ar-SA"/>
        </w:rPr>
        <w:t>237</w:t>
      </w:r>
    </w:p>
    <w:p w14:paraId="65541C97">
      <w:pPr>
        <w:tabs>
          <w:tab w:val="right" w:leader="middleDot" w:pos="8295"/>
        </w:tabs>
        <w:ind w:firstLine="0" w:firstLineChars="0"/>
        <w:jc w:val="left"/>
        <w:rPr>
          <w:rFonts w:hint="eastAsia"/>
        </w:rPr>
      </w:pPr>
      <w:r>
        <w:rPr>
          <w:rFonts w:hint="eastAsia"/>
        </w:rPr>
        <w:t>北京市实施《中华人民共和国档案法》办法</w:t>
      </w:r>
      <w:r>
        <w:rPr>
          <w:rFonts w:hint="eastAsia"/>
        </w:rPr>
        <w:tab/>
      </w:r>
      <w:r>
        <w:rPr>
          <w:rFonts w:hint="eastAsia" w:ascii="华文宋体" w:hAnsi="华文宋体" w:eastAsia="华文宋体" w:cs="华文宋体"/>
          <w:kern w:val="2"/>
          <w:sz w:val="24"/>
          <w:szCs w:val="24"/>
          <w:lang w:val="en-US" w:eastAsia="zh-CN" w:bidi="ar-SA"/>
        </w:rPr>
        <w:t>199</w:t>
      </w:r>
    </w:p>
    <w:p w14:paraId="36B73214">
      <w:pPr>
        <w:tabs>
          <w:tab w:val="right" w:leader="middleDot" w:pos="8295"/>
        </w:tabs>
        <w:ind w:firstLine="0" w:firstLineChars="0"/>
        <w:jc w:val="left"/>
        <w:rPr>
          <w:rFonts w:hint="eastAsia"/>
        </w:rPr>
      </w:pPr>
      <w:r>
        <w:rPr>
          <w:rFonts w:hint="eastAsia"/>
        </w:rPr>
        <w:t>北京市人才市场管理条例</w:t>
      </w:r>
      <w:r>
        <w:rPr>
          <w:rFonts w:hint="eastAsia"/>
        </w:rPr>
        <w:tab/>
      </w:r>
      <w:r>
        <w:rPr>
          <w:rFonts w:hint="eastAsia" w:ascii="华文宋体" w:hAnsi="华文宋体" w:eastAsia="华文宋体" w:cs="华文宋体"/>
          <w:kern w:val="2"/>
          <w:sz w:val="24"/>
          <w:szCs w:val="24"/>
          <w:lang w:val="en-US" w:eastAsia="zh-CN" w:bidi="ar-SA"/>
        </w:rPr>
        <w:t>1079</w:t>
      </w:r>
    </w:p>
    <w:p w14:paraId="57D3DD1E">
      <w:pPr>
        <w:tabs>
          <w:tab w:val="right" w:leader="middleDot" w:pos="8295"/>
        </w:tabs>
        <w:ind w:firstLine="0" w:firstLineChars="0"/>
        <w:jc w:val="left"/>
        <w:rPr>
          <w:rFonts w:hint="eastAsia"/>
        </w:rPr>
      </w:pPr>
      <w:r>
        <w:rPr>
          <w:rFonts w:hint="eastAsia"/>
        </w:rPr>
        <w:t>北京市实施《水产资源繁殖保护条例》若干规定</w:t>
      </w:r>
      <w:r>
        <w:rPr>
          <w:rFonts w:hint="eastAsia"/>
        </w:rPr>
        <w:tab/>
      </w:r>
      <w:r>
        <w:rPr>
          <w:rFonts w:hint="eastAsia" w:ascii="华文宋体" w:hAnsi="华文宋体" w:eastAsia="华文宋体" w:cs="华文宋体"/>
          <w:kern w:val="2"/>
          <w:sz w:val="24"/>
          <w:szCs w:val="24"/>
          <w:lang w:val="en-US" w:eastAsia="zh-CN" w:bidi="ar-SA"/>
        </w:rPr>
        <w:t>539</w:t>
      </w:r>
    </w:p>
    <w:p w14:paraId="0620B7F4">
      <w:pPr>
        <w:tabs>
          <w:tab w:val="right" w:leader="middleDot" w:pos="8295"/>
        </w:tabs>
        <w:ind w:firstLine="0" w:firstLineChars="0"/>
        <w:jc w:val="left"/>
        <w:rPr>
          <w:rFonts w:hint="eastAsia"/>
        </w:rPr>
      </w:pPr>
      <w:r>
        <w:rPr>
          <w:rFonts w:hint="eastAsia"/>
        </w:rPr>
        <w:t>北京市工程建设场地地震安全性评价管理办法</w:t>
      </w:r>
      <w:r>
        <w:rPr>
          <w:rFonts w:hint="eastAsia"/>
        </w:rPr>
        <w:tab/>
      </w:r>
      <w:r>
        <w:rPr>
          <w:rFonts w:hint="eastAsia" w:ascii="华文宋体" w:hAnsi="华文宋体" w:eastAsia="华文宋体" w:cs="华文宋体"/>
          <w:kern w:val="2"/>
          <w:sz w:val="24"/>
          <w:szCs w:val="24"/>
          <w:lang w:val="en-US" w:eastAsia="zh-CN" w:bidi="ar-SA"/>
        </w:rPr>
        <w:t>395</w:t>
      </w:r>
    </w:p>
    <w:p w14:paraId="6DC53C2B">
      <w:pPr>
        <w:tabs>
          <w:tab w:val="right" w:leader="middleDot" w:pos="8295"/>
        </w:tabs>
        <w:ind w:firstLine="0" w:firstLineChars="0"/>
        <w:jc w:val="left"/>
        <w:rPr>
          <w:rFonts w:hint="eastAsia"/>
        </w:rPr>
      </w:pPr>
      <w:r>
        <w:rPr>
          <w:rFonts w:hint="eastAsia"/>
        </w:rPr>
        <w:t>北京市拥军优属工作若干规定</w:t>
      </w:r>
      <w:r>
        <w:rPr>
          <w:rFonts w:hint="eastAsia"/>
        </w:rPr>
        <w:tab/>
      </w:r>
      <w:r>
        <w:rPr>
          <w:rFonts w:hint="eastAsia" w:ascii="华文宋体" w:hAnsi="华文宋体" w:eastAsia="华文宋体" w:cs="华文宋体"/>
          <w:kern w:val="2"/>
          <w:sz w:val="24"/>
          <w:szCs w:val="24"/>
          <w:lang w:val="en-US" w:eastAsia="zh-CN" w:bidi="ar-SA"/>
        </w:rPr>
        <w:t>1005</w:t>
      </w:r>
    </w:p>
    <w:p w14:paraId="0914A509">
      <w:pPr>
        <w:tabs>
          <w:tab w:val="right" w:leader="middleDot" w:pos="8295"/>
        </w:tabs>
        <w:ind w:firstLine="0" w:firstLineChars="0"/>
        <w:jc w:val="left"/>
        <w:rPr>
          <w:rFonts w:hint="eastAsia"/>
        </w:rPr>
      </w:pPr>
      <w:r>
        <w:rPr>
          <w:rFonts w:hint="eastAsia"/>
        </w:rPr>
        <w:t>北京市出租汽车治安管理规定</w:t>
      </w:r>
      <w:r>
        <w:rPr>
          <w:rFonts w:hint="eastAsia"/>
        </w:rPr>
        <w:tab/>
      </w:r>
      <w:r>
        <w:rPr>
          <w:rFonts w:hint="eastAsia" w:ascii="华文宋体" w:hAnsi="华文宋体" w:eastAsia="华文宋体" w:cs="华文宋体"/>
          <w:kern w:val="2"/>
          <w:sz w:val="24"/>
          <w:szCs w:val="24"/>
          <w:lang w:val="en-US" w:eastAsia="zh-CN" w:bidi="ar-SA"/>
        </w:rPr>
        <w:t>923</w:t>
      </w:r>
    </w:p>
    <w:p w14:paraId="62851C53">
      <w:pPr>
        <w:tabs>
          <w:tab w:val="right" w:leader="middleDot" w:pos="8295"/>
        </w:tabs>
        <w:ind w:firstLine="0" w:firstLineChars="0"/>
        <w:jc w:val="left"/>
      </w:pPr>
    </w:p>
    <w:p w14:paraId="63D70072">
      <w:pPr>
        <w:tabs>
          <w:tab w:val="right" w:leader="middleDot" w:pos="8295"/>
        </w:tabs>
        <w:ind w:firstLine="0" w:firstLineChars="0"/>
        <w:jc w:val="center"/>
        <w:rPr>
          <w:rFonts w:hint="eastAsia"/>
          <w:sz w:val="28"/>
        </w:rPr>
      </w:pPr>
      <w:r>
        <w:rPr>
          <w:rFonts w:hint="eastAsia"/>
          <w:sz w:val="28"/>
        </w:rPr>
        <w:t>一九九八年</w:t>
      </w:r>
    </w:p>
    <w:p w14:paraId="78182532">
      <w:pPr>
        <w:tabs>
          <w:tab w:val="right" w:leader="middleDot" w:pos="8295"/>
        </w:tabs>
        <w:ind w:firstLine="0" w:firstLineChars="0"/>
        <w:jc w:val="left"/>
      </w:pPr>
    </w:p>
    <w:p w14:paraId="74C9701B">
      <w:pPr>
        <w:tabs>
          <w:tab w:val="right" w:leader="middleDot" w:pos="8295"/>
        </w:tabs>
        <w:ind w:firstLine="0" w:firstLineChars="0"/>
        <w:jc w:val="left"/>
        <w:rPr>
          <w:rFonts w:hint="eastAsia"/>
        </w:rPr>
      </w:pPr>
      <w:r>
        <w:rPr>
          <w:rFonts w:hint="eastAsia"/>
        </w:rPr>
        <w:t>北京市矿产资源管理条例</w:t>
      </w:r>
      <w:r>
        <w:rPr>
          <w:rFonts w:hint="eastAsia"/>
        </w:rPr>
        <w:tab/>
      </w:r>
      <w:r>
        <w:rPr>
          <w:rFonts w:hint="eastAsia" w:ascii="华文宋体" w:hAnsi="华文宋体" w:eastAsia="华文宋体" w:cs="华文宋体"/>
          <w:kern w:val="2"/>
          <w:sz w:val="24"/>
          <w:szCs w:val="24"/>
          <w:lang w:val="en-US" w:eastAsia="zh-CN" w:bidi="ar-SA"/>
        </w:rPr>
        <w:t>1334</w:t>
      </w:r>
    </w:p>
    <w:p w14:paraId="7E8F0B18">
      <w:pPr>
        <w:tabs>
          <w:tab w:val="right" w:leader="middleDot" w:pos="8295"/>
        </w:tabs>
        <w:ind w:firstLine="0" w:firstLineChars="0"/>
        <w:jc w:val="left"/>
        <w:rPr>
          <w:rFonts w:hint="eastAsia"/>
        </w:rPr>
      </w:pPr>
      <w:r>
        <w:rPr>
          <w:rFonts w:hint="eastAsia"/>
        </w:rPr>
        <w:t>北京市古树名木保护管理条例</w:t>
      </w:r>
      <w:r>
        <w:rPr>
          <w:rFonts w:hint="eastAsia"/>
        </w:rPr>
        <w:tab/>
      </w:r>
      <w:r>
        <w:rPr>
          <w:rFonts w:hint="eastAsia" w:ascii="华文宋体" w:hAnsi="华文宋体" w:eastAsia="华文宋体" w:cs="华文宋体"/>
          <w:kern w:val="2"/>
          <w:sz w:val="24"/>
          <w:szCs w:val="24"/>
          <w:lang w:val="en-US" w:eastAsia="zh-CN" w:bidi="ar-SA"/>
        </w:rPr>
        <w:t>1395</w:t>
      </w:r>
    </w:p>
    <w:p w14:paraId="55794ECA">
      <w:pPr>
        <w:tabs>
          <w:tab w:val="right" w:leader="middleDot" w:pos="8295"/>
        </w:tabs>
        <w:ind w:firstLine="0" w:firstLineChars="0"/>
        <w:jc w:val="left"/>
        <w:rPr>
          <w:rFonts w:hint="eastAsia"/>
        </w:rPr>
      </w:pPr>
      <w:r>
        <w:rPr>
          <w:rFonts w:hint="eastAsia"/>
        </w:rPr>
        <w:t>北京市劳动力市场管理条例</w:t>
      </w:r>
      <w:r>
        <w:rPr>
          <w:rFonts w:hint="eastAsia"/>
        </w:rPr>
        <w:tab/>
      </w:r>
      <w:r>
        <w:rPr>
          <w:rFonts w:hint="eastAsia" w:ascii="华文宋体" w:hAnsi="华文宋体" w:eastAsia="华文宋体" w:cs="华文宋体"/>
          <w:kern w:val="2"/>
          <w:sz w:val="24"/>
          <w:szCs w:val="24"/>
          <w:lang w:val="en-US" w:eastAsia="zh-CN" w:bidi="ar-SA"/>
        </w:rPr>
        <w:t>1084</w:t>
      </w:r>
    </w:p>
    <w:p w14:paraId="7E8ED8CD">
      <w:pPr>
        <w:tabs>
          <w:tab w:val="right" w:leader="middleDot" w:pos="8295"/>
        </w:tabs>
        <w:ind w:firstLine="0" w:firstLineChars="0"/>
        <w:jc w:val="left"/>
        <w:rPr>
          <w:rFonts w:hint="eastAsia"/>
        </w:rPr>
      </w:pPr>
      <w:r>
        <w:rPr>
          <w:rFonts w:hint="eastAsia"/>
        </w:rPr>
        <w:t>北京市农业承包合同条例</w:t>
      </w:r>
      <w:r>
        <w:rPr>
          <w:rFonts w:hint="eastAsia"/>
        </w:rPr>
        <w:tab/>
      </w:r>
      <w:r>
        <w:rPr>
          <w:rFonts w:hint="eastAsia" w:ascii="华文宋体" w:hAnsi="华文宋体" w:eastAsia="华文宋体" w:cs="华文宋体"/>
          <w:kern w:val="2"/>
          <w:sz w:val="24"/>
          <w:szCs w:val="24"/>
          <w:lang w:val="en-US" w:eastAsia="zh-CN" w:bidi="ar-SA"/>
        </w:rPr>
        <w:t>509</w:t>
      </w:r>
    </w:p>
    <w:p w14:paraId="178BA2B4">
      <w:pPr>
        <w:tabs>
          <w:tab w:val="right" w:leader="middleDot" w:pos="8295"/>
        </w:tabs>
        <w:ind w:firstLine="0" w:firstLineChars="0"/>
        <w:jc w:val="left"/>
        <w:rPr>
          <w:rFonts w:hint="eastAsia"/>
        </w:rPr>
      </w:pPr>
      <w:r>
        <w:rPr>
          <w:rFonts w:hint="eastAsia"/>
        </w:rPr>
        <w:t>北京市少数民族权益保障条例</w:t>
      </w:r>
      <w:r>
        <w:rPr>
          <w:rFonts w:hint="eastAsia"/>
        </w:rPr>
        <w:tab/>
      </w:r>
      <w:r>
        <w:rPr>
          <w:rFonts w:hint="eastAsia" w:ascii="华文宋体" w:hAnsi="华文宋体" w:eastAsia="华文宋体" w:cs="华文宋体"/>
          <w:kern w:val="2"/>
          <w:sz w:val="24"/>
          <w:szCs w:val="24"/>
          <w:lang w:val="en-US" w:eastAsia="zh-CN" w:bidi="ar-SA"/>
        </w:rPr>
        <w:t>100</w:t>
      </w:r>
    </w:p>
    <w:p w14:paraId="1411DA33">
      <w:pPr>
        <w:tabs>
          <w:tab w:val="right" w:leader="middleDot" w:pos="8295"/>
        </w:tabs>
        <w:ind w:firstLine="0" w:firstLineChars="0"/>
        <w:jc w:val="left"/>
        <w:rPr>
          <w:rFonts w:hint="eastAsia"/>
        </w:rPr>
      </w:pPr>
      <w:r>
        <w:rPr>
          <w:rFonts w:hint="eastAsia"/>
        </w:rPr>
        <w:t>北京市科学技术普及条例</w:t>
      </w:r>
      <w:r>
        <w:rPr>
          <w:rFonts w:hint="eastAsia"/>
        </w:rPr>
        <w:tab/>
      </w:r>
      <w:r>
        <w:rPr>
          <w:rFonts w:hint="eastAsia" w:ascii="华文宋体" w:hAnsi="华文宋体" w:eastAsia="华文宋体" w:cs="华文宋体"/>
          <w:kern w:val="2"/>
          <w:sz w:val="24"/>
          <w:szCs w:val="24"/>
          <w:lang w:val="en-US" w:eastAsia="zh-CN" w:bidi="ar-SA"/>
        </w:rPr>
        <w:t>741</w:t>
      </w:r>
    </w:p>
    <w:p w14:paraId="5EC49443">
      <w:pPr>
        <w:tabs>
          <w:tab w:val="right" w:leader="middleDot" w:pos="8295"/>
        </w:tabs>
        <w:ind w:firstLine="0" w:firstLineChars="0"/>
        <w:jc w:val="left"/>
        <w:rPr>
          <w:rFonts w:hint="eastAsia" w:ascii="华文宋体" w:hAnsi="华文宋体" w:eastAsia="华文宋体" w:cs="华文宋体"/>
          <w:kern w:val="2"/>
          <w:sz w:val="24"/>
          <w:szCs w:val="24"/>
          <w:lang w:val="en-US" w:eastAsia="zh-CN" w:bidi="ar-SA"/>
        </w:rPr>
      </w:pPr>
      <w:r>
        <w:rPr>
          <w:rFonts w:hint="eastAsia"/>
        </w:rPr>
        <w:t>北京市人民防空工程建设与使用管理规定</w:t>
      </w:r>
      <w:r>
        <w:rPr>
          <w:rFonts w:hint="eastAsia"/>
        </w:rPr>
        <w:tab/>
      </w:r>
      <w:r>
        <w:rPr>
          <w:rFonts w:hint="eastAsia" w:ascii="华文宋体" w:hAnsi="华文宋体" w:eastAsia="华文宋体" w:cs="华文宋体"/>
          <w:kern w:val="2"/>
          <w:sz w:val="24"/>
          <w:szCs w:val="24"/>
          <w:lang w:val="en-US" w:eastAsia="zh-CN" w:bidi="ar-SA"/>
        </w:rPr>
        <w:t>397</w:t>
      </w:r>
    </w:p>
    <w:p w14:paraId="32A84D1A">
      <w:pPr>
        <w:tabs>
          <w:tab w:val="right" w:leader="middleDot" w:pos="8295"/>
        </w:tabs>
        <w:ind w:firstLine="0" w:firstLineChars="0"/>
        <w:jc w:val="left"/>
        <w:rPr>
          <w:rFonts w:hint="eastAsia"/>
        </w:rPr>
      </w:pPr>
      <w:r>
        <w:rPr>
          <w:rFonts w:hint="eastAsia"/>
        </w:rPr>
        <w:t>北京市人民政府关于实施《北京经济技术开发区条例》办法</w:t>
      </w:r>
      <w:r>
        <w:rPr>
          <w:rFonts w:hint="eastAsia"/>
        </w:rPr>
        <w:tab/>
      </w:r>
      <w:r>
        <w:rPr>
          <w:rFonts w:hint="eastAsia" w:ascii="华文宋体" w:hAnsi="华文宋体" w:eastAsia="华文宋体" w:cs="华文宋体"/>
          <w:kern w:val="2"/>
          <w:sz w:val="24"/>
          <w:szCs w:val="24"/>
          <w:lang w:val="en-US" w:eastAsia="zh-CN" w:bidi="ar-SA"/>
        </w:rPr>
        <w:t>693</w:t>
      </w:r>
    </w:p>
    <w:p w14:paraId="226EAC28">
      <w:pPr>
        <w:tabs>
          <w:tab w:val="right" w:leader="middleDot" w:pos="8295"/>
        </w:tabs>
        <w:ind w:firstLine="0" w:firstLineChars="0"/>
        <w:jc w:val="left"/>
        <w:rPr>
          <w:rFonts w:hint="eastAsia"/>
        </w:rPr>
      </w:pPr>
      <w:r>
        <w:rPr>
          <w:rFonts w:hint="eastAsia"/>
        </w:rPr>
        <w:t>北京市会计管理办法</w:t>
      </w:r>
      <w:r>
        <w:rPr>
          <w:rFonts w:hint="eastAsia"/>
        </w:rPr>
        <w:tab/>
      </w:r>
      <w:r>
        <w:rPr>
          <w:rFonts w:hint="eastAsia" w:ascii="华文宋体" w:hAnsi="华文宋体" w:eastAsia="华文宋体" w:cs="华文宋体"/>
          <w:kern w:val="2"/>
          <w:sz w:val="24"/>
          <w:szCs w:val="24"/>
          <w:lang w:val="en-US" w:eastAsia="zh-CN" w:bidi="ar-SA"/>
        </w:rPr>
        <w:t>226</w:t>
      </w:r>
    </w:p>
    <w:p w14:paraId="6A8BBF18">
      <w:pPr>
        <w:tabs>
          <w:tab w:val="right" w:leader="middleDot" w:pos="8295"/>
        </w:tabs>
        <w:ind w:firstLine="0" w:firstLineChars="0"/>
        <w:jc w:val="left"/>
        <w:rPr>
          <w:rFonts w:hint="eastAsia"/>
        </w:rPr>
      </w:pPr>
      <w:r>
        <w:rPr>
          <w:rFonts w:hint="eastAsia"/>
        </w:rPr>
        <w:t>北京市人民政府关于对违反师范毕业生服务期制度者追缴专业奖学金和培养费的规定</w:t>
      </w:r>
      <w:r>
        <w:rPr>
          <w:rFonts w:hint="eastAsia"/>
        </w:rPr>
        <w:tab/>
      </w:r>
      <w:r>
        <w:rPr>
          <w:rFonts w:hint="eastAsia" w:ascii="华文宋体" w:hAnsi="华文宋体" w:eastAsia="华文宋体" w:cs="华文宋体"/>
          <w:kern w:val="2"/>
          <w:sz w:val="24"/>
          <w:szCs w:val="24"/>
          <w:lang w:val="en-US" w:eastAsia="zh-CN" w:bidi="ar-SA"/>
        </w:rPr>
        <w:t>736</w:t>
      </w:r>
    </w:p>
    <w:p w14:paraId="79F27895">
      <w:pPr>
        <w:tabs>
          <w:tab w:val="right" w:leader="middleDot" w:pos="8295"/>
        </w:tabs>
        <w:ind w:firstLine="0" w:firstLineChars="0"/>
        <w:jc w:val="left"/>
        <w:rPr>
          <w:rFonts w:hint="eastAsia"/>
        </w:rPr>
      </w:pPr>
      <w:r>
        <w:rPr>
          <w:rFonts w:hint="eastAsia"/>
        </w:rPr>
        <w:t>北京市人才招聘管理办法</w:t>
      </w:r>
      <w:r>
        <w:rPr>
          <w:rFonts w:hint="eastAsia"/>
        </w:rPr>
        <w:tab/>
      </w:r>
      <w:r>
        <w:rPr>
          <w:rFonts w:hint="eastAsia" w:ascii="华文宋体" w:hAnsi="华文宋体" w:eastAsia="华文宋体" w:cs="华文宋体"/>
          <w:kern w:val="2"/>
          <w:sz w:val="24"/>
          <w:szCs w:val="24"/>
          <w:lang w:val="en-US" w:eastAsia="zh-CN" w:bidi="ar-SA"/>
        </w:rPr>
        <w:t>1100</w:t>
      </w:r>
    </w:p>
    <w:p w14:paraId="151802C6">
      <w:pPr>
        <w:tabs>
          <w:tab w:val="right" w:leader="middleDot" w:pos="8295"/>
        </w:tabs>
        <w:ind w:firstLine="0" w:firstLineChars="0"/>
        <w:jc w:val="left"/>
        <w:rPr>
          <w:rFonts w:hint="eastAsia"/>
        </w:rPr>
      </w:pPr>
      <w:r>
        <w:rPr>
          <w:rFonts w:hint="eastAsia"/>
        </w:rPr>
        <w:t>北京市人才市场中介服务机构管理办法</w:t>
      </w:r>
      <w:r>
        <w:rPr>
          <w:rFonts w:hint="eastAsia"/>
        </w:rPr>
        <w:tab/>
      </w:r>
      <w:r>
        <w:rPr>
          <w:rFonts w:hint="eastAsia" w:ascii="华文宋体" w:hAnsi="华文宋体" w:eastAsia="华文宋体" w:cs="华文宋体"/>
          <w:kern w:val="2"/>
          <w:sz w:val="24"/>
          <w:szCs w:val="24"/>
          <w:lang w:val="en-US" w:eastAsia="zh-CN" w:bidi="ar-SA"/>
        </w:rPr>
        <w:t>1102</w:t>
      </w:r>
    </w:p>
    <w:p w14:paraId="6976B272">
      <w:pPr>
        <w:tabs>
          <w:tab w:val="right" w:leader="middleDot" w:pos="8295"/>
        </w:tabs>
        <w:ind w:firstLine="0" w:firstLineChars="0"/>
        <w:jc w:val="left"/>
        <w:rPr>
          <w:rFonts w:hint="eastAsia"/>
        </w:rPr>
      </w:pPr>
      <w:r>
        <w:rPr>
          <w:rFonts w:hint="eastAsia"/>
        </w:rPr>
        <w:t>北京市人才招聘洽谈会管理办法</w:t>
      </w:r>
      <w:r>
        <w:rPr>
          <w:rFonts w:hint="eastAsia"/>
        </w:rPr>
        <w:tab/>
      </w:r>
      <w:r>
        <w:rPr>
          <w:rFonts w:hint="eastAsia" w:ascii="华文宋体" w:hAnsi="华文宋体" w:eastAsia="华文宋体" w:cs="华文宋体"/>
          <w:kern w:val="2"/>
          <w:sz w:val="24"/>
          <w:szCs w:val="24"/>
          <w:lang w:val="en-US" w:eastAsia="zh-CN" w:bidi="ar-SA"/>
        </w:rPr>
        <w:t>1103</w:t>
      </w:r>
    </w:p>
    <w:p w14:paraId="3E9478DF">
      <w:pPr>
        <w:tabs>
          <w:tab w:val="right" w:leader="middleDot" w:pos="8295"/>
        </w:tabs>
        <w:ind w:firstLine="0" w:firstLineChars="0"/>
        <w:jc w:val="left"/>
      </w:pPr>
    </w:p>
    <w:p w14:paraId="25F1B223">
      <w:pPr>
        <w:tabs>
          <w:tab w:val="right" w:leader="middleDot" w:pos="8295"/>
        </w:tabs>
        <w:ind w:firstLine="0" w:firstLineChars="0"/>
        <w:jc w:val="center"/>
        <w:rPr>
          <w:rFonts w:hint="eastAsia"/>
          <w:sz w:val="28"/>
        </w:rPr>
      </w:pPr>
      <w:r>
        <w:rPr>
          <w:rFonts w:hint="eastAsia"/>
          <w:sz w:val="28"/>
        </w:rPr>
        <w:t>一九九九年</w:t>
      </w:r>
    </w:p>
    <w:p w14:paraId="00363309">
      <w:pPr>
        <w:tabs>
          <w:tab w:val="right" w:leader="middleDot" w:pos="8295"/>
        </w:tabs>
        <w:ind w:firstLine="0" w:firstLineChars="0"/>
        <w:jc w:val="left"/>
      </w:pPr>
    </w:p>
    <w:p w14:paraId="703EC083">
      <w:pPr>
        <w:tabs>
          <w:tab w:val="right" w:leader="middleDot" w:pos="8295"/>
        </w:tabs>
        <w:ind w:firstLine="0" w:firstLineChars="0"/>
        <w:jc w:val="left"/>
        <w:rPr>
          <w:rFonts w:hint="eastAsia"/>
        </w:rPr>
      </w:pPr>
      <w:r>
        <w:rPr>
          <w:rFonts w:hint="eastAsia"/>
        </w:rPr>
        <w:t>北京市旅游管理条例</w:t>
      </w:r>
      <w:r>
        <w:rPr>
          <w:rFonts w:hint="eastAsia"/>
        </w:rPr>
        <w:tab/>
      </w:r>
      <w:r>
        <w:rPr>
          <w:rFonts w:hint="eastAsia" w:ascii="华文宋体" w:hAnsi="华文宋体" w:eastAsia="华文宋体" w:cs="华文宋体"/>
          <w:kern w:val="2"/>
          <w:sz w:val="24"/>
          <w:szCs w:val="24"/>
          <w:lang w:val="en-US" w:eastAsia="zh-CN" w:bidi="ar-SA"/>
        </w:rPr>
        <w:t>843</w:t>
      </w:r>
    </w:p>
    <w:p w14:paraId="0E8E2578">
      <w:pPr>
        <w:tabs>
          <w:tab w:val="right" w:leader="middleDot" w:pos="8295"/>
        </w:tabs>
        <w:ind w:firstLine="0" w:firstLineChars="0"/>
        <w:jc w:val="left"/>
        <w:rPr>
          <w:rFonts w:hint="eastAsia"/>
        </w:rPr>
      </w:pPr>
      <w:r>
        <w:rPr>
          <w:rFonts w:hint="eastAsia"/>
        </w:rPr>
        <w:t>北京市森林资源保护管理条例</w:t>
      </w:r>
      <w:r>
        <w:rPr>
          <w:rFonts w:hint="eastAsia"/>
        </w:rPr>
        <w:tab/>
      </w:r>
      <w:r>
        <w:rPr>
          <w:rFonts w:hint="eastAsia" w:ascii="华文宋体" w:hAnsi="华文宋体" w:eastAsia="华文宋体" w:cs="华文宋体"/>
          <w:kern w:val="2"/>
          <w:sz w:val="24"/>
          <w:szCs w:val="24"/>
          <w:lang w:val="en-US" w:eastAsia="zh-CN" w:bidi="ar-SA"/>
        </w:rPr>
        <w:t>1398</w:t>
      </w:r>
    </w:p>
    <w:p w14:paraId="0E4E9053">
      <w:pPr>
        <w:tabs>
          <w:tab w:val="right" w:leader="middleDot" w:pos="8295"/>
        </w:tabs>
        <w:ind w:firstLine="0" w:firstLineChars="0"/>
        <w:jc w:val="left"/>
        <w:rPr>
          <w:rFonts w:hint="eastAsia"/>
        </w:rPr>
      </w:pPr>
      <w:r>
        <w:rPr>
          <w:rFonts w:hint="eastAsia"/>
        </w:rPr>
        <w:t>北京市实施《中华人民共和国节约能源法》办法</w:t>
      </w:r>
      <w:r>
        <w:rPr>
          <w:rFonts w:hint="eastAsia"/>
        </w:rPr>
        <w:tab/>
      </w:r>
      <w:r>
        <w:rPr>
          <w:rFonts w:hint="eastAsia" w:ascii="华文宋体" w:hAnsi="华文宋体" w:eastAsia="华文宋体" w:cs="华文宋体"/>
          <w:kern w:val="2"/>
          <w:sz w:val="24"/>
          <w:szCs w:val="24"/>
          <w:lang w:val="en-US" w:eastAsia="zh-CN" w:bidi="ar-SA"/>
        </w:rPr>
        <w:t>1437</w:t>
      </w:r>
    </w:p>
    <w:p w14:paraId="4780C7AB">
      <w:pPr>
        <w:tabs>
          <w:tab w:val="right" w:leader="middleDot" w:pos="8295"/>
        </w:tabs>
        <w:ind w:firstLine="0" w:firstLineChars="0"/>
        <w:jc w:val="left"/>
        <w:rPr>
          <w:rFonts w:hint="eastAsia"/>
        </w:rPr>
      </w:pPr>
      <w:r>
        <w:rPr>
          <w:rFonts w:hint="eastAsia"/>
        </w:rPr>
        <w:t>北京市体育设施管理条例</w:t>
      </w:r>
      <w:r>
        <w:rPr>
          <w:rFonts w:hint="eastAsia"/>
        </w:rPr>
        <w:tab/>
      </w:r>
      <w:r>
        <w:rPr>
          <w:rFonts w:hint="eastAsia" w:ascii="华文宋体" w:hAnsi="华文宋体" w:eastAsia="华文宋体" w:cs="华文宋体"/>
          <w:kern w:val="2"/>
          <w:sz w:val="24"/>
          <w:szCs w:val="24"/>
          <w:lang w:val="en-US" w:eastAsia="zh-CN" w:bidi="ar-SA"/>
        </w:rPr>
        <w:t>832</w:t>
      </w:r>
    </w:p>
    <w:p w14:paraId="46FC9192">
      <w:pPr>
        <w:tabs>
          <w:tab w:val="right" w:leader="middleDot" w:pos="8295"/>
        </w:tabs>
        <w:ind w:firstLine="0" w:firstLineChars="0"/>
        <w:jc w:val="left"/>
        <w:rPr>
          <w:rFonts w:hint="eastAsia"/>
        </w:rPr>
      </w:pPr>
      <w:r>
        <w:rPr>
          <w:rFonts w:hint="eastAsia"/>
        </w:rPr>
        <w:t>北京市街道办事处工作规定</w:t>
      </w:r>
      <w:r>
        <w:rPr>
          <w:rFonts w:hint="eastAsia"/>
        </w:rPr>
        <w:tab/>
      </w:r>
      <w:r>
        <w:rPr>
          <w:rFonts w:hint="eastAsia" w:ascii="华文宋体" w:hAnsi="华文宋体" w:eastAsia="华文宋体" w:cs="华文宋体"/>
          <w:kern w:val="2"/>
          <w:sz w:val="24"/>
          <w:szCs w:val="24"/>
          <w:lang w:val="en-US" w:eastAsia="zh-CN" w:bidi="ar-SA"/>
        </w:rPr>
        <w:t>75</w:t>
      </w:r>
    </w:p>
    <w:p w14:paraId="324A7E22">
      <w:pPr>
        <w:tabs>
          <w:tab w:val="right" w:leader="middleDot" w:pos="8295"/>
        </w:tabs>
        <w:ind w:firstLine="0" w:firstLineChars="0"/>
        <w:jc w:val="left"/>
        <w:rPr>
          <w:rFonts w:hint="eastAsia"/>
        </w:rPr>
      </w:pPr>
      <w:r>
        <w:rPr>
          <w:rFonts w:hint="eastAsia"/>
        </w:rPr>
        <w:t>北京市教育督导规定</w:t>
      </w:r>
      <w:r>
        <w:rPr>
          <w:rFonts w:hint="eastAsia"/>
        </w:rPr>
        <w:tab/>
      </w:r>
      <w:r>
        <w:rPr>
          <w:rFonts w:hint="eastAsia" w:ascii="华文宋体" w:hAnsi="华文宋体" w:eastAsia="华文宋体" w:cs="华文宋体"/>
          <w:kern w:val="2"/>
          <w:sz w:val="24"/>
          <w:szCs w:val="24"/>
          <w:lang w:val="en-US" w:eastAsia="zh-CN" w:bidi="ar-SA"/>
        </w:rPr>
        <w:t>732</w:t>
      </w:r>
    </w:p>
    <w:p w14:paraId="407CD082">
      <w:pPr>
        <w:tabs>
          <w:tab w:val="right" w:leader="middleDot" w:pos="8295"/>
        </w:tabs>
        <w:ind w:firstLine="0" w:firstLineChars="0"/>
        <w:jc w:val="left"/>
        <w:rPr>
          <w:rFonts w:hint="eastAsia"/>
        </w:rPr>
      </w:pPr>
      <w:r>
        <w:rPr>
          <w:rFonts w:hint="eastAsia"/>
        </w:rPr>
        <w:t>北京市“门前三包”责任制管理办法</w:t>
      </w:r>
      <w:r>
        <w:rPr>
          <w:rFonts w:hint="eastAsia"/>
        </w:rPr>
        <w:tab/>
      </w:r>
      <w:r>
        <w:rPr>
          <w:rFonts w:hint="eastAsia" w:ascii="华文宋体" w:hAnsi="华文宋体" w:eastAsia="华文宋体" w:cs="华文宋体"/>
          <w:kern w:val="2"/>
          <w:sz w:val="24"/>
          <w:szCs w:val="24"/>
          <w:lang w:val="en-US" w:eastAsia="zh-CN" w:bidi="ar-SA"/>
        </w:rPr>
        <w:t>1201</w:t>
      </w:r>
    </w:p>
    <w:p w14:paraId="2A801A36">
      <w:pPr>
        <w:tabs>
          <w:tab w:val="right" w:leader="middleDot" w:pos="8295"/>
        </w:tabs>
        <w:ind w:firstLine="0" w:firstLineChars="0"/>
        <w:jc w:val="left"/>
        <w:rPr>
          <w:rFonts w:hint="eastAsia"/>
        </w:rPr>
      </w:pPr>
      <w:r>
        <w:rPr>
          <w:rFonts w:hint="eastAsia"/>
        </w:rPr>
        <w:t>北京市限制销售、使用塑料袋和一次性塑料餐具管理办法</w:t>
      </w:r>
      <w:r>
        <w:rPr>
          <w:rFonts w:hint="eastAsia"/>
        </w:rPr>
        <w:tab/>
      </w:r>
      <w:r>
        <w:rPr>
          <w:rFonts w:hint="eastAsia" w:ascii="华文宋体" w:hAnsi="华文宋体" w:eastAsia="华文宋体" w:cs="华文宋体"/>
          <w:kern w:val="2"/>
          <w:sz w:val="24"/>
          <w:szCs w:val="24"/>
          <w:lang w:val="en-US" w:eastAsia="zh-CN" w:bidi="ar-SA"/>
        </w:rPr>
        <w:t>1501</w:t>
      </w:r>
    </w:p>
    <w:p w14:paraId="2104A8F7">
      <w:pPr>
        <w:tabs>
          <w:tab w:val="right" w:leader="middleDot" w:pos="8295"/>
        </w:tabs>
        <w:ind w:firstLine="0" w:firstLineChars="0"/>
        <w:jc w:val="left"/>
        <w:rPr>
          <w:rFonts w:hint="eastAsia"/>
        </w:rPr>
      </w:pPr>
      <w:r>
        <w:rPr>
          <w:rFonts w:hint="eastAsia"/>
        </w:rPr>
        <w:t>北京市契税管理规定</w:t>
      </w:r>
      <w:r>
        <w:rPr>
          <w:rFonts w:hint="eastAsia"/>
        </w:rPr>
        <w:tab/>
      </w:r>
      <w:r>
        <w:rPr>
          <w:rFonts w:hint="eastAsia" w:ascii="华文宋体" w:hAnsi="华文宋体" w:eastAsia="华文宋体" w:cs="华文宋体"/>
          <w:kern w:val="2"/>
          <w:sz w:val="24"/>
          <w:szCs w:val="24"/>
          <w:lang w:val="en-US" w:eastAsia="zh-CN" w:bidi="ar-SA"/>
        </w:rPr>
        <w:t>234</w:t>
      </w:r>
    </w:p>
    <w:p w14:paraId="41BF984D">
      <w:pPr>
        <w:tabs>
          <w:tab w:val="right" w:leader="middleDot" w:pos="8295"/>
        </w:tabs>
        <w:ind w:firstLine="0" w:firstLineChars="0"/>
        <w:jc w:val="left"/>
        <w:rPr>
          <w:rFonts w:hint="eastAsia"/>
        </w:rPr>
      </w:pPr>
      <w:r>
        <w:rPr>
          <w:rFonts w:hint="eastAsia"/>
        </w:rPr>
        <w:t>北京市清洁燃料车辆加气站管理规定</w:t>
      </w:r>
      <w:r>
        <w:rPr>
          <w:rFonts w:hint="eastAsia"/>
        </w:rPr>
        <w:tab/>
      </w:r>
      <w:r>
        <w:rPr>
          <w:rFonts w:hint="eastAsia" w:ascii="华文宋体" w:hAnsi="华文宋体" w:eastAsia="华文宋体" w:cs="华文宋体"/>
          <w:kern w:val="2"/>
          <w:sz w:val="24"/>
          <w:szCs w:val="24"/>
          <w:lang w:val="en-US" w:eastAsia="zh-CN" w:bidi="ar-SA"/>
        </w:rPr>
        <w:t>1444</w:t>
      </w:r>
    </w:p>
    <w:p w14:paraId="4C6C05DC">
      <w:pPr>
        <w:tabs>
          <w:tab w:val="right" w:leader="middleDot" w:pos="8295"/>
        </w:tabs>
        <w:ind w:firstLine="0" w:firstLineChars="0"/>
        <w:jc w:val="left"/>
        <w:rPr>
          <w:rFonts w:hint="eastAsia"/>
        </w:rPr>
      </w:pPr>
      <w:r>
        <w:rPr>
          <w:rFonts w:hint="eastAsia"/>
        </w:rPr>
        <w:t>北京市除四害工作管理规定</w:t>
      </w:r>
      <w:r>
        <w:rPr>
          <w:rFonts w:hint="eastAsia"/>
        </w:rPr>
        <w:tab/>
      </w:r>
      <w:r>
        <w:rPr>
          <w:rFonts w:hint="eastAsia" w:ascii="华文宋体" w:hAnsi="华文宋体" w:eastAsia="华文宋体" w:cs="华文宋体"/>
          <w:kern w:val="2"/>
          <w:sz w:val="24"/>
          <w:szCs w:val="24"/>
          <w:lang w:val="en-US" w:eastAsia="zh-CN" w:bidi="ar-SA"/>
        </w:rPr>
        <w:t>1271</w:t>
      </w:r>
    </w:p>
    <w:p w14:paraId="4783E2C6">
      <w:pPr>
        <w:tabs>
          <w:tab w:val="right" w:leader="middleDot" w:pos="8295"/>
        </w:tabs>
        <w:ind w:firstLine="0" w:firstLineChars="0"/>
        <w:jc w:val="left"/>
        <w:rPr>
          <w:rFonts w:hint="eastAsia"/>
        </w:rPr>
      </w:pPr>
      <w:r>
        <w:rPr>
          <w:rFonts w:hint="eastAsia"/>
        </w:rPr>
        <w:t>北京市地热资源管理办法</w:t>
      </w:r>
      <w:r>
        <w:rPr>
          <w:rFonts w:hint="eastAsia"/>
        </w:rPr>
        <w:tab/>
      </w:r>
      <w:r>
        <w:rPr>
          <w:rFonts w:hint="eastAsia" w:ascii="华文宋体" w:hAnsi="华文宋体" w:eastAsia="华文宋体" w:cs="华文宋体"/>
          <w:kern w:val="2"/>
          <w:sz w:val="24"/>
          <w:szCs w:val="24"/>
          <w:lang w:val="en-US" w:eastAsia="zh-CN" w:bidi="ar-SA"/>
        </w:rPr>
        <w:t>1446</w:t>
      </w:r>
    </w:p>
    <w:p w14:paraId="79E53F80">
      <w:pPr>
        <w:tabs>
          <w:tab w:val="right" w:leader="middleDot" w:pos="8295"/>
        </w:tabs>
        <w:ind w:firstLine="0" w:firstLineChars="0"/>
        <w:jc w:val="left"/>
        <w:rPr>
          <w:rFonts w:hint="eastAsia"/>
        </w:rPr>
      </w:pPr>
      <w:r>
        <w:rPr>
          <w:rFonts w:hint="eastAsia"/>
        </w:rPr>
        <w:t>北京市失业保险规定</w:t>
      </w:r>
      <w:r>
        <w:rPr>
          <w:rFonts w:hint="eastAsia"/>
        </w:rPr>
        <w:tab/>
      </w:r>
      <w:r>
        <w:rPr>
          <w:rFonts w:hint="eastAsia" w:ascii="华文宋体" w:hAnsi="华文宋体" w:eastAsia="华文宋体" w:cs="华文宋体"/>
          <w:kern w:val="2"/>
          <w:sz w:val="24"/>
          <w:szCs w:val="24"/>
          <w:lang w:val="en-US" w:eastAsia="zh-CN" w:bidi="ar-SA"/>
        </w:rPr>
        <w:t>1118</w:t>
      </w:r>
    </w:p>
    <w:p w14:paraId="5FF91E51">
      <w:pPr>
        <w:tabs>
          <w:tab w:val="right" w:leader="middleDot" w:pos="8295"/>
        </w:tabs>
        <w:ind w:firstLine="0" w:firstLineChars="0"/>
        <w:jc w:val="left"/>
        <w:rPr>
          <w:rFonts w:hint="eastAsia"/>
        </w:rPr>
      </w:pPr>
      <w:r>
        <w:rPr>
          <w:rFonts w:hint="eastAsia"/>
        </w:rPr>
        <w:t>北京市城镇企业实行股份合作制办法</w:t>
      </w:r>
      <w:r>
        <w:rPr>
          <w:rFonts w:hint="eastAsia"/>
        </w:rPr>
        <w:tab/>
      </w:r>
      <w:r>
        <w:rPr>
          <w:rFonts w:hint="eastAsia" w:ascii="华文宋体" w:hAnsi="华文宋体" w:eastAsia="华文宋体" w:cs="华文宋体"/>
          <w:kern w:val="2"/>
          <w:sz w:val="24"/>
          <w:szCs w:val="24"/>
          <w:lang w:val="en-US" w:eastAsia="zh-CN" w:bidi="ar-SA"/>
        </w:rPr>
        <w:t>679</w:t>
      </w:r>
    </w:p>
    <w:p w14:paraId="736FDAAB">
      <w:pPr>
        <w:tabs>
          <w:tab w:val="right" w:leader="middleDot" w:pos="8295"/>
        </w:tabs>
        <w:ind w:firstLine="0" w:firstLineChars="0"/>
        <w:jc w:val="left"/>
        <w:rPr>
          <w:rFonts w:hint="eastAsia"/>
        </w:rPr>
      </w:pPr>
      <w:r>
        <w:rPr>
          <w:rFonts w:hint="eastAsia"/>
        </w:rPr>
        <w:t>北京市人民政府关于对使用煤炭质量的监督规定</w:t>
      </w:r>
      <w:r>
        <w:rPr>
          <w:rFonts w:hint="eastAsia"/>
        </w:rPr>
        <w:tab/>
      </w:r>
      <w:r>
        <w:rPr>
          <w:rFonts w:hint="eastAsia" w:ascii="华文宋体" w:hAnsi="华文宋体" w:eastAsia="华文宋体" w:cs="华文宋体"/>
          <w:kern w:val="2"/>
          <w:sz w:val="24"/>
          <w:szCs w:val="24"/>
          <w:lang w:val="en-US" w:eastAsia="zh-CN" w:bidi="ar-SA"/>
        </w:rPr>
        <w:t>1448</w:t>
      </w:r>
    </w:p>
    <w:p w14:paraId="1FE65FB9">
      <w:pPr>
        <w:tabs>
          <w:tab w:val="right" w:leader="middleDot" w:pos="8295"/>
        </w:tabs>
        <w:ind w:firstLine="0" w:firstLineChars="0"/>
        <w:jc w:val="left"/>
        <w:rPr>
          <w:rFonts w:hint="eastAsia"/>
        </w:rPr>
      </w:pPr>
      <w:r>
        <w:rPr>
          <w:rFonts w:hint="eastAsia"/>
        </w:rPr>
        <w:t>北京市涉案财产价格鉴定管理办法</w:t>
      </w:r>
      <w:r>
        <w:rPr>
          <w:rFonts w:hint="eastAsia"/>
        </w:rPr>
        <w:tab/>
      </w:r>
      <w:r>
        <w:rPr>
          <w:rFonts w:hint="eastAsia" w:ascii="华文宋体" w:hAnsi="华文宋体" w:eastAsia="华文宋体" w:cs="华文宋体"/>
          <w:kern w:val="2"/>
          <w:sz w:val="24"/>
          <w:szCs w:val="24"/>
          <w:lang w:val="en-US" w:eastAsia="zh-CN" w:bidi="ar-SA"/>
        </w:rPr>
        <w:t>557</w:t>
      </w:r>
    </w:p>
    <w:p w14:paraId="30F4B5FB">
      <w:pPr>
        <w:tabs>
          <w:tab w:val="right" w:leader="middleDot" w:pos="8295"/>
        </w:tabs>
        <w:ind w:firstLine="0" w:firstLineChars="0"/>
        <w:jc w:val="left"/>
      </w:pPr>
    </w:p>
    <w:p w14:paraId="3894952F">
      <w:pPr>
        <w:tabs>
          <w:tab w:val="right" w:leader="middleDot" w:pos="8295"/>
        </w:tabs>
        <w:ind w:firstLine="0" w:firstLineChars="0"/>
        <w:jc w:val="center"/>
        <w:rPr>
          <w:rFonts w:hint="eastAsia"/>
          <w:sz w:val="28"/>
        </w:rPr>
      </w:pPr>
      <w:r>
        <w:rPr>
          <w:rFonts w:hint="eastAsia"/>
          <w:sz w:val="28"/>
        </w:rPr>
        <w:t>二零零零年</w:t>
      </w:r>
    </w:p>
    <w:p w14:paraId="58DC0065">
      <w:pPr>
        <w:tabs>
          <w:tab w:val="right" w:leader="middleDot" w:pos="8295"/>
        </w:tabs>
        <w:ind w:firstLine="0" w:firstLineChars="0"/>
        <w:jc w:val="left"/>
      </w:pPr>
    </w:p>
    <w:p w14:paraId="1CF6F78F">
      <w:pPr>
        <w:tabs>
          <w:tab w:val="right" w:leader="middleDot" w:pos="8295"/>
        </w:tabs>
        <w:ind w:firstLine="0" w:firstLineChars="0"/>
        <w:jc w:val="left"/>
        <w:rPr>
          <w:rFonts w:hint="eastAsia"/>
        </w:rPr>
      </w:pPr>
      <w:r>
        <w:rPr>
          <w:rFonts w:hint="eastAsia"/>
        </w:rPr>
        <w:t>北京市见义勇为人员奖励和保护条例</w:t>
      </w:r>
      <w:r>
        <w:rPr>
          <w:rFonts w:hint="eastAsia"/>
        </w:rPr>
        <w:tab/>
      </w:r>
      <w:r>
        <w:rPr>
          <w:rFonts w:hint="eastAsia" w:ascii="华文宋体" w:hAnsi="华文宋体" w:eastAsia="华文宋体" w:cs="华文宋体"/>
          <w:kern w:val="2"/>
          <w:sz w:val="24"/>
          <w:szCs w:val="24"/>
          <w:lang w:val="en-US" w:eastAsia="zh-CN" w:bidi="ar-SA"/>
        </w:rPr>
        <w:t>1001</w:t>
      </w:r>
    </w:p>
    <w:p w14:paraId="24467187">
      <w:pPr>
        <w:tabs>
          <w:tab w:val="right" w:leader="middleDot" w:pos="8295"/>
        </w:tabs>
        <w:ind w:firstLine="0" w:firstLineChars="0"/>
        <w:jc w:val="left"/>
        <w:rPr>
          <w:rFonts w:hint="eastAsia"/>
        </w:rPr>
      </w:pPr>
      <w:r>
        <w:rPr>
          <w:rFonts w:hint="eastAsia"/>
        </w:rPr>
        <w:t>北京市村民委员会选举办法</w:t>
      </w:r>
      <w:r>
        <w:rPr>
          <w:rFonts w:hint="eastAsia"/>
        </w:rPr>
        <w:tab/>
      </w:r>
      <w:r>
        <w:rPr>
          <w:rFonts w:hint="eastAsia" w:ascii="华文宋体" w:hAnsi="华文宋体" w:eastAsia="华文宋体" w:cs="华文宋体"/>
          <w:kern w:val="2"/>
          <w:sz w:val="24"/>
          <w:szCs w:val="24"/>
          <w:lang w:val="en-US" w:eastAsia="zh-CN" w:bidi="ar-SA"/>
        </w:rPr>
        <w:t>64</w:t>
      </w:r>
    </w:p>
    <w:p w14:paraId="106E6394">
      <w:pPr>
        <w:tabs>
          <w:tab w:val="right" w:leader="middleDot" w:pos="8295"/>
        </w:tabs>
        <w:ind w:firstLine="0" w:firstLineChars="0"/>
        <w:jc w:val="left"/>
        <w:rPr>
          <w:rFonts w:hint="eastAsia"/>
        </w:rPr>
      </w:pPr>
      <w:r>
        <w:rPr>
          <w:rFonts w:hint="eastAsia"/>
        </w:rPr>
        <w:t>北京市博物馆条例</w:t>
      </w:r>
      <w:r>
        <w:rPr>
          <w:rFonts w:hint="eastAsia"/>
        </w:rPr>
        <w:tab/>
      </w:r>
      <w:r>
        <w:rPr>
          <w:rFonts w:hint="eastAsia" w:ascii="华文宋体" w:hAnsi="华文宋体" w:eastAsia="华文宋体" w:cs="华文宋体"/>
          <w:kern w:val="2"/>
          <w:sz w:val="24"/>
          <w:szCs w:val="24"/>
          <w:lang w:val="en-US" w:eastAsia="zh-CN" w:bidi="ar-SA"/>
        </w:rPr>
        <w:t>783</w:t>
      </w:r>
    </w:p>
    <w:p w14:paraId="27AEB777">
      <w:pPr>
        <w:tabs>
          <w:tab w:val="right" w:leader="middleDot" w:pos="8295"/>
        </w:tabs>
        <w:ind w:firstLine="0" w:firstLineChars="0"/>
        <w:jc w:val="left"/>
        <w:rPr>
          <w:rFonts w:hint="eastAsia"/>
        </w:rPr>
      </w:pPr>
      <w:r>
        <w:rPr>
          <w:rFonts w:hint="eastAsia"/>
        </w:rPr>
        <w:t>北京市人民代表大会常务委员会任免国家机关工作人员条例</w:t>
      </w:r>
      <w:r>
        <w:rPr>
          <w:rFonts w:hint="eastAsia"/>
        </w:rPr>
        <w:tab/>
      </w:r>
      <w:r>
        <w:rPr>
          <w:rFonts w:hint="eastAsia" w:ascii="华文宋体" w:hAnsi="华文宋体" w:eastAsia="华文宋体" w:cs="华文宋体"/>
          <w:kern w:val="2"/>
          <w:sz w:val="24"/>
          <w:szCs w:val="24"/>
          <w:lang w:val="en-US" w:eastAsia="zh-CN" w:bidi="ar-SA"/>
        </w:rPr>
        <w:t>49</w:t>
      </w:r>
    </w:p>
    <w:p w14:paraId="36BBCD75">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北京市生育服务证管理办法</w:t>
      </w:r>
      <w:r>
        <w:rPr>
          <w:rFonts w:hint="eastAsia"/>
        </w:rPr>
        <w:tab/>
      </w:r>
      <w:r>
        <w:rPr>
          <w:rFonts w:hint="eastAsia" w:ascii="华文宋体" w:hAnsi="华文宋体" w:eastAsia="华文宋体" w:cs="华文宋体"/>
          <w:kern w:val="2"/>
          <w:sz w:val="24"/>
          <w:szCs w:val="24"/>
          <w:lang w:val="en-US" w:eastAsia="zh-CN" w:bidi="ar-SA"/>
        </w:rPr>
        <w:t>1274</w:t>
      </w:r>
    </w:p>
    <w:p w14:paraId="4F673148">
      <w:pPr>
        <w:tabs>
          <w:tab w:val="right" w:leader="middleDot" w:pos="8295"/>
        </w:tabs>
        <w:ind w:firstLine="0" w:firstLineChars="0"/>
        <w:jc w:val="left"/>
        <w:rPr>
          <w:rFonts w:hint="eastAsia" w:ascii="华文宋体" w:hAnsi="华文宋体" w:eastAsia="华文宋体" w:cs="华文宋体"/>
          <w:kern w:val="2"/>
          <w:sz w:val="24"/>
          <w:szCs w:val="24"/>
          <w:lang w:val="en-US" w:eastAsia="zh-CN" w:bidi="ar-SA"/>
        </w:rPr>
      </w:pPr>
      <w:r>
        <w:rPr>
          <w:rFonts w:hint="eastAsia"/>
        </w:rPr>
        <w:t>北京市居民委员会选举办法</w:t>
      </w:r>
      <w:r>
        <w:rPr>
          <w:rFonts w:hint="eastAsia"/>
        </w:rPr>
        <w:tab/>
      </w:r>
      <w:r>
        <w:rPr>
          <w:rFonts w:hint="eastAsia" w:ascii="华文宋体" w:hAnsi="华文宋体" w:eastAsia="华文宋体" w:cs="华文宋体"/>
          <w:kern w:val="2"/>
          <w:sz w:val="24"/>
          <w:szCs w:val="24"/>
          <w:lang w:val="en-US" w:eastAsia="zh-CN" w:bidi="ar-SA"/>
        </w:rPr>
        <w:t>78</w:t>
      </w:r>
    </w:p>
    <w:p w14:paraId="09F9A847">
      <w:pPr>
        <w:tabs>
          <w:tab w:val="right" w:leader="middleDot" w:pos="8295"/>
        </w:tabs>
        <w:ind w:firstLine="0" w:firstLineChars="0"/>
        <w:jc w:val="left"/>
        <w:rPr>
          <w:rFonts w:hint="eastAsia"/>
        </w:rPr>
      </w:pPr>
      <w:r>
        <w:rPr>
          <w:rFonts w:hint="eastAsia"/>
        </w:rPr>
        <w:t>北京市城市建筑物外立面保持整洁管理规定</w:t>
      </w:r>
      <w:r>
        <w:rPr>
          <w:rFonts w:hint="eastAsia"/>
        </w:rPr>
        <w:tab/>
      </w:r>
      <w:r>
        <w:rPr>
          <w:rFonts w:hint="eastAsia" w:ascii="华文宋体" w:hAnsi="华文宋体" w:eastAsia="华文宋体" w:cs="华文宋体"/>
          <w:kern w:val="2"/>
          <w:sz w:val="24"/>
          <w:szCs w:val="24"/>
          <w:lang w:val="en-US" w:eastAsia="zh-CN" w:bidi="ar-SA"/>
        </w:rPr>
        <w:t>1203</w:t>
      </w:r>
    </w:p>
    <w:p w14:paraId="135E0955">
      <w:pPr>
        <w:tabs>
          <w:tab w:val="right" w:leader="middleDot" w:pos="8295"/>
        </w:tabs>
        <w:ind w:firstLine="0" w:firstLineChars="0"/>
        <w:jc w:val="left"/>
        <w:rPr>
          <w:rFonts w:hint="eastAsia"/>
        </w:rPr>
      </w:pPr>
      <w:r>
        <w:rPr>
          <w:rFonts w:hint="eastAsia"/>
        </w:rPr>
        <w:t>北京市职业介绍管理规定</w:t>
      </w:r>
      <w:r>
        <w:rPr>
          <w:rFonts w:hint="eastAsia"/>
        </w:rPr>
        <w:tab/>
      </w:r>
      <w:r>
        <w:rPr>
          <w:rFonts w:hint="eastAsia" w:ascii="华文宋体" w:hAnsi="华文宋体" w:eastAsia="华文宋体" w:cs="华文宋体"/>
          <w:kern w:val="2"/>
          <w:sz w:val="24"/>
          <w:szCs w:val="24"/>
          <w:lang w:val="en-US" w:eastAsia="zh-CN" w:bidi="ar-SA"/>
        </w:rPr>
        <w:t>1105</w:t>
      </w:r>
    </w:p>
    <w:p w14:paraId="5D23D8C2">
      <w:pPr>
        <w:tabs>
          <w:tab w:val="right" w:leader="middleDot" w:pos="8295"/>
        </w:tabs>
        <w:ind w:firstLine="0" w:firstLineChars="0"/>
        <w:jc w:val="left"/>
        <w:rPr>
          <w:rFonts w:hint="eastAsia"/>
        </w:rPr>
      </w:pPr>
      <w:r>
        <w:rPr>
          <w:rFonts w:hint="eastAsia"/>
        </w:rPr>
        <w:t>北京市实施《城市居民最低生活保障条例》办法</w:t>
      </w:r>
      <w:r>
        <w:rPr>
          <w:rFonts w:hint="eastAsia"/>
        </w:rPr>
        <w:tab/>
      </w:r>
      <w:r>
        <w:rPr>
          <w:rFonts w:hint="eastAsia" w:ascii="华文宋体" w:hAnsi="华文宋体" w:eastAsia="华文宋体" w:cs="华文宋体"/>
          <w:kern w:val="2"/>
          <w:sz w:val="24"/>
          <w:szCs w:val="24"/>
          <w:lang w:val="en-US" w:eastAsia="zh-CN" w:bidi="ar-SA"/>
        </w:rPr>
        <w:t>1076</w:t>
      </w:r>
    </w:p>
    <w:p w14:paraId="7D5E31E2">
      <w:pPr>
        <w:tabs>
          <w:tab w:val="right" w:leader="middleDot" w:pos="8295"/>
        </w:tabs>
        <w:ind w:firstLine="0" w:firstLineChars="0"/>
        <w:jc w:val="left"/>
        <w:rPr>
          <w:rFonts w:hint="eastAsia"/>
        </w:rPr>
      </w:pPr>
      <w:r>
        <w:rPr>
          <w:rFonts w:hint="eastAsia"/>
        </w:rPr>
        <w:t>《北京市见义勇为人员奖励和保护条例》实施办法</w:t>
      </w:r>
      <w:r>
        <w:rPr>
          <w:rFonts w:hint="eastAsia"/>
        </w:rPr>
        <w:tab/>
      </w:r>
      <w:r>
        <w:rPr>
          <w:rFonts w:hint="eastAsia" w:ascii="华文宋体" w:hAnsi="华文宋体" w:eastAsia="华文宋体" w:cs="华文宋体"/>
          <w:kern w:val="2"/>
          <w:sz w:val="24"/>
          <w:szCs w:val="24"/>
          <w:lang w:val="en-US" w:eastAsia="zh-CN" w:bidi="ar-SA"/>
        </w:rPr>
        <w:t>1007</w:t>
      </w:r>
    </w:p>
    <w:p w14:paraId="63C0114B">
      <w:pPr>
        <w:tabs>
          <w:tab w:val="right" w:leader="middleDot" w:pos="8295"/>
        </w:tabs>
        <w:ind w:firstLine="0" w:firstLineChars="0"/>
        <w:jc w:val="left"/>
        <w:rPr>
          <w:rFonts w:hint="eastAsia"/>
        </w:rPr>
      </w:pPr>
      <w:r>
        <w:rPr>
          <w:rFonts w:hint="eastAsia"/>
        </w:rPr>
        <w:t>北京市王府井步行街地区管理规定</w:t>
      </w:r>
      <w:r>
        <w:rPr>
          <w:rFonts w:hint="eastAsia"/>
        </w:rPr>
        <w:tab/>
      </w:r>
      <w:r>
        <w:rPr>
          <w:rFonts w:hint="eastAsia" w:ascii="华文宋体" w:hAnsi="华文宋体" w:eastAsia="华文宋体" w:cs="华文宋体"/>
          <w:kern w:val="2"/>
          <w:sz w:val="24"/>
          <w:szCs w:val="24"/>
          <w:lang w:val="en-US" w:eastAsia="zh-CN" w:bidi="ar-SA"/>
        </w:rPr>
        <w:t>1312</w:t>
      </w:r>
    </w:p>
    <w:p w14:paraId="7B73E4D0">
      <w:pPr>
        <w:tabs>
          <w:tab w:val="right" w:leader="middleDot" w:pos="8295"/>
        </w:tabs>
        <w:ind w:firstLine="0" w:firstLineChars="0"/>
        <w:jc w:val="left"/>
        <w:rPr>
          <w:rFonts w:hint="eastAsia"/>
        </w:rPr>
      </w:pPr>
      <w:r>
        <w:rPr>
          <w:rFonts w:hint="eastAsia"/>
        </w:rPr>
        <w:t>北京市禁止露天烧烤食品的规定</w:t>
      </w:r>
      <w:r>
        <w:rPr>
          <w:rFonts w:hint="eastAsia"/>
        </w:rPr>
        <w:tab/>
      </w:r>
      <w:r>
        <w:rPr>
          <w:rFonts w:hint="eastAsia" w:ascii="华文宋体" w:hAnsi="华文宋体" w:eastAsia="华文宋体" w:cs="华文宋体"/>
          <w:kern w:val="2"/>
          <w:sz w:val="24"/>
          <w:szCs w:val="24"/>
          <w:lang w:val="en-US" w:eastAsia="zh-CN" w:bidi="ar-SA"/>
        </w:rPr>
        <w:t>1205</w:t>
      </w:r>
    </w:p>
    <w:p w14:paraId="34B45E01">
      <w:pPr>
        <w:tabs>
          <w:tab w:val="right" w:leader="middleDot" w:pos="8295"/>
        </w:tabs>
        <w:ind w:firstLine="0" w:firstLineChars="0"/>
        <w:jc w:val="left"/>
        <w:rPr>
          <w:rFonts w:hint="eastAsia"/>
        </w:rPr>
      </w:pPr>
      <w:r>
        <w:rPr>
          <w:rFonts w:hint="eastAsia"/>
        </w:rPr>
        <w:t>北京市养老服务机构管理办法</w:t>
      </w:r>
      <w:r>
        <w:rPr>
          <w:rFonts w:hint="eastAsia"/>
        </w:rPr>
        <w:tab/>
      </w:r>
      <w:r>
        <w:rPr>
          <w:rFonts w:hint="eastAsia" w:ascii="华文宋体" w:hAnsi="华文宋体" w:eastAsia="华文宋体" w:cs="华文宋体"/>
          <w:kern w:val="2"/>
          <w:sz w:val="24"/>
          <w:szCs w:val="24"/>
          <w:lang w:val="en-US" w:eastAsia="zh-CN" w:bidi="ar-SA"/>
        </w:rPr>
        <w:t>1124</w:t>
      </w:r>
    </w:p>
    <w:p w14:paraId="1027BE97">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北京市洗浴和美容美发经营场所管理若干规定</w:t>
      </w:r>
      <w:r>
        <w:rPr>
          <w:rFonts w:hint="eastAsia"/>
        </w:rPr>
        <w:tab/>
      </w:r>
      <w:r>
        <w:rPr>
          <w:rFonts w:hint="eastAsia" w:ascii="华文宋体" w:hAnsi="华文宋体" w:eastAsia="华文宋体" w:cs="华文宋体"/>
          <w:kern w:val="2"/>
          <w:sz w:val="24"/>
          <w:szCs w:val="24"/>
          <w:lang w:val="en-US" w:eastAsia="zh-CN" w:bidi="ar-SA"/>
        </w:rPr>
        <w:t>607</w:t>
      </w:r>
    </w:p>
    <w:p w14:paraId="1264D2BC">
      <w:pPr>
        <w:tabs>
          <w:tab w:val="right" w:leader="middleDot" w:pos="8295"/>
        </w:tabs>
        <w:ind w:firstLine="0" w:firstLineChars="0"/>
        <w:jc w:val="left"/>
        <w:rPr>
          <w:rFonts w:hint="eastAsia"/>
        </w:rPr>
      </w:pPr>
      <w:r>
        <w:rPr>
          <w:rFonts w:hint="eastAsia"/>
        </w:rPr>
        <w:t>北京市政务与公共服务信息化工程建设管理办法</w:t>
      </w:r>
      <w:r>
        <w:rPr>
          <w:rFonts w:hint="eastAsia"/>
        </w:rPr>
        <w:tab/>
      </w:r>
      <w:r>
        <w:rPr>
          <w:rFonts w:hint="eastAsia" w:ascii="华文宋体" w:hAnsi="华文宋体" w:eastAsia="华文宋体" w:cs="华文宋体"/>
          <w:kern w:val="2"/>
          <w:sz w:val="24"/>
          <w:szCs w:val="24"/>
          <w:lang w:val="en-US" w:eastAsia="zh-CN" w:bidi="ar-SA"/>
        </w:rPr>
        <w:t>340</w:t>
      </w:r>
    </w:p>
    <w:p w14:paraId="0CEBAA0C">
      <w:pPr>
        <w:tabs>
          <w:tab w:val="right" w:leader="middleDot" w:pos="8295"/>
        </w:tabs>
        <w:ind w:firstLine="0" w:firstLineChars="0"/>
        <w:jc w:val="left"/>
      </w:pPr>
    </w:p>
    <w:p w14:paraId="3B32B9BE">
      <w:pPr>
        <w:tabs>
          <w:tab w:val="right" w:leader="middleDot" w:pos="8295"/>
        </w:tabs>
        <w:ind w:firstLine="0" w:firstLineChars="0"/>
        <w:jc w:val="center"/>
        <w:rPr>
          <w:rFonts w:hint="eastAsia"/>
          <w:sz w:val="28"/>
        </w:rPr>
      </w:pPr>
      <w:r>
        <w:rPr>
          <w:rFonts w:hint="eastAsia"/>
          <w:sz w:val="28"/>
        </w:rPr>
        <w:t>二零零一年</w:t>
      </w:r>
    </w:p>
    <w:p w14:paraId="1C9C9421">
      <w:pPr>
        <w:tabs>
          <w:tab w:val="right" w:leader="middleDot" w:pos="8295"/>
        </w:tabs>
        <w:ind w:firstLine="0" w:firstLineChars="0"/>
        <w:jc w:val="left"/>
      </w:pPr>
    </w:p>
    <w:p w14:paraId="305269AE">
      <w:pPr>
        <w:tabs>
          <w:tab w:val="right" w:leader="middleDot" w:pos="8295"/>
        </w:tabs>
        <w:ind w:firstLine="0" w:firstLineChars="0"/>
        <w:jc w:val="left"/>
        <w:rPr>
          <w:rFonts w:hint="eastAsia"/>
        </w:rPr>
      </w:pPr>
      <w:r>
        <w:rPr>
          <w:rFonts w:hint="eastAsia"/>
        </w:rPr>
        <w:t>北京市制定地方性法规条例</w:t>
      </w:r>
      <w:r>
        <w:rPr>
          <w:rFonts w:hint="eastAsia"/>
        </w:rPr>
        <w:tab/>
      </w:r>
      <w:r>
        <w:rPr>
          <w:rFonts w:hint="eastAsia" w:ascii="华文宋体" w:hAnsi="华文宋体" w:eastAsia="华文宋体" w:cs="华文宋体"/>
          <w:kern w:val="2"/>
          <w:sz w:val="24"/>
          <w:szCs w:val="24"/>
          <w:lang w:val="en-US" w:eastAsia="zh-CN" w:bidi="ar-SA"/>
        </w:rPr>
        <w:t>84</w:t>
      </w:r>
    </w:p>
    <w:p w14:paraId="0ACA52B9">
      <w:pPr>
        <w:tabs>
          <w:tab w:val="right" w:leader="middleDot" w:pos="8295"/>
        </w:tabs>
        <w:ind w:firstLine="0" w:firstLineChars="0"/>
        <w:jc w:val="left"/>
        <w:rPr>
          <w:rFonts w:hint="eastAsia"/>
        </w:rPr>
      </w:pPr>
      <w:r>
        <w:rPr>
          <w:rFonts w:hint="eastAsia"/>
        </w:rPr>
        <w:t>北京市实施《中华人民共和国防洪法》办法</w:t>
      </w:r>
      <w:r>
        <w:rPr>
          <w:rFonts w:hint="eastAsia"/>
        </w:rPr>
        <w:tab/>
      </w:r>
      <w:r>
        <w:rPr>
          <w:rFonts w:hint="eastAsia" w:ascii="华文宋体" w:hAnsi="华文宋体" w:eastAsia="华文宋体" w:cs="华文宋体"/>
          <w:kern w:val="2"/>
          <w:sz w:val="24"/>
          <w:szCs w:val="24"/>
          <w:lang w:val="en-US" w:eastAsia="zh-CN" w:bidi="ar-SA"/>
        </w:rPr>
        <w:t>1508</w:t>
      </w:r>
    </w:p>
    <w:p w14:paraId="199586F7">
      <w:pPr>
        <w:tabs>
          <w:tab w:val="right" w:leader="middleDot" w:pos="8295"/>
        </w:tabs>
        <w:ind w:firstLine="0" w:firstLineChars="0"/>
        <w:jc w:val="left"/>
        <w:rPr>
          <w:rFonts w:hint="eastAsia"/>
        </w:rPr>
      </w:pPr>
      <w:r>
        <w:rPr>
          <w:rFonts w:hint="eastAsia"/>
        </w:rPr>
        <w:t>北京市发展中医条例</w:t>
      </w:r>
      <w:r>
        <w:rPr>
          <w:rFonts w:hint="eastAsia"/>
        </w:rPr>
        <w:tab/>
      </w:r>
      <w:r>
        <w:rPr>
          <w:rFonts w:hint="eastAsia" w:ascii="华文宋体" w:hAnsi="华文宋体" w:eastAsia="华文宋体" w:cs="华文宋体"/>
          <w:kern w:val="2"/>
          <w:sz w:val="24"/>
          <w:szCs w:val="24"/>
          <w:lang w:val="en-US" w:eastAsia="zh-CN" w:bidi="ar-SA"/>
        </w:rPr>
        <w:t>1246</w:t>
      </w:r>
    </w:p>
    <w:p w14:paraId="21171C1A">
      <w:pPr>
        <w:tabs>
          <w:tab w:val="right" w:leader="middleDot" w:pos="8295"/>
        </w:tabs>
        <w:ind w:firstLine="0" w:firstLineChars="0"/>
        <w:jc w:val="left"/>
        <w:rPr>
          <w:rFonts w:hint="eastAsia"/>
        </w:rPr>
      </w:pPr>
      <w:r>
        <w:rPr>
          <w:rFonts w:hint="eastAsia"/>
        </w:rPr>
        <w:t>北京市学前教育条例</w:t>
      </w:r>
      <w:r>
        <w:rPr>
          <w:rFonts w:hint="eastAsia"/>
        </w:rPr>
        <w:tab/>
      </w:r>
      <w:r>
        <w:rPr>
          <w:rFonts w:hint="eastAsia" w:ascii="华文宋体" w:hAnsi="华文宋体" w:eastAsia="华文宋体" w:cs="华文宋体"/>
          <w:kern w:val="2"/>
          <w:sz w:val="24"/>
          <w:szCs w:val="24"/>
          <w:lang w:val="en-US" w:eastAsia="zh-CN" w:bidi="ar-SA"/>
        </w:rPr>
        <w:t>717</w:t>
      </w:r>
    </w:p>
    <w:p w14:paraId="0E8F3B37">
      <w:pPr>
        <w:tabs>
          <w:tab w:val="right" w:leader="middleDot" w:pos="8295"/>
        </w:tabs>
        <w:ind w:firstLine="0" w:firstLineChars="0"/>
        <w:jc w:val="left"/>
        <w:rPr>
          <w:rFonts w:hint="eastAsia"/>
        </w:rPr>
      </w:pPr>
      <w:r>
        <w:rPr>
          <w:rFonts w:hint="eastAsia"/>
        </w:rPr>
        <w:t>北京市促进私营个体经济发展条例</w:t>
      </w:r>
      <w:r>
        <w:rPr>
          <w:rFonts w:hint="eastAsia"/>
        </w:rPr>
        <w:tab/>
      </w:r>
      <w:r>
        <w:rPr>
          <w:rFonts w:hint="eastAsia" w:ascii="华文宋体" w:hAnsi="华文宋体" w:eastAsia="华文宋体" w:cs="华文宋体"/>
          <w:kern w:val="2"/>
          <w:sz w:val="24"/>
          <w:szCs w:val="24"/>
          <w:lang w:val="en-US" w:eastAsia="zh-CN" w:bidi="ar-SA"/>
        </w:rPr>
        <w:t>658</w:t>
      </w:r>
    </w:p>
    <w:p w14:paraId="381297BD">
      <w:pPr>
        <w:tabs>
          <w:tab w:val="right" w:leader="middleDot" w:pos="8295"/>
        </w:tabs>
        <w:ind w:firstLine="0" w:firstLineChars="0"/>
        <w:jc w:val="left"/>
        <w:rPr>
          <w:rFonts w:hint="eastAsia"/>
        </w:rPr>
      </w:pPr>
      <w:r>
        <w:rPr>
          <w:rFonts w:hint="eastAsia"/>
        </w:rPr>
        <w:t>北京市实施《中华人民共和国村民委员会组织法》的若干规定</w:t>
      </w:r>
      <w:r>
        <w:rPr>
          <w:rFonts w:hint="eastAsia"/>
        </w:rPr>
        <w:tab/>
      </w:r>
      <w:r>
        <w:rPr>
          <w:rFonts w:hint="eastAsia" w:ascii="华文宋体" w:hAnsi="华文宋体" w:eastAsia="华文宋体" w:cs="华文宋体"/>
          <w:kern w:val="2"/>
          <w:sz w:val="24"/>
          <w:szCs w:val="24"/>
          <w:lang w:val="en-US" w:eastAsia="zh-CN" w:bidi="ar-SA"/>
        </w:rPr>
        <w:t>70</w:t>
      </w:r>
    </w:p>
    <w:p w14:paraId="46FE2736">
      <w:pPr>
        <w:tabs>
          <w:tab w:val="right" w:leader="middleDot" w:pos="8295"/>
        </w:tabs>
        <w:ind w:firstLine="0" w:firstLineChars="0"/>
        <w:jc w:val="left"/>
        <w:rPr>
          <w:rFonts w:hint="eastAsia"/>
        </w:rPr>
      </w:pPr>
      <w:r>
        <w:rPr>
          <w:rFonts w:hint="eastAsia"/>
        </w:rPr>
        <w:t>北京市基本医疗保险规定</w:t>
      </w:r>
      <w:r>
        <w:rPr>
          <w:rFonts w:hint="eastAsia"/>
        </w:rPr>
        <w:tab/>
      </w:r>
      <w:r>
        <w:rPr>
          <w:rFonts w:hint="eastAsia" w:ascii="华文宋体" w:hAnsi="华文宋体" w:eastAsia="华文宋体" w:cs="华文宋体"/>
          <w:kern w:val="2"/>
          <w:sz w:val="24"/>
          <w:szCs w:val="24"/>
          <w:lang w:val="en-US" w:eastAsia="zh-CN" w:bidi="ar-SA"/>
        </w:rPr>
        <w:t>1128</w:t>
      </w:r>
    </w:p>
    <w:p w14:paraId="4BFB7290">
      <w:pPr>
        <w:tabs>
          <w:tab w:val="right" w:leader="middleDot" w:pos="8295"/>
        </w:tabs>
        <w:ind w:firstLine="0" w:firstLineChars="0"/>
        <w:jc w:val="left"/>
        <w:rPr>
          <w:rFonts w:hint="eastAsia"/>
        </w:rPr>
      </w:pPr>
      <w:r>
        <w:rPr>
          <w:rFonts w:hint="eastAsia"/>
        </w:rPr>
        <w:t>中关村科技园区接收非北京生源高校毕业生办法</w:t>
      </w:r>
      <w:r>
        <w:rPr>
          <w:rFonts w:hint="eastAsia"/>
        </w:rPr>
        <w:tab/>
      </w:r>
      <w:r>
        <w:rPr>
          <w:rFonts w:hint="eastAsia" w:ascii="华文宋体" w:hAnsi="华文宋体" w:eastAsia="华文宋体" w:cs="华文宋体"/>
          <w:kern w:val="2"/>
          <w:sz w:val="24"/>
          <w:szCs w:val="24"/>
          <w:lang w:val="en-US" w:eastAsia="zh-CN" w:bidi="ar-SA"/>
        </w:rPr>
        <w:t>1108</w:t>
      </w:r>
    </w:p>
    <w:p w14:paraId="3958005B">
      <w:pPr>
        <w:tabs>
          <w:tab w:val="right" w:leader="middleDot" w:pos="8295"/>
        </w:tabs>
        <w:ind w:firstLine="0" w:firstLineChars="0"/>
        <w:jc w:val="left"/>
        <w:rPr>
          <w:rFonts w:hint="eastAsia"/>
        </w:rPr>
      </w:pPr>
      <w:r>
        <w:rPr>
          <w:rFonts w:hint="eastAsia"/>
        </w:rPr>
        <w:t>北京市商品住宅销售价格构成管理办法</w:t>
      </w:r>
      <w:r>
        <w:rPr>
          <w:rFonts w:hint="eastAsia"/>
        </w:rPr>
        <w:tab/>
      </w:r>
      <w:r>
        <w:rPr>
          <w:rFonts w:hint="eastAsia" w:ascii="华文宋体" w:hAnsi="华文宋体" w:eastAsia="华文宋体" w:cs="华文宋体"/>
          <w:kern w:val="2"/>
          <w:sz w:val="24"/>
          <w:szCs w:val="24"/>
          <w:lang w:val="en-US" w:eastAsia="zh-CN" w:bidi="ar-SA"/>
        </w:rPr>
        <w:t>455</w:t>
      </w:r>
    </w:p>
    <w:p w14:paraId="42331C09">
      <w:pPr>
        <w:tabs>
          <w:tab w:val="right" w:leader="middleDot" w:pos="8295"/>
        </w:tabs>
        <w:ind w:firstLine="0" w:firstLineChars="0"/>
        <w:jc w:val="left"/>
        <w:rPr>
          <w:rFonts w:hint="eastAsia"/>
        </w:rPr>
      </w:pPr>
      <w:r>
        <w:rPr>
          <w:rFonts w:hint="eastAsia"/>
        </w:rPr>
        <w:t>北京市关于重大安全事故行政责任追究的规定</w:t>
      </w:r>
      <w:r>
        <w:rPr>
          <w:rFonts w:hint="eastAsia"/>
        </w:rPr>
        <w:tab/>
      </w:r>
      <w:r>
        <w:rPr>
          <w:rFonts w:hint="eastAsia" w:ascii="华文宋体" w:hAnsi="华文宋体" w:eastAsia="华文宋体" w:cs="华文宋体"/>
          <w:kern w:val="2"/>
          <w:sz w:val="24"/>
          <w:szCs w:val="24"/>
          <w:lang w:val="en-US" w:eastAsia="zh-CN" w:bidi="ar-SA"/>
        </w:rPr>
        <w:t>963</w:t>
      </w:r>
    </w:p>
    <w:p w14:paraId="439F9544">
      <w:pPr>
        <w:tabs>
          <w:tab w:val="right" w:leader="middleDot" w:pos="8295"/>
        </w:tabs>
        <w:ind w:firstLine="0" w:firstLineChars="0"/>
        <w:jc w:val="left"/>
        <w:rPr>
          <w:rFonts w:hint="eastAsia"/>
        </w:rPr>
      </w:pPr>
      <w:r>
        <w:rPr>
          <w:rFonts w:hint="eastAsia"/>
        </w:rPr>
        <w:t>关于利用单位内部设施开展社区服务的若干规定</w:t>
      </w:r>
      <w:r>
        <w:rPr>
          <w:rFonts w:hint="eastAsia"/>
        </w:rPr>
        <w:tab/>
      </w:r>
      <w:r>
        <w:rPr>
          <w:rFonts w:hint="eastAsia" w:ascii="华文宋体" w:hAnsi="华文宋体" w:eastAsia="华文宋体" w:cs="华文宋体"/>
          <w:kern w:val="2"/>
          <w:sz w:val="24"/>
          <w:szCs w:val="24"/>
          <w:lang w:val="en-US" w:eastAsia="zh-CN" w:bidi="ar-SA"/>
        </w:rPr>
        <w:t>1309</w:t>
      </w:r>
    </w:p>
    <w:p w14:paraId="772B4101">
      <w:pPr>
        <w:tabs>
          <w:tab w:val="right" w:leader="middleDot" w:pos="8295"/>
        </w:tabs>
        <w:ind w:firstLine="0" w:firstLineChars="0"/>
        <w:jc w:val="left"/>
        <w:rPr>
          <w:rFonts w:hint="eastAsia"/>
        </w:rPr>
      </w:pPr>
      <w:r>
        <w:rPr>
          <w:rFonts w:hint="eastAsia"/>
        </w:rPr>
        <w:t>北京市社区居民委员会办公用房管理若干规定</w:t>
      </w:r>
      <w:r>
        <w:rPr>
          <w:rFonts w:hint="eastAsia"/>
        </w:rPr>
        <w:tab/>
      </w:r>
      <w:r>
        <w:rPr>
          <w:rFonts w:hint="eastAsia" w:ascii="华文宋体" w:hAnsi="华文宋体" w:eastAsia="华文宋体" w:cs="华文宋体"/>
          <w:kern w:val="2"/>
          <w:sz w:val="24"/>
          <w:szCs w:val="24"/>
          <w:lang w:val="en-US" w:eastAsia="zh-CN" w:bidi="ar-SA"/>
        </w:rPr>
        <w:t>1311</w:t>
      </w:r>
    </w:p>
    <w:p w14:paraId="7861EC6D">
      <w:pPr>
        <w:tabs>
          <w:tab w:val="right" w:leader="middleDot" w:pos="8295"/>
        </w:tabs>
        <w:ind w:firstLine="0" w:firstLineChars="0"/>
        <w:jc w:val="left"/>
        <w:rPr>
          <w:rFonts w:hint="eastAsia"/>
        </w:rPr>
      </w:pPr>
      <w:r>
        <w:rPr>
          <w:rFonts w:hint="eastAsia"/>
        </w:rPr>
        <w:t>北京市计量监督管理规定</w:t>
      </w:r>
      <w:r>
        <w:rPr>
          <w:rFonts w:hint="eastAsia"/>
        </w:rPr>
        <w:tab/>
      </w:r>
      <w:r>
        <w:rPr>
          <w:rFonts w:hint="eastAsia" w:ascii="华文宋体" w:hAnsi="华文宋体" w:eastAsia="华文宋体" w:cs="华文宋体"/>
          <w:kern w:val="2"/>
          <w:sz w:val="24"/>
          <w:szCs w:val="24"/>
          <w:lang w:val="en-US" w:eastAsia="zh-CN" w:bidi="ar-SA"/>
        </w:rPr>
        <w:t>572</w:t>
      </w:r>
    </w:p>
    <w:p w14:paraId="27CD4424">
      <w:pPr>
        <w:tabs>
          <w:tab w:val="right" w:leader="middleDot" w:pos="8295"/>
        </w:tabs>
        <w:ind w:firstLine="0" w:firstLineChars="0"/>
        <w:jc w:val="left"/>
        <w:rPr>
          <w:rFonts w:hint="eastAsia"/>
        </w:rPr>
      </w:pPr>
      <w:r>
        <w:rPr>
          <w:rFonts w:hint="eastAsia"/>
        </w:rPr>
        <w:t>北京市闲置土地处理办法</w:t>
      </w:r>
      <w:r>
        <w:rPr>
          <w:rFonts w:hint="eastAsia"/>
        </w:rPr>
        <w:tab/>
      </w:r>
      <w:r>
        <w:rPr>
          <w:rFonts w:hint="eastAsia" w:ascii="华文宋体" w:hAnsi="华文宋体" w:eastAsia="华文宋体" w:cs="华文宋体"/>
          <w:kern w:val="2"/>
          <w:sz w:val="24"/>
          <w:szCs w:val="24"/>
          <w:lang w:val="en-US" w:eastAsia="zh-CN" w:bidi="ar-SA"/>
        </w:rPr>
        <w:t>1355</w:t>
      </w:r>
    </w:p>
    <w:p w14:paraId="43F9DA59">
      <w:pPr>
        <w:tabs>
          <w:tab w:val="right" w:leader="middleDot" w:pos="8295"/>
        </w:tabs>
        <w:ind w:firstLine="0" w:firstLineChars="0"/>
        <w:jc w:val="left"/>
        <w:rPr>
          <w:rFonts w:hint="eastAsia"/>
        </w:rPr>
      </w:pPr>
      <w:r>
        <w:rPr>
          <w:rFonts w:hint="eastAsia"/>
        </w:rPr>
        <w:t>北京市建设工程施工现场消防安全管理规定</w:t>
      </w:r>
      <w:r>
        <w:rPr>
          <w:rFonts w:hint="eastAsia"/>
        </w:rPr>
        <w:tab/>
      </w:r>
      <w:r>
        <w:rPr>
          <w:rFonts w:hint="eastAsia" w:ascii="华文宋体" w:hAnsi="华文宋体" w:eastAsia="华文宋体" w:cs="华文宋体"/>
          <w:kern w:val="2"/>
          <w:sz w:val="24"/>
          <w:szCs w:val="24"/>
          <w:lang w:val="en-US" w:eastAsia="zh-CN" w:bidi="ar-SA"/>
        </w:rPr>
        <w:t>925</w:t>
      </w:r>
    </w:p>
    <w:p w14:paraId="4FEE7620">
      <w:pPr>
        <w:tabs>
          <w:tab w:val="right" w:leader="middleDot" w:pos="8295"/>
        </w:tabs>
        <w:ind w:firstLine="0" w:firstLineChars="0"/>
        <w:jc w:val="left"/>
        <w:rPr>
          <w:rFonts w:hint="eastAsia"/>
        </w:rPr>
      </w:pPr>
      <w:r>
        <w:rPr>
          <w:rFonts w:hint="eastAsia"/>
        </w:rPr>
        <w:t>北京市奥林匹克知识产权保护规定</w:t>
      </w:r>
      <w:r>
        <w:rPr>
          <w:rFonts w:hint="eastAsia"/>
        </w:rPr>
        <w:tab/>
      </w:r>
      <w:r>
        <w:rPr>
          <w:rFonts w:hint="eastAsia" w:ascii="华文宋体" w:hAnsi="华文宋体" w:eastAsia="华文宋体" w:cs="华文宋体"/>
          <w:kern w:val="2"/>
          <w:sz w:val="24"/>
          <w:szCs w:val="24"/>
          <w:lang w:val="en-US" w:eastAsia="zh-CN" w:bidi="ar-SA"/>
        </w:rPr>
        <w:t>599</w:t>
      </w:r>
    </w:p>
    <w:p w14:paraId="1BF7F93E">
      <w:pPr>
        <w:tabs>
          <w:tab w:val="right" w:leader="middleDot" w:pos="8295"/>
        </w:tabs>
        <w:ind w:firstLine="0" w:firstLineChars="0"/>
        <w:jc w:val="left"/>
        <w:rPr>
          <w:rFonts w:hint="eastAsia"/>
        </w:rPr>
      </w:pPr>
      <w:r>
        <w:rPr>
          <w:rFonts w:hint="eastAsia"/>
        </w:rPr>
        <w:t>北京市建设工程规划监督若干规定</w:t>
      </w:r>
      <w:r>
        <w:rPr>
          <w:rFonts w:hint="eastAsia"/>
        </w:rPr>
        <w:tab/>
      </w:r>
      <w:r>
        <w:rPr>
          <w:rFonts w:hint="eastAsia" w:ascii="华文宋体" w:hAnsi="华文宋体" w:eastAsia="华文宋体" w:cs="华文宋体"/>
          <w:kern w:val="2"/>
          <w:sz w:val="24"/>
          <w:szCs w:val="24"/>
          <w:lang w:val="en-US" w:eastAsia="zh-CN" w:bidi="ar-SA"/>
        </w:rPr>
        <w:t>405</w:t>
      </w:r>
    </w:p>
    <w:p w14:paraId="23A01F39">
      <w:pPr>
        <w:tabs>
          <w:tab w:val="right" w:leader="middleDot" w:pos="8295"/>
        </w:tabs>
        <w:ind w:firstLine="0" w:firstLineChars="0"/>
        <w:jc w:val="left"/>
        <w:rPr>
          <w:rFonts w:hint="eastAsia"/>
        </w:rPr>
      </w:pPr>
      <w:r>
        <w:rPr>
          <w:rFonts w:hint="eastAsia"/>
        </w:rPr>
        <w:t>北京市工程建设项目招标范围和规模标准规定</w:t>
      </w:r>
      <w:r>
        <w:rPr>
          <w:rFonts w:hint="eastAsia"/>
        </w:rPr>
        <w:tab/>
      </w:r>
      <w:r>
        <w:rPr>
          <w:rFonts w:hint="eastAsia" w:ascii="华文宋体" w:hAnsi="华文宋体" w:eastAsia="华文宋体" w:cs="华文宋体"/>
          <w:kern w:val="2"/>
          <w:sz w:val="24"/>
          <w:szCs w:val="24"/>
          <w:lang w:val="en-US" w:eastAsia="zh-CN" w:bidi="ar-SA"/>
        </w:rPr>
        <w:t>407</w:t>
      </w:r>
    </w:p>
    <w:p w14:paraId="1DFF3C39">
      <w:pPr>
        <w:tabs>
          <w:tab w:val="right" w:leader="middleDot" w:pos="8295"/>
        </w:tabs>
        <w:ind w:firstLine="0" w:firstLineChars="0"/>
        <w:jc w:val="left"/>
        <w:rPr>
          <w:rFonts w:hint="eastAsia"/>
        </w:rPr>
      </w:pPr>
      <w:r>
        <w:rPr>
          <w:rFonts w:hint="eastAsia"/>
        </w:rPr>
        <w:t>北京市产权交易管理规定</w:t>
      </w:r>
      <w:r>
        <w:rPr>
          <w:rFonts w:hint="eastAsia"/>
        </w:rPr>
        <w:tab/>
      </w:r>
      <w:r>
        <w:rPr>
          <w:rFonts w:hint="eastAsia" w:ascii="华文宋体" w:hAnsi="华文宋体" w:eastAsia="华文宋体" w:cs="华文宋体"/>
          <w:kern w:val="2"/>
          <w:sz w:val="24"/>
          <w:szCs w:val="24"/>
          <w:lang w:val="en-US" w:eastAsia="zh-CN" w:bidi="ar-SA"/>
        </w:rPr>
        <w:t>686</w:t>
      </w:r>
    </w:p>
    <w:p w14:paraId="0B81BC34">
      <w:pPr>
        <w:tabs>
          <w:tab w:val="right" w:leader="middleDot" w:pos="8295"/>
        </w:tabs>
        <w:ind w:firstLine="0" w:firstLineChars="0"/>
        <w:jc w:val="left"/>
        <w:rPr>
          <w:rFonts w:hint="eastAsia"/>
        </w:rPr>
      </w:pPr>
      <w:r>
        <w:rPr>
          <w:rFonts w:hint="eastAsia"/>
        </w:rPr>
        <w:t>北京市劳动合同规定</w:t>
      </w:r>
      <w:r>
        <w:rPr>
          <w:rFonts w:hint="eastAsia"/>
        </w:rPr>
        <w:tab/>
      </w:r>
      <w:r>
        <w:rPr>
          <w:rFonts w:hint="eastAsia" w:ascii="华文宋体" w:hAnsi="华文宋体" w:eastAsia="华文宋体" w:cs="华文宋体"/>
          <w:kern w:val="2"/>
          <w:sz w:val="24"/>
          <w:szCs w:val="24"/>
          <w:lang w:val="en-US" w:eastAsia="zh-CN" w:bidi="ar-SA"/>
        </w:rPr>
        <w:t>1109</w:t>
      </w:r>
    </w:p>
    <w:p w14:paraId="555827D1">
      <w:pPr>
        <w:tabs>
          <w:tab w:val="right" w:leader="middleDot" w:pos="8295"/>
        </w:tabs>
        <w:ind w:firstLine="0" w:firstLineChars="0"/>
        <w:jc w:val="left"/>
      </w:pPr>
    </w:p>
    <w:p w14:paraId="48158125">
      <w:pPr>
        <w:tabs>
          <w:tab w:val="right" w:leader="middleDot" w:pos="8295"/>
        </w:tabs>
        <w:ind w:firstLine="0" w:firstLineChars="0"/>
        <w:jc w:val="center"/>
        <w:rPr>
          <w:rFonts w:hint="eastAsia"/>
          <w:sz w:val="28"/>
        </w:rPr>
      </w:pPr>
      <w:r>
        <w:rPr>
          <w:rFonts w:hint="eastAsia"/>
          <w:sz w:val="28"/>
        </w:rPr>
        <w:t>二零零二年</w:t>
      </w:r>
    </w:p>
    <w:p w14:paraId="31901ADA">
      <w:pPr>
        <w:tabs>
          <w:tab w:val="right" w:leader="middleDot" w:pos="8295"/>
        </w:tabs>
        <w:ind w:firstLine="0" w:firstLineChars="0"/>
        <w:jc w:val="left"/>
      </w:pPr>
    </w:p>
    <w:p w14:paraId="622A59CB">
      <w:pPr>
        <w:tabs>
          <w:tab w:val="right" w:leader="middleDot" w:pos="8295"/>
        </w:tabs>
        <w:ind w:firstLine="0" w:firstLineChars="0"/>
        <w:jc w:val="left"/>
        <w:rPr>
          <w:rFonts w:hint="eastAsia"/>
        </w:rPr>
      </w:pPr>
      <w:r>
        <w:rPr>
          <w:rFonts w:hint="eastAsia"/>
        </w:rPr>
        <w:t>北京市人民防空条例</w:t>
      </w:r>
      <w:r>
        <w:rPr>
          <w:rFonts w:hint="eastAsia"/>
        </w:rPr>
        <w:tab/>
      </w:r>
      <w:r>
        <w:rPr>
          <w:rFonts w:hint="eastAsia" w:ascii="华文宋体" w:hAnsi="华文宋体" w:eastAsia="华文宋体" w:cs="华文宋体"/>
          <w:kern w:val="2"/>
          <w:sz w:val="24"/>
          <w:szCs w:val="24"/>
          <w:lang w:val="en-US" w:eastAsia="zh-CN" w:bidi="ar-SA"/>
        </w:rPr>
        <w:t>175</w:t>
      </w:r>
    </w:p>
    <w:p w14:paraId="02DF55AA">
      <w:pPr>
        <w:tabs>
          <w:tab w:val="right" w:leader="middleDot" w:pos="8295"/>
        </w:tabs>
        <w:ind w:firstLine="0" w:firstLineChars="0"/>
        <w:jc w:val="left"/>
        <w:rPr>
          <w:rFonts w:hint="eastAsia"/>
        </w:rPr>
      </w:pPr>
      <w:r>
        <w:rPr>
          <w:rFonts w:hint="eastAsia"/>
        </w:rPr>
        <w:t>北京市宗教事务条例</w:t>
      </w:r>
      <w:r>
        <w:rPr>
          <w:rFonts w:hint="eastAsia"/>
        </w:rPr>
        <w:tab/>
      </w:r>
      <w:r>
        <w:rPr>
          <w:rFonts w:hint="eastAsia" w:ascii="华文宋体" w:hAnsi="华文宋体" w:eastAsia="华文宋体" w:cs="华文宋体"/>
          <w:kern w:val="2"/>
          <w:sz w:val="24"/>
          <w:szCs w:val="24"/>
          <w:lang w:val="en-US" w:eastAsia="zh-CN" w:bidi="ar-SA"/>
        </w:rPr>
        <w:t>104</w:t>
      </w:r>
    </w:p>
    <w:p w14:paraId="25C64CC1">
      <w:pPr>
        <w:tabs>
          <w:tab w:val="right" w:leader="middleDot" w:pos="8295"/>
        </w:tabs>
        <w:ind w:firstLine="0" w:firstLineChars="0"/>
        <w:jc w:val="left"/>
        <w:rPr>
          <w:rFonts w:hint="eastAsia"/>
        </w:rPr>
      </w:pPr>
      <w:r>
        <w:rPr>
          <w:rFonts w:hint="eastAsia"/>
        </w:rPr>
        <w:t>北京市图书馆条例</w:t>
      </w:r>
      <w:r>
        <w:rPr>
          <w:rFonts w:hint="eastAsia"/>
        </w:rPr>
        <w:tab/>
      </w:r>
      <w:r>
        <w:rPr>
          <w:rFonts w:hint="eastAsia" w:ascii="华文宋体" w:hAnsi="华文宋体" w:eastAsia="华文宋体" w:cs="华文宋体"/>
          <w:kern w:val="2"/>
          <w:sz w:val="24"/>
          <w:szCs w:val="24"/>
          <w:lang w:val="en-US" w:eastAsia="zh-CN" w:bidi="ar-SA"/>
        </w:rPr>
        <w:t>787</w:t>
      </w:r>
    </w:p>
    <w:p w14:paraId="12AB5AC6">
      <w:pPr>
        <w:tabs>
          <w:tab w:val="right" w:leader="middleDot" w:pos="8295"/>
        </w:tabs>
        <w:ind w:firstLine="0" w:firstLineChars="0"/>
        <w:jc w:val="left"/>
        <w:rPr>
          <w:rFonts w:hint="eastAsia"/>
        </w:rPr>
      </w:pPr>
      <w:r>
        <w:rPr>
          <w:rFonts w:hint="eastAsia"/>
        </w:rPr>
        <w:t>北京市技术市场条例</w:t>
      </w:r>
      <w:r>
        <w:rPr>
          <w:rFonts w:hint="eastAsia"/>
        </w:rPr>
        <w:tab/>
      </w:r>
      <w:r>
        <w:rPr>
          <w:rFonts w:hint="eastAsia" w:ascii="华文宋体" w:hAnsi="华文宋体" w:eastAsia="华文宋体" w:cs="华文宋体"/>
          <w:kern w:val="2"/>
          <w:sz w:val="24"/>
          <w:szCs w:val="24"/>
          <w:lang w:val="en-US" w:eastAsia="zh-CN" w:bidi="ar-SA"/>
        </w:rPr>
        <w:t>745</w:t>
      </w:r>
    </w:p>
    <w:p w14:paraId="1E901C32">
      <w:pPr>
        <w:tabs>
          <w:tab w:val="right" w:leader="middleDot" w:pos="8295"/>
        </w:tabs>
        <w:ind w:firstLine="0" w:firstLineChars="0"/>
        <w:jc w:val="left"/>
        <w:rPr>
          <w:rFonts w:hint="eastAsia"/>
        </w:rPr>
      </w:pPr>
      <w:r>
        <w:rPr>
          <w:rFonts w:hint="eastAsia"/>
        </w:rPr>
        <w:t>北京市市容环境卫生条例</w:t>
      </w:r>
      <w:r>
        <w:rPr>
          <w:rFonts w:hint="eastAsia"/>
        </w:rPr>
        <w:tab/>
      </w:r>
      <w:r>
        <w:rPr>
          <w:rFonts w:hint="eastAsia" w:ascii="华文宋体" w:hAnsi="华文宋体" w:eastAsia="华文宋体" w:cs="华文宋体"/>
          <w:kern w:val="2"/>
          <w:sz w:val="24"/>
          <w:szCs w:val="24"/>
          <w:lang w:val="en-US" w:eastAsia="zh-CN" w:bidi="ar-SA"/>
        </w:rPr>
        <w:t>1157</w:t>
      </w:r>
    </w:p>
    <w:p w14:paraId="63C7CBD3">
      <w:pPr>
        <w:tabs>
          <w:tab w:val="right" w:leader="middleDot" w:pos="8295"/>
        </w:tabs>
        <w:ind w:firstLine="0" w:firstLineChars="0"/>
        <w:jc w:val="left"/>
        <w:rPr>
          <w:rFonts w:hint="eastAsia"/>
        </w:rPr>
      </w:pPr>
      <w:r>
        <w:rPr>
          <w:rFonts w:hint="eastAsia"/>
        </w:rPr>
        <w:t>北京市招标投标条例</w:t>
      </w:r>
      <w:r>
        <w:rPr>
          <w:rFonts w:hint="eastAsia"/>
        </w:rPr>
        <w:tab/>
      </w:r>
      <w:r>
        <w:rPr>
          <w:rFonts w:hint="eastAsia" w:ascii="华文宋体" w:hAnsi="华文宋体" w:eastAsia="华文宋体" w:cs="华文宋体"/>
          <w:kern w:val="2"/>
          <w:sz w:val="24"/>
          <w:szCs w:val="24"/>
          <w:lang w:val="en-US" w:eastAsia="zh-CN" w:bidi="ar-SA"/>
        </w:rPr>
        <w:t>353</w:t>
      </w:r>
    </w:p>
    <w:p w14:paraId="3921A472">
      <w:pPr>
        <w:tabs>
          <w:tab w:val="right" w:leader="middleDot" w:pos="8295"/>
        </w:tabs>
        <w:ind w:firstLine="0" w:firstLineChars="0"/>
        <w:jc w:val="left"/>
        <w:rPr>
          <w:rFonts w:hint="eastAsia"/>
        </w:rPr>
      </w:pPr>
      <w:r>
        <w:rPr>
          <w:rFonts w:hint="eastAsia"/>
        </w:rPr>
        <w:t>北京市公园条例</w:t>
      </w:r>
      <w:r>
        <w:rPr>
          <w:rFonts w:hint="eastAsia"/>
        </w:rPr>
        <w:tab/>
      </w:r>
      <w:r>
        <w:rPr>
          <w:rFonts w:hint="eastAsia" w:ascii="华文宋体" w:hAnsi="华文宋体" w:eastAsia="华文宋体" w:cs="华文宋体"/>
          <w:kern w:val="2"/>
          <w:sz w:val="24"/>
          <w:szCs w:val="24"/>
          <w:lang w:val="en-US" w:eastAsia="zh-CN" w:bidi="ar-SA"/>
        </w:rPr>
        <w:t>1453</w:t>
      </w:r>
    </w:p>
    <w:p w14:paraId="0FA5C0E9">
      <w:pPr>
        <w:tabs>
          <w:tab w:val="right" w:leader="middleDot" w:pos="8295"/>
        </w:tabs>
        <w:ind w:firstLine="0" w:firstLineChars="0"/>
        <w:jc w:val="left"/>
        <w:rPr>
          <w:rFonts w:hint="eastAsia"/>
        </w:rPr>
      </w:pPr>
      <w:r>
        <w:rPr>
          <w:rFonts w:hint="eastAsia"/>
        </w:rPr>
        <w:t>北京市科学技术奖励办法</w:t>
      </w:r>
      <w:r>
        <w:rPr>
          <w:rFonts w:hint="eastAsia"/>
        </w:rPr>
        <w:tab/>
      </w:r>
      <w:r>
        <w:rPr>
          <w:rFonts w:hint="eastAsia" w:ascii="华文宋体" w:hAnsi="华文宋体" w:eastAsia="华文宋体" w:cs="华文宋体"/>
          <w:kern w:val="2"/>
          <w:sz w:val="24"/>
          <w:szCs w:val="24"/>
          <w:lang w:val="en-US" w:eastAsia="zh-CN" w:bidi="ar-SA"/>
        </w:rPr>
        <w:t>759</w:t>
      </w:r>
    </w:p>
    <w:p w14:paraId="24A153DE">
      <w:pPr>
        <w:tabs>
          <w:tab w:val="right" w:leader="middleDot" w:pos="8295"/>
        </w:tabs>
        <w:ind w:firstLine="0" w:firstLineChars="0"/>
        <w:jc w:val="left"/>
        <w:rPr>
          <w:rFonts w:hint="eastAsia"/>
        </w:rPr>
      </w:pPr>
      <w:r>
        <w:rPr>
          <w:rFonts w:hint="eastAsia"/>
        </w:rPr>
        <w:t>北京市人民政府规章制定办法</w:t>
      </w:r>
      <w:r>
        <w:rPr>
          <w:rFonts w:hint="eastAsia"/>
        </w:rPr>
        <w:tab/>
      </w:r>
      <w:r>
        <w:rPr>
          <w:rFonts w:hint="eastAsia" w:ascii="华文宋体" w:hAnsi="华文宋体" w:eastAsia="华文宋体" w:cs="华文宋体"/>
          <w:kern w:val="2"/>
          <w:sz w:val="24"/>
          <w:szCs w:val="24"/>
          <w:lang w:val="en-US" w:eastAsia="zh-CN" w:bidi="ar-SA"/>
        </w:rPr>
        <w:t>92</w:t>
      </w:r>
    </w:p>
    <w:p w14:paraId="24796D8E">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北京市非机动车停车管理办法</w:t>
      </w:r>
      <w:r>
        <w:rPr>
          <w:rFonts w:hint="eastAsia"/>
        </w:rPr>
        <w:tab/>
      </w:r>
      <w:r>
        <w:rPr>
          <w:rFonts w:hint="eastAsia" w:ascii="华文宋体" w:hAnsi="华文宋体" w:eastAsia="华文宋体" w:cs="华文宋体"/>
          <w:kern w:val="2"/>
          <w:sz w:val="24"/>
          <w:szCs w:val="24"/>
          <w:lang w:val="en-US" w:eastAsia="zh-CN" w:bidi="ar-SA"/>
        </w:rPr>
        <w:t>294</w:t>
      </w:r>
    </w:p>
    <w:p w14:paraId="75720137">
      <w:pPr>
        <w:tabs>
          <w:tab w:val="right" w:leader="middleDot" w:pos="8295"/>
        </w:tabs>
        <w:ind w:firstLine="0" w:firstLineChars="0"/>
        <w:jc w:val="left"/>
        <w:rPr>
          <w:rFonts w:hint="eastAsia"/>
        </w:rPr>
      </w:pPr>
      <w:r>
        <w:rPr>
          <w:rFonts w:hint="eastAsia"/>
        </w:rPr>
        <w:t>北京市违反土地管理规定行政责任追究办法</w:t>
      </w:r>
      <w:r>
        <w:rPr>
          <w:rFonts w:hint="eastAsia"/>
        </w:rPr>
        <w:tab/>
      </w:r>
      <w:r>
        <w:rPr>
          <w:rFonts w:hint="eastAsia" w:ascii="华文宋体" w:hAnsi="华文宋体" w:eastAsia="华文宋体" w:cs="华文宋体"/>
          <w:kern w:val="2"/>
          <w:sz w:val="24"/>
          <w:szCs w:val="24"/>
          <w:lang w:val="en-US" w:eastAsia="zh-CN" w:bidi="ar-SA"/>
        </w:rPr>
        <w:t>1357</w:t>
      </w:r>
    </w:p>
    <w:p w14:paraId="319D367D">
      <w:pPr>
        <w:tabs>
          <w:tab w:val="right" w:leader="middleDot" w:pos="8295"/>
        </w:tabs>
        <w:ind w:firstLine="0" w:firstLineChars="0"/>
        <w:jc w:val="left"/>
        <w:rPr>
          <w:rFonts w:hint="eastAsia"/>
        </w:rPr>
      </w:pPr>
      <w:r>
        <w:rPr>
          <w:rFonts w:hint="eastAsia"/>
        </w:rPr>
        <w:t>北京市明十三陵保护管理办法</w:t>
      </w:r>
      <w:r>
        <w:rPr>
          <w:rFonts w:hint="eastAsia"/>
        </w:rPr>
        <w:tab/>
      </w:r>
      <w:r>
        <w:rPr>
          <w:rFonts w:hint="eastAsia" w:ascii="华文宋体" w:hAnsi="华文宋体" w:eastAsia="华文宋体" w:cs="华文宋体"/>
          <w:kern w:val="2"/>
          <w:sz w:val="24"/>
          <w:szCs w:val="24"/>
          <w:lang w:val="en-US" w:eastAsia="zh-CN" w:bidi="ar-SA"/>
        </w:rPr>
        <w:t>821</w:t>
      </w:r>
    </w:p>
    <w:p w14:paraId="6CA6FA60">
      <w:pPr>
        <w:tabs>
          <w:tab w:val="right" w:leader="middleDot" w:pos="8295"/>
        </w:tabs>
        <w:ind w:firstLine="0" w:firstLineChars="0"/>
        <w:jc w:val="left"/>
        <w:rPr>
          <w:rFonts w:hint="eastAsia"/>
        </w:rPr>
      </w:pPr>
      <w:r>
        <w:rPr>
          <w:rFonts w:hint="eastAsia"/>
        </w:rPr>
        <w:t>北京市防御雷电灾害若干规定</w:t>
      </w:r>
      <w:r>
        <w:rPr>
          <w:rFonts w:hint="eastAsia"/>
        </w:rPr>
        <w:tab/>
      </w:r>
      <w:r>
        <w:rPr>
          <w:rFonts w:hint="eastAsia" w:ascii="华文宋体" w:hAnsi="华文宋体" w:eastAsia="华文宋体" w:cs="华文宋体"/>
          <w:kern w:val="2"/>
          <w:sz w:val="24"/>
          <w:szCs w:val="24"/>
          <w:lang w:val="en-US" w:eastAsia="zh-CN" w:bidi="ar-SA"/>
        </w:rPr>
        <w:t>1524</w:t>
      </w:r>
    </w:p>
    <w:p w14:paraId="7AA99E33">
      <w:pPr>
        <w:tabs>
          <w:tab w:val="right" w:leader="middleDot" w:pos="8295"/>
        </w:tabs>
        <w:ind w:firstLine="0" w:firstLineChars="0"/>
        <w:jc w:val="left"/>
        <w:rPr>
          <w:rFonts w:hint="eastAsia"/>
        </w:rPr>
      </w:pPr>
      <w:r>
        <w:rPr>
          <w:rFonts w:hint="eastAsia"/>
        </w:rPr>
        <w:t>北京市传统工艺美术保护办法</w:t>
      </w:r>
      <w:r>
        <w:rPr>
          <w:rFonts w:hint="eastAsia"/>
        </w:rPr>
        <w:tab/>
      </w:r>
      <w:r>
        <w:rPr>
          <w:rFonts w:hint="eastAsia" w:ascii="华文宋体" w:hAnsi="华文宋体" w:eastAsia="华文宋体" w:cs="华文宋体"/>
          <w:kern w:val="2"/>
          <w:sz w:val="24"/>
          <w:szCs w:val="24"/>
          <w:lang w:val="en-US" w:eastAsia="zh-CN" w:bidi="ar-SA"/>
        </w:rPr>
        <w:t>792</w:t>
      </w:r>
    </w:p>
    <w:p w14:paraId="368517A0">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北京市行政机关归集和公布企业信用信息管理办法</w:t>
      </w:r>
      <w:r>
        <w:rPr>
          <w:rFonts w:hint="eastAsia"/>
        </w:rPr>
        <w:tab/>
      </w:r>
      <w:r>
        <w:rPr>
          <w:rFonts w:hint="eastAsia" w:ascii="华文宋体" w:hAnsi="华文宋体" w:eastAsia="华文宋体" w:cs="华文宋体"/>
          <w:kern w:val="2"/>
          <w:sz w:val="24"/>
          <w:szCs w:val="24"/>
          <w:lang w:val="en-US" w:eastAsia="zh-CN" w:bidi="ar-SA"/>
        </w:rPr>
        <w:t>633</w:t>
      </w:r>
    </w:p>
    <w:p w14:paraId="64DF66B6">
      <w:pPr>
        <w:tabs>
          <w:tab w:val="right" w:leader="middleDot" w:pos="8295"/>
        </w:tabs>
        <w:ind w:firstLine="0" w:firstLineChars="0"/>
        <w:jc w:val="left"/>
        <w:rPr>
          <w:rFonts w:hint="eastAsia"/>
        </w:rPr>
      </w:pPr>
      <w:r>
        <w:rPr>
          <w:rFonts w:hint="eastAsia"/>
        </w:rPr>
        <w:t>北京市摩托车报废管理办法</w:t>
      </w:r>
      <w:r>
        <w:rPr>
          <w:rFonts w:hint="eastAsia"/>
        </w:rPr>
        <w:tab/>
      </w:r>
      <w:r>
        <w:rPr>
          <w:rFonts w:hint="eastAsia" w:ascii="华文宋体" w:hAnsi="华文宋体" w:eastAsia="华文宋体" w:cs="华文宋体"/>
          <w:kern w:val="2"/>
          <w:sz w:val="24"/>
          <w:szCs w:val="24"/>
          <w:lang w:val="en-US" w:eastAsia="zh-CN" w:bidi="ar-SA"/>
        </w:rPr>
        <w:t>609</w:t>
      </w:r>
    </w:p>
    <w:p w14:paraId="184EED6E">
      <w:pPr>
        <w:tabs>
          <w:tab w:val="right" w:leader="middleDot" w:pos="8295"/>
        </w:tabs>
        <w:ind w:firstLine="0" w:firstLineChars="0"/>
        <w:jc w:val="left"/>
        <w:rPr>
          <w:rFonts w:hint="eastAsia"/>
        </w:rPr>
      </w:pPr>
      <w:r>
        <w:rPr>
          <w:rFonts w:hint="eastAsia"/>
        </w:rPr>
        <w:t>北京市邮政通信设施建设与使用管理规定</w:t>
      </w:r>
      <w:r>
        <w:rPr>
          <w:rFonts w:hint="eastAsia"/>
        </w:rPr>
        <w:tab/>
      </w:r>
      <w:r>
        <w:rPr>
          <w:rFonts w:hint="eastAsia" w:ascii="华文宋体" w:hAnsi="华文宋体" w:eastAsia="华文宋体" w:cs="华文宋体"/>
          <w:kern w:val="2"/>
          <w:sz w:val="24"/>
          <w:szCs w:val="24"/>
          <w:lang w:val="en-US" w:eastAsia="zh-CN" w:bidi="ar-SA"/>
        </w:rPr>
        <w:t>342</w:t>
      </w:r>
    </w:p>
    <w:p w14:paraId="24F5D9E3">
      <w:pPr>
        <w:tabs>
          <w:tab w:val="right" w:leader="middleDot" w:pos="8295"/>
        </w:tabs>
        <w:ind w:firstLine="0" w:firstLineChars="0"/>
        <w:jc w:val="left"/>
        <w:rPr>
          <w:rFonts w:hint="eastAsia"/>
        </w:rPr>
      </w:pPr>
      <w:r>
        <w:rPr>
          <w:rFonts w:hint="eastAsia"/>
        </w:rPr>
        <w:t>北京市社会抚养费征收管理办法</w:t>
      </w:r>
      <w:r>
        <w:rPr>
          <w:rFonts w:hint="eastAsia"/>
        </w:rPr>
        <w:tab/>
      </w:r>
      <w:r>
        <w:rPr>
          <w:rFonts w:hint="eastAsia" w:ascii="华文宋体" w:hAnsi="华文宋体" w:eastAsia="华文宋体" w:cs="华文宋体"/>
          <w:kern w:val="2"/>
          <w:sz w:val="24"/>
          <w:szCs w:val="24"/>
          <w:lang w:val="en-US" w:eastAsia="zh-CN" w:bidi="ar-SA"/>
        </w:rPr>
        <w:t>1276</w:t>
      </w:r>
    </w:p>
    <w:p w14:paraId="319F7EB8">
      <w:pPr>
        <w:tabs>
          <w:tab w:val="right" w:leader="middleDot" w:pos="8295"/>
        </w:tabs>
        <w:ind w:firstLine="0" w:firstLineChars="0"/>
        <w:jc w:val="left"/>
        <w:rPr>
          <w:rFonts w:hint="eastAsia"/>
        </w:rPr>
      </w:pPr>
      <w:r>
        <w:rPr>
          <w:rFonts w:hint="eastAsia"/>
        </w:rPr>
        <w:t>北京市食品安全监督管理规定</w:t>
      </w:r>
      <w:r>
        <w:rPr>
          <w:rFonts w:hint="eastAsia"/>
        </w:rPr>
        <w:tab/>
      </w:r>
      <w:r>
        <w:rPr>
          <w:rFonts w:hint="eastAsia" w:ascii="华文宋体" w:hAnsi="华文宋体" w:eastAsia="华文宋体" w:cs="华文宋体"/>
          <w:kern w:val="2"/>
          <w:sz w:val="24"/>
          <w:szCs w:val="24"/>
          <w:lang w:val="en-US" w:eastAsia="zh-CN" w:bidi="ar-SA"/>
        </w:rPr>
        <w:t>1303</w:t>
      </w:r>
    </w:p>
    <w:p w14:paraId="30A2FDE6">
      <w:pPr>
        <w:tabs>
          <w:tab w:val="right" w:leader="middleDot" w:pos="8295"/>
        </w:tabs>
        <w:ind w:firstLine="0" w:firstLineChars="0"/>
        <w:jc w:val="left"/>
      </w:pPr>
    </w:p>
    <w:p w14:paraId="182D477A">
      <w:pPr>
        <w:tabs>
          <w:tab w:val="right" w:leader="middleDot" w:pos="8295"/>
        </w:tabs>
        <w:ind w:firstLine="0" w:firstLineChars="0"/>
        <w:jc w:val="center"/>
        <w:rPr>
          <w:rFonts w:hint="eastAsia"/>
          <w:sz w:val="28"/>
        </w:rPr>
      </w:pPr>
      <w:r>
        <w:rPr>
          <w:rFonts w:hint="eastAsia"/>
          <w:sz w:val="28"/>
        </w:rPr>
        <w:t>二零零三年</w:t>
      </w:r>
    </w:p>
    <w:p w14:paraId="4CBB350C">
      <w:pPr>
        <w:tabs>
          <w:tab w:val="right" w:leader="middleDot" w:pos="8295"/>
        </w:tabs>
        <w:ind w:firstLine="0" w:firstLineChars="0"/>
        <w:jc w:val="left"/>
      </w:pPr>
    </w:p>
    <w:p w14:paraId="45EB5385">
      <w:pPr>
        <w:tabs>
          <w:tab w:val="right" w:leader="middleDot" w:pos="8295"/>
        </w:tabs>
        <w:ind w:firstLine="0" w:firstLineChars="0"/>
        <w:jc w:val="left"/>
        <w:rPr>
          <w:rFonts w:hint="eastAsia"/>
        </w:rPr>
      </w:pPr>
      <w:r>
        <w:rPr>
          <w:rFonts w:hint="eastAsia"/>
        </w:rPr>
        <w:t>北京市征兵工作条例</w:t>
      </w:r>
      <w:r>
        <w:rPr>
          <w:rFonts w:hint="eastAsia"/>
        </w:rPr>
        <w:tab/>
      </w:r>
      <w:r>
        <w:rPr>
          <w:rFonts w:hint="eastAsia" w:ascii="华文宋体" w:hAnsi="华文宋体" w:eastAsia="华文宋体" w:cs="华文宋体"/>
          <w:kern w:val="2"/>
          <w:sz w:val="24"/>
          <w:szCs w:val="24"/>
          <w:lang w:val="en-US" w:eastAsia="zh-CN" w:bidi="ar-SA"/>
        </w:rPr>
        <w:t>181</w:t>
      </w:r>
    </w:p>
    <w:p w14:paraId="39585678">
      <w:pPr>
        <w:tabs>
          <w:tab w:val="right" w:leader="middleDot" w:pos="8295"/>
        </w:tabs>
        <w:ind w:firstLine="0" w:firstLineChars="0"/>
        <w:jc w:val="left"/>
        <w:rPr>
          <w:rFonts w:hint="eastAsia"/>
        </w:rPr>
      </w:pPr>
      <w:r>
        <w:rPr>
          <w:rFonts w:hint="eastAsia"/>
        </w:rPr>
        <w:t>北京市实施《中华人民共和国国家通用语言文字法》若干规定</w:t>
      </w:r>
      <w:r>
        <w:rPr>
          <w:rFonts w:hint="eastAsia"/>
        </w:rPr>
        <w:tab/>
      </w:r>
      <w:r>
        <w:rPr>
          <w:rFonts w:hint="eastAsia" w:ascii="华文宋体" w:hAnsi="华文宋体" w:eastAsia="华文宋体" w:cs="华文宋体"/>
          <w:kern w:val="2"/>
          <w:sz w:val="24"/>
          <w:szCs w:val="24"/>
          <w:lang w:val="en-US" w:eastAsia="zh-CN" w:bidi="ar-SA"/>
        </w:rPr>
        <w:t>721</w:t>
      </w:r>
    </w:p>
    <w:p w14:paraId="73E341C7">
      <w:pPr>
        <w:tabs>
          <w:tab w:val="right" w:leader="middleDot" w:pos="8295"/>
        </w:tabs>
        <w:ind w:firstLine="0" w:firstLineChars="0"/>
        <w:jc w:val="left"/>
        <w:rPr>
          <w:rFonts w:hint="eastAsia"/>
        </w:rPr>
      </w:pPr>
      <w:r>
        <w:rPr>
          <w:rFonts w:hint="eastAsia"/>
        </w:rPr>
        <w:t>北京市预防和查处窃电行为条例</w:t>
      </w:r>
      <w:r>
        <w:rPr>
          <w:rFonts w:hint="eastAsia"/>
        </w:rPr>
        <w:tab/>
      </w:r>
      <w:r>
        <w:rPr>
          <w:rFonts w:hint="eastAsia" w:ascii="华文宋体" w:hAnsi="华文宋体" w:eastAsia="华文宋体" w:cs="华文宋体"/>
          <w:kern w:val="2"/>
          <w:sz w:val="24"/>
          <w:szCs w:val="24"/>
          <w:lang w:val="en-US" w:eastAsia="zh-CN" w:bidi="ar-SA"/>
        </w:rPr>
        <w:t>880</w:t>
      </w:r>
    </w:p>
    <w:p w14:paraId="46EA03B0">
      <w:pPr>
        <w:tabs>
          <w:tab w:val="right" w:leader="middleDot" w:pos="8295"/>
        </w:tabs>
        <w:ind w:firstLine="0" w:firstLineChars="0"/>
        <w:jc w:val="left"/>
        <w:rPr>
          <w:rFonts w:hint="eastAsia"/>
        </w:rPr>
      </w:pPr>
      <w:r>
        <w:rPr>
          <w:rFonts w:hint="eastAsia"/>
        </w:rPr>
        <w:t>北京市人口与计划生育条例</w:t>
      </w:r>
      <w:r>
        <w:rPr>
          <w:rFonts w:hint="eastAsia"/>
        </w:rPr>
        <w:tab/>
      </w:r>
      <w:r>
        <w:rPr>
          <w:rFonts w:hint="eastAsia" w:ascii="华文宋体" w:hAnsi="华文宋体" w:eastAsia="华文宋体" w:cs="华文宋体"/>
          <w:kern w:val="2"/>
          <w:sz w:val="24"/>
          <w:szCs w:val="24"/>
          <w:lang w:val="en-US" w:eastAsia="zh-CN" w:bidi="ar-SA"/>
        </w:rPr>
        <w:t>1250</w:t>
      </w:r>
    </w:p>
    <w:p w14:paraId="473DD41D">
      <w:pPr>
        <w:tabs>
          <w:tab w:val="right" w:leader="middleDot" w:pos="8295"/>
        </w:tabs>
        <w:ind w:firstLine="0" w:firstLineChars="0"/>
        <w:jc w:val="left"/>
        <w:rPr>
          <w:rFonts w:hint="eastAsia"/>
        </w:rPr>
      </w:pPr>
      <w:r>
        <w:rPr>
          <w:rFonts w:hint="eastAsia"/>
        </w:rPr>
        <w:t>北京市中小学生人身伤害事故预防与处理条例</w:t>
      </w:r>
      <w:r>
        <w:rPr>
          <w:rFonts w:hint="eastAsia"/>
        </w:rPr>
        <w:tab/>
      </w:r>
      <w:r>
        <w:rPr>
          <w:rFonts w:hint="eastAsia" w:ascii="华文宋体" w:hAnsi="华文宋体" w:eastAsia="华文宋体" w:cs="华文宋体"/>
          <w:kern w:val="2"/>
          <w:sz w:val="24"/>
          <w:szCs w:val="24"/>
          <w:lang w:val="en-US" w:eastAsia="zh-CN" w:bidi="ar-SA"/>
        </w:rPr>
        <w:t>883</w:t>
      </w:r>
    </w:p>
    <w:p w14:paraId="5B44BA8F">
      <w:pPr>
        <w:tabs>
          <w:tab w:val="right" w:leader="middleDot" w:pos="8295"/>
        </w:tabs>
        <w:ind w:firstLine="0" w:firstLineChars="0"/>
        <w:jc w:val="left"/>
        <w:rPr>
          <w:rFonts w:hint="eastAsia"/>
        </w:rPr>
      </w:pPr>
      <w:r>
        <w:rPr>
          <w:rFonts w:hint="eastAsia"/>
        </w:rPr>
        <w:t>北京市养犬管理规定</w:t>
      </w:r>
      <w:r>
        <w:rPr>
          <w:rFonts w:hint="eastAsia"/>
        </w:rPr>
        <w:tab/>
      </w:r>
      <w:r>
        <w:rPr>
          <w:rFonts w:hint="eastAsia" w:ascii="华文宋体" w:hAnsi="华文宋体" w:eastAsia="华文宋体" w:cs="华文宋体"/>
          <w:kern w:val="2"/>
          <w:sz w:val="24"/>
          <w:szCs w:val="24"/>
          <w:lang w:val="en-US" w:eastAsia="zh-CN" w:bidi="ar-SA"/>
        </w:rPr>
        <w:t>888</w:t>
      </w:r>
    </w:p>
    <w:p w14:paraId="1D98BBAA">
      <w:pPr>
        <w:tabs>
          <w:tab w:val="right" w:leader="middleDot" w:pos="8295"/>
        </w:tabs>
        <w:ind w:firstLine="0" w:firstLineChars="0"/>
        <w:jc w:val="left"/>
        <w:rPr>
          <w:rFonts w:hint="eastAsia"/>
        </w:rPr>
      </w:pPr>
      <w:r>
        <w:rPr>
          <w:rFonts w:hint="eastAsia"/>
        </w:rPr>
        <w:t>北京市测绘条例</w:t>
      </w:r>
      <w:r>
        <w:rPr>
          <w:rFonts w:hint="eastAsia"/>
        </w:rPr>
        <w:tab/>
      </w:r>
      <w:r>
        <w:rPr>
          <w:rFonts w:hint="eastAsia" w:ascii="华文宋体" w:hAnsi="华文宋体" w:eastAsia="华文宋体" w:cs="华文宋体"/>
          <w:kern w:val="2"/>
          <w:sz w:val="24"/>
          <w:szCs w:val="24"/>
          <w:lang w:val="en-US" w:eastAsia="zh-CN" w:bidi="ar-SA"/>
        </w:rPr>
        <w:t>1339</w:t>
      </w:r>
    </w:p>
    <w:p w14:paraId="1AD84BAB">
      <w:pPr>
        <w:tabs>
          <w:tab w:val="right" w:leader="middleDot" w:pos="8295"/>
        </w:tabs>
        <w:ind w:firstLine="0" w:firstLineChars="0"/>
        <w:jc w:val="left"/>
        <w:rPr>
          <w:rFonts w:hint="eastAsia"/>
        </w:rPr>
      </w:pPr>
      <w:r>
        <w:rPr>
          <w:rFonts w:hint="eastAsia"/>
        </w:rPr>
        <w:t>北京市人事争议仲裁办法</w:t>
      </w:r>
      <w:r>
        <w:rPr>
          <w:rFonts w:hint="eastAsia"/>
        </w:rPr>
        <w:tab/>
      </w:r>
      <w:r>
        <w:rPr>
          <w:rFonts w:hint="eastAsia" w:ascii="华文宋体" w:hAnsi="华文宋体" w:eastAsia="华文宋体" w:cs="华文宋体"/>
          <w:kern w:val="2"/>
          <w:sz w:val="24"/>
          <w:szCs w:val="24"/>
          <w:lang w:val="en-US" w:eastAsia="zh-CN" w:bidi="ar-SA"/>
        </w:rPr>
        <w:t>206</w:t>
      </w:r>
    </w:p>
    <w:p w14:paraId="5F50FAFD">
      <w:pPr>
        <w:tabs>
          <w:tab w:val="right" w:leader="middleDot" w:pos="8295"/>
        </w:tabs>
        <w:ind w:firstLine="0" w:firstLineChars="0"/>
        <w:jc w:val="left"/>
        <w:rPr>
          <w:rFonts w:hint="eastAsia"/>
        </w:rPr>
      </w:pPr>
      <w:r>
        <w:rPr>
          <w:rFonts w:hint="eastAsia"/>
        </w:rPr>
        <w:t>北京市建设工程招标投标监督管理规定</w:t>
      </w:r>
      <w:r>
        <w:rPr>
          <w:rFonts w:hint="eastAsia"/>
        </w:rPr>
        <w:tab/>
      </w:r>
      <w:r>
        <w:rPr>
          <w:rFonts w:hint="eastAsia" w:ascii="华文宋体" w:hAnsi="华文宋体" w:eastAsia="华文宋体" w:cs="华文宋体"/>
          <w:kern w:val="2"/>
          <w:sz w:val="24"/>
          <w:szCs w:val="24"/>
          <w:lang w:val="en-US" w:eastAsia="zh-CN" w:bidi="ar-SA"/>
        </w:rPr>
        <w:t>410</w:t>
      </w:r>
    </w:p>
    <w:p w14:paraId="20027525">
      <w:pPr>
        <w:tabs>
          <w:tab w:val="right" w:leader="middleDot" w:pos="8295"/>
        </w:tabs>
        <w:ind w:firstLine="0" w:firstLineChars="0"/>
        <w:jc w:val="left"/>
        <w:rPr>
          <w:rFonts w:hint="eastAsia"/>
        </w:rPr>
      </w:pPr>
      <w:r>
        <w:rPr>
          <w:rFonts w:hint="eastAsia"/>
        </w:rPr>
        <w:t>北京市集体土地房屋拆迁管理办法</w:t>
      </w:r>
      <w:r>
        <w:rPr>
          <w:rFonts w:hint="eastAsia"/>
        </w:rPr>
        <w:tab/>
      </w:r>
      <w:r>
        <w:rPr>
          <w:rFonts w:hint="eastAsia" w:ascii="华文宋体" w:hAnsi="华文宋体" w:eastAsia="华文宋体" w:cs="华文宋体"/>
          <w:kern w:val="2"/>
          <w:sz w:val="24"/>
          <w:szCs w:val="24"/>
          <w:lang w:val="en-US" w:eastAsia="zh-CN" w:bidi="ar-SA"/>
        </w:rPr>
        <w:t>457</w:t>
      </w:r>
    </w:p>
    <w:p w14:paraId="73E0FF0E">
      <w:pPr>
        <w:tabs>
          <w:tab w:val="right" w:leader="middleDot" w:pos="8295"/>
        </w:tabs>
        <w:ind w:firstLine="0" w:firstLineChars="0"/>
        <w:jc w:val="left"/>
        <w:rPr>
          <w:rFonts w:hint="eastAsia"/>
        </w:rPr>
      </w:pPr>
      <w:r>
        <w:rPr>
          <w:rFonts w:hint="eastAsia"/>
        </w:rPr>
        <w:t>北京市长城保护管理办法</w:t>
      </w:r>
      <w:r>
        <w:rPr>
          <w:rFonts w:hint="eastAsia"/>
        </w:rPr>
        <w:tab/>
      </w:r>
      <w:r>
        <w:rPr>
          <w:rFonts w:hint="eastAsia" w:ascii="华文宋体" w:hAnsi="华文宋体" w:eastAsia="华文宋体" w:cs="华文宋体"/>
          <w:kern w:val="2"/>
          <w:sz w:val="24"/>
          <w:szCs w:val="24"/>
          <w:lang w:val="en-US" w:eastAsia="zh-CN" w:bidi="ar-SA"/>
        </w:rPr>
        <w:t>823</w:t>
      </w:r>
    </w:p>
    <w:p w14:paraId="4897B6CB">
      <w:pPr>
        <w:tabs>
          <w:tab w:val="right" w:leader="middleDot" w:pos="8295"/>
        </w:tabs>
        <w:ind w:firstLine="0" w:firstLineChars="0"/>
        <w:jc w:val="left"/>
        <w:rPr>
          <w:rFonts w:hint="eastAsia"/>
        </w:rPr>
      </w:pPr>
      <w:r>
        <w:rPr>
          <w:rFonts w:hint="eastAsia"/>
        </w:rPr>
        <w:t>北京市社会保险费征缴若干规定</w:t>
      </w:r>
      <w:r>
        <w:rPr>
          <w:rFonts w:hint="eastAsia"/>
        </w:rPr>
        <w:tab/>
      </w:r>
      <w:r>
        <w:rPr>
          <w:rFonts w:hint="eastAsia" w:ascii="华文宋体" w:hAnsi="华文宋体" w:eastAsia="华文宋体" w:cs="华文宋体"/>
          <w:kern w:val="2"/>
          <w:sz w:val="24"/>
          <w:szCs w:val="24"/>
          <w:lang w:val="en-US" w:eastAsia="zh-CN" w:bidi="ar-SA"/>
        </w:rPr>
        <w:t>1137</w:t>
      </w:r>
    </w:p>
    <w:p w14:paraId="68E9FDF4">
      <w:pPr>
        <w:tabs>
          <w:tab w:val="right" w:leader="middleDot" w:pos="8295"/>
        </w:tabs>
        <w:ind w:firstLine="0" w:firstLineChars="0"/>
        <w:jc w:val="left"/>
        <w:rPr>
          <w:rFonts w:hint="eastAsia"/>
        </w:rPr>
      </w:pPr>
      <w:r>
        <w:rPr>
          <w:rFonts w:hint="eastAsia"/>
        </w:rPr>
        <w:t>北京市城市建设档案管理办法</w:t>
      </w:r>
      <w:r>
        <w:rPr>
          <w:rFonts w:hint="eastAsia"/>
        </w:rPr>
        <w:tab/>
      </w:r>
      <w:r>
        <w:rPr>
          <w:rFonts w:hint="eastAsia" w:ascii="华文宋体" w:hAnsi="华文宋体" w:eastAsia="华文宋体" w:cs="华文宋体"/>
          <w:kern w:val="2"/>
          <w:sz w:val="24"/>
          <w:szCs w:val="24"/>
          <w:lang w:val="en-US" w:eastAsia="zh-CN" w:bidi="ar-SA"/>
        </w:rPr>
        <w:t>413</w:t>
      </w:r>
    </w:p>
    <w:p w14:paraId="2F78D611">
      <w:pPr>
        <w:tabs>
          <w:tab w:val="right" w:leader="middleDot" w:pos="8295"/>
        </w:tabs>
        <w:ind w:firstLine="0" w:firstLineChars="0"/>
        <w:jc w:val="left"/>
        <w:rPr>
          <w:rFonts w:hint="eastAsia"/>
        </w:rPr>
      </w:pPr>
      <w:r>
        <w:rPr>
          <w:rFonts w:hint="eastAsia"/>
        </w:rPr>
        <w:t>北京市住宅区及住宅安全防范设施建设和使用管理办法</w:t>
      </w:r>
      <w:r>
        <w:rPr>
          <w:rFonts w:hint="eastAsia"/>
        </w:rPr>
        <w:tab/>
      </w:r>
      <w:r>
        <w:rPr>
          <w:rFonts w:hint="eastAsia" w:ascii="华文宋体" w:hAnsi="华文宋体" w:eastAsia="华文宋体" w:cs="华文宋体"/>
          <w:kern w:val="2"/>
          <w:sz w:val="24"/>
          <w:szCs w:val="24"/>
          <w:lang w:val="en-US" w:eastAsia="zh-CN" w:bidi="ar-SA"/>
        </w:rPr>
        <w:t>461</w:t>
      </w:r>
    </w:p>
    <w:p w14:paraId="74984A2E">
      <w:pPr>
        <w:tabs>
          <w:tab w:val="right" w:leader="middleDot" w:pos="8295"/>
        </w:tabs>
        <w:ind w:firstLine="0" w:firstLineChars="0"/>
        <w:jc w:val="left"/>
        <w:rPr>
          <w:rFonts w:hint="eastAsia"/>
        </w:rPr>
      </w:pPr>
      <w:r>
        <w:rPr>
          <w:rFonts w:hint="eastAsia"/>
        </w:rPr>
        <w:t>《北京市森林资源保护管理条例》实施办法</w:t>
      </w:r>
      <w:r>
        <w:rPr>
          <w:rFonts w:hint="eastAsia"/>
        </w:rPr>
        <w:tab/>
      </w:r>
      <w:r>
        <w:rPr>
          <w:rFonts w:hint="eastAsia" w:ascii="华文宋体" w:hAnsi="华文宋体" w:eastAsia="华文宋体" w:cs="华文宋体"/>
          <w:kern w:val="2"/>
          <w:sz w:val="24"/>
          <w:szCs w:val="24"/>
          <w:lang w:val="en-US" w:eastAsia="zh-CN" w:bidi="ar-SA"/>
        </w:rPr>
        <w:t>1404</w:t>
      </w:r>
    </w:p>
    <w:p w14:paraId="6F0BACC0">
      <w:pPr>
        <w:tabs>
          <w:tab w:val="right" w:leader="middleDot" w:pos="8295"/>
        </w:tabs>
        <w:ind w:firstLine="0" w:firstLineChars="0"/>
        <w:jc w:val="left"/>
        <w:rPr>
          <w:rFonts w:hint="eastAsia"/>
        </w:rPr>
      </w:pPr>
      <w:r>
        <w:rPr>
          <w:rFonts w:hint="eastAsia"/>
        </w:rPr>
        <w:t>北京市城市房地产转让管理办法</w:t>
      </w:r>
      <w:r>
        <w:rPr>
          <w:rFonts w:hint="eastAsia"/>
        </w:rPr>
        <w:tab/>
      </w:r>
      <w:r>
        <w:rPr>
          <w:rFonts w:hint="eastAsia" w:ascii="华文宋体" w:hAnsi="华文宋体" w:eastAsia="华文宋体" w:cs="华文宋体"/>
          <w:kern w:val="2"/>
          <w:sz w:val="24"/>
          <w:szCs w:val="24"/>
          <w:lang w:val="en-US" w:eastAsia="zh-CN" w:bidi="ar-SA"/>
        </w:rPr>
        <w:t>463</w:t>
      </w:r>
    </w:p>
    <w:p w14:paraId="5DEF5C4C">
      <w:pPr>
        <w:tabs>
          <w:tab w:val="right" w:leader="middleDot" w:pos="8295"/>
        </w:tabs>
        <w:ind w:firstLine="0" w:firstLineChars="0"/>
        <w:jc w:val="left"/>
        <w:rPr>
          <w:rFonts w:hint="eastAsia"/>
        </w:rPr>
      </w:pPr>
      <w:r>
        <w:rPr>
          <w:rFonts w:hint="eastAsia"/>
        </w:rPr>
        <w:t>北京市养犬登记和年检管理办法</w:t>
      </w:r>
      <w:r>
        <w:rPr>
          <w:rFonts w:hint="eastAsia"/>
        </w:rPr>
        <w:tab/>
      </w:r>
      <w:r>
        <w:rPr>
          <w:rFonts w:hint="eastAsia" w:ascii="华文宋体" w:hAnsi="华文宋体" w:eastAsia="华文宋体" w:cs="华文宋体"/>
          <w:kern w:val="2"/>
          <w:sz w:val="24"/>
          <w:szCs w:val="24"/>
          <w:lang w:val="en-US" w:eastAsia="zh-CN" w:bidi="ar-SA"/>
        </w:rPr>
        <w:t>927</w:t>
      </w:r>
    </w:p>
    <w:p w14:paraId="1AADDE13">
      <w:pPr>
        <w:tabs>
          <w:tab w:val="right" w:leader="middleDot" w:pos="8295"/>
        </w:tabs>
        <w:ind w:firstLine="0" w:firstLineChars="0"/>
        <w:jc w:val="left"/>
        <w:rPr>
          <w:rFonts w:hint="eastAsia"/>
        </w:rPr>
      </w:pPr>
      <w:r>
        <w:rPr>
          <w:rFonts w:hint="eastAsia"/>
        </w:rPr>
        <w:t>北京市实施《婚姻登记条例》若干规定</w:t>
      </w:r>
      <w:r>
        <w:rPr>
          <w:rFonts w:hint="eastAsia"/>
        </w:rPr>
        <w:tab/>
      </w:r>
      <w:r>
        <w:rPr>
          <w:rFonts w:hint="eastAsia" w:ascii="华文宋体" w:hAnsi="华文宋体" w:eastAsia="华文宋体" w:cs="华文宋体"/>
          <w:kern w:val="2"/>
          <w:sz w:val="24"/>
          <w:szCs w:val="24"/>
          <w:lang w:val="en-US" w:eastAsia="zh-CN" w:bidi="ar-SA"/>
        </w:rPr>
        <w:t>1011</w:t>
      </w:r>
    </w:p>
    <w:p w14:paraId="56405FE8">
      <w:pPr>
        <w:tabs>
          <w:tab w:val="right" w:leader="middleDot" w:pos="8295"/>
        </w:tabs>
        <w:ind w:firstLine="0" w:firstLineChars="0"/>
        <w:jc w:val="left"/>
        <w:rPr>
          <w:rFonts w:hint="eastAsia"/>
        </w:rPr>
      </w:pPr>
      <w:r>
        <w:rPr>
          <w:rFonts w:hint="eastAsia"/>
        </w:rPr>
        <w:t>北京市建筑工程施工许可办法</w:t>
      </w:r>
      <w:r>
        <w:rPr>
          <w:rFonts w:hint="eastAsia"/>
        </w:rPr>
        <w:tab/>
      </w:r>
      <w:r>
        <w:rPr>
          <w:rFonts w:hint="eastAsia" w:ascii="华文宋体" w:hAnsi="华文宋体" w:eastAsia="华文宋体" w:cs="华文宋体"/>
          <w:kern w:val="2"/>
          <w:sz w:val="24"/>
          <w:szCs w:val="24"/>
          <w:lang w:val="en-US" w:eastAsia="zh-CN" w:bidi="ar-SA"/>
        </w:rPr>
        <w:t>416</w:t>
      </w:r>
    </w:p>
    <w:p w14:paraId="2794E003">
      <w:pPr>
        <w:tabs>
          <w:tab w:val="right" w:leader="middleDot" w:pos="8295"/>
        </w:tabs>
        <w:ind w:firstLine="0" w:firstLineChars="0"/>
        <w:jc w:val="left"/>
        <w:rPr>
          <w:rFonts w:hint="eastAsia"/>
        </w:rPr>
      </w:pPr>
      <w:r>
        <w:rPr>
          <w:rFonts w:hint="eastAsia"/>
        </w:rPr>
        <w:t>北京市工资支付规定</w:t>
      </w:r>
      <w:r>
        <w:rPr>
          <w:rFonts w:hint="eastAsia"/>
        </w:rPr>
        <w:tab/>
      </w:r>
      <w:r>
        <w:rPr>
          <w:rFonts w:hint="eastAsia" w:ascii="华文宋体" w:hAnsi="华文宋体" w:eastAsia="华文宋体" w:cs="华文宋体"/>
          <w:kern w:val="2"/>
          <w:sz w:val="24"/>
          <w:szCs w:val="24"/>
          <w:lang w:val="en-US" w:eastAsia="zh-CN" w:bidi="ar-SA"/>
        </w:rPr>
        <w:t>1152</w:t>
      </w:r>
    </w:p>
    <w:p w14:paraId="16A8E7C2">
      <w:pPr>
        <w:tabs>
          <w:tab w:val="right" w:leader="middleDot" w:pos="8295"/>
        </w:tabs>
        <w:ind w:firstLine="0" w:firstLineChars="0"/>
        <w:jc w:val="left"/>
      </w:pPr>
    </w:p>
    <w:p w14:paraId="11FF2298">
      <w:pPr>
        <w:tabs>
          <w:tab w:val="right" w:leader="middleDot" w:pos="8295"/>
        </w:tabs>
        <w:ind w:firstLine="0" w:firstLineChars="0"/>
        <w:jc w:val="center"/>
        <w:rPr>
          <w:rFonts w:hint="eastAsia"/>
          <w:sz w:val="28"/>
        </w:rPr>
      </w:pPr>
      <w:r>
        <w:rPr>
          <w:rFonts w:hint="eastAsia"/>
          <w:sz w:val="28"/>
        </w:rPr>
        <w:t>二零零四年</w:t>
      </w:r>
    </w:p>
    <w:p w14:paraId="52407ECF">
      <w:pPr>
        <w:tabs>
          <w:tab w:val="right" w:leader="middleDot" w:pos="8295"/>
        </w:tabs>
        <w:ind w:firstLine="0" w:firstLineChars="0"/>
        <w:jc w:val="left"/>
      </w:pPr>
    </w:p>
    <w:p w14:paraId="5D02F741">
      <w:pPr>
        <w:tabs>
          <w:tab w:val="right" w:leader="middleDot" w:pos="8295"/>
        </w:tabs>
        <w:ind w:firstLine="0" w:firstLineChars="0"/>
        <w:jc w:val="left"/>
        <w:rPr>
          <w:rFonts w:hint="eastAsia"/>
        </w:rPr>
      </w:pPr>
      <w:r>
        <w:rPr>
          <w:rFonts w:hint="eastAsia"/>
        </w:rPr>
        <w:t>北京市无障碍设施建设和管理条例</w:t>
      </w:r>
      <w:r>
        <w:rPr>
          <w:rFonts w:hint="eastAsia"/>
        </w:rPr>
        <w:tab/>
      </w:r>
      <w:r>
        <w:rPr>
          <w:rFonts w:hint="eastAsia" w:ascii="华文宋体" w:hAnsi="华文宋体" w:eastAsia="华文宋体" w:cs="华文宋体"/>
          <w:kern w:val="2"/>
          <w:sz w:val="24"/>
          <w:szCs w:val="24"/>
          <w:lang w:val="en-US" w:eastAsia="zh-CN" w:bidi="ar-SA"/>
        </w:rPr>
        <w:t>1169</w:t>
      </w:r>
    </w:p>
    <w:p w14:paraId="461BD6DD">
      <w:pPr>
        <w:tabs>
          <w:tab w:val="right" w:leader="middleDot" w:pos="8295"/>
        </w:tabs>
        <w:ind w:firstLine="0" w:firstLineChars="0"/>
        <w:jc w:val="left"/>
        <w:rPr>
          <w:rFonts w:hint="eastAsia"/>
        </w:rPr>
      </w:pPr>
      <w:r>
        <w:rPr>
          <w:rFonts w:hint="eastAsia"/>
        </w:rPr>
        <w:t>北京市实施《中华人民共和国水法》办法</w:t>
      </w:r>
      <w:r>
        <w:rPr>
          <w:rFonts w:hint="eastAsia"/>
        </w:rPr>
        <w:tab/>
      </w:r>
      <w:r>
        <w:rPr>
          <w:rFonts w:hint="eastAsia" w:ascii="华文宋体" w:hAnsi="华文宋体" w:eastAsia="华文宋体" w:cs="华文宋体"/>
          <w:kern w:val="2"/>
          <w:sz w:val="24"/>
          <w:szCs w:val="24"/>
          <w:lang w:val="en-US" w:eastAsia="zh-CN" w:bidi="ar-SA"/>
        </w:rPr>
        <w:t>1366</w:t>
      </w:r>
    </w:p>
    <w:p w14:paraId="0AF6E107">
      <w:pPr>
        <w:tabs>
          <w:tab w:val="right" w:leader="middleDot" w:pos="8295"/>
        </w:tabs>
        <w:ind w:firstLine="0" w:firstLineChars="0"/>
        <w:jc w:val="left"/>
        <w:rPr>
          <w:rFonts w:hint="eastAsia"/>
        </w:rPr>
      </w:pPr>
      <w:r>
        <w:rPr>
          <w:rFonts w:hint="eastAsia"/>
        </w:rPr>
        <w:t>北京市安全生产条例</w:t>
      </w:r>
      <w:r>
        <w:rPr>
          <w:rFonts w:hint="eastAsia"/>
        </w:rPr>
        <w:tab/>
      </w:r>
      <w:r>
        <w:rPr>
          <w:rFonts w:hint="eastAsia" w:ascii="华文宋体" w:hAnsi="华文宋体" w:eastAsia="华文宋体" w:cs="华文宋体"/>
          <w:kern w:val="2"/>
          <w:sz w:val="24"/>
          <w:szCs w:val="24"/>
          <w:lang w:val="en-US" w:eastAsia="zh-CN" w:bidi="ar-SA"/>
        </w:rPr>
        <w:t>947</w:t>
      </w:r>
    </w:p>
    <w:p w14:paraId="12BD0875">
      <w:pPr>
        <w:tabs>
          <w:tab w:val="right" w:leader="middleDot" w:pos="8295"/>
        </w:tabs>
        <w:ind w:firstLine="0" w:firstLineChars="0"/>
        <w:jc w:val="left"/>
        <w:rPr>
          <w:rFonts w:hint="eastAsia"/>
        </w:rPr>
      </w:pPr>
      <w:r>
        <w:rPr>
          <w:rFonts w:hint="eastAsia"/>
        </w:rPr>
        <w:t>北京市实施《中华人民共和国文物保护法》办法</w:t>
      </w:r>
      <w:r>
        <w:rPr>
          <w:rFonts w:hint="eastAsia"/>
        </w:rPr>
        <w:tab/>
      </w:r>
      <w:r>
        <w:rPr>
          <w:rFonts w:hint="eastAsia" w:ascii="华文宋体" w:hAnsi="华文宋体" w:eastAsia="华文宋体" w:cs="华文宋体"/>
          <w:kern w:val="2"/>
          <w:sz w:val="24"/>
          <w:szCs w:val="24"/>
          <w:lang w:val="en-US" w:eastAsia="zh-CN" w:bidi="ar-SA"/>
        </w:rPr>
        <w:t>802</w:t>
      </w:r>
    </w:p>
    <w:p w14:paraId="49CBBBC4">
      <w:pPr>
        <w:tabs>
          <w:tab w:val="right" w:leader="middleDot" w:pos="8295"/>
        </w:tabs>
        <w:ind w:firstLine="0" w:firstLineChars="0"/>
        <w:jc w:val="left"/>
        <w:rPr>
          <w:rFonts w:hint="eastAsia"/>
        </w:rPr>
      </w:pPr>
      <w:r>
        <w:rPr>
          <w:rFonts w:hint="eastAsia"/>
        </w:rPr>
        <w:t>北京市实施《中华人民共和国道路交通安全法》办法</w:t>
      </w:r>
      <w:r>
        <w:rPr>
          <w:rFonts w:hint="eastAsia"/>
        </w:rPr>
        <w:tab/>
      </w:r>
      <w:r>
        <w:rPr>
          <w:rFonts w:hint="eastAsia" w:ascii="华文宋体" w:hAnsi="华文宋体" w:eastAsia="华文宋体" w:cs="华文宋体"/>
          <w:kern w:val="2"/>
          <w:sz w:val="24"/>
          <w:szCs w:val="24"/>
          <w:lang w:val="en-US" w:eastAsia="zh-CN" w:bidi="ar-SA"/>
        </w:rPr>
        <w:t>244</w:t>
      </w:r>
    </w:p>
    <w:p w14:paraId="4A163D13">
      <w:pPr>
        <w:tabs>
          <w:tab w:val="right" w:leader="middleDot" w:pos="8295"/>
        </w:tabs>
        <w:ind w:firstLine="0" w:firstLineChars="0"/>
        <w:jc w:val="left"/>
        <w:rPr>
          <w:rFonts w:hint="eastAsia"/>
        </w:rPr>
      </w:pPr>
      <w:r>
        <w:rPr>
          <w:rFonts w:hint="eastAsia"/>
        </w:rPr>
        <w:t>北京市消防安全责任监督管理办法</w:t>
      </w:r>
      <w:r>
        <w:rPr>
          <w:rFonts w:hint="eastAsia"/>
        </w:rPr>
        <w:tab/>
      </w:r>
      <w:r>
        <w:rPr>
          <w:rFonts w:hint="eastAsia" w:ascii="华文宋体" w:hAnsi="华文宋体" w:eastAsia="华文宋体" w:cs="华文宋体"/>
          <w:kern w:val="2"/>
          <w:sz w:val="24"/>
          <w:szCs w:val="24"/>
          <w:lang w:val="en-US" w:eastAsia="zh-CN" w:bidi="ar-SA"/>
        </w:rPr>
        <w:t>930</w:t>
      </w:r>
    </w:p>
    <w:p w14:paraId="04F8EB5E">
      <w:pPr>
        <w:tabs>
          <w:tab w:val="right" w:leader="middleDot" w:pos="8295"/>
        </w:tabs>
        <w:ind w:firstLine="0" w:firstLineChars="0"/>
        <w:jc w:val="left"/>
        <w:rPr>
          <w:rFonts w:hint="eastAsia" w:ascii="华文宋体" w:hAnsi="华文宋体" w:eastAsia="华文宋体" w:cs="华文宋体"/>
          <w:kern w:val="2"/>
          <w:sz w:val="24"/>
          <w:szCs w:val="24"/>
          <w:lang w:val="en-US" w:eastAsia="zh-CN" w:bidi="ar-SA"/>
        </w:rPr>
      </w:pPr>
      <w:r>
        <w:rPr>
          <w:rFonts w:hint="eastAsia"/>
        </w:rPr>
        <w:t>北京市天安门地区管理规定</w:t>
      </w:r>
      <w:r>
        <w:rPr>
          <w:rFonts w:hint="eastAsia"/>
        </w:rPr>
        <w:tab/>
      </w:r>
      <w:r>
        <w:rPr>
          <w:rFonts w:hint="eastAsia" w:ascii="华文宋体" w:hAnsi="华文宋体" w:eastAsia="华文宋体" w:cs="华文宋体"/>
          <w:kern w:val="2"/>
          <w:sz w:val="24"/>
          <w:szCs w:val="24"/>
          <w:lang w:val="en-US" w:eastAsia="zh-CN" w:bidi="ar-SA"/>
        </w:rPr>
        <w:t>1314</w:t>
      </w:r>
    </w:p>
    <w:p w14:paraId="1058CBB9">
      <w:pPr>
        <w:tabs>
          <w:tab w:val="right" w:leader="middleDot" w:pos="8295"/>
        </w:tabs>
        <w:ind w:firstLine="0" w:firstLineChars="0"/>
        <w:jc w:val="left"/>
        <w:rPr>
          <w:rFonts w:hint="eastAsia"/>
        </w:rPr>
      </w:pPr>
      <w:r>
        <w:rPr>
          <w:rFonts w:hint="eastAsia"/>
        </w:rPr>
        <w:t>北京市城市轨道交通安全运营管理办法</w:t>
      </w:r>
      <w:r>
        <w:rPr>
          <w:rFonts w:hint="eastAsia"/>
        </w:rPr>
        <w:tab/>
      </w:r>
      <w:r>
        <w:rPr>
          <w:rFonts w:hint="eastAsia" w:ascii="华文宋体" w:hAnsi="华文宋体" w:eastAsia="华文宋体" w:cs="华文宋体"/>
          <w:kern w:val="2"/>
          <w:sz w:val="24"/>
          <w:szCs w:val="24"/>
          <w:lang w:val="en-US" w:eastAsia="zh-CN" w:bidi="ar-SA"/>
        </w:rPr>
        <w:t>296</w:t>
      </w:r>
    </w:p>
    <w:p w14:paraId="058638C7">
      <w:pPr>
        <w:tabs>
          <w:tab w:val="right" w:leader="middleDot" w:pos="8295"/>
        </w:tabs>
        <w:ind w:firstLine="0" w:firstLineChars="0"/>
        <w:jc w:val="left"/>
        <w:rPr>
          <w:rFonts w:hint="eastAsia"/>
        </w:rPr>
      </w:pPr>
      <w:r>
        <w:rPr>
          <w:rFonts w:hint="eastAsia"/>
        </w:rPr>
        <w:t>北京市建设征地补偿安置办法</w:t>
      </w:r>
      <w:r>
        <w:rPr>
          <w:rFonts w:hint="eastAsia"/>
        </w:rPr>
        <w:tab/>
      </w:r>
      <w:r>
        <w:rPr>
          <w:rFonts w:hint="eastAsia" w:ascii="华文宋体" w:hAnsi="华文宋体" w:eastAsia="华文宋体" w:cs="华文宋体"/>
          <w:kern w:val="2"/>
          <w:sz w:val="24"/>
          <w:szCs w:val="24"/>
          <w:lang w:val="en-US" w:eastAsia="zh-CN" w:bidi="ar-SA"/>
        </w:rPr>
        <w:t>419</w:t>
      </w:r>
    </w:p>
    <w:p w14:paraId="7476D736">
      <w:pPr>
        <w:tabs>
          <w:tab w:val="right" w:leader="middleDot" w:pos="8295"/>
        </w:tabs>
        <w:ind w:firstLine="0" w:firstLineChars="0"/>
        <w:jc w:val="left"/>
        <w:rPr>
          <w:rFonts w:hint="eastAsia"/>
        </w:rPr>
      </w:pPr>
      <w:r>
        <w:rPr>
          <w:rFonts w:hint="eastAsia"/>
        </w:rPr>
        <w:t>北京市户外广告设置管理办法</w:t>
      </w:r>
      <w:r>
        <w:rPr>
          <w:rFonts w:hint="eastAsia"/>
        </w:rPr>
        <w:tab/>
      </w:r>
      <w:r>
        <w:rPr>
          <w:rFonts w:hint="eastAsia" w:ascii="华文宋体" w:hAnsi="华文宋体" w:eastAsia="华文宋体" w:cs="华文宋体"/>
          <w:kern w:val="2"/>
          <w:sz w:val="24"/>
          <w:szCs w:val="24"/>
          <w:lang w:val="en-US" w:eastAsia="zh-CN" w:bidi="ar-SA"/>
        </w:rPr>
        <w:t>637</w:t>
      </w:r>
    </w:p>
    <w:p w14:paraId="4E6CD3D1">
      <w:pPr>
        <w:tabs>
          <w:tab w:val="right" w:leader="middleDot" w:pos="8295"/>
        </w:tabs>
        <w:ind w:firstLine="0" w:firstLineChars="0"/>
        <w:jc w:val="left"/>
        <w:rPr>
          <w:rFonts w:hint="eastAsia"/>
        </w:rPr>
      </w:pPr>
      <w:r>
        <w:rPr>
          <w:rFonts w:hint="eastAsia"/>
        </w:rPr>
        <w:t>北京市人民防空工程和普通地下室安全使用管理办法</w:t>
      </w:r>
      <w:r>
        <w:rPr>
          <w:rFonts w:hint="eastAsia"/>
        </w:rPr>
        <w:tab/>
      </w:r>
      <w:r>
        <w:rPr>
          <w:rFonts w:hint="eastAsia" w:ascii="华文宋体" w:hAnsi="华文宋体" w:eastAsia="华文宋体" w:cs="华文宋体"/>
          <w:kern w:val="2"/>
          <w:sz w:val="24"/>
          <w:szCs w:val="24"/>
          <w:lang w:val="en-US" w:eastAsia="zh-CN" w:bidi="ar-SA"/>
        </w:rPr>
        <w:t>966</w:t>
      </w:r>
    </w:p>
    <w:p w14:paraId="2E62FDE3">
      <w:pPr>
        <w:tabs>
          <w:tab w:val="right" w:leader="middleDot" w:pos="8295"/>
        </w:tabs>
        <w:ind w:firstLine="0" w:firstLineChars="0"/>
        <w:jc w:val="left"/>
        <w:rPr>
          <w:rFonts w:hint="eastAsia"/>
        </w:rPr>
      </w:pPr>
      <w:r>
        <w:rPr>
          <w:rFonts w:hint="eastAsia"/>
        </w:rPr>
        <w:t>北京市行政区域界线管理办法</w:t>
      </w:r>
      <w:r>
        <w:rPr>
          <w:rFonts w:hint="eastAsia"/>
        </w:rPr>
        <w:tab/>
      </w:r>
      <w:r>
        <w:rPr>
          <w:rFonts w:hint="eastAsia" w:ascii="华文宋体" w:hAnsi="华文宋体" w:eastAsia="华文宋体" w:cs="华文宋体"/>
          <w:kern w:val="2"/>
          <w:sz w:val="24"/>
          <w:szCs w:val="24"/>
          <w:lang w:val="en-US" w:eastAsia="zh-CN" w:bidi="ar-SA"/>
        </w:rPr>
        <w:t>140</w:t>
      </w:r>
    </w:p>
    <w:p w14:paraId="1B6AA868">
      <w:pPr>
        <w:tabs>
          <w:tab w:val="right" w:leader="middleDot" w:pos="8295"/>
        </w:tabs>
        <w:ind w:firstLine="0" w:firstLineChars="0"/>
        <w:jc w:val="left"/>
        <w:rPr>
          <w:rFonts w:hint="eastAsia"/>
        </w:rPr>
      </w:pPr>
      <w:r>
        <w:rPr>
          <w:rFonts w:hint="eastAsia"/>
        </w:rPr>
        <w:t>北京市企业职工生育保险规定</w:t>
      </w:r>
      <w:r>
        <w:rPr>
          <w:rFonts w:hint="eastAsia"/>
        </w:rPr>
        <w:tab/>
      </w:r>
      <w:r>
        <w:rPr>
          <w:rFonts w:hint="eastAsia" w:ascii="华文宋体" w:hAnsi="华文宋体" w:eastAsia="华文宋体" w:cs="华文宋体"/>
          <w:kern w:val="2"/>
          <w:sz w:val="24"/>
          <w:szCs w:val="24"/>
          <w:lang w:val="en-US" w:eastAsia="zh-CN" w:bidi="ar-SA"/>
        </w:rPr>
        <w:t>1139</w:t>
      </w:r>
    </w:p>
    <w:p w14:paraId="0A4F0B30">
      <w:pPr>
        <w:tabs>
          <w:tab w:val="right" w:leader="middleDot" w:pos="8295"/>
        </w:tabs>
        <w:ind w:firstLine="0" w:firstLineChars="0"/>
        <w:jc w:val="left"/>
      </w:pPr>
    </w:p>
    <w:p w14:paraId="20527561">
      <w:pPr>
        <w:tabs>
          <w:tab w:val="right" w:leader="middleDot" w:pos="8295"/>
        </w:tabs>
        <w:ind w:firstLine="0" w:firstLineChars="0"/>
        <w:jc w:val="center"/>
        <w:rPr>
          <w:rFonts w:hint="eastAsia"/>
          <w:sz w:val="28"/>
        </w:rPr>
      </w:pPr>
      <w:r>
        <w:rPr>
          <w:rFonts w:hint="eastAsia"/>
          <w:sz w:val="28"/>
        </w:rPr>
        <w:t>二零零五年</w:t>
      </w:r>
    </w:p>
    <w:p w14:paraId="298500A4">
      <w:pPr>
        <w:tabs>
          <w:tab w:val="right" w:leader="middleDot" w:pos="8295"/>
        </w:tabs>
        <w:ind w:firstLine="0" w:firstLineChars="0"/>
        <w:jc w:val="left"/>
      </w:pPr>
    </w:p>
    <w:p w14:paraId="49B0381D">
      <w:pPr>
        <w:tabs>
          <w:tab w:val="right" w:leader="middleDot" w:pos="8295"/>
        </w:tabs>
        <w:ind w:firstLine="0" w:firstLineChars="0"/>
        <w:jc w:val="left"/>
        <w:rPr>
          <w:rFonts w:hint="eastAsia"/>
        </w:rPr>
      </w:pPr>
      <w:r>
        <w:rPr>
          <w:rFonts w:hint="eastAsia"/>
        </w:rPr>
        <w:t>北京历史文化名城保护条例</w:t>
      </w:r>
      <w:r>
        <w:rPr>
          <w:rFonts w:hint="eastAsia"/>
        </w:rPr>
        <w:tab/>
      </w:r>
      <w:r>
        <w:rPr>
          <w:rFonts w:hint="eastAsia" w:ascii="华文宋体" w:hAnsi="华文宋体" w:eastAsia="华文宋体" w:cs="华文宋体"/>
          <w:kern w:val="2"/>
          <w:sz w:val="24"/>
          <w:szCs w:val="24"/>
          <w:lang w:val="en-US" w:eastAsia="zh-CN" w:bidi="ar-SA"/>
        </w:rPr>
        <w:t>806</w:t>
      </w:r>
    </w:p>
    <w:p w14:paraId="041B599C">
      <w:pPr>
        <w:tabs>
          <w:tab w:val="right" w:leader="middleDot" w:pos="8295"/>
        </w:tabs>
        <w:ind w:firstLine="0" w:firstLineChars="0"/>
        <w:jc w:val="left"/>
        <w:rPr>
          <w:rFonts w:hint="eastAsia"/>
        </w:rPr>
      </w:pPr>
      <w:r>
        <w:rPr>
          <w:rFonts w:hint="eastAsia"/>
        </w:rPr>
        <w:t>北京市专利保护和促进条例</w:t>
      </w:r>
      <w:r>
        <w:rPr>
          <w:rFonts w:hint="eastAsia"/>
        </w:rPr>
        <w:tab/>
      </w:r>
      <w:r>
        <w:rPr>
          <w:rFonts w:hint="eastAsia" w:ascii="华文宋体" w:hAnsi="华文宋体" w:eastAsia="华文宋体" w:cs="华文宋体"/>
          <w:kern w:val="2"/>
          <w:sz w:val="24"/>
          <w:szCs w:val="24"/>
          <w:lang w:val="en-US" w:eastAsia="zh-CN" w:bidi="ar-SA"/>
        </w:rPr>
        <w:t>593</w:t>
      </w:r>
    </w:p>
    <w:p w14:paraId="110F895C">
      <w:pPr>
        <w:tabs>
          <w:tab w:val="right" w:leader="middleDot" w:pos="8295"/>
        </w:tabs>
        <w:ind w:firstLine="0" w:firstLineChars="0"/>
        <w:jc w:val="left"/>
        <w:rPr>
          <w:rFonts w:hint="eastAsia"/>
        </w:rPr>
      </w:pPr>
      <w:r>
        <w:rPr>
          <w:rFonts w:hint="eastAsia"/>
        </w:rPr>
        <w:t>北京市集体合同条例</w:t>
      </w:r>
      <w:r>
        <w:rPr>
          <w:rFonts w:hint="eastAsia"/>
        </w:rPr>
        <w:tab/>
      </w:r>
      <w:r>
        <w:rPr>
          <w:rFonts w:hint="eastAsia" w:ascii="华文宋体" w:hAnsi="华文宋体" w:eastAsia="华文宋体" w:cs="华文宋体"/>
          <w:kern w:val="2"/>
          <w:sz w:val="24"/>
          <w:szCs w:val="24"/>
          <w:lang w:val="en-US" w:eastAsia="zh-CN" w:bidi="ar-SA"/>
        </w:rPr>
        <w:t>1089</w:t>
      </w:r>
    </w:p>
    <w:p w14:paraId="057541AA">
      <w:pPr>
        <w:tabs>
          <w:tab w:val="right" w:leader="middleDot" w:pos="8295"/>
        </w:tabs>
        <w:ind w:firstLine="0" w:firstLineChars="0"/>
        <w:jc w:val="left"/>
        <w:rPr>
          <w:rFonts w:hint="eastAsia"/>
        </w:rPr>
      </w:pPr>
      <w:r>
        <w:rPr>
          <w:rFonts w:hint="eastAsia"/>
        </w:rPr>
        <w:t>北京市大型群众性活动安全管理条例</w:t>
      </w:r>
      <w:r>
        <w:rPr>
          <w:rFonts w:hint="eastAsia"/>
        </w:rPr>
        <w:tab/>
      </w:r>
      <w:r>
        <w:rPr>
          <w:rFonts w:hint="eastAsia" w:ascii="华文宋体" w:hAnsi="华文宋体" w:eastAsia="华文宋体" w:cs="华文宋体"/>
          <w:kern w:val="2"/>
          <w:sz w:val="24"/>
          <w:szCs w:val="24"/>
          <w:lang w:val="en-US" w:eastAsia="zh-CN" w:bidi="ar-SA"/>
        </w:rPr>
        <w:t>893</w:t>
      </w:r>
    </w:p>
    <w:p w14:paraId="2B59FC89">
      <w:pPr>
        <w:tabs>
          <w:tab w:val="right" w:leader="middleDot" w:pos="8295"/>
        </w:tabs>
        <w:ind w:firstLine="0" w:firstLineChars="0"/>
        <w:jc w:val="left"/>
        <w:rPr>
          <w:rFonts w:hint="eastAsia"/>
        </w:rPr>
      </w:pPr>
      <w:r>
        <w:rPr>
          <w:rFonts w:hint="eastAsia"/>
        </w:rPr>
        <w:t>北京市烟花爆竹安全管理规定</w:t>
      </w:r>
      <w:r>
        <w:rPr>
          <w:rFonts w:hint="eastAsia"/>
        </w:rPr>
        <w:tab/>
      </w:r>
      <w:r>
        <w:rPr>
          <w:rFonts w:hint="eastAsia" w:ascii="华文宋体" w:hAnsi="华文宋体" w:eastAsia="华文宋体" w:cs="华文宋体"/>
          <w:kern w:val="2"/>
          <w:sz w:val="24"/>
          <w:szCs w:val="24"/>
          <w:lang w:val="en-US" w:eastAsia="zh-CN" w:bidi="ar-SA"/>
        </w:rPr>
        <w:t>899</w:t>
      </w:r>
    </w:p>
    <w:p w14:paraId="12280A20">
      <w:pPr>
        <w:tabs>
          <w:tab w:val="right" w:leader="middleDot" w:pos="8295"/>
        </w:tabs>
        <w:ind w:firstLine="0" w:firstLineChars="0"/>
        <w:jc w:val="left"/>
        <w:rPr>
          <w:rFonts w:hint="eastAsia"/>
        </w:rPr>
      </w:pPr>
      <w:r>
        <w:rPr>
          <w:rFonts w:hint="eastAsia"/>
        </w:rPr>
        <w:t>北京市实施《中华人民共和国气象法》办法</w:t>
      </w:r>
      <w:r>
        <w:rPr>
          <w:rFonts w:hint="eastAsia"/>
        </w:rPr>
        <w:tab/>
      </w:r>
      <w:r>
        <w:rPr>
          <w:rFonts w:hint="eastAsia" w:ascii="华文宋体" w:hAnsi="华文宋体" w:eastAsia="华文宋体" w:cs="华文宋体"/>
          <w:kern w:val="2"/>
          <w:sz w:val="24"/>
          <w:szCs w:val="24"/>
          <w:lang w:val="en-US" w:eastAsia="zh-CN" w:bidi="ar-SA"/>
        </w:rPr>
        <w:t>1515</w:t>
      </w:r>
    </w:p>
    <w:p w14:paraId="68C37A8F">
      <w:pPr>
        <w:tabs>
          <w:tab w:val="right" w:leader="middleDot" w:pos="8295"/>
        </w:tabs>
        <w:ind w:firstLine="0" w:firstLineChars="0"/>
        <w:jc w:val="left"/>
        <w:rPr>
          <w:rFonts w:hint="eastAsia"/>
        </w:rPr>
      </w:pPr>
      <w:r>
        <w:rPr>
          <w:rFonts w:hint="eastAsia"/>
        </w:rPr>
        <w:t>北京市城市基础设施特许经营条例</w:t>
      </w:r>
      <w:r>
        <w:rPr>
          <w:rFonts w:hint="eastAsia"/>
        </w:rPr>
        <w:tab/>
      </w:r>
      <w:r>
        <w:rPr>
          <w:rFonts w:hint="eastAsia" w:ascii="华文宋体" w:hAnsi="华文宋体" w:eastAsia="华文宋体" w:cs="华文宋体"/>
          <w:kern w:val="2"/>
          <w:sz w:val="24"/>
          <w:szCs w:val="24"/>
          <w:lang w:val="en-US" w:eastAsia="zh-CN" w:bidi="ar-SA"/>
        </w:rPr>
        <w:t>360</w:t>
      </w:r>
    </w:p>
    <w:p w14:paraId="26698029">
      <w:pPr>
        <w:tabs>
          <w:tab w:val="right" w:leader="middleDot" w:pos="8295"/>
        </w:tabs>
        <w:ind w:firstLine="0" w:firstLineChars="0"/>
        <w:jc w:val="left"/>
        <w:rPr>
          <w:rFonts w:hint="eastAsia"/>
        </w:rPr>
      </w:pPr>
      <w:r>
        <w:rPr>
          <w:rFonts w:hint="eastAsia"/>
        </w:rPr>
        <w:t>北京市全民健身条例</w:t>
      </w:r>
      <w:r>
        <w:rPr>
          <w:rFonts w:hint="eastAsia"/>
        </w:rPr>
        <w:tab/>
      </w:r>
      <w:r>
        <w:rPr>
          <w:rFonts w:hint="eastAsia" w:ascii="华文宋体" w:hAnsi="华文宋体" w:eastAsia="华文宋体" w:cs="华文宋体"/>
          <w:kern w:val="2"/>
          <w:sz w:val="24"/>
          <w:szCs w:val="24"/>
          <w:lang w:val="en-US" w:eastAsia="zh-CN" w:bidi="ar-SA"/>
        </w:rPr>
        <w:t>835</w:t>
      </w:r>
    </w:p>
    <w:p w14:paraId="74B3BF1D">
      <w:pPr>
        <w:tabs>
          <w:tab w:val="right" w:leader="middleDot" w:pos="8295"/>
        </w:tabs>
        <w:ind w:firstLine="0" w:firstLineChars="0"/>
        <w:jc w:val="left"/>
        <w:rPr>
          <w:rFonts w:hint="eastAsia"/>
        </w:rPr>
      </w:pPr>
      <w:r>
        <w:rPr>
          <w:rFonts w:hint="eastAsia"/>
        </w:rPr>
        <w:t>北京市城市道路管理办法</w:t>
      </w:r>
      <w:r>
        <w:rPr>
          <w:rFonts w:hint="eastAsia"/>
        </w:rPr>
        <w:tab/>
      </w:r>
      <w:r>
        <w:rPr>
          <w:rFonts w:hint="eastAsia" w:ascii="华文宋体" w:hAnsi="华文宋体" w:eastAsia="华文宋体" w:cs="华文宋体"/>
          <w:kern w:val="2"/>
          <w:sz w:val="24"/>
          <w:szCs w:val="24"/>
          <w:lang w:val="en-US" w:eastAsia="zh-CN" w:bidi="ar-SA"/>
        </w:rPr>
        <w:t>302</w:t>
      </w:r>
    </w:p>
    <w:p w14:paraId="62085020">
      <w:pPr>
        <w:tabs>
          <w:tab w:val="right" w:leader="middleDot" w:pos="8295"/>
        </w:tabs>
        <w:ind w:firstLine="0" w:firstLineChars="0"/>
        <w:jc w:val="left"/>
        <w:rPr>
          <w:rFonts w:hint="eastAsia"/>
        </w:rPr>
      </w:pPr>
      <w:r>
        <w:rPr>
          <w:rFonts w:hint="eastAsia"/>
        </w:rPr>
        <w:t>北京市行政规范性文件备案监督办法</w:t>
      </w:r>
      <w:r>
        <w:rPr>
          <w:rFonts w:hint="eastAsia"/>
        </w:rPr>
        <w:tab/>
      </w:r>
      <w:r>
        <w:rPr>
          <w:rFonts w:hint="eastAsia" w:ascii="华文宋体" w:hAnsi="华文宋体" w:eastAsia="华文宋体" w:cs="华文宋体"/>
          <w:kern w:val="2"/>
          <w:sz w:val="24"/>
          <w:szCs w:val="24"/>
          <w:lang w:val="en-US" w:eastAsia="zh-CN" w:bidi="ar-SA"/>
        </w:rPr>
        <w:t>97</w:t>
      </w:r>
    </w:p>
    <w:p w14:paraId="7D9F3B8D">
      <w:pPr>
        <w:tabs>
          <w:tab w:val="right" w:leader="middleDot" w:pos="8295"/>
        </w:tabs>
        <w:ind w:firstLine="0" w:firstLineChars="0"/>
        <w:jc w:val="left"/>
        <w:rPr>
          <w:rFonts w:hint="eastAsia"/>
        </w:rPr>
      </w:pPr>
      <w:r>
        <w:rPr>
          <w:rFonts w:hint="eastAsia"/>
        </w:rPr>
        <w:t>北京市流动人口计划生育管理规定</w:t>
      </w:r>
      <w:r>
        <w:rPr>
          <w:rFonts w:hint="eastAsia"/>
        </w:rPr>
        <w:tab/>
      </w:r>
      <w:r>
        <w:rPr>
          <w:rFonts w:hint="eastAsia" w:ascii="华文宋体" w:hAnsi="华文宋体" w:eastAsia="华文宋体" w:cs="华文宋体"/>
          <w:kern w:val="2"/>
          <w:sz w:val="24"/>
          <w:szCs w:val="24"/>
          <w:lang w:val="en-US" w:eastAsia="zh-CN" w:bidi="ar-SA"/>
        </w:rPr>
        <w:t>1278</w:t>
      </w:r>
    </w:p>
    <w:p w14:paraId="7381A073">
      <w:pPr>
        <w:tabs>
          <w:tab w:val="right" w:leader="middleDot" w:pos="8295"/>
        </w:tabs>
        <w:ind w:firstLine="0" w:firstLineChars="0"/>
        <w:jc w:val="left"/>
        <w:rPr>
          <w:rFonts w:hint="eastAsia"/>
        </w:rPr>
      </w:pPr>
      <w:r>
        <w:rPr>
          <w:rFonts w:hint="eastAsia"/>
        </w:rPr>
        <w:t>北京市道路交通安全防范责任制管理办法</w:t>
      </w:r>
      <w:r>
        <w:rPr>
          <w:rFonts w:hint="eastAsia"/>
        </w:rPr>
        <w:tab/>
      </w:r>
      <w:r>
        <w:rPr>
          <w:rFonts w:hint="eastAsia" w:ascii="华文宋体" w:hAnsi="华文宋体" w:eastAsia="华文宋体" w:cs="华文宋体"/>
          <w:kern w:val="2"/>
          <w:sz w:val="24"/>
          <w:szCs w:val="24"/>
          <w:lang w:val="en-US" w:eastAsia="zh-CN" w:bidi="ar-SA"/>
        </w:rPr>
        <w:t>306</w:t>
      </w:r>
    </w:p>
    <w:p w14:paraId="2F50DF7E">
      <w:pPr>
        <w:tabs>
          <w:tab w:val="right" w:leader="middleDot" w:pos="8295"/>
        </w:tabs>
        <w:ind w:firstLine="0" w:firstLineChars="0"/>
        <w:jc w:val="left"/>
        <w:rPr>
          <w:rFonts w:hint="eastAsia" w:ascii="华文宋体" w:hAnsi="华文宋体" w:eastAsia="华文宋体" w:cs="华文宋体"/>
          <w:kern w:val="2"/>
          <w:sz w:val="24"/>
          <w:szCs w:val="24"/>
          <w:lang w:val="en-US" w:eastAsia="zh-CN" w:bidi="ar-SA"/>
        </w:rPr>
      </w:pPr>
      <w:r>
        <w:rPr>
          <w:rFonts w:hint="eastAsia"/>
        </w:rPr>
        <w:t>北京市公共服务网络与信息系统安全管理规定</w:t>
      </w:r>
      <w:r>
        <w:rPr>
          <w:rFonts w:hint="eastAsia"/>
        </w:rPr>
        <w:tab/>
      </w:r>
      <w:r>
        <w:rPr>
          <w:rFonts w:hint="eastAsia" w:ascii="华文宋体" w:hAnsi="华文宋体" w:eastAsia="华文宋体" w:cs="华文宋体"/>
          <w:kern w:val="2"/>
          <w:sz w:val="24"/>
          <w:szCs w:val="24"/>
          <w:lang w:val="en-US" w:eastAsia="zh-CN" w:bidi="ar-SA"/>
        </w:rPr>
        <w:t>344</w:t>
      </w:r>
    </w:p>
    <w:p w14:paraId="4B48F986">
      <w:pPr>
        <w:tabs>
          <w:tab w:val="right" w:leader="middleDot" w:pos="8295"/>
        </w:tabs>
        <w:ind w:firstLine="0" w:firstLineChars="0"/>
        <w:jc w:val="left"/>
        <w:rPr>
          <w:rFonts w:hint="eastAsia"/>
        </w:rPr>
      </w:pPr>
      <w:r>
        <w:rPr>
          <w:rFonts w:hint="eastAsia"/>
        </w:rPr>
        <w:t>北京市实施《军人抚恤优待条例》办法</w:t>
      </w:r>
      <w:r>
        <w:rPr>
          <w:rFonts w:hint="eastAsia"/>
        </w:rPr>
        <w:tab/>
      </w:r>
      <w:r>
        <w:rPr>
          <w:rFonts w:hint="eastAsia" w:ascii="华文宋体" w:hAnsi="华文宋体" w:eastAsia="华文宋体" w:cs="华文宋体"/>
          <w:kern w:val="2"/>
          <w:sz w:val="24"/>
          <w:szCs w:val="24"/>
          <w:lang w:val="en-US" w:eastAsia="zh-CN" w:bidi="ar-SA"/>
        </w:rPr>
        <w:t>1013</w:t>
      </w:r>
    </w:p>
    <w:p w14:paraId="3D1E6479">
      <w:pPr>
        <w:tabs>
          <w:tab w:val="right" w:leader="middleDot" w:pos="8295"/>
        </w:tabs>
        <w:ind w:firstLine="0" w:firstLineChars="0"/>
        <w:jc w:val="left"/>
        <w:rPr>
          <w:rFonts w:hint="eastAsia"/>
        </w:rPr>
      </w:pPr>
      <w:r>
        <w:rPr>
          <w:rFonts w:hint="eastAsia"/>
        </w:rPr>
        <w:t>北京市实施《住房公积金管理条例》若干规定</w:t>
      </w:r>
      <w:r>
        <w:rPr>
          <w:rFonts w:hint="eastAsia"/>
        </w:rPr>
        <w:tab/>
      </w:r>
      <w:r>
        <w:rPr>
          <w:rFonts w:hint="eastAsia" w:ascii="华文宋体" w:hAnsi="华文宋体" w:eastAsia="华文宋体" w:cs="华文宋体"/>
          <w:kern w:val="2"/>
          <w:sz w:val="24"/>
          <w:szCs w:val="24"/>
          <w:lang w:val="en-US" w:eastAsia="zh-CN" w:bidi="ar-SA"/>
        </w:rPr>
        <w:t>471</w:t>
      </w:r>
    </w:p>
    <w:p w14:paraId="3957D1B4">
      <w:pPr>
        <w:tabs>
          <w:tab w:val="right" w:leader="middleDot" w:pos="8295"/>
        </w:tabs>
        <w:ind w:firstLine="0" w:firstLineChars="0"/>
        <w:jc w:val="left"/>
      </w:pPr>
    </w:p>
    <w:p w14:paraId="079F3B07">
      <w:pPr>
        <w:tabs>
          <w:tab w:val="right" w:leader="middleDot" w:pos="8295"/>
        </w:tabs>
        <w:ind w:firstLine="0" w:firstLineChars="0"/>
        <w:jc w:val="center"/>
        <w:rPr>
          <w:rFonts w:hint="eastAsia"/>
          <w:sz w:val="28"/>
        </w:rPr>
      </w:pPr>
      <w:r>
        <w:rPr>
          <w:rFonts w:hint="eastAsia"/>
          <w:sz w:val="28"/>
        </w:rPr>
        <w:t>二零零六年</w:t>
      </w:r>
    </w:p>
    <w:p w14:paraId="5FB90E02">
      <w:pPr>
        <w:tabs>
          <w:tab w:val="right" w:leader="middleDot" w:pos="8295"/>
        </w:tabs>
        <w:ind w:firstLine="0" w:firstLineChars="0"/>
        <w:jc w:val="left"/>
      </w:pPr>
    </w:p>
    <w:p w14:paraId="7E4A8ED1">
      <w:pPr>
        <w:tabs>
          <w:tab w:val="right" w:leader="middleDot" w:pos="8295"/>
        </w:tabs>
        <w:ind w:firstLine="0" w:firstLineChars="0"/>
        <w:jc w:val="left"/>
        <w:rPr>
          <w:rFonts w:hint="eastAsia"/>
        </w:rPr>
      </w:pPr>
      <w:r>
        <w:rPr>
          <w:rFonts w:hint="eastAsia"/>
        </w:rPr>
        <w:t>北京市实施《中华人民共和国种子法》办法</w:t>
      </w:r>
      <w:r>
        <w:rPr>
          <w:rFonts w:hint="eastAsia"/>
        </w:rPr>
        <w:tab/>
      </w:r>
      <w:r>
        <w:rPr>
          <w:rFonts w:hint="eastAsia" w:ascii="华文宋体" w:hAnsi="华文宋体" w:eastAsia="华文宋体" w:cs="华文宋体"/>
          <w:kern w:val="2"/>
          <w:sz w:val="24"/>
          <w:szCs w:val="24"/>
          <w:lang w:val="en-US" w:eastAsia="zh-CN" w:bidi="ar-SA"/>
        </w:rPr>
        <w:t>513</w:t>
      </w:r>
    </w:p>
    <w:p w14:paraId="38698371">
      <w:pPr>
        <w:tabs>
          <w:tab w:val="right" w:leader="middleDot" w:pos="8295"/>
        </w:tabs>
        <w:ind w:firstLine="0" w:firstLineChars="0"/>
        <w:jc w:val="left"/>
        <w:rPr>
          <w:rFonts w:hint="eastAsia"/>
        </w:rPr>
      </w:pPr>
      <w:r>
        <w:rPr>
          <w:rFonts w:hint="eastAsia"/>
        </w:rPr>
        <w:t>北京市燃气管理条例</w:t>
      </w:r>
      <w:r>
        <w:rPr>
          <w:rFonts w:hint="eastAsia"/>
        </w:rPr>
        <w:tab/>
      </w:r>
      <w:r>
        <w:rPr>
          <w:rFonts w:hint="eastAsia" w:ascii="华文宋体" w:hAnsi="华文宋体" w:eastAsia="华文宋体" w:cs="华文宋体"/>
          <w:kern w:val="2"/>
          <w:sz w:val="24"/>
          <w:szCs w:val="24"/>
          <w:lang w:val="en-US" w:eastAsia="zh-CN" w:bidi="ar-SA"/>
        </w:rPr>
        <w:t>1429</w:t>
      </w:r>
    </w:p>
    <w:p w14:paraId="483193A4">
      <w:pPr>
        <w:tabs>
          <w:tab w:val="right" w:leader="middleDot" w:pos="8295"/>
        </w:tabs>
        <w:ind w:firstLine="0" w:firstLineChars="0"/>
        <w:jc w:val="left"/>
        <w:rPr>
          <w:rFonts w:hint="eastAsia"/>
        </w:rPr>
      </w:pPr>
      <w:r>
        <w:rPr>
          <w:rFonts w:hint="eastAsia"/>
        </w:rPr>
        <w:t>北京市实施《中华人民共和国民办教育促进法》办法</w:t>
      </w:r>
      <w:r>
        <w:rPr>
          <w:rFonts w:hint="eastAsia"/>
        </w:rPr>
        <w:tab/>
      </w:r>
      <w:r>
        <w:rPr>
          <w:rFonts w:hint="eastAsia" w:ascii="华文宋体" w:hAnsi="华文宋体" w:eastAsia="华文宋体" w:cs="华文宋体"/>
          <w:kern w:val="2"/>
          <w:sz w:val="24"/>
          <w:szCs w:val="24"/>
          <w:lang w:val="en-US" w:eastAsia="zh-CN" w:bidi="ar-SA"/>
        </w:rPr>
        <w:t>723</w:t>
      </w:r>
    </w:p>
    <w:p w14:paraId="170D0B9D">
      <w:pPr>
        <w:tabs>
          <w:tab w:val="right" w:leader="middleDot" w:pos="8295"/>
        </w:tabs>
        <w:ind w:firstLine="0" w:firstLineChars="0"/>
        <w:jc w:val="left"/>
        <w:rPr>
          <w:rFonts w:hint="eastAsia"/>
        </w:rPr>
      </w:pPr>
      <w:r>
        <w:rPr>
          <w:rFonts w:hint="eastAsia"/>
        </w:rPr>
        <w:t>北京市精神卫生条例</w:t>
      </w:r>
      <w:r>
        <w:rPr>
          <w:rFonts w:hint="eastAsia"/>
        </w:rPr>
        <w:tab/>
      </w:r>
      <w:r>
        <w:rPr>
          <w:rFonts w:hint="eastAsia" w:ascii="华文宋体" w:hAnsi="华文宋体" w:eastAsia="华文宋体" w:cs="华文宋体"/>
          <w:kern w:val="2"/>
          <w:sz w:val="24"/>
          <w:szCs w:val="24"/>
          <w:lang w:val="en-US" w:eastAsia="zh-CN" w:bidi="ar-SA"/>
        </w:rPr>
        <w:t>1256</w:t>
      </w:r>
    </w:p>
    <w:p w14:paraId="1DCA4512">
      <w:pPr>
        <w:tabs>
          <w:tab w:val="right" w:leader="middleDot" w:pos="8295"/>
        </w:tabs>
        <w:ind w:firstLine="0" w:firstLineChars="0"/>
        <w:jc w:val="left"/>
        <w:rPr>
          <w:rFonts w:hint="eastAsia"/>
        </w:rPr>
      </w:pPr>
      <w:r>
        <w:rPr>
          <w:rFonts w:hint="eastAsia"/>
        </w:rPr>
        <w:t>北京市标语宣传品设置管理规定</w:t>
      </w:r>
      <w:r>
        <w:rPr>
          <w:rFonts w:hint="eastAsia"/>
        </w:rPr>
        <w:tab/>
      </w:r>
      <w:r>
        <w:rPr>
          <w:rFonts w:hint="eastAsia" w:ascii="华文宋体" w:hAnsi="华文宋体" w:eastAsia="华文宋体" w:cs="华文宋体"/>
          <w:kern w:val="2"/>
          <w:sz w:val="24"/>
          <w:szCs w:val="24"/>
          <w:lang w:val="en-US" w:eastAsia="zh-CN" w:bidi="ar-SA"/>
        </w:rPr>
        <w:t>1206</w:t>
      </w:r>
    </w:p>
    <w:p w14:paraId="01850240">
      <w:pPr>
        <w:tabs>
          <w:tab w:val="right" w:leader="middleDot" w:pos="8295"/>
        </w:tabs>
        <w:ind w:firstLine="0" w:firstLineChars="0"/>
        <w:jc w:val="left"/>
        <w:rPr>
          <w:rFonts w:hint="eastAsia"/>
        </w:rPr>
      </w:pPr>
      <w:r>
        <w:rPr>
          <w:rFonts w:hint="eastAsia"/>
        </w:rPr>
        <w:t>北京市体育竞赛管理办法</w:t>
      </w:r>
      <w:r>
        <w:rPr>
          <w:rFonts w:hint="eastAsia"/>
        </w:rPr>
        <w:tab/>
      </w:r>
      <w:r>
        <w:rPr>
          <w:rFonts w:hint="eastAsia" w:ascii="华文宋体" w:hAnsi="华文宋体" w:eastAsia="华文宋体" w:cs="华文宋体"/>
          <w:kern w:val="2"/>
          <w:sz w:val="24"/>
          <w:szCs w:val="24"/>
          <w:lang w:val="en-US" w:eastAsia="zh-CN" w:bidi="ar-SA"/>
        </w:rPr>
        <w:t>839</w:t>
      </w:r>
    </w:p>
    <w:p w14:paraId="43A3981B">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北京市节能监察办法</w:t>
      </w:r>
      <w:r>
        <w:rPr>
          <w:rFonts w:hint="eastAsia"/>
        </w:rPr>
        <w:tab/>
      </w:r>
      <w:r>
        <w:rPr>
          <w:rFonts w:hint="eastAsia" w:ascii="华文宋体" w:hAnsi="华文宋体" w:eastAsia="华文宋体" w:cs="华文宋体"/>
          <w:kern w:val="2"/>
          <w:sz w:val="24"/>
          <w:szCs w:val="24"/>
          <w:lang w:val="en-US" w:eastAsia="zh-CN" w:bidi="ar-SA"/>
        </w:rPr>
        <w:t>1449</w:t>
      </w:r>
    </w:p>
    <w:p w14:paraId="4D37DD72">
      <w:pPr>
        <w:tabs>
          <w:tab w:val="right" w:leader="middleDot" w:pos="8295"/>
        </w:tabs>
        <w:ind w:firstLine="0" w:firstLineChars="0"/>
        <w:jc w:val="left"/>
        <w:rPr>
          <w:rFonts w:hint="eastAsia"/>
        </w:rPr>
      </w:pPr>
      <w:r>
        <w:rPr>
          <w:rFonts w:hint="eastAsia"/>
        </w:rPr>
        <w:t>北京市无线电管理办法</w:t>
      </w:r>
      <w:r>
        <w:rPr>
          <w:rFonts w:hint="eastAsia"/>
        </w:rPr>
        <w:tab/>
      </w:r>
      <w:r>
        <w:rPr>
          <w:rFonts w:hint="eastAsia" w:ascii="华文宋体" w:hAnsi="华文宋体" w:eastAsia="华文宋体" w:cs="华文宋体"/>
          <w:kern w:val="2"/>
          <w:sz w:val="24"/>
          <w:szCs w:val="24"/>
          <w:lang w:val="en-US" w:eastAsia="zh-CN" w:bidi="ar-SA"/>
        </w:rPr>
        <w:t>346</w:t>
      </w:r>
    </w:p>
    <w:p w14:paraId="09B61B0A">
      <w:pPr>
        <w:tabs>
          <w:tab w:val="right" w:leader="middleDot" w:pos="8295"/>
        </w:tabs>
        <w:ind w:firstLine="0" w:firstLineChars="0"/>
        <w:jc w:val="left"/>
        <w:rPr>
          <w:rFonts w:hint="eastAsia"/>
        </w:rPr>
      </w:pPr>
      <w:r>
        <w:rPr>
          <w:rFonts w:hint="eastAsia"/>
        </w:rPr>
        <w:t>北京市商业零售经营单位安全生产规定</w:t>
      </w:r>
      <w:r>
        <w:rPr>
          <w:rFonts w:hint="eastAsia"/>
        </w:rPr>
        <w:tab/>
      </w:r>
      <w:r>
        <w:rPr>
          <w:rFonts w:hint="eastAsia" w:ascii="华文宋体" w:hAnsi="华文宋体" w:eastAsia="华文宋体" w:cs="华文宋体"/>
          <w:kern w:val="2"/>
          <w:sz w:val="24"/>
          <w:szCs w:val="24"/>
          <w:lang w:val="en-US" w:eastAsia="zh-CN" w:bidi="ar-SA"/>
        </w:rPr>
        <w:t>971</w:t>
      </w:r>
    </w:p>
    <w:p w14:paraId="55F99516">
      <w:pPr>
        <w:tabs>
          <w:tab w:val="right" w:leader="middleDot" w:pos="8295"/>
        </w:tabs>
        <w:ind w:firstLine="0" w:firstLineChars="0"/>
        <w:jc w:val="left"/>
        <w:rPr>
          <w:rFonts w:hint="eastAsia"/>
        </w:rPr>
      </w:pPr>
      <w:r>
        <w:rPr>
          <w:rFonts w:hint="eastAsia"/>
        </w:rPr>
        <w:t>北京市餐饮经营单位安全生产规定</w:t>
      </w:r>
      <w:r>
        <w:rPr>
          <w:rFonts w:hint="eastAsia"/>
        </w:rPr>
        <w:tab/>
      </w:r>
      <w:r>
        <w:rPr>
          <w:rFonts w:hint="eastAsia" w:ascii="华文宋体" w:hAnsi="华文宋体" w:eastAsia="华文宋体" w:cs="华文宋体"/>
          <w:kern w:val="2"/>
          <w:sz w:val="24"/>
          <w:szCs w:val="24"/>
          <w:lang w:val="en-US" w:eastAsia="zh-CN" w:bidi="ar-SA"/>
        </w:rPr>
        <w:t>975</w:t>
      </w:r>
    </w:p>
    <w:p w14:paraId="00700149">
      <w:pPr>
        <w:tabs>
          <w:tab w:val="right" w:leader="middleDot" w:pos="8295"/>
        </w:tabs>
        <w:ind w:firstLine="0" w:firstLineChars="0"/>
        <w:jc w:val="left"/>
        <w:rPr>
          <w:rFonts w:hint="eastAsia"/>
        </w:rPr>
      </w:pPr>
      <w:r>
        <w:rPr>
          <w:rFonts w:hint="eastAsia"/>
        </w:rPr>
        <w:t>北京市星级饭店安全生产规定</w:t>
      </w:r>
      <w:r>
        <w:rPr>
          <w:rFonts w:hint="eastAsia"/>
        </w:rPr>
        <w:tab/>
      </w:r>
      <w:r>
        <w:rPr>
          <w:rFonts w:hint="eastAsia" w:ascii="华文宋体" w:hAnsi="华文宋体" w:eastAsia="华文宋体" w:cs="华文宋体"/>
          <w:kern w:val="2"/>
          <w:sz w:val="24"/>
          <w:szCs w:val="24"/>
          <w:lang w:val="en-US" w:eastAsia="zh-CN" w:bidi="ar-SA"/>
        </w:rPr>
        <w:t>978</w:t>
      </w:r>
    </w:p>
    <w:p w14:paraId="7A532025">
      <w:pPr>
        <w:tabs>
          <w:tab w:val="right" w:leader="middleDot" w:pos="8295"/>
        </w:tabs>
        <w:ind w:firstLine="0" w:firstLineChars="0"/>
        <w:jc w:val="left"/>
        <w:rPr>
          <w:rFonts w:hint="eastAsia"/>
        </w:rPr>
      </w:pPr>
      <w:r>
        <w:rPr>
          <w:rFonts w:hint="eastAsia"/>
        </w:rPr>
        <w:t>北京市体育运动项目经营单位安全生产规定</w:t>
      </w:r>
      <w:r>
        <w:rPr>
          <w:rFonts w:hint="eastAsia"/>
        </w:rPr>
        <w:tab/>
      </w:r>
      <w:r>
        <w:rPr>
          <w:rFonts w:hint="eastAsia" w:ascii="华文宋体" w:hAnsi="华文宋体" w:eastAsia="华文宋体" w:cs="华文宋体"/>
          <w:kern w:val="2"/>
          <w:sz w:val="24"/>
          <w:szCs w:val="24"/>
          <w:lang w:val="en-US" w:eastAsia="zh-CN" w:bidi="ar-SA"/>
        </w:rPr>
        <w:t>981</w:t>
      </w:r>
    </w:p>
    <w:p w14:paraId="11EC9234">
      <w:pPr>
        <w:tabs>
          <w:tab w:val="right" w:leader="middleDot" w:pos="8295"/>
        </w:tabs>
        <w:ind w:firstLine="0" w:firstLineChars="0"/>
        <w:jc w:val="left"/>
        <w:rPr>
          <w:rFonts w:hint="eastAsia"/>
        </w:rPr>
      </w:pPr>
      <w:r>
        <w:rPr>
          <w:rFonts w:hint="eastAsia"/>
        </w:rPr>
        <w:t>北京市文化娱乐场所经营单位安全生产规定</w:t>
      </w:r>
      <w:r>
        <w:rPr>
          <w:rFonts w:hint="eastAsia"/>
        </w:rPr>
        <w:tab/>
      </w:r>
      <w:r>
        <w:rPr>
          <w:rFonts w:hint="eastAsia" w:ascii="华文宋体" w:hAnsi="华文宋体" w:eastAsia="华文宋体" w:cs="华文宋体"/>
          <w:kern w:val="2"/>
          <w:sz w:val="24"/>
          <w:szCs w:val="24"/>
          <w:lang w:val="en-US" w:eastAsia="zh-CN" w:bidi="ar-SA"/>
        </w:rPr>
        <w:t>984</w:t>
      </w:r>
    </w:p>
    <w:p w14:paraId="2CEC50F4">
      <w:pPr>
        <w:tabs>
          <w:tab w:val="right" w:leader="middleDot" w:pos="8295"/>
        </w:tabs>
        <w:ind w:firstLine="0" w:firstLineChars="0"/>
        <w:jc w:val="left"/>
        <w:rPr>
          <w:rFonts w:hint="eastAsia"/>
        </w:rPr>
      </w:pPr>
      <w:r>
        <w:rPr>
          <w:rFonts w:hint="eastAsia"/>
        </w:rPr>
        <w:t>北京市环境噪声污染防治办法</w:t>
      </w:r>
      <w:r>
        <w:rPr>
          <w:rFonts w:hint="eastAsia"/>
        </w:rPr>
        <w:tab/>
      </w:r>
      <w:r>
        <w:rPr>
          <w:rFonts w:hint="eastAsia" w:ascii="华文宋体" w:hAnsi="华文宋体" w:eastAsia="华文宋体" w:cs="华文宋体"/>
          <w:kern w:val="2"/>
          <w:sz w:val="24"/>
          <w:szCs w:val="24"/>
          <w:lang w:val="en-US" w:eastAsia="zh-CN" w:bidi="ar-SA"/>
        </w:rPr>
        <w:t>1503</w:t>
      </w:r>
    </w:p>
    <w:p w14:paraId="5140C245">
      <w:pPr>
        <w:tabs>
          <w:tab w:val="right" w:leader="middleDot" w:pos="8295"/>
        </w:tabs>
        <w:ind w:firstLine="0" w:firstLineChars="0"/>
        <w:jc w:val="left"/>
        <w:rPr>
          <w:rFonts w:hint="eastAsia"/>
        </w:rPr>
      </w:pPr>
      <w:r>
        <w:rPr>
          <w:rFonts w:hint="eastAsia"/>
        </w:rPr>
        <w:t>北京市基本养老保险规定</w:t>
      </w:r>
      <w:r>
        <w:rPr>
          <w:rFonts w:hint="eastAsia"/>
        </w:rPr>
        <w:tab/>
      </w:r>
      <w:r>
        <w:rPr>
          <w:rFonts w:hint="eastAsia" w:ascii="华文宋体" w:hAnsi="华文宋体" w:eastAsia="华文宋体" w:cs="华文宋体"/>
          <w:kern w:val="2"/>
          <w:sz w:val="24"/>
          <w:szCs w:val="24"/>
          <w:lang w:val="en-US" w:eastAsia="zh-CN" w:bidi="ar-SA"/>
        </w:rPr>
        <w:t>1142</w:t>
      </w:r>
    </w:p>
    <w:p w14:paraId="1502CB3D">
      <w:pPr>
        <w:tabs>
          <w:tab w:val="right" w:leader="middleDot" w:pos="8295"/>
        </w:tabs>
        <w:ind w:firstLine="0" w:firstLineChars="0"/>
        <w:jc w:val="left"/>
        <w:rPr>
          <w:rFonts w:hint="eastAsia"/>
        </w:rPr>
      </w:pPr>
      <w:r>
        <w:rPr>
          <w:rFonts w:hint="eastAsia"/>
        </w:rPr>
        <w:t>北京市旅馆业治安管理规定</w:t>
      </w:r>
      <w:r>
        <w:rPr>
          <w:rFonts w:hint="eastAsia"/>
        </w:rPr>
        <w:tab/>
      </w:r>
      <w:r>
        <w:rPr>
          <w:rFonts w:hint="eastAsia" w:ascii="华文宋体" w:hAnsi="华文宋体" w:eastAsia="华文宋体" w:cs="华文宋体"/>
          <w:kern w:val="2"/>
          <w:sz w:val="24"/>
          <w:szCs w:val="24"/>
          <w:lang w:val="en-US" w:eastAsia="zh-CN" w:bidi="ar-SA"/>
        </w:rPr>
        <w:t>934</w:t>
      </w:r>
    </w:p>
    <w:p w14:paraId="356435B2">
      <w:pPr>
        <w:tabs>
          <w:tab w:val="right" w:leader="middleDot" w:pos="8295"/>
        </w:tabs>
        <w:ind w:firstLine="0" w:firstLineChars="0"/>
        <w:jc w:val="left"/>
        <w:rPr>
          <w:rFonts w:hint="eastAsia"/>
        </w:rPr>
      </w:pPr>
      <w:r>
        <w:rPr>
          <w:rFonts w:hint="eastAsia"/>
        </w:rPr>
        <w:t>北京市公共安全图像信息系统管理办法</w:t>
      </w:r>
      <w:r>
        <w:rPr>
          <w:rFonts w:hint="eastAsia"/>
        </w:rPr>
        <w:tab/>
      </w:r>
      <w:r>
        <w:rPr>
          <w:rFonts w:hint="eastAsia" w:ascii="华文宋体" w:hAnsi="华文宋体" w:eastAsia="华文宋体" w:cs="华文宋体"/>
          <w:kern w:val="2"/>
          <w:sz w:val="24"/>
          <w:szCs w:val="24"/>
          <w:lang w:val="en-US" w:eastAsia="zh-CN" w:bidi="ar-SA"/>
        </w:rPr>
        <w:t>938</w:t>
      </w:r>
    </w:p>
    <w:p w14:paraId="750DAA71">
      <w:pPr>
        <w:tabs>
          <w:tab w:val="right" w:leader="middleDot" w:pos="8295"/>
        </w:tabs>
        <w:ind w:firstLine="0" w:firstLineChars="0"/>
        <w:jc w:val="left"/>
      </w:pPr>
    </w:p>
    <w:p w14:paraId="0CDA8832">
      <w:pPr>
        <w:tabs>
          <w:tab w:val="right" w:leader="middleDot" w:pos="8295"/>
        </w:tabs>
        <w:ind w:firstLine="0" w:firstLineChars="0"/>
        <w:jc w:val="center"/>
        <w:rPr>
          <w:rFonts w:hint="eastAsia"/>
          <w:sz w:val="28"/>
        </w:rPr>
      </w:pPr>
      <w:r>
        <w:rPr>
          <w:rFonts w:hint="eastAsia"/>
          <w:sz w:val="28"/>
        </w:rPr>
        <w:t>二零零七年</w:t>
      </w:r>
    </w:p>
    <w:p w14:paraId="5BB027FB">
      <w:pPr>
        <w:tabs>
          <w:tab w:val="right" w:leader="middleDot" w:pos="8295"/>
        </w:tabs>
        <w:ind w:firstLine="0" w:firstLineChars="0"/>
        <w:jc w:val="left"/>
      </w:pPr>
    </w:p>
    <w:p w14:paraId="14793F0F">
      <w:pPr>
        <w:tabs>
          <w:tab w:val="right" w:leader="middleDot" w:pos="8295"/>
        </w:tabs>
        <w:ind w:firstLine="0" w:firstLineChars="0"/>
        <w:jc w:val="left"/>
        <w:rPr>
          <w:rFonts w:hint="eastAsia"/>
        </w:rPr>
      </w:pPr>
      <w:r>
        <w:rPr>
          <w:rFonts w:hint="eastAsia"/>
        </w:rPr>
        <w:t>北京市实施《中华人民共和国国防教育法》办法</w:t>
      </w:r>
      <w:r>
        <w:rPr>
          <w:rFonts w:hint="eastAsia"/>
        </w:rPr>
        <w:tab/>
      </w:r>
      <w:r>
        <w:rPr>
          <w:rFonts w:hint="eastAsia" w:ascii="华文宋体" w:hAnsi="华文宋体" w:eastAsia="华文宋体" w:cs="华文宋体"/>
          <w:kern w:val="2"/>
          <w:sz w:val="24"/>
          <w:szCs w:val="24"/>
          <w:lang w:val="en-US" w:eastAsia="zh-CN" w:bidi="ar-SA"/>
        </w:rPr>
        <w:t>727</w:t>
      </w:r>
    </w:p>
    <w:p w14:paraId="0F6EF739">
      <w:pPr>
        <w:tabs>
          <w:tab w:val="right" w:leader="middleDot" w:pos="8295"/>
        </w:tabs>
        <w:ind w:firstLine="0" w:firstLineChars="0"/>
        <w:jc w:val="left"/>
        <w:rPr>
          <w:rFonts w:hint="eastAsia"/>
        </w:rPr>
      </w:pPr>
      <w:r>
        <w:rPr>
          <w:rFonts w:hint="eastAsia"/>
        </w:rPr>
        <w:t>北京市公路条例</w:t>
      </w:r>
      <w:r>
        <w:rPr>
          <w:rFonts w:hint="eastAsia"/>
        </w:rPr>
        <w:tab/>
      </w:r>
      <w:r>
        <w:rPr>
          <w:rFonts w:hint="eastAsia" w:ascii="华文宋体" w:hAnsi="华文宋体" w:eastAsia="华文宋体" w:cs="华文宋体"/>
          <w:kern w:val="2"/>
          <w:sz w:val="24"/>
          <w:szCs w:val="24"/>
          <w:lang w:val="en-US" w:eastAsia="zh-CN" w:bidi="ar-SA"/>
        </w:rPr>
        <w:t>261</w:t>
      </w:r>
    </w:p>
    <w:p w14:paraId="704A3AFD">
      <w:pPr>
        <w:tabs>
          <w:tab w:val="right" w:leader="middleDot" w:pos="8295"/>
        </w:tabs>
        <w:ind w:firstLine="0" w:firstLineChars="0"/>
        <w:jc w:val="left"/>
        <w:rPr>
          <w:rFonts w:hint="eastAsia"/>
        </w:rPr>
      </w:pPr>
      <w:r>
        <w:rPr>
          <w:rFonts w:hint="eastAsia"/>
        </w:rPr>
        <w:t>北京市志愿服务促进条例</w:t>
      </w:r>
      <w:r>
        <w:rPr>
          <w:rFonts w:hint="eastAsia"/>
        </w:rPr>
        <w:tab/>
      </w:r>
      <w:r>
        <w:rPr>
          <w:rFonts w:hint="eastAsia" w:ascii="华文宋体" w:hAnsi="华文宋体" w:eastAsia="华文宋体" w:cs="华文宋体"/>
          <w:kern w:val="2"/>
          <w:sz w:val="24"/>
          <w:szCs w:val="24"/>
          <w:lang w:val="en-US" w:eastAsia="zh-CN" w:bidi="ar-SA"/>
        </w:rPr>
        <w:t>1030</w:t>
      </w:r>
    </w:p>
    <w:p w14:paraId="73190EAE">
      <w:pPr>
        <w:tabs>
          <w:tab w:val="right" w:leader="middleDot" w:pos="8295"/>
        </w:tabs>
        <w:ind w:firstLine="0" w:firstLineChars="0"/>
        <w:jc w:val="left"/>
        <w:rPr>
          <w:rFonts w:hint="eastAsia"/>
        </w:rPr>
      </w:pPr>
      <w:r>
        <w:rPr>
          <w:rFonts w:hint="eastAsia"/>
        </w:rPr>
        <w:t>北京市信息化促进条例</w:t>
      </w:r>
      <w:r>
        <w:rPr>
          <w:rFonts w:hint="eastAsia"/>
        </w:rPr>
        <w:tab/>
      </w:r>
      <w:r>
        <w:rPr>
          <w:rFonts w:hint="eastAsia" w:ascii="华文宋体" w:hAnsi="华文宋体" w:eastAsia="华文宋体" w:cs="华文宋体"/>
          <w:kern w:val="2"/>
          <w:sz w:val="24"/>
          <w:szCs w:val="24"/>
          <w:lang w:val="en-US" w:eastAsia="zh-CN" w:bidi="ar-SA"/>
        </w:rPr>
        <w:t>330</w:t>
      </w:r>
    </w:p>
    <w:p w14:paraId="61A6F5BD">
      <w:pPr>
        <w:tabs>
          <w:tab w:val="right" w:leader="middleDot" w:pos="8295"/>
        </w:tabs>
        <w:ind w:firstLine="0" w:firstLineChars="0"/>
        <w:jc w:val="left"/>
        <w:rPr>
          <w:rFonts w:hint="eastAsia"/>
        </w:rPr>
      </w:pPr>
      <w:r>
        <w:rPr>
          <w:rFonts w:hint="eastAsia"/>
        </w:rPr>
        <w:t>北京市各级人民代表大会常务委员会检查法律法规实施情况办法</w:t>
      </w:r>
      <w:r>
        <w:rPr>
          <w:rFonts w:hint="eastAsia"/>
        </w:rPr>
        <w:tab/>
      </w:r>
      <w:r>
        <w:rPr>
          <w:rFonts w:hint="eastAsia" w:ascii="华文宋体" w:hAnsi="华文宋体" w:eastAsia="华文宋体" w:cs="华文宋体"/>
          <w:kern w:val="2"/>
          <w:sz w:val="24"/>
          <w:szCs w:val="24"/>
          <w:lang w:val="en-US" w:eastAsia="zh-CN" w:bidi="ar-SA"/>
        </w:rPr>
        <w:t>55</w:t>
      </w:r>
    </w:p>
    <w:p w14:paraId="47BE723F">
      <w:pPr>
        <w:tabs>
          <w:tab w:val="right" w:leader="middleDot" w:pos="8295"/>
        </w:tabs>
        <w:ind w:firstLine="0" w:firstLineChars="0"/>
        <w:jc w:val="left"/>
        <w:rPr>
          <w:rFonts w:hint="eastAsia"/>
        </w:rPr>
      </w:pPr>
      <w:r>
        <w:rPr>
          <w:rFonts w:hint="eastAsia"/>
        </w:rPr>
        <w:t>北京市各级人民代表大会常务委员会听取和审议人民政府、人民法院和人民检察院专项工作报告办法</w:t>
      </w:r>
      <w:r>
        <w:rPr>
          <w:rFonts w:hint="eastAsia"/>
        </w:rPr>
        <w:tab/>
      </w:r>
      <w:r>
        <w:rPr>
          <w:rFonts w:hint="eastAsia" w:ascii="华文宋体" w:hAnsi="华文宋体" w:eastAsia="华文宋体" w:cs="华文宋体"/>
          <w:kern w:val="2"/>
          <w:sz w:val="24"/>
          <w:szCs w:val="24"/>
          <w:lang w:val="en-US" w:eastAsia="zh-CN" w:bidi="ar-SA"/>
        </w:rPr>
        <w:t>58</w:t>
      </w:r>
    </w:p>
    <w:p w14:paraId="40EC1B11">
      <w:pPr>
        <w:tabs>
          <w:tab w:val="right" w:leader="middleDot" w:pos="8295"/>
        </w:tabs>
        <w:ind w:firstLine="0" w:firstLineChars="0"/>
        <w:jc w:val="left"/>
        <w:rPr>
          <w:rFonts w:hint="eastAsia"/>
        </w:rPr>
      </w:pPr>
      <w:r>
        <w:rPr>
          <w:rFonts w:hint="eastAsia"/>
        </w:rPr>
        <w:t>北京市食品安全条例</w:t>
      </w:r>
      <w:r>
        <w:rPr>
          <w:rFonts w:hint="eastAsia"/>
        </w:rPr>
        <w:tab/>
      </w:r>
      <w:r>
        <w:rPr>
          <w:rFonts w:hint="eastAsia" w:ascii="华文宋体" w:hAnsi="华文宋体" w:eastAsia="华文宋体" w:cs="华文宋体"/>
          <w:kern w:val="2"/>
          <w:sz w:val="24"/>
          <w:szCs w:val="24"/>
          <w:lang w:val="en-US" w:eastAsia="zh-CN" w:bidi="ar-SA"/>
        </w:rPr>
        <w:t>1289</w:t>
      </w:r>
    </w:p>
    <w:p w14:paraId="6377C6C7">
      <w:pPr>
        <w:tabs>
          <w:tab w:val="right" w:leader="middleDot" w:pos="8295"/>
        </w:tabs>
        <w:ind w:firstLine="0" w:firstLineChars="0"/>
        <w:jc w:val="left"/>
        <w:rPr>
          <w:rFonts w:hint="eastAsia"/>
        </w:rPr>
      </w:pPr>
      <w:r>
        <w:rPr>
          <w:rFonts w:hint="eastAsia"/>
        </w:rPr>
        <w:t>北京市自建设施供水管理办法</w:t>
      </w:r>
      <w:r>
        <w:rPr>
          <w:rFonts w:hint="eastAsia"/>
        </w:rPr>
        <w:tab/>
      </w:r>
      <w:r>
        <w:rPr>
          <w:rFonts w:hint="eastAsia" w:ascii="华文宋体" w:hAnsi="华文宋体" w:eastAsia="华文宋体" w:cs="华文宋体"/>
          <w:kern w:val="2"/>
          <w:sz w:val="24"/>
          <w:szCs w:val="24"/>
          <w:lang w:val="en-US" w:eastAsia="zh-CN" w:bidi="ar-SA"/>
        </w:rPr>
        <w:t>1209</w:t>
      </w:r>
    </w:p>
    <w:p w14:paraId="65BDE2A9">
      <w:pPr>
        <w:tabs>
          <w:tab w:val="right" w:leader="middleDot" w:pos="8295"/>
        </w:tabs>
        <w:ind w:firstLine="0" w:firstLineChars="0"/>
        <w:jc w:val="left"/>
        <w:rPr>
          <w:rFonts w:hint="eastAsia"/>
        </w:rPr>
      </w:pPr>
      <w:r>
        <w:rPr>
          <w:rFonts w:hint="eastAsia"/>
        </w:rPr>
        <w:t>北京市实施《地方志工作条例》办法</w:t>
      </w:r>
      <w:r>
        <w:rPr>
          <w:rFonts w:hint="eastAsia"/>
        </w:rPr>
        <w:tab/>
      </w:r>
      <w:r>
        <w:rPr>
          <w:rFonts w:hint="eastAsia" w:ascii="华文宋体" w:hAnsi="华文宋体" w:eastAsia="华文宋体" w:cs="华文宋体"/>
          <w:kern w:val="2"/>
          <w:sz w:val="24"/>
          <w:szCs w:val="24"/>
          <w:lang w:val="en-US" w:eastAsia="zh-CN" w:bidi="ar-SA"/>
        </w:rPr>
        <w:t>796</w:t>
      </w:r>
    </w:p>
    <w:p w14:paraId="7B35CAE3">
      <w:pPr>
        <w:tabs>
          <w:tab w:val="right" w:leader="middleDot" w:pos="8295"/>
        </w:tabs>
        <w:ind w:firstLine="0" w:firstLineChars="0"/>
        <w:jc w:val="left"/>
        <w:rPr>
          <w:rFonts w:hint="eastAsia"/>
        </w:rPr>
      </w:pPr>
      <w:r>
        <w:rPr>
          <w:rFonts w:hint="eastAsia"/>
        </w:rPr>
        <w:t>北京市人力客运三轮车胡同游特许经营若干规定</w:t>
      </w:r>
      <w:r>
        <w:rPr>
          <w:rFonts w:hint="eastAsia"/>
        </w:rPr>
        <w:tab/>
      </w:r>
      <w:r>
        <w:rPr>
          <w:rFonts w:hint="eastAsia" w:ascii="华文宋体" w:hAnsi="华文宋体" w:eastAsia="华文宋体" w:cs="华文宋体"/>
          <w:kern w:val="2"/>
          <w:sz w:val="24"/>
          <w:szCs w:val="24"/>
          <w:lang w:val="en-US" w:eastAsia="zh-CN" w:bidi="ar-SA"/>
        </w:rPr>
        <w:t>851</w:t>
      </w:r>
    </w:p>
    <w:p w14:paraId="15A0BFAE">
      <w:pPr>
        <w:tabs>
          <w:tab w:val="right" w:leader="middleDot" w:pos="8295"/>
        </w:tabs>
        <w:ind w:firstLine="0" w:firstLineChars="0"/>
        <w:jc w:val="left"/>
        <w:rPr>
          <w:rFonts w:hint="eastAsia"/>
        </w:rPr>
      </w:pPr>
      <w:r>
        <w:rPr>
          <w:rFonts w:hint="eastAsia"/>
        </w:rPr>
        <w:t>北京市房屋租赁管理若干规定</w:t>
      </w:r>
      <w:r>
        <w:rPr>
          <w:rFonts w:hint="eastAsia"/>
        </w:rPr>
        <w:tab/>
      </w:r>
      <w:r>
        <w:rPr>
          <w:rFonts w:hint="eastAsia" w:ascii="华文宋体" w:hAnsi="华文宋体" w:eastAsia="华文宋体" w:cs="华文宋体"/>
          <w:kern w:val="2"/>
          <w:sz w:val="24"/>
          <w:szCs w:val="24"/>
          <w:lang w:val="en-US" w:eastAsia="zh-CN" w:bidi="ar-SA"/>
        </w:rPr>
        <w:t>473</w:t>
      </w:r>
    </w:p>
    <w:p w14:paraId="3B9A56A6">
      <w:pPr>
        <w:tabs>
          <w:tab w:val="right" w:leader="middleDot" w:pos="8295"/>
        </w:tabs>
        <w:ind w:firstLine="0" w:firstLineChars="0"/>
        <w:jc w:val="left"/>
        <w:rPr>
          <w:rFonts w:hint="eastAsia"/>
        </w:rPr>
      </w:pPr>
      <w:r>
        <w:rPr>
          <w:rFonts w:hint="eastAsia"/>
        </w:rPr>
        <w:t>北京市大型社会活动安全检查办法</w:t>
      </w:r>
      <w:r>
        <w:rPr>
          <w:rFonts w:hint="eastAsia"/>
        </w:rPr>
        <w:tab/>
      </w:r>
      <w:r>
        <w:rPr>
          <w:rFonts w:hint="eastAsia" w:ascii="华文宋体" w:hAnsi="华文宋体" w:eastAsia="华文宋体" w:cs="华文宋体"/>
          <w:kern w:val="2"/>
          <w:sz w:val="24"/>
          <w:szCs w:val="24"/>
          <w:lang w:val="en-US" w:eastAsia="zh-CN" w:bidi="ar-SA"/>
        </w:rPr>
        <w:t>941</w:t>
      </w:r>
    </w:p>
    <w:p w14:paraId="1E6BC795">
      <w:pPr>
        <w:tabs>
          <w:tab w:val="right" w:leader="middleDot" w:pos="8295"/>
        </w:tabs>
        <w:ind w:firstLine="0" w:firstLineChars="0"/>
        <w:jc w:val="left"/>
        <w:rPr>
          <w:rFonts w:hint="eastAsia"/>
        </w:rPr>
      </w:pPr>
      <w:r>
        <w:rPr>
          <w:rFonts w:hint="eastAsia"/>
        </w:rPr>
        <w:t>北京市农村消防安全管理规定</w:t>
      </w:r>
      <w:r>
        <w:rPr>
          <w:rFonts w:hint="eastAsia"/>
        </w:rPr>
        <w:tab/>
      </w:r>
      <w:r>
        <w:rPr>
          <w:rFonts w:hint="eastAsia" w:ascii="华文宋体" w:hAnsi="华文宋体" w:eastAsia="华文宋体" w:cs="华文宋体"/>
          <w:kern w:val="2"/>
          <w:sz w:val="24"/>
          <w:szCs w:val="24"/>
          <w:lang w:val="en-US" w:eastAsia="zh-CN" w:bidi="ar-SA"/>
        </w:rPr>
        <w:t>944</w:t>
      </w:r>
    </w:p>
    <w:p w14:paraId="430B56A5">
      <w:pPr>
        <w:tabs>
          <w:tab w:val="right" w:leader="middleDot" w:pos="8295"/>
        </w:tabs>
        <w:ind w:firstLine="0" w:firstLineChars="0"/>
        <w:jc w:val="left"/>
        <w:rPr>
          <w:rFonts w:hint="eastAsia"/>
        </w:rPr>
      </w:pPr>
      <w:r>
        <w:rPr>
          <w:rFonts w:hint="eastAsia"/>
        </w:rPr>
        <w:t>北京市民用运力国防动员办法</w:t>
      </w:r>
      <w:r>
        <w:rPr>
          <w:rFonts w:hint="eastAsia"/>
        </w:rPr>
        <w:tab/>
      </w:r>
      <w:r>
        <w:rPr>
          <w:rFonts w:hint="eastAsia" w:ascii="华文宋体" w:hAnsi="华文宋体" w:eastAsia="华文宋体" w:cs="华文宋体"/>
          <w:kern w:val="2"/>
          <w:sz w:val="24"/>
          <w:szCs w:val="24"/>
          <w:lang w:val="en-US" w:eastAsia="zh-CN" w:bidi="ar-SA"/>
        </w:rPr>
        <w:t>193</w:t>
      </w:r>
    </w:p>
    <w:p w14:paraId="3DA0744D">
      <w:pPr>
        <w:tabs>
          <w:tab w:val="right" w:leader="middleDot" w:pos="8295"/>
        </w:tabs>
        <w:ind w:firstLine="0" w:firstLineChars="0"/>
        <w:jc w:val="left"/>
        <w:rPr>
          <w:rFonts w:hint="eastAsia"/>
        </w:rPr>
      </w:pPr>
      <w:r>
        <w:rPr>
          <w:rFonts w:hint="eastAsia"/>
        </w:rPr>
        <w:t>北京市实施城市管理相对集中行政处罚权办法</w:t>
      </w:r>
      <w:r>
        <w:rPr>
          <w:rFonts w:hint="eastAsia"/>
        </w:rPr>
        <w:tab/>
      </w:r>
      <w:r>
        <w:rPr>
          <w:rFonts w:hint="eastAsia" w:ascii="华文宋体" w:hAnsi="华文宋体" w:eastAsia="华文宋体" w:cs="华文宋体"/>
          <w:kern w:val="2"/>
          <w:sz w:val="24"/>
          <w:szCs w:val="24"/>
          <w:lang w:val="en-US" w:eastAsia="zh-CN" w:bidi="ar-SA"/>
        </w:rPr>
        <w:t>1212</w:t>
      </w:r>
    </w:p>
    <w:p w14:paraId="60193008">
      <w:pPr>
        <w:tabs>
          <w:tab w:val="right" w:leader="middleDot" w:pos="8295"/>
        </w:tabs>
        <w:ind w:firstLine="0" w:firstLineChars="0"/>
        <w:jc w:val="left"/>
        <w:rPr>
          <w:rFonts w:hint="eastAsia"/>
        </w:rPr>
      </w:pPr>
      <w:r>
        <w:rPr>
          <w:rFonts w:hint="eastAsia"/>
        </w:rPr>
        <w:t>北京市展会知识产权保护办法</w:t>
      </w:r>
      <w:r>
        <w:rPr>
          <w:rFonts w:hint="eastAsia"/>
        </w:rPr>
        <w:tab/>
      </w:r>
      <w:r>
        <w:rPr>
          <w:rFonts w:hint="eastAsia" w:ascii="华文宋体" w:hAnsi="华文宋体" w:eastAsia="华文宋体" w:cs="华文宋体"/>
          <w:kern w:val="2"/>
          <w:sz w:val="24"/>
          <w:szCs w:val="24"/>
          <w:lang w:val="en-US" w:eastAsia="zh-CN" w:bidi="ar-SA"/>
        </w:rPr>
        <w:t>602</w:t>
      </w:r>
    </w:p>
    <w:p w14:paraId="32CAEF60">
      <w:pPr>
        <w:tabs>
          <w:tab w:val="right" w:leader="middleDot" w:pos="8295"/>
        </w:tabs>
        <w:ind w:firstLine="0" w:firstLineChars="0"/>
        <w:jc w:val="left"/>
      </w:pPr>
    </w:p>
    <w:p w14:paraId="0140C5F0">
      <w:pPr>
        <w:tabs>
          <w:tab w:val="right" w:leader="middleDot" w:pos="8295"/>
        </w:tabs>
        <w:ind w:firstLine="0" w:firstLineChars="0"/>
        <w:jc w:val="center"/>
        <w:rPr>
          <w:rFonts w:hint="eastAsia"/>
          <w:sz w:val="28"/>
        </w:rPr>
      </w:pPr>
      <w:r>
        <w:rPr>
          <w:rFonts w:hint="eastAsia"/>
          <w:sz w:val="28"/>
        </w:rPr>
        <w:t>二零零八年</w:t>
      </w:r>
    </w:p>
    <w:p w14:paraId="2D938BB8">
      <w:pPr>
        <w:tabs>
          <w:tab w:val="right" w:leader="middleDot" w:pos="8295"/>
        </w:tabs>
        <w:ind w:firstLine="0" w:firstLineChars="0"/>
        <w:jc w:val="left"/>
      </w:pPr>
    </w:p>
    <w:p w14:paraId="69A6BCA5">
      <w:pPr>
        <w:tabs>
          <w:tab w:val="right" w:leader="middleDot" w:pos="8295"/>
        </w:tabs>
        <w:ind w:firstLine="0" w:firstLineChars="0"/>
        <w:jc w:val="left"/>
        <w:rPr>
          <w:rFonts w:hint="eastAsia"/>
        </w:rPr>
      </w:pPr>
      <w:r>
        <w:rPr>
          <w:rFonts w:hint="eastAsia"/>
        </w:rPr>
        <w:t>北京市实施《中华人民共和国突发事件应对法》办法</w:t>
      </w:r>
      <w:r>
        <w:rPr>
          <w:rFonts w:hint="eastAsia"/>
        </w:rPr>
        <w:tab/>
      </w:r>
      <w:r>
        <w:rPr>
          <w:rFonts w:hint="eastAsia" w:ascii="华文宋体" w:hAnsi="华文宋体" w:eastAsia="华文宋体" w:cs="华文宋体"/>
          <w:kern w:val="2"/>
          <w:sz w:val="24"/>
          <w:szCs w:val="24"/>
          <w:lang w:val="en-US" w:eastAsia="zh-CN" w:bidi="ar-SA"/>
        </w:rPr>
        <w:t>110</w:t>
      </w:r>
    </w:p>
    <w:p w14:paraId="23C16B32">
      <w:pPr>
        <w:tabs>
          <w:tab w:val="right" w:leader="middleDot" w:pos="8295"/>
        </w:tabs>
        <w:ind w:firstLine="0" w:firstLineChars="0"/>
        <w:jc w:val="left"/>
        <w:rPr>
          <w:rFonts w:hint="eastAsia"/>
        </w:rPr>
      </w:pPr>
      <w:r>
        <w:rPr>
          <w:rFonts w:hint="eastAsia"/>
        </w:rPr>
        <w:t>北京市法律援助条例</w:t>
      </w:r>
      <w:r>
        <w:rPr>
          <w:rFonts w:hint="eastAsia"/>
        </w:rPr>
        <w:tab/>
      </w:r>
      <w:r>
        <w:rPr>
          <w:rFonts w:hint="eastAsia" w:ascii="华文宋体" w:hAnsi="华文宋体" w:eastAsia="华文宋体" w:cs="华文宋体"/>
          <w:kern w:val="2"/>
          <w:sz w:val="24"/>
          <w:szCs w:val="24"/>
          <w:lang w:val="en-US" w:eastAsia="zh-CN" w:bidi="ar-SA"/>
        </w:rPr>
        <w:t>161</w:t>
      </w:r>
    </w:p>
    <w:p w14:paraId="583308E6">
      <w:pPr>
        <w:tabs>
          <w:tab w:val="right" w:leader="middleDot" w:pos="8295"/>
        </w:tabs>
        <w:ind w:firstLine="0" w:firstLineChars="0"/>
        <w:jc w:val="left"/>
        <w:rPr>
          <w:rFonts w:hint="eastAsia"/>
        </w:rPr>
      </w:pPr>
      <w:r>
        <w:rPr>
          <w:rFonts w:hint="eastAsia"/>
        </w:rPr>
        <w:t>北京市实施《农村五保供养工作条例》办法</w:t>
      </w:r>
      <w:r>
        <w:rPr>
          <w:rFonts w:hint="eastAsia"/>
        </w:rPr>
        <w:tab/>
      </w:r>
      <w:r>
        <w:rPr>
          <w:rFonts w:hint="eastAsia" w:ascii="华文宋体" w:hAnsi="华文宋体" w:eastAsia="华文宋体" w:cs="华文宋体"/>
          <w:kern w:val="2"/>
          <w:sz w:val="24"/>
          <w:szCs w:val="24"/>
          <w:lang w:val="en-US" w:eastAsia="zh-CN" w:bidi="ar-SA"/>
        </w:rPr>
        <w:t>1017</w:t>
      </w:r>
    </w:p>
    <w:p w14:paraId="4F647D80">
      <w:pPr>
        <w:tabs>
          <w:tab w:val="right" w:leader="middleDot" w:pos="8295"/>
        </w:tabs>
        <w:ind w:firstLine="0" w:firstLineChars="0"/>
        <w:jc w:val="left"/>
        <w:rPr>
          <w:rFonts w:hint="eastAsia"/>
        </w:rPr>
      </w:pPr>
      <w:r>
        <w:rPr>
          <w:rFonts w:hint="eastAsia"/>
        </w:rPr>
        <w:t>北京市公共场所禁止吸烟范围若干规定</w:t>
      </w:r>
      <w:r>
        <w:rPr>
          <w:rFonts w:hint="eastAsia"/>
        </w:rPr>
        <w:tab/>
      </w:r>
      <w:r>
        <w:rPr>
          <w:rFonts w:hint="eastAsia" w:ascii="华文宋体" w:hAnsi="华文宋体" w:eastAsia="华文宋体" w:cs="华文宋体"/>
          <w:kern w:val="2"/>
          <w:sz w:val="24"/>
          <w:szCs w:val="24"/>
          <w:lang w:val="en-US" w:eastAsia="zh-CN" w:bidi="ar-SA"/>
        </w:rPr>
        <w:t>1281</w:t>
      </w:r>
    </w:p>
    <w:p w14:paraId="167E5FDD">
      <w:pPr>
        <w:tabs>
          <w:tab w:val="right" w:leader="middleDot" w:pos="8295"/>
        </w:tabs>
        <w:ind w:firstLine="0" w:firstLineChars="0"/>
        <w:jc w:val="left"/>
        <w:rPr>
          <w:rFonts w:hint="eastAsia"/>
        </w:rPr>
      </w:pPr>
      <w:r>
        <w:rPr>
          <w:rFonts w:hint="eastAsia"/>
        </w:rPr>
        <w:t>北京市电梯安全监督管理办法</w:t>
      </w:r>
      <w:r>
        <w:rPr>
          <w:rFonts w:hint="eastAsia"/>
        </w:rPr>
        <w:tab/>
      </w:r>
      <w:r>
        <w:rPr>
          <w:rFonts w:hint="eastAsia" w:ascii="华文宋体" w:hAnsi="华文宋体" w:eastAsia="华文宋体" w:cs="华文宋体"/>
          <w:kern w:val="2"/>
          <w:sz w:val="24"/>
          <w:szCs w:val="24"/>
          <w:lang w:val="en-US" w:eastAsia="zh-CN" w:bidi="ar-SA"/>
        </w:rPr>
        <w:t>987</w:t>
      </w:r>
    </w:p>
    <w:p w14:paraId="53D44518">
      <w:pPr>
        <w:tabs>
          <w:tab w:val="right" w:leader="middleDot" w:pos="8295"/>
        </w:tabs>
        <w:ind w:firstLine="0" w:firstLineChars="0"/>
        <w:jc w:val="left"/>
        <w:rPr>
          <w:rFonts w:hint="eastAsia"/>
        </w:rPr>
      </w:pPr>
      <w:r>
        <w:rPr>
          <w:rFonts w:hint="eastAsia"/>
        </w:rPr>
        <w:t>北京市林业植物检疫办法</w:t>
      </w:r>
      <w:r>
        <w:rPr>
          <w:rFonts w:hint="eastAsia"/>
        </w:rPr>
        <w:tab/>
      </w:r>
      <w:r>
        <w:rPr>
          <w:rFonts w:hint="eastAsia" w:ascii="华文宋体" w:hAnsi="华文宋体" w:eastAsia="华文宋体" w:cs="华文宋体"/>
          <w:kern w:val="2"/>
          <w:sz w:val="24"/>
          <w:szCs w:val="24"/>
          <w:lang w:val="en-US" w:eastAsia="zh-CN" w:bidi="ar-SA"/>
        </w:rPr>
        <w:t>585</w:t>
      </w:r>
    </w:p>
    <w:p w14:paraId="133FB3C4">
      <w:pPr>
        <w:tabs>
          <w:tab w:val="right" w:leader="middleDot" w:pos="8295"/>
        </w:tabs>
        <w:ind w:firstLine="0" w:firstLineChars="0"/>
        <w:jc w:val="left"/>
        <w:rPr>
          <w:rFonts w:hint="eastAsia"/>
        </w:rPr>
      </w:pPr>
      <w:r>
        <w:rPr>
          <w:rFonts w:hint="eastAsia"/>
        </w:rPr>
        <w:t>北京市商业零售经营单位促销活动管理规定</w:t>
      </w:r>
      <w:r>
        <w:rPr>
          <w:rFonts w:hint="eastAsia"/>
        </w:rPr>
        <w:tab/>
      </w:r>
      <w:r>
        <w:rPr>
          <w:rFonts w:hint="eastAsia" w:ascii="华文宋体" w:hAnsi="华文宋体" w:eastAsia="华文宋体" w:cs="华文宋体"/>
          <w:kern w:val="2"/>
          <w:sz w:val="24"/>
          <w:szCs w:val="24"/>
          <w:lang w:val="en-US" w:eastAsia="zh-CN" w:bidi="ar-SA"/>
        </w:rPr>
        <w:t>611</w:t>
      </w:r>
    </w:p>
    <w:p w14:paraId="0A19BA93">
      <w:pPr>
        <w:tabs>
          <w:tab w:val="right" w:leader="middleDot" w:pos="8295"/>
        </w:tabs>
        <w:ind w:firstLine="0" w:firstLineChars="0"/>
        <w:jc w:val="left"/>
        <w:rPr>
          <w:rFonts w:hint="eastAsia"/>
        </w:rPr>
      </w:pPr>
      <w:r>
        <w:rPr>
          <w:rFonts w:hint="eastAsia"/>
        </w:rPr>
        <w:t>北京市公共厕所管理办法</w:t>
      </w:r>
      <w:r>
        <w:rPr>
          <w:rFonts w:hint="eastAsia"/>
        </w:rPr>
        <w:tab/>
      </w:r>
      <w:r>
        <w:rPr>
          <w:rFonts w:hint="eastAsia" w:ascii="华文宋体" w:hAnsi="华文宋体" w:eastAsia="华文宋体" w:cs="华文宋体"/>
          <w:kern w:val="2"/>
          <w:sz w:val="24"/>
          <w:szCs w:val="24"/>
          <w:lang w:val="en-US" w:eastAsia="zh-CN" w:bidi="ar-SA"/>
        </w:rPr>
        <w:t>1216</w:t>
      </w:r>
    </w:p>
    <w:p w14:paraId="0356F268">
      <w:pPr>
        <w:tabs>
          <w:tab w:val="right" w:leader="middleDot" w:pos="8295"/>
        </w:tabs>
        <w:ind w:firstLine="0" w:firstLineChars="0"/>
        <w:jc w:val="left"/>
      </w:pPr>
    </w:p>
    <w:p w14:paraId="5B4990FE">
      <w:pPr>
        <w:tabs>
          <w:tab w:val="right" w:leader="middleDot" w:pos="8295"/>
        </w:tabs>
        <w:ind w:firstLine="0" w:firstLineChars="0"/>
        <w:jc w:val="center"/>
        <w:rPr>
          <w:rFonts w:hint="eastAsia"/>
          <w:sz w:val="28"/>
        </w:rPr>
      </w:pPr>
      <w:r>
        <w:rPr>
          <w:rFonts w:hint="eastAsia"/>
          <w:sz w:val="28"/>
        </w:rPr>
        <w:t>二零零九年</w:t>
      </w:r>
    </w:p>
    <w:p w14:paraId="5A7BD8B2">
      <w:pPr>
        <w:tabs>
          <w:tab w:val="right" w:leader="middleDot" w:pos="8295"/>
        </w:tabs>
        <w:ind w:firstLine="0" w:firstLineChars="0"/>
        <w:jc w:val="left"/>
      </w:pPr>
    </w:p>
    <w:p w14:paraId="1DC5CC3E">
      <w:pPr>
        <w:tabs>
          <w:tab w:val="right" w:leader="middleDot" w:pos="8295"/>
        </w:tabs>
        <w:ind w:firstLine="0" w:firstLineChars="0"/>
        <w:jc w:val="left"/>
        <w:rPr>
          <w:rFonts w:hint="eastAsia"/>
        </w:rPr>
      </w:pPr>
      <w:r>
        <w:rPr>
          <w:rFonts w:hint="eastAsia"/>
        </w:rPr>
        <w:t>北京市城乡规划条例</w:t>
      </w:r>
      <w:r>
        <w:rPr>
          <w:rFonts w:hint="eastAsia"/>
        </w:rPr>
        <w:tab/>
      </w:r>
      <w:r>
        <w:rPr>
          <w:rFonts w:hint="eastAsia" w:ascii="华文宋体" w:hAnsi="华文宋体" w:eastAsia="华文宋体" w:cs="华文宋体"/>
          <w:kern w:val="2"/>
          <w:sz w:val="24"/>
          <w:szCs w:val="24"/>
          <w:lang w:val="en-US" w:eastAsia="zh-CN" w:bidi="ar-SA"/>
        </w:rPr>
        <w:t>365</w:t>
      </w:r>
    </w:p>
    <w:p w14:paraId="33137B11">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北京市道路运输条例</w:t>
      </w:r>
      <w:r>
        <w:rPr>
          <w:rFonts w:hint="eastAsia"/>
        </w:rPr>
        <w:tab/>
      </w:r>
      <w:r>
        <w:rPr>
          <w:rFonts w:hint="eastAsia" w:ascii="华文宋体" w:hAnsi="华文宋体" w:eastAsia="华文宋体" w:cs="华文宋体"/>
          <w:kern w:val="2"/>
          <w:sz w:val="24"/>
          <w:szCs w:val="24"/>
          <w:lang w:val="en-US" w:eastAsia="zh-CN" w:bidi="ar-SA"/>
        </w:rPr>
        <w:t>268</w:t>
      </w:r>
    </w:p>
    <w:p w14:paraId="444E8CF1">
      <w:pPr>
        <w:tabs>
          <w:tab w:val="right" w:leader="middleDot" w:pos="8295"/>
        </w:tabs>
        <w:ind w:firstLine="0" w:firstLineChars="0"/>
        <w:jc w:val="left"/>
        <w:rPr>
          <w:rFonts w:hint="eastAsia"/>
        </w:rPr>
      </w:pPr>
      <w:r>
        <w:rPr>
          <w:rFonts w:hint="eastAsia"/>
        </w:rPr>
        <w:t>北京市实施《中华人民共和国农民专业合作社法》办法</w:t>
      </w:r>
      <w:r>
        <w:rPr>
          <w:rFonts w:hint="eastAsia"/>
        </w:rPr>
        <w:tab/>
      </w:r>
      <w:r>
        <w:rPr>
          <w:rFonts w:hint="eastAsia" w:ascii="华文宋体" w:hAnsi="华文宋体" w:eastAsia="华文宋体" w:cs="华文宋体"/>
          <w:kern w:val="2"/>
          <w:sz w:val="24"/>
          <w:szCs w:val="24"/>
          <w:lang w:val="en-US" w:eastAsia="zh-CN" w:bidi="ar-SA"/>
        </w:rPr>
        <w:t>520</w:t>
      </w:r>
    </w:p>
    <w:p w14:paraId="59989506">
      <w:pPr>
        <w:tabs>
          <w:tab w:val="right" w:leader="middleDot" w:pos="8295"/>
        </w:tabs>
        <w:ind w:firstLine="0" w:firstLineChars="0"/>
        <w:jc w:val="left"/>
        <w:rPr>
          <w:rFonts w:hint="eastAsia"/>
        </w:rPr>
      </w:pPr>
      <w:r>
        <w:rPr>
          <w:rFonts w:hint="eastAsia"/>
        </w:rPr>
        <w:t>北京市绿化条例</w:t>
      </w:r>
      <w:r>
        <w:rPr>
          <w:rFonts w:hint="eastAsia"/>
        </w:rPr>
        <w:tab/>
      </w:r>
      <w:r>
        <w:rPr>
          <w:rFonts w:hint="eastAsia" w:ascii="华文宋体" w:hAnsi="华文宋体" w:eastAsia="华文宋体" w:cs="华文宋体"/>
          <w:kern w:val="2"/>
          <w:sz w:val="24"/>
          <w:szCs w:val="24"/>
          <w:lang w:val="en-US" w:eastAsia="zh-CN" w:bidi="ar-SA"/>
        </w:rPr>
        <w:t>1460</w:t>
      </w:r>
    </w:p>
    <w:p w14:paraId="75705722">
      <w:pPr>
        <w:tabs>
          <w:tab w:val="right" w:leader="middleDot" w:pos="8295"/>
        </w:tabs>
        <w:ind w:firstLine="0" w:firstLineChars="0"/>
        <w:jc w:val="left"/>
        <w:rPr>
          <w:rFonts w:hint="eastAsia"/>
        </w:rPr>
      </w:pPr>
      <w:r>
        <w:rPr>
          <w:rFonts w:hint="eastAsia"/>
        </w:rPr>
        <w:t>北京市实施《中华人民共和国耕地占用税暂行条例》办法</w:t>
      </w:r>
      <w:r>
        <w:rPr>
          <w:rFonts w:hint="eastAsia"/>
        </w:rPr>
        <w:tab/>
      </w:r>
      <w:r>
        <w:rPr>
          <w:rFonts w:hint="eastAsia" w:ascii="华文宋体" w:hAnsi="华文宋体" w:eastAsia="华文宋体" w:cs="华文宋体"/>
          <w:kern w:val="2"/>
          <w:sz w:val="24"/>
          <w:szCs w:val="24"/>
          <w:lang w:val="en-US" w:eastAsia="zh-CN" w:bidi="ar-SA"/>
        </w:rPr>
        <w:t>236</w:t>
      </w:r>
    </w:p>
    <w:p w14:paraId="26050EB8">
      <w:pPr>
        <w:tabs>
          <w:tab w:val="right" w:leader="middleDot" w:pos="8295"/>
        </w:tabs>
        <w:ind w:firstLine="0" w:firstLineChars="0"/>
        <w:jc w:val="left"/>
        <w:rPr>
          <w:rFonts w:hint="eastAsia"/>
        </w:rPr>
      </w:pPr>
      <w:r>
        <w:rPr>
          <w:rFonts w:hint="eastAsia"/>
        </w:rPr>
        <w:t>北京市重点保护陆生野生动物造成损失补偿办法</w:t>
      </w:r>
      <w:r>
        <w:rPr>
          <w:rFonts w:hint="eastAsia"/>
        </w:rPr>
        <w:tab/>
      </w:r>
      <w:r>
        <w:rPr>
          <w:rFonts w:hint="eastAsia" w:ascii="华文宋体" w:hAnsi="华文宋体" w:eastAsia="华文宋体" w:cs="华文宋体"/>
          <w:kern w:val="2"/>
          <w:sz w:val="24"/>
          <w:szCs w:val="24"/>
          <w:lang w:val="en-US" w:eastAsia="zh-CN" w:bidi="ar-SA"/>
        </w:rPr>
        <w:t>1406</w:t>
      </w:r>
    </w:p>
    <w:p w14:paraId="5CF68448">
      <w:pPr>
        <w:tabs>
          <w:tab w:val="right" w:leader="middleDot" w:pos="8295"/>
        </w:tabs>
        <w:ind w:firstLine="0" w:firstLineChars="0"/>
        <w:jc w:val="left"/>
        <w:rPr>
          <w:rFonts w:hint="eastAsia"/>
        </w:rPr>
      </w:pPr>
      <w:r>
        <w:rPr>
          <w:rFonts w:hint="eastAsia"/>
        </w:rPr>
        <w:t>周口店遗址保护管理办法</w:t>
      </w:r>
      <w:r>
        <w:rPr>
          <w:rFonts w:hint="eastAsia"/>
        </w:rPr>
        <w:tab/>
      </w:r>
      <w:r>
        <w:rPr>
          <w:rFonts w:hint="eastAsia" w:ascii="华文宋体" w:hAnsi="华文宋体" w:eastAsia="华文宋体" w:cs="华文宋体"/>
          <w:kern w:val="2"/>
          <w:sz w:val="24"/>
          <w:szCs w:val="24"/>
          <w:lang w:val="en-US" w:eastAsia="zh-CN" w:bidi="ar-SA"/>
        </w:rPr>
        <w:t>826</w:t>
      </w:r>
    </w:p>
    <w:p w14:paraId="0DF55552">
      <w:pPr>
        <w:tabs>
          <w:tab w:val="right" w:leader="middleDot" w:pos="8295"/>
        </w:tabs>
        <w:ind w:firstLine="0" w:firstLineChars="0"/>
        <w:jc w:val="left"/>
        <w:rPr>
          <w:rFonts w:hint="eastAsia"/>
        </w:rPr>
      </w:pPr>
      <w:r>
        <w:rPr>
          <w:rFonts w:hint="eastAsia"/>
        </w:rPr>
        <w:t>北京市献血管理办法</w:t>
      </w:r>
      <w:r>
        <w:rPr>
          <w:rFonts w:hint="eastAsia"/>
        </w:rPr>
        <w:tab/>
      </w:r>
      <w:r>
        <w:rPr>
          <w:rFonts w:hint="eastAsia" w:ascii="华文宋体" w:hAnsi="华文宋体" w:eastAsia="华文宋体" w:cs="华文宋体"/>
          <w:kern w:val="2"/>
          <w:sz w:val="24"/>
          <w:szCs w:val="24"/>
          <w:lang w:val="en-US" w:eastAsia="zh-CN" w:bidi="ar-SA"/>
        </w:rPr>
        <w:t>1283</w:t>
      </w:r>
    </w:p>
    <w:p w14:paraId="18939D4D">
      <w:pPr>
        <w:tabs>
          <w:tab w:val="right" w:leader="middleDot" w:pos="8295"/>
        </w:tabs>
        <w:ind w:firstLine="0" w:firstLineChars="0"/>
        <w:jc w:val="left"/>
        <w:rPr>
          <w:rFonts w:hint="eastAsia"/>
        </w:rPr>
      </w:pPr>
      <w:r>
        <w:rPr>
          <w:rFonts w:hint="eastAsia"/>
        </w:rPr>
        <w:t>北京市排水和再生水管理办法</w:t>
      </w:r>
      <w:r>
        <w:rPr>
          <w:rFonts w:hint="eastAsia"/>
        </w:rPr>
        <w:tab/>
      </w:r>
      <w:r>
        <w:rPr>
          <w:rFonts w:hint="eastAsia" w:ascii="华文宋体" w:hAnsi="华文宋体" w:eastAsia="华文宋体" w:cs="华文宋体"/>
          <w:kern w:val="2"/>
          <w:sz w:val="24"/>
          <w:szCs w:val="24"/>
          <w:lang w:val="en-US" w:eastAsia="zh-CN" w:bidi="ar-SA"/>
        </w:rPr>
        <w:t>1219</w:t>
      </w:r>
    </w:p>
    <w:p w14:paraId="3E62D83E">
      <w:pPr>
        <w:tabs>
          <w:tab w:val="right" w:leader="middleDot" w:pos="8295"/>
        </w:tabs>
        <w:ind w:firstLine="0" w:firstLineChars="0"/>
        <w:jc w:val="left"/>
        <w:rPr>
          <w:rFonts w:hint="eastAsia"/>
        </w:rPr>
      </w:pPr>
      <w:r>
        <w:rPr>
          <w:rFonts w:hint="eastAsia"/>
        </w:rPr>
        <w:t>北京市供热采暖管理办法</w:t>
      </w:r>
      <w:r>
        <w:rPr>
          <w:rFonts w:hint="eastAsia"/>
        </w:rPr>
        <w:tab/>
      </w:r>
      <w:r>
        <w:rPr>
          <w:rFonts w:hint="eastAsia" w:ascii="华文宋体" w:hAnsi="华文宋体" w:eastAsia="华文宋体" w:cs="华文宋体"/>
          <w:kern w:val="2"/>
          <w:sz w:val="24"/>
          <w:szCs w:val="24"/>
          <w:lang w:val="en-US" w:eastAsia="zh-CN" w:bidi="ar-SA"/>
        </w:rPr>
        <w:t>1225</w:t>
      </w:r>
    </w:p>
    <w:p w14:paraId="6249D547">
      <w:pPr>
        <w:tabs>
          <w:tab w:val="right" w:leader="middleDot" w:pos="8295"/>
        </w:tabs>
        <w:ind w:firstLine="0" w:firstLineChars="0"/>
        <w:jc w:val="left"/>
        <w:rPr>
          <w:rFonts w:hint="eastAsia"/>
        </w:rPr>
      </w:pPr>
      <w:r>
        <w:rPr>
          <w:rFonts w:hint="eastAsia"/>
        </w:rPr>
        <w:t>北京市生产安全事故报告和调查处理办法</w:t>
      </w:r>
      <w:r>
        <w:rPr>
          <w:rFonts w:hint="eastAsia"/>
        </w:rPr>
        <w:tab/>
      </w:r>
      <w:r>
        <w:rPr>
          <w:rFonts w:hint="eastAsia" w:ascii="华文宋体" w:hAnsi="华文宋体" w:eastAsia="华文宋体" w:cs="华文宋体"/>
          <w:kern w:val="2"/>
          <w:sz w:val="24"/>
          <w:szCs w:val="24"/>
          <w:lang w:val="en-US" w:eastAsia="zh-CN" w:bidi="ar-SA"/>
        </w:rPr>
        <w:t>993</w:t>
      </w:r>
    </w:p>
    <w:p w14:paraId="64286C0C">
      <w:pPr>
        <w:tabs>
          <w:tab w:val="right" w:leader="middleDot" w:pos="8295"/>
        </w:tabs>
        <w:ind w:firstLine="0" w:firstLineChars="0"/>
        <w:jc w:val="left"/>
      </w:pPr>
    </w:p>
    <w:p w14:paraId="2DD5087A">
      <w:pPr>
        <w:tabs>
          <w:tab w:val="right" w:leader="middleDot" w:pos="8295"/>
        </w:tabs>
        <w:ind w:firstLine="0" w:firstLineChars="0"/>
        <w:jc w:val="center"/>
        <w:rPr>
          <w:rFonts w:hint="eastAsia"/>
          <w:sz w:val="28"/>
        </w:rPr>
      </w:pPr>
      <w:r>
        <w:rPr>
          <w:rFonts w:hint="eastAsia"/>
          <w:sz w:val="28"/>
        </w:rPr>
        <w:t>二零一零年</w:t>
      </w:r>
    </w:p>
    <w:p w14:paraId="19C40475">
      <w:pPr>
        <w:tabs>
          <w:tab w:val="right" w:leader="middleDot" w:pos="8295"/>
        </w:tabs>
        <w:ind w:firstLine="0" w:firstLineChars="0"/>
        <w:jc w:val="left"/>
      </w:pPr>
    </w:p>
    <w:p w14:paraId="2256A693">
      <w:pPr>
        <w:tabs>
          <w:tab w:val="right" w:leader="middleDot" w:pos="8295"/>
        </w:tabs>
        <w:ind w:firstLine="0" w:firstLineChars="0"/>
        <w:jc w:val="left"/>
        <w:rPr>
          <w:rFonts w:hint="eastAsia"/>
        </w:rPr>
      </w:pPr>
      <w:r>
        <w:rPr>
          <w:rFonts w:hint="eastAsia"/>
        </w:rPr>
        <w:t>北京市水污染防治条例</w:t>
      </w:r>
      <w:r>
        <w:rPr>
          <w:rFonts w:hint="eastAsia"/>
        </w:rPr>
        <w:tab/>
      </w:r>
      <w:r>
        <w:rPr>
          <w:rFonts w:hint="eastAsia" w:ascii="华文宋体" w:hAnsi="华文宋体" w:eastAsia="华文宋体" w:cs="华文宋体"/>
          <w:kern w:val="2"/>
          <w:sz w:val="24"/>
          <w:szCs w:val="24"/>
          <w:lang w:val="en-US" w:eastAsia="zh-CN" w:bidi="ar-SA"/>
        </w:rPr>
        <w:t>1468</w:t>
      </w:r>
    </w:p>
    <w:p w14:paraId="3793C12C">
      <w:pPr>
        <w:tabs>
          <w:tab w:val="right" w:leader="middleDot" w:pos="8295"/>
        </w:tabs>
        <w:ind w:firstLine="0" w:firstLineChars="0"/>
        <w:jc w:val="left"/>
        <w:rPr>
          <w:rFonts w:hint="eastAsia"/>
        </w:rPr>
      </w:pPr>
      <w:r>
        <w:rPr>
          <w:rFonts w:hint="eastAsia"/>
        </w:rPr>
        <w:t>中关村国家自主创新示范区条例</w:t>
      </w:r>
      <w:r>
        <w:rPr>
          <w:rFonts w:hint="eastAsia"/>
        </w:rPr>
        <w:tab/>
      </w:r>
      <w:r>
        <w:rPr>
          <w:rFonts w:hint="eastAsia" w:ascii="华文宋体" w:hAnsi="华文宋体" w:eastAsia="华文宋体" w:cs="华文宋体"/>
          <w:kern w:val="2"/>
          <w:sz w:val="24"/>
          <w:szCs w:val="24"/>
          <w:lang w:val="en-US" w:eastAsia="zh-CN" w:bidi="ar-SA"/>
        </w:rPr>
        <w:t>750</w:t>
      </w:r>
    </w:p>
    <w:p w14:paraId="5B63507C">
      <w:pPr>
        <w:tabs>
          <w:tab w:val="right" w:leader="middleDot" w:pos="8295"/>
        </w:tabs>
        <w:ind w:firstLine="0" w:firstLineChars="0"/>
        <w:jc w:val="left"/>
        <w:rPr>
          <w:rFonts w:hint="eastAsia"/>
        </w:rPr>
      </w:pPr>
      <w:r>
        <w:rPr>
          <w:rFonts w:hint="eastAsia"/>
        </w:rPr>
        <w:t>北京市农业机械化促进条例</w:t>
      </w:r>
      <w:r>
        <w:rPr>
          <w:rFonts w:hint="eastAsia"/>
        </w:rPr>
        <w:tab/>
      </w:r>
      <w:r>
        <w:rPr>
          <w:rFonts w:hint="eastAsia" w:ascii="华文宋体" w:hAnsi="华文宋体" w:eastAsia="华文宋体" w:cs="华文宋体"/>
          <w:kern w:val="2"/>
          <w:sz w:val="24"/>
          <w:szCs w:val="24"/>
          <w:lang w:val="en-US" w:eastAsia="zh-CN" w:bidi="ar-SA"/>
        </w:rPr>
        <w:t>527</w:t>
      </w:r>
    </w:p>
    <w:p w14:paraId="2C6E7D37">
      <w:pPr>
        <w:tabs>
          <w:tab w:val="right" w:leader="middleDot" w:pos="8295"/>
        </w:tabs>
        <w:ind w:firstLine="0" w:firstLineChars="0"/>
        <w:jc w:val="left"/>
        <w:rPr>
          <w:rFonts w:hint="eastAsia"/>
        </w:rPr>
      </w:pPr>
      <w:r>
        <w:rPr>
          <w:rFonts w:hint="eastAsia"/>
        </w:rPr>
        <w:t>北京天竺综合保税区管理办法</w:t>
      </w:r>
      <w:r>
        <w:rPr>
          <w:rFonts w:hint="eastAsia"/>
        </w:rPr>
        <w:tab/>
      </w:r>
      <w:r>
        <w:rPr>
          <w:rFonts w:hint="eastAsia" w:ascii="华文宋体" w:hAnsi="华文宋体" w:eastAsia="华文宋体" w:cs="华文宋体"/>
          <w:kern w:val="2"/>
          <w:sz w:val="24"/>
          <w:szCs w:val="24"/>
          <w:lang w:val="en-US" w:eastAsia="zh-CN" w:bidi="ar-SA"/>
        </w:rPr>
        <w:t>696</w:t>
      </w:r>
    </w:p>
    <w:p w14:paraId="05514C25">
      <w:pPr>
        <w:tabs>
          <w:tab w:val="right" w:leader="middleDot" w:pos="8295"/>
        </w:tabs>
        <w:ind w:firstLine="0" w:firstLineChars="0"/>
        <w:jc w:val="left"/>
        <w:rPr>
          <w:rFonts w:hint="eastAsia"/>
        </w:rPr>
      </w:pPr>
      <w:r>
        <w:rPr>
          <w:rFonts w:hint="eastAsia"/>
        </w:rPr>
        <w:t>北京市物业管理办法</w:t>
      </w:r>
      <w:r>
        <w:rPr>
          <w:rFonts w:hint="eastAsia"/>
        </w:rPr>
        <w:tab/>
      </w:r>
      <w:r>
        <w:rPr>
          <w:rFonts w:hint="eastAsia" w:ascii="华文宋体" w:hAnsi="华文宋体" w:eastAsia="华文宋体" w:cs="华文宋体"/>
          <w:kern w:val="2"/>
          <w:sz w:val="24"/>
          <w:szCs w:val="24"/>
          <w:lang w:val="en-US" w:eastAsia="zh-CN" w:bidi="ar-SA"/>
        </w:rPr>
        <w:t>479</w:t>
      </w:r>
    </w:p>
    <w:p w14:paraId="7FA97BC0">
      <w:pPr>
        <w:tabs>
          <w:tab w:val="right" w:leader="middleDot" w:pos="8295"/>
        </w:tabs>
        <w:ind w:firstLine="0" w:firstLineChars="0"/>
        <w:jc w:val="left"/>
        <w:rPr>
          <w:rFonts w:hint="eastAsia"/>
        </w:rPr>
      </w:pPr>
      <w:r>
        <w:rPr>
          <w:rFonts w:hint="eastAsia"/>
        </w:rPr>
        <w:t>北京市储备粮管理办法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613</w:t>
      </w:r>
    </w:p>
    <w:p w14:paraId="44E7BCC8">
      <w:pPr>
        <w:tabs>
          <w:tab w:val="right" w:leader="middleDot" w:pos="8295"/>
        </w:tabs>
        <w:ind w:firstLine="0" w:firstLineChars="0"/>
        <w:jc w:val="left"/>
        <w:rPr>
          <w:rFonts w:hint="eastAsia"/>
        </w:rPr>
      </w:pPr>
      <w:r>
        <w:rPr>
          <w:rFonts w:hint="eastAsia"/>
        </w:rPr>
        <w:t>北京市民用机场净空保护区域管理若干规定</w:t>
      </w:r>
      <w:r>
        <w:rPr>
          <w:rFonts w:hint="eastAsia"/>
        </w:rPr>
        <w:tab/>
      </w:r>
      <w:r>
        <w:rPr>
          <w:rFonts w:hint="eastAsia" w:ascii="华文宋体" w:hAnsi="华文宋体" w:eastAsia="华文宋体" w:cs="华文宋体"/>
          <w:kern w:val="2"/>
          <w:sz w:val="24"/>
          <w:szCs w:val="24"/>
          <w:lang w:val="en-US" w:eastAsia="zh-CN" w:bidi="ar-SA"/>
        </w:rPr>
        <w:t>308</w:t>
      </w:r>
    </w:p>
    <w:p w14:paraId="43E7FD9E">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北京市集中空调通风系统卫生管理办法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1286</w:t>
      </w:r>
    </w:p>
    <w:p w14:paraId="59B3CA09">
      <w:pPr>
        <w:tabs>
          <w:tab w:val="right" w:leader="middleDot" w:pos="8295"/>
        </w:tabs>
        <w:ind w:firstLine="0" w:firstLineChars="0"/>
        <w:jc w:val="left"/>
        <w:rPr>
          <w:rFonts w:hint="eastAsia"/>
        </w:rPr>
      </w:pPr>
      <w:r>
        <w:rPr>
          <w:rFonts w:hint="eastAsia"/>
        </w:rPr>
        <w:t>北京市小客车数量调控暂行规定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310</w:t>
      </w:r>
    </w:p>
    <w:p w14:paraId="12FC0216">
      <w:pPr>
        <w:tabs>
          <w:tab w:val="right" w:leader="middleDot" w:pos="8295"/>
        </w:tabs>
        <w:ind w:firstLine="0" w:firstLineChars="0"/>
        <w:jc w:val="left"/>
      </w:pPr>
    </w:p>
    <w:p w14:paraId="6F42E632">
      <w:pPr>
        <w:tabs>
          <w:tab w:val="right" w:leader="middleDot" w:pos="8295"/>
        </w:tabs>
        <w:ind w:firstLine="0" w:firstLineChars="0"/>
        <w:jc w:val="center"/>
        <w:rPr>
          <w:rFonts w:hint="eastAsia"/>
          <w:sz w:val="28"/>
        </w:rPr>
      </w:pPr>
      <w:r>
        <w:rPr>
          <w:rFonts w:hint="eastAsia"/>
          <w:sz w:val="28"/>
        </w:rPr>
        <w:t>二零一一年</w:t>
      </w:r>
    </w:p>
    <w:p w14:paraId="010A9573">
      <w:pPr>
        <w:tabs>
          <w:tab w:val="right" w:leader="middleDot" w:pos="8295"/>
        </w:tabs>
        <w:ind w:firstLine="0" w:firstLineChars="0"/>
        <w:jc w:val="left"/>
      </w:pPr>
    </w:p>
    <w:p w14:paraId="2E38F765">
      <w:pPr>
        <w:tabs>
          <w:tab w:val="right" w:leader="middleDot" w:pos="8295"/>
        </w:tabs>
        <w:ind w:firstLine="0" w:firstLineChars="0"/>
        <w:jc w:val="left"/>
        <w:rPr>
          <w:rFonts w:hint="eastAsia"/>
        </w:rPr>
      </w:pPr>
      <w:r>
        <w:rPr>
          <w:rFonts w:hint="eastAsia"/>
        </w:rPr>
        <w:t>北京市生活垃圾管理条例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1173</w:t>
      </w:r>
    </w:p>
    <w:p w14:paraId="60FA9FB1">
      <w:pPr>
        <w:tabs>
          <w:tab w:val="right" w:leader="middleDot" w:pos="8295"/>
        </w:tabs>
        <w:ind w:firstLine="0" w:firstLineChars="0"/>
        <w:jc w:val="left"/>
        <w:rPr>
          <w:rFonts w:hint="eastAsia"/>
        </w:rPr>
      </w:pPr>
      <w:r>
        <w:rPr>
          <w:rFonts w:hint="eastAsia"/>
        </w:rPr>
        <w:t>北京市就业援助规定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1115</w:t>
      </w:r>
    </w:p>
    <w:p w14:paraId="7CB4B4F6">
      <w:pPr>
        <w:tabs>
          <w:tab w:val="right" w:leader="middleDot" w:pos="8295"/>
        </w:tabs>
        <w:ind w:firstLine="0" w:firstLineChars="0"/>
        <w:jc w:val="left"/>
        <w:rPr>
          <w:rFonts w:hint="eastAsia"/>
        </w:rPr>
      </w:pPr>
      <w:r>
        <w:rPr>
          <w:rFonts w:hint="eastAsia"/>
        </w:rPr>
        <w:t>北京市禁止违法建设若干规定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425</w:t>
      </w:r>
    </w:p>
    <w:p w14:paraId="423D62D8">
      <w:pPr>
        <w:tabs>
          <w:tab w:val="right" w:leader="middleDot" w:pos="8295"/>
        </w:tabs>
        <w:ind w:firstLine="0" w:firstLineChars="0"/>
        <w:jc w:val="left"/>
        <w:rPr>
          <w:rFonts w:hint="eastAsia"/>
        </w:rPr>
      </w:pPr>
      <w:r>
        <w:rPr>
          <w:rFonts w:hint="eastAsia"/>
        </w:rPr>
        <w:t>北京市房屋建筑使用安全管理办法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429</w:t>
      </w:r>
    </w:p>
    <w:p w14:paraId="3FE9C3B4">
      <w:pPr>
        <w:tabs>
          <w:tab w:val="right" w:leader="middleDot" w:pos="8295"/>
        </w:tabs>
        <w:ind w:firstLine="0" w:firstLineChars="0"/>
        <w:jc w:val="left"/>
        <w:rPr>
          <w:rFonts w:hint="eastAsia"/>
        </w:rPr>
      </w:pPr>
      <w:r>
        <w:rPr>
          <w:rFonts w:hint="eastAsia"/>
        </w:rPr>
        <w:t>北京市南水北调工程保护办法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1426</w:t>
      </w:r>
    </w:p>
    <w:p w14:paraId="06AEE366">
      <w:pPr>
        <w:tabs>
          <w:tab w:val="right" w:leader="middleDot" w:pos="8295"/>
        </w:tabs>
        <w:ind w:firstLine="0" w:firstLineChars="0"/>
        <w:jc w:val="left"/>
        <w:rPr>
          <w:rFonts w:hint="eastAsia"/>
        </w:rPr>
      </w:pPr>
      <w:r>
        <w:rPr>
          <w:rFonts w:hint="eastAsia"/>
        </w:rPr>
        <w:t>北京市架空线管理若干规定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1231</w:t>
      </w:r>
    </w:p>
    <w:p w14:paraId="71317449">
      <w:pPr>
        <w:tabs>
          <w:tab w:val="right" w:leader="middleDot" w:pos="8295"/>
        </w:tabs>
        <w:ind w:firstLine="0" w:firstLineChars="0"/>
        <w:jc w:val="left"/>
        <w:rPr>
          <w:rFonts w:hint="eastAsia"/>
        </w:rPr>
      </w:pPr>
      <w:r>
        <w:rPr>
          <w:rFonts w:hint="eastAsia"/>
        </w:rPr>
        <w:t>北京市行政问责办法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143</w:t>
      </w:r>
    </w:p>
    <w:p w14:paraId="4BBA074F">
      <w:pPr>
        <w:tabs>
          <w:tab w:val="right" w:leader="middleDot" w:pos="8295"/>
        </w:tabs>
        <w:ind w:firstLine="0" w:firstLineChars="0"/>
        <w:jc w:val="left"/>
        <w:rPr>
          <w:rFonts w:hint="eastAsia"/>
        </w:rPr>
      </w:pPr>
      <w:r>
        <w:rPr>
          <w:rFonts w:hint="eastAsia"/>
        </w:rPr>
        <w:t>中关村国家自主创新示范区企业登记办法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642</w:t>
      </w:r>
    </w:p>
    <w:p w14:paraId="72CC41EA">
      <w:pPr>
        <w:tabs>
          <w:tab w:val="right" w:leader="middleDot" w:pos="8295"/>
        </w:tabs>
        <w:ind w:firstLine="0" w:firstLineChars="0"/>
        <w:jc w:val="left"/>
        <w:rPr>
          <w:rFonts w:hint="eastAsia"/>
        </w:rPr>
      </w:pPr>
      <w:r>
        <w:rPr>
          <w:rFonts w:hint="eastAsia"/>
        </w:rPr>
        <w:t>北京市自然科学基金管理办法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762</w:t>
      </w:r>
    </w:p>
    <w:p w14:paraId="7E91BFDD">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北京市森林防火办法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1408</w:t>
      </w:r>
    </w:p>
    <w:p w14:paraId="53FFAED7">
      <w:pPr>
        <w:tabs>
          <w:tab w:val="right" w:leader="middleDot" w:pos="8295"/>
        </w:tabs>
        <w:ind w:firstLine="0" w:firstLineChars="0"/>
        <w:jc w:val="left"/>
        <w:rPr>
          <w:rFonts w:hint="eastAsia"/>
        </w:rPr>
      </w:pPr>
      <w:r>
        <w:rPr>
          <w:rFonts w:hint="eastAsia"/>
        </w:rPr>
        <w:t>北京市价格监测办法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560</w:t>
      </w:r>
    </w:p>
    <w:p w14:paraId="00384EF5">
      <w:pPr>
        <w:tabs>
          <w:tab w:val="right" w:leader="middleDot" w:pos="8295"/>
        </w:tabs>
        <w:ind w:firstLine="0" w:firstLineChars="0"/>
        <w:jc w:val="left"/>
        <w:rPr>
          <w:rFonts w:hint="eastAsia" w:ascii="创艺简中圆" w:hAnsi="创艺简中圆" w:eastAsia="创艺简中圆" w:cs="创艺简中圆"/>
          <w:kern w:val="2"/>
          <w:sz w:val="21"/>
          <w:szCs w:val="22"/>
          <w:lang w:val="en-US" w:eastAsia="zh-CN" w:bidi="ar-SA"/>
        </w:rPr>
      </w:pPr>
      <w:r>
        <w:rPr>
          <w:rFonts w:hint="eastAsia"/>
        </w:rPr>
        <w:t>北京市文化市场综合行政执法办法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798</w:t>
      </w:r>
    </w:p>
    <w:p w14:paraId="1AF17B3F">
      <w:pPr>
        <w:tabs>
          <w:tab w:val="right" w:leader="middleDot" w:pos="8295"/>
        </w:tabs>
        <w:ind w:firstLine="0" w:firstLineChars="0"/>
        <w:jc w:val="left"/>
        <w:rPr>
          <w:rFonts w:hint="eastAsia"/>
        </w:rPr>
      </w:pPr>
      <w:r>
        <w:rPr>
          <w:rFonts w:hint="eastAsia"/>
        </w:rPr>
        <w:t>北京市实施《工伤保险条例》若干规定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1146</w:t>
      </w:r>
    </w:p>
    <w:p w14:paraId="4F47C157">
      <w:pPr>
        <w:tabs>
          <w:tab w:val="right" w:leader="middleDot" w:pos="8295"/>
        </w:tabs>
        <w:ind w:firstLine="0" w:firstLineChars="0"/>
        <w:jc w:val="left"/>
      </w:pPr>
    </w:p>
    <w:p w14:paraId="4EA71DCF">
      <w:pPr>
        <w:tabs>
          <w:tab w:val="right" w:leader="middleDot" w:pos="8295"/>
        </w:tabs>
        <w:ind w:firstLine="0" w:firstLineChars="0"/>
        <w:jc w:val="center"/>
        <w:rPr>
          <w:rFonts w:hint="eastAsia"/>
          <w:sz w:val="28"/>
        </w:rPr>
      </w:pPr>
      <w:r>
        <w:rPr>
          <w:rFonts w:hint="eastAsia"/>
          <w:sz w:val="28"/>
        </w:rPr>
        <w:t>二零一二年</w:t>
      </w:r>
    </w:p>
    <w:p w14:paraId="63637DBC">
      <w:pPr>
        <w:tabs>
          <w:tab w:val="right" w:leader="middleDot" w:pos="8295"/>
        </w:tabs>
        <w:ind w:firstLine="0" w:firstLineChars="0"/>
        <w:jc w:val="left"/>
      </w:pPr>
    </w:p>
    <w:p w14:paraId="3D4F1074">
      <w:pPr>
        <w:tabs>
          <w:tab w:val="right" w:leader="middleDot" w:pos="8295"/>
        </w:tabs>
        <w:ind w:firstLine="0" w:firstLineChars="0"/>
        <w:jc w:val="left"/>
        <w:rPr>
          <w:rFonts w:hint="eastAsia"/>
        </w:rPr>
      </w:pPr>
      <w:r>
        <w:rPr>
          <w:rFonts w:hint="eastAsia"/>
        </w:rPr>
        <w:t>北京市审计条例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544</w:t>
      </w:r>
    </w:p>
    <w:p w14:paraId="73A85685">
      <w:pPr>
        <w:tabs>
          <w:tab w:val="right" w:leader="middleDot" w:pos="8295"/>
        </w:tabs>
        <w:ind w:firstLine="0" w:firstLineChars="0"/>
        <w:jc w:val="left"/>
        <w:rPr>
          <w:rFonts w:hint="eastAsia"/>
        </w:rPr>
      </w:pPr>
      <w:r>
        <w:rPr>
          <w:rFonts w:hint="eastAsia"/>
        </w:rPr>
        <w:t>北京市湿地保护条例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1480</w:t>
      </w:r>
    </w:p>
    <w:p w14:paraId="747531DE">
      <w:pPr>
        <w:tabs>
          <w:tab w:val="right" w:leader="middleDot" w:pos="8295"/>
        </w:tabs>
        <w:ind w:firstLine="0" w:firstLineChars="0"/>
        <w:jc w:val="left"/>
        <w:rPr>
          <w:rFonts w:hint="eastAsia"/>
        </w:rPr>
      </w:pPr>
      <w:r>
        <w:rPr>
          <w:rFonts w:hint="eastAsia"/>
        </w:rPr>
        <w:t>北京市河湖保护管理条例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1373</w:t>
      </w:r>
    </w:p>
    <w:p w14:paraId="4A8DE193">
      <w:pPr>
        <w:tabs>
          <w:tab w:val="right" w:leader="middleDot" w:pos="8295"/>
        </w:tabs>
        <w:ind w:firstLine="0" w:firstLineChars="0"/>
        <w:jc w:val="left"/>
        <w:rPr>
          <w:rFonts w:hint="eastAsia"/>
        </w:rPr>
      </w:pPr>
      <w:r>
        <w:rPr>
          <w:rFonts w:hint="eastAsia"/>
        </w:rPr>
        <w:t>北京市各级人民代表大会常务委员会规范性文件备案审查条例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89</w:t>
      </w:r>
    </w:p>
    <w:p w14:paraId="6335AB20">
      <w:pPr>
        <w:tabs>
          <w:tab w:val="right" w:leader="middleDot" w:pos="8295"/>
        </w:tabs>
        <w:ind w:firstLine="0" w:firstLineChars="0"/>
        <w:jc w:val="left"/>
        <w:rPr>
          <w:rFonts w:hint="eastAsia"/>
        </w:rPr>
      </w:pPr>
      <w:r>
        <w:rPr>
          <w:rFonts w:hint="eastAsia"/>
        </w:rPr>
        <w:t>北京市汽车租赁管理办法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312</w:t>
      </w:r>
    </w:p>
    <w:p w14:paraId="7901EE10">
      <w:pPr>
        <w:tabs>
          <w:tab w:val="right" w:leader="middleDot" w:pos="8295"/>
        </w:tabs>
        <w:ind w:firstLine="0" w:firstLineChars="0"/>
        <w:jc w:val="left"/>
        <w:rPr>
          <w:rFonts w:hint="eastAsia"/>
        </w:rPr>
      </w:pPr>
      <w:r>
        <w:rPr>
          <w:rFonts w:hint="eastAsia"/>
        </w:rPr>
        <w:t>北京市节约用水办法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1383</w:t>
      </w:r>
    </w:p>
    <w:p w14:paraId="47ECC2F8">
      <w:pPr>
        <w:tabs>
          <w:tab w:val="right" w:leader="middleDot" w:pos="8295"/>
        </w:tabs>
        <w:ind w:firstLine="0" w:firstLineChars="0"/>
        <w:jc w:val="left"/>
      </w:pPr>
    </w:p>
    <w:p w14:paraId="36B7BF0A">
      <w:pPr>
        <w:tabs>
          <w:tab w:val="right" w:leader="middleDot" w:pos="8295"/>
        </w:tabs>
        <w:ind w:firstLine="0" w:firstLineChars="0"/>
        <w:jc w:val="center"/>
        <w:rPr>
          <w:rFonts w:hint="eastAsia"/>
          <w:sz w:val="28"/>
        </w:rPr>
      </w:pPr>
      <w:r>
        <w:rPr>
          <w:rFonts w:hint="eastAsia"/>
          <w:sz w:val="28"/>
        </w:rPr>
        <w:t>二零一三年</w:t>
      </w:r>
    </w:p>
    <w:p w14:paraId="36167DAA">
      <w:pPr>
        <w:tabs>
          <w:tab w:val="right" w:leader="middleDot" w:pos="8295"/>
        </w:tabs>
        <w:ind w:firstLine="0" w:firstLineChars="0"/>
        <w:jc w:val="left"/>
      </w:pPr>
    </w:p>
    <w:p w14:paraId="6E38E1E4">
      <w:pPr>
        <w:tabs>
          <w:tab w:val="right" w:leader="middleDot" w:pos="8295"/>
        </w:tabs>
        <w:ind w:firstLine="0" w:firstLineChars="0"/>
        <w:jc w:val="left"/>
        <w:rPr>
          <w:rFonts w:hint="eastAsia"/>
        </w:rPr>
      </w:pPr>
      <w:r>
        <w:rPr>
          <w:rFonts w:hint="eastAsia"/>
        </w:rPr>
        <w:t>北京市实施《中华人民共和国防震减灾法》规定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1520</w:t>
      </w:r>
    </w:p>
    <w:p w14:paraId="2C09A0BB">
      <w:pPr>
        <w:tabs>
          <w:tab w:val="right" w:leader="middleDot" w:pos="8295"/>
        </w:tabs>
        <w:ind w:firstLine="0" w:firstLineChars="0"/>
        <w:jc w:val="left"/>
        <w:rPr>
          <w:rFonts w:hint="eastAsia"/>
        </w:rPr>
      </w:pPr>
      <w:r>
        <w:rPr>
          <w:rFonts w:hint="eastAsia"/>
        </w:rPr>
        <w:t>北京市促进中小企业发展条例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662</w:t>
      </w:r>
    </w:p>
    <w:p w14:paraId="13ACD75F">
      <w:pPr>
        <w:tabs>
          <w:tab w:val="right" w:leader="middleDot" w:pos="8295"/>
        </w:tabs>
        <w:ind w:firstLine="0" w:firstLineChars="0"/>
        <w:jc w:val="left"/>
        <w:rPr>
          <w:rFonts w:hint="eastAsia"/>
        </w:rPr>
      </w:pPr>
      <w:r>
        <w:rPr>
          <w:rFonts w:hint="eastAsia"/>
        </w:rPr>
        <w:t>北京市农业植物检疫办法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589</w:t>
      </w:r>
    </w:p>
    <w:p w14:paraId="12384ABA">
      <w:pPr>
        <w:tabs>
          <w:tab w:val="right" w:leader="middleDot" w:pos="8295"/>
        </w:tabs>
        <w:ind w:firstLine="0" w:firstLineChars="0"/>
        <w:jc w:val="left"/>
        <w:rPr>
          <w:rFonts w:hint="eastAsia"/>
        </w:rPr>
      </w:pPr>
      <w:r>
        <w:rPr>
          <w:rFonts w:hint="eastAsia"/>
        </w:rPr>
        <w:t>北京市建设工程施工现场管理办法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434</w:t>
      </w:r>
    </w:p>
    <w:p w14:paraId="7658D852">
      <w:pPr>
        <w:tabs>
          <w:tab w:val="right" w:leader="middleDot" w:pos="8295"/>
        </w:tabs>
        <w:ind w:firstLine="0" w:firstLineChars="0"/>
        <w:jc w:val="left"/>
        <w:rPr>
          <w:rFonts w:hint="eastAsia"/>
        </w:rPr>
      </w:pPr>
      <w:r>
        <w:rPr>
          <w:rFonts w:hint="eastAsia"/>
        </w:rPr>
        <w:t>北京市组织机构代码管理办法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1316</w:t>
      </w:r>
    </w:p>
    <w:p w14:paraId="264E1302">
      <w:pPr>
        <w:tabs>
          <w:tab w:val="right" w:leader="middleDot" w:pos="8295"/>
        </w:tabs>
        <w:ind w:firstLine="0" w:firstLineChars="0"/>
        <w:jc w:val="left"/>
        <w:rPr>
          <w:rFonts w:hint="eastAsia"/>
        </w:rPr>
      </w:pPr>
      <w:r>
        <w:rPr>
          <w:rFonts w:hint="eastAsia"/>
        </w:rPr>
        <w:t>北京市蔬菜零售网点建设管理办法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616</w:t>
      </w:r>
    </w:p>
    <w:p w14:paraId="682571B3">
      <w:pPr>
        <w:tabs>
          <w:tab w:val="right" w:leader="middleDot" w:pos="8295"/>
        </w:tabs>
        <w:ind w:firstLine="0" w:firstLineChars="0"/>
        <w:jc w:val="left"/>
        <w:rPr>
          <w:rFonts w:hint="eastAsia"/>
        </w:rPr>
      </w:pPr>
      <w:r>
        <w:rPr>
          <w:rFonts w:hint="eastAsia"/>
        </w:rPr>
        <w:t>北京市促进慈善事业若干规定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1034</w:t>
      </w:r>
    </w:p>
    <w:p w14:paraId="5BD4EFF3">
      <w:pPr>
        <w:tabs>
          <w:tab w:val="right" w:leader="middleDot" w:pos="8295"/>
        </w:tabs>
        <w:ind w:firstLine="0" w:firstLineChars="0"/>
        <w:jc w:val="left"/>
        <w:rPr>
          <w:rFonts w:hint="eastAsia"/>
        </w:rPr>
      </w:pPr>
      <w:r>
        <w:rPr>
          <w:rFonts w:hint="eastAsia"/>
        </w:rPr>
        <w:t>北京市地下文物保护管理办法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829</w:t>
      </w:r>
    </w:p>
    <w:p w14:paraId="1867C730">
      <w:pPr>
        <w:tabs>
          <w:tab w:val="right" w:leader="middleDot" w:pos="8295"/>
        </w:tabs>
        <w:ind w:firstLine="0" w:firstLineChars="0"/>
        <w:jc w:val="left"/>
        <w:rPr>
          <w:rFonts w:hint="eastAsia"/>
        </w:rPr>
      </w:pPr>
      <w:r>
        <w:rPr>
          <w:rFonts w:hint="eastAsia"/>
        </w:rPr>
        <w:t>北京市机动车停车管理办法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316</w:t>
      </w:r>
    </w:p>
    <w:p w14:paraId="01C5FA5F">
      <w:pPr>
        <w:tabs>
          <w:tab w:val="right" w:leader="middleDot" w:pos="8295"/>
        </w:tabs>
        <w:ind w:firstLine="0" w:firstLineChars="0"/>
        <w:jc w:val="left"/>
        <w:rPr>
          <w:rFonts w:hint="eastAsia"/>
        </w:rPr>
      </w:pPr>
      <w:r>
        <w:rPr>
          <w:rFonts w:hint="eastAsia"/>
        </w:rPr>
        <w:t>北京市快递安全管理办法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350</w:t>
      </w:r>
    </w:p>
    <w:p w14:paraId="20624D64">
      <w:pPr>
        <w:tabs>
          <w:tab w:val="right" w:leader="middleDot" w:pos="8295"/>
        </w:tabs>
        <w:ind w:firstLine="0" w:firstLineChars="0"/>
        <w:jc w:val="left"/>
      </w:pPr>
    </w:p>
    <w:p w14:paraId="6BA1E7A7">
      <w:pPr>
        <w:tabs>
          <w:tab w:val="right" w:leader="middleDot" w:pos="8295"/>
        </w:tabs>
        <w:ind w:firstLine="0" w:firstLineChars="0"/>
        <w:jc w:val="center"/>
        <w:rPr>
          <w:rFonts w:hint="eastAsia"/>
          <w:sz w:val="28"/>
        </w:rPr>
      </w:pPr>
      <w:r>
        <w:rPr>
          <w:rFonts w:hint="eastAsia"/>
          <w:sz w:val="28"/>
        </w:rPr>
        <w:t>二零一四年</w:t>
      </w:r>
    </w:p>
    <w:p w14:paraId="0F8DDC65">
      <w:pPr>
        <w:tabs>
          <w:tab w:val="right" w:leader="middleDot" w:pos="8295"/>
        </w:tabs>
        <w:ind w:firstLine="0" w:firstLineChars="0"/>
        <w:jc w:val="left"/>
      </w:pPr>
    </w:p>
    <w:p w14:paraId="39B85B41">
      <w:pPr>
        <w:tabs>
          <w:tab w:val="right" w:leader="middleDot" w:pos="8295"/>
        </w:tabs>
        <w:ind w:firstLine="0" w:firstLineChars="0"/>
        <w:jc w:val="left"/>
        <w:rPr>
          <w:rFonts w:hint="eastAsia" w:ascii="华文宋体" w:hAnsi="华文宋体" w:eastAsia="华文宋体" w:cs="华文宋体"/>
          <w:kern w:val="2"/>
          <w:sz w:val="24"/>
          <w:szCs w:val="24"/>
          <w:lang w:val="en-US" w:eastAsia="zh-CN" w:bidi="ar-SA"/>
        </w:rPr>
      </w:pPr>
      <w:r>
        <w:rPr>
          <w:rFonts w:hint="eastAsia"/>
        </w:rPr>
        <w:t>北京市实施《中华人民共和国全国人民代表大会和地方各级人民代表大会代表法》办法</w:t>
      </w:r>
      <w:r>
        <w:rPr>
          <w:rFonts w:hint="eastAsia"/>
        </w:rPr>
        <w:tab/>
      </w:r>
      <w:r>
        <w:rPr>
          <w:rFonts w:hint="eastAsia" w:ascii="华文宋体" w:hAnsi="华文宋体" w:eastAsia="华文宋体" w:cs="华文宋体"/>
          <w:kern w:val="2"/>
          <w:sz w:val="24"/>
          <w:szCs w:val="24"/>
          <w:lang w:val="en-US" w:eastAsia="zh-CN" w:bidi="ar-SA"/>
        </w:rPr>
        <w:t>18</w:t>
      </w:r>
    </w:p>
    <w:p w14:paraId="0712C306">
      <w:pPr>
        <w:tabs>
          <w:tab w:val="right" w:leader="middleDot" w:pos="8295"/>
        </w:tabs>
        <w:ind w:firstLine="0" w:firstLineChars="0"/>
        <w:jc w:val="left"/>
        <w:rPr>
          <w:rFonts w:hint="eastAsia"/>
        </w:rPr>
      </w:pPr>
      <w:r>
        <w:rPr>
          <w:rFonts w:hint="eastAsia"/>
        </w:rPr>
        <w:t>北京市人民代表大会代表建议、批评和意见办理条例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13</w:t>
      </w:r>
    </w:p>
    <w:p w14:paraId="6C51EA54">
      <w:pPr>
        <w:tabs>
          <w:tab w:val="right" w:leader="middleDot" w:pos="8295"/>
        </w:tabs>
        <w:ind w:firstLine="0" w:firstLineChars="0"/>
        <w:jc w:val="left"/>
        <w:rPr>
          <w:rFonts w:hint="eastAsia"/>
        </w:rPr>
      </w:pPr>
      <w:r>
        <w:rPr>
          <w:rFonts w:hint="eastAsia"/>
        </w:rPr>
        <w:t>北京市大气污染防治条例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1486</w:t>
      </w:r>
    </w:p>
    <w:p w14:paraId="769091BC">
      <w:pPr>
        <w:tabs>
          <w:tab w:val="right" w:leader="middleDot" w:pos="8295"/>
        </w:tabs>
        <w:ind w:firstLine="0" w:firstLineChars="0"/>
        <w:jc w:val="left"/>
        <w:rPr>
          <w:rFonts w:hint="eastAsia"/>
        </w:rPr>
      </w:pPr>
      <w:r>
        <w:rPr>
          <w:rFonts w:hint="eastAsia"/>
        </w:rPr>
        <w:t>北京市动物防疫条例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575</w:t>
      </w:r>
    </w:p>
    <w:p w14:paraId="3CCAE5BA">
      <w:pPr>
        <w:tabs>
          <w:tab w:val="right" w:leader="middleDot" w:pos="8295"/>
        </w:tabs>
        <w:ind w:firstLine="0" w:firstLineChars="0"/>
        <w:jc w:val="left"/>
        <w:rPr>
          <w:rFonts w:hint="eastAsia"/>
        </w:rPr>
      </w:pPr>
      <w:r>
        <w:rPr>
          <w:rFonts w:hint="eastAsia"/>
        </w:rPr>
        <w:t>北京市轨道交通运营安全条例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902</w:t>
      </w:r>
    </w:p>
    <w:p w14:paraId="3A839D9B">
      <w:pPr>
        <w:tabs>
          <w:tab w:val="right" w:leader="middleDot" w:pos="8295"/>
        </w:tabs>
        <w:ind w:firstLine="0" w:firstLineChars="0"/>
        <w:jc w:val="left"/>
        <w:rPr>
          <w:rFonts w:hint="eastAsia"/>
        </w:rPr>
      </w:pPr>
      <w:r>
        <w:rPr>
          <w:rFonts w:hint="eastAsia"/>
        </w:rPr>
        <w:t>北京市控制吸烟条例</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1263</w:t>
      </w:r>
    </w:p>
    <w:p w14:paraId="0964D997">
      <w:pPr>
        <w:tabs>
          <w:tab w:val="right" w:leader="middleDot" w:pos="8295"/>
        </w:tabs>
        <w:ind w:firstLine="0" w:firstLineChars="0"/>
        <w:jc w:val="left"/>
        <w:rPr>
          <w:rFonts w:hint="eastAsia"/>
        </w:rPr>
      </w:pPr>
      <w:r>
        <w:rPr>
          <w:rFonts w:hint="eastAsia"/>
        </w:rPr>
        <w:t>北京市门楼牌管理办法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1234</w:t>
      </w:r>
    </w:p>
    <w:p w14:paraId="3CF244FF">
      <w:pPr>
        <w:tabs>
          <w:tab w:val="right" w:leader="middleDot" w:pos="8295"/>
        </w:tabs>
        <w:ind w:firstLine="0" w:firstLineChars="0"/>
        <w:jc w:val="left"/>
        <w:rPr>
          <w:rFonts w:hint="eastAsia"/>
        </w:rPr>
      </w:pPr>
      <w:r>
        <w:rPr>
          <w:rFonts w:hint="eastAsia"/>
        </w:rPr>
        <w:t>北京市政府信息公开规定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150</w:t>
      </w:r>
    </w:p>
    <w:p w14:paraId="12BBE14F">
      <w:pPr>
        <w:tabs>
          <w:tab w:val="right" w:leader="middleDot" w:pos="8295"/>
        </w:tabs>
        <w:ind w:firstLine="0" w:firstLineChars="0"/>
        <w:jc w:val="left"/>
        <w:rPr>
          <w:rFonts w:hint="eastAsia"/>
        </w:rPr>
      </w:pPr>
      <w:r>
        <w:rPr>
          <w:rFonts w:hint="eastAsia"/>
        </w:rPr>
        <w:t>北京市民用建筑节能管理办法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439</w:t>
      </w:r>
    </w:p>
    <w:p w14:paraId="1D031787">
      <w:pPr>
        <w:tabs>
          <w:tab w:val="right" w:leader="middleDot" w:pos="8295"/>
        </w:tabs>
        <w:ind w:firstLine="0" w:firstLineChars="0"/>
        <w:jc w:val="left"/>
        <w:rPr>
          <w:rFonts w:hint="eastAsia"/>
        </w:rPr>
      </w:pPr>
      <w:r>
        <w:rPr>
          <w:rFonts w:hint="eastAsia"/>
        </w:rPr>
        <w:t>北京市重大建设项目稽察办法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157</w:t>
      </w:r>
    </w:p>
    <w:p w14:paraId="56D7E4AB">
      <w:pPr>
        <w:tabs>
          <w:tab w:val="right" w:leader="middleDot" w:pos="8295"/>
        </w:tabs>
        <w:ind w:firstLine="0" w:firstLineChars="0"/>
        <w:jc w:val="left"/>
        <w:rPr>
          <w:rFonts w:hint="eastAsia"/>
        </w:rPr>
      </w:pPr>
      <w:r>
        <w:rPr>
          <w:rFonts w:hint="eastAsia"/>
        </w:rPr>
        <w:t>北京市实施国家重大活动保障措施的若干规定</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149</w:t>
      </w:r>
    </w:p>
    <w:p w14:paraId="4FE7DB23">
      <w:pPr>
        <w:tabs>
          <w:tab w:val="right" w:leader="middleDot" w:pos="8295"/>
        </w:tabs>
        <w:ind w:firstLine="0" w:firstLineChars="0"/>
        <w:jc w:val="left"/>
        <w:rPr>
          <w:rFonts w:hint="eastAsia"/>
        </w:rPr>
      </w:pPr>
      <w:r>
        <w:rPr>
          <w:rFonts w:hint="eastAsia"/>
        </w:rPr>
        <w:t>北京市民用运输机场管理办法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t>322</w:t>
      </w:r>
    </w:p>
    <w:p w14:paraId="0AA1BC7B">
      <w:pPr>
        <w:tabs>
          <w:tab w:val="right" w:leader="middleDot" w:pos="8295"/>
        </w:tabs>
        <w:ind w:firstLine="0" w:firstLineChars="0"/>
        <w:jc w:val="left"/>
        <w:rPr>
          <w:rFonts w:hint="eastAsia" w:ascii="华文宋体" w:hAnsi="华文宋体" w:eastAsia="华文宋体" w:cs="华文宋体"/>
          <w:kern w:val="2"/>
          <w:sz w:val="24"/>
          <w:szCs w:val="24"/>
          <w:lang w:val="en-US" w:eastAsia="zh-CN" w:bidi="ar-SA"/>
        </w:rPr>
      </w:pPr>
      <w:r>
        <w:rPr>
          <w:rFonts w:hint="eastAsia" w:ascii="宋体" w:hAnsi="宋体" w:eastAsia="宋体" w:cs="宋体"/>
          <w:kern w:val="2"/>
          <w:sz w:val="21"/>
          <w:szCs w:val="22"/>
          <w:lang w:val="en-US" w:eastAsia="zh-CN" w:bidi="ar-SA"/>
        </w:rPr>
        <w:fldChar w:fldCharType="begin"/>
      </w:r>
      <w:r>
        <w:rPr>
          <w:rFonts w:hint="eastAsia" w:ascii="宋体" w:hAnsi="宋体" w:eastAsia="宋体" w:cs="宋体"/>
          <w:kern w:val="2"/>
          <w:sz w:val="21"/>
          <w:szCs w:val="22"/>
          <w:lang w:val="en-US" w:eastAsia="zh-CN" w:bidi="ar-SA"/>
        </w:rPr>
        <w:instrText xml:space="preserve">HYPERLINK  \l "_Toc428781422" </w:instrText>
      </w:r>
      <w:r>
        <w:rPr>
          <w:rFonts w:hint="eastAsia" w:ascii="宋体" w:hAnsi="宋体" w:eastAsia="宋体" w:cs="宋体"/>
          <w:kern w:val="2"/>
          <w:sz w:val="21"/>
          <w:szCs w:val="22"/>
          <w:lang w:val="en-US" w:eastAsia="zh-CN" w:bidi="ar-SA"/>
        </w:rPr>
        <w:fldChar w:fldCharType="separate"/>
      </w:r>
      <w:r>
        <w:rPr>
          <w:rFonts w:hint="eastAsia" w:ascii="宋体" w:hAnsi="宋体" w:eastAsia="宋体" w:cs="宋体"/>
          <w:kern w:val="2"/>
          <w:sz w:val="21"/>
          <w:szCs w:val="22"/>
          <w:lang w:val="en-US" w:eastAsia="zh-CN" w:bidi="ar-SA"/>
        </w:rPr>
        <w:t>北京市人民政府办理人民代表大会</w:t>
      </w:r>
      <w:r>
        <w:rPr>
          <w:rFonts w:hint="eastAsia" w:ascii="宋体" w:hAnsi="宋体" w:eastAsia="宋体" w:cs="宋体"/>
          <w:kern w:val="2"/>
          <w:sz w:val="21"/>
          <w:szCs w:val="22"/>
          <w:lang w:val="en-US" w:eastAsia="zh-CN" w:bidi="ar-SA"/>
        </w:rPr>
        <w:fldChar w:fldCharType="end"/>
      </w:r>
      <w:r>
        <w:rPr>
          <w:rFonts w:hint="eastAsia" w:ascii="宋体" w:hAnsi="宋体" w:eastAsia="宋体" w:cs="宋体"/>
          <w:kern w:val="2"/>
          <w:sz w:val="21"/>
          <w:szCs w:val="22"/>
          <w:lang w:val="en-US" w:eastAsia="zh-CN" w:bidi="ar-SA"/>
        </w:rPr>
        <w:fldChar w:fldCharType="begin"/>
      </w:r>
      <w:r>
        <w:rPr>
          <w:rFonts w:hint="eastAsia" w:ascii="宋体" w:hAnsi="宋体" w:eastAsia="宋体" w:cs="宋体"/>
          <w:kern w:val="2"/>
          <w:sz w:val="21"/>
          <w:szCs w:val="22"/>
          <w:lang w:val="en-US" w:eastAsia="zh-CN" w:bidi="ar-SA"/>
        </w:rPr>
        <w:instrText xml:space="preserve">HYPERLINK  \l "_Toc428781423" </w:instrText>
      </w:r>
      <w:r>
        <w:rPr>
          <w:rFonts w:hint="eastAsia" w:ascii="宋体" w:hAnsi="宋体" w:eastAsia="宋体" w:cs="宋体"/>
          <w:kern w:val="2"/>
          <w:sz w:val="21"/>
          <w:szCs w:val="22"/>
          <w:lang w:val="en-US" w:eastAsia="zh-CN" w:bidi="ar-SA"/>
        </w:rPr>
        <w:fldChar w:fldCharType="separate"/>
      </w:r>
      <w:r>
        <w:rPr>
          <w:rFonts w:hint="eastAsia" w:ascii="宋体" w:hAnsi="宋体" w:eastAsia="宋体" w:cs="宋体"/>
          <w:kern w:val="2"/>
          <w:sz w:val="21"/>
          <w:szCs w:val="22"/>
          <w:lang w:val="en-US" w:eastAsia="zh-CN" w:bidi="ar-SA"/>
        </w:rPr>
        <w:t>代表建议、批评、意见和人民</w:t>
      </w:r>
      <w:r>
        <w:rPr>
          <w:rFonts w:hint="eastAsia" w:ascii="宋体" w:hAnsi="宋体" w:eastAsia="宋体" w:cs="宋体"/>
          <w:kern w:val="2"/>
          <w:sz w:val="21"/>
          <w:szCs w:val="22"/>
          <w:lang w:val="en-US" w:eastAsia="zh-CN" w:bidi="ar-SA"/>
        </w:rPr>
        <w:fldChar w:fldCharType="end"/>
      </w:r>
      <w:r>
        <w:rPr>
          <w:rFonts w:hint="eastAsia" w:ascii="宋体" w:hAnsi="宋体" w:eastAsia="宋体" w:cs="宋体"/>
          <w:kern w:val="2"/>
          <w:sz w:val="21"/>
          <w:szCs w:val="22"/>
          <w:lang w:val="en-US" w:eastAsia="zh-CN" w:bidi="ar-SA"/>
        </w:rPr>
        <w:fldChar w:fldCharType="begin"/>
      </w:r>
      <w:r>
        <w:rPr>
          <w:rFonts w:hint="eastAsia" w:ascii="宋体" w:hAnsi="宋体" w:eastAsia="宋体" w:cs="宋体"/>
          <w:kern w:val="2"/>
          <w:sz w:val="21"/>
          <w:szCs w:val="22"/>
          <w:lang w:val="en-US" w:eastAsia="zh-CN" w:bidi="ar-SA"/>
        </w:rPr>
        <w:instrText xml:space="preserve">HYPERLINK  \l "_Toc428781424" </w:instrText>
      </w:r>
      <w:r>
        <w:rPr>
          <w:rFonts w:hint="eastAsia" w:ascii="宋体" w:hAnsi="宋体" w:eastAsia="宋体" w:cs="宋体"/>
          <w:kern w:val="2"/>
          <w:sz w:val="21"/>
          <w:szCs w:val="22"/>
          <w:lang w:val="en-US" w:eastAsia="zh-CN" w:bidi="ar-SA"/>
        </w:rPr>
        <w:fldChar w:fldCharType="separate"/>
      </w:r>
      <w:r>
        <w:rPr>
          <w:rFonts w:hint="eastAsia" w:ascii="宋体" w:hAnsi="宋体" w:eastAsia="宋体" w:cs="宋体"/>
          <w:kern w:val="2"/>
          <w:sz w:val="21"/>
          <w:szCs w:val="22"/>
          <w:lang w:val="en-US" w:eastAsia="zh-CN" w:bidi="ar-SA"/>
        </w:rPr>
        <w:t>政治协商会议提案        办法</w:t>
      </w:r>
      <w:r>
        <w:rPr>
          <w:rFonts w:hint="eastAsia" w:ascii="创艺简中圆" w:hAnsi="创艺简中圆" w:eastAsia="创艺简中圆" w:cs="创艺简中圆"/>
          <w:kern w:val="2"/>
          <w:sz w:val="21"/>
          <w:szCs w:val="22"/>
          <w:lang w:val="en-US" w:eastAsia="zh-CN" w:bidi="ar-SA"/>
        </w:rPr>
        <w:tab/>
      </w:r>
      <w:r>
        <w:rPr>
          <w:rFonts w:hint="eastAsia" w:ascii="华文宋体" w:hAnsi="华文宋体" w:eastAsia="华文宋体" w:cs="华文宋体"/>
          <w:kern w:val="2"/>
          <w:sz w:val="24"/>
          <w:szCs w:val="24"/>
          <w:lang w:val="en-US" w:eastAsia="zh-CN" w:bidi="ar-SA"/>
        </w:rPr>
        <w:fldChar w:fldCharType="begin"/>
      </w:r>
      <w:r>
        <w:rPr>
          <w:rFonts w:hint="eastAsia" w:ascii="华文宋体" w:hAnsi="华文宋体" w:eastAsia="华文宋体" w:cs="华文宋体"/>
          <w:kern w:val="2"/>
          <w:sz w:val="24"/>
          <w:szCs w:val="24"/>
          <w:lang w:val="en-US" w:eastAsia="zh-CN" w:bidi="ar-SA"/>
        </w:rPr>
        <w:instrText xml:space="preserve"> PAGEREF _Toc428781424 \h </w:instrText>
      </w:r>
      <w:r>
        <w:rPr>
          <w:rFonts w:hint="eastAsia" w:ascii="华文宋体" w:hAnsi="华文宋体" w:eastAsia="华文宋体" w:cs="华文宋体"/>
          <w:kern w:val="2"/>
          <w:sz w:val="24"/>
          <w:szCs w:val="24"/>
          <w:lang w:val="en-US" w:eastAsia="zh-CN" w:bidi="ar-SA"/>
        </w:rPr>
        <w:fldChar w:fldCharType="separate"/>
      </w:r>
      <w:r>
        <w:rPr>
          <w:rFonts w:hint="eastAsia" w:ascii="华文宋体" w:hAnsi="华文宋体" w:eastAsia="华文宋体" w:cs="华文宋体"/>
          <w:kern w:val="2"/>
          <w:sz w:val="24"/>
          <w:szCs w:val="24"/>
          <w:lang w:val="en-US" w:eastAsia="zh-CN" w:bidi="ar-SA"/>
        </w:rPr>
        <w:t>26</w:t>
      </w:r>
      <w:r>
        <w:rPr>
          <w:rFonts w:hint="eastAsia" w:ascii="华文宋体" w:hAnsi="华文宋体" w:eastAsia="华文宋体" w:cs="华文宋体"/>
          <w:kern w:val="2"/>
          <w:sz w:val="24"/>
          <w:szCs w:val="24"/>
          <w:lang w:val="en-US" w:eastAsia="zh-CN" w:bidi="ar-SA"/>
        </w:rPr>
        <w:fldChar w:fldCharType="end"/>
      </w:r>
      <w:r>
        <w:rPr>
          <w:rFonts w:hint="eastAsia" w:ascii="华文宋体" w:hAnsi="华文宋体" w:eastAsia="华文宋体" w:cs="华文宋体"/>
          <w:kern w:val="2"/>
          <w:sz w:val="24"/>
          <w:szCs w:val="24"/>
          <w:lang w:val="en-US" w:eastAsia="zh-CN" w:bidi="ar-SA"/>
        </w:rPr>
        <w:fldChar w:fldCharType="end"/>
      </w:r>
    </w:p>
    <w:sectPr>
      <w:footerReference r:id="rId36" w:type="default"/>
      <w:footerReference r:id="rId37" w:type="even"/>
      <w:pgSz w:w="11906" w:h="16838"/>
      <w:pgMar w:top="1440" w:right="1797" w:bottom="1440" w:left="1797"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modern"/>
    <w:pitch w:val="default"/>
    <w:sig w:usb0="E00006FF" w:usb1="420024FF" w:usb2="02000000" w:usb3="00000000" w:csb0="2000019F" w:csb1="00000000"/>
  </w:font>
  <w:font w:name="创艺简仿宋">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创艺简中圆">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宋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MS Mincho">
    <w:altName w:val="MS UI Gothic"/>
    <w:panose1 w:val="02020609040205080304"/>
    <w:charset w:val="80"/>
    <w:family w:val="auto"/>
    <w:pitch w:val="default"/>
    <w:sig w:usb0="00000000" w:usb1="00000000" w:usb2="08000012" w:usb3="00000000" w:csb0="4002009F" w:csb1="DFD70000"/>
  </w:font>
  <w:font w:name="MS UI 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FC057">
    <w:pPr>
      <w:pStyle w:val="13"/>
      <w:jc w:val="right"/>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 PAGE   \* MERGEFORMAT </w:instrText>
    </w:r>
    <w:r>
      <w:rPr>
        <w:rFonts w:ascii="Times New Roman" w:hAnsi="Times New Roman"/>
        <w:sz w:val="21"/>
      </w:rPr>
      <w:fldChar w:fldCharType="separate"/>
    </w:r>
    <w:r>
      <w:t>1</w:t>
    </w:r>
    <w:r>
      <w:rPr>
        <w:rFonts w:ascii="Times New Roman" w:hAnsi="Times New Roman"/>
        <w:sz w:val="21"/>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8A8D6">
    <w:pPr>
      <w:pStyle w:val="13"/>
      <w:ind w:right="420" w:firstLine="0" w:firstLineChars="0"/>
      <w:rPr>
        <w:rFonts w:hint="eastAsia" w:ascii="Times New Roman" w:hAnsi="Times New Roman" w:eastAsia="楷体"/>
        <w:sz w:val="21"/>
        <w:lang w:val="en-US" w:eastAsia="zh-CN"/>
      </w:rPr>
    </w:pPr>
    <w:r>
      <w:rPr>
        <w:rFonts w:hint="eastAsia" w:ascii="Times New Roman" w:hAnsi="Times New Roman" w:eastAsia="楷体"/>
        <w:sz w:val="21"/>
        <w:lang w:val="en-US" w:eastAsia="zh-CN"/>
      </w:rPr>
      <w:t>382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7C733">
    <w:pPr>
      <w:pStyle w:val="13"/>
      <w:jc w:val="right"/>
      <w:rPr>
        <w:rFonts w:ascii="Times New Roman" w:hAnsi="Times New Roman" w:eastAsia="楷体"/>
        <w:sz w:val="21"/>
        <w:szCs w:val="21"/>
      </w:rPr>
    </w:pPr>
    <w:r>
      <w:rPr>
        <w:rFonts w:ascii="Times New Roman" w:hAnsi="Times New Roman" w:eastAsia="楷体"/>
        <w:sz w:val="21"/>
        <w:szCs w:val="21"/>
      </w:rPr>
      <w:fldChar w:fldCharType="begin"/>
    </w:r>
    <w:r>
      <w:rPr>
        <w:rFonts w:ascii="Times New Roman" w:hAnsi="Times New Roman" w:eastAsia="楷体"/>
        <w:sz w:val="21"/>
        <w:szCs w:val="21"/>
      </w:rPr>
      <w:instrText xml:space="preserve"> PAGE   \* MERGEFORMAT </w:instrText>
    </w:r>
    <w:r>
      <w:rPr>
        <w:rFonts w:ascii="Times New Roman" w:hAnsi="Times New Roman" w:eastAsia="楷体"/>
        <w:sz w:val="21"/>
        <w:szCs w:val="21"/>
      </w:rPr>
      <w:fldChar w:fldCharType="separate"/>
    </w:r>
    <w:r>
      <w:t>211</w:t>
    </w:r>
    <w:r>
      <w:rPr>
        <w:rFonts w:ascii="Times New Roman" w:hAnsi="Times New Roman" w:eastAsia="楷体"/>
        <w:sz w:val="21"/>
        <w:szCs w:val="2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60F0B">
    <w:pPr>
      <w:pStyle w:val="13"/>
      <w:ind w:firstLine="0" w:firstLineChars="0"/>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 PAGE   \* MERGEFORMAT </w:instrText>
    </w:r>
    <w:r>
      <w:rPr>
        <w:rFonts w:ascii="Times New Roman" w:hAnsi="Times New Roman"/>
        <w:sz w:val="21"/>
      </w:rPr>
      <w:fldChar w:fldCharType="separate"/>
    </w:r>
    <w:r>
      <w:t>212</w:t>
    </w:r>
    <w:r>
      <w:rPr>
        <w:rFonts w:ascii="Times New Roman" w:hAnsi="Times New Roman"/>
        <w:sz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08E6B">
    <w:pPr>
      <w:pStyle w:val="13"/>
      <w:jc w:val="right"/>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 PAGE   \* MERGEFORMAT </w:instrText>
    </w:r>
    <w:r>
      <w:rPr>
        <w:rFonts w:ascii="Times New Roman" w:hAnsi="Times New Roman"/>
        <w:sz w:val="21"/>
      </w:rPr>
      <w:fldChar w:fldCharType="separate"/>
    </w:r>
    <w:r>
      <w:t>383</w:t>
    </w:r>
    <w:r>
      <w:rPr>
        <w:rFonts w:ascii="Times New Roman" w:hAnsi="Times New Roman"/>
        <w:sz w:val="2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2F02F">
    <w:pPr>
      <w:pStyle w:val="13"/>
      <w:jc w:val="right"/>
      <w:rPr>
        <w:rFonts w:ascii="Times New Roman" w:hAnsi="Times New Roman"/>
        <w:sz w:val="21"/>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E9787">
    <w:pPr>
      <w:pStyle w:val="13"/>
      <w:ind w:firstLine="0" w:firstLineChars="0"/>
      <w:rPr>
        <w:rFonts w:ascii="Times New Roman" w:hAnsi="Times New Roman"/>
        <w:sz w:val="21"/>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FA917">
    <w:pPr>
      <w:pStyle w:val="13"/>
      <w:jc w:val="right"/>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 PAGE   \* MERGEFORMAT </w:instrText>
    </w:r>
    <w:r>
      <w:rPr>
        <w:rFonts w:ascii="Times New Roman" w:hAnsi="Times New Roman"/>
        <w:sz w:val="21"/>
      </w:rPr>
      <w:fldChar w:fldCharType="separate"/>
    </w:r>
    <w:r>
      <w:t>701</w:t>
    </w:r>
    <w:r>
      <w:rPr>
        <w:rFonts w:ascii="Times New Roman" w:hAnsi="Times New Roman"/>
        <w:sz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DBE5A">
    <w:pPr>
      <w:pStyle w:val="13"/>
      <w:ind w:firstLine="0" w:firstLineChars="0"/>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 PAGE   \* MERGEFORMAT </w:instrText>
    </w:r>
    <w:r>
      <w:rPr>
        <w:rFonts w:ascii="Times New Roman" w:hAnsi="Times New Roman"/>
        <w:sz w:val="21"/>
      </w:rPr>
      <w:fldChar w:fldCharType="separate"/>
    </w:r>
    <w:r>
      <w:t>702</w:t>
    </w:r>
    <w:r>
      <w:rPr>
        <w:rFonts w:ascii="Times New Roman" w:hAnsi="Times New Roman"/>
        <w:sz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F07F6">
    <w:pPr>
      <w:pStyle w:val="13"/>
      <w:ind w:right="105"/>
      <w:jc w:val="right"/>
      <w:rPr>
        <w:rFonts w:ascii="Times New Roman" w:hAnsi="Times New Roman"/>
        <w:sz w:val="21"/>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CED4C">
    <w:pPr>
      <w:pStyle w:val="13"/>
      <w:ind w:firstLine="0" w:firstLineChars="0"/>
      <w:rPr>
        <w:rFonts w:ascii="Times New Roman" w:hAnsi="Times New Roman"/>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A3D0A">
    <w:pPr>
      <w:pStyle w:val="13"/>
      <w:ind w:firstLine="0" w:firstLineChars="0"/>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 PAGE   \* MERGEFORMAT </w:instrText>
    </w:r>
    <w:r>
      <w:rPr>
        <w:rFonts w:ascii="Times New Roman" w:hAnsi="Times New Roman"/>
        <w:sz w:val="21"/>
      </w:rPr>
      <w:fldChar w:fldCharType="separate"/>
    </w:r>
    <w:r>
      <w:t>2</w:t>
    </w:r>
    <w:r>
      <w:rPr>
        <w:rFonts w:ascii="Times New Roman" w:hAnsi="Times New Roman"/>
        <w:sz w:val="21"/>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80B9E">
    <w:pPr>
      <w:pStyle w:val="13"/>
      <w:jc w:val="right"/>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 PAGE   \* MERGEFORMAT </w:instrText>
    </w:r>
    <w:r>
      <w:rPr>
        <w:rFonts w:ascii="Times New Roman" w:hAnsi="Times New Roman"/>
        <w:sz w:val="21"/>
      </w:rPr>
      <w:fldChar w:fldCharType="separate"/>
    </w:r>
    <w:r>
      <w:t>857</w:t>
    </w:r>
    <w:r>
      <w:rPr>
        <w:rFonts w:ascii="Times New Roman" w:hAnsi="Times New Roman"/>
        <w:sz w:val="21"/>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942C9">
    <w:pPr>
      <w:pStyle w:val="13"/>
      <w:ind w:firstLine="0" w:firstLineChars="0"/>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 PAGE   \* MERGEFORMAT </w:instrText>
    </w:r>
    <w:r>
      <w:rPr>
        <w:rFonts w:ascii="Times New Roman" w:hAnsi="Times New Roman"/>
        <w:sz w:val="21"/>
      </w:rPr>
      <w:fldChar w:fldCharType="separate"/>
    </w:r>
    <w:r>
      <w:t>858</w:t>
    </w:r>
    <w:r>
      <w:rPr>
        <w:rFonts w:ascii="Times New Roman" w:hAnsi="Times New Roman"/>
        <w:sz w:val="21"/>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6F462">
    <w:pPr>
      <w:pStyle w:val="13"/>
      <w:ind w:firstLine="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7EC66">
    <w:pPr>
      <w:pStyle w:val="13"/>
      <w:ind w:firstLine="0" w:firstLineChars="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09D3D">
    <w:pPr>
      <w:pStyle w:val="13"/>
      <w:jc w:val="right"/>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 PAGE   \* MERGEFORMAT </w:instrText>
    </w:r>
    <w:r>
      <w:rPr>
        <w:rFonts w:ascii="Times New Roman" w:hAnsi="Times New Roman"/>
        <w:sz w:val="21"/>
      </w:rPr>
      <w:fldChar w:fldCharType="separate"/>
    </w:r>
    <w:r>
      <w:t>1323</w:t>
    </w:r>
    <w:r>
      <w:rPr>
        <w:rFonts w:ascii="Times New Roman" w:hAnsi="Times New Roman"/>
        <w:sz w:val="21"/>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ED553">
    <w:pPr>
      <w:pStyle w:val="13"/>
      <w:ind w:firstLine="0" w:firstLineChars="0"/>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 PAGE   \* MERGEFORMAT </w:instrText>
    </w:r>
    <w:r>
      <w:rPr>
        <w:rFonts w:ascii="Times New Roman" w:hAnsi="Times New Roman"/>
        <w:sz w:val="21"/>
      </w:rPr>
      <w:fldChar w:fldCharType="separate"/>
    </w:r>
    <w:r>
      <w:t>1324</w:t>
    </w:r>
    <w:r>
      <w:rPr>
        <w:rFonts w:ascii="Times New Roman" w:hAnsi="Times New Roman"/>
        <w:sz w:val="21"/>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A241D">
    <w:pPr>
      <w:pStyle w:val="13"/>
      <w:jc w:val="right"/>
      <w:rPr>
        <w:rFonts w:ascii="Times New Roman" w:hAnsi="Times New Roman"/>
        <w:sz w:val="21"/>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401E7">
    <w:pPr>
      <w:pStyle w:val="13"/>
      <w:ind w:firstLine="0" w:firstLineChars="0"/>
      <w:rPr>
        <w:rFonts w:ascii="Times New Roman" w:hAnsi="Times New Roman"/>
        <w:sz w:val="21"/>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63CFD">
    <w:pPr>
      <w:pStyle w:val="13"/>
      <w:jc w:val="right"/>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 PAGE   \* MERGEFORMAT </w:instrText>
    </w:r>
    <w:r>
      <w:rPr>
        <w:rFonts w:ascii="Times New Roman" w:hAnsi="Times New Roman"/>
        <w:sz w:val="21"/>
      </w:rPr>
      <w:fldChar w:fldCharType="separate"/>
    </w:r>
    <w:r>
      <w:t>1323</w:t>
    </w:r>
    <w:r>
      <w:rPr>
        <w:rFonts w:ascii="Times New Roman" w:hAnsi="Times New Roman"/>
        <w:sz w:val="21"/>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95AD3">
    <w:pPr>
      <w:pStyle w:val="13"/>
      <w:ind w:firstLine="0" w:firstLineChars="0"/>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 PAGE   \* MERGEFORMAT </w:instrText>
    </w:r>
    <w:r>
      <w:rPr>
        <w:rFonts w:ascii="Times New Roman" w:hAnsi="Times New Roman"/>
        <w:sz w:val="21"/>
      </w:rPr>
      <w:fldChar w:fldCharType="separate"/>
    </w:r>
    <w:r>
      <w:t>1324</w:t>
    </w:r>
    <w:r>
      <w:rPr>
        <w:rFonts w:ascii="Times New Roman" w:hAnsi="Times New Roman"/>
        <w:sz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A439F">
    <w:pPr>
      <w:pStyle w:val="13"/>
      <w:ind w:right="420" w:firstLine="0" w:firstLineChars="0"/>
      <w:rPr>
        <w:rFonts w:ascii="Times New Roman" w:hAnsi="Times New Roman" w:eastAsia="楷体"/>
        <w:sz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4625F">
    <w:pPr>
      <w:pStyle w:val="13"/>
      <w:jc w:val="right"/>
      <w:rPr>
        <w:rFonts w:ascii="Times New Roman" w:hAnsi="Times New Roman"/>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61527">
    <w:pPr>
      <w:pStyle w:val="13"/>
      <w:ind w:firstLine="0" w:firstLineChars="0"/>
      <w:rPr>
        <w:rFonts w:ascii="Times New Roman" w:hAnsi="Times New Roman"/>
        <w:sz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79021">
    <w:pPr>
      <w:pStyle w:val="13"/>
      <w:jc w:val="right"/>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 PAGE   \* MERGEFORMAT </w:instrText>
    </w:r>
    <w:r>
      <w:rPr>
        <w:rFonts w:ascii="Times New Roman" w:hAnsi="Times New Roman"/>
        <w:sz w:val="21"/>
      </w:rPr>
      <w:fldChar w:fldCharType="separate"/>
    </w:r>
    <w:r>
      <w:t>3</w:t>
    </w:r>
    <w:r>
      <w:rPr>
        <w:rFonts w:ascii="Times New Roman" w:hAnsi="Times New Roman"/>
        <w:sz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99D20">
    <w:pPr>
      <w:pStyle w:val="13"/>
      <w:ind w:firstLine="0" w:firstLineChars="0"/>
      <w:rPr>
        <w:rFonts w:ascii="Times New Roman" w:hAnsi="Times New Roman"/>
        <w:sz w:val="21"/>
      </w:rPr>
    </w:pPr>
    <w:r>
      <w:rPr>
        <w:rFonts w:ascii="Times New Roman" w:hAnsi="Times New Roman"/>
        <w:sz w:val="21"/>
      </w:rPr>
      <w:fldChar w:fldCharType="begin"/>
    </w:r>
    <w:r>
      <w:rPr>
        <w:rFonts w:ascii="Times New Roman" w:hAnsi="Times New Roman"/>
        <w:sz w:val="21"/>
      </w:rPr>
      <w:instrText xml:space="preserve"> PAGE   \* MERGEFORMAT </w:instrText>
    </w:r>
    <w:r>
      <w:rPr>
        <w:rFonts w:ascii="Times New Roman" w:hAnsi="Times New Roman"/>
        <w:sz w:val="21"/>
      </w:rPr>
      <w:fldChar w:fldCharType="separate"/>
    </w:r>
    <w:r>
      <w:t>4</w:t>
    </w:r>
    <w:r>
      <w:rPr>
        <w:rFonts w:ascii="Times New Roman" w:hAnsi="Times New Roman"/>
        <w:sz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D9D85">
    <w:pPr>
      <w:pStyle w:val="13"/>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28BA5">
    <w:pPr>
      <w:pStyle w:val="13"/>
      <w:ind w:firstLine="0" w:firstLineChars="0"/>
      <w:rPr>
        <w:rFonts w:ascii="Times New Roman" w:hAnsi="Times New Roman"/>
        <w:sz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F6D82">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2649C">
    <w:pPr>
      <w:pStyle w:val="14"/>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B5CF">
    <w:pPr>
      <w:pStyle w:val="14"/>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FD529">
    <w:pPr>
      <w:pStyle w:val="14"/>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52035"/>
    <w:rsid w:val="00007113"/>
    <w:rsid w:val="00021BE7"/>
    <w:rsid w:val="0002535F"/>
    <w:rsid w:val="00043A6F"/>
    <w:rsid w:val="00044291"/>
    <w:rsid w:val="00055A2F"/>
    <w:rsid w:val="00055CE0"/>
    <w:rsid w:val="000564C1"/>
    <w:rsid w:val="00071E7C"/>
    <w:rsid w:val="00081A35"/>
    <w:rsid w:val="000E069D"/>
    <w:rsid w:val="000E10FF"/>
    <w:rsid w:val="000E404C"/>
    <w:rsid w:val="000E70A7"/>
    <w:rsid w:val="000F71FA"/>
    <w:rsid w:val="000F7D43"/>
    <w:rsid w:val="0011214A"/>
    <w:rsid w:val="001267FE"/>
    <w:rsid w:val="001270CA"/>
    <w:rsid w:val="00160A50"/>
    <w:rsid w:val="00161377"/>
    <w:rsid w:val="001630CA"/>
    <w:rsid w:val="00180613"/>
    <w:rsid w:val="0018398F"/>
    <w:rsid w:val="00190CCE"/>
    <w:rsid w:val="001933B2"/>
    <w:rsid w:val="001C0D74"/>
    <w:rsid w:val="001E299E"/>
    <w:rsid w:val="001E7362"/>
    <w:rsid w:val="001E7414"/>
    <w:rsid w:val="001F1008"/>
    <w:rsid w:val="001F1051"/>
    <w:rsid w:val="00205554"/>
    <w:rsid w:val="00212DEE"/>
    <w:rsid w:val="002175DE"/>
    <w:rsid w:val="0022699B"/>
    <w:rsid w:val="002575E0"/>
    <w:rsid w:val="00273330"/>
    <w:rsid w:val="00275726"/>
    <w:rsid w:val="00283688"/>
    <w:rsid w:val="00284099"/>
    <w:rsid w:val="002A0B33"/>
    <w:rsid w:val="002A2F60"/>
    <w:rsid w:val="002C4EF0"/>
    <w:rsid w:val="002D501A"/>
    <w:rsid w:val="002D50A0"/>
    <w:rsid w:val="002D596C"/>
    <w:rsid w:val="002E18FC"/>
    <w:rsid w:val="002E6BBF"/>
    <w:rsid w:val="0030323A"/>
    <w:rsid w:val="00315E59"/>
    <w:rsid w:val="00336DAD"/>
    <w:rsid w:val="00373C08"/>
    <w:rsid w:val="00382F89"/>
    <w:rsid w:val="00394EEA"/>
    <w:rsid w:val="003A2363"/>
    <w:rsid w:val="003A2A7C"/>
    <w:rsid w:val="003C24F7"/>
    <w:rsid w:val="003D45FB"/>
    <w:rsid w:val="003F1DDE"/>
    <w:rsid w:val="0040509D"/>
    <w:rsid w:val="0040549D"/>
    <w:rsid w:val="00413FE2"/>
    <w:rsid w:val="004317D6"/>
    <w:rsid w:val="004327F4"/>
    <w:rsid w:val="00442401"/>
    <w:rsid w:val="00445CFC"/>
    <w:rsid w:val="0045561B"/>
    <w:rsid w:val="004742E5"/>
    <w:rsid w:val="00477D4D"/>
    <w:rsid w:val="0048760C"/>
    <w:rsid w:val="004C1F07"/>
    <w:rsid w:val="004D1D02"/>
    <w:rsid w:val="004F486D"/>
    <w:rsid w:val="00510A15"/>
    <w:rsid w:val="005173A9"/>
    <w:rsid w:val="00523D3F"/>
    <w:rsid w:val="00540297"/>
    <w:rsid w:val="00557B0E"/>
    <w:rsid w:val="005750B9"/>
    <w:rsid w:val="005A00CF"/>
    <w:rsid w:val="005B2281"/>
    <w:rsid w:val="005D2D74"/>
    <w:rsid w:val="005E54F2"/>
    <w:rsid w:val="005F4239"/>
    <w:rsid w:val="00600C5E"/>
    <w:rsid w:val="0060277B"/>
    <w:rsid w:val="00603594"/>
    <w:rsid w:val="00624055"/>
    <w:rsid w:val="00635CA9"/>
    <w:rsid w:val="00652035"/>
    <w:rsid w:val="00694F9B"/>
    <w:rsid w:val="006A06D8"/>
    <w:rsid w:val="006A5A70"/>
    <w:rsid w:val="006B39BC"/>
    <w:rsid w:val="006B4264"/>
    <w:rsid w:val="006C361D"/>
    <w:rsid w:val="006C393B"/>
    <w:rsid w:val="006D49C4"/>
    <w:rsid w:val="006D4BED"/>
    <w:rsid w:val="006D4FE3"/>
    <w:rsid w:val="006E4390"/>
    <w:rsid w:val="006F2061"/>
    <w:rsid w:val="006F709C"/>
    <w:rsid w:val="00706935"/>
    <w:rsid w:val="00711AFB"/>
    <w:rsid w:val="0073099C"/>
    <w:rsid w:val="00745A9B"/>
    <w:rsid w:val="00746D06"/>
    <w:rsid w:val="00763E77"/>
    <w:rsid w:val="007A5A46"/>
    <w:rsid w:val="007B4F48"/>
    <w:rsid w:val="007D1D3E"/>
    <w:rsid w:val="007E6AF5"/>
    <w:rsid w:val="007F3FDA"/>
    <w:rsid w:val="007F5580"/>
    <w:rsid w:val="00821868"/>
    <w:rsid w:val="00827B31"/>
    <w:rsid w:val="008445A5"/>
    <w:rsid w:val="00846109"/>
    <w:rsid w:val="0085222E"/>
    <w:rsid w:val="00867A12"/>
    <w:rsid w:val="00881FCF"/>
    <w:rsid w:val="00884D75"/>
    <w:rsid w:val="008945EB"/>
    <w:rsid w:val="00897072"/>
    <w:rsid w:val="008A4461"/>
    <w:rsid w:val="008A4E38"/>
    <w:rsid w:val="008B4EB0"/>
    <w:rsid w:val="008B7B63"/>
    <w:rsid w:val="008D034C"/>
    <w:rsid w:val="008F03AD"/>
    <w:rsid w:val="008F3CB7"/>
    <w:rsid w:val="008F6680"/>
    <w:rsid w:val="008F7DF6"/>
    <w:rsid w:val="00921F41"/>
    <w:rsid w:val="009340C5"/>
    <w:rsid w:val="00934D80"/>
    <w:rsid w:val="00940EA7"/>
    <w:rsid w:val="00943FBF"/>
    <w:rsid w:val="00946DBA"/>
    <w:rsid w:val="00971236"/>
    <w:rsid w:val="00995E19"/>
    <w:rsid w:val="009A347F"/>
    <w:rsid w:val="009B0647"/>
    <w:rsid w:val="009C0AB0"/>
    <w:rsid w:val="009D19E6"/>
    <w:rsid w:val="009E0139"/>
    <w:rsid w:val="009E0569"/>
    <w:rsid w:val="009E539C"/>
    <w:rsid w:val="009E56E8"/>
    <w:rsid w:val="00A11A5E"/>
    <w:rsid w:val="00A12592"/>
    <w:rsid w:val="00A1478F"/>
    <w:rsid w:val="00A319DD"/>
    <w:rsid w:val="00A404DB"/>
    <w:rsid w:val="00A40751"/>
    <w:rsid w:val="00A65AA1"/>
    <w:rsid w:val="00A715A5"/>
    <w:rsid w:val="00A77195"/>
    <w:rsid w:val="00A80706"/>
    <w:rsid w:val="00AA21C9"/>
    <w:rsid w:val="00AA3F7B"/>
    <w:rsid w:val="00AA6CFA"/>
    <w:rsid w:val="00AA76B9"/>
    <w:rsid w:val="00AC12AE"/>
    <w:rsid w:val="00AC3B8C"/>
    <w:rsid w:val="00AF3C3D"/>
    <w:rsid w:val="00AF4822"/>
    <w:rsid w:val="00B009C6"/>
    <w:rsid w:val="00B125E0"/>
    <w:rsid w:val="00B27283"/>
    <w:rsid w:val="00B3198F"/>
    <w:rsid w:val="00B32AE5"/>
    <w:rsid w:val="00B64710"/>
    <w:rsid w:val="00B72097"/>
    <w:rsid w:val="00BA37A4"/>
    <w:rsid w:val="00BA5D30"/>
    <w:rsid w:val="00BC1C3B"/>
    <w:rsid w:val="00BD0016"/>
    <w:rsid w:val="00BE490A"/>
    <w:rsid w:val="00BF345E"/>
    <w:rsid w:val="00BF6EDA"/>
    <w:rsid w:val="00C00FE8"/>
    <w:rsid w:val="00C104EB"/>
    <w:rsid w:val="00C145FE"/>
    <w:rsid w:val="00C313C8"/>
    <w:rsid w:val="00C46902"/>
    <w:rsid w:val="00C547BC"/>
    <w:rsid w:val="00C65DC2"/>
    <w:rsid w:val="00C709ED"/>
    <w:rsid w:val="00C71BDD"/>
    <w:rsid w:val="00C76D3A"/>
    <w:rsid w:val="00C76D4E"/>
    <w:rsid w:val="00C80246"/>
    <w:rsid w:val="00C83FFF"/>
    <w:rsid w:val="00CD7C68"/>
    <w:rsid w:val="00D01CBF"/>
    <w:rsid w:val="00D06B1B"/>
    <w:rsid w:val="00D07638"/>
    <w:rsid w:val="00D24635"/>
    <w:rsid w:val="00D34FF9"/>
    <w:rsid w:val="00D90DF1"/>
    <w:rsid w:val="00D9424C"/>
    <w:rsid w:val="00D96493"/>
    <w:rsid w:val="00DB05AA"/>
    <w:rsid w:val="00DE2906"/>
    <w:rsid w:val="00DE2AE3"/>
    <w:rsid w:val="00DF62E9"/>
    <w:rsid w:val="00DF7455"/>
    <w:rsid w:val="00E010BF"/>
    <w:rsid w:val="00E1563B"/>
    <w:rsid w:val="00E17386"/>
    <w:rsid w:val="00E363D1"/>
    <w:rsid w:val="00E4558D"/>
    <w:rsid w:val="00E45BE7"/>
    <w:rsid w:val="00E522BA"/>
    <w:rsid w:val="00E6540E"/>
    <w:rsid w:val="00E65E20"/>
    <w:rsid w:val="00E6733E"/>
    <w:rsid w:val="00E808DF"/>
    <w:rsid w:val="00E834D5"/>
    <w:rsid w:val="00E94EF5"/>
    <w:rsid w:val="00EB0C4F"/>
    <w:rsid w:val="00EC4CD4"/>
    <w:rsid w:val="00EC580E"/>
    <w:rsid w:val="00ED2893"/>
    <w:rsid w:val="00ED749C"/>
    <w:rsid w:val="00EE7B77"/>
    <w:rsid w:val="00EF17A2"/>
    <w:rsid w:val="00EF4ADA"/>
    <w:rsid w:val="00EF6777"/>
    <w:rsid w:val="00F01F14"/>
    <w:rsid w:val="00F042E7"/>
    <w:rsid w:val="00F22146"/>
    <w:rsid w:val="00F24DB3"/>
    <w:rsid w:val="00F306D0"/>
    <w:rsid w:val="00F44E78"/>
    <w:rsid w:val="00F450C8"/>
    <w:rsid w:val="00F47D2D"/>
    <w:rsid w:val="00F51165"/>
    <w:rsid w:val="00F55C9F"/>
    <w:rsid w:val="00F71215"/>
    <w:rsid w:val="00F71B4C"/>
    <w:rsid w:val="00F76525"/>
    <w:rsid w:val="00F82392"/>
    <w:rsid w:val="00F84E71"/>
    <w:rsid w:val="00F914F2"/>
    <w:rsid w:val="00FC35E4"/>
    <w:rsid w:val="00FC6B57"/>
    <w:rsid w:val="00FD5549"/>
    <w:rsid w:val="00FF0511"/>
    <w:rsid w:val="00FF7CE4"/>
    <w:rsid w:val="010E72CB"/>
    <w:rsid w:val="011646D7"/>
    <w:rsid w:val="012226E8"/>
    <w:rsid w:val="013A3612"/>
    <w:rsid w:val="01780EF9"/>
    <w:rsid w:val="017C407C"/>
    <w:rsid w:val="019B4930"/>
    <w:rsid w:val="029D325A"/>
    <w:rsid w:val="02D91DBA"/>
    <w:rsid w:val="02EE64DC"/>
    <w:rsid w:val="030054FC"/>
    <w:rsid w:val="0314671B"/>
    <w:rsid w:val="05E07B33"/>
    <w:rsid w:val="069B0266"/>
    <w:rsid w:val="077E2A57"/>
    <w:rsid w:val="07D02862"/>
    <w:rsid w:val="07D337E6"/>
    <w:rsid w:val="07D53466"/>
    <w:rsid w:val="07D956F0"/>
    <w:rsid w:val="07E51502"/>
    <w:rsid w:val="08F54BC3"/>
    <w:rsid w:val="09317E9F"/>
    <w:rsid w:val="09D873B4"/>
    <w:rsid w:val="0A631516"/>
    <w:rsid w:val="0A7E6C48"/>
    <w:rsid w:val="0AD1721E"/>
    <w:rsid w:val="0AEA3D79"/>
    <w:rsid w:val="0AED147A"/>
    <w:rsid w:val="0B7061D0"/>
    <w:rsid w:val="0BF928B1"/>
    <w:rsid w:val="0DEF54F6"/>
    <w:rsid w:val="0E991F00"/>
    <w:rsid w:val="0EB32AAA"/>
    <w:rsid w:val="0EC44FD6"/>
    <w:rsid w:val="0F00642C"/>
    <w:rsid w:val="0FDE2597"/>
    <w:rsid w:val="0FE1571A"/>
    <w:rsid w:val="0FEC732E"/>
    <w:rsid w:val="110348F8"/>
    <w:rsid w:val="117B32BD"/>
    <w:rsid w:val="118A2253"/>
    <w:rsid w:val="12065420"/>
    <w:rsid w:val="13A85E50"/>
    <w:rsid w:val="13D92D9C"/>
    <w:rsid w:val="14576EEE"/>
    <w:rsid w:val="15111B9F"/>
    <w:rsid w:val="151A4A2D"/>
    <w:rsid w:val="15CA6DCF"/>
    <w:rsid w:val="15F42192"/>
    <w:rsid w:val="15F57C14"/>
    <w:rsid w:val="16150148"/>
    <w:rsid w:val="16CB43F4"/>
    <w:rsid w:val="17244A82"/>
    <w:rsid w:val="173B7F2B"/>
    <w:rsid w:val="17453683"/>
    <w:rsid w:val="177D6916"/>
    <w:rsid w:val="17BA1AFE"/>
    <w:rsid w:val="17C3498C"/>
    <w:rsid w:val="17E96DCA"/>
    <w:rsid w:val="18717FA7"/>
    <w:rsid w:val="18A05273"/>
    <w:rsid w:val="18EA1ED4"/>
    <w:rsid w:val="19201045"/>
    <w:rsid w:val="19A625A3"/>
    <w:rsid w:val="19D4436C"/>
    <w:rsid w:val="1A872F16"/>
    <w:rsid w:val="1AA85649"/>
    <w:rsid w:val="1AF5354A"/>
    <w:rsid w:val="1B317B2B"/>
    <w:rsid w:val="1B685A87"/>
    <w:rsid w:val="1BB2137E"/>
    <w:rsid w:val="1C3A035E"/>
    <w:rsid w:val="1CF21D0A"/>
    <w:rsid w:val="1CF52C8F"/>
    <w:rsid w:val="1D2821E4"/>
    <w:rsid w:val="1D7003DA"/>
    <w:rsid w:val="1DD63602"/>
    <w:rsid w:val="1EAB6ADD"/>
    <w:rsid w:val="1EB80371"/>
    <w:rsid w:val="20232559"/>
    <w:rsid w:val="20593321"/>
    <w:rsid w:val="214F4B32"/>
    <w:rsid w:val="21C55DF6"/>
    <w:rsid w:val="21D13E07"/>
    <w:rsid w:val="225056BE"/>
    <w:rsid w:val="22551E62"/>
    <w:rsid w:val="22A031DB"/>
    <w:rsid w:val="22B01277"/>
    <w:rsid w:val="22ED32DA"/>
    <w:rsid w:val="23D322D3"/>
    <w:rsid w:val="244F54A0"/>
    <w:rsid w:val="25036248"/>
    <w:rsid w:val="2537799C"/>
    <w:rsid w:val="25B76FF0"/>
    <w:rsid w:val="26FE7307"/>
    <w:rsid w:val="27615D27"/>
    <w:rsid w:val="27AD03A5"/>
    <w:rsid w:val="280542B6"/>
    <w:rsid w:val="280E7144"/>
    <w:rsid w:val="281A7207"/>
    <w:rsid w:val="281C3EDC"/>
    <w:rsid w:val="283251EB"/>
    <w:rsid w:val="28A21BB6"/>
    <w:rsid w:val="293549A8"/>
    <w:rsid w:val="2A700EAD"/>
    <w:rsid w:val="2AD256CE"/>
    <w:rsid w:val="2AFB6893"/>
    <w:rsid w:val="2B513A1E"/>
    <w:rsid w:val="2C28046C"/>
    <w:rsid w:val="2C331E12"/>
    <w:rsid w:val="2CB424B1"/>
    <w:rsid w:val="2DAB617C"/>
    <w:rsid w:val="2DAF6D80"/>
    <w:rsid w:val="2DC77CAA"/>
    <w:rsid w:val="2E7B2FD1"/>
    <w:rsid w:val="2EDD77F3"/>
    <w:rsid w:val="2EFE7D27"/>
    <w:rsid w:val="2FB829D9"/>
    <w:rsid w:val="2FC5646B"/>
    <w:rsid w:val="2FDC1914"/>
    <w:rsid w:val="30906E39"/>
    <w:rsid w:val="30C41C11"/>
    <w:rsid w:val="30DE023D"/>
    <w:rsid w:val="31642694"/>
    <w:rsid w:val="31BA5621"/>
    <w:rsid w:val="31BD65A6"/>
    <w:rsid w:val="32063522"/>
    <w:rsid w:val="32506E1A"/>
    <w:rsid w:val="32D52968"/>
    <w:rsid w:val="33371696"/>
    <w:rsid w:val="335C6052"/>
    <w:rsid w:val="335D3AD4"/>
    <w:rsid w:val="337820FF"/>
    <w:rsid w:val="33992634"/>
    <w:rsid w:val="34650A83"/>
    <w:rsid w:val="34F61CE8"/>
    <w:rsid w:val="358D3D69"/>
    <w:rsid w:val="35D905E4"/>
    <w:rsid w:val="3618394C"/>
    <w:rsid w:val="362C03EF"/>
    <w:rsid w:val="36A31332"/>
    <w:rsid w:val="36D37903"/>
    <w:rsid w:val="36FB77C2"/>
    <w:rsid w:val="37F70BCD"/>
    <w:rsid w:val="382B20B3"/>
    <w:rsid w:val="383D5850"/>
    <w:rsid w:val="38600AFC"/>
    <w:rsid w:val="38E31861"/>
    <w:rsid w:val="395A0026"/>
    <w:rsid w:val="39AB12AA"/>
    <w:rsid w:val="3A0C25C8"/>
    <w:rsid w:val="3A1379D5"/>
    <w:rsid w:val="3B20548B"/>
    <w:rsid w:val="3B3C3FBF"/>
    <w:rsid w:val="3BD031AE"/>
    <w:rsid w:val="3C520284"/>
    <w:rsid w:val="3C9157EA"/>
    <w:rsid w:val="3D2F2C1F"/>
    <w:rsid w:val="3D4F2725"/>
    <w:rsid w:val="3D926692"/>
    <w:rsid w:val="3DAD4CBD"/>
    <w:rsid w:val="3DF34C0E"/>
    <w:rsid w:val="3E775A0B"/>
    <w:rsid w:val="3E844D20"/>
    <w:rsid w:val="3E9C6B44"/>
    <w:rsid w:val="3EBC06FE"/>
    <w:rsid w:val="3EC6578A"/>
    <w:rsid w:val="3F433E5A"/>
    <w:rsid w:val="3F8A45CE"/>
    <w:rsid w:val="3FC06CA7"/>
    <w:rsid w:val="400A259E"/>
    <w:rsid w:val="40643F31"/>
    <w:rsid w:val="40E12601"/>
    <w:rsid w:val="41282D76"/>
    <w:rsid w:val="42965757"/>
    <w:rsid w:val="432E3244"/>
    <w:rsid w:val="43B60E25"/>
    <w:rsid w:val="43DD0CE5"/>
    <w:rsid w:val="43DE6767"/>
    <w:rsid w:val="446C50D1"/>
    <w:rsid w:val="44D84400"/>
    <w:rsid w:val="44E36014"/>
    <w:rsid w:val="467E7FB4"/>
    <w:rsid w:val="467F5A35"/>
    <w:rsid w:val="48162654"/>
    <w:rsid w:val="481700D5"/>
    <w:rsid w:val="484C72AA"/>
    <w:rsid w:val="48683357"/>
    <w:rsid w:val="48765EF0"/>
    <w:rsid w:val="48AA50C6"/>
    <w:rsid w:val="4924150C"/>
    <w:rsid w:val="49256F8E"/>
    <w:rsid w:val="494B13CC"/>
    <w:rsid w:val="49547ADD"/>
    <w:rsid w:val="4961356F"/>
    <w:rsid w:val="49FE46F2"/>
    <w:rsid w:val="4A4009DF"/>
    <w:rsid w:val="4B334AEF"/>
    <w:rsid w:val="4BC84FE3"/>
    <w:rsid w:val="4C0F7955"/>
    <w:rsid w:val="4C473333"/>
    <w:rsid w:val="4D485B47"/>
    <w:rsid w:val="4D567C6D"/>
    <w:rsid w:val="4D8B5F48"/>
    <w:rsid w:val="4D9664D8"/>
    <w:rsid w:val="4DA64574"/>
    <w:rsid w:val="4DF158ED"/>
    <w:rsid w:val="4EC12E0B"/>
    <w:rsid w:val="4EC7464B"/>
    <w:rsid w:val="4ED41763"/>
    <w:rsid w:val="501A61F6"/>
    <w:rsid w:val="50AE22ED"/>
    <w:rsid w:val="50F54C60"/>
    <w:rsid w:val="51D058C8"/>
    <w:rsid w:val="521C24C4"/>
    <w:rsid w:val="52447E05"/>
    <w:rsid w:val="52BA10C9"/>
    <w:rsid w:val="53250778"/>
    <w:rsid w:val="53A61FCB"/>
    <w:rsid w:val="53AC1956"/>
    <w:rsid w:val="55186629"/>
    <w:rsid w:val="551940AB"/>
    <w:rsid w:val="553B2061"/>
    <w:rsid w:val="564B7CA0"/>
    <w:rsid w:val="568C2281"/>
    <w:rsid w:val="571C2577"/>
    <w:rsid w:val="571E12FD"/>
    <w:rsid w:val="57381EA7"/>
    <w:rsid w:val="5776778D"/>
    <w:rsid w:val="578909AC"/>
    <w:rsid w:val="58753AAD"/>
    <w:rsid w:val="5A0B01E0"/>
    <w:rsid w:val="5A554343"/>
    <w:rsid w:val="5A995D31"/>
    <w:rsid w:val="5B1B5005"/>
    <w:rsid w:val="5BF501EB"/>
    <w:rsid w:val="5C4C0BFA"/>
    <w:rsid w:val="5C53123E"/>
    <w:rsid w:val="5D254161"/>
    <w:rsid w:val="5D2B606A"/>
    <w:rsid w:val="5DF247AE"/>
    <w:rsid w:val="5E6160E7"/>
    <w:rsid w:val="5ED11C1E"/>
    <w:rsid w:val="5EFF5730"/>
    <w:rsid w:val="61161E58"/>
    <w:rsid w:val="616D02E8"/>
    <w:rsid w:val="61AA1046"/>
    <w:rsid w:val="62090166"/>
    <w:rsid w:val="63130619"/>
    <w:rsid w:val="63483071"/>
    <w:rsid w:val="637C597D"/>
    <w:rsid w:val="63DA25E0"/>
    <w:rsid w:val="64CB576C"/>
    <w:rsid w:val="64DF660A"/>
    <w:rsid w:val="65082AE7"/>
    <w:rsid w:val="650D0EB5"/>
    <w:rsid w:val="654827B7"/>
    <w:rsid w:val="656F0478"/>
    <w:rsid w:val="66360241"/>
    <w:rsid w:val="665761F7"/>
    <w:rsid w:val="66B17B8A"/>
    <w:rsid w:val="671465AA"/>
    <w:rsid w:val="677840D0"/>
    <w:rsid w:val="68107747"/>
    <w:rsid w:val="682B15F5"/>
    <w:rsid w:val="68483124"/>
    <w:rsid w:val="68523A33"/>
    <w:rsid w:val="689C2BAE"/>
    <w:rsid w:val="6967137D"/>
    <w:rsid w:val="69AC4F69"/>
    <w:rsid w:val="6A360751"/>
    <w:rsid w:val="6A8C58DC"/>
    <w:rsid w:val="6AA81989"/>
    <w:rsid w:val="6AED6BFB"/>
    <w:rsid w:val="6B426304"/>
    <w:rsid w:val="6B7248D5"/>
    <w:rsid w:val="6B822971"/>
    <w:rsid w:val="6C303D8F"/>
    <w:rsid w:val="6CAD0DDA"/>
    <w:rsid w:val="6D216B9A"/>
    <w:rsid w:val="6D3D73C4"/>
    <w:rsid w:val="6D3E06C9"/>
    <w:rsid w:val="6DE25953"/>
    <w:rsid w:val="6EA76D7C"/>
    <w:rsid w:val="6EC50047"/>
    <w:rsid w:val="6FEA15AC"/>
    <w:rsid w:val="70C50F0F"/>
    <w:rsid w:val="716B4379"/>
    <w:rsid w:val="719E6674"/>
    <w:rsid w:val="71AC120D"/>
    <w:rsid w:val="71F57082"/>
    <w:rsid w:val="73262C77"/>
    <w:rsid w:val="742915A0"/>
    <w:rsid w:val="74F26A6B"/>
    <w:rsid w:val="75DF53EF"/>
    <w:rsid w:val="7634617E"/>
    <w:rsid w:val="76450616"/>
    <w:rsid w:val="78031871"/>
    <w:rsid w:val="78121E8B"/>
    <w:rsid w:val="781F11A1"/>
    <w:rsid w:val="784513E1"/>
    <w:rsid w:val="79707849"/>
    <w:rsid w:val="79D97279"/>
    <w:rsid w:val="7A645B58"/>
    <w:rsid w:val="7B081EE9"/>
    <w:rsid w:val="7B6C1C0D"/>
    <w:rsid w:val="7B6D3E0C"/>
    <w:rsid w:val="7B6E5110"/>
    <w:rsid w:val="7BA00C63"/>
    <w:rsid w:val="7BD55DBA"/>
    <w:rsid w:val="7BF043E5"/>
    <w:rsid w:val="7C12239B"/>
    <w:rsid w:val="7C540886"/>
    <w:rsid w:val="7C6D7232"/>
    <w:rsid w:val="7CCE274E"/>
    <w:rsid w:val="7D18396F"/>
    <w:rsid w:val="7D2569E0"/>
    <w:rsid w:val="7D8234F7"/>
    <w:rsid w:val="7E5B31DA"/>
    <w:rsid w:val="7E967B3C"/>
    <w:rsid w:val="7E9D2D4A"/>
    <w:rsid w:val="7ECC0016"/>
    <w:rsid w:val="7F107805"/>
    <w:rsid w:val="7FFB4E8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exact"/>
      <w:ind w:firstLine="420" w:firstLineChars="200"/>
      <w:jc w:val="both"/>
    </w:pPr>
    <w:rPr>
      <w:rFonts w:ascii="Calibri" w:hAnsi="Calibri" w:eastAsia="宋体" w:cs="Times New Roman"/>
      <w:kern w:val="2"/>
      <w:sz w:val="21"/>
      <w:szCs w:val="22"/>
      <w:lang w:val="en-US" w:eastAsia="zh-CN" w:bidi="ar-SA"/>
    </w:rPr>
  </w:style>
  <w:style w:type="paragraph" w:styleId="2">
    <w:name w:val="heading 1"/>
    <w:basedOn w:val="1"/>
    <w:next w:val="1"/>
    <w:link w:val="39"/>
    <w:qFormat/>
    <w:uiPriority w:val="9"/>
    <w:pPr>
      <w:spacing w:before="260" w:after="260" w:line="240" w:lineRule="auto"/>
      <w:ind w:firstLine="0" w:firstLineChars="0"/>
      <w:jc w:val="center"/>
      <w:outlineLvl w:val="0"/>
    </w:pPr>
    <w:rPr>
      <w:rFonts w:eastAsia="黑体"/>
      <w:bCs/>
      <w:kern w:val="44"/>
      <w:sz w:val="52"/>
      <w:szCs w:val="44"/>
    </w:rPr>
  </w:style>
  <w:style w:type="paragraph" w:styleId="3">
    <w:name w:val="heading 2"/>
    <w:basedOn w:val="1"/>
    <w:next w:val="1"/>
    <w:link w:val="30"/>
    <w:qFormat/>
    <w:uiPriority w:val="9"/>
    <w:pPr>
      <w:spacing w:before="260" w:after="260" w:line="240" w:lineRule="auto"/>
      <w:ind w:firstLine="0" w:firstLineChars="0"/>
      <w:jc w:val="center"/>
      <w:outlineLvl w:val="1"/>
    </w:pPr>
    <w:rPr>
      <w:rFonts w:ascii="Cambria" w:hAnsi="Cambria" w:eastAsia="黑体"/>
      <w:bCs/>
      <w:sz w:val="44"/>
      <w:szCs w:val="32"/>
    </w:rPr>
  </w:style>
  <w:style w:type="paragraph" w:styleId="4">
    <w:name w:val="heading 3"/>
    <w:basedOn w:val="1"/>
    <w:next w:val="1"/>
    <w:link w:val="37"/>
    <w:qFormat/>
    <w:uiPriority w:val="9"/>
    <w:pPr>
      <w:spacing w:line="240" w:lineRule="auto"/>
      <w:ind w:firstLine="0" w:firstLineChars="0"/>
      <w:jc w:val="center"/>
      <w:outlineLvl w:val="2"/>
    </w:pPr>
    <w:rPr>
      <w:rFonts w:eastAsia="黑体"/>
      <w:bCs/>
      <w:sz w:val="36"/>
      <w:szCs w:val="32"/>
    </w:rPr>
  </w:style>
  <w:style w:type="paragraph" w:styleId="5">
    <w:name w:val="heading 4"/>
    <w:basedOn w:val="1"/>
    <w:next w:val="1"/>
    <w:link w:val="33"/>
    <w:qFormat/>
    <w:uiPriority w:val="9"/>
    <w:pPr>
      <w:ind w:firstLine="0" w:firstLineChars="0"/>
      <w:jc w:val="center"/>
      <w:outlineLvl w:val="3"/>
    </w:pPr>
    <w:rPr>
      <w:rFonts w:ascii="Cambria" w:hAnsi="Cambria"/>
      <w:bCs/>
      <w:sz w:val="28"/>
      <w:szCs w:val="28"/>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spacing w:line="240" w:lineRule="auto"/>
      <w:ind w:left="2520" w:leftChars="1200" w:firstLine="0" w:firstLineChars="0"/>
    </w:pPr>
  </w:style>
  <w:style w:type="paragraph" w:styleId="7">
    <w:name w:val="Document Map"/>
    <w:basedOn w:val="1"/>
    <w:link w:val="34"/>
    <w:unhideWhenUsed/>
    <w:qFormat/>
    <w:uiPriority w:val="99"/>
    <w:rPr>
      <w:rFonts w:ascii="宋体"/>
      <w:sz w:val="18"/>
      <w:szCs w:val="18"/>
    </w:rPr>
  </w:style>
  <w:style w:type="paragraph" w:styleId="8">
    <w:name w:val="toc 5"/>
    <w:basedOn w:val="1"/>
    <w:next w:val="1"/>
    <w:unhideWhenUsed/>
    <w:qFormat/>
    <w:uiPriority w:val="39"/>
    <w:pPr>
      <w:spacing w:line="240" w:lineRule="auto"/>
      <w:ind w:left="1680" w:leftChars="800" w:firstLine="0" w:firstLineChars="0"/>
    </w:pPr>
  </w:style>
  <w:style w:type="paragraph" w:styleId="9">
    <w:name w:val="toc 3"/>
    <w:basedOn w:val="1"/>
    <w:next w:val="1"/>
    <w:unhideWhenUsed/>
    <w:qFormat/>
    <w:uiPriority w:val="39"/>
    <w:pPr>
      <w:tabs>
        <w:tab w:val="right" w:leader="dot" w:pos="8296"/>
      </w:tabs>
      <w:ind w:firstLine="0" w:firstLineChars="0"/>
      <w:jc w:val="left"/>
    </w:pPr>
  </w:style>
  <w:style w:type="paragraph" w:styleId="10">
    <w:name w:val="toc 8"/>
    <w:basedOn w:val="1"/>
    <w:next w:val="1"/>
    <w:unhideWhenUsed/>
    <w:qFormat/>
    <w:uiPriority w:val="39"/>
    <w:pPr>
      <w:spacing w:line="240" w:lineRule="auto"/>
      <w:ind w:left="2940" w:leftChars="1400" w:firstLine="0" w:firstLineChars="0"/>
    </w:pPr>
  </w:style>
  <w:style w:type="paragraph" w:styleId="11">
    <w:name w:val="Date"/>
    <w:basedOn w:val="1"/>
    <w:next w:val="1"/>
    <w:link w:val="35"/>
    <w:unhideWhenUsed/>
    <w:qFormat/>
    <w:uiPriority w:val="99"/>
    <w:pPr>
      <w:wordWrap w:val="0"/>
      <w:ind w:left="100" w:leftChars="2500" w:firstLine="422"/>
      <w:jc w:val="left"/>
    </w:pPr>
    <w:rPr>
      <w:rFonts w:ascii="宋体" w:hAnsi="宋体"/>
      <w:kern w:val="44"/>
    </w:rPr>
  </w:style>
  <w:style w:type="paragraph" w:styleId="12">
    <w:name w:val="Balloon Text"/>
    <w:basedOn w:val="1"/>
    <w:link w:val="29"/>
    <w:unhideWhenUsed/>
    <w:qFormat/>
    <w:uiPriority w:val="99"/>
    <w:pPr>
      <w:spacing w:line="240" w:lineRule="auto"/>
      <w:ind w:firstLine="0" w:firstLineChars="0"/>
    </w:pPr>
    <w:rPr>
      <w:sz w:val="18"/>
      <w:szCs w:val="18"/>
    </w:rPr>
  </w:style>
  <w:style w:type="paragraph" w:styleId="13">
    <w:name w:val="footer"/>
    <w:basedOn w:val="1"/>
    <w:link w:val="36"/>
    <w:unhideWhenUsed/>
    <w:qFormat/>
    <w:uiPriority w:val="99"/>
    <w:pPr>
      <w:tabs>
        <w:tab w:val="center" w:pos="4153"/>
        <w:tab w:val="right" w:pos="8306"/>
      </w:tabs>
      <w:snapToGrid w:val="0"/>
      <w:jc w:val="left"/>
    </w:pPr>
    <w:rPr>
      <w:sz w:val="18"/>
      <w:szCs w:val="18"/>
    </w:rPr>
  </w:style>
  <w:style w:type="paragraph" w:styleId="14">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6"/>
      </w:tabs>
      <w:ind w:firstLine="0" w:firstLineChars="0"/>
      <w:jc w:val="center"/>
    </w:pPr>
    <w:rPr>
      <w:rFonts w:ascii="宋体" w:hAnsi="宋体"/>
      <w:b/>
      <w:sz w:val="32"/>
      <w:szCs w:val="32"/>
    </w:rPr>
  </w:style>
  <w:style w:type="paragraph" w:styleId="16">
    <w:name w:val="toc 4"/>
    <w:basedOn w:val="1"/>
    <w:next w:val="1"/>
    <w:unhideWhenUsed/>
    <w:qFormat/>
    <w:uiPriority w:val="39"/>
    <w:pPr>
      <w:spacing w:line="240" w:lineRule="auto"/>
      <w:ind w:left="1260" w:leftChars="600" w:firstLine="0" w:firstLineChars="0"/>
    </w:pPr>
  </w:style>
  <w:style w:type="paragraph" w:styleId="17">
    <w:name w:val="Subtitle"/>
    <w:basedOn w:val="1"/>
    <w:next w:val="1"/>
    <w:link w:val="38"/>
    <w:qFormat/>
    <w:uiPriority w:val="11"/>
    <w:pPr>
      <w:wordWrap w:val="0"/>
      <w:spacing w:before="240" w:after="60" w:line="312" w:lineRule="auto"/>
      <w:ind w:firstLine="422"/>
      <w:jc w:val="center"/>
      <w:outlineLvl w:val="1"/>
    </w:pPr>
    <w:rPr>
      <w:rFonts w:ascii="Cambria" w:hAnsi="Cambria"/>
      <w:b/>
      <w:bCs/>
      <w:kern w:val="28"/>
      <w:sz w:val="32"/>
      <w:szCs w:val="32"/>
    </w:rPr>
  </w:style>
  <w:style w:type="paragraph" w:styleId="18">
    <w:name w:val="toc 6"/>
    <w:basedOn w:val="1"/>
    <w:next w:val="1"/>
    <w:unhideWhenUsed/>
    <w:qFormat/>
    <w:uiPriority w:val="39"/>
    <w:pPr>
      <w:spacing w:line="240" w:lineRule="auto"/>
      <w:ind w:left="2100" w:leftChars="1000" w:firstLine="0" w:firstLineChars="0"/>
    </w:pPr>
  </w:style>
  <w:style w:type="paragraph" w:styleId="19">
    <w:name w:val="toc 2"/>
    <w:basedOn w:val="1"/>
    <w:next w:val="1"/>
    <w:unhideWhenUsed/>
    <w:qFormat/>
    <w:uiPriority w:val="39"/>
    <w:pPr>
      <w:tabs>
        <w:tab w:val="right" w:leader="dot" w:pos="8296"/>
      </w:tabs>
      <w:ind w:firstLine="0" w:firstLineChars="0"/>
      <w:jc w:val="center"/>
    </w:pPr>
    <w:rPr>
      <w:rFonts w:ascii="宋体" w:hAnsi="宋体"/>
      <w:kern w:val="44"/>
      <w:sz w:val="28"/>
      <w:szCs w:val="28"/>
    </w:rPr>
  </w:style>
  <w:style w:type="paragraph" w:styleId="20">
    <w:name w:val="toc 9"/>
    <w:basedOn w:val="1"/>
    <w:next w:val="1"/>
    <w:unhideWhenUsed/>
    <w:qFormat/>
    <w:uiPriority w:val="39"/>
    <w:pPr>
      <w:spacing w:line="240" w:lineRule="auto"/>
      <w:ind w:left="3360" w:leftChars="1600" w:firstLine="0" w:firstLineChars="0"/>
    </w:pPr>
  </w:style>
  <w:style w:type="paragraph" w:styleId="21">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styleId="22">
    <w:name w:val="Title"/>
    <w:basedOn w:val="1"/>
    <w:next w:val="1"/>
    <w:link w:val="31"/>
    <w:qFormat/>
    <w:uiPriority w:val="10"/>
    <w:pPr>
      <w:spacing w:before="300" w:after="300" w:line="240" w:lineRule="auto"/>
      <w:ind w:firstLine="0" w:firstLineChars="0"/>
      <w:jc w:val="center"/>
      <w:outlineLvl w:val="0"/>
    </w:pPr>
    <w:rPr>
      <w:rFonts w:ascii="Cambria" w:hAnsi="Cambria"/>
      <w:bCs/>
      <w:sz w:val="28"/>
      <w:szCs w:val="32"/>
    </w:rPr>
  </w:style>
  <w:style w:type="table" w:styleId="24">
    <w:name w:val="Table Grid"/>
    <w:basedOn w:val="2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6">
    <w:name w:val="Hyperlink"/>
    <w:basedOn w:val="25"/>
    <w:unhideWhenUsed/>
    <w:qFormat/>
    <w:uiPriority w:val="99"/>
    <w:rPr>
      <w:color w:val="0000FF"/>
      <w:u w:val="single"/>
    </w:rPr>
  </w:style>
  <w:style w:type="paragraph" w:customStyle="1" w:styleId="27">
    <w:name w:val="TOC Heading"/>
    <w:basedOn w:val="2"/>
    <w:next w:val="1"/>
    <w:qFormat/>
    <w:uiPriority w:val="39"/>
    <w:pPr>
      <w:widowControl/>
      <w:wordWrap w:val="0"/>
      <w:spacing w:before="480" w:after="0" w:line="276" w:lineRule="auto"/>
      <w:jc w:val="left"/>
      <w:outlineLvl w:val="9"/>
    </w:pPr>
    <w:rPr>
      <w:rFonts w:ascii="Cambria" w:hAnsi="Cambria" w:eastAsia="宋体"/>
      <w:color w:val="365F91"/>
      <w:kern w:val="0"/>
      <w:sz w:val="28"/>
      <w:szCs w:val="28"/>
    </w:rPr>
  </w:style>
  <w:style w:type="paragraph" w:customStyle="1" w:styleId="28">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29">
    <w:name w:val="批注框文本 Char"/>
    <w:basedOn w:val="25"/>
    <w:link w:val="12"/>
    <w:semiHidden/>
    <w:qFormat/>
    <w:uiPriority w:val="99"/>
    <w:rPr>
      <w:rFonts w:ascii="Calibri" w:hAnsi="Calibri" w:eastAsia="宋体" w:cs="Times New Roman"/>
      <w:kern w:val="2"/>
      <w:sz w:val="18"/>
      <w:szCs w:val="18"/>
    </w:rPr>
  </w:style>
  <w:style w:type="character" w:customStyle="1" w:styleId="30">
    <w:name w:val="标题 2 Char"/>
    <w:basedOn w:val="25"/>
    <w:link w:val="3"/>
    <w:qFormat/>
    <w:uiPriority w:val="9"/>
    <w:rPr>
      <w:rFonts w:ascii="Cambria" w:hAnsi="Cambria" w:eastAsia="黑体" w:cs="Times New Roman"/>
      <w:bCs/>
      <w:sz w:val="44"/>
      <w:szCs w:val="32"/>
    </w:rPr>
  </w:style>
  <w:style w:type="character" w:customStyle="1" w:styleId="31">
    <w:name w:val="标题 Char"/>
    <w:basedOn w:val="25"/>
    <w:link w:val="22"/>
    <w:qFormat/>
    <w:uiPriority w:val="10"/>
    <w:rPr>
      <w:rFonts w:ascii="Cambria" w:hAnsi="Cambria" w:cs="Times New Roman"/>
      <w:bCs/>
      <w:kern w:val="2"/>
      <w:sz w:val="28"/>
      <w:szCs w:val="32"/>
    </w:rPr>
  </w:style>
  <w:style w:type="character" w:customStyle="1" w:styleId="32">
    <w:name w:val="页眉 Char"/>
    <w:basedOn w:val="25"/>
    <w:link w:val="14"/>
    <w:qFormat/>
    <w:uiPriority w:val="99"/>
    <w:rPr>
      <w:sz w:val="18"/>
      <w:szCs w:val="18"/>
    </w:rPr>
  </w:style>
  <w:style w:type="character" w:customStyle="1" w:styleId="33">
    <w:name w:val="标题 4 Char"/>
    <w:basedOn w:val="25"/>
    <w:link w:val="5"/>
    <w:qFormat/>
    <w:uiPriority w:val="9"/>
    <w:rPr>
      <w:rFonts w:ascii="Cambria" w:hAnsi="Cambria" w:eastAsia="宋体" w:cs="Times New Roman"/>
      <w:bCs/>
      <w:sz w:val="28"/>
      <w:szCs w:val="28"/>
    </w:rPr>
  </w:style>
  <w:style w:type="character" w:customStyle="1" w:styleId="34">
    <w:name w:val="文档结构图 Char"/>
    <w:basedOn w:val="25"/>
    <w:link w:val="7"/>
    <w:semiHidden/>
    <w:qFormat/>
    <w:uiPriority w:val="99"/>
    <w:rPr>
      <w:rFonts w:ascii="宋体" w:eastAsia="宋体"/>
      <w:sz w:val="18"/>
      <w:szCs w:val="18"/>
    </w:rPr>
  </w:style>
  <w:style w:type="character" w:customStyle="1" w:styleId="35">
    <w:name w:val="日期 Char"/>
    <w:basedOn w:val="25"/>
    <w:link w:val="11"/>
    <w:semiHidden/>
    <w:qFormat/>
    <w:uiPriority w:val="99"/>
    <w:rPr>
      <w:rFonts w:ascii="宋体" w:hAnsi="宋体"/>
      <w:kern w:val="44"/>
      <w:sz w:val="21"/>
      <w:szCs w:val="22"/>
    </w:rPr>
  </w:style>
  <w:style w:type="character" w:customStyle="1" w:styleId="36">
    <w:name w:val="页脚 Char"/>
    <w:basedOn w:val="25"/>
    <w:link w:val="13"/>
    <w:qFormat/>
    <w:uiPriority w:val="99"/>
    <w:rPr>
      <w:sz w:val="18"/>
      <w:szCs w:val="18"/>
    </w:rPr>
  </w:style>
  <w:style w:type="character" w:customStyle="1" w:styleId="37">
    <w:name w:val="标题 3 Char"/>
    <w:basedOn w:val="25"/>
    <w:link w:val="4"/>
    <w:qFormat/>
    <w:uiPriority w:val="9"/>
    <w:rPr>
      <w:rFonts w:eastAsia="黑体"/>
      <w:bCs/>
      <w:kern w:val="2"/>
      <w:sz w:val="36"/>
      <w:szCs w:val="32"/>
    </w:rPr>
  </w:style>
  <w:style w:type="character" w:customStyle="1" w:styleId="38">
    <w:name w:val="副标题 Char"/>
    <w:basedOn w:val="25"/>
    <w:link w:val="17"/>
    <w:qFormat/>
    <w:uiPriority w:val="11"/>
    <w:rPr>
      <w:rFonts w:ascii="Cambria" w:hAnsi="Cambria"/>
      <w:b/>
      <w:bCs/>
      <w:kern w:val="28"/>
      <w:sz w:val="32"/>
      <w:szCs w:val="32"/>
    </w:rPr>
  </w:style>
  <w:style w:type="character" w:customStyle="1" w:styleId="39">
    <w:name w:val="标题 1 Char"/>
    <w:basedOn w:val="25"/>
    <w:link w:val="2"/>
    <w:qFormat/>
    <w:uiPriority w:val="9"/>
    <w:rPr>
      <w:rFonts w:eastAsia="黑体"/>
      <w:bCs/>
      <w:kern w:val="44"/>
      <w:sz w:val="52"/>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theme" Target="theme/theme1.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1556</Pages>
  <Words>7314</Words>
  <Characters>8219</Characters>
  <Lines>10119</Lines>
  <Paragraphs>2848</Paragraphs>
  <TotalTime>18</TotalTime>
  <ScaleCrop>false</ScaleCrop>
  <LinksUpToDate>false</LinksUpToDate>
  <CharactersWithSpaces>8756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2015-08-31T08:18:00Z</dcterms:created>
  <dc:creator>aAS</dc:creator>
  <cp:lastModifiedBy>liyuexiang</cp:lastModifiedBy>
  <cp:lastPrinted>2015-08-31T08:19:00Z</cp:lastPrinted>
  <dcterms:modified xsi:type="dcterms:W3CDTF">2025-06-07T13:08:07Z</dcterms:modified>
  <dc:title>一、政 治 建 设</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eyJoZGlkIjoiOGFjYzVlNWQ1YWYwOTIzZTBiNjA3ZmViOWIxOWVjYjIifQ==</vt:lpwstr>
  </property>
  <property fmtid="{D5CDD505-2E9C-101B-9397-08002B2CF9AE}" pid="4" name="ICV">
    <vt:lpwstr>9DDA858A79A046999082911B5D6C8F9F_12</vt:lpwstr>
  </property>
</Properties>
</file>